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0F4259" w14:textId="77777777" w:rsidR="008715BE" w:rsidRPr="00EC75B7" w:rsidRDefault="00000000">
      <w:pPr>
        <w:ind w:left="86"/>
        <w:rPr>
          <w:rFonts w:ascii="Verdana" w:hAnsi="Verdana"/>
          <w:sz w:val="18"/>
          <w:szCs w:val="18"/>
        </w:rPr>
      </w:pPr>
      <w:r w:rsidRPr="00EC75B7">
        <w:rPr>
          <w:rFonts w:ascii="Verdana" w:hAnsi="Verdana"/>
          <w:noProof/>
          <w:sz w:val="18"/>
          <w:szCs w:val="18"/>
        </w:rPr>
        <mc:AlternateContent>
          <mc:Choice Requires="wpg">
            <w:drawing>
              <wp:anchor distT="0" distB="0" distL="0" distR="0" simplePos="0" relativeHeight="251686912" behindDoc="1" locked="0" layoutInCell="1" allowOverlap="1" wp14:anchorId="2F92E9BD" wp14:editId="1FD0FC16">
                <wp:simplePos x="0" y="0"/>
                <wp:positionH relativeFrom="page">
                  <wp:posOffset>0</wp:posOffset>
                </wp:positionH>
                <wp:positionV relativeFrom="page">
                  <wp:posOffset>-4</wp:posOffset>
                </wp:positionV>
                <wp:extent cx="7545070" cy="10692765"/>
                <wp:effectExtent l="0" t="0" r="0" b="0"/>
                <wp:wrapNone/>
                <wp:docPr id="1" name="Group 1"/>
                <wp:cNvGraphicFramePr/>
                <a:graphic xmlns:a="http://schemas.openxmlformats.org/drawingml/2006/main">
                  <a:graphicData uri="http://schemas.microsoft.com/office/word/2010/wordprocessingGroup">
                    <wpg:wgp>
                      <wpg:cNvGrpSpPr/>
                      <wpg:grpSpPr>
                        <a:xfrm>
                          <a:off x="0" y="0"/>
                          <a:ext cx="7545070" cy="10692765"/>
                          <a:chOff x="0" y="0"/>
                          <a:chExt cx="7545070" cy="10692765"/>
                        </a:xfrm>
                      </wpg:grpSpPr>
                      <pic:pic xmlns:pic="http://schemas.openxmlformats.org/drawingml/2006/picture">
                        <pic:nvPicPr>
                          <pic:cNvPr id="2" name="Image 2"/>
                          <pic:cNvPicPr/>
                        </pic:nvPicPr>
                        <pic:blipFill>
                          <a:blip r:embed="rId8" cstate="print"/>
                          <a:stretch>
                            <a:fillRect/>
                          </a:stretch>
                        </pic:blipFill>
                        <pic:spPr>
                          <a:xfrm>
                            <a:off x="0" y="0"/>
                            <a:ext cx="7544588" cy="10676255"/>
                          </a:xfrm>
                          <a:prstGeom prst="rect">
                            <a:avLst/>
                          </a:prstGeom>
                        </pic:spPr>
                      </pic:pic>
                      <wps:wsp>
                        <wps:cNvPr id="3" name="Graphic 3"/>
                        <wps:cNvSpPr/>
                        <wps:spPr>
                          <a:xfrm>
                            <a:off x="0" y="6351286"/>
                            <a:ext cx="5426710" cy="4341495"/>
                          </a:xfrm>
                          <a:custGeom>
                            <a:avLst/>
                            <a:gdLst/>
                            <a:ahLst/>
                            <a:cxnLst/>
                            <a:rect l="l" t="t" r="r" b="b"/>
                            <a:pathLst>
                              <a:path w="5426710" h="4341495">
                                <a:moveTo>
                                  <a:pt x="5426710" y="831202"/>
                                </a:moveTo>
                                <a:lnTo>
                                  <a:pt x="2907665" y="831202"/>
                                </a:lnTo>
                                <a:lnTo>
                                  <a:pt x="2907665" y="0"/>
                                </a:lnTo>
                                <a:lnTo>
                                  <a:pt x="0" y="0"/>
                                </a:lnTo>
                                <a:lnTo>
                                  <a:pt x="0" y="831202"/>
                                </a:lnTo>
                                <a:lnTo>
                                  <a:pt x="0" y="4340847"/>
                                </a:lnTo>
                                <a:lnTo>
                                  <a:pt x="0" y="4341101"/>
                                </a:lnTo>
                                <a:lnTo>
                                  <a:pt x="2907665" y="4341101"/>
                                </a:lnTo>
                                <a:lnTo>
                                  <a:pt x="2907665" y="4340847"/>
                                </a:lnTo>
                                <a:lnTo>
                                  <a:pt x="5426710" y="4340847"/>
                                </a:lnTo>
                                <a:lnTo>
                                  <a:pt x="5426710" y="831202"/>
                                </a:lnTo>
                                <a:close/>
                              </a:path>
                            </a:pathLst>
                          </a:custGeom>
                          <a:solidFill>
                            <a:srgbClr val="009DEF"/>
                          </a:solidFill>
                        </wps:spPr>
                        <wps:txbx>
                          <w:txbxContent>
                            <w:p w14:paraId="38D0F881" w14:textId="77777777" w:rsidR="00671380" w:rsidRDefault="00671380" w:rsidP="00671380">
                              <w:pPr>
                                <w:jc w:val="center"/>
                              </w:pPr>
                            </w:p>
                            <w:p w14:paraId="26B20641" w14:textId="77777777" w:rsidR="00671380" w:rsidRDefault="00671380" w:rsidP="00671380">
                              <w:pPr>
                                <w:jc w:val="center"/>
                              </w:pPr>
                            </w:p>
                            <w:p w14:paraId="16A14870" w14:textId="77777777" w:rsidR="00671380" w:rsidRDefault="00671380" w:rsidP="00671380">
                              <w:pPr>
                                <w:jc w:val="center"/>
                              </w:pPr>
                            </w:p>
                            <w:p w14:paraId="63F4F130" w14:textId="77777777" w:rsidR="00671380" w:rsidRDefault="00671380" w:rsidP="00671380">
                              <w:pPr>
                                <w:jc w:val="center"/>
                              </w:pPr>
                            </w:p>
                            <w:p w14:paraId="0C6AA005" w14:textId="77777777" w:rsidR="00671380" w:rsidRDefault="00671380" w:rsidP="00671380">
                              <w:pPr>
                                <w:jc w:val="center"/>
                              </w:pPr>
                            </w:p>
                            <w:p w14:paraId="44D64213" w14:textId="77777777" w:rsidR="00671380" w:rsidRPr="00671380" w:rsidRDefault="00671380" w:rsidP="00671380">
                              <w:pPr>
                                <w:jc w:val="center"/>
                                <w:rPr>
                                  <w:rFonts w:ascii="Verdana" w:hAnsi="Verdana"/>
                                </w:rPr>
                              </w:pPr>
                            </w:p>
                            <w:p w14:paraId="2F639728" w14:textId="78BCFE1B" w:rsidR="00671380" w:rsidRPr="00671380" w:rsidRDefault="00671380" w:rsidP="00671380">
                              <w:pPr>
                                <w:jc w:val="both"/>
                                <w:rPr>
                                  <w:rFonts w:ascii="Verdana" w:hAnsi="Verdana"/>
                                </w:rPr>
                              </w:pPr>
                              <w:r w:rsidRPr="00671380">
                                <w:rPr>
                                  <w:rFonts w:ascii="Verdana" w:hAnsi="Verdana"/>
                                </w:rPr>
                                <w:t xml:space="preserve">    </w:t>
                              </w:r>
                              <w:r w:rsidRPr="00671380">
                                <w:rPr>
                                  <w:rFonts w:ascii="Verdana" w:hAnsi="Verdana"/>
                                </w:rPr>
                                <w:tab/>
                                <w:t>ENVIRONMENTAL IMPACT REPORT</w:t>
                              </w:r>
                            </w:p>
                            <w:p w14:paraId="1AAAB818" w14:textId="290B3D9C" w:rsidR="00671380" w:rsidRPr="00671380" w:rsidRDefault="00671380" w:rsidP="00671380">
                              <w:pPr>
                                <w:ind w:left="720"/>
                                <w:jc w:val="both"/>
                                <w:rPr>
                                  <w:rFonts w:ascii="Verdana" w:hAnsi="Verdana"/>
                                </w:rPr>
                              </w:pPr>
                              <w:r w:rsidRPr="00671380">
                                <w:rPr>
                                  <w:rFonts w:ascii="Verdana" w:hAnsi="Verdana"/>
                                </w:rPr>
                                <w:t>Wind Energy Park 48 (46) Wind Farms approx. 316.8MW (303.6MW), Transformer Stations,</w:t>
                              </w:r>
                              <w:r>
                                <w:rPr>
                                  <w:rFonts w:ascii="Verdana" w:hAnsi="Verdana"/>
                                </w:rPr>
                                <w:t xml:space="preserve"> </w:t>
                              </w:r>
                              <w:r w:rsidRPr="00671380">
                                <w:rPr>
                                  <w:rFonts w:ascii="Verdana" w:hAnsi="Verdana"/>
                                </w:rPr>
                                <w:t>Electrical Connection Networks, Construction and Modernization of Communication and Access Routes</w:t>
                              </w:r>
                            </w:p>
                            <w:p w14:paraId="22652D0A" w14:textId="77777777" w:rsidR="00671380" w:rsidRPr="00671380" w:rsidRDefault="00671380" w:rsidP="00671380">
                              <w:pPr>
                                <w:ind w:left="270"/>
                                <w:rPr>
                                  <w:rFonts w:ascii="Verdana" w:hAnsi="Verdana"/>
                                </w:rPr>
                              </w:pPr>
                            </w:p>
                            <w:p w14:paraId="7A2CB2B6" w14:textId="1E7D9494" w:rsidR="00671380" w:rsidRPr="00671380" w:rsidRDefault="00671380" w:rsidP="00671380">
                              <w:pPr>
                                <w:ind w:left="270" w:firstLine="450"/>
                                <w:rPr>
                                  <w:rFonts w:ascii="Verdana" w:hAnsi="Verdana"/>
                                </w:rPr>
                              </w:pPr>
                              <w:r w:rsidRPr="00671380">
                                <w:rPr>
                                  <w:rFonts w:ascii="Verdana" w:hAnsi="Verdana"/>
                                </w:rPr>
                                <w:t>loc. Cerchezu, Constanța County</w:t>
                              </w:r>
                            </w:p>
                          </w:txbxContent>
                        </wps:txbx>
                        <wps:bodyPr wrap="square" lIns="0" tIns="0" rIns="0" bIns="0" rtlCol="0">
                          <a:prstTxWarp prst="textNoShape">
                            <a:avLst/>
                          </a:prstTxWarp>
                        </wps:bodyPr>
                      </wps:wsp>
                      <pic:pic xmlns:pic="http://schemas.openxmlformats.org/drawingml/2006/picture">
                        <pic:nvPicPr>
                          <pic:cNvPr id="4" name="Image 4"/>
                          <pic:cNvPicPr/>
                        </pic:nvPicPr>
                        <pic:blipFill>
                          <a:blip r:embed="rId9" cstate="print"/>
                          <a:stretch>
                            <a:fillRect/>
                          </a:stretch>
                        </pic:blipFill>
                        <pic:spPr>
                          <a:xfrm>
                            <a:off x="1759901" y="6491199"/>
                            <a:ext cx="729986" cy="153507"/>
                          </a:xfrm>
                          <a:prstGeom prst="rect">
                            <a:avLst/>
                          </a:prstGeom>
                        </pic:spPr>
                      </pic:pic>
                      <wps:wsp>
                        <wps:cNvPr id="5" name="Graphic 5"/>
                        <wps:cNvSpPr/>
                        <wps:spPr>
                          <a:xfrm>
                            <a:off x="352704" y="6426000"/>
                            <a:ext cx="2153920" cy="285115"/>
                          </a:xfrm>
                          <a:custGeom>
                            <a:avLst/>
                            <a:gdLst/>
                            <a:ahLst/>
                            <a:cxnLst/>
                            <a:rect l="l" t="t" r="r" b="b"/>
                            <a:pathLst>
                              <a:path w="2153920" h="285115">
                                <a:moveTo>
                                  <a:pt x="207454" y="117779"/>
                                </a:moveTo>
                                <a:lnTo>
                                  <a:pt x="205867" y="109334"/>
                                </a:lnTo>
                                <a:lnTo>
                                  <a:pt x="201345" y="103060"/>
                                </a:lnTo>
                                <a:lnTo>
                                  <a:pt x="194246" y="99148"/>
                                </a:lnTo>
                                <a:lnTo>
                                  <a:pt x="184950" y="97802"/>
                                </a:lnTo>
                                <a:lnTo>
                                  <a:pt x="157556" y="97802"/>
                                </a:lnTo>
                                <a:lnTo>
                                  <a:pt x="157556" y="137756"/>
                                </a:lnTo>
                                <a:lnTo>
                                  <a:pt x="185928" y="137756"/>
                                </a:lnTo>
                                <a:lnTo>
                                  <a:pt x="195072" y="136258"/>
                                </a:lnTo>
                                <a:lnTo>
                                  <a:pt x="201828" y="132105"/>
                                </a:lnTo>
                                <a:lnTo>
                                  <a:pt x="206019" y="125780"/>
                                </a:lnTo>
                                <a:lnTo>
                                  <a:pt x="207454" y="117779"/>
                                </a:lnTo>
                                <a:close/>
                              </a:path>
                              <a:path w="2153920" h="285115">
                                <a:moveTo>
                                  <a:pt x="353275" y="150368"/>
                                </a:moveTo>
                                <a:lnTo>
                                  <a:pt x="335648" y="105156"/>
                                </a:lnTo>
                                <a:lnTo>
                                  <a:pt x="318033" y="150368"/>
                                </a:lnTo>
                                <a:lnTo>
                                  <a:pt x="353275" y="150368"/>
                                </a:lnTo>
                                <a:close/>
                              </a:path>
                              <a:path w="2153920" h="285115">
                                <a:moveTo>
                                  <a:pt x="695769" y="102006"/>
                                </a:moveTo>
                                <a:lnTo>
                                  <a:pt x="689889" y="97802"/>
                                </a:lnTo>
                                <a:lnTo>
                                  <a:pt x="649757" y="97802"/>
                                </a:lnTo>
                                <a:lnTo>
                                  <a:pt x="649757" y="126187"/>
                                </a:lnTo>
                                <a:lnTo>
                                  <a:pt x="687933" y="126187"/>
                                </a:lnTo>
                                <a:lnTo>
                                  <a:pt x="695769" y="121983"/>
                                </a:lnTo>
                                <a:lnTo>
                                  <a:pt x="695769" y="102006"/>
                                </a:lnTo>
                                <a:close/>
                              </a:path>
                              <a:path w="2153920" h="285115">
                                <a:moveTo>
                                  <a:pt x="703592" y="166141"/>
                                </a:moveTo>
                                <a:lnTo>
                                  <a:pt x="702297" y="159854"/>
                                </a:lnTo>
                                <a:lnTo>
                                  <a:pt x="698334" y="155232"/>
                                </a:lnTo>
                                <a:lnTo>
                                  <a:pt x="691629" y="152387"/>
                                </a:lnTo>
                                <a:lnTo>
                                  <a:pt x="682053" y="151422"/>
                                </a:lnTo>
                                <a:lnTo>
                                  <a:pt x="649757" y="151422"/>
                                </a:lnTo>
                                <a:lnTo>
                                  <a:pt x="649757" y="180860"/>
                                </a:lnTo>
                                <a:lnTo>
                                  <a:pt x="695769" y="180860"/>
                                </a:lnTo>
                                <a:lnTo>
                                  <a:pt x="703592" y="176657"/>
                                </a:lnTo>
                                <a:lnTo>
                                  <a:pt x="703592" y="166141"/>
                                </a:lnTo>
                                <a:close/>
                              </a:path>
                              <a:path w="2153920" h="285115">
                                <a:moveTo>
                                  <a:pt x="1277035" y="57848"/>
                                </a:moveTo>
                                <a:lnTo>
                                  <a:pt x="1273848" y="31953"/>
                                </a:lnTo>
                                <a:lnTo>
                                  <a:pt x="1264056" y="13944"/>
                                </a:lnTo>
                                <a:lnTo>
                                  <a:pt x="1247305" y="3416"/>
                                </a:lnTo>
                                <a:lnTo>
                                  <a:pt x="1223200" y="0"/>
                                </a:lnTo>
                                <a:lnTo>
                                  <a:pt x="1174292" y="0"/>
                                </a:lnTo>
                                <a:lnTo>
                                  <a:pt x="1174292" y="185064"/>
                                </a:lnTo>
                                <a:lnTo>
                                  <a:pt x="1174292" y="201891"/>
                                </a:lnTo>
                                <a:lnTo>
                                  <a:pt x="1169403" y="207149"/>
                                </a:lnTo>
                                <a:lnTo>
                                  <a:pt x="1088148" y="207149"/>
                                </a:lnTo>
                                <a:lnTo>
                                  <a:pt x="1082306" y="201891"/>
                                </a:lnTo>
                                <a:lnTo>
                                  <a:pt x="1082306" y="75717"/>
                                </a:lnTo>
                                <a:lnTo>
                                  <a:pt x="1088148" y="70459"/>
                                </a:lnTo>
                                <a:lnTo>
                                  <a:pt x="1103807" y="70459"/>
                                </a:lnTo>
                                <a:lnTo>
                                  <a:pt x="1109687" y="75717"/>
                                </a:lnTo>
                                <a:lnTo>
                                  <a:pt x="1109687" y="179806"/>
                                </a:lnTo>
                                <a:lnTo>
                                  <a:pt x="1169403" y="179806"/>
                                </a:lnTo>
                                <a:lnTo>
                                  <a:pt x="1174292" y="185064"/>
                                </a:lnTo>
                                <a:lnTo>
                                  <a:pt x="1174292" y="0"/>
                                </a:lnTo>
                                <a:lnTo>
                                  <a:pt x="1045121" y="0"/>
                                </a:lnTo>
                                <a:lnTo>
                                  <a:pt x="1045121" y="185064"/>
                                </a:lnTo>
                                <a:lnTo>
                                  <a:pt x="1045121" y="201891"/>
                                </a:lnTo>
                                <a:lnTo>
                                  <a:pt x="1040231" y="207149"/>
                                </a:lnTo>
                                <a:lnTo>
                                  <a:pt x="958989" y="207149"/>
                                </a:lnTo>
                                <a:lnTo>
                                  <a:pt x="953135" y="201891"/>
                                </a:lnTo>
                                <a:lnTo>
                                  <a:pt x="953135" y="107264"/>
                                </a:lnTo>
                                <a:lnTo>
                                  <a:pt x="953135" y="75717"/>
                                </a:lnTo>
                                <a:lnTo>
                                  <a:pt x="958989" y="70459"/>
                                </a:lnTo>
                                <a:lnTo>
                                  <a:pt x="974636" y="70459"/>
                                </a:lnTo>
                                <a:lnTo>
                                  <a:pt x="980516" y="75717"/>
                                </a:lnTo>
                                <a:lnTo>
                                  <a:pt x="980516" y="179806"/>
                                </a:lnTo>
                                <a:lnTo>
                                  <a:pt x="1040231" y="179806"/>
                                </a:lnTo>
                                <a:lnTo>
                                  <a:pt x="1045121" y="185064"/>
                                </a:lnTo>
                                <a:lnTo>
                                  <a:pt x="1045121" y="0"/>
                                </a:lnTo>
                                <a:lnTo>
                                  <a:pt x="953135" y="0"/>
                                </a:lnTo>
                                <a:lnTo>
                                  <a:pt x="836688" y="150368"/>
                                </a:lnTo>
                                <a:lnTo>
                                  <a:pt x="831773" y="148272"/>
                                </a:lnTo>
                                <a:lnTo>
                                  <a:pt x="842530" y="96748"/>
                                </a:lnTo>
                                <a:lnTo>
                                  <a:pt x="837641" y="96748"/>
                                </a:lnTo>
                                <a:lnTo>
                                  <a:pt x="822198" y="100063"/>
                                </a:lnTo>
                                <a:lnTo>
                                  <a:pt x="810145" y="109105"/>
                                </a:lnTo>
                                <a:lnTo>
                                  <a:pt x="802297" y="122478"/>
                                </a:lnTo>
                                <a:lnTo>
                                  <a:pt x="799503" y="138811"/>
                                </a:lnTo>
                                <a:lnTo>
                                  <a:pt x="802208" y="155232"/>
                                </a:lnTo>
                                <a:lnTo>
                                  <a:pt x="802297" y="155740"/>
                                </a:lnTo>
                                <a:lnTo>
                                  <a:pt x="810069" y="169291"/>
                                </a:lnTo>
                                <a:lnTo>
                                  <a:pt x="810145" y="169430"/>
                                </a:lnTo>
                                <a:lnTo>
                                  <a:pt x="819658" y="176657"/>
                                </a:lnTo>
                                <a:lnTo>
                                  <a:pt x="822274" y="178600"/>
                                </a:lnTo>
                                <a:lnTo>
                                  <a:pt x="837641" y="181914"/>
                                </a:lnTo>
                                <a:lnTo>
                                  <a:pt x="853109" y="178600"/>
                                </a:lnTo>
                                <a:lnTo>
                                  <a:pt x="865187" y="169557"/>
                                </a:lnTo>
                                <a:lnTo>
                                  <a:pt x="873023" y="156184"/>
                                </a:lnTo>
                                <a:lnTo>
                                  <a:pt x="874026" y="150368"/>
                                </a:lnTo>
                                <a:lnTo>
                                  <a:pt x="875830" y="139852"/>
                                </a:lnTo>
                                <a:lnTo>
                                  <a:pt x="875830" y="134594"/>
                                </a:lnTo>
                                <a:lnTo>
                                  <a:pt x="874839" y="130390"/>
                                </a:lnTo>
                                <a:lnTo>
                                  <a:pt x="873874" y="127241"/>
                                </a:lnTo>
                                <a:lnTo>
                                  <a:pt x="898321" y="107264"/>
                                </a:lnTo>
                                <a:lnTo>
                                  <a:pt x="904925" y="134594"/>
                                </a:lnTo>
                                <a:lnTo>
                                  <a:pt x="905027" y="136258"/>
                                </a:lnTo>
                                <a:lnTo>
                                  <a:pt x="905116" y="137756"/>
                                </a:lnTo>
                                <a:lnTo>
                                  <a:pt x="905192" y="138811"/>
                                </a:lnTo>
                                <a:lnTo>
                                  <a:pt x="900176" y="166141"/>
                                </a:lnTo>
                                <a:lnTo>
                                  <a:pt x="900137" y="166395"/>
                                </a:lnTo>
                                <a:lnTo>
                                  <a:pt x="886091" y="189141"/>
                                </a:lnTo>
                                <a:lnTo>
                                  <a:pt x="864704" y="204597"/>
                                </a:lnTo>
                                <a:lnTo>
                                  <a:pt x="837641" y="210299"/>
                                </a:lnTo>
                                <a:lnTo>
                                  <a:pt x="827366" y="208203"/>
                                </a:lnTo>
                                <a:lnTo>
                                  <a:pt x="822223" y="207149"/>
                                </a:lnTo>
                                <a:lnTo>
                                  <a:pt x="810666" y="204787"/>
                                </a:lnTo>
                                <a:lnTo>
                                  <a:pt x="810361" y="204597"/>
                                </a:lnTo>
                                <a:lnTo>
                                  <a:pt x="789216" y="189661"/>
                                </a:lnTo>
                                <a:lnTo>
                                  <a:pt x="775182" y="167271"/>
                                </a:lnTo>
                                <a:lnTo>
                                  <a:pt x="770140" y="139852"/>
                                </a:lnTo>
                                <a:lnTo>
                                  <a:pt x="770140" y="138811"/>
                                </a:lnTo>
                                <a:lnTo>
                                  <a:pt x="775182" y="111823"/>
                                </a:lnTo>
                                <a:lnTo>
                                  <a:pt x="789216" y="89382"/>
                                </a:lnTo>
                                <a:lnTo>
                                  <a:pt x="810590" y="74041"/>
                                </a:lnTo>
                                <a:lnTo>
                                  <a:pt x="822629" y="71513"/>
                                </a:lnTo>
                                <a:lnTo>
                                  <a:pt x="827633" y="70459"/>
                                </a:lnTo>
                                <a:lnTo>
                                  <a:pt x="832650" y="69405"/>
                                </a:lnTo>
                                <a:lnTo>
                                  <a:pt x="837641" y="68364"/>
                                </a:lnTo>
                                <a:lnTo>
                                  <a:pt x="841578" y="68364"/>
                                </a:lnTo>
                                <a:lnTo>
                                  <a:pt x="845477" y="69405"/>
                                </a:lnTo>
                                <a:lnTo>
                                  <a:pt x="848410" y="69405"/>
                                </a:lnTo>
                                <a:lnTo>
                                  <a:pt x="848652" y="68364"/>
                                </a:lnTo>
                                <a:lnTo>
                                  <a:pt x="864069" y="0"/>
                                </a:lnTo>
                                <a:lnTo>
                                  <a:pt x="730999" y="0"/>
                                </a:lnTo>
                                <a:lnTo>
                                  <a:pt x="730999" y="169291"/>
                                </a:lnTo>
                                <a:lnTo>
                                  <a:pt x="727633" y="185851"/>
                                </a:lnTo>
                                <a:lnTo>
                                  <a:pt x="718032" y="197688"/>
                                </a:lnTo>
                                <a:lnTo>
                                  <a:pt x="702932" y="204787"/>
                                </a:lnTo>
                                <a:lnTo>
                                  <a:pt x="683044" y="207149"/>
                                </a:lnTo>
                                <a:lnTo>
                                  <a:pt x="629221" y="207149"/>
                                </a:lnTo>
                                <a:lnTo>
                                  <a:pt x="623341" y="201891"/>
                                </a:lnTo>
                                <a:lnTo>
                                  <a:pt x="623341" y="76771"/>
                                </a:lnTo>
                                <a:lnTo>
                                  <a:pt x="629221" y="71513"/>
                                </a:lnTo>
                                <a:lnTo>
                                  <a:pt x="682053" y="71513"/>
                                </a:lnTo>
                                <a:lnTo>
                                  <a:pt x="692797" y="72313"/>
                                </a:lnTo>
                                <a:lnTo>
                                  <a:pt x="692480" y="72313"/>
                                </a:lnTo>
                                <a:lnTo>
                                  <a:pt x="701268" y="74536"/>
                                </a:lnTo>
                                <a:lnTo>
                                  <a:pt x="708901" y="78168"/>
                                </a:lnTo>
                                <a:lnTo>
                                  <a:pt x="715352" y="83083"/>
                                </a:lnTo>
                                <a:lnTo>
                                  <a:pt x="721194" y="89382"/>
                                </a:lnTo>
                                <a:lnTo>
                                  <a:pt x="724128" y="97802"/>
                                </a:lnTo>
                                <a:lnTo>
                                  <a:pt x="724077" y="106616"/>
                                </a:lnTo>
                                <a:lnTo>
                                  <a:pt x="707491" y="135648"/>
                                </a:lnTo>
                                <a:lnTo>
                                  <a:pt x="717359" y="141058"/>
                                </a:lnTo>
                                <a:lnTo>
                                  <a:pt x="724763" y="148132"/>
                                </a:lnTo>
                                <a:lnTo>
                                  <a:pt x="729399" y="157391"/>
                                </a:lnTo>
                                <a:lnTo>
                                  <a:pt x="730999" y="169291"/>
                                </a:lnTo>
                                <a:lnTo>
                                  <a:pt x="730999" y="0"/>
                                </a:lnTo>
                                <a:lnTo>
                                  <a:pt x="568540" y="0"/>
                                </a:lnTo>
                                <a:lnTo>
                                  <a:pt x="568540" y="74663"/>
                                </a:lnTo>
                                <a:lnTo>
                                  <a:pt x="568540" y="202946"/>
                                </a:lnTo>
                                <a:lnTo>
                                  <a:pt x="562673" y="208203"/>
                                </a:lnTo>
                                <a:lnTo>
                                  <a:pt x="547014" y="208203"/>
                                </a:lnTo>
                                <a:lnTo>
                                  <a:pt x="541134" y="202946"/>
                                </a:lnTo>
                                <a:lnTo>
                                  <a:pt x="541134" y="173507"/>
                                </a:lnTo>
                                <a:lnTo>
                                  <a:pt x="541134" y="125133"/>
                                </a:lnTo>
                                <a:lnTo>
                                  <a:pt x="516699" y="166141"/>
                                </a:lnTo>
                                <a:lnTo>
                                  <a:pt x="513753" y="170345"/>
                                </a:lnTo>
                                <a:lnTo>
                                  <a:pt x="509828" y="173507"/>
                                </a:lnTo>
                                <a:lnTo>
                                  <a:pt x="500049" y="173507"/>
                                </a:lnTo>
                                <a:lnTo>
                                  <a:pt x="496112" y="170345"/>
                                </a:lnTo>
                                <a:lnTo>
                                  <a:pt x="493217" y="166141"/>
                                </a:lnTo>
                                <a:lnTo>
                                  <a:pt x="468744" y="126187"/>
                                </a:lnTo>
                                <a:lnTo>
                                  <a:pt x="468744" y="202946"/>
                                </a:lnTo>
                                <a:lnTo>
                                  <a:pt x="462864" y="208203"/>
                                </a:lnTo>
                                <a:lnTo>
                                  <a:pt x="447205" y="208203"/>
                                </a:lnTo>
                                <a:lnTo>
                                  <a:pt x="441325" y="202946"/>
                                </a:lnTo>
                                <a:lnTo>
                                  <a:pt x="441325" y="74663"/>
                                </a:lnTo>
                                <a:lnTo>
                                  <a:pt x="449160" y="70459"/>
                                </a:lnTo>
                                <a:lnTo>
                                  <a:pt x="463854" y="70459"/>
                                </a:lnTo>
                                <a:lnTo>
                                  <a:pt x="468744" y="72567"/>
                                </a:lnTo>
                                <a:lnTo>
                                  <a:pt x="471678" y="78879"/>
                                </a:lnTo>
                                <a:lnTo>
                                  <a:pt x="504939" y="136702"/>
                                </a:lnTo>
                                <a:lnTo>
                                  <a:pt x="538124" y="79057"/>
                                </a:lnTo>
                                <a:lnTo>
                                  <a:pt x="542124" y="72567"/>
                                </a:lnTo>
                                <a:lnTo>
                                  <a:pt x="547014" y="70459"/>
                                </a:lnTo>
                                <a:lnTo>
                                  <a:pt x="560717" y="70459"/>
                                </a:lnTo>
                                <a:lnTo>
                                  <a:pt x="568540" y="74663"/>
                                </a:lnTo>
                                <a:lnTo>
                                  <a:pt x="568540" y="0"/>
                                </a:lnTo>
                                <a:lnTo>
                                  <a:pt x="399249" y="0"/>
                                </a:lnTo>
                                <a:lnTo>
                                  <a:pt x="399249" y="192430"/>
                                </a:lnTo>
                                <a:lnTo>
                                  <a:pt x="399249" y="202946"/>
                                </a:lnTo>
                                <a:lnTo>
                                  <a:pt x="392417" y="208203"/>
                                </a:lnTo>
                                <a:lnTo>
                                  <a:pt x="379704" y="208203"/>
                                </a:lnTo>
                                <a:lnTo>
                                  <a:pt x="374777" y="205041"/>
                                </a:lnTo>
                                <a:lnTo>
                                  <a:pt x="372833" y="199783"/>
                                </a:lnTo>
                                <a:lnTo>
                                  <a:pt x="363054" y="176657"/>
                                </a:lnTo>
                                <a:lnTo>
                                  <a:pt x="307276" y="176657"/>
                                </a:lnTo>
                                <a:lnTo>
                                  <a:pt x="298462" y="199783"/>
                                </a:lnTo>
                                <a:lnTo>
                                  <a:pt x="296672" y="204597"/>
                                </a:lnTo>
                                <a:lnTo>
                                  <a:pt x="296608" y="204787"/>
                                </a:lnTo>
                                <a:lnTo>
                                  <a:pt x="296506" y="205041"/>
                                </a:lnTo>
                                <a:lnTo>
                                  <a:pt x="292595" y="208203"/>
                                </a:lnTo>
                                <a:lnTo>
                                  <a:pt x="278892" y="208203"/>
                                </a:lnTo>
                                <a:lnTo>
                                  <a:pt x="273024" y="202946"/>
                                </a:lnTo>
                                <a:lnTo>
                                  <a:pt x="273024" y="192430"/>
                                </a:lnTo>
                                <a:lnTo>
                                  <a:pt x="274980" y="188226"/>
                                </a:lnTo>
                                <a:lnTo>
                                  <a:pt x="319011" y="80975"/>
                                </a:lnTo>
                                <a:lnTo>
                                  <a:pt x="321945" y="73609"/>
                                </a:lnTo>
                                <a:lnTo>
                                  <a:pt x="324878" y="71513"/>
                                </a:lnTo>
                                <a:lnTo>
                                  <a:pt x="327825" y="69405"/>
                                </a:lnTo>
                                <a:lnTo>
                                  <a:pt x="344462" y="69405"/>
                                </a:lnTo>
                                <a:lnTo>
                                  <a:pt x="350342" y="73609"/>
                                </a:lnTo>
                                <a:lnTo>
                                  <a:pt x="353275" y="80975"/>
                                </a:lnTo>
                                <a:lnTo>
                                  <a:pt x="397306" y="188226"/>
                                </a:lnTo>
                                <a:lnTo>
                                  <a:pt x="398297" y="190322"/>
                                </a:lnTo>
                                <a:lnTo>
                                  <a:pt x="399249" y="192430"/>
                                </a:lnTo>
                                <a:lnTo>
                                  <a:pt x="399249" y="0"/>
                                </a:lnTo>
                                <a:lnTo>
                                  <a:pt x="235839" y="0"/>
                                </a:lnTo>
                                <a:lnTo>
                                  <a:pt x="235839" y="116725"/>
                                </a:lnTo>
                                <a:lnTo>
                                  <a:pt x="234022" y="130390"/>
                                </a:lnTo>
                                <a:lnTo>
                                  <a:pt x="233921" y="131114"/>
                                </a:lnTo>
                                <a:lnTo>
                                  <a:pt x="228625" y="142748"/>
                                </a:lnTo>
                                <a:lnTo>
                                  <a:pt x="220560" y="151612"/>
                                </a:lnTo>
                                <a:lnTo>
                                  <a:pt x="210388" y="157734"/>
                                </a:lnTo>
                                <a:lnTo>
                                  <a:pt x="228981" y="182968"/>
                                </a:lnTo>
                                <a:lnTo>
                                  <a:pt x="231927" y="186118"/>
                                </a:lnTo>
                                <a:lnTo>
                                  <a:pt x="233794" y="189141"/>
                                </a:lnTo>
                                <a:lnTo>
                                  <a:pt x="233883" y="202946"/>
                                </a:lnTo>
                                <a:lnTo>
                                  <a:pt x="227025" y="208203"/>
                                </a:lnTo>
                                <a:lnTo>
                                  <a:pt x="213334" y="208203"/>
                                </a:lnTo>
                                <a:lnTo>
                                  <a:pt x="206476" y="200837"/>
                                </a:lnTo>
                                <a:lnTo>
                                  <a:pt x="180060" y="164045"/>
                                </a:lnTo>
                                <a:lnTo>
                                  <a:pt x="157556" y="164045"/>
                                </a:lnTo>
                                <a:lnTo>
                                  <a:pt x="157556" y="202946"/>
                                </a:lnTo>
                                <a:lnTo>
                                  <a:pt x="151676" y="208203"/>
                                </a:lnTo>
                                <a:lnTo>
                                  <a:pt x="135039" y="208203"/>
                                </a:lnTo>
                                <a:lnTo>
                                  <a:pt x="130149" y="202946"/>
                                </a:lnTo>
                                <a:lnTo>
                                  <a:pt x="130149" y="76771"/>
                                </a:lnTo>
                                <a:lnTo>
                                  <a:pt x="135039" y="71513"/>
                                </a:lnTo>
                                <a:lnTo>
                                  <a:pt x="187883" y="71513"/>
                                </a:lnTo>
                                <a:lnTo>
                                  <a:pt x="225069" y="85178"/>
                                </a:lnTo>
                                <a:lnTo>
                                  <a:pt x="235839" y="116725"/>
                                </a:lnTo>
                                <a:lnTo>
                                  <a:pt x="235839" y="0"/>
                                </a:lnTo>
                                <a:lnTo>
                                  <a:pt x="54800" y="0"/>
                                </a:lnTo>
                                <a:lnTo>
                                  <a:pt x="30137" y="3416"/>
                                </a:lnTo>
                                <a:lnTo>
                                  <a:pt x="13093" y="13944"/>
                                </a:lnTo>
                                <a:lnTo>
                                  <a:pt x="3200" y="31953"/>
                                </a:lnTo>
                                <a:lnTo>
                                  <a:pt x="0" y="57848"/>
                                </a:lnTo>
                                <a:lnTo>
                                  <a:pt x="0" y="226072"/>
                                </a:lnTo>
                                <a:lnTo>
                                  <a:pt x="3200" y="252577"/>
                                </a:lnTo>
                                <a:lnTo>
                                  <a:pt x="13093" y="270891"/>
                                </a:lnTo>
                                <a:lnTo>
                                  <a:pt x="30137" y="281520"/>
                                </a:lnTo>
                                <a:lnTo>
                                  <a:pt x="54800" y="284949"/>
                                </a:lnTo>
                                <a:lnTo>
                                  <a:pt x="1223200" y="284949"/>
                                </a:lnTo>
                                <a:lnTo>
                                  <a:pt x="1247305" y="281520"/>
                                </a:lnTo>
                                <a:lnTo>
                                  <a:pt x="1264056" y="270891"/>
                                </a:lnTo>
                                <a:lnTo>
                                  <a:pt x="1273848" y="252577"/>
                                </a:lnTo>
                                <a:lnTo>
                                  <a:pt x="1277035" y="226072"/>
                                </a:lnTo>
                                <a:lnTo>
                                  <a:pt x="1277035" y="210299"/>
                                </a:lnTo>
                                <a:lnTo>
                                  <a:pt x="1277035" y="207149"/>
                                </a:lnTo>
                                <a:lnTo>
                                  <a:pt x="1277035" y="70459"/>
                                </a:lnTo>
                                <a:lnTo>
                                  <a:pt x="1277035" y="57848"/>
                                </a:lnTo>
                                <a:close/>
                              </a:path>
                              <a:path w="2153920" h="285115">
                                <a:moveTo>
                                  <a:pt x="2153818" y="198742"/>
                                </a:moveTo>
                                <a:lnTo>
                                  <a:pt x="2151875" y="196634"/>
                                </a:lnTo>
                                <a:lnTo>
                                  <a:pt x="2149919" y="196634"/>
                                </a:lnTo>
                                <a:lnTo>
                                  <a:pt x="2147938" y="196634"/>
                                </a:lnTo>
                                <a:lnTo>
                                  <a:pt x="2145995" y="198742"/>
                                </a:lnTo>
                                <a:lnTo>
                                  <a:pt x="2145995" y="203987"/>
                                </a:lnTo>
                                <a:lnTo>
                                  <a:pt x="2147938" y="206095"/>
                                </a:lnTo>
                                <a:lnTo>
                                  <a:pt x="2151875" y="206095"/>
                                </a:lnTo>
                                <a:lnTo>
                                  <a:pt x="2153818" y="203987"/>
                                </a:lnTo>
                                <a:lnTo>
                                  <a:pt x="2153818" y="198742"/>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F92E9BD" id="Group 1" o:spid="_x0000_s1026" style="position:absolute;left:0;text-align:left;margin-left:0;margin-top:0;width:594.1pt;height:841.95pt;z-index:-251629568;mso-wrap-distance-left:0;mso-wrap-distance-right:0;mso-position-horizontal-relative:page;mso-position-vertical-relative:page" coordsize="75450,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445;height:10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">
                  <v:imagedata r:id="rId10" o:title=""/>
                </v:shape>
                <v:shape id="Graphic 3" o:spid="_x0000_s1028" style="position:absolute;top:63512;width:54267;height:43415;visibility:visible;mso-wrap-style:square;v-text-anchor:top" coordsize="5426710,43414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" adj="-11796480,,5400" path="m5426710,831202r-2519045,l2907665,,,,,831202,,4340847r,254l2907665,4341101r,-254l5426710,4340847r,-3509645xe" fillcolor="#009def" stroked="f">
                  <v:stroke joinstyle="miter"/>
                  <v:formulas/>
                  <v:path arrowok="t" o:connecttype="custom" textboxrect="0,0,5426710,4341495"/>
                  <v:textbox inset="0,0,0,0">
                    <w:txbxContent>
                      <w:p w14:paraId="38D0F881" w14:textId="77777777" w:rsidR="00671380" w:rsidRDefault="00671380" w:rsidP="00671380">
                        <w:pPr>
                          <w:jc w:val="center"/>
                        </w:pPr>
                      </w:p>
                      <w:p w14:paraId="26B20641" w14:textId="77777777" w:rsidR="00671380" w:rsidRDefault="00671380" w:rsidP="00671380">
                        <w:pPr>
                          <w:jc w:val="center"/>
                        </w:pPr>
                      </w:p>
                      <w:p w14:paraId="16A14870" w14:textId="77777777" w:rsidR="00671380" w:rsidRDefault="00671380" w:rsidP="00671380">
                        <w:pPr>
                          <w:jc w:val="center"/>
                        </w:pPr>
                      </w:p>
                      <w:p w14:paraId="63F4F130" w14:textId="77777777" w:rsidR="00671380" w:rsidRDefault="00671380" w:rsidP="00671380">
                        <w:pPr>
                          <w:jc w:val="center"/>
                        </w:pPr>
                      </w:p>
                      <w:p w14:paraId="0C6AA005" w14:textId="77777777" w:rsidR="00671380" w:rsidRDefault="00671380" w:rsidP="00671380">
                        <w:pPr>
                          <w:jc w:val="center"/>
                        </w:pPr>
                      </w:p>
                      <w:p w14:paraId="44D64213" w14:textId="77777777" w:rsidR="00671380" w:rsidRPr="00671380" w:rsidRDefault="00671380" w:rsidP="00671380">
                        <w:pPr>
                          <w:jc w:val="center"/>
                          <w:rPr>
                            <w:rFonts w:ascii="Verdana" w:hAnsi="Verdana"/>
                          </w:rPr>
                        </w:pPr>
                      </w:p>
                      <w:p w14:paraId="2F639728" w14:textId="78BCFE1B" w:rsidR="00671380" w:rsidRPr="00671380" w:rsidRDefault="00671380" w:rsidP="00671380">
                        <w:pPr>
                          <w:jc w:val="both"/>
                          <w:rPr>
                            <w:rFonts w:ascii="Verdana" w:hAnsi="Verdana"/>
                          </w:rPr>
                        </w:pPr>
                        <w:r w:rsidRPr="00671380">
                          <w:rPr>
                            <w:rFonts w:ascii="Verdana" w:hAnsi="Verdana"/>
                          </w:rPr>
                          <w:t xml:space="preserve">    </w:t>
                        </w:r>
                        <w:r w:rsidRPr="00671380">
                          <w:rPr>
                            <w:rFonts w:ascii="Verdana" w:hAnsi="Verdana"/>
                          </w:rPr>
                          <w:tab/>
                          <w:t>ENVIRONMENTAL IMPACT REPORT</w:t>
                        </w:r>
                      </w:p>
                      <w:p w14:paraId="1AAAB818" w14:textId="290B3D9C" w:rsidR="00671380" w:rsidRPr="00671380" w:rsidRDefault="00671380" w:rsidP="00671380">
                        <w:pPr>
                          <w:ind w:left="720"/>
                          <w:jc w:val="both"/>
                          <w:rPr>
                            <w:rFonts w:ascii="Verdana" w:hAnsi="Verdana"/>
                          </w:rPr>
                        </w:pPr>
                        <w:r w:rsidRPr="00671380">
                          <w:rPr>
                            <w:rFonts w:ascii="Verdana" w:hAnsi="Verdana"/>
                          </w:rPr>
                          <w:t>Wind Energy Park 48 (46) Wind Farms approx. 316.8MW (303.6MW), Transformer Stations,</w:t>
                        </w:r>
                        <w:r>
                          <w:rPr>
                            <w:rFonts w:ascii="Verdana" w:hAnsi="Verdana"/>
                          </w:rPr>
                          <w:t xml:space="preserve"> </w:t>
                        </w:r>
                        <w:r w:rsidRPr="00671380">
                          <w:rPr>
                            <w:rFonts w:ascii="Verdana" w:hAnsi="Verdana"/>
                          </w:rPr>
                          <w:t>Electrical Connection Networks, Construction and Modernization of Communication and Access Routes</w:t>
                        </w:r>
                      </w:p>
                      <w:p w14:paraId="22652D0A" w14:textId="77777777" w:rsidR="00671380" w:rsidRPr="00671380" w:rsidRDefault="00671380" w:rsidP="00671380">
                        <w:pPr>
                          <w:ind w:left="270"/>
                          <w:rPr>
                            <w:rFonts w:ascii="Verdana" w:hAnsi="Verdana"/>
                          </w:rPr>
                        </w:pPr>
                      </w:p>
                      <w:p w14:paraId="7A2CB2B6" w14:textId="1E7D9494" w:rsidR="00671380" w:rsidRPr="00671380" w:rsidRDefault="00671380" w:rsidP="00671380">
                        <w:pPr>
                          <w:ind w:left="270" w:firstLine="450"/>
                          <w:rPr>
                            <w:rFonts w:ascii="Verdana" w:hAnsi="Verdana"/>
                          </w:rPr>
                        </w:pPr>
                        <w:r w:rsidRPr="00671380">
                          <w:rPr>
                            <w:rFonts w:ascii="Verdana" w:hAnsi="Verdana"/>
                          </w:rPr>
                          <w:t>loc. Cerchezu, Constanța County</w:t>
                        </w:r>
                      </w:p>
                    </w:txbxContent>
                  </v:textbox>
                </v:shape>
                <v:shape id="Image 4" o:spid="_x0000_s1029" type="#_x0000_t75" style="position:absolute;left:17599;top:64911;width:7299;height: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">
                  <v:imagedata r:id="rId11" o:title=""/>
                </v:shape>
                <v:shape id="Graphic 5" o:spid="_x0000_s1030" style="position:absolute;left:3527;top:64260;width:21539;height:2851;visibility:visible;mso-wrap-style:square;v-text-anchor:top" coordsize="2153920,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" path="m207454,117779r-1587,-8445l201345,103060r-7099,-3912l184950,97802r-27394,l157556,137756r28372,l195072,136258r6756,-4153l206019,125780r1435,-8001xem353275,150368l335648,105156r-17615,45212l353275,150368xem695769,102006r-5880,-4204l649757,97802r,28385l687933,126187r7836,-4204l695769,102006xem703592,166141r-1295,-6287l698334,155232r-6705,-2845l682053,151422r-32296,l649757,180860r46012,l703592,176657r,-10516xem1277035,57848r-3187,-25895l1264056,13944,1247305,3416,1223200,r-48908,l1174292,185064r,16827l1169403,207149r-81255,l1082306,201891r,-126174l1088148,70459r15659,l1109687,75717r,104089l1169403,179806r4889,5258l1174292,,1045121,r,185064l1045121,201891r-4890,5258l958989,207149r-5854,-5258l953135,107264r,-31547l958989,70459r15647,l980516,75717r,104089l1040231,179806r4890,5258l1045121,,953135,,836688,150368r-4915,-2096l842530,96748r-4889,l822198,100063r-12053,9042l802297,122478r-2794,16333l802208,155232r89,508l810069,169291r76,139l819658,176657r2616,1943l837641,181914r15468,-3314l865187,169557r7836,-13373l874026,150368r1804,-10516l875830,134594r-991,-4204l873874,127241r24447,-19977l904925,134594r102,1664l905116,137756r76,1055l900176,166141r-39,254l886091,189141r-21387,15456l837641,210299r-10275,-2096l822223,207149r-11557,-2362l810361,204597,789216,189661,775182,167271r-5042,-27419l770140,138811r5042,-26988l789216,89382,810590,74041r12039,-2528l827633,70459r5017,-1054l837641,68364r3937,l845477,69405r2933,l848652,68364,864069,,730999,r,169291l727633,185851r-9601,11837l702932,204787r-19888,2362l629221,207149r-5880,-5258l623341,76771r5880,-5258l682053,71513r10744,800l692480,72313r8788,2223l708901,78168r6451,4915l721194,89382r2934,8420l724077,106616r-16586,29032l717359,141058r7404,7074l729399,157391r1600,11900l730999,,568540,r,74663l568540,202946r-5867,5257l547014,208203r-5880,-5257l541134,173507r,-48374l516699,166141r-2946,4204l509828,173507r-9779,l496112,170345r-2895,-4204l468744,126187r,76759l462864,208203r-15659,l441325,202946r,-128283l449160,70459r14694,l468744,72567r2934,6312l504939,136702,538124,79057r4000,-6490l547014,70459r13703,l568540,74663,568540,,399249,r,192430l399249,202946r-6832,5257l379704,208203r-4927,-3162l372833,199783r-9779,-23126l307276,176657r-8814,23126l296672,204597r-64,190l296506,205041r-3911,3162l278892,208203r-5868,-5257l273024,192430r1956,-4204l319011,80975r2934,-7366l324878,71513r2947,-2108l344462,69405r5880,4204l353275,80975r44031,107251l398297,190322r952,2108l399249,,235839,r,116725l234022,130390r-101,724l228625,142748r-8065,8864l210388,157734r18593,25234l231927,186118r1867,3023l233883,202946r-6858,5257l213334,208203r-6858,-7366l180060,164045r-22504,l157556,202946r-5880,5257l135039,208203r-4890,-5257l130149,76771r4890,-5258l187883,71513r37186,13665l235839,116725,235839,,54800,,30137,3416,13093,13944,3200,31953,,57848,,226072r3200,26505l13093,270891r17044,10629l54800,284949r1168400,l1247305,281520r16751,-10629l1273848,252577r3187,-26505l1277035,210299r,-3150l1277035,70459r,-12611xem2153818,198742r-1943,-2108l2149919,196634r-1981,l2145995,198742r,5245l2147938,206095r3937,l2153818,203987r,-5245xe" stroked="f">
                  <v:path arrowok="t"/>
                </v:shape>
                <w10:wrap anchorx="page" anchory="page"/>
              </v:group>
            </w:pict>
          </mc:Fallback>
        </mc:AlternateContent>
      </w:r>
      <w:r w:rsidRPr="00EC75B7">
        <w:rPr>
          <w:rFonts w:ascii="Verdana" w:hAnsi="Verdana"/>
          <w:noProof/>
          <w:sz w:val="18"/>
          <w:szCs w:val="18"/>
        </w:rPr>
        <mc:AlternateContent>
          <mc:Choice Requires="wps">
            <w:drawing>
              <wp:inline distT="0" distB="0" distL="0" distR="0" wp14:anchorId="38606232" wp14:editId="64A3F333">
                <wp:extent cx="3886200" cy="1352550"/>
                <wp:effectExtent l="0" t="0" r="0" b="0"/>
                <wp:docPr id="6" name="Textbox 6"/>
                <wp:cNvGraphicFramePr/>
                <a:graphic xmlns:a="http://schemas.openxmlformats.org/drawingml/2006/main">
                  <a:graphicData uri="http://schemas.microsoft.com/office/word/2010/wordprocessingShape">
                    <wps:wsp>
                      <wps:cNvSpPr txBox="1"/>
                      <wps:spPr>
                        <a:xfrm>
                          <a:off x="0" y="0"/>
                          <a:ext cx="3886200" cy="1352550"/>
                        </a:xfrm>
                        <a:prstGeom prst="rect">
                          <a:avLst/>
                        </a:prstGeom>
                        <a:solidFill>
                          <a:srgbClr val="F8F8F8">
                            <a:alpha val="65881"/>
                          </a:srgbClr>
                        </a:solidFill>
                      </wps:spPr>
                      <wps:txbx>
                        <w:txbxContent>
                          <w:p w14:paraId="3D045315" w14:textId="77777777" w:rsidR="008715BE" w:rsidRPr="00351101" w:rsidRDefault="00000000">
                            <w:pPr>
                              <w:spacing w:before="86"/>
                              <w:ind w:left="148"/>
                              <w:rPr>
                                <w:rFonts w:ascii="Verdana" w:hAnsi="Verdana"/>
                                <w:color w:val="000000"/>
                                <w:sz w:val="18"/>
                                <w:szCs w:val="18"/>
                              </w:rPr>
                            </w:pPr>
                            <w:r w:rsidRPr="00351101">
                              <w:rPr>
                                <w:rFonts w:ascii="Verdana" w:hAnsi="Verdana"/>
                                <w:color w:val="000000"/>
                                <w:spacing w:val="-2"/>
                                <w:w w:val="125"/>
                                <w:sz w:val="18"/>
                                <w:szCs w:val="18"/>
                              </w:rPr>
                              <w:t>Beneficiary:</w:t>
                            </w:r>
                          </w:p>
                          <w:p w14:paraId="69F42E8F" w14:textId="5C013059" w:rsidR="008715BE" w:rsidRPr="00351101" w:rsidRDefault="00000000">
                            <w:pPr>
                              <w:spacing w:before="64"/>
                              <w:ind w:left="148"/>
                              <w:rPr>
                                <w:rFonts w:ascii="Verdana" w:hAnsi="Verdana"/>
                                <w:b/>
                                <w:color w:val="000000"/>
                                <w:sz w:val="18"/>
                                <w:szCs w:val="18"/>
                              </w:rPr>
                            </w:pPr>
                            <w:r w:rsidRPr="00351101">
                              <w:rPr>
                                <w:rFonts w:ascii="Verdana" w:hAnsi="Verdana"/>
                                <w:b/>
                                <w:color w:val="000000"/>
                                <w:w w:val="135"/>
                                <w:sz w:val="18"/>
                                <w:szCs w:val="18"/>
                              </w:rPr>
                              <w:t xml:space="preserve">South Wind </w:t>
                            </w:r>
                            <w:r w:rsidRPr="00351101">
                              <w:rPr>
                                <w:rFonts w:ascii="Verdana" w:hAnsi="Verdana"/>
                                <w:b/>
                                <w:color w:val="000000"/>
                                <w:spacing w:val="-5"/>
                                <w:w w:val="135"/>
                                <w:sz w:val="18"/>
                                <w:szCs w:val="18"/>
                              </w:rPr>
                              <w:t>SRL</w:t>
                            </w:r>
                          </w:p>
                          <w:p w14:paraId="57AB0D4C" w14:textId="77777777" w:rsidR="008715BE" w:rsidRPr="00351101" w:rsidRDefault="00000000">
                            <w:pPr>
                              <w:spacing w:before="194"/>
                              <w:ind w:left="148"/>
                              <w:rPr>
                                <w:rFonts w:ascii="Verdana" w:hAnsi="Verdana"/>
                                <w:color w:val="000000"/>
                                <w:sz w:val="18"/>
                                <w:szCs w:val="18"/>
                              </w:rPr>
                            </w:pPr>
                            <w:r w:rsidRPr="00351101">
                              <w:rPr>
                                <w:rFonts w:ascii="Verdana" w:hAnsi="Verdana"/>
                                <w:color w:val="000000"/>
                                <w:spacing w:val="-2"/>
                                <w:w w:val="125"/>
                                <w:sz w:val="18"/>
                                <w:szCs w:val="18"/>
                              </w:rPr>
                              <w:t xml:space="preserve">Report </w:t>
                            </w:r>
                            <w:r w:rsidRPr="00351101">
                              <w:rPr>
                                <w:rFonts w:ascii="Verdana" w:hAnsi="Verdana"/>
                                <w:color w:val="000000"/>
                                <w:w w:val="125"/>
                                <w:sz w:val="18"/>
                                <w:szCs w:val="18"/>
                              </w:rPr>
                              <w:t>title</w:t>
                            </w:r>
                            <w:r w:rsidRPr="00351101">
                              <w:rPr>
                                <w:rFonts w:ascii="Verdana" w:hAnsi="Verdana"/>
                                <w:color w:val="000000"/>
                                <w:spacing w:val="-2"/>
                                <w:w w:val="125"/>
                                <w:sz w:val="18"/>
                                <w:szCs w:val="18"/>
                              </w:rPr>
                              <w:t>:</w:t>
                            </w:r>
                          </w:p>
                          <w:p w14:paraId="582A0548" w14:textId="77777777" w:rsidR="008715BE" w:rsidRPr="00351101" w:rsidRDefault="00000000">
                            <w:pPr>
                              <w:spacing w:before="119"/>
                              <w:ind w:left="148"/>
                              <w:rPr>
                                <w:rFonts w:ascii="Verdana" w:hAnsi="Verdana"/>
                                <w:b/>
                                <w:color w:val="000000"/>
                                <w:sz w:val="18"/>
                                <w:szCs w:val="18"/>
                              </w:rPr>
                            </w:pPr>
                            <w:r w:rsidRPr="00351101">
                              <w:rPr>
                                <w:rFonts w:ascii="Verdana" w:hAnsi="Verdana"/>
                                <w:b/>
                                <w:color w:val="000000"/>
                                <w:spacing w:val="-2"/>
                                <w:w w:val="135"/>
                                <w:sz w:val="18"/>
                                <w:szCs w:val="18"/>
                              </w:rPr>
                              <w:t xml:space="preserve">Environmental </w:t>
                            </w:r>
                            <w:r w:rsidRPr="00351101">
                              <w:rPr>
                                <w:rFonts w:ascii="Verdana" w:hAnsi="Verdana"/>
                                <w:b/>
                                <w:color w:val="000000"/>
                                <w:w w:val="135"/>
                                <w:sz w:val="18"/>
                                <w:szCs w:val="18"/>
                              </w:rPr>
                              <w:t>Impact Report</w:t>
                            </w:r>
                          </w:p>
                          <w:p w14:paraId="5F1991D7" w14:textId="77777777" w:rsidR="008715BE" w:rsidRPr="00351101" w:rsidRDefault="00000000">
                            <w:pPr>
                              <w:spacing w:before="119" w:line="195" w:lineRule="exact"/>
                              <w:ind w:left="148"/>
                              <w:rPr>
                                <w:rFonts w:ascii="Verdana" w:hAnsi="Verdana"/>
                                <w:color w:val="000000"/>
                                <w:sz w:val="18"/>
                                <w:szCs w:val="18"/>
                              </w:rPr>
                            </w:pPr>
                            <w:r w:rsidRPr="00351101">
                              <w:rPr>
                                <w:rFonts w:ascii="Verdana" w:hAnsi="Verdana"/>
                                <w:color w:val="000000"/>
                                <w:spacing w:val="-4"/>
                                <w:w w:val="125"/>
                                <w:sz w:val="18"/>
                                <w:szCs w:val="18"/>
                              </w:rPr>
                              <w:t>Date</w:t>
                            </w:r>
                          </w:p>
                          <w:p w14:paraId="72FCDA84" w14:textId="77777777" w:rsidR="008715BE" w:rsidRPr="00351101" w:rsidRDefault="00000000">
                            <w:pPr>
                              <w:spacing w:line="195" w:lineRule="exact"/>
                              <w:ind w:left="148"/>
                              <w:rPr>
                                <w:rFonts w:ascii="Verdana" w:hAnsi="Verdana"/>
                                <w:b/>
                                <w:color w:val="000000"/>
                                <w:sz w:val="18"/>
                                <w:szCs w:val="18"/>
                              </w:rPr>
                            </w:pPr>
                            <w:r w:rsidRPr="00351101">
                              <w:rPr>
                                <w:rFonts w:ascii="Verdana" w:hAnsi="Verdana"/>
                                <w:b/>
                                <w:color w:val="000000"/>
                                <w:spacing w:val="-2"/>
                                <w:w w:val="135"/>
                                <w:sz w:val="18"/>
                                <w:szCs w:val="18"/>
                              </w:rPr>
                              <w:t>December</w:t>
                            </w:r>
                            <w:r w:rsidRPr="00351101">
                              <w:rPr>
                                <w:rFonts w:ascii="Verdana" w:hAnsi="Verdana"/>
                                <w:b/>
                                <w:color w:val="000000"/>
                                <w:spacing w:val="-4"/>
                                <w:w w:val="135"/>
                                <w:sz w:val="18"/>
                                <w:szCs w:val="18"/>
                              </w:rPr>
                              <w:t xml:space="preserve"> 2025</w:t>
                            </w:r>
                          </w:p>
                        </w:txbxContent>
                      </wps:txbx>
                      <wps:bodyPr wrap="square" lIns="0" tIns="0" rIns="0" bIns="0" rtlCol="0"/>
                    </wps:wsp>
                  </a:graphicData>
                </a:graphic>
              </wp:inline>
            </w:drawing>
          </mc:Choice>
          <mc:Fallback>
            <w:pict>
              <v:shapetype w14:anchorId="38606232" id="_x0000_t202" coordsize="21600,21600" o:spt="202" path="m,l,21600r21600,l21600,xe">
                <v:stroke joinstyle="miter"/>
                <v:path gradientshapeok="t" o:connecttype="rect"/>
              </v:shapetype>
              <v:shape id="Textbox 6" o:spid="_x0000_s1031" type="#_x0000_t202" style="width:306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" fillcolor="#f8f8f8" stroked="f">
                <v:fill opacity="43176f"/>
                <v:textbox inset="0,0,0,0">
                  <w:txbxContent>
                    <w:p w14:paraId="3D045315" w14:textId="77777777" w:rsidR="008715BE" w:rsidRPr="00351101" w:rsidRDefault="00000000">
                      <w:pPr>
                        <w:spacing w:before="86"/>
                        <w:ind w:left="148"/>
                        <w:rPr>
                          <w:rFonts w:ascii="Verdana" w:hAnsi="Verdana"/>
                          <w:color w:val="000000"/>
                          <w:sz w:val="18"/>
                          <w:szCs w:val="18"/>
                        </w:rPr>
                      </w:pPr>
                      <w:r w:rsidRPr="00351101">
                        <w:rPr>
                          <w:rFonts w:ascii="Verdana" w:hAnsi="Verdana"/>
                          <w:color w:val="000000"/>
                          <w:spacing w:val="-2"/>
                          <w:w w:val="125"/>
                          <w:sz w:val="18"/>
                          <w:szCs w:val="18"/>
                        </w:rPr>
                        <w:t>Beneficiary:</w:t>
                      </w:r>
                    </w:p>
                    <w:p w14:paraId="69F42E8F" w14:textId="5C013059" w:rsidR="008715BE" w:rsidRPr="00351101" w:rsidRDefault="00000000">
                      <w:pPr>
                        <w:spacing w:before="64"/>
                        <w:ind w:left="148"/>
                        <w:rPr>
                          <w:rFonts w:ascii="Verdana" w:hAnsi="Verdana"/>
                          <w:b/>
                          <w:color w:val="000000"/>
                          <w:sz w:val="18"/>
                          <w:szCs w:val="18"/>
                        </w:rPr>
                      </w:pPr>
                      <w:r w:rsidRPr="00351101">
                        <w:rPr>
                          <w:rFonts w:ascii="Verdana" w:hAnsi="Verdana"/>
                          <w:b/>
                          <w:color w:val="000000"/>
                          <w:w w:val="135"/>
                          <w:sz w:val="18"/>
                          <w:szCs w:val="18"/>
                        </w:rPr>
                        <w:t xml:space="preserve">South Wind </w:t>
                      </w:r>
                      <w:r w:rsidRPr="00351101">
                        <w:rPr>
                          <w:rFonts w:ascii="Verdana" w:hAnsi="Verdana"/>
                          <w:b/>
                          <w:color w:val="000000"/>
                          <w:spacing w:val="-5"/>
                          <w:w w:val="135"/>
                          <w:sz w:val="18"/>
                          <w:szCs w:val="18"/>
                        </w:rPr>
                        <w:t>SRL</w:t>
                      </w:r>
                    </w:p>
                    <w:p w14:paraId="57AB0D4C" w14:textId="77777777" w:rsidR="008715BE" w:rsidRPr="00351101" w:rsidRDefault="00000000">
                      <w:pPr>
                        <w:spacing w:before="194"/>
                        <w:ind w:left="148"/>
                        <w:rPr>
                          <w:rFonts w:ascii="Verdana" w:hAnsi="Verdana"/>
                          <w:color w:val="000000"/>
                          <w:sz w:val="18"/>
                          <w:szCs w:val="18"/>
                        </w:rPr>
                      </w:pPr>
                      <w:r w:rsidRPr="00351101">
                        <w:rPr>
                          <w:rFonts w:ascii="Verdana" w:hAnsi="Verdana"/>
                          <w:color w:val="000000"/>
                          <w:spacing w:val="-2"/>
                          <w:w w:val="125"/>
                          <w:sz w:val="18"/>
                          <w:szCs w:val="18"/>
                        </w:rPr>
                        <w:t xml:space="preserve">Report </w:t>
                      </w:r>
                      <w:r w:rsidRPr="00351101">
                        <w:rPr>
                          <w:rFonts w:ascii="Verdana" w:hAnsi="Verdana"/>
                          <w:color w:val="000000"/>
                          <w:w w:val="125"/>
                          <w:sz w:val="18"/>
                          <w:szCs w:val="18"/>
                        </w:rPr>
                        <w:t>title</w:t>
                      </w:r>
                      <w:r w:rsidRPr="00351101">
                        <w:rPr>
                          <w:rFonts w:ascii="Verdana" w:hAnsi="Verdana"/>
                          <w:color w:val="000000"/>
                          <w:spacing w:val="-2"/>
                          <w:w w:val="125"/>
                          <w:sz w:val="18"/>
                          <w:szCs w:val="18"/>
                        </w:rPr>
                        <w:t>:</w:t>
                      </w:r>
                    </w:p>
                    <w:p w14:paraId="582A0548" w14:textId="77777777" w:rsidR="008715BE" w:rsidRPr="00351101" w:rsidRDefault="00000000">
                      <w:pPr>
                        <w:spacing w:before="119"/>
                        <w:ind w:left="148"/>
                        <w:rPr>
                          <w:rFonts w:ascii="Verdana" w:hAnsi="Verdana"/>
                          <w:b/>
                          <w:color w:val="000000"/>
                          <w:sz w:val="18"/>
                          <w:szCs w:val="18"/>
                        </w:rPr>
                      </w:pPr>
                      <w:r w:rsidRPr="00351101">
                        <w:rPr>
                          <w:rFonts w:ascii="Verdana" w:hAnsi="Verdana"/>
                          <w:b/>
                          <w:color w:val="000000"/>
                          <w:spacing w:val="-2"/>
                          <w:w w:val="135"/>
                          <w:sz w:val="18"/>
                          <w:szCs w:val="18"/>
                        </w:rPr>
                        <w:t xml:space="preserve">Environmental </w:t>
                      </w:r>
                      <w:r w:rsidRPr="00351101">
                        <w:rPr>
                          <w:rFonts w:ascii="Verdana" w:hAnsi="Verdana"/>
                          <w:b/>
                          <w:color w:val="000000"/>
                          <w:w w:val="135"/>
                          <w:sz w:val="18"/>
                          <w:szCs w:val="18"/>
                        </w:rPr>
                        <w:t>Impact Report</w:t>
                      </w:r>
                    </w:p>
                    <w:p w14:paraId="5F1991D7" w14:textId="77777777" w:rsidR="008715BE" w:rsidRPr="00351101" w:rsidRDefault="00000000">
                      <w:pPr>
                        <w:spacing w:before="119" w:line="195" w:lineRule="exact"/>
                        <w:ind w:left="148"/>
                        <w:rPr>
                          <w:rFonts w:ascii="Verdana" w:hAnsi="Verdana"/>
                          <w:color w:val="000000"/>
                          <w:sz w:val="18"/>
                          <w:szCs w:val="18"/>
                        </w:rPr>
                      </w:pPr>
                      <w:r w:rsidRPr="00351101">
                        <w:rPr>
                          <w:rFonts w:ascii="Verdana" w:hAnsi="Verdana"/>
                          <w:color w:val="000000"/>
                          <w:spacing w:val="-4"/>
                          <w:w w:val="125"/>
                          <w:sz w:val="18"/>
                          <w:szCs w:val="18"/>
                        </w:rPr>
                        <w:t>Date</w:t>
                      </w:r>
                    </w:p>
                    <w:p w14:paraId="72FCDA84" w14:textId="77777777" w:rsidR="008715BE" w:rsidRPr="00351101" w:rsidRDefault="00000000">
                      <w:pPr>
                        <w:spacing w:line="195" w:lineRule="exact"/>
                        <w:ind w:left="148"/>
                        <w:rPr>
                          <w:rFonts w:ascii="Verdana" w:hAnsi="Verdana"/>
                          <w:b/>
                          <w:color w:val="000000"/>
                          <w:sz w:val="18"/>
                          <w:szCs w:val="18"/>
                        </w:rPr>
                      </w:pPr>
                      <w:r w:rsidRPr="00351101">
                        <w:rPr>
                          <w:rFonts w:ascii="Verdana" w:hAnsi="Verdana"/>
                          <w:b/>
                          <w:color w:val="000000"/>
                          <w:spacing w:val="-2"/>
                          <w:w w:val="135"/>
                          <w:sz w:val="18"/>
                          <w:szCs w:val="18"/>
                        </w:rPr>
                        <w:t>December</w:t>
                      </w:r>
                      <w:r w:rsidRPr="00351101">
                        <w:rPr>
                          <w:rFonts w:ascii="Verdana" w:hAnsi="Verdana"/>
                          <w:b/>
                          <w:color w:val="000000"/>
                          <w:spacing w:val="-4"/>
                          <w:w w:val="135"/>
                          <w:sz w:val="18"/>
                          <w:szCs w:val="18"/>
                        </w:rPr>
                        <w:t xml:space="preserve"> 2025</w:t>
                      </w:r>
                    </w:p>
                  </w:txbxContent>
                </v:textbox>
                <w10:anchorlock/>
              </v:shape>
            </w:pict>
          </mc:Fallback>
        </mc:AlternateContent>
      </w:r>
    </w:p>
    <w:p w14:paraId="34710F93" w14:textId="77777777" w:rsidR="008715BE" w:rsidRPr="00EC75B7" w:rsidRDefault="008715BE">
      <w:pPr>
        <w:pStyle w:val="BodyText"/>
        <w:rPr>
          <w:rFonts w:ascii="Verdana" w:hAnsi="Verdana"/>
        </w:rPr>
      </w:pPr>
    </w:p>
    <w:p w14:paraId="706F3990" w14:textId="77777777" w:rsidR="008715BE" w:rsidRPr="00EC75B7" w:rsidRDefault="008715BE">
      <w:pPr>
        <w:pStyle w:val="BodyText"/>
        <w:rPr>
          <w:rFonts w:ascii="Verdana" w:hAnsi="Verdana"/>
        </w:rPr>
      </w:pPr>
    </w:p>
    <w:p w14:paraId="76004E3B" w14:textId="77777777" w:rsidR="008715BE" w:rsidRPr="00EC75B7" w:rsidRDefault="008715BE">
      <w:pPr>
        <w:pStyle w:val="BodyText"/>
        <w:rPr>
          <w:rFonts w:ascii="Verdana" w:hAnsi="Verdana"/>
        </w:rPr>
      </w:pPr>
    </w:p>
    <w:p w14:paraId="04C636A2" w14:textId="77777777" w:rsidR="008715BE" w:rsidRPr="00EC75B7" w:rsidRDefault="008715BE">
      <w:pPr>
        <w:pStyle w:val="BodyText"/>
        <w:rPr>
          <w:rFonts w:ascii="Verdana" w:hAnsi="Verdana"/>
        </w:rPr>
      </w:pPr>
    </w:p>
    <w:p w14:paraId="432A8871" w14:textId="77777777" w:rsidR="008715BE" w:rsidRPr="00EC75B7" w:rsidRDefault="008715BE">
      <w:pPr>
        <w:pStyle w:val="BodyText"/>
        <w:rPr>
          <w:rFonts w:ascii="Verdana" w:hAnsi="Verdana"/>
        </w:rPr>
      </w:pPr>
    </w:p>
    <w:p w14:paraId="51C13B9B" w14:textId="77777777" w:rsidR="008715BE" w:rsidRPr="00EC75B7" w:rsidRDefault="008715BE">
      <w:pPr>
        <w:pStyle w:val="BodyText"/>
        <w:rPr>
          <w:rFonts w:ascii="Verdana" w:hAnsi="Verdana"/>
        </w:rPr>
      </w:pPr>
    </w:p>
    <w:p w14:paraId="7D187A01" w14:textId="77777777" w:rsidR="008715BE" w:rsidRPr="00EC75B7" w:rsidRDefault="008715BE">
      <w:pPr>
        <w:pStyle w:val="BodyText"/>
        <w:rPr>
          <w:rFonts w:ascii="Verdana" w:hAnsi="Verdana"/>
        </w:rPr>
      </w:pPr>
    </w:p>
    <w:p w14:paraId="2F0D6A41" w14:textId="77777777" w:rsidR="008715BE" w:rsidRPr="00EC75B7" w:rsidRDefault="008715BE">
      <w:pPr>
        <w:pStyle w:val="BodyText"/>
        <w:rPr>
          <w:rFonts w:ascii="Verdana" w:hAnsi="Verdana"/>
        </w:rPr>
      </w:pPr>
    </w:p>
    <w:p w14:paraId="30B21D0D" w14:textId="77777777" w:rsidR="008715BE" w:rsidRPr="00EC75B7" w:rsidRDefault="008715BE">
      <w:pPr>
        <w:pStyle w:val="BodyText"/>
        <w:rPr>
          <w:rFonts w:ascii="Verdana" w:hAnsi="Verdana"/>
        </w:rPr>
      </w:pPr>
    </w:p>
    <w:p w14:paraId="3C11429B" w14:textId="77777777" w:rsidR="008715BE" w:rsidRPr="00EC75B7" w:rsidRDefault="008715BE">
      <w:pPr>
        <w:pStyle w:val="BodyText"/>
        <w:rPr>
          <w:rFonts w:ascii="Verdana" w:hAnsi="Verdana"/>
        </w:rPr>
      </w:pPr>
    </w:p>
    <w:p w14:paraId="7D3507B3" w14:textId="77777777" w:rsidR="008715BE" w:rsidRPr="00EC75B7" w:rsidRDefault="008715BE">
      <w:pPr>
        <w:pStyle w:val="BodyText"/>
        <w:rPr>
          <w:rFonts w:ascii="Verdana" w:hAnsi="Verdana"/>
        </w:rPr>
      </w:pPr>
    </w:p>
    <w:p w14:paraId="76756498" w14:textId="77777777" w:rsidR="008715BE" w:rsidRPr="00EC75B7" w:rsidRDefault="008715BE">
      <w:pPr>
        <w:pStyle w:val="BodyText"/>
        <w:rPr>
          <w:rFonts w:ascii="Verdana" w:hAnsi="Verdana"/>
        </w:rPr>
      </w:pPr>
    </w:p>
    <w:p w14:paraId="10A1241E" w14:textId="77777777" w:rsidR="008715BE" w:rsidRPr="00EC75B7" w:rsidRDefault="008715BE">
      <w:pPr>
        <w:pStyle w:val="BodyText"/>
        <w:rPr>
          <w:rFonts w:ascii="Verdana" w:hAnsi="Verdana"/>
        </w:rPr>
      </w:pPr>
    </w:p>
    <w:p w14:paraId="10F340FC" w14:textId="77777777" w:rsidR="008715BE" w:rsidRPr="00EC75B7" w:rsidRDefault="008715BE">
      <w:pPr>
        <w:pStyle w:val="BodyText"/>
        <w:rPr>
          <w:rFonts w:ascii="Verdana" w:hAnsi="Verdana"/>
        </w:rPr>
      </w:pPr>
    </w:p>
    <w:p w14:paraId="5F10ABDB" w14:textId="77777777" w:rsidR="008715BE" w:rsidRPr="00EC75B7" w:rsidRDefault="008715BE">
      <w:pPr>
        <w:pStyle w:val="BodyText"/>
        <w:rPr>
          <w:rFonts w:ascii="Verdana" w:hAnsi="Verdana"/>
        </w:rPr>
      </w:pPr>
    </w:p>
    <w:p w14:paraId="1D9DE620" w14:textId="77777777" w:rsidR="008715BE" w:rsidRPr="00EC75B7" w:rsidRDefault="008715BE">
      <w:pPr>
        <w:pStyle w:val="BodyText"/>
        <w:rPr>
          <w:rFonts w:ascii="Verdana" w:hAnsi="Verdana"/>
        </w:rPr>
      </w:pPr>
    </w:p>
    <w:p w14:paraId="4D920CE0" w14:textId="77777777" w:rsidR="008715BE" w:rsidRPr="00EC75B7" w:rsidRDefault="008715BE">
      <w:pPr>
        <w:pStyle w:val="BodyText"/>
        <w:spacing w:before="391"/>
        <w:rPr>
          <w:rFonts w:ascii="Verdana" w:hAnsi="Verdana"/>
        </w:rPr>
      </w:pPr>
    </w:p>
    <w:p w14:paraId="4439B08F" w14:textId="5A7C7DCD" w:rsidR="008715BE" w:rsidRPr="00EC75B7" w:rsidRDefault="00351101" w:rsidP="00671380">
      <w:pPr>
        <w:pStyle w:val="Title"/>
        <w:spacing w:line="530" w:lineRule="auto"/>
        <w:rPr>
          <w:rFonts w:ascii="Verdana" w:hAnsi="Verdana"/>
          <w:i/>
          <w:sz w:val="18"/>
          <w:szCs w:val="18"/>
        </w:rPr>
      </w:pPr>
      <w:r w:rsidRPr="00EC75B7">
        <w:rPr>
          <w:rFonts w:ascii="Verdana" w:hAnsi="Verdana"/>
          <w:color w:val="FFFFFF"/>
          <w:sz w:val="18"/>
          <w:szCs w:val="18"/>
        </w:rPr>
        <w:t xml:space="preserve">  </w:t>
      </w:r>
    </w:p>
    <w:p w14:paraId="74373949" w14:textId="77777777" w:rsidR="008715BE" w:rsidRPr="00EC75B7" w:rsidRDefault="008715BE">
      <w:pPr>
        <w:rPr>
          <w:rFonts w:ascii="Verdana" w:hAnsi="Verdana"/>
          <w:i/>
          <w:sz w:val="18"/>
          <w:szCs w:val="18"/>
        </w:rPr>
        <w:sectPr w:rsidR="008715BE" w:rsidRPr="00EC75B7">
          <w:type w:val="continuous"/>
          <w:pgSz w:w="11910" w:h="16840"/>
          <w:pgMar w:top="1280" w:right="141" w:bottom="280" w:left="425" w:header="708" w:footer="708" w:gutter="0"/>
          <w:cols w:space="708"/>
        </w:sectPr>
      </w:pPr>
    </w:p>
    <w:p w14:paraId="059D8F79" w14:textId="2FDB4E1E" w:rsidR="008715BE" w:rsidRPr="00EC75B7" w:rsidRDefault="00000000">
      <w:pPr>
        <w:spacing w:before="21"/>
        <w:ind w:left="765"/>
        <w:rPr>
          <w:rFonts w:ascii="Verdana" w:hAnsi="Verdana"/>
          <w:b/>
          <w:sz w:val="18"/>
          <w:szCs w:val="18"/>
        </w:rPr>
      </w:pPr>
      <w:r w:rsidRPr="00EC75B7">
        <w:rPr>
          <w:rFonts w:ascii="Verdana" w:hAnsi="Verdana"/>
          <w:b/>
          <w:noProof/>
          <w:sz w:val="18"/>
          <w:szCs w:val="18"/>
        </w:rPr>
        <w:lastRenderedPageBreak/>
        <w:drawing>
          <wp:anchor distT="0" distB="0" distL="0" distR="0" simplePos="0" relativeHeight="251658240" behindDoc="0" locked="0" layoutInCell="1" allowOverlap="1" wp14:anchorId="00B5DFF8" wp14:editId="5C5DEAE8">
            <wp:simplePos x="0" y="0"/>
            <wp:positionH relativeFrom="page">
              <wp:posOffset>756284</wp:posOffset>
            </wp:positionH>
            <wp:positionV relativeFrom="page">
              <wp:posOffset>588009</wp:posOffset>
            </wp:positionV>
            <wp:extent cx="651078" cy="177800"/>
            <wp:effectExtent l="0" t="0" r="0" b="0"/>
            <wp:wrapNone/>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2" cstate="print"/>
                    <a:stretch>
                      <a:fillRect/>
                    </a:stretch>
                  </pic:blipFill>
                  <pic:spPr>
                    <a:xfrm>
                      <a:off x="0" y="0"/>
                      <a:ext cx="651078" cy="177800"/>
                    </a:xfrm>
                    <a:prstGeom prst="rect">
                      <a:avLst/>
                    </a:prstGeom>
                  </pic:spPr>
                </pic:pic>
              </a:graphicData>
            </a:graphic>
          </wp:anchor>
        </w:drawing>
      </w:r>
    </w:p>
    <w:p w14:paraId="0895C271" w14:textId="77777777" w:rsidR="008715BE" w:rsidRPr="00EC75B7" w:rsidRDefault="008715BE">
      <w:pPr>
        <w:pStyle w:val="BodyText"/>
        <w:rPr>
          <w:rFonts w:ascii="Verdana" w:hAnsi="Verdana"/>
          <w:b/>
        </w:rPr>
      </w:pPr>
    </w:p>
    <w:p w14:paraId="74512657" w14:textId="77777777" w:rsidR="008715BE" w:rsidRPr="00EC75B7" w:rsidRDefault="008715BE">
      <w:pPr>
        <w:pStyle w:val="BodyText"/>
        <w:rPr>
          <w:rFonts w:ascii="Verdana" w:hAnsi="Verdana"/>
          <w:b/>
        </w:rPr>
      </w:pPr>
    </w:p>
    <w:p w14:paraId="01612CAD" w14:textId="77777777" w:rsidR="008715BE" w:rsidRPr="00EC75B7" w:rsidRDefault="008715BE">
      <w:pPr>
        <w:pStyle w:val="BodyText"/>
        <w:rPr>
          <w:rFonts w:ascii="Verdana" w:hAnsi="Verdana"/>
          <w:b/>
        </w:rPr>
      </w:pPr>
    </w:p>
    <w:p w14:paraId="07FB8925" w14:textId="77777777" w:rsidR="008715BE" w:rsidRPr="00EC75B7" w:rsidRDefault="008715BE">
      <w:pPr>
        <w:pStyle w:val="BodyText"/>
        <w:spacing w:before="156"/>
        <w:rPr>
          <w:rFonts w:ascii="Verdana" w:hAnsi="Verdana"/>
          <w:b/>
        </w:rPr>
      </w:pPr>
    </w:p>
    <w:p w14:paraId="57C90EEF" w14:textId="77777777" w:rsidR="008715BE" w:rsidRPr="00EC75B7" w:rsidRDefault="00000000">
      <w:pPr>
        <w:ind w:left="765"/>
        <w:rPr>
          <w:rFonts w:ascii="Verdana" w:hAnsi="Verdana"/>
          <w:b/>
          <w:sz w:val="18"/>
          <w:szCs w:val="18"/>
        </w:rPr>
      </w:pPr>
      <w:r w:rsidRPr="00EC75B7">
        <w:rPr>
          <w:rFonts w:ascii="Verdana" w:hAnsi="Verdana"/>
          <w:b/>
          <w:color w:val="009DDF"/>
          <w:spacing w:val="-2"/>
          <w:sz w:val="18"/>
          <w:szCs w:val="18"/>
        </w:rPr>
        <w:t xml:space="preserve">Document </w:t>
      </w:r>
      <w:r w:rsidRPr="00EC75B7">
        <w:rPr>
          <w:rFonts w:ascii="Verdana" w:hAnsi="Verdana"/>
          <w:b/>
          <w:color w:val="009DDF"/>
          <w:sz w:val="18"/>
          <w:szCs w:val="18"/>
        </w:rPr>
        <w:t>control sheet</w:t>
      </w:r>
    </w:p>
    <w:p w14:paraId="574EB888" w14:textId="77777777" w:rsidR="008715BE" w:rsidRPr="00EC75B7" w:rsidRDefault="008715BE">
      <w:pPr>
        <w:pStyle w:val="BodyText"/>
        <w:rPr>
          <w:rFonts w:ascii="Verdana" w:hAnsi="Verdana"/>
          <w:b/>
        </w:rPr>
      </w:pPr>
    </w:p>
    <w:p w14:paraId="020A2981" w14:textId="77777777" w:rsidR="008715BE" w:rsidRPr="00EC75B7" w:rsidRDefault="008715BE">
      <w:pPr>
        <w:pStyle w:val="BodyText"/>
        <w:spacing w:before="189" w:after="1"/>
        <w:rPr>
          <w:rFonts w:ascii="Verdana" w:hAnsi="Verdana"/>
          <w:b/>
        </w:rPr>
      </w:pPr>
    </w:p>
    <w:tbl>
      <w:tblPr>
        <w:tblStyle w:val="TableNormal1"/>
        <w:tblW w:w="0" w:type="auto"/>
        <w:tblInd w:w="722" w:type="dxa"/>
        <w:tblLayout w:type="fixed"/>
        <w:tblLook w:val="01E0" w:firstRow="1" w:lastRow="1" w:firstColumn="1" w:lastColumn="1" w:noHBand="0" w:noVBand="0"/>
      </w:tblPr>
      <w:tblGrid>
        <w:gridCol w:w="2154"/>
        <w:gridCol w:w="7182"/>
      </w:tblGrid>
      <w:tr w:rsidR="008715BE" w:rsidRPr="00EC75B7" w14:paraId="7BB8B304" w14:textId="77777777">
        <w:trPr>
          <w:trHeight w:val="928"/>
        </w:trPr>
        <w:tc>
          <w:tcPr>
            <w:tcW w:w="2154" w:type="dxa"/>
          </w:tcPr>
          <w:p w14:paraId="5AE6E326" w14:textId="77777777" w:rsidR="008715BE" w:rsidRPr="00EC75B7" w:rsidRDefault="00000000">
            <w:pPr>
              <w:pStyle w:val="TableParagraph"/>
              <w:spacing w:before="9"/>
              <w:ind w:left="50"/>
              <w:rPr>
                <w:rFonts w:ascii="Verdana" w:hAnsi="Verdana"/>
                <w:sz w:val="18"/>
                <w:szCs w:val="18"/>
              </w:rPr>
            </w:pPr>
            <w:r w:rsidRPr="00EC75B7">
              <w:rPr>
                <w:rFonts w:ascii="Verdana" w:hAnsi="Verdana"/>
                <w:spacing w:val="-2"/>
                <w:sz w:val="18"/>
                <w:szCs w:val="18"/>
              </w:rPr>
              <w:t>Project</w:t>
            </w:r>
          </w:p>
        </w:tc>
        <w:tc>
          <w:tcPr>
            <w:tcW w:w="7182" w:type="dxa"/>
          </w:tcPr>
          <w:p w14:paraId="63DEF70E" w14:textId="36445BCF" w:rsidR="008715BE" w:rsidRPr="00EC75B7" w:rsidRDefault="00000000" w:rsidP="00351101">
            <w:pPr>
              <w:pStyle w:val="TableParagraph"/>
              <w:spacing w:before="9"/>
              <w:ind w:left="164"/>
              <w:jc w:val="both"/>
              <w:rPr>
                <w:rFonts w:ascii="Verdana" w:hAnsi="Verdana"/>
                <w:b/>
                <w:sz w:val="18"/>
                <w:szCs w:val="18"/>
              </w:rPr>
            </w:pPr>
            <w:r w:rsidRPr="00EC75B7">
              <w:rPr>
                <w:rFonts w:ascii="Verdana" w:hAnsi="Verdana"/>
                <w:b/>
                <w:sz w:val="18"/>
                <w:szCs w:val="18"/>
              </w:rPr>
              <w:t>"</w:t>
            </w:r>
            <w:r w:rsidR="00351101" w:rsidRPr="00EC75B7">
              <w:rPr>
                <w:rFonts w:ascii="Verdana" w:hAnsi="Verdana"/>
                <w:b/>
                <w:sz w:val="18"/>
                <w:szCs w:val="18"/>
              </w:rPr>
              <w:t>Wind</w:t>
            </w:r>
            <w:r w:rsidR="00671380">
              <w:rPr>
                <w:rFonts w:ascii="Verdana" w:hAnsi="Verdana"/>
                <w:b/>
                <w:spacing w:val="23"/>
                <w:sz w:val="18"/>
                <w:szCs w:val="18"/>
              </w:rPr>
              <w:t xml:space="preserve"> </w:t>
            </w:r>
            <w:r w:rsidRPr="00EC75B7">
              <w:rPr>
                <w:rFonts w:ascii="Verdana" w:hAnsi="Verdana"/>
                <w:b/>
                <w:sz w:val="18"/>
                <w:szCs w:val="18"/>
              </w:rPr>
              <w:t>Energy Park</w:t>
            </w:r>
            <w:r w:rsidRPr="00EC75B7">
              <w:rPr>
                <w:rFonts w:ascii="Verdana" w:hAnsi="Verdana"/>
                <w:b/>
                <w:spacing w:val="24"/>
                <w:sz w:val="18"/>
                <w:szCs w:val="18"/>
              </w:rPr>
              <w:t xml:space="preserve"> </w:t>
            </w:r>
            <w:r w:rsidRPr="00EC75B7">
              <w:rPr>
                <w:rFonts w:ascii="Verdana" w:hAnsi="Verdana"/>
                <w:b/>
                <w:sz w:val="18"/>
                <w:szCs w:val="18"/>
              </w:rPr>
              <w:t>48</w:t>
            </w:r>
            <w:r w:rsidRPr="00EC75B7">
              <w:rPr>
                <w:rFonts w:ascii="Verdana" w:hAnsi="Verdana"/>
                <w:b/>
                <w:spacing w:val="23"/>
                <w:sz w:val="18"/>
                <w:szCs w:val="18"/>
              </w:rPr>
              <w:t xml:space="preserve">  </w:t>
            </w:r>
            <w:r w:rsidRPr="00EC75B7">
              <w:rPr>
                <w:rFonts w:ascii="Verdana" w:hAnsi="Verdana"/>
                <w:b/>
                <w:sz w:val="18"/>
                <w:szCs w:val="18"/>
              </w:rPr>
              <w:t>(46)</w:t>
            </w:r>
            <w:r w:rsidRPr="00EC75B7">
              <w:rPr>
                <w:rFonts w:ascii="Verdana" w:hAnsi="Verdana"/>
                <w:b/>
                <w:spacing w:val="25"/>
                <w:sz w:val="18"/>
                <w:szCs w:val="18"/>
              </w:rPr>
              <w:t xml:space="preserve"> </w:t>
            </w:r>
            <w:r w:rsidRPr="00EC75B7">
              <w:rPr>
                <w:rFonts w:ascii="Verdana" w:hAnsi="Verdana"/>
                <w:b/>
                <w:sz w:val="18"/>
                <w:szCs w:val="18"/>
              </w:rPr>
              <w:t>Wind</w:t>
            </w:r>
            <w:r w:rsidRPr="00EC75B7">
              <w:rPr>
                <w:rFonts w:ascii="Verdana" w:hAnsi="Verdana"/>
                <w:b/>
                <w:spacing w:val="24"/>
                <w:sz w:val="18"/>
                <w:szCs w:val="18"/>
              </w:rPr>
              <w:t xml:space="preserve">  </w:t>
            </w:r>
            <w:r w:rsidRPr="00EC75B7">
              <w:rPr>
                <w:rFonts w:ascii="Verdana" w:hAnsi="Verdana"/>
                <w:b/>
                <w:sz w:val="18"/>
                <w:szCs w:val="18"/>
              </w:rPr>
              <w:t xml:space="preserve"> approx.</w:t>
            </w:r>
            <w:r w:rsidRPr="00EC75B7">
              <w:rPr>
                <w:rFonts w:ascii="Verdana" w:hAnsi="Verdana"/>
                <w:b/>
                <w:spacing w:val="24"/>
                <w:sz w:val="18"/>
                <w:szCs w:val="18"/>
              </w:rPr>
              <w:t xml:space="preserve">  </w:t>
            </w:r>
            <w:r w:rsidRPr="00EC75B7">
              <w:rPr>
                <w:rFonts w:ascii="Verdana" w:hAnsi="Verdana"/>
                <w:b/>
                <w:spacing w:val="-2"/>
                <w:sz w:val="18"/>
                <w:szCs w:val="18"/>
              </w:rPr>
              <w:t xml:space="preserve"> 316.8MW</w:t>
            </w:r>
            <w:r w:rsidR="00351101" w:rsidRPr="00EC75B7">
              <w:rPr>
                <w:rFonts w:ascii="Verdana" w:hAnsi="Verdana"/>
                <w:b/>
                <w:sz w:val="18"/>
                <w:szCs w:val="18"/>
              </w:rPr>
              <w:t xml:space="preserve"> </w:t>
            </w:r>
            <w:r w:rsidRPr="00EC75B7">
              <w:rPr>
                <w:rFonts w:ascii="Verdana" w:hAnsi="Verdana"/>
                <w:b/>
                <w:sz w:val="18"/>
                <w:szCs w:val="18"/>
              </w:rPr>
              <w:t>(303.6MW), Transformer stations, Electrical connection networks, construction and modernization of communication and access routes"</w:t>
            </w:r>
          </w:p>
        </w:tc>
      </w:tr>
      <w:tr w:rsidR="008715BE" w:rsidRPr="00EC75B7" w14:paraId="5F4BD6D5" w14:textId="77777777">
        <w:trPr>
          <w:trHeight w:val="410"/>
        </w:trPr>
        <w:tc>
          <w:tcPr>
            <w:tcW w:w="2154" w:type="dxa"/>
          </w:tcPr>
          <w:p w14:paraId="77B8A5F9" w14:textId="77777777" w:rsidR="008715BE" w:rsidRPr="00EC75B7" w:rsidRDefault="00000000">
            <w:pPr>
              <w:pStyle w:val="TableParagraph"/>
              <w:spacing w:before="64"/>
              <w:ind w:left="50"/>
              <w:rPr>
                <w:rFonts w:ascii="Verdana" w:hAnsi="Verdana"/>
                <w:sz w:val="18"/>
                <w:szCs w:val="18"/>
              </w:rPr>
            </w:pPr>
            <w:r w:rsidRPr="00EC75B7">
              <w:rPr>
                <w:rFonts w:ascii="Verdana" w:hAnsi="Verdana"/>
                <w:spacing w:val="-2"/>
                <w:sz w:val="18"/>
                <w:szCs w:val="18"/>
              </w:rPr>
              <w:t xml:space="preserve">Contracting </w:t>
            </w:r>
            <w:r w:rsidRPr="00EC75B7">
              <w:rPr>
                <w:rFonts w:ascii="Verdana" w:hAnsi="Verdana"/>
                <w:sz w:val="18"/>
                <w:szCs w:val="18"/>
              </w:rPr>
              <w:t>Entity</w:t>
            </w:r>
          </w:p>
        </w:tc>
        <w:tc>
          <w:tcPr>
            <w:tcW w:w="7182" w:type="dxa"/>
          </w:tcPr>
          <w:p w14:paraId="01C435AD" w14:textId="51F55A72" w:rsidR="008715BE" w:rsidRPr="00EC75B7" w:rsidRDefault="00000000">
            <w:pPr>
              <w:pStyle w:val="TableParagraph"/>
              <w:spacing w:before="64"/>
              <w:ind w:left="164"/>
              <w:rPr>
                <w:rFonts w:ascii="Verdana" w:hAnsi="Verdana"/>
                <w:b/>
                <w:sz w:val="18"/>
                <w:szCs w:val="18"/>
              </w:rPr>
            </w:pPr>
            <w:r w:rsidRPr="00EC75B7">
              <w:rPr>
                <w:rFonts w:ascii="Verdana" w:hAnsi="Verdana"/>
                <w:b/>
                <w:sz w:val="18"/>
                <w:szCs w:val="18"/>
              </w:rPr>
              <w:t xml:space="preserve">South Wind </w:t>
            </w:r>
            <w:r w:rsidRPr="00EC75B7">
              <w:rPr>
                <w:rFonts w:ascii="Verdana" w:hAnsi="Verdana"/>
                <w:b/>
                <w:spacing w:val="-5"/>
                <w:sz w:val="18"/>
                <w:szCs w:val="18"/>
              </w:rPr>
              <w:t>SRL</w:t>
            </w:r>
          </w:p>
        </w:tc>
      </w:tr>
      <w:tr w:rsidR="008715BE" w:rsidRPr="00EC75B7" w14:paraId="4BD11621" w14:textId="77777777">
        <w:trPr>
          <w:trHeight w:val="410"/>
        </w:trPr>
        <w:tc>
          <w:tcPr>
            <w:tcW w:w="2154" w:type="dxa"/>
          </w:tcPr>
          <w:p w14:paraId="7B7D90EE" w14:textId="77777777" w:rsidR="008715BE" w:rsidRPr="00EC75B7" w:rsidRDefault="00000000">
            <w:pPr>
              <w:pStyle w:val="TableParagraph"/>
              <w:spacing w:before="146"/>
              <w:ind w:left="50"/>
              <w:rPr>
                <w:rFonts w:ascii="Verdana" w:hAnsi="Verdana"/>
                <w:sz w:val="18"/>
                <w:szCs w:val="18"/>
              </w:rPr>
            </w:pPr>
            <w:r w:rsidRPr="00EC75B7">
              <w:rPr>
                <w:rFonts w:ascii="Verdana" w:hAnsi="Verdana"/>
                <w:spacing w:val="-2"/>
                <w:sz w:val="18"/>
                <w:szCs w:val="18"/>
              </w:rPr>
              <w:t>Service Provider</w:t>
            </w:r>
          </w:p>
        </w:tc>
        <w:tc>
          <w:tcPr>
            <w:tcW w:w="7182" w:type="dxa"/>
          </w:tcPr>
          <w:p w14:paraId="1B2DEC5B" w14:textId="77777777" w:rsidR="008715BE" w:rsidRPr="00EC75B7" w:rsidRDefault="00000000">
            <w:pPr>
              <w:pStyle w:val="TableParagraph"/>
              <w:spacing w:before="146"/>
              <w:ind w:left="164"/>
              <w:rPr>
                <w:rFonts w:ascii="Verdana" w:hAnsi="Verdana"/>
                <w:b/>
                <w:sz w:val="18"/>
                <w:szCs w:val="18"/>
              </w:rPr>
            </w:pPr>
            <w:r w:rsidRPr="00EC75B7">
              <w:rPr>
                <w:rFonts w:ascii="Verdana" w:hAnsi="Verdana"/>
                <w:b/>
                <w:sz w:val="18"/>
                <w:szCs w:val="18"/>
              </w:rPr>
              <w:t xml:space="preserve">SC Ramboll South East Europe </w:t>
            </w:r>
            <w:r w:rsidRPr="00EC75B7">
              <w:rPr>
                <w:rFonts w:ascii="Verdana" w:hAnsi="Verdana"/>
                <w:b/>
                <w:spacing w:val="-5"/>
                <w:sz w:val="18"/>
                <w:szCs w:val="18"/>
              </w:rPr>
              <w:t>SRL</w:t>
            </w:r>
          </w:p>
        </w:tc>
      </w:tr>
      <w:tr w:rsidR="008715BE" w:rsidRPr="00EC75B7" w14:paraId="78F7AA01" w14:textId="77777777">
        <w:trPr>
          <w:trHeight w:val="329"/>
        </w:trPr>
        <w:tc>
          <w:tcPr>
            <w:tcW w:w="2154" w:type="dxa"/>
          </w:tcPr>
          <w:p w14:paraId="2F4ADD3C" w14:textId="77777777" w:rsidR="008715BE" w:rsidRPr="00EC75B7" w:rsidRDefault="00000000">
            <w:pPr>
              <w:pStyle w:val="TableParagraph"/>
              <w:spacing w:before="65"/>
              <w:ind w:left="50"/>
              <w:rPr>
                <w:rFonts w:ascii="Verdana" w:hAnsi="Verdana"/>
                <w:sz w:val="18"/>
                <w:szCs w:val="18"/>
              </w:rPr>
            </w:pPr>
            <w:r w:rsidRPr="00EC75B7">
              <w:rPr>
                <w:rFonts w:ascii="Verdana" w:hAnsi="Verdana"/>
                <w:spacing w:val="-2"/>
                <w:sz w:val="18"/>
                <w:szCs w:val="18"/>
              </w:rPr>
              <w:t>Version</w:t>
            </w:r>
          </w:p>
        </w:tc>
        <w:tc>
          <w:tcPr>
            <w:tcW w:w="7182" w:type="dxa"/>
          </w:tcPr>
          <w:p w14:paraId="66161A31" w14:textId="77777777" w:rsidR="008715BE" w:rsidRPr="00EC75B7" w:rsidRDefault="00000000">
            <w:pPr>
              <w:pStyle w:val="TableParagraph"/>
              <w:spacing w:before="65"/>
              <w:ind w:left="164"/>
              <w:rPr>
                <w:rFonts w:ascii="Verdana" w:hAnsi="Verdana"/>
                <w:b/>
                <w:sz w:val="18"/>
                <w:szCs w:val="18"/>
              </w:rPr>
            </w:pPr>
            <w:r w:rsidRPr="00EC75B7">
              <w:rPr>
                <w:rFonts w:ascii="Verdana" w:hAnsi="Verdana"/>
                <w:b/>
                <w:sz w:val="18"/>
                <w:szCs w:val="18"/>
              </w:rPr>
              <w:t>[</w:t>
            </w:r>
            <w:r w:rsidRPr="00EC75B7">
              <w:rPr>
                <w:rFonts w:ascii="Verdana" w:hAnsi="Verdana"/>
                <w:b/>
                <w:spacing w:val="-2"/>
                <w:sz w:val="18"/>
                <w:szCs w:val="18"/>
              </w:rPr>
              <w:t xml:space="preserve">Final </w:t>
            </w:r>
            <w:r w:rsidRPr="00EC75B7">
              <w:rPr>
                <w:rFonts w:ascii="Verdana" w:hAnsi="Verdana"/>
                <w:b/>
                <w:sz w:val="18"/>
                <w:szCs w:val="18"/>
              </w:rPr>
              <w:t>version</w:t>
            </w:r>
            <w:r w:rsidRPr="00EC75B7">
              <w:rPr>
                <w:rFonts w:ascii="Verdana" w:hAnsi="Verdana"/>
                <w:b/>
                <w:spacing w:val="-2"/>
                <w:sz w:val="18"/>
                <w:szCs w:val="18"/>
              </w:rPr>
              <w:t>]</w:t>
            </w:r>
          </w:p>
        </w:tc>
      </w:tr>
      <w:tr w:rsidR="008715BE" w:rsidRPr="00EC75B7" w14:paraId="53610EE9" w14:textId="77777777">
        <w:trPr>
          <w:trHeight w:val="328"/>
        </w:trPr>
        <w:tc>
          <w:tcPr>
            <w:tcW w:w="2154" w:type="dxa"/>
          </w:tcPr>
          <w:p w14:paraId="5041F142" w14:textId="77777777" w:rsidR="008715BE" w:rsidRPr="00EC75B7" w:rsidRDefault="00000000">
            <w:pPr>
              <w:pStyle w:val="TableParagraph"/>
              <w:spacing w:before="64"/>
              <w:ind w:left="50"/>
              <w:rPr>
                <w:rFonts w:ascii="Verdana" w:hAnsi="Verdana"/>
                <w:sz w:val="18"/>
                <w:szCs w:val="18"/>
              </w:rPr>
            </w:pPr>
            <w:r w:rsidRPr="00EC75B7">
              <w:rPr>
                <w:rFonts w:ascii="Verdana" w:hAnsi="Verdana"/>
                <w:spacing w:val="-4"/>
                <w:sz w:val="18"/>
                <w:szCs w:val="18"/>
              </w:rPr>
              <w:t>Date</w:t>
            </w:r>
          </w:p>
        </w:tc>
        <w:tc>
          <w:tcPr>
            <w:tcW w:w="7182" w:type="dxa"/>
          </w:tcPr>
          <w:p w14:paraId="0CD1456D" w14:textId="77777777" w:rsidR="008715BE" w:rsidRPr="00EC75B7" w:rsidRDefault="00000000">
            <w:pPr>
              <w:pStyle w:val="TableParagraph"/>
              <w:spacing w:before="64"/>
              <w:ind w:left="164"/>
              <w:rPr>
                <w:rFonts w:ascii="Verdana" w:hAnsi="Verdana"/>
                <w:b/>
                <w:sz w:val="18"/>
                <w:szCs w:val="18"/>
              </w:rPr>
            </w:pPr>
            <w:r w:rsidRPr="00EC75B7">
              <w:rPr>
                <w:rFonts w:ascii="Verdana" w:hAnsi="Verdana"/>
                <w:b/>
                <w:spacing w:val="-2"/>
                <w:sz w:val="18"/>
                <w:szCs w:val="18"/>
              </w:rPr>
              <w:t>December</w:t>
            </w:r>
            <w:r w:rsidRPr="00EC75B7">
              <w:rPr>
                <w:rFonts w:ascii="Verdana" w:hAnsi="Verdana"/>
                <w:b/>
                <w:spacing w:val="-4"/>
                <w:sz w:val="18"/>
                <w:szCs w:val="18"/>
              </w:rPr>
              <w:t xml:space="preserve"> 2025</w:t>
            </w:r>
          </w:p>
        </w:tc>
      </w:tr>
      <w:tr w:rsidR="008715BE" w:rsidRPr="00EC75B7" w14:paraId="49AFE7C2" w14:textId="77777777">
        <w:trPr>
          <w:trHeight w:val="273"/>
        </w:trPr>
        <w:tc>
          <w:tcPr>
            <w:tcW w:w="2154" w:type="dxa"/>
          </w:tcPr>
          <w:p w14:paraId="4D85CFD8" w14:textId="77777777" w:rsidR="008715BE" w:rsidRPr="00EC75B7" w:rsidRDefault="00000000">
            <w:pPr>
              <w:pStyle w:val="TableParagraph"/>
              <w:spacing w:before="64" w:line="189" w:lineRule="exact"/>
              <w:ind w:left="50"/>
              <w:rPr>
                <w:rFonts w:ascii="Verdana" w:hAnsi="Verdana"/>
                <w:sz w:val="18"/>
                <w:szCs w:val="18"/>
              </w:rPr>
            </w:pPr>
            <w:r w:rsidRPr="00EC75B7">
              <w:rPr>
                <w:rFonts w:ascii="Verdana" w:hAnsi="Verdana"/>
                <w:spacing w:val="-2"/>
                <w:sz w:val="18"/>
                <w:szCs w:val="18"/>
              </w:rPr>
              <w:t xml:space="preserve">Document </w:t>
            </w:r>
            <w:r w:rsidRPr="00EC75B7">
              <w:rPr>
                <w:rFonts w:ascii="Verdana" w:hAnsi="Verdana"/>
                <w:sz w:val="18"/>
                <w:szCs w:val="18"/>
              </w:rPr>
              <w:t>title</w:t>
            </w:r>
          </w:p>
        </w:tc>
        <w:tc>
          <w:tcPr>
            <w:tcW w:w="7182" w:type="dxa"/>
          </w:tcPr>
          <w:p w14:paraId="21836B16" w14:textId="77777777" w:rsidR="008715BE" w:rsidRPr="00EC75B7" w:rsidRDefault="00000000">
            <w:pPr>
              <w:pStyle w:val="TableParagraph"/>
              <w:spacing w:before="64" w:line="189" w:lineRule="exact"/>
              <w:ind w:left="164"/>
              <w:rPr>
                <w:rFonts w:ascii="Verdana" w:hAnsi="Verdana"/>
                <w:b/>
                <w:sz w:val="18"/>
                <w:szCs w:val="18"/>
              </w:rPr>
            </w:pPr>
            <w:r w:rsidRPr="00EC75B7">
              <w:rPr>
                <w:rFonts w:ascii="Verdana" w:hAnsi="Verdana"/>
                <w:b/>
                <w:spacing w:val="-2"/>
                <w:sz w:val="18"/>
                <w:szCs w:val="18"/>
              </w:rPr>
              <w:t xml:space="preserve">Environmental </w:t>
            </w:r>
            <w:r w:rsidRPr="00EC75B7">
              <w:rPr>
                <w:rFonts w:ascii="Verdana" w:hAnsi="Verdana"/>
                <w:b/>
                <w:sz w:val="18"/>
                <w:szCs w:val="18"/>
              </w:rPr>
              <w:t>impact report</w:t>
            </w:r>
          </w:p>
        </w:tc>
      </w:tr>
    </w:tbl>
    <w:p w14:paraId="7C5AE33A" w14:textId="77777777" w:rsidR="008715BE" w:rsidRPr="00EC75B7" w:rsidRDefault="008715BE">
      <w:pPr>
        <w:pStyle w:val="BodyText"/>
        <w:rPr>
          <w:rFonts w:ascii="Verdana" w:hAnsi="Verdana"/>
          <w:b/>
        </w:rPr>
      </w:pPr>
    </w:p>
    <w:p w14:paraId="45CC1B89" w14:textId="77777777" w:rsidR="008715BE" w:rsidRPr="00EC75B7" w:rsidRDefault="008715BE">
      <w:pPr>
        <w:pStyle w:val="BodyText"/>
        <w:rPr>
          <w:rFonts w:ascii="Verdana" w:hAnsi="Verdana"/>
          <w:b/>
        </w:rPr>
      </w:pPr>
    </w:p>
    <w:p w14:paraId="42492D29" w14:textId="77777777" w:rsidR="008715BE" w:rsidRPr="00EC75B7" w:rsidRDefault="008715BE">
      <w:pPr>
        <w:pStyle w:val="BodyText"/>
        <w:spacing w:before="7"/>
        <w:rPr>
          <w:rFonts w:ascii="Verdana" w:hAnsi="Verdana"/>
          <w:b/>
        </w:rPr>
      </w:pPr>
    </w:p>
    <w:tbl>
      <w:tblPr>
        <w:tblStyle w:val="TableNormal1"/>
        <w:tblW w:w="0" w:type="auto"/>
        <w:tblInd w:w="831" w:type="dxa"/>
        <w:tblLayout w:type="fixed"/>
        <w:tblLook w:val="01E0" w:firstRow="1" w:lastRow="1" w:firstColumn="1" w:lastColumn="1" w:noHBand="0" w:noVBand="0"/>
      </w:tblPr>
      <w:tblGrid>
        <w:gridCol w:w="1617"/>
        <w:gridCol w:w="4482"/>
      </w:tblGrid>
      <w:tr w:rsidR="008715BE" w:rsidRPr="00EC75B7" w14:paraId="0FC90061" w14:textId="77777777" w:rsidTr="00351101">
        <w:trPr>
          <w:trHeight w:val="2970"/>
        </w:trPr>
        <w:tc>
          <w:tcPr>
            <w:tcW w:w="1617" w:type="dxa"/>
          </w:tcPr>
          <w:p w14:paraId="0C56684C" w14:textId="77777777" w:rsidR="008715BE" w:rsidRPr="00EC75B7" w:rsidRDefault="00000000">
            <w:pPr>
              <w:pStyle w:val="TableParagraph"/>
              <w:spacing w:before="9"/>
              <w:ind w:left="50"/>
              <w:rPr>
                <w:rFonts w:ascii="Verdana" w:hAnsi="Verdana"/>
                <w:b/>
                <w:sz w:val="18"/>
                <w:szCs w:val="18"/>
              </w:rPr>
            </w:pPr>
            <w:r w:rsidRPr="00EC75B7">
              <w:rPr>
                <w:rFonts w:ascii="Verdana" w:hAnsi="Verdana"/>
                <w:b/>
                <w:sz w:val="18"/>
                <w:szCs w:val="18"/>
              </w:rPr>
              <w:t>Prepared by</w:t>
            </w:r>
            <w:r w:rsidRPr="00EC75B7">
              <w:rPr>
                <w:rFonts w:ascii="Verdana" w:hAnsi="Verdana"/>
                <w:b/>
                <w:spacing w:val="-10"/>
                <w:sz w:val="18"/>
                <w:szCs w:val="18"/>
              </w:rPr>
              <w:t>:</w:t>
            </w:r>
          </w:p>
        </w:tc>
        <w:tc>
          <w:tcPr>
            <w:tcW w:w="4482" w:type="dxa"/>
          </w:tcPr>
          <w:p w14:paraId="69EBDC63" w14:textId="77777777" w:rsidR="008715BE" w:rsidRPr="00EC75B7" w:rsidRDefault="00000000">
            <w:pPr>
              <w:pStyle w:val="TableParagraph"/>
              <w:spacing w:before="9"/>
              <w:ind w:left="588"/>
              <w:rPr>
                <w:rFonts w:ascii="Verdana" w:hAnsi="Verdana"/>
                <w:b/>
                <w:sz w:val="18"/>
                <w:szCs w:val="18"/>
              </w:rPr>
            </w:pPr>
            <w:r w:rsidRPr="00EC75B7">
              <w:rPr>
                <w:rFonts w:ascii="Verdana" w:hAnsi="Verdana"/>
                <w:b/>
                <w:sz w:val="18"/>
                <w:szCs w:val="18"/>
              </w:rPr>
              <w:t xml:space="preserve">Vlad </w:t>
            </w:r>
            <w:r w:rsidRPr="00EC75B7">
              <w:rPr>
                <w:rFonts w:ascii="Verdana" w:hAnsi="Verdana"/>
                <w:b/>
                <w:spacing w:val="-4"/>
                <w:sz w:val="18"/>
                <w:szCs w:val="18"/>
              </w:rPr>
              <w:t>Dinu</w:t>
            </w:r>
          </w:p>
          <w:p w14:paraId="1872A553" w14:textId="77777777" w:rsidR="008715BE" w:rsidRPr="00EC75B7" w:rsidRDefault="008715BE">
            <w:pPr>
              <w:pStyle w:val="TableParagraph"/>
              <w:spacing w:before="81"/>
              <w:rPr>
                <w:rFonts w:ascii="Verdana" w:hAnsi="Verdana"/>
                <w:b/>
                <w:sz w:val="18"/>
                <w:szCs w:val="18"/>
              </w:rPr>
            </w:pPr>
          </w:p>
          <w:p w14:paraId="013D0F16" w14:textId="77777777" w:rsidR="008715BE" w:rsidRPr="00EC75B7" w:rsidRDefault="00000000">
            <w:pPr>
              <w:pStyle w:val="TableParagraph"/>
              <w:spacing w:before="1" w:line="568" w:lineRule="auto"/>
              <w:ind w:left="588"/>
              <w:rPr>
                <w:rFonts w:ascii="Verdana" w:hAnsi="Verdana"/>
                <w:b/>
                <w:sz w:val="18"/>
                <w:szCs w:val="18"/>
              </w:rPr>
            </w:pPr>
            <w:r w:rsidRPr="00EC75B7">
              <w:rPr>
                <w:rFonts w:ascii="Verdana" w:hAnsi="Verdana"/>
                <w:b/>
                <w:sz w:val="18"/>
                <w:szCs w:val="18"/>
              </w:rPr>
              <w:t>Ruxandra Florentina Buga Oana Falup</w:t>
            </w:r>
          </w:p>
          <w:p w14:paraId="1717ED10" w14:textId="77777777" w:rsidR="00351101" w:rsidRPr="00EC75B7" w:rsidRDefault="00000000" w:rsidP="00351101">
            <w:pPr>
              <w:pStyle w:val="TableParagraph"/>
              <w:spacing w:line="568" w:lineRule="auto"/>
              <w:ind w:left="588" w:right="-400"/>
              <w:rPr>
                <w:rFonts w:ascii="Verdana" w:hAnsi="Verdana"/>
                <w:b/>
                <w:sz w:val="18"/>
                <w:szCs w:val="18"/>
              </w:rPr>
            </w:pPr>
            <w:r w:rsidRPr="00EC75B7">
              <w:rPr>
                <w:rFonts w:ascii="Verdana" w:hAnsi="Verdana"/>
                <w:b/>
                <w:sz w:val="18"/>
                <w:szCs w:val="18"/>
              </w:rPr>
              <w:t xml:space="preserve">Nicoleta David </w:t>
            </w:r>
          </w:p>
          <w:p w14:paraId="1E787FBC" w14:textId="3778245E" w:rsidR="008715BE" w:rsidRPr="00EC75B7" w:rsidRDefault="00000000" w:rsidP="00351101">
            <w:pPr>
              <w:pStyle w:val="TableParagraph"/>
              <w:spacing w:line="568" w:lineRule="auto"/>
              <w:ind w:left="588" w:right="-400"/>
              <w:rPr>
                <w:rFonts w:ascii="Verdana" w:hAnsi="Verdana"/>
                <w:b/>
                <w:sz w:val="18"/>
                <w:szCs w:val="18"/>
              </w:rPr>
            </w:pPr>
            <w:r w:rsidRPr="00EC75B7">
              <w:rPr>
                <w:rFonts w:ascii="Verdana" w:hAnsi="Verdana"/>
                <w:b/>
                <w:sz w:val="18"/>
                <w:szCs w:val="18"/>
              </w:rPr>
              <w:t>Andreea Bianca Badea</w:t>
            </w:r>
          </w:p>
        </w:tc>
      </w:tr>
      <w:tr w:rsidR="008715BE" w:rsidRPr="00EC75B7" w14:paraId="0F350766" w14:textId="77777777" w:rsidTr="00351101">
        <w:trPr>
          <w:trHeight w:val="1129"/>
        </w:trPr>
        <w:tc>
          <w:tcPr>
            <w:tcW w:w="1617" w:type="dxa"/>
          </w:tcPr>
          <w:p w14:paraId="2D20473E" w14:textId="77777777" w:rsidR="008715BE" w:rsidRPr="00EC75B7" w:rsidRDefault="008715BE">
            <w:pPr>
              <w:pStyle w:val="TableParagraph"/>
              <w:rPr>
                <w:rFonts w:ascii="Verdana" w:hAnsi="Verdana"/>
                <w:b/>
                <w:sz w:val="18"/>
                <w:szCs w:val="18"/>
              </w:rPr>
            </w:pPr>
          </w:p>
          <w:p w14:paraId="4A59E7FB" w14:textId="77777777" w:rsidR="008715BE" w:rsidRPr="00EC75B7" w:rsidRDefault="008715BE">
            <w:pPr>
              <w:pStyle w:val="TableParagraph"/>
              <w:rPr>
                <w:rFonts w:ascii="Verdana" w:hAnsi="Verdana"/>
                <w:b/>
                <w:sz w:val="18"/>
                <w:szCs w:val="18"/>
              </w:rPr>
            </w:pPr>
          </w:p>
          <w:p w14:paraId="76257131" w14:textId="77777777" w:rsidR="008715BE" w:rsidRPr="00EC75B7" w:rsidRDefault="008715BE">
            <w:pPr>
              <w:pStyle w:val="TableParagraph"/>
              <w:spacing w:before="21"/>
              <w:rPr>
                <w:rFonts w:ascii="Verdana" w:hAnsi="Verdana"/>
                <w:b/>
                <w:sz w:val="18"/>
                <w:szCs w:val="18"/>
              </w:rPr>
            </w:pPr>
          </w:p>
          <w:p w14:paraId="157467A1" w14:textId="77777777" w:rsidR="008715BE" w:rsidRPr="00EC75B7" w:rsidRDefault="00000000">
            <w:pPr>
              <w:pStyle w:val="TableParagraph"/>
              <w:ind w:left="50"/>
              <w:rPr>
                <w:rFonts w:ascii="Verdana" w:hAnsi="Verdana"/>
                <w:b/>
                <w:sz w:val="18"/>
                <w:szCs w:val="18"/>
              </w:rPr>
            </w:pPr>
            <w:r w:rsidRPr="00EC75B7">
              <w:rPr>
                <w:rFonts w:ascii="Verdana" w:hAnsi="Verdana"/>
                <w:b/>
                <w:spacing w:val="-2"/>
                <w:sz w:val="18"/>
                <w:szCs w:val="18"/>
              </w:rPr>
              <w:t>Verified by:</w:t>
            </w:r>
          </w:p>
        </w:tc>
        <w:tc>
          <w:tcPr>
            <w:tcW w:w="4482" w:type="dxa"/>
          </w:tcPr>
          <w:p w14:paraId="2DB844A9" w14:textId="77777777" w:rsidR="008715BE" w:rsidRPr="00EC75B7" w:rsidRDefault="008715BE">
            <w:pPr>
              <w:pStyle w:val="TableParagraph"/>
              <w:rPr>
                <w:rFonts w:ascii="Verdana" w:hAnsi="Verdana"/>
                <w:b/>
                <w:sz w:val="18"/>
                <w:szCs w:val="18"/>
              </w:rPr>
            </w:pPr>
          </w:p>
          <w:p w14:paraId="112ED194" w14:textId="77777777" w:rsidR="008715BE" w:rsidRPr="00EC75B7" w:rsidRDefault="008715BE">
            <w:pPr>
              <w:pStyle w:val="TableParagraph"/>
              <w:rPr>
                <w:rFonts w:ascii="Verdana" w:hAnsi="Verdana"/>
                <w:b/>
                <w:sz w:val="18"/>
                <w:szCs w:val="18"/>
              </w:rPr>
            </w:pPr>
          </w:p>
          <w:p w14:paraId="4C2AC77F" w14:textId="77777777" w:rsidR="008715BE" w:rsidRPr="00EC75B7" w:rsidRDefault="008715BE">
            <w:pPr>
              <w:pStyle w:val="TableParagraph"/>
              <w:spacing w:before="21"/>
              <w:rPr>
                <w:rFonts w:ascii="Verdana" w:hAnsi="Verdana"/>
                <w:b/>
                <w:sz w:val="18"/>
                <w:szCs w:val="18"/>
              </w:rPr>
            </w:pPr>
          </w:p>
          <w:p w14:paraId="20343DD6" w14:textId="77777777" w:rsidR="008715BE" w:rsidRPr="00EC75B7" w:rsidRDefault="00000000">
            <w:pPr>
              <w:pStyle w:val="TableParagraph"/>
              <w:ind w:left="588"/>
              <w:rPr>
                <w:rFonts w:ascii="Verdana" w:hAnsi="Verdana"/>
                <w:b/>
                <w:sz w:val="18"/>
                <w:szCs w:val="18"/>
              </w:rPr>
            </w:pPr>
            <w:r w:rsidRPr="00EC75B7">
              <w:rPr>
                <w:rFonts w:ascii="Verdana" w:hAnsi="Verdana"/>
                <w:b/>
                <w:sz w:val="18"/>
                <w:szCs w:val="18"/>
              </w:rPr>
              <w:t xml:space="preserve">Gabriela </w:t>
            </w:r>
            <w:r w:rsidRPr="00EC75B7">
              <w:rPr>
                <w:rFonts w:ascii="Verdana" w:hAnsi="Verdana"/>
                <w:b/>
                <w:spacing w:val="-2"/>
                <w:sz w:val="18"/>
                <w:szCs w:val="18"/>
              </w:rPr>
              <w:t>Mușat</w:t>
            </w:r>
          </w:p>
        </w:tc>
      </w:tr>
      <w:tr w:rsidR="008715BE" w:rsidRPr="00EC75B7" w14:paraId="7ABD5694" w14:textId="77777777" w:rsidTr="00351101">
        <w:trPr>
          <w:trHeight w:val="458"/>
        </w:trPr>
        <w:tc>
          <w:tcPr>
            <w:tcW w:w="1617" w:type="dxa"/>
          </w:tcPr>
          <w:p w14:paraId="00698091" w14:textId="77777777" w:rsidR="008715BE" w:rsidRPr="00EC75B7" w:rsidRDefault="008715BE">
            <w:pPr>
              <w:pStyle w:val="TableParagraph"/>
              <w:spacing w:before="29"/>
              <w:rPr>
                <w:rFonts w:ascii="Verdana" w:hAnsi="Verdana"/>
                <w:b/>
                <w:sz w:val="18"/>
                <w:szCs w:val="18"/>
              </w:rPr>
            </w:pPr>
          </w:p>
          <w:p w14:paraId="6A75EA1A" w14:textId="77777777" w:rsidR="008715BE" w:rsidRPr="00EC75B7" w:rsidRDefault="00000000">
            <w:pPr>
              <w:pStyle w:val="TableParagraph"/>
              <w:spacing w:line="189" w:lineRule="exact"/>
              <w:ind w:left="50"/>
              <w:rPr>
                <w:rFonts w:ascii="Verdana" w:hAnsi="Verdana"/>
                <w:b/>
                <w:sz w:val="18"/>
                <w:szCs w:val="18"/>
              </w:rPr>
            </w:pPr>
            <w:r w:rsidRPr="00EC75B7">
              <w:rPr>
                <w:rFonts w:ascii="Verdana" w:hAnsi="Verdana"/>
                <w:b/>
                <w:spacing w:val="-2"/>
                <w:sz w:val="18"/>
                <w:szCs w:val="18"/>
              </w:rPr>
              <w:t>Approved</w:t>
            </w:r>
          </w:p>
        </w:tc>
        <w:tc>
          <w:tcPr>
            <w:tcW w:w="4482" w:type="dxa"/>
          </w:tcPr>
          <w:p w14:paraId="48A2E6D3" w14:textId="77777777" w:rsidR="008715BE" w:rsidRPr="00EC75B7" w:rsidRDefault="008715BE">
            <w:pPr>
              <w:pStyle w:val="TableParagraph"/>
              <w:spacing w:before="29"/>
              <w:rPr>
                <w:rFonts w:ascii="Verdana" w:hAnsi="Verdana"/>
                <w:b/>
                <w:sz w:val="18"/>
                <w:szCs w:val="18"/>
              </w:rPr>
            </w:pPr>
          </w:p>
          <w:p w14:paraId="2C7E0CC9" w14:textId="77777777" w:rsidR="008715BE" w:rsidRPr="00EC75B7" w:rsidRDefault="00000000">
            <w:pPr>
              <w:pStyle w:val="TableParagraph"/>
              <w:spacing w:line="189" w:lineRule="exact"/>
              <w:ind w:left="588"/>
              <w:rPr>
                <w:rFonts w:ascii="Verdana" w:hAnsi="Verdana"/>
                <w:b/>
                <w:sz w:val="18"/>
                <w:szCs w:val="18"/>
              </w:rPr>
            </w:pPr>
            <w:r w:rsidRPr="00EC75B7">
              <w:rPr>
                <w:rFonts w:ascii="Verdana" w:hAnsi="Verdana"/>
                <w:b/>
                <w:sz w:val="18"/>
                <w:szCs w:val="18"/>
              </w:rPr>
              <w:t xml:space="preserve">Ileana </w:t>
            </w:r>
            <w:r w:rsidRPr="00EC75B7">
              <w:rPr>
                <w:rFonts w:ascii="Verdana" w:hAnsi="Verdana"/>
                <w:b/>
                <w:spacing w:val="-2"/>
                <w:sz w:val="18"/>
                <w:szCs w:val="18"/>
              </w:rPr>
              <w:t>Fălcescu</w:t>
            </w:r>
          </w:p>
        </w:tc>
      </w:tr>
    </w:tbl>
    <w:p w14:paraId="4CAF6A9E" w14:textId="77777777" w:rsidR="008715BE" w:rsidRPr="00EC75B7" w:rsidRDefault="008715BE">
      <w:pPr>
        <w:pStyle w:val="BodyText"/>
        <w:rPr>
          <w:rFonts w:ascii="Verdana" w:hAnsi="Verdana"/>
          <w:b/>
        </w:rPr>
      </w:pPr>
    </w:p>
    <w:p w14:paraId="009A1D2C" w14:textId="77777777" w:rsidR="008715BE" w:rsidRPr="00EC75B7" w:rsidRDefault="008715BE">
      <w:pPr>
        <w:pStyle w:val="BodyText"/>
        <w:rPr>
          <w:rFonts w:ascii="Verdana" w:hAnsi="Verdana"/>
          <w:b/>
        </w:rPr>
      </w:pPr>
    </w:p>
    <w:p w14:paraId="335DD86F" w14:textId="77777777" w:rsidR="008715BE" w:rsidRPr="00EC75B7" w:rsidRDefault="008715BE">
      <w:pPr>
        <w:pStyle w:val="BodyText"/>
        <w:rPr>
          <w:rFonts w:ascii="Verdana" w:hAnsi="Verdana"/>
          <w:b/>
        </w:rPr>
      </w:pPr>
    </w:p>
    <w:p w14:paraId="3244DDB0" w14:textId="77777777" w:rsidR="008715BE" w:rsidRPr="00EC75B7" w:rsidRDefault="008715BE">
      <w:pPr>
        <w:pStyle w:val="BodyText"/>
        <w:rPr>
          <w:rFonts w:ascii="Verdana" w:hAnsi="Verdana"/>
          <w:b/>
        </w:rPr>
      </w:pPr>
    </w:p>
    <w:p w14:paraId="16F9733B" w14:textId="77777777" w:rsidR="008715BE" w:rsidRPr="00EC75B7" w:rsidRDefault="008715BE">
      <w:pPr>
        <w:pStyle w:val="BodyText"/>
        <w:rPr>
          <w:rFonts w:ascii="Verdana" w:hAnsi="Verdana"/>
          <w:b/>
        </w:rPr>
      </w:pPr>
    </w:p>
    <w:p w14:paraId="7AC668CC" w14:textId="77777777" w:rsidR="008715BE" w:rsidRPr="00EC75B7" w:rsidRDefault="008715BE">
      <w:pPr>
        <w:pStyle w:val="BodyText"/>
        <w:rPr>
          <w:rFonts w:ascii="Verdana" w:hAnsi="Verdana"/>
          <w:b/>
        </w:rPr>
      </w:pPr>
    </w:p>
    <w:p w14:paraId="28AF51CF" w14:textId="77777777" w:rsidR="008715BE" w:rsidRPr="00EC75B7" w:rsidRDefault="008715BE">
      <w:pPr>
        <w:pStyle w:val="BodyText"/>
        <w:rPr>
          <w:rFonts w:ascii="Verdana" w:hAnsi="Verdana"/>
          <w:b/>
        </w:rPr>
      </w:pPr>
    </w:p>
    <w:p w14:paraId="68E23F73" w14:textId="77777777" w:rsidR="008715BE" w:rsidRPr="00EC75B7" w:rsidRDefault="008715BE">
      <w:pPr>
        <w:pStyle w:val="BodyText"/>
        <w:rPr>
          <w:rFonts w:ascii="Verdana" w:hAnsi="Verdana"/>
          <w:b/>
        </w:rPr>
      </w:pPr>
    </w:p>
    <w:p w14:paraId="4AA90308" w14:textId="77777777" w:rsidR="008715BE" w:rsidRPr="00EC75B7" w:rsidRDefault="008715BE">
      <w:pPr>
        <w:pStyle w:val="BodyText"/>
        <w:rPr>
          <w:rFonts w:ascii="Verdana" w:hAnsi="Verdana"/>
          <w:b/>
        </w:rPr>
      </w:pPr>
    </w:p>
    <w:p w14:paraId="50E62518" w14:textId="77777777" w:rsidR="008715BE" w:rsidRPr="00EC75B7" w:rsidRDefault="008715BE">
      <w:pPr>
        <w:pStyle w:val="BodyText"/>
        <w:rPr>
          <w:rFonts w:ascii="Verdana" w:hAnsi="Verdana"/>
          <w:b/>
        </w:rPr>
      </w:pPr>
    </w:p>
    <w:p w14:paraId="2829E5BC" w14:textId="77777777" w:rsidR="008715BE" w:rsidRPr="00EC75B7" w:rsidRDefault="008715BE">
      <w:pPr>
        <w:pStyle w:val="BodyText"/>
        <w:rPr>
          <w:rFonts w:ascii="Verdana" w:hAnsi="Verdana"/>
          <w:b/>
        </w:rPr>
      </w:pPr>
    </w:p>
    <w:p w14:paraId="6A5F12DE" w14:textId="77777777" w:rsidR="008715BE" w:rsidRPr="00EC75B7" w:rsidRDefault="008715BE">
      <w:pPr>
        <w:pStyle w:val="BodyText"/>
        <w:rPr>
          <w:rFonts w:ascii="Verdana" w:hAnsi="Verdana"/>
          <w:b/>
        </w:rPr>
      </w:pPr>
    </w:p>
    <w:p w14:paraId="5C63C9FB" w14:textId="77777777" w:rsidR="008715BE" w:rsidRPr="00EC75B7" w:rsidRDefault="008715BE">
      <w:pPr>
        <w:pStyle w:val="BodyText"/>
        <w:rPr>
          <w:rFonts w:ascii="Verdana" w:hAnsi="Verdana"/>
          <w:b/>
        </w:rPr>
      </w:pPr>
    </w:p>
    <w:p w14:paraId="7B487B45" w14:textId="77777777" w:rsidR="008715BE" w:rsidRPr="00EC75B7" w:rsidRDefault="008715BE">
      <w:pPr>
        <w:pStyle w:val="BodyText"/>
        <w:rPr>
          <w:rFonts w:ascii="Verdana" w:hAnsi="Verdana"/>
          <w:b/>
        </w:rPr>
      </w:pPr>
    </w:p>
    <w:p w14:paraId="26AE0526" w14:textId="77777777" w:rsidR="008715BE" w:rsidRPr="00EC75B7" w:rsidRDefault="008715BE">
      <w:pPr>
        <w:pStyle w:val="BodyText"/>
        <w:rPr>
          <w:rFonts w:ascii="Verdana" w:hAnsi="Verdana"/>
          <w:b/>
        </w:rPr>
      </w:pPr>
    </w:p>
    <w:p w14:paraId="7D0838AD" w14:textId="77777777" w:rsidR="008715BE" w:rsidRPr="00EC75B7" w:rsidRDefault="008715BE">
      <w:pPr>
        <w:pStyle w:val="BodyText"/>
        <w:rPr>
          <w:rFonts w:ascii="Verdana" w:hAnsi="Verdana"/>
          <w:b/>
        </w:rPr>
      </w:pPr>
    </w:p>
    <w:p w14:paraId="3F7335B1" w14:textId="77777777" w:rsidR="008715BE" w:rsidRPr="00EC75B7" w:rsidRDefault="008715BE">
      <w:pPr>
        <w:pStyle w:val="BodyText"/>
        <w:rPr>
          <w:rFonts w:ascii="Verdana" w:hAnsi="Verdana"/>
          <w:b/>
        </w:rPr>
      </w:pPr>
    </w:p>
    <w:p w14:paraId="41DF900E" w14:textId="77777777" w:rsidR="008715BE" w:rsidRPr="00EC75B7" w:rsidRDefault="008715BE">
      <w:pPr>
        <w:pStyle w:val="BodyText"/>
        <w:rPr>
          <w:rFonts w:ascii="Verdana" w:hAnsi="Verdana"/>
          <w:b/>
        </w:rPr>
      </w:pPr>
    </w:p>
    <w:p w14:paraId="38A6513D" w14:textId="77777777" w:rsidR="008715BE" w:rsidRPr="00EC75B7" w:rsidRDefault="008715BE">
      <w:pPr>
        <w:pStyle w:val="BodyText"/>
        <w:rPr>
          <w:rFonts w:ascii="Verdana" w:hAnsi="Verdana"/>
          <w:b/>
        </w:rPr>
      </w:pPr>
    </w:p>
    <w:p w14:paraId="5F875711" w14:textId="77777777" w:rsidR="008715BE" w:rsidRPr="00EC75B7" w:rsidRDefault="008715BE">
      <w:pPr>
        <w:pStyle w:val="BodyText"/>
        <w:rPr>
          <w:rFonts w:ascii="Verdana" w:hAnsi="Verdana"/>
          <w:b/>
        </w:rPr>
      </w:pPr>
    </w:p>
    <w:p w14:paraId="66241312" w14:textId="77777777" w:rsidR="008715BE" w:rsidRPr="00EC75B7" w:rsidRDefault="008715BE">
      <w:pPr>
        <w:pStyle w:val="BodyText"/>
        <w:rPr>
          <w:rFonts w:ascii="Verdana" w:hAnsi="Verdana"/>
          <w:b/>
        </w:rPr>
      </w:pPr>
    </w:p>
    <w:p w14:paraId="10FC88F6" w14:textId="77777777" w:rsidR="008715BE" w:rsidRPr="00EC75B7" w:rsidRDefault="008715BE">
      <w:pPr>
        <w:pStyle w:val="BodyText"/>
        <w:rPr>
          <w:rFonts w:ascii="Verdana" w:hAnsi="Verdana"/>
          <w:b/>
        </w:rPr>
      </w:pPr>
    </w:p>
    <w:p w14:paraId="431EFCAA" w14:textId="77777777" w:rsidR="008715BE" w:rsidRPr="00EC75B7" w:rsidRDefault="008715BE">
      <w:pPr>
        <w:pStyle w:val="BodyText"/>
        <w:rPr>
          <w:rFonts w:ascii="Verdana" w:hAnsi="Verdana"/>
          <w:b/>
        </w:rPr>
      </w:pPr>
    </w:p>
    <w:p w14:paraId="16CFE18C" w14:textId="77777777" w:rsidR="008715BE" w:rsidRPr="00EC75B7" w:rsidRDefault="008715BE">
      <w:pPr>
        <w:pStyle w:val="BodyText"/>
        <w:rPr>
          <w:rFonts w:ascii="Verdana" w:hAnsi="Verdana"/>
          <w:b/>
        </w:rPr>
      </w:pPr>
    </w:p>
    <w:p w14:paraId="400C7EE4" w14:textId="77777777" w:rsidR="008715BE" w:rsidRPr="00EC75B7" w:rsidRDefault="008715BE">
      <w:pPr>
        <w:pStyle w:val="BodyText"/>
        <w:rPr>
          <w:rFonts w:ascii="Verdana" w:hAnsi="Verdana"/>
          <w:b/>
        </w:rPr>
      </w:pPr>
    </w:p>
    <w:p w14:paraId="3A6CD229" w14:textId="77777777" w:rsidR="008715BE" w:rsidRPr="00EC75B7" w:rsidRDefault="008715BE">
      <w:pPr>
        <w:pStyle w:val="BodyText"/>
        <w:rPr>
          <w:rFonts w:ascii="Verdana" w:hAnsi="Verdana"/>
          <w:b/>
        </w:rPr>
      </w:pPr>
    </w:p>
    <w:p w14:paraId="7BC746DB" w14:textId="77777777" w:rsidR="008715BE" w:rsidRPr="00EC75B7" w:rsidRDefault="008715BE">
      <w:pPr>
        <w:pStyle w:val="BodyText"/>
        <w:rPr>
          <w:rFonts w:ascii="Verdana" w:hAnsi="Verdana"/>
          <w:b/>
        </w:rPr>
      </w:pPr>
    </w:p>
    <w:p w14:paraId="26F64934" w14:textId="77777777" w:rsidR="008715BE" w:rsidRPr="00EC75B7" w:rsidRDefault="008715BE">
      <w:pPr>
        <w:pStyle w:val="BodyText"/>
        <w:rPr>
          <w:rFonts w:ascii="Verdana" w:hAnsi="Verdana"/>
          <w:b/>
        </w:rPr>
      </w:pPr>
    </w:p>
    <w:p w14:paraId="51631D4A" w14:textId="77777777" w:rsidR="008715BE" w:rsidRPr="00EC75B7" w:rsidRDefault="008715BE">
      <w:pPr>
        <w:pStyle w:val="BodyText"/>
        <w:spacing w:before="96"/>
        <w:rPr>
          <w:rFonts w:ascii="Verdana" w:hAnsi="Verdana"/>
          <w:b/>
        </w:rPr>
      </w:pPr>
    </w:p>
    <w:p w14:paraId="62679212" w14:textId="77777777" w:rsidR="008715BE" w:rsidRPr="00EC75B7" w:rsidRDefault="00000000">
      <w:pPr>
        <w:spacing w:before="1"/>
        <w:ind w:right="1120"/>
        <w:jc w:val="right"/>
        <w:rPr>
          <w:rFonts w:ascii="Verdana" w:hAnsi="Verdana"/>
          <w:sz w:val="18"/>
          <w:szCs w:val="18"/>
        </w:rPr>
      </w:pPr>
      <w:r w:rsidRPr="00EC75B7">
        <w:rPr>
          <w:rFonts w:ascii="Verdana" w:hAnsi="Verdana"/>
          <w:spacing w:val="-10"/>
          <w:sz w:val="18"/>
          <w:szCs w:val="18"/>
        </w:rPr>
        <w:t>2</w:t>
      </w:r>
    </w:p>
    <w:p w14:paraId="3A5BB5D9" w14:textId="77777777" w:rsidR="008715BE" w:rsidRPr="00EC75B7" w:rsidRDefault="008715BE">
      <w:pPr>
        <w:jc w:val="right"/>
        <w:rPr>
          <w:rFonts w:ascii="Verdana" w:hAnsi="Verdana"/>
          <w:sz w:val="18"/>
          <w:szCs w:val="18"/>
        </w:rPr>
        <w:sectPr w:rsidR="008715BE" w:rsidRPr="00EC75B7">
          <w:headerReference w:type="default" r:id="rId13"/>
          <w:pgSz w:w="11910" w:h="16840"/>
          <w:pgMar w:top="1160" w:right="141" w:bottom="280" w:left="425" w:header="960" w:footer="0" w:gutter="0"/>
          <w:cols w:space="708"/>
        </w:sectPr>
      </w:pPr>
    </w:p>
    <w:p w14:paraId="6B5C2297" w14:textId="77777777" w:rsidR="008715BE" w:rsidRPr="00EC75B7" w:rsidRDefault="00000000">
      <w:pPr>
        <w:spacing w:before="246"/>
        <w:ind w:left="873"/>
        <w:rPr>
          <w:rFonts w:ascii="Verdana" w:hAnsi="Verdana"/>
          <w:b/>
          <w:sz w:val="18"/>
          <w:szCs w:val="18"/>
        </w:rPr>
      </w:pPr>
      <w:r w:rsidRPr="00EC75B7">
        <w:rPr>
          <w:rFonts w:ascii="Verdana" w:hAnsi="Verdana"/>
          <w:b/>
          <w:color w:val="009DEF"/>
          <w:spacing w:val="-2"/>
          <w:sz w:val="18"/>
          <w:szCs w:val="18"/>
        </w:rPr>
        <w:lastRenderedPageBreak/>
        <w:t>Table of contents</w:t>
      </w:r>
    </w:p>
    <w:p w14:paraId="48A7F61D" w14:textId="77777777" w:rsidR="008715BE" w:rsidRPr="00EC75B7" w:rsidRDefault="008715BE">
      <w:pPr>
        <w:rPr>
          <w:rFonts w:ascii="Verdana" w:hAnsi="Verdana"/>
          <w:b/>
          <w:sz w:val="18"/>
          <w:szCs w:val="18"/>
        </w:rPr>
        <w:sectPr w:rsidR="008715BE" w:rsidRPr="00EC75B7">
          <w:headerReference w:type="default" r:id="rId14"/>
          <w:footerReference w:type="default" r:id="rId15"/>
          <w:pgSz w:w="11910" w:h="16840"/>
          <w:pgMar w:top="1160" w:right="141" w:bottom="1088" w:left="425" w:header="766" w:footer="824" w:gutter="0"/>
          <w:pgNumType w:start="3"/>
          <w:cols w:space="708"/>
        </w:sectPr>
      </w:pPr>
    </w:p>
    <w:sdt>
      <w:sdtPr>
        <w:rPr>
          <w:rFonts w:ascii="Verdana" w:hAnsi="Verdana"/>
          <w:sz w:val="18"/>
          <w:szCs w:val="18"/>
        </w:rPr>
        <w:id w:val="695070530"/>
        <w:docPartObj>
          <w:docPartGallery w:val="Table of Contents"/>
          <w:docPartUnique/>
        </w:docPartObj>
      </w:sdtPr>
      <w:sdtContent>
        <w:p w14:paraId="6E9988BB" w14:textId="77777777" w:rsidR="008715BE" w:rsidRPr="00EC75B7" w:rsidRDefault="008715BE">
          <w:pPr>
            <w:pStyle w:val="TOC1"/>
            <w:numPr>
              <w:ilvl w:val="0"/>
              <w:numId w:val="119"/>
            </w:numPr>
            <w:tabs>
              <w:tab w:val="left" w:pos="1413"/>
              <w:tab w:val="left" w:leader="dot" w:pos="10230"/>
            </w:tabs>
            <w:spacing w:before="254" w:line="267" w:lineRule="exact"/>
            <w:rPr>
              <w:rFonts w:ascii="Verdana" w:hAnsi="Verdana"/>
              <w:sz w:val="18"/>
              <w:szCs w:val="18"/>
            </w:rPr>
          </w:pPr>
          <w:hyperlink w:anchor="_bookmark0" w:history="1">
            <w:r w:rsidRPr="00EC75B7">
              <w:rPr>
                <w:rFonts w:ascii="Verdana" w:hAnsi="Verdana"/>
                <w:color w:val="009DEF"/>
                <w:spacing w:val="-2"/>
                <w:sz w:val="18"/>
                <w:szCs w:val="18"/>
              </w:rPr>
              <w:t>INTRODUCTION</w:t>
            </w:r>
            <w:r w:rsidRPr="00EC75B7">
              <w:rPr>
                <w:rFonts w:ascii="Verdana" w:hAnsi="Verdana"/>
                <w:color w:val="009DEF"/>
                <w:sz w:val="18"/>
                <w:szCs w:val="18"/>
              </w:rPr>
              <w:tab/>
            </w:r>
            <w:r w:rsidRPr="00EC75B7">
              <w:rPr>
                <w:rFonts w:ascii="Verdana" w:hAnsi="Verdana"/>
                <w:color w:val="009DEF"/>
                <w:spacing w:val="-10"/>
                <w:sz w:val="18"/>
                <w:szCs w:val="18"/>
              </w:rPr>
              <w:t>7</w:t>
            </w:r>
          </w:hyperlink>
        </w:p>
        <w:p w14:paraId="131F51BE" w14:textId="77777777" w:rsidR="008715BE" w:rsidRPr="00EC75B7" w:rsidRDefault="008715BE">
          <w:pPr>
            <w:pStyle w:val="TOC1"/>
            <w:numPr>
              <w:ilvl w:val="0"/>
              <w:numId w:val="119"/>
            </w:numPr>
            <w:tabs>
              <w:tab w:val="left" w:pos="1413"/>
              <w:tab w:val="left" w:leader="dot" w:pos="10230"/>
            </w:tabs>
            <w:spacing w:line="266" w:lineRule="exact"/>
            <w:rPr>
              <w:rFonts w:ascii="Verdana" w:hAnsi="Verdana"/>
              <w:sz w:val="18"/>
              <w:szCs w:val="18"/>
            </w:rPr>
          </w:pPr>
          <w:hyperlink w:anchor="_bookmark1" w:history="1">
            <w:r w:rsidRPr="00EC75B7">
              <w:rPr>
                <w:rFonts w:ascii="Verdana" w:hAnsi="Verdana"/>
                <w:color w:val="009DEF"/>
                <w:spacing w:val="-2"/>
                <w:sz w:val="18"/>
                <w:szCs w:val="18"/>
              </w:rPr>
              <w:t xml:space="preserve">PROJECT </w:t>
            </w:r>
            <w:r w:rsidRPr="00EC75B7">
              <w:rPr>
                <w:rFonts w:ascii="Verdana" w:hAnsi="Verdana"/>
                <w:color w:val="009DEF"/>
                <w:sz w:val="18"/>
                <w:szCs w:val="18"/>
              </w:rPr>
              <w:t>OWNER</w:t>
            </w:r>
            <w:r w:rsidRPr="00EC75B7">
              <w:rPr>
                <w:rFonts w:ascii="Verdana" w:hAnsi="Verdana"/>
                <w:color w:val="009DEF"/>
                <w:sz w:val="18"/>
                <w:szCs w:val="18"/>
              </w:rPr>
              <w:tab/>
            </w:r>
            <w:r w:rsidRPr="00EC75B7">
              <w:rPr>
                <w:rFonts w:ascii="Verdana" w:hAnsi="Verdana"/>
                <w:color w:val="009DEF"/>
                <w:spacing w:val="-10"/>
                <w:sz w:val="18"/>
                <w:szCs w:val="18"/>
              </w:rPr>
              <w:t>8</w:t>
            </w:r>
          </w:hyperlink>
        </w:p>
        <w:p w14:paraId="338F9767" w14:textId="77777777" w:rsidR="008715BE" w:rsidRPr="00EC75B7" w:rsidRDefault="008715BE">
          <w:pPr>
            <w:pStyle w:val="TOC1"/>
            <w:numPr>
              <w:ilvl w:val="0"/>
              <w:numId w:val="119"/>
            </w:numPr>
            <w:tabs>
              <w:tab w:val="left" w:pos="1411"/>
              <w:tab w:val="left" w:leader="dot" w:pos="10230"/>
            </w:tabs>
            <w:spacing w:line="267" w:lineRule="exact"/>
            <w:ind w:left="1411" w:hanging="538"/>
            <w:rPr>
              <w:rFonts w:ascii="Verdana" w:hAnsi="Verdana"/>
              <w:sz w:val="18"/>
              <w:szCs w:val="18"/>
            </w:rPr>
          </w:pPr>
          <w:hyperlink w:anchor="_bookmark2" w:history="1">
            <w:r w:rsidRPr="00EC75B7">
              <w:rPr>
                <w:rFonts w:ascii="Verdana" w:hAnsi="Verdana"/>
                <w:color w:val="009DEF"/>
                <w:spacing w:val="-2"/>
                <w:sz w:val="18"/>
                <w:szCs w:val="18"/>
              </w:rPr>
              <w:t xml:space="preserve">PROJECT </w:t>
            </w:r>
            <w:r w:rsidRPr="00EC75B7">
              <w:rPr>
                <w:rFonts w:ascii="Verdana" w:hAnsi="Verdana"/>
                <w:color w:val="009DEF"/>
                <w:sz w:val="18"/>
                <w:szCs w:val="18"/>
              </w:rPr>
              <w:t>DESCRIPTION</w:t>
            </w:r>
            <w:r w:rsidRPr="00EC75B7">
              <w:rPr>
                <w:rFonts w:ascii="Verdana" w:hAnsi="Verdana"/>
                <w:color w:val="009DEF"/>
                <w:sz w:val="18"/>
                <w:szCs w:val="18"/>
              </w:rPr>
              <w:tab/>
            </w:r>
            <w:r w:rsidRPr="00EC75B7">
              <w:rPr>
                <w:rFonts w:ascii="Verdana" w:hAnsi="Verdana"/>
                <w:color w:val="009DEF"/>
                <w:spacing w:val="-10"/>
                <w:sz w:val="18"/>
                <w:szCs w:val="18"/>
              </w:rPr>
              <w:t>8</w:t>
            </w:r>
          </w:hyperlink>
        </w:p>
        <w:p w14:paraId="26B018CB" w14:textId="77777777" w:rsidR="008715BE" w:rsidRPr="00EC75B7" w:rsidRDefault="008715BE">
          <w:pPr>
            <w:pStyle w:val="TOC2"/>
            <w:numPr>
              <w:ilvl w:val="1"/>
              <w:numId w:val="119"/>
            </w:numPr>
            <w:tabs>
              <w:tab w:val="left" w:pos="1769"/>
              <w:tab w:val="left" w:leader="dot" w:pos="10230"/>
            </w:tabs>
            <w:spacing w:line="243" w:lineRule="exact"/>
            <w:ind w:left="1769" w:hanging="716"/>
            <w:rPr>
              <w:rFonts w:ascii="Verdana" w:hAnsi="Verdana"/>
              <w:sz w:val="18"/>
              <w:szCs w:val="18"/>
            </w:rPr>
          </w:pPr>
          <w:hyperlink w:anchor="_bookmark3" w:history="1">
            <w:r w:rsidRPr="00EC75B7">
              <w:rPr>
                <w:rFonts w:ascii="Verdana" w:hAnsi="Verdana"/>
                <w:spacing w:val="5"/>
                <w:sz w:val="18"/>
                <w:szCs w:val="18"/>
              </w:rPr>
              <w:t>Over</w:t>
            </w:r>
            <w:r w:rsidRPr="00EC75B7">
              <w:rPr>
                <w:rFonts w:ascii="Verdana" w:hAnsi="Verdana"/>
                <w:sz w:val="18"/>
                <w:szCs w:val="18"/>
              </w:rPr>
              <w:t xml:space="preserve">view of </w:t>
            </w:r>
            <w:r w:rsidRPr="00EC75B7">
              <w:rPr>
                <w:rFonts w:ascii="Verdana" w:hAnsi="Verdana"/>
                <w:spacing w:val="-2"/>
                <w:sz w:val="18"/>
                <w:szCs w:val="18"/>
              </w:rPr>
              <w:t>the project</w:t>
            </w:r>
            <w:r w:rsidRPr="00EC75B7">
              <w:rPr>
                <w:rFonts w:ascii="Verdana" w:hAnsi="Verdana"/>
                <w:b w:val="0"/>
                <w:sz w:val="18"/>
                <w:szCs w:val="18"/>
              </w:rPr>
              <w:tab/>
            </w:r>
            <w:r w:rsidRPr="00EC75B7">
              <w:rPr>
                <w:rFonts w:ascii="Verdana" w:hAnsi="Verdana"/>
                <w:spacing w:val="-10"/>
                <w:sz w:val="18"/>
                <w:szCs w:val="18"/>
              </w:rPr>
              <w:t>8</w:t>
            </w:r>
          </w:hyperlink>
        </w:p>
        <w:p w14:paraId="4CB3FD6F" w14:textId="77777777" w:rsidR="008715BE" w:rsidRPr="00EC75B7" w:rsidRDefault="008715BE">
          <w:pPr>
            <w:pStyle w:val="TOC2"/>
            <w:numPr>
              <w:ilvl w:val="1"/>
              <w:numId w:val="119"/>
            </w:numPr>
            <w:tabs>
              <w:tab w:val="left" w:pos="1769"/>
              <w:tab w:val="left" w:leader="dot" w:pos="10230"/>
            </w:tabs>
            <w:spacing w:line="242" w:lineRule="exact"/>
            <w:ind w:left="1769" w:hanging="716"/>
            <w:rPr>
              <w:rFonts w:ascii="Verdana" w:hAnsi="Verdana"/>
              <w:sz w:val="18"/>
              <w:szCs w:val="18"/>
            </w:rPr>
          </w:pPr>
          <w:hyperlink w:anchor="_bookmark4" w:history="1">
            <w:r w:rsidRPr="00EC75B7">
              <w:rPr>
                <w:rFonts w:ascii="Verdana" w:hAnsi="Verdana"/>
                <w:spacing w:val="-2"/>
                <w:sz w:val="18"/>
                <w:szCs w:val="18"/>
              </w:rPr>
              <w:t xml:space="preserve">Project </w:t>
            </w:r>
            <w:r w:rsidRPr="00EC75B7">
              <w:rPr>
                <w:rFonts w:ascii="Verdana" w:hAnsi="Verdana"/>
                <w:sz w:val="18"/>
                <w:szCs w:val="18"/>
              </w:rPr>
              <w:t>location</w:t>
            </w:r>
            <w:r w:rsidRPr="00EC75B7">
              <w:rPr>
                <w:rFonts w:ascii="Verdana" w:hAnsi="Verdana"/>
                <w:sz w:val="18"/>
                <w:szCs w:val="18"/>
              </w:rPr>
              <w:tab/>
            </w:r>
            <w:r w:rsidRPr="00EC75B7">
              <w:rPr>
                <w:rFonts w:ascii="Verdana" w:hAnsi="Verdana"/>
                <w:spacing w:val="-5"/>
                <w:sz w:val="18"/>
                <w:szCs w:val="18"/>
              </w:rPr>
              <w:t>11</w:t>
            </w:r>
          </w:hyperlink>
        </w:p>
        <w:p w14:paraId="300E756D" w14:textId="77777777" w:rsidR="008715BE" w:rsidRPr="00EC75B7" w:rsidRDefault="008715BE">
          <w:pPr>
            <w:pStyle w:val="TOC2"/>
            <w:numPr>
              <w:ilvl w:val="1"/>
              <w:numId w:val="119"/>
            </w:numPr>
            <w:tabs>
              <w:tab w:val="left" w:pos="1769"/>
              <w:tab w:val="left" w:leader="dot" w:pos="10230"/>
            </w:tabs>
            <w:spacing w:line="243" w:lineRule="exact"/>
            <w:ind w:left="1769" w:hanging="716"/>
            <w:rPr>
              <w:rFonts w:ascii="Verdana" w:hAnsi="Verdana"/>
              <w:sz w:val="18"/>
              <w:szCs w:val="18"/>
            </w:rPr>
          </w:pPr>
          <w:hyperlink w:anchor="_bookmark5" w:history="1">
            <w:r w:rsidRPr="00EC75B7">
              <w:rPr>
                <w:rFonts w:ascii="Verdana" w:hAnsi="Verdana"/>
                <w:sz w:val="18"/>
                <w:szCs w:val="18"/>
              </w:rPr>
              <w:t xml:space="preserve">Description of the physical characteristics of </w:t>
            </w:r>
            <w:r w:rsidRPr="00EC75B7">
              <w:rPr>
                <w:rFonts w:ascii="Verdana" w:hAnsi="Verdana"/>
                <w:spacing w:val="-2"/>
                <w:sz w:val="18"/>
                <w:szCs w:val="18"/>
              </w:rPr>
              <w:t>the project</w:t>
            </w:r>
            <w:r w:rsidRPr="00EC75B7">
              <w:rPr>
                <w:rFonts w:ascii="Verdana" w:hAnsi="Verdana"/>
                <w:sz w:val="18"/>
                <w:szCs w:val="18"/>
              </w:rPr>
              <w:tab/>
            </w:r>
            <w:r w:rsidRPr="00EC75B7">
              <w:rPr>
                <w:rFonts w:ascii="Verdana" w:hAnsi="Verdana"/>
                <w:spacing w:val="-5"/>
                <w:sz w:val="18"/>
                <w:szCs w:val="18"/>
              </w:rPr>
              <w:t>12</w:t>
            </w:r>
          </w:hyperlink>
        </w:p>
        <w:p w14:paraId="35BB91DE" w14:textId="77777777" w:rsidR="008715BE" w:rsidRPr="00EC75B7" w:rsidRDefault="008715BE">
          <w:pPr>
            <w:pStyle w:val="TOC3"/>
            <w:numPr>
              <w:ilvl w:val="2"/>
              <w:numId w:val="118"/>
            </w:numPr>
            <w:tabs>
              <w:tab w:val="left" w:pos="1951"/>
              <w:tab w:val="left" w:leader="dot" w:pos="10230"/>
            </w:tabs>
            <w:ind w:left="1951" w:hanging="718"/>
            <w:rPr>
              <w:rFonts w:ascii="Verdana" w:hAnsi="Verdana"/>
              <w:b w:val="0"/>
            </w:rPr>
          </w:pPr>
          <w:hyperlink w:anchor="_bookmark6" w:history="1">
            <w:r w:rsidRPr="00EC75B7">
              <w:rPr>
                <w:rFonts w:ascii="Verdana" w:hAnsi="Verdana"/>
                <w:spacing w:val="-2"/>
              </w:rPr>
              <w:t xml:space="preserve">Current </w:t>
            </w:r>
            <w:r w:rsidRPr="00EC75B7">
              <w:rPr>
                <w:rFonts w:ascii="Verdana" w:hAnsi="Verdana"/>
              </w:rPr>
              <w:t>situation</w:t>
            </w:r>
            <w:r w:rsidRPr="00EC75B7">
              <w:rPr>
                <w:rFonts w:ascii="Verdana" w:hAnsi="Verdana"/>
                <w:b w:val="0"/>
                <w:i w:val="0"/>
              </w:rPr>
              <w:tab/>
            </w:r>
            <w:r w:rsidRPr="00EC75B7">
              <w:rPr>
                <w:rFonts w:ascii="Verdana" w:hAnsi="Verdana"/>
                <w:b w:val="0"/>
                <w:spacing w:val="-5"/>
              </w:rPr>
              <w:t>12</w:t>
            </w:r>
          </w:hyperlink>
        </w:p>
        <w:p w14:paraId="77D7BF1F" w14:textId="77777777" w:rsidR="008715BE" w:rsidRPr="00EC75B7" w:rsidRDefault="008715BE">
          <w:pPr>
            <w:pStyle w:val="TOC3"/>
            <w:numPr>
              <w:ilvl w:val="2"/>
              <w:numId w:val="118"/>
            </w:numPr>
            <w:tabs>
              <w:tab w:val="left" w:pos="1951"/>
              <w:tab w:val="left" w:leader="dot" w:pos="10230"/>
            </w:tabs>
            <w:spacing w:before="40"/>
            <w:ind w:left="1951" w:hanging="718"/>
            <w:rPr>
              <w:rFonts w:ascii="Verdana" w:hAnsi="Verdana"/>
              <w:b w:val="0"/>
            </w:rPr>
          </w:pPr>
          <w:hyperlink w:anchor="_bookmark7" w:history="1">
            <w:r w:rsidRPr="00EC75B7">
              <w:rPr>
                <w:rFonts w:ascii="Verdana" w:hAnsi="Verdana"/>
              </w:rPr>
              <w:t xml:space="preserve">Main stages of </w:t>
            </w:r>
            <w:r w:rsidRPr="00EC75B7">
              <w:rPr>
                <w:rFonts w:ascii="Verdana" w:hAnsi="Verdana"/>
                <w:spacing w:val="-2"/>
              </w:rPr>
              <w:t>the project</w:t>
            </w:r>
            <w:r w:rsidRPr="00EC75B7">
              <w:rPr>
                <w:rFonts w:ascii="Verdana" w:hAnsi="Verdana"/>
              </w:rPr>
              <w:tab/>
            </w:r>
            <w:r w:rsidRPr="00EC75B7">
              <w:rPr>
                <w:rFonts w:ascii="Verdana" w:hAnsi="Verdana"/>
                <w:b w:val="0"/>
                <w:spacing w:val="-5"/>
              </w:rPr>
              <w:t>13</w:t>
            </w:r>
          </w:hyperlink>
        </w:p>
        <w:p w14:paraId="2ACC016C" w14:textId="77777777" w:rsidR="008715BE" w:rsidRPr="00EC75B7" w:rsidRDefault="008715BE">
          <w:pPr>
            <w:pStyle w:val="TOC3"/>
            <w:numPr>
              <w:ilvl w:val="2"/>
              <w:numId w:val="118"/>
            </w:numPr>
            <w:tabs>
              <w:tab w:val="left" w:pos="1951"/>
              <w:tab w:val="left" w:leader="dot" w:pos="10230"/>
            </w:tabs>
            <w:ind w:left="1951" w:hanging="718"/>
            <w:rPr>
              <w:rFonts w:ascii="Verdana" w:hAnsi="Verdana"/>
              <w:b w:val="0"/>
            </w:rPr>
          </w:pPr>
          <w:hyperlink w:anchor="_bookmark8" w:history="1">
            <w:r w:rsidRPr="00EC75B7">
              <w:rPr>
                <w:rFonts w:ascii="Verdana" w:hAnsi="Verdana"/>
                <w:spacing w:val="-2"/>
              </w:rPr>
              <w:t xml:space="preserve">Project </w:t>
            </w:r>
            <w:r w:rsidRPr="00EC75B7">
              <w:rPr>
                <w:rFonts w:ascii="Verdana" w:hAnsi="Verdana"/>
              </w:rPr>
              <w:t>implementation schedule</w:t>
            </w:r>
            <w:r w:rsidRPr="00EC75B7">
              <w:rPr>
                <w:rFonts w:ascii="Verdana" w:hAnsi="Verdana"/>
                <w:b w:val="0"/>
                <w:i w:val="0"/>
              </w:rPr>
              <w:tab/>
            </w:r>
            <w:r w:rsidRPr="00EC75B7">
              <w:rPr>
                <w:rFonts w:ascii="Verdana" w:hAnsi="Verdana"/>
                <w:b w:val="0"/>
                <w:spacing w:val="-5"/>
              </w:rPr>
              <w:t>13</w:t>
            </w:r>
          </w:hyperlink>
        </w:p>
        <w:p w14:paraId="6F5F5B22" w14:textId="77777777" w:rsidR="008715BE" w:rsidRPr="00EC75B7" w:rsidRDefault="008715BE">
          <w:pPr>
            <w:pStyle w:val="TOC3"/>
            <w:numPr>
              <w:ilvl w:val="2"/>
              <w:numId w:val="118"/>
            </w:numPr>
            <w:tabs>
              <w:tab w:val="left" w:pos="1951"/>
              <w:tab w:val="left" w:leader="dot" w:pos="10230"/>
            </w:tabs>
            <w:spacing w:before="42"/>
            <w:ind w:left="1951" w:hanging="718"/>
            <w:rPr>
              <w:rFonts w:ascii="Verdana" w:hAnsi="Verdana"/>
              <w:b w:val="0"/>
            </w:rPr>
          </w:pPr>
          <w:hyperlink w:anchor="_bookmark9" w:history="1">
            <w:r w:rsidRPr="00EC75B7">
              <w:rPr>
                <w:rFonts w:ascii="Verdana" w:hAnsi="Verdana"/>
              </w:rPr>
              <w:t xml:space="preserve">Transport route for </w:t>
            </w:r>
            <w:r w:rsidRPr="00EC75B7">
              <w:rPr>
                <w:rFonts w:ascii="Verdana" w:hAnsi="Verdana"/>
                <w:spacing w:val="-2"/>
              </w:rPr>
              <w:t xml:space="preserve">turbine </w:t>
            </w:r>
            <w:r w:rsidRPr="00EC75B7">
              <w:rPr>
                <w:rFonts w:ascii="Verdana" w:hAnsi="Verdana"/>
              </w:rPr>
              <w:t>components</w:t>
            </w:r>
            <w:r w:rsidRPr="00EC75B7">
              <w:rPr>
                <w:rFonts w:ascii="Verdana" w:hAnsi="Verdana"/>
              </w:rPr>
              <w:tab/>
            </w:r>
            <w:r w:rsidRPr="00EC75B7">
              <w:rPr>
                <w:rFonts w:ascii="Verdana" w:hAnsi="Verdana"/>
                <w:b w:val="0"/>
                <w:spacing w:val="-5"/>
              </w:rPr>
              <w:t>14</w:t>
            </w:r>
          </w:hyperlink>
        </w:p>
        <w:p w14:paraId="38380B75" w14:textId="77777777" w:rsidR="008715BE" w:rsidRPr="00EC75B7" w:rsidRDefault="008715BE">
          <w:pPr>
            <w:pStyle w:val="TOC4"/>
            <w:numPr>
              <w:ilvl w:val="2"/>
              <w:numId w:val="118"/>
            </w:numPr>
            <w:tabs>
              <w:tab w:val="left" w:pos="1951"/>
              <w:tab w:val="left" w:leader="dot" w:pos="10230"/>
            </w:tabs>
            <w:ind w:left="1951" w:hanging="718"/>
            <w:rPr>
              <w:rFonts w:ascii="Verdana" w:hAnsi="Verdana"/>
              <w:b w:val="0"/>
              <w:sz w:val="18"/>
              <w:szCs w:val="18"/>
            </w:rPr>
          </w:pPr>
          <w:hyperlink w:anchor="_bookmark10" w:history="1">
            <w:r w:rsidRPr="00EC75B7">
              <w:rPr>
                <w:rFonts w:ascii="Verdana" w:hAnsi="Verdana"/>
                <w:spacing w:val="-2"/>
                <w:sz w:val="18"/>
                <w:szCs w:val="18"/>
              </w:rPr>
              <w:t>Foundations</w:t>
            </w:r>
            <w:r w:rsidRPr="00EC75B7">
              <w:rPr>
                <w:rFonts w:ascii="Verdana" w:hAnsi="Verdana"/>
                <w:b w:val="0"/>
                <w:i w:val="0"/>
                <w:sz w:val="18"/>
                <w:szCs w:val="18"/>
              </w:rPr>
              <w:tab/>
            </w:r>
            <w:r w:rsidRPr="00EC75B7">
              <w:rPr>
                <w:rFonts w:ascii="Verdana" w:hAnsi="Verdana"/>
                <w:b w:val="0"/>
                <w:spacing w:val="-5"/>
                <w:sz w:val="18"/>
                <w:szCs w:val="18"/>
              </w:rPr>
              <w:t>14</w:t>
            </w:r>
          </w:hyperlink>
        </w:p>
        <w:p w14:paraId="591C54C1" w14:textId="77777777" w:rsidR="008715BE" w:rsidRPr="00EC75B7" w:rsidRDefault="008715BE">
          <w:pPr>
            <w:pStyle w:val="TOC3"/>
            <w:numPr>
              <w:ilvl w:val="2"/>
              <w:numId w:val="118"/>
            </w:numPr>
            <w:tabs>
              <w:tab w:val="left" w:pos="1951"/>
              <w:tab w:val="left" w:leader="dot" w:pos="10230"/>
            </w:tabs>
            <w:ind w:left="1951" w:hanging="718"/>
            <w:rPr>
              <w:rFonts w:ascii="Verdana" w:hAnsi="Verdana"/>
              <w:b w:val="0"/>
            </w:rPr>
          </w:pPr>
          <w:hyperlink w:anchor="_bookmark11" w:history="1">
            <w:r w:rsidRPr="00EC75B7">
              <w:rPr>
                <w:rFonts w:ascii="Verdana" w:hAnsi="Verdana"/>
                <w:spacing w:val="-2"/>
              </w:rPr>
              <w:t xml:space="preserve">Technological </w:t>
            </w:r>
            <w:r w:rsidRPr="00EC75B7">
              <w:rPr>
                <w:rFonts w:ascii="Verdana" w:hAnsi="Verdana"/>
              </w:rPr>
              <w:t>platforms</w:t>
            </w:r>
            <w:r w:rsidRPr="00EC75B7">
              <w:rPr>
                <w:rFonts w:ascii="Verdana" w:hAnsi="Verdana"/>
              </w:rPr>
              <w:tab/>
            </w:r>
            <w:r w:rsidRPr="00EC75B7">
              <w:rPr>
                <w:rFonts w:ascii="Verdana" w:hAnsi="Verdana"/>
                <w:b w:val="0"/>
                <w:spacing w:val="-7"/>
              </w:rPr>
              <w:t>15</w:t>
            </w:r>
          </w:hyperlink>
        </w:p>
        <w:p w14:paraId="2EEC545E" w14:textId="77777777" w:rsidR="008715BE" w:rsidRPr="00EC75B7" w:rsidRDefault="008715BE">
          <w:pPr>
            <w:pStyle w:val="TOC3"/>
            <w:numPr>
              <w:ilvl w:val="2"/>
              <w:numId w:val="118"/>
            </w:numPr>
            <w:tabs>
              <w:tab w:val="left" w:pos="1951"/>
              <w:tab w:val="left" w:leader="dot" w:pos="10230"/>
            </w:tabs>
            <w:spacing w:before="42"/>
            <w:ind w:left="1951" w:hanging="718"/>
            <w:rPr>
              <w:rFonts w:ascii="Verdana" w:hAnsi="Verdana"/>
              <w:b w:val="0"/>
            </w:rPr>
          </w:pPr>
          <w:hyperlink w:anchor="_bookmark12" w:history="1">
            <w:r w:rsidRPr="00EC75B7">
              <w:rPr>
                <w:rFonts w:ascii="Verdana" w:hAnsi="Verdana"/>
                <w:spacing w:val="-2"/>
              </w:rPr>
              <w:t xml:space="preserve">Wind </w:t>
            </w:r>
            <w:r w:rsidRPr="00EC75B7">
              <w:rPr>
                <w:rFonts w:ascii="Verdana" w:hAnsi="Verdana"/>
              </w:rPr>
              <w:t>turbines</w:t>
            </w:r>
            <w:r w:rsidRPr="00EC75B7">
              <w:rPr>
                <w:rFonts w:ascii="Verdana" w:hAnsi="Verdana"/>
              </w:rPr>
              <w:tab/>
            </w:r>
            <w:r w:rsidRPr="00EC75B7">
              <w:rPr>
                <w:rFonts w:ascii="Verdana" w:hAnsi="Verdana"/>
                <w:b w:val="0"/>
                <w:spacing w:val="-7"/>
              </w:rPr>
              <w:t>15</w:t>
            </w:r>
          </w:hyperlink>
        </w:p>
        <w:p w14:paraId="3B6D7556" w14:textId="77777777" w:rsidR="008715BE" w:rsidRPr="00EC75B7" w:rsidRDefault="008715BE">
          <w:pPr>
            <w:pStyle w:val="TOC3"/>
            <w:numPr>
              <w:ilvl w:val="2"/>
              <w:numId w:val="118"/>
            </w:numPr>
            <w:tabs>
              <w:tab w:val="left" w:pos="1951"/>
              <w:tab w:val="left" w:leader="dot" w:pos="10230"/>
            </w:tabs>
            <w:spacing w:before="40"/>
            <w:ind w:left="1951" w:hanging="718"/>
            <w:rPr>
              <w:rFonts w:ascii="Verdana" w:hAnsi="Verdana"/>
              <w:b w:val="0"/>
            </w:rPr>
          </w:pPr>
          <w:hyperlink w:anchor="_bookmark13" w:history="1">
            <w:r w:rsidRPr="00EC75B7">
              <w:rPr>
                <w:rFonts w:ascii="Verdana" w:hAnsi="Verdana"/>
                <w:spacing w:val="-2"/>
              </w:rPr>
              <w:t xml:space="preserve">Transformer </w:t>
            </w:r>
            <w:r w:rsidRPr="00EC75B7">
              <w:rPr>
                <w:rFonts w:ascii="Verdana" w:hAnsi="Verdana"/>
              </w:rPr>
              <w:t>station</w:t>
            </w:r>
            <w:r w:rsidRPr="00EC75B7">
              <w:rPr>
                <w:rFonts w:ascii="Verdana" w:hAnsi="Verdana"/>
                <w:b w:val="0"/>
                <w:i w:val="0"/>
              </w:rPr>
              <w:tab/>
            </w:r>
            <w:r w:rsidRPr="00EC75B7">
              <w:rPr>
                <w:rFonts w:ascii="Verdana" w:hAnsi="Verdana"/>
                <w:b w:val="0"/>
                <w:spacing w:val="-7"/>
              </w:rPr>
              <w:t>16</w:t>
            </w:r>
          </w:hyperlink>
        </w:p>
        <w:p w14:paraId="713B4040" w14:textId="77777777" w:rsidR="008715BE" w:rsidRPr="00EC75B7" w:rsidRDefault="008715BE">
          <w:pPr>
            <w:pStyle w:val="TOC3"/>
            <w:numPr>
              <w:ilvl w:val="2"/>
              <w:numId w:val="118"/>
            </w:numPr>
            <w:tabs>
              <w:tab w:val="left" w:pos="1951"/>
              <w:tab w:val="left" w:leader="dot" w:pos="10230"/>
            </w:tabs>
            <w:spacing w:before="40"/>
            <w:ind w:left="1951" w:hanging="718"/>
            <w:rPr>
              <w:rFonts w:ascii="Verdana" w:hAnsi="Verdana"/>
              <w:b w:val="0"/>
            </w:rPr>
          </w:pPr>
          <w:hyperlink w:anchor="_bookmark14" w:history="1">
            <w:r w:rsidRPr="00EC75B7">
              <w:rPr>
                <w:rFonts w:ascii="Verdana" w:hAnsi="Verdana"/>
                <w:spacing w:val="-2"/>
              </w:rPr>
              <w:t xml:space="preserve">Underground </w:t>
            </w:r>
            <w:r w:rsidRPr="00EC75B7">
              <w:rPr>
                <w:rFonts w:ascii="Verdana" w:hAnsi="Verdana"/>
              </w:rPr>
              <w:t>power lines</w:t>
            </w:r>
            <w:r w:rsidRPr="00EC75B7">
              <w:rPr>
                <w:rFonts w:ascii="Verdana" w:hAnsi="Verdana"/>
              </w:rPr>
              <w:tab/>
            </w:r>
            <w:r w:rsidRPr="00EC75B7">
              <w:rPr>
                <w:rFonts w:ascii="Verdana" w:hAnsi="Verdana"/>
                <w:b w:val="0"/>
                <w:spacing w:val="-5"/>
              </w:rPr>
              <w:t>17</w:t>
            </w:r>
          </w:hyperlink>
        </w:p>
        <w:p w14:paraId="091CD98E" w14:textId="77777777" w:rsidR="008715BE" w:rsidRPr="00EC75B7" w:rsidRDefault="008715BE">
          <w:pPr>
            <w:pStyle w:val="TOC3"/>
            <w:numPr>
              <w:ilvl w:val="2"/>
              <w:numId w:val="118"/>
            </w:numPr>
            <w:tabs>
              <w:tab w:val="left" w:pos="2131"/>
              <w:tab w:val="left" w:leader="dot" w:pos="10230"/>
            </w:tabs>
            <w:spacing w:before="41"/>
            <w:ind w:left="2131" w:hanging="898"/>
            <w:rPr>
              <w:rFonts w:ascii="Verdana" w:hAnsi="Verdana"/>
              <w:b w:val="0"/>
            </w:rPr>
          </w:pPr>
          <w:hyperlink w:anchor="_bookmark15" w:history="1">
            <w:r w:rsidRPr="00EC75B7">
              <w:rPr>
                <w:rFonts w:ascii="Verdana" w:hAnsi="Verdana"/>
              </w:rPr>
              <w:t xml:space="preserve">Work required for </w:t>
            </w:r>
            <w:r w:rsidRPr="00EC75B7">
              <w:rPr>
                <w:rFonts w:ascii="Verdana" w:hAnsi="Verdana"/>
                <w:spacing w:val="-2"/>
              </w:rPr>
              <w:t xml:space="preserve">site </w:t>
            </w:r>
            <w:r w:rsidRPr="00EC75B7">
              <w:rPr>
                <w:rFonts w:ascii="Verdana" w:hAnsi="Verdana"/>
              </w:rPr>
              <w:t>organization</w:t>
            </w:r>
            <w:r w:rsidRPr="00EC75B7">
              <w:rPr>
                <w:rFonts w:ascii="Verdana" w:hAnsi="Verdana"/>
                <w:b w:val="0"/>
                <w:i w:val="0"/>
              </w:rPr>
              <w:tab/>
            </w:r>
            <w:r w:rsidRPr="00EC75B7">
              <w:rPr>
                <w:rFonts w:ascii="Verdana" w:hAnsi="Verdana"/>
                <w:b w:val="0"/>
                <w:spacing w:val="-5"/>
              </w:rPr>
              <w:t>18</w:t>
            </w:r>
          </w:hyperlink>
        </w:p>
        <w:p w14:paraId="32D2CB44" w14:textId="77777777" w:rsidR="008715BE" w:rsidRPr="00EC75B7" w:rsidRDefault="008715BE">
          <w:pPr>
            <w:pStyle w:val="TOC3"/>
            <w:numPr>
              <w:ilvl w:val="2"/>
              <w:numId w:val="118"/>
            </w:numPr>
            <w:tabs>
              <w:tab w:val="left" w:pos="2131"/>
              <w:tab w:val="left" w:leader="dot" w:pos="10230"/>
            </w:tabs>
            <w:spacing w:before="40"/>
            <w:ind w:left="2131" w:hanging="898"/>
            <w:rPr>
              <w:rFonts w:ascii="Verdana" w:hAnsi="Verdana"/>
              <w:b w:val="0"/>
            </w:rPr>
          </w:pPr>
          <w:hyperlink w:anchor="_bookmark16" w:history="1">
            <w:r w:rsidRPr="00EC75B7">
              <w:rPr>
                <w:rFonts w:ascii="Verdana" w:hAnsi="Verdana"/>
                <w:spacing w:val="-2"/>
              </w:rPr>
              <w:t xml:space="preserve">Demolition </w:t>
            </w:r>
            <w:r w:rsidRPr="00EC75B7">
              <w:rPr>
                <w:rFonts w:ascii="Verdana" w:hAnsi="Verdana"/>
              </w:rPr>
              <w:t>work</w:t>
            </w:r>
            <w:r w:rsidRPr="00EC75B7">
              <w:rPr>
                <w:rFonts w:ascii="Verdana" w:hAnsi="Verdana"/>
                <w:b w:val="0"/>
                <w:i w:val="0"/>
              </w:rPr>
              <w:tab/>
            </w:r>
            <w:r w:rsidRPr="00EC75B7">
              <w:rPr>
                <w:rFonts w:ascii="Verdana" w:hAnsi="Verdana"/>
                <w:b w:val="0"/>
                <w:spacing w:val="-5"/>
              </w:rPr>
              <w:t>20</w:t>
            </w:r>
          </w:hyperlink>
        </w:p>
        <w:p w14:paraId="5BCCCFC3" w14:textId="77777777" w:rsidR="008715BE" w:rsidRPr="00EC75B7" w:rsidRDefault="008715BE">
          <w:pPr>
            <w:pStyle w:val="TOC3"/>
            <w:numPr>
              <w:ilvl w:val="2"/>
              <w:numId w:val="118"/>
            </w:numPr>
            <w:tabs>
              <w:tab w:val="left" w:pos="2131"/>
              <w:tab w:val="left" w:leader="dot" w:pos="10230"/>
            </w:tabs>
            <w:ind w:left="2131" w:hanging="898"/>
            <w:rPr>
              <w:rFonts w:ascii="Verdana" w:hAnsi="Verdana"/>
              <w:b w:val="0"/>
            </w:rPr>
          </w:pPr>
          <w:hyperlink w:anchor="_bookmark17" w:history="1">
            <w:r w:rsidRPr="00EC75B7">
              <w:rPr>
                <w:rFonts w:ascii="Verdana" w:hAnsi="Verdana"/>
                <w:spacing w:val="-2"/>
              </w:rPr>
              <w:t xml:space="preserve">Site </w:t>
            </w:r>
            <w:r w:rsidRPr="00EC75B7">
              <w:rPr>
                <w:rFonts w:ascii="Verdana" w:hAnsi="Verdana"/>
              </w:rPr>
              <w:t>restoration work</w:t>
            </w:r>
            <w:r w:rsidRPr="00EC75B7">
              <w:rPr>
                <w:rFonts w:ascii="Verdana" w:hAnsi="Verdana"/>
                <w:b w:val="0"/>
                <w:i w:val="0"/>
              </w:rPr>
              <w:tab/>
            </w:r>
            <w:r w:rsidRPr="00EC75B7">
              <w:rPr>
                <w:rFonts w:ascii="Verdana" w:hAnsi="Verdana"/>
                <w:b w:val="0"/>
                <w:spacing w:val="-5"/>
              </w:rPr>
              <w:t>21</w:t>
            </w:r>
          </w:hyperlink>
        </w:p>
        <w:p w14:paraId="5B4B406F" w14:textId="77777777" w:rsidR="008715BE" w:rsidRPr="00EC75B7" w:rsidRDefault="008715BE">
          <w:pPr>
            <w:pStyle w:val="TOC3"/>
            <w:numPr>
              <w:ilvl w:val="2"/>
              <w:numId w:val="118"/>
            </w:numPr>
            <w:tabs>
              <w:tab w:val="left" w:pos="2131"/>
              <w:tab w:val="left" w:leader="dot" w:pos="10230"/>
            </w:tabs>
            <w:spacing w:before="45" w:line="285" w:lineRule="auto"/>
            <w:ind w:left="1233" w:right="877" w:firstLine="0"/>
            <w:rPr>
              <w:rFonts w:ascii="Verdana" w:hAnsi="Verdana"/>
              <w:b w:val="0"/>
            </w:rPr>
          </w:pPr>
          <w:hyperlink w:anchor="_bookmark18" w:history="1">
            <w:r w:rsidRPr="00EC75B7">
              <w:rPr>
                <w:rFonts w:ascii="Verdana" w:hAnsi="Verdana"/>
              </w:rPr>
              <w:t xml:space="preserve">Information on the nature and quantity of materials and natural resources used, </w:t>
            </w:r>
          </w:hyperlink>
          <w:hyperlink w:anchor="_bookmark18" w:history="1">
            <w:r w:rsidRPr="00EC75B7">
              <w:rPr>
                <w:rFonts w:ascii="Verdana" w:hAnsi="Verdana"/>
              </w:rPr>
              <w:t xml:space="preserve">including water, land, soil, and </w:t>
            </w:r>
            <w:r w:rsidRPr="00EC75B7">
              <w:rPr>
                <w:rFonts w:ascii="Verdana" w:hAnsi="Verdana"/>
                <w:spacing w:val="-2"/>
              </w:rPr>
              <w:t>biodiversity</w:t>
            </w:r>
            <w:r w:rsidRPr="00EC75B7">
              <w:rPr>
                <w:rFonts w:ascii="Verdana" w:hAnsi="Verdana"/>
                <w:b w:val="0"/>
                <w:i w:val="0"/>
              </w:rPr>
              <w:tab/>
            </w:r>
            <w:r w:rsidRPr="00EC75B7">
              <w:rPr>
                <w:rFonts w:ascii="Verdana" w:hAnsi="Verdana"/>
                <w:b w:val="0"/>
                <w:spacing w:val="-5"/>
              </w:rPr>
              <w:t>21</w:t>
            </w:r>
          </w:hyperlink>
        </w:p>
        <w:p w14:paraId="70F3BEEF" w14:textId="77777777" w:rsidR="008715BE" w:rsidRPr="00EC75B7" w:rsidRDefault="008715BE">
          <w:pPr>
            <w:pStyle w:val="TOC2"/>
            <w:numPr>
              <w:ilvl w:val="1"/>
              <w:numId w:val="119"/>
            </w:numPr>
            <w:tabs>
              <w:tab w:val="left" w:pos="1769"/>
              <w:tab w:val="left" w:leader="dot" w:pos="10230"/>
            </w:tabs>
            <w:spacing w:line="203" w:lineRule="exact"/>
            <w:ind w:left="1769" w:hanging="716"/>
            <w:rPr>
              <w:rFonts w:ascii="Verdana" w:hAnsi="Verdana"/>
              <w:sz w:val="18"/>
              <w:szCs w:val="18"/>
            </w:rPr>
          </w:pPr>
          <w:hyperlink w:anchor="_bookmark19" w:history="1">
            <w:r w:rsidRPr="00EC75B7">
              <w:rPr>
                <w:rFonts w:ascii="Verdana" w:hAnsi="Verdana"/>
                <w:spacing w:val="-2"/>
                <w:sz w:val="18"/>
                <w:szCs w:val="18"/>
              </w:rPr>
              <w:t xml:space="preserve">Technological </w:t>
            </w:r>
            <w:r w:rsidRPr="00EC75B7">
              <w:rPr>
                <w:rFonts w:ascii="Verdana" w:hAnsi="Verdana"/>
                <w:sz w:val="18"/>
                <w:szCs w:val="18"/>
              </w:rPr>
              <w:t>processes</w:t>
            </w:r>
            <w:r w:rsidRPr="00EC75B7">
              <w:rPr>
                <w:rFonts w:ascii="Verdana" w:hAnsi="Verdana"/>
                <w:sz w:val="18"/>
                <w:szCs w:val="18"/>
              </w:rPr>
              <w:tab/>
            </w:r>
            <w:r w:rsidRPr="00EC75B7">
              <w:rPr>
                <w:rFonts w:ascii="Verdana" w:hAnsi="Verdana"/>
                <w:spacing w:val="-7"/>
                <w:sz w:val="18"/>
                <w:szCs w:val="18"/>
              </w:rPr>
              <w:t>22</w:t>
            </w:r>
          </w:hyperlink>
        </w:p>
        <w:p w14:paraId="51F0C425" w14:textId="77777777" w:rsidR="008715BE" w:rsidRPr="00EC75B7" w:rsidRDefault="008715BE">
          <w:pPr>
            <w:pStyle w:val="TOC3"/>
            <w:numPr>
              <w:ilvl w:val="2"/>
              <w:numId w:val="117"/>
            </w:numPr>
            <w:tabs>
              <w:tab w:val="left" w:pos="1951"/>
              <w:tab w:val="left" w:leader="dot" w:pos="10230"/>
            </w:tabs>
            <w:ind w:left="1951" w:hanging="718"/>
            <w:rPr>
              <w:rFonts w:ascii="Verdana" w:hAnsi="Verdana"/>
              <w:b w:val="0"/>
            </w:rPr>
          </w:pPr>
          <w:hyperlink w:anchor="_bookmark20" w:history="1">
            <w:r w:rsidRPr="00EC75B7">
              <w:rPr>
                <w:rFonts w:ascii="Verdana" w:hAnsi="Verdana"/>
              </w:rPr>
              <w:t xml:space="preserve">Technology </w:t>
            </w:r>
            <w:r w:rsidRPr="00EC75B7">
              <w:rPr>
                <w:rFonts w:ascii="Verdana" w:hAnsi="Verdana"/>
                <w:spacing w:val="-2"/>
              </w:rPr>
              <w:t>used</w:t>
            </w:r>
            <w:r w:rsidRPr="00EC75B7">
              <w:rPr>
                <w:rFonts w:ascii="Verdana" w:hAnsi="Verdana"/>
                <w:b w:val="0"/>
                <w:i w:val="0"/>
              </w:rPr>
              <w:tab/>
            </w:r>
            <w:r w:rsidRPr="00EC75B7">
              <w:rPr>
                <w:rFonts w:ascii="Verdana" w:hAnsi="Verdana"/>
                <w:b w:val="0"/>
                <w:spacing w:val="-5"/>
              </w:rPr>
              <w:t>22</w:t>
            </w:r>
          </w:hyperlink>
        </w:p>
        <w:p w14:paraId="1CA199E2" w14:textId="77777777" w:rsidR="008715BE" w:rsidRPr="00EC75B7" w:rsidRDefault="008715BE">
          <w:pPr>
            <w:pStyle w:val="TOC3"/>
            <w:numPr>
              <w:ilvl w:val="2"/>
              <w:numId w:val="117"/>
            </w:numPr>
            <w:tabs>
              <w:tab w:val="left" w:pos="1951"/>
              <w:tab w:val="left" w:leader="dot" w:pos="10230"/>
            </w:tabs>
            <w:spacing w:before="40"/>
            <w:ind w:left="1951" w:hanging="718"/>
            <w:rPr>
              <w:rFonts w:ascii="Verdana" w:hAnsi="Verdana"/>
              <w:b w:val="0"/>
            </w:rPr>
          </w:pPr>
          <w:hyperlink w:anchor="_bookmark21" w:history="1">
            <w:r w:rsidRPr="00EC75B7">
              <w:rPr>
                <w:rFonts w:ascii="Verdana" w:hAnsi="Verdana"/>
                <w:spacing w:val="-2"/>
              </w:rPr>
              <w:t xml:space="preserve">Production </w:t>
            </w:r>
            <w:r w:rsidRPr="00EC75B7">
              <w:rPr>
                <w:rFonts w:ascii="Verdana" w:hAnsi="Verdana"/>
              </w:rPr>
              <w:t>profile and capacity</w:t>
            </w:r>
            <w:r w:rsidRPr="00EC75B7">
              <w:rPr>
                <w:rFonts w:ascii="Verdana" w:hAnsi="Verdana"/>
                <w:b w:val="0"/>
                <w:i w:val="0"/>
              </w:rPr>
              <w:tab/>
            </w:r>
            <w:r w:rsidRPr="00EC75B7">
              <w:rPr>
                <w:rFonts w:ascii="Verdana" w:hAnsi="Verdana"/>
                <w:b w:val="0"/>
                <w:spacing w:val="-5"/>
              </w:rPr>
              <w:t>23</w:t>
            </w:r>
          </w:hyperlink>
        </w:p>
        <w:p w14:paraId="7E992FCA" w14:textId="77777777" w:rsidR="008715BE" w:rsidRPr="00EC75B7" w:rsidRDefault="008715BE">
          <w:pPr>
            <w:pStyle w:val="TOC2"/>
            <w:numPr>
              <w:ilvl w:val="1"/>
              <w:numId w:val="119"/>
            </w:numPr>
            <w:tabs>
              <w:tab w:val="left" w:pos="1769"/>
              <w:tab w:val="left" w:leader="dot" w:pos="10230"/>
            </w:tabs>
            <w:spacing w:before="1" w:line="243" w:lineRule="exact"/>
            <w:ind w:left="1769" w:hanging="716"/>
            <w:rPr>
              <w:rFonts w:ascii="Verdana" w:hAnsi="Verdana"/>
              <w:sz w:val="18"/>
              <w:szCs w:val="18"/>
            </w:rPr>
          </w:pPr>
          <w:hyperlink w:anchor="_bookmark22" w:history="1">
            <w:r w:rsidRPr="00EC75B7">
              <w:rPr>
                <w:rFonts w:ascii="Verdana" w:hAnsi="Verdana"/>
                <w:spacing w:val="-2"/>
                <w:sz w:val="18"/>
                <w:szCs w:val="18"/>
              </w:rPr>
              <w:t xml:space="preserve">Planning/spatial </w:t>
            </w:r>
            <w:r w:rsidRPr="00EC75B7">
              <w:rPr>
                <w:rFonts w:ascii="Verdana" w:hAnsi="Verdana"/>
                <w:sz w:val="18"/>
                <w:szCs w:val="18"/>
              </w:rPr>
              <w:t>planning</w:t>
            </w:r>
            <w:r w:rsidRPr="00EC75B7">
              <w:rPr>
                <w:rFonts w:ascii="Verdana" w:hAnsi="Verdana"/>
                <w:b w:val="0"/>
                <w:sz w:val="18"/>
                <w:szCs w:val="18"/>
              </w:rPr>
              <w:tab/>
            </w:r>
            <w:r w:rsidRPr="00EC75B7">
              <w:rPr>
                <w:rFonts w:ascii="Verdana" w:hAnsi="Verdana"/>
                <w:spacing w:val="-5"/>
                <w:sz w:val="18"/>
                <w:szCs w:val="18"/>
              </w:rPr>
              <w:t>24</w:t>
            </w:r>
          </w:hyperlink>
        </w:p>
        <w:p w14:paraId="55CB5D88" w14:textId="77777777" w:rsidR="008715BE" w:rsidRPr="00EC75B7" w:rsidRDefault="008715BE">
          <w:pPr>
            <w:pStyle w:val="TOC2"/>
            <w:numPr>
              <w:ilvl w:val="1"/>
              <w:numId w:val="119"/>
            </w:numPr>
            <w:tabs>
              <w:tab w:val="left" w:pos="1769"/>
              <w:tab w:val="left" w:leader="dot" w:pos="10230"/>
            </w:tabs>
            <w:spacing w:line="243" w:lineRule="exact"/>
            <w:ind w:left="1769" w:hanging="716"/>
            <w:rPr>
              <w:rFonts w:ascii="Verdana" w:hAnsi="Verdana"/>
              <w:sz w:val="18"/>
              <w:szCs w:val="18"/>
            </w:rPr>
          </w:pPr>
          <w:hyperlink w:anchor="_bookmark23" w:history="1">
            <w:r w:rsidRPr="00EC75B7">
              <w:rPr>
                <w:rFonts w:ascii="Verdana" w:hAnsi="Verdana"/>
                <w:sz w:val="18"/>
                <w:szCs w:val="18"/>
              </w:rPr>
              <w:t xml:space="preserve">Estimation of the type and quantities of emissions and </w:t>
            </w:r>
            <w:r w:rsidRPr="00EC75B7">
              <w:rPr>
                <w:rFonts w:ascii="Verdana" w:hAnsi="Verdana"/>
                <w:spacing w:val="-2"/>
                <w:sz w:val="18"/>
                <w:szCs w:val="18"/>
              </w:rPr>
              <w:t>waste</w:t>
            </w:r>
            <w:r w:rsidRPr="00EC75B7">
              <w:rPr>
                <w:rFonts w:ascii="Verdana" w:hAnsi="Verdana"/>
                <w:b w:val="0"/>
                <w:sz w:val="18"/>
                <w:szCs w:val="18"/>
              </w:rPr>
              <w:tab/>
            </w:r>
            <w:r w:rsidRPr="00EC75B7">
              <w:rPr>
                <w:rFonts w:ascii="Verdana" w:hAnsi="Verdana"/>
                <w:spacing w:val="-5"/>
                <w:sz w:val="18"/>
                <w:szCs w:val="18"/>
              </w:rPr>
              <w:t>25</w:t>
            </w:r>
          </w:hyperlink>
        </w:p>
        <w:p w14:paraId="75CFFBB3" w14:textId="77777777" w:rsidR="008715BE" w:rsidRPr="00EC75B7" w:rsidRDefault="008715BE">
          <w:pPr>
            <w:pStyle w:val="TOC3"/>
            <w:numPr>
              <w:ilvl w:val="2"/>
              <w:numId w:val="119"/>
            </w:numPr>
            <w:tabs>
              <w:tab w:val="left" w:pos="2132"/>
              <w:tab w:val="left" w:leader="dot" w:pos="10230"/>
            </w:tabs>
            <w:ind w:left="2132" w:hanging="899"/>
            <w:rPr>
              <w:rFonts w:ascii="Verdana" w:hAnsi="Verdana"/>
              <w:b w:val="0"/>
            </w:rPr>
          </w:pPr>
          <w:hyperlink w:anchor="_bookmark24" w:history="1">
            <w:r w:rsidRPr="00EC75B7">
              <w:rPr>
                <w:rFonts w:ascii="Verdana" w:hAnsi="Verdana"/>
              </w:rPr>
              <w:t xml:space="preserve">Emissions into surface water and </w:t>
            </w:r>
            <w:r w:rsidRPr="00EC75B7">
              <w:rPr>
                <w:rFonts w:ascii="Verdana" w:hAnsi="Verdana"/>
                <w:spacing w:val="-2"/>
              </w:rPr>
              <w:t>groundwater</w:t>
            </w:r>
            <w:r w:rsidRPr="00EC75B7">
              <w:rPr>
                <w:rFonts w:ascii="Verdana" w:hAnsi="Verdana"/>
                <w:b w:val="0"/>
                <w:i w:val="0"/>
              </w:rPr>
              <w:tab/>
            </w:r>
            <w:r w:rsidRPr="00EC75B7">
              <w:rPr>
                <w:rFonts w:ascii="Verdana" w:hAnsi="Verdana"/>
                <w:b w:val="0"/>
                <w:spacing w:val="-5"/>
              </w:rPr>
              <w:t>25</w:t>
            </w:r>
          </w:hyperlink>
        </w:p>
        <w:p w14:paraId="46F8054D" w14:textId="77777777" w:rsidR="008715BE" w:rsidRPr="00EC75B7" w:rsidRDefault="008715BE">
          <w:pPr>
            <w:pStyle w:val="TOC3"/>
            <w:numPr>
              <w:ilvl w:val="2"/>
              <w:numId w:val="119"/>
            </w:numPr>
            <w:tabs>
              <w:tab w:val="left" w:pos="2132"/>
              <w:tab w:val="left" w:leader="dot" w:pos="10230"/>
            </w:tabs>
            <w:ind w:left="2132" w:hanging="899"/>
            <w:rPr>
              <w:rFonts w:ascii="Verdana" w:hAnsi="Verdana"/>
              <w:b w:val="0"/>
            </w:rPr>
          </w:pPr>
          <w:hyperlink w:anchor="_bookmark25" w:history="1">
            <w:r w:rsidRPr="00EC75B7">
              <w:rPr>
                <w:rFonts w:ascii="Verdana" w:hAnsi="Verdana"/>
                <w:spacing w:val="-2"/>
              </w:rPr>
              <w:t xml:space="preserve">Atmospheric </w:t>
            </w:r>
            <w:r w:rsidRPr="00EC75B7">
              <w:rPr>
                <w:rFonts w:ascii="Verdana" w:hAnsi="Verdana"/>
              </w:rPr>
              <w:t>emissions</w:t>
            </w:r>
            <w:r w:rsidRPr="00EC75B7">
              <w:rPr>
                <w:rFonts w:ascii="Verdana" w:hAnsi="Verdana"/>
              </w:rPr>
              <w:tab/>
            </w:r>
            <w:r w:rsidRPr="00EC75B7">
              <w:rPr>
                <w:rFonts w:ascii="Verdana" w:hAnsi="Verdana"/>
                <w:b w:val="0"/>
                <w:spacing w:val="-5"/>
              </w:rPr>
              <w:t>25</w:t>
            </w:r>
          </w:hyperlink>
        </w:p>
        <w:p w14:paraId="33F03DCE" w14:textId="77777777" w:rsidR="008715BE" w:rsidRPr="00EC75B7" w:rsidRDefault="008715BE">
          <w:pPr>
            <w:pStyle w:val="TOC3"/>
            <w:numPr>
              <w:ilvl w:val="2"/>
              <w:numId w:val="119"/>
            </w:numPr>
            <w:tabs>
              <w:tab w:val="left" w:pos="2132"/>
              <w:tab w:val="left" w:leader="dot" w:pos="10230"/>
            </w:tabs>
            <w:spacing w:before="40"/>
            <w:ind w:left="2132" w:hanging="899"/>
            <w:rPr>
              <w:rFonts w:ascii="Verdana" w:hAnsi="Verdana"/>
              <w:b w:val="0"/>
            </w:rPr>
          </w:pPr>
          <w:hyperlink w:anchor="_bookmark26" w:history="1">
            <w:r w:rsidRPr="00EC75B7">
              <w:rPr>
                <w:rFonts w:ascii="Verdana" w:hAnsi="Verdana"/>
              </w:rPr>
              <w:t xml:space="preserve">Soil and </w:t>
            </w:r>
            <w:r w:rsidRPr="00EC75B7">
              <w:rPr>
                <w:rFonts w:ascii="Verdana" w:hAnsi="Verdana"/>
                <w:spacing w:val="-2"/>
              </w:rPr>
              <w:t xml:space="preserve">subsoil </w:t>
            </w:r>
            <w:r w:rsidRPr="00EC75B7">
              <w:rPr>
                <w:rFonts w:ascii="Verdana" w:hAnsi="Verdana"/>
              </w:rPr>
              <w:t>contamination</w:t>
            </w:r>
            <w:r w:rsidRPr="00EC75B7">
              <w:rPr>
                <w:rFonts w:ascii="Verdana" w:hAnsi="Verdana"/>
                <w:b w:val="0"/>
                <w:i w:val="0"/>
              </w:rPr>
              <w:tab/>
            </w:r>
            <w:r w:rsidRPr="00EC75B7">
              <w:rPr>
                <w:rFonts w:ascii="Verdana" w:hAnsi="Verdana"/>
                <w:b w:val="0"/>
                <w:spacing w:val="-5"/>
              </w:rPr>
              <w:t>27</w:t>
            </w:r>
          </w:hyperlink>
        </w:p>
        <w:p w14:paraId="227FD1B8" w14:textId="77777777" w:rsidR="008715BE" w:rsidRPr="00EC75B7" w:rsidRDefault="008715BE">
          <w:pPr>
            <w:pStyle w:val="TOC3"/>
            <w:numPr>
              <w:ilvl w:val="2"/>
              <w:numId w:val="119"/>
            </w:numPr>
            <w:tabs>
              <w:tab w:val="left" w:pos="2132"/>
              <w:tab w:val="left" w:leader="dot" w:pos="10230"/>
            </w:tabs>
            <w:spacing w:before="42"/>
            <w:ind w:left="2132" w:hanging="899"/>
            <w:rPr>
              <w:rFonts w:ascii="Verdana" w:hAnsi="Verdana"/>
              <w:b w:val="0"/>
            </w:rPr>
          </w:pPr>
          <w:hyperlink w:anchor="_bookmark27" w:history="1">
            <w:r w:rsidRPr="00EC75B7">
              <w:rPr>
                <w:rFonts w:ascii="Verdana" w:hAnsi="Verdana"/>
              </w:rPr>
              <w:t xml:space="preserve">Noise and </w:t>
            </w:r>
            <w:r w:rsidRPr="00EC75B7">
              <w:rPr>
                <w:rFonts w:ascii="Verdana" w:hAnsi="Verdana"/>
                <w:spacing w:val="-2"/>
              </w:rPr>
              <w:t>vibrations</w:t>
            </w:r>
            <w:r w:rsidRPr="00EC75B7">
              <w:rPr>
                <w:rFonts w:ascii="Verdana" w:hAnsi="Verdana"/>
                <w:b w:val="0"/>
                <w:i w:val="0"/>
              </w:rPr>
              <w:tab/>
            </w:r>
            <w:r w:rsidRPr="00EC75B7">
              <w:rPr>
                <w:rFonts w:ascii="Verdana" w:hAnsi="Verdana"/>
                <w:b w:val="0"/>
                <w:spacing w:val="-5"/>
              </w:rPr>
              <w:t>28</w:t>
            </w:r>
          </w:hyperlink>
        </w:p>
        <w:p w14:paraId="1C9D3712" w14:textId="77777777" w:rsidR="008715BE" w:rsidRPr="00EC75B7" w:rsidRDefault="008715BE">
          <w:pPr>
            <w:pStyle w:val="TOC4"/>
            <w:numPr>
              <w:ilvl w:val="2"/>
              <w:numId w:val="119"/>
            </w:numPr>
            <w:tabs>
              <w:tab w:val="left" w:pos="2132"/>
              <w:tab w:val="left" w:leader="dot" w:pos="10230"/>
            </w:tabs>
            <w:ind w:left="2132" w:hanging="899"/>
            <w:rPr>
              <w:rFonts w:ascii="Verdana" w:hAnsi="Verdana"/>
              <w:b w:val="0"/>
              <w:sz w:val="18"/>
              <w:szCs w:val="18"/>
            </w:rPr>
          </w:pPr>
          <w:hyperlink w:anchor="_bookmark28" w:history="1">
            <w:r w:rsidRPr="00EC75B7">
              <w:rPr>
                <w:rFonts w:ascii="Verdana" w:hAnsi="Verdana"/>
                <w:spacing w:val="-2"/>
                <w:sz w:val="18"/>
                <w:szCs w:val="18"/>
              </w:rPr>
              <w:t>Waste</w:t>
            </w:r>
            <w:r w:rsidRPr="00EC75B7">
              <w:rPr>
                <w:rFonts w:ascii="Verdana" w:hAnsi="Verdana"/>
                <w:b w:val="0"/>
                <w:i w:val="0"/>
                <w:sz w:val="18"/>
                <w:szCs w:val="18"/>
              </w:rPr>
              <w:tab/>
            </w:r>
            <w:r w:rsidRPr="00EC75B7">
              <w:rPr>
                <w:rFonts w:ascii="Verdana" w:hAnsi="Verdana"/>
                <w:b w:val="0"/>
                <w:spacing w:val="-5"/>
                <w:sz w:val="18"/>
                <w:szCs w:val="18"/>
              </w:rPr>
              <w:t>30</w:t>
            </w:r>
          </w:hyperlink>
        </w:p>
        <w:p w14:paraId="56565BFE" w14:textId="77777777" w:rsidR="008715BE" w:rsidRPr="00EC75B7" w:rsidRDefault="008715BE">
          <w:pPr>
            <w:pStyle w:val="TOC1"/>
            <w:numPr>
              <w:ilvl w:val="0"/>
              <w:numId w:val="119"/>
            </w:numPr>
            <w:tabs>
              <w:tab w:val="left" w:pos="1412"/>
              <w:tab w:val="left" w:leader="dot" w:pos="10230"/>
            </w:tabs>
            <w:spacing w:before="1"/>
            <w:ind w:left="1412" w:hanging="539"/>
            <w:rPr>
              <w:rFonts w:ascii="Verdana" w:hAnsi="Verdana"/>
              <w:sz w:val="18"/>
              <w:szCs w:val="18"/>
            </w:rPr>
          </w:pPr>
          <w:hyperlink w:anchor="_bookmark29" w:history="1">
            <w:r w:rsidRPr="00EC75B7">
              <w:rPr>
                <w:rFonts w:ascii="Verdana" w:hAnsi="Verdana"/>
                <w:color w:val="009DEF"/>
                <w:sz w:val="18"/>
                <w:szCs w:val="18"/>
              </w:rPr>
              <w:t xml:space="preserve">ANALYSIS OF </w:t>
            </w:r>
            <w:r w:rsidRPr="00EC75B7">
              <w:rPr>
                <w:rFonts w:ascii="Verdana" w:hAnsi="Verdana"/>
                <w:color w:val="009DEF"/>
                <w:spacing w:val="-2"/>
                <w:sz w:val="18"/>
                <w:szCs w:val="18"/>
              </w:rPr>
              <w:t xml:space="preserve">FEASIBLE </w:t>
            </w:r>
            <w:r w:rsidRPr="00EC75B7">
              <w:rPr>
                <w:rFonts w:ascii="Verdana" w:hAnsi="Verdana"/>
                <w:color w:val="009DEF"/>
                <w:sz w:val="18"/>
                <w:szCs w:val="18"/>
              </w:rPr>
              <w:t>ALTERNATIVES</w:t>
            </w:r>
            <w:r w:rsidRPr="00EC75B7">
              <w:rPr>
                <w:rFonts w:ascii="Verdana" w:hAnsi="Verdana"/>
                <w:color w:val="009DEF"/>
                <w:sz w:val="18"/>
                <w:szCs w:val="18"/>
              </w:rPr>
              <w:tab/>
            </w:r>
            <w:r w:rsidRPr="00EC75B7">
              <w:rPr>
                <w:rFonts w:ascii="Verdana" w:hAnsi="Verdana"/>
                <w:color w:val="009DEF"/>
                <w:spacing w:val="-7"/>
                <w:sz w:val="18"/>
                <w:szCs w:val="18"/>
              </w:rPr>
              <w:t>34</w:t>
            </w:r>
          </w:hyperlink>
        </w:p>
        <w:p w14:paraId="4A1410CA" w14:textId="77777777" w:rsidR="008715BE" w:rsidRPr="00EC75B7" w:rsidRDefault="008715BE">
          <w:pPr>
            <w:pStyle w:val="TOC2"/>
            <w:numPr>
              <w:ilvl w:val="1"/>
              <w:numId w:val="119"/>
            </w:numPr>
            <w:tabs>
              <w:tab w:val="left" w:pos="1771"/>
              <w:tab w:val="left" w:leader="dot" w:pos="10230"/>
            </w:tabs>
            <w:spacing w:line="243" w:lineRule="exact"/>
            <w:ind w:left="1771" w:hanging="718"/>
            <w:rPr>
              <w:rFonts w:ascii="Verdana" w:hAnsi="Verdana"/>
              <w:sz w:val="18"/>
              <w:szCs w:val="18"/>
            </w:rPr>
          </w:pPr>
          <w:hyperlink w:anchor="_bookmark30" w:history="1">
            <w:r w:rsidRPr="00EC75B7">
              <w:rPr>
                <w:rFonts w:ascii="Verdana" w:hAnsi="Verdana"/>
                <w:sz w:val="18"/>
                <w:szCs w:val="18"/>
              </w:rPr>
              <w:t xml:space="preserve">Alternative </w:t>
            </w:r>
            <w:r w:rsidRPr="00EC75B7">
              <w:rPr>
                <w:rFonts w:ascii="Verdana" w:hAnsi="Verdana"/>
                <w:spacing w:val="-5"/>
                <w:sz w:val="18"/>
                <w:szCs w:val="18"/>
              </w:rPr>
              <w:t>"0"</w:t>
            </w:r>
            <w:r w:rsidRPr="00EC75B7">
              <w:rPr>
                <w:rFonts w:ascii="Verdana" w:hAnsi="Verdana"/>
                <w:b w:val="0"/>
                <w:sz w:val="18"/>
                <w:szCs w:val="18"/>
              </w:rPr>
              <w:tab/>
            </w:r>
            <w:r w:rsidRPr="00EC75B7">
              <w:rPr>
                <w:rFonts w:ascii="Verdana" w:hAnsi="Verdana"/>
                <w:spacing w:val="-5"/>
                <w:sz w:val="18"/>
                <w:szCs w:val="18"/>
              </w:rPr>
              <w:t>34</w:t>
            </w:r>
          </w:hyperlink>
        </w:p>
        <w:p w14:paraId="7ED4F656" w14:textId="77777777" w:rsidR="008715BE" w:rsidRPr="00EC75B7" w:rsidRDefault="008715BE">
          <w:pPr>
            <w:pStyle w:val="TOC2"/>
            <w:numPr>
              <w:ilvl w:val="1"/>
              <w:numId w:val="119"/>
            </w:numPr>
            <w:tabs>
              <w:tab w:val="left" w:pos="1771"/>
              <w:tab w:val="left" w:leader="dot" w:pos="10230"/>
            </w:tabs>
            <w:spacing w:line="242" w:lineRule="exact"/>
            <w:ind w:left="1771" w:hanging="718"/>
            <w:rPr>
              <w:rFonts w:ascii="Verdana" w:hAnsi="Verdana"/>
              <w:sz w:val="18"/>
              <w:szCs w:val="18"/>
            </w:rPr>
          </w:pPr>
          <w:hyperlink w:anchor="_bookmark31" w:history="1">
            <w:r w:rsidRPr="00EC75B7">
              <w:rPr>
                <w:rFonts w:ascii="Verdana" w:hAnsi="Verdana"/>
                <w:sz w:val="18"/>
                <w:szCs w:val="18"/>
              </w:rPr>
              <w:t xml:space="preserve">Alternatives identified and </w:t>
            </w:r>
            <w:r w:rsidRPr="00EC75B7">
              <w:rPr>
                <w:rFonts w:ascii="Verdana" w:hAnsi="Verdana"/>
                <w:spacing w:val="-2"/>
                <w:sz w:val="18"/>
                <w:szCs w:val="18"/>
              </w:rPr>
              <w:t>studied</w:t>
            </w:r>
            <w:r w:rsidRPr="00EC75B7">
              <w:rPr>
                <w:rFonts w:ascii="Verdana" w:hAnsi="Verdana"/>
                <w:b w:val="0"/>
                <w:sz w:val="18"/>
                <w:szCs w:val="18"/>
              </w:rPr>
              <w:tab/>
            </w:r>
            <w:r w:rsidRPr="00EC75B7">
              <w:rPr>
                <w:rFonts w:ascii="Verdana" w:hAnsi="Verdana"/>
                <w:spacing w:val="-5"/>
                <w:sz w:val="18"/>
                <w:szCs w:val="18"/>
              </w:rPr>
              <w:t>35</w:t>
            </w:r>
          </w:hyperlink>
        </w:p>
        <w:p w14:paraId="4AFB4318" w14:textId="77777777" w:rsidR="008715BE" w:rsidRPr="00EC75B7" w:rsidRDefault="008715BE">
          <w:pPr>
            <w:pStyle w:val="TOC1"/>
            <w:numPr>
              <w:ilvl w:val="0"/>
              <w:numId w:val="119"/>
            </w:numPr>
            <w:tabs>
              <w:tab w:val="left" w:pos="1413"/>
            </w:tabs>
            <w:ind w:right="856"/>
            <w:rPr>
              <w:rFonts w:ascii="Verdana" w:hAnsi="Verdana"/>
              <w:sz w:val="18"/>
              <w:szCs w:val="18"/>
            </w:rPr>
          </w:pPr>
          <w:hyperlink w:anchor="_bookmark32" w:history="1">
            <w:r w:rsidRPr="00EC75B7">
              <w:rPr>
                <w:rFonts w:ascii="Verdana" w:hAnsi="Verdana"/>
                <w:color w:val="009DEF"/>
                <w:sz w:val="18"/>
                <w:szCs w:val="18"/>
              </w:rPr>
              <w:t>DESCRIPTION OF RELEVANT ASPECTS OF THE CURRENT STATE OF THE ENVIRONMENT</w:t>
            </w:r>
          </w:hyperlink>
          <w:hyperlink w:anchor="_bookmark32" w:history="1">
            <w:r w:rsidRPr="00EC75B7">
              <w:rPr>
                <w:rFonts w:ascii="Verdana" w:hAnsi="Verdana"/>
                <w:color w:val="009DEF"/>
                <w:spacing w:val="-6"/>
                <w:sz w:val="18"/>
                <w:szCs w:val="18"/>
              </w:rPr>
              <w:t xml:space="preserve"> 37</w:t>
            </w:r>
          </w:hyperlink>
        </w:p>
        <w:p w14:paraId="2449C151" w14:textId="77777777" w:rsidR="008715BE" w:rsidRPr="00EC75B7" w:rsidRDefault="008715BE">
          <w:pPr>
            <w:pStyle w:val="TOC2"/>
            <w:numPr>
              <w:ilvl w:val="1"/>
              <w:numId w:val="119"/>
            </w:numPr>
            <w:tabs>
              <w:tab w:val="left" w:pos="1773"/>
              <w:tab w:val="left" w:leader="dot" w:pos="10230"/>
            </w:tabs>
            <w:spacing w:line="242" w:lineRule="exact"/>
            <w:rPr>
              <w:rFonts w:ascii="Verdana" w:hAnsi="Verdana"/>
              <w:sz w:val="18"/>
              <w:szCs w:val="18"/>
            </w:rPr>
          </w:pPr>
          <w:hyperlink w:anchor="_bookmark33" w:history="1">
            <w:r w:rsidRPr="00EC75B7">
              <w:rPr>
                <w:rFonts w:ascii="Verdana" w:hAnsi="Verdana"/>
                <w:sz w:val="18"/>
                <w:szCs w:val="18"/>
              </w:rPr>
              <w:t xml:space="preserve">Social and </w:t>
            </w:r>
            <w:r w:rsidRPr="00EC75B7">
              <w:rPr>
                <w:rFonts w:ascii="Verdana" w:hAnsi="Verdana"/>
                <w:spacing w:val="-2"/>
                <w:sz w:val="18"/>
                <w:szCs w:val="18"/>
              </w:rPr>
              <w:t xml:space="preserve">economic </w:t>
            </w:r>
            <w:r w:rsidRPr="00EC75B7">
              <w:rPr>
                <w:rFonts w:ascii="Verdana" w:hAnsi="Verdana"/>
                <w:sz w:val="18"/>
                <w:szCs w:val="18"/>
              </w:rPr>
              <w:t>environment</w:t>
            </w:r>
            <w:r w:rsidRPr="00EC75B7">
              <w:rPr>
                <w:rFonts w:ascii="Verdana" w:hAnsi="Verdana"/>
                <w:b w:val="0"/>
                <w:sz w:val="18"/>
                <w:szCs w:val="18"/>
              </w:rPr>
              <w:tab/>
            </w:r>
            <w:r w:rsidRPr="00EC75B7">
              <w:rPr>
                <w:rFonts w:ascii="Verdana" w:hAnsi="Verdana"/>
                <w:spacing w:val="-5"/>
                <w:sz w:val="18"/>
                <w:szCs w:val="18"/>
              </w:rPr>
              <w:t>37</w:t>
            </w:r>
          </w:hyperlink>
        </w:p>
        <w:p w14:paraId="3C8A12D9" w14:textId="77777777" w:rsidR="008715BE" w:rsidRPr="00EC75B7" w:rsidRDefault="008715BE">
          <w:pPr>
            <w:pStyle w:val="TOC3"/>
            <w:numPr>
              <w:ilvl w:val="2"/>
              <w:numId w:val="119"/>
            </w:numPr>
            <w:tabs>
              <w:tab w:val="left" w:pos="1951"/>
              <w:tab w:val="left" w:leader="dot" w:pos="10230"/>
            </w:tabs>
            <w:spacing w:before="36"/>
            <w:ind w:left="1951" w:hanging="718"/>
            <w:rPr>
              <w:rFonts w:ascii="Verdana" w:hAnsi="Verdana"/>
              <w:b w:val="0"/>
            </w:rPr>
          </w:pPr>
          <w:hyperlink w:anchor="_bookmark34"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7"/>
              </w:rPr>
              <w:t>37</w:t>
            </w:r>
          </w:hyperlink>
        </w:p>
        <w:p w14:paraId="1801E12E" w14:textId="77777777" w:rsidR="008715BE" w:rsidRPr="00EC75B7" w:rsidRDefault="008715BE">
          <w:pPr>
            <w:pStyle w:val="TOC3"/>
            <w:numPr>
              <w:ilvl w:val="2"/>
              <w:numId w:val="119"/>
            </w:numPr>
            <w:tabs>
              <w:tab w:val="left" w:pos="1951"/>
              <w:tab w:val="left" w:leader="dot" w:pos="10230"/>
            </w:tabs>
            <w:spacing w:before="42"/>
            <w:ind w:left="1951" w:hanging="718"/>
            <w:rPr>
              <w:rFonts w:ascii="Verdana" w:hAnsi="Verdana"/>
              <w:b w:val="0"/>
            </w:rPr>
          </w:pPr>
          <w:hyperlink w:anchor="_bookmark35" w:history="1">
            <w:r w:rsidRPr="00EC75B7">
              <w:rPr>
                <w:rFonts w:ascii="Verdana" w:hAnsi="Verdana"/>
                <w:spacing w:val="-2"/>
              </w:rPr>
              <w:t xml:space="preserve">Population </w:t>
            </w:r>
            <w:r w:rsidRPr="00EC75B7">
              <w:rPr>
                <w:rFonts w:ascii="Verdana" w:hAnsi="Verdana"/>
              </w:rPr>
              <w:t>size and structure</w:t>
            </w:r>
            <w:r w:rsidRPr="00EC75B7">
              <w:rPr>
                <w:rFonts w:ascii="Verdana" w:hAnsi="Verdana"/>
                <w:b w:val="0"/>
                <w:i w:val="0"/>
              </w:rPr>
              <w:tab/>
            </w:r>
            <w:r w:rsidRPr="00EC75B7">
              <w:rPr>
                <w:rFonts w:ascii="Verdana" w:hAnsi="Verdana"/>
                <w:b w:val="0"/>
                <w:spacing w:val="-5"/>
              </w:rPr>
              <w:t>37</w:t>
            </w:r>
          </w:hyperlink>
        </w:p>
        <w:p w14:paraId="1B286D17" w14:textId="77777777" w:rsidR="008715BE" w:rsidRPr="00EC75B7" w:rsidRDefault="008715BE">
          <w:pPr>
            <w:pStyle w:val="TOC3"/>
            <w:numPr>
              <w:ilvl w:val="2"/>
              <w:numId w:val="119"/>
            </w:numPr>
            <w:tabs>
              <w:tab w:val="left" w:pos="1951"/>
              <w:tab w:val="left" w:leader="dot" w:pos="10230"/>
            </w:tabs>
            <w:ind w:left="1951" w:hanging="718"/>
            <w:rPr>
              <w:rFonts w:ascii="Verdana" w:hAnsi="Verdana"/>
              <w:b w:val="0"/>
            </w:rPr>
          </w:pPr>
          <w:hyperlink w:anchor="_bookmark36" w:history="1">
            <w:r w:rsidRPr="00EC75B7">
              <w:rPr>
                <w:rFonts w:ascii="Verdana" w:hAnsi="Verdana"/>
                <w:spacing w:val="-2"/>
              </w:rPr>
              <w:t xml:space="preserve">Health </w:t>
            </w:r>
            <w:r w:rsidRPr="00EC75B7">
              <w:rPr>
                <w:rFonts w:ascii="Verdana" w:hAnsi="Verdana"/>
              </w:rPr>
              <w:t>status</w:t>
            </w:r>
            <w:r w:rsidRPr="00EC75B7">
              <w:rPr>
                <w:rFonts w:ascii="Verdana" w:hAnsi="Verdana"/>
                <w:b w:val="0"/>
                <w:i w:val="0"/>
              </w:rPr>
              <w:tab/>
            </w:r>
            <w:r w:rsidRPr="00EC75B7">
              <w:rPr>
                <w:rFonts w:ascii="Verdana" w:hAnsi="Verdana"/>
                <w:b w:val="0"/>
                <w:spacing w:val="-5"/>
              </w:rPr>
              <w:t>39</w:t>
            </w:r>
          </w:hyperlink>
        </w:p>
        <w:p w14:paraId="78EDDADA" w14:textId="77777777" w:rsidR="008715BE" w:rsidRPr="00EC75B7" w:rsidRDefault="008715BE">
          <w:pPr>
            <w:pStyle w:val="TOC3"/>
            <w:numPr>
              <w:ilvl w:val="2"/>
              <w:numId w:val="119"/>
            </w:numPr>
            <w:tabs>
              <w:tab w:val="left" w:pos="1951"/>
              <w:tab w:val="left" w:leader="dot" w:pos="10230"/>
            </w:tabs>
            <w:spacing w:before="40"/>
            <w:ind w:left="1951" w:hanging="718"/>
            <w:rPr>
              <w:rFonts w:ascii="Verdana" w:hAnsi="Verdana"/>
              <w:b w:val="0"/>
            </w:rPr>
          </w:pPr>
          <w:hyperlink w:anchor="_bookmark37" w:history="1">
            <w:r w:rsidRPr="00EC75B7">
              <w:rPr>
                <w:rFonts w:ascii="Verdana" w:hAnsi="Verdana"/>
                <w:spacing w:val="-2"/>
              </w:rPr>
              <w:t>Economic aspects</w:t>
            </w:r>
            <w:r w:rsidRPr="00EC75B7">
              <w:rPr>
                <w:rFonts w:ascii="Verdana" w:hAnsi="Verdana"/>
              </w:rPr>
              <w:tab/>
            </w:r>
            <w:r w:rsidRPr="00EC75B7">
              <w:rPr>
                <w:rFonts w:ascii="Verdana" w:hAnsi="Verdana"/>
                <w:b w:val="0"/>
                <w:spacing w:val="-5"/>
              </w:rPr>
              <w:t>43</w:t>
            </w:r>
          </w:hyperlink>
        </w:p>
        <w:p w14:paraId="57F1D2AF" w14:textId="77777777" w:rsidR="008715BE" w:rsidRPr="00EC75B7" w:rsidRDefault="008715BE">
          <w:pPr>
            <w:pStyle w:val="TOC2"/>
            <w:numPr>
              <w:ilvl w:val="1"/>
              <w:numId w:val="119"/>
            </w:numPr>
            <w:tabs>
              <w:tab w:val="left" w:pos="1773"/>
              <w:tab w:val="left" w:leader="dot" w:pos="10230"/>
            </w:tabs>
            <w:spacing w:before="3"/>
            <w:rPr>
              <w:rFonts w:ascii="Verdana" w:hAnsi="Verdana"/>
              <w:sz w:val="18"/>
              <w:szCs w:val="18"/>
            </w:rPr>
          </w:pPr>
          <w:hyperlink w:anchor="_bookmark38" w:history="1">
            <w:r w:rsidRPr="00EC75B7">
              <w:rPr>
                <w:rFonts w:ascii="Verdana" w:hAnsi="Verdana"/>
                <w:spacing w:val="-2"/>
                <w:sz w:val="18"/>
                <w:szCs w:val="18"/>
              </w:rPr>
              <w:t>Biodiversity</w:t>
            </w:r>
            <w:r w:rsidRPr="00EC75B7">
              <w:rPr>
                <w:rFonts w:ascii="Verdana" w:hAnsi="Verdana"/>
                <w:sz w:val="18"/>
                <w:szCs w:val="18"/>
              </w:rPr>
              <w:tab/>
            </w:r>
            <w:r w:rsidRPr="00EC75B7">
              <w:rPr>
                <w:rFonts w:ascii="Verdana" w:hAnsi="Verdana"/>
                <w:spacing w:val="-5"/>
                <w:sz w:val="18"/>
                <w:szCs w:val="18"/>
              </w:rPr>
              <w:t>44</w:t>
            </w:r>
          </w:hyperlink>
        </w:p>
        <w:p w14:paraId="732C5638" w14:textId="77777777" w:rsidR="008715BE" w:rsidRPr="00EC75B7" w:rsidRDefault="008715BE">
          <w:pPr>
            <w:pStyle w:val="TOC3"/>
            <w:numPr>
              <w:ilvl w:val="2"/>
              <w:numId w:val="119"/>
            </w:numPr>
            <w:tabs>
              <w:tab w:val="left" w:pos="1951"/>
              <w:tab w:val="left" w:leader="dot" w:pos="10230"/>
            </w:tabs>
            <w:spacing w:before="37"/>
            <w:ind w:left="1951" w:hanging="718"/>
            <w:rPr>
              <w:rFonts w:ascii="Verdana" w:hAnsi="Verdana"/>
              <w:b w:val="0"/>
            </w:rPr>
          </w:pPr>
          <w:hyperlink w:anchor="_bookmark39" w:history="1">
            <w:r w:rsidRPr="00EC75B7">
              <w:rPr>
                <w:rFonts w:ascii="Verdana" w:hAnsi="Verdana"/>
              </w:rPr>
              <w:t xml:space="preserve">Presentation of the project's intersection areas with </w:t>
            </w:r>
            <w:r w:rsidRPr="00EC75B7">
              <w:rPr>
                <w:rFonts w:ascii="Verdana" w:hAnsi="Verdana"/>
                <w:spacing w:val="-2"/>
              </w:rPr>
              <w:t xml:space="preserve">protected </w:t>
            </w:r>
            <w:r w:rsidRPr="00EC75B7">
              <w:rPr>
                <w:rFonts w:ascii="Verdana" w:hAnsi="Verdana"/>
              </w:rPr>
              <w:t>natural areas</w:t>
            </w:r>
            <w:r w:rsidRPr="00EC75B7">
              <w:rPr>
                <w:rFonts w:ascii="Verdana" w:hAnsi="Verdana"/>
                <w:b w:val="0"/>
                <w:i w:val="0"/>
              </w:rPr>
              <w:tab/>
            </w:r>
            <w:r w:rsidRPr="00EC75B7">
              <w:rPr>
                <w:rFonts w:ascii="Verdana" w:hAnsi="Verdana"/>
                <w:b w:val="0"/>
                <w:spacing w:val="-5"/>
              </w:rPr>
              <w:t>45</w:t>
            </w:r>
          </w:hyperlink>
        </w:p>
        <w:p w14:paraId="06F48999" w14:textId="77777777" w:rsidR="008715BE" w:rsidRPr="00EC75B7" w:rsidRDefault="008715BE">
          <w:pPr>
            <w:pStyle w:val="TOC3"/>
            <w:numPr>
              <w:ilvl w:val="2"/>
              <w:numId w:val="119"/>
            </w:numPr>
            <w:tabs>
              <w:tab w:val="left" w:pos="1951"/>
              <w:tab w:val="left" w:leader="dot" w:pos="10230"/>
            </w:tabs>
            <w:ind w:left="1951" w:hanging="718"/>
            <w:rPr>
              <w:rFonts w:ascii="Verdana" w:hAnsi="Verdana"/>
              <w:b w:val="0"/>
            </w:rPr>
          </w:pPr>
          <w:hyperlink w:anchor="_bookmark40" w:history="1">
            <w:r w:rsidRPr="00EC75B7">
              <w:rPr>
                <w:rFonts w:ascii="Verdana" w:hAnsi="Verdana"/>
              </w:rPr>
              <w:t xml:space="preserve">Presentation of the project's neighbouring areas with </w:t>
            </w:r>
            <w:r w:rsidRPr="00EC75B7">
              <w:rPr>
                <w:rFonts w:ascii="Verdana" w:hAnsi="Verdana"/>
                <w:spacing w:val="-2"/>
              </w:rPr>
              <w:t xml:space="preserve">protected </w:t>
            </w:r>
            <w:r w:rsidRPr="00EC75B7">
              <w:rPr>
                <w:rFonts w:ascii="Verdana" w:hAnsi="Verdana"/>
              </w:rPr>
              <w:t>natural areas</w:t>
            </w:r>
            <w:r w:rsidRPr="00EC75B7">
              <w:rPr>
                <w:rFonts w:ascii="Verdana" w:hAnsi="Verdana"/>
              </w:rPr>
              <w:tab/>
            </w:r>
            <w:r w:rsidRPr="00EC75B7">
              <w:rPr>
                <w:rFonts w:ascii="Verdana" w:hAnsi="Verdana"/>
                <w:b w:val="0"/>
                <w:spacing w:val="-5"/>
              </w:rPr>
              <w:t>46</w:t>
            </w:r>
          </w:hyperlink>
        </w:p>
        <w:p w14:paraId="6E4F71BE" w14:textId="77777777" w:rsidR="008715BE" w:rsidRPr="00EC75B7" w:rsidRDefault="008715BE">
          <w:pPr>
            <w:pStyle w:val="TOC3"/>
            <w:numPr>
              <w:ilvl w:val="2"/>
              <w:numId w:val="119"/>
            </w:numPr>
            <w:tabs>
              <w:tab w:val="left" w:pos="1951"/>
              <w:tab w:val="left" w:leader="dot" w:pos="10230"/>
            </w:tabs>
            <w:spacing w:before="43"/>
            <w:ind w:left="1951" w:hanging="718"/>
            <w:rPr>
              <w:rFonts w:ascii="Verdana" w:hAnsi="Verdana"/>
              <w:b w:val="0"/>
            </w:rPr>
          </w:pPr>
          <w:hyperlink w:anchor="_bookmark41" w:history="1">
            <w:r w:rsidRPr="00EC75B7">
              <w:rPr>
                <w:rFonts w:ascii="Verdana" w:hAnsi="Verdana"/>
                <w:spacing w:val="-4"/>
              </w:rPr>
              <w:t xml:space="preserve">Green </w:t>
            </w:r>
            <w:r w:rsidRPr="00EC75B7">
              <w:rPr>
                <w:rFonts w:ascii="Verdana" w:hAnsi="Verdana"/>
              </w:rPr>
              <w:t>Infrastructure</w:t>
            </w:r>
            <w:r w:rsidRPr="00EC75B7">
              <w:rPr>
                <w:rFonts w:ascii="Verdana" w:hAnsi="Verdana"/>
              </w:rPr>
              <w:tab/>
            </w:r>
            <w:r w:rsidRPr="00EC75B7">
              <w:rPr>
                <w:rFonts w:ascii="Verdana" w:hAnsi="Verdana"/>
                <w:b w:val="0"/>
                <w:spacing w:val="-5"/>
              </w:rPr>
              <w:t>56</w:t>
            </w:r>
          </w:hyperlink>
        </w:p>
        <w:p w14:paraId="78CB8AF1" w14:textId="77777777" w:rsidR="008715BE" w:rsidRPr="00EC75B7" w:rsidRDefault="008715BE">
          <w:pPr>
            <w:pStyle w:val="TOC3"/>
            <w:numPr>
              <w:ilvl w:val="2"/>
              <w:numId w:val="119"/>
            </w:numPr>
            <w:tabs>
              <w:tab w:val="left" w:pos="1951"/>
              <w:tab w:val="left" w:leader="dot" w:pos="10230"/>
            </w:tabs>
            <w:ind w:left="1951" w:hanging="718"/>
            <w:rPr>
              <w:rFonts w:ascii="Verdana" w:hAnsi="Verdana"/>
              <w:b w:val="0"/>
            </w:rPr>
          </w:pPr>
          <w:hyperlink w:anchor="_bookmark42" w:history="1">
            <w:r w:rsidRPr="00EC75B7">
              <w:rPr>
                <w:rFonts w:ascii="Verdana" w:hAnsi="Verdana"/>
                <w:spacing w:val="-2"/>
              </w:rPr>
              <w:t xml:space="preserve">Migration </w:t>
            </w:r>
            <w:r w:rsidRPr="00EC75B7">
              <w:rPr>
                <w:rFonts w:ascii="Verdana" w:hAnsi="Verdana"/>
              </w:rPr>
              <w:t>Color</w:t>
            </w:r>
            <w:r w:rsidRPr="00EC75B7">
              <w:rPr>
                <w:rFonts w:ascii="Verdana" w:hAnsi="Verdana"/>
                <w:b w:val="0"/>
                <w:i w:val="0"/>
              </w:rPr>
              <w:tab/>
            </w:r>
            <w:r w:rsidRPr="00EC75B7">
              <w:rPr>
                <w:rFonts w:ascii="Verdana" w:hAnsi="Verdana"/>
                <w:b w:val="0"/>
                <w:spacing w:val="-5"/>
              </w:rPr>
              <w:t>57</w:t>
            </w:r>
          </w:hyperlink>
        </w:p>
        <w:p w14:paraId="339E48BF" w14:textId="77777777" w:rsidR="008715BE" w:rsidRPr="00EC75B7" w:rsidRDefault="008715BE">
          <w:pPr>
            <w:pStyle w:val="TOC3"/>
            <w:numPr>
              <w:ilvl w:val="2"/>
              <w:numId w:val="119"/>
            </w:numPr>
            <w:tabs>
              <w:tab w:val="left" w:pos="1951"/>
              <w:tab w:val="left" w:leader="dot" w:pos="10230"/>
            </w:tabs>
            <w:spacing w:before="40"/>
            <w:ind w:left="1951" w:hanging="718"/>
            <w:rPr>
              <w:rFonts w:ascii="Verdana" w:hAnsi="Verdana"/>
              <w:b w:val="0"/>
            </w:rPr>
          </w:pPr>
          <w:hyperlink w:anchor="_bookmark43" w:history="1">
            <w:r w:rsidRPr="00EC75B7">
              <w:rPr>
                <w:rFonts w:ascii="Verdana" w:hAnsi="Verdana"/>
                <w:spacing w:val="-2"/>
              </w:rPr>
              <w:t>Information about local flora and fauna</w:t>
            </w:r>
            <w:r w:rsidRPr="00EC75B7">
              <w:rPr>
                <w:rFonts w:ascii="Verdana" w:hAnsi="Verdana"/>
                <w:b w:val="0"/>
                <w:i w:val="0"/>
              </w:rPr>
              <w:tab/>
            </w:r>
            <w:r w:rsidRPr="00EC75B7">
              <w:rPr>
                <w:rFonts w:ascii="Verdana" w:hAnsi="Verdana"/>
                <w:b w:val="0"/>
                <w:spacing w:val="-5"/>
              </w:rPr>
              <w:t>65</w:t>
            </w:r>
          </w:hyperlink>
        </w:p>
        <w:p w14:paraId="5A599157" w14:textId="77777777" w:rsidR="008715BE" w:rsidRPr="00EC75B7" w:rsidRDefault="008715BE">
          <w:pPr>
            <w:pStyle w:val="TOC2"/>
            <w:numPr>
              <w:ilvl w:val="1"/>
              <w:numId w:val="119"/>
            </w:numPr>
            <w:tabs>
              <w:tab w:val="left" w:pos="1773"/>
              <w:tab w:val="left" w:leader="dot" w:pos="10230"/>
            </w:tabs>
            <w:spacing w:before="3"/>
            <w:rPr>
              <w:rFonts w:ascii="Verdana" w:hAnsi="Verdana"/>
              <w:sz w:val="18"/>
              <w:szCs w:val="18"/>
            </w:rPr>
          </w:pPr>
          <w:hyperlink w:anchor="_bookmark44" w:history="1">
            <w:r w:rsidRPr="00EC75B7">
              <w:rPr>
                <w:rFonts w:ascii="Verdana" w:hAnsi="Verdana"/>
                <w:sz w:val="18"/>
                <w:szCs w:val="18"/>
              </w:rPr>
              <w:t xml:space="preserve">Soil/subsoil and </w:t>
            </w:r>
            <w:r w:rsidRPr="00EC75B7">
              <w:rPr>
                <w:rFonts w:ascii="Verdana" w:hAnsi="Verdana"/>
                <w:spacing w:val="-2"/>
                <w:sz w:val="18"/>
                <w:szCs w:val="18"/>
              </w:rPr>
              <w:t xml:space="preserve">land </w:t>
            </w:r>
            <w:r w:rsidRPr="00EC75B7">
              <w:rPr>
                <w:rFonts w:ascii="Verdana" w:hAnsi="Verdana"/>
                <w:sz w:val="18"/>
                <w:szCs w:val="18"/>
              </w:rPr>
              <w:t>use</w:t>
            </w:r>
            <w:r w:rsidRPr="00EC75B7">
              <w:rPr>
                <w:rFonts w:ascii="Verdana" w:hAnsi="Verdana"/>
                <w:b w:val="0"/>
                <w:sz w:val="18"/>
                <w:szCs w:val="18"/>
              </w:rPr>
              <w:tab/>
            </w:r>
            <w:r w:rsidRPr="00EC75B7">
              <w:rPr>
                <w:rFonts w:ascii="Verdana" w:hAnsi="Verdana"/>
                <w:spacing w:val="-5"/>
                <w:sz w:val="18"/>
                <w:szCs w:val="18"/>
              </w:rPr>
              <w:t>92</w:t>
            </w:r>
          </w:hyperlink>
        </w:p>
        <w:p w14:paraId="39299B29" w14:textId="77777777" w:rsidR="008715BE" w:rsidRPr="00EC75B7" w:rsidRDefault="008715BE">
          <w:pPr>
            <w:pStyle w:val="TOC3"/>
            <w:numPr>
              <w:ilvl w:val="2"/>
              <w:numId w:val="116"/>
            </w:numPr>
            <w:tabs>
              <w:tab w:val="left" w:pos="1815"/>
              <w:tab w:val="left" w:leader="dot" w:pos="10230"/>
            </w:tabs>
            <w:spacing w:before="37"/>
            <w:ind w:left="1815" w:hanging="582"/>
            <w:rPr>
              <w:rFonts w:ascii="Verdana" w:hAnsi="Verdana"/>
              <w:b w:val="0"/>
            </w:rPr>
          </w:pPr>
          <w:hyperlink w:anchor="_bookmark45"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92</w:t>
            </w:r>
          </w:hyperlink>
        </w:p>
        <w:p w14:paraId="0C324499" w14:textId="77777777" w:rsidR="008715BE" w:rsidRPr="00EC75B7" w:rsidRDefault="008715BE">
          <w:pPr>
            <w:pStyle w:val="TOC3"/>
            <w:numPr>
              <w:ilvl w:val="2"/>
              <w:numId w:val="115"/>
            </w:numPr>
            <w:tabs>
              <w:tab w:val="left" w:pos="1880"/>
              <w:tab w:val="left" w:leader="dot" w:pos="10230"/>
            </w:tabs>
            <w:ind w:left="1880" w:hanging="647"/>
            <w:rPr>
              <w:rFonts w:ascii="Verdana" w:hAnsi="Verdana"/>
              <w:b w:val="0"/>
            </w:rPr>
          </w:pPr>
          <w:hyperlink w:anchor="_bookmark46" w:history="1">
            <w:r w:rsidRPr="00EC75B7">
              <w:rPr>
                <w:rFonts w:ascii="Verdana" w:hAnsi="Verdana"/>
                <w:spacing w:val="-2"/>
              </w:rPr>
              <w:t>General information on soil/subsoil</w:t>
            </w:r>
            <w:r w:rsidRPr="00EC75B7">
              <w:rPr>
                <w:rFonts w:ascii="Verdana" w:hAnsi="Verdana"/>
                <w:b w:val="0"/>
                <w:i w:val="0"/>
              </w:rPr>
              <w:tab/>
            </w:r>
            <w:r w:rsidRPr="00EC75B7">
              <w:rPr>
                <w:rFonts w:ascii="Verdana" w:hAnsi="Verdana"/>
                <w:b w:val="0"/>
                <w:spacing w:val="-5"/>
              </w:rPr>
              <w:t>93</w:t>
            </w:r>
          </w:hyperlink>
        </w:p>
        <w:p w14:paraId="7F7E46BE" w14:textId="77777777" w:rsidR="008715BE" w:rsidRPr="00EC75B7" w:rsidRDefault="008715BE">
          <w:pPr>
            <w:pStyle w:val="TOC3"/>
            <w:numPr>
              <w:ilvl w:val="2"/>
              <w:numId w:val="115"/>
            </w:numPr>
            <w:tabs>
              <w:tab w:val="left" w:pos="1880"/>
              <w:tab w:val="left" w:leader="dot" w:pos="10230"/>
            </w:tabs>
            <w:spacing w:before="42"/>
            <w:ind w:left="1880" w:hanging="647"/>
            <w:rPr>
              <w:rFonts w:ascii="Verdana" w:hAnsi="Verdana"/>
              <w:b w:val="0"/>
            </w:rPr>
          </w:pPr>
          <w:hyperlink w:anchor="_bookmark47" w:history="1">
            <w:r w:rsidRPr="00EC75B7">
              <w:rPr>
                <w:rFonts w:ascii="Verdana" w:hAnsi="Verdana"/>
              </w:rPr>
              <w:t xml:space="preserve">Current condition of the soil/subsoil in the </w:t>
            </w:r>
            <w:r w:rsidRPr="00EC75B7">
              <w:rPr>
                <w:rFonts w:ascii="Verdana" w:hAnsi="Verdana"/>
                <w:spacing w:val="-2"/>
              </w:rPr>
              <w:t xml:space="preserve">site </w:t>
            </w:r>
            <w:r w:rsidRPr="00EC75B7">
              <w:rPr>
                <w:rFonts w:ascii="Verdana" w:hAnsi="Verdana"/>
              </w:rPr>
              <w:t>area</w:t>
            </w:r>
            <w:r w:rsidRPr="00EC75B7">
              <w:rPr>
                <w:rFonts w:ascii="Verdana" w:hAnsi="Verdana"/>
                <w:b w:val="0"/>
                <w:i w:val="0"/>
              </w:rPr>
              <w:tab/>
            </w:r>
            <w:r w:rsidRPr="00EC75B7">
              <w:rPr>
                <w:rFonts w:ascii="Verdana" w:hAnsi="Verdana"/>
                <w:b w:val="0"/>
                <w:spacing w:val="-5"/>
              </w:rPr>
              <w:t>94</w:t>
            </w:r>
          </w:hyperlink>
        </w:p>
        <w:p w14:paraId="2A6CEAD3" w14:textId="77777777" w:rsidR="008715BE" w:rsidRPr="00EC75B7" w:rsidRDefault="008715BE">
          <w:pPr>
            <w:pStyle w:val="TOC3"/>
            <w:numPr>
              <w:ilvl w:val="2"/>
              <w:numId w:val="115"/>
            </w:numPr>
            <w:tabs>
              <w:tab w:val="left" w:pos="1880"/>
              <w:tab w:val="left" w:leader="dot" w:pos="10230"/>
            </w:tabs>
            <w:ind w:left="1880" w:hanging="647"/>
            <w:rPr>
              <w:rFonts w:ascii="Verdana" w:hAnsi="Verdana"/>
              <w:b w:val="0"/>
            </w:rPr>
          </w:pPr>
          <w:hyperlink w:anchor="_bookmark48" w:history="1">
            <w:r w:rsidRPr="00EC75B7">
              <w:rPr>
                <w:rFonts w:ascii="Verdana" w:hAnsi="Verdana"/>
                <w:spacing w:val="-2"/>
              </w:rPr>
              <w:t xml:space="preserve">Land </w:t>
            </w:r>
            <w:r w:rsidRPr="00EC75B7">
              <w:rPr>
                <w:rFonts w:ascii="Verdana" w:hAnsi="Verdana"/>
              </w:rPr>
              <w:t>use</w:t>
            </w:r>
            <w:r w:rsidRPr="00EC75B7">
              <w:rPr>
                <w:rFonts w:ascii="Verdana" w:hAnsi="Verdana"/>
              </w:rPr>
              <w:tab/>
            </w:r>
            <w:r w:rsidRPr="00EC75B7">
              <w:rPr>
                <w:rFonts w:ascii="Verdana" w:hAnsi="Verdana"/>
                <w:b w:val="0"/>
                <w:spacing w:val="-7"/>
              </w:rPr>
              <w:t>96</w:t>
            </w:r>
          </w:hyperlink>
        </w:p>
        <w:p w14:paraId="2F79679C" w14:textId="77777777" w:rsidR="008715BE" w:rsidRPr="00EC75B7" w:rsidRDefault="008715BE">
          <w:pPr>
            <w:pStyle w:val="TOC2"/>
            <w:numPr>
              <w:ilvl w:val="1"/>
              <w:numId w:val="119"/>
            </w:numPr>
            <w:tabs>
              <w:tab w:val="left" w:pos="1773"/>
              <w:tab w:val="left" w:leader="dot" w:pos="10230"/>
            </w:tabs>
            <w:spacing w:before="2" w:after="240"/>
            <w:rPr>
              <w:rFonts w:ascii="Verdana" w:hAnsi="Verdana"/>
              <w:sz w:val="18"/>
              <w:szCs w:val="18"/>
            </w:rPr>
          </w:pPr>
          <w:hyperlink w:anchor="_bookmark49" w:history="1">
            <w:r w:rsidRPr="00EC75B7">
              <w:rPr>
                <w:rFonts w:ascii="Verdana" w:hAnsi="Verdana"/>
                <w:spacing w:val="-5"/>
                <w:sz w:val="18"/>
                <w:szCs w:val="18"/>
              </w:rPr>
              <w:t xml:space="preserve">Water/Water </w:t>
            </w:r>
            <w:r w:rsidRPr="00EC75B7">
              <w:rPr>
                <w:rFonts w:ascii="Verdana" w:hAnsi="Verdana"/>
                <w:sz w:val="18"/>
                <w:szCs w:val="18"/>
              </w:rPr>
              <w:t>bodies</w:t>
            </w:r>
            <w:r w:rsidRPr="00EC75B7">
              <w:rPr>
                <w:rFonts w:ascii="Verdana" w:hAnsi="Verdana"/>
                <w:b w:val="0"/>
                <w:sz w:val="18"/>
                <w:szCs w:val="18"/>
              </w:rPr>
              <w:tab/>
            </w:r>
            <w:r w:rsidRPr="00EC75B7">
              <w:rPr>
                <w:rFonts w:ascii="Verdana" w:hAnsi="Verdana"/>
                <w:spacing w:val="-5"/>
                <w:sz w:val="18"/>
                <w:szCs w:val="18"/>
              </w:rPr>
              <w:t>98</w:t>
            </w:r>
          </w:hyperlink>
        </w:p>
        <w:p w14:paraId="5F88A609" w14:textId="77777777" w:rsidR="008715BE" w:rsidRPr="00EC75B7" w:rsidRDefault="008715BE">
          <w:pPr>
            <w:pStyle w:val="TOC3"/>
            <w:numPr>
              <w:ilvl w:val="2"/>
              <w:numId w:val="119"/>
            </w:numPr>
            <w:tabs>
              <w:tab w:val="left" w:pos="1880"/>
              <w:tab w:val="left" w:leader="dot" w:pos="10230"/>
            </w:tabs>
            <w:spacing w:before="450"/>
            <w:ind w:left="1880" w:hanging="647"/>
            <w:rPr>
              <w:rFonts w:ascii="Verdana" w:hAnsi="Verdana"/>
              <w:b w:val="0"/>
            </w:rPr>
          </w:pPr>
          <w:hyperlink w:anchor="_bookmark50"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98</w:t>
            </w:r>
          </w:hyperlink>
        </w:p>
        <w:p w14:paraId="1856835C" w14:textId="77777777" w:rsidR="008715BE" w:rsidRPr="00EC75B7" w:rsidRDefault="008715BE">
          <w:pPr>
            <w:pStyle w:val="TOC3"/>
            <w:numPr>
              <w:ilvl w:val="2"/>
              <w:numId w:val="119"/>
            </w:numPr>
            <w:tabs>
              <w:tab w:val="left" w:pos="1880"/>
              <w:tab w:val="left" w:leader="dot" w:pos="10230"/>
            </w:tabs>
            <w:spacing w:before="40"/>
            <w:ind w:left="1880" w:hanging="647"/>
            <w:jc w:val="both"/>
            <w:rPr>
              <w:rFonts w:ascii="Verdana" w:hAnsi="Verdana"/>
              <w:b w:val="0"/>
            </w:rPr>
          </w:pPr>
          <w:hyperlink w:anchor="_bookmark51" w:history="1">
            <w:r w:rsidRPr="00EC75B7">
              <w:rPr>
                <w:rFonts w:ascii="Verdana" w:hAnsi="Verdana"/>
                <w:spacing w:val="-2"/>
              </w:rPr>
              <w:t xml:space="preserve">Surface </w:t>
            </w:r>
            <w:r w:rsidRPr="00EC75B7">
              <w:rPr>
                <w:rFonts w:ascii="Verdana" w:hAnsi="Verdana"/>
              </w:rPr>
              <w:t>water</w:t>
            </w:r>
            <w:r w:rsidRPr="00EC75B7">
              <w:rPr>
                <w:rFonts w:ascii="Verdana" w:hAnsi="Verdana"/>
                <w:b w:val="0"/>
                <w:i w:val="0"/>
              </w:rPr>
              <w:tab/>
            </w:r>
            <w:r w:rsidRPr="00EC75B7">
              <w:rPr>
                <w:rFonts w:ascii="Verdana" w:hAnsi="Verdana"/>
                <w:b w:val="0"/>
                <w:spacing w:val="-5"/>
              </w:rPr>
              <w:t>98</w:t>
            </w:r>
          </w:hyperlink>
        </w:p>
        <w:p w14:paraId="49FA1CF7" w14:textId="77777777" w:rsidR="008715BE" w:rsidRPr="00EC75B7" w:rsidRDefault="008715BE">
          <w:pPr>
            <w:pStyle w:val="TOC4"/>
            <w:numPr>
              <w:ilvl w:val="2"/>
              <w:numId w:val="119"/>
            </w:numPr>
            <w:tabs>
              <w:tab w:val="left" w:pos="1880"/>
              <w:tab w:val="left" w:leader="dot" w:pos="10230"/>
            </w:tabs>
            <w:spacing w:before="41"/>
            <w:ind w:left="1880" w:hanging="647"/>
            <w:jc w:val="both"/>
            <w:rPr>
              <w:rFonts w:ascii="Verdana" w:hAnsi="Verdana"/>
              <w:b w:val="0"/>
              <w:sz w:val="18"/>
              <w:szCs w:val="18"/>
            </w:rPr>
          </w:pPr>
          <w:hyperlink w:anchor="_bookmark52" w:history="1">
            <w:r w:rsidRPr="00EC75B7">
              <w:rPr>
                <w:rFonts w:ascii="Verdana" w:hAnsi="Verdana"/>
                <w:spacing w:val="-2"/>
                <w:sz w:val="18"/>
                <w:szCs w:val="18"/>
              </w:rPr>
              <w:t>Ground</w:t>
            </w:r>
            <w:r w:rsidRPr="00EC75B7">
              <w:rPr>
                <w:rFonts w:ascii="Verdana" w:hAnsi="Verdana"/>
                <w:sz w:val="18"/>
                <w:szCs w:val="18"/>
              </w:rPr>
              <w:t>water</w:t>
            </w:r>
            <w:r w:rsidRPr="00EC75B7">
              <w:rPr>
                <w:rFonts w:ascii="Verdana" w:hAnsi="Verdana"/>
                <w:b w:val="0"/>
                <w:i w:val="0"/>
                <w:sz w:val="18"/>
                <w:szCs w:val="18"/>
              </w:rPr>
              <w:tab/>
            </w:r>
            <w:r w:rsidRPr="00EC75B7">
              <w:rPr>
                <w:rFonts w:ascii="Verdana" w:hAnsi="Verdana"/>
                <w:b w:val="0"/>
                <w:spacing w:val="-5"/>
                <w:sz w:val="18"/>
                <w:szCs w:val="18"/>
              </w:rPr>
              <w:t>102</w:t>
            </w:r>
          </w:hyperlink>
        </w:p>
        <w:p w14:paraId="1B360095" w14:textId="77777777" w:rsidR="008715BE" w:rsidRPr="00EC75B7" w:rsidRDefault="008715BE">
          <w:pPr>
            <w:pStyle w:val="TOC2"/>
            <w:numPr>
              <w:ilvl w:val="1"/>
              <w:numId w:val="119"/>
            </w:numPr>
            <w:tabs>
              <w:tab w:val="left" w:pos="1773"/>
              <w:tab w:val="left" w:leader="dot" w:pos="10230"/>
            </w:tabs>
            <w:spacing w:before="2"/>
            <w:jc w:val="both"/>
            <w:rPr>
              <w:rFonts w:ascii="Verdana" w:hAnsi="Verdana"/>
              <w:sz w:val="18"/>
              <w:szCs w:val="18"/>
            </w:rPr>
          </w:pPr>
          <w:hyperlink w:anchor="_bookmark53" w:history="1">
            <w:r w:rsidRPr="00EC75B7">
              <w:rPr>
                <w:rFonts w:ascii="Verdana" w:hAnsi="Verdana"/>
                <w:spacing w:val="-5"/>
                <w:sz w:val="18"/>
                <w:szCs w:val="18"/>
              </w:rPr>
              <w:t>Air</w:t>
            </w:r>
            <w:r w:rsidRPr="00EC75B7">
              <w:rPr>
                <w:rFonts w:ascii="Verdana" w:hAnsi="Verdana"/>
                <w:sz w:val="18"/>
                <w:szCs w:val="18"/>
              </w:rPr>
              <w:tab/>
            </w:r>
            <w:r w:rsidRPr="00EC75B7">
              <w:rPr>
                <w:rFonts w:ascii="Verdana" w:hAnsi="Verdana"/>
                <w:spacing w:val="-5"/>
                <w:sz w:val="18"/>
                <w:szCs w:val="18"/>
              </w:rPr>
              <w:t>104</w:t>
            </w:r>
          </w:hyperlink>
        </w:p>
        <w:p w14:paraId="01C1073C" w14:textId="77777777" w:rsidR="008715BE" w:rsidRPr="00EC75B7" w:rsidRDefault="008715BE">
          <w:pPr>
            <w:pStyle w:val="TOC3"/>
            <w:numPr>
              <w:ilvl w:val="2"/>
              <w:numId w:val="119"/>
            </w:numPr>
            <w:tabs>
              <w:tab w:val="left" w:pos="1951"/>
              <w:tab w:val="left" w:leader="dot" w:pos="10230"/>
            </w:tabs>
            <w:spacing w:before="36"/>
            <w:ind w:left="1951" w:hanging="718"/>
            <w:jc w:val="both"/>
            <w:rPr>
              <w:rFonts w:ascii="Verdana" w:hAnsi="Verdana"/>
              <w:b w:val="0"/>
            </w:rPr>
          </w:pPr>
          <w:hyperlink w:anchor="_bookmark54"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104</w:t>
            </w:r>
          </w:hyperlink>
        </w:p>
        <w:p w14:paraId="653F37A0" w14:textId="77777777" w:rsidR="008715BE" w:rsidRPr="00EC75B7" w:rsidRDefault="008715BE">
          <w:pPr>
            <w:pStyle w:val="TOC3"/>
            <w:numPr>
              <w:ilvl w:val="2"/>
              <w:numId w:val="119"/>
            </w:numPr>
            <w:tabs>
              <w:tab w:val="left" w:pos="1951"/>
              <w:tab w:val="left" w:leader="dot" w:pos="10230"/>
            </w:tabs>
            <w:spacing w:before="42"/>
            <w:ind w:left="1951" w:hanging="718"/>
            <w:jc w:val="both"/>
            <w:rPr>
              <w:rFonts w:ascii="Verdana" w:hAnsi="Verdana"/>
              <w:b w:val="0"/>
            </w:rPr>
          </w:pPr>
          <w:hyperlink w:anchor="_bookmark55" w:history="1">
            <w:r w:rsidRPr="00EC75B7">
              <w:rPr>
                <w:rFonts w:ascii="Verdana" w:hAnsi="Verdana"/>
              </w:rPr>
              <w:t xml:space="preserve">Brief description of existing pollution sources in the </w:t>
            </w:r>
            <w:r w:rsidRPr="00EC75B7">
              <w:rPr>
                <w:rFonts w:ascii="Verdana" w:hAnsi="Verdana"/>
                <w:spacing w:val="-2"/>
              </w:rPr>
              <w:t xml:space="preserve">project </w:t>
            </w:r>
            <w:r w:rsidRPr="00EC75B7">
              <w:rPr>
                <w:rFonts w:ascii="Verdana" w:hAnsi="Verdana"/>
              </w:rPr>
              <w:t>area</w:t>
            </w:r>
            <w:r w:rsidRPr="00EC75B7">
              <w:rPr>
                <w:rFonts w:ascii="Verdana" w:hAnsi="Verdana"/>
                <w:b w:val="0"/>
                <w:i w:val="0"/>
              </w:rPr>
              <w:tab/>
            </w:r>
            <w:r w:rsidRPr="00EC75B7">
              <w:rPr>
                <w:rFonts w:ascii="Verdana" w:hAnsi="Verdana"/>
                <w:b w:val="0"/>
                <w:spacing w:val="-5"/>
              </w:rPr>
              <w:t>104</w:t>
            </w:r>
          </w:hyperlink>
        </w:p>
        <w:p w14:paraId="4545E31F" w14:textId="77777777" w:rsidR="008715BE" w:rsidRPr="00EC75B7" w:rsidRDefault="008715BE">
          <w:pPr>
            <w:pStyle w:val="TOC3"/>
            <w:numPr>
              <w:ilvl w:val="2"/>
              <w:numId w:val="119"/>
            </w:numPr>
            <w:tabs>
              <w:tab w:val="left" w:pos="1951"/>
              <w:tab w:val="left" w:leader="dot" w:pos="10230"/>
            </w:tabs>
            <w:spacing w:before="40"/>
            <w:ind w:left="1951" w:hanging="718"/>
            <w:jc w:val="both"/>
            <w:rPr>
              <w:rFonts w:ascii="Verdana" w:hAnsi="Verdana"/>
              <w:b w:val="0"/>
            </w:rPr>
          </w:pPr>
          <w:hyperlink w:anchor="_bookmark56" w:history="1">
            <w:r w:rsidRPr="00EC75B7">
              <w:rPr>
                <w:rFonts w:ascii="Verdana" w:hAnsi="Verdana"/>
              </w:rPr>
              <w:t xml:space="preserve">Current state of </w:t>
            </w:r>
            <w:r w:rsidRPr="00EC75B7">
              <w:rPr>
                <w:rFonts w:ascii="Verdana" w:hAnsi="Verdana"/>
                <w:spacing w:val="-2"/>
              </w:rPr>
              <w:t xml:space="preserve">air </w:t>
            </w:r>
            <w:r w:rsidRPr="00EC75B7">
              <w:rPr>
                <w:rFonts w:ascii="Verdana" w:hAnsi="Verdana"/>
              </w:rPr>
              <w:t>quality</w:t>
            </w:r>
            <w:r w:rsidRPr="00EC75B7">
              <w:rPr>
                <w:rFonts w:ascii="Verdana" w:hAnsi="Verdana"/>
                <w:b w:val="0"/>
                <w:i w:val="0"/>
              </w:rPr>
              <w:tab/>
            </w:r>
            <w:r w:rsidRPr="00EC75B7">
              <w:rPr>
                <w:rFonts w:ascii="Verdana" w:hAnsi="Verdana"/>
                <w:b w:val="0"/>
                <w:spacing w:val="-5"/>
              </w:rPr>
              <w:t>107</w:t>
            </w:r>
          </w:hyperlink>
        </w:p>
        <w:p w14:paraId="2526FF9E" w14:textId="77777777" w:rsidR="008715BE" w:rsidRPr="00EC75B7" w:rsidRDefault="008715BE">
          <w:pPr>
            <w:pStyle w:val="TOC2"/>
            <w:numPr>
              <w:ilvl w:val="1"/>
              <w:numId w:val="119"/>
            </w:numPr>
            <w:tabs>
              <w:tab w:val="left" w:pos="1773"/>
              <w:tab w:val="left" w:leader="dot" w:pos="10230"/>
            </w:tabs>
            <w:spacing w:before="1"/>
            <w:jc w:val="both"/>
            <w:rPr>
              <w:rFonts w:ascii="Verdana" w:hAnsi="Verdana"/>
              <w:sz w:val="18"/>
              <w:szCs w:val="18"/>
            </w:rPr>
          </w:pPr>
          <w:hyperlink w:anchor="_bookmark57" w:history="1">
            <w:r w:rsidRPr="00EC75B7">
              <w:rPr>
                <w:rFonts w:ascii="Verdana" w:hAnsi="Verdana"/>
                <w:spacing w:val="-2"/>
                <w:sz w:val="18"/>
                <w:szCs w:val="18"/>
              </w:rPr>
              <w:t>Noise</w:t>
            </w:r>
            <w:r w:rsidRPr="00EC75B7">
              <w:rPr>
                <w:rFonts w:ascii="Verdana" w:hAnsi="Verdana"/>
                <w:sz w:val="18"/>
                <w:szCs w:val="18"/>
              </w:rPr>
              <w:tab/>
            </w:r>
            <w:r w:rsidRPr="00EC75B7">
              <w:rPr>
                <w:rFonts w:ascii="Verdana" w:hAnsi="Verdana"/>
                <w:spacing w:val="-5"/>
                <w:sz w:val="18"/>
                <w:szCs w:val="18"/>
              </w:rPr>
              <w:t>110</w:t>
            </w:r>
          </w:hyperlink>
        </w:p>
        <w:p w14:paraId="642924B1" w14:textId="77777777" w:rsidR="008715BE" w:rsidRPr="00EC75B7" w:rsidRDefault="008715BE">
          <w:pPr>
            <w:pStyle w:val="TOC3"/>
            <w:numPr>
              <w:ilvl w:val="2"/>
              <w:numId w:val="119"/>
            </w:numPr>
            <w:tabs>
              <w:tab w:val="left" w:pos="1951"/>
              <w:tab w:val="left" w:leader="dot" w:pos="10230"/>
            </w:tabs>
            <w:ind w:left="1951" w:hanging="718"/>
            <w:jc w:val="both"/>
            <w:rPr>
              <w:rFonts w:ascii="Verdana" w:hAnsi="Verdana"/>
              <w:b w:val="0"/>
            </w:rPr>
          </w:pPr>
          <w:hyperlink w:anchor="_bookmark58"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110</w:t>
            </w:r>
          </w:hyperlink>
        </w:p>
        <w:p w14:paraId="19718168" w14:textId="77777777" w:rsidR="008715BE" w:rsidRPr="00EC75B7" w:rsidRDefault="008715BE">
          <w:pPr>
            <w:pStyle w:val="TOC3"/>
            <w:numPr>
              <w:ilvl w:val="2"/>
              <w:numId w:val="119"/>
            </w:numPr>
            <w:tabs>
              <w:tab w:val="left" w:pos="1951"/>
              <w:tab w:val="left" w:leader="dot" w:pos="10230"/>
            </w:tabs>
            <w:ind w:left="1951" w:hanging="718"/>
            <w:jc w:val="both"/>
            <w:rPr>
              <w:rFonts w:ascii="Verdana" w:hAnsi="Verdana"/>
              <w:b w:val="0"/>
            </w:rPr>
          </w:pPr>
          <w:hyperlink w:anchor="_bookmark59" w:history="1">
            <w:r w:rsidRPr="00EC75B7">
              <w:rPr>
                <w:rFonts w:ascii="Verdana" w:hAnsi="Verdana"/>
              </w:rPr>
              <w:t xml:space="preserve">Brief description of existing pollution sources in the </w:t>
            </w:r>
            <w:r w:rsidRPr="00EC75B7">
              <w:rPr>
                <w:rFonts w:ascii="Verdana" w:hAnsi="Verdana"/>
                <w:spacing w:val="-2"/>
              </w:rPr>
              <w:t xml:space="preserve">project </w:t>
            </w:r>
            <w:r w:rsidRPr="00EC75B7">
              <w:rPr>
                <w:rFonts w:ascii="Verdana" w:hAnsi="Verdana"/>
              </w:rPr>
              <w:t>area</w:t>
            </w:r>
            <w:r w:rsidRPr="00EC75B7">
              <w:rPr>
                <w:rFonts w:ascii="Verdana" w:hAnsi="Verdana"/>
                <w:b w:val="0"/>
                <w:i w:val="0"/>
              </w:rPr>
              <w:tab/>
            </w:r>
            <w:r w:rsidRPr="00EC75B7">
              <w:rPr>
                <w:rFonts w:ascii="Verdana" w:hAnsi="Verdana"/>
                <w:b w:val="0"/>
                <w:spacing w:val="-5"/>
              </w:rPr>
              <w:t>111</w:t>
            </w:r>
          </w:hyperlink>
        </w:p>
        <w:p w14:paraId="327E23DC" w14:textId="77777777" w:rsidR="008715BE" w:rsidRPr="00EC75B7" w:rsidRDefault="008715BE">
          <w:pPr>
            <w:pStyle w:val="TOC2"/>
            <w:numPr>
              <w:ilvl w:val="1"/>
              <w:numId w:val="119"/>
            </w:numPr>
            <w:tabs>
              <w:tab w:val="left" w:pos="1773"/>
              <w:tab w:val="left" w:leader="dot" w:pos="10230"/>
            </w:tabs>
            <w:spacing w:before="1"/>
            <w:jc w:val="both"/>
            <w:rPr>
              <w:rFonts w:ascii="Verdana" w:hAnsi="Verdana"/>
              <w:sz w:val="18"/>
              <w:szCs w:val="18"/>
            </w:rPr>
          </w:pPr>
          <w:hyperlink w:anchor="_bookmark60" w:history="1">
            <w:r w:rsidRPr="00EC75B7">
              <w:rPr>
                <w:rFonts w:ascii="Verdana" w:hAnsi="Verdana"/>
                <w:sz w:val="18"/>
                <w:szCs w:val="18"/>
              </w:rPr>
              <w:t xml:space="preserve">Cultural conditions and </w:t>
            </w:r>
            <w:r w:rsidRPr="00EC75B7">
              <w:rPr>
                <w:rFonts w:ascii="Verdana" w:hAnsi="Verdana"/>
                <w:spacing w:val="-2"/>
                <w:sz w:val="18"/>
                <w:szCs w:val="18"/>
              </w:rPr>
              <w:t xml:space="preserve">cultural </w:t>
            </w:r>
            <w:r w:rsidRPr="00EC75B7">
              <w:rPr>
                <w:rFonts w:ascii="Verdana" w:hAnsi="Verdana"/>
                <w:sz w:val="18"/>
                <w:szCs w:val="18"/>
              </w:rPr>
              <w:t>heritage</w:t>
            </w:r>
            <w:r w:rsidRPr="00EC75B7">
              <w:rPr>
                <w:rFonts w:ascii="Verdana" w:hAnsi="Verdana"/>
                <w:b w:val="0"/>
                <w:sz w:val="18"/>
                <w:szCs w:val="18"/>
              </w:rPr>
              <w:tab/>
            </w:r>
            <w:r w:rsidRPr="00EC75B7">
              <w:rPr>
                <w:rFonts w:ascii="Verdana" w:hAnsi="Verdana"/>
                <w:spacing w:val="-5"/>
                <w:sz w:val="18"/>
                <w:szCs w:val="18"/>
              </w:rPr>
              <w:t>11</w:t>
            </w:r>
          </w:hyperlink>
        </w:p>
        <w:p w14:paraId="2C3287CA" w14:textId="77777777" w:rsidR="008715BE" w:rsidRPr="00EC75B7" w:rsidRDefault="008715BE">
          <w:pPr>
            <w:pStyle w:val="TOC3"/>
            <w:numPr>
              <w:ilvl w:val="2"/>
              <w:numId w:val="119"/>
            </w:numPr>
            <w:tabs>
              <w:tab w:val="left" w:pos="1951"/>
              <w:tab w:val="left" w:leader="dot" w:pos="10230"/>
            </w:tabs>
            <w:spacing w:before="37"/>
            <w:ind w:left="1951" w:hanging="718"/>
            <w:jc w:val="both"/>
            <w:rPr>
              <w:rFonts w:ascii="Verdana" w:hAnsi="Verdana"/>
              <w:b w:val="0"/>
            </w:rPr>
          </w:pPr>
          <w:hyperlink w:anchor="_bookmark61"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112</w:t>
            </w:r>
          </w:hyperlink>
        </w:p>
        <w:p w14:paraId="29901432" w14:textId="77777777" w:rsidR="008715BE" w:rsidRPr="00EC75B7" w:rsidRDefault="008715BE">
          <w:pPr>
            <w:pStyle w:val="TOC3"/>
            <w:numPr>
              <w:ilvl w:val="2"/>
              <w:numId w:val="119"/>
            </w:numPr>
            <w:tabs>
              <w:tab w:val="left" w:pos="1951"/>
              <w:tab w:val="left" w:leader="dot" w:pos="10230"/>
            </w:tabs>
            <w:spacing w:before="42"/>
            <w:ind w:left="1951" w:hanging="718"/>
            <w:jc w:val="both"/>
            <w:rPr>
              <w:rFonts w:ascii="Verdana" w:hAnsi="Verdana"/>
              <w:b w:val="0"/>
            </w:rPr>
          </w:pPr>
          <w:hyperlink w:anchor="_bookmark62" w:history="1">
            <w:r w:rsidRPr="00EC75B7">
              <w:rPr>
                <w:rFonts w:ascii="Verdana" w:hAnsi="Verdana"/>
              </w:rPr>
              <w:t xml:space="preserve">Description of the project in relation to elements of </w:t>
            </w:r>
            <w:r w:rsidRPr="00EC75B7">
              <w:rPr>
                <w:rFonts w:ascii="Verdana" w:hAnsi="Verdana"/>
                <w:spacing w:val="-2"/>
              </w:rPr>
              <w:t xml:space="preserve">cultural </w:t>
            </w:r>
            <w:r w:rsidRPr="00EC75B7">
              <w:rPr>
                <w:rFonts w:ascii="Verdana" w:hAnsi="Verdana"/>
              </w:rPr>
              <w:t>heritage</w:t>
            </w:r>
            <w:r w:rsidRPr="00EC75B7">
              <w:rPr>
                <w:rFonts w:ascii="Verdana" w:hAnsi="Verdana"/>
              </w:rPr>
              <w:tab/>
            </w:r>
            <w:r w:rsidRPr="00EC75B7">
              <w:rPr>
                <w:rFonts w:ascii="Verdana" w:hAnsi="Verdana"/>
                <w:b w:val="0"/>
                <w:spacing w:val="-5"/>
              </w:rPr>
              <w:t>112</w:t>
            </w:r>
          </w:hyperlink>
        </w:p>
        <w:p w14:paraId="17638467" w14:textId="77777777" w:rsidR="008715BE" w:rsidRPr="00EC75B7" w:rsidRDefault="008715BE">
          <w:pPr>
            <w:pStyle w:val="TOC3"/>
            <w:numPr>
              <w:ilvl w:val="2"/>
              <w:numId w:val="119"/>
            </w:numPr>
            <w:tabs>
              <w:tab w:val="left" w:pos="1951"/>
              <w:tab w:val="left" w:leader="dot" w:pos="10230"/>
            </w:tabs>
            <w:ind w:left="1951" w:hanging="718"/>
            <w:jc w:val="both"/>
            <w:rPr>
              <w:rFonts w:ascii="Verdana" w:hAnsi="Verdana"/>
              <w:b w:val="0"/>
            </w:rPr>
          </w:pPr>
          <w:hyperlink w:anchor="_bookmark63" w:history="1">
            <w:r w:rsidRPr="00EC75B7">
              <w:rPr>
                <w:rFonts w:ascii="Verdana" w:hAnsi="Verdana"/>
                <w:spacing w:val="-2"/>
              </w:rPr>
              <w:t xml:space="preserve">Intangible </w:t>
            </w:r>
            <w:r w:rsidRPr="00EC75B7">
              <w:rPr>
                <w:rFonts w:ascii="Verdana" w:hAnsi="Verdana"/>
              </w:rPr>
              <w:t>cultural heritage</w:t>
            </w:r>
            <w:r w:rsidRPr="00EC75B7">
              <w:rPr>
                <w:rFonts w:ascii="Verdana" w:hAnsi="Verdana"/>
                <w:b w:val="0"/>
                <w:i w:val="0"/>
              </w:rPr>
              <w:tab/>
            </w:r>
            <w:r w:rsidRPr="00EC75B7">
              <w:rPr>
                <w:rFonts w:ascii="Verdana" w:hAnsi="Verdana"/>
                <w:b w:val="0"/>
                <w:spacing w:val="-5"/>
              </w:rPr>
              <w:t>113</w:t>
            </w:r>
          </w:hyperlink>
        </w:p>
        <w:p w14:paraId="5FDB2CC5" w14:textId="77777777" w:rsidR="008715BE" w:rsidRPr="00EC75B7" w:rsidRDefault="008715BE">
          <w:pPr>
            <w:pStyle w:val="TOC2"/>
            <w:numPr>
              <w:ilvl w:val="1"/>
              <w:numId w:val="119"/>
            </w:numPr>
            <w:tabs>
              <w:tab w:val="left" w:pos="1773"/>
              <w:tab w:val="left" w:leader="dot" w:pos="10230"/>
            </w:tabs>
            <w:spacing w:before="1"/>
            <w:jc w:val="both"/>
            <w:rPr>
              <w:rFonts w:ascii="Verdana" w:hAnsi="Verdana"/>
              <w:sz w:val="18"/>
              <w:szCs w:val="18"/>
            </w:rPr>
          </w:pPr>
          <w:hyperlink w:anchor="_bookmark64" w:history="1">
            <w:r w:rsidRPr="00EC75B7">
              <w:rPr>
                <w:rFonts w:ascii="Verdana" w:hAnsi="Verdana"/>
                <w:spacing w:val="-2"/>
                <w:sz w:val="18"/>
                <w:szCs w:val="18"/>
              </w:rPr>
              <w:t>Landscape</w:t>
            </w:r>
            <w:r w:rsidRPr="00EC75B7">
              <w:rPr>
                <w:rFonts w:ascii="Verdana" w:hAnsi="Verdana"/>
                <w:sz w:val="18"/>
                <w:szCs w:val="18"/>
              </w:rPr>
              <w:tab/>
            </w:r>
            <w:r w:rsidRPr="00EC75B7">
              <w:rPr>
                <w:rFonts w:ascii="Verdana" w:hAnsi="Verdana"/>
                <w:spacing w:val="-5"/>
                <w:sz w:val="18"/>
                <w:szCs w:val="18"/>
              </w:rPr>
              <w:t>114</w:t>
            </w:r>
          </w:hyperlink>
        </w:p>
        <w:p w14:paraId="76517B19" w14:textId="77777777" w:rsidR="008715BE" w:rsidRPr="00EC75B7" w:rsidRDefault="008715BE">
          <w:pPr>
            <w:pStyle w:val="TOC3"/>
            <w:numPr>
              <w:ilvl w:val="2"/>
              <w:numId w:val="119"/>
            </w:numPr>
            <w:tabs>
              <w:tab w:val="left" w:pos="1951"/>
              <w:tab w:val="left" w:leader="dot" w:pos="10230"/>
            </w:tabs>
            <w:spacing w:before="40"/>
            <w:ind w:left="1951" w:hanging="718"/>
            <w:jc w:val="both"/>
            <w:rPr>
              <w:rFonts w:ascii="Verdana" w:hAnsi="Verdana"/>
              <w:b w:val="0"/>
            </w:rPr>
          </w:pPr>
          <w:hyperlink w:anchor="_bookmark65" w:history="1">
            <w:r w:rsidRPr="00EC75B7">
              <w:rPr>
                <w:rFonts w:ascii="Verdana" w:hAnsi="Verdana"/>
                <w:spacing w:val="-2"/>
              </w:rPr>
              <w:t xml:space="preserve">Study </w:t>
            </w:r>
            <w:r w:rsidRPr="00EC75B7">
              <w:rPr>
                <w:rFonts w:ascii="Verdana" w:hAnsi="Verdana"/>
              </w:rPr>
              <w:t>area</w:t>
            </w:r>
            <w:r w:rsidRPr="00EC75B7">
              <w:rPr>
                <w:rFonts w:ascii="Verdana" w:hAnsi="Verdana"/>
              </w:rPr>
              <w:tab/>
            </w:r>
            <w:r w:rsidRPr="00EC75B7">
              <w:rPr>
                <w:rFonts w:ascii="Verdana" w:hAnsi="Verdana"/>
                <w:b w:val="0"/>
                <w:spacing w:val="-5"/>
              </w:rPr>
              <w:t>114</w:t>
            </w:r>
          </w:hyperlink>
        </w:p>
        <w:p w14:paraId="2EEC5FC0" w14:textId="77777777" w:rsidR="008715BE" w:rsidRPr="00EC75B7" w:rsidRDefault="008715BE">
          <w:pPr>
            <w:pStyle w:val="TOC3"/>
            <w:numPr>
              <w:ilvl w:val="2"/>
              <w:numId w:val="119"/>
            </w:numPr>
            <w:tabs>
              <w:tab w:val="left" w:pos="1951"/>
              <w:tab w:val="left" w:leader="dot" w:pos="10230"/>
            </w:tabs>
            <w:ind w:left="1951" w:hanging="718"/>
            <w:jc w:val="both"/>
            <w:rPr>
              <w:rFonts w:ascii="Verdana" w:hAnsi="Verdana"/>
              <w:b w:val="0"/>
            </w:rPr>
          </w:pPr>
          <w:hyperlink w:anchor="_bookmark66" w:history="1">
            <w:r w:rsidRPr="00EC75B7">
              <w:rPr>
                <w:rFonts w:ascii="Verdana" w:hAnsi="Verdana"/>
              </w:rPr>
              <w:t xml:space="preserve">Project location and </w:t>
            </w:r>
            <w:r w:rsidRPr="00EC75B7">
              <w:rPr>
                <w:rFonts w:ascii="Verdana" w:hAnsi="Verdana"/>
                <w:spacing w:val="-2"/>
              </w:rPr>
              <w:t xml:space="preserve">landscape </w:t>
            </w:r>
            <w:r w:rsidRPr="00EC75B7">
              <w:rPr>
                <w:rFonts w:ascii="Verdana" w:hAnsi="Verdana"/>
              </w:rPr>
              <w:t>types</w:t>
            </w:r>
            <w:r w:rsidRPr="00EC75B7">
              <w:rPr>
                <w:rFonts w:ascii="Verdana" w:hAnsi="Verdana"/>
                <w:b w:val="0"/>
                <w:i w:val="0"/>
              </w:rPr>
              <w:tab/>
            </w:r>
            <w:r w:rsidRPr="00EC75B7">
              <w:rPr>
                <w:rFonts w:ascii="Verdana" w:hAnsi="Verdana"/>
                <w:b w:val="0"/>
                <w:spacing w:val="-5"/>
              </w:rPr>
              <w:t>114</w:t>
            </w:r>
          </w:hyperlink>
        </w:p>
        <w:p w14:paraId="3D22115B" w14:textId="77777777" w:rsidR="008715BE" w:rsidRPr="00EC75B7" w:rsidRDefault="008715BE">
          <w:pPr>
            <w:pStyle w:val="TOC3"/>
            <w:numPr>
              <w:ilvl w:val="2"/>
              <w:numId w:val="119"/>
            </w:numPr>
            <w:tabs>
              <w:tab w:val="left" w:pos="1951"/>
              <w:tab w:val="left" w:leader="dot" w:pos="10230"/>
            </w:tabs>
            <w:spacing w:before="40"/>
            <w:ind w:left="1951" w:hanging="718"/>
            <w:jc w:val="both"/>
            <w:rPr>
              <w:rFonts w:ascii="Verdana" w:hAnsi="Verdana"/>
              <w:b w:val="0"/>
            </w:rPr>
          </w:pPr>
          <w:hyperlink w:anchor="_bookmark67" w:history="1">
            <w:r w:rsidRPr="00EC75B7">
              <w:rPr>
                <w:rFonts w:ascii="Verdana" w:hAnsi="Verdana"/>
                <w:spacing w:val="-2"/>
              </w:rPr>
              <w:t xml:space="preserve">Landscape </w:t>
            </w:r>
            <w:r w:rsidRPr="00EC75B7">
              <w:rPr>
                <w:rFonts w:ascii="Verdana" w:hAnsi="Verdana"/>
              </w:rPr>
              <w:t>fragmentation</w:t>
            </w:r>
            <w:r w:rsidRPr="00EC75B7">
              <w:rPr>
                <w:rFonts w:ascii="Verdana" w:hAnsi="Verdana"/>
              </w:rPr>
              <w:tab/>
            </w:r>
            <w:r w:rsidRPr="00EC75B7">
              <w:rPr>
                <w:rFonts w:ascii="Verdana" w:hAnsi="Verdana"/>
                <w:b w:val="0"/>
                <w:spacing w:val="-5"/>
              </w:rPr>
              <w:t>116</w:t>
            </w:r>
          </w:hyperlink>
        </w:p>
        <w:p w14:paraId="5F00AA45" w14:textId="77777777" w:rsidR="008715BE" w:rsidRPr="00EC75B7" w:rsidRDefault="008715BE">
          <w:pPr>
            <w:pStyle w:val="TOC4"/>
            <w:numPr>
              <w:ilvl w:val="2"/>
              <w:numId w:val="119"/>
            </w:numPr>
            <w:tabs>
              <w:tab w:val="left" w:pos="1951"/>
              <w:tab w:val="left" w:leader="dot" w:pos="10230"/>
            </w:tabs>
            <w:spacing w:before="42"/>
            <w:ind w:left="1951" w:hanging="718"/>
            <w:jc w:val="both"/>
            <w:rPr>
              <w:rFonts w:ascii="Verdana" w:hAnsi="Verdana"/>
              <w:b w:val="0"/>
              <w:sz w:val="18"/>
              <w:szCs w:val="18"/>
            </w:rPr>
          </w:pPr>
          <w:hyperlink w:anchor="_bookmark68" w:history="1">
            <w:r w:rsidRPr="00EC75B7">
              <w:rPr>
                <w:rFonts w:ascii="Verdana" w:hAnsi="Verdana"/>
                <w:spacing w:val="-2"/>
                <w:sz w:val="18"/>
                <w:szCs w:val="18"/>
              </w:rPr>
              <w:t>Topography</w:t>
            </w:r>
            <w:r w:rsidRPr="00EC75B7">
              <w:rPr>
                <w:rFonts w:ascii="Verdana" w:hAnsi="Verdana"/>
                <w:sz w:val="18"/>
                <w:szCs w:val="18"/>
              </w:rPr>
              <w:tab/>
            </w:r>
            <w:r w:rsidRPr="00EC75B7">
              <w:rPr>
                <w:rFonts w:ascii="Verdana" w:hAnsi="Verdana"/>
                <w:b w:val="0"/>
                <w:spacing w:val="-5"/>
                <w:sz w:val="18"/>
                <w:szCs w:val="18"/>
              </w:rPr>
              <w:t>117</w:t>
            </w:r>
          </w:hyperlink>
        </w:p>
        <w:p w14:paraId="37910D95" w14:textId="77777777" w:rsidR="008715BE" w:rsidRPr="00EC75B7" w:rsidRDefault="008715BE">
          <w:pPr>
            <w:pStyle w:val="TOC2"/>
            <w:numPr>
              <w:ilvl w:val="1"/>
              <w:numId w:val="119"/>
            </w:numPr>
            <w:tabs>
              <w:tab w:val="left" w:pos="1773"/>
              <w:tab w:val="left" w:leader="dot" w:pos="10230"/>
            </w:tabs>
            <w:spacing w:before="1"/>
            <w:ind w:left="1053" w:right="683" w:firstLine="0"/>
            <w:jc w:val="both"/>
            <w:rPr>
              <w:rFonts w:ascii="Verdana" w:hAnsi="Verdana"/>
              <w:sz w:val="18"/>
              <w:szCs w:val="18"/>
            </w:rPr>
          </w:pPr>
          <w:hyperlink w:anchor="_bookmark69" w:history="1">
            <w:r w:rsidRPr="00EC75B7">
              <w:rPr>
                <w:rFonts w:ascii="Verdana" w:hAnsi="Verdana"/>
                <w:sz w:val="18"/>
                <w:szCs w:val="18"/>
              </w:rPr>
              <w:t xml:space="preserve">Brief description of the likely evolution of the state of the environment if </w:t>
            </w:r>
          </w:hyperlink>
          <w:hyperlink w:anchor="_bookmark69" w:history="1">
            <w:r w:rsidRPr="00EC75B7">
              <w:rPr>
                <w:rFonts w:ascii="Verdana" w:hAnsi="Verdana"/>
                <w:sz w:val="18"/>
                <w:szCs w:val="18"/>
              </w:rPr>
              <w:t>the project is not implemented</w:t>
            </w:r>
            <w:r w:rsidRPr="00EC75B7">
              <w:rPr>
                <w:rFonts w:ascii="Verdana" w:hAnsi="Verdana"/>
                <w:sz w:val="18"/>
                <w:szCs w:val="18"/>
              </w:rPr>
              <w:tab/>
            </w:r>
            <w:r w:rsidRPr="00EC75B7">
              <w:rPr>
                <w:rFonts w:ascii="Verdana" w:hAnsi="Verdana"/>
                <w:spacing w:val="-4"/>
                <w:sz w:val="18"/>
                <w:szCs w:val="18"/>
              </w:rPr>
              <w:t>117</w:t>
            </w:r>
          </w:hyperlink>
        </w:p>
        <w:p w14:paraId="52C2D1EA" w14:textId="77777777" w:rsidR="008715BE" w:rsidRPr="00EC75B7" w:rsidRDefault="008715BE">
          <w:pPr>
            <w:pStyle w:val="TOC1"/>
            <w:numPr>
              <w:ilvl w:val="0"/>
              <w:numId w:val="119"/>
            </w:numPr>
            <w:tabs>
              <w:tab w:val="left" w:pos="1412"/>
            </w:tabs>
            <w:spacing w:before="1" w:line="237" w:lineRule="auto"/>
            <w:ind w:left="873" w:right="1202" w:firstLine="0"/>
            <w:jc w:val="both"/>
            <w:rPr>
              <w:rFonts w:ascii="Verdana" w:hAnsi="Verdana"/>
              <w:sz w:val="18"/>
              <w:szCs w:val="18"/>
            </w:rPr>
          </w:pPr>
          <w:hyperlink w:anchor="_bookmark70" w:history="1">
            <w:r w:rsidRPr="00EC75B7">
              <w:rPr>
                <w:rFonts w:ascii="Verdana" w:hAnsi="Verdana"/>
                <w:color w:val="009DEF"/>
                <w:sz w:val="18"/>
                <w:szCs w:val="18"/>
              </w:rPr>
              <w:t xml:space="preserve">DESCRIPTION OF ENVIRONMENTAL FACTORS LIKELY TO BE </w:t>
            </w:r>
          </w:hyperlink>
          <w:hyperlink w:anchor="_bookmark70" w:history="1">
            <w:r w:rsidRPr="00EC75B7">
              <w:rPr>
                <w:rFonts w:ascii="Verdana" w:hAnsi="Verdana"/>
                <w:color w:val="009DEF"/>
                <w:sz w:val="18"/>
                <w:szCs w:val="18"/>
              </w:rPr>
              <w:t xml:space="preserve">SIGNIFICANTLY </w:t>
            </w:r>
          </w:hyperlink>
          <w:hyperlink w:anchor="_bookmark70" w:history="1">
            <w:r w:rsidRPr="00EC75B7">
              <w:rPr>
                <w:rFonts w:ascii="Verdana" w:hAnsi="Verdana"/>
                <w:color w:val="009DEF"/>
                <w:sz w:val="18"/>
                <w:szCs w:val="18"/>
              </w:rPr>
              <w:t xml:space="preserve">AFFECTED </w:t>
            </w:r>
          </w:hyperlink>
          <w:hyperlink w:anchor="_bookmark70" w:history="1">
            <w:r w:rsidRPr="00EC75B7">
              <w:rPr>
                <w:rFonts w:ascii="Verdana" w:hAnsi="Verdana"/>
                <w:color w:val="009DEF"/>
                <w:sz w:val="18"/>
                <w:szCs w:val="18"/>
              </w:rPr>
              <w:t>BY THE PROJECT</w:t>
            </w:r>
          </w:hyperlink>
        </w:p>
        <w:p w14:paraId="16FBCE1C" w14:textId="77777777" w:rsidR="008715BE" w:rsidRPr="00EC75B7" w:rsidRDefault="008715BE" w:rsidP="00351101">
          <w:pPr>
            <w:pStyle w:val="TOC6"/>
            <w:jc w:val="both"/>
            <w:rPr>
              <w:rFonts w:ascii="Verdana" w:hAnsi="Verdana"/>
              <w:sz w:val="18"/>
              <w:szCs w:val="18"/>
            </w:rPr>
          </w:pPr>
          <w:hyperlink w:anchor="_bookmark70" w:history="1">
            <w:r w:rsidRPr="00EC75B7">
              <w:rPr>
                <w:rFonts w:ascii="Verdana" w:hAnsi="Verdana"/>
                <w:color w:val="009DEF"/>
                <w:spacing w:val="-5"/>
                <w:sz w:val="18"/>
                <w:szCs w:val="18"/>
              </w:rPr>
              <w:t>120</w:t>
            </w:r>
          </w:hyperlink>
        </w:p>
        <w:p w14:paraId="551EC251" w14:textId="77777777" w:rsidR="008715BE" w:rsidRPr="00EC75B7" w:rsidRDefault="008715BE">
          <w:pPr>
            <w:pStyle w:val="TOC1"/>
            <w:numPr>
              <w:ilvl w:val="0"/>
              <w:numId w:val="119"/>
            </w:numPr>
            <w:tabs>
              <w:tab w:val="left" w:pos="1593"/>
            </w:tabs>
            <w:spacing w:line="267" w:lineRule="exact"/>
            <w:ind w:left="1593" w:hanging="720"/>
            <w:jc w:val="both"/>
            <w:rPr>
              <w:rFonts w:ascii="Verdana" w:hAnsi="Verdana"/>
              <w:sz w:val="18"/>
              <w:szCs w:val="18"/>
            </w:rPr>
          </w:pPr>
          <w:hyperlink w:anchor="_bookmark71" w:history="1">
            <w:r w:rsidRPr="00EC75B7">
              <w:rPr>
                <w:rFonts w:ascii="Verdana" w:hAnsi="Verdana"/>
                <w:color w:val="009DEF"/>
                <w:spacing w:val="-2"/>
                <w:sz w:val="18"/>
                <w:szCs w:val="18"/>
              </w:rPr>
              <w:t>POTENTIAL IMPACT, INCLUDING CROSS-BORDER IMPACT, ON</w:t>
            </w:r>
          </w:hyperlink>
        </w:p>
        <w:p w14:paraId="18117578" w14:textId="77777777" w:rsidR="008715BE" w:rsidRPr="00EC75B7" w:rsidRDefault="008715BE" w:rsidP="00351101">
          <w:pPr>
            <w:pStyle w:val="TOC1"/>
            <w:ind w:left="1593" w:right="1722" w:hanging="720"/>
            <w:jc w:val="both"/>
            <w:rPr>
              <w:rFonts w:ascii="Verdana" w:hAnsi="Verdana"/>
              <w:sz w:val="18"/>
              <w:szCs w:val="18"/>
            </w:rPr>
          </w:pPr>
          <w:hyperlink w:anchor="_bookmark71" w:history="1">
            <w:r w:rsidRPr="00EC75B7">
              <w:rPr>
                <w:rFonts w:ascii="Verdana" w:hAnsi="Verdana"/>
                <w:color w:val="009DEF"/>
                <w:sz w:val="18"/>
                <w:szCs w:val="18"/>
              </w:rPr>
              <w:t>ENVIRONMENTAL COMPONENTS – who is responsible for which factor</w:t>
            </w:r>
          </w:hyperlink>
          <w:hyperlink w:anchor="_bookmark71" w:history="1">
            <w:r w:rsidRPr="00EC75B7">
              <w:rPr>
                <w:rFonts w:ascii="Verdana" w:hAnsi="Verdana"/>
                <w:color w:val="009DEF"/>
                <w:spacing w:val="-4"/>
                <w:sz w:val="18"/>
                <w:szCs w:val="18"/>
              </w:rPr>
              <w:t xml:space="preserve"> 123</w:t>
            </w:r>
          </w:hyperlink>
        </w:p>
        <w:p w14:paraId="70D4407A" w14:textId="77777777" w:rsidR="008715BE" w:rsidRPr="00EC75B7" w:rsidRDefault="008715BE">
          <w:pPr>
            <w:pStyle w:val="TOC2"/>
            <w:numPr>
              <w:ilvl w:val="1"/>
              <w:numId w:val="119"/>
            </w:numPr>
            <w:tabs>
              <w:tab w:val="left" w:pos="1769"/>
              <w:tab w:val="left" w:leader="dot" w:pos="10230"/>
            </w:tabs>
            <w:spacing w:line="242" w:lineRule="exact"/>
            <w:ind w:left="1769" w:hanging="716"/>
            <w:jc w:val="both"/>
            <w:rPr>
              <w:rFonts w:ascii="Verdana" w:hAnsi="Verdana"/>
              <w:sz w:val="18"/>
              <w:szCs w:val="18"/>
            </w:rPr>
          </w:pPr>
          <w:hyperlink w:anchor="_bookmark72" w:history="1">
            <w:r w:rsidRPr="00EC75B7">
              <w:rPr>
                <w:rFonts w:ascii="Verdana" w:hAnsi="Verdana"/>
                <w:sz w:val="18"/>
                <w:szCs w:val="18"/>
              </w:rPr>
              <w:t xml:space="preserve">Identification of effects and forms of </w:t>
            </w:r>
            <w:r w:rsidRPr="00EC75B7">
              <w:rPr>
                <w:rFonts w:ascii="Verdana" w:hAnsi="Verdana"/>
                <w:spacing w:val="-2"/>
                <w:sz w:val="18"/>
                <w:szCs w:val="18"/>
              </w:rPr>
              <w:t>impact</w:t>
            </w:r>
            <w:r w:rsidRPr="00EC75B7">
              <w:rPr>
                <w:rFonts w:ascii="Verdana" w:hAnsi="Verdana"/>
                <w:b w:val="0"/>
                <w:sz w:val="18"/>
                <w:szCs w:val="18"/>
              </w:rPr>
              <w:tab/>
            </w:r>
            <w:r w:rsidRPr="00EC75B7">
              <w:rPr>
                <w:rFonts w:ascii="Verdana" w:hAnsi="Verdana"/>
                <w:spacing w:val="-5"/>
                <w:sz w:val="18"/>
                <w:szCs w:val="18"/>
              </w:rPr>
              <w:t>123</w:t>
            </w:r>
          </w:hyperlink>
        </w:p>
        <w:p w14:paraId="19BA77E4" w14:textId="77777777" w:rsidR="008715BE" w:rsidRPr="00EC75B7" w:rsidRDefault="008715BE">
          <w:pPr>
            <w:pStyle w:val="TOC3"/>
            <w:numPr>
              <w:ilvl w:val="2"/>
              <w:numId w:val="119"/>
            </w:numPr>
            <w:tabs>
              <w:tab w:val="left" w:pos="2131"/>
              <w:tab w:val="left" w:leader="dot" w:pos="10230"/>
            </w:tabs>
            <w:spacing w:before="36"/>
            <w:ind w:left="2131" w:hanging="898"/>
            <w:jc w:val="both"/>
            <w:rPr>
              <w:rFonts w:ascii="Verdana" w:hAnsi="Verdana"/>
              <w:b w:val="0"/>
            </w:rPr>
          </w:pPr>
          <w:hyperlink w:anchor="_bookmark73" w:history="1">
            <w:r w:rsidRPr="00EC75B7">
              <w:rPr>
                <w:rFonts w:ascii="Verdana" w:hAnsi="Verdana"/>
                <w:spacing w:val="-2"/>
              </w:rPr>
              <w:t xml:space="preserve">Project </w:t>
            </w:r>
            <w:r w:rsidRPr="00EC75B7">
              <w:rPr>
                <w:rFonts w:ascii="Verdana" w:hAnsi="Verdana"/>
              </w:rPr>
              <w:t>construction and operation</w:t>
            </w:r>
            <w:r w:rsidRPr="00EC75B7">
              <w:rPr>
                <w:rFonts w:ascii="Verdana" w:hAnsi="Verdana"/>
                <w:b w:val="0"/>
                <w:i w:val="0"/>
              </w:rPr>
              <w:tab/>
            </w:r>
            <w:r w:rsidRPr="00EC75B7">
              <w:rPr>
                <w:rFonts w:ascii="Verdana" w:hAnsi="Verdana"/>
                <w:b w:val="0"/>
                <w:spacing w:val="-5"/>
              </w:rPr>
              <w:t>123</w:t>
            </w:r>
          </w:hyperlink>
        </w:p>
        <w:p w14:paraId="21962B24" w14:textId="77777777" w:rsidR="008715BE" w:rsidRPr="00EC75B7" w:rsidRDefault="008715BE">
          <w:pPr>
            <w:pStyle w:val="TOC3"/>
            <w:numPr>
              <w:ilvl w:val="2"/>
              <w:numId w:val="119"/>
            </w:numPr>
            <w:tabs>
              <w:tab w:val="left" w:pos="2131"/>
              <w:tab w:val="left" w:leader="dot" w:pos="10230"/>
            </w:tabs>
            <w:spacing w:before="42"/>
            <w:ind w:left="2131" w:hanging="898"/>
            <w:jc w:val="both"/>
            <w:rPr>
              <w:rFonts w:ascii="Verdana" w:hAnsi="Verdana"/>
              <w:b w:val="0"/>
            </w:rPr>
          </w:pPr>
          <w:hyperlink w:anchor="_bookmark74" w:history="1">
            <w:r w:rsidRPr="00EC75B7">
              <w:rPr>
                <w:rFonts w:ascii="Verdana" w:hAnsi="Verdana"/>
              </w:rPr>
              <w:t xml:space="preserve">Use of </w:t>
            </w:r>
            <w:r w:rsidRPr="00EC75B7">
              <w:rPr>
                <w:rFonts w:ascii="Verdana" w:hAnsi="Verdana"/>
                <w:spacing w:val="-2"/>
              </w:rPr>
              <w:t xml:space="preserve">natural </w:t>
            </w:r>
            <w:r w:rsidRPr="00EC75B7">
              <w:rPr>
                <w:rFonts w:ascii="Verdana" w:hAnsi="Verdana"/>
              </w:rPr>
              <w:t>resources</w:t>
            </w:r>
            <w:r w:rsidRPr="00EC75B7">
              <w:rPr>
                <w:rFonts w:ascii="Verdana" w:hAnsi="Verdana"/>
              </w:rPr>
              <w:tab/>
            </w:r>
            <w:r w:rsidRPr="00EC75B7">
              <w:rPr>
                <w:rFonts w:ascii="Verdana" w:hAnsi="Verdana"/>
                <w:b w:val="0"/>
                <w:spacing w:val="-5"/>
              </w:rPr>
              <w:t>124</w:t>
            </w:r>
          </w:hyperlink>
        </w:p>
        <w:p w14:paraId="1901B83B" w14:textId="77777777" w:rsidR="008715BE" w:rsidRPr="00EC75B7" w:rsidRDefault="008715BE">
          <w:pPr>
            <w:pStyle w:val="TOC3"/>
            <w:numPr>
              <w:ilvl w:val="2"/>
              <w:numId w:val="119"/>
            </w:numPr>
            <w:tabs>
              <w:tab w:val="left" w:pos="2131"/>
              <w:tab w:val="left" w:leader="dot" w:pos="10230"/>
            </w:tabs>
            <w:spacing w:before="40"/>
            <w:ind w:left="2131" w:hanging="898"/>
            <w:jc w:val="both"/>
            <w:rPr>
              <w:rFonts w:ascii="Verdana" w:hAnsi="Verdana"/>
              <w:b w:val="0"/>
            </w:rPr>
          </w:pPr>
          <w:hyperlink w:anchor="_bookmark75" w:history="1">
            <w:r w:rsidRPr="00EC75B7">
              <w:rPr>
                <w:rFonts w:ascii="Verdana" w:hAnsi="Verdana"/>
              </w:rPr>
              <w:t xml:space="preserve">Technologies and substances </w:t>
            </w:r>
            <w:r w:rsidRPr="00EC75B7">
              <w:rPr>
                <w:rFonts w:ascii="Verdana" w:hAnsi="Verdana"/>
                <w:spacing w:val="-2"/>
              </w:rPr>
              <w:t>used</w:t>
            </w:r>
            <w:r w:rsidRPr="00EC75B7">
              <w:rPr>
                <w:rFonts w:ascii="Verdana" w:hAnsi="Verdana"/>
                <w:b w:val="0"/>
                <w:i w:val="0"/>
              </w:rPr>
              <w:tab/>
            </w:r>
            <w:r w:rsidRPr="00EC75B7">
              <w:rPr>
                <w:rFonts w:ascii="Verdana" w:hAnsi="Verdana"/>
                <w:b w:val="0"/>
                <w:spacing w:val="-5"/>
              </w:rPr>
              <w:t>124</w:t>
            </w:r>
          </w:hyperlink>
        </w:p>
        <w:p w14:paraId="72057317" w14:textId="77777777" w:rsidR="008715BE" w:rsidRPr="00EC75B7" w:rsidRDefault="008715BE">
          <w:pPr>
            <w:pStyle w:val="TOC3"/>
            <w:numPr>
              <w:ilvl w:val="2"/>
              <w:numId w:val="119"/>
            </w:numPr>
            <w:tabs>
              <w:tab w:val="left" w:pos="2131"/>
            </w:tabs>
            <w:spacing w:before="42"/>
            <w:ind w:left="2131" w:hanging="898"/>
            <w:jc w:val="both"/>
            <w:rPr>
              <w:rFonts w:ascii="Verdana" w:hAnsi="Verdana"/>
            </w:rPr>
          </w:pPr>
          <w:hyperlink w:anchor="_bookmark76" w:history="1">
            <w:r w:rsidRPr="00EC75B7">
              <w:rPr>
                <w:rFonts w:ascii="Verdana" w:hAnsi="Verdana"/>
              </w:rPr>
              <w:t xml:space="preserve">Emissions of pollutants, noise, vibrations, light, heat, and radiation, creation </w:t>
            </w:r>
            <w:r w:rsidRPr="00EC75B7">
              <w:rPr>
                <w:rFonts w:ascii="Verdana" w:hAnsi="Verdana"/>
                <w:spacing w:val="-5"/>
              </w:rPr>
              <w:t>of</w:t>
            </w:r>
          </w:hyperlink>
        </w:p>
        <w:p w14:paraId="561D3A62" w14:textId="77777777" w:rsidR="008715BE" w:rsidRPr="00EC75B7" w:rsidRDefault="008715BE" w:rsidP="00351101">
          <w:pPr>
            <w:pStyle w:val="TOC3"/>
            <w:tabs>
              <w:tab w:val="left" w:leader="dot" w:pos="10230"/>
            </w:tabs>
            <w:spacing w:before="43"/>
            <w:ind w:left="1233" w:firstLine="0"/>
            <w:jc w:val="both"/>
            <w:rPr>
              <w:rFonts w:ascii="Verdana" w:hAnsi="Verdana"/>
              <w:b w:val="0"/>
            </w:rPr>
          </w:pPr>
          <w:hyperlink w:anchor="_bookmark76" w:history="1">
            <w:r w:rsidRPr="00EC75B7">
              <w:rPr>
                <w:rFonts w:ascii="Verdana" w:hAnsi="Verdana"/>
              </w:rPr>
              <w:t xml:space="preserve">discomfort, </w:t>
            </w:r>
            <w:r w:rsidRPr="00EC75B7">
              <w:rPr>
                <w:rFonts w:ascii="Verdana" w:hAnsi="Verdana"/>
                <w:spacing w:val="-2"/>
              </w:rPr>
              <w:t xml:space="preserve">waste </w:t>
            </w:r>
            <w:r w:rsidRPr="00EC75B7">
              <w:rPr>
                <w:rFonts w:ascii="Verdana" w:hAnsi="Verdana"/>
              </w:rPr>
              <w:t>disposal and recovery</w:t>
            </w:r>
            <w:r w:rsidRPr="00EC75B7">
              <w:rPr>
                <w:rFonts w:ascii="Verdana" w:hAnsi="Verdana"/>
                <w:b w:val="0"/>
                <w:i w:val="0"/>
              </w:rPr>
              <w:tab/>
            </w:r>
            <w:r w:rsidRPr="00EC75B7">
              <w:rPr>
                <w:rFonts w:ascii="Verdana" w:hAnsi="Verdana"/>
                <w:b w:val="0"/>
                <w:spacing w:val="-5"/>
              </w:rPr>
              <w:t>125</w:t>
            </w:r>
          </w:hyperlink>
        </w:p>
        <w:p w14:paraId="3A559359" w14:textId="77777777" w:rsidR="008715BE" w:rsidRPr="00EC75B7" w:rsidRDefault="008715BE">
          <w:pPr>
            <w:pStyle w:val="TOC3"/>
            <w:numPr>
              <w:ilvl w:val="2"/>
              <w:numId w:val="119"/>
            </w:numPr>
            <w:tabs>
              <w:tab w:val="left" w:pos="2131"/>
              <w:tab w:val="left" w:leader="dot" w:pos="10230"/>
            </w:tabs>
            <w:spacing w:before="42" w:line="285" w:lineRule="auto"/>
            <w:ind w:left="1233" w:right="669" w:firstLine="0"/>
            <w:jc w:val="both"/>
            <w:rPr>
              <w:rFonts w:ascii="Verdana" w:hAnsi="Verdana"/>
              <w:b w:val="0"/>
            </w:rPr>
          </w:pPr>
          <w:hyperlink w:anchor="_bookmark77" w:history="1">
            <w:r w:rsidRPr="00EC75B7">
              <w:rPr>
                <w:rFonts w:ascii="Verdana" w:hAnsi="Verdana"/>
              </w:rPr>
              <w:t>Risks to human health, cultural heritage, or the environment (e.</w:t>
            </w:r>
          </w:hyperlink>
          <w:hyperlink w:anchor="_bookmark77" w:history="1">
            <w:r w:rsidRPr="00EC75B7">
              <w:rPr>
                <w:rFonts w:ascii="Verdana" w:hAnsi="Verdana"/>
              </w:rPr>
              <w:t>g., due to accidents or disasters)</w:t>
            </w:r>
            <w:r w:rsidRPr="00EC75B7">
              <w:rPr>
                <w:rFonts w:ascii="Verdana" w:hAnsi="Verdana"/>
              </w:rPr>
              <w:tab/>
            </w:r>
            <w:r w:rsidRPr="00EC75B7">
              <w:rPr>
                <w:rFonts w:ascii="Verdana" w:hAnsi="Verdana"/>
                <w:b w:val="0"/>
                <w:spacing w:val="-4"/>
              </w:rPr>
              <w:t>125</w:t>
            </w:r>
          </w:hyperlink>
        </w:p>
        <w:p w14:paraId="00029DB2" w14:textId="77777777" w:rsidR="008715BE" w:rsidRPr="00EC75B7" w:rsidRDefault="008715BE">
          <w:pPr>
            <w:pStyle w:val="TOC3"/>
            <w:numPr>
              <w:ilvl w:val="2"/>
              <w:numId w:val="119"/>
            </w:numPr>
            <w:tabs>
              <w:tab w:val="left" w:pos="2131"/>
              <w:tab w:val="left" w:leader="dot" w:pos="10230"/>
            </w:tabs>
            <w:spacing w:before="0" w:line="219" w:lineRule="exact"/>
            <w:ind w:left="2131" w:hanging="898"/>
            <w:jc w:val="both"/>
            <w:rPr>
              <w:rFonts w:ascii="Verdana" w:hAnsi="Verdana"/>
              <w:b w:val="0"/>
            </w:rPr>
          </w:pPr>
          <w:hyperlink w:anchor="_bookmark78" w:history="1">
            <w:r w:rsidRPr="00EC75B7">
              <w:rPr>
                <w:rFonts w:ascii="Verdana" w:hAnsi="Verdana"/>
                <w:spacing w:val="-2"/>
              </w:rPr>
              <w:t xml:space="preserve">Climate </w:t>
            </w:r>
            <w:r w:rsidRPr="00EC75B7">
              <w:rPr>
                <w:rFonts w:ascii="Verdana" w:hAnsi="Verdana"/>
              </w:rPr>
              <w:t>change</w:t>
            </w:r>
            <w:r w:rsidRPr="00EC75B7">
              <w:rPr>
                <w:rFonts w:ascii="Verdana" w:hAnsi="Verdana"/>
                <w:b w:val="0"/>
                <w:i w:val="0"/>
              </w:rPr>
              <w:tab/>
            </w:r>
            <w:r w:rsidRPr="00EC75B7">
              <w:rPr>
                <w:rFonts w:ascii="Verdana" w:hAnsi="Verdana"/>
                <w:b w:val="0"/>
                <w:spacing w:val="-5"/>
              </w:rPr>
              <w:t>125</w:t>
            </w:r>
          </w:hyperlink>
        </w:p>
        <w:p w14:paraId="7F685967"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79" w:history="1">
            <w:r w:rsidRPr="00EC75B7">
              <w:rPr>
                <w:rFonts w:ascii="Verdana" w:hAnsi="Verdana"/>
                <w:sz w:val="18"/>
                <w:szCs w:val="18"/>
              </w:rPr>
              <w:t xml:space="preserve">Social and </w:t>
            </w:r>
            <w:r w:rsidRPr="00EC75B7">
              <w:rPr>
                <w:rFonts w:ascii="Verdana" w:hAnsi="Verdana"/>
                <w:spacing w:val="-2"/>
                <w:sz w:val="18"/>
                <w:szCs w:val="18"/>
              </w:rPr>
              <w:t xml:space="preserve">economic </w:t>
            </w:r>
            <w:r w:rsidRPr="00EC75B7">
              <w:rPr>
                <w:rFonts w:ascii="Verdana" w:hAnsi="Verdana"/>
                <w:sz w:val="18"/>
                <w:szCs w:val="18"/>
              </w:rPr>
              <w:t>environment</w:t>
            </w:r>
            <w:r w:rsidRPr="00EC75B7">
              <w:rPr>
                <w:rFonts w:ascii="Verdana" w:hAnsi="Verdana"/>
                <w:b w:val="0"/>
                <w:sz w:val="18"/>
                <w:szCs w:val="18"/>
              </w:rPr>
              <w:tab/>
            </w:r>
            <w:r w:rsidRPr="00EC75B7">
              <w:rPr>
                <w:rFonts w:ascii="Verdana" w:hAnsi="Verdana"/>
                <w:spacing w:val="-5"/>
                <w:sz w:val="18"/>
                <w:szCs w:val="18"/>
              </w:rPr>
              <w:t>125</w:t>
            </w:r>
          </w:hyperlink>
        </w:p>
        <w:p w14:paraId="613AB6E8" w14:textId="77777777" w:rsidR="008715BE" w:rsidRPr="00EC75B7" w:rsidRDefault="008715BE">
          <w:pPr>
            <w:pStyle w:val="TOC3"/>
            <w:numPr>
              <w:ilvl w:val="2"/>
              <w:numId w:val="119"/>
            </w:numPr>
            <w:tabs>
              <w:tab w:val="left" w:pos="2131"/>
              <w:tab w:val="left" w:leader="dot" w:pos="10230"/>
            </w:tabs>
            <w:spacing w:before="40" w:line="288" w:lineRule="auto"/>
            <w:ind w:left="1233" w:right="729" w:firstLine="0"/>
            <w:jc w:val="both"/>
            <w:rPr>
              <w:rFonts w:ascii="Verdana" w:hAnsi="Verdana"/>
              <w:b w:val="0"/>
            </w:rPr>
          </w:pPr>
          <w:hyperlink w:anchor="_bookmark80" w:history="1">
            <w:r w:rsidRPr="00EC75B7">
              <w:rPr>
                <w:rFonts w:ascii="Verdana" w:hAnsi="Verdana"/>
              </w:rPr>
              <w:t xml:space="preserve">Sensitivity class and magnitude classes for assessing the potential impact </w:t>
            </w:r>
          </w:hyperlink>
          <w:hyperlink w:anchor="_bookmark80" w:history="1">
            <w:r w:rsidRPr="00EC75B7">
              <w:rPr>
                <w:rFonts w:ascii="Verdana" w:hAnsi="Verdana"/>
              </w:rPr>
              <w:t xml:space="preserve">on the social and economic environment, including on </w:t>
            </w:r>
            <w:r w:rsidRPr="00EC75B7">
              <w:rPr>
                <w:rFonts w:ascii="Verdana" w:hAnsi="Verdana"/>
                <w:spacing w:val="-2"/>
              </w:rPr>
              <w:t xml:space="preserve">public </w:t>
            </w:r>
            <w:r w:rsidRPr="00EC75B7">
              <w:rPr>
                <w:rFonts w:ascii="Verdana" w:hAnsi="Verdana"/>
              </w:rPr>
              <w:t>health</w:t>
            </w:r>
            <w:r w:rsidRPr="00EC75B7">
              <w:rPr>
                <w:rFonts w:ascii="Verdana" w:hAnsi="Verdana"/>
                <w:b w:val="0"/>
                <w:i w:val="0"/>
              </w:rPr>
              <w:tab/>
            </w:r>
            <w:r w:rsidRPr="00EC75B7">
              <w:rPr>
                <w:rFonts w:ascii="Verdana" w:hAnsi="Verdana"/>
                <w:b w:val="0"/>
                <w:spacing w:val="-5"/>
              </w:rPr>
              <w:t>125</w:t>
            </w:r>
          </w:hyperlink>
        </w:p>
        <w:p w14:paraId="2487DF0A" w14:textId="77777777" w:rsidR="008715BE" w:rsidRPr="00EC75B7" w:rsidRDefault="008715BE">
          <w:pPr>
            <w:pStyle w:val="TOC3"/>
            <w:numPr>
              <w:ilvl w:val="2"/>
              <w:numId w:val="119"/>
            </w:numPr>
            <w:tabs>
              <w:tab w:val="left" w:pos="2131"/>
              <w:tab w:val="left" w:leader="dot" w:pos="10230"/>
            </w:tabs>
            <w:spacing w:before="0" w:line="215" w:lineRule="exact"/>
            <w:ind w:left="2131" w:hanging="898"/>
            <w:jc w:val="both"/>
            <w:rPr>
              <w:rFonts w:ascii="Verdana" w:hAnsi="Verdana"/>
              <w:b w:val="0"/>
            </w:rPr>
          </w:pPr>
          <w:hyperlink w:anchor="_bookmark81" w:history="1">
            <w:r w:rsidRPr="00EC75B7">
              <w:rPr>
                <w:rFonts w:ascii="Verdana" w:hAnsi="Verdana"/>
                <w:spacing w:val="-2"/>
              </w:rPr>
              <w:t xml:space="preserve">Impact </w:t>
            </w:r>
            <w:r w:rsidRPr="00EC75B7">
              <w:rPr>
                <w:rFonts w:ascii="Verdana" w:hAnsi="Verdana"/>
              </w:rPr>
              <w:t>forecast</w:t>
            </w:r>
            <w:r w:rsidRPr="00EC75B7">
              <w:rPr>
                <w:rFonts w:ascii="Verdana" w:hAnsi="Verdana"/>
              </w:rPr>
              <w:tab/>
            </w:r>
            <w:r w:rsidRPr="00EC75B7">
              <w:rPr>
                <w:rFonts w:ascii="Verdana" w:hAnsi="Verdana"/>
                <w:b w:val="0"/>
                <w:spacing w:val="-5"/>
              </w:rPr>
              <w:t>130</w:t>
            </w:r>
          </w:hyperlink>
        </w:p>
        <w:p w14:paraId="0B8446AC"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82"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134</w:t>
            </w:r>
          </w:hyperlink>
        </w:p>
        <w:p w14:paraId="6C97E543" w14:textId="77777777" w:rsidR="008715BE" w:rsidRPr="00EC75B7" w:rsidRDefault="008715BE">
          <w:pPr>
            <w:pStyle w:val="TOC2"/>
            <w:numPr>
              <w:ilvl w:val="1"/>
              <w:numId w:val="119"/>
            </w:numPr>
            <w:tabs>
              <w:tab w:val="left" w:pos="1769"/>
              <w:tab w:val="left" w:leader="dot" w:pos="10230"/>
            </w:tabs>
            <w:spacing w:before="4"/>
            <w:ind w:left="1769" w:hanging="716"/>
            <w:jc w:val="both"/>
            <w:rPr>
              <w:rFonts w:ascii="Verdana" w:hAnsi="Verdana"/>
              <w:sz w:val="18"/>
              <w:szCs w:val="18"/>
            </w:rPr>
          </w:pPr>
          <w:hyperlink w:anchor="_bookmark83" w:history="1">
            <w:r w:rsidRPr="00EC75B7">
              <w:rPr>
                <w:rFonts w:ascii="Verdana" w:hAnsi="Verdana"/>
                <w:spacing w:val="-2"/>
                <w:sz w:val="18"/>
                <w:szCs w:val="18"/>
              </w:rPr>
              <w:t>Biodiversity</w:t>
            </w:r>
            <w:r w:rsidRPr="00EC75B7">
              <w:rPr>
                <w:rFonts w:ascii="Verdana" w:hAnsi="Verdana"/>
                <w:sz w:val="18"/>
                <w:szCs w:val="18"/>
              </w:rPr>
              <w:tab/>
            </w:r>
            <w:r w:rsidRPr="00EC75B7">
              <w:rPr>
                <w:rFonts w:ascii="Verdana" w:hAnsi="Verdana"/>
                <w:spacing w:val="-5"/>
                <w:sz w:val="18"/>
                <w:szCs w:val="18"/>
              </w:rPr>
              <w:t>134</w:t>
            </w:r>
          </w:hyperlink>
        </w:p>
        <w:p w14:paraId="1A431EB3" w14:textId="77777777" w:rsidR="008715BE" w:rsidRPr="00EC75B7" w:rsidRDefault="008715BE">
          <w:pPr>
            <w:pStyle w:val="TOC3"/>
            <w:numPr>
              <w:ilvl w:val="2"/>
              <w:numId w:val="119"/>
            </w:numPr>
            <w:tabs>
              <w:tab w:val="left" w:pos="2131"/>
              <w:tab w:val="left" w:leader="dot" w:pos="10230"/>
            </w:tabs>
            <w:spacing w:before="40" w:line="285" w:lineRule="auto"/>
            <w:ind w:left="1233" w:right="762" w:firstLine="0"/>
            <w:jc w:val="both"/>
            <w:rPr>
              <w:rFonts w:ascii="Verdana" w:hAnsi="Verdana"/>
              <w:b w:val="0"/>
            </w:rPr>
          </w:pPr>
          <w:hyperlink w:anchor="_bookmark84" w:history="1">
            <w:r w:rsidRPr="00EC75B7">
              <w:rPr>
                <w:rFonts w:ascii="Verdana" w:hAnsi="Verdana"/>
              </w:rPr>
              <w:t xml:space="preserve">Sensitivity classes and magnitude classes for assessing the impact on </w:t>
            </w:r>
          </w:hyperlink>
          <w:hyperlink w:anchor="_bookmark84" w:history="1">
            <w:r w:rsidRPr="00EC75B7">
              <w:rPr>
                <w:rFonts w:ascii="Verdana" w:hAnsi="Verdana"/>
                <w:spacing w:val="-2"/>
              </w:rPr>
              <w:t>biodiversity</w:t>
            </w:r>
            <w:r w:rsidRPr="00EC75B7">
              <w:rPr>
                <w:rFonts w:ascii="Verdana" w:hAnsi="Verdana"/>
                <w:b w:val="0"/>
                <w:i w:val="0"/>
              </w:rPr>
              <w:tab/>
            </w:r>
            <w:r w:rsidRPr="00EC75B7">
              <w:rPr>
                <w:rFonts w:ascii="Verdana" w:hAnsi="Verdana"/>
                <w:b w:val="0"/>
                <w:spacing w:val="-5"/>
              </w:rPr>
              <w:t>13</w:t>
            </w:r>
          </w:hyperlink>
        </w:p>
        <w:p w14:paraId="1BFD671C" w14:textId="77777777" w:rsidR="008715BE" w:rsidRPr="00EC75B7" w:rsidRDefault="008715BE">
          <w:pPr>
            <w:pStyle w:val="TOC3"/>
            <w:numPr>
              <w:ilvl w:val="2"/>
              <w:numId w:val="119"/>
            </w:numPr>
            <w:tabs>
              <w:tab w:val="left" w:pos="2131"/>
              <w:tab w:val="left" w:leader="dot" w:pos="10230"/>
            </w:tabs>
            <w:spacing w:before="0" w:line="219" w:lineRule="exact"/>
            <w:ind w:left="2131" w:hanging="898"/>
            <w:jc w:val="both"/>
            <w:rPr>
              <w:rFonts w:ascii="Verdana" w:hAnsi="Verdana"/>
              <w:b w:val="0"/>
            </w:rPr>
          </w:pPr>
          <w:hyperlink w:anchor="_bookmark85" w:history="1">
            <w:r w:rsidRPr="00EC75B7">
              <w:rPr>
                <w:rFonts w:ascii="Verdana" w:hAnsi="Verdana"/>
              </w:rPr>
              <w:t xml:space="preserve">Conclusions of the </w:t>
            </w:r>
            <w:r w:rsidRPr="00EC75B7">
              <w:rPr>
                <w:rFonts w:ascii="Verdana" w:hAnsi="Verdana"/>
                <w:spacing w:val="-2"/>
              </w:rPr>
              <w:t xml:space="preserve">Appropriate </w:t>
            </w:r>
            <w:r w:rsidRPr="00EC75B7">
              <w:rPr>
                <w:rFonts w:ascii="Verdana" w:hAnsi="Verdana"/>
              </w:rPr>
              <w:t>Assessment Study</w:t>
            </w:r>
            <w:r w:rsidRPr="00EC75B7">
              <w:rPr>
                <w:rFonts w:ascii="Verdana" w:hAnsi="Verdana"/>
                <w:b w:val="0"/>
                <w:i w:val="0"/>
              </w:rPr>
              <w:tab/>
            </w:r>
            <w:r w:rsidRPr="00EC75B7">
              <w:rPr>
                <w:rFonts w:ascii="Verdana" w:hAnsi="Verdana"/>
                <w:b w:val="0"/>
                <w:spacing w:val="-5"/>
              </w:rPr>
              <w:t>138</w:t>
            </w:r>
          </w:hyperlink>
        </w:p>
        <w:p w14:paraId="63696BD8"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86" w:history="1">
            <w:r w:rsidRPr="00EC75B7">
              <w:rPr>
                <w:rFonts w:ascii="Verdana" w:hAnsi="Verdana"/>
                <w:spacing w:val="-2"/>
              </w:rPr>
              <w:t xml:space="preserve">Impact </w:t>
            </w:r>
            <w:r w:rsidRPr="00EC75B7">
              <w:rPr>
                <w:rFonts w:ascii="Verdana" w:hAnsi="Verdana"/>
              </w:rPr>
              <w:t>forecasting</w:t>
            </w:r>
            <w:r w:rsidRPr="00EC75B7">
              <w:rPr>
                <w:rFonts w:ascii="Verdana" w:hAnsi="Verdana"/>
              </w:rPr>
              <w:tab/>
            </w:r>
            <w:r w:rsidRPr="00EC75B7">
              <w:rPr>
                <w:rFonts w:ascii="Verdana" w:hAnsi="Verdana"/>
                <w:b w:val="0"/>
                <w:spacing w:val="-5"/>
              </w:rPr>
              <w:t>139</w:t>
            </w:r>
          </w:hyperlink>
        </w:p>
        <w:p w14:paraId="5E5B3308" w14:textId="77777777" w:rsidR="008715BE" w:rsidRPr="00EC75B7" w:rsidRDefault="008715BE">
          <w:pPr>
            <w:pStyle w:val="TOC3"/>
            <w:numPr>
              <w:ilvl w:val="2"/>
              <w:numId w:val="119"/>
            </w:numPr>
            <w:tabs>
              <w:tab w:val="left" w:pos="2131"/>
              <w:tab w:val="left" w:leader="dot" w:pos="10230"/>
            </w:tabs>
            <w:spacing w:before="40"/>
            <w:ind w:left="2131" w:hanging="898"/>
            <w:jc w:val="both"/>
            <w:rPr>
              <w:rFonts w:ascii="Verdana" w:hAnsi="Verdana"/>
              <w:b w:val="0"/>
            </w:rPr>
          </w:pPr>
          <w:hyperlink w:anchor="_bookmark87"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174</w:t>
            </w:r>
          </w:hyperlink>
        </w:p>
        <w:p w14:paraId="6BC19385" w14:textId="77777777" w:rsidR="008715BE" w:rsidRPr="00EC75B7" w:rsidRDefault="008715BE">
          <w:pPr>
            <w:pStyle w:val="TOC2"/>
            <w:numPr>
              <w:ilvl w:val="1"/>
              <w:numId w:val="119"/>
            </w:numPr>
            <w:tabs>
              <w:tab w:val="left" w:pos="1769"/>
              <w:tab w:val="left" w:leader="dot" w:pos="10230"/>
            </w:tabs>
            <w:spacing w:before="3"/>
            <w:ind w:left="1769" w:hanging="716"/>
            <w:jc w:val="both"/>
            <w:rPr>
              <w:rFonts w:ascii="Verdana" w:hAnsi="Verdana"/>
              <w:sz w:val="18"/>
              <w:szCs w:val="18"/>
            </w:rPr>
          </w:pPr>
          <w:hyperlink w:anchor="_bookmark88" w:history="1">
            <w:r w:rsidRPr="00EC75B7">
              <w:rPr>
                <w:rFonts w:ascii="Verdana" w:hAnsi="Verdana"/>
                <w:spacing w:val="-2"/>
                <w:sz w:val="18"/>
                <w:szCs w:val="18"/>
              </w:rPr>
              <w:t>Soil/Subsoil</w:t>
            </w:r>
            <w:r w:rsidRPr="00EC75B7">
              <w:rPr>
                <w:rFonts w:ascii="Verdana" w:hAnsi="Verdana"/>
                <w:sz w:val="18"/>
                <w:szCs w:val="18"/>
              </w:rPr>
              <w:tab/>
            </w:r>
            <w:r w:rsidRPr="00EC75B7">
              <w:rPr>
                <w:rFonts w:ascii="Verdana" w:hAnsi="Verdana"/>
                <w:spacing w:val="-5"/>
                <w:sz w:val="18"/>
                <w:szCs w:val="18"/>
              </w:rPr>
              <w:t>181</w:t>
            </w:r>
          </w:hyperlink>
        </w:p>
        <w:p w14:paraId="7C453871" w14:textId="77777777" w:rsidR="008715BE" w:rsidRPr="00EC75B7" w:rsidRDefault="008715BE">
          <w:pPr>
            <w:pStyle w:val="TOC3"/>
            <w:numPr>
              <w:ilvl w:val="2"/>
              <w:numId w:val="119"/>
            </w:numPr>
            <w:tabs>
              <w:tab w:val="left" w:pos="2076"/>
              <w:tab w:val="left" w:leader="dot" w:pos="10230"/>
            </w:tabs>
            <w:spacing w:before="37"/>
            <w:ind w:left="2076" w:hanging="843"/>
            <w:jc w:val="both"/>
            <w:rPr>
              <w:rFonts w:ascii="Verdana" w:hAnsi="Verdana"/>
              <w:b w:val="0"/>
            </w:rPr>
          </w:pPr>
          <w:hyperlink w:anchor="_bookmark89" w:history="1">
            <w:r w:rsidRPr="00EC75B7">
              <w:rPr>
                <w:rFonts w:ascii="Verdana" w:hAnsi="Verdana"/>
              </w:rPr>
              <w:t xml:space="preserve">Sensitivity classes for assessing impact on </w:t>
            </w:r>
            <w:r w:rsidRPr="00EC75B7">
              <w:rPr>
                <w:rFonts w:ascii="Verdana" w:hAnsi="Verdana"/>
                <w:spacing w:val="-2"/>
              </w:rPr>
              <w:t>soil/subsoil</w:t>
            </w:r>
            <w:r w:rsidRPr="00EC75B7">
              <w:rPr>
                <w:rFonts w:ascii="Verdana" w:hAnsi="Verdana"/>
              </w:rPr>
              <w:tab/>
            </w:r>
            <w:r w:rsidRPr="00EC75B7">
              <w:rPr>
                <w:rFonts w:ascii="Verdana" w:hAnsi="Verdana"/>
                <w:b w:val="0"/>
                <w:spacing w:val="-5"/>
              </w:rPr>
              <w:t>181</w:t>
            </w:r>
          </w:hyperlink>
        </w:p>
        <w:p w14:paraId="0693533F" w14:textId="77777777" w:rsidR="008715BE" w:rsidRPr="00EC75B7" w:rsidRDefault="008715BE">
          <w:pPr>
            <w:pStyle w:val="TOC3"/>
            <w:numPr>
              <w:ilvl w:val="2"/>
              <w:numId w:val="119"/>
            </w:numPr>
            <w:tabs>
              <w:tab w:val="left" w:pos="2076"/>
              <w:tab w:val="left" w:leader="dot" w:pos="10230"/>
            </w:tabs>
            <w:ind w:left="2076" w:hanging="843"/>
            <w:jc w:val="both"/>
            <w:rPr>
              <w:rFonts w:ascii="Verdana" w:hAnsi="Verdana"/>
              <w:b w:val="0"/>
            </w:rPr>
          </w:pPr>
          <w:hyperlink w:anchor="_bookmark90" w:history="1">
            <w:r w:rsidRPr="00EC75B7">
              <w:rPr>
                <w:rFonts w:ascii="Verdana" w:hAnsi="Verdana"/>
              </w:rPr>
              <w:t xml:space="preserve">Magnitude classes for assessing impact on </w:t>
            </w:r>
            <w:r w:rsidRPr="00EC75B7">
              <w:rPr>
                <w:rFonts w:ascii="Verdana" w:hAnsi="Verdana"/>
                <w:spacing w:val="-2"/>
              </w:rPr>
              <w:t>soil/subsoil</w:t>
            </w:r>
            <w:r w:rsidRPr="00EC75B7">
              <w:rPr>
                <w:rFonts w:ascii="Verdana" w:hAnsi="Verdana"/>
              </w:rPr>
              <w:tab/>
            </w:r>
            <w:r w:rsidRPr="00EC75B7">
              <w:rPr>
                <w:rFonts w:ascii="Verdana" w:hAnsi="Verdana"/>
                <w:b w:val="0"/>
                <w:spacing w:val="-5"/>
              </w:rPr>
              <w:t>182</w:t>
            </w:r>
          </w:hyperlink>
        </w:p>
        <w:p w14:paraId="5CED45AB" w14:textId="77777777" w:rsidR="008715BE" w:rsidRPr="00EC75B7" w:rsidRDefault="008715BE">
          <w:pPr>
            <w:pStyle w:val="TOC3"/>
            <w:numPr>
              <w:ilvl w:val="2"/>
              <w:numId w:val="119"/>
            </w:numPr>
            <w:tabs>
              <w:tab w:val="left" w:pos="2076"/>
              <w:tab w:val="left" w:leader="dot" w:pos="10230"/>
            </w:tabs>
            <w:spacing w:before="42"/>
            <w:ind w:left="2076" w:hanging="843"/>
            <w:jc w:val="both"/>
            <w:rPr>
              <w:rFonts w:ascii="Verdana" w:hAnsi="Verdana"/>
              <w:b w:val="0"/>
            </w:rPr>
          </w:pPr>
          <w:hyperlink w:anchor="_bookmark91" w:history="1">
            <w:r w:rsidRPr="00EC75B7">
              <w:rPr>
                <w:rFonts w:ascii="Verdana" w:hAnsi="Verdana"/>
                <w:spacing w:val="-2"/>
              </w:rPr>
              <w:t xml:space="preserve">Impact </w:t>
            </w:r>
            <w:r w:rsidRPr="00EC75B7">
              <w:rPr>
                <w:rFonts w:ascii="Verdana" w:hAnsi="Verdana"/>
              </w:rPr>
              <w:t>prediction</w:t>
            </w:r>
            <w:r w:rsidRPr="00EC75B7">
              <w:rPr>
                <w:rFonts w:ascii="Verdana" w:hAnsi="Verdana"/>
              </w:rPr>
              <w:tab/>
            </w:r>
            <w:r w:rsidRPr="00EC75B7">
              <w:rPr>
                <w:rFonts w:ascii="Verdana" w:hAnsi="Verdana"/>
                <w:b w:val="0"/>
                <w:spacing w:val="-5"/>
              </w:rPr>
              <w:t>183</w:t>
            </w:r>
          </w:hyperlink>
        </w:p>
        <w:p w14:paraId="15968A4A" w14:textId="77777777" w:rsidR="008715BE" w:rsidRPr="00EC75B7" w:rsidRDefault="008715BE">
          <w:pPr>
            <w:pStyle w:val="TOC3"/>
            <w:numPr>
              <w:ilvl w:val="2"/>
              <w:numId w:val="119"/>
            </w:numPr>
            <w:tabs>
              <w:tab w:val="left" w:pos="2076"/>
              <w:tab w:val="left" w:leader="dot" w:pos="10230"/>
            </w:tabs>
            <w:spacing w:before="40"/>
            <w:ind w:left="2076" w:hanging="843"/>
            <w:jc w:val="both"/>
            <w:rPr>
              <w:rFonts w:ascii="Verdana" w:hAnsi="Verdana"/>
              <w:b w:val="0"/>
            </w:rPr>
          </w:pPr>
          <w:hyperlink w:anchor="_bookmark92"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187</w:t>
            </w:r>
          </w:hyperlink>
        </w:p>
        <w:p w14:paraId="4B43F234"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93" w:history="1">
            <w:r w:rsidRPr="00EC75B7">
              <w:rPr>
                <w:rFonts w:ascii="Verdana" w:hAnsi="Verdana"/>
                <w:spacing w:val="-5"/>
                <w:sz w:val="18"/>
                <w:szCs w:val="18"/>
              </w:rPr>
              <w:t xml:space="preserve">Water/water </w:t>
            </w:r>
            <w:r w:rsidRPr="00EC75B7">
              <w:rPr>
                <w:rFonts w:ascii="Verdana" w:hAnsi="Verdana"/>
                <w:sz w:val="18"/>
                <w:szCs w:val="18"/>
              </w:rPr>
              <w:t>bodies</w:t>
            </w:r>
            <w:r w:rsidRPr="00EC75B7">
              <w:rPr>
                <w:rFonts w:ascii="Verdana" w:hAnsi="Verdana"/>
                <w:b w:val="0"/>
                <w:sz w:val="18"/>
                <w:szCs w:val="18"/>
              </w:rPr>
              <w:tab/>
            </w:r>
            <w:r w:rsidRPr="00EC75B7">
              <w:rPr>
                <w:rFonts w:ascii="Verdana" w:hAnsi="Verdana"/>
                <w:spacing w:val="-5"/>
                <w:sz w:val="18"/>
                <w:szCs w:val="18"/>
              </w:rPr>
              <w:t>187</w:t>
            </w:r>
          </w:hyperlink>
        </w:p>
        <w:p w14:paraId="08AF8D03" w14:textId="77777777" w:rsidR="008715BE" w:rsidRPr="00EC75B7" w:rsidRDefault="008715BE">
          <w:pPr>
            <w:pStyle w:val="TOC3"/>
            <w:numPr>
              <w:ilvl w:val="2"/>
              <w:numId w:val="119"/>
            </w:numPr>
            <w:tabs>
              <w:tab w:val="left" w:pos="2131"/>
              <w:tab w:val="left" w:leader="dot" w:pos="10230"/>
            </w:tabs>
            <w:spacing w:before="36"/>
            <w:ind w:left="2131" w:hanging="898"/>
            <w:jc w:val="both"/>
            <w:rPr>
              <w:rFonts w:ascii="Verdana" w:hAnsi="Verdana"/>
              <w:b w:val="0"/>
            </w:rPr>
          </w:pPr>
          <w:hyperlink w:anchor="_bookmark94" w:history="1">
            <w:r w:rsidRPr="00EC75B7">
              <w:rPr>
                <w:rFonts w:ascii="Verdana" w:hAnsi="Verdana"/>
              </w:rPr>
              <w:t xml:space="preserve">Sensitivity classes and magnitude classes for </w:t>
            </w:r>
            <w:r w:rsidRPr="00EC75B7">
              <w:rPr>
                <w:rFonts w:ascii="Verdana" w:hAnsi="Verdana"/>
                <w:spacing w:val="-5"/>
              </w:rPr>
              <w:t>water</w:t>
            </w:r>
            <w:r w:rsidRPr="00EC75B7">
              <w:rPr>
                <w:rFonts w:ascii="Verdana" w:hAnsi="Verdana"/>
                <w:b w:val="0"/>
                <w:i w:val="0"/>
              </w:rPr>
              <w:tab/>
            </w:r>
            <w:r w:rsidRPr="00EC75B7">
              <w:rPr>
                <w:rFonts w:ascii="Verdana" w:hAnsi="Verdana"/>
                <w:b w:val="0"/>
                <w:spacing w:val="-5"/>
              </w:rPr>
              <w:t>187</w:t>
            </w:r>
          </w:hyperlink>
        </w:p>
        <w:p w14:paraId="51C15094" w14:textId="77777777" w:rsidR="008715BE" w:rsidRPr="00EC75B7" w:rsidRDefault="008715BE">
          <w:pPr>
            <w:pStyle w:val="TOC3"/>
            <w:numPr>
              <w:ilvl w:val="2"/>
              <w:numId w:val="119"/>
            </w:numPr>
            <w:tabs>
              <w:tab w:val="left" w:pos="2131"/>
              <w:tab w:val="left" w:leader="dot" w:pos="10230"/>
            </w:tabs>
            <w:spacing w:before="42" w:after="20"/>
            <w:ind w:left="2131" w:hanging="898"/>
            <w:jc w:val="both"/>
            <w:rPr>
              <w:rFonts w:ascii="Verdana" w:hAnsi="Verdana"/>
              <w:b w:val="0"/>
            </w:rPr>
          </w:pPr>
          <w:hyperlink w:anchor="_bookmark95" w:history="1">
            <w:r w:rsidRPr="00EC75B7">
              <w:rPr>
                <w:rFonts w:ascii="Verdana" w:hAnsi="Verdana"/>
                <w:spacing w:val="-2"/>
              </w:rPr>
              <w:t xml:space="preserve">Impact </w:t>
            </w:r>
            <w:r w:rsidRPr="00EC75B7">
              <w:rPr>
                <w:rFonts w:ascii="Verdana" w:hAnsi="Verdana"/>
              </w:rPr>
              <w:t>prediction</w:t>
            </w:r>
            <w:r w:rsidRPr="00EC75B7">
              <w:rPr>
                <w:rFonts w:ascii="Verdana" w:hAnsi="Verdana"/>
              </w:rPr>
              <w:tab/>
            </w:r>
            <w:r w:rsidRPr="00EC75B7">
              <w:rPr>
                <w:rFonts w:ascii="Verdana" w:hAnsi="Verdana"/>
                <w:b w:val="0"/>
                <w:spacing w:val="-5"/>
              </w:rPr>
              <w:t>189</w:t>
            </w:r>
          </w:hyperlink>
        </w:p>
        <w:p w14:paraId="003D2938" w14:textId="77777777" w:rsidR="008715BE" w:rsidRPr="00EC75B7" w:rsidRDefault="008715BE">
          <w:pPr>
            <w:pStyle w:val="TOC3"/>
            <w:numPr>
              <w:ilvl w:val="2"/>
              <w:numId w:val="119"/>
            </w:numPr>
            <w:tabs>
              <w:tab w:val="left" w:pos="2131"/>
              <w:tab w:val="left" w:leader="dot" w:pos="10230"/>
            </w:tabs>
            <w:spacing w:before="450"/>
            <w:ind w:left="2131" w:hanging="898"/>
            <w:jc w:val="both"/>
            <w:rPr>
              <w:rFonts w:ascii="Verdana" w:hAnsi="Verdana"/>
              <w:b w:val="0"/>
            </w:rPr>
          </w:pPr>
          <w:hyperlink w:anchor="_bookmark96" w:history="1">
            <w:r w:rsidRPr="00EC75B7">
              <w:rPr>
                <w:rFonts w:ascii="Verdana" w:hAnsi="Verdana"/>
                <w:spacing w:val="-2"/>
              </w:rPr>
              <w:t xml:space="preserve">Impact </w:t>
            </w:r>
            <w:r w:rsidRPr="00EC75B7">
              <w:rPr>
                <w:rFonts w:ascii="Verdana" w:hAnsi="Verdana"/>
              </w:rPr>
              <w:t>avoidance and mitigation measures</w:t>
            </w:r>
            <w:r w:rsidRPr="00EC75B7">
              <w:rPr>
                <w:rFonts w:ascii="Verdana" w:hAnsi="Verdana"/>
                <w:b w:val="0"/>
                <w:i w:val="0"/>
              </w:rPr>
              <w:tab/>
            </w:r>
            <w:r w:rsidRPr="00EC75B7">
              <w:rPr>
                <w:rFonts w:ascii="Verdana" w:hAnsi="Verdana"/>
                <w:b w:val="0"/>
                <w:spacing w:val="-5"/>
              </w:rPr>
              <w:t>194</w:t>
            </w:r>
          </w:hyperlink>
        </w:p>
        <w:p w14:paraId="4562E897"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97" w:history="1">
            <w:r w:rsidRPr="00EC75B7">
              <w:rPr>
                <w:rFonts w:ascii="Verdana" w:hAnsi="Verdana"/>
                <w:spacing w:val="-4"/>
                <w:sz w:val="18"/>
                <w:szCs w:val="18"/>
              </w:rPr>
              <w:t>Air</w:t>
            </w:r>
            <w:r w:rsidRPr="00EC75B7">
              <w:rPr>
                <w:rFonts w:ascii="Verdana" w:hAnsi="Verdana"/>
                <w:sz w:val="18"/>
                <w:szCs w:val="18"/>
              </w:rPr>
              <w:tab/>
            </w:r>
            <w:r w:rsidRPr="00EC75B7">
              <w:rPr>
                <w:rFonts w:ascii="Verdana" w:hAnsi="Verdana"/>
                <w:spacing w:val="-5"/>
                <w:sz w:val="18"/>
                <w:szCs w:val="18"/>
              </w:rPr>
              <w:t>195</w:t>
            </w:r>
          </w:hyperlink>
        </w:p>
        <w:p w14:paraId="7E81B8E0"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98" w:history="1">
            <w:r w:rsidRPr="00EC75B7">
              <w:rPr>
                <w:rFonts w:ascii="Verdana" w:hAnsi="Verdana"/>
              </w:rPr>
              <w:t xml:space="preserve">Sensitivity and </w:t>
            </w:r>
            <w:r w:rsidRPr="00EC75B7">
              <w:rPr>
                <w:rFonts w:ascii="Verdana" w:hAnsi="Verdana"/>
                <w:spacing w:val="-2"/>
              </w:rPr>
              <w:t xml:space="preserve">magnitude </w:t>
            </w:r>
            <w:r w:rsidRPr="00EC75B7">
              <w:rPr>
                <w:rFonts w:ascii="Verdana" w:hAnsi="Verdana"/>
              </w:rPr>
              <w:t>classes</w:t>
            </w:r>
            <w:r w:rsidRPr="00EC75B7">
              <w:rPr>
                <w:rFonts w:ascii="Verdana" w:hAnsi="Verdana"/>
              </w:rPr>
              <w:tab/>
            </w:r>
            <w:r w:rsidRPr="00EC75B7">
              <w:rPr>
                <w:rFonts w:ascii="Verdana" w:hAnsi="Verdana"/>
                <w:b w:val="0"/>
                <w:spacing w:val="-5"/>
              </w:rPr>
              <w:t>195</w:t>
            </w:r>
          </w:hyperlink>
        </w:p>
        <w:p w14:paraId="519E77AA" w14:textId="77777777" w:rsidR="008715BE" w:rsidRPr="00EC75B7" w:rsidRDefault="008715BE">
          <w:pPr>
            <w:pStyle w:val="TOC3"/>
            <w:numPr>
              <w:ilvl w:val="2"/>
              <w:numId w:val="119"/>
            </w:numPr>
            <w:tabs>
              <w:tab w:val="left" w:pos="2131"/>
              <w:tab w:val="left" w:leader="dot" w:pos="10230"/>
            </w:tabs>
            <w:spacing w:before="40"/>
            <w:ind w:left="2131" w:hanging="898"/>
            <w:jc w:val="both"/>
            <w:rPr>
              <w:rFonts w:ascii="Verdana" w:hAnsi="Verdana"/>
              <w:b w:val="0"/>
            </w:rPr>
          </w:pPr>
          <w:hyperlink w:anchor="_bookmark99" w:history="1">
            <w:r w:rsidRPr="00EC75B7">
              <w:rPr>
                <w:rFonts w:ascii="Verdana" w:hAnsi="Verdana"/>
                <w:spacing w:val="-2"/>
              </w:rPr>
              <w:t xml:space="preserve">Significance </w:t>
            </w:r>
            <w:r w:rsidRPr="00EC75B7">
              <w:rPr>
                <w:rFonts w:ascii="Verdana" w:hAnsi="Verdana"/>
              </w:rPr>
              <w:t>thresholds</w:t>
            </w:r>
            <w:r w:rsidRPr="00EC75B7">
              <w:rPr>
                <w:rFonts w:ascii="Verdana" w:hAnsi="Verdana"/>
                <w:b w:val="0"/>
                <w:i w:val="0"/>
              </w:rPr>
              <w:tab/>
            </w:r>
            <w:r w:rsidRPr="00EC75B7">
              <w:rPr>
                <w:rFonts w:ascii="Verdana" w:hAnsi="Verdana"/>
                <w:b w:val="0"/>
                <w:spacing w:val="-5"/>
              </w:rPr>
              <w:t>196</w:t>
            </w:r>
          </w:hyperlink>
        </w:p>
        <w:p w14:paraId="47618C33"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100" w:history="1">
            <w:r w:rsidRPr="00EC75B7">
              <w:rPr>
                <w:rFonts w:ascii="Verdana" w:hAnsi="Verdana"/>
                <w:spacing w:val="-2"/>
              </w:rPr>
              <w:t xml:space="preserve">Impact </w:t>
            </w:r>
            <w:r w:rsidRPr="00EC75B7">
              <w:rPr>
                <w:rFonts w:ascii="Verdana" w:hAnsi="Verdana"/>
              </w:rPr>
              <w:t>forecasting</w:t>
            </w:r>
            <w:r w:rsidRPr="00EC75B7">
              <w:rPr>
                <w:rFonts w:ascii="Verdana" w:hAnsi="Verdana"/>
              </w:rPr>
              <w:tab/>
            </w:r>
            <w:r w:rsidRPr="00EC75B7">
              <w:rPr>
                <w:rFonts w:ascii="Verdana" w:hAnsi="Verdana"/>
                <w:b w:val="0"/>
                <w:spacing w:val="-5"/>
              </w:rPr>
              <w:t>196</w:t>
            </w:r>
          </w:hyperlink>
        </w:p>
        <w:p w14:paraId="044C5965" w14:textId="77777777" w:rsidR="008715BE" w:rsidRPr="00EC75B7" w:rsidRDefault="008715BE">
          <w:pPr>
            <w:pStyle w:val="TOC3"/>
            <w:numPr>
              <w:ilvl w:val="2"/>
              <w:numId w:val="119"/>
            </w:numPr>
            <w:tabs>
              <w:tab w:val="left" w:pos="2131"/>
              <w:tab w:val="left" w:leader="dot" w:pos="10230"/>
            </w:tabs>
            <w:spacing w:before="42"/>
            <w:ind w:left="2131" w:hanging="898"/>
            <w:jc w:val="both"/>
            <w:rPr>
              <w:rFonts w:ascii="Verdana" w:hAnsi="Verdana"/>
              <w:b w:val="0"/>
            </w:rPr>
          </w:pPr>
          <w:hyperlink w:anchor="_bookmark101"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203</w:t>
            </w:r>
          </w:hyperlink>
        </w:p>
        <w:p w14:paraId="000E3B81"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102" w:history="1">
            <w:r w:rsidRPr="00EC75B7">
              <w:rPr>
                <w:rFonts w:ascii="Verdana" w:hAnsi="Verdana"/>
                <w:sz w:val="18"/>
                <w:szCs w:val="18"/>
              </w:rPr>
              <w:t xml:space="preserve">Impact generated by noise and </w:t>
            </w:r>
            <w:r w:rsidRPr="00EC75B7">
              <w:rPr>
                <w:rFonts w:ascii="Verdana" w:hAnsi="Verdana"/>
                <w:spacing w:val="-2"/>
                <w:sz w:val="18"/>
                <w:szCs w:val="18"/>
              </w:rPr>
              <w:t>vibrations</w:t>
            </w:r>
            <w:r w:rsidRPr="00EC75B7">
              <w:rPr>
                <w:rFonts w:ascii="Verdana" w:hAnsi="Verdana"/>
                <w:b w:val="0"/>
                <w:sz w:val="18"/>
                <w:szCs w:val="18"/>
              </w:rPr>
              <w:tab/>
            </w:r>
            <w:r w:rsidRPr="00EC75B7">
              <w:rPr>
                <w:rFonts w:ascii="Verdana" w:hAnsi="Verdana"/>
                <w:spacing w:val="-5"/>
                <w:sz w:val="18"/>
                <w:szCs w:val="18"/>
              </w:rPr>
              <w:t>203</w:t>
            </w:r>
          </w:hyperlink>
        </w:p>
        <w:p w14:paraId="3D0D861A" w14:textId="77777777" w:rsidR="008715BE" w:rsidRPr="00EC75B7" w:rsidRDefault="008715BE">
          <w:pPr>
            <w:pStyle w:val="TOC3"/>
            <w:numPr>
              <w:ilvl w:val="2"/>
              <w:numId w:val="119"/>
            </w:numPr>
            <w:tabs>
              <w:tab w:val="left" w:pos="2131"/>
              <w:tab w:val="left" w:leader="dot" w:pos="10230"/>
            </w:tabs>
            <w:spacing w:before="40" w:line="288" w:lineRule="auto"/>
            <w:ind w:left="1233" w:right="762" w:firstLine="0"/>
            <w:jc w:val="both"/>
            <w:rPr>
              <w:rFonts w:ascii="Verdana" w:hAnsi="Verdana"/>
              <w:b w:val="0"/>
            </w:rPr>
          </w:pPr>
          <w:hyperlink w:anchor="_bookmark103" w:history="1">
            <w:r w:rsidRPr="00EC75B7">
              <w:rPr>
                <w:rFonts w:ascii="Verdana" w:hAnsi="Verdana"/>
              </w:rPr>
              <w:t xml:space="preserve">Sensitivity classes and magnitude classes for assessing the impact </w:t>
            </w:r>
          </w:hyperlink>
          <w:hyperlink w:anchor="_bookmark103" w:history="1">
            <w:r w:rsidRPr="00EC75B7">
              <w:rPr>
                <w:rFonts w:ascii="Verdana" w:hAnsi="Verdana"/>
              </w:rPr>
              <w:t xml:space="preserve">of noise and </w:t>
            </w:r>
            <w:r w:rsidRPr="00EC75B7">
              <w:rPr>
                <w:rFonts w:ascii="Verdana" w:hAnsi="Verdana"/>
                <w:spacing w:val="-2"/>
              </w:rPr>
              <w:t>vibrations</w:t>
            </w:r>
            <w:r w:rsidRPr="00EC75B7">
              <w:rPr>
                <w:rFonts w:ascii="Verdana" w:hAnsi="Verdana"/>
                <w:b w:val="0"/>
                <w:i w:val="0"/>
              </w:rPr>
              <w:tab/>
            </w:r>
            <w:r w:rsidRPr="00EC75B7">
              <w:rPr>
                <w:rFonts w:ascii="Verdana" w:hAnsi="Verdana"/>
                <w:b w:val="0"/>
                <w:spacing w:val="-5"/>
              </w:rPr>
              <w:t>203</w:t>
            </w:r>
          </w:hyperlink>
        </w:p>
        <w:p w14:paraId="4ADE5CCD" w14:textId="77777777" w:rsidR="008715BE" w:rsidRPr="00EC75B7" w:rsidRDefault="008715BE">
          <w:pPr>
            <w:pStyle w:val="TOC3"/>
            <w:numPr>
              <w:ilvl w:val="2"/>
              <w:numId w:val="119"/>
            </w:numPr>
            <w:tabs>
              <w:tab w:val="left" w:pos="2131"/>
              <w:tab w:val="left" w:leader="dot" w:pos="10230"/>
            </w:tabs>
            <w:spacing w:before="0" w:line="215" w:lineRule="exact"/>
            <w:ind w:left="2131" w:hanging="898"/>
            <w:jc w:val="both"/>
            <w:rPr>
              <w:rFonts w:ascii="Verdana" w:hAnsi="Verdana"/>
              <w:b w:val="0"/>
            </w:rPr>
          </w:pPr>
          <w:hyperlink w:anchor="_bookmark104" w:history="1">
            <w:r w:rsidRPr="00EC75B7">
              <w:rPr>
                <w:rFonts w:ascii="Verdana" w:hAnsi="Verdana"/>
                <w:spacing w:val="-2"/>
              </w:rPr>
              <w:t xml:space="preserve">Significance </w:t>
            </w:r>
            <w:r w:rsidRPr="00EC75B7">
              <w:rPr>
                <w:rFonts w:ascii="Verdana" w:hAnsi="Verdana"/>
              </w:rPr>
              <w:t>thresholds</w:t>
            </w:r>
            <w:r w:rsidRPr="00EC75B7">
              <w:rPr>
                <w:rFonts w:ascii="Verdana" w:hAnsi="Verdana"/>
                <w:b w:val="0"/>
                <w:i w:val="0"/>
              </w:rPr>
              <w:tab/>
            </w:r>
            <w:r w:rsidRPr="00EC75B7">
              <w:rPr>
                <w:rFonts w:ascii="Verdana" w:hAnsi="Verdana"/>
                <w:b w:val="0"/>
                <w:spacing w:val="-5"/>
              </w:rPr>
              <w:t>204</w:t>
            </w:r>
          </w:hyperlink>
        </w:p>
        <w:p w14:paraId="4F9B0548"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105" w:history="1">
            <w:r w:rsidRPr="00EC75B7">
              <w:rPr>
                <w:rFonts w:ascii="Verdana" w:hAnsi="Verdana"/>
                <w:spacing w:val="-2"/>
              </w:rPr>
              <w:t xml:space="preserve">Impact </w:t>
            </w:r>
            <w:r w:rsidRPr="00EC75B7">
              <w:rPr>
                <w:rFonts w:ascii="Verdana" w:hAnsi="Verdana"/>
              </w:rPr>
              <w:t>prediction</w:t>
            </w:r>
            <w:r w:rsidRPr="00EC75B7">
              <w:rPr>
                <w:rFonts w:ascii="Verdana" w:hAnsi="Verdana"/>
              </w:rPr>
              <w:tab/>
            </w:r>
            <w:r w:rsidRPr="00EC75B7">
              <w:rPr>
                <w:rFonts w:ascii="Verdana" w:hAnsi="Verdana"/>
                <w:b w:val="0"/>
                <w:spacing w:val="-5"/>
              </w:rPr>
              <w:t>204</w:t>
            </w:r>
          </w:hyperlink>
        </w:p>
        <w:p w14:paraId="092668B6" w14:textId="77777777" w:rsidR="008715BE" w:rsidRPr="00EC75B7" w:rsidRDefault="008715BE">
          <w:pPr>
            <w:pStyle w:val="TOC3"/>
            <w:numPr>
              <w:ilvl w:val="2"/>
              <w:numId w:val="119"/>
            </w:numPr>
            <w:tabs>
              <w:tab w:val="left" w:pos="2131"/>
              <w:tab w:val="left" w:leader="dot" w:pos="10230"/>
            </w:tabs>
            <w:spacing w:before="42"/>
            <w:ind w:left="2131" w:hanging="898"/>
            <w:jc w:val="both"/>
            <w:rPr>
              <w:rFonts w:ascii="Verdana" w:hAnsi="Verdana"/>
              <w:b w:val="0"/>
            </w:rPr>
          </w:pPr>
          <w:hyperlink w:anchor="_bookmark106"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212</w:t>
            </w:r>
          </w:hyperlink>
        </w:p>
        <w:p w14:paraId="218BC185"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107" w:history="1">
            <w:r w:rsidRPr="00EC75B7">
              <w:rPr>
                <w:rFonts w:ascii="Verdana" w:hAnsi="Verdana"/>
                <w:sz w:val="18"/>
                <w:szCs w:val="18"/>
              </w:rPr>
              <w:t xml:space="preserve">Cultural conditions and </w:t>
            </w:r>
            <w:r w:rsidRPr="00EC75B7">
              <w:rPr>
                <w:rFonts w:ascii="Verdana" w:hAnsi="Verdana"/>
                <w:spacing w:val="-2"/>
                <w:sz w:val="18"/>
                <w:szCs w:val="18"/>
              </w:rPr>
              <w:t xml:space="preserve">cultural </w:t>
            </w:r>
            <w:r w:rsidRPr="00EC75B7">
              <w:rPr>
                <w:rFonts w:ascii="Verdana" w:hAnsi="Verdana"/>
                <w:sz w:val="18"/>
                <w:szCs w:val="18"/>
              </w:rPr>
              <w:t>heritage</w:t>
            </w:r>
            <w:r w:rsidRPr="00EC75B7">
              <w:rPr>
                <w:rFonts w:ascii="Verdana" w:hAnsi="Verdana"/>
                <w:b w:val="0"/>
                <w:sz w:val="18"/>
                <w:szCs w:val="18"/>
              </w:rPr>
              <w:tab/>
            </w:r>
            <w:r w:rsidRPr="00EC75B7">
              <w:rPr>
                <w:rFonts w:ascii="Verdana" w:hAnsi="Verdana"/>
                <w:spacing w:val="-5"/>
                <w:sz w:val="18"/>
                <w:szCs w:val="18"/>
              </w:rPr>
              <w:t>212</w:t>
            </w:r>
          </w:hyperlink>
        </w:p>
        <w:p w14:paraId="098BD606" w14:textId="77777777" w:rsidR="008715BE" w:rsidRPr="00EC75B7" w:rsidRDefault="008715BE">
          <w:pPr>
            <w:pStyle w:val="TOC3"/>
            <w:numPr>
              <w:ilvl w:val="2"/>
              <w:numId w:val="119"/>
            </w:numPr>
            <w:tabs>
              <w:tab w:val="left" w:pos="2131"/>
              <w:tab w:val="left" w:leader="dot" w:pos="10230"/>
            </w:tabs>
            <w:spacing w:before="40" w:line="285" w:lineRule="auto"/>
            <w:ind w:left="1233" w:right="762" w:firstLine="0"/>
            <w:jc w:val="both"/>
            <w:rPr>
              <w:rFonts w:ascii="Verdana" w:hAnsi="Verdana"/>
              <w:b w:val="0"/>
            </w:rPr>
          </w:pPr>
          <w:hyperlink w:anchor="_bookmark108" w:history="1">
            <w:r w:rsidRPr="00EC75B7">
              <w:rPr>
                <w:rFonts w:ascii="Verdana" w:hAnsi="Verdana"/>
              </w:rPr>
              <w:t xml:space="preserve">Sensitivity classes and magnitude classes for assessing impact on </w:t>
            </w:r>
          </w:hyperlink>
          <w:hyperlink w:anchor="_bookmark108" w:history="1">
            <w:r w:rsidRPr="00EC75B7">
              <w:rPr>
                <w:rFonts w:ascii="Verdana" w:hAnsi="Verdana"/>
                <w:spacing w:val="-2"/>
              </w:rPr>
              <w:t xml:space="preserve">cultural </w:t>
            </w:r>
            <w:r w:rsidRPr="00EC75B7">
              <w:rPr>
                <w:rFonts w:ascii="Verdana" w:hAnsi="Verdana"/>
              </w:rPr>
              <w:t>heritage</w:t>
            </w:r>
            <w:r w:rsidRPr="00EC75B7">
              <w:rPr>
                <w:rFonts w:ascii="Verdana" w:hAnsi="Verdana"/>
                <w:b w:val="0"/>
                <w:i w:val="0"/>
              </w:rPr>
              <w:tab/>
            </w:r>
            <w:r w:rsidRPr="00EC75B7">
              <w:rPr>
                <w:rFonts w:ascii="Verdana" w:hAnsi="Verdana"/>
                <w:b w:val="0"/>
                <w:spacing w:val="-5"/>
              </w:rPr>
              <w:t>212</w:t>
            </w:r>
          </w:hyperlink>
        </w:p>
        <w:p w14:paraId="549E5B53" w14:textId="77777777" w:rsidR="008715BE" w:rsidRPr="00EC75B7" w:rsidRDefault="008715BE">
          <w:pPr>
            <w:pStyle w:val="TOC3"/>
            <w:numPr>
              <w:ilvl w:val="2"/>
              <w:numId w:val="119"/>
            </w:numPr>
            <w:tabs>
              <w:tab w:val="left" w:pos="2131"/>
              <w:tab w:val="left" w:leader="dot" w:pos="10230"/>
            </w:tabs>
            <w:spacing w:before="0" w:line="219" w:lineRule="exact"/>
            <w:ind w:left="2131" w:hanging="898"/>
            <w:jc w:val="both"/>
            <w:rPr>
              <w:rFonts w:ascii="Verdana" w:hAnsi="Verdana"/>
              <w:b w:val="0"/>
            </w:rPr>
          </w:pPr>
          <w:hyperlink w:anchor="_bookmark109" w:history="1">
            <w:r w:rsidRPr="00EC75B7">
              <w:rPr>
                <w:rFonts w:ascii="Verdana" w:hAnsi="Verdana"/>
                <w:spacing w:val="-2"/>
              </w:rPr>
              <w:t xml:space="preserve">Impact </w:t>
            </w:r>
            <w:r w:rsidRPr="00EC75B7">
              <w:rPr>
                <w:rFonts w:ascii="Verdana" w:hAnsi="Verdana"/>
              </w:rPr>
              <w:t>forecasting</w:t>
            </w:r>
            <w:r w:rsidRPr="00EC75B7">
              <w:rPr>
                <w:rFonts w:ascii="Verdana" w:hAnsi="Verdana"/>
              </w:rPr>
              <w:tab/>
            </w:r>
            <w:r w:rsidRPr="00EC75B7">
              <w:rPr>
                <w:rFonts w:ascii="Verdana" w:hAnsi="Verdana"/>
                <w:b w:val="0"/>
                <w:spacing w:val="-5"/>
              </w:rPr>
              <w:t>213</w:t>
            </w:r>
          </w:hyperlink>
        </w:p>
        <w:p w14:paraId="5A22735D" w14:textId="77777777" w:rsidR="008715BE" w:rsidRPr="00EC75B7" w:rsidRDefault="008715BE">
          <w:pPr>
            <w:pStyle w:val="TOC3"/>
            <w:numPr>
              <w:ilvl w:val="2"/>
              <w:numId w:val="119"/>
            </w:numPr>
            <w:tabs>
              <w:tab w:val="left" w:pos="2131"/>
              <w:tab w:val="left" w:leader="dot" w:pos="10230"/>
            </w:tabs>
            <w:spacing w:before="40"/>
            <w:ind w:left="2131" w:hanging="898"/>
            <w:jc w:val="both"/>
            <w:rPr>
              <w:rFonts w:ascii="Verdana" w:hAnsi="Verdana"/>
              <w:b w:val="0"/>
            </w:rPr>
          </w:pPr>
          <w:hyperlink w:anchor="_bookmark110" w:history="1">
            <w:r w:rsidRPr="00EC75B7">
              <w:rPr>
                <w:rFonts w:ascii="Verdana" w:hAnsi="Verdana"/>
              </w:rPr>
              <w:t xml:space="preserve">Measures to avoid and reduce </w:t>
            </w:r>
            <w:r w:rsidRPr="00EC75B7">
              <w:rPr>
                <w:rFonts w:ascii="Verdana" w:hAnsi="Verdana"/>
                <w:spacing w:val="-2"/>
              </w:rPr>
              <w:t>impact</w:t>
            </w:r>
            <w:r w:rsidRPr="00EC75B7">
              <w:rPr>
                <w:rFonts w:ascii="Verdana" w:hAnsi="Verdana"/>
                <w:b w:val="0"/>
                <w:i w:val="0"/>
              </w:rPr>
              <w:tab/>
            </w:r>
            <w:r w:rsidRPr="00EC75B7">
              <w:rPr>
                <w:rFonts w:ascii="Verdana" w:hAnsi="Verdana"/>
                <w:b w:val="0"/>
                <w:spacing w:val="-5"/>
              </w:rPr>
              <w:t>215</w:t>
            </w:r>
          </w:hyperlink>
        </w:p>
        <w:p w14:paraId="76B0AC6B" w14:textId="77777777" w:rsidR="008715BE" w:rsidRPr="00EC75B7" w:rsidRDefault="008715BE">
          <w:pPr>
            <w:pStyle w:val="TOC2"/>
            <w:numPr>
              <w:ilvl w:val="1"/>
              <w:numId w:val="119"/>
            </w:numPr>
            <w:tabs>
              <w:tab w:val="left" w:pos="1769"/>
              <w:tab w:val="left" w:leader="dot" w:pos="10230"/>
            </w:tabs>
            <w:spacing w:before="1"/>
            <w:ind w:left="1769" w:hanging="716"/>
            <w:jc w:val="both"/>
            <w:rPr>
              <w:rFonts w:ascii="Verdana" w:hAnsi="Verdana"/>
              <w:sz w:val="18"/>
              <w:szCs w:val="18"/>
            </w:rPr>
          </w:pPr>
          <w:hyperlink w:anchor="_bookmark111" w:history="1">
            <w:r w:rsidRPr="00EC75B7">
              <w:rPr>
                <w:rFonts w:ascii="Verdana" w:hAnsi="Verdana"/>
                <w:spacing w:val="-2"/>
                <w:sz w:val="18"/>
                <w:szCs w:val="18"/>
              </w:rPr>
              <w:t>Landscape</w:t>
            </w:r>
            <w:r w:rsidRPr="00EC75B7">
              <w:rPr>
                <w:rFonts w:ascii="Verdana" w:hAnsi="Verdana"/>
                <w:sz w:val="18"/>
                <w:szCs w:val="18"/>
              </w:rPr>
              <w:tab/>
            </w:r>
            <w:r w:rsidRPr="00EC75B7">
              <w:rPr>
                <w:rFonts w:ascii="Verdana" w:hAnsi="Verdana"/>
                <w:spacing w:val="-5"/>
                <w:sz w:val="18"/>
                <w:szCs w:val="18"/>
              </w:rPr>
              <w:t>215</w:t>
            </w:r>
          </w:hyperlink>
        </w:p>
        <w:p w14:paraId="72D38BD0" w14:textId="77777777" w:rsidR="008715BE" w:rsidRPr="00EC75B7" w:rsidRDefault="008715BE">
          <w:pPr>
            <w:pStyle w:val="TOC3"/>
            <w:numPr>
              <w:ilvl w:val="2"/>
              <w:numId w:val="119"/>
            </w:numPr>
            <w:tabs>
              <w:tab w:val="left" w:pos="2131"/>
            </w:tabs>
            <w:spacing w:before="42"/>
            <w:ind w:left="2131" w:hanging="898"/>
            <w:jc w:val="both"/>
            <w:rPr>
              <w:rFonts w:ascii="Verdana" w:hAnsi="Verdana"/>
            </w:rPr>
          </w:pPr>
          <w:hyperlink w:anchor="_bookmark112" w:history="1">
            <w:r w:rsidRPr="00EC75B7">
              <w:rPr>
                <w:rFonts w:ascii="Verdana" w:hAnsi="Verdana"/>
              </w:rPr>
              <w:t xml:space="preserve">Sensitivity and magnitude classes for assessing </w:t>
            </w:r>
            <w:r w:rsidRPr="00EC75B7">
              <w:rPr>
                <w:rFonts w:ascii="Verdana" w:hAnsi="Verdana"/>
                <w:spacing w:val="-2"/>
              </w:rPr>
              <w:t xml:space="preserve">landscape </w:t>
            </w:r>
            <w:r w:rsidRPr="00EC75B7">
              <w:rPr>
                <w:rFonts w:ascii="Verdana" w:hAnsi="Verdana"/>
              </w:rPr>
              <w:t>impact</w:t>
            </w:r>
          </w:hyperlink>
        </w:p>
        <w:p w14:paraId="38A7B003" w14:textId="77777777" w:rsidR="008715BE" w:rsidRPr="00EC75B7" w:rsidRDefault="008715BE" w:rsidP="00351101">
          <w:pPr>
            <w:spacing w:before="40"/>
            <w:ind w:left="2133"/>
            <w:jc w:val="both"/>
            <w:rPr>
              <w:rFonts w:ascii="Verdana" w:hAnsi="Verdana"/>
              <w:i/>
              <w:sz w:val="18"/>
              <w:szCs w:val="18"/>
            </w:rPr>
          </w:pPr>
          <w:hyperlink w:anchor="_bookmark112" w:history="1">
            <w:r w:rsidRPr="00EC75B7">
              <w:rPr>
                <w:rFonts w:ascii="Verdana" w:hAnsi="Verdana"/>
                <w:i/>
                <w:spacing w:val="-5"/>
                <w:sz w:val="18"/>
                <w:szCs w:val="18"/>
              </w:rPr>
              <w:t>215</w:t>
            </w:r>
          </w:hyperlink>
        </w:p>
        <w:p w14:paraId="141829E6" w14:textId="77777777" w:rsidR="008715BE" w:rsidRPr="00EC75B7" w:rsidRDefault="008715BE">
          <w:pPr>
            <w:pStyle w:val="TOC3"/>
            <w:numPr>
              <w:ilvl w:val="2"/>
              <w:numId w:val="119"/>
            </w:numPr>
            <w:tabs>
              <w:tab w:val="left" w:pos="2131"/>
              <w:tab w:val="left" w:leader="dot" w:pos="10230"/>
            </w:tabs>
            <w:ind w:left="2131" w:hanging="898"/>
            <w:jc w:val="both"/>
            <w:rPr>
              <w:rFonts w:ascii="Verdana" w:hAnsi="Verdana"/>
              <w:b w:val="0"/>
            </w:rPr>
          </w:pPr>
          <w:hyperlink w:anchor="_bookmark113" w:history="1">
            <w:r w:rsidRPr="00EC75B7">
              <w:rPr>
                <w:rFonts w:ascii="Verdana" w:hAnsi="Verdana"/>
                <w:spacing w:val="-2"/>
              </w:rPr>
              <w:t xml:space="preserve">Impact </w:t>
            </w:r>
            <w:r w:rsidRPr="00EC75B7">
              <w:rPr>
                <w:rFonts w:ascii="Verdana" w:hAnsi="Verdana"/>
              </w:rPr>
              <w:t>forecast</w:t>
            </w:r>
            <w:r w:rsidRPr="00EC75B7">
              <w:rPr>
                <w:rFonts w:ascii="Verdana" w:hAnsi="Verdana"/>
              </w:rPr>
              <w:tab/>
            </w:r>
            <w:r w:rsidRPr="00EC75B7">
              <w:rPr>
                <w:rFonts w:ascii="Verdana" w:hAnsi="Verdana"/>
                <w:b w:val="0"/>
                <w:spacing w:val="-5"/>
              </w:rPr>
              <w:t>217</w:t>
            </w:r>
          </w:hyperlink>
        </w:p>
        <w:p w14:paraId="7E0C28FA" w14:textId="77777777" w:rsidR="008715BE" w:rsidRPr="00EC75B7" w:rsidRDefault="008715BE">
          <w:pPr>
            <w:pStyle w:val="TOC3"/>
            <w:numPr>
              <w:ilvl w:val="2"/>
              <w:numId w:val="119"/>
            </w:numPr>
            <w:tabs>
              <w:tab w:val="left" w:pos="2131"/>
              <w:tab w:val="left" w:leader="dot" w:pos="10230"/>
            </w:tabs>
            <w:spacing w:before="42"/>
            <w:ind w:left="2131" w:hanging="898"/>
            <w:jc w:val="both"/>
            <w:rPr>
              <w:rFonts w:ascii="Verdana" w:hAnsi="Verdana"/>
              <w:b w:val="0"/>
            </w:rPr>
          </w:pPr>
          <w:hyperlink w:anchor="_bookmark114" w:history="1">
            <w:r w:rsidRPr="00EC75B7">
              <w:rPr>
                <w:rFonts w:ascii="Verdana" w:hAnsi="Verdana"/>
                <w:spacing w:val="-2"/>
              </w:rPr>
              <w:t xml:space="preserve">Impact </w:t>
            </w:r>
            <w:r w:rsidRPr="00EC75B7">
              <w:rPr>
                <w:rFonts w:ascii="Verdana" w:hAnsi="Verdana"/>
              </w:rPr>
              <w:t>avoidance and reduction measures</w:t>
            </w:r>
            <w:r w:rsidRPr="00EC75B7">
              <w:rPr>
                <w:rFonts w:ascii="Verdana" w:hAnsi="Verdana"/>
                <w:b w:val="0"/>
                <w:i w:val="0"/>
              </w:rPr>
              <w:tab/>
            </w:r>
            <w:r w:rsidRPr="00EC75B7">
              <w:rPr>
                <w:rFonts w:ascii="Verdana" w:hAnsi="Verdana"/>
                <w:b w:val="0"/>
                <w:spacing w:val="-5"/>
              </w:rPr>
              <w:t>221</w:t>
            </w:r>
          </w:hyperlink>
        </w:p>
        <w:p w14:paraId="338D0983" w14:textId="77777777" w:rsidR="008715BE" w:rsidRPr="00EC75B7" w:rsidRDefault="008715BE">
          <w:pPr>
            <w:numPr>
              <w:ilvl w:val="1"/>
              <w:numId w:val="119"/>
            </w:numPr>
            <w:tabs>
              <w:tab w:val="left" w:pos="1844"/>
            </w:tabs>
            <w:spacing w:before="1" w:line="243" w:lineRule="exact"/>
            <w:ind w:left="1844" w:hanging="791"/>
            <w:jc w:val="both"/>
            <w:rPr>
              <w:rFonts w:ascii="Verdana" w:hAnsi="Verdana"/>
              <w:sz w:val="18"/>
              <w:szCs w:val="18"/>
            </w:rPr>
          </w:pPr>
        </w:p>
        <w:p w14:paraId="44B2C8D2" w14:textId="77777777" w:rsidR="008715BE" w:rsidRPr="00EC75B7" w:rsidRDefault="008715BE" w:rsidP="00351101">
          <w:pPr>
            <w:pStyle w:val="TOC8"/>
            <w:tabs>
              <w:tab w:val="left" w:leader="dot" w:pos="10230"/>
            </w:tabs>
            <w:spacing w:line="243" w:lineRule="exact"/>
            <w:jc w:val="both"/>
            <w:rPr>
              <w:rFonts w:ascii="Verdana" w:hAnsi="Verdana"/>
              <w:sz w:val="18"/>
              <w:szCs w:val="18"/>
            </w:rPr>
          </w:pPr>
          <w:hyperlink w:anchor="_bookmark115" w:history="1">
            <w:r w:rsidRPr="00EC75B7">
              <w:rPr>
                <w:rFonts w:ascii="Verdana" w:hAnsi="Verdana"/>
                <w:sz w:val="18"/>
                <w:szCs w:val="18"/>
              </w:rPr>
              <w:t xml:space="preserve">Cumulative impact of </w:t>
            </w:r>
            <w:r w:rsidRPr="00EC75B7">
              <w:rPr>
                <w:rFonts w:ascii="Verdana" w:hAnsi="Verdana"/>
                <w:spacing w:val="-2"/>
                <w:sz w:val="18"/>
                <w:szCs w:val="18"/>
              </w:rPr>
              <w:t>the project</w:t>
            </w:r>
            <w:r w:rsidRPr="00EC75B7">
              <w:rPr>
                <w:rFonts w:ascii="Verdana" w:hAnsi="Verdana"/>
                <w:sz w:val="18"/>
                <w:szCs w:val="18"/>
              </w:rPr>
              <w:tab/>
            </w:r>
            <w:r w:rsidRPr="00EC75B7">
              <w:rPr>
                <w:rFonts w:ascii="Verdana" w:hAnsi="Verdana"/>
                <w:spacing w:val="-5"/>
                <w:sz w:val="18"/>
                <w:szCs w:val="18"/>
              </w:rPr>
              <w:t>222</w:t>
            </w:r>
          </w:hyperlink>
        </w:p>
        <w:p w14:paraId="19CEFF27" w14:textId="77777777" w:rsidR="008715BE" w:rsidRPr="00EC75B7" w:rsidRDefault="008715BE">
          <w:pPr>
            <w:pStyle w:val="TOC3"/>
            <w:numPr>
              <w:ilvl w:val="2"/>
              <w:numId w:val="119"/>
            </w:numPr>
            <w:tabs>
              <w:tab w:val="left" w:pos="2311"/>
              <w:tab w:val="left" w:leader="dot" w:pos="10230"/>
            </w:tabs>
            <w:ind w:left="2311" w:hanging="1078"/>
            <w:jc w:val="both"/>
            <w:rPr>
              <w:rFonts w:ascii="Verdana" w:hAnsi="Verdana"/>
              <w:b w:val="0"/>
            </w:rPr>
          </w:pPr>
          <w:hyperlink w:anchor="_bookmark116" w:history="1">
            <w:r w:rsidRPr="00EC75B7">
              <w:rPr>
                <w:rFonts w:ascii="Verdana" w:hAnsi="Verdana"/>
              </w:rPr>
              <w:t xml:space="preserve">Existing/planned projects in the </w:t>
            </w:r>
            <w:r w:rsidRPr="00EC75B7">
              <w:rPr>
                <w:rFonts w:ascii="Verdana" w:hAnsi="Verdana"/>
                <w:spacing w:val="-2"/>
              </w:rPr>
              <w:t xml:space="preserve">analyzed </w:t>
            </w:r>
            <w:r w:rsidRPr="00EC75B7">
              <w:rPr>
                <w:rFonts w:ascii="Verdana" w:hAnsi="Verdana"/>
              </w:rPr>
              <w:t>area</w:t>
            </w:r>
            <w:r w:rsidRPr="00EC75B7">
              <w:rPr>
                <w:rFonts w:ascii="Verdana" w:hAnsi="Verdana"/>
                <w:b w:val="0"/>
                <w:i w:val="0"/>
              </w:rPr>
              <w:tab/>
            </w:r>
            <w:r w:rsidRPr="00EC75B7">
              <w:rPr>
                <w:rFonts w:ascii="Verdana" w:hAnsi="Verdana"/>
                <w:b w:val="0"/>
                <w:spacing w:val="-5"/>
              </w:rPr>
              <w:t>22</w:t>
            </w:r>
          </w:hyperlink>
        </w:p>
        <w:p w14:paraId="351F2CFF" w14:textId="77777777" w:rsidR="008715BE" w:rsidRPr="00EC75B7" w:rsidRDefault="008715BE">
          <w:pPr>
            <w:pStyle w:val="TOC3"/>
            <w:numPr>
              <w:ilvl w:val="2"/>
              <w:numId w:val="119"/>
            </w:numPr>
            <w:tabs>
              <w:tab w:val="left" w:pos="2311"/>
              <w:tab w:val="left" w:leader="dot" w:pos="10230"/>
            </w:tabs>
            <w:spacing w:before="40"/>
            <w:ind w:left="2311" w:hanging="1078"/>
            <w:jc w:val="both"/>
            <w:rPr>
              <w:rFonts w:ascii="Verdana" w:hAnsi="Verdana"/>
              <w:b w:val="0"/>
            </w:rPr>
          </w:pPr>
          <w:hyperlink w:anchor="_bookmark117" w:history="1">
            <w:r w:rsidRPr="00EC75B7">
              <w:rPr>
                <w:rFonts w:ascii="Verdana" w:hAnsi="Verdana"/>
              </w:rPr>
              <w:t xml:space="preserve">Cause-and-effect mechanisms for </w:t>
            </w:r>
            <w:r w:rsidRPr="00EC75B7">
              <w:rPr>
                <w:rFonts w:ascii="Verdana" w:hAnsi="Verdana"/>
                <w:spacing w:val="-2"/>
              </w:rPr>
              <w:t xml:space="preserve">cumulative </w:t>
            </w:r>
            <w:r w:rsidRPr="00EC75B7">
              <w:rPr>
                <w:rFonts w:ascii="Verdana" w:hAnsi="Verdana"/>
              </w:rPr>
              <w:t>impact analysis</w:t>
            </w:r>
            <w:r w:rsidRPr="00EC75B7">
              <w:rPr>
                <w:rFonts w:ascii="Verdana" w:hAnsi="Verdana"/>
              </w:rPr>
              <w:tab/>
            </w:r>
            <w:r w:rsidRPr="00EC75B7">
              <w:rPr>
                <w:rFonts w:ascii="Verdana" w:hAnsi="Verdana"/>
                <w:b w:val="0"/>
                <w:spacing w:val="-5"/>
              </w:rPr>
              <w:t>225</w:t>
            </w:r>
          </w:hyperlink>
        </w:p>
        <w:p w14:paraId="080E0476" w14:textId="77777777" w:rsidR="008715BE" w:rsidRPr="00EC75B7" w:rsidRDefault="008715BE">
          <w:pPr>
            <w:pStyle w:val="TOC3"/>
            <w:numPr>
              <w:ilvl w:val="2"/>
              <w:numId w:val="119"/>
            </w:numPr>
            <w:tabs>
              <w:tab w:val="left" w:pos="2311"/>
              <w:tab w:val="left" w:leader="dot" w:pos="10230"/>
            </w:tabs>
            <w:ind w:left="2311" w:hanging="1078"/>
            <w:jc w:val="both"/>
            <w:rPr>
              <w:rFonts w:ascii="Verdana" w:hAnsi="Verdana"/>
              <w:b w:val="0"/>
            </w:rPr>
          </w:pPr>
          <w:hyperlink w:anchor="_bookmark118" w:history="1">
            <w:r w:rsidRPr="00EC75B7">
              <w:rPr>
                <w:rFonts w:ascii="Verdana" w:hAnsi="Verdana"/>
              </w:rPr>
              <w:t xml:space="preserve">Level of </w:t>
            </w:r>
            <w:r w:rsidRPr="00EC75B7">
              <w:rPr>
                <w:rFonts w:ascii="Verdana" w:hAnsi="Verdana"/>
                <w:spacing w:val="-2"/>
              </w:rPr>
              <w:t xml:space="preserve">current </w:t>
            </w:r>
            <w:r w:rsidRPr="00EC75B7">
              <w:rPr>
                <w:rFonts w:ascii="Verdana" w:hAnsi="Verdana"/>
              </w:rPr>
              <w:t>pressures</w:t>
            </w:r>
            <w:r w:rsidRPr="00EC75B7">
              <w:rPr>
                <w:rFonts w:ascii="Verdana" w:hAnsi="Verdana"/>
              </w:rPr>
              <w:tab/>
            </w:r>
            <w:r w:rsidRPr="00EC75B7">
              <w:rPr>
                <w:rFonts w:ascii="Verdana" w:hAnsi="Verdana"/>
                <w:b w:val="0"/>
                <w:spacing w:val="-5"/>
              </w:rPr>
              <w:t>229</w:t>
            </w:r>
          </w:hyperlink>
        </w:p>
        <w:p w14:paraId="1CCDE3D5" w14:textId="77777777" w:rsidR="008715BE" w:rsidRPr="00EC75B7" w:rsidRDefault="008715BE">
          <w:pPr>
            <w:numPr>
              <w:ilvl w:val="1"/>
              <w:numId w:val="119"/>
            </w:numPr>
            <w:tabs>
              <w:tab w:val="left" w:pos="1844"/>
            </w:tabs>
            <w:spacing w:before="4" w:line="243" w:lineRule="exact"/>
            <w:ind w:left="1844" w:hanging="791"/>
            <w:jc w:val="both"/>
            <w:rPr>
              <w:rFonts w:ascii="Verdana" w:hAnsi="Verdana"/>
              <w:sz w:val="18"/>
              <w:szCs w:val="18"/>
            </w:rPr>
          </w:pPr>
        </w:p>
        <w:p w14:paraId="21AA285D" w14:textId="77777777" w:rsidR="008715BE" w:rsidRPr="00EC75B7" w:rsidRDefault="008715BE" w:rsidP="00351101">
          <w:pPr>
            <w:pStyle w:val="TOC8"/>
            <w:tabs>
              <w:tab w:val="left" w:leader="dot" w:pos="10230"/>
            </w:tabs>
            <w:spacing w:line="243" w:lineRule="exact"/>
            <w:jc w:val="both"/>
            <w:rPr>
              <w:rFonts w:ascii="Verdana" w:hAnsi="Verdana"/>
              <w:sz w:val="18"/>
              <w:szCs w:val="18"/>
            </w:rPr>
          </w:pPr>
          <w:hyperlink w:anchor="_bookmark119" w:history="1">
            <w:r w:rsidRPr="00EC75B7">
              <w:rPr>
                <w:rFonts w:ascii="Verdana" w:hAnsi="Verdana"/>
                <w:spacing w:val="-2"/>
                <w:sz w:val="18"/>
                <w:szCs w:val="18"/>
              </w:rPr>
              <w:t xml:space="preserve">Climate </w:t>
            </w:r>
            <w:r w:rsidRPr="00EC75B7">
              <w:rPr>
                <w:rFonts w:ascii="Verdana" w:hAnsi="Verdana"/>
                <w:sz w:val="18"/>
                <w:szCs w:val="18"/>
              </w:rPr>
              <w:t>change</w:t>
            </w:r>
            <w:r w:rsidRPr="00EC75B7">
              <w:rPr>
                <w:rFonts w:ascii="Verdana" w:hAnsi="Verdana"/>
                <w:b w:val="0"/>
                <w:sz w:val="18"/>
                <w:szCs w:val="18"/>
              </w:rPr>
              <w:tab/>
            </w:r>
            <w:r w:rsidRPr="00EC75B7">
              <w:rPr>
                <w:rFonts w:ascii="Verdana" w:hAnsi="Verdana"/>
                <w:spacing w:val="-5"/>
                <w:sz w:val="18"/>
                <w:szCs w:val="18"/>
              </w:rPr>
              <w:t>229</w:t>
            </w:r>
          </w:hyperlink>
        </w:p>
        <w:p w14:paraId="17DB444A" w14:textId="77777777" w:rsidR="008715BE" w:rsidRPr="00EC75B7" w:rsidRDefault="008715BE">
          <w:pPr>
            <w:pStyle w:val="TOC3"/>
            <w:numPr>
              <w:ilvl w:val="2"/>
              <w:numId w:val="114"/>
            </w:numPr>
            <w:tabs>
              <w:tab w:val="left" w:pos="2266"/>
              <w:tab w:val="left" w:leader="dot" w:pos="10230"/>
            </w:tabs>
            <w:spacing w:before="36"/>
            <w:ind w:left="2266" w:hanging="1033"/>
            <w:jc w:val="both"/>
            <w:rPr>
              <w:rFonts w:ascii="Verdana" w:hAnsi="Verdana"/>
              <w:b w:val="0"/>
            </w:rPr>
          </w:pPr>
          <w:hyperlink w:anchor="_bookmark120" w:history="1">
            <w:r w:rsidRPr="00EC75B7">
              <w:rPr>
                <w:rFonts w:ascii="Verdana" w:hAnsi="Verdana"/>
              </w:rPr>
              <w:t>Climate change mitigation (</w:t>
            </w:r>
            <w:r w:rsidRPr="00EC75B7">
              <w:rPr>
                <w:rFonts w:ascii="Verdana" w:hAnsi="Verdana"/>
                <w:spacing w:val="-2"/>
              </w:rPr>
              <w:t xml:space="preserve">climate </w:t>
            </w:r>
            <w:r w:rsidRPr="00EC75B7">
              <w:rPr>
                <w:rFonts w:ascii="Verdana" w:hAnsi="Verdana"/>
              </w:rPr>
              <w:t>neutrality</w:t>
            </w:r>
            <w:r w:rsidRPr="00EC75B7">
              <w:rPr>
                <w:rFonts w:ascii="Verdana" w:hAnsi="Verdana"/>
                <w:spacing w:val="-2"/>
              </w:rPr>
              <w:t>)</w:t>
            </w:r>
            <w:r w:rsidRPr="00EC75B7">
              <w:rPr>
                <w:rFonts w:ascii="Verdana" w:hAnsi="Verdana"/>
                <w:b w:val="0"/>
                <w:i w:val="0"/>
              </w:rPr>
              <w:tab/>
            </w:r>
            <w:r w:rsidRPr="00EC75B7">
              <w:rPr>
                <w:rFonts w:ascii="Verdana" w:hAnsi="Verdana"/>
                <w:b w:val="0"/>
                <w:spacing w:val="-5"/>
              </w:rPr>
              <w:t>230</w:t>
            </w:r>
          </w:hyperlink>
        </w:p>
        <w:p w14:paraId="51D78FD1" w14:textId="77777777" w:rsidR="008715BE" w:rsidRPr="00EC75B7" w:rsidRDefault="008715BE">
          <w:pPr>
            <w:pStyle w:val="TOC3"/>
            <w:numPr>
              <w:ilvl w:val="2"/>
              <w:numId w:val="113"/>
            </w:numPr>
            <w:tabs>
              <w:tab w:val="left" w:pos="2203"/>
              <w:tab w:val="left" w:leader="dot" w:pos="10230"/>
            </w:tabs>
            <w:spacing w:before="43"/>
            <w:ind w:left="2203" w:hanging="970"/>
            <w:jc w:val="both"/>
            <w:rPr>
              <w:rFonts w:ascii="Verdana" w:hAnsi="Verdana"/>
              <w:b w:val="0"/>
            </w:rPr>
          </w:pPr>
          <w:hyperlink w:anchor="_bookmark121" w:history="1">
            <w:r w:rsidRPr="00EC75B7">
              <w:rPr>
                <w:rFonts w:ascii="Verdana" w:hAnsi="Verdana"/>
              </w:rPr>
              <w:t xml:space="preserve">Climate Change Adaptation Review (STAGE 1 </w:t>
            </w:r>
            <w:r w:rsidRPr="00EC75B7">
              <w:rPr>
                <w:rFonts w:ascii="Verdana" w:hAnsi="Verdana"/>
                <w:spacing w:val="-2"/>
              </w:rPr>
              <w:t>Analysis)</w:t>
            </w:r>
            <w:r w:rsidRPr="00EC75B7">
              <w:rPr>
                <w:rFonts w:ascii="Verdana" w:hAnsi="Verdana"/>
                <w:b w:val="0"/>
                <w:i w:val="0"/>
              </w:rPr>
              <w:tab/>
            </w:r>
            <w:r w:rsidRPr="00EC75B7">
              <w:rPr>
                <w:rFonts w:ascii="Verdana" w:hAnsi="Verdana"/>
                <w:b w:val="0"/>
                <w:spacing w:val="-5"/>
              </w:rPr>
              <w:t>230</w:t>
            </w:r>
          </w:hyperlink>
        </w:p>
        <w:p w14:paraId="55B522F6" w14:textId="77777777" w:rsidR="008715BE" w:rsidRPr="00EC75B7" w:rsidRDefault="008715BE">
          <w:pPr>
            <w:pStyle w:val="TOC3"/>
            <w:numPr>
              <w:ilvl w:val="3"/>
              <w:numId w:val="113"/>
            </w:numPr>
            <w:tabs>
              <w:tab w:val="left" w:pos="2396"/>
              <w:tab w:val="left" w:leader="dot" w:pos="10230"/>
            </w:tabs>
            <w:ind w:left="2396" w:hanging="1163"/>
            <w:jc w:val="both"/>
            <w:rPr>
              <w:rFonts w:ascii="Verdana" w:hAnsi="Verdana"/>
              <w:b w:val="0"/>
            </w:rPr>
          </w:pPr>
          <w:hyperlink w:anchor="_bookmark122" w:history="1">
            <w:r w:rsidRPr="00EC75B7">
              <w:rPr>
                <w:rFonts w:ascii="Verdana" w:hAnsi="Verdana"/>
                <w:spacing w:val="-2"/>
              </w:rPr>
              <w:t>Sensitivity</w:t>
            </w:r>
            <w:r w:rsidRPr="00EC75B7">
              <w:rPr>
                <w:rFonts w:ascii="Verdana" w:hAnsi="Verdana"/>
              </w:rPr>
              <w:tab/>
            </w:r>
            <w:r w:rsidRPr="00EC75B7">
              <w:rPr>
                <w:rFonts w:ascii="Verdana" w:hAnsi="Verdana"/>
                <w:b w:val="0"/>
                <w:spacing w:val="-5"/>
              </w:rPr>
              <w:t>230</w:t>
            </w:r>
          </w:hyperlink>
        </w:p>
        <w:p w14:paraId="210B0FA3" w14:textId="77777777" w:rsidR="008715BE" w:rsidRPr="00EC75B7" w:rsidRDefault="008715BE">
          <w:pPr>
            <w:pStyle w:val="TOC4"/>
            <w:numPr>
              <w:ilvl w:val="3"/>
              <w:numId w:val="112"/>
            </w:numPr>
            <w:tabs>
              <w:tab w:val="left" w:pos="2331"/>
              <w:tab w:val="left" w:leader="dot" w:pos="10230"/>
            </w:tabs>
            <w:ind w:left="2331" w:hanging="1098"/>
            <w:jc w:val="both"/>
            <w:rPr>
              <w:rFonts w:ascii="Verdana" w:hAnsi="Verdana"/>
              <w:b w:val="0"/>
              <w:sz w:val="18"/>
              <w:szCs w:val="18"/>
            </w:rPr>
          </w:pPr>
          <w:hyperlink w:anchor="_bookmark123" w:history="1">
            <w:r w:rsidRPr="00EC75B7">
              <w:rPr>
                <w:rFonts w:ascii="Verdana" w:hAnsi="Verdana"/>
                <w:spacing w:val="-2"/>
                <w:sz w:val="18"/>
                <w:szCs w:val="18"/>
              </w:rPr>
              <w:t>Exposure</w:t>
            </w:r>
            <w:r w:rsidRPr="00EC75B7">
              <w:rPr>
                <w:rFonts w:ascii="Verdana" w:hAnsi="Verdana"/>
                <w:sz w:val="18"/>
                <w:szCs w:val="18"/>
              </w:rPr>
              <w:tab/>
            </w:r>
            <w:r w:rsidRPr="00EC75B7">
              <w:rPr>
                <w:rFonts w:ascii="Verdana" w:hAnsi="Verdana"/>
                <w:b w:val="0"/>
                <w:spacing w:val="-5"/>
                <w:sz w:val="18"/>
                <w:szCs w:val="18"/>
              </w:rPr>
              <w:t>234</w:t>
            </w:r>
          </w:hyperlink>
        </w:p>
        <w:p w14:paraId="406392A4" w14:textId="77777777" w:rsidR="008715BE" w:rsidRPr="00EC75B7" w:rsidRDefault="008715BE">
          <w:pPr>
            <w:pStyle w:val="TOC3"/>
            <w:numPr>
              <w:ilvl w:val="3"/>
              <w:numId w:val="112"/>
            </w:numPr>
            <w:tabs>
              <w:tab w:val="left" w:pos="2331"/>
              <w:tab w:val="left" w:leader="dot" w:pos="10230"/>
            </w:tabs>
            <w:spacing w:before="41"/>
            <w:ind w:left="2331" w:hanging="1098"/>
            <w:jc w:val="both"/>
            <w:rPr>
              <w:rFonts w:ascii="Verdana" w:hAnsi="Verdana"/>
              <w:b w:val="0"/>
            </w:rPr>
          </w:pPr>
          <w:hyperlink w:anchor="_bookmark124" w:history="1">
            <w:r w:rsidRPr="00EC75B7">
              <w:rPr>
                <w:rFonts w:ascii="Verdana" w:hAnsi="Verdana"/>
                <w:spacing w:val="-2"/>
              </w:rPr>
              <w:t>Vulnerability</w:t>
            </w:r>
            <w:r w:rsidRPr="00EC75B7">
              <w:rPr>
                <w:rFonts w:ascii="Verdana" w:hAnsi="Verdana"/>
              </w:rPr>
              <w:tab/>
            </w:r>
            <w:r w:rsidRPr="00EC75B7">
              <w:rPr>
                <w:rFonts w:ascii="Verdana" w:hAnsi="Verdana"/>
                <w:b w:val="0"/>
                <w:spacing w:val="-5"/>
              </w:rPr>
              <w:t>252</w:t>
            </w:r>
          </w:hyperlink>
        </w:p>
        <w:p w14:paraId="46FD80C8" w14:textId="77777777" w:rsidR="008715BE" w:rsidRPr="00EC75B7" w:rsidRDefault="008715BE">
          <w:pPr>
            <w:pStyle w:val="TOC3"/>
            <w:numPr>
              <w:ilvl w:val="2"/>
              <w:numId w:val="113"/>
            </w:numPr>
            <w:tabs>
              <w:tab w:val="left" w:pos="2203"/>
            </w:tabs>
            <w:spacing w:before="43"/>
            <w:ind w:left="2203" w:hanging="970"/>
            <w:jc w:val="both"/>
            <w:rPr>
              <w:rFonts w:ascii="Verdana" w:hAnsi="Verdana"/>
            </w:rPr>
          </w:pPr>
          <w:hyperlink w:anchor="_bookmark125" w:history="1">
            <w:r w:rsidRPr="00EC75B7">
              <w:rPr>
                <w:rFonts w:ascii="Verdana" w:hAnsi="Verdana"/>
              </w:rPr>
              <w:t xml:space="preserve">Detailed analysis for adaptation to climate change (STAGE 2 of </w:t>
            </w:r>
            <w:r w:rsidRPr="00EC75B7">
              <w:rPr>
                <w:rFonts w:ascii="Verdana" w:hAnsi="Verdana"/>
                <w:spacing w:val="-2"/>
              </w:rPr>
              <w:t>analysis)</w:t>
            </w:r>
          </w:hyperlink>
        </w:p>
        <w:p w14:paraId="06426562" w14:textId="77777777" w:rsidR="008715BE" w:rsidRPr="00EC75B7" w:rsidRDefault="008715BE" w:rsidP="00351101">
          <w:pPr>
            <w:pStyle w:val="TOC5"/>
            <w:tabs>
              <w:tab w:val="left" w:leader="dot" w:pos="10230"/>
            </w:tabs>
            <w:jc w:val="both"/>
            <w:rPr>
              <w:rFonts w:ascii="Verdana" w:hAnsi="Verdana"/>
            </w:rPr>
          </w:pPr>
          <w:hyperlink w:anchor="_bookmark125" w:history="1">
            <w:r w:rsidRPr="00EC75B7">
              <w:rPr>
                <w:rFonts w:ascii="Verdana" w:hAnsi="Verdana"/>
                <w:spacing w:val="-10"/>
              </w:rPr>
              <w:t>.</w:t>
            </w:r>
            <w:r w:rsidRPr="00EC75B7">
              <w:rPr>
                <w:rFonts w:ascii="Verdana" w:hAnsi="Verdana"/>
              </w:rPr>
              <w:tab/>
            </w:r>
            <w:r w:rsidRPr="00EC75B7">
              <w:rPr>
                <w:rFonts w:ascii="Verdana" w:hAnsi="Verdana"/>
                <w:spacing w:val="-5"/>
              </w:rPr>
              <w:t>255</w:t>
            </w:r>
          </w:hyperlink>
        </w:p>
        <w:p w14:paraId="3C380338" w14:textId="77777777" w:rsidR="008715BE" w:rsidRPr="00EC75B7" w:rsidRDefault="008715BE">
          <w:pPr>
            <w:pStyle w:val="TOC3"/>
            <w:numPr>
              <w:ilvl w:val="3"/>
              <w:numId w:val="113"/>
            </w:numPr>
            <w:tabs>
              <w:tab w:val="left" w:pos="2396"/>
              <w:tab w:val="left" w:leader="dot" w:pos="10230"/>
            </w:tabs>
            <w:spacing w:before="42"/>
            <w:ind w:left="2396" w:hanging="1163"/>
            <w:jc w:val="both"/>
            <w:rPr>
              <w:rFonts w:ascii="Verdana" w:hAnsi="Verdana"/>
              <w:b w:val="0"/>
            </w:rPr>
          </w:pPr>
          <w:hyperlink w:anchor="_bookmark126" w:history="1">
            <w:r w:rsidRPr="00EC75B7">
              <w:rPr>
                <w:rFonts w:ascii="Verdana" w:hAnsi="Verdana"/>
                <w:spacing w:val="-2"/>
              </w:rPr>
              <w:t xml:space="preserve">Probability </w:t>
            </w:r>
            <w:r w:rsidRPr="00EC75B7">
              <w:rPr>
                <w:rFonts w:ascii="Verdana" w:hAnsi="Verdana"/>
              </w:rPr>
              <w:t>analysis</w:t>
            </w:r>
            <w:r w:rsidRPr="00EC75B7">
              <w:rPr>
                <w:rFonts w:ascii="Verdana" w:hAnsi="Verdana"/>
                <w:b w:val="0"/>
                <w:i w:val="0"/>
              </w:rPr>
              <w:tab/>
            </w:r>
            <w:r w:rsidRPr="00EC75B7">
              <w:rPr>
                <w:rFonts w:ascii="Verdana" w:hAnsi="Verdana"/>
                <w:b w:val="0"/>
                <w:spacing w:val="-5"/>
              </w:rPr>
              <w:t>255</w:t>
            </w:r>
          </w:hyperlink>
        </w:p>
        <w:p w14:paraId="4BE05209" w14:textId="77777777" w:rsidR="008715BE" w:rsidRPr="00EC75B7" w:rsidRDefault="008715BE">
          <w:pPr>
            <w:pStyle w:val="TOC3"/>
            <w:numPr>
              <w:ilvl w:val="3"/>
              <w:numId w:val="113"/>
            </w:numPr>
            <w:tabs>
              <w:tab w:val="left" w:pos="2396"/>
              <w:tab w:val="left" w:leader="dot" w:pos="10230"/>
            </w:tabs>
            <w:ind w:left="2396" w:hanging="1163"/>
            <w:jc w:val="both"/>
            <w:rPr>
              <w:rFonts w:ascii="Verdana" w:hAnsi="Verdana"/>
              <w:b w:val="0"/>
            </w:rPr>
          </w:pPr>
          <w:hyperlink w:anchor="_bookmark127" w:history="1">
            <w:r w:rsidRPr="00EC75B7">
              <w:rPr>
                <w:rFonts w:ascii="Verdana" w:hAnsi="Verdana"/>
              </w:rPr>
              <w:t xml:space="preserve">Severity and </w:t>
            </w:r>
            <w:r w:rsidRPr="00EC75B7">
              <w:rPr>
                <w:rFonts w:ascii="Verdana" w:hAnsi="Verdana"/>
                <w:spacing w:val="-2"/>
              </w:rPr>
              <w:t xml:space="preserve">risk </w:t>
            </w:r>
            <w:r w:rsidRPr="00EC75B7">
              <w:rPr>
                <w:rFonts w:ascii="Verdana" w:hAnsi="Verdana"/>
              </w:rPr>
              <w:t>analysis</w:t>
            </w:r>
            <w:r w:rsidRPr="00EC75B7">
              <w:rPr>
                <w:rFonts w:ascii="Verdana" w:hAnsi="Verdana"/>
                <w:b w:val="0"/>
                <w:i w:val="0"/>
              </w:rPr>
              <w:tab/>
            </w:r>
            <w:r w:rsidRPr="00EC75B7">
              <w:rPr>
                <w:rFonts w:ascii="Verdana" w:hAnsi="Verdana"/>
                <w:b w:val="0"/>
                <w:spacing w:val="-5"/>
              </w:rPr>
              <w:t>256</w:t>
            </w:r>
          </w:hyperlink>
        </w:p>
        <w:p w14:paraId="77B8032D" w14:textId="77777777" w:rsidR="008715BE" w:rsidRPr="00EC75B7" w:rsidRDefault="008715BE">
          <w:pPr>
            <w:pStyle w:val="TOC3"/>
            <w:numPr>
              <w:ilvl w:val="3"/>
              <w:numId w:val="111"/>
            </w:numPr>
            <w:tabs>
              <w:tab w:val="left" w:pos="2331"/>
              <w:tab w:val="left" w:leader="dot" w:pos="10230"/>
            </w:tabs>
            <w:spacing w:before="40"/>
            <w:ind w:left="2331" w:hanging="1098"/>
            <w:jc w:val="both"/>
            <w:rPr>
              <w:rFonts w:ascii="Verdana" w:hAnsi="Verdana"/>
              <w:b w:val="0"/>
            </w:rPr>
          </w:pPr>
          <w:hyperlink w:anchor="_bookmark128" w:history="1">
            <w:r w:rsidRPr="00EC75B7">
              <w:rPr>
                <w:rFonts w:ascii="Verdana" w:hAnsi="Verdana"/>
              </w:rPr>
              <w:t xml:space="preserve">Identification of options for adaptation to </w:t>
            </w:r>
            <w:r w:rsidRPr="00EC75B7">
              <w:rPr>
                <w:rFonts w:ascii="Verdana" w:hAnsi="Verdana"/>
                <w:spacing w:val="-2"/>
              </w:rPr>
              <w:t xml:space="preserve">climate </w:t>
            </w:r>
            <w:r w:rsidRPr="00EC75B7">
              <w:rPr>
                <w:rFonts w:ascii="Verdana" w:hAnsi="Verdana"/>
              </w:rPr>
              <w:t>change</w:t>
            </w:r>
            <w:r w:rsidRPr="00EC75B7">
              <w:rPr>
                <w:rFonts w:ascii="Verdana" w:hAnsi="Verdana"/>
                <w:b w:val="0"/>
                <w:i w:val="0"/>
              </w:rPr>
              <w:tab/>
            </w:r>
            <w:r w:rsidRPr="00EC75B7">
              <w:rPr>
                <w:rFonts w:ascii="Verdana" w:hAnsi="Verdana"/>
                <w:b w:val="0"/>
                <w:spacing w:val="-5"/>
              </w:rPr>
              <w:t>259</w:t>
            </w:r>
          </w:hyperlink>
        </w:p>
        <w:p w14:paraId="695EC25E" w14:textId="77777777" w:rsidR="008715BE" w:rsidRPr="00EC75B7" w:rsidRDefault="008715BE">
          <w:pPr>
            <w:numPr>
              <w:ilvl w:val="1"/>
              <w:numId w:val="119"/>
            </w:numPr>
            <w:tabs>
              <w:tab w:val="left" w:pos="1844"/>
            </w:tabs>
            <w:spacing w:before="4" w:line="243" w:lineRule="exact"/>
            <w:ind w:left="1844" w:hanging="791"/>
            <w:jc w:val="both"/>
            <w:rPr>
              <w:rFonts w:ascii="Verdana" w:hAnsi="Verdana"/>
              <w:sz w:val="18"/>
              <w:szCs w:val="18"/>
            </w:rPr>
          </w:pPr>
        </w:p>
        <w:p w14:paraId="73537513" w14:textId="77777777" w:rsidR="008715BE" w:rsidRPr="00EC75B7" w:rsidRDefault="008715BE" w:rsidP="00351101">
          <w:pPr>
            <w:pStyle w:val="TOC8"/>
            <w:tabs>
              <w:tab w:val="left" w:leader="dot" w:pos="10230"/>
            </w:tabs>
            <w:spacing w:line="242" w:lineRule="exact"/>
            <w:jc w:val="both"/>
            <w:rPr>
              <w:rFonts w:ascii="Verdana" w:hAnsi="Verdana"/>
              <w:sz w:val="18"/>
              <w:szCs w:val="18"/>
            </w:rPr>
          </w:pPr>
          <w:hyperlink w:anchor="_bookmark129" w:history="1">
            <w:r w:rsidRPr="00EC75B7">
              <w:rPr>
                <w:rFonts w:ascii="Verdana" w:hAnsi="Verdana"/>
                <w:sz w:val="18"/>
                <w:szCs w:val="18"/>
              </w:rPr>
              <w:t xml:space="preserve">Impact in a </w:t>
            </w:r>
            <w:r w:rsidRPr="00EC75B7">
              <w:rPr>
                <w:rFonts w:ascii="Verdana" w:hAnsi="Verdana"/>
                <w:spacing w:val="-2"/>
                <w:sz w:val="18"/>
                <w:szCs w:val="18"/>
              </w:rPr>
              <w:t xml:space="preserve">transboundary </w:t>
            </w:r>
            <w:r w:rsidRPr="00EC75B7">
              <w:rPr>
                <w:rFonts w:ascii="Verdana" w:hAnsi="Verdana"/>
                <w:sz w:val="18"/>
                <w:szCs w:val="18"/>
              </w:rPr>
              <w:t>context</w:t>
            </w:r>
            <w:r w:rsidRPr="00EC75B7">
              <w:rPr>
                <w:rFonts w:ascii="Verdana" w:hAnsi="Verdana"/>
                <w:sz w:val="18"/>
                <w:szCs w:val="18"/>
              </w:rPr>
              <w:tab/>
            </w:r>
            <w:r w:rsidRPr="00EC75B7">
              <w:rPr>
                <w:rFonts w:ascii="Verdana" w:hAnsi="Verdana"/>
                <w:spacing w:val="-5"/>
                <w:sz w:val="18"/>
                <w:szCs w:val="18"/>
              </w:rPr>
              <w:t>263</w:t>
            </w:r>
          </w:hyperlink>
        </w:p>
        <w:p w14:paraId="63BF4D71" w14:textId="77777777" w:rsidR="008715BE" w:rsidRPr="00EC75B7" w:rsidRDefault="008715BE">
          <w:pPr>
            <w:pStyle w:val="TOC1"/>
            <w:numPr>
              <w:ilvl w:val="0"/>
              <w:numId w:val="119"/>
            </w:numPr>
            <w:tabs>
              <w:tab w:val="left" w:pos="1591"/>
              <w:tab w:val="left" w:pos="1593"/>
            </w:tabs>
            <w:ind w:left="1593" w:right="4678" w:hanging="720"/>
            <w:jc w:val="both"/>
            <w:rPr>
              <w:rFonts w:ascii="Verdana" w:hAnsi="Verdana"/>
              <w:sz w:val="18"/>
              <w:szCs w:val="18"/>
            </w:rPr>
          </w:pPr>
          <w:hyperlink w:anchor="_bookmark130" w:history="1">
            <w:r w:rsidRPr="00EC75B7">
              <w:rPr>
                <w:rFonts w:ascii="Verdana" w:hAnsi="Verdana"/>
                <w:color w:val="009DEF"/>
                <w:sz w:val="18"/>
                <w:szCs w:val="18"/>
              </w:rPr>
              <w:t>DESCRIPTION OF FORECASTING METHODS</w:t>
            </w:r>
          </w:hyperlink>
          <w:hyperlink w:anchor="_bookmark130" w:history="1">
            <w:r w:rsidRPr="00EC75B7">
              <w:rPr>
                <w:rFonts w:ascii="Verdana" w:hAnsi="Verdana"/>
                <w:color w:val="009DEF"/>
                <w:spacing w:val="-4"/>
                <w:sz w:val="18"/>
                <w:szCs w:val="18"/>
              </w:rPr>
              <w:t xml:space="preserve"> 274</w:t>
            </w:r>
          </w:hyperlink>
        </w:p>
        <w:p w14:paraId="3D0AC57D" w14:textId="77777777" w:rsidR="008715BE" w:rsidRPr="00EC75B7" w:rsidRDefault="008715BE" w:rsidP="00351101">
          <w:pPr>
            <w:pStyle w:val="TOC2"/>
            <w:spacing w:line="241" w:lineRule="exact"/>
            <w:ind w:left="1053" w:firstLine="0"/>
            <w:jc w:val="both"/>
            <w:rPr>
              <w:rFonts w:ascii="Verdana" w:hAnsi="Verdana"/>
              <w:sz w:val="18"/>
              <w:szCs w:val="18"/>
            </w:rPr>
          </w:pPr>
          <w:hyperlink w:anchor="_bookmark131" w:history="1">
            <w:r w:rsidRPr="00EC75B7">
              <w:rPr>
                <w:rFonts w:ascii="Verdana" w:hAnsi="Verdana"/>
                <w:spacing w:val="-2"/>
                <w:sz w:val="18"/>
                <w:szCs w:val="18"/>
              </w:rPr>
              <w:t>VIII.1.</w:t>
            </w:r>
          </w:hyperlink>
        </w:p>
        <w:p w14:paraId="6147134A" w14:textId="77777777" w:rsidR="008715BE" w:rsidRPr="00EC75B7" w:rsidRDefault="008715BE" w:rsidP="00351101">
          <w:pPr>
            <w:pStyle w:val="TOC8"/>
            <w:tabs>
              <w:tab w:val="left" w:leader="dot" w:pos="10230"/>
            </w:tabs>
            <w:ind w:left="1053" w:right="681" w:firstLine="719"/>
            <w:jc w:val="both"/>
            <w:rPr>
              <w:rFonts w:ascii="Verdana" w:hAnsi="Verdana"/>
              <w:sz w:val="18"/>
              <w:szCs w:val="18"/>
            </w:rPr>
          </w:pPr>
          <w:hyperlink w:anchor="_bookmark131" w:history="1">
            <w:r w:rsidRPr="00EC75B7">
              <w:rPr>
                <w:rFonts w:ascii="Verdana" w:hAnsi="Verdana"/>
                <w:sz w:val="18"/>
                <w:szCs w:val="18"/>
              </w:rPr>
              <w:t xml:space="preserve">Description of the methodology used to assess the </w:t>
            </w:r>
          </w:hyperlink>
          <w:hyperlink w:anchor="_bookmark131" w:history="1">
            <w:r w:rsidRPr="00EC75B7">
              <w:rPr>
                <w:rFonts w:ascii="Verdana" w:hAnsi="Verdana"/>
                <w:spacing w:val="-2"/>
                <w:sz w:val="18"/>
                <w:szCs w:val="18"/>
              </w:rPr>
              <w:t xml:space="preserve">environmental </w:t>
            </w:r>
          </w:hyperlink>
          <w:hyperlink w:anchor="_bookmark131" w:history="1">
            <w:r w:rsidRPr="00EC75B7">
              <w:rPr>
                <w:rFonts w:ascii="Verdana" w:hAnsi="Verdana"/>
                <w:sz w:val="18"/>
                <w:szCs w:val="18"/>
              </w:rPr>
              <w:t xml:space="preserve">effects of </w:t>
            </w:r>
          </w:hyperlink>
          <w:hyperlink w:anchor="_bookmark131" w:history="1">
            <w:r w:rsidRPr="00EC75B7">
              <w:rPr>
                <w:rFonts w:ascii="Verdana" w:hAnsi="Verdana"/>
                <w:spacing w:val="-2"/>
                <w:sz w:val="18"/>
                <w:szCs w:val="18"/>
              </w:rPr>
              <w:t>the project</w:t>
            </w:r>
            <w:r w:rsidRPr="00EC75B7">
              <w:rPr>
                <w:rFonts w:ascii="Verdana" w:hAnsi="Verdana"/>
                <w:sz w:val="18"/>
                <w:szCs w:val="18"/>
              </w:rPr>
              <w:tab/>
            </w:r>
            <w:r w:rsidRPr="00EC75B7">
              <w:rPr>
                <w:rFonts w:ascii="Verdana" w:hAnsi="Verdana"/>
                <w:spacing w:val="-5"/>
                <w:sz w:val="18"/>
                <w:szCs w:val="18"/>
              </w:rPr>
              <w:t>274</w:t>
            </w:r>
          </w:hyperlink>
        </w:p>
        <w:p w14:paraId="7EBBF7A3" w14:textId="77777777" w:rsidR="008715BE" w:rsidRPr="00EC75B7" w:rsidRDefault="008715BE" w:rsidP="00351101">
          <w:pPr>
            <w:pStyle w:val="TOC2"/>
            <w:spacing w:line="243" w:lineRule="exact"/>
            <w:ind w:left="1053" w:firstLine="0"/>
            <w:jc w:val="both"/>
            <w:rPr>
              <w:rFonts w:ascii="Verdana" w:hAnsi="Verdana"/>
              <w:sz w:val="18"/>
              <w:szCs w:val="18"/>
            </w:rPr>
          </w:pPr>
          <w:hyperlink w:anchor="_bookmark132" w:history="1">
            <w:r w:rsidRPr="00EC75B7">
              <w:rPr>
                <w:rFonts w:ascii="Verdana" w:hAnsi="Verdana"/>
                <w:spacing w:val="-2"/>
                <w:sz w:val="18"/>
                <w:szCs w:val="18"/>
              </w:rPr>
              <w:t>VIII.</w:t>
            </w:r>
          </w:hyperlink>
        </w:p>
        <w:p w14:paraId="0C182ECA" w14:textId="77777777" w:rsidR="008715BE" w:rsidRPr="00EC75B7" w:rsidRDefault="008715BE" w:rsidP="00351101">
          <w:pPr>
            <w:pStyle w:val="TOC8"/>
            <w:spacing w:line="242" w:lineRule="exact"/>
            <w:jc w:val="both"/>
            <w:rPr>
              <w:rFonts w:ascii="Verdana" w:hAnsi="Verdana"/>
              <w:sz w:val="18"/>
              <w:szCs w:val="18"/>
            </w:rPr>
          </w:pPr>
          <w:hyperlink w:anchor="_bookmark132" w:history="1">
            <w:r w:rsidRPr="00EC75B7">
              <w:rPr>
                <w:rFonts w:ascii="Verdana" w:hAnsi="Verdana"/>
                <w:sz w:val="18"/>
                <w:szCs w:val="18"/>
              </w:rPr>
              <w:t xml:space="preserve">Description of the methodology used to assess the impact </w:t>
            </w:r>
            <w:r w:rsidRPr="00EC75B7">
              <w:rPr>
                <w:rFonts w:ascii="Verdana" w:hAnsi="Verdana"/>
                <w:spacing w:val="-2"/>
                <w:sz w:val="18"/>
                <w:szCs w:val="18"/>
              </w:rPr>
              <w:t>on</w:t>
            </w:r>
          </w:hyperlink>
        </w:p>
        <w:p w14:paraId="16C7B78E" w14:textId="77777777" w:rsidR="008715BE" w:rsidRPr="00EC75B7" w:rsidRDefault="008715BE" w:rsidP="00351101">
          <w:pPr>
            <w:pStyle w:val="TOC2"/>
            <w:tabs>
              <w:tab w:val="left" w:leader="dot" w:pos="10230"/>
            </w:tabs>
            <w:spacing w:line="243" w:lineRule="exact"/>
            <w:ind w:left="1053" w:firstLine="0"/>
            <w:jc w:val="both"/>
            <w:rPr>
              <w:rFonts w:ascii="Verdana" w:hAnsi="Verdana"/>
              <w:sz w:val="18"/>
              <w:szCs w:val="18"/>
            </w:rPr>
          </w:pPr>
          <w:hyperlink w:anchor="_bookmark132" w:history="1">
            <w:r w:rsidRPr="00EC75B7">
              <w:rPr>
                <w:rFonts w:ascii="Verdana" w:hAnsi="Verdana"/>
                <w:spacing w:val="-2"/>
                <w:sz w:val="18"/>
                <w:szCs w:val="18"/>
              </w:rPr>
              <w:t xml:space="preserve">climate </w:t>
            </w:r>
            <w:r w:rsidRPr="00EC75B7">
              <w:rPr>
                <w:rFonts w:ascii="Verdana" w:hAnsi="Verdana"/>
                <w:sz w:val="18"/>
                <w:szCs w:val="18"/>
              </w:rPr>
              <w:t>change</w:t>
            </w:r>
            <w:r w:rsidRPr="00EC75B7">
              <w:rPr>
                <w:rFonts w:ascii="Verdana" w:hAnsi="Verdana"/>
                <w:b w:val="0"/>
                <w:sz w:val="18"/>
                <w:szCs w:val="18"/>
              </w:rPr>
              <w:tab/>
            </w:r>
            <w:r w:rsidRPr="00EC75B7">
              <w:rPr>
                <w:rFonts w:ascii="Verdana" w:hAnsi="Verdana"/>
                <w:spacing w:val="-5"/>
                <w:sz w:val="18"/>
                <w:szCs w:val="18"/>
              </w:rPr>
              <w:t>281</w:t>
            </w:r>
          </w:hyperlink>
        </w:p>
        <w:p w14:paraId="06D97099" w14:textId="77777777" w:rsidR="008715BE" w:rsidRPr="00EC75B7" w:rsidRDefault="008715BE" w:rsidP="00351101">
          <w:pPr>
            <w:pStyle w:val="TOC2"/>
            <w:spacing w:line="243" w:lineRule="exact"/>
            <w:ind w:left="1053" w:firstLine="0"/>
            <w:jc w:val="both"/>
            <w:rPr>
              <w:rFonts w:ascii="Verdana" w:hAnsi="Verdana"/>
              <w:sz w:val="18"/>
              <w:szCs w:val="18"/>
            </w:rPr>
          </w:pPr>
          <w:hyperlink w:anchor="_bookmark133" w:history="1">
            <w:r w:rsidRPr="00EC75B7">
              <w:rPr>
                <w:rFonts w:ascii="Verdana" w:hAnsi="Verdana"/>
                <w:spacing w:val="-2"/>
                <w:sz w:val="18"/>
                <w:szCs w:val="18"/>
              </w:rPr>
              <w:t>VIII.3.</w:t>
            </w:r>
          </w:hyperlink>
        </w:p>
        <w:p w14:paraId="5EC13EEC" w14:textId="77777777" w:rsidR="008715BE" w:rsidRPr="00EC75B7" w:rsidRDefault="008715BE" w:rsidP="00351101">
          <w:pPr>
            <w:pStyle w:val="TOC8"/>
            <w:tabs>
              <w:tab w:val="left" w:leader="dot" w:pos="10230"/>
            </w:tabs>
            <w:ind w:left="1053" w:right="683" w:firstLine="719"/>
            <w:jc w:val="both"/>
            <w:rPr>
              <w:rFonts w:ascii="Verdana" w:hAnsi="Verdana"/>
              <w:sz w:val="18"/>
              <w:szCs w:val="18"/>
            </w:rPr>
          </w:pPr>
          <w:hyperlink w:anchor="_bookmark133" w:history="1">
            <w:r w:rsidRPr="00EC75B7">
              <w:rPr>
                <w:rFonts w:ascii="Verdana" w:hAnsi="Verdana"/>
                <w:sz w:val="18"/>
                <w:szCs w:val="18"/>
              </w:rPr>
              <w:t xml:space="preserve">Description of the methodology used to assess </w:t>
            </w:r>
          </w:hyperlink>
          <w:hyperlink w:anchor="_bookmark133" w:history="1">
            <w:r w:rsidRPr="00EC75B7">
              <w:rPr>
                <w:rFonts w:ascii="Verdana" w:hAnsi="Verdana"/>
                <w:sz w:val="18"/>
                <w:szCs w:val="18"/>
              </w:rPr>
              <w:t>the impact on protected natural areas</w:t>
            </w:r>
            <w:r w:rsidRPr="00EC75B7">
              <w:rPr>
                <w:rFonts w:ascii="Verdana" w:hAnsi="Verdana"/>
                <w:sz w:val="18"/>
                <w:szCs w:val="18"/>
              </w:rPr>
              <w:tab/>
            </w:r>
            <w:r w:rsidRPr="00EC75B7">
              <w:rPr>
                <w:rFonts w:ascii="Verdana" w:hAnsi="Verdana"/>
                <w:spacing w:val="-4"/>
                <w:sz w:val="18"/>
                <w:szCs w:val="18"/>
              </w:rPr>
              <w:t>292</w:t>
            </w:r>
          </w:hyperlink>
        </w:p>
        <w:p w14:paraId="3697DD6B" w14:textId="77777777" w:rsidR="008715BE" w:rsidRPr="00EC75B7" w:rsidRDefault="008715BE">
          <w:pPr>
            <w:pStyle w:val="TOC1"/>
            <w:numPr>
              <w:ilvl w:val="0"/>
              <w:numId w:val="119"/>
            </w:numPr>
            <w:tabs>
              <w:tab w:val="left" w:pos="1412"/>
            </w:tabs>
            <w:spacing w:line="265" w:lineRule="exact"/>
            <w:ind w:left="1412" w:hanging="539"/>
            <w:jc w:val="both"/>
            <w:rPr>
              <w:rFonts w:ascii="Verdana" w:hAnsi="Verdana"/>
              <w:sz w:val="18"/>
              <w:szCs w:val="18"/>
            </w:rPr>
          </w:pPr>
          <w:hyperlink w:anchor="_bookmark134" w:history="1">
            <w:r w:rsidRPr="00EC75B7">
              <w:rPr>
                <w:rFonts w:ascii="Verdana" w:hAnsi="Verdana"/>
                <w:color w:val="009DEF"/>
                <w:sz w:val="18"/>
                <w:szCs w:val="18"/>
              </w:rPr>
              <w:t xml:space="preserve">MEASURES TO AVOID AND REDUCE IMPACT AND MONITORING </w:t>
            </w:r>
            <w:r w:rsidRPr="00EC75B7">
              <w:rPr>
                <w:rFonts w:ascii="Verdana" w:hAnsi="Verdana"/>
                <w:color w:val="009DEF"/>
                <w:spacing w:val="-10"/>
                <w:sz w:val="18"/>
                <w:szCs w:val="18"/>
              </w:rPr>
              <w:t>–</w:t>
            </w:r>
          </w:hyperlink>
        </w:p>
        <w:p w14:paraId="7B162B1B" w14:textId="77777777" w:rsidR="008715BE" w:rsidRPr="00EC75B7" w:rsidRDefault="008715BE" w:rsidP="00351101">
          <w:pPr>
            <w:pStyle w:val="TOC1"/>
            <w:spacing w:after="161" w:line="237" w:lineRule="auto"/>
            <w:ind w:right="5614"/>
            <w:jc w:val="both"/>
            <w:rPr>
              <w:rFonts w:ascii="Verdana" w:hAnsi="Verdana"/>
              <w:sz w:val="18"/>
              <w:szCs w:val="18"/>
            </w:rPr>
          </w:pPr>
          <w:hyperlink w:anchor="_bookmark134" w:history="1">
            <w:r w:rsidRPr="00EC75B7">
              <w:rPr>
                <w:rFonts w:ascii="Verdana" w:hAnsi="Verdana"/>
                <w:color w:val="009DEF"/>
                <w:sz w:val="18"/>
                <w:szCs w:val="18"/>
              </w:rPr>
              <w:t>each responsible for which factor</w:t>
            </w:r>
          </w:hyperlink>
          <w:hyperlink w:anchor="_bookmark134" w:history="1">
            <w:r w:rsidRPr="00EC75B7">
              <w:rPr>
                <w:rFonts w:ascii="Verdana" w:hAnsi="Verdana"/>
                <w:color w:val="009DEF"/>
                <w:spacing w:val="-4"/>
                <w:sz w:val="18"/>
                <w:szCs w:val="18"/>
              </w:rPr>
              <w:t xml:space="preserve"> 298</w:t>
            </w:r>
          </w:hyperlink>
        </w:p>
        <w:p w14:paraId="1C80B7D3" w14:textId="77777777" w:rsidR="008715BE" w:rsidRPr="00EC75B7" w:rsidRDefault="008715BE">
          <w:pPr>
            <w:pStyle w:val="TOC2"/>
            <w:numPr>
              <w:ilvl w:val="1"/>
              <w:numId w:val="119"/>
            </w:numPr>
            <w:tabs>
              <w:tab w:val="left" w:pos="1771"/>
              <w:tab w:val="right" w:leader="dot" w:pos="10655"/>
            </w:tabs>
            <w:spacing w:before="411" w:line="243" w:lineRule="exact"/>
            <w:ind w:left="1771" w:hanging="718"/>
            <w:rPr>
              <w:rFonts w:ascii="Verdana" w:hAnsi="Verdana"/>
              <w:sz w:val="18"/>
              <w:szCs w:val="18"/>
            </w:rPr>
          </w:pPr>
          <w:hyperlink w:anchor="_bookmark135" w:history="1">
            <w:r w:rsidRPr="00EC75B7">
              <w:rPr>
                <w:rFonts w:ascii="Verdana" w:hAnsi="Verdana"/>
                <w:sz w:val="18"/>
                <w:szCs w:val="18"/>
              </w:rPr>
              <w:t xml:space="preserve">Measures to avoid and reduce significant </w:t>
            </w:r>
            <w:r w:rsidRPr="00EC75B7">
              <w:rPr>
                <w:rFonts w:ascii="Verdana" w:hAnsi="Verdana"/>
                <w:spacing w:val="-2"/>
                <w:sz w:val="18"/>
                <w:szCs w:val="18"/>
              </w:rPr>
              <w:t xml:space="preserve">environmental </w:t>
            </w:r>
            <w:r w:rsidRPr="00EC75B7">
              <w:rPr>
                <w:rFonts w:ascii="Verdana" w:hAnsi="Verdana"/>
                <w:sz w:val="18"/>
                <w:szCs w:val="18"/>
              </w:rPr>
              <w:t>impact</w:t>
            </w:r>
            <w:r w:rsidRPr="00EC75B7">
              <w:rPr>
                <w:rFonts w:ascii="Verdana" w:hAnsi="Verdana"/>
                <w:b w:val="0"/>
                <w:sz w:val="18"/>
                <w:szCs w:val="18"/>
              </w:rPr>
              <w:tab/>
            </w:r>
            <w:r w:rsidRPr="00EC75B7">
              <w:rPr>
                <w:rFonts w:ascii="Verdana" w:hAnsi="Verdana"/>
                <w:spacing w:val="-5"/>
                <w:sz w:val="18"/>
                <w:szCs w:val="18"/>
              </w:rPr>
              <w:t>298</w:t>
            </w:r>
          </w:hyperlink>
        </w:p>
        <w:p w14:paraId="1118EDCD" w14:textId="77777777" w:rsidR="008715BE" w:rsidRPr="00EC75B7" w:rsidRDefault="008715BE">
          <w:pPr>
            <w:pStyle w:val="TOC2"/>
            <w:numPr>
              <w:ilvl w:val="1"/>
              <w:numId w:val="119"/>
            </w:numPr>
            <w:tabs>
              <w:tab w:val="left" w:pos="1771"/>
              <w:tab w:val="right" w:leader="dot" w:pos="10655"/>
            </w:tabs>
            <w:spacing w:line="243" w:lineRule="exact"/>
            <w:ind w:left="1771" w:hanging="718"/>
            <w:rPr>
              <w:rFonts w:ascii="Verdana" w:hAnsi="Verdana"/>
              <w:sz w:val="18"/>
              <w:szCs w:val="18"/>
            </w:rPr>
          </w:pPr>
          <w:hyperlink w:anchor="_bookmark136" w:history="1">
            <w:r w:rsidRPr="00EC75B7">
              <w:rPr>
                <w:rFonts w:ascii="Verdana" w:hAnsi="Verdana"/>
                <w:spacing w:val="-2"/>
                <w:sz w:val="18"/>
                <w:szCs w:val="18"/>
              </w:rPr>
              <w:t>Monitoring</w:t>
            </w:r>
            <w:r w:rsidRPr="00EC75B7">
              <w:rPr>
                <w:rFonts w:ascii="Verdana" w:hAnsi="Verdana"/>
                <w:sz w:val="18"/>
                <w:szCs w:val="18"/>
              </w:rPr>
              <w:tab/>
            </w:r>
            <w:r w:rsidRPr="00EC75B7">
              <w:rPr>
                <w:rFonts w:ascii="Verdana" w:hAnsi="Verdana"/>
                <w:spacing w:val="-5"/>
                <w:sz w:val="18"/>
                <w:szCs w:val="18"/>
              </w:rPr>
              <w:t>299</w:t>
            </w:r>
          </w:hyperlink>
        </w:p>
        <w:p w14:paraId="04678447" w14:textId="77777777" w:rsidR="008715BE" w:rsidRPr="00EC75B7" w:rsidRDefault="008715BE">
          <w:pPr>
            <w:pStyle w:val="TOC1"/>
            <w:numPr>
              <w:ilvl w:val="0"/>
              <w:numId w:val="119"/>
            </w:numPr>
            <w:tabs>
              <w:tab w:val="left" w:pos="1413"/>
            </w:tabs>
            <w:spacing w:before="3" w:line="237" w:lineRule="auto"/>
            <w:ind w:right="7667"/>
            <w:rPr>
              <w:rFonts w:ascii="Verdana" w:hAnsi="Verdana"/>
              <w:sz w:val="18"/>
              <w:szCs w:val="18"/>
            </w:rPr>
          </w:pPr>
          <w:hyperlink w:anchor="_bookmark137" w:history="1">
            <w:r w:rsidRPr="00EC75B7">
              <w:rPr>
                <w:rFonts w:ascii="Verdana" w:hAnsi="Verdana"/>
                <w:color w:val="009DEF"/>
                <w:sz w:val="18"/>
                <w:szCs w:val="18"/>
              </w:rPr>
              <w:t>RISK SITUATIONS</w:t>
            </w:r>
          </w:hyperlink>
          <w:hyperlink w:anchor="_bookmark137" w:history="1">
            <w:r w:rsidRPr="00EC75B7">
              <w:rPr>
                <w:rFonts w:ascii="Verdana" w:hAnsi="Verdana"/>
                <w:color w:val="009DEF"/>
                <w:spacing w:val="-4"/>
                <w:sz w:val="18"/>
                <w:szCs w:val="18"/>
              </w:rPr>
              <w:t xml:space="preserve"> 306</w:t>
            </w:r>
          </w:hyperlink>
        </w:p>
        <w:p w14:paraId="124A511E" w14:textId="77777777" w:rsidR="008715BE" w:rsidRPr="00EC75B7" w:rsidRDefault="008715BE">
          <w:pPr>
            <w:pStyle w:val="TOC2"/>
            <w:numPr>
              <w:ilvl w:val="1"/>
              <w:numId w:val="119"/>
            </w:numPr>
            <w:tabs>
              <w:tab w:val="left" w:pos="1773"/>
              <w:tab w:val="right" w:leader="dot" w:pos="10655"/>
            </w:tabs>
            <w:spacing w:line="243" w:lineRule="exact"/>
            <w:rPr>
              <w:rFonts w:ascii="Verdana" w:hAnsi="Verdana"/>
              <w:sz w:val="18"/>
              <w:szCs w:val="18"/>
            </w:rPr>
          </w:pPr>
          <w:hyperlink w:anchor="_bookmark138" w:history="1">
            <w:r w:rsidRPr="00EC75B7">
              <w:rPr>
                <w:rFonts w:ascii="Verdana" w:hAnsi="Verdana"/>
                <w:spacing w:val="-2"/>
                <w:sz w:val="18"/>
                <w:szCs w:val="18"/>
              </w:rPr>
              <w:t>Introduction</w:t>
            </w:r>
            <w:r w:rsidRPr="00EC75B7">
              <w:rPr>
                <w:rFonts w:ascii="Verdana" w:hAnsi="Verdana"/>
                <w:sz w:val="18"/>
                <w:szCs w:val="18"/>
              </w:rPr>
              <w:tab/>
            </w:r>
            <w:r w:rsidRPr="00EC75B7">
              <w:rPr>
                <w:rFonts w:ascii="Verdana" w:hAnsi="Verdana"/>
                <w:spacing w:val="-5"/>
                <w:sz w:val="18"/>
                <w:szCs w:val="18"/>
              </w:rPr>
              <w:t>306</w:t>
            </w:r>
          </w:hyperlink>
        </w:p>
        <w:p w14:paraId="48169DA7" w14:textId="77777777" w:rsidR="008715BE" w:rsidRPr="00EC75B7" w:rsidRDefault="008715BE">
          <w:pPr>
            <w:pStyle w:val="TOC2"/>
            <w:numPr>
              <w:ilvl w:val="1"/>
              <w:numId w:val="119"/>
            </w:numPr>
            <w:tabs>
              <w:tab w:val="left" w:pos="1773"/>
              <w:tab w:val="right" w:leader="dot" w:pos="10655"/>
            </w:tabs>
            <w:spacing w:before="1"/>
            <w:rPr>
              <w:rFonts w:ascii="Verdana" w:hAnsi="Verdana"/>
              <w:sz w:val="18"/>
              <w:szCs w:val="18"/>
            </w:rPr>
          </w:pPr>
          <w:hyperlink w:anchor="_bookmark139" w:history="1">
            <w:r w:rsidRPr="00EC75B7">
              <w:rPr>
                <w:rFonts w:ascii="Verdana" w:hAnsi="Verdana"/>
                <w:sz w:val="18"/>
                <w:szCs w:val="18"/>
              </w:rPr>
              <w:t xml:space="preserve">Compliance with </w:t>
            </w:r>
            <w:r w:rsidRPr="00EC75B7">
              <w:rPr>
                <w:rFonts w:ascii="Verdana" w:hAnsi="Verdana"/>
                <w:spacing w:val="-2"/>
                <w:sz w:val="18"/>
                <w:szCs w:val="18"/>
              </w:rPr>
              <w:t xml:space="preserve">safety </w:t>
            </w:r>
            <w:r w:rsidRPr="00EC75B7">
              <w:rPr>
                <w:rFonts w:ascii="Verdana" w:hAnsi="Verdana"/>
                <w:sz w:val="18"/>
                <w:szCs w:val="18"/>
              </w:rPr>
              <w:t>distances</w:t>
            </w:r>
            <w:r w:rsidRPr="00EC75B7">
              <w:rPr>
                <w:rFonts w:ascii="Verdana" w:hAnsi="Verdana"/>
                <w:b w:val="0"/>
                <w:sz w:val="18"/>
                <w:szCs w:val="18"/>
              </w:rPr>
              <w:tab/>
            </w:r>
            <w:r w:rsidRPr="00EC75B7">
              <w:rPr>
                <w:rFonts w:ascii="Verdana" w:hAnsi="Verdana"/>
                <w:spacing w:val="-5"/>
                <w:sz w:val="18"/>
                <w:szCs w:val="18"/>
              </w:rPr>
              <w:t>306</w:t>
            </w:r>
          </w:hyperlink>
        </w:p>
        <w:p w14:paraId="26AADA86" w14:textId="77777777" w:rsidR="008715BE" w:rsidRPr="00EC75B7" w:rsidRDefault="008715BE">
          <w:pPr>
            <w:pStyle w:val="TOC3"/>
            <w:numPr>
              <w:ilvl w:val="2"/>
              <w:numId w:val="119"/>
            </w:numPr>
            <w:tabs>
              <w:tab w:val="left" w:pos="1951"/>
            </w:tabs>
            <w:spacing w:before="37"/>
            <w:ind w:left="1951" w:hanging="718"/>
            <w:rPr>
              <w:rFonts w:ascii="Verdana" w:hAnsi="Verdana"/>
              <w:b w:val="0"/>
            </w:rPr>
          </w:pPr>
          <w:hyperlink w:anchor="_bookmark140" w:history="1">
            <w:r w:rsidRPr="00EC75B7">
              <w:rPr>
                <w:rFonts w:ascii="Verdana" w:hAnsi="Verdana"/>
              </w:rPr>
              <w:t xml:space="preserve">Safety distance from public roads of national or county interest </w:t>
            </w:r>
            <w:r w:rsidRPr="00EC75B7">
              <w:rPr>
                <w:rFonts w:ascii="Verdana" w:hAnsi="Verdana"/>
                <w:b w:val="0"/>
                <w:spacing w:val="-4"/>
              </w:rPr>
              <w:t>.309</w:t>
            </w:r>
          </w:hyperlink>
        </w:p>
        <w:p w14:paraId="038E0BC5" w14:textId="77777777" w:rsidR="008715BE" w:rsidRPr="00EC75B7" w:rsidRDefault="008715BE">
          <w:pPr>
            <w:pStyle w:val="TOC3"/>
            <w:numPr>
              <w:ilvl w:val="2"/>
              <w:numId w:val="119"/>
            </w:numPr>
            <w:tabs>
              <w:tab w:val="left" w:pos="1951"/>
              <w:tab w:val="right" w:leader="dot" w:pos="10576"/>
            </w:tabs>
            <w:ind w:left="1951" w:hanging="718"/>
            <w:rPr>
              <w:rFonts w:ascii="Verdana" w:hAnsi="Verdana"/>
              <w:b w:val="0"/>
            </w:rPr>
          </w:pPr>
          <w:hyperlink w:anchor="_bookmark141" w:history="1">
            <w:r w:rsidRPr="00EC75B7">
              <w:rPr>
                <w:rFonts w:ascii="Verdana" w:hAnsi="Verdana"/>
              </w:rPr>
              <w:t xml:space="preserve">Safety distance from municipal or </w:t>
            </w:r>
            <w:r w:rsidRPr="00EC75B7">
              <w:rPr>
                <w:rFonts w:ascii="Verdana" w:hAnsi="Verdana"/>
                <w:spacing w:val="-2"/>
              </w:rPr>
              <w:t xml:space="preserve">local </w:t>
            </w:r>
            <w:r w:rsidRPr="00EC75B7">
              <w:rPr>
                <w:rFonts w:ascii="Verdana" w:hAnsi="Verdana"/>
              </w:rPr>
              <w:t>public roads</w:t>
            </w:r>
            <w:r w:rsidRPr="00EC75B7">
              <w:rPr>
                <w:rFonts w:ascii="Verdana" w:hAnsi="Verdana"/>
                <w:b w:val="0"/>
                <w:i w:val="0"/>
              </w:rPr>
              <w:tab/>
            </w:r>
            <w:r w:rsidRPr="00EC75B7">
              <w:rPr>
                <w:rFonts w:ascii="Verdana" w:hAnsi="Verdana"/>
                <w:b w:val="0"/>
                <w:spacing w:val="-5"/>
              </w:rPr>
              <w:t>309</w:t>
            </w:r>
          </w:hyperlink>
        </w:p>
        <w:p w14:paraId="7B6623CF" w14:textId="77777777" w:rsidR="008715BE" w:rsidRPr="00EC75B7" w:rsidRDefault="008715BE">
          <w:pPr>
            <w:pStyle w:val="TOC3"/>
            <w:numPr>
              <w:ilvl w:val="2"/>
              <w:numId w:val="119"/>
            </w:numPr>
            <w:tabs>
              <w:tab w:val="left" w:pos="1951"/>
              <w:tab w:val="right" w:leader="dot" w:pos="10576"/>
            </w:tabs>
            <w:spacing w:before="42"/>
            <w:ind w:left="1951" w:hanging="718"/>
            <w:rPr>
              <w:rFonts w:ascii="Verdana" w:hAnsi="Verdana"/>
              <w:b w:val="0"/>
            </w:rPr>
          </w:pPr>
          <w:hyperlink w:anchor="_bookmark142" w:history="1">
            <w:r w:rsidRPr="00EC75B7">
              <w:rPr>
                <w:rFonts w:ascii="Verdana" w:hAnsi="Verdana"/>
              </w:rPr>
              <w:t xml:space="preserve">Safety distance from </w:t>
            </w:r>
            <w:r w:rsidRPr="00EC75B7">
              <w:rPr>
                <w:rFonts w:ascii="Verdana" w:hAnsi="Verdana"/>
                <w:spacing w:val="-2"/>
              </w:rPr>
              <w:t>railways</w:t>
            </w:r>
            <w:r w:rsidRPr="00EC75B7">
              <w:rPr>
                <w:rFonts w:ascii="Verdana" w:hAnsi="Verdana"/>
                <w:b w:val="0"/>
                <w:i w:val="0"/>
              </w:rPr>
              <w:tab/>
            </w:r>
            <w:r w:rsidRPr="00EC75B7">
              <w:rPr>
                <w:rFonts w:ascii="Verdana" w:hAnsi="Verdana"/>
                <w:b w:val="0"/>
                <w:spacing w:val="-5"/>
              </w:rPr>
              <w:t>309</w:t>
            </w:r>
          </w:hyperlink>
        </w:p>
        <w:p w14:paraId="1878B297" w14:textId="77777777" w:rsidR="008715BE" w:rsidRPr="00EC75B7" w:rsidRDefault="008715BE">
          <w:pPr>
            <w:pStyle w:val="TOC3"/>
            <w:numPr>
              <w:ilvl w:val="2"/>
              <w:numId w:val="119"/>
            </w:numPr>
            <w:tabs>
              <w:tab w:val="left" w:pos="1951"/>
            </w:tabs>
            <w:spacing w:before="42"/>
            <w:ind w:left="1951" w:hanging="718"/>
            <w:rPr>
              <w:rFonts w:ascii="Verdana" w:hAnsi="Verdana"/>
            </w:rPr>
          </w:pPr>
          <w:hyperlink w:anchor="_bookmark143" w:history="1">
            <w:r w:rsidRPr="00EC75B7">
              <w:rPr>
                <w:rFonts w:ascii="Verdana" w:hAnsi="Verdana"/>
              </w:rPr>
              <w:t xml:space="preserve">Safety distance from overhead power lines (LEA) and </w:t>
            </w:r>
            <w:r w:rsidRPr="00EC75B7">
              <w:rPr>
                <w:rFonts w:ascii="Verdana" w:hAnsi="Verdana"/>
                <w:spacing w:val="-2"/>
              </w:rPr>
              <w:t xml:space="preserve">telecommunications </w:t>
            </w:r>
            <w:r w:rsidRPr="00EC75B7">
              <w:rPr>
                <w:rFonts w:ascii="Verdana" w:hAnsi="Verdana"/>
              </w:rPr>
              <w:t>lines</w:t>
            </w:r>
          </w:hyperlink>
        </w:p>
        <w:p w14:paraId="6967FE07" w14:textId="77777777" w:rsidR="008715BE" w:rsidRPr="00EC75B7" w:rsidRDefault="008715BE">
          <w:pPr>
            <w:pStyle w:val="TOC9"/>
            <w:rPr>
              <w:rFonts w:ascii="Verdana" w:hAnsi="Verdana"/>
            </w:rPr>
          </w:pPr>
          <w:hyperlink w:anchor="_bookmark143" w:history="1">
            <w:r w:rsidRPr="00EC75B7">
              <w:rPr>
                <w:rFonts w:ascii="Verdana" w:hAnsi="Verdana"/>
                <w:spacing w:val="-5"/>
              </w:rPr>
              <w:t>309</w:t>
            </w:r>
          </w:hyperlink>
        </w:p>
        <w:p w14:paraId="55895511" w14:textId="77777777" w:rsidR="008715BE" w:rsidRPr="00EC75B7" w:rsidRDefault="008715BE">
          <w:pPr>
            <w:pStyle w:val="TOC3"/>
            <w:numPr>
              <w:ilvl w:val="2"/>
              <w:numId w:val="119"/>
            </w:numPr>
            <w:tabs>
              <w:tab w:val="left" w:pos="1951"/>
              <w:tab w:val="right" w:leader="dot" w:pos="10576"/>
            </w:tabs>
            <w:spacing w:before="41"/>
            <w:ind w:left="1951" w:hanging="718"/>
            <w:rPr>
              <w:rFonts w:ascii="Verdana" w:hAnsi="Verdana"/>
              <w:b w:val="0"/>
            </w:rPr>
          </w:pPr>
          <w:hyperlink w:anchor="_bookmark144" w:history="1">
            <w:r w:rsidRPr="00EC75B7">
              <w:rPr>
                <w:rFonts w:ascii="Verdana" w:hAnsi="Verdana"/>
              </w:rPr>
              <w:t xml:space="preserve">Safety distance from </w:t>
            </w:r>
            <w:r w:rsidRPr="00EC75B7">
              <w:rPr>
                <w:rFonts w:ascii="Verdana" w:hAnsi="Verdana"/>
                <w:spacing w:val="-2"/>
              </w:rPr>
              <w:t>bridges</w:t>
            </w:r>
            <w:r w:rsidRPr="00EC75B7">
              <w:rPr>
                <w:rFonts w:ascii="Verdana" w:hAnsi="Verdana"/>
                <w:b w:val="0"/>
                <w:i w:val="0"/>
              </w:rPr>
              <w:tab/>
            </w:r>
            <w:r w:rsidRPr="00EC75B7">
              <w:rPr>
                <w:rFonts w:ascii="Verdana" w:hAnsi="Verdana"/>
                <w:b w:val="0"/>
                <w:spacing w:val="-5"/>
              </w:rPr>
              <w:t>309</w:t>
            </w:r>
          </w:hyperlink>
        </w:p>
        <w:p w14:paraId="1091570D" w14:textId="77777777" w:rsidR="008715BE" w:rsidRPr="00EC75B7" w:rsidRDefault="008715BE">
          <w:pPr>
            <w:pStyle w:val="TOC3"/>
            <w:numPr>
              <w:ilvl w:val="2"/>
              <w:numId w:val="119"/>
            </w:numPr>
            <w:tabs>
              <w:tab w:val="left" w:pos="1951"/>
              <w:tab w:val="right" w:leader="dot" w:pos="10576"/>
            </w:tabs>
            <w:spacing w:before="40"/>
            <w:ind w:left="1951" w:hanging="718"/>
            <w:rPr>
              <w:rFonts w:ascii="Verdana" w:hAnsi="Verdana"/>
              <w:b w:val="0"/>
            </w:rPr>
          </w:pPr>
          <w:hyperlink w:anchor="_bookmark145" w:history="1">
            <w:r w:rsidRPr="00EC75B7">
              <w:rPr>
                <w:rFonts w:ascii="Verdana" w:hAnsi="Verdana"/>
              </w:rPr>
              <w:t xml:space="preserve">Safety distance from </w:t>
            </w:r>
            <w:r w:rsidRPr="00EC75B7">
              <w:rPr>
                <w:rFonts w:ascii="Verdana" w:hAnsi="Verdana"/>
                <w:spacing w:val="-2"/>
              </w:rPr>
              <w:t>dams</w:t>
            </w:r>
            <w:r w:rsidRPr="00EC75B7">
              <w:rPr>
                <w:rFonts w:ascii="Verdana" w:hAnsi="Verdana"/>
                <w:b w:val="0"/>
                <w:i w:val="0"/>
              </w:rPr>
              <w:tab/>
            </w:r>
            <w:r w:rsidRPr="00EC75B7">
              <w:rPr>
                <w:rFonts w:ascii="Verdana" w:hAnsi="Verdana"/>
                <w:b w:val="0"/>
                <w:spacing w:val="-5"/>
              </w:rPr>
              <w:t>310</w:t>
            </w:r>
          </w:hyperlink>
        </w:p>
        <w:p w14:paraId="32C55A73" w14:textId="77777777" w:rsidR="008715BE" w:rsidRPr="00EC75B7" w:rsidRDefault="008715BE">
          <w:pPr>
            <w:pStyle w:val="TOC3"/>
            <w:numPr>
              <w:ilvl w:val="2"/>
              <w:numId w:val="119"/>
            </w:numPr>
            <w:tabs>
              <w:tab w:val="left" w:pos="1951"/>
              <w:tab w:val="right" w:leader="dot" w:pos="10576"/>
            </w:tabs>
            <w:ind w:left="1951" w:hanging="718"/>
            <w:rPr>
              <w:rFonts w:ascii="Verdana" w:hAnsi="Verdana"/>
              <w:b w:val="0"/>
            </w:rPr>
          </w:pPr>
          <w:hyperlink w:anchor="_bookmark146" w:history="1">
            <w:r w:rsidRPr="00EC75B7">
              <w:rPr>
                <w:rFonts w:ascii="Verdana" w:hAnsi="Verdana"/>
              </w:rPr>
              <w:t xml:space="preserve">Safety distance from </w:t>
            </w:r>
            <w:r w:rsidRPr="00EC75B7">
              <w:rPr>
                <w:rFonts w:ascii="Verdana" w:hAnsi="Verdana"/>
                <w:spacing w:val="-2"/>
              </w:rPr>
              <w:t xml:space="preserve">residential </w:t>
            </w:r>
            <w:r w:rsidRPr="00EC75B7">
              <w:rPr>
                <w:rFonts w:ascii="Verdana" w:hAnsi="Verdana"/>
              </w:rPr>
              <w:t>buildings</w:t>
            </w:r>
            <w:r w:rsidRPr="00EC75B7">
              <w:rPr>
                <w:rFonts w:ascii="Verdana" w:hAnsi="Verdana"/>
                <w:b w:val="0"/>
                <w:i w:val="0"/>
              </w:rPr>
              <w:tab/>
            </w:r>
            <w:r w:rsidRPr="00EC75B7">
              <w:rPr>
                <w:rFonts w:ascii="Verdana" w:hAnsi="Verdana"/>
                <w:b w:val="0"/>
                <w:spacing w:val="-5"/>
              </w:rPr>
              <w:t>310</w:t>
            </w:r>
          </w:hyperlink>
        </w:p>
        <w:p w14:paraId="582BC79D" w14:textId="77777777" w:rsidR="008715BE" w:rsidRPr="00EC75B7" w:rsidRDefault="008715BE">
          <w:pPr>
            <w:pStyle w:val="TOC2"/>
            <w:numPr>
              <w:ilvl w:val="1"/>
              <w:numId w:val="119"/>
            </w:numPr>
            <w:tabs>
              <w:tab w:val="left" w:pos="1773"/>
              <w:tab w:val="right" w:leader="dot" w:pos="10655"/>
            </w:tabs>
            <w:spacing w:before="4"/>
            <w:rPr>
              <w:rFonts w:ascii="Verdana" w:hAnsi="Verdana"/>
              <w:sz w:val="18"/>
              <w:szCs w:val="18"/>
            </w:rPr>
          </w:pPr>
          <w:hyperlink w:anchor="_bookmark147" w:history="1">
            <w:r w:rsidRPr="00EC75B7">
              <w:rPr>
                <w:rFonts w:ascii="Verdana" w:hAnsi="Verdana"/>
                <w:sz w:val="18"/>
                <w:szCs w:val="18"/>
              </w:rPr>
              <w:t xml:space="preserve">Other </w:t>
            </w:r>
            <w:r w:rsidRPr="00EC75B7">
              <w:rPr>
                <w:rFonts w:ascii="Verdana" w:hAnsi="Verdana"/>
                <w:spacing w:val="-2"/>
                <w:sz w:val="18"/>
                <w:szCs w:val="18"/>
              </w:rPr>
              <w:t>risks</w:t>
            </w:r>
            <w:r w:rsidRPr="00EC75B7">
              <w:rPr>
                <w:rFonts w:ascii="Verdana" w:hAnsi="Verdana"/>
                <w:sz w:val="18"/>
                <w:szCs w:val="18"/>
              </w:rPr>
              <w:tab/>
            </w:r>
            <w:r w:rsidRPr="00EC75B7">
              <w:rPr>
                <w:rFonts w:ascii="Verdana" w:hAnsi="Verdana"/>
                <w:spacing w:val="-5"/>
                <w:sz w:val="18"/>
                <w:szCs w:val="18"/>
              </w:rPr>
              <w:t>310</w:t>
            </w:r>
          </w:hyperlink>
        </w:p>
        <w:p w14:paraId="2295CA13" w14:textId="77777777" w:rsidR="008715BE" w:rsidRPr="00EC75B7" w:rsidRDefault="008715BE">
          <w:pPr>
            <w:pStyle w:val="TOC3"/>
            <w:numPr>
              <w:ilvl w:val="2"/>
              <w:numId w:val="119"/>
            </w:numPr>
            <w:tabs>
              <w:tab w:val="left" w:pos="1951"/>
              <w:tab w:val="right" w:leader="dot" w:pos="10576"/>
            </w:tabs>
            <w:spacing w:before="37"/>
            <w:ind w:left="1951" w:hanging="718"/>
            <w:rPr>
              <w:rFonts w:ascii="Verdana" w:hAnsi="Verdana"/>
              <w:b w:val="0"/>
            </w:rPr>
          </w:pPr>
          <w:hyperlink w:anchor="_bookmark148" w:history="1">
            <w:r w:rsidRPr="00EC75B7">
              <w:rPr>
                <w:rFonts w:ascii="Verdana" w:hAnsi="Verdana"/>
                <w:spacing w:val="-2"/>
              </w:rPr>
              <w:t xml:space="preserve">Seismic </w:t>
            </w:r>
            <w:r w:rsidRPr="00EC75B7">
              <w:rPr>
                <w:rFonts w:ascii="Verdana" w:hAnsi="Verdana"/>
              </w:rPr>
              <w:t>risk</w:t>
            </w:r>
            <w:r w:rsidRPr="00EC75B7">
              <w:rPr>
                <w:rFonts w:ascii="Verdana" w:hAnsi="Verdana"/>
              </w:rPr>
              <w:tab/>
            </w:r>
            <w:r w:rsidRPr="00EC75B7">
              <w:rPr>
                <w:rFonts w:ascii="Verdana" w:hAnsi="Verdana"/>
                <w:b w:val="0"/>
                <w:spacing w:val="-5"/>
              </w:rPr>
              <w:t>310</w:t>
            </w:r>
          </w:hyperlink>
        </w:p>
        <w:p w14:paraId="6775EDED" w14:textId="77777777" w:rsidR="008715BE" w:rsidRPr="00EC75B7" w:rsidRDefault="008715BE">
          <w:pPr>
            <w:pStyle w:val="TOC3"/>
            <w:numPr>
              <w:ilvl w:val="2"/>
              <w:numId w:val="119"/>
            </w:numPr>
            <w:tabs>
              <w:tab w:val="left" w:pos="1951"/>
              <w:tab w:val="right" w:leader="dot" w:pos="10576"/>
            </w:tabs>
            <w:spacing w:before="40"/>
            <w:ind w:left="1951" w:hanging="718"/>
            <w:rPr>
              <w:rFonts w:ascii="Verdana" w:hAnsi="Verdana"/>
              <w:b w:val="0"/>
            </w:rPr>
          </w:pPr>
          <w:hyperlink w:anchor="_bookmark149" w:history="1">
            <w:r w:rsidRPr="00EC75B7">
              <w:rPr>
                <w:rFonts w:ascii="Verdana" w:hAnsi="Verdana"/>
                <w:spacing w:val="-4"/>
              </w:rPr>
              <w:t xml:space="preserve">Landslide </w:t>
            </w:r>
            <w:r w:rsidRPr="00EC75B7">
              <w:rPr>
                <w:rFonts w:ascii="Verdana" w:hAnsi="Verdana"/>
              </w:rPr>
              <w:t>risk</w:t>
            </w:r>
            <w:r w:rsidRPr="00EC75B7">
              <w:rPr>
                <w:rFonts w:ascii="Verdana" w:hAnsi="Verdana"/>
                <w:b w:val="0"/>
                <w:i w:val="0"/>
              </w:rPr>
              <w:tab/>
            </w:r>
            <w:r w:rsidRPr="00EC75B7">
              <w:rPr>
                <w:rFonts w:ascii="Verdana" w:hAnsi="Verdana"/>
                <w:b w:val="0"/>
                <w:spacing w:val="-5"/>
              </w:rPr>
              <w:t>312</w:t>
            </w:r>
          </w:hyperlink>
        </w:p>
        <w:p w14:paraId="323591B0" w14:textId="77777777" w:rsidR="008715BE" w:rsidRPr="00EC75B7" w:rsidRDefault="008715BE">
          <w:pPr>
            <w:pStyle w:val="TOC3"/>
            <w:numPr>
              <w:ilvl w:val="2"/>
              <w:numId w:val="119"/>
            </w:numPr>
            <w:tabs>
              <w:tab w:val="left" w:pos="1951"/>
              <w:tab w:val="right" w:leader="dot" w:pos="10576"/>
            </w:tabs>
            <w:spacing w:before="41"/>
            <w:ind w:left="1951" w:hanging="718"/>
            <w:rPr>
              <w:rFonts w:ascii="Verdana" w:hAnsi="Verdana"/>
              <w:b w:val="0"/>
            </w:rPr>
          </w:pPr>
          <w:hyperlink w:anchor="_bookmark150" w:history="1">
            <w:r w:rsidRPr="00EC75B7">
              <w:rPr>
                <w:rFonts w:ascii="Verdana" w:hAnsi="Verdana"/>
                <w:spacing w:val="-2"/>
              </w:rPr>
              <w:t xml:space="preserve">Lightning </w:t>
            </w:r>
            <w:r w:rsidRPr="00EC75B7">
              <w:rPr>
                <w:rFonts w:ascii="Verdana" w:hAnsi="Verdana"/>
              </w:rPr>
              <w:t>risk</w:t>
            </w:r>
            <w:r w:rsidRPr="00EC75B7">
              <w:rPr>
                <w:rFonts w:ascii="Verdana" w:hAnsi="Verdana"/>
              </w:rPr>
              <w:tab/>
            </w:r>
            <w:r w:rsidRPr="00EC75B7">
              <w:rPr>
                <w:rFonts w:ascii="Verdana" w:hAnsi="Verdana"/>
                <w:b w:val="0"/>
                <w:spacing w:val="-5"/>
              </w:rPr>
              <w:t>312</w:t>
            </w:r>
          </w:hyperlink>
        </w:p>
        <w:p w14:paraId="4C22D8B1" w14:textId="77777777" w:rsidR="008715BE" w:rsidRPr="00EC75B7" w:rsidRDefault="008715BE">
          <w:pPr>
            <w:pStyle w:val="TOC3"/>
            <w:numPr>
              <w:ilvl w:val="2"/>
              <w:numId w:val="119"/>
            </w:numPr>
            <w:tabs>
              <w:tab w:val="left" w:pos="1951"/>
              <w:tab w:val="right" w:leader="dot" w:pos="10576"/>
            </w:tabs>
            <w:spacing w:before="40"/>
            <w:ind w:left="1951" w:hanging="718"/>
            <w:rPr>
              <w:rFonts w:ascii="Verdana" w:hAnsi="Verdana"/>
              <w:b w:val="0"/>
            </w:rPr>
          </w:pPr>
          <w:hyperlink w:anchor="_bookmark151" w:history="1">
            <w:r w:rsidRPr="00EC75B7">
              <w:rPr>
                <w:rFonts w:ascii="Verdana" w:hAnsi="Verdana"/>
              </w:rPr>
              <w:t xml:space="preserve">Risk of </w:t>
            </w:r>
            <w:r w:rsidRPr="00EC75B7">
              <w:rPr>
                <w:rFonts w:ascii="Verdana" w:hAnsi="Verdana"/>
                <w:spacing w:val="-2"/>
              </w:rPr>
              <w:t xml:space="preserve">strong </w:t>
            </w:r>
            <w:r w:rsidRPr="00EC75B7">
              <w:rPr>
                <w:rFonts w:ascii="Verdana" w:hAnsi="Verdana"/>
              </w:rPr>
              <w:t>winds</w:t>
            </w:r>
            <w:r w:rsidRPr="00EC75B7">
              <w:rPr>
                <w:rFonts w:ascii="Verdana" w:hAnsi="Verdana"/>
              </w:rPr>
              <w:tab/>
            </w:r>
            <w:r w:rsidRPr="00EC75B7">
              <w:rPr>
                <w:rFonts w:ascii="Verdana" w:hAnsi="Verdana"/>
                <w:b w:val="0"/>
                <w:spacing w:val="-5"/>
              </w:rPr>
              <w:t>313</w:t>
            </w:r>
          </w:hyperlink>
        </w:p>
        <w:p w14:paraId="6FDFCA47" w14:textId="77777777" w:rsidR="008715BE" w:rsidRPr="00EC75B7" w:rsidRDefault="008715BE">
          <w:pPr>
            <w:pStyle w:val="TOC3"/>
            <w:numPr>
              <w:ilvl w:val="2"/>
              <w:numId w:val="119"/>
            </w:numPr>
            <w:tabs>
              <w:tab w:val="left" w:pos="1951"/>
              <w:tab w:val="right" w:leader="dot" w:pos="10576"/>
            </w:tabs>
            <w:ind w:left="1951" w:hanging="718"/>
            <w:rPr>
              <w:rFonts w:ascii="Verdana" w:hAnsi="Verdana"/>
              <w:b w:val="0"/>
            </w:rPr>
          </w:pPr>
          <w:hyperlink w:anchor="_bookmark152" w:history="1">
            <w:r w:rsidRPr="00EC75B7">
              <w:rPr>
                <w:rFonts w:ascii="Verdana" w:hAnsi="Verdana"/>
                <w:spacing w:val="-2"/>
              </w:rPr>
              <w:t xml:space="preserve">Fire </w:t>
            </w:r>
            <w:r w:rsidRPr="00EC75B7">
              <w:rPr>
                <w:rFonts w:ascii="Verdana" w:hAnsi="Verdana"/>
              </w:rPr>
              <w:t>risk</w:t>
            </w:r>
            <w:r w:rsidRPr="00EC75B7">
              <w:rPr>
                <w:rFonts w:ascii="Verdana" w:hAnsi="Verdana"/>
              </w:rPr>
              <w:tab/>
            </w:r>
            <w:r w:rsidRPr="00EC75B7">
              <w:rPr>
                <w:rFonts w:ascii="Verdana" w:hAnsi="Verdana"/>
                <w:b w:val="0"/>
                <w:spacing w:val="-5"/>
              </w:rPr>
              <w:t>314</w:t>
            </w:r>
          </w:hyperlink>
        </w:p>
        <w:p w14:paraId="775FE6AC" w14:textId="77777777" w:rsidR="008715BE" w:rsidRPr="00EC75B7" w:rsidRDefault="008715BE">
          <w:pPr>
            <w:pStyle w:val="TOC3"/>
            <w:numPr>
              <w:ilvl w:val="2"/>
              <w:numId w:val="119"/>
            </w:numPr>
            <w:tabs>
              <w:tab w:val="left" w:pos="1951"/>
              <w:tab w:val="right" w:leader="dot" w:pos="10576"/>
            </w:tabs>
            <w:spacing w:before="42"/>
            <w:ind w:left="1951" w:hanging="718"/>
            <w:rPr>
              <w:rFonts w:ascii="Verdana" w:hAnsi="Verdana"/>
              <w:b w:val="0"/>
            </w:rPr>
          </w:pPr>
          <w:hyperlink w:anchor="_bookmark153" w:history="1">
            <w:r w:rsidRPr="00EC75B7">
              <w:rPr>
                <w:rFonts w:ascii="Verdana" w:hAnsi="Verdana"/>
              </w:rPr>
              <w:t xml:space="preserve">Risk of flying debris or </w:t>
            </w:r>
            <w:r w:rsidRPr="00EC75B7">
              <w:rPr>
                <w:rFonts w:ascii="Verdana" w:hAnsi="Verdana"/>
                <w:spacing w:val="-2"/>
              </w:rPr>
              <w:t>ice</w:t>
            </w:r>
            <w:r w:rsidRPr="00EC75B7">
              <w:rPr>
                <w:rFonts w:ascii="Verdana" w:hAnsi="Verdana"/>
                <w:b w:val="0"/>
                <w:i w:val="0"/>
              </w:rPr>
              <w:tab/>
            </w:r>
            <w:r w:rsidRPr="00EC75B7">
              <w:rPr>
                <w:rFonts w:ascii="Verdana" w:hAnsi="Verdana"/>
                <w:b w:val="0"/>
                <w:spacing w:val="-5"/>
              </w:rPr>
              <w:t>315</w:t>
            </w:r>
          </w:hyperlink>
        </w:p>
        <w:p w14:paraId="35214F71" w14:textId="77777777" w:rsidR="008715BE" w:rsidRPr="00EC75B7" w:rsidRDefault="008715BE">
          <w:pPr>
            <w:pStyle w:val="TOC1"/>
            <w:numPr>
              <w:ilvl w:val="0"/>
              <w:numId w:val="119"/>
            </w:numPr>
            <w:tabs>
              <w:tab w:val="left" w:pos="1413"/>
            </w:tabs>
            <w:spacing w:before="4" w:line="237" w:lineRule="auto"/>
            <w:ind w:right="7081"/>
            <w:rPr>
              <w:rFonts w:ascii="Verdana" w:hAnsi="Verdana"/>
              <w:sz w:val="18"/>
              <w:szCs w:val="18"/>
            </w:rPr>
          </w:pPr>
          <w:hyperlink w:anchor="_bookmark154" w:history="1">
            <w:r w:rsidRPr="00EC75B7">
              <w:rPr>
                <w:rFonts w:ascii="Verdana" w:hAnsi="Verdana"/>
                <w:color w:val="009DEF"/>
                <w:sz w:val="18"/>
                <w:szCs w:val="18"/>
              </w:rPr>
              <w:t>NON-TECHNICAL SUMMARY</w:t>
            </w:r>
          </w:hyperlink>
          <w:hyperlink w:anchor="_bookmark154" w:history="1">
            <w:r w:rsidRPr="00EC75B7">
              <w:rPr>
                <w:rFonts w:ascii="Verdana" w:hAnsi="Verdana"/>
                <w:color w:val="009DEF"/>
                <w:spacing w:val="-4"/>
                <w:sz w:val="18"/>
                <w:szCs w:val="18"/>
              </w:rPr>
              <w:t xml:space="preserve"> 317</w:t>
            </w:r>
          </w:hyperlink>
        </w:p>
        <w:p w14:paraId="59F17EBC" w14:textId="77777777" w:rsidR="008715BE" w:rsidRPr="00EC75B7" w:rsidRDefault="008715BE">
          <w:pPr>
            <w:pStyle w:val="TOC3"/>
            <w:tabs>
              <w:tab w:val="right" w:leader="dot" w:pos="10576"/>
            </w:tabs>
            <w:ind w:left="1233" w:firstLine="0"/>
            <w:rPr>
              <w:rFonts w:ascii="Verdana" w:hAnsi="Verdana"/>
              <w:b w:val="0"/>
            </w:rPr>
          </w:pPr>
          <w:hyperlink w:anchor="_bookmark155" w:history="1">
            <w:r w:rsidRPr="00EC75B7">
              <w:rPr>
                <w:rFonts w:ascii="Verdana" w:hAnsi="Verdana"/>
                <w:spacing w:val="-2"/>
              </w:rPr>
              <w:t xml:space="preserve">Project </w:t>
            </w:r>
            <w:r w:rsidRPr="00EC75B7">
              <w:rPr>
                <w:rFonts w:ascii="Verdana" w:hAnsi="Verdana"/>
              </w:rPr>
              <w:t>overview</w:t>
            </w:r>
            <w:r w:rsidRPr="00EC75B7">
              <w:rPr>
                <w:rFonts w:ascii="Verdana" w:hAnsi="Verdana"/>
                <w:b w:val="0"/>
                <w:i w:val="0"/>
              </w:rPr>
              <w:tab/>
            </w:r>
            <w:r w:rsidRPr="00EC75B7">
              <w:rPr>
                <w:rFonts w:ascii="Verdana" w:hAnsi="Verdana"/>
                <w:b w:val="0"/>
                <w:spacing w:val="-5"/>
              </w:rPr>
              <w:t>317</w:t>
            </w:r>
          </w:hyperlink>
        </w:p>
        <w:p w14:paraId="2097E696" w14:textId="77777777" w:rsidR="008715BE" w:rsidRPr="00EC75B7" w:rsidRDefault="008715BE">
          <w:pPr>
            <w:pStyle w:val="TOC3"/>
            <w:tabs>
              <w:tab w:val="right" w:leader="dot" w:pos="10576"/>
            </w:tabs>
            <w:spacing w:before="40"/>
            <w:ind w:left="1233" w:firstLine="0"/>
            <w:rPr>
              <w:rFonts w:ascii="Verdana" w:hAnsi="Verdana"/>
              <w:b w:val="0"/>
            </w:rPr>
          </w:pPr>
          <w:hyperlink w:anchor="_bookmark156" w:history="1">
            <w:r w:rsidRPr="00EC75B7">
              <w:rPr>
                <w:rFonts w:ascii="Verdana" w:hAnsi="Verdana"/>
                <w:spacing w:val="-2"/>
              </w:rPr>
              <w:t>Project location</w:t>
            </w:r>
            <w:r w:rsidRPr="00EC75B7">
              <w:rPr>
                <w:rFonts w:ascii="Verdana" w:hAnsi="Verdana"/>
              </w:rPr>
              <w:tab/>
            </w:r>
            <w:r w:rsidRPr="00EC75B7">
              <w:rPr>
                <w:rFonts w:ascii="Verdana" w:hAnsi="Verdana"/>
                <w:b w:val="0"/>
                <w:spacing w:val="-5"/>
              </w:rPr>
              <w:t>317</w:t>
            </w:r>
          </w:hyperlink>
        </w:p>
        <w:p w14:paraId="7E75DEBB" w14:textId="77777777" w:rsidR="008715BE" w:rsidRPr="00EC75B7" w:rsidRDefault="008715BE">
          <w:pPr>
            <w:pStyle w:val="TOC3"/>
            <w:tabs>
              <w:tab w:val="right" w:leader="dot" w:pos="10576"/>
            </w:tabs>
            <w:ind w:left="1233" w:firstLine="0"/>
            <w:rPr>
              <w:rFonts w:ascii="Verdana" w:hAnsi="Verdana"/>
              <w:b w:val="0"/>
            </w:rPr>
          </w:pPr>
          <w:hyperlink w:anchor="_bookmark157" w:history="1">
            <w:r w:rsidRPr="00EC75B7">
              <w:rPr>
                <w:rFonts w:ascii="Verdana" w:hAnsi="Verdana"/>
                <w:spacing w:val="-2"/>
              </w:rPr>
              <w:t>Project characteristics</w:t>
            </w:r>
            <w:r w:rsidRPr="00EC75B7">
              <w:rPr>
                <w:rFonts w:ascii="Verdana" w:hAnsi="Verdana"/>
              </w:rPr>
              <w:tab/>
            </w:r>
            <w:r w:rsidRPr="00EC75B7">
              <w:rPr>
                <w:rFonts w:ascii="Verdana" w:hAnsi="Verdana"/>
                <w:b w:val="0"/>
                <w:spacing w:val="-5"/>
              </w:rPr>
              <w:t>317</w:t>
            </w:r>
          </w:hyperlink>
        </w:p>
        <w:p w14:paraId="0AEEAEC3" w14:textId="77777777" w:rsidR="008715BE" w:rsidRPr="00EC75B7" w:rsidRDefault="008715BE">
          <w:pPr>
            <w:pStyle w:val="TOC3"/>
            <w:tabs>
              <w:tab w:val="right" w:leader="dot" w:pos="10576"/>
            </w:tabs>
            <w:spacing w:before="42"/>
            <w:ind w:left="1233" w:firstLine="0"/>
            <w:rPr>
              <w:rFonts w:ascii="Verdana" w:hAnsi="Verdana"/>
              <w:b w:val="0"/>
            </w:rPr>
          </w:pPr>
          <w:hyperlink w:anchor="_bookmark158" w:history="1">
            <w:r w:rsidRPr="00EC75B7">
              <w:rPr>
                <w:rFonts w:ascii="Verdana" w:hAnsi="Verdana"/>
              </w:rPr>
              <w:t xml:space="preserve">Raw materials and </w:t>
            </w:r>
            <w:r w:rsidRPr="00EC75B7">
              <w:rPr>
                <w:rFonts w:ascii="Verdana" w:hAnsi="Verdana"/>
                <w:spacing w:val="-2"/>
              </w:rPr>
              <w:t xml:space="preserve">natural </w:t>
            </w:r>
            <w:r w:rsidRPr="00EC75B7">
              <w:rPr>
                <w:rFonts w:ascii="Verdana" w:hAnsi="Verdana"/>
              </w:rPr>
              <w:t>resources</w:t>
            </w:r>
            <w:r w:rsidRPr="00EC75B7">
              <w:rPr>
                <w:rFonts w:ascii="Verdana" w:hAnsi="Verdana"/>
                <w:b w:val="0"/>
                <w:i w:val="0"/>
              </w:rPr>
              <w:tab/>
            </w:r>
            <w:r w:rsidRPr="00EC75B7">
              <w:rPr>
                <w:rFonts w:ascii="Verdana" w:hAnsi="Verdana"/>
                <w:b w:val="0"/>
                <w:spacing w:val="-5"/>
              </w:rPr>
              <w:t>317</w:t>
            </w:r>
          </w:hyperlink>
        </w:p>
        <w:p w14:paraId="01B32804" w14:textId="77777777" w:rsidR="008715BE" w:rsidRPr="00EC75B7" w:rsidRDefault="008715BE">
          <w:pPr>
            <w:pStyle w:val="TOC3"/>
            <w:tabs>
              <w:tab w:val="right" w:leader="dot" w:pos="10576"/>
            </w:tabs>
            <w:ind w:left="1233" w:firstLine="0"/>
            <w:rPr>
              <w:rFonts w:ascii="Verdana" w:hAnsi="Verdana"/>
              <w:b w:val="0"/>
            </w:rPr>
          </w:pPr>
          <w:hyperlink w:anchor="_bookmark159" w:history="1">
            <w:r w:rsidRPr="00EC75B7">
              <w:rPr>
                <w:rFonts w:ascii="Verdana" w:hAnsi="Verdana"/>
              </w:rPr>
              <w:t xml:space="preserve">Estimation of the type and quantities of emissions and </w:t>
            </w:r>
            <w:r w:rsidRPr="00EC75B7">
              <w:rPr>
                <w:rFonts w:ascii="Verdana" w:hAnsi="Verdana"/>
                <w:spacing w:val="-2"/>
              </w:rPr>
              <w:t>waste</w:t>
            </w:r>
            <w:r w:rsidRPr="00EC75B7">
              <w:rPr>
                <w:rFonts w:ascii="Verdana" w:hAnsi="Verdana"/>
                <w:b w:val="0"/>
                <w:i w:val="0"/>
              </w:rPr>
              <w:tab/>
            </w:r>
            <w:r w:rsidRPr="00EC75B7">
              <w:rPr>
                <w:rFonts w:ascii="Verdana" w:hAnsi="Verdana"/>
                <w:b w:val="0"/>
                <w:spacing w:val="-5"/>
              </w:rPr>
              <w:t>318</w:t>
            </w:r>
          </w:hyperlink>
        </w:p>
        <w:p w14:paraId="5112C545" w14:textId="77777777" w:rsidR="008715BE" w:rsidRPr="00EC75B7" w:rsidRDefault="008715BE">
          <w:pPr>
            <w:pStyle w:val="TOC3"/>
            <w:tabs>
              <w:tab w:val="right" w:leader="dot" w:pos="10576"/>
            </w:tabs>
            <w:spacing w:before="40"/>
            <w:ind w:left="1233" w:firstLine="0"/>
            <w:rPr>
              <w:rFonts w:ascii="Verdana" w:hAnsi="Verdana"/>
              <w:b w:val="0"/>
            </w:rPr>
          </w:pPr>
          <w:hyperlink w:anchor="_bookmark160" w:history="1">
            <w:r w:rsidRPr="00EC75B7">
              <w:rPr>
                <w:rFonts w:ascii="Verdana" w:hAnsi="Verdana"/>
              </w:rPr>
              <w:t xml:space="preserve">Description of relevant aspects of the current state of </w:t>
            </w:r>
            <w:r w:rsidRPr="00EC75B7">
              <w:rPr>
                <w:rFonts w:ascii="Verdana" w:hAnsi="Verdana"/>
                <w:spacing w:val="-2"/>
              </w:rPr>
              <w:t>the environment</w:t>
            </w:r>
            <w:r w:rsidRPr="00EC75B7">
              <w:rPr>
                <w:rFonts w:ascii="Verdana" w:hAnsi="Verdana"/>
                <w:b w:val="0"/>
                <w:i w:val="0"/>
              </w:rPr>
              <w:tab/>
            </w:r>
            <w:r w:rsidRPr="00EC75B7">
              <w:rPr>
                <w:rFonts w:ascii="Verdana" w:hAnsi="Verdana"/>
                <w:b w:val="0"/>
                <w:spacing w:val="-5"/>
              </w:rPr>
              <w:t>318</w:t>
            </w:r>
          </w:hyperlink>
        </w:p>
        <w:p w14:paraId="5826BB2A" w14:textId="77777777" w:rsidR="008715BE" w:rsidRPr="00EC75B7" w:rsidRDefault="008715BE">
          <w:pPr>
            <w:pStyle w:val="TOC3"/>
            <w:tabs>
              <w:tab w:val="right" w:leader="dot" w:pos="10576"/>
            </w:tabs>
            <w:spacing w:before="42"/>
            <w:ind w:left="1233" w:firstLine="0"/>
            <w:rPr>
              <w:rFonts w:ascii="Verdana" w:hAnsi="Verdana"/>
              <w:b w:val="0"/>
            </w:rPr>
          </w:pPr>
          <w:hyperlink w:anchor="_bookmark161" w:history="1">
            <w:r w:rsidRPr="00EC75B7">
              <w:rPr>
                <w:rFonts w:ascii="Verdana" w:hAnsi="Verdana"/>
              </w:rPr>
              <w:t xml:space="preserve">Description of significant environmental effects due to </w:t>
            </w:r>
            <w:r w:rsidRPr="00EC75B7">
              <w:rPr>
                <w:rFonts w:ascii="Verdana" w:hAnsi="Verdana"/>
                <w:spacing w:val="-2"/>
              </w:rPr>
              <w:t>the project</w:t>
            </w:r>
            <w:r w:rsidRPr="00EC75B7">
              <w:rPr>
                <w:rFonts w:ascii="Verdana" w:hAnsi="Verdana"/>
              </w:rPr>
              <w:tab/>
            </w:r>
            <w:r w:rsidRPr="00EC75B7">
              <w:rPr>
                <w:rFonts w:ascii="Verdana" w:hAnsi="Verdana"/>
                <w:b w:val="0"/>
                <w:spacing w:val="-5"/>
              </w:rPr>
              <w:t>319</w:t>
            </w:r>
          </w:hyperlink>
        </w:p>
        <w:p w14:paraId="60E71598" w14:textId="77777777" w:rsidR="008715BE" w:rsidRPr="00EC75B7" w:rsidRDefault="008715BE">
          <w:pPr>
            <w:pStyle w:val="TOC3"/>
            <w:tabs>
              <w:tab w:val="right" w:leader="dot" w:pos="10576"/>
            </w:tabs>
            <w:spacing w:before="40"/>
            <w:ind w:left="1233" w:firstLine="0"/>
            <w:rPr>
              <w:rFonts w:ascii="Verdana" w:hAnsi="Verdana"/>
              <w:b w:val="0"/>
            </w:rPr>
          </w:pPr>
          <w:hyperlink w:anchor="_bookmark162" w:history="1">
            <w:r w:rsidRPr="00EC75B7">
              <w:rPr>
                <w:rFonts w:ascii="Verdana" w:hAnsi="Verdana"/>
              </w:rPr>
              <w:t xml:space="preserve">Analysis of </w:t>
            </w:r>
            <w:r w:rsidRPr="00EC75B7">
              <w:rPr>
                <w:rFonts w:ascii="Verdana" w:hAnsi="Verdana"/>
                <w:spacing w:val="-2"/>
              </w:rPr>
              <w:t xml:space="preserve">reasonable </w:t>
            </w:r>
            <w:r w:rsidRPr="00EC75B7">
              <w:rPr>
                <w:rFonts w:ascii="Verdana" w:hAnsi="Verdana"/>
              </w:rPr>
              <w:t>alternatives</w:t>
            </w:r>
            <w:r w:rsidRPr="00EC75B7">
              <w:rPr>
                <w:rFonts w:ascii="Verdana" w:hAnsi="Verdana"/>
              </w:rPr>
              <w:tab/>
            </w:r>
            <w:r w:rsidRPr="00EC75B7">
              <w:rPr>
                <w:rFonts w:ascii="Verdana" w:hAnsi="Verdana"/>
                <w:b w:val="0"/>
                <w:spacing w:val="-5"/>
              </w:rPr>
              <w:t>319</w:t>
            </w:r>
          </w:hyperlink>
        </w:p>
        <w:p w14:paraId="1C34522B" w14:textId="77777777" w:rsidR="008715BE" w:rsidRPr="00EC75B7" w:rsidRDefault="008715BE">
          <w:pPr>
            <w:pStyle w:val="TOC1"/>
            <w:numPr>
              <w:ilvl w:val="0"/>
              <w:numId w:val="119"/>
            </w:numPr>
            <w:tabs>
              <w:tab w:val="left" w:pos="1593"/>
            </w:tabs>
            <w:spacing w:before="1"/>
            <w:ind w:left="1593" w:right="7905" w:hanging="720"/>
            <w:rPr>
              <w:rFonts w:ascii="Verdana" w:hAnsi="Verdana"/>
              <w:sz w:val="18"/>
              <w:szCs w:val="18"/>
            </w:rPr>
          </w:pPr>
          <w:hyperlink w:anchor="_bookmark163" w:history="1">
            <w:r w:rsidRPr="00EC75B7">
              <w:rPr>
                <w:rFonts w:ascii="Verdana" w:hAnsi="Verdana"/>
                <w:color w:val="009DEF"/>
                <w:spacing w:val="-2"/>
                <w:sz w:val="18"/>
                <w:szCs w:val="18"/>
              </w:rPr>
              <w:t>BIBLIOGRAPHY</w:t>
            </w:r>
          </w:hyperlink>
          <w:hyperlink w:anchor="_bookmark163" w:history="1">
            <w:r w:rsidRPr="00EC75B7">
              <w:rPr>
                <w:rFonts w:ascii="Verdana" w:hAnsi="Verdana"/>
                <w:color w:val="009DEF"/>
                <w:spacing w:val="-4"/>
                <w:sz w:val="18"/>
                <w:szCs w:val="18"/>
              </w:rPr>
              <w:t xml:space="preserve"> 321</w:t>
            </w:r>
          </w:hyperlink>
        </w:p>
        <w:p w14:paraId="1E410F52" w14:textId="77777777" w:rsidR="008715BE" w:rsidRPr="00EC75B7" w:rsidRDefault="008715BE">
          <w:pPr>
            <w:pStyle w:val="TOC1"/>
            <w:numPr>
              <w:ilvl w:val="0"/>
              <w:numId w:val="119"/>
            </w:numPr>
            <w:tabs>
              <w:tab w:val="left" w:pos="1591"/>
            </w:tabs>
            <w:spacing w:line="267" w:lineRule="exact"/>
            <w:ind w:left="1591" w:hanging="718"/>
            <w:rPr>
              <w:rFonts w:ascii="Verdana" w:hAnsi="Verdana"/>
              <w:sz w:val="18"/>
              <w:szCs w:val="18"/>
            </w:rPr>
          </w:pPr>
          <w:hyperlink w:anchor="_bookmark164" w:history="1">
            <w:r w:rsidRPr="00EC75B7">
              <w:rPr>
                <w:rFonts w:ascii="Verdana" w:hAnsi="Verdana"/>
                <w:color w:val="009DEF"/>
                <w:spacing w:val="-2"/>
                <w:sz w:val="18"/>
                <w:szCs w:val="18"/>
              </w:rPr>
              <w:t>Appendices</w:t>
            </w:r>
          </w:hyperlink>
        </w:p>
        <w:p w14:paraId="40F56C25" w14:textId="77777777" w:rsidR="008715BE" w:rsidRPr="00EC75B7" w:rsidRDefault="008715BE">
          <w:pPr>
            <w:pStyle w:val="TOC7"/>
            <w:rPr>
              <w:rFonts w:ascii="Verdana" w:hAnsi="Verdana"/>
              <w:sz w:val="18"/>
              <w:szCs w:val="18"/>
            </w:rPr>
          </w:pPr>
          <w:hyperlink w:anchor="_bookmark164" w:history="1">
            <w:r w:rsidRPr="00EC75B7">
              <w:rPr>
                <w:rFonts w:ascii="Verdana" w:hAnsi="Verdana"/>
                <w:color w:val="009DEF"/>
                <w:spacing w:val="-5"/>
                <w:sz w:val="18"/>
                <w:szCs w:val="18"/>
              </w:rPr>
              <w:t>322</w:t>
            </w:r>
          </w:hyperlink>
        </w:p>
      </w:sdtContent>
    </w:sdt>
    <w:p w14:paraId="2242997D" w14:textId="77777777" w:rsidR="008715BE" w:rsidRPr="00EC75B7" w:rsidRDefault="008715BE">
      <w:pPr>
        <w:pStyle w:val="TOC7"/>
        <w:rPr>
          <w:rFonts w:ascii="Verdana" w:hAnsi="Verdana"/>
          <w:sz w:val="18"/>
          <w:szCs w:val="18"/>
        </w:rPr>
        <w:sectPr w:rsidR="008715BE" w:rsidRPr="00EC75B7">
          <w:type w:val="continuous"/>
          <w:pgSz w:w="11910" w:h="16840"/>
          <w:pgMar w:top="1160" w:right="141" w:bottom="1088" w:left="425" w:header="766" w:footer="824" w:gutter="0"/>
          <w:cols w:space="708"/>
        </w:sectPr>
      </w:pPr>
    </w:p>
    <w:p w14:paraId="70072646" w14:textId="77777777" w:rsidR="008715BE" w:rsidRPr="00EC75B7" w:rsidRDefault="00000000">
      <w:pPr>
        <w:pStyle w:val="Heading1"/>
        <w:numPr>
          <w:ilvl w:val="0"/>
          <w:numId w:val="110"/>
        </w:numPr>
        <w:tabs>
          <w:tab w:val="left" w:pos="1485"/>
        </w:tabs>
        <w:spacing w:before="332"/>
        <w:ind w:hanging="580"/>
        <w:jc w:val="left"/>
        <w:rPr>
          <w:rFonts w:ascii="Verdana" w:hAnsi="Verdana"/>
          <w:sz w:val="18"/>
          <w:szCs w:val="18"/>
        </w:rPr>
      </w:pPr>
      <w:bookmarkStart w:id="0" w:name="_bookmark0"/>
      <w:bookmarkEnd w:id="0"/>
      <w:r w:rsidRPr="00EC75B7">
        <w:rPr>
          <w:rFonts w:ascii="Verdana" w:hAnsi="Verdana"/>
          <w:color w:val="00AFEF"/>
          <w:spacing w:val="-2"/>
          <w:sz w:val="18"/>
          <w:szCs w:val="18"/>
        </w:rPr>
        <w:lastRenderedPageBreak/>
        <w:t>INTRO</w:t>
      </w:r>
    </w:p>
    <w:p w14:paraId="5D5451C6" w14:textId="77777777" w:rsidR="008715BE" w:rsidRPr="00EC75B7" w:rsidRDefault="008715BE">
      <w:pPr>
        <w:pStyle w:val="BodyText"/>
        <w:spacing w:before="60"/>
        <w:rPr>
          <w:rFonts w:ascii="Verdana" w:hAnsi="Verdana"/>
          <w:b/>
        </w:rPr>
      </w:pPr>
    </w:p>
    <w:p w14:paraId="06D20CFF" w14:textId="77777777" w:rsidR="008715BE" w:rsidRPr="00EC75B7" w:rsidRDefault="00000000"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The name of the project is "Wind farm 48 (46) wind turbines approx. 316.8MW (303.6MW), transformer stations, connection networks, construction and modernization of communication and access roads," proposed to be located outside the town of Cerchezu, Constanța County.</w:t>
      </w:r>
    </w:p>
    <w:p w14:paraId="54A5886A" w14:textId="33D9BFB1" w:rsidR="008715BE" w:rsidRPr="00EC75B7" w:rsidRDefault="00000000"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For the construction of the wind farm, urban planning certificate no. 129/28.11.2022 was issued with extended validity</w:t>
      </w:r>
      <w:r w:rsidR="00351101" w:rsidRPr="00EC75B7">
        <w:rPr>
          <w:rFonts w:ascii="Verdana" w:hAnsi="Verdana" w:cs="Times New Roman"/>
          <w:sz w:val="18"/>
          <w:szCs w:val="18"/>
        </w:rPr>
        <w:t xml:space="preserve"> </w:t>
      </w:r>
      <w:r w:rsidRPr="00EC75B7">
        <w:rPr>
          <w:rFonts w:ascii="Verdana" w:hAnsi="Verdana" w:cs="Times New Roman"/>
          <w:sz w:val="18"/>
          <w:szCs w:val="18"/>
        </w:rPr>
        <w:t>extended validity, by the Constanța County Council.</w:t>
      </w:r>
    </w:p>
    <w:p w14:paraId="6D6F37D3" w14:textId="77777777" w:rsidR="008715BE" w:rsidRPr="00EC75B7" w:rsidRDefault="00000000"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According to the initial assessment decision no. 54/07.02.2025, issued by the Constanța Environmental Protection Agency, the following is stated:</w:t>
      </w:r>
    </w:p>
    <w:p w14:paraId="5EBD9A61" w14:textId="77777777"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project falls under Law 292/2018, falling under Annex no. 2, point 3, letter i) "Installations for the production of energy from wind power" and 10 e - "construction of roads, ports, and port facilities, including fishing ports, other than those provided for in Annex No. 1";</w:t>
      </w:r>
    </w:p>
    <w:p w14:paraId="2AD8577A" w14:textId="47D6C20E" w:rsidR="008715BE" w:rsidRPr="00EC75B7" w:rsidRDefault="005661E6">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proposed project falls under Article 28 of Government Emergency Ordinance No. 57/2007 on the regime of protected natural areas, the conservation of natural habitats, wild flora and fauna, as subsequently amended and supplemented. The project site is located approximately 2.8 km from the boundary of the ROSAC007 I Dumbrăveni - Valea Urluia - Lacul Vederoasa site, approximately 6.3 km from ROSPA0l 66 Plopeni - Chimogeni, approximately 7.2 km from ROSPA0036 Dumbraveni, approximately 14.4 km from ROSACO157 Hagieni Forest Cotul Văii, approximately 18.6 km from ROSPA0094 Hagieni Forest, ROSPA0l 51 Ciobăniţa Osmancea, approx. 19.4 km from ROSPA000I Aliman-Adamclisi, approx. 410 m from the protected natural area BG0000569 Kardam and approx. 3.64 km from the protected natural area BG0000570 Izvorovo Kraiste;</w:t>
      </w:r>
    </w:p>
    <w:p w14:paraId="48A0ADCD" w14:textId="77777777"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proposed project does not fall under the provisions of Articles 48 and 54 of Water Law No. 107/1996, as amended and supplemented.</w:t>
      </w:r>
    </w:p>
    <w:p w14:paraId="57385A14" w14:textId="77777777"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project falls under Law No. 22 of February 22, 2001, ratifying the Convention on Environmental Impact Assessment in a Transboundary Context, adopted in Espoo on February 25, 1991, as amended and supplemented, being included in Annex 1, point 22.</w:t>
      </w:r>
    </w:p>
    <w:p w14:paraId="27E48B7B" w14:textId="77777777"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According to the Framework Stage Decision issued by DJM Constanța, the Wind Farm Project 48 (46) wind turbines approx. 316.8MW (303.6MW), Transformer stations, Electrical connection networks, construction and modernisation of communication and access routes", proposed to be located outside the town of Cerchezu, Constanța County, is subject to environmental impact assessment, the project is not subject to assessment of impact on water bodies and appropriate assessment. Thus, it was necessary to prepare an Environmental Impact Report (EIR).</w:t>
      </w:r>
    </w:p>
    <w:p w14:paraId="5A7DC586" w14:textId="14DF674F" w:rsidR="008715BE" w:rsidRPr="00EC75B7" w:rsidRDefault="00000000"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The Environmental Impact Report was based on the following:</w:t>
      </w:r>
    </w:p>
    <w:p w14:paraId="260F9C25" w14:textId="77777777"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provisions of Article 11 and Annex No. 4 of Law 292/2018 on the environmental impact assessment of public and private projects.</w:t>
      </w:r>
    </w:p>
    <w:p w14:paraId="3FE5F196" w14:textId="598AFB78" w:rsidR="008715BE"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General Guide applicable to the stages of the environmental impact assessment procedure and the guide for environmental impact assessment in a cross-border context and other specific guides for different areas and categories of projects approved by Order 269/2020</w:t>
      </w:r>
      <w:r w:rsidR="005661E6" w:rsidRPr="00EC75B7">
        <w:rPr>
          <w:rFonts w:ascii="Verdana" w:hAnsi="Verdana" w:cs="Times New Roman"/>
          <w:sz w:val="18"/>
          <w:szCs w:val="18"/>
        </w:rPr>
        <w:t>;</w:t>
      </w:r>
    </w:p>
    <w:p w14:paraId="29067EEB" w14:textId="43DE0628" w:rsidR="00351101" w:rsidRPr="00EC75B7" w:rsidRDefault="00000000">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Proposal on relevant environmental protection aspects to be developed in the Environmental Impact Report for "Wind Farm 48 (46) wind turbines appro</w:t>
      </w:r>
      <w:r w:rsidR="00351101" w:rsidRPr="00EC75B7">
        <w:rPr>
          <w:rFonts w:ascii="Verdana" w:hAnsi="Verdana" w:cs="Times New Roman"/>
          <w:sz w:val="18"/>
          <w:szCs w:val="18"/>
        </w:rPr>
        <w:t xml:space="preserve">x. 316.8MW (303.6MW), Transformer </w:t>
      </w:r>
      <w:r w:rsidR="00351101" w:rsidRPr="00EC75B7">
        <w:rPr>
          <w:rFonts w:ascii="Verdana" w:hAnsi="Verdana" w:cs="Times New Roman"/>
          <w:sz w:val="18"/>
          <w:szCs w:val="18"/>
        </w:rPr>
        <w:lastRenderedPageBreak/>
        <w:t>stations, Electrical connection networks, construction and modernisation of communication and access routes", proposed to be located outside the built-up area of Cerchezu, Constanța County, submitted by the project owner by letter no. 132/02.12.2025 registered with DJM Constanța under no. 8684/02.12.2025</w:t>
      </w:r>
      <w:r w:rsidR="005661E6" w:rsidRPr="00EC75B7">
        <w:rPr>
          <w:rFonts w:ascii="Verdana" w:hAnsi="Verdana" w:cs="Times New Roman"/>
          <w:sz w:val="18"/>
          <w:szCs w:val="18"/>
        </w:rPr>
        <w:t>;</w:t>
      </w:r>
    </w:p>
    <w:p w14:paraId="793FBC4F" w14:textId="77777777" w:rsidR="00351101"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guide on environmental issues submitted by DJM Constanța by letter no. 1932/09.12.2025.</w:t>
      </w:r>
    </w:p>
    <w:p w14:paraId="1D2812B8" w14:textId="77777777" w:rsidR="00351101"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Conclusions of the Adequacy Assessment Study for the PUZ stage;</w:t>
      </w:r>
    </w:p>
    <w:p w14:paraId="2562E59A" w14:textId="77777777" w:rsidR="00351101"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environmental report prepared at the PUZ stage;</w:t>
      </w:r>
    </w:p>
    <w:p w14:paraId="5E0F06BB" w14:textId="77777777" w:rsidR="00351101"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Study on the risk of collision of gliding birds within the future Cerchezu Wind Farm, Constanța County</w:t>
      </w:r>
    </w:p>
    <w:p w14:paraId="01822036" w14:textId="77777777" w:rsidR="00351101"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The Shadow Flicker study, carried out following a request from the Bulgarian side to assess the impact of physical factors in a cross-border context, in particular light effects.</w:t>
      </w:r>
    </w:p>
    <w:p w14:paraId="392792FB" w14:textId="77777777" w:rsidR="005661E6" w:rsidRPr="00EC75B7" w:rsidRDefault="00351101">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Favorable Permit no. 81/17.12.2025 issued by the National Agency for Environment and Protected Areas, as the competent authority responsible for the administration of protected natural areas ROSAC0071 Dumbraveni -Valea Urluia – Lacul Vederoasa, ROSPA0166 Plopeni-Chirnogeni, ROSAC0157 Padurea Hagieni Cotul – Vaii, ROSPA0094 Padurea Hagieni, ROSPA0151 Ciobanita Osmancea, ROSPA0001 Aliman-Adamclisi for the project "Wind farm 48 (46) wind turbines approx. 316.8MW (303.6MW), transformer stations, electrical connection networks, construction and modernization of communication and access routes," located in the commune of Cerchezu, Constanța County</w:t>
      </w:r>
      <w:r w:rsidR="005661E6" w:rsidRPr="00EC75B7">
        <w:rPr>
          <w:rFonts w:ascii="Verdana" w:hAnsi="Verdana" w:cs="Times New Roman"/>
          <w:sz w:val="18"/>
          <w:szCs w:val="18"/>
        </w:rPr>
        <w:t>;</w:t>
      </w:r>
    </w:p>
    <w:p w14:paraId="12E77468" w14:textId="6E9F2B78" w:rsidR="005661E6" w:rsidRPr="00EC75B7" w:rsidRDefault="005661E6">
      <w:pPr>
        <w:widowControl/>
        <w:numPr>
          <w:ilvl w:val="0"/>
          <w:numId w:val="109"/>
        </w:numPr>
        <w:autoSpaceDE/>
        <w:autoSpaceDN/>
        <w:spacing w:after="120" w:line="360" w:lineRule="auto"/>
        <w:ind w:left="720" w:right="1264" w:firstLine="0"/>
        <w:jc w:val="both"/>
        <w:rPr>
          <w:rFonts w:ascii="Verdana" w:hAnsi="Verdana" w:cs="Times New Roman"/>
          <w:sz w:val="18"/>
          <w:szCs w:val="18"/>
        </w:rPr>
      </w:pPr>
      <w:r w:rsidRPr="00EC75B7">
        <w:rPr>
          <w:rFonts w:ascii="Verdana" w:hAnsi="Verdana" w:cs="Times New Roman"/>
          <w:sz w:val="18"/>
          <w:szCs w:val="18"/>
        </w:rPr>
        <w:t>Address No. 99.00.268-40/17.09.2025 of the Ministry of Environment and Waters of Bulgaria, concerning the transboundary SEA procedure at PUZ phase, by which mandatory conditions were communicated for inclusion in the regulatory act to be issued by the competent Romanian authorities, applicable to both the planning and design phase and the post-implementation monitoring phase.</w:t>
      </w:r>
    </w:p>
    <w:p w14:paraId="498ADC0C" w14:textId="499FCF7B" w:rsidR="008715BE" w:rsidRPr="00EC75B7" w:rsidRDefault="00000000"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The environmental impact report was prepared by Ramboll South East Europe, a company certified by the Ministry of Environment and listed in the Register of Certified Experts for the preparation of environmental studies in the following areas and studies: Environmental impact assessment report (RIM-2, RIM-3, RIM-7, RIM-11a, RIM-11b, RIM-11c); Site report (RA-7; RM-3, RM-11a), environmental report (RM-11b, RM-11c, RM-13b); Safety report (RS-2, RS-11c); Environmental balance sheet (BM-2, BM-11b, BM-11c); Approximation assessment study (EA); Climate change study (EGSC), Air quality assessment studies (EGCA), Biodiversity monitoring (MB):</w:t>
      </w:r>
    </w:p>
    <w:p w14:paraId="6F288921" w14:textId="77777777" w:rsidR="008715BE" w:rsidRPr="00EC75B7" w:rsidRDefault="00000000">
      <w:pPr>
        <w:widowControl/>
        <w:numPr>
          <w:ilvl w:val="0"/>
          <w:numId w:val="109"/>
        </w:numPr>
        <w:autoSpaceDE/>
        <w:autoSpaceDN/>
        <w:spacing w:line="360" w:lineRule="auto"/>
        <w:ind w:left="720" w:right="1267" w:firstLine="0"/>
        <w:jc w:val="both"/>
        <w:rPr>
          <w:rFonts w:ascii="Verdana" w:hAnsi="Verdana" w:cs="Times New Roman"/>
          <w:sz w:val="18"/>
          <w:szCs w:val="18"/>
        </w:rPr>
      </w:pPr>
      <w:r w:rsidRPr="00EC75B7">
        <w:rPr>
          <w:rFonts w:ascii="Verdana" w:hAnsi="Verdana" w:cs="Times New Roman"/>
          <w:sz w:val="18"/>
          <w:szCs w:val="18"/>
        </w:rPr>
        <w:t>Certificate Series RGX No. 333/06.11.2025,</w:t>
      </w:r>
    </w:p>
    <w:p w14:paraId="0121AFDA" w14:textId="77777777" w:rsidR="008715BE" w:rsidRPr="00EC75B7" w:rsidRDefault="00000000">
      <w:pPr>
        <w:widowControl/>
        <w:numPr>
          <w:ilvl w:val="0"/>
          <w:numId w:val="109"/>
        </w:numPr>
        <w:autoSpaceDE/>
        <w:autoSpaceDN/>
        <w:spacing w:line="360" w:lineRule="auto"/>
        <w:ind w:left="720" w:right="1267" w:firstLine="0"/>
        <w:jc w:val="both"/>
        <w:rPr>
          <w:rFonts w:ascii="Verdana" w:hAnsi="Verdana" w:cs="Times New Roman"/>
          <w:sz w:val="18"/>
          <w:szCs w:val="18"/>
        </w:rPr>
      </w:pPr>
      <w:r w:rsidRPr="00EC75B7">
        <w:rPr>
          <w:rFonts w:ascii="Verdana" w:hAnsi="Verdana" w:cs="Times New Roman"/>
          <w:sz w:val="18"/>
          <w:szCs w:val="18"/>
        </w:rPr>
        <w:t>Certificate Series RGX No. 430/04.12.2025,</w:t>
      </w:r>
    </w:p>
    <w:p w14:paraId="0463F13A" w14:textId="77777777" w:rsidR="008715BE" w:rsidRPr="00EC75B7" w:rsidRDefault="00000000">
      <w:pPr>
        <w:widowControl/>
        <w:numPr>
          <w:ilvl w:val="0"/>
          <w:numId w:val="109"/>
        </w:numPr>
        <w:autoSpaceDE/>
        <w:autoSpaceDN/>
        <w:spacing w:line="360" w:lineRule="auto"/>
        <w:ind w:left="720" w:right="1267" w:firstLine="0"/>
        <w:jc w:val="both"/>
        <w:rPr>
          <w:rFonts w:ascii="Verdana" w:hAnsi="Verdana" w:cs="Times New Roman"/>
          <w:sz w:val="18"/>
          <w:szCs w:val="18"/>
        </w:rPr>
      </w:pPr>
      <w:r w:rsidRPr="00EC75B7">
        <w:rPr>
          <w:rFonts w:ascii="Verdana" w:hAnsi="Verdana" w:cs="Times New Roman"/>
          <w:sz w:val="18"/>
          <w:szCs w:val="18"/>
        </w:rPr>
        <w:t>Certificate Series RGX No. 777/18.12.2025.</w:t>
      </w:r>
    </w:p>
    <w:p w14:paraId="0929E5F0" w14:textId="77777777" w:rsidR="008715BE" w:rsidRPr="00EC75B7" w:rsidRDefault="008715BE">
      <w:pPr>
        <w:pStyle w:val="BodyText"/>
        <w:spacing w:before="137"/>
        <w:rPr>
          <w:rFonts w:ascii="Verdana" w:hAnsi="Verdana"/>
        </w:rPr>
      </w:pPr>
    </w:p>
    <w:p w14:paraId="2766D913" w14:textId="77777777" w:rsidR="008715BE" w:rsidRPr="00EC75B7" w:rsidRDefault="00000000">
      <w:pPr>
        <w:pStyle w:val="Heading1"/>
        <w:numPr>
          <w:ilvl w:val="0"/>
          <w:numId w:val="110"/>
        </w:numPr>
        <w:tabs>
          <w:tab w:val="left" w:pos="1485"/>
        </w:tabs>
        <w:ind w:hanging="713"/>
        <w:jc w:val="left"/>
        <w:rPr>
          <w:rFonts w:ascii="Verdana" w:hAnsi="Verdana"/>
          <w:sz w:val="18"/>
          <w:szCs w:val="18"/>
        </w:rPr>
      </w:pPr>
      <w:bookmarkStart w:id="1" w:name="_bookmark1"/>
      <w:bookmarkEnd w:id="1"/>
      <w:r w:rsidRPr="00EC75B7">
        <w:rPr>
          <w:rFonts w:ascii="Verdana" w:hAnsi="Verdana"/>
          <w:color w:val="00AFEF"/>
          <w:spacing w:val="-2"/>
          <w:sz w:val="18"/>
          <w:szCs w:val="18"/>
        </w:rPr>
        <w:t xml:space="preserve">PROJECT </w:t>
      </w:r>
      <w:r w:rsidRPr="00EC75B7">
        <w:rPr>
          <w:rFonts w:ascii="Verdana" w:hAnsi="Verdana"/>
          <w:color w:val="00AFEF"/>
          <w:sz w:val="18"/>
          <w:szCs w:val="18"/>
        </w:rPr>
        <w:t>OWNER</w:t>
      </w:r>
    </w:p>
    <w:p w14:paraId="2FA280E8" w14:textId="77777777" w:rsidR="008715BE" w:rsidRPr="00EC75B7" w:rsidRDefault="008715BE">
      <w:pPr>
        <w:pStyle w:val="BodyText"/>
        <w:spacing w:before="57"/>
        <w:rPr>
          <w:rFonts w:ascii="Verdana" w:hAnsi="Verdana" w:cs="Times New Roman"/>
        </w:rPr>
      </w:pPr>
    </w:p>
    <w:p w14:paraId="08380985" w14:textId="77777777" w:rsidR="008715BE" w:rsidRPr="00EC75B7" w:rsidRDefault="00000000" w:rsidP="00351101">
      <w:pPr>
        <w:pStyle w:val="Heading5"/>
        <w:ind w:left="765" w:right="814"/>
        <w:rPr>
          <w:rFonts w:ascii="Verdana" w:hAnsi="Verdana" w:cs="Times New Roman"/>
          <w:b w:val="0"/>
          <w:bCs w:val="0"/>
        </w:rPr>
      </w:pPr>
      <w:r w:rsidRPr="00EC75B7">
        <w:rPr>
          <w:rFonts w:ascii="Verdana" w:hAnsi="Verdana" w:cs="Times New Roman"/>
          <w:b w:val="0"/>
          <w:bCs w:val="0"/>
        </w:rPr>
        <w:t>Name of the holder: SOUTH WIND SRL</w:t>
      </w:r>
    </w:p>
    <w:p w14:paraId="569E5648" w14:textId="595D0A3F" w:rsidR="008715BE" w:rsidRPr="00EC75B7" w:rsidRDefault="00000000" w:rsidP="00351101">
      <w:pPr>
        <w:spacing w:before="165"/>
        <w:ind w:left="765" w:right="814"/>
        <w:jc w:val="both"/>
        <w:rPr>
          <w:rFonts w:ascii="Verdana" w:hAnsi="Verdana" w:cs="Times New Roman"/>
          <w:sz w:val="18"/>
          <w:szCs w:val="18"/>
        </w:rPr>
      </w:pPr>
      <w:r w:rsidRPr="00EC75B7">
        <w:rPr>
          <w:rFonts w:ascii="Verdana" w:hAnsi="Verdana" w:cs="Times New Roman"/>
          <w:sz w:val="18"/>
          <w:szCs w:val="18"/>
        </w:rPr>
        <w:t>Address of the holder: Str. Comana, no. 4, 1st floor, sector 1 Bucharest, Romania, Telephone: +40728030 019, Email:</w:t>
      </w:r>
      <w:hyperlink r:id="rId16">
        <w:r w:rsidR="008715BE" w:rsidRPr="00EC75B7">
          <w:rPr>
            <w:rFonts w:ascii="Verdana" w:hAnsi="Verdana"/>
            <w:color w:val="009DEF"/>
            <w:spacing w:val="-2"/>
            <w:sz w:val="18"/>
            <w:szCs w:val="18"/>
            <w:u w:val="single" w:color="009DEF"/>
          </w:rPr>
          <w:t>andreea.raducu@ox2.com</w:t>
        </w:r>
      </w:hyperlink>
      <w:r w:rsidR="005661E6" w:rsidRPr="00EC75B7">
        <w:rPr>
          <w:rFonts w:ascii="Verdana" w:hAnsi="Verdana"/>
          <w:color w:val="009DEF"/>
          <w:spacing w:val="-2"/>
          <w:sz w:val="18"/>
          <w:szCs w:val="18"/>
          <w:u w:val="single" w:color="009DEF"/>
        </w:rPr>
        <w:t xml:space="preserve"> </w:t>
      </w:r>
      <w:r w:rsidRPr="00EC75B7">
        <w:rPr>
          <w:rFonts w:ascii="Verdana" w:hAnsi="Verdana" w:cs="Times New Roman"/>
          <w:sz w:val="18"/>
          <w:szCs w:val="18"/>
        </w:rPr>
        <w:t xml:space="preserve"> , Website:</w:t>
      </w:r>
      <w:hyperlink r:id="rId17">
        <w:r w:rsidR="008715BE" w:rsidRPr="00EC75B7">
          <w:rPr>
            <w:rFonts w:ascii="Verdana" w:hAnsi="Verdana" w:cs="Times New Roman"/>
            <w:sz w:val="18"/>
            <w:szCs w:val="18"/>
          </w:rPr>
          <w:t xml:space="preserve"> https://www.ox2.com/ro/romania</w:t>
        </w:r>
      </w:hyperlink>
      <w:r w:rsidR="005661E6" w:rsidRPr="00EC75B7">
        <w:rPr>
          <w:rFonts w:ascii="Verdana" w:hAnsi="Verdana" w:cs="Times New Roman"/>
          <w:sz w:val="18"/>
          <w:szCs w:val="18"/>
        </w:rPr>
        <w:t xml:space="preserve"> </w:t>
      </w:r>
    </w:p>
    <w:p w14:paraId="1360E273" w14:textId="77777777" w:rsidR="008715BE" w:rsidRPr="00EC75B7" w:rsidRDefault="00000000" w:rsidP="00351101">
      <w:pPr>
        <w:spacing w:before="164"/>
        <w:ind w:left="765" w:right="814"/>
        <w:jc w:val="both"/>
        <w:rPr>
          <w:rFonts w:ascii="Verdana" w:hAnsi="Verdana"/>
          <w:sz w:val="18"/>
          <w:szCs w:val="18"/>
        </w:rPr>
      </w:pPr>
      <w:r w:rsidRPr="00EC75B7">
        <w:rPr>
          <w:rFonts w:ascii="Verdana" w:hAnsi="Verdana" w:cs="Times New Roman"/>
          <w:sz w:val="18"/>
          <w:szCs w:val="18"/>
        </w:rPr>
        <w:t>Contact person: Andreea Răducu, phone: +40 728 030 019, e-mail:</w:t>
      </w:r>
      <w:r w:rsidRPr="00EC75B7">
        <w:rPr>
          <w:rFonts w:ascii="Verdana" w:hAnsi="Verdana"/>
          <w:sz w:val="18"/>
          <w:szCs w:val="18"/>
        </w:rPr>
        <w:t xml:space="preserve"> </w:t>
      </w:r>
      <w:hyperlink r:id="rId18">
        <w:r w:rsidR="008715BE" w:rsidRPr="00EC75B7">
          <w:rPr>
            <w:rFonts w:ascii="Verdana" w:hAnsi="Verdana"/>
            <w:color w:val="009DEF"/>
            <w:spacing w:val="-2"/>
            <w:sz w:val="18"/>
            <w:szCs w:val="18"/>
            <w:u w:val="single" w:color="009DEF"/>
          </w:rPr>
          <w:t>andreea.raducu@ox2.com</w:t>
        </w:r>
      </w:hyperlink>
    </w:p>
    <w:p w14:paraId="06DC0489" w14:textId="77777777" w:rsidR="008715BE" w:rsidRPr="00EC75B7" w:rsidRDefault="00000000" w:rsidP="00351101">
      <w:pPr>
        <w:spacing w:before="162"/>
        <w:ind w:left="765" w:right="814"/>
        <w:jc w:val="both"/>
        <w:rPr>
          <w:rFonts w:ascii="Verdana" w:hAnsi="Verdana"/>
          <w:sz w:val="18"/>
          <w:szCs w:val="18"/>
        </w:rPr>
      </w:pPr>
      <w:r w:rsidRPr="00EC75B7">
        <w:rPr>
          <w:rFonts w:ascii="Verdana" w:hAnsi="Verdana" w:cs="Times New Roman"/>
          <w:sz w:val="18"/>
          <w:szCs w:val="18"/>
        </w:rPr>
        <w:t>Legal representatives/authorized representatives: Lăcrămioara Diaconu-Pințea,</w:t>
      </w:r>
      <w:r w:rsidRPr="00EC75B7">
        <w:rPr>
          <w:rFonts w:ascii="Verdana" w:hAnsi="Verdana"/>
          <w:sz w:val="18"/>
          <w:szCs w:val="18"/>
        </w:rPr>
        <w:t xml:space="preserve"> </w:t>
      </w:r>
      <w:r w:rsidRPr="00EC75B7">
        <w:rPr>
          <w:rFonts w:ascii="Verdana" w:hAnsi="Verdana" w:cs="Times New Roman"/>
          <w:sz w:val="18"/>
          <w:szCs w:val="18"/>
        </w:rPr>
        <w:t>Administrator South Wind</w:t>
      </w:r>
      <w:r w:rsidRPr="00EC75B7">
        <w:rPr>
          <w:rFonts w:ascii="Verdana" w:hAnsi="Verdana"/>
          <w:sz w:val="18"/>
          <w:szCs w:val="18"/>
        </w:rPr>
        <w:t xml:space="preserve"> </w:t>
      </w:r>
      <w:r w:rsidRPr="00EC75B7">
        <w:rPr>
          <w:rFonts w:ascii="Verdana" w:hAnsi="Verdana"/>
          <w:spacing w:val="-4"/>
          <w:sz w:val="18"/>
          <w:szCs w:val="18"/>
        </w:rPr>
        <w:t>SRL.</w:t>
      </w:r>
    </w:p>
    <w:p w14:paraId="41A6BC6F" w14:textId="77777777" w:rsidR="008715BE" w:rsidRPr="00EC75B7" w:rsidRDefault="008715BE">
      <w:pPr>
        <w:pStyle w:val="BodyText"/>
        <w:spacing w:before="70"/>
        <w:rPr>
          <w:rFonts w:ascii="Verdana" w:hAnsi="Verdana"/>
        </w:rPr>
      </w:pPr>
    </w:p>
    <w:p w14:paraId="3497BECC" w14:textId="77777777" w:rsidR="008715BE" w:rsidRPr="00EC75B7" w:rsidRDefault="00000000">
      <w:pPr>
        <w:pStyle w:val="Heading1"/>
        <w:numPr>
          <w:ilvl w:val="0"/>
          <w:numId w:val="110"/>
        </w:numPr>
        <w:tabs>
          <w:tab w:val="left" w:pos="1485"/>
        </w:tabs>
        <w:ind w:hanging="842"/>
        <w:jc w:val="left"/>
        <w:rPr>
          <w:rFonts w:ascii="Verdana" w:hAnsi="Verdana"/>
          <w:sz w:val="18"/>
          <w:szCs w:val="18"/>
        </w:rPr>
      </w:pPr>
      <w:bookmarkStart w:id="2" w:name="_bookmark2"/>
      <w:bookmarkEnd w:id="2"/>
      <w:r w:rsidRPr="00EC75B7">
        <w:rPr>
          <w:rFonts w:ascii="Verdana" w:hAnsi="Verdana"/>
          <w:color w:val="00AFEF"/>
          <w:spacing w:val="-2"/>
          <w:sz w:val="18"/>
          <w:szCs w:val="18"/>
        </w:rPr>
        <w:t xml:space="preserve">PROJECT </w:t>
      </w:r>
      <w:r w:rsidRPr="00EC75B7">
        <w:rPr>
          <w:rFonts w:ascii="Verdana" w:hAnsi="Verdana"/>
          <w:color w:val="00AFEF"/>
          <w:sz w:val="18"/>
          <w:szCs w:val="18"/>
        </w:rPr>
        <w:t>DESCRIPTION</w:t>
      </w:r>
    </w:p>
    <w:p w14:paraId="3C7F7519" w14:textId="77777777" w:rsidR="008715BE" w:rsidRPr="00EC75B7" w:rsidRDefault="008715BE">
      <w:pPr>
        <w:pStyle w:val="BodyText"/>
        <w:spacing w:before="62"/>
        <w:rPr>
          <w:rFonts w:ascii="Verdana" w:hAnsi="Verdana"/>
          <w:b/>
        </w:rPr>
      </w:pPr>
    </w:p>
    <w:p w14:paraId="2EFE60D9" w14:textId="77777777" w:rsidR="008715BE" w:rsidRPr="00EC75B7" w:rsidRDefault="00000000">
      <w:pPr>
        <w:pStyle w:val="Heading2"/>
        <w:numPr>
          <w:ilvl w:val="1"/>
          <w:numId w:val="110"/>
        </w:numPr>
        <w:tabs>
          <w:tab w:val="left" w:pos="1539"/>
        </w:tabs>
        <w:spacing w:before="1"/>
        <w:ind w:left="1539" w:hanging="716"/>
        <w:jc w:val="left"/>
        <w:rPr>
          <w:rFonts w:ascii="Verdana" w:hAnsi="Verdana"/>
          <w:color w:val="00AFEF"/>
          <w:sz w:val="18"/>
          <w:szCs w:val="18"/>
        </w:rPr>
      </w:pPr>
      <w:bookmarkStart w:id="3" w:name="_bookmark3"/>
      <w:bookmarkEnd w:id="3"/>
      <w:r w:rsidRPr="00EC75B7">
        <w:rPr>
          <w:rFonts w:ascii="Verdana" w:hAnsi="Verdana"/>
          <w:color w:val="00AFEF"/>
          <w:sz w:val="18"/>
          <w:szCs w:val="18"/>
        </w:rPr>
        <w:t xml:space="preserve">General presentation of </w:t>
      </w:r>
      <w:r w:rsidRPr="00EC75B7">
        <w:rPr>
          <w:rFonts w:ascii="Verdana" w:hAnsi="Verdana"/>
          <w:color w:val="00AFEF"/>
          <w:spacing w:val="-2"/>
          <w:sz w:val="18"/>
          <w:szCs w:val="18"/>
        </w:rPr>
        <w:t>the project</w:t>
      </w:r>
    </w:p>
    <w:p w14:paraId="0832298A" w14:textId="77777777" w:rsidR="005661E6" w:rsidRPr="00EC75B7" w:rsidRDefault="005661E6" w:rsidP="005661E6">
      <w:pPr>
        <w:pStyle w:val="Heading2"/>
        <w:tabs>
          <w:tab w:val="left" w:pos="1539"/>
        </w:tabs>
        <w:spacing w:before="1"/>
        <w:rPr>
          <w:rFonts w:ascii="Verdana" w:hAnsi="Verdana"/>
          <w:color w:val="00AFEF"/>
          <w:spacing w:val="-2"/>
          <w:sz w:val="18"/>
          <w:szCs w:val="18"/>
        </w:rPr>
      </w:pPr>
    </w:p>
    <w:p w14:paraId="283D641E" w14:textId="62DCBFC8" w:rsidR="005661E6" w:rsidRPr="00EC75B7" w:rsidRDefault="005661E6"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This project involves the construction of a wind farm (wind turbines), including: wind turbines, access roads and assembly/maintenance platforms, electrical substations (own), medium and high voltage electrical network, and telecommunications network. The land on which the investment is to be made is located outside the town of Cerchezu, in Constanţa County. The wind farm will be built exclusively on land classified as "arable".</w:t>
      </w:r>
    </w:p>
    <w:p w14:paraId="25A40D61" w14:textId="77777777" w:rsidR="005661E6" w:rsidRPr="00EC75B7" w:rsidRDefault="005661E6" w:rsidP="005661E6">
      <w:pPr>
        <w:widowControl/>
        <w:autoSpaceDE/>
        <w:autoSpaceDN/>
        <w:spacing w:after="120" w:line="360" w:lineRule="auto"/>
        <w:ind w:left="720" w:right="1264"/>
        <w:jc w:val="both"/>
        <w:rPr>
          <w:rFonts w:ascii="Verdana" w:hAnsi="Verdana" w:cs="Times New Roman"/>
          <w:sz w:val="18"/>
          <w:szCs w:val="18"/>
        </w:rPr>
      </w:pPr>
      <w:r w:rsidRPr="00EC75B7">
        <w:rPr>
          <w:rFonts w:ascii="Verdana" w:hAnsi="Verdana" w:cs="Times New Roman"/>
          <w:sz w:val="18"/>
          <w:szCs w:val="18"/>
        </w:rPr>
        <w:t>SOUTH WIND SRL intends to build and operate a wind power plant equipped with 48 (46) wind turbines with an individual capacity ranging from 6.2 to 7MW/h.</w:t>
      </w:r>
    </w:p>
    <w:p w14:paraId="119C287B" w14:textId="47DFB363" w:rsidR="008715BE" w:rsidRPr="00EC75B7" w:rsidRDefault="005661E6" w:rsidP="00903DD2">
      <w:pPr>
        <w:widowControl/>
        <w:autoSpaceDE/>
        <w:autoSpaceDN/>
        <w:spacing w:after="120" w:line="360" w:lineRule="auto"/>
        <w:ind w:left="720" w:right="1264"/>
        <w:jc w:val="both"/>
        <w:rPr>
          <w:rFonts w:ascii="Verdana" w:hAnsi="Verdana"/>
        </w:rPr>
      </w:pPr>
      <w:r w:rsidRPr="00EC75B7">
        <w:rPr>
          <w:rFonts w:ascii="Verdana" w:hAnsi="Verdana" w:cs="Times New Roman"/>
          <w:sz w:val="18"/>
          <w:szCs w:val="18"/>
        </w:rPr>
        <w:t>The Stereo 70 coordinates of the turbines belonging to the Cerchezu Wind Farm are:</w:t>
      </w:r>
    </w:p>
    <w:tbl>
      <w:tblPr>
        <w:tblStyle w:val="TableNormal1"/>
        <w:tblW w:w="0" w:type="auto"/>
        <w:tblInd w:w="27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1203"/>
        <w:gridCol w:w="1901"/>
        <w:gridCol w:w="1901"/>
      </w:tblGrid>
      <w:tr w:rsidR="008715BE" w:rsidRPr="00EC75B7" w14:paraId="1893489E" w14:textId="77777777">
        <w:trPr>
          <w:trHeight w:val="436"/>
        </w:trPr>
        <w:tc>
          <w:tcPr>
            <w:tcW w:w="720" w:type="dxa"/>
            <w:vMerge w:val="restart"/>
          </w:tcPr>
          <w:p w14:paraId="2EC9A511" w14:textId="77777777" w:rsidR="008715BE" w:rsidRPr="00EC75B7" w:rsidRDefault="00000000">
            <w:pPr>
              <w:pStyle w:val="TableParagraph"/>
              <w:spacing w:before="11"/>
              <w:ind w:left="220" w:right="2" w:firstLine="16"/>
              <w:rPr>
                <w:rFonts w:ascii="Verdana" w:hAnsi="Verdana" w:cs="Times New Roman"/>
                <w:sz w:val="18"/>
                <w:szCs w:val="18"/>
              </w:rPr>
            </w:pPr>
            <w:r w:rsidRPr="00EC75B7">
              <w:rPr>
                <w:rFonts w:ascii="Verdana" w:hAnsi="Verdana" w:cs="Times New Roman"/>
                <w:sz w:val="18"/>
                <w:szCs w:val="18"/>
              </w:rPr>
              <w:t>No.</w:t>
            </w:r>
          </w:p>
        </w:tc>
        <w:tc>
          <w:tcPr>
            <w:tcW w:w="1203" w:type="dxa"/>
            <w:vMerge w:val="restart"/>
          </w:tcPr>
          <w:p w14:paraId="08CE415D" w14:textId="77777777" w:rsidR="008715BE" w:rsidRPr="00EC75B7" w:rsidRDefault="00000000">
            <w:pPr>
              <w:pStyle w:val="TableParagraph"/>
              <w:spacing w:before="11"/>
              <w:ind w:left="233" w:hanging="125"/>
              <w:rPr>
                <w:rFonts w:ascii="Verdana" w:hAnsi="Verdana" w:cs="Times New Roman"/>
                <w:sz w:val="18"/>
                <w:szCs w:val="18"/>
              </w:rPr>
            </w:pPr>
            <w:r w:rsidRPr="00EC75B7">
              <w:rPr>
                <w:rFonts w:ascii="Verdana" w:hAnsi="Verdana" w:cs="Times New Roman"/>
                <w:sz w:val="18"/>
                <w:szCs w:val="18"/>
              </w:rPr>
              <w:t>Turbine name</w:t>
            </w:r>
          </w:p>
        </w:tc>
        <w:tc>
          <w:tcPr>
            <w:tcW w:w="3802" w:type="dxa"/>
            <w:gridSpan w:val="2"/>
          </w:tcPr>
          <w:p w14:paraId="6BAE4B7F" w14:textId="77777777" w:rsidR="008715BE" w:rsidRPr="00EC75B7" w:rsidRDefault="00000000">
            <w:pPr>
              <w:pStyle w:val="TableParagraph"/>
              <w:spacing w:before="11"/>
              <w:ind w:left="794"/>
              <w:rPr>
                <w:rFonts w:ascii="Verdana" w:hAnsi="Verdana" w:cs="Times New Roman"/>
                <w:sz w:val="18"/>
                <w:szCs w:val="18"/>
              </w:rPr>
            </w:pPr>
            <w:r w:rsidRPr="00EC75B7">
              <w:rPr>
                <w:rFonts w:ascii="Verdana" w:hAnsi="Verdana" w:cs="Times New Roman"/>
                <w:sz w:val="18"/>
                <w:szCs w:val="18"/>
              </w:rPr>
              <w:t>Stereo 70 coordinates</w:t>
            </w:r>
          </w:p>
        </w:tc>
      </w:tr>
      <w:tr w:rsidR="008715BE" w:rsidRPr="00EC75B7" w14:paraId="290555F5" w14:textId="77777777">
        <w:trPr>
          <w:trHeight w:val="239"/>
        </w:trPr>
        <w:tc>
          <w:tcPr>
            <w:tcW w:w="720" w:type="dxa"/>
            <w:vMerge/>
            <w:tcBorders>
              <w:top w:val="nil"/>
            </w:tcBorders>
          </w:tcPr>
          <w:p w14:paraId="65558414" w14:textId="77777777" w:rsidR="008715BE" w:rsidRPr="00EC75B7" w:rsidRDefault="008715BE">
            <w:pPr>
              <w:rPr>
                <w:rFonts w:ascii="Verdana" w:hAnsi="Verdana" w:cs="Times New Roman"/>
                <w:sz w:val="18"/>
                <w:szCs w:val="18"/>
              </w:rPr>
            </w:pPr>
          </w:p>
        </w:tc>
        <w:tc>
          <w:tcPr>
            <w:tcW w:w="1203" w:type="dxa"/>
            <w:vMerge/>
            <w:tcBorders>
              <w:top w:val="nil"/>
            </w:tcBorders>
          </w:tcPr>
          <w:p w14:paraId="1CB8D354" w14:textId="77777777" w:rsidR="008715BE" w:rsidRPr="00EC75B7" w:rsidRDefault="008715BE">
            <w:pPr>
              <w:rPr>
                <w:rFonts w:ascii="Verdana" w:hAnsi="Verdana" w:cs="Times New Roman"/>
                <w:sz w:val="18"/>
                <w:szCs w:val="18"/>
              </w:rPr>
            </w:pPr>
          </w:p>
        </w:tc>
        <w:tc>
          <w:tcPr>
            <w:tcW w:w="1901" w:type="dxa"/>
          </w:tcPr>
          <w:p w14:paraId="798FEBBE" w14:textId="77777777" w:rsidR="008715BE" w:rsidRPr="00EC75B7" w:rsidRDefault="00000000">
            <w:pPr>
              <w:pStyle w:val="TableParagraph"/>
              <w:spacing w:before="30" w:line="190" w:lineRule="exact"/>
              <w:ind w:left="10" w:right="3"/>
              <w:jc w:val="center"/>
              <w:rPr>
                <w:rFonts w:ascii="Verdana" w:hAnsi="Verdana" w:cs="Times New Roman"/>
                <w:sz w:val="18"/>
                <w:szCs w:val="18"/>
              </w:rPr>
            </w:pPr>
            <w:r w:rsidRPr="00EC75B7">
              <w:rPr>
                <w:rFonts w:ascii="Verdana" w:hAnsi="Verdana" w:cs="Times New Roman"/>
                <w:sz w:val="18"/>
                <w:szCs w:val="18"/>
              </w:rPr>
              <w:t>X</w:t>
            </w:r>
          </w:p>
        </w:tc>
        <w:tc>
          <w:tcPr>
            <w:tcW w:w="1901" w:type="dxa"/>
          </w:tcPr>
          <w:p w14:paraId="2153DB00" w14:textId="77777777" w:rsidR="008715BE" w:rsidRPr="00EC75B7" w:rsidRDefault="00000000">
            <w:pPr>
              <w:pStyle w:val="TableParagraph"/>
              <w:spacing w:before="30" w:line="190" w:lineRule="exact"/>
              <w:ind w:left="10" w:right="2"/>
              <w:jc w:val="center"/>
              <w:rPr>
                <w:rFonts w:ascii="Verdana" w:hAnsi="Verdana" w:cs="Times New Roman"/>
                <w:sz w:val="18"/>
                <w:szCs w:val="18"/>
              </w:rPr>
            </w:pPr>
            <w:r w:rsidRPr="00EC75B7">
              <w:rPr>
                <w:rFonts w:ascii="Verdana" w:hAnsi="Verdana" w:cs="Times New Roman"/>
                <w:sz w:val="18"/>
                <w:szCs w:val="18"/>
              </w:rPr>
              <w:t>Y</w:t>
            </w:r>
          </w:p>
        </w:tc>
      </w:tr>
      <w:tr w:rsidR="008715BE" w:rsidRPr="00EC75B7" w14:paraId="64D40B9F" w14:textId="77777777">
        <w:trPr>
          <w:trHeight w:val="289"/>
        </w:trPr>
        <w:tc>
          <w:tcPr>
            <w:tcW w:w="720" w:type="dxa"/>
          </w:tcPr>
          <w:p w14:paraId="4CBF725E"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1</w:t>
            </w:r>
          </w:p>
        </w:tc>
        <w:tc>
          <w:tcPr>
            <w:tcW w:w="1203" w:type="dxa"/>
          </w:tcPr>
          <w:p w14:paraId="67935C3C"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TI</w:t>
            </w:r>
          </w:p>
        </w:tc>
        <w:tc>
          <w:tcPr>
            <w:tcW w:w="1901" w:type="dxa"/>
          </w:tcPr>
          <w:p w14:paraId="1B464CB4"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260599.019</w:t>
            </w:r>
          </w:p>
        </w:tc>
        <w:tc>
          <w:tcPr>
            <w:tcW w:w="1901" w:type="dxa"/>
          </w:tcPr>
          <w:p w14:paraId="72F9663C"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752012.767</w:t>
            </w:r>
          </w:p>
        </w:tc>
      </w:tr>
      <w:tr w:rsidR="008715BE" w:rsidRPr="00EC75B7" w14:paraId="39BD7136" w14:textId="77777777">
        <w:trPr>
          <w:trHeight w:val="290"/>
        </w:trPr>
        <w:tc>
          <w:tcPr>
            <w:tcW w:w="720" w:type="dxa"/>
          </w:tcPr>
          <w:p w14:paraId="35CECE78"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2</w:t>
            </w:r>
          </w:p>
        </w:tc>
        <w:tc>
          <w:tcPr>
            <w:tcW w:w="1203" w:type="dxa"/>
          </w:tcPr>
          <w:p w14:paraId="59D3A729"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w:t>
            </w:r>
          </w:p>
        </w:tc>
        <w:tc>
          <w:tcPr>
            <w:tcW w:w="1901" w:type="dxa"/>
          </w:tcPr>
          <w:p w14:paraId="27C0BA5F"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260707.001</w:t>
            </w:r>
          </w:p>
        </w:tc>
        <w:tc>
          <w:tcPr>
            <w:tcW w:w="1901" w:type="dxa"/>
          </w:tcPr>
          <w:p w14:paraId="27BA8643"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750671.999</w:t>
            </w:r>
          </w:p>
        </w:tc>
      </w:tr>
      <w:tr w:rsidR="008715BE" w:rsidRPr="00EC75B7" w14:paraId="22B712C2" w14:textId="77777777">
        <w:trPr>
          <w:trHeight w:val="290"/>
        </w:trPr>
        <w:tc>
          <w:tcPr>
            <w:tcW w:w="720" w:type="dxa"/>
          </w:tcPr>
          <w:p w14:paraId="33ACF94A"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3</w:t>
            </w:r>
          </w:p>
        </w:tc>
        <w:tc>
          <w:tcPr>
            <w:tcW w:w="1203" w:type="dxa"/>
          </w:tcPr>
          <w:p w14:paraId="0DE4491A"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w:t>
            </w:r>
          </w:p>
        </w:tc>
        <w:tc>
          <w:tcPr>
            <w:tcW w:w="1901" w:type="dxa"/>
          </w:tcPr>
          <w:p w14:paraId="09D52D49"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259835.487</w:t>
            </w:r>
          </w:p>
        </w:tc>
        <w:tc>
          <w:tcPr>
            <w:tcW w:w="1901" w:type="dxa"/>
          </w:tcPr>
          <w:p w14:paraId="5236FDE5"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752269.785</w:t>
            </w:r>
          </w:p>
        </w:tc>
      </w:tr>
      <w:tr w:rsidR="008715BE" w:rsidRPr="00EC75B7" w14:paraId="4A34EF00" w14:textId="77777777">
        <w:trPr>
          <w:trHeight w:val="290"/>
        </w:trPr>
        <w:tc>
          <w:tcPr>
            <w:tcW w:w="720" w:type="dxa"/>
          </w:tcPr>
          <w:p w14:paraId="64576AC6"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4</w:t>
            </w:r>
          </w:p>
        </w:tc>
        <w:tc>
          <w:tcPr>
            <w:tcW w:w="1203" w:type="dxa"/>
          </w:tcPr>
          <w:p w14:paraId="08A82704"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T4</w:t>
            </w:r>
          </w:p>
        </w:tc>
        <w:tc>
          <w:tcPr>
            <w:tcW w:w="1901" w:type="dxa"/>
          </w:tcPr>
          <w:p w14:paraId="35ED8C4F" w14:textId="5B0FF3D8"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261197.145</w:t>
            </w:r>
          </w:p>
        </w:tc>
        <w:tc>
          <w:tcPr>
            <w:tcW w:w="1901" w:type="dxa"/>
          </w:tcPr>
          <w:p w14:paraId="752C93F4" w14:textId="507607A4"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751390.489</w:t>
            </w:r>
          </w:p>
        </w:tc>
      </w:tr>
      <w:tr w:rsidR="008715BE" w:rsidRPr="00EC75B7" w14:paraId="6AB61F75" w14:textId="77777777">
        <w:trPr>
          <w:trHeight w:val="290"/>
        </w:trPr>
        <w:tc>
          <w:tcPr>
            <w:tcW w:w="720" w:type="dxa"/>
          </w:tcPr>
          <w:p w14:paraId="6BC1BA79"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5</w:t>
            </w:r>
          </w:p>
        </w:tc>
        <w:tc>
          <w:tcPr>
            <w:tcW w:w="1203" w:type="dxa"/>
          </w:tcPr>
          <w:p w14:paraId="021BAE3E"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T5</w:t>
            </w:r>
          </w:p>
        </w:tc>
        <w:tc>
          <w:tcPr>
            <w:tcW w:w="1901" w:type="dxa"/>
          </w:tcPr>
          <w:p w14:paraId="7AF844C8"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264646.238</w:t>
            </w:r>
          </w:p>
        </w:tc>
        <w:tc>
          <w:tcPr>
            <w:tcW w:w="1901" w:type="dxa"/>
          </w:tcPr>
          <w:p w14:paraId="217398B5"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749691.162</w:t>
            </w:r>
          </w:p>
        </w:tc>
      </w:tr>
      <w:tr w:rsidR="008715BE" w:rsidRPr="00EC75B7" w14:paraId="51183F5D" w14:textId="77777777">
        <w:trPr>
          <w:trHeight w:val="290"/>
        </w:trPr>
        <w:tc>
          <w:tcPr>
            <w:tcW w:w="720" w:type="dxa"/>
          </w:tcPr>
          <w:p w14:paraId="67E1C52F"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6</w:t>
            </w:r>
          </w:p>
        </w:tc>
        <w:tc>
          <w:tcPr>
            <w:tcW w:w="1203" w:type="dxa"/>
          </w:tcPr>
          <w:p w14:paraId="5B569BAD"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T6</w:t>
            </w:r>
          </w:p>
        </w:tc>
        <w:tc>
          <w:tcPr>
            <w:tcW w:w="1901" w:type="dxa"/>
          </w:tcPr>
          <w:p w14:paraId="249F2280"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262150.001</w:t>
            </w:r>
          </w:p>
        </w:tc>
        <w:tc>
          <w:tcPr>
            <w:tcW w:w="1901" w:type="dxa"/>
          </w:tcPr>
          <w:p w14:paraId="07FB5C80"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752014.999</w:t>
            </w:r>
          </w:p>
        </w:tc>
      </w:tr>
      <w:tr w:rsidR="008715BE" w:rsidRPr="00EC75B7" w14:paraId="1E26C6B2" w14:textId="77777777">
        <w:trPr>
          <w:trHeight w:val="290"/>
        </w:trPr>
        <w:tc>
          <w:tcPr>
            <w:tcW w:w="720" w:type="dxa"/>
          </w:tcPr>
          <w:p w14:paraId="2A43BAB6"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7</w:t>
            </w:r>
          </w:p>
        </w:tc>
        <w:tc>
          <w:tcPr>
            <w:tcW w:w="1203" w:type="dxa"/>
          </w:tcPr>
          <w:p w14:paraId="035EAF7D"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T7</w:t>
            </w:r>
          </w:p>
        </w:tc>
        <w:tc>
          <w:tcPr>
            <w:tcW w:w="1901" w:type="dxa"/>
          </w:tcPr>
          <w:p w14:paraId="627EF9F1"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261952.001</w:t>
            </w:r>
          </w:p>
        </w:tc>
        <w:tc>
          <w:tcPr>
            <w:tcW w:w="1901" w:type="dxa"/>
          </w:tcPr>
          <w:p w14:paraId="3C4780D9"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753482.999</w:t>
            </w:r>
          </w:p>
        </w:tc>
      </w:tr>
      <w:tr w:rsidR="008715BE" w:rsidRPr="00EC75B7" w14:paraId="57F2C82D" w14:textId="77777777">
        <w:trPr>
          <w:trHeight w:val="290"/>
        </w:trPr>
        <w:tc>
          <w:tcPr>
            <w:tcW w:w="720" w:type="dxa"/>
          </w:tcPr>
          <w:p w14:paraId="50A1678A"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8</w:t>
            </w:r>
          </w:p>
        </w:tc>
        <w:tc>
          <w:tcPr>
            <w:tcW w:w="1203" w:type="dxa"/>
          </w:tcPr>
          <w:p w14:paraId="5B0E00E8"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T8</w:t>
            </w:r>
          </w:p>
        </w:tc>
        <w:tc>
          <w:tcPr>
            <w:tcW w:w="1901" w:type="dxa"/>
          </w:tcPr>
          <w:p w14:paraId="4345B413"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262714.286</w:t>
            </w:r>
          </w:p>
        </w:tc>
        <w:tc>
          <w:tcPr>
            <w:tcW w:w="1901" w:type="dxa"/>
          </w:tcPr>
          <w:p w14:paraId="641A170A"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752564.203</w:t>
            </w:r>
          </w:p>
        </w:tc>
      </w:tr>
      <w:tr w:rsidR="008715BE" w:rsidRPr="00EC75B7" w14:paraId="49E2A191" w14:textId="77777777">
        <w:trPr>
          <w:trHeight w:val="290"/>
        </w:trPr>
        <w:tc>
          <w:tcPr>
            <w:tcW w:w="720" w:type="dxa"/>
          </w:tcPr>
          <w:p w14:paraId="17F6559E" w14:textId="77777777" w:rsidR="008715BE" w:rsidRPr="00EC75B7" w:rsidRDefault="00000000">
            <w:pPr>
              <w:pStyle w:val="TableParagraph"/>
              <w:spacing w:before="80" w:line="190" w:lineRule="exact"/>
              <w:ind w:left="10" w:right="2"/>
              <w:jc w:val="center"/>
              <w:rPr>
                <w:rFonts w:ascii="Verdana" w:hAnsi="Verdana" w:cs="Times New Roman"/>
                <w:sz w:val="18"/>
                <w:szCs w:val="18"/>
              </w:rPr>
            </w:pPr>
            <w:r w:rsidRPr="00EC75B7">
              <w:rPr>
                <w:rFonts w:ascii="Verdana" w:hAnsi="Verdana" w:cs="Times New Roman"/>
                <w:sz w:val="18"/>
                <w:szCs w:val="18"/>
              </w:rPr>
              <w:t>9</w:t>
            </w:r>
          </w:p>
        </w:tc>
        <w:tc>
          <w:tcPr>
            <w:tcW w:w="1203" w:type="dxa"/>
          </w:tcPr>
          <w:p w14:paraId="603F5E1F"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T9</w:t>
            </w:r>
          </w:p>
        </w:tc>
        <w:tc>
          <w:tcPr>
            <w:tcW w:w="1901" w:type="dxa"/>
          </w:tcPr>
          <w:p w14:paraId="7A0AAF4A"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262762.001</w:t>
            </w:r>
          </w:p>
        </w:tc>
        <w:tc>
          <w:tcPr>
            <w:tcW w:w="1901" w:type="dxa"/>
          </w:tcPr>
          <w:p w14:paraId="06F39688"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753715.999</w:t>
            </w:r>
          </w:p>
        </w:tc>
      </w:tr>
      <w:tr w:rsidR="008715BE" w:rsidRPr="00EC75B7" w14:paraId="4DE321F8" w14:textId="77777777">
        <w:trPr>
          <w:trHeight w:val="290"/>
        </w:trPr>
        <w:tc>
          <w:tcPr>
            <w:tcW w:w="720" w:type="dxa"/>
          </w:tcPr>
          <w:p w14:paraId="165D206E"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10</w:t>
            </w:r>
          </w:p>
        </w:tc>
        <w:tc>
          <w:tcPr>
            <w:tcW w:w="1203" w:type="dxa"/>
          </w:tcPr>
          <w:p w14:paraId="0DB1CCE4"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T10</w:t>
            </w:r>
          </w:p>
        </w:tc>
        <w:tc>
          <w:tcPr>
            <w:tcW w:w="1901" w:type="dxa"/>
          </w:tcPr>
          <w:p w14:paraId="790E11C1"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263531.999</w:t>
            </w:r>
          </w:p>
        </w:tc>
        <w:tc>
          <w:tcPr>
            <w:tcW w:w="1901" w:type="dxa"/>
          </w:tcPr>
          <w:p w14:paraId="2BCC0B88"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752025.001</w:t>
            </w:r>
          </w:p>
        </w:tc>
      </w:tr>
      <w:tr w:rsidR="008715BE" w:rsidRPr="00EC75B7" w14:paraId="4BE477A4" w14:textId="77777777">
        <w:trPr>
          <w:trHeight w:val="290"/>
        </w:trPr>
        <w:tc>
          <w:tcPr>
            <w:tcW w:w="720" w:type="dxa"/>
          </w:tcPr>
          <w:p w14:paraId="1D9AFE76"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11</w:t>
            </w:r>
          </w:p>
        </w:tc>
        <w:tc>
          <w:tcPr>
            <w:tcW w:w="1203" w:type="dxa"/>
          </w:tcPr>
          <w:p w14:paraId="5E20C6C3"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T11</w:t>
            </w:r>
          </w:p>
        </w:tc>
        <w:tc>
          <w:tcPr>
            <w:tcW w:w="1901" w:type="dxa"/>
          </w:tcPr>
          <w:p w14:paraId="2A761523"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264173.999</w:t>
            </w:r>
          </w:p>
        </w:tc>
        <w:tc>
          <w:tcPr>
            <w:tcW w:w="1901" w:type="dxa"/>
          </w:tcPr>
          <w:p w14:paraId="0F15A195"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753446.001</w:t>
            </w:r>
          </w:p>
        </w:tc>
      </w:tr>
      <w:tr w:rsidR="008715BE" w:rsidRPr="00EC75B7" w14:paraId="008B55B1" w14:textId="77777777">
        <w:trPr>
          <w:trHeight w:val="290"/>
        </w:trPr>
        <w:tc>
          <w:tcPr>
            <w:tcW w:w="720" w:type="dxa"/>
          </w:tcPr>
          <w:p w14:paraId="16CEB65B"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12</w:t>
            </w:r>
          </w:p>
        </w:tc>
        <w:tc>
          <w:tcPr>
            <w:tcW w:w="1203" w:type="dxa"/>
          </w:tcPr>
          <w:p w14:paraId="13368A7E"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T12</w:t>
            </w:r>
          </w:p>
        </w:tc>
        <w:tc>
          <w:tcPr>
            <w:tcW w:w="1901" w:type="dxa"/>
          </w:tcPr>
          <w:p w14:paraId="2E6BB78D"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264090.001</w:t>
            </w:r>
          </w:p>
        </w:tc>
        <w:tc>
          <w:tcPr>
            <w:tcW w:w="1901" w:type="dxa"/>
          </w:tcPr>
          <w:p w14:paraId="756D6367"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751208.499</w:t>
            </w:r>
          </w:p>
        </w:tc>
      </w:tr>
      <w:tr w:rsidR="008715BE" w:rsidRPr="00EC75B7" w14:paraId="4F9113C0" w14:textId="77777777">
        <w:trPr>
          <w:trHeight w:val="290"/>
        </w:trPr>
        <w:tc>
          <w:tcPr>
            <w:tcW w:w="720" w:type="dxa"/>
          </w:tcPr>
          <w:p w14:paraId="7C6310B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13</w:t>
            </w:r>
          </w:p>
        </w:tc>
        <w:tc>
          <w:tcPr>
            <w:tcW w:w="1203" w:type="dxa"/>
          </w:tcPr>
          <w:p w14:paraId="7F85E74B"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T13</w:t>
            </w:r>
          </w:p>
        </w:tc>
        <w:tc>
          <w:tcPr>
            <w:tcW w:w="1901" w:type="dxa"/>
          </w:tcPr>
          <w:p w14:paraId="4F071C4F"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265301.333</w:t>
            </w:r>
          </w:p>
        </w:tc>
        <w:tc>
          <w:tcPr>
            <w:tcW w:w="1901" w:type="dxa"/>
          </w:tcPr>
          <w:p w14:paraId="5ED5EA79"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753471.417</w:t>
            </w:r>
          </w:p>
        </w:tc>
      </w:tr>
      <w:tr w:rsidR="008715BE" w:rsidRPr="00EC75B7" w14:paraId="2AAB4E74" w14:textId="77777777">
        <w:trPr>
          <w:trHeight w:val="290"/>
        </w:trPr>
        <w:tc>
          <w:tcPr>
            <w:tcW w:w="720" w:type="dxa"/>
          </w:tcPr>
          <w:p w14:paraId="0BAF86E4"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14</w:t>
            </w:r>
          </w:p>
        </w:tc>
        <w:tc>
          <w:tcPr>
            <w:tcW w:w="1203" w:type="dxa"/>
          </w:tcPr>
          <w:p w14:paraId="67D6A002"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T14</w:t>
            </w:r>
          </w:p>
        </w:tc>
        <w:tc>
          <w:tcPr>
            <w:tcW w:w="1901" w:type="dxa"/>
          </w:tcPr>
          <w:p w14:paraId="2FC55BFF"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265151.10</w:t>
            </w:r>
          </w:p>
        </w:tc>
        <w:tc>
          <w:tcPr>
            <w:tcW w:w="1901" w:type="dxa"/>
          </w:tcPr>
          <w:p w14:paraId="4167155C"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752424.777</w:t>
            </w:r>
          </w:p>
        </w:tc>
      </w:tr>
      <w:tr w:rsidR="008715BE" w:rsidRPr="00EC75B7" w14:paraId="02E8E650" w14:textId="77777777">
        <w:trPr>
          <w:trHeight w:val="290"/>
        </w:trPr>
        <w:tc>
          <w:tcPr>
            <w:tcW w:w="720" w:type="dxa"/>
          </w:tcPr>
          <w:p w14:paraId="08ED7E6D" w14:textId="77777777" w:rsidR="008715BE" w:rsidRPr="00EC75B7" w:rsidRDefault="00000000">
            <w:pPr>
              <w:pStyle w:val="TableParagraph"/>
              <w:spacing w:before="81" w:line="190" w:lineRule="exact"/>
              <w:ind w:left="10" w:right="1"/>
              <w:jc w:val="center"/>
              <w:rPr>
                <w:rFonts w:ascii="Verdana" w:hAnsi="Verdana" w:cs="Times New Roman"/>
                <w:sz w:val="18"/>
                <w:szCs w:val="18"/>
              </w:rPr>
            </w:pPr>
            <w:r w:rsidRPr="00EC75B7">
              <w:rPr>
                <w:rFonts w:ascii="Verdana" w:hAnsi="Verdana" w:cs="Times New Roman"/>
                <w:sz w:val="18"/>
                <w:szCs w:val="18"/>
              </w:rPr>
              <w:t>15</w:t>
            </w:r>
          </w:p>
        </w:tc>
        <w:tc>
          <w:tcPr>
            <w:tcW w:w="1203" w:type="dxa"/>
          </w:tcPr>
          <w:p w14:paraId="1A17DD9D" w14:textId="77777777" w:rsidR="008715BE" w:rsidRPr="00EC75B7" w:rsidRDefault="00000000">
            <w:pPr>
              <w:pStyle w:val="TableParagraph"/>
              <w:spacing w:before="81" w:line="190" w:lineRule="exact"/>
              <w:ind w:left="6"/>
              <w:jc w:val="center"/>
              <w:rPr>
                <w:rFonts w:ascii="Verdana" w:hAnsi="Verdana" w:cs="Times New Roman"/>
                <w:sz w:val="18"/>
                <w:szCs w:val="18"/>
              </w:rPr>
            </w:pPr>
            <w:r w:rsidRPr="00EC75B7">
              <w:rPr>
                <w:rFonts w:ascii="Verdana" w:hAnsi="Verdana" w:cs="Times New Roman"/>
                <w:sz w:val="18"/>
                <w:szCs w:val="18"/>
              </w:rPr>
              <w:t>T15</w:t>
            </w:r>
          </w:p>
        </w:tc>
        <w:tc>
          <w:tcPr>
            <w:tcW w:w="1901" w:type="dxa"/>
          </w:tcPr>
          <w:p w14:paraId="209D847D" w14:textId="77777777" w:rsidR="008715BE" w:rsidRPr="00EC75B7" w:rsidRDefault="00000000">
            <w:pPr>
              <w:pStyle w:val="TableParagraph"/>
              <w:spacing w:before="81" w:line="190" w:lineRule="exact"/>
              <w:ind w:left="10"/>
              <w:jc w:val="center"/>
              <w:rPr>
                <w:rFonts w:ascii="Verdana" w:hAnsi="Verdana" w:cs="Times New Roman"/>
                <w:sz w:val="18"/>
                <w:szCs w:val="18"/>
              </w:rPr>
            </w:pPr>
            <w:r w:rsidRPr="00EC75B7">
              <w:rPr>
                <w:rFonts w:ascii="Verdana" w:hAnsi="Verdana" w:cs="Times New Roman"/>
                <w:sz w:val="18"/>
                <w:szCs w:val="18"/>
              </w:rPr>
              <w:t>264856.001</w:t>
            </w:r>
          </w:p>
        </w:tc>
        <w:tc>
          <w:tcPr>
            <w:tcW w:w="1901" w:type="dxa"/>
          </w:tcPr>
          <w:p w14:paraId="55F06894" w14:textId="77777777" w:rsidR="008715BE" w:rsidRPr="00EC75B7" w:rsidRDefault="00000000">
            <w:pPr>
              <w:pStyle w:val="TableParagraph"/>
              <w:spacing w:before="81" w:line="190" w:lineRule="exact"/>
              <w:ind w:left="10"/>
              <w:jc w:val="center"/>
              <w:rPr>
                <w:rFonts w:ascii="Verdana" w:hAnsi="Verdana" w:cs="Times New Roman"/>
                <w:sz w:val="18"/>
                <w:szCs w:val="18"/>
              </w:rPr>
            </w:pPr>
            <w:r w:rsidRPr="00EC75B7">
              <w:rPr>
                <w:rFonts w:ascii="Verdana" w:hAnsi="Verdana" w:cs="Times New Roman"/>
                <w:sz w:val="18"/>
                <w:szCs w:val="18"/>
              </w:rPr>
              <w:t>750707.999</w:t>
            </w:r>
          </w:p>
        </w:tc>
      </w:tr>
      <w:tr w:rsidR="008715BE" w:rsidRPr="00EC75B7" w14:paraId="6D33E853" w14:textId="77777777">
        <w:trPr>
          <w:trHeight w:val="290"/>
        </w:trPr>
        <w:tc>
          <w:tcPr>
            <w:tcW w:w="720" w:type="dxa"/>
          </w:tcPr>
          <w:p w14:paraId="3BD837C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16</w:t>
            </w:r>
          </w:p>
        </w:tc>
        <w:tc>
          <w:tcPr>
            <w:tcW w:w="1203" w:type="dxa"/>
          </w:tcPr>
          <w:p w14:paraId="70E15172"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T16</w:t>
            </w:r>
          </w:p>
        </w:tc>
        <w:tc>
          <w:tcPr>
            <w:tcW w:w="1901" w:type="dxa"/>
          </w:tcPr>
          <w:p w14:paraId="0EFE6612"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265247.999</w:t>
            </w:r>
          </w:p>
        </w:tc>
        <w:tc>
          <w:tcPr>
            <w:tcW w:w="1901" w:type="dxa"/>
          </w:tcPr>
          <w:p w14:paraId="509E8A7E"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750123.001</w:t>
            </w:r>
          </w:p>
        </w:tc>
      </w:tr>
      <w:tr w:rsidR="008715BE" w:rsidRPr="00EC75B7" w14:paraId="0308BA3E" w14:textId="77777777">
        <w:trPr>
          <w:trHeight w:val="438"/>
        </w:trPr>
        <w:tc>
          <w:tcPr>
            <w:tcW w:w="720" w:type="dxa"/>
          </w:tcPr>
          <w:p w14:paraId="7B64AF36" w14:textId="77777777" w:rsidR="008715BE" w:rsidRPr="00EC75B7" w:rsidRDefault="008715BE">
            <w:pPr>
              <w:pStyle w:val="TableParagraph"/>
              <w:spacing w:before="7"/>
              <w:rPr>
                <w:rFonts w:ascii="Verdana" w:hAnsi="Verdana" w:cs="Times New Roman"/>
                <w:sz w:val="18"/>
                <w:szCs w:val="18"/>
              </w:rPr>
            </w:pPr>
          </w:p>
          <w:p w14:paraId="60A29C95" w14:textId="77777777" w:rsidR="008715BE" w:rsidRPr="00EC75B7" w:rsidRDefault="00000000">
            <w:pPr>
              <w:pStyle w:val="TableParagraph"/>
              <w:spacing w:line="192" w:lineRule="exact"/>
              <w:ind w:left="10" w:right="1"/>
              <w:jc w:val="center"/>
              <w:rPr>
                <w:rFonts w:ascii="Verdana" w:hAnsi="Verdana" w:cs="Times New Roman"/>
                <w:sz w:val="18"/>
                <w:szCs w:val="18"/>
              </w:rPr>
            </w:pPr>
            <w:r w:rsidRPr="00EC75B7">
              <w:rPr>
                <w:rFonts w:ascii="Verdana" w:hAnsi="Verdana" w:cs="Times New Roman"/>
                <w:sz w:val="18"/>
                <w:szCs w:val="18"/>
              </w:rPr>
              <w:t>17</w:t>
            </w:r>
          </w:p>
        </w:tc>
        <w:tc>
          <w:tcPr>
            <w:tcW w:w="1203" w:type="dxa"/>
          </w:tcPr>
          <w:p w14:paraId="595DE49B" w14:textId="77777777" w:rsidR="008715BE" w:rsidRPr="00EC75B7" w:rsidRDefault="008715BE">
            <w:pPr>
              <w:pStyle w:val="TableParagraph"/>
              <w:spacing w:before="7"/>
              <w:rPr>
                <w:rFonts w:ascii="Verdana" w:hAnsi="Verdana" w:cs="Times New Roman"/>
                <w:sz w:val="18"/>
                <w:szCs w:val="18"/>
              </w:rPr>
            </w:pPr>
          </w:p>
          <w:p w14:paraId="0217FE68" w14:textId="77777777" w:rsidR="008715BE" w:rsidRPr="00EC75B7" w:rsidRDefault="00000000">
            <w:pPr>
              <w:pStyle w:val="TableParagraph"/>
              <w:spacing w:line="192" w:lineRule="exact"/>
              <w:ind w:left="6"/>
              <w:jc w:val="center"/>
              <w:rPr>
                <w:rFonts w:ascii="Verdana" w:hAnsi="Verdana" w:cs="Times New Roman"/>
                <w:sz w:val="18"/>
                <w:szCs w:val="18"/>
              </w:rPr>
            </w:pPr>
            <w:r w:rsidRPr="00EC75B7">
              <w:rPr>
                <w:rFonts w:ascii="Verdana" w:hAnsi="Verdana" w:cs="Times New Roman"/>
                <w:sz w:val="18"/>
                <w:szCs w:val="18"/>
              </w:rPr>
              <w:t>T17</w:t>
            </w:r>
          </w:p>
        </w:tc>
        <w:tc>
          <w:tcPr>
            <w:tcW w:w="3802" w:type="dxa"/>
            <w:gridSpan w:val="2"/>
          </w:tcPr>
          <w:p w14:paraId="6D878510" w14:textId="77777777" w:rsidR="008715BE" w:rsidRPr="00EC75B7" w:rsidRDefault="00000000">
            <w:pPr>
              <w:pStyle w:val="TableParagraph"/>
              <w:spacing w:line="218" w:lineRule="exact"/>
              <w:ind w:left="623" w:hanging="322"/>
              <w:rPr>
                <w:rFonts w:ascii="Verdana" w:hAnsi="Verdana" w:cs="Times New Roman"/>
                <w:sz w:val="18"/>
                <w:szCs w:val="18"/>
              </w:rPr>
            </w:pPr>
            <w:r w:rsidRPr="00EC75B7">
              <w:rPr>
                <w:rFonts w:ascii="Verdana" w:hAnsi="Verdana" w:cs="Times New Roman"/>
                <w:sz w:val="18"/>
                <w:szCs w:val="18"/>
              </w:rPr>
              <w:t>abandoned due to restrictions imposed by Transgaz Notice</w:t>
            </w:r>
          </w:p>
        </w:tc>
      </w:tr>
      <w:tr w:rsidR="008715BE" w:rsidRPr="00EC75B7" w14:paraId="5410EE1C" w14:textId="77777777">
        <w:trPr>
          <w:trHeight w:val="290"/>
        </w:trPr>
        <w:tc>
          <w:tcPr>
            <w:tcW w:w="720" w:type="dxa"/>
          </w:tcPr>
          <w:p w14:paraId="00DD97A5"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18</w:t>
            </w:r>
          </w:p>
        </w:tc>
        <w:tc>
          <w:tcPr>
            <w:tcW w:w="1203" w:type="dxa"/>
          </w:tcPr>
          <w:p w14:paraId="500F547B"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T18</w:t>
            </w:r>
          </w:p>
        </w:tc>
        <w:tc>
          <w:tcPr>
            <w:tcW w:w="1901" w:type="dxa"/>
          </w:tcPr>
          <w:p w14:paraId="7728E4B7"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265937.827</w:t>
            </w:r>
          </w:p>
        </w:tc>
        <w:tc>
          <w:tcPr>
            <w:tcW w:w="1901" w:type="dxa"/>
          </w:tcPr>
          <w:p w14:paraId="76DB3F1B"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752799.265</w:t>
            </w:r>
          </w:p>
        </w:tc>
      </w:tr>
      <w:tr w:rsidR="008715BE" w:rsidRPr="00EC75B7" w14:paraId="796F2345" w14:textId="77777777">
        <w:trPr>
          <w:trHeight w:val="290"/>
        </w:trPr>
        <w:tc>
          <w:tcPr>
            <w:tcW w:w="720" w:type="dxa"/>
          </w:tcPr>
          <w:p w14:paraId="288B9964"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19</w:t>
            </w:r>
          </w:p>
        </w:tc>
        <w:tc>
          <w:tcPr>
            <w:tcW w:w="1203" w:type="dxa"/>
          </w:tcPr>
          <w:p w14:paraId="0E88566A"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T19</w:t>
            </w:r>
          </w:p>
        </w:tc>
        <w:tc>
          <w:tcPr>
            <w:tcW w:w="1901" w:type="dxa"/>
          </w:tcPr>
          <w:p w14:paraId="1F67E61E"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266231.999</w:t>
            </w:r>
          </w:p>
        </w:tc>
        <w:tc>
          <w:tcPr>
            <w:tcW w:w="1901" w:type="dxa"/>
          </w:tcPr>
          <w:p w14:paraId="6FF3DCEB"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752217.001</w:t>
            </w:r>
          </w:p>
        </w:tc>
      </w:tr>
      <w:tr w:rsidR="008715BE" w:rsidRPr="00EC75B7" w14:paraId="50A3B3C8" w14:textId="77777777">
        <w:trPr>
          <w:trHeight w:val="290"/>
        </w:trPr>
        <w:tc>
          <w:tcPr>
            <w:tcW w:w="720" w:type="dxa"/>
          </w:tcPr>
          <w:p w14:paraId="37A910AB"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20</w:t>
            </w:r>
          </w:p>
        </w:tc>
        <w:tc>
          <w:tcPr>
            <w:tcW w:w="1203" w:type="dxa"/>
          </w:tcPr>
          <w:p w14:paraId="6BF13AAC"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T20</w:t>
            </w:r>
          </w:p>
        </w:tc>
        <w:tc>
          <w:tcPr>
            <w:tcW w:w="1901" w:type="dxa"/>
          </w:tcPr>
          <w:p w14:paraId="2064CE6C"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265753.999</w:t>
            </w:r>
          </w:p>
        </w:tc>
        <w:tc>
          <w:tcPr>
            <w:tcW w:w="1901" w:type="dxa"/>
          </w:tcPr>
          <w:p w14:paraId="564FDB7A"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750950.001</w:t>
            </w:r>
          </w:p>
        </w:tc>
      </w:tr>
      <w:tr w:rsidR="008715BE" w:rsidRPr="00EC75B7" w14:paraId="73DA39AF" w14:textId="77777777">
        <w:trPr>
          <w:trHeight w:val="290"/>
        </w:trPr>
        <w:tc>
          <w:tcPr>
            <w:tcW w:w="720" w:type="dxa"/>
          </w:tcPr>
          <w:p w14:paraId="3334DF0B"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21</w:t>
            </w:r>
          </w:p>
        </w:tc>
        <w:tc>
          <w:tcPr>
            <w:tcW w:w="1203" w:type="dxa"/>
          </w:tcPr>
          <w:p w14:paraId="0E5D653E"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T21</w:t>
            </w:r>
          </w:p>
        </w:tc>
        <w:tc>
          <w:tcPr>
            <w:tcW w:w="1901" w:type="dxa"/>
          </w:tcPr>
          <w:p w14:paraId="3001B080"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267572.999</w:t>
            </w:r>
          </w:p>
        </w:tc>
        <w:tc>
          <w:tcPr>
            <w:tcW w:w="1901" w:type="dxa"/>
          </w:tcPr>
          <w:p w14:paraId="4BDCE216"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754183.001</w:t>
            </w:r>
          </w:p>
        </w:tc>
      </w:tr>
      <w:tr w:rsidR="008715BE" w:rsidRPr="00EC75B7" w14:paraId="2C4E0ADF" w14:textId="77777777">
        <w:trPr>
          <w:trHeight w:val="290"/>
        </w:trPr>
        <w:tc>
          <w:tcPr>
            <w:tcW w:w="720" w:type="dxa"/>
          </w:tcPr>
          <w:p w14:paraId="15E3EAA9"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22</w:t>
            </w:r>
          </w:p>
        </w:tc>
        <w:tc>
          <w:tcPr>
            <w:tcW w:w="1203" w:type="dxa"/>
          </w:tcPr>
          <w:p w14:paraId="63AE0113"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T22</w:t>
            </w:r>
          </w:p>
        </w:tc>
        <w:tc>
          <w:tcPr>
            <w:tcW w:w="1901" w:type="dxa"/>
          </w:tcPr>
          <w:p w14:paraId="256C3223"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267318.999</w:t>
            </w:r>
          </w:p>
        </w:tc>
        <w:tc>
          <w:tcPr>
            <w:tcW w:w="1901" w:type="dxa"/>
          </w:tcPr>
          <w:p w14:paraId="42CC2256"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753366.001</w:t>
            </w:r>
          </w:p>
        </w:tc>
      </w:tr>
      <w:tr w:rsidR="008715BE" w:rsidRPr="00EC75B7" w14:paraId="4DE7001F" w14:textId="77777777">
        <w:trPr>
          <w:trHeight w:val="436"/>
        </w:trPr>
        <w:tc>
          <w:tcPr>
            <w:tcW w:w="720" w:type="dxa"/>
          </w:tcPr>
          <w:p w14:paraId="4903C761" w14:textId="77777777" w:rsidR="008715BE" w:rsidRPr="00EC75B7" w:rsidRDefault="008715BE">
            <w:pPr>
              <w:pStyle w:val="TableParagraph"/>
              <w:spacing w:before="7"/>
              <w:rPr>
                <w:rFonts w:ascii="Verdana" w:hAnsi="Verdana" w:cs="Times New Roman"/>
                <w:sz w:val="18"/>
                <w:szCs w:val="18"/>
              </w:rPr>
            </w:pPr>
          </w:p>
          <w:p w14:paraId="3104C12F" w14:textId="77777777" w:rsidR="008715BE" w:rsidRPr="00EC75B7" w:rsidRDefault="00000000">
            <w:pPr>
              <w:pStyle w:val="TableParagraph"/>
              <w:spacing w:line="190" w:lineRule="exact"/>
              <w:ind w:left="10" w:right="1"/>
              <w:jc w:val="center"/>
              <w:rPr>
                <w:rFonts w:ascii="Verdana" w:hAnsi="Verdana" w:cs="Times New Roman"/>
                <w:sz w:val="18"/>
                <w:szCs w:val="18"/>
              </w:rPr>
            </w:pPr>
            <w:r w:rsidRPr="00EC75B7">
              <w:rPr>
                <w:rFonts w:ascii="Verdana" w:hAnsi="Verdana" w:cs="Times New Roman"/>
                <w:sz w:val="18"/>
                <w:szCs w:val="18"/>
              </w:rPr>
              <w:t>23</w:t>
            </w:r>
          </w:p>
        </w:tc>
        <w:tc>
          <w:tcPr>
            <w:tcW w:w="1203" w:type="dxa"/>
          </w:tcPr>
          <w:p w14:paraId="1E7405F6" w14:textId="77777777" w:rsidR="008715BE" w:rsidRPr="00EC75B7" w:rsidRDefault="008715BE">
            <w:pPr>
              <w:pStyle w:val="TableParagraph"/>
              <w:spacing w:before="7"/>
              <w:rPr>
                <w:rFonts w:ascii="Verdana" w:hAnsi="Verdana" w:cs="Times New Roman"/>
                <w:sz w:val="18"/>
                <w:szCs w:val="18"/>
              </w:rPr>
            </w:pPr>
          </w:p>
          <w:p w14:paraId="641578B2" w14:textId="77777777" w:rsidR="008715BE" w:rsidRPr="00EC75B7" w:rsidRDefault="00000000">
            <w:pPr>
              <w:pStyle w:val="TableParagraph"/>
              <w:spacing w:line="190" w:lineRule="exact"/>
              <w:ind w:left="6"/>
              <w:jc w:val="center"/>
              <w:rPr>
                <w:rFonts w:ascii="Verdana" w:hAnsi="Verdana" w:cs="Times New Roman"/>
                <w:sz w:val="18"/>
                <w:szCs w:val="18"/>
              </w:rPr>
            </w:pPr>
            <w:r w:rsidRPr="00EC75B7">
              <w:rPr>
                <w:rFonts w:ascii="Verdana" w:hAnsi="Verdana" w:cs="Times New Roman"/>
                <w:sz w:val="18"/>
                <w:szCs w:val="18"/>
              </w:rPr>
              <w:t>T23</w:t>
            </w:r>
          </w:p>
        </w:tc>
        <w:tc>
          <w:tcPr>
            <w:tcW w:w="3802" w:type="dxa"/>
            <w:gridSpan w:val="2"/>
          </w:tcPr>
          <w:p w14:paraId="26C425B3" w14:textId="77777777" w:rsidR="008715BE" w:rsidRPr="00EC75B7" w:rsidRDefault="00000000">
            <w:pPr>
              <w:pStyle w:val="TableParagraph"/>
              <w:spacing w:line="218" w:lineRule="exact"/>
              <w:ind w:left="623" w:hanging="322"/>
              <w:rPr>
                <w:rFonts w:ascii="Verdana" w:hAnsi="Verdana" w:cs="Times New Roman"/>
                <w:sz w:val="18"/>
                <w:szCs w:val="18"/>
              </w:rPr>
            </w:pPr>
            <w:r w:rsidRPr="00EC75B7">
              <w:rPr>
                <w:rFonts w:ascii="Verdana" w:hAnsi="Verdana" w:cs="Times New Roman"/>
                <w:sz w:val="18"/>
                <w:szCs w:val="18"/>
              </w:rPr>
              <w:t>abandoned due to restrictions imposed by Transgaz Notice</w:t>
            </w:r>
          </w:p>
        </w:tc>
      </w:tr>
      <w:tr w:rsidR="008715BE" w:rsidRPr="00EC75B7" w14:paraId="1A8FE1AC" w14:textId="77777777">
        <w:trPr>
          <w:trHeight w:val="290"/>
        </w:trPr>
        <w:tc>
          <w:tcPr>
            <w:tcW w:w="720" w:type="dxa"/>
          </w:tcPr>
          <w:p w14:paraId="31FC72AA"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24</w:t>
            </w:r>
          </w:p>
        </w:tc>
        <w:tc>
          <w:tcPr>
            <w:tcW w:w="1203" w:type="dxa"/>
          </w:tcPr>
          <w:p w14:paraId="3CC7AF96"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T24</w:t>
            </w:r>
          </w:p>
        </w:tc>
        <w:tc>
          <w:tcPr>
            <w:tcW w:w="1901" w:type="dxa"/>
          </w:tcPr>
          <w:p w14:paraId="53A7E070"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268239.002</w:t>
            </w:r>
          </w:p>
        </w:tc>
        <w:tc>
          <w:tcPr>
            <w:tcW w:w="1901" w:type="dxa"/>
          </w:tcPr>
          <w:p w14:paraId="6A5A0572"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752787.999</w:t>
            </w:r>
          </w:p>
        </w:tc>
      </w:tr>
      <w:tr w:rsidR="008715BE" w:rsidRPr="00EC75B7" w14:paraId="54F73D74" w14:textId="77777777">
        <w:trPr>
          <w:trHeight w:val="290"/>
        </w:trPr>
        <w:tc>
          <w:tcPr>
            <w:tcW w:w="720" w:type="dxa"/>
          </w:tcPr>
          <w:p w14:paraId="1CD1559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25</w:t>
            </w:r>
          </w:p>
        </w:tc>
        <w:tc>
          <w:tcPr>
            <w:tcW w:w="1203" w:type="dxa"/>
          </w:tcPr>
          <w:p w14:paraId="25CDF826"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T25</w:t>
            </w:r>
          </w:p>
        </w:tc>
        <w:tc>
          <w:tcPr>
            <w:tcW w:w="1901" w:type="dxa"/>
          </w:tcPr>
          <w:p w14:paraId="69B57F4D"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267693.001</w:t>
            </w:r>
          </w:p>
        </w:tc>
        <w:tc>
          <w:tcPr>
            <w:tcW w:w="1901" w:type="dxa"/>
          </w:tcPr>
          <w:p w14:paraId="72E1A155"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752097.001</w:t>
            </w:r>
          </w:p>
        </w:tc>
      </w:tr>
      <w:tr w:rsidR="008715BE" w:rsidRPr="00EC75B7" w14:paraId="1E23E93D" w14:textId="77777777">
        <w:trPr>
          <w:trHeight w:val="290"/>
        </w:trPr>
        <w:tc>
          <w:tcPr>
            <w:tcW w:w="720" w:type="dxa"/>
          </w:tcPr>
          <w:p w14:paraId="2BFD637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26</w:t>
            </w:r>
          </w:p>
        </w:tc>
        <w:tc>
          <w:tcPr>
            <w:tcW w:w="1203" w:type="dxa"/>
          </w:tcPr>
          <w:p w14:paraId="32DE4571"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T26</w:t>
            </w:r>
          </w:p>
        </w:tc>
        <w:tc>
          <w:tcPr>
            <w:tcW w:w="1901" w:type="dxa"/>
          </w:tcPr>
          <w:p w14:paraId="141ADF23"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267999.280</w:t>
            </w:r>
          </w:p>
        </w:tc>
        <w:tc>
          <w:tcPr>
            <w:tcW w:w="1901" w:type="dxa"/>
          </w:tcPr>
          <w:p w14:paraId="65EF0872"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751304.764</w:t>
            </w:r>
          </w:p>
        </w:tc>
      </w:tr>
      <w:tr w:rsidR="008715BE" w:rsidRPr="00EC75B7" w14:paraId="45AAB1CD" w14:textId="77777777">
        <w:trPr>
          <w:trHeight w:val="290"/>
        </w:trPr>
        <w:tc>
          <w:tcPr>
            <w:tcW w:w="720" w:type="dxa"/>
          </w:tcPr>
          <w:p w14:paraId="62B78B3F" w14:textId="77777777" w:rsidR="008715BE" w:rsidRPr="00EC75B7" w:rsidRDefault="00000000">
            <w:pPr>
              <w:pStyle w:val="TableParagraph"/>
              <w:spacing w:before="81" w:line="190" w:lineRule="exact"/>
              <w:ind w:left="10" w:right="1"/>
              <w:jc w:val="center"/>
              <w:rPr>
                <w:rFonts w:ascii="Verdana" w:hAnsi="Verdana" w:cs="Times New Roman"/>
                <w:sz w:val="18"/>
                <w:szCs w:val="18"/>
              </w:rPr>
            </w:pPr>
            <w:r w:rsidRPr="00EC75B7">
              <w:rPr>
                <w:rFonts w:ascii="Verdana" w:hAnsi="Verdana" w:cs="Times New Roman"/>
                <w:sz w:val="18"/>
                <w:szCs w:val="18"/>
              </w:rPr>
              <w:t>27</w:t>
            </w:r>
          </w:p>
        </w:tc>
        <w:tc>
          <w:tcPr>
            <w:tcW w:w="1203" w:type="dxa"/>
          </w:tcPr>
          <w:p w14:paraId="3665D1AB" w14:textId="77777777" w:rsidR="008715BE" w:rsidRPr="00EC75B7" w:rsidRDefault="00000000">
            <w:pPr>
              <w:pStyle w:val="TableParagraph"/>
              <w:spacing w:before="81" w:line="190" w:lineRule="exact"/>
              <w:ind w:left="6"/>
              <w:jc w:val="center"/>
              <w:rPr>
                <w:rFonts w:ascii="Verdana" w:hAnsi="Verdana" w:cs="Times New Roman"/>
                <w:sz w:val="18"/>
                <w:szCs w:val="18"/>
              </w:rPr>
            </w:pPr>
            <w:r w:rsidRPr="00EC75B7">
              <w:rPr>
                <w:rFonts w:ascii="Verdana" w:hAnsi="Verdana" w:cs="Times New Roman"/>
                <w:sz w:val="18"/>
                <w:szCs w:val="18"/>
              </w:rPr>
              <w:t>T27</w:t>
            </w:r>
          </w:p>
        </w:tc>
        <w:tc>
          <w:tcPr>
            <w:tcW w:w="1901" w:type="dxa"/>
          </w:tcPr>
          <w:p w14:paraId="7B296888" w14:textId="77777777" w:rsidR="008715BE" w:rsidRPr="00EC75B7" w:rsidRDefault="00000000">
            <w:pPr>
              <w:pStyle w:val="TableParagraph"/>
              <w:spacing w:before="81" w:line="190" w:lineRule="exact"/>
              <w:ind w:left="10"/>
              <w:jc w:val="center"/>
              <w:rPr>
                <w:rFonts w:ascii="Verdana" w:hAnsi="Verdana" w:cs="Times New Roman"/>
                <w:sz w:val="18"/>
                <w:szCs w:val="18"/>
              </w:rPr>
            </w:pPr>
            <w:r w:rsidRPr="00EC75B7">
              <w:rPr>
                <w:rFonts w:ascii="Verdana" w:hAnsi="Verdana" w:cs="Times New Roman"/>
                <w:sz w:val="18"/>
                <w:szCs w:val="18"/>
              </w:rPr>
              <w:t>266832.497</w:t>
            </w:r>
          </w:p>
        </w:tc>
        <w:tc>
          <w:tcPr>
            <w:tcW w:w="1901" w:type="dxa"/>
          </w:tcPr>
          <w:p w14:paraId="7E9C1A52" w14:textId="77777777" w:rsidR="008715BE" w:rsidRPr="00EC75B7" w:rsidRDefault="00000000">
            <w:pPr>
              <w:pStyle w:val="TableParagraph"/>
              <w:spacing w:before="81" w:line="190" w:lineRule="exact"/>
              <w:ind w:left="10"/>
              <w:jc w:val="center"/>
              <w:rPr>
                <w:rFonts w:ascii="Verdana" w:hAnsi="Verdana" w:cs="Times New Roman"/>
                <w:sz w:val="18"/>
                <w:szCs w:val="18"/>
              </w:rPr>
            </w:pPr>
            <w:r w:rsidRPr="00EC75B7">
              <w:rPr>
                <w:rFonts w:ascii="Verdana" w:hAnsi="Verdana" w:cs="Times New Roman"/>
                <w:sz w:val="18"/>
                <w:szCs w:val="18"/>
              </w:rPr>
              <w:t>750852.505</w:t>
            </w:r>
          </w:p>
        </w:tc>
      </w:tr>
      <w:tr w:rsidR="008715BE" w:rsidRPr="00EC75B7" w14:paraId="136BD340" w14:textId="77777777">
        <w:trPr>
          <w:trHeight w:val="290"/>
        </w:trPr>
        <w:tc>
          <w:tcPr>
            <w:tcW w:w="720" w:type="dxa"/>
          </w:tcPr>
          <w:p w14:paraId="4073E29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28</w:t>
            </w:r>
          </w:p>
        </w:tc>
        <w:tc>
          <w:tcPr>
            <w:tcW w:w="1203" w:type="dxa"/>
          </w:tcPr>
          <w:p w14:paraId="38C94C0B"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T28</w:t>
            </w:r>
          </w:p>
        </w:tc>
        <w:tc>
          <w:tcPr>
            <w:tcW w:w="1901" w:type="dxa"/>
          </w:tcPr>
          <w:p w14:paraId="1D7725E1"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268624.561</w:t>
            </w:r>
          </w:p>
        </w:tc>
        <w:tc>
          <w:tcPr>
            <w:tcW w:w="1901" w:type="dxa"/>
          </w:tcPr>
          <w:p w14:paraId="7EF4E115"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751945.673</w:t>
            </w:r>
          </w:p>
        </w:tc>
      </w:tr>
      <w:tr w:rsidR="008715BE" w:rsidRPr="00EC75B7" w14:paraId="0821DB07" w14:textId="77777777">
        <w:trPr>
          <w:trHeight w:val="290"/>
        </w:trPr>
        <w:tc>
          <w:tcPr>
            <w:tcW w:w="720" w:type="dxa"/>
          </w:tcPr>
          <w:p w14:paraId="2A93F207"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29</w:t>
            </w:r>
          </w:p>
        </w:tc>
        <w:tc>
          <w:tcPr>
            <w:tcW w:w="1203" w:type="dxa"/>
          </w:tcPr>
          <w:p w14:paraId="08B8BDBB"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T29</w:t>
            </w:r>
          </w:p>
        </w:tc>
        <w:tc>
          <w:tcPr>
            <w:tcW w:w="1901" w:type="dxa"/>
          </w:tcPr>
          <w:p w14:paraId="3253517A"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268896.999</w:t>
            </w:r>
          </w:p>
        </w:tc>
        <w:tc>
          <w:tcPr>
            <w:tcW w:w="1901" w:type="dxa"/>
          </w:tcPr>
          <w:p w14:paraId="4169850B"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751221.001</w:t>
            </w:r>
          </w:p>
        </w:tc>
      </w:tr>
      <w:tr w:rsidR="008715BE" w:rsidRPr="00EC75B7" w14:paraId="77CEFE65" w14:textId="77777777">
        <w:trPr>
          <w:trHeight w:val="290"/>
        </w:trPr>
        <w:tc>
          <w:tcPr>
            <w:tcW w:w="720" w:type="dxa"/>
          </w:tcPr>
          <w:p w14:paraId="15DC61D4"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30</w:t>
            </w:r>
          </w:p>
        </w:tc>
        <w:tc>
          <w:tcPr>
            <w:tcW w:w="1203" w:type="dxa"/>
          </w:tcPr>
          <w:p w14:paraId="42A1C407"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T30</w:t>
            </w:r>
          </w:p>
        </w:tc>
        <w:tc>
          <w:tcPr>
            <w:tcW w:w="1901" w:type="dxa"/>
          </w:tcPr>
          <w:p w14:paraId="52EA1B5B"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268321.998</w:t>
            </w:r>
          </w:p>
        </w:tc>
        <w:tc>
          <w:tcPr>
            <w:tcW w:w="1901" w:type="dxa"/>
          </w:tcPr>
          <w:p w14:paraId="7A285197"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750535.004</w:t>
            </w:r>
          </w:p>
        </w:tc>
      </w:tr>
      <w:tr w:rsidR="008715BE" w:rsidRPr="00EC75B7" w14:paraId="28A25C63" w14:textId="77777777">
        <w:trPr>
          <w:trHeight w:val="290"/>
        </w:trPr>
        <w:tc>
          <w:tcPr>
            <w:tcW w:w="720" w:type="dxa"/>
          </w:tcPr>
          <w:p w14:paraId="5B02624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31</w:t>
            </w:r>
          </w:p>
        </w:tc>
        <w:tc>
          <w:tcPr>
            <w:tcW w:w="1203" w:type="dxa"/>
          </w:tcPr>
          <w:p w14:paraId="0581F653"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T31</w:t>
            </w:r>
          </w:p>
        </w:tc>
        <w:tc>
          <w:tcPr>
            <w:tcW w:w="1901" w:type="dxa"/>
          </w:tcPr>
          <w:p w14:paraId="65D3732A"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269066.999</w:t>
            </w:r>
          </w:p>
        </w:tc>
        <w:tc>
          <w:tcPr>
            <w:tcW w:w="1901" w:type="dxa"/>
          </w:tcPr>
          <w:p w14:paraId="7BF6081E"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749761.001</w:t>
            </w:r>
          </w:p>
        </w:tc>
      </w:tr>
      <w:tr w:rsidR="008715BE" w:rsidRPr="00EC75B7" w14:paraId="5888D41B" w14:textId="77777777">
        <w:trPr>
          <w:trHeight w:val="289"/>
        </w:trPr>
        <w:tc>
          <w:tcPr>
            <w:tcW w:w="720" w:type="dxa"/>
          </w:tcPr>
          <w:p w14:paraId="77BF149C"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lastRenderedPageBreak/>
              <w:t>32</w:t>
            </w:r>
          </w:p>
        </w:tc>
        <w:tc>
          <w:tcPr>
            <w:tcW w:w="1203" w:type="dxa"/>
          </w:tcPr>
          <w:p w14:paraId="78868BEC"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T32</w:t>
            </w:r>
          </w:p>
        </w:tc>
        <w:tc>
          <w:tcPr>
            <w:tcW w:w="1901" w:type="dxa"/>
          </w:tcPr>
          <w:p w14:paraId="5CB2C243"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270335.50</w:t>
            </w:r>
          </w:p>
        </w:tc>
        <w:tc>
          <w:tcPr>
            <w:tcW w:w="1901" w:type="dxa"/>
          </w:tcPr>
          <w:p w14:paraId="50D362F9"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747726.001</w:t>
            </w:r>
          </w:p>
        </w:tc>
      </w:tr>
      <w:tr w:rsidR="008715BE" w:rsidRPr="00EC75B7" w14:paraId="2812A4C6" w14:textId="77777777">
        <w:trPr>
          <w:trHeight w:val="290"/>
        </w:trPr>
        <w:tc>
          <w:tcPr>
            <w:tcW w:w="720" w:type="dxa"/>
          </w:tcPr>
          <w:p w14:paraId="143DEDFF"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33</w:t>
            </w:r>
          </w:p>
        </w:tc>
        <w:tc>
          <w:tcPr>
            <w:tcW w:w="1203" w:type="dxa"/>
          </w:tcPr>
          <w:p w14:paraId="26E00F7A"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T33</w:t>
            </w:r>
          </w:p>
        </w:tc>
        <w:tc>
          <w:tcPr>
            <w:tcW w:w="1901" w:type="dxa"/>
          </w:tcPr>
          <w:p w14:paraId="7CBE8BDD"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266498.001</w:t>
            </w:r>
          </w:p>
        </w:tc>
        <w:tc>
          <w:tcPr>
            <w:tcW w:w="1901" w:type="dxa"/>
          </w:tcPr>
          <w:p w14:paraId="3508A79B"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753303.999</w:t>
            </w:r>
          </w:p>
        </w:tc>
      </w:tr>
      <w:tr w:rsidR="008715BE" w:rsidRPr="00EC75B7" w14:paraId="2E953E02" w14:textId="77777777">
        <w:trPr>
          <w:trHeight w:val="290"/>
        </w:trPr>
        <w:tc>
          <w:tcPr>
            <w:tcW w:w="720" w:type="dxa"/>
          </w:tcPr>
          <w:p w14:paraId="6E4813FF" w14:textId="77777777" w:rsidR="008715BE" w:rsidRPr="00EC75B7" w:rsidRDefault="00000000">
            <w:pPr>
              <w:pStyle w:val="TableParagraph"/>
              <w:spacing w:before="80" w:line="190" w:lineRule="exact"/>
              <w:ind w:left="10" w:right="1"/>
              <w:jc w:val="center"/>
              <w:rPr>
                <w:rFonts w:ascii="Verdana" w:hAnsi="Verdana" w:cs="Times New Roman"/>
                <w:sz w:val="18"/>
                <w:szCs w:val="18"/>
              </w:rPr>
            </w:pPr>
            <w:r w:rsidRPr="00EC75B7">
              <w:rPr>
                <w:rFonts w:ascii="Verdana" w:hAnsi="Verdana" w:cs="Times New Roman"/>
                <w:sz w:val="18"/>
                <w:szCs w:val="18"/>
              </w:rPr>
              <w:t>34</w:t>
            </w:r>
          </w:p>
        </w:tc>
        <w:tc>
          <w:tcPr>
            <w:tcW w:w="1203" w:type="dxa"/>
          </w:tcPr>
          <w:p w14:paraId="5E341632" w14:textId="77777777" w:rsidR="008715BE" w:rsidRPr="00EC75B7" w:rsidRDefault="00000000">
            <w:pPr>
              <w:pStyle w:val="TableParagraph"/>
              <w:spacing w:before="80" w:line="190" w:lineRule="exact"/>
              <w:ind w:left="6"/>
              <w:jc w:val="center"/>
              <w:rPr>
                <w:rFonts w:ascii="Verdana" w:hAnsi="Verdana" w:cs="Times New Roman"/>
                <w:sz w:val="18"/>
                <w:szCs w:val="18"/>
              </w:rPr>
            </w:pPr>
            <w:r w:rsidRPr="00EC75B7">
              <w:rPr>
                <w:rFonts w:ascii="Verdana" w:hAnsi="Verdana" w:cs="Times New Roman"/>
                <w:sz w:val="18"/>
                <w:szCs w:val="18"/>
              </w:rPr>
              <w:t>T34</w:t>
            </w:r>
          </w:p>
        </w:tc>
        <w:tc>
          <w:tcPr>
            <w:tcW w:w="1901" w:type="dxa"/>
          </w:tcPr>
          <w:p w14:paraId="0F44600C"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267816.00</w:t>
            </w:r>
          </w:p>
        </w:tc>
        <w:tc>
          <w:tcPr>
            <w:tcW w:w="1901" w:type="dxa"/>
          </w:tcPr>
          <w:p w14:paraId="4D2564B4" w14:textId="77777777" w:rsidR="008715BE" w:rsidRPr="00EC75B7" w:rsidRDefault="00000000">
            <w:pPr>
              <w:pStyle w:val="TableParagraph"/>
              <w:spacing w:before="80" w:line="190" w:lineRule="exact"/>
              <w:ind w:left="10"/>
              <w:jc w:val="center"/>
              <w:rPr>
                <w:rFonts w:ascii="Verdana" w:hAnsi="Verdana" w:cs="Times New Roman"/>
                <w:sz w:val="18"/>
                <w:szCs w:val="18"/>
              </w:rPr>
            </w:pPr>
            <w:r w:rsidRPr="00EC75B7">
              <w:rPr>
                <w:rFonts w:ascii="Verdana" w:hAnsi="Verdana" w:cs="Times New Roman"/>
                <w:sz w:val="18"/>
                <w:szCs w:val="18"/>
              </w:rPr>
              <w:t>746256.001</w:t>
            </w:r>
          </w:p>
        </w:tc>
      </w:tr>
      <w:tr w:rsidR="008715BE" w:rsidRPr="00EC75B7" w14:paraId="6664F2DE" w14:textId="77777777">
        <w:trPr>
          <w:trHeight w:val="290"/>
        </w:trPr>
        <w:tc>
          <w:tcPr>
            <w:tcW w:w="720" w:type="dxa"/>
            <w:tcBorders>
              <w:top w:val="nil"/>
            </w:tcBorders>
          </w:tcPr>
          <w:p w14:paraId="49FD5565"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35</w:t>
            </w:r>
          </w:p>
        </w:tc>
        <w:tc>
          <w:tcPr>
            <w:tcW w:w="1203" w:type="dxa"/>
            <w:tcBorders>
              <w:top w:val="nil"/>
            </w:tcBorders>
          </w:tcPr>
          <w:p w14:paraId="16C1D30B"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T35</w:t>
            </w:r>
          </w:p>
        </w:tc>
        <w:tc>
          <w:tcPr>
            <w:tcW w:w="1901" w:type="dxa"/>
            <w:tcBorders>
              <w:top w:val="nil"/>
            </w:tcBorders>
          </w:tcPr>
          <w:p w14:paraId="24CA0E30"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266886.352</w:t>
            </w:r>
          </w:p>
        </w:tc>
        <w:tc>
          <w:tcPr>
            <w:tcW w:w="1901" w:type="dxa"/>
            <w:tcBorders>
              <w:top w:val="nil"/>
            </w:tcBorders>
          </w:tcPr>
          <w:p w14:paraId="768EFBF6"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745032.913</w:t>
            </w:r>
          </w:p>
        </w:tc>
      </w:tr>
      <w:tr w:rsidR="008715BE" w:rsidRPr="00EC75B7" w14:paraId="7A5C2B42" w14:textId="77777777">
        <w:trPr>
          <w:trHeight w:val="290"/>
        </w:trPr>
        <w:tc>
          <w:tcPr>
            <w:tcW w:w="720" w:type="dxa"/>
          </w:tcPr>
          <w:p w14:paraId="49C61B12"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36</w:t>
            </w:r>
          </w:p>
        </w:tc>
        <w:tc>
          <w:tcPr>
            <w:tcW w:w="1203" w:type="dxa"/>
          </w:tcPr>
          <w:p w14:paraId="50095502"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T36</w:t>
            </w:r>
          </w:p>
        </w:tc>
        <w:tc>
          <w:tcPr>
            <w:tcW w:w="1901" w:type="dxa"/>
          </w:tcPr>
          <w:p w14:paraId="110F14E8"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267011.500</w:t>
            </w:r>
          </w:p>
        </w:tc>
        <w:tc>
          <w:tcPr>
            <w:tcW w:w="1901" w:type="dxa"/>
          </w:tcPr>
          <w:p w14:paraId="0AA1C055"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745651.001</w:t>
            </w:r>
          </w:p>
        </w:tc>
      </w:tr>
      <w:tr w:rsidR="008715BE" w:rsidRPr="00EC75B7" w14:paraId="1C806819" w14:textId="77777777">
        <w:trPr>
          <w:trHeight w:val="290"/>
        </w:trPr>
        <w:tc>
          <w:tcPr>
            <w:tcW w:w="720" w:type="dxa"/>
          </w:tcPr>
          <w:p w14:paraId="3CF46D86"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37</w:t>
            </w:r>
          </w:p>
        </w:tc>
        <w:tc>
          <w:tcPr>
            <w:tcW w:w="1203" w:type="dxa"/>
          </w:tcPr>
          <w:p w14:paraId="081A92E9"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T37</w:t>
            </w:r>
          </w:p>
        </w:tc>
        <w:tc>
          <w:tcPr>
            <w:tcW w:w="1901" w:type="dxa"/>
          </w:tcPr>
          <w:p w14:paraId="7E82B754"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266552.771</w:t>
            </w:r>
          </w:p>
        </w:tc>
        <w:tc>
          <w:tcPr>
            <w:tcW w:w="1901" w:type="dxa"/>
          </w:tcPr>
          <w:p w14:paraId="77C004AD"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746815.687</w:t>
            </w:r>
          </w:p>
        </w:tc>
      </w:tr>
      <w:tr w:rsidR="008715BE" w:rsidRPr="00EC75B7" w14:paraId="677EC2C3" w14:textId="77777777">
        <w:trPr>
          <w:trHeight w:val="290"/>
        </w:trPr>
        <w:tc>
          <w:tcPr>
            <w:tcW w:w="720" w:type="dxa"/>
          </w:tcPr>
          <w:p w14:paraId="05263551"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38</w:t>
            </w:r>
          </w:p>
        </w:tc>
        <w:tc>
          <w:tcPr>
            <w:tcW w:w="1203" w:type="dxa"/>
          </w:tcPr>
          <w:p w14:paraId="25D81AAD"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T38</w:t>
            </w:r>
          </w:p>
        </w:tc>
        <w:tc>
          <w:tcPr>
            <w:tcW w:w="1901" w:type="dxa"/>
          </w:tcPr>
          <w:p w14:paraId="6E8425CD"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265559.50</w:t>
            </w:r>
          </w:p>
        </w:tc>
        <w:tc>
          <w:tcPr>
            <w:tcW w:w="1901" w:type="dxa"/>
          </w:tcPr>
          <w:p w14:paraId="5EAB2A33"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747640.001</w:t>
            </w:r>
          </w:p>
        </w:tc>
      </w:tr>
      <w:tr w:rsidR="008715BE" w:rsidRPr="00EC75B7" w14:paraId="6DA57108" w14:textId="77777777">
        <w:trPr>
          <w:trHeight w:val="290"/>
        </w:trPr>
        <w:tc>
          <w:tcPr>
            <w:tcW w:w="720" w:type="dxa"/>
          </w:tcPr>
          <w:p w14:paraId="0502A3B0"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39</w:t>
            </w:r>
          </w:p>
        </w:tc>
        <w:tc>
          <w:tcPr>
            <w:tcW w:w="1203" w:type="dxa"/>
          </w:tcPr>
          <w:p w14:paraId="514E392E"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T39</w:t>
            </w:r>
          </w:p>
        </w:tc>
        <w:tc>
          <w:tcPr>
            <w:tcW w:w="1901" w:type="dxa"/>
          </w:tcPr>
          <w:p w14:paraId="40F473ED"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265007</w:t>
            </w:r>
          </w:p>
        </w:tc>
        <w:tc>
          <w:tcPr>
            <w:tcW w:w="1901" w:type="dxa"/>
          </w:tcPr>
          <w:p w14:paraId="7D10193F"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748383.000</w:t>
            </w:r>
          </w:p>
        </w:tc>
      </w:tr>
      <w:tr w:rsidR="008715BE" w:rsidRPr="00EC75B7" w14:paraId="6F48F46B" w14:textId="77777777">
        <w:trPr>
          <w:trHeight w:val="290"/>
        </w:trPr>
        <w:tc>
          <w:tcPr>
            <w:tcW w:w="720" w:type="dxa"/>
          </w:tcPr>
          <w:p w14:paraId="7EEE3684"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40</w:t>
            </w:r>
          </w:p>
        </w:tc>
        <w:tc>
          <w:tcPr>
            <w:tcW w:w="1203" w:type="dxa"/>
          </w:tcPr>
          <w:p w14:paraId="13AE547A"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T40</w:t>
            </w:r>
          </w:p>
        </w:tc>
        <w:tc>
          <w:tcPr>
            <w:tcW w:w="1901" w:type="dxa"/>
          </w:tcPr>
          <w:p w14:paraId="21EB7CCD" w14:textId="3B4F47E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264502.835</w:t>
            </w:r>
          </w:p>
        </w:tc>
        <w:tc>
          <w:tcPr>
            <w:tcW w:w="1901" w:type="dxa"/>
          </w:tcPr>
          <w:p w14:paraId="621F8BF4" w14:textId="6B862B01"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747360.956</w:t>
            </w:r>
          </w:p>
        </w:tc>
      </w:tr>
      <w:tr w:rsidR="008715BE" w:rsidRPr="00EC75B7" w14:paraId="263E9838" w14:textId="77777777">
        <w:trPr>
          <w:trHeight w:val="290"/>
        </w:trPr>
        <w:tc>
          <w:tcPr>
            <w:tcW w:w="720" w:type="dxa"/>
          </w:tcPr>
          <w:p w14:paraId="5CD59279"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41</w:t>
            </w:r>
          </w:p>
        </w:tc>
        <w:tc>
          <w:tcPr>
            <w:tcW w:w="1203" w:type="dxa"/>
          </w:tcPr>
          <w:p w14:paraId="0861117D"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T41</w:t>
            </w:r>
          </w:p>
        </w:tc>
        <w:tc>
          <w:tcPr>
            <w:tcW w:w="1901" w:type="dxa"/>
          </w:tcPr>
          <w:p w14:paraId="0EE8A09C"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263530.00</w:t>
            </w:r>
          </w:p>
        </w:tc>
        <w:tc>
          <w:tcPr>
            <w:tcW w:w="1901" w:type="dxa"/>
          </w:tcPr>
          <w:p w14:paraId="0D663CFE" w14:textId="6D1511ED"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746831.999</w:t>
            </w:r>
          </w:p>
        </w:tc>
      </w:tr>
      <w:tr w:rsidR="008715BE" w:rsidRPr="00EC75B7" w14:paraId="207B922F" w14:textId="77777777">
        <w:trPr>
          <w:trHeight w:val="290"/>
        </w:trPr>
        <w:tc>
          <w:tcPr>
            <w:tcW w:w="720" w:type="dxa"/>
          </w:tcPr>
          <w:p w14:paraId="4A625BCF"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42</w:t>
            </w:r>
          </w:p>
        </w:tc>
        <w:tc>
          <w:tcPr>
            <w:tcW w:w="1203" w:type="dxa"/>
          </w:tcPr>
          <w:p w14:paraId="3A68E845"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T42</w:t>
            </w:r>
          </w:p>
        </w:tc>
        <w:tc>
          <w:tcPr>
            <w:tcW w:w="1901" w:type="dxa"/>
          </w:tcPr>
          <w:p w14:paraId="65A37143"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262344</w:t>
            </w:r>
          </w:p>
        </w:tc>
        <w:tc>
          <w:tcPr>
            <w:tcW w:w="1901" w:type="dxa"/>
          </w:tcPr>
          <w:p w14:paraId="4A3CFB25" w14:textId="152CA726"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747152.999</w:t>
            </w:r>
          </w:p>
        </w:tc>
      </w:tr>
      <w:tr w:rsidR="008715BE" w:rsidRPr="00EC75B7" w14:paraId="5669CA48" w14:textId="77777777">
        <w:trPr>
          <w:trHeight w:val="290"/>
        </w:trPr>
        <w:tc>
          <w:tcPr>
            <w:tcW w:w="720" w:type="dxa"/>
          </w:tcPr>
          <w:p w14:paraId="3FA3E373"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43</w:t>
            </w:r>
          </w:p>
        </w:tc>
        <w:tc>
          <w:tcPr>
            <w:tcW w:w="1203" w:type="dxa"/>
          </w:tcPr>
          <w:p w14:paraId="0D598C78"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T43</w:t>
            </w:r>
          </w:p>
        </w:tc>
        <w:tc>
          <w:tcPr>
            <w:tcW w:w="1901" w:type="dxa"/>
          </w:tcPr>
          <w:p w14:paraId="3F6E9B54"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263300.00</w:t>
            </w:r>
          </w:p>
        </w:tc>
        <w:tc>
          <w:tcPr>
            <w:tcW w:w="1901" w:type="dxa"/>
          </w:tcPr>
          <w:p w14:paraId="1149C726"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746135.001</w:t>
            </w:r>
          </w:p>
        </w:tc>
      </w:tr>
      <w:tr w:rsidR="008715BE" w:rsidRPr="00EC75B7" w14:paraId="3635B832" w14:textId="77777777">
        <w:trPr>
          <w:trHeight w:val="290"/>
        </w:trPr>
        <w:tc>
          <w:tcPr>
            <w:tcW w:w="720" w:type="dxa"/>
          </w:tcPr>
          <w:p w14:paraId="3381FEF4"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44</w:t>
            </w:r>
          </w:p>
        </w:tc>
        <w:tc>
          <w:tcPr>
            <w:tcW w:w="1203" w:type="dxa"/>
          </w:tcPr>
          <w:p w14:paraId="1D1EA578"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T44</w:t>
            </w:r>
          </w:p>
        </w:tc>
        <w:tc>
          <w:tcPr>
            <w:tcW w:w="1901" w:type="dxa"/>
          </w:tcPr>
          <w:p w14:paraId="3BBEA35E"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263248.999</w:t>
            </w:r>
          </w:p>
        </w:tc>
        <w:tc>
          <w:tcPr>
            <w:tcW w:w="1901" w:type="dxa"/>
          </w:tcPr>
          <w:p w14:paraId="1B8E1E86"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745343.500</w:t>
            </w:r>
          </w:p>
        </w:tc>
      </w:tr>
      <w:tr w:rsidR="008715BE" w:rsidRPr="00EC75B7" w14:paraId="65B05550" w14:textId="77777777">
        <w:trPr>
          <w:trHeight w:val="290"/>
        </w:trPr>
        <w:tc>
          <w:tcPr>
            <w:tcW w:w="720" w:type="dxa"/>
          </w:tcPr>
          <w:p w14:paraId="45E834E0"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45</w:t>
            </w:r>
          </w:p>
        </w:tc>
        <w:tc>
          <w:tcPr>
            <w:tcW w:w="1203" w:type="dxa"/>
          </w:tcPr>
          <w:p w14:paraId="78413FA0"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T45</w:t>
            </w:r>
          </w:p>
        </w:tc>
        <w:tc>
          <w:tcPr>
            <w:tcW w:w="1901" w:type="dxa"/>
          </w:tcPr>
          <w:p w14:paraId="7A32DD8D"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264211.50</w:t>
            </w:r>
          </w:p>
        </w:tc>
        <w:tc>
          <w:tcPr>
            <w:tcW w:w="1901" w:type="dxa"/>
          </w:tcPr>
          <w:p w14:paraId="0C6A50F4"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743,775.501</w:t>
            </w:r>
          </w:p>
        </w:tc>
      </w:tr>
      <w:tr w:rsidR="008715BE" w:rsidRPr="00EC75B7" w14:paraId="50280B48" w14:textId="77777777">
        <w:trPr>
          <w:trHeight w:val="290"/>
        </w:trPr>
        <w:tc>
          <w:tcPr>
            <w:tcW w:w="720" w:type="dxa"/>
          </w:tcPr>
          <w:p w14:paraId="38C5D280"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46</w:t>
            </w:r>
          </w:p>
        </w:tc>
        <w:tc>
          <w:tcPr>
            <w:tcW w:w="1203" w:type="dxa"/>
          </w:tcPr>
          <w:p w14:paraId="18295CAF"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T46</w:t>
            </w:r>
          </w:p>
        </w:tc>
        <w:tc>
          <w:tcPr>
            <w:tcW w:w="1901" w:type="dxa"/>
          </w:tcPr>
          <w:p w14:paraId="05D5536F"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265013</w:t>
            </w:r>
          </w:p>
        </w:tc>
        <w:tc>
          <w:tcPr>
            <w:tcW w:w="1901" w:type="dxa"/>
          </w:tcPr>
          <w:p w14:paraId="63EE8318"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743344.001</w:t>
            </w:r>
          </w:p>
        </w:tc>
      </w:tr>
      <w:tr w:rsidR="008715BE" w:rsidRPr="00EC75B7" w14:paraId="48D3D53D" w14:textId="77777777">
        <w:trPr>
          <w:trHeight w:val="289"/>
        </w:trPr>
        <w:tc>
          <w:tcPr>
            <w:tcW w:w="720" w:type="dxa"/>
          </w:tcPr>
          <w:p w14:paraId="2B45A1A6"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47</w:t>
            </w:r>
          </w:p>
        </w:tc>
        <w:tc>
          <w:tcPr>
            <w:tcW w:w="1203" w:type="dxa"/>
          </w:tcPr>
          <w:p w14:paraId="295724A3"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T47</w:t>
            </w:r>
          </w:p>
        </w:tc>
        <w:tc>
          <w:tcPr>
            <w:tcW w:w="1901" w:type="dxa"/>
          </w:tcPr>
          <w:p w14:paraId="0F25580F"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264628</w:t>
            </w:r>
          </w:p>
        </w:tc>
        <w:tc>
          <w:tcPr>
            <w:tcW w:w="1901" w:type="dxa"/>
          </w:tcPr>
          <w:p w14:paraId="26AFFEEF"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742443.001</w:t>
            </w:r>
          </w:p>
        </w:tc>
      </w:tr>
      <w:tr w:rsidR="008715BE" w:rsidRPr="00EC75B7" w14:paraId="2B602EE5" w14:textId="77777777">
        <w:trPr>
          <w:trHeight w:val="290"/>
        </w:trPr>
        <w:tc>
          <w:tcPr>
            <w:tcW w:w="720" w:type="dxa"/>
          </w:tcPr>
          <w:p w14:paraId="01A86AC4" w14:textId="77777777" w:rsidR="008715BE" w:rsidRPr="00EC75B7" w:rsidRDefault="00000000">
            <w:pPr>
              <w:pStyle w:val="TableParagraph"/>
              <w:spacing w:before="78" w:line="192" w:lineRule="exact"/>
              <w:ind w:left="10" w:right="1"/>
              <w:jc w:val="center"/>
              <w:rPr>
                <w:rFonts w:ascii="Verdana" w:hAnsi="Verdana" w:cs="Times New Roman"/>
                <w:sz w:val="18"/>
                <w:szCs w:val="18"/>
              </w:rPr>
            </w:pPr>
            <w:r w:rsidRPr="00EC75B7">
              <w:rPr>
                <w:rFonts w:ascii="Verdana" w:hAnsi="Verdana" w:cs="Times New Roman"/>
                <w:sz w:val="18"/>
                <w:szCs w:val="18"/>
              </w:rPr>
              <w:t>48</w:t>
            </w:r>
          </w:p>
        </w:tc>
        <w:tc>
          <w:tcPr>
            <w:tcW w:w="1203" w:type="dxa"/>
          </w:tcPr>
          <w:p w14:paraId="3514A05E" w14:textId="77777777" w:rsidR="008715BE" w:rsidRPr="00EC75B7" w:rsidRDefault="00000000">
            <w:pPr>
              <w:pStyle w:val="TableParagraph"/>
              <w:spacing w:before="78" w:line="192" w:lineRule="exact"/>
              <w:ind w:left="6"/>
              <w:jc w:val="center"/>
              <w:rPr>
                <w:rFonts w:ascii="Verdana" w:hAnsi="Verdana" w:cs="Times New Roman"/>
                <w:sz w:val="18"/>
                <w:szCs w:val="18"/>
              </w:rPr>
            </w:pPr>
            <w:r w:rsidRPr="00EC75B7">
              <w:rPr>
                <w:rFonts w:ascii="Verdana" w:hAnsi="Verdana" w:cs="Times New Roman"/>
                <w:sz w:val="18"/>
                <w:szCs w:val="18"/>
              </w:rPr>
              <w:t>T48</w:t>
            </w:r>
          </w:p>
        </w:tc>
        <w:tc>
          <w:tcPr>
            <w:tcW w:w="1901" w:type="dxa"/>
          </w:tcPr>
          <w:p w14:paraId="735914B5" w14:textId="77777777"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261159.314</w:t>
            </w:r>
          </w:p>
        </w:tc>
        <w:tc>
          <w:tcPr>
            <w:tcW w:w="1901" w:type="dxa"/>
          </w:tcPr>
          <w:p w14:paraId="3B7C51F0" w14:textId="0E0A9A6F" w:rsidR="008715BE" w:rsidRPr="00EC75B7" w:rsidRDefault="00000000">
            <w:pPr>
              <w:pStyle w:val="TableParagraph"/>
              <w:spacing w:before="78" w:line="192" w:lineRule="exact"/>
              <w:ind w:left="10"/>
              <w:jc w:val="center"/>
              <w:rPr>
                <w:rFonts w:ascii="Verdana" w:hAnsi="Verdana" w:cs="Times New Roman"/>
                <w:sz w:val="18"/>
                <w:szCs w:val="18"/>
              </w:rPr>
            </w:pPr>
            <w:r w:rsidRPr="00EC75B7">
              <w:rPr>
                <w:rFonts w:ascii="Verdana" w:hAnsi="Verdana" w:cs="Times New Roman"/>
                <w:sz w:val="18"/>
                <w:szCs w:val="18"/>
              </w:rPr>
              <w:t>750172.055</w:t>
            </w:r>
          </w:p>
        </w:tc>
      </w:tr>
    </w:tbl>
    <w:p w14:paraId="23F3BE57" w14:textId="77777777" w:rsidR="008715BE" w:rsidRPr="00EC75B7" w:rsidRDefault="008715BE">
      <w:pPr>
        <w:pStyle w:val="BodyText"/>
        <w:rPr>
          <w:rFonts w:ascii="Verdana" w:hAnsi="Verdana"/>
        </w:rPr>
      </w:pPr>
    </w:p>
    <w:p w14:paraId="58D9DD74" w14:textId="77777777" w:rsidR="008715BE" w:rsidRPr="00EC75B7" w:rsidRDefault="008715BE">
      <w:pPr>
        <w:pStyle w:val="BodyText"/>
        <w:spacing w:before="22"/>
        <w:rPr>
          <w:rFonts w:ascii="Verdana" w:hAnsi="Verdana"/>
        </w:rPr>
      </w:pPr>
    </w:p>
    <w:p w14:paraId="3911A0C7" w14:textId="77777777" w:rsidR="008715BE" w:rsidRPr="00EC75B7" w:rsidRDefault="00000000">
      <w:pPr>
        <w:pStyle w:val="BodyText"/>
        <w:spacing w:line="357" w:lineRule="auto"/>
        <w:ind w:left="803" w:right="844" w:hanging="10"/>
        <w:jc w:val="both"/>
        <w:rPr>
          <w:rFonts w:ascii="Verdana" w:hAnsi="Verdana" w:cs="Times New Roman"/>
        </w:rPr>
      </w:pPr>
      <w:r w:rsidRPr="00EC75B7">
        <w:rPr>
          <w:rFonts w:ascii="Verdana" w:hAnsi="Verdana" w:cs="Times New Roman"/>
        </w:rPr>
        <w:t>In order to feed the energy produced into the grid, the wind turbines are connected to each other via an underground cable system (LES) to the 33 kV/110 kV transformer stations (two in number) located within the studied area. In order to connect the wind farm to the National Energy System (SEN), an underground electrical connection will be made from the 33kV/110kV transformer stations to the 110/400kV station and subsequently to the 400kV Deleni station in the area.</w:t>
      </w:r>
    </w:p>
    <w:p w14:paraId="7451D2DF" w14:textId="77777777" w:rsidR="008715BE" w:rsidRPr="00EC75B7" w:rsidRDefault="00000000">
      <w:pPr>
        <w:pStyle w:val="BodyText"/>
        <w:spacing w:before="125" w:line="357" w:lineRule="auto"/>
        <w:ind w:left="803" w:right="849" w:hanging="10"/>
        <w:jc w:val="both"/>
        <w:rPr>
          <w:rFonts w:ascii="Verdana" w:hAnsi="Verdana" w:cs="Times New Roman"/>
        </w:rPr>
      </w:pPr>
      <w:r w:rsidRPr="00EC75B7">
        <w:rPr>
          <w:rFonts w:ascii="Verdana" w:hAnsi="Verdana" w:cs="Times New Roman"/>
        </w:rPr>
        <w:t>The electrical network connecting the turbines to the 33kv - 110kv substations, located on plots A 5/28 and A 207/11, will be buried at a depth of 1.00 - 1.50 m and will be located on developed/undeveloped service roads in the studied area.</w:t>
      </w:r>
    </w:p>
    <w:p w14:paraId="0213BA63" w14:textId="77777777" w:rsidR="008715BE" w:rsidRPr="00EC75B7" w:rsidRDefault="00000000">
      <w:pPr>
        <w:pStyle w:val="BodyText"/>
        <w:spacing w:before="122" w:line="357" w:lineRule="auto"/>
        <w:ind w:left="803" w:right="848" w:hanging="10"/>
        <w:jc w:val="both"/>
        <w:rPr>
          <w:rFonts w:ascii="Verdana" w:hAnsi="Verdana" w:cs="Times New Roman"/>
        </w:rPr>
      </w:pPr>
      <w:r w:rsidRPr="00EC75B7">
        <w:rPr>
          <w:rFonts w:ascii="Verdana" w:hAnsi="Verdana" w:cs="Times New Roman"/>
        </w:rPr>
        <w:t>Based on TRANSGAZ SA opinion no. 34618/948/10.05.2023, two locations, power plants T17 and T23, were abandoned because they did not comply with the legal distances from the main pipelines identified in the opinion. The resulting wind farm will consist of 46 wind turbines with an individual capacity of between 6.2 and 7 MW each, totaling a final capacity of 303.6 MW.</w:t>
      </w:r>
    </w:p>
    <w:p w14:paraId="49E227BB" w14:textId="77777777" w:rsidR="008715BE" w:rsidRPr="00EC75B7" w:rsidRDefault="00000000">
      <w:pPr>
        <w:pStyle w:val="BodyText"/>
        <w:spacing w:before="123"/>
        <w:ind w:left="794"/>
        <w:jc w:val="both"/>
        <w:rPr>
          <w:rFonts w:ascii="Verdana" w:hAnsi="Verdana" w:cs="Times New Roman"/>
        </w:rPr>
      </w:pPr>
      <w:r w:rsidRPr="00EC75B7">
        <w:rPr>
          <w:rFonts w:ascii="Verdana" w:hAnsi="Verdana" w:cs="Times New Roman"/>
        </w:rPr>
        <w:t>The following works will be carried out to implement the project:</w:t>
      </w:r>
    </w:p>
    <w:p w14:paraId="041AFA85" w14:textId="77777777" w:rsidR="008715BE" w:rsidRPr="00EC75B7" w:rsidRDefault="008715BE">
      <w:pPr>
        <w:pStyle w:val="BodyText"/>
        <w:spacing w:before="9"/>
        <w:rPr>
          <w:rFonts w:ascii="Verdana" w:hAnsi="Verdana"/>
        </w:rPr>
      </w:pPr>
    </w:p>
    <w:p w14:paraId="2B5EC79F" w14:textId="77777777" w:rsidR="005661E6" w:rsidRPr="00EC75B7" w:rsidRDefault="00000000">
      <w:pPr>
        <w:pStyle w:val="BodyText"/>
        <w:numPr>
          <w:ilvl w:val="0"/>
          <w:numId w:val="120"/>
        </w:numPr>
        <w:spacing w:before="122" w:line="357" w:lineRule="auto"/>
        <w:ind w:right="848"/>
        <w:jc w:val="both"/>
        <w:rPr>
          <w:rFonts w:ascii="Verdana" w:hAnsi="Verdana" w:cs="Times New Roman"/>
        </w:rPr>
      </w:pPr>
      <w:r w:rsidRPr="00EC75B7">
        <w:rPr>
          <w:rFonts w:ascii="Verdana" w:hAnsi="Verdana" w:cs="Times New Roman"/>
        </w:rPr>
        <w:t>Construction of foundations and technological platforms for the installation of wind turbines;</w:t>
      </w:r>
    </w:p>
    <w:p w14:paraId="7780E65B" w14:textId="76C62AA4" w:rsidR="008715BE" w:rsidRPr="00EC75B7" w:rsidRDefault="00000000">
      <w:pPr>
        <w:pStyle w:val="BodyText"/>
        <w:numPr>
          <w:ilvl w:val="0"/>
          <w:numId w:val="120"/>
        </w:numPr>
        <w:spacing w:before="122" w:line="357" w:lineRule="auto"/>
        <w:ind w:right="848"/>
        <w:jc w:val="both"/>
        <w:rPr>
          <w:rFonts w:ascii="Verdana" w:hAnsi="Verdana" w:cs="Times New Roman"/>
        </w:rPr>
      </w:pPr>
      <w:r w:rsidRPr="00EC75B7">
        <w:rPr>
          <w:rFonts w:ascii="Verdana" w:hAnsi="Verdana" w:cs="Times New Roman"/>
        </w:rPr>
        <w:t>Installation of wind turbines with an individual power ranging from 6.2 to 7 MW each, with</w:t>
      </w:r>
    </w:p>
    <w:p w14:paraId="4719461D" w14:textId="77777777" w:rsidR="005661E6"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a total power of approximately 316.8 MW (303.6 MW);</w:t>
      </w:r>
    </w:p>
    <w:p w14:paraId="7880EB9A" w14:textId="77777777" w:rsidR="005661E6" w:rsidRPr="00EC75B7" w:rsidRDefault="00000000">
      <w:pPr>
        <w:pStyle w:val="BodyText"/>
        <w:numPr>
          <w:ilvl w:val="0"/>
          <w:numId w:val="121"/>
        </w:numPr>
        <w:spacing w:before="122" w:line="357" w:lineRule="auto"/>
        <w:ind w:right="848"/>
        <w:jc w:val="both"/>
        <w:rPr>
          <w:rFonts w:ascii="Verdana" w:hAnsi="Verdana" w:cs="Times New Roman"/>
        </w:rPr>
      </w:pPr>
      <w:r w:rsidRPr="00EC75B7">
        <w:rPr>
          <w:rFonts w:ascii="Verdana" w:hAnsi="Verdana" w:cs="Times New Roman"/>
        </w:rPr>
        <w:t>Construction of agricultural roads for heavy traffic, within the limit of 5.5 m;</w:t>
      </w:r>
    </w:p>
    <w:p w14:paraId="0B761996" w14:textId="77777777" w:rsidR="005661E6" w:rsidRPr="00EC75B7" w:rsidRDefault="00000000">
      <w:pPr>
        <w:pStyle w:val="BodyText"/>
        <w:numPr>
          <w:ilvl w:val="0"/>
          <w:numId w:val="121"/>
        </w:numPr>
        <w:spacing w:before="122" w:line="357" w:lineRule="auto"/>
        <w:ind w:right="848"/>
        <w:jc w:val="both"/>
        <w:rPr>
          <w:rFonts w:ascii="Verdana" w:hAnsi="Verdana" w:cs="Times New Roman"/>
        </w:rPr>
      </w:pPr>
      <w:r w:rsidRPr="00EC75B7">
        <w:rPr>
          <w:rFonts w:ascii="Verdana" w:hAnsi="Verdana" w:cs="Times New Roman"/>
        </w:rPr>
        <w:t>Construction of two 33 kV/110 kV transformer stations;</w:t>
      </w:r>
    </w:p>
    <w:p w14:paraId="21B264E7" w14:textId="5AA92529" w:rsidR="008715BE" w:rsidRPr="00EC75B7" w:rsidRDefault="00000000">
      <w:pPr>
        <w:pStyle w:val="BodyText"/>
        <w:numPr>
          <w:ilvl w:val="0"/>
          <w:numId w:val="121"/>
        </w:numPr>
        <w:spacing w:before="122" w:line="357" w:lineRule="auto"/>
        <w:ind w:right="848"/>
        <w:jc w:val="both"/>
        <w:rPr>
          <w:rFonts w:ascii="Verdana" w:hAnsi="Verdana" w:cs="Times New Roman"/>
        </w:rPr>
      </w:pPr>
      <w:r w:rsidRPr="00EC75B7">
        <w:rPr>
          <w:rFonts w:ascii="Verdana" w:hAnsi="Verdana" w:cs="Times New Roman"/>
        </w:rPr>
        <w:t>Installation of 33 kV underground power lines to connect the wind turbines to the transformer stations.</w:t>
      </w:r>
    </w:p>
    <w:p w14:paraId="53D5B2BB"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To implement the project, work will be carried out to construct the turbine foundations and improve the soil, modernize existing roads and build new roads within the plots, construct assembly platforms, build electrical substations and connections to the turbines, organize the construction site, install video surveillance poles, and the installation of settlement gauges to monitor the behaviour of the foundations.</w:t>
      </w:r>
    </w:p>
    <w:p w14:paraId="48368E58" w14:textId="77777777" w:rsidR="008715BE" w:rsidRPr="00EC75B7" w:rsidRDefault="00000000" w:rsidP="00671380">
      <w:pPr>
        <w:pStyle w:val="BodyText"/>
        <w:spacing w:line="358" w:lineRule="auto"/>
        <w:ind w:left="806" w:right="850" w:hanging="14"/>
        <w:jc w:val="both"/>
        <w:rPr>
          <w:rFonts w:ascii="Verdana" w:hAnsi="Verdana" w:cs="Times New Roman"/>
        </w:rPr>
      </w:pPr>
      <w:r w:rsidRPr="00EC75B7">
        <w:rPr>
          <w:rFonts w:ascii="Verdana" w:hAnsi="Verdana" w:cs="Times New Roman"/>
        </w:rPr>
        <w:lastRenderedPageBreak/>
        <w:t>Based on the study of solutions for connecting the wind farm to the National Energy System, the beneficiary</w:t>
      </w:r>
    </w:p>
    <w:p w14:paraId="46628499" w14:textId="6BF1C08B" w:rsidR="008715BE" w:rsidRDefault="00000000" w:rsidP="00671380">
      <w:pPr>
        <w:pStyle w:val="BodyText"/>
        <w:spacing w:line="358" w:lineRule="auto"/>
        <w:ind w:left="806" w:right="850" w:hanging="14"/>
        <w:jc w:val="both"/>
        <w:rPr>
          <w:rFonts w:ascii="Verdana" w:hAnsi="Verdana" w:cs="Times New Roman"/>
        </w:rPr>
      </w:pPr>
      <w:r w:rsidRPr="00EC75B7">
        <w:rPr>
          <w:rFonts w:ascii="Verdana" w:hAnsi="Verdana" w:cs="Times New Roman"/>
        </w:rPr>
        <w:t>decided on the connection solution, namely through underground cables laid along</w:t>
      </w:r>
      <w:r w:rsidR="005661E6" w:rsidRPr="00EC75B7">
        <w:rPr>
          <w:rFonts w:ascii="Verdana" w:hAnsi="Verdana" w:cs="Times New Roman"/>
        </w:rPr>
        <w:t xml:space="preserve"> roads. These connection cables between the internal transformer stations and the connection point(s) to the SEN, as well as the main transformer station/necessary works in the existing ones, are not covered by this project, as they are regulated separately in terms of environmental protection under other procedures.</w:t>
      </w:r>
    </w:p>
    <w:p w14:paraId="7406F066" w14:textId="77777777" w:rsidR="00903DD2" w:rsidRPr="00EC75B7" w:rsidRDefault="00903DD2" w:rsidP="00903DD2">
      <w:pPr>
        <w:pStyle w:val="BodyText"/>
        <w:spacing w:before="122" w:line="357" w:lineRule="auto"/>
        <w:ind w:left="803" w:right="848" w:hanging="10"/>
        <w:jc w:val="both"/>
        <w:rPr>
          <w:rFonts w:ascii="Verdana" w:hAnsi="Verdana"/>
        </w:rPr>
      </w:pPr>
    </w:p>
    <w:p w14:paraId="4C85AE88" w14:textId="77777777" w:rsidR="008715BE" w:rsidRPr="00EC75B7" w:rsidRDefault="00000000">
      <w:pPr>
        <w:pStyle w:val="Heading2"/>
        <w:numPr>
          <w:ilvl w:val="1"/>
          <w:numId w:val="110"/>
        </w:numPr>
        <w:tabs>
          <w:tab w:val="left" w:pos="1539"/>
        </w:tabs>
        <w:ind w:left="1539" w:hanging="716"/>
        <w:jc w:val="left"/>
        <w:rPr>
          <w:rFonts w:ascii="Verdana" w:hAnsi="Verdana"/>
          <w:color w:val="00AFEF"/>
          <w:sz w:val="18"/>
          <w:szCs w:val="18"/>
        </w:rPr>
      </w:pPr>
      <w:bookmarkStart w:id="4" w:name="_bookmark4"/>
      <w:bookmarkEnd w:id="4"/>
      <w:r w:rsidRPr="00EC75B7">
        <w:rPr>
          <w:rFonts w:ascii="Verdana" w:hAnsi="Verdana"/>
          <w:color w:val="00AFEF"/>
          <w:spacing w:val="-2"/>
          <w:sz w:val="18"/>
          <w:szCs w:val="18"/>
        </w:rPr>
        <w:t xml:space="preserve">Project </w:t>
      </w:r>
      <w:r w:rsidRPr="00EC75B7">
        <w:rPr>
          <w:rFonts w:ascii="Verdana" w:hAnsi="Verdana"/>
          <w:color w:val="00AFEF"/>
          <w:sz w:val="18"/>
          <w:szCs w:val="18"/>
        </w:rPr>
        <w:t>location</w:t>
      </w:r>
    </w:p>
    <w:p w14:paraId="3F858627" w14:textId="77777777" w:rsidR="008715BE" w:rsidRPr="00EC75B7" w:rsidRDefault="008715BE">
      <w:pPr>
        <w:pStyle w:val="BodyText"/>
        <w:spacing w:before="101"/>
        <w:rPr>
          <w:rFonts w:ascii="Verdana" w:hAnsi="Verdana"/>
          <w:b/>
        </w:rPr>
      </w:pPr>
    </w:p>
    <w:p w14:paraId="00784B7B"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transition to alternative energy sources is an imperative necessity for contemporary society.</w:t>
      </w:r>
    </w:p>
    <w:p w14:paraId="21F461D6"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Wind turbines, which produce electricity by converting the kinetic energy of the wind, contribute significantly to the sustainable development of the region due to their ecological and non-polluting characteristics. The installation and operation of these turbines are in line with the major objectives of the European Union and Romania regarding the implementation of green energy production technologies.</w:t>
      </w:r>
    </w:p>
    <w:p w14:paraId="375A1268"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Romania's efforts to obtain renewable and non-polluting energy are in line with current legislation, such as EU Directive 2018/844 of May 30, 2018, and Directive 2009/28/EC of April 23, 2009. According to studies, electricity generated by wind turbines has one of the lowest carbon footprints, with most emissions generated during the manufacturing and construction of the turbines (United Nations Economic Commission for Europe. Carbon Neutrality in the UNECE Region: Integrated Life-cycle Assessment of Electricity Sources, 2022).</w:t>
      </w:r>
    </w:p>
    <w:p w14:paraId="1580DF96"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During operation, emissions generated during maintenance operations are very low. Thus, wind turbines contribute to the prevention of CO2, SO2, NOx, and dust emissions that would have been generated by the use of non-renewable energy sources.</w:t>
      </w:r>
    </w:p>
    <w:p w14:paraId="0C0E3757"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implementation of the project in the studied territory, totaling a power of 316.8 MW (303.6 MW), is based on national and international conventions on energy and climate change, on the basis of which Romania has developed the Integrated National Energy and Climate Change Plan 2020-2030, as well as Romania's Energy Strategy 2022-2030, with a view to 2050, and Romania's Long-Term Strategy for GHG Reduction: Romania Neutral in 2050.</w:t>
      </w:r>
    </w:p>
    <w:p w14:paraId="186DC0C7"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proposed project responds to the overall objective of Romania's Energy Strategy, namely to grow the energy sector in a sustainable manner, in line with national, European, and global benchmarks. The implementation of this plan will contribute to the development of the national energy system and also to Romania's compliance with its international obligations (the Paris Agreement and subsequent strategies).</w:t>
      </w:r>
    </w:p>
    <w:p w14:paraId="4589404D"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continued increase in the use of renewable resources has been identified as the main solution for reducing the environmental pressures generated by the energy sector due to the exploitation of fossil fuels.</w:t>
      </w:r>
    </w:p>
    <w:p w14:paraId="3D7491AE"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In addition, building a "resilient Energy Union with a forward-looking climate change policy" is a major priority for the European Commission. The Energy Union Strategy, through its five dimensions: energy security, an integrated internal energy market, energy efficiency, decarbonisation of the economy, and research and innovation, provides a framework for achieving this priority.</w:t>
      </w:r>
    </w:p>
    <w:p w14:paraId="3C059388"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As part of the "Clean Energy for All Europeans" package, the EU has also revised its EU energy targets for 2030, with a share of at least 32% of energy from renewable sources, which was subsequently revised as part of the "Fit for 55" package to at least 40% by 2030.</w:t>
      </w:r>
    </w:p>
    <w:p w14:paraId="3CF9A1A5" w14:textId="77777777" w:rsidR="008715BE" w:rsidRPr="00EC75B7" w:rsidRDefault="008715BE">
      <w:pPr>
        <w:pStyle w:val="BodyText"/>
        <w:spacing w:line="357" w:lineRule="auto"/>
        <w:jc w:val="both"/>
        <w:rPr>
          <w:rFonts w:ascii="Verdana" w:hAnsi="Verdana"/>
        </w:rPr>
        <w:sectPr w:rsidR="008715BE" w:rsidRPr="00EC75B7">
          <w:headerReference w:type="default" r:id="rId19"/>
          <w:footerReference w:type="default" r:id="rId20"/>
          <w:pgSz w:w="11910" w:h="16840"/>
          <w:pgMar w:top="1160" w:right="141" w:bottom="1020" w:left="425" w:header="766" w:footer="824" w:gutter="0"/>
          <w:cols w:space="708"/>
        </w:sectPr>
      </w:pPr>
    </w:p>
    <w:p w14:paraId="4FBB1D98"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lastRenderedPageBreak/>
        <w:t>Encouraging projects that enable the use of renewable energy ensures the dimension relating to the decarbonization of the economy. This dimension affirms that "an ambitious climate change policy is an integral part of our energy union" and aims to make the EU the world leader in renewable energy.</w:t>
      </w:r>
    </w:p>
    <w:p w14:paraId="586B2436"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project is not directly related to protected natural areas and is not necessary for the conservation of species and habitats of Community interest within protected natural areas. However, ensuring the use of energy from renewable sources will reduce greenhouse gas emissions, improve environmental quality, and have a positive impact on biodiversity.</w:t>
      </w:r>
    </w:p>
    <w:p w14:paraId="21591D36"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It is estimated that the proposed project represents a major investment in the area, an investment that will generate viable, direct, and indirect opportunities for long-term improvement of the socio-economic situation of the community, without creating significant effects on environmental factors.</w:t>
      </w:r>
    </w:p>
    <w:p w14:paraId="72C2622D" w14:textId="77777777" w:rsidR="008715BE" w:rsidRPr="00EC75B7" w:rsidRDefault="008715BE">
      <w:pPr>
        <w:pStyle w:val="BodyText"/>
        <w:spacing w:before="21"/>
        <w:rPr>
          <w:rFonts w:ascii="Verdana" w:hAnsi="Verdana"/>
        </w:rPr>
      </w:pPr>
    </w:p>
    <w:p w14:paraId="263D5614" w14:textId="77777777" w:rsidR="008715BE" w:rsidRPr="00EC75B7" w:rsidRDefault="00000000">
      <w:pPr>
        <w:pStyle w:val="Heading2"/>
        <w:numPr>
          <w:ilvl w:val="1"/>
          <w:numId w:val="110"/>
        </w:numPr>
        <w:tabs>
          <w:tab w:val="left" w:pos="1539"/>
        </w:tabs>
        <w:ind w:left="1539" w:hanging="716"/>
        <w:jc w:val="left"/>
        <w:rPr>
          <w:rFonts w:ascii="Verdana" w:hAnsi="Verdana"/>
          <w:color w:val="00AFEF"/>
          <w:sz w:val="18"/>
          <w:szCs w:val="18"/>
        </w:rPr>
      </w:pPr>
      <w:bookmarkStart w:id="5" w:name="_bookmark5"/>
      <w:bookmarkEnd w:id="5"/>
      <w:r w:rsidRPr="00EC75B7">
        <w:rPr>
          <w:rFonts w:ascii="Verdana" w:hAnsi="Verdana"/>
          <w:color w:val="00AFEF"/>
          <w:sz w:val="18"/>
          <w:szCs w:val="18"/>
        </w:rPr>
        <w:t xml:space="preserve">Description of the physical characteristics of </w:t>
      </w:r>
      <w:r w:rsidRPr="00EC75B7">
        <w:rPr>
          <w:rFonts w:ascii="Verdana" w:hAnsi="Verdana"/>
          <w:color w:val="00AFEF"/>
          <w:spacing w:val="-2"/>
          <w:sz w:val="18"/>
          <w:szCs w:val="18"/>
        </w:rPr>
        <w:t>the project</w:t>
      </w:r>
    </w:p>
    <w:p w14:paraId="1A1C0F51" w14:textId="77777777" w:rsidR="008715BE" w:rsidRPr="00EC75B7" w:rsidRDefault="00000000">
      <w:pPr>
        <w:pStyle w:val="Heading3"/>
        <w:numPr>
          <w:ilvl w:val="2"/>
          <w:numId w:val="108"/>
        </w:numPr>
        <w:tabs>
          <w:tab w:val="left" w:pos="2750"/>
        </w:tabs>
        <w:spacing w:before="132"/>
        <w:ind w:hanging="991"/>
        <w:rPr>
          <w:rFonts w:ascii="Verdana" w:hAnsi="Verdana"/>
          <w:sz w:val="18"/>
          <w:szCs w:val="18"/>
        </w:rPr>
      </w:pPr>
      <w:bookmarkStart w:id="6" w:name="_bookmark6"/>
      <w:bookmarkEnd w:id="6"/>
      <w:r w:rsidRPr="00EC75B7">
        <w:rPr>
          <w:rFonts w:ascii="Verdana" w:hAnsi="Verdana"/>
          <w:color w:val="00AFEF"/>
          <w:spacing w:val="-2"/>
          <w:sz w:val="18"/>
          <w:szCs w:val="18"/>
        </w:rPr>
        <w:t xml:space="preserve">Current </w:t>
      </w:r>
      <w:r w:rsidRPr="00EC75B7">
        <w:rPr>
          <w:rFonts w:ascii="Verdana" w:hAnsi="Verdana"/>
          <w:color w:val="00AFEF"/>
          <w:sz w:val="18"/>
          <w:szCs w:val="18"/>
        </w:rPr>
        <w:t>situation</w:t>
      </w:r>
    </w:p>
    <w:p w14:paraId="418445EE" w14:textId="77777777" w:rsidR="008715BE" w:rsidRPr="00EC75B7" w:rsidRDefault="008715BE" w:rsidP="005661E6">
      <w:pPr>
        <w:pStyle w:val="BodyText"/>
        <w:spacing w:before="114"/>
        <w:ind w:left="144"/>
        <w:jc w:val="both"/>
        <w:rPr>
          <w:rFonts w:ascii="Verdana" w:hAnsi="Verdana"/>
          <w:b/>
        </w:rPr>
      </w:pPr>
    </w:p>
    <w:p w14:paraId="0A7B9B73"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This project involves the construction of a wind farm (wind turbines), a wind power plant including: wind turbines, access roads and assembly/maintenance platforms, electrical substations (own), medium and high voltage electrical network and telecommunications network. The land on which the investment is to be made is located outside the built-up area of the commune of Cerchezu, Constanţa County. The wind farm will be built exclusively on land classified as "arable".</w:t>
      </w:r>
    </w:p>
    <w:p w14:paraId="4307320A"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SOUTH WIND SRL intends to build and operate a wind power plant equipped with 48 (46) wind turbines with an individual capacity of 6.2 - 7 MW/h.</w:t>
      </w:r>
    </w:p>
    <w:p w14:paraId="06178A5E"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In order to feed the energy produced into the grid, the wind turbines are connected to each other via an underground cable system (LES) to the 33 kV/110 kV transformer stations (two in number) located within the studied area. In order to connect the wind farm to the National Energy System (SEN), an underground electrical connection will be made from the 33kV/110kV transformer stations to the 110/400kV station and subsequently to the 400 kV station in the area.</w:t>
      </w:r>
    </w:p>
    <w:p w14:paraId="5023FEBB"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electrical network connecting the turbines to the 33kv - 110kv substations, located on plots A 5/28 and A 207/11, will be buried at a depth of 1.00 - 1.50 m and will be located on developed/undeveloped service roads in the studied area.</w:t>
      </w:r>
    </w:p>
    <w:p w14:paraId="0FF029D2" w14:textId="77777777" w:rsidR="008715BE"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Based on TRANSGAZ SA opinion no. 34618/948/10.05.2023, two locations, power plants T17 and T23, were abandoned because they did not comply with the legal distances from the main pipelines identified in the opinion. The resulting wind farm will consist of 46 wind turbines with an individual capacity ranging from 6.2 to 7 MW each, totaling a final capacity of 303.6 MW.</w:t>
      </w:r>
    </w:p>
    <w:p w14:paraId="395792BD" w14:textId="77777777" w:rsidR="005661E6" w:rsidRPr="00EC75B7" w:rsidRDefault="00000000" w:rsidP="005661E6">
      <w:pPr>
        <w:pStyle w:val="BodyText"/>
        <w:spacing w:before="122" w:line="357" w:lineRule="auto"/>
        <w:ind w:left="803" w:right="848" w:hanging="10"/>
        <w:jc w:val="both"/>
        <w:rPr>
          <w:rFonts w:ascii="Verdana" w:hAnsi="Verdana" w:cs="Times New Roman"/>
        </w:rPr>
      </w:pPr>
      <w:r w:rsidRPr="00EC75B7">
        <w:rPr>
          <w:rFonts w:ascii="Verdana" w:hAnsi="Verdana" w:cs="Times New Roman"/>
        </w:rPr>
        <w:t>The following works will be carried out to implement the project:</w:t>
      </w:r>
    </w:p>
    <w:p w14:paraId="791E6EB1" w14:textId="77777777" w:rsidR="005661E6" w:rsidRPr="00EC75B7" w:rsidRDefault="00000000" w:rsidP="00671380">
      <w:pPr>
        <w:pStyle w:val="BodyText"/>
        <w:numPr>
          <w:ilvl w:val="0"/>
          <w:numId w:val="122"/>
        </w:numPr>
        <w:spacing w:line="358" w:lineRule="auto"/>
        <w:ind w:left="1512" w:right="850"/>
        <w:jc w:val="both"/>
        <w:rPr>
          <w:rFonts w:ascii="Verdana" w:hAnsi="Verdana" w:cs="Times New Roman"/>
        </w:rPr>
      </w:pPr>
      <w:r w:rsidRPr="00EC75B7">
        <w:rPr>
          <w:rFonts w:ascii="Verdana" w:hAnsi="Verdana" w:cs="Times New Roman"/>
        </w:rPr>
        <w:t>Construction of foundations and technological platforms for the installation of wind turbines;</w:t>
      </w:r>
    </w:p>
    <w:p w14:paraId="0EF577DB" w14:textId="77777777" w:rsidR="005661E6" w:rsidRPr="00EC75B7" w:rsidRDefault="00000000" w:rsidP="00671380">
      <w:pPr>
        <w:pStyle w:val="BodyText"/>
        <w:numPr>
          <w:ilvl w:val="0"/>
          <w:numId w:val="122"/>
        </w:numPr>
        <w:spacing w:line="358" w:lineRule="auto"/>
        <w:ind w:left="1512" w:right="850"/>
        <w:jc w:val="both"/>
        <w:rPr>
          <w:rFonts w:ascii="Verdana" w:hAnsi="Verdana" w:cs="Times New Roman"/>
        </w:rPr>
      </w:pPr>
      <w:r w:rsidRPr="00EC75B7">
        <w:rPr>
          <w:rFonts w:ascii="Verdana" w:hAnsi="Verdana" w:cs="Times New Roman"/>
        </w:rPr>
        <w:t>Installation of wind turbines with a total capacity of approx. 316.8 MW (303.6 MW);</w:t>
      </w:r>
    </w:p>
    <w:p w14:paraId="70CA7925" w14:textId="77777777" w:rsidR="005661E6" w:rsidRPr="00EC75B7" w:rsidRDefault="00000000" w:rsidP="00671380">
      <w:pPr>
        <w:pStyle w:val="BodyText"/>
        <w:numPr>
          <w:ilvl w:val="0"/>
          <w:numId w:val="122"/>
        </w:numPr>
        <w:spacing w:line="358" w:lineRule="auto"/>
        <w:ind w:left="1512" w:right="850"/>
        <w:jc w:val="both"/>
        <w:rPr>
          <w:rFonts w:ascii="Verdana" w:hAnsi="Verdana" w:cs="Times New Roman"/>
        </w:rPr>
      </w:pPr>
      <w:r w:rsidRPr="00EC75B7">
        <w:rPr>
          <w:rFonts w:ascii="Verdana" w:hAnsi="Verdana" w:cs="Times New Roman"/>
        </w:rPr>
        <w:t>Construction of agricultural roads for heavy traffic, within the limit of 5.5 m;</w:t>
      </w:r>
    </w:p>
    <w:p w14:paraId="13C2F4B5" w14:textId="60FD4EF2" w:rsidR="008715BE" w:rsidRPr="00EC75B7" w:rsidRDefault="00000000" w:rsidP="00671380">
      <w:pPr>
        <w:pStyle w:val="BodyText"/>
        <w:numPr>
          <w:ilvl w:val="0"/>
          <w:numId w:val="122"/>
        </w:numPr>
        <w:spacing w:line="358" w:lineRule="auto"/>
        <w:ind w:left="1512" w:right="850"/>
        <w:jc w:val="both"/>
        <w:rPr>
          <w:rFonts w:ascii="Verdana" w:hAnsi="Verdana" w:cs="Times New Roman"/>
        </w:rPr>
      </w:pPr>
      <w:r w:rsidRPr="00EC75B7">
        <w:rPr>
          <w:rFonts w:ascii="Verdana" w:hAnsi="Verdana" w:cs="Times New Roman"/>
        </w:rPr>
        <w:t>Construction of two 33 kV/110 kV transformer stations;</w:t>
      </w:r>
    </w:p>
    <w:p w14:paraId="39327AE7" w14:textId="2CB0EFF8" w:rsidR="008715BE" w:rsidRPr="00EC75B7" w:rsidRDefault="00000000" w:rsidP="00671380">
      <w:pPr>
        <w:pStyle w:val="BodyText"/>
        <w:numPr>
          <w:ilvl w:val="0"/>
          <w:numId w:val="122"/>
        </w:numPr>
        <w:spacing w:line="358" w:lineRule="auto"/>
        <w:ind w:left="1512" w:right="850"/>
        <w:jc w:val="both"/>
        <w:rPr>
          <w:rFonts w:ascii="Verdana" w:hAnsi="Verdana" w:cs="Times New Roman"/>
        </w:rPr>
      </w:pPr>
      <w:r w:rsidRPr="00EC75B7">
        <w:rPr>
          <w:rFonts w:ascii="Verdana" w:hAnsi="Verdana" w:cs="Times New Roman"/>
        </w:rPr>
        <w:t>Installation of 33 kV underground power lines</w:t>
      </w:r>
      <w:r w:rsidR="006D43A0" w:rsidRPr="00EC75B7">
        <w:rPr>
          <w:rFonts w:ascii="Verdana" w:hAnsi="Verdana" w:cs="Times New Roman"/>
        </w:rPr>
        <w:t>.</w:t>
      </w:r>
    </w:p>
    <w:p w14:paraId="60A1BDC4" w14:textId="77777777" w:rsidR="008715BE" w:rsidRPr="00EC75B7" w:rsidRDefault="00000000" w:rsidP="005661E6">
      <w:pPr>
        <w:pStyle w:val="BodyText"/>
        <w:spacing w:before="122" w:line="358" w:lineRule="auto"/>
        <w:ind w:left="806" w:right="850" w:hanging="14"/>
        <w:jc w:val="both"/>
        <w:rPr>
          <w:rFonts w:ascii="Verdana" w:hAnsi="Verdana"/>
        </w:rPr>
      </w:pPr>
      <w:r w:rsidRPr="00EC75B7">
        <w:rPr>
          <w:rFonts w:ascii="Verdana" w:hAnsi="Verdana"/>
          <w:spacing w:val="-2"/>
        </w:rPr>
        <w:t>.</w:t>
      </w:r>
    </w:p>
    <w:p w14:paraId="37F9FDD7" w14:textId="77777777" w:rsidR="008715BE" w:rsidRPr="00EC75B7" w:rsidRDefault="008715BE" w:rsidP="005661E6">
      <w:pPr>
        <w:pStyle w:val="BodyText"/>
        <w:spacing w:before="122" w:line="358" w:lineRule="auto"/>
        <w:ind w:right="850"/>
        <w:jc w:val="both"/>
        <w:rPr>
          <w:rFonts w:ascii="Verdana" w:hAnsi="Verdana"/>
        </w:rPr>
        <w:sectPr w:rsidR="008715BE" w:rsidRPr="00EC75B7">
          <w:pgSz w:w="11910" w:h="16840"/>
          <w:pgMar w:top="1160" w:right="141" w:bottom="1020" w:left="425" w:header="766" w:footer="824" w:gutter="0"/>
          <w:cols w:space="708"/>
        </w:sectPr>
      </w:pPr>
    </w:p>
    <w:p w14:paraId="72299BF2" w14:textId="77777777" w:rsidR="008715BE" w:rsidRPr="00EC75B7" w:rsidRDefault="008715BE" w:rsidP="005661E6">
      <w:pPr>
        <w:pStyle w:val="BodyText"/>
        <w:spacing w:before="122" w:line="358" w:lineRule="auto"/>
        <w:ind w:right="850"/>
        <w:jc w:val="both"/>
        <w:rPr>
          <w:rFonts w:ascii="Verdana" w:hAnsi="Verdana"/>
        </w:rPr>
      </w:pPr>
    </w:p>
    <w:p w14:paraId="4150790B" w14:textId="77777777" w:rsidR="008715BE" w:rsidRPr="00EC75B7" w:rsidRDefault="00000000" w:rsidP="005661E6">
      <w:pPr>
        <w:pStyle w:val="BodyText"/>
        <w:spacing w:before="122" w:line="358" w:lineRule="auto"/>
        <w:ind w:left="806" w:right="850" w:hanging="14"/>
        <w:jc w:val="both"/>
        <w:rPr>
          <w:rFonts w:ascii="Verdana" w:hAnsi="Verdana" w:cs="Times New Roman"/>
        </w:rPr>
      </w:pPr>
      <w:r w:rsidRPr="00EC75B7">
        <w:rPr>
          <w:rFonts w:ascii="Verdana" w:hAnsi="Verdana" w:cs="Times New Roman"/>
        </w:rPr>
        <w:t>To implement the project, work will be carried out to construct the turbine foundations and improve the soil, modernize existing roads and build new roads within the plots, construct assembly platforms, build electrical substations and connections to the turbines, organize the construction site, install video surveillance poles, and installing settlement gauges to monitor the behavior of the foundations.</w:t>
      </w:r>
    </w:p>
    <w:p w14:paraId="474064A7" w14:textId="77777777" w:rsidR="008715BE" w:rsidRPr="00EC75B7" w:rsidRDefault="00000000" w:rsidP="005661E6">
      <w:pPr>
        <w:pStyle w:val="BodyText"/>
        <w:spacing w:before="122" w:line="358" w:lineRule="auto"/>
        <w:ind w:left="806" w:right="850" w:hanging="14"/>
        <w:jc w:val="both"/>
        <w:rPr>
          <w:rFonts w:ascii="Verdana" w:hAnsi="Verdana" w:cs="Times New Roman"/>
        </w:rPr>
      </w:pPr>
      <w:r w:rsidRPr="00EC75B7">
        <w:rPr>
          <w:rFonts w:ascii="Verdana" w:hAnsi="Verdana" w:cs="Times New Roman"/>
        </w:rPr>
        <w:t>Based on the study of solutions for connecting the wind farm to the National Energy System, the project beneficiary decided on the connection solution, namely underground cables laid along roads. These connection cables between the internal transformer stations and the connection point(s) to the SEN, as well as the main transformer station/necessary works in the existing ones, are not covered by this project, as they are regulated separately in terms of environmental protection under other procedures.</w:t>
      </w:r>
    </w:p>
    <w:p w14:paraId="0C62235A" w14:textId="77777777" w:rsidR="008715BE" w:rsidRPr="00EC75B7" w:rsidRDefault="008715BE" w:rsidP="005661E6">
      <w:pPr>
        <w:pStyle w:val="BodyText"/>
        <w:spacing w:before="122" w:line="358" w:lineRule="auto"/>
        <w:ind w:left="806" w:right="850" w:hanging="14"/>
        <w:jc w:val="both"/>
        <w:rPr>
          <w:rFonts w:ascii="Verdana" w:hAnsi="Verdana"/>
        </w:rPr>
      </w:pPr>
    </w:p>
    <w:p w14:paraId="21B507FC" w14:textId="6E3D654A" w:rsidR="008715BE" w:rsidRPr="000A0F43" w:rsidRDefault="00000000" w:rsidP="000A0F43">
      <w:pPr>
        <w:pStyle w:val="Heading3"/>
        <w:numPr>
          <w:ilvl w:val="2"/>
          <w:numId w:val="108"/>
        </w:numPr>
        <w:tabs>
          <w:tab w:val="left" w:pos="2750"/>
        </w:tabs>
        <w:spacing w:before="122" w:line="358" w:lineRule="auto"/>
        <w:ind w:left="806" w:right="850" w:hanging="14"/>
        <w:jc w:val="both"/>
        <w:rPr>
          <w:rFonts w:ascii="Verdana" w:hAnsi="Verdana"/>
          <w:sz w:val="18"/>
          <w:szCs w:val="18"/>
        </w:rPr>
      </w:pPr>
      <w:bookmarkStart w:id="7" w:name="_bookmark7"/>
      <w:bookmarkEnd w:id="7"/>
      <w:r w:rsidRPr="00EC75B7">
        <w:rPr>
          <w:rFonts w:ascii="Verdana" w:hAnsi="Verdana"/>
          <w:color w:val="00AFEF"/>
          <w:sz w:val="18"/>
          <w:szCs w:val="18"/>
        </w:rPr>
        <w:t xml:space="preserve">Main stages of </w:t>
      </w:r>
      <w:r w:rsidRPr="00EC75B7">
        <w:rPr>
          <w:rFonts w:ascii="Verdana" w:hAnsi="Verdana"/>
          <w:color w:val="00AFEF"/>
          <w:spacing w:val="-2"/>
          <w:sz w:val="18"/>
          <w:szCs w:val="18"/>
        </w:rPr>
        <w:t>the project</w:t>
      </w:r>
    </w:p>
    <w:p w14:paraId="390013B5" w14:textId="77777777" w:rsidR="008715BE" w:rsidRPr="00EC75B7" w:rsidRDefault="00000000" w:rsidP="005661E6">
      <w:pPr>
        <w:pStyle w:val="BodyText"/>
        <w:spacing w:before="122" w:line="358" w:lineRule="auto"/>
        <w:ind w:left="806" w:right="850" w:hanging="14"/>
        <w:jc w:val="both"/>
        <w:rPr>
          <w:rFonts w:ascii="Verdana" w:hAnsi="Verdana" w:cs="Times New Roman"/>
        </w:rPr>
      </w:pPr>
      <w:r w:rsidRPr="00EC75B7">
        <w:rPr>
          <w:rFonts w:ascii="Verdana" w:hAnsi="Verdana" w:cs="Times New Roman"/>
        </w:rPr>
        <w:t>The main stages of the project are as follows:</w:t>
      </w:r>
    </w:p>
    <w:p w14:paraId="758EFFDA" w14:textId="77777777" w:rsidR="006D43A0" w:rsidRPr="00EC75B7" w:rsidRDefault="00000000" w:rsidP="00671380">
      <w:pPr>
        <w:pStyle w:val="BodyText"/>
        <w:numPr>
          <w:ilvl w:val="0"/>
          <w:numId w:val="123"/>
        </w:numPr>
        <w:spacing w:line="358" w:lineRule="auto"/>
        <w:ind w:right="850" w:firstLine="86"/>
        <w:jc w:val="both"/>
        <w:rPr>
          <w:rFonts w:ascii="Verdana" w:hAnsi="Verdana" w:cs="Times New Roman"/>
        </w:rPr>
      </w:pPr>
      <w:r w:rsidRPr="00EC75B7">
        <w:rPr>
          <w:rFonts w:ascii="Verdana" w:hAnsi="Verdana" w:cs="Times New Roman"/>
        </w:rPr>
        <w:t>Construction stage;</w:t>
      </w:r>
    </w:p>
    <w:p w14:paraId="1868419A" w14:textId="77777777" w:rsidR="006D43A0" w:rsidRPr="00EC75B7" w:rsidRDefault="00000000" w:rsidP="00671380">
      <w:pPr>
        <w:pStyle w:val="BodyText"/>
        <w:numPr>
          <w:ilvl w:val="0"/>
          <w:numId w:val="123"/>
        </w:numPr>
        <w:spacing w:line="358" w:lineRule="auto"/>
        <w:ind w:right="850" w:firstLine="86"/>
        <w:jc w:val="both"/>
        <w:rPr>
          <w:rFonts w:ascii="Verdana" w:hAnsi="Verdana" w:cs="Times New Roman"/>
        </w:rPr>
      </w:pPr>
      <w:r w:rsidRPr="00EC75B7">
        <w:rPr>
          <w:rFonts w:ascii="Verdana" w:hAnsi="Verdana" w:cs="Times New Roman"/>
        </w:rPr>
        <w:t>Operation stage;</w:t>
      </w:r>
    </w:p>
    <w:p w14:paraId="1A2CEAAF" w14:textId="0D58880E" w:rsidR="008715BE" w:rsidRPr="00EC75B7" w:rsidRDefault="00000000" w:rsidP="00671380">
      <w:pPr>
        <w:pStyle w:val="BodyText"/>
        <w:numPr>
          <w:ilvl w:val="0"/>
          <w:numId w:val="123"/>
        </w:numPr>
        <w:spacing w:line="358" w:lineRule="auto"/>
        <w:ind w:right="850" w:firstLine="86"/>
        <w:jc w:val="both"/>
        <w:rPr>
          <w:rFonts w:ascii="Verdana" w:hAnsi="Verdana" w:cs="Times New Roman"/>
        </w:rPr>
      </w:pPr>
      <w:r w:rsidRPr="00EC75B7">
        <w:rPr>
          <w:rFonts w:ascii="Verdana" w:hAnsi="Verdana" w:cs="Times New Roman"/>
        </w:rPr>
        <w:t>Decommissioning stages.</w:t>
      </w:r>
    </w:p>
    <w:p w14:paraId="0ABA1F28" w14:textId="055FCF79" w:rsidR="008715BE" w:rsidRPr="00EC75B7" w:rsidRDefault="00000000" w:rsidP="006D43A0">
      <w:pPr>
        <w:pStyle w:val="BodyText"/>
        <w:spacing w:before="122" w:line="358" w:lineRule="auto"/>
        <w:ind w:left="806" w:right="850" w:hanging="14"/>
        <w:jc w:val="both"/>
        <w:rPr>
          <w:rFonts w:ascii="Verdana" w:hAnsi="Verdana" w:cs="Times New Roman"/>
        </w:rPr>
      </w:pPr>
      <w:r w:rsidRPr="00EC75B7">
        <w:rPr>
          <w:rFonts w:ascii="Verdana" w:hAnsi="Verdana" w:cs="Times New Roman"/>
        </w:rPr>
        <w:t>The main works to be carried out during the construction phase are:</w:t>
      </w:r>
    </w:p>
    <w:p w14:paraId="6958680E"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Works for the organization of the construction site;</w:t>
      </w:r>
    </w:p>
    <w:p w14:paraId="4E281F65"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Works for the development of access roads, namely works for the rehabilitation of existing service roads and works for the construction of new roads;</w:t>
      </w:r>
    </w:p>
    <w:p w14:paraId="211E63D2"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Works to develop the technological platform specific to each wind turbine;</w:t>
      </w:r>
    </w:p>
    <w:p w14:paraId="6DEE20F6"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Construction works for the foundations of the wind turbines;</w:t>
      </w:r>
    </w:p>
    <w:p w14:paraId="1A951EB5"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Excavation and laying of underground electrical cables connecting the turbines to the power station;</w:t>
      </w:r>
    </w:p>
    <w:p w14:paraId="03FA28E2" w14:textId="77777777" w:rsidR="006D43A0"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Transport of turbine components and materials;</w:t>
      </w:r>
    </w:p>
    <w:p w14:paraId="212637BC" w14:textId="68FB18FA" w:rsidR="008715BE" w:rsidRPr="00EC75B7" w:rsidRDefault="00000000" w:rsidP="00671380">
      <w:pPr>
        <w:pStyle w:val="BodyText"/>
        <w:numPr>
          <w:ilvl w:val="0"/>
          <w:numId w:val="124"/>
        </w:numPr>
        <w:spacing w:line="358" w:lineRule="auto"/>
        <w:ind w:right="850"/>
        <w:jc w:val="both"/>
        <w:rPr>
          <w:rFonts w:ascii="Verdana" w:hAnsi="Verdana" w:cs="Times New Roman"/>
        </w:rPr>
      </w:pPr>
      <w:r w:rsidRPr="00EC75B7">
        <w:rPr>
          <w:rFonts w:ascii="Verdana" w:hAnsi="Verdana" w:cs="Times New Roman"/>
        </w:rPr>
        <w:t>Construction of 33/110 kV transformer stations and the command and control system for the</w:t>
      </w:r>
    </w:p>
    <w:p w14:paraId="1EEEF32B" w14:textId="77777777" w:rsidR="006D43A0" w:rsidRPr="00EC75B7" w:rsidRDefault="00000000" w:rsidP="00671380">
      <w:pPr>
        <w:pStyle w:val="BodyText"/>
        <w:spacing w:line="358" w:lineRule="auto"/>
        <w:ind w:left="806" w:right="850" w:hanging="14"/>
        <w:jc w:val="both"/>
        <w:rPr>
          <w:rFonts w:ascii="Verdana" w:hAnsi="Verdana" w:cs="Times New Roman"/>
        </w:rPr>
      </w:pPr>
      <w:r w:rsidRPr="00EC75B7">
        <w:rPr>
          <w:rFonts w:ascii="Verdana" w:hAnsi="Verdana" w:cs="Times New Roman"/>
        </w:rPr>
        <w:t>wind farm;</w:t>
      </w:r>
    </w:p>
    <w:p w14:paraId="15D7EAF8" w14:textId="77777777" w:rsidR="006D43A0" w:rsidRPr="00EC75B7" w:rsidRDefault="00000000" w:rsidP="00671380">
      <w:pPr>
        <w:pStyle w:val="BodyText"/>
        <w:numPr>
          <w:ilvl w:val="0"/>
          <w:numId w:val="125"/>
        </w:numPr>
        <w:spacing w:line="358" w:lineRule="auto"/>
        <w:ind w:right="850"/>
        <w:jc w:val="both"/>
        <w:rPr>
          <w:rFonts w:ascii="Verdana" w:hAnsi="Verdana" w:cs="Times New Roman"/>
        </w:rPr>
      </w:pPr>
      <w:r w:rsidRPr="00EC75B7">
        <w:rPr>
          <w:rFonts w:ascii="Verdana" w:hAnsi="Verdana" w:cs="Times New Roman"/>
        </w:rPr>
        <w:t>Installation works for wind turbines;</w:t>
      </w:r>
    </w:p>
    <w:p w14:paraId="1D40DE06" w14:textId="2A415434" w:rsidR="008715BE" w:rsidRPr="00EC75B7" w:rsidRDefault="00000000" w:rsidP="00671380">
      <w:pPr>
        <w:pStyle w:val="BodyText"/>
        <w:numPr>
          <w:ilvl w:val="0"/>
          <w:numId w:val="125"/>
        </w:numPr>
        <w:spacing w:line="358" w:lineRule="auto"/>
        <w:ind w:right="850"/>
        <w:jc w:val="both"/>
        <w:rPr>
          <w:rFonts w:ascii="Verdana" w:hAnsi="Verdana" w:cs="Times New Roman"/>
        </w:rPr>
      </w:pPr>
      <w:r w:rsidRPr="00EC75B7">
        <w:rPr>
          <w:rFonts w:ascii="Verdana" w:hAnsi="Verdana" w:cs="Times New Roman"/>
        </w:rPr>
        <w:t>Site restoration works;</w:t>
      </w:r>
    </w:p>
    <w:p w14:paraId="5C924712" w14:textId="77777777" w:rsidR="008715BE" w:rsidRPr="00EC75B7" w:rsidRDefault="00000000" w:rsidP="005661E6">
      <w:pPr>
        <w:pStyle w:val="BodyText"/>
        <w:spacing w:before="122" w:line="358" w:lineRule="auto"/>
        <w:ind w:left="806" w:right="850" w:hanging="14"/>
        <w:jc w:val="both"/>
        <w:rPr>
          <w:rFonts w:ascii="Verdana" w:hAnsi="Verdana" w:cs="Times New Roman"/>
        </w:rPr>
      </w:pPr>
      <w:r w:rsidRPr="00EC75B7">
        <w:rPr>
          <w:rFonts w:ascii="Verdana" w:hAnsi="Verdana" w:cs="Times New Roman"/>
        </w:rPr>
        <w:t>During the operational phase, in addition to the actual operation of the wind turbines and transformer stations, periodic maintenance and repair activities will be carried out. The operational phase of the wind farm is estimated to last 40 years.</w:t>
      </w:r>
    </w:p>
    <w:p w14:paraId="693A82F4" w14:textId="11C42B9A" w:rsidR="008715BE" w:rsidRDefault="00000000" w:rsidP="00903DD2">
      <w:pPr>
        <w:pStyle w:val="BodyText"/>
        <w:spacing w:before="122" w:line="358" w:lineRule="auto"/>
        <w:ind w:left="806" w:right="850" w:hanging="14"/>
        <w:jc w:val="both"/>
        <w:rPr>
          <w:rFonts w:ascii="Verdana" w:hAnsi="Verdana" w:cs="Times New Roman"/>
        </w:rPr>
      </w:pPr>
      <w:r w:rsidRPr="00EC75B7">
        <w:rPr>
          <w:rFonts w:ascii="Verdana" w:hAnsi="Verdana" w:cs="Times New Roman"/>
        </w:rPr>
        <w:t>At the end of the wind farm's life cycle, the wind farm will be decommissioned, consisting of dismantling the turbines and removing them from the site, demolishing the foundations to a depth that allows agricultural activities to resume and replenishing the soil in the demolished area, the excavation of underground electrical cables, the decommissioning of transformer stations, technological platforms, and access roads within the plots for the purpose of returning them to agricultural use.</w:t>
      </w:r>
    </w:p>
    <w:p w14:paraId="5CDD5B64" w14:textId="77777777" w:rsidR="00671380" w:rsidRDefault="00671380" w:rsidP="00903DD2">
      <w:pPr>
        <w:pStyle w:val="BodyText"/>
        <w:spacing w:before="122" w:line="358" w:lineRule="auto"/>
        <w:ind w:left="806" w:right="850" w:hanging="14"/>
        <w:jc w:val="both"/>
        <w:rPr>
          <w:rFonts w:ascii="Verdana" w:hAnsi="Verdana" w:cs="Times New Roman"/>
        </w:rPr>
      </w:pPr>
    </w:p>
    <w:p w14:paraId="42EA36AC" w14:textId="77777777" w:rsidR="000A0F43" w:rsidRDefault="000A0F43" w:rsidP="00903DD2">
      <w:pPr>
        <w:pStyle w:val="BodyText"/>
        <w:spacing w:before="122" w:line="358" w:lineRule="auto"/>
        <w:ind w:left="806" w:right="850" w:hanging="14"/>
        <w:jc w:val="both"/>
        <w:rPr>
          <w:rFonts w:ascii="Verdana" w:hAnsi="Verdana" w:cs="Times New Roman"/>
        </w:rPr>
      </w:pPr>
    </w:p>
    <w:p w14:paraId="51F228A7" w14:textId="77777777" w:rsidR="00671380" w:rsidRPr="00903DD2" w:rsidRDefault="00671380" w:rsidP="00903DD2">
      <w:pPr>
        <w:pStyle w:val="BodyText"/>
        <w:spacing w:before="122" w:line="358" w:lineRule="auto"/>
        <w:ind w:left="806" w:right="850" w:hanging="14"/>
        <w:jc w:val="both"/>
        <w:rPr>
          <w:rFonts w:ascii="Verdana" w:hAnsi="Verdana" w:cs="Times New Roman"/>
        </w:rPr>
      </w:pPr>
    </w:p>
    <w:p w14:paraId="04BEBDF6"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8" w:name="_bookmark8"/>
      <w:bookmarkEnd w:id="8"/>
      <w:r w:rsidRPr="00EC75B7">
        <w:rPr>
          <w:rFonts w:ascii="Verdana" w:hAnsi="Verdana"/>
          <w:color w:val="00AFEF"/>
          <w:spacing w:val="-2"/>
          <w:sz w:val="18"/>
          <w:szCs w:val="18"/>
        </w:rPr>
        <w:t>Project</w:t>
      </w:r>
      <w:r w:rsidRPr="00EC75B7">
        <w:rPr>
          <w:rFonts w:ascii="Verdana" w:hAnsi="Verdana"/>
          <w:color w:val="00AFEF"/>
          <w:sz w:val="18"/>
          <w:szCs w:val="18"/>
        </w:rPr>
        <w:t xml:space="preserve"> implementation schedule</w:t>
      </w:r>
    </w:p>
    <w:p w14:paraId="292B876A" w14:textId="77777777" w:rsidR="00A72F11" w:rsidRPr="00EC75B7" w:rsidRDefault="00A72F11" w:rsidP="00903DD2">
      <w:pPr>
        <w:pStyle w:val="Heading3"/>
        <w:ind w:left="0" w:firstLine="0"/>
        <w:jc w:val="both"/>
        <w:rPr>
          <w:rFonts w:ascii="Verdana" w:hAnsi="Verdana" w:cs="Times New Roman"/>
          <w:b w:val="0"/>
          <w:bCs w:val="0"/>
          <w:sz w:val="18"/>
          <w:szCs w:val="18"/>
        </w:rPr>
      </w:pPr>
    </w:p>
    <w:p w14:paraId="194BF35E" w14:textId="2DC96D3E" w:rsidR="00903DD2" w:rsidRDefault="00A72F11" w:rsidP="00903DD2">
      <w:pPr>
        <w:pStyle w:val="Heading3"/>
        <w:spacing w:before="120" w:line="360" w:lineRule="auto"/>
        <w:ind w:left="810" w:right="724" w:firstLine="0"/>
        <w:jc w:val="both"/>
        <w:rPr>
          <w:rFonts w:ascii="Verdana" w:hAnsi="Verdana" w:cs="Times New Roman"/>
          <w:b w:val="0"/>
          <w:bCs w:val="0"/>
          <w:sz w:val="18"/>
          <w:szCs w:val="18"/>
        </w:rPr>
      </w:pPr>
      <w:r w:rsidRPr="00EC75B7">
        <w:rPr>
          <w:rFonts w:ascii="Verdana" w:hAnsi="Verdana" w:cs="Times New Roman"/>
          <w:b w:val="0"/>
          <w:bCs w:val="0"/>
          <w:sz w:val="18"/>
          <w:szCs w:val="18"/>
        </w:rPr>
        <w:t>The duration of the works is approximately 3 years from the start date. The estimated start date of the works is Q4 2026, with completion in Q4 2029.</w:t>
      </w:r>
    </w:p>
    <w:p w14:paraId="59AC1CA9" w14:textId="77777777" w:rsidR="000A0F43" w:rsidRPr="00903DD2" w:rsidRDefault="000A0F43" w:rsidP="00903DD2">
      <w:pPr>
        <w:pStyle w:val="Heading3"/>
        <w:spacing w:before="120" w:line="360" w:lineRule="auto"/>
        <w:ind w:left="810" w:right="724" w:firstLine="0"/>
        <w:jc w:val="both"/>
        <w:rPr>
          <w:rFonts w:ascii="Verdana" w:hAnsi="Verdana" w:cs="Times New Roman"/>
          <w:b w:val="0"/>
          <w:bCs w:val="0"/>
          <w:sz w:val="18"/>
          <w:szCs w:val="18"/>
        </w:rPr>
      </w:pPr>
    </w:p>
    <w:p w14:paraId="710F6B10" w14:textId="17198A1F" w:rsidR="008715BE" w:rsidRPr="00671380" w:rsidRDefault="00000000" w:rsidP="00671380">
      <w:pPr>
        <w:pStyle w:val="Heading3"/>
        <w:numPr>
          <w:ilvl w:val="2"/>
          <w:numId w:val="108"/>
        </w:numPr>
        <w:tabs>
          <w:tab w:val="left" w:pos="2750"/>
        </w:tabs>
        <w:ind w:hanging="991"/>
        <w:rPr>
          <w:rFonts w:ascii="Verdana" w:hAnsi="Verdana"/>
          <w:sz w:val="18"/>
          <w:szCs w:val="18"/>
        </w:rPr>
      </w:pPr>
      <w:bookmarkStart w:id="9" w:name="_bookmark9"/>
      <w:bookmarkEnd w:id="9"/>
      <w:r w:rsidRPr="00EC75B7">
        <w:rPr>
          <w:rFonts w:ascii="Verdana" w:hAnsi="Verdana"/>
          <w:color w:val="00AFEF"/>
          <w:sz w:val="18"/>
          <w:szCs w:val="18"/>
        </w:rPr>
        <w:t xml:space="preserve">Transport route for </w:t>
      </w:r>
      <w:r w:rsidRPr="00EC75B7">
        <w:rPr>
          <w:rFonts w:ascii="Verdana" w:hAnsi="Verdana"/>
          <w:color w:val="00AFEF"/>
          <w:spacing w:val="-2"/>
          <w:sz w:val="18"/>
          <w:szCs w:val="18"/>
        </w:rPr>
        <w:t xml:space="preserve">turbine </w:t>
      </w:r>
      <w:r w:rsidRPr="00EC75B7">
        <w:rPr>
          <w:rFonts w:ascii="Verdana" w:hAnsi="Verdana"/>
          <w:color w:val="00AFEF"/>
          <w:sz w:val="18"/>
          <w:szCs w:val="18"/>
        </w:rPr>
        <w:t>components</w:t>
      </w:r>
    </w:p>
    <w:p w14:paraId="5CC27277" w14:textId="2370A324" w:rsidR="008715BE" w:rsidRDefault="00000000" w:rsidP="00903DD2">
      <w:pPr>
        <w:pStyle w:val="BodyText"/>
        <w:spacing w:before="125" w:line="357" w:lineRule="auto"/>
        <w:ind w:left="794" w:right="857"/>
        <w:jc w:val="both"/>
        <w:rPr>
          <w:rFonts w:ascii="Verdana" w:hAnsi="Verdana" w:cs="Times New Roman"/>
        </w:rPr>
      </w:pPr>
      <w:r w:rsidRPr="00EC75B7">
        <w:rPr>
          <w:rFonts w:ascii="Verdana" w:hAnsi="Verdana" w:cs="Times New Roman"/>
        </w:rPr>
        <w:t>To date, the transport routes for the components needed to implement</w:t>
      </w:r>
      <w:r w:rsidR="00A72F11" w:rsidRPr="00EC75B7">
        <w:rPr>
          <w:rFonts w:ascii="Verdana" w:hAnsi="Verdana" w:cs="Times New Roman"/>
        </w:rPr>
        <w:t xml:space="preserve"> </w:t>
      </w:r>
      <w:r w:rsidRPr="00EC75B7">
        <w:rPr>
          <w:rFonts w:ascii="Verdana" w:hAnsi="Verdana" w:cs="Times New Roman"/>
        </w:rPr>
        <w:t>wind farm.</w:t>
      </w:r>
    </w:p>
    <w:p w14:paraId="00B215FD" w14:textId="77777777" w:rsidR="000A0F43" w:rsidRPr="00903DD2" w:rsidRDefault="000A0F43" w:rsidP="00903DD2">
      <w:pPr>
        <w:pStyle w:val="BodyText"/>
        <w:spacing w:before="125" w:line="357" w:lineRule="auto"/>
        <w:ind w:left="794" w:right="857"/>
        <w:jc w:val="both"/>
        <w:rPr>
          <w:rFonts w:ascii="Verdana" w:hAnsi="Verdana" w:cs="Times New Roman"/>
        </w:rPr>
      </w:pPr>
    </w:p>
    <w:p w14:paraId="2AAE3193"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10" w:name="_bookmark10"/>
      <w:bookmarkEnd w:id="10"/>
      <w:r w:rsidRPr="00EC75B7">
        <w:rPr>
          <w:rFonts w:ascii="Verdana" w:hAnsi="Verdana"/>
          <w:color w:val="00AFEF"/>
          <w:spacing w:val="-2"/>
          <w:sz w:val="18"/>
          <w:szCs w:val="18"/>
        </w:rPr>
        <w:t>Foundations</w:t>
      </w:r>
    </w:p>
    <w:p w14:paraId="77B08EEB" w14:textId="77777777" w:rsidR="008715BE" w:rsidRPr="00EC75B7" w:rsidRDefault="008715BE">
      <w:pPr>
        <w:pStyle w:val="BodyText"/>
        <w:spacing w:before="114"/>
        <w:rPr>
          <w:rFonts w:ascii="Verdana" w:hAnsi="Verdana"/>
          <w:b/>
        </w:rPr>
      </w:pPr>
    </w:p>
    <w:p w14:paraId="4B67C841"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reinforced concrete foundations for the installation of wind turbines will be cylindrical in shape with foundation piles, with a diameter varying between 18 and 30 m and a variable depth (depending on local foundation conditions). The depth and diameter of the foundation for each turbine will comply with the minimum requirements imposed by the turbine manufacturer and will be calculated based on the geological structure, which will be identified by the Geotechnical Study.</w:t>
      </w:r>
    </w:p>
    <w:p w14:paraId="677A3B41" w14:textId="653AABE2" w:rsidR="008715BE" w:rsidRPr="00EC75B7" w:rsidRDefault="00903DD2" w:rsidP="00A72F11">
      <w:pPr>
        <w:pStyle w:val="BodyText"/>
        <w:spacing w:before="125" w:line="357" w:lineRule="auto"/>
        <w:ind w:left="794" w:right="857"/>
        <w:jc w:val="both"/>
        <w:rPr>
          <w:rFonts w:ascii="Verdana" w:hAnsi="Verdana" w:cs="Times New Roman"/>
        </w:rPr>
      </w:pPr>
      <w:r w:rsidRPr="00EC75B7">
        <w:rPr>
          <w:rFonts w:ascii="Verdana" w:hAnsi="Verdana"/>
          <w:noProof/>
        </w:rPr>
        <w:drawing>
          <wp:anchor distT="0" distB="0" distL="0" distR="0" simplePos="0" relativeHeight="251730944" behindDoc="1" locked="0" layoutInCell="1" allowOverlap="1" wp14:anchorId="1A09C0DE" wp14:editId="0131DEB3">
            <wp:simplePos x="0" y="0"/>
            <wp:positionH relativeFrom="page">
              <wp:posOffset>777875</wp:posOffset>
            </wp:positionH>
            <wp:positionV relativeFrom="paragraph">
              <wp:posOffset>421005</wp:posOffset>
            </wp:positionV>
            <wp:extent cx="5143500" cy="3780155"/>
            <wp:effectExtent l="0" t="0" r="0" b="0"/>
            <wp:wrapTopAndBottom/>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1" cstate="print"/>
                    <a:stretch>
                      <a:fillRect/>
                    </a:stretch>
                  </pic:blipFill>
                  <pic:spPr>
                    <a:xfrm>
                      <a:off x="0" y="0"/>
                      <a:ext cx="5143500" cy="3780155"/>
                    </a:xfrm>
                    <a:prstGeom prst="rect">
                      <a:avLst/>
                    </a:prstGeom>
                  </pic:spPr>
                </pic:pic>
              </a:graphicData>
            </a:graphic>
            <wp14:sizeRelH relativeFrom="margin">
              <wp14:pctWidth>0</wp14:pctWidth>
            </wp14:sizeRelH>
            <wp14:sizeRelV relativeFrom="margin">
              <wp14:pctHeight>0</wp14:pctHeight>
            </wp14:sizeRelV>
          </wp:anchor>
        </w:drawing>
      </w:r>
      <w:r w:rsidRPr="00EC75B7">
        <w:rPr>
          <w:rFonts w:ascii="Verdana" w:hAnsi="Verdana" w:cs="Times New Roman"/>
        </w:rPr>
        <w:t>The following figure shows the section of the turbine foundation.</w:t>
      </w:r>
    </w:p>
    <w:p w14:paraId="57401E0E" w14:textId="6C7525DE" w:rsidR="008715BE" w:rsidRPr="00EC75B7" w:rsidRDefault="008715BE">
      <w:pPr>
        <w:pStyle w:val="BodyText"/>
        <w:spacing w:before="11"/>
        <w:rPr>
          <w:rFonts w:ascii="Verdana" w:hAnsi="Verdana"/>
        </w:rPr>
      </w:pPr>
    </w:p>
    <w:p w14:paraId="51CDD913" w14:textId="77777777" w:rsidR="008715BE" w:rsidRPr="00EC75B7" w:rsidRDefault="008715BE" w:rsidP="00A72F11">
      <w:pPr>
        <w:pStyle w:val="BodyText"/>
        <w:spacing w:before="125" w:line="357" w:lineRule="auto"/>
        <w:ind w:left="794" w:right="857"/>
        <w:jc w:val="both"/>
        <w:rPr>
          <w:rFonts w:ascii="Verdana" w:hAnsi="Verdana" w:cs="Times New Roman"/>
        </w:rPr>
      </w:pPr>
    </w:p>
    <w:p w14:paraId="610D8D82" w14:textId="77777777" w:rsidR="008715BE" w:rsidRPr="00EC75B7" w:rsidRDefault="00000000" w:rsidP="00A72F11">
      <w:pPr>
        <w:pStyle w:val="Heading3"/>
        <w:tabs>
          <w:tab w:val="left" w:pos="2750"/>
        </w:tabs>
        <w:ind w:left="2750" w:firstLine="0"/>
        <w:rPr>
          <w:rFonts w:ascii="Verdana" w:hAnsi="Verdana"/>
          <w:color w:val="00AFEF"/>
          <w:spacing w:val="-2"/>
          <w:sz w:val="18"/>
          <w:szCs w:val="18"/>
        </w:rPr>
      </w:pPr>
      <w:r w:rsidRPr="00EC75B7">
        <w:rPr>
          <w:rFonts w:ascii="Verdana" w:hAnsi="Verdana"/>
          <w:color w:val="00AFEF"/>
          <w:spacing w:val="-2"/>
          <w:sz w:val="18"/>
          <w:szCs w:val="18"/>
        </w:rPr>
        <w:t>Figure no. 1 Turbine foundation section</w:t>
      </w:r>
      <w:r w:rsidRPr="00EC75B7">
        <w:rPr>
          <w:rFonts w:ascii="Verdana" w:hAnsi="Verdana"/>
          <w:color w:val="00AFEF"/>
          <w:spacing w:val="-2"/>
          <w:sz w:val="18"/>
          <w:szCs w:val="18"/>
          <w:vertAlign w:val="superscript"/>
        </w:rPr>
        <w:t>1</w:t>
      </w:r>
    </w:p>
    <w:p w14:paraId="5FFAABBC" w14:textId="77777777" w:rsidR="008715BE" w:rsidRPr="00EC75B7" w:rsidRDefault="008715BE">
      <w:pPr>
        <w:pStyle w:val="BodyText"/>
        <w:rPr>
          <w:rFonts w:ascii="Verdana" w:hAnsi="Verdana"/>
          <w:b/>
        </w:rPr>
      </w:pPr>
    </w:p>
    <w:p w14:paraId="2E9B40A3" w14:textId="77777777" w:rsidR="008715BE" w:rsidRPr="00EC75B7" w:rsidRDefault="008715BE">
      <w:pPr>
        <w:pStyle w:val="BodyText"/>
        <w:spacing w:before="158"/>
        <w:rPr>
          <w:rFonts w:ascii="Verdana" w:hAnsi="Verdana"/>
          <w:b/>
        </w:rPr>
      </w:pPr>
    </w:p>
    <w:p w14:paraId="150B71ED" w14:textId="70FA2F74"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 xml:space="preserve">The area occupied by the wind turbine foundations is </w:t>
      </w:r>
      <w:r w:rsidR="000A0F43">
        <w:rPr>
          <w:rFonts w:ascii="Verdana" w:hAnsi="Verdana" w:cs="Times New Roman"/>
        </w:rPr>
        <w:t>aproximately 3</w:t>
      </w:r>
      <w:r w:rsidRPr="00EC75B7">
        <w:rPr>
          <w:rFonts w:ascii="Verdana" w:hAnsi="Verdana" w:cs="Times New Roman"/>
        </w:rPr>
        <w:t xml:space="preserve"> ha.</w:t>
      </w:r>
    </w:p>
    <w:p w14:paraId="731E5A3A" w14:textId="77777777" w:rsidR="008715BE" w:rsidRPr="00EC75B7" w:rsidRDefault="008715BE">
      <w:pPr>
        <w:pStyle w:val="BodyText"/>
        <w:jc w:val="both"/>
        <w:rPr>
          <w:rFonts w:ascii="Verdana" w:hAnsi="Verdana"/>
        </w:rPr>
        <w:sectPr w:rsidR="008715BE" w:rsidRPr="00EC75B7">
          <w:headerReference w:type="default" r:id="rId22"/>
          <w:footerReference w:type="default" r:id="rId23"/>
          <w:pgSz w:w="11910" w:h="16840"/>
          <w:pgMar w:top="1160" w:right="141" w:bottom="1620" w:left="425" w:header="766" w:footer="1424" w:gutter="0"/>
          <w:pgNumType w:start="1"/>
          <w:cols w:space="708"/>
        </w:sectPr>
      </w:pPr>
    </w:p>
    <w:p w14:paraId="6E7847B2" w14:textId="77777777" w:rsidR="008715BE" w:rsidRPr="00EC75B7" w:rsidRDefault="008715BE">
      <w:pPr>
        <w:pStyle w:val="BodyText"/>
        <w:rPr>
          <w:rFonts w:ascii="Verdana" w:hAnsi="Verdana"/>
        </w:rPr>
      </w:pPr>
    </w:p>
    <w:p w14:paraId="176375C5" w14:textId="77777777" w:rsidR="008715BE" w:rsidRPr="00EC75B7" w:rsidRDefault="008715BE">
      <w:pPr>
        <w:pStyle w:val="BodyText"/>
        <w:spacing w:before="206"/>
        <w:rPr>
          <w:rFonts w:ascii="Verdana" w:hAnsi="Verdana"/>
        </w:rPr>
      </w:pPr>
    </w:p>
    <w:p w14:paraId="5DA9D504"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11" w:name="_bookmark11"/>
      <w:bookmarkEnd w:id="11"/>
      <w:r w:rsidRPr="00EC75B7">
        <w:rPr>
          <w:rFonts w:ascii="Verdana" w:hAnsi="Verdana"/>
          <w:color w:val="00AFEF"/>
          <w:spacing w:val="-2"/>
          <w:sz w:val="18"/>
          <w:szCs w:val="18"/>
        </w:rPr>
        <w:t xml:space="preserve">Technological </w:t>
      </w:r>
      <w:r w:rsidRPr="00EC75B7">
        <w:rPr>
          <w:rFonts w:ascii="Verdana" w:hAnsi="Verdana"/>
          <w:color w:val="00AFEF"/>
          <w:sz w:val="18"/>
          <w:szCs w:val="18"/>
        </w:rPr>
        <w:t>platforms</w:t>
      </w:r>
    </w:p>
    <w:p w14:paraId="575DDB1C" w14:textId="77777777" w:rsidR="008715BE" w:rsidRPr="00EC75B7" w:rsidRDefault="008715BE">
      <w:pPr>
        <w:pStyle w:val="BodyText"/>
        <w:spacing w:before="114"/>
        <w:rPr>
          <w:rFonts w:ascii="Verdana" w:hAnsi="Verdana"/>
          <w:b/>
        </w:rPr>
      </w:pPr>
    </w:p>
    <w:p w14:paraId="46ABA726"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technological platforms for crane installation will be located near the turbines and will have average areas between 700 and 2,000 m</w:t>
      </w:r>
      <w:r w:rsidRPr="00EC75B7">
        <w:rPr>
          <w:rFonts w:ascii="Verdana" w:hAnsi="Verdana" w:cs="Times New Roman"/>
          <w:vertAlign w:val="superscript"/>
        </w:rPr>
        <w:t>2</w:t>
      </w:r>
      <w:r w:rsidRPr="00EC75B7">
        <w:rPr>
          <w:rFonts w:ascii="Verdana" w:hAnsi="Verdana" w:cs="Times New Roman"/>
        </w:rPr>
        <w:t>, meaning paved areas on which cranes used for the installation, maintenance, and decommissioning of wind turbines will be mounted. In some cases, there will be a short section of internal road, approximately 5 m wide, between the technological platform and the service road at the end of the plot. The following figure shows a schematic example of a technological platform proposed for the implementation of the project.</w:t>
      </w:r>
    </w:p>
    <w:p w14:paraId="42383ED0" w14:textId="77777777" w:rsidR="008715BE" w:rsidRPr="00EC75B7" w:rsidRDefault="00000000">
      <w:pPr>
        <w:pStyle w:val="BodyText"/>
        <w:spacing w:before="7"/>
        <w:rPr>
          <w:rFonts w:ascii="Verdana" w:hAnsi="Verdana"/>
        </w:rPr>
      </w:pPr>
      <w:r w:rsidRPr="00EC75B7">
        <w:rPr>
          <w:rFonts w:ascii="Verdana" w:hAnsi="Verdana"/>
          <w:noProof/>
        </w:rPr>
        <w:drawing>
          <wp:anchor distT="0" distB="0" distL="0" distR="0" simplePos="0" relativeHeight="251731968" behindDoc="1" locked="0" layoutInCell="1" allowOverlap="1" wp14:anchorId="34A5B6A6" wp14:editId="545CC616">
            <wp:simplePos x="0" y="0"/>
            <wp:positionH relativeFrom="page">
              <wp:posOffset>774064</wp:posOffset>
            </wp:positionH>
            <wp:positionV relativeFrom="paragraph">
              <wp:posOffset>74350</wp:posOffset>
            </wp:positionV>
            <wp:extent cx="4791618" cy="4714875"/>
            <wp:effectExtent l="0" t="0" r="0" b="0"/>
            <wp:wrapTopAndBottom/>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4" cstate="print"/>
                    <a:stretch>
                      <a:fillRect/>
                    </a:stretch>
                  </pic:blipFill>
                  <pic:spPr>
                    <a:xfrm>
                      <a:off x="0" y="0"/>
                      <a:ext cx="4791618" cy="4714875"/>
                    </a:xfrm>
                    <a:prstGeom prst="rect">
                      <a:avLst/>
                    </a:prstGeom>
                  </pic:spPr>
                </pic:pic>
              </a:graphicData>
            </a:graphic>
          </wp:anchor>
        </w:drawing>
      </w:r>
    </w:p>
    <w:p w14:paraId="02CE7B85" w14:textId="77777777" w:rsidR="008715BE" w:rsidRPr="00EC75B7" w:rsidRDefault="008715BE">
      <w:pPr>
        <w:pStyle w:val="BodyText"/>
        <w:spacing w:before="54"/>
        <w:rPr>
          <w:rFonts w:ascii="Verdana" w:hAnsi="Verdana"/>
        </w:rPr>
      </w:pPr>
    </w:p>
    <w:p w14:paraId="46655B82" w14:textId="77777777" w:rsidR="008715BE" w:rsidRPr="00EC75B7" w:rsidRDefault="00000000">
      <w:pPr>
        <w:ind w:left="200"/>
        <w:jc w:val="center"/>
        <w:rPr>
          <w:rFonts w:ascii="Verdana" w:hAnsi="Verdana"/>
          <w:b/>
          <w:sz w:val="18"/>
          <w:szCs w:val="18"/>
        </w:rPr>
      </w:pPr>
      <w:r w:rsidRPr="00EC75B7">
        <w:rPr>
          <w:rFonts w:ascii="Verdana" w:hAnsi="Verdana"/>
          <w:b/>
          <w:color w:val="009DEF"/>
          <w:sz w:val="18"/>
          <w:szCs w:val="18"/>
        </w:rPr>
        <w:t xml:space="preserve">Figure 2 Schematic representation of the technological platform for the </w:t>
      </w:r>
      <w:r w:rsidRPr="00EC75B7">
        <w:rPr>
          <w:rFonts w:ascii="Verdana" w:hAnsi="Verdana"/>
          <w:b/>
          <w:color w:val="009DEF"/>
          <w:spacing w:val="-2"/>
          <w:sz w:val="18"/>
          <w:szCs w:val="18"/>
        </w:rPr>
        <w:t xml:space="preserve">wind </w:t>
      </w:r>
      <w:r w:rsidRPr="00EC75B7">
        <w:rPr>
          <w:rFonts w:ascii="Verdana" w:hAnsi="Verdana"/>
          <w:b/>
          <w:color w:val="009DEF"/>
          <w:sz w:val="18"/>
          <w:szCs w:val="18"/>
        </w:rPr>
        <w:t>turbine</w:t>
      </w:r>
      <w:r w:rsidRPr="00EC75B7">
        <w:rPr>
          <w:rFonts w:ascii="Verdana" w:hAnsi="Verdana"/>
          <w:b/>
          <w:color w:val="009DEF"/>
          <w:spacing w:val="-2"/>
          <w:sz w:val="18"/>
          <w:szCs w:val="18"/>
          <w:vertAlign w:val="superscript"/>
        </w:rPr>
        <w:t>2</w:t>
      </w:r>
    </w:p>
    <w:p w14:paraId="39745AED" w14:textId="77777777" w:rsidR="008715BE" w:rsidRPr="00EC75B7" w:rsidRDefault="008715BE">
      <w:pPr>
        <w:pStyle w:val="BodyText"/>
        <w:spacing w:before="20"/>
        <w:rPr>
          <w:rFonts w:ascii="Verdana" w:hAnsi="Verdana"/>
          <w:b/>
        </w:rPr>
      </w:pPr>
    </w:p>
    <w:p w14:paraId="3FD118A1" w14:textId="77777777" w:rsidR="008715BE" w:rsidRPr="00EC75B7" w:rsidRDefault="00000000">
      <w:pPr>
        <w:pStyle w:val="BodyText"/>
        <w:ind w:left="794"/>
        <w:jc w:val="both"/>
        <w:rPr>
          <w:rFonts w:ascii="Verdana" w:hAnsi="Verdana" w:cs="Times New Roman"/>
        </w:rPr>
      </w:pPr>
      <w:r w:rsidRPr="00EC75B7">
        <w:rPr>
          <w:rFonts w:ascii="Verdana" w:hAnsi="Verdana" w:cs="Times New Roman"/>
        </w:rPr>
        <w:t xml:space="preserve">The area occupied by the technological platforms for wind turbines is </w:t>
      </w:r>
      <w:r w:rsidRPr="000A0F43">
        <w:rPr>
          <w:rFonts w:ascii="Verdana" w:hAnsi="Verdana" w:cs="Times New Roman"/>
          <w:shd w:val="clear" w:color="auto" w:fill="FFFF00"/>
        </w:rPr>
        <w:t>55.76 ha.</w:t>
      </w:r>
    </w:p>
    <w:p w14:paraId="53AAACDB" w14:textId="77777777" w:rsidR="008715BE" w:rsidRPr="00EC75B7" w:rsidRDefault="008715BE">
      <w:pPr>
        <w:pStyle w:val="BodyText"/>
        <w:spacing w:before="133"/>
        <w:rPr>
          <w:rFonts w:ascii="Verdana" w:hAnsi="Verdana" w:cs="Times New Roman"/>
        </w:rPr>
      </w:pPr>
    </w:p>
    <w:p w14:paraId="55B63BA1"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12" w:name="_bookmark12"/>
      <w:bookmarkEnd w:id="12"/>
      <w:r w:rsidRPr="00EC75B7">
        <w:rPr>
          <w:rFonts w:ascii="Verdana" w:hAnsi="Verdana"/>
          <w:color w:val="00AFEF"/>
          <w:spacing w:val="-2"/>
          <w:sz w:val="18"/>
          <w:szCs w:val="18"/>
        </w:rPr>
        <w:t xml:space="preserve">Wind </w:t>
      </w:r>
      <w:r w:rsidRPr="00EC75B7">
        <w:rPr>
          <w:rFonts w:ascii="Verdana" w:hAnsi="Verdana"/>
          <w:color w:val="00AFEF"/>
          <w:sz w:val="18"/>
          <w:szCs w:val="18"/>
        </w:rPr>
        <w:t>turbines</w:t>
      </w:r>
    </w:p>
    <w:p w14:paraId="4B1A62CF" w14:textId="77777777" w:rsidR="008715BE" w:rsidRPr="00EC75B7" w:rsidRDefault="008715BE">
      <w:pPr>
        <w:pStyle w:val="BodyText"/>
        <w:spacing w:before="114"/>
        <w:rPr>
          <w:rFonts w:ascii="Verdana" w:hAnsi="Verdana"/>
          <w:b/>
        </w:rPr>
      </w:pPr>
    </w:p>
    <w:p w14:paraId="4E4D7870" w14:textId="77777777" w:rsidR="008715BE" w:rsidRPr="00EC75B7" w:rsidRDefault="00000000" w:rsidP="000A0F43">
      <w:pPr>
        <w:pStyle w:val="BodyText"/>
        <w:spacing w:line="360" w:lineRule="auto"/>
        <w:ind w:left="792" w:right="821"/>
        <w:jc w:val="both"/>
        <w:rPr>
          <w:rFonts w:ascii="Verdana" w:hAnsi="Verdana" w:cs="Times New Roman"/>
        </w:rPr>
      </w:pPr>
      <w:r w:rsidRPr="00EC75B7">
        <w:rPr>
          <w:rFonts w:ascii="Verdana" w:hAnsi="Verdana" w:cs="Times New Roman"/>
        </w:rPr>
        <w:t>The height of the wind turbine tower will be between 155-165 m, measured at the rotor axis, to which is added the rotor, with 3 blades 75-85 m long. The main components of the wind turbine are listed below:</w:t>
      </w:r>
    </w:p>
    <w:p w14:paraId="0D124758" w14:textId="77777777" w:rsidR="008715BE" w:rsidRPr="00EC75B7" w:rsidRDefault="008715BE">
      <w:pPr>
        <w:pStyle w:val="BodyText"/>
        <w:spacing w:line="357" w:lineRule="auto"/>
        <w:jc w:val="both"/>
        <w:rPr>
          <w:rFonts w:ascii="Verdana" w:hAnsi="Verdana"/>
        </w:rPr>
        <w:sectPr w:rsidR="008715BE" w:rsidRPr="00EC75B7">
          <w:headerReference w:type="default" r:id="rId25"/>
          <w:footerReference w:type="default" r:id="rId26"/>
          <w:pgSz w:w="11910" w:h="16840"/>
          <w:pgMar w:top="1160" w:right="141" w:bottom="1620" w:left="425" w:header="766" w:footer="1424" w:gutter="0"/>
          <w:cols w:space="708"/>
        </w:sectPr>
      </w:pPr>
    </w:p>
    <w:p w14:paraId="051BE72D" w14:textId="1C25DDB9" w:rsidR="008715BE" w:rsidRPr="00EC75B7" w:rsidRDefault="00000000">
      <w:pPr>
        <w:pStyle w:val="ListParagraph"/>
        <w:numPr>
          <w:ilvl w:val="0"/>
          <w:numId w:val="107"/>
        </w:numPr>
        <w:tabs>
          <w:tab w:val="left" w:pos="1513"/>
        </w:tabs>
        <w:spacing w:line="360" w:lineRule="auto"/>
        <w:ind w:left="1513" w:right="994" w:hanging="359"/>
        <w:jc w:val="both"/>
        <w:rPr>
          <w:rFonts w:ascii="Verdana" w:hAnsi="Verdana" w:cs="Times New Roman"/>
          <w:sz w:val="18"/>
          <w:szCs w:val="18"/>
        </w:rPr>
      </w:pPr>
      <w:r w:rsidRPr="00EC75B7">
        <w:rPr>
          <w:rFonts w:ascii="Verdana" w:hAnsi="Verdana" w:cs="Times New Roman"/>
          <w:b/>
          <w:bCs/>
          <w:sz w:val="18"/>
          <w:szCs w:val="18"/>
        </w:rPr>
        <w:lastRenderedPageBreak/>
        <w:t>The tower (pylon)</w:t>
      </w:r>
      <w:r w:rsidRPr="00EC75B7">
        <w:rPr>
          <w:rFonts w:ascii="Verdana" w:hAnsi="Verdana" w:cs="Times New Roman"/>
          <w:sz w:val="18"/>
          <w:szCs w:val="18"/>
        </w:rPr>
        <w:t xml:space="preserve"> – consisting of several sections, with a height of 155-165 m (at the nacelle),</w:t>
      </w:r>
      <w:r w:rsidR="00A72F11" w:rsidRPr="00EC75B7">
        <w:rPr>
          <w:rFonts w:ascii="Verdana" w:hAnsi="Verdana" w:cs="Times New Roman"/>
          <w:sz w:val="18"/>
          <w:szCs w:val="18"/>
        </w:rPr>
        <w:t xml:space="preserve"> </w:t>
      </w:r>
      <w:r w:rsidRPr="00EC75B7">
        <w:rPr>
          <w:rFonts w:ascii="Verdana" w:hAnsi="Verdana" w:cs="Times New Roman"/>
          <w:sz w:val="18"/>
          <w:szCs w:val="18"/>
        </w:rPr>
        <w:t>is a slightly conical metal structure</w:t>
      </w:r>
    </w:p>
    <w:p w14:paraId="4547F8FD" w14:textId="6387D759" w:rsidR="008715BE" w:rsidRPr="00EC75B7" w:rsidRDefault="00000000">
      <w:pPr>
        <w:pStyle w:val="ListParagraph"/>
        <w:numPr>
          <w:ilvl w:val="0"/>
          <w:numId w:val="107"/>
        </w:numPr>
        <w:tabs>
          <w:tab w:val="left" w:pos="1514"/>
        </w:tabs>
        <w:spacing w:line="360" w:lineRule="auto"/>
        <w:ind w:left="1514" w:right="994" w:hanging="360"/>
        <w:jc w:val="both"/>
        <w:rPr>
          <w:rFonts w:ascii="Verdana" w:hAnsi="Verdana"/>
          <w:sz w:val="18"/>
          <w:szCs w:val="18"/>
        </w:rPr>
      </w:pPr>
      <w:r w:rsidRPr="00EC75B7">
        <w:rPr>
          <w:rFonts w:ascii="Verdana" w:hAnsi="Verdana" w:cs="Times New Roman"/>
          <w:b/>
          <w:bCs/>
          <w:sz w:val="18"/>
          <w:szCs w:val="18"/>
        </w:rPr>
        <w:t>Nacelle</w:t>
      </w:r>
      <w:r w:rsidRPr="00EC75B7">
        <w:rPr>
          <w:rFonts w:ascii="Verdana" w:hAnsi="Verdana"/>
          <w:b/>
          <w:sz w:val="18"/>
          <w:szCs w:val="18"/>
        </w:rPr>
        <w:t xml:space="preserve"> </w:t>
      </w:r>
      <w:r w:rsidRPr="00EC75B7">
        <w:rPr>
          <w:rFonts w:ascii="Verdana" w:hAnsi="Verdana"/>
          <w:sz w:val="18"/>
          <w:szCs w:val="18"/>
        </w:rPr>
        <w:t xml:space="preserve">– </w:t>
      </w:r>
      <w:r w:rsidRPr="00EC75B7">
        <w:rPr>
          <w:rFonts w:ascii="Verdana" w:hAnsi="Verdana" w:cs="Times New Roman"/>
          <w:sz w:val="18"/>
          <w:szCs w:val="18"/>
        </w:rPr>
        <w:t>located at the top of the tower, it includes the following components: rotor shaft, gearbox, generator, and transformer. A medium-intensity warning light will be installed on the nacelle, in accordance with the requirements of the Romanian Civil Aviation Authority.</w:t>
      </w:r>
    </w:p>
    <w:p w14:paraId="7527C9D7"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locations of the turbines were chosen taking into account the safety and protection distances from municipal infrastructure elements, as indicated in the "Technical Standard on the delimitation of protection and safety zones for energy capacities," approved by ANRE Order No. 239/2019.</w:t>
      </w:r>
    </w:p>
    <w:p w14:paraId="12772555"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following figure illustrates the vertical dimension for the wind turbine.</w:t>
      </w:r>
    </w:p>
    <w:p w14:paraId="7FDFFAD4" w14:textId="77777777" w:rsidR="008715BE" w:rsidRPr="00EC75B7" w:rsidRDefault="00000000">
      <w:pPr>
        <w:pStyle w:val="BodyText"/>
        <w:spacing w:before="1"/>
        <w:rPr>
          <w:rFonts w:ascii="Verdana" w:hAnsi="Verdana"/>
        </w:rPr>
      </w:pPr>
      <w:r w:rsidRPr="00EC75B7">
        <w:rPr>
          <w:rFonts w:ascii="Verdana" w:hAnsi="Verdana"/>
          <w:noProof/>
        </w:rPr>
        <w:drawing>
          <wp:anchor distT="0" distB="0" distL="0" distR="0" simplePos="0" relativeHeight="251732992" behindDoc="1" locked="0" layoutInCell="1" allowOverlap="1" wp14:anchorId="06282B4A" wp14:editId="4E115B92">
            <wp:simplePos x="0" y="0"/>
            <wp:positionH relativeFrom="page">
              <wp:posOffset>3094123</wp:posOffset>
            </wp:positionH>
            <wp:positionV relativeFrom="paragraph">
              <wp:posOffset>140096</wp:posOffset>
            </wp:positionV>
            <wp:extent cx="1558170" cy="4101084"/>
            <wp:effectExtent l="0" t="0" r="0" b="0"/>
            <wp:wrapTopAndBottom/>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7" cstate="print"/>
                    <a:stretch>
                      <a:fillRect/>
                    </a:stretch>
                  </pic:blipFill>
                  <pic:spPr>
                    <a:xfrm>
                      <a:off x="0" y="0"/>
                      <a:ext cx="1558170" cy="4101084"/>
                    </a:xfrm>
                    <a:prstGeom prst="rect">
                      <a:avLst/>
                    </a:prstGeom>
                  </pic:spPr>
                </pic:pic>
              </a:graphicData>
            </a:graphic>
          </wp:anchor>
        </w:drawing>
      </w:r>
    </w:p>
    <w:p w14:paraId="4EA685C2" w14:textId="77777777" w:rsidR="008715BE" w:rsidRPr="00EC75B7" w:rsidRDefault="008715BE">
      <w:pPr>
        <w:pStyle w:val="BodyText"/>
        <w:rPr>
          <w:rFonts w:ascii="Verdana" w:hAnsi="Verdana"/>
        </w:rPr>
      </w:pPr>
    </w:p>
    <w:p w14:paraId="65664F4C" w14:textId="77777777" w:rsidR="008715BE" w:rsidRPr="00EC75B7" w:rsidRDefault="008715BE">
      <w:pPr>
        <w:pStyle w:val="BodyText"/>
        <w:spacing w:before="33"/>
        <w:rPr>
          <w:rFonts w:ascii="Verdana" w:hAnsi="Verdana"/>
        </w:rPr>
      </w:pPr>
    </w:p>
    <w:p w14:paraId="20FCFF10" w14:textId="77777777" w:rsidR="008715BE" w:rsidRPr="00EC75B7" w:rsidRDefault="00000000">
      <w:pPr>
        <w:ind w:left="198"/>
        <w:jc w:val="center"/>
        <w:rPr>
          <w:rFonts w:ascii="Verdana" w:hAnsi="Verdana"/>
          <w:b/>
          <w:sz w:val="18"/>
          <w:szCs w:val="18"/>
        </w:rPr>
      </w:pPr>
      <w:r w:rsidRPr="00EC75B7">
        <w:rPr>
          <w:rFonts w:ascii="Verdana" w:hAnsi="Verdana"/>
          <w:b/>
          <w:color w:val="009DEF"/>
          <w:sz w:val="18"/>
          <w:szCs w:val="18"/>
        </w:rPr>
        <w:t xml:space="preserve">Figure 3 Schematic representation of the vertical dimensions for the </w:t>
      </w:r>
      <w:r w:rsidRPr="00EC75B7">
        <w:rPr>
          <w:rFonts w:ascii="Verdana" w:hAnsi="Verdana"/>
          <w:b/>
          <w:color w:val="009DEF"/>
          <w:spacing w:val="-2"/>
          <w:sz w:val="18"/>
          <w:szCs w:val="18"/>
        </w:rPr>
        <w:t xml:space="preserve">wind </w:t>
      </w:r>
      <w:r w:rsidRPr="00EC75B7">
        <w:rPr>
          <w:rFonts w:ascii="Verdana" w:hAnsi="Verdana"/>
          <w:b/>
          <w:color w:val="009DEF"/>
          <w:sz w:val="18"/>
          <w:szCs w:val="18"/>
        </w:rPr>
        <w:t>turbine3</w:t>
      </w:r>
    </w:p>
    <w:p w14:paraId="24D1C43C" w14:textId="77777777" w:rsidR="008715BE" w:rsidRPr="00EC75B7" w:rsidRDefault="008715BE">
      <w:pPr>
        <w:pStyle w:val="BodyText"/>
        <w:spacing w:before="143"/>
        <w:rPr>
          <w:rFonts w:ascii="Verdana" w:hAnsi="Verdana"/>
          <w:b/>
        </w:rPr>
      </w:pPr>
    </w:p>
    <w:p w14:paraId="1E61E6D9"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13" w:name="_bookmark13"/>
      <w:bookmarkEnd w:id="13"/>
      <w:r w:rsidRPr="00EC75B7">
        <w:rPr>
          <w:rFonts w:ascii="Verdana" w:hAnsi="Verdana"/>
          <w:color w:val="00AFEF"/>
          <w:spacing w:val="-2"/>
          <w:sz w:val="18"/>
          <w:szCs w:val="18"/>
        </w:rPr>
        <w:t xml:space="preserve">Transformer </w:t>
      </w:r>
      <w:r w:rsidRPr="00EC75B7">
        <w:rPr>
          <w:rFonts w:ascii="Verdana" w:hAnsi="Verdana"/>
          <w:color w:val="00AFEF"/>
          <w:sz w:val="18"/>
          <w:szCs w:val="18"/>
        </w:rPr>
        <w:t>station</w:t>
      </w:r>
    </w:p>
    <w:p w14:paraId="2CE1DD63" w14:textId="77777777" w:rsidR="008715BE" w:rsidRPr="00EC75B7" w:rsidRDefault="008715BE">
      <w:pPr>
        <w:pStyle w:val="BodyText"/>
        <w:spacing w:before="114"/>
        <w:rPr>
          <w:rFonts w:ascii="Verdana" w:hAnsi="Verdana"/>
          <w:b/>
        </w:rPr>
      </w:pPr>
    </w:p>
    <w:p w14:paraId="6FF6EE89"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proposed wind farm will have two areas for internal 33/110 kV transformer stations, whose location has been optimized based on the distances from the wind turbines they serve.</w:t>
      </w:r>
    </w:p>
    <w:p w14:paraId="6F29FA39"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110/33 kV internal transformer stations will be of the indoor-outdoor type, with the 110 kV equipment located outdoors and the 33 kV equipment indoors. The stations will be equipped with a 110 kV cell, 33/110 kV transformers of various capacities (e.g., 63 MVA), and the medium-voltage cells will be connected to a single uninterrupted busbar. The stations will also be equipped with a service transformer.</w:t>
      </w:r>
    </w:p>
    <w:p w14:paraId="387151AC" w14:textId="77777777" w:rsidR="008715BE" w:rsidRPr="00EC75B7" w:rsidRDefault="008715BE">
      <w:pPr>
        <w:pStyle w:val="BodyText"/>
        <w:spacing w:before="205"/>
        <w:rPr>
          <w:rFonts w:ascii="Verdana" w:hAnsi="Verdana"/>
        </w:rPr>
      </w:pPr>
    </w:p>
    <w:p w14:paraId="1A065917" w14:textId="77777777" w:rsidR="008715BE" w:rsidRPr="00EC75B7" w:rsidRDefault="008715BE">
      <w:pPr>
        <w:rPr>
          <w:rFonts w:ascii="Verdana" w:hAnsi="Verdana"/>
          <w:sz w:val="18"/>
          <w:szCs w:val="18"/>
        </w:rPr>
        <w:sectPr w:rsidR="008715BE" w:rsidRPr="00EC75B7">
          <w:headerReference w:type="default" r:id="rId28"/>
          <w:footerReference w:type="default" r:id="rId29"/>
          <w:pgSz w:w="11910" w:h="16840"/>
          <w:pgMar w:top="1160" w:right="141" w:bottom="980" w:left="425" w:header="766" w:footer="799" w:gutter="0"/>
          <w:pgNumType w:start="16"/>
          <w:cols w:space="708"/>
        </w:sectPr>
      </w:pPr>
    </w:p>
    <w:p w14:paraId="6E42DD55" w14:textId="77777777" w:rsidR="00A72F11" w:rsidRPr="00EC75B7" w:rsidRDefault="00000000" w:rsidP="00A72F11">
      <w:pPr>
        <w:pStyle w:val="BodyText"/>
        <w:spacing w:before="121"/>
        <w:ind w:left="794" w:right="814"/>
        <w:jc w:val="both"/>
        <w:rPr>
          <w:rFonts w:ascii="Verdana" w:hAnsi="Verdana" w:cs="Times New Roman"/>
        </w:rPr>
      </w:pPr>
      <w:r w:rsidRPr="00EC75B7">
        <w:rPr>
          <w:rFonts w:ascii="Verdana" w:hAnsi="Verdana" w:cs="Times New Roman"/>
        </w:rPr>
        <w:lastRenderedPageBreak/>
        <w:t>The areas allocated for the construction of the 33/110 kV transformer station components are</w:t>
      </w:r>
      <w:r w:rsidR="00A72F11" w:rsidRPr="00EC75B7">
        <w:rPr>
          <w:rFonts w:ascii="Verdana" w:hAnsi="Verdana" w:cs="Times New Roman"/>
        </w:rPr>
        <w:t xml:space="preserve"> </w:t>
      </w:r>
      <w:r w:rsidRPr="00EC75B7">
        <w:rPr>
          <w:rFonts w:ascii="Verdana" w:hAnsi="Verdana" w:cs="Times New Roman"/>
        </w:rPr>
        <w:t>approximately 3 ha.</w:t>
      </w:r>
    </w:p>
    <w:p w14:paraId="3E05ED6C" w14:textId="2552A2F8" w:rsidR="008715BE" w:rsidRPr="00EC75B7" w:rsidRDefault="00000000" w:rsidP="000A0F43">
      <w:pPr>
        <w:pStyle w:val="BodyText"/>
        <w:spacing w:before="121"/>
        <w:ind w:left="794" w:right="814"/>
        <w:jc w:val="both"/>
        <w:rPr>
          <w:rFonts w:ascii="Verdana" w:hAnsi="Verdana" w:cs="Times New Roman"/>
        </w:rPr>
      </w:pPr>
      <w:r w:rsidRPr="00EC75B7">
        <w:rPr>
          <w:rFonts w:ascii="Verdana" w:hAnsi="Verdana" w:cs="Times New Roman"/>
        </w:rPr>
        <w:t xml:space="preserve">The transformer stations will operate automatically and will not have permanent operating personnel. </w:t>
      </w:r>
    </w:p>
    <w:p w14:paraId="04721B7C" w14:textId="77777777" w:rsidR="008715BE" w:rsidRPr="00EC75B7" w:rsidRDefault="00000000" w:rsidP="000A0F43">
      <w:pPr>
        <w:pStyle w:val="BodyText"/>
        <w:spacing w:before="125" w:line="357" w:lineRule="auto"/>
        <w:ind w:left="794" w:right="814"/>
        <w:jc w:val="both"/>
        <w:rPr>
          <w:rFonts w:ascii="Verdana" w:hAnsi="Verdana" w:cs="Times New Roman"/>
        </w:rPr>
      </w:pPr>
      <w:r w:rsidRPr="00EC75B7">
        <w:rPr>
          <w:rFonts w:ascii="Verdana" w:hAnsi="Verdana" w:cs="Times New Roman"/>
        </w:rPr>
        <w:t>There will be no water supply or sewage systems within the transformer stations. The proposed locations for these transformer stations are shown on the following map.</w:t>
      </w:r>
    </w:p>
    <w:p w14:paraId="28950FF5" w14:textId="7BCAF166" w:rsidR="008715BE" w:rsidRPr="00EC75B7" w:rsidRDefault="00E7611D" w:rsidP="00E7611D">
      <w:pPr>
        <w:ind w:left="794"/>
        <w:jc w:val="center"/>
        <w:rPr>
          <w:rFonts w:ascii="Verdana" w:hAnsi="Verdana"/>
          <w:sz w:val="18"/>
          <w:szCs w:val="18"/>
        </w:rPr>
      </w:pPr>
      <w:r>
        <w:rPr>
          <w:noProof/>
        </w:rPr>
        <w:drawing>
          <wp:inline distT="0" distB="0" distL="0" distR="0" wp14:anchorId="2F9135F3" wp14:editId="3CA78942">
            <wp:extent cx="4842098" cy="3424555"/>
            <wp:effectExtent l="0" t="0" r="0" b="4445"/>
            <wp:docPr id="79512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2760" cy="3425023"/>
                    </a:xfrm>
                    <a:prstGeom prst="rect">
                      <a:avLst/>
                    </a:prstGeom>
                    <a:noFill/>
                    <a:ln>
                      <a:noFill/>
                    </a:ln>
                  </pic:spPr>
                </pic:pic>
              </a:graphicData>
            </a:graphic>
          </wp:inline>
        </w:drawing>
      </w:r>
    </w:p>
    <w:p w14:paraId="7991EE69" w14:textId="77777777" w:rsidR="008715BE" w:rsidRPr="00EC75B7" w:rsidRDefault="008715BE">
      <w:pPr>
        <w:pStyle w:val="BodyText"/>
        <w:spacing w:before="50"/>
        <w:rPr>
          <w:rFonts w:ascii="Verdana" w:hAnsi="Verdana"/>
        </w:rPr>
      </w:pPr>
    </w:p>
    <w:p w14:paraId="6E742C20" w14:textId="77777777" w:rsidR="008715BE" w:rsidRPr="00EC75B7" w:rsidRDefault="00000000">
      <w:pPr>
        <w:ind w:left="196"/>
        <w:jc w:val="center"/>
        <w:rPr>
          <w:rFonts w:ascii="Verdana" w:hAnsi="Verdana"/>
          <w:b/>
          <w:sz w:val="18"/>
          <w:szCs w:val="18"/>
        </w:rPr>
      </w:pPr>
      <w:r w:rsidRPr="00EC75B7">
        <w:rPr>
          <w:rFonts w:ascii="Verdana" w:hAnsi="Verdana"/>
          <w:b/>
          <w:color w:val="009DEF"/>
          <w:sz w:val="18"/>
          <w:szCs w:val="18"/>
        </w:rPr>
        <w:t xml:space="preserve">Figure no. 4 Proposed locations for </w:t>
      </w:r>
      <w:r w:rsidRPr="00EC75B7">
        <w:rPr>
          <w:rFonts w:ascii="Verdana" w:hAnsi="Verdana"/>
          <w:b/>
          <w:color w:val="009DEF"/>
          <w:spacing w:val="-2"/>
          <w:sz w:val="18"/>
          <w:szCs w:val="18"/>
        </w:rPr>
        <w:t xml:space="preserve">transformer </w:t>
      </w:r>
      <w:r w:rsidRPr="00EC75B7">
        <w:rPr>
          <w:rFonts w:ascii="Verdana" w:hAnsi="Verdana"/>
          <w:b/>
          <w:color w:val="009DEF"/>
          <w:sz w:val="18"/>
          <w:szCs w:val="18"/>
        </w:rPr>
        <w:t>stations</w:t>
      </w:r>
    </w:p>
    <w:p w14:paraId="79CDBCBC" w14:textId="77777777" w:rsidR="008715BE" w:rsidRPr="00EC75B7" w:rsidRDefault="008715BE">
      <w:pPr>
        <w:pStyle w:val="BodyText"/>
        <w:rPr>
          <w:rFonts w:ascii="Verdana" w:hAnsi="Verdana"/>
          <w:b/>
        </w:rPr>
      </w:pPr>
    </w:p>
    <w:p w14:paraId="5F679E74" w14:textId="77777777" w:rsidR="008715BE" w:rsidRPr="00EC75B7" w:rsidRDefault="008715BE">
      <w:pPr>
        <w:pStyle w:val="BodyText"/>
        <w:rPr>
          <w:rFonts w:ascii="Verdana" w:hAnsi="Verdana"/>
          <w:b/>
        </w:rPr>
      </w:pPr>
    </w:p>
    <w:p w14:paraId="2536AE7F" w14:textId="77777777" w:rsidR="008715BE" w:rsidRPr="00EC75B7" w:rsidRDefault="008715BE">
      <w:pPr>
        <w:pStyle w:val="BodyText"/>
        <w:spacing w:before="6"/>
        <w:rPr>
          <w:rFonts w:ascii="Verdana" w:hAnsi="Verdana"/>
          <w:b/>
        </w:rPr>
      </w:pPr>
    </w:p>
    <w:p w14:paraId="3DD0F642" w14:textId="77777777" w:rsidR="008715BE" w:rsidRPr="00EC75B7" w:rsidRDefault="00000000">
      <w:pPr>
        <w:pStyle w:val="Heading3"/>
        <w:numPr>
          <w:ilvl w:val="2"/>
          <w:numId w:val="108"/>
        </w:numPr>
        <w:tabs>
          <w:tab w:val="left" w:pos="2750"/>
        </w:tabs>
        <w:ind w:hanging="991"/>
        <w:rPr>
          <w:rFonts w:ascii="Verdana" w:hAnsi="Verdana"/>
          <w:sz w:val="18"/>
          <w:szCs w:val="18"/>
        </w:rPr>
      </w:pPr>
      <w:bookmarkStart w:id="14" w:name="_bookmark14"/>
      <w:bookmarkEnd w:id="14"/>
      <w:r w:rsidRPr="00EC75B7">
        <w:rPr>
          <w:rFonts w:ascii="Verdana" w:hAnsi="Verdana"/>
          <w:color w:val="00AFEF"/>
          <w:spacing w:val="-2"/>
          <w:sz w:val="18"/>
          <w:szCs w:val="18"/>
        </w:rPr>
        <w:t xml:space="preserve">Underground </w:t>
      </w:r>
      <w:r w:rsidRPr="00EC75B7">
        <w:rPr>
          <w:rFonts w:ascii="Verdana" w:hAnsi="Verdana"/>
          <w:color w:val="00AFEF"/>
          <w:sz w:val="18"/>
          <w:szCs w:val="18"/>
        </w:rPr>
        <w:t>power lines</w:t>
      </w:r>
    </w:p>
    <w:p w14:paraId="14841DB1" w14:textId="77777777" w:rsidR="008715BE" w:rsidRPr="00EC75B7" w:rsidRDefault="008715BE">
      <w:pPr>
        <w:pStyle w:val="BodyText"/>
        <w:spacing w:before="114"/>
        <w:rPr>
          <w:rFonts w:ascii="Verdana" w:hAnsi="Verdana"/>
          <w:b/>
        </w:rPr>
      </w:pPr>
    </w:p>
    <w:p w14:paraId="2B73CF5E"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external LES network (connection to the SEN) is not covered by this Environmental Impact Report; it will be regulated from an environmental protection perspective through a separate procedure. However, it was considered prudent to analyze the current version of the proposed solution, as it is an essential part of the project. However, the current version is not final, as the connection study has not been completed.</w:t>
      </w:r>
    </w:p>
    <w:p w14:paraId="14E7083E"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total length of the underground interconnection lines for the turbines (internal) in the wind farm is 57.78 km.</w:t>
      </w:r>
    </w:p>
    <w:p w14:paraId="7E33E3BF" w14:textId="77777777" w:rsidR="008715BE" w:rsidRPr="00EC75B7" w:rsidRDefault="008715BE">
      <w:pPr>
        <w:pStyle w:val="BodyText"/>
        <w:spacing w:line="360" w:lineRule="auto"/>
        <w:jc w:val="both"/>
        <w:rPr>
          <w:rFonts w:ascii="Verdana" w:hAnsi="Verdana"/>
        </w:rPr>
        <w:sectPr w:rsidR="008715BE" w:rsidRPr="00EC75B7">
          <w:pgSz w:w="11910" w:h="16840"/>
          <w:pgMar w:top="1160" w:right="141" w:bottom="1020" w:left="425" w:header="766" w:footer="799" w:gutter="0"/>
          <w:cols w:space="708"/>
        </w:sectPr>
      </w:pPr>
    </w:p>
    <w:p w14:paraId="27B5238E"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lastRenderedPageBreak/>
        <w:t>The areas required for the underground power lines have not been included in the land use balance because the trenches will be located along the service roads (under one side), which constitute the access routes to the farm, already quantified separately.</w:t>
      </w:r>
    </w:p>
    <w:p w14:paraId="6B21BA27" w14:textId="77777777" w:rsidR="008715BE" w:rsidRPr="00EC75B7" w:rsidRDefault="008715BE">
      <w:pPr>
        <w:pStyle w:val="BodyText"/>
        <w:spacing w:before="25"/>
        <w:rPr>
          <w:rFonts w:ascii="Verdana" w:hAnsi="Verdana"/>
        </w:rPr>
      </w:pPr>
    </w:p>
    <w:p w14:paraId="07EF5385" w14:textId="77777777" w:rsidR="008715BE" w:rsidRPr="00EC75B7" w:rsidRDefault="00000000">
      <w:pPr>
        <w:pStyle w:val="Heading3"/>
        <w:numPr>
          <w:ilvl w:val="2"/>
          <w:numId w:val="108"/>
        </w:numPr>
        <w:tabs>
          <w:tab w:val="left" w:pos="2748"/>
        </w:tabs>
        <w:ind w:left="2748" w:hanging="989"/>
        <w:rPr>
          <w:rFonts w:ascii="Verdana" w:hAnsi="Verdana"/>
          <w:sz w:val="18"/>
          <w:szCs w:val="18"/>
        </w:rPr>
      </w:pPr>
      <w:bookmarkStart w:id="15" w:name="_bookmark15"/>
      <w:bookmarkEnd w:id="15"/>
      <w:r w:rsidRPr="00EC75B7">
        <w:rPr>
          <w:rFonts w:ascii="Verdana" w:hAnsi="Verdana"/>
          <w:color w:val="00AFEF"/>
          <w:sz w:val="18"/>
          <w:szCs w:val="18"/>
        </w:rPr>
        <w:t xml:space="preserve">Work required for </w:t>
      </w:r>
      <w:r w:rsidRPr="00EC75B7">
        <w:rPr>
          <w:rFonts w:ascii="Verdana" w:hAnsi="Verdana"/>
          <w:color w:val="00AFEF"/>
          <w:spacing w:val="-2"/>
          <w:sz w:val="18"/>
          <w:szCs w:val="18"/>
        </w:rPr>
        <w:t xml:space="preserve">site </w:t>
      </w:r>
      <w:r w:rsidRPr="00EC75B7">
        <w:rPr>
          <w:rFonts w:ascii="Verdana" w:hAnsi="Verdana"/>
          <w:color w:val="00AFEF"/>
          <w:sz w:val="18"/>
          <w:szCs w:val="18"/>
        </w:rPr>
        <w:t>organization</w:t>
      </w:r>
    </w:p>
    <w:p w14:paraId="0363D7C8" w14:textId="77777777" w:rsidR="008715BE" w:rsidRPr="00EC75B7" w:rsidRDefault="008715BE">
      <w:pPr>
        <w:pStyle w:val="BodyText"/>
        <w:spacing w:before="114"/>
        <w:rPr>
          <w:rFonts w:ascii="Verdana" w:hAnsi="Verdana"/>
          <w:b/>
        </w:rPr>
      </w:pPr>
    </w:p>
    <w:p w14:paraId="2859CB8E"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In order to carry out the proposed investments, three temporary construction sites are required on plots A251/1/31, A367/15, and A250/9. The construction sites will occupy a temporary area of approximately 3,000 m²each (total 9,000 m²).</w:t>
      </w:r>
    </w:p>
    <w:p w14:paraId="17E2CD65"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following works will be required to set up the construction site:</w:t>
      </w:r>
    </w:p>
    <w:p w14:paraId="10D42AAF"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Delimitation and fencing of the construction site area;</w:t>
      </w:r>
    </w:p>
    <w:p w14:paraId="1BCD17E4"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Preparing the land for the installation of the necessary equipment;</w:t>
      </w:r>
    </w:p>
    <w:p w14:paraId="36BF4DEA"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Construction of the access road;</w:t>
      </w:r>
    </w:p>
    <w:p w14:paraId="01AD167C"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Setting up and organizing the area for separate waste collection;</w:t>
      </w:r>
    </w:p>
    <w:p w14:paraId="37B20C69"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Placing containers for storage, sanitary facilities, etc.;</w:t>
      </w:r>
    </w:p>
    <w:p w14:paraId="686F2239"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Utility provision - electricity, water supply, wastewater management;</w:t>
      </w:r>
    </w:p>
    <w:p w14:paraId="24535DCA"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Placement of the PSI picket and signage in accordance with the legal provisions in force;</w:t>
      </w:r>
    </w:p>
    <w:p w14:paraId="06F6573F" w14:textId="77777777" w:rsidR="00A72F11"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Providing lighting for the facility;</w:t>
      </w:r>
    </w:p>
    <w:p w14:paraId="158E2BE9" w14:textId="0B9FD7C3" w:rsidR="008715BE" w:rsidRPr="00EC75B7" w:rsidRDefault="00000000">
      <w:pPr>
        <w:pStyle w:val="BodyText"/>
        <w:numPr>
          <w:ilvl w:val="0"/>
          <w:numId w:val="126"/>
        </w:numPr>
        <w:spacing w:before="125" w:line="357" w:lineRule="auto"/>
        <w:ind w:right="857"/>
        <w:jc w:val="both"/>
        <w:rPr>
          <w:rFonts w:ascii="Verdana" w:hAnsi="Verdana" w:cs="Times New Roman"/>
        </w:rPr>
      </w:pPr>
      <w:r w:rsidRPr="00EC75B7">
        <w:rPr>
          <w:rFonts w:ascii="Verdana" w:hAnsi="Verdana" w:cs="Times New Roman"/>
        </w:rPr>
        <w:t>Installation of CCTV surveillance equipment.</w:t>
      </w:r>
    </w:p>
    <w:p w14:paraId="0A374152"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construction site will be located on the area corresponding to the investment site. The spaces intended for the construction site will be located on land that is already registered and fenced off for the duration of the construction works. The construction site and material storage will be located within the project area and will not require the occupation of additional land.</w:t>
      </w:r>
    </w:p>
    <w:p w14:paraId="04D198B2"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location of the site organizations in the project area is shown in the figure below.</w:t>
      </w:r>
    </w:p>
    <w:p w14:paraId="77DB9716" w14:textId="77777777" w:rsidR="008715BE" w:rsidRPr="00EC75B7" w:rsidRDefault="008715BE">
      <w:pPr>
        <w:pStyle w:val="BodyText"/>
        <w:jc w:val="both"/>
        <w:rPr>
          <w:rFonts w:ascii="Verdana" w:hAnsi="Verdana"/>
        </w:rPr>
        <w:sectPr w:rsidR="008715BE" w:rsidRPr="00EC75B7">
          <w:pgSz w:w="11910" w:h="16840"/>
          <w:pgMar w:top="1160" w:right="141" w:bottom="1020" w:left="425" w:header="766" w:footer="799" w:gutter="0"/>
          <w:cols w:space="708"/>
        </w:sectPr>
      </w:pPr>
    </w:p>
    <w:p w14:paraId="3E403090" w14:textId="77777777" w:rsidR="008715BE" w:rsidRPr="00EC75B7" w:rsidRDefault="008715BE">
      <w:pPr>
        <w:pStyle w:val="BodyText"/>
        <w:spacing w:before="6"/>
        <w:rPr>
          <w:rFonts w:ascii="Verdana" w:hAnsi="Verdana"/>
        </w:rPr>
      </w:pPr>
    </w:p>
    <w:p w14:paraId="3F93CAAC" w14:textId="4BABF1A2" w:rsidR="008715BE" w:rsidRPr="00EC75B7" w:rsidRDefault="00E7611D" w:rsidP="00E7611D">
      <w:pPr>
        <w:ind w:left="794"/>
        <w:jc w:val="center"/>
        <w:rPr>
          <w:rFonts w:ascii="Verdana" w:hAnsi="Verdana"/>
          <w:sz w:val="18"/>
          <w:szCs w:val="18"/>
        </w:rPr>
      </w:pPr>
      <w:r>
        <w:rPr>
          <w:noProof/>
        </w:rPr>
        <w:drawing>
          <wp:inline distT="0" distB="0" distL="0" distR="0" wp14:anchorId="7746B5B6" wp14:editId="3BFEE517">
            <wp:extent cx="5894070" cy="4168558"/>
            <wp:effectExtent l="0" t="0" r="0" b="3810"/>
            <wp:docPr id="22422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7086" cy="4170691"/>
                    </a:xfrm>
                    <a:prstGeom prst="rect">
                      <a:avLst/>
                    </a:prstGeom>
                    <a:noFill/>
                    <a:ln>
                      <a:noFill/>
                    </a:ln>
                  </pic:spPr>
                </pic:pic>
              </a:graphicData>
            </a:graphic>
          </wp:inline>
        </w:drawing>
      </w:r>
    </w:p>
    <w:p w14:paraId="23D2F177" w14:textId="77777777" w:rsidR="008715BE" w:rsidRPr="00EC75B7" w:rsidRDefault="008715BE">
      <w:pPr>
        <w:pStyle w:val="BodyText"/>
        <w:spacing w:before="49"/>
        <w:rPr>
          <w:rFonts w:ascii="Verdana" w:hAnsi="Verdana"/>
        </w:rPr>
      </w:pPr>
    </w:p>
    <w:p w14:paraId="6E8638EC" w14:textId="77777777" w:rsidR="008715BE" w:rsidRPr="00EC75B7" w:rsidRDefault="00000000">
      <w:pPr>
        <w:ind w:left="751" w:right="831"/>
        <w:jc w:val="center"/>
        <w:rPr>
          <w:rFonts w:ascii="Verdana" w:hAnsi="Verdana"/>
          <w:b/>
          <w:sz w:val="18"/>
          <w:szCs w:val="18"/>
        </w:rPr>
      </w:pPr>
      <w:r w:rsidRPr="00EC75B7">
        <w:rPr>
          <w:rFonts w:ascii="Verdana" w:hAnsi="Verdana"/>
          <w:b/>
          <w:color w:val="009DEF"/>
          <w:sz w:val="18"/>
          <w:szCs w:val="18"/>
        </w:rPr>
        <w:t xml:space="preserve">Figure no. 5 Location of </w:t>
      </w:r>
      <w:r w:rsidRPr="00EC75B7">
        <w:rPr>
          <w:rFonts w:ascii="Verdana" w:hAnsi="Verdana"/>
          <w:b/>
          <w:color w:val="009DEF"/>
          <w:spacing w:val="-2"/>
          <w:sz w:val="18"/>
          <w:szCs w:val="18"/>
        </w:rPr>
        <w:t xml:space="preserve">site </w:t>
      </w:r>
      <w:r w:rsidRPr="00EC75B7">
        <w:rPr>
          <w:rFonts w:ascii="Verdana" w:hAnsi="Verdana"/>
          <w:b/>
          <w:color w:val="009DEF"/>
          <w:sz w:val="18"/>
          <w:szCs w:val="18"/>
        </w:rPr>
        <w:t>organizations</w:t>
      </w:r>
    </w:p>
    <w:p w14:paraId="2E4295A5" w14:textId="77777777" w:rsidR="008715BE" w:rsidRPr="00EC75B7" w:rsidRDefault="008715BE">
      <w:pPr>
        <w:pStyle w:val="BodyText"/>
        <w:rPr>
          <w:rFonts w:ascii="Verdana" w:hAnsi="Verdana"/>
          <w:b/>
        </w:rPr>
      </w:pPr>
    </w:p>
    <w:p w14:paraId="4B73A199" w14:textId="77777777" w:rsidR="008715BE" w:rsidRPr="00EC75B7" w:rsidRDefault="008715BE">
      <w:pPr>
        <w:pStyle w:val="BodyText"/>
        <w:spacing w:before="57"/>
        <w:rPr>
          <w:rFonts w:ascii="Verdana" w:hAnsi="Verdana"/>
          <w:b/>
        </w:rPr>
      </w:pPr>
    </w:p>
    <w:p w14:paraId="2E0B4F70" w14:textId="77777777" w:rsidR="008715BE" w:rsidRPr="00EC75B7" w:rsidRDefault="00000000">
      <w:pPr>
        <w:pStyle w:val="BodyText"/>
        <w:spacing w:before="1"/>
        <w:ind w:left="794"/>
        <w:rPr>
          <w:rFonts w:ascii="Verdana" w:hAnsi="Verdana" w:cs="Times New Roman"/>
        </w:rPr>
      </w:pPr>
      <w:r w:rsidRPr="00EC75B7">
        <w:rPr>
          <w:rFonts w:ascii="Verdana" w:hAnsi="Verdana" w:cs="Times New Roman"/>
        </w:rPr>
        <w:t>Technological organization</w:t>
      </w:r>
    </w:p>
    <w:p w14:paraId="02F341E6" w14:textId="77777777" w:rsidR="008715BE" w:rsidRPr="00EC75B7" w:rsidRDefault="008715BE">
      <w:pPr>
        <w:pStyle w:val="BodyText"/>
        <w:spacing w:before="9"/>
        <w:rPr>
          <w:rFonts w:ascii="Verdana" w:hAnsi="Verdana"/>
        </w:rPr>
      </w:pPr>
    </w:p>
    <w:p w14:paraId="4933CF99" w14:textId="777777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In accordance with the specific nature and execution technologies for construction and assembly works, the following technical equipment will be located on the construction site during the project implementation period:</w:t>
      </w:r>
    </w:p>
    <w:p w14:paraId="6B57A9F3" w14:textId="77777777" w:rsidR="00A72F11"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Crawler and wheeled construction machinery for various mechanized works—excavation, loading, pushing, compaction, etc.;</w:t>
      </w:r>
    </w:p>
    <w:p w14:paraId="5A27913D" w14:textId="77777777" w:rsidR="00A72F11"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Lifting, transport, and load handling equipment;</w:t>
      </w:r>
    </w:p>
    <w:p w14:paraId="6FE39E91" w14:textId="77777777" w:rsidR="00A72F11"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Machinery and equipment for transporting and pouring concrete;</w:t>
      </w:r>
    </w:p>
    <w:p w14:paraId="31573119" w14:textId="77777777" w:rsidR="00A72F11"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Motor vehicles;</w:t>
      </w:r>
    </w:p>
    <w:p w14:paraId="16EF73D3" w14:textId="77777777" w:rsidR="00A72F11"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Hand tools and small mechanization equipment;</w:t>
      </w:r>
    </w:p>
    <w:p w14:paraId="32A226E9" w14:textId="32523607" w:rsidR="008715BE" w:rsidRPr="00EC75B7" w:rsidRDefault="00000000" w:rsidP="000A0F43">
      <w:pPr>
        <w:pStyle w:val="BodyText"/>
        <w:numPr>
          <w:ilvl w:val="0"/>
          <w:numId w:val="127"/>
        </w:numPr>
        <w:spacing w:line="360" w:lineRule="auto"/>
        <w:ind w:left="1512" w:right="864"/>
        <w:jc w:val="both"/>
        <w:rPr>
          <w:rFonts w:ascii="Verdana" w:hAnsi="Verdana" w:cs="Times New Roman"/>
        </w:rPr>
      </w:pPr>
      <w:r w:rsidRPr="00EC75B7">
        <w:rPr>
          <w:rFonts w:ascii="Verdana" w:hAnsi="Verdana" w:cs="Times New Roman"/>
        </w:rPr>
        <w:t>Various tools, implements, and devices.</w:t>
      </w:r>
    </w:p>
    <w:p w14:paraId="11BB8393" w14:textId="77777777" w:rsidR="008715BE" w:rsidRPr="00EC75B7" w:rsidRDefault="008715BE">
      <w:pPr>
        <w:pStyle w:val="BodyText"/>
        <w:spacing w:before="7"/>
        <w:rPr>
          <w:rFonts w:ascii="Verdana" w:hAnsi="Verdana"/>
        </w:rPr>
      </w:pPr>
    </w:p>
    <w:p w14:paraId="3B07CBFE" w14:textId="54375177" w:rsidR="008715BE" w:rsidRPr="00EC75B7" w:rsidRDefault="00000000" w:rsidP="00A72F11">
      <w:pPr>
        <w:pStyle w:val="BodyText"/>
        <w:spacing w:before="125" w:line="357" w:lineRule="auto"/>
        <w:ind w:left="794" w:right="857"/>
        <w:jc w:val="both"/>
        <w:rPr>
          <w:rFonts w:ascii="Verdana" w:hAnsi="Verdana" w:cs="Times New Roman"/>
        </w:rPr>
      </w:pPr>
      <w:r w:rsidRPr="00EC75B7">
        <w:rPr>
          <w:rFonts w:ascii="Verdana" w:hAnsi="Verdana" w:cs="Times New Roman"/>
        </w:rPr>
        <w:t>Provision of utilities in the organization of the construction site</w:t>
      </w:r>
    </w:p>
    <w:p w14:paraId="0AEFB28B" w14:textId="77777777" w:rsidR="00A72F11" w:rsidRPr="00EC75B7" w:rsidRDefault="00000000" w:rsidP="000A0F43">
      <w:pPr>
        <w:pStyle w:val="BodyText"/>
        <w:numPr>
          <w:ilvl w:val="0"/>
          <w:numId w:val="128"/>
        </w:numPr>
        <w:spacing w:line="360" w:lineRule="auto"/>
        <w:ind w:left="1512" w:right="864"/>
        <w:jc w:val="both"/>
        <w:rPr>
          <w:rFonts w:ascii="Verdana" w:hAnsi="Verdana" w:cs="Times New Roman"/>
        </w:rPr>
      </w:pPr>
      <w:r w:rsidRPr="00EC75B7">
        <w:rPr>
          <w:rFonts w:ascii="Verdana" w:hAnsi="Verdana" w:cs="Times New Roman"/>
        </w:rPr>
        <w:t>Domestic water (bathrooms and toilets) – domestic water will be delivered to the construction site using water tankers</w:t>
      </w:r>
      <w:r w:rsidR="00A72F11" w:rsidRPr="00EC75B7">
        <w:rPr>
          <w:rFonts w:ascii="Verdana" w:hAnsi="Verdana" w:cs="Times New Roman"/>
        </w:rPr>
        <w:t xml:space="preserve"> </w:t>
      </w:r>
      <w:r w:rsidRPr="00EC75B7">
        <w:rPr>
          <w:rFonts w:ascii="Verdana" w:hAnsi="Verdana" w:cs="Times New Roman"/>
        </w:rPr>
        <w:t>transport.</w:t>
      </w:r>
    </w:p>
    <w:p w14:paraId="4C5F9F6B" w14:textId="41B65535" w:rsidR="008715BE" w:rsidRPr="00EC75B7" w:rsidRDefault="00000000" w:rsidP="000A0F43">
      <w:pPr>
        <w:pStyle w:val="BodyText"/>
        <w:numPr>
          <w:ilvl w:val="0"/>
          <w:numId w:val="128"/>
        </w:numPr>
        <w:spacing w:line="360" w:lineRule="auto"/>
        <w:ind w:left="1512" w:right="864"/>
        <w:jc w:val="both"/>
        <w:rPr>
          <w:rFonts w:ascii="Verdana" w:hAnsi="Verdana" w:cs="Times New Roman"/>
        </w:rPr>
      </w:pPr>
      <w:r w:rsidRPr="00EC75B7">
        <w:rPr>
          <w:rFonts w:ascii="Verdana" w:hAnsi="Verdana" w:cs="Times New Roman"/>
        </w:rPr>
        <w:t>Drinking water will be delivered in plastic containers from specialized suppliers;</w:t>
      </w:r>
    </w:p>
    <w:p w14:paraId="0B73B79F" w14:textId="77777777" w:rsidR="008715BE" w:rsidRPr="00EC75B7" w:rsidRDefault="00000000" w:rsidP="000A0F43">
      <w:pPr>
        <w:pStyle w:val="BodyText"/>
        <w:numPr>
          <w:ilvl w:val="0"/>
          <w:numId w:val="128"/>
        </w:numPr>
        <w:spacing w:line="360" w:lineRule="auto"/>
        <w:ind w:left="1512" w:right="864"/>
        <w:jc w:val="both"/>
        <w:rPr>
          <w:rFonts w:ascii="Verdana" w:hAnsi="Verdana" w:cs="Times New Roman"/>
        </w:rPr>
      </w:pPr>
      <w:r w:rsidRPr="00EC75B7">
        <w:rPr>
          <w:rFonts w:ascii="Verdana" w:hAnsi="Verdana" w:cs="Times New Roman"/>
        </w:rPr>
        <w:t>Wastewater – wastewater will be collected in sealed septic tanks that will be emptied by a specialized company;</w:t>
      </w:r>
    </w:p>
    <w:p w14:paraId="0FA53DDE" w14:textId="30ADD1CE" w:rsidR="008715BE" w:rsidRPr="00EC75B7" w:rsidRDefault="00000000" w:rsidP="000A0F43">
      <w:pPr>
        <w:pStyle w:val="BodyText"/>
        <w:numPr>
          <w:ilvl w:val="0"/>
          <w:numId w:val="128"/>
        </w:numPr>
        <w:spacing w:line="360" w:lineRule="auto"/>
        <w:ind w:right="857"/>
        <w:jc w:val="both"/>
        <w:rPr>
          <w:rFonts w:ascii="Verdana" w:hAnsi="Verdana" w:cs="Times New Roman"/>
        </w:rPr>
      </w:pPr>
      <w:r w:rsidRPr="00EC75B7">
        <w:rPr>
          <w:rFonts w:ascii="Verdana" w:hAnsi="Verdana" w:cs="Times New Roman"/>
        </w:rPr>
        <w:t>Ecological toilets - will be emptied and sanitized by a specialized company;</w:t>
      </w:r>
    </w:p>
    <w:p w14:paraId="1573F0C1" w14:textId="7EC0D10D" w:rsidR="00A72F11" w:rsidRPr="00EC75B7" w:rsidRDefault="00A72F11" w:rsidP="000A0F43">
      <w:pPr>
        <w:pStyle w:val="BodyText"/>
        <w:numPr>
          <w:ilvl w:val="0"/>
          <w:numId w:val="128"/>
        </w:numPr>
        <w:spacing w:line="360" w:lineRule="auto"/>
        <w:ind w:right="857"/>
        <w:jc w:val="both"/>
        <w:rPr>
          <w:rFonts w:ascii="Verdana" w:hAnsi="Verdana" w:cs="Times New Roman"/>
        </w:rPr>
      </w:pPr>
      <w:r w:rsidRPr="00EC75B7">
        <w:rPr>
          <w:rFonts w:ascii="Verdana" w:hAnsi="Verdana" w:cs="Times New Roman"/>
        </w:rPr>
        <w:t xml:space="preserve">Electricity - the electricity needed to run the construction site will be provided by generators or, if </w:t>
      </w:r>
      <w:r w:rsidRPr="00EC75B7">
        <w:rPr>
          <w:rFonts w:ascii="Verdana" w:hAnsi="Verdana" w:cs="Times New Roman"/>
        </w:rPr>
        <w:lastRenderedPageBreak/>
        <w:t>possible, by connecting to the public electricity grid.</w:t>
      </w:r>
    </w:p>
    <w:p w14:paraId="3AC93715" w14:textId="4E3FDAD0" w:rsidR="00A72F11" w:rsidRPr="00EC75B7" w:rsidRDefault="00A72F11" w:rsidP="000A0F43">
      <w:pPr>
        <w:pStyle w:val="BodyText"/>
        <w:numPr>
          <w:ilvl w:val="0"/>
          <w:numId w:val="128"/>
        </w:numPr>
        <w:spacing w:line="360" w:lineRule="auto"/>
        <w:ind w:right="857"/>
        <w:jc w:val="both"/>
        <w:rPr>
          <w:rFonts w:ascii="Verdana" w:hAnsi="Verdana" w:cs="Times New Roman"/>
        </w:rPr>
      </w:pPr>
      <w:r w:rsidRPr="00EC75B7">
        <w:rPr>
          <w:rFonts w:ascii="Verdana" w:hAnsi="Verdana" w:cs="Times New Roman"/>
        </w:rPr>
        <w:t>Waste generated by the site organization will be selectively collected in bins marked with the waste code and handed over to an authorized company for disposal/recycling.</w:t>
      </w:r>
    </w:p>
    <w:p w14:paraId="54530721" w14:textId="77777777" w:rsidR="00A72F11" w:rsidRPr="000A0F43" w:rsidRDefault="00A72F11" w:rsidP="00A72F11">
      <w:pPr>
        <w:pStyle w:val="BodyText"/>
        <w:spacing w:before="122"/>
        <w:ind w:left="765"/>
        <w:jc w:val="both"/>
        <w:rPr>
          <w:rFonts w:ascii="Verdana" w:hAnsi="Verdana" w:cs="Times New Roman"/>
          <w:b/>
          <w:bCs/>
        </w:rPr>
      </w:pPr>
      <w:r w:rsidRPr="000A0F43">
        <w:rPr>
          <w:rFonts w:ascii="Verdana" w:hAnsi="Verdana" w:cs="Times New Roman"/>
          <w:b/>
          <w:bCs/>
        </w:rPr>
        <w:t>Decommissioning of the construction site</w:t>
      </w:r>
    </w:p>
    <w:p w14:paraId="06074008" w14:textId="61D38589" w:rsidR="00A72F11" w:rsidRPr="00EC75B7" w:rsidRDefault="00A72F11" w:rsidP="001454DA">
      <w:pPr>
        <w:pStyle w:val="BodyText"/>
        <w:spacing w:before="125" w:line="357" w:lineRule="auto"/>
        <w:ind w:left="794" w:right="857"/>
        <w:jc w:val="both"/>
        <w:rPr>
          <w:rFonts w:ascii="Verdana" w:hAnsi="Verdana" w:cs="Times New Roman"/>
          <w:lang w:val="en-US"/>
        </w:rPr>
      </w:pPr>
      <w:r w:rsidRPr="00EC75B7">
        <w:rPr>
          <w:rFonts w:ascii="Verdana" w:hAnsi="Verdana" w:cs="Times New Roman"/>
        </w:rPr>
        <w:t>Upon completion of the construction works related to the wind farm, the site organisation will be decommissioned, and</w:t>
      </w:r>
      <w:r w:rsidR="001454DA" w:rsidRPr="00EC75B7">
        <w:rPr>
          <w:rFonts w:ascii="Verdana" w:hAnsi="Verdana" w:cs="Times New Roman"/>
        </w:rPr>
        <w:t xml:space="preserve"> </w:t>
      </w:r>
      <w:r w:rsidRPr="00EC75B7">
        <w:rPr>
          <w:rFonts w:ascii="Verdana" w:hAnsi="Verdana" w:cs="Times New Roman"/>
        </w:rPr>
        <w:t>the land will be restored to its original condition, as follows</w:t>
      </w:r>
      <w:r w:rsidR="000E490E" w:rsidRPr="00EC75B7">
        <w:rPr>
          <w:rFonts w:ascii="Verdana" w:hAnsi="Verdana" w:cs="Times New Roman"/>
          <w:lang w:val="en-US"/>
        </w:rPr>
        <w:t>:</w:t>
      </w:r>
    </w:p>
    <w:p w14:paraId="79DE6CD1" w14:textId="77777777" w:rsidR="000E490E" w:rsidRPr="00EC75B7" w:rsidRDefault="00A72F11" w:rsidP="000A0F43">
      <w:pPr>
        <w:pStyle w:val="BodyText"/>
        <w:numPr>
          <w:ilvl w:val="0"/>
          <w:numId w:val="129"/>
        </w:numPr>
        <w:spacing w:line="360" w:lineRule="auto"/>
        <w:ind w:left="1512" w:right="864"/>
        <w:jc w:val="both"/>
        <w:rPr>
          <w:rFonts w:ascii="Verdana" w:hAnsi="Verdana" w:cs="Times New Roman"/>
        </w:rPr>
      </w:pPr>
      <w:r w:rsidRPr="00EC75B7">
        <w:rPr>
          <w:rFonts w:ascii="Verdana" w:hAnsi="Verdana" w:cs="Times New Roman"/>
        </w:rPr>
        <w:t>Removal of equipment;</w:t>
      </w:r>
    </w:p>
    <w:p w14:paraId="40A6AAD1" w14:textId="77777777" w:rsidR="000E490E" w:rsidRPr="00EC75B7" w:rsidRDefault="00A72F11" w:rsidP="000A0F43">
      <w:pPr>
        <w:pStyle w:val="BodyText"/>
        <w:numPr>
          <w:ilvl w:val="0"/>
          <w:numId w:val="129"/>
        </w:numPr>
        <w:spacing w:line="360" w:lineRule="auto"/>
        <w:ind w:left="1512" w:right="864"/>
        <w:jc w:val="both"/>
        <w:rPr>
          <w:rFonts w:ascii="Verdana" w:hAnsi="Verdana" w:cs="Times New Roman"/>
        </w:rPr>
      </w:pPr>
      <w:r w:rsidRPr="00EC75B7">
        <w:rPr>
          <w:rFonts w:ascii="Verdana" w:hAnsi="Verdana" w:cs="Times New Roman"/>
        </w:rPr>
        <w:t>Fencing removal (if applicable);</w:t>
      </w:r>
    </w:p>
    <w:p w14:paraId="51046DDE" w14:textId="77777777" w:rsidR="000E490E" w:rsidRPr="00EC75B7" w:rsidRDefault="00A72F11" w:rsidP="000A0F43">
      <w:pPr>
        <w:pStyle w:val="BodyText"/>
        <w:numPr>
          <w:ilvl w:val="0"/>
          <w:numId w:val="129"/>
        </w:numPr>
        <w:spacing w:line="360" w:lineRule="auto"/>
        <w:ind w:left="1512" w:right="864"/>
        <w:jc w:val="both"/>
        <w:rPr>
          <w:rFonts w:ascii="Verdana" w:hAnsi="Verdana" w:cs="Times New Roman"/>
        </w:rPr>
      </w:pPr>
      <w:r w:rsidRPr="00EC75B7">
        <w:rPr>
          <w:rFonts w:ascii="Verdana" w:hAnsi="Verdana" w:cs="Times New Roman"/>
        </w:rPr>
        <w:t>Dismantling of crushed stone platform;</w:t>
      </w:r>
    </w:p>
    <w:p w14:paraId="2A9B3DBA" w14:textId="6466A63D" w:rsidR="00A72F11" w:rsidRPr="00EC75B7" w:rsidRDefault="00A72F11" w:rsidP="000A0F43">
      <w:pPr>
        <w:pStyle w:val="BodyText"/>
        <w:numPr>
          <w:ilvl w:val="0"/>
          <w:numId w:val="129"/>
        </w:numPr>
        <w:spacing w:line="360" w:lineRule="auto"/>
        <w:ind w:left="1512" w:right="864"/>
        <w:jc w:val="both"/>
        <w:rPr>
          <w:rFonts w:ascii="Verdana" w:hAnsi="Verdana" w:cs="Times New Roman"/>
        </w:rPr>
      </w:pPr>
      <w:r w:rsidRPr="00EC75B7">
        <w:rPr>
          <w:rFonts w:ascii="Verdana" w:hAnsi="Verdana" w:cs="Times New Roman"/>
        </w:rPr>
        <w:t>Renaturation of the surface with topsoil in the area where the construction site was located.</w:t>
      </w:r>
    </w:p>
    <w:p w14:paraId="6E1D5D4F" w14:textId="042FAEFD" w:rsidR="00A72F11" w:rsidRPr="00EC75B7" w:rsidRDefault="00A72F11" w:rsidP="001454DA">
      <w:pPr>
        <w:pStyle w:val="BodyText"/>
        <w:spacing w:before="125" w:line="357" w:lineRule="auto"/>
        <w:ind w:left="794" w:right="857"/>
        <w:jc w:val="both"/>
        <w:rPr>
          <w:rFonts w:ascii="Verdana" w:hAnsi="Verdana" w:cs="Times New Roman"/>
        </w:rPr>
      </w:pPr>
      <w:r w:rsidRPr="00EC75B7">
        <w:rPr>
          <w:rFonts w:ascii="Verdana" w:hAnsi="Verdana" w:cs="Times New Roman"/>
        </w:rPr>
        <w:t>General aspects regarding the organization of the construction site</w:t>
      </w:r>
    </w:p>
    <w:p w14:paraId="7791A2AC" w14:textId="77777777" w:rsidR="00A72F11" w:rsidRPr="00EC75B7" w:rsidRDefault="00A72F11" w:rsidP="00A72F11">
      <w:pPr>
        <w:pStyle w:val="BodyText"/>
        <w:spacing w:before="125" w:line="357" w:lineRule="auto"/>
        <w:ind w:left="794" w:right="857"/>
        <w:jc w:val="both"/>
        <w:rPr>
          <w:rFonts w:ascii="Verdana" w:hAnsi="Verdana" w:cs="Times New Roman"/>
        </w:rPr>
      </w:pPr>
      <w:r w:rsidRPr="00EC75B7">
        <w:rPr>
          <w:rFonts w:ascii="Verdana" w:hAnsi="Verdana" w:cs="Times New Roman"/>
        </w:rPr>
        <w:t>All work equipment used to carry out the works on the site must be technically, functionally, and safety compliant in terms of occupational health and safety and traffic safety.</w:t>
      </w:r>
    </w:p>
    <w:p w14:paraId="291A8DCE" w14:textId="77777777" w:rsidR="00A72F11" w:rsidRPr="00EC75B7" w:rsidRDefault="00A72F11" w:rsidP="00A72F11">
      <w:pPr>
        <w:pStyle w:val="BodyText"/>
        <w:spacing w:before="125" w:line="357" w:lineRule="auto"/>
        <w:ind w:left="794" w:right="857"/>
        <w:jc w:val="both"/>
        <w:rPr>
          <w:rFonts w:ascii="Verdana" w:hAnsi="Verdana" w:cs="Times New Roman"/>
        </w:rPr>
      </w:pPr>
      <w:r w:rsidRPr="00EC75B7">
        <w:rPr>
          <w:rFonts w:ascii="Verdana" w:hAnsi="Verdana" w:cs="Times New Roman"/>
        </w:rPr>
        <w:t>Lighting in the work areas shall be provided by local or zonal temporary lighting installations connected to the distribution boards. These shall provide the necessary and sufficient light intensity for the work processes to be carried out in safe conditions.</w:t>
      </w:r>
    </w:p>
    <w:p w14:paraId="7ABEF245" w14:textId="77777777" w:rsidR="00A72F11" w:rsidRPr="00EC75B7" w:rsidRDefault="00A72F11" w:rsidP="00A72F11">
      <w:pPr>
        <w:pStyle w:val="BodyText"/>
        <w:spacing w:before="125" w:line="357" w:lineRule="auto"/>
        <w:ind w:left="794" w:right="857"/>
        <w:jc w:val="both"/>
        <w:rPr>
          <w:rFonts w:ascii="Verdana" w:hAnsi="Verdana" w:cs="Times New Roman"/>
        </w:rPr>
      </w:pPr>
      <w:r w:rsidRPr="00EC75B7">
        <w:rPr>
          <w:rFonts w:ascii="Verdana" w:hAnsi="Verdana" w:cs="Times New Roman"/>
        </w:rPr>
        <w:t>The construction site will be enclosed by continuous fencing. The continuity, technical condition, and security of the construction site fencing will be checked periodically to prevent any unauthorized access to the premises. Security for the investment will be provided by a company specializing in security and surveillance services, on a contractual basis.</w:t>
      </w:r>
    </w:p>
    <w:p w14:paraId="0A614A7D" w14:textId="77777777" w:rsidR="00A72F11" w:rsidRPr="00EC75B7" w:rsidRDefault="00A72F11" w:rsidP="00A72F11">
      <w:pPr>
        <w:pStyle w:val="BodyText"/>
        <w:spacing w:before="125" w:line="357" w:lineRule="auto"/>
        <w:ind w:left="794" w:right="857"/>
        <w:jc w:val="both"/>
        <w:rPr>
          <w:rFonts w:ascii="Verdana" w:hAnsi="Verdana" w:cs="Times New Roman"/>
        </w:rPr>
      </w:pPr>
      <w:r w:rsidRPr="00EC75B7">
        <w:rPr>
          <w:rFonts w:ascii="Verdana" w:hAnsi="Verdana" w:cs="Times New Roman"/>
        </w:rPr>
        <w:t>Waste resulting from the activities of each contractor and subcontractor will be collected from the work site, transported, and temporarily stored at the site's own collection point. The activity will be organized and carried out in a controlled and supervised manner, so that the amount of waste in the work area is kept to a minimum at all times in order to avoid additional risks in terms of occupational health and safety. The removal of waste from the site shall be carried out only by authorized economic operators, using appropriate means of transport and only to authorized landfills. Liability for any breach of this provision shall lie solely with the natural or legal person, the beneficiary having no liability in this case.</w:t>
      </w:r>
    </w:p>
    <w:p w14:paraId="517355FB" w14:textId="77777777" w:rsidR="00A72F11" w:rsidRPr="00EC75B7" w:rsidRDefault="00A72F11" w:rsidP="00A72F11">
      <w:pPr>
        <w:pStyle w:val="BodyText"/>
        <w:spacing w:before="125" w:line="357" w:lineRule="auto"/>
        <w:ind w:left="794" w:right="857"/>
        <w:jc w:val="both"/>
        <w:rPr>
          <w:rFonts w:ascii="Verdana" w:hAnsi="Verdana" w:cs="Times New Roman"/>
        </w:rPr>
      </w:pPr>
      <w:r w:rsidRPr="00EC75B7">
        <w:rPr>
          <w:rFonts w:ascii="Verdana" w:hAnsi="Verdana" w:cs="Times New Roman"/>
        </w:rPr>
        <w:t>During the execution of the works, all occupational safety measures provided for in the legislation in force shall be complied with, in particular: the Regulation on occupational safety and health in construction, the Occupational Safety Act, the General Occupational Safety Regulations, and the Specific Occupational Safety Regulations for different categories of works.</w:t>
      </w:r>
    </w:p>
    <w:p w14:paraId="50B65D58" w14:textId="77777777" w:rsidR="00A72F11" w:rsidRPr="00EC75B7" w:rsidRDefault="00A72F11" w:rsidP="00A72F11">
      <w:pPr>
        <w:pStyle w:val="BodyText"/>
        <w:spacing w:before="26"/>
        <w:rPr>
          <w:rFonts w:ascii="Verdana" w:hAnsi="Verdana"/>
        </w:rPr>
      </w:pPr>
    </w:p>
    <w:p w14:paraId="597FE2A4" w14:textId="6FA36C19" w:rsidR="00A72F11" w:rsidRPr="00EC75B7" w:rsidRDefault="00A72F11" w:rsidP="00A72F11">
      <w:pPr>
        <w:pStyle w:val="BodyText"/>
        <w:spacing w:before="125" w:line="357" w:lineRule="auto"/>
        <w:ind w:right="857"/>
        <w:jc w:val="both"/>
        <w:rPr>
          <w:rFonts w:ascii="Verdana" w:hAnsi="Verdana" w:cs="Times New Roman"/>
        </w:rPr>
        <w:sectPr w:rsidR="00A72F11" w:rsidRPr="00EC75B7">
          <w:pgSz w:w="11910" w:h="16840"/>
          <w:pgMar w:top="1160" w:right="141" w:bottom="1020" w:left="425" w:header="766" w:footer="799" w:gutter="0"/>
          <w:cols w:space="708"/>
        </w:sectPr>
      </w:pPr>
    </w:p>
    <w:p w14:paraId="2782A545" w14:textId="77777777" w:rsidR="008715BE" w:rsidRPr="00EC75B7" w:rsidRDefault="00000000">
      <w:pPr>
        <w:pStyle w:val="Heading3"/>
        <w:numPr>
          <w:ilvl w:val="2"/>
          <w:numId w:val="108"/>
        </w:numPr>
        <w:tabs>
          <w:tab w:val="left" w:pos="2748"/>
        </w:tabs>
        <w:ind w:left="2748" w:hanging="989"/>
        <w:rPr>
          <w:rFonts w:ascii="Verdana" w:hAnsi="Verdana"/>
          <w:sz w:val="18"/>
          <w:szCs w:val="18"/>
        </w:rPr>
      </w:pPr>
      <w:bookmarkStart w:id="16" w:name="_bookmark16"/>
      <w:bookmarkEnd w:id="16"/>
      <w:r w:rsidRPr="00EC75B7">
        <w:rPr>
          <w:rFonts w:ascii="Verdana" w:hAnsi="Verdana"/>
          <w:color w:val="00AFEF"/>
          <w:spacing w:val="-2"/>
          <w:sz w:val="18"/>
          <w:szCs w:val="18"/>
        </w:rPr>
        <w:lastRenderedPageBreak/>
        <w:t xml:space="preserve">Demolition </w:t>
      </w:r>
      <w:r w:rsidRPr="00EC75B7">
        <w:rPr>
          <w:rFonts w:ascii="Verdana" w:hAnsi="Verdana"/>
          <w:color w:val="00AFEF"/>
          <w:sz w:val="18"/>
          <w:szCs w:val="18"/>
        </w:rPr>
        <w:t>works</w:t>
      </w:r>
    </w:p>
    <w:p w14:paraId="5A0B14CB" w14:textId="77777777" w:rsidR="008715BE" w:rsidRPr="00EC75B7" w:rsidRDefault="008715BE">
      <w:pPr>
        <w:pStyle w:val="BodyText"/>
        <w:spacing w:before="114"/>
        <w:rPr>
          <w:rFonts w:ascii="Verdana" w:hAnsi="Verdana"/>
          <w:b/>
        </w:rPr>
      </w:pPr>
    </w:p>
    <w:p w14:paraId="7629A096" w14:textId="77777777" w:rsidR="008715BE" w:rsidRPr="00EC75B7" w:rsidRDefault="00000000" w:rsidP="000E490E">
      <w:pPr>
        <w:pStyle w:val="BodyText"/>
        <w:spacing w:before="125" w:line="357" w:lineRule="auto"/>
        <w:ind w:left="794" w:right="857"/>
        <w:jc w:val="both"/>
        <w:rPr>
          <w:rFonts w:ascii="Verdana" w:hAnsi="Verdana" w:cs="Times New Roman"/>
        </w:rPr>
      </w:pPr>
      <w:r w:rsidRPr="00EC75B7">
        <w:rPr>
          <w:rFonts w:ascii="Verdana" w:hAnsi="Verdana" w:cs="Times New Roman"/>
        </w:rPr>
        <w:t>Currently, there are no buildings on the site that need to be demolished for the implementation of the project.</w:t>
      </w:r>
    </w:p>
    <w:p w14:paraId="7BA329A5" w14:textId="77777777" w:rsidR="008715BE" w:rsidRPr="00EC75B7" w:rsidRDefault="00000000" w:rsidP="000E490E">
      <w:pPr>
        <w:pStyle w:val="BodyText"/>
        <w:spacing w:before="125" w:line="357" w:lineRule="auto"/>
        <w:ind w:left="794" w:right="857"/>
        <w:jc w:val="both"/>
        <w:rPr>
          <w:rFonts w:ascii="Verdana" w:hAnsi="Verdana" w:cs="Times New Roman"/>
        </w:rPr>
      </w:pPr>
      <w:r w:rsidRPr="00EC75B7">
        <w:rPr>
          <w:rFonts w:ascii="Verdana" w:hAnsi="Verdana" w:cs="Times New Roman"/>
        </w:rPr>
        <w:t>The construction of the wind farm does not require the demolition of existing buildings.</w:t>
      </w:r>
    </w:p>
    <w:p w14:paraId="39DB0B72" w14:textId="77777777" w:rsidR="008715BE" w:rsidRPr="00EC75B7" w:rsidRDefault="008715BE">
      <w:pPr>
        <w:pStyle w:val="BodyText"/>
        <w:rPr>
          <w:rFonts w:ascii="Verdana" w:hAnsi="Verdana"/>
        </w:rPr>
      </w:pPr>
    </w:p>
    <w:p w14:paraId="17ED9014" w14:textId="77777777" w:rsidR="000E490E" w:rsidRPr="00EC75B7" w:rsidRDefault="000E490E" w:rsidP="000A0F43">
      <w:pPr>
        <w:pStyle w:val="BodyText"/>
        <w:spacing w:line="360" w:lineRule="auto"/>
        <w:ind w:firstLine="810"/>
        <w:rPr>
          <w:rFonts w:ascii="Verdana" w:hAnsi="Verdana"/>
        </w:rPr>
      </w:pPr>
      <w:r w:rsidRPr="00EC75B7">
        <w:rPr>
          <w:rFonts w:ascii="Verdana" w:hAnsi="Verdana"/>
        </w:rPr>
        <w:t>If the wind farm needs to be decommissioned, this will mainly consist of the following activities:</w:t>
      </w:r>
    </w:p>
    <w:p w14:paraId="0FBD00A6" w14:textId="77777777" w:rsidR="000E490E" w:rsidRPr="00EC75B7" w:rsidRDefault="000E490E" w:rsidP="000A0F43">
      <w:pPr>
        <w:pStyle w:val="BodyText"/>
        <w:spacing w:line="360" w:lineRule="auto"/>
        <w:ind w:right="814"/>
        <w:jc w:val="both"/>
        <w:rPr>
          <w:rFonts w:ascii="Verdana" w:hAnsi="Verdana"/>
        </w:rPr>
      </w:pPr>
    </w:p>
    <w:p w14:paraId="60CE8851"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rPr>
        <w:t>•</w:t>
      </w:r>
      <w:r w:rsidRPr="00EC75B7">
        <w:rPr>
          <w:rFonts w:ascii="Verdana" w:hAnsi="Verdana"/>
        </w:rPr>
        <w:tab/>
      </w:r>
      <w:r w:rsidRPr="00EC75B7">
        <w:rPr>
          <w:rFonts w:ascii="Verdana" w:hAnsi="Verdana" w:cs="Times New Roman"/>
        </w:rPr>
        <w:t>site setup and organization work - similar to the construction phase of the wind farm. The chosen location will be used temporarily and will be restored to its original use upon completion of the work;</w:t>
      </w:r>
    </w:p>
    <w:p w14:paraId="6E50651D"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dismantling of turbines and their removal from the site;</w:t>
      </w:r>
    </w:p>
    <w:p w14:paraId="1D43F3A3"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demolition of foundations to a depth that allows agricultural activities to resume (approx. 1 m below ground level) and soil replenishment in the demolished area;</w:t>
      </w:r>
    </w:p>
    <w:p w14:paraId="52E66F7B"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unearthing of underground electrical cables and their removal from the site;</w:t>
      </w:r>
    </w:p>
    <w:p w14:paraId="6D4FB585"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decommissioning of transformer stations - dismantling of equipment and installations and their removal from the site;</w:t>
      </w:r>
    </w:p>
    <w:p w14:paraId="25F3A87A" w14:textId="77777777"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decommissioning of technological platforms and access roads within the plots for the purpose of returning them to agricultural use;</w:t>
      </w:r>
    </w:p>
    <w:p w14:paraId="35D60EEB" w14:textId="7E78E19B" w:rsidR="000E490E" w:rsidRPr="00EC75B7" w:rsidRDefault="000E490E" w:rsidP="000A0F43">
      <w:pPr>
        <w:pStyle w:val="BodyText"/>
        <w:spacing w:line="360" w:lineRule="auto"/>
        <w:ind w:left="794" w:right="857"/>
        <w:jc w:val="both"/>
        <w:rPr>
          <w:rFonts w:ascii="Verdana" w:hAnsi="Verdana" w:cs="Times New Roman"/>
        </w:rPr>
      </w:pPr>
      <w:r w:rsidRPr="00EC75B7">
        <w:rPr>
          <w:rFonts w:ascii="Verdana" w:hAnsi="Verdana" w:cs="Times New Roman"/>
        </w:rPr>
        <w:t>•</w:t>
      </w:r>
      <w:r w:rsidRPr="00EC75B7">
        <w:rPr>
          <w:rFonts w:ascii="Verdana" w:hAnsi="Verdana" w:cs="Times New Roman"/>
        </w:rPr>
        <w:tab/>
        <w:t>restoration of the construction site in the affected areas.</w:t>
      </w:r>
    </w:p>
    <w:p w14:paraId="2FA264CF" w14:textId="71392E00" w:rsidR="008715BE" w:rsidRPr="00EC75B7" w:rsidRDefault="000E490E" w:rsidP="00903DD2">
      <w:pPr>
        <w:pStyle w:val="BodyText"/>
        <w:spacing w:before="125" w:line="357" w:lineRule="auto"/>
        <w:ind w:left="810" w:right="814" w:firstLine="810"/>
        <w:jc w:val="both"/>
        <w:rPr>
          <w:rFonts w:ascii="Verdana" w:hAnsi="Verdana"/>
        </w:rPr>
      </w:pPr>
      <w:r w:rsidRPr="00EC75B7">
        <w:rPr>
          <w:rFonts w:ascii="Verdana" w:hAnsi="Verdana"/>
        </w:rPr>
        <w:t>For the decommissioning stage, it will be necessary to develop a specialized technical project, in accordance with the regulations in force at the time. Currently, legal procedures require obtaining a termination notice for this type of work, with the corresponding procedure for obtaining environmental approval.</w:t>
      </w:r>
    </w:p>
    <w:p w14:paraId="63055CF5" w14:textId="77777777" w:rsidR="008715BE" w:rsidRPr="00EC75B7" w:rsidRDefault="008715BE">
      <w:pPr>
        <w:pStyle w:val="BodyText"/>
        <w:spacing w:before="26"/>
        <w:rPr>
          <w:rFonts w:ascii="Verdana" w:hAnsi="Verdana"/>
        </w:rPr>
      </w:pPr>
    </w:p>
    <w:p w14:paraId="5FCC1DA9" w14:textId="77777777" w:rsidR="008715BE" w:rsidRPr="00EC75B7" w:rsidRDefault="00000000">
      <w:pPr>
        <w:pStyle w:val="Heading3"/>
        <w:numPr>
          <w:ilvl w:val="2"/>
          <w:numId w:val="108"/>
        </w:numPr>
        <w:tabs>
          <w:tab w:val="left" w:pos="2748"/>
        </w:tabs>
        <w:ind w:left="2748" w:hanging="989"/>
        <w:rPr>
          <w:rFonts w:ascii="Verdana" w:hAnsi="Verdana"/>
          <w:sz w:val="18"/>
          <w:szCs w:val="18"/>
        </w:rPr>
      </w:pPr>
      <w:bookmarkStart w:id="17" w:name="_bookmark17"/>
      <w:bookmarkEnd w:id="17"/>
      <w:r w:rsidRPr="00EC75B7">
        <w:rPr>
          <w:rFonts w:ascii="Verdana" w:hAnsi="Verdana"/>
          <w:color w:val="00AFEF"/>
          <w:spacing w:val="-2"/>
          <w:sz w:val="18"/>
          <w:szCs w:val="18"/>
        </w:rPr>
        <w:t xml:space="preserve">Site </w:t>
      </w:r>
      <w:r w:rsidRPr="00EC75B7">
        <w:rPr>
          <w:rFonts w:ascii="Verdana" w:hAnsi="Verdana"/>
          <w:color w:val="00AFEF"/>
          <w:sz w:val="18"/>
          <w:szCs w:val="18"/>
        </w:rPr>
        <w:t>restoration works</w:t>
      </w:r>
    </w:p>
    <w:p w14:paraId="349AC37F" w14:textId="77777777" w:rsidR="008715BE" w:rsidRPr="00EC75B7" w:rsidRDefault="008715BE">
      <w:pPr>
        <w:pStyle w:val="BodyText"/>
        <w:spacing w:before="114"/>
        <w:rPr>
          <w:rFonts w:ascii="Verdana" w:hAnsi="Verdana"/>
          <w:b/>
        </w:rPr>
      </w:pPr>
    </w:p>
    <w:p w14:paraId="304AB694" w14:textId="77777777" w:rsidR="008715BE" w:rsidRPr="00EC75B7" w:rsidRDefault="00000000" w:rsidP="000E490E">
      <w:pPr>
        <w:pStyle w:val="BodyText"/>
        <w:spacing w:before="125" w:line="357" w:lineRule="auto"/>
        <w:ind w:left="810" w:right="814" w:firstLine="810"/>
        <w:jc w:val="both"/>
        <w:rPr>
          <w:rFonts w:ascii="Verdana" w:hAnsi="Verdana"/>
        </w:rPr>
      </w:pPr>
      <w:r w:rsidRPr="00EC75B7">
        <w:rPr>
          <w:rFonts w:ascii="Verdana" w:hAnsi="Verdana"/>
        </w:rPr>
        <w:t>Upon completion of the construction works, the Contractor shall ensure the restoration of the natural environment of the areas temporarily occupied but not affected by the project interventions. The areas affected by the construction works shall be restored to a condition that ensures the landscape integration of the elements subject to restoration works. This work will be carried out by cleaning up the area (complete removal of waste resulting from specific work activities, including household waste), planting species of vegetation specific to the area, etc. The restoration works are intended both to ensure the landscape restoration of the affected areas and to reduce the risk of invasive alien plant species entering and establishing themselves on the affected areas, which would endanger the areas in the vicinity of the proposed project.</w:t>
      </w:r>
    </w:p>
    <w:p w14:paraId="3D4B24A2" w14:textId="77777777" w:rsidR="008715BE" w:rsidRPr="00EC75B7" w:rsidRDefault="008715BE">
      <w:pPr>
        <w:pStyle w:val="BodyText"/>
        <w:spacing w:before="29"/>
        <w:rPr>
          <w:rFonts w:ascii="Verdana" w:hAnsi="Verdana"/>
        </w:rPr>
      </w:pPr>
    </w:p>
    <w:p w14:paraId="06C91EAA" w14:textId="77777777" w:rsidR="008715BE" w:rsidRPr="00EC75B7" w:rsidRDefault="00000000">
      <w:pPr>
        <w:pStyle w:val="Heading3"/>
        <w:numPr>
          <w:ilvl w:val="2"/>
          <w:numId w:val="108"/>
        </w:numPr>
        <w:tabs>
          <w:tab w:val="left" w:pos="2042"/>
          <w:tab w:val="left" w:pos="2747"/>
        </w:tabs>
        <w:spacing w:line="357" w:lineRule="auto"/>
        <w:ind w:left="2042" w:right="853" w:hanging="284"/>
        <w:rPr>
          <w:rFonts w:ascii="Verdana" w:hAnsi="Verdana"/>
          <w:sz w:val="18"/>
          <w:szCs w:val="18"/>
        </w:rPr>
      </w:pPr>
      <w:bookmarkStart w:id="18" w:name="_bookmark18"/>
      <w:bookmarkEnd w:id="18"/>
      <w:r w:rsidRPr="00EC75B7">
        <w:rPr>
          <w:rFonts w:ascii="Verdana" w:hAnsi="Verdana"/>
          <w:color w:val="00AFEF"/>
          <w:sz w:val="18"/>
          <w:szCs w:val="18"/>
        </w:rPr>
        <w:t>Information on the nature and quantity of materials and natural resources used, including water, land, soil, and biodiversity</w:t>
      </w:r>
    </w:p>
    <w:p w14:paraId="6CAA21FE" w14:textId="77777777" w:rsidR="008715BE" w:rsidRPr="00EC75B7" w:rsidRDefault="00000000">
      <w:pPr>
        <w:pStyle w:val="Heading5"/>
        <w:spacing w:before="240"/>
        <w:ind w:left="765"/>
        <w:jc w:val="left"/>
        <w:rPr>
          <w:rFonts w:ascii="Verdana" w:hAnsi="Verdana"/>
        </w:rPr>
      </w:pPr>
      <w:r w:rsidRPr="00EC75B7">
        <w:rPr>
          <w:rFonts w:ascii="Verdana" w:hAnsi="Verdana"/>
        </w:rPr>
        <w:t>Raw materials and natural resources</w:t>
      </w:r>
    </w:p>
    <w:p w14:paraId="55E6FCFE" w14:textId="77777777" w:rsidR="008715BE" w:rsidRPr="00EC75B7" w:rsidRDefault="008715BE">
      <w:pPr>
        <w:pStyle w:val="BodyText"/>
        <w:spacing w:before="7"/>
        <w:rPr>
          <w:rFonts w:ascii="Verdana" w:hAnsi="Verdana"/>
        </w:rPr>
      </w:pPr>
    </w:p>
    <w:p w14:paraId="19846F85" w14:textId="77777777" w:rsidR="008715BE" w:rsidRDefault="00000000">
      <w:pPr>
        <w:pStyle w:val="BodyText"/>
        <w:spacing w:line="360" w:lineRule="auto"/>
        <w:ind w:left="765" w:right="860"/>
        <w:jc w:val="both"/>
        <w:rPr>
          <w:rFonts w:ascii="Verdana" w:hAnsi="Verdana"/>
        </w:rPr>
      </w:pPr>
      <w:r w:rsidRPr="00EC75B7">
        <w:rPr>
          <w:rFonts w:ascii="Verdana" w:hAnsi="Verdana"/>
        </w:rPr>
        <w:t>The raw materials and natural resources used for the construction of new facilities within the wind farm project are presented in the following table.</w:t>
      </w:r>
    </w:p>
    <w:p w14:paraId="18EE2041" w14:textId="77777777" w:rsidR="000A0F43" w:rsidRDefault="000A0F43">
      <w:pPr>
        <w:pStyle w:val="BodyText"/>
        <w:spacing w:line="360" w:lineRule="auto"/>
        <w:ind w:left="765" w:right="860"/>
        <w:jc w:val="both"/>
        <w:rPr>
          <w:rFonts w:ascii="Verdana" w:hAnsi="Verdana"/>
        </w:rPr>
      </w:pPr>
    </w:p>
    <w:p w14:paraId="09A5593C" w14:textId="77777777" w:rsidR="000A0F43" w:rsidRDefault="000A0F43">
      <w:pPr>
        <w:pStyle w:val="BodyText"/>
        <w:spacing w:line="360" w:lineRule="auto"/>
        <w:ind w:left="765" w:right="860"/>
        <w:jc w:val="both"/>
        <w:rPr>
          <w:rFonts w:ascii="Verdana" w:hAnsi="Verdana"/>
        </w:rPr>
      </w:pPr>
    </w:p>
    <w:p w14:paraId="380E455A" w14:textId="77777777" w:rsidR="000A0F43" w:rsidRPr="00EC75B7" w:rsidRDefault="000A0F43">
      <w:pPr>
        <w:pStyle w:val="BodyText"/>
        <w:spacing w:line="360" w:lineRule="auto"/>
        <w:ind w:left="765" w:right="860"/>
        <w:jc w:val="both"/>
        <w:rPr>
          <w:rFonts w:ascii="Verdana" w:hAnsi="Verdana"/>
        </w:rPr>
      </w:pPr>
    </w:p>
    <w:p w14:paraId="08B71397" w14:textId="77777777" w:rsidR="008715BE" w:rsidRDefault="00000000">
      <w:pPr>
        <w:spacing w:before="169"/>
        <w:ind w:left="765"/>
        <w:rPr>
          <w:rFonts w:ascii="Verdana" w:hAnsi="Verdana"/>
          <w:b/>
          <w:color w:val="00AFEF"/>
          <w:sz w:val="18"/>
          <w:szCs w:val="18"/>
        </w:rPr>
      </w:pPr>
      <w:r w:rsidRPr="00EC75B7">
        <w:rPr>
          <w:rFonts w:ascii="Verdana" w:hAnsi="Verdana"/>
          <w:b/>
          <w:color w:val="00AFEF"/>
          <w:sz w:val="18"/>
          <w:szCs w:val="18"/>
        </w:rPr>
        <w:t xml:space="preserve">Table 1 Raw materials and construction materials used in the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phase</w:t>
      </w:r>
    </w:p>
    <w:p w14:paraId="643B4D4D" w14:textId="77777777" w:rsidR="000A0F43" w:rsidRPr="00EC75B7" w:rsidRDefault="000A0F43">
      <w:pPr>
        <w:spacing w:before="169"/>
        <w:ind w:left="765"/>
        <w:rPr>
          <w:rFonts w:ascii="Verdana" w:hAnsi="Verdana"/>
          <w:b/>
          <w:sz w:val="18"/>
          <w:szCs w:val="18"/>
        </w:rPr>
      </w:pPr>
    </w:p>
    <w:tbl>
      <w:tblPr>
        <w:tblStyle w:val="TableNormal1"/>
        <w:tblW w:w="0" w:type="auto"/>
        <w:tblInd w:w="177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633"/>
        <w:gridCol w:w="1872"/>
        <w:gridCol w:w="1362"/>
        <w:gridCol w:w="990"/>
        <w:gridCol w:w="1440"/>
      </w:tblGrid>
      <w:tr w:rsidR="008715BE" w:rsidRPr="00EC75B7" w14:paraId="385D5F8D" w14:textId="77777777" w:rsidTr="00015F4E">
        <w:trPr>
          <w:trHeight w:val="194"/>
        </w:trPr>
        <w:tc>
          <w:tcPr>
            <w:tcW w:w="2633" w:type="dxa"/>
            <w:shd w:val="clear" w:color="auto" w:fill="00AFEF"/>
          </w:tcPr>
          <w:p w14:paraId="72774C43" w14:textId="77777777" w:rsidR="008715BE" w:rsidRPr="00EC75B7" w:rsidRDefault="00000000">
            <w:pPr>
              <w:pStyle w:val="TableParagraph"/>
              <w:spacing w:line="174" w:lineRule="exact"/>
              <w:ind w:left="8"/>
              <w:jc w:val="center"/>
              <w:rPr>
                <w:rFonts w:ascii="Verdana" w:hAnsi="Verdana"/>
                <w:b/>
                <w:sz w:val="18"/>
                <w:szCs w:val="18"/>
              </w:rPr>
            </w:pPr>
            <w:r w:rsidRPr="00EC75B7">
              <w:rPr>
                <w:rFonts w:ascii="Verdana" w:hAnsi="Verdana"/>
                <w:b/>
                <w:color w:val="FFFFFF"/>
                <w:spacing w:val="-2"/>
                <w:sz w:val="18"/>
                <w:szCs w:val="18"/>
              </w:rPr>
              <w:t>Material</w:t>
            </w:r>
          </w:p>
        </w:tc>
        <w:tc>
          <w:tcPr>
            <w:tcW w:w="1872" w:type="dxa"/>
            <w:shd w:val="clear" w:color="auto" w:fill="00AFEF"/>
          </w:tcPr>
          <w:p w14:paraId="65B5A052" w14:textId="77777777" w:rsidR="008715BE" w:rsidRPr="00EC75B7" w:rsidRDefault="00000000">
            <w:pPr>
              <w:pStyle w:val="TableParagraph"/>
              <w:spacing w:line="174" w:lineRule="exact"/>
              <w:ind w:left="6"/>
              <w:jc w:val="center"/>
              <w:rPr>
                <w:rFonts w:ascii="Verdana" w:hAnsi="Verdana"/>
                <w:b/>
                <w:sz w:val="18"/>
                <w:szCs w:val="18"/>
              </w:rPr>
            </w:pPr>
            <w:r w:rsidRPr="00EC75B7">
              <w:rPr>
                <w:rFonts w:ascii="Verdana" w:hAnsi="Verdana"/>
                <w:b/>
                <w:color w:val="FFFFFF"/>
                <w:sz w:val="18"/>
                <w:szCs w:val="18"/>
              </w:rPr>
              <w:t xml:space="preserve">Unit of </w:t>
            </w:r>
            <w:r w:rsidRPr="00EC75B7">
              <w:rPr>
                <w:rFonts w:ascii="Verdana" w:hAnsi="Verdana"/>
                <w:b/>
                <w:color w:val="FFFFFF"/>
                <w:spacing w:val="-2"/>
                <w:sz w:val="18"/>
                <w:szCs w:val="18"/>
              </w:rPr>
              <w:t>measurement</w:t>
            </w:r>
          </w:p>
        </w:tc>
        <w:tc>
          <w:tcPr>
            <w:tcW w:w="1362" w:type="dxa"/>
            <w:shd w:val="clear" w:color="auto" w:fill="00AFEF"/>
          </w:tcPr>
          <w:p w14:paraId="03D45EE8" w14:textId="77777777" w:rsidR="008715BE" w:rsidRPr="00EC75B7" w:rsidRDefault="00000000">
            <w:pPr>
              <w:pStyle w:val="TableParagraph"/>
              <w:spacing w:line="174" w:lineRule="exact"/>
              <w:ind w:left="9"/>
              <w:jc w:val="center"/>
              <w:rPr>
                <w:rFonts w:ascii="Verdana" w:hAnsi="Verdana"/>
                <w:b/>
                <w:sz w:val="18"/>
                <w:szCs w:val="18"/>
              </w:rPr>
            </w:pPr>
            <w:r w:rsidRPr="00EC75B7">
              <w:rPr>
                <w:rFonts w:ascii="Verdana" w:hAnsi="Verdana"/>
                <w:b/>
                <w:color w:val="FFFFFF"/>
                <w:spacing w:val="-2"/>
                <w:sz w:val="18"/>
                <w:szCs w:val="18"/>
              </w:rPr>
              <w:t>Foundation</w:t>
            </w:r>
          </w:p>
        </w:tc>
        <w:tc>
          <w:tcPr>
            <w:tcW w:w="990" w:type="dxa"/>
            <w:shd w:val="clear" w:color="auto" w:fill="00AFEF"/>
          </w:tcPr>
          <w:p w14:paraId="05499A17" w14:textId="77777777" w:rsidR="008715BE" w:rsidRPr="00EC75B7" w:rsidRDefault="00000000">
            <w:pPr>
              <w:pStyle w:val="TableParagraph"/>
              <w:spacing w:line="174" w:lineRule="exact"/>
              <w:ind w:left="11"/>
              <w:jc w:val="center"/>
              <w:rPr>
                <w:rFonts w:ascii="Verdana" w:hAnsi="Verdana"/>
                <w:b/>
                <w:sz w:val="18"/>
                <w:szCs w:val="18"/>
              </w:rPr>
            </w:pPr>
            <w:r w:rsidRPr="00EC75B7">
              <w:rPr>
                <w:rFonts w:ascii="Verdana" w:hAnsi="Verdana"/>
                <w:b/>
                <w:color w:val="FFFFFF"/>
                <w:spacing w:val="-2"/>
                <w:sz w:val="18"/>
                <w:szCs w:val="18"/>
              </w:rPr>
              <w:t>Cables</w:t>
            </w:r>
          </w:p>
        </w:tc>
        <w:tc>
          <w:tcPr>
            <w:tcW w:w="1440" w:type="dxa"/>
            <w:shd w:val="clear" w:color="auto" w:fill="00AFEF"/>
          </w:tcPr>
          <w:p w14:paraId="73A9137C" w14:textId="77777777" w:rsidR="008715BE" w:rsidRPr="00EC75B7" w:rsidRDefault="00000000">
            <w:pPr>
              <w:pStyle w:val="TableParagraph"/>
              <w:spacing w:line="174" w:lineRule="exact"/>
              <w:ind w:left="10"/>
              <w:jc w:val="center"/>
              <w:rPr>
                <w:rFonts w:ascii="Verdana" w:hAnsi="Verdana"/>
                <w:b/>
                <w:sz w:val="18"/>
                <w:szCs w:val="18"/>
              </w:rPr>
            </w:pPr>
            <w:r w:rsidRPr="00EC75B7">
              <w:rPr>
                <w:rFonts w:ascii="Verdana" w:hAnsi="Verdana"/>
                <w:b/>
                <w:color w:val="FFFFFF"/>
                <w:spacing w:val="-2"/>
                <w:sz w:val="18"/>
                <w:szCs w:val="18"/>
              </w:rPr>
              <w:t>Roads</w:t>
            </w:r>
          </w:p>
        </w:tc>
      </w:tr>
      <w:tr w:rsidR="008715BE" w:rsidRPr="00EC75B7" w14:paraId="11BB0F90" w14:textId="77777777" w:rsidTr="00015F4E">
        <w:trPr>
          <w:trHeight w:val="194"/>
        </w:trPr>
        <w:tc>
          <w:tcPr>
            <w:tcW w:w="2633" w:type="dxa"/>
          </w:tcPr>
          <w:p w14:paraId="71278673"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z w:val="16"/>
                <w:szCs w:val="16"/>
              </w:rPr>
              <w:t xml:space="preserve">Steel and </w:t>
            </w:r>
            <w:r w:rsidRPr="00EC75B7">
              <w:rPr>
                <w:rFonts w:ascii="Verdana" w:hAnsi="Verdana"/>
                <w:spacing w:val="-2"/>
                <w:sz w:val="16"/>
                <w:szCs w:val="16"/>
              </w:rPr>
              <w:t xml:space="preserve">ferrous </w:t>
            </w:r>
            <w:r w:rsidRPr="00EC75B7">
              <w:rPr>
                <w:rFonts w:ascii="Verdana" w:hAnsi="Verdana"/>
                <w:sz w:val="16"/>
                <w:szCs w:val="16"/>
              </w:rPr>
              <w:t>materials</w:t>
            </w:r>
          </w:p>
        </w:tc>
        <w:tc>
          <w:tcPr>
            <w:tcW w:w="1872" w:type="dxa"/>
          </w:tcPr>
          <w:p w14:paraId="145DEF01"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72A6AB56"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2"/>
                <w:sz w:val="16"/>
                <w:szCs w:val="16"/>
              </w:rPr>
              <w:t>1,147.70</w:t>
            </w:r>
          </w:p>
        </w:tc>
        <w:tc>
          <w:tcPr>
            <w:tcW w:w="990" w:type="dxa"/>
          </w:tcPr>
          <w:p w14:paraId="7F08085C"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z w:val="16"/>
                <w:szCs w:val="16"/>
              </w:rPr>
              <w:t>-</w:t>
            </w:r>
          </w:p>
        </w:tc>
        <w:tc>
          <w:tcPr>
            <w:tcW w:w="1440" w:type="dxa"/>
          </w:tcPr>
          <w:p w14:paraId="7235B704"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z w:val="16"/>
                <w:szCs w:val="16"/>
              </w:rPr>
              <w:t>-</w:t>
            </w:r>
          </w:p>
        </w:tc>
      </w:tr>
      <w:tr w:rsidR="008715BE" w:rsidRPr="00EC75B7" w14:paraId="1A0BC50F" w14:textId="77777777" w:rsidTr="00015F4E">
        <w:trPr>
          <w:trHeight w:val="193"/>
        </w:trPr>
        <w:tc>
          <w:tcPr>
            <w:tcW w:w="2633" w:type="dxa"/>
          </w:tcPr>
          <w:p w14:paraId="5050CB92"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z w:val="16"/>
                <w:szCs w:val="16"/>
              </w:rPr>
              <w:t xml:space="preserve">Aluminum and </w:t>
            </w:r>
            <w:r w:rsidRPr="00EC75B7">
              <w:rPr>
                <w:rFonts w:ascii="Verdana" w:hAnsi="Verdana"/>
                <w:spacing w:val="-2"/>
                <w:sz w:val="16"/>
                <w:szCs w:val="16"/>
              </w:rPr>
              <w:t xml:space="preserve">aluminum </w:t>
            </w:r>
            <w:r w:rsidRPr="00EC75B7">
              <w:rPr>
                <w:rFonts w:ascii="Verdana" w:hAnsi="Verdana"/>
                <w:sz w:val="16"/>
                <w:szCs w:val="16"/>
              </w:rPr>
              <w:t>alloys</w:t>
            </w:r>
          </w:p>
        </w:tc>
        <w:tc>
          <w:tcPr>
            <w:tcW w:w="1872" w:type="dxa"/>
          </w:tcPr>
          <w:p w14:paraId="469E8C16"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4B70FEFC" w14:textId="77777777" w:rsidR="008715BE" w:rsidRPr="00EC75B7" w:rsidRDefault="00000000">
            <w:pPr>
              <w:pStyle w:val="TableParagraph"/>
              <w:spacing w:line="174" w:lineRule="exact"/>
              <w:ind w:left="7"/>
              <w:jc w:val="center"/>
              <w:rPr>
                <w:rFonts w:ascii="Verdana" w:hAnsi="Verdana"/>
                <w:sz w:val="16"/>
                <w:szCs w:val="16"/>
              </w:rPr>
            </w:pPr>
            <w:r w:rsidRPr="00EC75B7">
              <w:rPr>
                <w:rFonts w:ascii="Verdana" w:hAnsi="Verdana"/>
                <w:sz w:val="16"/>
                <w:szCs w:val="16"/>
              </w:rPr>
              <w:t>-</w:t>
            </w:r>
          </w:p>
        </w:tc>
        <w:tc>
          <w:tcPr>
            <w:tcW w:w="990" w:type="dxa"/>
          </w:tcPr>
          <w:p w14:paraId="48F2DEF7"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2"/>
                <w:sz w:val="16"/>
                <w:szCs w:val="16"/>
              </w:rPr>
              <w:t>72.22</w:t>
            </w:r>
          </w:p>
        </w:tc>
        <w:tc>
          <w:tcPr>
            <w:tcW w:w="1440" w:type="dxa"/>
          </w:tcPr>
          <w:p w14:paraId="28608645"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z w:val="16"/>
                <w:szCs w:val="16"/>
              </w:rPr>
              <w:t>-</w:t>
            </w:r>
          </w:p>
        </w:tc>
      </w:tr>
      <w:tr w:rsidR="008715BE" w:rsidRPr="00EC75B7" w14:paraId="2BA9579E" w14:textId="77777777" w:rsidTr="00015F4E">
        <w:trPr>
          <w:trHeight w:val="194"/>
        </w:trPr>
        <w:tc>
          <w:tcPr>
            <w:tcW w:w="2633" w:type="dxa"/>
          </w:tcPr>
          <w:p w14:paraId="50938892"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pacing w:val="-2"/>
                <w:sz w:val="16"/>
                <w:szCs w:val="16"/>
              </w:rPr>
              <w:t>Copper</w:t>
            </w:r>
          </w:p>
        </w:tc>
        <w:tc>
          <w:tcPr>
            <w:tcW w:w="1872" w:type="dxa"/>
          </w:tcPr>
          <w:p w14:paraId="46EB24C0"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45EDC02D"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4"/>
                <w:sz w:val="16"/>
                <w:szCs w:val="16"/>
              </w:rPr>
              <w:t>0.46</w:t>
            </w:r>
          </w:p>
        </w:tc>
        <w:tc>
          <w:tcPr>
            <w:tcW w:w="990" w:type="dxa"/>
          </w:tcPr>
          <w:p w14:paraId="4CF263CD"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2"/>
                <w:sz w:val="16"/>
                <w:szCs w:val="16"/>
              </w:rPr>
              <w:t>18.40</w:t>
            </w:r>
          </w:p>
        </w:tc>
        <w:tc>
          <w:tcPr>
            <w:tcW w:w="1440" w:type="dxa"/>
          </w:tcPr>
          <w:p w14:paraId="09EB8711"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z w:val="16"/>
                <w:szCs w:val="16"/>
              </w:rPr>
              <w:t>-</w:t>
            </w:r>
          </w:p>
        </w:tc>
      </w:tr>
      <w:tr w:rsidR="008715BE" w:rsidRPr="00EC75B7" w14:paraId="05CBDD47" w14:textId="77777777" w:rsidTr="00015F4E">
        <w:trPr>
          <w:trHeight w:val="196"/>
        </w:trPr>
        <w:tc>
          <w:tcPr>
            <w:tcW w:w="2633" w:type="dxa"/>
          </w:tcPr>
          <w:p w14:paraId="1A9303F8" w14:textId="77777777" w:rsidR="008715BE" w:rsidRPr="00EC75B7" w:rsidRDefault="00000000">
            <w:pPr>
              <w:pStyle w:val="TableParagraph"/>
              <w:spacing w:line="176" w:lineRule="exact"/>
              <w:ind w:left="107"/>
              <w:rPr>
                <w:rFonts w:ascii="Verdana" w:hAnsi="Verdana"/>
                <w:sz w:val="16"/>
                <w:szCs w:val="16"/>
              </w:rPr>
            </w:pPr>
            <w:r w:rsidRPr="00EC75B7">
              <w:rPr>
                <w:rFonts w:ascii="Verdana" w:hAnsi="Verdana"/>
                <w:spacing w:val="-2"/>
                <w:sz w:val="16"/>
                <w:szCs w:val="16"/>
              </w:rPr>
              <w:t>Polymers</w:t>
            </w:r>
          </w:p>
        </w:tc>
        <w:tc>
          <w:tcPr>
            <w:tcW w:w="1872" w:type="dxa"/>
          </w:tcPr>
          <w:p w14:paraId="150C0415" w14:textId="77777777" w:rsidR="008715BE" w:rsidRPr="00EC75B7" w:rsidRDefault="00000000">
            <w:pPr>
              <w:pStyle w:val="TableParagraph"/>
              <w:spacing w:line="176"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09055BF2" w14:textId="77777777" w:rsidR="008715BE" w:rsidRPr="00EC75B7" w:rsidRDefault="00000000">
            <w:pPr>
              <w:pStyle w:val="TableParagraph"/>
              <w:spacing w:line="176" w:lineRule="exact"/>
              <w:ind w:left="10"/>
              <w:jc w:val="center"/>
              <w:rPr>
                <w:rFonts w:ascii="Verdana" w:hAnsi="Verdana"/>
                <w:sz w:val="16"/>
                <w:szCs w:val="16"/>
              </w:rPr>
            </w:pPr>
            <w:r w:rsidRPr="00EC75B7">
              <w:rPr>
                <w:rFonts w:ascii="Verdana" w:hAnsi="Verdana"/>
                <w:spacing w:val="-4"/>
                <w:sz w:val="16"/>
                <w:szCs w:val="16"/>
              </w:rPr>
              <w:t>0.46</w:t>
            </w:r>
          </w:p>
        </w:tc>
        <w:tc>
          <w:tcPr>
            <w:tcW w:w="990" w:type="dxa"/>
          </w:tcPr>
          <w:p w14:paraId="2DA4FCE0" w14:textId="77777777" w:rsidR="008715BE" w:rsidRPr="00EC75B7" w:rsidRDefault="00000000">
            <w:pPr>
              <w:pStyle w:val="TableParagraph"/>
              <w:spacing w:line="176" w:lineRule="exact"/>
              <w:ind w:left="10"/>
              <w:jc w:val="center"/>
              <w:rPr>
                <w:rFonts w:ascii="Verdana" w:hAnsi="Verdana"/>
                <w:sz w:val="16"/>
                <w:szCs w:val="16"/>
              </w:rPr>
            </w:pPr>
            <w:r w:rsidRPr="00EC75B7">
              <w:rPr>
                <w:rFonts w:ascii="Verdana" w:hAnsi="Verdana"/>
                <w:spacing w:val="-2"/>
                <w:sz w:val="16"/>
                <w:szCs w:val="16"/>
              </w:rPr>
              <w:t>161.00</w:t>
            </w:r>
          </w:p>
        </w:tc>
        <w:tc>
          <w:tcPr>
            <w:tcW w:w="1440" w:type="dxa"/>
          </w:tcPr>
          <w:p w14:paraId="2D85EC6D" w14:textId="77777777" w:rsidR="008715BE" w:rsidRPr="00EC75B7" w:rsidRDefault="00000000">
            <w:pPr>
              <w:pStyle w:val="TableParagraph"/>
              <w:spacing w:line="176" w:lineRule="exact"/>
              <w:ind w:left="9"/>
              <w:jc w:val="center"/>
              <w:rPr>
                <w:rFonts w:ascii="Verdana" w:hAnsi="Verdana"/>
                <w:sz w:val="16"/>
                <w:szCs w:val="16"/>
              </w:rPr>
            </w:pPr>
            <w:r w:rsidRPr="00EC75B7">
              <w:rPr>
                <w:rFonts w:ascii="Verdana" w:hAnsi="Verdana"/>
                <w:sz w:val="16"/>
                <w:szCs w:val="16"/>
              </w:rPr>
              <w:t>-</w:t>
            </w:r>
          </w:p>
        </w:tc>
      </w:tr>
      <w:tr w:rsidR="008715BE" w:rsidRPr="00EC75B7" w14:paraId="1EE628FE" w14:textId="77777777" w:rsidTr="00015F4E">
        <w:trPr>
          <w:trHeight w:val="194"/>
        </w:trPr>
        <w:tc>
          <w:tcPr>
            <w:tcW w:w="2633" w:type="dxa"/>
          </w:tcPr>
          <w:p w14:paraId="78F4B1CC"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pacing w:val="-2"/>
                <w:sz w:val="16"/>
                <w:szCs w:val="16"/>
              </w:rPr>
              <w:t>Concrete</w:t>
            </w:r>
          </w:p>
        </w:tc>
        <w:tc>
          <w:tcPr>
            <w:tcW w:w="1872" w:type="dxa"/>
          </w:tcPr>
          <w:p w14:paraId="5E55EA79"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21111E78"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2"/>
                <w:sz w:val="16"/>
                <w:szCs w:val="16"/>
              </w:rPr>
              <w:t>22,245.14</w:t>
            </w:r>
          </w:p>
        </w:tc>
        <w:tc>
          <w:tcPr>
            <w:tcW w:w="990" w:type="dxa"/>
          </w:tcPr>
          <w:p w14:paraId="28CA9466"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z w:val="16"/>
                <w:szCs w:val="16"/>
              </w:rPr>
              <w:t>-</w:t>
            </w:r>
          </w:p>
        </w:tc>
        <w:tc>
          <w:tcPr>
            <w:tcW w:w="1440" w:type="dxa"/>
          </w:tcPr>
          <w:p w14:paraId="7EABC65F"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z w:val="16"/>
                <w:szCs w:val="16"/>
              </w:rPr>
              <w:t>-</w:t>
            </w:r>
          </w:p>
        </w:tc>
      </w:tr>
      <w:tr w:rsidR="008715BE" w:rsidRPr="00EC75B7" w14:paraId="2FD040F9" w14:textId="77777777" w:rsidTr="00015F4E">
        <w:trPr>
          <w:trHeight w:val="194"/>
        </w:trPr>
        <w:tc>
          <w:tcPr>
            <w:tcW w:w="2633" w:type="dxa"/>
          </w:tcPr>
          <w:p w14:paraId="7EBF6320"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pacing w:val="-5"/>
                <w:sz w:val="16"/>
                <w:szCs w:val="16"/>
              </w:rPr>
              <w:t>Water</w:t>
            </w:r>
          </w:p>
        </w:tc>
        <w:tc>
          <w:tcPr>
            <w:tcW w:w="1872" w:type="dxa"/>
          </w:tcPr>
          <w:p w14:paraId="0F4AAE13"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pacing w:val="-4"/>
                <w:sz w:val="16"/>
                <w:szCs w:val="16"/>
              </w:rPr>
              <w:t>Tons</w:t>
            </w:r>
          </w:p>
        </w:tc>
        <w:tc>
          <w:tcPr>
            <w:tcW w:w="1362" w:type="dxa"/>
          </w:tcPr>
          <w:p w14:paraId="3F04D4A9"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pacing w:val="-2"/>
                <w:sz w:val="16"/>
                <w:szCs w:val="16"/>
              </w:rPr>
              <w:t>7,785.77</w:t>
            </w:r>
          </w:p>
        </w:tc>
        <w:tc>
          <w:tcPr>
            <w:tcW w:w="990" w:type="dxa"/>
          </w:tcPr>
          <w:p w14:paraId="375F355B"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z w:val="16"/>
                <w:szCs w:val="16"/>
              </w:rPr>
              <w:t>-</w:t>
            </w:r>
          </w:p>
        </w:tc>
        <w:tc>
          <w:tcPr>
            <w:tcW w:w="1440" w:type="dxa"/>
          </w:tcPr>
          <w:p w14:paraId="5A8EB55B"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z w:val="16"/>
                <w:szCs w:val="16"/>
              </w:rPr>
              <w:t>-</w:t>
            </w:r>
          </w:p>
        </w:tc>
      </w:tr>
      <w:tr w:rsidR="008715BE" w:rsidRPr="00EC75B7" w14:paraId="1E8B23EF" w14:textId="77777777" w:rsidTr="00015F4E">
        <w:trPr>
          <w:trHeight w:val="193"/>
        </w:trPr>
        <w:tc>
          <w:tcPr>
            <w:tcW w:w="2633" w:type="dxa"/>
          </w:tcPr>
          <w:p w14:paraId="63594CEC" w14:textId="77777777" w:rsidR="008715BE" w:rsidRPr="00EC75B7" w:rsidRDefault="00000000">
            <w:pPr>
              <w:pStyle w:val="TableParagraph"/>
              <w:spacing w:line="174" w:lineRule="exact"/>
              <w:ind w:left="107"/>
              <w:rPr>
                <w:rFonts w:ascii="Verdana" w:hAnsi="Verdana"/>
                <w:sz w:val="16"/>
                <w:szCs w:val="16"/>
              </w:rPr>
            </w:pPr>
            <w:r w:rsidRPr="00EC75B7">
              <w:rPr>
                <w:rFonts w:ascii="Verdana" w:hAnsi="Verdana"/>
                <w:spacing w:val="-2"/>
                <w:sz w:val="16"/>
                <w:szCs w:val="16"/>
              </w:rPr>
              <w:t xml:space="preserve">Crushed </w:t>
            </w:r>
            <w:r w:rsidRPr="00EC75B7">
              <w:rPr>
                <w:rFonts w:ascii="Verdana" w:hAnsi="Verdana"/>
                <w:sz w:val="16"/>
                <w:szCs w:val="16"/>
              </w:rPr>
              <w:t>stone</w:t>
            </w:r>
          </w:p>
        </w:tc>
        <w:tc>
          <w:tcPr>
            <w:tcW w:w="1872" w:type="dxa"/>
          </w:tcPr>
          <w:p w14:paraId="73E8E9F9" w14:textId="77777777" w:rsidR="008715BE" w:rsidRPr="00EC75B7" w:rsidRDefault="00000000">
            <w:pPr>
              <w:pStyle w:val="TableParagraph"/>
              <w:spacing w:line="174" w:lineRule="exact"/>
              <w:ind w:left="6" w:right="3"/>
              <w:jc w:val="center"/>
              <w:rPr>
                <w:rFonts w:ascii="Verdana" w:hAnsi="Verdana"/>
                <w:sz w:val="16"/>
                <w:szCs w:val="16"/>
              </w:rPr>
            </w:pPr>
            <w:r w:rsidRPr="00EC75B7">
              <w:rPr>
                <w:rFonts w:ascii="Verdana" w:hAnsi="Verdana"/>
                <w:spacing w:val="-5"/>
                <w:sz w:val="16"/>
                <w:szCs w:val="16"/>
              </w:rPr>
              <w:t>m</w:t>
            </w:r>
          </w:p>
        </w:tc>
        <w:tc>
          <w:tcPr>
            <w:tcW w:w="1362" w:type="dxa"/>
          </w:tcPr>
          <w:p w14:paraId="4964F968" w14:textId="77777777" w:rsidR="008715BE" w:rsidRPr="00EC75B7" w:rsidRDefault="00000000">
            <w:pPr>
              <w:pStyle w:val="TableParagraph"/>
              <w:spacing w:line="174" w:lineRule="exact"/>
              <w:ind w:left="7"/>
              <w:jc w:val="center"/>
              <w:rPr>
                <w:rFonts w:ascii="Verdana" w:hAnsi="Verdana"/>
                <w:sz w:val="16"/>
                <w:szCs w:val="16"/>
              </w:rPr>
            </w:pPr>
            <w:r w:rsidRPr="00EC75B7">
              <w:rPr>
                <w:rFonts w:ascii="Verdana" w:hAnsi="Verdana"/>
                <w:sz w:val="16"/>
                <w:szCs w:val="16"/>
              </w:rPr>
              <w:t>-</w:t>
            </w:r>
          </w:p>
        </w:tc>
        <w:tc>
          <w:tcPr>
            <w:tcW w:w="990" w:type="dxa"/>
          </w:tcPr>
          <w:p w14:paraId="41C0DFAD" w14:textId="77777777" w:rsidR="008715BE" w:rsidRPr="00EC75B7" w:rsidRDefault="00000000">
            <w:pPr>
              <w:pStyle w:val="TableParagraph"/>
              <w:spacing w:line="174" w:lineRule="exact"/>
              <w:ind w:left="10"/>
              <w:jc w:val="center"/>
              <w:rPr>
                <w:rFonts w:ascii="Verdana" w:hAnsi="Verdana"/>
                <w:sz w:val="16"/>
                <w:szCs w:val="16"/>
              </w:rPr>
            </w:pPr>
            <w:r w:rsidRPr="00EC75B7">
              <w:rPr>
                <w:rFonts w:ascii="Verdana" w:hAnsi="Verdana"/>
                <w:sz w:val="16"/>
                <w:szCs w:val="16"/>
              </w:rPr>
              <w:t>-</w:t>
            </w:r>
          </w:p>
        </w:tc>
        <w:tc>
          <w:tcPr>
            <w:tcW w:w="1440" w:type="dxa"/>
          </w:tcPr>
          <w:p w14:paraId="1F51C1F9" w14:textId="77777777" w:rsidR="008715BE" w:rsidRPr="00EC75B7" w:rsidRDefault="00000000">
            <w:pPr>
              <w:pStyle w:val="TableParagraph"/>
              <w:spacing w:line="174" w:lineRule="exact"/>
              <w:ind w:left="9"/>
              <w:jc w:val="center"/>
              <w:rPr>
                <w:rFonts w:ascii="Verdana" w:hAnsi="Verdana"/>
                <w:sz w:val="16"/>
                <w:szCs w:val="16"/>
              </w:rPr>
            </w:pPr>
            <w:r w:rsidRPr="00EC75B7">
              <w:rPr>
                <w:rFonts w:ascii="Verdana" w:hAnsi="Verdana"/>
                <w:spacing w:val="-2"/>
                <w:sz w:val="16"/>
                <w:szCs w:val="16"/>
              </w:rPr>
              <w:t>1,184,018.53</w:t>
            </w:r>
          </w:p>
        </w:tc>
      </w:tr>
    </w:tbl>
    <w:p w14:paraId="48530C83" w14:textId="77777777" w:rsidR="00903DD2" w:rsidRDefault="00903DD2" w:rsidP="00015F4E">
      <w:pPr>
        <w:pStyle w:val="BodyText"/>
        <w:spacing w:line="360" w:lineRule="auto"/>
        <w:ind w:left="765" w:right="860"/>
        <w:jc w:val="both"/>
        <w:rPr>
          <w:rFonts w:ascii="Verdana" w:hAnsi="Verdana"/>
        </w:rPr>
      </w:pPr>
    </w:p>
    <w:p w14:paraId="10AC0195" w14:textId="39A69FF3" w:rsidR="008715BE" w:rsidRPr="00EC75B7" w:rsidRDefault="00000000" w:rsidP="00015F4E">
      <w:pPr>
        <w:pStyle w:val="BodyText"/>
        <w:spacing w:line="360" w:lineRule="auto"/>
        <w:ind w:left="765" w:right="860"/>
        <w:jc w:val="both"/>
        <w:rPr>
          <w:rFonts w:ascii="Verdana" w:hAnsi="Verdana"/>
        </w:rPr>
      </w:pPr>
      <w:r w:rsidRPr="00EC75B7">
        <w:rPr>
          <w:rFonts w:ascii="Verdana" w:hAnsi="Verdana"/>
        </w:rPr>
        <w:t>These estimates were based on the study by Razdan, P., &amp; Garrett, P. (2019). Life cycle assessment of electricity</w:t>
      </w:r>
      <w:r w:rsidR="000E490E" w:rsidRPr="00EC75B7">
        <w:rPr>
          <w:rFonts w:ascii="Verdana" w:hAnsi="Verdana"/>
        </w:rPr>
        <w:t xml:space="preserve"> </w:t>
      </w:r>
      <w:r w:rsidRPr="00EC75B7">
        <w:rPr>
          <w:rFonts w:ascii="Verdana" w:hAnsi="Verdana"/>
        </w:rPr>
        <w:t>production from an onshore V150-4.2 MW wind plant. Vestas Wind Systems A/S.</w:t>
      </w:r>
    </w:p>
    <w:p w14:paraId="31C57624" w14:textId="77777777" w:rsidR="008715BE" w:rsidRPr="00EC75B7" w:rsidRDefault="00000000" w:rsidP="00015F4E">
      <w:pPr>
        <w:pStyle w:val="Heading5"/>
        <w:spacing w:before="120"/>
        <w:ind w:left="630" w:firstLine="180"/>
        <w:rPr>
          <w:rFonts w:ascii="Verdana" w:hAnsi="Verdana"/>
        </w:rPr>
      </w:pPr>
      <w:r w:rsidRPr="00EC75B7">
        <w:rPr>
          <w:rFonts w:ascii="Verdana" w:hAnsi="Verdana"/>
        </w:rPr>
        <w:t>Chemical substances and preparations</w:t>
      </w:r>
    </w:p>
    <w:p w14:paraId="7F5201B7" w14:textId="77777777" w:rsidR="008715BE" w:rsidRPr="00EC75B7" w:rsidRDefault="008715BE">
      <w:pPr>
        <w:pStyle w:val="BodyText"/>
        <w:spacing w:before="9"/>
        <w:rPr>
          <w:rFonts w:ascii="Verdana" w:hAnsi="Verdana"/>
          <w:b/>
        </w:rPr>
      </w:pPr>
    </w:p>
    <w:p w14:paraId="0818C3FE" w14:textId="77777777"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t>The execution of the works will require the use of materials which, due to their composition or potential effects on the health of employees, are classified as hazardous chemical substances and preparations. These substances and materials are represented by:</w:t>
      </w:r>
    </w:p>
    <w:p w14:paraId="31AD8DA9" w14:textId="77777777" w:rsidR="000E490E" w:rsidRPr="00EC75B7" w:rsidRDefault="00000000" w:rsidP="000A0F43">
      <w:pPr>
        <w:pStyle w:val="BodyText"/>
        <w:numPr>
          <w:ilvl w:val="0"/>
          <w:numId w:val="130"/>
        </w:numPr>
        <w:spacing w:line="360" w:lineRule="auto"/>
        <w:ind w:left="1483" w:right="864"/>
        <w:jc w:val="both"/>
        <w:rPr>
          <w:rFonts w:ascii="Verdana" w:hAnsi="Verdana"/>
        </w:rPr>
      </w:pPr>
      <w:r w:rsidRPr="00EC75B7">
        <w:rPr>
          <w:rFonts w:ascii="Verdana" w:hAnsi="Verdana"/>
        </w:rPr>
        <w:t>Fuels (diesel, gasoline) used for   the operation of   equipment   and   means of</w:t>
      </w:r>
      <w:r w:rsidR="000E490E" w:rsidRPr="00EC75B7">
        <w:rPr>
          <w:rFonts w:ascii="Verdana" w:hAnsi="Verdana"/>
        </w:rPr>
        <w:t xml:space="preserve"> </w:t>
      </w:r>
      <w:r w:rsidRPr="00EC75B7">
        <w:rPr>
          <w:rFonts w:ascii="Verdana" w:hAnsi="Verdana"/>
        </w:rPr>
        <w:t>transport;</w:t>
      </w:r>
    </w:p>
    <w:p w14:paraId="0D3B898F" w14:textId="77777777" w:rsidR="000E490E" w:rsidRPr="00EC75B7" w:rsidRDefault="00000000" w:rsidP="000A0F43">
      <w:pPr>
        <w:pStyle w:val="BodyText"/>
        <w:numPr>
          <w:ilvl w:val="0"/>
          <w:numId w:val="130"/>
        </w:numPr>
        <w:spacing w:line="360" w:lineRule="auto"/>
        <w:ind w:left="1483" w:right="864"/>
        <w:jc w:val="both"/>
        <w:rPr>
          <w:rFonts w:ascii="Verdana" w:hAnsi="Verdana"/>
        </w:rPr>
      </w:pPr>
      <w:r w:rsidRPr="00EC75B7">
        <w:rPr>
          <w:rFonts w:ascii="Verdana" w:hAnsi="Verdana"/>
        </w:rPr>
        <w:t>Lubricants (oil, grease);</w:t>
      </w:r>
    </w:p>
    <w:p w14:paraId="1CA22A80" w14:textId="7AEBB355" w:rsidR="008715BE" w:rsidRPr="00EC75B7" w:rsidRDefault="00000000" w:rsidP="000A0F43">
      <w:pPr>
        <w:pStyle w:val="BodyText"/>
        <w:numPr>
          <w:ilvl w:val="0"/>
          <w:numId w:val="130"/>
        </w:numPr>
        <w:spacing w:line="360" w:lineRule="auto"/>
        <w:ind w:left="1483" w:right="864"/>
        <w:jc w:val="both"/>
        <w:rPr>
          <w:rFonts w:ascii="Verdana" w:hAnsi="Verdana"/>
        </w:rPr>
      </w:pPr>
      <w:r w:rsidRPr="00EC75B7">
        <w:rPr>
          <w:rFonts w:ascii="Verdana" w:hAnsi="Verdana"/>
        </w:rPr>
        <w:t>Coolant</w:t>
      </w:r>
      <w:r w:rsidR="000E490E" w:rsidRPr="00EC75B7">
        <w:rPr>
          <w:rFonts w:ascii="Verdana" w:hAnsi="Verdana"/>
        </w:rPr>
        <w:t>.</w:t>
      </w:r>
    </w:p>
    <w:p w14:paraId="14452182" w14:textId="77777777"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t>The main substances used, together with the nature of the risk generated by their use, are presented in the following table.</w:t>
      </w:r>
    </w:p>
    <w:p w14:paraId="4F43EF2B" w14:textId="7C3B22E1" w:rsidR="000E490E" w:rsidRPr="00EC75B7" w:rsidRDefault="00000000" w:rsidP="000E490E">
      <w:pPr>
        <w:spacing w:before="167"/>
        <w:ind w:left="765"/>
        <w:jc w:val="center"/>
        <w:rPr>
          <w:rFonts w:ascii="Verdana" w:hAnsi="Verdana"/>
          <w:b/>
          <w:color w:val="00AFEF"/>
          <w:sz w:val="18"/>
          <w:szCs w:val="18"/>
        </w:rPr>
      </w:pPr>
      <w:r w:rsidRPr="00EC75B7">
        <w:rPr>
          <w:rFonts w:ascii="Verdana" w:hAnsi="Verdana"/>
          <w:b/>
          <w:color w:val="00AFEF"/>
          <w:sz w:val="18"/>
          <w:szCs w:val="18"/>
        </w:rPr>
        <w:t>Table 2 Raw materials and construction materials used</w:t>
      </w:r>
    </w:p>
    <w:p w14:paraId="3B2323C3" w14:textId="147B0A39" w:rsidR="008715BE" w:rsidRPr="00EC75B7" w:rsidRDefault="00000000" w:rsidP="000E490E">
      <w:pPr>
        <w:spacing w:before="167"/>
        <w:ind w:left="765"/>
        <w:jc w:val="center"/>
        <w:rPr>
          <w:rFonts w:ascii="Verdana" w:hAnsi="Verdana"/>
          <w:b/>
          <w:sz w:val="18"/>
          <w:szCs w:val="18"/>
        </w:rPr>
      </w:pPr>
      <w:r w:rsidRPr="00EC75B7">
        <w:rPr>
          <w:rFonts w:ascii="Verdana" w:hAnsi="Verdana"/>
          <w:b/>
          <w:color w:val="00AFEF"/>
          <w:sz w:val="18"/>
          <w:szCs w:val="18"/>
        </w:rPr>
        <w:t xml:space="preserve">in the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phase</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52"/>
        <w:gridCol w:w="3562"/>
        <w:gridCol w:w="1659"/>
        <w:gridCol w:w="1347"/>
        <w:gridCol w:w="2398"/>
      </w:tblGrid>
      <w:tr w:rsidR="008715BE" w:rsidRPr="00EC75B7" w14:paraId="5CC52809" w14:textId="77777777">
        <w:trPr>
          <w:trHeight w:val="388"/>
        </w:trPr>
        <w:tc>
          <w:tcPr>
            <w:tcW w:w="752" w:type="dxa"/>
            <w:vMerge w:val="restart"/>
            <w:shd w:val="clear" w:color="auto" w:fill="00AFEF"/>
          </w:tcPr>
          <w:p w14:paraId="4E1FB7C5" w14:textId="77777777" w:rsidR="008715BE" w:rsidRPr="00EC75B7" w:rsidRDefault="008715BE">
            <w:pPr>
              <w:pStyle w:val="TableParagraph"/>
              <w:rPr>
                <w:rFonts w:ascii="Verdana" w:hAnsi="Verdana"/>
                <w:b/>
                <w:sz w:val="16"/>
                <w:szCs w:val="16"/>
              </w:rPr>
            </w:pPr>
          </w:p>
          <w:p w14:paraId="31D9E8CB" w14:textId="77777777" w:rsidR="008715BE" w:rsidRPr="00EC75B7" w:rsidRDefault="008715BE">
            <w:pPr>
              <w:pStyle w:val="TableParagraph"/>
              <w:spacing w:before="4"/>
              <w:rPr>
                <w:rFonts w:ascii="Verdana" w:hAnsi="Verdana"/>
                <w:b/>
                <w:sz w:val="16"/>
                <w:szCs w:val="16"/>
              </w:rPr>
            </w:pPr>
          </w:p>
          <w:p w14:paraId="0FC480A0" w14:textId="77777777" w:rsidR="008715BE" w:rsidRPr="00EC75B7" w:rsidRDefault="00000000">
            <w:pPr>
              <w:pStyle w:val="TableParagraph"/>
              <w:spacing w:before="1"/>
              <w:ind w:left="223" w:firstLine="14"/>
              <w:rPr>
                <w:rFonts w:ascii="Verdana" w:hAnsi="Verdana"/>
                <w:b/>
                <w:sz w:val="16"/>
                <w:szCs w:val="16"/>
              </w:rPr>
            </w:pPr>
            <w:r w:rsidRPr="00EC75B7">
              <w:rPr>
                <w:rFonts w:ascii="Verdana" w:hAnsi="Verdana"/>
                <w:b/>
                <w:color w:val="FFFFFF"/>
                <w:spacing w:val="-4"/>
                <w:sz w:val="16"/>
                <w:szCs w:val="16"/>
              </w:rPr>
              <w:t>No.</w:t>
            </w:r>
          </w:p>
        </w:tc>
        <w:tc>
          <w:tcPr>
            <w:tcW w:w="3562" w:type="dxa"/>
            <w:vMerge w:val="restart"/>
            <w:shd w:val="clear" w:color="auto" w:fill="00AFEF"/>
          </w:tcPr>
          <w:p w14:paraId="00873B8B" w14:textId="77777777" w:rsidR="008715BE" w:rsidRPr="00EC75B7" w:rsidRDefault="008715BE">
            <w:pPr>
              <w:pStyle w:val="TableParagraph"/>
              <w:rPr>
                <w:rFonts w:ascii="Verdana" w:hAnsi="Verdana"/>
                <w:b/>
                <w:sz w:val="16"/>
                <w:szCs w:val="16"/>
              </w:rPr>
            </w:pPr>
          </w:p>
          <w:p w14:paraId="5F03E690" w14:textId="77777777" w:rsidR="008715BE" w:rsidRPr="00EC75B7" w:rsidRDefault="008715BE">
            <w:pPr>
              <w:pStyle w:val="TableParagraph"/>
              <w:spacing w:before="4"/>
              <w:rPr>
                <w:rFonts w:ascii="Verdana" w:hAnsi="Verdana"/>
                <w:b/>
                <w:sz w:val="16"/>
                <w:szCs w:val="16"/>
              </w:rPr>
            </w:pPr>
          </w:p>
          <w:p w14:paraId="33B0FC74" w14:textId="77777777" w:rsidR="008715BE" w:rsidRPr="00EC75B7" w:rsidRDefault="00000000">
            <w:pPr>
              <w:pStyle w:val="TableParagraph"/>
              <w:spacing w:before="1" w:line="195" w:lineRule="exact"/>
              <w:ind w:left="11" w:right="7"/>
              <w:jc w:val="center"/>
              <w:rPr>
                <w:rFonts w:ascii="Verdana" w:hAnsi="Verdana"/>
                <w:b/>
                <w:sz w:val="16"/>
                <w:szCs w:val="16"/>
              </w:rPr>
            </w:pPr>
            <w:r w:rsidRPr="00EC75B7">
              <w:rPr>
                <w:rFonts w:ascii="Verdana" w:hAnsi="Verdana"/>
                <w:b/>
                <w:color w:val="FFFFFF"/>
                <w:spacing w:val="-2"/>
                <w:sz w:val="16"/>
                <w:szCs w:val="16"/>
              </w:rPr>
              <w:t>Name of substance/preparation</w:t>
            </w:r>
          </w:p>
          <w:p w14:paraId="27D1C0CA" w14:textId="77777777" w:rsidR="008715BE" w:rsidRPr="00EC75B7" w:rsidRDefault="00000000">
            <w:pPr>
              <w:pStyle w:val="TableParagraph"/>
              <w:spacing w:line="195" w:lineRule="exact"/>
              <w:ind w:left="11"/>
              <w:jc w:val="center"/>
              <w:rPr>
                <w:rFonts w:ascii="Verdana" w:hAnsi="Verdana"/>
                <w:b/>
                <w:sz w:val="16"/>
                <w:szCs w:val="16"/>
              </w:rPr>
            </w:pPr>
            <w:r w:rsidRPr="00EC75B7">
              <w:rPr>
                <w:rFonts w:ascii="Verdana" w:hAnsi="Verdana"/>
                <w:b/>
                <w:color w:val="FFFFFF"/>
                <w:spacing w:val="-2"/>
                <w:sz w:val="16"/>
                <w:szCs w:val="16"/>
              </w:rPr>
              <w:t>Chemical</w:t>
            </w:r>
          </w:p>
        </w:tc>
        <w:tc>
          <w:tcPr>
            <w:tcW w:w="5404" w:type="dxa"/>
            <w:gridSpan w:val="3"/>
            <w:shd w:val="clear" w:color="auto" w:fill="00AFEF"/>
          </w:tcPr>
          <w:p w14:paraId="34DDC646" w14:textId="77777777" w:rsidR="008715BE" w:rsidRPr="00EC75B7" w:rsidRDefault="00000000">
            <w:pPr>
              <w:pStyle w:val="TableParagraph"/>
              <w:spacing w:line="194" w:lineRule="exact"/>
              <w:ind w:left="6" w:right="2"/>
              <w:jc w:val="center"/>
              <w:rPr>
                <w:rFonts w:ascii="Verdana" w:hAnsi="Verdana"/>
                <w:b/>
                <w:sz w:val="16"/>
                <w:szCs w:val="16"/>
              </w:rPr>
            </w:pPr>
            <w:r w:rsidRPr="00EC75B7">
              <w:rPr>
                <w:rFonts w:ascii="Verdana" w:hAnsi="Verdana"/>
                <w:b/>
                <w:color w:val="FFFFFF"/>
                <w:sz w:val="16"/>
                <w:szCs w:val="16"/>
              </w:rPr>
              <w:t xml:space="preserve">Classification and labeling of chemical substances or </w:t>
            </w:r>
            <w:r w:rsidRPr="00EC75B7">
              <w:rPr>
                <w:rFonts w:ascii="Verdana" w:hAnsi="Verdana"/>
                <w:b/>
                <w:color w:val="FFFFFF"/>
                <w:spacing w:val="-2"/>
                <w:sz w:val="16"/>
                <w:szCs w:val="16"/>
              </w:rPr>
              <w:t>preparations</w:t>
            </w:r>
          </w:p>
          <w:p w14:paraId="3B0C2A72" w14:textId="77777777" w:rsidR="008715BE" w:rsidRPr="00EC75B7" w:rsidRDefault="00000000">
            <w:pPr>
              <w:pStyle w:val="TableParagraph"/>
              <w:spacing w:line="174" w:lineRule="exact"/>
              <w:ind w:left="6"/>
              <w:jc w:val="center"/>
              <w:rPr>
                <w:rFonts w:ascii="Verdana" w:hAnsi="Verdana"/>
                <w:b/>
                <w:sz w:val="16"/>
                <w:szCs w:val="16"/>
              </w:rPr>
            </w:pPr>
            <w:r w:rsidRPr="00EC75B7">
              <w:rPr>
                <w:rFonts w:ascii="Verdana" w:hAnsi="Verdana"/>
                <w:b/>
                <w:color w:val="FFFFFF"/>
                <w:spacing w:val="-2"/>
                <w:sz w:val="16"/>
                <w:szCs w:val="16"/>
              </w:rPr>
              <w:t>Chemical</w:t>
            </w:r>
          </w:p>
        </w:tc>
      </w:tr>
      <w:tr w:rsidR="008715BE" w:rsidRPr="00EC75B7" w14:paraId="5C95BAF0" w14:textId="77777777" w:rsidTr="00015F4E">
        <w:trPr>
          <w:trHeight w:val="779"/>
        </w:trPr>
        <w:tc>
          <w:tcPr>
            <w:tcW w:w="752" w:type="dxa"/>
            <w:vMerge/>
            <w:tcBorders>
              <w:top w:val="nil"/>
            </w:tcBorders>
            <w:shd w:val="clear" w:color="auto" w:fill="00AFEF"/>
          </w:tcPr>
          <w:p w14:paraId="129DCC32" w14:textId="77777777" w:rsidR="008715BE" w:rsidRPr="00EC75B7" w:rsidRDefault="008715BE">
            <w:pPr>
              <w:rPr>
                <w:rFonts w:ascii="Verdana" w:hAnsi="Verdana"/>
                <w:sz w:val="16"/>
                <w:szCs w:val="16"/>
              </w:rPr>
            </w:pPr>
          </w:p>
        </w:tc>
        <w:tc>
          <w:tcPr>
            <w:tcW w:w="3562" w:type="dxa"/>
            <w:vMerge/>
            <w:tcBorders>
              <w:top w:val="nil"/>
            </w:tcBorders>
            <w:shd w:val="clear" w:color="auto" w:fill="00AFEF"/>
          </w:tcPr>
          <w:p w14:paraId="4AAF555B" w14:textId="77777777" w:rsidR="008715BE" w:rsidRPr="00EC75B7" w:rsidRDefault="008715BE">
            <w:pPr>
              <w:rPr>
                <w:rFonts w:ascii="Verdana" w:hAnsi="Verdana"/>
                <w:sz w:val="16"/>
                <w:szCs w:val="16"/>
              </w:rPr>
            </w:pPr>
          </w:p>
        </w:tc>
        <w:tc>
          <w:tcPr>
            <w:tcW w:w="1659" w:type="dxa"/>
            <w:shd w:val="clear" w:color="auto" w:fill="00AFEF"/>
          </w:tcPr>
          <w:p w14:paraId="436A70EE" w14:textId="77777777" w:rsidR="008715BE" w:rsidRPr="00EC75B7" w:rsidRDefault="00000000">
            <w:pPr>
              <w:pStyle w:val="TableParagraph"/>
              <w:spacing w:before="2"/>
              <w:ind w:left="189" w:right="182" w:firstLine="2"/>
              <w:jc w:val="center"/>
              <w:rPr>
                <w:rFonts w:ascii="Verdana" w:hAnsi="Verdana"/>
                <w:b/>
                <w:sz w:val="16"/>
                <w:szCs w:val="16"/>
              </w:rPr>
            </w:pPr>
            <w:r w:rsidRPr="00EC75B7">
              <w:rPr>
                <w:rFonts w:ascii="Verdana" w:hAnsi="Verdana"/>
                <w:b/>
                <w:color w:val="FFFFFF"/>
                <w:spacing w:val="-2"/>
                <w:sz w:val="16"/>
                <w:szCs w:val="16"/>
              </w:rPr>
              <w:t>Category Hazardous/Non-hazardous</w:t>
            </w:r>
          </w:p>
          <w:p w14:paraId="657B3160" w14:textId="77777777" w:rsidR="008715BE" w:rsidRPr="00EC75B7" w:rsidRDefault="00000000">
            <w:pPr>
              <w:pStyle w:val="TableParagraph"/>
              <w:spacing w:line="172" w:lineRule="exact"/>
              <w:ind w:left="7" w:right="1"/>
              <w:jc w:val="center"/>
              <w:rPr>
                <w:rFonts w:ascii="Verdana" w:hAnsi="Verdana"/>
                <w:b/>
                <w:sz w:val="16"/>
                <w:szCs w:val="16"/>
              </w:rPr>
            </w:pPr>
            <w:r w:rsidRPr="00EC75B7">
              <w:rPr>
                <w:rFonts w:ascii="Verdana" w:hAnsi="Verdana"/>
                <w:b/>
                <w:color w:val="FFFFFF"/>
                <w:spacing w:val="-4"/>
                <w:sz w:val="16"/>
                <w:szCs w:val="16"/>
              </w:rPr>
              <w:t>(H/N)</w:t>
            </w:r>
          </w:p>
        </w:tc>
        <w:tc>
          <w:tcPr>
            <w:tcW w:w="1347" w:type="dxa"/>
            <w:shd w:val="clear" w:color="auto" w:fill="00AFEF"/>
          </w:tcPr>
          <w:p w14:paraId="422224B0" w14:textId="77777777" w:rsidR="008715BE" w:rsidRPr="00EC75B7" w:rsidRDefault="008715BE">
            <w:pPr>
              <w:pStyle w:val="TableParagraph"/>
              <w:spacing w:before="97"/>
              <w:rPr>
                <w:rFonts w:ascii="Verdana" w:hAnsi="Verdana"/>
                <w:b/>
                <w:sz w:val="16"/>
                <w:szCs w:val="16"/>
              </w:rPr>
            </w:pPr>
          </w:p>
          <w:p w14:paraId="32E65499" w14:textId="77777777" w:rsidR="008715BE" w:rsidRPr="00EC75B7" w:rsidRDefault="00000000">
            <w:pPr>
              <w:pStyle w:val="TableParagraph"/>
              <w:ind w:left="10"/>
              <w:jc w:val="center"/>
              <w:rPr>
                <w:rFonts w:ascii="Verdana" w:hAnsi="Verdana"/>
                <w:b/>
                <w:sz w:val="16"/>
                <w:szCs w:val="16"/>
              </w:rPr>
            </w:pPr>
            <w:r w:rsidRPr="00EC75B7">
              <w:rPr>
                <w:rFonts w:ascii="Verdana" w:hAnsi="Verdana"/>
                <w:b/>
                <w:color w:val="FFFFFF"/>
                <w:spacing w:val="-2"/>
                <w:sz w:val="16"/>
                <w:szCs w:val="16"/>
              </w:rPr>
              <w:t>Quantities</w:t>
            </w:r>
          </w:p>
        </w:tc>
        <w:tc>
          <w:tcPr>
            <w:tcW w:w="2398" w:type="dxa"/>
            <w:shd w:val="clear" w:color="auto" w:fill="00AFEF"/>
          </w:tcPr>
          <w:p w14:paraId="49483132" w14:textId="77777777" w:rsidR="008715BE" w:rsidRPr="00EC75B7" w:rsidRDefault="008715BE">
            <w:pPr>
              <w:pStyle w:val="TableParagraph"/>
              <w:spacing w:before="97"/>
              <w:rPr>
                <w:rFonts w:ascii="Verdana" w:hAnsi="Verdana"/>
                <w:b/>
                <w:sz w:val="16"/>
                <w:szCs w:val="16"/>
              </w:rPr>
            </w:pPr>
          </w:p>
          <w:p w14:paraId="71942D2B" w14:textId="77777777" w:rsidR="008715BE" w:rsidRPr="00EC75B7" w:rsidRDefault="00000000">
            <w:pPr>
              <w:pStyle w:val="TableParagraph"/>
              <w:ind w:left="5"/>
              <w:jc w:val="center"/>
              <w:rPr>
                <w:rFonts w:ascii="Verdana" w:hAnsi="Verdana"/>
                <w:b/>
                <w:sz w:val="16"/>
                <w:szCs w:val="16"/>
              </w:rPr>
            </w:pPr>
            <w:r w:rsidRPr="00EC75B7">
              <w:rPr>
                <w:rFonts w:ascii="Verdana" w:hAnsi="Verdana"/>
                <w:b/>
                <w:color w:val="FFFFFF"/>
                <w:sz w:val="16"/>
                <w:szCs w:val="16"/>
              </w:rPr>
              <w:t xml:space="preserve">Degree of </w:t>
            </w:r>
            <w:r w:rsidRPr="00EC75B7">
              <w:rPr>
                <w:rFonts w:ascii="Verdana" w:hAnsi="Verdana"/>
                <w:b/>
                <w:color w:val="FFFFFF"/>
                <w:spacing w:val="-2"/>
                <w:sz w:val="16"/>
                <w:szCs w:val="16"/>
              </w:rPr>
              <w:t>hazard</w:t>
            </w:r>
          </w:p>
        </w:tc>
      </w:tr>
      <w:tr w:rsidR="008715BE" w:rsidRPr="00EC75B7" w14:paraId="1C38FCD8" w14:textId="77777777" w:rsidTr="00015F4E">
        <w:trPr>
          <w:trHeight w:val="388"/>
        </w:trPr>
        <w:tc>
          <w:tcPr>
            <w:tcW w:w="752" w:type="dxa"/>
          </w:tcPr>
          <w:p w14:paraId="77316DD0" w14:textId="77777777" w:rsidR="008715BE" w:rsidRPr="00EC75B7" w:rsidRDefault="00000000">
            <w:pPr>
              <w:pStyle w:val="TableParagraph"/>
              <w:spacing w:line="195" w:lineRule="exact"/>
              <w:ind w:right="95"/>
              <w:jc w:val="right"/>
              <w:rPr>
                <w:rFonts w:ascii="Verdana" w:hAnsi="Verdana"/>
                <w:sz w:val="16"/>
                <w:szCs w:val="16"/>
              </w:rPr>
            </w:pPr>
            <w:r w:rsidRPr="00EC75B7">
              <w:rPr>
                <w:rFonts w:ascii="Verdana" w:hAnsi="Verdana"/>
                <w:spacing w:val="-10"/>
                <w:sz w:val="16"/>
                <w:szCs w:val="16"/>
              </w:rPr>
              <w:t>1</w:t>
            </w:r>
          </w:p>
        </w:tc>
        <w:tc>
          <w:tcPr>
            <w:tcW w:w="3562" w:type="dxa"/>
          </w:tcPr>
          <w:p w14:paraId="3E4EC298" w14:textId="77777777" w:rsidR="008715BE" w:rsidRPr="00EC75B7" w:rsidRDefault="00000000">
            <w:pPr>
              <w:pStyle w:val="TableParagraph"/>
              <w:spacing w:before="95"/>
              <w:ind w:left="11" w:right="5"/>
              <w:jc w:val="center"/>
              <w:rPr>
                <w:rFonts w:ascii="Verdana" w:hAnsi="Verdana"/>
                <w:sz w:val="16"/>
                <w:szCs w:val="16"/>
              </w:rPr>
            </w:pPr>
            <w:r w:rsidRPr="00EC75B7">
              <w:rPr>
                <w:rFonts w:ascii="Verdana" w:hAnsi="Verdana"/>
                <w:spacing w:val="-2"/>
                <w:sz w:val="16"/>
                <w:szCs w:val="16"/>
              </w:rPr>
              <w:t>Fuel</w:t>
            </w:r>
          </w:p>
        </w:tc>
        <w:tc>
          <w:tcPr>
            <w:tcW w:w="1659" w:type="dxa"/>
          </w:tcPr>
          <w:p w14:paraId="6E8C08C6" w14:textId="77777777" w:rsidR="008715BE" w:rsidRPr="00EC75B7" w:rsidRDefault="00000000">
            <w:pPr>
              <w:pStyle w:val="TableParagraph"/>
              <w:spacing w:before="95"/>
              <w:ind w:left="7"/>
              <w:jc w:val="center"/>
              <w:rPr>
                <w:rFonts w:ascii="Verdana" w:hAnsi="Verdana"/>
                <w:sz w:val="16"/>
                <w:szCs w:val="16"/>
              </w:rPr>
            </w:pPr>
            <w:r w:rsidRPr="00EC75B7">
              <w:rPr>
                <w:rFonts w:ascii="Verdana" w:hAnsi="Verdana"/>
                <w:spacing w:val="-10"/>
                <w:sz w:val="16"/>
                <w:szCs w:val="16"/>
              </w:rPr>
              <w:t>P</w:t>
            </w:r>
          </w:p>
        </w:tc>
        <w:tc>
          <w:tcPr>
            <w:tcW w:w="1347" w:type="dxa"/>
          </w:tcPr>
          <w:p w14:paraId="0D397FAE" w14:textId="77777777" w:rsidR="008715BE" w:rsidRPr="00EC75B7" w:rsidRDefault="00000000">
            <w:pPr>
              <w:pStyle w:val="TableParagraph"/>
              <w:spacing w:before="95"/>
              <w:ind w:left="10" w:right="1"/>
              <w:jc w:val="center"/>
              <w:rPr>
                <w:rFonts w:ascii="Verdana" w:hAnsi="Verdana"/>
                <w:sz w:val="16"/>
                <w:szCs w:val="16"/>
              </w:rPr>
            </w:pPr>
            <w:r w:rsidRPr="00EC75B7">
              <w:rPr>
                <w:rFonts w:ascii="Verdana" w:hAnsi="Verdana"/>
                <w:sz w:val="16"/>
                <w:szCs w:val="16"/>
              </w:rPr>
              <w:t xml:space="preserve">38.33 </w:t>
            </w:r>
            <w:r w:rsidRPr="00EC75B7">
              <w:rPr>
                <w:rFonts w:ascii="Verdana" w:hAnsi="Verdana"/>
                <w:spacing w:val="-4"/>
                <w:sz w:val="16"/>
                <w:szCs w:val="16"/>
              </w:rPr>
              <w:t>tons</w:t>
            </w:r>
          </w:p>
        </w:tc>
        <w:tc>
          <w:tcPr>
            <w:tcW w:w="2398" w:type="dxa"/>
          </w:tcPr>
          <w:p w14:paraId="71E3F17A" w14:textId="77777777" w:rsidR="008715BE" w:rsidRPr="00EC75B7" w:rsidRDefault="00000000">
            <w:pPr>
              <w:pStyle w:val="TableParagraph"/>
              <w:spacing w:line="194" w:lineRule="exact"/>
              <w:ind w:left="680"/>
              <w:rPr>
                <w:rFonts w:ascii="Verdana" w:hAnsi="Verdana"/>
                <w:sz w:val="16"/>
                <w:szCs w:val="16"/>
              </w:rPr>
            </w:pPr>
            <w:r w:rsidRPr="00EC75B7">
              <w:rPr>
                <w:rFonts w:ascii="Verdana" w:hAnsi="Verdana"/>
                <w:sz w:val="16"/>
                <w:szCs w:val="16"/>
              </w:rPr>
              <w:t xml:space="preserve">High degree </w:t>
            </w:r>
            <w:r w:rsidRPr="00EC75B7">
              <w:rPr>
                <w:rFonts w:ascii="Verdana" w:hAnsi="Verdana"/>
                <w:spacing w:val="-5"/>
                <w:sz w:val="16"/>
                <w:szCs w:val="16"/>
              </w:rPr>
              <w:t>of</w:t>
            </w:r>
          </w:p>
          <w:p w14:paraId="50B3C929" w14:textId="77777777" w:rsidR="008715BE" w:rsidRPr="00EC75B7" w:rsidRDefault="00000000">
            <w:pPr>
              <w:pStyle w:val="TableParagraph"/>
              <w:spacing w:line="174" w:lineRule="exact"/>
              <w:ind w:left="707"/>
              <w:rPr>
                <w:rFonts w:ascii="Verdana" w:hAnsi="Verdana"/>
                <w:sz w:val="16"/>
                <w:szCs w:val="16"/>
              </w:rPr>
            </w:pPr>
            <w:r w:rsidRPr="00EC75B7">
              <w:rPr>
                <w:rFonts w:ascii="Verdana" w:hAnsi="Verdana"/>
                <w:spacing w:val="-2"/>
                <w:sz w:val="16"/>
                <w:szCs w:val="16"/>
              </w:rPr>
              <w:t>flammability</w:t>
            </w:r>
          </w:p>
        </w:tc>
      </w:tr>
      <w:tr w:rsidR="008715BE" w:rsidRPr="00EC75B7" w14:paraId="45A41765" w14:textId="77777777" w:rsidTr="00015F4E">
        <w:trPr>
          <w:trHeight w:val="193"/>
        </w:trPr>
        <w:tc>
          <w:tcPr>
            <w:tcW w:w="752" w:type="dxa"/>
          </w:tcPr>
          <w:p w14:paraId="5148A0DE" w14:textId="77777777" w:rsidR="008715BE" w:rsidRPr="00EC75B7" w:rsidRDefault="00000000">
            <w:pPr>
              <w:pStyle w:val="TableParagraph"/>
              <w:spacing w:line="174" w:lineRule="exact"/>
              <w:ind w:right="95"/>
              <w:jc w:val="right"/>
              <w:rPr>
                <w:rFonts w:ascii="Verdana" w:hAnsi="Verdana"/>
                <w:sz w:val="16"/>
                <w:szCs w:val="16"/>
              </w:rPr>
            </w:pPr>
            <w:r w:rsidRPr="00EC75B7">
              <w:rPr>
                <w:rFonts w:ascii="Verdana" w:hAnsi="Verdana"/>
                <w:spacing w:val="-10"/>
                <w:sz w:val="16"/>
                <w:szCs w:val="16"/>
              </w:rPr>
              <w:t>2</w:t>
            </w:r>
          </w:p>
        </w:tc>
        <w:tc>
          <w:tcPr>
            <w:tcW w:w="3562" w:type="dxa"/>
          </w:tcPr>
          <w:p w14:paraId="6A50398A" w14:textId="77777777" w:rsidR="008715BE" w:rsidRPr="00EC75B7" w:rsidRDefault="00000000">
            <w:pPr>
              <w:pStyle w:val="TableParagraph"/>
              <w:spacing w:line="174" w:lineRule="exact"/>
              <w:ind w:left="11" w:right="4"/>
              <w:jc w:val="center"/>
              <w:rPr>
                <w:rFonts w:ascii="Verdana" w:hAnsi="Verdana"/>
                <w:sz w:val="16"/>
                <w:szCs w:val="16"/>
              </w:rPr>
            </w:pPr>
            <w:r w:rsidRPr="00EC75B7">
              <w:rPr>
                <w:rFonts w:ascii="Verdana" w:hAnsi="Verdana"/>
                <w:sz w:val="16"/>
                <w:szCs w:val="16"/>
              </w:rPr>
              <w:t xml:space="preserve">Coolant / other </w:t>
            </w:r>
            <w:r w:rsidRPr="00EC75B7">
              <w:rPr>
                <w:rFonts w:ascii="Verdana" w:hAnsi="Verdana"/>
                <w:spacing w:val="-2"/>
                <w:sz w:val="16"/>
                <w:szCs w:val="16"/>
              </w:rPr>
              <w:t>glycols</w:t>
            </w:r>
          </w:p>
        </w:tc>
        <w:tc>
          <w:tcPr>
            <w:tcW w:w="1659" w:type="dxa"/>
          </w:tcPr>
          <w:p w14:paraId="22BC5B9F" w14:textId="77777777" w:rsidR="008715BE" w:rsidRPr="00EC75B7" w:rsidRDefault="00000000">
            <w:pPr>
              <w:pStyle w:val="TableParagraph"/>
              <w:spacing w:line="174" w:lineRule="exact"/>
              <w:ind w:left="7"/>
              <w:jc w:val="center"/>
              <w:rPr>
                <w:rFonts w:ascii="Verdana" w:hAnsi="Verdana"/>
                <w:sz w:val="16"/>
                <w:szCs w:val="16"/>
              </w:rPr>
            </w:pPr>
            <w:r w:rsidRPr="00EC75B7">
              <w:rPr>
                <w:rFonts w:ascii="Verdana" w:hAnsi="Verdana"/>
                <w:spacing w:val="-10"/>
                <w:sz w:val="16"/>
                <w:szCs w:val="16"/>
              </w:rPr>
              <w:t>P</w:t>
            </w:r>
          </w:p>
        </w:tc>
        <w:tc>
          <w:tcPr>
            <w:tcW w:w="1347" w:type="dxa"/>
          </w:tcPr>
          <w:p w14:paraId="2F13993C" w14:textId="77777777" w:rsidR="008715BE" w:rsidRPr="00EC75B7" w:rsidRDefault="00000000">
            <w:pPr>
              <w:pStyle w:val="TableParagraph"/>
              <w:spacing w:line="174" w:lineRule="exact"/>
              <w:ind w:left="10" w:right="3"/>
              <w:jc w:val="center"/>
              <w:rPr>
                <w:rFonts w:ascii="Verdana" w:hAnsi="Verdana"/>
                <w:sz w:val="16"/>
                <w:szCs w:val="16"/>
              </w:rPr>
            </w:pPr>
            <w:r w:rsidRPr="00EC75B7">
              <w:rPr>
                <w:rFonts w:ascii="Verdana" w:hAnsi="Verdana"/>
                <w:sz w:val="16"/>
                <w:szCs w:val="16"/>
              </w:rPr>
              <w:t xml:space="preserve">3.22 </w:t>
            </w:r>
            <w:r w:rsidRPr="00EC75B7">
              <w:rPr>
                <w:rFonts w:ascii="Verdana" w:hAnsi="Verdana"/>
                <w:spacing w:val="-4"/>
                <w:sz w:val="16"/>
                <w:szCs w:val="16"/>
              </w:rPr>
              <w:t>tons</w:t>
            </w:r>
          </w:p>
        </w:tc>
        <w:tc>
          <w:tcPr>
            <w:tcW w:w="2398" w:type="dxa"/>
          </w:tcPr>
          <w:p w14:paraId="1DEA6EA9" w14:textId="77777777" w:rsidR="008715BE" w:rsidRPr="00EC75B7" w:rsidRDefault="00000000">
            <w:pPr>
              <w:pStyle w:val="TableParagraph"/>
              <w:spacing w:line="174" w:lineRule="exact"/>
              <w:ind w:left="5" w:right="2"/>
              <w:jc w:val="center"/>
              <w:rPr>
                <w:rFonts w:ascii="Verdana" w:hAnsi="Verdana"/>
                <w:sz w:val="16"/>
                <w:szCs w:val="16"/>
              </w:rPr>
            </w:pPr>
            <w:r w:rsidRPr="00EC75B7">
              <w:rPr>
                <w:rFonts w:ascii="Verdana" w:hAnsi="Verdana"/>
                <w:sz w:val="16"/>
                <w:szCs w:val="16"/>
              </w:rPr>
              <w:t xml:space="preserve">Flammable, </w:t>
            </w:r>
            <w:r w:rsidRPr="00EC75B7">
              <w:rPr>
                <w:rFonts w:ascii="Verdana" w:hAnsi="Verdana"/>
                <w:spacing w:val="-2"/>
                <w:sz w:val="16"/>
                <w:szCs w:val="16"/>
              </w:rPr>
              <w:t>irritant</w:t>
            </w:r>
          </w:p>
        </w:tc>
      </w:tr>
      <w:tr w:rsidR="008715BE" w:rsidRPr="00EC75B7" w14:paraId="7CD8A0B3" w14:textId="77777777" w:rsidTr="00015F4E">
        <w:trPr>
          <w:trHeight w:val="194"/>
        </w:trPr>
        <w:tc>
          <w:tcPr>
            <w:tcW w:w="752" w:type="dxa"/>
          </w:tcPr>
          <w:p w14:paraId="43225AE7" w14:textId="77777777" w:rsidR="008715BE" w:rsidRPr="00EC75B7" w:rsidRDefault="00000000">
            <w:pPr>
              <w:pStyle w:val="TableParagraph"/>
              <w:spacing w:line="174" w:lineRule="exact"/>
              <w:ind w:right="95"/>
              <w:jc w:val="right"/>
              <w:rPr>
                <w:rFonts w:ascii="Verdana" w:hAnsi="Verdana"/>
                <w:sz w:val="16"/>
                <w:szCs w:val="16"/>
              </w:rPr>
            </w:pPr>
            <w:r w:rsidRPr="00EC75B7">
              <w:rPr>
                <w:rFonts w:ascii="Verdana" w:hAnsi="Verdana"/>
                <w:spacing w:val="-10"/>
                <w:sz w:val="16"/>
                <w:szCs w:val="16"/>
              </w:rPr>
              <w:t>3</w:t>
            </w:r>
          </w:p>
        </w:tc>
        <w:tc>
          <w:tcPr>
            <w:tcW w:w="3562" w:type="dxa"/>
          </w:tcPr>
          <w:p w14:paraId="18062843" w14:textId="77777777" w:rsidR="008715BE" w:rsidRPr="00EC75B7" w:rsidRDefault="00000000">
            <w:pPr>
              <w:pStyle w:val="TableParagraph"/>
              <w:spacing w:line="174" w:lineRule="exact"/>
              <w:ind w:left="11" w:right="6"/>
              <w:jc w:val="center"/>
              <w:rPr>
                <w:rFonts w:ascii="Verdana" w:hAnsi="Verdana"/>
                <w:sz w:val="16"/>
                <w:szCs w:val="16"/>
              </w:rPr>
            </w:pPr>
            <w:r w:rsidRPr="00EC75B7">
              <w:rPr>
                <w:rFonts w:ascii="Verdana" w:hAnsi="Verdana"/>
                <w:spacing w:val="-4"/>
                <w:sz w:val="16"/>
                <w:szCs w:val="16"/>
              </w:rPr>
              <w:t>Oil</w:t>
            </w:r>
          </w:p>
        </w:tc>
        <w:tc>
          <w:tcPr>
            <w:tcW w:w="1659" w:type="dxa"/>
          </w:tcPr>
          <w:p w14:paraId="3F434BBC" w14:textId="77777777" w:rsidR="008715BE" w:rsidRPr="00EC75B7" w:rsidRDefault="00000000">
            <w:pPr>
              <w:pStyle w:val="TableParagraph"/>
              <w:spacing w:line="174" w:lineRule="exact"/>
              <w:ind w:left="7" w:right="1"/>
              <w:jc w:val="center"/>
              <w:rPr>
                <w:rFonts w:ascii="Verdana" w:hAnsi="Verdana"/>
                <w:sz w:val="16"/>
                <w:szCs w:val="16"/>
              </w:rPr>
            </w:pPr>
            <w:r w:rsidRPr="00EC75B7">
              <w:rPr>
                <w:rFonts w:ascii="Verdana" w:hAnsi="Verdana"/>
                <w:spacing w:val="-10"/>
                <w:sz w:val="16"/>
                <w:szCs w:val="16"/>
              </w:rPr>
              <w:t>N</w:t>
            </w:r>
          </w:p>
        </w:tc>
        <w:tc>
          <w:tcPr>
            <w:tcW w:w="1347" w:type="dxa"/>
          </w:tcPr>
          <w:p w14:paraId="13BD4A62" w14:textId="77777777" w:rsidR="008715BE" w:rsidRPr="00EC75B7" w:rsidRDefault="00000000">
            <w:pPr>
              <w:pStyle w:val="TableParagraph"/>
              <w:spacing w:line="174" w:lineRule="exact"/>
              <w:ind w:left="10" w:right="1"/>
              <w:jc w:val="center"/>
              <w:rPr>
                <w:rFonts w:ascii="Verdana" w:hAnsi="Verdana"/>
                <w:sz w:val="16"/>
                <w:szCs w:val="16"/>
              </w:rPr>
            </w:pPr>
            <w:r w:rsidRPr="00EC75B7">
              <w:rPr>
                <w:rFonts w:ascii="Verdana" w:hAnsi="Verdana"/>
                <w:sz w:val="16"/>
                <w:szCs w:val="16"/>
              </w:rPr>
              <w:t xml:space="preserve">19.17 </w:t>
            </w:r>
            <w:r w:rsidRPr="00EC75B7">
              <w:rPr>
                <w:rFonts w:ascii="Verdana" w:hAnsi="Verdana"/>
                <w:spacing w:val="-4"/>
                <w:sz w:val="16"/>
                <w:szCs w:val="16"/>
              </w:rPr>
              <w:t>tons</w:t>
            </w:r>
          </w:p>
        </w:tc>
        <w:tc>
          <w:tcPr>
            <w:tcW w:w="2398" w:type="dxa"/>
          </w:tcPr>
          <w:p w14:paraId="5FDB5855" w14:textId="77777777" w:rsidR="008715BE" w:rsidRPr="00EC75B7" w:rsidRDefault="00000000">
            <w:pPr>
              <w:pStyle w:val="TableParagraph"/>
              <w:spacing w:line="174" w:lineRule="exact"/>
              <w:ind w:left="5"/>
              <w:jc w:val="center"/>
              <w:rPr>
                <w:rFonts w:ascii="Verdana" w:hAnsi="Verdana"/>
                <w:sz w:val="16"/>
                <w:szCs w:val="16"/>
              </w:rPr>
            </w:pPr>
            <w:r w:rsidRPr="00EC75B7">
              <w:rPr>
                <w:rFonts w:ascii="Verdana" w:hAnsi="Verdana"/>
                <w:spacing w:val="-2"/>
                <w:sz w:val="16"/>
                <w:szCs w:val="16"/>
              </w:rPr>
              <w:t>Flammable</w:t>
            </w:r>
          </w:p>
        </w:tc>
      </w:tr>
    </w:tbl>
    <w:p w14:paraId="1D99DB7B" w14:textId="77777777" w:rsidR="008715BE" w:rsidRPr="00EC75B7" w:rsidRDefault="008715BE">
      <w:pPr>
        <w:pStyle w:val="BodyText"/>
        <w:rPr>
          <w:rFonts w:ascii="Verdana" w:hAnsi="Verdana"/>
          <w:b/>
        </w:rPr>
      </w:pPr>
    </w:p>
    <w:p w14:paraId="3285B941" w14:textId="77777777" w:rsidR="008715BE" w:rsidRPr="00EC75B7" w:rsidRDefault="008715BE">
      <w:pPr>
        <w:pStyle w:val="BodyText"/>
        <w:spacing w:before="182"/>
        <w:rPr>
          <w:rFonts w:ascii="Verdana" w:hAnsi="Verdana"/>
          <w:b/>
        </w:rPr>
      </w:pPr>
    </w:p>
    <w:p w14:paraId="4F20B599" w14:textId="77777777" w:rsidR="008715BE" w:rsidRPr="00EC75B7" w:rsidRDefault="00000000">
      <w:pPr>
        <w:pStyle w:val="Heading2"/>
        <w:numPr>
          <w:ilvl w:val="1"/>
          <w:numId w:val="110"/>
        </w:numPr>
        <w:tabs>
          <w:tab w:val="left" w:pos="1539"/>
        </w:tabs>
        <w:ind w:left="1539" w:hanging="716"/>
        <w:jc w:val="left"/>
        <w:rPr>
          <w:rFonts w:ascii="Verdana" w:hAnsi="Verdana"/>
          <w:color w:val="00AFEF"/>
          <w:sz w:val="18"/>
          <w:szCs w:val="18"/>
        </w:rPr>
      </w:pPr>
      <w:bookmarkStart w:id="19" w:name="_bookmark19"/>
      <w:bookmarkEnd w:id="19"/>
      <w:r w:rsidRPr="00EC75B7">
        <w:rPr>
          <w:rFonts w:ascii="Verdana" w:hAnsi="Verdana"/>
          <w:color w:val="00AFEF"/>
          <w:spacing w:val="-2"/>
          <w:sz w:val="18"/>
          <w:szCs w:val="18"/>
        </w:rPr>
        <w:t xml:space="preserve">Technological </w:t>
      </w:r>
      <w:r w:rsidRPr="00EC75B7">
        <w:rPr>
          <w:rFonts w:ascii="Verdana" w:hAnsi="Verdana"/>
          <w:color w:val="00AFEF"/>
          <w:sz w:val="18"/>
          <w:szCs w:val="18"/>
        </w:rPr>
        <w:t>processes</w:t>
      </w:r>
    </w:p>
    <w:p w14:paraId="34E39742" w14:textId="77777777" w:rsidR="008715BE" w:rsidRPr="00EC75B7" w:rsidRDefault="008715BE">
      <w:pPr>
        <w:pStyle w:val="BodyText"/>
        <w:spacing w:before="102"/>
        <w:rPr>
          <w:rFonts w:ascii="Verdana" w:hAnsi="Verdana"/>
          <w:b/>
        </w:rPr>
      </w:pPr>
    </w:p>
    <w:p w14:paraId="1A2E8F4D" w14:textId="77777777"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t>SOUTH WIND SRL is considering the development and commissioning of a new production capacity for</w:t>
      </w:r>
    </w:p>
    <w:p w14:paraId="073C4C07" w14:textId="77777777"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t>electricity from renewable sources.</w:t>
      </w:r>
    </w:p>
    <w:p w14:paraId="77D37109" w14:textId="77777777" w:rsidR="008715BE" w:rsidRPr="00EC75B7" w:rsidRDefault="008715BE">
      <w:pPr>
        <w:pStyle w:val="BodyText"/>
        <w:spacing w:before="148"/>
        <w:rPr>
          <w:rFonts w:ascii="Verdana" w:hAnsi="Verdana"/>
        </w:rPr>
      </w:pPr>
    </w:p>
    <w:p w14:paraId="05A46C52" w14:textId="77777777" w:rsidR="008715BE" w:rsidRPr="00EC75B7" w:rsidRDefault="00000000">
      <w:pPr>
        <w:pStyle w:val="Heading3"/>
        <w:numPr>
          <w:ilvl w:val="2"/>
          <w:numId w:val="106"/>
        </w:numPr>
        <w:tabs>
          <w:tab w:val="left" w:pos="2750"/>
        </w:tabs>
        <w:ind w:hanging="991"/>
        <w:rPr>
          <w:rFonts w:ascii="Verdana" w:hAnsi="Verdana"/>
          <w:sz w:val="18"/>
          <w:szCs w:val="18"/>
        </w:rPr>
      </w:pPr>
      <w:bookmarkStart w:id="20" w:name="_bookmark20"/>
      <w:bookmarkEnd w:id="20"/>
      <w:r w:rsidRPr="00EC75B7">
        <w:rPr>
          <w:rFonts w:ascii="Verdana" w:hAnsi="Verdana"/>
          <w:color w:val="00AFEF"/>
          <w:sz w:val="18"/>
          <w:szCs w:val="18"/>
        </w:rPr>
        <w:t xml:space="preserve">Technology </w:t>
      </w:r>
      <w:r w:rsidRPr="00EC75B7">
        <w:rPr>
          <w:rFonts w:ascii="Verdana" w:hAnsi="Verdana"/>
          <w:color w:val="00AFEF"/>
          <w:spacing w:val="-2"/>
          <w:sz w:val="18"/>
          <w:szCs w:val="18"/>
        </w:rPr>
        <w:t>used</w:t>
      </w:r>
    </w:p>
    <w:p w14:paraId="0FDC379F" w14:textId="77777777" w:rsidR="008715BE" w:rsidRPr="00EC75B7" w:rsidRDefault="008715BE">
      <w:pPr>
        <w:pStyle w:val="BodyText"/>
        <w:spacing w:before="114"/>
        <w:rPr>
          <w:rFonts w:ascii="Verdana" w:hAnsi="Verdana"/>
          <w:b/>
        </w:rPr>
      </w:pPr>
    </w:p>
    <w:p w14:paraId="0E4E7A39" w14:textId="77777777"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t>The wind turbine converts the kinetic energy of the wind into electricity. The turbines are equipped with a rotor with three blades arranged equidistantly on the rotor hub. The rotor is driven by the force of the wind. The speed of the blades is directly proportional to the speed of the air mass, the density of the air, and the temperature of the air passing through the rotor. The movement of the rotor is transmitted through a speed multiplier to the electricity generator.</w:t>
      </w:r>
    </w:p>
    <w:p w14:paraId="4CB49578" w14:textId="50AC8EFB" w:rsidR="008715BE" w:rsidRPr="00EC75B7" w:rsidRDefault="00000000" w:rsidP="000E490E">
      <w:pPr>
        <w:pStyle w:val="BodyText"/>
        <w:spacing w:line="360" w:lineRule="auto"/>
        <w:ind w:left="765" w:right="860"/>
        <w:jc w:val="both"/>
        <w:rPr>
          <w:rFonts w:ascii="Verdana" w:hAnsi="Verdana"/>
        </w:rPr>
      </w:pPr>
      <w:r w:rsidRPr="00EC75B7">
        <w:rPr>
          <w:rFonts w:ascii="Verdana" w:hAnsi="Verdana"/>
        </w:rPr>
        <w:lastRenderedPageBreak/>
        <w:t>The turbines to be installed at the wind farm are equipped with:</w:t>
      </w:r>
    </w:p>
    <w:p w14:paraId="326F5CE5" w14:textId="77777777" w:rsidR="000E490E" w:rsidRPr="00EC75B7" w:rsidRDefault="00000000">
      <w:pPr>
        <w:pStyle w:val="BodyText"/>
        <w:numPr>
          <w:ilvl w:val="0"/>
          <w:numId w:val="131"/>
        </w:numPr>
        <w:spacing w:line="360" w:lineRule="auto"/>
        <w:ind w:right="860"/>
        <w:jc w:val="both"/>
        <w:rPr>
          <w:rFonts w:ascii="Verdana" w:hAnsi="Verdana"/>
        </w:rPr>
      </w:pPr>
      <w:r w:rsidRPr="00EC75B7">
        <w:rPr>
          <w:rFonts w:ascii="Verdana" w:hAnsi="Verdana"/>
        </w:rPr>
        <w:t>a system that allows the rotation speed and blade pitch to be adjusted according to wind speed and direction in order to maximize energy production and reduce loads and noise;</w:t>
      </w:r>
    </w:p>
    <w:p w14:paraId="3DBEE8C2" w14:textId="60EE563D" w:rsidR="008715BE" w:rsidRPr="00EC75B7" w:rsidRDefault="00000000">
      <w:pPr>
        <w:pStyle w:val="BodyText"/>
        <w:numPr>
          <w:ilvl w:val="0"/>
          <w:numId w:val="131"/>
        </w:numPr>
        <w:spacing w:line="360" w:lineRule="auto"/>
        <w:ind w:right="860"/>
        <w:jc w:val="both"/>
        <w:rPr>
          <w:rFonts w:ascii="Verdana" w:hAnsi="Verdana"/>
        </w:rPr>
      </w:pPr>
      <w:r w:rsidRPr="00EC75B7">
        <w:rPr>
          <w:rFonts w:ascii="Verdana" w:hAnsi="Verdana"/>
        </w:rPr>
        <w:t>an automatic nacelle rotation system ("yaw system") so that the rotor always operates in the prevailing wind direction.</w:t>
      </w:r>
    </w:p>
    <w:p w14:paraId="35ECA015" w14:textId="77777777" w:rsidR="008715BE" w:rsidRPr="00EC75B7" w:rsidRDefault="00000000">
      <w:pPr>
        <w:pStyle w:val="BodyText"/>
        <w:spacing w:before="125" w:line="357" w:lineRule="auto"/>
        <w:ind w:left="765" w:right="857"/>
        <w:jc w:val="both"/>
        <w:rPr>
          <w:rFonts w:ascii="Verdana" w:hAnsi="Verdana"/>
        </w:rPr>
      </w:pPr>
      <w:r w:rsidRPr="00EC75B7">
        <w:rPr>
          <w:rFonts w:ascii="Verdana" w:hAnsi="Verdana"/>
        </w:rPr>
        <w:t>The turbines operate at variable generator rotor speeds. They are programmed to start when the wind speed reaches 3 m/s and to stop when the wind speed exceeds 24 m/s.</w:t>
      </w:r>
    </w:p>
    <w:p w14:paraId="51C61760" w14:textId="77777777" w:rsidR="008715BE" w:rsidRPr="00EC75B7" w:rsidRDefault="00000000">
      <w:pPr>
        <w:pStyle w:val="BodyText"/>
        <w:spacing w:before="121" w:line="360" w:lineRule="auto"/>
        <w:ind w:left="765" w:right="860"/>
        <w:jc w:val="both"/>
        <w:rPr>
          <w:rFonts w:ascii="Verdana" w:hAnsi="Verdana"/>
        </w:rPr>
      </w:pPr>
      <w:r w:rsidRPr="00EC75B7">
        <w:rPr>
          <w:rFonts w:ascii="Verdana" w:hAnsi="Verdana"/>
        </w:rPr>
        <w:t>During strong winds, the turbines will be automatically shut down by reducing the angle of the blades and activating the braking system.</w:t>
      </w:r>
    </w:p>
    <w:p w14:paraId="377B9E3C" w14:textId="77777777" w:rsidR="008715BE" w:rsidRPr="00EC75B7" w:rsidRDefault="00000000">
      <w:pPr>
        <w:pStyle w:val="BodyText"/>
        <w:spacing w:before="118" w:line="357" w:lineRule="auto"/>
        <w:ind w:left="765" w:right="851"/>
        <w:jc w:val="both"/>
        <w:rPr>
          <w:rFonts w:ascii="Verdana" w:hAnsi="Verdana"/>
        </w:rPr>
      </w:pPr>
      <w:r w:rsidRPr="00EC75B7">
        <w:rPr>
          <w:rFonts w:ascii="Verdana" w:hAnsi="Verdana"/>
        </w:rPr>
        <w:t>The electricity generated by the turbine-generator assembly is transported through the internal electrical network of the wind farms, consisting of 33 kV underground power lines (LES), to the electrical substation, where the voltage is increased from 33 to 110 kV. Thus, the power produced in the wind farms can be discharged through a 110 kV underground power line to the 110/400 kV station.</w:t>
      </w:r>
    </w:p>
    <w:p w14:paraId="1C722DE7" w14:textId="77777777" w:rsidR="008715BE" w:rsidRPr="00EC75B7" w:rsidRDefault="00000000">
      <w:pPr>
        <w:pStyle w:val="BodyText"/>
        <w:spacing w:before="121" w:line="357" w:lineRule="auto"/>
        <w:ind w:left="765" w:right="852"/>
        <w:jc w:val="both"/>
        <w:rPr>
          <w:rFonts w:ascii="Verdana" w:hAnsi="Verdana"/>
        </w:rPr>
      </w:pPr>
      <w:r w:rsidRPr="00EC75B7">
        <w:rPr>
          <w:rFonts w:ascii="Verdana" w:hAnsi="Verdana"/>
        </w:rPr>
        <w:t>Throughout the lifetime of the wind farm, maintenance and repair work will be carried out on both the wind turbines and the power stations. The turbines require annual servicing and periodic, annual, or multi-annual maintenance work. The materials needed for turbine maintenance will be brought to the site as needed, thus avoiding their storage in the wind farm area. In the event of technical malfunctions, the turbine monitoring system automatically alerts the designated personnel to remedy them.</w:t>
      </w:r>
    </w:p>
    <w:p w14:paraId="38E26BD1" w14:textId="46D62A5D" w:rsidR="008715BE" w:rsidRPr="00EC75B7" w:rsidRDefault="00000000" w:rsidP="000E490E">
      <w:pPr>
        <w:pStyle w:val="BodyText"/>
        <w:spacing w:before="125"/>
        <w:ind w:left="765"/>
        <w:rPr>
          <w:rFonts w:ascii="Verdana" w:hAnsi="Verdana"/>
        </w:rPr>
      </w:pPr>
      <w:r w:rsidRPr="00EC75B7">
        <w:rPr>
          <w:rFonts w:ascii="Verdana" w:hAnsi="Verdana"/>
        </w:rPr>
        <w:t>The main maintenance works carried out annually at the power station are as follows</w:t>
      </w:r>
      <w:r w:rsidR="000E490E" w:rsidRPr="00EC75B7">
        <w:rPr>
          <w:rFonts w:ascii="Verdana" w:hAnsi="Verdana"/>
        </w:rPr>
        <w:t xml:space="preserve"> </w:t>
      </w:r>
      <w:r w:rsidRPr="00EC75B7">
        <w:rPr>
          <w:rFonts w:ascii="Verdana" w:hAnsi="Verdana"/>
        </w:rPr>
        <w:t>by:</w:t>
      </w:r>
    </w:p>
    <w:p w14:paraId="614EFD33" w14:textId="77777777" w:rsidR="008715BE" w:rsidRPr="00EC75B7" w:rsidRDefault="008715BE">
      <w:pPr>
        <w:pStyle w:val="BodyText"/>
        <w:spacing w:before="9"/>
        <w:rPr>
          <w:rFonts w:ascii="Verdana" w:hAnsi="Verdana"/>
        </w:rPr>
      </w:pPr>
    </w:p>
    <w:p w14:paraId="2E548A49" w14:textId="77777777" w:rsidR="008715BE" w:rsidRPr="00EC75B7" w:rsidRDefault="00000000">
      <w:pPr>
        <w:pStyle w:val="ListParagraph"/>
        <w:numPr>
          <w:ilvl w:val="0"/>
          <w:numId w:val="104"/>
        </w:numPr>
        <w:tabs>
          <w:tab w:val="left" w:pos="1485"/>
        </w:tabs>
        <w:rPr>
          <w:rFonts w:ascii="Verdana" w:hAnsi="Verdana"/>
          <w:sz w:val="18"/>
          <w:szCs w:val="18"/>
        </w:rPr>
      </w:pPr>
      <w:r w:rsidRPr="00EC75B7">
        <w:rPr>
          <w:rFonts w:ascii="Verdana" w:hAnsi="Verdana"/>
          <w:sz w:val="18"/>
          <w:szCs w:val="18"/>
        </w:rPr>
        <w:t>Checking the oil level in the transformer;</w:t>
      </w:r>
    </w:p>
    <w:p w14:paraId="7C49D68D" w14:textId="77777777" w:rsidR="008715BE" w:rsidRPr="00EC75B7" w:rsidRDefault="00000000">
      <w:pPr>
        <w:pStyle w:val="ListParagraph"/>
        <w:numPr>
          <w:ilvl w:val="0"/>
          <w:numId w:val="104"/>
        </w:numPr>
        <w:tabs>
          <w:tab w:val="left" w:pos="1485"/>
        </w:tabs>
        <w:spacing w:before="107"/>
        <w:rPr>
          <w:rFonts w:ascii="Verdana" w:hAnsi="Verdana"/>
          <w:sz w:val="18"/>
          <w:szCs w:val="18"/>
        </w:rPr>
      </w:pPr>
      <w:r w:rsidRPr="00EC75B7">
        <w:rPr>
          <w:rFonts w:ascii="Verdana" w:hAnsi="Verdana"/>
          <w:sz w:val="18"/>
          <w:szCs w:val="18"/>
        </w:rPr>
        <w:t>Checking for oil leaks;</w:t>
      </w:r>
    </w:p>
    <w:p w14:paraId="37B8DCBA" w14:textId="77777777" w:rsidR="008715BE" w:rsidRPr="00EC75B7" w:rsidRDefault="00000000">
      <w:pPr>
        <w:pStyle w:val="ListParagraph"/>
        <w:numPr>
          <w:ilvl w:val="0"/>
          <w:numId w:val="104"/>
        </w:numPr>
        <w:tabs>
          <w:tab w:val="left" w:pos="1485"/>
        </w:tabs>
        <w:spacing w:before="109"/>
        <w:rPr>
          <w:rFonts w:ascii="Verdana" w:hAnsi="Verdana"/>
          <w:sz w:val="18"/>
          <w:szCs w:val="18"/>
        </w:rPr>
      </w:pPr>
      <w:r w:rsidRPr="00EC75B7">
        <w:rPr>
          <w:rFonts w:ascii="Verdana" w:hAnsi="Verdana"/>
          <w:sz w:val="18"/>
          <w:szCs w:val="18"/>
        </w:rPr>
        <w:t>Checking cables and circuits;</w:t>
      </w:r>
    </w:p>
    <w:p w14:paraId="49F8AF00" w14:textId="77777777" w:rsidR="008715BE" w:rsidRPr="00EC75B7" w:rsidRDefault="00000000">
      <w:pPr>
        <w:pStyle w:val="ListParagraph"/>
        <w:numPr>
          <w:ilvl w:val="0"/>
          <w:numId w:val="104"/>
        </w:numPr>
        <w:tabs>
          <w:tab w:val="left" w:pos="1485"/>
        </w:tabs>
        <w:spacing w:before="109"/>
        <w:rPr>
          <w:rFonts w:ascii="Verdana" w:hAnsi="Verdana"/>
          <w:sz w:val="18"/>
          <w:szCs w:val="18"/>
        </w:rPr>
      </w:pPr>
      <w:r w:rsidRPr="00EC75B7">
        <w:rPr>
          <w:rFonts w:ascii="Verdana" w:hAnsi="Verdana"/>
          <w:sz w:val="18"/>
          <w:szCs w:val="18"/>
        </w:rPr>
        <w:t>Checking the condition of the paint.</w:t>
      </w:r>
    </w:p>
    <w:p w14:paraId="645E6E43" w14:textId="77777777" w:rsidR="008715BE" w:rsidRPr="00EC75B7" w:rsidRDefault="008715BE">
      <w:pPr>
        <w:pStyle w:val="BodyText"/>
        <w:spacing w:before="7"/>
        <w:rPr>
          <w:rFonts w:ascii="Verdana" w:hAnsi="Verdana"/>
        </w:rPr>
      </w:pPr>
    </w:p>
    <w:p w14:paraId="15B8E353" w14:textId="77777777" w:rsidR="008715BE" w:rsidRPr="00EC75B7" w:rsidRDefault="00000000" w:rsidP="000E490E">
      <w:pPr>
        <w:pStyle w:val="BodyText"/>
        <w:spacing w:before="121" w:line="357" w:lineRule="auto"/>
        <w:ind w:left="765" w:right="852"/>
        <w:jc w:val="both"/>
        <w:rPr>
          <w:rFonts w:ascii="Verdana" w:hAnsi="Verdana"/>
        </w:rPr>
      </w:pPr>
      <w:r w:rsidRPr="00EC75B7">
        <w:rPr>
          <w:rFonts w:ascii="Verdana" w:hAnsi="Verdana"/>
        </w:rPr>
        <w:t>Repair activities will include on-site repairs of components and equipment that do not require special intervention.</w:t>
      </w:r>
    </w:p>
    <w:p w14:paraId="11707325" w14:textId="1212EC65" w:rsidR="008715BE" w:rsidRPr="00EC75B7" w:rsidRDefault="00000000" w:rsidP="000E490E">
      <w:pPr>
        <w:pStyle w:val="BodyText"/>
        <w:spacing w:before="121" w:line="357" w:lineRule="auto"/>
        <w:ind w:left="765" w:right="852"/>
        <w:jc w:val="both"/>
        <w:rPr>
          <w:rFonts w:ascii="Verdana" w:hAnsi="Verdana"/>
        </w:rPr>
      </w:pPr>
      <w:r w:rsidRPr="00EC75B7">
        <w:rPr>
          <w:rFonts w:ascii="Verdana" w:hAnsi="Verdana"/>
        </w:rPr>
        <w:t>During the lifetime of wind turbines, it may be necessary to replace certain equipment or components, ranging in size from small to very large, thus requiring the use of heavy-duty vehicles (for example: replacing a defective blade will require both oversized transport to remove the defective blade from the site and bring in the new blade, as well as the transport and use of heavy-duty cranes on site to dismantle and install the blades).</w:t>
      </w:r>
    </w:p>
    <w:p w14:paraId="21FE0612" w14:textId="77777777" w:rsidR="008715BE" w:rsidRPr="00EC75B7" w:rsidRDefault="008715BE">
      <w:pPr>
        <w:pStyle w:val="BodyText"/>
        <w:rPr>
          <w:rFonts w:ascii="Verdana" w:hAnsi="Verdana"/>
        </w:rPr>
      </w:pPr>
    </w:p>
    <w:p w14:paraId="293B99C9" w14:textId="77777777" w:rsidR="008715BE" w:rsidRPr="00EC75B7" w:rsidRDefault="008715BE">
      <w:pPr>
        <w:pStyle w:val="BodyText"/>
        <w:spacing w:before="44"/>
        <w:rPr>
          <w:rFonts w:ascii="Verdana" w:hAnsi="Verdana"/>
        </w:rPr>
      </w:pPr>
    </w:p>
    <w:p w14:paraId="6E87852A" w14:textId="77777777" w:rsidR="008715BE" w:rsidRPr="00EC75B7" w:rsidRDefault="00000000">
      <w:pPr>
        <w:pStyle w:val="Heading3"/>
        <w:numPr>
          <w:ilvl w:val="2"/>
          <w:numId w:val="106"/>
        </w:numPr>
        <w:tabs>
          <w:tab w:val="left" w:pos="2750"/>
        </w:tabs>
        <w:ind w:hanging="991"/>
        <w:rPr>
          <w:rFonts w:ascii="Verdana" w:hAnsi="Verdana"/>
          <w:sz w:val="18"/>
          <w:szCs w:val="18"/>
        </w:rPr>
      </w:pPr>
      <w:bookmarkStart w:id="21" w:name="_bookmark21"/>
      <w:bookmarkEnd w:id="21"/>
      <w:r w:rsidRPr="00EC75B7">
        <w:rPr>
          <w:rFonts w:ascii="Verdana" w:hAnsi="Verdana"/>
          <w:color w:val="00AFEF"/>
          <w:sz w:val="18"/>
          <w:szCs w:val="18"/>
        </w:rPr>
        <w:t xml:space="preserve">Profile and </w:t>
      </w:r>
      <w:r w:rsidRPr="00EC75B7">
        <w:rPr>
          <w:rFonts w:ascii="Verdana" w:hAnsi="Verdana"/>
          <w:color w:val="00AFEF"/>
          <w:spacing w:val="-2"/>
          <w:sz w:val="18"/>
          <w:szCs w:val="18"/>
        </w:rPr>
        <w:t xml:space="preserve">production </w:t>
      </w:r>
      <w:r w:rsidRPr="00EC75B7">
        <w:rPr>
          <w:rFonts w:ascii="Verdana" w:hAnsi="Verdana"/>
          <w:color w:val="00AFEF"/>
          <w:sz w:val="18"/>
          <w:szCs w:val="18"/>
        </w:rPr>
        <w:t>capacity</w:t>
      </w:r>
    </w:p>
    <w:p w14:paraId="600C9198" w14:textId="77777777" w:rsidR="008715BE" w:rsidRPr="00EC75B7" w:rsidRDefault="008715BE">
      <w:pPr>
        <w:pStyle w:val="BodyText"/>
        <w:spacing w:before="114"/>
        <w:rPr>
          <w:rFonts w:ascii="Verdana" w:hAnsi="Verdana"/>
          <w:b/>
        </w:rPr>
      </w:pPr>
    </w:p>
    <w:p w14:paraId="5D3A5F71" w14:textId="77777777" w:rsidR="008715BE" w:rsidRPr="00EC75B7" w:rsidRDefault="00000000" w:rsidP="000E490E">
      <w:pPr>
        <w:pStyle w:val="BodyText"/>
        <w:spacing w:before="121" w:line="357" w:lineRule="auto"/>
        <w:ind w:left="765" w:right="852"/>
        <w:jc w:val="both"/>
        <w:rPr>
          <w:rFonts w:ascii="Verdana" w:hAnsi="Verdana"/>
        </w:rPr>
      </w:pPr>
      <w:r w:rsidRPr="00EC75B7">
        <w:rPr>
          <w:rFonts w:ascii="Verdana" w:hAnsi="Verdana"/>
        </w:rPr>
        <w:t>The production capacity of a wind farm depends on wind conditions (especially wind speed at hub height). According to Razdan, P., &amp; Garrett, P. (2019), for a wind turbine, at low wind speeds of 7 m/s, annual production can reach 14,892 MWh/year.</w:t>
      </w:r>
    </w:p>
    <w:p w14:paraId="236C491F" w14:textId="77777777" w:rsidR="008715BE" w:rsidRPr="00EC75B7" w:rsidRDefault="00000000" w:rsidP="000E490E">
      <w:pPr>
        <w:pStyle w:val="BodyText"/>
        <w:spacing w:before="121" w:line="357" w:lineRule="auto"/>
        <w:ind w:left="765" w:right="852"/>
        <w:jc w:val="both"/>
        <w:rPr>
          <w:rFonts w:ascii="Verdana" w:hAnsi="Verdana"/>
        </w:rPr>
      </w:pPr>
      <w:r w:rsidRPr="00EC75B7">
        <w:rPr>
          <w:rFonts w:ascii="Verdana" w:hAnsi="Verdana"/>
        </w:rPr>
        <w:t xml:space="preserve">For a wind farm consisting of 46 turbines with a unit installed capacity ranging from 6.2 to 7 MW, the estimated annual production (AEP) can be expressed based on the reference values in the Siemens Gamesa environmental documentation (SG 6.6-155 platform), which indicates a cumulative net production of 7,965,427.252 MWh for 15 turbines over a period of 20 years (average wind conditions, IEC II). This results in an average production of approximately 26,551 MWh/turbine/year, or a total estimated annual production </w:t>
      </w:r>
      <w:r w:rsidRPr="00EC75B7">
        <w:rPr>
          <w:rFonts w:ascii="Verdana" w:hAnsi="Verdana"/>
        </w:rPr>
        <w:lastRenderedPageBreak/>
        <w:t>for 46 turbines of approximately 1,221,366 MWh/year (≈ 1,221 GWh/year).</w:t>
      </w:r>
    </w:p>
    <w:p w14:paraId="0C3DE04A"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9" w:gutter="0"/>
          <w:cols w:space="708"/>
        </w:sectPr>
      </w:pPr>
    </w:p>
    <w:p w14:paraId="3CD228EF" w14:textId="77777777" w:rsidR="008715BE" w:rsidRPr="00EC75B7" w:rsidRDefault="00000000">
      <w:pPr>
        <w:pStyle w:val="Heading2"/>
        <w:numPr>
          <w:ilvl w:val="1"/>
          <w:numId w:val="110"/>
        </w:numPr>
        <w:tabs>
          <w:tab w:val="left" w:pos="1539"/>
        </w:tabs>
        <w:spacing w:before="127"/>
        <w:ind w:left="1539" w:hanging="716"/>
        <w:jc w:val="left"/>
        <w:rPr>
          <w:rFonts w:ascii="Verdana" w:hAnsi="Verdana"/>
          <w:color w:val="00AFEF"/>
          <w:sz w:val="18"/>
          <w:szCs w:val="18"/>
        </w:rPr>
      </w:pPr>
      <w:bookmarkStart w:id="22" w:name="_bookmark22"/>
      <w:bookmarkEnd w:id="22"/>
      <w:r w:rsidRPr="00EC75B7">
        <w:rPr>
          <w:rFonts w:ascii="Verdana" w:hAnsi="Verdana"/>
          <w:color w:val="00AFEF"/>
          <w:spacing w:val="-2"/>
          <w:sz w:val="18"/>
          <w:szCs w:val="18"/>
        </w:rPr>
        <w:lastRenderedPageBreak/>
        <w:t xml:space="preserve">Planning/land </w:t>
      </w:r>
      <w:r w:rsidRPr="00EC75B7">
        <w:rPr>
          <w:rFonts w:ascii="Verdana" w:hAnsi="Verdana"/>
          <w:color w:val="00AFEF"/>
          <w:sz w:val="18"/>
          <w:szCs w:val="18"/>
        </w:rPr>
        <w:t>use</w:t>
      </w:r>
    </w:p>
    <w:p w14:paraId="65793F8D" w14:textId="77777777" w:rsidR="008715BE" w:rsidRPr="00EC75B7" w:rsidRDefault="008715BE">
      <w:pPr>
        <w:pStyle w:val="BodyText"/>
        <w:spacing w:before="102"/>
        <w:rPr>
          <w:rFonts w:ascii="Verdana" w:hAnsi="Verdana"/>
          <w:b/>
        </w:rPr>
      </w:pPr>
    </w:p>
    <w:p w14:paraId="7787DF2F" w14:textId="77777777" w:rsidR="008715BE" w:rsidRPr="00EC75B7" w:rsidRDefault="00000000">
      <w:pPr>
        <w:pStyle w:val="BodyText"/>
        <w:spacing w:line="360" w:lineRule="auto"/>
        <w:ind w:left="765" w:right="817"/>
        <w:rPr>
          <w:rFonts w:ascii="Verdana" w:hAnsi="Verdana"/>
        </w:rPr>
      </w:pPr>
      <w:r w:rsidRPr="00EC75B7">
        <w:rPr>
          <w:rFonts w:ascii="Verdana" w:hAnsi="Verdana"/>
        </w:rPr>
        <w:t>The permits and authorizations required for the project according to Urban Planning Certificate No. 129 of November 28, 2022, with extended validity, issued by the Constanța County Council, are as follows:</w:t>
      </w:r>
    </w:p>
    <w:p w14:paraId="3289FB8C" w14:textId="77777777" w:rsidR="008715BE" w:rsidRPr="00EC75B7" w:rsidRDefault="00000000" w:rsidP="00F07C48">
      <w:pPr>
        <w:pStyle w:val="ListParagraph"/>
        <w:numPr>
          <w:ilvl w:val="0"/>
          <w:numId w:val="105"/>
        </w:numPr>
        <w:tabs>
          <w:tab w:val="left" w:pos="1485"/>
          <w:tab w:val="left" w:pos="10710"/>
        </w:tabs>
        <w:spacing w:before="116"/>
        <w:rPr>
          <w:rFonts w:ascii="Verdana" w:hAnsi="Verdana"/>
          <w:sz w:val="18"/>
          <w:szCs w:val="18"/>
        </w:rPr>
      </w:pPr>
      <w:r w:rsidRPr="00EC75B7">
        <w:rPr>
          <w:rFonts w:ascii="Verdana" w:hAnsi="Verdana"/>
          <w:sz w:val="18"/>
          <w:szCs w:val="18"/>
        </w:rPr>
        <w:t>Water supply – RAJA SA Constanța or the alternative system used in the absence of the public network;</w:t>
      </w:r>
    </w:p>
    <w:p w14:paraId="7283EBDE"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Electricity supply – E-Distribuție Dobrogea SA;</w:t>
      </w:r>
    </w:p>
    <w:p w14:paraId="49FCA4D3"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Telephony – Telekom România Comunication SA/ Orange România SA/ RCS&amp;RDS;</w:t>
      </w:r>
    </w:p>
    <w:p w14:paraId="7C4C122F" w14:textId="77777777" w:rsidR="008715BE" w:rsidRPr="00EC75B7" w:rsidRDefault="00000000">
      <w:pPr>
        <w:pStyle w:val="ListParagraph"/>
        <w:numPr>
          <w:ilvl w:val="0"/>
          <w:numId w:val="105"/>
        </w:numPr>
        <w:tabs>
          <w:tab w:val="left" w:pos="1485"/>
        </w:tabs>
        <w:spacing w:before="107"/>
        <w:rPr>
          <w:rFonts w:ascii="Verdana" w:hAnsi="Verdana"/>
          <w:sz w:val="18"/>
          <w:szCs w:val="18"/>
        </w:rPr>
      </w:pPr>
      <w:r w:rsidRPr="00EC75B7">
        <w:rPr>
          <w:rFonts w:ascii="Verdana" w:hAnsi="Verdana"/>
          <w:sz w:val="18"/>
          <w:szCs w:val="18"/>
        </w:rPr>
        <w:t>Sanitation – Operator for the collection of construction waste;</w:t>
      </w:r>
    </w:p>
    <w:p w14:paraId="0D62859F"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Constanța Land Registry and Real Estate Advertising Office;</w:t>
      </w:r>
    </w:p>
    <w:p w14:paraId="17ACD1A6"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Constanța County Directorate for Culture;</w:t>
      </w:r>
    </w:p>
    <w:p w14:paraId="5BF37936"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M.A.D.R. – Constanța County Directorate for Agriculture;</w:t>
      </w:r>
    </w:p>
    <w:p w14:paraId="267DF764" w14:textId="77777777" w:rsidR="008715BE" w:rsidRPr="00EC75B7" w:rsidRDefault="00000000">
      <w:pPr>
        <w:pStyle w:val="ListParagraph"/>
        <w:numPr>
          <w:ilvl w:val="0"/>
          <w:numId w:val="105"/>
        </w:numPr>
        <w:tabs>
          <w:tab w:val="left" w:pos="1485"/>
        </w:tabs>
        <w:spacing w:before="107"/>
        <w:rPr>
          <w:rFonts w:ascii="Verdana" w:hAnsi="Verdana"/>
          <w:sz w:val="18"/>
          <w:szCs w:val="18"/>
        </w:rPr>
      </w:pPr>
      <w:r w:rsidRPr="00EC75B7">
        <w:rPr>
          <w:rFonts w:ascii="Verdana" w:hAnsi="Verdana"/>
          <w:sz w:val="18"/>
          <w:szCs w:val="18"/>
        </w:rPr>
        <w:t>A.N.I.F. – Constanța Territorial Branch of I.F.;</w:t>
      </w:r>
    </w:p>
    <w:p w14:paraId="49888AF3"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M.A.I, S.R.I, M.A.P.N – Defense Major Village;</w:t>
      </w:r>
    </w:p>
    <w:p w14:paraId="16475B08"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Special Telecommunications Service;</w:t>
      </w:r>
    </w:p>
    <w:p w14:paraId="4A7BF1B6" w14:textId="77777777" w:rsidR="008715BE" w:rsidRPr="00EC75B7" w:rsidRDefault="00000000">
      <w:pPr>
        <w:pStyle w:val="ListParagraph"/>
        <w:numPr>
          <w:ilvl w:val="0"/>
          <w:numId w:val="105"/>
        </w:numPr>
        <w:tabs>
          <w:tab w:val="left" w:pos="1485"/>
        </w:tabs>
        <w:spacing w:before="107"/>
        <w:rPr>
          <w:rFonts w:ascii="Verdana" w:hAnsi="Verdana"/>
          <w:sz w:val="18"/>
          <w:szCs w:val="18"/>
        </w:rPr>
      </w:pPr>
      <w:r w:rsidRPr="00EC75B7">
        <w:rPr>
          <w:rFonts w:ascii="Verdana" w:hAnsi="Verdana"/>
          <w:sz w:val="18"/>
          <w:szCs w:val="18"/>
        </w:rPr>
        <w:t>Romanian Civil Aviation Authority;</w:t>
      </w:r>
    </w:p>
    <w:p w14:paraId="0FF4A89D"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R.A.J.D.P. Constanța</w:t>
      </w:r>
    </w:p>
    <w:p w14:paraId="37F54C2D"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S.N.T.G.N. Transgaz SA Mediaș – Constanța Regional Operations;</w:t>
      </w:r>
    </w:p>
    <w:p w14:paraId="58783C94"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C.N.T.E.E. Transelectrica SA – S.T. Constanța;</w:t>
      </w:r>
    </w:p>
    <w:p w14:paraId="17B8D8A1" w14:textId="77777777" w:rsidR="008715BE" w:rsidRPr="00EC75B7" w:rsidRDefault="00000000">
      <w:pPr>
        <w:pStyle w:val="ListParagraph"/>
        <w:numPr>
          <w:ilvl w:val="0"/>
          <w:numId w:val="105"/>
        </w:numPr>
        <w:tabs>
          <w:tab w:val="left" w:pos="1485"/>
        </w:tabs>
        <w:spacing w:before="107"/>
        <w:rPr>
          <w:rFonts w:ascii="Verdana" w:hAnsi="Verdana"/>
          <w:sz w:val="18"/>
          <w:szCs w:val="18"/>
        </w:rPr>
      </w:pPr>
      <w:r w:rsidRPr="00EC75B7">
        <w:rPr>
          <w:rFonts w:ascii="Verdana" w:hAnsi="Verdana"/>
          <w:sz w:val="18"/>
          <w:szCs w:val="18"/>
        </w:rPr>
        <w:t>Agricover Credit IFN SA – mortgage registration;</w:t>
      </w:r>
    </w:p>
    <w:p w14:paraId="295B4A51"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Agreement with private owners, natural persons/legal entities;</w:t>
      </w:r>
    </w:p>
    <w:p w14:paraId="2E3ED740"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Geotechnical study;</w:t>
      </w:r>
    </w:p>
    <w:p w14:paraId="3BD47337" w14:textId="77777777" w:rsidR="008715BE" w:rsidRPr="00EC75B7" w:rsidRDefault="00000000">
      <w:pPr>
        <w:pStyle w:val="ListParagraph"/>
        <w:numPr>
          <w:ilvl w:val="0"/>
          <w:numId w:val="105"/>
        </w:numPr>
        <w:tabs>
          <w:tab w:val="left" w:pos="1485"/>
        </w:tabs>
        <w:spacing w:before="109"/>
        <w:rPr>
          <w:rFonts w:ascii="Verdana" w:hAnsi="Verdana"/>
          <w:sz w:val="18"/>
          <w:szCs w:val="18"/>
        </w:rPr>
      </w:pPr>
      <w:r w:rsidRPr="00EC75B7">
        <w:rPr>
          <w:rFonts w:ascii="Verdana" w:hAnsi="Verdana"/>
          <w:sz w:val="18"/>
          <w:szCs w:val="18"/>
        </w:rPr>
        <w:t>Study of coexistence with other objectives and activities;</w:t>
      </w:r>
    </w:p>
    <w:p w14:paraId="6054CAF6" w14:textId="77777777" w:rsidR="008715BE" w:rsidRPr="00EC75B7" w:rsidRDefault="00000000">
      <w:pPr>
        <w:pStyle w:val="ListParagraph"/>
        <w:numPr>
          <w:ilvl w:val="0"/>
          <w:numId w:val="105"/>
        </w:numPr>
        <w:tabs>
          <w:tab w:val="left" w:pos="1485"/>
        </w:tabs>
        <w:spacing w:before="107" w:line="360" w:lineRule="auto"/>
        <w:ind w:right="860"/>
        <w:rPr>
          <w:rFonts w:ascii="Verdana" w:hAnsi="Verdana"/>
          <w:sz w:val="18"/>
          <w:szCs w:val="18"/>
        </w:rPr>
      </w:pPr>
      <w:r w:rsidRPr="00EC75B7">
        <w:rPr>
          <w:rFonts w:ascii="Verdana" w:hAnsi="Verdana"/>
          <w:sz w:val="18"/>
          <w:szCs w:val="18"/>
        </w:rPr>
        <w:t>Project verification reports for quality requirements in accordance with the provisions of Law No. 10/1995 (republished) on quality in construction;</w:t>
      </w:r>
    </w:p>
    <w:p w14:paraId="2FFB323C" w14:textId="77777777" w:rsidR="008715BE" w:rsidRPr="00EC75B7" w:rsidRDefault="00000000">
      <w:pPr>
        <w:pStyle w:val="ListParagraph"/>
        <w:numPr>
          <w:ilvl w:val="0"/>
          <w:numId w:val="105"/>
        </w:numPr>
        <w:tabs>
          <w:tab w:val="left" w:pos="1485"/>
        </w:tabs>
        <w:spacing w:line="357" w:lineRule="auto"/>
        <w:ind w:right="858"/>
        <w:rPr>
          <w:rFonts w:ascii="Verdana" w:hAnsi="Verdana"/>
          <w:sz w:val="18"/>
          <w:szCs w:val="18"/>
        </w:rPr>
      </w:pPr>
      <w:r w:rsidRPr="00EC75B7">
        <w:rPr>
          <w:rFonts w:ascii="Verdana" w:hAnsi="Verdana"/>
          <w:sz w:val="18"/>
          <w:szCs w:val="18"/>
        </w:rPr>
        <w:t>Site plan on topographic/cadastral support drawn up in the Stereographic 1970 projection system, approved by the cadastre and real estate advertising office, in .pdf and .dwg or .dxf format.</w:t>
      </w:r>
    </w:p>
    <w:p w14:paraId="52C2ECBB" w14:textId="77777777" w:rsidR="008715BE" w:rsidRPr="00EC75B7" w:rsidRDefault="00000000">
      <w:pPr>
        <w:pStyle w:val="ListParagraph"/>
        <w:numPr>
          <w:ilvl w:val="0"/>
          <w:numId w:val="105"/>
        </w:numPr>
        <w:tabs>
          <w:tab w:val="left" w:pos="1485"/>
        </w:tabs>
        <w:rPr>
          <w:rFonts w:ascii="Verdana" w:hAnsi="Verdana"/>
          <w:sz w:val="18"/>
          <w:szCs w:val="18"/>
        </w:rPr>
      </w:pPr>
      <w:r w:rsidRPr="00EC75B7">
        <w:rPr>
          <w:rFonts w:ascii="Verdana" w:hAnsi="Verdana"/>
          <w:sz w:val="18"/>
          <w:szCs w:val="18"/>
        </w:rPr>
        <w:t>Opinion/administrative act of the competent authority for environmental protection</w:t>
      </w:r>
    </w:p>
    <w:p w14:paraId="0205C55D" w14:textId="77777777" w:rsidR="008715BE" w:rsidRPr="00EC75B7" w:rsidRDefault="008715BE">
      <w:pPr>
        <w:pStyle w:val="BodyText"/>
        <w:rPr>
          <w:rFonts w:ascii="Verdana" w:hAnsi="Verdana"/>
        </w:rPr>
      </w:pPr>
    </w:p>
    <w:p w14:paraId="32713337" w14:textId="77777777" w:rsidR="008715BE" w:rsidRPr="00EC75B7" w:rsidRDefault="00000000">
      <w:pPr>
        <w:pStyle w:val="Heading2"/>
        <w:numPr>
          <w:ilvl w:val="1"/>
          <w:numId w:val="110"/>
        </w:numPr>
        <w:tabs>
          <w:tab w:val="left" w:pos="1539"/>
        </w:tabs>
        <w:ind w:left="1539" w:hanging="716"/>
        <w:jc w:val="left"/>
        <w:rPr>
          <w:rFonts w:ascii="Verdana" w:hAnsi="Verdana"/>
          <w:color w:val="00AFEF"/>
          <w:sz w:val="18"/>
          <w:szCs w:val="18"/>
        </w:rPr>
      </w:pPr>
      <w:bookmarkStart w:id="23" w:name="_bookmark23"/>
      <w:bookmarkEnd w:id="23"/>
      <w:r w:rsidRPr="00EC75B7">
        <w:rPr>
          <w:rFonts w:ascii="Verdana" w:hAnsi="Verdana"/>
          <w:color w:val="00AFEF"/>
          <w:sz w:val="18"/>
          <w:szCs w:val="18"/>
        </w:rPr>
        <w:t xml:space="preserve">Estimate of the type and quantities of emissions and </w:t>
      </w:r>
      <w:r w:rsidRPr="00EC75B7">
        <w:rPr>
          <w:rFonts w:ascii="Verdana" w:hAnsi="Verdana"/>
          <w:color w:val="00AFEF"/>
          <w:spacing w:val="-2"/>
          <w:sz w:val="18"/>
          <w:szCs w:val="18"/>
        </w:rPr>
        <w:t>waste</w:t>
      </w:r>
    </w:p>
    <w:p w14:paraId="3BC681D3" w14:textId="77777777" w:rsidR="008715BE" w:rsidRPr="00EC75B7" w:rsidRDefault="00000000">
      <w:pPr>
        <w:pStyle w:val="Heading3"/>
        <w:numPr>
          <w:ilvl w:val="2"/>
          <w:numId w:val="110"/>
        </w:numPr>
        <w:tabs>
          <w:tab w:val="left" w:pos="2745"/>
        </w:tabs>
        <w:spacing w:before="133"/>
        <w:ind w:left="2745" w:hanging="986"/>
        <w:rPr>
          <w:rFonts w:ascii="Verdana" w:hAnsi="Verdana"/>
          <w:sz w:val="18"/>
          <w:szCs w:val="18"/>
        </w:rPr>
      </w:pPr>
      <w:bookmarkStart w:id="24" w:name="_bookmark24"/>
      <w:bookmarkEnd w:id="24"/>
      <w:r w:rsidRPr="00EC75B7">
        <w:rPr>
          <w:rFonts w:ascii="Verdana" w:hAnsi="Verdana"/>
          <w:color w:val="00AFEF"/>
          <w:sz w:val="18"/>
          <w:szCs w:val="18"/>
        </w:rPr>
        <w:t xml:space="preserve">Emissions into surface waters and </w:t>
      </w:r>
      <w:r w:rsidRPr="00EC75B7">
        <w:rPr>
          <w:rFonts w:ascii="Verdana" w:hAnsi="Verdana"/>
          <w:color w:val="00AFEF"/>
          <w:spacing w:val="-2"/>
          <w:sz w:val="18"/>
          <w:szCs w:val="18"/>
        </w:rPr>
        <w:t>groundwater</w:t>
      </w:r>
    </w:p>
    <w:p w14:paraId="496F5903" w14:textId="77777777" w:rsidR="008715BE" w:rsidRPr="00EC75B7" w:rsidRDefault="008715BE">
      <w:pPr>
        <w:pStyle w:val="BodyText"/>
        <w:spacing w:before="114"/>
        <w:rPr>
          <w:rFonts w:ascii="Verdana" w:hAnsi="Verdana"/>
          <w:b/>
        </w:rPr>
      </w:pPr>
    </w:p>
    <w:p w14:paraId="4FB6AE5E" w14:textId="77777777" w:rsidR="008715BE" w:rsidRPr="00EC75B7" w:rsidRDefault="00000000">
      <w:pPr>
        <w:pStyle w:val="BodyText"/>
        <w:ind w:left="794"/>
        <w:jc w:val="both"/>
        <w:rPr>
          <w:rFonts w:ascii="Verdana" w:hAnsi="Verdana"/>
        </w:rPr>
      </w:pPr>
      <w:r w:rsidRPr="00EC75B7">
        <w:rPr>
          <w:rFonts w:ascii="Verdana" w:hAnsi="Verdana"/>
        </w:rPr>
        <w:t>During the execution period, the main sources of water pollution are:</w:t>
      </w:r>
    </w:p>
    <w:p w14:paraId="2E4C23AB" w14:textId="77777777" w:rsidR="008715BE" w:rsidRPr="00EC75B7" w:rsidRDefault="008715BE">
      <w:pPr>
        <w:pStyle w:val="BodyText"/>
        <w:spacing w:before="9"/>
        <w:rPr>
          <w:rFonts w:ascii="Verdana" w:hAnsi="Verdana"/>
        </w:rPr>
      </w:pPr>
    </w:p>
    <w:p w14:paraId="3A011097"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Soil handling works – generation of soil particles that can reach surface waters through runoff. In the case of large quantities of suspensions, these can accumulate in watercourses, causing changes in water turbidity with effects on aquatic flora and fauna;</w:t>
      </w:r>
    </w:p>
    <w:p w14:paraId="55E656E8"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Traffic to and from work sites or areas from which construction materials are brought (quarries, ballast stations, concrete stations, etc.);</w:t>
      </w:r>
    </w:p>
    <w:p w14:paraId="00A0EB43"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Accidental spills of chemicals, fuels, and oils from the operation of construction equipment or due to improper handling of transport vehicles;</w:t>
      </w:r>
    </w:p>
    <w:p w14:paraId="386E08CF"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Improper handling, commissioning, or storage of materials used in the execution of works (concrete, aggregates, etc.), which may end up in surface waters through rainwater runoff;</w:t>
      </w:r>
    </w:p>
    <w:p w14:paraId="7054D220"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Improper storage and management of waste resulting from construction works;</w:t>
      </w:r>
    </w:p>
    <w:p w14:paraId="010E14A2"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Inadequate storage and management of domestic wastewater resulting from sanitary facilities within the construction site organization, with management being ensured appropriately through authorized operators;</w:t>
      </w:r>
    </w:p>
    <w:p w14:paraId="143A39D6"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lastRenderedPageBreak/>
        <w:t>It should be noted that the construction site is not proposed to be located near any surface water bodies,</w:t>
      </w:r>
    </w:p>
    <w:p w14:paraId="18C975F3" w14:textId="77777777" w:rsidR="008715BE" w:rsidRPr="00EC75B7" w:rsidRDefault="00000000">
      <w:pPr>
        <w:pStyle w:val="ListParagraph"/>
        <w:numPr>
          <w:ilvl w:val="0"/>
          <w:numId w:val="105"/>
        </w:numPr>
        <w:tabs>
          <w:tab w:val="left" w:pos="1485"/>
        </w:tabs>
        <w:spacing w:line="357" w:lineRule="auto"/>
        <w:ind w:right="858"/>
        <w:jc w:val="both"/>
        <w:rPr>
          <w:rFonts w:ascii="Verdana" w:hAnsi="Verdana"/>
          <w:sz w:val="18"/>
          <w:szCs w:val="18"/>
        </w:rPr>
      </w:pPr>
      <w:r w:rsidRPr="00EC75B7">
        <w:rPr>
          <w:rFonts w:ascii="Verdana" w:hAnsi="Verdana"/>
          <w:sz w:val="18"/>
          <w:szCs w:val="18"/>
        </w:rPr>
        <w:t>thus greatly reducing the risk of contamination associated with the sources mentioned above.</w:t>
      </w:r>
    </w:p>
    <w:p w14:paraId="03BEBAE5" w14:textId="77777777" w:rsidR="008715BE" w:rsidRPr="00EC75B7" w:rsidRDefault="008715BE">
      <w:pPr>
        <w:pStyle w:val="BodyText"/>
        <w:spacing w:before="9"/>
        <w:rPr>
          <w:rFonts w:ascii="Verdana" w:hAnsi="Verdana"/>
        </w:rPr>
      </w:pPr>
    </w:p>
    <w:p w14:paraId="47148339" w14:textId="77777777" w:rsidR="008715BE" w:rsidRPr="00EC75B7" w:rsidRDefault="00000000" w:rsidP="00F17FED">
      <w:pPr>
        <w:tabs>
          <w:tab w:val="left" w:pos="1485"/>
        </w:tabs>
        <w:spacing w:line="357" w:lineRule="auto"/>
        <w:ind w:left="810" w:right="858"/>
        <w:jc w:val="both"/>
        <w:rPr>
          <w:rFonts w:ascii="Verdana" w:hAnsi="Verdana"/>
          <w:sz w:val="18"/>
          <w:szCs w:val="18"/>
        </w:rPr>
      </w:pPr>
      <w:r w:rsidRPr="00EC75B7">
        <w:rPr>
          <w:rFonts w:ascii="Verdana" w:hAnsi="Verdana"/>
          <w:sz w:val="18"/>
          <w:szCs w:val="18"/>
        </w:rPr>
        <w:t xml:space="preserve">During </w:t>
      </w:r>
      <w:r w:rsidRPr="000A0F43">
        <w:rPr>
          <w:rFonts w:ascii="Verdana" w:hAnsi="Verdana"/>
          <w:b/>
          <w:bCs/>
          <w:sz w:val="18"/>
          <w:szCs w:val="18"/>
        </w:rPr>
        <w:t>the project operation phase</w:t>
      </w:r>
      <w:r w:rsidRPr="00EC75B7">
        <w:rPr>
          <w:rFonts w:ascii="Verdana" w:hAnsi="Verdana"/>
          <w:sz w:val="18"/>
          <w:szCs w:val="18"/>
        </w:rPr>
        <w:t>, there will be no direct sources of emissions into water. The project does not propose the discharge of water into groundwater or surface water bodies. The only sources with the potential to contaminate water bodies are accidental in nature and may be caused by accidental spills of substances used in maintenance work on turbines or in the transformer station (mainly oils and other lubricants for the mechanical parts of the turbines).</w:t>
      </w:r>
    </w:p>
    <w:p w14:paraId="78FB015A" w14:textId="77777777" w:rsidR="008715BE" w:rsidRPr="00EC75B7" w:rsidRDefault="00000000" w:rsidP="00F17FED">
      <w:pPr>
        <w:tabs>
          <w:tab w:val="left" w:pos="1485"/>
        </w:tabs>
        <w:spacing w:line="357" w:lineRule="auto"/>
        <w:ind w:left="810" w:right="858"/>
        <w:jc w:val="both"/>
        <w:rPr>
          <w:rFonts w:ascii="Verdana" w:hAnsi="Verdana"/>
          <w:sz w:val="18"/>
          <w:szCs w:val="18"/>
        </w:rPr>
      </w:pPr>
      <w:r w:rsidRPr="00EC75B7">
        <w:rPr>
          <w:rFonts w:ascii="Verdana" w:hAnsi="Verdana"/>
          <w:sz w:val="18"/>
          <w:szCs w:val="18"/>
        </w:rPr>
        <w:t xml:space="preserve">During </w:t>
      </w:r>
      <w:r w:rsidRPr="00EC75B7">
        <w:rPr>
          <w:rFonts w:ascii="Verdana" w:hAnsi="Verdana"/>
          <w:b/>
          <w:bCs/>
          <w:sz w:val="18"/>
          <w:szCs w:val="18"/>
        </w:rPr>
        <w:t>the decommissioning phase</w:t>
      </w:r>
      <w:r w:rsidRPr="00EC75B7">
        <w:rPr>
          <w:rFonts w:ascii="Verdana" w:hAnsi="Verdana"/>
          <w:sz w:val="18"/>
          <w:szCs w:val="18"/>
        </w:rPr>
        <w:t>, the main sources are associated with the organization of the construction site and the storage areas for materials resulting from demolition. The main potential sources for groundwater may be associated with the temporary storage and inadequate management of waste resulting from demolition, in particular used oil collected from wind turbine generators.</w:t>
      </w:r>
    </w:p>
    <w:p w14:paraId="506FC18C" w14:textId="77777777" w:rsidR="008715BE" w:rsidRPr="00EC75B7" w:rsidRDefault="00000000" w:rsidP="00F17FED">
      <w:pPr>
        <w:tabs>
          <w:tab w:val="left" w:pos="1485"/>
        </w:tabs>
        <w:spacing w:line="357" w:lineRule="auto"/>
        <w:ind w:left="810" w:right="858"/>
        <w:jc w:val="both"/>
        <w:rPr>
          <w:rFonts w:ascii="Verdana" w:hAnsi="Verdana"/>
          <w:sz w:val="18"/>
          <w:szCs w:val="18"/>
        </w:rPr>
      </w:pPr>
      <w:r w:rsidRPr="00EC75B7">
        <w:rPr>
          <w:rFonts w:ascii="Verdana" w:hAnsi="Verdana"/>
          <w:sz w:val="18"/>
          <w:szCs w:val="18"/>
        </w:rPr>
        <w:t>The potential sources that may have negative effects on surface and groundwater during this stage are similar to those during the construction stage.</w:t>
      </w:r>
    </w:p>
    <w:p w14:paraId="6A60E868" w14:textId="77777777" w:rsidR="008715BE" w:rsidRPr="00EC75B7" w:rsidRDefault="008715BE">
      <w:pPr>
        <w:pStyle w:val="BodyText"/>
        <w:spacing w:before="21"/>
        <w:rPr>
          <w:rFonts w:ascii="Verdana" w:hAnsi="Verdana"/>
        </w:rPr>
      </w:pPr>
    </w:p>
    <w:p w14:paraId="22C0C1BD" w14:textId="77777777" w:rsidR="008715BE" w:rsidRPr="00EC75B7" w:rsidRDefault="00000000">
      <w:pPr>
        <w:pStyle w:val="Heading3"/>
        <w:numPr>
          <w:ilvl w:val="2"/>
          <w:numId w:val="110"/>
        </w:numPr>
        <w:tabs>
          <w:tab w:val="left" w:pos="2745"/>
        </w:tabs>
        <w:ind w:left="2745" w:hanging="986"/>
        <w:rPr>
          <w:rFonts w:ascii="Verdana" w:hAnsi="Verdana"/>
          <w:sz w:val="18"/>
          <w:szCs w:val="18"/>
        </w:rPr>
      </w:pPr>
      <w:bookmarkStart w:id="25" w:name="_bookmark25"/>
      <w:bookmarkEnd w:id="25"/>
      <w:r w:rsidRPr="00EC75B7">
        <w:rPr>
          <w:rFonts w:ascii="Verdana" w:hAnsi="Verdana"/>
          <w:color w:val="00AFEF"/>
          <w:spacing w:val="-2"/>
          <w:sz w:val="18"/>
          <w:szCs w:val="18"/>
        </w:rPr>
        <w:t xml:space="preserve">Atmospheric </w:t>
      </w:r>
      <w:r w:rsidRPr="00EC75B7">
        <w:rPr>
          <w:rFonts w:ascii="Verdana" w:hAnsi="Verdana"/>
          <w:color w:val="00AFEF"/>
          <w:sz w:val="18"/>
          <w:szCs w:val="18"/>
        </w:rPr>
        <w:t>emissions</w:t>
      </w:r>
    </w:p>
    <w:p w14:paraId="57D52EF9" w14:textId="77777777" w:rsidR="008715BE" w:rsidRPr="00EC75B7" w:rsidRDefault="008715BE">
      <w:pPr>
        <w:pStyle w:val="BodyText"/>
        <w:spacing w:before="115"/>
        <w:rPr>
          <w:rFonts w:ascii="Verdana" w:hAnsi="Verdana"/>
          <w:b/>
        </w:rPr>
      </w:pPr>
    </w:p>
    <w:p w14:paraId="33BCC352" w14:textId="51C39394" w:rsidR="008715BE" w:rsidRPr="000A0F43" w:rsidRDefault="00000000" w:rsidP="000A0F43">
      <w:pPr>
        <w:tabs>
          <w:tab w:val="left" w:pos="1485"/>
        </w:tabs>
        <w:spacing w:line="357" w:lineRule="auto"/>
        <w:ind w:left="810" w:right="858"/>
        <w:jc w:val="both"/>
        <w:rPr>
          <w:rFonts w:ascii="Verdana" w:hAnsi="Verdana"/>
          <w:sz w:val="18"/>
          <w:szCs w:val="18"/>
        </w:rPr>
      </w:pPr>
      <w:r w:rsidRPr="00EC75B7">
        <w:rPr>
          <w:rFonts w:ascii="Verdana" w:hAnsi="Verdana"/>
          <w:sz w:val="18"/>
          <w:szCs w:val="18"/>
        </w:rPr>
        <w:t xml:space="preserve">During </w:t>
      </w:r>
      <w:r w:rsidRPr="00EC75B7">
        <w:rPr>
          <w:rFonts w:ascii="Verdana" w:hAnsi="Verdana"/>
          <w:b/>
          <w:bCs/>
          <w:sz w:val="18"/>
          <w:szCs w:val="18"/>
        </w:rPr>
        <w:t xml:space="preserve">the execution </w:t>
      </w:r>
      <w:r w:rsidRPr="00EC75B7">
        <w:rPr>
          <w:rFonts w:ascii="Verdana" w:hAnsi="Verdana"/>
          <w:sz w:val="18"/>
          <w:szCs w:val="18"/>
        </w:rPr>
        <w:t>of the works necessary for the completion of the project, the main sources of atmospheric emissions</w:t>
      </w:r>
      <w:r w:rsidR="00F17FED" w:rsidRPr="00EC75B7">
        <w:rPr>
          <w:rFonts w:ascii="Verdana" w:hAnsi="Verdana"/>
          <w:sz w:val="18"/>
          <w:szCs w:val="18"/>
        </w:rPr>
        <w:t xml:space="preserve"> </w:t>
      </w:r>
      <w:r w:rsidRPr="00EC75B7">
        <w:rPr>
          <w:rFonts w:ascii="Verdana" w:hAnsi="Verdana"/>
          <w:sz w:val="18"/>
          <w:szCs w:val="18"/>
        </w:rPr>
        <w:t>will be:</w:t>
      </w:r>
    </w:p>
    <w:p w14:paraId="54709620" w14:textId="7E70B6B5" w:rsidR="008715BE" w:rsidRPr="000A0F43" w:rsidRDefault="00000000" w:rsidP="000A0F43">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Earthmoving activities (topsoil removal, excavation, levelling, loading, unloading, transport) and construction materials (crushed stone for access roads) – stationary uncontrolled sources. Pollutants: suspended particulates and sedimentable particulates;</w:t>
      </w:r>
    </w:p>
    <w:p w14:paraId="7E3C397D"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Temporary storage of powdery materials (sand, soil) that can be carried by the wind – stationary, uncontrolled sources. Pollutants: suspended dust and sedimentable dust;</w:t>
      </w:r>
    </w:p>
    <w:p w14:paraId="677677E1"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Wind erosion on disturbed or vegetation-free land surfaces – stationary uncontrolled sources. Pollutants: suspended dust and sedimentable dust;</w:t>
      </w:r>
    </w:p>
    <w:p w14:paraId="46E1DC2A"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Generators for power supply in construction sites and</w:t>
      </w:r>
    </w:p>
    <w:p w14:paraId="61C80089"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work fronts – stationary directed sources. Pollutants: NO2, SO2, CO, dust;</w:t>
      </w:r>
    </w:p>
    <w:p w14:paraId="50C97A56"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Mobile emission sources (vehicles and machinery involved in land development and the transport of materials and equipment during construction works) – stationary controlled sources. Pollutants: NOx, SOx, CO, suspended particulates, heavy metal particles;</w:t>
      </w:r>
    </w:p>
    <w:p w14:paraId="772ADC46" w14:textId="1E58DA83" w:rsidR="008715BE" w:rsidRPr="000A0F43" w:rsidRDefault="00000000" w:rsidP="000A0F43">
      <w:pPr>
        <w:pStyle w:val="ListParagraph"/>
        <w:numPr>
          <w:ilvl w:val="0"/>
          <w:numId w:val="132"/>
        </w:numPr>
        <w:tabs>
          <w:tab w:val="left" w:pos="1484"/>
        </w:tabs>
        <w:spacing w:line="357" w:lineRule="auto"/>
        <w:ind w:left="810" w:right="858" w:firstLine="0"/>
        <w:jc w:val="both"/>
        <w:rPr>
          <w:rFonts w:ascii="Verdana" w:hAnsi="Verdana"/>
          <w:sz w:val="18"/>
          <w:szCs w:val="18"/>
        </w:rPr>
      </w:pPr>
      <w:r w:rsidRPr="00EC75B7">
        <w:rPr>
          <w:rFonts w:ascii="Verdana" w:hAnsi="Verdana"/>
          <w:sz w:val="18"/>
          <w:szCs w:val="18"/>
        </w:rPr>
        <w:t>Activities involving the handling and installation of wind turbine components – stationary uncontrolled sources.</w:t>
      </w:r>
    </w:p>
    <w:p w14:paraId="4251668F" w14:textId="7777777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Stationary sources of atmospheric pollution will occur during the execution of the works proposed for the achievement of the objective and will be represented by earthmoving activities (excavation, soil stripping, loading –unloading, transport), and the handling and installation of wind turbine components. The dust generated by the handling of materials and wind erosion is mainly of natural origin (soil particles, mineral dust).</w:t>
      </w:r>
    </w:p>
    <w:p w14:paraId="5359E14B" w14:textId="39CD34A7" w:rsidR="008715BE" w:rsidRPr="00EC75B7" w:rsidRDefault="00000000">
      <w:pPr>
        <w:pStyle w:val="ListParagraph"/>
        <w:numPr>
          <w:ilvl w:val="0"/>
          <w:numId w:val="132"/>
        </w:numPr>
        <w:tabs>
          <w:tab w:val="left" w:pos="1485"/>
        </w:tabs>
        <w:spacing w:line="357" w:lineRule="auto"/>
        <w:ind w:left="810" w:right="858" w:firstLine="0"/>
        <w:jc w:val="both"/>
        <w:rPr>
          <w:rFonts w:ascii="Verdana" w:hAnsi="Verdana"/>
          <w:sz w:val="18"/>
          <w:szCs w:val="18"/>
        </w:rPr>
      </w:pPr>
      <w:r w:rsidRPr="00EC75B7">
        <w:rPr>
          <w:rFonts w:ascii="Verdana" w:hAnsi="Verdana"/>
          <w:sz w:val="18"/>
          <w:szCs w:val="18"/>
        </w:rPr>
        <w:t>The estimation of pollutant emissions generated by construction activities was carried out according to the</w:t>
      </w:r>
      <w:r w:rsidR="00F17FED" w:rsidRPr="00EC75B7">
        <w:rPr>
          <w:rFonts w:ascii="Verdana" w:hAnsi="Verdana"/>
          <w:sz w:val="18"/>
          <w:szCs w:val="18"/>
        </w:rPr>
        <w:t xml:space="preserve"> </w:t>
      </w:r>
      <w:r w:rsidRPr="00EC75B7">
        <w:rPr>
          <w:rFonts w:ascii="Verdana" w:hAnsi="Verdana"/>
          <w:sz w:val="18"/>
          <w:szCs w:val="18"/>
        </w:rPr>
        <w:t>EMEP/EEA 2023 –2.A.5.b Non-residential construction methodology, using the following equation:</w:t>
      </w:r>
    </w:p>
    <w:p w14:paraId="3A24D73C" w14:textId="77777777" w:rsidR="008715BE" w:rsidRPr="00EC75B7" w:rsidRDefault="008715BE" w:rsidP="00F17FED">
      <w:pPr>
        <w:pStyle w:val="BodyText"/>
        <w:spacing w:before="5"/>
        <w:jc w:val="both"/>
        <w:rPr>
          <w:rFonts w:ascii="Verdana" w:hAnsi="Verdana"/>
        </w:rPr>
      </w:pPr>
    </w:p>
    <w:p w14:paraId="3261DC3C" w14:textId="77777777" w:rsidR="008715BE" w:rsidRPr="00EC75B7" w:rsidRDefault="008715BE">
      <w:pPr>
        <w:pStyle w:val="BodyText"/>
        <w:rPr>
          <w:rFonts w:ascii="Verdana" w:hAnsi="Verdana"/>
        </w:rPr>
        <w:sectPr w:rsidR="008715BE" w:rsidRPr="00EC75B7">
          <w:headerReference w:type="default" r:id="rId32"/>
          <w:footerReference w:type="default" r:id="rId33"/>
          <w:pgSz w:w="11910" w:h="16840"/>
          <w:pgMar w:top="1160" w:right="141" w:bottom="1020" w:left="425" w:header="766" w:footer="797" w:gutter="0"/>
          <w:cols w:space="708"/>
        </w:sectPr>
      </w:pPr>
    </w:p>
    <w:p w14:paraId="6F4AAF8D" w14:textId="77777777" w:rsidR="008715BE" w:rsidRPr="00EC75B7" w:rsidRDefault="00000000">
      <w:pPr>
        <w:spacing w:before="114" w:line="128" w:lineRule="exact"/>
        <w:jc w:val="right"/>
        <w:rPr>
          <w:rFonts w:ascii="Verdana" w:eastAsia="Noto Sans Math" w:hAnsi="Verdana"/>
          <w:sz w:val="18"/>
          <w:szCs w:val="18"/>
        </w:rPr>
      </w:pPr>
      <w:r w:rsidRPr="00EC75B7">
        <w:rPr>
          <w:rFonts w:ascii="Cambria Math" w:eastAsia="Noto Sans Math" w:hAnsi="Cambria Math" w:cs="Cambria Math"/>
          <w:spacing w:val="-5"/>
          <w:sz w:val="18"/>
          <w:szCs w:val="18"/>
        </w:rPr>
        <w:t>𝐸𝑀</w:t>
      </w:r>
    </w:p>
    <w:p w14:paraId="1F3DB88C" w14:textId="77777777" w:rsidR="008715BE" w:rsidRPr="00EC75B7" w:rsidRDefault="00000000">
      <w:pPr>
        <w:spacing w:before="114" w:line="128" w:lineRule="exact"/>
        <w:ind w:left="357"/>
        <w:rPr>
          <w:rFonts w:ascii="Verdana" w:eastAsia="Noto Sans Math" w:hAnsi="Verdana"/>
          <w:sz w:val="18"/>
          <w:szCs w:val="18"/>
        </w:rPr>
      </w:pPr>
      <w:r w:rsidRPr="00EC75B7">
        <w:rPr>
          <w:rFonts w:ascii="Verdana" w:hAnsi="Verdana"/>
          <w:sz w:val="18"/>
          <w:szCs w:val="18"/>
        </w:rPr>
        <w:br w:type="column"/>
      </w:r>
      <w:r w:rsidRPr="00EC75B7">
        <w:rPr>
          <w:rFonts w:ascii="Verdana" w:eastAsia="Noto Sans Math" w:hAnsi="Verdana"/>
          <w:sz w:val="18"/>
          <w:szCs w:val="18"/>
        </w:rPr>
        <w:t>=</w:t>
      </w:r>
      <w:r w:rsidRPr="00EC75B7">
        <w:rPr>
          <w:rFonts w:ascii="Verdana" w:eastAsia="Noto Sans Math" w:hAnsi="Verdana"/>
          <w:spacing w:val="11"/>
          <w:sz w:val="18"/>
          <w:szCs w:val="18"/>
        </w:rPr>
        <w:t xml:space="preserve"> </w:t>
      </w:r>
      <w:r w:rsidRPr="00EC75B7">
        <w:rPr>
          <w:rFonts w:ascii="Cambria Math" w:eastAsia="Noto Sans Math" w:hAnsi="Cambria Math" w:cs="Cambria Math"/>
          <w:spacing w:val="-12"/>
          <w:sz w:val="18"/>
          <w:szCs w:val="18"/>
        </w:rPr>
        <w:t>𝐸𝐹</w:t>
      </w:r>
    </w:p>
    <w:p w14:paraId="1DDDA44F" w14:textId="77777777" w:rsidR="008715BE" w:rsidRPr="00EC75B7" w:rsidRDefault="00000000">
      <w:pPr>
        <w:spacing w:before="114" w:line="128" w:lineRule="exact"/>
        <w:ind w:left="337"/>
        <w:rPr>
          <w:rFonts w:ascii="Verdana" w:eastAsia="Noto Sans Math" w:hAnsi="Verdana"/>
          <w:sz w:val="18"/>
          <w:szCs w:val="18"/>
        </w:rPr>
      </w:pPr>
      <w:r w:rsidRPr="00EC75B7">
        <w:rPr>
          <w:rFonts w:ascii="Verdana" w:hAnsi="Verdana"/>
          <w:sz w:val="18"/>
          <w:szCs w:val="18"/>
        </w:rPr>
        <w:br w:type="column"/>
      </w:r>
      <w:r w:rsidRPr="00EC75B7">
        <w:rPr>
          <w:rFonts w:ascii="Verdana" w:eastAsia="Noto Sans Math" w:hAnsi="Verdana"/>
          <w:sz w:val="18"/>
          <w:szCs w:val="18"/>
        </w:rPr>
        <w:t>×</w:t>
      </w:r>
      <w:r w:rsidRPr="00EC75B7">
        <w:rPr>
          <w:rFonts w:ascii="Verdana" w:eastAsia="Noto Sans Math" w:hAnsi="Verdana"/>
          <w:spacing w:val="1"/>
          <w:sz w:val="18"/>
          <w:szCs w:val="18"/>
        </w:rPr>
        <w:t xml:space="preserve"> </w:t>
      </w:r>
      <w:r w:rsidRPr="00EC75B7">
        <w:rPr>
          <w:rFonts w:ascii="Cambria Math" w:eastAsia="Noto Sans Math" w:hAnsi="Cambria Math" w:cs="Cambria Math"/>
          <w:spacing w:val="-25"/>
          <w:sz w:val="18"/>
          <w:szCs w:val="18"/>
        </w:rPr>
        <w:t>𝐴</w:t>
      </w:r>
    </w:p>
    <w:p w14:paraId="5AF52F2F" w14:textId="77777777" w:rsidR="008715BE" w:rsidRPr="00EC75B7" w:rsidRDefault="00000000">
      <w:pPr>
        <w:pStyle w:val="BodyText"/>
        <w:spacing w:before="58" w:line="184" w:lineRule="exact"/>
        <w:ind w:left="594"/>
        <w:rPr>
          <w:rFonts w:ascii="Verdana" w:hAnsi="Verdana"/>
        </w:rPr>
      </w:pPr>
      <w:r w:rsidRPr="00EC75B7">
        <w:rPr>
          <w:rFonts w:ascii="Verdana" w:hAnsi="Verdana"/>
        </w:rPr>
        <w:br w:type="column"/>
      </w:r>
      <w:r w:rsidRPr="00EC75B7">
        <w:rPr>
          <w:rFonts w:ascii="Verdana" w:eastAsia="Noto Sans Math" w:hAnsi="Verdana"/>
        </w:rPr>
        <w:t>×</w:t>
      </w:r>
      <w:r w:rsidRPr="00EC75B7">
        <w:rPr>
          <w:rFonts w:ascii="Cambria Math" w:eastAsia="Noto Sans Math" w:hAnsi="Cambria Math" w:cs="Cambria Math"/>
        </w:rPr>
        <w:t>𝑑</w:t>
      </w:r>
      <w:r w:rsidRPr="00EC75B7">
        <w:rPr>
          <w:rFonts w:ascii="Verdana" w:eastAsia="Noto Sans Math" w:hAnsi="Verdana"/>
          <w:spacing w:val="-11"/>
        </w:rPr>
        <w:t xml:space="preserve"> </w:t>
      </w:r>
      <w:r w:rsidRPr="00EC75B7">
        <w:rPr>
          <w:rFonts w:ascii="Verdana" w:eastAsia="Noto Sans Math" w:hAnsi="Verdana"/>
        </w:rPr>
        <w:t xml:space="preserve">× </w:t>
      </w:r>
      <w:r w:rsidRPr="00EC75B7">
        <w:rPr>
          <w:rFonts w:ascii="Verdana" w:eastAsia="Noto Sans Math" w:hAnsi="Verdana"/>
          <w:position w:val="1"/>
        </w:rPr>
        <w:t>(</w:t>
      </w:r>
      <w:r w:rsidRPr="00EC75B7">
        <w:rPr>
          <w:rFonts w:ascii="Verdana" w:eastAsia="Noto Sans Math" w:hAnsi="Verdana"/>
        </w:rPr>
        <w:t>1 −</w:t>
      </w:r>
      <w:r w:rsidRPr="00EC75B7">
        <w:rPr>
          <w:rFonts w:ascii="Cambria Math" w:eastAsia="Noto Sans Math" w:hAnsi="Cambria Math" w:cs="Cambria Math"/>
        </w:rPr>
        <w:t>𝐶𝐸</w:t>
      </w:r>
      <w:r w:rsidRPr="00EC75B7">
        <w:rPr>
          <w:rFonts w:ascii="Verdana" w:eastAsia="Noto Sans Math" w:hAnsi="Verdana"/>
          <w:position w:val="1"/>
        </w:rPr>
        <w:t xml:space="preserve"> ) </w:t>
      </w:r>
      <w:r w:rsidRPr="00EC75B7">
        <w:rPr>
          <w:rFonts w:ascii="Verdana" w:eastAsia="Noto Sans Math" w:hAnsi="Verdana"/>
        </w:rPr>
        <w:t>× (</w:t>
      </w:r>
      <w:r w:rsidRPr="00EC75B7">
        <w:rPr>
          <w:rFonts w:ascii="Verdana" w:eastAsia="Noto Sans Math" w:hAnsi="Verdana"/>
          <w:position w:val="11"/>
        </w:rPr>
        <w:t>24</w:t>
      </w:r>
      <w:r w:rsidRPr="00EC75B7">
        <w:rPr>
          <w:rFonts w:ascii="Verdana" w:eastAsia="Noto Sans Math" w:hAnsi="Verdana"/>
        </w:rPr>
        <w:t xml:space="preserve">  ) × (</w:t>
      </w:r>
      <w:r w:rsidRPr="00EC75B7">
        <w:rPr>
          <w:rFonts w:ascii="Cambria Math" w:eastAsia="Noto Sans Math" w:hAnsi="Cambria Math" w:cs="Cambria Math"/>
          <w:position w:val="11"/>
        </w:rPr>
        <w:t>𝑆</w:t>
      </w:r>
      <w:r w:rsidRPr="00EC75B7">
        <w:rPr>
          <w:rFonts w:ascii="Verdana" w:eastAsia="Noto Sans Math" w:hAnsi="Verdana"/>
          <w:spacing w:val="18"/>
          <w:position w:val="11"/>
        </w:rPr>
        <w:t xml:space="preserve"> </w:t>
      </w:r>
      <w:r w:rsidRPr="00EC75B7">
        <w:rPr>
          <w:rFonts w:ascii="Verdana" w:eastAsia="Noto Sans Math" w:hAnsi="Verdana"/>
        </w:rPr>
        <w:t xml:space="preserve">) </w:t>
      </w:r>
      <w:r w:rsidRPr="00EC75B7">
        <w:rPr>
          <w:rFonts w:ascii="Verdana" w:hAnsi="Verdana"/>
          <w:spacing w:val="-4"/>
        </w:rPr>
        <w:t>where:</w:t>
      </w:r>
    </w:p>
    <w:p w14:paraId="0B1FF8AB" w14:textId="77777777" w:rsidR="008715BE" w:rsidRPr="00EC75B7" w:rsidRDefault="008715BE">
      <w:pPr>
        <w:pStyle w:val="BodyText"/>
        <w:spacing w:line="184" w:lineRule="exact"/>
        <w:rPr>
          <w:rFonts w:ascii="Verdana" w:hAnsi="Verdana"/>
        </w:rPr>
        <w:sectPr w:rsidR="008715BE" w:rsidRPr="00EC75B7">
          <w:type w:val="continuous"/>
          <w:pgSz w:w="11910" w:h="16840"/>
          <w:pgMar w:top="1280" w:right="141" w:bottom="280" w:left="425" w:header="766" w:footer="797" w:gutter="0"/>
          <w:cols w:num="4" w:space="708" w:equalWidth="0">
            <w:col w:w="3243" w:space="40"/>
            <w:col w:w="772" w:space="39"/>
            <w:col w:w="620" w:space="39"/>
            <w:col w:w="6591" w:space="0"/>
          </w:cols>
        </w:sectPr>
      </w:pPr>
    </w:p>
    <w:p w14:paraId="64935C62" w14:textId="77777777" w:rsidR="008715BE" w:rsidRPr="00EC75B7" w:rsidRDefault="00000000">
      <w:pPr>
        <w:spacing w:line="156" w:lineRule="exact"/>
        <w:jc w:val="right"/>
        <w:rPr>
          <w:rFonts w:ascii="Verdana" w:eastAsia="Noto Sans Math" w:hAnsi="Verdana"/>
          <w:sz w:val="18"/>
          <w:szCs w:val="18"/>
        </w:rPr>
      </w:pPr>
      <w:r w:rsidRPr="00EC75B7">
        <w:rPr>
          <w:rFonts w:ascii="Cambria Math" w:eastAsia="Noto Sans Math" w:hAnsi="Cambria Math" w:cs="Cambria Math"/>
          <w:spacing w:val="-4"/>
          <w:sz w:val="18"/>
          <w:szCs w:val="18"/>
        </w:rPr>
        <w:t>𝑃𝑀</w:t>
      </w:r>
      <w:r w:rsidRPr="00EC75B7">
        <w:rPr>
          <w:rFonts w:ascii="Verdana" w:eastAsia="Noto Sans Math" w:hAnsi="Verdana"/>
          <w:spacing w:val="-4"/>
          <w:sz w:val="18"/>
          <w:szCs w:val="18"/>
        </w:rPr>
        <w:t>10</w:t>
      </w:r>
    </w:p>
    <w:p w14:paraId="044C1883" w14:textId="77777777" w:rsidR="008715BE" w:rsidRPr="00EC75B7" w:rsidRDefault="00000000">
      <w:pPr>
        <w:spacing w:line="156" w:lineRule="exact"/>
        <w:ind w:left="414"/>
        <w:rPr>
          <w:rFonts w:ascii="Verdana" w:eastAsia="Noto Sans Math" w:hAnsi="Verdana"/>
          <w:sz w:val="18"/>
          <w:szCs w:val="18"/>
        </w:rPr>
      </w:pPr>
      <w:r w:rsidRPr="00EC75B7">
        <w:rPr>
          <w:rFonts w:ascii="Verdana" w:hAnsi="Verdana"/>
          <w:sz w:val="18"/>
          <w:szCs w:val="18"/>
        </w:rPr>
        <w:br w:type="column"/>
      </w:r>
      <w:r w:rsidRPr="00EC75B7">
        <w:rPr>
          <w:rFonts w:ascii="Cambria Math" w:eastAsia="Noto Sans Math" w:hAnsi="Cambria Math" w:cs="Cambria Math"/>
          <w:spacing w:val="-4"/>
          <w:sz w:val="18"/>
          <w:szCs w:val="18"/>
        </w:rPr>
        <w:t>𝑃𝑀</w:t>
      </w:r>
      <w:r w:rsidRPr="00EC75B7">
        <w:rPr>
          <w:rFonts w:ascii="Verdana" w:eastAsia="Noto Sans Math" w:hAnsi="Verdana"/>
          <w:spacing w:val="-4"/>
          <w:sz w:val="18"/>
          <w:szCs w:val="18"/>
        </w:rPr>
        <w:t>10</w:t>
      </w:r>
    </w:p>
    <w:p w14:paraId="76550532" w14:textId="77777777" w:rsidR="008715BE" w:rsidRPr="00EC75B7" w:rsidRDefault="00000000">
      <w:pPr>
        <w:spacing w:line="156" w:lineRule="exact"/>
        <w:ind w:left="288"/>
        <w:rPr>
          <w:rFonts w:ascii="Verdana" w:eastAsia="Noto Sans Math" w:hAnsi="Verdana"/>
          <w:sz w:val="18"/>
          <w:szCs w:val="18"/>
        </w:rPr>
      </w:pPr>
      <w:r w:rsidRPr="00EC75B7">
        <w:rPr>
          <w:rFonts w:ascii="Verdana" w:hAnsi="Verdana"/>
          <w:sz w:val="18"/>
          <w:szCs w:val="18"/>
        </w:rPr>
        <w:br w:type="column"/>
      </w:r>
      <w:r w:rsidRPr="00EC75B7">
        <w:rPr>
          <w:rFonts w:ascii="Cambria Math" w:eastAsia="Noto Sans Math" w:hAnsi="Cambria Math" w:cs="Cambria Math"/>
          <w:spacing w:val="-2"/>
          <w:sz w:val="18"/>
          <w:szCs w:val="18"/>
        </w:rPr>
        <w:t>𝑎𝑓𝑓𝑒𝑐𝑡𝑒𝑑</w:t>
      </w:r>
    </w:p>
    <w:p w14:paraId="36B5446E" w14:textId="77777777" w:rsidR="008715BE" w:rsidRPr="00EC75B7" w:rsidRDefault="00000000">
      <w:pPr>
        <w:tabs>
          <w:tab w:val="left" w:pos="2047"/>
        </w:tabs>
        <w:spacing w:line="20" w:lineRule="exact"/>
        <w:ind w:left="1490"/>
        <w:rPr>
          <w:rFonts w:ascii="Verdana" w:hAnsi="Verdana"/>
          <w:sz w:val="18"/>
          <w:szCs w:val="18"/>
        </w:rPr>
      </w:pPr>
      <w:r w:rsidRPr="00EC75B7">
        <w:rPr>
          <w:rFonts w:ascii="Verdana" w:hAnsi="Verdana"/>
          <w:sz w:val="18"/>
          <w:szCs w:val="18"/>
        </w:rPr>
        <w:br w:type="column"/>
      </w:r>
      <w:r w:rsidRPr="00EC75B7">
        <w:rPr>
          <w:rFonts w:ascii="Verdana" w:hAnsi="Verdana"/>
          <w:noProof/>
          <w:sz w:val="18"/>
          <w:szCs w:val="18"/>
        </w:rPr>
        <mc:AlternateContent>
          <mc:Choice Requires="wpg">
            <w:drawing>
              <wp:inline distT="0" distB="0" distL="0" distR="0" wp14:anchorId="5BE1F864" wp14:editId="0702F5D0">
                <wp:extent cx="109855" cy="7620"/>
                <wp:effectExtent l="0" t="0" r="0" b="0"/>
                <wp:docPr id="38" name="Group 38"/>
                <wp:cNvGraphicFramePr/>
                <a:graphic xmlns:a="http://schemas.openxmlformats.org/drawingml/2006/main">
                  <a:graphicData uri="http://schemas.microsoft.com/office/word/2010/wordprocessingGroup">
                    <wpg:wgp>
                      <wpg:cNvGrpSpPr/>
                      <wpg:grpSpPr>
                        <a:xfrm>
                          <a:off x="0" y="0"/>
                          <a:ext cx="109855" cy="7620"/>
                          <a:chOff x="0" y="0"/>
                          <a:chExt cx="109855" cy="7620"/>
                        </a:xfrm>
                      </wpg:grpSpPr>
                      <wps:wsp>
                        <wps:cNvPr id="39" name="Graphic 39"/>
                        <wps:cNvSpPr/>
                        <wps:spPr>
                          <a:xfrm>
                            <a:off x="0" y="0"/>
                            <a:ext cx="109855" cy="7620"/>
                          </a:xfrm>
                          <a:custGeom>
                            <a:avLst/>
                            <a:gdLst/>
                            <a:ahLst/>
                            <a:cxnLst/>
                            <a:rect l="l" t="t" r="r" b="b"/>
                            <a:pathLst>
                              <a:path w="109855" h="7620">
                                <a:moveTo>
                                  <a:pt x="109727" y="0"/>
                                </a:moveTo>
                                <a:lnTo>
                                  <a:pt x="0" y="0"/>
                                </a:lnTo>
                                <a:lnTo>
                                  <a:pt x="0" y="7619"/>
                                </a:lnTo>
                                <a:lnTo>
                                  <a:pt x="109727" y="7619"/>
                                </a:lnTo>
                                <a:lnTo>
                                  <a:pt x="109727" y="0"/>
                                </a:lnTo>
                                <a:close/>
                              </a:path>
                            </a:pathLst>
                          </a:custGeom>
                          <a:solidFill>
                            <a:srgbClr val="000000"/>
                          </a:solidFill>
                        </wps:spPr>
                        <wps:bodyPr wrap="square" lIns="0" tIns="0" rIns="0" bIns="0" rtlCol="0">
                          <a:prstTxWarp prst="textNoShape">
                            <a:avLst/>
                          </a:prstTxWarp>
                        </wps:bodyPr>
                      </wps:wsp>
                    </wpg:wgp>
                  </a:graphicData>
                </a:graphic>
              </wp:inline>
            </w:drawing>
          </mc:Choice>
          <mc:Fallback>
            <w:pict>
              <v:group w14:anchorId="78166067" id="Group 38" o:spid="_x0000_s1026" style="width:8.65pt;height:.6pt;mso-position-horizontal-relative:char;mso-position-vertical-relative:line" coordsize="10985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">
                <v:shape id="Graphic 39" o:spid="_x0000_s1027" style="position:absolute;width:109855;height:7620;visibility:visible;mso-wrap-style:square;v-text-anchor:top" coordsize="1098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" path="m109727,l,,,7619r109727,l109727,xe" fillcolor="black" stroked="f">
                  <v:path arrowok="t"/>
                </v:shape>
                <w10:anchorlock/>
              </v:group>
            </w:pict>
          </mc:Fallback>
        </mc:AlternateContent>
      </w:r>
      <w:r w:rsidRPr="00EC75B7">
        <w:rPr>
          <w:rFonts w:ascii="Verdana" w:hAnsi="Verdana"/>
          <w:sz w:val="18"/>
          <w:szCs w:val="18"/>
        </w:rPr>
        <w:tab/>
      </w:r>
      <w:r w:rsidRPr="00EC75B7">
        <w:rPr>
          <w:rFonts w:ascii="Verdana" w:hAnsi="Verdana"/>
          <w:noProof/>
          <w:sz w:val="18"/>
          <w:szCs w:val="18"/>
        </w:rPr>
        <mc:AlternateContent>
          <mc:Choice Requires="wpg">
            <w:drawing>
              <wp:inline distT="0" distB="0" distL="0" distR="0" wp14:anchorId="179CEC1B" wp14:editId="7A1A7C7B">
                <wp:extent cx="119380" cy="7620"/>
                <wp:effectExtent l="0" t="0" r="0" b="0"/>
                <wp:docPr id="40" name="Group 40"/>
                <wp:cNvGraphicFramePr/>
                <a:graphic xmlns:a="http://schemas.openxmlformats.org/drawingml/2006/main">
                  <a:graphicData uri="http://schemas.microsoft.com/office/word/2010/wordprocessingGroup">
                    <wpg:wgp>
                      <wpg:cNvGrpSpPr/>
                      <wpg:grpSpPr>
                        <a:xfrm>
                          <a:off x="0" y="0"/>
                          <a:ext cx="119380" cy="7620"/>
                          <a:chOff x="0" y="0"/>
                          <a:chExt cx="119380" cy="7620"/>
                        </a:xfrm>
                      </wpg:grpSpPr>
                      <wps:wsp>
                        <wps:cNvPr id="41" name="Graphic 41"/>
                        <wps:cNvSpPr/>
                        <wps:spPr>
                          <a:xfrm>
                            <a:off x="0" y="0"/>
                            <a:ext cx="119380" cy="7620"/>
                          </a:xfrm>
                          <a:custGeom>
                            <a:avLst/>
                            <a:gdLst/>
                            <a:ahLst/>
                            <a:cxnLst/>
                            <a:rect l="l" t="t" r="r" b="b"/>
                            <a:pathLst>
                              <a:path w="119380" h="7620">
                                <a:moveTo>
                                  <a:pt x="118872" y="0"/>
                                </a:moveTo>
                                <a:lnTo>
                                  <a:pt x="0" y="0"/>
                                </a:lnTo>
                                <a:lnTo>
                                  <a:pt x="0" y="7619"/>
                                </a:lnTo>
                                <a:lnTo>
                                  <a:pt x="118872" y="7619"/>
                                </a:lnTo>
                                <a:lnTo>
                                  <a:pt x="118872" y="0"/>
                                </a:lnTo>
                                <a:close/>
                              </a:path>
                            </a:pathLst>
                          </a:custGeom>
                          <a:solidFill>
                            <a:srgbClr val="000000"/>
                          </a:solidFill>
                        </wps:spPr>
                        <wps:bodyPr wrap="square" lIns="0" tIns="0" rIns="0" bIns="0" rtlCol="0">
                          <a:prstTxWarp prst="textNoShape">
                            <a:avLst/>
                          </a:prstTxWarp>
                        </wps:bodyPr>
                      </wps:wsp>
                    </wpg:wgp>
                  </a:graphicData>
                </a:graphic>
              </wp:inline>
            </w:drawing>
          </mc:Choice>
          <mc:Fallback>
            <w:pict>
              <v:group w14:anchorId="77047E2D" id="Group 40" o:spid="_x0000_s1026" style="width:9.4pt;height:.6pt;mso-position-horizontal-relative:char;mso-position-vertical-relative:line" coordsize="1193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">
                <v:shape id="Graphic 41" o:spid="_x0000_s1027" style="position:absolute;width:119380;height:7620;visibility:visible;mso-wrap-style:square;v-text-anchor:top" coordsize="11938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" path="m118872,l,,,7619r118872,l118872,xe" fillcolor="black" stroked="f">
                  <v:path arrowok="t"/>
                </v:shape>
                <w10:anchorlock/>
              </v:group>
            </w:pict>
          </mc:Fallback>
        </mc:AlternateContent>
      </w:r>
    </w:p>
    <w:p w14:paraId="630EEDC6" w14:textId="77777777" w:rsidR="008715BE" w:rsidRPr="00EC75B7" w:rsidRDefault="00000000">
      <w:pPr>
        <w:tabs>
          <w:tab w:val="left" w:pos="2047"/>
        </w:tabs>
        <w:ind w:left="1490"/>
        <w:rPr>
          <w:rFonts w:ascii="Verdana" w:eastAsia="Noto Sans Math" w:hAnsi="Verdana"/>
          <w:sz w:val="18"/>
          <w:szCs w:val="18"/>
        </w:rPr>
      </w:pPr>
      <w:r w:rsidRPr="00EC75B7">
        <w:rPr>
          <w:rFonts w:ascii="Cambria Math" w:eastAsia="Noto Sans Math" w:hAnsi="Cambria Math" w:cs="Cambria Math"/>
          <w:spacing w:val="-5"/>
          <w:sz w:val="18"/>
          <w:szCs w:val="18"/>
        </w:rPr>
        <w:t>𝑃𝐸</w:t>
      </w:r>
      <w:r w:rsidRPr="00EC75B7">
        <w:rPr>
          <w:rFonts w:ascii="Verdana" w:eastAsia="Noto Sans Math" w:hAnsi="Verdana"/>
          <w:sz w:val="18"/>
          <w:szCs w:val="18"/>
        </w:rPr>
        <w:tab/>
      </w:r>
      <w:r w:rsidRPr="00EC75B7">
        <w:rPr>
          <w:rFonts w:ascii="Verdana" w:eastAsia="Noto Sans Math" w:hAnsi="Verdana"/>
          <w:spacing w:val="-5"/>
          <w:sz w:val="18"/>
          <w:szCs w:val="18"/>
        </w:rPr>
        <w:t>9</w:t>
      </w:r>
    </w:p>
    <w:p w14:paraId="4EC4BF83" w14:textId="77777777" w:rsidR="008715BE" w:rsidRPr="00EC75B7" w:rsidRDefault="008715BE">
      <w:pPr>
        <w:rPr>
          <w:rFonts w:ascii="Verdana" w:eastAsia="Noto Sans Math" w:hAnsi="Verdana"/>
          <w:sz w:val="18"/>
          <w:szCs w:val="18"/>
        </w:rPr>
        <w:sectPr w:rsidR="008715BE" w:rsidRPr="00EC75B7">
          <w:type w:val="continuous"/>
          <w:pgSz w:w="11910" w:h="16840"/>
          <w:pgMar w:top="1280" w:right="141" w:bottom="280" w:left="425" w:header="766" w:footer="797" w:gutter="0"/>
          <w:cols w:num="4" w:space="708" w:equalWidth="0">
            <w:col w:w="3582" w:space="40"/>
            <w:col w:w="763" w:space="39"/>
            <w:col w:w="871" w:space="39"/>
            <w:col w:w="6010" w:space="0"/>
          </w:cols>
        </w:sectPr>
      </w:pPr>
    </w:p>
    <w:p w14:paraId="6CF3E4B8" w14:textId="77777777" w:rsidR="008715BE" w:rsidRPr="00EC75B7" w:rsidRDefault="00000000">
      <w:pPr>
        <w:pStyle w:val="ListParagraph"/>
        <w:numPr>
          <w:ilvl w:val="0"/>
          <w:numId w:val="105"/>
        </w:numPr>
        <w:tabs>
          <w:tab w:val="left" w:pos="1485"/>
        </w:tabs>
        <w:spacing w:before="188" w:line="357" w:lineRule="auto"/>
        <w:ind w:right="857"/>
        <w:jc w:val="both"/>
        <w:rPr>
          <w:rFonts w:ascii="Verdana" w:hAnsi="Verdana"/>
          <w:sz w:val="18"/>
          <w:szCs w:val="18"/>
        </w:rPr>
      </w:pPr>
      <w:r w:rsidRPr="00EC75B7">
        <w:rPr>
          <w:rFonts w:ascii="Verdana" w:hAnsi="Verdana"/>
          <w:sz w:val="18"/>
          <w:szCs w:val="18"/>
        </w:rPr>
        <w:lastRenderedPageBreak/>
        <w:t xml:space="preserve">EF - emission factor corresponding to the types of buildings constructed on the site, i.e. non-residential buildings </w:t>
      </w:r>
      <w:r w:rsidRPr="00EC75B7">
        <w:rPr>
          <w:rFonts w:ascii="Arial" w:hAnsi="Arial" w:cs="Arial"/>
          <w:sz w:val="18"/>
          <w:szCs w:val="18"/>
        </w:rPr>
        <w:t>→</w:t>
      </w:r>
      <w:r w:rsidRPr="00EC75B7">
        <w:rPr>
          <w:rFonts w:ascii="Verdana" w:hAnsi="Verdana"/>
          <w:sz w:val="18"/>
          <w:szCs w:val="18"/>
        </w:rPr>
        <w:t xml:space="preserve"> according to 2.A.5.b Construction and demolition table 3.3;</w:t>
      </w:r>
    </w:p>
    <w:p w14:paraId="639A68C4" w14:textId="77777777" w:rsidR="008715BE" w:rsidRPr="00EC75B7" w:rsidRDefault="00000000">
      <w:pPr>
        <w:pStyle w:val="ListParagraph"/>
        <w:numPr>
          <w:ilvl w:val="0"/>
          <w:numId w:val="105"/>
        </w:numPr>
        <w:tabs>
          <w:tab w:val="left" w:pos="1485"/>
        </w:tabs>
        <w:spacing w:line="223" w:lineRule="exact"/>
        <w:jc w:val="both"/>
        <w:rPr>
          <w:rFonts w:ascii="Verdana" w:hAnsi="Verdana"/>
          <w:sz w:val="18"/>
          <w:szCs w:val="18"/>
        </w:rPr>
      </w:pPr>
      <w:r w:rsidRPr="00EC75B7">
        <w:rPr>
          <w:rFonts w:ascii="Verdana" w:hAnsi="Verdana"/>
          <w:sz w:val="18"/>
          <w:szCs w:val="18"/>
        </w:rPr>
        <w:t xml:space="preserve">Aaffected–total area developed in the project </w:t>
      </w:r>
      <w:r w:rsidRPr="00EC75B7">
        <w:rPr>
          <w:rFonts w:ascii="Arial" w:hAnsi="Arial" w:cs="Arial"/>
          <w:sz w:val="18"/>
          <w:szCs w:val="18"/>
        </w:rPr>
        <w:t>→</w:t>
      </w:r>
      <w:r w:rsidRPr="00EC75B7">
        <w:rPr>
          <w:rFonts w:ascii="Verdana" w:hAnsi="Verdana"/>
          <w:sz w:val="18"/>
          <w:szCs w:val="18"/>
        </w:rPr>
        <w:t xml:space="preserve"> 114.71 ha;</w:t>
      </w:r>
    </w:p>
    <w:p w14:paraId="35B22635" w14:textId="77777777" w:rsidR="008715BE" w:rsidRPr="00EC75B7" w:rsidRDefault="00000000">
      <w:pPr>
        <w:pStyle w:val="ListParagraph"/>
        <w:numPr>
          <w:ilvl w:val="0"/>
          <w:numId w:val="105"/>
        </w:numPr>
        <w:tabs>
          <w:tab w:val="left" w:pos="1485"/>
        </w:tabs>
        <w:spacing w:before="106"/>
        <w:jc w:val="both"/>
        <w:rPr>
          <w:rFonts w:ascii="Verdana" w:hAnsi="Verdana"/>
          <w:sz w:val="18"/>
          <w:szCs w:val="18"/>
        </w:rPr>
      </w:pPr>
      <w:r w:rsidRPr="00EC75B7">
        <w:rPr>
          <w:rFonts w:ascii="Verdana" w:hAnsi="Verdana"/>
          <w:sz w:val="18"/>
          <w:szCs w:val="18"/>
        </w:rPr>
        <w:t xml:space="preserve">d -duration of construction works </w:t>
      </w:r>
      <w:r w:rsidRPr="00EC75B7">
        <w:rPr>
          <w:rFonts w:ascii="Arial" w:hAnsi="Arial" w:cs="Arial"/>
          <w:sz w:val="18"/>
          <w:szCs w:val="18"/>
        </w:rPr>
        <w:t>→</w:t>
      </w:r>
      <w:r w:rsidRPr="00EC75B7">
        <w:rPr>
          <w:rFonts w:ascii="Verdana" w:hAnsi="Verdana"/>
          <w:sz w:val="18"/>
          <w:szCs w:val="18"/>
        </w:rPr>
        <w:t xml:space="preserve"> 0.5 years;</w:t>
      </w:r>
    </w:p>
    <w:p w14:paraId="0E709487" w14:textId="77777777" w:rsidR="008715BE" w:rsidRPr="00EC75B7" w:rsidRDefault="00000000">
      <w:pPr>
        <w:pStyle w:val="ListParagraph"/>
        <w:numPr>
          <w:ilvl w:val="0"/>
          <w:numId w:val="105"/>
        </w:numPr>
        <w:tabs>
          <w:tab w:val="left" w:pos="1485"/>
        </w:tabs>
        <w:spacing w:before="110" w:line="360" w:lineRule="auto"/>
        <w:ind w:right="851"/>
        <w:jc w:val="both"/>
        <w:rPr>
          <w:rFonts w:ascii="Verdana" w:hAnsi="Verdana"/>
          <w:sz w:val="18"/>
          <w:szCs w:val="18"/>
        </w:rPr>
      </w:pPr>
      <w:r w:rsidRPr="00EC75B7">
        <w:rPr>
          <w:rFonts w:ascii="Verdana" w:hAnsi="Verdana"/>
          <w:sz w:val="18"/>
          <w:szCs w:val="18"/>
        </w:rPr>
        <w:t xml:space="preserve">CE - efficiency of emission control measures </w:t>
      </w:r>
      <w:r w:rsidRPr="00EC75B7">
        <w:rPr>
          <w:rFonts w:ascii="Arial" w:hAnsi="Arial" w:cs="Arial"/>
          <w:sz w:val="18"/>
          <w:szCs w:val="18"/>
        </w:rPr>
        <w:t>→</w:t>
      </w:r>
      <w:r w:rsidRPr="00EC75B7">
        <w:rPr>
          <w:rFonts w:ascii="Verdana" w:hAnsi="Verdana"/>
          <w:sz w:val="18"/>
          <w:szCs w:val="18"/>
        </w:rPr>
        <w:t xml:space="preserve"> 0.5 according to 2.A.5.b Construction and demolition, p. 9;</w:t>
      </w:r>
    </w:p>
    <w:p w14:paraId="0FFEA748" w14:textId="77777777" w:rsidR="008715BE" w:rsidRPr="00EC75B7" w:rsidRDefault="00000000">
      <w:pPr>
        <w:pStyle w:val="ListParagraph"/>
        <w:numPr>
          <w:ilvl w:val="0"/>
          <w:numId w:val="105"/>
        </w:numPr>
        <w:tabs>
          <w:tab w:val="left" w:pos="1485"/>
        </w:tabs>
        <w:spacing w:line="357" w:lineRule="auto"/>
        <w:ind w:right="853"/>
        <w:jc w:val="both"/>
        <w:rPr>
          <w:rFonts w:ascii="Verdana" w:hAnsi="Verdana"/>
          <w:sz w:val="18"/>
          <w:szCs w:val="18"/>
        </w:rPr>
      </w:pPr>
      <w:r w:rsidRPr="00EC75B7">
        <w:rPr>
          <w:rFonts w:ascii="Verdana" w:hAnsi="Verdana"/>
          <w:sz w:val="18"/>
          <w:szCs w:val="18"/>
        </w:rPr>
        <w:t xml:space="preserve">PE – evaporation index </w:t>
      </w:r>
      <w:r w:rsidRPr="00EC75B7">
        <w:rPr>
          <w:rFonts w:ascii="Arial" w:hAnsi="Arial" w:cs="Arial"/>
          <w:sz w:val="18"/>
          <w:szCs w:val="18"/>
        </w:rPr>
        <w:t>→</w:t>
      </w:r>
      <w:r w:rsidRPr="00EC75B7">
        <w:rPr>
          <w:rFonts w:ascii="Verdana" w:hAnsi="Verdana"/>
          <w:sz w:val="18"/>
          <w:szCs w:val="18"/>
        </w:rPr>
        <w:t xml:space="preserve"> 41.6 (calculated according to the formula in 2.A.5.b Construction and demolition, p. 9);</w:t>
      </w:r>
    </w:p>
    <w:p w14:paraId="37643D63" w14:textId="77777777" w:rsidR="008715BE" w:rsidRPr="00EC75B7" w:rsidRDefault="00000000">
      <w:pPr>
        <w:pStyle w:val="ListParagraph"/>
        <w:numPr>
          <w:ilvl w:val="0"/>
          <w:numId w:val="105"/>
        </w:numPr>
        <w:tabs>
          <w:tab w:val="left" w:pos="1485"/>
        </w:tabs>
        <w:spacing w:line="360" w:lineRule="auto"/>
        <w:ind w:right="850"/>
        <w:jc w:val="both"/>
        <w:rPr>
          <w:rFonts w:ascii="Verdana" w:hAnsi="Verdana"/>
          <w:sz w:val="18"/>
          <w:szCs w:val="18"/>
        </w:rPr>
      </w:pPr>
      <w:r w:rsidRPr="00EC75B7">
        <w:rPr>
          <w:rFonts w:ascii="Verdana" w:hAnsi="Verdana"/>
          <w:sz w:val="18"/>
          <w:szCs w:val="18"/>
        </w:rPr>
        <w:t xml:space="preserve">s – soil sediment content </w:t>
      </w:r>
      <w:r w:rsidRPr="00EC75B7">
        <w:rPr>
          <w:rFonts w:ascii="Arial" w:hAnsi="Arial" w:cs="Arial"/>
          <w:sz w:val="18"/>
          <w:szCs w:val="18"/>
        </w:rPr>
        <w:t>→</w:t>
      </w:r>
      <w:r w:rsidRPr="00EC75B7">
        <w:rPr>
          <w:rFonts w:ascii="Verdana" w:hAnsi="Verdana"/>
          <w:sz w:val="18"/>
          <w:szCs w:val="18"/>
        </w:rPr>
        <w:t xml:space="preserve"> 40% (determined based on the soil type in the site area).</w:t>
      </w:r>
    </w:p>
    <w:p w14:paraId="1B93DCB4" w14:textId="77777777" w:rsidR="008715BE" w:rsidRPr="00EC75B7" w:rsidRDefault="00000000">
      <w:pPr>
        <w:pStyle w:val="BodyText"/>
        <w:spacing w:before="116"/>
        <w:ind w:left="794"/>
        <w:rPr>
          <w:rFonts w:ascii="Verdana" w:hAnsi="Verdana"/>
        </w:rPr>
      </w:pPr>
      <w:r w:rsidRPr="00EC75B7">
        <w:rPr>
          <w:rFonts w:ascii="Verdana" w:hAnsi="Verdana"/>
        </w:rPr>
        <w:t>The results of the emission calculations for the PTS, PM10, and PM2.5 indicators are presented in the following table.</w:t>
      </w:r>
    </w:p>
    <w:p w14:paraId="1286A1C9" w14:textId="77777777" w:rsidR="008715BE" w:rsidRPr="00EC75B7" w:rsidRDefault="008715BE">
      <w:pPr>
        <w:pStyle w:val="BodyText"/>
        <w:spacing w:before="54"/>
        <w:rPr>
          <w:rFonts w:ascii="Verdana" w:hAnsi="Verdana"/>
        </w:rPr>
      </w:pPr>
    </w:p>
    <w:p w14:paraId="51F95EEE" w14:textId="77777777" w:rsidR="008715BE" w:rsidRPr="00EC75B7" w:rsidRDefault="00000000">
      <w:pPr>
        <w:ind w:left="765"/>
        <w:rPr>
          <w:rFonts w:ascii="Verdana" w:hAnsi="Verdana"/>
          <w:b/>
          <w:color w:val="00AFEF"/>
          <w:sz w:val="18"/>
          <w:szCs w:val="18"/>
        </w:rPr>
      </w:pPr>
      <w:r w:rsidRPr="00EC75B7">
        <w:rPr>
          <w:rFonts w:ascii="Verdana" w:hAnsi="Verdana"/>
          <w:b/>
          <w:color w:val="00AFEF"/>
          <w:sz w:val="18"/>
          <w:szCs w:val="18"/>
        </w:rPr>
        <w:t xml:space="preserve">Table 3 Uncontrolled emissions associated with </w:t>
      </w:r>
      <w:r w:rsidRPr="00EC75B7">
        <w:rPr>
          <w:rFonts w:ascii="Verdana" w:hAnsi="Verdana"/>
          <w:b/>
          <w:color w:val="00AFEF"/>
          <w:spacing w:val="-2"/>
          <w:sz w:val="18"/>
          <w:szCs w:val="18"/>
        </w:rPr>
        <w:t xml:space="preserve">wind </w:t>
      </w:r>
      <w:r w:rsidRPr="00EC75B7">
        <w:rPr>
          <w:rFonts w:ascii="Verdana" w:hAnsi="Verdana"/>
          <w:b/>
          <w:color w:val="00AFEF"/>
          <w:sz w:val="18"/>
          <w:szCs w:val="18"/>
        </w:rPr>
        <w:t>farm construction operations</w:t>
      </w:r>
    </w:p>
    <w:p w14:paraId="01897B9E" w14:textId="77777777" w:rsidR="00015F4E" w:rsidRPr="00EC75B7" w:rsidRDefault="00015F4E">
      <w:pPr>
        <w:ind w:left="765"/>
        <w:rPr>
          <w:rFonts w:ascii="Verdana" w:hAnsi="Verdana"/>
          <w:b/>
          <w:sz w:val="18"/>
          <w:szCs w:val="18"/>
        </w:rPr>
      </w:pPr>
    </w:p>
    <w:tbl>
      <w:tblPr>
        <w:tblStyle w:val="TableNormal1"/>
        <w:tblW w:w="0" w:type="auto"/>
        <w:tblInd w:w="199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328"/>
        <w:gridCol w:w="1890"/>
        <w:gridCol w:w="2070"/>
        <w:gridCol w:w="2340"/>
      </w:tblGrid>
      <w:tr w:rsidR="008715BE" w:rsidRPr="00EC75B7" w14:paraId="573C8AD9" w14:textId="77777777" w:rsidTr="00015F4E">
        <w:trPr>
          <w:trHeight w:val="196"/>
        </w:trPr>
        <w:tc>
          <w:tcPr>
            <w:tcW w:w="1328" w:type="dxa"/>
            <w:vMerge w:val="restart"/>
            <w:shd w:val="clear" w:color="auto" w:fill="00AFEF"/>
          </w:tcPr>
          <w:p w14:paraId="67655AF4" w14:textId="77777777" w:rsidR="008715BE" w:rsidRPr="00EC75B7" w:rsidRDefault="008715BE">
            <w:pPr>
              <w:pStyle w:val="TableParagraph"/>
              <w:spacing w:before="102"/>
              <w:ind w:left="107"/>
              <w:rPr>
                <w:rFonts w:ascii="Verdana" w:hAnsi="Verdana"/>
                <w:b/>
                <w:color w:val="FFFFFF"/>
                <w:spacing w:val="-2"/>
                <w:sz w:val="14"/>
                <w:szCs w:val="14"/>
              </w:rPr>
            </w:pPr>
          </w:p>
          <w:p w14:paraId="66BBB22A" w14:textId="7A397327" w:rsidR="00015F4E" w:rsidRPr="00EC75B7" w:rsidRDefault="00015F4E">
            <w:pPr>
              <w:pStyle w:val="TableParagraph"/>
              <w:spacing w:before="102"/>
              <w:ind w:left="107"/>
              <w:rPr>
                <w:rFonts w:ascii="Verdana" w:hAnsi="Verdana"/>
                <w:b/>
                <w:sz w:val="14"/>
                <w:szCs w:val="14"/>
              </w:rPr>
            </w:pPr>
          </w:p>
        </w:tc>
        <w:tc>
          <w:tcPr>
            <w:tcW w:w="6300" w:type="dxa"/>
            <w:gridSpan w:val="3"/>
            <w:shd w:val="clear" w:color="auto" w:fill="00AFEF"/>
          </w:tcPr>
          <w:p w14:paraId="49AEF011" w14:textId="77777777" w:rsidR="008715BE" w:rsidRPr="00EC75B7" w:rsidRDefault="00000000">
            <w:pPr>
              <w:pStyle w:val="TableParagraph"/>
              <w:spacing w:line="176" w:lineRule="exact"/>
              <w:ind w:left="10"/>
              <w:jc w:val="center"/>
              <w:rPr>
                <w:rFonts w:ascii="Verdana" w:hAnsi="Verdana"/>
                <w:b/>
                <w:sz w:val="14"/>
                <w:szCs w:val="14"/>
              </w:rPr>
            </w:pPr>
            <w:r w:rsidRPr="00EC75B7">
              <w:rPr>
                <w:rFonts w:ascii="Verdana" w:hAnsi="Verdana"/>
                <w:b/>
                <w:color w:val="FFFFFF"/>
                <w:spacing w:val="-2"/>
                <w:sz w:val="14"/>
                <w:szCs w:val="14"/>
              </w:rPr>
              <w:t>Emissions</w:t>
            </w:r>
          </w:p>
        </w:tc>
      </w:tr>
      <w:tr w:rsidR="008715BE" w:rsidRPr="00EC75B7" w14:paraId="75D0D5A5" w14:textId="77777777" w:rsidTr="00015F4E">
        <w:trPr>
          <w:trHeight w:val="193"/>
        </w:trPr>
        <w:tc>
          <w:tcPr>
            <w:tcW w:w="1328" w:type="dxa"/>
            <w:vMerge/>
            <w:tcBorders>
              <w:top w:val="nil"/>
            </w:tcBorders>
            <w:shd w:val="clear" w:color="auto" w:fill="00AFEF"/>
          </w:tcPr>
          <w:p w14:paraId="48A79C65" w14:textId="77777777" w:rsidR="008715BE" w:rsidRPr="00EC75B7" w:rsidRDefault="008715BE">
            <w:pPr>
              <w:rPr>
                <w:rFonts w:ascii="Verdana" w:hAnsi="Verdana"/>
                <w:sz w:val="14"/>
                <w:szCs w:val="14"/>
              </w:rPr>
            </w:pPr>
          </w:p>
        </w:tc>
        <w:tc>
          <w:tcPr>
            <w:tcW w:w="1890" w:type="dxa"/>
            <w:shd w:val="clear" w:color="auto" w:fill="00AFEF"/>
          </w:tcPr>
          <w:p w14:paraId="6127A84E" w14:textId="77777777" w:rsidR="008715BE" w:rsidRPr="00EC75B7" w:rsidRDefault="00000000">
            <w:pPr>
              <w:pStyle w:val="TableParagraph"/>
              <w:spacing w:line="174" w:lineRule="exact"/>
              <w:ind w:left="11"/>
              <w:jc w:val="center"/>
              <w:rPr>
                <w:rFonts w:ascii="Verdana" w:hAnsi="Verdana"/>
                <w:b/>
                <w:sz w:val="14"/>
                <w:szCs w:val="14"/>
              </w:rPr>
            </w:pPr>
            <w:r w:rsidRPr="00EC75B7">
              <w:rPr>
                <w:rFonts w:ascii="Verdana" w:hAnsi="Verdana"/>
                <w:b/>
                <w:color w:val="FFFFFF"/>
                <w:spacing w:val="-4"/>
                <w:sz w:val="14"/>
                <w:szCs w:val="14"/>
              </w:rPr>
              <w:t>kg/h</w:t>
            </w:r>
          </w:p>
        </w:tc>
        <w:tc>
          <w:tcPr>
            <w:tcW w:w="2070" w:type="dxa"/>
            <w:shd w:val="clear" w:color="auto" w:fill="00AFEF"/>
          </w:tcPr>
          <w:p w14:paraId="49709B77" w14:textId="77777777" w:rsidR="008715BE" w:rsidRPr="00EC75B7" w:rsidRDefault="00000000">
            <w:pPr>
              <w:pStyle w:val="TableParagraph"/>
              <w:spacing w:line="174" w:lineRule="exact"/>
              <w:ind w:left="9" w:right="2"/>
              <w:jc w:val="center"/>
              <w:rPr>
                <w:rFonts w:ascii="Verdana" w:hAnsi="Verdana"/>
                <w:b/>
                <w:sz w:val="14"/>
                <w:szCs w:val="14"/>
              </w:rPr>
            </w:pPr>
            <w:r w:rsidRPr="00EC75B7">
              <w:rPr>
                <w:rFonts w:ascii="Verdana" w:hAnsi="Verdana"/>
                <w:b/>
                <w:color w:val="FFFFFF"/>
                <w:spacing w:val="-5"/>
                <w:sz w:val="14"/>
                <w:szCs w:val="14"/>
              </w:rPr>
              <w:t>g/s</w:t>
            </w:r>
          </w:p>
        </w:tc>
        <w:tc>
          <w:tcPr>
            <w:tcW w:w="2340" w:type="dxa"/>
            <w:shd w:val="clear" w:color="auto" w:fill="00AFEF"/>
          </w:tcPr>
          <w:p w14:paraId="000909FD" w14:textId="77777777" w:rsidR="008715BE" w:rsidRPr="00EC75B7" w:rsidRDefault="00000000">
            <w:pPr>
              <w:pStyle w:val="TableParagraph"/>
              <w:spacing w:line="174" w:lineRule="exact"/>
              <w:ind w:left="7" w:right="1"/>
              <w:jc w:val="center"/>
              <w:rPr>
                <w:rFonts w:ascii="Verdana" w:hAnsi="Verdana"/>
                <w:b/>
                <w:sz w:val="14"/>
                <w:szCs w:val="14"/>
              </w:rPr>
            </w:pPr>
            <w:r w:rsidRPr="00EC75B7">
              <w:rPr>
                <w:rFonts w:ascii="Verdana" w:hAnsi="Verdana"/>
                <w:b/>
                <w:color w:val="FFFFFF"/>
                <w:sz w:val="14"/>
                <w:szCs w:val="14"/>
              </w:rPr>
              <w:t xml:space="preserve">t / per </w:t>
            </w:r>
            <w:r w:rsidRPr="00EC75B7">
              <w:rPr>
                <w:rFonts w:ascii="Verdana" w:hAnsi="Verdana"/>
                <w:b/>
                <w:color w:val="FFFFFF"/>
                <w:spacing w:val="-4"/>
                <w:sz w:val="14"/>
                <w:szCs w:val="14"/>
              </w:rPr>
              <w:t>exec</w:t>
            </w:r>
          </w:p>
        </w:tc>
      </w:tr>
      <w:tr w:rsidR="008715BE" w:rsidRPr="00EC75B7" w14:paraId="233975E0" w14:textId="77777777" w:rsidTr="00015F4E">
        <w:trPr>
          <w:trHeight w:val="193"/>
        </w:trPr>
        <w:tc>
          <w:tcPr>
            <w:tcW w:w="1328" w:type="dxa"/>
          </w:tcPr>
          <w:p w14:paraId="67A1179F" w14:textId="77777777" w:rsidR="008715BE" w:rsidRPr="00EC75B7" w:rsidRDefault="00000000">
            <w:pPr>
              <w:pStyle w:val="TableParagraph"/>
              <w:spacing w:line="174" w:lineRule="exact"/>
              <w:ind w:left="10" w:right="1"/>
              <w:jc w:val="center"/>
              <w:rPr>
                <w:rFonts w:ascii="Verdana" w:hAnsi="Verdana"/>
                <w:sz w:val="14"/>
                <w:szCs w:val="14"/>
              </w:rPr>
            </w:pPr>
            <w:r w:rsidRPr="00EC75B7">
              <w:rPr>
                <w:rFonts w:ascii="Verdana" w:hAnsi="Verdana"/>
                <w:spacing w:val="-5"/>
                <w:sz w:val="14"/>
                <w:szCs w:val="14"/>
              </w:rPr>
              <w:t>TSP</w:t>
            </w:r>
          </w:p>
        </w:tc>
        <w:tc>
          <w:tcPr>
            <w:tcW w:w="1890" w:type="dxa"/>
          </w:tcPr>
          <w:p w14:paraId="2A141FFB" w14:textId="77777777" w:rsidR="008715BE" w:rsidRPr="00EC75B7" w:rsidRDefault="00000000">
            <w:pPr>
              <w:pStyle w:val="TableParagraph"/>
              <w:spacing w:line="174" w:lineRule="exact"/>
              <w:ind w:left="11" w:right="3"/>
              <w:jc w:val="center"/>
              <w:rPr>
                <w:rFonts w:ascii="Verdana" w:hAnsi="Verdana"/>
                <w:sz w:val="14"/>
                <w:szCs w:val="14"/>
              </w:rPr>
            </w:pPr>
            <w:r w:rsidRPr="00EC75B7">
              <w:rPr>
                <w:rFonts w:ascii="Verdana" w:hAnsi="Verdana"/>
                <w:spacing w:val="-4"/>
                <w:sz w:val="14"/>
                <w:szCs w:val="14"/>
              </w:rPr>
              <w:t>277.2</w:t>
            </w:r>
          </w:p>
        </w:tc>
        <w:tc>
          <w:tcPr>
            <w:tcW w:w="2070" w:type="dxa"/>
          </w:tcPr>
          <w:p w14:paraId="611BA544" w14:textId="77777777" w:rsidR="008715BE" w:rsidRPr="00EC75B7" w:rsidRDefault="00000000">
            <w:pPr>
              <w:pStyle w:val="TableParagraph"/>
              <w:spacing w:line="174" w:lineRule="exact"/>
              <w:ind w:left="9" w:right="1"/>
              <w:jc w:val="center"/>
              <w:rPr>
                <w:rFonts w:ascii="Verdana" w:hAnsi="Verdana"/>
                <w:sz w:val="14"/>
                <w:szCs w:val="14"/>
              </w:rPr>
            </w:pPr>
            <w:r w:rsidRPr="00EC75B7">
              <w:rPr>
                <w:rFonts w:ascii="Verdana" w:hAnsi="Verdana"/>
                <w:spacing w:val="-4"/>
                <w:sz w:val="14"/>
                <w:szCs w:val="14"/>
              </w:rPr>
              <w:t>76.9</w:t>
            </w:r>
          </w:p>
        </w:tc>
        <w:tc>
          <w:tcPr>
            <w:tcW w:w="2340" w:type="dxa"/>
          </w:tcPr>
          <w:p w14:paraId="7CA00DAC" w14:textId="77777777" w:rsidR="008715BE" w:rsidRPr="00EC75B7" w:rsidRDefault="00000000">
            <w:pPr>
              <w:pStyle w:val="TableParagraph"/>
              <w:spacing w:line="174" w:lineRule="exact"/>
              <w:ind w:left="7"/>
              <w:jc w:val="center"/>
              <w:rPr>
                <w:rFonts w:ascii="Verdana" w:hAnsi="Verdana"/>
                <w:sz w:val="14"/>
                <w:szCs w:val="14"/>
              </w:rPr>
            </w:pPr>
            <w:r w:rsidRPr="00EC75B7">
              <w:rPr>
                <w:rFonts w:ascii="Verdana" w:hAnsi="Verdana"/>
                <w:spacing w:val="-2"/>
                <w:sz w:val="14"/>
                <w:szCs w:val="14"/>
              </w:rPr>
              <w:t>2,426.3</w:t>
            </w:r>
          </w:p>
        </w:tc>
      </w:tr>
      <w:tr w:rsidR="008715BE" w:rsidRPr="00EC75B7" w14:paraId="7D3501FA" w14:textId="77777777" w:rsidTr="00015F4E">
        <w:trPr>
          <w:trHeight w:val="194"/>
        </w:trPr>
        <w:tc>
          <w:tcPr>
            <w:tcW w:w="1328" w:type="dxa"/>
          </w:tcPr>
          <w:p w14:paraId="6E6BC58C" w14:textId="77777777" w:rsidR="008715BE" w:rsidRPr="00EC75B7" w:rsidRDefault="00000000">
            <w:pPr>
              <w:pStyle w:val="TableParagraph"/>
              <w:spacing w:line="174" w:lineRule="exact"/>
              <w:ind w:left="10"/>
              <w:jc w:val="center"/>
              <w:rPr>
                <w:rFonts w:ascii="Verdana" w:hAnsi="Verdana"/>
                <w:sz w:val="14"/>
                <w:szCs w:val="14"/>
              </w:rPr>
            </w:pPr>
            <w:r w:rsidRPr="00EC75B7">
              <w:rPr>
                <w:rFonts w:ascii="Verdana" w:hAnsi="Verdana"/>
                <w:spacing w:val="-4"/>
                <w:sz w:val="14"/>
                <w:szCs w:val="14"/>
              </w:rPr>
              <w:t>PM10</w:t>
            </w:r>
          </w:p>
        </w:tc>
        <w:tc>
          <w:tcPr>
            <w:tcW w:w="1890" w:type="dxa"/>
          </w:tcPr>
          <w:p w14:paraId="37868E63" w14:textId="77777777" w:rsidR="008715BE" w:rsidRPr="00EC75B7" w:rsidRDefault="00000000">
            <w:pPr>
              <w:pStyle w:val="TableParagraph"/>
              <w:spacing w:line="174" w:lineRule="exact"/>
              <w:ind w:left="11" w:right="1"/>
              <w:jc w:val="center"/>
              <w:rPr>
                <w:rFonts w:ascii="Verdana" w:hAnsi="Verdana"/>
                <w:sz w:val="14"/>
                <w:szCs w:val="14"/>
              </w:rPr>
            </w:pPr>
            <w:r w:rsidRPr="00EC75B7">
              <w:rPr>
                <w:rFonts w:ascii="Verdana" w:hAnsi="Verdana"/>
                <w:spacing w:val="-4"/>
                <w:sz w:val="14"/>
                <w:szCs w:val="14"/>
              </w:rPr>
              <w:t>83.3</w:t>
            </w:r>
          </w:p>
        </w:tc>
        <w:tc>
          <w:tcPr>
            <w:tcW w:w="2070" w:type="dxa"/>
          </w:tcPr>
          <w:p w14:paraId="40112FA0" w14:textId="77777777" w:rsidR="008715BE" w:rsidRPr="00EC75B7" w:rsidRDefault="00000000">
            <w:pPr>
              <w:pStyle w:val="TableParagraph"/>
              <w:spacing w:line="174" w:lineRule="exact"/>
              <w:ind w:left="9" w:right="1"/>
              <w:jc w:val="center"/>
              <w:rPr>
                <w:rFonts w:ascii="Verdana" w:hAnsi="Verdana"/>
                <w:sz w:val="14"/>
                <w:szCs w:val="14"/>
              </w:rPr>
            </w:pPr>
            <w:r w:rsidRPr="00EC75B7">
              <w:rPr>
                <w:rFonts w:ascii="Verdana" w:hAnsi="Verdana"/>
                <w:spacing w:val="-4"/>
                <w:sz w:val="14"/>
                <w:szCs w:val="14"/>
              </w:rPr>
              <w:t>24.0</w:t>
            </w:r>
          </w:p>
        </w:tc>
        <w:tc>
          <w:tcPr>
            <w:tcW w:w="2340" w:type="dxa"/>
          </w:tcPr>
          <w:p w14:paraId="6E5CE7C9" w14:textId="77777777" w:rsidR="008715BE" w:rsidRPr="00EC75B7" w:rsidRDefault="00000000">
            <w:pPr>
              <w:pStyle w:val="TableParagraph"/>
              <w:spacing w:line="174" w:lineRule="exact"/>
              <w:ind w:left="7"/>
              <w:jc w:val="center"/>
              <w:rPr>
                <w:rFonts w:ascii="Verdana" w:hAnsi="Verdana"/>
                <w:sz w:val="14"/>
                <w:szCs w:val="14"/>
              </w:rPr>
            </w:pPr>
            <w:r w:rsidRPr="00EC75B7">
              <w:rPr>
                <w:rFonts w:ascii="Verdana" w:hAnsi="Verdana"/>
                <w:spacing w:val="-4"/>
                <w:sz w:val="14"/>
                <w:szCs w:val="14"/>
              </w:rPr>
              <w:t>735.6</w:t>
            </w:r>
          </w:p>
        </w:tc>
      </w:tr>
      <w:tr w:rsidR="008715BE" w:rsidRPr="00EC75B7" w14:paraId="02F91988" w14:textId="77777777" w:rsidTr="00015F4E">
        <w:trPr>
          <w:trHeight w:val="196"/>
        </w:trPr>
        <w:tc>
          <w:tcPr>
            <w:tcW w:w="1328" w:type="dxa"/>
          </w:tcPr>
          <w:p w14:paraId="7599CCAD" w14:textId="77777777" w:rsidR="008715BE" w:rsidRPr="00EC75B7" w:rsidRDefault="00000000">
            <w:pPr>
              <w:pStyle w:val="TableParagraph"/>
              <w:spacing w:before="1" w:line="175" w:lineRule="exact"/>
              <w:ind w:left="10"/>
              <w:jc w:val="center"/>
              <w:rPr>
                <w:rFonts w:ascii="Verdana" w:hAnsi="Verdana"/>
                <w:sz w:val="14"/>
                <w:szCs w:val="14"/>
              </w:rPr>
            </w:pPr>
            <w:r w:rsidRPr="00EC75B7">
              <w:rPr>
                <w:rFonts w:ascii="Verdana" w:hAnsi="Verdana"/>
                <w:spacing w:val="-2"/>
                <w:sz w:val="14"/>
                <w:szCs w:val="14"/>
              </w:rPr>
              <w:t>PM2.5</w:t>
            </w:r>
          </w:p>
        </w:tc>
        <w:tc>
          <w:tcPr>
            <w:tcW w:w="1890" w:type="dxa"/>
          </w:tcPr>
          <w:p w14:paraId="284E089A" w14:textId="77777777" w:rsidR="008715BE" w:rsidRPr="00EC75B7" w:rsidRDefault="00000000">
            <w:pPr>
              <w:pStyle w:val="TableParagraph"/>
              <w:spacing w:before="1" w:line="175" w:lineRule="exact"/>
              <w:ind w:left="11" w:right="1"/>
              <w:jc w:val="center"/>
              <w:rPr>
                <w:rFonts w:ascii="Verdana" w:hAnsi="Verdana"/>
                <w:sz w:val="14"/>
                <w:szCs w:val="14"/>
              </w:rPr>
            </w:pPr>
            <w:r w:rsidRPr="00EC75B7">
              <w:rPr>
                <w:rFonts w:ascii="Verdana" w:hAnsi="Verdana"/>
                <w:spacing w:val="-5"/>
                <w:sz w:val="14"/>
                <w:szCs w:val="14"/>
              </w:rPr>
              <w:t>8</w:t>
            </w:r>
          </w:p>
        </w:tc>
        <w:tc>
          <w:tcPr>
            <w:tcW w:w="2070" w:type="dxa"/>
          </w:tcPr>
          <w:p w14:paraId="54ACCA3F" w14:textId="77777777" w:rsidR="008715BE" w:rsidRPr="00EC75B7" w:rsidRDefault="00000000">
            <w:pPr>
              <w:pStyle w:val="TableParagraph"/>
              <w:spacing w:before="1" w:line="175" w:lineRule="exact"/>
              <w:ind w:left="9"/>
              <w:jc w:val="center"/>
              <w:rPr>
                <w:rFonts w:ascii="Verdana" w:hAnsi="Verdana"/>
                <w:sz w:val="14"/>
                <w:szCs w:val="14"/>
              </w:rPr>
            </w:pPr>
            <w:r w:rsidRPr="00EC75B7">
              <w:rPr>
                <w:rFonts w:ascii="Verdana" w:hAnsi="Verdana"/>
                <w:spacing w:val="-5"/>
                <w:sz w:val="14"/>
                <w:szCs w:val="14"/>
              </w:rPr>
              <w:t>3.2</w:t>
            </w:r>
          </w:p>
        </w:tc>
        <w:tc>
          <w:tcPr>
            <w:tcW w:w="2340" w:type="dxa"/>
          </w:tcPr>
          <w:p w14:paraId="03D7A59D" w14:textId="77777777" w:rsidR="008715BE" w:rsidRPr="00EC75B7" w:rsidRDefault="00000000">
            <w:pPr>
              <w:pStyle w:val="TableParagraph"/>
              <w:spacing w:before="1" w:line="175" w:lineRule="exact"/>
              <w:ind w:left="7" w:right="3"/>
              <w:jc w:val="center"/>
              <w:rPr>
                <w:rFonts w:ascii="Verdana" w:hAnsi="Verdana"/>
                <w:sz w:val="14"/>
                <w:szCs w:val="14"/>
              </w:rPr>
            </w:pPr>
            <w:r w:rsidRPr="00EC75B7">
              <w:rPr>
                <w:rFonts w:ascii="Verdana" w:hAnsi="Verdana"/>
                <w:spacing w:val="-4"/>
                <w:sz w:val="14"/>
                <w:szCs w:val="14"/>
              </w:rPr>
              <w:t>73.7</w:t>
            </w:r>
          </w:p>
        </w:tc>
      </w:tr>
    </w:tbl>
    <w:p w14:paraId="445127F9" w14:textId="77777777" w:rsidR="008715BE" w:rsidRPr="00EC75B7" w:rsidRDefault="008715BE">
      <w:pPr>
        <w:pStyle w:val="BodyText"/>
        <w:spacing w:before="72"/>
        <w:rPr>
          <w:rFonts w:ascii="Verdana" w:hAnsi="Verdana"/>
          <w:b/>
        </w:rPr>
      </w:pPr>
    </w:p>
    <w:p w14:paraId="7877537F" w14:textId="77777777" w:rsidR="008715BE" w:rsidRPr="00EC75B7" w:rsidRDefault="00000000" w:rsidP="00015F4E">
      <w:pPr>
        <w:pStyle w:val="BodyText"/>
        <w:spacing w:line="360" w:lineRule="auto"/>
        <w:ind w:left="810" w:right="544"/>
        <w:jc w:val="both"/>
        <w:rPr>
          <w:rFonts w:ascii="Verdana" w:hAnsi="Verdana"/>
        </w:rPr>
      </w:pPr>
      <w:r w:rsidRPr="00EC75B7">
        <w:rPr>
          <w:rFonts w:ascii="Verdana" w:hAnsi="Verdana"/>
        </w:rPr>
        <w:t>The emissions estimated in the table above reflect all dust emissions generated by wind erosion and earthmoving activities (excavation, compaction), turbine components, and other materials.</w:t>
      </w:r>
    </w:p>
    <w:p w14:paraId="25254A8C" w14:textId="77777777" w:rsidR="008715BE" w:rsidRPr="00EC75B7" w:rsidRDefault="00000000" w:rsidP="00015F4E">
      <w:pPr>
        <w:spacing w:line="360" w:lineRule="auto"/>
        <w:ind w:left="810" w:right="544"/>
        <w:jc w:val="both"/>
        <w:rPr>
          <w:rFonts w:ascii="Verdana" w:hAnsi="Verdana"/>
          <w:sz w:val="18"/>
          <w:szCs w:val="18"/>
        </w:rPr>
      </w:pPr>
      <w:r w:rsidRPr="00EC75B7">
        <w:rPr>
          <w:rFonts w:ascii="Verdana" w:hAnsi="Verdana"/>
          <w:sz w:val="18"/>
          <w:szCs w:val="18"/>
        </w:rPr>
        <w:t>The estimation of pollutant emissions generated by non-road mobile sources (machinery) was performed using the EMEP/EEA calculation methodology –1.A.4. Non-road mobile machinery 2019, Tier 1, which takes into account</w:t>
      </w:r>
      <w:r w:rsidR="00F17FED" w:rsidRPr="00EC75B7">
        <w:rPr>
          <w:rFonts w:ascii="Verdana" w:hAnsi="Verdana"/>
          <w:sz w:val="18"/>
          <w:szCs w:val="18"/>
        </w:rPr>
        <w:t xml:space="preserve"> the type   of   fuel,   consumption   of   fuel   used   and   the factors   of   emission   corresponding   to pollutants characteristics. The results are presented in the table below:</w:t>
      </w:r>
    </w:p>
    <w:p w14:paraId="19BB0D99" w14:textId="77777777" w:rsidR="00015F4E" w:rsidRPr="00EC75B7" w:rsidRDefault="00015F4E" w:rsidP="00015F4E">
      <w:pPr>
        <w:spacing w:line="360" w:lineRule="auto"/>
        <w:ind w:right="544"/>
        <w:jc w:val="both"/>
        <w:rPr>
          <w:rFonts w:ascii="Verdana" w:hAnsi="Verdana"/>
          <w:sz w:val="18"/>
          <w:szCs w:val="18"/>
        </w:rPr>
      </w:pPr>
    </w:p>
    <w:p w14:paraId="38055B2F" w14:textId="77777777" w:rsidR="00015F4E" w:rsidRPr="00EC75B7" w:rsidRDefault="00015F4E" w:rsidP="00015F4E">
      <w:pPr>
        <w:ind w:left="765"/>
        <w:jc w:val="both"/>
        <w:rPr>
          <w:rFonts w:ascii="Verdana" w:hAnsi="Verdana"/>
          <w:b/>
          <w:color w:val="00AFEF"/>
          <w:sz w:val="16"/>
          <w:szCs w:val="16"/>
        </w:rPr>
      </w:pPr>
      <w:r w:rsidRPr="00EC75B7">
        <w:rPr>
          <w:rFonts w:ascii="Verdana" w:hAnsi="Verdana"/>
          <w:b/>
          <w:color w:val="00AFEF"/>
          <w:sz w:val="16"/>
          <w:szCs w:val="16"/>
        </w:rPr>
        <w:t xml:space="preserve">Table 4 Mobile sources during the </w:t>
      </w:r>
      <w:r w:rsidRPr="00EC75B7">
        <w:rPr>
          <w:rFonts w:ascii="Verdana" w:hAnsi="Verdana"/>
          <w:b/>
          <w:color w:val="00AFEF"/>
          <w:spacing w:val="-2"/>
          <w:sz w:val="16"/>
          <w:szCs w:val="16"/>
        </w:rPr>
        <w:t xml:space="preserve">execution </w:t>
      </w:r>
      <w:r w:rsidRPr="00EC75B7">
        <w:rPr>
          <w:rFonts w:ascii="Verdana" w:hAnsi="Verdana"/>
          <w:b/>
          <w:color w:val="00AFEF"/>
          <w:sz w:val="16"/>
          <w:szCs w:val="16"/>
        </w:rPr>
        <w:t>period</w:t>
      </w:r>
    </w:p>
    <w:p w14:paraId="4087E12E" w14:textId="77777777" w:rsidR="00015F4E" w:rsidRPr="00EC75B7" w:rsidRDefault="00015F4E" w:rsidP="00015F4E">
      <w:pPr>
        <w:ind w:left="765"/>
        <w:jc w:val="both"/>
        <w:rPr>
          <w:rFonts w:ascii="Verdana" w:hAnsi="Verdana"/>
          <w:b/>
          <w:sz w:val="18"/>
          <w:szCs w:val="18"/>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247"/>
        <w:gridCol w:w="721"/>
        <w:gridCol w:w="720"/>
        <w:gridCol w:w="989"/>
        <w:gridCol w:w="812"/>
        <w:gridCol w:w="720"/>
        <w:gridCol w:w="720"/>
        <w:gridCol w:w="629"/>
        <w:gridCol w:w="721"/>
        <w:gridCol w:w="720"/>
        <w:gridCol w:w="720"/>
      </w:tblGrid>
      <w:tr w:rsidR="00015F4E" w:rsidRPr="00EC75B7" w14:paraId="6BA3447C" w14:textId="77777777" w:rsidTr="00513E30">
        <w:trPr>
          <w:trHeight w:val="265"/>
        </w:trPr>
        <w:tc>
          <w:tcPr>
            <w:tcW w:w="2247" w:type="dxa"/>
            <w:vMerge w:val="restart"/>
            <w:shd w:val="clear" w:color="auto" w:fill="00AFEF"/>
          </w:tcPr>
          <w:p w14:paraId="37D68A03" w14:textId="77777777" w:rsidR="00015F4E" w:rsidRPr="00EC75B7" w:rsidRDefault="00015F4E" w:rsidP="00513E30">
            <w:pPr>
              <w:pStyle w:val="TableParagraph"/>
              <w:spacing w:before="44"/>
              <w:rPr>
                <w:rFonts w:ascii="Verdana" w:hAnsi="Verdana"/>
                <w:b/>
                <w:sz w:val="14"/>
                <w:szCs w:val="14"/>
              </w:rPr>
            </w:pPr>
          </w:p>
          <w:p w14:paraId="3C7968EF" w14:textId="77777777" w:rsidR="00015F4E" w:rsidRPr="00EC75B7" w:rsidRDefault="00015F4E" w:rsidP="00513E30">
            <w:pPr>
              <w:pStyle w:val="TableParagraph"/>
              <w:ind w:left="331"/>
              <w:rPr>
                <w:rFonts w:ascii="Verdana" w:hAnsi="Verdana"/>
                <w:b/>
                <w:sz w:val="14"/>
                <w:szCs w:val="14"/>
              </w:rPr>
            </w:pPr>
            <w:r w:rsidRPr="00EC75B7">
              <w:rPr>
                <w:rFonts w:ascii="Verdana" w:hAnsi="Verdana"/>
                <w:b/>
                <w:color w:val="FFFFFF"/>
                <w:spacing w:val="-2"/>
                <w:sz w:val="14"/>
                <w:szCs w:val="14"/>
              </w:rPr>
              <w:t>Source name</w:t>
            </w:r>
          </w:p>
        </w:tc>
        <w:tc>
          <w:tcPr>
            <w:tcW w:w="7472" w:type="dxa"/>
            <w:gridSpan w:val="10"/>
            <w:shd w:val="clear" w:color="auto" w:fill="00AFEF"/>
          </w:tcPr>
          <w:p w14:paraId="18BB7C7B" w14:textId="77777777" w:rsidR="00015F4E" w:rsidRPr="00EC75B7" w:rsidRDefault="00015F4E" w:rsidP="00513E30">
            <w:pPr>
              <w:pStyle w:val="TableParagraph"/>
              <w:spacing w:before="35"/>
              <w:ind w:left="4"/>
              <w:jc w:val="center"/>
              <w:rPr>
                <w:rFonts w:ascii="Verdana" w:hAnsi="Verdana"/>
                <w:b/>
                <w:sz w:val="14"/>
                <w:szCs w:val="14"/>
              </w:rPr>
            </w:pPr>
            <w:r w:rsidRPr="00EC75B7">
              <w:rPr>
                <w:rFonts w:ascii="Verdana" w:hAnsi="Verdana"/>
                <w:b/>
                <w:color w:val="FFFFFF"/>
                <w:sz w:val="14"/>
                <w:szCs w:val="14"/>
              </w:rPr>
              <w:t xml:space="preserve">Pollutants and </w:t>
            </w:r>
            <w:r w:rsidRPr="00EC75B7">
              <w:rPr>
                <w:rFonts w:ascii="Verdana" w:hAnsi="Verdana"/>
                <w:b/>
                <w:color w:val="FFFFFF"/>
                <w:spacing w:val="-2"/>
                <w:sz w:val="14"/>
                <w:szCs w:val="14"/>
              </w:rPr>
              <w:t xml:space="preserve">mass </w:t>
            </w:r>
            <w:r w:rsidRPr="00EC75B7">
              <w:rPr>
                <w:rFonts w:ascii="Verdana" w:hAnsi="Verdana"/>
                <w:b/>
                <w:color w:val="FFFFFF"/>
                <w:sz w:val="14"/>
                <w:szCs w:val="14"/>
              </w:rPr>
              <w:t>flows</w:t>
            </w:r>
          </w:p>
        </w:tc>
      </w:tr>
      <w:tr w:rsidR="00015F4E" w:rsidRPr="00EC75B7" w14:paraId="193E106E" w14:textId="77777777" w:rsidTr="00513E30">
        <w:trPr>
          <w:trHeight w:val="194"/>
        </w:trPr>
        <w:tc>
          <w:tcPr>
            <w:tcW w:w="2247" w:type="dxa"/>
            <w:vMerge/>
            <w:tcBorders>
              <w:top w:val="nil"/>
            </w:tcBorders>
            <w:shd w:val="clear" w:color="auto" w:fill="00AFEF"/>
          </w:tcPr>
          <w:p w14:paraId="71874606" w14:textId="77777777" w:rsidR="00015F4E" w:rsidRPr="00EC75B7" w:rsidRDefault="00015F4E" w:rsidP="00513E30">
            <w:pPr>
              <w:rPr>
                <w:rFonts w:ascii="Verdana" w:hAnsi="Verdana"/>
                <w:sz w:val="14"/>
                <w:szCs w:val="14"/>
              </w:rPr>
            </w:pPr>
          </w:p>
        </w:tc>
        <w:tc>
          <w:tcPr>
            <w:tcW w:w="1441" w:type="dxa"/>
            <w:gridSpan w:val="2"/>
            <w:shd w:val="clear" w:color="auto" w:fill="00AFEF"/>
          </w:tcPr>
          <w:p w14:paraId="6D96537B" w14:textId="77777777" w:rsidR="00015F4E" w:rsidRPr="00EC75B7" w:rsidRDefault="00015F4E" w:rsidP="00513E30">
            <w:pPr>
              <w:pStyle w:val="TableParagraph"/>
              <w:spacing w:line="174" w:lineRule="exact"/>
              <w:ind w:left="10"/>
              <w:jc w:val="center"/>
              <w:rPr>
                <w:rFonts w:ascii="Verdana" w:hAnsi="Verdana"/>
                <w:b/>
                <w:position w:val="1"/>
                <w:sz w:val="14"/>
                <w:szCs w:val="14"/>
              </w:rPr>
            </w:pPr>
            <w:r w:rsidRPr="00EC75B7">
              <w:rPr>
                <w:rFonts w:ascii="Verdana" w:hAnsi="Verdana"/>
                <w:b/>
                <w:color w:val="FFFFFF"/>
                <w:spacing w:val="-4"/>
                <w:sz w:val="14"/>
                <w:szCs w:val="14"/>
              </w:rPr>
              <w:t>NO</w:t>
            </w:r>
            <w:r w:rsidRPr="00EC75B7">
              <w:rPr>
                <w:rFonts w:ascii="Verdana" w:hAnsi="Verdana"/>
                <w:b/>
                <w:color w:val="FFFFFF"/>
                <w:spacing w:val="-4"/>
                <w:position w:val="1"/>
                <w:sz w:val="14"/>
                <w:szCs w:val="14"/>
              </w:rPr>
              <w:t>2*</w:t>
            </w:r>
          </w:p>
        </w:tc>
        <w:tc>
          <w:tcPr>
            <w:tcW w:w="1801" w:type="dxa"/>
            <w:gridSpan w:val="2"/>
            <w:shd w:val="clear" w:color="auto" w:fill="00AFEF"/>
          </w:tcPr>
          <w:p w14:paraId="3B0D86E7" w14:textId="77777777" w:rsidR="00015F4E" w:rsidRPr="00EC75B7" w:rsidRDefault="00015F4E" w:rsidP="00513E30">
            <w:pPr>
              <w:pStyle w:val="TableParagraph"/>
              <w:spacing w:line="174" w:lineRule="exact"/>
              <w:ind w:left="7"/>
              <w:jc w:val="center"/>
              <w:rPr>
                <w:rFonts w:ascii="Verdana" w:hAnsi="Verdana"/>
                <w:b/>
                <w:sz w:val="14"/>
                <w:szCs w:val="14"/>
              </w:rPr>
            </w:pPr>
            <w:r w:rsidRPr="00EC75B7">
              <w:rPr>
                <w:rFonts w:ascii="Verdana" w:hAnsi="Verdana"/>
                <w:b/>
                <w:color w:val="FFFFFF"/>
                <w:spacing w:val="-5"/>
                <w:sz w:val="14"/>
                <w:szCs w:val="14"/>
              </w:rPr>
              <w:t>CO</w:t>
            </w:r>
          </w:p>
        </w:tc>
        <w:tc>
          <w:tcPr>
            <w:tcW w:w="1440" w:type="dxa"/>
            <w:gridSpan w:val="2"/>
            <w:shd w:val="clear" w:color="auto" w:fill="00AFEF"/>
          </w:tcPr>
          <w:p w14:paraId="10FD1114" w14:textId="77777777" w:rsidR="00015F4E" w:rsidRPr="00EC75B7" w:rsidRDefault="00015F4E" w:rsidP="00513E30">
            <w:pPr>
              <w:pStyle w:val="TableParagraph"/>
              <w:spacing w:line="174" w:lineRule="exact"/>
              <w:ind w:left="17" w:right="9"/>
              <w:jc w:val="center"/>
              <w:rPr>
                <w:rFonts w:ascii="Verdana" w:hAnsi="Verdana"/>
                <w:b/>
                <w:sz w:val="14"/>
                <w:szCs w:val="14"/>
              </w:rPr>
            </w:pPr>
            <w:r w:rsidRPr="00EC75B7">
              <w:rPr>
                <w:rFonts w:ascii="Verdana" w:hAnsi="Verdana"/>
                <w:b/>
                <w:color w:val="FFFFFF"/>
                <w:spacing w:val="-5"/>
                <w:sz w:val="14"/>
                <w:szCs w:val="14"/>
              </w:rPr>
              <w:t>CO</w:t>
            </w:r>
          </w:p>
        </w:tc>
        <w:tc>
          <w:tcPr>
            <w:tcW w:w="1350" w:type="dxa"/>
            <w:gridSpan w:val="2"/>
            <w:shd w:val="clear" w:color="auto" w:fill="00AFEF"/>
          </w:tcPr>
          <w:p w14:paraId="5784F8D7" w14:textId="77777777" w:rsidR="00015F4E" w:rsidRPr="00EC75B7" w:rsidRDefault="00015F4E" w:rsidP="00513E30">
            <w:pPr>
              <w:pStyle w:val="TableParagraph"/>
              <w:spacing w:line="174" w:lineRule="exact"/>
              <w:ind w:left="8"/>
              <w:jc w:val="center"/>
              <w:rPr>
                <w:rFonts w:ascii="Verdana" w:hAnsi="Verdana"/>
                <w:b/>
                <w:sz w:val="14"/>
                <w:szCs w:val="14"/>
              </w:rPr>
            </w:pPr>
            <w:r w:rsidRPr="00EC75B7">
              <w:rPr>
                <w:rFonts w:ascii="Verdana" w:hAnsi="Verdana"/>
                <w:b/>
                <w:color w:val="FFFFFF"/>
                <w:spacing w:val="-5"/>
                <w:sz w:val="14"/>
                <w:szCs w:val="14"/>
              </w:rPr>
              <w:t>SO</w:t>
            </w:r>
          </w:p>
        </w:tc>
        <w:tc>
          <w:tcPr>
            <w:tcW w:w="1440" w:type="dxa"/>
            <w:gridSpan w:val="2"/>
            <w:shd w:val="clear" w:color="auto" w:fill="00AFEF"/>
          </w:tcPr>
          <w:p w14:paraId="234B4260" w14:textId="77777777" w:rsidR="00015F4E" w:rsidRPr="00EC75B7" w:rsidRDefault="00015F4E" w:rsidP="00513E30">
            <w:pPr>
              <w:pStyle w:val="TableParagraph"/>
              <w:spacing w:line="174" w:lineRule="exact"/>
              <w:ind w:left="17" w:right="14"/>
              <w:jc w:val="center"/>
              <w:rPr>
                <w:rFonts w:ascii="Verdana" w:hAnsi="Verdana"/>
                <w:b/>
                <w:sz w:val="14"/>
                <w:szCs w:val="14"/>
              </w:rPr>
            </w:pPr>
            <w:r w:rsidRPr="00EC75B7">
              <w:rPr>
                <w:rFonts w:ascii="Verdana" w:hAnsi="Verdana"/>
                <w:b/>
                <w:color w:val="FFFFFF"/>
                <w:spacing w:val="-4"/>
                <w:sz w:val="14"/>
                <w:szCs w:val="14"/>
              </w:rPr>
              <w:t>PM10</w:t>
            </w:r>
          </w:p>
        </w:tc>
      </w:tr>
      <w:tr w:rsidR="00015F4E" w:rsidRPr="00EC75B7" w14:paraId="20F86EB8" w14:textId="77777777" w:rsidTr="00513E30">
        <w:trPr>
          <w:trHeight w:val="193"/>
        </w:trPr>
        <w:tc>
          <w:tcPr>
            <w:tcW w:w="2247" w:type="dxa"/>
            <w:vMerge/>
            <w:tcBorders>
              <w:top w:val="nil"/>
            </w:tcBorders>
            <w:shd w:val="clear" w:color="auto" w:fill="00AFEF"/>
          </w:tcPr>
          <w:p w14:paraId="7D08FE3C" w14:textId="77777777" w:rsidR="00015F4E" w:rsidRPr="00EC75B7" w:rsidRDefault="00015F4E" w:rsidP="00513E30">
            <w:pPr>
              <w:rPr>
                <w:rFonts w:ascii="Verdana" w:hAnsi="Verdana"/>
                <w:sz w:val="14"/>
                <w:szCs w:val="14"/>
              </w:rPr>
            </w:pPr>
          </w:p>
        </w:tc>
        <w:tc>
          <w:tcPr>
            <w:tcW w:w="721" w:type="dxa"/>
            <w:shd w:val="clear" w:color="auto" w:fill="00AFEF"/>
          </w:tcPr>
          <w:p w14:paraId="5D0E3F6D" w14:textId="77777777" w:rsidR="00015F4E" w:rsidRPr="00EC75B7" w:rsidRDefault="00015F4E" w:rsidP="00513E30">
            <w:pPr>
              <w:pStyle w:val="TableParagraph"/>
              <w:spacing w:line="174" w:lineRule="exact"/>
              <w:ind w:left="9"/>
              <w:jc w:val="center"/>
              <w:rPr>
                <w:rFonts w:ascii="Verdana" w:hAnsi="Verdana"/>
                <w:b/>
                <w:sz w:val="14"/>
                <w:szCs w:val="14"/>
              </w:rPr>
            </w:pPr>
            <w:r w:rsidRPr="00EC75B7">
              <w:rPr>
                <w:rFonts w:ascii="Verdana" w:hAnsi="Verdana"/>
                <w:b/>
                <w:color w:val="FFFFFF"/>
                <w:spacing w:val="-5"/>
                <w:sz w:val="14"/>
                <w:szCs w:val="14"/>
              </w:rPr>
              <w:t>g/h</w:t>
            </w:r>
          </w:p>
        </w:tc>
        <w:tc>
          <w:tcPr>
            <w:tcW w:w="720" w:type="dxa"/>
            <w:shd w:val="clear" w:color="auto" w:fill="00AFEF"/>
          </w:tcPr>
          <w:p w14:paraId="06A42DB7" w14:textId="77777777" w:rsidR="00015F4E" w:rsidRPr="00EC75B7" w:rsidRDefault="00015F4E" w:rsidP="00513E30">
            <w:pPr>
              <w:pStyle w:val="TableParagraph"/>
              <w:spacing w:line="174" w:lineRule="exact"/>
              <w:ind w:left="10"/>
              <w:jc w:val="center"/>
              <w:rPr>
                <w:rFonts w:ascii="Verdana" w:hAnsi="Verdana"/>
                <w:b/>
                <w:sz w:val="14"/>
                <w:szCs w:val="14"/>
              </w:rPr>
            </w:pPr>
            <w:r w:rsidRPr="00EC75B7">
              <w:rPr>
                <w:rFonts w:ascii="Verdana" w:hAnsi="Verdana"/>
                <w:b/>
                <w:color w:val="FFFFFF"/>
                <w:spacing w:val="-5"/>
                <w:sz w:val="14"/>
                <w:szCs w:val="14"/>
              </w:rPr>
              <w:t>g/s</w:t>
            </w:r>
          </w:p>
        </w:tc>
        <w:tc>
          <w:tcPr>
            <w:tcW w:w="989" w:type="dxa"/>
            <w:shd w:val="clear" w:color="auto" w:fill="00AFEF"/>
          </w:tcPr>
          <w:p w14:paraId="637A7548" w14:textId="77777777" w:rsidR="00015F4E" w:rsidRPr="00EC75B7" w:rsidRDefault="00015F4E" w:rsidP="00513E30">
            <w:pPr>
              <w:pStyle w:val="TableParagraph"/>
              <w:spacing w:line="174" w:lineRule="exact"/>
              <w:ind w:left="9"/>
              <w:jc w:val="center"/>
              <w:rPr>
                <w:rFonts w:ascii="Verdana" w:hAnsi="Verdana"/>
                <w:b/>
                <w:sz w:val="14"/>
                <w:szCs w:val="14"/>
              </w:rPr>
            </w:pPr>
            <w:r w:rsidRPr="00EC75B7">
              <w:rPr>
                <w:rFonts w:ascii="Verdana" w:hAnsi="Verdana"/>
                <w:b/>
                <w:color w:val="FFFFFF"/>
                <w:spacing w:val="-5"/>
                <w:sz w:val="14"/>
                <w:szCs w:val="14"/>
              </w:rPr>
              <w:t>g/h</w:t>
            </w:r>
          </w:p>
        </w:tc>
        <w:tc>
          <w:tcPr>
            <w:tcW w:w="812" w:type="dxa"/>
            <w:shd w:val="clear" w:color="auto" w:fill="00AFEF"/>
          </w:tcPr>
          <w:p w14:paraId="6BF24703" w14:textId="77777777" w:rsidR="00015F4E" w:rsidRPr="00EC75B7" w:rsidRDefault="00015F4E" w:rsidP="00513E30">
            <w:pPr>
              <w:pStyle w:val="TableParagraph"/>
              <w:spacing w:line="174" w:lineRule="exact"/>
              <w:ind w:left="4"/>
              <w:jc w:val="center"/>
              <w:rPr>
                <w:rFonts w:ascii="Verdana" w:hAnsi="Verdana"/>
                <w:b/>
                <w:sz w:val="14"/>
                <w:szCs w:val="14"/>
              </w:rPr>
            </w:pPr>
            <w:r w:rsidRPr="00EC75B7">
              <w:rPr>
                <w:rFonts w:ascii="Verdana" w:hAnsi="Verdana"/>
                <w:b/>
                <w:color w:val="FFFFFF"/>
                <w:spacing w:val="-5"/>
                <w:sz w:val="14"/>
                <w:szCs w:val="14"/>
              </w:rPr>
              <w:t>g/s</w:t>
            </w:r>
          </w:p>
        </w:tc>
        <w:tc>
          <w:tcPr>
            <w:tcW w:w="720" w:type="dxa"/>
            <w:shd w:val="clear" w:color="auto" w:fill="00AFEF"/>
          </w:tcPr>
          <w:p w14:paraId="489B2198" w14:textId="77777777" w:rsidR="00015F4E" w:rsidRPr="00EC75B7" w:rsidRDefault="00015F4E" w:rsidP="00513E30">
            <w:pPr>
              <w:pStyle w:val="TableParagraph"/>
              <w:spacing w:line="174" w:lineRule="exact"/>
              <w:ind w:left="190"/>
              <w:rPr>
                <w:rFonts w:ascii="Verdana" w:hAnsi="Verdana"/>
                <w:b/>
                <w:sz w:val="14"/>
                <w:szCs w:val="14"/>
              </w:rPr>
            </w:pPr>
            <w:r w:rsidRPr="00EC75B7">
              <w:rPr>
                <w:rFonts w:ascii="Verdana" w:hAnsi="Verdana"/>
                <w:b/>
                <w:color w:val="FFFFFF"/>
                <w:spacing w:val="-5"/>
                <w:sz w:val="14"/>
                <w:szCs w:val="14"/>
              </w:rPr>
              <w:t>g/h</w:t>
            </w:r>
          </w:p>
        </w:tc>
        <w:tc>
          <w:tcPr>
            <w:tcW w:w="720" w:type="dxa"/>
            <w:shd w:val="clear" w:color="auto" w:fill="00AFEF"/>
          </w:tcPr>
          <w:p w14:paraId="0264A674" w14:textId="77777777" w:rsidR="00015F4E" w:rsidRPr="00EC75B7" w:rsidRDefault="00015F4E" w:rsidP="00513E30">
            <w:pPr>
              <w:pStyle w:val="TableParagraph"/>
              <w:spacing w:line="174" w:lineRule="exact"/>
              <w:ind w:right="189"/>
              <w:jc w:val="right"/>
              <w:rPr>
                <w:rFonts w:ascii="Verdana" w:hAnsi="Verdana"/>
                <w:b/>
                <w:sz w:val="14"/>
                <w:szCs w:val="14"/>
              </w:rPr>
            </w:pPr>
            <w:r w:rsidRPr="00EC75B7">
              <w:rPr>
                <w:rFonts w:ascii="Verdana" w:hAnsi="Verdana"/>
                <w:b/>
                <w:color w:val="FFFFFF"/>
                <w:spacing w:val="-5"/>
                <w:sz w:val="14"/>
                <w:szCs w:val="14"/>
              </w:rPr>
              <w:t>g/s</w:t>
            </w:r>
          </w:p>
        </w:tc>
        <w:tc>
          <w:tcPr>
            <w:tcW w:w="629" w:type="dxa"/>
            <w:shd w:val="clear" w:color="auto" w:fill="00AFEF"/>
          </w:tcPr>
          <w:p w14:paraId="6A5268A2" w14:textId="77777777" w:rsidR="00015F4E" w:rsidRPr="00EC75B7" w:rsidRDefault="00015F4E" w:rsidP="00513E30">
            <w:pPr>
              <w:pStyle w:val="TableParagraph"/>
              <w:spacing w:line="174" w:lineRule="exact"/>
              <w:ind w:left="8"/>
              <w:jc w:val="center"/>
              <w:rPr>
                <w:rFonts w:ascii="Verdana" w:hAnsi="Verdana"/>
                <w:b/>
                <w:sz w:val="14"/>
                <w:szCs w:val="14"/>
              </w:rPr>
            </w:pPr>
            <w:r w:rsidRPr="00EC75B7">
              <w:rPr>
                <w:rFonts w:ascii="Verdana" w:hAnsi="Verdana"/>
                <w:b/>
                <w:color w:val="FFFFFF"/>
                <w:spacing w:val="-5"/>
                <w:sz w:val="14"/>
                <w:szCs w:val="14"/>
              </w:rPr>
              <w:t>g/h</w:t>
            </w:r>
          </w:p>
        </w:tc>
        <w:tc>
          <w:tcPr>
            <w:tcW w:w="721" w:type="dxa"/>
            <w:shd w:val="clear" w:color="auto" w:fill="00AFEF"/>
          </w:tcPr>
          <w:p w14:paraId="76850D68" w14:textId="77777777" w:rsidR="00015F4E" w:rsidRPr="00EC75B7" w:rsidRDefault="00015F4E" w:rsidP="00513E30">
            <w:pPr>
              <w:pStyle w:val="TableParagraph"/>
              <w:spacing w:line="174" w:lineRule="exact"/>
              <w:ind w:left="9" w:right="2"/>
              <w:jc w:val="center"/>
              <w:rPr>
                <w:rFonts w:ascii="Verdana" w:hAnsi="Verdana"/>
                <w:b/>
                <w:sz w:val="14"/>
                <w:szCs w:val="14"/>
              </w:rPr>
            </w:pPr>
            <w:r w:rsidRPr="00EC75B7">
              <w:rPr>
                <w:rFonts w:ascii="Verdana" w:hAnsi="Verdana"/>
                <w:b/>
                <w:color w:val="FFFFFF"/>
                <w:spacing w:val="-5"/>
                <w:sz w:val="14"/>
                <w:szCs w:val="14"/>
              </w:rPr>
              <w:t>g/s</w:t>
            </w:r>
          </w:p>
        </w:tc>
        <w:tc>
          <w:tcPr>
            <w:tcW w:w="720" w:type="dxa"/>
            <w:shd w:val="clear" w:color="auto" w:fill="00AFEF"/>
          </w:tcPr>
          <w:p w14:paraId="6960379B" w14:textId="77777777" w:rsidR="00015F4E" w:rsidRPr="00EC75B7" w:rsidRDefault="00015F4E" w:rsidP="00513E30">
            <w:pPr>
              <w:pStyle w:val="TableParagraph"/>
              <w:spacing w:line="174" w:lineRule="exact"/>
              <w:ind w:left="10" w:right="3"/>
              <w:jc w:val="center"/>
              <w:rPr>
                <w:rFonts w:ascii="Verdana" w:hAnsi="Verdana"/>
                <w:b/>
                <w:sz w:val="14"/>
                <w:szCs w:val="14"/>
              </w:rPr>
            </w:pPr>
            <w:r w:rsidRPr="00EC75B7">
              <w:rPr>
                <w:rFonts w:ascii="Verdana" w:hAnsi="Verdana"/>
                <w:b/>
                <w:color w:val="FFFFFF"/>
                <w:spacing w:val="-5"/>
                <w:sz w:val="14"/>
                <w:szCs w:val="14"/>
              </w:rPr>
              <w:t>g/h</w:t>
            </w:r>
          </w:p>
        </w:tc>
        <w:tc>
          <w:tcPr>
            <w:tcW w:w="720" w:type="dxa"/>
            <w:shd w:val="clear" w:color="auto" w:fill="00AFEF"/>
          </w:tcPr>
          <w:p w14:paraId="2B4213A5" w14:textId="77777777" w:rsidR="00015F4E" w:rsidRPr="00EC75B7" w:rsidRDefault="00015F4E" w:rsidP="00513E30">
            <w:pPr>
              <w:pStyle w:val="TableParagraph"/>
              <w:spacing w:line="174" w:lineRule="exact"/>
              <w:ind w:left="10" w:right="3"/>
              <w:jc w:val="center"/>
              <w:rPr>
                <w:rFonts w:ascii="Verdana" w:hAnsi="Verdana"/>
                <w:b/>
                <w:sz w:val="14"/>
                <w:szCs w:val="14"/>
              </w:rPr>
            </w:pPr>
            <w:r w:rsidRPr="00EC75B7">
              <w:rPr>
                <w:rFonts w:ascii="Verdana" w:hAnsi="Verdana"/>
                <w:b/>
                <w:color w:val="FFFFFF"/>
                <w:spacing w:val="-5"/>
                <w:sz w:val="14"/>
                <w:szCs w:val="14"/>
              </w:rPr>
              <w:t>g/s</w:t>
            </w:r>
          </w:p>
        </w:tc>
      </w:tr>
      <w:tr w:rsidR="00015F4E" w:rsidRPr="00EC75B7" w14:paraId="349CEFE2" w14:textId="77777777" w:rsidTr="00513E30">
        <w:trPr>
          <w:trHeight w:val="193"/>
        </w:trPr>
        <w:tc>
          <w:tcPr>
            <w:tcW w:w="2247" w:type="dxa"/>
          </w:tcPr>
          <w:p w14:paraId="75BC5126" w14:textId="77777777" w:rsidR="00015F4E" w:rsidRPr="00EC75B7" w:rsidRDefault="00015F4E" w:rsidP="00513E30">
            <w:pPr>
              <w:pStyle w:val="TableParagraph"/>
              <w:spacing w:line="174" w:lineRule="exact"/>
              <w:ind w:left="8"/>
              <w:jc w:val="center"/>
              <w:rPr>
                <w:rFonts w:ascii="Verdana" w:hAnsi="Verdana"/>
                <w:b/>
                <w:sz w:val="14"/>
                <w:szCs w:val="14"/>
              </w:rPr>
            </w:pPr>
            <w:r w:rsidRPr="00EC75B7">
              <w:rPr>
                <w:rFonts w:ascii="Verdana" w:hAnsi="Verdana"/>
                <w:b/>
                <w:spacing w:val="-2"/>
                <w:sz w:val="14"/>
                <w:szCs w:val="14"/>
              </w:rPr>
              <w:t>Dump truck</w:t>
            </w:r>
          </w:p>
        </w:tc>
        <w:tc>
          <w:tcPr>
            <w:tcW w:w="721" w:type="dxa"/>
          </w:tcPr>
          <w:p w14:paraId="54820382" w14:textId="77777777" w:rsidR="00015F4E" w:rsidRPr="00EC75B7" w:rsidRDefault="00015F4E" w:rsidP="00513E30">
            <w:pPr>
              <w:pStyle w:val="TableParagraph"/>
              <w:spacing w:line="174" w:lineRule="exact"/>
              <w:ind w:left="9"/>
              <w:jc w:val="center"/>
              <w:rPr>
                <w:rFonts w:ascii="Verdana" w:hAnsi="Verdana"/>
                <w:sz w:val="14"/>
                <w:szCs w:val="14"/>
              </w:rPr>
            </w:pPr>
            <w:r w:rsidRPr="00EC75B7">
              <w:rPr>
                <w:rFonts w:ascii="Verdana" w:hAnsi="Verdana"/>
                <w:spacing w:val="-4"/>
                <w:sz w:val="14"/>
                <w:szCs w:val="14"/>
              </w:rPr>
              <w:t>251.4</w:t>
            </w:r>
          </w:p>
        </w:tc>
        <w:tc>
          <w:tcPr>
            <w:tcW w:w="720" w:type="dxa"/>
          </w:tcPr>
          <w:p w14:paraId="1ACD70DD" w14:textId="77777777" w:rsidR="00015F4E" w:rsidRPr="00EC75B7" w:rsidRDefault="00015F4E" w:rsidP="00513E30">
            <w:pPr>
              <w:pStyle w:val="TableParagraph"/>
              <w:spacing w:line="174" w:lineRule="exact"/>
              <w:ind w:left="10" w:right="1"/>
              <w:jc w:val="center"/>
              <w:rPr>
                <w:rFonts w:ascii="Verdana" w:hAnsi="Verdana"/>
                <w:sz w:val="14"/>
                <w:szCs w:val="14"/>
              </w:rPr>
            </w:pPr>
            <w:r w:rsidRPr="00EC75B7">
              <w:rPr>
                <w:rFonts w:ascii="Verdana" w:hAnsi="Verdana"/>
                <w:spacing w:val="-2"/>
                <w:sz w:val="14"/>
                <w:szCs w:val="14"/>
              </w:rPr>
              <w:t>0.070</w:t>
            </w:r>
          </w:p>
        </w:tc>
        <w:tc>
          <w:tcPr>
            <w:tcW w:w="989" w:type="dxa"/>
          </w:tcPr>
          <w:p w14:paraId="566F9192" w14:textId="77777777" w:rsidR="00015F4E" w:rsidRPr="00EC75B7" w:rsidRDefault="00015F4E" w:rsidP="00513E30">
            <w:pPr>
              <w:pStyle w:val="TableParagraph"/>
              <w:spacing w:line="174" w:lineRule="exact"/>
              <w:ind w:left="9" w:right="3"/>
              <w:jc w:val="center"/>
              <w:rPr>
                <w:rFonts w:ascii="Verdana" w:hAnsi="Verdana"/>
                <w:sz w:val="14"/>
                <w:szCs w:val="14"/>
              </w:rPr>
            </w:pPr>
            <w:r w:rsidRPr="00EC75B7">
              <w:rPr>
                <w:rFonts w:ascii="Verdana" w:hAnsi="Verdana"/>
                <w:spacing w:val="-2"/>
                <w:sz w:val="14"/>
                <w:szCs w:val="14"/>
              </w:rPr>
              <w:t>84,131.8</w:t>
            </w:r>
          </w:p>
        </w:tc>
        <w:tc>
          <w:tcPr>
            <w:tcW w:w="812" w:type="dxa"/>
          </w:tcPr>
          <w:p w14:paraId="11306C3A" w14:textId="77777777" w:rsidR="00015F4E" w:rsidRPr="00EC75B7" w:rsidRDefault="00015F4E" w:rsidP="00513E30">
            <w:pPr>
              <w:pStyle w:val="TableParagraph"/>
              <w:spacing w:line="174" w:lineRule="exact"/>
              <w:ind w:left="4" w:right="1"/>
              <w:jc w:val="center"/>
              <w:rPr>
                <w:rFonts w:ascii="Verdana" w:hAnsi="Verdana"/>
                <w:sz w:val="14"/>
                <w:szCs w:val="14"/>
              </w:rPr>
            </w:pPr>
            <w:r w:rsidRPr="00EC75B7">
              <w:rPr>
                <w:rFonts w:ascii="Verdana" w:hAnsi="Verdana"/>
                <w:spacing w:val="-2"/>
                <w:sz w:val="14"/>
                <w:szCs w:val="14"/>
              </w:rPr>
              <w:t>23.370</w:t>
            </w:r>
          </w:p>
        </w:tc>
        <w:tc>
          <w:tcPr>
            <w:tcW w:w="720" w:type="dxa"/>
          </w:tcPr>
          <w:p w14:paraId="09B4ACEA" w14:textId="77777777" w:rsidR="00015F4E" w:rsidRPr="00EC75B7" w:rsidRDefault="00015F4E" w:rsidP="00513E30">
            <w:pPr>
              <w:pStyle w:val="TableParagraph"/>
              <w:spacing w:line="174" w:lineRule="exact"/>
              <w:ind w:left="125"/>
              <w:rPr>
                <w:rFonts w:ascii="Verdana" w:hAnsi="Verdana"/>
                <w:sz w:val="14"/>
                <w:szCs w:val="14"/>
              </w:rPr>
            </w:pPr>
            <w:r w:rsidRPr="00EC75B7">
              <w:rPr>
                <w:rFonts w:ascii="Verdana" w:hAnsi="Verdana"/>
                <w:spacing w:val="-4"/>
                <w:sz w:val="14"/>
                <w:szCs w:val="14"/>
              </w:rPr>
              <w:t>286.8</w:t>
            </w:r>
          </w:p>
        </w:tc>
        <w:tc>
          <w:tcPr>
            <w:tcW w:w="720" w:type="dxa"/>
          </w:tcPr>
          <w:p w14:paraId="735A3731" w14:textId="77777777" w:rsidR="00015F4E" w:rsidRPr="00EC75B7" w:rsidRDefault="00015F4E" w:rsidP="00513E30">
            <w:pPr>
              <w:pStyle w:val="TableParagraph"/>
              <w:spacing w:line="174" w:lineRule="exact"/>
              <w:ind w:right="115"/>
              <w:jc w:val="right"/>
              <w:rPr>
                <w:rFonts w:ascii="Verdana" w:hAnsi="Verdana"/>
                <w:sz w:val="14"/>
                <w:szCs w:val="14"/>
              </w:rPr>
            </w:pPr>
            <w:r w:rsidRPr="00EC75B7">
              <w:rPr>
                <w:rFonts w:ascii="Verdana" w:hAnsi="Verdana"/>
                <w:spacing w:val="-2"/>
                <w:sz w:val="14"/>
                <w:szCs w:val="14"/>
              </w:rPr>
              <w:t>0.080</w:t>
            </w:r>
          </w:p>
        </w:tc>
        <w:tc>
          <w:tcPr>
            <w:tcW w:w="629" w:type="dxa"/>
          </w:tcPr>
          <w:p w14:paraId="670436C1" w14:textId="77777777" w:rsidR="00015F4E" w:rsidRPr="00EC75B7" w:rsidRDefault="00015F4E" w:rsidP="00513E30">
            <w:pPr>
              <w:pStyle w:val="TableParagraph"/>
              <w:spacing w:line="174" w:lineRule="exact"/>
              <w:ind w:left="8" w:right="3"/>
              <w:jc w:val="center"/>
              <w:rPr>
                <w:rFonts w:ascii="Verdana" w:hAnsi="Verdana"/>
                <w:sz w:val="14"/>
                <w:szCs w:val="14"/>
              </w:rPr>
            </w:pPr>
            <w:r w:rsidRPr="00EC75B7">
              <w:rPr>
                <w:rFonts w:ascii="Verdana" w:hAnsi="Verdana"/>
                <w:spacing w:val="-4"/>
                <w:sz w:val="14"/>
                <w:szCs w:val="14"/>
              </w:rPr>
              <w:t>26.6</w:t>
            </w:r>
          </w:p>
        </w:tc>
        <w:tc>
          <w:tcPr>
            <w:tcW w:w="721" w:type="dxa"/>
          </w:tcPr>
          <w:p w14:paraId="27B56FF1" w14:textId="77777777" w:rsidR="00015F4E" w:rsidRPr="00EC75B7" w:rsidRDefault="00015F4E" w:rsidP="00513E30">
            <w:pPr>
              <w:pStyle w:val="TableParagraph"/>
              <w:spacing w:line="174" w:lineRule="exact"/>
              <w:ind w:left="9" w:right="3"/>
              <w:jc w:val="center"/>
              <w:rPr>
                <w:rFonts w:ascii="Verdana" w:hAnsi="Verdana"/>
                <w:sz w:val="14"/>
                <w:szCs w:val="14"/>
              </w:rPr>
            </w:pPr>
            <w:r w:rsidRPr="00EC75B7">
              <w:rPr>
                <w:rFonts w:ascii="Verdana" w:hAnsi="Verdana"/>
                <w:spacing w:val="-2"/>
                <w:sz w:val="14"/>
                <w:szCs w:val="14"/>
              </w:rPr>
              <w:t>0.007</w:t>
            </w:r>
          </w:p>
        </w:tc>
        <w:tc>
          <w:tcPr>
            <w:tcW w:w="720" w:type="dxa"/>
          </w:tcPr>
          <w:p w14:paraId="7694449E" w14:textId="77777777" w:rsidR="00015F4E" w:rsidRPr="00EC75B7" w:rsidRDefault="00015F4E" w:rsidP="00513E30">
            <w:pPr>
              <w:pStyle w:val="TableParagraph"/>
              <w:spacing w:line="174" w:lineRule="exact"/>
              <w:ind w:left="10" w:right="6"/>
              <w:jc w:val="center"/>
              <w:rPr>
                <w:rFonts w:ascii="Verdana" w:hAnsi="Verdana"/>
                <w:sz w:val="14"/>
                <w:szCs w:val="14"/>
              </w:rPr>
            </w:pPr>
            <w:r w:rsidRPr="00EC75B7">
              <w:rPr>
                <w:rFonts w:ascii="Verdana" w:hAnsi="Verdana"/>
                <w:spacing w:val="-4"/>
                <w:sz w:val="14"/>
                <w:szCs w:val="14"/>
              </w:rPr>
              <w:t>56</w:t>
            </w:r>
          </w:p>
        </w:tc>
        <w:tc>
          <w:tcPr>
            <w:tcW w:w="720" w:type="dxa"/>
          </w:tcPr>
          <w:p w14:paraId="311959F6" w14:textId="77777777" w:rsidR="00015F4E" w:rsidRPr="00EC75B7" w:rsidRDefault="00015F4E" w:rsidP="00513E30">
            <w:pPr>
              <w:pStyle w:val="TableParagraph"/>
              <w:spacing w:line="174" w:lineRule="exact"/>
              <w:ind w:left="10" w:right="3"/>
              <w:jc w:val="center"/>
              <w:rPr>
                <w:rFonts w:ascii="Verdana" w:hAnsi="Verdana"/>
                <w:sz w:val="14"/>
                <w:szCs w:val="14"/>
              </w:rPr>
            </w:pPr>
            <w:r w:rsidRPr="00EC75B7">
              <w:rPr>
                <w:rFonts w:ascii="Verdana" w:hAnsi="Verdana"/>
                <w:spacing w:val="-2"/>
                <w:sz w:val="14"/>
                <w:szCs w:val="14"/>
              </w:rPr>
              <w:t>0.016</w:t>
            </w:r>
          </w:p>
        </w:tc>
      </w:tr>
      <w:tr w:rsidR="00015F4E" w:rsidRPr="00EC75B7" w14:paraId="3FBAA0CE" w14:textId="77777777" w:rsidTr="00513E30">
        <w:trPr>
          <w:trHeight w:val="194"/>
        </w:trPr>
        <w:tc>
          <w:tcPr>
            <w:tcW w:w="2247" w:type="dxa"/>
          </w:tcPr>
          <w:p w14:paraId="03AB8FD1" w14:textId="77777777" w:rsidR="00015F4E" w:rsidRPr="00EC75B7" w:rsidRDefault="00015F4E" w:rsidP="00513E30">
            <w:pPr>
              <w:pStyle w:val="TableParagraph"/>
              <w:spacing w:line="174" w:lineRule="exact"/>
              <w:ind w:left="8" w:right="3"/>
              <w:jc w:val="center"/>
              <w:rPr>
                <w:rFonts w:ascii="Verdana" w:hAnsi="Verdana"/>
                <w:b/>
                <w:sz w:val="14"/>
                <w:szCs w:val="14"/>
              </w:rPr>
            </w:pPr>
            <w:r w:rsidRPr="00EC75B7">
              <w:rPr>
                <w:rFonts w:ascii="Verdana" w:hAnsi="Verdana"/>
                <w:b/>
                <w:spacing w:val="-2"/>
                <w:sz w:val="14"/>
                <w:szCs w:val="14"/>
              </w:rPr>
              <w:t>Excavators</w:t>
            </w:r>
          </w:p>
        </w:tc>
        <w:tc>
          <w:tcPr>
            <w:tcW w:w="721" w:type="dxa"/>
          </w:tcPr>
          <w:p w14:paraId="67B8E8D0" w14:textId="77777777" w:rsidR="00015F4E" w:rsidRPr="00EC75B7" w:rsidRDefault="00015F4E" w:rsidP="00513E30">
            <w:pPr>
              <w:pStyle w:val="TableParagraph"/>
              <w:spacing w:line="174" w:lineRule="exact"/>
              <w:ind w:left="9"/>
              <w:jc w:val="center"/>
              <w:rPr>
                <w:rFonts w:ascii="Verdana" w:hAnsi="Verdana"/>
                <w:sz w:val="14"/>
                <w:szCs w:val="14"/>
              </w:rPr>
            </w:pPr>
            <w:r w:rsidRPr="00EC75B7">
              <w:rPr>
                <w:rFonts w:ascii="Verdana" w:hAnsi="Verdana"/>
                <w:spacing w:val="-4"/>
                <w:sz w:val="14"/>
                <w:szCs w:val="14"/>
              </w:rPr>
              <w:t>157.1</w:t>
            </w:r>
          </w:p>
        </w:tc>
        <w:tc>
          <w:tcPr>
            <w:tcW w:w="720" w:type="dxa"/>
          </w:tcPr>
          <w:p w14:paraId="3BC873FD" w14:textId="77777777" w:rsidR="00015F4E" w:rsidRPr="00EC75B7" w:rsidRDefault="00015F4E" w:rsidP="00513E30">
            <w:pPr>
              <w:pStyle w:val="TableParagraph"/>
              <w:spacing w:line="174" w:lineRule="exact"/>
              <w:ind w:left="10" w:right="1"/>
              <w:jc w:val="center"/>
              <w:rPr>
                <w:rFonts w:ascii="Verdana" w:hAnsi="Verdana"/>
                <w:sz w:val="14"/>
                <w:szCs w:val="14"/>
              </w:rPr>
            </w:pPr>
            <w:r w:rsidRPr="00EC75B7">
              <w:rPr>
                <w:rFonts w:ascii="Verdana" w:hAnsi="Verdana"/>
                <w:spacing w:val="-2"/>
                <w:sz w:val="14"/>
                <w:szCs w:val="14"/>
              </w:rPr>
              <w:t>0.044</w:t>
            </w:r>
          </w:p>
        </w:tc>
        <w:tc>
          <w:tcPr>
            <w:tcW w:w="989" w:type="dxa"/>
          </w:tcPr>
          <w:p w14:paraId="1416977D" w14:textId="77777777" w:rsidR="00015F4E" w:rsidRPr="00EC75B7" w:rsidRDefault="00015F4E" w:rsidP="00513E30">
            <w:pPr>
              <w:pStyle w:val="TableParagraph"/>
              <w:spacing w:line="174" w:lineRule="exact"/>
              <w:ind w:left="9" w:right="3"/>
              <w:jc w:val="center"/>
              <w:rPr>
                <w:rFonts w:ascii="Verdana" w:hAnsi="Verdana"/>
                <w:sz w:val="14"/>
                <w:szCs w:val="14"/>
              </w:rPr>
            </w:pPr>
            <w:r w:rsidRPr="00EC75B7">
              <w:rPr>
                <w:rFonts w:ascii="Verdana" w:hAnsi="Verdana"/>
                <w:spacing w:val="-2"/>
                <w:sz w:val="14"/>
                <w:szCs w:val="14"/>
              </w:rPr>
              <w:t>52,582.4</w:t>
            </w:r>
          </w:p>
        </w:tc>
        <w:tc>
          <w:tcPr>
            <w:tcW w:w="812" w:type="dxa"/>
          </w:tcPr>
          <w:p w14:paraId="41BE6370" w14:textId="77777777" w:rsidR="00015F4E" w:rsidRPr="00EC75B7" w:rsidRDefault="00015F4E" w:rsidP="00513E30">
            <w:pPr>
              <w:pStyle w:val="TableParagraph"/>
              <w:spacing w:line="174" w:lineRule="exact"/>
              <w:ind w:left="4" w:right="1"/>
              <w:jc w:val="center"/>
              <w:rPr>
                <w:rFonts w:ascii="Verdana" w:hAnsi="Verdana"/>
                <w:sz w:val="14"/>
                <w:szCs w:val="14"/>
              </w:rPr>
            </w:pPr>
            <w:r w:rsidRPr="00EC75B7">
              <w:rPr>
                <w:rFonts w:ascii="Verdana" w:hAnsi="Verdana"/>
                <w:spacing w:val="-2"/>
                <w:sz w:val="14"/>
                <w:szCs w:val="14"/>
              </w:rPr>
              <w:t>14.606</w:t>
            </w:r>
          </w:p>
        </w:tc>
        <w:tc>
          <w:tcPr>
            <w:tcW w:w="720" w:type="dxa"/>
          </w:tcPr>
          <w:p w14:paraId="3FF98F09" w14:textId="77777777" w:rsidR="00015F4E" w:rsidRPr="00EC75B7" w:rsidRDefault="00015F4E" w:rsidP="00513E30">
            <w:pPr>
              <w:pStyle w:val="TableParagraph"/>
              <w:spacing w:line="174" w:lineRule="exact"/>
              <w:ind w:left="125"/>
              <w:rPr>
                <w:rFonts w:ascii="Verdana" w:hAnsi="Verdana"/>
                <w:sz w:val="14"/>
                <w:szCs w:val="14"/>
              </w:rPr>
            </w:pPr>
            <w:r w:rsidRPr="00EC75B7">
              <w:rPr>
                <w:rFonts w:ascii="Verdana" w:hAnsi="Verdana"/>
                <w:spacing w:val="-4"/>
                <w:sz w:val="14"/>
                <w:szCs w:val="14"/>
              </w:rPr>
              <w:t>179.3</w:t>
            </w:r>
          </w:p>
        </w:tc>
        <w:tc>
          <w:tcPr>
            <w:tcW w:w="720" w:type="dxa"/>
          </w:tcPr>
          <w:p w14:paraId="63F133D2" w14:textId="77777777" w:rsidR="00015F4E" w:rsidRPr="00EC75B7" w:rsidRDefault="00015F4E" w:rsidP="00513E30">
            <w:pPr>
              <w:pStyle w:val="TableParagraph"/>
              <w:spacing w:line="174" w:lineRule="exact"/>
              <w:ind w:right="115"/>
              <w:jc w:val="right"/>
              <w:rPr>
                <w:rFonts w:ascii="Verdana" w:hAnsi="Verdana"/>
                <w:sz w:val="14"/>
                <w:szCs w:val="14"/>
              </w:rPr>
            </w:pPr>
            <w:r w:rsidRPr="00EC75B7">
              <w:rPr>
                <w:rFonts w:ascii="Verdana" w:hAnsi="Verdana"/>
                <w:spacing w:val="-2"/>
                <w:sz w:val="14"/>
                <w:szCs w:val="14"/>
              </w:rPr>
              <w:t>0.050</w:t>
            </w:r>
          </w:p>
        </w:tc>
        <w:tc>
          <w:tcPr>
            <w:tcW w:w="629" w:type="dxa"/>
          </w:tcPr>
          <w:p w14:paraId="375DDA2E" w14:textId="77777777" w:rsidR="00015F4E" w:rsidRPr="00EC75B7" w:rsidRDefault="00015F4E" w:rsidP="00513E30">
            <w:pPr>
              <w:pStyle w:val="TableParagraph"/>
              <w:spacing w:line="174" w:lineRule="exact"/>
              <w:ind w:left="8" w:right="3"/>
              <w:jc w:val="center"/>
              <w:rPr>
                <w:rFonts w:ascii="Verdana" w:hAnsi="Verdana"/>
                <w:sz w:val="14"/>
                <w:szCs w:val="14"/>
              </w:rPr>
            </w:pPr>
            <w:r w:rsidRPr="00EC75B7">
              <w:rPr>
                <w:rFonts w:ascii="Verdana" w:hAnsi="Verdana"/>
                <w:spacing w:val="-4"/>
                <w:sz w:val="14"/>
                <w:szCs w:val="14"/>
              </w:rPr>
              <w:t>16.6</w:t>
            </w:r>
          </w:p>
        </w:tc>
        <w:tc>
          <w:tcPr>
            <w:tcW w:w="721" w:type="dxa"/>
          </w:tcPr>
          <w:p w14:paraId="2687D6DA" w14:textId="77777777" w:rsidR="00015F4E" w:rsidRPr="00EC75B7" w:rsidRDefault="00015F4E" w:rsidP="00513E30">
            <w:pPr>
              <w:pStyle w:val="TableParagraph"/>
              <w:spacing w:line="174" w:lineRule="exact"/>
              <w:ind w:left="9" w:right="3"/>
              <w:jc w:val="center"/>
              <w:rPr>
                <w:rFonts w:ascii="Verdana" w:hAnsi="Verdana"/>
                <w:sz w:val="14"/>
                <w:szCs w:val="14"/>
              </w:rPr>
            </w:pPr>
            <w:r w:rsidRPr="00EC75B7">
              <w:rPr>
                <w:rFonts w:ascii="Verdana" w:hAnsi="Verdana"/>
                <w:spacing w:val="-2"/>
                <w:sz w:val="14"/>
                <w:szCs w:val="14"/>
              </w:rPr>
              <w:t>0.005</w:t>
            </w:r>
          </w:p>
        </w:tc>
        <w:tc>
          <w:tcPr>
            <w:tcW w:w="720" w:type="dxa"/>
          </w:tcPr>
          <w:p w14:paraId="444A2F41" w14:textId="77777777" w:rsidR="00015F4E" w:rsidRPr="00EC75B7" w:rsidRDefault="00015F4E" w:rsidP="00513E30">
            <w:pPr>
              <w:pStyle w:val="TableParagraph"/>
              <w:spacing w:line="174" w:lineRule="exact"/>
              <w:ind w:left="10" w:right="6"/>
              <w:jc w:val="center"/>
              <w:rPr>
                <w:rFonts w:ascii="Verdana" w:hAnsi="Verdana"/>
                <w:sz w:val="14"/>
                <w:szCs w:val="14"/>
              </w:rPr>
            </w:pPr>
            <w:r w:rsidRPr="00EC75B7">
              <w:rPr>
                <w:rFonts w:ascii="Verdana" w:hAnsi="Verdana"/>
                <w:spacing w:val="-4"/>
                <w:sz w:val="14"/>
                <w:szCs w:val="14"/>
              </w:rPr>
              <w:t>35</w:t>
            </w:r>
          </w:p>
        </w:tc>
        <w:tc>
          <w:tcPr>
            <w:tcW w:w="720" w:type="dxa"/>
          </w:tcPr>
          <w:p w14:paraId="6D03A415" w14:textId="77777777" w:rsidR="00015F4E" w:rsidRPr="00EC75B7" w:rsidRDefault="00015F4E" w:rsidP="00513E30">
            <w:pPr>
              <w:pStyle w:val="TableParagraph"/>
              <w:spacing w:line="174" w:lineRule="exact"/>
              <w:ind w:left="10" w:right="3"/>
              <w:jc w:val="center"/>
              <w:rPr>
                <w:rFonts w:ascii="Verdana" w:hAnsi="Verdana"/>
                <w:sz w:val="14"/>
                <w:szCs w:val="14"/>
              </w:rPr>
            </w:pPr>
            <w:r w:rsidRPr="00EC75B7">
              <w:rPr>
                <w:rFonts w:ascii="Verdana" w:hAnsi="Verdana"/>
                <w:spacing w:val="-2"/>
                <w:sz w:val="14"/>
                <w:szCs w:val="14"/>
              </w:rPr>
              <w:t>0.010</w:t>
            </w:r>
          </w:p>
        </w:tc>
      </w:tr>
      <w:tr w:rsidR="00015F4E" w:rsidRPr="00EC75B7" w14:paraId="2CD0C6EB" w14:textId="77777777" w:rsidTr="00513E30">
        <w:trPr>
          <w:trHeight w:val="205"/>
        </w:trPr>
        <w:tc>
          <w:tcPr>
            <w:tcW w:w="2247" w:type="dxa"/>
          </w:tcPr>
          <w:p w14:paraId="75B7DD51" w14:textId="77777777" w:rsidR="00015F4E" w:rsidRPr="00EC75B7" w:rsidRDefault="00015F4E" w:rsidP="00513E30">
            <w:pPr>
              <w:pStyle w:val="TableParagraph"/>
              <w:spacing w:before="6" w:line="179" w:lineRule="exact"/>
              <w:ind w:left="8"/>
              <w:jc w:val="center"/>
              <w:rPr>
                <w:rFonts w:ascii="Verdana" w:hAnsi="Verdana"/>
                <w:b/>
                <w:sz w:val="14"/>
                <w:szCs w:val="14"/>
              </w:rPr>
            </w:pPr>
            <w:r w:rsidRPr="00EC75B7">
              <w:rPr>
                <w:rFonts w:ascii="Verdana" w:hAnsi="Verdana"/>
                <w:b/>
                <w:spacing w:val="-2"/>
                <w:sz w:val="14"/>
                <w:szCs w:val="14"/>
              </w:rPr>
              <w:t xml:space="preserve">Front </w:t>
            </w:r>
            <w:r w:rsidRPr="00EC75B7">
              <w:rPr>
                <w:rFonts w:ascii="Verdana" w:hAnsi="Verdana"/>
                <w:b/>
                <w:sz w:val="14"/>
                <w:szCs w:val="14"/>
              </w:rPr>
              <w:t>loader</w:t>
            </w:r>
          </w:p>
        </w:tc>
        <w:tc>
          <w:tcPr>
            <w:tcW w:w="721" w:type="dxa"/>
          </w:tcPr>
          <w:p w14:paraId="29B26E81" w14:textId="77777777" w:rsidR="00015F4E" w:rsidRPr="00EC75B7" w:rsidRDefault="00015F4E" w:rsidP="00513E30">
            <w:pPr>
              <w:pStyle w:val="TableParagraph"/>
              <w:spacing w:before="6" w:line="179" w:lineRule="exact"/>
              <w:ind w:left="9" w:right="3"/>
              <w:jc w:val="center"/>
              <w:rPr>
                <w:rFonts w:ascii="Verdana" w:hAnsi="Verdana"/>
                <w:sz w:val="14"/>
                <w:szCs w:val="14"/>
              </w:rPr>
            </w:pPr>
            <w:r w:rsidRPr="00EC75B7">
              <w:rPr>
                <w:rFonts w:ascii="Verdana" w:hAnsi="Verdana"/>
                <w:spacing w:val="-4"/>
                <w:sz w:val="14"/>
                <w:szCs w:val="14"/>
              </w:rPr>
              <w:t>94.3</w:t>
            </w:r>
          </w:p>
        </w:tc>
        <w:tc>
          <w:tcPr>
            <w:tcW w:w="720" w:type="dxa"/>
          </w:tcPr>
          <w:p w14:paraId="3D460AED" w14:textId="77777777" w:rsidR="00015F4E" w:rsidRPr="00EC75B7" w:rsidRDefault="00015F4E" w:rsidP="00513E30">
            <w:pPr>
              <w:pStyle w:val="TableParagraph"/>
              <w:spacing w:before="6" w:line="179" w:lineRule="exact"/>
              <w:ind w:left="10" w:right="1"/>
              <w:jc w:val="center"/>
              <w:rPr>
                <w:rFonts w:ascii="Verdana" w:hAnsi="Verdana"/>
                <w:sz w:val="14"/>
                <w:szCs w:val="14"/>
              </w:rPr>
            </w:pPr>
            <w:r w:rsidRPr="00EC75B7">
              <w:rPr>
                <w:rFonts w:ascii="Verdana" w:hAnsi="Verdana"/>
                <w:spacing w:val="-2"/>
                <w:sz w:val="14"/>
                <w:szCs w:val="14"/>
              </w:rPr>
              <w:t>0.026</w:t>
            </w:r>
          </w:p>
        </w:tc>
        <w:tc>
          <w:tcPr>
            <w:tcW w:w="989" w:type="dxa"/>
          </w:tcPr>
          <w:p w14:paraId="431E0B8D" w14:textId="77777777" w:rsidR="00015F4E" w:rsidRPr="00EC75B7" w:rsidRDefault="00015F4E" w:rsidP="00513E30">
            <w:pPr>
              <w:pStyle w:val="TableParagraph"/>
              <w:spacing w:before="6" w:line="179" w:lineRule="exact"/>
              <w:ind w:left="9" w:right="3"/>
              <w:jc w:val="center"/>
              <w:rPr>
                <w:rFonts w:ascii="Verdana" w:hAnsi="Verdana"/>
                <w:sz w:val="14"/>
                <w:szCs w:val="14"/>
              </w:rPr>
            </w:pPr>
            <w:r w:rsidRPr="00EC75B7">
              <w:rPr>
                <w:rFonts w:ascii="Verdana" w:hAnsi="Verdana"/>
                <w:spacing w:val="-2"/>
                <w:sz w:val="14"/>
                <w:szCs w:val="14"/>
              </w:rPr>
              <w:t>31,549.4</w:t>
            </w:r>
          </w:p>
        </w:tc>
        <w:tc>
          <w:tcPr>
            <w:tcW w:w="812" w:type="dxa"/>
          </w:tcPr>
          <w:p w14:paraId="72ADF7D0" w14:textId="77777777" w:rsidR="00015F4E" w:rsidRPr="00EC75B7" w:rsidRDefault="00015F4E" w:rsidP="00513E30">
            <w:pPr>
              <w:pStyle w:val="TableParagraph"/>
              <w:spacing w:before="6" w:line="179" w:lineRule="exact"/>
              <w:ind w:left="4" w:right="1"/>
              <w:jc w:val="center"/>
              <w:rPr>
                <w:rFonts w:ascii="Verdana" w:hAnsi="Verdana"/>
                <w:sz w:val="14"/>
                <w:szCs w:val="14"/>
              </w:rPr>
            </w:pPr>
            <w:r w:rsidRPr="00EC75B7">
              <w:rPr>
                <w:rFonts w:ascii="Verdana" w:hAnsi="Verdana"/>
                <w:spacing w:val="-2"/>
                <w:sz w:val="14"/>
                <w:szCs w:val="14"/>
              </w:rPr>
              <w:t>8,764</w:t>
            </w:r>
          </w:p>
        </w:tc>
        <w:tc>
          <w:tcPr>
            <w:tcW w:w="720" w:type="dxa"/>
          </w:tcPr>
          <w:p w14:paraId="1708CD5E" w14:textId="77777777" w:rsidR="00015F4E" w:rsidRPr="00EC75B7" w:rsidRDefault="00015F4E" w:rsidP="00513E30">
            <w:pPr>
              <w:pStyle w:val="TableParagraph"/>
              <w:spacing w:before="6" w:line="179" w:lineRule="exact"/>
              <w:ind w:left="125"/>
              <w:rPr>
                <w:rFonts w:ascii="Verdana" w:hAnsi="Verdana"/>
                <w:sz w:val="14"/>
                <w:szCs w:val="14"/>
              </w:rPr>
            </w:pPr>
            <w:r w:rsidRPr="00EC75B7">
              <w:rPr>
                <w:rFonts w:ascii="Verdana" w:hAnsi="Verdana"/>
                <w:spacing w:val="-4"/>
                <w:sz w:val="14"/>
                <w:szCs w:val="14"/>
              </w:rPr>
              <w:t>107.6</w:t>
            </w:r>
          </w:p>
        </w:tc>
        <w:tc>
          <w:tcPr>
            <w:tcW w:w="720" w:type="dxa"/>
          </w:tcPr>
          <w:p w14:paraId="47BB4AB7" w14:textId="77777777" w:rsidR="00015F4E" w:rsidRPr="00EC75B7" w:rsidRDefault="00015F4E" w:rsidP="00513E30">
            <w:pPr>
              <w:pStyle w:val="TableParagraph"/>
              <w:spacing w:before="6" w:line="179" w:lineRule="exact"/>
              <w:ind w:right="115"/>
              <w:jc w:val="right"/>
              <w:rPr>
                <w:rFonts w:ascii="Verdana" w:hAnsi="Verdana"/>
                <w:sz w:val="14"/>
                <w:szCs w:val="14"/>
              </w:rPr>
            </w:pPr>
            <w:r w:rsidRPr="00EC75B7">
              <w:rPr>
                <w:rFonts w:ascii="Verdana" w:hAnsi="Verdana"/>
                <w:spacing w:val="-2"/>
                <w:sz w:val="14"/>
                <w:szCs w:val="14"/>
              </w:rPr>
              <w:t>0.030</w:t>
            </w:r>
          </w:p>
        </w:tc>
        <w:tc>
          <w:tcPr>
            <w:tcW w:w="629" w:type="dxa"/>
          </w:tcPr>
          <w:p w14:paraId="772E37D4" w14:textId="77777777" w:rsidR="00015F4E" w:rsidRPr="00EC75B7" w:rsidRDefault="00015F4E" w:rsidP="00513E30">
            <w:pPr>
              <w:pStyle w:val="TableParagraph"/>
              <w:spacing w:before="6" w:line="179" w:lineRule="exact"/>
              <w:ind w:left="8" w:right="3"/>
              <w:jc w:val="center"/>
              <w:rPr>
                <w:rFonts w:ascii="Verdana" w:hAnsi="Verdana"/>
                <w:sz w:val="14"/>
                <w:szCs w:val="14"/>
              </w:rPr>
            </w:pPr>
            <w:r w:rsidRPr="00EC75B7">
              <w:rPr>
                <w:rFonts w:ascii="Verdana" w:hAnsi="Verdana"/>
                <w:spacing w:val="-4"/>
                <w:sz w:val="14"/>
                <w:szCs w:val="14"/>
              </w:rPr>
              <w:t>10</w:t>
            </w:r>
          </w:p>
        </w:tc>
        <w:tc>
          <w:tcPr>
            <w:tcW w:w="721" w:type="dxa"/>
          </w:tcPr>
          <w:p w14:paraId="4320A8B1" w14:textId="77777777" w:rsidR="00015F4E" w:rsidRPr="00EC75B7" w:rsidRDefault="00015F4E" w:rsidP="00513E30">
            <w:pPr>
              <w:pStyle w:val="TableParagraph"/>
              <w:spacing w:before="6" w:line="179" w:lineRule="exact"/>
              <w:ind w:left="9" w:right="3"/>
              <w:jc w:val="center"/>
              <w:rPr>
                <w:rFonts w:ascii="Verdana" w:hAnsi="Verdana"/>
                <w:sz w:val="14"/>
                <w:szCs w:val="14"/>
              </w:rPr>
            </w:pPr>
            <w:r w:rsidRPr="00EC75B7">
              <w:rPr>
                <w:rFonts w:ascii="Verdana" w:hAnsi="Verdana"/>
                <w:spacing w:val="-2"/>
                <w:sz w:val="14"/>
                <w:szCs w:val="14"/>
              </w:rPr>
              <w:t>0.003</w:t>
            </w:r>
          </w:p>
        </w:tc>
        <w:tc>
          <w:tcPr>
            <w:tcW w:w="720" w:type="dxa"/>
          </w:tcPr>
          <w:p w14:paraId="56F45EB3" w14:textId="77777777" w:rsidR="00015F4E" w:rsidRPr="00EC75B7" w:rsidRDefault="00015F4E" w:rsidP="00513E30">
            <w:pPr>
              <w:pStyle w:val="TableParagraph"/>
              <w:spacing w:before="6" w:line="179" w:lineRule="exact"/>
              <w:ind w:left="10" w:right="6"/>
              <w:jc w:val="center"/>
              <w:rPr>
                <w:rFonts w:ascii="Verdana" w:hAnsi="Verdana"/>
                <w:sz w:val="14"/>
                <w:szCs w:val="14"/>
              </w:rPr>
            </w:pPr>
            <w:r w:rsidRPr="00EC75B7">
              <w:rPr>
                <w:rFonts w:ascii="Verdana" w:hAnsi="Verdana"/>
                <w:spacing w:val="-4"/>
                <w:sz w:val="14"/>
                <w:szCs w:val="14"/>
              </w:rPr>
              <w:t>21</w:t>
            </w:r>
          </w:p>
        </w:tc>
        <w:tc>
          <w:tcPr>
            <w:tcW w:w="720" w:type="dxa"/>
          </w:tcPr>
          <w:p w14:paraId="77E1CF0B" w14:textId="77777777" w:rsidR="00015F4E" w:rsidRPr="00EC75B7" w:rsidRDefault="00015F4E" w:rsidP="00513E30">
            <w:pPr>
              <w:pStyle w:val="TableParagraph"/>
              <w:spacing w:before="6" w:line="179" w:lineRule="exact"/>
              <w:ind w:left="10" w:right="3"/>
              <w:jc w:val="center"/>
              <w:rPr>
                <w:rFonts w:ascii="Verdana" w:hAnsi="Verdana"/>
                <w:sz w:val="14"/>
                <w:szCs w:val="14"/>
              </w:rPr>
            </w:pPr>
            <w:r w:rsidRPr="00EC75B7">
              <w:rPr>
                <w:rFonts w:ascii="Verdana" w:hAnsi="Verdana"/>
                <w:spacing w:val="-2"/>
                <w:sz w:val="14"/>
                <w:szCs w:val="14"/>
              </w:rPr>
              <w:t>0.006</w:t>
            </w:r>
          </w:p>
        </w:tc>
      </w:tr>
      <w:tr w:rsidR="00015F4E" w:rsidRPr="00EC75B7" w14:paraId="7A4AB202" w14:textId="77777777" w:rsidTr="00513E30">
        <w:trPr>
          <w:trHeight w:val="203"/>
        </w:trPr>
        <w:tc>
          <w:tcPr>
            <w:tcW w:w="2247" w:type="dxa"/>
          </w:tcPr>
          <w:p w14:paraId="606BEAD4" w14:textId="77777777" w:rsidR="00015F4E" w:rsidRPr="00EC75B7" w:rsidRDefault="00015F4E" w:rsidP="00513E30">
            <w:pPr>
              <w:pStyle w:val="TableParagraph"/>
              <w:spacing w:before="4" w:line="179" w:lineRule="exact"/>
              <w:ind w:left="8" w:right="1"/>
              <w:jc w:val="center"/>
              <w:rPr>
                <w:rFonts w:ascii="Verdana" w:hAnsi="Verdana"/>
                <w:b/>
                <w:sz w:val="14"/>
                <w:szCs w:val="14"/>
              </w:rPr>
            </w:pPr>
            <w:r w:rsidRPr="00EC75B7">
              <w:rPr>
                <w:rFonts w:ascii="Verdana" w:hAnsi="Verdana"/>
                <w:b/>
                <w:sz w:val="14"/>
                <w:szCs w:val="14"/>
              </w:rPr>
              <w:t xml:space="preserve">12.5 </w:t>
            </w:r>
            <w:r w:rsidRPr="00EC75B7">
              <w:rPr>
                <w:rFonts w:ascii="Verdana" w:hAnsi="Verdana"/>
                <w:b/>
                <w:spacing w:val="-5"/>
                <w:sz w:val="14"/>
                <w:szCs w:val="14"/>
              </w:rPr>
              <w:t xml:space="preserve">kW </w:t>
            </w:r>
            <w:r w:rsidRPr="00EC75B7">
              <w:rPr>
                <w:rFonts w:ascii="Verdana" w:hAnsi="Verdana"/>
                <w:b/>
                <w:sz w:val="14"/>
                <w:szCs w:val="14"/>
              </w:rPr>
              <w:t>generator</w:t>
            </w:r>
          </w:p>
        </w:tc>
        <w:tc>
          <w:tcPr>
            <w:tcW w:w="721" w:type="dxa"/>
          </w:tcPr>
          <w:p w14:paraId="271CAF78" w14:textId="77777777" w:rsidR="00015F4E" w:rsidRPr="00EC75B7" w:rsidRDefault="00015F4E" w:rsidP="00513E30">
            <w:pPr>
              <w:pStyle w:val="TableParagraph"/>
              <w:spacing w:before="4" w:line="179" w:lineRule="exact"/>
              <w:ind w:left="9" w:right="3"/>
              <w:jc w:val="center"/>
              <w:rPr>
                <w:rFonts w:ascii="Verdana" w:hAnsi="Verdana"/>
                <w:sz w:val="14"/>
                <w:szCs w:val="14"/>
              </w:rPr>
            </w:pPr>
            <w:r w:rsidRPr="00EC75B7">
              <w:rPr>
                <w:rFonts w:ascii="Verdana" w:hAnsi="Verdana"/>
                <w:spacing w:val="-4"/>
                <w:sz w:val="14"/>
                <w:szCs w:val="14"/>
              </w:rPr>
              <w:t>18.9</w:t>
            </w:r>
          </w:p>
        </w:tc>
        <w:tc>
          <w:tcPr>
            <w:tcW w:w="720" w:type="dxa"/>
          </w:tcPr>
          <w:p w14:paraId="12844A04" w14:textId="77777777" w:rsidR="00015F4E" w:rsidRPr="00EC75B7" w:rsidRDefault="00015F4E" w:rsidP="00513E30">
            <w:pPr>
              <w:pStyle w:val="TableParagraph"/>
              <w:spacing w:before="4" w:line="179" w:lineRule="exact"/>
              <w:ind w:left="10" w:right="1"/>
              <w:jc w:val="center"/>
              <w:rPr>
                <w:rFonts w:ascii="Verdana" w:hAnsi="Verdana"/>
                <w:sz w:val="14"/>
                <w:szCs w:val="14"/>
              </w:rPr>
            </w:pPr>
            <w:r w:rsidRPr="00EC75B7">
              <w:rPr>
                <w:rFonts w:ascii="Verdana" w:hAnsi="Verdana"/>
                <w:spacing w:val="-2"/>
                <w:sz w:val="14"/>
                <w:szCs w:val="14"/>
              </w:rPr>
              <w:t>0.005</w:t>
            </w:r>
          </w:p>
        </w:tc>
        <w:tc>
          <w:tcPr>
            <w:tcW w:w="989" w:type="dxa"/>
          </w:tcPr>
          <w:p w14:paraId="78183080" w14:textId="77777777" w:rsidR="00015F4E" w:rsidRPr="00EC75B7" w:rsidRDefault="00015F4E" w:rsidP="00513E30">
            <w:pPr>
              <w:pStyle w:val="TableParagraph"/>
              <w:spacing w:before="4" w:line="179" w:lineRule="exact"/>
              <w:ind w:left="9"/>
              <w:jc w:val="center"/>
              <w:rPr>
                <w:rFonts w:ascii="Verdana" w:hAnsi="Verdana"/>
                <w:sz w:val="14"/>
                <w:szCs w:val="14"/>
              </w:rPr>
            </w:pPr>
            <w:r w:rsidRPr="00EC75B7">
              <w:rPr>
                <w:rFonts w:ascii="Verdana" w:hAnsi="Verdana"/>
                <w:spacing w:val="-2"/>
                <w:sz w:val="14"/>
                <w:szCs w:val="14"/>
              </w:rPr>
              <w:t>6,309.9</w:t>
            </w:r>
          </w:p>
        </w:tc>
        <w:tc>
          <w:tcPr>
            <w:tcW w:w="812" w:type="dxa"/>
          </w:tcPr>
          <w:p w14:paraId="53098F6B" w14:textId="77777777" w:rsidR="00015F4E" w:rsidRPr="00EC75B7" w:rsidRDefault="00015F4E" w:rsidP="00513E30">
            <w:pPr>
              <w:pStyle w:val="TableParagraph"/>
              <w:spacing w:before="4" w:line="179" w:lineRule="exact"/>
              <w:ind w:left="4" w:right="1"/>
              <w:jc w:val="center"/>
              <w:rPr>
                <w:rFonts w:ascii="Verdana" w:hAnsi="Verdana"/>
                <w:sz w:val="14"/>
                <w:szCs w:val="14"/>
              </w:rPr>
            </w:pPr>
            <w:r w:rsidRPr="00EC75B7">
              <w:rPr>
                <w:rFonts w:ascii="Verdana" w:hAnsi="Verdana"/>
                <w:spacing w:val="-2"/>
                <w:sz w:val="14"/>
                <w:szCs w:val="14"/>
              </w:rPr>
              <w:t>1.753</w:t>
            </w:r>
          </w:p>
        </w:tc>
        <w:tc>
          <w:tcPr>
            <w:tcW w:w="720" w:type="dxa"/>
          </w:tcPr>
          <w:p w14:paraId="30CFCB85" w14:textId="77777777" w:rsidR="00015F4E" w:rsidRPr="00EC75B7" w:rsidRDefault="00015F4E" w:rsidP="00513E30">
            <w:pPr>
              <w:pStyle w:val="TableParagraph"/>
              <w:spacing w:before="4" w:line="179" w:lineRule="exact"/>
              <w:ind w:left="176"/>
              <w:rPr>
                <w:rFonts w:ascii="Verdana" w:hAnsi="Verdana"/>
                <w:sz w:val="14"/>
                <w:szCs w:val="14"/>
              </w:rPr>
            </w:pPr>
            <w:r w:rsidRPr="00EC75B7">
              <w:rPr>
                <w:rFonts w:ascii="Verdana" w:hAnsi="Verdana"/>
                <w:spacing w:val="-4"/>
                <w:sz w:val="14"/>
                <w:szCs w:val="14"/>
              </w:rPr>
              <w:t>21.5</w:t>
            </w:r>
          </w:p>
        </w:tc>
        <w:tc>
          <w:tcPr>
            <w:tcW w:w="720" w:type="dxa"/>
          </w:tcPr>
          <w:p w14:paraId="2EBF8A61" w14:textId="77777777" w:rsidR="00015F4E" w:rsidRPr="00EC75B7" w:rsidRDefault="00015F4E" w:rsidP="00513E30">
            <w:pPr>
              <w:pStyle w:val="TableParagraph"/>
              <w:spacing w:before="4" w:line="179" w:lineRule="exact"/>
              <w:ind w:right="115"/>
              <w:jc w:val="right"/>
              <w:rPr>
                <w:rFonts w:ascii="Verdana" w:hAnsi="Verdana"/>
                <w:sz w:val="14"/>
                <w:szCs w:val="14"/>
              </w:rPr>
            </w:pPr>
            <w:r w:rsidRPr="00EC75B7">
              <w:rPr>
                <w:rFonts w:ascii="Verdana" w:hAnsi="Verdana"/>
                <w:spacing w:val="-2"/>
                <w:sz w:val="14"/>
                <w:szCs w:val="14"/>
              </w:rPr>
              <w:t>0.006</w:t>
            </w:r>
          </w:p>
        </w:tc>
        <w:tc>
          <w:tcPr>
            <w:tcW w:w="629" w:type="dxa"/>
          </w:tcPr>
          <w:p w14:paraId="052C75A5" w14:textId="77777777" w:rsidR="00015F4E" w:rsidRPr="00EC75B7" w:rsidRDefault="00015F4E" w:rsidP="00513E30">
            <w:pPr>
              <w:pStyle w:val="TableParagraph"/>
              <w:spacing w:before="4" w:line="179" w:lineRule="exact"/>
              <w:ind w:left="8" w:right="3"/>
              <w:jc w:val="center"/>
              <w:rPr>
                <w:rFonts w:ascii="Verdana" w:hAnsi="Verdana"/>
                <w:sz w:val="14"/>
                <w:szCs w:val="14"/>
              </w:rPr>
            </w:pPr>
            <w:r w:rsidRPr="00EC75B7">
              <w:rPr>
                <w:rFonts w:ascii="Verdana" w:hAnsi="Verdana"/>
                <w:spacing w:val="-5"/>
                <w:sz w:val="14"/>
                <w:szCs w:val="14"/>
              </w:rPr>
              <w:t>2</w:t>
            </w:r>
          </w:p>
        </w:tc>
        <w:tc>
          <w:tcPr>
            <w:tcW w:w="721" w:type="dxa"/>
          </w:tcPr>
          <w:p w14:paraId="15A9FC95" w14:textId="77777777" w:rsidR="00015F4E" w:rsidRPr="00EC75B7" w:rsidRDefault="00015F4E" w:rsidP="00513E30">
            <w:pPr>
              <w:pStyle w:val="TableParagraph"/>
              <w:spacing w:before="4" w:line="179" w:lineRule="exact"/>
              <w:ind w:left="9" w:right="3"/>
              <w:jc w:val="center"/>
              <w:rPr>
                <w:rFonts w:ascii="Verdana" w:hAnsi="Verdana"/>
                <w:sz w:val="14"/>
                <w:szCs w:val="14"/>
              </w:rPr>
            </w:pPr>
            <w:r w:rsidRPr="00EC75B7">
              <w:rPr>
                <w:rFonts w:ascii="Verdana" w:hAnsi="Verdana"/>
                <w:spacing w:val="-2"/>
                <w:sz w:val="14"/>
                <w:szCs w:val="14"/>
              </w:rPr>
              <w:t>0.001</w:t>
            </w:r>
          </w:p>
        </w:tc>
        <w:tc>
          <w:tcPr>
            <w:tcW w:w="720" w:type="dxa"/>
          </w:tcPr>
          <w:p w14:paraId="354B981A" w14:textId="77777777" w:rsidR="00015F4E" w:rsidRPr="00EC75B7" w:rsidRDefault="00015F4E" w:rsidP="00513E30">
            <w:pPr>
              <w:pStyle w:val="TableParagraph"/>
              <w:spacing w:before="4" w:line="179" w:lineRule="exact"/>
              <w:ind w:left="10" w:right="6"/>
              <w:jc w:val="center"/>
              <w:rPr>
                <w:rFonts w:ascii="Verdana" w:hAnsi="Verdana"/>
                <w:sz w:val="14"/>
                <w:szCs w:val="14"/>
              </w:rPr>
            </w:pPr>
            <w:r w:rsidRPr="00EC75B7">
              <w:rPr>
                <w:rFonts w:ascii="Verdana" w:hAnsi="Verdana"/>
                <w:spacing w:val="-5"/>
                <w:sz w:val="14"/>
                <w:szCs w:val="14"/>
              </w:rPr>
              <w:t>4.2</w:t>
            </w:r>
          </w:p>
        </w:tc>
        <w:tc>
          <w:tcPr>
            <w:tcW w:w="720" w:type="dxa"/>
          </w:tcPr>
          <w:p w14:paraId="3016EB39" w14:textId="77777777" w:rsidR="00015F4E" w:rsidRPr="00EC75B7" w:rsidRDefault="00015F4E" w:rsidP="00513E30">
            <w:pPr>
              <w:pStyle w:val="TableParagraph"/>
              <w:spacing w:before="4" w:line="179" w:lineRule="exact"/>
              <w:ind w:left="10" w:right="3"/>
              <w:jc w:val="center"/>
              <w:rPr>
                <w:rFonts w:ascii="Verdana" w:hAnsi="Verdana"/>
                <w:sz w:val="14"/>
                <w:szCs w:val="14"/>
              </w:rPr>
            </w:pPr>
            <w:r w:rsidRPr="00EC75B7">
              <w:rPr>
                <w:rFonts w:ascii="Verdana" w:hAnsi="Verdana"/>
                <w:spacing w:val="-2"/>
                <w:sz w:val="14"/>
                <w:szCs w:val="14"/>
              </w:rPr>
              <w:t>0.001</w:t>
            </w:r>
          </w:p>
        </w:tc>
      </w:tr>
      <w:tr w:rsidR="00015F4E" w:rsidRPr="00EC75B7" w14:paraId="10CA7E27" w14:textId="77777777" w:rsidTr="00513E30">
        <w:trPr>
          <w:trHeight w:val="201"/>
        </w:trPr>
        <w:tc>
          <w:tcPr>
            <w:tcW w:w="2247" w:type="dxa"/>
          </w:tcPr>
          <w:p w14:paraId="1E9C01CC" w14:textId="77777777" w:rsidR="00015F4E" w:rsidRPr="00EC75B7" w:rsidRDefault="00015F4E" w:rsidP="00513E30">
            <w:pPr>
              <w:pStyle w:val="TableParagraph"/>
              <w:spacing w:before="4" w:line="177" w:lineRule="exact"/>
              <w:ind w:left="8"/>
              <w:jc w:val="center"/>
              <w:rPr>
                <w:rFonts w:ascii="Verdana" w:hAnsi="Verdana"/>
                <w:b/>
                <w:sz w:val="14"/>
                <w:szCs w:val="14"/>
              </w:rPr>
            </w:pPr>
            <w:r w:rsidRPr="00EC75B7">
              <w:rPr>
                <w:rFonts w:ascii="Verdana" w:hAnsi="Verdana"/>
                <w:b/>
                <w:spacing w:val="-5"/>
                <w:sz w:val="14"/>
                <w:szCs w:val="14"/>
              </w:rPr>
              <w:t xml:space="preserve">20T </w:t>
            </w:r>
            <w:r w:rsidRPr="00EC75B7">
              <w:rPr>
                <w:rFonts w:ascii="Verdana" w:hAnsi="Verdana"/>
                <w:b/>
                <w:sz w:val="14"/>
                <w:szCs w:val="14"/>
              </w:rPr>
              <w:t>truck crane</w:t>
            </w:r>
          </w:p>
        </w:tc>
        <w:tc>
          <w:tcPr>
            <w:tcW w:w="721" w:type="dxa"/>
          </w:tcPr>
          <w:p w14:paraId="61FDA761" w14:textId="77777777" w:rsidR="00015F4E" w:rsidRPr="00EC75B7" w:rsidRDefault="00015F4E" w:rsidP="00513E30">
            <w:pPr>
              <w:pStyle w:val="TableParagraph"/>
              <w:spacing w:before="4" w:line="177" w:lineRule="exact"/>
              <w:ind w:left="9" w:right="3"/>
              <w:jc w:val="center"/>
              <w:rPr>
                <w:rFonts w:ascii="Verdana" w:hAnsi="Verdana"/>
                <w:sz w:val="14"/>
                <w:szCs w:val="14"/>
              </w:rPr>
            </w:pPr>
            <w:r w:rsidRPr="00EC75B7">
              <w:rPr>
                <w:rFonts w:ascii="Verdana" w:hAnsi="Verdana"/>
                <w:spacing w:val="-4"/>
                <w:sz w:val="14"/>
                <w:szCs w:val="14"/>
              </w:rPr>
              <w:t>62.9</w:t>
            </w:r>
          </w:p>
        </w:tc>
        <w:tc>
          <w:tcPr>
            <w:tcW w:w="720" w:type="dxa"/>
          </w:tcPr>
          <w:p w14:paraId="5B0B1DE3" w14:textId="77777777" w:rsidR="00015F4E" w:rsidRPr="00EC75B7" w:rsidRDefault="00015F4E" w:rsidP="00513E30">
            <w:pPr>
              <w:pStyle w:val="TableParagraph"/>
              <w:spacing w:before="4" w:line="177" w:lineRule="exact"/>
              <w:ind w:left="10" w:right="1"/>
              <w:jc w:val="center"/>
              <w:rPr>
                <w:rFonts w:ascii="Verdana" w:hAnsi="Verdana"/>
                <w:sz w:val="14"/>
                <w:szCs w:val="14"/>
              </w:rPr>
            </w:pPr>
            <w:r w:rsidRPr="00EC75B7">
              <w:rPr>
                <w:rFonts w:ascii="Verdana" w:hAnsi="Verdana"/>
                <w:spacing w:val="-2"/>
                <w:sz w:val="14"/>
                <w:szCs w:val="14"/>
              </w:rPr>
              <w:t>0.017</w:t>
            </w:r>
          </w:p>
        </w:tc>
        <w:tc>
          <w:tcPr>
            <w:tcW w:w="989" w:type="dxa"/>
          </w:tcPr>
          <w:p w14:paraId="54866BA6" w14:textId="77777777" w:rsidR="00015F4E" w:rsidRPr="00EC75B7" w:rsidRDefault="00015F4E" w:rsidP="00513E30">
            <w:pPr>
              <w:pStyle w:val="TableParagraph"/>
              <w:spacing w:before="4" w:line="177" w:lineRule="exact"/>
              <w:ind w:left="9" w:right="3"/>
              <w:jc w:val="center"/>
              <w:rPr>
                <w:rFonts w:ascii="Verdana" w:hAnsi="Verdana"/>
                <w:sz w:val="14"/>
                <w:szCs w:val="14"/>
              </w:rPr>
            </w:pPr>
            <w:r w:rsidRPr="00EC75B7">
              <w:rPr>
                <w:rFonts w:ascii="Verdana" w:hAnsi="Verdana"/>
                <w:spacing w:val="-2"/>
                <w:sz w:val="14"/>
                <w:szCs w:val="14"/>
              </w:rPr>
              <w:t>21,033</w:t>
            </w:r>
          </w:p>
        </w:tc>
        <w:tc>
          <w:tcPr>
            <w:tcW w:w="812" w:type="dxa"/>
          </w:tcPr>
          <w:p w14:paraId="43DCA582" w14:textId="77777777" w:rsidR="00015F4E" w:rsidRPr="00EC75B7" w:rsidRDefault="00015F4E" w:rsidP="00513E30">
            <w:pPr>
              <w:pStyle w:val="TableParagraph"/>
              <w:spacing w:before="4" w:line="177" w:lineRule="exact"/>
              <w:ind w:left="4" w:right="1"/>
              <w:jc w:val="center"/>
              <w:rPr>
                <w:rFonts w:ascii="Verdana" w:hAnsi="Verdana"/>
                <w:sz w:val="14"/>
                <w:szCs w:val="14"/>
              </w:rPr>
            </w:pPr>
            <w:r w:rsidRPr="00EC75B7">
              <w:rPr>
                <w:rFonts w:ascii="Verdana" w:hAnsi="Verdana"/>
                <w:spacing w:val="-2"/>
                <w:sz w:val="14"/>
                <w:szCs w:val="14"/>
              </w:rPr>
              <w:t>5.842</w:t>
            </w:r>
          </w:p>
        </w:tc>
        <w:tc>
          <w:tcPr>
            <w:tcW w:w="720" w:type="dxa"/>
          </w:tcPr>
          <w:p w14:paraId="02C63CC7" w14:textId="77777777" w:rsidR="00015F4E" w:rsidRPr="00EC75B7" w:rsidRDefault="00015F4E" w:rsidP="00513E30">
            <w:pPr>
              <w:pStyle w:val="TableParagraph"/>
              <w:spacing w:before="4" w:line="177" w:lineRule="exact"/>
              <w:ind w:left="176"/>
              <w:rPr>
                <w:rFonts w:ascii="Verdana" w:hAnsi="Verdana"/>
                <w:sz w:val="14"/>
                <w:szCs w:val="14"/>
              </w:rPr>
            </w:pPr>
            <w:r w:rsidRPr="00EC75B7">
              <w:rPr>
                <w:rFonts w:ascii="Verdana" w:hAnsi="Verdana"/>
                <w:spacing w:val="-4"/>
                <w:sz w:val="14"/>
                <w:szCs w:val="14"/>
              </w:rPr>
              <w:t>71.7</w:t>
            </w:r>
          </w:p>
        </w:tc>
        <w:tc>
          <w:tcPr>
            <w:tcW w:w="720" w:type="dxa"/>
          </w:tcPr>
          <w:p w14:paraId="0A165BE3" w14:textId="77777777" w:rsidR="00015F4E" w:rsidRPr="00EC75B7" w:rsidRDefault="00015F4E" w:rsidP="00513E30">
            <w:pPr>
              <w:pStyle w:val="TableParagraph"/>
              <w:spacing w:before="4" w:line="177" w:lineRule="exact"/>
              <w:ind w:right="115"/>
              <w:jc w:val="right"/>
              <w:rPr>
                <w:rFonts w:ascii="Verdana" w:hAnsi="Verdana"/>
                <w:sz w:val="14"/>
                <w:szCs w:val="14"/>
              </w:rPr>
            </w:pPr>
            <w:r w:rsidRPr="00EC75B7">
              <w:rPr>
                <w:rFonts w:ascii="Verdana" w:hAnsi="Verdana"/>
                <w:spacing w:val="-2"/>
                <w:sz w:val="14"/>
                <w:szCs w:val="14"/>
              </w:rPr>
              <w:t>0.020</w:t>
            </w:r>
          </w:p>
        </w:tc>
        <w:tc>
          <w:tcPr>
            <w:tcW w:w="629" w:type="dxa"/>
          </w:tcPr>
          <w:p w14:paraId="16CFD2C9" w14:textId="77777777" w:rsidR="00015F4E" w:rsidRPr="00EC75B7" w:rsidRDefault="00015F4E" w:rsidP="00513E30">
            <w:pPr>
              <w:pStyle w:val="TableParagraph"/>
              <w:spacing w:before="4" w:line="177" w:lineRule="exact"/>
              <w:ind w:left="8" w:right="3"/>
              <w:jc w:val="center"/>
              <w:rPr>
                <w:rFonts w:ascii="Verdana" w:hAnsi="Verdana"/>
                <w:sz w:val="14"/>
                <w:szCs w:val="14"/>
              </w:rPr>
            </w:pPr>
            <w:r w:rsidRPr="00EC75B7">
              <w:rPr>
                <w:rFonts w:ascii="Verdana" w:hAnsi="Verdana"/>
                <w:spacing w:val="-5"/>
                <w:sz w:val="14"/>
                <w:szCs w:val="14"/>
              </w:rPr>
              <w:t>6.7</w:t>
            </w:r>
          </w:p>
        </w:tc>
        <w:tc>
          <w:tcPr>
            <w:tcW w:w="721" w:type="dxa"/>
          </w:tcPr>
          <w:p w14:paraId="3DD61FC9" w14:textId="77777777" w:rsidR="00015F4E" w:rsidRPr="00EC75B7" w:rsidRDefault="00015F4E" w:rsidP="00513E30">
            <w:pPr>
              <w:pStyle w:val="TableParagraph"/>
              <w:spacing w:before="4" w:line="177" w:lineRule="exact"/>
              <w:ind w:left="9" w:right="3"/>
              <w:jc w:val="center"/>
              <w:rPr>
                <w:rFonts w:ascii="Verdana" w:hAnsi="Verdana"/>
                <w:sz w:val="14"/>
                <w:szCs w:val="14"/>
              </w:rPr>
            </w:pPr>
            <w:r w:rsidRPr="00EC75B7">
              <w:rPr>
                <w:rFonts w:ascii="Verdana" w:hAnsi="Verdana"/>
                <w:spacing w:val="-2"/>
                <w:sz w:val="14"/>
                <w:szCs w:val="14"/>
              </w:rPr>
              <w:t>0.002</w:t>
            </w:r>
          </w:p>
        </w:tc>
        <w:tc>
          <w:tcPr>
            <w:tcW w:w="720" w:type="dxa"/>
          </w:tcPr>
          <w:p w14:paraId="5A8E2424" w14:textId="77777777" w:rsidR="00015F4E" w:rsidRPr="00EC75B7" w:rsidRDefault="00015F4E" w:rsidP="00513E30">
            <w:pPr>
              <w:pStyle w:val="TableParagraph"/>
              <w:spacing w:before="4" w:line="177" w:lineRule="exact"/>
              <w:ind w:left="10" w:right="6"/>
              <w:jc w:val="center"/>
              <w:rPr>
                <w:rFonts w:ascii="Verdana" w:hAnsi="Verdana"/>
                <w:sz w:val="14"/>
                <w:szCs w:val="14"/>
              </w:rPr>
            </w:pPr>
            <w:r w:rsidRPr="00EC75B7">
              <w:rPr>
                <w:rFonts w:ascii="Verdana" w:hAnsi="Verdana"/>
                <w:spacing w:val="-4"/>
                <w:sz w:val="14"/>
                <w:szCs w:val="14"/>
              </w:rPr>
              <w:t>14</w:t>
            </w:r>
          </w:p>
        </w:tc>
        <w:tc>
          <w:tcPr>
            <w:tcW w:w="720" w:type="dxa"/>
          </w:tcPr>
          <w:p w14:paraId="1A0D7191" w14:textId="77777777" w:rsidR="00015F4E" w:rsidRPr="00EC75B7" w:rsidRDefault="00015F4E" w:rsidP="00513E30">
            <w:pPr>
              <w:pStyle w:val="TableParagraph"/>
              <w:spacing w:before="4" w:line="177" w:lineRule="exact"/>
              <w:ind w:left="10" w:right="3"/>
              <w:jc w:val="center"/>
              <w:rPr>
                <w:rFonts w:ascii="Verdana" w:hAnsi="Verdana"/>
                <w:sz w:val="14"/>
                <w:szCs w:val="14"/>
              </w:rPr>
            </w:pPr>
            <w:r w:rsidRPr="00EC75B7">
              <w:rPr>
                <w:rFonts w:ascii="Verdana" w:hAnsi="Verdana"/>
                <w:spacing w:val="-2"/>
                <w:sz w:val="14"/>
                <w:szCs w:val="14"/>
              </w:rPr>
              <w:t>0.004</w:t>
            </w:r>
          </w:p>
        </w:tc>
      </w:tr>
    </w:tbl>
    <w:p w14:paraId="435653AB" w14:textId="77777777" w:rsidR="00015F4E" w:rsidRPr="00EC75B7" w:rsidRDefault="00015F4E" w:rsidP="00015F4E">
      <w:pPr>
        <w:spacing w:before="3"/>
        <w:ind w:left="794"/>
        <w:jc w:val="both"/>
        <w:rPr>
          <w:rFonts w:ascii="Verdana" w:hAnsi="Verdana"/>
          <w:i/>
          <w:sz w:val="14"/>
          <w:szCs w:val="14"/>
        </w:rPr>
      </w:pPr>
      <w:r w:rsidRPr="00EC75B7">
        <w:rPr>
          <w:rFonts w:ascii="Verdana" w:hAnsi="Verdana"/>
          <w:i/>
          <w:sz w:val="14"/>
          <w:szCs w:val="14"/>
        </w:rPr>
        <w:t xml:space="preserve">*NO2 </w:t>
      </w:r>
      <w:r w:rsidRPr="00EC75B7">
        <w:rPr>
          <w:rFonts w:ascii="Verdana" w:hAnsi="Verdana"/>
          <w:i/>
          <w:position w:val="2"/>
          <w:sz w:val="14"/>
          <w:szCs w:val="14"/>
        </w:rPr>
        <w:t xml:space="preserve">calculated as 29% of </w:t>
      </w:r>
      <w:r w:rsidRPr="00EC75B7">
        <w:rPr>
          <w:rFonts w:ascii="Verdana" w:hAnsi="Verdana"/>
          <w:i/>
          <w:spacing w:val="-5"/>
          <w:sz w:val="14"/>
          <w:szCs w:val="14"/>
        </w:rPr>
        <w:t>NOX</w:t>
      </w:r>
    </w:p>
    <w:p w14:paraId="1E29C562" w14:textId="77777777" w:rsidR="00015F4E" w:rsidRPr="00EC75B7" w:rsidRDefault="00015F4E" w:rsidP="00015F4E">
      <w:pPr>
        <w:spacing w:line="360" w:lineRule="auto"/>
        <w:ind w:left="810" w:right="544"/>
        <w:jc w:val="both"/>
        <w:rPr>
          <w:rFonts w:ascii="Verdana" w:hAnsi="Verdana"/>
          <w:sz w:val="18"/>
          <w:szCs w:val="18"/>
        </w:rPr>
      </w:pPr>
    </w:p>
    <w:p w14:paraId="09EADBA6" w14:textId="77777777" w:rsidR="00015F4E" w:rsidRPr="00EC75B7" w:rsidRDefault="00015F4E" w:rsidP="00015F4E">
      <w:pPr>
        <w:spacing w:line="360" w:lineRule="auto"/>
        <w:ind w:left="810" w:right="544"/>
        <w:jc w:val="both"/>
        <w:rPr>
          <w:rFonts w:ascii="Verdana" w:hAnsi="Verdana"/>
          <w:sz w:val="18"/>
          <w:szCs w:val="18"/>
        </w:rPr>
      </w:pPr>
    </w:p>
    <w:p w14:paraId="11F93225" w14:textId="77777777" w:rsidR="00015F4E" w:rsidRPr="00EC75B7" w:rsidRDefault="00015F4E" w:rsidP="00015F4E">
      <w:pPr>
        <w:pStyle w:val="BodyText"/>
        <w:spacing w:line="357" w:lineRule="auto"/>
        <w:ind w:left="794" w:right="854"/>
        <w:jc w:val="both"/>
        <w:rPr>
          <w:rFonts w:ascii="Verdana" w:hAnsi="Verdana"/>
        </w:rPr>
      </w:pPr>
      <w:r w:rsidRPr="00EC75B7">
        <w:rPr>
          <w:rFonts w:ascii="Verdana" w:hAnsi="Verdana"/>
        </w:rPr>
        <w:t>Order 462/1993 does not set limits for mobile sources. The order indicates that pollutant emissions from road vehicles are limited as a preventive measure by the technical conditions set out in the technical inspections carried out periodically throughout the life of road vehicles registered in the country.</w:t>
      </w:r>
    </w:p>
    <w:p w14:paraId="200569D2" w14:textId="77777777" w:rsidR="00015F4E" w:rsidRPr="00EC75B7" w:rsidRDefault="00015F4E" w:rsidP="00015F4E">
      <w:pPr>
        <w:pStyle w:val="BodyText"/>
        <w:spacing w:line="357" w:lineRule="auto"/>
        <w:ind w:left="794" w:right="854"/>
        <w:jc w:val="both"/>
        <w:rPr>
          <w:rFonts w:ascii="Verdana" w:hAnsi="Verdana"/>
        </w:rPr>
      </w:pPr>
      <w:r w:rsidRPr="00EC75B7">
        <w:rPr>
          <w:rFonts w:ascii="Verdana" w:hAnsi="Verdana"/>
          <w:b/>
          <w:bCs/>
        </w:rPr>
        <w:t>During the operation</w:t>
      </w:r>
      <w:r w:rsidRPr="00EC75B7">
        <w:rPr>
          <w:rFonts w:ascii="Verdana" w:hAnsi="Verdana"/>
        </w:rPr>
        <w:t xml:space="preserve"> of the facility, there will be no sources of atmospheric pollutant emissions. Occasionally, maintenance operations may be carried out. These operations generate atmospheric pollutant emissions, mainly from vehicles used to transport personnel, but their contribution is insignificant.</w:t>
      </w:r>
    </w:p>
    <w:p w14:paraId="0AB94F7F" w14:textId="77777777" w:rsidR="00015F4E" w:rsidRPr="00EC75B7" w:rsidRDefault="00015F4E" w:rsidP="00015F4E">
      <w:pPr>
        <w:pStyle w:val="BodyText"/>
        <w:spacing w:before="123" w:line="360" w:lineRule="auto"/>
        <w:ind w:left="794" w:right="856"/>
        <w:jc w:val="both"/>
        <w:rPr>
          <w:rFonts w:ascii="Verdana" w:hAnsi="Verdana"/>
        </w:rPr>
      </w:pPr>
      <w:r w:rsidRPr="00EC75B7">
        <w:rPr>
          <w:rFonts w:ascii="Verdana" w:hAnsi="Verdana"/>
        </w:rPr>
        <w:t xml:space="preserve">During </w:t>
      </w:r>
      <w:r w:rsidRPr="00EC75B7">
        <w:rPr>
          <w:rFonts w:ascii="Verdana" w:hAnsi="Verdana"/>
          <w:b/>
          <w:bCs/>
        </w:rPr>
        <w:t>the decommissioning period</w:t>
      </w:r>
      <w:r w:rsidRPr="00EC75B7">
        <w:rPr>
          <w:rFonts w:ascii="Verdana" w:hAnsi="Verdana"/>
        </w:rPr>
        <w:t>, the emission sources involved will be similar to those mentioned in the execution phase.</w:t>
      </w:r>
    </w:p>
    <w:p w14:paraId="4E99B452" w14:textId="7F3CCF9D" w:rsidR="00015F4E" w:rsidRPr="00EC75B7" w:rsidRDefault="00015F4E" w:rsidP="00015F4E">
      <w:pPr>
        <w:spacing w:line="360" w:lineRule="auto"/>
        <w:ind w:left="810" w:right="544"/>
        <w:jc w:val="both"/>
        <w:rPr>
          <w:rFonts w:ascii="Verdana" w:hAnsi="Verdana"/>
          <w:sz w:val="18"/>
          <w:szCs w:val="18"/>
        </w:rPr>
        <w:sectPr w:rsidR="00015F4E" w:rsidRPr="00EC75B7">
          <w:type w:val="continuous"/>
          <w:pgSz w:w="11910" w:h="16840"/>
          <w:pgMar w:top="1280" w:right="141" w:bottom="280" w:left="425" w:header="766" w:footer="797" w:gutter="0"/>
          <w:cols w:space="708"/>
        </w:sectPr>
      </w:pPr>
    </w:p>
    <w:p w14:paraId="4896A792" w14:textId="77777777" w:rsidR="008715BE" w:rsidRPr="00EC75B7" w:rsidRDefault="008715BE">
      <w:pPr>
        <w:pStyle w:val="BodyText"/>
        <w:spacing w:before="57"/>
        <w:rPr>
          <w:rFonts w:ascii="Verdana" w:hAnsi="Verdana"/>
        </w:rPr>
      </w:pPr>
    </w:p>
    <w:p w14:paraId="7041CABC" w14:textId="77777777" w:rsidR="008715BE" w:rsidRPr="00EC75B7" w:rsidRDefault="008715BE">
      <w:pPr>
        <w:pStyle w:val="BodyText"/>
        <w:spacing w:before="6"/>
        <w:rPr>
          <w:rFonts w:ascii="Verdana" w:hAnsi="Verdana"/>
          <w:i/>
        </w:rPr>
      </w:pPr>
    </w:p>
    <w:p w14:paraId="66DE7C8D" w14:textId="77777777" w:rsidR="008715BE" w:rsidRPr="00EC75B7" w:rsidRDefault="008715BE">
      <w:pPr>
        <w:pStyle w:val="BodyText"/>
        <w:spacing w:before="21"/>
        <w:rPr>
          <w:rFonts w:ascii="Verdana" w:hAnsi="Verdana"/>
        </w:rPr>
      </w:pPr>
    </w:p>
    <w:p w14:paraId="005D2723" w14:textId="77777777" w:rsidR="008715BE" w:rsidRPr="00EC75B7" w:rsidRDefault="00000000">
      <w:pPr>
        <w:pStyle w:val="Heading3"/>
        <w:numPr>
          <w:ilvl w:val="2"/>
          <w:numId w:val="110"/>
        </w:numPr>
        <w:tabs>
          <w:tab w:val="left" w:pos="2745"/>
        </w:tabs>
        <w:ind w:left="2745" w:hanging="986"/>
        <w:rPr>
          <w:rFonts w:ascii="Verdana" w:hAnsi="Verdana"/>
          <w:sz w:val="18"/>
          <w:szCs w:val="18"/>
        </w:rPr>
      </w:pPr>
      <w:bookmarkStart w:id="26" w:name="_bookmark26"/>
      <w:bookmarkEnd w:id="26"/>
      <w:r w:rsidRPr="00EC75B7">
        <w:rPr>
          <w:rFonts w:ascii="Verdana" w:hAnsi="Verdana"/>
          <w:color w:val="00AFEF"/>
          <w:sz w:val="18"/>
          <w:szCs w:val="18"/>
        </w:rPr>
        <w:t xml:space="preserve">Soil and </w:t>
      </w:r>
      <w:r w:rsidRPr="00EC75B7">
        <w:rPr>
          <w:rFonts w:ascii="Verdana" w:hAnsi="Verdana"/>
          <w:color w:val="00AFEF"/>
          <w:spacing w:val="-2"/>
          <w:sz w:val="18"/>
          <w:szCs w:val="18"/>
        </w:rPr>
        <w:t xml:space="preserve">subsoil </w:t>
      </w:r>
      <w:r w:rsidRPr="00EC75B7">
        <w:rPr>
          <w:rFonts w:ascii="Verdana" w:hAnsi="Verdana"/>
          <w:color w:val="00AFEF"/>
          <w:sz w:val="18"/>
          <w:szCs w:val="18"/>
        </w:rPr>
        <w:t>contamination</w:t>
      </w:r>
    </w:p>
    <w:p w14:paraId="10B30B23" w14:textId="77777777" w:rsidR="008715BE" w:rsidRPr="00EC75B7" w:rsidRDefault="008715BE">
      <w:pPr>
        <w:pStyle w:val="BodyText"/>
        <w:spacing w:before="112"/>
        <w:rPr>
          <w:rFonts w:ascii="Verdana" w:hAnsi="Verdana"/>
          <w:b/>
        </w:rPr>
      </w:pPr>
    </w:p>
    <w:p w14:paraId="3FBEF1A4" w14:textId="77777777" w:rsidR="008715BE" w:rsidRPr="00EC75B7" w:rsidRDefault="00000000" w:rsidP="00F17FED">
      <w:pPr>
        <w:pStyle w:val="BodyText"/>
        <w:spacing w:line="360" w:lineRule="auto"/>
        <w:ind w:left="792" w:right="850"/>
        <w:jc w:val="both"/>
        <w:rPr>
          <w:rFonts w:ascii="Verdana" w:hAnsi="Verdana"/>
        </w:rPr>
      </w:pPr>
      <w:r w:rsidRPr="001B3BB8">
        <w:rPr>
          <w:rFonts w:ascii="Verdana" w:hAnsi="Verdana"/>
          <w:b/>
          <w:bCs/>
        </w:rPr>
        <w:t>During the execution phase</w:t>
      </w:r>
      <w:r w:rsidRPr="00EC75B7">
        <w:rPr>
          <w:rFonts w:ascii="Verdana" w:hAnsi="Verdana"/>
        </w:rPr>
        <w:t>, the potential sources of soil, subsoil, and groundwater degradation will be</w:t>
      </w:r>
    </w:p>
    <w:p w14:paraId="5B2DC3E9" w14:textId="4EA5E321" w:rsidR="008715BE" w:rsidRPr="00EC75B7" w:rsidRDefault="00000000" w:rsidP="00F17FED">
      <w:pPr>
        <w:pStyle w:val="BodyText"/>
        <w:spacing w:line="360" w:lineRule="auto"/>
        <w:ind w:left="792" w:right="850"/>
        <w:jc w:val="both"/>
        <w:rPr>
          <w:rFonts w:ascii="Verdana" w:hAnsi="Verdana"/>
        </w:rPr>
      </w:pPr>
      <w:r w:rsidRPr="00EC75B7">
        <w:rPr>
          <w:rFonts w:ascii="Verdana" w:hAnsi="Verdana"/>
        </w:rPr>
        <w:t>represented by:</w:t>
      </w:r>
    </w:p>
    <w:p w14:paraId="77E29BCB"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Improper storage of construction equipment and materials;</w:t>
      </w:r>
    </w:p>
    <w:p w14:paraId="225214E4"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Improper management and storage of waste resulting from the works, as well as household waste generated by the personnel involved in the execution of the works;</w:t>
      </w:r>
    </w:p>
    <w:p w14:paraId="19B17B87"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Traffic of vehicles and machinery involved in the achievement of the objective. Along with air pollution, there is a possibility that a certain amount of atmospheric pollutants (SO2, NOx, heavy metals) may reach the soil, which may lead to changes in its characteristics;</w:t>
      </w:r>
    </w:p>
    <w:p w14:paraId="3848DA87"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Accidental spills of fuels, lubricants, and other chemicals from vehicles and machinery involved in construction work or from their improper storage;</w:t>
      </w:r>
    </w:p>
    <w:p w14:paraId="6FA0AB52"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Degradation of soil quality through improper handling/storage of uncovered/excavated material, implicitly leading to erosion and/or spreading;</w:t>
      </w:r>
    </w:p>
    <w:p w14:paraId="0E8E7055"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Soil contamination with germinative material belonging to ruderal and/or invasive and potentially invasive alien species, as a result of soil handling activities, as well as traffic of machinery and working personnel;</w:t>
      </w:r>
    </w:p>
    <w:p w14:paraId="0529E4B6" w14:textId="77777777" w:rsidR="00F17FED"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Deposition of dust resulting from the excavation, loading, transport, and unloading of construction materials;</w:t>
      </w:r>
    </w:p>
    <w:p w14:paraId="343EC23F" w14:textId="357C85E8" w:rsidR="008715BE" w:rsidRPr="00EC75B7" w:rsidRDefault="00000000" w:rsidP="001B3BB8">
      <w:pPr>
        <w:pStyle w:val="BodyText"/>
        <w:numPr>
          <w:ilvl w:val="0"/>
          <w:numId w:val="133"/>
        </w:numPr>
        <w:spacing w:line="360" w:lineRule="auto"/>
        <w:ind w:left="1512" w:right="850"/>
        <w:jc w:val="both"/>
        <w:rPr>
          <w:rFonts w:ascii="Verdana" w:hAnsi="Verdana"/>
        </w:rPr>
      </w:pPr>
      <w:r w:rsidRPr="00EC75B7">
        <w:rPr>
          <w:rFonts w:ascii="Verdana" w:hAnsi="Verdana"/>
        </w:rPr>
        <w:t>Inadequate management of domestic and technological wastewater resulting from the organisation of the construction site and work fronts.</w:t>
      </w:r>
    </w:p>
    <w:p w14:paraId="6DBE1199" w14:textId="32D0F5F5" w:rsidR="008715BE" w:rsidRPr="00EC75B7" w:rsidRDefault="00000000" w:rsidP="001B3BB8">
      <w:pPr>
        <w:pStyle w:val="BodyText"/>
        <w:spacing w:line="360" w:lineRule="auto"/>
        <w:ind w:left="794" w:right="856"/>
        <w:jc w:val="both"/>
        <w:rPr>
          <w:rFonts w:ascii="Verdana" w:hAnsi="Verdana"/>
        </w:rPr>
      </w:pPr>
      <w:r w:rsidRPr="00EC75B7">
        <w:rPr>
          <w:rFonts w:ascii="Verdana" w:hAnsi="Verdana"/>
        </w:rPr>
        <w:t xml:space="preserve">During the </w:t>
      </w:r>
      <w:r w:rsidRPr="00EC75B7">
        <w:rPr>
          <w:rFonts w:ascii="Verdana" w:hAnsi="Verdana"/>
          <w:b/>
          <w:bCs/>
        </w:rPr>
        <w:t>operational phase</w:t>
      </w:r>
      <w:r w:rsidRPr="00EC75B7">
        <w:rPr>
          <w:rFonts w:ascii="Verdana" w:hAnsi="Verdana"/>
        </w:rPr>
        <w:t>, the potential sources of pollution will be as follows:</w:t>
      </w:r>
    </w:p>
    <w:p w14:paraId="2D80BA83" w14:textId="77777777" w:rsidR="00F17FED" w:rsidRPr="00EC75B7" w:rsidRDefault="00F17FED" w:rsidP="001B3BB8">
      <w:pPr>
        <w:pStyle w:val="BodyText"/>
        <w:numPr>
          <w:ilvl w:val="0"/>
          <w:numId w:val="134"/>
        </w:numPr>
        <w:spacing w:line="360" w:lineRule="auto"/>
        <w:ind w:right="856"/>
        <w:jc w:val="both"/>
        <w:rPr>
          <w:rFonts w:ascii="Verdana" w:hAnsi="Verdana"/>
        </w:rPr>
      </w:pPr>
      <w:r w:rsidRPr="00EC75B7">
        <w:rPr>
          <w:rFonts w:ascii="Verdana" w:hAnsi="Verdana"/>
        </w:rPr>
        <w:t>Road traffic of maintenance team vehicles, which is an occasional source of atmospheric emissions</w:t>
      </w:r>
    </w:p>
    <w:p w14:paraId="3E7FF288" w14:textId="77777777" w:rsidR="00F17FED" w:rsidRPr="00EC75B7" w:rsidRDefault="00F17FED" w:rsidP="001B3BB8">
      <w:pPr>
        <w:pStyle w:val="BodyText"/>
        <w:spacing w:line="360" w:lineRule="auto"/>
        <w:ind w:left="794" w:right="856"/>
        <w:jc w:val="both"/>
        <w:rPr>
          <w:rFonts w:ascii="Verdana" w:hAnsi="Verdana"/>
        </w:rPr>
      </w:pPr>
      <w:r w:rsidRPr="00EC75B7">
        <w:rPr>
          <w:rFonts w:ascii="Verdana" w:hAnsi="Verdana"/>
        </w:rPr>
        <w:t>(CO, NOX, SO2, PM10, and heavy metals) from exhaust gases.</w:t>
      </w:r>
    </w:p>
    <w:p w14:paraId="4D88150F" w14:textId="77777777" w:rsidR="00F17FED" w:rsidRPr="00EC75B7" w:rsidRDefault="00F17FED" w:rsidP="001B3BB8">
      <w:pPr>
        <w:pStyle w:val="BodyText"/>
        <w:numPr>
          <w:ilvl w:val="0"/>
          <w:numId w:val="134"/>
        </w:numPr>
        <w:spacing w:line="360" w:lineRule="auto"/>
        <w:ind w:right="856"/>
        <w:jc w:val="both"/>
        <w:rPr>
          <w:rFonts w:ascii="Verdana" w:hAnsi="Verdana"/>
        </w:rPr>
      </w:pPr>
      <w:r w:rsidRPr="00EC75B7">
        <w:rPr>
          <w:rFonts w:ascii="Verdana" w:hAnsi="Verdana"/>
        </w:rPr>
        <w:t>Accidental spills of fuels and lubricants from waste transport vehicles and personnel involved in maintenance activities;</w:t>
      </w:r>
    </w:p>
    <w:p w14:paraId="5A30E011" w14:textId="054BFA4F" w:rsidR="00F17FED" w:rsidRPr="00EC75B7" w:rsidRDefault="00F17FED" w:rsidP="001B3BB8">
      <w:pPr>
        <w:pStyle w:val="BodyText"/>
        <w:numPr>
          <w:ilvl w:val="0"/>
          <w:numId w:val="134"/>
        </w:numPr>
        <w:spacing w:line="360" w:lineRule="auto"/>
        <w:ind w:right="856"/>
        <w:jc w:val="both"/>
        <w:rPr>
          <w:rFonts w:ascii="Verdana" w:hAnsi="Verdana"/>
        </w:rPr>
        <w:sectPr w:rsidR="00F17FED" w:rsidRPr="00EC75B7">
          <w:pgSz w:w="11910" w:h="16840"/>
          <w:pgMar w:top="1160" w:right="141" w:bottom="1020" w:left="425" w:header="766" w:footer="797" w:gutter="0"/>
          <w:cols w:space="708"/>
        </w:sectPr>
      </w:pPr>
      <w:r w:rsidRPr="00EC75B7">
        <w:rPr>
          <w:rFonts w:ascii="Verdana" w:hAnsi="Verdana"/>
        </w:rPr>
        <w:t>During the project decommissioning phase, potential sources of soil pollution will be similar to those during the construction phase, as the work will be carried out using the same types of equipment</w:t>
      </w:r>
    </w:p>
    <w:p w14:paraId="1A18C684" w14:textId="77777777" w:rsidR="008715BE" w:rsidRPr="00EC75B7" w:rsidRDefault="008715BE">
      <w:pPr>
        <w:pStyle w:val="BodyText"/>
        <w:spacing w:before="33"/>
        <w:rPr>
          <w:rFonts w:ascii="Verdana" w:hAnsi="Verdana"/>
        </w:rPr>
      </w:pPr>
    </w:p>
    <w:p w14:paraId="4384715F" w14:textId="77777777" w:rsidR="008715BE" w:rsidRPr="00EC75B7" w:rsidRDefault="00000000">
      <w:pPr>
        <w:pStyle w:val="Heading3"/>
        <w:numPr>
          <w:ilvl w:val="2"/>
          <w:numId w:val="110"/>
        </w:numPr>
        <w:tabs>
          <w:tab w:val="left" w:pos="2745"/>
        </w:tabs>
        <w:ind w:left="2745" w:hanging="986"/>
        <w:rPr>
          <w:rFonts w:ascii="Verdana" w:hAnsi="Verdana"/>
          <w:sz w:val="18"/>
          <w:szCs w:val="18"/>
        </w:rPr>
      </w:pPr>
      <w:bookmarkStart w:id="27" w:name="_bookmark27"/>
      <w:bookmarkEnd w:id="27"/>
      <w:r w:rsidRPr="00EC75B7">
        <w:rPr>
          <w:rFonts w:ascii="Verdana" w:hAnsi="Verdana"/>
          <w:color w:val="00AFEF"/>
          <w:sz w:val="18"/>
          <w:szCs w:val="18"/>
        </w:rPr>
        <w:t xml:space="preserve">Noise and </w:t>
      </w:r>
      <w:r w:rsidRPr="00EC75B7">
        <w:rPr>
          <w:rFonts w:ascii="Verdana" w:hAnsi="Verdana"/>
          <w:color w:val="00AFEF"/>
          <w:spacing w:val="-2"/>
          <w:sz w:val="18"/>
          <w:szCs w:val="18"/>
        </w:rPr>
        <w:t>vibrations</w:t>
      </w:r>
    </w:p>
    <w:p w14:paraId="4AFE24ED" w14:textId="77777777" w:rsidR="008715BE" w:rsidRPr="00EC75B7" w:rsidRDefault="00000000">
      <w:pPr>
        <w:pStyle w:val="Heading5"/>
        <w:numPr>
          <w:ilvl w:val="0"/>
          <w:numId w:val="103"/>
        </w:numPr>
        <w:tabs>
          <w:tab w:val="left" w:pos="1514"/>
        </w:tabs>
        <w:spacing w:before="118"/>
        <w:ind w:hanging="523"/>
        <w:jc w:val="left"/>
        <w:rPr>
          <w:rFonts w:ascii="Verdana" w:hAnsi="Verdana"/>
        </w:rPr>
      </w:pPr>
      <w:r w:rsidRPr="00EC75B7">
        <w:rPr>
          <w:rFonts w:ascii="Verdana" w:hAnsi="Verdana"/>
        </w:rPr>
        <w:t xml:space="preserve">Current </w:t>
      </w:r>
      <w:r w:rsidRPr="00EC75B7">
        <w:rPr>
          <w:rFonts w:ascii="Verdana" w:hAnsi="Verdana"/>
          <w:spacing w:val="-4"/>
        </w:rPr>
        <w:t xml:space="preserve">background </w:t>
      </w:r>
      <w:r w:rsidRPr="00EC75B7">
        <w:rPr>
          <w:rFonts w:ascii="Verdana" w:hAnsi="Verdana"/>
        </w:rPr>
        <w:t>noise level</w:t>
      </w:r>
    </w:p>
    <w:p w14:paraId="12DB62A8" w14:textId="77777777" w:rsidR="008715BE" w:rsidRPr="00EC75B7" w:rsidRDefault="008715BE">
      <w:pPr>
        <w:pStyle w:val="BodyText"/>
        <w:spacing w:before="9"/>
        <w:rPr>
          <w:rFonts w:ascii="Verdana" w:hAnsi="Verdana"/>
          <w:b/>
        </w:rPr>
      </w:pPr>
    </w:p>
    <w:p w14:paraId="0564703F" w14:textId="77777777" w:rsidR="008715BE" w:rsidRPr="00EC75B7" w:rsidRDefault="00000000" w:rsidP="00F17FED">
      <w:pPr>
        <w:pStyle w:val="BodyText"/>
        <w:spacing w:line="360" w:lineRule="auto"/>
        <w:ind w:left="792" w:right="850"/>
        <w:jc w:val="both"/>
        <w:rPr>
          <w:rFonts w:ascii="Verdana" w:hAnsi="Verdana"/>
        </w:rPr>
      </w:pPr>
      <w:r w:rsidRPr="00EC75B7">
        <w:rPr>
          <w:rFonts w:ascii="Verdana" w:hAnsi="Verdana"/>
        </w:rPr>
        <w:t>The background noise in the Cerchezu area is typical of a rural settlement in Dobrogea and is caused by a combination of diffuse sources, with diurnal and seasonal variability. In the absence of major industrial sources in the immediate vicinity, the dominant component of background noise is associated with current household activities, local traffic, and, seasonally, agricultural activities, to which is added the influence of weather conditions (especially wind).</w:t>
      </w:r>
    </w:p>
    <w:p w14:paraId="2D7A0BED" w14:textId="2D5775C2" w:rsidR="008715BE" w:rsidRPr="00EC75B7" w:rsidRDefault="00000000" w:rsidP="001B3BB8">
      <w:pPr>
        <w:pStyle w:val="BodyText"/>
        <w:spacing w:line="360" w:lineRule="auto"/>
        <w:ind w:left="792" w:right="850"/>
        <w:jc w:val="both"/>
        <w:rPr>
          <w:rFonts w:ascii="Verdana" w:hAnsi="Verdana"/>
        </w:rPr>
      </w:pPr>
      <w:r w:rsidRPr="00EC75B7">
        <w:rPr>
          <w:rFonts w:ascii="Verdana" w:hAnsi="Verdana"/>
        </w:rPr>
        <w:t>Typical sources contributing to background noise</w:t>
      </w:r>
      <w:r w:rsidR="00F17FED" w:rsidRPr="00EC75B7">
        <w:rPr>
          <w:rFonts w:ascii="Verdana" w:hAnsi="Verdana"/>
        </w:rPr>
        <w:t>:</w:t>
      </w:r>
    </w:p>
    <w:p w14:paraId="27775250" w14:textId="77777777" w:rsidR="00F17FED" w:rsidRPr="00EC75B7" w:rsidRDefault="00000000">
      <w:pPr>
        <w:pStyle w:val="BodyText"/>
        <w:numPr>
          <w:ilvl w:val="0"/>
          <w:numId w:val="135"/>
        </w:numPr>
        <w:spacing w:line="360" w:lineRule="auto"/>
        <w:ind w:right="850"/>
        <w:jc w:val="both"/>
        <w:rPr>
          <w:rFonts w:ascii="Verdana" w:hAnsi="Verdana"/>
        </w:rPr>
      </w:pPr>
      <w:r w:rsidRPr="00EC75B7">
        <w:rPr>
          <w:rFonts w:ascii="Verdana" w:hAnsi="Verdana"/>
        </w:rPr>
        <w:t>Local and transit road traffic (cars, utility vehicles, occasionally heavy vehicles), intermittent; contribution increases during morning and afternoon rush hours.</w:t>
      </w:r>
    </w:p>
    <w:p w14:paraId="0AAB8C68" w14:textId="77777777" w:rsidR="00F17FED" w:rsidRPr="00EC75B7" w:rsidRDefault="00000000">
      <w:pPr>
        <w:pStyle w:val="BodyText"/>
        <w:numPr>
          <w:ilvl w:val="0"/>
          <w:numId w:val="135"/>
        </w:numPr>
        <w:spacing w:line="360" w:lineRule="auto"/>
        <w:ind w:right="850"/>
        <w:jc w:val="both"/>
        <w:rPr>
          <w:rFonts w:ascii="Verdana" w:hAnsi="Verdana"/>
        </w:rPr>
      </w:pPr>
      <w:r w:rsidRPr="00EC75B7">
        <w:rPr>
          <w:rFonts w:ascii="Verdana" w:hAnsi="Verdana"/>
        </w:rPr>
        <w:t>Household activities (tools, small machinery, maintenance work), mainly during the day.</w:t>
      </w:r>
    </w:p>
    <w:p w14:paraId="16AAF5DB" w14:textId="77777777" w:rsidR="00F17FED" w:rsidRPr="00EC75B7" w:rsidRDefault="00000000">
      <w:pPr>
        <w:pStyle w:val="BodyText"/>
        <w:numPr>
          <w:ilvl w:val="0"/>
          <w:numId w:val="135"/>
        </w:numPr>
        <w:spacing w:line="360" w:lineRule="auto"/>
        <w:ind w:right="850"/>
        <w:jc w:val="both"/>
        <w:rPr>
          <w:rFonts w:ascii="Verdana" w:hAnsi="Verdana"/>
        </w:rPr>
      </w:pPr>
      <w:r w:rsidRPr="00EC75B7">
        <w:rPr>
          <w:rFonts w:ascii="Verdana" w:hAnsi="Verdana"/>
        </w:rPr>
        <w:t>Agricultural activities (tractors, combines, transport), with seasonal intensification; can generate episodes of noise of varying duration and high levels for short periods.</w:t>
      </w:r>
    </w:p>
    <w:p w14:paraId="359BC9C8" w14:textId="191A07D3" w:rsidR="008715BE" w:rsidRPr="00EC75B7" w:rsidRDefault="00000000">
      <w:pPr>
        <w:pStyle w:val="BodyText"/>
        <w:numPr>
          <w:ilvl w:val="0"/>
          <w:numId w:val="135"/>
        </w:numPr>
        <w:spacing w:line="360" w:lineRule="auto"/>
        <w:ind w:right="850"/>
        <w:jc w:val="both"/>
        <w:rPr>
          <w:rFonts w:ascii="Verdana" w:hAnsi="Verdana"/>
        </w:rPr>
      </w:pPr>
      <w:r w:rsidRPr="00EC75B7">
        <w:rPr>
          <w:rFonts w:ascii="Verdana" w:hAnsi="Verdana"/>
        </w:rPr>
        <w:t>Natural/biological sources (wind, birds, dogs), particularly relevant in the evening/at night, when overall levels decrease and isolated events become more noticeable.</w:t>
      </w:r>
    </w:p>
    <w:p w14:paraId="3498CD9B" w14:textId="77777777" w:rsidR="008715BE" w:rsidRPr="00EC75B7" w:rsidRDefault="00000000">
      <w:pPr>
        <w:pStyle w:val="Heading5"/>
        <w:spacing w:before="110"/>
        <w:ind w:left="794"/>
        <w:jc w:val="left"/>
        <w:rPr>
          <w:rFonts w:ascii="Verdana" w:hAnsi="Verdana"/>
        </w:rPr>
      </w:pPr>
      <w:r w:rsidRPr="00EC75B7">
        <w:rPr>
          <w:rFonts w:ascii="Verdana" w:hAnsi="Verdana"/>
        </w:rPr>
        <w:t>Quiet areas estimated at European level</w:t>
      </w:r>
    </w:p>
    <w:p w14:paraId="651485E1" w14:textId="77777777" w:rsidR="008715BE" w:rsidRPr="00EC75B7" w:rsidRDefault="008715BE">
      <w:pPr>
        <w:pStyle w:val="BodyText"/>
        <w:spacing w:before="7"/>
        <w:rPr>
          <w:rFonts w:ascii="Verdana" w:hAnsi="Verdana"/>
          <w:b/>
        </w:rPr>
      </w:pPr>
    </w:p>
    <w:p w14:paraId="3C4149AD" w14:textId="0D4D79B9"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According to data on quiet areas published by the European Environment Agency in 2017,</w:t>
      </w:r>
      <w:r w:rsidR="00F17FED" w:rsidRPr="00EC75B7">
        <w:rPr>
          <w:rFonts w:ascii="Verdana" w:hAnsi="Verdana"/>
        </w:rPr>
        <w:t xml:space="preserve"> </w:t>
      </w:r>
      <w:r w:rsidRPr="00EC75B7">
        <w:rPr>
          <w:rFonts w:ascii="Verdana" w:hAnsi="Verdana"/>
        </w:rPr>
        <w:t>the project site is mainly located in an area with low noise levels.</w:t>
      </w:r>
    </w:p>
    <w:p w14:paraId="2FB439EE" w14:textId="77777777" w:rsidR="008715BE" w:rsidRPr="00EC75B7" w:rsidRDefault="00000000" w:rsidP="00F17FED">
      <w:pPr>
        <w:pStyle w:val="Heading5"/>
        <w:spacing w:before="110"/>
        <w:ind w:left="794"/>
        <w:jc w:val="left"/>
        <w:rPr>
          <w:rFonts w:ascii="Verdana" w:hAnsi="Verdana"/>
        </w:rPr>
      </w:pPr>
      <w:r w:rsidRPr="00EC75B7">
        <w:rPr>
          <w:rFonts w:ascii="Verdana" w:hAnsi="Verdana"/>
        </w:rPr>
        <w:t>Project implementation phase</w:t>
      </w:r>
    </w:p>
    <w:p w14:paraId="301F2F43" w14:textId="77777777" w:rsidR="008715BE" w:rsidRPr="00EC75B7" w:rsidRDefault="008715BE">
      <w:pPr>
        <w:pStyle w:val="BodyText"/>
        <w:spacing w:before="9"/>
        <w:rPr>
          <w:rFonts w:ascii="Verdana" w:hAnsi="Verdana"/>
          <w:b/>
        </w:rPr>
      </w:pPr>
    </w:p>
    <w:p w14:paraId="343DF5FC" w14:textId="0F4D4E99" w:rsidR="008715BE" w:rsidRPr="00EC75B7" w:rsidRDefault="00000000" w:rsidP="001B3BB8">
      <w:pPr>
        <w:pStyle w:val="BodyText"/>
        <w:spacing w:line="360" w:lineRule="auto"/>
        <w:ind w:left="810" w:right="850"/>
        <w:jc w:val="both"/>
        <w:rPr>
          <w:rFonts w:ascii="Verdana" w:hAnsi="Verdana"/>
        </w:rPr>
      </w:pPr>
      <w:r w:rsidRPr="00EC75B7">
        <w:rPr>
          <w:rFonts w:ascii="Verdana" w:hAnsi="Verdana"/>
        </w:rPr>
        <w:t>The main sources of noise will be:</w:t>
      </w:r>
    </w:p>
    <w:p w14:paraId="5B421E28" w14:textId="77777777" w:rsidR="00F17FED" w:rsidRPr="00EC75B7" w:rsidRDefault="00000000">
      <w:pPr>
        <w:pStyle w:val="BodyText"/>
        <w:numPr>
          <w:ilvl w:val="0"/>
          <w:numId w:val="136"/>
        </w:numPr>
        <w:spacing w:line="360" w:lineRule="auto"/>
        <w:ind w:right="850"/>
        <w:jc w:val="both"/>
        <w:rPr>
          <w:rFonts w:ascii="Verdana" w:hAnsi="Verdana"/>
        </w:rPr>
      </w:pPr>
      <w:r w:rsidRPr="00EC75B7">
        <w:rPr>
          <w:rFonts w:ascii="Verdana" w:hAnsi="Verdana"/>
        </w:rPr>
        <w:t>traffic in the work areas (temporary turbine platforms) and on access roads</w:t>
      </w:r>
      <w:r w:rsidR="00F17FED" w:rsidRPr="00EC75B7">
        <w:rPr>
          <w:rFonts w:ascii="Verdana" w:hAnsi="Verdana"/>
        </w:rPr>
        <w:t xml:space="preserve"> </w:t>
      </w:r>
      <w:r w:rsidRPr="00EC75B7">
        <w:rPr>
          <w:rFonts w:ascii="Verdana" w:hAnsi="Verdana"/>
        </w:rPr>
        <w:t>access roads;</w:t>
      </w:r>
    </w:p>
    <w:p w14:paraId="4261EF88" w14:textId="77777777" w:rsidR="00F17FED" w:rsidRPr="00EC75B7" w:rsidRDefault="00000000">
      <w:pPr>
        <w:pStyle w:val="BodyText"/>
        <w:numPr>
          <w:ilvl w:val="0"/>
          <w:numId w:val="136"/>
        </w:numPr>
        <w:spacing w:line="360" w:lineRule="auto"/>
        <w:ind w:right="850"/>
        <w:jc w:val="both"/>
        <w:rPr>
          <w:rFonts w:ascii="Verdana" w:hAnsi="Verdana"/>
        </w:rPr>
      </w:pPr>
      <w:r w:rsidRPr="00EC75B7">
        <w:rPr>
          <w:rFonts w:ascii="Verdana" w:hAnsi="Verdana"/>
        </w:rPr>
        <w:t>excavation activities, handling of materials from quarries, and their loading and unloading;</w:t>
      </w:r>
    </w:p>
    <w:p w14:paraId="22A96C08" w14:textId="77777777" w:rsidR="00F17FED" w:rsidRPr="00EC75B7" w:rsidRDefault="00000000">
      <w:pPr>
        <w:pStyle w:val="BodyText"/>
        <w:numPr>
          <w:ilvl w:val="0"/>
          <w:numId w:val="136"/>
        </w:numPr>
        <w:spacing w:line="360" w:lineRule="auto"/>
        <w:ind w:right="850"/>
        <w:jc w:val="both"/>
        <w:rPr>
          <w:rFonts w:ascii="Verdana" w:hAnsi="Verdana"/>
        </w:rPr>
      </w:pPr>
      <w:r w:rsidRPr="00EC75B7">
        <w:rPr>
          <w:rFonts w:ascii="Verdana" w:hAnsi="Verdana"/>
        </w:rPr>
        <w:t>operation of machinery (transport vehicles, heavy trucks, concrete mixers, excavators, cranes, bulldozers, compressors) – operation of engines, handling and transport of loads;</w:t>
      </w:r>
    </w:p>
    <w:p w14:paraId="63C24516" w14:textId="4180E76E" w:rsidR="00F17FED" w:rsidRPr="00EC75B7" w:rsidRDefault="00000000">
      <w:pPr>
        <w:pStyle w:val="BodyText"/>
        <w:numPr>
          <w:ilvl w:val="0"/>
          <w:numId w:val="136"/>
        </w:numPr>
        <w:spacing w:line="360" w:lineRule="auto"/>
        <w:ind w:right="850"/>
        <w:jc w:val="both"/>
        <w:rPr>
          <w:rFonts w:ascii="Verdana" w:hAnsi="Verdana"/>
        </w:rPr>
      </w:pPr>
      <w:r w:rsidRPr="00EC75B7">
        <w:rPr>
          <w:rFonts w:ascii="Verdana" w:hAnsi="Verdana"/>
        </w:rPr>
        <w:t>the handling and installation of wind turbine components.</w:t>
      </w:r>
    </w:p>
    <w:p w14:paraId="75AE4954" w14:textId="58A241C7"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An estimate of the noise level generated during the project execution phase was made using SoundPlan 9.2 software.</w:t>
      </w:r>
    </w:p>
    <w:p w14:paraId="4217BFCC" w14:textId="77777777" w:rsidR="00F17FED" w:rsidRPr="00EC75B7" w:rsidRDefault="00F17FED" w:rsidP="00F17FED">
      <w:pPr>
        <w:pStyle w:val="BodyText"/>
        <w:spacing w:line="360" w:lineRule="auto"/>
        <w:ind w:firstLine="720"/>
        <w:jc w:val="both"/>
        <w:rPr>
          <w:rFonts w:ascii="Verdana" w:hAnsi="Verdana"/>
        </w:rPr>
      </w:pPr>
    </w:p>
    <w:p w14:paraId="554378B7" w14:textId="190CF749" w:rsidR="00F17FED" w:rsidRPr="00EC75B7" w:rsidRDefault="00F17FED" w:rsidP="001B3BB8">
      <w:pPr>
        <w:pStyle w:val="BodyText"/>
        <w:spacing w:line="360" w:lineRule="auto"/>
        <w:ind w:left="90" w:firstLine="720"/>
        <w:jc w:val="both"/>
        <w:rPr>
          <w:rFonts w:ascii="Verdana" w:hAnsi="Verdana"/>
          <w:b/>
          <w:bCs/>
        </w:rPr>
      </w:pPr>
      <w:r w:rsidRPr="00EC75B7">
        <w:rPr>
          <w:rFonts w:ascii="Verdana" w:hAnsi="Verdana"/>
          <w:b/>
          <w:bCs/>
        </w:rPr>
        <w:t>Project operation phase</w:t>
      </w:r>
    </w:p>
    <w:p w14:paraId="40B7B308" w14:textId="23CD0320" w:rsidR="00F17FED" w:rsidRPr="00EC75B7" w:rsidRDefault="00F17FED" w:rsidP="001B3BB8">
      <w:pPr>
        <w:pStyle w:val="BodyText"/>
        <w:spacing w:line="360" w:lineRule="auto"/>
        <w:ind w:left="810"/>
        <w:rPr>
          <w:rFonts w:ascii="Verdana" w:hAnsi="Verdana"/>
        </w:rPr>
      </w:pPr>
      <w:r w:rsidRPr="00EC75B7">
        <w:rPr>
          <w:rFonts w:ascii="Verdana" w:hAnsi="Verdana"/>
        </w:rPr>
        <w:t>During the operational phase, there are two main categories of noise sources that will be generated:</w:t>
      </w:r>
    </w:p>
    <w:p w14:paraId="625C2401" w14:textId="77777777" w:rsidR="00F17FED" w:rsidRPr="00EC75B7" w:rsidRDefault="00F17FED" w:rsidP="00F17FED">
      <w:pPr>
        <w:pStyle w:val="BodyText"/>
        <w:spacing w:line="360" w:lineRule="auto"/>
        <w:ind w:left="810"/>
        <w:rPr>
          <w:rFonts w:ascii="Verdana" w:hAnsi="Verdana"/>
        </w:rPr>
      </w:pPr>
      <w:r w:rsidRPr="00EC75B7">
        <w:rPr>
          <w:rFonts w:ascii="Verdana" w:hAnsi="Verdana"/>
        </w:rPr>
        <w:t>•</w:t>
      </w:r>
      <w:r w:rsidRPr="00EC75B7">
        <w:rPr>
          <w:rFonts w:ascii="Verdana" w:hAnsi="Verdana"/>
        </w:rPr>
        <w:tab/>
        <w:t>noise caused by the rotation of the blades (contact with the air);</w:t>
      </w:r>
    </w:p>
    <w:p w14:paraId="16D0E830" w14:textId="602F9F3E" w:rsidR="001B3BB8" w:rsidRDefault="00F17FED" w:rsidP="001B3BB8">
      <w:pPr>
        <w:pStyle w:val="BodyText"/>
        <w:spacing w:line="360" w:lineRule="auto"/>
        <w:ind w:left="810"/>
        <w:rPr>
          <w:rFonts w:ascii="Verdana" w:hAnsi="Verdana"/>
        </w:rPr>
      </w:pPr>
      <w:r w:rsidRPr="00EC75B7">
        <w:rPr>
          <w:rFonts w:ascii="Verdana" w:hAnsi="Verdana"/>
        </w:rPr>
        <w:t>•</w:t>
      </w:r>
      <w:r w:rsidRPr="00EC75B7">
        <w:rPr>
          <w:rFonts w:ascii="Verdana" w:hAnsi="Verdana"/>
        </w:rPr>
        <w:tab/>
        <w:t>mechanical noise created by the operation of the nacelle components (generator, gearbox</w:t>
      </w:r>
      <w:r w:rsidR="001B3BB8">
        <w:rPr>
          <w:rFonts w:ascii="Verdana" w:hAnsi="Verdana"/>
        </w:rPr>
        <w:t>).</w:t>
      </w:r>
    </w:p>
    <w:p w14:paraId="6768389A" w14:textId="77777777" w:rsidR="001B3BB8" w:rsidRPr="00EC75B7" w:rsidRDefault="001B3BB8" w:rsidP="001B3BB8">
      <w:pPr>
        <w:pStyle w:val="BodyText"/>
        <w:spacing w:line="360" w:lineRule="auto"/>
        <w:ind w:left="810" w:right="850"/>
        <w:jc w:val="both"/>
        <w:rPr>
          <w:rFonts w:ascii="Verdana" w:hAnsi="Verdana"/>
        </w:rPr>
      </w:pPr>
      <w:r w:rsidRPr="00EC75B7">
        <w:rPr>
          <w:rFonts w:ascii="Verdana" w:hAnsi="Verdana"/>
        </w:rPr>
        <w:t>Vehicles will travel on access roads to carry out maintenance activities. These will take place throughout the entire operating period, but will be intermittent and at long intervals.</w:t>
      </w:r>
    </w:p>
    <w:p w14:paraId="24504A82" w14:textId="77777777" w:rsidR="001B3BB8" w:rsidRPr="00EC75B7" w:rsidRDefault="001B3BB8" w:rsidP="001B3BB8">
      <w:pPr>
        <w:pStyle w:val="BodyText"/>
        <w:spacing w:line="360" w:lineRule="auto"/>
        <w:ind w:left="810" w:right="850"/>
        <w:jc w:val="both"/>
        <w:rPr>
          <w:rFonts w:ascii="Verdana" w:hAnsi="Verdana"/>
        </w:rPr>
      </w:pPr>
      <w:r w:rsidRPr="00EC75B7">
        <w:rPr>
          <w:rFonts w:ascii="Verdana" w:hAnsi="Verdana"/>
          <w:b/>
          <w:bCs/>
        </w:rPr>
        <w:t>During the decommissioning period,</w:t>
      </w:r>
      <w:r w:rsidRPr="00EC75B7">
        <w:rPr>
          <w:rFonts w:ascii="Verdana" w:hAnsi="Verdana"/>
        </w:rPr>
        <w:t xml:space="preserve"> the emission sources involved will be similar to those mentioned in the execution phase.</w:t>
      </w:r>
    </w:p>
    <w:p w14:paraId="3A4005B1" w14:textId="6A6B3193" w:rsidR="001B3BB8" w:rsidRPr="00EC75B7" w:rsidRDefault="001B3BB8" w:rsidP="00F17FED">
      <w:pPr>
        <w:pStyle w:val="BodyText"/>
        <w:spacing w:line="360" w:lineRule="auto"/>
        <w:ind w:left="810"/>
        <w:rPr>
          <w:rFonts w:ascii="Verdana" w:hAnsi="Verdana"/>
        </w:rPr>
        <w:sectPr w:rsidR="001B3BB8" w:rsidRPr="00EC75B7">
          <w:pgSz w:w="11910" w:h="16840"/>
          <w:pgMar w:top="1160" w:right="141" w:bottom="1020" w:left="425" w:header="766" w:footer="797" w:gutter="0"/>
          <w:cols w:space="708"/>
        </w:sectPr>
      </w:pPr>
    </w:p>
    <w:p w14:paraId="1A7CB359" w14:textId="737BBFAA" w:rsidR="008715BE" w:rsidRPr="00EC75B7" w:rsidRDefault="00000000">
      <w:pPr>
        <w:pStyle w:val="Heading5"/>
        <w:numPr>
          <w:ilvl w:val="0"/>
          <w:numId w:val="103"/>
        </w:numPr>
        <w:tabs>
          <w:tab w:val="left" w:pos="1514"/>
        </w:tabs>
        <w:spacing w:before="122" w:line="358" w:lineRule="auto"/>
        <w:ind w:left="850" w:right="792" w:firstLine="720"/>
        <w:jc w:val="both"/>
        <w:rPr>
          <w:rFonts w:ascii="Verdana" w:hAnsi="Verdana"/>
        </w:rPr>
      </w:pPr>
      <w:r w:rsidRPr="00EC75B7">
        <w:rPr>
          <w:rFonts w:ascii="Verdana" w:hAnsi="Verdana"/>
          <w:spacing w:val="-2"/>
        </w:rPr>
        <w:lastRenderedPageBreak/>
        <w:t xml:space="preserve">Vibration </w:t>
      </w:r>
      <w:r w:rsidRPr="00EC75B7">
        <w:rPr>
          <w:rFonts w:ascii="Verdana" w:hAnsi="Verdana"/>
        </w:rPr>
        <w:t>level</w:t>
      </w:r>
    </w:p>
    <w:p w14:paraId="3CF92E2E" w14:textId="77777777" w:rsidR="008715BE" w:rsidRPr="00EC75B7" w:rsidRDefault="00000000" w:rsidP="00F17FED">
      <w:pPr>
        <w:pStyle w:val="BodyText"/>
        <w:spacing w:line="360" w:lineRule="auto"/>
        <w:ind w:left="810" w:right="850"/>
        <w:jc w:val="both"/>
        <w:rPr>
          <w:rFonts w:ascii="Verdana" w:hAnsi="Verdana"/>
        </w:rPr>
      </w:pPr>
      <w:r w:rsidRPr="001B3BB8">
        <w:rPr>
          <w:rFonts w:ascii="Verdana" w:hAnsi="Verdana"/>
          <w:b/>
          <w:bCs/>
        </w:rPr>
        <w:t>During the construction</w:t>
      </w:r>
      <w:r w:rsidRPr="00EC75B7">
        <w:rPr>
          <w:rFonts w:ascii="Verdana" w:hAnsi="Verdana"/>
        </w:rPr>
        <w:t xml:space="preserve"> of the turbines at the site, vibrations of varying intensities will be generated depending on the operations carried out. At certain intensities, vibrations can have a direct negative effect on both people and buildings in the vicinity of the construction site.</w:t>
      </w:r>
    </w:p>
    <w:p w14:paraId="3E6D742D" w14:textId="77777777"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Ground vibration (GBV) is the oscillatory movement of the ground around an equilibrium position that can be described in terms of displacement, velocity, or acceleration. Vibration displacement is the distance a body moves away from its static position. Velocity is the instantaneous movement of this body over a certain period of time, and acceleration is the rate of change of velocity.</w:t>
      </w:r>
    </w:p>
    <w:p w14:paraId="080EB78B" w14:textId="77777777"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The frequency range of greatest concern for GBV is approximately 1 Hz to 100 Hz. Typical vibrations from construction and transportation activities usually fall within the range of 10–30 Hz, with a median around 15 Hz.</w:t>
      </w:r>
    </w:p>
    <w:p w14:paraId="37A41721" w14:textId="77777777"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Peak Particle Velocity (PPV –mm/s) is generally accepted as the most appropriate indicator for assessing the potential for damage to a building. It represents the highest value recorded in the three mutually perpendicular directions of the vibratory movement.</w:t>
      </w:r>
    </w:p>
    <w:p w14:paraId="2D181957" w14:textId="77777777" w:rsidR="008715BE" w:rsidRPr="00EC75B7" w:rsidRDefault="00000000" w:rsidP="00F17FED">
      <w:pPr>
        <w:pStyle w:val="BodyText"/>
        <w:spacing w:line="360" w:lineRule="auto"/>
        <w:ind w:left="810" w:right="850"/>
        <w:jc w:val="both"/>
        <w:rPr>
          <w:rFonts w:ascii="Verdana" w:hAnsi="Verdana"/>
        </w:rPr>
      </w:pPr>
      <w:r w:rsidRPr="00EC75B7">
        <w:rPr>
          <w:rFonts w:ascii="Verdana" w:hAnsi="Verdana"/>
        </w:rPr>
        <w:t>At European level, the following standards set limits for vibrations in the context of damage to buildings: the Dutch standard SBR-A (2017), the German standard DIN 4150-3 (2016), the British standard BS 7385-2 (1993) and the Swiss standard SN 640 312: (1989). These are presented in the following table.</w:t>
      </w:r>
    </w:p>
    <w:p w14:paraId="1090FBF8" w14:textId="77777777" w:rsidR="008715BE" w:rsidRPr="00EC75B7" w:rsidRDefault="00000000">
      <w:pPr>
        <w:spacing w:before="172"/>
        <w:ind w:left="765"/>
        <w:rPr>
          <w:rFonts w:ascii="Verdana" w:hAnsi="Verdana"/>
          <w:b/>
          <w:color w:val="00AFEF"/>
          <w:sz w:val="16"/>
          <w:szCs w:val="16"/>
        </w:rPr>
      </w:pPr>
      <w:r w:rsidRPr="00EC75B7">
        <w:rPr>
          <w:rFonts w:ascii="Verdana" w:hAnsi="Verdana"/>
          <w:b/>
          <w:color w:val="00AFEF"/>
          <w:sz w:val="16"/>
          <w:szCs w:val="16"/>
        </w:rPr>
        <w:t xml:space="preserve">Table 5 Mobile sources during the </w:t>
      </w:r>
      <w:r w:rsidRPr="00EC75B7">
        <w:rPr>
          <w:rFonts w:ascii="Verdana" w:hAnsi="Verdana"/>
          <w:b/>
          <w:color w:val="00AFEF"/>
          <w:spacing w:val="-2"/>
          <w:sz w:val="16"/>
          <w:szCs w:val="16"/>
        </w:rPr>
        <w:t xml:space="preserve">execution </w:t>
      </w:r>
      <w:r w:rsidRPr="00EC75B7">
        <w:rPr>
          <w:rFonts w:ascii="Verdana" w:hAnsi="Verdana"/>
          <w:b/>
          <w:color w:val="00AFEF"/>
          <w:sz w:val="16"/>
          <w:szCs w:val="16"/>
        </w:rPr>
        <w:t>period</w:t>
      </w:r>
    </w:p>
    <w:p w14:paraId="2D10F4E0" w14:textId="77777777" w:rsidR="00F17FED" w:rsidRPr="00EC75B7" w:rsidRDefault="00F17FED">
      <w:pPr>
        <w:spacing w:before="172"/>
        <w:ind w:left="765"/>
        <w:rPr>
          <w:rFonts w:ascii="Verdana" w:hAnsi="Verdana"/>
          <w:b/>
          <w:sz w:val="14"/>
          <w:szCs w:val="14"/>
        </w:rPr>
      </w:pPr>
    </w:p>
    <w:tbl>
      <w:tblPr>
        <w:tblStyle w:val="TableNormal1"/>
        <w:tblW w:w="0" w:type="auto"/>
        <w:tblInd w:w="60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335"/>
        <w:gridCol w:w="917"/>
        <w:gridCol w:w="1064"/>
        <w:gridCol w:w="1080"/>
        <w:gridCol w:w="1080"/>
        <w:gridCol w:w="1080"/>
        <w:gridCol w:w="1204"/>
        <w:gridCol w:w="1044"/>
        <w:gridCol w:w="1619"/>
      </w:tblGrid>
      <w:tr w:rsidR="008715BE" w:rsidRPr="00EC75B7" w14:paraId="5B4D9531" w14:textId="77777777">
        <w:trPr>
          <w:trHeight w:val="1166"/>
        </w:trPr>
        <w:tc>
          <w:tcPr>
            <w:tcW w:w="1335" w:type="dxa"/>
            <w:shd w:val="clear" w:color="auto" w:fill="00AFEF"/>
          </w:tcPr>
          <w:p w14:paraId="251F1902" w14:textId="77777777" w:rsidR="008715BE" w:rsidRPr="00EC75B7" w:rsidRDefault="008715BE">
            <w:pPr>
              <w:pStyle w:val="TableParagraph"/>
              <w:spacing w:before="192"/>
              <w:rPr>
                <w:rFonts w:ascii="Verdana" w:hAnsi="Verdana"/>
                <w:b/>
                <w:sz w:val="12"/>
                <w:szCs w:val="12"/>
              </w:rPr>
            </w:pPr>
          </w:p>
          <w:p w14:paraId="350F393E" w14:textId="77777777" w:rsidR="008715BE" w:rsidRPr="00EC75B7" w:rsidRDefault="00000000">
            <w:pPr>
              <w:pStyle w:val="TableParagraph"/>
              <w:spacing w:line="195" w:lineRule="exact"/>
              <w:ind w:left="305"/>
              <w:rPr>
                <w:rFonts w:ascii="Verdana" w:hAnsi="Verdana"/>
                <w:b/>
                <w:sz w:val="12"/>
                <w:szCs w:val="12"/>
              </w:rPr>
            </w:pPr>
            <w:r w:rsidRPr="00EC75B7">
              <w:rPr>
                <w:rFonts w:ascii="Verdana" w:hAnsi="Verdana"/>
                <w:b/>
                <w:color w:val="FFFFFF"/>
                <w:sz w:val="12"/>
                <w:szCs w:val="12"/>
              </w:rPr>
              <w:t xml:space="preserve">Type </w:t>
            </w:r>
            <w:r w:rsidRPr="00EC75B7">
              <w:rPr>
                <w:rFonts w:ascii="Verdana" w:hAnsi="Verdana"/>
                <w:b/>
                <w:color w:val="FFFFFF"/>
                <w:spacing w:val="-5"/>
                <w:sz w:val="12"/>
                <w:szCs w:val="12"/>
              </w:rPr>
              <w:t>of</w:t>
            </w:r>
          </w:p>
          <w:p w14:paraId="2413DF5C" w14:textId="77777777" w:rsidR="008715BE" w:rsidRPr="00EC75B7" w:rsidRDefault="00000000">
            <w:pPr>
              <w:pStyle w:val="TableParagraph"/>
              <w:spacing w:line="195" w:lineRule="exact"/>
              <w:ind w:left="362"/>
              <w:rPr>
                <w:rFonts w:ascii="Verdana" w:hAnsi="Verdana"/>
                <w:b/>
                <w:sz w:val="12"/>
                <w:szCs w:val="12"/>
              </w:rPr>
            </w:pPr>
            <w:r w:rsidRPr="00EC75B7">
              <w:rPr>
                <w:rFonts w:ascii="Verdana" w:hAnsi="Verdana"/>
                <w:b/>
                <w:color w:val="FFFFFF"/>
                <w:spacing w:val="-2"/>
                <w:sz w:val="12"/>
                <w:szCs w:val="12"/>
              </w:rPr>
              <w:t>building</w:t>
            </w:r>
          </w:p>
        </w:tc>
        <w:tc>
          <w:tcPr>
            <w:tcW w:w="3061" w:type="dxa"/>
            <w:gridSpan w:val="3"/>
            <w:shd w:val="clear" w:color="auto" w:fill="00AFEF"/>
          </w:tcPr>
          <w:p w14:paraId="296C8C1D" w14:textId="77777777" w:rsidR="008715BE" w:rsidRPr="00EC75B7" w:rsidRDefault="008715BE">
            <w:pPr>
              <w:pStyle w:val="TableParagraph"/>
              <w:spacing w:before="96"/>
              <w:rPr>
                <w:rFonts w:ascii="Verdana" w:hAnsi="Verdana"/>
                <w:b/>
                <w:sz w:val="12"/>
                <w:szCs w:val="12"/>
              </w:rPr>
            </w:pPr>
          </w:p>
          <w:p w14:paraId="4447F725" w14:textId="77777777" w:rsidR="008715BE" w:rsidRPr="00EC75B7" w:rsidRDefault="00000000">
            <w:pPr>
              <w:pStyle w:val="TableParagraph"/>
              <w:ind w:left="51" w:right="42"/>
              <w:jc w:val="center"/>
              <w:rPr>
                <w:rFonts w:ascii="Verdana" w:hAnsi="Verdana"/>
                <w:b/>
                <w:sz w:val="12"/>
                <w:szCs w:val="12"/>
              </w:rPr>
            </w:pPr>
            <w:r w:rsidRPr="00EC75B7">
              <w:rPr>
                <w:rFonts w:ascii="Verdana" w:hAnsi="Verdana"/>
                <w:b/>
                <w:color w:val="FFFFFF"/>
                <w:sz w:val="12"/>
                <w:szCs w:val="12"/>
              </w:rPr>
              <w:t xml:space="preserve">SBR-A limits depending on the type of vibration manifestation </w:t>
            </w:r>
            <w:r w:rsidRPr="00EC75B7">
              <w:rPr>
                <w:rFonts w:ascii="Verdana" w:hAnsi="Verdana"/>
                <w:b/>
                <w:color w:val="FFFFFF"/>
                <w:spacing w:val="-2"/>
                <w:sz w:val="12"/>
                <w:szCs w:val="12"/>
              </w:rPr>
              <w:t>(mm/s)</w:t>
            </w:r>
          </w:p>
        </w:tc>
        <w:tc>
          <w:tcPr>
            <w:tcW w:w="2160" w:type="dxa"/>
            <w:gridSpan w:val="2"/>
            <w:shd w:val="clear" w:color="auto" w:fill="00AFEF"/>
          </w:tcPr>
          <w:p w14:paraId="17E132A4" w14:textId="77777777" w:rsidR="008715BE" w:rsidRPr="00EC75B7" w:rsidRDefault="00000000">
            <w:pPr>
              <w:pStyle w:val="TableParagraph"/>
              <w:spacing w:before="193"/>
              <w:ind w:left="131" w:right="121"/>
              <w:jc w:val="center"/>
              <w:rPr>
                <w:rFonts w:ascii="Verdana" w:hAnsi="Verdana"/>
                <w:b/>
                <w:sz w:val="12"/>
                <w:szCs w:val="12"/>
              </w:rPr>
            </w:pPr>
            <w:r w:rsidRPr="00EC75B7">
              <w:rPr>
                <w:rFonts w:ascii="Verdana" w:hAnsi="Verdana"/>
                <w:b/>
                <w:color w:val="FFFFFF"/>
                <w:sz w:val="12"/>
                <w:szCs w:val="12"/>
              </w:rPr>
              <w:t>DIN 4140-3 limits depending on the type of vibration manifestation (mm/s)</w:t>
            </w:r>
          </w:p>
        </w:tc>
        <w:tc>
          <w:tcPr>
            <w:tcW w:w="2248" w:type="dxa"/>
            <w:gridSpan w:val="2"/>
            <w:shd w:val="clear" w:color="auto" w:fill="00AFEF"/>
          </w:tcPr>
          <w:p w14:paraId="35607C25" w14:textId="77777777" w:rsidR="008715BE" w:rsidRPr="00EC75B7" w:rsidRDefault="00000000">
            <w:pPr>
              <w:pStyle w:val="TableParagraph"/>
              <w:spacing w:before="193"/>
              <w:ind w:left="234" w:right="226"/>
              <w:jc w:val="center"/>
              <w:rPr>
                <w:rFonts w:ascii="Verdana" w:hAnsi="Verdana"/>
                <w:b/>
                <w:sz w:val="12"/>
                <w:szCs w:val="12"/>
              </w:rPr>
            </w:pPr>
            <w:r w:rsidRPr="00EC75B7">
              <w:rPr>
                <w:rFonts w:ascii="Verdana" w:hAnsi="Verdana"/>
                <w:b/>
                <w:color w:val="FFFFFF"/>
                <w:sz w:val="12"/>
                <w:szCs w:val="12"/>
              </w:rPr>
              <w:t>BS 7385-2 limits depending on the type of vibration manifestation (mm/s)</w:t>
            </w:r>
          </w:p>
        </w:tc>
        <w:tc>
          <w:tcPr>
            <w:tcW w:w="1619" w:type="dxa"/>
            <w:shd w:val="clear" w:color="auto" w:fill="00AFEF"/>
          </w:tcPr>
          <w:p w14:paraId="5187649E" w14:textId="77777777" w:rsidR="008715BE" w:rsidRPr="00EC75B7" w:rsidRDefault="00000000">
            <w:pPr>
              <w:pStyle w:val="TableParagraph"/>
              <w:spacing w:line="194" w:lineRule="exact"/>
              <w:ind w:left="107" w:right="99"/>
              <w:jc w:val="center"/>
              <w:rPr>
                <w:rFonts w:ascii="Verdana" w:hAnsi="Verdana"/>
                <w:b/>
                <w:sz w:val="12"/>
                <w:szCs w:val="12"/>
              </w:rPr>
            </w:pPr>
            <w:r w:rsidRPr="00EC75B7">
              <w:rPr>
                <w:rFonts w:ascii="Verdana" w:hAnsi="Verdana"/>
                <w:b/>
                <w:color w:val="FFFFFF"/>
                <w:sz w:val="12"/>
                <w:szCs w:val="12"/>
              </w:rPr>
              <w:t>SN</w:t>
            </w:r>
            <w:r w:rsidRPr="00EC75B7">
              <w:rPr>
                <w:rFonts w:ascii="Verdana" w:hAnsi="Verdana"/>
                <w:b/>
                <w:color w:val="FFFFFF"/>
                <w:spacing w:val="-5"/>
                <w:sz w:val="12"/>
                <w:szCs w:val="12"/>
              </w:rPr>
              <w:t xml:space="preserve"> 640 </w:t>
            </w:r>
            <w:r w:rsidRPr="00EC75B7">
              <w:rPr>
                <w:rFonts w:ascii="Verdana" w:hAnsi="Verdana"/>
                <w:b/>
                <w:color w:val="FFFFFF"/>
                <w:sz w:val="12"/>
                <w:szCs w:val="12"/>
              </w:rPr>
              <w:t>limits</w:t>
            </w:r>
          </w:p>
          <w:p w14:paraId="522BDEAF" w14:textId="77777777" w:rsidR="008715BE" w:rsidRPr="00EC75B7" w:rsidRDefault="00000000">
            <w:pPr>
              <w:pStyle w:val="TableParagraph"/>
              <w:spacing w:line="194" w:lineRule="exact"/>
              <w:ind w:left="107" w:right="96"/>
              <w:jc w:val="center"/>
              <w:rPr>
                <w:rFonts w:ascii="Verdana" w:hAnsi="Verdana"/>
                <w:b/>
                <w:sz w:val="12"/>
                <w:szCs w:val="12"/>
              </w:rPr>
            </w:pPr>
            <w:r w:rsidRPr="00EC75B7">
              <w:rPr>
                <w:rFonts w:ascii="Verdana" w:hAnsi="Verdana"/>
                <w:b/>
                <w:color w:val="FFFFFF"/>
                <w:sz w:val="12"/>
                <w:szCs w:val="12"/>
              </w:rPr>
              <w:t xml:space="preserve">312: 1989 </w:t>
            </w:r>
            <w:r w:rsidRPr="00EC75B7">
              <w:rPr>
                <w:rFonts w:ascii="Verdana" w:hAnsi="Verdana"/>
                <w:b/>
                <w:color w:val="FFFFFF"/>
                <w:spacing w:val="-5"/>
                <w:sz w:val="12"/>
                <w:szCs w:val="12"/>
              </w:rPr>
              <w:t>according to</w:t>
            </w:r>
          </w:p>
          <w:p w14:paraId="780ABEE1" w14:textId="77777777" w:rsidR="008715BE" w:rsidRPr="00EC75B7" w:rsidRDefault="00000000">
            <w:pPr>
              <w:pStyle w:val="TableParagraph"/>
              <w:ind w:left="107" w:right="93"/>
              <w:jc w:val="center"/>
              <w:rPr>
                <w:rFonts w:ascii="Verdana" w:hAnsi="Verdana"/>
                <w:b/>
                <w:sz w:val="12"/>
                <w:szCs w:val="12"/>
              </w:rPr>
            </w:pPr>
            <w:r w:rsidRPr="00EC75B7">
              <w:rPr>
                <w:rFonts w:ascii="Verdana" w:hAnsi="Verdana"/>
                <w:b/>
                <w:color w:val="FFFFFF"/>
                <w:sz w:val="12"/>
                <w:szCs w:val="12"/>
              </w:rPr>
              <w:t>depending on the type of vibration manifestation</w:t>
            </w:r>
          </w:p>
          <w:p w14:paraId="4F49BFBD" w14:textId="77777777" w:rsidR="008715BE" w:rsidRPr="00EC75B7" w:rsidRDefault="00000000">
            <w:pPr>
              <w:pStyle w:val="TableParagraph"/>
              <w:spacing w:line="173" w:lineRule="exact"/>
              <w:ind w:left="108" w:right="93"/>
              <w:jc w:val="center"/>
              <w:rPr>
                <w:rFonts w:ascii="Verdana" w:hAnsi="Verdana"/>
                <w:b/>
                <w:sz w:val="12"/>
                <w:szCs w:val="12"/>
              </w:rPr>
            </w:pPr>
            <w:r w:rsidRPr="00EC75B7">
              <w:rPr>
                <w:rFonts w:ascii="Verdana" w:hAnsi="Verdana"/>
                <w:b/>
                <w:color w:val="FFFFFF"/>
                <w:spacing w:val="-2"/>
                <w:sz w:val="12"/>
                <w:szCs w:val="12"/>
              </w:rPr>
              <w:t>(mm/s)</w:t>
            </w:r>
          </w:p>
        </w:tc>
      </w:tr>
      <w:tr w:rsidR="008715BE" w:rsidRPr="00EC75B7" w14:paraId="697988F5" w14:textId="77777777">
        <w:trPr>
          <w:trHeight w:val="779"/>
        </w:trPr>
        <w:tc>
          <w:tcPr>
            <w:tcW w:w="1335" w:type="dxa"/>
            <w:shd w:val="clear" w:color="auto" w:fill="00AFEF"/>
          </w:tcPr>
          <w:p w14:paraId="4A616958" w14:textId="77777777" w:rsidR="008715BE" w:rsidRPr="00EC75B7" w:rsidRDefault="008715BE">
            <w:pPr>
              <w:pStyle w:val="TableParagraph"/>
              <w:rPr>
                <w:rFonts w:ascii="Verdana" w:hAnsi="Verdana"/>
                <w:sz w:val="12"/>
                <w:szCs w:val="12"/>
              </w:rPr>
            </w:pPr>
          </w:p>
        </w:tc>
        <w:tc>
          <w:tcPr>
            <w:tcW w:w="917" w:type="dxa"/>
            <w:shd w:val="clear" w:color="auto" w:fill="00AFEF"/>
          </w:tcPr>
          <w:p w14:paraId="16132811" w14:textId="77777777" w:rsidR="008715BE" w:rsidRPr="00EC75B7" w:rsidRDefault="00000000">
            <w:pPr>
              <w:pStyle w:val="TableParagraph"/>
              <w:spacing w:before="97"/>
              <w:ind w:left="170" w:right="132" w:firstLine="184"/>
              <w:rPr>
                <w:rFonts w:ascii="Verdana" w:hAnsi="Verdana"/>
                <w:b/>
                <w:sz w:val="12"/>
                <w:szCs w:val="12"/>
              </w:rPr>
            </w:pPr>
            <w:r w:rsidRPr="00EC75B7">
              <w:rPr>
                <w:rFonts w:ascii="Verdana" w:hAnsi="Verdana"/>
                <w:b/>
                <w:color w:val="FFFFFF"/>
                <w:spacing w:val="-2"/>
                <w:sz w:val="12"/>
                <w:szCs w:val="12"/>
              </w:rPr>
              <w:t>Short duration</w:t>
            </w:r>
          </w:p>
        </w:tc>
        <w:tc>
          <w:tcPr>
            <w:tcW w:w="1064" w:type="dxa"/>
            <w:shd w:val="clear" w:color="auto" w:fill="00AFEF"/>
          </w:tcPr>
          <w:p w14:paraId="77F4D882" w14:textId="77777777" w:rsidR="008715BE" w:rsidRPr="00EC75B7" w:rsidRDefault="00000000">
            <w:pPr>
              <w:pStyle w:val="TableParagraph"/>
              <w:ind w:left="108" w:right="87"/>
              <w:jc w:val="center"/>
              <w:rPr>
                <w:rFonts w:ascii="Verdana" w:hAnsi="Verdana"/>
                <w:b/>
                <w:sz w:val="12"/>
                <w:szCs w:val="12"/>
              </w:rPr>
            </w:pPr>
            <w:r w:rsidRPr="00EC75B7">
              <w:rPr>
                <w:rFonts w:ascii="Verdana" w:hAnsi="Verdana"/>
                <w:b/>
                <w:color w:val="FFFFFF"/>
                <w:spacing w:val="-2"/>
                <w:sz w:val="12"/>
                <w:szCs w:val="12"/>
              </w:rPr>
              <w:t xml:space="preserve">Repetitive </w:t>
            </w:r>
            <w:r w:rsidRPr="00EC75B7">
              <w:rPr>
                <w:rFonts w:ascii="Verdana" w:hAnsi="Verdana"/>
                <w:b/>
                <w:color w:val="FFFFFF"/>
                <w:spacing w:val="-4"/>
                <w:sz w:val="12"/>
                <w:szCs w:val="12"/>
              </w:rPr>
              <w:t xml:space="preserve">– short </w:t>
            </w:r>
            <w:r w:rsidRPr="00EC75B7">
              <w:rPr>
                <w:rFonts w:ascii="Verdana" w:hAnsi="Verdana"/>
                <w:b/>
                <w:color w:val="FFFFFF"/>
                <w:spacing w:val="-2"/>
                <w:sz w:val="12"/>
                <w:szCs w:val="12"/>
              </w:rPr>
              <w:t>duration</w:t>
            </w:r>
          </w:p>
          <w:p w14:paraId="0722E63F" w14:textId="77777777" w:rsidR="008715BE" w:rsidRPr="00EC75B7" w:rsidRDefault="00000000">
            <w:pPr>
              <w:pStyle w:val="TableParagraph"/>
              <w:spacing w:line="175" w:lineRule="exact"/>
              <w:ind w:left="108" w:right="87"/>
              <w:jc w:val="center"/>
              <w:rPr>
                <w:rFonts w:ascii="Verdana" w:hAnsi="Verdana"/>
                <w:b/>
                <w:sz w:val="12"/>
                <w:szCs w:val="12"/>
              </w:rPr>
            </w:pPr>
            <w:r w:rsidRPr="00EC75B7">
              <w:rPr>
                <w:rFonts w:ascii="Verdana" w:hAnsi="Verdana"/>
                <w:b/>
                <w:color w:val="FFFFFF"/>
                <w:spacing w:val="-2"/>
                <w:sz w:val="12"/>
                <w:szCs w:val="12"/>
              </w:rPr>
              <w:t>Short</w:t>
            </w:r>
          </w:p>
        </w:tc>
        <w:tc>
          <w:tcPr>
            <w:tcW w:w="1080" w:type="dxa"/>
            <w:shd w:val="clear" w:color="auto" w:fill="00AFEF"/>
          </w:tcPr>
          <w:p w14:paraId="60E7AB78" w14:textId="77777777" w:rsidR="008715BE" w:rsidRPr="00EC75B7" w:rsidRDefault="008715BE">
            <w:pPr>
              <w:pStyle w:val="TableParagraph"/>
              <w:spacing w:before="96"/>
              <w:rPr>
                <w:rFonts w:ascii="Verdana" w:hAnsi="Verdana"/>
                <w:b/>
                <w:sz w:val="12"/>
                <w:szCs w:val="12"/>
              </w:rPr>
            </w:pPr>
          </w:p>
          <w:p w14:paraId="32A9F75B" w14:textId="77777777" w:rsidR="008715BE" w:rsidRPr="00EC75B7" w:rsidRDefault="00000000">
            <w:pPr>
              <w:pStyle w:val="TableParagraph"/>
              <w:ind w:left="110" w:right="104"/>
              <w:jc w:val="center"/>
              <w:rPr>
                <w:rFonts w:ascii="Verdana" w:hAnsi="Verdana"/>
                <w:b/>
                <w:sz w:val="12"/>
                <w:szCs w:val="12"/>
              </w:rPr>
            </w:pPr>
            <w:r w:rsidRPr="00EC75B7">
              <w:rPr>
                <w:rFonts w:ascii="Verdana" w:hAnsi="Verdana"/>
                <w:b/>
                <w:color w:val="FFFFFF"/>
                <w:spacing w:val="-2"/>
                <w:sz w:val="12"/>
                <w:szCs w:val="12"/>
              </w:rPr>
              <w:t>Continuous</w:t>
            </w:r>
          </w:p>
        </w:tc>
        <w:tc>
          <w:tcPr>
            <w:tcW w:w="1080" w:type="dxa"/>
            <w:shd w:val="clear" w:color="auto" w:fill="00AFEF"/>
          </w:tcPr>
          <w:p w14:paraId="3D8332F4" w14:textId="77777777" w:rsidR="008715BE" w:rsidRPr="00EC75B7" w:rsidRDefault="00000000">
            <w:pPr>
              <w:pStyle w:val="TableParagraph"/>
              <w:ind w:left="110" w:right="101"/>
              <w:jc w:val="center"/>
              <w:rPr>
                <w:rFonts w:ascii="Verdana" w:hAnsi="Verdana"/>
                <w:b/>
                <w:sz w:val="12"/>
                <w:szCs w:val="12"/>
              </w:rPr>
            </w:pPr>
            <w:r w:rsidRPr="00EC75B7">
              <w:rPr>
                <w:rFonts w:ascii="Verdana" w:hAnsi="Verdana"/>
                <w:b/>
                <w:color w:val="FFFFFF"/>
                <w:spacing w:val="-2"/>
                <w:sz w:val="12"/>
                <w:szCs w:val="12"/>
              </w:rPr>
              <w:t xml:space="preserve">Repetitive </w:t>
            </w:r>
            <w:r w:rsidRPr="00EC75B7">
              <w:rPr>
                <w:rFonts w:ascii="Verdana" w:hAnsi="Verdana"/>
                <w:b/>
                <w:color w:val="FFFFFF"/>
                <w:spacing w:val="-4"/>
                <w:sz w:val="12"/>
                <w:szCs w:val="12"/>
              </w:rPr>
              <w:t xml:space="preserve">– short </w:t>
            </w:r>
            <w:r w:rsidRPr="00EC75B7">
              <w:rPr>
                <w:rFonts w:ascii="Verdana" w:hAnsi="Verdana"/>
                <w:b/>
                <w:color w:val="FFFFFF"/>
                <w:spacing w:val="-2"/>
                <w:sz w:val="12"/>
                <w:szCs w:val="12"/>
              </w:rPr>
              <w:t>duration</w:t>
            </w:r>
          </w:p>
          <w:p w14:paraId="6D468CC2" w14:textId="77777777" w:rsidR="008715BE" w:rsidRPr="00EC75B7" w:rsidRDefault="00000000">
            <w:pPr>
              <w:pStyle w:val="TableParagraph"/>
              <w:spacing w:line="175" w:lineRule="exact"/>
              <w:ind w:left="110" w:right="101"/>
              <w:jc w:val="center"/>
              <w:rPr>
                <w:rFonts w:ascii="Verdana" w:hAnsi="Verdana"/>
                <w:b/>
                <w:sz w:val="12"/>
                <w:szCs w:val="12"/>
              </w:rPr>
            </w:pPr>
            <w:r w:rsidRPr="00EC75B7">
              <w:rPr>
                <w:rFonts w:ascii="Verdana" w:hAnsi="Verdana"/>
                <w:b/>
                <w:color w:val="FFFFFF"/>
                <w:spacing w:val="-2"/>
                <w:sz w:val="12"/>
                <w:szCs w:val="12"/>
              </w:rPr>
              <w:t>Short</w:t>
            </w:r>
          </w:p>
        </w:tc>
        <w:tc>
          <w:tcPr>
            <w:tcW w:w="1080" w:type="dxa"/>
            <w:shd w:val="clear" w:color="auto" w:fill="00AFEF"/>
          </w:tcPr>
          <w:p w14:paraId="4692F1AD" w14:textId="77777777" w:rsidR="008715BE" w:rsidRPr="00EC75B7" w:rsidRDefault="008715BE">
            <w:pPr>
              <w:pStyle w:val="TableParagraph"/>
              <w:spacing w:before="96"/>
              <w:rPr>
                <w:rFonts w:ascii="Verdana" w:hAnsi="Verdana"/>
                <w:b/>
                <w:sz w:val="12"/>
                <w:szCs w:val="12"/>
              </w:rPr>
            </w:pPr>
          </w:p>
          <w:p w14:paraId="0E4E55CA" w14:textId="77777777" w:rsidR="008715BE" w:rsidRPr="00EC75B7" w:rsidRDefault="00000000">
            <w:pPr>
              <w:pStyle w:val="TableParagraph"/>
              <w:ind w:left="110" w:right="103"/>
              <w:jc w:val="center"/>
              <w:rPr>
                <w:rFonts w:ascii="Verdana" w:hAnsi="Verdana"/>
                <w:b/>
                <w:sz w:val="12"/>
                <w:szCs w:val="12"/>
              </w:rPr>
            </w:pPr>
            <w:r w:rsidRPr="00EC75B7">
              <w:rPr>
                <w:rFonts w:ascii="Verdana" w:hAnsi="Verdana"/>
                <w:b/>
                <w:color w:val="FFFFFF"/>
                <w:spacing w:val="-2"/>
                <w:sz w:val="12"/>
                <w:szCs w:val="12"/>
              </w:rPr>
              <w:t>Continuous</w:t>
            </w:r>
          </w:p>
        </w:tc>
        <w:tc>
          <w:tcPr>
            <w:tcW w:w="1204" w:type="dxa"/>
            <w:shd w:val="clear" w:color="auto" w:fill="00AFEF"/>
          </w:tcPr>
          <w:p w14:paraId="6E3DD4FC" w14:textId="77777777" w:rsidR="008715BE" w:rsidRPr="00EC75B7" w:rsidRDefault="00000000">
            <w:pPr>
              <w:pStyle w:val="TableParagraph"/>
              <w:spacing w:before="97"/>
              <w:ind w:left="31" w:right="20"/>
              <w:jc w:val="center"/>
              <w:rPr>
                <w:rFonts w:ascii="Verdana" w:hAnsi="Verdana"/>
                <w:b/>
                <w:sz w:val="12"/>
                <w:szCs w:val="12"/>
              </w:rPr>
            </w:pPr>
            <w:r w:rsidRPr="00EC75B7">
              <w:rPr>
                <w:rFonts w:ascii="Verdana" w:hAnsi="Verdana"/>
                <w:b/>
                <w:color w:val="FFFFFF"/>
                <w:sz w:val="12"/>
                <w:szCs w:val="12"/>
              </w:rPr>
              <w:t xml:space="preserve">Repetitive – </w:t>
            </w:r>
            <w:r w:rsidRPr="00EC75B7">
              <w:rPr>
                <w:rFonts w:ascii="Verdana" w:hAnsi="Verdana"/>
                <w:b/>
                <w:color w:val="FFFFFF"/>
                <w:spacing w:val="-2"/>
                <w:sz w:val="12"/>
                <w:szCs w:val="12"/>
              </w:rPr>
              <w:t>short</w:t>
            </w:r>
            <w:r w:rsidRPr="00EC75B7">
              <w:rPr>
                <w:rFonts w:ascii="Verdana" w:hAnsi="Verdana"/>
                <w:b/>
                <w:color w:val="FFFFFF"/>
                <w:sz w:val="12"/>
                <w:szCs w:val="12"/>
              </w:rPr>
              <w:t xml:space="preserve"> duration</w:t>
            </w:r>
          </w:p>
        </w:tc>
        <w:tc>
          <w:tcPr>
            <w:tcW w:w="1044" w:type="dxa"/>
            <w:shd w:val="clear" w:color="auto" w:fill="00AFEF"/>
          </w:tcPr>
          <w:p w14:paraId="5520C700" w14:textId="77777777" w:rsidR="008715BE" w:rsidRPr="00EC75B7" w:rsidRDefault="008715BE">
            <w:pPr>
              <w:pStyle w:val="TableParagraph"/>
              <w:spacing w:before="96"/>
              <w:rPr>
                <w:rFonts w:ascii="Verdana" w:hAnsi="Verdana"/>
                <w:b/>
                <w:sz w:val="12"/>
                <w:szCs w:val="12"/>
              </w:rPr>
            </w:pPr>
          </w:p>
          <w:p w14:paraId="657F23CA" w14:textId="77777777" w:rsidR="008715BE" w:rsidRPr="00EC75B7" w:rsidRDefault="00000000">
            <w:pPr>
              <w:pStyle w:val="TableParagraph"/>
              <w:ind w:left="11"/>
              <w:jc w:val="center"/>
              <w:rPr>
                <w:rFonts w:ascii="Verdana" w:hAnsi="Verdana"/>
                <w:b/>
                <w:sz w:val="12"/>
                <w:szCs w:val="12"/>
              </w:rPr>
            </w:pPr>
            <w:r w:rsidRPr="00EC75B7">
              <w:rPr>
                <w:rFonts w:ascii="Verdana" w:hAnsi="Verdana"/>
                <w:b/>
                <w:color w:val="FFFFFF"/>
                <w:spacing w:val="-2"/>
                <w:sz w:val="12"/>
                <w:szCs w:val="12"/>
              </w:rPr>
              <w:t>Continuous</w:t>
            </w:r>
          </w:p>
        </w:tc>
        <w:tc>
          <w:tcPr>
            <w:tcW w:w="1619" w:type="dxa"/>
            <w:shd w:val="clear" w:color="auto" w:fill="00AFEF"/>
          </w:tcPr>
          <w:p w14:paraId="598CDF96" w14:textId="77777777" w:rsidR="008715BE" w:rsidRPr="00EC75B7" w:rsidRDefault="008715BE">
            <w:pPr>
              <w:pStyle w:val="TableParagraph"/>
              <w:spacing w:before="96"/>
              <w:rPr>
                <w:rFonts w:ascii="Verdana" w:hAnsi="Verdana"/>
                <w:b/>
                <w:sz w:val="12"/>
                <w:szCs w:val="12"/>
              </w:rPr>
            </w:pPr>
          </w:p>
          <w:p w14:paraId="0C6A6A37" w14:textId="77777777" w:rsidR="008715BE" w:rsidRPr="00EC75B7" w:rsidRDefault="00000000">
            <w:pPr>
              <w:pStyle w:val="TableParagraph"/>
              <w:ind w:left="107" w:right="93"/>
              <w:jc w:val="center"/>
              <w:rPr>
                <w:rFonts w:ascii="Verdana" w:hAnsi="Verdana"/>
                <w:b/>
                <w:sz w:val="12"/>
                <w:szCs w:val="12"/>
              </w:rPr>
            </w:pPr>
            <w:r w:rsidRPr="00EC75B7">
              <w:rPr>
                <w:rFonts w:ascii="Verdana" w:hAnsi="Verdana"/>
                <w:b/>
                <w:color w:val="FFFFFF"/>
                <w:sz w:val="12"/>
                <w:szCs w:val="12"/>
              </w:rPr>
              <w:t xml:space="preserve">Generally </w:t>
            </w:r>
            <w:r w:rsidRPr="00EC75B7">
              <w:rPr>
                <w:rFonts w:ascii="Verdana" w:hAnsi="Verdana"/>
                <w:b/>
                <w:color w:val="FFFFFF"/>
                <w:spacing w:val="-2"/>
                <w:sz w:val="12"/>
                <w:szCs w:val="12"/>
              </w:rPr>
              <w:t>applicable</w:t>
            </w:r>
          </w:p>
        </w:tc>
      </w:tr>
      <w:tr w:rsidR="008715BE" w:rsidRPr="00EC75B7" w14:paraId="2C22CC52" w14:textId="77777777">
        <w:trPr>
          <w:trHeight w:val="388"/>
        </w:trPr>
        <w:tc>
          <w:tcPr>
            <w:tcW w:w="1335" w:type="dxa"/>
          </w:tcPr>
          <w:p w14:paraId="76881C0E" w14:textId="77777777" w:rsidR="008715BE" w:rsidRPr="00EC75B7" w:rsidRDefault="00000000" w:rsidP="00F17FED">
            <w:pPr>
              <w:pStyle w:val="TableParagraph"/>
              <w:spacing w:line="194" w:lineRule="exact"/>
              <w:rPr>
                <w:rFonts w:ascii="Verdana" w:hAnsi="Verdana"/>
                <w:sz w:val="12"/>
                <w:szCs w:val="12"/>
              </w:rPr>
            </w:pPr>
            <w:r w:rsidRPr="00EC75B7">
              <w:rPr>
                <w:rFonts w:ascii="Verdana" w:hAnsi="Verdana"/>
                <w:spacing w:val="-2"/>
                <w:sz w:val="12"/>
                <w:szCs w:val="12"/>
              </w:rPr>
              <w:t xml:space="preserve">Fragile </w:t>
            </w:r>
            <w:r w:rsidRPr="00EC75B7">
              <w:rPr>
                <w:rFonts w:ascii="Verdana" w:hAnsi="Verdana"/>
                <w:sz w:val="12"/>
                <w:szCs w:val="12"/>
              </w:rPr>
              <w:t>buildings</w:t>
            </w:r>
          </w:p>
          <w:p w14:paraId="5EA94B5B" w14:textId="77777777" w:rsidR="008715BE" w:rsidRPr="00EC75B7" w:rsidRDefault="00000000" w:rsidP="00F17FED">
            <w:pPr>
              <w:pStyle w:val="TableParagraph"/>
              <w:spacing w:line="174" w:lineRule="exact"/>
              <w:rPr>
                <w:rFonts w:ascii="Verdana" w:hAnsi="Verdana"/>
                <w:sz w:val="12"/>
                <w:szCs w:val="12"/>
              </w:rPr>
            </w:pPr>
            <w:r w:rsidRPr="00EC75B7">
              <w:rPr>
                <w:rFonts w:ascii="Verdana" w:hAnsi="Verdana"/>
                <w:spacing w:val="-2"/>
                <w:sz w:val="12"/>
                <w:szCs w:val="12"/>
              </w:rPr>
              <w:t>–monuments</w:t>
            </w:r>
          </w:p>
        </w:tc>
        <w:tc>
          <w:tcPr>
            <w:tcW w:w="917" w:type="dxa"/>
          </w:tcPr>
          <w:p w14:paraId="1FBCCF15" w14:textId="77777777" w:rsidR="008715BE" w:rsidRPr="00EC75B7" w:rsidRDefault="00000000">
            <w:pPr>
              <w:pStyle w:val="TableParagraph"/>
              <w:spacing w:before="95"/>
              <w:ind w:left="13" w:right="1"/>
              <w:jc w:val="center"/>
              <w:rPr>
                <w:rFonts w:ascii="Verdana" w:hAnsi="Verdana"/>
                <w:sz w:val="12"/>
                <w:szCs w:val="12"/>
              </w:rPr>
            </w:pPr>
            <w:r w:rsidRPr="00EC75B7">
              <w:rPr>
                <w:rFonts w:ascii="Verdana" w:hAnsi="Verdana"/>
                <w:spacing w:val="-5"/>
                <w:sz w:val="12"/>
                <w:szCs w:val="12"/>
              </w:rPr>
              <w:t>2.9</w:t>
            </w:r>
          </w:p>
        </w:tc>
        <w:tc>
          <w:tcPr>
            <w:tcW w:w="1064" w:type="dxa"/>
          </w:tcPr>
          <w:p w14:paraId="2961171F" w14:textId="77777777" w:rsidR="008715BE" w:rsidRPr="00EC75B7" w:rsidRDefault="00000000">
            <w:pPr>
              <w:pStyle w:val="TableParagraph"/>
              <w:spacing w:before="95"/>
              <w:ind w:left="108" w:right="99"/>
              <w:jc w:val="center"/>
              <w:rPr>
                <w:rFonts w:ascii="Verdana" w:hAnsi="Verdana"/>
                <w:sz w:val="12"/>
                <w:szCs w:val="12"/>
              </w:rPr>
            </w:pPr>
            <w:r w:rsidRPr="00EC75B7">
              <w:rPr>
                <w:rFonts w:ascii="Verdana" w:hAnsi="Verdana"/>
                <w:spacing w:val="-5"/>
                <w:sz w:val="12"/>
                <w:szCs w:val="12"/>
              </w:rPr>
              <w:t>3.0</w:t>
            </w:r>
          </w:p>
        </w:tc>
        <w:tc>
          <w:tcPr>
            <w:tcW w:w="1080" w:type="dxa"/>
          </w:tcPr>
          <w:p w14:paraId="0CC0C679" w14:textId="77777777" w:rsidR="008715BE" w:rsidRPr="00EC75B7" w:rsidRDefault="00000000">
            <w:pPr>
              <w:pStyle w:val="TableParagraph"/>
              <w:spacing w:before="95"/>
              <w:ind w:left="110" w:right="103"/>
              <w:jc w:val="center"/>
              <w:rPr>
                <w:rFonts w:ascii="Verdana" w:hAnsi="Verdana"/>
                <w:sz w:val="12"/>
                <w:szCs w:val="12"/>
              </w:rPr>
            </w:pPr>
            <w:r w:rsidRPr="00EC75B7">
              <w:rPr>
                <w:rFonts w:ascii="Verdana" w:hAnsi="Verdana"/>
                <w:spacing w:val="-5"/>
                <w:sz w:val="12"/>
                <w:szCs w:val="12"/>
              </w:rPr>
              <w:t>2.5</w:t>
            </w:r>
          </w:p>
        </w:tc>
        <w:tc>
          <w:tcPr>
            <w:tcW w:w="1080" w:type="dxa"/>
          </w:tcPr>
          <w:p w14:paraId="5A8ACB00" w14:textId="77777777" w:rsidR="008715BE" w:rsidRPr="00EC75B7" w:rsidRDefault="00000000">
            <w:pPr>
              <w:pStyle w:val="TableParagraph"/>
              <w:spacing w:before="95"/>
              <w:ind w:left="110" w:right="101"/>
              <w:jc w:val="center"/>
              <w:rPr>
                <w:rFonts w:ascii="Verdana" w:hAnsi="Verdana"/>
                <w:sz w:val="12"/>
                <w:szCs w:val="12"/>
              </w:rPr>
            </w:pPr>
            <w:r w:rsidRPr="00EC75B7">
              <w:rPr>
                <w:rFonts w:ascii="Verdana" w:hAnsi="Verdana"/>
                <w:spacing w:val="-10"/>
                <w:sz w:val="12"/>
                <w:szCs w:val="12"/>
              </w:rPr>
              <w:t>8</w:t>
            </w:r>
          </w:p>
        </w:tc>
        <w:tc>
          <w:tcPr>
            <w:tcW w:w="1080" w:type="dxa"/>
          </w:tcPr>
          <w:p w14:paraId="199A9DF0" w14:textId="77777777" w:rsidR="008715BE" w:rsidRPr="00EC75B7" w:rsidRDefault="00000000">
            <w:pPr>
              <w:pStyle w:val="TableParagraph"/>
              <w:spacing w:before="95"/>
              <w:ind w:left="110" w:right="102"/>
              <w:jc w:val="center"/>
              <w:rPr>
                <w:rFonts w:ascii="Verdana" w:hAnsi="Verdana"/>
                <w:sz w:val="12"/>
                <w:szCs w:val="12"/>
              </w:rPr>
            </w:pPr>
            <w:r w:rsidRPr="00EC75B7">
              <w:rPr>
                <w:rFonts w:ascii="Verdana" w:hAnsi="Verdana"/>
                <w:spacing w:val="-5"/>
                <w:sz w:val="12"/>
                <w:szCs w:val="12"/>
              </w:rPr>
              <w:t>2.5</w:t>
            </w:r>
          </w:p>
        </w:tc>
        <w:tc>
          <w:tcPr>
            <w:tcW w:w="1204" w:type="dxa"/>
          </w:tcPr>
          <w:p w14:paraId="5BA9B8FB" w14:textId="77777777" w:rsidR="008715BE" w:rsidRPr="00EC75B7" w:rsidRDefault="00000000">
            <w:pPr>
              <w:pStyle w:val="TableParagraph"/>
              <w:spacing w:before="95"/>
              <w:ind w:left="11"/>
              <w:jc w:val="center"/>
              <w:rPr>
                <w:rFonts w:ascii="Verdana" w:hAnsi="Verdana"/>
                <w:sz w:val="12"/>
                <w:szCs w:val="12"/>
              </w:rPr>
            </w:pPr>
            <w:r w:rsidRPr="00EC75B7">
              <w:rPr>
                <w:rFonts w:ascii="Verdana" w:hAnsi="Verdana"/>
                <w:sz w:val="12"/>
                <w:szCs w:val="12"/>
              </w:rPr>
              <w:t>-</w:t>
            </w:r>
          </w:p>
        </w:tc>
        <w:tc>
          <w:tcPr>
            <w:tcW w:w="1044" w:type="dxa"/>
          </w:tcPr>
          <w:p w14:paraId="192A6940" w14:textId="77777777" w:rsidR="008715BE" w:rsidRPr="00EC75B7" w:rsidRDefault="00000000">
            <w:pPr>
              <w:pStyle w:val="TableParagraph"/>
              <w:spacing w:before="95"/>
              <w:ind w:left="10"/>
              <w:jc w:val="center"/>
              <w:rPr>
                <w:rFonts w:ascii="Verdana" w:hAnsi="Verdana"/>
                <w:sz w:val="12"/>
                <w:szCs w:val="12"/>
              </w:rPr>
            </w:pPr>
            <w:r w:rsidRPr="00EC75B7">
              <w:rPr>
                <w:rFonts w:ascii="Verdana" w:hAnsi="Verdana"/>
                <w:sz w:val="12"/>
                <w:szCs w:val="12"/>
              </w:rPr>
              <w:t>-</w:t>
            </w:r>
          </w:p>
        </w:tc>
        <w:tc>
          <w:tcPr>
            <w:tcW w:w="1619" w:type="dxa"/>
          </w:tcPr>
          <w:p w14:paraId="0B147D97" w14:textId="77777777" w:rsidR="008715BE" w:rsidRPr="00EC75B7" w:rsidRDefault="00000000">
            <w:pPr>
              <w:pStyle w:val="TableParagraph"/>
              <w:spacing w:before="95"/>
              <w:ind w:left="107" w:right="95"/>
              <w:jc w:val="center"/>
              <w:rPr>
                <w:rFonts w:ascii="Verdana" w:hAnsi="Verdana"/>
                <w:sz w:val="12"/>
                <w:szCs w:val="12"/>
              </w:rPr>
            </w:pPr>
            <w:r w:rsidRPr="00EC75B7">
              <w:rPr>
                <w:rFonts w:ascii="Verdana" w:hAnsi="Verdana"/>
                <w:spacing w:val="-10"/>
                <w:sz w:val="12"/>
                <w:szCs w:val="12"/>
              </w:rPr>
              <w:t>3</w:t>
            </w:r>
          </w:p>
        </w:tc>
      </w:tr>
      <w:tr w:rsidR="008715BE" w:rsidRPr="00EC75B7" w14:paraId="574CC785" w14:textId="77777777">
        <w:trPr>
          <w:trHeight w:val="582"/>
        </w:trPr>
        <w:tc>
          <w:tcPr>
            <w:tcW w:w="1335" w:type="dxa"/>
          </w:tcPr>
          <w:p w14:paraId="3550AFBF" w14:textId="7E8F114F" w:rsidR="008715BE" w:rsidRPr="00EC75B7" w:rsidRDefault="00000000" w:rsidP="00F17FED">
            <w:pPr>
              <w:pStyle w:val="TableParagraph"/>
              <w:ind w:right="111"/>
              <w:rPr>
                <w:rFonts w:ascii="Verdana" w:hAnsi="Verdana"/>
                <w:sz w:val="12"/>
                <w:szCs w:val="12"/>
              </w:rPr>
            </w:pPr>
            <w:r w:rsidRPr="00EC75B7">
              <w:rPr>
                <w:rFonts w:ascii="Verdana" w:hAnsi="Verdana"/>
                <w:spacing w:val="-2"/>
                <w:sz w:val="12"/>
                <w:szCs w:val="12"/>
              </w:rPr>
              <w:t>Residential buildings –masonry</w:t>
            </w:r>
          </w:p>
        </w:tc>
        <w:tc>
          <w:tcPr>
            <w:tcW w:w="917" w:type="dxa"/>
          </w:tcPr>
          <w:p w14:paraId="7372FED0" w14:textId="77777777" w:rsidR="008715BE" w:rsidRPr="00EC75B7" w:rsidRDefault="00000000">
            <w:pPr>
              <w:pStyle w:val="TableParagraph"/>
              <w:spacing w:before="193"/>
              <w:ind w:left="13" w:right="1"/>
              <w:jc w:val="center"/>
              <w:rPr>
                <w:rFonts w:ascii="Verdana" w:hAnsi="Verdana"/>
                <w:sz w:val="12"/>
                <w:szCs w:val="12"/>
              </w:rPr>
            </w:pPr>
            <w:r w:rsidRPr="00EC75B7">
              <w:rPr>
                <w:rFonts w:ascii="Verdana" w:hAnsi="Verdana"/>
                <w:spacing w:val="-5"/>
                <w:sz w:val="12"/>
                <w:szCs w:val="12"/>
              </w:rPr>
              <w:t>5.0</w:t>
            </w:r>
          </w:p>
        </w:tc>
        <w:tc>
          <w:tcPr>
            <w:tcW w:w="1064" w:type="dxa"/>
          </w:tcPr>
          <w:p w14:paraId="1DA655E5" w14:textId="77777777" w:rsidR="008715BE" w:rsidRPr="00EC75B7" w:rsidRDefault="00000000">
            <w:pPr>
              <w:pStyle w:val="TableParagraph"/>
              <w:spacing w:before="193"/>
              <w:ind w:left="108" w:right="99"/>
              <w:jc w:val="center"/>
              <w:rPr>
                <w:rFonts w:ascii="Verdana" w:hAnsi="Verdana"/>
                <w:sz w:val="12"/>
                <w:szCs w:val="12"/>
              </w:rPr>
            </w:pPr>
            <w:r w:rsidRPr="00EC75B7">
              <w:rPr>
                <w:rFonts w:ascii="Verdana" w:hAnsi="Verdana"/>
                <w:spacing w:val="-5"/>
                <w:sz w:val="12"/>
                <w:szCs w:val="12"/>
              </w:rPr>
              <w:t>5.0</w:t>
            </w:r>
          </w:p>
        </w:tc>
        <w:tc>
          <w:tcPr>
            <w:tcW w:w="1080" w:type="dxa"/>
          </w:tcPr>
          <w:p w14:paraId="1139EE10" w14:textId="77777777" w:rsidR="008715BE" w:rsidRPr="00EC75B7" w:rsidRDefault="00000000">
            <w:pPr>
              <w:pStyle w:val="TableParagraph"/>
              <w:spacing w:before="193"/>
              <w:ind w:left="110" w:right="103"/>
              <w:jc w:val="center"/>
              <w:rPr>
                <w:rFonts w:ascii="Verdana" w:hAnsi="Verdana"/>
                <w:sz w:val="12"/>
                <w:szCs w:val="12"/>
              </w:rPr>
            </w:pPr>
            <w:r w:rsidRPr="00EC75B7">
              <w:rPr>
                <w:rFonts w:ascii="Verdana" w:hAnsi="Verdana"/>
                <w:spacing w:val="-5"/>
                <w:sz w:val="12"/>
                <w:szCs w:val="12"/>
              </w:rPr>
              <w:t>5.0</w:t>
            </w:r>
          </w:p>
        </w:tc>
        <w:tc>
          <w:tcPr>
            <w:tcW w:w="1080" w:type="dxa"/>
          </w:tcPr>
          <w:p w14:paraId="766E944E" w14:textId="77777777" w:rsidR="008715BE" w:rsidRPr="00EC75B7" w:rsidRDefault="00000000">
            <w:pPr>
              <w:pStyle w:val="TableParagraph"/>
              <w:spacing w:before="193"/>
              <w:ind w:left="110" w:right="102"/>
              <w:jc w:val="center"/>
              <w:rPr>
                <w:rFonts w:ascii="Verdana" w:hAnsi="Verdana"/>
                <w:sz w:val="12"/>
                <w:szCs w:val="12"/>
              </w:rPr>
            </w:pPr>
            <w:r w:rsidRPr="00EC75B7">
              <w:rPr>
                <w:rFonts w:ascii="Verdana" w:hAnsi="Verdana"/>
                <w:spacing w:val="-5"/>
                <w:sz w:val="12"/>
                <w:szCs w:val="12"/>
              </w:rPr>
              <w:t>15</w:t>
            </w:r>
          </w:p>
        </w:tc>
        <w:tc>
          <w:tcPr>
            <w:tcW w:w="1080" w:type="dxa"/>
          </w:tcPr>
          <w:p w14:paraId="0B3C72E5" w14:textId="77777777" w:rsidR="008715BE" w:rsidRPr="00EC75B7" w:rsidRDefault="00000000">
            <w:pPr>
              <w:pStyle w:val="TableParagraph"/>
              <w:spacing w:before="193"/>
              <w:ind w:left="110" w:right="102"/>
              <w:jc w:val="center"/>
              <w:rPr>
                <w:rFonts w:ascii="Verdana" w:hAnsi="Verdana"/>
                <w:sz w:val="12"/>
                <w:szCs w:val="12"/>
              </w:rPr>
            </w:pPr>
            <w:r w:rsidRPr="00EC75B7">
              <w:rPr>
                <w:rFonts w:ascii="Verdana" w:hAnsi="Verdana"/>
                <w:spacing w:val="-5"/>
                <w:sz w:val="12"/>
                <w:szCs w:val="12"/>
              </w:rPr>
              <w:t>5</w:t>
            </w:r>
          </w:p>
        </w:tc>
        <w:tc>
          <w:tcPr>
            <w:tcW w:w="1204" w:type="dxa"/>
          </w:tcPr>
          <w:p w14:paraId="291066BA" w14:textId="77777777" w:rsidR="008715BE" w:rsidRPr="00EC75B7" w:rsidRDefault="00000000">
            <w:pPr>
              <w:pStyle w:val="TableParagraph"/>
              <w:spacing w:before="193"/>
              <w:ind w:left="31" w:right="21"/>
              <w:jc w:val="center"/>
              <w:rPr>
                <w:rFonts w:ascii="Verdana" w:hAnsi="Verdana"/>
                <w:sz w:val="12"/>
                <w:szCs w:val="12"/>
              </w:rPr>
            </w:pPr>
            <w:r w:rsidRPr="00EC75B7">
              <w:rPr>
                <w:rFonts w:ascii="Verdana" w:hAnsi="Verdana"/>
                <w:spacing w:val="-5"/>
                <w:sz w:val="12"/>
                <w:szCs w:val="12"/>
              </w:rPr>
              <w:t>15</w:t>
            </w:r>
          </w:p>
        </w:tc>
        <w:tc>
          <w:tcPr>
            <w:tcW w:w="1044" w:type="dxa"/>
          </w:tcPr>
          <w:p w14:paraId="7541B580" w14:textId="77777777" w:rsidR="008715BE" w:rsidRPr="00EC75B7" w:rsidRDefault="00000000">
            <w:pPr>
              <w:pStyle w:val="TableParagraph"/>
              <w:spacing w:before="193"/>
              <w:ind w:left="12"/>
              <w:jc w:val="center"/>
              <w:rPr>
                <w:rFonts w:ascii="Verdana" w:hAnsi="Verdana"/>
                <w:sz w:val="12"/>
                <w:szCs w:val="12"/>
              </w:rPr>
            </w:pPr>
            <w:r w:rsidRPr="00EC75B7">
              <w:rPr>
                <w:rFonts w:ascii="Verdana" w:hAnsi="Verdana"/>
                <w:spacing w:val="-5"/>
                <w:sz w:val="12"/>
                <w:szCs w:val="12"/>
              </w:rPr>
              <w:t>7.5</w:t>
            </w:r>
          </w:p>
        </w:tc>
        <w:tc>
          <w:tcPr>
            <w:tcW w:w="1619" w:type="dxa"/>
          </w:tcPr>
          <w:p w14:paraId="74DCD7B9" w14:textId="77777777" w:rsidR="008715BE" w:rsidRPr="00EC75B7" w:rsidRDefault="00000000">
            <w:pPr>
              <w:pStyle w:val="TableParagraph"/>
              <w:spacing w:before="193"/>
              <w:ind w:left="107" w:right="95"/>
              <w:jc w:val="center"/>
              <w:rPr>
                <w:rFonts w:ascii="Verdana" w:hAnsi="Verdana"/>
                <w:sz w:val="12"/>
                <w:szCs w:val="12"/>
              </w:rPr>
            </w:pPr>
            <w:r w:rsidRPr="00EC75B7">
              <w:rPr>
                <w:rFonts w:ascii="Verdana" w:hAnsi="Verdana"/>
                <w:spacing w:val="-10"/>
                <w:sz w:val="12"/>
                <w:szCs w:val="12"/>
              </w:rPr>
              <w:t>5</w:t>
            </w:r>
          </w:p>
        </w:tc>
      </w:tr>
      <w:tr w:rsidR="008715BE" w:rsidRPr="00EC75B7" w14:paraId="15D0BADF" w14:textId="77777777">
        <w:trPr>
          <w:trHeight w:val="388"/>
        </w:trPr>
        <w:tc>
          <w:tcPr>
            <w:tcW w:w="1335" w:type="dxa"/>
          </w:tcPr>
          <w:p w14:paraId="378F2823" w14:textId="77777777" w:rsidR="008715BE" w:rsidRPr="00EC75B7" w:rsidRDefault="00000000" w:rsidP="00F17FED">
            <w:pPr>
              <w:pStyle w:val="TableParagraph"/>
              <w:ind w:right="111"/>
              <w:rPr>
                <w:rFonts w:ascii="Verdana" w:hAnsi="Verdana"/>
                <w:spacing w:val="-2"/>
                <w:sz w:val="12"/>
                <w:szCs w:val="12"/>
              </w:rPr>
            </w:pPr>
            <w:r w:rsidRPr="00EC75B7">
              <w:rPr>
                <w:rFonts w:ascii="Verdana" w:hAnsi="Verdana"/>
                <w:spacing w:val="-2"/>
                <w:sz w:val="12"/>
                <w:szCs w:val="12"/>
              </w:rPr>
              <w:t>Concrete buildings</w:t>
            </w:r>
          </w:p>
          <w:p w14:paraId="0A0392FF" w14:textId="77777777" w:rsidR="008715BE" w:rsidRPr="00EC75B7" w:rsidRDefault="00000000" w:rsidP="00F17FED">
            <w:pPr>
              <w:pStyle w:val="TableParagraph"/>
              <w:ind w:right="111"/>
              <w:rPr>
                <w:rFonts w:ascii="Verdana" w:hAnsi="Verdana"/>
                <w:sz w:val="12"/>
                <w:szCs w:val="12"/>
              </w:rPr>
            </w:pPr>
            <w:r w:rsidRPr="00EC75B7">
              <w:rPr>
                <w:rFonts w:ascii="Verdana" w:hAnsi="Verdana"/>
                <w:spacing w:val="-2"/>
                <w:sz w:val="12"/>
                <w:szCs w:val="12"/>
              </w:rPr>
              <w:t>concrete</w:t>
            </w:r>
          </w:p>
        </w:tc>
        <w:tc>
          <w:tcPr>
            <w:tcW w:w="917" w:type="dxa"/>
          </w:tcPr>
          <w:p w14:paraId="462AF0AA" w14:textId="77777777" w:rsidR="008715BE" w:rsidRPr="00EC75B7" w:rsidRDefault="00000000">
            <w:pPr>
              <w:pStyle w:val="TableParagraph"/>
              <w:spacing w:before="97"/>
              <w:ind w:left="13"/>
              <w:jc w:val="center"/>
              <w:rPr>
                <w:rFonts w:ascii="Verdana" w:hAnsi="Verdana"/>
                <w:sz w:val="12"/>
                <w:szCs w:val="12"/>
              </w:rPr>
            </w:pPr>
            <w:r w:rsidRPr="00EC75B7">
              <w:rPr>
                <w:rFonts w:ascii="Verdana" w:hAnsi="Verdana"/>
                <w:spacing w:val="-5"/>
                <w:sz w:val="12"/>
                <w:szCs w:val="12"/>
              </w:rPr>
              <w:t>20</w:t>
            </w:r>
          </w:p>
        </w:tc>
        <w:tc>
          <w:tcPr>
            <w:tcW w:w="1064" w:type="dxa"/>
          </w:tcPr>
          <w:p w14:paraId="785F9427" w14:textId="77777777" w:rsidR="008715BE" w:rsidRPr="00EC75B7" w:rsidRDefault="00000000">
            <w:pPr>
              <w:pStyle w:val="TableParagraph"/>
              <w:spacing w:before="97"/>
              <w:ind w:left="108" w:right="98"/>
              <w:jc w:val="center"/>
              <w:rPr>
                <w:rFonts w:ascii="Verdana" w:hAnsi="Verdana"/>
                <w:sz w:val="12"/>
                <w:szCs w:val="12"/>
              </w:rPr>
            </w:pPr>
            <w:r w:rsidRPr="00EC75B7">
              <w:rPr>
                <w:rFonts w:ascii="Verdana" w:hAnsi="Verdana"/>
                <w:spacing w:val="-5"/>
                <w:sz w:val="12"/>
                <w:szCs w:val="12"/>
              </w:rPr>
              <w:t>20</w:t>
            </w:r>
          </w:p>
        </w:tc>
        <w:tc>
          <w:tcPr>
            <w:tcW w:w="1080" w:type="dxa"/>
          </w:tcPr>
          <w:p w14:paraId="05C399AD" w14:textId="77777777" w:rsidR="008715BE" w:rsidRPr="00EC75B7" w:rsidRDefault="00000000">
            <w:pPr>
              <w:pStyle w:val="TableParagraph"/>
              <w:spacing w:before="97"/>
              <w:ind w:left="110" w:right="102"/>
              <w:jc w:val="center"/>
              <w:rPr>
                <w:rFonts w:ascii="Verdana" w:hAnsi="Verdana"/>
                <w:sz w:val="12"/>
                <w:szCs w:val="12"/>
              </w:rPr>
            </w:pPr>
            <w:r w:rsidRPr="00EC75B7">
              <w:rPr>
                <w:rFonts w:ascii="Verdana" w:hAnsi="Verdana"/>
                <w:spacing w:val="-5"/>
                <w:sz w:val="12"/>
                <w:szCs w:val="12"/>
              </w:rPr>
              <w:t>10</w:t>
            </w:r>
          </w:p>
        </w:tc>
        <w:tc>
          <w:tcPr>
            <w:tcW w:w="1080" w:type="dxa"/>
          </w:tcPr>
          <w:p w14:paraId="3BEB3EEA" w14:textId="77777777" w:rsidR="008715BE" w:rsidRPr="00EC75B7" w:rsidRDefault="00000000">
            <w:pPr>
              <w:pStyle w:val="TableParagraph"/>
              <w:spacing w:before="97"/>
              <w:ind w:left="110" w:right="102"/>
              <w:jc w:val="center"/>
              <w:rPr>
                <w:rFonts w:ascii="Verdana" w:hAnsi="Verdana"/>
                <w:sz w:val="12"/>
                <w:szCs w:val="12"/>
              </w:rPr>
            </w:pPr>
            <w:r w:rsidRPr="00EC75B7">
              <w:rPr>
                <w:rFonts w:ascii="Verdana" w:hAnsi="Verdana"/>
                <w:spacing w:val="-5"/>
                <w:sz w:val="12"/>
                <w:szCs w:val="12"/>
              </w:rPr>
              <w:t>40</w:t>
            </w:r>
          </w:p>
        </w:tc>
        <w:tc>
          <w:tcPr>
            <w:tcW w:w="1080" w:type="dxa"/>
          </w:tcPr>
          <w:p w14:paraId="4AD97245" w14:textId="77777777" w:rsidR="008715BE" w:rsidRPr="00EC75B7" w:rsidRDefault="00000000">
            <w:pPr>
              <w:pStyle w:val="TableParagraph"/>
              <w:spacing w:before="97"/>
              <w:ind w:left="110" w:right="101"/>
              <w:jc w:val="center"/>
              <w:rPr>
                <w:rFonts w:ascii="Verdana" w:hAnsi="Verdana"/>
                <w:sz w:val="12"/>
                <w:szCs w:val="12"/>
              </w:rPr>
            </w:pPr>
            <w:r w:rsidRPr="00EC75B7">
              <w:rPr>
                <w:rFonts w:ascii="Verdana" w:hAnsi="Verdana"/>
                <w:spacing w:val="-5"/>
                <w:sz w:val="12"/>
                <w:szCs w:val="12"/>
              </w:rPr>
              <w:t>10</w:t>
            </w:r>
          </w:p>
        </w:tc>
        <w:tc>
          <w:tcPr>
            <w:tcW w:w="1204" w:type="dxa"/>
          </w:tcPr>
          <w:p w14:paraId="1301A40D" w14:textId="77777777" w:rsidR="008715BE" w:rsidRPr="00EC75B7" w:rsidRDefault="00000000">
            <w:pPr>
              <w:pStyle w:val="TableParagraph"/>
              <w:spacing w:before="97"/>
              <w:ind w:left="31" w:right="21"/>
              <w:jc w:val="center"/>
              <w:rPr>
                <w:rFonts w:ascii="Verdana" w:hAnsi="Verdana"/>
                <w:sz w:val="12"/>
                <w:szCs w:val="12"/>
              </w:rPr>
            </w:pPr>
            <w:r w:rsidRPr="00EC75B7">
              <w:rPr>
                <w:rFonts w:ascii="Verdana" w:hAnsi="Verdana"/>
                <w:spacing w:val="-5"/>
                <w:sz w:val="12"/>
                <w:szCs w:val="12"/>
              </w:rPr>
              <w:t>50</w:t>
            </w:r>
          </w:p>
        </w:tc>
        <w:tc>
          <w:tcPr>
            <w:tcW w:w="1044" w:type="dxa"/>
          </w:tcPr>
          <w:p w14:paraId="40FF382D" w14:textId="77777777" w:rsidR="008715BE" w:rsidRPr="00EC75B7" w:rsidRDefault="00000000">
            <w:pPr>
              <w:pStyle w:val="TableParagraph"/>
              <w:spacing w:before="97"/>
              <w:ind w:left="13"/>
              <w:jc w:val="center"/>
              <w:rPr>
                <w:rFonts w:ascii="Verdana" w:hAnsi="Verdana"/>
                <w:sz w:val="12"/>
                <w:szCs w:val="12"/>
              </w:rPr>
            </w:pPr>
            <w:r w:rsidRPr="00EC75B7">
              <w:rPr>
                <w:rFonts w:ascii="Verdana" w:hAnsi="Verdana"/>
                <w:spacing w:val="-5"/>
                <w:sz w:val="12"/>
                <w:szCs w:val="12"/>
              </w:rPr>
              <w:t>25</w:t>
            </w:r>
          </w:p>
        </w:tc>
        <w:tc>
          <w:tcPr>
            <w:tcW w:w="1619" w:type="dxa"/>
          </w:tcPr>
          <w:p w14:paraId="1A1AEBB2" w14:textId="77777777" w:rsidR="008715BE" w:rsidRPr="00EC75B7" w:rsidRDefault="00000000">
            <w:pPr>
              <w:pStyle w:val="TableParagraph"/>
              <w:spacing w:before="97"/>
              <w:ind w:left="108" w:right="93"/>
              <w:jc w:val="center"/>
              <w:rPr>
                <w:rFonts w:ascii="Verdana" w:hAnsi="Verdana"/>
                <w:sz w:val="12"/>
                <w:szCs w:val="12"/>
              </w:rPr>
            </w:pPr>
            <w:r w:rsidRPr="00EC75B7">
              <w:rPr>
                <w:rFonts w:ascii="Verdana" w:hAnsi="Verdana"/>
                <w:spacing w:val="-5"/>
                <w:sz w:val="12"/>
                <w:szCs w:val="12"/>
              </w:rPr>
              <w:t>12</w:t>
            </w:r>
          </w:p>
        </w:tc>
      </w:tr>
    </w:tbl>
    <w:p w14:paraId="039DC120" w14:textId="77777777" w:rsidR="008715BE" w:rsidRPr="00EC75B7" w:rsidRDefault="008715BE">
      <w:pPr>
        <w:pStyle w:val="TableParagraph"/>
        <w:jc w:val="center"/>
        <w:rPr>
          <w:rFonts w:ascii="Verdana" w:hAnsi="Verdana"/>
          <w:sz w:val="14"/>
          <w:szCs w:val="14"/>
        </w:rPr>
        <w:sectPr w:rsidR="008715BE" w:rsidRPr="00EC75B7">
          <w:pgSz w:w="11910" w:h="16840"/>
          <w:pgMar w:top="1160" w:right="141" w:bottom="1020" w:left="425" w:header="766" w:footer="797" w:gutter="0"/>
          <w:cols w:space="708"/>
        </w:sectPr>
      </w:pPr>
    </w:p>
    <w:p w14:paraId="5606A05F" w14:textId="77777777" w:rsidR="008715BE" w:rsidRPr="00EC75B7" w:rsidRDefault="008715BE">
      <w:pPr>
        <w:pStyle w:val="BodyText"/>
        <w:rPr>
          <w:rFonts w:ascii="Verdana" w:hAnsi="Verdana"/>
          <w:b/>
        </w:rPr>
      </w:pPr>
    </w:p>
    <w:p w14:paraId="57433BBF" w14:textId="77777777" w:rsidR="008715BE" w:rsidRPr="00EC75B7" w:rsidRDefault="008715BE">
      <w:pPr>
        <w:pStyle w:val="BodyText"/>
        <w:rPr>
          <w:rFonts w:ascii="Verdana" w:hAnsi="Verdana"/>
          <w:b/>
        </w:rPr>
      </w:pPr>
    </w:p>
    <w:p w14:paraId="4957E30E" w14:textId="77777777" w:rsidR="008715BE" w:rsidRPr="00EC75B7" w:rsidRDefault="008715BE">
      <w:pPr>
        <w:pStyle w:val="BodyText"/>
        <w:spacing w:before="56"/>
        <w:rPr>
          <w:rFonts w:ascii="Verdana" w:hAnsi="Verdana"/>
          <w:b/>
        </w:rPr>
      </w:pPr>
    </w:p>
    <w:p w14:paraId="4BAE73AA" w14:textId="77777777" w:rsidR="008715BE" w:rsidRPr="00EC75B7" w:rsidRDefault="00000000" w:rsidP="00C60ED8">
      <w:pPr>
        <w:pStyle w:val="BodyText"/>
        <w:spacing w:line="360" w:lineRule="auto"/>
        <w:ind w:left="810" w:right="850"/>
        <w:jc w:val="both"/>
        <w:rPr>
          <w:rFonts w:ascii="Verdana" w:hAnsi="Verdana"/>
        </w:rPr>
      </w:pPr>
      <w:r w:rsidRPr="00EC75B7">
        <w:rPr>
          <w:rFonts w:ascii="Verdana" w:hAnsi="Verdana"/>
        </w:rPr>
        <w:t>In the construction activities to be carried out within the analyzed project, vibrations will occur repeatedly for short periods of time.</w:t>
      </w:r>
    </w:p>
    <w:p w14:paraId="7E9829F4" w14:textId="77777777" w:rsidR="008715BE" w:rsidRPr="00EC75B7" w:rsidRDefault="00000000" w:rsidP="00C60ED8">
      <w:pPr>
        <w:pStyle w:val="BodyText"/>
        <w:spacing w:line="360" w:lineRule="auto"/>
        <w:ind w:left="810" w:right="850"/>
        <w:jc w:val="both"/>
        <w:rPr>
          <w:rFonts w:ascii="Verdana" w:hAnsi="Verdana"/>
        </w:rPr>
      </w:pPr>
      <w:r w:rsidRPr="00EC75B7">
        <w:rPr>
          <w:rFonts w:ascii="Verdana" w:hAnsi="Verdana"/>
        </w:rPr>
        <w:t>The area of influence represents the area inside or adjacent to a construction site, including buildings or structures that could be affected by vibrations emanating from construction activity. According to information in the specialist literature, the distances at which the PPV value is 5 mm/s specific to different types of machinery used are presented in the following table.</w:t>
      </w:r>
    </w:p>
    <w:p w14:paraId="2E8E76BE" w14:textId="77777777" w:rsidR="008715BE" w:rsidRPr="00EC75B7" w:rsidRDefault="00000000">
      <w:pPr>
        <w:spacing w:before="173"/>
        <w:ind w:left="765"/>
        <w:jc w:val="both"/>
        <w:rPr>
          <w:rFonts w:ascii="Verdana" w:hAnsi="Verdana"/>
          <w:b/>
          <w:color w:val="00AFEF"/>
          <w:spacing w:val="-2"/>
          <w:sz w:val="18"/>
          <w:szCs w:val="18"/>
        </w:rPr>
      </w:pPr>
      <w:r w:rsidRPr="00EC75B7">
        <w:rPr>
          <w:rFonts w:ascii="Verdana" w:hAnsi="Verdana"/>
          <w:b/>
          <w:color w:val="00AFEF"/>
          <w:sz w:val="18"/>
          <w:szCs w:val="18"/>
        </w:rPr>
        <w:t xml:space="preserve">Table 6 Specific area of influence for each type of </w:t>
      </w:r>
      <w:r w:rsidRPr="00EC75B7">
        <w:rPr>
          <w:rFonts w:ascii="Verdana" w:hAnsi="Verdana"/>
          <w:b/>
          <w:color w:val="00AFEF"/>
          <w:spacing w:val="-2"/>
          <w:sz w:val="18"/>
          <w:szCs w:val="18"/>
        </w:rPr>
        <w:t>equipment</w:t>
      </w:r>
    </w:p>
    <w:p w14:paraId="465600E2" w14:textId="77777777" w:rsidR="00C278FB" w:rsidRPr="00EC75B7" w:rsidRDefault="00C278FB">
      <w:pPr>
        <w:spacing w:before="173"/>
        <w:ind w:left="765"/>
        <w:jc w:val="both"/>
        <w:rPr>
          <w:rFonts w:ascii="Verdana" w:hAnsi="Verdana"/>
          <w:b/>
          <w:sz w:val="18"/>
          <w:szCs w:val="18"/>
        </w:rPr>
      </w:pPr>
    </w:p>
    <w:tbl>
      <w:tblPr>
        <w:tblStyle w:val="TableNormal1"/>
        <w:tblW w:w="0" w:type="auto"/>
        <w:tblInd w:w="16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4025"/>
        <w:gridCol w:w="4023"/>
      </w:tblGrid>
      <w:tr w:rsidR="008715BE" w:rsidRPr="00EC75B7" w14:paraId="2DE2D4AC" w14:textId="77777777">
        <w:trPr>
          <w:trHeight w:val="388"/>
        </w:trPr>
        <w:tc>
          <w:tcPr>
            <w:tcW w:w="4025" w:type="dxa"/>
            <w:shd w:val="clear" w:color="auto" w:fill="00AFEF"/>
          </w:tcPr>
          <w:p w14:paraId="2A6E2FAA" w14:textId="77777777" w:rsidR="008715BE" w:rsidRPr="00EC75B7" w:rsidRDefault="00000000">
            <w:pPr>
              <w:pStyle w:val="TableParagraph"/>
              <w:spacing w:before="95"/>
              <w:ind w:left="11" w:right="2"/>
              <w:jc w:val="center"/>
              <w:rPr>
                <w:rFonts w:ascii="Verdana" w:hAnsi="Verdana"/>
                <w:b/>
                <w:sz w:val="18"/>
                <w:szCs w:val="18"/>
              </w:rPr>
            </w:pPr>
            <w:r w:rsidRPr="00EC75B7">
              <w:rPr>
                <w:rFonts w:ascii="Verdana" w:hAnsi="Verdana"/>
                <w:b/>
                <w:color w:val="FFFFFF"/>
                <w:sz w:val="18"/>
                <w:szCs w:val="18"/>
              </w:rPr>
              <w:t xml:space="preserve">Type of </w:t>
            </w:r>
            <w:r w:rsidRPr="00EC75B7">
              <w:rPr>
                <w:rFonts w:ascii="Verdana" w:hAnsi="Verdana"/>
                <w:b/>
                <w:color w:val="FFFFFF"/>
                <w:spacing w:val="-2"/>
                <w:sz w:val="18"/>
                <w:szCs w:val="18"/>
              </w:rPr>
              <w:t>equipment</w:t>
            </w:r>
          </w:p>
        </w:tc>
        <w:tc>
          <w:tcPr>
            <w:tcW w:w="4023" w:type="dxa"/>
            <w:shd w:val="clear" w:color="auto" w:fill="00AFEF"/>
          </w:tcPr>
          <w:p w14:paraId="60276206" w14:textId="77777777" w:rsidR="008715BE" w:rsidRPr="00EC75B7" w:rsidRDefault="00000000">
            <w:pPr>
              <w:pStyle w:val="TableParagraph"/>
              <w:spacing w:line="194" w:lineRule="exact"/>
              <w:ind w:left="14" w:right="8"/>
              <w:jc w:val="center"/>
              <w:rPr>
                <w:rFonts w:ascii="Verdana" w:hAnsi="Verdana"/>
                <w:b/>
                <w:sz w:val="18"/>
                <w:szCs w:val="18"/>
              </w:rPr>
            </w:pPr>
            <w:r w:rsidRPr="00EC75B7">
              <w:rPr>
                <w:rFonts w:ascii="Verdana" w:hAnsi="Verdana"/>
                <w:b/>
                <w:color w:val="FFFFFF"/>
                <w:sz w:val="18"/>
                <w:szCs w:val="18"/>
              </w:rPr>
              <w:t xml:space="preserve">Distance (m) at which </w:t>
            </w:r>
            <w:r w:rsidRPr="00EC75B7">
              <w:rPr>
                <w:rFonts w:ascii="Verdana" w:hAnsi="Verdana"/>
                <w:b/>
                <w:color w:val="FFFFFF"/>
                <w:spacing w:val="-5"/>
                <w:sz w:val="18"/>
                <w:szCs w:val="18"/>
              </w:rPr>
              <w:t xml:space="preserve">the </w:t>
            </w:r>
            <w:r w:rsidRPr="00EC75B7">
              <w:rPr>
                <w:rFonts w:ascii="Verdana" w:hAnsi="Verdana"/>
                <w:b/>
                <w:color w:val="FFFFFF"/>
                <w:sz w:val="18"/>
                <w:szCs w:val="18"/>
              </w:rPr>
              <w:t>PPV value is</w:t>
            </w:r>
          </w:p>
          <w:p w14:paraId="61E87524" w14:textId="77777777" w:rsidR="008715BE" w:rsidRPr="00EC75B7" w:rsidRDefault="00000000">
            <w:pPr>
              <w:pStyle w:val="TableParagraph"/>
              <w:spacing w:line="174" w:lineRule="exact"/>
              <w:ind w:left="14"/>
              <w:jc w:val="center"/>
              <w:rPr>
                <w:rFonts w:ascii="Verdana" w:hAnsi="Verdana"/>
                <w:b/>
                <w:sz w:val="18"/>
                <w:szCs w:val="18"/>
              </w:rPr>
            </w:pPr>
            <w:r w:rsidRPr="00EC75B7">
              <w:rPr>
                <w:rFonts w:ascii="Verdana" w:hAnsi="Verdana"/>
                <w:b/>
                <w:color w:val="FFFFFF"/>
                <w:sz w:val="18"/>
                <w:szCs w:val="18"/>
              </w:rPr>
              <w:t xml:space="preserve">5 </w:t>
            </w:r>
            <w:r w:rsidRPr="00EC75B7">
              <w:rPr>
                <w:rFonts w:ascii="Verdana" w:hAnsi="Verdana"/>
                <w:b/>
                <w:color w:val="FFFFFF"/>
                <w:spacing w:val="-4"/>
                <w:sz w:val="18"/>
                <w:szCs w:val="18"/>
              </w:rPr>
              <w:t>mm/s</w:t>
            </w:r>
          </w:p>
        </w:tc>
      </w:tr>
      <w:tr w:rsidR="008715BE" w:rsidRPr="00EC75B7" w14:paraId="25CE5B82" w14:textId="77777777">
        <w:trPr>
          <w:trHeight w:val="193"/>
        </w:trPr>
        <w:tc>
          <w:tcPr>
            <w:tcW w:w="4025" w:type="dxa"/>
          </w:tcPr>
          <w:p w14:paraId="7205A838" w14:textId="77777777" w:rsidR="008715BE" w:rsidRPr="00EC75B7" w:rsidRDefault="00000000">
            <w:pPr>
              <w:pStyle w:val="TableParagraph"/>
              <w:spacing w:line="174" w:lineRule="exact"/>
              <w:ind w:left="11" w:right="2"/>
              <w:jc w:val="center"/>
              <w:rPr>
                <w:rFonts w:ascii="Verdana" w:hAnsi="Verdana"/>
                <w:sz w:val="18"/>
                <w:szCs w:val="18"/>
              </w:rPr>
            </w:pPr>
            <w:r w:rsidRPr="00EC75B7">
              <w:rPr>
                <w:rFonts w:ascii="Verdana" w:hAnsi="Verdana"/>
                <w:spacing w:val="-2"/>
                <w:sz w:val="18"/>
                <w:szCs w:val="18"/>
              </w:rPr>
              <w:t>Dump truck</w:t>
            </w:r>
          </w:p>
        </w:tc>
        <w:tc>
          <w:tcPr>
            <w:tcW w:w="4023" w:type="dxa"/>
          </w:tcPr>
          <w:p w14:paraId="5E134F19" w14:textId="77777777" w:rsidR="008715BE" w:rsidRPr="00EC75B7" w:rsidRDefault="00000000">
            <w:pPr>
              <w:pStyle w:val="TableParagraph"/>
              <w:spacing w:line="174" w:lineRule="exact"/>
              <w:ind w:left="14" w:right="2"/>
              <w:jc w:val="center"/>
              <w:rPr>
                <w:rFonts w:ascii="Verdana" w:hAnsi="Verdana"/>
                <w:sz w:val="18"/>
                <w:szCs w:val="18"/>
              </w:rPr>
            </w:pPr>
            <w:r w:rsidRPr="00EC75B7">
              <w:rPr>
                <w:rFonts w:ascii="Verdana" w:hAnsi="Verdana"/>
                <w:spacing w:val="-10"/>
                <w:sz w:val="18"/>
                <w:szCs w:val="18"/>
              </w:rPr>
              <w:t>4</w:t>
            </w:r>
          </w:p>
        </w:tc>
      </w:tr>
      <w:tr w:rsidR="008715BE" w:rsidRPr="00EC75B7" w14:paraId="100A4177" w14:textId="77777777">
        <w:trPr>
          <w:trHeight w:val="193"/>
        </w:trPr>
        <w:tc>
          <w:tcPr>
            <w:tcW w:w="4025" w:type="dxa"/>
          </w:tcPr>
          <w:p w14:paraId="78995381" w14:textId="77777777" w:rsidR="008715BE" w:rsidRPr="00EC75B7" w:rsidRDefault="00000000">
            <w:pPr>
              <w:pStyle w:val="TableParagraph"/>
              <w:spacing w:line="174" w:lineRule="exact"/>
              <w:ind w:left="11" w:right="1"/>
              <w:jc w:val="center"/>
              <w:rPr>
                <w:rFonts w:ascii="Verdana" w:hAnsi="Verdana"/>
                <w:sz w:val="18"/>
                <w:szCs w:val="18"/>
              </w:rPr>
            </w:pPr>
            <w:r w:rsidRPr="00EC75B7">
              <w:rPr>
                <w:rFonts w:ascii="Verdana" w:hAnsi="Verdana"/>
                <w:spacing w:val="-2"/>
                <w:sz w:val="18"/>
                <w:szCs w:val="18"/>
              </w:rPr>
              <w:t>Bulldozer</w:t>
            </w:r>
          </w:p>
        </w:tc>
        <w:tc>
          <w:tcPr>
            <w:tcW w:w="4023" w:type="dxa"/>
          </w:tcPr>
          <w:p w14:paraId="2D256E6E" w14:textId="77777777" w:rsidR="008715BE" w:rsidRPr="00EC75B7" w:rsidRDefault="00000000">
            <w:pPr>
              <w:pStyle w:val="TableParagraph"/>
              <w:spacing w:line="174" w:lineRule="exact"/>
              <w:ind w:left="14"/>
              <w:jc w:val="center"/>
              <w:rPr>
                <w:rFonts w:ascii="Verdana" w:hAnsi="Verdana"/>
                <w:sz w:val="18"/>
                <w:szCs w:val="18"/>
              </w:rPr>
            </w:pPr>
            <w:r w:rsidRPr="00EC75B7">
              <w:rPr>
                <w:rFonts w:ascii="Verdana" w:hAnsi="Verdana"/>
                <w:spacing w:val="-5"/>
                <w:sz w:val="18"/>
                <w:szCs w:val="18"/>
              </w:rPr>
              <w:t>4.5</w:t>
            </w:r>
          </w:p>
        </w:tc>
      </w:tr>
      <w:tr w:rsidR="008715BE" w:rsidRPr="00EC75B7" w14:paraId="006CA2B4" w14:textId="77777777" w:rsidTr="00C60ED8">
        <w:trPr>
          <w:trHeight w:val="50"/>
        </w:trPr>
        <w:tc>
          <w:tcPr>
            <w:tcW w:w="4025" w:type="dxa"/>
          </w:tcPr>
          <w:p w14:paraId="747E1AFD" w14:textId="77777777" w:rsidR="008715BE" w:rsidRPr="00EC75B7" w:rsidRDefault="00000000">
            <w:pPr>
              <w:pStyle w:val="TableParagraph"/>
              <w:spacing w:before="1" w:line="175" w:lineRule="exact"/>
              <w:ind w:left="11" w:right="1"/>
              <w:jc w:val="center"/>
              <w:rPr>
                <w:rFonts w:ascii="Verdana" w:hAnsi="Verdana"/>
                <w:sz w:val="18"/>
                <w:szCs w:val="18"/>
              </w:rPr>
            </w:pPr>
            <w:r w:rsidRPr="00EC75B7">
              <w:rPr>
                <w:rFonts w:ascii="Verdana" w:hAnsi="Verdana"/>
                <w:spacing w:val="-2"/>
                <w:sz w:val="18"/>
                <w:szCs w:val="18"/>
              </w:rPr>
              <w:t>Excavator</w:t>
            </w:r>
          </w:p>
        </w:tc>
        <w:tc>
          <w:tcPr>
            <w:tcW w:w="4023" w:type="dxa"/>
          </w:tcPr>
          <w:p w14:paraId="24DE54EC" w14:textId="77777777" w:rsidR="008715BE" w:rsidRPr="00EC75B7" w:rsidRDefault="00000000">
            <w:pPr>
              <w:pStyle w:val="TableParagraph"/>
              <w:spacing w:before="1" w:line="175" w:lineRule="exact"/>
              <w:ind w:left="14"/>
              <w:jc w:val="center"/>
              <w:rPr>
                <w:rFonts w:ascii="Verdana" w:hAnsi="Verdana"/>
                <w:sz w:val="18"/>
                <w:szCs w:val="18"/>
              </w:rPr>
            </w:pPr>
            <w:r w:rsidRPr="00EC75B7">
              <w:rPr>
                <w:rFonts w:ascii="Verdana" w:hAnsi="Verdana"/>
                <w:spacing w:val="-5"/>
                <w:sz w:val="18"/>
                <w:szCs w:val="18"/>
              </w:rPr>
              <w:t>4.5</w:t>
            </w:r>
          </w:p>
        </w:tc>
      </w:tr>
      <w:tr w:rsidR="008715BE" w:rsidRPr="00EC75B7" w14:paraId="0208C59F" w14:textId="77777777">
        <w:trPr>
          <w:trHeight w:val="194"/>
        </w:trPr>
        <w:tc>
          <w:tcPr>
            <w:tcW w:w="4025" w:type="dxa"/>
          </w:tcPr>
          <w:p w14:paraId="62AA7302" w14:textId="77777777" w:rsidR="008715BE" w:rsidRPr="00EC75B7" w:rsidRDefault="00000000">
            <w:pPr>
              <w:pStyle w:val="TableParagraph"/>
              <w:spacing w:line="174" w:lineRule="exact"/>
              <w:ind w:left="11"/>
              <w:jc w:val="center"/>
              <w:rPr>
                <w:rFonts w:ascii="Verdana" w:hAnsi="Verdana"/>
                <w:sz w:val="18"/>
                <w:szCs w:val="18"/>
              </w:rPr>
            </w:pPr>
            <w:r w:rsidRPr="00EC75B7">
              <w:rPr>
                <w:rFonts w:ascii="Verdana" w:hAnsi="Verdana"/>
                <w:spacing w:val="-2"/>
                <w:sz w:val="18"/>
                <w:szCs w:val="18"/>
              </w:rPr>
              <w:t>Truck crane</w:t>
            </w:r>
          </w:p>
        </w:tc>
        <w:tc>
          <w:tcPr>
            <w:tcW w:w="4023" w:type="dxa"/>
          </w:tcPr>
          <w:p w14:paraId="400B0698" w14:textId="77777777" w:rsidR="008715BE" w:rsidRPr="00EC75B7" w:rsidRDefault="00000000">
            <w:pPr>
              <w:pStyle w:val="TableParagraph"/>
              <w:spacing w:line="174" w:lineRule="exact"/>
              <w:ind w:left="14" w:right="2"/>
              <w:jc w:val="center"/>
              <w:rPr>
                <w:rFonts w:ascii="Verdana" w:hAnsi="Verdana"/>
                <w:sz w:val="18"/>
                <w:szCs w:val="18"/>
              </w:rPr>
            </w:pPr>
            <w:r w:rsidRPr="00EC75B7">
              <w:rPr>
                <w:rFonts w:ascii="Verdana" w:hAnsi="Verdana"/>
                <w:spacing w:val="-10"/>
                <w:sz w:val="18"/>
                <w:szCs w:val="18"/>
              </w:rPr>
              <w:t>4</w:t>
            </w:r>
          </w:p>
        </w:tc>
      </w:tr>
    </w:tbl>
    <w:p w14:paraId="7026146D" w14:textId="77777777" w:rsidR="008715BE" w:rsidRPr="00EC75B7" w:rsidRDefault="008715BE">
      <w:pPr>
        <w:pStyle w:val="BodyText"/>
        <w:spacing w:before="60"/>
        <w:rPr>
          <w:rFonts w:ascii="Verdana" w:hAnsi="Verdana"/>
          <w:b/>
        </w:rPr>
      </w:pPr>
    </w:p>
    <w:p w14:paraId="7FEA9C58" w14:textId="77777777" w:rsidR="008715BE" w:rsidRPr="00EC75B7" w:rsidRDefault="00000000" w:rsidP="00C60ED8">
      <w:pPr>
        <w:pStyle w:val="BodyText"/>
        <w:spacing w:line="360" w:lineRule="auto"/>
        <w:ind w:left="810" w:right="850"/>
        <w:jc w:val="both"/>
        <w:rPr>
          <w:rFonts w:ascii="Verdana" w:hAnsi="Verdana"/>
        </w:rPr>
      </w:pPr>
      <w:r w:rsidRPr="00EC75B7">
        <w:rPr>
          <w:rFonts w:ascii="Verdana" w:hAnsi="Verdana"/>
        </w:rPr>
        <w:t>Given the limited distance over which vibrations can propagate in the context of the project's scale and location, it can be concluded that the vibrations produced during the execution phase are not likely to affect buildings, structures, or other edifices of interest to the communities in the area.</w:t>
      </w:r>
    </w:p>
    <w:p w14:paraId="5C4D5542" w14:textId="77777777" w:rsidR="008715BE" w:rsidRPr="00EC75B7" w:rsidRDefault="008715BE">
      <w:pPr>
        <w:pStyle w:val="BodyText"/>
        <w:spacing w:before="33"/>
        <w:rPr>
          <w:rFonts w:ascii="Verdana" w:hAnsi="Verdana"/>
        </w:rPr>
      </w:pPr>
    </w:p>
    <w:p w14:paraId="1DCCAEB4" w14:textId="77777777" w:rsidR="008715BE" w:rsidRPr="00EC75B7" w:rsidRDefault="00000000">
      <w:pPr>
        <w:pStyle w:val="Heading3"/>
        <w:numPr>
          <w:ilvl w:val="2"/>
          <w:numId w:val="110"/>
        </w:numPr>
        <w:tabs>
          <w:tab w:val="left" w:pos="2745"/>
        </w:tabs>
        <w:spacing w:before="1"/>
        <w:ind w:left="2745" w:hanging="986"/>
        <w:rPr>
          <w:rFonts w:ascii="Verdana" w:hAnsi="Verdana"/>
          <w:sz w:val="18"/>
          <w:szCs w:val="18"/>
        </w:rPr>
      </w:pPr>
      <w:bookmarkStart w:id="28" w:name="_bookmark28"/>
      <w:bookmarkEnd w:id="28"/>
      <w:r w:rsidRPr="00EC75B7">
        <w:rPr>
          <w:rFonts w:ascii="Verdana" w:hAnsi="Verdana"/>
          <w:color w:val="00AFEF"/>
          <w:spacing w:val="-2"/>
          <w:sz w:val="18"/>
          <w:szCs w:val="18"/>
        </w:rPr>
        <w:t>Waste</w:t>
      </w:r>
    </w:p>
    <w:p w14:paraId="5056EE2E" w14:textId="77777777" w:rsidR="008715BE" w:rsidRPr="00EC75B7" w:rsidRDefault="008715BE">
      <w:pPr>
        <w:pStyle w:val="BodyText"/>
        <w:spacing w:before="111"/>
        <w:rPr>
          <w:rFonts w:ascii="Verdana" w:hAnsi="Verdana"/>
          <w:b/>
        </w:rPr>
      </w:pPr>
    </w:p>
    <w:p w14:paraId="34B508AB" w14:textId="1DFCF54D" w:rsidR="008715BE" w:rsidRPr="001B3BB8" w:rsidRDefault="00000000" w:rsidP="001B3BB8">
      <w:pPr>
        <w:spacing w:line="360" w:lineRule="auto"/>
        <w:ind w:left="850" w:right="806"/>
        <w:jc w:val="both"/>
        <w:rPr>
          <w:rFonts w:ascii="Verdana" w:hAnsi="Verdana"/>
          <w:sz w:val="18"/>
          <w:szCs w:val="18"/>
        </w:rPr>
      </w:pPr>
      <w:r w:rsidRPr="00EC75B7">
        <w:rPr>
          <w:rFonts w:ascii="Verdana" w:hAnsi="Verdana"/>
          <w:sz w:val="18"/>
          <w:szCs w:val="18"/>
        </w:rPr>
        <w:t xml:space="preserve">The following categories of waste will be generated </w:t>
      </w:r>
      <w:r w:rsidRPr="00EC75B7">
        <w:rPr>
          <w:rFonts w:ascii="Verdana" w:hAnsi="Verdana"/>
          <w:b/>
          <w:bCs/>
          <w:sz w:val="18"/>
          <w:szCs w:val="18"/>
        </w:rPr>
        <w:t>during the project execution phase</w:t>
      </w:r>
      <w:r w:rsidRPr="00EC75B7">
        <w:rPr>
          <w:rFonts w:ascii="Verdana" w:hAnsi="Verdana"/>
          <w:sz w:val="18"/>
          <w:szCs w:val="18"/>
        </w:rPr>
        <w:t>:</w:t>
      </w:r>
    </w:p>
    <w:p w14:paraId="141CAEAF"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Construction waste: metal waste (ferrous and non-ferrous), excavated soil, concrete waste, electrical cable waste, wood waste, plastics, ballast waste;</w:t>
      </w:r>
    </w:p>
    <w:p w14:paraId="659EAF91"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Packaging waste: paper/cardboard, plastics, packaging containing residues or contaminated with hazardous substances;</w:t>
      </w:r>
    </w:p>
    <w:p w14:paraId="5272073F"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Waste oils from machinery/equipment used in the performance of the works (other engine, transmission, and lubricating oils);</w:t>
      </w:r>
    </w:p>
    <w:p w14:paraId="34613F72"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Used tires;</w:t>
      </w:r>
    </w:p>
    <w:p w14:paraId="08321181"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Used batteries and accumulators;</w:t>
      </w:r>
    </w:p>
    <w:p w14:paraId="311C892E" w14:textId="77777777" w:rsidR="00C60ED8" w:rsidRPr="00EC75B7" w:rsidRDefault="00000000">
      <w:pPr>
        <w:pStyle w:val="BodyText"/>
        <w:numPr>
          <w:ilvl w:val="0"/>
          <w:numId w:val="137"/>
        </w:numPr>
        <w:spacing w:line="360" w:lineRule="auto"/>
        <w:ind w:right="850"/>
        <w:jc w:val="both"/>
        <w:rPr>
          <w:rFonts w:ascii="Verdana" w:hAnsi="Verdana"/>
        </w:rPr>
      </w:pPr>
      <w:r w:rsidRPr="00EC75B7">
        <w:rPr>
          <w:rFonts w:ascii="Verdana" w:hAnsi="Verdana"/>
        </w:rPr>
        <w:t>Household waste resulting from the social activities of the personnel involved in the execution of the works.</w:t>
      </w:r>
    </w:p>
    <w:p w14:paraId="3CFEFBB6" w14:textId="1299CB64" w:rsidR="008715BE" w:rsidRPr="00EC75B7" w:rsidRDefault="00000000" w:rsidP="00C60ED8">
      <w:pPr>
        <w:pStyle w:val="BodyText"/>
        <w:spacing w:line="360" w:lineRule="auto"/>
        <w:ind w:left="810" w:right="850"/>
        <w:jc w:val="both"/>
        <w:rPr>
          <w:rFonts w:ascii="Verdana" w:hAnsi="Verdana"/>
        </w:rPr>
      </w:pPr>
      <w:r w:rsidRPr="00EC75B7">
        <w:rPr>
          <w:rFonts w:ascii="Verdana" w:hAnsi="Verdana"/>
        </w:rPr>
        <w:t>Waste will be collected separately on site in appropriate containers, paying particular attention to hazardous waste, which must not be mixed with non-hazardous waste. Temporary storage of waste directly on the ground will be avoided as far as possible.</w:t>
      </w:r>
    </w:p>
    <w:p w14:paraId="1D0B3EA0" w14:textId="77777777" w:rsidR="008715BE" w:rsidRPr="00EC75B7" w:rsidRDefault="00000000" w:rsidP="00C60ED8">
      <w:pPr>
        <w:pStyle w:val="BodyText"/>
        <w:spacing w:line="360" w:lineRule="auto"/>
        <w:ind w:left="810" w:right="850"/>
        <w:jc w:val="both"/>
        <w:rPr>
          <w:rFonts w:ascii="Verdana" w:hAnsi="Verdana"/>
        </w:rPr>
      </w:pPr>
      <w:r w:rsidRPr="00EC75B7">
        <w:rPr>
          <w:rFonts w:ascii="Verdana" w:hAnsi="Verdana"/>
        </w:rPr>
        <w:t>The fertile soil layer uncovered during construction works will be stored in separate piles and will be reused mainly for the rehabilitation of areas temporarily affected by the works. For surplus excavated soil, locations will be identified where it can be transported in cooperation with local authorities, or attempts will be made to identify construction sites that require this type of material. If this is not possible, the soil can be transported to landfills that use this material as a cover layer. The rest of the construction waste will be handed over to authorized economic agents for recovery or disposal. Recyclable waste will be collected separately and delivered for recycling. Waste oils from machinery will be collected in sealed metal containers, depending on the type of waste oil generated, in specially designated areas (not directly on the ground).</w:t>
      </w:r>
    </w:p>
    <w:p w14:paraId="1CFDC602" w14:textId="77777777" w:rsidR="008715BE" w:rsidRPr="00EC75B7" w:rsidRDefault="008715BE">
      <w:pPr>
        <w:pStyle w:val="BodyText"/>
        <w:spacing w:line="357" w:lineRule="auto"/>
        <w:jc w:val="both"/>
        <w:rPr>
          <w:rFonts w:ascii="Verdana" w:hAnsi="Verdana"/>
        </w:rPr>
      </w:pPr>
    </w:p>
    <w:p w14:paraId="36D190A3" w14:textId="3FFEB280" w:rsidR="00C60ED8" w:rsidRPr="00EC75B7" w:rsidRDefault="00C60ED8" w:rsidP="00C60ED8">
      <w:pPr>
        <w:pStyle w:val="BodyText"/>
        <w:spacing w:line="360" w:lineRule="auto"/>
        <w:ind w:left="900" w:right="814"/>
        <w:jc w:val="both"/>
        <w:rPr>
          <w:rFonts w:ascii="Verdana" w:hAnsi="Verdana"/>
        </w:rPr>
      </w:pPr>
      <w:r w:rsidRPr="001B3BB8">
        <w:rPr>
          <w:rFonts w:ascii="Verdana" w:hAnsi="Verdana"/>
          <w:b/>
          <w:bCs/>
        </w:rPr>
        <w:lastRenderedPageBreak/>
        <w:t>During the operation of the wind farm</w:t>
      </w:r>
      <w:r w:rsidRPr="00EC75B7">
        <w:rPr>
          <w:rFonts w:ascii="Verdana" w:hAnsi="Verdana"/>
        </w:rPr>
        <w:t>, the following categories of waste will be generated:</w:t>
      </w:r>
    </w:p>
    <w:p w14:paraId="20A68CAE" w14:textId="77777777" w:rsidR="00C60ED8" w:rsidRPr="00EC75B7" w:rsidRDefault="00C60ED8">
      <w:pPr>
        <w:pStyle w:val="BodyText"/>
        <w:numPr>
          <w:ilvl w:val="0"/>
          <w:numId w:val="102"/>
        </w:numPr>
        <w:spacing w:line="360" w:lineRule="auto"/>
        <w:ind w:left="900" w:right="814" w:firstLine="0"/>
        <w:jc w:val="both"/>
        <w:rPr>
          <w:rFonts w:ascii="Verdana" w:hAnsi="Verdana"/>
        </w:rPr>
      </w:pPr>
      <w:r w:rsidRPr="00EC75B7">
        <w:rPr>
          <w:rFonts w:ascii="Verdana" w:hAnsi="Verdana"/>
        </w:rPr>
        <w:t>Waste oils (hydraulic oils, transmission and lubricating oils, insulating oils—present in various turbine equipment, as well as in transformers within the transformer station, which must be changed or replenished at certain intervals);</w:t>
      </w:r>
    </w:p>
    <w:p w14:paraId="306FA7B5" w14:textId="77777777" w:rsidR="00C60ED8" w:rsidRPr="00EC75B7" w:rsidRDefault="00C60ED8">
      <w:pPr>
        <w:pStyle w:val="BodyText"/>
        <w:numPr>
          <w:ilvl w:val="0"/>
          <w:numId w:val="102"/>
        </w:numPr>
        <w:spacing w:line="360" w:lineRule="auto"/>
        <w:ind w:left="900" w:right="814" w:firstLine="0"/>
        <w:jc w:val="both"/>
        <w:rPr>
          <w:rFonts w:ascii="Verdana" w:hAnsi="Verdana"/>
        </w:rPr>
      </w:pPr>
      <w:r w:rsidRPr="00EC75B7">
        <w:rPr>
          <w:rFonts w:ascii="Verdana" w:hAnsi="Verdana"/>
        </w:rPr>
        <w:t>Filter materials (air filters), polishing materials;</w:t>
      </w:r>
    </w:p>
    <w:p w14:paraId="4681A2F2" w14:textId="77777777" w:rsidR="00C60ED8" w:rsidRPr="00EC75B7" w:rsidRDefault="00C60ED8">
      <w:pPr>
        <w:pStyle w:val="BodyText"/>
        <w:numPr>
          <w:ilvl w:val="0"/>
          <w:numId w:val="102"/>
        </w:numPr>
        <w:spacing w:line="360" w:lineRule="auto"/>
        <w:ind w:left="900" w:right="814" w:firstLine="0"/>
        <w:jc w:val="both"/>
        <w:rPr>
          <w:rFonts w:ascii="Verdana" w:hAnsi="Verdana"/>
        </w:rPr>
      </w:pPr>
      <w:r w:rsidRPr="00EC75B7">
        <w:rPr>
          <w:rFonts w:ascii="Verdana" w:hAnsi="Verdana"/>
        </w:rPr>
        <w:t>Packaging waste from substances and components used in maintenance operations;</w:t>
      </w:r>
    </w:p>
    <w:p w14:paraId="7654EFBC" w14:textId="77777777" w:rsidR="00C60ED8" w:rsidRPr="00EC75B7" w:rsidRDefault="00C60ED8">
      <w:pPr>
        <w:pStyle w:val="BodyText"/>
        <w:numPr>
          <w:ilvl w:val="0"/>
          <w:numId w:val="102"/>
        </w:numPr>
        <w:spacing w:line="360" w:lineRule="auto"/>
        <w:ind w:left="900" w:right="814" w:firstLine="0"/>
        <w:jc w:val="both"/>
        <w:rPr>
          <w:rFonts w:ascii="Verdana" w:hAnsi="Verdana"/>
        </w:rPr>
      </w:pPr>
      <w:r w:rsidRPr="00EC75B7">
        <w:rPr>
          <w:rFonts w:ascii="Verdana" w:hAnsi="Verdana"/>
        </w:rPr>
        <w:t>Household waste generated by personnel involved in maintenance work.</w:t>
      </w:r>
    </w:p>
    <w:p w14:paraId="00054E30"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This waste will be produced during maintenance and repair work. Most of the household waste will come from maintenance and repair work, as the electrical substation is designed so that it does not require permanent operational staff.</w:t>
      </w:r>
    </w:p>
    <w:p w14:paraId="6695348B"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The personnel performing operating and maintenance tasks will be responsible for managing the waste resulting from those tasks. They will be required to deliver the waste to authorized operators according to category so that it can be recovered and/or disposed of. In addition, the companies responsible for the management and maintenance of the wind farm must comply with the environmental protection requirements established by the wind farm operator.</w:t>
      </w:r>
    </w:p>
    <w:p w14:paraId="050D9FAD"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Waste oils, the main type of waste generated by maintenance activities, will be collected in sealed metal containers and handed over to authorized economic operators for recovery.</w:t>
      </w:r>
    </w:p>
    <w:p w14:paraId="76B375C1"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 xml:space="preserve">During </w:t>
      </w:r>
      <w:r w:rsidRPr="00EC75B7">
        <w:rPr>
          <w:rFonts w:ascii="Verdana" w:hAnsi="Verdana"/>
          <w:b/>
        </w:rPr>
        <w:t>the decommissioning phase</w:t>
      </w:r>
      <w:r w:rsidRPr="00EC75B7">
        <w:rPr>
          <w:rFonts w:ascii="Verdana" w:hAnsi="Verdana"/>
        </w:rPr>
        <w:t>, significant amounts of waste will be generated, including waste from electrical and electronic equipment, as well as equipment from the transformer station and wind turbine components. In addition, there will be substantially more concrete debris, metal waste, and electrical cable waste than there was during the construction phase. This is largely due to the partial decommissioning of the turbine foundations and the removal of underground electrical cables. The presence of hazardous fluids in the equipment on site will require special attention during the decommissioning phase.</w:t>
      </w:r>
    </w:p>
    <w:p w14:paraId="5DB95902"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An estimated summary of the quantities of waste generated during the project's execution and operation phases is presented in the following table. The estimate was made based on information gathered from similar projects.</w:t>
      </w:r>
    </w:p>
    <w:p w14:paraId="46D54013" w14:textId="77777777" w:rsidR="008715BE" w:rsidRPr="00EC75B7" w:rsidRDefault="008715BE">
      <w:pPr>
        <w:pStyle w:val="BodyText"/>
        <w:spacing w:before="46"/>
        <w:rPr>
          <w:rFonts w:ascii="Verdana" w:hAnsi="Verdana"/>
        </w:rPr>
      </w:pPr>
    </w:p>
    <w:p w14:paraId="496042F2" w14:textId="55B119CB" w:rsidR="008715BE" w:rsidRPr="00EC75B7" w:rsidRDefault="00000000" w:rsidP="00C278FB">
      <w:pPr>
        <w:ind w:left="763"/>
        <w:rPr>
          <w:rFonts w:ascii="Verdana" w:hAnsi="Verdana"/>
          <w:b/>
          <w:color w:val="00AFEF"/>
          <w:sz w:val="18"/>
          <w:szCs w:val="18"/>
        </w:rPr>
      </w:pPr>
      <w:r w:rsidRPr="00EC75B7">
        <w:rPr>
          <w:rFonts w:ascii="Verdana" w:hAnsi="Verdana"/>
          <w:b/>
          <w:color w:val="00AFEF"/>
          <w:sz w:val="18"/>
          <w:szCs w:val="18"/>
        </w:rPr>
        <w:t>Table 7 Waste estimated to be generated during</w:t>
      </w:r>
      <w:r w:rsidR="00C278FB" w:rsidRPr="00EC75B7">
        <w:rPr>
          <w:rFonts w:ascii="Verdana" w:hAnsi="Verdana"/>
          <w:b/>
          <w:color w:val="00AFEF"/>
          <w:sz w:val="18"/>
          <w:szCs w:val="18"/>
        </w:rPr>
        <w:t xml:space="preserve"> </w:t>
      </w:r>
      <w:r w:rsidRPr="00EC75B7">
        <w:rPr>
          <w:rFonts w:ascii="Verdana" w:hAnsi="Verdana"/>
          <w:b/>
          <w:color w:val="00AFEF"/>
          <w:sz w:val="18"/>
          <w:szCs w:val="18"/>
        </w:rPr>
        <w:t xml:space="preserve">the construction and </w:t>
      </w:r>
      <w:r w:rsidRPr="00EC75B7">
        <w:rPr>
          <w:rFonts w:ascii="Verdana" w:hAnsi="Verdana"/>
          <w:b/>
          <w:color w:val="00AFEF"/>
          <w:spacing w:val="-2"/>
          <w:sz w:val="18"/>
          <w:szCs w:val="18"/>
        </w:rPr>
        <w:t xml:space="preserve">operation </w:t>
      </w:r>
      <w:r w:rsidRPr="00EC75B7">
        <w:rPr>
          <w:rFonts w:ascii="Verdana" w:hAnsi="Verdana"/>
          <w:b/>
          <w:color w:val="00AFEF"/>
          <w:sz w:val="18"/>
          <w:szCs w:val="18"/>
        </w:rPr>
        <w:t>phases</w:t>
      </w:r>
    </w:p>
    <w:p w14:paraId="172780CF" w14:textId="77777777" w:rsidR="00C278FB" w:rsidRPr="00EC75B7" w:rsidRDefault="00C278FB" w:rsidP="00C278FB">
      <w:pPr>
        <w:ind w:left="763"/>
        <w:rPr>
          <w:rFonts w:ascii="Verdana" w:hAnsi="Verdana"/>
          <w:b/>
          <w:color w:val="00AFEF"/>
          <w:sz w:val="18"/>
          <w:szCs w:val="18"/>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190"/>
        <w:gridCol w:w="1321"/>
        <w:gridCol w:w="1019"/>
        <w:gridCol w:w="990"/>
        <w:gridCol w:w="4472"/>
      </w:tblGrid>
      <w:tr w:rsidR="008715BE" w:rsidRPr="00EC75B7" w14:paraId="7A321CC2" w14:textId="77777777" w:rsidTr="00C60ED8">
        <w:trPr>
          <w:trHeight w:val="577"/>
        </w:trPr>
        <w:tc>
          <w:tcPr>
            <w:tcW w:w="2190" w:type="dxa"/>
            <w:shd w:val="clear" w:color="auto" w:fill="00AFEF"/>
          </w:tcPr>
          <w:p w14:paraId="0CF51E33" w14:textId="77777777" w:rsidR="008715BE" w:rsidRPr="00EC75B7" w:rsidRDefault="00000000">
            <w:pPr>
              <w:pStyle w:val="TableParagraph"/>
              <w:spacing w:before="193"/>
              <w:ind w:left="501"/>
              <w:rPr>
                <w:rFonts w:ascii="Verdana" w:hAnsi="Verdana"/>
                <w:b/>
                <w:sz w:val="16"/>
                <w:szCs w:val="16"/>
              </w:rPr>
            </w:pPr>
            <w:r w:rsidRPr="00EC75B7">
              <w:rPr>
                <w:rFonts w:ascii="Verdana" w:hAnsi="Verdana"/>
                <w:b/>
                <w:color w:val="FFFFFF"/>
                <w:spacing w:val="-2"/>
                <w:sz w:val="16"/>
                <w:szCs w:val="16"/>
              </w:rPr>
              <w:t>Waste name</w:t>
            </w:r>
          </w:p>
        </w:tc>
        <w:tc>
          <w:tcPr>
            <w:tcW w:w="1321" w:type="dxa"/>
            <w:shd w:val="clear" w:color="auto" w:fill="00AFEF"/>
          </w:tcPr>
          <w:p w14:paraId="32944DAA" w14:textId="77777777" w:rsidR="008715BE" w:rsidRPr="00EC75B7" w:rsidRDefault="00000000">
            <w:pPr>
              <w:pStyle w:val="TableParagraph"/>
              <w:spacing w:line="194" w:lineRule="exact"/>
              <w:ind w:left="12" w:right="7"/>
              <w:jc w:val="center"/>
              <w:rPr>
                <w:rFonts w:ascii="Verdana" w:hAnsi="Verdana"/>
                <w:b/>
                <w:sz w:val="16"/>
                <w:szCs w:val="16"/>
              </w:rPr>
            </w:pPr>
            <w:r w:rsidRPr="00EC75B7">
              <w:rPr>
                <w:rFonts w:ascii="Verdana" w:hAnsi="Verdana"/>
                <w:b/>
                <w:color w:val="FFFFFF"/>
                <w:spacing w:val="-2"/>
                <w:sz w:val="16"/>
                <w:szCs w:val="16"/>
              </w:rPr>
              <w:t>Estimated quantity</w:t>
            </w:r>
          </w:p>
          <w:p w14:paraId="7E744301" w14:textId="77777777" w:rsidR="008715BE" w:rsidRPr="00EC75B7" w:rsidRDefault="00000000">
            <w:pPr>
              <w:pStyle w:val="TableParagraph"/>
              <w:spacing w:line="194" w:lineRule="exact"/>
              <w:ind w:left="12" w:right="6"/>
              <w:jc w:val="center"/>
              <w:rPr>
                <w:rFonts w:ascii="Verdana" w:hAnsi="Verdana"/>
                <w:b/>
                <w:sz w:val="16"/>
                <w:szCs w:val="16"/>
              </w:rPr>
            </w:pPr>
            <w:r w:rsidRPr="00EC75B7">
              <w:rPr>
                <w:rFonts w:ascii="Verdana" w:hAnsi="Verdana"/>
                <w:b/>
                <w:color w:val="FFFFFF"/>
                <w:spacing w:val="-2"/>
                <w:sz w:val="16"/>
                <w:szCs w:val="16"/>
              </w:rPr>
              <w:t>(tonnes)</w:t>
            </w:r>
          </w:p>
          <w:p w14:paraId="4D3B6BCF" w14:textId="77777777" w:rsidR="008715BE" w:rsidRPr="00EC75B7" w:rsidRDefault="00000000">
            <w:pPr>
              <w:pStyle w:val="TableParagraph"/>
              <w:spacing w:line="170" w:lineRule="exact"/>
              <w:ind w:left="12" w:right="2"/>
              <w:jc w:val="center"/>
              <w:rPr>
                <w:rFonts w:ascii="Verdana" w:hAnsi="Verdana"/>
                <w:b/>
                <w:sz w:val="16"/>
                <w:szCs w:val="16"/>
              </w:rPr>
            </w:pPr>
            <w:r w:rsidRPr="00EC75B7">
              <w:rPr>
                <w:rFonts w:ascii="Verdana" w:hAnsi="Verdana"/>
                <w:b/>
                <w:color w:val="FFFFFF"/>
                <w:spacing w:val="-2"/>
                <w:sz w:val="16"/>
                <w:szCs w:val="16"/>
              </w:rPr>
              <w:t>(tons)</w:t>
            </w:r>
          </w:p>
        </w:tc>
        <w:tc>
          <w:tcPr>
            <w:tcW w:w="1019" w:type="dxa"/>
            <w:shd w:val="clear" w:color="auto" w:fill="00AFEF"/>
          </w:tcPr>
          <w:p w14:paraId="7BA3B425" w14:textId="77777777" w:rsidR="008715BE" w:rsidRPr="00EC75B7" w:rsidRDefault="00000000">
            <w:pPr>
              <w:pStyle w:val="TableParagraph"/>
              <w:spacing w:before="95"/>
              <w:ind w:left="106"/>
              <w:rPr>
                <w:rFonts w:ascii="Verdana" w:hAnsi="Verdana"/>
                <w:b/>
                <w:sz w:val="16"/>
                <w:szCs w:val="16"/>
              </w:rPr>
            </w:pPr>
            <w:r w:rsidRPr="00EC75B7">
              <w:rPr>
                <w:rFonts w:ascii="Verdana" w:hAnsi="Verdana"/>
                <w:b/>
                <w:color w:val="FFFFFF"/>
                <w:spacing w:val="-2"/>
                <w:sz w:val="16"/>
                <w:szCs w:val="16"/>
              </w:rPr>
              <w:t>Physical</w:t>
            </w:r>
          </w:p>
          <w:p w14:paraId="5242E860" w14:textId="765EFB2A" w:rsidR="008715BE" w:rsidRPr="00EC75B7" w:rsidRDefault="008715BE">
            <w:pPr>
              <w:pStyle w:val="TableParagraph"/>
              <w:spacing w:before="1"/>
              <w:ind w:left="164"/>
              <w:rPr>
                <w:rFonts w:ascii="Verdana" w:hAnsi="Verdana"/>
                <w:b/>
                <w:sz w:val="16"/>
                <w:szCs w:val="16"/>
              </w:rPr>
            </w:pPr>
          </w:p>
        </w:tc>
        <w:tc>
          <w:tcPr>
            <w:tcW w:w="990" w:type="dxa"/>
            <w:shd w:val="clear" w:color="auto" w:fill="00AFEF"/>
          </w:tcPr>
          <w:p w14:paraId="6BD98B4E" w14:textId="77777777" w:rsidR="008715BE" w:rsidRPr="00EC75B7" w:rsidRDefault="00000000">
            <w:pPr>
              <w:pStyle w:val="TableParagraph"/>
              <w:spacing w:before="95"/>
              <w:ind w:left="6"/>
              <w:jc w:val="center"/>
              <w:rPr>
                <w:rFonts w:ascii="Verdana" w:hAnsi="Verdana"/>
                <w:b/>
                <w:sz w:val="16"/>
                <w:szCs w:val="16"/>
              </w:rPr>
            </w:pPr>
            <w:r w:rsidRPr="00EC75B7">
              <w:rPr>
                <w:rFonts w:ascii="Verdana" w:hAnsi="Verdana"/>
                <w:b/>
                <w:color w:val="FFFFFF"/>
                <w:spacing w:val="-5"/>
                <w:sz w:val="16"/>
                <w:szCs w:val="16"/>
              </w:rPr>
              <w:t>Waste</w:t>
            </w:r>
          </w:p>
          <w:p w14:paraId="13C226C6" w14:textId="225E5736" w:rsidR="008715BE" w:rsidRPr="00EC75B7" w:rsidRDefault="008715BE">
            <w:pPr>
              <w:pStyle w:val="TableParagraph"/>
              <w:spacing w:before="1"/>
              <w:ind w:left="6" w:right="3"/>
              <w:jc w:val="center"/>
              <w:rPr>
                <w:rFonts w:ascii="Verdana" w:hAnsi="Verdana"/>
                <w:b/>
                <w:sz w:val="16"/>
                <w:szCs w:val="16"/>
              </w:rPr>
            </w:pPr>
          </w:p>
        </w:tc>
        <w:tc>
          <w:tcPr>
            <w:tcW w:w="4472" w:type="dxa"/>
            <w:shd w:val="clear" w:color="auto" w:fill="00AFEF"/>
          </w:tcPr>
          <w:p w14:paraId="1A564217" w14:textId="77777777" w:rsidR="008715BE" w:rsidRPr="00EC75B7" w:rsidRDefault="00000000">
            <w:pPr>
              <w:pStyle w:val="TableParagraph"/>
              <w:spacing w:before="193"/>
              <w:ind w:left="1377"/>
              <w:rPr>
                <w:rFonts w:ascii="Verdana" w:hAnsi="Verdana"/>
                <w:b/>
                <w:sz w:val="16"/>
                <w:szCs w:val="16"/>
              </w:rPr>
            </w:pPr>
            <w:r w:rsidRPr="00EC75B7">
              <w:rPr>
                <w:rFonts w:ascii="Verdana" w:hAnsi="Verdana"/>
                <w:b/>
                <w:color w:val="FFFFFF"/>
                <w:spacing w:val="-2"/>
                <w:sz w:val="16"/>
                <w:szCs w:val="16"/>
              </w:rPr>
              <w:t xml:space="preserve">Management </w:t>
            </w:r>
            <w:r w:rsidRPr="00EC75B7">
              <w:rPr>
                <w:rFonts w:ascii="Verdana" w:hAnsi="Verdana"/>
                <w:b/>
                <w:color w:val="FFFFFF"/>
                <w:sz w:val="16"/>
                <w:szCs w:val="16"/>
              </w:rPr>
              <w:t>method</w:t>
            </w:r>
          </w:p>
        </w:tc>
      </w:tr>
      <w:tr w:rsidR="008715BE" w:rsidRPr="00EC75B7" w14:paraId="0853D6AC" w14:textId="77777777">
        <w:trPr>
          <w:trHeight w:val="203"/>
        </w:trPr>
        <w:tc>
          <w:tcPr>
            <w:tcW w:w="9992" w:type="dxa"/>
            <w:gridSpan w:val="5"/>
            <w:tcBorders>
              <w:bottom w:val="nil"/>
            </w:tcBorders>
            <w:shd w:val="clear" w:color="auto" w:fill="D9D9D9"/>
          </w:tcPr>
          <w:p w14:paraId="6F86255A" w14:textId="77777777" w:rsidR="008715BE" w:rsidRPr="00EC75B7" w:rsidRDefault="00000000">
            <w:pPr>
              <w:pStyle w:val="TableParagraph"/>
              <w:spacing w:before="4" w:line="180" w:lineRule="exact"/>
              <w:ind w:left="4" w:right="3"/>
              <w:jc w:val="center"/>
              <w:rPr>
                <w:rFonts w:ascii="Verdana" w:hAnsi="Verdana"/>
                <w:b/>
                <w:sz w:val="16"/>
                <w:szCs w:val="16"/>
              </w:rPr>
            </w:pPr>
            <w:r w:rsidRPr="00EC75B7">
              <w:rPr>
                <w:rFonts w:ascii="Verdana" w:hAnsi="Verdana"/>
                <w:b/>
                <w:spacing w:val="-2"/>
                <w:sz w:val="16"/>
                <w:szCs w:val="16"/>
              </w:rPr>
              <w:t xml:space="preserve">Execution </w:t>
            </w:r>
            <w:r w:rsidRPr="00EC75B7">
              <w:rPr>
                <w:rFonts w:ascii="Verdana" w:hAnsi="Verdana"/>
                <w:b/>
                <w:sz w:val="16"/>
                <w:szCs w:val="16"/>
              </w:rPr>
              <w:t>stage</w:t>
            </w:r>
          </w:p>
        </w:tc>
      </w:tr>
      <w:tr w:rsidR="008715BE" w:rsidRPr="00EC75B7" w14:paraId="389D8B27" w14:textId="77777777" w:rsidTr="00C60ED8">
        <w:trPr>
          <w:trHeight w:val="772"/>
        </w:trPr>
        <w:tc>
          <w:tcPr>
            <w:tcW w:w="2190" w:type="dxa"/>
          </w:tcPr>
          <w:p w14:paraId="135F4A65" w14:textId="77777777" w:rsidR="008715BE" w:rsidRPr="00EC75B7" w:rsidRDefault="008715BE">
            <w:pPr>
              <w:pStyle w:val="TableParagraph"/>
              <w:spacing w:before="91"/>
              <w:rPr>
                <w:rFonts w:ascii="Verdana" w:hAnsi="Verdana"/>
                <w:b/>
                <w:sz w:val="16"/>
                <w:szCs w:val="16"/>
              </w:rPr>
            </w:pPr>
          </w:p>
          <w:p w14:paraId="49B5CA39" w14:textId="77777777" w:rsidR="008715BE" w:rsidRPr="00EC75B7" w:rsidRDefault="00000000">
            <w:pPr>
              <w:pStyle w:val="TableParagraph"/>
              <w:ind w:left="108"/>
              <w:rPr>
                <w:rFonts w:ascii="Verdana" w:hAnsi="Verdana"/>
                <w:sz w:val="16"/>
                <w:szCs w:val="16"/>
              </w:rPr>
            </w:pPr>
            <w:r w:rsidRPr="00EC75B7">
              <w:rPr>
                <w:rFonts w:ascii="Verdana" w:hAnsi="Verdana"/>
                <w:spacing w:val="-4"/>
                <w:sz w:val="16"/>
                <w:szCs w:val="16"/>
              </w:rPr>
              <w:t xml:space="preserve">Mixed </w:t>
            </w:r>
            <w:r w:rsidRPr="00EC75B7">
              <w:rPr>
                <w:rFonts w:ascii="Verdana" w:hAnsi="Verdana"/>
                <w:spacing w:val="-2"/>
                <w:sz w:val="16"/>
                <w:szCs w:val="16"/>
              </w:rPr>
              <w:t>municipal waste</w:t>
            </w:r>
          </w:p>
        </w:tc>
        <w:tc>
          <w:tcPr>
            <w:tcW w:w="1321" w:type="dxa"/>
          </w:tcPr>
          <w:p w14:paraId="5E1BDC20" w14:textId="77777777" w:rsidR="008715BE" w:rsidRPr="00EC75B7" w:rsidRDefault="008715BE">
            <w:pPr>
              <w:pStyle w:val="TableParagraph"/>
              <w:spacing w:before="91"/>
              <w:rPr>
                <w:rFonts w:ascii="Verdana" w:hAnsi="Verdana"/>
                <w:b/>
                <w:sz w:val="16"/>
                <w:szCs w:val="16"/>
              </w:rPr>
            </w:pPr>
          </w:p>
          <w:p w14:paraId="6DD89548"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2"/>
                <w:sz w:val="16"/>
                <w:szCs w:val="16"/>
              </w:rPr>
              <w:t>41.48</w:t>
            </w:r>
          </w:p>
        </w:tc>
        <w:tc>
          <w:tcPr>
            <w:tcW w:w="1019" w:type="dxa"/>
          </w:tcPr>
          <w:p w14:paraId="28E3ED4F" w14:textId="77777777" w:rsidR="008715BE" w:rsidRPr="00EC75B7" w:rsidRDefault="008715BE">
            <w:pPr>
              <w:pStyle w:val="TableParagraph"/>
              <w:spacing w:before="91"/>
              <w:rPr>
                <w:rFonts w:ascii="Verdana" w:hAnsi="Verdana"/>
                <w:b/>
                <w:sz w:val="16"/>
                <w:szCs w:val="16"/>
              </w:rPr>
            </w:pPr>
          </w:p>
          <w:p w14:paraId="4B13B6CE"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4E58E523" w14:textId="77777777" w:rsidR="008715BE" w:rsidRPr="00EC75B7" w:rsidRDefault="008715BE">
            <w:pPr>
              <w:pStyle w:val="TableParagraph"/>
              <w:spacing w:before="91"/>
              <w:rPr>
                <w:rFonts w:ascii="Verdana" w:hAnsi="Verdana"/>
                <w:b/>
                <w:sz w:val="16"/>
                <w:szCs w:val="16"/>
              </w:rPr>
            </w:pPr>
          </w:p>
          <w:p w14:paraId="435B438F" w14:textId="77777777" w:rsidR="008715BE" w:rsidRPr="00EC75B7" w:rsidRDefault="00000000">
            <w:pPr>
              <w:pStyle w:val="TableParagraph"/>
              <w:ind w:left="6" w:right="1"/>
              <w:jc w:val="center"/>
              <w:rPr>
                <w:rFonts w:ascii="Verdana" w:hAnsi="Verdana"/>
                <w:sz w:val="16"/>
                <w:szCs w:val="16"/>
              </w:rPr>
            </w:pPr>
            <w:r w:rsidRPr="00EC75B7">
              <w:rPr>
                <w:rFonts w:ascii="Verdana" w:hAnsi="Verdana"/>
                <w:sz w:val="16"/>
                <w:szCs w:val="16"/>
              </w:rPr>
              <w:t>20 03</w:t>
            </w:r>
            <w:r w:rsidRPr="00EC75B7">
              <w:rPr>
                <w:rFonts w:ascii="Verdana" w:hAnsi="Verdana"/>
                <w:spacing w:val="-5"/>
                <w:sz w:val="16"/>
                <w:szCs w:val="16"/>
              </w:rPr>
              <w:t xml:space="preserve"> 01</w:t>
            </w:r>
          </w:p>
        </w:tc>
        <w:tc>
          <w:tcPr>
            <w:tcW w:w="4472" w:type="dxa"/>
          </w:tcPr>
          <w:p w14:paraId="1F3BA89B" w14:textId="77777777" w:rsidR="008715BE" w:rsidRPr="00EC75B7" w:rsidRDefault="00000000" w:rsidP="00C60ED8">
            <w:pPr>
              <w:pStyle w:val="TableParagraph"/>
              <w:ind w:left="105"/>
              <w:jc w:val="both"/>
              <w:rPr>
                <w:rFonts w:ascii="Verdana" w:hAnsi="Verdana"/>
                <w:sz w:val="16"/>
                <w:szCs w:val="16"/>
              </w:rPr>
            </w:pPr>
            <w:r w:rsidRPr="00EC75B7">
              <w:rPr>
                <w:rFonts w:ascii="Verdana" w:hAnsi="Verdana"/>
                <w:sz w:val="16"/>
                <w:szCs w:val="16"/>
              </w:rPr>
              <w:t>Specially designed areas equipped with wheelie bins will be created. These will be collected periodically by authorised operators and transported to waste disposal sites</w:t>
            </w:r>
          </w:p>
          <w:p w14:paraId="4EC00C1D" w14:textId="77777777" w:rsidR="008715BE" w:rsidRPr="00EC75B7" w:rsidRDefault="00000000">
            <w:pPr>
              <w:pStyle w:val="TableParagraph"/>
              <w:spacing w:line="172" w:lineRule="exact"/>
              <w:ind w:left="105"/>
              <w:rPr>
                <w:rFonts w:ascii="Verdana" w:hAnsi="Verdana"/>
                <w:sz w:val="16"/>
                <w:szCs w:val="16"/>
              </w:rPr>
            </w:pPr>
            <w:r w:rsidRPr="00EC75B7">
              <w:rPr>
                <w:rFonts w:ascii="Verdana" w:hAnsi="Verdana"/>
                <w:spacing w:val="-2"/>
                <w:sz w:val="16"/>
                <w:szCs w:val="16"/>
              </w:rPr>
              <w:t>.</w:t>
            </w:r>
          </w:p>
        </w:tc>
      </w:tr>
      <w:tr w:rsidR="008715BE" w:rsidRPr="00EC75B7" w14:paraId="7826D55E" w14:textId="77777777" w:rsidTr="00C60ED8">
        <w:trPr>
          <w:trHeight w:val="974"/>
        </w:trPr>
        <w:tc>
          <w:tcPr>
            <w:tcW w:w="2190" w:type="dxa"/>
          </w:tcPr>
          <w:p w14:paraId="0EF0301C" w14:textId="77777777" w:rsidR="008715BE" w:rsidRPr="00EC75B7" w:rsidRDefault="008715BE">
            <w:pPr>
              <w:pStyle w:val="TableParagraph"/>
              <w:spacing w:before="96"/>
              <w:rPr>
                <w:rFonts w:ascii="Verdana" w:hAnsi="Verdana"/>
                <w:b/>
                <w:sz w:val="16"/>
                <w:szCs w:val="16"/>
              </w:rPr>
            </w:pPr>
          </w:p>
          <w:p w14:paraId="2F726CF4" w14:textId="77777777" w:rsidR="008715BE" w:rsidRPr="00EC75B7" w:rsidRDefault="00000000">
            <w:pPr>
              <w:pStyle w:val="TableParagraph"/>
              <w:ind w:left="108" w:right="145"/>
              <w:rPr>
                <w:rFonts w:ascii="Verdana" w:hAnsi="Verdana"/>
                <w:sz w:val="16"/>
                <w:szCs w:val="16"/>
              </w:rPr>
            </w:pPr>
            <w:r w:rsidRPr="00EC75B7">
              <w:rPr>
                <w:rFonts w:ascii="Verdana" w:hAnsi="Verdana"/>
                <w:sz w:val="16"/>
                <w:szCs w:val="16"/>
              </w:rPr>
              <w:t>Plastic construction waste</w:t>
            </w:r>
          </w:p>
        </w:tc>
        <w:tc>
          <w:tcPr>
            <w:tcW w:w="1321" w:type="dxa"/>
          </w:tcPr>
          <w:p w14:paraId="53CA8AC1" w14:textId="77777777" w:rsidR="008715BE" w:rsidRPr="00EC75B7" w:rsidRDefault="008715BE">
            <w:pPr>
              <w:pStyle w:val="TableParagraph"/>
              <w:spacing w:before="194"/>
              <w:rPr>
                <w:rFonts w:ascii="Verdana" w:hAnsi="Verdana"/>
                <w:b/>
                <w:sz w:val="16"/>
                <w:szCs w:val="16"/>
              </w:rPr>
            </w:pPr>
          </w:p>
          <w:p w14:paraId="1C39FE35" w14:textId="77777777" w:rsidR="008715BE" w:rsidRPr="00EC75B7" w:rsidRDefault="00000000">
            <w:pPr>
              <w:pStyle w:val="TableParagraph"/>
              <w:spacing w:before="1"/>
              <w:ind w:left="12"/>
              <w:jc w:val="center"/>
              <w:rPr>
                <w:rFonts w:ascii="Verdana" w:hAnsi="Verdana"/>
                <w:sz w:val="16"/>
                <w:szCs w:val="16"/>
              </w:rPr>
            </w:pPr>
            <w:r w:rsidRPr="00EC75B7">
              <w:rPr>
                <w:rFonts w:ascii="Verdana" w:hAnsi="Verdana"/>
                <w:spacing w:val="-4"/>
                <w:sz w:val="16"/>
                <w:szCs w:val="16"/>
              </w:rPr>
              <w:t>0.12</w:t>
            </w:r>
          </w:p>
        </w:tc>
        <w:tc>
          <w:tcPr>
            <w:tcW w:w="1019" w:type="dxa"/>
          </w:tcPr>
          <w:p w14:paraId="77DA06E6" w14:textId="77777777" w:rsidR="008715BE" w:rsidRPr="00EC75B7" w:rsidRDefault="008715BE">
            <w:pPr>
              <w:pStyle w:val="TableParagraph"/>
              <w:spacing w:before="194"/>
              <w:rPr>
                <w:rFonts w:ascii="Verdana" w:hAnsi="Verdana"/>
                <w:b/>
                <w:sz w:val="16"/>
                <w:szCs w:val="16"/>
              </w:rPr>
            </w:pPr>
          </w:p>
          <w:p w14:paraId="0247A8FC" w14:textId="77777777" w:rsidR="008715BE" w:rsidRPr="00EC75B7" w:rsidRDefault="00000000">
            <w:pPr>
              <w:pStyle w:val="TableParagraph"/>
              <w:spacing w:before="1"/>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122A6FBE" w14:textId="77777777" w:rsidR="008715BE" w:rsidRPr="00EC75B7" w:rsidRDefault="008715BE">
            <w:pPr>
              <w:pStyle w:val="TableParagraph"/>
              <w:spacing w:before="194"/>
              <w:rPr>
                <w:rFonts w:ascii="Verdana" w:hAnsi="Verdana"/>
                <w:b/>
                <w:sz w:val="16"/>
                <w:szCs w:val="16"/>
              </w:rPr>
            </w:pPr>
          </w:p>
          <w:p w14:paraId="010D753E" w14:textId="77777777" w:rsidR="008715BE" w:rsidRPr="00EC75B7" w:rsidRDefault="00000000">
            <w:pPr>
              <w:pStyle w:val="TableParagraph"/>
              <w:spacing w:before="1"/>
              <w:ind w:left="6" w:right="1"/>
              <w:jc w:val="center"/>
              <w:rPr>
                <w:rFonts w:ascii="Verdana" w:hAnsi="Verdana"/>
                <w:sz w:val="16"/>
                <w:szCs w:val="16"/>
              </w:rPr>
            </w:pPr>
            <w:r w:rsidRPr="00EC75B7">
              <w:rPr>
                <w:rFonts w:ascii="Verdana" w:hAnsi="Verdana"/>
                <w:sz w:val="16"/>
                <w:szCs w:val="16"/>
              </w:rPr>
              <w:t>17 02</w:t>
            </w:r>
            <w:r w:rsidRPr="00EC75B7">
              <w:rPr>
                <w:rFonts w:ascii="Verdana" w:hAnsi="Verdana"/>
                <w:spacing w:val="-5"/>
                <w:sz w:val="16"/>
                <w:szCs w:val="16"/>
              </w:rPr>
              <w:t xml:space="preserve"> 03</w:t>
            </w:r>
          </w:p>
        </w:tc>
        <w:tc>
          <w:tcPr>
            <w:tcW w:w="4472" w:type="dxa"/>
          </w:tcPr>
          <w:p w14:paraId="40D2F5A7" w14:textId="61EA6959" w:rsidR="008715BE" w:rsidRPr="00EC75B7" w:rsidRDefault="00000000" w:rsidP="00C60ED8">
            <w:pPr>
              <w:pStyle w:val="TableParagraph"/>
              <w:spacing w:before="1"/>
              <w:ind w:left="105" w:right="175"/>
              <w:jc w:val="both"/>
              <w:rPr>
                <w:rFonts w:ascii="Verdana" w:hAnsi="Verdana"/>
                <w:sz w:val="16"/>
                <w:szCs w:val="16"/>
              </w:rPr>
            </w:pPr>
            <w:r w:rsidRPr="00EC75B7">
              <w:rPr>
                <w:rFonts w:ascii="Verdana" w:hAnsi="Verdana"/>
                <w:sz w:val="16"/>
                <w:szCs w:val="16"/>
              </w:rPr>
              <w:t>It shall be collected separately in specially designated temporary storage areas within the construction site and at the work fronts. It shall be collected periodically by authorized operators and transported for recovery</w:t>
            </w:r>
          </w:p>
        </w:tc>
      </w:tr>
      <w:tr w:rsidR="008715BE" w:rsidRPr="00EC75B7" w14:paraId="09792C24" w14:textId="77777777" w:rsidTr="00C60ED8">
        <w:trPr>
          <w:trHeight w:val="388"/>
        </w:trPr>
        <w:tc>
          <w:tcPr>
            <w:tcW w:w="2190" w:type="dxa"/>
          </w:tcPr>
          <w:p w14:paraId="04D45EDA" w14:textId="77777777" w:rsidR="008715BE" w:rsidRPr="00EC75B7" w:rsidRDefault="00000000">
            <w:pPr>
              <w:pStyle w:val="TableParagraph"/>
              <w:spacing w:line="194" w:lineRule="exact"/>
              <w:ind w:left="108"/>
              <w:rPr>
                <w:rFonts w:ascii="Verdana" w:hAnsi="Verdana"/>
                <w:sz w:val="16"/>
                <w:szCs w:val="16"/>
              </w:rPr>
            </w:pPr>
            <w:r w:rsidRPr="00EC75B7">
              <w:rPr>
                <w:rFonts w:ascii="Verdana" w:hAnsi="Verdana"/>
                <w:sz w:val="16"/>
                <w:szCs w:val="16"/>
              </w:rPr>
              <w:t xml:space="preserve">Paper </w:t>
            </w:r>
            <w:r w:rsidRPr="00EC75B7">
              <w:rPr>
                <w:rFonts w:ascii="Verdana" w:hAnsi="Verdana"/>
                <w:spacing w:val="-5"/>
                <w:sz w:val="16"/>
                <w:szCs w:val="16"/>
              </w:rPr>
              <w:t xml:space="preserve">and </w:t>
            </w:r>
            <w:r w:rsidRPr="00EC75B7">
              <w:rPr>
                <w:rFonts w:ascii="Verdana" w:hAnsi="Verdana"/>
                <w:sz w:val="16"/>
                <w:szCs w:val="16"/>
              </w:rPr>
              <w:t>cardboard packaging</w:t>
            </w:r>
          </w:p>
          <w:p w14:paraId="624793A8" w14:textId="77777777" w:rsidR="008715BE" w:rsidRPr="00EC75B7" w:rsidRDefault="00000000">
            <w:pPr>
              <w:pStyle w:val="TableParagraph"/>
              <w:spacing w:line="175" w:lineRule="exact"/>
              <w:ind w:left="108"/>
              <w:rPr>
                <w:rFonts w:ascii="Verdana" w:hAnsi="Verdana"/>
                <w:sz w:val="16"/>
                <w:szCs w:val="16"/>
              </w:rPr>
            </w:pPr>
            <w:r w:rsidRPr="00EC75B7">
              <w:rPr>
                <w:rFonts w:ascii="Verdana" w:hAnsi="Verdana"/>
                <w:spacing w:val="-2"/>
                <w:sz w:val="16"/>
                <w:szCs w:val="16"/>
              </w:rPr>
              <w:t>cardboard</w:t>
            </w:r>
          </w:p>
        </w:tc>
        <w:tc>
          <w:tcPr>
            <w:tcW w:w="1321" w:type="dxa"/>
          </w:tcPr>
          <w:p w14:paraId="6EF8724A" w14:textId="77777777" w:rsidR="008715BE" w:rsidRPr="00EC75B7" w:rsidRDefault="00000000">
            <w:pPr>
              <w:pStyle w:val="TableParagraph"/>
              <w:spacing w:before="95"/>
              <w:ind w:left="12"/>
              <w:jc w:val="center"/>
              <w:rPr>
                <w:rFonts w:ascii="Verdana" w:hAnsi="Verdana"/>
                <w:sz w:val="16"/>
                <w:szCs w:val="16"/>
              </w:rPr>
            </w:pPr>
            <w:r w:rsidRPr="00EC75B7">
              <w:rPr>
                <w:rFonts w:ascii="Verdana" w:hAnsi="Verdana"/>
                <w:spacing w:val="-4"/>
                <w:sz w:val="16"/>
                <w:szCs w:val="16"/>
              </w:rPr>
              <w:t>0.84</w:t>
            </w:r>
          </w:p>
        </w:tc>
        <w:tc>
          <w:tcPr>
            <w:tcW w:w="1019" w:type="dxa"/>
          </w:tcPr>
          <w:p w14:paraId="4C456E0E" w14:textId="77777777" w:rsidR="008715BE" w:rsidRPr="00EC75B7" w:rsidRDefault="00000000">
            <w:pPr>
              <w:pStyle w:val="TableParagraph"/>
              <w:spacing w:before="95"/>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1E9BDB97" w14:textId="77777777" w:rsidR="008715BE" w:rsidRPr="00EC75B7" w:rsidRDefault="00000000">
            <w:pPr>
              <w:pStyle w:val="TableParagraph"/>
              <w:spacing w:before="95"/>
              <w:ind w:left="6" w:right="1"/>
              <w:jc w:val="center"/>
              <w:rPr>
                <w:rFonts w:ascii="Verdana" w:hAnsi="Verdana"/>
                <w:sz w:val="16"/>
                <w:szCs w:val="16"/>
              </w:rPr>
            </w:pPr>
            <w:r w:rsidRPr="00EC75B7">
              <w:rPr>
                <w:rFonts w:ascii="Verdana" w:hAnsi="Verdana"/>
                <w:sz w:val="16"/>
                <w:szCs w:val="16"/>
              </w:rPr>
              <w:t>15 01</w:t>
            </w:r>
            <w:r w:rsidRPr="00EC75B7">
              <w:rPr>
                <w:rFonts w:ascii="Verdana" w:hAnsi="Verdana"/>
                <w:spacing w:val="-5"/>
                <w:sz w:val="16"/>
                <w:szCs w:val="16"/>
              </w:rPr>
              <w:t xml:space="preserve"> 01</w:t>
            </w:r>
          </w:p>
        </w:tc>
        <w:tc>
          <w:tcPr>
            <w:tcW w:w="4472" w:type="dxa"/>
            <w:vMerge w:val="restart"/>
          </w:tcPr>
          <w:p w14:paraId="5C43F4CA" w14:textId="77777777" w:rsidR="008715BE" w:rsidRPr="00EC75B7" w:rsidRDefault="008715BE">
            <w:pPr>
              <w:pStyle w:val="TableParagraph"/>
              <w:spacing w:before="120"/>
              <w:rPr>
                <w:rFonts w:ascii="Verdana" w:hAnsi="Verdana"/>
                <w:b/>
                <w:sz w:val="16"/>
                <w:szCs w:val="16"/>
              </w:rPr>
            </w:pPr>
          </w:p>
          <w:p w14:paraId="3612C76B" w14:textId="77777777" w:rsidR="008715BE" w:rsidRPr="00EC75B7" w:rsidRDefault="00000000" w:rsidP="00C60ED8">
            <w:pPr>
              <w:pStyle w:val="TableParagraph"/>
              <w:ind w:left="105" w:right="175"/>
              <w:jc w:val="both"/>
              <w:rPr>
                <w:rFonts w:ascii="Verdana" w:hAnsi="Verdana"/>
                <w:sz w:val="16"/>
                <w:szCs w:val="16"/>
              </w:rPr>
            </w:pPr>
            <w:r w:rsidRPr="00EC75B7">
              <w:rPr>
                <w:rFonts w:ascii="Verdana" w:hAnsi="Verdana"/>
                <w:sz w:val="16"/>
                <w:szCs w:val="16"/>
              </w:rPr>
              <w:t>They will be collected separately in specially designated temporary storage areas within the construction site and work fronts. They will be periodically collected by authorized operators and transported for recycling.</w:t>
            </w:r>
          </w:p>
        </w:tc>
      </w:tr>
      <w:tr w:rsidR="008715BE" w:rsidRPr="00EC75B7" w14:paraId="3CA69BC7" w14:textId="77777777" w:rsidTr="00C60ED8">
        <w:trPr>
          <w:trHeight w:val="193"/>
        </w:trPr>
        <w:tc>
          <w:tcPr>
            <w:tcW w:w="2190" w:type="dxa"/>
          </w:tcPr>
          <w:p w14:paraId="089F1382" w14:textId="77777777" w:rsidR="008715BE" w:rsidRPr="00EC75B7" w:rsidRDefault="00000000">
            <w:pPr>
              <w:pStyle w:val="TableParagraph"/>
              <w:spacing w:line="174" w:lineRule="exact"/>
              <w:ind w:left="108"/>
              <w:rPr>
                <w:rFonts w:ascii="Verdana" w:hAnsi="Verdana"/>
                <w:sz w:val="16"/>
                <w:szCs w:val="16"/>
              </w:rPr>
            </w:pPr>
            <w:r w:rsidRPr="00EC75B7">
              <w:rPr>
                <w:rFonts w:ascii="Verdana" w:hAnsi="Verdana"/>
                <w:spacing w:val="-2"/>
                <w:sz w:val="16"/>
                <w:szCs w:val="16"/>
              </w:rPr>
              <w:t xml:space="preserve">Plastic </w:t>
            </w:r>
            <w:r w:rsidRPr="00EC75B7">
              <w:rPr>
                <w:rFonts w:ascii="Verdana" w:hAnsi="Verdana"/>
                <w:sz w:val="16"/>
                <w:szCs w:val="16"/>
              </w:rPr>
              <w:t>packaging</w:t>
            </w:r>
          </w:p>
        </w:tc>
        <w:tc>
          <w:tcPr>
            <w:tcW w:w="1321" w:type="dxa"/>
          </w:tcPr>
          <w:p w14:paraId="59BC1F11" w14:textId="77777777" w:rsidR="008715BE" w:rsidRPr="00EC75B7" w:rsidRDefault="00000000">
            <w:pPr>
              <w:pStyle w:val="TableParagraph"/>
              <w:spacing w:line="174" w:lineRule="exact"/>
              <w:ind w:left="12"/>
              <w:jc w:val="center"/>
              <w:rPr>
                <w:rFonts w:ascii="Verdana" w:hAnsi="Verdana"/>
                <w:sz w:val="16"/>
                <w:szCs w:val="16"/>
              </w:rPr>
            </w:pPr>
            <w:r w:rsidRPr="00EC75B7">
              <w:rPr>
                <w:rFonts w:ascii="Verdana" w:hAnsi="Verdana"/>
                <w:spacing w:val="-4"/>
                <w:sz w:val="16"/>
                <w:szCs w:val="16"/>
              </w:rPr>
              <w:t>0.50</w:t>
            </w:r>
          </w:p>
        </w:tc>
        <w:tc>
          <w:tcPr>
            <w:tcW w:w="1019" w:type="dxa"/>
          </w:tcPr>
          <w:p w14:paraId="2100BBE6" w14:textId="77777777" w:rsidR="008715BE" w:rsidRPr="00EC75B7" w:rsidRDefault="00000000">
            <w:pPr>
              <w:pStyle w:val="TableParagraph"/>
              <w:spacing w:line="174" w:lineRule="exact"/>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34352F89"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z w:val="16"/>
                <w:szCs w:val="16"/>
              </w:rPr>
              <w:t>15 01</w:t>
            </w:r>
            <w:r w:rsidRPr="00EC75B7">
              <w:rPr>
                <w:rFonts w:ascii="Verdana" w:hAnsi="Verdana"/>
                <w:spacing w:val="-5"/>
                <w:sz w:val="16"/>
                <w:szCs w:val="16"/>
              </w:rPr>
              <w:t xml:space="preserve"> 02</w:t>
            </w:r>
          </w:p>
        </w:tc>
        <w:tc>
          <w:tcPr>
            <w:tcW w:w="4472" w:type="dxa"/>
            <w:vMerge/>
            <w:tcBorders>
              <w:top w:val="nil"/>
            </w:tcBorders>
          </w:tcPr>
          <w:p w14:paraId="776D7175" w14:textId="77777777" w:rsidR="008715BE" w:rsidRPr="00EC75B7" w:rsidRDefault="008715BE">
            <w:pPr>
              <w:rPr>
                <w:rFonts w:ascii="Verdana" w:hAnsi="Verdana"/>
                <w:sz w:val="16"/>
                <w:szCs w:val="16"/>
              </w:rPr>
            </w:pPr>
          </w:p>
        </w:tc>
      </w:tr>
      <w:tr w:rsidR="008715BE" w:rsidRPr="00EC75B7" w14:paraId="5343072D" w14:textId="77777777" w:rsidTr="00C60ED8">
        <w:trPr>
          <w:trHeight w:val="388"/>
        </w:trPr>
        <w:tc>
          <w:tcPr>
            <w:tcW w:w="2190" w:type="dxa"/>
          </w:tcPr>
          <w:p w14:paraId="5EB2E7F3" w14:textId="77777777" w:rsidR="008715BE" w:rsidRPr="00EC75B7" w:rsidRDefault="00000000">
            <w:pPr>
              <w:pStyle w:val="TableParagraph"/>
              <w:spacing w:line="194" w:lineRule="exact"/>
              <w:ind w:left="108"/>
              <w:rPr>
                <w:rFonts w:ascii="Verdana" w:hAnsi="Verdana"/>
                <w:sz w:val="16"/>
                <w:szCs w:val="16"/>
              </w:rPr>
            </w:pPr>
            <w:r w:rsidRPr="00EC75B7">
              <w:rPr>
                <w:rFonts w:ascii="Verdana" w:hAnsi="Verdana"/>
                <w:sz w:val="16"/>
                <w:szCs w:val="16"/>
              </w:rPr>
              <w:t xml:space="preserve">Wood waste </w:t>
            </w:r>
            <w:r w:rsidRPr="00EC75B7">
              <w:rPr>
                <w:rFonts w:ascii="Verdana" w:hAnsi="Verdana"/>
                <w:spacing w:val="-5"/>
                <w:sz w:val="16"/>
                <w:szCs w:val="16"/>
              </w:rPr>
              <w:t>from</w:t>
            </w:r>
          </w:p>
          <w:p w14:paraId="10793A22" w14:textId="77777777" w:rsidR="008715BE" w:rsidRPr="00EC75B7" w:rsidRDefault="00000000">
            <w:pPr>
              <w:pStyle w:val="TableParagraph"/>
              <w:spacing w:line="175" w:lineRule="exact"/>
              <w:ind w:left="108"/>
              <w:rPr>
                <w:rFonts w:ascii="Verdana" w:hAnsi="Verdana"/>
                <w:sz w:val="16"/>
                <w:szCs w:val="16"/>
              </w:rPr>
            </w:pPr>
            <w:r w:rsidRPr="00EC75B7">
              <w:rPr>
                <w:rFonts w:ascii="Verdana" w:hAnsi="Verdana"/>
                <w:spacing w:val="-2"/>
                <w:sz w:val="16"/>
                <w:szCs w:val="16"/>
              </w:rPr>
              <w:t>construction</w:t>
            </w:r>
          </w:p>
        </w:tc>
        <w:tc>
          <w:tcPr>
            <w:tcW w:w="1321" w:type="dxa"/>
          </w:tcPr>
          <w:p w14:paraId="15B7F090" w14:textId="77777777" w:rsidR="008715BE" w:rsidRPr="00EC75B7" w:rsidRDefault="00000000">
            <w:pPr>
              <w:pStyle w:val="TableParagraph"/>
              <w:spacing w:before="97"/>
              <w:ind w:left="12"/>
              <w:jc w:val="center"/>
              <w:rPr>
                <w:rFonts w:ascii="Verdana" w:hAnsi="Verdana"/>
                <w:sz w:val="16"/>
                <w:szCs w:val="16"/>
              </w:rPr>
            </w:pPr>
            <w:r w:rsidRPr="00EC75B7">
              <w:rPr>
                <w:rFonts w:ascii="Verdana" w:hAnsi="Verdana"/>
                <w:spacing w:val="-4"/>
                <w:sz w:val="16"/>
                <w:szCs w:val="16"/>
              </w:rPr>
              <w:t>0.88</w:t>
            </w:r>
          </w:p>
        </w:tc>
        <w:tc>
          <w:tcPr>
            <w:tcW w:w="1019" w:type="dxa"/>
          </w:tcPr>
          <w:p w14:paraId="4C947F5B" w14:textId="77777777" w:rsidR="008715BE" w:rsidRPr="00EC75B7" w:rsidRDefault="00000000">
            <w:pPr>
              <w:pStyle w:val="TableParagraph"/>
              <w:spacing w:before="97"/>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77E6A4FD" w14:textId="77777777" w:rsidR="008715BE" w:rsidRPr="00EC75B7" w:rsidRDefault="00000000">
            <w:pPr>
              <w:pStyle w:val="TableParagraph"/>
              <w:spacing w:before="97"/>
              <w:ind w:left="6" w:right="1"/>
              <w:jc w:val="center"/>
              <w:rPr>
                <w:rFonts w:ascii="Verdana" w:hAnsi="Verdana"/>
                <w:sz w:val="16"/>
                <w:szCs w:val="16"/>
              </w:rPr>
            </w:pPr>
            <w:r w:rsidRPr="00EC75B7">
              <w:rPr>
                <w:rFonts w:ascii="Verdana" w:hAnsi="Verdana"/>
                <w:sz w:val="16"/>
                <w:szCs w:val="16"/>
              </w:rPr>
              <w:t>17 02</w:t>
            </w:r>
            <w:r w:rsidRPr="00EC75B7">
              <w:rPr>
                <w:rFonts w:ascii="Verdana" w:hAnsi="Verdana"/>
                <w:spacing w:val="-5"/>
                <w:sz w:val="16"/>
                <w:szCs w:val="16"/>
              </w:rPr>
              <w:t xml:space="preserve"> 01</w:t>
            </w:r>
          </w:p>
        </w:tc>
        <w:tc>
          <w:tcPr>
            <w:tcW w:w="4472" w:type="dxa"/>
            <w:vMerge/>
            <w:tcBorders>
              <w:top w:val="nil"/>
            </w:tcBorders>
          </w:tcPr>
          <w:p w14:paraId="6654836E" w14:textId="77777777" w:rsidR="008715BE" w:rsidRPr="00EC75B7" w:rsidRDefault="008715BE">
            <w:pPr>
              <w:rPr>
                <w:rFonts w:ascii="Verdana" w:hAnsi="Verdana"/>
                <w:sz w:val="16"/>
                <w:szCs w:val="16"/>
              </w:rPr>
            </w:pPr>
          </w:p>
        </w:tc>
      </w:tr>
      <w:tr w:rsidR="008715BE" w:rsidRPr="00EC75B7" w14:paraId="4CCBEEA2" w14:textId="77777777" w:rsidTr="00C60ED8">
        <w:trPr>
          <w:trHeight w:val="196"/>
        </w:trPr>
        <w:tc>
          <w:tcPr>
            <w:tcW w:w="2190" w:type="dxa"/>
          </w:tcPr>
          <w:p w14:paraId="4D77189F" w14:textId="77777777" w:rsidR="008715BE" w:rsidRPr="00EC75B7" w:rsidRDefault="00000000">
            <w:pPr>
              <w:pStyle w:val="TableParagraph"/>
              <w:spacing w:before="1" w:line="175" w:lineRule="exact"/>
              <w:ind w:left="108"/>
              <w:rPr>
                <w:rFonts w:ascii="Verdana" w:hAnsi="Verdana"/>
                <w:sz w:val="16"/>
                <w:szCs w:val="16"/>
              </w:rPr>
            </w:pPr>
            <w:r w:rsidRPr="00EC75B7">
              <w:rPr>
                <w:rFonts w:ascii="Verdana" w:hAnsi="Verdana"/>
                <w:spacing w:val="-2"/>
                <w:sz w:val="16"/>
                <w:szCs w:val="16"/>
              </w:rPr>
              <w:t xml:space="preserve">Metal </w:t>
            </w:r>
            <w:r w:rsidRPr="00EC75B7">
              <w:rPr>
                <w:rFonts w:ascii="Verdana" w:hAnsi="Verdana"/>
                <w:sz w:val="16"/>
                <w:szCs w:val="16"/>
              </w:rPr>
              <w:t>mixtures</w:t>
            </w:r>
          </w:p>
        </w:tc>
        <w:tc>
          <w:tcPr>
            <w:tcW w:w="1321" w:type="dxa"/>
          </w:tcPr>
          <w:p w14:paraId="6CF86C58" w14:textId="77777777" w:rsidR="008715BE" w:rsidRPr="00EC75B7" w:rsidRDefault="00000000">
            <w:pPr>
              <w:pStyle w:val="TableParagraph"/>
              <w:spacing w:before="1" w:line="175" w:lineRule="exact"/>
              <w:ind w:left="12" w:right="4"/>
              <w:jc w:val="center"/>
              <w:rPr>
                <w:rFonts w:ascii="Verdana" w:hAnsi="Verdana"/>
                <w:sz w:val="16"/>
                <w:szCs w:val="16"/>
              </w:rPr>
            </w:pPr>
            <w:r w:rsidRPr="00EC75B7">
              <w:rPr>
                <w:rFonts w:ascii="Verdana" w:hAnsi="Verdana"/>
                <w:spacing w:val="-2"/>
                <w:sz w:val="16"/>
                <w:szCs w:val="16"/>
              </w:rPr>
              <w:t>259.25</w:t>
            </w:r>
          </w:p>
        </w:tc>
        <w:tc>
          <w:tcPr>
            <w:tcW w:w="1019" w:type="dxa"/>
          </w:tcPr>
          <w:p w14:paraId="11614AFB" w14:textId="77777777" w:rsidR="008715BE" w:rsidRPr="00EC75B7" w:rsidRDefault="00000000">
            <w:pPr>
              <w:pStyle w:val="TableParagraph"/>
              <w:spacing w:before="1" w:line="175" w:lineRule="exact"/>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5C863EF2" w14:textId="77777777" w:rsidR="008715BE" w:rsidRPr="00EC75B7" w:rsidRDefault="00000000">
            <w:pPr>
              <w:pStyle w:val="TableParagraph"/>
              <w:spacing w:before="1" w:line="175" w:lineRule="exact"/>
              <w:ind w:left="6" w:right="1"/>
              <w:jc w:val="center"/>
              <w:rPr>
                <w:rFonts w:ascii="Verdana" w:hAnsi="Verdana"/>
                <w:sz w:val="16"/>
                <w:szCs w:val="16"/>
              </w:rPr>
            </w:pPr>
            <w:r w:rsidRPr="00EC75B7">
              <w:rPr>
                <w:rFonts w:ascii="Verdana" w:hAnsi="Verdana"/>
                <w:sz w:val="16"/>
                <w:szCs w:val="16"/>
              </w:rPr>
              <w:t>17 04</w:t>
            </w:r>
            <w:r w:rsidRPr="00EC75B7">
              <w:rPr>
                <w:rFonts w:ascii="Verdana" w:hAnsi="Verdana"/>
                <w:spacing w:val="-5"/>
                <w:sz w:val="16"/>
                <w:szCs w:val="16"/>
              </w:rPr>
              <w:t xml:space="preserve"> 07</w:t>
            </w:r>
          </w:p>
        </w:tc>
        <w:tc>
          <w:tcPr>
            <w:tcW w:w="4472" w:type="dxa"/>
            <w:vMerge/>
            <w:tcBorders>
              <w:top w:val="nil"/>
            </w:tcBorders>
          </w:tcPr>
          <w:p w14:paraId="2529B9DC" w14:textId="77777777" w:rsidR="008715BE" w:rsidRPr="00EC75B7" w:rsidRDefault="008715BE">
            <w:pPr>
              <w:rPr>
                <w:rFonts w:ascii="Verdana" w:hAnsi="Verdana"/>
                <w:sz w:val="16"/>
                <w:szCs w:val="16"/>
              </w:rPr>
            </w:pPr>
          </w:p>
        </w:tc>
      </w:tr>
      <w:tr w:rsidR="008715BE" w:rsidRPr="00EC75B7" w14:paraId="08736F8F" w14:textId="77777777" w:rsidTr="00C60ED8">
        <w:trPr>
          <w:trHeight w:val="193"/>
        </w:trPr>
        <w:tc>
          <w:tcPr>
            <w:tcW w:w="2190" w:type="dxa"/>
          </w:tcPr>
          <w:p w14:paraId="468EA228" w14:textId="77777777" w:rsidR="008715BE" w:rsidRPr="00EC75B7" w:rsidRDefault="00000000">
            <w:pPr>
              <w:pStyle w:val="TableParagraph"/>
              <w:spacing w:line="174" w:lineRule="exact"/>
              <w:ind w:left="108"/>
              <w:rPr>
                <w:rFonts w:ascii="Verdana" w:hAnsi="Verdana"/>
                <w:sz w:val="16"/>
                <w:szCs w:val="16"/>
              </w:rPr>
            </w:pPr>
            <w:r w:rsidRPr="00EC75B7">
              <w:rPr>
                <w:rFonts w:ascii="Verdana" w:hAnsi="Verdana"/>
                <w:spacing w:val="-2"/>
                <w:sz w:val="16"/>
                <w:szCs w:val="16"/>
              </w:rPr>
              <w:t>Concrete</w:t>
            </w:r>
          </w:p>
        </w:tc>
        <w:tc>
          <w:tcPr>
            <w:tcW w:w="1321" w:type="dxa"/>
          </w:tcPr>
          <w:p w14:paraId="68EFA22F" w14:textId="77777777" w:rsidR="008715BE" w:rsidRPr="00EC75B7" w:rsidRDefault="00000000">
            <w:pPr>
              <w:pStyle w:val="TableParagraph"/>
              <w:spacing w:line="174" w:lineRule="exact"/>
              <w:ind w:left="12" w:right="3"/>
              <w:jc w:val="center"/>
              <w:rPr>
                <w:rFonts w:ascii="Verdana" w:hAnsi="Verdana"/>
                <w:sz w:val="16"/>
                <w:szCs w:val="16"/>
              </w:rPr>
            </w:pPr>
            <w:r w:rsidRPr="00EC75B7">
              <w:rPr>
                <w:rFonts w:ascii="Verdana" w:hAnsi="Verdana"/>
                <w:spacing w:val="-2"/>
                <w:sz w:val="16"/>
                <w:szCs w:val="16"/>
              </w:rPr>
              <w:t>32.93</w:t>
            </w:r>
          </w:p>
        </w:tc>
        <w:tc>
          <w:tcPr>
            <w:tcW w:w="1019" w:type="dxa"/>
          </w:tcPr>
          <w:p w14:paraId="4C2DD41E" w14:textId="77777777" w:rsidR="008715BE" w:rsidRPr="00EC75B7" w:rsidRDefault="00000000">
            <w:pPr>
              <w:pStyle w:val="TableParagraph"/>
              <w:spacing w:line="174" w:lineRule="exact"/>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152F6415"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z w:val="16"/>
                <w:szCs w:val="16"/>
              </w:rPr>
              <w:t>17 01</w:t>
            </w:r>
            <w:r w:rsidRPr="00EC75B7">
              <w:rPr>
                <w:rFonts w:ascii="Verdana" w:hAnsi="Verdana"/>
                <w:spacing w:val="-5"/>
                <w:sz w:val="16"/>
                <w:szCs w:val="16"/>
              </w:rPr>
              <w:t xml:space="preserve"> 01</w:t>
            </w:r>
          </w:p>
        </w:tc>
        <w:tc>
          <w:tcPr>
            <w:tcW w:w="4472" w:type="dxa"/>
            <w:vMerge/>
            <w:tcBorders>
              <w:top w:val="nil"/>
            </w:tcBorders>
          </w:tcPr>
          <w:p w14:paraId="561F43A8" w14:textId="77777777" w:rsidR="008715BE" w:rsidRPr="00EC75B7" w:rsidRDefault="008715BE">
            <w:pPr>
              <w:rPr>
                <w:rFonts w:ascii="Verdana" w:hAnsi="Verdana"/>
                <w:sz w:val="16"/>
                <w:szCs w:val="16"/>
              </w:rPr>
            </w:pPr>
          </w:p>
        </w:tc>
      </w:tr>
      <w:tr w:rsidR="008715BE" w:rsidRPr="00EC75B7" w14:paraId="2B5B6759" w14:textId="77777777" w:rsidTr="00C60ED8">
        <w:trPr>
          <w:trHeight w:val="193"/>
        </w:trPr>
        <w:tc>
          <w:tcPr>
            <w:tcW w:w="2190" w:type="dxa"/>
          </w:tcPr>
          <w:p w14:paraId="4F8B6729" w14:textId="77777777" w:rsidR="008715BE" w:rsidRPr="00EC75B7" w:rsidRDefault="00000000">
            <w:pPr>
              <w:pStyle w:val="TableParagraph"/>
              <w:spacing w:line="174" w:lineRule="exact"/>
              <w:ind w:left="108"/>
              <w:rPr>
                <w:rFonts w:ascii="Verdana" w:hAnsi="Verdana"/>
                <w:sz w:val="16"/>
                <w:szCs w:val="16"/>
              </w:rPr>
            </w:pPr>
            <w:r w:rsidRPr="00EC75B7">
              <w:rPr>
                <w:rFonts w:ascii="Verdana" w:hAnsi="Verdana"/>
                <w:spacing w:val="-2"/>
                <w:sz w:val="16"/>
                <w:szCs w:val="16"/>
              </w:rPr>
              <w:t xml:space="preserve">Ballast </w:t>
            </w:r>
            <w:r w:rsidRPr="00EC75B7">
              <w:rPr>
                <w:rFonts w:ascii="Verdana" w:hAnsi="Verdana"/>
                <w:sz w:val="16"/>
                <w:szCs w:val="16"/>
              </w:rPr>
              <w:t>waste</w:t>
            </w:r>
          </w:p>
        </w:tc>
        <w:tc>
          <w:tcPr>
            <w:tcW w:w="1321" w:type="dxa"/>
          </w:tcPr>
          <w:p w14:paraId="32018229" w14:textId="77777777" w:rsidR="008715BE" w:rsidRPr="00EC75B7" w:rsidRDefault="00000000">
            <w:pPr>
              <w:pStyle w:val="TableParagraph"/>
              <w:spacing w:line="174" w:lineRule="exact"/>
              <w:ind w:left="12" w:right="3"/>
              <w:jc w:val="center"/>
              <w:rPr>
                <w:rFonts w:ascii="Verdana" w:hAnsi="Verdana"/>
                <w:sz w:val="16"/>
                <w:szCs w:val="16"/>
              </w:rPr>
            </w:pPr>
            <w:r w:rsidRPr="00EC75B7">
              <w:rPr>
                <w:rFonts w:ascii="Verdana" w:hAnsi="Verdana"/>
                <w:spacing w:val="-2"/>
                <w:sz w:val="16"/>
                <w:szCs w:val="16"/>
              </w:rPr>
              <w:t>20.74</w:t>
            </w:r>
          </w:p>
        </w:tc>
        <w:tc>
          <w:tcPr>
            <w:tcW w:w="1019" w:type="dxa"/>
          </w:tcPr>
          <w:p w14:paraId="7EEB38CE" w14:textId="77777777" w:rsidR="008715BE" w:rsidRPr="00EC75B7" w:rsidRDefault="00000000">
            <w:pPr>
              <w:pStyle w:val="TableParagraph"/>
              <w:spacing w:line="174" w:lineRule="exact"/>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20EF35D7"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z w:val="16"/>
                <w:szCs w:val="16"/>
              </w:rPr>
              <w:t>17 05</w:t>
            </w:r>
            <w:r w:rsidRPr="00EC75B7">
              <w:rPr>
                <w:rFonts w:ascii="Verdana" w:hAnsi="Verdana"/>
                <w:spacing w:val="-5"/>
                <w:sz w:val="16"/>
                <w:szCs w:val="16"/>
              </w:rPr>
              <w:t xml:space="preserve"> 08</w:t>
            </w:r>
          </w:p>
        </w:tc>
        <w:tc>
          <w:tcPr>
            <w:tcW w:w="4472" w:type="dxa"/>
            <w:vMerge/>
            <w:tcBorders>
              <w:top w:val="nil"/>
            </w:tcBorders>
          </w:tcPr>
          <w:p w14:paraId="13F14E74" w14:textId="77777777" w:rsidR="008715BE" w:rsidRPr="00EC75B7" w:rsidRDefault="008715BE">
            <w:pPr>
              <w:rPr>
                <w:rFonts w:ascii="Verdana" w:hAnsi="Verdana"/>
                <w:sz w:val="16"/>
                <w:szCs w:val="16"/>
              </w:rPr>
            </w:pPr>
          </w:p>
        </w:tc>
      </w:tr>
      <w:tr w:rsidR="008715BE" w:rsidRPr="00EC75B7" w14:paraId="18ADE19E" w14:textId="77777777" w:rsidTr="00C60ED8">
        <w:trPr>
          <w:trHeight w:val="194"/>
        </w:trPr>
        <w:tc>
          <w:tcPr>
            <w:tcW w:w="2190" w:type="dxa"/>
          </w:tcPr>
          <w:p w14:paraId="6C988571" w14:textId="77777777" w:rsidR="008715BE" w:rsidRPr="00EC75B7" w:rsidRDefault="00000000">
            <w:pPr>
              <w:pStyle w:val="TableParagraph"/>
              <w:spacing w:line="174" w:lineRule="exact"/>
              <w:ind w:left="108"/>
              <w:rPr>
                <w:rFonts w:ascii="Verdana" w:hAnsi="Verdana"/>
                <w:sz w:val="16"/>
                <w:szCs w:val="16"/>
              </w:rPr>
            </w:pPr>
            <w:r w:rsidRPr="00EC75B7">
              <w:rPr>
                <w:rFonts w:ascii="Verdana" w:hAnsi="Verdana"/>
                <w:spacing w:val="-2"/>
                <w:sz w:val="16"/>
                <w:szCs w:val="16"/>
              </w:rPr>
              <w:t xml:space="preserve">Electrical </w:t>
            </w:r>
            <w:r w:rsidRPr="00EC75B7">
              <w:rPr>
                <w:rFonts w:ascii="Verdana" w:hAnsi="Verdana"/>
                <w:sz w:val="16"/>
                <w:szCs w:val="16"/>
              </w:rPr>
              <w:t>wires</w:t>
            </w:r>
          </w:p>
        </w:tc>
        <w:tc>
          <w:tcPr>
            <w:tcW w:w="1321" w:type="dxa"/>
          </w:tcPr>
          <w:p w14:paraId="32441E29" w14:textId="77777777" w:rsidR="008715BE" w:rsidRPr="00EC75B7" w:rsidRDefault="00000000">
            <w:pPr>
              <w:pStyle w:val="TableParagraph"/>
              <w:spacing w:line="174" w:lineRule="exact"/>
              <w:ind w:left="12" w:right="3"/>
              <w:jc w:val="center"/>
              <w:rPr>
                <w:rFonts w:ascii="Verdana" w:hAnsi="Verdana"/>
                <w:sz w:val="16"/>
                <w:szCs w:val="16"/>
              </w:rPr>
            </w:pPr>
            <w:r w:rsidRPr="00EC75B7">
              <w:rPr>
                <w:rFonts w:ascii="Verdana" w:hAnsi="Verdana"/>
                <w:spacing w:val="-2"/>
                <w:sz w:val="16"/>
                <w:szCs w:val="16"/>
              </w:rPr>
              <w:t>0.027</w:t>
            </w:r>
          </w:p>
        </w:tc>
        <w:tc>
          <w:tcPr>
            <w:tcW w:w="1019" w:type="dxa"/>
          </w:tcPr>
          <w:p w14:paraId="7A45EA20" w14:textId="77777777" w:rsidR="008715BE" w:rsidRPr="00EC75B7" w:rsidRDefault="00000000">
            <w:pPr>
              <w:pStyle w:val="TableParagraph"/>
              <w:spacing w:line="174" w:lineRule="exact"/>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6733C8A8" w14:textId="77777777" w:rsidR="008715BE" w:rsidRPr="00EC75B7" w:rsidRDefault="00000000">
            <w:pPr>
              <w:pStyle w:val="TableParagraph"/>
              <w:spacing w:line="174" w:lineRule="exact"/>
              <w:ind w:left="6" w:right="1"/>
              <w:jc w:val="center"/>
              <w:rPr>
                <w:rFonts w:ascii="Verdana" w:hAnsi="Verdana"/>
                <w:sz w:val="16"/>
                <w:szCs w:val="16"/>
              </w:rPr>
            </w:pPr>
            <w:r w:rsidRPr="00EC75B7">
              <w:rPr>
                <w:rFonts w:ascii="Verdana" w:hAnsi="Verdana"/>
                <w:sz w:val="16"/>
                <w:szCs w:val="16"/>
              </w:rPr>
              <w:t>17 04</w:t>
            </w:r>
            <w:r w:rsidRPr="00EC75B7">
              <w:rPr>
                <w:rFonts w:ascii="Verdana" w:hAnsi="Verdana"/>
                <w:spacing w:val="-5"/>
                <w:sz w:val="16"/>
                <w:szCs w:val="16"/>
              </w:rPr>
              <w:t xml:space="preserve"> 11</w:t>
            </w:r>
          </w:p>
        </w:tc>
        <w:tc>
          <w:tcPr>
            <w:tcW w:w="4472" w:type="dxa"/>
          </w:tcPr>
          <w:p w14:paraId="48A5B8C3" w14:textId="77777777" w:rsidR="008715BE" w:rsidRPr="00EC75B7" w:rsidRDefault="00000000">
            <w:pPr>
              <w:pStyle w:val="TableParagraph"/>
              <w:spacing w:line="174" w:lineRule="exact"/>
              <w:ind w:left="105"/>
              <w:rPr>
                <w:rFonts w:ascii="Verdana" w:hAnsi="Verdana"/>
                <w:sz w:val="16"/>
                <w:szCs w:val="16"/>
              </w:rPr>
            </w:pPr>
            <w:r w:rsidRPr="00EC75B7">
              <w:rPr>
                <w:rFonts w:ascii="Verdana" w:hAnsi="Verdana"/>
                <w:sz w:val="16"/>
                <w:szCs w:val="16"/>
              </w:rPr>
              <w:t xml:space="preserve">Specially </w:t>
            </w:r>
            <w:r w:rsidRPr="00EC75B7">
              <w:rPr>
                <w:rFonts w:ascii="Verdana" w:hAnsi="Verdana"/>
                <w:spacing w:val="-2"/>
                <w:sz w:val="16"/>
                <w:szCs w:val="16"/>
              </w:rPr>
              <w:t xml:space="preserve">designated </w:t>
            </w:r>
            <w:r w:rsidRPr="00EC75B7">
              <w:rPr>
                <w:rFonts w:ascii="Verdana" w:hAnsi="Verdana"/>
                <w:sz w:val="16"/>
                <w:szCs w:val="16"/>
              </w:rPr>
              <w:t>areas</w:t>
            </w:r>
            <w:r w:rsidRPr="00EC75B7">
              <w:rPr>
                <w:rFonts w:ascii="Verdana" w:hAnsi="Verdana"/>
                <w:spacing w:val="-2"/>
                <w:sz w:val="16"/>
                <w:szCs w:val="16"/>
              </w:rPr>
              <w:t>.</w:t>
            </w:r>
          </w:p>
        </w:tc>
      </w:tr>
      <w:tr w:rsidR="008715BE" w:rsidRPr="00EC75B7" w14:paraId="4983B430" w14:textId="77777777" w:rsidTr="00C60ED8">
        <w:trPr>
          <w:trHeight w:val="390"/>
        </w:trPr>
        <w:tc>
          <w:tcPr>
            <w:tcW w:w="2190" w:type="dxa"/>
          </w:tcPr>
          <w:p w14:paraId="61B51688" w14:textId="77777777" w:rsidR="008715BE" w:rsidRPr="00EC75B7" w:rsidRDefault="00000000">
            <w:pPr>
              <w:pStyle w:val="TableParagraph"/>
              <w:spacing w:before="97"/>
              <w:ind w:left="108"/>
              <w:rPr>
                <w:rFonts w:ascii="Verdana" w:hAnsi="Verdana"/>
                <w:sz w:val="16"/>
                <w:szCs w:val="16"/>
              </w:rPr>
            </w:pPr>
            <w:r w:rsidRPr="00EC75B7">
              <w:rPr>
                <w:rFonts w:ascii="Verdana" w:hAnsi="Verdana"/>
                <w:spacing w:val="-2"/>
                <w:sz w:val="16"/>
                <w:szCs w:val="16"/>
              </w:rPr>
              <w:lastRenderedPageBreak/>
              <w:t xml:space="preserve">Excavated </w:t>
            </w:r>
            <w:r w:rsidRPr="00EC75B7">
              <w:rPr>
                <w:rFonts w:ascii="Verdana" w:hAnsi="Verdana"/>
                <w:sz w:val="16"/>
                <w:szCs w:val="16"/>
              </w:rPr>
              <w:t>material</w:t>
            </w:r>
          </w:p>
        </w:tc>
        <w:tc>
          <w:tcPr>
            <w:tcW w:w="1321" w:type="dxa"/>
          </w:tcPr>
          <w:p w14:paraId="7B2E38B8" w14:textId="77777777" w:rsidR="008715BE" w:rsidRPr="00EC75B7" w:rsidRDefault="00000000">
            <w:pPr>
              <w:pStyle w:val="TableParagraph"/>
              <w:spacing w:before="97"/>
              <w:ind w:left="12" w:right="3"/>
              <w:jc w:val="center"/>
              <w:rPr>
                <w:rFonts w:ascii="Verdana" w:hAnsi="Verdana"/>
                <w:sz w:val="16"/>
                <w:szCs w:val="16"/>
              </w:rPr>
            </w:pPr>
            <w:r w:rsidRPr="00EC75B7">
              <w:rPr>
                <w:rFonts w:ascii="Verdana" w:hAnsi="Verdana"/>
                <w:spacing w:val="-2"/>
                <w:sz w:val="16"/>
                <w:szCs w:val="16"/>
              </w:rPr>
              <w:t>48.53</w:t>
            </w:r>
          </w:p>
        </w:tc>
        <w:tc>
          <w:tcPr>
            <w:tcW w:w="1019" w:type="dxa"/>
          </w:tcPr>
          <w:p w14:paraId="3742D877" w14:textId="77777777" w:rsidR="008715BE" w:rsidRPr="00EC75B7" w:rsidRDefault="00000000">
            <w:pPr>
              <w:pStyle w:val="TableParagraph"/>
              <w:spacing w:before="97"/>
              <w:ind w:left="6" w:right="3"/>
              <w:jc w:val="center"/>
              <w:rPr>
                <w:rFonts w:ascii="Verdana" w:hAnsi="Verdana"/>
                <w:sz w:val="16"/>
                <w:szCs w:val="16"/>
              </w:rPr>
            </w:pPr>
            <w:r w:rsidRPr="00EC75B7">
              <w:rPr>
                <w:rFonts w:ascii="Verdana" w:hAnsi="Verdana"/>
                <w:spacing w:val="-10"/>
                <w:sz w:val="16"/>
                <w:szCs w:val="16"/>
              </w:rPr>
              <w:t>S</w:t>
            </w:r>
          </w:p>
        </w:tc>
        <w:tc>
          <w:tcPr>
            <w:tcW w:w="990" w:type="dxa"/>
          </w:tcPr>
          <w:p w14:paraId="1A771D2E" w14:textId="77777777" w:rsidR="008715BE" w:rsidRPr="00EC75B7" w:rsidRDefault="00000000">
            <w:pPr>
              <w:pStyle w:val="TableParagraph"/>
              <w:spacing w:before="97"/>
              <w:ind w:left="6" w:right="1"/>
              <w:jc w:val="center"/>
              <w:rPr>
                <w:rFonts w:ascii="Verdana" w:hAnsi="Verdana"/>
                <w:sz w:val="16"/>
                <w:szCs w:val="16"/>
              </w:rPr>
            </w:pPr>
            <w:r w:rsidRPr="00EC75B7">
              <w:rPr>
                <w:rFonts w:ascii="Verdana" w:hAnsi="Verdana"/>
                <w:spacing w:val="-5"/>
                <w:sz w:val="16"/>
                <w:szCs w:val="16"/>
              </w:rPr>
              <w:t>1</w:t>
            </w:r>
            <w:r w:rsidRPr="00EC75B7">
              <w:rPr>
                <w:rFonts w:ascii="Verdana" w:hAnsi="Verdana"/>
                <w:sz w:val="16"/>
                <w:szCs w:val="16"/>
              </w:rPr>
              <w:t>7 05</w:t>
            </w:r>
          </w:p>
        </w:tc>
        <w:tc>
          <w:tcPr>
            <w:tcW w:w="4472" w:type="dxa"/>
          </w:tcPr>
          <w:p w14:paraId="3959EA71" w14:textId="6EEC1ABC" w:rsidR="008715BE" w:rsidRPr="00EC75B7" w:rsidRDefault="00000000" w:rsidP="00C60ED8">
            <w:pPr>
              <w:pStyle w:val="TableParagraph"/>
              <w:spacing w:line="194" w:lineRule="exact"/>
              <w:ind w:left="105"/>
              <w:rPr>
                <w:rFonts w:ascii="Verdana" w:hAnsi="Verdana"/>
                <w:sz w:val="16"/>
                <w:szCs w:val="16"/>
              </w:rPr>
            </w:pPr>
            <w:r w:rsidRPr="00EC75B7">
              <w:rPr>
                <w:rFonts w:ascii="Verdana" w:hAnsi="Verdana"/>
                <w:sz w:val="16"/>
                <w:szCs w:val="16"/>
              </w:rPr>
              <w:t xml:space="preserve">Stored in the work front area and </w:t>
            </w:r>
            <w:r w:rsidRPr="00EC75B7">
              <w:rPr>
                <w:rFonts w:ascii="Verdana" w:hAnsi="Verdana"/>
                <w:spacing w:val="-2"/>
                <w:sz w:val="16"/>
                <w:szCs w:val="16"/>
              </w:rPr>
              <w:t>subsequently</w:t>
            </w:r>
            <w:r w:rsidR="00C60ED8" w:rsidRPr="00EC75B7">
              <w:rPr>
                <w:rFonts w:ascii="Verdana" w:hAnsi="Verdana"/>
                <w:sz w:val="16"/>
                <w:szCs w:val="16"/>
              </w:rPr>
              <w:t xml:space="preserve"> </w:t>
            </w:r>
            <w:r w:rsidRPr="00EC75B7">
              <w:rPr>
                <w:rFonts w:ascii="Verdana" w:hAnsi="Verdana"/>
                <w:sz w:val="16"/>
                <w:szCs w:val="16"/>
              </w:rPr>
              <w:t xml:space="preserve">reused as </w:t>
            </w:r>
            <w:r w:rsidRPr="00EC75B7">
              <w:rPr>
                <w:rFonts w:ascii="Verdana" w:hAnsi="Verdana"/>
                <w:spacing w:val="-2"/>
                <w:sz w:val="16"/>
                <w:szCs w:val="16"/>
              </w:rPr>
              <w:t xml:space="preserve">filler </w:t>
            </w:r>
            <w:r w:rsidRPr="00EC75B7">
              <w:rPr>
                <w:rFonts w:ascii="Verdana" w:hAnsi="Verdana"/>
                <w:sz w:val="16"/>
                <w:szCs w:val="16"/>
              </w:rPr>
              <w:t>material</w:t>
            </w:r>
            <w:r w:rsidRPr="00EC75B7">
              <w:rPr>
                <w:rFonts w:ascii="Verdana" w:hAnsi="Verdana"/>
                <w:spacing w:val="-2"/>
                <w:sz w:val="16"/>
                <w:szCs w:val="16"/>
              </w:rPr>
              <w:t>.</w:t>
            </w:r>
          </w:p>
        </w:tc>
      </w:tr>
    </w:tbl>
    <w:p w14:paraId="29DDD905" w14:textId="77777777" w:rsidR="008715BE" w:rsidRPr="00EC75B7" w:rsidRDefault="008715BE">
      <w:pPr>
        <w:pStyle w:val="BodyText"/>
        <w:spacing w:before="13" w:after="1"/>
        <w:rPr>
          <w:rFonts w:ascii="Verdana" w:hAnsi="Verdana"/>
          <w:b/>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468"/>
        <w:gridCol w:w="1043"/>
        <w:gridCol w:w="805"/>
        <w:gridCol w:w="1083"/>
        <w:gridCol w:w="4593"/>
      </w:tblGrid>
      <w:tr w:rsidR="008715BE" w:rsidRPr="00EC75B7" w14:paraId="70201882" w14:textId="77777777">
        <w:trPr>
          <w:trHeight w:val="583"/>
        </w:trPr>
        <w:tc>
          <w:tcPr>
            <w:tcW w:w="2468" w:type="dxa"/>
            <w:shd w:val="clear" w:color="auto" w:fill="00AFEF"/>
          </w:tcPr>
          <w:p w14:paraId="3EDB649E" w14:textId="77777777" w:rsidR="008715BE" w:rsidRPr="00EC75B7" w:rsidRDefault="008715BE">
            <w:pPr>
              <w:pStyle w:val="TableParagraph"/>
              <w:spacing w:before="7"/>
              <w:rPr>
                <w:rFonts w:ascii="Verdana" w:hAnsi="Verdana"/>
                <w:b/>
                <w:sz w:val="16"/>
                <w:szCs w:val="16"/>
              </w:rPr>
            </w:pPr>
          </w:p>
          <w:p w14:paraId="01AFC609" w14:textId="77777777" w:rsidR="008715BE" w:rsidRPr="00EC75B7" w:rsidRDefault="00000000">
            <w:pPr>
              <w:pStyle w:val="TableParagraph"/>
              <w:ind w:left="501"/>
              <w:rPr>
                <w:rFonts w:ascii="Verdana" w:hAnsi="Verdana"/>
                <w:b/>
                <w:sz w:val="16"/>
                <w:szCs w:val="16"/>
              </w:rPr>
            </w:pPr>
            <w:r w:rsidRPr="00EC75B7">
              <w:rPr>
                <w:rFonts w:ascii="Verdana" w:hAnsi="Verdana"/>
                <w:b/>
                <w:color w:val="FFFFFF"/>
                <w:spacing w:val="-2"/>
                <w:sz w:val="16"/>
                <w:szCs w:val="16"/>
              </w:rPr>
              <w:t>Waste name</w:t>
            </w:r>
          </w:p>
        </w:tc>
        <w:tc>
          <w:tcPr>
            <w:tcW w:w="1043" w:type="dxa"/>
            <w:shd w:val="clear" w:color="auto" w:fill="00AFEF"/>
          </w:tcPr>
          <w:p w14:paraId="4F4D096E" w14:textId="77777777" w:rsidR="008715BE" w:rsidRPr="00EC75B7" w:rsidRDefault="00000000">
            <w:pPr>
              <w:pStyle w:val="TableParagraph"/>
              <w:spacing w:before="8" w:line="195" w:lineRule="exact"/>
              <w:ind w:left="12" w:right="7"/>
              <w:jc w:val="center"/>
              <w:rPr>
                <w:rFonts w:ascii="Verdana" w:hAnsi="Verdana"/>
                <w:b/>
                <w:sz w:val="16"/>
                <w:szCs w:val="16"/>
              </w:rPr>
            </w:pPr>
            <w:r w:rsidRPr="00EC75B7">
              <w:rPr>
                <w:rFonts w:ascii="Verdana" w:hAnsi="Verdana"/>
                <w:b/>
                <w:color w:val="FFFFFF"/>
                <w:spacing w:val="-2"/>
                <w:sz w:val="16"/>
                <w:szCs w:val="16"/>
              </w:rPr>
              <w:t>Estimated quantity</w:t>
            </w:r>
          </w:p>
          <w:p w14:paraId="596FA9B6" w14:textId="77777777" w:rsidR="008715BE" w:rsidRPr="00EC75B7" w:rsidRDefault="00000000">
            <w:pPr>
              <w:pStyle w:val="TableParagraph"/>
              <w:spacing w:line="195" w:lineRule="exact"/>
              <w:ind w:left="12" w:right="6"/>
              <w:jc w:val="center"/>
              <w:rPr>
                <w:rFonts w:ascii="Verdana" w:hAnsi="Verdana"/>
                <w:b/>
                <w:sz w:val="16"/>
                <w:szCs w:val="16"/>
              </w:rPr>
            </w:pPr>
            <w:r w:rsidRPr="00EC75B7">
              <w:rPr>
                <w:rFonts w:ascii="Verdana" w:hAnsi="Verdana"/>
                <w:b/>
                <w:color w:val="FFFFFF"/>
                <w:spacing w:val="-2"/>
                <w:sz w:val="16"/>
                <w:szCs w:val="16"/>
              </w:rPr>
              <w:t>(tons)</w:t>
            </w:r>
          </w:p>
          <w:p w14:paraId="2BCE996A" w14:textId="77777777" w:rsidR="008715BE" w:rsidRPr="00EC75B7" w:rsidRDefault="00000000">
            <w:pPr>
              <w:pStyle w:val="TableParagraph"/>
              <w:spacing w:line="165" w:lineRule="exact"/>
              <w:ind w:left="12" w:right="2"/>
              <w:jc w:val="center"/>
              <w:rPr>
                <w:rFonts w:ascii="Verdana" w:hAnsi="Verdana"/>
                <w:b/>
                <w:sz w:val="16"/>
                <w:szCs w:val="16"/>
              </w:rPr>
            </w:pPr>
            <w:r w:rsidRPr="00EC75B7">
              <w:rPr>
                <w:rFonts w:ascii="Verdana" w:hAnsi="Verdana"/>
                <w:b/>
                <w:color w:val="FFFFFF"/>
                <w:spacing w:val="-2"/>
                <w:sz w:val="16"/>
                <w:szCs w:val="16"/>
              </w:rPr>
              <w:t>(tons)</w:t>
            </w:r>
          </w:p>
        </w:tc>
        <w:tc>
          <w:tcPr>
            <w:tcW w:w="805" w:type="dxa"/>
            <w:shd w:val="clear" w:color="auto" w:fill="00AFEF"/>
          </w:tcPr>
          <w:p w14:paraId="2FE0395F" w14:textId="77777777" w:rsidR="008715BE" w:rsidRPr="00EC75B7" w:rsidRDefault="00000000">
            <w:pPr>
              <w:pStyle w:val="TableParagraph"/>
              <w:spacing w:before="106" w:line="195" w:lineRule="exact"/>
              <w:ind w:left="106"/>
              <w:rPr>
                <w:rFonts w:ascii="Verdana" w:hAnsi="Verdana"/>
                <w:b/>
                <w:sz w:val="16"/>
                <w:szCs w:val="16"/>
              </w:rPr>
            </w:pPr>
            <w:r w:rsidRPr="00EC75B7">
              <w:rPr>
                <w:rFonts w:ascii="Verdana" w:hAnsi="Verdana"/>
                <w:b/>
                <w:color w:val="FFFFFF"/>
                <w:spacing w:val="-2"/>
                <w:sz w:val="16"/>
                <w:szCs w:val="16"/>
              </w:rPr>
              <w:t>Physical</w:t>
            </w:r>
          </w:p>
          <w:p w14:paraId="4805BE63" w14:textId="77777777" w:rsidR="008715BE" w:rsidRPr="00EC75B7" w:rsidRDefault="00000000">
            <w:pPr>
              <w:pStyle w:val="TableParagraph"/>
              <w:spacing w:line="195" w:lineRule="exact"/>
              <w:ind w:left="164"/>
              <w:rPr>
                <w:rFonts w:ascii="Verdana" w:hAnsi="Verdana"/>
                <w:b/>
                <w:sz w:val="16"/>
                <w:szCs w:val="16"/>
              </w:rPr>
            </w:pPr>
            <w:r w:rsidRPr="00EC75B7">
              <w:rPr>
                <w:rFonts w:ascii="Verdana" w:hAnsi="Verdana"/>
                <w:b/>
                <w:color w:val="FFFFFF"/>
                <w:spacing w:val="-2"/>
                <w:sz w:val="16"/>
                <w:szCs w:val="16"/>
              </w:rPr>
              <w:t>Physical</w:t>
            </w:r>
          </w:p>
        </w:tc>
        <w:tc>
          <w:tcPr>
            <w:tcW w:w="1083" w:type="dxa"/>
            <w:shd w:val="clear" w:color="auto" w:fill="00AFEF"/>
          </w:tcPr>
          <w:p w14:paraId="1F65C3BE" w14:textId="77777777" w:rsidR="008715BE" w:rsidRPr="00EC75B7" w:rsidRDefault="00000000">
            <w:pPr>
              <w:pStyle w:val="TableParagraph"/>
              <w:spacing w:before="106" w:line="195" w:lineRule="exact"/>
              <w:ind w:left="6"/>
              <w:jc w:val="center"/>
              <w:rPr>
                <w:rFonts w:ascii="Verdana" w:hAnsi="Verdana"/>
                <w:b/>
                <w:sz w:val="16"/>
                <w:szCs w:val="16"/>
              </w:rPr>
            </w:pPr>
            <w:r w:rsidRPr="00EC75B7">
              <w:rPr>
                <w:rFonts w:ascii="Verdana" w:hAnsi="Verdana"/>
                <w:b/>
                <w:color w:val="FFFFFF"/>
                <w:spacing w:val="-5"/>
                <w:sz w:val="16"/>
                <w:szCs w:val="16"/>
              </w:rPr>
              <w:t>Waste</w:t>
            </w:r>
          </w:p>
          <w:p w14:paraId="1E131975" w14:textId="77777777" w:rsidR="008715BE" w:rsidRPr="00EC75B7" w:rsidRDefault="00000000">
            <w:pPr>
              <w:pStyle w:val="TableParagraph"/>
              <w:spacing w:line="195" w:lineRule="exact"/>
              <w:ind w:left="6" w:right="3"/>
              <w:jc w:val="center"/>
              <w:rPr>
                <w:rFonts w:ascii="Verdana" w:hAnsi="Verdana"/>
                <w:b/>
                <w:sz w:val="16"/>
                <w:szCs w:val="16"/>
              </w:rPr>
            </w:pPr>
            <w:r w:rsidRPr="00EC75B7">
              <w:rPr>
                <w:rFonts w:ascii="Verdana" w:hAnsi="Verdana"/>
                <w:b/>
                <w:color w:val="FFFFFF"/>
                <w:spacing w:val="-2"/>
                <w:sz w:val="16"/>
                <w:szCs w:val="16"/>
              </w:rPr>
              <w:t>waste</w:t>
            </w:r>
          </w:p>
        </w:tc>
        <w:tc>
          <w:tcPr>
            <w:tcW w:w="4593" w:type="dxa"/>
            <w:shd w:val="clear" w:color="auto" w:fill="00AFEF"/>
          </w:tcPr>
          <w:p w14:paraId="5DC45147" w14:textId="77777777" w:rsidR="008715BE" w:rsidRPr="00EC75B7" w:rsidRDefault="008715BE">
            <w:pPr>
              <w:pStyle w:val="TableParagraph"/>
              <w:spacing w:before="7"/>
              <w:rPr>
                <w:rFonts w:ascii="Verdana" w:hAnsi="Verdana"/>
                <w:b/>
                <w:sz w:val="16"/>
                <w:szCs w:val="16"/>
              </w:rPr>
            </w:pPr>
          </w:p>
          <w:p w14:paraId="4F6EFE56" w14:textId="77777777" w:rsidR="008715BE" w:rsidRPr="00EC75B7" w:rsidRDefault="00000000">
            <w:pPr>
              <w:pStyle w:val="TableParagraph"/>
              <w:ind w:left="1377"/>
              <w:rPr>
                <w:rFonts w:ascii="Verdana" w:hAnsi="Verdana"/>
                <w:b/>
                <w:sz w:val="16"/>
                <w:szCs w:val="16"/>
              </w:rPr>
            </w:pPr>
            <w:r w:rsidRPr="00EC75B7">
              <w:rPr>
                <w:rFonts w:ascii="Verdana" w:hAnsi="Verdana"/>
                <w:b/>
                <w:color w:val="FFFFFF"/>
                <w:spacing w:val="-2"/>
                <w:sz w:val="16"/>
                <w:szCs w:val="16"/>
              </w:rPr>
              <w:t xml:space="preserve">Management </w:t>
            </w:r>
            <w:r w:rsidRPr="00EC75B7">
              <w:rPr>
                <w:rFonts w:ascii="Verdana" w:hAnsi="Verdana"/>
                <w:b/>
                <w:color w:val="FFFFFF"/>
                <w:sz w:val="16"/>
                <w:szCs w:val="16"/>
              </w:rPr>
              <w:t>method</w:t>
            </w:r>
          </w:p>
        </w:tc>
      </w:tr>
      <w:tr w:rsidR="008715BE" w:rsidRPr="00EC75B7" w14:paraId="0C1307A9" w14:textId="77777777">
        <w:trPr>
          <w:trHeight w:val="777"/>
        </w:trPr>
        <w:tc>
          <w:tcPr>
            <w:tcW w:w="2468" w:type="dxa"/>
          </w:tcPr>
          <w:p w14:paraId="1A592951" w14:textId="77777777" w:rsidR="008715BE" w:rsidRPr="00EC75B7" w:rsidRDefault="00000000">
            <w:pPr>
              <w:pStyle w:val="TableParagraph"/>
              <w:spacing w:before="106"/>
              <w:ind w:left="108" w:right="145"/>
              <w:rPr>
                <w:rFonts w:ascii="Verdana" w:hAnsi="Verdana"/>
                <w:sz w:val="16"/>
                <w:szCs w:val="16"/>
              </w:rPr>
            </w:pPr>
            <w:r w:rsidRPr="00EC75B7">
              <w:rPr>
                <w:rFonts w:ascii="Verdana" w:hAnsi="Verdana"/>
                <w:sz w:val="16"/>
                <w:szCs w:val="16"/>
              </w:rPr>
              <w:t>Packaging containing residues/contaminated with hazardous substances</w:t>
            </w:r>
          </w:p>
        </w:tc>
        <w:tc>
          <w:tcPr>
            <w:tcW w:w="1043" w:type="dxa"/>
          </w:tcPr>
          <w:p w14:paraId="6992C617" w14:textId="77777777" w:rsidR="008715BE" w:rsidRPr="00EC75B7" w:rsidRDefault="008715BE">
            <w:pPr>
              <w:pStyle w:val="TableParagraph"/>
              <w:spacing w:before="105"/>
              <w:rPr>
                <w:rFonts w:ascii="Verdana" w:hAnsi="Verdana"/>
                <w:b/>
                <w:sz w:val="16"/>
                <w:szCs w:val="16"/>
              </w:rPr>
            </w:pPr>
          </w:p>
          <w:p w14:paraId="3EC64D00"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0.77</w:t>
            </w:r>
          </w:p>
        </w:tc>
        <w:tc>
          <w:tcPr>
            <w:tcW w:w="805" w:type="dxa"/>
          </w:tcPr>
          <w:p w14:paraId="5884E160" w14:textId="77777777" w:rsidR="008715BE" w:rsidRPr="00EC75B7" w:rsidRDefault="008715BE">
            <w:pPr>
              <w:pStyle w:val="TableParagraph"/>
              <w:spacing w:before="105"/>
              <w:rPr>
                <w:rFonts w:ascii="Verdana" w:hAnsi="Verdana"/>
                <w:b/>
                <w:sz w:val="16"/>
                <w:szCs w:val="16"/>
              </w:rPr>
            </w:pPr>
          </w:p>
          <w:p w14:paraId="7CC6FAAF"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788C1178" w14:textId="77777777" w:rsidR="008715BE" w:rsidRPr="00EC75B7" w:rsidRDefault="008715BE">
            <w:pPr>
              <w:pStyle w:val="TableParagraph"/>
              <w:spacing w:before="105"/>
              <w:rPr>
                <w:rFonts w:ascii="Verdana" w:hAnsi="Verdana"/>
                <w:b/>
                <w:sz w:val="16"/>
                <w:szCs w:val="16"/>
              </w:rPr>
            </w:pPr>
          </w:p>
          <w:p w14:paraId="30871936"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15 01</w:t>
            </w:r>
            <w:r w:rsidRPr="00EC75B7">
              <w:rPr>
                <w:rFonts w:ascii="Verdana" w:hAnsi="Verdana"/>
                <w:spacing w:val="-5"/>
                <w:sz w:val="16"/>
                <w:szCs w:val="16"/>
              </w:rPr>
              <w:t xml:space="preserve"> 10</w:t>
            </w:r>
          </w:p>
        </w:tc>
        <w:tc>
          <w:tcPr>
            <w:tcW w:w="4593" w:type="dxa"/>
          </w:tcPr>
          <w:p w14:paraId="49DF06C1" w14:textId="77777777" w:rsidR="008715BE" w:rsidRPr="00EC75B7" w:rsidRDefault="00000000">
            <w:pPr>
              <w:pStyle w:val="TableParagraph"/>
              <w:spacing w:line="194" w:lineRule="exact"/>
              <w:ind w:left="105" w:right="246"/>
              <w:rPr>
                <w:rFonts w:ascii="Verdana" w:hAnsi="Verdana"/>
                <w:sz w:val="16"/>
                <w:szCs w:val="16"/>
              </w:rPr>
            </w:pPr>
            <w:r w:rsidRPr="00EC75B7">
              <w:rPr>
                <w:rFonts w:ascii="Verdana" w:hAnsi="Verdana"/>
                <w:sz w:val="16"/>
                <w:szCs w:val="16"/>
              </w:rPr>
              <w:t>It will be collected and stored separately, for transport to disposal facilities by authorized operators. An exception is packaging that is returned to the manufacturer (e.g., IBCs).</w:t>
            </w:r>
          </w:p>
        </w:tc>
      </w:tr>
      <w:tr w:rsidR="008715BE" w:rsidRPr="00EC75B7" w14:paraId="365C3C0F" w14:textId="77777777">
        <w:trPr>
          <w:trHeight w:val="779"/>
        </w:trPr>
        <w:tc>
          <w:tcPr>
            <w:tcW w:w="2468" w:type="dxa"/>
          </w:tcPr>
          <w:p w14:paraId="5119A74D" w14:textId="77777777" w:rsidR="008715BE" w:rsidRPr="00EC75B7" w:rsidRDefault="008715BE">
            <w:pPr>
              <w:pStyle w:val="TableParagraph"/>
              <w:spacing w:before="9"/>
              <w:rPr>
                <w:rFonts w:ascii="Verdana" w:hAnsi="Verdana"/>
                <w:b/>
                <w:sz w:val="16"/>
                <w:szCs w:val="16"/>
              </w:rPr>
            </w:pPr>
          </w:p>
          <w:p w14:paraId="603404B2" w14:textId="77777777" w:rsidR="008715BE" w:rsidRPr="00EC75B7" w:rsidRDefault="00000000">
            <w:pPr>
              <w:pStyle w:val="TableParagraph"/>
              <w:ind w:left="108"/>
              <w:rPr>
                <w:rFonts w:ascii="Verdana" w:hAnsi="Verdana"/>
                <w:sz w:val="16"/>
                <w:szCs w:val="16"/>
              </w:rPr>
            </w:pPr>
            <w:r w:rsidRPr="00EC75B7">
              <w:rPr>
                <w:rFonts w:ascii="Verdana" w:hAnsi="Verdana"/>
                <w:sz w:val="16"/>
                <w:szCs w:val="16"/>
              </w:rPr>
              <w:t>Waste oils (</w:t>
            </w:r>
            <w:r w:rsidRPr="00EC75B7">
              <w:rPr>
                <w:rFonts w:ascii="Verdana" w:hAnsi="Verdana"/>
                <w:spacing w:val="-2"/>
                <w:sz w:val="16"/>
                <w:szCs w:val="16"/>
              </w:rPr>
              <w:t xml:space="preserve">engine/transmission/lubricating </w:t>
            </w:r>
            <w:r w:rsidRPr="00EC75B7">
              <w:rPr>
                <w:rFonts w:ascii="Verdana" w:hAnsi="Verdana"/>
                <w:sz w:val="16"/>
                <w:szCs w:val="16"/>
              </w:rPr>
              <w:t>oils</w:t>
            </w:r>
            <w:r w:rsidRPr="00EC75B7">
              <w:rPr>
                <w:rFonts w:ascii="Verdana" w:hAnsi="Verdana"/>
                <w:spacing w:val="-2"/>
                <w:sz w:val="16"/>
                <w:szCs w:val="16"/>
              </w:rPr>
              <w:t>)</w:t>
            </w:r>
          </w:p>
        </w:tc>
        <w:tc>
          <w:tcPr>
            <w:tcW w:w="1043" w:type="dxa"/>
          </w:tcPr>
          <w:p w14:paraId="46A504B1" w14:textId="77777777" w:rsidR="008715BE" w:rsidRPr="00EC75B7" w:rsidRDefault="008715BE">
            <w:pPr>
              <w:pStyle w:val="TableParagraph"/>
              <w:spacing w:before="105"/>
              <w:rPr>
                <w:rFonts w:ascii="Verdana" w:hAnsi="Verdana"/>
                <w:b/>
                <w:sz w:val="16"/>
                <w:szCs w:val="16"/>
              </w:rPr>
            </w:pPr>
          </w:p>
          <w:p w14:paraId="43B1E6F2"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1.30</w:t>
            </w:r>
          </w:p>
        </w:tc>
        <w:tc>
          <w:tcPr>
            <w:tcW w:w="805" w:type="dxa"/>
          </w:tcPr>
          <w:p w14:paraId="1AF5BA4B" w14:textId="77777777" w:rsidR="008715BE" w:rsidRPr="00EC75B7" w:rsidRDefault="008715BE">
            <w:pPr>
              <w:pStyle w:val="TableParagraph"/>
              <w:spacing w:before="105"/>
              <w:rPr>
                <w:rFonts w:ascii="Verdana" w:hAnsi="Verdana"/>
                <w:b/>
                <w:sz w:val="16"/>
                <w:szCs w:val="16"/>
              </w:rPr>
            </w:pPr>
          </w:p>
          <w:p w14:paraId="5FF883B2" w14:textId="77777777" w:rsidR="008715BE" w:rsidRPr="00EC75B7" w:rsidRDefault="00000000">
            <w:pPr>
              <w:pStyle w:val="TableParagraph"/>
              <w:ind w:left="6"/>
              <w:jc w:val="center"/>
              <w:rPr>
                <w:rFonts w:ascii="Verdana" w:hAnsi="Verdana"/>
                <w:sz w:val="16"/>
                <w:szCs w:val="16"/>
              </w:rPr>
            </w:pPr>
            <w:r w:rsidRPr="00EC75B7">
              <w:rPr>
                <w:rFonts w:ascii="Verdana" w:hAnsi="Verdana"/>
                <w:spacing w:val="-10"/>
                <w:sz w:val="16"/>
                <w:szCs w:val="16"/>
              </w:rPr>
              <w:t>L</w:t>
            </w:r>
          </w:p>
        </w:tc>
        <w:tc>
          <w:tcPr>
            <w:tcW w:w="1083" w:type="dxa"/>
          </w:tcPr>
          <w:p w14:paraId="5BE12332" w14:textId="77777777" w:rsidR="008715BE" w:rsidRPr="00EC75B7" w:rsidRDefault="008715BE">
            <w:pPr>
              <w:pStyle w:val="TableParagraph"/>
              <w:spacing w:before="105"/>
              <w:rPr>
                <w:rFonts w:ascii="Verdana" w:hAnsi="Verdana"/>
                <w:b/>
                <w:sz w:val="16"/>
                <w:szCs w:val="16"/>
              </w:rPr>
            </w:pPr>
          </w:p>
          <w:p w14:paraId="671025B4"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13 02</w:t>
            </w:r>
            <w:r w:rsidRPr="00EC75B7">
              <w:rPr>
                <w:rFonts w:ascii="Verdana" w:hAnsi="Verdana"/>
                <w:spacing w:val="-5"/>
                <w:sz w:val="16"/>
                <w:szCs w:val="16"/>
              </w:rPr>
              <w:t xml:space="preserve"> 08</w:t>
            </w:r>
          </w:p>
        </w:tc>
        <w:tc>
          <w:tcPr>
            <w:tcW w:w="4593" w:type="dxa"/>
          </w:tcPr>
          <w:p w14:paraId="718363D9" w14:textId="77777777" w:rsidR="008715BE" w:rsidRPr="00EC75B7" w:rsidRDefault="00000000">
            <w:pPr>
              <w:pStyle w:val="TableParagraph"/>
              <w:spacing w:before="8"/>
              <w:ind w:left="105" w:right="246"/>
              <w:rPr>
                <w:rFonts w:ascii="Verdana" w:hAnsi="Verdana"/>
                <w:sz w:val="16"/>
                <w:szCs w:val="16"/>
              </w:rPr>
            </w:pPr>
            <w:r w:rsidRPr="00EC75B7">
              <w:rPr>
                <w:rFonts w:ascii="Verdana" w:hAnsi="Verdana"/>
                <w:sz w:val="16"/>
                <w:szCs w:val="16"/>
              </w:rPr>
              <w:t>They will be collected in closed, labeled containers and stored in a closed area with a concrete platform. They will be handed over to authorized units</w:t>
            </w:r>
          </w:p>
          <w:p w14:paraId="589A6687" w14:textId="77777777" w:rsidR="008715BE" w:rsidRPr="00EC75B7" w:rsidRDefault="00000000">
            <w:pPr>
              <w:pStyle w:val="TableParagraph"/>
              <w:spacing w:line="165" w:lineRule="exact"/>
              <w:ind w:left="105"/>
              <w:rPr>
                <w:rFonts w:ascii="Verdana" w:hAnsi="Verdana"/>
                <w:sz w:val="16"/>
                <w:szCs w:val="16"/>
              </w:rPr>
            </w:pPr>
            <w:r w:rsidRPr="00EC75B7">
              <w:rPr>
                <w:rFonts w:ascii="Verdana" w:hAnsi="Verdana"/>
                <w:sz w:val="16"/>
                <w:szCs w:val="16"/>
              </w:rPr>
              <w:t xml:space="preserve">authorized for collection and </w:t>
            </w:r>
            <w:r w:rsidRPr="00EC75B7">
              <w:rPr>
                <w:rFonts w:ascii="Verdana" w:hAnsi="Verdana"/>
                <w:spacing w:val="-2"/>
                <w:sz w:val="16"/>
                <w:szCs w:val="16"/>
              </w:rPr>
              <w:t>recovery.</w:t>
            </w:r>
          </w:p>
        </w:tc>
      </w:tr>
      <w:tr w:rsidR="008715BE" w:rsidRPr="00EC75B7" w14:paraId="586B41CC" w14:textId="77777777">
        <w:trPr>
          <w:trHeight w:val="582"/>
        </w:trPr>
        <w:tc>
          <w:tcPr>
            <w:tcW w:w="2468" w:type="dxa"/>
          </w:tcPr>
          <w:p w14:paraId="0B78DE53" w14:textId="77777777" w:rsidR="008715BE" w:rsidRPr="00EC75B7" w:rsidRDefault="008715BE">
            <w:pPr>
              <w:pStyle w:val="TableParagraph"/>
              <w:spacing w:before="7"/>
              <w:rPr>
                <w:rFonts w:ascii="Verdana" w:hAnsi="Verdana"/>
                <w:b/>
                <w:sz w:val="16"/>
                <w:szCs w:val="16"/>
              </w:rPr>
            </w:pPr>
          </w:p>
          <w:p w14:paraId="36F5C595" w14:textId="77777777" w:rsidR="008715BE" w:rsidRPr="00EC75B7" w:rsidRDefault="00000000">
            <w:pPr>
              <w:pStyle w:val="TableParagraph"/>
              <w:ind w:left="108"/>
              <w:rPr>
                <w:rFonts w:ascii="Verdana" w:hAnsi="Verdana"/>
                <w:sz w:val="16"/>
                <w:szCs w:val="16"/>
              </w:rPr>
            </w:pPr>
            <w:r w:rsidRPr="00EC75B7">
              <w:rPr>
                <w:rFonts w:ascii="Verdana" w:hAnsi="Verdana"/>
                <w:spacing w:val="-4"/>
                <w:sz w:val="16"/>
                <w:szCs w:val="16"/>
              </w:rPr>
              <w:t xml:space="preserve">Oil </w:t>
            </w:r>
            <w:r w:rsidRPr="00EC75B7">
              <w:rPr>
                <w:rFonts w:ascii="Verdana" w:hAnsi="Verdana"/>
                <w:sz w:val="16"/>
                <w:szCs w:val="16"/>
              </w:rPr>
              <w:t>filters</w:t>
            </w:r>
          </w:p>
        </w:tc>
        <w:tc>
          <w:tcPr>
            <w:tcW w:w="1043" w:type="dxa"/>
          </w:tcPr>
          <w:p w14:paraId="0DA9BE26" w14:textId="77777777" w:rsidR="008715BE" w:rsidRPr="00EC75B7" w:rsidRDefault="008715BE">
            <w:pPr>
              <w:pStyle w:val="TableParagraph"/>
              <w:spacing w:before="7"/>
              <w:rPr>
                <w:rFonts w:ascii="Verdana" w:hAnsi="Verdana"/>
                <w:b/>
                <w:sz w:val="16"/>
                <w:szCs w:val="16"/>
              </w:rPr>
            </w:pPr>
          </w:p>
          <w:p w14:paraId="43F06330"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0.15</w:t>
            </w:r>
          </w:p>
        </w:tc>
        <w:tc>
          <w:tcPr>
            <w:tcW w:w="805" w:type="dxa"/>
          </w:tcPr>
          <w:p w14:paraId="781A08CB" w14:textId="77777777" w:rsidR="008715BE" w:rsidRPr="00EC75B7" w:rsidRDefault="008715BE">
            <w:pPr>
              <w:pStyle w:val="TableParagraph"/>
              <w:spacing w:before="7"/>
              <w:rPr>
                <w:rFonts w:ascii="Verdana" w:hAnsi="Verdana"/>
                <w:b/>
                <w:sz w:val="16"/>
                <w:szCs w:val="16"/>
              </w:rPr>
            </w:pPr>
          </w:p>
          <w:p w14:paraId="19D04437"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65D5BE2E" w14:textId="77777777" w:rsidR="008715BE" w:rsidRPr="00EC75B7" w:rsidRDefault="008715BE">
            <w:pPr>
              <w:pStyle w:val="TableParagraph"/>
              <w:spacing w:before="7"/>
              <w:rPr>
                <w:rFonts w:ascii="Verdana" w:hAnsi="Verdana"/>
                <w:b/>
                <w:sz w:val="16"/>
                <w:szCs w:val="16"/>
              </w:rPr>
            </w:pPr>
          </w:p>
          <w:p w14:paraId="53EDE07F"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16 01</w:t>
            </w:r>
            <w:r w:rsidRPr="00EC75B7">
              <w:rPr>
                <w:rFonts w:ascii="Verdana" w:hAnsi="Verdana"/>
                <w:spacing w:val="-5"/>
                <w:sz w:val="16"/>
                <w:szCs w:val="16"/>
              </w:rPr>
              <w:t xml:space="preserve"> 07</w:t>
            </w:r>
          </w:p>
        </w:tc>
        <w:tc>
          <w:tcPr>
            <w:tcW w:w="4593" w:type="dxa"/>
          </w:tcPr>
          <w:p w14:paraId="67CA56A7" w14:textId="77777777" w:rsidR="008715BE" w:rsidRPr="00EC75B7" w:rsidRDefault="00000000">
            <w:pPr>
              <w:pStyle w:val="TableParagraph"/>
              <w:spacing w:line="194" w:lineRule="exact"/>
              <w:ind w:left="105" w:right="580"/>
              <w:jc w:val="both"/>
              <w:rPr>
                <w:rFonts w:ascii="Verdana" w:hAnsi="Verdana"/>
                <w:sz w:val="16"/>
                <w:szCs w:val="16"/>
              </w:rPr>
            </w:pPr>
            <w:r w:rsidRPr="00EC75B7">
              <w:rPr>
                <w:rFonts w:ascii="Verdana" w:hAnsi="Verdana"/>
                <w:sz w:val="16"/>
                <w:szCs w:val="16"/>
              </w:rPr>
              <w:t>They will be collected in sealed bags/metal containers, stored in specially designated areas, and handed over to authorized operators for disposal.</w:t>
            </w:r>
          </w:p>
        </w:tc>
      </w:tr>
      <w:tr w:rsidR="008715BE" w:rsidRPr="00EC75B7" w14:paraId="3BCA2BB1" w14:textId="77777777">
        <w:trPr>
          <w:trHeight w:val="388"/>
        </w:trPr>
        <w:tc>
          <w:tcPr>
            <w:tcW w:w="2468" w:type="dxa"/>
          </w:tcPr>
          <w:p w14:paraId="25C815FD" w14:textId="77777777" w:rsidR="008715BE" w:rsidRPr="00EC75B7" w:rsidRDefault="00000000">
            <w:pPr>
              <w:pStyle w:val="TableParagraph"/>
              <w:spacing w:before="104"/>
              <w:ind w:left="108"/>
              <w:rPr>
                <w:rFonts w:ascii="Verdana" w:hAnsi="Verdana"/>
                <w:sz w:val="16"/>
                <w:szCs w:val="16"/>
              </w:rPr>
            </w:pPr>
            <w:r w:rsidRPr="00EC75B7">
              <w:rPr>
                <w:rFonts w:ascii="Verdana" w:hAnsi="Verdana"/>
                <w:spacing w:val="-2"/>
                <w:sz w:val="16"/>
                <w:szCs w:val="16"/>
              </w:rPr>
              <w:t xml:space="preserve">Worn </w:t>
            </w:r>
            <w:r w:rsidRPr="00EC75B7">
              <w:rPr>
                <w:rFonts w:ascii="Verdana" w:hAnsi="Verdana"/>
                <w:sz w:val="16"/>
                <w:szCs w:val="16"/>
              </w:rPr>
              <w:t>tires</w:t>
            </w:r>
          </w:p>
        </w:tc>
        <w:tc>
          <w:tcPr>
            <w:tcW w:w="1043" w:type="dxa"/>
          </w:tcPr>
          <w:p w14:paraId="08004D73" w14:textId="77777777" w:rsidR="008715BE" w:rsidRPr="00EC75B7" w:rsidRDefault="00000000">
            <w:pPr>
              <w:pStyle w:val="TableParagraph"/>
              <w:spacing w:before="104"/>
              <w:ind w:left="12"/>
              <w:jc w:val="center"/>
              <w:rPr>
                <w:rFonts w:ascii="Verdana" w:hAnsi="Verdana"/>
                <w:sz w:val="16"/>
                <w:szCs w:val="16"/>
              </w:rPr>
            </w:pPr>
            <w:r w:rsidRPr="00EC75B7">
              <w:rPr>
                <w:rFonts w:ascii="Verdana" w:hAnsi="Verdana"/>
                <w:spacing w:val="-4"/>
                <w:sz w:val="16"/>
                <w:szCs w:val="16"/>
              </w:rPr>
              <w:t>0.77</w:t>
            </w:r>
          </w:p>
        </w:tc>
        <w:tc>
          <w:tcPr>
            <w:tcW w:w="805" w:type="dxa"/>
          </w:tcPr>
          <w:p w14:paraId="0EA7F3A5" w14:textId="77777777" w:rsidR="008715BE" w:rsidRPr="00EC75B7" w:rsidRDefault="00000000">
            <w:pPr>
              <w:pStyle w:val="TableParagraph"/>
              <w:spacing w:before="104"/>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5C3AC3A0" w14:textId="77777777" w:rsidR="008715BE" w:rsidRPr="00EC75B7" w:rsidRDefault="00000000">
            <w:pPr>
              <w:pStyle w:val="TableParagraph"/>
              <w:spacing w:before="104"/>
              <w:ind w:left="6" w:right="1"/>
              <w:jc w:val="center"/>
              <w:rPr>
                <w:rFonts w:ascii="Verdana" w:hAnsi="Verdana"/>
                <w:sz w:val="16"/>
                <w:szCs w:val="16"/>
              </w:rPr>
            </w:pPr>
            <w:r w:rsidRPr="00EC75B7">
              <w:rPr>
                <w:rFonts w:ascii="Verdana" w:hAnsi="Verdana"/>
                <w:sz w:val="16"/>
                <w:szCs w:val="16"/>
              </w:rPr>
              <w:t>16 01</w:t>
            </w:r>
            <w:r w:rsidRPr="00EC75B7">
              <w:rPr>
                <w:rFonts w:ascii="Verdana" w:hAnsi="Verdana"/>
                <w:spacing w:val="-5"/>
                <w:sz w:val="16"/>
                <w:szCs w:val="16"/>
              </w:rPr>
              <w:t xml:space="preserve"> 03</w:t>
            </w:r>
          </w:p>
        </w:tc>
        <w:tc>
          <w:tcPr>
            <w:tcW w:w="4593" w:type="dxa"/>
          </w:tcPr>
          <w:p w14:paraId="556FC44A" w14:textId="77777777" w:rsidR="008715BE" w:rsidRPr="00EC75B7" w:rsidRDefault="00000000">
            <w:pPr>
              <w:pStyle w:val="TableParagraph"/>
              <w:spacing w:line="194" w:lineRule="exact"/>
              <w:ind w:left="105" w:right="175"/>
              <w:rPr>
                <w:rFonts w:ascii="Verdana" w:hAnsi="Verdana"/>
                <w:sz w:val="16"/>
                <w:szCs w:val="16"/>
              </w:rPr>
            </w:pPr>
            <w:r w:rsidRPr="00EC75B7">
              <w:rPr>
                <w:rFonts w:ascii="Verdana" w:hAnsi="Verdana"/>
                <w:sz w:val="16"/>
                <w:szCs w:val="16"/>
              </w:rPr>
              <w:t>They will be collected on concrete platforms on construction sites and handed over to authorized units.</w:t>
            </w:r>
          </w:p>
        </w:tc>
      </w:tr>
      <w:tr w:rsidR="008715BE" w:rsidRPr="00EC75B7" w14:paraId="7114F66F" w14:textId="77777777">
        <w:trPr>
          <w:trHeight w:val="577"/>
        </w:trPr>
        <w:tc>
          <w:tcPr>
            <w:tcW w:w="2468" w:type="dxa"/>
          </w:tcPr>
          <w:p w14:paraId="55FAF2DA" w14:textId="77777777" w:rsidR="008715BE" w:rsidRPr="00EC75B7" w:rsidRDefault="008715BE">
            <w:pPr>
              <w:pStyle w:val="TableParagraph"/>
              <w:spacing w:before="7"/>
              <w:rPr>
                <w:rFonts w:ascii="Verdana" w:hAnsi="Verdana"/>
                <w:b/>
                <w:sz w:val="16"/>
                <w:szCs w:val="16"/>
              </w:rPr>
            </w:pPr>
          </w:p>
          <w:p w14:paraId="17436EF6" w14:textId="77777777" w:rsidR="008715BE" w:rsidRPr="00EC75B7" w:rsidRDefault="00000000">
            <w:pPr>
              <w:pStyle w:val="TableParagraph"/>
              <w:ind w:left="108"/>
              <w:rPr>
                <w:rFonts w:ascii="Verdana" w:hAnsi="Verdana"/>
                <w:sz w:val="16"/>
                <w:szCs w:val="16"/>
              </w:rPr>
            </w:pPr>
            <w:r w:rsidRPr="00EC75B7">
              <w:rPr>
                <w:rFonts w:ascii="Verdana" w:hAnsi="Verdana"/>
                <w:sz w:val="16"/>
                <w:szCs w:val="16"/>
              </w:rPr>
              <w:t xml:space="preserve">Batteries and </w:t>
            </w:r>
            <w:r w:rsidRPr="00EC75B7">
              <w:rPr>
                <w:rFonts w:ascii="Verdana" w:hAnsi="Verdana"/>
                <w:spacing w:val="-2"/>
                <w:sz w:val="16"/>
                <w:szCs w:val="16"/>
              </w:rPr>
              <w:t>accumulators</w:t>
            </w:r>
          </w:p>
        </w:tc>
        <w:tc>
          <w:tcPr>
            <w:tcW w:w="1043" w:type="dxa"/>
          </w:tcPr>
          <w:p w14:paraId="11049E13" w14:textId="77777777" w:rsidR="008715BE" w:rsidRPr="00EC75B7" w:rsidRDefault="008715BE">
            <w:pPr>
              <w:pStyle w:val="TableParagraph"/>
              <w:spacing w:before="7"/>
              <w:rPr>
                <w:rFonts w:ascii="Verdana" w:hAnsi="Verdana"/>
                <w:b/>
                <w:sz w:val="16"/>
                <w:szCs w:val="16"/>
              </w:rPr>
            </w:pPr>
          </w:p>
          <w:p w14:paraId="7930F60C"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0.50</w:t>
            </w:r>
          </w:p>
        </w:tc>
        <w:tc>
          <w:tcPr>
            <w:tcW w:w="805" w:type="dxa"/>
          </w:tcPr>
          <w:p w14:paraId="665C1E92" w14:textId="77777777" w:rsidR="008715BE" w:rsidRPr="00EC75B7" w:rsidRDefault="008715BE">
            <w:pPr>
              <w:pStyle w:val="TableParagraph"/>
              <w:spacing w:before="7"/>
              <w:rPr>
                <w:rFonts w:ascii="Verdana" w:hAnsi="Verdana"/>
                <w:b/>
                <w:sz w:val="16"/>
                <w:szCs w:val="16"/>
              </w:rPr>
            </w:pPr>
          </w:p>
          <w:p w14:paraId="770DBCC0"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650EF94D" w14:textId="77777777" w:rsidR="008715BE" w:rsidRPr="00EC75B7" w:rsidRDefault="008715BE">
            <w:pPr>
              <w:pStyle w:val="TableParagraph"/>
              <w:spacing w:before="7"/>
              <w:rPr>
                <w:rFonts w:ascii="Verdana" w:hAnsi="Verdana"/>
                <w:b/>
                <w:sz w:val="16"/>
                <w:szCs w:val="16"/>
              </w:rPr>
            </w:pPr>
          </w:p>
          <w:p w14:paraId="0A7EDA04" w14:textId="77777777" w:rsidR="008715BE" w:rsidRPr="00EC75B7" w:rsidRDefault="00000000">
            <w:pPr>
              <w:pStyle w:val="TableParagraph"/>
              <w:ind w:left="6" w:right="1"/>
              <w:jc w:val="center"/>
              <w:rPr>
                <w:rFonts w:ascii="Verdana" w:hAnsi="Verdana"/>
                <w:sz w:val="16"/>
                <w:szCs w:val="16"/>
              </w:rPr>
            </w:pPr>
            <w:r w:rsidRPr="00EC75B7">
              <w:rPr>
                <w:rFonts w:ascii="Verdana" w:hAnsi="Verdana"/>
                <w:sz w:val="16"/>
                <w:szCs w:val="16"/>
              </w:rPr>
              <w:t>16 06</w:t>
            </w:r>
            <w:r w:rsidRPr="00EC75B7">
              <w:rPr>
                <w:rFonts w:ascii="Verdana" w:hAnsi="Verdana"/>
                <w:spacing w:val="-5"/>
                <w:sz w:val="16"/>
                <w:szCs w:val="16"/>
              </w:rPr>
              <w:t xml:space="preserve"> 05</w:t>
            </w:r>
          </w:p>
        </w:tc>
        <w:tc>
          <w:tcPr>
            <w:tcW w:w="4593" w:type="dxa"/>
          </w:tcPr>
          <w:p w14:paraId="3F7E732A" w14:textId="77777777" w:rsidR="008715BE" w:rsidRPr="00EC75B7" w:rsidRDefault="00000000">
            <w:pPr>
              <w:pStyle w:val="TableParagraph"/>
              <w:spacing w:line="194" w:lineRule="exact"/>
              <w:ind w:left="105" w:right="175"/>
              <w:rPr>
                <w:rFonts w:ascii="Verdana" w:hAnsi="Verdana"/>
                <w:sz w:val="16"/>
                <w:szCs w:val="16"/>
              </w:rPr>
            </w:pPr>
            <w:r w:rsidRPr="00EC75B7">
              <w:rPr>
                <w:rFonts w:ascii="Verdana" w:hAnsi="Verdana"/>
                <w:sz w:val="16"/>
                <w:szCs w:val="16"/>
              </w:rPr>
              <w:t>They will be collected in metal containers and stored in specially designated areas and handed over to authorized operators for recovery.</w:t>
            </w:r>
          </w:p>
        </w:tc>
      </w:tr>
      <w:tr w:rsidR="008715BE" w:rsidRPr="00EC75B7" w14:paraId="272C766B" w14:textId="77777777">
        <w:trPr>
          <w:trHeight w:val="199"/>
        </w:trPr>
        <w:tc>
          <w:tcPr>
            <w:tcW w:w="9992" w:type="dxa"/>
            <w:gridSpan w:val="5"/>
            <w:tcBorders>
              <w:top w:val="nil"/>
              <w:bottom w:val="nil"/>
            </w:tcBorders>
            <w:shd w:val="clear" w:color="auto" w:fill="D9D9D9"/>
          </w:tcPr>
          <w:p w14:paraId="4C3EFAE8" w14:textId="77777777" w:rsidR="008715BE" w:rsidRPr="00EC75B7" w:rsidRDefault="00000000">
            <w:pPr>
              <w:pStyle w:val="TableParagraph"/>
              <w:spacing w:before="9" w:line="171" w:lineRule="exact"/>
              <w:ind w:left="4"/>
              <w:jc w:val="center"/>
              <w:rPr>
                <w:rFonts w:ascii="Verdana" w:hAnsi="Verdana"/>
                <w:b/>
                <w:sz w:val="16"/>
                <w:szCs w:val="16"/>
              </w:rPr>
            </w:pPr>
            <w:r w:rsidRPr="00EC75B7">
              <w:rPr>
                <w:rFonts w:ascii="Verdana" w:hAnsi="Verdana"/>
                <w:b/>
                <w:spacing w:val="-2"/>
                <w:sz w:val="16"/>
                <w:szCs w:val="16"/>
              </w:rPr>
              <w:t xml:space="preserve">Operating </w:t>
            </w:r>
            <w:r w:rsidRPr="00EC75B7">
              <w:rPr>
                <w:rFonts w:ascii="Verdana" w:hAnsi="Verdana"/>
                <w:b/>
                <w:sz w:val="16"/>
                <w:szCs w:val="16"/>
              </w:rPr>
              <w:t>stage</w:t>
            </w:r>
          </w:p>
        </w:tc>
      </w:tr>
      <w:tr w:rsidR="008715BE" w:rsidRPr="00EC75B7" w14:paraId="402F33D9" w14:textId="77777777">
        <w:trPr>
          <w:trHeight w:val="775"/>
        </w:trPr>
        <w:tc>
          <w:tcPr>
            <w:tcW w:w="2468" w:type="dxa"/>
          </w:tcPr>
          <w:p w14:paraId="6FC79C11" w14:textId="77777777" w:rsidR="008715BE" w:rsidRPr="00EC75B7" w:rsidRDefault="00000000">
            <w:pPr>
              <w:pStyle w:val="TableParagraph"/>
              <w:spacing w:line="194" w:lineRule="exact"/>
              <w:ind w:left="108" w:right="145"/>
              <w:rPr>
                <w:rFonts w:ascii="Verdana" w:hAnsi="Verdana"/>
                <w:sz w:val="16"/>
                <w:szCs w:val="16"/>
              </w:rPr>
            </w:pPr>
            <w:r w:rsidRPr="00EC75B7">
              <w:rPr>
                <w:rFonts w:ascii="Verdana" w:hAnsi="Verdana"/>
                <w:sz w:val="16"/>
                <w:szCs w:val="16"/>
              </w:rPr>
              <w:t xml:space="preserve">Non-chlorinated hydraulic mineral oils (oil for </w:t>
            </w:r>
            <w:r w:rsidRPr="00EC75B7">
              <w:rPr>
                <w:rFonts w:ascii="Verdana" w:hAnsi="Verdana"/>
                <w:spacing w:val="-2"/>
                <w:sz w:val="16"/>
                <w:szCs w:val="16"/>
              </w:rPr>
              <w:t>hydraulic</w:t>
            </w:r>
            <w:r w:rsidRPr="00EC75B7">
              <w:rPr>
                <w:rFonts w:ascii="Verdana" w:hAnsi="Verdana"/>
                <w:sz w:val="16"/>
                <w:szCs w:val="16"/>
              </w:rPr>
              <w:t xml:space="preserve"> braking systems</w:t>
            </w:r>
            <w:r w:rsidRPr="00EC75B7">
              <w:rPr>
                <w:rFonts w:ascii="Verdana" w:hAnsi="Verdana"/>
                <w:spacing w:val="-2"/>
                <w:sz w:val="16"/>
                <w:szCs w:val="16"/>
              </w:rPr>
              <w:t>)</w:t>
            </w:r>
          </w:p>
        </w:tc>
        <w:tc>
          <w:tcPr>
            <w:tcW w:w="1043" w:type="dxa"/>
          </w:tcPr>
          <w:p w14:paraId="57BB3707" w14:textId="77777777" w:rsidR="008715BE" w:rsidRPr="00EC75B7" w:rsidRDefault="008715BE">
            <w:pPr>
              <w:pStyle w:val="TableParagraph"/>
              <w:spacing w:before="101"/>
              <w:rPr>
                <w:rFonts w:ascii="Verdana" w:hAnsi="Verdana"/>
                <w:b/>
                <w:sz w:val="16"/>
                <w:szCs w:val="16"/>
              </w:rPr>
            </w:pPr>
          </w:p>
          <w:p w14:paraId="443AF550"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0.35</w:t>
            </w:r>
          </w:p>
        </w:tc>
        <w:tc>
          <w:tcPr>
            <w:tcW w:w="805" w:type="dxa"/>
          </w:tcPr>
          <w:p w14:paraId="24E1DBE0" w14:textId="77777777" w:rsidR="008715BE" w:rsidRPr="00EC75B7" w:rsidRDefault="008715BE">
            <w:pPr>
              <w:pStyle w:val="TableParagraph"/>
              <w:spacing w:before="101"/>
              <w:rPr>
                <w:rFonts w:ascii="Verdana" w:hAnsi="Verdana"/>
                <w:b/>
                <w:sz w:val="16"/>
                <w:szCs w:val="16"/>
              </w:rPr>
            </w:pPr>
          </w:p>
          <w:p w14:paraId="07BCE3BD" w14:textId="77777777" w:rsidR="008715BE" w:rsidRPr="00EC75B7" w:rsidRDefault="00000000">
            <w:pPr>
              <w:pStyle w:val="TableParagraph"/>
              <w:ind w:left="6"/>
              <w:jc w:val="center"/>
              <w:rPr>
                <w:rFonts w:ascii="Verdana" w:hAnsi="Verdana"/>
                <w:sz w:val="16"/>
                <w:szCs w:val="16"/>
              </w:rPr>
            </w:pPr>
            <w:r w:rsidRPr="00EC75B7">
              <w:rPr>
                <w:rFonts w:ascii="Verdana" w:hAnsi="Verdana"/>
                <w:spacing w:val="-10"/>
                <w:sz w:val="16"/>
                <w:szCs w:val="16"/>
              </w:rPr>
              <w:t>L</w:t>
            </w:r>
          </w:p>
        </w:tc>
        <w:tc>
          <w:tcPr>
            <w:tcW w:w="1083" w:type="dxa"/>
          </w:tcPr>
          <w:p w14:paraId="74798872" w14:textId="77777777" w:rsidR="008715BE" w:rsidRPr="00EC75B7" w:rsidRDefault="008715BE">
            <w:pPr>
              <w:pStyle w:val="TableParagraph"/>
              <w:spacing w:before="101"/>
              <w:rPr>
                <w:rFonts w:ascii="Verdana" w:hAnsi="Verdana"/>
                <w:b/>
                <w:sz w:val="16"/>
                <w:szCs w:val="16"/>
              </w:rPr>
            </w:pPr>
          </w:p>
          <w:p w14:paraId="757485DB"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13 01</w:t>
            </w:r>
            <w:r w:rsidRPr="00EC75B7">
              <w:rPr>
                <w:rFonts w:ascii="Verdana" w:hAnsi="Verdana"/>
                <w:spacing w:val="-5"/>
                <w:sz w:val="16"/>
                <w:szCs w:val="16"/>
              </w:rPr>
              <w:t xml:space="preserve"> 10</w:t>
            </w:r>
          </w:p>
        </w:tc>
        <w:tc>
          <w:tcPr>
            <w:tcW w:w="4593" w:type="dxa"/>
          </w:tcPr>
          <w:p w14:paraId="124019EC" w14:textId="77777777" w:rsidR="008715BE" w:rsidRPr="00EC75B7" w:rsidRDefault="00000000">
            <w:pPr>
              <w:pStyle w:val="TableParagraph"/>
              <w:spacing w:before="6"/>
              <w:ind w:left="105" w:right="175"/>
              <w:rPr>
                <w:rFonts w:ascii="Verdana" w:hAnsi="Verdana"/>
                <w:sz w:val="16"/>
                <w:szCs w:val="16"/>
              </w:rPr>
            </w:pPr>
            <w:r w:rsidRPr="00EC75B7">
              <w:rPr>
                <w:rFonts w:ascii="Verdana" w:hAnsi="Verdana"/>
                <w:sz w:val="16"/>
                <w:szCs w:val="16"/>
              </w:rPr>
              <w:t>They shall be collected in metal containers and stored in specially designated areas and handed over to authorised operators for disposal.</w:t>
            </w:r>
          </w:p>
        </w:tc>
      </w:tr>
      <w:tr w:rsidR="008715BE" w:rsidRPr="00EC75B7" w14:paraId="489FB292" w14:textId="77777777">
        <w:trPr>
          <w:trHeight w:val="776"/>
        </w:trPr>
        <w:tc>
          <w:tcPr>
            <w:tcW w:w="2468" w:type="dxa"/>
          </w:tcPr>
          <w:p w14:paraId="6DE4DFC0" w14:textId="77777777" w:rsidR="008715BE" w:rsidRPr="00EC75B7" w:rsidRDefault="00000000">
            <w:pPr>
              <w:pStyle w:val="TableParagraph"/>
              <w:spacing w:line="194" w:lineRule="exact"/>
              <w:ind w:left="108" w:right="97"/>
              <w:rPr>
                <w:rFonts w:ascii="Verdana" w:hAnsi="Verdana"/>
                <w:sz w:val="16"/>
                <w:szCs w:val="16"/>
              </w:rPr>
            </w:pPr>
            <w:r w:rsidRPr="00EC75B7">
              <w:rPr>
                <w:rFonts w:ascii="Verdana" w:hAnsi="Verdana"/>
                <w:sz w:val="16"/>
                <w:szCs w:val="16"/>
              </w:rPr>
              <w:t>Non-chlorinated mineral oils for engines, transmissions, and lubrication (emergency lubrication system)</w:t>
            </w:r>
          </w:p>
        </w:tc>
        <w:tc>
          <w:tcPr>
            <w:tcW w:w="1043" w:type="dxa"/>
          </w:tcPr>
          <w:p w14:paraId="0068B361" w14:textId="77777777" w:rsidR="008715BE" w:rsidRPr="00EC75B7" w:rsidRDefault="008715BE">
            <w:pPr>
              <w:pStyle w:val="TableParagraph"/>
              <w:spacing w:before="102"/>
              <w:rPr>
                <w:rFonts w:ascii="Verdana" w:hAnsi="Verdana"/>
                <w:b/>
                <w:sz w:val="16"/>
                <w:szCs w:val="16"/>
              </w:rPr>
            </w:pPr>
          </w:p>
          <w:p w14:paraId="4BB62FA2"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4"/>
                <w:sz w:val="16"/>
                <w:szCs w:val="16"/>
              </w:rPr>
              <w:t>n.a</w:t>
            </w:r>
          </w:p>
        </w:tc>
        <w:tc>
          <w:tcPr>
            <w:tcW w:w="805" w:type="dxa"/>
          </w:tcPr>
          <w:p w14:paraId="274E37D1" w14:textId="77777777" w:rsidR="008715BE" w:rsidRPr="00EC75B7" w:rsidRDefault="008715BE">
            <w:pPr>
              <w:pStyle w:val="TableParagraph"/>
              <w:spacing w:before="102"/>
              <w:rPr>
                <w:rFonts w:ascii="Verdana" w:hAnsi="Verdana"/>
                <w:b/>
                <w:sz w:val="16"/>
                <w:szCs w:val="16"/>
              </w:rPr>
            </w:pPr>
          </w:p>
          <w:p w14:paraId="7EC0063E" w14:textId="77777777" w:rsidR="008715BE" w:rsidRPr="00EC75B7" w:rsidRDefault="00000000">
            <w:pPr>
              <w:pStyle w:val="TableParagraph"/>
              <w:ind w:left="6"/>
              <w:jc w:val="center"/>
              <w:rPr>
                <w:rFonts w:ascii="Verdana" w:hAnsi="Verdana"/>
                <w:sz w:val="16"/>
                <w:szCs w:val="16"/>
              </w:rPr>
            </w:pPr>
            <w:r w:rsidRPr="00EC75B7">
              <w:rPr>
                <w:rFonts w:ascii="Verdana" w:hAnsi="Verdana"/>
                <w:spacing w:val="-10"/>
                <w:sz w:val="16"/>
                <w:szCs w:val="16"/>
              </w:rPr>
              <w:t>L</w:t>
            </w:r>
          </w:p>
        </w:tc>
        <w:tc>
          <w:tcPr>
            <w:tcW w:w="1083" w:type="dxa"/>
          </w:tcPr>
          <w:p w14:paraId="27BC7701" w14:textId="77777777" w:rsidR="008715BE" w:rsidRPr="00EC75B7" w:rsidRDefault="008715BE">
            <w:pPr>
              <w:pStyle w:val="TableParagraph"/>
              <w:spacing w:before="102"/>
              <w:rPr>
                <w:rFonts w:ascii="Verdana" w:hAnsi="Verdana"/>
                <w:b/>
                <w:sz w:val="16"/>
                <w:szCs w:val="16"/>
              </w:rPr>
            </w:pPr>
          </w:p>
          <w:p w14:paraId="042E2C38"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13 02</w:t>
            </w:r>
            <w:r w:rsidRPr="00EC75B7">
              <w:rPr>
                <w:rFonts w:ascii="Verdana" w:hAnsi="Verdana"/>
                <w:spacing w:val="-5"/>
                <w:sz w:val="16"/>
                <w:szCs w:val="16"/>
              </w:rPr>
              <w:t xml:space="preserve"> 05</w:t>
            </w:r>
          </w:p>
        </w:tc>
        <w:tc>
          <w:tcPr>
            <w:tcW w:w="4593" w:type="dxa"/>
          </w:tcPr>
          <w:p w14:paraId="7A63256D" w14:textId="77777777" w:rsidR="008715BE" w:rsidRPr="00EC75B7" w:rsidRDefault="00000000">
            <w:pPr>
              <w:pStyle w:val="TableParagraph"/>
              <w:spacing w:before="7"/>
              <w:ind w:left="105" w:right="175"/>
              <w:rPr>
                <w:rFonts w:ascii="Verdana" w:hAnsi="Verdana"/>
                <w:sz w:val="16"/>
                <w:szCs w:val="16"/>
              </w:rPr>
            </w:pPr>
            <w:r w:rsidRPr="00EC75B7">
              <w:rPr>
                <w:rFonts w:ascii="Verdana" w:hAnsi="Verdana"/>
                <w:sz w:val="16"/>
                <w:szCs w:val="16"/>
              </w:rPr>
              <w:t>They will be collected in metal containers and stored in specially designated areas, and will be handed over to authorised operators for disposal.</w:t>
            </w:r>
          </w:p>
        </w:tc>
      </w:tr>
      <w:tr w:rsidR="008715BE" w:rsidRPr="00EC75B7" w14:paraId="1F880AF3" w14:textId="77777777">
        <w:trPr>
          <w:trHeight w:val="777"/>
        </w:trPr>
        <w:tc>
          <w:tcPr>
            <w:tcW w:w="2468" w:type="dxa"/>
          </w:tcPr>
          <w:p w14:paraId="31925B23" w14:textId="77777777" w:rsidR="008715BE" w:rsidRPr="00EC75B7" w:rsidRDefault="00000000">
            <w:pPr>
              <w:pStyle w:val="TableParagraph"/>
              <w:spacing w:line="194" w:lineRule="exact"/>
              <w:ind w:left="108" w:right="145"/>
              <w:rPr>
                <w:rFonts w:ascii="Verdana" w:hAnsi="Verdana"/>
                <w:sz w:val="16"/>
                <w:szCs w:val="16"/>
              </w:rPr>
            </w:pPr>
            <w:r w:rsidRPr="00EC75B7">
              <w:rPr>
                <w:rFonts w:ascii="Verdana" w:hAnsi="Verdana"/>
                <w:spacing w:val="-2"/>
                <w:sz w:val="16"/>
                <w:szCs w:val="16"/>
              </w:rPr>
              <w:t xml:space="preserve">Synthetic engine, </w:t>
            </w:r>
            <w:r w:rsidRPr="00EC75B7">
              <w:rPr>
                <w:rFonts w:ascii="Verdana" w:hAnsi="Verdana"/>
                <w:sz w:val="16"/>
                <w:szCs w:val="16"/>
              </w:rPr>
              <w:t xml:space="preserve">transmission, and lubricating </w:t>
            </w:r>
            <w:r w:rsidRPr="00EC75B7">
              <w:rPr>
                <w:rFonts w:ascii="Verdana" w:hAnsi="Verdana"/>
                <w:spacing w:val="-2"/>
                <w:sz w:val="16"/>
                <w:szCs w:val="16"/>
              </w:rPr>
              <w:t xml:space="preserve">oils </w:t>
            </w:r>
            <w:r w:rsidRPr="00EC75B7">
              <w:rPr>
                <w:rFonts w:ascii="Verdana" w:hAnsi="Verdana"/>
                <w:sz w:val="16"/>
                <w:szCs w:val="16"/>
              </w:rPr>
              <w:t>(transmission system, return system)</w:t>
            </w:r>
          </w:p>
        </w:tc>
        <w:tc>
          <w:tcPr>
            <w:tcW w:w="1043" w:type="dxa"/>
          </w:tcPr>
          <w:p w14:paraId="56BF2E39" w14:textId="77777777" w:rsidR="008715BE" w:rsidRPr="00EC75B7" w:rsidRDefault="008715BE">
            <w:pPr>
              <w:pStyle w:val="TableParagraph"/>
              <w:spacing w:before="105"/>
              <w:rPr>
                <w:rFonts w:ascii="Verdana" w:hAnsi="Verdana"/>
                <w:b/>
                <w:sz w:val="16"/>
                <w:szCs w:val="16"/>
              </w:rPr>
            </w:pPr>
          </w:p>
          <w:p w14:paraId="7F5D18BF"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2.30</w:t>
            </w:r>
          </w:p>
        </w:tc>
        <w:tc>
          <w:tcPr>
            <w:tcW w:w="805" w:type="dxa"/>
          </w:tcPr>
          <w:p w14:paraId="318B41A3" w14:textId="77777777" w:rsidR="008715BE" w:rsidRPr="00EC75B7" w:rsidRDefault="008715BE">
            <w:pPr>
              <w:pStyle w:val="TableParagraph"/>
              <w:spacing w:before="105"/>
              <w:rPr>
                <w:rFonts w:ascii="Verdana" w:hAnsi="Verdana"/>
                <w:b/>
                <w:sz w:val="16"/>
                <w:szCs w:val="16"/>
              </w:rPr>
            </w:pPr>
          </w:p>
          <w:p w14:paraId="4661D392" w14:textId="77777777" w:rsidR="008715BE" w:rsidRPr="00EC75B7" w:rsidRDefault="00000000">
            <w:pPr>
              <w:pStyle w:val="TableParagraph"/>
              <w:ind w:left="6"/>
              <w:jc w:val="center"/>
              <w:rPr>
                <w:rFonts w:ascii="Verdana" w:hAnsi="Verdana"/>
                <w:sz w:val="16"/>
                <w:szCs w:val="16"/>
              </w:rPr>
            </w:pPr>
            <w:r w:rsidRPr="00EC75B7">
              <w:rPr>
                <w:rFonts w:ascii="Verdana" w:hAnsi="Verdana"/>
                <w:spacing w:val="-10"/>
                <w:sz w:val="16"/>
                <w:szCs w:val="16"/>
              </w:rPr>
              <w:t>L</w:t>
            </w:r>
          </w:p>
        </w:tc>
        <w:tc>
          <w:tcPr>
            <w:tcW w:w="1083" w:type="dxa"/>
          </w:tcPr>
          <w:p w14:paraId="31FE5B36" w14:textId="77777777" w:rsidR="008715BE" w:rsidRPr="00EC75B7" w:rsidRDefault="008715BE">
            <w:pPr>
              <w:pStyle w:val="TableParagraph"/>
              <w:spacing w:before="105"/>
              <w:rPr>
                <w:rFonts w:ascii="Verdana" w:hAnsi="Verdana"/>
                <w:b/>
                <w:sz w:val="16"/>
                <w:szCs w:val="16"/>
              </w:rPr>
            </w:pPr>
          </w:p>
          <w:p w14:paraId="05FDF1ED"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13 02</w:t>
            </w:r>
            <w:r w:rsidRPr="00EC75B7">
              <w:rPr>
                <w:rFonts w:ascii="Verdana" w:hAnsi="Verdana"/>
                <w:spacing w:val="-5"/>
                <w:sz w:val="16"/>
                <w:szCs w:val="16"/>
              </w:rPr>
              <w:t xml:space="preserve"> 06</w:t>
            </w:r>
          </w:p>
        </w:tc>
        <w:tc>
          <w:tcPr>
            <w:tcW w:w="4593" w:type="dxa"/>
          </w:tcPr>
          <w:p w14:paraId="7A36B343" w14:textId="77777777" w:rsidR="008715BE" w:rsidRPr="00EC75B7" w:rsidRDefault="00000000">
            <w:pPr>
              <w:pStyle w:val="TableParagraph"/>
              <w:spacing w:before="8"/>
              <w:ind w:left="105" w:right="175"/>
              <w:rPr>
                <w:rFonts w:ascii="Verdana" w:hAnsi="Verdana"/>
                <w:sz w:val="16"/>
                <w:szCs w:val="16"/>
              </w:rPr>
            </w:pPr>
            <w:r w:rsidRPr="00EC75B7">
              <w:rPr>
                <w:rFonts w:ascii="Verdana" w:hAnsi="Verdana"/>
                <w:sz w:val="16"/>
                <w:szCs w:val="16"/>
              </w:rPr>
              <w:t>They will be collected in metal containers and stored in specially designated areas, then handed over to authorised operators for disposal.</w:t>
            </w:r>
          </w:p>
        </w:tc>
      </w:tr>
      <w:tr w:rsidR="008715BE" w:rsidRPr="00EC75B7" w14:paraId="47674C6A" w14:textId="77777777">
        <w:trPr>
          <w:trHeight w:val="582"/>
        </w:trPr>
        <w:tc>
          <w:tcPr>
            <w:tcW w:w="2468" w:type="dxa"/>
          </w:tcPr>
          <w:p w14:paraId="4118DEA0" w14:textId="77777777" w:rsidR="008715BE" w:rsidRPr="00EC75B7" w:rsidRDefault="00000000">
            <w:pPr>
              <w:pStyle w:val="TableParagraph"/>
              <w:spacing w:line="194" w:lineRule="exact"/>
              <w:ind w:left="108" w:right="145"/>
              <w:rPr>
                <w:rFonts w:ascii="Verdana" w:hAnsi="Verdana"/>
                <w:sz w:val="16"/>
                <w:szCs w:val="16"/>
              </w:rPr>
            </w:pPr>
            <w:r w:rsidRPr="00EC75B7">
              <w:rPr>
                <w:rFonts w:ascii="Verdana" w:hAnsi="Verdana"/>
                <w:sz w:val="16"/>
                <w:szCs w:val="16"/>
              </w:rPr>
              <w:t>Non-chlorinated mineral heat transfer and thermal insulation oils</w:t>
            </w:r>
          </w:p>
        </w:tc>
        <w:tc>
          <w:tcPr>
            <w:tcW w:w="1043" w:type="dxa"/>
          </w:tcPr>
          <w:p w14:paraId="72216B80" w14:textId="77777777" w:rsidR="008715BE" w:rsidRPr="00EC75B7" w:rsidRDefault="008715BE">
            <w:pPr>
              <w:pStyle w:val="TableParagraph"/>
              <w:spacing w:before="7"/>
              <w:rPr>
                <w:rFonts w:ascii="Verdana" w:hAnsi="Verdana"/>
                <w:b/>
                <w:sz w:val="16"/>
                <w:szCs w:val="16"/>
              </w:rPr>
            </w:pPr>
          </w:p>
          <w:p w14:paraId="0726035E"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2"/>
                <w:sz w:val="16"/>
                <w:szCs w:val="16"/>
              </w:rPr>
              <w:t>23.00</w:t>
            </w:r>
          </w:p>
        </w:tc>
        <w:tc>
          <w:tcPr>
            <w:tcW w:w="805" w:type="dxa"/>
          </w:tcPr>
          <w:p w14:paraId="585BD5FC" w14:textId="77777777" w:rsidR="008715BE" w:rsidRPr="00EC75B7" w:rsidRDefault="008715BE">
            <w:pPr>
              <w:pStyle w:val="TableParagraph"/>
              <w:spacing w:before="7"/>
              <w:rPr>
                <w:rFonts w:ascii="Verdana" w:hAnsi="Verdana"/>
                <w:b/>
                <w:sz w:val="16"/>
                <w:szCs w:val="16"/>
              </w:rPr>
            </w:pPr>
          </w:p>
          <w:p w14:paraId="562CFE29" w14:textId="77777777" w:rsidR="008715BE" w:rsidRPr="00EC75B7" w:rsidRDefault="00000000">
            <w:pPr>
              <w:pStyle w:val="TableParagraph"/>
              <w:ind w:left="6"/>
              <w:jc w:val="center"/>
              <w:rPr>
                <w:rFonts w:ascii="Verdana" w:hAnsi="Verdana"/>
                <w:sz w:val="16"/>
                <w:szCs w:val="16"/>
              </w:rPr>
            </w:pPr>
            <w:r w:rsidRPr="00EC75B7">
              <w:rPr>
                <w:rFonts w:ascii="Verdana" w:hAnsi="Verdana"/>
                <w:spacing w:val="-10"/>
                <w:sz w:val="16"/>
                <w:szCs w:val="16"/>
              </w:rPr>
              <w:t>L</w:t>
            </w:r>
          </w:p>
        </w:tc>
        <w:tc>
          <w:tcPr>
            <w:tcW w:w="1083" w:type="dxa"/>
          </w:tcPr>
          <w:p w14:paraId="171F4E07" w14:textId="77777777" w:rsidR="008715BE" w:rsidRPr="00EC75B7" w:rsidRDefault="008715BE">
            <w:pPr>
              <w:pStyle w:val="TableParagraph"/>
              <w:spacing w:before="7"/>
              <w:rPr>
                <w:rFonts w:ascii="Verdana" w:hAnsi="Verdana"/>
                <w:b/>
                <w:sz w:val="16"/>
                <w:szCs w:val="16"/>
              </w:rPr>
            </w:pPr>
          </w:p>
          <w:p w14:paraId="270121EF"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13 03</w:t>
            </w:r>
            <w:r w:rsidRPr="00EC75B7">
              <w:rPr>
                <w:rFonts w:ascii="Verdana" w:hAnsi="Verdana"/>
                <w:spacing w:val="-5"/>
                <w:sz w:val="16"/>
                <w:szCs w:val="16"/>
              </w:rPr>
              <w:t xml:space="preserve"> 07</w:t>
            </w:r>
          </w:p>
        </w:tc>
        <w:tc>
          <w:tcPr>
            <w:tcW w:w="4593" w:type="dxa"/>
          </w:tcPr>
          <w:p w14:paraId="717F9AEC" w14:textId="77777777" w:rsidR="008715BE" w:rsidRPr="00EC75B7" w:rsidRDefault="00000000">
            <w:pPr>
              <w:pStyle w:val="TableParagraph"/>
              <w:spacing w:line="194" w:lineRule="exact"/>
              <w:ind w:left="105" w:right="175"/>
              <w:rPr>
                <w:rFonts w:ascii="Verdana" w:hAnsi="Verdana"/>
                <w:sz w:val="16"/>
                <w:szCs w:val="16"/>
              </w:rPr>
            </w:pPr>
            <w:r w:rsidRPr="00EC75B7">
              <w:rPr>
                <w:rFonts w:ascii="Verdana" w:hAnsi="Verdana"/>
                <w:sz w:val="16"/>
                <w:szCs w:val="16"/>
              </w:rPr>
              <w:t>They will be collected in metal containers and stored in specially designated areas, then handed over to authorised operators for disposal.</w:t>
            </w:r>
          </w:p>
        </w:tc>
      </w:tr>
      <w:tr w:rsidR="008715BE" w:rsidRPr="00EC75B7" w14:paraId="20FC5285" w14:textId="77777777">
        <w:trPr>
          <w:trHeight w:val="779"/>
        </w:trPr>
        <w:tc>
          <w:tcPr>
            <w:tcW w:w="2468" w:type="dxa"/>
          </w:tcPr>
          <w:p w14:paraId="60EB61F0" w14:textId="77777777" w:rsidR="008715BE" w:rsidRPr="00EC75B7" w:rsidRDefault="00000000">
            <w:pPr>
              <w:pStyle w:val="TableParagraph"/>
              <w:spacing w:line="194" w:lineRule="exact"/>
              <w:ind w:left="108" w:right="145"/>
              <w:rPr>
                <w:rFonts w:ascii="Verdana" w:hAnsi="Verdana"/>
                <w:sz w:val="16"/>
                <w:szCs w:val="16"/>
              </w:rPr>
            </w:pPr>
            <w:r w:rsidRPr="00EC75B7">
              <w:rPr>
                <w:rFonts w:ascii="Verdana" w:hAnsi="Verdana"/>
                <w:sz w:val="16"/>
                <w:szCs w:val="16"/>
              </w:rPr>
              <w:t xml:space="preserve">Packaging waste containing residues/contaminated with </w:t>
            </w:r>
            <w:r w:rsidRPr="00EC75B7">
              <w:rPr>
                <w:rFonts w:ascii="Verdana" w:hAnsi="Verdana"/>
                <w:spacing w:val="-2"/>
                <w:sz w:val="16"/>
                <w:szCs w:val="16"/>
              </w:rPr>
              <w:t>hazardous</w:t>
            </w:r>
            <w:r w:rsidRPr="00EC75B7">
              <w:rPr>
                <w:rFonts w:ascii="Verdana" w:hAnsi="Verdana"/>
                <w:sz w:val="16"/>
                <w:szCs w:val="16"/>
              </w:rPr>
              <w:t xml:space="preserve"> substances</w:t>
            </w:r>
          </w:p>
        </w:tc>
        <w:tc>
          <w:tcPr>
            <w:tcW w:w="1043" w:type="dxa"/>
          </w:tcPr>
          <w:p w14:paraId="41190F73" w14:textId="77777777" w:rsidR="008715BE" w:rsidRPr="00EC75B7" w:rsidRDefault="008715BE">
            <w:pPr>
              <w:pStyle w:val="TableParagraph"/>
              <w:spacing w:before="105"/>
              <w:rPr>
                <w:rFonts w:ascii="Verdana" w:hAnsi="Verdana"/>
                <w:b/>
                <w:sz w:val="16"/>
                <w:szCs w:val="16"/>
              </w:rPr>
            </w:pPr>
          </w:p>
          <w:p w14:paraId="797291C1" w14:textId="77777777" w:rsidR="008715BE" w:rsidRPr="00EC75B7" w:rsidRDefault="00000000">
            <w:pPr>
              <w:pStyle w:val="TableParagraph"/>
              <w:ind w:left="12"/>
              <w:jc w:val="center"/>
              <w:rPr>
                <w:rFonts w:ascii="Verdana" w:hAnsi="Verdana"/>
                <w:sz w:val="16"/>
                <w:szCs w:val="16"/>
              </w:rPr>
            </w:pPr>
            <w:r w:rsidRPr="00EC75B7">
              <w:rPr>
                <w:rFonts w:ascii="Verdana" w:hAnsi="Verdana"/>
                <w:spacing w:val="-4"/>
                <w:sz w:val="16"/>
                <w:szCs w:val="16"/>
              </w:rPr>
              <w:t>0.19</w:t>
            </w:r>
          </w:p>
        </w:tc>
        <w:tc>
          <w:tcPr>
            <w:tcW w:w="805" w:type="dxa"/>
          </w:tcPr>
          <w:p w14:paraId="3B4E974B" w14:textId="77777777" w:rsidR="008715BE" w:rsidRPr="00EC75B7" w:rsidRDefault="008715BE">
            <w:pPr>
              <w:pStyle w:val="TableParagraph"/>
              <w:spacing w:before="105"/>
              <w:rPr>
                <w:rFonts w:ascii="Verdana" w:hAnsi="Verdana"/>
                <w:b/>
                <w:sz w:val="16"/>
                <w:szCs w:val="16"/>
              </w:rPr>
            </w:pPr>
          </w:p>
          <w:p w14:paraId="510EED97"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44BD8F6C" w14:textId="77777777" w:rsidR="008715BE" w:rsidRPr="00EC75B7" w:rsidRDefault="008715BE">
            <w:pPr>
              <w:pStyle w:val="TableParagraph"/>
              <w:spacing w:before="105"/>
              <w:rPr>
                <w:rFonts w:ascii="Verdana" w:hAnsi="Verdana"/>
                <w:b/>
                <w:sz w:val="16"/>
                <w:szCs w:val="16"/>
              </w:rPr>
            </w:pPr>
          </w:p>
          <w:p w14:paraId="37340CB5"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15 01</w:t>
            </w:r>
            <w:r w:rsidRPr="00EC75B7">
              <w:rPr>
                <w:rFonts w:ascii="Verdana" w:hAnsi="Verdana"/>
                <w:spacing w:val="-5"/>
                <w:sz w:val="16"/>
                <w:szCs w:val="16"/>
              </w:rPr>
              <w:t xml:space="preserve"> 10</w:t>
            </w:r>
          </w:p>
        </w:tc>
        <w:tc>
          <w:tcPr>
            <w:tcW w:w="4593" w:type="dxa"/>
          </w:tcPr>
          <w:p w14:paraId="62D859DD" w14:textId="77777777" w:rsidR="008715BE" w:rsidRPr="00EC75B7" w:rsidRDefault="00000000">
            <w:pPr>
              <w:pStyle w:val="TableParagraph"/>
              <w:spacing w:line="194" w:lineRule="exact"/>
              <w:ind w:left="105" w:right="246"/>
              <w:rPr>
                <w:rFonts w:ascii="Verdana" w:hAnsi="Verdana"/>
                <w:sz w:val="16"/>
                <w:szCs w:val="16"/>
              </w:rPr>
            </w:pPr>
            <w:r w:rsidRPr="00EC75B7">
              <w:rPr>
                <w:rFonts w:ascii="Verdana" w:hAnsi="Verdana"/>
                <w:sz w:val="16"/>
                <w:szCs w:val="16"/>
              </w:rPr>
              <w:t>They will be collected and stored separately for transport to disposal facilities by authorized operators. An exception is made for packaging that is returned to the manufacturer (e.g., IBCs).</w:t>
            </w:r>
          </w:p>
        </w:tc>
      </w:tr>
      <w:tr w:rsidR="008715BE" w:rsidRPr="00EC75B7" w14:paraId="20EAA3CC" w14:textId="77777777">
        <w:trPr>
          <w:trHeight w:val="971"/>
        </w:trPr>
        <w:tc>
          <w:tcPr>
            <w:tcW w:w="2468" w:type="dxa"/>
          </w:tcPr>
          <w:p w14:paraId="0AF68CFD" w14:textId="77777777" w:rsidR="008715BE" w:rsidRPr="00EC75B7" w:rsidRDefault="008715BE">
            <w:pPr>
              <w:pStyle w:val="TableParagraph"/>
              <w:spacing w:before="103"/>
              <w:rPr>
                <w:rFonts w:ascii="Verdana" w:hAnsi="Verdana"/>
                <w:b/>
                <w:sz w:val="16"/>
                <w:szCs w:val="16"/>
              </w:rPr>
            </w:pPr>
          </w:p>
          <w:p w14:paraId="2F8B8321" w14:textId="77777777" w:rsidR="008715BE" w:rsidRPr="00EC75B7" w:rsidRDefault="00000000">
            <w:pPr>
              <w:pStyle w:val="TableParagraph"/>
              <w:ind w:left="108" w:right="145"/>
              <w:rPr>
                <w:rFonts w:ascii="Verdana" w:hAnsi="Verdana"/>
                <w:sz w:val="16"/>
                <w:szCs w:val="16"/>
              </w:rPr>
            </w:pPr>
            <w:r w:rsidRPr="00EC75B7">
              <w:rPr>
                <w:rFonts w:ascii="Verdana" w:hAnsi="Verdana"/>
                <w:spacing w:val="-2"/>
                <w:sz w:val="16"/>
                <w:szCs w:val="16"/>
              </w:rPr>
              <w:t xml:space="preserve">Plastic </w:t>
            </w:r>
            <w:r w:rsidRPr="00EC75B7">
              <w:rPr>
                <w:rFonts w:ascii="Verdana" w:hAnsi="Verdana"/>
                <w:sz w:val="16"/>
                <w:szCs w:val="16"/>
              </w:rPr>
              <w:t>packaging waste</w:t>
            </w:r>
          </w:p>
        </w:tc>
        <w:tc>
          <w:tcPr>
            <w:tcW w:w="1043" w:type="dxa"/>
          </w:tcPr>
          <w:p w14:paraId="16324BD4" w14:textId="77777777" w:rsidR="008715BE" w:rsidRPr="00EC75B7" w:rsidRDefault="008715BE">
            <w:pPr>
              <w:pStyle w:val="TableParagraph"/>
              <w:rPr>
                <w:rFonts w:ascii="Verdana" w:hAnsi="Verdana"/>
                <w:b/>
                <w:sz w:val="16"/>
                <w:szCs w:val="16"/>
              </w:rPr>
            </w:pPr>
          </w:p>
          <w:p w14:paraId="2293B865" w14:textId="77777777" w:rsidR="008715BE" w:rsidRPr="00EC75B7" w:rsidRDefault="008715BE">
            <w:pPr>
              <w:pStyle w:val="TableParagraph"/>
              <w:spacing w:before="6"/>
              <w:rPr>
                <w:rFonts w:ascii="Verdana" w:hAnsi="Verdana"/>
                <w:b/>
                <w:sz w:val="16"/>
                <w:szCs w:val="16"/>
              </w:rPr>
            </w:pPr>
          </w:p>
          <w:p w14:paraId="1815ACE5" w14:textId="77777777" w:rsidR="008715BE" w:rsidRPr="00EC75B7" w:rsidRDefault="00000000">
            <w:pPr>
              <w:pStyle w:val="TableParagraph"/>
              <w:spacing w:before="1"/>
              <w:ind w:left="12" w:right="3"/>
              <w:jc w:val="center"/>
              <w:rPr>
                <w:rFonts w:ascii="Verdana" w:hAnsi="Verdana"/>
                <w:sz w:val="16"/>
                <w:szCs w:val="16"/>
              </w:rPr>
            </w:pPr>
            <w:r w:rsidRPr="00EC75B7">
              <w:rPr>
                <w:rFonts w:ascii="Verdana" w:hAnsi="Verdana"/>
                <w:spacing w:val="-2"/>
                <w:sz w:val="16"/>
                <w:szCs w:val="16"/>
              </w:rPr>
              <w:t>0.176</w:t>
            </w:r>
          </w:p>
        </w:tc>
        <w:tc>
          <w:tcPr>
            <w:tcW w:w="805" w:type="dxa"/>
          </w:tcPr>
          <w:p w14:paraId="12969B7F" w14:textId="77777777" w:rsidR="008715BE" w:rsidRPr="00EC75B7" w:rsidRDefault="008715BE">
            <w:pPr>
              <w:pStyle w:val="TableParagraph"/>
              <w:rPr>
                <w:rFonts w:ascii="Verdana" w:hAnsi="Verdana"/>
                <w:b/>
                <w:sz w:val="16"/>
                <w:szCs w:val="16"/>
              </w:rPr>
            </w:pPr>
          </w:p>
          <w:p w14:paraId="36D8037F" w14:textId="77777777" w:rsidR="008715BE" w:rsidRPr="00EC75B7" w:rsidRDefault="008715BE">
            <w:pPr>
              <w:pStyle w:val="TableParagraph"/>
              <w:spacing w:before="6"/>
              <w:rPr>
                <w:rFonts w:ascii="Verdana" w:hAnsi="Verdana"/>
                <w:b/>
                <w:sz w:val="16"/>
                <w:szCs w:val="16"/>
              </w:rPr>
            </w:pPr>
          </w:p>
          <w:p w14:paraId="180AE6FF" w14:textId="77777777" w:rsidR="008715BE" w:rsidRPr="00EC75B7" w:rsidRDefault="00000000">
            <w:pPr>
              <w:pStyle w:val="TableParagraph"/>
              <w:spacing w:before="1"/>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754C7F87" w14:textId="77777777" w:rsidR="008715BE" w:rsidRPr="00EC75B7" w:rsidRDefault="008715BE">
            <w:pPr>
              <w:pStyle w:val="TableParagraph"/>
              <w:rPr>
                <w:rFonts w:ascii="Verdana" w:hAnsi="Verdana"/>
                <w:b/>
                <w:sz w:val="16"/>
                <w:szCs w:val="16"/>
              </w:rPr>
            </w:pPr>
          </w:p>
          <w:p w14:paraId="12C55568" w14:textId="77777777" w:rsidR="008715BE" w:rsidRPr="00EC75B7" w:rsidRDefault="008715BE">
            <w:pPr>
              <w:pStyle w:val="TableParagraph"/>
              <w:spacing w:before="6"/>
              <w:rPr>
                <w:rFonts w:ascii="Verdana" w:hAnsi="Verdana"/>
                <w:b/>
                <w:sz w:val="16"/>
                <w:szCs w:val="16"/>
              </w:rPr>
            </w:pPr>
          </w:p>
          <w:p w14:paraId="376A37E5" w14:textId="77777777" w:rsidR="008715BE" w:rsidRPr="00EC75B7" w:rsidRDefault="00000000">
            <w:pPr>
              <w:pStyle w:val="TableParagraph"/>
              <w:spacing w:before="1"/>
              <w:ind w:left="6" w:right="1"/>
              <w:jc w:val="center"/>
              <w:rPr>
                <w:rFonts w:ascii="Verdana" w:hAnsi="Verdana"/>
                <w:sz w:val="16"/>
                <w:szCs w:val="16"/>
              </w:rPr>
            </w:pPr>
            <w:r w:rsidRPr="00EC75B7">
              <w:rPr>
                <w:rFonts w:ascii="Verdana" w:hAnsi="Verdana"/>
                <w:sz w:val="16"/>
                <w:szCs w:val="16"/>
              </w:rPr>
              <w:t>15 01</w:t>
            </w:r>
            <w:r w:rsidRPr="00EC75B7">
              <w:rPr>
                <w:rFonts w:ascii="Verdana" w:hAnsi="Verdana"/>
                <w:spacing w:val="-5"/>
                <w:sz w:val="16"/>
                <w:szCs w:val="16"/>
              </w:rPr>
              <w:t xml:space="preserve"> 02</w:t>
            </w:r>
          </w:p>
        </w:tc>
        <w:tc>
          <w:tcPr>
            <w:tcW w:w="4593" w:type="dxa"/>
          </w:tcPr>
          <w:p w14:paraId="00EF201E" w14:textId="77777777" w:rsidR="008715BE" w:rsidRPr="00EC75B7" w:rsidRDefault="00000000">
            <w:pPr>
              <w:pStyle w:val="TableParagraph"/>
              <w:spacing w:before="8"/>
              <w:ind w:left="105" w:right="175"/>
              <w:rPr>
                <w:rFonts w:ascii="Verdana" w:hAnsi="Verdana"/>
                <w:sz w:val="16"/>
                <w:szCs w:val="16"/>
              </w:rPr>
            </w:pPr>
            <w:r w:rsidRPr="00EC75B7">
              <w:rPr>
                <w:rFonts w:ascii="Verdana" w:hAnsi="Verdana"/>
                <w:sz w:val="16"/>
                <w:szCs w:val="16"/>
              </w:rPr>
              <w:t>They shall be collected separately in specially designated temporary storage areas within the site organization and at the work fronts. They shall be collected periodically by authorized operators and transported for</w:t>
            </w:r>
          </w:p>
          <w:p w14:paraId="70AFBCCB" w14:textId="77777777" w:rsidR="008715BE" w:rsidRPr="00EC75B7" w:rsidRDefault="00000000">
            <w:pPr>
              <w:pStyle w:val="TableParagraph"/>
              <w:spacing w:line="162" w:lineRule="exact"/>
              <w:ind w:left="105"/>
              <w:rPr>
                <w:rFonts w:ascii="Verdana" w:hAnsi="Verdana"/>
                <w:sz w:val="16"/>
                <w:szCs w:val="16"/>
              </w:rPr>
            </w:pPr>
            <w:r w:rsidRPr="00EC75B7">
              <w:rPr>
                <w:rFonts w:ascii="Verdana" w:hAnsi="Verdana"/>
                <w:sz w:val="16"/>
                <w:szCs w:val="16"/>
              </w:rPr>
              <w:t xml:space="preserve">for </w:t>
            </w:r>
            <w:r w:rsidRPr="00EC75B7">
              <w:rPr>
                <w:rFonts w:ascii="Verdana" w:hAnsi="Verdana"/>
                <w:spacing w:val="-2"/>
                <w:sz w:val="16"/>
                <w:szCs w:val="16"/>
              </w:rPr>
              <w:t>recovery.</w:t>
            </w:r>
          </w:p>
        </w:tc>
      </w:tr>
      <w:tr w:rsidR="008715BE" w:rsidRPr="00EC75B7" w14:paraId="76300679" w14:textId="77777777">
        <w:trPr>
          <w:trHeight w:val="971"/>
        </w:trPr>
        <w:tc>
          <w:tcPr>
            <w:tcW w:w="2468" w:type="dxa"/>
          </w:tcPr>
          <w:p w14:paraId="649A8546" w14:textId="77777777" w:rsidR="008715BE" w:rsidRPr="00EC75B7" w:rsidRDefault="008715BE">
            <w:pPr>
              <w:pStyle w:val="TableParagraph"/>
              <w:spacing w:before="105"/>
              <w:rPr>
                <w:rFonts w:ascii="Verdana" w:hAnsi="Verdana"/>
                <w:b/>
                <w:sz w:val="16"/>
                <w:szCs w:val="16"/>
              </w:rPr>
            </w:pPr>
          </w:p>
          <w:p w14:paraId="16F7C92A" w14:textId="77777777" w:rsidR="008715BE" w:rsidRPr="00EC75B7" w:rsidRDefault="00000000">
            <w:pPr>
              <w:pStyle w:val="TableParagraph"/>
              <w:ind w:left="108"/>
              <w:rPr>
                <w:rFonts w:ascii="Verdana" w:hAnsi="Verdana"/>
                <w:sz w:val="16"/>
                <w:szCs w:val="16"/>
              </w:rPr>
            </w:pPr>
            <w:r w:rsidRPr="00EC75B7">
              <w:rPr>
                <w:rFonts w:ascii="Verdana" w:hAnsi="Verdana"/>
                <w:sz w:val="16"/>
                <w:szCs w:val="16"/>
              </w:rPr>
              <w:t>Filter materials (</w:t>
            </w:r>
            <w:r w:rsidRPr="00EC75B7">
              <w:rPr>
                <w:rFonts w:ascii="Verdana" w:hAnsi="Verdana"/>
                <w:spacing w:val="-4"/>
                <w:sz w:val="16"/>
                <w:szCs w:val="16"/>
              </w:rPr>
              <w:t xml:space="preserve">air </w:t>
            </w:r>
            <w:r w:rsidRPr="00EC75B7">
              <w:rPr>
                <w:rFonts w:ascii="Verdana" w:hAnsi="Verdana"/>
                <w:sz w:val="16"/>
                <w:szCs w:val="16"/>
              </w:rPr>
              <w:t>filters</w:t>
            </w:r>
            <w:r w:rsidRPr="00EC75B7">
              <w:rPr>
                <w:rFonts w:ascii="Verdana" w:hAnsi="Verdana"/>
                <w:spacing w:val="-4"/>
                <w:sz w:val="16"/>
                <w:szCs w:val="16"/>
              </w:rPr>
              <w:t>)</w:t>
            </w:r>
          </w:p>
        </w:tc>
        <w:tc>
          <w:tcPr>
            <w:tcW w:w="1043" w:type="dxa"/>
          </w:tcPr>
          <w:p w14:paraId="3AED17F7" w14:textId="77777777" w:rsidR="008715BE" w:rsidRPr="00EC75B7" w:rsidRDefault="008715BE">
            <w:pPr>
              <w:pStyle w:val="TableParagraph"/>
              <w:rPr>
                <w:rFonts w:ascii="Verdana" w:hAnsi="Verdana"/>
                <w:b/>
                <w:sz w:val="16"/>
                <w:szCs w:val="16"/>
              </w:rPr>
            </w:pPr>
          </w:p>
          <w:p w14:paraId="34BD320D" w14:textId="77777777" w:rsidR="008715BE" w:rsidRPr="00EC75B7" w:rsidRDefault="008715BE">
            <w:pPr>
              <w:pStyle w:val="TableParagraph"/>
              <w:spacing w:before="6"/>
              <w:rPr>
                <w:rFonts w:ascii="Verdana" w:hAnsi="Verdana"/>
                <w:b/>
                <w:sz w:val="16"/>
                <w:szCs w:val="16"/>
              </w:rPr>
            </w:pPr>
          </w:p>
          <w:p w14:paraId="5935F5F6"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2"/>
                <w:sz w:val="16"/>
                <w:szCs w:val="16"/>
              </w:rPr>
              <w:t>0.176</w:t>
            </w:r>
          </w:p>
        </w:tc>
        <w:tc>
          <w:tcPr>
            <w:tcW w:w="805" w:type="dxa"/>
          </w:tcPr>
          <w:p w14:paraId="0629C506" w14:textId="77777777" w:rsidR="008715BE" w:rsidRPr="00EC75B7" w:rsidRDefault="008715BE">
            <w:pPr>
              <w:pStyle w:val="TableParagraph"/>
              <w:rPr>
                <w:rFonts w:ascii="Verdana" w:hAnsi="Verdana"/>
                <w:b/>
                <w:sz w:val="16"/>
                <w:szCs w:val="16"/>
              </w:rPr>
            </w:pPr>
          </w:p>
          <w:p w14:paraId="0B7824D1" w14:textId="77777777" w:rsidR="008715BE" w:rsidRPr="00EC75B7" w:rsidRDefault="008715BE">
            <w:pPr>
              <w:pStyle w:val="TableParagraph"/>
              <w:spacing w:before="6"/>
              <w:rPr>
                <w:rFonts w:ascii="Verdana" w:hAnsi="Verdana"/>
                <w:b/>
                <w:sz w:val="16"/>
                <w:szCs w:val="16"/>
              </w:rPr>
            </w:pPr>
          </w:p>
          <w:p w14:paraId="1B290ACB"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108FCF50" w14:textId="77777777" w:rsidR="008715BE" w:rsidRPr="00EC75B7" w:rsidRDefault="008715BE">
            <w:pPr>
              <w:pStyle w:val="TableParagraph"/>
              <w:rPr>
                <w:rFonts w:ascii="Verdana" w:hAnsi="Verdana"/>
                <w:b/>
                <w:sz w:val="16"/>
                <w:szCs w:val="16"/>
              </w:rPr>
            </w:pPr>
          </w:p>
          <w:p w14:paraId="7810E110" w14:textId="77777777" w:rsidR="008715BE" w:rsidRPr="00EC75B7" w:rsidRDefault="008715BE">
            <w:pPr>
              <w:pStyle w:val="TableParagraph"/>
              <w:spacing w:before="6"/>
              <w:rPr>
                <w:rFonts w:ascii="Verdana" w:hAnsi="Verdana"/>
                <w:b/>
                <w:sz w:val="16"/>
                <w:szCs w:val="16"/>
              </w:rPr>
            </w:pPr>
          </w:p>
          <w:p w14:paraId="3A971B13" w14:textId="77777777" w:rsidR="008715BE" w:rsidRPr="00EC75B7" w:rsidRDefault="00000000">
            <w:pPr>
              <w:pStyle w:val="TableParagraph"/>
              <w:ind w:left="6" w:right="1"/>
              <w:jc w:val="center"/>
              <w:rPr>
                <w:rFonts w:ascii="Verdana" w:hAnsi="Verdana"/>
                <w:sz w:val="16"/>
                <w:szCs w:val="16"/>
              </w:rPr>
            </w:pPr>
            <w:r w:rsidRPr="00EC75B7">
              <w:rPr>
                <w:rFonts w:ascii="Verdana" w:hAnsi="Verdana"/>
                <w:sz w:val="16"/>
                <w:szCs w:val="16"/>
              </w:rPr>
              <w:t>15 02</w:t>
            </w:r>
            <w:r w:rsidRPr="00EC75B7">
              <w:rPr>
                <w:rFonts w:ascii="Verdana" w:hAnsi="Verdana"/>
                <w:spacing w:val="-5"/>
                <w:sz w:val="16"/>
                <w:szCs w:val="16"/>
              </w:rPr>
              <w:t xml:space="preserve"> 03</w:t>
            </w:r>
          </w:p>
        </w:tc>
        <w:tc>
          <w:tcPr>
            <w:tcW w:w="4593" w:type="dxa"/>
          </w:tcPr>
          <w:p w14:paraId="51F66FE8" w14:textId="77777777" w:rsidR="008715BE" w:rsidRPr="00EC75B7" w:rsidRDefault="00000000">
            <w:pPr>
              <w:pStyle w:val="TableParagraph"/>
              <w:spacing w:line="194" w:lineRule="exact"/>
              <w:ind w:left="105" w:right="175"/>
              <w:rPr>
                <w:rFonts w:ascii="Verdana" w:hAnsi="Verdana"/>
                <w:sz w:val="16"/>
                <w:szCs w:val="16"/>
              </w:rPr>
            </w:pPr>
            <w:r w:rsidRPr="00EC75B7">
              <w:rPr>
                <w:rFonts w:ascii="Verdana" w:hAnsi="Verdana"/>
                <w:sz w:val="16"/>
                <w:szCs w:val="16"/>
              </w:rPr>
              <w:t>They shall be collected separately in specially designated temporary storage areas within the site organization and at the work fronts. They shall be periodically collected by authorized operators and transported for recovery.</w:t>
            </w:r>
          </w:p>
        </w:tc>
      </w:tr>
      <w:tr w:rsidR="008715BE" w:rsidRPr="00EC75B7" w14:paraId="32A9A099" w14:textId="77777777">
        <w:trPr>
          <w:trHeight w:val="582"/>
        </w:trPr>
        <w:tc>
          <w:tcPr>
            <w:tcW w:w="2468" w:type="dxa"/>
          </w:tcPr>
          <w:p w14:paraId="2B753F14" w14:textId="77777777" w:rsidR="008715BE" w:rsidRPr="00EC75B7" w:rsidRDefault="00000000">
            <w:pPr>
              <w:pStyle w:val="TableParagraph"/>
              <w:spacing w:before="106"/>
              <w:ind w:left="108"/>
              <w:rPr>
                <w:rFonts w:ascii="Verdana" w:hAnsi="Verdana"/>
                <w:sz w:val="16"/>
                <w:szCs w:val="16"/>
              </w:rPr>
            </w:pPr>
            <w:r w:rsidRPr="00EC75B7">
              <w:rPr>
                <w:rFonts w:ascii="Verdana" w:hAnsi="Verdana"/>
                <w:sz w:val="16"/>
                <w:szCs w:val="16"/>
              </w:rPr>
              <w:t xml:space="preserve">Filter materials (oil filters, </w:t>
            </w:r>
            <w:r w:rsidRPr="00EC75B7">
              <w:rPr>
                <w:rFonts w:ascii="Verdana" w:hAnsi="Verdana"/>
                <w:spacing w:val="-2"/>
                <w:sz w:val="16"/>
                <w:szCs w:val="16"/>
              </w:rPr>
              <w:t xml:space="preserve">polishing </w:t>
            </w:r>
            <w:r w:rsidRPr="00EC75B7">
              <w:rPr>
                <w:rFonts w:ascii="Verdana" w:hAnsi="Verdana"/>
                <w:sz w:val="16"/>
                <w:szCs w:val="16"/>
              </w:rPr>
              <w:t>materials</w:t>
            </w:r>
            <w:r w:rsidRPr="00EC75B7">
              <w:rPr>
                <w:rFonts w:ascii="Verdana" w:hAnsi="Verdana"/>
                <w:spacing w:val="-2"/>
                <w:sz w:val="16"/>
                <w:szCs w:val="16"/>
              </w:rPr>
              <w:t>)</w:t>
            </w:r>
          </w:p>
        </w:tc>
        <w:tc>
          <w:tcPr>
            <w:tcW w:w="1043" w:type="dxa"/>
          </w:tcPr>
          <w:p w14:paraId="4C01A421" w14:textId="77777777" w:rsidR="008715BE" w:rsidRPr="00EC75B7" w:rsidRDefault="008715BE">
            <w:pPr>
              <w:pStyle w:val="TableParagraph"/>
              <w:spacing w:before="7"/>
              <w:rPr>
                <w:rFonts w:ascii="Verdana" w:hAnsi="Verdana"/>
                <w:b/>
                <w:sz w:val="16"/>
                <w:szCs w:val="16"/>
              </w:rPr>
            </w:pPr>
          </w:p>
          <w:p w14:paraId="760252DD"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4"/>
                <w:sz w:val="16"/>
                <w:szCs w:val="16"/>
              </w:rPr>
              <w:t>n.a</w:t>
            </w:r>
          </w:p>
        </w:tc>
        <w:tc>
          <w:tcPr>
            <w:tcW w:w="805" w:type="dxa"/>
          </w:tcPr>
          <w:p w14:paraId="5231D00F" w14:textId="77777777" w:rsidR="008715BE" w:rsidRPr="00EC75B7" w:rsidRDefault="008715BE">
            <w:pPr>
              <w:pStyle w:val="TableParagraph"/>
              <w:spacing w:before="7"/>
              <w:rPr>
                <w:rFonts w:ascii="Verdana" w:hAnsi="Verdana"/>
                <w:b/>
                <w:sz w:val="16"/>
                <w:szCs w:val="16"/>
              </w:rPr>
            </w:pPr>
          </w:p>
          <w:p w14:paraId="5C07BF51"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30436789" w14:textId="77777777" w:rsidR="008715BE" w:rsidRPr="00EC75B7" w:rsidRDefault="008715BE">
            <w:pPr>
              <w:pStyle w:val="TableParagraph"/>
              <w:spacing w:before="7"/>
              <w:rPr>
                <w:rFonts w:ascii="Verdana" w:hAnsi="Verdana"/>
                <w:b/>
                <w:sz w:val="16"/>
                <w:szCs w:val="16"/>
              </w:rPr>
            </w:pPr>
          </w:p>
          <w:p w14:paraId="24E7B5D5" w14:textId="77777777" w:rsidR="008715BE" w:rsidRPr="00EC75B7" w:rsidRDefault="00000000">
            <w:pPr>
              <w:pStyle w:val="TableParagraph"/>
              <w:ind w:left="6" w:right="3"/>
              <w:jc w:val="center"/>
              <w:rPr>
                <w:rFonts w:ascii="Verdana" w:hAnsi="Verdana"/>
                <w:sz w:val="16"/>
                <w:szCs w:val="16"/>
              </w:rPr>
            </w:pPr>
            <w:r w:rsidRPr="00EC75B7">
              <w:rPr>
                <w:rFonts w:ascii="Verdana" w:hAnsi="Verdana"/>
                <w:sz w:val="16"/>
                <w:szCs w:val="16"/>
              </w:rPr>
              <w:t>15 02</w:t>
            </w:r>
            <w:r w:rsidRPr="00EC75B7">
              <w:rPr>
                <w:rFonts w:ascii="Verdana" w:hAnsi="Verdana"/>
                <w:spacing w:val="-5"/>
                <w:sz w:val="16"/>
                <w:szCs w:val="16"/>
              </w:rPr>
              <w:t xml:space="preserve"> 02</w:t>
            </w:r>
          </w:p>
        </w:tc>
        <w:tc>
          <w:tcPr>
            <w:tcW w:w="4593" w:type="dxa"/>
          </w:tcPr>
          <w:p w14:paraId="683775A8" w14:textId="77777777" w:rsidR="008715BE" w:rsidRPr="00EC75B7" w:rsidRDefault="00000000">
            <w:pPr>
              <w:pStyle w:val="TableParagraph"/>
              <w:spacing w:line="194" w:lineRule="exact"/>
              <w:ind w:left="105"/>
              <w:rPr>
                <w:rFonts w:ascii="Verdana" w:hAnsi="Verdana"/>
                <w:sz w:val="16"/>
                <w:szCs w:val="16"/>
              </w:rPr>
            </w:pPr>
            <w:r w:rsidRPr="00EC75B7">
              <w:rPr>
                <w:rFonts w:ascii="Verdana" w:hAnsi="Verdana"/>
                <w:sz w:val="16"/>
                <w:szCs w:val="16"/>
              </w:rPr>
              <w:t>They will be collected in sealed bags/metal containers and stored in specially designated areas and handed over to authorized operators for disposal.</w:t>
            </w:r>
          </w:p>
        </w:tc>
      </w:tr>
      <w:tr w:rsidR="008715BE" w:rsidRPr="00EC75B7" w14:paraId="385D80D1" w14:textId="77777777">
        <w:trPr>
          <w:trHeight w:val="585"/>
        </w:trPr>
        <w:tc>
          <w:tcPr>
            <w:tcW w:w="2468" w:type="dxa"/>
          </w:tcPr>
          <w:p w14:paraId="3082DD02" w14:textId="77777777" w:rsidR="008715BE" w:rsidRPr="00EC75B7" w:rsidRDefault="00000000">
            <w:pPr>
              <w:pStyle w:val="TableParagraph"/>
              <w:spacing w:before="106"/>
              <w:ind w:left="108" w:right="145"/>
              <w:rPr>
                <w:rFonts w:ascii="Verdana" w:hAnsi="Verdana"/>
                <w:sz w:val="16"/>
                <w:szCs w:val="16"/>
              </w:rPr>
            </w:pPr>
            <w:r w:rsidRPr="00EC75B7">
              <w:rPr>
                <w:rFonts w:ascii="Verdana" w:hAnsi="Verdana"/>
                <w:sz w:val="16"/>
                <w:szCs w:val="16"/>
              </w:rPr>
              <w:t xml:space="preserve">Electrical and </w:t>
            </w:r>
            <w:r w:rsidRPr="00EC75B7">
              <w:rPr>
                <w:rFonts w:ascii="Verdana" w:hAnsi="Verdana"/>
                <w:spacing w:val="-2"/>
                <w:sz w:val="16"/>
                <w:szCs w:val="16"/>
              </w:rPr>
              <w:t xml:space="preserve">electronic </w:t>
            </w:r>
            <w:r w:rsidRPr="00EC75B7">
              <w:rPr>
                <w:rFonts w:ascii="Verdana" w:hAnsi="Verdana"/>
                <w:sz w:val="16"/>
                <w:szCs w:val="16"/>
              </w:rPr>
              <w:t>waste</w:t>
            </w:r>
          </w:p>
        </w:tc>
        <w:tc>
          <w:tcPr>
            <w:tcW w:w="1043" w:type="dxa"/>
          </w:tcPr>
          <w:p w14:paraId="27655DE2" w14:textId="77777777" w:rsidR="008715BE" w:rsidRPr="00EC75B7" w:rsidRDefault="008715BE">
            <w:pPr>
              <w:pStyle w:val="TableParagraph"/>
              <w:spacing w:before="9"/>
              <w:rPr>
                <w:rFonts w:ascii="Verdana" w:hAnsi="Verdana"/>
                <w:b/>
                <w:sz w:val="16"/>
                <w:szCs w:val="16"/>
              </w:rPr>
            </w:pPr>
          </w:p>
          <w:p w14:paraId="76CF7DDE" w14:textId="77777777" w:rsidR="008715BE" w:rsidRPr="00EC75B7" w:rsidRDefault="00000000">
            <w:pPr>
              <w:pStyle w:val="TableParagraph"/>
              <w:ind w:left="12" w:right="3"/>
              <w:jc w:val="center"/>
              <w:rPr>
                <w:rFonts w:ascii="Verdana" w:hAnsi="Verdana"/>
                <w:sz w:val="16"/>
                <w:szCs w:val="16"/>
              </w:rPr>
            </w:pPr>
            <w:r w:rsidRPr="00EC75B7">
              <w:rPr>
                <w:rFonts w:ascii="Verdana" w:hAnsi="Verdana"/>
                <w:spacing w:val="-4"/>
                <w:sz w:val="16"/>
                <w:szCs w:val="16"/>
              </w:rPr>
              <w:t>n.d.</w:t>
            </w:r>
          </w:p>
        </w:tc>
        <w:tc>
          <w:tcPr>
            <w:tcW w:w="805" w:type="dxa"/>
          </w:tcPr>
          <w:p w14:paraId="111C9487" w14:textId="77777777" w:rsidR="008715BE" w:rsidRPr="00EC75B7" w:rsidRDefault="008715BE">
            <w:pPr>
              <w:pStyle w:val="TableParagraph"/>
              <w:spacing w:before="9"/>
              <w:rPr>
                <w:rFonts w:ascii="Verdana" w:hAnsi="Verdana"/>
                <w:b/>
                <w:sz w:val="16"/>
                <w:szCs w:val="16"/>
              </w:rPr>
            </w:pPr>
          </w:p>
          <w:p w14:paraId="107AC1A8" w14:textId="77777777" w:rsidR="008715BE" w:rsidRPr="00EC75B7" w:rsidRDefault="00000000">
            <w:pPr>
              <w:pStyle w:val="TableParagraph"/>
              <w:ind w:left="6" w:right="3"/>
              <w:jc w:val="center"/>
              <w:rPr>
                <w:rFonts w:ascii="Verdana" w:hAnsi="Verdana"/>
                <w:sz w:val="16"/>
                <w:szCs w:val="16"/>
              </w:rPr>
            </w:pPr>
            <w:r w:rsidRPr="00EC75B7">
              <w:rPr>
                <w:rFonts w:ascii="Verdana" w:hAnsi="Verdana"/>
                <w:spacing w:val="-10"/>
                <w:sz w:val="16"/>
                <w:szCs w:val="16"/>
              </w:rPr>
              <w:t>S</w:t>
            </w:r>
          </w:p>
        </w:tc>
        <w:tc>
          <w:tcPr>
            <w:tcW w:w="1083" w:type="dxa"/>
          </w:tcPr>
          <w:p w14:paraId="50640FDD" w14:textId="77777777" w:rsidR="008715BE" w:rsidRPr="00EC75B7" w:rsidRDefault="008715BE">
            <w:pPr>
              <w:pStyle w:val="TableParagraph"/>
              <w:spacing w:before="9"/>
              <w:rPr>
                <w:rFonts w:ascii="Verdana" w:hAnsi="Verdana"/>
                <w:b/>
                <w:sz w:val="16"/>
                <w:szCs w:val="16"/>
              </w:rPr>
            </w:pPr>
          </w:p>
          <w:p w14:paraId="29C17637" w14:textId="77777777" w:rsidR="008715BE" w:rsidRPr="00EC75B7" w:rsidRDefault="00000000">
            <w:pPr>
              <w:pStyle w:val="TableParagraph"/>
              <w:ind w:left="6" w:right="1"/>
              <w:jc w:val="center"/>
              <w:rPr>
                <w:rFonts w:ascii="Verdana" w:hAnsi="Verdana"/>
                <w:sz w:val="16"/>
                <w:szCs w:val="16"/>
              </w:rPr>
            </w:pPr>
            <w:r w:rsidRPr="00EC75B7">
              <w:rPr>
                <w:rFonts w:ascii="Verdana" w:hAnsi="Verdana"/>
                <w:sz w:val="16"/>
                <w:szCs w:val="16"/>
              </w:rPr>
              <w:t>16 02</w:t>
            </w:r>
            <w:r w:rsidRPr="00EC75B7">
              <w:rPr>
                <w:rFonts w:ascii="Verdana" w:hAnsi="Verdana"/>
                <w:spacing w:val="-5"/>
                <w:sz w:val="16"/>
                <w:szCs w:val="16"/>
              </w:rPr>
              <w:t xml:space="preserve"> 14</w:t>
            </w:r>
          </w:p>
        </w:tc>
        <w:tc>
          <w:tcPr>
            <w:tcW w:w="4593" w:type="dxa"/>
          </w:tcPr>
          <w:p w14:paraId="7DE0E927" w14:textId="77777777" w:rsidR="008715BE" w:rsidRPr="00EC75B7" w:rsidRDefault="00000000">
            <w:pPr>
              <w:pStyle w:val="TableParagraph"/>
              <w:spacing w:line="194" w:lineRule="exact"/>
              <w:ind w:left="105" w:right="175"/>
              <w:rPr>
                <w:rFonts w:ascii="Verdana" w:hAnsi="Verdana"/>
                <w:sz w:val="16"/>
                <w:szCs w:val="16"/>
              </w:rPr>
            </w:pPr>
            <w:r w:rsidRPr="00EC75B7">
              <w:rPr>
                <w:rFonts w:ascii="Verdana" w:hAnsi="Verdana"/>
                <w:sz w:val="16"/>
                <w:szCs w:val="16"/>
              </w:rPr>
              <w:t xml:space="preserve">They will be collected in metal containers and stored in specially designated areas and handed over to </w:t>
            </w:r>
            <w:r w:rsidRPr="00EC75B7">
              <w:rPr>
                <w:rFonts w:ascii="Verdana" w:hAnsi="Verdana"/>
                <w:spacing w:val="-2"/>
                <w:sz w:val="16"/>
                <w:szCs w:val="16"/>
              </w:rPr>
              <w:t>authorized</w:t>
            </w:r>
            <w:r w:rsidRPr="00EC75B7">
              <w:rPr>
                <w:rFonts w:ascii="Verdana" w:hAnsi="Verdana"/>
                <w:sz w:val="16"/>
                <w:szCs w:val="16"/>
              </w:rPr>
              <w:t xml:space="preserve"> operators</w:t>
            </w:r>
            <w:r w:rsidRPr="00EC75B7">
              <w:rPr>
                <w:rFonts w:ascii="Verdana" w:hAnsi="Verdana"/>
                <w:spacing w:val="-2"/>
                <w:sz w:val="16"/>
                <w:szCs w:val="16"/>
              </w:rPr>
              <w:t>.</w:t>
            </w:r>
          </w:p>
        </w:tc>
      </w:tr>
    </w:tbl>
    <w:p w14:paraId="7623B14E" w14:textId="77777777" w:rsidR="008715BE" w:rsidRPr="00EC75B7" w:rsidRDefault="00000000" w:rsidP="00C60ED8">
      <w:pPr>
        <w:spacing w:line="360" w:lineRule="auto"/>
        <w:ind w:left="850" w:right="806"/>
        <w:jc w:val="both"/>
        <w:rPr>
          <w:rFonts w:ascii="Verdana" w:hAnsi="Verdana"/>
          <w:i/>
          <w:iCs/>
          <w:sz w:val="18"/>
          <w:szCs w:val="18"/>
        </w:rPr>
      </w:pPr>
      <w:r w:rsidRPr="00EC75B7">
        <w:rPr>
          <w:rFonts w:ascii="Verdana" w:hAnsi="Verdana"/>
          <w:i/>
          <w:iCs/>
          <w:sz w:val="18"/>
          <w:szCs w:val="18"/>
        </w:rPr>
        <w:t>* Physical state: Solid-S, Liquid-L, Semisolid-SS.</w:t>
      </w:r>
    </w:p>
    <w:p w14:paraId="5256064E" w14:textId="77777777" w:rsidR="008715BE" w:rsidRPr="00EC75B7" w:rsidRDefault="00000000" w:rsidP="00C60ED8">
      <w:pPr>
        <w:spacing w:line="360" w:lineRule="auto"/>
        <w:ind w:left="850" w:right="806"/>
        <w:jc w:val="both"/>
        <w:rPr>
          <w:rFonts w:ascii="Verdana" w:hAnsi="Verdana"/>
          <w:i/>
          <w:iCs/>
          <w:sz w:val="18"/>
          <w:szCs w:val="18"/>
        </w:rPr>
      </w:pPr>
      <w:r w:rsidRPr="00EC75B7">
        <w:rPr>
          <w:rFonts w:ascii="Verdana" w:hAnsi="Verdana"/>
          <w:i/>
          <w:iCs/>
          <w:sz w:val="18"/>
          <w:szCs w:val="18"/>
        </w:rPr>
        <w:t>** In accordance with the list of wastes provided for in European Commission Decision 2014/955/EU and Annex 2 to Government Decision No. 856/2002 on waste management records and for the approval of the list of wastes, including hazardous wastes, with subsequent amendments and additions.</w:t>
      </w:r>
    </w:p>
    <w:p w14:paraId="0668C46C" w14:textId="77777777" w:rsidR="00C60ED8" w:rsidRPr="00EC75B7" w:rsidRDefault="00C60ED8" w:rsidP="00C60ED8">
      <w:pPr>
        <w:spacing w:line="360" w:lineRule="auto"/>
        <w:ind w:left="850" w:right="806"/>
        <w:jc w:val="both"/>
        <w:rPr>
          <w:rFonts w:ascii="Verdana" w:hAnsi="Verdana"/>
          <w:i/>
          <w:iCs/>
          <w:sz w:val="18"/>
          <w:szCs w:val="18"/>
        </w:rPr>
      </w:pPr>
    </w:p>
    <w:p w14:paraId="493CB9AC" w14:textId="77777777" w:rsidR="008715BE" w:rsidRPr="00EC75B7" w:rsidRDefault="00000000" w:rsidP="00C60ED8">
      <w:pPr>
        <w:pStyle w:val="BodyText"/>
        <w:spacing w:line="360" w:lineRule="auto"/>
        <w:ind w:left="900" w:right="814"/>
        <w:jc w:val="both"/>
        <w:rPr>
          <w:rFonts w:ascii="Verdana" w:hAnsi="Verdana"/>
        </w:rPr>
      </w:pPr>
      <w:r w:rsidRPr="00EC75B7">
        <w:rPr>
          <w:rFonts w:ascii="Verdana" w:hAnsi="Verdana"/>
        </w:rPr>
        <w:lastRenderedPageBreak/>
        <w:t>At all stages of the project, contracts will be concluded with authorized companies that will ensure the disposal/recovery of all types of waste generated. All waste generated as a result of the project, at all stages, will be temporarily stored only on specially designed areas, on concrete platforms, under appropriate conditions, so as not to influence the activities carried out on site.</w:t>
      </w:r>
    </w:p>
    <w:p w14:paraId="062A1FE8" w14:textId="2D241652" w:rsidR="00C60ED8" w:rsidRPr="00EC75B7" w:rsidRDefault="00000000" w:rsidP="00C278FB">
      <w:pPr>
        <w:pStyle w:val="BodyText"/>
        <w:spacing w:line="360" w:lineRule="auto"/>
        <w:ind w:left="900" w:right="814"/>
        <w:jc w:val="both"/>
        <w:rPr>
          <w:rFonts w:ascii="Verdana" w:hAnsi="Verdana"/>
        </w:rPr>
      </w:pPr>
      <w:r w:rsidRPr="00EC75B7">
        <w:rPr>
          <w:rFonts w:ascii="Verdana" w:hAnsi="Verdana"/>
        </w:rPr>
        <w:t>Temporary storage of waste is carried out in accordance with the specific legislation in force, as follows:</w:t>
      </w:r>
    </w:p>
    <w:p w14:paraId="1916AE19" w14:textId="77777777" w:rsidR="00C60ED8" w:rsidRPr="00EC75B7" w:rsidRDefault="00C60ED8" w:rsidP="00C278FB">
      <w:pPr>
        <w:pStyle w:val="BodyText"/>
        <w:spacing w:line="360" w:lineRule="auto"/>
        <w:ind w:left="900" w:right="814"/>
        <w:jc w:val="both"/>
        <w:rPr>
          <w:rFonts w:ascii="Verdana" w:hAnsi="Verdana"/>
        </w:rPr>
      </w:pPr>
      <w:r w:rsidRPr="00EC75B7">
        <w:rPr>
          <w:rFonts w:ascii="Verdana" w:hAnsi="Verdana"/>
        </w:rPr>
        <w:t>•</w:t>
      </w:r>
      <w:r w:rsidRPr="00EC75B7">
        <w:rPr>
          <w:rFonts w:ascii="Verdana" w:hAnsi="Verdana"/>
        </w:rPr>
        <w:tab/>
        <w:t>on concrete platforms, covered/uncovered;</w:t>
      </w:r>
    </w:p>
    <w:p w14:paraId="1621AC02" w14:textId="77777777" w:rsidR="00C60ED8" w:rsidRPr="00EC75B7" w:rsidRDefault="00C60ED8" w:rsidP="00C278FB">
      <w:pPr>
        <w:pStyle w:val="BodyText"/>
        <w:spacing w:line="360" w:lineRule="auto"/>
        <w:ind w:left="900" w:right="814"/>
        <w:jc w:val="both"/>
        <w:rPr>
          <w:rFonts w:ascii="Verdana" w:hAnsi="Verdana"/>
        </w:rPr>
      </w:pPr>
      <w:r w:rsidRPr="00EC75B7">
        <w:rPr>
          <w:rFonts w:ascii="Verdana" w:hAnsi="Verdana"/>
        </w:rPr>
        <w:t>•</w:t>
      </w:r>
      <w:r w:rsidRPr="00EC75B7">
        <w:rPr>
          <w:rFonts w:ascii="Verdana" w:hAnsi="Verdana"/>
        </w:rPr>
        <w:tab/>
        <w:t>specially designated areas;</w:t>
      </w:r>
    </w:p>
    <w:p w14:paraId="24D081AD" w14:textId="77777777" w:rsidR="00C60ED8" w:rsidRPr="00EC75B7" w:rsidRDefault="00C60ED8" w:rsidP="00C278FB">
      <w:pPr>
        <w:pStyle w:val="BodyText"/>
        <w:spacing w:line="360" w:lineRule="auto"/>
        <w:ind w:left="900" w:right="814"/>
        <w:jc w:val="both"/>
        <w:rPr>
          <w:rFonts w:ascii="Verdana" w:hAnsi="Verdana"/>
        </w:rPr>
      </w:pPr>
      <w:r w:rsidRPr="00EC75B7">
        <w:rPr>
          <w:rFonts w:ascii="Verdana" w:hAnsi="Verdana"/>
        </w:rPr>
        <w:t>•</w:t>
      </w:r>
      <w:r w:rsidRPr="00EC75B7">
        <w:rPr>
          <w:rFonts w:ascii="Verdana" w:hAnsi="Verdana"/>
        </w:rPr>
        <w:tab/>
        <w:t>in transportable containers, metal drums;</w:t>
      </w:r>
    </w:p>
    <w:p w14:paraId="4A18A7B8" w14:textId="5C791843" w:rsidR="00C60ED8" w:rsidRPr="00EC75B7" w:rsidRDefault="00C60ED8" w:rsidP="00C278FB">
      <w:pPr>
        <w:pStyle w:val="BodyText"/>
        <w:spacing w:line="360" w:lineRule="auto"/>
        <w:ind w:left="900" w:right="814"/>
        <w:jc w:val="both"/>
        <w:rPr>
          <w:rFonts w:ascii="Verdana" w:hAnsi="Verdana"/>
        </w:rPr>
      </w:pPr>
      <w:r w:rsidRPr="00EC75B7">
        <w:rPr>
          <w:rFonts w:ascii="Verdana" w:hAnsi="Verdana"/>
        </w:rPr>
        <w:t>•</w:t>
      </w:r>
      <w:r w:rsidRPr="00EC75B7">
        <w:rPr>
          <w:rFonts w:ascii="Verdana" w:hAnsi="Verdana"/>
        </w:rPr>
        <w:tab/>
        <w:t>in closed and covered spaces.</w:t>
      </w:r>
    </w:p>
    <w:p w14:paraId="2EE72792"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Throughout all stages of the project, waste management records will be kept in accordance with Government Emergency Ordinance No. 92/2021 on waste management, as amended and supplemented, Government Decision No. 856/2002 and Law No. 249/2015 on the management of packaging and packaging waste, as amended and supplemented. All persons involved in the execution, decommissioning, and operation of the project will be trained in waste handling and sorting by category into containers specifically designated for each category of waste.</w:t>
      </w:r>
    </w:p>
    <w:p w14:paraId="74E5CAD3" w14:textId="77777777" w:rsidR="00C60ED8" w:rsidRPr="00EC75B7" w:rsidRDefault="00C60ED8" w:rsidP="00C60ED8">
      <w:pPr>
        <w:pStyle w:val="BodyText"/>
        <w:spacing w:line="360" w:lineRule="auto"/>
        <w:ind w:left="900" w:right="814"/>
        <w:jc w:val="both"/>
        <w:rPr>
          <w:rFonts w:ascii="Verdana" w:hAnsi="Verdana"/>
        </w:rPr>
      </w:pPr>
      <w:r w:rsidRPr="00EC75B7">
        <w:rPr>
          <w:rFonts w:ascii="Verdana" w:hAnsi="Verdana"/>
        </w:rPr>
        <w:t>In the case of hazardous waste, special management measures shall be taken (separate storage only on impermeable surfaces) to prevent contamination of other waste or the soil.Within the construction site, the contractor shall set up platforms specifically designed for the collection and management of all types of waste resulting from the execution of the works, equipped with bins, containers, and receptacles specifically designed for the temporary storage of waste. The platforms shall be designed to allow the safe handling of waste by authorized contractors. Temporary storage of waste shall be carried out separately for each type of waste, with each container or receptacle intended for storage being labeled with the corresponding waste code, in accordance with Government Decision 856/2002, as amended and supplemented.</w:t>
      </w:r>
    </w:p>
    <w:p w14:paraId="3C9BAC8F" w14:textId="3199D96D" w:rsidR="008715BE" w:rsidRPr="00EC75B7" w:rsidRDefault="00C60ED8" w:rsidP="009C3CA5">
      <w:pPr>
        <w:pStyle w:val="BodyText"/>
        <w:spacing w:line="360" w:lineRule="auto"/>
        <w:ind w:left="900" w:right="814"/>
        <w:jc w:val="both"/>
        <w:rPr>
          <w:rFonts w:ascii="Verdana" w:hAnsi="Verdana"/>
        </w:rPr>
        <w:sectPr w:rsidR="008715BE" w:rsidRPr="00EC75B7">
          <w:pgSz w:w="11910" w:h="16840"/>
          <w:pgMar w:top="1160" w:right="141" w:bottom="1020" w:left="425" w:header="766" w:footer="797" w:gutter="0"/>
          <w:cols w:space="708"/>
        </w:sectPr>
      </w:pPr>
      <w:r w:rsidRPr="00EC75B7">
        <w:rPr>
          <w:rFonts w:ascii="Verdana" w:hAnsi="Verdana"/>
        </w:rPr>
        <w:t>The company will have a waste management plan for the site, specifying the name of the waste produced, the waste code, the quantity produced, the quantity recovered, the destination of the waste, and the stock remaining at the end of the year. Pollution due to waste generation is considered to be insignificant. During both the construction and operation phases, the company will take all necessary measures to ensure that waste disposal and recovery are carried out in a controlled manner, without polluting the environment, so that no direct and significant impact on environmental factors is expected, but only an indirect impact through the disposal of this waste by specialized companies. In the case of WEEE (waste electrical and electronic equipment) - electrical and electronic tools, the company is obliged to recycle them in accordance with Government Decision 448/2005 on waste electrical and electronic equipment. WEEE will be collected separately and temporarily stored in a specially designed, waterproof, appropriately marked area. Hazardous waste (used transmission and hydraulic oil) will be collected by a specialized/authorized company in accordance with the contract for the replacement/disposal of used oil generated on site</w:t>
      </w:r>
      <w:r w:rsidR="00C278FB" w:rsidRPr="00EC75B7">
        <w:rPr>
          <w:rFonts w:ascii="Verdana" w:hAnsi="Verdana"/>
        </w:rPr>
        <w:t>.</w:t>
      </w:r>
    </w:p>
    <w:p w14:paraId="3B37CC68" w14:textId="77777777" w:rsidR="008715BE" w:rsidRPr="00EC75B7" w:rsidRDefault="008715BE">
      <w:pPr>
        <w:pStyle w:val="BodyText"/>
        <w:rPr>
          <w:rFonts w:ascii="Verdana" w:hAnsi="Verdana"/>
        </w:rPr>
      </w:pPr>
    </w:p>
    <w:p w14:paraId="66A97F2E" w14:textId="77777777" w:rsidR="008715BE" w:rsidRPr="00EC75B7" w:rsidRDefault="008715BE">
      <w:pPr>
        <w:pStyle w:val="BodyText"/>
        <w:spacing w:before="160"/>
        <w:rPr>
          <w:rFonts w:ascii="Verdana" w:hAnsi="Verdana"/>
        </w:rPr>
      </w:pPr>
    </w:p>
    <w:p w14:paraId="61FFE5DD" w14:textId="5CEB1108" w:rsidR="008715BE" w:rsidRPr="00EC75B7" w:rsidRDefault="00000000">
      <w:pPr>
        <w:pStyle w:val="Heading1"/>
        <w:numPr>
          <w:ilvl w:val="0"/>
          <w:numId w:val="110"/>
        </w:numPr>
        <w:tabs>
          <w:tab w:val="left" w:pos="1485"/>
        </w:tabs>
        <w:spacing w:line="720" w:lineRule="auto"/>
        <w:ind w:left="850" w:right="806" w:firstLine="0"/>
        <w:jc w:val="both"/>
        <w:rPr>
          <w:rFonts w:ascii="Verdana" w:hAnsi="Verdana"/>
          <w:sz w:val="18"/>
          <w:szCs w:val="18"/>
        </w:rPr>
      </w:pPr>
      <w:bookmarkStart w:id="29" w:name="_bookmark29"/>
      <w:bookmarkEnd w:id="29"/>
      <w:r w:rsidRPr="00EC75B7">
        <w:rPr>
          <w:rFonts w:ascii="Verdana" w:hAnsi="Verdana"/>
          <w:color w:val="00AFEF"/>
          <w:sz w:val="18"/>
          <w:szCs w:val="18"/>
        </w:rPr>
        <w:t xml:space="preserve">ANALYSIS OF </w:t>
      </w:r>
      <w:r w:rsidRPr="00EC75B7">
        <w:rPr>
          <w:rFonts w:ascii="Verdana" w:hAnsi="Verdana"/>
          <w:color w:val="00AFEF"/>
          <w:spacing w:val="-2"/>
          <w:sz w:val="18"/>
          <w:szCs w:val="18"/>
        </w:rPr>
        <w:t xml:space="preserve">FEASIBLE </w:t>
      </w:r>
      <w:r w:rsidRPr="00EC75B7">
        <w:rPr>
          <w:rFonts w:ascii="Verdana" w:hAnsi="Verdana"/>
          <w:color w:val="00AFEF"/>
          <w:sz w:val="18"/>
          <w:szCs w:val="18"/>
        </w:rPr>
        <w:t>ALTERNATIVES</w:t>
      </w:r>
    </w:p>
    <w:p w14:paraId="07009D42" w14:textId="682FF740" w:rsidR="008715BE" w:rsidRPr="00EC75B7" w:rsidRDefault="00000000" w:rsidP="001B3BB8">
      <w:pPr>
        <w:pStyle w:val="BodyText"/>
        <w:spacing w:line="360" w:lineRule="auto"/>
        <w:ind w:left="720" w:right="864"/>
        <w:jc w:val="both"/>
        <w:rPr>
          <w:rFonts w:ascii="Verdana" w:hAnsi="Verdana"/>
        </w:rPr>
      </w:pPr>
      <w:r w:rsidRPr="00EC75B7">
        <w:rPr>
          <w:rFonts w:ascii="Verdana" w:hAnsi="Verdana"/>
        </w:rPr>
        <w:t>Four alternatives were studied during the project implementation process:</w:t>
      </w:r>
    </w:p>
    <w:p w14:paraId="30864F53" w14:textId="77777777" w:rsidR="00202201" w:rsidRPr="00EC75B7" w:rsidRDefault="00000000">
      <w:pPr>
        <w:pStyle w:val="ListParagraph"/>
        <w:numPr>
          <w:ilvl w:val="0"/>
          <w:numId w:val="101"/>
        </w:numPr>
        <w:tabs>
          <w:tab w:val="left" w:pos="1483"/>
        </w:tabs>
        <w:spacing w:line="360" w:lineRule="auto"/>
        <w:ind w:left="720" w:right="864" w:firstLine="0"/>
        <w:jc w:val="both"/>
        <w:rPr>
          <w:rFonts w:ascii="Verdana" w:hAnsi="Verdana"/>
          <w:sz w:val="18"/>
          <w:szCs w:val="18"/>
        </w:rPr>
      </w:pPr>
      <w:r w:rsidRPr="00EC75B7">
        <w:rPr>
          <w:rFonts w:ascii="Verdana" w:hAnsi="Verdana"/>
          <w:sz w:val="18"/>
          <w:szCs w:val="18"/>
        </w:rPr>
        <w:t>Alternative "zero" -   without project implementation</w:t>
      </w:r>
    </w:p>
    <w:p w14:paraId="7833275B" w14:textId="77777777" w:rsidR="00202201" w:rsidRPr="00EC75B7" w:rsidRDefault="00000000">
      <w:pPr>
        <w:pStyle w:val="ListParagraph"/>
        <w:numPr>
          <w:ilvl w:val="0"/>
          <w:numId w:val="101"/>
        </w:numPr>
        <w:tabs>
          <w:tab w:val="left" w:pos="1483"/>
        </w:tabs>
        <w:spacing w:line="360" w:lineRule="auto"/>
        <w:ind w:left="720" w:right="864" w:firstLine="0"/>
        <w:jc w:val="both"/>
        <w:rPr>
          <w:rFonts w:ascii="Verdana" w:hAnsi="Verdana"/>
          <w:sz w:val="18"/>
          <w:szCs w:val="18"/>
        </w:rPr>
      </w:pPr>
      <w:r w:rsidRPr="00EC75B7">
        <w:rPr>
          <w:rFonts w:ascii="Verdana" w:hAnsi="Verdana"/>
          <w:sz w:val="18"/>
          <w:szCs w:val="18"/>
        </w:rPr>
        <w:t>Alternative I – initiated in 2011 (consisting of three wind farms) – 117 wind turbines</w:t>
      </w:r>
      <w:r w:rsidR="00202201" w:rsidRPr="00EC75B7">
        <w:rPr>
          <w:rFonts w:ascii="Verdana" w:hAnsi="Verdana"/>
          <w:sz w:val="18"/>
          <w:szCs w:val="18"/>
        </w:rPr>
        <w:t xml:space="preserve"> with a total installed capacity of 351 MW</w:t>
      </w:r>
    </w:p>
    <w:p w14:paraId="0BD1C509" w14:textId="36D1DCA4" w:rsidR="008715BE" w:rsidRPr="00EC75B7" w:rsidRDefault="00000000">
      <w:pPr>
        <w:pStyle w:val="ListParagraph"/>
        <w:numPr>
          <w:ilvl w:val="0"/>
          <w:numId w:val="101"/>
        </w:numPr>
        <w:tabs>
          <w:tab w:val="left" w:pos="1483"/>
        </w:tabs>
        <w:spacing w:line="360" w:lineRule="auto"/>
        <w:ind w:left="720" w:right="864" w:firstLine="0"/>
        <w:rPr>
          <w:rFonts w:ascii="Verdana" w:hAnsi="Verdana"/>
          <w:sz w:val="18"/>
          <w:szCs w:val="18"/>
        </w:rPr>
      </w:pPr>
      <w:r w:rsidRPr="00EC75B7">
        <w:rPr>
          <w:rFonts w:ascii="Verdana" w:hAnsi="Verdana"/>
          <w:sz w:val="18"/>
          <w:szCs w:val="18"/>
        </w:rPr>
        <w:t>Alternative II - initiated in 2022 - 48 wind turbines, with a total installed capacity</w:t>
      </w:r>
      <w:r w:rsidR="00C278FB" w:rsidRPr="00EC75B7">
        <w:t xml:space="preserve"> </w:t>
      </w:r>
      <w:r w:rsidR="00C278FB" w:rsidRPr="00EC75B7">
        <w:rPr>
          <w:rFonts w:ascii="Verdana" w:hAnsi="Verdana"/>
          <w:sz w:val="18"/>
          <w:szCs w:val="18"/>
        </w:rPr>
        <w:t>of 316.8 MW</w:t>
      </w:r>
    </w:p>
    <w:p w14:paraId="34821834" w14:textId="7928D54B" w:rsidR="008715BE" w:rsidRPr="00EC75B7" w:rsidRDefault="00000000">
      <w:pPr>
        <w:pStyle w:val="BodyText"/>
        <w:numPr>
          <w:ilvl w:val="0"/>
          <w:numId w:val="101"/>
        </w:numPr>
        <w:spacing w:line="360" w:lineRule="auto"/>
        <w:ind w:left="720" w:right="864" w:firstLine="0"/>
        <w:jc w:val="both"/>
        <w:rPr>
          <w:rFonts w:ascii="Verdana" w:hAnsi="Verdana"/>
        </w:rPr>
      </w:pPr>
      <w:r w:rsidRPr="00EC75B7">
        <w:rPr>
          <w:rFonts w:ascii="Verdana" w:hAnsi="Verdana"/>
        </w:rPr>
        <w:t>Alternative III - was initiated in 2023 after obtaining TRANSGAZ SA approval no. 34618/948/10.05.2023, following which the T17 and T23 power plants were abandoned, so the new wind farm will comprise 46 wind turbines, with a total installed capacity of 303.6 MW.</w:t>
      </w:r>
    </w:p>
    <w:p w14:paraId="7DE74858" w14:textId="103F5878" w:rsidR="008715BE" w:rsidRPr="00EC75B7" w:rsidRDefault="00000000" w:rsidP="00C60ED8">
      <w:pPr>
        <w:pStyle w:val="BodyText"/>
        <w:spacing w:line="360" w:lineRule="auto"/>
        <w:ind w:left="720" w:right="864"/>
        <w:jc w:val="both"/>
        <w:rPr>
          <w:rFonts w:ascii="Verdana" w:hAnsi="Verdana"/>
        </w:rPr>
      </w:pPr>
      <w:r w:rsidRPr="00EC75B7">
        <w:rPr>
          <w:rFonts w:ascii="Verdana" w:hAnsi="Verdana"/>
        </w:rPr>
        <w:t>In terms of location, it was chosen in 2011 based on general wind maps for Romania, which showed that Constanța County is located in an area with very good potential, with a constant speed of 6.65 m/s. The Cerchezu UAT was chosen due to its flat terrain and generally favorable NNW-S orientation.</w:t>
      </w:r>
    </w:p>
    <w:p w14:paraId="2BA6E897" w14:textId="42044171" w:rsidR="008715BE" w:rsidRPr="00EC75B7" w:rsidRDefault="00000000" w:rsidP="00202201">
      <w:pPr>
        <w:pStyle w:val="BodyText"/>
        <w:spacing w:line="360" w:lineRule="auto"/>
        <w:ind w:left="720" w:right="864"/>
        <w:jc w:val="both"/>
        <w:rPr>
          <w:rFonts w:ascii="Verdana" w:hAnsi="Verdana"/>
        </w:rPr>
      </w:pPr>
      <w:r w:rsidRPr="00EC75B7">
        <w:rPr>
          <w:rFonts w:ascii="Verdana" w:hAnsi="Verdana"/>
        </w:rPr>
        <w:t>The following aspects were taken into account when determining the locations of the wind turbines:</w:t>
      </w:r>
    </w:p>
    <w:p w14:paraId="036742E2" w14:textId="77777777" w:rsidR="00202201"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ease of contracting private land;</w:t>
      </w:r>
    </w:p>
    <w:p w14:paraId="40ED525C" w14:textId="77777777" w:rsidR="00202201"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logistical/transport accessibility;</w:t>
      </w:r>
    </w:p>
    <w:p w14:paraId="4685E6A7" w14:textId="77777777" w:rsidR="00202201"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energy potential (calculated using the windPRO program)</w:t>
      </w:r>
    </w:p>
    <w:p w14:paraId="22CFD7ED" w14:textId="77777777" w:rsidR="00202201"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distances to localities;</w:t>
      </w:r>
    </w:p>
    <w:p w14:paraId="037129AA" w14:textId="77777777" w:rsidR="00202201"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distances from the network of protected areas / Natura 2000;</w:t>
      </w:r>
    </w:p>
    <w:p w14:paraId="1D4E0648" w14:textId="5243DF2A" w:rsidR="008715BE" w:rsidRPr="00EC75B7" w:rsidRDefault="00000000">
      <w:pPr>
        <w:pStyle w:val="BodyText"/>
        <w:numPr>
          <w:ilvl w:val="0"/>
          <w:numId w:val="138"/>
        </w:numPr>
        <w:spacing w:line="360" w:lineRule="auto"/>
        <w:ind w:right="864"/>
        <w:jc w:val="both"/>
        <w:rPr>
          <w:rFonts w:ascii="Verdana" w:hAnsi="Verdana"/>
        </w:rPr>
      </w:pPr>
      <w:r w:rsidRPr="00EC75B7">
        <w:rPr>
          <w:rFonts w:ascii="Verdana" w:hAnsi="Verdana"/>
        </w:rPr>
        <w:t>proximity distances to the energy network.</w:t>
      </w:r>
    </w:p>
    <w:p w14:paraId="0A41C59B" w14:textId="349D5CD9" w:rsidR="008715BE" w:rsidRPr="00EC75B7" w:rsidRDefault="00000000" w:rsidP="00202201">
      <w:pPr>
        <w:pStyle w:val="BodyText"/>
        <w:spacing w:line="360" w:lineRule="auto"/>
        <w:ind w:left="720" w:right="864"/>
        <w:jc w:val="both"/>
        <w:rPr>
          <w:rFonts w:ascii="Verdana" w:hAnsi="Verdana"/>
        </w:rPr>
      </w:pPr>
      <w:r w:rsidRPr="00EC75B7">
        <w:rPr>
          <w:rFonts w:ascii="Verdana" w:hAnsi="Verdana"/>
        </w:rPr>
        <w:t>The advantages and disadvantages of each alternative and the justification for choosing</w:t>
      </w:r>
      <w:r w:rsidR="00202201" w:rsidRPr="00EC75B7">
        <w:rPr>
          <w:rFonts w:ascii="Verdana" w:hAnsi="Verdana"/>
        </w:rPr>
        <w:t xml:space="preserve"> </w:t>
      </w:r>
      <w:r w:rsidRPr="00EC75B7">
        <w:rPr>
          <w:rFonts w:ascii="Verdana" w:hAnsi="Verdana"/>
        </w:rPr>
        <w:t>the optimal alternative.</w:t>
      </w:r>
    </w:p>
    <w:p w14:paraId="184692DE" w14:textId="77777777" w:rsidR="008715BE" w:rsidRPr="00EC75B7" w:rsidRDefault="008715BE" w:rsidP="00C60ED8">
      <w:pPr>
        <w:pStyle w:val="BodyText"/>
        <w:spacing w:line="360" w:lineRule="auto"/>
        <w:ind w:left="720" w:right="864"/>
        <w:jc w:val="both"/>
        <w:rPr>
          <w:rFonts w:ascii="Verdana" w:hAnsi="Verdana"/>
        </w:rPr>
      </w:pPr>
    </w:p>
    <w:p w14:paraId="667D1408" w14:textId="77777777" w:rsidR="008715BE" w:rsidRPr="00EC75B7" w:rsidRDefault="00000000">
      <w:pPr>
        <w:pStyle w:val="Heading2"/>
        <w:numPr>
          <w:ilvl w:val="1"/>
          <w:numId w:val="110"/>
        </w:numPr>
        <w:tabs>
          <w:tab w:val="left" w:pos="1542"/>
        </w:tabs>
        <w:spacing w:line="360" w:lineRule="auto"/>
        <w:ind w:left="720" w:right="864" w:firstLine="0"/>
        <w:jc w:val="both"/>
        <w:rPr>
          <w:rFonts w:ascii="Verdana" w:hAnsi="Verdana"/>
          <w:color w:val="00AFEF"/>
          <w:sz w:val="18"/>
          <w:szCs w:val="18"/>
        </w:rPr>
      </w:pPr>
      <w:bookmarkStart w:id="30" w:name="_bookmark30"/>
      <w:bookmarkEnd w:id="30"/>
      <w:r w:rsidRPr="00EC75B7">
        <w:rPr>
          <w:rFonts w:ascii="Verdana" w:hAnsi="Verdana"/>
          <w:color w:val="00AFEF"/>
          <w:sz w:val="18"/>
          <w:szCs w:val="18"/>
        </w:rPr>
        <w:t xml:space="preserve">Alternative </w:t>
      </w:r>
      <w:r w:rsidRPr="00EC75B7">
        <w:rPr>
          <w:rFonts w:ascii="Verdana" w:hAnsi="Verdana"/>
          <w:color w:val="00AFEF"/>
          <w:spacing w:val="-5"/>
          <w:sz w:val="18"/>
          <w:szCs w:val="18"/>
        </w:rPr>
        <w:t>"0"</w:t>
      </w:r>
    </w:p>
    <w:p w14:paraId="67765863" w14:textId="77777777" w:rsidR="008715BE" w:rsidRPr="00EC75B7" w:rsidRDefault="008715BE" w:rsidP="00C60ED8">
      <w:pPr>
        <w:pStyle w:val="BodyText"/>
        <w:spacing w:line="360" w:lineRule="auto"/>
        <w:ind w:left="720" w:right="864"/>
        <w:jc w:val="both"/>
        <w:rPr>
          <w:rFonts w:ascii="Verdana" w:hAnsi="Verdana"/>
          <w:b/>
        </w:rPr>
      </w:pPr>
    </w:p>
    <w:p w14:paraId="4229B3DE" w14:textId="77777777" w:rsidR="008715BE" w:rsidRPr="00EC75B7" w:rsidRDefault="00000000" w:rsidP="00C60ED8">
      <w:pPr>
        <w:pStyle w:val="BodyText"/>
        <w:spacing w:line="360" w:lineRule="auto"/>
        <w:ind w:left="720" w:right="864"/>
        <w:jc w:val="both"/>
        <w:rPr>
          <w:rFonts w:ascii="Verdana" w:hAnsi="Verdana"/>
        </w:rPr>
      </w:pPr>
      <w:r w:rsidRPr="00EC75B7">
        <w:rPr>
          <w:rFonts w:ascii="Verdana" w:hAnsi="Verdana"/>
          <w:b/>
          <w:bCs/>
          <w:color w:val="00AFEF"/>
        </w:rPr>
        <w:t>Alternative "zero"</w:t>
      </w:r>
      <w:r w:rsidRPr="00EC75B7">
        <w:rPr>
          <w:rFonts w:ascii="Verdana" w:hAnsi="Verdana"/>
        </w:rPr>
        <w:t xml:space="preserve"> was considered as a reference point against which the other alternatives for the various elements of the project under analysis were compared. The main impacts associated with adopting alternative "zero" are:</w:t>
      </w:r>
    </w:p>
    <w:p w14:paraId="4E6B7A6F" w14:textId="77777777" w:rsidR="00202201"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loss of opportunity to exploit the high wind potential in this area;</w:t>
      </w:r>
    </w:p>
    <w:p w14:paraId="4C90AC85" w14:textId="77777777" w:rsidR="00202201"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loss of job opportunities (estimated at 30 to 75 direct jobs in the construction phase and 10 to 20 jobs in the operation phase);</w:t>
      </w:r>
    </w:p>
    <w:p w14:paraId="37B14413" w14:textId="77777777" w:rsidR="00202201"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pre-construction and during construction);</w:t>
      </w:r>
    </w:p>
    <w:p w14:paraId="199917E0" w14:textId="77777777" w:rsidR="00202201"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loss of economic opportunities that would support the local community in socio-economic development that would enable environmental problems to be solved;</w:t>
      </w:r>
    </w:p>
    <w:p w14:paraId="1732471B" w14:textId="77777777" w:rsidR="00202201"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loss of interest among private investors in future industrial development projects in the region and in Romania;</w:t>
      </w:r>
    </w:p>
    <w:p w14:paraId="3BFF43ED" w14:textId="5F420D3D" w:rsidR="008715BE" w:rsidRPr="00EC75B7" w:rsidRDefault="00000000">
      <w:pPr>
        <w:pStyle w:val="BodyText"/>
        <w:numPr>
          <w:ilvl w:val="0"/>
          <w:numId w:val="139"/>
        </w:numPr>
        <w:spacing w:line="360" w:lineRule="auto"/>
        <w:ind w:right="864"/>
        <w:jc w:val="both"/>
        <w:rPr>
          <w:rFonts w:ascii="Verdana" w:hAnsi="Verdana"/>
        </w:rPr>
      </w:pPr>
      <w:r w:rsidRPr="00EC75B7">
        <w:rPr>
          <w:rFonts w:ascii="Verdana" w:hAnsi="Verdana"/>
        </w:rPr>
        <w:t>loss of support for the development of a reliable alternative for electricity production in</w:t>
      </w:r>
      <w:r w:rsidR="00202201" w:rsidRPr="00EC75B7">
        <w:rPr>
          <w:rFonts w:ascii="Verdana" w:hAnsi="Verdana"/>
        </w:rPr>
        <w:t xml:space="preserve"> </w:t>
      </w:r>
      <w:r w:rsidRPr="00EC75B7">
        <w:rPr>
          <w:rFonts w:ascii="Verdana" w:hAnsi="Verdana"/>
        </w:rPr>
        <w:t>accordance with European and national policies;</w:t>
      </w:r>
    </w:p>
    <w:p w14:paraId="4ADDA26E" w14:textId="77777777" w:rsidR="008715BE" w:rsidRPr="00EC75B7" w:rsidRDefault="008715BE" w:rsidP="00C60ED8">
      <w:pPr>
        <w:pStyle w:val="BodyText"/>
        <w:spacing w:line="360" w:lineRule="auto"/>
        <w:ind w:left="720" w:right="864"/>
        <w:jc w:val="both"/>
        <w:rPr>
          <w:rFonts w:ascii="Verdana" w:hAnsi="Verdana"/>
        </w:rPr>
        <w:sectPr w:rsidR="008715BE" w:rsidRPr="00EC75B7">
          <w:pgSz w:w="11910" w:h="16840"/>
          <w:pgMar w:top="1160" w:right="141" w:bottom="1000" w:left="425" w:header="766" w:footer="797" w:gutter="0"/>
          <w:cols w:space="708"/>
        </w:sectPr>
      </w:pPr>
    </w:p>
    <w:p w14:paraId="33AD2CCE" w14:textId="77777777" w:rsidR="008715BE" w:rsidRPr="00EC75B7" w:rsidRDefault="008715BE" w:rsidP="00C60ED8">
      <w:pPr>
        <w:pStyle w:val="BodyText"/>
        <w:spacing w:line="360" w:lineRule="auto"/>
        <w:ind w:left="720" w:right="864"/>
        <w:jc w:val="both"/>
        <w:rPr>
          <w:rFonts w:ascii="Verdana" w:hAnsi="Verdana"/>
        </w:rPr>
      </w:pPr>
    </w:p>
    <w:p w14:paraId="159CA252" w14:textId="77777777" w:rsidR="008715BE" w:rsidRPr="00EC75B7" w:rsidRDefault="00000000" w:rsidP="00C60ED8">
      <w:pPr>
        <w:pStyle w:val="ListParagraph"/>
        <w:numPr>
          <w:ilvl w:val="0"/>
          <w:numId w:val="100"/>
        </w:numPr>
        <w:tabs>
          <w:tab w:val="left" w:pos="1485"/>
        </w:tabs>
        <w:spacing w:line="360" w:lineRule="auto"/>
        <w:ind w:left="720" w:right="864" w:firstLine="0"/>
        <w:jc w:val="both"/>
        <w:rPr>
          <w:rFonts w:ascii="Verdana" w:hAnsi="Verdana"/>
          <w:sz w:val="18"/>
          <w:szCs w:val="18"/>
        </w:rPr>
      </w:pPr>
      <w:r w:rsidRPr="00EC75B7">
        <w:rPr>
          <w:rFonts w:ascii="Verdana" w:hAnsi="Verdana"/>
          <w:sz w:val="18"/>
          <w:szCs w:val="18"/>
        </w:rPr>
        <w:t>failure to achieve the objectives set at national level regarding the decarbonisation of the energy sector and the promotion of renewable energy resources for a Romania that is neutral in terms of GHG emissions by 2050.</w:t>
      </w:r>
    </w:p>
    <w:p w14:paraId="350BE235" w14:textId="77777777" w:rsidR="008715BE" w:rsidRPr="00EC75B7" w:rsidRDefault="008715BE" w:rsidP="00C60ED8">
      <w:pPr>
        <w:pStyle w:val="BodyText"/>
        <w:spacing w:line="360" w:lineRule="auto"/>
        <w:ind w:left="720" w:right="864"/>
        <w:jc w:val="both"/>
        <w:rPr>
          <w:rFonts w:ascii="Verdana" w:hAnsi="Verdana"/>
        </w:rPr>
      </w:pPr>
    </w:p>
    <w:p w14:paraId="23F1CA7F" w14:textId="77777777" w:rsidR="008715BE" w:rsidRPr="00EC75B7" w:rsidRDefault="008715BE" w:rsidP="00C60ED8">
      <w:pPr>
        <w:pStyle w:val="BodyText"/>
        <w:spacing w:line="360" w:lineRule="auto"/>
        <w:ind w:left="720" w:right="864"/>
        <w:jc w:val="both"/>
        <w:rPr>
          <w:rFonts w:ascii="Verdana" w:hAnsi="Verdana"/>
        </w:rPr>
      </w:pPr>
    </w:p>
    <w:p w14:paraId="0DF2294E" w14:textId="77777777" w:rsidR="008715BE" w:rsidRPr="00EC75B7" w:rsidRDefault="00000000">
      <w:pPr>
        <w:pStyle w:val="Heading2"/>
        <w:numPr>
          <w:ilvl w:val="1"/>
          <w:numId w:val="110"/>
        </w:numPr>
        <w:tabs>
          <w:tab w:val="left" w:pos="1542"/>
        </w:tabs>
        <w:spacing w:line="360" w:lineRule="auto"/>
        <w:ind w:left="720" w:right="864" w:firstLine="0"/>
        <w:jc w:val="both"/>
        <w:rPr>
          <w:rFonts w:ascii="Verdana" w:hAnsi="Verdana"/>
          <w:color w:val="00AFEF"/>
          <w:sz w:val="18"/>
          <w:szCs w:val="18"/>
        </w:rPr>
      </w:pPr>
      <w:bookmarkStart w:id="31" w:name="_bookmark31"/>
      <w:bookmarkEnd w:id="31"/>
      <w:r w:rsidRPr="00EC75B7">
        <w:rPr>
          <w:rFonts w:ascii="Verdana" w:hAnsi="Verdana"/>
          <w:color w:val="00AFEF"/>
          <w:sz w:val="18"/>
          <w:szCs w:val="18"/>
        </w:rPr>
        <w:t xml:space="preserve">Alternatives identified and </w:t>
      </w:r>
      <w:r w:rsidRPr="00EC75B7">
        <w:rPr>
          <w:rFonts w:ascii="Verdana" w:hAnsi="Verdana"/>
          <w:color w:val="00AFEF"/>
          <w:spacing w:val="-2"/>
          <w:sz w:val="18"/>
          <w:szCs w:val="18"/>
        </w:rPr>
        <w:t>studied</w:t>
      </w:r>
    </w:p>
    <w:p w14:paraId="1E274D89" w14:textId="77777777" w:rsidR="008715BE" w:rsidRPr="00EC75B7" w:rsidRDefault="008715BE" w:rsidP="00C60ED8">
      <w:pPr>
        <w:pStyle w:val="BodyText"/>
        <w:spacing w:line="360" w:lineRule="auto"/>
        <w:ind w:left="720" w:right="864"/>
        <w:jc w:val="both"/>
        <w:rPr>
          <w:rFonts w:ascii="Verdana" w:hAnsi="Verdana"/>
          <w:b/>
        </w:rPr>
      </w:pPr>
    </w:p>
    <w:p w14:paraId="64D63D16" w14:textId="77777777" w:rsidR="008715BE" w:rsidRPr="00EC75B7" w:rsidRDefault="00000000" w:rsidP="00C60ED8">
      <w:pPr>
        <w:pStyle w:val="BodyText"/>
        <w:spacing w:line="360" w:lineRule="auto"/>
        <w:ind w:left="720" w:right="864"/>
        <w:jc w:val="both"/>
        <w:rPr>
          <w:rFonts w:ascii="Verdana" w:hAnsi="Verdana"/>
        </w:rPr>
      </w:pPr>
      <w:r w:rsidRPr="00EC75B7">
        <w:rPr>
          <w:rFonts w:ascii="Verdana" w:hAnsi="Verdana"/>
          <w:b/>
          <w:bCs/>
          <w:color w:val="00B0F0"/>
        </w:rPr>
        <w:t>Alternative I</w:t>
      </w:r>
      <w:r w:rsidRPr="00EC75B7">
        <w:rPr>
          <w:rFonts w:ascii="Verdana" w:hAnsi="Verdana"/>
          <w:color w:val="00B0F0"/>
          <w:sz w:val="22"/>
          <w:szCs w:val="22"/>
        </w:rPr>
        <w:t xml:space="preserve"> </w:t>
      </w:r>
      <w:r w:rsidRPr="00EC75B7">
        <w:rPr>
          <w:rFonts w:ascii="Verdana" w:hAnsi="Verdana"/>
        </w:rPr>
        <w:t>consists of three wind farms comprising 117 wind turbines of 3 MW/turbine, with a total farm capacity of 351 MW and three transformer stations.</w:t>
      </w:r>
    </w:p>
    <w:p w14:paraId="09F2574D" w14:textId="77777777" w:rsidR="008715BE" w:rsidRPr="00EC75B7" w:rsidRDefault="00000000" w:rsidP="00C60ED8">
      <w:pPr>
        <w:pStyle w:val="BodyText"/>
        <w:spacing w:line="360" w:lineRule="auto"/>
        <w:ind w:left="720" w:right="864"/>
        <w:jc w:val="both"/>
        <w:rPr>
          <w:rFonts w:ascii="Verdana" w:hAnsi="Verdana"/>
        </w:rPr>
      </w:pPr>
      <w:r w:rsidRPr="00EC75B7">
        <w:rPr>
          <w:rFonts w:ascii="Verdana" w:hAnsi="Verdana"/>
        </w:rPr>
        <w:t>This option requires a total land area of 473.09 ha (according to the scoping decisions issued in 2013: DEI 14866/29.04.2013, DEI 14867/22.04.2013, DEI 14868/22.04.2013), of which 3.90 ha are permanently occupied by buildings and 469.19 ha are temporarily occupied by works. In this variant, the land with its current agricultural function - arable land - requires the transformation of its use category into "technical and urban facilities", which implies the removal of 5 ha of arable land from agricultural use.</w:t>
      </w:r>
    </w:p>
    <w:p w14:paraId="310BE470" w14:textId="77777777" w:rsidR="008715BE" w:rsidRPr="00EC75B7" w:rsidRDefault="00000000" w:rsidP="00202201">
      <w:pPr>
        <w:pStyle w:val="BodyText"/>
        <w:spacing w:before="125" w:line="357" w:lineRule="auto"/>
        <w:ind w:left="720" w:right="851"/>
        <w:jc w:val="both"/>
        <w:rPr>
          <w:rFonts w:ascii="Verdana" w:hAnsi="Verdana"/>
        </w:rPr>
      </w:pPr>
      <w:r w:rsidRPr="00EC75B7">
        <w:rPr>
          <w:rFonts w:ascii="Verdana" w:hAnsi="Verdana"/>
        </w:rPr>
        <w:t xml:space="preserve">The </w:t>
      </w:r>
      <w:r w:rsidRPr="00EC75B7">
        <w:rPr>
          <w:rFonts w:ascii="Verdana" w:hAnsi="Verdana"/>
          <w:b/>
          <w:bCs/>
          <w:color w:val="00B0F0"/>
        </w:rPr>
        <w:t>advantage</w:t>
      </w:r>
      <w:r w:rsidRPr="00EC75B7">
        <w:rPr>
          <w:rFonts w:ascii="Verdana" w:hAnsi="Verdana"/>
        </w:rPr>
        <w:t xml:space="preserve"> of this alternative is the total power of 351 MW of the three wind farms, which will replace an equivalent amount of electricity produced from fossil fuels, thus contributing to the fulfillment of national and European commitments to decarbonize the energy system and diversify energy production sources, ensuring energy independence.</w:t>
      </w:r>
    </w:p>
    <w:p w14:paraId="304770C2" w14:textId="77777777" w:rsidR="008715BE" w:rsidRPr="00EC75B7" w:rsidRDefault="00000000" w:rsidP="00202201">
      <w:pPr>
        <w:pStyle w:val="BodyText"/>
        <w:spacing w:before="123" w:line="357" w:lineRule="auto"/>
        <w:ind w:left="720" w:right="847"/>
        <w:jc w:val="both"/>
        <w:rPr>
          <w:rFonts w:ascii="Verdana" w:hAnsi="Verdana"/>
        </w:rPr>
      </w:pPr>
      <w:r w:rsidRPr="00EC75B7">
        <w:rPr>
          <w:rFonts w:ascii="Verdana" w:hAnsi="Verdana"/>
        </w:rPr>
        <w:t xml:space="preserve">The </w:t>
      </w:r>
      <w:r w:rsidRPr="00EC75B7">
        <w:rPr>
          <w:rFonts w:ascii="Verdana" w:hAnsi="Verdana"/>
          <w:b/>
          <w:bCs/>
          <w:color w:val="00B0F0"/>
        </w:rPr>
        <w:t>disadvantage</w:t>
      </w:r>
      <w:r w:rsidRPr="00EC75B7">
        <w:rPr>
          <w:rFonts w:ascii="Verdana" w:hAnsi="Verdana"/>
        </w:rPr>
        <w:t xml:space="preserve"> of Alternative I is the large number of wind turbines envisaged in the project, which implies a high density of turbine locations with effects on inhabited areas through an increase in noise levels, intensification of the shadowing phenomenon, and agglomeration of the natural landscape.</w:t>
      </w:r>
    </w:p>
    <w:p w14:paraId="3FBD94AC" w14:textId="77777777" w:rsidR="008715BE" w:rsidRPr="00EC75B7" w:rsidRDefault="00000000" w:rsidP="00202201">
      <w:pPr>
        <w:pStyle w:val="BodyText"/>
        <w:spacing w:before="122" w:line="360" w:lineRule="auto"/>
        <w:ind w:left="720" w:right="855"/>
        <w:jc w:val="both"/>
        <w:rPr>
          <w:rFonts w:ascii="Verdana" w:hAnsi="Verdana"/>
        </w:rPr>
      </w:pPr>
      <w:r w:rsidRPr="00EC75B7">
        <w:rPr>
          <w:rFonts w:ascii="Verdana" w:hAnsi="Verdana"/>
        </w:rPr>
        <w:t>Added to this is the area of land affected by the construction of new roads, foundations, and platforms for the 117 wind turbines and three transformer stations.</w:t>
      </w:r>
    </w:p>
    <w:p w14:paraId="66FD6E49" w14:textId="77777777" w:rsidR="008715BE" w:rsidRPr="00EC75B7" w:rsidRDefault="00000000" w:rsidP="00C278FB">
      <w:pPr>
        <w:pStyle w:val="BodyText"/>
        <w:spacing w:before="122" w:line="360" w:lineRule="auto"/>
        <w:ind w:left="720" w:right="855"/>
        <w:jc w:val="both"/>
        <w:rPr>
          <w:rFonts w:ascii="Verdana" w:hAnsi="Verdana"/>
        </w:rPr>
      </w:pPr>
      <w:r w:rsidRPr="00EC75B7">
        <w:rPr>
          <w:rFonts w:ascii="Verdana" w:hAnsi="Verdana"/>
        </w:rPr>
        <w:t>Furthermore, in 2011, when the Appropriate Assessment Study was carried out for the three parks around Cerchezu, from which the analyzed project was derived, the ROSPA0166 site was not declared a protected area, and the Adequacy Assessment Study was not based on an assessment in relation to the conservation objectives of Natura 2000 sites, as the specific conservation objectives had not been defined at that time. The main conclusion of this Appropriate Assessment Study was that the location of wind turbines in the area of interest, which is already anthropized, will have an insignificant impact on local vegetation, flora, and fauna.</w:t>
      </w:r>
    </w:p>
    <w:p w14:paraId="1A8FB431" w14:textId="2D2E7672" w:rsidR="008715BE" w:rsidRPr="00EC75B7" w:rsidRDefault="00000000" w:rsidP="00C278FB">
      <w:pPr>
        <w:pStyle w:val="BodyText"/>
        <w:spacing w:before="122" w:line="360" w:lineRule="auto"/>
        <w:ind w:left="720" w:right="855"/>
        <w:jc w:val="both"/>
        <w:rPr>
          <w:rFonts w:ascii="Verdana" w:hAnsi="Verdana"/>
        </w:rPr>
      </w:pPr>
      <w:r w:rsidRPr="00EC75B7">
        <w:rPr>
          <w:rFonts w:ascii="Verdana" w:hAnsi="Verdana"/>
          <w:b/>
          <w:bCs/>
          <w:color w:val="00B0F0"/>
        </w:rPr>
        <w:t>Alternative II</w:t>
      </w:r>
      <w:r w:rsidRPr="00EC75B7">
        <w:rPr>
          <w:rFonts w:ascii="Verdana" w:hAnsi="Verdana"/>
        </w:rPr>
        <w:t xml:space="preserve"> consists of building a wind farm consisting of 48 wind turbines with a capacity of</w:t>
      </w:r>
      <w:r w:rsidR="00C278FB" w:rsidRPr="00EC75B7">
        <w:rPr>
          <w:rFonts w:ascii="Verdana" w:hAnsi="Verdana"/>
        </w:rPr>
        <w:t xml:space="preserve"> </w:t>
      </w:r>
      <w:r w:rsidRPr="00EC75B7">
        <w:rPr>
          <w:rFonts w:ascii="Verdana" w:hAnsi="Verdana"/>
        </w:rPr>
        <w:t>6.6 MW/turbine, with a total park capacity of 316.8 MW and 4 transformer stations.</w:t>
      </w:r>
    </w:p>
    <w:p w14:paraId="16007F8A" w14:textId="77777777" w:rsidR="008715BE" w:rsidRPr="00EC75B7" w:rsidRDefault="00000000" w:rsidP="00C278FB">
      <w:pPr>
        <w:pStyle w:val="BodyText"/>
        <w:spacing w:before="122" w:line="360" w:lineRule="auto"/>
        <w:ind w:left="720" w:right="855"/>
        <w:jc w:val="both"/>
        <w:rPr>
          <w:rFonts w:ascii="Verdana" w:hAnsi="Verdana"/>
        </w:rPr>
      </w:pPr>
      <w:r w:rsidRPr="00EC75B7">
        <w:rPr>
          <w:rFonts w:ascii="Verdana" w:hAnsi="Verdana"/>
        </w:rPr>
        <w:t>This option requires a total land area of 3,027.77 ha, of which 309.34 ha will be permanently occupied by buildings and 2,718.43 ha will be temporarily occupied by construction works. In this option, the land currently used for agriculture - arable land - needs to be reclassified as "technical and urban facilities," which means taking 309.34 ha of arable land out of agricultural use.</w:t>
      </w:r>
    </w:p>
    <w:p w14:paraId="2C298C67" w14:textId="77777777" w:rsidR="008715BE" w:rsidRPr="00EC75B7" w:rsidRDefault="00000000" w:rsidP="00C278FB">
      <w:pPr>
        <w:pStyle w:val="BodyText"/>
        <w:spacing w:before="122" w:line="360" w:lineRule="auto"/>
        <w:ind w:left="720" w:right="855"/>
        <w:jc w:val="both"/>
        <w:rPr>
          <w:rFonts w:ascii="Verdana" w:hAnsi="Verdana"/>
        </w:rPr>
      </w:pPr>
      <w:r w:rsidRPr="00EC75B7">
        <w:rPr>
          <w:rFonts w:ascii="Verdana" w:hAnsi="Verdana"/>
        </w:rPr>
        <w:t xml:space="preserve">The </w:t>
      </w:r>
      <w:r w:rsidRPr="00EC75B7">
        <w:rPr>
          <w:rFonts w:ascii="Verdana" w:hAnsi="Verdana"/>
          <w:b/>
          <w:bCs/>
          <w:color w:val="00B0F0"/>
        </w:rPr>
        <w:t>advantage of this alternative</w:t>
      </w:r>
      <w:r w:rsidRPr="00EC75B7">
        <w:rPr>
          <w:rFonts w:ascii="Verdana" w:hAnsi="Verdana"/>
        </w:rPr>
        <w:t xml:space="preserve"> is the significantly lower number of turbines, which minimises the disadvantages of the first option, and the greater distance between the turbines.</w:t>
      </w:r>
    </w:p>
    <w:p w14:paraId="0708D85E" w14:textId="1EE6515C" w:rsidR="00C278FB" w:rsidRPr="00EC75B7" w:rsidRDefault="00000000" w:rsidP="00C278FB">
      <w:pPr>
        <w:pStyle w:val="BodyText"/>
        <w:spacing w:before="122" w:line="360" w:lineRule="auto"/>
        <w:ind w:left="720" w:right="855"/>
        <w:jc w:val="both"/>
        <w:rPr>
          <w:rFonts w:ascii="Verdana" w:hAnsi="Verdana"/>
        </w:rPr>
      </w:pPr>
      <w:r w:rsidRPr="00EC75B7">
        <w:rPr>
          <w:rFonts w:ascii="Verdana" w:hAnsi="Verdana"/>
        </w:rPr>
        <w:t xml:space="preserve">By reducing the number of turbines provided for in the project, the distance between wind farms is increased to over 600 m, compared to approximately 350 m in the situation approved in 2011, and the lower density results in a more balanced use of natural resources and reduces pressure on biodiversity both during the </w:t>
      </w:r>
      <w:r w:rsidRPr="00EC75B7">
        <w:rPr>
          <w:rFonts w:ascii="Verdana" w:hAnsi="Verdana"/>
        </w:rPr>
        <w:lastRenderedPageBreak/>
        <w:t>project implementation period and during the wind farm's operation.</w:t>
      </w:r>
    </w:p>
    <w:p w14:paraId="7961503B" w14:textId="77777777" w:rsidR="00C278FB" w:rsidRPr="00EC75B7" w:rsidRDefault="00C278FB" w:rsidP="00C278FB">
      <w:pPr>
        <w:pStyle w:val="BodyText"/>
        <w:spacing w:line="357" w:lineRule="auto"/>
        <w:ind w:left="720" w:right="994"/>
        <w:jc w:val="both"/>
        <w:rPr>
          <w:rFonts w:ascii="Verdana" w:hAnsi="Verdana"/>
        </w:rPr>
      </w:pPr>
      <w:r w:rsidRPr="00EC75B7">
        <w:rPr>
          <w:rFonts w:ascii="Verdana" w:hAnsi="Verdana"/>
        </w:rPr>
        <w:t xml:space="preserve">The </w:t>
      </w:r>
      <w:r w:rsidRPr="00EC75B7">
        <w:rPr>
          <w:rFonts w:ascii="Verdana" w:hAnsi="Verdana"/>
          <w:b/>
          <w:bCs/>
          <w:color w:val="00B0F0"/>
        </w:rPr>
        <w:t>disadvantage of Alternative II</w:t>
      </w:r>
      <w:r w:rsidRPr="00EC75B7">
        <w:rPr>
          <w:rFonts w:ascii="Verdana" w:hAnsi="Verdana"/>
        </w:rPr>
        <w:t xml:space="preserve"> is the lower power of the energy park and the incompatibility of the T17 and T23 turbine sites with the natural gas transmission network, which led to the emergence of Alternative III.</w:t>
      </w:r>
    </w:p>
    <w:p w14:paraId="254FEF95" w14:textId="77777777" w:rsidR="00C278FB" w:rsidRPr="00EC75B7" w:rsidRDefault="00C278FB" w:rsidP="00C278FB">
      <w:pPr>
        <w:pStyle w:val="BodyText"/>
        <w:spacing w:line="357" w:lineRule="auto"/>
        <w:ind w:left="720" w:right="994"/>
        <w:jc w:val="both"/>
        <w:rPr>
          <w:rFonts w:ascii="Verdana" w:hAnsi="Verdana"/>
        </w:rPr>
      </w:pPr>
      <w:r w:rsidRPr="00EC75B7">
        <w:rPr>
          <w:rFonts w:ascii="Verdana" w:hAnsi="Verdana"/>
          <w:b/>
          <w:bCs/>
          <w:color w:val="00B0F0"/>
        </w:rPr>
        <w:t>Alternative III</w:t>
      </w:r>
      <w:r w:rsidRPr="00EC75B7">
        <w:rPr>
          <w:rFonts w:ascii="Verdana" w:hAnsi="Verdana"/>
        </w:rPr>
        <w:t xml:space="preserve"> consists of building a wind farm consisting of 46 wind turbines with individual power ranging from 6.2 to 7 MW/turbine, with a total power of 303.6 MW and two transformer stations.</w:t>
      </w:r>
    </w:p>
    <w:p w14:paraId="06A6DC42" w14:textId="77777777" w:rsidR="00C278FB" w:rsidRPr="00EC75B7" w:rsidRDefault="00C278FB" w:rsidP="00C278FB">
      <w:pPr>
        <w:pStyle w:val="BodyText"/>
        <w:spacing w:line="357" w:lineRule="auto"/>
        <w:ind w:left="720" w:right="994"/>
        <w:jc w:val="both"/>
        <w:rPr>
          <w:rFonts w:ascii="Verdana" w:hAnsi="Verdana"/>
        </w:rPr>
      </w:pPr>
      <w:r w:rsidRPr="00EC75B7">
        <w:rPr>
          <w:rFonts w:ascii="Verdana" w:hAnsi="Verdana"/>
        </w:rPr>
        <w:t>This option requires a total land area of 3,027.77 ha, of which 292.52 ha will be permanently occupied by buildings and 2,735.25 ha will be temporarily occupied by works, as identified in the Zonal Urban Plan phase. In this option, the land currently used for agriculture - arable land - needs to be reclassified as "technical and urban facilities," which means taking about 30 ha of arable land out of agricultural use.</w:t>
      </w:r>
    </w:p>
    <w:p w14:paraId="4A5C7B23" w14:textId="77777777" w:rsidR="00C278FB" w:rsidRPr="00EC75B7" w:rsidRDefault="00C278FB" w:rsidP="00C278FB">
      <w:pPr>
        <w:pStyle w:val="BodyText"/>
        <w:spacing w:line="357" w:lineRule="auto"/>
        <w:ind w:left="720" w:right="994"/>
        <w:jc w:val="both"/>
        <w:rPr>
          <w:rFonts w:ascii="Verdana" w:hAnsi="Verdana"/>
        </w:rPr>
      </w:pPr>
      <w:r w:rsidRPr="00EC75B7">
        <w:rPr>
          <w:rFonts w:ascii="Verdana" w:hAnsi="Verdana"/>
          <w:b/>
          <w:bCs/>
          <w:color w:val="00B0F0"/>
        </w:rPr>
        <w:t>The advantage of this alternative</w:t>
      </w:r>
      <w:r w:rsidRPr="00EC75B7">
        <w:rPr>
          <w:rFonts w:ascii="Verdana" w:hAnsi="Verdana"/>
        </w:rPr>
        <w:t xml:space="preserve"> is its compatibility with the natural gas transport network, in addition to the advantages of Alternative II related to the smaller number of wind turbines and lower density.</w:t>
      </w:r>
    </w:p>
    <w:p w14:paraId="1092207B" w14:textId="77777777" w:rsidR="00C278FB" w:rsidRPr="00EC75B7" w:rsidRDefault="00C278FB" w:rsidP="00C278FB">
      <w:pPr>
        <w:pStyle w:val="BodyText"/>
        <w:spacing w:line="357" w:lineRule="auto"/>
        <w:ind w:left="720" w:right="994"/>
        <w:jc w:val="both"/>
        <w:rPr>
          <w:rFonts w:ascii="Verdana" w:hAnsi="Verdana"/>
        </w:rPr>
      </w:pPr>
      <w:r w:rsidRPr="00EC75B7">
        <w:rPr>
          <w:rFonts w:ascii="Verdana" w:hAnsi="Verdana"/>
          <w:b/>
          <w:bCs/>
          <w:color w:val="00B0F0"/>
        </w:rPr>
        <w:t>The disadvantage of Alternative III</w:t>
      </w:r>
      <w:r w:rsidRPr="00EC75B7">
        <w:rPr>
          <w:rFonts w:ascii="Verdana" w:hAnsi="Verdana"/>
        </w:rPr>
        <w:t xml:space="preserve"> is the lower amount of electricity produced. </w:t>
      </w:r>
    </w:p>
    <w:p w14:paraId="58ECB92B" w14:textId="6698D78D" w:rsidR="00C278FB" w:rsidRPr="00EC75B7" w:rsidRDefault="00C278FB" w:rsidP="00C278FB">
      <w:pPr>
        <w:pStyle w:val="BodyText"/>
        <w:spacing w:line="357" w:lineRule="auto"/>
        <w:ind w:left="720" w:right="994"/>
        <w:jc w:val="both"/>
        <w:rPr>
          <w:rFonts w:ascii="Verdana" w:hAnsi="Verdana"/>
        </w:rPr>
      </w:pPr>
      <w:r w:rsidRPr="00EC75B7">
        <w:rPr>
          <w:rFonts w:ascii="Verdana" w:hAnsi="Verdana"/>
        </w:rPr>
        <w:t xml:space="preserve">Following the analysis of the alternatives, </w:t>
      </w:r>
      <w:r w:rsidRPr="00EC75B7">
        <w:rPr>
          <w:rFonts w:ascii="Verdana" w:hAnsi="Verdana"/>
          <w:b/>
          <w:bCs/>
          <w:color w:val="00B0F0"/>
        </w:rPr>
        <w:t>Alternative III</w:t>
      </w:r>
      <w:r w:rsidRPr="00EC75B7">
        <w:rPr>
          <w:rFonts w:ascii="Verdana" w:hAnsi="Verdana"/>
        </w:rPr>
        <w:t xml:space="preserve"> is considered optimal for the following reasons:</w:t>
      </w:r>
    </w:p>
    <w:p w14:paraId="1006EB77" w14:textId="3513D243" w:rsidR="008715BE" w:rsidRPr="00EC75B7" w:rsidRDefault="00C278FB" w:rsidP="00903DD2">
      <w:pPr>
        <w:pStyle w:val="BodyText"/>
        <w:spacing w:line="357" w:lineRule="auto"/>
        <w:ind w:left="720" w:right="994"/>
        <w:jc w:val="both"/>
        <w:rPr>
          <w:rFonts w:ascii="Verdana" w:hAnsi="Verdana"/>
        </w:rPr>
        <w:sectPr w:rsidR="008715BE" w:rsidRPr="00EC75B7">
          <w:pgSz w:w="11910" w:h="16840"/>
          <w:pgMar w:top="1160" w:right="141" w:bottom="1020" w:left="425" w:header="766" w:footer="797" w:gutter="0"/>
          <w:cols w:space="708"/>
        </w:sectPr>
      </w:pPr>
      <w:r w:rsidRPr="00EC75B7">
        <w:rPr>
          <w:rFonts w:ascii="Verdana" w:hAnsi="Verdana"/>
        </w:rPr>
        <w:t>a)</w:t>
      </w:r>
      <w:r w:rsidRPr="00EC75B7">
        <w:rPr>
          <w:rFonts w:ascii="Verdana" w:hAnsi="Verdana"/>
        </w:rPr>
        <w:tab/>
        <w:t>minimisation of negative environmental impacts by reducing the number of wind turbines; more efficient use of air currents through optimal positioning of the turbines in relation to each other, at greater distances, which leads to their operation in the best conditions and increased efficiency of the wind farm.</w:t>
      </w:r>
    </w:p>
    <w:p w14:paraId="7483DAE4" w14:textId="77777777" w:rsidR="008715BE" w:rsidRPr="00EC75B7" w:rsidRDefault="008715BE">
      <w:pPr>
        <w:pStyle w:val="BodyText"/>
        <w:spacing w:before="53"/>
        <w:rPr>
          <w:rFonts w:ascii="Verdana" w:hAnsi="Verdana"/>
        </w:rPr>
      </w:pPr>
    </w:p>
    <w:p w14:paraId="0171528B" w14:textId="77777777" w:rsidR="008715BE" w:rsidRPr="00EC75B7" w:rsidRDefault="00000000">
      <w:pPr>
        <w:pStyle w:val="Heading1"/>
        <w:numPr>
          <w:ilvl w:val="0"/>
          <w:numId w:val="110"/>
        </w:numPr>
        <w:tabs>
          <w:tab w:val="left" w:pos="1485"/>
          <w:tab w:val="left" w:pos="3851"/>
          <w:tab w:val="left" w:pos="6236"/>
          <w:tab w:val="left" w:pos="8419"/>
          <w:tab w:val="left" w:pos="9356"/>
        </w:tabs>
        <w:ind w:hanging="633"/>
        <w:jc w:val="left"/>
        <w:rPr>
          <w:rFonts w:ascii="Verdana" w:hAnsi="Verdana"/>
          <w:sz w:val="18"/>
          <w:szCs w:val="18"/>
        </w:rPr>
      </w:pPr>
      <w:bookmarkStart w:id="32" w:name="_bookmark32"/>
      <w:bookmarkEnd w:id="32"/>
      <w:r w:rsidRPr="00EC75B7">
        <w:rPr>
          <w:rFonts w:ascii="Verdana" w:hAnsi="Verdana"/>
          <w:color w:val="00AFEF"/>
          <w:spacing w:val="-2"/>
          <w:sz w:val="18"/>
          <w:szCs w:val="18"/>
        </w:rPr>
        <w:t>DESCRIPTION</w:t>
      </w:r>
      <w:r w:rsidRPr="00EC75B7">
        <w:rPr>
          <w:rFonts w:ascii="Verdana" w:hAnsi="Verdana"/>
          <w:color w:val="00AFEF"/>
          <w:sz w:val="18"/>
          <w:szCs w:val="18"/>
        </w:rPr>
        <w:tab/>
      </w:r>
      <w:r w:rsidRPr="00EC75B7">
        <w:rPr>
          <w:rFonts w:ascii="Verdana" w:hAnsi="Verdana"/>
          <w:color w:val="00AFEF"/>
          <w:spacing w:val="-2"/>
          <w:sz w:val="18"/>
          <w:szCs w:val="18"/>
        </w:rPr>
        <w:t>OF</w:t>
      </w:r>
      <w:r w:rsidRPr="00EC75B7">
        <w:rPr>
          <w:rFonts w:ascii="Verdana" w:hAnsi="Verdana"/>
          <w:color w:val="00AFEF"/>
          <w:sz w:val="18"/>
          <w:szCs w:val="18"/>
        </w:rPr>
        <w:tab/>
      </w:r>
      <w:r w:rsidRPr="00EC75B7">
        <w:rPr>
          <w:rFonts w:ascii="Verdana" w:hAnsi="Verdana"/>
          <w:color w:val="00AFEF"/>
          <w:spacing w:val="-2"/>
          <w:sz w:val="18"/>
          <w:szCs w:val="18"/>
        </w:rPr>
        <w:t>RELEVANT</w:t>
      </w:r>
      <w:r w:rsidRPr="00EC75B7">
        <w:rPr>
          <w:rFonts w:ascii="Verdana" w:hAnsi="Verdana"/>
          <w:color w:val="00AFEF"/>
          <w:sz w:val="18"/>
          <w:szCs w:val="18"/>
        </w:rPr>
        <w:tab/>
      </w:r>
      <w:r w:rsidRPr="00EC75B7">
        <w:rPr>
          <w:rFonts w:ascii="Verdana" w:hAnsi="Verdana"/>
          <w:color w:val="00AFEF"/>
          <w:spacing w:val="-5"/>
          <w:sz w:val="18"/>
          <w:szCs w:val="18"/>
        </w:rPr>
        <w:t>OF</w:t>
      </w:r>
      <w:r w:rsidRPr="00EC75B7">
        <w:rPr>
          <w:rFonts w:ascii="Verdana" w:hAnsi="Verdana"/>
          <w:color w:val="00AFEF"/>
          <w:sz w:val="18"/>
          <w:szCs w:val="18"/>
        </w:rPr>
        <w:tab/>
      </w:r>
      <w:r w:rsidRPr="00EC75B7">
        <w:rPr>
          <w:rFonts w:ascii="Verdana" w:hAnsi="Verdana"/>
          <w:color w:val="00AFEF"/>
          <w:spacing w:val="-2"/>
          <w:sz w:val="18"/>
          <w:szCs w:val="18"/>
        </w:rPr>
        <w:t>CURRENT</w:t>
      </w:r>
    </w:p>
    <w:p w14:paraId="73785FC1" w14:textId="77777777" w:rsidR="008715BE" w:rsidRPr="00EC75B7" w:rsidRDefault="00000000">
      <w:pPr>
        <w:spacing w:before="169"/>
        <w:ind w:left="1485"/>
        <w:rPr>
          <w:rFonts w:ascii="Verdana" w:hAnsi="Verdana"/>
          <w:b/>
          <w:sz w:val="18"/>
          <w:szCs w:val="18"/>
        </w:rPr>
      </w:pPr>
      <w:r w:rsidRPr="00EC75B7">
        <w:rPr>
          <w:rFonts w:ascii="Verdana" w:hAnsi="Verdana"/>
          <w:b/>
          <w:color w:val="00AFEF"/>
          <w:sz w:val="18"/>
          <w:szCs w:val="18"/>
        </w:rPr>
        <w:t xml:space="preserve">CURRENT STATE </w:t>
      </w:r>
      <w:r w:rsidRPr="00EC75B7">
        <w:rPr>
          <w:rFonts w:ascii="Verdana" w:hAnsi="Verdana"/>
          <w:b/>
          <w:color w:val="00AFEF"/>
          <w:spacing w:val="-2"/>
          <w:sz w:val="18"/>
          <w:szCs w:val="18"/>
        </w:rPr>
        <w:t>OF THE</w:t>
      </w:r>
    </w:p>
    <w:p w14:paraId="6BFE7755" w14:textId="77777777" w:rsidR="008715BE" w:rsidRPr="00EC75B7" w:rsidRDefault="008715BE">
      <w:pPr>
        <w:pStyle w:val="BodyText"/>
        <w:spacing w:before="60"/>
        <w:rPr>
          <w:rFonts w:ascii="Verdana" w:hAnsi="Verdana"/>
          <w:b/>
        </w:rPr>
      </w:pPr>
    </w:p>
    <w:p w14:paraId="1C34E5CD" w14:textId="77777777" w:rsidR="008715BE" w:rsidRPr="00EC75B7" w:rsidRDefault="00000000">
      <w:pPr>
        <w:pStyle w:val="Heading2"/>
        <w:numPr>
          <w:ilvl w:val="1"/>
          <w:numId w:val="110"/>
        </w:numPr>
        <w:tabs>
          <w:tab w:val="left" w:pos="1543"/>
        </w:tabs>
        <w:ind w:left="1543" w:hanging="720"/>
        <w:jc w:val="left"/>
        <w:rPr>
          <w:rFonts w:ascii="Verdana" w:hAnsi="Verdana"/>
          <w:color w:val="00AFEF"/>
          <w:sz w:val="18"/>
          <w:szCs w:val="18"/>
        </w:rPr>
      </w:pPr>
      <w:bookmarkStart w:id="33" w:name="_bookmark33"/>
      <w:bookmarkEnd w:id="33"/>
      <w:r w:rsidRPr="00EC75B7">
        <w:rPr>
          <w:rFonts w:ascii="Verdana" w:hAnsi="Verdana"/>
          <w:color w:val="00AFEF"/>
          <w:sz w:val="18"/>
          <w:szCs w:val="18"/>
        </w:rPr>
        <w:t xml:space="preserve">Social and </w:t>
      </w:r>
      <w:r w:rsidRPr="00EC75B7">
        <w:rPr>
          <w:rFonts w:ascii="Verdana" w:hAnsi="Verdana"/>
          <w:color w:val="00AFEF"/>
          <w:spacing w:val="-2"/>
          <w:sz w:val="18"/>
          <w:szCs w:val="18"/>
        </w:rPr>
        <w:t xml:space="preserve">economic </w:t>
      </w:r>
      <w:r w:rsidRPr="00EC75B7">
        <w:rPr>
          <w:rFonts w:ascii="Verdana" w:hAnsi="Verdana"/>
          <w:color w:val="00AFEF"/>
          <w:sz w:val="18"/>
          <w:szCs w:val="18"/>
        </w:rPr>
        <w:t>environment</w:t>
      </w:r>
    </w:p>
    <w:p w14:paraId="3460AEEF" w14:textId="77777777" w:rsidR="008715BE" w:rsidRPr="00EC75B7" w:rsidRDefault="00000000">
      <w:pPr>
        <w:pStyle w:val="Heading3"/>
        <w:numPr>
          <w:ilvl w:val="2"/>
          <w:numId w:val="110"/>
        </w:numPr>
        <w:tabs>
          <w:tab w:val="left" w:pos="2474"/>
        </w:tabs>
        <w:spacing w:before="132"/>
        <w:ind w:left="2474" w:hanging="715"/>
        <w:rPr>
          <w:rFonts w:ascii="Verdana" w:hAnsi="Verdana"/>
          <w:i/>
          <w:color w:val="00AFEF"/>
          <w:sz w:val="18"/>
          <w:szCs w:val="18"/>
        </w:rPr>
      </w:pPr>
      <w:bookmarkStart w:id="34" w:name="_bookmark34"/>
      <w:bookmarkEnd w:id="34"/>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7C23C8E8" w14:textId="77777777" w:rsidR="008715BE" w:rsidRPr="00EC75B7" w:rsidRDefault="008715BE">
      <w:pPr>
        <w:pStyle w:val="BodyText"/>
        <w:spacing w:before="114"/>
        <w:rPr>
          <w:rFonts w:ascii="Verdana" w:hAnsi="Verdana"/>
          <w:b/>
        </w:rPr>
      </w:pPr>
    </w:p>
    <w:p w14:paraId="03DF746E" w14:textId="77777777" w:rsidR="008715BE" w:rsidRPr="00EC75B7" w:rsidRDefault="00000000" w:rsidP="00C278FB">
      <w:pPr>
        <w:pStyle w:val="BodyText"/>
        <w:spacing w:line="357" w:lineRule="auto"/>
        <w:ind w:left="720" w:right="994"/>
        <w:jc w:val="both"/>
        <w:rPr>
          <w:rFonts w:ascii="Verdana" w:hAnsi="Verdana"/>
        </w:rPr>
      </w:pPr>
      <w:r w:rsidRPr="00EC75B7">
        <w:rPr>
          <w:rFonts w:ascii="Verdana" w:hAnsi="Verdana"/>
        </w:rPr>
        <w:t>Study area for the social and economic component, which includes the population and human health related to the project "Wind Energy Park 48 (46) wind power plants approx. 316.8MW (303.6MW), transformer stations, electrical connection networks, construction and modernisation of communication and access routes" is the Cherchezu UAT. The nearest localities are: T32 at 1.1 km from Viroaga, T5 at 1 km from Cerchezu, T35 at 1 km from Măgura, T3 at 1.56 km from the Bulgarian locality of Iovkov, T47 at 2.1 km from the Bulgarian locality of Kraiste, T9 at 3.98 km from Negru Vodă.</w:t>
      </w:r>
    </w:p>
    <w:p w14:paraId="2E825516" w14:textId="77777777" w:rsidR="008715BE" w:rsidRPr="00EC75B7" w:rsidRDefault="008715BE" w:rsidP="00C278FB">
      <w:pPr>
        <w:pStyle w:val="BodyText"/>
        <w:spacing w:line="357" w:lineRule="auto"/>
        <w:ind w:left="720" w:right="994"/>
        <w:jc w:val="both"/>
        <w:rPr>
          <w:rFonts w:ascii="Verdana" w:hAnsi="Verdana"/>
        </w:rPr>
      </w:pPr>
    </w:p>
    <w:p w14:paraId="5906FE83" w14:textId="77777777" w:rsidR="008715BE" w:rsidRPr="00EC75B7" w:rsidRDefault="00000000">
      <w:pPr>
        <w:pStyle w:val="Heading3"/>
        <w:numPr>
          <w:ilvl w:val="2"/>
          <w:numId w:val="110"/>
        </w:numPr>
        <w:tabs>
          <w:tab w:val="left" w:pos="2474"/>
        </w:tabs>
        <w:ind w:left="2474" w:hanging="715"/>
        <w:rPr>
          <w:rFonts w:ascii="Verdana" w:hAnsi="Verdana"/>
          <w:i/>
          <w:color w:val="00AFEF"/>
          <w:sz w:val="18"/>
          <w:szCs w:val="18"/>
        </w:rPr>
      </w:pPr>
      <w:bookmarkStart w:id="35" w:name="_bookmark35"/>
      <w:bookmarkEnd w:id="35"/>
      <w:r w:rsidRPr="00EC75B7">
        <w:rPr>
          <w:rFonts w:ascii="Verdana" w:hAnsi="Verdana"/>
          <w:color w:val="00AFEF"/>
          <w:spacing w:val="-2"/>
          <w:sz w:val="18"/>
          <w:szCs w:val="18"/>
        </w:rPr>
        <w:t xml:space="preserve">Population </w:t>
      </w:r>
      <w:r w:rsidRPr="00EC75B7">
        <w:rPr>
          <w:rFonts w:ascii="Verdana" w:hAnsi="Verdana"/>
          <w:color w:val="00AFEF"/>
          <w:sz w:val="18"/>
          <w:szCs w:val="18"/>
        </w:rPr>
        <w:t>size and structure</w:t>
      </w:r>
    </w:p>
    <w:p w14:paraId="7C5ED967" w14:textId="77777777" w:rsidR="008715BE" w:rsidRPr="00EC75B7" w:rsidRDefault="008715BE">
      <w:pPr>
        <w:pStyle w:val="BodyText"/>
        <w:spacing w:before="111"/>
        <w:rPr>
          <w:rFonts w:ascii="Verdana" w:hAnsi="Verdana"/>
          <w:b/>
        </w:rPr>
      </w:pPr>
    </w:p>
    <w:p w14:paraId="401EFF67" w14:textId="4A0096DF" w:rsidR="008715BE" w:rsidRPr="00EC75B7" w:rsidRDefault="00000000" w:rsidP="001B3BB8">
      <w:pPr>
        <w:pStyle w:val="BodyText"/>
        <w:ind w:left="765"/>
        <w:rPr>
          <w:rFonts w:ascii="Verdana" w:hAnsi="Verdana"/>
        </w:rPr>
      </w:pPr>
      <w:r w:rsidRPr="00EC75B7">
        <w:rPr>
          <w:rFonts w:ascii="Verdana" w:hAnsi="Verdana"/>
        </w:rPr>
        <w:t xml:space="preserve">According to the latest census conducted in 2021, the total population by domicile of the commune of Cerchezu, </w:t>
      </w:r>
      <w:r w:rsidRPr="00EC75B7">
        <w:rPr>
          <w:rFonts w:ascii="Verdana" w:hAnsi="Verdana"/>
          <w:spacing w:val="-5"/>
        </w:rPr>
        <w:t>as of</w:t>
      </w:r>
      <w:r w:rsidR="001B3BB8">
        <w:rPr>
          <w:rFonts w:ascii="Verdana" w:hAnsi="Verdana"/>
        </w:rPr>
        <w:t xml:space="preserve"> </w:t>
      </w:r>
      <w:r w:rsidRPr="00EC75B7">
        <w:rPr>
          <w:rFonts w:ascii="Verdana" w:hAnsi="Verdana"/>
        </w:rPr>
        <w:t xml:space="preserve">July 1, was 1,360 people, of whom 645 were women and 711 were </w:t>
      </w:r>
      <w:r w:rsidRPr="00EC75B7">
        <w:rPr>
          <w:rFonts w:ascii="Verdana" w:hAnsi="Verdana"/>
          <w:spacing w:val="-2"/>
        </w:rPr>
        <w:t>men.</w:t>
      </w:r>
    </w:p>
    <w:p w14:paraId="0038F361" w14:textId="77777777" w:rsidR="008715BE" w:rsidRPr="00EC75B7" w:rsidRDefault="008715BE">
      <w:pPr>
        <w:pStyle w:val="BodyText"/>
        <w:spacing w:before="10"/>
        <w:rPr>
          <w:rFonts w:ascii="Verdana" w:hAnsi="Verdana"/>
        </w:rPr>
      </w:pPr>
    </w:p>
    <w:p w14:paraId="23DD855D" w14:textId="77777777" w:rsidR="008715BE" w:rsidRPr="00EC75B7" w:rsidRDefault="00000000">
      <w:pPr>
        <w:pStyle w:val="BodyText"/>
        <w:ind w:left="765"/>
        <w:rPr>
          <w:rFonts w:ascii="Verdana" w:hAnsi="Verdana"/>
        </w:rPr>
      </w:pPr>
      <w:r w:rsidRPr="00EC75B7">
        <w:rPr>
          <w:rFonts w:ascii="Verdana" w:hAnsi="Verdana"/>
        </w:rPr>
        <w:t xml:space="preserve">The population structure by age and gender on the date of the last census is presented in </w:t>
      </w:r>
      <w:r w:rsidRPr="00EC75B7">
        <w:rPr>
          <w:rFonts w:ascii="Verdana" w:hAnsi="Verdana"/>
          <w:spacing w:val="-2"/>
        </w:rPr>
        <w:t>the table</w:t>
      </w:r>
    </w:p>
    <w:p w14:paraId="04521250" w14:textId="77777777" w:rsidR="008715BE" w:rsidRPr="00EC75B7" w:rsidRDefault="00000000">
      <w:pPr>
        <w:pStyle w:val="BodyText"/>
        <w:spacing w:before="109"/>
        <w:ind w:left="765"/>
        <w:rPr>
          <w:rFonts w:ascii="Verdana" w:hAnsi="Verdana"/>
        </w:rPr>
      </w:pPr>
      <w:r w:rsidRPr="00EC75B7">
        <w:rPr>
          <w:rFonts w:ascii="Verdana" w:hAnsi="Verdana"/>
          <w:spacing w:val="-4"/>
        </w:rPr>
        <w:t>below:</w:t>
      </w:r>
    </w:p>
    <w:p w14:paraId="5B953A89" w14:textId="77777777" w:rsidR="008715BE" w:rsidRPr="00EC75B7" w:rsidRDefault="008715BE">
      <w:pPr>
        <w:pStyle w:val="BodyText"/>
        <w:spacing w:before="57"/>
        <w:rPr>
          <w:rFonts w:ascii="Verdana" w:hAnsi="Verdana"/>
        </w:rPr>
      </w:pPr>
    </w:p>
    <w:p w14:paraId="06F391CF" w14:textId="77777777" w:rsidR="008715BE" w:rsidRPr="00EC75B7" w:rsidRDefault="00000000">
      <w:pPr>
        <w:ind w:left="765"/>
        <w:rPr>
          <w:rFonts w:ascii="Verdana" w:hAnsi="Verdana"/>
          <w:b/>
          <w:sz w:val="18"/>
          <w:szCs w:val="18"/>
        </w:rPr>
      </w:pPr>
      <w:r w:rsidRPr="00EC75B7">
        <w:rPr>
          <w:rFonts w:ascii="Verdana" w:hAnsi="Verdana"/>
          <w:b/>
          <w:color w:val="00AFEF"/>
          <w:sz w:val="18"/>
          <w:szCs w:val="18"/>
        </w:rPr>
        <w:t xml:space="preserve">Table 8 </w:t>
      </w:r>
      <w:r w:rsidRPr="00EC75B7">
        <w:rPr>
          <w:rFonts w:ascii="Verdana" w:hAnsi="Verdana"/>
          <w:b/>
          <w:color w:val="009DEF"/>
          <w:sz w:val="18"/>
          <w:szCs w:val="18"/>
        </w:rPr>
        <w:t xml:space="preserve">Population structure on the date of the last census </w:t>
      </w:r>
      <w:r w:rsidRPr="00EC75B7">
        <w:rPr>
          <w:rFonts w:ascii="Verdana" w:hAnsi="Verdana"/>
          <w:b/>
          <w:color w:val="009DEF"/>
          <w:spacing w:val="-2"/>
          <w:sz w:val="18"/>
          <w:szCs w:val="18"/>
        </w:rPr>
        <w:t>(2021)</w:t>
      </w:r>
    </w:p>
    <w:tbl>
      <w:tblPr>
        <w:tblStyle w:val="TableNormal1"/>
        <w:tblW w:w="0" w:type="auto"/>
        <w:tblInd w:w="48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768"/>
        <w:gridCol w:w="630"/>
        <w:gridCol w:w="720"/>
        <w:gridCol w:w="290"/>
        <w:gridCol w:w="564"/>
        <w:gridCol w:w="483"/>
        <w:gridCol w:w="485"/>
        <w:gridCol w:w="483"/>
        <w:gridCol w:w="536"/>
        <w:gridCol w:w="483"/>
        <w:gridCol w:w="510"/>
        <w:gridCol w:w="486"/>
        <w:gridCol w:w="510"/>
        <w:gridCol w:w="484"/>
        <w:gridCol w:w="510"/>
        <w:gridCol w:w="568"/>
        <w:gridCol w:w="486"/>
        <w:gridCol w:w="484"/>
        <w:gridCol w:w="484"/>
        <w:gridCol w:w="650"/>
      </w:tblGrid>
      <w:tr w:rsidR="008715BE" w:rsidRPr="001B3BB8" w14:paraId="114C7ED7" w14:textId="77777777" w:rsidTr="001B3BB8">
        <w:trPr>
          <w:trHeight w:val="177"/>
        </w:trPr>
        <w:tc>
          <w:tcPr>
            <w:tcW w:w="768" w:type="dxa"/>
            <w:shd w:val="clear" w:color="auto" w:fill="00AFEF"/>
          </w:tcPr>
          <w:p w14:paraId="492D653A" w14:textId="77777777" w:rsidR="008715BE" w:rsidRPr="001B3BB8" w:rsidRDefault="008715BE">
            <w:pPr>
              <w:pStyle w:val="TableParagraph"/>
              <w:rPr>
                <w:rFonts w:ascii="Verdana" w:hAnsi="Verdana"/>
                <w:sz w:val="14"/>
                <w:szCs w:val="14"/>
              </w:rPr>
            </w:pPr>
          </w:p>
        </w:tc>
        <w:tc>
          <w:tcPr>
            <w:tcW w:w="630" w:type="dxa"/>
            <w:shd w:val="clear" w:color="auto" w:fill="00AFEF"/>
          </w:tcPr>
          <w:p w14:paraId="6D91304B" w14:textId="77777777" w:rsidR="008715BE" w:rsidRPr="001B3BB8" w:rsidRDefault="008715BE">
            <w:pPr>
              <w:pStyle w:val="TableParagraph"/>
              <w:rPr>
                <w:rFonts w:ascii="Verdana" w:hAnsi="Verdana"/>
                <w:sz w:val="14"/>
                <w:szCs w:val="14"/>
              </w:rPr>
            </w:pPr>
          </w:p>
        </w:tc>
        <w:tc>
          <w:tcPr>
            <w:tcW w:w="9216" w:type="dxa"/>
            <w:gridSpan w:val="18"/>
            <w:shd w:val="clear" w:color="auto" w:fill="00AFEF"/>
          </w:tcPr>
          <w:p w14:paraId="75F69F5C" w14:textId="77777777" w:rsidR="008715BE" w:rsidRPr="001B3BB8" w:rsidRDefault="00000000">
            <w:pPr>
              <w:pStyle w:val="TableParagraph"/>
              <w:spacing w:before="6" w:line="151" w:lineRule="exact"/>
              <w:ind w:right="5"/>
              <w:jc w:val="center"/>
              <w:rPr>
                <w:rFonts w:ascii="Verdana" w:hAnsi="Verdana"/>
                <w:b/>
                <w:sz w:val="14"/>
                <w:szCs w:val="14"/>
              </w:rPr>
            </w:pPr>
            <w:r w:rsidRPr="001B3BB8">
              <w:rPr>
                <w:rFonts w:ascii="Verdana" w:hAnsi="Verdana"/>
                <w:b/>
                <w:color w:val="FFFFFF"/>
                <w:spacing w:val="-2"/>
                <w:sz w:val="14"/>
                <w:szCs w:val="14"/>
              </w:rPr>
              <w:t xml:space="preserve">AGE </w:t>
            </w:r>
            <w:r w:rsidRPr="001B3BB8">
              <w:rPr>
                <w:rFonts w:ascii="Verdana" w:hAnsi="Verdana"/>
                <w:b/>
                <w:color w:val="FFFFFF"/>
                <w:sz w:val="14"/>
                <w:szCs w:val="14"/>
              </w:rPr>
              <w:t>GROUPS</w:t>
            </w:r>
          </w:p>
        </w:tc>
      </w:tr>
      <w:tr w:rsidR="008715BE" w:rsidRPr="001B3BB8" w14:paraId="477D7DA4" w14:textId="77777777" w:rsidTr="001B3BB8">
        <w:trPr>
          <w:trHeight w:val="340"/>
        </w:trPr>
        <w:tc>
          <w:tcPr>
            <w:tcW w:w="768" w:type="dxa"/>
            <w:shd w:val="clear" w:color="auto" w:fill="00AFEF"/>
          </w:tcPr>
          <w:p w14:paraId="3EAABFAB" w14:textId="77777777" w:rsidR="008715BE" w:rsidRPr="001B3BB8" w:rsidRDefault="008715BE">
            <w:pPr>
              <w:pStyle w:val="TableParagraph"/>
              <w:rPr>
                <w:rFonts w:ascii="Verdana" w:hAnsi="Verdana"/>
                <w:sz w:val="14"/>
                <w:szCs w:val="14"/>
              </w:rPr>
            </w:pPr>
          </w:p>
        </w:tc>
        <w:tc>
          <w:tcPr>
            <w:tcW w:w="630" w:type="dxa"/>
            <w:shd w:val="clear" w:color="auto" w:fill="00AFEF"/>
          </w:tcPr>
          <w:p w14:paraId="3787DA7D" w14:textId="77777777" w:rsidR="008715BE" w:rsidRPr="001B3BB8" w:rsidRDefault="00000000">
            <w:pPr>
              <w:pStyle w:val="TableParagraph"/>
              <w:spacing w:before="169" w:line="151" w:lineRule="exact"/>
              <w:ind w:right="97"/>
              <w:jc w:val="right"/>
              <w:rPr>
                <w:rFonts w:ascii="Verdana" w:hAnsi="Verdana"/>
                <w:b/>
                <w:sz w:val="14"/>
                <w:szCs w:val="14"/>
              </w:rPr>
            </w:pPr>
            <w:r w:rsidRPr="001B3BB8">
              <w:rPr>
                <w:rFonts w:ascii="Verdana" w:hAnsi="Verdana"/>
                <w:b/>
                <w:color w:val="FFFFFF"/>
                <w:spacing w:val="-4"/>
                <w:sz w:val="14"/>
                <w:szCs w:val="14"/>
              </w:rPr>
              <w:t>Total</w:t>
            </w:r>
          </w:p>
        </w:tc>
        <w:tc>
          <w:tcPr>
            <w:tcW w:w="720" w:type="dxa"/>
            <w:shd w:val="clear" w:color="auto" w:fill="00AFEF"/>
          </w:tcPr>
          <w:p w14:paraId="301901A2" w14:textId="4EF372A8" w:rsidR="008715BE" w:rsidRPr="001B3BB8" w:rsidRDefault="001B3BB8" w:rsidP="001B3BB8">
            <w:pPr>
              <w:pStyle w:val="TableParagraph"/>
              <w:spacing w:line="170" w:lineRule="exact"/>
              <w:ind w:left="23" w:right="13"/>
              <w:rPr>
                <w:rFonts w:ascii="Verdana" w:hAnsi="Verdana"/>
                <w:b/>
                <w:sz w:val="14"/>
                <w:szCs w:val="14"/>
              </w:rPr>
            </w:pPr>
            <w:r w:rsidRPr="001B3BB8">
              <w:rPr>
                <w:rFonts w:ascii="Verdana" w:hAnsi="Verdana"/>
                <w:b/>
                <w:color w:val="FFFFFF"/>
                <w:spacing w:val="-5"/>
                <w:sz w:val="14"/>
                <w:szCs w:val="14"/>
              </w:rPr>
              <w:t>Under</w:t>
            </w:r>
            <w:r>
              <w:rPr>
                <w:rFonts w:ascii="Verdana" w:hAnsi="Verdana"/>
                <w:b/>
                <w:sz w:val="14"/>
                <w:szCs w:val="14"/>
              </w:rPr>
              <w:t xml:space="preserve"> </w:t>
            </w:r>
            <w:r w:rsidRPr="001B3BB8">
              <w:rPr>
                <w:rFonts w:ascii="Verdana" w:hAnsi="Verdana"/>
                <w:b/>
                <w:color w:val="FFFFFF"/>
                <w:spacing w:val="-10"/>
                <w:sz w:val="14"/>
                <w:szCs w:val="14"/>
              </w:rPr>
              <w:t>5</w:t>
            </w:r>
          </w:p>
        </w:tc>
        <w:tc>
          <w:tcPr>
            <w:tcW w:w="290" w:type="dxa"/>
            <w:shd w:val="clear" w:color="auto" w:fill="00AFEF"/>
          </w:tcPr>
          <w:p w14:paraId="4A6065B7" w14:textId="77777777" w:rsidR="008715BE" w:rsidRPr="001B3BB8" w:rsidRDefault="00000000">
            <w:pPr>
              <w:pStyle w:val="TableParagraph"/>
              <w:spacing w:line="170" w:lineRule="exact"/>
              <w:ind w:left="117"/>
              <w:rPr>
                <w:rFonts w:ascii="Verdana" w:hAnsi="Verdana"/>
                <w:b/>
                <w:sz w:val="14"/>
                <w:szCs w:val="14"/>
              </w:rPr>
            </w:pPr>
            <w:r w:rsidRPr="001B3BB8">
              <w:rPr>
                <w:rFonts w:ascii="Verdana" w:hAnsi="Verdana"/>
                <w:b/>
                <w:color w:val="FFFFFF"/>
                <w:sz w:val="14"/>
                <w:szCs w:val="14"/>
              </w:rPr>
              <w:t>5</w:t>
            </w:r>
          </w:p>
          <w:p w14:paraId="6F2AEA5B" w14:textId="77777777" w:rsidR="008715BE" w:rsidRPr="001B3BB8" w:rsidRDefault="00000000">
            <w:pPr>
              <w:pStyle w:val="TableParagraph"/>
              <w:spacing w:line="151" w:lineRule="exact"/>
              <w:ind w:left="124"/>
              <w:rPr>
                <w:rFonts w:ascii="Verdana" w:hAnsi="Verdana"/>
                <w:b/>
                <w:sz w:val="14"/>
                <w:szCs w:val="14"/>
              </w:rPr>
            </w:pPr>
            <w:r w:rsidRPr="001B3BB8">
              <w:rPr>
                <w:rFonts w:ascii="Verdana" w:hAnsi="Verdana"/>
                <w:b/>
                <w:color w:val="FFFFFF"/>
                <w:spacing w:val="-5"/>
                <w:sz w:val="14"/>
                <w:szCs w:val="14"/>
              </w:rPr>
              <w:t>9</w:t>
            </w:r>
          </w:p>
        </w:tc>
        <w:tc>
          <w:tcPr>
            <w:tcW w:w="564" w:type="dxa"/>
            <w:shd w:val="clear" w:color="auto" w:fill="00AFEF"/>
          </w:tcPr>
          <w:p w14:paraId="5C6D8CD5" w14:textId="77777777" w:rsidR="008715BE" w:rsidRPr="001B3BB8" w:rsidRDefault="00000000">
            <w:pPr>
              <w:pStyle w:val="TableParagraph"/>
              <w:spacing w:line="170" w:lineRule="exact"/>
              <w:ind w:left="148"/>
              <w:rPr>
                <w:rFonts w:ascii="Verdana" w:hAnsi="Verdana"/>
                <w:b/>
                <w:sz w:val="14"/>
                <w:szCs w:val="14"/>
              </w:rPr>
            </w:pPr>
            <w:r w:rsidRPr="001B3BB8">
              <w:rPr>
                <w:rFonts w:ascii="Verdana" w:hAnsi="Verdana"/>
                <w:b/>
                <w:color w:val="FFFFFF"/>
                <w:sz w:val="14"/>
                <w:szCs w:val="14"/>
              </w:rPr>
              <w:t>10</w:t>
            </w:r>
          </w:p>
          <w:p w14:paraId="71C0B73E" w14:textId="77777777" w:rsidR="008715BE" w:rsidRPr="001B3BB8" w:rsidRDefault="00000000">
            <w:pPr>
              <w:pStyle w:val="TableParagraph"/>
              <w:spacing w:line="151" w:lineRule="exact"/>
              <w:ind w:left="155"/>
              <w:rPr>
                <w:rFonts w:ascii="Verdana" w:hAnsi="Verdana"/>
                <w:b/>
                <w:sz w:val="14"/>
                <w:szCs w:val="14"/>
              </w:rPr>
            </w:pPr>
            <w:r w:rsidRPr="001B3BB8">
              <w:rPr>
                <w:rFonts w:ascii="Verdana" w:hAnsi="Verdana"/>
                <w:b/>
                <w:color w:val="FFFFFF"/>
                <w:spacing w:val="-5"/>
                <w:sz w:val="14"/>
                <w:szCs w:val="14"/>
              </w:rPr>
              <w:t>14</w:t>
            </w:r>
          </w:p>
        </w:tc>
        <w:tc>
          <w:tcPr>
            <w:tcW w:w="483" w:type="dxa"/>
            <w:shd w:val="clear" w:color="auto" w:fill="00AFEF"/>
          </w:tcPr>
          <w:p w14:paraId="0942CCFF" w14:textId="77777777" w:rsidR="008715BE" w:rsidRPr="001B3BB8" w:rsidRDefault="00000000">
            <w:pPr>
              <w:pStyle w:val="TableParagraph"/>
              <w:spacing w:line="170" w:lineRule="exact"/>
              <w:ind w:left="108"/>
              <w:rPr>
                <w:rFonts w:ascii="Verdana" w:hAnsi="Verdana"/>
                <w:b/>
                <w:sz w:val="14"/>
                <w:szCs w:val="14"/>
              </w:rPr>
            </w:pPr>
            <w:r w:rsidRPr="001B3BB8">
              <w:rPr>
                <w:rFonts w:ascii="Verdana" w:hAnsi="Verdana"/>
                <w:b/>
                <w:color w:val="FFFFFF"/>
                <w:sz w:val="14"/>
                <w:szCs w:val="14"/>
              </w:rPr>
              <w:t>15</w:t>
            </w:r>
          </w:p>
          <w:p w14:paraId="62BF15B2" w14:textId="77777777" w:rsidR="008715BE" w:rsidRPr="001B3BB8" w:rsidRDefault="00000000">
            <w:pPr>
              <w:pStyle w:val="TableParagraph"/>
              <w:spacing w:line="151" w:lineRule="exact"/>
              <w:ind w:left="141"/>
              <w:rPr>
                <w:rFonts w:ascii="Verdana" w:hAnsi="Verdana"/>
                <w:b/>
                <w:sz w:val="14"/>
                <w:szCs w:val="14"/>
              </w:rPr>
            </w:pPr>
            <w:r w:rsidRPr="001B3BB8">
              <w:rPr>
                <w:rFonts w:ascii="Verdana" w:hAnsi="Verdana"/>
                <w:b/>
                <w:color w:val="FFFFFF"/>
                <w:spacing w:val="-5"/>
                <w:sz w:val="14"/>
                <w:szCs w:val="14"/>
              </w:rPr>
              <w:t>19</w:t>
            </w:r>
          </w:p>
        </w:tc>
        <w:tc>
          <w:tcPr>
            <w:tcW w:w="485" w:type="dxa"/>
            <w:shd w:val="clear" w:color="auto" w:fill="00AFEF"/>
          </w:tcPr>
          <w:p w14:paraId="57B03D4E" w14:textId="77777777" w:rsidR="008715BE" w:rsidRPr="001B3BB8" w:rsidRDefault="00000000">
            <w:pPr>
              <w:pStyle w:val="TableParagraph"/>
              <w:spacing w:line="170" w:lineRule="exact"/>
              <w:ind w:left="109"/>
              <w:rPr>
                <w:rFonts w:ascii="Verdana" w:hAnsi="Verdana"/>
                <w:b/>
                <w:sz w:val="14"/>
                <w:szCs w:val="14"/>
              </w:rPr>
            </w:pPr>
            <w:r w:rsidRPr="001B3BB8">
              <w:rPr>
                <w:rFonts w:ascii="Verdana" w:hAnsi="Verdana"/>
                <w:b/>
                <w:color w:val="FFFFFF"/>
                <w:sz w:val="14"/>
                <w:szCs w:val="14"/>
              </w:rPr>
              <w:t>20</w:t>
            </w:r>
          </w:p>
          <w:p w14:paraId="1F2CCBE7" w14:textId="77777777" w:rsidR="008715BE" w:rsidRPr="001B3BB8" w:rsidRDefault="00000000">
            <w:pPr>
              <w:pStyle w:val="TableParagraph"/>
              <w:spacing w:line="151" w:lineRule="exact"/>
              <w:ind w:left="143"/>
              <w:rPr>
                <w:rFonts w:ascii="Verdana" w:hAnsi="Verdana"/>
                <w:b/>
                <w:sz w:val="14"/>
                <w:szCs w:val="14"/>
              </w:rPr>
            </w:pPr>
            <w:r w:rsidRPr="001B3BB8">
              <w:rPr>
                <w:rFonts w:ascii="Verdana" w:hAnsi="Verdana"/>
                <w:b/>
                <w:color w:val="FFFFFF"/>
                <w:spacing w:val="-5"/>
                <w:sz w:val="14"/>
                <w:szCs w:val="14"/>
              </w:rPr>
              <w:t>24</w:t>
            </w:r>
          </w:p>
        </w:tc>
        <w:tc>
          <w:tcPr>
            <w:tcW w:w="483" w:type="dxa"/>
            <w:shd w:val="clear" w:color="auto" w:fill="00AFEF"/>
          </w:tcPr>
          <w:p w14:paraId="14972C58" w14:textId="77777777" w:rsidR="008715BE" w:rsidRPr="001B3BB8" w:rsidRDefault="00000000">
            <w:pPr>
              <w:pStyle w:val="TableParagraph"/>
              <w:spacing w:line="170" w:lineRule="exact"/>
              <w:ind w:left="107"/>
              <w:rPr>
                <w:rFonts w:ascii="Verdana" w:hAnsi="Verdana"/>
                <w:b/>
                <w:sz w:val="14"/>
                <w:szCs w:val="14"/>
              </w:rPr>
            </w:pPr>
            <w:r w:rsidRPr="001B3BB8">
              <w:rPr>
                <w:rFonts w:ascii="Verdana" w:hAnsi="Verdana"/>
                <w:b/>
                <w:color w:val="FFFFFF"/>
                <w:sz w:val="14"/>
                <w:szCs w:val="14"/>
              </w:rPr>
              <w:t>25</w:t>
            </w:r>
          </w:p>
          <w:p w14:paraId="068CF421" w14:textId="77777777" w:rsidR="008715BE" w:rsidRPr="001B3BB8" w:rsidRDefault="00000000">
            <w:pPr>
              <w:pStyle w:val="TableParagraph"/>
              <w:spacing w:line="151" w:lineRule="exact"/>
              <w:ind w:left="140"/>
              <w:rPr>
                <w:rFonts w:ascii="Verdana" w:hAnsi="Verdana"/>
                <w:b/>
                <w:sz w:val="14"/>
                <w:szCs w:val="14"/>
              </w:rPr>
            </w:pPr>
            <w:r w:rsidRPr="001B3BB8">
              <w:rPr>
                <w:rFonts w:ascii="Verdana" w:hAnsi="Verdana"/>
                <w:b/>
                <w:color w:val="FFFFFF"/>
                <w:spacing w:val="-5"/>
                <w:sz w:val="14"/>
                <w:szCs w:val="14"/>
              </w:rPr>
              <w:t>29</w:t>
            </w:r>
          </w:p>
        </w:tc>
        <w:tc>
          <w:tcPr>
            <w:tcW w:w="536" w:type="dxa"/>
            <w:shd w:val="clear" w:color="auto" w:fill="00AFEF"/>
          </w:tcPr>
          <w:p w14:paraId="687E4664" w14:textId="77777777" w:rsidR="008715BE" w:rsidRPr="001B3BB8" w:rsidRDefault="00000000">
            <w:pPr>
              <w:pStyle w:val="TableParagraph"/>
              <w:spacing w:line="170" w:lineRule="exact"/>
              <w:ind w:left="133"/>
              <w:rPr>
                <w:rFonts w:ascii="Verdana" w:hAnsi="Verdana"/>
                <w:b/>
                <w:sz w:val="14"/>
                <w:szCs w:val="14"/>
              </w:rPr>
            </w:pPr>
            <w:r w:rsidRPr="001B3BB8">
              <w:rPr>
                <w:rFonts w:ascii="Verdana" w:hAnsi="Verdana"/>
                <w:b/>
                <w:color w:val="FFFFFF"/>
                <w:sz w:val="14"/>
                <w:szCs w:val="14"/>
              </w:rPr>
              <w:t>30</w:t>
            </w:r>
          </w:p>
          <w:p w14:paraId="4F5F5134" w14:textId="77777777" w:rsidR="008715BE" w:rsidRPr="001B3BB8" w:rsidRDefault="00000000">
            <w:pPr>
              <w:pStyle w:val="TableParagraph"/>
              <w:spacing w:line="151" w:lineRule="exact"/>
              <w:ind w:left="166"/>
              <w:rPr>
                <w:rFonts w:ascii="Verdana" w:hAnsi="Verdana"/>
                <w:b/>
                <w:sz w:val="14"/>
                <w:szCs w:val="14"/>
              </w:rPr>
            </w:pPr>
            <w:r w:rsidRPr="001B3BB8">
              <w:rPr>
                <w:rFonts w:ascii="Verdana" w:hAnsi="Verdana"/>
                <w:b/>
                <w:color w:val="FFFFFF"/>
                <w:spacing w:val="-5"/>
                <w:sz w:val="14"/>
                <w:szCs w:val="14"/>
              </w:rPr>
              <w:t>34</w:t>
            </w:r>
          </w:p>
        </w:tc>
        <w:tc>
          <w:tcPr>
            <w:tcW w:w="483" w:type="dxa"/>
            <w:shd w:val="clear" w:color="auto" w:fill="00AFEF"/>
          </w:tcPr>
          <w:p w14:paraId="16BB20CB" w14:textId="77777777" w:rsidR="008715BE" w:rsidRPr="001B3BB8" w:rsidRDefault="00000000">
            <w:pPr>
              <w:pStyle w:val="TableParagraph"/>
              <w:spacing w:line="170" w:lineRule="exact"/>
              <w:ind w:left="105"/>
              <w:rPr>
                <w:rFonts w:ascii="Verdana" w:hAnsi="Verdana"/>
                <w:b/>
                <w:sz w:val="14"/>
                <w:szCs w:val="14"/>
              </w:rPr>
            </w:pPr>
            <w:r w:rsidRPr="001B3BB8">
              <w:rPr>
                <w:rFonts w:ascii="Verdana" w:hAnsi="Verdana"/>
                <w:b/>
                <w:color w:val="FFFFFF"/>
                <w:sz w:val="14"/>
                <w:szCs w:val="14"/>
              </w:rPr>
              <w:t>35</w:t>
            </w:r>
          </w:p>
          <w:p w14:paraId="23E5CA9D" w14:textId="77777777" w:rsidR="008715BE" w:rsidRPr="001B3BB8" w:rsidRDefault="00000000">
            <w:pPr>
              <w:pStyle w:val="TableParagraph"/>
              <w:spacing w:line="151" w:lineRule="exact"/>
              <w:ind w:left="139"/>
              <w:rPr>
                <w:rFonts w:ascii="Verdana" w:hAnsi="Verdana"/>
                <w:b/>
                <w:sz w:val="14"/>
                <w:szCs w:val="14"/>
              </w:rPr>
            </w:pPr>
            <w:r w:rsidRPr="001B3BB8">
              <w:rPr>
                <w:rFonts w:ascii="Verdana" w:hAnsi="Verdana"/>
                <w:b/>
                <w:color w:val="FFFFFF"/>
                <w:spacing w:val="-5"/>
                <w:sz w:val="14"/>
                <w:szCs w:val="14"/>
              </w:rPr>
              <w:t>39</w:t>
            </w:r>
          </w:p>
        </w:tc>
        <w:tc>
          <w:tcPr>
            <w:tcW w:w="510" w:type="dxa"/>
            <w:shd w:val="clear" w:color="auto" w:fill="00AFEF"/>
          </w:tcPr>
          <w:p w14:paraId="419AABB9" w14:textId="77777777" w:rsidR="008715BE" w:rsidRPr="001B3BB8" w:rsidRDefault="00000000">
            <w:pPr>
              <w:pStyle w:val="TableParagraph"/>
              <w:spacing w:line="170" w:lineRule="exact"/>
              <w:ind w:left="119"/>
              <w:rPr>
                <w:rFonts w:ascii="Verdana" w:hAnsi="Verdana"/>
                <w:b/>
                <w:sz w:val="14"/>
                <w:szCs w:val="14"/>
              </w:rPr>
            </w:pPr>
            <w:r w:rsidRPr="001B3BB8">
              <w:rPr>
                <w:rFonts w:ascii="Verdana" w:hAnsi="Verdana"/>
                <w:b/>
                <w:color w:val="FFFFFF"/>
                <w:sz w:val="14"/>
                <w:szCs w:val="14"/>
              </w:rPr>
              <w:t>40</w:t>
            </w:r>
          </w:p>
          <w:p w14:paraId="65BAA502" w14:textId="77777777" w:rsidR="008715BE" w:rsidRPr="001B3BB8" w:rsidRDefault="00000000">
            <w:pPr>
              <w:pStyle w:val="TableParagraph"/>
              <w:spacing w:line="151" w:lineRule="exact"/>
              <w:ind w:left="153"/>
              <w:rPr>
                <w:rFonts w:ascii="Verdana" w:hAnsi="Verdana"/>
                <w:b/>
                <w:sz w:val="14"/>
                <w:szCs w:val="14"/>
              </w:rPr>
            </w:pPr>
            <w:r w:rsidRPr="001B3BB8">
              <w:rPr>
                <w:rFonts w:ascii="Verdana" w:hAnsi="Verdana"/>
                <w:b/>
                <w:color w:val="FFFFFF"/>
                <w:spacing w:val="-5"/>
                <w:sz w:val="14"/>
                <w:szCs w:val="14"/>
              </w:rPr>
              <w:t>44</w:t>
            </w:r>
          </w:p>
        </w:tc>
        <w:tc>
          <w:tcPr>
            <w:tcW w:w="486" w:type="dxa"/>
            <w:shd w:val="clear" w:color="auto" w:fill="00AFEF"/>
          </w:tcPr>
          <w:p w14:paraId="44591E89" w14:textId="77777777" w:rsidR="008715BE" w:rsidRPr="001B3BB8" w:rsidRDefault="00000000">
            <w:pPr>
              <w:pStyle w:val="TableParagraph"/>
              <w:spacing w:line="170" w:lineRule="exact"/>
              <w:ind w:left="106"/>
              <w:rPr>
                <w:rFonts w:ascii="Verdana" w:hAnsi="Verdana"/>
                <w:b/>
                <w:sz w:val="14"/>
                <w:szCs w:val="14"/>
              </w:rPr>
            </w:pPr>
            <w:r w:rsidRPr="001B3BB8">
              <w:rPr>
                <w:rFonts w:ascii="Verdana" w:hAnsi="Verdana"/>
                <w:b/>
                <w:color w:val="FFFFFF"/>
                <w:sz w:val="14"/>
                <w:szCs w:val="14"/>
              </w:rPr>
              <w:t>45</w:t>
            </w:r>
          </w:p>
          <w:p w14:paraId="29F53B52" w14:textId="77777777" w:rsidR="008715BE" w:rsidRPr="001B3BB8" w:rsidRDefault="00000000">
            <w:pPr>
              <w:pStyle w:val="TableParagraph"/>
              <w:spacing w:line="151" w:lineRule="exact"/>
              <w:ind w:left="140"/>
              <w:rPr>
                <w:rFonts w:ascii="Verdana" w:hAnsi="Verdana"/>
                <w:b/>
                <w:sz w:val="14"/>
                <w:szCs w:val="14"/>
              </w:rPr>
            </w:pPr>
            <w:r w:rsidRPr="001B3BB8">
              <w:rPr>
                <w:rFonts w:ascii="Verdana" w:hAnsi="Verdana"/>
                <w:b/>
                <w:color w:val="FFFFFF"/>
                <w:spacing w:val="-5"/>
                <w:sz w:val="14"/>
                <w:szCs w:val="14"/>
              </w:rPr>
              <w:t>49</w:t>
            </w:r>
          </w:p>
        </w:tc>
        <w:tc>
          <w:tcPr>
            <w:tcW w:w="510" w:type="dxa"/>
            <w:shd w:val="clear" w:color="auto" w:fill="00AFEF"/>
          </w:tcPr>
          <w:p w14:paraId="3FF1928E" w14:textId="77777777" w:rsidR="008715BE" w:rsidRPr="001B3BB8" w:rsidRDefault="00000000">
            <w:pPr>
              <w:pStyle w:val="TableParagraph"/>
              <w:spacing w:line="170" w:lineRule="exact"/>
              <w:ind w:left="115"/>
              <w:rPr>
                <w:rFonts w:ascii="Verdana" w:hAnsi="Verdana"/>
                <w:b/>
                <w:sz w:val="14"/>
                <w:szCs w:val="14"/>
              </w:rPr>
            </w:pPr>
            <w:r w:rsidRPr="001B3BB8">
              <w:rPr>
                <w:rFonts w:ascii="Verdana" w:hAnsi="Verdana"/>
                <w:b/>
                <w:color w:val="FFFFFF"/>
                <w:sz w:val="14"/>
                <w:szCs w:val="14"/>
              </w:rPr>
              <w:t>50</w:t>
            </w:r>
          </w:p>
          <w:p w14:paraId="31901C4A" w14:textId="77777777" w:rsidR="008715BE" w:rsidRPr="001B3BB8" w:rsidRDefault="00000000">
            <w:pPr>
              <w:pStyle w:val="TableParagraph"/>
              <w:spacing w:line="151" w:lineRule="exact"/>
              <w:ind w:left="148"/>
              <w:rPr>
                <w:rFonts w:ascii="Verdana" w:hAnsi="Verdana"/>
                <w:b/>
                <w:sz w:val="14"/>
                <w:szCs w:val="14"/>
              </w:rPr>
            </w:pPr>
            <w:r w:rsidRPr="001B3BB8">
              <w:rPr>
                <w:rFonts w:ascii="Verdana" w:hAnsi="Verdana"/>
                <w:b/>
                <w:color w:val="FFFFFF"/>
                <w:spacing w:val="-5"/>
                <w:sz w:val="14"/>
                <w:szCs w:val="14"/>
              </w:rPr>
              <w:t>54</w:t>
            </w:r>
          </w:p>
        </w:tc>
        <w:tc>
          <w:tcPr>
            <w:tcW w:w="484" w:type="dxa"/>
            <w:shd w:val="clear" w:color="auto" w:fill="00AFEF"/>
          </w:tcPr>
          <w:p w14:paraId="009A2066" w14:textId="77777777" w:rsidR="008715BE" w:rsidRPr="001B3BB8" w:rsidRDefault="00000000">
            <w:pPr>
              <w:pStyle w:val="TableParagraph"/>
              <w:spacing w:line="170" w:lineRule="exact"/>
              <w:ind w:left="102"/>
              <w:rPr>
                <w:rFonts w:ascii="Verdana" w:hAnsi="Verdana"/>
                <w:b/>
                <w:sz w:val="14"/>
                <w:szCs w:val="14"/>
              </w:rPr>
            </w:pPr>
            <w:r w:rsidRPr="001B3BB8">
              <w:rPr>
                <w:rFonts w:ascii="Verdana" w:hAnsi="Verdana"/>
                <w:b/>
                <w:color w:val="FFFFFF"/>
                <w:sz w:val="14"/>
                <w:szCs w:val="14"/>
              </w:rPr>
              <w:t>55</w:t>
            </w:r>
          </w:p>
          <w:p w14:paraId="33D9908B" w14:textId="77777777" w:rsidR="008715BE" w:rsidRPr="001B3BB8" w:rsidRDefault="00000000">
            <w:pPr>
              <w:pStyle w:val="TableParagraph"/>
              <w:spacing w:line="151" w:lineRule="exact"/>
              <w:ind w:left="135"/>
              <w:rPr>
                <w:rFonts w:ascii="Verdana" w:hAnsi="Verdana"/>
                <w:b/>
                <w:sz w:val="14"/>
                <w:szCs w:val="14"/>
              </w:rPr>
            </w:pPr>
            <w:r w:rsidRPr="001B3BB8">
              <w:rPr>
                <w:rFonts w:ascii="Verdana" w:hAnsi="Verdana"/>
                <w:b/>
                <w:color w:val="FFFFFF"/>
                <w:spacing w:val="-5"/>
                <w:sz w:val="14"/>
                <w:szCs w:val="14"/>
              </w:rPr>
              <w:t>59</w:t>
            </w:r>
          </w:p>
        </w:tc>
        <w:tc>
          <w:tcPr>
            <w:tcW w:w="510" w:type="dxa"/>
            <w:shd w:val="clear" w:color="auto" w:fill="00AFEF"/>
          </w:tcPr>
          <w:p w14:paraId="3C8AF3C6" w14:textId="77777777" w:rsidR="008715BE" w:rsidRPr="001B3BB8" w:rsidRDefault="00000000">
            <w:pPr>
              <w:pStyle w:val="TableParagraph"/>
              <w:spacing w:line="170" w:lineRule="exact"/>
              <w:ind w:left="112"/>
              <w:rPr>
                <w:rFonts w:ascii="Verdana" w:hAnsi="Verdana"/>
                <w:b/>
                <w:sz w:val="14"/>
                <w:szCs w:val="14"/>
              </w:rPr>
            </w:pPr>
            <w:r w:rsidRPr="001B3BB8">
              <w:rPr>
                <w:rFonts w:ascii="Verdana" w:hAnsi="Verdana"/>
                <w:b/>
                <w:color w:val="FFFFFF"/>
                <w:sz w:val="14"/>
                <w:szCs w:val="14"/>
              </w:rPr>
              <w:t>60-</w:t>
            </w:r>
          </w:p>
          <w:p w14:paraId="39B6B8A7" w14:textId="77777777" w:rsidR="008715BE" w:rsidRPr="001B3BB8" w:rsidRDefault="00000000">
            <w:pPr>
              <w:pStyle w:val="TableParagraph"/>
              <w:spacing w:line="151" w:lineRule="exact"/>
              <w:ind w:left="146"/>
              <w:rPr>
                <w:rFonts w:ascii="Verdana" w:hAnsi="Verdana"/>
                <w:b/>
                <w:sz w:val="14"/>
                <w:szCs w:val="14"/>
              </w:rPr>
            </w:pPr>
            <w:r w:rsidRPr="001B3BB8">
              <w:rPr>
                <w:rFonts w:ascii="Verdana" w:hAnsi="Verdana"/>
                <w:b/>
                <w:color w:val="FFFFFF"/>
                <w:spacing w:val="-5"/>
                <w:sz w:val="14"/>
                <w:szCs w:val="14"/>
              </w:rPr>
              <w:t>64</w:t>
            </w:r>
          </w:p>
        </w:tc>
        <w:tc>
          <w:tcPr>
            <w:tcW w:w="568" w:type="dxa"/>
            <w:shd w:val="clear" w:color="auto" w:fill="00AFEF"/>
          </w:tcPr>
          <w:p w14:paraId="31D6A600" w14:textId="77777777" w:rsidR="008715BE" w:rsidRPr="001B3BB8" w:rsidRDefault="00000000">
            <w:pPr>
              <w:pStyle w:val="TableParagraph"/>
              <w:spacing w:line="170" w:lineRule="exact"/>
              <w:ind w:left="140"/>
              <w:rPr>
                <w:rFonts w:ascii="Verdana" w:hAnsi="Verdana"/>
                <w:b/>
                <w:sz w:val="14"/>
                <w:szCs w:val="14"/>
              </w:rPr>
            </w:pPr>
            <w:r w:rsidRPr="001B3BB8">
              <w:rPr>
                <w:rFonts w:ascii="Verdana" w:hAnsi="Verdana"/>
                <w:b/>
                <w:color w:val="FFFFFF"/>
                <w:sz w:val="14"/>
                <w:szCs w:val="14"/>
              </w:rPr>
              <w:t>65</w:t>
            </w:r>
          </w:p>
          <w:p w14:paraId="12AB24D8" w14:textId="77777777" w:rsidR="008715BE" w:rsidRPr="001B3BB8" w:rsidRDefault="00000000">
            <w:pPr>
              <w:pStyle w:val="TableParagraph"/>
              <w:spacing w:line="151" w:lineRule="exact"/>
              <w:ind w:left="173"/>
              <w:rPr>
                <w:rFonts w:ascii="Verdana" w:hAnsi="Verdana"/>
                <w:b/>
                <w:sz w:val="14"/>
                <w:szCs w:val="14"/>
              </w:rPr>
            </w:pPr>
            <w:r w:rsidRPr="001B3BB8">
              <w:rPr>
                <w:rFonts w:ascii="Verdana" w:hAnsi="Verdana"/>
                <w:b/>
                <w:color w:val="FFFFFF"/>
                <w:spacing w:val="-5"/>
                <w:sz w:val="14"/>
                <w:szCs w:val="14"/>
              </w:rPr>
              <w:t>69</w:t>
            </w:r>
          </w:p>
        </w:tc>
        <w:tc>
          <w:tcPr>
            <w:tcW w:w="486" w:type="dxa"/>
            <w:shd w:val="clear" w:color="auto" w:fill="00AFEF"/>
          </w:tcPr>
          <w:p w14:paraId="4AB139F3" w14:textId="77777777" w:rsidR="008715BE" w:rsidRPr="001B3BB8" w:rsidRDefault="00000000">
            <w:pPr>
              <w:pStyle w:val="TableParagraph"/>
              <w:spacing w:line="170" w:lineRule="exact"/>
              <w:ind w:left="100"/>
              <w:rPr>
                <w:rFonts w:ascii="Verdana" w:hAnsi="Verdana"/>
                <w:b/>
                <w:sz w:val="14"/>
                <w:szCs w:val="14"/>
              </w:rPr>
            </w:pPr>
            <w:r w:rsidRPr="001B3BB8">
              <w:rPr>
                <w:rFonts w:ascii="Verdana" w:hAnsi="Verdana"/>
                <w:b/>
                <w:color w:val="FFFFFF"/>
                <w:sz w:val="14"/>
                <w:szCs w:val="14"/>
              </w:rPr>
              <w:t>70</w:t>
            </w:r>
          </w:p>
          <w:p w14:paraId="0C09040F" w14:textId="77777777" w:rsidR="008715BE" w:rsidRPr="001B3BB8" w:rsidRDefault="00000000">
            <w:pPr>
              <w:pStyle w:val="TableParagraph"/>
              <w:spacing w:line="151" w:lineRule="exact"/>
              <w:ind w:left="134"/>
              <w:rPr>
                <w:rFonts w:ascii="Verdana" w:hAnsi="Verdana"/>
                <w:b/>
                <w:sz w:val="14"/>
                <w:szCs w:val="14"/>
              </w:rPr>
            </w:pPr>
            <w:r w:rsidRPr="001B3BB8">
              <w:rPr>
                <w:rFonts w:ascii="Verdana" w:hAnsi="Verdana"/>
                <w:b/>
                <w:color w:val="FFFFFF"/>
                <w:spacing w:val="-5"/>
                <w:sz w:val="14"/>
                <w:szCs w:val="14"/>
              </w:rPr>
              <w:t>74</w:t>
            </w:r>
          </w:p>
        </w:tc>
        <w:tc>
          <w:tcPr>
            <w:tcW w:w="484" w:type="dxa"/>
            <w:shd w:val="clear" w:color="auto" w:fill="00AFEF"/>
          </w:tcPr>
          <w:p w14:paraId="50ED72B0" w14:textId="77777777" w:rsidR="008715BE" w:rsidRPr="001B3BB8" w:rsidRDefault="00000000">
            <w:pPr>
              <w:pStyle w:val="TableParagraph"/>
              <w:spacing w:line="170" w:lineRule="exact"/>
              <w:ind w:left="97"/>
              <w:rPr>
                <w:rFonts w:ascii="Verdana" w:hAnsi="Verdana"/>
                <w:b/>
                <w:sz w:val="14"/>
                <w:szCs w:val="14"/>
              </w:rPr>
            </w:pPr>
            <w:r w:rsidRPr="001B3BB8">
              <w:rPr>
                <w:rFonts w:ascii="Verdana" w:hAnsi="Verdana"/>
                <w:b/>
                <w:color w:val="FFFFFF"/>
                <w:sz w:val="14"/>
                <w:szCs w:val="14"/>
              </w:rPr>
              <w:t>75</w:t>
            </w:r>
          </w:p>
          <w:p w14:paraId="4055AF77" w14:textId="77777777" w:rsidR="008715BE" w:rsidRPr="001B3BB8" w:rsidRDefault="00000000">
            <w:pPr>
              <w:pStyle w:val="TableParagraph"/>
              <w:spacing w:line="151" w:lineRule="exact"/>
              <w:ind w:left="130"/>
              <w:rPr>
                <w:rFonts w:ascii="Verdana" w:hAnsi="Verdana"/>
                <w:b/>
                <w:sz w:val="14"/>
                <w:szCs w:val="14"/>
              </w:rPr>
            </w:pPr>
            <w:r w:rsidRPr="001B3BB8">
              <w:rPr>
                <w:rFonts w:ascii="Verdana" w:hAnsi="Verdana"/>
                <w:b/>
                <w:color w:val="FFFFFF"/>
                <w:spacing w:val="-5"/>
                <w:sz w:val="14"/>
                <w:szCs w:val="14"/>
              </w:rPr>
              <w:t>79</w:t>
            </w:r>
          </w:p>
        </w:tc>
        <w:tc>
          <w:tcPr>
            <w:tcW w:w="484" w:type="dxa"/>
            <w:shd w:val="clear" w:color="auto" w:fill="00AFEF"/>
          </w:tcPr>
          <w:p w14:paraId="323946CB" w14:textId="77777777" w:rsidR="008715BE" w:rsidRPr="001B3BB8" w:rsidRDefault="00000000">
            <w:pPr>
              <w:pStyle w:val="TableParagraph"/>
              <w:spacing w:line="170" w:lineRule="exact"/>
              <w:ind w:left="95"/>
              <w:rPr>
                <w:rFonts w:ascii="Verdana" w:hAnsi="Verdana"/>
                <w:b/>
                <w:sz w:val="14"/>
                <w:szCs w:val="14"/>
              </w:rPr>
            </w:pPr>
            <w:r w:rsidRPr="001B3BB8">
              <w:rPr>
                <w:rFonts w:ascii="Verdana" w:hAnsi="Verdana"/>
                <w:b/>
                <w:color w:val="FFFFFF"/>
                <w:sz w:val="14"/>
                <w:szCs w:val="14"/>
              </w:rPr>
              <w:t>80</w:t>
            </w:r>
          </w:p>
          <w:p w14:paraId="5A5D9610" w14:textId="77777777" w:rsidR="008715BE" w:rsidRPr="001B3BB8" w:rsidRDefault="00000000">
            <w:pPr>
              <w:pStyle w:val="TableParagraph"/>
              <w:spacing w:line="151" w:lineRule="exact"/>
              <w:ind w:left="129"/>
              <w:rPr>
                <w:rFonts w:ascii="Verdana" w:hAnsi="Verdana"/>
                <w:b/>
                <w:sz w:val="14"/>
                <w:szCs w:val="14"/>
              </w:rPr>
            </w:pPr>
            <w:r w:rsidRPr="001B3BB8">
              <w:rPr>
                <w:rFonts w:ascii="Verdana" w:hAnsi="Verdana"/>
                <w:b/>
                <w:color w:val="FFFFFF"/>
                <w:spacing w:val="-5"/>
                <w:sz w:val="14"/>
                <w:szCs w:val="14"/>
              </w:rPr>
              <w:t>84</w:t>
            </w:r>
          </w:p>
        </w:tc>
        <w:tc>
          <w:tcPr>
            <w:tcW w:w="650" w:type="dxa"/>
            <w:shd w:val="clear" w:color="auto" w:fill="00AFEF"/>
          </w:tcPr>
          <w:p w14:paraId="5352C61E" w14:textId="77777777" w:rsidR="008715BE" w:rsidRPr="001B3BB8" w:rsidRDefault="00000000">
            <w:pPr>
              <w:pStyle w:val="TableParagraph"/>
              <w:spacing w:line="170" w:lineRule="exact"/>
              <w:ind w:left="1" w:right="23"/>
              <w:jc w:val="center"/>
              <w:rPr>
                <w:rFonts w:ascii="Verdana" w:hAnsi="Verdana"/>
                <w:b/>
                <w:sz w:val="14"/>
                <w:szCs w:val="14"/>
              </w:rPr>
            </w:pPr>
            <w:r w:rsidRPr="001B3BB8">
              <w:rPr>
                <w:rFonts w:ascii="Verdana" w:hAnsi="Verdana"/>
                <w:b/>
                <w:color w:val="FFFFFF"/>
                <w:spacing w:val="-2"/>
                <w:sz w:val="14"/>
                <w:szCs w:val="14"/>
              </w:rPr>
              <w:t>over</w:t>
            </w:r>
          </w:p>
          <w:p w14:paraId="298752BA" w14:textId="77777777" w:rsidR="008715BE" w:rsidRPr="001B3BB8" w:rsidRDefault="00000000">
            <w:pPr>
              <w:pStyle w:val="TableParagraph"/>
              <w:spacing w:line="151" w:lineRule="exact"/>
              <w:ind w:right="23"/>
              <w:jc w:val="center"/>
              <w:rPr>
                <w:rFonts w:ascii="Verdana" w:hAnsi="Verdana"/>
                <w:b/>
                <w:sz w:val="14"/>
                <w:szCs w:val="14"/>
              </w:rPr>
            </w:pPr>
            <w:r w:rsidRPr="001B3BB8">
              <w:rPr>
                <w:rFonts w:ascii="Verdana" w:hAnsi="Verdana"/>
                <w:b/>
                <w:color w:val="FFFFFF"/>
                <w:spacing w:val="-5"/>
                <w:sz w:val="14"/>
                <w:szCs w:val="14"/>
              </w:rPr>
              <w:t>85</w:t>
            </w:r>
          </w:p>
        </w:tc>
      </w:tr>
      <w:tr w:rsidR="008715BE" w:rsidRPr="001B3BB8" w14:paraId="68300A75" w14:textId="77777777" w:rsidTr="001B3BB8">
        <w:trPr>
          <w:trHeight w:val="170"/>
        </w:trPr>
        <w:tc>
          <w:tcPr>
            <w:tcW w:w="768" w:type="dxa"/>
          </w:tcPr>
          <w:p w14:paraId="3449CEC7" w14:textId="77777777" w:rsidR="008715BE" w:rsidRPr="001B3BB8" w:rsidRDefault="00000000">
            <w:pPr>
              <w:pStyle w:val="TableParagraph"/>
              <w:spacing w:line="150" w:lineRule="exact"/>
              <w:ind w:left="107"/>
              <w:rPr>
                <w:rFonts w:ascii="Verdana" w:hAnsi="Verdana"/>
                <w:b/>
                <w:sz w:val="14"/>
                <w:szCs w:val="14"/>
              </w:rPr>
            </w:pPr>
            <w:r w:rsidRPr="001B3BB8">
              <w:rPr>
                <w:rFonts w:ascii="Verdana" w:hAnsi="Verdana"/>
                <w:b/>
                <w:spacing w:val="-4"/>
                <w:sz w:val="14"/>
                <w:szCs w:val="14"/>
              </w:rPr>
              <w:t>Total</w:t>
            </w:r>
          </w:p>
        </w:tc>
        <w:tc>
          <w:tcPr>
            <w:tcW w:w="630" w:type="dxa"/>
          </w:tcPr>
          <w:p w14:paraId="0E8E65BD"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4"/>
                <w:sz w:val="14"/>
                <w:szCs w:val="14"/>
              </w:rPr>
              <w:t>1349</w:t>
            </w:r>
          </w:p>
        </w:tc>
        <w:tc>
          <w:tcPr>
            <w:tcW w:w="720" w:type="dxa"/>
          </w:tcPr>
          <w:p w14:paraId="07E1B50B" w14:textId="77777777" w:rsidR="008715BE" w:rsidRPr="001B3BB8" w:rsidRDefault="00000000">
            <w:pPr>
              <w:pStyle w:val="TableParagraph"/>
              <w:spacing w:line="150" w:lineRule="exact"/>
              <w:ind w:right="94"/>
              <w:jc w:val="right"/>
              <w:rPr>
                <w:rFonts w:ascii="Verdana" w:hAnsi="Verdana"/>
                <w:sz w:val="14"/>
                <w:szCs w:val="14"/>
              </w:rPr>
            </w:pPr>
            <w:r w:rsidRPr="001B3BB8">
              <w:rPr>
                <w:rFonts w:ascii="Verdana" w:hAnsi="Verdana"/>
                <w:spacing w:val="-5"/>
                <w:sz w:val="14"/>
                <w:szCs w:val="14"/>
              </w:rPr>
              <w:t>71</w:t>
            </w:r>
          </w:p>
        </w:tc>
        <w:tc>
          <w:tcPr>
            <w:tcW w:w="290" w:type="dxa"/>
          </w:tcPr>
          <w:p w14:paraId="78EB0F01" w14:textId="77777777" w:rsidR="008715BE" w:rsidRPr="001B3BB8" w:rsidRDefault="00000000">
            <w:pPr>
              <w:pStyle w:val="TableParagraph"/>
              <w:spacing w:line="150" w:lineRule="exact"/>
              <w:ind w:left="15"/>
              <w:jc w:val="center"/>
              <w:rPr>
                <w:rFonts w:ascii="Verdana" w:hAnsi="Verdana"/>
                <w:sz w:val="14"/>
                <w:szCs w:val="14"/>
              </w:rPr>
            </w:pPr>
            <w:r w:rsidRPr="001B3BB8">
              <w:rPr>
                <w:rFonts w:ascii="Verdana" w:hAnsi="Verdana"/>
                <w:spacing w:val="-5"/>
                <w:sz w:val="14"/>
                <w:szCs w:val="14"/>
              </w:rPr>
              <w:t>74</w:t>
            </w:r>
          </w:p>
        </w:tc>
        <w:tc>
          <w:tcPr>
            <w:tcW w:w="564" w:type="dxa"/>
          </w:tcPr>
          <w:p w14:paraId="6CAB996A"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5"/>
                <w:sz w:val="14"/>
                <w:szCs w:val="14"/>
              </w:rPr>
              <w:t>80</w:t>
            </w:r>
          </w:p>
        </w:tc>
        <w:tc>
          <w:tcPr>
            <w:tcW w:w="483" w:type="dxa"/>
          </w:tcPr>
          <w:p w14:paraId="0E2961AF" w14:textId="77777777" w:rsidR="008715BE" w:rsidRPr="001B3BB8" w:rsidRDefault="00000000">
            <w:pPr>
              <w:pStyle w:val="TableParagraph"/>
              <w:spacing w:line="150" w:lineRule="exact"/>
              <w:ind w:left="98"/>
              <w:jc w:val="center"/>
              <w:rPr>
                <w:rFonts w:ascii="Verdana" w:hAnsi="Verdana"/>
                <w:sz w:val="14"/>
                <w:szCs w:val="14"/>
              </w:rPr>
            </w:pPr>
            <w:r w:rsidRPr="001B3BB8">
              <w:rPr>
                <w:rFonts w:ascii="Verdana" w:hAnsi="Verdana"/>
                <w:spacing w:val="-5"/>
                <w:sz w:val="14"/>
                <w:szCs w:val="14"/>
              </w:rPr>
              <w:t>80</w:t>
            </w:r>
          </w:p>
        </w:tc>
        <w:tc>
          <w:tcPr>
            <w:tcW w:w="485" w:type="dxa"/>
          </w:tcPr>
          <w:p w14:paraId="649538E2" w14:textId="77777777" w:rsidR="008715BE" w:rsidRPr="001B3BB8" w:rsidRDefault="00000000">
            <w:pPr>
              <w:pStyle w:val="TableParagraph"/>
              <w:spacing w:line="150" w:lineRule="exact"/>
              <w:ind w:left="99"/>
              <w:jc w:val="center"/>
              <w:rPr>
                <w:rFonts w:ascii="Verdana" w:hAnsi="Verdana"/>
                <w:sz w:val="14"/>
                <w:szCs w:val="14"/>
              </w:rPr>
            </w:pPr>
            <w:r w:rsidRPr="001B3BB8">
              <w:rPr>
                <w:rFonts w:ascii="Verdana" w:hAnsi="Verdana"/>
                <w:spacing w:val="-5"/>
                <w:sz w:val="14"/>
                <w:szCs w:val="14"/>
              </w:rPr>
              <w:t>87</w:t>
            </w:r>
          </w:p>
        </w:tc>
        <w:tc>
          <w:tcPr>
            <w:tcW w:w="483" w:type="dxa"/>
          </w:tcPr>
          <w:p w14:paraId="4BB42CCA" w14:textId="77777777" w:rsidR="008715BE" w:rsidRPr="001B3BB8" w:rsidRDefault="00000000">
            <w:pPr>
              <w:pStyle w:val="TableParagraph"/>
              <w:spacing w:line="150" w:lineRule="exact"/>
              <w:ind w:left="98" w:right="2"/>
              <w:jc w:val="center"/>
              <w:rPr>
                <w:rFonts w:ascii="Verdana" w:hAnsi="Verdana"/>
                <w:sz w:val="14"/>
                <w:szCs w:val="14"/>
              </w:rPr>
            </w:pPr>
            <w:r w:rsidRPr="001B3BB8">
              <w:rPr>
                <w:rFonts w:ascii="Verdana" w:hAnsi="Verdana"/>
                <w:spacing w:val="-5"/>
                <w:sz w:val="14"/>
                <w:szCs w:val="14"/>
              </w:rPr>
              <w:t>84</w:t>
            </w:r>
          </w:p>
        </w:tc>
        <w:tc>
          <w:tcPr>
            <w:tcW w:w="536" w:type="dxa"/>
          </w:tcPr>
          <w:p w14:paraId="5A27106E" w14:textId="77777777" w:rsidR="008715BE" w:rsidRPr="001B3BB8" w:rsidRDefault="00000000">
            <w:pPr>
              <w:pStyle w:val="TableParagraph"/>
              <w:spacing w:line="150" w:lineRule="exact"/>
              <w:ind w:left="59"/>
              <w:jc w:val="center"/>
              <w:rPr>
                <w:rFonts w:ascii="Verdana" w:hAnsi="Verdana"/>
                <w:sz w:val="14"/>
                <w:szCs w:val="14"/>
              </w:rPr>
            </w:pPr>
            <w:r w:rsidRPr="001B3BB8">
              <w:rPr>
                <w:rFonts w:ascii="Verdana" w:hAnsi="Verdana"/>
                <w:spacing w:val="-5"/>
                <w:sz w:val="14"/>
                <w:szCs w:val="14"/>
              </w:rPr>
              <w:t>105</w:t>
            </w:r>
          </w:p>
        </w:tc>
        <w:tc>
          <w:tcPr>
            <w:tcW w:w="483" w:type="dxa"/>
          </w:tcPr>
          <w:p w14:paraId="27AE3E01" w14:textId="77777777" w:rsidR="008715BE" w:rsidRPr="001B3BB8" w:rsidRDefault="00000000">
            <w:pPr>
              <w:pStyle w:val="TableParagraph"/>
              <w:spacing w:line="150" w:lineRule="exact"/>
              <w:ind w:right="98"/>
              <w:jc w:val="right"/>
              <w:rPr>
                <w:rFonts w:ascii="Verdana" w:hAnsi="Verdana"/>
                <w:sz w:val="14"/>
                <w:szCs w:val="14"/>
              </w:rPr>
            </w:pPr>
            <w:r w:rsidRPr="001B3BB8">
              <w:rPr>
                <w:rFonts w:ascii="Verdana" w:hAnsi="Verdana"/>
                <w:spacing w:val="-5"/>
                <w:sz w:val="14"/>
                <w:szCs w:val="14"/>
              </w:rPr>
              <w:t>79</w:t>
            </w:r>
          </w:p>
        </w:tc>
        <w:tc>
          <w:tcPr>
            <w:tcW w:w="510" w:type="dxa"/>
          </w:tcPr>
          <w:p w14:paraId="628D715F" w14:textId="77777777" w:rsidR="008715BE" w:rsidRPr="001B3BB8" w:rsidRDefault="00000000">
            <w:pPr>
              <w:pStyle w:val="TableParagraph"/>
              <w:spacing w:line="150" w:lineRule="exact"/>
              <w:ind w:left="123"/>
              <w:jc w:val="center"/>
              <w:rPr>
                <w:rFonts w:ascii="Verdana" w:hAnsi="Verdana"/>
                <w:sz w:val="14"/>
                <w:szCs w:val="14"/>
              </w:rPr>
            </w:pPr>
            <w:r w:rsidRPr="001B3BB8">
              <w:rPr>
                <w:rFonts w:ascii="Verdana" w:hAnsi="Verdana"/>
                <w:spacing w:val="-5"/>
                <w:sz w:val="14"/>
                <w:szCs w:val="14"/>
              </w:rPr>
              <w:t>91</w:t>
            </w:r>
          </w:p>
        </w:tc>
        <w:tc>
          <w:tcPr>
            <w:tcW w:w="486" w:type="dxa"/>
          </w:tcPr>
          <w:p w14:paraId="67432E83" w14:textId="77777777" w:rsidR="008715BE" w:rsidRPr="001B3BB8" w:rsidRDefault="00000000">
            <w:pPr>
              <w:pStyle w:val="TableParagraph"/>
              <w:spacing w:line="150" w:lineRule="exact"/>
              <w:ind w:left="92"/>
              <w:jc w:val="center"/>
              <w:rPr>
                <w:rFonts w:ascii="Verdana" w:hAnsi="Verdana"/>
                <w:sz w:val="14"/>
                <w:szCs w:val="14"/>
              </w:rPr>
            </w:pPr>
            <w:r w:rsidRPr="001B3BB8">
              <w:rPr>
                <w:rFonts w:ascii="Verdana" w:hAnsi="Verdana"/>
                <w:spacing w:val="-5"/>
                <w:sz w:val="14"/>
                <w:szCs w:val="14"/>
              </w:rPr>
              <w:t>94</w:t>
            </w:r>
          </w:p>
        </w:tc>
        <w:tc>
          <w:tcPr>
            <w:tcW w:w="510" w:type="dxa"/>
          </w:tcPr>
          <w:p w14:paraId="175C521A" w14:textId="77777777" w:rsidR="008715BE" w:rsidRPr="001B3BB8" w:rsidRDefault="00000000">
            <w:pPr>
              <w:pStyle w:val="TableParagraph"/>
              <w:spacing w:line="150" w:lineRule="exact"/>
              <w:ind w:left="25"/>
              <w:jc w:val="center"/>
              <w:rPr>
                <w:rFonts w:ascii="Verdana" w:hAnsi="Verdana"/>
                <w:sz w:val="14"/>
                <w:szCs w:val="14"/>
              </w:rPr>
            </w:pPr>
            <w:r w:rsidRPr="001B3BB8">
              <w:rPr>
                <w:rFonts w:ascii="Verdana" w:hAnsi="Verdana"/>
                <w:spacing w:val="-5"/>
                <w:sz w:val="14"/>
                <w:szCs w:val="14"/>
              </w:rPr>
              <w:t>112</w:t>
            </w:r>
          </w:p>
        </w:tc>
        <w:tc>
          <w:tcPr>
            <w:tcW w:w="484" w:type="dxa"/>
          </w:tcPr>
          <w:p w14:paraId="4BC6623F" w14:textId="77777777" w:rsidR="008715BE" w:rsidRPr="001B3BB8" w:rsidRDefault="00000000">
            <w:pPr>
              <w:pStyle w:val="TableParagraph"/>
              <w:spacing w:line="150" w:lineRule="exact"/>
              <w:ind w:right="103"/>
              <w:jc w:val="right"/>
              <w:rPr>
                <w:rFonts w:ascii="Verdana" w:hAnsi="Verdana"/>
                <w:sz w:val="14"/>
                <w:szCs w:val="14"/>
              </w:rPr>
            </w:pPr>
            <w:r w:rsidRPr="001B3BB8">
              <w:rPr>
                <w:rFonts w:ascii="Verdana" w:hAnsi="Verdana"/>
                <w:spacing w:val="-5"/>
                <w:sz w:val="14"/>
                <w:szCs w:val="14"/>
              </w:rPr>
              <w:t>72</w:t>
            </w:r>
          </w:p>
        </w:tc>
        <w:tc>
          <w:tcPr>
            <w:tcW w:w="510" w:type="dxa"/>
          </w:tcPr>
          <w:p w14:paraId="14B3EA93" w14:textId="77777777" w:rsidR="008715BE" w:rsidRPr="001B3BB8" w:rsidRDefault="00000000">
            <w:pPr>
              <w:pStyle w:val="TableParagraph"/>
              <w:spacing w:line="150" w:lineRule="exact"/>
              <w:ind w:left="123" w:right="15"/>
              <w:jc w:val="center"/>
              <w:rPr>
                <w:rFonts w:ascii="Verdana" w:hAnsi="Verdana"/>
                <w:sz w:val="14"/>
                <w:szCs w:val="14"/>
              </w:rPr>
            </w:pPr>
            <w:r w:rsidRPr="001B3BB8">
              <w:rPr>
                <w:rFonts w:ascii="Verdana" w:hAnsi="Verdana"/>
                <w:spacing w:val="-5"/>
                <w:sz w:val="14"/>
                <w:szCs w:val="14"/>
              </w:rPr>
              <w:t>72</w:t>
            </w:r>
          </w:p>
        </w:tc>
        <w:tc>
          <w:tcPr>
            <w:tcW w:w="568" w:type="dxa"/>
          </w:tcPr>
          <w:p w14:paraId="553ABB27" w14:textId="77777777" w:rsidR="008715BE" w:rsidRPr="001B3BB8" w:rsidRDefault="00000000">
            <w:pPr>
              <w:pStyle w:val="TableParagraph"/>
              <w:spacing w:line="150" w:lineRule="exact"/>
              <w:ind w:left="163"/>
              <w:jc w:val="center"/>
              <w:rPr>
                <w:rFonts w:ascii="Verdana" w:hAnsi="Verdana"/>
                <w:sz w:val="14"/>
                <w:szCs w:val="14"/>
              </w:rPr>
            </w:pPr>
            <w:r w:rsidRPr="001B3BB8">
              <w:rPr>
                <w:rFonts w:ascii="Verdana" w:hAnsi="Verdana"/>
                <w:spacing w:val="-5"/>
                <w:sz w:val="14"/>
                <w:szCs w:val="14"/>
              </w:rPr>
              <w:t>78</w:t>
            </w:r>
          </w:p>
        </w:tc>
        <w:tc>
          <w:tcPr>
            <w:tcW w:w="486" w:type="dxa"/>
          </w:tcPr>
          <w:p w14:paraId="492AB862" w14:textId="77777777" w:rsidR="008715BE" w:rsidRPr="001B3BB8" w:rsidRDefault="00000000">
            <w:pPr>
              <w:pStyle w:val="TableParagraph"/>
              <w:spacing w:line="150" w:lineRule="exact"/>
              <w:ind w:left="92" w:right="12"/>
              <w:jc w:val="center"/>
              <w:rPr>
                <w:rFonts w:ascii="Verdana" w:hAnsi="Verdana"/>
                <w:sz w:val="14"/>
                <w:szCs w:val="14"/>
              </w:rPr>
            </w:pPr>
            <w:r w:rsidRPr="001B3BB8">
              <w:rPr>
                <w:rFonts w:ascii="Verdana" w:hAnsi="Verdana"/>
                <w:spacing w:val="-5"/>
                <w:sz w:val="14"/>
                <w:szCs w:val="14"/>
              </w:rPr>
              <w:t>83</w:t>
            </w:r>
          </w:p>
        </w:tc>
        <w:tc>
          <w:tcPr>
            <w:tcW w:w="484" w:type="dxa"/>
          </w:tcPr>
          <w:p w14:paraId="06F0730D" w14:textId="77777777" w:rsidR="008715BE" w:rsidRPr="001B3BB8" w:rsidRDefault="00000000">
            <w:pPr>
              <w:pStyle w:val="TableParagraph"/>
              <w:spacing w:line="150" w:lineRule="exact"/>
              <w:ind w:left="160" w:right="85"/>
              <w:jc w:val="center"/>
              <w:rPr>
                <w:rFonts w:ascii="Verdana" w:hAnsi="Verdana"/>
                <w:sz w:val="14"/>
                <w:szCs w:val="14"/>
              </w:rPr>
            </w:pPr>
            <w:r w:rsidRPr="001B3BB8">
              <w:rPr>
                <w:rFonts w:ascii="Verdana" w:hAnsi="Verdana"/>
                <w:spacing w:val="-5"/>
                <w:sz w:val="14"/>
                <w:szCs w:val="14"/>
              </w:rPr>
              <w:t>32</w:t>
            </w:r>
          </w:p>
        </w:tc>
        <w:tc>
          <w:tcPr>
            <w:tcW w:w="484" w:type="dxa"/>
          </w:tcPr>
          <w:p w14:paraId="517A7F55" w14:textId="77777777" w:rsidR="008715BE" w:rsidRPr="001B3BB8" w:rsidRDefault="00000000">
            <w:pPr>
              <w:pStyle w:val="TableParagraph"/>
              <w:spacing w:line="150" w:lineRule="exact"/>
              <w:ind w:left="160" w:right="89"/>
              <w:jc w:val="center"/>
              <w:rPr>
                <w:rFonts w:ascii="Verdana" w:hAnsi="Verdana"/>
                <w:sz w:val="14"/>
                <w:szCs w:val="14"/>
              </w:rPr>
            </w:pPr>
            <w:r w:rsidRPr="001B3BB8">
              <w:rPr>
                <w:rFonts w:ascii="Verdana" w:hAnsi="Verdana"/>
                <w:spacing w:val="-5"/>
                <w:sz w:val="14"/>
                <w:szCs w:val="14"/>
              </w:rPr>
              <w:t>31</w:t>
            </w:r>
          </w:p>
        </w:tc>
        <w:tc>
          <w:tcPr>
            <w:tcW w:w="650" w:type="dxa"/>
          </w:tcPr>
          <w:p w14:paraId="6373AFE7" w14:textId="77777777" w:rsidR="008715BE" w:rsidRPr="001B3BB8" w:rsidRDefault="00000000">
            <w:pPr>
              <w:pStyle w:val="TableParagraph"/>
              <w:spacing w:line="150" w:lineRule="exact"/>
              <w:ind w:right="112"/>
              <w:jc w:val="right"/>
              <w:rPr>
                <w:rFonts w:ascii="Verdana" w:hAnsi="Verdana"/>
                <w:sz w:val="14"/>
                <w:szCs w:val="14"/>
              </w:rPr>
            </w:pPr>
            <w:r w:rsidRPr="001B3BB8">
              <w:rPr>
                <w:rFonts w:ascii="Verdana" w:hAnsi="Verdana"/>
                <w:spacing w:val="-5"/>
                <w:sz w:val="14"/>
                <w:szCs w:val="14"/>
              </w:rPr>
              <w:t>24</w:t>
            </w:r>
          </w:p>
        </w:tc>
      </w:tr>
      <w:tr w:rsidR="008715BE" w:rsidRPr="001B3BB8" w14:paraId="4477B11B" w14:textId="77777777" w:rsidTr="001B3BB8">
        <w:trPr>
          <w:trHeight w:val="170"/>
        </w:trPr>
        <w:tc>
          <w:tcPr>
            <w:tcW w:w="768" w:type="dxa"/>
          </w:tcPr>
          <w:p w14:paraId="160E06AB" w14:textId="77777777" w:rsidR="008715BE" w:rsidRPr="001B3BB8" w:rsidRDefault="00000000">
            <w:pPr>
              <w:pStyle w:val="TableParagraph"/>
              <w:spacing w:line="150" w:lineRule="exact"/>
              <w:ind w:left="107"/>
              <w:rPr>
                <w:rFonts w:ascii="Verdana" w:hAnsi="Verdana"/>
                <w:b/>
                <w:sz w:val="14"/>
                <w:szCs w:val="14"/>
              </w:rPr>
            </w:pPr>
            <w:r w:rsidRPr="001B3BB8">
              <w:rPr>
                <w:rFonts w:ascii="Verdana" w:hAnsi="Verdana"/>
                <w:b/>
                <w:spacing w:val="-2"/>
                <w:sz w:val="14"/>
                <w:szCs w:val="14"/>
              </w:rPr>
              <w:t>Male</w:t>
            </w:r>
          </w:p>
        </w:tc>
        <w:tc>
          <w:tcPr>
            <w:tcW w:w="630" w:type="dxa"/>
          </w:tcPr>
          <w:p w14:paraId="332291A2"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5"/>
                <w:sz w:val="14"/>
                <w:szCs w:val="14"/>
              </w:rPr>
              <w:t>711</w:t>
            </w:r>
          </w:p>
        </w:tc>
        <w:tc>
          <w:tcPr>
            <w:tcW w:w="720" w:type="dxa"/>
          </w:tcPr>
          <w:p w14:paraId="5039C094" w14:textId="77777777" w:rsidR="008715BE" w:rsidRPr="001B3BB8" w:rsidRDefault="00000000">
            <w:pPr>
              <w:pStyle w:val="TableParagraph"/>
              <w:spacing w:line="150" w:lineRule="exact"/>
              <w:ind w:right="94"/>
              <w:jc w:val="right"/>
              <w:rPr>
                <w:rFonts w:ascii="Verdana" w:hAnsi="Verdana"/>
                <w:sz w:val="14"/>
                <w:szCs w:val="14"/>
              </w:rPr>
            </w:pPr>
            <w:r w:rsidRPr="001B3BB8">
              <w:rPr>
                <w:rFonts w:ascii="Verdana" w:hAnsi="Verdana"/>
                <w:spacing w:val="-5"/>
                <w:sz w:val="14"/>
                <w:szCs w:val="14"/>
              </w:rPr>
              <w:t>45</w:t>
            </w:r>
          </w:p>
        </w:tc>
        <w:tc>
          <w:tcPr>
            <w:tcW w:w="290" w:type="dxa"/>
          </w:tcPr>
          <w:p w14:paraId="529DC79B" w14:textId="77777777" w:rsidR="008715BE" w:rsidRPr="001B3BB8" w:rsidRDefault="00000000">
            <w:pPr>
              <w:pStyle w:val="TableParagraph"/>
              <w:spacing w:line="150" w:lineRule="exact"/>
              <w:ind w:left="15"/>
              <w:jc w:val="center"/>
              <w:rPr>
                <w:rFonts w:ascii="Verdana" w:hAnsi="Verdana"/>
                <w:sz w:val="14"/>
                <w:szCs w:val="14"/>
              </w:rPr>
            </w:pPr>
            <w:r w:rsidRPr="001B3BB8">
              <w:rPr>
                <w:rFonts w:ascii="Verdana" w:hAnsi="Verdana"/>
                <w:spacing w:val="-5"/>
                <w:sz w:val="14"/>
                <w:szCs w:val="14"/>
              </w:rPr>
              <w:t>33</w:t>
            </w:r>
          </w:p>
        </w:tc>
        <w:tc>
          <w:tcPr>
            <w:tcW w:w="564" w:type="dxa"/>
          </w:tcPr>
          <w:p w14:paraId="09FF56FC"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5"/>
                <w:sz w:val="14"/>
                <w:szCs w:val="14"/>
              </w:rPr>
              <w:t>44</w:t>
            </w:r>
          </w:p>
        </w:tc>
        <w:tc>
          <w:tcPr>
            <w:tcW w:w="483" w:type="dxa"/>
          </w:tcPr>
          <w:p w14:paraId="23B8B493" w14:textId="77777777" w:rsidR="008715BE" w:rsidRPr="001B3BB8" w:rsidRDefault="00000000">
            <w:pPr>
              <w:pStyle w:val="TableParagraph"/>
              <w:spacing w:line="150" w:lineRule="exact"/>
              <w:ind w:left="98"/>
              <w:jc w:val="center"/>
              <w:rPr>
                <w:rFonts w:ascii="Verdana" w:hAnsi="Verdana"/>
                <w:sz w:val="14"/>
                <w:szCs w:val="14"/>
              </w:rPr>
            </w:pPr>
            <w:r w:rsidRPr="001B3BB8">
              <w:rPr>
                <w:rFonts w:ascii="Verdana" w:hAnsi="Verdana"/>
                <w:spacing w:val="-5"/>
                <w:sz w:val="14"/>
                <w:szCs w:val="14"/>
              </w:rPr>
              <w:t>39</w:t>
            </w:r>
          </w:p>
        </w:tc>
        <w:tc>
          <w:tcPr>
            <w:tcW w:w="485" w:type="dxa"/>
          </w:tcPr>
          <w:p w14:paraId="7FF439A0" w14:textId="77777777" w:rsidR="008715BE" w:rsidRPr="001B3BB8" w:rsidRDefault="00000000">
            <w:pPr>
              <w:pStyle w:val="TableParagraph"/>
              <w:spacing w:line="150" w:lineRule="exact"/>
              <w:ind w:left="99"/>
              <w:jc w:val="center"/>
              <w:rPr>
                <w:rFonts w:ascii="Verdana" w:hAnsi="Verdana"/>
                <w:sz w:val="14"/>
                <w:szCs w:val="14"/>
              </w:rPr>
            </w:pPr>
            <w:r w:rsidRPr="001B3BB8">
              <w:rPr>
                <w:rFonts w:ascii="Verdana" w:hAnsi="Verdana"/>
                <w:spacing w:val="-5"/>
                <w:sz w:val="14"/>
                <w:szCs w:val="14"/>
              </w:rPr>
              <w:t>54</w:t>
            </w:r>
          </w:p>
        </w:tc>
        <w:tc>
          <w:tcPr>
            <w:tcW w:w="483" w:type="dxa"/>
          </w:tcPr>
          <w:p w14:paraId="5753A13D" w14:textId="77777777" w:rsidR="008715BE" w:rsidRPr="001B3BB8" w:rsidRDefault="00000000">
            <w:pPr>
              <w:pStyle w:val="TableParagraph"/>
              <w:spacing w:line="150" w:lineRule="exact"/>
              <w:ind w:left="98" w:right="2"/>
              <w:jc w:val="center"/>
              <w:rPr>
                <w:rFonts w:ascii="Verdana" w:hAnsi="Verdana"/>
                <w:sz w:val="14"/>
                <w:szCs w:val="14"/>
              </w:rPr>
            </w:pPr>
            <w:r w:rsidRPr="001B3BB8">
              <w:rPr>
                <w:rFonts w:ascii="Verdana" w:hAnsi="Verdana"/>
                <w:spacing w:val="-5"/>
                <w:sz w:val="14"/>
                <w:szCs w:val="14"/>
              </w:rPr>
              <w:t>46</w:t>
            </w:r>
          </w:p>
        </w:tc>
        <w:tc>
          <w:tcPr>
            <w:tcW w:w="536" w:type="dxa"/>
          </w:tcPr>
          <w:p w14:paraId="3E5D9393" w14:textId="77777777" w:rsidR="008715BE" w:rsidRPr="001B3BB8" w:rsidRDefault="00000000">
            <w:pPr>
              <w:pStyle w:val="TableParagraph"/>
              <w:spacing w:line="150" w:lineRule="exact"/>
              <w:ind w:left="147"/>
              <w:jc w:val="center"/>
              <w:rPr>
                <w:rFonts w:ascii="Verdana" w:hAnsi="Verdana"/>
                <w:sz w:val="14"/>
                <w:szCs w:val="14"/>
              </w:rPr>
            </w:pPr>
            <w:r w:rsidRPr="001B3BB8">
              <w:rPr>
                <w:rFonts w:ascii="Verdana" w:hAnsi="Verdana"/>
                <w:spacing w:val="-5"/>
                <w:sz w:val="14"/>
                <w:szCs w:val="14"/>
              </w:rPr>
              <w:t>62</w:t>
            </w:r>
          </w:p>
        </w:tc>
        <w:tc>
          <w:tcPr>
            <w:tcW w:w="483" w:type="dxa"/>
          </w:tcPr>
          <w:p w14:paraId="26F35641" w14:textId="77777777" w:rsidR="008715BE" w:rsidRPr="001B3BB8" w:rsidRDefault="00000000">
            <w:pPr>
              <w:pStyle w:val="TableParagraph"/>
              <w:spacing w:line="150" w:lineRule="exact"/>
              <w:ind w:right="98"/>
              <w:jc w:val="right"/>
              <w:rPr>
                <w:rFonts w:ascii="Verdana" w:hAnsi="Verdana"/>
                <w:sz w:val="14"/>
                <w:szCs w:val="14"/>
              </w:rPr>
            </w:pPr>
            <w:r w:rsidRPr="001B3BB8">
              <w:rPr>
                <w:rFonts w:ascii="Verdana" w:hAnsi="Verdana"/>
                <w:spacing w:val="-5"/>
                <w:sz w:val="14"/>
                <w:szCs w:val="14"/>
              </w:rPr>
              <w:t>43</w:t>
            </w:r>
          </w:p>
        </w:tc>
        <w:tc>
          <w:tcPr>
            <w:tcW w:w="510" w:type="dxa"/>
          </w:tcPr>
          <w:p w14:paraId="6040CC02" w14:textId="77777777" w:rsidR="008715BE" w:rsidRPr="001B3BB8" w:rsidRDefault="00000000">
            <w:pPr>
              <w:pStyle w:val="TableParagraph"/>
              <w:spacing w:line="150" w:lineRule="exact"/>
              <w:ind w:left="123"/>
              <w:jc w:val="center"/>
              <w:rPr>
                <w:rFonts w:ascii="Verdana" w:hAnsi="Verdana"/>
                <w:sz w:val="14"/>
                <w:szCs w:val="14"/>
              </w:rPr>
            </w:pPr>
            <w:r w:rsidRPr="001B3BB8">
              <w:rPr>
                <w:rFonts w:ascii="Verdana" w:hAnsi="Verdana"/>
                <w:spacing w:val="-5"/>
                <w:sz w:val="14"/>
                <w:szCs w:val="14"/>
              </w:rPr>
              <w:t>44</w:t>
            </w:r>
          </w:p>
        </w:tc>
        <w:tc>
          <w:tcPr>
            <w:tcW w:w="486" w:type="dxa"/>
          </w:tcPr>
          <w:p w14:paraId="30DF651C" w14:textId="77777777" w:rsidR="008715BE" w:rsidRPr="001B3BB8" w:rsidRDefault="00000000">
            <w:pPr>
              <w:pStyle w:val="TableParagraph"/>
              <w:spacing w:line="150" w:lineRule="exact"/>
              <w:ind w:left="92"/>
              <w:jc w:val="center"/>
              <w:rPr>
                <w:rFonts w:ascii="Verdana" w:hAnsi="Verdana"/>
                <w:sz w:val="14"/>
                <w:szCs w:val="14"/>
              </w:rPr>
            </w:pPr>
            <w:r w:rsidRPr="001B3BB8">
              <w:rPr>
                <w:rFonts w:ascii="Verdana" w:hAnsi="Verdana"/>
                <w:spacing w:val="-5"/>
                <w:sz w:val="14"/>
                <w:szCs w:val="14"/>
              </w:rPr>
              <w:t>56</w:t>
            </w:r>
          </w:p>
        </w:tc>
        <w:tc>
          <w:tcPr>
            <w:tcW w:w="510" w:type="dxa"/>
          </w:tcPr>
          <w:p w14:paraId="0536AABB" w14:textId="77777777" w:rsidR="008715BE" w:rsidRPr="001B3BB8" w:rsidRDefault="00000000">
            <w:pPr>
              <w:pStyle w:val="TableParagraph"/>
              <w:spacing w:line="150" w:lineRule="exact"/>
              <w:ind w:left="123" w:right="9"/>
              <w:jc w:val="center"/>
              <w:rPr>
                <w:rFonts w:ascii="Verdana" w:hAnsi="Verdana"/>
                <w:sz w:val="14"/>
                <w:szCs w:val="14"/>
              </w:rPr>
            </w:pPr>
            <w:r w:rsidRPr="001B3BB8">
              <w:rPr>
                <w:rFonts w:ascii="Verdana" w:hAnsi="Verdana"/>
                <w:spacing w:val="-5"/>
                <w:sz w:val="14"/>
                <w:szCs w:val="14"/>
              </w:rPr>
              <w:t>65</w:t>
            </w:r>
          </w:p>
        </w:tc>
        <w:tc>
          <w:tcPr>
            <w:tcW w:w="484" w:type="dxa"/>
          </w:tcPr>
          <w:p w14:paraId="1D408D52" w14:textId="77777777" w:rsidR="008715BE" w:rsidRPr="001B3BB8" w:rsidRDefault="00000000">
            <w:pPr>
              <w:pStyle w:val="TableParagraph"/>
              <w:spacing w:line="150" w:lineRule="exact"/>
              <w:ind w:right="103"/>
              <w:jc w:val="right"/>
              <w:rPr>
                <w:rFonts w:ascii="Verdana" w:hAnsi="Verdana"/>
                <w:sz w:val="14"/>
                <w:szCs w:val="14"/>
              </w:rPr>
            </w:pPr>
            <w:r w:rsidRPr="001B3BB8">
              <w:rPr>
                <w:rFonts w:ascii="Verdana" w:hAnsi="Verdana"/>
                <w:spacing w:val="-5"/>
                <w:sz w:val="14"/>
                <w:szCs w:val="14"/>
              </w:rPr>
              <w:t>41</w:t>
            </w:r>
          </w:p>
        </w:tc>
        <w:tc>
          <w:tcPr>
            <w:tcW w:w="510" w:type="dxa"/>
          </w:tcPr>
          <w:p w14:paraId="507A3DE8" w14:textId="77777777" w:rsidR="008715BE" w:rsidRPr="001B3BB8" w:rsidRDefault="00000000">
            <w:pPr>
              <w:pStyle w:val="TableParagraph"/>
              <w:spacing w:line="150" w:lineRule="exact"/>
              <w:ind w:left="123" w:right="15"/>
              <w:jc w:val="center"/>
              <w:rPr>
                <w:rFonts w:ascii="Verdana" w:hAnsi="Verdana"/>
                <w:sz w:val="14"/>
                <w:szCs w:val="14"/>
              </w:rPr>
            </w:pPr>
            <w:r w:rsidRPr="001B3BB8">
              <w:rPr>
                <w:rFonts w:ascii="Verdana" w:hAnsi="Verdana"/>
                <w:spacing w:val="-5"/>
                <w:sz w:val="14"/>
                <w:szCs w:val="14"/>
              </w:rPr>
              <w:t>38</w:t>
            </w:r>
          </w:p>
        </w:tc>
        <w:tc>
          <w:tcPr>
            <w:tcW w:w="568" w:type="dxa"/>
          </w:tcPr>
          <w:p w14:paraId="7CA5D32E" w14:textId="77777777" w:rsidR="008715BE" w:rsidRPr="001B3BB8" w:rsidRDefault="00000000">
            <w:pPr>
              <w:pStyle w:val="TableParagraph"/>
              <w:spacing w:line="150" w:lineRule="exact"/>
              <w:ind w:left="163"/>
              <w:jc w:val="center"/>
              <w:rPr>
                <w:rFonts w:ascii="Verdana" w:hAnsi="Verdana"/>
                <w:sz w:val="14"/>
                <w:szCs w:val="14"/>
              </w:rPr>
            </w:pPr>
            <w:r w:rsidRPr="001B3BB8">
              <w:rPr>
                <w:rFonts w:ascii="Verdana" w:hAnsi="Verdana"/>
                <w:spacing w:val="-5"/>
                <w:sz w:val="14"/>
                <w:szCs w:val="14"/>
              </w:rPr>
              <w:t>30</w:t>
            </w:r>
          </w:p>
        </w:tc>
        <w:tc>
          <w:tcPr>
            <w:tcW w:w="486" w:type="dxa"/>
          </w:tcPr>
          <w:p w14:paraId="00A38D1E" w14:textId="77777777" w:rsidR="008715BE" w:rsidRPr="001B3BB8" w:rsidRDefault="00000000">
            <w:pPr>
              <w:pStyle w:val="TableParagraph"/>
              <w:spacing w:line="150" w:lineRule="exact"/>
              <w:ind w:left="92" w:right="12"/>
              <w:jc w:val="center"/>
              <w:rPr>
                <w:rFonts w:ascii="Verdana" w:hAnsi="Verdana"/>
                <w:sz w:val="14"/>
                <w:szCs w:val="14"/>
              </w:rPr>
            </w:pPr>
            <w:r w:rsidRPr="001B3BB8">
              <w:rPr>
                <w:rFonts w:ascii="Verdana" w:hAnsi="Verdana"/>
                <w:spacing w:val="-5"/>
                <w:sz w:val="14"/>
                <w:szCs w:val="14"/>
              </w:rPr>
              <w:t>37</w:t>
            </w:r>
          </w:p>
        </w:tc>
        <w:tc>
          <w:tcPr>
            <w:tcW w:w="484" w:type="dxa"/>
          </w:tcPr>
          <w:p w14:paraId="1D695FB0" w14:textId="77777777" w:rsidR="008715BE" w:rsidRPr="001B3BB8" w:rsidRDefault="00000000">
            <w:pPr>
              <w:pStyle w:val="TableParagraph"/>
              <w:spacing w:line="150" w:lineRule="exact"/>
              <w:ind w:left="160" w:right="85"/>
              <w:jc w:val="center"/>
              <w:rPr>
                <w:rFonts w:ascii="Verdana" w:hAnsi="Verdana"/>
                <w:sz w:val="14"/>
                <w:szCs w:val="14"/>
              </w:rPr>
            </w:pPr>
            <w:r w:rsidRPr="001B3BB8">
              <w:rPr>
                <w:rFonts w:ascii="Verdana" w:hAnsi="Verdana"/>
                <w:spacing w:val="-5"/>
                <w:sz w:val="14"/>
                <w:szCs w:val="14"/>
              </w:rPr>
              <w:t>15</w:t>
            </w:r>
          </w:p>
        </w:tc>
        <w:tc>
          <w:tcPr>
            <w:tcW w:w="484" w:type="dxa"/>
          </w:tcPr>
          <w:p w14:paraId="6E88A7B8" w14:textId="77777777" w:rsidR="008715BE" w:rsidRPr="001B3BB8" w:rsidRDefault="00000000">
            <w:pPr>
              <w:pStyle w:val="TableParagraph"/>
              <w:spacing w:line="150" w:lineRule="exact"/>
              <w:ind w:left="160"/>
              <w:jc w:val="center"/>
              <w:rPr>
                <w:rFonts w:ascii="Verdana" w:hAnsi="Verdana"/>
                <w:sz w:val="14"/>
                <w:szCs w:val="14"/>
              </w:rPr>
            </w:pPr>
            <w:r w:rsidRPr="001B3BB8">
              <w:rPr>
                <w:rFonts w:ascii="Verdana" w:hAnsi="Verdana"/>
                <w:spacing w:val="-10"/>
                <w:sz w:val="14"/>
                <w:szCs w:val="14"/>
              </w:rPr>
              <w:t>9</w:t>
            </w:r>
          </w:p>
        </w:tc>
        <w:tc>
          <w:tcPr>
            <w:tcW w:w="650" w:type="dxa"/>
          </w:tcPr>
          <w:p w14:paraId="0B973FCF" w14:textId="77777777" w:rsidR="008715BE" w:rsidRPr="001B3BB8" w:rsidRDefault="00000000">
            <w:pPr>
              <w:pStyle w:val="TableParagraph"/>
              <w:spacing w:line="150" w:lineRule="exact"/>
              <w:ind w:right="112"/>
              <w:jc w:val="right"/>
              <w:rPr>
                <w:rFonts w:ascii="Verdana" w:hAnsi="Verdana"/>
                <w:sz w:val="14"/>
                <w:szCs w:val="14"/>
              </w:rPr>
            </w:pPr>
            <w:r w:rsidRPr="001B3BB8">
              <w:rPr>
                <w:rFonts w:ascii="Verdana" w:hAnsi="Verdana"/>
                <w:spacing w:val="-5"/>
                <w:sz w:val="14"/>
                <w:szCs w:val="14"/>
              </w:rPr>
              <w:t>10</w:t>
            </w:r>
          </w:p>
        </w:tc>
      </w:tr>
      <w:tr w:rsidR="008715BE" w:rsidRPr="001B3BB8" w14:paraId="61F178E3" w14:textId="77777777" w:rsidTr="001B3BB8">
        <w:trPr>
          <w:trHeight w:val="170"/>
        </w:trPr>
        <w:tc>
          <w:tcPr>
            <w:tcW w:w="768" w:type="dxa"/>
          </w:tcPr>
          <w:p w14:paraId="3ED22888" w14:textId="77777777" w:rsidR="008715BE" w:rsidRPr="001B3BB8" w:rsidRDefault="00000000">
            <w:pPr>
              <w:pStyle w:val="TableParagraph"/>
              <w:spacing w:line="150" w:lineRule="exact"/>
              <w:ind w:left="107"/>
              <w:rPr>
                <w:rFonts w:ascii="Verdana" w:hAnsi="Verdana"/>
                <w:b/>
                <w:sz w:val="14"/>
                <w:szCs w:val="14"/>
              </w:rPr>
            </w:pPr>
            <w:r w:rsidRPr="001B3BB8">
              <w:rPr>
                <w:rFonts w:ascii="Verdana" w:hAnsi="Verdana"/>
                <w:b/>
                <w:spacing w:val="-2"/>
                <w:sz w:val="14"/>
                <w:szCs w:val="14"/>
              </w:rPr>
              <w:t>Female</w:t>
            </w:r>
          </w:p>
        </w:tc>
        <w:tc>
          <w:tcPr>
            <w:tcW w:w="630" w:type="dxa"/>
          </w:tcPr>
          <w:p w14:paraId="1F69CD70"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5"/>
                <w:sz w:val="14"/>
                <w:szCs w:val="14"/>
              </w:rPr>
              <w:t>638</w:t>
            </w:r>
          </w:p>
        </w:tc>
        <w:tc>
          <w:tcPr>
            <w:tcW w:w="720" w:type="dxa"/>
          </w:tcPr>
          <w:p w14:paraId="38FB07F9" w14:textId="77777777" w:rsidR="008715BE" w:rsidRPr="001B3BB8" w:rsidRDefault="00000000">
            <w:pPr>
              <w:pStyle w:val="TableParagraph"/>
              <w:spacing w:line="150" w:lineRule="exact"/>
              <w:ind w:right="94"/>
              <w:jc w:val="right"/>
              <w:rPr>
                <w:rFonts w:ascii="Verdana" w:hAnsi="Verdana"/>
                <w:sz w:val="14"/>
                <w:szCs w:val="14"/>
              </w:rPr>
            </w:pPr>
            <w:r w:rsidRPr="001B3BB8">
              <w:rPr>
                <w:rFonts w:ascii="Verdana" w:hAnsi="Verdana"/>
                <w:spacing w:val="-5"/>
                <w:sz w:val="14"/>
                <w:szCs w:val="14"/>
              </w:rPr>
              <w:t>26</w:t>
            </w:r>
          </w:p>
        </w:tc>
        <w:tc>
          <w:tcPr>
            <w:tcW w:w="290" w:type="dxa"/>
          </w:tcPr>
          <w:p w14:paraId="116D9D79" w14:textId="77777777" w:rsidR="008715BE" w:rsidRPr="001B3BB8" w:rsidRDefault="00000000">
            <w:pPr>
              <w:pStyle w:val="TableParagraph"/>
              <w:spacing w:line="150" w:lineRule="exact"/>
              <w:ind w:left="15"/>
              <w:jc w:val="center"/>
              <w:rPr>
                <w:rFonts w:ascii="Verdana" w:hAnsi="Verdana"/>
                <w:sz w:val="14"/>
                <w:szCs w:val="14"/>
              </w:rPr>
            </w:pPr>
            <w:r w:rsidRPr="001B3BB8">
              <w:rPr>
                <w:rFonts w:ascii="Verdana" w:hAnsi="Verdana"/>
                <w:spacing w:val="-5"/>
                <w:sz w:val="14"/>
                <w:szCs w:val="14"/>
              </w:rPr>
              <w:t>41</w:t>
            </w:r>
          </w:p>
        </w:tc>
        <w:tc>
          <w:tcPr>
            <w:tcW w:w="564" w:type="dxa"/>
          </w:tcPr>
          <w:p w14:paraId="353EDF68" w14:textId="77777777" w:rsidR="008715BE" w:rsidRPr="001B3BB8" w:rsidRDefault="00000000">
            <w:pPr>
              <w:pStyle w:val="TableParagraph"/>
              <w:spacing w:line="150" w:lineRule="exact"/>
              <w:ind w:right="96"/>
              <w:jc w:val="right"/>
              <w:rPr>
                <w:rFonts w:ascii="Verdana" w:hAnsi="Verdana"/>
                <w:sz w:val="14"/>
                <w:szCs w:val="14"/>
              </w:rPr>
            </w:pPr>
            <w:r w:rsidRPr="001B3BB8">
              <w:rPr>
                <w:rFonts w:ascii="Verdana" w:hAnsi="Verdana"/>
                <w:spacing w:val="-5"/>
                <w:sz w:val="14"/>
                <w:szCs w:val="14"/>
              </w:rPr>
              <w:t>36</w:t>
            </w:r>
          </w:p>
        </w:tc>
        <w:tc>
          <w:tcPr>
            <w:tcW w:w="483" w:type="dxa"/>
          </w:tcPr>
          <w:p w14:paraId="480D7851" w14:textId="77777777" w:rsidR="008715BE" w:rsidRPr="001B3BB8" w:rsidRDefault="00000000">
            <w:pPr>
              <w:pStyle w:val="TableParagraph"/>
              <w:spacing w:line="150" w:lineRule="exact"/>
              <w:ind w:left="98"/>
              <w:jc w:val="center"/>
              <w:rPr>
                <w:rFonts w:ascii="Verdana" w:hAnsi="Verdana"/>
                <w:sz w:val="14"/>
                <w:szCs w:val="14"/>
              </w:rPr>
            </w:pPr>
            <w:r w:rsidRPr="001B3BB8">
              <w:rPr>
                <w:rFonts w:ascii="Verdana" w:hAnsi="Verdana"/>
                <w:spacing w:val="-5"/>
                <w:sz w:val="14"/>
                <w:szCs w:val="14"/>
              </w:rPr>
              <w:t>41</w:t>
            </w:r>
          </w:p>
        </w:tc>
        <w:tc>
          <w:tcPr>
            <w:tcW w:w="485" w:type="dxa"/>
          </w:tcPr>
          <w:p w14:paraId="47CD859B" w14:textId="77777777" w:rsidR="008715BE" w:rsidRPr="001B3BB8" w:rsidRDefault="00000000">
            <w:pPr>
              <w:pStyle w:val="TableParagraph"/>
              <w:spacing w:line="150" w:lineRule="exact"/>
              <w:ind w:left="99"/>
              <w:jc w:val="center"/>
              <w:rPr>
                <w:rFonts w:ascii="Verdana" w:hAnsi="Verdana"/>
                <w:sz w:val="14"/>
                <w:szCs w:val="14"/>
              </w:rPr>
            </w:pPr>
            <w:r w:rsidRPr="001B3BB8">
              <w:rPr>
                <w:rFonts w:ascii="Verdana" w:hAnsi="Verdana"/>
                <w:spacing w:val="-5"/>
                <w:sz w:val="14"/>
                <w:szCs w:val="14"/>
              </w:rPr>
              <w:t>33</w:t>
            </w:r>
          </w:p>
        </w:tc>
        <w:tc>
          <w:tcPr>
            <w:tcW w:w="483" w:type="dxa"/>
          </w:tcPr>
          <w:p w14:paraId="328B5E68" w14:textId="77777777" w:rsidR="008715BE" w:rsidRPr="001B3BB8" w:rsidRDefault="00000000">
            <w:pPr>
              <w:pStyle w:val="TableParagraph"/>
              <w:spacing w:line="150" w:lineRule="exact"/>
              <w:ind w:left="98" w:right="2"/>
              <w:jc w:val="center"/>
              <w:rPr>
                <w:rFonts w:ascii="Verdana" w:hAnsi="Verdana"/>
                <w:sz w:val="14"/>
                <w:szCs w:val="14"/>
              </w:rPr>
            </w:pPr>
            <w:r w:rsidRPr="001B3BB8">
              <w:rPr>
                <w:rFonts w:ascii="Verdana" w:hAnsi="Verdana"/>
                <w:spacing w:val="-5"/>
                <w:sz w:val="14"/>
                <w:szCs w:val="14"/>
              </w:rPr>
              <w:t>38</w:t>
            </w:r>
          </w:p>
        </w:tc>
        <w:tc>
          <w:tcPr>
            <w:tcW w:w="536" w:type="dxa"/>
          </w:tcPr>
          <w:p w14:paraId="27B1801E" w14:textId="77777777" w:rsidR="008715BE" w:rsidRPr="001B3BB8" w:rsidRDefault="00000000">
            <w:pPr>
              <w:pStyle w:val="TableParagraph"/>
              <w:spacing w:line="150" w:lineRule="exact"/>
              <w:ind w:left="147"/>
              <w:jc w:val="center"/>
              <w:rPr>
                <w:rFonts w:ascii="Verdana" w:hAnsi="Verdana"/>
                <w:sz w:val="14"/>
                <w:szCs w:val="14"/>
              </w:rPr>
            </w:pPr>
            <w:r w:rsidRPr="001B3BB8">
              <w:rPr>
                <w:rFonts w:ascii="Verdana" w:hAnsi="Verdana"/>
                <w:spacing w:val="-5"/>
                <w:sz w:val="14"/>
                <w:szCs w:val="14"/>
              </w:rPr>
              <w:t>43</w:t>
            </w:r>
          </w:p>
        </w:tc>
        <w:tc>
          <w:tcPr>
            <w:tcW w:w="483" w:type="dxa"/>
          </w:tcPr>
          <w:p w14:paraId="5F8CCB8C" w14:textId="77777777" w:rsidR="008715BE" w:rsidRPr="001B3BB8" w:rsidRDefault="00000000">
            <w:pPr>
              <w:pStyle w:val="TableParagraph"/>
              <w:spacing w:line="150" w:lineRule="exact"/>
              <w:ind w:right="98"/>
              <w:jc w:val="right"/>
              <w:rPr>
                <w:rFonts w:ascii="Verdana" w:hAnsi="Verdana"/>
                <w:sz w:val="14"/>
                <w:szCs w:val="14"/>
              </w:rPr>
            </w:pPr>
            <w:r w:rsidRPr="001B3BB8">
              <w:rPr>
                <w:rFonts w:ascii="Verdana" w:hAnsi="Verdana"/>
                <w:spacing w:val="-5"/>
                <w:sz w:val="14"/>
                <w:szCs w:val="14"/>
              </w:rPr>
              <w:t>36</w:t>
            </w:r>
          </w:p>
        </w:tc>
        <w:tc>
          <w:tcPr>
            <w:tcW w:w="510" w:type="dxa"/>
          </w:tcPr>
          <w:p w14:paraId="3769B318" w14:textId="77777777" w:rsidR="008715BE" w:rsidRPr="001B3BB8" w:rsidRDefault="00000000">
            <w:pPr>
              <w:pStyle w:val="TableParagraph"/>
              <w:spacing w:line="150" w:lineRule="exact"/>
              <w:ind w:left="123"/>
              <w:jc w:val="center"/>
              <w:rPr>
                <w:rFonts w:ascii="Verdana" w:hAnsi="Verdana"/>
                <w:sz w:val="14"/>
                <w:szCs w:val="14"/>
              </w:rPr>
            </w:pPr>
            <w:r w:rsidRPr="001B3BB8">
              <w:rPr>
                <w:rFonts w:ascii="Verdana" w:hAnsi="Verdana"/>
                <w:spacing w:val="-5"/>
                <w:sz w:val="14"/>
                <w:szCs w:val="14"/>
              </w:rPr>
              <w:t>47</w:t>
            </w:r>
          </w:p>
        </w:tc>
        <w:tc>
          <w:tcPr>
            <w:tcW w:w="486" w:type="dxa"/>
          </w:tcPr>
          <w:p w14:paraId="6D087582" w14:textId="77777777" w:rsidR="008715BE" w:rsidRPr="001B3BB8" w:rsidRDefault="00000000">
            <w:pPr>
              <w:pStyle w:val="TableParagraph"/>
              <w:spacing w:line="150" w:lineRule="exact"/>
              <w:ind w:left="92"/>
              <w:jc w:val="center"/>
              <w:rPr>
                <w:rFonts w:ascii="Verdana" w:hAnsi="Verdana"/>
                <w:sz w:val="14"/>
                <w:szCs w:val="14"/>
              </w:rPr>
            </w:pPr>
            <w:r w:rsidRPr="001B3BB8">
              <w:rPr>
                <w:rFonts w:ascii="Verdana" w:hAnsi="Verdana"/>
                <w:spacing w:val="-5"/>
                <w:sz w:val="14"/>
                <w:szCs w:val="14"/>
              </w:rPr>
              <w:t>38</w:t>
            </w:r>
          </w:p>
        </w:tc>
        <w:tc>
          <w:tcPr>
            <w:tcW w:w="510" w:type="dxa"/>
          </w:tcPr>
          <w:p w14:paraId="7890FB9A" w14:textId="77777777" w:rsidR="008715BE" w:rsidRPr="001B3BB8" w:rsidRDefault="00000000">
            <w:pPr>
              <w:pStyle w:val="TableParagraph"/>
              <w:spacing w:line="150" w:lineRule="exact"/>
              <w:ind w:left="123" w:right="9"/>
              <w:jc w:val="center"/>
              <w:rPr>
                <w:rFonts w:ascii="Verdana" w:hAnsi="Verdana"/>
                <w:sz w:val="14"/>
                <w:szCs w:val="14"/>
              </w:rPr>
            </w:pPr>
            <w:r w:rsidRPr="001B3BB8">
              <w:rPr>
                <w:rFonts w:ascii="Verdana" w:hAnsi="Verdana"/>
                <w:spacing w:val="-5"/>
                <w:sz w:val="14"/>
                <w:szCs w:val="14"/>
              </w:rPr>
              <w:t>47</w:t>
            </w:r>
          </w:p>
        </w:tc>
        <w:tc>
          <w:tcPr>
            <w:tcW w:w="484" w:type="dxa"/>
          </w:tcPr>
          <w:p w14:paraId="6D113B0E" w14:textId="77777777" w:rsidR="008715BE" w:rsidRPr="001B3BB8" w:rsidRDefault="00000000">
            <w:pPr>
              <w:pStyle w:val="TableParagraph"/>
              <w:spacing w:line="150" w:lineRule="exact"/>
              <w:ind w:right="103"/>
              <w:jc w:val="right"/>
              <w:rPr>
                <w:rFonts w:ascii="Verdana" w:hAnsi="Verdana"/>
                <w:sz w:val="14"/>
                <w:szCs w:val="14"/>
              </w:rPr>
            </w:pPr>
            <w:r w:rsidRPr="001B3BB8">
              <w:rPr>
                <w:rFonts w:ascii="Verdana" w:hAnsi="Verdana"/>
                <w:spacing w:val="-5"/>
                <w:sz w:val="14"/>
                <w:szCs w:val="14"/>
              </w:rPr>
              <w:t>31</w:t>
            </w:r>
          </w:p>
        </w:tc>
        <w:tc>
          <w:tcPr>
            <w:tcW w:w="510" w:type="dxa"/>
          </w:tcPr>
          <w:p w14:paraId="49136885" w14:textId="77777777" w:rsidR="008715BE" w:rsidRPr="001B3BB8" w:rsidRDefault="00000000">
            <w:pPr>
              <w:pStyle w:val="TableParagraph"/>
              <w:spacing w:line="150" w:lineRule="exact"/>
              <w:ind w:left="123" w:right="15"/>
              <w:jc w:val="center"/>
              <w:rPr>
                <w:rFonts w:ascii="Verdana" w:hAnsi="Verdana"/>
                <w:sz w:val="14"/>
                <w:szCs w:val="14"/>
              </w:rPr>
            </w:pPr>
            <w:r w:rsidRPr="001B3BB8">
              <w:rPr>
                <w:rFonts w:ascii="Verdana" w:hAnsi="Verdana"/>
                <w:spacing w:val="-5"/>
                <w:sz w:val="14"/>
                <w:szCs w:val="14"/>
              </w:rPr>
              <w:t>34</w:t>
            </w:r>
          </w:p>
        </w:tc>
        <w:tc>
          <w:tcPr>
            <w:tcW w:w="568" w:type="dxa"/>
          </w:tcPr>
          <w:p w14:paraId="089D8778" w14:textId="77777777" w:rsidR="008715BE" w:rsidRPr="001B3BB8" w:rsidRDefault="00000000">
            <w:pPr>
              <w:pStyle w:val="TableParagraph"/>
              <w:spacing w:line="150" w:lineRule="exact"/>
              <w:ind w:left="163"/>
              <w:jc w:val="center"/>
              <w:rPr>
                <w:rFonts w:ascii="Verdana" w:hAnsi="Verdana"/>
                <w:sz w:val="14"/>
                <w:szCs w:val="14"/>
              </w:rPr>
            </w:pPr>
            <w:r w:rsidRPr="001B3BB8">
              <w:rPr>
                <w:rFonts w:ascii="Verdana" w:hAnsi="Verdana"/>
                <w:spacing w:val="-5"/>
                <w:sz w:val="14"/>
                <w:szCs w:val="14"/>
              </w:rPr>
              <w:t>48</w:t>
            </w:r>
          </w:p>
        </w:tc>
        <w:tc>
          <w:tcPr>
            <w:tcW w:w="486" w:type="dxa"/>
          </w:tcPr>
          <w:p w14:paraId="1E62AF35" w14:textId="77777777" w:rsidR="008715BE" w:rsidRPr="001B3BB8" w:rsidRDefault="00000000">
            <w:pPr>
              <w:pStyle w:val="TableParagraph"/>
              <w:spacing w:line="150" w:lineRule="exact"/>
              <w:ind w:left="92" w:right="12"/>
              <w:jc w:val="center"/>
              <w:rPr>
                <w:rFonts w:ascii="Verdana" w:hAnsi="Verdana"/>
                <w:sz w:val="14"/>
                <w:szCs w:val="14"/>
              </w:rPr>
            </w:pPr>
            <w:r w:rsidRPr="001B3BB8">
              <w:rPr>
                <w:rFonts w:ascii="Verdana" w:hAnsi="Verdana"/>
                <w:spacing w:val="-5"/>
                <w:sz w:val="14"/>
                <w:szCs w:val="14"/>
              </w:rPr>
              <w:t>46</w:t>
            </w:r>
          </w:p>
        </w:tc>
        <w:tc>
          <w:tcPr>
            <w:tcW w:w="484" w:type="dxa"/>
          </w:tcPr>
          <w:p w14:paraId="4AE848F6" w14:textId="77777777" w:rsidR="008715BE" w:rsidRPr="001B3BB8" w:rsidRDefault="00000000">
            <w:pPr>
              <w:pStyle w:val="TableParagraph"/>
              <w:spacing w:line="150" w:lineRule="exact"/>
              <w:ind w:left="160" w:right="85"/>
              <w:jc w:val="center"/>
              <w:rPr>
                <w:rFonts w:ascii="Verdana" w:hAnsi="Verdana"/>
                <w:sz w:val="14"/>
                <w:szCs w:val="14"/>
              </w:rPr>
            </w:pPr>
            <w:r w:rsidRPr="001B3BB8">
              <w:rPr>
                <w:rFonts w:ascii="Verdana" w:hAnsi="Verdana"/>
                <w:spacing w:val="-5"/>
                <w:sz w:val="14"/>
                <w:szCs w:val="14"/>
              </w:rPr>
              <w:t>17</w:t>
            </w:r>
          </w:p>
        </w:tc>
        <w:tc>
          <w:tcPr>
            <w:tcW w:w="484" w:type="dxa"/>
          </w:tcPr>
          <w:p w14:paraId="4C43F4DC" w14:textId="77777777" w:rsidR="008715BE" w:rsidRPr="001B3BB8" w:rsidRDefault="00000000">
            <w:pPr>
              <w:pStyle w:val="TableParagraph"/>
              <w:spacing w:line="150" w:lineRule="exact"/>
              <w:ind w:left="160" w:right="89"/>
              <w:jc w:val="center"/>
              <w:rPr>
                <w:rFonts w:ascii="Verdana" w:hAnsi="Verdana"/>
                <w:sz w:val="14"/>
                <w:szCs w:val="14"/>
              </w:rPr>
            </w:pPr>
            <w:r w:rsidRPr="001B3BB8">
              <w:rPr>
                <w:rFonts w:ascii="Verdana" w:hAnsi="Verdana"/>
                <w:spacing w:val="-5"/>
                <w:sz w:val="14"/>
                <w:szCs w:val="14"/>
              </w:rPr>
              <w:t>22</w:t>
            </w:r>
          </w:p>
        </w:tc>
        <w:tc>
          <w:tcPr>
            <w:tcW w:w="650" w:type="dxa"/>
          </w:tcPr>
          <w:p w14:paraId="6615808C" w14:textId="77777777" w:rsidR="008715BE" w:rsidRPr="001B3BB8" w:rsidRDefault="00000000">
            <w:pPr>
              <w:pStyle w:val="TableParagraph"/>
              <w:spacing w:line="150" w:lineRule="exact"/>
              <w:ind w:right="112"/>
              <w:jc w:val="right"/>
              <w:rPr>
                <w:rFonts w:ascii="Verdana" w:hAnsi="Verdana"/>
                <w:sz w:val="14"/>
                <w:szCs w:val="14"/>
              </w:rPr>
            </w:pPr>
            <w:r w:rsidRPr="001B3BB8">
              <w:rPr>
                <w:rFonts w:ascii="Verdana" w:hAnsi="Verdana"/>
                <w:spacing w:val="-5"/>
                <w:sz w:val="14"/>
                <w:szCs w:val="14"/>
              </w:rPr>
              <w:t>14</w:t>
            </w:r>
          </w:p>
        </w:tc>
      </w:tr>
    </w:tbl>
    <w:p w14:paraId="07B78A3D" w14:textId="77777777" w:rsidR="008715BE" w:rsidRPr="001B3BB8" w:rsidRDefault="00000000">
      <w:pPr>
        <w:ind w:left="765"/>
        <w:rPr>
          <w:rFonts w:ascii="Verdana" w:hAnsi="Verdana"/>
          <w:i/>
          <w:sz w:val="14"/>
          <w:szCs w:val="14"/>
        </w:rPr>
      </w:pPr>
      <w:r w:rsidRPr="001B3BB8">
        <w:rPr>
          <w:rFonts w:ascii="Verdana" w:hAnsi="Verdana"/>
          <w:i/>
          <w:color w:val="00AFEF"/>
          <w:sz w:val="14"/>
          <w:szCs w:val="14"/>
        </w:rPr>
        <w:t xml:space="preserve">Source: processed data from the National Institute of </w:t>
      </w:r>
      <w:r w:rsidRPr="001B3BB8">
        <w:rPr>
          <w:rFonts w:ascii="Verdana" w:hAnsi="Verdana"/>
          <w:i/>
          <w:color w:val="00AFEF"/>
          <w:spacing w:val="-2"/>
          <w:sz w:val="14"/>
          <w:szCs w:val="14"/>
        </w:rPr>
        <w:t>Statistics</w:t>
      </w:r>
    </w:p>
    <w:p w14:paraId="273EFD9C" w14:textId="77777777" w:rsidR="008715BE" w:rsidRPr="00EC75B7" w:rsidRDefault="008715BE">
      <w:pPr>
        <w:pStyle w:val="BodyText"/>
        <w:spacing w:before="32"/>
        <w:rPr>
          <w:rFonts w:ascii="Verdana" w:hAnsi="Verdana"/>
          <w:i/>
        </w:rPr>
      </w:pPr>
    </w:p>
    <w:p w14:paraId="68C4D10F" w14:textId="643960C9" w:rsidR="008715BE" w:rsidRPr="00EC75B7" w:rsidRDefault="00000000" w:rsidP="001B3BB8">
      <w:pPr>
        <w:pStyle w:val="BodyText"/>
        <w:ind w:left="765"/>
        <w:jc w:val="both"/>
        <w:rPr>
          <w:rFonts w:ascii="Verdana" w:hAnsi="Verdana"/>
        </w:rPr>
      </w:pPr>
      <w:r w:rsidRPr="00EC75B7">
        <w:rPr>
          <w:rFonts w:ascii="Verdana" w:hAnsi="Verdana"/>
        </w:rPr>
        <w:t xml:space="preserve">The population density of Cerchezu commune was 16.25 </w:t>
      </w:r>
      <w:r w:rsidRPr="00EC75B7">
        <w:rPr>
          <w:rFonts w:ascii="Verdana" w:hAnsi="Verdana"/>
          <w:position w:val="6"/>
        </w:rPr>
        <w:t>inhabitants/km²</w:t>
      </w:r>
      <w:r w:rsidRPr="00EC75B7">
        <w:rPr>
          <w:rFonts w:ascii="Verdana" w:hAnsi="Verdana"/>
        </w:rPr>
        <w:t xml:space="preserve">in 2021, being </w:t>
      </w:r>
      <w:r w:rsidRPr="00EC75B7">
        <w:rPr>
          <w:rFonts w:ascii="Verdana" w:hAnsi="Verdana"/>
          <w:spacing w:val="-5"/>
        </w:rPr>
        <w:t>more</w:t>
      </w:r>
      <w:r w:rsidR="001B3BB8">
        <w:rPr>
          <w:rFonts w:ascii="Verdana" w:hAnsi="Verdana"/>
        </w:rPr>
        <w:t xml:space="preserve"> </w:t>
      </w:r>
      <w:r w:rsidRPr="00EC75B7">
        <w:rPr>
          <w:rFonts w:ascii="Verdana" w:hAnsi="Verdana"/>
        </w:rPr>
        <w:t xml:space="preserve">low compared to the county density (108.6 </w:t>
      </w:r>
      <w:r w:rsidRPr="001B3BB8">
        <w:rPr>
          <w:rFonts w:ascii="Verdana" w:hAnsi="Verdana"/>
          <w:position w:val="6"/>
        </w:rPr>
        <w:t>inhabitants/km²</w:t>
      </w:r>
      <w:r w:rsidRPr="00EC75B7">
        <w:rPr>
          <w:rFonts w:ascii="Verdana" w:hAnsi="Verdana"/>
        </w:rPr>
        <w:t xml:space="preserve">)  , regional </w:t>
      </w:r>
      <w:r w:rsidRPr="00EC75B7">
        <w:rPr>
          <w:rFonts w:ascii="Verdana" w:hAnsi="Verdana"/>
          <w:position w:val="6"/>
        </w:rPr>
        <w:t>density</w:t>
      </w:r>
      <w:r w:rsidRPr="00EC75B7">
        <w:rPr>
          <w:rFonts w:ascii="Verdana" w:hAnsi="Verdana"/>
        </w:rPr>
        <w:t xml:space="preserve">(71.2 </w:t>
      </w:r>
      <w:r w:rsidRPr="00EC75B7">
        <w:rPr>
          <w:rFonts w:ascii="Verdana" w:hAnsi="Verdana"/>
          <w:position w:val="6"/>
        </w:rPr>
        <w:t>inhabitants/km²</w:t>
      </w:r>
      <w:r w:rsidRPr="00EC75B7">
        <w:rPr>
          <w:rFonts w:ascii="Verdana" w:hAnsi="Verdana"/>
        </w:rPr>
        <w:t xml:space="preserve">)  and national density (84.4 </w:t>
      </w:r>
      <w:r w:rsidRPr="00EC75B7">
        <w:rPr>
          <w:rFonts w:ascii="Verdana" w:hAnsi="Verdana"/>
          <w:spacing w:val="-2"/>
          <w:position w:val="6"/>
        </w:rPr>
        <w:t>inhabitants/km²</w:t>
      </w:r>
      <w:r w:rsidRPr="00EC75B7">
        <w:rPr>
          <w:rFonts w:ascii="Verdana" w:hAnsi="Verdana"/>
          <w:spacing w:val="-2"/>
        </w:rPr>
        <w:t>)  .</w:t>
      </w:r>
    </w:p>
    <w:p w14:paraId="61950E87" w14:textId="77777777" w:rsidR="008715BE" w:rsidRPr="00EC75B7" w:rsidRDefault="008715BE">
      <w:pPr>
        <w:pStyle w:val="BodyText"/>
        <w:jc w:val="both"/>
        <w:rPr>
          <w:rFonts w:ascii="Verdana" w:hAnsi="Verdana"/>
        </w:rPr>
        <w:sectPr w:rsidR="008715BE" w:rsidRPr="00EC75B7">
          <w:pgSz w:w="11910" w:h="16840"/>
          <w:pgMar w:top="1160" w:right="141" w:bottom="1020" w:left="425" w:header="766" w:footer="797" w:gutter="0"/>
          <w:cols w:space="708"/>
        </w:sectPr>
      </w:pPr>
    </w:p>
    <w:p w14:paraId="2E5B4855" w14:textId="088F8D78" w:rsidR="008715BE" w:rsidRPr="00EC75B7" w:rsidRDefault="00E7611D" w:rsidP="00E7611D">
      <w:pPr>
        <w:pStyle w:val="BodyText"/>
        <w:spacing w:before="111" w:after="1"/>
        <w:jc w:val="center"/>
        <w:rPr>
          <w:rFonts w:ascii="Verdana" w:hAnsi="Verdana"/>
        </w:rPr>
      </w:pPr>
      <w:r>
        <w:rPr>
          <w:noProof/>
        </w:rPr>
        <w:lastRenderedPageBreak/>
        <w:drawing>
          <wp:inline distT="0" distB="0" distL="0" distR="0" wp14:anchorId="14D7DAFB" wp14:editId="34D7204C">
            <wp:extent cx="5704033" cy="4034155"/>
            <wp:effectExtent l="0" t="0" r="0" b="4445"/>
            <wp:docPr id="19749584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5881" cy="4035462"/>
                    </a:xfrm>
                    <a:prstGeom prst="rect">
                      <a:avLst/>
                    </a:prstGeom>
                    <a:noFill/>
                    <a:ln>
                      <a:noFill/>
                    </a:ln>
                  </pic:spPr>
                </pic:pic>
              </a:graphicData>
            </a:graphic>
          </wp:inline>
        </w:drawing>
      </w:r>
    </w:p>
    <w:p w14:paraId="3CC8A15A" w14:textId="381160E3" w:rsidR="008715BE" w:rsidRPr="001B3BB8" w:rsidRDefault="008715BE" w:rsidP="001B3BB8">
      <w:pPr>
        <w:ind w:left="766"/>
        <w:rPr>
          <w:rFonts w:ascii="Verdana" w:hAnsi="Verdana"/>
          <w:sz w:val="18"/>
          <w:szCs w:val="18"/>
        </w:rPr>
      </w:pPr>
    </w:p>
    <w:p w14:paraId="63F6677C" w14:textId="153F22C0" w:rsidR="001B3BB8" w:rsidRPr="001B3BB8" w:rsidRDefault="00000000" w:rsidP="001B3BB8">
      <w:pPr>
        <w:ind w:left="747" w:right="833"/>
        <w:jc w:val="center"/>
        <w:rPr>
          <w:rFonts w:ascii="Verdana" w:hAnsi="Verdana"/>
          <w:b/>
          <w:sz w:val="18"/>
          <w:szCs w:val="18"/>
        </w:rPr>
      </w:pPr>
      <w:r w:rsidRPr="00EC75B7">
        <w:rPr>
          <w:rFonts w:ascii="Verdana" w:hAnsi="Verdana"/>
          <w:b/>
          <w:color w:val="009DEF"/>
          <w:sz w:val="18"/>
          <w:szCs w:val="18"/>
        </w:rPr>
        <w:t xml:space="preserve">Figure 6 </w:t>
      </w:r>
      <w:r w:rsidRPr="00EC75B7">
        <w:rPr>
          <w:rFonts w:ascii="Verdana" w:hAnsi="Verdana"/>
          <w:b/>
          <w:color w:val="00AFEF"/>
          <w:sz w:val="18"/>
          <w:szCs w:val="18"/>
        </w:rPr>
        <w:t xml:space="preserve">Population density in </w:t>
      </w:r>
      <w:r w:rsidRPr="00EC75B7">
        <w:rPr>
          <w:rFonts w:ascii="Verdana" w:hAnsi="Verdana"/>
          <w:b/>
          <w:color w:val="00AFEF"/>
          <w:spacing w:val="-2"/>
          <w:sz w:val="18"/>
          <w:szCs w:val="18"/>
        </w:rPr>
        <w:t xml:space="preserve">Cerchezu </w:t>
      </w:r>
      <w:r w:rsidRPr="00EC75B7">
        <w:rPr>
          <w:rFonts w:ascii="Verdana" w:hAnsi="Verdana"/>
          <w:b/>
          <w:color w:val="00AFEF"/>
          <w:sz w:val="18"/>
          <w:szCs w:val="18"/>
        </w:rPr>
        <w:t>commune</w:t>
      </w:r>
    </w:p>
    <w:p w14:paraId="51339EF6" w14:textId="08D83333" w:rsidR="008715BE" w:rsidRPr="00EC75B7" w:rsidRDefault="00000000" w:rsidP="001B3BB8">
      <w:pPr>
        <w:spacing w:before="100"/>
        <w:ind w:left="747" w:right="8194"/>
        <w:rPr>
          <w:rFonts w:ascii="Verdana" w:hAnsi="Verdana"/>
          <w:b/>
          <w:sz w:val="18"/>
          <w:szCs w:val="18"/>
        </w:rPr>
      </w:pPr>
      <w:r w:rsidRPr="00EC75B7">
        <w:rPr>
          <w:rFonts w:ascii="Verdana" w:hAnsi="Verdana"/>
          <w:b/>
          <w:color w:val="00AFEF"/>
          <w:spacing w:val="-2"/>
          <w:sz w:val="18"/>
          <w:szCs w:val="18"/>
        </w:rPr>
        <w:t>Population</w:t>
      </w:r>
      <w:r w:rsidR="001B3BB8">
        <w:rPr>
          <w:rFonts w:ascii="Verdana" w:hAnsi="Verdana"/>
          <w:b/>
          <w:color w:val="00AFEF"/>
          <w:spacing w:val="-2"/>
          <w:sz w:val="18"/>
          <w:szCs w:val="18"/>
        </w:rPr>
        <w:t xml:space="preserve"> </w:t>
      </w:r>
      <w:r w:rsidRPr="00EC75B7">
        <w:rPr>
          <w:rFonts w:ascii="Verdana" w:hAnsi="Verdana"/>
          <w:b/>
          <w:color w:val="00AFEF"/>
          <w:sz w:val="18"/>
          <w:szCs w:val="18"/>
        </w:rPr>
        <w:t>evoluti</w:t>
      </w:r>
      <w:r w:rsidR="001B3BB8">
        <w:rPr>
          <w:rFonts w:ascii="Verdana" w:hAnsi="Verdana"/>
          <w:b/>
          <w:color w:val="00AFEF"/>
          <w:sz w:val="18"/>
          <w:szCs w:val="18"/>
        </w:rPr>
        <w:t>o</w:t>
      </w:r>
      <w:r w:rsidRPr="00EC75B7">
        <w:rPr>
          <w:rFonts w:ascii="Verdana" w:hAnsi="Verdana"/>
          <w:b/>
          <w:color w:val="00AFEF"/>
          <w:sz w:val="18"/>
          <w:szCs w:val="18"/>
        </w:rPr>
        <w:t>n</w:t>
      </w:r>
    </w:p>
    <w:p w14:paraId="44662A65" w14:textId="77777777" w:rsidR="008715BE" w:rsidRPr="00EC75B7" w:rsidRDefault="008715BE">
      <w:pPr>
        <w:pStyle w:val="BodyText"/>
        <w:spacing w:before="10"/>
        <w:rPr>
          <w:rFonts w:ascii="Verdana" w:hAnsi="Verdana"/>
          <w:b/>
        </w:rPr>
      </w:pPr>
    </w:p>
    <w:p w14:paraId="1E75352B" w14:textId="08855C25" w:rsidR="008715BE" w:rsidRPr="00EC75B7" w:rsidRDefault="00000000">
      <w:pPr>
        <w:pStyle w:val="BodyText"/>
        <w:spacing w:line="357" w:lineRule="auto"/>
        <w:ind w:left="765" w:right="845"/>
        <w:jc w:val="both"/>
        <w:rPr>
          <w:rFonts w:ascii="Verdana" w:hAnsi="Verdana"/>
        </w:rPr>
      </w:pPr>
      <w:r w:rsidRPr="00EC75B7">
        <w:rPr>
          <w:rFonts w:ascii="Verdana" w:hAnsi="Verdana"/>
          <w:noProof/>
        </w:rPr>
        <mc:AlternateContent>
          <mc:Choice Requires="wps">
            <w:drawing>
              <wp:anchor distT="0" distB="0" distL="0" distR="0" simplePos="0" relativeHeight="251661312" behindDoc="0" locked="0" layoutInCell="1" allowOverlap="1" wp14:anchorId="3C04827F" wp14:editId="5AD047ED">
                <wp:simplePos x="0" y="0"/>
                <wp:positionH relativeFrom="page">
                  <wp:posOffset>1228426</wp:posOffset>
                </wp:positionH>
                <wp:positionV relativeFrom="paragraph">
                  <wp:posOffset>1695013</wp:posOffset>
                </wp:positionV>
                <wp:extent cx="179705" cy="1089025"/>
                <wp:effectExtent l="0" t="0" r="0" b="0"/>
                <wp:wrapNone/>
                <wp:docPr id="57" name="Textbox 57"/>
                <wp:cNvGraphicFramePr/>
                <a:graphic xmlns:a="http://schemas.openxmlformats.org/drawingml/2006/main">
                  <a:graphicData uri="http://schemas.microsoft.com/office/word/2010/wordprocessingShape">
                    <wps:wsp>
                      <wps:cNvSpPr txBox="1"/>
                      <wps:spPr>
                        <a:xfrm>
                          <a:off x="0" y="0"/>
                          <a:ext cx="179705" cy="1089025"/>
                        </a:xfrm>
                        <a:prstGeom prst="rect">
                          <a:avLst/>
                        </a:prstGeom>
                      </wps:spPr>
                      <wps:txbx>
                        <w:txbxContent>
                          <w:p w14:paraId="42860EB3" w14:textId="77777777" w:rsidR="008715BE" w:rsidRDefault="00000000">
                            <w:pPr>
                              <w:spacing w:before="30"/>
                              <w:ind w:left="20"/>
                              <w:rPr>
                                <w:sz w:val="20"/>
                              </w:rPr>
                            </w:pPr>
                            <w:r>
                              <w:rPr>
                                <w:color w:val="585858"/>
                                <w:w w:val="120"/>
                                <w:sz w:val="13"/>
                              </w:rPr>
                              <w:t>Pop</w:t>
                            </w:r>
                            <w:r>
                              <w:rPr>
                                <w:color w:val="585858"/>
                                <w:spacing w:val="-2"/>
                                <w:w w:val="120"/>
                                <w:sz w:val="13"/>
                              </w:rPr>
                              <w:t>ulation</w:t>
                            </w:r>
                          </w:p>
                        </w:txbxContent>
                      </wps:txbx>
                      <wps:bodyPr vert="vert270" wrap="square" lIns="0" tIns="0" rIns="0" bIns="0" rtlCol="0"/>
                    </wps:wsp>
                  </a:graphicData>
                </a:graphic>
              </wp:anchor>
            </w:drawing>
          </mc:Choice>
          <mc:Fallback>
            <w:pict>
              <v:shape w14:anchorId="3C04827F" id="Textbox 57" o:spid="_x0000_s1032" type="#_x0000_t202" style="position:absolute;left:0;text-align:left;margin-left:96.75pt;margin-top:133.45pt;width:14.15pt;height:85.75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" filled="f" stroked="f">
                <v:textbox style="layout-flow:vertical;mso-layout-flow-alt:bottom-to-top" inset="0,0,0,0">
                  <w:txbxContent>
                    <w:p w14:paraId="42860EB3" w14:textId="77777777" w:rsidR="008715BE" w:rsidRDefault="00000000">
                      <w:pPr>
                        <w:spacing w:before="30"/>
                        <w:ind w:left="20"/>
                        <w:rPr>
                          <w:sz w:val="20"/>
                        </w:rPr>
                      </w:pPr>
                      <w:r>
                        <w:rPr>
                          <w:color w:val="585858"/>
                          <w:w w:val="120"/>
                          <w:sz w:val="13"/>
                        </w:rPr>
                        <w:t>Pop</w:t>
                      </w:r>
                      <w:r>
                        <w:rPr>
                          <w:color w:val="585858"/>
                          <w:spacing w:val="-2"/>
                          <w:w w:val="120"/>
                          <w:sz w:val="13"/>
                        </w:rPr>
                        <w:t>ulation</w:t>
                      </w:r>
                    </w:p>
                  </w:txbxContent>
                </v:textbox>
                <w10:wrap anchorx="page"/>
              </v:shape>
            </w:pict>
          </mc:Fallback>
        </mc:AlternateContent>
      </w:r>
      <w:r w:rsidRPr="00EC75B7">
        <w:rPr>
          <w:rFonts w:ascii="Verdana" w:hAnsi="Verdana"/>
        </w:rPr>
        <w:t>According to data provided by the National Institute of Statistics, the population evolution in Cerchezu commune shows a downward trend between 2011 and 2025, due to both natural movement (births and deaths) and migration. Compared to 2011, the population of Cerchezu commune will decrease by 17% in</w:t>
      </w:r>
      <w:r w:rsidRPr="00EC75B7">
        <w:rPr>
          <w:rFonts w:ascii="Verdana" w:hAnsi="Verdana"/>
          <w:spacing w:val="-2"/>
        </w:rPr>
        <w:t xml:space="preserve"> 2025.</w:t>
      </w:r>
    </w:p>
    <w:p w14:paraId="1185693F" w14:textId="7DA6FFEC" w:rsidR="008715BE" w:rsidRPr="00EC75B7" w:rsidRDefault="008715BE">
      <w:pPr>
        <w:pStyle w:val="BodyText"/>
        <w:rPr>
          <w:rFonts w:ascii="Verdana" w:hAnsi="Verdana"/>
        </w:rPr>
      </w:pPr>
    </w:p>
    <w:p w14:paraId="46235952" w14:textId="7F2C9C74" w:rsidR="008715BE" w:rsidRPr="00EC75B7" w:rsidRDefault="001B3BB8">
      <w:pPr>
        <w:pStyle w:val="BodyText"/>
        <w:rPr>
          <w:rFonts w:ascii="Verdana" w:hAnsi="Verdana"/>
        </w:rPr>
      </w:pPr>
      <w:r w:rsidRPr="00EC75B7">
        <w:rPr>
          <w:rFonts w:ascii="Verdana" w:hAnsi="Verdana"/>
          <w:noProof/>
        </w:rPr>
        <mc:AlternateContent>
          <mc:Choice Requires="wpg">
            <w:drawing>
              <wp:anchor distT="0" distB="0" distL="0" distR="0" simplePos="0" relativeHeight="251659264" behindDoc="0" locked="0" layoutInCell="1" allowOverlap="1" wp14:anchorId="26F86F03" wp14:editId="45CAEEFC">
                <wp:simplePos x="0" y="0"/>
                <wp:positionH relativeFrom="page">
                  <wp:posOffset>1174750</wp:posOffset>
                </wp:positionH>
                <wp:positionV relativeFrom="paragraph">
                  <wp:posOffset>4445</wp:posOffset>
                </wp:positionV>
                <wp:extent cx="5419489" cy="2647950"/>
                <wp:effectExtent l="0" t="0" r="10160" b="19050"/>
                <wp:wrapNone/>
                <wp:docPr id="43" name="Group 43"/>
                <wp:cNvGraphicFramePr/>
                <a:graphic xmlns:a="http://schemas.openxmlformats.org/drawingml/2006/main">
                  <a:graphicData uri="http://schemas.microsoft.com/office/word/2010/wordprocessingGroup">
                    <wpg:wgp>
                      <wpg:cNvGrpSpPr/>
                      <wpg:grpSpPr>
                        <a:xfrm>
                          <a:off x="0" y="0"/>
                          <a:ext cx="5419489" cy="2647950"/>
                          <a:chOff x="0" y="0"/>
                          <a:chExt cx="5519420" cy="2835275"/>
                        </a:xfrm>
                      </wpg:grpSpPr>
                      <wps:wsp>
                        <wps:cNvPr id="44" name="Graphic 44"/>
                        <wps:cNvSpPr/>
                        <wps:spPr>
                          <a:xfrm>
                            <a:off x="754380" y="144411"/>
                            <a:ext cx="4620895" cy="2388235"/>
                          </a:xfrm>
                          <a:custGeom>
                            <a:avLst/>
                            <a:gdLst/>
                            <a:ahLst/>
                            <a:cxnLst/>
                            <a:rect l="l" t="t" r="r" b="b"/>
                            <a:pathLst>
                              <a:path w="4620895" h="2388235">
                                <a:moveTo>
                                  <a:pt x="0" y="2090165"/>
                                </a:moveTo>
                                <a:lnTo>
                                  <a:pt x="4620514" y="2090165"/>
                                </a:lnTo>
                              </a:path>
                              <a:path w="4620895" h="2388235">
                                <a:moveTo>
                                  <a:pt x="0" y="1791461"/>
                                </a:moveTo>
                                <a:lnTo>
                                  <a:pt x="4620514" y="1791461"/>
                                </a:lnTo>
                              </a:path>
                              <a:path w="4620895" h="2388235">
                                <a:moveTo>
                                  <a:pt x="0" y="1492758"/>
                                </a:moveTo>
                                <a:lnTo>
                                  <a:pt x="4620514" y="1492758"/>
                                </a:lnTo>
                              </a:path>
                              <a:path w="4620895" h="2388235">
                                <a:moveTo>
                                  <a:pt x="0" y="1194053"/>
                                </a:moveTo>
                                <a:lnTo>
                                  <a:pt x="4620514" y="1194053"/>
                                </a:lnTo>
                              </a:path>
                              <a:path w="4620895" h="2388235">
                                <a:moveTo>
                                  <a:pt x="0" y="895349"/>
                                </a:moveTo>
                                <a:lnTo>
                                  <a:pt x="4620514" y="895349"/>
                                </a:lnTo>
                              </a:path>
                              <a:path w="4620895" h="2388235">
                                <a:moveTo>
                                  <a:pt x="0" y="596645"/>
                                </a:moveTo>
                                <a:lnTo>
                                  <a:pt x="4620514" y="596645"/>
                                </a:lnTo>
                              </a:path>
                              <a:path w="4620895" h="2388235">
                                <a:moveTo>
                                  <a:pt x="0" y="297941"/>
                                </a:moveTo>
                                <a:lnTo>
                                  <a:pt x="4620514" y="297941"/>
                                </a:lnTo>
                              </a:path>
                              <a:path w="4620895" h="2388235">
                                <a:moveTo>
                                  <a:pt x="0" y="0"/>
                                </a:moveTo>
                                <a:lnTo>
                                  <a:pt x="4620514" y="0"/>
                                </a:lnTo>
                              </a:path>
                              <a:path w="4620895" h="2388235">
                                <a:moveTo>
                                  <a:pt x="0" y="2387980"/>
                                </a:moveTo>
                                <a:lnTo>
                                  <a:pt x="4620514" y="2387980"/>
                                </a:lnTo>
                              </a:path>
                            </a:pathLst>
                          </a:custGeom>
                          <a:ln w="9525">
                            <a:solidFill>
                              <a:srgbClr val="D9D9D9"/>
                            </a:solidFill>
                            <a:prstDash val="solid"/>
                          </a:ln>
                        </wps:spPr>
                        <wps:bodyPr wrap="square" lIns="0" tIns="0" rIns="0" bIns="0" rtlCol="0">
                          <a:prstTxWarp prst="textNoShape">
                            <a:avLst/>
                          </a:prstTxWarp>
                        </wps:bodyPr>
                      </wps:wsp>
                      <wps:wsp>
                        <wps:cNvPr id="45" name="Graphic 45"/>
                        <wps:cNvSpPr/>
                        <wps:spPr>
                          <a:xfrm>
                            <a:off x="1043177" y="268363"/>
                            <a:ext cx="4043045" cy="382270"/>
                          </a:xfrm>
                          <a:custGeom>
                            <a:avLst/>
                            <a:gdLst/>
                            <a:ahLst/>
                            <a:cxnLst/>
                            <a:rect l="l" t="t" r="r" b="b"/>
                            <a:pathLst>
                              <a:path w="4043045" h="382270">
                                <a:moveTo>
                                  <a:pt x="0" y="0"/>
                                </a:moveTo>
                                <a:lnTo>
                                  <a:pt x="577977" y="186181"/>
                                </a:lnTo>
                                <a:lnTo>
                                  <a:pt x="1155573" y="231901"/>
                                </a:lnTo>
                                <a:lnTo>
                                  <a:pt x="1733169" y="250189"/>
                                </a:lnTo>
                                <a:lnTo>
                                  <a:pt x="2310765" y="262381"/>
                                </a:lnTo>
                                <a:lnTo>
                                  <a:pt x="2888361" y="302005"/>
                                </a:lnTo>
                                <a:lnTo>
                                  <a:pt x="3465957" y="335534"/>
                                </a:lnTo>
                                <a:lnTo>
                                  <a:pt x="4043045" y="382015"/>
                                </a:lnTo>
                              </a:path>
                            </a:pathLst>
                          </a:custGeom>
                          <a:ln w="28575">
                            <a:solidFill>
                              <a:srgbClr val="04316D"/>
                            </a:solidFill>
                            <a:prstDash val="solid"/>
                          </a:ln>
                        </wps:spPr>
                        <wps:bodyPr wrap="square" lIns="0" tIns="0" rIns="0" bIns="0" rtlCol="0">
                          <a:prstTxWarp prst="textNoShape">
                            <a:avLst/>
                          </a:prstTxWarp>
                        </wps:bodyPr>
                      </wps:wsp>
                      <wps:wsp>
                        <wps:cNvPr id="46" name="Graphic 46"/>
                        <wps:cNvSpPr/>
                        <wps:spPr>
                          <a:xfrm>
                            <a:off x="1043177" y="360311"/>
                            <a:ext cx="4043045" cy="304165"/>
                          </a:xfrm>
                          <a:custGeom>
                            <a:avLst/>
                            <a:gdLst/>
                            <a:ahLst/>
                            <a:cxnLst/>
                            <a:rect l="l" t="t" r="r" b="b"/>
                            <a:pathLst>
                              <a:path w="4043045" h="304165">
                                <a:moveTo>
                                  <a:pt x="0" y="0"/>
                                </a:moveTo>
                                <a:lnTo>
                                  <a:pt x="4043045" y="303656"/>
                                </a:lnTo>
                              </a:path>
                            </a:pathLst>
                          </a:custGeom>
                          <a:ln w="19050">
                            <a:solidFill>
                              <a:srgbClr val="FF0000"/>
                            </a:solidFill>
                            <a:prstDash val="dot"/>
                          </a:ln>
                        </wps:spPr>
                        <wps:bodyPr wrap="square" lIns="0" tIns="0" rIns="0" bIns="0" rtlCol="0">
                          <a:prstTxWarp prst="textNoShape">
                            <a:avLst/>
                          </a:prstTxWarp>
                        </wps:bodyPr>
                      </wps:wsp>
                      <wps:wsp>
                        <wps:cNvPr id="47" name="Graphic 47"/>
                        <wps:cNvSpPr/>
                        <wps:spPr>
                          <a:xfrm>
                            <a:off x="4762" y="4762"/>
                            <a:ext cx="5509895" cy="2825750"/>
                          </a:xfrm>
                          <a:custGeom>
                            <a:avLst/>
                            <a:gdLst/>
                            <a:ahLst/>
                            <a:cxnLst/>
                            <a:rect l="l" t="t" r="r" b="b"/>
                            <a:pathLst>
                              <a:path w="5509895" h="2825750">
                                <a:moveTo>
                                  <a:pt x="0" y="2825750"/>
                                </a:moveTo>
                                <a:lnTo>
                                  <a:pt x="5509895" y="2825750"/>
                                </a:lnTo>
                                <a:lnTo>
                                  <a:pt x="5509895" y="0"/>
                                </a:lnTo>
                                <a:lnTo>
                                  <a:pt x="0" y="0"/>
                                </a:lnTo>
                                <a:lnTo>
                                  <a:pt x="0" y="2825750"/>
                                </a:lnTo>
                                <a:close/>
                              </a:path>
                            </a:pathLst>
                          </a:custGeom>
                          <a:ln w="9525">
                            <a:solidFill>
                              <a:srgbClr val="D9D9D9"/>
                            </a:solidFill>
                            <a:prstDash val="solid"/>
                          </a:ln>
                        </wps:spPr>
                        <wps:bodyPr wrap="square" lIns="0" tIns="0" rIns="0" bIns="0" rtlCol="0">
                          <a:prstTxWarp prst="textNoShape">
                            <a:avLst/>
                          </a:prstTxWarp>
                        </wps:bodyPr>
                      </wps:wsp>
                      <wps:wsp>
                        <wps:cNvPr id="48" name="Textbox 48"/>
                        <wps:cNvSpPr txBox="1"/>
                        <wps:spPr>
                          <a:xfrm>
                            <a:off x="356234" y="68688"/>
                            <a:ext cx="303530" cy="2527935"/>
                          </a:xfrm>
                          <a:prstGeom prst="rect">
                            <a:avLst/>
                          </a:prstGeom>
                        </wps:spPr>
                        <wps:txbx>
                          <w:txbxContent>
                            <w:p w14:paraId="6D055ACB" w14:textId="77777777" w:rsidR="008715BE" w:rsidRDefault="00000000">
                              <w:pPr>
                                <w:spacing w:before="10"/>
                                <w:ind w:right="18"/>
                                <w:jc w:val="right"/>
                                <w:rPr>
                                  <w:sz w:val="18"/>
                                </w:rPr>
                              </w:pPr>
                              <w:r>
                                <w:rPr>
                                  <w:color w:val="585858"/>
                                  <w:spacing w:val="-4"/>
                                  <w:w w:val="125"/>
                                  <w:sz w:val="12"/>
                                </w:rPr>
                                <w:t>1600</w:t>
                              </w:r>
                            </w:p>
                            <w:p w14:paraId="017910B1" w14:textId="77777777" w:rsidR="008715BE" w:rsidRDefault="008715BE">
                              <w:pPr>
                                <w:spacing w:before="31"/>
                                <w:rPr>
                                  <w:sz w:val="18"/>
                                </w:rPr>
                              </w:pPr>
                            </w:p>
                            <w:p w14:paraId="1C81FBFE" w14:textId="77777777" w:rsidR="008715BE" w:rsidRDefault="00000000">
                              <w:pPr>
                                <w:ind w:right="18"/>
                                <w:jc w:val="right"/>
                                <w:rPr>
                                  <w:sz w:val="18"/>
                                </w:rPr>
                              </w:pPr>
                              <w:r>
                                <w:rPr>
                                  <w:color w:val="585858"/>
                                  <w:spacing w:val="-4"/>
                                  <w:w w:val="125"/>
                                  <w:sz w:val="12"/>
                                </w:rPr>
                                <w:t>1400</w:t>
                              </w:r>
                            </w:p>
                            <w:p w14:paraId="41AD00C3" w14:textId="77777777" w:rsidR="008715BE" w:rsidRDefault="008715BE">
                              <w:pPr>
                                <w:spacing w:before="30"/>
                                <w:rPr>
                                  <w:sz w:val="18"/>
                                </w:rPr>
                              </w:pPr>
                            </w:p>
                            <w:p w14:paraId="250314BE" w14:textId="77777777" w:rsidR="008715BE" w:rsidRDefault="00000000">
                              <w:pPr>
                                <w:ind w:right="18"/>
                                <w:jc w:val="right"/>
                                <w:rPr>
                                  <w:sz w:val="18"/>
                                </w:rPr>
                              </w:pPr>
                              <w:r>
                                <w:rPr>
                                  <w:color w:val="585858"/>
                                  <w:spacing w:val="-4"/>
                                  <w:w w:val="125"/>
                                  <w:sz w:val="12"/>
                                </w:rPr>
                                <w:t>12</w:t>
                              </w:r>
                            </w:p>
                            <w:p w14:paraId="023F7B5E" w14:textId="77777777" w:rsidR="008715BE" w:rsidRDefault="008715BE">
                              <w:pPr>
                                <w:spacing w:before="31"/>
                                <w:rPr>
                                  <w:sz w:val="18"/>
                                </w:rPr>
                              </w:pPr>
                            </w:p>
                            <w:p w14:paraId="586C7D6B" w14:textId="77777777" w:rsidR="008715BE" w:rsidRDefault="00000000">
                              <w:pPr>
                                <w:ind w:right="18"/>
                                <w:jc w:val="right"/>
                                <w:rPr>
                                  <w:sz w:val="18"/>
                                </w:rPr>
                              </w:pPr>
                              <w:r>
                                <w:rPr>
                                  <w:color w:val="585858"/>
                                  <w:spacing w:val="-4"/>
                                  <w:w w:val="125"/>
                                  <w:sz w:val="12"/>
                                </w:rPr>
                                <w:t>10</w:t>
                              </w:r>
                            </w:p>
                            <w:p w14:paraId="55145B85" w14:textId="77777777" w:rsidR="008715BE" w:rsidRDefault="008715BE">
                              <w:pPr>
                                <w:spacing w:before="30"/>
                                <w:rPr>
                                  <w:sz w:val="18"/>
                                </w:rPr>
                              </w:pPr>
                            </w:p>
                            <w:p w14:paraId="0907F282" w14:textId="77777777" w:rsidR="008715BE" w:rsidRDefault="00000000">
                              <w:pPr>
                                <w:spacing w:before="1"/>
                                <w:ind w:right="19"/>
                                <w:jc w:val="right"/>
                                <w:rPr>
                                  <w:sz w:val="18"/>
                                </w:rPr>
                              </w:pPr>
                              <w:r>
                                <w:rPr>
                                  <w:color w:val="585858"/>
                                  <w:spacing w:val="-5"/>
                                  <w:w w:val="125"/>
                                  <w:sz w:val="12"/>
                                </w:rPr>
                                <w:t>80</w:t>
                              </w:r>
                            </w:p>
                            <w:p w14:paraId="10EF1C01" w14:textId="77777777" w:rsidR="008715BE" w:rsidRDefault="008715BE">
                              <w:pPr>
                                <w:spacing w:before="30"/>
                                <w:rPr>
                                  <w:sz w:val="18"/>
                                </w:rPr>
                              </w:pPr>
                            </w:p>
                            <w:p w14:paraId="4011FD5F" w14:textId="77777777" w:rsidR="008715BE" w:rsidRDefault="00000000">
                              <w:pPr>
                                <w:ind w:right="19"/>
                                <w:jc w:val="right"/>
                                <w:rPr>
                                  <w:sz w:val="18"/>
                                </w:rPr>
                              </w:pPr>
                              <w:r>
                                <w:rPr>
                                  <w:color w:val="585858"/>
                                  <w:spacing w:val="-5"/>
                                  <w:w w:val="125"/>
                                  <w:sz w:val="12"/>
                                </w:rPr>
                                <w:t>600</w:t>
                              </w:r>
                            </w:p>
                            <w:p w14:paraId="0D320965" w14:textId="77777777" w:rsidR="008715BE" w:rsidRDefault="008715BE">
                              <w:pPr>
                                <w:spacing w:before="31"/>
                                <w:rPr>
                                  <w:sz w:val="18"/>
                                </w:rPr>
                              </w:pPr>
                            </w:p>
                            <w:p w14:paraId="539F2009" w14:textId="77777777" w:rsidR="008715BE" w:rsidRDefault="00000000">
                              <w:pPr>
                                <w:ind w:right="19"/>
                                <w:jc w:val="right"/>
                                <w:rPr>
                                  <w:sz w:val="18"/>
                                </w:rPr>
                              </w:pPr>
                              <w:r>
                                <w:rPr>
                                  <w:color w:val="585858"/>
                                  <w:spacing w:val="-5"/>
                                  <w:w w:val="125"/>
                                  <w:sz w:val="12"/>
                                </w:rPr>
                                <w:t>400</w:t>
                              </w:r>
                            </w:p>
                            <w:p w14:paraId="1A9CE9E4" w14:textId="77777777" w:rsidR="008715BE" w:rsidRDefault="008715BE">
                              <w:pPr>
                                <w:spacing w:before="30"/>
                                <w:rPr>
                                  <w:sz w:val="18"/>
                                </w:rPr>
                              </w:pPr>
                            </w:p>
                            <w:p w14:paraId="10C58388" w14:textId="77777777" w:rsidR="008715BE" w:rsidRDefault="00000000">
                              <w:pPr>
                                <w:ind w:right="18"/>
                                <w:jc w:val="right"/>
                                <w:rPr>
                                  <w:sz w:val="18"/>
                                </w:rPr>
                              </w:pPr>
                              <w:r>
                                <w:rPr>
                                  <w:color w:val="585858"/>
                                  <w:spacing w:val="-5"/>
                                  <w:w w:val="125"/>
                                  <w:sz w:val="12"/>
                                </w:rPr>
                                <w:t>200</w:t>
                              </w:r>
                            </w:p>
                            <w:p w14:paraId="0453B8A0" w14:textId="77777777" w:rsidR="008715BE" w:rsidRDefault="008715BE">
                              <w:pPr>
                                <w:spacing w:before="31"/>
                                <w:rPr>
                                  <w:sz w:val="18"/>
                                </w:rPr>
                              </w:pPr>
                            </w:p>
                            <w:p w14:paraId="1ADE78CA" w14:textId="77777777" w:rsidR="008715BE" w:rsidRDefault="00000000">
                              <w:pPr>
                                <w:spacing w:line="209" w:lineRule="exact"/>
                                <w:ind w:right="18"/>
                                <w:jc w:val="right"/>
                                <w:rPr>
                                  <w:sz w:val="18"/>
                                </w:rPr>
                              </w:pPr>
                              <w:r>
                                <w:rPr>
                                  <w:color w:val="585858"/>
                                  <w:spacing w:val="-10"/>
                                  <w:w w:val="125"/>
                                  <w:sz w:val="12"/>
                                </w:rPr>
                                <w:t>0</w:t>
                              </w:r>
                            </w:p>
                          </w:txbxContent>
                        </wps:txbx>
                        <wps:bodyPr wrap="square" lIns="0" tIns="0" rIns="0" bIns="0" rtlCol="0"/>
                      </wps:wsp>
                      <wps:wsp>
                        <wps:cNvPr id="49" name="Textbox 49"/>
                        <wps:cNvSpPr txBox="1"/>
                        <wps:spPr>
                          <a:xfrm>
                            <a:off x="898144" y="2609170"/>
                            <a:ext cx="303530" cy="139700"/>
                          </a:xfrm>
                          <a:prstGeom prst="rect">
                            <a:avLst/>
                          </a:prstGeom>
                        </wps:spPr>
                        <wps:txbx>
                          <w:txbxContent>
                            <w:p w14:paraId="3E0B697C" w14:textId="77777777" w:rsidR="008715BE" w:rsidRDefault="00000000">
                              <w:pPr>
                                <w:spacing w:before="10" w:line="209" w:lineRule="exact"/>
                                <w:rPr>
                                  <w:sz w:val="18"/>
                                </w:rPr>
                              </w:pPr>
                              <w:r>
                                <w:rPr>
                                  <w:color w:val="585858"/>
                                  <w:spacing w:val="-4"/>
                                  <w:w w:val="125"/>
                                  <w:sz w:val="12"/>
                                </w:rPr>
                                <w:t>2011</w:t>
                              </w:r>
                            </w:p>
                          </w:txbxContent>
                        </wps:txbx>
                        <wps:bodyPr wrap="square" lIns="0" tIns="0" rIns="0" bIns="0" rtlCol="0"/>
                      </wps:wsp>
                      <wps:wsp>
                        <wps:cNvPr id="50" name="Textbox 50"/>
                        <wps:cNvSpPr txBox="1"/>
                        <wps:spPr>
                          <a:xfrm>
                            <a:off x="1475739" y="2609170"/>
                            <a:ext cx="303530" cy="139700"/>
                          </a:xfrm>
                          <a:prstGeom prst="rect">
                            <a:avLst/>
                          </a:prstGeom>
                        </wps:spPr>
                        <wps:txbx>
                          <w:txbxContent>
                            <w:p w14:paraId="1A907B54" w14:textId="77777777" w:rsidR="008715BE" w:rsidRDefault="00000000">
                              <w:pPr>
                                <w:spacing w:before="10" w:line="209" w:lineRule="exact"/>
                                <w:rPr>
                                  <w:sz w:val="18"/>
                                </w:rPr>
                              </w:pPr>
                              <w:r>
                                <w:rPr>
                                  <w:color w:val="585858"/>
                                  <w:spacing w:val="-4"/>
                                  <w:w w:val="125"/>
                                  <w:sz w:val="12"/>
                                </w:rPr>
                                <w:t>2019</w:t>
                              </w:r>
                            </w:p>
                          </w:txbxContent>
                        </wps:txbx>
                        <wps:bodyPr wrap="square" lIns="0" tIns="0" rIns="0" bIns="0" rtlCol="0"/>
                      </wps:wsp>
                      <wps:wsp>
                        <wps:cNvPr id="51" name="Textbox 51"/>
                        <wps:cNvSpPr txBox="1"/>
                        <wps:spPr>
                          <a:xfrm>
                            <a:off x="2053717" y="2609170"/>
                            <a:ext cx="303530" cy="139700"/>
                          </a:xfrm>
                          <a:prstGeom prst="rect">
                            <a:avLst/>
                          </a:prstGeom>
                        </wps:spPr>
                        <wps:txbx>
                          <w:txbxContent>
                            <w:p w14:paraId="0240D9E0" w14:textId="77777777" w:rsidR="008715BE" w:rsidRDefault="00000000">
                              <w:pPr>
                                <w:spacing w:before="10" w:line="209" w:lineRule="exact"/>
                                <w:rPr>
                                  <w:sz w:val="18"/>
                                </w:rPr>
                              </w:pPr>
                              <w:r>
                                <w:rPr>
                                  <w:color w:val="585858"/>
                                  <w:spacing w:val="-4"/>
                                  <w:w w:val="125"/>
                                  <w:sz w:val="12"/>
                                </w:rPr>
                                <w:t>2020</w:t>
                              </w:r>
                            </w:p>
                          </w:txbxContent>
                        </wps:txbx>
                        <wps:bodyPr wrap="square" lIns="0" tIns="0" rIns="0" bIns="0" rtlCol="0"/>
                      </wps:wsp>
                      <wps:wsp>
                        <wps:cNvPr id="52" name="Textbox 52"/>
                        <wps:cNvSpPr txBox="1"/>
                        <wps:spPr>
                          <a:xfrm>
                            <a:off x="2631313" y="2609170"/>
                            <a:ext cx="303530" cy="139700"/>
                          </a:xfrm>
                          <a:prstGeom prst="rect">
                            <a:avLst/>
                          </a:prstGeom>
                        </wps:spPr>
                        <wps:txbx>
                          <w:txbxContent>
                            <w:p w14:paraId="67333AD9" w14:textId="77777777" w:rsidR="008715BE" w:rsidRDefault="00000000">
                              <w:pPr>
                                <w:spacing w:before="10" w:line="209" w:lineRule="exact"/>
                                <w:rPr>
                                  <w:sz w:val="18"/>
                                </w:rPr>
                              </w:pPr>
                              <w:r>
                                <w:rPr>
                                  <w:color w:val="585858"/>
                                  <w:spacing w:val="-4"/>
                                  <w:w w:val="125"/>
                                  <w:sz w:val="12"/>
                                </w:rPr>
                                <w:t>2021</w:t>
                              </w:r>
                            </w:p>
                          </w:txbxContent>
                        </wps:txbx>
                        <wps:bodyPr wrap="square" lIns="0" tIns="0" rIns="0" bIns="0" rtlCol="0"/>
                      </wps:wsp>
                      <wps:wsp>
                        <wps:cNvPr id="53" name="Textbox 53"/>
                        <wps:cNvSpPr txBox="1"/>
                        <wps:spPr>
                          <a:xfrm>
                            <a:off x="3208908" y="2609170"/>
                            <a:ext cx="303530" cy="139700"/>
                          </a:xfrm>
                          <a:prstGeom prst="rect">
                            <a:avLst/>
                          </a:prstGeom>
                        </wps:spPr>
                        <wps:txbx>
                          <w:txbxContent>
                            <w:p w14:paraId="584EED3C" w14:textId="77777777" w:rsidR="008715BE" w:rsidRDefault="00000000">
                              <w:pPr>
                                <w:spacing w:before="10" w:line="209" w:lineRule="exact"/>
                                <w:rPr>
                                  <w:sz w:val="18"/>
                                </w:rPr>
                              </w:pPr>
                              <w:r>
                                <w:rPr>
                                  <w:color w:val="585858"/>
                                  <w:spacing w:val="-4"/>
                                  <w:w w:val="125"/>
                                  <w:sz w:val="12"/>
                                </w:rPr>
                                <w:t>2022</w:t>
                              </w:r>
                            </w:p>
                          </w:txbxContent>
                        </wps:txbx>
                        <wps:bodyPr wrap="square" lIns="0" tIns="0" rIns="0" bIns="0" rtlCol="0"/>
                      </wps:wsp>
                      <wps:wsp>
                        <wps:cNvPr id="54" name="Textbox 54"/>
                        <wps:cNvSpPr txBox="1"/>
                        <wps:spPr>
                          <a:xfrm>
                            <a:off x="3786759" y="2609170"/>
                            <a:ext cx="303530" cy="139700"/>
                          </a:xfrm>
                          <a:prstGeom prst="rect">
                            <a:avLst/>
                          </a:prstGeom>
                        </wps:spPr>
                        <wps:txbx>
                          <w:txbxContent>
                            <w:p w14:paraId="1F6DBDB0" w14:textId="77777777" w:rsidR="008715BE" w:rsidRDefault="00000000">
                              <w:pPr>
                                <w:spacing w:before="10" w:line="209" w:lineRule="exact"/>
                                <w:rPr>
                                  <w:sz w:val="18"/>
                                </w:rPr>
                              </w:pPr>
                              <w:r>
                                <w:rPr>
                                  <w:color w:val="585858"/>
                                  <w:spacing w:val="-4"/>
                                  <w:w w:val="125"/>
                                  <w:sz w:val="12"/>
                                </w:rPr>
                                <w:t>2023</w:t>
                              </w:r>
                            </w:p>
                          </w:txbxContent>
                        </wps:txbx>
                        <wps:bodyPr wrap="square" lIns="0" tIns="0" rIns="0" bIns="0" rtlCol="0"/>
                      </wps:wsp>
                      <wps:wsp>
                        <wps:cNvPr id="55" name="Textbox 55"/>
                        <wps:cNvSpPr txBox="1"/>
                        <wps:spPr>
                          <a:xfrm>
                            <a:off x="4364354" y="2609170"/>
                            <a:ext cx="303530" cy="139700"/>
                          </a:xfrm>
                          <a:prstGeom prst="rect">
                            <a:avLst/>
                          </a:prstGeom>
                        </wps:spPr>
                        <wps:txbx>
                          <w:txbxContent>
                            <w:p w14:paraId="7DDAF1C0" w14:textId="77777777" w:rsidR="008715BE" w:rsidRDefault="00000000">
                              <w:pPr>
                                <w:spacing w:before="10" w:line="209" w:lineRule="exact"/>
                                <w:rPr>
                                  <w:sz w:val="18"/>
                                </w:rPr>
                              </w:pPr>
                              <w:r>
                                <w:rPr>
                                  <w:color w:val="585858"/>
                                  <w:spacing w:val="-4"/>
                                  <w:w w:val="125"/>
                                  <w:sz w:val="12"/>
                                </w:rPr>
                                <w:t>2024</w:t>
                              </w:r>
                            </w:p>
                          </w:txbxContent>
                        </wps:txbx>
                        <wps:bodyPr wrap="square" lIns="0" tIns="0" rIns="0" bIns="0" rtlCol="0"/>
                      </wps:wsp>
                      <wps:wsp>
                        <wps:cNvPr id="56" name="Textbox 56"/>
                        <wps:cNvSpPr txBox="1"/>
                        <wps:spPr>
                          <a:xfrm>
                            <a:off x="4941951" y="2609170"/>
                            <a:ext cx="303530" cy="139700"/>
                          </a:xfrm>
                          <a:prstGeom prst="rect">
                            <a:avLst/>
                          </a:prstGeom>
                        </wps:spPr>
                        <wps:txbx>
                          <w:txbxContent>
                            <w:p w14:paraId="6D203276" w14:textId="77777777" w:rsidR="008715BE" w:rsidRDefault="00000000">
                              <w:pPr>
                                <w:spacing w:before="10" w:line="209" w:lineRule="exact"/>
                                <w:rPr>
                                  <w:sz w:val="18"/>
                                </w:rPr>
                              </w:pPr>
                              <w:r>
                                <w:rPr>
                                  <w:color w:val="585858"/>
                                  <w:spacing w:val="-4"/>
                                  <w:w w:val="125"/>
                                  <w:sz w:val="12"/>
                                </w:rPr>
                                <w:t>2025</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26F86F03" id="Group 43" o:spid="_x0000_s1033" style="position:absolute;margin-left:92.5pt;margin-top:.35pt;width:426.75pt;height:208.5pt;z-index:251659264;mso-wrap-distance-left:0;mso-wrap-distance-right:0;mso-position-horizontal-relative:page;mso-position-vertical-relative:text;mso-width-relative:margin;mso-height-relative:margin" coordsize="55194,28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">
                <v:shape id="Graphic 44" o:spid="_x0000_s1034" style="position:absolute;left:7543;top:1444;width:46209;height:23882;visibility:visible;mso-wrap-style:square;v-text-anchor:top" coordsize="4620895,238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" path="m,2090165r4620514,em,1791461r4620514,em,1492758r4620514,em,1194053r4620514,em,895349r4620514,em,596645r4620514,em,297941r4620514,em,l4620514,em,2387980r4620514,e" filled="f" strokecolor="#d9d9d9">
                  <v:path arrowok="t"/>
                </v:shape>
                <v:shape id="Graphic 45" o:spid="_x0000_s1035" style="position:absolute;left:10431;top:2683;width:40431;height:3823;visibility:visible;mso-wrap-style:square;v-text-anchor:top" coordsize="404304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" path="m,l577977,186181r577596,45720l1733169,250189r577596,12192l2888361,302005r577596,33529l4043045,382015e" filled="f" strokecolor="#04316d" strokeweight="2.25pt">
                  <v:path arrowok="t"/>
                </v:shape>
                <v:shape id="Graphic 46" o:spid="_x0000_s1036" style="position:absolute;left:10431;top:3603;width:40431;height:3041;visibility:visible;mso-wrap-style:square;v-text-anchor:top" coordsize="404304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" path="m,l4043045,303656e" filled="f" strokecolor="red" strokeweight="1.5pt">
                  <v:stroke dashstyle="dot"/>
                  <v:path arrowok="t"/>
                </v:shape>
                <v:shape id="Graphic 47" o:spid="_x0000_s1037" style="position:absolute;left:47;top:47;width:55099;height:28258;visibility:visible;mso-wrap-style:square;v-text-anchor:top" coordsize="5509895,282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" path="m,2825750r5509895,l5509895,,,,,2825750xe" filled="f" strokecolor="#d9d9d9">
                  <v:path arrowok="t"/>
                </v:shape>
                <v:shape id="Textbox 48" o:spid="_x0000_s1038" type="#_x0000_t202" style="position:absolute;left:3562;top:686;width:3035;height:2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D055ACB" w14:textId="77777777" w:rsidR="008715BE" w:rsidRDefault="00000000">
                        <w:pPr>
                          <w:spacing w:before="10"/>
                          <w:ind w:right="18"/>
                          <w:jc w:val="right"/>
                          <w:rPr>
                            <w:sz w:val="18"/>
                          </w:rPr>
                        </w:pPr>
                        <w:r>
                          <w:rPr>
                            <w:color w:val="585858"/>
                            <w:spacing w:val="-4"/>
                            <w:w w:val="125"/>
                            <w:sz w:val="12"/>
                          </w:rPr>
                          <w:t>1600</w:t>
                        </w:r>
                      </w:p>
                      <w:p w14:paraId="017910B1" w14:textId="77777777" w:rsidR="008715BE" w:rsidRDefault="008715BE">
                        <w:pPr>
                          <w:spacing w:before="31"/>
                          <w:rPr>
                            <w:sz w:val="18"/>
                          </w:rPr>
                        </w:pPr>
                      </w:p>
                      <w:p w14:paraId="1C81FBFE" w14:textId="77777777" w:rsidR="008715BE" w:rsidRDefault="00000000">
                        <w:pPr>
                          <w:ind w:right="18"/>
                          <w:jc w:val="right"/>
                          <w:rPr>
                            <w:sz w:val="18"/>
                          </w:rPr>
                        </w:pPr>
                        <w:r>
                          <w:rPr>
                            <w:color w:val="585858"/>
                            <w:spacing w:val="-4"/>
                            <w:w w:val="125"/>
                            <w:sz w:val="12"/>
                          </w:rPr>
                          <w:t>1400</w:t>
                        </w:r>
                      </w:p>
                      <w:p w14:paraId="41AD00C3" w14:textId="77777777" w:rsidR="008715BE" w:rsidRDefault="008715BE">
                        <w:pPr>
                          <w:spacing w:before="30"/>
                          <w:rPr>
                            <w:sz w:val="18"/>
                          </w:rPr>
                        </w:pPr>
                      </w:p>
                      <w:p w14:paraId="250314BE" w14:textId="77777777" w:rsidR="008715BE" w:rsidRDefault="00000000">
                        <w:pPr>
                          <w:ind w:right="18"/>
                          <w:jc w:val="right"/>
                          <w:rPr>
                            <w:sz w:val="18"/>
                          </w:rPr>
                        </w:pPr>
                        <w:r>
                          <w:rPr>
                            <w:color w:val="585858"/>
                            <w:spacing w:val="-4"/>
                            <w:w w:val="125"/>
                            <w:sz w:val="12"/>
                          </w:rPr>
                          <w:t>12</w:t>
                        </w:r>
                      </w:p>
                      <w:p w14:paraId="023F7B5E" w14:textId="77777777" w:rsidR="008715BE" w:rsidRDefault="008715BE">
                        <w:pPr>
                          <w:spacing w:before="31"/>
                          <w:rPr>
                            <w:sz w:val="18"/>
                          </w:rPr>
                        </w:pPr>
                      </w:p>
                      <w:p w14:paraId="586C7D6B" w14:textId="77777777" w:rsidR="008715BE" w:rsidRDefault="00000000">
                        <w:pPr>
                          <w:ind w:right="18"/>
                          <w:jc w:val="right"/>
                          <w:rPr>
                            <w:sz w:val="18"/>
                          </w:rPr>
                        </w:pPr>
                        <w:r>
                          <w:rPr>
                            <w:color w:val="585858"/>
                            <w:spacing w:val="-4"/>
                            <w:w w:val="125"/>
                            <w:sz w:val="12"/>
                          </w:rPr>
                          <w:t>10</w:t>
                        </w:r>
                      </w:p>
                      <w:p w14:paraId="55145B85" w14:textId="77777777" w:rsidR="008715BE" w:rsidRDefault="008715BE">
                        <w:pPr>
                          <w:spacing w:before="30"/>
                          <w:rPr>
                            <w:sz w:val="18"/>
                          </w:rPr>
                        </w:pPr>
                      </w:p>
                      <w:p w14:paraId="0907F282" w14:textId="77777777" w:rsidR="008715BE" w:rsidRDefault="00000000">
                        <w:pPr>
                          <w:spacing w:before="1"/>
                          <w:ind w:right="19"/>
                          <w:jc w:val="right"/>
                          <w:rPr>
                            <w:sz w:val="18"/>
                          </w:rPr>
                        </w:pPr>
                        <w:r>
                          <w:rPr>
                            <w:color w:val="585858"/>
                            <w:spacing w:val="-5"/>
                            <w:w w:val="125"/>
                            <w:sz w:val="12"/>
                          </w:rPr>
                          <w:t>80</w:t>
                        </w:r>
                      </w:p>
                      <w:p w14:paraId="10EF1C01" w14:textId="77777777" w:rsidR="008715BE" w:rsidRDefault="008715BE">
                        <w:pPr>
                          <w:spacing w:before="30"/>
                          <w:rPr>
                            <w:sz w:val="18"/>
                          </w:rPr>
                        </w:pPr>
                      </w:p>
                      <w:p w14:paraId="4011FD5F" w14:textId="77777777" w:rsidR="008715BE" w:rsidRDefault="00000000">
                        <w:pPr>
                          <w:ind w:right="19"/>
                          <w:jc w:val="right"/>
                          <w:rPr>
                            <w:sz w:val="18"/>
                          </w:rPr>
                        </w:pPr>
                        <w:r>
                          <w:rPr>
                            <w:color w:val="585858"/>
                            <w:spacing w:val="-5"/>
                            <w:w w:val="125"/>
                            <w:sz w:val="12"/>
                          </w:rPr>
                          <w:t>600</w:t>
                        </w:r>
                      </w:p>
                      <w:p w14:paraId="0D320965" w14:textId="77777777" w:rsidR="008715BE" w:rsidRDefault="008715BE">
                        <w:pPr>
                          <w:spacing w:before="31"/>
                          <w:rPr>
                            <w:sz w:val="18"/>
                          </w:rPr>
                        </w:pPr>
                      </w:p>
                      <w:p w14:paraId="539F2009" w14:textId="77777777" w:rsidR="008715BE" w:rsidRDefault="00000000">
                        <w:pPr>
                          <w:ind w:right="19"/>
                          <w:jc w:val="right"/>
                          <w:rPr>
                            <w:sz w:val="18"/>
                          </w:rPr>
                        </w:pPr>
                        <w:r>
                          <w:rPr>
                            <w:color w:val="585858"/>
                            <w:spacing w:val="-5"/>
                            <w:w w:val="125"/>
                            <w:sz w:val="12"/>
                          </w:rPr>
                          <w:t>400</w:t>
                        </w:r>
                      </w:p>
                      <w:p w14:paraId="1A9CE9E4" w14:textId="77777777" w:rsidR="008715BE" w:rsidRDefault="008715BE">
                        <w:pPr>
                          <w:spacing w:before="30"/>
                          <w:rPr>
                            <w:sz w:val="18"/>
                          </w:rPr>
                        </w:pPr>
                      </w:p>
                      <w:p w14:paraId="10C58388" w14:textId="77777777" w:rsidR="008715BE" w:rsidRDefault="00000000">
                        <w:pPr>
                          <w:ind w:right="18"/>
                          <w:jc w:val="right"/>
                          <w:rPr>
                            <w:sz w:val="18"/>
                          </w:rPr>
                        </w:pPr>
                        <w:r>
                          <w:rPr>
                            <w:color w:val="585858"/>
                            <w:spacing w:val="-5"/>
                            <w:w w:val="125"/>
                            <w:sz w:val="12"/>
                          </w:rPr>
                          <w:t>200</w:t>
                        </w:r>
                      </w:p>
                      <w:p w14:paraId="0453B8A0" w14:textId="77777777" w:rsidR="008715BE" w:rsidRDefault="008715BE">
                        <w:pPr>
                          <w:spacing w:before="31"/>
                          <w:rPr>
                            <w:sz w:val="18"/>
                          </w:rPr>
                        </w:pPr>
                      </w:p>
                      <w:p w14:paraId="1ADE78CA" w14:textId="77777777" w:rsidR="008715BE" w:rsidRDefault="00000000">
                        <w:pPr>
                          <w:spacing w:line="209" w:lineRule="exact"/>
                          <w:ind w:right="18"/>
                          <w:jc w:val="right"/>
                          <w:rPr>
                            <w:sz w:val="18"/>
                          </w:rPr>
                        </w:pPr>
                        <w:r>
                          <w:rPr>
                            <w:color w:val="585858"/>
                            <w:spacing w:val="-10"/>
                            <w:w w:val="125"/>
                            <w:sz w:val="12"/>
                          </w:rPr>
                          <w:t>0</w:t>
                        </w:r>
                      </w:p>
                    </w:txbxContent>
                  </v:textbox>
                </v:shape>
                <v:shape id="Textbox 49" o:spid="_x0000_s1039" type="#_x0000_t202" style="position:absolute;left:8981;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E0B697C" w14:textId="77777777" w:rsidR="008715BE" w:rsidRDefault="00000000">
                        <w:pPr>
                          <w:spacing w:before="10" w:line="209" w:lineRule="exact"/>
                          <w:rPr>
                            <w:sz w:val="18"/>
                          </w:rPr>
                        </w:pPr>
                        <w:r>
                          <w:rPr>
                            <w:color w:val="585858"/>
                            <w:spacing w:val="-4"/>
                            <w:w w:val="125"/>
                            <w:sz w:val="12"/>
                          </w:rPr>
                          <w:t>2011</w:t>
                        </w:r>
                      </w:p>
                    </w:txbxContent>
                  </v:textbox>
                </v:shape>
                <v:shape id="Textbox 50" o:spid="_x0000_s1040" type="#_x0000_t202" style="position:absolute;left:1475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1A907B54" w14:textId="77777777" w:rsidR="008715BE" w:rsidRDefault="00000000">
                        <w:pPr>
                          <w:spacing w:before="10" w:line="209" w:lineRule="exact"/>
                          <w:rPr>
                            <w:sz w:val="18"/>
                          </w:rPr>
                        </w:pPr>
                        <w:r>
                          <w:rPr>
                            <w:color w:val="585858"/>
                            <w:spacing w:val="-4"/>
                            <w:w w:val="125"/>
                            <w:sz w:val="12"/>
                          </w:rPr>
                          <w:t>2019</w:t>
                        </w:r>
                      </w:p>
                    </w:txbxContent>
                  </v:textbox>
                </v:shape>
                <v:shape id="Textbox 51" o:spid="_x0000_s1041" type="#_x0000_t202" style="position:absolute;left:2053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0240D9E0" w14:textId="77777777" w:rsidR="008715BE" w:rsidRDefault="00000000">
                        <w:pPr>
                          <w:spacing w:before="10" w:line="209" w:lineRule="exact"/>
                          <w:rPr>
                            <w:sz w:val="18"/>
                          </w:rPr>
                        </w:pPr>
                        <w:r>
                          <w:rPr>
                            <w:color w:val="585858"/>
                            <w:spacing w:val="-4"/>
                            <w:w w:val="125"/>
                            <w:sz w:val="12"/>
                          </w:rPr>
                          <w:t>2020</w:t>
                        </w:r>
                      </w:p>
                    </w:txbxContent>
                  </v:textbox>
                </v:shape>
                <v:shape id="Textbox 52" o:spid="_x0000_s1042" type="#_x0000_t202" style="position:absolute;left:26313;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67333AD9" w14:textId="77777777" w:rsidR="008715BE" w:rsidRDefault="00000000">
                        <w:pPr>
                          <w:spacing w:before="10" w:line="209" w:lineRule="exact"/>
                          <w:rPr>
                            <w:sz w:val="18"/>
                          </w:rPr>
                        </w:pPr>
                        <w:r>
                          <w:rPr>
                            <w:color w:val="585858"/>
                            <w:spacing w:val="-4"/>
                            <w:w w:val="125"/>
                            <w:sz w:val="12"/>
                          </w:rPr>
                          <w:t>2021</w:t>
                        </w:r>
                      </w:p>
                    </w:txbxContent>
                  </v:textbox>
                </v:shape>
                <v:shape id="Textbox 53" o:spid="_x0000_s1043" type="#_x0000_t202" style="position:absolute;left:32089;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584EED3C" w14:textId="77777777" w:rsidR="008715BE" w:rsidRDefault="00000000">
                        <w:pPr>
                          <w:spacing w:before="10" w:line="209" w:lineRule="exact"/>
                          <w:rPr>
                            <w:sz w:val="18"/>
                          </w:rPr>
                        </w:pPr>
                        <w:r>
                          <w:rPr>
                            <w:color w:val="585858"/>
                            <w:spacing w:val="-4"/>
                            <w:w w:val="125"/>
                            <w:sz w:val="12"/>
                          </w:rPr>
                          <w:t>2022</w:t>
                        </w:r>
                      </w:p>
                    </w:txbxContent>
                  </v:textbox>
                </v:shape>
                <v:shape id="Textbox 54" o:spid="_x0000_s1044" type="#_x0000_t202" style="position:absolute;left:3786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F6DBDB0" w14:textId="77777777" w:rsidR="008715BE" w:rsidRDefault="00000000">
                        <w:pPr>
                          <w:spacing w:before="10" w:line="209" w:lineRule="exact"/>
                          <w:rPr>
                            <w:sz w:val="18"/>
                          </w:rPr>
                        </w:pPr>
                        <w:r>
                          <w:rPr>
                            <w:color w:val="585858"/>
                            <w:spacing w:val="-4"/>
                            <w:w w:val="125"/>
                            <w:sz w:val="12"/>
                          </w:rPr>
                          <w:t>2023</w:t>
                        </w:r>
                      </w:p>
                    </w:txbxContent>
                  </v:textbox>
                </v:shape>
                <v:shape id="Textbox 55" o:spid="_x0000_s1045" type="#_x0000_t202" style="position:absolute;left:43643;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DDAF1C0" w14:textId="77777777" w:rsidR="008715BE" w:rsidRDefault="00000000">
                        <w:pPr>
                          <w:spacing w:before="10" w:line="209" w:lineRule="exact"/>
                          <w:rPr>
                            <w:sz w:val="18"/>
                          </w:rPr>
                        </w:pPr>
                        <w:r>
                          <w:rPr>
                            <w:color w:val="585858"/>
                            <w:spacing w:val="-4"/>
                            <w:w w:val="125"/>
                            <w:sz w:val="12"/>
                          </w:rPr>
                          <w:t>2024</w:t>
                        </w:r>
                      </w:p>
                    </w:txbxContent>
                  </v:textbox>
                </v:shape>
                <v:shape id="Textbox 56" o:spid="_x0000_s1046" type="#_x0000_t202" style="position:absolute;left:49419;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6D203276" w14:textId="77777777" w:rsidR="008715BE" w:rsidRDefault="00000000">
                        <w:pPr>
                          <w:spacing w:before="10" w:line="209" w:lineRule="exact"/>
                          <w:rPr>
                            <w:sz w:val="18"/>
                          </w:rPr>
                        </w:pPr>
                        <w:r>
                          <w:rPr>
                            <w:color w:val="585858"/>
                            <w:spacing w:val="-4"/>
                            <w:w w:val="125"/>
                            <w:sz w:val="12"/>
                          </w:rPr>
                          <w:t>2025</w:t>
                        </w:r>
                      </w:p>
                    </w:txbxContent>
                  </v:textbox>
                </v:shape>
                <w10:wrap anchorx="page"/>
              </v:group>
            </w:pict>
          </mc:Fallback>
        </mc:AlternateContent>
      </w:r>
    </w:p>
    <w:p w14:paraId="55268AE9" w14:textId="77777777" w:rsidR="008715BE" w:rsidRPr="00EC75B7" w:rsidRDefault="008715BE">
      <w:pPr>
        <w:pStyle w:val="BodyText"/>
        <w:rPr>
          <w:rFonts w:ascii="Verdana" w:hAnsi="Verdana"/>
        </w:rPr>
      </w:pPr>
    </w:p>
    <w:p w14:paraId="42ABEA9B" w14:textId="77777777" w:rsidR="008715BE" w:rsidRPr="00EC75B7" w:rsidRDefault="008715BE">
      <w:pPr>
        <w:pStyle w:val="BodyText"/>
        <w:rPr>
          <w:rFonts w:ascii="Verdana" w:hAnsi="Verdana"/>
        </w:rPr>
      </w:pPr>
    </w:p>
    <w:p w14:paraId="58540D9B" w14:textId="77777777" w:rsidR="008715BE" w:rsidRPr="00EC75B7" w:rsidRDefault="008715BE">
      <w:pPr>
        <w:pStyle w:val="BodyText"/>
        <w:rPr>
          <w:rFonts w:ascii="Verdana" w:hAnsi="Verdana"/>
        </w:rPr>
      </w:pPr>
    </w:p>
    <w:p w14:paraId="2B9AD039" w14:textId="77777777" w:rsidR="008715BE" w:rsidRPr="00EC75B7" w:rsidRDefault="008715BE">
      <w:pPr>
        <w:pStyle w:val="BodyText"/>
        <w:rPr>
          <w:rFonts w:ascii="Verdana" w:hAnsi="Verdana"/>
        </w:rPr>
      </w:pPr>
    </w:p>
    <w:p w14:paraId="6D32D72C" w14:textId="77777777" w:rsidR="008715BE" w:rsidRPr="00EC75B7" w:rsidRDefault="008715BE">
      <w:pPr>
        <w:pStyle w:val="BodyText"/>
        <w:rPr>
          <w:rFonts w:ascii="Verdana" w:hAnsi="Verdana"/>
        </w:rPr>
      </w:pPr>
    </w:p>
    <w:p w14:paraId="5275A33A" w14:textId="77777777" w:rsidR="008715BE" w:rsidRPr="00EC75B7" w:rsidRDefault="008715BE">
      <w:pPr>
        <w:pStyle w:val="BodyText"/>
        <w:rPr>
          <w:rFonts w:ascii="Verdana" w:hAnsi="Verdana"/>
        </w:rPr>
      </w:pPr>
    </w:p>
    <w:p w14:paraId="0603C5CF" w14:textId="77777777" w:rsidR="008715BE" w:rsidRPr="00EC75B7" w:rsidRDefault="008715BE">
      <w:pPr>
        <w:pStyle w:val="BodyText"/>
        <w:rPr>
          <w:rFonts w:ascii="Verdana" w:hAnsi="Verdana"/>
        </w:rPr>
      </w:pPr>
    </w:p>
    <w:p w14:paraId="59C85297" w14:textId="77777777" w:rsidR="008715BE" w:rsidRPr="00EC75B7" w:rsidRDefault="008715BE">
      <w:pPr>
        <w:pStyle w:val="BodyText"/>
        <w:rPr>
          <w:rFonts w:ascii="Verdana" w:hAnsi="Verdana"/>
        </w:rPr>
      </w:pPr>
    </w:p>
    <w:p w14:paraId="75155420" w14:textId="77777777" w:rsidR="008715BE" w:rsidRPr="00EC75B7" w:rsidRDefault="008715BE">
      <w:pPr>
        <w:pStyle w:val="BodyText"/>
        <w:rPr>
          <w:rFonts w:ascii="Verdana" w:hAnsi="Verdana"/>
        </w:rPr>
      </w:pPr>
    </w:p>
    <w:p w14:paraId="4E4957B2" w14:textId="77777777" w:rsidR="008715BE" w:rsidRPr="00EC75B7" w:rsidRDefault="008715BE">
      <w:pPr>
        <w:pStyle w:val="BodyText"/>
        <w:rPr>
          <w:rFonts w:ascii="Verdana" w:hAnsi="Verdana"/>
        </w:rPr>
      </w:pPr>
    </w:p>
    <w:p w14:paraId="6EB61C1B" w14:textId="77777777" w:rsidR="008715BE" w:rsidRPr="00EC75B7" w:rsidRDefault="008715BE">
      <w:pPr>
        <w:pStyle w:val="BodyText"/>
        <w:rPr>
          <w:rFonts w:ascii="Verdana" w:hAnsi="Verdana"/>
        </w:rPr>
      </w:pPr>
    </w:p>
    <w:p w14:paraId="5B612CD8" w14:textId="77777777" w:rsidR="008715BE" w:rsidRPr="00EC75B7" w:rsidRDefault="008715BE">
      <w:pPr>
        <w:pStyle w:val="BodyText"/>
        <w:rPr>
          <w:rFonts w:ascii="Verdana" w:hAnsi="Verdana"/>
        </w:rPr>
      </w:pPr>
    </w:p>
    <w:p w14:paraId="3A02502F" w14:textId="77777777" w:rsidR="008715BE" w:rsidRPr="00EC75B7" w:rsidRDefault="008715BE">
      <w:pPr>
        <w:pStyle w:val="BodyText"/>
        <w:rPr>
          <w:rFonts w:ascii="Verdana" w:hAnsi="Verdana"/>
        </w:rPr>
      </w:pPr>
    </w:p>
    <w:p w14:paraId="05CADC44" w14:textId="77777777" w:rsidR="008715BE" w:rsidRPr="00EC75B7" w:rsidRDefault="008715BE">
      <w:pPr>
        <w:pStyle w:val="BodyText"/>
        <w:rPr>
          <w:rFonts w:ascii="Verdana" w:hAnsi="Verdana"/>
        </w:rPr>
      </w:pPr>
    </w:p>
    <w:p w14:paraId="5270D13A" w14:textId="77777777" w:rsidR="008715BE" w:rsidRPr="00EC75B7" w:rsidRDefault="008715BE">
      <w:pPr>
        <w:pStyle w:val="BodyText"/>
        <w:rPr>
          <w:rFonts w:ascii="Verdana" w:hAnsi="Verdana"/>
        </w:rPr>
      </w:pPr>
    </w:p>
    <w:p w14:paraId="4D178492" w14:textId="77777777" w:rsidR="008715BE" w:rsidRPr="00EC75B7" w:rsidRDefault="008715BE">
      <w:pPr>
        <w:pStyle w:val="BodyText"/>
        <w:rPr>
          <w:rFonts w:ascii="Verdana" w:hAnsi="Verdana"/>
        </w:rPr>
      </w:pPr>
    </w:p>
    <w:p w14:paraId="1A45C177" w14:textId="77777777" w:rsidR="008715BE" w:rsidRPr="00EC75B7" w:rsidRDefault="008715BE">
      <w:pPr>
        <w:pStyle w:val="BodyText"/>
        <w:rPr>
          <w:rFonts w:ascii="Verdana" w:hAnsi="Verdana"/>
        </w:rPr>
      </w:pPr>
    </w:p>
    <w:p w14:paraId="011B9F57" w14:textId="77777777" w:rsidR="008715BE" w:rsidRPr="00EC75B7" w:rsidRDefault="008715BE">
      <w:pPr>
        <w:pStyle w:val="BodyText"/>
        <w:spacing w:before="197"/>
        <w:rPr>
          <w:rFonts w:ascii="Verdana" w:hAnsi="Verdana"/>
        </w:rPr>
      </w:pPr>
    </w:p>
    <w:p w14:paraId="1BBC8D6C" w14:textId="77777777" w:rsidR="008715BE" w:rsidRPr="00EC75B7" w:rsidRDefault="00000000">
      <w:pPr>
        <w:spacing w:before="1" w:line="171" w:lineRule="exact"/>
        <w:ind w:left="747" w:right="6355"/>
        <w:jc w:val="center"/>
        <w:rPr>
          <w:rFonts w:ascii="Verdana" w:hAnsi="Verdana"/>
          <w:i/>
          <w:sz w:val="18"/>
          <w:szCs w:val="18"/>
        </w:rPr>
      </w:pPr>
      <w:r w:rsidRPr="00EC75B7">
        <w:rPr>
          <w:rFonts w:ascii="Verdana" w:hAnsi="Verdana"/>
          <w:i/>
          <w:color w:val="009DEF"/>
          <w:sz w:val="18"/>
          <w:szCs w:val="18"/>
        </w:rPr>
        <w:t xml:space="preserve">Source: processed by </w:t>
      </w:r>
      <w:r w:rsidRPr="00EC75B7">
        <w:rPr>
          <w:rFonts w:ascii="Verdana" w:hAnsi="Verdana"/>
          <w:i/>
          <w:color w:val="009DEF"/>
          <w:spacing w:val="-5"/>
          <w:sz w:val="18"/>
          <w:szCs w:val="18"/>
        </w:rPr>
        <w:t>INS</w:t>
      </w:r>
    </w:p>
    <w:p w14:paraId="2B8A2049" w14:textId="77777777" w:rsidR="008715BE" w:rsidRPr="00EC75B7" w:rsidRDefault="00000000">
      <w:pPr>
        <w:ind w:left="747" w:right="831"/>
        <w:jc w:val="center"/>
        <w:rPr>
          <w:rFonts w:ascii="Verdana" w:hAnsi="Verdana"/>
          <w:b/>
          <w:sz w:val="18"/>
          <w:szCs w:val="18"/>
        </w:rPr>
      </w:pPr>
      <w:r w:rsidRPr="00EC75B7">
        <w:rPr>
          <w:rFonts w:ascii="Verdana" w:hAnsi="Verdana"/>
          <w:b/>
          <w:color w:val="009DEF"/>
          <w:sz w:val="18"/>
          <w:szCs w:val="18"/>
        </w:rPr>
        <w:t>Figure 7 Population evolution in Cerchezu commune between</w:t>
      </w:r>
      <w:r w:rsidRPr="00EC75B7">
        <w:rPr>
          <w:rFonts w:ascii="Verdana" w:hAnsi="Verdana"/>
          <w:b/>
          <w:color w:val="009DEF"/>
          <w:spacing w:val="-4"/>
          <w:sz w:val="18"/>
          <w:szCs w:val="18"/>
        </w:rPr>
        <w:t xml:space="preserve"> 2011</w:t>
      </w:r>
      <w:r w:rsidRPr="00EC75B7">
        <w:rPr>
          <w:rFonts w:ascii="Verdana" w:hAnsi="Verdana"/>
          <w:b/>
          <w:color w:val="009DEF"/>
          <w:sz w:val="18"/>
          <w:szCs w:val="18"/>
        </w:rPr>
        <w:t xml:space="preserve"> and</w:t>
      </w:r>
      <w:r w:rsidRPr="00EC75B7">
        <w:rPr>
          <w:rFonts w:ascii="Verdana" w:hAnsi="Verdana"/>
          <w:b/>
          <w:color w:val="009DEF"/>
          <w:spacing w:val="-4"/>
          <w:sz w:val="18"/>
          <w:szCs w:val="18"/>
        </w:rPr>
        <w:t xml:space="preserve"> 2025</w:t>
      </w:r>
    </w:p>
    <w:p w14:paraId="6D054A66" w14:textId="77777777" w:rsidR="008715BE" w:rsidRPr="00EC75B7" w:rsidRDefault="008715BE">
      <w:pPr>
        <w:jc w:val="center"/>
        <w:rPr>
          <w:rFonts w:ascii="Verdana" w:hAnsi="Verdana"/>
          <w:b/>
          <w:sz w:val="18"/>
          <w:szCs w:val="18"/>
        </w:rPr>
        <w:sectPr w:rsidR="008715BE" w:rsidRPr="00EC75B7">
          <w:pgSz w:w="11910" w:h="16840"/>
          <w:pgMar w:top="1160" w:right="141" w:bottom="1020" w:left="425" w:header="766" w:footer="797" w:gutter="0"/>
          <w:cols w:space="708"/>
        </w:sectPr>
      </w:pPr>
    </w:p>
    <w:p w14:paraId="7F04243F" w14:textId="77777777" w:rsidR="008715BE" w:rsidRPr="00EC75B7" w:rsidRDefault="008715BE">
      <w:pPr>
        <w:pStyle w:val="BodyText"/>
        <w:spacing w:before="46"/>
        <w:rPr>
          <w:rFonts w:ascii="Verdana" w:hAnsi="Verdana"/>
          <w:b/>
        </w:rPr>
      </w:pPr>
    </w:p>
    <w:p w14:paraId="5CEF90C7" w14:textId="77777777" w:rsidR="008715BE" w:rsidRPr="00EC75B7" w:rsidRDefault="00000000">
      <w:pPr>
        <w:pStyle w:val="BodyText"/>
        <w:spacing w:before="1" w:line="357" w:lineRule="auto"/>
        <w:ind w:left="765" w:right="844"/>
        <w:jc w:val="both"/>
        <w:rPr>
          <w:rFonts w:ascii="Verdana" w:hAnsi="Verdana"/>
        </w:rPr>
      </w:pPr>
      <w:r w:rsidRPr="00EC75B7">
        <w:rPr>
          <w:rFonts w:ascii="Verdana" w:hAnsi="Verdana"/>
        </w:rPr>
        <w:t xml:space="preserve">In terms of the distribution of the commune's population by gender between 2011 and 2025, the male </w:t>
      </w:r>
      <w:r w:rsidRPr="00EC75B7">
        <w:rPr>
          <w:rFonts w:ascii="Verdana" w:hAnsi="Verdana"/>
          <w:spacing w:val="40"/>
        </w:rPr>
        <w:t xml:space="preserve">population </w:t>
      </w:r>
      <w:r w:rsidRPr="00EC75B7">
        <w:rPr>
          <w:rFonts w:ascii="Verdana" w:hAnsi="Verdana"/>
        </w:rPr>
        <w:t>is larger than the female population. Compared to 2011, in 2025 the female population in Cerchezu will have decreased by about 22%, and the male population by 12%.</w:t>
      </w:r>
    </w:p>
    <w:p w14:paraId="6D9200ED" w14:textId="77777777" w:rsidR="008715BE" w:rsidRPr="00EC75B7" w:rsidRDefault="00000000">
      <w:pPr>
        <w:spacing w:before="122"/>
        <w:ind w:left="765"/>
        <w:jc w:val="both"/>
        <w:rPr>
          <w:rFonts w:ascii="Verdana" w:hAnsi="Verdana"/>
          <w:b/>
          <w:sz w:val="18"/>
          <w:szCs w:val="18"/>
        </w:rPr>
      </w:pPr>
      <w:r w:rsidRPr="00EC75B7">
        <w:rPr>
          <w:rFonts w:ascii="Verdana" w:hAnsi="Verdana"/>
          <w:b/>
          <w:color w:val="00AFEF"/>
          <w:spacing w:val="-2"/>
          <w:sz w:val="18"/>
          <w:szCs w:val="18"/>
        </w:rPr>
        <w:t xml:space="preserve">Population </w:t>
      </w:r>
      <w:r w:rsidRPr="00EC75B7">
        <w:rPr>
          <w:rFonts w:ascii="Verdana" w:hAnsi="Verdana"/>
          <w:b/>
          <w:color w:val="00AFEF"/>
          <w:sz w:val="18"/>
          <w:szCs w:val="18"/>
        </w:rPr>
        <w:t>movement</w:t>
      </w:r>
    </w:p>
    <w:p w14:paraId="153A6DC0" w14:textId="77777777" w:rsidR="008715BE" w:rsidRPr="00EC75B7" w:rsidRDefault="008715BE">
      <w:pPr>
        <w:pStyle w:val="BodyText"/>
        <w:spacing w:before="9"/>
        <w:rPr>
          <w:rFonts w:ascii="Verdana" w:hAnsi="Verdana"/>
          <w:b/>
        </w:rPr>
      </w:pPr>
    </w:p>
    <w:p w14:paraId="7D9116B8" w14:textId="77777777" w:rsidR="008715BE" w:rsidRPr="00EC75B7" w:rsidRDefault="00000000">
      <w:pPr>
        <w:pStyle w:val="BodyText"/>
        <w:spacing w:line="357" w:lineRule="auto"/>
        <w:ind w:left="765" w:right="850"/>
        <w:jc w:val="both"/>
        <w:rPr>
          <w:rFonts w:ascii="Verdana" w:hAnsi="Verdana"/>
        </w:rPr>
      </w:pPr>
      <w:r w:rsidRPr="00EC75B7">
        <w:rPr>
          <w:rFonts w:ascii="Verdana" w:hAnsi="Verdana"/>
        </w:rPr>
        <w:t>The main demographic indicators characterizing population movement are: natural increase and migratory increase. Between 2012 and 2022, the natural increase at the county level recorded increasingly negative values, peaking in 2021, with the increase at the rural level reaching -696 people in 2022. The growth rate continues to decline and, at the rural level, is lower than at the regional, macro-regional, and national levels.</w:t>
      </w:r>
    </w:p>
    <w:p w14:paraId="422184FC" w14:textId="77777777" w:rsidR="008715BE" w:rsidRPr="00EC75B7" w:rsidRDefault="00000000">
      <w:pPr>
        <w:pStyle w:val="BodyText"/>
        <w:spacing w:before="122" w:line="360" w:lineRule="auto"/>
        <w:ind w:left="765" w:right="860"/>
        <w:jc w:val="both"/>
        <w:rPr>
          <w:rFonts w:ascii="Verdana" w:hAnsi="Verdana"/>
        </w:rPr>
      </w:pPr>
      <w:r w:rsidRPr="00EC75B7">
        <w:rPr>
          <w:rFonts w:ascii="Verdana" w:hAnsi="Verdana"/>
        </w:rPr>
        <w:t>The low natural growth rates explain the aging population in rural areas, as a result of the migration of young people of working age from rural communities to urban and industrial centers in Constanța County or outside it.</w:t>
      </w:r>
    </w:p>
    <w:p w14:paraId="1AF78001" w14:textId="77777777" w:rsidR="008715BE" w:rsidRPr="00EC75B7" w:rsidRDefault="00000000">
      <w:pPr>
        <w:pStyle w:val="BodyText"/>
        <w:spacing w:before="119" w:line="357" w:lineRule="auto"/>
        <w:ind w:left="765" w:right="859"/>
        <w:jc w:val="both"/>
        <w:rPr>
          <w:rFonts w:ascii="Verdana" w:hAnsi="Verdana"/>
        </w:rPr>
      </w:pPr>
      <w:r w:rsidRPr="00EC75B7">
        <w:rPr>
          <w:rFonts w:ascii="Verdana" w:hAnsi="Verdana"/>
        </w:rPr>
        <w:t>The migration rate is negative. Permanent migration, expressed as the difference between the number of arrivals and departures, has been negative since 2005, reaching -10 persons in 2022.</w:t>
      </w:r>
    </w:p>
    <w:p w14:paraId="23F672A4" w14:textId="77777777" w:rsidR="008715BE" w:rsidRPr="00EC75B7" w:rsidRDefault="00000000">
      <w:pPr>
        <w:spacing w:before="121"/>
        <w:ind w:left="765"/>
        <w:rPr>
          <w:rFonts w:ascii="Verdana" w:hAnsi="Verdana"/>
          <w:b/>
          <w:sz w:val="18"/>
          <w:szCs w:val="18"/>
        </w:rPr>
      </w:pPr>
      <w:r w:rsidRPr="00EC75B7">
        <w:rPr>
          <w:rFonts w:ascii="Verdana" w:hAnsi="Verdana"/>
          <w:b/>
          <w:color w:val="00AFEF"/>
          <w:spacing w:val="-4"/>
          <w:sz w:val="18"/>
          <w:szCs w:val="18"/>
        </w:rPr>
        <w:t>Ethnicity</w:t>
      </w:r>
    </w:p>
    <w:p w14:paraId="4098D3F9" w14:textId="77777777" w:rsidR="008715BE" w:rsidRPr="00EC75B7" w:rsidRDefault="008715BE">
      <w:pPr>
        <w:pStyle w:val="BodyText"/>
        <w:spacing w:before="4"/>
        <w:rPr>
          <w:rFonts w:ascii="Verdana" w:hAnsi="Verdana"/>
          <w:b/>
        </w:rPr>
      </w:pPr>
    </w:p>
    <w:p w14:paraId="4208BB7E" w14:textId="77777777" w:rsidR="008715BE" w:rsidRPr="00EC75B7" w:rsidRDefault="00000000">
      <w:pPr>
        <w:pStyle w:val="BodyText"/>
        <w:spacing w:before="1"/>
        <w:ind w:left="765"/>
        <w:rPr>
          <w:rFonts w:ascii="Verdana" w:hAnsi="Verdana"/>
        </w:rPr>
      </w:pPr>
      <w:r w:rsidRPr="00EC75B7">
        <w:rPr>
          <w:rFonts w:ascii="Verdana" w:hAnsi="Verdana"/>
          <w:noProof/>
        </w:rPr>
        <mc:AlternateContent>
          <mc:Choice Requires="wps">
            <w:drawing>
              <wp:anchor distT="0" distB="0" distL="0" distR="0" simplePos="0" relativeHeight="251688960" behindDoc="1" locked="0" layoutInCell="1" allowOverlap="1" wp14:anchorId="216F25FB" wp14:editId="4010C269">
                <wp:simplePos x="0" y="0"/>
                <wp:positionH relativeFrom="page">
                  <wp:posOffset>5045328</wp:posOffset>
                </wp:positionH>
                <wp:positionV relativeFrom="paragraph">
                  <wp:posOffset>102034</wp:posOffset>
                </wp:positionV>
                <wp:extent cx="17780" cy="12700"/>
                <wp:effectExtent l="0" t="0" r="0" b="0"/>
                <wp:wrapNone/>
                <wp:docPr id="58" name="Textbox 5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0226AB48" w14:textId="77777777" w:rsidR="008715BE" w:rsidRDefault="00000000">
                            <w:pPr>
                              <w:spacing w:line="19" w:lineRule="exact"/>
                              <w:rPr>
                                <w:sz w:val="2"/>
                              </w:rPr>
                            </w:pPr>
                            <w:r>
                              <w:rPr>
                                <w:spacing w:val="-5"/>
                                <w:sz w:val="1"/>
                              </w:rPr>
                              <w:t>25F</w:t>
                            </w:r>
                          </w:p>
                        </w:txbxContent>
                      </wps:txbx>
                      <wps:bodyPr wrap="square" lIns="0" tIns="0" rIns="0" bIns="0" rtlCol="0"/>
                    </wps:wsp>
                  </a:graphicData>
                </a:graphic>
              </wp:anchor>
            </w:drawing>
          </mc:Choice>
          <mc:Fallback>
            <w:pict>
              <v:shape w14:anchorId="216F25FB" id="Textbox 58" o:spid="_x0000_s1047" type="#_x0000_t202" style="position:absolute;left:0;text-align:left;margin-left:397.25pt;margin-top:8.05pt;width:1.4pt;height:1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" filled="f" stroked="f">
                <v:textbox inset="0,0,0,0">
                  <w:txbxContent>
                    <w:p w14:paraId="0226AB48" w14:textId="77777777" w:rsidR="008715BE" w:rsidRDefault="00000000">
                      <w:pPr>
                        <w:spacing w:line="19" w:lineRule="exact"/>
                        <w:rPr>
                          <w:sz w:val="2"/>
                        </w:rPr>
                      </w:pPr>
                      <w:r>
                        <w:rPr>
                          <w:spacing w:val="-5"/>
                          <w:sz w:val="1"/>
                        </w:rPr>
                        <w:t>25F</w:t>
                      </w:r>
                    </w:p>
                  </w:txbxContent>
                </v:textbox>
                <w10:wrap anchorx="page"/>
              </v:shape>
            </w:pict>
          </mc:Fallback>
        </mc:AlternateContent>
      </w:r>
      <w:r w:rsidRPr="00EC75B7">
        <w:rPr>
          <w:rFonts w:ascii="Verdana" w:hAnsi="Verdana"/>
        </w:rPr>
        <w:t xml:space="preserve">There is only one ethnicity registered in the commune of Cerchezu: Romanian </w:t>
      </w:r>
      <w:r w:rsidRPr="00EC75B7">
        <w:rPr>
          <w:rFonts w:ascii="Verdana" w:hAnsi="Verdana"/>
          <w:spacing w:val="-5"/>
          <w:position w:val="6"/>
        </w:rPr>
        <w:t>4</w:t>
      </w:r>
      <w:r w:rsidRPr="00EC75B7">
        <w:rPr>
          <w:rFonts w:ascii="Verdana" w:hAnsi="Verdana"/>
          <w:spacing w:val="-5"/>
        </w:rPr>
        <w:t xml:space="preserve"> .</w:t>
      </w:r>
    </w:p>
    <w:p w14:paraId="640DA7EA" w14:textId="77777777" w:rsidR="008715BE" w:rsidRPr="00EC75B7" w:rsidRDefault="008715BE">
      <w:pPr>
        <w:pStyle w:val="BodyText"/>
        <w:spacing w:before="9"/>
        <w:rPr>
          <w:rFonts w:ascii="Verdana" w:hAnsi="Verdana"/>
        </w:rPr>
      </w:pPr>
    </w:p>
    <w:p w14:paraId="7AEF9F5C" w14:textId="77777777" w:rsidR="008715BE" w:rsidRPr="00EC75B7" w:rsidRDefault="00000000">
      <w:pPr>
        <w:ind w:left="765"/>
        <w:rPr>
          <w:rFonts w:ascii="Verdana" w:hAnsi="Verdana"/>
          <w:b/>
          <w:sz w:val="18"/>
          <w:szCs w:val="18"/>
        </w:rPr>
      </w:pPr>
      <w:r w:rsidRPr="00EC75B7">
        <w:rPr>
          <w:rFonts w:ascii="Verdana" w:hAnsi="Verdana"/>
          <w:b/>
          <w:color w:val="00AFEF"/>
          <w:spacing w:val="-2"/>
          <w:sz w:val="18"/>
          <w:szCs w:val="18"/>
        </w:rPr>
        <w:t>Religion</w:t>
      </w:r>
    </w:p>
    <w:p w14:paraId="55C18714" w14:textId="77777777" w:rsidR="008715BE" w:rsidRPr="00EC75B7" w:rsidRDefault="008715BE">
      <w:pPr>
        <w:pStyle w:val="BodyText"/>
        <w:spacing w:before="9"/>
        <w:rPr>
          <w:rFonts w:ascii="Verdana" w:hAnsi="Verdana"/>
          <w:b/>
        </w:rPr>
      </w:pPr>
    </w:p>
    <w:p w14:paraId="7C67F170" w14:textId="77777777" w:rsidR="008715BE" w:rsidRPr="00EC75B7" w:rsidRDefault="00000000">
      <w:pPr>
        <w:pStyle w:val="BodyText"/>
        <w:spacing w:line="360" w:lineRule="auto"/>
        <w:ind w:left="765" w:right="860"/>
        <w:jc w:val="both"/>
        <w:rPr>
          <w:rFonts w:ascii="Verdana" w:hAnsi="Verdana"/>
        </w:rPr>
      </w:pPr>
      <w:r w:rsidRPr="00EC75B7">
        <w:rPr>
          <w:rFonts w:ascii="Verdana" w:hAnsi="Verdana"/>
        </w:rPr>
        <w:t>In terms of religion, most of the inhabitants of Cerchezu commune are Orthodox Christians (90.84%), while 8.52% do not disclose their religious affiliation.</w:t>
      </w:r>
    </w:p>
    <w:p w14:paraId="3AA65A76" w14:textId="77777777" w:rsidR="008715BE" w:rsidRPr="00EC75B7" w:rsidRDefault="008715BE">
      <w:pPr>
        <w:pStyle w:val="BodyText"/>
        <w:spacing w:before="19"/>
        <w:rPr>
          <w:rFonts w:ascii="Verdana" w:hAnsi="Verdana"/>
        </w:rPr>
      </w:pPr>
    </w:p>
    <w:p w14:paraId="1AE9359D" w14:textId="77777777" w:rsidR="008715BE" w:rsidRPr="00EC75B7" w:rsidRDefault="00000000">
      <w:pPr>
        <w:pStyle w:val="Heading3"/>
        <w:numPr>
          <w:ilvl w:val="2"/>
          <w:numId w:val="110"/>
        </w:numPr>
        <w:tabs>
          <w:tab w:val="left" w:pos="2474"/>
        </w:tabs>
        <w:ind w:left="2474" w:hanging="715"/>
        <w:rPr>
          <w:rFonts w:ascii="Verdana" w:hAnsi="Verdana"/>
          <w:i/>
          <w:color w:val="00AFEF"/>
          <w:sz w:val="18"/>
          <w:szCs w:val="18"/>
        </w:rPr>
      </w:pPr>
      <w:bookmarkStart w:id="36" w:name="_bookmark36"/>
      <w:bookmarkEnd w:id="36"/>
      <w:r w:rsidRPr="00EC75B7">
        <w:rPr>
          <w:rFonts w:ascii="Verdana" w:hAnsi="Verdana"/>
          <w:color w:val="00AFEF"/>
          <w:spacing w:val="-2"/>
          <w:sz w:val="18"/>
          <w:szCs w:val="18"/>
        </w:rPr>
        <w:t>Health</w:t>
      </w:r>
    </w:p>
    <w:p w14:paraId="7FBA8C37" w14:textId="77777777" w:rsidR="008715BE" w:rsidRPr="00EC75B7" w:rsidRDefault="008715BE">
      <w:pPr>
        <w:pStyle w:val="BodyText"/>
        <w:spacing w:before="114"/>
        <w:rPr>
          <w:rFonts w:ascii="Verdana" w:hAnsi="Verdana"/>
          <w:b/>
        </w:rPr>
      </w:pPr>
    </w:p>
    <w:p w14:paraId="32A2256C" w14:textId="77777777" w:rsidR="008715BE" w:rsidRPr="00EC75B7" w:rsidRDefault="00000000">
      <w:pPr>
        <w:pStyle w:val="BodyText"/>
        <w:spacing w:line="357" w:lineRule="auto"/>
        <w:ind w:left="803" w:right="824" w:hanging="10"/>
        <w:jc w:val="both"/>
        <w:rPr>
          <w:rFonts w:ascii="Verdana" w:hAnsi="Verdana"/>
        </w:rPr>
      </w:pPr>
      <w:r w:rsidRPr="00EC75B7">
        <w:rPr>
          <w:rFonts w:ascii="Verdana" w:hAnsi="Verdana"/>
        </w:rPr>
        <w:t>The National Center for Monitoring Risks in the Community Environment, established by Order No. 2846/2002, has as its object of activity, among others, monitoring health in relation to the environment. Through its activities of monitoring and assessing the health status of the population and the prevalence of risk factors, it participates in prioritizing strategic public health objectives.</w:t>
      </w:r>
    </w:p>
    <w:p w14:paraId="55C5BA3F" w14:textId="50755ACE" w:rsidR="008715BE" w:rsidRPr="001B3BB8" w:rsidRDefault="00000000" w:rsidP="001B3BB8">
      <w:pPr>
        <w:pStyle w:val="BodyText"/>
        <w:spacing w:before="122" w:line="357" w:lineRule="auto"/>
        <w:ind w:left="803" w:right="838" w:hanging="10"/>
        <w:jc w:val="both"/>
        <w:rPr>
          <w:rFonts w:ascii="Verdana" w:hAnsi="Verdana"/>
        </w:rPr>
      </w:pPr>
      <w:r w:rsidRPr="00EC75B7">
        <w:rPr>
          <w:rFonts w:ascii="Verdana" w:hAnsi="Verdana"/>
        </w:rPr>
        <w:t>The National Program for Monitoring Determinants in the Living and Working Environment (</w:t>
      </w:r>
      <w:r w:rsidRPr="001B3BB8">
        <w:rPr>
          <w:rFonts w:ascii="Verdana" w:hAnsi="Verdana"/>
        </w:rPr>
        <w:t>hereinafter</w:t>
      </w:r>
      <w:r w:rsidR="001B3BB8" w:rsidRPr="001B3BB8">
        <w:rPr>
          <w:rFonts w:ascii="Verdana" w:hAnsi="Verdana"/>
        </w:rPr>
        <w:t xml:space="preserve">- </w:t>
      </w:r>
      <w:r w:rsidRPr="001B3BB8">
        <w:rPr>
          <w:rFonts w:ascii="Verdana" w:hAnsi="Verdana"/>
        </w:rPr>
        <w:t>PN V) is an organized set of activities and services established by law to protect public health by preventing diseases associated with risk factors in the living and working environment.</w:t>
      </w:r>
    </w:p>
    <w:p w14:paraId="1D86DED3" w14:textId="77777777" w:rsidR="008715BE" w:rsidRPr="00EC75B7" w:rsidRDefault="00000000">
      <w:pPr>
        <w:pStyle w:val="BodyText"/>
        <w:spacing w:before="122" w:line="357" w:lineRule="auto"/>
        <w:ind w:left="803" w:right="838" w:hanging="10"/>
        <w:jc w:val="both"/>
        <w:rPr>
          <w:rFonts w:ascii="Verdana" w:hAnsi="Verdana"/>
        </w:rPr>
      </w:pPr>
      <w:r w:rsidRPr="00EC75B7">
        <w:rPr>
          <w:rFonts w:ascii="Verdana" w:hAnsi="Verdana"/>
        </w:rPr>
        <w:t>Thus, for the area of health protection and prevention of diseases associated with risk factors in the living environment, six methodologies are defined, applied by the National Institute of Public Health and the territorial Public Health Directorates, of which the following are relevant for establishing the current state of the population and human health in relation to this project:</w:t>
      </w:r>
    </w:p>
    <w:p w14:paraId="47E7A0E9" w14:textId="0290E183" w:rsidR="008715BE" w:rsidRPr="001B3BB8" w:rsidRDefault="00000000" w:rsidP="001B3BB8">
      <w:pPr>
        <w:pStyle w:val="ListParagraph"/>
        <w:numPr>
          <w:ilvl w:val="1"/>
          <w:numId w:val="99"/>
        </w:numPr>
        <w:tabs>
          <w:tab w:val="left" w:pos="1485"/>
        </w:tabs>
        <w:spacing w:before="123" w:line="357" w:lineRule="auto"/>
        <w:ind w:right="837"/>
        <w:jc w:val="both"/>
        <w:rPr>
          <w:rFonts w:ascii="Verdana" w:hAnsi="Verdana"/>
          <w:sz w:val="18"/>
          <w:szCs w:val="18"/>
        </w:rPr>
      </w:pPr>
      <w:r w:rsidRPr="00EC75B7">
        <w:rPr>
          <w:rFonts w:ascii="Verdana" w:hAnsi="Verdana"/>
          <w:sz w:val="18"/>
          <w:szCs w:val="18"/>
        </w:rPr>
        <w:t>Protecting public health in relation to water hygiene through "Monitoring of drinking water distributed in a centralized system in large supply areas" with the aim of protecting public health by preventing diseases associated with risk factors in the living and working environment;</w:t>
      </w:r>
    </w:p>
    <w:p w14:paraId="073DFA0E" w14:textId="77777777" w:rsidR="001B3BB8" w:rsidRPr="00EC75B7" w:rsidRDefault="001B3BB8" w:rsidP="001B3BB8">
      <w:pPr>
        <w:pStyle w:val="ListParagraph"/>
        <w:numPr>
          <w:ilvl w:val="1"/>
          <w:numId w:val="99"/>
        </w:numPr>
        <w:tabs>
          <w:tab w:val="left" w:pos="1485"/>
        </w:tabs>
        <w:spacing w:before="1" w:line="357" w:lineRule="auto"/>
        <w:ind w:right="829"/>
        <w:jc w:val="both"/>
        <w:rPr>
          <w:rFonts w:ascii="Verdana" w:hAnsi="Verdana"/>
          <w:sz w:val="18"/>
          <w:szCs w:val="18"/>
        </w:rPr>
      </w:pPr>
      <w:r w:rsidRPr="00EC75B7">
        <w:rPr>
          <w:rFonts w:ascii="Verdana" w:hAnsi="Verdana"/>
          <w:sz w:val="18"/>
          <w:szCs w:val="18"/>
        </w:rPr>
        <w:t>Protecting public health in relation to air hygiene through the "Assessment of the health impact of pollutants in ambient air in urban areas" which, in order to protect health and prevent diseases associated with ambient air pollution by specific atmospheric pollutants, monitors the health status of the population in relation to air pollution.</w:t>
      </w:r>
    </w:p>
    <w:p w14:paraId="7B47201F" w14:textId="77777777" w:rsidR="001B3BB8" w:rsidRPr="001B3BB8" w:rsidRDefault="001B3BB8" w:rsidP="001B3BB8">
      <w:pPr>
        <w:pStyle w:val="ListParagraph"/>
        <w:numPr>
          <w:ilvl w:val="0"/>
          <w:numId w:val="99"/>
        </w:numPr>
        <w:rPr>
          <w:rFonts w:ascii="Verdana" w:hAnsi="Verdana"/>
          <w:sz w:val="18"/>
          <w:szCs w:val="18"/>
        </w:rPr>
      </w:pPr>
      <w:r w:rsidRPr="001B3BB8">
        <w:rPr>
          <w:rFonts w:ascii="Verdana" w:hAnsi="Verdana"/>
          <w:color w:val="797766"/>
          <w:position w:val="4"/>
          <w:sz w:val="18"/>
          <w:szCs w:val="18"/>
        </w:rPr>
        <w:t>4</w:t>
      </w:r>
      <w:hyperlink r:id="rId35">
        <w:r w:rsidRPr="001B3BB8">
          <w:rPr>
            <w:rFonts w:ascii="Verdana" w:hAnsi="Verdana"/>
            <w:color w:val="797766"/>
            <w:spacing w:val="-2"/>
            <w:sz w:val="18"/>
            <w:szCs w:val="18"/>
          </w:rPr>
          <w:t>https://galdobrogeasv.ro/legaturi-utile/</w:t>
        </w:r>
      </w:hyperlink>
    </w:p>
    <w:p w14:paraId="4A432E1A" w14:textId="77777777" w:rsidR="001B3BB8" w:rsidRDefault="001B3BB8">
      <w:pPr>
        <w:pStyle w:val="BodyText"/>
        <w:spacing w:before="103"/>
        <w:rPr>
          <w:rFonts w:ascii="Verdana" w:hAnsi="Verdana"/>
        </w:rPr>
      </w:pPr>
    </w:p>
    <w:p w14:paraId="252B2F7B" w14:textId="418697CE" w:rsidR="001B3BB8" w:rsidRDefault="001B3BB8" w:rsidP="001B3BB8">
      <w:pPr>
        <w:pStyle w:val="BodyText"/>
        <w:tabs>
          <w:tab w:val="left" w:pos="4620"/>
        </w:tabs>
        <w:spacing w:line="360" w:lineRule="auto"/>
        <w:ind w:left="720" w:right="814"/>
        <w:jc w:val="both"/>
        <w:rPr>
          <w:rFonts w:ascii="Verdana" w:hAnsi="Verdana"/>
        </w:rPr>
      </w:pPr>
      <w:r w:rsidRPr="001B3BB8">
        <w:rPr>
          <w:rFonts w:ascii="Verdana" w:hAnsi="Verdana"/>
        </w:rPr>
        <w:t>Human health can also be affected by poor environmental quality. With regard to the effects of environmental pollution on the health of the population, the following should be noted:</w:t>
      </w:r>
    </w:p>
    <w:p w14:paraId="73E075A2" w14:textId="0AF69F96" w:rsidR="001B3BB8" w:rsidRPr="001B3BB8" w:rsidRDefault="001B3BB8" w:rsidP="001B3BB8">
      <w:pPr>
        <w:pStyle w:val="BodyText"/>
        <w:spacing w:line="360" w:lineRule="auto"/>
        <w:ind w:left="720" w:right="814"/>
        <w:jc w:val="both"/>
        <w:rPr>
          <w:rFonts w:ascii="Verdana" w:hAnsi="Verdana"/>
        </w:rPr>
      </w:pPr>
      <w:r>
        <w:rPr>
          <w:rFonts w:ascii="Verdana" w:hAnsi="Verdana"/>
        </w:rPr>
        <w:tab/>
      </w:r>
      <w:r w:rsidRPr="001B3BB8">
        <w:rPr>
          <w:rFonts w:ascii="Verdana" w:hAnsi="Verdana"/>
        </w:rPr>
        <w:t>•</w:t>
      </w:r>
      <w:r>
        <w:rPr>
          <w:rFonts w:ascii="Verdana" w:hAnsi="Verdana"/>
        </w:rPr>
        <w:t xml:space="preserve"> </w:t>
      </w:r>
      <w:r w:rsidRPr="001B3BB8">
        <w:rPr>
          <w:rFonts w:ascii="Verdana" w:hAnsi="Verdana"/>
        </w:rPr>
        <w:t>The effects of air quality on human health</w:t>
      </w:r>
    </w:p>
    <w:p w14:paraId="050DB494" w14:textId="77777777" w:rsidR="001B3BB8" w:rsidRPr="001B3BB8" w:rsidRDefault="001B3BB8" w:rsidP="001B3BB8">
      <w:pPr>
        <w:pStyle w:val="BodyText"/>
        <w:tabs>
          <w:tab w:val="left" w:pos="4620"/>
        </w:tabs>
        <w:spacing w:line="360" w:lineRule="auto"/>
        <w:ind w:left="720" w:right="814"/>
        <w:jc w:val="both"/>
        <w:rPr>
          <w:rFonts w:ascii="Verdana" w:hAnsi="Verdana"/>
        </w:rPr>
      </w:pPr>
      <w:r w:rsidRPr="001B3BB8">
        <w:rPr>
          <w:rFonts w:ascii="Verdana" w:hAnsi="Verdana"/>
        </w:rPr>
        <w:t>Atmospheric air quality can influence specific health indicators. Monitoring the evolution of these indicators can give us an insight into the impact of atmospheric pollution on the health of the population.</w:t>
      </w:r>
    </w:p>
    <w:p w14:paraId="79D53474" w14:textId="77777777" w:rsidR="001B3BB8" w:rsidRPr="001B3BB8" w:rsidRDefault="001B3BB8" w:rsidP="001B3BB8">
      <w:pPr>
        <w:pStyle w:val="BodyText"/>
        <w:tabs>
          <w:tab w:val="left" w:pos="4620"/>
        </w:tabs>
        <w:spacing w:line="360" w:lineRule="auto"/>
        <w:ind w:left="720" w:right="814"/>
        <w:jc w:val="both"/>
        <w:rPr>
          <w:rFonts w:ascii="Verdana" w:hAnsi="Verdana"/>
        </w:rPr>
      </w:pPr>
      <w:r w:rsidRPr="001B3BB8">
        <w:rPr>
          <w:rFonts w:ascii="Verdana" w:hAnsi="Verdana"/>
        </w:rPr>
        <w:t>Air pollution, in the form of fine particulate matter (PM2.5) and exposure to ozone, contributed, according to estimates 5, to 7% of all deaths in 2019 (over 17,000 deaths) – a much higher proportion than the EU average (4%). In most cases, air pollution contributes to deaths from cardiovascular and respiratory diseases and certain types of cancer.</w:t>
      </w:r>
    </w:p>
    <w:p w14:paraId="2BE8544C" w14:textId="1B0F412E" w:rsidR="001B3BB8" w:rsidRPr="001B3BB8" w:rsidRDefault="001B3BB8" w:rsidP="001B3BB8">
      <w:pPr>
        <w:pStyle w:val="BodyText"/>
        <w:tabs>
          <w:tab w:val="left" w:pos="4620"/>
        </w:tabs>
        <w:spacing w:line="360" w:lineRule="auto"/>
        <w:ind w:left="720" w:right="814"/>
        <w:jc w:val="both"/>
        <w:rPr>
          <w:rFonts w:ascii="Verdana" w:hAnsi="Verdana"/>
        </w:rPr>
      </w:pPr>
      <w:r w:rsidRPr="001B3BB8">
        <w:rPr>
          <w:rFonts w:ascii="Verdana" w:hAnsi="Verdana"/>
        </w:rPr>
        <w:t>Some of the most harmful air pollutants to human health are PM10 and PM2.5.</w:t>
      </w:r>
    </w:p>
    <w:p w14:paraId="60D081D9" w14:textId="1376C8AF" w:rsidR="001B3BB8" w:rsidRDefault="001B3BB8" w:rsidP="001B3BB8">
      <w:pPr>
        <w:pStyle w:val="BodyText"/>
        <w:tabs>
          <w:tab w:val="left" w:pos="4620"/>
        </w:tabs>
        <w:spacing w:line="360" w:lineRule="auto"/>
        <w:ind w:left="720" w:right="814"/>
        <w:jc w:val="both"/>
        <w:rPr>
          <w:rFonts w:ascii="Verdana" w:hAnsi="Verdana"/>
        </w:rPr>
      </w:pPr>
      <w:r w:rsidRPr="00EC75B7">
        <w:rPr>
          <w:rFonts w:ascii="Verdana" w:hAnsi="Verdana"/>
          <w:noProof/>
        </w:rPr>
        <w:drawing>
          <wp:anchor distT="0" distB="0" distL="0" distR="0" simplePos="0" relativeHeight="251844608" behindDoc="1" locked="0" layoutInCell="1" allowOverlap="1" wp14:anchorId="02FFC3B1" wp14:editId="6ECCF4BC">
            <wp:simplePos x="0" y="0"/>
            <wp:positionH relativeFrom="page">
              <wp:posOffset>1403350</wp:posOffset>
            </wp:positionH>
            <wp:positionV relativeFrom="paragraph">
              <wp:posOffset>941070</wp:posOffset>
            </wp:positionV>
            <wp:extent cx="4288155" cy="1781175"/>
            <wp:effectExtent l="0" t="0" r="0" b="9525"/>
            <wp:wrapTopAndBottom/>
            <wp:docPr id="60" name="Image 60" descr="P1457#yIS1"/>
            <wp:cNvGraphicFramePr/>
            <a:graphic xmlns:a="http://schemas.openxmlformats.org/drawingml/2006/main">
              <a:graphicData uri="http://schemas.openxmlformats.org/drawingml/2006/picture">
                <pic:pic xmlns:pic="http://schemas.openxmlformats.org/drawingml/2006/picture">
                  <pic:nvPicPr>
                    <pic:cNvPr id="60" name="Image 60" descr="P1457#yIS1"/>
                    <pic:cNvPicPr/>
                  </pic:nvPicPr>
                  <pic:blipFill>
                    <a:blip r:embed="rId36" cstate="print"/>
                    <a:stretch>
                      <a:fillRect/>
                    </a:stretch>
                  </pic:blipFill>
                  <pic:spPr>
                    <a:xfrm>
                      <a:off x="0" y="0"/>
                      <a:ext cx="4288155" cy="1781175"/>
                    </a:xfrm>
                    <a:prstGeom prst="rect">
                      <a:avLst/>
                    </a:prstGeom>
                  </pic:spPr>
                </pic:pic>
              </a:graphicData>
            </a:graphic>
            <wp14:sizeRelH relativeFrom="margin">
              <wp14:pctWidth>0</wp14:pctWidth>
            </wp14:sizeRelH>
            <wp14:sizeRelV relativeFrom="margin">
              <wp14:pctHeight>0</wp14:pctHeight>
            </wp14:sizeRelV>
          </wp:anchor>
        </w:drawing>
      </w:r>
      <w:r w:rsidRPr="001B3BB8">
        <w:rPr>
          <w:rFonts w:ascii="Verdana" w:hAnsi="Verdana"/>
        </w:rPr>
        <w:t>National emissions of PM10 and PM2.5, reported at European level, showed a downward trend from 2012 to 2017, followed by an upward trend. According to European data, the average annual exposure of the population to PM10 and PM2.5 air pollution in 2012-2019 showed a downward trend for PM10 emissions and a slight upward trend for PM2.5 emissions:</w:t>
      </w:r>
    </w:p>
    <w:p w14:paraId="269DD411" w14:textId="6DAD4CE2" w:rsidR="001B3BB8" w:rsidRDefault="001B3BB8" w:rsidP="001B3BB8">
      <w:pPr>
        <w:pStyle w:val="BodyText"/>
        <w:tabs>
          <w:tab w:val="left" w:pos="4620"/>
        </w:tabs>
        <w:spacing w:line="360" w:lineRule="auto"/>
        <w:ind w:left="720" w:right="814"/>
        <w:jc w:val="both"/>
        <w:rPr>
          <w:rFonts w:ascii="Verdana" w:hAnsi="Verdana"/>
        </w:rPr>
      </w:pPr>
    </w:p>
    <w:p w14:paraId="792D098A" w14:textId="30D54EB7" w:rsidR="001B3BB8" w:rsidRPr="00EC75B7" w:rsidRDefault="001B3BB8" w:rsidP="001B3BB8">
      <w:pPr>
        <w:spacing w:before="1"/>
        <w:ind w:right="36"/>
        <w:jc w:val="center"/>
        <w:rPr>
          <w:rFonts w:ascii="Verdana" w:hAnsi="Verdana"/>
          <w:i/>
          <w:sz w:val="18"/>
          <w:szCs w:val="18"/>
        </w:rPr>
      </w:pPr>
      <w:r w:rsidRPr="00EC75B7">
        <w:rPr>
          <w:rFonts w:ascii="Verdana" w:hAnsi="Verdana"/>
          <w:i/>
          <w:color w:val="00AFEF"/>
          <w:sz w:val="18"/>
          <w:szCs w:val="18"/>
        </w:rPr>
        <w:t xml:space="preserve">Source: Processing based on ECHI Data Tool data </w:t>
      </w:r>
      <w:hyperlink r:id="rId37">
        <w:r w:rsidRPr="00EC75B7">
          <w:rPr>
            <w:rFonts w:ascii="Verdana" w:hAnsi="Verdana"/>
            <w:i/>
            <w:color w:val="00AFEF"/>
            <w:spacing w:val="-2"/>
            <w:sz w:val="18"/>
            <w:szCs w:val="18"/>
          </w:rPr>
          <w:t>(</w:t>
        </w:r>
        <w:r w:rsidRPr="00EC75B7">
          <w:rPr>
            <w:rFonts w:ascii="Verdana" w:hAnsi="Verdana"/>
            <w:color w:val="00AFEF"/>
            <w:spacing w:val="-2"/>
            <w:sz w:val="18"/>
            <w:szCs w:val="18"/>
          </w:rPr>
          <w:t>https://webgate.ec.europa.eu/dyna/echi/?indlist=10a</w:t>
        </w:r>
        <w:r w:rsidRPr="00EC75B7">
          <w:rPr>
            <w:rFonts w:ascii="Verdana" w:hAnsi="Verdana"/>
            <w:i/>
            <w:color w:val="00AFEF"/>
            <w:spacing w:val="-2"/>
            <w:sz w:val="18"/>
            <w:szCs w:val="18"/>
          </w:rPr>
          <w:t>)</w:t>
        </w:r>
      </w:hyperlink>
    </w:p>
    <w:p w14:paraId="4FD3FEA6" w14:textId="77777777" w:rsidR="001B3BB8" w:rsidRPr="00EC75B7" w:rsidRDefault="001B3BB8" w:rsidP="001B3BB8">
      <w:pPr>
        <w:spacing w:before="2" w:line="195" w:lineRule="exact"/>
        <w:ind w:left="747" w:right="839"/>
        <w:jc w:val="center"/>
        <w:rPr>
          <w:rFonts w:ascii="Verdana" w:hAnsi="Verdana"/>
          <w:b/>
          <w:sz w:val="18"/>
          <w:szCs w:val="18"/>
        </w:rPr>
      </w:pPr>
      <w:r w:rsidRPr="00EC75B7">
        <w:rPr>
          <w:rFonts w:ascii="Verdana" w:hAnsi="Verdana"/>
          <w:b/>
          <w:color w:val="009DEF"/>
          <w:sz w:val="18"/>
          <w:szCs w:val="18"/>
        </w:rPr>
        <w:t xml:space="preserve">Figure 8 National trend in average annual exposure to PM10 and PM2.5 pollution </w:t>
      </w:r>
      <w:r w:rsidRPr="00EC75B7">
        <w:rPr>
          <w:rFonts w:ascii="Verdana" w:hAnsi="Verdana"/>
          <w:b/>
          <w:color w:val="009DEF"/>
          <w:spacing w:val="-2"/>
          <w:sz w:val="18"/>
          <w:szCs w:val="18"/>
        </w:rPr>
        <w:t>between</w:t>
      </w:r>
    </w:p>
    <w:p w14:paraId="12DD088A" w14:textId="77777777" w:rsidR="001B3BB8" w:rsidRPr="00EC75B7" w:rsidRDefault="001B3BB8" w:rsidP="001B3BB8">
      <w:pPr>
        <w:spacing w:line="195" w:lineRule="exact"/>
        <w:ind w:right="82"/>
        <w:jc w:val="center"/>
        <w:rPr>
          <w:rFonts w:ascii="Verdana" w:hAnsi="Verdana"/>
          <w:b/>
          <w:sz w:val="18"/>
          <w:szCs w:val="18"/>
        </w:rPr>
      </w:pPr>
      <w:r w:rsidRPr="00EC75B7">
        <w:rPr>
          <w:rFonts w:ascii="Verdana" w:hAnsi="Verdana"/>
          <w:b/>
          <w:color w:val="009DEF"/>
          <w:spacing w:val="-4"/>
          <w:sz w:val="18"/>
          <w:szCs w:val="18"/>
        </w:rPr>
        <w:t>2012-2021</w:t>
      </w:r>
    </w:p>
    <w:p w14:paraId="449D4EA1" w14:textId="08B38855" w:rsidR="001B3BB8" w:rsidRPr="00EC75B7" w:rsidRDefault="001B3BB8" w:rsidP="001B3BB8">
      <w:pPr>
        <w:pStyle w:val="BodyText"/>
        <w:spacing w:before="43"/>
        <w:rPr>
          <w:rFonts w:ascii="Verdana" w:hAnsi="Verdana"/>
          <w:b/>
        </w:rPr>
      </w:pPr>
    </w:p>
    <w:p w14:paraId="61DE4EAD" w14:textId="6E7FF939" w:rsidR="001B3BB8" w:rsidRPr="00EC75B7" w:rsidRDefault="001B3BB8" w:rsidP="001B3BB8">
      <w:pPr>
        <w:pStyle w:val="BodyText"/>
        <w:spacing w:before="1" w:line="357" w:lineRule="auto"/>
        <w:ind w:left="765" w:right="860"/>
        <w:jc w:val="both"/>
        <w:rPr>
          <w:rFonts w:ascii="Verdana" w:hAnsi="Verdana"/>
        </w:rPr>
      </w:pPr>
      <w:r w:rsidRPr="00EC75B7">
        <w:rPr>
          <w:rFonts w:ascii="Verdana" w:hAnsi="Verdana"/>
        </w:rPr>
        <w:t>The results recorded at national air quality monitoring stations have shown that air pollution is higher in urban areas than in rural areas. The population living in large urban agglomerations, but also near roads and industrial centers, is more exposed to pollution.</w:t>
      </w:r>
    </w:p>
    <w:p w14:paraId="67755E79" w14:textId="17AFB9B5" w:rsidR="001B3BB8" w:rsidRPr="001B3BB8" w:rsidRDefault="001B3BB8" w:rsidP="001B3BB8">
      <w:pPr>
        <w:pStyle w:val="BodyText"/>
        <w:spacing w:before="121" w:line="355" w:lineRule="auto"/>
        <w:ind w:left="765" w:right="846"/>
        <w:jc w:val="both"/>
        <w:rPr>
          <w:rFonts w:ascii="Verdana" w:hAnsi="Verdana"/>
        </w:rPr>
      </w:pPr>
      <w:r w:rsidRPr="00EC75B7">
        <w:rPr>
          <w:rFonts w:ascii="Verdana" w:hAnsi="Verdana"/>
          <w:position w:val="2"/>
        </w:rPr>
        <w:t xml:space="preserve">In Constanța County, a single station monitors the </w:t>
      </w:r>
      <w:r w:rsidRPr="00EC75B7">
        <w:rPr>
          <w:rFonts w:ascii="Verdana" w:hAnsi="Verdana"/>
        </w:rPr>
        <w:t xml:space="preserve">PM2.5 </w:t>
      </w:r>
      <w:r w:rsidRPr="00EC75B7">
        <w:rPr>
          <w:rFonts w:ascii="Verdana" w:hAnsi="Verdana"/>
          <w:position w:val="2"/>
        </w:rPr>
        <w:t xml:space="preserve">fraction of suspended particulate matter, CT2 – an </w:t>
      </w:r>
      <w:r w:rsidRPr="00EC75B7">
        <w:rPr>
          <w:rFonts w:ascii="Verdana" w:hAnsi="Verdana"/>
        </w:rPr>
        <w:t xml:space="preserve">urban background </w:t>
      </w:r>
      <w:r w:rsidRPr="00EC75B7">
        <w:rPr>
          <w:rFonts w:ascii="Verdana" w:hAnsi="Verdana"/>
          <w:position w:val="2"/>
        </w:rPr>
        <w:t xml:space="preserve">station </w:t>
      </w:r>
      <w:r w:rsidRPr="00EC75B7">
        <w:rPr>
          <w:rFonts w:ascii="Verdana" w:hAnsi="Verdana"/>
        </w:rPr>
        <w:t>located in the town hall park area.</w:t>
      </w:r>
      <w:r w:rsidRPr="00EC75B7">
        <w:rPr>
          <w:rFonts w:ascii="Verdana" w:hAnsi="Verdana"/>
          <w:spacing w:val="40"/>
        </w:rPr>
        <w:t xml:space="preserve"> </w:t>
      </w:r>
      <w:r w:rsidRPr="00EC75B7">
        <w:rPr>
          <w:rFonts w:ascii="Verdana" w:hAnsi="Verdana"/>
        </w:rPr>
        <w:t>Recordings made in accordance with current regulations showed an upward trend between 2017 and 2019, followed by a decline until 2024. The values recorded</w:t>
      </w:r>
      <w:r w:rsidRPr="001B3BB8">
        <w:t xml:space="preserve"> </w:t>
      </w:r>
      <w:r w:rsidRPr="001B3BB8">
        <w:rPr>
          <w:rFonts w:ascii="Verdana" w:hAnsi="Verdana"/>
        </w:rPr>
        <w:t>were around 12 µg/m3, which is below the limit value, with no exceedances recorded during the analysis period.</w:t>
      </w:r>
    </w:p>
    <w:p w14:paraId="1CB6385A" w14:textId="77777777" w:rsidR="001B3BB8" w:rsidRPr="001B3BB8" w:rsidRDefault="001B3BB8" w:rsidP="001B3BB8">
      <w:pPr>
        <w:pStyle w:val="BodyText"/>
        <w:spacing w:before="121" w:line="355" w:lineRule="auto"/>
        <w:ind w:left="765" w:right="846"/>
        <w:jc w:val="both"/>
        <w:rPr>
          <w:rFonts w:ascii="Verdana" w:hAnsi="Verdana"/>
        </w:rPr>
      </w:pPr>
      <w:r w:rsidRPr="001B3BB8">
        <w:rPr>
          <w:rFonts w:ascii="Verdana" w:hAnsi="Verdana"/>
        </w:rPr>
        <w:t>In the commune of Cerchezu, the most significant source of air pollution is currently transport (road traffic), but even this is insignificant given that the commune has only one county road and three communal roads. The main pollutants from transport that affect human health are: particulate matter (PM10 and PM2.5), COx, NOx, SOx, volatile organic compounds, heavy metals, benzene, and other unburned hydrocarbons.</w:t>
      </w:r>
    </w:p>
    <w:p w14:paraId="159C99DB" w14:textId="77777777" w:rsidR="001B3BB8" w:rsidRPr="001B3BB8" w:rsidRDefault="001B3BB8" w:rsidP="001B3BB8">
      <w:pPr>
        <w:pStyle w:val="BodyText"/>
        <w:spacing w:before="121" w:line="355" w:lineRule="auto"/>
        <w:ind w:left="765" w:right="846"/>
        <w:jc w:val="both"/>
        <w:rPr>
          <w:rFonts w:ascii="Verdana" w:hAnsi="Verdana"/>
        </w:rPr>
      </w:pPr>
      <w:r w:rsidRPr="001B3BB8">
        <w:rPr>
          <w:rFonts w:ascii="Verdana" w:hAnsi="Verdana"/>
        </w:rPr>
        <w:t>In Romania, there are no statistics on the number of cases of respiratory or cardiovascular diseases caused by the transport sector or air pollution.</w:t>
      </w:r>
    </w:p>
    <w:p w14:paraId="324D6425" w14:textId="33BA39D2" w:rsidR="008715BE" w:rsidRPr="00EC75B7" w:rsidRDefault="001B3BB8" w:rsidP="005F35E4">
      <w:pPr>
        <w:pStyle w:val="BodyText"/>
        <w:spacing w:before="121" w:line="355" w:lineRule="auto"/>
        <w:ind w:left="765" w:right="846"/>
        <w:jc w:val="both"/>
        <w:rPr>
          <w:rFonts w:ascii="Verdana" w:hAnsi="Verdana"/>
        </w:rPr>
      </w:pPr>
      <w:r w:rsidRPr="001B3BB8">
        <w:rPr>
          <w:rFonts w:ascii="Verdana" w:hAnsi="Verdana"/>
        </w:rPr>
        <w:t xml:space="preserve">Mortality caused by respiratory diseases and cardiovascular diseases accounts for a significant percentage of overall mortality at the national level, with a higher proportion in urban areas compared to rural areas, </w:t>
      </w:r>
      <w:r w:rsidRPr="001B3BB8">
        <w:rPr>
          <w:rFonts w:ascii="Verdana" w:hAnsi="Verdana"/>
        </w:rPr>
        <w:lastRenderedPageBreak/>
        <w:t>due to the fact that urban areas are much more polluted.</w:t>
      </w:r>
    </w:p>
    <w:p w14:paraId="2BF243CF" w14:textId="77777777" w:rsidR="005F35E4" w:rsidRDefault="005F35E4" w:rsidP="005F35E4">
      <w:pPr>
        <w:pStyle w:val="BodyText"/>
        <w:spacing w:before="118"/>
        <w:ind w:left="765"/>
        <w:jc w:val="both"/>
        <w:rPr>
          <w:rFonts w:ascii="Verdana" w:hAnsi="Verdana"/>
          <w:spacing w:val="-2"/>
        </w:rPr>
      </w:pPr>
      <w:r w:rsidRPr="00EC75B7">
        <w:rPr>
          <w:rFonts w:ascii="Verdana" w:hAnsi="Verdana"/>
          <w:noProof/>
        </w:rPr>
        <mc:AlternateContent>
          <mc:Choice Requires="wpg">
            <w:drawing>
              <wp:anchor distT="0" distB="0" distL="0" distR="0" simplePos="0" relativeHeight="251846656" behindDoc="1" locked="0" layoutInCell="1" allowOverlap="1" wp14:anchorId="0820354B" wp14:editId="56A93099">
                <wp:simplePos x="0" y="0"/>
                <wp:positionH relativeFrom="page">
                  <wp:posOffset>1702435</wp:posOffset>
                </wp:positionH>
                <wp:positionV relativeFrom="paragraph">
                  <wp:posOffset>341630</wp:posOffset>
                </wp:positionV>
                <wp:extent cx="3877945" cy="2362200"/>
                <wp:effectExtent l="0" t="0" r="8255" b="19050"/>
                <wp:wrapTopAndBottom/>
                <wp:docPr id="1628126281" name="Group 1628126281"/>
                <wp:cNvGraphicFramePr/>
                <a:graphic xmlns:a="http://schemas.openxmlformats.org/drawingml/2006/main">
                  <a:graphicData uri="http://schemas.microsoft.com/office/word/2010/wordprocessingGroup">
                    <wpg:wgp>
                      <wpg:cNvGrpSpPr/>
                      <wpg:grpSpPr>
                        <a:xfrm>
                          <a:off x="0" y="0"/>
                          <a:ext cx="3877945" cy="2362200"/>
                          <a:chOff x="0" y="0"/>
                          <a:chExt cx="4270375" cy="2545715"/>
                        </a:xfrm>
                      </wpg:grpSpPr>
                      <wps:wsp>
                        <wps:cNvPr id="1116759388" name="Graphic 62"/>
                        <wps:cNvSpPr/>
                        <wps:spPr>
                          <a:xfrm>
                            <a:off x="2840672" y="213677"/>
                            <a:ext cx="847725" cy="584835"/>
                          </a:xfrm>
                          <a:custGeom>
                            <a:avLst/>
                            <a:gdLst/>
                            <a:ahLst/>
                            <a:cxnLst/>
                            <a:rect l="l" t="t" r="r" b="b"/>
                            <a:pathLst>
                              <a:path w="847725" h="584835">
                                <a:moveTo>
                                  <a:pt x="0" y="0"/>
                                </a:moveTo>
                                <a:lnTo>
                                  <a:pt x="0" y="262889"/>
                                </a:lnTo>
                                <a:lnTo>
                                  <a:pt x="49992" y="264472"/>
                                </a:lnTo>
                                <a:lnTo>
                                  <a:pt x="99454" y="269177"/>
                                </a:lnTo>
                                <a:lnTo>
                                  <a:pt x="148256" y="276938"/>
                                </a:lnTo>
                                <a:lnTo>
                                  <a:pt x="196271" y="287691"/>
                                </a:lnTo>
                                <a:lnTo>
                                  <a:pt x="243369" y="301371"/>
                                </a:lnTo>
                                <a:lnTo>
                                  <a:pt x="289423" y="317912"/>
                                </a:lnTo>
                                <a:lnTo>
                                  <a:pt x="334305" y="337250"/>
                                </a:lnTo>
                                <a:lnTo>
                                  <a:pt x="377886" y="359320"/>
                                </a:lnTo>
                                <a:lnTo>
                                  <a:pt x="420038" y="384057"/>
                                </a:lnTo>
                                <a:lnTo>
                                  <a:pt x="460633" y="411395"/>
                                </a:lnTo>
                                <a:lnTo>
                                  <a:pt x="499543" y="441270"/>
                                </a:lnTo>
                                <a:lnTo>
                                  <a:pt x="536639" y="473616"/>
                                </a:lnTo>
                                <a:lnTo>
                                  <a:pt x="571792" y="508369"/>
                                </a:lnTo>
                                <a:lnTo>
                                  <a:pt x="604876" y="545463"/>
                                </a:lnTo>
                                <a:lnTo>
                                  <a:pt x="635762" y="584834"/>
                                </a:lnTo>
                                <a:lnTo>
                                  <a:pt x="847598" y="429259"/>
                                </a:lnTo>
                                <a:lnTo>
                                  <a:pt x="817017" y="389613"/>
                                </a:lnTo>
                                <a:lnTo>
                                  <a:pt x="784760" y="351661"/>
                                </a:lnTo>
                                <a:lnTo>
                                  <a:pt x="750900" y="315439"/>
                                </a:lnTo>
                                <a:lnTo>
                                  <a:pt x="715507" y="280984"/>
                                </a:lnTo>
                                <a:lnTo>
                                  <a:pt x="678656" y="248334"/>
                                </a:lnTo>
                                <a:lnTo>
                                  <a:pt x="640417" y="217524"/>
                                </a:lnTo>
                                <a:lnTo>
                                  <a:pt x="600864" y="188592"/>
                                </a:lnTo>
                                <a:lnTo>
                                  <a:pt x="560070" y="161574"/>
                                </a:lnTo>
                                <a:lnTo>
                                  <a:pt x="518105" y="136506"/>
                                </a:lnTo>
                                <a:lnTo>
                                  <a:pt x="475043" y="113426"/>
                                </a:lnTo>
                                <a:lnTo>
                                  <a:pt x="430956" y="92370"/>
                                </a:lnTo>
                                <a:lnTo>
                                  <a:pt x="385917" y="73375"/>
                                </a:lnTo>
                                <a:lnTo>
                                  <a:pt x="339998" y="56477"/>
                                </a:lnTo>
                                <a:lnTo>
                                  <a:pt x="293270" y="41713"/>
                                </a:lnTo>
                                <a:lnTo>
                                  <a:pt x="245808" y="29120"/>
                                </a:lnTo>
                                <a:lnTo>
                                  <a:pt x="197683" y="18735"/>
                                </a:lnTo>
                                <a:lnTo>
                                  <a:pt x="148967" y="10593"/>
                                </a:lnTo>
                                <a:lnTo>
                                  <a:pt x="99733" y="4732"/>
                                </a:lnTo>
                                <a:lnTo>
                                  <a:pt x="50053" y="1189"/>
                                </a:lnTo>
                                <a:lnTo>
                                  <a:pt x="0" y="0"/>
                                </a:lnTo>
                                <a:close/>
                              </a:path>
                            </a:pathLst>
                          </a:custGeom>
                          <a:solidFill>
                            <a:srgbClr val="04316D"/>
                          </a:solidFill>
                        </wps:spPr>
                        <wps:bodyPr wrap="square" lIns="0" tIns="0" rIns="0" bIns="0" rtlCol="0">
                          <a:prstTxWarp prst="textNoShape">
                            <a:avLst/>
                          </a:prstTxWarp>
                        </wps:bodyPr>
                      </wps:wsp>
                      <pic:pic xmlns:pic="http://schemas.openxmlformats.org/drawingml/2006/picture">
                        <pic:nvPicPr>
                          <pic:cNvPr id="1190328270" name="Image 63"/>
                          <pic:cNvPicPr/>
                        </pic:nvPicPr>
                        <pic:blipFill>
                          <a:blip r:embed="rId38" cstate="print"/>
                          <a:stretch>
                            <a:fillRect/>
                          </a:stretch>
                        </pic:blipFill>
                        <pic:spPr>
                          <a:xfrm>
                            <a:off x="3487991" y="652970"/>
                            <a:ext cx="241300" cy="187325"/>
                          </a:xfrm>
                          <a:prstGeom prst="rect">
                            <a:avLst/>
                          </a:prstGeom>
                        </pic:spPr>
                      </pic:pic>
                      <wps:wsp>
                        <wps:cNvPr id="844205164" name="Graphic 64"/>
                        <wps:cNvSpPr/>
                        <wps:spPr>
                          <a:xfrm>
                            <a:off x="3487991" y="652970"/>
                            <a:ext cx="241300" cy="187325"/>
                          </a:xfrm>
                          <a:custGeom>
                            <a:avLst/>
                            <a:gdLst/>
                            <a:ahLst/>
                            <a:cxnLst/>
                            <a:rect l="l" t="t" r="r" b="b"/>
                            <a:pathLst>
                              <a:path w="241300" h="187325">
                                <a:moveTo>
                                  <a:pt x="211962" y="0"/>
                                </a:moveTo>
                                <a:lnTo>
                                  <a:pt x="219511" y="10429"/>
                                </a:lnTo>
                                <a:lnTo>
                                  <a:pt x="226917" y="20954"/>
                                </a:lnTo>
                                <a:lnTo>
                                  <a:pt x="234180" y="31575"/>
                                </a:lnTo>
                                <a:lnTo>
                                  <a:pt x="241300" y="42290"/>
                                </a:lnTo>
                                <a:lnTo>
                                  <a:pt x="22098" y="187325"/>
                                </a:lnTo>
                                <a:lnTo>
                                  <a:pt x="16716" y="179274"/>
                                </a:lnTo>
                                <a:lnTo>
                                  <a:pt x="11239" y="171307"/>
                                </a:lnTo>
                                <a:lnTo>
                                  <a:pt x="5667" y="163411"/>
                                </a:lnTo>
                                <a:lnTo>
                                  <a:pt x="0" y="155575"/>
                                </a:lnTo>
                                <a:lnTo>
                                  <a:pt x="211962" y="0"/>
                                </a:lnTo>
                                <a:close/>
                              </a:path>
                            </a:pathLst>
                          </a:custGeom>
                          <a:ln w="19050">
                            <a:solidFill>
                              <a:srgbClr val="FFFFFF"/>
                            </a:solidFill>
                            <a:prstDash val="solid"/>
                          </a:ln>
                        </wps:spPr>
                        <wps:bodyPr wrap="square" lIns="0" tIns="0" rIns="0" bIns="0" rtlCol="0">
                          <a:prstTxWarp prst="textNoShape">
                            <a:avLst/>
                          </a:prstTxWarp>
                        </wps:bodyPr>
                      </wps:wsp>
                      <wps:wsp>
                        <wps:cNvPr id="1539995928" name="Graphic 65"/>
                        <wps:cNvSpPr/>
                        <wps:spPr>
                          <a:xfrm>
                            <a:off x="2280475" y="735393"/>
                            <a:ext cx="1620520" cy="1631950"/>
                          </a:xfrm>
                          <a:custGeom>
                            <a:avLst/>
                            <a:gdLst/>
                            <a:ahLst/>
                            <a:cxnLst/>
                            <a:rect l="l" t="t" r="r" b="b"/>
                            <a:pathLst>
                              <a:path w="1620520" h="1631950">
                                <a:moveTo>
                                  <a:pt x="1445387" y="0"/>
                                </a:moveTo>
                                <a:lnTo>
                                  <a:pt x="1226185" y="145034"/>
                                </a:lnTo>
                                <a:lnTo>
                                  <a:pt x="1251983" y="186802"/>
                                </a:lnTo>
                                <a:lnTo>
                                  <a:pt x="1274953" y="229723"/>
                                </a:lnTo>
                                <a:lnTo>
                                  <a:pt x="1295096" y="273662"/>
                                </a:lnTo>
                                <a:lnTo>
                                  <a:pt x="1312409" y="318487"/>
                                </a:lnTo>
                                <a:lnTo>
                                  <a:pt x="1326891" y="364065"/>
                                </a:lnTo>
                                <a:lnTo>
                                  <a:pt x="1338542" y="410261"/>
                                </a:lnTo>
                                <a:lnTo>
                                  <a:pt x="1347361" y="456943"/>
                                </a:lnTo>
                                <a:lnTo>
                                  <a:pt x="1353347" y="503977"/>
                                </a:lnTo>
                                <a:lnTo>
                                  <a:pt x="1356498" y="551230"/>
                                </a:lnTo>
                                <a:lnTo>
                                  <a:pt x="1356814" y="598568"/>
                                </a:lnTo>
                                <a:lnTo>
                                  <a:pt x="1354293" y="645860"/>
                                </a:lnTo>
                                <a:lnTo>
                                  <a:pt x="1348935" y="692970"/>
                                </a:lnTo>
                                <a:lnTo>
                                  <a:pt x="1340739" y="739765"/>
                                </a:lnTo>
                                <a:lnTo>
                                  <a:pt x="1329703" y="786114"/>
                                </a:lnTo>
                                <a:lnTo>
                                  <a:pt x="1315827" y="831881"/>
                                </a:lnTo>
                                <a:lnTo>
                                  <a:pt x="1299110" y="876934"/>
                                </a:lnTo>
                                <a:lnTo>
                                  <a:pt x="1279550" y="921139"/>
                                </a:lnTo>
                                <a:lnTo>
                                  <a:pt x="1257147" y="964364"/>
                                </a:lnTo>
                                <a:lnTo>
                                  <a:pt x="1231900" y="1006475"/>
                                </a:lnTo>
                                <a:lnTo>
                                  <a:pt x="1204717" y="1046124"/>
                                </a:lnTo>
                                <a:lnTo>
                                  <a:pt x="1175571" y="1083605"/>
                                </a:lnTo>
                                <a:lnTo>
                                  <a:pt x="1144575" y="1118894"/>
                                </a:lnTo>
                                <a:lnTo>
                                  <a:pt x="1111843" y="1151966"/>
                                </a:lnTo>
                                <a:lnTo>
                                  <a:pt x="1077489" y="1182797"/>
                                </a:lnTo>
                                <a:lnTo>
                                  <a:pt x="1041627" y="1211360"/>
                                </a:lnTo>
                                <a:lnTo>
                                  <a:pt x="1004370" y="1237632"/>
                                </a:lnTo>
                                <a:lnTo>
                                  <a:pt x="965833" y="1261588"/>
                                </a:lnTo>
                                <a:lnTo>
                                  <a:pt x="926131" y="1283203"/>
                                </a:lnTo>
                                <a:lnTo>
                                  <a:pt x="885375" y="1302452"/>
                                </a:lnTo>
                                <a:lnTo>
                                  <a:pt x="843682" y="1319310"/>
                                </a:lnTo>
                                <a:lnTo>
                                  <a:pt x="801164" y="1333753"/>
                                </a:lnTo>
                                <a:lnTo>
                                  <a:pt x="757936" y="1345756"/>
                                </a:lnTo>
                                <a:lnTo>
                                  <a:pt x="714112" y="1355294"/>
                                </a:lnTo>
                                <a:lnTo>
                                  <a:pt x="669805" y="1362343"/>
                                </a:lnTo>
                                <a:lnTo>
                                  <a:pt x="625130" y="1366877"/>
                                </a:lnTo>
                                <a:lnTo>
                                  <a:pt x="580200" y="1368871"/>
                                </a:lnTo>
                                <a:lnTo>
                                  <a:pt x="535130" y="1368302"/>
                                </a:lnTo>
                                <a:lnTo>
                                  <a:pt x="490034" y="1365144"/>
                                </a:lnTo>
                                <a:lnTo>
                                  <a:pt x="445025" y="1359373"/>
                                </a:lnTo>
                                <a:lnTo>
                                  <a:pt x="400217" y="1350963"/>
                                </a:lnTo>
                                <a:lnTo>
                                  <a:pt x="355725" y="1339890"/>
                                </a:lnTo>
                                <a:lnTo>
                                  <a:pt x="311663" y="1326129"/>
                                </a:lnTo>
                                <a:lnTo>
                                  <a:pt x="268143" y="1309655"/>
                                </a:lnTo>
                                <a:lnTo>
                                  <a:pt x="225281" y="1290444"/>
                                </a:lnTo>
                                <a:lnTo>
                                  <a:pt x="183191" y="1268471"/>
                                </a:lnTo>
                                <a:lnTo>
                                  <a:pt x="141986" y="1243711"/>
                                </a:lnTo>
                                <a:lnTo>
                                  <a:pt x="0" y="1464944"/>
                                </a:lnTo>
                                <a:lnTo>
                                  <a:pt x="42529" y="1490870"/>
                                </a:lnTo>
                                <a:lnTo>
                                  <a:pt x="85939" y="1514607"/>
                                </a:lnTo>
                                <a:lnTo>
                                  <a:pt x="130154" y="1536154"/>
                                </a:lnTo>
                                <a:lnTo>
                                  <a:pt x="175094" y="1555514"/>
                                </a:lnTo>
                                <a:lnTo>
                                  <a:pt x="220682" y="1572685"/>
                                </a:lnTo>
                                <a:lnTo>
                                  <a:pt x="266840" y="1587669"/>
                                </a:lnTo>
                                <a:lnTo>
                                  <a:pt x="313489" y="1600466"/>
                                </a:lnTo>
                                <a:lnTo>
                                  <a:pt x="360553" y="1611076"/>
                                </a:lnTo>
                                <a:lnTo>
                                  <a:pt x="407953" y="1619500"/>
                                </a:lnTo>
                                <a:lnTo>
                                  <a:pt x="455610" y="1625739"/>
                                </a:lnTo>
                                <a:lnTo>
                                  <a:pt x="503449" y="1629792"/>
                                </a:lnTo>
                                <a:lnTo>
                                  <a:pt x="551389" y="1631660"/>
                                </a:lnTo>
                                <a:lnTo>
                                  <a:pt x="599353" y="1631344"/>
                                </a:lnTo>
                                <a:lnTo>
                                  <a:pt x="647265" y="1628844"/>
                                </a:lnTo>
                                <a:lnTo>
                                  <a:pt x="695044" y="1624160"/>
                                </a:lnTo>
                                <a:lnTo>
                                  <a:pt x="742614" y="1617293"/>
                                </a:lnTo>
                                <a:lnTo>
                                  <a:pt x="789897" y="1608244"/>
                                </a:lnTo>
                                <a:lnTo>
                                  <a:pt x="836814" y="1597012"/>
                                </a:lnTo>
                                <a:lnTo>
                                  <a:pt x="883288" y="1583598"/>
                                </a:lnTo>
                                <a:lnTo>
                                  <a:pt x="929241" y="1568003"/>
                                </a:lnTo>
                                <a:lnTo>
                                  <a:pt x="974595" y="1550228"/>
                                </a:lnTo>
                                <a:lnTo>
                                  <a:pt x="1019272" y="1530272"/>
                                </a:lnTo>
                                <a:lnTo>
                                  <a:pt x="1063194" y="1508135"/>
                                </a:lnTo>
                                <a:lnTo>
                                  <a:pt x="1106282" y="1483819"/>
                                </a:lnTo>
                                <a:lnTo>
                                  <a:pt x="1148461" y="1457325"/>
                                </a:lnTo>
                                <a:lnTo>
                                  <a:pt x="1188020" y="1429865"/>
                                </a:lnTo>
                                <a:lnTo>
                                  <a:pt x="1225938" y="1400932"/>
                                </a:lnTo>
                                <a:lnTo>
                                  <a:pt x="1262202" y="1370590"/>
                                </a:lnTo>
                                <a:lnTo>
                                  <a:pt x="1296798" y="1338904"/>
                                </a:lnTo>
                                <a:lnTo>
                                  <a:pt x="1329715" y="1305937"/>
                                </a:lnTo>
                                <a:lnTo>
                                  <a:pt x="1360937" y="1271755"/>
                                </a:lnTo>
                                <a:lnTo>
                                  <a:pt x="1390454" y="1236421"/>
                                </a:lnTo>
                                <a:lnTo>
                                  <a:pt x="1418251" y="1200000"/>
                                </a:lnTo>
                                <a:lnTo>
                                  <a:pt x="1444315" y="1162556"/>
                                </a:lnTo>
                                <a:lnTo>
                                  <a:pt x="1468634" y="1124153"/>
                                </a:lnTo>
                                <a:lnTo>
                                  <a:pt x="1491193" y="1084856"/>
                                </a:lnTo>
                                <a:lnTo>
                                  <a:pt x="1511982" y="1044730"/>
                                </a:lnTo>
                                <a:lnTo>
                                  <a:pt x="1530985" y="1003838"/>
                                </a:lnTo>
                                <a:lnTo>
                                  <a:pt x="1548190" y="962244"/>
                                </a:lnTo>
                                <a:lnTo>
                                  <a:pt x="1563584" y="920014"/>
                                </a:lnTo>
                                <a:lnTo>
                                  <a:pt x="1577155" y="877211"/>
                                </a:lnTo>
                                <a:lnTo>
                                  <a:pt x="1588888" y="833901"/>
                                </a:lnTo>
                                <a:lnTo>
                                  <a:pt x="1598771" y="790146"/>
                                </a:lnTo>
                                <a:lnTo>
                                  <a:pt x="1606790" y="746012"/>
                                </a:lnTo>
                                <a:lnTo>
                                  <a:pt x="1612934" y="701562"/>
                                </a:lnTo>
                                <a:lnTo>
                                  <a:pt x="1617188" y="656862"/>
                                </a:lnTo>
                                <a:lnTo>
                                  <a:pt x="1619539" y="611975"/>
                                </a:lnTo>
                                <a:lnTo>
                                  <a:pt x="1619975" y="566966"/>
                                </a:lnTo>
                                <a:lnTo>
                                  <a:pt x="1618483" y="521899"/>
                                </a:lnTo>
                                <a:lnTo>
                                  <a:pt x="1615049" y="476838"/>
                                </a:lnTo>
                                <a:lnTo>
                                  <a:pt x="1609660" y="431849"/>
                                </a:lnTo>
                                <a:lnTo>
                                  <a:pt x="1602303" y="386994"/>
                                </a:lnTo>
                                <a:lnTo>
                                  <a:pt x="1592965" y="342339"/>
                                </a:lnTo>
                                <a:lnTo>
                                  <a:pt x="1581634" y="297948"/>
                                </a:lnTo>
                                <a:lnTo>
                                  <a:pt x="1568295" y="253885"/>
                                </a:lnTo>
                                <a:lnTo>
                                  <a:pt x="1552937" y="210214"/>
                                </a:lnTo>
                                <a:lnTo>
                                  <a:pt x="1535545" y="167000"/>
                                </a:lnTo>
                                <a:lnTo>
                                  <a:pt x="1516108" y="124308"/>
                                </a:lnTo>
                                <a:lnTo>
                                  <a:pt x="1494611" y="82200"/>
                                </a:lnTo>
                                <a:lnTo>
                                  <a:pt x="1471041" y="40743"/>
                                </a:lnTo>
                                <a:lnTo>
                                  <a:pt x="1445387" y="0"/>
                                </a:lnTo>
                                <a:close/>
                              </a:path>
                            </a:pathLst>
                          </a:custGeom>
                          <a:solidFill>
                            <a:srgbClr val="ACD094"/>
                          </a:solidFill>
                        </wps:spPr>
                        <wps:bodyPr wrap="square" lIns="0" tIns="0" rIns="0" bIns="0" rtlCol="0">
                          <a:prstTxWarp prst="textNoShape">
                            <a:avLst/>
                          </a:prstTxWarp>
                        </wps:bodyPr>
                      </wps:wsp>
                      <wps:wsp>
                        <wps:cNvPr id="666082728" name="Graphic 66"/>
                        <wps:cNvSpPr/>
                        <wps:spPr>
                          <a:xfrm>
                            <a:off x="2280475" y="735393"/>
                            <a:ext cx="1620520" cy="1631950"/>
                          </a:xfrm>
                          <a:custGeom>
                            <a:avLst/>
                            <a:gdLst/>
                            <a:ahLst/>
                            <a:cxnLst/>
                            <a:rect l="l" t="t" r="r" b="b"/>
                            <a:pathLst>
                              <a:path w="1620520" h="1631950">
                                <a:moveTo>
                                  <a:pt x="1445387" y="0"/>
                                </a:moveTo>
                                <a:lnTo>
                                  <a:pt x="1471041" y="40743"/>
                                </a:lnTo>
                                <a:lnTo>
                                  <a:pt x="1494611" y="82200"/>
                                </a:lnTo>
                                <a:lnTo>
                                  <a:pt x="1516108" y="124308"/>
                                </a:lnTo>
                                <a:lnTo>
                                  <a:pt x="1535545" y="167000"/>
                                </a:lnTo>
                                <a:lnTo>
                                  <a:pt x="1552937" y="210214"/>
                                </a:lnTo>
                                <a:lnTo>
                                  <a:pt x="1568295" y="253885"/>
                                </a:lnTo>
                                <a:lnTo>
                                  <a:pt x="1581634" y="297948"/>
                                </a:lnTo>
                                <a:lnTo>
                                  <a:pt x="1592965" y="342339"/>
                                </a:lnTo>
                                <a:lnTo>
                                  <a:pt x="1602303" y="386994"/>
                                </a:lnTo>
                                <a:lnTo>
                                  <a:pt x="1609660" y="431849"/>
                                </a:lnTo>
                                <a:lnTo>
                                  <a:pt x="1615049" y="476838"/>
                                </a:lnTo>
                                <a:lnTo>
                                  <a:pt x="1618483" y="521899"/>
                                </a:lnTo>
                                <a:lnTo>
                                  <a:pt x="1619975" y="566966"/>
                                </a:lnTo>
                                <a:lnTo>
                                  <a:pt x="1619539" y="611975"/>
                                </a:lnTo>
                                <a:lnTo>
                                  <a:pt x="1617188" y="656862"/>
                                </a:lnTo>
                                <a:lnTo>
                                  <a:pt x="1612934" y="701562"/>
                                </a:lnTo>
                                <a:lnTo>
                                  <a:pt x="1606790" y="746012"/>
                                </a:lnTo>
                                <a:lnTo>
                                  <a:pt x="1598771" y="790146"/>
                                </a:lnTo>
                                <a:lnTo>
                                  <a:pt x="1588888" y="833901"/>
                                </a:lnTo>
                                <a:lnTo>
                                  <a:pt x="1577155" y="877211"/>
                                </a:lnTo>
                                <a:lnTo>
                                  <a:pt x="1563584" y="920014"/>
                                </a:lnTo>
                                <a:lnTo>
                                  <a:pt x="1548190" y="962244"/>
                                </a:lnTo>
                                <a:lnTo>
                                  <a:pt x="1530985" y="1003838"/>
                                </a:lnTo>
                                <a:lnTo>
                                  <a:pt x="1511982" y="1044730"/>
                                </a:lnTo>
                                <a:lnTo>
                                  <a:pt x="1491193" y="1084856"/>
                                </a:lnTo>
                                <a:lnTo>
                                  <a:pt x="1468634" y="1124153"/>
                                </a:lnTo>
                                <a:lnTo>
                                  <a:pt x="1444315" y="1162556"/>
                                </a:lnTo>
                                <a:lnTo>
                                  <a:pt x="1418251" y="1200000"/>
                                </a:lnTo>
                                <a:lnTo>
                                  <a:pt x="1390454" y="1236421"/>
                                </a:lnTo>
                                <a:lnTo>
                                  <a:pt x="1360937" y="1271755"/>
                                </a:lnTo>
                                <a:lnTo>
                                  <a:pt x="1329715" y="1305937"/>
                                </a:lnTo>
                                <a:lnTo>
                                  <a:pt x="1296798" y="1338904"/>
                                </a:lnTo>
                                <a:lnTo>
                                  <a:pt x="1262202" y="1370590"/>
                                </a:lnTo>
                                <a:lnTo>
                                  <a:pt x="1225938" y="1400932"/>
                                </a:lnTo>
                                <a:lnTo>
                                  <a:pt x="1188020" y="1429865"/>
                                </a:lnTo>
                                <a:lnTo>
                                  <a:pt x="1148461" y="1457325"/>
                                </a:lnTo>
                                <a:lnTo>
                                  <a:pt x="1106282" y="1483819"/>
                                </a:lnTo>
                                <a:lnTo>
                                  <a:pt x="1063194" y="1508135"/>
                                </a:lnTo>
                                <a:lnTo>
                                  <a:pt x="1019272" y="1530272"/>
                                </a:lnTo>
                                <a:lnTo>
                                  <a:pt x="974595" y="1550228"/>
                                </a:lnTo>
                                <a:lnTo>
                                  <a:pt x="929241" y="1568003"/>
                                </a:lnTo>
                                <a:lnTo>
                                  <a:pt x="883288" y="1583598"/>
                                </a:lnTo>
                                <a:lnTo>
                                  <a:pt x="836814" y="1597012"/>
                                </a:lnTo>
                                <a:lnTo>
                                  <a:pt x="789897" y="1608244"/>
                                </a:lnTo>
                                <a:lnTo>
                                  <a:pt x="742614" y="1617293"/>
                                </a:lnTo>
                                <a:lnTo>
                                  <a:pt x="695044" y="1624160"/>
                                </a:lnTo>
                                <a:lnTo>
                                  <a:pt x="647265" y="1628844"/>
                                </a:lnTo>
                                <a:lnTo>
                                  <a:pt x="599353" y="1631344"/>
                                </a:lnTo>
                                <a:lnTo>
                                  <a:pt x="551389" y="1631660"/>
                                </a:lnTo>
                                <a:lnTo>
                                  <a:pt x="503449" y="1629792"/>
                                </a:lnTo>
                                <a:lnTo>
                                  <a:pt x="455610" y="1625739"/>
                                </a:lnTo>
                                <a:lnTo>
                                  <a:pt x="407953" y="1619500"/>
                                </a:lnTo>
                                <a:lnTo>
                                  <a:pt x="360553" y="1611076"/>
                                </a:lnTo>
                                <a:lnTo>
                                  <a:pt x="313489" y="1600466"/>
                                </a:lnTo>
                                <a:lnTo>
                                  <a:pt x="266840" y="1587669"/>
                                </a:lnTo>
                                <a:lnTo>
                                  <a:pt x="220682" y="1572685"/>
                                </a:lnTo>
                                <a:lnTo>
                                  <a:pt x="175094" y="1555514"/>
                                </a:lnTo>
                                <a:lnTo>
                                  <a:pt x="130154" y="1536154"/>
                                </a:lnTo>
                                <a:lnTo>
                                  <a:pt x="85939" y="1514607"/>
                                </a:lnTo>
                                <a:lnTo>
                                  <a:pt x="42529" y="1490870"/>
                                </a:lnTo>
                                <a:lnTo>
                                  <a:pt x="0" y="1464944"/>
                                </a:lnTo>
                                <a:lnTo>
                                  <a:pt x="141986" y="1243711"/>
                                </a:lnTo>
                                <a:lnTo>
                                  <a:pt x="183191" y="1268471"/>
                                </a:lnTo>
                                <a:lnTo>
                                  <a:pt x="225281" y="1290444"/>
                                </a:lnTo>
                                <a:lnTo>
                                  <a:pt x="268143" y="1309655"/>
                                </a:lnTo>
                                <a:lnTo>
                                  <a:pt x="311663" y="1326129"/>
                                </a:lnTo>
                                <a:lnTo>
                                  <a:pt x="355725" y="1339890"/>
                                </a:lnTo>
                                <a:lnTo>
                                  <a:pt x="400217" y="1350963"/>
                                </a:lnTo>
                                <a:lnTo>
                                  <a:pt x="445025" y="1359373"/>
                                </a:lnTo>
                                <a:lnTo>
                                  <a:pt x="490034" y="1365144"/>
                                </a:lnTo>
                                <a:lnTo>
                                  <a:pt x="535130" y="1368302"/>
                                </a:lnTo>
                                <a:lnTo>
                                  <a:pt x="580200" y="1368871"/>
                                </a:lnTo>
                                <a:lnTo>
                                  <a:pt x="625130" y="1366877"/>
                                </a:lnTo>
                                <a:lnTo>
                                  <a:pt x="669805" y="1362343"/>
                                </a:lnTo>
                                <a:lnTo>
                                  <a:pt x="714112" y="1355294"/>
                                </a:lnTo>
                                <a:lnTo>
                                  <a:pt x="757936" y="1345756"/>
                                </a:lnTo>
                                <a:lnTo>
                                  <a:pt x="801164" y="1333753"/>
                                </a:lnTo>
                                <a:lnTo>
                                  <a:pt x="843682" y="1319310"/>
                                </a:lnTo>
                                <a:lnTo>
                                  <a:pt x="885375" y="1302452"/>
                                </a:lnTo>
                                <a:lnTo>
                                  <a:pt x="926131" y="1283203"/>
                                </a:lnTo>
                                <a:lnTo>
                                  <a:pt x="965833" y="1261588"/>
                                </a:lnTo>
                                <a:lnTo>
                                  <a:pt x="1004370" y="1237632"/>
                                </a:lnTo>
                                <a:lnTo>
                                  <a:pt x="1041627" y="1211360"/>
                                </a:lnTo>
                                <a:lnTo>
                                  <a:pt x="1077489" y="1182797"/>
                                </a:lnTo>
                                <a:lnTo>
                                  <a:pt x="1111843" y="1151966"/>
                                </a:lnTo>
                                <a:lnTo>
                                  <a:pt x="1144575" y="1118894"/>
                                </a:lnTo>
                                <a:lnTo>
                                  <a:pt x="1175571" y="1083605"/>
                                </a:lnTo>
                                <a:lnTo>
                                  <a:pt x="1204717" y="1046124"/>
                                </a:lnTo>
                                <a:lnTo>
                                  <a:pt x="1231900" y="1006475"/>
                                </a:lnTo>
                                <a:lnTo>
                                  <a:pt x="1257147" y="964364"/>
                                </a:lnTo>
                                <a:lnTo>
                                  <a:pt x="1279550" y="921139"/>
                                </a:lnTo>
                                <a:lnTo>
                                  <a:pt x="1299110" y="876934"/>
                                </a:lnTo>
                                <a:lnTo>
                                  <a:pt x="1315827" y="831881"/>
                                </a:lnTo>
                                <a:lnTo>
                                  <a:pt x="1329703" y="786114"/>
                                </a:lnTo>
                                <a:lnTo>
                                  <a:pt x="1340739" y="739765"/>
                                </a:lnTo>
                                <a:lnTo>
                                  <a:pt x="1348935" y="692970"/>
                                </a:lnTo>
                                <a:lnTo>
                                  <a:pt x="1354293" y="645860"/>
                                </a:lnTo>
                                <a:lnTo>
                                  <a:pt x="1356814" y="598568"/>
                                </a:lnTo>
                                <a:lnTo>
                                  <a:pt x="1356498" y="551230"/>
                                </a:lnTo>
                                <a:lnTo>
                                  <a:pt x="1353347" y="503977"/>
                                </a:lnTo>
                                <a:lnTo>
                                  <a:pt x="1347361" y="456943"/>
                                </a:lnTo>
                                <a:lnTo>
                                  <a:pt x="1338542" y="410261"/>
                                </a:lnTo>
                                <a:lnTo>
                                  <a:pt x="1326891" y="364065"/>
                                </a:lnTo>
                                <a:lnTo>
                                  <a:pt x="1312409" y="318487"/>
                                </a:lnTo>
                                <a:lnTo>
                                  <a:pt x="1295096" y="273662"/>
                                </a:lnTo>
                                <a:lnTo>
                                  <a:pt x="1274953" y="229723"/>
                                </a:lnTo>
                                <a:lnTo>
                                  <a:pt x="1251983" y="186802"/>
                                </a:lnTo>
                                <a:lnTo>
                                  <a:pt x="1226185" y="145034"/>
                                </a:lnTo>
                                <a:lnTo>
                                  <a:pt x="1445387" y="0"/>
                                </a:lnTo>
                                <a:close/>
                              </a:path>
                            </a:pathLst>
                          </a:custGeom>
                          <a:ln w="19049">
                            <a:solidFill>
                              <a:srgbClr val="FFFFFF"/>
                            </a:solidFill>
                            <a:prstDash val="solid"/>
                          </a:ln>
                        </wps:spPr>
                        <wps:bodyPr wrap="square" lIns="0" tIns="0" rIns="0" bIns="0" rtlCol="0">
                          <a:prstTxWarp prst="textNoShape">
                            <a:avLst/>
                          </a:prstTxWarp>
                        </wps:bodyPr>
                      </wps:wsp>
                      <wps:wsp>
                        <wps:cNvPr id="1978983821" name="Graphic 67"/>
                        <wps:cNvSpPr/>
                        <wps:spPr>
                          <a:xfrm>
                            <a:off x="1841182" y="1633791"/>
                            <a:ext cx="535305" cy="565150"/>
                          </a:xfrm>
                          <a:custGeom>
                            <a:avLst/>
                            <a:gdLst/>
                            <a:ahLst/>
                            <a:cxnLst/>
                            <a:rect l="l" t="t" r="r" b="b"/>
                            <a:pathLst>
                              <a:path w="535305" h="565150">
                                <a:moveTo>
                                  <a:pt x="240283" y="0"/>
                                </a:moveTo>
                                <a:lnTo>
                                  <a:pt x="0" y="106679"/>
                                </a:lnTo>
                                <a:lnTo>
                                  <a:pt x="21929" y="153031"/>
                                </a:lnTo>
                                <a:lnTo>
                                  <a:pt x="46021" y="198124"/>
                                </a:lnTo>
                                <a:lnTo>
                                  <a:pt x="72217" y="241891"/>
                                </a:lnTo>
                                <a:lnTo>
                                  <a:pt x="100457" y="284263"/>
                                </a:lnTo>
                                <a:lnTo>
                                  <a:pt x="130681" y="325173"/>
                                </a:lnTo>
                                <a:lnTo>
                                  <a:pt x="162829" y="364553"/>
                                </a:lnTo>
                                <a:lnTo>
                                  <a:pt x="196844" y="402335"/>
                                </a:lnTo>
                                <a:lnTo>
                                  <a:pt x="232663" y="438451"/>
                                </a:lnTo>
                                <a:lnTo>
                                  <a:pt x="270230" y="472832"/>
                                </a:lnTo>
                                <a:lnTo>
                                  <a:pt x="309483" y="505412"/>
                                </a:lnTo>
                                <a:lnTo>
                                  <a:pt x="350363" y="536123"/>
                                </a:lnTo>
                                <a:lnTo>
                                  <a:pt x="392811" y="564895"/>
                                </a:lnTo>
                                <a:lnTo>
                                  <a:pt x="534924" y="343662"/>
                                </a:lnTo>
                                <a:lnTo>
                                  <a:pt x="492725" y="314575"/>
                                </a:lnTo>
                                <a:lnTo>
                                  <a:pt x="452646" y="282936"/>
                                </a:lnTo>
                                <a:lnTo>
                                  <a:pt x="414791" y="248863"/>
                                </a:lnTo>
                                <a:lnTo>
                                  <a:pt x="379266" y="212476"/>
                                </a:lnTo>
                                <a:lnTo>
                                  <a:pt x="346176" y="173894"/>
                                </a:lnTo>
                                <a:lnTo>
                                  <a:pt x="315627" y="133237"/>
                                </a:lnTo>
                                <a:lnTo>
                                  <a:pt x="287725" y="90622"/>
                                </a:lnTo>
                                <a:lnTo>
                                  <a:pt x="262576" y="46170"/>
                                </a:lnTo>
                                <a:lnTo>
                                  <a:pt x="240283" y="0"/>
                                </a:lnTo>
                                <a:close/>
                              </a:path>
                            </a:pathLst>
                          </a:custGeom>
                          <a:solidFill>
                            <a:srgbClr val="61294A"/>
                          </a:solidFill>
                        </wps:spPr>
                        <wps:bodyPr wrap="square" lIns="0" tIns="0" rIns="0" bIns="0" rtlCol="0">
                          <a:prstTxWarp prst="textNoShape">
                            <a:avLst/>
                          </a:prstTxWarp>
                        </wps:bodyPr>
                      </wps:wsp>
                      <wps:wsp>
                        <wps:cNvPr id="1864528819" name="Graphic 68"/>
                        <wps:cNvSpPr/>
                        <wps:spPr>
                          <a:xfrm>
                            <a:off x="1841182" y="1633791"/>
                            <a:ext cx="535305" cy="565150"/>
                          </a:xfrm>
                          <a:custGeom>
                            <a:avLst/>
                            <a:gdLst/>
                            <a:ahLst/>
                            <a:cxnLst/>
                            <a:rect l="l" t="t" r="r" b="b"/>
                            <a:pathLst>
                              <a:path w="535305" h="565150">
                                <a:moveTo>
                                  <a:pt x="392811" y="564895"/>
                                </a:moveTo>
                                <a:lnTo>
                                  <a:pt x="350363" y="536123"/>
                                </a:lnTo>
                                <a:lnTo>
                                  <a:pt x="309483" y="505412"/>
                                </a:lnTo>
                                <a:lnTo>
                                  <a:pt x="270230" y="472832"/>
                                </a:lnTo>
                                <a:lnTo>
                                  <a:pt x="232663" y="438451"/>
                                </a:lnTo>
                                <a:lnTo>
                                  <a:pt x="196844" y="402335"/>
                                </a:lnTo>
                                <a:lnTo>
                                  <a:pt x="162829" y="364553"/>
                                </a:lnTo>
                                <a:lnTo>
                                  <a:pt x="130681" y="325173"/>
                                </a:lnTo>
                                <a:lnTo>
                                  <a:pt x="100457" y="284263"/>
                                </a:lnTo>
                                <a:lnTo>
                                  <a:pt x="72217" y="241891"/>
                                </a:lnTo>
                                <a:lnTo>
                                  <a:pt x="46021" y="198124"/>
                                </a:lnTo>
                                <a:lnTo>
                                  <a:pt x="21929" y="153031"/>
                                </a:lnTo>
                                <a:lnTo>
                                  <a:pt x="0" y="106679"/>
                                </a:lnTo>
                                <a:lnTo>
                                  <a:pt x="240283" y="0"/>
                                </a:lnTo>
                                <a:lnTo>
                                  <a:pt x="262576" y="46170"/>
                                </a:lnTo>
                                <a:lnTo>
                                  <a:pt x="287725" y="90622"/>
                                </a:lnTo>
                                <a:lnTo>
                                  <a:pt x="315627" y="133237"/>
                                </a:lnTo>
                                <a:lnTo>
                                  <a:pt x="346176" y="173894"/>
                                </a:lnTo>
                                <a:lnTo>
                                  <a:pt x="379266" y="212476"/>
                                </a:lnTo>
                                <a:lnTo>
                                  <a:pt x="414791" y="248863"/>
                                </a:lnTo>
                                <a:lnTo>
                                  <a:pt x="452646" y="282936"/>
                                </a:lnTo>
                                <a:lnTo>
                                  <a:pt x="492725" y="314575"/>
                                </a:lnTo>
                                <a:lnTo>
                                  <a:pt x="534924" y="343662"/>
                                </a:lnTo>
                                <a:lnTo>
                                  <a:pt x="392811" y="564895"/>
                                </a:lnTo>
                                <a:close/>
                              </a:path>
                            </a:pathLst>
                          </a:custGeom>
                          <a:ln w="19050">
                            <a:solidFill>
                              <a:srgbClr val="FFFFFF"/>
                            </a:solidFill>
                            <a:prstDash val="solid"/>
                          </a:ln>
                        </wps:spPr>
                        <wps:bodyPr wrap="square" lIns="0" tIns="0" rIns="0" bIns="0" rtlCol="0">
                          <a:prstTxWarp prst="textNoShape">
                            <a:avLst/>
                          </a:prstTxWarp>
                        </wps:bodyPr>
                      </wps:wsp>
                      <wps:wsp>
                        <wps:cNvPr id="734252647" name="Graphic 69"/>
                        <wps:cNvSpPr/>
                        <wps:spPr>
                          <a:xfrm>
                            <a:off x="1743521" y="1153858"/>
                            <a:ext cx="330835" cy="570865"/>
                          </a:xfrm>
                          <a:custGeom>
                            <a:avLst/>
                            <a:gdLst/>
                            <a:ahLst/>
                            <a:cxnLst/>
                            <a:rect l="l" t="t" r="r" b="b"/>
                            <a:pathLst>
                              <a:path w="330835" h="570865">
                                <a:moveTo>
                                  <a:pt x="9904" y="0"/>
                                </a:moveTo>
                                <a:lnTo>
                                  <a:pt x="4340" y="48546"/>
                                </a:lnTo>
                                <a:lnTo>
                                  <a:pt x="1042" y="97167"/>
                                </a:lnTo>
                                <a:lnTo>
                                  <a:pt x="0" y="145788"/>
                                </a:lnTo>
                                <a:lnTo>
                                  <a:pt x="1202" y="194328"/>
                                </a:lnTo>
                                <a:lnTo>
                                  <a:pt x="4639" y="242712"/>
                                </a:lnTo>
                                <a:lnTo>
                                  <a:pt x="10300" y="290861"/>
                                </a:lnTo>
                                <a:lnTo>
                                  <a:pt x="18177" y="338698"/>
                                </a:lnTo>
                                <a:lnTo>
                                  <a:pt x="28257" y="386145"/>
                                </a:lnTo>
                                <a:lnTo>
                                  <a:pt x="40532" y="433125"/>
                                </a:lnTo>
                                <a:lnTo>
                                  <a:pt x="54991" y="479560"/>
                                </a:lnTo>
                                <a:lnTo>
                                  <a:pt x="71625" y="525372"/>
                                </a:lnTo>
                                <a:lnTo>
                                  <a:pt x="90422" y="570484"/>
                                </a:lnTo>
                                <a:lnTo>
                                  <a:pt x="330706" y="463803"/>
                                </a:lnTo>
                                <a:lnTo>
                                  <a:pt x="312285" y="418567"/>
                                </a:lnTo>
                                <a:lnTo>
                                  <a:pt x="296744" y="372440"/>
                                </a:lnTo>
                                <a:lnTo>
                                  <a:pt x="284106" y="325557"/>
                                </a:lnTo>
                                <a:lnTo>
                                  <a:pt x="274390" y="278053"/>
                                </a:lnTo>
                                <a:lnTo>
                                  <a:pt x="267618" y="230063"/>
                                </a:lnTo>
                                <a:lnTo>
                                  <a:pt x="263809" y="181722"/>
                                </a:lnTo>
                                <a:lnTo>
                                  <a:pt x="262987" y="133165"/>
                                </a:lnTo>
                                <a:lnTo>
                                  <a:pt x="265170" y="84526"/>
                                </a:lnTo>
                                <a:lnTo>
                                  <a:pt x="270381" y="35940"/>
                                </a:lnTo>
                                <a:lnTo>
                                  <a:pt x="9904" y="0"/>
                                </a:lnTo>
                                <a:close/>
                              </a:path>
                            </a:pathLst>
                          </a:custGeom>
                          <a:solidFill>
                            <a:srgbClr val="FF8754"/>
                          </a:solidFill>
                        </wps:spPr>
                        <wps:bodyPr wrap="square" lIns="0" tIns="0" rIns="0" bIns="0" rtlCol="0">
                          <a:prstTxWarp prst="textNoShape">
                            <a:avLst/>
                          </a:prstTxWarp>
                        </wps:bodyPr>
                      </wps:wsp>
                      <wps:wsp>
                        <wps:cNvPr id="1512103232" name="Graphic 70"/>
                        <wps:cNvSpPr/>
                        <wps:spPr>
                          <a:xfrm>
                            <a:off x="1743521" y="1153858"/>
                            <a:ext cx="330835" cy="570865"/>
                          </a:xfrm>
                          <a:custGeom>
                            <a:avLst/>
                            <a:gdLst/>
                            <a:ahLst/>
                            <a:cxnLst/>
                            <a:rect l="l" t="t" r="r" b="b"/>
                            <a:pathLst>
                              <a:path w="330835" h="570865">
                                <a:moveTo>
                                  <a:pt x="90422" y="570484"/>
                                </a:moveTo>
                                <a:lnTo>
                                  <a:pt x="71625" y="525372"/>
                                </a:lnTo>
                                <a:lnTo>
                                  <a:pt x="54991" y="479560"/>
                                </a:lnTo>
                                <a:lnTo>
                                  <a:pt x="40532" y="433125"/>
                                </a:lnTo>
                                <a:lnTo>
                                  <a:pt x="28257" y="386145"/>
                                </a:lnTo>
                                <a:lnTo>
                                  <a:pt x="18177" y="338698"/>
                                </a:lnTo>
                                <a:lnTo>
                                  <a:pt x="10300" y="290861"/>
                                </a:lnTo>
                                <a:lnTo>
                                  <a:pt x="4639" y="242712"/>
                                </a:lnTo>
                                <a:lnTo>
                                  <a:pt x="1202" y="194328"/>
                                </a:lnTo>
                                <a:lnTo>
                                  <a:pt x="0" y="145788"/>
                                </a:lnTo>
                                <a:lnTo>
                                  <a:pt x="1042" y="97167"/>
                                </a:lnTo>
                                <a:lnTo>
                                  <a:pt x="4340" y="48546"/>
                                </a:lnTo>
                                <a:lnTo>
                                  <a:pt x="9904" y="0"/>
                                </a:lnTo>
                                <a:lnTo>
                                  <a:pt x="270381" y="35940"/>
                                </a:lnTo>
                                <a:lnTo>
                                  <a:pt x="265170" y="84526"/>
                                </a:lnTo>
                                <a:lnTo>
                                  <a:pt x="262987" y="133165"/>
                                </a:lnTo>
                                <a:lnTo>
                                  <a:pt x="263809" y="181722"/>
                                </a:lnTo>
                                <a:lnTo>
                                  <a:pt x="267618" y="230063"/>
                                </a:lnTo>
                                <a:lnTo>
                                  <a:pt x="274390" y="278053"/>
                                </a:lnTo>
                                <a:lnTo>
                                  <a:pt x="284106" y="325557"/>
                                </a:lnTo>
                                <a:lnTo>
                                  <a:pt x="296744" y="372440"/>
                                </a:lnTo>
                                <a:lnTo>
                                  <a:pt x="312285" y="418567"/>
                                </a:lnTo>
                                <a:lnTo>
                                  <a:pt x="330706" y="463803"/>
                                </a:lnTo>
                                <a:lnTo>
                                  <a:pt x="90422" y="570484"/>
                                </a:lnTo>
                                <a:close/>
                              </a:path>
                            </a:pathLst>
                          </a:custGeom>
                          <a:ln w="19049">
                            <a:solidFill>
                              <a:srgbClr val="FFFFFF"/>
                            </a:solidFill>
                            <a:prstDash val="solid"/>
                          </a:ln>
                        </wps:spPr>
                        <wps:bodyPr wrap="square" lIns="0" tIns="0" rIns="0" bIns="0" rtlCol="0">
                          <a:prstTxWarp prst="textNoShape">
                            <a:avLst/>
                          </a:prstTxWarp>
                        </wps:bodyPr>
                      </wps:wsp>
                      <wps:wsp>
                        <wps:cNvPr id="622864550" name="Graphic 71"/>
                        <wps:cNvSpPr/>
                        <wps:spPr>
                          <a:xfrm>
                            <a:off x="1755838" y="599503"/>
                            <a:ext cx="441325" cy="573405"/>
                          </a:xfrm>
                          <a:custGeom>
                            <a:avLst/>
                            <a:gdLst/>
                            <a:ahLst/>
                            <a:cxnLst/>
                            <a:rect l="l" t="t" r="r" b="b"/>
                            <a:pathLst>
                              <a:path w="441325" h="573405">
                                <a:moveTo>
                                  <a:pt x="240411" y="0"/>
                                </a:moveTo>
                                <a:lnTo>
                                  <a:pt x="208992" y="38796"/>
                                </a:lnTo>
                                <a:lnTo>
                                  <a:pt x="179528" y="78933"/>
                                </a:lnTo>
                                <a:lnTo>
                                  <a:pt x="152054" y="120334"/>
                                </a:lnTo>
                                <a:lnTo>
                                  <a:pt x="126604" y="162922"/>
                                </a:lnTo>
                                <a:lnTo>
                                  <a:pt x="103213" y="206619"/>
                                </a:lnTo>
                                <a:lnTo>
                                  <a:pt x="81914" y="251348"/>
                                </a:lnTo>
                                <a:lnTo>
                                  <a:pt x="62743" y="297033"/>
                                </a:lnTo>
                                <a:lnTo>
                                  <a:pt x="45734" y="343596"/>
                                </a:lnTo>
                                <a:lnTo>
                                  <a:pt x="30920" y="390959"/>
                                </a:lnTo>
                                <a:lnTo>
                                  <a:pt x="18337" y="439046"/>
                                </a:lnTo>
                                <a:lnTo>
                                  <a:pt x="8019" y="487780"/>
                                </a:lnTo>
                                <a:lnTo>
                                  <a:pt x="0" y="537082"/>
                                </a:lnTo>
                                <a:lnTo>
                                  <a:pt x="260476" y="573024"/>
                                </a:lnTo>
                                <a:lnTo>
                                  <a:pt x="268877" y="523807"/>
                                </a:lnTo>
                                <a:lnTo>
                                  <a:pt x="280323" y="475393"/>
                                </a:lnTo>
                                <a:lnTo>
                                  <a:pt x="294757" y="427914"/>
                                </a:lnTo>
                                <a:lnTo>
                                  <a:pt x="312120" y="381505"/>
                                </a:lnTo>
                                <a:lnTo>
                                  <a:pt x="332353" y="336298"/>
                                </a:lnTo>
                                <a:lnTo>
                                  <a:pt x="355397" y="292429"/>
                                </a:lnTo>
                                <a:lnTo>
                                  <a:pt x="381195" y="250030"/>
                                </a:lnTo>
                                <a:lnTo>
                                  <a:pt x="409688" y="209236"/>
                                </a:lnTo>
                                <a:lnTo>
                                  <a:pt x="440817" y="170179"/>
                                </a:lnTo>
                                <a:lnTo>
                                  <a:pt x="240411" y="0"/>
                                </a:lnTo>
                                <a:close/>
                              </a:path>
                            </a:pathLst>
                          </a:custGeom>
                          <a:solidFill>
                            <a:srgbClr val="E2E0D7"/>
                          </a:solidFill>
                        </wps:spPr>
                        <wps:bodyPr wrap="square" lIns="0" tIns="0" rIns="0" bIns="0" rtlCol="0">
                          <a:prstTxWarp prst="textNoShape">
                            <a:avLst/>
                          </a:prstTxWarp>
                        </wps:bodyPr>
                      </wps:wsp>
                      <wps:wsp>
                        <wps:cNvPr id="1376226037" name="Graphic 72"/>
                        <wps:cNvSpPr/>
                        <wps:spPr>
                          <a:xfrm>
                            <a:off x="1755838" y="599503"/>
                            <a:ext cx="441325" cy="573405"/>
                          </a:xfrm>
                          <a:custGeom>
                            <a:avLst/>
                            <a:gdLst/>
                            <a:ahLst/>
                            <a:cxnLst/>
                            <a:rect l="l" t="t" r="r" b="b"/>
                            <a:pathLst>
                              <a:path w="441325" h="573405">
                                <a:moveTo>
                                  <a:pt x="0" y="537082"/>
                                </a:moveTo>
                                <a:lnTo>
                                  <a:pt x="8019" y="487780"/>
                                </a:lnTo>
                                <a:lnTo>
                                  <a:pt x="18337" y="439046"/>
                                </a:lnTo>
                                <a:lnTo>
                                  <a:pt x="30920" y="390959"/>
                                </a:lnTo>
                                <a:lnTo>
                                  <a:pt x="45734" y="343596"/>
                                </a:lnTo>
                                <a:lnTo>
                                  <a:pt x="62743" y="297033"/>
                                </a:lnTo>
                                <a:lnTo>
                                  <a:pt x="81914" y="251348"/>
                                </a:lnTo>
                                <a:lnTo>
                                  <a:pt x="103213" y="206619"/>
                                </a:lnTo>
                                <a:lnTo>
                                  <a:pt x="126604" y="162922"/>
                                </a:lnTo>
                                <a:lnTo>
                                  <a:pt x="152054" y="120334"/>
                                </a:lnTo>
                                <a:lnTo>
                                  <a:pt x="179528" y="78933"/>
                                </a:lnTo>
                                <a:lnTo>
                                  <a:pt x="208992" y="38796"/>
                                </a:lnTo>
                                <a:lnTo>
                                  <a:pt x="240411" y="0"/>
                                </a:lnTo>
                                <a:lnTo>
                                  <a:pt x="440817" y="170179"/>
                                </a:lnTo>
                                <a:lnTo>
                                  <a:pt x="409688" y="209236"/>
                                </a:lnTo>
                                <a:lnTo>
                                  <a:pt x="381195" y="250030"/>
                                </a:lnTo>
                                <a:lnTo>
                                  <a:pt x="355397" y="292429"/>
                                </a:lnTo>
                                <a:lnTo>
                                  <a:pt x="332353" y="336298"/>
                                </a:lnTo>
                                <a:lnTo>
                                  <a:pt x="312120" y="381505"/>
                                </a:lnTo>
                                <a:lnTo>
                                  <a:pt x="294757" y="427914"/>
                                </a:lnTo>
                                <a:lnTo>
                                  <a:pt x="280323" y="475393"/>
                                </a:lnTo>
                                <a:lnTo>
                                  <a:pt x="268877" y="523807"/>
                                </a:lnTo>
                                <a:lnTo>
                                  <a:pt x="260476" y="573024"/>
                                </a:lnTo>
                                <a:lnTo>
                                  <a:pt x="0" y="537082"/>
                                </a:lnTo>
                                <a:close/>
                              </a:path>
                            </a:pathLst>
                          </a:custGeom>
                          <a:ln w="19050">
                            <a:solidFill>
                              <a:srgbClr val="FFFFFF"/>
                            </a:solidFill>
                            <a:prstDash val="solid"/>
                          </a:ln>
                        </wps:spPr>
                        <wps:bodyPr wrap="square" lIns="0" tIns="0" rIns="0" bIns="0" rtlCol="0">
                          <a:prstTxWarp prst="textNoShape">
                            <a:avLst/>
                          </a:prstTxWarp>
                        </wps:bodyPr>
                      </wps:wsp>
                      <pic:pic xmlns:pic="http://schemas.openxmlformats.org/drawingml/2006/picture">
                        <pic:nvPicPr>
                          <pic:cNvPr id="1600575002" name="Image 73"/>
                          <pic:cNvPicPr/>
                        </pic:nvPicPr>
                        <pic:blipFill>
                          <a:blip r:embed="rId39" cstate="print"/>
                          <a:stretch>
                            <a:fillRect/>
                          </a:stretch>
                        </pic:blipFill>
                        <pic:spPr>
                          <a:xfrm>
                            <a:off x="1991677" y="569658"/>
                            <a:ext cx="227457" cy="201929"/>
                          </a:xfrm>
                          <a:prstGeom prst="rect">
                            <a:avLst/>
                          </a:prstGeom>
                        </pic:spPr>
                      </pic:pic>
                      <wps:wsp>
                        <wps:cNvPr id="919293210" name="Graphic 74"/>
                        <wps:cNvSpPr/>
                        <wps:spPr>
                          <a:xfrm>
                            <a:off x="2022792" y="213042"/>
                            <a:ext cx="790575" cy="531495"/>
                          </a:xfrm>
                          <a:custGeom>
                            <a:avLst/>
                            <a:gdLst/>
                            <a:ahLst/>
                            <a:cxnLst/>
                            <a:rect l="l" t="t" r="r" b="b"/>
                            <a:pathLst>
                              <a:path w="790575" h="531495">
                                <a:moveTo>
                                  <a:pt x="790575" y="0"/>
                                </a:moveTo>
                                <a:lnTo>
                                  <a:pt x="740261" y="1203"/>
                                </a:lnTo>
                                <a:lnTo>
                                  <a:pt x="690294" y="4789"/>
                                </a:lnTo>
                                <a:lnTo>
                                  <a:pt x="640750" y="10724"/>
                                </a:lnTo>
                                <a:lnTo>
                                  <a:pt x="591704" y="18973"/>
                                </a:lnTo>
                                <a:lnTo>
                                  <a:pt x="543233" y="29502"/>
                                </a:lnTo>
                                <a:lnTo>
                                  <a:pt x="495412" y="42276"/>
                                </a:lnTo>
                                <a:lnTo>
                                  <a:pt x="448319" y="57261"/>
                                </a:lnTo>
                                <a:lnTo>
                                  <a:pt x="402028" y="74423"/>
                                </a:lnTo>
                                <a:lnTo>
                                  <a:pt x="356615" y="93725"/>
                                </a:lnTo>
                                <a:lnTo>
                                  <a:pt x="312158" y="115136"/>
                                </a:lnTo>
                                <a:lnTo>
                                  <a:pt x="268732" y="138619"/>
                                </a:lnTo>
                                <a:lnTo>
                                  <a:pt x="226412" y="164140"/>
                                </a:lnTo>
                                <a:lnTo>
                                  <a:pt x="185276" y="191665"/>
                                </a:lnTo>
                                <a:lnTo>
                                  <a:pt x="145398" y="221159"/>
                                </a:lnTo>
                                <a:lnTo>
                                  <a:pt x="106856" y="252588"/>
                                </a:lnTo>
                                <a:lnTo>
                                  <a:pt x="69725" y="285918"/>
                                </a:lnTo>
                                <a:lnTo>
                                  <a:pt x="34080" y="321113"/>
                                </a:lnTo>
                                <a:lnTo>
                                  <a:pt x="0" y="358139"/>
                                </a:lnTo>
                                <a:lnTo>
                                  <a:pt x="197612" y="531494"/>
                                </a:lnTo>
                                <a:lnTo>
                                  <a:pt x="230694" y="496042"/>
                                </a:lnTo>
                                <a:lnTo>
                                  <a:pt x="265688" y="462871"/>
                                </a:lnTo>
                                <a:lnTo>
                                  <a:pt x="302472" y="432039"/>
                                </a:lnTo>
                                <a:lnTo>
                                  <a:pt x="340926" y="403598"/>
                                </a:lnTo>
                                <a:lnTo>
                                  <a:pt x="380928" y="377606"/>
                                </a:lnTo>
                                <a:lnTo>
                                  <a:pt x="422356" y="354116"/>
                                </a:lnTo>
                                <a:lnTo>
                                  <a:pt x="465089" y="333184"/>
                                </a:lnTo>
                                <a:lnTo>
                                  <a:pt x="509007" y="314864"/>
                                </a:lnTo>
                                <a:lnTo>
                                  <a:pt x="553986" y="299212"/>
                                </a:lnTo>
                                <a:lnTo>
                                  <a:pt x="599907" y="286283"/>
                                </a:lnTo>
                                <a:lnTo>
                                  <a:pt x="646648" y="276131"/>
                                </a:lnTo>
                                <a:lnTo>
                                  <a:pt x="694087" y="268811"/>
                                </a:lnTo>
                                <a:lnTo>
                                  <a:pt x="742103" y="264379"/>
                                </a:lnTo>
                                <a:lnTo>
                                  <a:pt x="790575" y="262889"/>
                                </a:lnTo>
                                <a:lnTo>
                                  <a:pt x="790575" y="0"/>
                                </a:lnTo>
                                <a:close/>
                              </a:path>
                            </a:pathLst>
                          </a:custGeom>
                          <a:solidFill>
                            <a:srgbClr val="629342"/>
                          </a:solidFill>
                        </wps:spPr>
                        <wps:bodyPr wrap="square" lIns="0" tIns="0" rIns="0" bIns="0" rtlCol="0">
                          <a:prstTxWarp prst="textNoShape">
                            <a:avLst/>
                          </a:prstTxWarp>
                        </wps:bodyPr>
                      </wps:wsp>
                      <wps:wsp>
                        <wps:cNvPr id="2032723442" name="Graphic 75"/>
                        <wps:cNvSpPr/>
                        <wps:spPr>
                          <a:xfrm>
                            <a:off x="2022792" y="213042"/>
                            <a:ext cx="790575" cy="531495"/>
                          </a:xfrm>
                          <a:custGeom>
                            <a:avLst/>
                            <a:gdLst/>
                            <a:ahLst/>
                            <a:cxnLst/>
                            <a:rect l="l" t="t" r="r" b="b"/>
                            <a:pathLst>
                              <a:path w="790575" h="531495">
                                <a:moveTo>
                                  <a:pt x="0" y="358139"/>
                                </a:moveTo>
                                <a:lnTo>
                                  <a:pt x="34080" y="321113"/>
                                </a:lnTo>
                                <a:lnTo>
                                  <a:pt x="69725" y="285918"/>
                                </a:lnTo>
                                <a:lnTo>
                                  <a:pt x="106856" y="252588"/>
                                </a:lnTo>
                                <a:lnTo>
                                  <a:pt x="145398" y="221159"/>
                                </a:lnTo>
                                <a:lnTo>
                                  <a:pt x="185276" y="191665"/>
                                </a:lnTo>
                                <a:lnTo>
                                  <a:pt x="226412" y="164140"/>
                                </a:lnTo>
                                <a:lnTo>
                                  <a:pt x="268732" y="138619"/>
                                </a:lnTo>
                                <a:lnTo>
                                  <a:pt x="312158" y="115136"/>
                                </a:lnTo>
                                <a:lnTo>
                                  <a:pt x="356615" y="93725"/>
                                </a:lnTo>
                                <a:lnTo>
                                  <a:pt x="402028" y="74423"/>
                                </a:lnTo>
                                <a:lnTo>
                                  <a:pt x="448319" y="57261"/>
                                </a:lnTo>
                                <a:lnTo>
                                  <a:pt x="495412" y="42276"/>
                                </a:lnTo>
                                <a:lnTo>
                                  <a:pt x="543233" y="29502"/>
                                </a:lnTo>
                                <a:lnTo>
                                  <a:pt x="591704" y="18973"/>
                                </a:lnTo>
                                <a:lnTo>
                                  <a:pt x="640750" y="10724"/>
                                </a:lnTo>
                                <a:lnTo>
                                  <a:pt x="690294" y="4789"/>
                                </a:lnTo>
                                <a:lnTo>
                                  <a:pt x="740261" y="1203"/>
                                </a:lnTo>
                                <a:lnTo>
                                  <a:pt x="790575" y="0"/>
                                </a:lnTo>
                                <a:lnTo>
                                  <a:pt x="790575" y="262889"/>
                                </a:lnTo>
                                <a:lnTo>
                                  <a:pt x="742103" y="264379"/>
                                </a:lnTo>
                                <a:lnTo>
                                  <a:pt x="694087" y="268811"/>
                                </a:lnTo>
                                <a:lnTo>
                                  <a:pt x="646648" y="276131"/>
                                </a:lnTo>
                                <a:lnTo>
                                  <a:pt x="599907" y="286283"/>
                                </a:lnTo>
                                <a:lnTo>
                                  <a:pt x="553986" y="299212"/>
                                </a:lnTo>
                                <a:lnTo>
                                  <a:pt x="509007" y="314864"/>
                                </a:lnTo>
                                <a:lnTo>
                                  <a:pt x="465089" y="333184"/>
                                </a:lnTo>
                                <a:lnTo>
                                  <a:pt x="422356" y="354116"/>
                                </a:lnTo>
                                <a:lnTo>
                                  <a:pt x="380928" y="377606"/>
                                </a:lnTo>
                                <a:lnTo>
                                  <a:pt x="340926" y="403598"/>
                                </a:lnTo>
                                <a:lnTo>
                                  <a:pt x="302472" y="432039"/>
                                </a:lnTo>
                                <a:lnTo>
                                  <a:pt x="265688" y="462871"/>
                                </a:lnTo>
                                <a:lnTo>
                                  <a:pt x="230694" y="496042"/>
                                </a:lnTo>
                                <a:lnTo>
                                  <a:pt x="197612" y="531494"/>
                                </a:lnTo>
                                <a:lnTo>
                                  <a:pt x="0" y="358139"/>
                                </a:lnTo>
                                <a:close/>
                              </a:path>
                            </a:pathLst>
                          </a:custGeom>
                          <a:ln w="19050">
                            <a:solidFill>
                              <a:srgbClr val="FFFFFF"/>
                            </a:solidFill>
                            <a:prstDash val="solid"/>
                          </a:ln>
                        </wps:spPr>
                        <wps:bodyPr wrap="square" lIns="0" tIns="0" rIns="0" bIns="0" rtlCol="0">
                          <a:prstTxWarp prst="textNoShape">
                            <a:avLst/>
                          </a:prstTxWarp>
                        </wps:bodyPr>
                      </wps:wsp>
                      <wps:wsp>
                        <wps:cNvPr id="2122419030" name="Graphic 76"/>
                        <wps:cNvSpPr/>
                        <wps:spPr>
                          <a:xfrm>
                            <a:off x="286067" y="414853"/>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4316D"/>
                          </a:solidFill>
                        </wps:spPr>
                        <wps:bodyPr wrap="square" lIns="0" tIns="0" rIns="0" bIns="0" rtlCol="0">
                          <a:prstTxWarp prst="textNoShape">
                            <a:avLst/>
                          </a:prstTxWarp>
                        </wps:bodyPr>
                      </wps:wsp>
                      <wps:wsp>
                        <wps:cNvPr id="1005481276" name="Graphic 77"/>
                        <wps:cNvSpPr/>
                        <wps:spPr>
                          <a:xfrm>
                            <a:off x="286067" y="637738"/>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125A40"/>
                          </a:solidFill>
                        </wps:spPr>
                        <wps:bodyPr wrap="square" lIns="0" tIns="0" rIns="0" bIns="0" rtlCol="0">
                          <a:prstTxWarp prst="textNoShape">
                            <a:avLst/>
                          </a:prstTxWarp>
                        </wps:bodyPr>
                      </wps:wsp>
                      <wps:wsp>
                        <wps:cNvPr id="818103226" name="Graphic 78"/>
                        <wps:cNvSpPr/>
                        <wps:spPr>
                          <a:xfrm>
                            <a:off x="286067" y="860623"/>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ACD094"/>
                          </a:solidFill>
                        </wps:spPr>
                        <wps:bodyPr wrap="square" lIns="0" tIns="0" rIns="0" bIns="0" rtlCol="0">
                          <a:prstTxWarp prst="textNoShape">
                            <a:avLst/>
                          </a:prstTxWarp>
                        </wps:bodyPr>
                      </wps:wsp>
                      <wps:wsp>
                        <wps:cNvPr id="1182758264" name="Graphic 79"/>
                        <wps:cNvSpPr/>
                        <wps:spPr>
                          <a:xfrm>
                            <a:off x="286067" y="1083635"/>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61294A"/>
                          </a:solidFill>
                        </wps:spPr>
                        <wps:bodyPr wrap="square" lIns="0" tIns="0" rIns="0" bIns="0" rtlCol="0">
                          <a:prstTxWarp prst="textNoShape">
                            <a:avLst/>
                          </a:prstTxWarp>
                        </wps:bodyPr>
                      </wps:wsp>
                      <wps:wsp>
                        <wps:cNvPr id="2054807429" name="Graphic 80"/>
                        <wps:cNvSpPr/>
                        <wps:spPr>
                          <a:xfrm>
                            <a:off x="286067" y="1306520"/>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FF8754"/>
                          </a:solidFill>
                        </wps:spPr>
                        <wps:bodyPr wrap="square" lIns="0" tIns="0" rIns="0" bIns="0" rtlCol="0">
                          <a:prstTxWarp prst="textNoShape">
                            <a:avLst/>
                          </a:prstTxWarp>
                        </wps:bodyPr>
                      </wps:wsp>
                      <wps:wsp>
                        <wps:cNvPr id="1444299801" name="Graphic 81"/>
                        <wps:cNvSpPr/>
                        <wps:spPr>
                          <a:xfrm>
                            <a:off x="286067" y="1529405"/>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E2E0D7"/>
                          </a:solidFill>
                        </wps:spPr>
                        <wps:bodyPr wrap="square" lIns="0" tIns="0" rIns="0" bIns="0" rtlCol="0">
                          <a:prstTxWarp prst="textNoShape">
                            <a:avLst/>
                          </a:prstTxWarp>
                        </wps:bodyPr>
                      </wps:wsp>
                      <wps:wsp>
                        <wps:cNvPr id="1958548061" name="Graphic 82"/>
                        <wps:cNvSpPr/>
                        <wps:spPr>
                          <a:xfrm>
                            <a:off x="286067" y="1752417"/>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31E42"/>
                          </a:solidFill>
                        </wps:spPr>
                        <wps:bodyPr wrap="square" lIns="0" tIns="0" rIns="0" bIns="0" rtlCol="0">
                          <a:prstTxWarp prst="textNoShape">
                            <a:avLst/>
                          </a:prstTxWarp>
                        </wps:bodyPr>
                      </wps:wsp>
                      <wps:wsp>
                        <wps:cNvPr id="573303603" name="Graphic 83"/>
                        <wps:cNvSpPr/>
                        <wps:spPr>
                          <a:xfrm>
                            <a:off x="286067" y="1975302"/>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A3625"/>
                          </a:solidFill>
                        </wps:spPr>
                        <wps:bodyPr wrap="square" lIns="0" tIns="0" rIns="0" bIns="0" rtlCol="0">
                          <a:prstTxWarp prst="textNoShape">
                            <a:avLst/>
                          </a:prstTxWarp>
                        </wps:bodyPr>
                      </wps:wsp>
                      <wps:wsp>
                        <wps:cNvPr id="2142462869" name="Graphic 84"/>
                        <wps:cNvSpPr/>
                        <wps:spPr>
                          <a:xfrm>
                            <a:off x="286067" y="2198187"/>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629342"/>
                          </a:solidFill>
                        </wps:spPr>
                        <wps:bodyPr wrap="square" lIns="0" tIns="0" rIns="0" bIns="0" rtlCol="0">
                          <a:prstTxWarp prst="textNoShape">
                            <a:avLst/>
                          </a:prstTxWarp>
                        </wps:bodyPr>
                      </wps:wsp>
                      <wps:wsp>
                        <wps:cNvPr id="931755182" name="Graphic 85"/>
                        <wps:cNvSpPr/>
                        <wps:spPr>
                          <a:xfrm>
                            <a:off x="4762" y="4762"/>
                            <a:ext cx="4260850" cy="2536190"/>
                          </a:xfrm>
                          <a:custGeom>
                            <a:avLst/>
                            <a:gdLst/>
                            <a:ahLst/>
                            <a:cxnLst/>
                            <a:rect l="l" t="t" r="r" b="b"/>
                            <a:pathLst>
                              <a:path w="4260850" h="2536190">
                                <a:moveTo>
                                  <a:pt x="0" y="2536190"/>
                                </a:moveTo>
                                <a:lnTo>
                                  <a:pt x="4260850" y="2536190"/>
                                </a:lnTo>
                                <a:lnTo>
                                  <a:pt x="4260850" y="0"/>
                                </a:lnTo>
                                <a:lnTo>
                                  <a:pt x="0" y="0"/>
                                </a:lnTo>
                                <a:lnTo>
                                  <a:pt x="0" y="2536190"/>
                                </a:lnTo>
                                <a:close/>
                              </a:path>
                            </a:pathLst>
                          </a:custGeom>
                          <a:ln w="9525">
                            <a:solidFill>
                              <a:srgbClr val="D9D9D9"/>
                            </a:solidFill>
                            <a:prstDash val="solid"/>
                          </a:ln>
                        </wps:spPr>
                        <wps:bodyPr wrap="square" lIns="0" tIns="0" rIns="0" bIns="0" rtlCol="0">
                          <a:prstTxWarp prst="textNoShape">
                            <a:avLst/>
                          </a:prstTxWarp>
                        </wps:bodyPr>
                      </wps:wsp>
                      <wps:wsp>
                        <wps:cNvPr id="1963545971" name="Textbox 86"/>
                        <wps:cNvSpPr txBox="1"/>
                        <wps:spPr>
                          <a:xfrm>
                            <a:off x="354520" y="2165573"/>
                            <a:ext cx="471805" cy="107950"/>
                          </a:xfrm>
                          <a:prstGeom prst="rect">
                            <a:avLst/>
                          </a:prstGeom>
                        </wps:spPr>
                        <wps:txbx>
                          <w:txbxContent>
                            <w:p w14:paraId="0E424B93" w14:textId="77777777" w:rsidR="005F35E4" w:rsidRDefault="005F35E4" w:rsidP="005F35E4">
                              <w:pPr>
                                <w:spacing w:before="6" w:line="163" w:lineRule="exact"/>
                                <w:rPr>
                                  <w:sz w:val="14"/>
                                </w:rPr>
                              </w:pPr>
                              <w:r>
                                <w:rPr>
                                  <w:color w:val="585858"/>
                                  <w:w w:val="120"/>
                                  <w:sz w:val="9"/>
                                </w:rPr>
                                <w:t xml:space="preserve">Other </w:t>
                              </w:r>
                              <w:r>
                                <w:rPr>
                                  <w:color w:val="585858"/>
                                  <w:spacing w:val="-2"/>
                                  <w:w w:val="120"/>
                                  <w:sz w:val="9"/>
                                </w:rPr>
                                <w:t>causes</w:t>
                              </w:r>
                            </w:p>
                          </w:txbxContent>
                        </wps:txbx>
                        <wps:bodyPr wrap="square" lIns="0" tIns="0" rIns="0" bIns="0" rtlCol="0"/>
                      </wps:wsp>
                      <wps:wsp>
                        <wps:cNvPr id="1675524357" name="Textbox 87"/>
                        <wps:cNvSpPr txBox="1"/>
                        <wps:spPr>
                          <a:xfrm>
                            <a:off x="3414077" y="1915957"/>
                            <a:ext cx="193040" cy="92710"/>
                          </a:xfrm>
                          <a:prstGeom prst="rect">
                            <a:avLst/>
                          </a:prstGeom>
                        </wps:spPr>
                        <wps:txbx>
                          <w:txbxContent>
                            <w:p w14:paraId="2059F130" w14:textId="77777777" w:rsidR="005F35E4" w:rsidRDefault="005F35E4" w:rsidP="005F35E4">
                              <w:pPr>
                                <w:spacing w:before="6" w:line="139" w:lineRule="exact"/>
                                <w:rPr>
                                  <w:i/>
                                  <w:sz w:val="12"/>
                                </w:rPr>
                              </w:pPr>
                              <w:r>
                                <w:rPr>
                                  <w:i/>
                                  <w:color w:val="404040"/>
                                  <w:spacing w:val="-5"/>
                                  <w:w w:val="135"/>
                                  <w:sz w:val="8"/>
                                </w:rPr>
                                <w:t>43</w:t>
                              </w:r>
                            </w:p>
                          </w:txbxContent>
                        </wps:txbx>
                        <wps:bodyPr wrap="square" lIns="0" tIns="0" rIns="0" bIns="0" rtlCol="0"/>
                      </wps:wsp>
                      <wps:wsp>
                        <wps:cNvPr id="1432375289" name="Textbox 88"/>
                        <wps:cNvSpPr txBox="1"/>
                        <wps:spPr>
                          <a:xfrm>
                            <a:off x="2038159" y="1866935"/>
                            <a:ext cx="144145" cy="92710"/>
                          </a:xfrm>
                          <a:prstGeom prst="rect">
                            <a:avLst/>
                          </a:prstGeom>
                        </wps:spPr>
                        <wps:txbx>
                          <w:txbxContent>
                            <w:p w14:paraId="05EBE039" w14:textId="77777777" w:rsidR="005F35E4" w:rsidRDefault="005F35E4" w:rsidP="005F35E4">
                              <w:pPr>
                                <w:spacing w:before="6" w:line="139" w:lineRule="exact"/>
                                <w:rPr>
                                  <w:i/>
                                  <w:sz w:val="12"/>
                                </w:rPr>
                              </w:pPr>
                              <w:r>
                                <w:rPr>
                                  <w:i/>
                                  <w:color w:val="404040"/>
                                  <w:spacing w:val="-5"/>
                                  <w:w w:val="140"/>
                                  <w:sz w:val="8"/>
                                </w:rPr>
                                <w:t>9</w:t>
                              </w:r>
                            </w:p>
                          </w:txbxContent>
                        </wps:txbx>
                        <wps:bodyPr wrap="square" lIns="0" tIns="0" rIns="0" bIns="0" rtlCol="0"/>
                      </wps:wsp>
                      <wps:wsp>
                        <wps:cNvPr id="440349644" name="Textbox 89"/>
                        <wps:cNvSpPr txBox="1"/>
                        <wps:spPr>
                          <a:xfrm>
                            <a:off x="354520" y="1496791"/>
                            <a:ext cx="1284605" cy="553720"/>
                          </a:xfrm>
                          <a:prstGeom prst="rect">
                            <a:avLst/>
                          </a:prstGeom>
                        </wps:spPr>
                        <wps:txbx>
                          <w:txbxContent>
                            <w:p w14:paraId="01113F97" w14:textId="77777777" w:rsidR="005F35E4" w:rsidRDefault="005F35E4" w:rsidP="005F35E4">
                              <w:pPr>
                                <w:spacing w:before="6"/>
                                <w:rPr>
                                  <w:sz w:val="14"/>
                                </w:rPr>
                              </w:pPr>
                              <w:r>
                                <w:rPr>
                                  <w:color w:val="585858"/>
                                  <w:spacing w:val="-2"/>
                                  <w:w w:val="120"/>
                                  <w:sz w:val="9"/>
                                </w:rPr>
                                <w:t xml:space="preserve">Respiratory </w:t>
                              </w:r>
                              <w:r>
                                <w:rPr>
                                  <w:color w:val="585858"/>
                                  <w:w w:val="120"/>
                                  <w:sz w:val="9"/>
                                </w:rPr>
                                <w:t>diseases</w:t>
                              </w:r>
                            </w:p>
                            <w:p w14:paraId="0DC13529" w14:textId="77777777" w:rsidR="005F35E4" w:rsidRDefault="005F35E4" w:rsidP="005F35E4">
                              <w:pPr>
                                <w:spacing w:before="166" w:line="247" w:lineRule="auto"/>
                                <w:ind w:right="504"/>
                                <w:rPr>
                                  <w:sz w:val="14"/>
                                </w:rPr>
                              </w:pPr>
                              <w:r>
                                <w:rPr>
                                  <w:color w:val="585858"/>
                                  <w:spacing w:val="-2"/>
                                  <w:w w:val="120"/>
                                  <w:sz w:val="9"/>
                                </w:rPr>
                                <w:t xml:space="preserve">Perinatal </w:t>
                              </w:r>
                              <w:r>
                                <w:rPr>
                                  <w:color w:val="585858"/>
                                  <w:w w:val="120"/>
                                  <w:sz w:val="9"/>
                                </w:rPr>
                                <w:t xml:space="preserve">disorders </w:t>
                              </w:r>
                              <w:r>
                                <w:rPr>
                                  <w:color w:val="585858"/>
                                  <w:spacing w:val="-2"/>
                                  <w:w w:val="120"/>
                                  <w:sz w:val="9"/>
                                </w:rPr>
                                <w:t>Malformations</w:t>
                              </w:r>
                            </w:p>
                          </w:txbxContent>
                        </wps:txbx>
                        <wps:bodyPr wrap="square" lIns="0" tIns="0" rIns="0" bIns="0" rtlCol="0"/>
                      </wps:wsp>
                      <wps:wsp>
                        <wps:cNvPr id="905224375" name="Textbox 90"/>
                        <wps:cNvSpPr txBox="1"/>
                        <wps:spPr>
                          <a:xfrm>
                            <a:off x="1818195" y="1380398"/>
                            <a:ext cx="144145" cy="92710"/>
                          </a:xfrm>
                          <a:prstGeom prst="rect">
                            <a:avLst/>
                          </a:prstGeom>
                        </wps:spPr>
                        <wps:txbx>
                          <w:txbxContent>
                            <w:p w14:paraId="3BD3CC49" w14:textId="77777777" w:rsidR="005F35E4" w:rsidRDefault="005F35E4" w:rsidP="005F35E4">
                              <w:pPr>
                                <w:spacing w:before="6" w:line="139" w:lineRule="exact"/>
                                <w:rPr>
                                  <w:i/>
                                  <w:sz w:val="12"/>
                                </w:rPr>
                              </w:pPr>
                              <w:r>
                                <w:rPr>
                                  <w:i/>
                                  <w:color w:val="404040"/>
                                  <w:spacing w:val="-5"/>
                                  <w:w w:val="140"/>
                                  <w:sz w:val="8"/>
                                </w:rPr>
                                <w:t>9</w:t>
                              </w:r>
                            </w:p>
                          </w:txbxContent>
                        </wps:txbx>
                        <wps:bodyPr wrap="square" lIns="0" tIns="0" rIns="0" bIns="0" rtlCol="0"/>
                      </wps:wsp>
                      <wps:wsp>
                        <wps:cNvPr id="295214684" name="Textbox 91"/>
                        <wps:cNvSpPr txBox="1"/>
                        <wps:spPr>
                          <a:xfrm>
                            <a:off x="354520" y="1050894"/>
                            <a:ext cx="1081405" cy="330200"/>
                          </a:xfrm>
                          <a:prstGeom prst="rect">
                            <a:avLst/>
                          </a:prstGeom>
                        </wps:spPr>
                        <wps:txbx>
                          <w:txbxContent>
                            <w:p w14:paraId="047456AD" w14:textId="77777777" w:rsidR="005F35E4" w:rsidRDefault="005F35E4" w:rsidP="005F35E4">
                              <w:pPr>
                                <w:spacing w:before="6"/>
                                <w:rPr>
                                  <w:sz w:val="14"/>
                                </w:rPr>
                              </w:pPr>
                              <w:r>
                                <w:rPr>
                                  <w:color w:val="585858"/>
                                  <w:w w:val="120"/>
                                  <w:sz w:val="9"/>
                                </w:rPr>
                                <w:t xml:space="preserve">Ischemic </w:t>
                              </w:r>
                              <w:r>
                                <w:rPr>
                                  <w:color w:val="585858"/>
                                  <w:spacing w:val="-2"/>
                                  <w:w w:val="120"/>
                                  <w:sz w:val="9"/>
                                </w:rPr>
                                <w:t xml:space="preserve">heart </w:t>
                              </w:r>
                              <w:r>
                                <w:rPr>
                                  <w:color w:val="585858"/>
                                  <w:w w:val="120"/>
                                  <w:sz w:val="9"/>
                                </w:rPr>
                                <w:t>disease</w:t>
                              </w:r>
                            </w:p>
                            <w:p w14:paraId="7E2DE896" w14:textId="77777777" w:rsidR="005F35E4" w:rsidRDefault="005F35E4" w:rsidP="005F35E4">
                              <w:pPr>
                                <w:spacing w:before="9"/>
                                <w:rPr>
                                  <w:sz w:val="14"/>
                                </w:rPr>
                              </w:pPr>
                            </w:p>
                            <w:p w14:paraId="4240B61B" w14:textId="77777777" w:rsidR="005F35E4" w:rsidRDefault="005F35E4" w:rsidP="005F35E4">
                              <w:pPr>
                                <w:spacing w:line="163" w:lineRule="exact"/>
                                <w:rPr>
                                  <w:sz w:val="14"/>
                                </w:rPr>
                              </w:pPr>
                              <w:r>
                                <w:rPr>
                                  <w:color w:val="585858"/>
                                  <w:spacing w:val="-2"/>
                                  <w:w w:val="120"/>
                                  <w:sz w:val="9"/>
                                </w:rPr>
                                <w:t xml:space="preserve">Cerebrovascular </w:t>
                              </w:r>
                              <w:r>
                                <w:rPr>
                                  <w:color w:val="585858"/>
                                  <w:w w:val="120"/>
                                  <w:sz w:val="9"/>
                                </w:rPr>
                                <w:t>diseases</w:t>
                              </w:r>
                            </w:p>
                          </w:txbxContent>
                        </wps:txbx>
                        <wps:bodyPr wrap="square" lIns="0" tIns="0" rIns="0" bIns="0" rtlCol="0"/>
                      </wps:wsp>
                      <wps:wsp>
                        <wps:cNvPr id="218182092" name="Textbox 92"/>
                        <wps:cNvSpPr txBox="1"/>
                        <wps:spPr>
                          <a:xfrm>
                            <a:off x="1891855" y="858682"/>
                            <a:ext cx="144145" cy="92710"/>
                          </a:xfrm>
                          <a:prstGeom prst="rect">
                            <a:avLst/>
                          </a:prstGeom>
                        </wps:spPr>
                        <wps:txbx>
                          <w:txbxContent>
                            <w:p w14:paraId="090636E0" w14:textId="77777777" w:rsidR="005F35E4" w:rsidRDefault="005F35E4" w:rsidP="005F35E4">
                              <w:pPr>
                                <w:spacing w:before="6" w:line="139" w:lineRule="exact"/>
                                <w:rPr>
                                  <w:i/>
                                  <w:sz w:val="12"/>
                                </w:rPr>
                              </w:pPr>
                              <w:r>
                                <w:rPr>
                                  <w:i/>
                                  <w:color w:val="404040"/>
                                  <w:spacing w:val="-5"/>
                                  <w:w w:val="140"/>
                                  <w:sz w:val="8"/>
                                </w:rPr>
                                <w:t>9</w:t>
                              </w:r>
                            </w:p>
                          </w:txbxContent>
                        </wps:txbx>
                        <wps:bodyPr wrap="square" lIns="0" tIns="0" rIns="0" bIns="0" rtlCol="0"/>
                      </wps:wsp>
                      <wps:wsp>
                        <wps:cNvPr id="1757658235" name="Textbox 93"/>
                        <wps:cNvSpPr txBox="1"/>
                        <wps:spPr>
                          <a:xfrm>
                            <a:off x="354520" y="827755"/>
                            <a:ext cx="1264920" cy="107950"/>
                          </a:xfrm>
                          <a:prstGeom prst="rect">
                            <a:avLst/>
                          </a:prstGeom>
                        </wps:spPr>
                        <wps:txbx>
                          <w:txbxContent>
                            <w:p w14:paraId="4E87DA3B" w14:textId="77777777" w:rsidR="005F35E4" w:rsidRDefault="005F35E4" w:rsidP="005F35E4">
                              <w:pPr>
                                <w:spacing w:before="6" w:line="163" w:lineRule="exact"/>
                                <w:rPr>
                                  <w:sz w:val="14"/>
                                </w:rPr>
                              </w:pPr>
                              <w:r>
                                <w:rPr>
                                  <w:color w:val="585858"/>
                                  <w:spacing w:val="-2"/>
                                  <w:w w:val="120"/>
                                  <w:sz w:val="9"/>
                                </w:rPr>
                                <w:t xml:space="preserve">Circulatory </w:t>
                              </w:r>
                              <w:r>
                                <w:rPr>
                                  <w:color w:val="585858"/>
                                  <w:w w:val="120"/>
                                  <w:sz w:val="9"/>
                                </w:rPr>
                                <w:t>system diseases</w:t>
                              </w:r>
                            </w:p>
                          </w:txbxContent>
                        </wps:txbx>
                        <wps:bodyPr wrap="square" lIns="0" tIns="0" rIns="0" bIns="0" rtlCol="0"/>
                      </wps:wsp>
                      <wps:wsp>
                        <wps:cNvPr id="400480020" name="Textbox 94"/>
                        <wps:cNvSpPr txBox="1"/>
                        <wps:spPr>
                          <a:xfrm>
                            <a:off x="3541458" y="702546"/>
                            <a:ext cx="144145" cy="93345"/>
                          </a:xfrm>
                          <a:prstGeom prst="rect">
                            <a:avLst/>
                          </a:prstGeom>
                        </wps:spPr>
                        <wps:txbx>
                          <w:txbxContent>
                            <w:p w14:paraId="4398D496" w14:textId="77777777" w:rsidR="005F35E4" w:rsidRDefault="005F35E4" w:rsidP="005F35E4">
                              <w:pPr>
                                <w:spacing w:before="7" w:line="140" w:lineRule="exact"/>
                                <w:rPr>
                                  <w:i/>
                                  <w:sz w:val="12"/>
                                </w:rPr>
                              </w:pPr>
                              <w:r>
                                <w:rPr>
                                  <w:i/>
                                  <w:color w:val="404040"/>
                                  <w:spacing w:val="-5"/>
                                  <w:w w:val="140"/>
                                  <w:sz w:val="8"/>
                                </w:rPr>
                                <w:t>1</w:t>
                              </w:r>
                            </w:p>
                          </w:txbxContent>
                        </wps:txbx>
                        <wps:bodyPr wrap="square" lIns="0" tIns="0" rIns="0" bIns="0" rtlCol="0"/>
                      </wps:wsp>
                      <wps:wsp>
                        <wps:cNvPr id="312299107" name="Textbox 95"/>
                        <wps:cNvSpPr txBox="1"/>
                        <wps:spPr>
                          <a:xfrm>
                            <a:off x="2043366" y="621827"/>
                            <a:ext cx="144145" cy="92710"/>
                          </a:xfrm>
                          <a:prstGeom prst="rect">
                            <a:avLst/>
                          </a:prstGeom>
                        </wps:spPr>
                        <wps:txbx>
                          <w:txbxContent>
                            <w:p w14:paraId="49064542" w14:textId="77777777" w:rsidR="005F35E4" w:rsidRDefault="005F35E4" w:rsidP="005F35E4">
                              <w:pPr>
                                <w:spacing w:before="8" w:line="138" w:lineRule="exact"/>
                                <w:rPr>
                                  <w:rFonts w:ascii="Arial"/>
                                  <w:b/>
                                  <w:i/>
                                  <w:sz w:val="12"/>
                                </w:rPr>
                              </w:pPr>
                              <w:r>
                                <w:rPr>
                                  <w:rFonts w:ascii="Arial"/>
                                  <w:b/>
                                  <w:i/>
                                  <w:color w:val="404040"/>
                                  <w:spacing w:val="-5"/>
                                  <w:w w:val="120"/>
                                  <w:sz w:val="8"/>
                                </w:rPr>
                                <w:t>0</w:t>
                              </w:r>
                            </w:p>
                          </w:txbxContent>
                        </wps:txbx>
                        <wps:bodyPr wrap="square" lIns="0" tIns="0" rIns="0" bIns="0" rtlCol="0"/>
                      </wps:wsp>
                      <wps:wsp>
                        <wps:cNvPr id="1053217637" name="Textbox 96"/>
                        <wps:cNvSpPr txBox="1"/>
                        <wps:spPr>
                          <a:xfrm>
                            <a:off x="354520" y="604997"/>
                            <a:ext cx="1151255" cy="107950"/>
                          </a:xfrm>
                          <a:prstGeom prst="rect">
                            <a:avLst/>
                          </a:prstGeom>
                        </wps:spPr>
                        <wps:txbx>
                          <w:txbxContent>
                            <w:p w14:paraId="43DB7F4A" w14:textId="77777777" w:rsidR="005F35E4" w:rsidRDefault="005F35E4" w:rsidP="005F35E4">
                              <w:pPr>
                                <w:spacing w:before="6" w:line="163" w:lineRule="exact"/>
                                <w:rPr>
                                  <w:sz w:val="14"/>
                                </w:rPr>
                              </w:pPr>
                              <w:r>
                                <w:rPr>
                                  <w:color w:val="585858"/>
                                  <w:w w:val="120"/>
                                  <w:sz w:val="9"/>
                                </w:rPr>
                                <w:t xml:space="preserve">Diseases of the </w:t>
                              </w:r>
                              <w:r>
                                <w:rPr>
                                  <w:color w:val="585858"/>
                                  <w:spacing w:val="-2"/>
                                  <w:w w:val="120"/>
                                  <w:sz w:val="9"/>
                                </w:rPr>
                                <w:t xml:space="preserve">nervous </w:t>
                              </w:r>
                              <w:r>
                                <w:rPr>
                                  <w:color w:val="585858"/>
                                  <w:w w:val="120"/>
                                  <w:sz w:val="9"/>
                                </w:rPr>
                                <w:t>system</w:t>
                              </w:r>
                            </w:p>
                          </w:txbxContent>
                        </wps:txbx>
                        <wps:bodyPr wrap="square" lIns="0" tIns="0" rIns="0" bIns="0" rtlCol="0"/>
                      </wps:wsp>
                      <wps:wsp>
                        <wps:cNvPr id="285076505" name="Textbox 97"/>
                        <wps:cNvSpPr txBox="1"/>
                        <wps:spPr>
                          <a:xfrm>
                            <a:off x="3166300" y="398434"/>
                            <a:ext cx="193040" cy="92710"/>
                          </a:xfrm>
                          <a:prstGeom prst="rect">
                            <a:avLst/>
                          </a:prstGeom>
                        </wps:spPr>
                        <wps:txbx>
                          <w:txbxContent>
                            <w:p w14:paraId="13F0C4C3" w14:textId="77777777" w:rsidR="005F35E4" w:rsidRDefault="005F35E4" w:rsidP="005F35E4">
                              <w:pPr>
                                <w:spacing w:before="6" w:line="139" w:lineRule="exact"/>
                                <w:rPr>
                                  <w:i/>
                                  <w:sz w:val="12"/>
                                </w:rPr>
                              </w:pPr>
                              <w:r>
                                <w:rPr>
                                  <w:i/>
                                  <w:color w:val="404040"/>
                                  <w:spacing w:val="-5"/>
                                  <w:w w:val="135"/>
                                  <w:sz w:val="8"/>
                                </w:rPr>
                                <w:t>1</w:t>
                              </w:r>
                            </w:p>
                          </w:txbxContent>
                        </wps:txbx>
                        <wps:bodyPr wrap="square" lIns="0" tIns="0" rIns="0" bIns="0" rtlCol="0"/>
                      </wps:wsp>
                      <wps:wsp>
                        <wps:cNvPr id="1062963566" name="Textbox 98"/>
                        <wps:cNvSpPr txBox="1"/>
                        <wps:spPr>
                          <a:xfrm>
                            <a:off x="2343594" y="380400"/>
                            <a:ext cx="193040" cy="92710"/>
                          </a:xfrm>
                          <a:prstGeom prst="rect">
                            <a:avLst/>
                          </a:prstGeom>
                        </wps:spPr>
                        <wps:txbx>
                          <w:txbxContent>
                            <w:p w14:paraId="5AF6689C" w14:textId="77777777" w:rsidR="005F35E4" w:rsidRDefault="005F35E4" w:rsidP="005F35E4">
                              <w:pPr>
                                <w:spacing w:before="6" w:line="139" w:lineRule="exact"/>
                                <w:rPr>
                                  <w:i/>
                                  <w:sz w:val="12"/>
                                </w:rPr>
                              </w:pPr>
                              <w:r>
                                <w:rPr>
                                  <w:i/>
                                  <w:color w:val="404040"/>
                                  <w:spacing w:val="-5"/>
                                  <w:w w:val="135"/>
                                  <w:sz w:val="8"/>
                                </w:rPr>
                                <w:t>14</w:t>
                              </w:r>
                            </w:p>
                          </w:txbxContent>
                        </wps:txbx>
                        <wps:bodyPr wrap="square" lIns="0" tIns="0" rIns="0" bIns="0" rtlCol="0"/>
                      </wps:wsp>
                      <wps:wsp>
                        <wps:cNvPr id="207409756" name="Textbox 99"/>
                        <wps:cNvSpPr txBox="1"/>
                        <wps:spPr>
                          <a:xfrm>
                            <a:off x="354520" y="381858"/>
                            <a:ext cx="326390" cy="107950"/>
                          </a:xfrm>
                          <a:prstGeom prst="rect">
                            <a:avLst/>
                          </a:prstGeom>
                        </wps:spPr>
                        <wps:txbx>
                          <w:txbxContent>
                            <w:p w14:paraId="4658EAEF" w14:textId="77777777" w:rsidR="005F35E4" w:rsidRDefault="005F35E4" w:rsidP="005F35E4">
                              <w:pPr>
                                <w:spacing w:before="6" w:line="163" w:lineRule="exact"/>
                                <w:rPr>
                                  <w:sz w:val="14"/>
                                </w:rPr>
                              </w:pPr>
                              <w:r>
                                <w:rPr>
                                  <w:color w:val="585858"/>
                                  <w:spacing w:val="-2"/>
                                  <w:w w:val="120"/>
                                  <w:sz w:val="9"/>
                                </w:rPr>
                                <w:t>Tumors</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0820354B" id="Group 1628126281" o:spid="_x0000_s1048" style="position:absolute;left:0;text-align:left;margin-left:134.05pt;margin-top:26.9pt;width:305.35pt;height:186pt;z-index:-251469824;mso-wrap-distance-left:0;mso-wrap-distance-right:0;mso-position-horizontal-relative:page;mso-position-vertical-relative:text;mso-width-relative:margin;mso-height-relative:margin" coordsize="42703,25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">
                <v:shape id="Graphic 62" o:spid="_x0000_s1049" style="position:absolute;left:28406;top:2136;width:8477;height:5849;visibility:visible;mso-wrap-style:square;v-text-anchor:top" coordsize="847725,58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" path="m,l,262889r49992,1583l99454,269177r48802,7761l196271,287691r47098,13680l289423,317912r44882,19338l377886,359320r42152,24737l460633,411395r38910,29875l536639,473616r35153,34753l604876,545463r30886,39371l847598,429259,817017,389613,784760,351661,750900,315439,715507,280984,678656,248334,640417,217524,600864,188592,560070,161574,518105,136506,475043,113426,430956,92370,385917,73375,339998,56477,293270,41713,245808,29120,197683,18735,148967,10593,99733,4732,50053,1189,,xe" fillcolor="#04316d" stroked="f">
                  <v:path arrowok="t"/>
                </v:shape>
                <v:shape id="Image 63" o:spid="_x0000_s1050" type="#_x0000_t75" style="position:absolute;left:34879;top:6529;width:2413;height: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">
                  <v:imagedata r:id="rId40" o:title=""/>
                </v:shape>
                <v:shape id="Graphic 64" o:spid="_x0000_s1051" style="position:absolute;left:34879;top:6529;width:2413;height:1873;visibility:visible;mso-wrap-style:square;v-text-anchor:top" coordsize="24130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" path="m211962,r7549,10429l226917,20954r7263,10621l241300,42290,22098,187325r-5382,-8051l11239,171307,5667,163411,,155575,211962,xe" filled="f" strokecolor="white" strokeweight="1.5pt">
                  <v:path arrowok="t"/>
                </v:shape>
                <v:shape id="Graphic 65" o:spid="_x0000_s1052" style="position:absolute;left:22804;top:7353;width:16205;height:16320;visibility:visible;mso-wrap-style:square;v-text-anchor:top" coordsize="1620520,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" path="m1445387,l1226185,145034r25798,41768l1274953,229723r20143,43939l1312409,318487r14482,45578l1338542,410261r8819,46682l1353347,503977r3151,47253l1356814,598568r-2521,47292l1348935,692970r-8196,46795l1329703,786114r-13876,45767l1299110,876934r-19560,44205l1257147,964364r-25247,42111l1204717,1046124r-29146,37481l1144575,1118894r-32732,33072l1077489,1182797r-35862,28563l1004370,1237632r-38537,23956l926131,1283203r-40756,19249l843682,1319310r-42518,14443l757936,1345756r-43824,9538l669805,1362343r-44675,4534l580200,1368871r-45070,-569l490034,1365144r-45009,-5771l400217,1350963r-44492,-11073l311663,1326129r-43520,-16474l225281,1290444r-42090,-21973l141986,1243711,,1464944r42529,25926l85939,1514607r44215,21547l175094,1555514r45588,17171l266840,1587669r46649,12797l360553,1611076r47400,8424l455610,1625739r47839,4053l551389,1631660r47964,-316l647265,1628844r47779,-4684l742614,1617293r47283,-9049l836814,1597012r46474,-13414l929241,1568003r45354,-17775l1019272,1530272r43922,-22137l1106282,1483819r42179,-26494l1188020,1429865r37918,-28933l1262202,1370590r34596,-31686l1329715,1305937r31222,-34182l1390454,1236421r27797,-36421l1444315,1162556r24319,-38403l1491193,1084856r20789,-40126l1530985,1003838r17205,-41594l1563584,920014r13571,-42803l1588888,833901r9883,-43755l1606790,746012r6144,-44450l1617188,656862r2351,-44887l1619975,566966r-1492,-45067l1615049,476838r-5389,-44989l1602303,386994r-9338,-44655l1581634,297948r-13339,-44063l1552937,210214r-17392,-43214l1516108,124308,1494611,82200,1471041,40743,1445387,xe" fillcolor="#acd094" stroked="f">
                  <v:path arrowok="t"/>
                </v:shape>
                <v:shape id="Graphic 66" o:spid="_x0000_s1053" style="position:absolute;left:22804;top:7353;width:16205;height:16320;visibility:visible;mso-wrap-style:square;v-text-anchor:top" coordsize="1620520,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" path="m1445387,r25654,40743l1494611,82200r21497,42108l1535545,167000r17392,43214l1568295,253885r13339,44063l1592965,342339r9338,44655l1609660,431849r5389,44989l1618483,521899r1492,45067l1619539,611975r-2351,44887l1612934,701562r-6144,44450l1598771,790146r-9883,43755l1577155,877211r-13571,42803l1548190,962244r-17205,41594l1511982,1044730r-20789,40126l1468634,1124153r-24319,38403l1418251,1200000r-27797,36421l1360937,1271755r-31222,34182l1296798,1338904r-34596,31686l1225938,1400932r-37918,28933l1148461,1457325r-42179,26494l1063194,1508135r-43922,22137l974595,1550228r-45354,17775l883288,1583598r-46474,13414l789897,1608244r-47283,9049l695044,1624160r-47779,4684l599353,1631344r-47964,316l503449,1629792r-47839,-4053l407953,1619500r-47400,-8424l313489,1600466r-46649,-12797l220682,1572685r-45588,-17171l130154,1536154,85939,1514607,42529,1490870,,1464944,141986,1243711r41205,24760l225281,1290444r42862,19211l311663,1326129r44062,13761l400217,1350963r44808,8410l490034,1365144r45096,3158l580200,1368871r44930,-1994l669805,1362343r44307,-7049l757936,1345756r43228,-12003l843682,1319310r41693,-16858l926131,1283203r39702,-21615l1004370,1237632r37257,-26272l1077489,1182797r34354,-30831l1144575,1118894r30996,-35289l1204717,1046124r27183,-39649l1257147,964364r22403,-43225l1299110,876934r16717,-45053l1329703,786114r11036,-46349l1348935,692970r5358,-47110l1356814,598568r-316,-47338l1353347,503977r-5986,-47034l1338542,410261r-11651,-46196l1312409,318487r-17313,-44825l1274953,229723r-22970,-42921l1226185,145034,1445387,xe" filled="f" strokecolor="white" strokeweight=".52914mm">
                  <v:path arrowok="t"/>
                </v:shape>
                <v:shape id="Graphic 67" o:spid="_x0000_s1054" style="position:absolute;left:18411;top:16337;width:5353;height:5652;visibility:visible;mso-wrap-style:square;v-text-anchor:top" coordsize="535305,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" path="m240283,l,106679r21929,46352l46021,198124r26196,43767l100457,284263r30224,40910l162829,364553r34015,37782l232663,438451r37567,34381l309483,505412r40880,30711l392811,564895,534924,343662,492725,314575,452646,282936,414791,248863,379266,212476,346176,173894,315627,133237,287725,90622,262576,46170,240283,xe" fillcolor="#61294a" stroked="f">
                  <v:path arrowok="t"/>
                </v:shape>
                <v:shape id="Graphic 68" o:spid="_x0000_s1055" style="position:absolute;left:18411;top:16337;width:5353;height:5652;visibility:visible;mso-wrap-style:square;v-text-anchor:top" coordsize="535305,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" path="m392811,564895l350363,536123,309483,505412,270230,472832,232663,438451,196844,402335,162829,364553,130681,325173,100457,284263,72217,241891,46021,198124,21929,153031,,106679,240283,r22293,46170l287725,90622r27902,42615l346176,173894r33090,38582l414791,248863r37855,34073l492725,314575r42199,29087l392811,564895xe" filled="f" strokecolor="white" strokeweight="1.5pt">
                  <v:path arrowok="t"/>
                </v:shape>
                <v:shape id="Graphic 69" o:spid="_x0000_s1056" style="position:absolute;left:17435;top:11538;width:3308;height:5709;visibility:visible;mso-wrap-style:square;v-text-anchor:top" coordsize="33083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" path="m9904,l4340,48546,1042,97167,,145788r1202,48540l4639,242712r5661,48149l18177,338698r10080,47447l40532,433125r14459,46435l71625,525372r18797,45112l330706,463803,312285,418567,296744,372440,284106,325557r-9716,-47504l267618,230063r-3809,-48341l262987,133165r2183,-48639l270381,35940,9904,xe" fillcolor="#ff8754" stroked="f">
                  <v:path arrowok="t"/>
                </v:shape>
                <v:shape id="Graphic 70" o:spid="_x0000_s1057" style="position:absolute;left:17435;top:11538;width:3308;height:5709;visibility:visible;mso-wrap-style:square;v-text-anchor:top" coordsize="33083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" path="m90422,570484l71625,525372,54991,479560,40532,433125,28257,386145,18177,338698,10300,290861,4639,242712,1202,194328,,145788,1042,97167,4340,48546,9904,,270381,35940r-5211,48586l262987,133165r822,48557l267618,230063r6772,47990l284106,325557r12638,46883l312285,418567r18421,45236l90422,570484xe" filled="f" strokecolor="white" strokeweight=".52914mm">
                  <v:path arrowok="t"/>
                </v:shape>
                <v:shape id="Graphic 71" o:spid="_x0000_s1058" style="position:absolute;left:17558;top:5995;width:4413;height:5734;visibility:visible;mso-wrap-style:square;v-text-anchor:top" coordsize="441325,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" path="m240411,l208992,38796,179528,78933r-27474,41401l126604,162922r-23391,43697l81914,251348,62743,297033,45734,343596,30920,390959,18337,439046,8019,487780,,537082r260476,35942l268877,523807r11446,-48414l294757,427914r17363,-46409l332353,336298r23044,-43869l381195,250030r28493,-40794l440817,170179,240411,xe" fillcolor="#e2e0d7" stroked="f">
                  <v:path arrowok="t"/>
                </v:shape>
                <v:shape id="Graphic 72" o:spid="_x0000_s1059" style="position:absolute;left:17558;top:5995;width:4413;height:5734;visibility:visible;mso-wrap-style:square;v-text-anchor:top" coordsize="441325,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" path="m,537082l8019,487780,18337,439046,30920,390959,45734,343596,62743,297033,81914,251348r21299,-44729l126604,162922r25450,-42588l179528,78933,208992,38796,240411,,440817,170179r-31129,39057l381195,250030r-25798,42399l332353,336298r-20233,45207l294757,427914r-14434,47479l268877,523807r-8401,49217l,537082xe" filled="f" strokecolor="white" strokeweight="1.5pt">
                  <v:path arrowok="t"/>
                </v:shape>
                <v:shape id="Image 73" o:spid="_x0000_s1060" type="#_x0000_t75" style="position:absolute;left:19916;top:5696;width:2275;height: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">
                  <v:imagedata r:id="rId41" o:title=""/>
                </v:shape>
                <v:shape id="Graphic 74" o:spid="_x0000_s1061" style="position:absolute;left:20227;top:2130;width:7906;height:5315;visibility:visible;mso-wrap-style:square;v-text-anchor:top" coordsize="79057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" path="m790575,l740261,1203,690294,4789r-49544,5935l591704,18973,543233,29502,495412,42276,448319,57261,402028,74423,356615,93725r-44457,21411l268732,138619r-42320,25521l185276,191665r-39878,29494l106856,252588,69725,285918,34080,321113,,358139,197612,531494r33082,-35452l265688,462871r36784,-30832l340926,403598r40002,-25992l422356,354116r42733,-20932l509007,314864r44979,-15652l599907,286283r46741,-10152l694087,268811r48016,-4432l790575,262889,790575,xe" fillcolor="#629342" stroked="f">
                  <v:path arrowok="t"/>
                </v:shape>
                <v:shape id="Graphic 75" o:spid="_x0000_s1062" style="position:absolute;left:20227;top:2130;width:7906;height:5315;visibility:visible;mso-wrap-style:square;v-text-anchor:top" coordsize="79057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" path="m,358139l34080,321113,69725,285918r37131,-33330l145398,221159r39878,-29494l226412,164140r42320,-25521l312158,115136,356615,93725,402028,74423,448319,57261,495412,42276,543233,29502,591704,18973r49046,-8249l690294,4789,740261,1203,790575,r,262889l742103,264379r-48016,4432l646648,276131r-46741,10152l553986,299212r-44979,15652l465089,333184r-42733,20932l380928,377606r-40002,25992l302472,432039r-36784,30832l230694,496042r-33082,35452l,358139xe" filled="f" strokecolor="white" strokeweight="1.5pt">
                  <v:path arrowok="t"/>
                </v:shape>
                <v:shape id="Graphic 76" o:spid="_x0000_s1063" style="position:absolute;left:2860;top:4148;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" path="m48634,l,,,48633r48634,l48634,xe" fillcolor="#04316d" stroked="f">
                  <v:path arrowok="t"/>
                </v:shape>
                <v:shape id="Graphic 77" o:spid="_x0000_s1064" style="position:absolute;left:2860;top:637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" path="m48634,l,,,48633r48634,l48634,xe" fillcolor="#125a40" stroked="f">
                  <v:path arrowok="t"/>
                </v:shape>
                <v:shape id="Graphic 78" o:spid="_x0000_s1065" style="position:absolute;left:2860;top:8606;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" path="m48634,l,,,48633r48634,l48634,xe" fillcolor="#acd094" stroked="f">
                  <v:path arrowok="t"/>
                </v:shape>
                <v:shape id="Graphic 79" o:spid="_x0000_s1066" style="position:absolute;left:2860;top:10836;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" path="m48634,l,,,48633r48634,l48634,xe" fillcolor="#61294a" stroked="f">
                  <v:path arrowok="t"/>
                </v:shape>
                <v:shape id="Graphic 80" o:spid="_x0000_s1067" style="position:absolute;left:2860;top:13065;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" path="m48634,l,,,48633r48634,l48634,xe" fillcolor="#ff8754" stroked="f">
                  <v:path arrowok="t"/>
                </v:shape>
                <v:shape id="Graphic 81" o:spid="_x0000_s1068" style="position:absolute;left:2860;top:1529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" path="m48634,l,,,48633r48634,l48634,xe" fillcolor="#e2e0d7" stroked="f">
                  <v:path arrowok="t"/>
                </v:shape>
                <v:shape id="Graphic 82" o:spid="_x0000_s1069" style="position:absolute;left:2860;top:1752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" path="m48634,l,,,48633r48634,l48634,xe" fillcolor="#031e42" stroked="f">
                  <v:path arrowok="t"/>
                </v:shape>
                <v:shape id="Graphic 83" o:spid="_x0000_s1070" style="position:absolute;left:2860;top:19753;width:489;height:488;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" path="m48634,l,,,48633r48634,l48634,xe" fillcolor="#0a3625" stroked="f">
                  <v:path arrowok="t"/>
                </v:shape>
                <v:shape id="Graphic 84" o:spid="_x0000_s1071" style="position:absolute;left:2860;top:21981;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" path="m48634,l,,,48633r48634,l48634,xe" fillcolor="#629342" stroked="f">
                  <v:path arrowok="t"/>
                </v:shape>
                <v:shape id="Graphic 85" o:spid="_x0000_s1072" style="position:absolute;left:47;top:47;width:42609;height:25362;visibility:visible;mso-wrap-style:square;v-text-anchor:top" coordsize="4260850,253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" path="m,2536190r4260850,l4260850,,,,,2536190xe" filled="f" strokecolor="#d9d9d9">
                  <v:path arrowok="t"/>
                </v:shape>
                <v:shape id="Textbox 86" o:spid="_x0000_s1073" type="#_x0000_t202" style="position:absolute;left:3545;top:21655;width:471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" filled="f" stroked="f">
                  <v:textbox inset="0,0,0,0">
                    <w:txbxContent>
                      <w:p w14:paraId="0E424B93" w14:textId="77777777" w:rsidR="005F35E4" w:rsidRDefault="005F35E4" w:rsidP="005F35E4">
                        <w:pPr>
                          <w:spacing w:before="6" w:line="163" w:lineRule="exact"/>
                          <w:rPr>
                            <w:sz w:val="14"/>
                          </w:rPr>
                        </w:pPr>
                        <w:r>
                          <w:rPr>
                            <w:color w:val="585858"/>
                            <w:w w:val="120"/>
                            <w:sz w:val="9"/>
                          </w:rPr>
                          <w:t xml:space="preserve">Other </w:t>
                        </w:r>
                        <w:r>
                          <w:rPr>
                            <w:color w:val="585858"/>
                            <w:spacing w:val="-2"/>
                            <w:w w:val="120"/>
                            <w:sz w:val="9"/>
                          </w:rPr>
                          <w:t>causes</w:t>
                        </w:r>
                      </w:p>
                    </w:txbxContent>
                  </v:textbox>
                </v:shape>
                <v:shape id="Textbox 87" o:spid="_x0000_s1074" type="#_x0000_t202" style="position:absolute;left:34140;top:19159;width:1931;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" filled="f" stroked="f">
                  <v:textbox inset="0,0,0,0">
                    <w:txbxContent>
                      <w:p w14:paraId="2059F130" w14:textId="77777777" w:rsidR="005F35E4" w:rsidRDefault="005F35E4" w:rsidP="005F35E4">
                        <w:pPr>
                          <w:spacing w:before="6" w:line="139" w:lineRule="exact"/>
                          <w:rPr>
                            <w:i/>
                            <w:sz w:val="12"/>
                          </w:rPr>
                        </w:pPr>
                        <w:r>
                          <w:rPr>
                            <w:i/>
                            <w:color w:val="404040"/>
                            <w:spacing w:val="-5"/>
                            <w:w w:val="135"/>
                            <w:sz w:val="8"/>
                          </w:rPr>
                          <w:t>43</w:t>
                        </w:r>
                      </w:p>
                    </w:txbxContent>
                  </v:textbox>
                </v:shape>
                <v:shape id="Textbox 88" o:spid="_x0000_s1075" type="#_x0000_t202" style="position:absolute;left:20381;top:18669;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" filled="f" stroked="f">
                  <v:textbox inset="0,0,0,0">
                    <w:txbxContent>
                      <w:p w14:paraId="05EBE039" w14:textId="77777777" w:rsidR="005F35E4" w:rsidRDefault="005F35E4" w:rsidP="005F35E4">
                        <w:pPr>
                          <w:spacing w:before="6" w:line="139" w:lineRule="exact"/>
                          <w:rPr>
                            <w:i/>
                            <w:sz w:val="12"/>
                          </w:rPr>
                        </w:pPr>
                        <w:r>
                          <w:rPr>
                            <w:i/>
                            <w:color w:val="404040"/>
                            <w:spacing w:val="-5"/>
                            <w:w w:val="140"/>
                            <w:sz w:val="8"/>
                          </w:rPr>
                          <w:t>9</w:t>
                        </w:r>
                      </w:p>
                    </w:txbxContent>
                  </v:textbox>
                </v:shape>
                <v:shape id="Textbox 89" o:spid="_x0000_s1076" type="#_x0000_t202" style="position:absolute;left:3545;top:14967;width:12846;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" filled="f" stroked="f">
                  <v:textbox inset="0,0,0,0">
                    <w:txbxContent>
                      <w:p w14:paraId="01113F97" w14:textId="77777777" w:rsidR="005F35E4" w:rsidRDefault="005F35E4" w:rsidP="005F35E4">
                        <w:pPr>
                          <w:spacing w:before="6"/>
                          <w:rPr>
                            <w:sz w:val="14"/>
                          </w:rPr>
                        </w:pPr>
                        <w:r>
                          <w:rPr>
                            <w:color w:val="585858"/>
                            <w:spacing w:val="-2"/>
                            <w:w w:val="120"/>
                            <w:sz w:val="9"/>
                          </w:rPr>
                          <w:t xml:space="preserve">Respiratory </w:t>
                        </w:r>
                        <w:r>
                          <w:rPr>
                            <w:color w:val="585858"/>
                            <w:w w:val="120"/>
                            <w:sz w:val="9"/>
                          </w:rPr>
                          <w:t>diseases</w:t>
                        </w:r>
                      </w:p>
                      <w:p w14:paraId="0DC13529" w14:textId="77777777" w:rsidR="005F35E4" w:rsidRDefault="005F35E4" w:rsidP="005F35E4">
                        <w:pPr>
                          <w:spacing w:before="166" w:line="247" w:lineRule="auto"/>
                          <w:ind w:right="504"/>
                          <w:rPr>
                            <w:sz w:val="14"/>
                          </w:rPr>
                        </w:pPr>
                        <w:r>
                          <w:rPr>
                            <w:color w:val="585858"/>
                            <w:spacing w:val="-2"/>
                            <w:w w:val="120"/>
                            <w:sz w:val="9"/>
                          </w:rPr>
                          <w:t xml:space="preserve">Perinatal </w:t>
                        </w:r>
                        <w:r>
                          <w:rPr>
                            <w:color w:val="585858"/>
                            <w:w w:val="120"/>
                            <w:sz w:val="9"/>
                          </w:rPr>
                          <w:t xml:space="preserve">disorders </w:t>
                        </w:r>
                        <w:r>
                          <w:rPr>
                            <w:color w:val="585858"/>
                            <w:spacing w:val="-2"/>
                            <w:w w:val="120"/>
                            <w:sz w:val="9"/>
                          </w:rPr>
                          <w:t>Malformations</w:t>
                        </w:r>
                      </w:p>
                    </w:txbxContent>
                  </v:textbox>
                </v:shape>
                <v:shape id="Textbox 90" o:spid="_x0000_s1077" type="#_x0000_t202" style="position:absolute;left:18181;top:13803;width:1442;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" filled="f" stroked="f">
                  <v:textbox inset="0,0,0,0">
                    <w:txbxContent>
                      <w:p w14:paraId="3BD3CC49" w14:textId="77777777" w:rsidR="005F35E4" w:rsidRDefault="005F35E4" w:rsidP="005F35E4">
                        <w:pPr>
                          <w:spacing w:before="6" w:line="139" w:lineRule="exact"/>
                          <w:rPr>
                            <w:i/>
                            <w:sz w:val="12"/>
                          </w:rPr>
                        </w:pPr>
                        <w:r>
                          <w:rPr>
                            <w:i/>
                            <w:color w:val="404040"/>
                            <w:spacing w:val="-5"/>
                            <w:w w:val="140"/>
                            <w:sz w:val="8"/>
                          </w:rPr>
                          <w:t>9</w:t>
                        </w:r>
                      </w:p>
                    </w:txbxContent>
                  </v:textbox>
                </v:shape>
                <v:shape id="Textbox 91" o:spid="_x0000_s1078" type="#_x0000_t202" style="position:absolute;left:3545;top:10508;width:10814;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" filled="f" stroked="f">
                  <v:textbox inset="0,0,0,0">
                    <w:txbxContent>
                      <w:p w14:paraId="047456AD" w14:textId="77777777" w:rsidR="005F35E4" w:rsidRDefault="005F35E4" w:rsidP="005F35E4">
                        <w:pPr>
                          <w:spacing w:before="6"/>
                          <w:rPr>
                            <w:sz w:val="14"/>
                          </w:rPr>
                        </w:pPr>
                        <w:r>
                          <w:rPr>
                            <w:color w:val="585858"/>
                            <w:w w:val="120"/>
                            <w:sz w:val="9"/>
                          </w:rPr>
                          <w:t xml:space="preserve">Ischemic </w:t>
                        </w:r>
                        <w:r>
                          <w:rPr>
                            <w:color w:val="585858"/>
                            <w:spacing w:val="-2"/>
                            <w:w w:val="120"/>
                            <w:sz w:val="9"/>
                          </w:rPr>
                          <w:t xml:space="preserve">heart </w:t>
                        </w:r>
                        <w:r>
                          <w:rPr>
                            <w:color w:val="585858"/>
                            <w:w w:val="120"/>
                            <w:sz w:val="9"/>
                          </w:rPr>
                          <w:t>disease</w:t>
                        </w:r>
                      </w:p>
                      <w:p w14:paraId="7E2DE896" w14:textId="77777777" w:rsidR="005F35E4" w:rsidRDefault="005F35E4" w:rsidP="005F35E4">
                        <w:pPr>
                          <w:spacing w:before="9"/>
                          <w:rPr>
                            <w:sz w:val="14"/>
                          </w:rPr>
                        </w:pPr>
                      </w:p>
                      <w:p w14:paraId="4240B61B" w14:textId="77777777" w:rsidR="005F35E4" w:rsidRDefault="005F35E4" w:rsidP="005F35E4">
                        <w:pPr>
                          <w:spacing w:line="163" w:lineRule="exact"/>
                          <w:rPr>
                            <w:sz w:val="14"/>
                          </w:rPr>
                        </w:pPr>
                        <w:r>
                          <w:rPr>
                            <w:color w:val="585858"/>
                            <w:spacing w:val="-2"/>
                            <w:w w:val="120"/>
                            <w:sz w:val="9"/>
                          </w:rPr>
                          <w:t xml:space="preserve">Cerebrovascular </w:t>
                        </w:r>
                        <w:r>
                          <w:rPr>
                            <w:color w:val="585858"/>
                            <w:w w:val="120"/>
                            <w:sz w:val="9"/>
                          </w:rPr>
                          <w:t>diseases</w:t>
                        </w:r>
                      </w:p>
                    </w:txbxContent>
                  </v:textbox>
                </v:shape>
                <v:shape id="Textbox 92" o:spid="_x0000_s1079" type="#_x0000_t202" style="position:absolute;left:18918;top:8586;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" filled="f" stroked="f">
                  <v:textbox inset="0,0,0,0">
                    <w:txbxContent>
                      <w:p w14:paraId="090636E0" w14:textId="77777777" w:rsidR="005F35E4" w:rsidRDefault="005F35E4" w:rsidP="005F35E4">
                        <w:pPr>
                          <w:spacing w:before="6" w:line="139" w:lineRule="exact"/>
                          <w:rPr>
                            <w:i/>
                            <w:sz w:val="12"/>
                          </w:rPr>
                        </w:pPr>
                        <w:r>
                          <w:rPr>
                            <w:i/>
                            <w:color w:val="404040"/>
                            <w:spacing w:val="-5"/>
                            <w:w w:val="140"/>
                            <w:sz w:val="8"/>
                          </w:rPr>
                          <w:t>9</w:t>
                        </w:r>
                      </w:p>
                    </w:txbxContent>
                  </v:textbox>
                </v:shape>
                <v:shape id="Textbox 93" o:spid="_x0000_s1080" type="#_x0000_t202" style="position:absolute;left:3545;top:8277;width:12649;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" filled="f" stroked="f">
                  <v:textbox inset="0,0,0,0">
                    <w:txbxContent>
                      <w:p w14:paraId="4E87DA3B" w14:textId="77777777" w:rsidR="005F35E4" w:rsidRDefault="005F35E4" w:rsidP="005F35E4">
                        <w:pPr>
                          <w:spacing w:before="6" w:line="163" w:lineRule="exact"/>
                          <w:rPr>
                            <w:sz w:val="14"/>
                          </w:rPr>
                        </w:pPr>
                        <w:r>
                          <w:rPr>
                            <w:color w:val="585858"/>
                            <w:spacing w:val="-2"/>
                            <w:w w:val="120"/>
                            <w:sz w:val="9"/>
                          </w:rPr>
                          <w:t xml:space="preserve">Circulatory </w:t>
                        </w:r>
                        <w:r>
                          <w:rPr>
                            <w:color w:val="585858"/>
                            <w:w w:val="120"/>
                            <w:sz w:val="9"/>
                          </w:rPr>
                          <w:t>system diseases</w:t>
                        </w:r>
                      </w:p>
                    </w:txbxContent>
                  </v:textbox>
                </v:shape>
                <v:shape id="Textbox 94" o:spid="_x0000_s1081" type="#_x0000_t202" style="position:absolute;left:35414;top:7025;width:1442;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" filled="f" stroked="f">
                  <v:textbox inset="0,0,0,0">
                    <w:txbxContent>
                      <w:p w14:paraId="4398D496" w14:textId="77777777" w:rsidR="005F35E4" w:rsidRDefault="005F35E4" w:rsidP="005F35E4">
                        <w:pPr>
                          <w:spacing w:before="7" w:line="140" w:lineRule="exact"/>
                          <w:rPr>
                            <w:i/>
                            <w:sz w:val="12"/>
                          </w:rPr>
                        </w:pPr>
                        <w:r>
                          <w:rPr>
                            <w:i/>
                            <w:color w:val="404040"/>
                            <w:spacing w:val="-5"/>
                            <w:w w:val="140"/>
                            <w:sz w:val="8"/>
                          </w:rPr>
                          <w:t>1</w:t>
                        </w:r>
                      </w:p>
                    </w:txbxContent>
                  </v:textbox>
                </v:shape>
                <v:shape id="Textbox 95" o:spid="_x0000_s1082" type="#_x0000_t202" style="position:absolute;left:20433;top:6218;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" filled="f" stroked="f">
                  <v:textbox inset="0,0,0,0">
                    <w:txbxContent>
                      <w:p w14:paraId="49064542" w14:textId="77777777" w:rsidR="005F35E4" w:rsidRDefault="005F35E4" w:rsidP="005F35E4">
                        <w:pPr>
                          <w:spacing w:before="8" w:line="138" w:lineRule="exact"/>
                          <w:rPr>
                            <w:rFonts w:ascii="Arial"/>
                            <w:b/>
                            <w:i/>
                            <w:sz w:val="12"/>
                          </w:rPr>
                        </w:pPr>
                        <w:r>
                          <w:rPr>
                            <w:rFonts w:ascii="Arial"/>
                            <w:b/>
                            <w:i/>
                            <w:color w:val="404040"/>
                            <w:spacing w:val="-5"/>
                            <w:w w:val="120"/>
                            <w:sz w:val="8"/>
                          </w:rPr>
                          <w:t>0</w:t>
                        </w:r>
                      </w:p>
                    </w:txbxContent>
                  </v:textbox>
                </v:shape>
                <v:shape id="Textbox 96" o:spid="_x0000_s1083" type="#_x0000_t202" style="position:absolute;left:3545;top:6049;width:11512;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" filled="f" stroked="f">
                  <v:textbox inset="0,0,0,0">
                    <w:txbxContent>
                      <w:p w14:paraId="43DB7F4A" w14:textId="77777777" w:rsidR="005F35E4" w:rsidRDefault="005F35E4" w:rsidP="005F35E4">
                        <w:pPr>
                          <w:spacing w:before="6" w:line="163" w:lineRule="exact"/>
                          <w:rPr>
                            <w:sz w:val="14"/>
                          </w:rPr>
                        </w:pPr>
                        <w:r>
                          <w:rPr>
                            <w:color w:val="585858"/>
                            <w:w w:val="120"/>
                            <w:sz w:val="9"/>
                          </w:rPr>
                          <w:t xml:space="preserve">Diseases of the </w:t>
                        </w:r>
                        <w:r>
                          <w:rPr>
                            <w:color w:val="585858"/>
                            <w:spacing w:val="-2"/>
                            <w:w w:val="120"/>
                            <w:sz w:val="9"/>
                          </w:rPr>
                          <w:t xml:space="preserve">nervous </w:t>
                        </w:r>
                        <w:r>
                          <w:rPr>
                            <w:color w:val="585858"/>
                            <w:w w:val="120"/>
                            <w:sz w:val="9"/>
                          </w:rPr>
                          <w:t>system</w:t>
                        </w:r>
                      </w:p>
                    </w:txbxContent>
                  </v:textbox>
                </v:shape>
                <v:shape id="Textbox 97" o:spid="_x0000_s1084" type="#_x0000_t202" style="position:absolute;left:31663;top:3984;width:1930;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" filled="f" stroked="f">
                  <v:textbox inset="0,0,0,0">
                    <w:txbxContent>
                      <w:p w14:paraId="13F0C4C3" w14:textId="77777777" w:rsidR="005F35E4" w:rsidRDefault="005F35E4" w:rsidP="005F35E4">
                        <w:pPr>
                          <w:spacing w:before="6" w:line="139" w:lineRule="exact"/>
                          <w:rPr>
                            <w:i/>
                            <w:sz w:val="12"/>
                          </w:rPr>
                        </w:pPr>
                        <w:r>
                          <w:rPr>
                            <w:i/>
                            <w:color w:val="404040"/>
                            <w:spacing w:val="-5"/>
                            <w:w w:val="135"/>
                            <w:sz w:val="8"/>
                          </w:rPr>
                          <w:t>1</w:t>
                        </w:r>
                      </w:p>
                    </w:txbxContent>
                  </v:textbox>
                </v:shape>
                <v:shape id="Textbox 98" o:spid="_x0000_s1085" type="#_x0000_t202" style="position:absolute;left:23435;top:3804;width:1931;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" filled="f" stroked="f">
                  <v:textbox inset="0,0,0,0">
                    <w:txbxContent>
                      <w:p w14:paraId="5AF6689C" w14:textId="77777777" w:rsidR="005F35E4" w:rsidRDefault="005F35E4" w:rsidP="005F35E4">
                        <w:pPr>
                          <w:spacing w:before="6" w:line="139" w:lineRule="exact"/>
                          <w:rPr>
                            <w:i/>
                            <w:sz w:val="12"/>
                          </w:rPr>
                        </w:pPr>
                        <w:r>
                          <w:rPr>
                            <w:i/>
                            <w:color w:val="404040"/>
                            <w:spacing w:val="-5"/>
                            <w:w w:val="135"/>
                            <w:sz w:val="8"/>
                          </w:rPr>
                          <w:t>14</w:t>
                        </w:r>
                      </w:p>
                    </w:txbxContent>
                  </v:textbox>
                </v:shape>
                <v:shape id="Textbox 99" o:spid="_x0000_s1086" type="#_x0000_t202" style="position:absolute;left:3545;top:3818;width:326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" filled="f" stroked="f">
                  <v:textbox inset="0,0,0,0">
                    <w:txbxContent>
                      <w:p w14:paraId="4658EAEF" w14:textId="77777777" w:rsidR="005F35E4" w:rsidRDefault="005F35E4" w:rsidP="005F35E4">
                        <w:pPr>
                          <w:spacing w:before="6" w:line="163" w:lineRule="exact"/>
                          <w:rPr>
                            <w:sz w:val="14"/>
                          </w:rPr>
                        </w:pPr>
                        <w:r>
                          <w:rPr>
                            <w:color w:val="585858"/>
                            <w:spacing w:val="-2"/>
                            <w:w w:val="120"/>
                            <w:sz w:val="9"/>
                          </w:rPr>
                          <w:t>Tumors</w:t>
                        </w:r>
                      </w:p>
                    </w:txbxContent>
                  </v:textbox>
                </v:shape>
                <w10:wrap type="topAndBottom" anchorx="page"/>
              </v:group>
            </w:pict>
          </mc:Fallback>
        </mc:AlternateContent>
      </w:r>
      <w:r w:rsidRPr="00EC75B7">
        <w:rPr>
          <w:rFonts w:ascii="Verdana" w:hAnsi="Verdana"/>
        </w:rPr>
        <w:t xml:space="preserve">The situation regarding deaths associated with air pollution at the county level is </w:t>
      </w:r>
      <w:r w:rsidRPr="00EC75B7">
        <w:rPr>
          <w:rFonts w:ascii="Verdana" w:hAnsi="Verdana"/>
          <w:spacing w:val="-2"/>
        </w:rPr>
        <w:t>as follows:</w:t>
      </w:r>
    </w:p>
    <w:p w14:paraId="30949924" w14:textId="77777777" w:rsidR="008715BE" w:rsidRPr="00EC75B7" w:rsidRDefault="008715BE">
      <w:pPr>
        <w:pStyle w:val="BodyText"/>
        <w:spacing w:before="43"/>
        <w:rPr>
          <w:rFonts w:ascii="Verdana" w:hAnsi="Verdana"/>
          <w:b/>
        </w:rPr>
      </w:pPr>
    </w:p>
    <w:p w14:paraId="25A4F112" w14:textId="77777777" w:rsidR="005F35E4" w:rsidRPr="00EC75B7" w:rsidRDefault="005F35E4" w:rsidP="005F35E4">
      <w:pPr>
        <w:spacing w:before="27" w:line="171" w:lineRule="exact"/>
        <w:ind w:right="37"/>
        <w:jc w:val="center"/>
        <w:rPr>
          <w:rFonts w:ascii="Verdana" w:hAnsi="Verdana"/>
          <w:i/>
          <w:sz w:val="18"/>
          <w:szCs w:val="18"/>
        </w:rPr>
      </w:pPr>
      <w:r w:rsidRPr="00EC75B7">
        <w:rPr>
          <w:rFonts w:ascii="Verdana" w:hAnsi="Verdana"/>
          <w:i/>
          <w:color w:val="00AFEF"/>
          <w:sz w:val="18"/>
          <w:szCs w:val="18"/>
        </w:rPr>
        <w:t xml:space="preserve">Source: Processing based on </w:t>
      </w:r>
      <w:r w:rsidRPr="00EC75B7">
        <w:rPr>
          <w:rFonts w:ascii="Verdana" w:hAnsi="Verdana"/>
          <w:i/>
          <w:color w:val="00AFEF"/>
          <w:spacing w:val="-5"/>
          <w:sz w:val="18"/>
          <w:szCs w:val="18"/>
        </w:rPr>
        <w:t xml:space="preserve">INS </w:t>
      </w:r>
      <w:r w:rsidRPr="00EC75B7">
        <w:rPr>
          <w:rFonts w:ascii="Verdana" w:hAnsi="Verdana"/>
          <w:i/>
          <w:color w:val="00AFEF"/>
          <w:sz w:val="18"/>
          <w:szCs w:val="18"/>
        </w:rPr>
        <w:t>data</w:t>
      </w:r>
    </w:p>
    <w:p w14:paraId="43C1169B" w14:textId="77777777" w:rsidR="005F35E4" w:rsidRPr="00EC75B7" w:rsidRDefault="005F35E4" w:rsidP="005F35E4">
      <w:pPr>
        <w:ind w:left="747" w:right="831"/>
        <w:jc w:val="center"/>
        <w:rPr>
          <w:rFonts w:ascii="Verdana" w:hAnsi="Verdana"/>
          <w:b/>
          <w:sz w:val="18"/>
          <w:szCs w:val="18"/>
        </w:rPr>
      </w:pPr>
      <w:r w:rsidRPr="00EC75B7">
        <w:rPr>
          <w:rFonts w:ascii="Verdana" w:hAnsi="Verdana"/>
          <w:b/>
          <w:color w:val="009DEF"/>
          <w:sz w:val="18"/>
          <w:szCs w:val="18"/>
        </w:rPr>
        <w:t xml:space="preserve">Figure 9 Deaths associated with </w:t>
      </w:r>
      <w:r w:rsidRPr="00EC75B7">
        <w:rPr>
          <w:rFonts w:ascii="Verdana" w:hAnsi="Verdana"/>
          <w:b/>
          <w:color w:val="009DEF"/>
          <w:spacing w:val="-2"/>
          <w:sz w:val="18"/>
          <w:szCs w:val="18"/>
        </w:rPr>
        <w:t xml:space="preserve">air </w:t>
      </w:r>
      <w:r w:rsidRPr="00EC75B7">
        <w:rPr>
          <w:rFonts w:ascii="Verdana" w:hAnsi="Verdana"/>
          <w:b/>
          <w:color w:val="009DEF"/>
          <w:sz w:val="18"/>
          <w:szCs w:val="18"/>
        </w:rPr>
        <w:t>pollution</w:t>
      </w:r>
    </w:p>
    <w:p w14:paraId="64FDBB0D" w14:textId="77777777" w:rsidR="008715BE" w:rsidRPr="00EC75B7" w:rsidRDefault="008715BE">
      <w:pPr>
        <w:pStyle w:val="BodyText"/>
        <w:rPr>
          <w:rFonts w:ascii="Verdana" w:hAnsi="Verdana"/>
        </w:rPr>
      </w:pPr>
    </w:p>
    <w:p w14:paraId="318A349B" w14:textId="77777777" w:rsidR="005F35E4" w:rsidRPr="00EC75B7" w:rsidRDefault="005F35E4" w:rsidP="005F35E4">
      <w:pPr>
        <w:pStyle w:val="Heading5"/>
        <w:numPr>
          <w:ilvl w:val="1"/>
          <w:numId w:val="99"/>
        </w:numPr>
        <w:tabs>
          <w:tab w:val="left" w:pos="1330"/>
        </w:tabs>
        <w:ind w:left="1330" w:hanging="205"/>
        <w:jc w:val="left"/>
        <w:rPr>
          <w:rFonts w:ascii="Verdana" w:hAnsi="Verdana"/>
          <w:b w:val="0"/>
        </w:rPr>
      </w:pPr>
      <w:r w:rsidRPr="00EC75B7">
        <w:rPr>
          <w:rFonts w:ascii="Verdana" w:hAnsi="Verdana"/>
        </w:rPr>
        <w:t xml:space="preserve">Effects of noise pollution on </w:t>
      </w:r>
      <w:r w:rsidRPr="00EC75B7">
        <w:rPr>
          <w:rFonts w:ascii="Verdana" w:hAnsi="Verdana"/>
          <w:spacing w:val="-2"/>
        </w:rPr>
        <w:t xml:space="preserve">human </w:t>
      </w:r>
      <w:r w:rsidRPr="00EC75B7">
        <w:rPr>
          <w:rFonts w:ascii="Verdana" w:hAnsi="Verdana"/>
        </w:rPr>
        <w:t>health</w:t>
      </w:r>
    </w:p>
    <w:p w14:paraId="1E10EFD5" w14:textId="77777777" w:rsidR="005F35E4" w:rsidRPr="00EC75B7" w:rsidRDefault="005F35E4" w:rsidP="005F35E4">
      <w:pPr>
        <w:pStyle w:val="BodyText"/>
        <w:spacing w:before="9"/>
        <w:rPr>
          <w:rFonts w:ascii="Verdana" w:hAnsi="Verdana"/>
          <w:b/>
        </w:rPr>
      </w:pPr>
    </w:p>
    <w:p w14:paraId="0ACD89D6" w14:textId="77777777" w:rsidR="005F35E4" w:rsidRPr="00EC75B7" w:rsidRDefault="005F35E4" w:rsidP="005F35E4">
      <w:pPr>
        <w:pStyle w:val="BodyText"/>
        <w:spacing w:line="357" w:lineRule="auto"/>
        <w:ind w:left="765" w:right="846"/>
        <w:jc w:val="both"/>
        <w:rPr>
          <w:rFonts w:ascii="Verdana" w:hAnsi="Verdana"/>
        </w:rPr>
      </w:pPr>
      <w:r w:rsidRPr="00EC75B7">
        <w:rPr>
          <w:rFonts w:ascii="Verdana" w:hAnsi="Verdana"/>
        </w:rPr>
        <w:t>Another stress factor that can aggravate certain conditions (hearing loss, mental illness, cardiovascular disease, endocrine disorders) is noise, which is one of the most widespread threats to public health in industrialized countries.</w:t>
      </w:r>
    </w:p>
    <w:p w14:paraId="0A2D86DA" w14:textId="77777777" w:rsidR="005F35E4" w:rsidRPr="00EC75B7" w:rsidRDefault="005F35E4" w:rsidP="005F35E4">
      <w:pPr>
        <w:pStyle w:val="BodyText"/>
        <w:spacing w:before="122" w:line="360" w:lineRule="auto"/>
        <w:ind w:left="765" w:right="856"/>
        <w:jc w:val="both"/>
        <w:rPr>
          <w:rFonts w:ascii="Verdana" w:hAnsi="Verdana"/>
        </w:rPr>
      </w:pPr>
      <w:r w:rsidRPr="00EC75B7">
        <w:rPr>
          <w:rFonts w:ascii="Verdana" w:hAnsi="Verdana"/>
        </w:rPr>
        <w:t>In the municipality of Cerchezu, traffic is not a significant source of noise, given that the municipality's roads are local roads (county and municipal).</w:t>
      </w:r>
    </w:p>
    <w:p w14:paraId="0F9AFDD7" w14:textId="77777777" w:rsidR="005F35E4" w:rsidRPr="00EC75B7" w:rsidRDefault="005F35E4" w:rsidP="005F35E4">
      <w:pPr>
        <w:pStyle w:val="BodyText"/>
        <w:spacing w:before="119" w:line="357" w:lineRule="auto"/>
        <w:ind w:left="765" w:right="859"/>
        <w:jc w:val="both"/>
        <w:rPr>
          <w:rFonts w:ascii="Verdana" w:hAnsi="Verdana"/>
        </w:rPr>
      </w:pPr>
      <w:r w:rsidRPr="00EC75B7">
        <w:rPr>
          <w:rFonts w:ascii="Verdana" w:hAnsi="Verdana"/>
        </w:rPr>
        <w:t>Wind turbines can generate a constant and characteristic noise, which can affect sleep quality and cause acoustic discomfort. An important reference value is the noise level outside homes, which should not exceed the limit imposed by national and international regulations.</w:t>
      </w:r>
    </w:p>
    <w:p w14:paraId="4808CDC3" w14:textId="77777777" w:rsidR="005F35E4" w:rsidRPr="00EC75B7" w:rsidRDefault="005F35E4" w:rsidP="005F35E4">
      <w:pPr>
        <w:pStyle w:val="BodyText"/>
        <w:spacing w:before="122" w:line="357" w:lineRule="auto"/>
        <w:ind w:left="765" w:right="858"/>
        <w:jc w:val="both"/>
        <w:rPr>
          <w:rFonts w:ascii="Verdana" w:hAnsi="Verdana"/>
        </w:rPr>
      </w:pPr>
      <w:r w:rsidRPr="00EC75B7">
        <w:rPr>
          <w:rFonts w:ascii="Verdana" w:hAnsi="Verdana"/>
        </w:rPr>
        <w:t>Persistent noise, including at night, can affect sleep quality and lead to insomnia, cognitive impairment, and anxiety or irritability.</w:t>
      </w:r>
    </w:p>
    <w:p w14:paraId="14CA9593" w14:textId="77777777" w:rsidR="005F35E4" w:rsidRPr="00EC75B7" w:rsidRDefault="005F35E4" w:rsidP="005F35E4">
      <w:pPr>
        <w:pStyle w:val="BodyText"/>
        <w:spacing w:before="1" w:line="357" w:lineRule="auto"/>
        <w:ind w:left="765" w:right="858"/>
        <w:jc w:val="both"/>
        <w:rPr>
          <w:rFonts w:ascii="Verdana" w:hAnsi="Verdana"/>
        </w:rPr>
      </w:pPr>
      <w:r w:rsidRPr="00EC75B7">
        <w:rPr>
          <w:rFonts w:ascii="Verdana" w:hAnsi="Verdana"/>
        </w:rPr>
        <w:t>Some studies suggest that long-term exposure to noise from wind turbines can have a negative impact on the cardiovascular system, increasing the risk of high blood pressure, heart disease, and stroke.</w:t>
      </w:r>
    </w:p>
    <w:p w14:paraId="3AD8D2D0" w14:textId="77777777" w:rsidR="005F35E4" w:rsidRPr="00EC75B7" w:rsidRDefault="005F35E4" w:rsidP="005F35E4">
      <w:pPr>
        <w:pStyle w:val="BodyText"/>
        <w:spacing w:before="122" w:line="357" w:lineRule="auto"/>
        <w:ind w:left="765" w:right="859"/>
        <w:jc w:val="both"/>
        <w:rPr>
          <w:rFonts w:ascii="Verdana" w:hAnsi="Verdana"/>
        </w:rPr>
      </w:pPr>
      <w:r w:rsidRPr="00EC75B7">
        <w:rPr>
          <w:rFonts w:ascii="Verdana" w:hAnsi="Verdana"/>
        </w:rPr>
        <w:t>Individual reactions to noise can vary depending on personal factors, context, and individual sensitivity. Some people may be more sensitive to the specific noise of wind turbines and may experience more pronounced adverse effects.</w:t>
      </w:r>
    </w:p>
    <w:p w14:paraId="7534007E" w14:textId="77777777" w:rsidR="008715BE" w:rsidRDefault="008715BE">
      <w:pPr>
        <w:rPr>
          <w:rFonts w:ascii="Verdana" w:hAnsi="Verdana"/>
          <w:sz w:val="18"/>
          <w:szCs w:val="18"/>
        </w:rPr>
      </w:pPr>
    </w:p>
    <w:p w14:paraId="6703E86B" w14:textId="77777777" w:rsidR="005F35E4" w:rsidRPr="00EC75B7" w:rsidRDefault="005F35E4" w:rsidP="005F35E4">
      <w:pPr>
        <w:pStyle w:val="Heading5"/>
        <w:numPr>
          <w:ilvl w:val="1"/>
          <w:numId w:val="99"/>
        </w:numPr>
        <w:tabs>
          <w:tab w:val="left" w:pos="1330"/>
        </w:tabs>
        <w:spacing w:before="122"/>
        <w:ind w:left="1330" w:hanging="205"/>
        <w:rPr>
          <w:rFonts w:ascii="Verdana" w:hAnsi="Verdana"/>
          <w:b w:val="0"/>
        </w:rPr>
      </w:pPr>
      <w:r w:rsidRPr="00EC75B7">
        <w:rPr>
          <w:rFonts w:ascii="Verdana" w:hAnsi="Verdana"/>
        </w:rPr>
        <w:t xml:space="preserve">The effects of water quality on </w:t>
      </w:r>
      <w:r w:rsidRPr="00EC75B7">
        <w:rPr>
          <w:rFonts w:ascii="Verdana" w:hAnsi="Verdana"/>
          <w:spacing w:val="-2"/>
        </w:rPr>
        <w:t xml:space="preserve">human </w:t>
      </w:r>
      <w:r w:rsidRPr="00EC75B7">
        <w:rPr>
          <w:rFonts w:ascii="Verdana" w:hAnsi="Verdana"/>
        </w:rPr>
        <w:t>health</w:t>
      </w:r>
    </w:p>
    <w:p w14:paraId="1BF83A73" w14:textId="77777777" w:rsidR="005F35E4" w:rsidRPr="00EC75B7" w:rsidRDefault="005F35E4" w:rsidP="005F35E4">
      <w:pPr>
        <w:pStyle w:val="BodyText"/>
        <w:spacing w:before="9"/>
        <w:rPr>
          <w:rFonts w:ascii="Verdana" w:hAnsi="Verdana"/>
          <w:b/>
        </w:rPr>
      </w:pPr>
    </w:p>
    <w:p w14:paraId="1CE6FEA2" w14:textId="77777777" w:rsidR="005F35E4" w:rsidRPr="00EC75B7" w:rsidRDefault="005F35E4" w:rsidP="005F35E4">
      <w:pPr>
        <w:pStyle w:val="BodyText"/>
        <w:spacing w:line="357" w:lineRule="auto"/>
        <w:ind w:left="765" w:right="852"/>
        <w:jc w:val="both"/>
        <w:rPr>
          <w:rFonts w:ascii="Verdana" w:hAnsi="Verdana"/>
        </w:rPr>
      </w:pPr>
      <w:r w:rsidRPr="00EC75B7">
        <w:rPr>
          <w:rFonts w:ascii="Verdana" w:hAnsi="Verdana"/>
        </w:rPr>
        <w:t>The occurrence of diseases related to the quality of water intended for human consumption is caused by the excess or deficiency of certain chemical elements in water, but also by the presence of substances foreign to the normal composition of water. Water has a varied chemical composition, with a large number of dissolved chemical elements. As a result of pollution, other chemicals may be added to the normal composition, which can have a multitude of effects on the human body.</w:t>
      </w:r>
    </w:p>
    <w:p w14:paraId="21CB7914" w14:textId="77777777" w:rsidR="005F35E4" w:rsidRPr="00EC75B7" w:rsidRDefault="005F35E4">
      <w:pPr>
        <w:rPr>
          <w:rFonts w:ascii="Verdana" w:hAnsi="Verdana"/>
          <w:sz w:val="18"/>
          <w:szCs w:val="18"/>
        </w:rPr>
        <w:sectPr w:rsidR="005F35E4" w:rsidRPr="00EC75B7">
          <w:pgSz w:w="11910" w:h="16840"/>
          <w:pgMar w:top="1160" w:right="141" w:bottom="980" w:left="425" w:header="766" w:footer="797" w:gutter="0"/>
          <w:cols w:space="708"/>
        </w:sectPr>
      </w:pPr>
    </w:p>
    <w:p w14:paraId="6233BB38" w14:textId="77777777" w:rsidR="008715BE" w:rsidRPr="00EC75B7" w:rsidRDefault="008715BE">
      <w:pPr>
        <w:pStyle w:val="BodyText"/>
        <w:spacing w:before="44"/>
        <w:rPr>
          <w:rFonts w:ascii="Verdana" w:hAnsi="Verdana"/>
          <w:b/>
        </w:rPr>
      </w:pPr>
    </w:p>
    <w:p w14:paraId="52B30658" w14:textId="77777777" w:rsidR="008715BE" w:rsidRPr="00EC75B7" w:rsidRDefault="00000000">
      <w:pPr>
        <w:pStyle w:val="BodyText"/>
        <w:spacing w:before="125" w:line="357" w:lineRule="auto"/>
        <w:ind w:left="765" w:right="852"/>
        <w:jc w:val="both"/>
        <w:rPr>
          <w:rFonts w:ascii="Verdana" w:hAnsi="Verdana"/>
        </w:rPr>
      </w:pPr>
      <w:r w:rsidRPr="00EC75B7">
        <w:rPr>
          <w:rFonts w:ascii="Verdana" w:hAnsi="Verdana"/>
        </w:rPr>
        <w:t>Water can be a means of transmission for numerous toxic chemicals. These can enter the body through the water we drink every day in small quantities, but over a long period of time, contributing to chronic conditions. There are situations when toxic substances are present in large quantities and can cause acute poisoning.</w:t>
      </w:r>
    </w:p>
    <w:p w14:paraId="39073350" w14:textId="77777777" w:rsidR="008715BE" w:rsidRPr="00EC75B7" w:rsidRDefault="00000000">
      <w:pPr>
        <w:pStyle w:val="BodyText"/>
        <w:spacing w:before="121" w:line="360" w:lineRule="auto"/>
        <w:ind w:left="765" w:right="861"/>
        <w:jc w:val="both"/>
        <w:rPr>
          <w:rFonts w:ascii="Verdana" w:hAnsi="Verdana"/>
        </w:rPr>
      </w:pPr>
      <w:r w:rsidRPr="00EC75B7">
        <w:rPr>
          <w:rFonts w:ascii="Verdana" w:hAnsi="Verdana"/>
          <w:spacing w:val="-2"/>
        </w:rPr>
        <w:t xml:space="preserve">In Constanța County, the quality </w:t>
      </w:r>
      <w:r w:rsidRPr="00EC75B7">
        <w:rPr>
          <w:rFonts w:ascii="Verdana" w:hAnsi="Verdana"/>
        </w:rPr>
        <w:t>of</w:t>
      </w:r>
      <w:r w:rsidRPr="00EC75B7">
        <w:rPr>
          <w:rFonts w:ascii="Verdana" w:hAnsi="Verdana"/>
          <w:spacing w:val="-2"/>
        </w:rPr>
        <w:t xml:space="preserve"> drinking water is monitored by the </w:t>
      </w:r>
      <w:r w:rsidRPr="00EC75B7">
        <w:rPr>
          <w:rFonts w:ascii="Verdana" w:hAnsi="Verdana"/>
        </w:rPr>
        <w:t>Constanța</w:t>
      </w:r>
      <w:r w:rsidRPr="00EC75B7">
        <w:rPr>
          <w:rFonts w:ascii="Verdana" w:hAnsi="Verdana"/>
          <w:spacing w:val="-2"/>
        </w:rPr>
        <w:t xml:space="preserve"> Public Health Department</w:t>
      </w:r>
      <w:r w:rsidRPr="00EC75B7">
        <w:rPr>
          <w:rFonts w:ascii="Verdana" w:hAnsi="Verdana"/>
        </w:rPr>
        <w:t>. Chemical parameters are measured periodically: nitrites, nitrates, pesticides, cadmium, lead, and indicator parameters: oxidizability, turbidity, ammonium, aluminum, iron, manganese.</w:t>
      </w:r>
    </w:p>
    <w:p w14:paraId="644859A1" w14:textId="77777777" w:rsidR="008715BE" w:rsidRPr="00EC75B7" w:rsidRDefault="00000000">
      <w:pPr>
        <w:pStyle w:val="BodyText"/>
        <w:spacing w:before="118" w:line="355" w:lineRule="auto"/>
        <w:ind w:left="765" w:right="847"/>
        <w:jc w:val="both"/>
        <w:rPr>
          <w:rFonts w:ascii="Verdana" w:hAnsi="Verdana"/>
        </w:rPr>
      </w:pPr>
      <w:r w:rsidRPr="00EC75B7">
        <w:rPr>
          <w:rFonts w:ascii="Verdana" w:hAnsi="Verdana"/>
          <w:noProof/>
        </w:rPr>
        <mc:AlternateContent>
          <mc:Choice Requires="wps">
            <w:drawing>
              <wp:anchor distT="0" distB="0" distL="0" distR="0" simplePos="0" relativeHeight="251693056" behindDoc="1" locked="0" layoutInCell="1" allowOverlap="1" wp14:anchorId="1B2FF881" wp14:editId="1A5D21B1">
                <wp:simplePos x="0" y="0"/>
                <wp:positionH relativeFrom="page">
                  <wp:posOffset>6824218</wp:posOffset>
                </wp:positionH>
                <wp:positionV relativeFrom="paragraph">
                  <wp:posOffset>590655</wp:posOffset>
                </wp:positionV>
                <wp:extent cx="17780" cy="12700"/>
                <wp:effectExtent l="0" t="0" r="0" b="0"/>
                <wp:wrapNone/>
                <wp:docPr id="100" name="Textbox 10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2C54F8C1" w14:textId="77777777" w:rsidR="008715BE" w:rsidRDefault="00000000">
                            <w:pPr>
                              <w:spacing w:line="19" w:lineRule="exact"/>
                              <w:rPr>
                                <w:sz w:val="2"/>
                              </w:rPr>
                            </w:pPr>
                            <w:r>
                              <w:rPr>
                                <w:spacing w:val="-5"/>
                                <w:sz w:val="1"/>
                              </w:rPr>
                              <w:t>28F</w:t>
                            </w:r>
                          </w:p>
                        </w:txbxContent>
                      </wps:txbx>
                      <wps:bodyPr wrap="square" lIns="0" tIns="0" rIns="0" bIns="0" rtlCol="0"/>
                    </wps:wsp>
                  </a:graphicData>
                </a:graphic>
              </wp:anchor>
            </w:drawing>
          </mc:Choice>
          <mc:Fallback>
            <w:pict>
              <v:shape w14:anchorId="1B2FF881" id="Textbox 100" o:spid="_x0000_s1087" type="#_x0000_t202" style="position:absolute;left:0;text-align:left;margin-left:537.35pt;margin-top:46.5pt;width:1.4pt;height:1pt;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" filled="f" stroked="f">
                <v:textbox inset="0,0,0,0">
                  <w:txbxContent>
                    <w:p w14:paraId="2C54F8C1" w14:textId="77777777" w:rsidR="008715BE" w:rsidRDefault="00000000">
                      <w:pPr>
                        <w:spacing w:line="19" w:lineRule="exact"/>
                        <w:rPr>
                          <w:sz w:val="2"/>
                        </w:rPr>
                      </w:pPr>
                      <w:r>
                        <w:rPr>
                          <w:spacing w:val="-5"/>
                          <w:sz w:val="1"/>
                        </w:rPr>
                        <w:t>28F</w:t>
                      </w:r>
                    </w:p>
                  </w:txbxContent>
                </v:textbox>
                <w10:wrap anchorx="page"/>
              </v:shape>
            </w:pict>
          </mc:Fallback>
        </mc:AlternateContent>
      </w:r>
      <w:r w:rsidRPr="00EC75B7">
        <w:rPr>
          <w:rFonts w:ascii="Verdana" w:hAnsi="Verdana"/>
        </w:rPr>
        <w:t>The drinking water distribution network in the municipality of Cerchezu is owned by the operator S.C. RAJA S.A. Constanța, has a length of 12 km, serves a population of 563 inhabitants, and provides a volume of water of 19 m³/day.</w:t>
      </w:r>
      <w:r w:rsidRPr="00EC75B7">
        <w:rPr>
          <w:rFonts w:ascii="Verdana" w:hAnsi="Verdana"/>
          <w:spacing w:val="17"/>
        </w:rPr>
        <w:t xml:space="preserve"> </w:t>
      </w:r>
      <w:r w:rsidRPr="00EC75B7">
        <w:rPr>
          <w:rFonts w:ascii="Verdana" w:hAnsi="Verdana"/>
        </w:rPr>
        <w:t xml:space="preserve">ZAP Cerchezu holds a sanitary operating permit issued in 2014 and valid until 2023 </w:t>
      </w:r>
      <w:r w:rsidRPr="00EC75B7">
        <w:rPr>
          <w:rFonts w:ascii="Verdana" w:hAnsi="Verdana"/>
          <w:spacing w:val="-5"/>
          <w:position w:val="6"/>
        </w:rPr>
        <w:t>6</w:t>
      </w:r>
      <w:r w:rsidRPr="00EC75B7">
        <w:rPr>
          <w:rFonts w:ascii="Verdana" w:hAnsi="Verdana"/>
          <w:spacing w:val="-5"/>
        </w:rPr>
        <w:t>.</w:t>
      </w:r>
    </w:p>
    <w:p w14:paraId="46A35FF6" w14:textId="77777777" w:rsidR="008715BE" w:rsidRPr="00EC75B7" w:rsidRDefault="00000000">
      <w:pPr>
        <w:pStyle w:val="BodyText"/>
        <w:spacing w:before="126" w:line="355" w:lineRule="auto"/>
        <w:ind w:left="765" w:right="849"/>
        <w:jc w:val="both"/>
        <w:rPr>
          <w:rFonts w:ascii="Verdana" w:hAnsi="Verdana"/>
        </w:rPr>
      </w:pPr>
      <w:r w:rsidRPr="00EC75B7">
        <w:rPr>
          <w:rFonts w:ascii="Verdana" w:hAnsi="Verdana"/>
          <w:noProof/>
        </w:rPr>
        <mc:AlternateContent>
          <mc:Choice Requires="wps">
            <w:drawing>
              <wp:anchor distT="0" distB="0" distL="0" distR="0" simplePos="0" relativeHeight="251695104" behindDoc="1" locked="0" layoutInCell="1" allowOverlap="1" wp14:anchorId="01E238F4" wp14:editId="5EAF9E36">
                <wp:simplePos x="0" y="0"/>
                <wp:positionH relativeFrom="page">
                  <wp:posOffset>4950840</wp:posOffset>
                </wp:positionH>
                <wp:positionV relativeFrom="paragraph">
                  <wp:posOffset>595699</wp:posOffset>
                </wp:positionV>
                <wp:extent cx="17780" cy="12700"/>
                <wp:effectExtent l="0" t="0" r="0" b="0"/>
                <wp:wrapNone/>
                <wp:docPr id="101" name="Textbox 101"/>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C54035E" w14:textId="77777777" w:rsidR="008715BE" w:rsidRDefault="00000000">
                            <w:pPr>
                              <w:spacing w:line="19" w:lineRule="exact"/>
                              <w:rPr>
                                <w:sz w:val="2"/>
                              </w:rPr>
                            </w:pPr>
                            <w:r>
                              <w:rPr>
                                <w:spacing w:val="-5"/>
                                <w:sz w:val="1"/>
                              </w:rPr>
                              <w:t>29F</w:t>
                            </w:r>
                          </w:p>
                        </w:txbxContent>
                      </wps:txbx>
                      <wps:bodyPr wrap="square" lIns="0" tIns="0" rIns="0" bIns="0" rtlCol="0"/>
                    </wps:wsp>
                  </a:graphicData>
                </a:graphic>
              </wp:anchor>
            </w:drawing>
          </mc:Choice>
          <mc:Fallback>
            <w:pict>
              <v:shape w14:anchorId="01E238F4" id="Textbox 101" o:spid="_x0000_s1088" type="#_x0000_t202" style="position:absolute;left:0;text-align:left;margin-left:389.85pt;margin-top:46.9pt;width:1.4pt;height:1pt;z-index:-25162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" filled="f" stroked="f">
                <v:textbox inset="0,0,0,0">
                  <w:txbxContent>
                    <w:p w14:paraId="3C54035E" w14:textId="77777777" w:rsidR="008715BE" w:rsidRDefault="00000000">
                      <w:pPr>
                        <w:spacing w:line="19" w:lineRule="exact"/>
                        <w:rPr>
                          <w:sz w:val="2"/>
                        </w:rPr>
                      </w:pPr>
                      <w:r>
                        <w:rPr>
                          <w:spacing w:val="-5"/>
                          <w:sz w:val="1"/>
                        </w:rPr>
                        <w:t>29F</w:t>
                      </w:r>
                    </w:p>
                  </w:txbxContent>
                </v:textbox>
                <w10:wrap anchorx="page"/>
              </v:shape>
            </w:pict>
          </mc:Fallback>
        </mc:AlternateContent>
      </w:r>
      <w:r w:rsidRPr="00EC75B7">
        <w:rPr>
          <w:rFonts w:ascii="Verdana" w:hAnsi="Verdana"/>
          <w:spacing w:val="-2"/>
        </w:rPr>
        <w:t xml:space="preserve">The quality of drinking water distributed to the population of Cerchezu commune is satisfactory, with no parameters </w:t>
      </w:r>
      <w:r w:rsidRPr="00EC75B7">
        <w:rPr>
          <w:rFonts w:ascii="Verdana" w:hAnsi="Verdana"/>
        </w:rPr>
        <w:t xml:space="preserve">for which the system could be declared non-compliant. The microbiological parameters and physical-chemical indicators of the water fall within the values allowed according to the analysis reports </w:t>
      </w:r>
      <w:r w:rsidRPr="00EC75B7">
        <w:rPr>
          <w:rFonts w:ascii="Verdana" w:hAnsi="Verdana"/>
          <w:position w:val="6"/>
        </w:rPr>
        <w:t>7</w:t>
      </w:r>
      <w:r w:rsidRPr="00EC75B7">
        <w:rPr>
          <w:rFonts w:ascii="Verdana" w:hAnsi="Verdana"/>
        </w:rPr>
        <w:t>.</w:t>
      </w:r>
    </w:p>
    <w:p w14:paraId="04A53E7B" w14:textId="77777777" w:rsidR="008715BE" w:rsidRPr="00EC75B7" w:rsidRDefault="00000000">
      <w:pPr>
        <w:pStyle w:val="BodyText"/>
        <w:spacing w:before="125"/>
        <w:ind w:left="765"/>
        <w:jc w:val="both"/>
        <w:rPr>
          <w:rFonts w:ascii="Verdana" w:hAnsi="Verdana"/>
        </w:rPr>
      </w:pPr>
      <w:r w:rsidRPr="00EC75B7">
        <w:rPr>
          <w:rFonts w:ascii="Verdana" w:hAnsi="Verdana"/>
        </w:rPr>
        <w:t xml:space="preserve">There are no </w:t>
      </w:r>
      <w:r w:rsidRPr="00EC75B7">
        <w:rPr>
          <w:rFonts w:ascii="Verdana" w:hAnsi="Verdana"/>
          <w:spacing w:val="-2"/>
        </w:rPr>
        <w:t xml:space="preserve">public </w:t>
      </w:r>
      <w:r w:rsidRPr="00EC75B7">
        <w:rPr>
          <w:rFonts w:ascii="Verdana" w:hAnsi="Verdana"/>
        </w:rPr>
        <w:t>fountains or drinking fountains in the municipality of Cerchezu</w:t>
      </w:r>
      <w:r w:rsidRPr="00EC75B7">
        <w:rPr>
          <w:rFonts w:ascii="Verdana" w:hAnsi="Verdana"/>
          <w:spacing w:val="-2"/>
        </w:rPr>
        <w:t>.</w:t>
      </w:r>
    </w:p>
    <w:p w14:paraId="525AAD8E" w14:textId="77777777" w:rsidR="008715BE" w:rsidRPr="00EC75B7" w:rsidRDefault="008715BE">
      <w:pPr>
        <w:pStyle w:val="BodyText"/>
        <w:spacing w:before="9"/>
        <w:rPr>
          <w:rFonts w:ascii="Verdana" w:hAnsi="Verdana"/>
        </w:rPr>
      </w:pPr>
    </w:p>
    <w:p w14:paraId="7BC0F540" w14:textId="77777777" w:rsidR="008715BE" w:rsidRPr="00EC75B7" w:rsidRDefault="00000000">
      <w:pPr>
        <w:pStyle w:val="Heading5"/>
        <w:numPr>
          <w:ilvl w:val="1"/>
          <w:numId w:val="99"/>
        </w:numPr>
        <w:tabs>
          <w:tab w:val="left" w:pos="1330"/>
        </w:tabs>
        <w:spacing w:before="1"/>
        <w:ind w:left="1330" w:hanging="205"/>
        <w:rPr>
          <w:rFonts w:ascii="Verdana" w:hAnsi="Verdana"/>
          <w:b w:val="0"/>
        </w:rPr>
      </w:pPr>
      <w:r w:rsidRPr="00EC75B7">
        <w:rPr>
          <w:rFonts w:ascii="Verdana" w:hAnsi="Verdana"/>
        </w:rPr>
        <w:t xml:space="preserve">Green spaces and their effects on health and quality </w:t>
      </w:r>
      <w:r w:rsidRPr="00EC75B7">
        <w:rPr>
          <w:rFonts w:ascii="Verdana" w:hAnsi="Verdana"/>
          <w:spacing w:val="-2"/>
        </w:rPr>
        <w:t>of life</w:t>
      </w:r>
    </w:p>
    <w:p w14:paraId="348DA232" w14:textId="77777777" w:rsidR="008715BE" w:rsidRPr="00EC75B7" w:rsidRDefault="008715BE">
      <w:pPr>
        <w:pStyle w:val="BodyText"/>
        <w:spacing w:before="6"/>
        <w:rPr>
          <w:rFonts w:ascii="Verdana" w:hAnsi="Verdana"/>
          <w:b/>
        </w:rPr>
      </w:pPr>
    </w:p>
    <w:p w14:paraId="38941B13" w14:textId="77777777" w:rsidR="008715BE" w:rsidRPr="00EC75B7" w:rsidRDefault="00000000">
      <w:pPr>
        <w:pStyle w:val="BodyText"/>
        <w:spacing w:line="360" w:lineRule="auto"/>
        <w:ind w:left="765" w:right="860"/>
        <w:jc w:val="both"/>
        <w:rPr>
          <w:rFonts w:ascii="Verdana" w:hAnsi="Verdana"/>
        </w:rPr>
      </w:pPr>
      <w:r w:rsidRPr="00EC75B7">
        <w:rPr>
          <w:rFonts w:ascii="Verdana" w:hAnsi="Verdana"/>
        </w:rPr>
        <w:t>Green spaces are a functional category within or adjacent to localities, whose specific nature is determined primarily by vegetation and secondarily by the built environment, including facilities and equipment intended for cultural, educational, sporting, or recreational activities of the population.</w:t>
      </w:r>
    </w:p>
    <w:p w14:paraId="24DF899C" w14:textId="77777777" w:rsidR="008715BE" w:rsidRPr="00EC75B7" w:rsidRDefault="00000000">
      <w:pPr>
        <w:pStyle w:val="BodyText"/>
        <w:spacing w:before="118" w:line="357" w:lineRule="auto"/>
        <w:ind w:left="765" w:right="857"/>
        <w:jc w:val="both"/>
        <w:rPr>
          <w:rFonts w:ascii="Verdana" w:hAnsi="Verdana"/>
        </w:rPr>
      </w:pPr>
      <w:r w:rsidRPr="00EC75B7">
        <w:rPr>
          <w:rFonts w:ascii="Verdana" w:hAnsi="Verdana"/>
        </w:rPr>
        <w:t>Depending on the nature of the property, green spaces can be public (parks, squares, sports and leisure areas, planted areas for protection and forests of various types, and areas with spontaneous vegetation that fall within the public domain) or private (green spaces that are privately owned and not used in the public interest).</w:t>
      </w:r>
    </w:p>
    <w:p w14:paraId="2EAEFA1E" w14:textId="77777777" w:rsidR="008715BE" w:rsidRPr="00EC75B7" w:rsidRDefault="00000000">
      <w:pPr>
        <w:pStyle w:val="BodyText"/>
        <w:spacing w:before="123" w:line="357" w:lineRule="auto"/>
        <w:ind w:left="765" w:right="852"/>
        <w:jc w:val="both"/>
        <w:rPr>
          <w:rFonts w:ascii="Verdana" w:hAnsi="Verdana"/>
        </w:rPr>
      </w:pPr>
      <w:r w:rsidRPr="00EC75B7">
        <w:rPr>
          <w:rFonts w:ascii="Verdana" w:hAnsi="Verdana"/>
          <w:spacing w:val="-2"/>
        </w:rPr>
        <w:t xml:space="preserve">From an ecological perspective, urban green spaces are a true moderator of the impact of human activities </w:t>
      </w:r>
      <w:r w:rsidRPr="00EC75B7">
        <w:rPr>
          <w:rFonts w:ascii="Verdana" w:hAnsi="Verdana"/>
        </w:rPr>
        <w:t xml:space="preserve">on the environment. They make an important contribution to the chemical purification of the atmosphere, maintaining the day-night balance in favor of oxygen production, but also to its physical purification by retaining dust and powders. Thus, a leaf area of 25 </w:t>
      </w:r>
      <w:r w:rsidRPr="00EC75B7">
        <w:rPr>
          <w:rFonts w:ascii="Verdana" w:hAnsi="Verdana"/>
          <w:position w:val="6"/>
        </w:rPr>
        <w:t>m²</w:t>
      </w:r>
      <w:r w:rsidRPr="00EC75B7">
        <w:rPr>
          <w:rFonts w:ascii="Verdana" w:hAnsi="Verdana"/>
        </w:rPr>
        <w:t>provides the oxygen needed for one person,</w:t>
      </w:r>
    </w:p>
    <w:p w14:paraId="00CF12C7" w14:textId="77777777" w:rsidR="005F35E4" w:rsidRPr="00EC75B7" w:rsidRDefault="005F35E4" w:rsidP="005F35E4">
      <w:pPr>
        <w:pStyle w:val="BodyText"/>
        <w:spacing w:before="1" w:line="360" w:lineRule="auto"/>
        <w:ind w:left="765" w:right="854"/>
        <w:jc w:val="both"/>
        <w:rPr>
          <w:rFonts w:ascii="Verdana" w:hAnsi="Verdana"/>
        </w:rPr>
      </w:pPr>
      <w:r w:rsidRPr="00EC75B7">
        <w:rPr>
          <w:rFonts w:ascii="Verdana" w:hAnsi="Verdana"/>
        </w:rPr>
        <w:t>Grass lawns retain 3–6 times more dust than bare ground, and a mature tree retains 10 times more impurities than a lawn the size of its crown projection on the ground.</w:t>
      </w:r>
    </w:p>
    <w:p w14:paraId="231009DA" w14:textId="77777777" w:rsidR="005F35E4" w:rsidRPr="00EC75B7" w:rsidRDefault="005F35E4" w:rsidP="005F35E4">
      <w:pPr>
        <w:pStyle w:val="BodyText"/>
        <w:spacing w:before="116" w:line="355" w:lineRule="auto"/>
        <w:ind w:left="765" w:right="849"/>
        <w:jc w:val="both"/>
        <w:rPr>
          <w:rFonts w:ascii="Verdana" w:hAnsi="Verdana"/>
        </w:rPr>
      </w:pPr>
      <w:r w:rsidRPr="00EC75B7">
        <w:rPr>
          <w:rFonts w:ascii="Verdana" w:hAnsi="Verdana"/>
        </w:rPr>
        <w:t>At the county level, the area of green spaces declined between 2010 and 2019, followed by an upward trend that reached 1,080 ha in 2022, which, relative to a resident population of 656,631 inhabitants, means a green space area of 16.45 m</w:t>
      </w:r>
      <w:r w:rsidRPr="00EC75B7">
        <w:rPr>
          <w:rFonts w:ascii="Verdana" w:hAnsi="Verdana"/>
          <w:position w:val="6"/>
        </w:rPr>
        <w:t>2</w:t>
      </w:r>
      <w:r w:rsidRPr="00EC75B7">
        <w:rPr>
          <w:rFonts w:ascii="Verdana" w:hAnsi="Verdana"/>
        </w:rPr>
        <w:t xml:space="preserve">  per inhabitant, well below the European standard of 26 m</w:t>
      </w:r>
      <w:r w:rsidRPr="00EC75B7">
        <w:rPr>
          <w:rFonts w:ascii="Verdana" w:hAnsi="Verdana"/>
          <w:position w:val="6"/>
        </w:rPr>
        <w:t>2</w:t>
      </w:r>
      <w:r w:rsidRPr="00EC75B7">
        <w:rPr>
          <w:rFonts w:ascii="Verdana" w:hAnsi="Verdana"/>
        </w:rPr>
        <w:t xml:space="preserve">  of green space per inhabitant.</w:t>
      </w:r>
    </w:p>
    <w:p w14:paraId="09BE1F94" w14:textId="77777777" w:rsidR="008715BE" w:rsidRDefault="008715BE">
      <w:pPr>
        <w:pStyle w:val="BodyText"/>
        <w:spacing w:before="188"/>
        <w:rPr>
          <w:rFonts w:ascii="Verdana" w:hAnsi="Verdana"/>
        </w:rPr>
      </w:pPr>
    </w:p>
    <w:p w14:paraId="4E55BDB0" w14:textId="77777777" w:rsidR="005F35E4" w:rsidRDefault="005F35E4">
      <w:pPr>
        <w:pStyle w:val="BodyText"/>
        <w:spacing w:before="188"/>
        <w:rPr>
          <w:rFonts w:ascii="Verdana" w:hAnsi="Verdana"/>
        </w:rPr>
      </w:pPr>
    </w:p>
    <w:p w14:paraId="1D7E09AA" w14:textId="77777777" w:rsidR="005F35E4" w:rsidRDefault="005F35E4">
      <w:pPr>
        <w:pStyle w:val="BodyText"/>
        <w:spacing w:before="188"/>
        <w:rPr>
          <w:rFonts w:ascii="Verdana" w:hAnsi="Verdana"/>
        </w:rPr>
      </w:pPr>
    </w:p>
    <w:p w14:paraId="0303138D" w14:textId="77777777" w:rsidR="005F35E4" w:rsidRPr="00EC75B7" w:rsidRDefault="005F35E4">
      <w:pPr>
        <w:pStyle w:val="BodyText"/>
        <w:spacing w:before="188"/>
        <w:rPr>
          <w:rFonts w:ascii="Verdana" w:hAnsi="Verdana"/>
        </w:rPr>
      </w:pPr>
    </w:p>
    <w:p w14:paraId="5DCE199A" w14:textId="77777777" w:rsidR="008715BE" w:rsidRPr="00EC75B7" w:rsidRDefault="00000000">
      <w:pPr>
        <w:ind w:left="765"/>
        <w:rPr>
          <w:rFonts w:ascii="Verdana" w:hAnsi="Verdana"/>
          <w:sz w:val="18"/>
          <w:szCs w:val="18"/>
        </w:rPr>
      </w:pPr>
      <w:r w:rsidRPr="00EC75B7">
        <w:rPr>
          <w:rFonts w:ascii="Verdana" w:hAnsi="Verdana"/>
          <w:color w:val="797766"/>
          <w:position w:val="4"/>
          <w:sz w:val="18"/>
          <w:szCs w:val="18"/>
        </w:rPr>
        <w:t>6</w:t>
      </w:r>
      <w:hyperlink r:id="rId42">
        <w:r w:rsidR="008715BE" w:rsidRPr="00EC75B7">
          <w:rPr>
            <w:rFonts w:ascii="Verdana" w:hAnsi="Verdana"/>
            <w:color w:val="797766"/>
            <w:spacing w:val="-2"/>
            <w:sz w:val="18"/>
            <w:szCs w:val="18"/>
          </w:rPr>
          <w:t>https://dspct.ro/wp-content/uploads/2024/04/RAPORT-JUDETEAN-APA-POTABILA-2023.pdf</w:t>
        </w:r>
      </w:hyperlink>
    </w:p>
    <w:p w14:paraId="46B9028F" w14:textId="77777777" w:rsidR="008715BE" w:rsidRPr="00EC75B7" w:rsidRDefault="00000000">
      <w:pPr>
        <w:spacing w:before="51"/>
        <w:ind w:left="765"/>
        <w:rPr>
          <w:rFonts w:ascii="Verdana" w:hAnsi="Verdana"/>
          <w:sz w:val="18"/>
          <w:szCs w:val="18"/>
        </w:rPr>
      </w:pPr>
      <w:r w:rsidRPr="00EC75B7">
        <w:rPr>
          <w:rFonts w:ascii="Verdana" w:hAnsi="Verdana"/>
          <w:color w:val="797766"/>
          <w:position w:val="4"/>
          <w:sz w:val="18"/>
          <w:szCs w:val="18"/>
        </w:rPr>
        <w:t>7</w:t>
      </w:r>
      <w:r w:rsidRPr="00EC75B7">
        <w:rPr>
          <w:rFonts w:ascii="Verdana" w:hAnsi="Verdana"/>
          <w:color w:val="797766"/>
          <w:sz w:val="18"/>
          <w:szCs w:val="18"/>
        </w:rPr>
        <w:t xml:space="preserve">  County report on the state of the environment,</w:t>
      </w:r>
      <w:r w:rsidRPr="00EC75B7">
        <w:rPr>
          <w:rFonts w:ascii="Verdana" w:hAnsi="Verdana"/>
          <w:color w:val="797766"/>
          <w:spacing w:val="-4"/>
          <w:sz w:val="18"/>
          <w:szCs w:val="18"/>
        </w:rPr>
        <w:t xml:space="preserve"> 2022</w:t>
      </w:r>
    </w:p>
    <w:p w14:paraId="42A40B14" w14:textId="77777777" w:rsidR="008715BE" w:rsidRPr="00EC75B7" w:rsidRDefault="008715BE">
      <w:pPr>
        <w:rPr>
          <w:rFonts w:ascii="Verdana" w:hAnsi="Verdana"/>
          <w:sz w:val="18"/>
          <w:szCs w:val="18"/>
        </w:rPr>
        <w:sectPr w:rsidR="008715BE" w:rsidRPr="00EC75B7">
          <w:pgSz w:w="11910" w:h="16840"/>
          <w:pgMar w:top="1160" w:right="141" w:bottom="980" w:left="425" w:header="766" w:footer="797" w:gutter="0"/>
          <w:cols w:space="708"/>
        </w:sectPr>
      </w:pPr>
    </w:p>
    <w:p w14:paraId="2A49E405" w14:textId="77777777" w:rsidR="008715BE" w:rsidRPr="00EC75B7" w:rsidRDefault="008715BE">
      <w:pPr>
        <w:pStyle w:val="BodyText"/>
        <w:spacing w:before="46"/>
        <w:rPr>
          <w:rFonts w:ascii="Verdana" w:hAnsi="Verdana"/>
        </w:rPr>
      </w:pPr>
    </w:p>
    <w:p w14:paraId="491A5C5E" w14:textId="77777777" w:rsidR="008715BE" w:rsidRPr="00EC75B7" w:rsidRDefault="00000000">
      <w:pPr>
        <w:pStyle w:val="Heading5"/>
        <w:numPr>
          <w:ilvl w:val="1"/>
          <w:numId w:val="99"/>
        </w:numPr>
        <w:tabs>
          <w:tab w:val="left" w:pos="1330"/>
        </w:tabs>
        <w:spacing w:before="126"/>
        <w:ind w:left="1330" w:hanging="205"/>
        <w:rPr>
          <w:rFonts w:ascii="Verdana" w:hAnsi="Verdana"/>
          <w:b w:val="0"/>
        </w:rPr>
      </w:pPr>
      <w:r w:rsidRPr="00EC75B7">
        <w:rPr>
          <w:rFonts w:ascii="Verdana" w:hAnsi="Verdana"/>
        </w:rPr>
        <w:t xml:space="preserve">Climate change and its effects on health and quality </w:t>
      </w:r>
      <w:r w:rsidRPr="00EC75B7">
        <w:rPr>
          <w:rFonts w:ascii="Verdana" w:hAnsi="Verdana"/>
          <w:spacing w:val="-2"/>
        </w:rPr>
        <w:t>of life</w:t>
      </w:r>
    </w:p>
    <w:p w14:paraId="13565D6A" w14:textId="77777777" w:rsidR="008715BE" w:rsidRPr="00EC75B7" w:rsidRDefault="008715BE">
      <w:pPr>
        <w:pStyle w:val="BodyText"/>
        <w:spacing w:before="9"/>
        <w:rPr>
          <w:rFonts w:ascii="Verdana" w:hAnsi="Verdana"/>
          <w:b/>
        </w:rPr>
      </w:pPr>
    </w:p>
    <w:p w14:paraId="734A681F" w14:textId="77777777" w:rsidR="008715BE" w:rsidRPr="00EC75B7" w:rsidRDefault="00000000">
      <w:pPr>
        <w:pStyle w:val="BodyText"/>
        <w:spacing w:before="1" w:line="357" w:lineRule="auto"/>
        <w:ind w:left="765" w:right="849"/>
        <w:jc w:val="both"/>
        <w:rPr>
          <w:rFonts w:ascii="Verdana" w:hAnsi="Verdana"/>
        </w:rPr>
      </w:pPr>
      <w:r w:rsidRPr="00EC75B7">
        <w:rPr>
          <w:rFonts w:ascii="Verdana" w:hAnsi="Verdana"/>
          <w:noProof/>
        </w:rPr>
        <mc:AlternateContent>
          <mc:Choice Requires="wps">
            <w:drawing>
              <wp:anchor distT="0" distB="0" distL="0" distR="0" simplePos="0" relativeHeight="251697152" behindDoc="1" locked="0" layoutInCell="1" allowOverlap="1" wp14:anchorId="125578F4" wp14:editId="740DF25E">
                <wp:simplePos x="0" y="0"/>
                <wp:positionH relativeFrom="page">
                  <wp:posOffset>6013450</wp:posOffset>
                </wp:positionH>
                <wp:positionV relativeFrom="paragraph">
                  <wp:posOffset>1767917</wp:posOffset>
                </wp:positionV>
                <wp:extent cx="17780" cy="12700"/>
                <wp:effectExtent l="0" t="0" r="0" b="0"/>
                <wp:wrapNone/>
                <wp:docPr id="102" name="Textbox 102"/>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1474EBA7" w14:textId="77777777" w:rsidR="008715BE" w:rsidRDefault="00000000">
                            <w:pPr>
                              <w:spacing w:line="19" w:lineRule="exact"/>
                              <w:rPr>
                                <w:sz w:val="2"/>
                              </w:rPr>
                            </w:pPr>
                            <w:r>
                              <w:rPr>
                                <w:spacing w:val="-5"/>
                                <w:sz w:val="1"/>
                              </w:rPr>
                              <w:t>30F</w:t>
                            </w:r>
                          </w:p>
                        </w:txbxContent>
                      </wps:txbx>
                      <wps:bodyPr wrap="square" lIns="0" tIns="0" rIns="0" bIns="0" rtlCol="0"/>
                    </wps:wsp>
                  </a:graphicData>
                </a:graphic>
              </wp:anchor>
            </w:drawing>
          </mc:Choice>
          <mc:Fallback>
            <w:pict>
              <v:shape w14:anchorId="125578F4" id="Textbox 102" o:spid="_x0000_s1089" type="#_x0000_t202" style="position:absolute;left:0;text-align:left;margin-left:473.5pt;margin-top:139.2pt;width:1.4pt;height:1pt;z-index:-251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" filled="f" stroked="f">
                <v:textbox inset="0,0,0,0">
                  <w:txbxContent>
                    <w:p w14:paraId="1474EBA7" w14:textId="77777777" w:rsidR="008715BE" w:rsidRDefault="00000000">
                      <w:pPr>
                        <w:spacing w:line="19" w:lineRule="exact"/>
                        <w:rPr>
                          <w:sz w:val="2"/>
                        </w:rPr>
                      </w:pPr>
                      <w:r>
                        <w:rPr>
                          <w:spacing w:val="-5"/>
                          <w:sz w:val="1"/>
                        </w:rPr>
                        <w:t>30F</w:t>
                      </w:r>
                    </w:p>
                  </w:txbxContent>
                </v:textbox>
                <w10:wrap anchorx="page"/>
              </v:shape>
            </w:pict>
          </mc:Fallback>
        </mc:AlternateContent>
      </w:r>
      <w:r w:rsidRPr="00EC75B7">
        <w:rPr>
          <w:rFonts w:ascii="Verdana" w:hAnsi="Verdana"/>
        </w:rPr>
        <w:t xml:space="preserve">The main effects of climate change on health are related to extreme weather events, changes in the distribution of climate-influenced diseases, and changes in environmental and social conditions. Over the past decade, river and coastal flooding has affected millions of people in Europe. Health effects include injuries, infections, exposure to chemical hazards, and mental health consequences. Heat waves have become more frequent and intense, causing tens of thousands of premature deaths in Europe. This trend is expected to increase and intensify unless appropriate adaptation measures are taken. The spread of tick species, Asian tiger mosquitoes, and other disease vectors increases the risk of diseases such as Lyme disease, tick-borne encephalitis, West Nile fever, dengue fever, Chikungunya, and leishmaniasis </w:t>
      </w:r>
      <w:r w:rsidRPr="00EC75B7">
        <w:rPr>
          <w:rFonts w:ascii="Verdana" w:hAnsi="Verdana"/>
          <w:position w:val="6"/>
        </w:rPr>
        <w:t>8</w:t>
      </w:r>
      <w:r w:rsidRPr="00EC75B7">
        <w:rPr>
          <w:rFonts w:ascii="Verdana" w:hAnsi="Verdana"/>
        </w:rPr>
        <w:t>.</w:t>
      </w:r>
    </w:p>
    <w:p w14:paraId="08896B72" w14:textId="77777777" w:rsidR="008715BE" w:rsidRPr="00EC75B7" w:rsidRDefault="00000000">
      <w:pPr>
        <w:pStyle w:val="BodyText"/>
        <w:spacing w:before="123" w:line="360" w:lineRule="auto"/>
        <w:ind w:left="765" w:right="856"/>
        <w:jc w:val="both"/>
        <w:rPr>
          <w:rFonts w:ascii="Verdana" w:hAnsi="Verdana"/>
        </w:rPr>
      </w:pPr>
      <w:r w:rsidRPr="00EC75B7">
        <w:rPr>
          <w:rFonts w:ascii="Verdana" w:hAnsi="Verdana"/>
        </w:rPr>
        <w:t>Low temperatures in winter and average maximum and minimum temperatures in summer can contribute to increased mortality from cerebrovascular disease and myocardial infarction, and high/low relative humidity in the same month can also be a risk factor for cerebrovascular disease and myocardial infarction.</w:t>
      </w:r>
    </w:p>
    <w:p w14:paraId="1AEBA366" w14:textId="77777777" w:rsidR="008715BE" w:rsidRPr="00EC75B7" w:rsidRDefault="008715BE">
      <w:pPr>
        <w:pStyle w:val="BodyText"/>
        <w:spacing w:before="17"/>
        <w:rPr>
          <w:rFonts w:ascii="Verdana" w:hAnsi="Verdana"/>
        </w:rPr>
      </w:pPr>
    </w:p>
    <w:p w14:paraId="5CE82F42" w14:textId="77777777" w:rsidR="008715BE" w:rsidRPr="00EC75B7" w:rsidRDefault="00000000">
      <w:pPr>
        <w:pStyle w:val="Heading3"/>
        <w:numPr>
          <w:ilvl w:val="2"/>
          <w:numId w:val="110"/>
        </w:numPr>
        <w:tabs>
          <w:tab w:val="left" w:pos="2474"/>
        </w:tabs>
        <w:ind w:left="2474" w:hanging="715"/>
        <w:rPr>
          <w:rFonts w:ascii="Verdana" w:hAnsi="Verdana"/>
          <w:i/>
          <w:color w:val="00AFEF"/>
          <w:sz w:val="18"/>
          <w:szCs w:val="18"/>
        </w:rPr>
      </w:pPr>
      <w:bookmarkStart w:id="37" w:name="_bookmark37"/>
      <w:bookmarkEnd w:id="37"/>
      <w:r w:rsidRPr="00EC75B7">
        <w:rPr>
          <w:rFonts w:ascii="Verdana" w:hAnsi="Verdana"/>
          <w:color w:val="00AFEF"/>
          <w:spacing w:val="-2"/>
          <w:sz w:val="18"/>
          <w:szCs w:val="18"/>
        </w:rPr>
        <w:t xml:space="preserve">Economic </w:t>
      </w:r>
      <w:r w:rsidRPr="00EC75B7">
        <w:rPr>
          <w:rFonts w:ascii="Verdana" w:hAnsi="Verdana"/>
          <w:color w:val="00AFEF"/>
          <w:sz w:val="18"/>
          <w:szCs w:val="18"/>
        </w:rPr>
        <w:t>aspects</w:t>
      </w:r>
    </w:p>
    <w:p w14:paraId="5269E173" w14:textId="77777777" w:rsidR="008715BE" w:rsidRPr="00EC75B7" w:rsidRDefault="008715BE">
      <w:pPr>
        <w:pStyle w:val="BodyText"/>
        <w:spacing w:before="114"/>
        <w:rPr>
          <w:rFonts w:ascii="Verdana" w:hAnsi="Verdana"/>
          <w:b/>
        </w:rPr>
      </w:pPr>
    </w:p>
    <w:p w14:paraId="42FAD6E3" w14:textId="77777777" w:rsidR="008715BE" w:rsidRPr="00EC75B7" w:rsidRDefault="00000000">
      <w:pPr>
        <w:ind w:left="765"/>
        <w:jc w:val="both"/>
        <w:rPr>
          <w:rFonts w:ascii="Verdana" w:hAnsi="Verdana"/>
          <w:b/>
          <w:sz w:val="18"/>
          <w:szCs w:val="18"/>
        </w:rPr>
      </w:pPr>
      <w:r w:rsidRPr="00EC75B7">
        <w:rPr>
          <w:rFonts w:ascii="Verdana" w:hAnsi="Verdana"/>
          <w:b/>
          <w:color w:val="00AFEF"/>
          <w:spacing w:val="-2"/>
          <w:sz w:val="18"/>
          <w:szCs w:val="18"/>
        </w:rPr>
        <w:t>Labor</w:t>
      </w:r>
    </w:p>
    <w:p w14:paraId="2C12A1B3" w14:textId="77777777" w:rsidR="008715BE" w:rsidRPr="00EC75B7" w:rsidRDefault="008715BE">
      <w:pPr>
        <w:pStyle w:val="BodyText"/>
        <w:spacing w:before="10"/>
        <w:rPr>
          <w:rFonts w:ascii="Verdana" w:hAnsi="Verdana"/>
          <w:b/>
        </w:rPr>
      </w:pPr>
    </w:p>
    <w:p w14:paraId="61D224B2" w14:textId="77777777" w:rsidR="008715BE" w:rsidRPr="00EC75B7" w:rsidRDefault="00000000">
      <w:pPr>
        <w:pStyle w:val="BodyText"/>
        <w:spacing w:line="357" w:lineRule="auto"/>
        <w:ind w:left="765" w:right="847"/>
        <w:jc w:val="both"/>
        <w:rPr>
          <w:rFonts w:ascii="Verdana" w:hAnsi="Verdana"/>
        </w:rPr>
      </w:pPr>
      <w:r w:rsidRPr="00EC75B7">
        <w:rPr>
          <w:rFonts w:ascii="Verdana" w:hAnsi="Verdana"/>
        </w:rPr>
        <w:t>According to the National Institute of Statistics, in the commune of Cerchezu, the average number of employees shows a downward trend between 2018 and 2024, with the lowest value recorded in 2022 (77 employees) and the highest in 2024 (104 employees).</w:t>
      </w:r>
    </w:p>
    <w:p w14:paraId="55D6A43E" w14:textId="77777777" w:rsidR="008715BE" w:rsidRPr="00EC75B7" w:rsidRDefault="00000000">
      <w:pPr>
        <w:pStyle w:val="BodyText"/>
        <w:spacing w:before="122" w:line="360" w:lineRule="auto"/>
        <w:ind w:left="765" w:right="859"/>
        <w:jc w:val="both"/>
        <w:rPr>
          <w:rFonts w:ascii="Verdana" w:hAnsi="Verdana"/>
        </w:rPr>
      </w:pPr>
      <w:r w:rsidRPr="00EC75B7">
        <w:rPr>
          <w:rFonts w:ascii="Verdana" w:hAnsi="Verdana"/>
        </w:rPr>
        <w:t>Thus, in 2022, the number of employees was 3.75% lower than in 2018 and 35.06% higher than in 2022.</w:t>
      </w:r>
    </w:p>
    <w:p w14:paraId="2667C7BA" w14:textId="77777777" w:rsidR="008715BE" w:rsidRPr="00EC75B7" w:rsidRDefault="00000000">
      <w:pPr>
        <w:pStyle w:val="BodyText"/>
        <w:spacing w:before="118" w:line="357" w:lineRule="auto"/>
        <w:ind w:left="765" w:right="850"/>
        <w:jc w:val="both"/>
        <w:rPr>
          <w:rFonts w:ascii="Verdana" w:hAnsi="Verdana"/>
        </w:rPr>
      </w:pPr>
      <w:r w:rsidRPr="00EC75B7">
        <w:rPr>
          <w:rFonts w:ascii="Verdana" w:hAnsi="Verdana"/>
        </w:rPr>
        <w:t>With regard to the labor force participation rate, no data is available at the local level, but at the county level in Constanța, it is relatively constant between 2018 and 2022, reaching 66.8 in 2022, which is higher than the national average.</w:t>
      </w:r>
    </w:p>
    <w:p w14:paraId="7665DEF1" w14:textId="77777777" w:rsidR="008715BE" w:rsidRPr="00EC75B7" w:rsidRDefault="00000000">
      <w:pPr>
        <w:pStyle w:val="BodyText"/>
        <w:spacing w:before="122" w:line="357" w:lineRule="auto"/>
        <w:ind w:left="765" w:right="848"/>
        <w:jc w:val="both"/>
        <w:rPr>
          <w:rFonts w:ascii="Verdana" w:hAnsi="Verdana"/>
        </w:rPr>
      </w:pPr>
      <w:r w:rsidRPr="00EC75B7">
        <w:rPr>
          <w:rFonts w:ascii="Verdana" w:hAnsi="Verdana"/>
        </w:rPr>
        <w:t>According to data provided by the National Institute of Statistics, in the commune of Cerchezu, the lowest number of unemployed persons was recorded in November 2014 (8 unemployed persons), and the highest number was recorded in June and July 2021 (67 unemployed persons).</w:t>
      </w:r>
      <w:r w:rsidRPr="00EC75B7">
        <w:rPr>
          <w:rFonts w:ascii="Verdana" w:hAnsi="Verdana"/>
          <w:spacing w:val="37"/>
        </w:rPr>
        <w:t xml:space="preserve"> </w:t>
      </w:r>
      <w:r w:rsidRPr="00EC75B7">
        <w:rPr>
          <w:rFonts w:ascii="Verdana" w:hAnsi="Verdana"/>
        </w:rPr>
        <w:t>In December 2022, the number of unemployed people in the commune of Cerchezu was 44.</w:t>
      </w:r>
    </w:p>
    <w:p w14:paraId="3D26C27B" w14:textId="77777777" w:rsidR="008715BE" w:rsidRPr="00EC75B7" w:rsidRDefault="00000000">
      <w:pPr>
        <w:pStyle w:val="BodyText"/>
        <w:spacing w:before="122" w:line="357" w:lineRule="auto"/>
        <w:ind w:left="765" w:right="848"/>
        <w:jc w:val="both"/>
        <w:rPr>
          <w:rFonts w:ascii="Verdana" w:hAnsi="Verdana"/>
        </w:rPr>
      </w:pPr>
      <w:r w:rsidRPr="00EC75B7">
        <w:rPr>
          <w:rFonts w:ascii="Verdana" w:hAnsi="Verdana"/>
        </w:rPr>
        <w:t>According to data recorded by the National Institute of Statistics, in the municipality of Cerchezu between 2010 and 2023, the number of unemployed people showed an upward trend. In 2023, the number of unemployed people reached 44, which is 54% higher than in 2013.</w:t>
      </w:r>
    </w:p>
    <w:p w14:paraId="12FFB723" w14:textId="77777777" w:rsidR="008715BE" w:rsidRPr="00EC75B7" w:rsidRDefault="008715BE">
      <w:pPr>
        <w:pStyle w:val="BodyText"/>
        <w:rPr>
          <w:rFonts w:ascii="Verdana" w:hAnsi="Verdana"/>
        </w:rPr>
      </w:pPr>
    </w:p>
    <w:p w14:paraId="77217402" w14:textId="77777777" w:rsidR="008715BE" w:rsidRDefault="008715BE">
      <w:pPr>
        <w:pStyle w:val="BodyText"/>
        <w:spacing w:before="143"/>
        <w:rPr>
          <w:rFonts w:ascii="Verdana" w:hAnsi="Verdana"/>
        </w:rPr>
      </w:pPr>
    </w:p>
    <w:p w14:paraId="4A7D3DA9" w14:textId="77777777" w:rsidR="005F35E4" w:rsidRDefault="005F35E4">
      <w:pPr>
        <w:pStyle w:val="BodyText"/>
        <w:spacing w:before="143"/>
        <w:rPr>
          <w:rFonts w:ascii="Verdana" w:hAnsi="Verdana"/>
        </w:rPr>
      </w:pPr>
    </w:p>
    <w:p w14:paraId="173116C8" w14:textId="77777777" w:rsidR="005F35E4" w:rsidRDefault="005F35E4">
      <w:pPr>
        <w:pStyle w:val="BodyText"/>
        <w:spacing w:before="143"/>
        <w:rPr>
          <w:rFonts w:ascii="Verdana" w:hAnsi="Verdana"/>
        </w:rPr>
      </w:pPr>
    </w:p>
    <w:p w14:paraId="300A3C2D" w14:textId="77777777" w:rsidR="005F35E4" w:rsidRDefault="005F35E4">
      <w:pPr>
        <w:pStyle w:val="BodyText"/>
        <w:spacing w:before="143"/>
        <w:rPr>
          <w:rFonts w:ascii="Verdana" w:hAnsi="Verdana"/>
        </w:rPr>
      </w:pPr>
    </w:p>
    <w:p w14:paraId="5FBC0949" w14:textId="77777777" w:rsidR="005F35E4" w:rsidRDefault="005F35E4">
      <w:pPr>
        <w:pStyle w:val="BodyText"/>
        <w:spacing w:before="143"/>
        <w:rPr>
          <w:rFonts w:ascii="Verdana" w:hAnsi="Verdana"/>
        </w:rPr>
      </w:pPr>
    </w:p>
    <w:p w14:paraId="32DA21DE" w14:textId="77777777" w:rsidR="005F35E4" w:rsidRDefault="005F35E4">
      <w:pPr>
        <w:pStyle w:val="BodyText"/>
        <w:spacing w:before="143"/>
        <w:rPr>
          <w:rFonts w:ascii="Verdana" w:hAnsi="Verdana"/>
        </w:rPr>
      </w:pPr>
    </w:p>
    <w:p w14:paraId="65A58DBE" w14:textId="77777777" w:rsidR="005F35E4" w:rsidRDefault="005F35E4">
      <w:pPr>
        <w:pStyle w:val="BodyText"/>
        <w:spacing w:before="143"/>
        <w:rPr>
          <w:rFonts w:ascii="Verdana" w:hAnsi="Verdana"/>
        </w:rPr>
      </w:pPr>
    </w:p>
    <w:p w14:paraId="57D5DEEB" w14:textId="77777777" w:rsidR="005F35E4" w:rsidRPr="00EC75B7" w:rsidRDefault="005F35E4">
      <w:pPr>
        <w:pStyle w:val="BodyText"/>
        <w:spacing w:before="143"/>
        <w:rPr>
          <w:rFonts w:ascii="Verdana" w:hAnsi="Verdana"/>
        </w:rPr>
      </w:pPr>
    </w:p>
    <w:p w14:paraId="596C56B4" w14:textId="77777777" w:rsidR="008715BE" w:rsidRPr="00EC75B7" w:rsidRDefault="00000000">
      <w:pPr>
        <w:spacing w:line="326" w:lineRule="auto"/>
        <w:ind w:left="849" w:right="849" w:hanging="85"/>
        <w:jc w:val="both"/>
        <w:rPr>
          <w:rFonts w:ascii="Verdana" w:hAnsi="Verdana"/>
          <w:sz w:val="18"/>
          <w:szCs w:val="18"/>
        </w:rPr>
      </w:pPr>
      <w:r w:rsidRPr="00EC75B7">
        <w:rPr>
          <w:rFonts w:ascii="Verdana" w:hAnsi="Verdana"/>
          <w:color w:val="797766"/>
          <w:position w:val="4"/>
          <w:sz w:val="18"/>
          <w:szCs w:val="18"/>
        </w:rPr>
        <w:t>8</w:t>
      </w:r>
      <w:r w:rsidRPr="00EC75B7">
        <w:rPr>
          <w:rFonts w:ascii="Verdana" w:hAnsi="Verdana"/>
          <w:color w:val="797766"/>
          <w:sz w:val="18"/>
          <w:szCs w:val="18"/>
        </w:rPr>
        <w:t xml:space="preserve">  Climate change is an increasing risk to ecosystems, human health, and the economy in Europe, European Environment Agency, 2017</w:t>
      </w:r>
    </w:p>
    <w:p w14:paraId="2C471979" w14:textId="77777777" w:rsidR="008715BE" w:rsidRPr="00EC75B7" w:rsidRDefault="008715BE">
      <w:pPr>
        <w:spacing w:line="326" w:lineRule="auto"/>
        <w:jc w:val="both"/>
        <w:rPr>
          <w:rFonts w:ascii="Verdana" w:hAnsi="Verdana"/>
          <w:sz w:val="18"/>
          <w:szCs w:val="18"/>
        </w:rPr>
        <w:sectPr w:rsidR="008715BE" w:rsidRPr="00EC75B7">
          <w:pgSz w:w="11910" w:h="16840"/>
          <w:pgMar w:top="1160" w:right="141" w:bottom="980" w:left="425" w:header="766" w:footer="797" w:gutter="0"/>
          <w:cols w:space="708"/>
        </w:sectPr>
      </w:pPr>
    </w:p>
    <w:p w14:paraId="3EA907E1" w14:textId="77777777" w:rsidR="008715BE" w:rsidRPr="00EC75B7" w:rsidRDefault="008715BE">
      <w:pPr>
        <w:pStyle w:val="BodyText"/>
        <w:spacing w:before="46"/>
        <w:rPr>
          <w:rFonts w:ascii="Verdana" w:hAnsi="Verdana"/>
        </w:rPr>
      </w:pPr>
    </w:p>
    <w:p w14:paraId="75A0232B" w14:textId="77777777" w:rsidR="008715BE" w:rsidRPr="00EC75B7" w:rsidRDefault="00000000">
      <w:pPr>
        <w:spacing w:before="1"/>
        <w:ind w:left="765"/>
        <w:jc w:val="both"/>
        <w:rPr>
          <w:rFonts w:ascii="Verdana" w:hAnsi="Verdana"/>
          <w:b/>
          <w:sz w:val="18"/>
          <w:szCs w:val="18"/>
        </w:rPr>
      </w:pPr>
      <w:r w:rsidRPr="00EC75B7">
        <w:rPr>
          <w:rFonts w:ascii="Verdana" w:hAnsi="Verdana"/>
          <w:b/>
          <w:color w:val="00AFEF"/>
          <w:sz w:val="18"/>
          <w:szCs w:val="18"/>
        </w:rPr>
        <w:t xml:space="preserve">Standard of </w:t>
      </w:r>
      <w:r w:rsidRPr="00EC75B7">
        <w:rPr>
          <w:rFonts w:ascii="Verdana" w:hAnsi="Verdana"/>
          <w:b/>
          <w:color w:val="00AFEF"/>
          <w:spacing w:val="-4"/>
          <w:sz w:val="18"/>
          <w:szCs w:val="18"/>
        </w:rPr>
        <w:t>living</w:t>
      </w:r>
    </w:p>
    <w:p w14:paraId="1B72200F" w14:textId="77777777" w:rsidR="008715BE" w:rsidRPr="00EC75B7" w:rsidRDefault="008715BE">
      <w:pPr>
        <w:pStyle w:val="BodyText"/>
        <w:spacing w:before="9"/>
        <w:rPr>
          <w:rFonts w:ascii="Verdana" w:hAnsi="Verdana"/>
          <w:b/>
        </w:rPr>
      </w:pPr>
    </w:p>
    <w:p w14:paraId="0444A79C" w14:textId="5855B28A" w:rsidR="008715BE" w:rsidRPr="00EC75B7" w:rsidRDefault="00000000">
      <w:pPr>
        <w:pStyle w:val="BodyText"/>
        <w:spacing w:line="357" w:lineRule="auto"/>
        <w:ind w:left="794" w:right="823"/>
        <w:jc w:val="both"/>
        <w:rPr>
          <w:rFonts w:ascii="Verdana" w:hAnsi="Verdana"/>
        </w:rPr>
      </w:pPr>
      <w:r w:rsidRPr="00EC75B7">
        <w:rPr>
          <w:rFonts w:ascii="Verdana" w:hAnsi="Verdana"/>
          <w:noProof/>
        </w:rPr>
        <mc:AlternateContent>
          <mc:Choice Requires="wps">
            <w:drawing>
              <wp:anchor distT="0" distB="0" distL="0" distR="0" simplePos="0" relativeHeight="251665408" behindDoc="0" locked="0" layoutInCell="1" allowOverlap="1" wp14:anchorId="16AFE448" wp14:editId="43CCD429">
                <wp:simplePos x="0" y="0"/>
                <wp:positionH relativeFrom="page">
                  <wp:posOffset>1508461</wp:posOffset>
                </wp:positionH>
                <wp:positionV relativeFrom="paragraph">
                  <wp:posOffset>1610612</wp:posOffset>
                </wp:positionV>
                <wp:extent cx="179705" cy="1660525"/>
                <wp:effectExtent l="0" t="0" r="0" b="0"/>
                <wp:wrapNone/>
                <wp:docPr id="114" name="Textbox 114"/>
                <wp:cNvGraphicFramePr/>
                <a:graphic xmlns:a="http://schemas.openxmlformats.org/drawingml/2006/main">
                  <a:graphicData uri="http://schemas.microsoft.com/office/word/2010/wordprocessingShape">
                    <wps:wsp>
                      <wps:cNvSpPr txBox="1"/>
                      <wps:spPr>
                        <a:xfrm>
                          <a:off x="0" y="0"/>
                          <a:ext cx="179705" cy="1660525"/>
                        </a:xfrm>
                        <a:prstGeom prst="rect">
                          <a:avLst/>
                        </a:prstGeom>
                      </wps:spPr>
                      <wps:txbx>
                        <w:txbxContent>
                          <w:p w14:paraId="63D47737" w14:textId="77777777" w:rsidR="008715BE" w:rsidRDefault="00000000">
                            <w:pPr>
                              <w:spacing w:before="30"/>
                              <w:ind w:left="20"/>
                              <w:rPr>
                                <w:sz w:val="20"/>
                              </w:rPr>
                            </w:pPr>
                            <w:r>
                              <w:rPr>
                                <w:color w:val="585858"/>
                                <w:w w:val="125"/>
                                <w:sz w:val="13"/>
                              </w:rPr>
                              <w:t xml:space="preserve">Relative poverty rate </w:t>
                            </w:r>
                            <w:r>
                              <w:rPr>
                                <w:color w:val="585858"/>
                                <w:spacing w:val="-5"/>
                                <w:w w:val="125"/>
                                <w:sz w:val="13"/>
                              </w:rPr>
                              <w:t>(%)</w:t>
                            </w:r>
                          </w:p>
                        </w:txbxContent>
                      </wps:txbx>
                      <wps:bodyPr vert="vert270" wrap="square" lIns="0" tIns="0" rIns="0" bIns="0" rtlCol="0"/>
                    </wps:wsp>
                  </a:graphicData>
                </a:graphic>
              </wp:anchor>
            </w:drawing>
          </mc:Choice>
          <mc:Fallback>
            <w:pict>
              <v:shape w14:anchorId="16AFE448" id="Textbox 114" o:spid="_x0000_s1090" type="#_x0000_t202" style="position:absolute;left:0;text-align:left;margin-left:118.8pt;margin-top:126.8pt;width:14.15pt;height:130.75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" filled="f" stroked="f">
                <v:textbox style="layout-flow:vertical;mso-layout-flow-alt:bottom-to-top" inset="0,0,0,0">
                  <w:txbxContent>
                    <w:p w14:paraId="63D47737" w14:textId="77777777" w:rsidR="008715BE" w:rsidRDefault="00000000">
                      <w:pPr>
                        <w:spacing w:before="30"/>
                        <w:ind w:left="20"/>
                        <w:rPr>
                          <w:sz w:val="20"/>
                        </w:rPr>
                      </w:pPr>
                      <w:r>
                        <w:rPr>
                          <w:color w:val="585858"/>
                          <w:w w:val="125"/>
                          <w:sz w:val="13"/>
                        </w:rPr>
                        <w:t xml:space="preserve">Relative poverty rate </w:t>
                      </w:r>
                      <w:r>
                        <w:rPr>
                          <w:color w:val="585858"/>
                          <w:spacing w:val="-5"/>
                          <w:w w:val="125"/>
                          <w:sz w:val="13"/>
                        </w:rPr>
                        <w:t>(%)</w:t>
                      </w:r>
                    </w:p>
                  </w:txbxContent>
                </v:textbox>
                <w10:wrap anchorx="page"/>
              </v:shape>
            </w:pict>
          </mc:Fallback>
        </mc:AlternateContent>
      </w:r>
      <w:r w:rsidRPr="00EC75B7">
        <w:rPr>
          <w:rFonts w:ascii="Verdana" w:hAnsi="Verdana"/>
          <w:noProof/>
        </w:rPr>
        <mc:AlternateContent>
          <mc:Choice Requires="wps">
            <w:drawing>
              <wp:anchor distT="0" distB="0" distL="0" distR="0" simplePos="0" relativeHeight="251699200" behindDoc="1" locked="0" layoutInCell="1" allowOverlap="1" wp14:anchorId="383073F0" wp14:editId="35DC805A">
                <wp:simplePos x="0" y="0"/>
                <wp:positionH relativeFrom="page">
                  <wp:posOffset>1687322</wp:posOffset>
                </wp:positionH>
                <wp:positionV relativeFrom="paragraph">
                  <wp:posOffset>307355</wp:posOffset>
                </wp:positionV>
                <wp:extent cx="17780" cy="12700"/>
                <wp:effectExtent l="0" t="0" r="0" b="0"/>
                <wp:wrapNone/>
                <wp:docPr id="115" name="Textbox 115"/>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1AE628B6" w14:textId="77777777" w:rsidR="008715BE" w:rsidRDefault="00000000">
                            <w:pPr>
                              <w:spacing w:line="19" w:lineRule="exact"/>
                              <w:rPr>
                                <w:sz w:val="2"/>
                              </w:rPr>
                            </w:pPr>
                            <w:r>
                              <w:rPr>
                                <w:spacing w:val="-5"/>
                                <w:sz w:val="1"/>
                              </w:rPr>
                              <w:t>26</w:t>
                            </w:r>
                          </w:p>
                        </w:txbxContent>
                      </wps:txbx>
                      <wps:bodyPr wrap="square" lIns="0" tIns="0" rIns="0" bIns="0" rtlCol="0"/>
                    </wps:wsp>
                  </a:graphicData>
                </a:graphic>
              </wp:anchor>
            </w:drawing>
          </mc:Choice>
          <mc:Fallback>
            <w:pict>
              <v:shape w14:anchorId="383073F0" id="Textbox 115" o:spid="_x0000_s1091" type="#_x0000_t202" style="position:absolute;left:0;text-align:left;margin-left:132.85pt;margin-top:24.2pt;width:1.4pt;height:1pt;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" filled="f" stroked="f">
                <v:textbox inset="0,0,0,0">
                  <w:txbxContent>
                    <w:p w14:paraId="1AE628B6" w14:textId="77777777" w:rsidR="008715BE" w:rsidRDefault="00000000">
                      <w:pPr>
                        <w:spacing w:line="19" w:lineRule="exact"/>
                        <w:rPr>
                          <w:sz w:val="2"/>
                        </w:rPr>
                      </w:pPr>
                      <w:r>
                        <w:rPr>
                          <w:spacing w:val="-5"/>
                          <w:sz w:val="1"/>
                        </w:rPr>
                        <w:t>26</w:t>
                      </w:r>
                    </w:p>
                  </w:txbxContent>
                </v:textbox>
                <w10:wrap anchorx="page"/>
              </v:shape>
            </w:pict>
          </mc:Fallback>
        </mc:AlternateContent>
      </w:r>
      <w:r w:rsidRPr="00EC75B7">
        <w:rPr>
          <w:rFonts w:ascii="Verdana" w:hAnsi="Verdana"/>
        </w:rPr>
        <w:t xml:space="preserve">An overview of the standard of living in the study area can be expressed by indicators such as the relative poverty rate </w:t>
      </w:r>
      <w:r w:rsidRPr="00EC75B7">
        <w:rPr>
          <w:rFonts w:ascii="Verdana" w:hAnsi="Verdana"/>
          <w:position w:val="6"/>
        </w:rPr>
        <w:t>9</w:t>
      </w:r>
      <w:r w:rsidRPr="00EC75B7">
        <w:rPr>
          <w:rFonts w:ascii="Verdana" w:hAnsi="Verdana"/>
        </w:rPr>
        <w:t xml:space="preserve"> , which showed a downward trend between 2012 and 2024 for the South-East Development Region, which includes Constanța County and, implicitly, Cerchezu Commune. However, by correlating county-level data with commune-level data and taking into account the economic profile of the area, it can be concluded that the relative poverty rate in Cerchezu is higher than that at the county level.</w:t>
      </w:r>
    </w:p>
    <w:p w14:paraId="58DEBC13" w14:textId="6AAF3A49" w:rsidR="008715BE" w:rsidRPr="00EC75B7" w:rsidRDefault="009C3CA5">
      <w:pPr>
        <w:pStyle w:val="BodyText"/>
        <w:rPr>
          <w:rFonts w:ascii="Verdana" w:hAnsi="Verdana"/>
        </w:rPr>
      </w:pPr>
      <w:r w:rsidRPr="00EC75B7">
        <w:rPr>
          <w:rFonts w:ascii="Verdana" w:hAnsi="Verdana"/>
          <w:noProof/>
        </w:rPr>
        <mc:AlternateContent>
          <mc:Choice Requires="wpg">
            <w:drawing>
              <wp:anchor distT="0" distB="0" distL="0" distR="0" simplePos="0" relativeHeight="251663360" behindDoc="0" locked="0" layoutInCell="1" allowOverlap="1" wp14:anchorId="5617F629" wp14:editId="53D1F368">
                <wp:simplePos x="0" y="0"/>
                <wp:positionH relativeFrom="page">
                  <wp:posOffset>1407619</wp:posOffset>
                </wp:positionH>
                <wp:positionV relativeFrom="paragraph">
                  <wp:posOffset>26035</wp:posOffset>
                </wp:positionV>
                <wp:extent cx="4761427" cy="2180787"/>
                <wp:effectExtent l="0" t="0" r="20320" b="10160"/>
                <wp:wrapNone/>
                <wp:docPr id="103" name="Group 103"/>
                <wp:cNvGraphicFramePr/>
                <a:graphic xmlns:a="http://schemas.openxmlformats.org/drawingml/2006/main">
                  <a:graphicData uri="http://schemas.microsoft.com/office/word/2010/wordprocessingGroup">
                    <wpg:wgp>
                      <wpg:cNvGrpSpPr/>
                      <wpg:grpSpPr>
                        <a:xfrm>
                          <a:off x="0" y="0"/>
                          <a:ext cx="4761427" cy="2180787"/>
                          <a:chOff x="0" y="0"/>
                          <a:chExt cx="5488305" cy="2948940"/>
                        </a:xfrm>
                      </wpg:grpSpPr>
                      <wps:wsp>
                        <wps:cNvPr id="104" name="Graphic 104"/>
                        <wps:cNvSpPr/>
                        <wps:spPr>
                          <a:xfrm>
                            <a:off x="854011" y="249745"/>
                            <a:ext cx="4629785" cy="2162810"/>
                          </a:xfrm>
                          <a:custGeom>
                            <a:avLst/>
                            <a:gdLst/>
                            <a:ahLst/>
                            <a:cxnLst/>
                            <a:rect l="l" t="t" r="r" b="b"/>
                            <a:pathLst>
                              <a:path w="4629785" h="2162810">
                                <a:moveTo>
                                  <a:pt x="0" y="1892934"/>
                                </a:moveTo>
                                <a:lnTo>
                                  <a:pt x="4629531" y="1892934"/>
                                </a:lnTo>
                              </a:path>
                              <a:path w="4629785" h="2162810">
                                <a:moveTo>
                                  <a:pt x="0" y="1621662"/>
                                </a:moveTo>
                                <a:lnTo>
                                  <a:pt x="4629531" y="1621662"/>
                                </a:lnTo>
                              </a:path>
                              <a:path w="4629785" h="2162810">
                                <a:moveTo>
                                  <a:pt x="0" y="1351914"/>
                                </a:moveTo>
                                <a:lnTo>
                                  <a:pt x="4629531" y="1351914"/>
                                </a:lnTo>
                              </a:path>
                              <a:path w="4629785" h="2162810">
                                <a:moveTo>
                                  <a:pt x="0" y="1080642"/>
                                </a:moveTo>
                                <a:lnTo>
                                  <a:pt x="4629531" y="1080642"/>
                                </a:lnTo>
                              </a:path>
                              <a:path w="4629785" h="2162810">
                                <a:moveTo>
                                  <a:pt x="0" y="810894"/>
                                </a:moveTo>
                                <a:lnTo>
                                  <a:pt x="4629531" y="810894"/>
                                </a:lnTo>
                              </a:path>
                              <a:path w="4629785" h="2162810">
                                <a:moveTo>
                                  <a:pt x="0" y="541147"/>
                                </a:moveTo>
                                <a:lnTo>
                                  <a:pt x="4629531" y="541147"/>
                                </a:lnTo>
                              </a:path>
                              <a:path w="4629785" h="2162810">
                                <a:moveTo>
                                  <a:pt x="0" y="269875"/>
                                </a:moveTo>
                                <a:lnTo>
                                  <a:pt x="4629531" y="269875"/>
                                </a:lnTo>
                              </a:path>
                              <a:path w="4629785" h="2162810">
                                <a:moveTo>
                                  <a:pt x="0" y="0"/>
                                </a:moveTo>
                                <a:lnTo>
                                  <a:pt x="4629531" y="0"/>
                                </a:lnTo>
                              </a:path>
                              <a:path w="4629785" h="2162810">
                                <a:moveTo>
                                  <a:pt x="0" y="2162682"/>
                                </a:moveTo>
                                <a:lnTo>
                                  <a:pt x="4629531" y="2162682"/>
                                </a:lnTo>
                              </a:path>
                            </a:pathLst>
                          </a:custGeom>
                          <a:ln w="9525">
                            <a:solidFill>
                              <a:srgbClr val="D9D9D9"/>
                            </a:solidFill>
                            <a:prstDash val="solid"/>
                          </a:ln>
                        </wps:spPr>
                        <wps:bodyPr wrap="square" lIns="0" tIns="0" rIns="0" bIns="0" rtlCol="0">
                          <a:prstTxWarp prst="textNoShape">
                            <a:avLst/>
                          </a:prstTxWarp>
                        </wps:bodyPr>
                      </wps:wsp>
                      <wps:wsp>
                        <wps:cNvPr id="105" name="Graphic 105"/>
                        <wps:cNvSpPr/>
                        <wps:spPr>
                          <a:xfrm>
                            <a:off x="1064450" y="1039177"/>
                            <a:ext cx="4208780" cy="346075"/>
                          </a:xfrm>
                          <a:custGeom>
                            <a:avLst/>
                            <a:gdLst/>
                            <a:ahLst/>
                            <a:cxnLst/>
                            <a:rect l="l" t="t" r="r" b="b"/>
                            <a:pathLst>
                              <a:path w="4208780" h="346075">
                                <a:moveTo>
                                  <a:pt x="0" y="16891"/>
                                </a:moveTo>
                                <a:lnTo>
                                  <a:pt x="420877" y="0"/>
                                </a:lnTo>
                                <a:lnTo>
                                  <a:pt x="841501" y="4699"/>
                                </a:lnTo>
                                <a:lnTo>
                                  <a:pt x="1262126" y="97662"/>
                                </a:lnTo>
                                <a:lnTo>
                                  <a:pt x="1682749" y="102234"/>
                                </a:lnTo>
                                <a:lnTo>
                                  <a:pt x="2104897" y="86995"/>
                                </a:lnTo>
                                <a:lnTo>
                                  <a:pt x="2525522" y="108330"/>
                                </a:lnTo>
                                <a:lnTo>
                                  <a:pt x="2946146" y="157099"/>
                                </a:lnTo>
                                <a:lnTo>
                                  <a:pt x="3366770" y="227202"/>
                                </a:lnTo>
                                <a:lnTo>
                                  <a:pt x="3787394" y="231775"/>
                                </a:lnTo>
                                <a:lnTo>
                                  <a:pt x="4208653" y="345948"/>
                                </a:lnTo>
                              </a:path>
                            </a:pathLst>
                          </a:custGeom>
                          <a:ln w="28575">
                            <a:solidFill>
                              <a:srgbClr val="04316D"/>
                            </a:solidFill>
                            <a:prstDash val="solid"/>
                          </a:ln>
                        </wps:spPr>
                        <wps:bodyPr wrap="square" lIns="0" tIns="0" rIns="0" bIns="0" rtlCol="0">
                          <a:prstTxWarp prst="textNoShape">
                            <a:avLst/>
                          </a:prstTxWarp>
                        </wps:bodyPr>
                      </wps:wsp>
                      <wps:wsp>
                        <wps:cNvPr id="106" name="Graphic 106"/>
                        <wps:cNvSpPr/>
                        <wps:spPr>
                          <a:xfrm>
                            <a:off x="1064450" y="574103"/>
                            <a:ext cx="4208780" cy="389890"/>
                          </a:xfrm>
                          <a:custGeom>
                            <a:avLst/>
                            <a:gdLst/>
                            <a:ahLst/>
                            <a:cxnLst/>
                            <a:rect l="l" t="t" r="r" b="b"/>
                            <a:pathLst>
                              <a:path w="4208780" h="389890">
                                <a:moveTo>
                                  <a:pt x="0" y="0"/>
                                </a:moveTo>
                                <a:lnTo>
                                  <a:pt x="420877" y="87249"/>
                                </a:lnTo>
                                <a:lnTo>
                                  <a:pt x="841501" y="151256"/>
                                </a:lnTo>
                                <a:lnTo>
                                  <a:pt x="1262126" y="238125"/>
                                </a:lnTo>
                                <a:lnTo>
                                  <a:pt x="1682749" y="151256"/>
                                </a:lnTo>
                                <a:lnTo>
                                  <a:pt x="2104897" y="157352"/>
                                </a:lnTo>
                                <a:lnTo>
                                  <a:pt x="2525522" y="75056"/>
                                </a:lnTo>
                                <a:lnTo>
                                  <a:pt x="2946146" y="193928"/>
                                </a:lnTo>
                                <a:lnTo>
                                  <a:pt x="3366770" y="302132"/>
                                </a:lnTo>
                                <a:lnTo>
                                  <a:pt x="3787394" y="389381"/>
                                </a:lnTo>
                                <a:lnTo>
                                  <a:pt x="4208653" y="389381"/>
                                </a:lnTo>
                              </a:path>
                            </a:pathLst>
                          </a:custGeom>
                          <a:ln w="28575">
                            <a:solidFill>
                              <a:srgbClr val="125A40"/>
                            </a:solidFill>
                            <a:prstDash val="solid"/>
                          </a:ln>
                        </wps:spPr>
                        <wps:bodyPr wrap="square" lIns="0" tIns="0" rIns="0" bIns="0" rtlCol="0">
                          <a:prstTxWarp prst="textNoShape">
                            <a:avLst/>
                          </a:prstTxWarp>
                        </wps:bodyPr>
                      </wps:wsp>
                      <wps:wsp>
                        <wps:cNvPr id="107" name="Graphic 107"/>
                        <wps:cNvSpPr/>
                        <wps:spPr>
                          <a:xfrm>
                            <a:off x="1064450" y="611441"/>
                            <a:ext cx="4208780" cy="313690"/>
                          </a:xfrm>
                          <a:custGeom>
                            <a:avLst/>
                            <a:gdLst/>
                            <a:ahLst/>
                            <a:cxnLst/>
                            <a:rect l="l" t="t" r="r" b="b"/>
                            <a:pathLst>
                              <a:path w="4208780" h="313690">
                                <a:moveTo>
                                  <a:pt x="0" y="0"/>
                                </a:moveTo>
                                <a:lnTo>
                                  <a:pt x="4208653" y="313689"/>
                                </a:lnTo>
                              </a:path>
                            </a:pathLst>
                          </a:custGeom>
                          <a:ln w="19050">
                            <a:solidFill>
                              <a:srgbClr val="FF0000"/>
                            </a:solidFill>
                            <a:prstDash val="dot"/>
                          </a:ln>
                        </wps:spPr>
                        <wps:bodyPr wrap="square" lIns="0" tIns="0" rIns="0" bIns="0" rtlCol="0">
                          <a:prstTxWarp prst="textNoShape">
                            <a:avLst/>
                          </a:prstTxWarp>
                        </wps:bodyPr>
                      </wps:wsp>
                      <wps:wsp>
                        <wps:cNvPr id="108" name="Graphic 108"/>
                        <wps:cNvSpPr/>
                        <wps:spPr>
                          <a:xfrm>
                            <a:off x="506285" y="2761170"/>
                            <a:ext cx="320040" cy="1270"/>
                          </a:xfrm>
                          <a:custGeom>
                            <a:avLst/>
                            <a:gdLst/>
                            <a:ahLst/>
                            <a:cxnLst/>
                            <a:rect l="l" t="t" r="r" b="b"/>
                            <a:pathLst>
                              <a:path w="320040">
                                <a:moveTo>
                                  <a:pt x="0" y="0"/>
                                </a:moveTo>
                                <a:lnTo>
                                  <a:pt x="320040" y="0"/>
                                </a:lnTo>
                              </a:path>
                            </a:pathLst>
                          </a:custGeom>
                          <a:ln w="28575">
                            <a:solidFill>
                              <a:srgbClr val="04316D"/>
                            </a:solidFill>
                            <a:prstDash val="solid"/>
                          </a:ln>
                        </wps:spPr>
                        <wps:bodyPr wrap="square" lIns="0" tIns="0" rIns="0" bIns="0" rtlCol="0">
                          <a:prstTxWarp prst="textNoShape">
                            <a:avLst/>
                          </a:prstTxWarp>
                        </wps:bodyPr>
                      </wps:wsp>
                      <wps:wsp>
                        <wps:cNvPr id="109" name="Graphic 109"/>
                        <wps:cNvSpPr/>
                        <wps:spPr>
                          <a:xfrm>
                            <a:off x="1585404" y="2761170"/>
                            <a:ext cx="320040" cy="1270"/>
                          </a:xfrm>
                          <a:custGeom>
                            <a:avLst/>
                            <a:gdLst/>
                            <a:ahLst/>
                            <a:cxnLst/>
                            <a:rect l="l" t="t" r="r" b="b"/>
                            <a:pathLst>
                              <a:path w="320040">
                                <a:moveTo>
                                  <a:pt x="0" y="0"/>
                                </a:moveTo>
                                <a:lnTo>
                                  <a:pt x="320039" y="0"/>
                                </a:lnTo>
                              </a:path>
                            </a:pathLst>
                          </a:custGeom>
                          <a:ln w="28575">
                            <a:solidFill>
                              <a:srgbClr val="125A40"/>
                            </a:solidFill>
                            <a:prstDash val="solid"/>
                          </a:ln>
                        </wps:spPr>
                        <wps:bodyPr wrap="square" lIns="0" tIns="0" rIns="0" bIns="0" rtlCol="0">
                          <a:prstTxWarp prst="textNoShape">
                            <a:avLst/>
                          </a:prstTxWarp>
                        </wps:bodyPr>
                      </wps:wsp>
                      <wps:wsp>
                        <wps:cNvPr id="110" name="Graphic 110"/>
                        <wps:cNvSpPr/>
                        <wps:spPr>
                          <a:xfrm>
                            <a:off x="3173920" y="2761170"/>
                            <a:ext cx="320040" cy="1270"/>
                          </a:xfrm>
                          <a:custGeom>
                            <a:avLst/>
                            <a:gdLst/>
                            <a:ahLst/>
                            <a:cxnLst/>
                            <a:rect l="l" t="t" r="r" b="b"/>
                            <a:pathLst>
                              <a:path w="320040">
                                <a:moveTo>
                                  <a:pt x="0" y="0"/>
                                </a:moveTo>
                                <a:lnTo>
                                  <a:pt x="320039" y="0"/>
                                </a:lnTo>
                              </a:path>
                            </a:pathLst>
                          </a:custGeom>
                          <a:ln w="19050">
                            <a:solidFill>
                              <a:srgbClr val="FF0000"/>
                            </a:solidFill>
                            <a:prstDash val="dot"/>
                          </a:ln>
                        </wps:spPr>
                        <wps:bodyPr wrap="square" lIns="0" tIns="0" rIns="0" bIns="0" rtlCol="0">
                          <a:prstTxWarp prst="textNoShape">
                            <a:avLst/>
                          </a:prstTxWarp>
                        </wps:bodyPr>
                      </wps:wsp>
                      <wps:wsp>
                        <wps:cNvPr id="111" name="Graphic 111"/>
                        <wps:cNvSpPr/>
                        <wps:spPr>
                          <a:xfrm>
                            <a:off x="4762" y="4762"/>
                            <a:ext cx="5478780" cy="2939415"/>
                          </a:xfrm>
                          <a:custGeom>
                            <a:avLst/>
                            <a:gdLst/>
                            <a:ahLst/>
                            <a:cxnLst/>
                            <a:rect l="l" t="t" r="r" b="b"/>
                            <a:pathLst>
                              <a:path w="5478780" h="2939415">
                                <a:moveTo>
                                  <a:pt x="0" y="2939414"/>
                                </a:moveTo>
                                <a:lnTo>
                                  <a:pt x="5478780" y="2939414"/>
                                </a:lnTo>
                                <a:lnTo>
                                  <a:pt x="5478780" y="0"/>
                                </a:lnTo>
                                <a:lnTo>
                                  <a:pt x="0" y="0"/>
                                </a:lnTo>
                                <a:lnTo>
                                  <a:pt x="0" y="2939414"/>
                                </a:lnTo>
                                <a:close/>
                              </a:path>
                            </a:pathLst>
                          </a:custGeom>
                          <a:ln w="9525">
                            <a:solidFill>
                              <a:srgbClr val="D9D9D9"/>
                            </a:solidFill>
                            <a:prstDash val="solid"/>
                          </a:ln>
                        </wps:spPr>
                        <wps:bodyPr wrap="square" lIns="0" tIns="0" rIns="0" bIns="0" rtlCol="0">
                          <a:prstTxWarp prst="textNoShape">
                            <a:avLst/>
                          </a:prstTxWarp>
                        </wps:bodyPr>
                      </wps:wsp>
                      <wps:wsp>
                        <wps:cNvPr id="112" name="Textbox 112"/>
                        <wps:cNvSpPr txBox="1"/>
                        <wps:spPr>
                          <a:xfrm>
                            <a:off x="601154" y="173947"/>
                            <a:ext cx="160020" cy="2301875"/>
                          </a:xfrm>
                          <a:prstGeom prst="rect">
                            <a:avLst/>
                          </a:prstGeom>
                        </wps:spPr>
                        <wps:txbx>
                          <w:txbxContent>
                            <w:p w14:paraId="4BC4C30A" w14:textId="77777777" w:rsidR="008715BE" w:rsidRDefault="00000000">
                              <w:pPr>
                                <w:spacing w:before="9"/>
                                <w:ind w:right="18"/>
                                <w:jc w:val="right"/>
                                <w:rPr>
                                  <w:sz w:val="18"/>
                                </w:rPr>
                              </w:pPr>
                              <w:r>
                                <w:rPr>
                                  <w:color w:val="585858"/>
                                  <w:spacing w:val="-5"/>
                                  <w:w w:val="125"/>
                                  <w:sz w:val="12"/>
                                </w:rPr>
                                <w:t>40</w:t>
                              </w:r>
                            </w:p>
                            <w:p w14:paraId="567B2C20" w14:textId="77777777" w:rsidR="008715BE" w:rsidRDefault="00000000">
                              <w:pPr>
                                <w:spacing w:before="206"/>
                                <w:ind w:right="18"/>
                                <w:jc w:val="right"/>
                                <w:rPr>
                                  <w:sz w:val="18"/>
                                </w:rPr>
                              </w:pPr>
                              <w:r>
                                <w:rPr>
                                  <w:color w:val="585858"/>
                                  <w:spacing w:val="-5"/>
                                  <w:w w:val="125"/>
                                  <w:sz w:val="12"/>
                                </w:rPr>
                                <w:t>35</w:t>
                              </w:r>
                            </w:p>
                            <w:p w14:paraId="4E58AB21" w14:textId="77777777" w:rsidR="008715BE" w:rsidRDefault="00000000">
                              <w:pPr>
                                <w:spacing w:before="206"/>
                                <w:ind w:right="18"/>
                                <w:jc w:val="right"/>
                                <w:rPr>
                                  <w:sz w:val="18"/>
                                </w:rPr>
                              </w:pPr>
                              <w:r>
                                <w:rPr>
                                  <w:color w:val="585858"/>
                                  <w:spacing w:val="-5"/>
                                  <w:w w:val="125"/>
                                  <w:sz w:val="12"/>
                                </w:rPr>
                                <w:t>30</w:t>
                              </w:r>
                            </w:p>
                            <w:p w14:paraId="3AA9F338" w14:textId="77777777" w:rsidR="008715BE" w:rsidRDefault="00000000">
                              <w:pPr>
                                <w:spacing w:before="206"/>
                                <w:ind w:right="18"/>
                                <w:jc w:val="right"/>
                                <w:rPr>
                                  <w:sz w:val="18"/>
                                </w:rPr>
                              </w:pPr>
                              <w:r>
                                <w:rPr>
                                  <w:color w:val="585858"/>
                                  <w:spacing w:val="-5"/>
                                  <w:w w:val="125"/>
                                  <w:sz w:val="12"/>
                                </w:rPr>
                                <w:t>25</w:t>
                              </w:r>
                            </w:p>
                            <w:p w14:paraId="24E48A34" w14:textId="77777777" w:rsidR="008715BE" w:rsidRDefault="00000000">
                              <w:pPr>
                                <w:spacing w:before="206"/>
                                <w:ind w:right="18"/>
                                <w:jc w:val="right"/>
                                <w:rPr>
                                  <w:sz w:val="18"/>
                                </w:rPr>
                              </w:pPr>
                              <w:r>
                                <w:rPr>
                                  <w:color w:val="585858"/>
                                  <w:spacing w:val="-5"/>
                                  <w:w w:val="125"/>
                                  <w:sz w:val="12"/>
                                </w:rPr>
                                <w:t>20</w:t>
                              </w:r>
                            </w:p>
                            <w:p w14:paraId="6E96C514" w14:textId="77777777" w:rsidR="008715BE" w:rsidRDefault="00000000">
                              <w:pPr>
                                <w:spacing w:before="206"/>
                                <w:ind w:right="18"/>
                                <w:jc w:val="right"/>
                                <w:rPr>
                                  <w:sz w:val="18"/>
                                </w:rPr>
                              </w:pPr>
                              <w:r>
                                <w:rPr>
                                  <w:color w:val="585858"/>
                                  <w:spacing w:val="-5"/>
                                  <w:w w:val="125"/>
                                  <w:sz w:val="12"/>
                                </w:rPr>
                                <w:t>15</w:t>
                              </w:r>
                            </w:p>
                            <w:p w14:paraId="29138874" w14:textId="77777777" w:rsidR="008715BE" w:rsidRDefault="00000000">
                              <w:pPr>
                                <w:spacing w:before="207"/>
                                <w:ind w:right="18"/>
                                <w:jc w:val="right"/>
                                <w:rPr>
                                  <w:sz w:val="18"/>
                                </w:rPr>
                              </w:pPr>
                              <w:r>
                                <w:rPr>
                                  <w:color w:val="585858"/>
                                  <w:spacing w:val="-5"/>
                                  <w:w w:val="125"/>
                                  <w:sz w:val="12"/>
                                </w:rPr>
                                <w:t>10</w:t>
                              </w:r>
                            </w:p>
                            <w:p w14:paraId="6D668B1A" w14:textId="77777777" w:rsidR="008715BE" w:rsidRDefault="00000000">
                              <w:pPr>
                                <w:spacing w:before="206"/>
                                <w:ind w:right="20"/>
                                <w:jc w:val="right"/>
                                <w:rPr>
                                  <w:sz w:val="18"/>
                                </w:rPr>
                              </w:pPr>
                              <w:r>
                                <w:rPr>
                                  <w:color w:val="585858"/>
                                  <w:spacing w:val="-10"/>
                                  <w:w w:val="125"/>
                                  <w:sz w:val="12"/>
                                </w:rPr>
                                <w:t>5</w:t>
                              </w:r>
                            </w:p>
                            <w:p w14:paraId="11F350CB" w14:textId="77777777" w:rsidR="008715BE" w:rsidRDefault="00000000">
                              <w:pPr>
                                <w:spacing w:before="206" w:line="209" w:lineRule="exact"/>
                                <w:ind w:left="114"/>
                                <w:rPr>
                                  <w:sz w:val="18"/>
                                </w:rPr>
                              </w:pPr>
                              <w:r>
                                <w:rPr>
                                  <w:color w:val="585858"/>
                                  <w:spacing w:val="-10"/>
                                  <w:w w:val="125"/>
                                  <w:sz w:val="12"/>
                                </w:rPr>
                                <w:t>0</w:t>
                              </w:r>
                            </w:p>
                          </w:txbxContent>
                        </wps:txbx>
                        <wps:bodyPr wrap="square" lIns="0" tIns="0" rIns="0" bIns="0" rtlCol="0"/>
                      </wps:wsp>
                      <wps:wsp>
                        <wps:cNvPr id="113" name="Textbox 113"/>
                        <wps:cNvSpPr txBox="1"/>
                        <wps:spPr>
                          <a:xfrm>
                            <a:off x="862012" y="2489284"/>
                            <a:ext cx="4570095" cy="335280"/>
                          </a:xfrm>
                          <a:prstGeom prst="rect">
                            <a:avLst/>
                          </a:prstGeom>
                        </wps:spPr>
                        <wps:txbx>
                          <w:txbxContent>
                            <w:p w14:paraId="4E3943ED" w14:textId="77777777" w:rsidR="008715BE" w:rsidRDefault="00000000">
                              <w:pPr>
                                <w:tabs>
                                  <w:tab w:val="left" w:pos="753"/>
                                  <w:tab w:val="left" w:pos="1416"/>
                                  <w:tab w:val="left" w:pos="2079"/>
                                  <w:tab w:val="left" w:pos="2742"/>
                                  <w:tab w:val="left" w:pos="3405"/>
                                  <w:tab w:val="left" w:pos="4067"/>
                                  <w:tab w:val="left" w:pos="4730"/>
                                  <w:tab w:val="left" w:pos="5393"/>
                                  <w:tab w:val="left" w:pos="6056"/>
                                  <w:tab w:val="left" w:pos="6719"/>
                                </w:tabs>
                                <w:spacing w:before="9"/>
                                <w:ind w:left="90"/>
                                <w:rPr>
                                  <w:sz w:val="18"/>
                                </w:rPr>
                              </w:pPr>
                              <w:r>
                                <w:rPr>
                                  <w:color w:val="585858"/>
                                  <w:spacing w:val="-4"/>
                                  <w:w w:val="125"/>
                                  <w:sz w:val="12"/>
                                </w:rPr>
                                <w:t>2014</w:t>
                              </w:r>
                              <w:r>
                                <w:rPr>
                                  <w:color w:val="585858"/>
                                  <w:sz w:val="12"/>
                                </w:rPr>
                                <w:tab/>
                              </w:r>
                              <w:r>
                                <w:rPr>
                                  <w:color w:val="585858"/>
                                  <w:spacing w:val="-4"/>
                                  <w:w w:val="125"/>
                                  <w:sz w:val="12"/>
                                </w:rPr>
                                <w:t>2015</w:t>
                              </w:r>
                              <w:r>
                                <w:rPr>
                                  <w:color w:val="585858"/>
                                  <w:sz w:val="12"/>
                                </w:rPr>
                                <w:tab/>
                              </w:r>
                              <w:r>
                                <w:rPr>
                                  <w:color w:val="585858"/>
                                  <w:spacing w:val="-4"/>
                                  <w:w w:val="125"/>
                                  <w:sz w:val="12"/>
                                </w:rPr>
                                <w:t>2016</w:t>
                              </w:r>
                              <w:r>
                                <w:rPr>
                                  <w:color w:val="585858"/>
                                  <w:sz w:val="12"/>
                                </w:rPr>
                                <w:tab/>
                              </w:r>
                              <w:r>
                                <w:rPr>
                                  <w:color w:val="585858"/>
                                  <w:spacing w:val="-4"/>
                                  <w:w w:val="125"/>
                                  <w:sz w:val="12"/>
                                </w:rPr>
                                <w:t>2017</w:t>
                              </w:r>
                              <w:r>
                                <w:rPr>
                                  <w:color w:val="585858"/>
                                  <w:sz w:val="12"/>
                                </w:rPr>
                                <w:tab/>
                              </w:r>
                              <w:r>
                                <w:rPr>
                                  <w:color w:val="585858"/>
                                  <w:spacing w:val="-4"/>
                                  <w:w w:val="125"/>
                                  <w:sz w:val="12"/>
                                </w:rPr>
                                <w:t>2018</w:t>
                              </w:r>
                              <w:r>
                                <w:rPr>
                                  <w:color w:val="585858"/>
                                  <w:sz w:val="12"/>
                                </w:rPr>
                                <w:tab/>
                              </w:r>
                              <w:r>
                                <w:rPr>
                                  <w:color w:val="585858"/>
                                  <w:spacing w:val="-4"/>
                                  <w:w w:val="125"/>
                                  <w:sz w:val="12"/>
                                </w:rPr>
                                <w:t>2019</w:t>
                              </w:r>
                              <w:r>
                                <w:rPr>
                                  <w:color w:val="585858"/>
                                  <w:sz w:val="12"/>
                                </w:rPr>
                                <w:tab/>
                              </w:r>
                              <w:r>
                                <w:rPr>
                                  <w:color w:val="585858"/>
                                  <w:spacing w:val="-4"/>
                                  <w:w w:val="125"/>
                                  <w:sz w:val="12"/>
                                </w:rPr>
                                <w:t>2020</w:t>
                              </w:r>
                              <w:r>
                                <w:rPr>
                                  <w:color w:val="585858"/>
                                  <w:sz w:val="12"/>
                                </w:rPr>
                                <w:tab/>
                              </w:r>
                              <w:r>
                                <w:rPr>
                                  <w:color w:val="585858"/>
                                  <w:spacing w:val="-4"/>
                                  <w:w w:val="125"/>
                                  <w:sz w:val="12"/>
                                </w:rPr>
                                <w:t>2021</w:t>
                              </w:r>
                              <w:r>
                                <w:rPr>
                                  <w:color w:val="585858"/>
                                  <w:sz w:val="12"/>
                                </w:rPr>
                                <w:tab/>
                              </w:r>
                              <w:r>
                                <w:rPr>
                                  <w:color w:val="585858"/>
                                  <w:spacing w:val="-4"/>
                                  <w:w w:val="125"/>
                                  <w:sz w:val="12"/>
                                </w:rPr>
                                <w:t>2022</w:t>
                              </w:r>
                              <w:r>
                                <w:rPr>
                                  <w:color w:val="585858"/>
                                  <w:sz w:val="12"/>
                                </w:rPr>
                                <w:tab/>
                              </w:r>
                              <w:r>
                                <w:rPr>
                                  <w:color w:val="585858"/>
                                  <w:spacing w:val="-4"/>
                                  <w:w w:val="125"/>
                                  <w:sz w:val="12"/>
                                </w:rPr>
                                <w:t>2023</w:t>
                              </w:r>
                              <w:r>
                                <w:rPr>
                                  <w:color w:val="585858"/>
                                  <w:sz w:val="12"/>
                                </w:rPr>
                                <w:tab/>
                              </w:r>
                              <w:r>
                                <w:rPr>
                                  <w:color w:val="585858"/>
                                  <w:spacing w:val="-4"/>
                                  <w:w w:val="125"/>
                                  <w:sz w:val="12"/>
                                </w:rPr>
                                <w:t>2024</w:t>
                              </w:r>
                            </w:p>
                            <w:p w14:paraId="05EFB0E5" w14:textId="77777777" w:rsidR="008715BE" w:rsidRDefault="00000000">
                              <w:pPr>
                                <w:tabs>
                                  <w:tab w:val="left" w:pos="1699"/>
                                  <w:tab w:val="left" w:pos="4201"/>
                                </w:tabs>
                                <w:spacing w:before="90" w:line="209" w:lineRule="exact"/>
                                <w:rPr>
                                  <w:sz w:val="18"/>
                                </w:rPr>
                              </w:pPr>
                              <w:r>
                                <w:rPr>
                                  <w:color w:val="585858"/>
                                  <w:spacing w:val="-2"/>
                                  <w:w w:val="125"/>
                                  <w:sz w:val="12"/>
                                </w:rPr>
                                <w:t>Romania</w:t>
                              </w:r>
                              <w:r>
                                <w:rPr>
                                  <w:color w:val="585858"/>
                                  <w:sz w:val="12"/>
                                </w:rPr>
                                <w:tab/>
                              </w:r>
                              <w:r>
                                <w:rPr>
                                  <w:color w:val="585858"/>
                                  <w:w w:val="125"/>
                                  <w:sz w:val="12"/>
                                </w:rPr>
                                <w:t xml:space="preserve">South </w:t>
                              </w:r>
                              <w:r>
                                <w:rPr>
                                  <w:color w:val="585858"/>
                                  <w:spacing w:val="-5"/>
                                  <w:w w:val="125"/>
                                  <w:sz w:val="12"/>
                                </w:rPr>
                                <w:t xml:space="preserve">East </w:t>
                              </w:r>
                              <w:r>
                                <w:rPr>
                                  <w:color w:val="585858"/>
                                  <w:w w:val="125"/>
                                  <w:sz w:val="12"/>
                                </w:rPr>
                                <w:t>Region</w:t>
                              </w:r>
                              <w:r>
                                <w:rPr>
                                  <w:color w:val="585858"/>
                                  <w:sz w:val="12"/>
                                </w:rPr>
                                <w:tab/>
                              </w:r>
                              <w:r>
                                <w:rPr>
                                  <w:color w:val="585858"/>
                                  <w:w w:val="125"/>
                                  <w:sz w:val="12"/>
                                </w:rPr>
                                <w:t>Linear (</w:t>
                              </w:r>
                              <w:r>
                                <w:rPr>
                                  <w:color w:val="585858"/>
                                  <w:spacing w:val="-4"/>
                                  <w:w w:val="125"/>
                                  <w:sz w:val="12"/>
                                </w:rPr>
                                <w:t xml:space="preserve">South-East </w:t>
                              </w:r>
                              <w:r>
                                <w:rPr>
                                  <w:color w:val="585858"/>
                                  <w:w w:val="125"/>
                                  <w:sz w:val="12"/>
                                </w:rPr>
                                <w:t>Region</w:t>
                              </w:r>
                              <w:r>
                                <w:rPr>
                                  <w:color w:val="585858"/>
                                  <w:spacing w:val="-4"/>
                                  <w:w w:val="125"/>
                                  <w:sz w:val="12"/>
                                </w:rPr>
                                <w:t>)</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5617F629" id="Group 103" o:spid="_x0000_s1092" style="position:absolute;margin-left:110.85pt;margin-top:2.05pt;width:374.9pt;height:171.7pt;z-index:251663360;mso-wrap-distance-left:0;mso-wrap-distance-right:0;mso-position-horizontal-relative:page;mso-position-vertical-relative:text;mso-width-relative:margin;mso-height-relative:margin" coordsize="54883,2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">
                <v:shape id="Graphic 104" o:spid="_x0000_s1093" style="position:absolute;left:8540;top:2497;width:46297;height:21628;visibility:visible;mso-wrap-style:square;v-text-anchor:top" coordsize="4629785,216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" path="m,1892934r4629531,em,1621662r4629531,em,1351914r4629531,em,1080642r4629531,em,810894r4629531,em,541147r4629531,em,269875r4629531,em,l4629531,em,2162682r4629531,e" filled="f" strokecolor="#d9d9d9">
                  <v:path arrowok="t"/>
                </v:shape>
                <v:shape id="Graphic 105" o:spid="_x0000_s1094" style="position:absolute;left:10644;top:10391;width:42088;height:3461;visibility:visible;mso-wrap-style:square;v-text-anchor:top" coordsize="4208780,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" path="m,16891l420877,,841501,4699r420625,92963l1682749,102234,2104897,86995r420625,21335l2946146,157099r420624,70103l3787394,231775r421259,114173e" filled="f" strokecolor="#04316d" strokeweight="2.25pt">
                  <v:path arrowok="t"/>
                </v:shape>
                <v:shape id="Graphic 106" o:spid="_x0000_s1095" style="position:absolute;left:10644;top:5741;width:42088;height:3898;visibility:visible;mso-wrap-style:square;v-text-anchor:top" coordsize="420878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" path="m,l420877,87249r420624,64007l1262126,238125r420623,-86869l2104897,157352,2525522,75056r420624,118872l3366770,302132r420624,87249l4208653,389381e" filled="f" strokecolor="#125a40" strokeweight="2.25pt">
                  <v:path arrowok="t"/>
                </v:shape>
                <v:shape id="Graphic 107" o:spid="_x0000_s1096" style="position:absolute;left:10644;top:6114;width:42088;height:3137;visibility:visible;mso-wrap-style:square;v-text-anchor:top" coordsize="420878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" path="m,l4208653,313689e" filled="f" strokecolor="red" strokeweight="1.5pt">
                  <v:stroke dashstyle="dot"/>
                  <v:path arrowok="t"/>
                </v:shape>
                <v:shape id="Graphic 108" o:spid="_x0000_s1097" style="position:absolute;left:5062;top:27611;width:3201;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" path="m,l320040,e" filled="f" strokecolor="#04316d" strokeweight="2.25pt">
                  <v:path arrowok="t"/>
                </v:shape>
                <v:shape id="Graphic 109" o:spid="_x0000_s1098" style="position:absolute;left:15854;top:27611;width:3200;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" path="m,l320039,e" filled="f" strokecolor="#125a40" strokeweight="2.25pt">
                  <v:path arrowok="t"/>
                </v:shape>
                <v:shape id="Graphic 110" o:spid="_x0000_s1099" style="position:absolute;left:31739;top:27611;width:3200;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" path="m,l320039,e" filled="f" strokecolor="red" strokeweight="1.5pt">
                  <v:stroke dashstyle="dot"/>
                  <v:path arrowok="t"/>
                </v:shape>
                <v:shape id="Graphic 111" o:spid="_x0000_s1100" style="position:absolute;left:47;top:47;width:54788;height:29394;visibility:visible;mso-wrap-style:square;v-text-anchor:top" coordsize="5478780,293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" path="m,2939414r5478780,l5478780,,,,,2939414xe" filled="f" strokecolor="#d9d9d9">
                  <v:path arrowok="t"/>
                </v:shape>
                <v:shape id="Textbox 112" o:spid="_x0000_s1101" type="#_x0000_t202" style="position:absolute;left:6011;top:1739;width:1600;height:2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4BC4C30A" w14:textId="77777777" w:rsidR="008715BE" w:rsidRDefault="00000000">
                        <w:pPr>
                          <w:spacing w:before="9"/>
                          <w:ind w:right="18"/>
                          <w:jc w:val="right"/>
                          <w:rPr>
                            <w:sz w:val="18"/>
                          </w:rPr>
                        </w:pPr>
                        <w:r>
                          <w:rPr>
                            <w:color w:val="585858"/>
                            <w:spacing w:val="-5"/>
                            <w:w w:val="125"/>
                            <w:sz w:val="12"/>
                          </w:rPr>
                          <w:t>40</w:t>
                        </w:r>
                      </w:p>
                      <w:p w14:paraId="567B2C20" w14:textId="77777777" w:rsidR="008715BE" w:rsidRDefault="00000000">
                        <w:pPr>
                          <w:spacing w:before="206"/>
                          <w:ind w:right="18"/>
                          <w:jc w:val="right"/>
                          <w:rPr>
                            <w:sz w:val="18"/>
                          </w:rPr>
                        </w:pPr>
                        <w:r>
                          <w:rPr>
                            <w:color w:val="585858"/>
                            <w:spacing w:val="-5"/>
                            <w:w w:val="125"/>
                            <w:sz w:val="12"/>
                          </w:rPr>
                          <w:t>35</w:t>
                        </w:r>
                      </w:p>
                      <w:p w14:paraId="4E58AB21" w14:textId="77777777" w:rsidR="008715BE" w:rsidRDefault="00000000">
                        <w:pPr>
                          <w:spacing w:before="206"/>
                          <w:ind w:right="18"/>
                          <w:jc w:val="right"/>
                          <w:rPr>
                            <w:sz w:val="18"/>
                          </w:rPr>
                        </w:pPr>
                        <w:r>
                          <w:rPr>
                            <w:color w:val="585858"/>
                            <w:spacing w:val="-5"/>
                            <w:w w:val="125"/>
                            <w:sz w:val="12"/>
                          </w:rPr>
                          <w:t>30</w:t>
                        </w:r>
                      </w:p>
                      <w:p w14:paraId="3AA9F338" w14:textId="77777777" w:rsidR="008715BE" w:rsidRDefault="00000000">
                        <w:pPr>
                          <w:spacing w:before="206"/>
                          <w:ind w:right="18"/>
                          <w:jc w:val="right"/>
                          <w:rPr>
                            <w:sz w:val="18"/>
                          </w:rPr>
                        </w:pPr>
                        <w:r>
                          <w:rPr>
                            <w:color w:val="585858"/>
                            <w:spacing w:val="-5"/>
                            <w:w w:val="125"/>
                            <w:sz w:val="12"/>
                          </w:rPr>
                          <w:t>25</w:t>
                        </w:r>
                      </w:p>
                      <w:p w14:paraId="24E48A34" w14:textId="77777777" w:rsidR="008715BE" w:rsidRDefault="00000000">
                        <w:pPr>
                          <w:spacing w:before="206"/>
                          <w:ind w:right="18"/>
                          <w:jc w:val="right"/>
                          <w:rPr>
                            <w:sz w:val="18"/>
                          </w:rPr>
                        </w:pPr>
                        <w:r>
                          <w:rPr>
                            <w:color w:val="585858"/>
                            <w:spacing w:val="-5"/>
                            <w:w w:val="125"/>
                            <w:sz w:val="12"/>
                          </w:rPr>
                          <w:t>20</w:t>
                        </w:r>
                      </w:p>
                      <w:p w14:paraId="6E96C514" w14:textId="77777777" w:rsidR="008715BE" w:rsidRDefault="00000000">
                        <w:pPr>
                          <w:spacing w:before="206"/>
                          <w:ind w:right="18"/>
                          <w:jc w:val="right"/>
                          <w:rPr>
                            <w:sz w:val="18"/>
                          </w:rPr>
                        </w:pPr>
                        <w:r>
                          <w:rPr>
                            <w:color w:val="585858"/>
                            <w:spacing w:val="-5"/>
                            <w:w w:val="125"/>
                            <w:sz w:val="12"/>
                          </w:rPr>
                          <w:t>15</w:t>
                        </w:r>
                      </w:p>
                      <w:p w14:paraId="29138874" w14:textId="77777777" w:rsidR="008715BE" w:rsidRDefault="00000000">
                        <w:pPr>
                          <w:spacing w:before="207"/>
                          <w:ind w:right="18"/>
                          <w:jc w:val="right"/>
                          <w:rPr>
                            <w:sz w:val="18"/>
                          </w:rPr>
                        </w:pPr>
                        <w:r>
                          <w:rPr>
                            <w:color w:val="585858"/>
                            <w:spacing w:val="-5"/>
                            <w:w w:val="125"/>
                            <w:sz w:val="12"/>
                          </w:rPr>
                          <w:t>10</w:t>
                        </w:r>
                      </w:p>
                      <w:p w14:paraId="6D668B1A" w14:textId="77777777" w:rsidR="008715BE" w:rsidRDefault="00000000">
                        <w:pPr>
                          <w:spacing w:before="206"/>
                          <w:ind w:right="20"/>
                          <w:jc w:val="right"/>
                          <w:rPr>
                            <w:sz w:val="18"/>
                          </w:rPr>
                        </w:pPr>
                        <w:r>
                          <w:rPr>
                            <w:color w:val="585858"/>
                            <w:spacing w:val="-10"/>
                            <w:w w:val="125"/>
                            <w:sz w:val="12"/>
                          </w:rPr>
                          <w:t>5</w:t>
                        </w:r>
                      </w:p>
                      <w:p w14:paraId="11F350CB" w14:textId="77777777" w:rsidR="008715BE" w:rsidRDefault="00000000">
                        <w:pPr>
                          <w:spacing w:before="206" w:line="209" w:lineRule="exact"/>
                          <w:ind w:left="114"/>
                          <w:rPr>
                            <w:sz w:val="18"/>
                          </w:rPr>
                        </w:pPr>
                        <w:r>
                          <w:rPr>
                            <w:color w:val="585858"/>
                            <w:spacing w:val="-10"/>
                            <w:w w:val="125"/>
                            <w:sz w:val="12"/>
                          </w:rPr>
                          <w:t>0</w:t>
                        </w:r>
                      </w:p>
                    </w:txbxContent>
                  </v:textbox>
                </v:shape>
                <v:shape id="Textbox 113" o:spid="_x0000_s1102" type="#_x0000_t202" style="position:absolute;left:8620;top:24892;width:4570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4E3943ED" w14:textId="77777777" w:rsidR="008715BE" w:rsidRDefault="00000000">
                        <w:pPr>
                          <w:tabs>
                            <w:tab w:val="left" w:pos="753"/>
                            <w:tab w:val="left" w:pos="1416"/>
                            <w:tab w:val="left" w:pos="2079"/>
                            <w:tab w:val="left" w:pos="2742"/>
                            <w:tab w:val="left" w:pos="3405"/>
                            <w:tab w:val="left" w:pos="4067"/>
                            <w:tab w:val="left" w:pos="4730"/>
                            <w:tab w:val="left" w:pos="5393"/>
                            <w:tab w:val="left" w:pos="6056"/>
                            <w:tab w:val="left" w:pos="6719"/>
                          </w:tabs>
                          <w:spacing w:before="9"/>
                          <w:ind w:left="90"/>
                          <w:rPr>
                            <w:sz w:val="18"/>
                          </w:rPr>
                        </w:pPr>
                        <w:r>
                          <w:rPr>
                            <w:color w:val="585858"/>
                            <w:spacing w:val="-4"/>
                            <w:w w:val="125"/>
                            <w:sz w:val="12"/>
                          </w:rPr>
                          <w:t>2014</w:t>
                        </w:r>
                        <w:r>
                          <w:rPr>
                            <w:color w:val="585858"/>
                            <w:sz w:val="12"/>
                          </w:rPr>
                          <w:tab/>
                        </w:r>
                        <w:r>
                          <w:rPr>
                            <w:color w:val="585858"/>
                            <w:spacing w:val="-4"/>
                            <w:w w:val="125"/>
                            <w:sz w:val="12"/>
                          </w:rPr>
                          <w:t>2015</w:t>
                        </w:r>
                        <w:r>
                          <w:rPr>
                            <w:color w:val="585858"/>
                            <w:sz w:val="12"/>
                          </w:rPr>
                          <w:tab/>
                        </w:r>
                        <w:r>
                          <w:rPr>
                            <w:color w:val="585858"/>
                            <w:spacing w:val="-4"/>
                            <w:w w:val="125"/>
                            <w:sz w:val="12"/>
                          </w:rPr>
                          <w:t>2016</w:t>
                        </w:r>
                        <w:r>
                          <w:rPr>
                            <w:color w:val="585858"/>
                            <w:sz w:val="12"/>
                          </w:rPr>
                          <w:tab/>
                        </w:r>
                        <w:r>
                          <w:rPr>
                            <w:color w:val="585858"/>
                            <w:spacing w:val="-4"/>
                            <w:w w:val="125"/>
                            <w:sz w:val="12"/>
                          </w:rPr>
                          <w:t>2017</w:t>
                        </w:r>
                        <w:r>
                          <w:rPr>
                            <w:color w:val="585858"/>
                            <w:sz w:val="12"/>
                          </w:rPr>
                          <w:tab/>
                        </w:r>
                        <w:r>
                          <w:rPr>
                            <w:color w:val="585858"/>
                            <w:spacing w:val="-4"/>
                            <w:w w:val="125"/>
                            <w:sz w:val="12"/>
                          </w:rPr>
                          <w:t>2018</w:t>
                        </w:r>
                        <w:r>
                          <w:rPr>
                            <w:color w:val="585858"/>
                            <w:sz w:val="12"/>
                          </w:rPr>
                          <w:tab/>
                        </w:r>
                        <w:r>
                          <w:rPr>
                            <w:color w:val="585858"/>
                            <w:spacing w:val="-4"/>
                            <w:w w:val="125"/>
                            <w:sz w:val="12"/>
                          </w:rPr>
                          <w:t>2019</w:t>
                        </w:r>
                        <w:r>
                          <w:rPr>
                            <w:color w:val="585858"/>
                            <w:sz w:val="12"/>
                          </w:rPr>
                          <w:tab/>
                        </w:r>
                        <w:r>
                          <w:rPr>
                            <w:color w:val="585858"/>
                            <w:spacing w:val="-4"/>
                            <w:w w:val="125"/>
                            <w:sz w:val="12"/>
                          </w:rPr>
                          <w:t>2020</w:t>
                        </w:r>
                        <w:r>
                          <w:rPr>
                            <w:color w:val="585858"/>
                            <w:sz w:val="12"/>
                          </w:rPr>
                          <w:tab/>
                        </w:r>
                        <w:r>
                          <w:rPr>
                            <w:color w:val="585858"/>
                            <w:spacing w:val="-4"/>
                            <w:w w:val="125"/>
                            <w:sz w:val="12"/>
                          </w:rPr>
                          <w:t>2021</w:t>
                        </w:r>
                        <w:r>
                          <w:rPr>
                            <w:color w:val="585858"/>
                            <w:sz w:val="12"/>
                          </w:rPr>
                          <w:tab/>
                        </w:r>
                        <w:r>
                          <w:rPr>
                            <w:color w:val="585858"/>
                            <w:spacing w:val="-4"/>
                            <w:w w:val="125"/>
                            <w:sz w:val="12"/>
                          </w:rPr>
                          <w:t>2022</w:t>
                        </w:r>
                        <w:r>
                          <w:rPr>
                            <w:color w:val="585858"/>
                            <w:sz w:val="12"/>
                          </w:rPr>
                          <w:tab/>
                        </w:r>
                        <w:r>
                          <w:rPr>
                            <w:color w:val="585858"/>
                            <w:spacing w:val="-4"/>
                            <w:w w:val="125"/>
                            <w:sz w:val="12"/>
                          </w:rPr>
                          <w:t>2023</w:t>
                        </w:r>
                        <w:r>
                          <w:rPr>
                            <w:color w:val="585858"/>
                            <w:sz w:val="12"/>
                          </w:rPr>
                          <w:tab/>
                        </w:r>
                        <w:r>
                          <w:rPr>
                            <w:color w:val="585858"/>
                            <w:spacing w:val="-4"/>
                            <w:w w:val="125"/>
                            <w:sz w:val="12"/>
                          </w:rPr>
                          <w:t>2024</w:t>
                        </w:r>
                      </w:p>
                      <w:p w14:paraId="05EFB0E5" w14:textId="77777777" w:rsidR="008715BE" w:rsidRDefault="00000000">
                        <w:pPr>
                          <w:tabs>
                            <w:tab w:val="left" w:pos="1699"/>
                            <w:tab w:val="left" w:pos="4201"/>
                          </w:tabs>
                          <w:spacing w:before="90" w:line="209" w:lineRule="exact"/>
                          <w:rPr>
                            <w:sz w:val="18"/>
                          </w:rPr>
                        </w:pPr>
                        <w:r>
                          <w:rPr>
                            <w:color w:val="585858"/>
                            <w:spacing w:val="-2"/>
                            <w:w w:val="125"/>
                            <w:sz w:val="12"/>
                          </w:rPr>
                          <w:t>Romania</w:t>
                        </w:r>
                        <w:r>
                          <w:rPr>
                            <w:color w:val="585858"/>
                            <w:sz w:val="12"/>
                          </w:rPr>
                          <w:tab/>
                        </w:r>
                        <w:r>
                          <w:rPr>
                            <w:color w:val="585858"/>
                            <w:w w:val="125"/>
                            <w:sz w:val="12"/>
                          </w:rPr>
                          <w:t xml:space="preserve">South </w:t>
                        </w:r>
                        <w:r>
                          <w:rPr>
                            <w:color w:val="585858"/>
                            <w:spacing w:val="-5"/>
                            <w:w w:val="125"/>
                            <w:sz w:val="12"/>
                          </w:rPr>
                          <w:t xml:space="preserve">East </w:t>
                        </w:r>
                        <w:r>
                          <w:rPr>
                            <w:color w:val="585858"/>
                            <w:w w:val="125"/>
                            <w:sz w:val="12"/>
                          </w:rPr>
                          <w:t>Region</w:t>
                        </w:r>
                        <w:r>
                          <w:rPr>
                            <w:color w:val="585858"/>
                            <w:sz w:val="12"/>
                          </w:rPr>
                          <w:tab/>
                        </w:r>
                        <w:r>
                          <w:rPr>
                            <w:color w:val="585858"/>
                            <w:w w:val="125"/>
                            <w:sz w:val="12"/>
                          </w:rPr>
                          <w:t>Linear (</w:t>
                        </w:r>
                        <w:r>
                          <w:rPr>
                            <w:color w:val="585858"/>
                            <w:spacing w:val="-4"/>
                            <w:w w:val="125"/>
                            <w:sz w:val="12"/>
                          </w:rPr>
                          <w:t xml:space="preserve">South-East </w:t>
                        </w:r>
                        <w:r>
                          <w:rPr>
                            <w:color w:val="585858"/>
                            <w:w w:val="125"/>
                            <w:sz w:val="12"/>
                          </w:rPr>
                          <w:t>Region</w:t>
                        </w:r>
                        <w:r>
                          <w:rPr>
                            <w:color w:val="585858"/>
                            <w:spacing w:val="-4"/>
                            <w:w w:val="125"/>
                            <w:sz w:val="12"/>
                          </w:rPr>
                          <w:t>)</w:t>
                        </w:r>
                      </w:p>
                    </w:txbxContent>
                  </v:textbox>
                </v:shape>
                <w10:wrap anchorx="page"/>
              </v:group>
            </w:pict>
          </mc:Fallback>
        </mc:AlternateContent>
      </w:r>
    </w:p>
    <w:p w14:paraId="73E20BC7" w14:textId="77777777" w:rsidR="008715BE" w:rsidRPr="00EC75B7" w:rsidRDefault="008715BE">
      <w:pPr>
        <w:pStyle w:val="BodyText"/>
        <w:rPr>
          <w:rFonts w:ascii="Verdana" w:hAnsi="Verdana"/>
        </w:rPr>
      </w:pPr>
    </w:p>
    <w:p w14:paraId="41EABA31" w14:textId="77777777" w:rsidR="008715BE" w:rsidRPr="00EC75B7" w:rsidRDefault="008715BE">
      <w:pPr>
        <w:pStyle w:val="BodyText"/>
        <w:rPr>
          <w:rFonts w:ascii="Verdana" w:hAnsi="Verdana"/>
        </w:rPr>
      </w:pPr>
    </w:p>
    <w:p w14:paraId="64F5CF07" w14:textId="77777777" w:rsidR="008715BE" w:rsidRPr="00EC75B7" w:rsidRDefault="008715BE">
      <w:pPr>
        <w:pStyle w:val="BodyText"/>
        <w:rPr>
          <w:rFonts w:ascii="Verdana" w:hAnsi="Verdana"/>
        </w:rPr>
      </w:pPr>
    </w:p>
    <w:p w14:paraId="45142898" w14:textId="77777777" w:rsidR="008715BE" w:rsidRPr="00EC75B7" w:rsidRDefault="008715BE">
      <w:pPr>
        <w:pStyle w:val="BodyText"/>
        <w:rPr>
          <w:rFonts w:ascii="Verdana" w:hAnsi="Verdana"/>
        </w:rPr>
      </w:pPr>
    </w:p>
    <w:p w14:paraId="31661C05" w14:textId="77777777" w:rsidR="008715BE" w:rsidRPr="00EC75B7" w:rsidRDefault="008715BE">
      <w:pPr>
        <w:pStyle w:val="BodyText"/>
        <w:rPr>
          <w:rFonts w:ascii="Verdana" w:hAnsi="Verdana"/>
        </w:rPr>
      </w:pPr>
    </w:p>
    <w:p w14:paraId="354DCCA0" w14:textId="77777777" w:rsidR="008715BE" w:rsidRPr="00EC75B7" w:rsidRDefault="008715BE">
      <w:pPr>
        <w:pStyle w:val="BodyText"/>
        <w:rPr>
          <w:rFonts w:ascii="Verdana" w:hAnsi="Verdana"/>
        </w:rPr>
      </w:pPr>
    </w:p>
    <w:p w14:paraId="04AFE3AE" w14:textId="77777777" w:rsidR="008715BE" w:rsidRPr="00EC75B7" w:rsidRDefault="008715BE">
      <w:pPr>
        <w:pStyle w:val="BodyText"/>
        <w:rPr>
          <w:rFonts w:ascii="Verdana" w:hAnsi="Verdana"/>
        </w:rPr>
      </w:pPr>
    </w:p>
    <w:p w14:paraId="6ABE3D9C" w14:textId="77777777" w:rsidR="008715BE" w:rsidRPr="00EC75B7" w:rsidRDefault="008715BE">
      <w:pPr>
        <w:pStyle w:val="BodyText"/>
        <w:rPr>
          <w:rFonts w:ascii="Verdana" w:hAnsi="Verdana"/>
        </w:rPr>
      </w:pPr>
    </w:p>
    <w:p w14:paraId="1F4E7ABE" w14:textId="77777777" w:rsidR="008715BE" w:rsidRPr="00EC75B7" w:rsidRDefault="008715BE">
      <w:pPr>
        <w:pStyle w:val="BodyText"/>
        <w:rPr>
          <w:rFonts w:ascii="Verdana" w:hAnsi="Verdana"/>
        </w:rPr>
      </w:pPr>
    </w:p>
    <w:p w14:paraId="20C7822C" w14:textId="77777777" w:rsidR="008715BE" w:rsidRPr="00EC75B7" w:rsidRDefault="008715BE">
      <w:pPr>
        <w:pStyle w:val="BodyText"/>
        <w:rPr>
          <w:rFonts w:ascii="Verdana" w:hAnsi="Verdana"/>
        </w:rPr>
      </w:pPr>
    </w:p>
    <w:p w14:paraId="20D99FD6" w14:textId="77777777" w:rsidR="008715BE" w:rsidRPr="00EC75B7" w:rsidRDefault="008715BE">
      <w:pPr>
        <w:pStyle w:val="BodyText"/>
        <w:rPr>
          <w:rFonts w:ascii="Verdana" w:hAnsi="Verdana"/>
        </w:rPr>
      </w:pPr>
    </w:p>
    <w:p w14:paraId="57D5A404" w14:textId="77777777" w:rsidR="008715BE" w:rsidRPr="00EC75B7" w:rsidRDefault="008715BE">
      <w:pPr>
        <w:pStyle w:val="BodyText"/>
        <w:rPr>
          <w:rFonts w:ascii="Verdana" w:hAnsi="Verdana"/>
        </w:rPr>
      </w:pPr>
    </w:p>
    <w:p w14:paraId="3A020E09" w14:textId="77777777" w:rsidR="008715BE" w:rsidRPr="00EC75B7" w:rsidRDefault="008715BE">
      <w:pPr>
        <w:pStyle w:val="BodyText"/>
        <w:rPr>
          <w:rFonts w:ascii="Verdana" w:hAnsi="Verdana"/>
        </w:rPr>
      </w:pPr>
    </w:p>
    <w:p w14:paraId="7BE14E46" w14:textId="77777777" w:rsidR="008715BE" w:rsidRPr="00EC75B7" w:rsidRDefault="008715BE">
      <w:pPr>
        <w:pStyle w:val="BodyText"/>
        <w:rPr>
          <w:rFonts w:ascii="Verdana" w:hAnsi="Verdana"/>
        </w:rPr>
      </w:pPr>
    </w:p>
    <w:p w14:paraId="4EFE8E02" w14:textId="77777777" w:rsidR="008715BE" w:rsidRPr="00EC75B7" w:rsidRDefault="008715BE">
      <w:pPr>
        <w:pStyle w:val="BodyText"/>
        <w:rPr>
          <w:rFonts w:ascii="Verdana" w:hAnsi="Verdana"/>
        </w:rPr>
        <w:sectPr w:rsidR="008715BE" w:rsidRPr="00EC75B7">
          <w:pgSz w:w="11910" w:h="16840"/>
          <w:pgMar w:top="1160" w:right="141" w:bottom="980" w:left="425" w:header="766" w:footer="797" w:gutter="0"/>
          <w:cols w:space="708"/>
        </w:sectPr>
      </w:pPr>
    </w:p>
    <w:p w14:paraId="1DCD5311" w14:textId="77777777" w:rsidR="005F35E4" w:rsidRDefault="005F35E4">
      <w:pPr>
        <w:spacing w:before="106"/>
        <w:ind w:left="1898"/>
        <w:rPr>
          <w:rFonts w:ascii="Verdana" w:hAnsi="Verdana"/>
          <w:i/>
          <w:color w:val="009DEF"/>
          <w:sz w:val="18"/>
          <w:szCs w:val="18"/>
        </w:rPr>
      </w:pPr>
    </w:p>
    <w:p w14:paraId="169AAF4E" w14:textId="2207BC3E" w:rsidR="008715BE" w:rsidRPr="00EC75B7" w:rsidRDefault="00000000">
      <w:pPr>
        <w:spacing w:before="106"/>
        <w:ind w:left="1898"/>
        <w:rPr>
          <w:rFonts w:ascii="Verdana" w:hAnsi="Verdana"/>
          <w:i/>
          <w:sz w:val="18"/>
          <w:szCs w:val="18"/>
        </w:rPr>
      </w:pPr>
      <w:r w:rsidRPr="00EC75B7">
        <w:rPr>
          <w:rFonts w:ascii="Verdana" w:hAnsi="Verdana"/>
          <w:i/>
          <w:color w:val="009DEF"/>
          <w:sz w:val="18"/>
          <w:szCs w:val="18"/>
        </w:rPr>
        <w:t xml:space="preserve">Source: processed by </w:t>
      </w:r>
      <w:r w:rsidRPr="00EC75B7">
        <w:rPr>
          <w:rFonts w:ascii="Verdana" w:hAnsi="Verdana"/>
          <w:i/>
          <w:color w:val="009DEF"/>
          <w:spacing w:val="-5"/>
          <w:sz w:val="18"/>
          <w:szCs w:val="18"/>
        </w:rPr>
        <w:t>INS</w:t>
      </w:r>
    </w:p>
    <w:p w14:paraId="19097114" w14:textId="77777777" w:rsidR="008715BE" w:rsidRPr="00EC75B7" w:rsidRDefault="008715BE">
      <w:pPr>
        <w:pStyle w:val="BodyText"/>
        <w:spacing w:before="96"/>
        <w:rPr>
          <w:rFonts w:ascii="Verdana" w:hAnsi="Verdana"/>
          <w:i/>
        </w:rPr>
      </w:pPr>
    </w:p>
    <w:p w14:paraId="1A43BE8C" w14:textId="77777777" w:rsidR="008715BE" w:rsidRPr="00EC75B7" w:rsidRDefault="00000000">
      <w:pPr>
        <w:pStyle w:val="Heading2"/>
        <w:numPr>
          <w:ilvl w:val="1"/>
          <w:numId w:val="110"/>
        </w:numPr>
        <w:tabs>
          <w:tab w:val="left" w:pos="1543"/>
        </w:tabs>
        <w:ind w:left="1543" w:hanging="720"/>
        <w:jc w:val="left"/>
        <w:rPr>
          <w:rFonts w:ascii="Verdana" w:hAnsi="Verdana"/>
          <w:color w:val="00AFEF"/>
          <w:sz w:val="18"/>
          <w:szCs w:val="18"/>
        </w:rPr>
      </w:pPr>
      <w:bookmarkStart w:id="38" w:name="_bookmark38"/>
      <w:bookmarkEnd w:id="38"/>
      <w:r w:rsidRPr="00EC75B7">
        <w:rPr>
          <w:rFonts w:ascii="Verdana" w:hAnsi="Verdana"/>
          <w:color w:val="00AFEF"/>
          <w:spacing w:val="-2"/>
          <w:sz w:val="18"/>
          <w:szCs w:val="18"/>
        </w:rPr>
        <w:t>Biodiversity</w:t>
      </w:r>
    </w:p>
    <w:p w14:paraId="33F1AFC4" w14:textId="77777777" w:rsidR="008715BE" w:rsidRPr="00EC75B7" w:rsidRDefault="00000000">
      <w:pPr>
        <w:pStyle w:val="BodyText"/>
        <w:spacing w:before="81"/>
        <w:rPr>
          <w:rFonts w:ascii="Verdana" w:hAnsi="Verdana"/>
          <w:b/>
        </w:rPr>
      </w:pPr>
      <w:r w:rsidRPr="00EC75B7">
        <w:rPr>
          <w:rFonts w:ascii="Verdana" w:hAnsi="Verdana"/>
        </w:rPr>
        <w:br w:type="column"/>
      </w:r>
    </w:p>
    <w:p w14:paraId="20EDB3A5" w14:textId="77777777" w:rsidR="005F35E4" w:rsidRDefault="005F35E4">
      <w:pPr>
        <w:spacing w:before="1"/>
        <w:ind w:left="195"/>
        <w:rPr>
          <w:rFonts w:ascii="Verdana" w:hAnsi="Verdana"/>
          <w:b/>
          <w:color w:val="009DEF"/>
          <w:sz w:val="18"/>
          <w:szCs w:val="18"/>
        </w:rPr>
      </w:pPr>
    </w:p>
    <w:p w14:paraId="04216712" w14:textId="5A119622" w:rsidR="008715BE" w:rsidRPr="00EC75B7" w:rsidRDefault="00000000" w:rsidP="005F35E4">
      <w:pPr>
        <w:spacing w:before="1"/>
        <w:ind w:left="195"/>
        <w:rPr>
          <w:rFonts w:ascii="Verdana" w:hAnsi="Verdana"/>
          <w:b/>
          <w:sz w:val="18"/>
          <w:szCs w:val="18"/>
        </w:rPr>
        <w:sectPr w:rsidR="008715BE" w:rsidRPr="00EC75B7">
          <w:type w:val="continuous"/>
          <w:pgSz w:w="11910" w:h="16840"/>
          <w:pgMar w:top="1280" w:right="141" w:bottom="280" w:left="425" w:header="766" w:footer="797" w:gutter="0"/>
          <w:cols w:num="2" w:space="708" w:equalWidth="0">
            <w:col w:w="3831" w:space="40"/>
            <w:col w:w="7473" w:space="0"/>
          </w:cols>
        </w:sectPr>
      </w:pPr>
      <w:r w:rsidRPr="00EC75B7">
        <w:rPr>
          <w:rFonts w:ascii="Verdana" w:hAnsi="Verdana"/>
          <w:b/>
          <w:color w:val="009DEF"/>
          <w:sz w:val="18"/>
          <w:szCs w:val="18"/>
        </w:rPr>
        <w:t xml:space="preserve">Figure 10 </w:t>
      </w:r>
      <w:r w:rsidRPr="00EC75B7">
        <w:rPr>
          <w:rFonts w:ascii="Verdana" w:hAnsi="Verdana"/>
          <w:b/>
          <w:color w:val="009DEF"/>
          <w:spacing w:val="-2"/>
          <w:sz w:val="18"/>
          <w:szCs w:val="18"/>
        </w:rPr>
        <w:t xml:space="preserve">Relative </w:t>
      </w:r>
      <w:r w:rsidRPr="00EC75B7">
        <w:rPr>
          <w:rFonts w:ascii="Verdana" w:hAnsi="Verdana"/>
          <w:b/>
          <w:color w:val="009DEF"/>
          <w:sz w:val="18"/>
          <w:szCs w:val="18"/>
        </w:rPr>
        <w:t>poverty rate</w:t>
      </w:r>
    </w:p>
    <w:p w14:paraId="79A3D166" w14:textId="77777777" w:rsidR="008715BE" w:rsidRPr="00EC75B7" w:rsidRDefault="00000000" w:rsidP="005F35E4">
      <w:pPr>
        <w:pStyle w:val="BodyText"/>
        <w:spacing w:line="357" w:lineRule="auto"/>
        <w:ind w:left="720" w:right="844"/>
        <w:jc w:val="both"/>
        <w:rPr>
          <w:rFonts w:ascii="Verdana" w:hAnsi="Verdana"/>
        </w:rPr>
      </w:pPr>
      <w:r w:rsidRPr="00EC75B7">
        <w:rPr>
          <w:rFonts w:ascii="Verdana" w:hAnsi="Verdana"/>
        </w:rPr>
        <w:t>As part of the Presentation Memorandum for obtaining the Environmental Agreement for the project "Wind farm 48 (46) wind turbines approx. 316.8 MW (303.6 MW), transformer stations, connection networks, construction and modernization of communication and access roads" (loc. Cerchezu, Constanța County), a spatial analysis (GIS) was carried out, taking into account all elements of the project (including those located at a distance), in order to identify potentially affected Natura 2000 sites.</w:t>
      </w:r>
    </w:p>
    <w:p w14:paraId="1CA51F55" w14:textId="77777777" w:rsidR="008715BE" w:rsidRPr="00EC75B7" w:rsidRDefault="00000000">
      <w:pPr>
        <w:pStyle w:val="BodyText"/>
        <w:spacing w:before="124" w:line="357" w:lineRule="auto"/>
        <w:ind w:left="765" w:right="849"/>
        <w:jc w:val="both"/>
        <w:rPr>
          <w:rFonts w:ascii="Verdana" w:hAnsi="Verdana"/>
        </w:rPr>
      </w:pPr>
      <w:r w:rsidRPr="00EC75B7">
        <w:rPr>
          <w:rFonts w:ascii="Verdana" w:hAnsi="Verdana"/>
        </w:rPr>
        <w:t>Based on the results of this analysis, carried out according to methodological criteria (intersection, proximity/area of influence, species mobility, and ecological connectivity), the final list of Natura 2000 sites to be included in the assessment of the Cerchezu project was established, as presented in the tables in the memorandum (e.g., "Natura 2000 sites analyzed and identification of those potentially affected").</w:t>
      </w:r>
    </w:p>
    <w:p w14:paraId="05AFBB4D" w14:textId="77777777" w:rsidR="008715BE" w:rsidRPr="00EC75B7" w:rsidRDefault="00000000">
      <w:pPr>
        <w:spacing w:before="174"/>
        <w:ind w:left="765" w:right="681"/>
        <w:rPr>
          <w:rFonts w:ascii="Verdana" w:hAnsi="Verdana"/>
          <w:b/>
          <w:sz w:val="18"/>
          <w:szCs w:val="18"/>
        </w:rPr>
      </w:pPr>
      <w:r w:rsidRPr="00EC75B7">
        <w:rPr>
          <w:rFonts w:ascii="Verdana" w:hAnsi="Verdana"/>
          <w:b/>
          <w:color w:val="00AFEF"/>
          <w:sz w:val="18"/>
          <w:szCs w:val="18"/>
        </w:rPr>
        <w:t>Table 9 Complete list of Natura 2000 sites included in the impact assessment of the Cerchezu wind farm and the reason for their inclusion in the analysis</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68"/>
        <w:gridCol w:w="5072"/>
        <w:gridCol w:w="1207"/>
        <w:gridCol w:w="1318"/>
        <w:gridCol w:w="1349"/>
      </w:tblGrid>
      <w:tr w:rsidR="008715BE" w:rsidRPr="005F35E4" w14:paraId="1C929A81" w14:textId="77777777">
        <w:trPr>
          <w:trHeight w:val="388"/>
        </w:trPr>
        <w:tc>
          <w:tcPr>
            <w:tcW w:w="768" w:type="dxa"/>
            <w:shd w:val="clear" w:color="auto" w:fill="00AFEF"/>
          </w:tcPr>
          <w:p w14:paraId="41B12E06" w14:textId="77777777" w:rsidR="008715BE" w:rsidRPr="005F35E4" w:rsidRDefault="00000000">
            <w:pPr>
              <w:pStyle w:val="TableParagraph"/>
              <w:spacing w:line="194" w:lineRule="exact"/>
              <w:ind w:left="247"/>
              <w:rPr>
                <w:rFonts w:ascii="Verdana" w:hAnsi="Verdana"/>
                <w:b/>
                <w:sz w:val="16"/>
                <w:szCs w:val="16"/>
              </w:rPr>
            </w:pPr>
            <w:r w:rsidRPr="005F35E4">
              <w:rPr>
                <w:rFonts w:ascii="Verdana" w:hAnsi="Verdana"/>
                <w:b/>
                <w:color w:val="FFFFFF"/>
                <w:spacing w:val="-5"/>
                <w:sz w:val="16"/>
                <w:szCs w:val="16"/>
              </w:rPr>
              <w:t>No.</w:t>
            </w:r>
          </w:p>
          <w:p w14:paraId="453F66BC" w14:textId="42D5D0D6" w:rsidR="008715BE" w:rsidRPr="005F35E4" w:rsidRDefault="008715BE">
            <w:pPr>
              <w:pStyle w:val="TableParagraph"/>
              <w:spacing w:line="175" w:lineRule="exact"/>
              <w:ind w:left="230"/>
              <w:rPr>
                <w:rFonts w:ascii="Verdana" w:hAnsi="Verdana"/>
                <w:b/>
                <w:sz w:val="16"/>
                <w:szCs w:val="16"/>
              </w:rPr>
            </w:pPr>
          </w:p>
        </w:tc>
        <w:tc>
          <w:tcPr>
            <w:tcW w:w="5072" w:type="dxa"/>
            <w:shd w:val="clear" w:color="auto" w:fill="00AFEF"/>
          </w:tcPr>
          <w:p w14:paraId="2C5509DF" w14:textId="77777777" w:rsidR="008715BE" w:rsidRPr="005F35E4" w:rsidRDefault="00000000">
            <w:pPr>
              <w:pStyle w:val="TableParagraph"/>
              <w:spacing w:before="94"/>
              <w:ind w:left="8"/>
              <w:jc w:val="center"/>
              <w:rPr>
                <w:rFonts w:ascii="Verdana" w:hAnsi="Verdana"/>
                <w:b/>
                <w:sz w:val="16"/>
                <w:szCs w:val="16"/>
              </w:rPr>
            </w:pPr>
            <w:r w:rsidRPr="005F35E4">
              <w:rPr>
                <w:rFonts w:ascii="Verdana" w:hAnsi="Verdana"/>
                <w:b/>
                <w:color w:val="FFFFFF"/>
                <w:sz w:val="16"/>
                <w:szCs w:val="16"/>
              </w:rPr>
              <w:t>Natura</w:t>
            </w:r>
            <w:r w:rsidRPr="005F35E4">
              <w:rPr>
                <w:rFonts w:ascii="Verdana" w:hAnsi="Verdana"/>
                <w:b/>
                <w:color w:val="FFFFFF"/>
                <w:spacing w:val="-4"/>
                <w:sz w:val="16"/>
                <w:szCs w:val="16"/>
              </w:rPr>
              <w:t xml:space="preserve"> 2000 </w:t>
            </w:r>
            <w:r w:rsidRPr="005F35E4">
              <w:rPr>
                <w:rFonts w:ascii="Verdana" w:hAnsi="Verdana"/>
                <w:b/>
                <w:color w:val="FFFFFF"/>
                <w:sz w:val="16"/>
                <w:szCs w:val="16"/>
              </w:rPr>
              <w:t>site</w:t>
            </w:r>
          </w:p>
        </w:tc>
        <w:tc>
          <w:tcPr>
            <w:tcW w:w="1207" w:type="dxa"/>
            <w:shd w:val="clear" w:color="auto" w:fill="00AFEF"/>
          </w:tcPr>
          <w:p w14:paraId="5568861A" w14:textId="77777777" w:rsidR="008715BE" w:rsidRPr="005F35E4" w:rsidRDefault="00000000">
            <w:pPr>
              <w:pStyle w:val="TableParagraph"/>
              <w:spacing w:before="94"/>
              <w:ind w:left="108"/>
              <w:rPr>
                <w:rFonts w:ascii="Verdana" w:hAnsi="Verdana"/>
                <w:b/>
                <w:sz w:val="16"/>
                <w:szCs w:val="16"/>
              </w:rPr>
            </w:pPr>
            <w:r w:rsidRPr="005F35E4">
              <w:rPr>
                <w:rFonts w:ascii="Verdana" w:hAnsi="Verdana"/>
                <w:b/>
                <w:color w:val="FFFFFF"/>
                <w:spacing w:val="-2"/>
                <w:sz w:val="16"/>
                <w:szCs w:val="16"/>
              </w:rPr>
              <w:t>Intersection</w:t>
            </w:r>
          </w:p>
        </w:tc>
        <w:tc>
          <w:tcPr>
            <w:tcW w:w="1318" w:type="dxa"/>
            <w:shd w:val="clear" w:color="auto" w:fill="00AFEF"/>
          </w:tcPr>
          <w:p w14:paraId="25ED8856" w14:textId="77777777" w:rsidR="008715BE" w:rsidRPr="005F35E4" w:rsidRDefault="00000000">
            <w:pPr>
              <w:pStyle w:val="TableParagraph"/>
              <w:spacing w:line="194" w:lineRule="exact"/>
              <w:ind w:left="13" w:right="4"/>
              <w:jc w:val="center"/>
              <w:rPr>
                <w:rFonts w:ascii="Verdana" w:hAnsi="Verdana"/>
                <w:b/>
                <w:sz w:val="16"/>
                <w:szCs w:val="16"/>
              </w:rPr>
            </w:pPr>
            <w:r w:rsidRPr="005F35E4">
              <w:rPr>
                <w:rFonts w:ascii="Verdana" w:hAnsi="Verdana"/>
                <w:b/>
                <w:color w:val="FFFFFF"/>
                <w:spacing w:val="-5"/>
                <w:sz w:val="16"/>
                <w:szCs w:val="16"/>
              </w:rPr>
              <w:t>SCI</w:t>
            </w:r>
          </w:p>
          <w:p w14:paraId="24940C82" w14:textId="77777777" w:rsidR="008715BE" w:rsidRPr="005F35E4" w:rsidRDefault="00000000">
            <w:pPr>
              <w:pStyle w:val="TableParagraph"/>
              <w:spacing w:line="175" w:lineRule="exact"/>
              <w:ind w:left="13"/>
              <w:jc w:val="center"/>
              <w:rPr>
                <w:rFonts w:ascii="Verdana" w:hAnsi="Verdana"/>
                <w:b/>
                <w:sz w:val="16"/>
                <w:szCs w:val="16"/>
              </w:rPr>
            </w:pPr>
            <w:r w:rsidRPr="005F35E4">
              <w:rPr>
                <w:rFonts w:ascii="Verdana" w:hAnsi="Verdana"/>
                <w:b/>
                <w:color w:val="FFFFFF"/>
                <w:spacing w:val="-2"/>
                <w:sz w:val="16"/>
                <w:szCs w:val="16"/>
              </w:rPr>
              <w:t>Neighboring</w:t>
            </w:r>
          </w:p>
        </w:tc>
        <w:tc>
          <w:tcPr>
            <w:tcW w:w="1349" w:type="dxa"/>
            <w:shd w:val="clear" w:color="auto" w:fill="00AFEF"/>
          </w:tcPr>
          <w:p w14:paraId="5EB092B8" w14:textId="77777777" w:rsidR="008715BE" w:rsidRPr="005F35E4" w:rsidRDefault="00000000">
            <w:pPr>
              <w:pStyle w:val="TableParagraph"/>
              <w:spacing w:line="194" w:lineRule="exact"/>
              <w:ind w:left="12" w:right="4"/>
              <w:jc w:val="center"/>
              <w:rPr>
                <w:rFonts w:ascii="Verdana" w:hAnsi="Verdana"/>
                <w:b/>
                <w:sz w:val="16"/>
                <w:szCs w:val="16"/>
              </w:rPr>
            </w:pPr>
            <w:r w:rsidRPr="005F35E4">
              <w:rPr>
                <w:rFonts w:ascii="Verdana" w:hAnsi="Verdana"/>
                <w:b/>
                <w:color w:val="FFFFFF"/>
                <w:spacing w:val="-5"/>
                <w:sz w:val="16"/>
                <w:szCs w:val="16"/>
              </w:rPr>
              <w:t>SPA</w:t>
            </w:r>
          </w:p>
          <w:p w14:paraId="36F97F3A" w14:textId="77777777" w:rsidR="008715BE" w:rsidRPr="005F35E4" w:rsidRDefault="00000000">
            <w:pPr>
              <w:pStyle w:val="TableParagraph"/>
              <w:spacing w:line="175" w:lineRule="exact"/>
              <w:ind w:left="12"/>
              <w:jc w:val="center"/>
              <w:rPr>
                <w:rFonts w:ascii="Verdana" w:hAnsi="Verdana"/>
                <w:b/>
                <w:sz w:val="16"/>
                <w:szCs w:val="16"/>
              </w:rPr>
            </w:pPr>
            <w:r w:rsidRPr="005F35E4">
              <w:rPr>
                <w:rFonts w:ascii="Verdana" w:hAnsi="Verdana"/>
                <w:b/>
                <w:color w:val="FFFFFF"/>
                <w:spacing w:val="-2"/>
                <w:sz w:val="16"/>
                <w:szCs w:val="16"/>
              </w:rPr>
              <w:t>neighboring</w:t>
            </w:r>
          </w:p>
        </w:tc>
      </w:tr>
      <w:tr w:rsidR="008715BE" w:rsidRPr="005F35E4" w14:paraId="4A47656F" w14:textId="77777777">
        <w:trPr>
          <w:trHeight w:val="388"/>
        </w:trPr>
        <w:tc>
          <w:tcPr>
            <w:tcW w:w="768" w:type="dxa"/>
          </w:tcPr>
          <w:p w14:paraId="3F3E16D0" w14:textId="77777777" w:rsidR="008715BE" w:rsidRPr="005F35E4" w:rsidRDefault="00000000">
            <w:pPr>
              <w:pStyle w:val="TableParagraph"/>
              <w:spacing w:line="194" w:lineRule="exact"/>
              <w:ind w:right="94"/>
              <w:jc w:val="right"/>
              <w:rPr>
                <w:rFonts w:ascii="Verdana" w:hAnsi="Verdana"/>
                <w:sz w:val="16"/>
                <w:szCs w:val="16"/>
              </w:rPr>
            </w:pPr>
            <w:r w:rsidRPr="005F35E4">
              <w:rPr>
                <w:rFonts w:ascii="Verdana" w:hAnsi="Verdana"/>
                <w:spacing w:val="-10"/>
                <w:sz w:val="16"/>
                <w:szCs w:val="16"/>
              </w:rPr>
              <w:t>1</w:t>
            </w:r>
          </w:p>
        </w:tc>
        <w:tc>
          <w:tcPr>
            <w:tcW w:w="5072" w:type="dxa"/>
          </w:tcPr>
          <w:p w14:paraId="4BFDFC22" w14:textId="77777777" w:rsidR="008715BE" w:rsidRPr="005F35E4" w:rsidRDefault="00000000">
            <w:pPr>
              <w:pStyle w:val="TableParagraph"/>
              <w:spacing w:line="194" w:lineRule="exact"/>
              <w:ind w:left="108"/>
              <w:rPr>
                <w:rFonts w:ascii="Verdana" w:hAnsi="Verdana"/>
                <w:sz w:val="16"/>
                <w:szCs w:val="16"/>
              </w:rPr>
            </w:pPr>
            <w:r w:rsidRPr="005F35E4">
              <w:rPr>
                <w:rFonts w:ascii="Verdana" w:hAnsi="Verdana"/>
                <w:b/>
                <w:spacing w:val="-2"/>
                <w:sz w:val="16"/>
                <w:szCs w:val="16"/>
              </w:rPr>
              <w:t xml:space="preserve">ROSCI0071 / ROSAC0071 </w:t>
            </w:r>
            <w:r w:rsidRPr="005F35E4">
              <w:rPr>
                <w:rFonts w:ascii="Verdana" w:hAnsi="Verdana"/>
                <w:spacing w:val="-2"/>
                <w:sz w:val="16"/>
                <w:szCs w:val="16"/>
              </w:rPr>
              <w:t xml:space="preserve">Dumbrăveni – Urluia Valley </w:t>
            </w:r>
            <w:r w:rsidRPr="005F35E4">
              <w:rPr>
                <w:rFonts w:ascii="Verdana" w:hAnsi="Verdana"/>
                <w:spacing w:val="-10"/>
                <w:sz w:val="16"/>
                <w:szCs w:val="16"/>
              </w:rPr>
              <w:t>–</w:t>
            </w:r>
          </w:p>
          <w:p w14:paraId="69BE84A2" w14:textId="77777777" w:rsidR="008715BE" w:rsidRPr="005F35E4" w:rsidRDefault="00000000">
            <w:pPr>
              <w:pStyle w:val="TableParagraph"/>
              <w:spacing w:line="175" w:lineRule="exact"/>
              <w:ind w:left="108"/>
              <w:rPr>
                <w:rFonts w:ascii="Verdana" w:hAnsi="Verdana"/>
                <w:sz w:val="16"/>
                <w:szCs w:val="16"/>
              </w:rPr>
            </w:pPr>
            <w:r w:rsidRPr="005F35E4">
              <w:rPr>
                <w:rFonts w:ascii="Verdana" w:hAnsi="Verdana"/>
                <w:spacing w:val="-2"/>
                <w:sz w:val="16"/>
                <w:szCs w:val="16"/>
              </w:rPr>
              <w:t xml:space="preserve">Vederoasa </w:t>
            </w:r>
            <w:r w:rsidRPr="005F35E4">
              <w:rPr>
                <w:rFonts w:ascii="Verdana" w:hAnsi="Verdana"/>
                <w:sz w:val="16"/>
                <w:szCs w:val="16"/>
              </w:rPr>
              <w:t>Lake</w:t>
            </w:r>
          </w:p>
        </w:tc>
        <w:tc>
          <w:tcPr>
            <w:tcW w:w="1207" w:type="dxa"/>
          </w:tcPr>
          <w:p w14:paraId="4CF3245A" w14:textId="77777777" w:rsidR="008715BE" w:rsidRPr="005F35E4" w:rsidRDefault="008715BE">
            <w:pPr>
              <w:pStyle w:val="TableParagraph"/>
              <w:rPr>
                <w:rFonts w:ascii="Verdana" w:hAnsi="Verdana"/>
                <w:sz w:val="16"/>
                <w:szCs w:val="16"/>
              </w:rPr>
            </w:pPr>
          </w:p>
        </w:tc>
        <w:tc>
          <w:tcPr>
            <w:tcW w:w="1318" w:type="dxa"/>
          </w:tcPr>
          <w:p w14:paraId="26C660F2" w14:textId="77777777" w:rsidR="008715BE" w:rsidRPr="005F35E4" w:rsidRDefault="00000000">
            <w:pPr>
              <w:pStyle w:val="TableParagraph"/>
              <w:spacing w:line="194" w:lineRule="exact"/>
              <w:ind w:left="13" w:right="2"/>
              <w:jc w:val="center"/>
              <w:rPr>
                <w:rFonts w:ascii="Verdana" w:hAnsi="Verdana"/>
                <w:b/>
                <w:sz w:val="16"/>
                <w:szCs w:val="16"/>
              </w:rPr>
            </w:pPr>
            <w:r w:rsidRPr="005F35E4">
              <w:rPr>
                <w:rFonts w:ascii="Verdana" w:hAnsi="Verdana"/>
                <w:b/>
                <w:spacing w:val="-10"/>
                <w:sz w:val="16"/>
                <w:szCs w:val="16"/>
              </w:rPr>
              <w:t>X</w:t>
            </w:r>
          </w:p>
        </w:tc>
        <w:tc>
          <w:tcPr>
            <w:tcW w:w="1349" w:type="dxa"/>
          </w:tcPr>
          <w:p w14:paraId="2381EBFF" w14:textId="77777777" w:rsidR="008715BE" w:rsidRPr="005F35E4" w:rsidRDefault="008715BE">
            <w:pPr>
              <w:pStyle w:val="TableParagraph"/>
              <w:rPr>
                <w:rFonts w:ascii="Verdana" w:hAnsi="Verdana"/>
                <w:sz w:val="16"/>
                <w:szCs w:val="16"/>
              </w:rPr>
            </w:pPr>
          </w:p>
        </w:tc>
      </w:tr>
      <w:tr w:rsidR="008715BE" w:rsidRPr="005F35E4" w14:paraId="2CE85656" w14:textId="77777777">
        <w:trPr>
          <w:trHeight w:val="193"/>
        </w:trPr>
        <w:tc>
          <w:tcPr>
            <w:tcW w:w="768" w:type="dxa"/>
          </w:tcPr>
          <w:p w14:paraId="300B3E53" w14:textId="77777777" w:rsidR="008715BE" w:rsidRPr="005F35E4" w:rsidRDefault="00000000">
            <w:pPr>
              <w:pStyle w:val="TableParagraph"/>
              <w:spacing w:line="174" w:lineRule="exact"/>
              <w:ind w:right="94"/>
              <w:jc w:val="right"/>
              <w:rPr>
                <w:rFonts w:ascii="Verdana" w:hAnsi="Verdana"/>
                <w:sz w:val="16"/>
                <w:szCs w:val="16"/>
              </w:rPr>
            </w:pPr>
            <w:r w:rsidRPr="005F35E4">
              <w:rPr>
                <w:rFonts w:ascii="Verdana" w:hAnsi="Verdana"/>
                <w:spacing w:val="-10"/>
                <w:sz w:val="16"/>
                <w:szCs w:val="16"/>
              </w:rPr>
              <w:t>2</w:t>
            </w:r>
          </w:p>
        </w:tc>
        <w:tc>
          <w:tcPr>
            <w:tcW w:w="5072" w:type="dxa"/>
          </w:tcPr>
          <w:p w14:paraId="3A62B851" w14:textId="77777777" w:rsidR="008715BE" w:rsidRPr="005F35E4" w:rsidRDefault="00000000">
            <w:pPr>
              <w:pStyle w:val="TableParagraph"/>
              <w:spacing w:line="174" w:lineRule="exact"/>
              <w:ind w:left="108"/>
              <w:rPr>
                <w:rFonts w:ascii="Verdana" w:hAnsi="Verdana"/>
                <w:sz w:val="16"/>
                <w:szCs w:val="16"/>
              </w:rPr>
            </w:pPr>
            <w:r w:rsidRPr="005F35E4">
              <w:rPr>
                <w:rFonts w:ascii="Verdana" w:hAnsi="Verdana"/>
                <w:b/>
                <w:sz w:val="16"/>
                <w:szCs w:val="16"/>
              </w:rPr>
              <w:t xml:space="preserve">ROSCI0157 / ROSAC0157 </w:t>
            </w:r>
            <w:r w:rsidRPr="005F35E4">
              <w:rPr>
                <w:rFonts w:ascii="Verdana" w:hAnsi="Verdana"/>
                <w:sz w:val="16"/>
                <w:szCs w:val="16"/>
              </w:rPr>
              <w:t xml:space="preserve">Hagieni Forest – Cotul </w:t>
            </w:r>
            <w:r w:rsidRPr="005F35E4">
              <w:rPr>
                <w:rFonts w:ascii="Verdana" w:hAnsi="Verdana"/>
                <w:spacing w:val="-4"/>
                <w:sz w:val="16"/>
                <w:szCs w:val="16"/>
              </w:rPr>
              <w:t>Văii</w:t>
            </w:r>
          </w:p>
        </w:tc>
        <w:tc>
          <w:tcPr>
            <w:tcW w:w="1207" w:type="dxa"/>
          </w:tcPr>
          <w:p w14:paraId="7845BDCF" w14:textId="77777777" w:rsidR="008715BE" w:rsidRPr="005F35E4" w:rsidRDefault="008715BE">
            <w:pPr>
              <w:pStyle w:val="TableParagraph"/>
              <w:rPr>
                <w:rFonts w:ascii="Verdana" w:hAnsi="Verdana"/>
                <w:sz w:val="16"/>
                <w:szCs w:val="16"/>
              </w:rPr>
            </w:pPr>
          </w:p>
        </w:tc>
        <w:tc>
          <w:tcPr>
            <w:tcW w:w="1318" w:type="dxa"/>
          </w:tcPr>
          <w:p w14:paraId="268FABDB" w14:textId="77777777" w:rsidR="008715BE" w:rsidRPr="005F35E4" w:rsidRDefault="00000000">
            <w:pPr>
              <w:pStyle w:val="TableParagraph"/>
              <w:spacing w:line="174" w:lineRule="exact"/>
              <w:ind w:left="13" w:right="2"/>
              <w:jc w:val="center"/>
              <w:rPr>
                <w:rFonts w:ascii="Verdana" w:hAnsi="Verdana"/>
                <w:b/>
                <w:sz w:val="16"/>
                <w:szCs w:val="16"/>
              </w:rPr>
            </w:pPr>
            <w:r w:rsidRPr="005F35E4">
              <w:rPr>
                <w:rFonts w:ascii="Verdana" w:hAnsi="Verdana"/>
                <w:b/>
                <w:spacing w:val="-10"/>
                <w:sz w:val="16"/>
                <w:szCs w:val="16"/>
              </w:rPr>
              <w:t>X</w:t>
            </w:r>
          </w:p>
        </w:tc>
        <w:tc>
          <w:tcPr>
            <w:tcW w:w="1349" w:type="dxa"/>
          </w:tcPr>
          <w:p w14:paraId="70C0BB8F" w14:textId="77777777" w:rsidR="008715BE" w:rsidRPr="005F35E4" w:rsidRDefault="008715BE">
            <w:pPr>
              <w:pStyle w:val="TableParagraph"/>
              <w:rPr>
                <w:rFonts w:ascii="Verdana" w:hAnsi="Verdana"/>
                <w:sz w:val="16"/>
                <w:szCs w:val="16"/>
              </w:rPr>
            </w:pPr>
          </w:p>
        </w:tc>
      </w:tr>
      <w:tr w:rsidR="008715BE" w:rsidRPr="005F35E4" w14:paraId="13168300" w14:textId="77777777">
        <w:trPr>
          <w:trHeight w:val="194"/>
        </w:trPr>
        <w:tc>
          <w:tcPr>
            <w:tcW w:w="768" w:type="dxa"/>
          </w:tcPr>
          <w:p w14:paraId="6844DE9B" w14:textId="77777777" w:rsidR="008715BE" w:rsidRPr="005F35E4" w:rsidRDefault="00000000">
            <w:pPr>
              <w:pStyle w:val="TableParagraph"/>
              <w:spacing w:line="174" w:lineRule="exact"/>
              <w:ind w:right="94"/>
              <w:jc w:val="right"/>
              <w:rPr>
                <w:rFonts w:ascii="Verdana" w:hAnsi="Verdana"/>
                <w:sz w:val="16"/>
                <w:szCs w:val="16"/>
              </w:rPr>
            </w:pPr>
            <w:r w:rsidRPr="005F35E4">
              <w:rPr>
                <w:rFonts w:ascii="Verdana" w:hAnsi="Verdana"/>
                <w:spacing w:val="-10"/>
                <w:sz w:val="16"/>
                <w:szCs w:val="16"/>
              </w:rPr>
              <w:t>3</w:t>
            </w:r>
          </w:p>
        </w:tc>
        <w:tc>
          <w:tcPr>
            <w:tcW w:w="5072" w:type="dxa"/>
          </w:tcPr>
          <w:p w14:paraId="351CD772" w14:textId="77777777" w:rsidR="008715BE" w:rsidRPr="005F35E4" w:rsidRDefault="00000000">
            <w:pPr>
              <w:pStyle w:val="TableParagraph"/>
              <w:spacing w:line="174" w:lineRule="exact"/>
              <w:ind w:left="108"/>
              <w:rPr>
                <w:rFonts w:ascii="Verdana" w:hAnsi="Verdana"/>
                <w:sz w:val="16"/>
                <w:szCs w:val="16"/>
              </w:rPr>
            </w:pPr>
            <w:r w:rsidRPr="005F35E4">
              <w:rPr>
                <w:rFonts w:ascii="Verdana" w:hAnsi="Verdana"/>
                <w:b/>
                <w:sz w:val="16"/>
                <w:szCs w:val="16"/>
              </w:rPr>
              <w:t xml:space="preserve">ROSPA0036 </w:t>
            </w:r>
            <w:r w:rsidRPr="005F35E4">
              <w:rPr>
                <w:rFonts w:ascii="Verdana" w:hAnsi="Verdana"/>
                <w:spacing w:val="-2"/>
                <w:sz w:val="16"/>
                <w:szCs w:val="16"/>
              </w:rPr>
              <w:t>Dumbrăveni</w:t>
            </w:r>
          </w:p>
        </w:tc>
        <w:tc>
          <w:tcPr>
            <w:tcW w:w="1207" w:type="dxa"/>
          </w:tcPr>
          <w:p w14:paraId="2E8202E9" w14:textId="77777777" w:rsidR="008715BE" w:rsidRPr="005F35E4" w:rsidRDefault="008715BE">
            <w:pPr>
              <w:pStyle w:val="TableParagraph"/>
              <w:rPr>
                <w:rFonts w:ascii="Verdana" w:hAnsi="Verdana"/>
                <w:sz w:val="16"/>
                <w:szCs w:val="16"/>
              </w:rPr>
            </w:pPr>
          </w:p>
        </w:tc>
        <w:tc>
          <w:tcPr>
            <w:tcW w:w="1318" w:type="dxa"/>
          </w:tcPr>
          <w:p w14:paraId="4CB67DF5" w14:textId="77777777" w:rsidR="008715BE" w:rsidRPr="005F35E4" w:rsidRDefault="008715BE">
            <w:pPr>
              <w:pStyle w:val="TableParagraph"/>
              <w:rPr>
                <w:rFonts w:ascii="Verdana" w:hAnsi="Verdana"/>
                <w:sz w:val="16"/>
                <w:szCs w:val="16"/>
              </w:rPr>
            </w:pPr>
          </w:p>
        </w:tc>
        <w:tc>
          <w:tcPr>
            <w:tcW w:w="1349" w:type="dxa"/>
          </w:tcPr>
          <w:p w14:paraId="100B0DA1" w14:textId="77777777" w:rsidR="008715BE" w:rsidRPr="005F35E4" w:rsidRDefault="00000000">
            <w:pPr>
              <w:pStyle w:val="TableParagraph"/>
              <w:spacing w:line="174" w:lineRule="exact"/>
              <w:ind w:left="12" w:right="3"/>
              <w:jc w:val="center"/>
              <w:rPr>
                <w:rFonts w:ascii="Verdana" w:hAnsi="Verdana"/>
                <w:b/>
                <w:sz w:val="16"/>
                <w:szCs w:val="16"/>
              </w:rPr>
            </w:pPr>
            <w:r w:rsidRPr="005F35E4">
              <w:rPr>
                <w:rFonts w:ascii="Verdana" w:hAnsi="Verdana"/>
                <w:b/>
                <w:spacing w:val="-10"/>
                <w:sz w:val="16"/>
                <w:szCs w:val="16"/>
              </w:rPr>
              <w:t>X</w:t>
            </w:r>
          </w:p>
        </w:tc>
      </w:tr>
      <w:tr w:rsidR="008715BE" w:rsidRPr="005F35E4" w14:paraId="7A1AA7D2" w14:textId="77777777">
        <w:trPr>
          <w:trHeight w:val="196"/>
        </w:trPr>
        <w:tc>
          <w:tcPr>
            <w:tcW w:w="768" w:type="dxa"/>
          </w:tcPr>
          <w:p w14:paraId="61AC629A" w14:textId="77777777" w:rsidR="008715BE" w:rsidRPr="005F35E4" w:rsidRDefault="00000000">
            <w:pPr>
              <w:pStyle w:val="TableParagraph"/>
              <w:spacing w:before="1" w:line="175" w:lineRule="exact"/>
              <w:ind w:right="94"/>
              <w:jc w:val="right"/>
              <w:rPr>
                <w:rFonts w:ascii="Verdana" w:hAnsi="Verdana"/>
                <w:sz w:val="16"/>
                <w:szCs w:val="16"/>
              </w:rPr>
            </w:pPr>
            <w:r w:rsidRPr="005F35E4">
              <w:rPr>
                <w:rFonts w:ascii="Verdana" w:hAnsi="Verdana"/>
                <w:spacing w:val="-10"/>
                <w:sz w:val="16"/>
                <w:szCs w:val="16"/>
              </w:rPr>
              <w:t>4</w:t>
            </w:r>
          </w:p>
        </w:tc>
        <w:tc>
          <w:tcPr>
            <w:tcW w:w="5072" w:type="dxa"/>
          </w:tcPr>
          <w:p w14:paraId="2D4F925A" w14:textId="77777777" w:rsidR="008715BE" w:rsidRPr="005F35E4" w:rsidRDefault="00000000">
            <w:pPr>
              <w:pStyle w:val="TableParagraph"/>
              <w:spacing w:before="1" w:line="175" w:lineRule="exact"/>
              <w:ind w:left="108"/>
              <w:rPr>
                <w:rFonts w:ascii="Verdana" w:hAnsi="Verdana"/>
                <w:sz w:val="16"/>
                <w:szCs w:val="16"/>
              </w:rPr>
            </w:pPr>
            <w:r w:rsidRPr="005F35E4">
              <w:rPr>
                <w:rFonts w:ascii="Verdana" w:hAnsi="Verdana"/>
                <w:b/>
                <w:sz w:val="16"/>
                <w:szCs w:val="16"/>
              </w:rPr>
              <w:t xml:space="preserve">ROSPA0166 </w:t>
            </w:r>
            <w:r w:rsidRPr="005F35E4">
              <w:rPr>
                <w:rFonts w:ascii="Verdana" w:hAnsi="Verdana"/>
                <w:spacing w:val="-2"/>
                <w:sz w:val="16"/>
                <w:szCs w:val="16"/>
              </w:rPr>
              <w:t>Plopeni–Chirnogeni</w:t>
            </w:r>
          </w:p>
        </w:tc>
        <w:tc>
          <w:tcPr>
            <w:tcW w:w="1207" w:type="dxa"/>
          </w:tcPr>
          <w:p w14:paraId="60AE4974" w14:textId="77777777" w:rsidR="008715BE" w:rsidRPr="005F35E4" w:rsidRDefault="008715BE">
            <w:pPr>
              <w:pStyle w:val="TableParagraph"/>
              <w:rPr>
                <w:rFonts w:ascii="Verdana" w:hAnsi="Verdana"/>
                <w:sz w:val="16"/>
                <w:szCs w:val="16"/>
              </w:rPr>
            </w:pPr>
          </w:p>
        </w:tc>
        <w:tc>
          <w:tcPr>
            <w:tcW w:w="1318" w:type="dxa"/>
          </w:tcPr>
          <w:p w14:paraId="1944E147" w14:textId="77777777" w:rsidR="008715BE" w:rsidRPr="005F35E4" w:rsidRDefault="008715BE">
            <w:pPr>
              <w:pStyle w:val="TableParagraph"/>
              <w:rPr>
                <w:rFonts w:ascii="Verdana" w:hAnsi="Verdana"/>
                <w:sz w:val="16"/>
                <w:szCs w:val="16"/>
              </w:rPr>
            </w:pPr>
          </w:p>
        </w:tc>
        <w:tc>
          <w:tcPr>
            <w:tcW w:w="1349" w:type="dxa"/>
          </w:tcPr>
          <w:p w14:paraId="0283171F" w14:textId="77777777" w:rsidR="008715BE" w:rsidRPr="005F35E4" w:rsidRDefault="00000000">
            <w:pPr>
              <w:pStyle w:val="TableParagraph"/>
              <w:spacing w:before="1" w:line="175" w:lineRule="exact"/>
              <w:ind w:left="12" w:right="3"/>
              <w:jc w:val="center"/>
              <w:rPr>
                <w:rFonts w:ascii="Verdana" w:hAnsi="Verdana"/>
                <w:b/>
                <w:sz w:val="16"/>
                <w:szCs w:val="16"/>
              </w:rPr>
            </w:pPr>
            <w:r w:rsidRPr="005F35E4">
              <w:rPr>
                <w:rFonts w:ascii="Verdana" w:hAnsi="Verdana"/>
                <w:b/>
                <w:spacing w:val="-10"/>
                <w:sz w:val="16"/>
                <w:szCs w:val="16"/>
              </w:rPr>
              <w:t>X</w:t>
            </w:r>
          </w:p>
        </w:tc>
      </w:tr>
      <w:tr w:rsidR="008715BE" w:rsidRPr="005F35E4" w14:paraId="4BF463A1" w14:textId="77777777">
        <w:trPr>
          <w:trHeight w:val="193"/>
        </w:trPr>
        <w:tc>
          <w:tcPr>
            <w:tcW w:w="768" w:type="dxa"/>
          </w:tcPr>
          <w:p w14:paraId="6BA51FE5" w14:textId="77777777" w:rsidR="008715BE" w:rsidRPr="005F35E4" w:rsidRDefault="00000000">
            <w:pPr>
              <w:pStyle w:val="TableParagraph"/>
              <w:spacing w:line="174" w:lineRule="exact"/>
              <w:ind w:right="94"/>
              <w:jc w:val="right"/>
              <w:rPr>
                <w:rFonts w:ascii="Verdana" w:hAnsi="Verdana"/>
                <w:sz w:val="16"/>
                <w:szCs w:val="16"/>
              </w:rPr>
            </w:pPr>
            <w:r w:rsidRPr="005F35E4">
              <w:rPr>
                <w:rFonts w:ascii="Verdana" w:hAnsi="Verdana"/>
                <w:spacing w:val="-10"/>
                <w:sz w:val="16"/>
                <w:szCs w:val="16"/>
              </w:rPr>
              <w:t>5</w:t>
            </w:r>
          </w:p>
        </w:tc>
        <w:tc>
          <w:tcPr>
            <w:tcW w:w="5072" w:type="dxa"/>
          </w:tcPr>
          <w:p w14:paraId="38C587A8" w14:textId="77777777" w:rsidR="008715BE" w:rsidRPr="005F35E4" w:rsidRDefault="00000000">
            <w:pPr>
              <w:pStyle w:val="TableParagraph"/>
              <w:spacing w:line="174" w:lineRule="exact"/>
              <w:ind w:left="108"/>
              <w:rPr>
                <w:rFonts w:ascii="Verdana" w:hAnsi="Verdana"/>
                <w:sz w:val="16"/>
                <w:szCs w:val="16"/>
              </w:rPr>
            </w:pPr>
            <w:r w:rsidRPr="005F35E4">
              <w:rPr>
                <w:rFonts w:ascii="Verdana" w:hAnsi="Verdana"/>
                <w:b/>
                <w:sz w:val="16"/>
                <w:szCs w:val="16"/>
              </w:rPr>
              <w:t xml:space="preserve">ROSPA0094 </w:t>
            </w:r>
            <w:r w:rsidRPr="005F35E4">
              <w:rPr>
                <w:rFonts w:ascii="Verdana" w:hAnsi="Verdana"/>
                <w:spacing w:val="-2"/>
                <w:sz w:val="16"/>
                <w:szCs w:val="16"/>
              </w:rPr>
              <w:t xml:space="preserve">Hagieni </w:t>
            </w:r>
            <w:r w:rsidRPr="005F35E4">
              <w:rPr>
                <w:rFonts w:ascii="Verdana" w:hAnsi="Verdana"/>
                <w:sz w:val="16"/>
                <w:szCs w:val="16"/>
              </w:rPr>
              <w:t>Forest</w:t>
            </w:r>
          </w:p>
        </w:tc>
        <w:tc>
          <w:tcPr>
            <w:tcW w:w="1207" w:type="dxa"/>
          </w:tcPr>
          <w:p w14:paraId="0CF20E6D" w14:textId="77777777" w:rsidR="008715BE" w:rsidRPr="005F35E4" w:rsidRDefault="008715BE">
            <w:pPr>
              <w:pStyle w:val="TableParagraph"/>
              <w:rPr>
                <w:rFonts w:ascii="Verdana" w:hAnsi="Verdana"/>
                <w:sz w:val="16"/>
                <w:szCs w:val="16"/>
              </w:rPr>
            </w:pPr>
          </w:p>
        </w:tc>
        <w:tc>
          <w:tcPr>
            <w:tcW w:w="1318" w:type="dxa"/>
          </w:tcPr>
          <w:p w14:paraId="3D202FA2" w14:textId="77777777" w:rsidR="008715BE" w:rsidRPr="005F35E4" w:rsidRDefault="008715BE">
            <w:pPr>
              <w:pStyle w:val="TableParagraph"/>
              <w:rPr>
                <w:rFonts w:ascii="Verdana" w:hAnsi="Verdana"/>
                <w:sz w:val="16"/>
                <w:szCs w:val="16"/>
              </w:rPr>
            </w:pPr>
          </w:p>
        </w:tc>
        <w:tc>
          <w:tcPr>
            <w:tcW w:w="1349" w:type="dxa"/>
          </w:tcPr>
          <w:p w14:paraId="16D030FF" w14:textId="77777777" w:rsidR="008715BE" w:rsidRPr="005F35E4" w:rsidRDefault="00000000">
            <w:pPr>
              <w:pStyle w:val="TableParagraph"/>
              <w:spacing w:line="174" w:lineRule="exact"/>
              <w:ind w:left="12" w:right="3"/>
              <w:jc w:val="center"/>
              <w:rPr>
                <w:rFonts w:ascii="Verdana" w:hAnsi="Verdana"/>
                <w:b/>
                <w:sz w:val="16"/>
                <w:szCs w:val="16"/>
              </w:rPr>
            </w:pPr>
            <w:r w:rsidRPr="005F35E4">
              <w:rPr>
                <w:rFonts w:ascii="Verdana" w:hAnsi="Verdana"/>
                <w:b/>
                <w:spacing w:val="-10"/>
                <w:sz w:val="16"/>
                <w:szCs w:val="16"/>
              </w:rPr>
              <w:t>X</w:t>
            </w:r>
          </w:p>
        </w:tc>
      </w:tr>
      <w:tr w:rsidR="005F35E4" w:rsidRPr="00EC75B7" w14:paraId="76A4E5A4" w14:textId="77777777" w:rsidTr="00C94941">
        <w:trPr>
          <w:trHeight w:val="194"/>
        </w:trPr>
        <w:tc>
          <w:tcPr>
            <w:tcW w:w="768" w:type="dxa"/>
          </w:tcPr>
          <w:p w14:paraId="4319DCF9" w14:textId="77777777" w:rsidR="005F35E4" w:rsidRPr="005F35E4" w:rsidRDefault="005F35E4" w:rsidP="00C94941">
            <w:pPr>
              <w:pStyle w:val="TableParagraph"/>
              <w:spacing w:before="8" w:line="166" w:lineRule="exact"/>
              <w:ind w:right="94"/>
              <w:jc w:val="right"/>
              <w:rPr>
                <w:rFonts w:ascii="Verdana" w:hAnsi="Verdana"/>
                <w:sz w:val="16"/>
                <w:szCs w:val="16"/>
              </w:rPr>
            </w:pPr>
            <w:r w:rsidRPr="005F35E4">
              <w:rPr>
                <w:rFonts w:ascii="Verdana" w:hAnsi="Verdana"/>
                <w:spacing w:val="-10"/>
                <w:sz w:val="16"/>
                <w:szCs w:val="16"/>
              </w:rPr>
              <w:t>6</w:t>
            </w:r>
          </w:p>
        </w:tc>
        <w:tc>
          <w:tcPr>
            <w:tcW w:w="5072" w:type="dxa"/>
          </w:tcPr>
          <w:p w14:paraId="523F0FC7" w14:textId="77777777" w:rsidR="005F35E4" w:rsidRPr="005F35E4" w:rsidRDefault="005F35E4" w:rsidP="00C94941">
            <w:pPr>
              <w:pStyle w:val="TableParagraph"/>
              <w:spacing w:before="8" w:line="166" w:lineRule="exact"/>
              <w:ind w:left="108"/>
              <w:rPr>
                <w:rFonts w:ascii="Verdana" w:hAnsi="Verdana"/>
                <w:sz w:val="16"/>
                <w:szCs w:val="16"/>
              </w:rPr>
            </w:pPr>
            <w:r w:rsidRPr="005F35E4">
              <w:rPr>
                <w:rFonts w:ascii="Verdana" w:hAnsi="Verdana"/>
                <w:b/>
                <w:spacing w:val="-2"/>
                <w:sz w:val="16"/>
                <w:szCs w:val="16"/>
              </w:rPr>
              <w:t xml:space="preserve">BG0000569 </w:t>
            </w:r>
            <w:r w:rsidRPr="005F35E4">
              <w:rPr>
                <w:rFonts w:ascii="Verdana" w:hAnsi="Verdana"/>
                <w:spacing w:val="-2"/>
                <w:sz w:val="16"/>
                <w:szCs w:val="16"/>
              </w:rPr>
              <w:t xml:space="preserve">Kardam </w:t>
            </w:r>
            <w:r w:rsidRPr="005F35E4">
              <w:rPr>
                <w:rFonts w:ascii="Verdana" w:hAnsi="Verdana"/>
                <w:spacing w:val="-4"/>
                <w:sz w:val="16"/>
                <w:szCs w:val="16"/>
              </w:rPr>
              <w:t>(BG)</w:t>
            </w:r>
          </w:p>
        </w:tc>
        <w:tc>
          <w:tcPr>
            <w:tcW w:w="1207" w:type="dxa"/>
          </w:tcPr>
          <w:p w14:paraId="584D1E88" w14:textId="77777777" w:rsidR="005F35E4" w:rsidRPr="005F35E4" w:rsidRDefault="005F35E4" w:rsidP="00C94941">
            <w:pPr>
              <w:pStyle w:val="TableParagraph"/>
              <w:rPr>
                <w:rFonts w:ascii="Verdana" w:hAnsi="Verdana"/>
                <w:sz w:val="16"/>
                <w:szCs w:val="16"/>
              </w:rPr>
            </w:pPr>
          </w:p>
        </w:tc>
        <w:tc>
          <w:tcPr>
            <w:tcW w:w="1318" w:type="dxa"/>
          </w:tcPr>
          <w:p w14:paraId="21992E0F" w14:textId="77777777" w:rsidR="005F35E4" w:rsidRPr="005F35E4" w:rsidRDefault="005F35E4" w:rsidP="00C94941">
            <w:pPr>
              <w:pStyle w:val="TableParagraph"/>
              <w:spacing w:before="8" w:line="166" w:lineRule="exact"/>
              <w:ind w:left="13" w:right="2"/>
              <w:jc w:val="center"/>
              <w:rPr>
                <w:rFonts w:ascii="Verdana" w:hAnsi="Verdana"/>
                <w:b/>
                <w:sz w:val="16"/>
                <w:szCs w:val="16"/>
              </w:rPr>
            </w:pPr>
            <w:r w:rsidRPr="005F35E4">
              <w:rPr>
                <w:rFonts w:ascii="Verdana" w:hAnsi="Verdana"/>
                <w:b/>
                <w:spacing w:val="-10"/>
                <w:sz w:val="16"/>
                <w:szCs w:val="16"/>
              </w:rPr>
              <w:t>X</w:t>
            </w:r>
          </w:p>
        </w:tc>
        <w:tc>
          <w:tcPr>
            <w:tcW w:w="1349" w:type="dxa"/>
          </w:tcPr>
          <w:p w14:paraId="0C88C973" w14:textId="77777777" w:rsidR="005F35E4" w:rsidRPr="005F35E4" w:rsidRDefault="005F35E4" w:rsidP="00C94941">
            <w:pPr>
              <w:pStyle w:val="TableParagraph"/>
              <w:rPr>
                <w:rFonts w:ascii="Verdana" w:hAnsi="Verdana"/>
                <w:sz w:val="16"/>
                <w:szCs w:val="16"/>
              </w:rPr>
            </w:pPr>
          </w:p>
        </w:tc>
      </w:tr>
      <w:tr w:rsidR="005F35E4" w:rsidRPr="00EC75B7" w14:paraId="3FFB2BD8" w14:textId="77777777" w:rsidTr="00C94941">
        <w:trPr>
          <w:trHeight w:val="196"/>
        </w:trPr>
        <w:tc>
          <w:tcPr>
            <w:tcW w:w="768" w:type="dxa"/>
          </w:tcPr>
          <w:p w14:paraId="2F0AAC81" w14:textId="77777777" w:rsidR="005F35E4" w:rsidRPr="005F35E4" w:rsidRDefault="005F35E4" w:rsidP="00C94941">
            <w:pPr>
              <w:pStyle w:val="TableParagraph"/>
              <w:spacing w:before="8" w:line="168" w:lineRule="exact"/>
              <w:ind w:right="94"/>
              <w:jc w:val="right"/>
              <w:rPr>
                <w:rFonts w:ascii="Verdana" w:hAnsi="Verdana"/>
                <w:sz w:val="16"/>
                <w:szCs w:val="16"/>
              </w:rPr>
            </w:pPr>
            <w:r w:rsidRPr="005F35E4">
              <w:rPr>
                <w:rFonts w:ascii="Verdana" w:hAnsi="Verdana"/>
                <w:spacing w:val="-10"/>
                <w:sz w:val="16"/>
                <w:szCs w:val="16"/>
              </w:rPr>
              <w:t>7</w:t>
            </w:r>
          </w:p>
        </w:tc>
        <w:tc>
          <w:tcPr>
            <w:tcW w:w="5072" w:type="dxa"/>
          </w:tcPr>
          <w:p w14:paraId="4788A84E" w14:textId="77777777" w:rsidR="005F35E4" w:rsidRPr="005F35E4" w:rsidRDefault="005F35E4" w:rsidP="00C94941">
            <w:pPr>
              <w:pStyle w:val="TableParagraph"/>
              <w:spacing w:before="8" w:line="168" w:lineRule="exact"/>
              <w:ind w:left="108"/>
              <w:rPr>
                <w:rFonts w:ascii="Verdana" w:hAnsi="Verdana"/>
                <w:sz w:val="16"/>
                <w:szCs w:val="16"/>
              </w:rPr>
            </w:pPr>
            <w:r w:rsidRPr="005F35E4">
              <w:rPr>
                <w:rFonts w:ascii="Verdana" w:hAnsi="Verdana"/>
                <w:b/>
                <w:sz w:val="16"/>
                <w:szCs w:val="16"/>
              </w:rPr>
              <w:t xml:space="preserve">BG0000570 </w:t>
            </w:r>
            <w:r w:rsidRPr="005F35E4">
              <w:rPr>
                <w:rFonts w:ascii="Verdana" w:hAnsi="Verdana"/>
                <w:sz w:val="16"/>
                <w:szCs w:val="16"/>
              </w:rPr>
              <w:t xml:space="preserve">Izvorovo–Kraishte </w:t>
            </w:r>
            <w:r w:rsidRPr="005F35E4">
              <w:rPr>
                <w:rFonts w:ascii="Verdana" w:hAnsi="Verdana"/>
                <w:spacing w:val="-4"/>
                <w:sz w:val="16"/>
                <w:szCs w:val="16"/>
              </w:rPr>
              <w:t>(BG)</w:t>
            </w:r>
          </w:p>
        </w:tc>
        <w:tc>
          <w:tcPr>
            <w:tcW w:w="1207" w:type="dxa"/>
          </w:tcPr>
          <w:p w14:paraId="60AD9133" w14:textId="77777777" w:rsidR="005F35E4" w:rsidRPr="005F35E4" w:rsidRDefault="005F35E4" w:rsidP="00C94941">
            <w:pPr>
              <w:pStyle w:val="TableParagraph"/>
              <w:rPr>
                <w:rFonts w:ascii="Verdana" w:hAnsi="Verdana"/>
                <w:sz w:val="16"/>
                <w:szCs w:val="16"/>
              </w:rPr>
            </w:pPr>
          </w:p>
        </w:tc>
        <w:tc>
          <w:tcPr>
            <w:tcW w:w="1318" w:type="dxa"/>
          </w:tcPr>
          <w:p w14:paraId="7DA83BB3" w14:textId="77777777" w:rsidR="005F35E4" w:rsidRPr="005F35E4" w:rsidRDefault="005F35E4" w:rsidP="00C94941">
            <w:pPr>
              <w:pStyle w:val="TableParagraph"/>
              <w:spacing w:before="8" w:line="168" w:lineRule="exact"/>
              <w:ind w:left="13" w:right="2"/>
              <w:jc w:val="center"/>
              <w:rPr>
                <w:rFonts w:ascii="Verdana" w:hAnsi="Verdana"/>
                <w:b/>
                <w:sz w:val="16"/>
                <w:szCs w:val="16"/>
              </w:rPr>
            </w:pPr>
            <w:r w:rsidRPr="005F35E4">
              <w:rPr>
                <w:rFonts w:ascii="Verdana" w:hAnsi="Verdana"/>
                <w:b/>
                <w:spacing w:val="-10"/>
                <w:sz w:val="16"/>
                <w:szCs w:val="16"/>
              </w:rPr>
              <w:t>X</w:t>
            </w:r>
          </w:p>
        </w:tc>
        <w:tc>
          <w:tcPr>
            <w:tcW w:w="1349" w:type="dxa"/>
          </w:tcPr>
          <w:p w14:paraId="3A072AA1" w14:textId="77777777" w:rsidR="005F35E4" w:rsidRPr="005F35E4" w:rsidRDefault="005F35E4" w:rsidP="00C94941">
            <w:pPr>
              <w:pStyle w:val="TableParagraph"/>
              <w:rPr>
                <w:rFonts w:ascii="Verdana" w:hAnsi="Verdana"/>
                <w:sz w:val="16"/>
                <w:szCs w:val="16"/>
              </w:rPr>
            </w:pPr>
          </w:p>
        </w:tc>
      </w:tr>
    </w:tbl>
    <w:p w14:paraId="10F9E93D" w14:textId="77777777" w:rsidR="005F35E4" w:rsidRPr="005F35E4" w:rsidRDefault="005F35E4">
      <w:pPr>
        <w:pStyle w:val="BodyText"/>
        <w:spacing w:before="113"/>
        <w:rPr>
          <w:rFonts w:ascii="Verdana" w:hAnsi="Verdana"/>
          <w:b/>
          <w:sz w:val="16"/>
          <w:szCs w:val="16"/>
        </w:rPr>
      </w:pPr>
    </w:p>
    <w:p w14:paraId="60C83EC2" w14:textId="77777777" w:rsidR="008715BE" w:rsidRPr="00EC75B7" w:rsidRDefault="00000000" w:rsidP="005F35E4">
      <w:pPr>
        <w:ind w:left="270" w:right="544" w:firstLine="90"/>
        <w:rPr>
          <w:rFonts w:ascii="Verdana" w:hAnsi="Verdana"/>
          <w:sz w:val="18"/>
          <w:szCs w:val="18"/>
        </w:rPr>
      </w:pPr>
      <w:r w:rsidRPr="00EC75B7">
        <w:rPr>
          <w:rFonts w:ascii="Verdana" w:hAnsi="Verdana"/>
          <w:color w:val="797766"/>
          <w:position w:val="4"/>
          <w:sz w:val="18"/>
          <w:szCs w:val="18"/>
        </w:rPr>
        <w:t>9</w:t>
      </w:r>
      <w:r w:rsidRPr="00EC75B7">
        <w:rPr>
          <w:rFonts w:ascii="Verdana" w:hAnsi="Verdana"/>
          <w:color w:val="797766"/>
          <w:sz w:val="18"/>
          <w:szCs w:val="18"/>
        </w:rPr>
        <w:t xml:space="preserve">  The relative poverty rate is defined as the share of poor people (according to the relative estimation method) in the total population. People in households with a disposable income per adult equivalent (including or excluding the equivalent value of consumption from own resources) below the poverty threshold are considered poor.</w:t>
      </w:r>
    </w:p>
    <w:p w14:paraId="7D1C6FEA" w14:textId="77777777" w:rsidR="008715BE" w:rsidRPr="00EC75B7" w:rsidRDefault="008715BE">
      <w:pPr>
        <w:rPr>
          <w:rFonts w:ascii="Verdana" w:hAnsi="Verdana"/>
          <w:sz w:val="18"/>
          <w:szCs w:val="18"/>
        </w:rPr>
        <w:sectPr w:rsidR="008715BE" w:rsidRPr="00EC75B7">
          <w:type w:val="continuous"/>
          <w:pgSz w:w="11910" w:h="16840"/>
          <w:pgMar w:top="1280" w:right="141" w:bottom="280" w:left="425" w:header="766" w:footer="797" w:gutter="0"/>
          <w:cols w:space="708"/>
        </w:sectPr>
      </w:pPr>
    </w:p>
    <w:p w14:paraId="48444287" w14:textId="6F115C8B" w:rsidR="008715BE" w:rsidRPr="00EC75B7" w:rsidRDefault="00E7611D" w:rsidP="00E7611D">
      <w:pPr>
        <w:pStyle w:val="BodyText"/>
        <w:spacing w:before="243"/>
        <w:jc w:val="center"/>
        <w:rPr>
          <w:rFonts w:ascii="Verdana" w:hAnsi="Verdana"/>
        </w:rPr>
      </w:pPr>
      <w:r>
        <w:rPr>
          <w:noProof/>
        </w:rPr>
        <w:lastRenderedPageBreak/>
        <w:drawing>
          <wp:inline distT="0" distB="0" distL="0" distR="0" wp14:anchorId="76750971" wp14:editId="24CF03F2">
            <wp:extent cx="6170914" cy="4364355"/>
            <wp:effectExtent l="0" t="0" r="1905" b="0"/>
            <wp:docPr id="19206978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73483" cy="4366172"/>
                    </a:xfrm>
                    <a:prstGeom prst="rect">
                      <a:avLst/>
                    </a:prstGeom>
                    <a:noFill/>
                    <a:ln>
                      <a:noFill/>
                    </a:ln>
                  </pic:spPr>
                </pic:pic>
              </a:graphicData>
            </a:graphic>
          </wp:inline>
        </w:drawing>
      </w:r>
    </w:p>
    <w:p w14:paraId="7DB914DF" w14:textId="77777777" w:rsidR="008715BE" w:rsidRPr="00EC75B7" w:rsidRDefault="008715BE">
      <w:pPr>
        <w:pStyle w:val="BodyText"/>
        <w:spacing w:before="56"/>
        <w:rPr>
          <w:rFonts w:ascii="Verdana" w:hAnsi="Verdana"/>
        </w:rPr>
      </w:pPr>
    </w:p>
    <w:p w14:paraId="4062BB6D" w14:textId="77777777" w:rsidR="008715BE" w:rsidRPr="00EC75B7" w:rsidRDefault="00000000">
      <w:pPr>
        <w:ind w:left="1027"/>
        <w:rPr>
          <w:rFonts w:ascii="Verdana" w:hAnsi="Verdana"/>
          <w:b/>
          <w:sz w:val="18"/>
          <w:szCs w:val="18"/>
        </w:rPr>
      </w:pPr>
      <w:r w:rsidRPr="00EC75B7">
        <w:rPr>
          <w:rFonts w:ascii="Verdana" w:hAnsi="Verdana"/>
          <w:b/>
          <w:color w:val="009DEF"/>
          <w:sz w:val="18"/>
          <w:szCs w:val="18"/>
        </w:rPr>
        <w:t xml:space="preserve">Figure 11 Natura 2000 sites included in the analysis of sites potentially affected by the </w:t>
      </w:r>
      <w:r w:rsidRPr="00EC75B7">
        <w:rPr>
          <w:rFonts w:ascii="Verdana" w:hAnsi="Verdana"/>
          <w:b/>
          <w:color w:val="009DEF"/>
          <w:spacing w:val="-2"/>
          <w:sz w:val="18"/>
          <w:szCs w:val="18"/>
        </w:rPr>
        <w:t xml:space="preserve">wind </w:t>
      </w:r>
      <w:r w:rsidRPr="00EC75B7">
        <w:rPr>
          <w:rFonts w:ascii="Verdana" w:hAnsi="Verdana"/>
          <w:b/>
          <w:color w:val="009DEF"/>
          <w:sz w:val="18"/>
          <w:szCs w:val="18"/>
        </w:rPr>
        <w:t>farm</w:t>
      </w:r>
    </w:p>
    <w:p w14:paraId="26BD2DB9" w14:textId="77777777" w:rsidR="008715BE" w:rsidRPr="00EC75B7" w:rsidRDefault="008715BE">
      <w:pPr>
        <w:pStyle w:val="BodyText"/>
        <w:rPr>
          <w:rFonts w:ascii="Verdana" w:hAnsi="Verdana"/>
          <w:b/>
        </w:rPr>
      </w:pPr>
    </w:p>
    <w:p w14:paraId="4EC63D27" w14:textId="77777777" w:rsidR="008715BE" w:rsidRPr="00EC75B7" w:rsidRDefault="008715BE">
      <w:pPr>
        <w:pStyle w:val="BodyText"/>
        <w:spacing w:before="30"/>
        <w:rPr>
          <w:rFonts w:ascii="Verdana" w:hAnsi="Verdana"/>
          <w:b/>
        </w:rPr>
      </w:pPr>
    </w:p>
    <w:p w14:paraId="2624D76A" w14:textId="77777777" w:rsidR="008715BE" w:rsidRPr="00EC75B7" w:rsidRDefault="00000000">
      <w:pPr>
        <w:pStyle w:val="Heading3"/>
        <w:numPr>
          <w:ilvl w:val="2"/>
          <w:numId w:val="110"/>
        </w:numPr>
        <w:tabs>
          <w:tab w:val="left" w:pos="2474"/>
          <w:tab w:val="left" w:pos="2479"/>
        </w:tabs>
        <w:spacing w:line="357" w:lineRule="auto"/>
        <w:ind w:left="2479" w:right="852" w:hanging="720"/>
        <w:rPr>
          <w:rFonts w:ascii="Verdana" w:hAnsi="Verdana"/>
          <w:i/>
          <w:color w:val="00AFEF"/>
          <w:sz w:val="18"/>
          <w:szCs w:val="18"/>
        </w:rPr>
      </w:pPr>
      <w:bookmarkStart w:id="39" w:name="_bookmark39"/>
      <w:bookmarkEnd w:id="39"/>
      <w:r w:rsidRPr="00EC75B7">
        <w:rPr>
          <w:rFonts w:ascii="Verdana" w:hAnsi="Verdana"/>
          <w:color w:val="00AFEF"/>
          <w:sz w:val="18"/>
          <w:szCs w:val="18"/>
        </w:rPr>
        <w:t xml:space="preserve">Presentation of the areas of intersection of the project with </w:t>
      </w:r>
      <w:r w:rsidRPr="00EC75B7">
        <w:rPr>
          <w:rFonts w:ascii="Verdana" w:hAnsi="Verdana"/>
          <w:color w:val="00AFEF"/>
          <w:spacing w:val="-2"/>
          <w:sz w:val="18"/>
          <w:szCs w:val="18"/>
        </w:rPr>
        <w:t>protected</w:t>
      </w:r>
      <w:r w:rsidRPr="00EC75B7">
        <w:rPr>
          <w:rFonts w:ascii="Verdana" w:hAnsi="Verdana"/>
          <w:color w:val="00AFEF"/>
          <w:sz w:val="18"/>
          <w:szCs w:val="18"/>
        </w:rPr>
        <w:t xml:space="preserve"> natural areas</w:t>
      </w:r>
    </w:p>
    <w:p w14:paraId="6E68B39B" w14:textId="77777777" w:rsidR="008715BE" w:rsidRPr="00EC75B7" w:rsidRDefault="00000000">
      <w:pPr>
        <w:pStyle w:val="BodyText"/>
        <w:spacing w:before="239" w:line="357" w:lineRule="auto"/>
        <w:ind w:left="794" w:right="847"/>
        <w:jc w:val="both"/>
        <w:rPr>
          <w:rFonts w:ascii="Verdana" w:hAnsi="Verdana"/>
        </w:rPr>
      </w:pPr>
      <w:r w:rsidRPr="00EC75B7">
        <w:rPr>
          <w:rFonts w:ascii="Verdana" w:hAnsi="Verdana"/>
        </w:rPr>
        <w:t>As part of the documentation, a GIS spatial analysis was performed to identify relevant protected natural areas (ANPIC/Natura 2000), taking into account all components of the project, including distant elements and potential cross-border characteristics. The analysis looked at overlap (intersection) and proximity (neighborhood/area of influence) criteria to figure out which sites to include in the impact assessment.</w:t>
      </w:r>
    </w:p>
    <w:p w14:paraId="41BF20B1" w14:textId="77777777" w:rsidR="008715BE" w:rsidRPr="00EC75B7" w:rsidRDefault="00000000">
      <w:pPr>
        <w:pStyle w:val="BodyText"/>
        <w:spacing w:before="122" w:line="357" w:lineRule="auto"/>
        <w:ind w:left="794" w:right="847"/>
        <w:jc w:val="both"/>
        <w:rPr>
          <w:rFonts w:ascii="Verdana" w:hAnsi="Verdana"/>
        </w:rPr>
      </w:pPr>
      <w:r w:rsidRPr="00EC75B7">
        <w:rPr>
          <w:rFonts w:ascii="Verdana" w:hAnsi="Verdana"/>
        </w:rPr>
        <w:t>The results indicate that the location and elements of the project do not overlap with the boundaries of any Natura 2000 site, so no areas of intersection with protected natural areas are identified. Consequently, the assessment focuses on neighbouring sites/sites potentially affected by indirect effects (particularly associated with the proximity and mobility of species), including the cross-border component: BG0000569 Kardam (≈0.41 km from the project boundary), ROSAC0071/ROSCI0071 Dumbrăveni–Valea Urluia–Lacul Vederoasa (≈2.79 km) and BG0000570 Izvorovo–Kraishte (≈3.64 km).</w:t>
      </w:r>
    </w:p>
    <w:p w14:paraId="5C5608FB"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6BA3677D" w14:textId="77777777" w:rsidR="008715BE" w:rsidRPr="00EC75B7" w:rsidRDefault="008715BE">
      <w:pPr>
        <w:pStyle w:val="BodyText"/>
        <w:spacing w:before="25"/>
        <w:rPr>
          <w:rFonts w:ascii="Verdana" w:hAnsi="Verdana"/>
        </w:rPr>
      </w:pPr>
    </w:p>
    <w:p w14:paraId="76C60C3C" w14:textId="77777777" w:rsidR="008715BE" w:rsidRPr="00EC75B7" w:rsidRDefault="00000000">
      <w:pPr>
        <w:pStyle w:val="Heading3"/>
        <w:numPr>
          <w:ilvl w:val="2"/>
          <w:numId w:val="110"/>
        </w:numPr>
        <w:tabs>
          <w:tab w:val="left" w:pos="2474"/>
          <w:tab w:val="left" w:pos="2479"/>
        </w:tabs>
        <w:spacing w:line="360" w:lineRule="auto"/>
        <w:ind w:left="2479" w:right="858" w:hanging="720"/>
        <w:rPr>
          <w:rFonts w:ascii="Verdana" w:hAnsi="Verdana"/>
          <w:i/>
          <w:color w:val="00AFEF"/>
          <w:sz w:val="18"/>
          <w:szCs w:val="18"/>
        </w:rPr>
      </w:pPr>
      <w:bookmarkStart w:id="40" w:name="_bookmark40"/>
      <w:bookmarkEnd w:id="40"/>
      <w:r w:rsidRPr="00EC75B7">
        <w:rPr>
          <w:rFonts w:ascii="Verdana" w:hAnsi="Verdana"/>
          <w:color w:val="00AFEF"/>
          <w:sz w:val="18"/>
          <w:szCs w:val="18"/>
        </w:rPr>
        <w:t xml:space="preserve">Presentation of the areas adjacent to the project with </w:t>
      </w:r>
      <w:r w:rsidRPr="00EC75B7">
        <w:rPr>
          <w:rFonts w:ascii="Verdana" w:hAnsi="Verdana"/>
          <w:color w:val="00AFEF"/>
          <w:spacing w:val="-2"/>
          <w:sz w:val="18"/>
          <w:szCs w:val="18"/>
        </w:rPr>
        <w:t>protected</w:t>
      </w:r>
      <w:r w:rsidRPr="00EC75B7">
        <w:rPr>
          <w:rFonts w:ascii="Verdana" w:hAnsi="Verdana"/>
          <w:color w:val="00AFEF"/>
          <w:sz w:val="18"/>
          <w:szCs w:val="18"/>
        </w:rPr>
        <w:t xml:space="preserve"> natural areas</w:t>
      </w:r>
    </w:p>
    <w:p w14:paraId="26D0544E" w14:textId="77777777" w:rsidR="008715BE" w:rsidRPr="00EC75B7" w:rsidRDefault="00000000">
      <w:pPr>
        <w:pStyle w:val="BodyText"/>
        <w:spacing w:before="235" w:line="357" w:lineRule="auto"/>
        <w:ind w:left="794" w:right="855"/>
        <w:jc w:val="both"/>
        <w:rPr>
          <w:rFonts w:ascii="Verdana" w:hAnsi="Verdana"/>
        </w:rPr>
      </w:pPr>
      <w:r w:rsidRPr="00EC75B7">
        <w:rPr>
          <w:rFonts w:ascii="Verdana" w:hAnsi="Verdana"/>
        </w:rPr>
        <w:t xml:space="preserve">In order to characterize the spatial relationship between the project site and the network of protected natural areas, a GIS proximity analysis was performed, identifying and ranking the Natura 2000/ANPIC areas located in the vicinity of the project and in its area of influence, including in a </w:t>
      </w:r>
      <w:r w:rsidRPr="00EC75B7">
        <w:rPr>
          <w:rFonts w:ascii="Verdana" w:hAnsi="Verdana"/>
          <w:spacing w:val="-2"/>
        </w:rPr>
        <w:t>cross-border</w:t>
      </w:r>
      <w:r w:rsidRPr="00EC75B7">
        <w:rPr>
          <w:rFonts w:ascii="Verdana" w:hAnsi="Verdana"/>
        </w:rPr>
        <w:t xml:space="preserve"> context</w:t>
      </w:r>
      <w:r w:rsidRPr="00EC75B7">
        <w:rPr>
          <w:rFonts w:ascii="Verdana" w:hAnsi="Verdana"/>
          <w:spacing w:val="-2"/>
        </w:rPr>
        <w:t>.</w:t>
      </w:r>
    </w:p>
    <w:p w14:paraId="213F0D94" w14:textId="77777777" w:rsidR="008715BE" w:rsidRPr="00EC75B7" w:rsidRDefault="00000000">
      <w:pPr>
        <w:pStyle w:val="Heading5"/>
        <w:numPr>
          <w:ilvl w:val="0"/>
          <w:numId w:val="98"/>
        </w:numPr>
        <w:tabs>
          <w:tab w:val="left" w:pos="1512"/>
        </w:tabs>
        <w:spacing w:before="123"/>
        <w:ind w:left="1512" w:hanging="358"/>
        <w:rPr>
          <w:rFonts w:ascii="Verdana" w:hAnsi="Verdana"/>
        </w:rPr>
      </w:pPr>
      <w:r w:rsidRPr="00EC75B7">
        <w:rPr>
          <w:rFonts w:ascii="Verdana" w:hAnsi="Verdana"/>
        </w:rPr>
        <w:t xml:space="preserve">ROSAC0071(ROSCI0071) Dumbrăveni - Valea Urluia - Lacul </w:t>
      </w:r>
      <w:r w:rsidRPr="00EC75B7">
        <w:rPr>
          <w:rFonts w:ascii="Verdana" w:hAnsi="Verdana"/>
          <w:spacing w:val="-2"/>
        </w:rPr>
        <w:t>Vederoasa</w:t>
      </w:r>
    </w:p>
    <w:p w14:paraId="0AF8A70F" w14:textId="77777777" w:rsidR="008715BE" w:rsidRPr="00EC75B7" w:rsidRDefault="008715BE">
      <w:pPr>
        <w:pStyle w:val="BodyText"/>
        <w:spacing w:before="7"/>
        <w:rPr>
          <w:rFonts w:ascii="Verdana" w:hAnsi="Verdana"/>
          <w:b/>
        </w:rPr>
      </w:pPr>
    </w:p>
    <w:p w14:paraId="002D9816" w14:textId="77777777" w:rsidR="008715BE" w:rsidRPr="00EC75B7" w:rsidRDefault="00000000">
      <w:pPr>
        <w:pStyle w:val="BodyText"/>
        <w:spacing w:line="360" w:lineRule="auto"/>
        <w:ind w:left="765" w:right="857"/>
        <w:jc w:val="both"/>
        <w:rPr>
          <w:rFonts w:ascii="Verdana" w:hAnsi="Verdana"/>
        </w:rPr>
      </w:pPr>
      <w:r w:rsidRPr="00EC75B7">
        <w:rPr>
          <w:rFonts w:ascii="Verdana" w:hAnsi="Verdana"/>
        </w:rPr>
        <w:t>It was declared a site of Community importance by MMDD Order No. 1964/2007 on the establishment of the protected natural area regime for sites of Community importance, as an integral part of the European ecological network Natura 2000 in Romania, with subsequent amendments and additions.</w:t>
      </w:r>
    </w:p>
    <w:p w14:paraId="703028DB" w14:textId="77777777" w:rsidR="008715BE" w:rsidRPr="00EC75B7" w:rsidRDefault="00000000">
      <w:pPr>
        <w:pStyle w:val="BodyText"/>
        <w:spacing w:before="116" w:line="357" w:lineRule="auto"/>
        <w:ind w:left="765" w:right="850"/>
        <w:jc w:val="both"/>
        <w:rPr>
          <w:rFonts w:ascii="Verdana" w:hAnsi="Verdana"/>
        </w:rPr>
      </w:pPr>
      <w:r w:rsidRPr="00EC75B7">
        <w:rPr>
          <w:rFonts w:ascii="Verdana" w:hAnsi="Verdana"/>
        </w:rPr>
        <w:t>The area has been designated a Site of Community Importance because it is home to at least eight types of habitats protected at European level, three of which are priority habitats, i.e. strictly protected: Pontic-Sarmatian steppes - approximately 160 ha in the site, Ponto-Sarmatic deciduous scrub present in coastal areas, on stony substrate, with limestone on the surface, covering a total area of approximately 200 ha within the site, and East European downy oak forests, whose total area has been estimated at approximately 900 ha. Within these habitats, 58 rare plant species, protected at national level, have been identified. Four of these are also protected at European level: Centaurea jankae, Echium russicum, Himantoglossum caprinum, and Potentilla emilli-popii.</w:t>
      </w:r>
    </w:p>
    <w:p w14:paraId="029C417D" w14:textId="77777777" w:rsidR="008715BE" w:rsidRPr="00EC75B7" w:rsidRDefault="00000000">
      <w:pPr>
        <w:pStyle w:val="BodyText"/>
        <w:spacing w:before="126" w:line="357" w:lineRule="auto"/>
        <w:ind w:left="765" w:right="847"/>
        <w:jc w:val="both"/>
        <w:rPr>
          <w:rFonts w:ascii="Verdana" w:hAnsi="Verdana"/>
        </w:rPr>
      </w:pPr>
      <w:r w:rsidRPr="00EC75B7">
        <w:rPr>
          <w:rFonts w:ascii="Verdana" w:hAnsi="Verdana"/>
        </w:rPr>
        <w:t>ROSCI0071 Dumbrăveni - Valea Urluia - Lacul Vederoasa covers an area of 17,971 ha and overlaps with ROSPA0036 Dumbrăveni (2,056 ha), Pădurea Dumbrăveni (2,361 ha), ROSPA0001 Aliman - Adamclisi (19,468 ha), Aliman Fossil Site (2,351 ha), ROSPA0007 Balta Vederoasa (2,144 ha), Lake Vederoasa (IV.30), ROSPA0039 Danube - Ostroave (16,224 ha), Bratca Forest (IV.26), Petroșani Limestone Cliffs (2,350 ha). ROSAC0071 (ROSCI0071) Dumbrăveni - Valea Urluia - Lacul Vederoasa is located in the following localities: Vlahii, Aliman, Floriile, Adâncata, Crângu, Adamclisi.</w:t>
      </w:r>
    </w:p>
    <w:p w14:paraId="3F8917E0" w14:textId="77777777" w:rsidR="008715BE" w:rsidRPr="00EC75B7" w:rsidRDefault="00000000">
      <w:pPr>
        <w:pStyle w:val="BodyText"/>
        <w:spacing w:before="127" w:line="357" w:lineRule="auto"/>
        <w:ind w:left="765" w:right="849"/>
        <w:jc w:val="both"/>
        <w:rPr>
          <w:rFonts w:ascii="Verdana" w:hAnsi="Verdana"/>
        </w:rPr>
      </w:pPr>
      <w:r w:rsidRPr="00EC75B7">
        <w:rPr>
          <w:rFonts w:ascii="Verdana" w:hAnsi="Verdana"/>
        </w:rPr>
        <w:t>Located in southern Dobrogea, the ROSCI0071 Dumbrăveni - Valea Urluia - Lacul Vederoasa site has a rich biodiversity, due to a mosaic of different habitats developed on a varied geomorphology: here we find limestone cliffs with caves, rocky and loess hills, valleys with temporary waters, permanent watercourses, and lakes.</w:t>
      </w:r>
      <w:r w:rsidRPr="00EC75B7">
        <w:rPr>
          <w:rFonts w:ascii="Verdana" w:hAnsi="Verdana"/>
          <w:spacing w:val="36"/>
        </w:rPr>
        <w:t xml:space="preserve"> </w:t>
      </w:r>
      <w:r w:rsidRPr="00EC75B7">
        <w:rPr>
          <w:rFonts w:ascii="Verdana" w:hAnsi="Verdana"/>
        </w:rPr>
        <w:t>Intercalated with forests, we find scrubland and ponto-sarmatic grasslands.</w:t>
      </w:r>
    </w:p>
    <w:p w14:paraId="0965C073" w14:textId="77777777" w:rsidR="008715BE" w:rsidRPr="00EC75B7" w:rsidRDefault="00000000">
      <w:pPr>
        <w:pStyle w:val="BodyText"/>
        <w:spacing w:before="123"/>
        <w:ind w:left="765"/>
        <w:jc w:val="both"/>
        <w:rPr>
          <w:rFonts w:ascii="Verdana" w:hAnsi="Verdana"/>
        </w:rPr>
      </w:pPr>
      <w:r w:rsidRPr="00EC75B7">
        <w:rPr>
          <w:rFonts w:ascii="Verdana" w:hAnsi="Verdana"/>
        </w:rPr>
        <w:t>The types of habitats present in the site are as follows</w:t>
      </w:r>
      <w:r w:rsidRPr="00EC75B7">
        <w:rPr>
          <w:rFonts w:ascii="Verdana" w:hAnsi="Verdana"/>
          <w:spacing w:val="-10"/>
        </w:rPr>
        <w:t>:</w:t>
      </w:r>
    </w:p>
    <w:p w14:paraId="1F94BE9E" w14:textId="77777777" w:rsidR="008715BE" w:rsidRPr="00EC75B7" w:rsidRDefault="008715BE">
      <w:pPr>
        <w:pStyle w:val="BodyText"/>
        <w:spacing w:before="7"/>
        <w:rPr>
          <w:rFonts w:ascii="Verdana" w:hAnsi="Verdana"/>
        </w:rPr>
      </w:pPr>
    </w:p>
    <w:p w14:paraId="286167C6" w14:textId="77777777" w:rsidR="008715BE" w:rsidRPr="00EC75B7" w:rsidRDefault="00000000">
      <w:pPr>
        <w:pStyle w:val="ListParagraph"/>
        <w:numPr>
          <w:ilvl w:val="1"/>
          <w:numId w:val="99"/>
        </w:numPr>
        <w:tabs>
          <w:tab w:val="left" w:pos="1485"/>
        </w:tabs>
        <w:rPr>
          <w:rFonts w:ascii="Verdana" w:hAnsi="Verdana"/>
          <w:sz w:val="18"/>
          <w:szCs w:val="18"/>
        </w:rPr>
      </w:pPr>
      <w:r w:rsidRPr="00EC75B7">
        <w:rPr>
          <w:rFonts w:ascii="Verdana" w:hAnsi="Verdana"/>
          <w:sz w:val="18"/>
          <w:szCs w:val="18"/>
        </w:rPr>
        <w:t xml:space="preserve">62C0* </w:t>
      </w:r>
      <w:r w:rsidRPr="00EC75B7">
        <w:rPr>
          <w:rFonts w:ascii="Verdana" w:hAnsi="Verdana"/>
          <w:spacing w:val="-2"/>
          <w:sz w:val="18"/>
          <w:szCs w:val="18"/>
        </w:rPr>
        <w:t xml:space="preserve">Ponto-Sarmatic </w:t>
      </w:r>
      <w:r w:rsidRPr="00EC75B7">
        <w:rPr>
          <w:rFonts w:ascii="Verdana" w:hAnsi="Verdana"/>
          <w:sz w:val="18"/>
          <w:szCs w:val="18"/>
        </w:rPr>
        <w:t>steppes</w:t>
      </w:r>
    </w:p>
    <w:p w14:paraId="3BD6EF7F" w14:textId="77777777" w:rsidR="008715BE" w:rsidRPr="00EC75B7" w:rsidRDefault="00000000">
      <w:pPr>
        <w:pStyle w:val="ListParagraph"/>
        <w:numPr>
          <w:ilvl w:val="1"/>
          <w:numId w:val="99"/>
        </w:numPr>
        <w:tabs>
          <w:tab w:val="left" w:pos="1485"/>
        </w:tabs>
        <w:spacing w:before="109"/>
        <w:rPr>
          <w:rFonts w:ascii="Verdana" w:hAnsi="Verdana"/>
          <w:sz w:val="18"/>
          <w:szCs w:val="18"/>
        </w:rPr>
      </w:pPr>
      <w:r w:rsidRPr="00EC75B7">
        <w:rPr>
          <w:rFonts w:ascii="Verdana" w:hAnsi="Verdana"/>
          <w:sz w:val="18"/>
          <w:szCs w:val="18"/>
        </w:rPr>
        <w:t xml:space="preserve">91I0 * Euro-Siberian forest-steppe vegetation with </w:t>
      </w:r>
      <w:r w:rsidRPr="00EC75B7">
        <w:rPr>
          <w:rFonts w:ascii="Verdana" w:hAnsi="Verdana"/>
          <w:i/>
          <w:sz w:val="18"/>
          <w:szCs w:val="18"/>
        </w:rPr>
        <w:t xml:space="preserve">Quercus </w:t>
      </w:r>
      <w:r w:rsidRPr="00EC75B7">
        <w:rPr>
          <w:rFonts w:ascii="Verdana" w:hAnsi="Verdana"/>
          <w:i/>
          <w:spacing w:val="-4"/>
          <w:sz w:val="18"/>
          <w:szCs w:val="18"/>
        </w:rPr>
        <w:t>spp</w:t>
      </w:r>
      <w:r w:rsidRPr="00EC75B7">
        <w:rPr>
          <w:rFonts w:ascii="Verdana" w:hAnsi="Verdana"/>
          <w:spacing w:val="-4"/>
          <w:sz w:val="18"/>
          <w:szCs w:val="18"/>
        </w:rPr>
        <w:t>.</w:t>
      </w:r>
    </w:p>
    <w:p w14:paraId="3FAEA970" w14:textId="77777777" w:rsidR="008715BE" w:rsidRPr="00EC75B7" w:rsidRDefault="00000000">
      <w:pPr>
        <w:pStyle w:val="ListParagraph"/>
        <w:numPr>
          <w:ilvl w:val="1"/>
          <w:numId w:val="99"/>
        </w:numPr>
        <w:tabs>
          <w:tab w:val="left" w:pos="1485"/>
        </w:tabs>
        <w:spacing w:before="109"/>
        <w:rPr>
          <w:rFonts w:ascii="Verdana" w:hAnsi="Verdana"/>
          <w:sz w:val="18"/>
          <w:szCs w:val="18"/>
        </w:rPr>
      </w:pPr>
      <w:r w:rsidRPr="00EC75B7">
        <w:rPr>
          <w:rFonts w:ascii="Verdana" w:hAnsi="Verdana"/>
          <w:sz w:val="18"/>
          <w:szCs w:val="18"/>
        </w:rPr>
        <w:t xml:space="preserve">3150 Natural eutrophic lakes with </w:t>
      </w:r>
      <w:r w:rsidRPr="00EC75B7">
        <w:rPr>
          <w:rFonts w:ascii="Verdana" w:hAnsi="Verdana"/>
          <w:i/>
          <w:sz w:val="18"/>
          <w:szCs w:val="18"/>
        </w:rPr>
        <w:t xml:space="preserve">Magnopotamion </w:t>
      </w:r>
      <w:r w:rsidRPr="00EC75B7">
        <w:rPr>
          <w:rFonts w:ascii="Verdana" w:hAnsi="Verdana"/>
          <w:sz w:val="18"/>
          <w:szCs w:val="18"/>
        </w:rPr>
        <w:t xml:space="preserve">or </w:t>
      </w:r>
      <w:r w:rsidRPr="00EC75B7">
        <w:rPr>
          <w:rFonts w:ascii="Verdana" w:hAnsi="Verdana"/>
          <w:i/>
          <w:spacing w:val="-2"/>
          <w:sz w:val="18"/>
          <w:szCs w:val="18"/>
        </w:rPr>
        <w:t xml:space="preserve">Hydrocharition </w:t>
      </w:r>
      <w:r w:rsidRPr="00EC75B7">
        <w:rPr>
          <w:rFonts w:ascii="Verdana" w:hAnsi="Verdana"/>
          <w:sz w:val="18"/>
          <w:szCs w:val="18"/>
        </w:rPr>
        <w:t>vegetation</w:t>
      </w:r>
    </w:p>
    <w:p w14:paraId="2AA70069" w14:textId="77777777" w:rsidR="008715BE" w:rsidRPr="00EC75B7" w:rsidRDefault="00000000">
      <w:pPr>
        <w:pStyle w:val="ListParagraph"/>
        <w:numPr>
          <w:ilvl w:val="1"/>
          <w:numId w:val="99"/>
        </w:numPr>
        <w:tabs>
          <w:tab w:val="left" w:pos="1485"/>
        </w:tabs>
        <w:spacing w:before="107"/>
        <w:rPr>
          <w:rFonts w:ascii="Verdana" w:hAnsi="Verdana"/>
          <w:sz w:val="18"/>
          <w:szCs w:val="18"/>
        </w:rPr>
      </w:pPr>
      <w:r w:rsidRPr="00EC75B7">
        <w:rPr>
          <w:rFonts w:ascii="Verdana" w:hAnsi="Verdana"/>
          <w:sz w:val="18"/>
          <w:szCs w:val="18"/>
        </w:rPr>
        <w:t xml:space="preserve">40C0* </w:t>
      </w:r>
      <w:r w:rsidRPr="00EC75B7">
        <w:rPr>
          <w:rFonts w:ascii="Verdana" w:hAnsi="Verdana"/>
          <w:spacing w:val="-2"/>
          <w:sz w:val="18"/>
          <w:szCs w:val="18"/>
        </w:rPr>
        <w:t xml:space="preserve">Ponto-Sarmatic </w:t>
      </w:r>
      <w:r w:rsidRPr="00EC75B7">
        <w:rPr>
          <w:rFonts w:ascii="Verdana" w:hAnsi="Verdana"/>
          <w:sz w:val="18"/>
          <w:szCs w:val="18"/>
        </w:rPr>
        <w:t>deciduous scrub</w:t>
      </w:r>
    </w:p>
    <w:p w14:paraId="63C78400" w14:textId="77777777" w:rsidR="008715BE" w:rsidRPr="00EC75B7" w:rsidRDefault="00000000">
      <w:pPr>
        <w:pStyle w:val="ListParagraph"/>
        <w:numPr>
          <w:ilvl w:val="1"/>
          <w:numId w:val="99"/>
        </w:numPr>
        <w:tabs>
          <w:tab w:val="left" w:pos="1485"/>
        </w:tabs>
        <w:spacing w:before="109"/>
        <w:rPr>
          <w:rFonts w:ascii="Verdana" w:hAnsi="Verdana"/>
          <w:sz w:val="18"/>
          <w:szCs w:val="18"/>
        </w:rPr>
      </w:pPr>
      <w:r w:rsidRPr="00EC75B7">
        <w:rPr>
          <w:rFonts w:ascii="Verdana" w:hAnsi="Verdana"/>
          <w:sz w:val="18"/>
          <w:szCs w:val="18"/>
        </w:rPr>
        <w:t xml:space="preserve">6430 Hygrophilous tall herb communities of the lowlands, montane </w:t>
      </w:r>
      <w:r w:rsidRPr="00EC75B7">
        <w:rPr>
          <w:rFonts w:ascii="Verdana" w:hAnsi="Verdana"/>
          <w:spacing w:val="-5"/>
          <w:sz w:val="18"/>
          <w:szCs w:val="18"/>
        </w:rPr>
        <w:t>and</w:t>
      </w:r>
    </w:p>
    <w:p w14:paraId="781FD541" w14:textId="77777777" w:rsidR="008715BE" w:rsidRPr="00EC75B7" w:rsidRDefault="00000000">
      <w:pPr>
        <w:pStyle w:val="BodyText"/>
        <w:spacing w:before="109"/>
        <w:ind w:left="1485"/>
        <w:rPr>
          <w:rFonts w:ascii="Verdana" w:hAnsi="Verdana"/>
        </w:rPr>
      </w:pPr>
      <w:r w:rsidRPr="00EC75B7">
        <w:rPr>
          <w:rFonts w:ascii="Verdana" w:hAnsi="Verdana"/>
          <w:spacing w:val="-4"/>
        </w:rPr>
        <w:t>alpine</w:t>
      </w:r>
    </w:p>
    <w:p w14:paraId="784515F9" w14:textId="77777777" w:rsidR="008715BE" w:rsidRPr="00EC75B7" w:rsidRDefault="00000000">
      <w:pPr>
        <w:pStyle w:val="ListParagraph"/>
        <w:numPr>
          <w:ilvl w:val="1"/>
          <w:numId w:val="99"/>
        </w:numPr>
        <w:tabs>
          <w:tab w:val="left" w:pos="1485"/>
        </w:tabs>
        <w:spacing w:before="109" w:line="357" w:lineRule="auto"/>
        <w:ind w:right="1472"/>
        <w:rPr>
          <w:rFonts w:ascii="Verdana" w:hAnsi="Verdana"/>
          <w:sz w:val="18"/>
          <w:szCs w:val="18"/>
        </w:rPr>
      </w:pPr>
      <w:r w:rsidRPr="00EC75B7">
        <w:rPr>
          <w:rFonts w:ascii="Verdana" w:hAnsi="Verdana"/>
          <w:sz w:val="18"/>
          <w:szCs w:val="18"/>
        </w:rPr>
        <w:t xml:space="preserve">91F0 Mixed riparian forests with </w:t>
      </w:r>
      <w:r w:rsidRPr="00EC75B7">
        <w:rPr>
          <w:rFonts w:ascii="Verdana" w:hAnsi="Verdana"/>
          <w:i/>
          <w:sz w:val="18"/>
          <w:szCs w:val="18"/>
        </w:rPr>
        <w:t>Quercus robur</w:t>
      </w:r>
      <w:r w:rsidRPr="00EC75B7">
        <w:rPr>
          <w:rFonts w:ascii="Verdana" w:hAnsi="Verdana"/>
          <w:sz w:val="18"/>
          <w:szCs w:val="18"/>
        </w:rPr>
        <w:t xml:space="preserve">, </w:t>
      </w:r>
      <w:r w:rsidRPr="00EC75B7">
        <w:rPr>
          <w:rFonts w:ascii="Verdana" w:hAnsi="Verdana"/>
          <w:i/>
          <w:sz w:val="18"/>
          <w:szCs w:val="18"/>
        </w:rPr>
        <w:t xml:space="preserve">Ulmus laevis, Fraxinus excelsior </w:t>
      </w:r>
      <w:r w:rsidRPr="00EC75B7">
        <w:rPr>
          <w:rFonts w:ascii="Verdana" w:hAnsi="Verdana"/>
          <w:sz w:val="18"/>
          <w:szCs w:val="18"/>
        </w:rPr>
        <w:t xml:space="preserve">or </w:t>
      </w:r>
      <w:r w:rsidRPr="00EC75B7">
        <w:rPr>
          <w:rFonts w:ascii="Verdana" w:hAnsi="Verdana"/>
          <w:i/>
          <w:sz w:val="18"/>
          <w:szCs w:val="18"/>
        </w:rPr>
        <w:t xml:space="preserve">Fraxinus </w:t>
      </w:r>
      <w:r w:rsidRPr="00EC75B7">
        <w:rPr>
          <w:rFonts w:ascii="Verdana" w:hAnsi="Verdana"/>
          <w:sz w:val="18"/>
          <w:szCs w:val="18"/>
        </w:rPr>
        <w:t xml:space="preserve">angustifolia, along major rivers - </w:t>
      </w:r>
      <w:r w:rsidRPr="00EC75B7">
        <w:rPr>
          <w:rFonts w:ascii="Verdana" w:hAnsi="Verdana"/>
          <w:i/>
          <w:sz w:val="18"/>
          <w:szCs w:val="18"/>
        </w:rPr>
        <w:t xml:space="preserve">Ulmenion minoris </w:t>
      </w:r>
      <w:r w:rsidRPr="00EC75B7">
        <w:rPr>
          <w:rFonts w:ascii="Verdana" w:hAnsi="Verdana"/>
          <w:sz w:val="18"/>
          <w:szCs w:val="18"/>
        </w:rPr>
        <w:t>-</w:t>
      </w:r>
    </w:p>
    <w:p w14:paraId="0D68D8F0" w14:textId="77777777" w:rsidR="008715BE" w:rsidRPr="00EC75B7" w:rsidRDefault="00000000">
      <w:pPr>
        <w:pStyle w:val="ListParagraph"/>
        <w:numPr>
          <w:ilvl w:val="1"/>
          <w:numId w:val="99"/>
        </w:numPr>
        <w:tabs>
          <w:tab w:val="left" w:pos="1485"/>
        </w:tabs>
        <w:spacing w:before="1"/>
        <w:rPr>
          <w:rFonts w:ascii="Verdana" w:hAnsi="Verdana"/>
          <w:sz w:val="18"/>
          <w:szCs w:val="18"/>
        </w:rPr>
      </w:pPr>
      <w:r w:rsidRPr="00EC75B7">
        <w:rPr>
          <w:rFonts w:ascii="Verdana" w:hAnsi="Verdana"/>
          <w:sz w:val="18"/>
          <w:szCs w:val="18"/>
        </w:rPr>
        <w:t xml:space="preserve">91AA Ponto-Sarmatic forest vegetation with </w:t>
      </w:r>
      <w:r w:rsidRPr="00EC75B7">
        <w:rPr>
          <w:rFonts w:ascii="Verdana" w:hAnsi="Verdana"/>
          <w:spacing w:val="-2"/>
          <w:sz w:val="18"/>
          <w:szCs w:val="18"/>
        </w:rPr>
        <w:t xml:space="preserve">downy </w:t>
      </w:r>
      <w:r w:rsidRPr="00EC75B7">
        <w:rPr>
          <w:rFonts w:ascii="Verdana" w:hAnsi="Verdana"/>
          <w:sz w:val="18"/>
          <w:szCs w:val="18"/>
        </w:rPr>
        <w:t>oak</w:t>
      </w:r>
    </w:p>
    <w:p w14:paraId="0A571CD3" w14:textId="77777777" w:rsidR="008715BE" w:rsidRPr="00EC75B7" w:rsidRDefault="00000000">
      <w:pPr>
        <w:pStyle w:val="ListParagraph"/>
        <w:numPr>
          <w:ilvl w:val="1"/>
          <w:numId w:val="99"/>
        </w:numPr>
        <w:tabs>
          <w:tab w:val="left" w:pos="1485"/>
        </w:tabs>
        <w:spacing w:before="109"/>
        <w:rPr>
          <w:rFonts w:ascii="Verdana" w:hAnsi="Verdana"/>
          <w:sz w:val="18"/>
          <w:szCs w:val="18"/>
        </w:rPr>
      </w:pPr>
      <w:r w:rsidRPr="00EC75B7">
        <w:rPr>
          <w:rFonts w:ascii="Verdana" w:hAnsi="Verdana"/>
          <w:sz w:val="18"/>
          <w:szCs w:val="18"/>
        </w:rPr>
        <w:t xml:space="preserve">91M0 Balkan-Pannonian forests of oak and </w:t>
      </w:r>
      <w:r w:rsidRPr="00EC75B7">
        <w:rPr>
          <w:rFonts w:ascii="Verdana" w:hAnsi="Verdana"/>
          <w:spacing w:val="-4"/>
          <w:sz w:val="18"/>
          <w:szCs w:val="18"/>
        </w:rPr>
        <w:t>hornbeam</w:t>
      </w:r>
    </w:p>
    <w:p w14:paraId="4AF96F84" w14:textId="77777777" w:rsidR="008715BE" w:rsidRPr="00EC75B7" w:rsidRDefault="008715BE">
      <w:pPr>
        <w:pStyle w:val="ListParagraph"/>
        <w:rPr>
          <w:rFonts w:ascii="Verdana" w:hAnsi="Verdana"/>
          <w:sz w:val="18"/>
          <w:szCs w:val="18"/>
        </w:rPr>
        <w:sectPr w:rsidR="008715BE" w:rsidRPr="00EC75B7">
          <w:pgSz w:w="11910" w:h="16840"/>
          <w:pgMar w:top="1160" w:right="141" w:bottom="1020" w:left="425" w:header="766" w:footer="797" w:gutter="0"/>
          <w:cols w:space="708"/>
        </w:sectPr>
      </w:pPr>
    </w:p>
    <w:p w14:paraId="5E3802E1" w14:textId="77777777" w:rsidR="008715BE" w:rsidRPr="00EC75B7" w:rsidRDefault="008715BE">
      <w:pPr>
        <w:pStyle w:val="BodyText"/>
        <w:spacing w:before="46"/>
        <w:rPr>
          <w:rFonts w:ascii="Verdana" w:hAnsi="Verdana"/>
        </w:rPr>
      </w:pPr>
    </w:p>
    <w:p w14:paraId="25D3491B" w14:textId="77777777" w:rsidR="008715BE" w:rsidRPr="00EC75B7" w:rsidRDefault="00000000">
      <w:pPr>
        <w:pStyle w:val="BodyText"/>
        <w:spacing w:before="1" w:line="360" w:lineRule="auto"/>
        <w:ind w:left="765" w:right="860"/>
        <w:jc w:val="both"/>
        <w:rPr>
          <w:rFonts w:ascii="Verdana" w:hAnsi="Verdana"/>
        </w:rPr>
      </w:pPr>
      <w:r w:rsidRPr="00EC75B7">
        <w:rPr>
          <w:rFonts w:ascii="Verdana" w:hAnsi="Verdana"/>
        </w:rPr>
        <w:t>In terms of importance for the conservation of endangered habitats, the forest-steppe formations in the site are a top priority. Two types of vegetation have been identified:</w:t>
      </w:r>
    </w:p>
    <w:p w14:paraId="35A862B5" w14:textId="77777777" w:rsidR="008715BE" w:rsidRPr="00EC75B7" w:rsidRDefault="00000000">
      <w:pPr>
        <w:pStyle w:val="ListParagraph"/>
        <w:numPr>
          <w:ilvl w:val="1"/>
          <w:numId w:val="98"/>
        </w:numPr>
        <w:tabs>
          <w:tab w:val="left" w:pos="1483"/>
          <w:tab w:val="left" w:pos="1485"/>
        </w:tabs>
        <w:spacing w:before="116" w:line="357" w:lineRule="auto"/>
        <w:ind w:right="845"/>
        <w:jc w:val="both"/>
        <w:rPr>
          <w:rFonts w:ascii="Verdana" w:hAnsi="Verdana"/>
          <w:sz w:val="18"/>
          <w:szCs w:val="18"/>
        </w:rPr>
      </w:pPr>
      <w:r w:rsidRPr="00EC75B7">
        <w:rPr>
          <w:rFonts w:ascii="Verdana" w:hAnsi="Verdana"/>
          <w:sz w:val="18"/>
          <w:szCs w:val="18"/>
        </w:rPr>
        <w:t xml:space="preserve">Mixed Danubian-Western Pontic forests of </w:t>
      </w:r>
      <w:r w:rsidRPr="00EC75B7">
        <w:rPr>
          <w:rFonts w:ascii="Verdana" w:hAnsi="Verdana"/>
          <w:i/>
          <w:sz w:val="18"/>
          <w:szCs w:val="18"/>
        </w:rPr>
        <w:t>Quercus</w:t>
      </w:r>
      <w:r w:rsidRPr="00EC75B7">
        <w:rPr>
          <w:rFonts w:ascii="Verdana" w:hAnsi="Verdana"/>
          <w:sz w:val="18"/>
          <w:szCs w:val="18"/>
        </w:rPr>
        <w:t xml:space="preserve"> </w:t>
      </w:r>
      <w:r w:rsidRPr="00EC75B7">
        <w:rPr>
          <w:rFonts w:ascii="Verdana" w:hAnsi="Verdana"/>
          <w:i/>
          <w:sz w:val="18"/>
          <w:szCs w:val="18"/>
        </w:rPr>
        <w:t xml:space="preserve">penduliflora </w:t>
      </w:r>
      <w:r w:rsidRPr="00EC75B7">
        <w:rPr>
          <w:rFonts w:ascii="Verdana" w:hAnsi="Verdana"/>
          <w:sz w:val="18"/>
          <w:szCs w:val="18"/>
        </w:rPr>
        <w:t xml:space="preserve">and Tilia tomentosa with Viola jordanii. This type of habitat has a small area at national level, with only approx. 3000 ha, presenting a very high conservation value. Within the study area, they represent 2% of the total area. They are characterized by the </w:t>
      </w:r>
      <w:r w:rsidRPr="00EC75B7">
        <w:rPr>
          <w:rFonts w:ascii="Verdana" w:hAnsi="Verdana"/>
          <w:i/>
          <w:sz w:val="18"/>
          <w:szCs w:val="18"/>
        </w:rPr>
        <w:t xml:space="preserve">Querco penduculiflorae-Tilietum tomentosae </w:t>
      </w:r>
      <w:r w:rsidRPr="00EC75B7">
        <w:rPr>
          <w:rFonts w:ascii="Verdana" w:hAnsi="Verdana"/>
          <w:sz w:val="18"/>
          <w:szCs w:val="18"/>
        </w:rPr>
        <w:t xml:space="preserve">plant association. The phytocoenoses are made up of European sub-Mediterranean and continental species, as well as Caucasian species. The tree layer is composed of </w:t>
      </w:r>
      <w:r w:rsidRPr="00EC75B7">
        <w:rPr>
          <w:rFonts w:ascii="Verdana" w:hAnsi="Verdana"/>
          <w:i/>
          <w:sz w:val="18"/>
          <w:szCs w:val="18"/>
        </w:rPr>
        <w:t xml:space="preserve">Quercus penduculiflora </w:t>
      </w:r>
      <w:r w:rsidRPr="00EC75B7">
        <w:rPr>
          <w:rFonts w:ascii="Verdana" w:hAnsi="Verdana"/>
          <w:sz w:val="18"/>
          <w:szCs w:val="18"/>
        </w:rPr>
        <w:t xml:space="preserve">oak, </w:t>
      </w:r>
      <w:r w:rsidRPr="00EC75B7">
        <w:rPr>
          <w:rFonts w:ascii="Verdana" w:hAnsi="Verdana"/>
          <w:i/>
          <w:sz w:val="18"/>
          <w:szCs w:val="18"/>
        </w:rPr>
        <w:t xml:space="preserve">Tilia tomentosa </w:t>
      </w:r>
      <w:r w:rsidRPr="00EC75B7">
        <w:rPr>
          <w:rFonts w:ascii="Verdana" w:hAnsi="Verdana"/>
          <w:sz w:val="18"/>
          <w:szCs w:val="18"/>
        </w:rPr>
        <w:t xml:space="preserve">silver linden, these two species being characteristic of this type of habitat, Acer tataricum Tatarian maple, Fraxinus ornus manna ash, </w:t>
      </w:r>
      <w:r w:rsidRPr="00EC75B7">
        <w:rPr>
          <w:rFonts w:ascii="Verdana" w:hAnsi="Verdana"/>
          <w:i/>
          <w:sz w:val="18"/>
          <w:szCs w:val="18"/>
        </w:rPr>
        <w:t xml:space="preserve">Carpinus orientalis </w:t>
      </w:r>
      <w:r w:rsidRPr="00EC75B7">
        <w:rPr>
          <w:rFonts w:ascii="Verdana" w:hAnsi="Verdana"/>
          <w:sz w:val="18"/>
          <w:szCs w:val="18"/>
        </w:rPr>
        <w:t xml:space="preserve">oriental hornbeam, with specimens of </w:t>
      </w:r>
      <w:r w:rsidRPr="00EC75B7">
        <w:rPr>
          <w:rFonts w:ascii="Verdana" w:hAnsi="Verdana"/>
          <w:i/>
          <w:sz w:val="18"/>
          <w:szCs w:val="18"/>
        </w:rPr>
        <w:t xml:space="preserve">Acer campestre </w:t>
      </w:r>
      <w:r w:rsidRPr="00EC75B7">
        <w:rPr>
          <w:rFonts w:ascii="Verdana" w:hAnsi="Verdana"/>
          <w:sz w:val="18"/>
          <w:szCs w:val="18"/>
        </w:rPr>
        <w:t xml:space="preserve">field maple, </w:t>
      </w:r>
      <w:r w:rsidRPr="00EC75B7">
        <w:rPr>
          <w:rFonts w:ascii="Verdana" w:hAnsi="Verdana"/>
          <w:i/>
          <w:sz w:val="18"/>
          <w:szCs w:val="18"/>
        </w:rPr>
        <w:t xml:space="preserve">Fraxinus excelsior </w:t>
      </w:r>
      <w:r w:rsidRPr="00EC75B7">
        <w:rPr>
          <w:rFonts w:ascii="Verdana" w:hAnsi="Verdana"/>
          <w:sz w:val="18"/>
          <w:szCs w:val="18"/>
        </w:rPr>
        <w:t xml:space="preserve">ash, </w:t>
      </w:r>
      <w:r w:rsidRPr="00EC75B7">
        <w:rPr>
          <w:rFonts w:ascii="Verdana" w:hAnsi="Verdana"/>
          <w:i/>
          <w:sz w:val="18"/>
          <w:szCs w:val="18"/>
        </w:rPr>
        <w:t>Sorbus torminalis</w:t>
      </w:r>
      <w:r w:rsidRPr="00EC75B7">
        <w:rPr>
          <w:rFonts w:ascii="Verdana" w:hAnsi="Verdana"/>
          <w:sz w:val="18"/>
          <w:szCs w:val="18"/>
        </w:rPr>
        <w:t xml:space="preserve">, and </w:t>
      </w:r>
      <w:r w:rsidRPr="00EC75B7">
        <w:rPr>
          <w:rFonts w:ascii="Verdana" w:hAnsi="Verdana"/>
          <w:i/>
          <w:sz w:val="18"/>
          <w:szCs w:val="18"/>
        </w:rPr>
        <w:t>Ulmus procera</w:t>
      </w:r>
      <w:r w:rsidRPr="00EC75B7">
        <w:rPr>
          <w:rFonts w:ascii="Verdana" w:hAnsi="Verdana"/>
          <w:sz w:val="18"/>
          <w:szCs w:val="18"/>
        </w:rPr>
        <w:t>.</w:t>
      </w:r>
    </w:p>
    <w:p w14:paraId="17DF81B0" w14:textId="77777777" w:rsidR="008715BE" w:rsidRPr="00EC75B7" w:rsidRDefault="00000000">
      <w:pPr>
        <w:pStyle w:val="ListParagraph"/>
        <w:numPr>
          <w:ilvl w:val="1"/>
          <w:numId w:val="98"/>
        </w:numPr>
        <w:tabs>
          <w:tab w:val="left" w:pos="1483"/>
          <w:tab w:val="left" w:pos="1485"/>
        </w:tabs>
        <w:spacing w:before="10" w:line="357" w:lineRule="auto"/>
        <w:ind w:right="846"/>
        <w:jc w:val="both"/>
        <w:rPr>
          <w:rFonts w:ascii="Verdana" w:hAnsi="Verdana"/>
          <w:sz w:val="18"/>
          <w:szCs w:val="18"/>
        </w:rPr>
      </w:pPr>
      <w:r w:rsidRPr="00EC75B7">
        <w:rPr>
          <w:rFonts w:ascii="Verdana" w:hAnsi="Verdana"/>
          <w:sz w:val="18"/>
          <w:szCs w:val="18"/>
        </w:rPr>
        <w:t xml:space="preserve">Pontic vegetation of oak-hornbeam forest-steppe and Tatar maple forest. In the country, it is reported on relatively small areas totaling 16,000 ha in southern and southeastern Romania. In the rest of Europe, this habitat has not been reported to date. The characteristic association observed is </w:t>
      </w:r>
      <w:r w:rsidRPr="00EC75B7">
        <w:rPr>
          <w:rFonts w:ascii="Verdana" w:hAnsi="Verdana"/>
          <w:i/>
          <w:sz w:val="18"/>
          <w:szCs w:val="18"/>
        </w:rPr>
        <w:t>Quercetum penduculiflorae-cerris</w:t>
      </w:r>
      <w:r w:rsidRPr="00EC75B7">
        <w:rPr>
          <w:rFonts w:ascii="Verdana" w:hAnsi="Verdana"/>
          <w:sz w:val="18"/>
          <w:szCs w:val="18"/>
        </w:rPr>
        <w:t>.</w:t>
      </w:r>
      <w:r w:rsidRPr="00EC75B7">
        <w:rPr>
          <w:rFonts w:ascii="Verdana" w:hAnsi="Verdana"/>
          <w:spacing w:val="-5"/>
          <w:sz w:val="18"/>
          <w:szCs w:val="18"/>
        </w:rPr>
        <w:t xml:space="preserve"> </w:t>
      </w:r>
      <w:r w:rsidRPr="00EC75B7">
        <w:rPr>
          <w:rFonts w:ascii="Verdana" w:hAnsi="Verdana"/>
          <w:sz w:val="18"/>
          <w:szCs w:val="18"/>
        </w:rPr>
        <w:t xml:space="preserve">Edificatory species observed: Tatarian maple </w:t>
      </w:r>
      <w:r w:rsidRPr="00EC75B7">
        <w:rPr>
          <w:rFonts w:ascii="Verdana" w:hAnsi="Verdana"/>
          <w:i/>
          <w:sz w:val="18"/>
          <w:szCs w:val="18"/>
        </w:rPr>
        <w:t>Acer tataricum</w:t>
      </w:r>
      <w:r w:rsidRPr="00EC75B7">
        <w:rPr>
          <w:rFonts w:ascii="Verdana" w:hAnsi="Verdana"/>
          <w:sz w:val="18"/>
          <w:szCs w:val="18"/>
        </w:rPr>
        <w:t xml:space="preserve">, Turkey oak </w:t>
      </w:r>
      <w:r w:rsidRPr="00EC75B7">
        <w:rPr>
          <w:rFonts w:ascii="Verdana" w:hAnsi="Verdana"/>
          <w:i/>
          <w:sz w:val="18"/>
          <w:szCs w:val="18"/>
        </w:rPr>
        <w:t>Quercus cerris</w:t>
      </w:r>
      <w:r w:rsidRPr="00EC75B7">
        <w:rPr>
          <w:rFonts w:ascii="Verdana" w:hAnsi="Verdana"/>
          <w:sz w:val="18"/>
          <w:szCs w:val="18"/>
        </w:rPr>
        <w:t xml:space="preserve">, downy oak </w:t>
      </w:r>
      <w:r w:rsidRPr="00EC75B7">
        <w:rPr>
          <w:rFonts w:ascii="Verdana" w:hAnsi="Verdana"/>
          <w:i/>
          <w:sz w:val="18"/>
          <w:szCs w:val="18"/>
        </w:rPr>
        <w:t>Quercus penduculiflora</w:t>
      </w:r>
      <w:r w:rsidRPr="00EC75B7">
        <w:rPr>
          <w:rFonts w:ascii="Verdana" w:hAnsi="Verdana"/>
          <w:sz w:val="18"/>
          <w:szCs w:val="18"/>
        </w:rPr>
        <w:t xml:space="preserve">. Threatened plant species in these forests: </w:t>
      </w:r>
      <w:r w:rsidRPr="00EC75B7">
        <w:rPr>
          <w:rFonts w:ascii="Verdana" w:hAnsi="Verdana"/>
          <w:i/>
          <w:sz w:val="18"/>
          <w:szCs w:val="18"/>
        </w:rPr>
        <w:t>Asphodeline lutea</w:t>
      </w:r>
      <w:r w:rsidRPr="00EC75B7">
        <w:rPr>
          <w:rFonts w:ascii="Verdana" w:hAnsi="Verdana"/>
          <w:sz w:val="18"/>
          <w:szCs w:val="18"/>
        </w:rPr>
        <w:t xml:space="preserve">, </w:t>
      </w:r>
      <w:r w:rsidRPr="00EC75B7">
        <w:rPr>
          <w:rFonts w:ascii="Verdana" w:hAnsi="Verdana"/>
          <w:i/>
          <w:sz w:val="18"/>
          <w:szCs w:val="18"/>
        </w:rPr>
        <w:t xml:space="preserve">Crocus pallisii, Mercurialis </w:t>
      </w:r>
      <w:r w:rsidRPr="00EC75B7">
        <w:rPr>
          <w:rFonts w:ascii="Verdana" w:hAnsi="Verdana"/>
          <w:sz w:val="18"/>
          <w:szCs w:val="18"/>
        </w:rPr>
        <w:t xml:space="preserve">ovata, </w:t>
      </w:r>
      <w:r w:rsidRPr="00EC75B7">
        <w:rPr>
          <w:rFonts w:ascii="Verdana" w:hAnsi="Verdana"/>
          <w:i/>
          <w:sz w:val="18"/>
          <w:szCs w:val="18"/>
        </w:rPr>
        <w:t>Myrrhoides nodosa</w:t>
      </w:r>
      <w:r w:rsidRPr="00EC75B7">
        <w:rPr>
          <w:rFonts w:ascii="Verdana" w:hAnsi="Verdana"/>
          <w:sz w:val="18"/>
          <w:szCs w:val="18"/>
        </w:rPr>
        <w:t xml:space="preserve">, </w:t>
      </w:r>
      <w:r w:rsidRPr="00EC75B7">
        <w:rPr>
          <w:rFonts w:ascii="Verdana" w:hAnsi="Verdana"/>
          <w:i/>
          <w:sz w:val="18"/>
          <w:szCs w:val="18"/>
        </w:rPr>
        <w:t>Pipitatherum virescens</w:t>
      </w:r>
      <w:r w:rsidRPr="00EC75B7">
        <w:rPr>
          <w:rFonts w:ascii="Verdana" w:hAnsi="Verdana"/>
          <w:sz w:val="18"/>
          <w:szCs w:val="18"/>
        </w:rPr>
        <w:t>.</w:t>
      </w:r>
    </w:p>
    <w:p w14:paraId="611AA457" w14:textId="36FF2A88" w:rsidR="008715BE" w:rsidRPr="00EC75B7" w:rsidRDefault="00000000" w:rsidP="005F35E4">
      <w:pPr>
        <w:pStyle w:val="BodyText"/>
        <w:spacing w:line="360" w:lineRule="auto"/>
        <w:ind w:left="763" w:right="821"/>
        <w:jc w:val="both"/>
        <w:rPr>
          <w:rFonts w:ascii="Verdana" w:hAnsi="Verdana"/>
        </w:rPr>
      </w:pPr>
      <w:r w:rsidRPr="00EC75B7">
        <w:rPr>
          <w:rFonts w:ascii="Verdana" w:hAnsi="Verdana"/>
        </w:rPr>
        <w:t xml:space="preserve">The site is home to plant species protected at European level - Annex II of the </w:t>
      </w:r>
      <w:r w:rsidRPr="00EC75B7">
        <w:rPr>
          <w:rFonts w:ascii="Verdana" w:hAnsi="Verdana"/>
          <w:spacing w:val="-2"/>
        </w:rPr>
        <w:t xml:space="preserve">Habitats </w:t>
      </w:r>
      <w:r w:rsidRPr="00EC75B7">
        <w:rPr>
          <w:rFonts w:ascii="Verdana" w:hAnsi="Verdana"/>
        </w:rPr>
        <w:t xml:space="preserve">Directive.-: </w:t>
      </w:r>
      <w:r w:rsidRPr="00EC75B7">
        <w:rPr>
          <w:rFonts w:ascii="Verdana" w:hAnsi="Verdana"/>
          <w:i/>
        </w:rPr>
        <w:t>Centaurea jankae</w:t>
      </w:r>
      <w:r w:rsidRPr="00EC75B7">
        <w:rPr>
          <w:rFonts w:ascii="Verdana" w:hAnsi="Verdana"/>
        </w:rPr>
        <w:t xml:space="preserve">, </w:t>
      </w:r>
      <w:r w:rsidRPr="00EC75B7">
        <w:rPr>
          <w:rFonts w:ascii="Verdana" w:hAnsi="Verdana"/>
          <w:i/>
        </w:rPr>
        <w:t>Himantoglossum caprinum</w:t>
      </w:r>
      <w:r w:rsidRPr="00EC75B7">
        <w:rPr>
          <w:rFonts w:ascii="Verdana" w:hAnsi="Verdana"/>
        </w:rPr>
        <w:t xml:space="preserve">, five-fingered cinquefoil </w:t>
      </w:r>
      <w:r w:rsidRPr="00EC75B7">
        <w:rPr>
          <w:rFonts w:ascii="Verdana" w:hAnsi="Verdana"/>
          <w:i/>
        </w:rPr>
        <w:t>Potentilla emilii-popii</w:t>
      </w:r>
      <w:r w:rsidRPr="00EC75B7">
        <w:rPr>
          <w:rFonts w:ascii="Verdana" w:hAnsi="Verdana"/>
        </w:rPr>
        <w:t xml:space="preserve">, </w:t>
      </w:r>
      <w:r w:rsidRPr="00EC75B7">
        <w:rPr>
          <w:rFonts w:ascii="Verdana" w:hAnsi="Verdana"/>
          <w:spacing w:val="-2"/>
        </w:rPr>
        <w:t>Echium russicum snakehead</w:t>
      </w:r>
      <w:r w:rsidR="005F35E4">
        <w:rPr>
          <w:rFonts w:ascii="Verdana" w:hAnsi="Verdana"/>
          <w:spacing w:val="-2"/>
        </w:rPr>
        <w:t xml:space="preserve"> </w:t>
      </w:r>
      <w:r w:rsidRPr="00EC75B7">
        <w:rPr>
          <w:rFonts w:ascii="Verdana" w:hAnsi="Verdana"/>
          <w:i/>
        </w:rPr>
        <w:t xml:space="preserve">Echium </w:t>
      </w:r>
      <w:r w:rsidRPr="00EC75B7">
        <w:rPr>
          <w:rFonts w:ascii="Verdana" w:hAnsi="Verdana"/>
          <w:i/>
          <w:spacing w:val="-2"/>
        </w:rPr>
        <w:t>russicum</w:t>
      </w:r>
      <w:r w:rsidRPr="00EC75B7">
        <w:rPr>
          <w:rFonts w:ascii="Verdana" w:hAnsi="Verdana"/>
          <w:spacing w:val="-2"/>
        </w:rPr>
        <w:t>.</w:t>
      </w:r>
    </w:p>
    <w:p w14:paraId="561F95DD" w14:textId="77777777" w:rsidR="008715BE" w:rsidRPr="00EC75B7" w:rsidRDefault="00000000">
      <w:pPr>
        <w:pStyle w:val="BodyText"/>
        <w:spacing w:line="357" w:lineRule="auto"/>
        <w:ind w:left="765" w:right="848"/>
        <w:jc w:val="both"/>
        <w:rPr>
          <w:rFonts w:ascii="Verdana" w:hAnsi="Verdana"/>
        </w:rPr>
      </w:pPr>
      <w:r w:rsidRPr="00EC75B7">
        <w:rPr>
          <w:rFonts w:ascii="Verdana" w:hAnsi="Verdana"/>
        </w:rPr>
        <w:t xml:space="preserve">Among the invertebrate species, the Lepidoptera order of butterflies is best represented. Of these, six butterflies are protected at European level by the Habitats Directive: </w:t>
      </w:r>
      <w:r w:rsidRPr="00EC75B7">
        <w:rPr>
          <w:rFonts w:ascii="Verdana" w:hAnsi="Verdana"/>
          <w:i/>
        </w:rPr>
        <w:t>Lycaena dispar</w:t>
      </w:r>
      <w:r w:rsidRPr="00EC75B7">
        <w:rPr>
          <w:rFonts w:ascii="Verdana" w:hAnsi="Verdana"/>
        </w:rPr>
        <w:t xml:space="preserve">, a vulnerable species that prefers habitats with swampy or wet oak forests rich in </w:t>
      </w:r>
      <w:r w:rsidRPr="00EC75B7">
        <w:rPr>
          <w:rFonts w:ascii="Verdana" w:hAnsi="Verdana"/>
          <w:i/>
        </w:rPr>
        <w:t>Polygonum bistorta</w:t>
      </w:r>
      <w:r w:rsidRPr="00EC75B7">
        <w:rPr>
          <w:rFonts w:ascii="Verdana" w:hAnsi="Verdana"/>
        </w:rPr>
        <w:t xml:space="preserve">, a plant that is the insect's staple food; the stag beetle </w:t>
      </w:r>
      <w:r w:rsidRPr="00EC75B7">
        <w:rPr>
          <w:rFonts w:ascii="Verdana" w:hAnsi="Verdana"/>
          <w:i/>
        </w:rPr>
        <w:t>Lucanus cervus</w:t>
      </w:r>
      <w:r w:rsidRPr="00EC75B7">
        <w:rPr>
          <w:rFonts w:ascii="Verdana" w:hAnsi="Verdana"/>
        </w:rPr>
        <w:t xml:space="preserve">, whose presence is determined by the old trees in the Dumbrăveni forest; the moth </w:t>
      </w:r>
      <w:r w:rsidRPr="00EC75B7">
        <w:rPr>
          <w:rFonts w:ascii="Verdana" w:hAnsi="Verdana"/>
          <w:i/>
        </w:rPr>
        <w:t>Eriogaster catax</w:t>
      </w:r>
      <w:r w:rsidRPr="00EC75B7">
        <w:rPr>
          <w:rFonts w:ascii="Verdana" w:hAnsi="Verdana"/>
        </w:rPr>
        <w:t xml:space="preserve">, a species very rarely reported in Romania; two other species are </w:t>
      </w:r>
      <w:r w:rsidRPr="00EC75B7">
        <w:rPr>
          <w:rFonts w:ascii="Verdana" w:hAnsi="Verdana"/>
          <w:i/>
        </w:rPr>
        <w:t xml:space="preserve">Catopta thrips </w:t>
      </w:r>
      <w:r w:rsidRPr="00EC75B7">
        <w:rPr>
          <w:rFonts w:ascii="Verdana" w:hAnsi="Verdana"/>
        </w:rPr>
        <w:t xml:space="preserve">and </w:t>
      </w:r>
      <w:r w:rsidRPr="00EC75B7">
        <w:rPr>
          <w:rFonts w:ascii="Verdana" w:hAnsi="Verdana"/>
          <w:i/>
        </w:rPr>
        <w:t>Asthena anseraria</w:t>
      </w:r>
      <w:r w:rsidRPr="00EC75B7">
        <w:rPr>
          <w:rFonts w:ascii="Verdana" w:hAnsi="Verdana"/>
        </w:rPr>
        <w:t>.</w:t>
      </w:r>
    </w:p>
    <w:p w14:paraId="14C52D95" w14:textId="77777777" w:rsidR="008715BE" w:rsidRPr="00EC75B7" w:rsidRDefault="00000000">
      <w:pPr>
        <w:pStyle w:val="BodyText"/>
        <w:spacing w:before="124" w:line="357" w:lineRule="auto"/>
        <w:ind w:left="765" w:right="843"/>
        <w:jc w:val="both"/>
        <w:rPr>
          <w:rFonts w:ascii="Verdana" w:hAnsi="Verdana"/>
        </w:rPr>
      </w:pPr>
      <w:r w:rsidRPr="00EC75B7">
        <w:rPr>
          <w:rFonts w:ascii="Verdana" w:hAnsi="Verdana"/>
        </w:rPr>
        <w:t xml:space="preserve">Among the reptile and amphibian species present in the site, we mention the Dobrogea crested newt </w:t>
      </w:r>
      <w:r w:rsidRPr="00EC75B7">
        <w:rPr>
          <w:rFonts w:ascii="Verdana" w:hAnsi="Verdana"/>
          <w:i/>
        </w:rPr>
        <w:t>Triturus dobrogicus</w:t>
      </w:r>
      <w:r w:rsidRPr="00EC75B7">
        <w:rPr>
          <w:rFonts w:ascii="Verdana" w:hAnsi="Verdana"/>
        </w:rPr>
        <w:t xml:space="preserve">, the red-bellied toad </w:t>
      </w:r>
      <w:r w:rsidRPr="00EC75B7">
        <w:rPr>
          <w:rFonts w:ascii="Verdana" w:hAnsi="Verdana"/>
          <w:i/>
        </w:rPr>
        <w:t>Bombina bombina</w:t>
      </w:r>
      <w:r w:rsidRPr="00EC75B7">
        <w:rPr>
          <w:rFonts w:ascii="Verdana" w:hAnsi="Verdana"/>
        </w:rPr>
        <w:t xml:space="preserve">, the European pond turtle </w:t>
      </w:r>
      <w:r w:rsidRPr="00EC75B7">
        <w:rPr>
          <w:rFonts w:ascii="Verdana" w:hAnsi="Verdana"/>
          <w:i/>
        </w:rPr>
        <w:t>Emys orbicularis</w:t>
      </w:r>
      <w:r w:rsidRPr="00EC75B7">
        <w:rPr>
          <w:rFonts w:ascii="Verdana" w:hAnsi="Verdana"/>
        </w:rPr>
        <w:t xml:space="preserve">, and others. One of the most important species is the Dobrogea tortoise </w:t>
      </w:r>
      <w:r w:rsidRPr="00EC75B7">
        <w:rPr>
          <w:rFonts w:ascii="Verdana" w:hAnsi="Verdana"/>
          <w:i/>
        </w:rPr>
        <w:t>Testudo graeca</w:t>
      </w:r>
      <w:r w:rsidRPr="00EC75B7">
        <w:rPr>
          <w:rFonts w:ascii="Verdana" w:hAnsi="Verdana"/>
        </w:rPr>
        <w:t>, declared a natural monument and strictly protected by law.</w:t>
      </w:r>
      <w:r w:rsidRPr="00EC75B7">
        <w:rPr>
          <w:rFonts w:ascii="Verdana" w:hAnsi="Verdana"/>
          <w:spacing w:val="-10"/>
        </w:rPr>
        <w:t xml:space="preserve"> </w:t>
      </w:r>
      <w:r w:rsidRPr="00EC75B7">
        <w:rPr>
          <w:rFonts w:ascii="Verdana" w:hAnsi="Verdana"/>
        </w:rPr>
        <w:t>Currently, the population of this species is in sharp decline.</w:t>
      </w:r>
    </w:p>
    <w:p w14:paraId="6B726EFD" w14:textId="77777777" w:rsidR="008715BE" w:rsidRPr="00EC75B7" w:rsidRDefault="00000000">
      <w:pPr>
        <w:pStyle w:val="BodyText"/>
        <w:spacing w:before="123" w:line="357" w:lineRule="auto"/>
        <w:ind w:left="765" w:right="861"/>
        <w:jc w:val="both"/>
        <w:rPr>
          <w:rFonts w:ascii="Verdana" w:hAnsi="Verdana"/>
        </w:rPr>
      </w:pPr>
      <w:r w:rsidRPr="00EC75B7">
        <w:rPr>
          <w:rFonts w:ascii="Verdana" w:hAnsi="Verdana"/>
        </w:rPr>
        <w:t>This site is home to a rich birdlife, with over 100 species of birds identified. Some bird species have large populations, such as birds of prey, larks, woodpeckers, nightjars, and others. For this reason, it has been designated a Special Protection Area for birds.</w:t>
      </w:r>
    </w:p>
    <w:p w14:paraId="736940BA" w14:textId="04E5536F" w:rsidR="008715BE" w:rsidRPr="00EC75B7" w:rsidRDefault="00000000" w:rsidP="005F35E4">
      <w:pPr>
        <w:pStyle w:val="BodyText"/>
        <w:spacing w:before="123" w:line="357" w:lineRule="auto"/>
        <w:ind w:left="765" w:right="861"/>
        <w:jc w:val="both"/>
        <w:rPr>
          <w:rFonts w:ascii="Verdana" w:hAnsi="Verdana"/>
        </w:rPr>
      </w:pPr>
      <w:r w:rsidRPr="00EC75B7">
        <w:rPr>
          <w:rFonts w:ascii="Verdana" w:hAnsi="Verdana"/>
        </w:rPr>
        <w:t xml:space="preserve">The mammal fauna includes a significant number of species, including the otter </w:t>
      </w:r>
      <w:r w:rsidRPr="005F35E4">
        <w:rPr>
          <w:rFonts w:ascii="Verdana" w:hAnsi="Verdana"/>
        </w:rPr>
        <w:t>Lutra lutra</w:t>
      </w:r>
      <w:r w:rsidRPr="00EC75B7">
        <w:rPr>
          <w:rFonts w:ascii="Verdana" w:hAnsi="Verdana"/>
        </w:rPr>
        <w:t xml:space="preserve">, </w:t>
      </w:r>
      <w:r w:rsidRPr="005F35E4">
        <w:rPr>
          <w:rFonts w:ascii="Verdana" w:hAnsi="Verdana"/>
        </w:rPr>
        <w:t>the European ground squirrel</w:t>
      </w:r>
      <w:r w:rsidR="005F35E4" w:rsidRPr="005F35E4">
        <w:rPr>
          <w:rFonts w:ascii="Verdana" w:hAnsi="Verdana"/>
        </w:rPr>
        <w:t xml:space="preserve"> </w:t>
      </w:r>
      <w:r w:rsidRPr="005F35E4">
        <w:rPr>
          <w:rFonts w:ascii="Verdana" w:hAnsi="Verdana"/>
          <w:i/>
          <w:iCs/>
        </w:rPr>
        <w:t>Spermophilus citellus</w:t>
      </w:r>
      <w:r w:rsidRPr="005F35E4">
        <w:rPr>
          <w:rFonts w:ascii="Verdana" w:hAnsi="Verdana"/>
        </w:rPr>
        <w:t xml:space="preserve">, </w:t>
      </w:r>
      <w:r w:rsidRPr="00EC75B7">
        <w:rPr>
          <w:rFonts w:ascii="Verdana" w:hAnsi="Verdana"/>
        </w:rPr>
        <w:t xml:space="preserve">and many species of </w:t>
      </w:r>
      <w:r w:rsidRPr="005F35E4">
        <w:rPr>
          <w:rFonts w:ascii="Verdana" w:hAnsi="Verdana"/>
        </w:rPr>
        <w:t>bats.</w:t>
      </w:r>
    </w:p>
    <w:p w14:paraId="27E51D4D" w14:textId="77777777" w:rsidR="008715BE" w:rsidRPr="00EC75B7" w:rsidRDefault="008715BE">
      <w:pPr>
        <w:jc w:val="both"/>
        <w:rPr>
          <w:rFonts w:ascii="Verdana" w:hAnsi="Verdana"/>
          <w:sz w:val="18"/>
          <w:szCs w:val="18"/>
        </w:rPr>
        <w:sectPr w:rsidR="008715BE" w:rsidRPr="00EC75B7">
          <w:pgSz w:w="11910" w:h="16840"/>
          <w:pgMar w:top="1160" w:right="141" w:bottom="1020" w:left="425" w:header="766" w:footer="797" w:gutter="0"/>
          <w:cols w:space="708"/>
        </w:sectPr>
      </w:pPr>
    </w:p>
    <w:p w14:paraId="1BA1E506" w14:textId="2CDD30B3" w:rsidR="008715BE" w:rsidRPr="00EC75B7" w:rsidRDefault="00E7611D" w:rsidP="00E7611D">
      <w:pPr>
        <w:pStyle w:val="BodyText"/>
        <w:spacing w:before="13" w:after="1"/>
        <w:jc w:val="center"/>
        <w:rPr>
          <w:rFonts w:ascii="Verdana" w:hAnsi="Verdana"/>
        </w:rPr>
      </w:pPr>
      <w:r>
        <w:rPr>
          <w:noProof/>
        </w:rPr>
        <w:lastRenderedPageBreak/>
        <w:drawing>
          <wp:inline distT="0" distB="0" distL="0" distR="0" wp14:anchorId="32F6DAC1" wp14:editId="310841BF">
            <wp:extent cx="5937473" cy="4199255"/>
            <wp:effectExtent l="0" t="0" r="6350" b="0"/>
            <wp:docPr id="21135178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8470" cy="4199960"/>
                    </a:xfrm>
                    <a:prstGeom prst="rect">
                      <a:avLst/>
                    </a:prstGeom>
                    <a:noFill/>
                    <a:ln>
                      <a:noFill/>
                    </a:ln>
                  </pic:spPr>
                </pic:pic>
              </a:graphicData>
            </a:graphic>
          </wp:inline>
        </w:drawing>
      </w:r>
    </w:p>
    <w:p w14:paraId="2CDBC6B0" w14:textId="17EE59F5" w:rsidR="008715BE" w:rsidRPr="00EC75B7" w:rsidRDefault="008715BE">
      <w:pPr>
        <w:ind w:left="1029"/>
        <w:rPr>
          <w:rFonts w:ascii="Verdana" w:hAnsi="Verdana"/>
          <w:sz w:val="18"/>
          <w:szCs w:val="18"/>
        </w:rPr>
      </w:pPr>
    </w:p>
    <w:p w14:paraId="06620790" w14:textId="77777777" w:rsidR="008715BE" w:rsidRPr="00EC75B7" w:rsidRDefault="008715BE">
      <w:pPr>
        <w:pStyle w:val="BodyText"/>
        <w:spacing w:before="11"/>
        <w:rPr>
          <w:rFonts w:ascii="Verdana" w:hAnsi="Verdana"/>
        </w:rPr>
      </w:pPr>
    </w:p>
    <w:p w14:paraId="79C8C692" w14:textId="77777777" w:rsidR="008715BE" w:rsidRPr="00EC75B7" w:rsidRDefault="00000000">
      <w:pPr>
        <w:ind w:left="4892" w:right="1059" w:hanging="3915"/>
        <w:rPr>
          <w:rFonts w:ascii="Verdana" w:hAnsi="Verdana"/>
          <w:b/>
          <w:sz w:val="18"/>
          <w:szCs w:val="18"/>
        </w:rPr>
      </w:pPr>
      <w:r w:rsidRPr="00EC75B7">
        <w:rPr>
          <w:rFonts w:ascii="Verdana" w:hAnsi="Verdana"/>
          <w:b/>
          <w:color w:val="009DEF"/>
          <w:sz w:val="18"/>
          <w:szCs w:val="18"/>
        </w:rPr>
        <w:t>Figure 12 Location of the project in relation to ROSAC0071(ROSCI0071) Dumbrăveni - Valea Urluia - Lacul Vederoasa</w:t>
      </w:r>
    </w:p>
    <w:p w14:paraId="2676D623" w14:textId="77777777" w:rsidR="008715BE" w:rsidRPr="00EC75B7" w:rsidRDefault="008715BE">
      <w:pPr>
        <w:pStyle w:val="BodyText"/>
        <w:spacing w:before="43"/>
        <w:rPr>
          <w:rFonts w:ascii="Verdana" w:hAnsi="Verdana"/>
          <w:b/>
        </w:rPr>
      </w:pPr>
    </w:p>
    <w:p w14:paraId="3801C35F" w14:textId="77777777" w:rsidR="008715BE" w:rsidRPr="00EC75B7" w:rsidRDefault="00000000">
      <w:pPr>
        <w:pStyle w:val="Heading5"/>
        <w:numPr>
          <w:ilvl w:val="0"/>
          <w:numId w:val="98"/>
        </w:numPr>
        <w:tabs>
          <w:tab w:val="left" w:pos="1512"/>
        </w:tabs>
        <w:ind w:left="1512" w:hanging="358"/>
        <w:rPr>
          <w:rFonts w:ascii="Verdana" w:hAnsi="Verdana"/>
        </w:rPr>
      </w:pPr>
      <w:r w:rsidRPr="00EC75B7">
        <w:rPr>
          <w:rFonts w:ascii="Verdana" w:hAnsi="Verdana"/>
        </w:rPr>
        <w:t xml:space="preserve">ROSPA0036 </w:t>
      </w:r>
      <w:r w:rsidRPr="00EC75B7">
        <w:rPr>
          <w:rFonts w:ascii="Verdana" w:hAnsi="Verdana"/>
          <w:spacing w:val="-2"/>
        </w:rPr>
        <w:t>Dumbrăveni</w:t>
      </w:r>
    </w:p>
    <w:p w14:paraId="36B0F85E" w14:textId="77777777" w:rsidR="008715BE" w:rsidRPr="00EC75B7" w:rsidRDefault="008715BE">
      <w:pPr>
        <w:pStyle w:val="BodyText"/>
        <w:rPr>
          <w:rFonts w:ascii="Verdana" w:hAnsi="Verdana"/>
          <w:b/>
        </w:rPr>
      </w:pPr>
    </w:p>
    <w:p w14:paraId="3E34F45B" w14:textId="77777777" w:rsidR="008715BE" w:rsidRPr="00EC75B7" w:rsidRDefault="008715BE">
      <w:pPr>
        <w:pStyle w:val="BodyText"/>
        <w:spacing w:before="49"/>
        <w:rPr>
          <w:rFonts w:ascii="Verdana" w:hAnsi="Verdana"/>
          <w:b/>
        </w:rPr>
      </w:pPr>
    </w:p>
    <w:p w14:paraId="108F2878" w14:textId="77777777" w:rsidR="008715BE" w:rsidRPr="00EC75B7" w:rsidRDefault="00000000">
      <w:pPr>
        <w:pStyle w:val="BodyText"/>
        <w:spacing w:line="360" w:lineRule="auto"/>
        <w:ind w:left="765" w:right="857"/>
        <w:jc w:val="both"/>
        <w:rPr>
          <w:rFonts w:ascii="Verdana" w:hAnsi="Verdana"/>
        </w:rPr>
      </w:pPr>
      <w:r w:rsidRPr="00EC75B7">
        <w:rPr>
          <w:rFonts w:ascii="Verdana" w:hAnsi="Verdana"/>
        </w:rPr>
        <w:t>A special bird protection area was established by Government Decision No. 1284/2007 on the declaration of special bird protection areas as an integral part of the European ecological network Natura 2000 in Romania, with subsequent amendments and additions.</w:t>
      </w:r>
    </w:p>
    <w:p w14:paraId="5F103C2A" w14:textId="77777777" w:rsidR="008715BE" w:rsidRPr="00EC75B7" w:rsidRDefault="00000000">
      <w:pPr>
        <w:pStyle w:val="BodyText"/>
        <w:spacing w:before="118" w:line="357" w:lineRule="auto"/>
        <w:ind w:left="765" w:right="860"/>
        <w:jc w:val="both"/>
        <w:rPr>
          <w:rFonts w:ascii="Verdana" w:hAnsi="Verdana"/>
        </w:rPr>
      </w:pPr>
      <w:r w:rsidRPr="00EC75B7">
        <w:rPr>
          <w:rFonts w:ascii="Verdana" w:hAnsi="Verdana"/>
        </w:rPr>
        <w:t xml:space="preserve">ROSPA0036 Dumbrăveni is of particular importance due to its 22 bird species of European conservation interest, being important because two globally threatened species are present here, the European roller </w:t>
      </w:r>
      <w:r w:rsidRPr="00EC75B7">
        <w:rPr>
          <w:rFonts w:ascii="Verdana" w:hAnsi="Verdana"/>
          <w:i/>
        </w:rPr>
        <w:t>Coracias garrulus</w:t>
      </w:r>
      <w:r w:rsidRPr="00EC75B7">
        <w:rPr>
          <w:rFonts w:ascii="Verdana" w:hAnsi="Verdana"/>
        </w:rPr>
        <w:t xml:space="preserve">, which nests here, and the Montagu's harrier </w:t>
      </w:r>
      <w:r w:rsidRPr="00EC75B7">
        <w:rPr>
          <w:rFonts w:ascii="Verdana" w:hAnsi="Verdana"/>
          <w:i/>
        </w:rPr>
        <w:t>Circus macrourus</w:t>
      </w:r>
      <w:r w:rsidRPr="00EC75B7">
        <w:rPr>
          <w:rFonts w:ascii="Verdana" w:hAnsi="Verdana"/>
        </w:rPr>
        <w:t>.</w:t>
      </w:r>
    </w:p>
    <w:p w14:paraId="0CE0F66C" w14:textId="77777777" w:rsidR="008715BE" w:rsidRPr="00EC75B7" w:rsidRDefault="00000000">
      <w:pPr>
        <w:spacing w:before="122" w:line="357" w:lineRule="auto"/>
        <w:ind w:left="765" w:right="852"/>
        <w:jc w:val="both"/>
        <w:rPr>
          <w:rFonts w:ascii="Verdana" w:hAnsi="Verdana"/>
          <w:sz w:val="18"/>
          <w:szCs w:val="18"/>
        </w:rPr>
      </w:pPr>
      <w:r w:rsidRPr="00EC75B7">
        <w:rPr>
          <w:rFonts w:ascii="Verdana" w:hAnsi="Verdana"/>
          <w:sz w:val="18"/>
          <w:szCs w:val="18"/>
        </w:rPr>
        <w:t xml:space="preserve">The site is also important because it is a major nesting area for species threatened at EU level, such </w:t>
      </w:r>
      <w:r w:rsidRPr="00EC75B7">
        <w:rPr>
          <w:rFonts w:ascii="Verdana" w:hAnsi="Verdana"/>
          <w:i/>
          <w:sz w:val="18"/>
          <w:szCs w:val="18"/>
        </w:rPr>
        <w:t>as the Syrian woodpecker (Dendrocopos syriacus), the lesser grey shrike (Lanius minor), the booted eagle (Hieraaetus pennatus), the ortolan bunting (Emberiza hortulana), the woodlark (Lullula arborea), the Levant sparrowhawk (Accipiter brevipes), the black kite (Milvus migrans) and the long-legged buzzard (Buteo rufinus)</w:t>
      </w:r>
      <w:r w:rsidRPr="00EC75B7">
        <w:rPr>
          <w:rFonts w:ascii="Verdana" w:hAnsi="Verdana"/>
          <w:sz w:val="18"/>
          <w:szCs w:val="18"/>
        </w:rPr>
        <w:t>.</w:t>
      </w:r>
      <w:r w:rsidRPr="00EC75B7">
        <w:rPr>
          <w:rFonts w:ascii="Verdana" w:hAnsi="Verdana"/>
          <w:spacing w:val="40"/>
          <w:sz w:val="18"/>
          <w:szCs w:val="18"/>
        </w:rPr>
        <w:t xml:space="preserve"> </w:t>
      </w:r>
      <w:r w:rsidRPr="00EC75B7">
        <w:rPr>
          <w:rFonts w:ascii="Verdana" w:hAnsi="Verdana"/>
          <w:sz w:val="18"/>
          <w:szCs w:val="18"/>
        </w:rPr>
        <w:t>The site is particularly important during the migration period for birds of prey.</w:t>
      </w:r>
    </w:p>
    <w:p w14:paraId="2D5A3493" w14:textId="77777777" w:rsidR="008715BE" w:rsidRPr="00EC75B7" w:rsidRDefault="00000000">
      <w:pPr>
        <w:pStyle w:val="BodyText"/>
        <w:spacing w:before="124" w:line="357" w:lineRule="auto"/>
        <w:ind w:left="765" w:right="846"/>
        <w:jc w:val="both"/>
        <w:rPr>
          <w:rFonts w:ascii="Verdana" w:hAnsi="Verdana"/>
        </w:rPr>
      </w:pPr>
      <w:r w:rsidRPr="00EC75B7">
        <w:rPr>
          <w:rFonts w:ascii="Verdana" w:hAnsi="Verdana"/>
        </w:rPr>
        <w:t>ROSPA0036 Dumbrăveni, covering an area of 2,056 ha, overlaps with ROSCI0071 Dumbraveni-Valea Urluia-Lacul Vederoasa and Pădurea Dumbrăveni and is located in the following localities: Șipotele, Tufani, Furnica, Dumbrăveni, Olteni.</w:t>
      </w:r>
    </w:p>
    <w:p w14:paraId="789FACBD" w14:textId="77777777" w:rsidR="008715BE" w:rsidRPr="00EC75B7" w:rsidRDefault="00000000">
      <w:pPr>
        <w:pStyle w:val="BodyText"/>
        <w:spacing w:before="121" w:line="357" w:lineRule="auto"/>
        <w:ind w:left="765" w:right="849"/>
        <w:jc w:val="both"/>
        <w:rPr>
          <w:rFonts w:ascii="Verdana" w:hAnsi="Verdana"/>
        </w:rPr>
      </w:pPr>
      <w:r w:rsidRPr="00EC75B7">
        <w:rPr>
          <w:rFonts w:ascii="Verdana" w:hAnsi="Verdana"/>
        </w:rPr>
        <w:t xml:space="preserve">From an avifaunal point of view, the Dumbrăveni Forest - together with its surroundings - is home to significant populations of protected bird species. The following categories have been identified within the site: 23 species listed in Annex 1 of the Birds Directive; 66 migratory species listed in the annexes to the </w:t>
      </w:r>
      <w:r w:rsidRPr="00EC75B7">
        <w:rPr>
          <w:rFonts w:ascii="Verdana" w:hAnsi="Verdana"/>
        </w:rPr>
        <w:lastRenderedPageBreak/>
        <w:t>Bonn Convention on Migratory Species; 2 globally endangered species.</w:t>
      </w:r>
    </w:p>
    <w:p w14:paraId="0335EE63" w14:textId="77777777" w:rsidR="008715BE" w:rsidRPr="00EC75B7" w:rsidRDefault="008715BE">
      <w:pPr>
        <w:pStyle w:val="BodyText"/>
        <w:spacing w:before="46"/>
        <w:rPr>
          <w:rFonts w:ascii="Verdana" w:hAnsi="Verdana"/>
        </w:rPr>
      </w:pPr>
    </w:p>
    <w:p w14:paraId="4706F361" w14:textId="77777777" w:rsidR="008715BE" w:rsidRPr="00EC75B7" w:rsidRDefault="00000000">
      <w:pPr>
        <w:spacing w:before="1" w:line="357" w:lineRule="auto"/>
        <w:ind w:left="765" w:right="846"/>
        <w:jc w:val="both"/>
        <w:rPr>
          <w:rFonts w:ascii="Verdana" w:hAnsi="Verdana"/>
          <w:sz w:val="18"/>
          <w:szCs w:val="18"/>
        </w:rPr>
      </w:pPr>
      <w:r w:rsidRPr="00EC75B7">
        <w:rPr>
          <w:rFonts w:ascii="Verdana" w:hAnsi="Verdana"/>
          <w:sz w:val="18"/>
          <w:szCs w:val="18"/>
        </w:rPr>
        <w:t xml:space="preserve">The protected area is an important nesting site for numerous species, such as the Syrian woodpecker </w:t>
      </w:r>
      <w:r w:rsidRPr="00EC75B7">
        <w:rPr>
          <w:rFonts w:ascii="Verdana" w:hAnsi="Verdana"/>
          <w:i/>
          <w:sz w:val="18"/>
          <w:szCs w:val="18"/>
        </w:rPr>
        <w:t>Dendrocopos syriacus</w:t>
      </w:r>
      <w:r w:rsidRPr="00EC75B7">
        <w:rPr>
          <w:rFonts w:ascii="Verdana" w:hAnsi="Verdana"/>
          <w:sz w:val="18"/>
          <w:szCs w:val="18"/>
        </w:rPr>
        <w:t xml:space="preserve">, the ortolan bunting </w:t>
      </w:r>
      <w:r w:rsidRPr="00EC75B7">
        <w:rPr>
          <w:rFonts w:ascii="Verdana" w:hAnsi="Verdana"/>
          <w:i/>
          <w:sz w:val="18"/>
          <w:szCs w:val="18"/>
        </w:rPr>
        <w:t>Emberiza hortulana</w:t>
      </w:r>
      <w:r w:rsidRPr="00EC75B7">
        <w:rPr>
          <w:rFonts w:ascii="Verdana" w:hAnsi="Verdana"/>
          <w:sz w:val="18"/>
          <w:szCs w:val="18"/>
        </w:rPr>
        <w:t xml:space="preserve">, the lesser grey shrike </w:t>
      </w:r>
      <w:r w:rsidRPr="00EC75B7">
        <w:rPr>
          <w:rFonts w:ascii="Verdana" w:hAnsi="Verdana"/>
          <w:i/>
          <w:sz w:val="18"/>
          <w:szCs w:val="18"/>
        </w:rPr>
        <w:t>Lanius minor</w:t>
      </w:r>
      <w:r w:rsidRPr="00EC75B7">
        <w:rPr>
          <w:rFonts w:ascii="Verdana" w:hAnsi="Verdana"/>
          <w:sz w:val="18"/>
          <w:szCs w:val="18"/>
        </w:rPr>
        <w:t xml:space="preserve">, the Levant sparrowhawk </w:t>
      </w:r>
      <w:r w:rsidRPr="00EC75B7">
        <w:rPr>
          <w:rFonts w:ascii="Verdana" w:hAnsi="Verdana"/>
          <w:i/>
          <w:sz w:val="18"/>
          <w:szCs w:val="18"/>
        </w:rPr>
        <w:t>Accipiter brevipes</w:t>
      </w:r>
      <w:r w:rsidRPr="00EC75B7">
        <w:rPr>
          <w:rFonts w:ascii="Verdana" w:hAnsi="Verdana"/>
          <w:sz w:val="18"/>
          <w:szCs w:val="18"/>
        </w:rPr>
        <w:t xml:space="preserve">, the tawny pipit </w:t>
      </w:r>
      <w:r w:rsidRPr="00EC75B7">
        <w:rPr>
          <w:rFonts w:ascii="Verdana" w:hAnsi="Verdana"/>
          <w:i/>
          <w:sz w:val="18"/>
          <w:szCs w:val="18"/>
        </w:rPr>
        <w:t>Anthus campestris</w:t>
      </w:r>
      <w:r w:rsidRPr="00EC75B7">
        <w:rPr>
          <w:rFonts w:ascii="Verdana" w:hAnsi="Verdana"/>
          <w:sz w:val="18"/>
          <w:szCs w:val="18"/>
        </w:rPr>
        <w:t xml:space="preserve">, the hen harrier </w:t>
      </w:r>
      <w:r w:rsidRPr="00EC75B7">
        <w:rPr>
          <w:rFonts w:ascii="Verdana" w:hAnsi="Verdana"/>
          <w:i/>
          <w:sz w:val="18"/>
          <w:szCs w:val="18"/>
        </w:rPr>
        <w:t>Circus cyaneus</w:t>
      </w:r>
      <w:r w:rsidRPr="00EC75B7">
        <w:rPr>
          <w:rFonts w:ascii="Verdana" w:hAnsi="Verdana"/>
          <w:sz w:val="18"/>
          <w:szCs w:val="18"/>
        </w:rPr>
        <w:t xml:space="preserve">, the booted eagle </w:t>
      </w:r>
      <w:r w:rsidRPr="00EC75B7">
        <w:rPr>
          <w:rFonts w:ascii="Verdana" w:hAnsi="Verdana"/>
          <w:i/>
          <w:sz w:val="18"/>
          <w:szCs w:val="18"/>
        </w:rPr>
        <w:t>Hieraaetus pennatus</w:t>
      </w:r>
      <w:r w:rsidRPr="00EC75B7">
        <w:rPr>
          <w:rFonts w:ascii="Verdana" w:hAnsi="Verdana"/>
          <w:sz w:val="18"/>
          <w:szCs w:val="18"/>
        </w:rPr>
        <w:t xml:space="preserve">, the Montagu's harrier </w:t>
      </w:r>
      <w:r w:rsidRPr="00EC75B7">
        <w:rPr>
          <w:rFonts w:ascii="Verdana" w:hAnsi="Verdana"/>
          <w:i/>
          <w:sz w:val="18"/>
          <w:szCs w:val="18"/>
        </w:rPr>
        <w:t>Circus macrourus</w:t>
      </w:r>
      <w:r w:rsidRPr="00EC75B7">
        <w:rPr>
          <w:rFonts w:ascii="Verdana" w:hAnsi="Verdana"/>
          <w:sz w:val="18"/>
          <w:szCs w:val="18"/>
        </w:rPr>
        <w:t xml:space="preserve">, and the European roller </w:t>
      </w:r>
      <w:r w:rsidRPr="00EC75B7">
        <w:rPr>
          <w:rFonts w:ascii="Verdana" w:hAnsi="Verdana"/>
          <w:i/>
          <w:sz w:val="18"/>
          <w:szCs w:val="18"/>
        </w:rPr>
        <w:t>Coracias garrulus</w:t>
      </w:r>
      <w:r w:rsidRPr="00EC75B7">
        <w:rPr>
          <w:rFonts w:ascii="Verdana" w:hAnsi="Verdana"/>
          <w:sz w:val="18"/>
          <w:szCs w:val="18"/>
        </w:rPr>
        <w:t>, the latter two species being globally threatened.</w:t>
      </w:r>
    </w:p>
    <w:p w14:paraId="70B3988B" w14:textId="77777777" w:rsidR="008715BE" w:rsidRPr="00EC75B7" w:rsidRDefault="00000000">
      <w:pPr>
        <w:spacing w:before="122" w:line="360" w:lineRule="auto"/>
        <w:ind w:left="765" w:right="846"/>
        <w:jc w:val="both"/>
        <w:rPr>
          <w:rFonts w:ascii="Verdana" w:hAnsi="Verdana"/>
          <w:sz w:val="18"/>
          <w:szCs w:val="18"/>
        </w:rPr>
      </w:pPr>
      <w:r w:rsidRPr="00EC75B7">
        <w:rPr>
          <w:rFonts w:ascii="Verdana" w:hAnsi="Verdana"/>
          <w:sz w:val="18"/>
          <w:szCs w:val="18"/>
        </w:rPr>
        <w:t>The site is crossed during migration by numerous species of birds of prey, including the booted eagle (</w:t>
      </w:r>
      <w:r w:rsidRPr="00EC75B7">
        <w:rPr>
          <w:rFonts w:ascii="Verdana" w:hAnsi="Verdana"/>
          <w:i/>
          <w:sz w:val="18"/>
          <w:szCs w:val="18"/>
        </w:rPr>
        <w:t>Circus pygargus</w:t>
      </w:r>
      <w:r w:rsidRPr="00EC75B7">
        <w:rPr>
          <w:rFonts w:ascii="Verdana" w:hAnsi="Verdana"/>
          <w:sz w:val="18"/>
          <w:szCs w:val="18"/>
        </w:rPr>
        <w:t xml:space="preserve">), the hen harrier </w:t>
      </w:r>
      <w:r w:rsidRPr="00EC75B7">
        <w:rPr>
          <w:rFonts w:ascii="Verdana" w:hAnsi="Verdana"/>
          <w:i/>
          <w:sz w:val="18"/>
          <w:szCs w:val="18"/>
        </w:rPr>
        <w:t>(Circus cyaneus</w:t>
      </w:r>
      <w:r w:rsidRPr="00EC75B7">
        <w:rPr>
          <w:rFonts w:ascii="Verdana" w:hAnsi="Verdana"/>
          <w:sz w:val="18"/>
          <w:szCs w:val="18"/>
        </w:rPr>
        <w:t>), the Montagu's harrier (</w:t>
      </w:r>
      <w:r w:rsidRPr="00EC75B7">
        <w:rPr>
          <w:rFonts w:ascii="Verdana" w:hAnsi="Verdana"/>
          <w:i/>
          <w:sz w:val="18"/>
          <w:szCs w:val="18"/>
        </w:rPr>
        <w:t>Circus macrourus</w:t>
      </w:r>
      <w:r w:rsidRPr="00EC75B7">
        <w:rPr>
          <w:rFonts w:ascii="Verdana" w:hAnsi="Verdana"/>
          <w:sz w:val="18"/>
          <w:szCs w:val="18"/>
        </w:rPr>
        <w:t>), the peregrine falcon (</w:t>
      </w:r>
      <w:r w:rsidRPr="00EC75B7">
        <w:rPr>
          <w:rFonts w:ascii="Verdana" w:hAnsi="Verdana"/>
          <w:i/>
          <w:sz w:val="18"/>
          <w:szCs w:val="18"/>
        </w:rPr>
        <w:t>Falco peregrinus</w:t>
      </w:r>
      <w:r w:rsidRPr="00EC75B7">
        <w:rPr>
          <w:rFonts w:ascii="Verdana" w:hAnsi="Verdana"/>
          <w:sz w:val="18"/>
          <w:szCs w:val="18"/>
        </w:rPr>
        <w:t>), and the black kite (</w:t>
      </w:r>
      <w:r w:rsidRPr="00EC75B7">
        <w:rPr>
          <w:rFonts w:ascii="Verdana" w:hAnsi="Verdana"/>
          <w:i/>
          <w:sz w:val="18"/>
          <w:szCs w:val="18"/>
        </w:rPr>
        <w:t>Milvus migrans</w:t>
      </w:r>
      <w:r w:rsidRPr="00EC75B7">
        <w:rPr>
          <w:rFonts w:ascii="Verdana" w:hAnsi="Verdana"/>
          <w:sz w:val="18"/>
          <w:szCs w:val="18"/>
        </w:rPr>
        <w:t>).</w:t>
      </w:r>
    </w:p>
    <w:p w14:paraId="34F00834" w14:textId="77777777" w:rsidR="008715BE" w:rsidRPr="00EC75B7" w:rsidRDefault="00000000">
      <w:pPr>
        <w:spacing w:before="118" w:line="357" w:lineRule="auto"/>
        <w:ind w:left="765" w:right="845"/>
        <w:jc w:val="both"/>
        <w:rPr>
          <w:rFonts w:ascii="Verdana" w:hAnsi="Verdana"/>
          <w:i/>
          <w:sz w:val="18"/>
          <w:szCs w:val="18"/>
        </w:rPr>
      </w:pPr>
      <w:r w:rsidRPr="00EC75B7">
        <w:rPr>
          <w:rFonts w:ascii="Verdana" w:hAnsi="Verdana"/>
          <w:sz w:val="18"/>
          <w:szCs w:val="18"/>
        </w:rPr>
        <w:t xml:space="preserve">The 22 bird species listed in Annex I to Council Directive 2009/147/EC include: A402 </w:t>
      </w:r>
      <w:r w:rsidRPr="00EC75B7">
        <w:rPr>
          <w:rFonts w:ascii="Verdana" w:hAnsi="Verdana"/>
          <w:i/>
          <w:sz w:val="18"/>
          <w:szCs w:val="18"/>
        </w:rPr>
        <w:t>Accipiter brevipes</w:t>
      </w:r>
      <w:r w:rsidRPr="00EC75B7">
        <w:rPr>
          <w:rFonts w:ascii="Verdana" w:hAnsi="Verdana"/>
          <w:sz w:val="18"/>
          <w:szCs w:val="18"/>
        </w:rPr>
        <w:t xml:space="preserve">, A403 </w:t>
      </w:r>
      <w:r w:rsidRPr="00EC75B7">
        <w:rPr>
          <w:rFonts w:ascii="Verdana" w:hAnsi="Verdana"/>
          <w:i/>
          <w:sz w:val="18"/>
          <w:szCs w:val="18"/>
        </w:rPr>
        <w:t>Buteo rufinus</w:t>
      </w:r>
      <w:r w:rsidRPr="00EC75B7">
        <w:rPr>
          <w:rFonts w:ascii="Verdana" w:hAnsi="Verdana"/>
          <w:sz w:val="18"/>
          <w:szCs w:val="18"/>
        </w:rPr>
        <w:t xml:space="preserve">, A092 </w:t>
      </w:r>
      <w:r w:rsidRPr="00EC75B7">
        <w:rPr>
          <w:rFonts w:ascii="Verdana" w:hAnsi="Verdana"/>
          <w:i/>
          <w:sz w:val="18"/>
          <w:szCs w:val="18"/>
        </w:rPr>
        <w:t>Hieraaetus pennatus</w:t>
      </w:r>
      <w:r w:rsidRPr="00EC75B7">
        <w:rPr>
          <w:rFonts w:ascii="Verdana" w:hAnsi="Verdana"/>
          <w:sz w:val="18"/>
          <w:szCs w:val="18"/>
        </w:rPr>
        <w:t xml:space="preserve">, A231 </w:t>
      </w:r>
      <w:r w:rsidRPr="00EC75B7">
        <w:rPr>
          <w:rFonts w:ascii="Verdana" w:hAnsi="Verdana"/>
          <w:i/>
          <w:sz w:val="18"/>
          <w:szCs w:val="18"/>
        </w:rPr>
        <w:t>Coracias garrulus</w:t>
      </w:r>
      <w:r w:rsidRPr="00EC75B7">
        <w:rPr>
          <w:rFonts w:ascii="Verdana" w:hAnsi="Verdana"/>
          <w:sz w:val="18"/>
          <w:szCs w:val="18"/>
        </w:rPr>
        <w:t xml:space="preserve">, A246 </w:t>
      </w:r>
      <w:r w:rsidRPr="00EC75B7">
        <w:rPr>
          <w:rFonts w:ascii="Verdana" w:hAnsi="Verdana"/>
          <w:i/>
          <w:sz w:val="18"/>
          <w:szCs w:val="18"/>
        </w:rPr>
        <w:t>Lullula arborea</w:t>
      </w:r>
      <w:r w:rsidRPr="00EC75B7">
        <w:rPr>
          <w:rFonts w:ascii="Verdana" w:hAnsi="Verdana"/>
          <w:sz w:val="18"/>
          <w:szCs w:val="18"/>
        </w:rPr>
        <w:t xml:space="preserve">, A339 </w:t>
      </w:r>
      <w:r w:rsidRPr="00EC75B7">
        <w:rPr>
          <w:rFonts w:ascii="Verdana" w:hAnsi="Verdana"/>
          <w:i/>
          <w:sz w:val="18"/>
          <w:szCs w:val="18"/>
        </w:rPr>
        <w:t>Lanius minor</w:t>
      </w:r>
      <w:r w:rsidRPr="00EC75B7">
        <w:rPr>
          <w:rFonts w:ascii="Verdana" w:hAnsi="Verdana"/>
          <w:sz w:val="18"/>
          <w:szCs w:val="18"/>
        </w:rPr>
        <w:t xml:space="preserve">, A379 </w:t>
      </w:r>
      <w:r w:rsidRPr="00EC75B7">
        <w:rPr>
          <w:rFonts w:ascii="Verdana" w:hAnsi="Verdana"/>
          <w:i/>
          <w:sz w:val="18"/>
          <w:szCs w:val="18"/>
        </w:rPr>
        <w:t>Emberiza hortulana</w:t>
      </w:r>
      <w:r w:rsidRPr="00EC75B7">
        <w:rPr>
          <w:rFonts w:ascii="Verdana" w:hAnsi="Verdana"/>
          <w:sz w:val="18"/>
          <w:szCs w:val="18"/>
        </w:rPr>
        <w:t xml:space="preserve">, A084 </w:t>
      </w:r>
      <w:r w:rsidRPr="00EC75B7">
        <w:rPr>
          <w:rFonts w:ascii="Verdana" w:hAnsi="Verdana"/>
          <w:i/>
          <w:sz w:val="18"/>
          <w:szCs w:val="18"/>
        </w:rPr>
        <w:t>Circus pygargus</w:t>
      </w:r>
      <w:r w:rsidRPr="00EC75B7">
        <w:rPr>
          <w:rFonts w:ascii="Verdana" w:hAnsi="Verdana"/>
          <w:sz w:val="18"/>
          <w:szCs w:val="18"/>
        </w:rPr>
        <w:t xml:space="preserve">, A082 </w:t>
      </w:r>
      <w:r w:rsidRPr="00EC75B7">
        <w:rPr>
          <w:rFonts w:ascii="Verdana" w:hAnsi="Verdana"/>
          <w:i/>
          <w:sz w:val="18"/>
          <w:szCs w:val="18"/>
        </w:rPr>
        <w:t>Circus cyaneus</w:t>
      </w:r>
      <w:r w:rsidRPr="00EC75B7">
        <w:rPr>
          <w:rFonts w:ascii="Verdana" w:hAnsi="Verdana"/>
          <w:sz w:val="18"/>
          <w:szCs w:val="18"/>
        </w:rPr>
        <w:t xml:space="preserve">, A083 </w:t>
      </w:r>
      <w:r w:rsidRPr="00EC75B7">
        <w:rPr>
          <w:rFonts w:ascii="Verdana" w:hAnsi="Verdana"/>
          <w:i/>
          <w:sz w:val="18"/>
          <w:szCs w:val="18"/>
        </w:rPr>
        <w:t>Circus macrourus</w:t>
      </w:r>
      <w:r w:rsidRPr="00EC75B7">
        <w:rPr>
          <w:rFonts w:ascii="Verdana" w:hAnsi="Verdana"/>
          <w:sz w:val="18"/>
          <w:szCs w:val="18"/>
        </w:rPr>
        <w:t xml:space="preserve">, A103 </w:t>
      </w:r>
      <w:r w:rsidRPr="00EC75B7">
        <w:rPr>
          <w:rFonts w:ascii="Verdana" w:hAnsi="Verdana"/>
          <w:i/>
          <w:sz w:val="18"/>
          <w:szCs w:val="18"/>
        </w:rPr>
        <w:t>Falco peregrinus</w:t>
      </w:r>
      <w:r w:rsidRPr="00EC75B7">
        <w:rPr>
          <w:rFonts w:ascii="Verdana" w:hAnsi="Verdana"/>
          <w:sz w:val="18"/>
          <w:szCs w:val="18"/>
        </w:rPr>
        <w:t xml:space="preserve">, A338 </w:t>
      </w:r>
      <w:r w:rsidRPr="00EC75B7">
        <w:rPr>
          <w:rFonts w:ascii="Verdana" w:hAnsi="Verdana"/>
          <w:i/>
          <w:sz w:val="18"/>
          <w:szCs w:val="18"/>
        </w:rPr>
        <w:t>Lanius collurio</w:t>
      </w:r>
      <w:r w:rsidRPr="00EC75B7">
        <w:rPr>
          <w:rFonts w:ascii="Verdana" w:hAnsi="Verdana"/>
          <w:sz w:val="18"/>
          <w:szCs w:val="18"/>
        </w:rPr>
        <w:t xml:space="preserve">, A242 </w:t>
      </w:r>
      <w:r w:rsidRPr="00EC75B7">
        <w:rPr>
          <w:rFonts w:ascii="Verdana" w:hAnsi="Verdana"/>
          <w:i/>
          <w:sz w:val="18"/>
          <w:szCs w:val="18"/>
        </w:rPr>
        <w:t>Melanocorypha calandra</w:t>
      </w:r>
      <w:r w:rsidRPr="00EC75B7">
        <w:rPr>
          <w:rFonts w:ascii="Verdana" w:hAnsi="Verdana"/>
          <w:sz w:val="18"/>
          <w:szCs w:val="18"/>
        </w:rPr>
        <w:t xml:space="preserve">, A533 </w:t>
      </w:r>
      <w:r w:rsidRPr="00EC75B7">
        <w:rPr>
          <w:rFonts w:ascii="Verdana" w:hAnsi="Verdana"/>
          <w:i/>
          <w:sz w:val="18"/>
          <w:szCs w:val="18"/>
        </w:rPr>
        <w:t>Oenanthe pleschanka</w:t>
      </w:r>
      <w:r w:rsidRPr="00EC75B7">
        <w:rPr>
          <w:rFonts w:ascii="Verdana" w:hAnsi="Verdana"/>
          <w:sz w:val="18"/>
          <w:szCs w:val="18"/>
        </w:rPr>
        <w:t xml:space="preserve">, A255 </w:t>
      </w:r>
      <w:r w:rsidRPr="00EC75B7">
        <w:rPr>
          <w:rFonts w:ascii="Verdana" w:hAnsi="Verdana"/>
          <w:i/>
          <w:sz w:val="18"/>
          <w:szCs w:val="18"/>
        </w:rPr>
        <w:t>Anthus campestris</w:t>
      </w:r>
      <w:r w:rsidRPr="00EC75B7">
        <w:rPr>
          <w:rFonts w:ascii="Verdana" w:hAnsi="Verdana"/>
          <w:sz w:val="18"/>
          <w:szCs w:val="18"/>
        </w:rPr>
        <w:t xml:space="preserve">, A089 </w:t>
      </w:r>
      <w:r w:rsidRPr="00EC75B7">
        <w:rPr>
          <w:rFonts w:ascii="Verdana" w:hAnsi="Verdana"/>
          <w:i/>
          <w:sz w:val="18"/>
          <w:szCs w:val="18"/>
        </w:rPr>
        <w:t>Aquila pomarina</w:t>
      </w:r>
      <w:r w:rsidRPr="00EC75B7">
        <w:rPr>
          <w:rFonts w:ascii="Verdana" w:hAnsi="Verdana"/>
          <w:sz w:val="18"/>
          <w:szCs w:val="18"/>
        </w:rPr>
        <w:t xml:space="preserve">, A243 </w:t>
      </w:r>
      <w:r w:rsidRPr="00EC75B7">
        <w:rPr>
          <w:rFonts w:ascii="Verdana" w:hAnsi="Verdana"/>
          <w:i/>
          <w:sz w:val="18"/>
          <w:szCs w:val="18"/>
        </w:rPr>
        <w:t>Calandrella brachydactyla</w:t>
      </w:r>
      <w:r w:rsidRPr="00EC75B7">
        <w:rPr>
          <w:rFonts w:ascii="Verdana" w:hAnsi="Verdana"/>
          <w:sz w:val="18"/>
          <w:szCs w:val="18"/>
        </w:rPr>
        <w:t xml:space="preserve">, A224 </w:t>
      </w:r>
      <w:r w:rsidRPr="00EC75B7">
        <w:rPr>
          <w:rFonts w:ascii="Verdana" w:hAnsi="Verdana"/>
          <w:i/>
          <w:sz w:val="18"/>
          <w:szCs w:val="18"/>
        </w:rPr>
        <w:t>Caprimulgus europaeus</w:t>
      </w:r>
      <w:r w:rsidRPr="00EC75B7">
        <w:rPr>
          <w:rFonts w:ascii="Verdana" w:hAnsi="Verdana"/>
          <w:sz w:val="18"/>
          <w:szCs w:val="18"/>
        </w:rPr>
        <w:t xml:space="preserve">, A321 </w:t>
      </w:r>
      <w:r w:rsidRPr="00EC75B7">
        <w:rPr>
          <w:rFonts w:ascii="Verdana" w:hAnsi="Verdana"/>
          <w:i/>
          <w:sz w:val="18"/>
          <w:szCs w:val="18"/>
        </w:rPr>
        <w:t>Ficedula albicollis</w:t>
      </w:r>
      <w:r w:rsidRPr="00EC75B7">
        <w:rPr>
          <w:rFonts w:ascii="Verdana" w:hAnsi="Verdana"/>
          <w:sz w:val="18"/>
          <w:szCs w:val="18"/>
        </w:rPr>
        <w:t xml:space="preserve">, A429 </w:t>
      </w:r>
      <w:r w:rsidRPr="00EC75B7">
        <w:rPr>
          <w:rFonts w:ascii="Verdana" w:hAnsi="Verdana"/>
          <w:i/>
          <w:sz w:val="18"/>
          <w:szCs w:val="18"/>
        </w:rPr>
        <w:t>Dendrocopos syriacus</w:t>
      </w:r>
      <w:r w:rsidRPr="00EC75B7">
        <w:rPr>
          <w:rFonts w:ascii="Verdana" w:hAnsi="Verdana"/>
          <w:sz w:val="18"/>
          <w:szCs w:val="18"/>
        </w:rPr>
        <w:t xml:space="preserve">, A072 </w:t>
      </w:r>
      <w:r w:rsidRPr="00EC75B7">
        <w:rPr>
          <w:rFonts w:ascii="Verdana" w:hAnsi="Verdana"/>
          <w:i/>
          <w:sz w:val="18"/>
          <w:szCs w:val="18"/>
        </w:rPr>
        <w:t>Pernis apivorus</w:t>
      </w:r>
      <w:r w:rsidRPr="00EC75B7">
        <w:rPr>
          <w:rFonts w:ascii="Verdana" w:hAnsi="Verdana"/>
          <w:sz w:val="18"/>
          <w:szCs w:val="18"/>
        </w:rPr>
        <w:t xml:space="preserve">, A073 </w:t>
      </w:r>
      <w:r w:rsidRPr="00EC75B7">
        <w:rPr>
          <w:rFonts w:ascii="Verdana" w:hAnsi="Verdana"/>
          <w:i/>
          <w:sz w:val="18"/>
          <w:szCs w:val="18"/>
        </w:rPr>
        <w:t>Milvus migrans.</w:t>
      </w:r>
    </w:p>
    <w:p w14:paraId="77778888" w14:textId="7B3524DD" w:rsidR="008715BE" w:rsidRPr="00EC75B7" w:rsidRDefault="00E7611D" w:rsidP="00E7611D">
      <w:pPr>
        <w:pStyle w:val="BodyText"/>
        <w:spacing w:before="107"/>
        <w:jc w:val="center"/>
        <w:rPr>
          <w:rFonts w:ascii="Verdana" w:hAnsi="Verdana"/>
          <w:i/>
        </w:rPr>
      </w:pPr>
      <w:r>
        <w:rPr>
          <w:noProof/>
        </w:rPr>
        <w:drawing>
          <wp:inline distT="0" distB="0" distL="0" distR="0" wp14:anchorId="738467D3" wp14:editId="6EEDBA12">
            <wp:extent cx="6179892" cy="4370705"/>
            <wp:effectExtent l="0" t="0" r="0" b="0"/>
            <wp:docPr id="7381406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81731" cy="4372006"/>
                    </a:xfrm>
                    <a:prstGeom prst="rect">
                      <a:avLst/>
                    </a:prstGeom>
                    <a:noFill/>
                    <a:ln>
                      <a:noFill/>
                    </a:ln>
                  </pic:spPr>
                </pic:pic>
              </a:graphicData>
            </a:graphic>
          </wp:inline>
        </w:drawing>
      </w:r>
    </w:p>
    <w:p w14:paraId="3FBDBAD9" w14:textId="77777777" w:rsidR="008715BE" w:rsidRPr="00EC75B7" w:rsidRDefault="00000000">
      <w:pPr>
        <w:ind w:left="747" w:right="833"/>
        <w:jc w:val="center"/>
        <w:rPr>
          <w:rFonts w:ascii="Verdana" w:hAnsi="Verdana"/>
          <w:b/>
          <w:sz w:val="18"/>
          <w:szCs w:val="18"/>
        </w:rPr>
      </w:pPr>
      <w:r w:rsidRPr="00EC75B7">
        <w:rPr>
          <w:rFonts w:ascii="Verdana" w:hAnsi="Verdana"/>
          <w:b/>
          <w:color w:val="009DEF"/>
          <w:sz w:val="18"/>
          <w:szCs w:val="18"/>
        </w:rPr>
        <w:t xml:space="preserve">Figure no. 13 Location of the project in relation to ROSPA0036 </w:t>
      </w:r>
      <w:r w:rsidRPr="00EC75B7">
        <w:rPr>
          <w:rFonts w:ascii="Verdana" w:hAnsi="Verdana"/>
          <w:b/>
          <w:color w:val="009DEF"/>
          <w:spacing w:val="-2"/>
          <w:sz w:val="18"/>
          <w:szCs w:val="18"/>
        </w:rPr>
        <w:t>Dumbrăveni</w:t>
      </w:r>
    </w:p>
    <w:p w14:paraId="6CB5F0F8" w14:textId="77777777" w:rsidR="008715BE" w:rsidRPr="00EC75B7" w:rsidRDefault="008715BE">
      <w:pPr>
        <w:jc w:val="center"/>
        <w:rPr>
          <w:rFonts w:ascii="Verdana" w:hAnsi="Verdana"/>
          <w:b/>
          <w:sz w:val="18"/>
          <w:szCs w:val="18"/>
        </w:rPr>
        <w:sectPr w:rsidR="008715BE" w:rsidRPr="00EC75B7">
          <w:pgSz w:w="11910" w:h="16840"/>
          <w:pgMar w:top="1160" w:right="141" w:bottom="1020" w:left="425" w:header="766" w:footer="797" w:gutter="0"/>
          <w:cols w:space="708"/>
        </w:sectPr>
      </w:pPr>
    </w:p>
    <w:p w14:paraId="1AEA47A4" w14:textId="77777777" w:rsidR="008715BE" w:rsidRPr="00EC75B7" w:rsidRDefault="008715BE">
      <w:pPr>
        <w:pStyle w:val="BodyText"/>
        <w:spacing w:before="46"/>
        <w:rPr>
          <w:rFonts w:ascii="Verdana" w:hAnsi="Verdana"/>
          <w:b/>
        </w:rPr>
      </w:pPr>
    </w:p>
    <w:p w14:paraId="28CB27A3" w14:textId="77777777" w:rsidR="008715BE" w:rsidRPr="00EC75B7" w:rsidRDefault="00000000">
      <w:pPr>
        <w:pStyle w:val="Heading5"/>
        <w:numPr>
          <w:ilvl w:val="0"/>
          <w:numId w:val="98"/>
        </w:numPr>
        <w:tabs>
          <w:tab w:val="left" w:pos="1513"/>
        </w:tabs>
        <w:spacing w:before="1"/>
        <w:ind w:left="1513" w:hanging="359"/>
        <w:rPr>
          <w:rFonts w:ascii="Verdana" w:hAnsi="Verdana"/>
        </w:rPr>
      </w:pPr>
      <w:r w:rsidRPr="00EC75B7">
        <w:rPr>
          <w:rFonts w:ascii="Verdana" w:hAnsi="Verdana"/>
        </w:rPr>
        <w:t xml:space="preserve">ROSPA0094 </w:t>
      </w:r>
      <w:r w:rsidRPr="00EC75B7">
        <w:rPr>
          <w:rFonts w:ascii="Verdana" w:hAnsi="Verdana"/>
          <w:spacing w:val="-2"/>
        </w:rPr>
        <w:t xml:space="preserve">Hagieni </w:t>
      </w:r>
      <w:r w:rsidRPr="00EC75B7">
        <w:rPr>
          <w:rFonts w:ascii="Verdana" w:hAnsi="Verdana"/>
        </w:rPr>
        <w:t>Forest</w:t>
      </w:r>
    </w:p>
    <w:p w14:paraId="14BC4F84" w14:textId="77777777" w:rsidR="008715BE" w:rsidRPr="00EC75B7" w:rsidRDefault="008715BE">
      <w:pPr>
        <w:pStyle w:val="BodyText"/>
        <w:spacing w:before="9"/>
        <w:rPr>
          <w:rFonts w:ascii="Verdana" w:hAnsi="Verdana"/>
          <w:b/>
        </w:rPr>
      </w:pPr>
    </w:p>
    <w:p w14:paraId="17433061" w14:textId="77777777" w:rsidR="008715BE" w:rsidRPr="00EC75B7" w:rsidRDefault="00000000">
      <w:pPr>
        <w:pStyle w:val="BodyText"/>
        <w:spacing w:line="357" w:lineRule="auto"/>
        <w:ind w:left="765" w:right="856"/>
        <w:jc w:val="both"/>
        <w:rPr>
          <w:rFonts w:ascii="Verdana" w:hAnsi="Verdana"/>
        </w:rPr>
      </w:pPr>
      <w:r w:rsidRPr="00EC75B7">
        <w:rPr>
          <w:rFonts w:ascii="Verdana" w:hAnsi="Verdana"/>
        </w:rPr>
        <w:t>It was established as a special bird protection area by Government Decision No. 1284/2007 on the declaration of special bird protection areas as an integral part of the European Natura 2000 ecological network in Romania, with subsequent amendments and additions.</w:t>
      </w:r>
    </w:p>
    <w:p w14:paraId="07A3C046" w14:textId="77777777" w:rsidR="008715BE" w:rsidRPr="00EC75B7" w:rsidRDefault="00000000">
      <w:pPr>
        <w:pStyle w:val="BodyText"/>
        <w:spacing w:before="122" w:line="357" w:lineRule="auto"/>
        <w:ind w:left="765" w:right="862"/>
        <w:jc w:val="both"/>
        <w:rPr>
          <w:rFonts w:ascii="Verdana" w:hAnsi="Verdana"/>
        </w:rPr>
      </w:pPr>
      <w:r w:rsidRPr="00EC75B7">
        <w:rPr>
          <w:rFonts w:ascii="Verdana" w:hAnsi="Verdana"/>
        </w:rPr>
        <w:t>The R0SPA0094 Hagieni Forest site is home to significant populations of protected bird species, namely 48 species of Community importance for conservation.</w:t>
      </w:r>
    </w:p>
    <w:p w14:paraId="3013F866" w14:textId="77777777" w:rsidR="008715BE" w:rsidRPr="00EC75B7" w:rsidRDefault="00000000">
      <w:pPr>
        <w:pStyle w:val="BodyText"/>
        <w:spacing w:before="121" w:line="360" w:lineRule="auto"/>
        <w:ind w:left="765" w:right="846"/>
        <w:jc w:val="both"/>
        <w:rPr>
          <w:rFonts w:ascii="Verdana" w:hAnsi="Verdana"/>
        </w:rPr>
      </w:pPr>
      <w:r w:rsidRPr="00EC75B7">
        <w:rPr>
          <w:rFonts w:ascii="Verdana" w:hAnsi="Verdana"/>
        </w:rPr>
        <w:t>ROSPA 0094 Hagieni Forest covers an area of 1,374 ha and is located within ROSCI 0157 Hagieni-Cotul Văii Forest, partially overlapping with the Hagieni Forest reserve (code 2360).</w:t>
      </w:r>
    </w:p>
    <w:p w14:paraId="092D3906" w14:textId="77777777" w:rsidR="008715BE" w:rsidRPr="00EC75B7" w:rsidRDefault="00000000">
      <w:pPr>
        <w:pStyle w:val="BodyText"/>
        <w:spacing w:before="118" w:line="357" w:lineRule="auto"/>
        <w:ind w:left="765" w:right="854"/>
        <w:jc w:val="both"/>
        <w:rPr>
          <w:rFonts w:ascii="Verdana" w:hAnsi="Verdana"/>
        </w:rPr>
      </w:pPr>
      <w:r w:rsidRPr="00EC75B7">
        <w:rPr>
          <w:rFonts w:ascii="Verdana" w:hAnsi="Verdana"/>
        </w:rPr>
        <w:t>This site is home to significant populations of protected bird species: 48 species listed in Annex 1 to Directive 2009/147/EC of the European Parliament and of the Council of November 30, 2009, on the conservation of wild birds;</w:t>
      </w:r>
      <w:r w:rsidRPr="00EC75B7">
        <w:rPr>
          <w:rFonts w:ascii="Verdana" w:hAnsi="Verdana"/>
          <w:spacing w:val="32"/>
        </w:rPr>
        <w:t xml:space="preserve"> </w:t>
      </w:r>
      <w:r w:rsidRPr="00EC75B7">
        <w:rPr>
          <w:rFonts w:ascii="Verdana" w:hAnsi="Verdana"/>
        </w:rPr>
        <w:t>38 migratory species listed in the annexes to Law No. 13/1998 on Romania's accession to the Convention on the Conservation of Migratory Species of Wild Animals, adopted in Bonn on June 23, 1979: 5 globally endangered species.</w:t>
      </w:r>
    </w:p>
    <w:p w14:paraId="26F15819" w14:textId="77777777" w:rsidR="008715BE" w:rsidRPr="00EC75B7" w:rsidRDefault="00000000">
      <w:pPr>
        <w:spacing w:before="123" w:line="360" w:lineRule="auto"/>
        <w:ind w:left="765" w:right="848"/>
        <w:jc w:val="both"/>
        <w:rPr>
          <w:rFonts w:ascii="Verdana" w:hAnsi="Verdana"/>
          <w:sz w:val="18"/>
          <w:szCs w:val="18"/>
        </w:rPr>
      </w:pPr>
      <w:r w:rsidRPr="00EC75B7">
        <w:rPr>
          <w:rFonts w:ascii="Verdana" w:hAnsi="Verdana"/>
          <w:sz w:val="18"/>
          <w:szCs w:val="18"/>
        </w:rPr>
        <w:t xml:space="preserve">The site is important for the nesting populations of the following species: </w:t>
      </w:r>
      <w:r w:rsidRPr="00EC75B7">
        <w:rPr>
          <w:rFonts w:ascii="Verdana" w:hAnsi="Verdana"/>
          <w:i/>
          <w:sz w:val="18"/>
          <w:szCs w:val="18"/>
        </w:rPr>
        <w:t>Falco cherrug, Falco vespertinus, Coracias garrulus, Aquila heliaca, Accipiter brevipes, Antus campestris, Calandrella brachydactyla, Lanius minor, Milvus migrans, Pernis apivorus, Picus canus, Lullula arborea, Melanocorypha calandra</w:t>
      </w:r>
      <w:r w:rsidRPr="00EC75B7">
        <w:rPr>
          <w:rFonts w:ascii="Verdana" w:hAnsi="Verdana"/>
          <w:sz w:val="18"/>
          <w:szCs w:val="18"/>
        </w:rPr>
        <w:t>.</w:t>
      </w:r>
    </w:p>
    <w:p w14:paraId="13CD8469" w14:textId="77777777" w:rsidR="008715BE" w:rsidRPr="00EC75B7" w:rsidRDefault="00000000">
      <w:pPr>
        <w:spacing w:before="115" w:line="360" w:lineRule="auto"/>
        <w:ind w:left="765" w:right="851"/>
        <w:jc w:val="both"/>
        <w:rPr>
          <w:rFonts w:ascii="Verdana" w:hAnsi="Verdana"/>
          <w:sz w:val="18"/>
          <w:szCs w:val="18"/>
        </w:rPr>
      </w:pPr>
      <w:r w:rsidRPr="00EC75B7">
        <w:rPr>
          <w:rFonts w:ascii="Verdana" w:hAnsi="Verdana"/>
          <w:sz w:val="18"/>
          <w:szCs w:val="18"/>
        </w:rPr>
        <w:t xml:space="preserve">The site is important during the migration period for the following species: </w:t>
      </w:r>
      <w:r w:rsidRPr="00EC75B7">
        <w:rPr>
          <w:rFonts w:ascii="Verdana" w:hAnsi="Verdana"/>
          <w:i/>
          <w:sz w:val="18"/>
          <w:szCs w:val="18"/>
        </w:rPr>
        <w:t>Larus melanocephalus, Larus minutus, Pelecanus crispus, Phalacrocorax pygmaeus</w:t>
      </w:r>
      <w:r w:rsidRPr="00EC75B7">
        <w:rPr>
          <w:rFonts w:ascii="Verdana" w:hAnsi="Verdana"/>
          <w:sz w:val="18"/>
          <w:szCs w:val="18"/>
        </w:rPr>
        <w:t>.</w:t>
      </w:r>
    </w:p>
    <w:p w14:paraId="4E5D7501" w14:textId="77777777" w:rsidR="008715BE" w:rsidRPr="00EC75B7" w:rsidRDefault="00000000" w:rsidP="005F35E4">
      <w:pPr>
        <w:pStyle w:val="BodyText"/>
        <w:spacing w:before="118"/>
        <w:ind w:left="765" w:right="814"/>
        <w:jc w:val="both"/>
        <w:rPr>
          <w:rFonts w:ascii="Verdana" w:hAnsi="Verdana"/>
        </w:rPr>
      </w:pPr>
      <w:r w:rsidRPr="00EC75B7">
        <w:rPr>
          <w:rFonts w:ascii="Verdana" w:hAnsi="Verdana"/>
        </w:rPr>
        <w:t xml:space="preserve">Site designated by the Romanian Ornithological Society as an IBA - Important Bird Area, according to </w:t>
      </w:r>
      <w:r w:rsidRPr="00EC75B7">
        <w:rPr>
          <w:rFonts w:ascii="Verdana" w:hAnsi="Verdana"/>
          <w:spacing w:val="-2"/>
        </w:rPr>
        <w:t>the following</w:t>
      </w:r>
    </w:p>
    <w:p w14:paraId="725E7E6D" w14:textId="77777777" w:rsidR="008715BE" w:rsidRPr="00EC75B7" w:rsidRDefault="00000000" w:rsidP="005F35E4">
      <w:pPr>
        <w:pStyle w:val="BodyText"/>
        <w:spacing w:before="110"/>
        <w:ind w:left="765" w:right="814"/>
        <w:jc w:val="both"/>
        <w:rPr>
          <w:rFonts w:ascii="Verdana" w:hAnsi="Verdana"/>
        </w:rPr>
      </w:pPr>
      <w:r w:rsidRPr="00EC75B7">
        <w:rPr>
          <w:rFonts w:ascii="Verdana" w:hAnsi="Verdana"/>
        </w:rPr>
        <w:t xml:space="preserve">criteria developed by BirdLife International: C1, C2, C3, </w:t>
      </w:r>
      <w:r w:rsidRPr="00EC75B7">
        <w:rPr>
          <w:rFonts w:ascii="Verdana" w:hAnsi="Verdana"/>
          <w:spacing w:val="-5"/>
        </w:rPr>
        <w:t>C6.</w:t>
      </w:r>
    </w:p>
    <w:p w14:paraId="2E251E59" w14:textId="77777777" w:rsidR="008715BE" w:rsidRPr="00EC75B7" w:rsidRDefault="008715BE">
      <w:pPr>
        <w:pStyle w:val="BodyText"/>
        <w:spacing w:before="6"/>
        <w:rPr>
          <w:rFonts w:ascii="Verdana" w:hAnsi="Verdana"/>
        </w:rPr>
      </w:pPr>
    </w:p>
    <w:p w14:paraId="610A14D2" w14:textId="77777777" w:rsidR="008715BE" w:rsidRPr="00EC75B7" w:rsidRDefault="00000000">
      <w:pPr>
        <w:spacing w:before="1" w:line="357" w:lineRule="auto"/>
        <w:ind w:left="765" w:right="849"/>
        <w:jc w:val="both"/>
        <w:rPr>
          <w:rFonts w:ascii="Verdana" w:hAnsi="Verdana"/>
          <w:i/>
          <w:sz w:val="18"/>
          <w:szCs w:val="18"/>
        </w:rPr>
      </w:pPr>
      <w:r w:rsidRPr="00EC75B7">
        <w:rPr>
          <w:rFonts w:ascii="Verdana" w:hAnsi="Verdana"/>
          <w:sz w:val="18"/>
          <w:szCs w:val="18"/>
        </w:rPr>
        <w:t xml:space="preserve">The 48 bird species listed in Annex I to Directive 2009/147/EC include: </w:t>
      </w:r>
      <w:r w:rsidRPr="00EC75B7">
        <w:rPr>
          <w:rFonts w:ascii="Verdana" w:hAnsi="Verdana"/>
          <w:i/>
          <w:sz w:val="18"/>
          <w:szCs w:val="18"/>
        </w:rPr>
        <w:t>Accipiter brevipes, Alcedo atthis, Anthus campestris, Aquila heliaca, Burhinus oedicnemus, Buteo rufinus, Calandrella brachydactyla, Caprimulgus europaeus, Ciconia ciconia, Charadrius alexandrinus, Chlidonias hybridus, Chlidonias niger, Circaetus gallicus, Circus aeruginosus, Circus cyaneus, Circus macrourus, Circus pygargus, Coracias garrulous, Dendrocopos medius, Dendrocopos syriacus, Dryocopus martius, Egretta alba, Emberiza hortulana, Falco cherrug,</w:t>
      </w:r>
      <w:r w:rsidRPr="00EC75B7">
        <w:rPr>
          <w:rFonts w:ascii="Verdana" w:hAnsi="Verdana"/>
          <w:i/>
          <w:spacing w:val="-13"/>
          <w:sz w:val="18"/>
          <w:szCs w:val="18"/>
        </w:rPr>
        <w:t xml:space="preserve"> </w:t>
      </w:r>
      <w:r w:rsidRPr="00EC75B7">
        <w:rPr>
          <w:rFonts w:ascii="Verdana" w:hAnsi="Verdana"/>
          <w:i/>
          <w:sz w:val="18"/>
          <w:szCs w:val="18"/>
        </w:rPr>
        <w:t>Falco columbarius, Falco peregrinus, Falco vespertinus, Ficedula albicollis, Ficedula parva, Himantopus himantopus, Hieraaetus pennatus, Lanius minor, Lanius collurio, Larus melanocephalus, Larus minutus, Lullula arborea, Melanocorypha calandra, Milvus migrans, Nycticorax nycticorax,</w:t>
      </w:r>
      <w:r w:rsidRPr="00EC75B7">
        <w:rPr>
          <w:rFonts w:ascii="Verdana" w:hAnsi="Verdana"/>
          <w:i/>
          <w:spacing w:val="-3"/>
          <w:sz w:val="18"/>
          <w:szCs w:val="18"/>
        </w:rPr>
        <w:t xml:space="preserve"> </w:t>
      </w:r>
      <w:r w:rsidRPr="00EC75B7">
        <w:rPr>
          <w:rFonts w:ascii="Verdana" w:hAnsi="Verdana"/>
          <w:i/>
          <w:sz w:val="18"/>
          <w:szCs w:val="18"/>
        </w:rPr>
        <w:t>Oenanthe pleschanka, Pelecanus crispus, Pernis apivorus, Picus canus, Philomachus pugnax, Phalacrocorax pygmeus, Porzana porzana, Recurvirostra avosetta, Tadorna ferruginea.</w:t>
      </w:r>
    </w:p>
    <w:p w14:paraId="5ACDA9FC" w14:textId="77777777" w:rsidR="008715BE" w:rsidRPr="00EC75B7" w:rsidRDefault="008715BE">
      <w:pPr>
        <w:spacing w:line="357" w:lineRule="auto"/>
        <w:jc w:val="both"/>
        <w:rPr>
          <w:rFonts w:ascii="Verdana" w:hAnsi="Verdana"/>
          <w:i/>
          <w:sz w:val="18"/>
          <w:szCs w:val="18"/>
        </w:rPr>
        <w:sectPr w:rsidR="008715BE" w:rsidRPr="00EC75B7">
          <w:pgSz w:w="11910" w:h="16840"/>
          <w:pgMar w:top="1160" w:right="141" w:bottom="1020" w:left="425" w:header="766" w:footer="797" w:gutter="0"/>
          <w:cols w:space="708"/>
        </w:sectPr>
      </w:pPr>
    </w:p>
    <w:p w14:paraId="1EFEFF64" w14:textId="5123FD84" w:rsidR="008715BE" w:rsidRPr="00EC75B7" w:rsidRDefault="00E7611D" w:rsidP="00E7611D">
      <w:pPr>
        <w:pStyle w:val="BodyText"/>
        <w:spacing w:before="13" w:after="1"/>
        <w:jc w:val="center"/>
        <w:rPr>
          <w:rFonts w:ascii="Verdana" w:hAnsi="Verdana"/>
          <w:i/>
        </w:rPr>
      </w:pPr>
      <w:r>
        <w:rPr>
          <w:noProof/>
        </w:rPr>
        <w:lastRenderedPageBreak/>
        <w:drawing>
          <wp:inline distT="0" distB="0" distL="0" distR="0" wp14:anchorId="1CA1D0B1" wp14:editId="6AD455D5">
            <wp:extent cx="5084445" cy="3759200"/>
            <wp:effectExtent l="0" t="0" r="1905" b="0"/>
            <wp:docPr id="10827929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86259" cy="3760541"/>
                    </a:xfrm>
                    <a:prstGeom prst="rect">
                      <a:avLst/>
                    </a:prstGeom>
                    <a:noFill/>
                    <a:ln>
                      <a:noFill/>
                    </a:ln>
                  </pic:spPr>
                </pic:pic>
              </a:graphicData>
            </a:graphic>
          </wp:inline>
        </w:drawing>
      </w:r>
    </w:p>
    <w:p w14:paraId="379866D0" w14:textId="243EF7CD" w:rsidR="008715BE" w:rsidRPr="00EC75B7" w:rsidRDefault="008715BE">
      <w:pPr>
        <w:ind w:left="766"/>
        <w:rPr>
          <w:rFonts w:ascii="Verdana" w:hAnsi="Verdana"/>
          <w:sz w:val="18"/>
          <w:szCs w:val="18"/>
        </w:rPr>
      </w:pPr>
    </w:p>
    <w:p w14:paraId="6CACF7FA" w14:textId="77777777" w:rsidR="008715BE" w:rsidRPr="00EC75B7" w:rsidRDefault="008715BE">
      <w:pPr>
        <w:pStyle w:val="BodyText"/>
        <w:spacing w:before="32"/>
        <w:rPr>
          <w:rFonts w:ascii="Verdana" w:hAnsi="Verdana"/>
          <w:i/>
        </w:rPr>
      </w:pPr>
    </w:p>
    <w:p w14:paraId="42B2176C" w14:textId="77777777" w:rsidR="008715BE" w:rsidRPr="00EC75B7" w:rsidRDefault="00000000">
      <w:pPr>
        <w:ind w:left="747" w:right="831"/>
        <w:jc w:val="center"/>
        <w:rPr>
          <w:rFonts w:ascii="Verdana" w:hAnsi="Verdana"/>
          <w:b/>
          <w:sz w:val="18"/>
          <w:szCs w:val="18"/>
        </w:rPr>
      </w:pPr>
      <w:r w:rsidRPr="00EC75B7">
        <w:rPr>
          <w:rFonts w:ascii="Verdana" w:hAnsi="Verdana"/>
          <w:b/>
          <w:color w:val="009DEF"/>
          <w:sz w:val="18"/>
          <w:szCs w:val="18"/>
        </w:rPr>
        <w:t xml:space="preserve">Figure no. 14 Location of the project in relation to ROSPA0094 </w:t>
      </w:r>
      <w:r w:rsidRPr="00EC75B7">
        <w:rPr>
          <w:rFonts w:ascii="Verdana" w:hAnsi="Verdana"/>
          <w:b/>
          <w:color w:val="009DEF"/>
          <w:spacing w:val="-2"/>
          <w:sz w:val="18"/>
          <w:szCs w:val="18"/>
        </w:rPr>
        <w:t xml:space="preserve">Hagieni </w:t>
      </w:r>
      <w:r w:rsidRPr="00EC75B7">
        <w:rPr>
          <w:rFonts w:ascii="Verdana" w:hAnsi="Verdana"/>
          <w:b/>
          <w:color w:val="009DEF"/>
          <w:sz w:val="18"/>
          <w:szCs w:val="18"/>
        </w:rPr>
        <w:t>Forest</w:t>
      </w:r>
    </w:p>
    <w:p w14:paraId="45396FC3" w14:textId="77777777" w:rsidR="008715BE" w:rsidRPr="00EC75B7" w:rsidRDefault="008715BE">
      <w:pPr>
        <w:pStyle w:val="BodyText"/>
        <w:rPr>
          <w:rFonts w:ascii="Verdana" w:hAnsi="Verdana"/>
          <w:b/>
        </w:rPr>
      </w:pPr>
    </w:p>
    <w:p w14:paraId="47816A66" w14:textId="77777777" w:rsidR="008715BE" w:rsidRPr="00EC75B7" w:rsidRDefault="008715BE">
      <w:pPr>
        <w:pStyle w:val="BodyText"/>
        <w:rPr>
          <w:rFonts w:ascii="Verdana" w:hAnsi="Verdana"/>
          <w:b/>
        </w:rPr>
      </w:pPr>
    </w:p>
    <w:p w14:paraId="4ADBADBC" w14:textId="77777777" w:rsidR="008715BE" w:rsidRPr="00EC75B7" w:rsidRDefault="008715BE">
      <w:pPr>
        <w:pStyle w:val="BodyText"/>
        <w:spacing w:before="112"/>
        <w:rPr>
          <w:rFonts w:ascii="Verdana" w:hAnsi="Verdana"/>
          <w:b/>
        </w:rPr>
      </w:pPr>
    </w:p>
    <w:p w14:paraId="68A4E79A" w14:textId="77777777" w:rsidR="008715BE" w:rsidRPr="00EC75B7" w:rsidRDefault="00000000">
      <w:pPr>
        <w:pStyle w:val="Heading5"/>
        <w:numPr>
          <w:ilvl w:val="0"/>
          <w:numId w:val="98"/>
        </w:numPr>
        <w:tabs>
          <w:tab w:val="left" w:pos="1513"/>
        </w:tabs>
        <w:ind w:left="1513" w:hanging="359"/>
        <w:rPr>
          <w:rFonts w:ascii="Verdana" w:hAnsi="Verdana"/>
        </w:rPr>
      </w:pPr>
      <w:r w:rsidRPr="00EC75B7">
        <w:rPr>
          <w:rFonts w:ascii="Verdana" w:hAnsi="Verdana"/>
        </w:rPr>
        <w:t xml:space="preserve">ROSAC0157 Hagieni Forest - Cotul </w:t>
      </w:r>
      <w:r w:rsidRPr="00EC75B7">
        <w:rPr>
          <w:rFonts w:ascii="Verdana" w:hAnsi="Verdana"/>
          <w:spacing w:val="-4"/>
        </w:rPr>
        <w:t>Văii</w:t>
      </w:r>
    </w:p>
    <w:p w14:paraId="1955E4C7" w14:textId="77777777" w:rsidR="008715BE" w:rsidRPr="00EC75B7" w:rsidRDefault="008715BE">
      <w:pPr>
        <w:pStyle w:val="BodyText"/>
        <w:spacing w:before="9"/>
        <w:rPr>
          <w:rFonts w:ascii="Verdana" w:hAnsi="Verdana"/>
          <w:b/>
        </w:rPr>
      </w:pPr>
    </w:p>
    <w:p w14:paraId="0F365401" w14:textId="77777777" w:rsidR="008715BE" w:rsidRPr="00EC75B7" w:rsidRDefault="00000000">
      <w:pPr>
        <w:pStyle w:val="BodyText"/>
        <w:spacing w:line="360" w:lineRule="auto"/>
        <w:ind w:left="765" w:right="852"/>
        <w:jc w:val="both"/>
        <w:rPr>
          <w:rFonts w:ascii="Verdana" w:hAnsi="Verdana"/>
        </w:rPr>
      </w:pPr>
      <w:r w:rsidRPr="00EC75B7">
        <w:rPr>
          <w:rFonts w:ascii="Verdana" w:hAnsi="Verdana"/>
        </w:rPr>
        <w:t>It was established by Order of the Minister of Environment and Sustainable Development No. 1964/2007 on the establishment of the protected natural area regime for sites of Community importance, as an integral part of the European ecological network Natura 2000 in Romania, with subsequent amendments and additions.</w:t>
      </w:r>
    </w:p>
    <w:p w14:paraId="32415633" w14:textId="77777777" w:rsidR="008715BE" w:rsidRPr="00EC75B7" w:rsidRDefault="00000000">
      <w:pPr>
        <w:pStyle w:val="BodyText"/>
        <w:spacing w:before="116"/>
        <w:ind w:left="765"/>
        <w:jc w:val="both"/>
        <w:rPr>
          <w:rFonts w:ascii="Verdana" w:hAnsi="Verdana"/>
        </w:rPr>
      </w:pPr>
      <w:r w:rsidRPr="00EC75B7">
        <w:rPr>
          <w:rFonts w:ascii="Verdana" w:hAnsi="Verdana"/>
        </w:rPr>
        <w:t xml:space="preserve">ROSCI0157 Hagieni Forest - Cotul Văii is of great scientific importance due to its 6 habitats and 18 </w:t>
      </w:r>
      <w:r w:rsidRPr="00EC75B7">
        <w:rPr>
          <w:rFonts w:ascii="Verdana" w:hAnsi="Verdana"/>
          <w:spacing w:val="-2"/>
        </w:rPr>
        <w:t>species</w:t>
      </w:r>
    </w:p>
    <w:p w14:paraId="0F949FF9" w14:textId="77777777" w:rsidR="008715BE" w:rsidRPr="00EC75B7" w:rsidRDefault="00000000">
      <w:pPr>
        <w:pStyle w:val="BodyText"/>
        <w:spacing w:before="109"/>
        <w:ind w:left="765"/>
        <w:jc w:val="both"/>
        <w:rPr>
          <w:rFonts w:ascii="Verdana" w:hAnsi="Verdana"/>
        </w:rPr>
      </w:pPr>
      <w:r w:rsidRPr="00EC75B7">
        <w:rPr>
          <w:rFonts w:ascii="Verdana" w:hAnsi="Verdana"/>
        </w:rPr>
        <w:t xml:space="preserve">of Community interest for which it has been </w:t>
      </w:r>
      <w:r w:rsidRPr="00EC75B7">
        <w:rPr>
          <w:rFonts w:ascii="Verdana" w:hAnsi="Verdana"/>
          <w:spacing w:val="-2"/>
        </w:rPr>
        <w:t>designated.</w:t>
      </w:r>
    </w:p>
    <w:p w14:paraId="53C9C4D5" w14:textId="77777777" w:rsidR="008715BE" w:rsidRPr="00EC75B7" w:rsidRDefault="008715BE">
      <w:pPr>
        <w:pStyle w:val="BodyText"/>
        <w:spacing w:before="9"/>
        <w:rPr>
          <w:rFonts w:ascii="Verdana" w:hAnsi="Verdana"/>
        </w:rPr>
      </w:pPr>
    </w:p>
    <w:p w14:paraId="7E91141D" w14:textId="77777777" w:rsidR="008715BE" w:rsidRPr="00EC75B7" w:rsidRDefault="00000000">
      <w:pPr>
        <w:pStyle w:val="BodyText"/>
        <w:spacing w:line="360" w:lineRule="auto"/>
        <w:ind w:left="765" w:right="856"/>
        <w:jc w:val="both"/>
        <w:rPr>
          <w:rFonts w:ascii="Verdana" w:hAnsi="Verdana"/>
        </w:rPr>
      </w:pPr>
      <w:r w:rsidRPr="00EC75B7">
        <w:rPr>
          <w:rFonts w:ascii="Verdana" w:hAnsi="Verdana"/>
        </w:rPr>
        <w:t>R0SCI0157 Hagieni-Cotul Văii Forest covers an area of 3618 ha and overlaps with R0SPA0094 Hagieni Forest and Hagieni Forest Reserve-code 2.360.</w:t>
      </w:r>
    </w:p>
    <w:p w14:paraId="1EBD9C97" w14:textId="77777777" w:rsidR="008715BE" w:rsidRPr="00EC75B7" w:rsidRDefault="00000000">
      <w:pPr>
        <w:pStyle w:val="BodyText"/>
        <w:spacing w:before="116"/>
        <w:ind w:left="765"/>
        <w:jc w:val="both"/>
        <w:rPr>
          <w:rFonts w:ascii="Verdana" w:hAnsi="Verdana"/>
        </w:rPr>
      </w:pPr>
      <w:r w:rsidRPr="00EC75B7">
        <w:rPr>
          <w:rFonts w:ascii="Verdana" w:hAnsi="Verdana"/>
        </w:rPr>
        <w:t xml:space="preserve">Habitat types present in the site - 6 </w:t>
      </w:r>
      <w:r w:rsidRPr="00EC75B7">
        <w:rPr>
          <w:rFonts w:ascii="Verdana" w:hAnsi="Verdana"/>
          <w:spacing w:val="-2"/>
        </w:rPr>
        <w:t xml:space="preserve">habitat </w:t>
      </w:r>
      <w:r w:rsidRPr="00EC75B7">
        <w:rPr>
          <w:rFonts w:ascii="Verdana" w:hAnsi="Verdana"/>
        </w:rPr>
        <w:t>types</w:t>
      </w:r>
      <w:r w:rsidRPr="00EC75B7">
        <w:rPr>
          <w:rFonts w:ascii="Verdana" w:hAnsi="Verdana"/>
          <w:spacing w:val="-2"/>
        </w:rPr>
        <w:t>:</w:t>
      </w:r>
    </w:p>
    <w:p w14:paraId="6B2D10AA" w14:textId="77777777" w:rsidR="008715BE" w:rsidRPr="00EC75B7" w:rsidRDefault="008715BE">
      <w:pPr>
        <w:pStyle w:val="BodyText"/>
        <w:spacing w:before="10"/>
        <w:rPr>
          <w:rFonts w:ascii="Verdana" w:hAnsi="Verdana"/>
        </w:rPr>
      </w:pPr>
    </w:p>
    <w:p w14:paraId="3AE5325C" w14:textId="77777777" w:rsidR="008715BE" w:rsidRPr="00EC75B7" w:rsidRDefault="00000000">
      <w:pPr>
        <w:pStyle w:val="ListParagraph"/>
        <w:numPr>
          <w:ilvl w:val="0"/>
          <w:numId w:val="97"/>
        </w:numPr>
        <w:tabs>
          <w:tab w:val="left" w:pos="1485"/>
        </w:tabs>
        <w:rPr>
          <w:rFonts w:ascii="Verdana" w:hAnsi="Verdana"/>
          <w:i/>
          <w:sz w:val="18"/>
          <w:szCs w:val="18"/>
        </w:rPr>
      </w:pPr>
      <w:r w:rsidRPr="00EC75B7">
        <w:rPr>
          <w:rFonts w:ascii="Verdana" w:hAnsi="Verdana"/>
          <w:sz w:val="18"/>
          <w:szCs w:val="18"/>
        </w:rPr>
        <w:t xml:space="preserve">3150 Natural eutrophic lakes with </w:t>
      </w:r>
      <w:r w:rsidRPr="00EC75B7">
        <w:rPr>
          <w:rFonts w:ascii="Verdana" w:hAnsi="Verdana"/>
          <w:i/>
          <w:sz w:val="18"/>
          <w:szCs w:val="18"/>
        </w:rPr>
        <w:t xml:space="preserve">Magnopotamion </w:t>
      </w:r>
      <w:r w:rsidRPr="00EC75B7">
        <w:rPr>
          <w:rFonts w:ascii="Verdana" w:hAnsi="Verdana"/>
          <w:sz w:val="18"/>
          <w:szCs w:val="18"/>
        </w:rPr>
        <w:t xml:space="preserve">or </w:t>
      </w:r>
      <w:r w:rsidRPr="00EC75B7">
        <w:rPr>
          <w:rFonts w:ascii="Verdana" w:hAnsi="Verdana"/>
          <w:i/>
          <w:spacing w:val="-2"/>
          <w:sz w:val="18"/>
          <w:szCs w:val="18"/>
        </w:rPr>
        <w:t xml:space="preserve">Hydrocharition </w:t>
      </w:r>
      <w:r w:rsidRPr="00EC75B7">
        <w:rPr>
          <w:rFonts w:ascii="Verdana" w:hAnsi="Verdana"/>
          <w:sz w:val="18"/>
          <w:szCs w:val="18"/>
        </w:rPr>
        <w:t>vegetation</w:t>
      </w:r>
    </w:p>
    <w:p w14:paraId="05C9BCC8" w14:textId="77777777" w:rsidR="008715BE" w:rsidRPr="00EC75B7" w:rsidRDefault="00000000">
      <w:pPr>
        <w:pStyle w:val="ListParagraph"/>
        <w:numPr>
          <w:ilvl w:val="0"/>
          <w:numId w:val="97"/>
        </w:numPr>
        <w:tabs>
          <w:tab w:val="left" w:pos="1485"/>
        </w:tabs>
        <w:spacing w:before="109"/>
        <w:rPr>
          <w:rFonts w:ascii="Verdana" w:hAnsi="Verdana"/>
          <w:sz w:val="18"/>
          <w:szCs w:val="18"/>
        </w:rPr>
      </w:pPr>
      <w:r w:rsidRPr="00EC75B7">
        <w:rPr>
          <w:rFonts w:ascii="Verdana" w:hAnsi="Verdana"/>
          <w:sz w:val="18"/>
          <w:szCs w:val="18"/>
        </w:rPr>
        <w:t xml:space="preserve">6430 Communities of tall hygrophilous grasslands from the plains to the mountain </w:t>
      </w:r>
      <w:r w:rsidRPr="00EC75B7">
        <w:rPr>
          <w:rFonts w:ascii="Verdana" w:hAnsi="Verdana"/>
          <w:spacing w:val="-5"/>
          <w:sz w:val="18"/>
          <w:szCs w:val="18"/>
        </w:rPr>
        <w:t xml:space="preserve">and alpine </w:t>
      </w:r>
      <w:r w:rsidRPr="00EC75B7">
        <w:rPr>
          <w:rFonts w:ascii="Verdana" w:hAnsi="Verdana"/>
          <w:sz w:val="18"/>
          <w:szCs w:val="18"/>
        </w:rPr>
        <w:t>levels</w:t>
      </w:r>
    </w:p>
    <w:p w14:paraId="275BF177" w14:textId="77777777" w:rsidR="008715BE" w:rsidRPr="00EC75B7" w:rsidRDefault="00000000">
      <w:pPr>
        <w:pStyle w:val="BodyText"/>
        <w:spacing w:before="107"/>
        <w:ind w:left="1485"/>
        <w:rPr>
          <w:rFonts w:ascii="Verdana" w:hAnsi="Verdana"/>
        </w:rPr>
      </w:pPr>
      <w:r w:rsidRPr="00EC75B7">
        <w:rPr>
          <w:rFonts w:ascii="Verdana" w:hAnsi="Verdana"/>
          <w:spacing w:val="-4"/>
        </w:rPr>
        <w:t>alpine</w:t>
      </w:r>
    </w:p>
    <w:p w14:paraId="0D4B2D89" w14:textId="77777777" w:rsidR="008715BE" w:rsidRPr="00EC75B7" w:rsidRDefault="00000000">
      <w:pPr>
        <w:pStyle w:val="ListParagraph"/>
        <w:numPr>
          <w:ilvl w:val="0"/>
          <w:numId w:val="97"/>
        </w:numPr>
        <w:tabs>
          <w:tab w:val="left" w:pos="1485"/>
        </w:tabs>
        <w:spacing w:before="109"/>
        <w:rPr>
          <w:rFonts w:ascii="Verdana" w:hAnsi="Verdana"/>
          <w:sz w:val="18"/>
          <w:szCs w:val="18"/>
        </w:rPr>
      </w:pPr>
      <w:r w:rsidRPr="00EC75B7">
        <w:rPr>
          <w:rFonts w:ascii="Verdana" w:hAnsi="Verdana"/>
          <w:sz w:val="18"/>
          <w:szCs w:val="18"/>
        </w:rPr>
        <w:t xml:space="preserve">91AA Ponto-Sarmatic forest vegetation with </w:t>
      </w:r>
      <w:r w:rsidRPr="00EC75B7">
        <w:rPr>
          <w:rFonts w:ascii="Verdana" w:hAnsi="Verdana"/>
          <w:spacing w:val="-2"/>
          <w:sz w:val="18"/>
          <w:szCs w:val="18"/>
        </w:rPr>
        <w:t xml:space="preserve">downy </w:t>
      </w:r>
      <w:r w:rsidRPr="00EC75B7">
        <w:rPr>
          <w:rFonts w:ascii="Verdana" w:hAnsi="Verdana"/>
          <w:sz w:val="18"/>
          <w:szCs w:val="18"/>
        </w:rPr>
        <w:t>oak</w:t>
      </w:r>
    </w:p>
    <w:p w14:paraId="181EA94E" w14:textId="77777777" w:rsidR="008715BE" w:rsidRPr="00EC75B7" w:rsidRDefault="00000000">
      <w:pPr>
        <w:pStyle w:val="ListParagraph"/>
        <w:numPr>
          <w:ilvl w:val="0"/>
          <w:numId w:val="97"/>
        </w:numPr>
        <w:tabs>
          <w:tab w:val="left" w:pos="1485"/>
        </w:tabs>
        <w:spacing w:before="109"/>
        <w:rPr>
          <w:rFonts w:ascii="Verdana" w:hAnsi="Verdana"/>
          <w:sz w:val="18"/>
          <w:szCs w:val="18"/>
        </w:rPr>
      </w:pPr>
      <w:r w:rsidRPr="00EC75B7">
        <w:rPr>
          <w:rFonts w:ascii="Verdana" w:hAnsi="Verdana"/>
          <w:sz w:val="18"/>
          <w:szCs w:val="18"/>
        </w:rPr>
        <w:t xml:space="preserve">40C0* </w:t>
      </w:r>
      <w:r w:rsidRPr="00EC75B7">
        <w:rPr>
          <w:rFonts w:ascii="Verdana" w:hAnsi="Verdana"/>
          <w:spacing w:val="-2"/>
          <w:sz w:val="18"/>
          <w:szCs w:val="18"/>
        </w:rPr>
        <w:t xml:space="preserve">Ponto-Sarmatic </w:t>
      </w:r>
      <w:r w:rsidRPr="00EC75B7">
        <w:rPr>
          <w:rFonts w:ascii="Verdana" w:hAnsi="Verdana"/>
          <w:sz w:val="18"/>
          <w:szCs w:val="18"/>
        </w:rPr>
        <w:t>deciduous scrub</w:t>
      </w:r>
    </w:p>
    <w:p w14:paraId="6B51C237" w14:textId="77777777" w:rsidR="008715BE" w:rsidRPr="00EC75B7" w:rsidRDefault="00000000">
      <w:pPr>
        <w:pStyle w:val="ListParagraph"/>
        <w:numPr>
          <w:ilvl w:val="0"/>
          <w:numId w:val="97"/>
        </w:numPr>
        <w:tabs>
          <w:tab w:val="left" w:pos="1485"/>
        </w:tabs>
        <w:spacing w:before="109"/>
        <w:rPr>
          <w:rFonts w:ascii="Verdana" w:hAnsi="Verdana"/>
          <w:sz w:val="18"/>
          <w:szCs w:val="18"/>
        </w:rPr>
      </w:pPr>
      <w:r w:rsidRPr="00EC75B7">
        <w:rPr>
          <w:rFonts w:ascii="Verdana" w:hAnsi="Verdana"/>
          <w:sz w:val="18"/>
          <w:szCs w:val="18"/>
        </w:rPr>
        <w:t xml:space="preserve">62C0* </w:t>
      </w:r>
      <w:r w:rsidRPr="00EC75B7">
        <w:rPr>
          <w:rFonts w:ascii="Verdana" w:hAnsi="Verdana"/>
          <w:spacing w:val="-2"/>
          <w:sz w:val="18"/>
          <w:szCs w:val="18"/>
        </w:rPr>
        <w:t xml:space="preserve">Ponto-Sarmatic </w:t>
      </w:r>
      <w:r w:rsidRPr="00EC75B7">
        <w:rPr>
          <w:rFonts w:ascii="Verdana" w:hAnsi="Verdana"/>
          <w:sz w:val="18"/>
          <w:szCs w:val="18"/>
        </w:rPr>
        <w:t>steppes</w:t>
      </w:r>
    </w:p>
    <w:p w14:paraId="3A94B09E" w14:textId="77777777" w:rsidR="008715BE" w:rsidRPr="00EC75B7" w:rsidRDefault="00000000">
      <w:pPr>
        <w:pStyle w:val="ListParagraph"/>
        <w:numPr>
          <w:ilvl w:val="0"/>
          <w:numId w:val="97"/>
        </w:numPr>
        <w:tabs>
          <w:tab w:val="left" w:pos="1485"/>
        </w:tabs>
        <w:spacing w:before="107"/>
        <w:rPr>
          <w:rFonts w:ascii="Verdana" w:hAnsi="Verdana"/>
          <w:sz w:val="18"/>
          <w:szCs w:val="18"/>
        </w:rPr>
      </w:pPr>
      <w:r w:rsidRPr="00EC75B7">
        <w:rPr>
          <w:rFonts w:ascii="Verdana" w:hAnsi="Verdana"/>
          <w:sz w:val="18"/>
          <w:szCs w:val="18"/>
        </w:rPr>
        <w:t xml:space="preserve">91M0 Balkan-Pannonian forests of oak and </w:t>
      </w:r>
      <w:r w:rsidRPr="00EC75B7">
        <w:rPr>
          <w:rFonts w:ascii="Verdana" w:hAnsi="Verdana"/>
          <w:spacing w:val="-4"/>
          <w:sz w:val="18"/>
          <w:szCs w:val="18"/>
        </w:rPr>
        <w:t>hornbeam</w:t>
      </w:r>
    </w:p>
    <w:p w14:paraId="754861F4" w14:textId="77777777" w:rsidR="008715BE" w:rsidRPr="00EC75B7" w:rsidRDefault="008715BE">
      <w:pPr>
        <w:pStyle w:val="BodyText"/>
        <w:spacing w:before="9"/>
        <w:rPr>
          <w:rFonts w:ascii="Verdana" w:hAnsi="Verdana"/>
        </w:rPr>
      </w:pPr>
    </w:p>
    <w:p w14:paraId="74E2D58F" w14:textId="77777777" w:rsidR="008715BE" w:rsidRPr="00EC75B7" w:rsidRDefault="00000000">
      <w:pPr>
        <w:pStyle w:val="BodyText"/>
        <w:ind w:left="765"/>
        <w:jc w:val="both"/>
        <w:rPr>
          <w:rFonts w:ascii="Verdana" w:hAnsi="Verdana"/>
        </w:rPr>
      </w:pPr>
      <w:r w:rsidRPr="00EC75B7">
        <w:rPr>
          <w:rFonts w:ascii="Verdana" w:hAnsi="Verdana"/>
        </w:rPr>
        <w:t xml:space="preserve">The site </w:t>
      </w:r>
      <w:r w:rsidRPr="00EC75B7">
        <w:rPr>
          <w:rFonts w:ascii="Verdana" w:hAnsi="Verdana"/>
          <w:spacing w:val="-2"/>
        </w:rPr>
        <w:t>hosts:</w:t>
      </w:r>
    </w:p>
    <w:p w14:paraId="3862FE06" w14:textId="77777777" w:rsidR="008715BE" w:rsidRPr="00EC75B7" w:rsidRDefault="008715BE">
      <w:pPr>
        <w:pStyle w:val="BodyText"/>
        <w:spacing w:before="46"/>
        <w:rPr>
          <w:rFonts w:ascii="Verdana" w:hAnsi="Verdana"/>
        </w:rPr>
      </w:pPr>
    </w:p>
    <w:p w14:paraId="48B7F95B" w14:textId="77777777" w:rsidR="008715BE" w:rsidRPr="00EC75B7" w:rsidRDefault="00000000">
      <w:pPr>
        <w:pStyle w:val="ListParagraph"/>
        <w:numPr>
          <w:ilvl w:val="0"/>
          <w:numId w:val="97"/>
        </w:numPr>
        <w:tabs>
          <w:tab w:val="left" w:pos="1485"/>
        </w:tabs>
        <w:spacing w:before="1" w:line="357" w:lineRule="auto"/>
        <w:ind w:right="848"/>
        <w:jc w:val="both"/>
        <w:rPr>
          <w:rFonts w:ascii="Verdana" w:hAnsi="Verdana"/>
          <w:sz w:val="18"/>
          <w:szCs w:val="18"/>
        </w:rPr>
      </w:pPr>
      <w:r w:rsidRPr="00EC75B7">
        <w:rPr>
          <w:rFonts w:ascii="Verdana" w:hAnsi="Verdana"/>
          <w:sz w:val="18"/>
          <w:szCs w:val="18"/>
        </w:rPr>
        <w:t xml:space="preserve">7 mammal species listed in Annex II to Directive 92/43/EEC </w:t>
      </w:r>
      <w:r w:rsidRPr="00EC75B7">
        <w:rPr>
          <w:rFonts w:ascii="Verdana" w:hAnsi="Verdana"/>
          <w:i/>
          <w:sz w:val="18"/>
          <w:szCs w:val="18"/>
        </w:rPr>
        <w:t xml:space="preserve">Spermophilus citellus, Mesocricetus </w:t>
      </w:r>
      <w:r w:rsidRPr="00EC75B7">
        <w:rPr>
          <w:rFonts w:ascii="Verdana" w:hAnsi="Verdana"/>
          <w:i/>
          <w:sz w:val="18"/>
          <w:szCs w:val="18"/>
        </w:rPr>
        <w:lastRenderedPageBreak/>
        <w:t>newtoni, Rhinolophus mehelyi, Miniopterus schreibersii, Rhinolophus ferrumequinum, Myotis capaccinii, Mustela eversmannii</w:t>
      </w:r>
      <w:r w:rsidRPr="00EC75B7">
        <w:rPr>
          <w:rFonts w:ascii="Verdana" w:hAnsi="Verdana"/>
          <w:sz w:val="18"/>
          <w:szCs w:val="18"/>
        </w:rPr>
        <w:t>;</w:t>
      </w:r>
    </w:p>
    <w:p w14:paraId="54E5F558" w14:textId="77777777" w:rsidR="008715BE" w:rsidRPr="00EC75B7" w:rsidRDefault="00000000">
      <w:pPr>
        <w:pStyle w:val="ListParagraph"/>
        <w:numPr>
          <w:ilvl w:val="0"/>
          <w:numId w:val="97"/>
        </w:numPr>
        <w:tabs>
          <w:tab w:val="left" w:pos="1485"/>
        </w:tabs>
        <w:spacing w:before="2" w:line="360" w:lineRule="auto"/>
        <w:ind w:right="852"/>
        <w:jc w:val="both"/>
        <w:rPr>
          <w:rFonts w:ascii="Verdana" w:hAnsi="Verdana"/>
          <w:sz w:val="18"/>
          <w:szCs w:val="18"/>
        </w:rPr>
      </w:pPr>
      <w:r w:rsidRPr="00EC75B7">
        <w:rPr>
          <w:rFonts w:ascii="Verdana" w:hAnsi="Verdana"/>
          <w:sz w:val="18"/>
          <w:szCs w:val="18"/>
        </w:rPr>
        <w:t xml:space="preserve">2 species of amphibians and reptiles listed in Annex II to Directive 92/43/EEC: </w:t>
      </w:r>
      <w:r w:rsidRPr="00EC75B7">
        <w:rPr>
          <w:rFonts w:ascii="Verdana" w:hAnsi="Verdana"/>
          <w:i/>
          <w:sz w:val="18"/>
          <w:szCs w:val="18"/>
        </w:rPr>
        <w:t xml:space="preserve">Testudo graeca, Emys </w:t>
      </w:r>
      <w:r w:rsidRPr="00EC75B7">
        <w:rPr>
          <w:rFonts w:ascii="Verdana" w:hAnsi="Verdana"/>
          <w:i/>
          <w:spacing w:val="-2"/>
          <w:sz w:val="18"/>
          <w:szCs w:val="18"/>
        </w:rPr>
        <w:t>orbicularis</w:t>
      </w:r>
      <w:r w:rsidRPr="00EC75B7">
        <w:rPr>
          <w:rFonts w:ascii="Verdana" w:hAnsi="Verdana"/>
          <w:spacing w:val="-2"/>
          <w:sz w:val="18"/>
          <w:szCs w:val="18"/>
        </w:rPr>
        <w:t>;</w:t>
      </w:r>
    </w:p>
    <w:p w14:paraId="15021048" w14:textId="77777777" w:rsidR="008715BE" w:rsidRPr="00EC75B7" w:rsidRDefault="00000000">
      <w:pPr>
        <w:pStyle w:val="ListParagraph"/>
        <w:numPr>
          <w:ilvl w:val="0"/>
          <w:numId w:val="97"/>
        </w:numPr>
        <w:tabs>
          <w:tab w:val="left" w:pos="1485"/>
        </w:tabs>
        <w:spacing w:line="360" w:lineRule="auto"/>
        <w:ind w:right="850"/>
        <w:jc w:val="both"/>
        <w:rPr>
          <w:rFonts w:ascii="Verdana" w:hAnsi="Verdana"/>
          <w:sz w:val="18"/>
          <w:szCs w:val="18"/>
        </w:rPr>
      </w:pPr>
      <w:r w:rsidRPr="00EC75B7">
        <w:rPr>
          <w:rFonts w:ascii="Verdana" w:hAnsi="Verdana"/>
          <w:sz w:val="18"/>
          <w:szCs w:val="18"/>
        </w:rPr>
        <w:t xml:space="preserve">4 plant species listed in Annex II to Directive 92/43/EEC: </w:t>
      </w:r>
      <w:r w:rsidRPr="00EC75B7">
        <w:rPr>
          <w:rFonts w:ascii="Verdana" w:hAnsi="Verdana"/>
          <w:i/>
          <w:sz w:val="18"/>
          <w:szCs w:val="18"/>
        </w:rPr>
        <w:t>Himantoglossum caprinum, Potentilla emilii-popii, Centaurea jankae, Echium russicum</w:t>
      </w:r>
      <w:r w:rsidRPr="00EC75B7">
        <w:rPr>
          <w:rFonts w:ascii="Verdana" w:hAnsi="Verdana"/>
          <w:sz w:val="18"/>
          <w:szCs w:val="18"/>
        </w:rPr>
        <w:t>:</w:t>
      </w:r>
    </w:p>
    <w:p w14:paraId="0B374F6F" w14:textId="77777777" w:rsidR="008715BE" w:rsidRDefault="00000000">
      <w:pPr>
        <w:spacing w:before="114" w:line="357" w:lineRule="auto"/>
        <w:ind w:left="765" w:right="849"/>
        <w:jc w:val="both"/>
        <w:rPr>
          <w:rFonts w:ascii="Verdana" w:hAnsi="Verdana"/>
          <w:sz w:val="18"/>
          <w:szCs w:val="18"/>
        </w:rPr>
      </w:pPr>
      <w:r w:rsidRPr="00EC75B7">
        <w:rPr>
          <w:rFonts w:ascii="Verdana" w:hAnsi="Verdana"/>
          <w:sz w:val="18"/>
          <w:szCs w:val="18"/>
        </w:rPr>
        <w:t>42 Other important species of flora and fauna:</w:t>
      </w:r>
      <w:r w:rsidRPr="00EC75B7">
        <w:rPr>
          <w:rFonts w:ascii="Verdana" w:hAnsi="Verdana"/>
          <w:i/>
          <w:sz w:val="18"/>
          <w:szCs w:val="18"/>
        </w:rPr>
        <w:t>Anacamptis pyramidalis, Beta trigyna, Centaurea napulifera ssp. thirkei, Centaurea rutifolia ssp. jurineifolia, Centaurea varnensis, Chamaecytisus jankae, Colchicum fominii Convolvulus lineatus, Crocus chrysanthus, Dictamnus albus, Galanthus elwesii, Heliotropium dolosum, Hottonia palustris, Minuartia bilykiana, Myrrhoides nodosa, Nepeta parviflora, Ononis pusilla, Onosma taurica, Opopanax bulgaricus, Orchis purpurea, Orchis simian, Ornithogalum comosum, Ornithogalum oreoides, Paeonia peregrine, Paeonia tenuifolia, Parietaria lusitanica ssp. serbica, Phleum subulatum, Plumbago europaea, Prunus tenella, Rindera umbellate, Salvia ringens, Salvinia natans, Scabiosa micrantha, Scorzonera mollis, Seseli tortuosum, Silene dichotoma, Stachys oblique, Sternbergia colchiciflora, Stipa ucrainica, Trapa natans, Trigonella gladiate, Trigonella monspeliaca and animals: Vipera ammodytes, Lacerta viridis, Lacerta taurica, Coluber jugularis</w:t>
      </w:r>
      <w:r w:rsidRPr="00EC75B7">
        <w:rPr>
          <w:rFonts w:ascii="Verdana" w:hAnsi="Verdana"/>
          <w:sz w:val="18"/>
          <w:szCs w:val="18"/>
        </w:rPr>
        <w:t>.</w:t>
      </w:r>
    </w:p>
    <w:p w14:paraId="5CAD8F44" w14:textId="77777777" w:rsidR="00E7611D" w:rsidRPr="00EC75B7" w:rsidRDefault="00E7611D">
      <w:pPr>
        <w:spacing w:before="114" w:line="357" w:lineRule="auto"/>
        <w:ind w:left="765" w:right="849"/>
        <w:jc w:val="both"/>
        <w:rPr>
          <w:rFonts w:ascii="Verdana" w:hAnsi="Verdana"/>
          <w:sz w:val="18"/>
          <w:szCs w:val="18"/>
        </w:rPr>
      </w:pPr>
    </w:p>
    <w:p w14:paraId="63EF0E6B" w14:textId="5CD50C05" w:rsidR="008715BE" w:rsidRPr="00EC75B7" w:rsidRDefault="00E7611D" w:rsidP="00E7611D">
      <w:pPr>
        <w:pStyle w:val="BodyText"/>
        <w:spacing w:before="9"/>
        <w:jc w:val="center"/>
        <w:rPr>
          <w:rFonts w:ascii="Verdana" w:hAnsi="Verdana"/>
        </w:rPr>
      </w:pPr>
      <w:r>
        <w:rPr>
          <w:noProof/>
        </w:rPr>
        <w:drawing>
          <wp:inline distT="0" distB="0" distL="0" distR="0" wp14:anchorId="623567FA" wp14:editId="4377ED38">
            <wp:extent cx="5580380" cy="4032250"/>
            <wp:effectExtent l="0" t="0" r="1270" b="6350"/>
            <wp:docPr id="10282361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84206" cy="4035015"/>
                    </a:xfrm>
                    <a:prstGeom prst="rect">
                      <a:avLst/>
                    </a:prstGeom>
                    <a:noFill/>
                    <a:ln>
                      <a:noFill/>
                    </a:ln>
                  </pic:spPr>
                </pic:pic>
              </a:graphicData>
            </a:graphic>
          </wp:inline>
        </w:drawing>
      </w:r>
    </w:p>
    <w:p w14:paraId="65090871" w14:textId="77777777" w:rsidR="008715BE" w:rsidRPr="00EC75B7" w:rsidRDefault="00000000">
      <w:pPr>
        <w:spacing w:before="197"/>
        <w:ind w:left="750" w:right="831"/>
        <w:jc w:val="center"/>
        <w:rPr>
          <w:rFonts w:ascii="Verdana" w:hAnsi="Verdana"/>
          <w:b/>
          <w:sz w:val="18"/>
          <w:szCs w:val="18"/>
        </w:rPr>
      </w:pPr>
      <w:r w:rsidRPr="00EC75B7">
        <w:rPr>
          <w:rFonts w:ascii="Verdana" w:hAnsi="Verdana"/>
          <w:b/>
          <w:color w:val="009DEF"/>
          <w:spacing w:val="-2"/>
          <w:sz w:val="18"/>
          <w:szCs w:val="18"/>
        </w:rPr>
        <w:t xml:space="preserve">Figure no. 15 Location of the project in relation to ROSAC0157 Hagieni Forest - Cotul </w:t>
      </w:r>
      <w:r w:rsidRPr="00EC75B7">
        <w:rPr>
          <w:rFonts w:ascii="Verdana" w:hAnsi="Verdana"/>
          <w:b/>
          <w:color w:val="009DEF"/>
          <w:spacing w:val="-4"/>
          <w:sz w:val="18"/>
          <w:szCs w:val="18"/>
        </w:rPr>
        <w:t>Văii</w:t>
      </w:r>
    </w:p>
    <w:p w14:paraId="2695D4A2" w14:textId="77777777" w:rsidR="008715BE" w:rsidRPr="00EC75B7" w:rsidRDefault="008715BE">
      <w:pPr>
        <w:jc w:val="center"/>
        <w:rPr>
          <w:rFonts w:ascii="Verdana" w:hAnsi="Verdana"/>
          <w:b/>
          <w:sz w:val="18"/>
          <w:szCs w:val="18"/>
        </w:rPr>
        <w:sectPr w:rsidR="008715BE" w:rsidRPr="00EC75B7">
          <w:pgSz w:w="11910" w:h="16840"/>
          <w:pgMar w:top="1160" w:right="141" w:bottom="1020" w:left="425" w:header="766" w:footer="797" w:gutter="0"/>
          <w:cols w:space="708"/>
        </w:sectPr>
      </w:pPr>
    </w:p>
    <w:p w14:paraId="5D0B0ECF" w14:textId="77777777" w:rsidR="008715BE" w:rsidRPr="00EC75B7" w:rsidRDefault="008715BE">
      <w:pPr>
        <w:pStyle w:val="BodyText"/>
        <w:spacing w:before="46"/>
        <w:rPr>
          <w:rFonts w:ascii="Verdana" w:hAnsi="Verdana"/>
          <w:b/>
        </w:rPr>
      </w:pPr>
    </w:p>
    <w:p w14:paraId="0C4411BD" w14:textId="77777777" w:rsidR="008715BE" w:rsidRPr="00EC75B7" w:rsidRDefault="00000000">
      <w:pPr>
        <w:pStyle w:val="Heading5"/>
        <w:numPr>
          <w:ilvl w:val="0"/>
          <w:numId w:val="98"/>
        </w:numPr>
        <w:tabs>
          <w:tab w:val="left" w:pos="1512"/>
        </w:tabs>
        <w:spacing w:before="1"/>
        <w:ind w:left="1512" w:hanging="358"/>
        <w:rPr>
          <w:rFonts w:ascii="Verdana" w:hAnsi="Verdana"/>
        </w:rPr>
      </w:pPr>
      <w:r w:rsidRPr="00EC75B7">
        <w:rPr>
          <w:rFonts w:ascii="Verdana" w:hAnsi="Verdana"/>
        </w:rPr>
        <w:t xml:space="preserve">ROSPA0166 </w:t>
      </w:r>
      <w:r w:rsidRPr="00EC75B7">
        <w:rPr>
          <w:rFonts w:ascii="Verdana" w:hAnsi="Verdana"/>
          <w:spacing w:val="-2"/>
        </w:rPr>
        <w:t>Plopeni-Chirnogeni</w:t>
      </w:r>
    </w:p>
    <w:p w14:paraId="2A6940C6" w14:textId="77777777" w:rsidR="008715BE" w:rsidRPr="00EC75B7" w:rsidRDefault="008715BE">
      <w:pPr>
        <w:pStyle w:val="BodyText"/>
        <w:spacing w:before="9"/>
        <w:rPr>
          <w:rFonts w:ascii="Verdana" w:hAnsi="Verdana"/>
          <w:b/>
        </w:rPr>
      </w:pPr>
    </w:p>
    <w:p w14:paraId="22E6BFDA" w14:textId="77777777" w:rsidR="008715BE" w:rsidRPr="00EC75B7" w:rsidRDefault="00000000">
      <w:pPr>
        <w:pStyle w:val="BodyText"/>
        <w:spacing w:line="357" w:lineRule="auto"/>
        <w:ind w:left="765" w:right="846"/>
        <w:jc w:val="both"/>
        <w:rPr>
          <w:rFonts w:ascii="Verdana" w:hAnsi="Verdana"/>
        </w:rPr>
      </w:pPr>
      <w:r w:rsidRPr="00EC75B7">
        <w:rPr>
          <w:rFonts w:ascii="Verdana" w:hAnsi="Verdana"/>
        </w:rPr>
        <w:t>The natural bird protection area was declared in 2016 by Government Decision No. 663/2016 on the establishment of the protected natural area regime and the declaration of special bird protection areas as an integral part of the Natura 2000 ecological network in Romania.</w:t>
      </w:r>
      <w:r w:rsidRPr="00EC75B7">
        <w:rPr>
          <w:rFonts w:ascii="Verdana" w:hAnsi="Verdana"/>
          <w:spacing w:val="-2"/>
        </w:rPr>
        <w:t xml:space="preserve"> </w:t>
      </w:r>
      <w:r w:rsidRPr="00EC75B7">
        <w:rPr>
          <w:rFonts w:ascii="Verdana" w:hAnsi="Verdana"/>
        </w:rPr>
        <w:t xml:space="preserve">The site covers an area of 137.20 ha and is designated for nine bird species, namely: </w:t>
      </w:r>
      <w:r w:rsidRPr="00EC75B7">
        <w:rPr>
          <w:rFonts w:ascii="Verdana" w:hAnsi="Verdana"/>
          <w:i/>
        </w:rPr>
        <w:t>Anthus campestris, Buteo rufinus, Circus cyaneus, Dendrocopos syriacus, Emberiza hortulana, Falco columbarius, Falco vespertinus, Lanius collurio, and Lanius minor.</w:t>
      </w:r>
      <w:r w:rsidRPr="00EC75B7">
        <w:rPr>
          <w:rFonts w:ascii="Verdana" w:hAnsi="Verdana"/>
          <w:i/>
          <w:spacing w:val="-12"/>
        </w:rPr>
        <w:t xml:space="preserve"> </w:t>
      </w:r>
      <w:r w:rsidRPr="00EC75B7">
        <w:rPr>
          <w:rFonts w:ascii="Verdana" w:hAnsi="Verdana"/>
        </w:rPr>
        <w:t>The site runs from north to south, between the towns of Plopeni and Chirnogeni (Constanța County), along the road connecting the two towns. Red-footed falcons (</w:t>
      </w:r>
      <w:r w:rsidRPr="00EC75B7">
        <w:rPr>
          <w:rFonts w:ascii="Verdana" w:hAnsi="Verdana"/>
          <w:i/>
        </w:rPr>
        <w:t>Falco vespertinus</w:t>
      </w:r>
      <w:r w:rsidRPr="00EC75B7">
        <w:rPr>
          <w:rFonts w:ascii="Verdana" w:hAnsi="Verdana"/>
        </w:rPr>
        <w:t>) nest in the crows' nests in the walnut trees lining the road. On the sides of the road, within the site, there are more or less degraded grasslands. Also within the site there are significant acacia plantations that may in the future shelter other colonies of red-footed falcons. Around the site there are agricultural areas that are hunting grounds for red-footed falcons.</w:t>
      </w:r>
    </w:p>
    <w:p w14:paraId="095AD275" w14:textId="02D78287" w:rsidR="008715BE" w:rsidRPr="00EC75B7" w:rsidRDefault="00E7611D" w:rsidP="00E7611D">
      <w:pPr>
        <w:pStyle w:val="BodyText"/>
        <w:spacing w:before="10"/>
        <w:jc w:val="center"/>
        <w:rPr>
          <w:rFonts w:ascii="Verdana" w:hAnsi="Verdana"/>
        </w:rPr>
      </w:pPr>
      <w:r>
        <w:rPr>
          <w:noProof/>
        </w:rPr>
        <w:drawing>
          <wp:inline distT="0" distB="0" distL="0" distR="0" wp14:anchorId="725115D0" wp14:editId="7633FCD8">
            <wp:extent cx="5587312" cy="3951605"/>
            <wp:effectExtent l="0" t="0" r="0" b="0"/>
            <wp:docPr id="2863340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90720" cy="3954016"/>
                    </a:xfrm>
                    <a:prstGeom prst="rect">
                      <a:avLst/>
                    </a:prstGeom>
                    <a:noFill/>
                    <a:ln>
                      <a:noFill/>
                    </a:ln>
                  </pic:spPr>
                </pic:pic>
              </a:graphicData>
            </a:graphic>
          </wp:inline>
        </w:drawing>
      </w:r>
    </w:p>
    <w:p w14:paraId="7C48982F" w14:textId="77777777" w:rsidR="008715BE" w:rsidRPr="00EC75B7" w:rsidRDefault="00000000">
      <w:pPr>
        <w:spacing w:before="194"/>
        <w:ind w:left="747" w:right="833"/>
        <w:jc w:val="center"/>
        <w:rPr>
          <w:rFonts w:ascii="Verdana" w:hAnsi="Verdana"/>
          <w:b/>
          <w:sz w:val="18"/>
          <w:szCs w:val="18"/>
        </w:rPr>
      </w:pPr>
      <w:r w:rsidRPr="00EC75B7">
        <w:rPr>
          <w:rFonts w:ascii="Verdana" w:hAnsi="Verdana"/>
          <w:b/>
          <w:color w:val="009DEF"/>
          <w:sz w:val="18"/>
          <w:szCs w:val="18"/>
        </w:rPr>
        <w:t xml:space="preserve">Figure no. 16 Location of the project in relation to ROSPA0166 </w:t>
      </w:r>
      <w:r w:rsidRPr="00EC75B7">
        <w:rPr>
          <w:rFonts w:ascii="Verdana" w:hAnsi="Verdana"/>
          <w:b/>
          <w:color w:val="009DEF"/>
          <w:spacing w:val="-2"/>
          <w:sz w:val="18"/>
          <w:szCs w:val="18"/>
        </w:rPr>
        <w:t>Plopeni-Chirnogeni</w:t>
      </w:r>
    </w:p>
    <w:p w14:paraId="0803406F" w14:textId="77777777" w:rsidR="008715BE" w:rsidRPr="00EC75B7" w:rsidRDefault="008715BE">
      <w:pPr>
        <w:pStyle w:val="BodyText"/>
        <w:spacing w:before="45"/>
        <w:rPr>
          <w:rFonts w:ascii="Verdana" w:hAnsi="Verdana"/>
          <w:b/>
        </w:rPr>
      </w:pPr>
    </w:p>
    <w:p w14:paraId="7FCB9173" w14:textId="77777777" w:rsidR="008715BE" w:rsidRPr="00EC75B7" w:rsidRDefault="00000000">
      <w:pPr>
        <w:spacing w:line="357" w:lineRule="auto"/>
        <w:ind w:left="765" w:right="849"/>
        <w:jc w:val="both"/>
        <w:rPr>
          <w:rFonts w:ascii="Verdana" w:hAnsi="Verdana"/>
          <w:sz w:val="18"/>
          <w:szCs w:val="18"/>
        </w:rPr>
      </w:pPr>
      <w:r w:rsidRPr="00EC75B7">
        <w:rPr>
          <w:rFonts w:ascii="Verdana" w:hAnsi="Verdana"/>
          <w:sz w:val="18"/>
          <w:szCs w:val="18"/>
        </w:rPr>
        <w:t xml:space="preserve">For the project </w:t>
      </w:r>
      <w:r w:rsidRPr="00EC75B7">
        <w:rPr>
          <w:rFonts w:ascii="Verdana" w:hAnsi="Verdana"/>
          <w:b/>
          <w:sz w:val="18"/>
          <w:szCs w:val="18"/>
        </w:rPr>
        <w:t>"</w:t>
      </w:r>
      <w:r w:rsidRPr="00EC75B7">
        <w:rPr>
          <w:rFonts w:ascii="Verdana" w:hAnsi="Verdana"/>
          <w:i/>
          <w:sz w:val="18"/>
          <w:szCs w:val="18"/>
        </w:rPr>
        <w:t>Wind farm 48 (46) wind turbines approx. 316.8MW (303.6MW), Transformer stations, Connection networks, construction and modernisation of communication and access routes", located in the commune of Cerchezu, Constanța County</w:t>
      </w:r>
      <w:r w:rsidRPr="00EC75B7">
        <w:rPr>
          <w:rFonts w:ascii="Verdana" w:hAnsi="Verdana"/>
          <w:sz w:val="18"/>
          <w:szCs w:val="18"/>
        </w:rPr>
        <w:t>, was issued by the National Agency for Environment and Protected Areas, as the competent authority responsible for the administration of the protected natural areas ROSAC0071 Dumbraveni -Valea Urluia – Lacul Vederoasa, ROSPA0166 Plopeni-Chirnogeni, ROSAC0157 Hagieni Cotul – Vaii Forest, ROSPA0094 Hagieni Forest, ROSPA0151 Ciobanita Osmancea, ROSPA0001 Aliman-Adamclisi, Favorable Opinion No. 81/17.12.2025.</w:t>
      </w:r>
    </w:p>
    <w:p w14:paraId="3F97F2A5" w14:textId="77777777" w:rsidR="008715BE" w:rsidRPr="00EC75B7" w:rsidRDefault="008715BE">
      <w:pPr>
        <w:spacing w:line="357" w:lineRule="auto"/>
        <w:jc w:val="both"/>
        <w:rPr>
          <w:rFonts w:ascii="Verdana" w:hAnsi="Verdana"/>
          <w:sz w:val="18"/>
          <w:szCs w:val="18"/>
        </w:rPr>
        <w:sectPr w:rsidR="008715BE" w:rsidRPr="00EC75B7">
          <w:pgSz w:w="11910" w:h="16840"/>
          <w:pgMar w:top="1160" w:right="141" w:bottom="1020" w:left="425" w:header="766" w:footer="797" w:gutter="0"/>
          <w:cols w:space="708"/>
        </w:sectPr>
      </w:pPr>
    </w:p>
    <w:p w14:paraId="4344862C" w14:textId="77777777" w:rsidR="008715BE" w:rsidRPr="00EC75B7" w:rsidRDefault="008715BE">
      <w:pPr>
        <w:pStyle w:val="BodyText"/>
        <w:spacing w:before="46"/>
        <w:rPr>
          <w:rFonts w:ascii="Verdana" w:hAnsi="Verdana"/>
        </w:rPr>
      </w:pPr>
    </w:p>
    <w:p w14:paraId="36DC24D8" w14:textId="77777777" w:rsidR="008715BE" w:rsidRPr="00EC75B7" w:rsidRDefault="00000000">
      <w:pPr>
        <w:pStyle w:val="Heading5"/>
        <w:numPr>
          <w:ilvl w:val="0"/>
          <w:numId w:val="98"/>
        </w:numPr>
        <w:tabs>
          <w:tab w:val="left" w:pos="1512"/>
        </w:tabs>
        <w:spacing w:before="1"/>
        <w:ind w:left="1512" w:hanging="358"/>
        <w:rPr>
          <w:rFonts w:ascii="Verdana" w:hAnsi="Verdana"/>
        </w:rPr>
      </w:pPr>
      <w:r w:rsidRPr="00EC75B7">
        <w:rPr>
          <w:rFonts w:ascii="Verdana" w:hAnsi="Verdana"/>
        </w:rPr>
        <w:t xml:space="preserve">BG0000569 </w:t>
      </w:r>
      <w:r w:rsidRPr="00EC75B7">
        <w:rPr>
          <w:rFonts w:ascii="Verdana" w:hAnsi="Verdana"/>
          <w:spacing w:val="-2"/>
        </w:rPr>
        <w:t>Kardam</w:t>
      </w:r>
    </w:p>
    <w:p w14:paraId="367E4AA9" w14:textId="77777777" w:rsidR="008715BE" w:rsidRPr="00EC75B7" w:rsidRDefault="008715BE">
      <w:pPr>
        <w:pStyle w:val="BodyText"/>
        <w:spacing w:before="9"/>
        <w:rPr>
          <w:rFonts w:ascii="Verdana" w:hAnsi="Verdana"/>
          <w:b/>
        </w:rPr>
      </w:pPr>
    </w:p>
    <w:p w14:paraId="26030738" w14:textId="77777777" w:rsidR="008715BE" w:rsidRPr="00EC75B7" w:rsidRDefault="00000000">
      <w:pPr>
        <w:pStyle w:val="BodyText"/>
        <w:spacing w:line="357" w:lineRule="auto"/>
        <w:ind w:left="765" w:right="857"/>
        <w:jc w:val="both"/>
        <w:rPr>
          <w:rFonts w:ascii="Verdana" w:hAnsi="Verdana"/>
        </w:rPr>
      </w:pPr>
      <w:r w:rsidRPr="00EC75B7">
        <w:rPr>
          <w:rFonts w:ascii="Verdana" w:hAnsi="Verdana"/>
        </w:rPr>
        <w:t>It was established as a site of Community importance in 2008 and covers an area of 918.92 ha. The site is important for its invertebrate fauna. The small isolated patches of steppe and dry karst valleys and canyons are important for small mammals and rare steppe bats.</w:t>
      </w:r>
    </w:p>
    <w:p w14:paraId="5D38B04E" w14:textId="77777777" w:rsidR="008715BE" w:rsidRPr="00EC75B7" w:rsidRDefault="00000000">
      <w:pPr>
        <w:spacing w:before="122" w:line="357" w:lineRule="auto"/>
        <w:ind w:left="765" w:right="849"/>
        <w:jc w:val="both"/>
        <w:rPr>
          <w:rFonts w:ascii="Verdana" w:hAnsi="Verdana"/>
          <w:sz w:val="18"/>
          <w:szCs w:val="18"/>
        </w:rPr>
      </w:pPr>
      <w:r w:rsidRPr="00EC75B7">
        <w:rPr>
          <w:rFonts w:ascii="Verdana" w:hAnsi="Verdana"/>
          <w:sz w:val="18"/>
          <w:szCs w:val="18"/>
        </w:rPr>
        <w:t>The site has been designated for the protection of eight species of fauna: four reptiles (</w:t>
      </w:r>
      <w:r w:rsidRPr="00EC75B7">
        <w:rPr>
          <w:rFonts w:ascii="Verdana" w:hAnsi="Verdana"/>
          <w:i/>
          <w:sz w:val="18"/>
          <w:szCs w:val="18"/>
        </w:rPr>
        <w:t>Testudo hermanni, Testudo graeca, Emys orbicularis, Elaphe ouromates</w:t>
      </w:r>
      <w:r w:rsidRPr="00EC75B7">
        <w:rPr>
          <w:rFonts w:ascii="Verdana" w:hAnsi="Verdana"/>
          <w:sz w:val="18"/>
          <w:szCs w:val="18"/>
        </w:rPr>
        <w:t>) and four mammals (</w:t>
      </w:r>
      <w:r w:rsidRPr="00EC75B7">
        <w:rPr>
          <w:rFonts w:ascii="Verdana" w:hAnsi="Verdana"/>
          <w:i/>
          <w:sz w:val="18"/>
          <w:szCs w:val="18"/>
        </w:rPr>
        <w:t>Vormela peregusna, Spermophilus citellus, Mustela eversmanii, Mesocricetus newtoni</w:t>
      </w:r>
      <w:r w:rsidRPr="00EC75B7">
        <w:rPr>
          <w:rFonts w:ascii="Verdana" w:hAnsi="Verdana"/>
          <w:sz w:val="18"/>
          <w:szCs w:val="18"/>
        </w:rPr>
        <w:t xml:space="preserve">) and two habitats (6110 Rocky grasslands with pioneer species and 6210 </w:t>
      </w:r>
      <w:r w:rsidRPr="00EC75B7">
        <w:rPr>
          <w:rFonts w:ascii="Verdana" w:hAnsi="Verdana"/>
          <w:spacing w:val="-2"/>
          <w:sz w:val="18"/>
          <w:szCs w:val="18"/>
        </w:rPr>
        <w:t>Steppe</w:t>
      </w:r>
      <w:r w:rsidRPr="00EC75B7">
        <w:rPr>
          <w:rFonts w:ascii="Verdana" w:hAnsi="Verdana"/>
          <w:sz w:val="18"/>
          <w:szCs w:val="18"/>
        </w:rPr>
        <w:t xml:space="preserve"> grasslands</w:t>
      </w:r>
      <w:r w:rsidRPr="00EC75B7">
        <w:rPr>
          <w:rFonts w:ascii="Verdana" w:hAnsi="Verdana"/>
          <w:spacing w:val="-2"/>
          <w:sz w:val="18"/>
          <w:szCs w:val="18"/>
        </w:rPr>
        <w:t>).</w:t>
      </w:r>
    </w:p>
    <w:p w14:paraId="62D08CAE" w14:textId="1A2E4563" w:rsidR="008715BE" w:rsidRPr="00EC75B7" w:rsidRDefault="00E7611D" w:rsidP="00E7611D">
      <w:pPr>
        <w:pStyle w:val="BodyText"/>
        <w:spacing w:before="5"/>
        <w:jc w:val="center"/>
        <w:rPr>
          <w:rFonts w:ascii="Verdana" w:hAnsi="Verdana"/>
        </w:rPr>
      </w:pPr>
      <w:r>
        <w:rPr>
          <w:noProof/>
        </w:rPr>
        <w:drawing>
          <wp:inline distT="0" distB="0" distL="0" distR="0" wp14:anchorId="6D53AB1E" wp14:editId="14DCD069">
            <wp:extent cx="5623226" cy="3977005"/>
            <wp:effectExtent l="0" t="0" r="0" b="4445"/>
            <wp:docPr id="2074482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4457" cy="3977876"/>
                    </a:xfrm>
                    <a:prstGeom prst="rect">
                      <a:avLst/>
                    </a:prstGeom>
                    <a:noFill/>
                    <a:ln>
                      <a:noFill/>
                    </a:ln>
                  </pic:spPr>
                </pic:pic>
              </a:graphicData>
            </a:graphic>
          </wp:inline>
        </w:drawing>
      </w:r>
    </w:p>
    <w:p w14:paraId="75B1E213" w14:textId="77777777" w:rsidR="008715BE" w:rsidRPr="00EC75B7" w:rsidRDefault="008715BE">
      <w:pPr>
        <w:pStyle w:val="BodyText"/>
        <w:spacing w:before="3"/>
        <w:rPr>
          <w:rFonts w:ascii="Verdana" w:hAnsi="Verdana"/>
        </w:rPr>
      </w:pPr>
    </w:p>
    <w:p w14:paraId="443ADE33" w14:textId="77777777" w:rsidR="008715BE" w:rsidRPr="00EC75B7" w:rsidRDefault="00000000">
      <w:pPr>
        <w:ind w:left="747" w:right="831"/>
        <w:jc w:val="center"/>
        <w:rPr>
          <w:rFonts w:ascii="Verdana" w:hAnsi="Verdana"/>
          <w:b/>
          <w:sz w:val="18"/>
          <w:szCs w:val="18"/>
        </w:rPr>
      </w:pPr>
      <w:r w:rsidRPr="00EC75B7">
        <w:rPr>
          <w:rFonts w:ascii="Verdana" w:hAnsi="Verdana"/>
          <w:b/>
          <w:color w:val="009DEF"/>
          <w:sz w:val="18"/>
          <w:szCs w:val="18"/>
        </w:rPr>
        <w:t xml:space="preserve">Figure 17 Location of the project in relation to BG0000569 </w:t>
      </w:r>
      <w:r w:rsidRPr="00EC75B7">
        <w:rPr>
          <w:rFonts w:ascii="Verdana" w:hAnsi="Verdana"/>
          <w:b/>
          <w:color w:val="009DEF"/>
          <w:spacing w:val="-2"/>
          <w:sz w:val="18"/>
          <w:szCs w:val="18"/>
        </w:rPr>
        <w:t>Kardam</w:t>
      </w:r>
    </w:p>
    <w:p w14:paraId="216B2891" w14:textId="77777777" w:rsidR="008715BE" w:rsidRPr="00EC75B7" w:rsidRDefault="008715BE">
      <w:pPr>
        <w:pStyle w:val="BodyText"/>
        <w:rPr>
          <w:rFonts w:ascii="Verdana" w:hAnsi="Verdana"/>
          <w:b/>
        </w:rPr>
      </w:pPr>
    </w:p>
    <w:p w14:paraId="26FFF494" w14:textId="77777777" w:rsidR="008715BE" w:rsidRPr="00EC75B7" w:rsidRDefault="008715BE">
      <w:pPr>
        <w:pStyle w:val="BodyText"/>
        <w:rPr>
          <w:rFonts w:ascii="Verdana" w:hAnsi="Verdana"/>
          <w:b/>
        </w:rPr>
      </w:pPr>
    </w:p>
    <w:p w14:paraId="4456AA8E" w14:textId="77777777" w:rsidR="008715BE" w:rsidRPr="00EC75B7" w:rsidRDefault="008715BE">
      <w:pPr>
        <w:pStyle w:val="BodyText"/>
        <w:spacing w:before="112"/>
        <w:rPr>
          <w:rFonts w:ascii="Verdana" w:hAnsi="Verdana"/>
          <w:b/>
        </w:rPr>
      </w:pPr>
    </w:p>
    <w:p w14:paraId="4BD9ECCA" w14:textId="77777777" w:rsidR="008715BE" w:rsidRPr="00EC75B7" w:rsidRDefault="00000000">
      <w:pPr>
        <w:pStyle w:val="Heading5"/>
        <w:numPr>
          <w:ilvl w:val="0"/>
          <w:numId w:val="98"/>
        </w:numPr>
        <w:tabs>
          <w:tab w:val="left" w:pos="1512"/>
        </w:tabs>
        <w:ind w:left="1512" w:hanging="358"/>
        <w:rPr>
          <w:rFonts w:ascii="Verdana" w:hAnsi="Verdana"/>
        </w:rPr>
      </w:pPr>
      <w:r w:rsidRPr="00EC75B7">
        <w:rPr>
          <w:rFonts w:ascii="Verdana" w:hAnsi="Verdana"/>
        </w:rPr>
        <w:t xml:space="preserve">BG0000570 Izvorovo – </w:t>
      </w:r>
      <w:r w:rsidRPr="00EC75B7">
        <w:rPr>
          <w:rFonts w:ascii="Verdana" w:hAnsi="Verdana"/>
          <w:spacing w:val="-2"/>
        </w:rPr>
        <w:t>Kraishte</w:t>
      </w:r>
    </w:p>
    <w:p w14:paraId="025DEE1C" w14:textId="77777777" w:rsidR="008715BE" w:rsidRPr="00EC75B7" w:rsidRDefault="008715BE">
      <w:pPr>
        <w:pStyle w:val="BodyText"/>
        <w:spacing w:before="9"/>
        <w:rPr>
          <w:rFonts w:ascii="Verdana" w:hAnsi="Verdana"/>
          <w:b/>
        </w:rPr>
      </w:pPr>
    </w:p>
    <w:p w14:paraId="68844AC9" w14:textId="77777777" w:rsidR="008715BE" w:rsidRPr="00EC75B7" w:rsidRDefault="00000000">
      <w:pPr>
        <w:pStyle w:val="BodyText"/>
        <w:spacing w:line="360" w:lineRule="auto"/>
        <w:ind w:left="765" w:right="855"/>
        <w:jc w:val="both"/>
        <w:rPr>
          <w:rFonts w:ascii="Verdana" w:hAnsi="Verdana"/>
        </w:rPr>
      </w:pPr>
      <w:r w:rsidRPr="00EC75B7">
        <w:rPr>
          <w:rFonts w:ascii="Verdana" w:hAnsi="Verdana"/>
        </w:rPr>
        <w:t>It was established as a site of Community importance in 2008 and covers an area of 1081.52 ha. The site is important for the existing invertebrate fauna. Small isolated patches of steppe and dry karst valleys and canyons are important for small mammals and rare steppe bats.</w:t>
      </w:r>
    </w:p>
    <w:p w14:paraId="3635FE14" w14:textId="77777777" w:rsidR="008715BE" w:rsidRPr="00EC75B7" w:rsidRDefault="00000000">
      <w:pPr>
        <w:spacing w:before="116" w:line="357" w:lineRule="auto"/>
        <w:ind w:left="765" w:right="847"/>
        <w:jc w:val="both"/>
        <w:rPr>
          <w:rFonts w:ascii="Verdana" w:hAnsi="Verdana"/>
          <w:sz w:val="18"/>
          <w:szCs w:val="18"/>
        </w:rPr>
      </w:pPr>
      <w:r w:rsidRPr="00EC75B7">
        <w:rPr>
          <w:rFonts w:ascii="Verdana" w:hAnsi="Verdana"/>
          <w:sz w:val="18"/>
          <w:szCs w:val="18"/>
        </w:rPr>
        <w:t>The site has been designated for the protection of 11 species of fauna:</w:t>
      </w:r>
      <w:r w:rsidRPr="00EC75B7">
        <w:rPr>
          <w:rFonts w:ascii="Verdana" w:hAnsi="Verdana"/>
          <w:i/>
          <w:sz w:val="18"/>
          <w:szCs w:val="18"/>
        </w:rPr>
        <w:t xml:space="preserve"> 4 reptiles </w:t>
      </w:r>
      <w:r w:rsidRPr="00EC75B7">
        <w:rPr>
          <w:rFonts w:ascii="Verdana" w:hAnsi="Verdana"/>
          <w:sz w:val="18"/>
          <w:szCs w:val="18"/>
        </w:rPr>
        <w:t>(</w:t>
      </w:r>
      <w:r w:rsidRPr="00EC75B7">
        <w:rPr>
          <w:rFonts w:ascii="Verdana" w:hAnsi="Verdana"/>
          <w:i/>
          <w:sz w:val="18"/>
          <w:szCs w:val="18"/>
        </w:rPr>
        <w:t>Testudo hermanni, Testudo graeca, Rmys orbicularis, Elaphe ouromates</w:t>
      </w:r>
      <w:r w:rsidRPr="00EC75B7">
        <w:rPr>
          <w:rFonts w:ascii="Verdana" w:hAnsi="Verdana"/>
          <w:sz w:val="18"/>
          <w:szCs w:val="18"/>
        </w:rPr>
        <w:t>),</w:t>
      </w:r>
      <w:r w:rsidRPr="00EC75B7">
        <w:rPr>
          <w:rFonts w:ascii="Verdana" w:hAnsi="Verdana"/>
          <w:i/>
          <w:sz w:val="18"/>
          <w:szCs w:val="18"/>
        </w:rPr>
        <w:t xml:space="preserve"> 6 mammals </w:t>
      </w:r>
      <w:r w:rsidRPr="00EC75B7">
        <w:rPr>
          <w:rFonts w:ascii="Verdana" w:hAnsi="Verdana"/>
          <w:sz w:val="18"/>
          <w:szCs w:val="18"/>
        </w:rPr>
        <w:t>(</w:t>
      </w:r>
      <w:r w:rsidRPr="00EC75B7">
        <w:rPr>
          <w:rFonts w:ascii="Verdana" w:hAnsi="Verdana"/>
          <w:i/>
          <w:sz w:val="18"/>
          <w:szCs w:val="18"/>
        </w:rPr>
        <w:t>Canis lupus, Vormela peregusna, Spermophilus citellus, Rhinolophus mehelyi, Mustela eversmanii, Mesocricetus newtoni</w:t>
      </w:r>
      <w:r w:rsidRPr="00EC75B7">
        <w:rPr>
          <w:rFonts w:ascii="Verdana" w:hAnsi="Verdana"/>
          <w:sz w:val="18"/>
          <w:szCs w:val="18"/>
        </w:rPr>
        <w:t xml:space="preserve">) </w:t>
      </w:r>
      <w:r w:rsidRPr="00EC75B7">
        <w:rPr>
          <w:rFonts w:ascii="Verdana" w:hAnsi="Verdana"/>
          <w:i/>
          <w:sz w:val="18"/>
          <w:szCs w:val="18"/>
        </w:rPr>
        <w:t xml:space="preserve">and one invertebrate </w:t>
      </w:r>
      <w:r w:rsidRPr="00EC75B7">
        <w:rPr>
          <w:rFonts w:ascii="Verdana" w:hAnsi="Verdana"/>
          <w:sz w:val="18"/>
          <w:szCs w:val="18"/>
        </w:rPr>
        <w:t>(</w:t>
      </w:r>
      <w:r w:rsidRPr="00EC75B7">
        <w:rPr>
          <w:rFonts w:ascii="Verdana" w:hAnsi="Verdana"/>
          <w:i/>
          <w:sz w:val="18"/>
          <w:szCs w:val="18"/>
        </w:rPr>
        <w:t>Lycaena dispar</w:t>
      </w:r>
      <w:r w:rsidRPr="00EC75B7">
        <w:rPr>
          <w:rFonts w:ascii="Verdana" w:hAnsi="Verdana"/>
          <w:sz w:val="18"/>
          <w:szCs w:val="18"/>
        </w:rPr>
        <w:t>) and two habitats (6110 Rocky grasslands with pioneer species and 62C0 Ponto-Sarmatic steppes).</w:t>
      </w:r>
    </w:p>
    <w:p w14:paraId="506115D0" w14:textId="77777777" w:rsidR="008715BE" w:rsidRPr="00EC75B7" w:rsidRDefault="008715BE">
      <w:pPr>
        <w:spacing w:line="357" w:lineRule="auto"/>
        <w:jc w:val="both"/>
        <w:rPr>
          <w:rFonts w:ascii="Verdana" w:hAnsi="Verdana"/>
          <w:sz w:val="18"/>
          <w:szCs w:val="18"/>
        </w:rPr>
        <w:sectPr w:rsidR="008715BE" w:rsidRPr="00EC75B7">
          <w:pgSz w:w="11910" w:h="16840"/>
          <w:pgMar w:top="1160" w:right="141" w:bottom="1020" w:left="425" w:header="766" w:footer="797" w:gutter="0"/>
          <w:cols w:space="708"/>
        </w:sectPr>
      </w:pPr>
    </w:p>
    <w:p w14:paraId="78169DA1" w14:textId="27ADAB1D" w:rsidR="008715BE" w:rsidRPr="00EC75B7" w:rsidRDefault="00E7611D" w:rsidP="00E7611D">
      <w:pPr>
        <w:pStyle w:val="BodyText"/>
        <w:spacing w:before="13" w:after="1"/>
        <w:jc w:val="center"/>
        <w:rPr>
          <w:rFonts w:ascii="Verdana" w:hAnsi="Verdana"/>
        </w:rPr>
      </w:pPr>
      <w:r>
        <w:rPr>
          <w:noProof/>
        </w:rPr>
        <w:lastRenderedPageBreak/>
        <w:drawing>
          <wp:inline distT="0" distB="0" distL="0" distR="0" wp14:anchorId="77DBF099" wp14:editId="381EE8FC">
            <wp:extent cx="5605269" cy="3964305"/>
            <wp:effectExtent l="0" t="0" r="0" b="0"/>
            <wp:docPr id="10222355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06180" cy="3964949"/>
                    </a:xfrm>
                    <a:prstGeom prst="rect">
                      <a:avLst/>
                    </a:prstGeom>
                    <a:noFill/>
                    <a:ln>
                      <a:noFill/>
                    </a:ln>
                  </pic:spPr>
                </pic:pic>
              </a:graphicData>
            </a:graphic>
          </wp:inline>
        </w:drawing>
      </w:r>
    </w:p>
    <w:p w14:paraId="16AA15FD" w14:textId="77777777" w:rsidR="008715BE" w:rsidRPr="00EC75B7" w:rsidRDefault="008715BE">
      <w:pPr>
        <w:pStyle w:val="BodyText"/>
        <w:spacing w:before="60"/>
        <w:rPr>
          <w:rFonts w:ascii="Verdana" w:hAnsi="Verdana"/>
        </w:rPr>
      </w:pPr>
    </w:p>
    <w:p w14:paraId="161A3EFD" w14:textId="77777777" w:rsidR="008715BE" w:rsidRPr="00EC75B7" w:rsidRDefault="00000000">
      <w:pPr>
        <w:ind w:left="749" w:right="831"/>
        <w:jc w:val="center"/>
        <w:rPr>
          <w:rFonts w:ascii="Verdana" w:hAnsi="Verdana"/>
          <w:b/>
          <w:sz w:val="18"/>
          <w:szCs w:val="18"/>
        </w:rPr>
      </w:pPr>
      <w:r w:rsidRPr="00EC75B7">
        <w:rPr>
          <w:rFonts w:ascii="Verdana" w:hAnsi="Verdana"/>
          <w:b/>
          <w:color w:val="009DEF"/>
          <w:sz w:val="18"/>
          <w:szCs w:val="18"/>
        </w:rPr>
        <w:t xml:space="preserve">Figure 18 Location of the project in relation to BG0000570 Izvorovo – </w:t>
      </w:r>
      <w:r w:rsidRPr="00EC75B7">
        <w:rPr>
          <w:rFonts w:ascii="Verdana" w:hAnsi="Verdana"/>
          <w:b/>
          <w:color w:val="009DEF"/>
          <w:spacing w:val="-2"/>
          <w:sz w:val="18"/>
          <w:szCs w:val="18"/>
        </w:rPr>
        <w:t>Kraishte</w:t>
      </w:r>
    </w:p>
    <w:p w14:paraId="07EF2C9B" w14:textId="77777777" w:rsidR="008715BE" w:rsidRPr="00EC75B7" w:rsidRDefault="008715BE">
      <w:pPr>
        <w:pStyle w:val="BodyText"/>
        <w:spacing w:before="44"/>
        <w:rPr>
          <w:rFonts w:ascii="Verdana" w:hAnsi="Verdana"/>
          <w:b/>
        </w:rPr>
      </w:pPr>
    </w:p>
    <w:p w14:paraId="7D8EEEBA" w14:textId="77777777" w:rsidR="008715BE" w:rsidRPr="00EC75B7" w:rsidRDefault="00000000">
      <w:pPr>
        <w:spacing w:line="357" w:lineRule="auto"/>
        <w:ind w:left="765" w:right="847"/>
        <w:jc w:val="both"/>
        <w:rPr>
          <w:rFonts w:ascii="Verdana" w:hAnsi="Verdana"/>
          <w:i/>
          <w:sz w:val="18"/>
          <w:szCs w:val="18"/>
        </w:rPr>
      </w:pPr>
      <w:r w:rsidRPr="00EC75B7">
        <w:rPr>
          <w:rFonts w:ascii="Verdana" w:hAnsi="Verdana"/>
          <w:sz w:val="18"/>
          <w:szCs w:val="18"/>
        </w:rPr>
        <w:t xml:space="preserve">A detailed analysis of the project's impact on biodiversity components for the two areas in Bulgaria was carried out in the Appropriate Assessment Study prepared at the PUZ stage, as well as in the annexes to this study, and was submitted to the Bulgarian side as part of the cross-border environmental impact assessment procedure with Bulgaria for the PUZ stage. By letter No. 99-00-268-22/26.06.2025, the Ministry of Environment and Water of the Republic of Bulgaria communicated that, </w:t>
      </w:r>
      <w:r w:rsidRPr="00EC75B7">
        <w:rPr>
          <w:rFonts w:ascii="Verdana" w:hAnsi="Verdana"/>
          <w:i/>
          <w:sz w:val="18"/>
          <w:szCs w:val="18"/>
        </w:rPr>
        <w:t>" The impact analysis of the project to build 46 turbines near the border with Bulgaria is objective and the proposed measures are sufficient to minimize/eliminate the negative impact on biodiversity and in particular on Natura 2000 protected areas."</w:t>
      </w:r>
    </w:p>
    <w:p w14:paraId="6F694D27" w14:textId="77777777" w:rsidR="008715BE" w:rsidRPr="00EC75B7" w:rsidRDefault="00000000">
      <w:pPr>
        <w:pStyle w:val="BodyText"/>
        <w:spacing w:before="127" w:line="357" w:lineRule="auto"/>
        <w:ind w:left="765" w:right="847"/>
        <w:jc w:val="both"/>
        <w:rPr>
          <w:rFonts w:ascii="Verdana" w:hAnsi="Verdana"/>
        </w:rPr>
      </w:pPr>
      <w:r w:rsidRPr="00EC75B7">
        <w:rPr>
          <w:rFonts w:ascii="Verdana" w:hAnsi="Verdana"/>
        </w:rPr>
        <w:t>The environmental impact assessment procedure in a cross-border context at the PUZ stage was completed after analyzing all studies and requests for clarification. The Ministry of Environment and Water of the Republic of Bulgaria, by letter no. 99.00.268-40/17.09.2025, sent the mandatory conditions to be included in the regulatory act to be issued by the competent authorities in Romania for the investment in question, both in the planning and design phase and in the monitoring measures following the implementation of the investment proposal, respectively after the construction of the proposed investment, namely:</w:t>
      </w:r>
    </w:p>
    <w:p w14:paraId="35C1CD7A" w14:textId="77777777" w:rsidR="008715BE" w:rsidRPr="00EC75B7" w:rsidRDefault="00000000">
      <w:pPr>
        <w:tabs>
          <w:tab w:val="left" w:pos="2068"/>
        </w:tabs>
        <w:spacing w:before="124" w:line="357" w:lineRule="auto"/>
        <w:ind w:left="765" w:right="849"/>
        <w:jc w:val="both"/>
        <w:rPr>
          <w:rFonts w:ascii="Verdana" w:hAnsi="Verdana"/>
          <w:i/>
          <w:sz w:val="18"/>
          <w:szCs w:val="18"/>
        </w:rPr>
      </w:pPr>
      <w:r w:rsidRPr="00EC75B7">
        <w:rPr>
          <w:rFonts w:ascii="Verdana" w:hAnsi="Verdana"/>
          <w:i/>
          <w:sz w:val="18"/>
          <w:szCs w:val="18"/>
        </w:rPr>
        <w:t>,, 1.</w:t>
      </w:r>
      <w:r w:rsidRPr="00EC75B7">
        <w:rPr>
          <w:rFonts w:ascii="Verdana" w:hAnsi="Verdana"/>
          <w:i/>
          <w:sz w:val="18"/>
          <w:szCs w:val="18"/>
        </w:rPr>
        <w:tab/>
        <w:t xml:space="preserve">"Wind Farm 48 (46) wind turbines, transformer stations, electrical connection networks, construction and modernization of communication and access roads" – will be implemented in compliance with all the measures set out in the Environmental Report submitted, with a view to preventing, reducing, and eliminating adverse effects on the environment, the living environment, and the health of the population, as a result of the </w:t>
      </w:r>
      <w:r w:rsidRPr="00EC75B7">
        <w:rPr>
          <w:rFonts w:ascii="Verdana" w:hAnsi="Verdana"/>
          <w:i/>
          <w:spacing w:val="-2"/>
          <w:sz w:val="18"/>
          <w:szCs w:val="18"/>
        </w:rPr>
        <w:t>project's</w:t>
      </w:r>
      <w:r w:rsidRPr="00EC75B7">
        <w:rPr>
          <w:rFonts w:ascii="Verdana" w:hAnsi="Verdana"/>
          <w:i/>
          <w:sz w:val="18"/>
          <w:szCs w:val="18"/>
        </w:rPr>
        <w:t xml:space="preserve"> implementation</w:t>
      </w:r>
      <w:r w:rsidRPr="00EC75B7">
        <w:rPr>
          <w:rFonts w:ascii="Verdana" w:hAnsi="Verdana"/>
          <w:i/>
          <w:spacing w:val="-2"/>
          <w:sz w:val="18"/>
          <w:szCs w:val="18"/>
        </w:rPr>
        <w:t>.</w:t>
      </w:r>
    </w:p>
    <w:p w14:paraId="4D2B7105" w14:textId="77777777" w:rsidR="008715BE" w:rsidRPr="00EC75B7" w:rsidRDefault="008715BE">
      <w:pPr>
        <w:pStyle w:val="BodyText"/>
        <w:spacing w:before="46"/>
        <w:rPr>
          <w:rFonts w:ascii="Verdana" w:hAnsi="Verdana"/>
          <w:i/>
        </w:rPr>
      </w:pPr>
    </w:p>
    <w:p w14:paraId="169BA9CE" w14:textId="77777777" w:rsidR="008715BE" w:rsidRPr="00EC75B7" w:rsidRDefault="00000000">
      <w:pPr>
        <w:pStyle w:val="ListParagraph"/>
        <w:numPr>
          <w:ilvl w:val="0"/>
          <w:numId w:val="96"/>
        </w:numPr>
        <w:tabs>
          <w:tab w:val="left" w:pos="2068"/>
        </w:tabs>
        <w:spacing w:before="1" w:line="357" w:lineRule="auto"/>
        <w:ind w:right="850" w:firstLine="0"/>
        <w:jc w:val="both"/>
        <w:rPr>
          <w:rFonts w:ascii="Verdana" w:hAnsi="Verdana"/>
          <w:i/>
          <w:sz w:val="18"/>
          <w:szCs w:val="18"/>
        </w:rPr>
      </w:pPr>
      <w:r w:rsidRPr="00EC75B7">
        <w:rPr>
          <w:rFonts w:ascii="Verdana" w:hAnsi="Verdana"/>
          <w:i/>
          <w:sz w:val="18"/>
          <w:szCs w:val="18"/>
        </w:rPr>
        <w:t xml:space="preserve">Given that the energy park is located in the immediate vicinity of the border with the Republic of Bulgaria, an assessment of the impact of physical factors in a cross-border context, in particular light effects, will be carried out during the design phase. The assessment will be forwarded to the Republic of </w:t>
      </w:r>
      <w:r w:rsidRPr="00EC75B7">
        <w:rPr>
          <w:rFonts w:ascii="Verdana" w:hAnsi="Verdana"/>
          <w:i/>
          <w:sz w:val="18"/>
          <w:szCs w:val="18"/>
        </w:rPr>
        <w:lastRenderedPageBreak/>
        <w:t>Bulgaria;</w:t>
      </w:r>
    </w:p>
    <w:p w14:paraId="6CCE0745" w14:textId="77777777" w:rsidR="008715BE" w:rsidRPr="00EC75B7" w:rsidRDefault="00000000">
      <w:pPr>
        <w:pStyle w:val="ListParagraph"/>
        <w:numPr>
          <w:ilvl w:val="0"/>
          <w:numId w:val="96"/>
        </w:numPr>
        <w:tabs>
          <w:tab w:val="left" w:pos="2068"/>
        </w:tabs>
        <w:spacing w:before="122" w:line="360" w:lineRule="auto"/>
        <w:ind w:right="856" w:firstLine="0"/>
        <w:jc w:val="both"/>
        <w:rPr>
          <w:rFonts w:ascii="Verdana" w:hAnsi="Verdana"/>
          <w:i/>
          <w:sz w:val="18"/>
          <w:szCs w:val="18"/>
        </w:rPr>
      </w:pPr>
      <w:r w:rsidRPr="00EC75B7">
        <w:rPr>
          <w:rFonts w:ascii="Verdana" w:hAnsi="Verdana"/>
          <w:i/>
          <w:sz w:val="18"/>
          <w:szCs w:val="18"/>
        </w:rPr>
        <w:t>The paint used for wind turbines (tower and rotor) must be of the "absorbent" type so as not to create conditions for reflections of incident light;</w:t>
      </w:r>
    </w:p>
    <w:p w14:paraId="36F9CE30" w14:textId="77777777" w:rsidR="008715BE" w:rsidRPr="00EC75B7" w:rsidRDefault="00000000">
      <w:pPr>
        <w:pStyle w:val="ListParagraph"/>
        <w:numPr>
          <w:ilvl w:val="0"/>
          <w:numId w:val="96"/>
        </w:numPr>
        <w:tabs>
          <w:tab w:val="left" w:pos="2068"/>
        </w:tabs>
        <w:spacing w:before="116" w:line="360" w:lineRule="auto"/>
        <w:ind w:right="857" w:firstLine="0"/>
        <w:jc w:val="both"/>
        <w:rPr>
          <w:rFonts w:ascii="Verdana" w:hAnsi="Verdana"/>
          <w:i/>
          <w:sz w:val="18"/>
          <w:szCs w:val="18"/>
        </w:rPr>
      </w:pPr>
      <w:r w:rsidRPr="00EC75B7">
        <w:rPr>
          <w:rFonts w:ascii="Verdana" w:hAnsi="Verdana"/>
          <w:i/>
          <w:sz w:val="18"/>
          <w:szCs w:val="18"/>
        </w:rPr>
        <w:t>After the implementation of the investment proposal, controlled monitoring of noise levels, non-ionizing radiation, and light effects at the border with the affected Bulgarian localities will be ensured. The results of the monitoring will be sent to the Republic of Bulgaria.</w:t>
      </w:r>
    </w:p>
    <w:p w14:paraId="2867E579" w14:textId="77777777" w:rsidR="008715BE" w:rsidRPr="00EC75B7" w:rsidRDefault="00000000">
      <w:pPr>
        <w:pStyle w:val="BodyText"/>
        <w:spacing w:before="117" w:line="357" w:lineRule="auto"/>
        <w:ind w:left="765" w:right="857"/>
        <w:jc w:val="both"/>
        <w:rPr>
          <w:rFonts w:ascii="Verdana" w:hAnsi="Verdana"/>
        </w:rPr>
      </w:pPr>
      <w:r w:rsidRPr="00EC75B7">
        <w:rPr>
          <w:rFonts w:ascii="Verdana" w:hAnsi="Verdana"/>
        </w:rPr>
        <w:t>The conditions imposed by the Bulgarian state were included in Environmental Notice No. 8/20.11.2025, issued by the Constanța County Directorate for Environmental Protection, a document that was translated into Bulgarian and English and sent, in accordance with the procedures in force, to the Ministry of Environment and Water of the Republic of Bulgaria.</w:t>
      </w:r>
    </w:p>
    <w:p w14:paraId="34DB2B39" w14:textId="77777777" w:rsidR="008715BE" w:rsidRPr="00EC75B7" w:rsidRDefault="00000000">
      <w:pPr>
        <w:pStyle w:val="BodyText"/>
        <w:spacing w:before="123" w:line="357" w:lineRule="auto"/>
        <w:ind w:left="765" w:right="855"/>
        <w:jc w:val="both"/>
        <w:rPr>
          <w:rFonts w:ascii="Verdana" w:hAnsi="Verdana"/>
        </w:rPr>
      </w:pPr>
      <w:r w:rsidRPr="00EC75B7">
        <w:rPr>
          <w:rFonts w:ascii="Verdana" w:hAnsi="Verdana"/>
        </w:rPr>
        <w:t>Also, for condition No. 2 mentioned above, the Shadow Study was sent, whose conclusions indicate that the results show a negligible impact on the analyzed area, including in the case of cross-border roads and the evaluated receptors, a conclusion supported by the use of a conservative modeling scenario based on the largest turbine configuration and an extended analysis radius.</w:t>
      </w:r>
    </w:p>
    <w:p w14:paraId="5716027F" w14:textId="77777777" w:rsidR="008715BE" w:rsidRPr="00EC75B7" w:rsidRDefault="008715BE">
      <w:pPr>
        <w:pStyle w:val="BodyText"/>
        <w:spacing w:before="26"/>
        <w:rPr>
          <w:rFonts w:ascii="Verdana" w:hAnsi="Verdana"/>
        </w:rPr>
      </w:pPr>
    </w:p>
    <w:p w14:paraId="026AA559" w14:textId="77777777" w:rsidR="008715BE" w:rsidRPr="00EC75B7" w:rsidRDefault="00000000">
      <w:pPr>
        <w:pStyle w:val="Heading3"/>
        <w:numPr>
          <w:ilvl w:val="2"/>
          <w:numId w:val="110"/>
        </w:numPr>
        <w:tabs>
          <w:tab w:val="left" w:pos="2474"/>
        </w:tabs>
        <w:ind w:left="2474" w:hanging="715"/>
        <w:rPr>
          <w:rFonts w:ascii="Verdana" w:hAnsi="Verdana"/>
          <w:i/>
          <w:color w:val="00AFEF"/>
          <w:sz w:val="18"/>
          <w:szCs w:val="18"/>
        </w:rPr>
      </w:pPr>
      <w:bookmarkStart w:id="41" w:name="_bookmark41"/>
      <w:bookmarkEnd w:id="41"/>
      <w:r w:rsidRPr="00EC75B7">
        <w:rPr>
          <w:rFonts w:ascii="Verdana" w:hAnsi="Verdana"/>
          <w:color w:val="00AFEF"/>
          <w:spacing w:val="-4"/>
          <w:sz w:val="18"/>
          <w:szCs w:val="18"/>
        </w:rPr>
        <w:t xml:space="preserve">Green </w:t>
      </w:r>
      <w:r w:rsidRPr="00EC75B7">
        <w:rPr>
          <w:rFonts w:ascii="Verdana" w:hAnsi="Verdana"/>
          <w:color w:val="00AFEF"/>
          <w:sz w:val="18"/>
          <w:szCs w:val="18"/>
        </w:rPr>
        <w:t>Infrastructure</w:t>
      </w:r>
    </w:p>
    <w:p w14:paraId="5055E753" w14:textId="77777777" w:rsidR="008715BE" w:rsidRPr="00EC75B7" w:rsidRDefault="008715BE">
      <w:pPr>
        <w:pStyle w:val="BodyText"/>
        <w:spacing w:before="114"/>
        <w:rPr>
          <w:rFonts w:ascii="Verdana" w:hAnsi="Verdana"/>
          <w:b/>
        </w:rPr>
      </w:pPr>
    </w:p>
    <w:p w14:paraId="0A984A80" w14:textId="77777777" w:rsidR="008715BE" w:rsidRPr="00EC75B7" w:rsidRDefault="00000000">
      <w:pPr>
        <w:pStyle w:val="BodyText"/>
        <w:spacing w:line="352" w:lineRule="auto"/>
        <w:ind w:left="765" w:right="860"/>
        <w:jc w:val="both"/>
        <w:rPr>
          <w:rFonts w:ascii="Verdana" w:hAnsi="Verdana"/>
        </w:rPr>
      </w:pPr>
      <w:r w:rsidRPr="00EC75B7">
        <w:rPr>
          <w:rFonts w:ascii="Verdana" w:hAnsi="Verdana"/>
        </w:rPr>
        <w:t xml:space="preserve">Green infrastructure is a strategically planned network of natural and semi-natural areas with other environmental features, designed and managed to provide a wide range of ecosystem services </w:t>
      </w:r>
      <w:r w:rsidRPr="00EC75B7">
        <w:rPr>
          <w:rFonts w:ascii="Verdana" w:hAnsi="Verdana"/>
          <w:position w:val="6"/>
        </w:rPr>
        <w:t>10</w:t>
      </w:r>
      <w:r w:rsidRPr="00EC75B7">
        <w:rPr>
          <w:rFonts w:ascii="Verdana" w:hAnsi="Verdana"/>
        </w:rPr>
        <w:t>.</w:t>
      </w:r>
    </w:p>
    <w:p w14:paraId="0F6ED7D6" w14:textId="77777777" w:rsidR="008715BE" w:rsidRPr="00EC75B7" w:rsidRDefault="00000000">
      <w:pPr>
        <w:pStyle w:val="BodyText"/>
        <w:spacing w:before="126" w:line="360" w:lineRule="auto"/>
        <w:ind w:left="765" w:right="850"/>
        <w:jc w:val="both"/>
        <w:rPr>
          <w:rFonts w:ascii="Verdana" w:hAnsi="Verdana"/>
        </w:rPr>
      </w:pPr>
      <w:r w:rsidRPr="00EC75B7">
        <w:rPr>
          <w:rFonts w:ascii="Verdana" w:hAnsi="Verdana"/>
        </w:rPr>
        <w:t>Within natural and semi-natural ecosystems, there are established intra- and interspecific connections through which material, energy, and information exchanges take place, ensuring their productivity, adaptability, and resilience.</w:t>
      </w:r>
    </w:p>
    <w:p w14:paraId="2A5ADD39" w14:textId="77777777" w:rsidR="008715BE" w:rsidRPr="00EC75B7" w:rsidRDefault="00000000">
      <w:pPr>
        <w:pStyle w:val="BodyText"/>
        <w:spacing w:before="116" w:line="360" w:lineRule="auto"/>
        <w:ind w:left="765" w:right="859"/>
        <w:jc w:val="both"/>
        <w:rPr>
          <w:rFonts w:ascii="Verdana" w:hAnsi="Verdana"/>
        </w:rPr>
      </w:pPr>
      <w:r w:rsidRPr="00EC75B7">
        <w:rPr>
          <w:rFonts w:ascii="Verdana" w:hAnsi="Verdana"/>
        </w:rPr>
        <w:t>Natural and semi-natural ecosystems account for approximately 47% of the country's surface area, 45% is accounted for by agricultural ecosystems, and the remaining 8% is accounted for by buildings and infrastructure.</w:t>
      </w:r>
    </w:p>
    <w:p w14:paraId="7AE59B2F" w14:textId="77777777" w:rsidR="008715BE" w:rsidRPr="00EC75B7" w:rsidRDefault="00000000">
      <w:pPr>
        <w:pStyle w:val="BodyText"/>
        <w:spacing w:before="118" w:line="357" w:lineRule="auto"/>
        <w:ind w:left="765" w:right="849"/>
        <w:jc w:val="both"/>
        <w:rPr>
          <w:rFonts w:ascii="Verdana" w:hAnsi="Verdana"/>
        </w:rPr>
      </w:pPr>
      <w:r w:rsidRPr="00EC75B7">
        <w:rPr>
          <w:rFonts w:ascii="Verdana" w:hAnsi="Verdana"/>
        </w:rPr>
        <w:t>Semi-natural habitats arise from the interaction between human activities and the natural environment. These semi-natural habitats can arise as a result of traditional agricultural activities (grazing, mowing), forest management (traditional forestry, deciduous forests, and wooded pastures), water management</w:t>
      </w:r>
      <w:r w:rsidRPr="00EC75B7">
        <w:rPr>
          <w:rFonts w:ascii="Verdana" w:hAnsi="Verdana"/>
          <w:spacing w:val="40"/>
        </w:rPr>
        <w:t xml:space="preserve"> </w:t>
      </w:r>
      <w:r w:rsidRPr="00EC75B7">
        <w:rPr>
          <w:rFonts w:ascii="Verdana" w:hAnsi="Verdana"/>
        </w:rPr>
        <w:t xml:space="preserve">(wetlands: marshes, artificial lakes, or irrigation systems), traditional landscape conservation, depollution and land abandonment (natural reforestation), and the creation of buffer or </w:t>
      </w:r>
      <w:r w:rsidRPr="00EC75B7">
        <w:rPr>
          <w:rFonts w:ascii="Verdana" w:hAnsi="Verdana"/>
          <w:spacing w:val="-2"/>
        </w:rPr>
        <w:t xml:space="preserve">protection </w:t>
      </w:r>
      <w:r w:rsidRPr="00EC75B7">
        <w:rPr>
          <w:rFonts w:ascii="Verdana" w:hAnsi="Verdana"/>
        </w:rPr>
        <w:t>zones</w:t>
      </w:r>
      <w:r w:rsidRPr="00EC75B7">
        <w:rPr>
          <w:rFonts w:ascii="Verdana" w:hAnsi="Verdana"/>
          <w:spacing w:val="-2"/>
        </w:rPr>
        <w:t>.</w:t>
      </w:r>
    </w:p>
    <w:p w14:paraId="557F6537" w14:textId="77777777" w:rsidR="008715BE" w:rsidRPr="00EC75B7" w:rsidRDefault="00000000">
      <w:pPr>
        <w:pStyle w:val="BodyText"/>
        <w:spacing w:before="124" w:line="360" w:lineRule="auto"/>
        <w:ind w:left="765" w:right="855"/>
        <w:jc w:val="both"/>
        <w:rPr>
          <w:rFonts w:ascii="Verdana" w:hAnsi="Verdana"/>
        </w:rPr>
      </w:pPr>
      <w:r w:rsidRPr="00EC75B7">
        <w:rPr>
          <w:rFonts w:ascii="Verdana" w:hAnsi="Verdana"/>
        </w:rPr>
        <w:t>The characteristics of semi-natural habitats are: high biodiversity, the need for continuous management, cultural and ecological value.</w:t>
      </w:r>
    </w:p>
    <w:p w14:paraId="135AD4A9" w14:textId="77777777" w:rsidR="008715BE" w:rsidRPr="00EC75B7" w:rsidRDefault="00000000">
      <w:pPr>
        <w:pStyle w:val="BodyText"/>
        <w:spacing w:before="117"/>
        <w:ind w:left="765"/>
        <w:jc w:val="both"/>
        <w:rPr>
          <w:rFonts w:ascii="Verdana" w:hAnsi="Verdana"/>
        </w:rPr>
      </w:pPr>
      <w:r w:rsidRPr="00EC75B7">
        <w:rPr>
          <w:rFonts w:ascii="Verdana" w:hAnsi="Verdana"/>
        </w:rPr>
        <w:t>At European level</w:t>
      </w:r>
      <w:r w:rsidRPr="00EC75B7">
        <w:rPr>
          <w:rFonts w:ascii="Verdana" w:hAnsi="Verdana"/>
          <w:spacing w:val="-2"/>
        </w:rPr>
        <w:t xml:space="preserve">, </w:t>
      </w:r>
      <w:r w:rsidRPr="00EC75B7">
        <w:rPr>
          <w:rFonts w:ascii="Verdana" w:hAnsi="Verdana"/>
        </w:rPr>
        <w:t xml:space="preserve">three types of agricultural land with </w:t>
      </w:r>
      <w:r w:rsidRPr="00EC75B7">
        <w:rPr>
          <w:rFonts w:ascii="Verdana" w:hAnsi="Verdana"/>
          <w:spacing w:val="-2"/>
        </w:rPr>
        <w:t xml:space="preserve">high </w:t>
      </w:r>
      <w:r w:rsidRPr="00EC75B7">
        <w:rPr>
          <w:rFonts w:ascii="Verdana" w:hAnsi="Verdana"/>
        </w:rPr>
        <w:t>natural value have been identified</w:t>
      </w:r>
      <w:r w:rsidRPr="00EC75B7">
        <w:rPr>
          <w:rFonts w:ascii="Verdana" w:hAnsi="Verdana"/>
          <w:spacing w:val="-2"/>
        </w:rPr>
        <w:t>:</w:t>
      </w:r>
    </w:p>
    <w:p w14:paraId="0C829E7C" w14:textId="4805FFCA" w:rsidR="008715BE" w:rsidRPr="005F35E4" w:rsidRDefault="00000000" w:rsidP="00E26EB0">
      <w:pPr>
        <w:pStyle w:val="ListParagraph"/>
        <w:numPr>
          <w:ilvl w:val="0"/>
          <w:numId w:val="95"/>
        </w:numPr>
        <w:tabs>
          <w:tab w:val="left" w:pos="1485"/>
        </w:tabs>
        <w:spacing w:line="360" w:lineRule="auto"/>
        <w:rPr>
          <w:rFonts w:ascii="Verdana" w:hAnsi="Verdana"/>
          <w:sz w:val="18"/>
          <w:szCs w:val="18"/>
        </w:rPr>
      </w:pPr>
      <w:r w:rsidRPr="00EC75B7">
        <w:rPr>
          <w:rFonts w:ascii="Verdana" w:hAnsi="Verdana"/>
          <w:sz w:val="18"/>
          <w:szCs w:val="18"/>
        </w:rPr>
        <w:t xml:space="preserve">land characterized by large areas of semi-natural vegetation (limited </w:t>
      </w:r>
      <w:r w:rsidRPr="00EC75B7">
        <w:rPr>
          <w:rFonts w:ascii="Verdana" w:hAnsi="Verdana"/>
          <w:spacing w:val="-2"/>
          <w:sz w:val="18"/>
          <w:szCs w:val="18"/>
        </w:rPr>
        <w:t xml:space="preserve">human </w:t>
      </w:r>
      <w:r w:rsidRPr="00EC75B7">
        <w:rPr>
          <w:rFonts w:ascii="Verdana" w:hAnsi="Verdana"/>
          <w:sz w:val="18"/>
          <w:szCs w:val="18"/>
        </w:rPr>
        <w:t>intervention</w:t>
      </w:r>
      <w:r w:rsidRPr="005F35E4">
        <w:rPr>
          <w:rFonts w:ascii="Verdana" w:hAnsi="Verdana"/>
          <w:spacing w:val="-2"/>
        </w:rPr>
        <w:t>),</w:t>
      </w:r>
    </w:p>
    <w:p w14:paraId="520FCB83" w14:textId="77777777" w:rsidR="00E26EB0" w:rsidRPr="00E26EB0" w:rsidRDefault="00000000" w:rsidP="00E26EB0">
      <w:pPr>
        <w:pStyle w:val="ListParagraph"/>
        <w:numPr>
          <w:ilvl w:val="0"/>
          <w:numId w:val="95"/>
        </w:numPr>
        <w:tabs>
          <w:tab w:val="left" w:pos="1485"/>
        </w:tabs>
        <w:spacing w:line="360" w:lineRule="auto"/>
        <w:jc w:val="both"/>
        <w:rPr>
          <w:rFonts w:ascii="Verdana" w:hAnsi="Verdana"/>
          <w:sz w:val="18"/>
          <w:szCs w:val="18"/>
        </w:rPr>
      </w:pPr>
      <w:r w:rsidRPr="00EC75B7">
        <w:rPr>
          <w:rFonts w:ascii="Verdana" w:hAnsi="Verdana"/>
          <w:sz w:val="18"/>
          <w:szCs w:val="18"/>
        </w:rPr>
        <w:t>land characterized by mosaic landscapes (hedges, rows of trees</w:t>
      </w:r>
      <w:r w:rsidRPr="00EC75B7">
        <w:rPr>
          <w:rFonts w:ascii="Verdana" w:hAnsi="Verdana"/>
          <w:spacing w:val="-4"/>
          <w:sz w:val="18"/>
          <w:szCs w:val="18"/>
        </w:rPr>
        <w:t>, etc.</w:t>
      </w:r>
      <w:r w:rsidR="00E26EB0">
        <w:rPr>
          <w:rFonts w:ascii="Verdana" w:hAnsi="Verdana"/>
          <w:spacing w:val="-4"/>
          <w:sz w:val="18"/>
          <w:szCs w:val="18"/>
        </w:rPr>
        <w:t>)</w:t>
      </w:r>
    </w:p>
    <w:p w14:paraId="22A22EB8" w14:textId="1BE59848" w:rsidR="00E26EB0" w:rsidRPr="00E26EB0" w:rsidRDefault="00E26EB0" w:rsidP="00E26EB0">
      <w:pPr>
        <w:pStyle w:val="ListParagraph"/>
        <w:numPr>
          <w:ilvl w:val="0"/>
          <w:numId w:val="95"/>
        </w:numPr>
        <w:tabs>
          <w:tab w:val="left" w:pos="1485"/>
        </w:tabs>
        <w:spacing w:line="360" w:lineRule="auto"/>
        <w:ind w:left="1483" w:right="724"/>
        <w:jc w:val="both"/>
        <w:rPr>
          <w:rFonts w:ascii="Verdana" w:hAnsi="Verdana"/>
          <w:sz w:val="18"/>
          <w:szCs w:val="18"/>
        </w:rPr>
      </w:pPr>
      <w:r w:rsidRPr="00E26EB0">
        <w:rPr>
          <w:rFonts w:ascii="Verdana" w:hAnsi="Verdana"/>
          <w:sz w:val="18"/>
          <w:szCs w:val="18"/>
        </w:rPr>
        <w:t>land with low natural value but which represents important ecological corridors for the maintenance of rare habitats and species, areas important for the nesting of certain rare bird species or for migratory birds (cereal crops)</w:t>
      </w:r>
      <w:r w:rsidRPr="00E26EB0">
        <w:rPr>
          <w:rFonts w:ascii="Verdana" w:hAnsi="Verdana"/>
          <w:sz w:val="18"/>
          <w:szCs w:val="18"/>
          <w:vertAlign w:val="superscript"/>
        </w:rPr>
        <w:t>11</w:t>
      </w:r>
      <w:r w:rsidRPr="00E26EB0">
        <w:rPr>
          <w:rFonts w:ascii="Verdana" w:hAnsi="Verdana"/>
          <w:sz w:val="18"/>
          <w:szCs w:val="18"/>
        </w:rPr>
        <w:t>.</w:t>
      </w:r>
    </w:p>
    <w:p w14:paraId="3EC3AC72" w14:textId="77777777" w:rsidR="008715BE" w:rsidRDefault="008715BE">
      <w:pPr>
        <w:pStyle w:val="BodyText"/>
        <w:rPr>
          <w:rFonts w:ascii="Verdana" w:hAnsi="Verdana"/>
        </w:rPr>
      </w:pPr>
    </w:p>
    <w:p w14:paraId="1957ED25" w14:textId="77777777" w:rsidR="005F35E4" w:rsidRDefault="005F35E4">
      <w:pPr>
        <w:pStyle w:val="BodyText"/>
        <w:rPr>
          <w:rFonts w:ascii="Verdana" w:hAnsi="Verdana"/>
        </w:rPr>
      </w:pPr>
    </w:p>
    <w:p w14:paraId="486B6B07" w14:textId="77777777" w:rsidR="005F35E4" w:rsidRDefault="005F35E4">
      <w:pPr>
        <w:pStyle w:val="BodyText"/>
        <w:rPr>
          <w:rFonts w:ascii="Verdana" w:hAnsi="Verdana"/>
        </w:rPr>
      </w:pPr>
    </w:p>
    <w:p w14:paraId="76C3DD28" w14:textId="77777777" w:rsidR="008715BE" w:rsidRPr="00EC75B7" w:rsidRDefault="008715BE">
      <w:pPr>
        <w:pStyle w:val="BodyText"/>
        <w:rPr>
          <w:rFonts w:ascii="Verdana" w:hAnsi="Verdana"/>
        </w:rPr>
      </w:pPr>
    </w:p>
    <w:p w14:paraId="53082E8F" w14:textId="77777777" w:rsidR="008715BE" w:rsidRPr="00EC75B7" w:rsidRDefault="008715BE" w:rsidP="005F35E4">
      <w:pPr>
        <w:pStyle w:val="BodyText"/>
        <w:spacing w:before="72"/>
        <w:ind w:right="1084"/>
        <w:rPr>
          <w:rFonts w:ascii="Verdana" w:hAnsi="Verdana"/>
        </w:rPr>
      </w:pPr>
    </w:p>
    <w:p w14:paraId="19269018" w14:textId="7C06801E" w:rsidR="008715BE" w:rsidRPr="00EC75B7" w:rsidRDefault="00000000" w:rsidP="005F35E4">
      <w:pPr>
        <w:ind w:left="765" w:right="1084"/>
        <w:jc w:val="both"/>
        <w:rPr>
          <w:rFonts w:ascii="Verdana" w:hAnsi="Verdana"/>
          <w:sz w:val="18"/>
          <w:szCs w:val="18"/>
        </w:rPr>
      </w:pPr>
      <w:r w:rsidRPr="00EC75B7">
        <w:rPr>
          <w:rFonts w:ascii="Verdana" w:hAnsi="Verdana"/>
          <w:color w:val="797766"/>
          <w:position w:val="4"/>
          <w:sz w:val="18"/>
          <w:szCs w:val="18"/>
        </w:rPr>
        <w:lastRenderedPageBreak/>
        <w:t>10</w:t>
      </w:r>
      <w:r w:rsidRPr="00EC75B7">
        <w:rPr>
          <w:rFonts w:ascii="Verdana" w:hAnsi="Verdana"/>
          <w:color w:val="797766"/>
          <w:sz w:val="18"/>
          <w:szCs w:val="18"/>
        </w:rPr>
        <w:t xml:space="preserve">  [2] European Commission (2013), Green Infrastructure (GI): Enhancing Europe's Natural Capital, COM/2013/0249 final, </w:t>
      </w:r>
      <w:r w:rsidRPr="00EC75B7">
        <w:rPr>
          <w:rFonts w:ascii="Verdana" w:hAnsi="Verdana"/>
          <w:color w:val="797766"/>
          <w:spacing w:val="-2"/>
          <w:sz w:val="18"/>
          <w:szCs w:val="18"/>
        </w:rPr>
        <w:t xml:space="preserve">Green </w:t>
      </w:r>
      <w:r w:rsidRPr="00EC75B7">
        <w:rPr>
          <w:rFonts w:ascii="Verdana" w:hAnsi="Verdana"/>
          <w:color w:val="797766"/>
          <w:sz w:val="18"/>
          <w:szCs w:val="18"/>
        </w:rPr>
        <w:t>Infrastructure Strategy</w:t>
      </w:r>
      <w:r w:rsidRPr="00EC75B7">
        <w:rPr>
          <w:rFonts w:ascii="Verdana" w:hAnsi="Verdana"/>
          <w:color w:val="797766"/>
          <w:spacing w:val="-2"/>
          <w:sz w:val="18"/>
          <w:szCs w:val="18"/>
        </w:rPr>
        <w:t>,</w:t>
      </w:r>
      <w:r w:rsidR="005F35E4">
        <w:rPr>
          <w:rFonts w:ascii="Verdana" w:hAnsi="Verdana"/>
          <w:sz w:val="18"/>
          <w:szCs w:val="18"/>
        </w:rPr>
        <w:t xml:space="preserve"> </w:t>
      </w:r>
      <w:r w:rsidRPr="00EC75B7">
        <w:rPr>
          <w:rFonts w:ascii="Verdana" w:hAnsi="Verdana"/>
          <w:color w:val="797766"/>
          <w:sz w:val="18"/>
          <w:szCs w:val="18"/>
        </w:rPr>
        <w:t>p.</w:t>
      </w:r>
      <w:r w:rsidRPr="00EC75B7">
        <w:rPr>
          <w:rFonts w:ascii="Verdana" w:hAnsi="Verdana"/>
          <w:color w:val="797766"/>
          <w:spacing w:val="-5"/>
          <w:sz w:val="18"/>
          <w:szCs w:val="18"/>
        </w:rPr>
        <w:t xml:space="preserve"> 3.</w:t>
      </w:r>
    </w:p>
    <w:p w14:paraId="7772A82E" w14:textId="77777777" w:rsidR="008715BE" w:rsidRPr="00EC75B7" w:rsidRDefault="008715BE">
      <w:pPr>
        <w:jc w:val="both"/>
        <w:rPr>
          <w:rFonts w:ascii="Verdana" w:hAnsi="Verdana"/>
          <w:sz w:val="18"/>
          <w:szCs w:val="18"/>
        </w:rPr>
        <w:sectPr w:rsidR="008715BE" w:rsidRPr="00EC75B7">
          <w:pgSz w:w="11910" w:h="16840"/>
          <w:pgMar w:top="1160" w:right="141" w:bottom="980" w:left="425" w:header="766" w:footer="797" w:gutter="0"/>
          <w:cols w:space="708"/>
        </w:sectPr>
      </w:pPr>
    </w:p>
    <w:p w14:paraId="04AAE726" w14:textId="77777777" w:rsidR="008715BE" w:rsidRPr="00EC75B7" w:rsidRDefault="008715BE">
      <w:pPr>
        <w:pStyle w:val="BodyText"/>
        <w:spacing w:before="46"/>
        <w:rPr>
          <w:rFonts w:ascii="Verdana" w:hAnsi="Verdana"/>
        </w:rPr>
      </w:pPr>
    </w:p>
    <w:p w14:paraId="5A5F38C2" w14:textId="77777777" w:rsidR="008715BE" w:rsidRPr="00EC75B7" w:rsidRDefault="00000000">
      <w:pPr>
        <w:pStyle w:val="BodyText"/>
        <w:spacing w:before="119" w:line="357" w:lineRule="auto"/>
        <w:ind w:left="765" w:right="847"/>
        <w:jc w:val="both"/>
        <w:rPr>
          <w:rFonts w:ascii="Verdana" w:hAnsi="Verdana"/>
        </w:rPr>
      </w:pPr>
      <w:r w:rsidRPr="00EC75B7">
        <w:rPr>
          <w:rFonts w:ascii="Verdana" w:hAnsi="Verdana"/>
        </w:rPr>
        <w:t>In Romania, land with high natural value can be classified according to the criteria proposed by the European Forum for Nature Conservation and Pastoralism into natural and semi-natural grasslands in mountain areas; traditional extensive orchards (the old hayfields are almost entirely preserved);</w:t>
      </w:r>
      <w:r w:rsidRPr="00EC75B7">
        <w:rPr>
          <w:rFonts w:ascii="Verdana" w:hAnsi="Verdana"/>
          <w:spacing w:val="40"/>
        </w:rPr>
        <w:t xml:space="preserve"> </w:t>
      </w:r>
      <w:r w:rsidRPr="00EC75B7">
        <w:rPr>
          <w:rFonts w:ascii="Verdana" w:hAnsi="Verdana"/>
        </w:rPr>
        <w:t>mosaic landscapes (grasslands, trees, shrubs, and agricultural plots with abundant biodiversity); grasslands near forests characterized by a high diversity of fauna (birds, invertebrates, mammals, etc.).</w:t>
      </w:r>
    </w:p>
    <w:p w14:paraId="12116058" w14:textId="77777777" w:rsidR="008715BE" w:rsidRPr="00EC75B7" w:rsidRDefault="00000000">
      <w:pPr>
        <w:pStyle w:val="BodyText"/>
        <w:spacing w:before="124" w:line="360" w:lineRule="auto"/>
        <w:ind w:left="765" w:right="854"/>
        <w:jc w:val="both"/>
        <w:rPr>
          <w:rFonts w:ascii="Verdana" w:hAnsi="Verdana"/>
        </w:rPr>
      </w:pPr>
      <w:r w:rsidRPr="00EC75B7">
        <w:rPr>
          <w:rFonts w:ascii="Verdana" w:hAnsi="Verdana"/>
        </w:rPr>
        <w:t>In the project area, it was found that agricultural land accounts for the largest share, occupying about 88% of the total. A smaller share is represented by grasslands (about 4.5%) and localities (about 5%).</w:t>
      </w:r>
    </w:p>
    <w:p w14:paraId="3FA9B8BB" w14:textId="77777777" w:rsidR="008715BE" w:rsidRPr="00EC75B7" w:rsidRDefault="00000000">
      <w:pPr>
        <w:pStyle w:val="BodyText"/>
        <w:spacing w:before="2"/>
        <w:rPr>
          <w:rFonts w:ascii="Verdana" w:hAnsi="Verdana"/>
        </w:rPr>
      </w:pPr>
      <w:r w:rsidRPr="00EC75B7">
        <w:rPr>
          <w:rFonts w:ascii="Verdana" w:hAnsi="Verdana"/>
          <w:noProof/>
        </w:rPr>
        <w:drawing>
          <wp:anchor distT="0" distB="0" distL="0" distR="0" simplePos="0" relativeHeight="251742208" behindDoc="1" locked="0" layoutInCell="1" allowOverlap="1" wp14:anchorId="49466BF9" wp14:editId="2DA91EA7">
            <wp:simplePos x="0" y="0"/>
            <wp:positionH relativeFrom="page">
              <wp:posOffset>793371</wp:posOffset>
            </wp:positionH>
            <wp:positionV relativeFrom="paragraph">
              <wp:posOffset>102267</wp:posOffset>
            </wp:positionV>
            <wp:extent cx="5808094" cy="4071366"/>
            <wp:effectExtent l="0" t="0" r="0" b="0"/>
            <wp:wrapTopAndBottom/>
            <wp:docPr id="124" name="Image 124"/>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51" cstate="print"/>
                    <a:stretch>
                      <a:fillRect/>
                    </a:stretch>
                  </pic:blipFill>
                  <pic:spPr>
                    <a:xfrm>
                      <a:off x="0" y="0"/>
                      <a:ext cx="5808094" cy="4071366"/>
                    </a:xfrm>
                    <a:prstGeom prst="rect">
                      <a:avLst/>
                    </a:prstGeom>
                  </pic:spPr>
                </pic:pic>
              </a:graphicData>
            </a:graphic>
          </wp:anchor>
        </w:drawing>
      </w:r>
    </w:p>
    <w:p w14:paraId="6D20B094" w14:textId="77777777" w:rsidR="008715BE" w:rsidRPr="00EC75B7" w:rsidRDefault="008715BE">
      <w:pPr>
        <w:pStyle w:val="BodyText"/>
        <w:spacing w:before="105"/>
        <w:rPr>
          <w:rFonts w:ascii="Verdana" w:hAnsi="Verdana"/>
        </w:rPr>
      </w:pPr>
    </w:p>
    <w:p w14:paraId="1A230505" w14:textId="77777777" w:rsidR="008715BE" w:rsidRPr="00EC75B7" w:rsidRDefault="00000000">
      <w:pPr>
        <w:spacing w:before="1"/>
        <w:ind w:left="747" w:right="833"/>
        <w:jc w:val="center"/>
        <w:rPr>
          <w:rFonts w:ascii="Verdana" w:hAnsi="Verdana"/>
          <w:b/>
          <w:sz w:val="18"/>
          <w:szCs w:val="18"/>
        </w:rPr>
      </w:pPr>
      <w:r w:rsidRPr="00EC75B7">
        <w:rPr>
          <w:rFonts w:ascii="Verdana" w:hAnsi="Verdana"/>
          <w:b/>
          <w:color w:val="009DEF"/>
          <w:sz w:val="18"/>
          <w:szCs w:val="18"/>
        </w:rPr>
        <w:t xml:space="preserve">Figure no. 19 Green infrastructure in the </w:t>
      </w:r>
      <w:r w:rsidRPr="00EC75B7">
        <w:rPr>
          <w:rFonts w:ascii="Verdana" w:hAnsi="Verdana"/>
          <w:b/>
          <w:color w:val="009DEF"/>
          <w:spacing w:val="-2"/>
          <w:sz w:val="18"/>
          <w:szCs w:val="18"/>
        </w:rPr>
        <w:t xml:space="preserve">site </w:t>
      </w:r>
      <w:r w:rsidRPr="00EC75B7">
        <w:rPr>
          <w:rFonts w:ascii="Verdana" w:hAnsi="Verdana"/>
          <w:b/>
          <w:color w:val="009DEF"/>
          <w:sz w:val="18"/>
          <w:szCs w:val="18"/>
        </w:rPr>
        <w:t>area</w:t>
      </w:r>
    </w:p>
    <w:p w14:paraId="4C844FFB" w14:textId="77777777" w:rsidR="008715BE" w:rsidRPr="00EC75B7" w:rsidRDefault="008715BE">
      <w:pPr>
        <w:pStyle w:val="BodyText"/>
        <w:spacing w:before="47"/>
        <w:rPr>
          <w:rFonts w:ascii="Verdana" w:hAnsi="Verdana"/>
          <w:b/>
        </w:rPr>
      </w:pPr>
    </w:p>
    <w:p w14:paraId="0AFD2EBF" w14:textId="77777777" w:rsidR="008715BE" w:rsidRPr="00EC75B7" w:rsidRDefault="00000000">
      <w:pPr>
        <w:pStyle w:val="Heading3"/>
        <w:numPr>
          <w:ilvl w:val="2"/>
          <w:numId w:val="110"/>
        </w:numPr>
        <w:tabs>
          <w:tab w:val="left" w:pos="2474"/>
        </w:tabs>
        <w:ind w:left="2474" w:hanging="715"/>
        <w:rPr>
          <w:rFonts w:ascii="Verdana" w:hAnsi="Verdana"/>
          <w:i/>
          <w:color w:val="00AFEF"/>
          <w:sz w:val="18"/>
          <w:szCs w:val="18"/>
        </w:rPr>
      </w:pPr>
      <w:bookmarkStart w:id="42" w:name="_bookmark42"/>
      <w:bookmarkEnd w:id="42"/>
      <w:r w:rsidRPr="00EC75B7">
        <w:rPr>
          <w:rFonts w:ascii="Verdana" w:hAnsi="Verdana"/>
          <w:color w:val="00AFEF"/>
          <w:spacing w:val="-2"/>
          <w:sz w:val="18"/>
          <w:szCs w:val="18"/>
        </w:rPr>
        <w:t xml:space="preserve">Migration </w:t>
      </w:r>
      <w:r w:rsidRPr="00EC75B7">
        <w:rPr>
          <w:rFonts w:ascii="Verdana" w:hAnsi="Verdana"/>
          <w:color w:val="00AFEF"/>
          <w:sz w:val="18"/>
          <w:szCs w:val="18"/>
        </w:rPr>
        <w:t>color</w:t>
      </w:r>
    </w:p>
    <w:p w14:paraId="2DF711B5" w14:textId="77777777" w:rsidR="008715BE" w:rsidRPr="00EC75B7" w:rsidRDefault="008715BE">
      <w:pPr>
        <w:pStyle w:val="BodyText"/>
        <w:spacing w:before="114"/>
        <w:rPr>
          <w:rFonts w:ascii="Verdana" w:hAnsi="Verdana"/>
          <w:b/>
        </w:rPr>
      </w:pPr>
    </w:p>
    <w:p w14:paraId="7A6F08B1" w14:textId="77777777" w:rsidR="008715BE" w:rsidRPr="00EC75B7" w:rsidRDefault="00000000">
      <w:pPr>
        <w:pStyle w:val="BodyText"/>
        <w:spacing w:line="360" w:lineRule="auto"/>
        <w:ind w:left="765" w:right="849"/>
        <w:jc w:val="both"/>
        <w:rPr>
          <w:rFonts w:ascii="Verdana" w:hAnsi="Verdana"/>
        </w:rPr>
      </w:pPr>
      <w:r w:rsidRPr="00EC75B7">
        <w:rPr>
          <w:rFonts w:ascii="Verdana" w:hAnsi="Verdana"/>
        </w:rPr>
        <w:t>By analyzing the distance and the species/habitats for which these areas were designated, it was identified that a number of 5 protected natural areas on the territory of Romania may be potentially affected directly/indirectly by the project.</w:t>
      </w:r>
    </w:p>
    <w:p w14:paraId="10AD7A7F" w14:textId="77777777" w:rsidR="008715BE" w:rsidRPr="00EC75B7" w:rsidRDefault="008715BE">
      <w:pPr>
        <w:pStyle w:val="BodyText"/>
        <w:rPr>
          <w:rFonts w:ascii="Verdana" w:hAnsi="Verdana"/>
        </w:rPr>
      </w:pPr>
    </w:p>
    <w:p w14:paraId="00D0A990" w14:textId="33936D2A" w:rsidR="00E26EB0" w:rsidRDefault="00E26EB0" w:rsidP="00E26EB0">
      <w:pPr>
        <w:pStyle w:val="BodyText"/>
        <w:spacing w:before="1" w:line="357" w:lineRule="auto"/>
        <w:ind w:left="765" w:right="848"/>
        <w:jc w:val="both"/>
        <w:rPr>
          <w:rFonts w:ascii="Verdana" w:hAnsi="Verdana"/>
        </w:rPr>
      </w:pPr>
      <w:r w:rsidRPr="00EC75B7">
        <w:rPr>
          <w:rFonts w:ascii="Verdana" w:hAnsi="Verdana"/>
        </w:rPr>
        <w:t>According to data from the specialist literature, the project site is located on the East Albica-Danube migration route</w:t>
      </w:r>
      <w:r w:rsidRPr="00EC75B7">
        <w:rPr>
          <w:rFonts w:ascii="Verdana" w:hAnsi="Verdana"/>
          <w:position w:val="6"/>
        </w:rPr>
        <w:t>12</w:t>
      </w:r>
      <w:r w:rsidRPr="00EC75B7">
        <w:rPr>
          <w:rFonts w:ascii="Verdana" w:hAnsi="Verdana"/>
        </w:rPr>
        <w:t>. According to this study, the highest number of migratory species were reported to the north and northeast of the analyzed park site.</w:t>
      </w:r>
    </w:p>
    <w:p w14:paraId="55386DC1" w14:textId="77777777" w:rsidR="00E26EB0" w:rsidRPr="00EC75B7" w:rsidRDefault="00E26EB0">
      <w:pPr>
        <w:pStyle w:val="BodyText"/>
        <w:rPr>
          <w:rFonts w:ascii="Verdana" w:hAnsi="Verdana"/>
        </w:rPr>
      </w:pPr>
    </w:p>
    <w:p w14:paraId="55D45841" w14:textId="77777777" w:rsidR="008715BE" w:rsidRPr="00EC75B7" w:rsidRDefault="008715BE">
      <w:pPr>
        <w:pStyle w:val="BodyText"/>
        <w:rPr>
          <w:rFonts w:ascii="Verdana" w:hAnsi="Verdana"/>
        </w:rPr>
      </w:pPr>
    </w:p>
    <w:p w14:paraId="4E4AA6D4" w14:textId="77777777" w:rsidR="008715BE" w:rsidRPr="00EC75B7" w:rsidRDefault="008715BE">
      <w:pPr>
        <w:pStyle w:val="BodyText"/>
        <w:spacing w:before="93"/>
        <w:rPr>
          <w:rFonts w:ascii="Verdana" w:hAnsi="Verdana"/>
        </w:rPr>
      </w:pPr>
    </w:p>
    <w:p w14:paraId="20EEFE77" w14:textId="77777777" w:rsidR="008715BE" w:rsidRDefault="00000000">
      <w:pPr>
        <w:ind w:left="765"/>
        <w:rPr>
          <w:rFonts w:ascii="Verdana" w:hAnsi="Verdana"/>
          <w:color w:val="797766"/>
          <w:spacing w:val="-5"/>
          <w:sz w:val="18"/>
          <w:szCs w:val="18"/>
        </w:rPr>
      </w:pPr>
      <w:r w:rsidRPr="00EC75B7">
        <w:rPr>
          <w:rFonts w:ascii="Verdana" w:hAnsi="Verdana"/>
          <w:color w:val="797766"/>
          <w:position w:val="4"/>
          <w:sz w:val="18"/>
          <w:szCs w:val="18"/>
        </w:rPr>
        <w:t>11</w:t>
      </w:r>
      <w:r w:rsidRPr="00EC75B7">
        <w:rPr>
          <w:rFonts w:ascii="Verdana" w:hAnsi="Verdana"/>
          <w:color w:val="797766"/>
          <w:sz w:val="18"/>
          <w:szCs w:val="18"/>
        </w:rPr>
        <w:t xml:space="preserve">  Thematic publication of the National Rural Development Network no. 42, year </w:t>
      </w:r>
      <w:r w:rsidRPr="00EC75B7">
        <w:rPr>
          <w:rFonts w:ascii="Verdana" w:hAnsi="Verdana"/>
          <w:color w:val="797766"/>
          <w:spacing w:val="-5"/>
          <w:sz w:val="18"/>
          <w:szCs w:val="18"/>
        </w:rPr>
        <w:t>II,</w:t>
      </w:r>
    </w:p>
    <w:p w14:paraId="3E442211" w14:textId="77777777" w:rsidR="00E26EB0" w:rsidRPr="00EC75B7" w:rsidRDefault="00E26EB0" w:rsidP="00E26EB0">
      <w:pPr>
        <w:spacing w:before="1"/>
        <w:ind w:left="765"/>
        <w:rPr>
          <w:rFonts w:ascii="Verdana" w:hAnsi="Verdana"/>
          <w:sz w:val="18"/>
          <w:szCs w:val="18"/>
        </w:rPr>
      </w:pPr>
      <w:r w:rsidRPr="00EC75B7">
        <w:rPr>
          <w:rFonts w:ascii="Verdana" w:hAnsi="Verdana"/>
          <w:position w:val="6"/>
          <w:sz w:val="18"/>
          <w:szCs w:val="18"/>
        </w:rPr>
        <w:t>12</w:t>
      </w:r>
      <w:r w:rsidRPr="00EC75B7">
        <w:rPr>
          <w:rFonts w:ascii="Verdana" w:hAnsi="Verdana"/>
          <w:color w:val="797766"/>
          <w:sz w:val="18"/>
          <w:szCs w:val="18"/>
        </w:rPr>
        <w:t xml:space="preserve">  Drugescu and Geacu,</w:t>
      </w:r>
      <w:r w:rsidRPr="00EC75B7">
        <w:rPr>
          <w:rFonts w:ascii="Verdana" w:hAnsi="Verdana"/>
          <w:color w:val="797766"/>
          <w:spacing w:val="-4"/>
          <w:sz w:val="18"/>
          <w:szCs w:val="18"/>
        </w:rPr>
        <w:t xml:space="preserve"> 2002</w:t>
      </w:r>
    </w:p>
    <w:p w14:paraId="0BA4E0D8" w14:textId="77777777" w:rsidR="00E26EB0" w:rsidRPr="00EC75B7" w:rsidRDefault="00E26EB0">
      <w:pPr>
        <w:rPr>
          <w:rFonts w:ascii="Verdana" w:hAnsi="Verdana"/>
          <w:sz w:val="18"/>
          <w:szCs w:val="18"/>
        </w:rPr>
        <w:sectPr w:rsidR="00E26EB0" w:rsidRPr="00EC75B7">
          <w:pgSz w:w="11910" w:h="16840"/>
          <w:pgMar w:top="1160" w:right="141" w:bottom="980" w:left="425" w:header="766" w:footer="797" w:gutter="0"/>
          <w:cols w:space="708"/>
        </w:sectPr>
      </w:pPr>
    </w:p>
    <w:p w14:paraId="4F526821" w14:textId="77777777" w:rsidR="008715BE" w:rsidRPr="00EC75B7" w:rsidRDefault="008715BE">
      <w:pPr>
        <w:pStyle w:val="BodyText"/>
        <w:spacing w:before="46"/>
        <w:rPr>
          <w:rFonts w:ascii="Verdana" w:hAnsi="Verdana"/>
        </w:rPr>
      </w:pPr>
    </w:p>
    <w:p w14:paraId="4B357E34" w14:textId="77777777" w:rsidR="008715BE" w:rsidRPr="00EC75B7" w:rsidRDefault="00000000">
      <w:pPr>
        <w:pStyle w:val="BodyText"/>
        <w:rPr>
          <w:rFonts w:ascii="Verdana" w:hAnsi="Verdana"/>
        </w:rPr>
      </w:pPr>
      <w:r w:rsidRPr="00EC75B7">
        <w:rPr>
          <w:rFonts w:ascii="Verdana" w:hAnsi="Verdana"/>
          <w:noProof/>
        </w:rPr>
        <w:drawing>
          <wp:anchor distT="0" distB="0" distL="0" distR="0" simplePos="0" relativeHeight="251743232" behindDoc="1" locked="0" layoutInCell="1" allowOverlap="1" wp14:anchorId="4C09B56C" wp14:editId="2B81D863">
            <wp:simplePos x="0" y="0"/>
            <wp:positionH relativeFrom="page">
              <wp:posOffset>756284</wp:posOffset>
            </wp:positionH>
            <wp:positionV relativeFrom="paragraph">
              <wp:posOffset>69995</wp:posOffset>
            </wp:positionV>
            <wp:extent cx="6220066" cy="4228719"/>
            <wp:effectExtent l="0" t="0" r="0" b="0"/>
            <wp:wrapTopAndBottom/>
            <wp:docPr id="125" name="Image 125"/>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2" cstate="print"/>
                    <a:stretch>
                      <a:fillRect/>
                    </a:stretch>
                  </pic:blipFill>
                  <pic:spPr>
                    <a:xfrm>
                      <a:off x="0" y="0"/>
                      <a:ext cx="6220066" cy="4228719"/>
                    </a:xfrm>
                    <a:prstGeom prst="rect">
                      <a:avLst/>
                    </a:prstGeom>
                  </pic:spPr>
                </pic:pic>
              </a:graphicData>
            </a:graphic>
          </wp:anchor>
        </w:drawing>
      </w:r>
    </w:p>
    <w:p w14:paraId="5E377AC3" w14:textId="77777777" w:rsidR="008715BE" w:rsidRPr="00EC75B7" w:rsidRDefault="00000000">
      <w:pPr>
        <w:spacing w:before="193"/>
        <w:ind w:left="747" w:right="832"/>
        <w:jc w:val="center"/>
        <w:rPr>
          <w:rFonts w:ascii="Verdana" w:hAnsi="Verdana"/>
          <w:b/>
          <w:sz w:val="18"/>
          <w:szCs w:val="18"/>
        </w:rPr>
      </w:pPr>
      <w:r w:rsidRPr="00EC75B7">
        <w:rPr>
          <w:rFonts w:ascii="Verdana" w:hAnsi="Verdana"/>
          <w:b/>
          <w:color w:val="009DEF"/>
          <w:sz w:val="18"/>
          <w:szCs w:val="18"/>
        </w:rPr>
        <w:t xml:space="preserve">Figure no. 20 Location of the project in relation to </w:t>
      </w:r>
      <w:r w:rsidRPr="00EC75B7">
        <w:rPr>
          <w:rFonts w:ascii="Verdana" w:hAnsi="Verdana"/>
          <w:b/>
          <w:color w:val="009DEF"/>
          <w:spacing w:val="-2"/>
          <w:sz w:val="18"/>
          <w:szCs w:val="18"/>
        </w:rPr>
        <w:t xml:space="preserve">migration </w:t>
      </w:r>
      <w:r w:rsidRPr="00EC75B7">
        <w:rPr>
          <w:rFonts w:ascii="Verdana" w:hAnsi="Verdana"/>
          <w:b/>
          <w:color w:val="009DEF"/>
          <w:sz w:val="18"/>
          <w:szCs w:val="18"/>
        </w:rPr>
        <w:t>routes</w:t>
      </w:r>
    </w:p>
    <w:p w14:paraId="116D7DEF" w14:textId="77777777" w:rsidR="008715BE" w:rsidRPr="00EC75B7" w:rsidRDefault="008715BE">
      <w:pPr>
        <w:pStyle w:val="BodyText"/>
        <w:spacing w:before="43"/>
        <w:rPr>
          <w:rFonts w:ascii="Verdana" w:hAnsi="Verdana"/>
          <w:b/>
        </w:rPr>
      </w:pPr>
    </w:p>
    <w:p w14:paraId="3084ED4D" w14:textId="77777777" w:rsidR="008715BE" w:rsidRPr="00EC75B7" w:rsidRDefault="00000000">
      <w:pPr>
        <w:pStyle w:val="BodyText"/>
        <w:spacing w:line="357" w:lineRule="auto"/>
        <w:ind w:left="765" w:right="850"/>
        <w:jc w:val="both"/>
        <w:rPr>
          <w:rFonts w:ascii="Verdana" w:hAnsi="Verdana"/>
        </w:rPr>
      </w:pPr>
      <w:r w:rsidRPr="00EC75B7">
        <w:rPr>
          <w:rFonts w:ascii="Verdana" w:hAnsi="Verdana"/>
        </w:rPr>
        <w:t>At the end of 2012, the National Institute for Research and Development of the Danube Delta (INCDDD) completed, under a contract financed by the Ministry of Environment and Forests, "Study on recommendations for areas in Dobrogea where the location of wind farms should be restricted due to the migration corridors of gliding birds (diurnal birds of prey, storks, pelicans) and due to the wintering of geese and swans." The study proposed the following areas:</w:t>
      </w:r>
    </w:p>
    <w:p w14:paraId="769074A4" w14:textId="77777777" w:rsidR="008715BE" w:rsidRPr="00EC75B7" w:rsidRDefault="00000000">
      <w:pPr>
        <w:pStyle w:val="ListParagraph"/>
        <w:numPr>
          <w:ilvl w:val="0"/>
          <w:numId w:val="94"/>
        </w:numPr>
        <w:tabs>
          <w:tab w:val="left" w:pos="1485"/>
        </w:tabs>
        <w:spacing w:before="123" w:line="357" w:lineRule="auto"/>
        <w:ind w:right="848"/>
        <w:jc w:val="both"/>
        <w:rPr>
          <w:rFonts w:ascii="Verdana" w:hAnsi="Verdana"/>
          <w:sz w:val="18"/>
          <w:szCs w:val="18"/>
        </w:rPr>
      </w:pPr>
      <w:r w:rsidRPr="00EC75B7">
        <w:rPr>
          <w:rFonts w:ascii="Verdana" w:hAnsi="Verdana"/>
          <w:b/>
          <w:sz w:val="18"/>
          <w:szCs w:val="18"/>
        </w:rPr>
        <w:t>Areas where wind farms and related infrastructure are excluded</w:t>
      </w:r>
      <w:r w:rsidRPr="00EC75B7">
        <w:rPr>
          <w:rFonts w:ascii="Verdana" w:hAnsi="Verdana"/>
          <w:sz w:val="18"/>
          <w:szCs w:val="18"/>
        </w:rPr>
        <w:t>, where their construction is recommended to be prohibited: these areas include Natura 2000 sites (SPAs and SCIs), the Danube Delta Biosphere Reserve, national and natural parks, and nature reserves/bird sanctuaries on the mainland of Dobrogea. The area of the proposed exclusion zones represents 50.4% of the region's total area.</w:t>
      </w:r>
    </w:p>
    <w:p w14:paraId="180F0CFA" w14:textId="147BBC7C" w:rsidR="00E26EB0" w:rsidRPr="00E26EB0" w:rsidRDefault="00000000" w:rsidP="00E26EB0">
      <w:pPr>
        <w:pStyle w:val="ListParagraph"/>
        <w:numPr>
          <w:ilvl w:val="0"/>
          <w:numId w:val="94"/>
        </w:numPr>
        <w:tabs>
          <w:tab w:val="left" w:pos="1485"/>
        </w:tabs>
        <w:spacing w:before="5" w:line="357" w:lineRule="auto"/>
        <w:ind w:right="847"/>
        <w:jc w:val="both"/>
        <w:rPr>
          <w:rFonts w:ascii="Verdana" w:hAnsi="Verdana"/>
          <w:sz w:val="18"/>
          <w:szCs w:val="18"/>
        </w:rPr>
      </w:pPr>
      <w:r w:rsidRPr="00EC75B7">
        <w:rPr>
          <w:rFonts w:ascii="Verdana" w:hAnsi="Verdana"/>
          <w:b/>
          <w:sz w:val="18"/>
          <w:szCs w:val="18"/>
        </w:rPr>
        <w:t>High-risk areas</w:t>
      </w:r>
      <w:r w:rsidRPr="00EC75B7">
        <w:rPr>
          <w:rFonts w:ascii="Verdana" w:hAnsi="Verdana"/>
          <w:sz w:val="18"/>
          <w:szCs w:val="18"/>
        </w:rPr>
        <w:t>:</w:t>
      </w:r>
      <w:r w:rsidRPr="00EC75B7">
        <w:rPr>
          <w:rFonts w:ascii="Verdana" w:hAnsi="Verdana"/>
          <w:spacing w:val="40"/>
          <w:sz w:val="18"/>
          <w:szCs w:val="18"/>
        </w:rPr>
        <w:t xml:space="preserve"> </w:t>
      </w:r>
      <w:r w:rsidRPr="00EC75B7">
        <w:rPr>
          <w:rFonts w:ascii="Verdana" w:hAnsi="Verdana"/>
          <w:sz w:val="18"/>
          <w:szCs w:val="18"/>
        </w:rPr>
        <w:t>In these areas, a series of restrictions on the location and operation of wind farms are necessary to minimize the risk of collision (e.g., monitoring using radar technology, built-in microphones to monitor collision rates, etc.), with long-term monitoring (minimum 10 years) of gliding bird species and/or</w:t>
      </w:r>
      <w:r w:rsidR="00E26EB0" w:rsidRPr="00E26EB0">
        <w:rPr>
          <w:rFonts w:ascii="Verdana" w:hAnsi="Verdana"/>
          <w:sz w:val="18"/>
          <w:szCs w:val="18"/>
        </w:rPr>
        <w:t>populations of geese and swans that winter there. The proposed high-risk areas cover 36.4% of the Dobrogea region.</w:t>
      </w:r>
    </w:p>
    <w:p w14:paraId="1471A086" w14:textId="77777777" w:rsidR="00E26EB0" w:rsidRPr="00E26EB0" w:rsidRDefault="00E26EB0" w:rsidP="00E26EB0">
      <w:pPr>
        <w:pStyle w:val="ListParagraph"/>
        <w:numPr>
          <w:ilvl w:val="0"/>
          <w:numId w:val="94"/>
        </w:numPr>
        <w:tabs>
          <w:tab w:val="left" w:pos="1485"/>
        </w:tabs>
        <w:spacing w:before="5" w:line="357" w:lineRule="auto"/>
        <w:ind w:right="847"/>
        <w:jc w:val="both"/>
        <w:rPr>
          <w:rFonts w:ascii="Verdana" w:hAnsi="Verdana"/>
          <w:sz w:val="18"/>
          <w:szCs w:val="18"/>
        </w:rPr>
      </w:pPr>
      <w:r w:rsidRPr="00E26EB0">
        <w:rPr>
          <w:rFonts w:ascii="Verdana" w:hAnsi="Verdana"/>
          <w:b/>
          <w:bCs/>
          <w:sz w:val="18"/>
          <w:szCs w:val="18"/>
        </w:rPr>
        <w:t>Moderate risk areas</w:t>
      </w:r>
      <w:r w:rsidRPr="00E26EB0">
        <w:rPr>
          <w:rFonts w:ascii="Verdana" w:hAnsi="Verdana"/>
          <w:sz w:val="18"/>
          <w:szCs w:val="18"/>
        </w:rPr>
        <w:t>: in these areas, long-term monitoring of gliding bird species and/or wintering goose and swan populations is necessary. The proposed moderate risk areas cover 13.2% of Dobrogea's surface area.</w:t>
      </w:r>
    </w:p>
    <w:p w14:paraId="2DF71DED" w14:textId="77777777" w:rsidR="00E26EB0" w:rsidRPr="00EC75B7" w:rsidRDefault="00E26EB0" w:rsidP="00E26EB0">
      <w:pPr>
        <w:pStyle w:val="ListParagraph"/>
        <w:tabs>
          <w:tab w:val="left" w:pos="1485"/>
        </w:tabs>
        <w:spacing w:before="5" w:line="357" w:lineRule="auto"/>
        <w:ind w:right="847" w:firstLine="0"/>
        <w:jc w:val="both"/>
        <w:rPr>
          <w:rFonts w:ascii="Verdana" w:hAnsi="Verdana"/>
          <w:sz w:val="18"/>
          <w:szCs w:val="18"/>
        </w:rPr>
      </w:pPr>
    </w:p>
    <w:p w14:paraId="54A1062E" w14:textId="77777777" w:rsidR="008715BE" w:rsidRPr="00EC75B7" w:rsidRDefault="008715BE">
      <w:pPr>
        <w:pStyle w:val="BodyText"/>
        <w:rPr>
          <w:rFonts w:ascii="Verdana" w:hAnsi="Verdana"/>
        </w:rPr>
      </w:pPr>
    </w:p>
    <w:p w14:paraId="2207E947" w14:textId="77777777" w:rsidR="00E26EB0" w:rsidRPr="00EC75B7" w:rsidRDefault="00E26EB0">
      <w:pPr>
        <w:pStyle w:val="BodyText"/>
        <w:spacing w:before="213"/>
        <w:rPr>
          <w:rFonts w:ascii="Verdana" w:hAnsi="Verdana"/>
        </w:rPr>
      </w:pPr>
    </w:p>
    <w:p w14:paraId="1C0BB2C5" w14:textId="77777777" w:rsidR="00E26EB0" w:rsidRPr="00EC75B7" w:rsidRDefault="00E26EB0" w:rsidP="00E26EB0">
      <w:pPr>
        <w:pStyle w:val="BodyText"/>
        <w:spacing w:line="362" w:lineRule="auto"/>
        <w:ind w:left="760" w:right="857" w:hanging="10"/>
        <w:jc w:val="both"/>
        <w:rPr>
          <w:rFonts w:ascii="Verdana" w:hAnsi="Verdana"/>
        </w:rPr>
      </w:pPr>
      <w:r w:rsidRPr="00EC75B7">
        <w:rPr>
          <w:rFonts w:ascii="Verdana" w:hAnsi="Verdana"/>
        </w:rPr>
        <w:t>These areas only take into account areas that are important for bird species and do not include other types of areas with building restrictions for wind farms (e.g., areas important for bat species, localities, public road networks, information on the nesting of bird species).</w:t>
      </w:r>
    </w:p>
    <w:p w14:paraId="07D603B7" w14:textId="77777777" w:rsidR="00E26EB0" w:rsidRPr="00EC75B7" w:rsidRDefault="00E26EB0" w:rsidP="00E26EB0">
      <w:pPr>
        <w:pStyle w:val="BodyText"/>
        <w:spacing w:before="107" w:line="357" w:lineRule="auto"/>
        <w:ind w:left="765" w:right="847"/>
        <w:jc w:val="both"/>
        <w:rPr>
          <w:rFonts w:ascii="Verdana" w:hAnsi="Verdana"/>
        </w:rPr>
      </w:pPr>
      <w:r w:rsidRPr="00EC75B7">
        <w:rPr>
          <w:rFonts w:ascii="Verdana" w:hAnsi="Verdana"/>
        </w:rPr>
        <w:t>From the conclusions of the "Study on recommendations for areas in Dobrogea where the location of wind farms should be restricted due to the migration corridors of gliding birds (diurnal birds of prey, storks, pelicans), and due to the wintering of geese and swans," conducted by the Danube Delta National Research and Development Institute in 2012, it appears that the project is located in an area of moderate risk in terms of bird species conservation and natural habitats. In areas with moderate risk. Moderate risk areas cover approximately 206,100 ha, representing 13.2% of the surface area of Dobrogea. In moderate risk areas, in order to establish conditions for the construction or operation of wind farms, long-term monitoring of gliding bird species and/or wintering goose and swan populations is necessary.</w:t>
      </w:r>
    </w:p>
    <w:p w14:paraId="11EA14F9" w14:textId="77777777" w:rsidR="008715BE" w:rsidRPr="00EC75B7" w:rsidRDefault="008715BE">
      <w:pPr>
        <w:rPr>
          <w:rFonts w:ascii="Verdana" w:hAnsi="Verdana"/>
          <w:sz w:val="18"/>
          <w:szCs w:val="18"/>
        </w:rPr>
        <w:sectPr w:rsidR="008715BE" w:rsidRPr="00EC75B7">
          <w:pgSz w:w="11910" w:h="16840"/>
          <w:pgMar w:top="1160" w:right="141" w:bottom="1020" w:left="425" w:header="766" w:footer="797" w:gutter="0"/>
          <w:cols w:space="708"/>
        </w:sectPr>
      </w:pPr>
    </w:p>
    <w:p w14:paraId="5C333F17" w14:textId="77777777" w:rsidR="008715BE" w:rsidRPr="00EC75B7" w:rsidRDefault="008715BE">
      <w:pPr>
        <w:pStyle w:val="BodyText"/>
        <w:spacing w:before="46"/>
        <w:rPr>
          <w:rFonts w:ascii="Verdana" w:hAnsi="Verdana"/>
        </w:rPr>
      </w:pPr>
    </w:p>
    <w:p w14:paraId="15F83A4F" w14:textId="01D5BFED" w:rsidR="008715BE" w:rsidRPr="00EC75B7" w:rsidRDefault="00E7611D" w:rsidP="00E7611D">
      <w:pPr>
        <w:pStyle w:val="BodyText"/>
        <w:spacing w:before="9"/>
        <w:jc w:val="center"/>
        <w:rPr>
          <w:rFonts w:ascii="Verdana" w:hAnsi="Verdana"/>
        </w:rPr>
      </w:pPr>
      <w:r>
        <w:rPr>
          <w:noProof/>
        </w:rPr>
        <w:drawing>
          <wp:inline distT="0" distB="0" distL="0" distR="0" wp14:anchorId="4BE65223" wp14:editId="5002431E">
            <wp:extent cx="6172200" cy="3365500"/>
            <wp:effectExtent l="0" t="0" r="0" b="6350"/>
            <wp:docPr id="15524495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2200" cy="3365500"/>
                    </a:xfrm>
                    <a:prstGeom prst="rect">
                      <a:avLst/>
                    </a:prstGeom>
                    <a:noFill/>
                    <a:ln>
                      <a:noFill/>
                    </a:ln>
                  </pic:spPr>
                </pic:pic>
              </a:graphicData>
            </a:graphic>
          </wp:inline>
        </w:drawing>
      </w:r>
    </w:p>
    <w:p w14:paraId="6EE1AC5B" w14:textId="77777777" w:rsidR="008715BE" w:rsidRPr="00EC75B7" w:rsidRDefault="008715BE">
      <w:pPr>
        <w:pStyle w:val="BodyText"/>
        <w:spacing w:before="1"/>
        <w:rPr>
          <w:rFonts w:ascii="Verdana" w:hAnsi="Verdana"/>
        </w:rPr>
      </w:pPr>
    </w:p>
    <w:p w14:paraId="629E2015" w14:textId="77777777" w:rsidR="008715BE" w:rsidRPr="00EC75B7" w:rsidRDefault="00000000">
      <w:pPr>
        <w:ind w:left="747" w:right="837"/>
        <w:jc w:val="center"/>
        <w:rPr>
          <w:rFonts w:ascii="Verdana" w:hAnsi="Verdana"/>
          <w:b/>
          <w:sz w:val="18"/>
          <w:szCs w:val="18"/>
        </w:rPr>
      </w:pPr>
      <w:r w:rsidRPr="00EC75B7">
        <w:rPr>
          <w:rFonts w:ascii="Verdana" w:hAnsi="Verdana"/>
          <w:b/>
          <w:color w:val="009DEF"/>
          <w:sz w:val="18"/>
          <w:szCs w:val="18"/>
        </w:rPr>
        <w:t>Figure 21 Map showing areas where wind turbine construction may be permitted, but where construction or operation will need to be restricted due to the migration of gliding birds and/or wintering populations of geese and swans.</w:t>
      </w:r>
    </w:p>
    <w:p w14:paraId="6741BDBD" w14:textId="77777777" w:rsidR="008715BE" w:rsidRPr="00EC75B7" w:rsidRDefault="008715BE">
      <w:pPr>
        <w:pStyle w:val="BodyText"/>
        <w:rPr>
          <w:rFonts w:ascii="Verdana" w:hAnsi="Verdana"/>
          <w:b/>
        </w:rPr>
      </w:pPr>
    </w:p>
    <w:p w14:paraId="6018DC04" w14:textId="77777777" w:rsidR="008715BE" w:rsidRPr="00EC75B7" w:rsidRDefault="008715BE">
      <w:pPr>
        <w:pStyle w:val="BodyText"/>
        <w:rPr>
          <w:rFonts w:ascii="Verdana" w:hAnsi="Verdana"/>
          <w:b/>
        </w:rPr>
      </w:pPr>
    </w:p>
    <w:p w14:paraId="34BD75EC" w14:textId="77777777" w:rsidR="008715BE" w:rsidRPr="00EC75B7" w:rsidRDefault="008715BE">
      <w:pPr>
        <w:pStyle w:val="BodyText"/>
        <w:spacing w:before="111"/>
        <w:rPr>
          <w:rFonts w:ascii="Verdana" w:hAnsi="Verdana"/>
          <w:b/>
        </w:rPr>
      </w:pPr>
    </w:p>
    <w:p w14:paraId="5C7122DD" w14:textId="5A7EFF7D" w:rsidR="008715BE" w:rsidRDefault="00000000" w:rsidP="00E26EB0">
      <w:pPr>
        <w:pStyle w:val="BodyText"/>
        <w:spacing w:line="362" w:lineRule="auto"/>
        <w:ind w:left="760" w:right="851" w:hanging="10"/>
        <w:jc w:val="both"/>
        <w:rPr>
          <w:rFonts w:ascii="Verdana" w:hAnsi="Verdana"/>
        </w:rPr>
      </w:pPr>
      <w:r w:rsidRPr="00EC75B7">
        <w:rPr>
          <w:rFonts w:ascii="Verdana" w:hAnsi="Verdana"/>
        </w:rPr>
        <w:t>The project site is located near the distribution areas of the red-breasted goose (</w:t>
      </w:r>
      <w:r w:rsidRPr="00EC75B7">
        <w:rPr>
          <w:rFonts w:ascii="Verdana" w:hAnsi="Verdana"/>
          <w:i/>
        </w:rPr>
        <w:t>Branta ruficollis</w:t>
      </w:r>
      <w:r w:rsidRPr="00EC75B7">
        <w:rPr>
          <w:rFonts w:ascii="Verdana" w:hAnsi="Verdana"/>
        </w:rPr>
        <w:t>). In Romania, the red-breasted goose population is found in the lowlands of Bărăgan and Dobrogea, near large lakes, which they use for roosting.</w:t>
      </w:r>
      <w:r w:rsidRPr="00EC75B7">
        <w:rPr>
          <w:rFonts w:ascii="Verdana" w:hAnsi="Verdana"/>
          <w:spacing w:val="40"/>
        </w:rPr>
        <w:t xml:space="preserve"> </w:t>
      </w:r>
      <w:r w:rsidRPr="00EC75B7">
        <w:rPr>
          <w:rFonts w:ascii="Verdana" w:hAnsi="Verdana"/>
        </w:rPr>
        <w:t xml:space="preserve">In milder winters, several thousand geese remain to winter in Ukraine and even in southern Russia. When it is cold, the geese move rapidly south to the Dobrogea region of Romania and Bulgaria. </w:t>
      </w:r>
    </w:p>
    <w:p w14:paraId="2CFF0508" w14:textId="77777777" w:rsidR="00E26EB0" w:rsidRPr="00EC75B7" w:rsidRDefault="00E26EB0" w:rsidP="00E26EB0">
      <w:pPr>
        <w:pStyle w:val="BodyText"/>
        <w:spacing w:before="1" w:line="362" w:lineRule="auto"/>
        <w:ind w:left="760" w:right="848"/>
        <w:jc w:val="both"/>
        <w:rPr>
          <w:rFonts w:ascii="Verdana" w:hAnsi="Verdana"/>
        </w:rPr>
      </w:pPr>
      <w:r w:rsidRPr="00EC75B7">
        <w:rPr>
          <w:rFonts w:ascii="Verdana" w:hAnsi="Verdana"/>
        </w:rPr>
        <w:t>The most important areas for the species remain the sites in southeastern Romania, mainly the regions of Bărăgan, the Danube Delta, and Dobrogea (Figure 2-13), where several protected areas have been declared for the species: Balta Albă - Amara - Jirlău, Ianca - Plopu - Sărat, Lake Strachina, Iezerul Călărași, Gura Ialomiței - Berteștii de Sus, Balta Mică a Brăilei Natural Park, Lake Oltina, the Danube Delta, and the Razim-Sinoe lagoon complex.</w:t>
      </w:r>
    </w:p>
    <w:p w14:paraId="4E70DA99" w14:textId="77777777" w:rsidR="00E26EB0" w:rsidRPr="00EC75B7" w:rsidRDefault="00E26EB0" w:rsidP="00E26EB0">
      <w:pPr>
        <w:pStyle w:val="BodyText"/>
        <w:spacing w:before="115" w:line="362" w:lineRule="auto"/>
        <w:ind w:left="760" w:right="848" w:hanging="10"/>
        <w:jc w:val="both"/>
        <w:rPr>
          <w:rFonts w:ascii="Verdana" w:hAnsi="Verdana"/>
        </w:rPr>
      </w:pPr>
      <w:r w:rsidRPr="00EC75B7">
        <w:rPr>
          <w:rFonts w:ascii="Verdana" w:hAnsi="Verdana"/>
        </w:rPr>
        <w:t>The latest estimate of the national population of red-breasted geese for the period 2013-2022 is approximately 9,915-23,641 individuals wintering in Romania, representing about 42% of the global population. The following figure shows the distribution of the red-breasted goose (Branta ruficollis) in Romania for the period 2000-2022 (EEA grid, 10x10 km, in ETRS89 projection system).The tables below present the structural and functional relationships and the analysis of the relationships between habitats/species and ecosystems at the level of the analyzed sites.</w:t>
      </w:r>
    </w:p>
    <w:p w14:paraId="34E4A8BE" w14:textId="77777777" w:rsidR="00E26EB0" w:rsidRPr="00EC75B7" w:rsidRDefault="00E26EB0">
      <w:pPr>
        <w:pStyle w:val="BodyText"/>
        <w:spacing w:line="362" w:lineRule="auto"/>
        <w:jc w:val="both"/>
        <w:rPr>
          <w:rFonts w:ascii="Verdana" w:hAnsi="Verdana"/>
        </w:rPr>
        <w:sectPr w:rsidR="00E26EB0" w:rsidRPr="00EC75B7">
          <w:pgSz w:w="11910" w:h="16840"/>
          <w:pgMar w:top="1160" w:right="141" w:bottom="1020" w:left="425" w:header="766" w:footer="797" w:gutter="0"/>
          <w:cols w:space="708"/>
        </w:sectPr>
      </w:pPr>
    </w:p>
    <w:p w14:paraId="432A4D4D" w14:textId="77777777" w:rsidR="008715BE" w:rsidRPr="00EC75B7" w:rsidRDefault="008715BE">
      <w:pPr>
        <w:pStyle w:val="BodyText"/>
        <w:spacing w:before="46"/>
        <w:rPr>
          <w:rFonts w:ascii="Verdana" w:hAnsi="Verdana"/>
        </w:rPr>
      </w:pPr>
    </w:p>
    <w:p w14:paraId="282FF538" w14:textId="4A2166DE" w:rsidR="008715BE" w:rsidRPr="00EC75B7" w:rsidRDefault="00E7611D" w:rsidP="00E7611D">
      <w:pPr>
        <w:pStyle w:val="BodyText"/>
        <w:spacing w:before="11"/>
        <w:jc w:val="center"/>
        <w:rPr>
          <w:rFonts w:ascii="Verdana" w:hAnsi="Verdana"/>
        </w:rPr>
      </w:pPr>
      <w:r>
        <w:rPr>
          <w:noProof/>
        </w:rPr>
        <w:drawing>
          <wp:inline distT="0" distB="0" distL="0" distR="0" wp14:anchorId="393E617B" wp14:editId="74889DE9">
            <wp:extent cx="4839335" cy="3092450"/>
            <wp:effectExtent l="0" t="0" r="0" b="0"/>
            <wp:docPr id="457631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41132" cy="3093598"/>
                    </a:xfrm>
                    <a:prstGeom prst="rect">
                      <a:avLst/>
                    </a:prstGeom>
                    <a:noFill/>
                    <a:ln>
                      <a:noFill/>
                    </a:ln>
                  </pic:spPr>
                </pic:pic>
              </a:graphicData>
            </a:graphic>
          </wp:inline>
        </w:drawing>
      </w:r>
    </w:p>
    <w:p w14:paraId="52DF2269" w14:textId="77777777" w:rsidR="008715BE" w:rsidRPr="00EC75B7" w:rsidRDefault="008715BE">
      <w:pPr>
        <w:pStyle w:val="BodyText"/>
        <w:spacing w:before="80"/>
        <w:rPr>
          <w:rFonts w:ascii="Verdana" w:hAnsi="Verdana"/>
        </w:rPr>
      </w:pPr>
    </w:p>
    <w:p w14:paraId="5537F168" w14:textId="77777777" w:rsidR="008715BE" w:rsidRPr="00EC75B7" w:rsidRDefault="00000000">
      <w:pPr>
        <w:ind w:left="5398" w:right="850" w:hanging="4631"/>
        <w:rPr>
          <w:rFonts w:ascii="Verdana" w:hAnsi="Verdana"/>
          <w:b/>
          <w:sz w:val="18"/>
          <w:szCs w:val="18"/>
        </w:rPr>
      </w:pPr>
      <w:r w:rsidRPr="00EC75B7">
        <w:rPr>
          <w:rFonts w:ascii="Verdana" w:hAnsi="Verdana"/>
          <w:b/>
          <w:color w:val="009DEF"/>
          <w:sz w:val="18"/>
          <w:szCs w:val="18"/>
        </w:rPr>
        <w:t xml:space="preserve">Figure 22 Map of the distribution of the red-breasted goose (Branta </w:t>
      </w:r>
      <w:r w:rsidRPr="00EC75B7">
        <w:rPr>
          <w:rFonts w:ascii="Verdana" w:hAnsi="Verdana"/>
          <w:b/>
          <w:i/>
          <w:color w:val="009DEF"/>
          <w:sz w:val="18"/>
          <w:szCs w:val="18"/>
        </w:rPr>
        <w:t>ruficollis</w:t>
      </w:r>
      <w:r w:rsidRPr="00EC75B7">
        <w:rPr>
          <w:rFonts w:ascii="Verdana" w:hAnsi="Verdana"/>
          <w:b/>
          <w:color w:val="009DEF"/>
          <w:sz w:val="18"/>
          <w:szCs w:val="18"/>
        </w:rPr>
        <w:t>) in Romania, between</w:t>
      </w:r>
      <w:r w:rsidRPr="00EC75B7">
        <w:rPr>
          <w:rFonts w:ascii="Verdana" w:hAnsi="Verdana"/>
          <w:b/>
          <w:color w:val="009DEF"/>
          <w:spacing w:val="-4"/>
          <w:sz w:val="18"/>
          <w:szCs w:val="18"/>
        </w:rPr>
        <w:t xml:space="preserve"> 2000 and 2022</w:t>
      </w:r>
    </w:p>
    <w:p w14:paraId="5E3505C3" w14:textId="77777777" w:rsidR="008715BE" w:rsidRPr="00EC75B7" w:rsidRDefault="008715BE">
      <w:pPr>
        <w:pStyle w:val="BodyText"/>
        <w:spacing w:before="43"/>
        <w:rPr>
          <w:rFonts w:ascii="Verdana" w:hAnsi="Verdana"/>
          <w:b/>
        </w:rPr>
      </w:pPr>
    </w:p>
    <w:p w14:paraId="332AE1A8" w14:textId="77777777" w:rsidR="008715BE" w:rsidRPr="00EC75B7" w:rsidRDefault="00000000">
      <w:pPr>
        <w:pStyle w:val="BodyText"/>
        <w:spacing w:line="362" w:lineRule="auto"/>
        <w:ind w:left="760" w:right="855" w:hanging="10"/>
        <w:jc w:val="both"/>
        <w:rPr>
          <w:rFonts w:ascii="Verdana" w:hAnsi="Verdana"/>
        </w:rPr>
      </w:pPr>
      <w:r w:rsidRPr="00EC75B7">
        <w:rPr>
          <w:rFonts w:ascii="Verdana" w:hAnsi="Verdana"/>
        </w:rPr>
        <w:t>Currently, there is no data in Romania on collisions between red-breasted geese and power lines and wind turbines. Research in Western and Northern Europe shows that wind turbines have a negative impact on goose populations. The main effect recorded is the abandonment of feeding areas, leading to the effective loss of key habitats (Larsen &amp; Madsen, 2000; Larsen &amp; Clausen, 2002, Madsen &amp; Boertmann, 2008, etc.).</w:t>
      </w:r>
    </w:p>
    <w:p w14:paraId="0F1FBF61" w14:textId="77777777" w:rsidR="008715BE" w:rsidRPr="00EC75B7" w:rsidRDefault="00000000">
      <w:pPr>
        <w:pStyle w:val="BodyText"/>
        <w:spacing w:before="115" w:line="362" w:lineRule="auto"/>
        <w:ind w:left="760" w:right="846" w:hanging="10"/>
        <w:jc w:val="both"/>
        <w:rPr>
          <w:rFonts w:ascii="Verdana" w:hAnsi="Verdana"/>
        </w:rPr>
      </w:pPr>
      <w:r w:rsidRPr="00EC75B7">
        <w:rPr>
          <w:rFonts w:ascii="Verdana" w:hAnsi="Verdana"/>
        </w:rPr>
        <w:t>An analysis of the map showing the correlation between areas important for the red-breasted goose (</w:t>
      </w:r>
      <w:r w:rsidRPr="00EC75B7">
        <w:rPr>
          <w:rFonts w:ascii="Verdana" w:hAnsi="Verdana"/>
          <w:i/>
        </w:rPr>
        <w:t>Branta ruficollis</w:t>
      </w:r>
      <w:r w:rsidRPr="00EC75B7">
        <w:rPr>
          <w:rFonts w:ascii="Verdana" w:hAnsi="Verdana"/>
        </w:rPr>
        <w:t>) in Dobrogea and wind farms reveals that the perimeter of the energy park under analysis is located in an area of low importance (low sensitivity).</w:t>
      </w:r>
    </w:p>
    <w:p w14:paraId="4FFD9B71" w14:textId="77777777" w:rsidR="008715BE" w:rsidRPr="00EC75B7" w:rsidRDefault="008715BE">
      <w:pPr>
        <w:pStyle w:val="BodyText"/>
        <w:spacing w:line="362" w:lineRule="auto"/>
        <w:jc w:val="both"/>
        <w:rPr>
          <w:rFonts w:ascii="Verdana" w:hAnsi="Verdana"/>
        </w:rPr>
        <w:sectPr w:rsidR="008715BE" w:rsidRPr="00EC75B7">
          <w:pgSz w:w="11910" w:h="16840"/>
          <w:pgMar w:top="1160" w:right="141" w:bottom="1020" w:left="425" w:header="766" w:footer="797" w:gutter="0"/>
          <w:cols w:space="708"/>
        </w:sectPr>
      </w:pPr>
    </w:p>
    <w:p w14:paraId="4F412886" w14:textId="16B1C337" w:rsidR="008715BE" w:rsidRPr="00EC75B7" w:rsidRDefault="00E7611D" w:rsidP="00E7611D">
      <w:pPr>
        <w:pStyle w:val="BodyText"/>
        <w:spacing w:before="13" w:after="1"/>
        <w:jc w:val="center"/>
        <w:rPr>
          <w:rFonts w:ascii="Verdana" w:hAnsi="Verdana"/>
        </w:rPr>
      </w:pPr>
      <w:r>
        <w:rPr>
          <w:noProof/>
        </w:rPr>
        <w:lastRenderedPageBreak/>
        <w:drawing>
          <wp:inline distT="0" distB="0" distL="0" distR="0" wp14:anchorId="1A029058" wp14:editId="03BD7803">
            <wp:extent cx="6172200" cy="3486150"/>
            <wp:effectExtent l="0" t="0" r="0" b="0"/>
            <wp:docPr id="13545363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72200" cy="3486150"/>
                    </a:xfrm>
                    <a:prstGeom prst="rect">
                      <a:avLst/>
                    </a:prstGeom>
                    <a:noFill/>
                    <a:ln>
                      <a:noFill/>
                    </a:ln>
                  </pic:spPr>
                </pic:pic>
              </a:graphicData>
            </a:graphic>
          </wp:inline>
        </w:drawing>
      </w:r>
    </w:p>
    <w:p w14:paraId="11BC7ACB" w14:textId="794A7382" w:rsidR="008715BE" w:rsidRPr="00EC75B7" w:rsidRDefault="008715BE">
      <w:pPr>
        <w:ind w:left="794"/>
        <w:rPr>
          <w:rFonts w:ascii="Verdana" w:hAnsi="Verdana"/>
          <w:sz w:val="18"/>
          <w:szCs w:val="18"/>
        </w:rPr>
      </w:pPr>
    </w:p>
    <w:p w14:paraId="06BF769F" w14:textId="77777777" w:rsidR="008715BE" w:rsidRPr="00EC75B7" w:rsidRDefault="008715BE">
      <w:pPr>
        <w:pStyle w:val="BodyText"/>
        <w:spacing w:before="135"/>
        <w:rPr>
          <w:rFonts w:ascii="Verdana" w:hAnsi="Verdana"/>
        </w:rPr>
      </w:pPr>
    </w:p>
    <w:p w14:paraId="7A366010" w14:textId="77777777" w:rsidR="008715BE" w:rsidRPr="00EC75B7" w:rsidRDefault="00000000">
      <w:pPr>
        <w:spacing w:line="357" w:lineRule="auto"/>
        <w:ind w:left="747" w:right="831"/>
        <w:jc w:val="center"/>
        <w:rPr>
          <w:rFonts w:ascii="Verdana" w:hAnsi="Verdana"/>
          <w:sz w:val="18"/>
          <w:szCs w:val="18"/>
        </w:rPr>
      </w:pPr>
      <w:r w:rsidRPr="00EC75B7">
        <w:rPr>
          <w:rFonts w:ascii="Verdana" w:hAnsi="Verdana"/>
          <w:b/>
          <w:color w:val="009DEF"/>
          <w:sz w:val="18"/>
          <w:szCs w:val="18"/>
        </w:rPr>
        <w:t>Figure 23 Correlation between areas important for the red-breasted goose (</w:t>
      </w:r>
      <w:r w:rsidRPr="00EC75B7">
        <w:rPr>
          <w:rFonts w:ascii="Verdana" w:hAnsi="Verdana"/>
          <w:b/>
          <w:i/>
          <w:color w:val="009DEF"/>
          <w:sz w:val="18"/>
          <w:szCs w:val="18"/>
        </w:rPr>
        <w:t>Branta ruficollis</w:t>
      </w:r>
      <w:r w:rsidRPr="00EC75B7">
        <w:rPr>
          <w:rFonts w:ascii="Verdana" w:hAnsi="Verdana"/>
          <w:b/>
          <w:color w:val="009DEF"/>
          <w:sz w:val="18"/>
          <w:szCs w:val="18"/>
        </w:rPr>
        <w:t>) in Dobrogea and wind farms. Authorized (black) and operational (green) wind turbines in Dobrogea and Bărăgan approved in Romania between 2000 and 2022</w:t>
      </w:r>
      <w:r w:rsidRPr="00EC75B7">
        <w:rPr>
          <w:rFonts w:ascii="Verdana" w:hAnsi="Verdana"/>
          <w:color w:val="009DEF"/>
          <w:sz w:val="18"/>
          <w:szCs w:val="18"/>
          <w:vertAlign w:val="superscript"/>
        </w:rPr>
        <w:t>13</w:t>
      </w:r>
    </w:p>
    <w:p w14:paraId="13104FC2" w14:textId="77777777" w:rsidR="008715BE" w:rsidRPr="00EC75B7" w:rsidRDefault="008715BE">
      <w:pPr>
        <w:pStyle w:val="BodyText"/>
        <w:spacing w:before="98"/>
        <w:rPr>
          <w:rFonts w:ascii="Verdana" w:hAnsi="Verdana"/>
        </w:rPr>
      </w:pPr>
    </w:p>
    <w:p w14:paraId="73D08862" w14:textId="77777777" w:rsidR="008715BE" w:rsidRPr="00EC75B7" w:rsidRDefault="00000000">
      <w:pPr>
        <w:pStyle w:val="BodyText"/>
        <w:ind w:left="794"/>
        <w:rPr>
          <w:rFonts w:ascii="Verdana" w:hAnsi="Verdana"/>
        </w:rPr>
      </w:pPr>
      <w:r w:rsidRPr="00EC75B7">
        <w:rPr>
          <w:rFonts w:ascii="Verdana" w:hAnsi="Verdana"/>
        </w:rPr>
        <w:t xml:space="preserve">The species' movements to wintering areas, which were carried out as part of the National Action Plan </w:t>
      </w:r>
      <w:r w:rsidRPr="00EC75B7">
        <w:rPr>
          <w:rFonts w:ascii="Verdana" w:hAnsi="Verdana"/>
          <w:spacing w:val="-2"/>
        </w:rPr>
        <w:t>for</w:t>
      </w:r>
    </w:p>
    <w:p w14:paraId="220D1FAC" w14:textId="77777777" w:rsidR="008715BE" w:rsidRPr="00EC75B7" w:rsidRDefault="00000000">
      <w:pPr>
        <w:spacing w:before="109"/>
        <w:ind w:left="794"/>
        <w:rPr>
          <w:rFonts w:ascii="Verdana" w:hAnsi="Verdana"/>
          <w:sz w:val="18"/>
          <w:szCs w:val="18"/>
        </w:rPr>
      </w:pPr>
      <w:r w:rsidRPr="00EC75B7">
        <w:rPr>
          <w:rFonts w:ascii="Verdana" w:hAnsi="Verdana"/>
          <w:sz w:val="18"/>
          <w:szCs w:val="18"/>
        </w:rPr>
        <w:t xml:space="preserve">conservation and management of the </w:t>
      </w:r>
      <w:r w:rsidRPr="00EC75B7">
        <w:rPr>
          <w:rFonts w:ascii="Verdana" w:hAnsi="Verdana"/>
          <w:i/>
          <w:sz w:val="18"/>
          <w:szCs w:val="18"/>
        </w:rPr>
        <w:t xml:space="preserve">Branta </w:t>
      </w:r>
      <w:r w:rsidRPr="00EC75B7">
        <w:rPr>
          <w:rFonts w:ascii="Verdana" w:hAnsi="Verdana"/>
          <w:i/>
          <w:spacing w:val="-2"/>
          <w:sz w:val="18"/>
          <w:szCs w:val="18"/>
        </w:rPr>
        <w:t xml:space="preserve">ruficollis </w:t>
      </w:r>
      <w:r w:rsidRPr="00EC75B7">
        <w:rPr>
          <w:rFonts w:ascii="Verdana" w:hAnsi="Verdana"/>
          <w:sz w:val="18"/>
          <w:szCs w:val="18"/>
        </w:rPr>
        <w:t>population</w:t>
      </w:r>
      <w:r w:rsidRPr="00EC75B7">
        <w:rPr>
          <w:rFonts w:ascii="Verdana" w:hAnsi="Verdana"/>
          <w:spacing w:val="-2"/>
          <w:sz w:val="18"/>
          <w:szCs w:val="18"/>
        </w:rPr>
        <w:t>.</w:t>
      </w:r>
    </w:p>
    <w:p w14:paraId="5207C208" w14:textId="77777777" w:rsidR="008715BE" w:rsidRPr="00EC75B7" w:rsidRDefault="008715BE">
      <w:pPr>
        <w:pStyle w:val="BodyText"/>
        <w:rPr>
          <w:rFonts w:ascii="Verdana" w:hAnsi="Verdana"/>
        </w:rPr>
      </w:pPr>
    </w:p>
    <w:p w14:paraId="0EAB8A6C" w14:textId="77777777" w:rsidR="008715BE" w:rsidRDefault="008715BE">
      <w:pPr>
        <w:pStyle w:val="BodyText"/>
        <w:spacing w:before="59"/>
        <w:rPr>
          <w:rFonts w:ascii="Verdana" w:hAnsi="Verdana"/>
        </w:rPr>
      </w:pPr>
    </w:p>
    <w:p w14:paraId="39869FD1" w14:textId="77777777" w:rsidR="00E26EB0" w:rsidRDefault="00E26EB0">
      <w:pPr>
        <w:pStyle w:val="BodyText"/>
        <w:spacing w:before="59"/>
        <w:rPr>
          <w:rFonts w:ascii="Verdana" w:hAnsi="Verdana"/>
        </w:rPr>
      </w:pPr>
    </w:p>
    <w:p w14:paraId="34BC88C2" w14:textId="77777777" w:rsidR="00E26EB0" w:rsidRDefault="00E26EB0">
      <w:pPr>
        <w:pStyle w:val="BodyText"/>
        <w:spacing w:before="59"/>
        <w:rPr>
          <w:rFonts w:ascii="Verdana" w:hAnsi="Verdana"/>
        </w:rPr>
      </w:pPr>
    </w:p>
    <w:p w14:paraId="438DF04E" w14:textId="77777777" w:rsidR="00E26EB0" w:rsidRDefault="00E26EB0">
      <w:pPr>
        <w:pStyle w:val="BodyText"/>
        <w:spacing w:before="59"/>
        <w:rPr>
          <w:rFonts w:ascii="Verdana" w:hAnsi="Verdana"/>
        </w:rPr>
      </w:pPr>
    </w:p>
    <w:p w14:paraId="7A4976F8" w14:textId="77777777" w:rsidR="00E26EB0" w:rsidRDefault="00E26EB0">
      <w:pPr>
        <w:pStyle w:val="BodyText"/>
        <w:spacing w:before="59"/>
        <w:rPr>
          <w:rFonts w:ascii="Verdana" w:hAnsi="Verdana"/>
        </w:rPr>
      </w:pPr>
    </w:p>
    <w:p w14:paraId="34D845B5" w14:textId="77777777" w:rsidR="00E26EB0" w:rsidRDefault="00E26EB0">
      <w:pPr>
        <w:pStyle w:val="BodyText"/>
        <w:spacing w:before="59"/>
        <w:rPr>
          <w:rFonts w:ascii="Verdana" w:hAnsi="Verdana"/>
        </w:rPr>
      </w:pPr>
    </w:p>
    <w:p w14:paraId="09924F96" w14:textId="77777777" w:rsidR="00E26EB0" w:rsidRDefault="00E26EB0">
      <w:pPr>
        <w:pStyle w:val="BodyText"/>
        <w:spacing w:before="59"/>
        <w:rPr>
          <w:rFonts w:ascii="Verdana" w:hAnsi="Verdana"/>
        </w:rPr>
      </w:pPr>
    </w:p>
    <w:p w14:paraId="29DD1021" w14:textId="77777777" w:rsidR="00E26EB0" w:rsidRDefault="00E26EB0">
      <w:pPr>
        <w:pStyle w:val="BodyText"/>
        <w:spacing w:before="59"/>
        <w:rPr>
          <w:rFonts w:ascii="Verdana" w:hAnsi="Verdana"/>
        </w:rPr>
      </w:pPr>
    </w:p>
    <w:p w14:paraId="143E92B2" w14:textId="77777777" w:rsidR="00E26EB0" w:rsidRDefault="00E26EB0">
      <w:pPr>
        <w:pStyle w:val="BodyText"/>
        <w:spacing w:before="59"/>
        <w:rPr>
          <w:rFonts w:ascii="Verdana" w:hAnsi="Verdana"/>
        </w:rPr>
      </w:pPr>
    </w:p>
    <w:p w14:paraId="57ACE02D" w14:textId="77777777" w:rsidR="00E26EB0" w:rsidRDefault="00E26EB0">
      <w:pPr>
        <w:pStyle w:val="BodyText"/>
        <w:spacing w:before="59"/>
        <w:rPr>
          <w:rFonts w:ascii="Verdana" w:hAnsi="Verdana"/>
        </w:rPr>
      </w:pPr>
    </w:p>
    <w:p w14:paraId="7530F4D3" w14:textId="77777777" w:rsidR="00E26EB0" w:rsidRDefault="00E26EB0">
      <w:pPr>
        <w:pStyle w:val="BodyText"/>
        <w:spacing w:before="59"/>
        <w:rPr>
          <w:rFonts w:ascii="Verdana" w:hAnsi="Verdana"/>
        </w:rPr>
      </w:pPr>
    </w:p>
    <w:p w14:paraId="4E8450A2" w14:textId="77777777" w:rsidR="00E26EB0" w:rsidRDefault="00E26EB0">
      <w:pPr>
        <w:pStyle w:val="BodyText"/>
        <w:spacing w:before="59"/>
        <w:rPr>
          <w:rFonts w:ascii="Verdana" w:hAnsi="Verdana"/>
        </w:rPr>
      </w:pPr>
    </w:p>
    <w:p w14:paraId="7D4B9F82" w14:textId="77777777" w:rsidR="00E26EB0" w:rsidRDefault="00E26EB0">
      <w:pPr>
        <w:pStyle w:val="BodyText"/>
        <w:spacing w:before="59"/>
        <w:rPr>
          <w:rFonts w:ascii="Verdana" w:hAnsi="Verdana"/>
        </w:rPr>
      </w:pPr>
    </w:p>
    <w:p w14:paraId="1B48723B" w14:textId="77777777" w:rsidR="00E26EB0" w:rsidRDefault="00E26EB0">
      <w:pPr>
        <w:pStyle w:val="BodyText"/>
        <w:spacing w:before="59"/>
        <w:rPr>
          <w:rFonts w:ascii="Verdana" w:hAnsi="Verdana"/>
        </w:rPr>
      </w:pPr>
    </w:p>
    <w:p w14:paraId="1D89DDCA" w14:textId="77777777" w:rsidR="00E26EB0" w:rsidRDefault="00E26EB0">
      <w:pPr>
        <w:pStyle w:val="BodyText"/>
        <w:spacing w:before="59"/>
        <w:rPr>
          <w:rFonts w:ascii="Verdana" w:hAnsi="Verdana"/>
        </w:rPr>
      </w:pPr>
    </w:p>
    <w:p w14:paraId="38C4B24A" w14:textId="77777777" w:rsidR="00E26EB0" w:rsidRDefault="00E26EB0">
      <w:pPr>
        <w:pStyle w:val="BodyText"/>
        <w:spacing w:before="59"/>
        <w:rPr>
          <w:rFonts w:ascii="Verdana" w:hAnsi="Verdana"/>
        </w:rPr>
      </w:pPr>
    </w:p>
    <w:p w14:paraId="190994BC" w14:textId="77777777" w:rsidR="00E26EB0" w:rsidRDefault="00E26EB0">
      <w:pPr>
        <w:pStyle w:val="BodyText"/>
        <w:spacing w:before="59"/>
        <w:rPr>
          <w:rFonts w:ascii="Verdana" w:hAnsi="Verdana"/>
        </w:rPr>
      </w:pPr>
    </w:p>
    <w:p w14:paraId="322E65DC" w14:textId="77777777" w:rsidR="00E26EB0" w:rsidRDefault="00E26EB0">
      <w:pPr>
        <w:pStyle w:val="BodyText"/>
        <w:spacing w:before="59"/>
        <w:rPr>
          <w:rFonts w:ascii="Verdana" w:hAnsi="Verdana"/>
        </w:rPr>
      </w:pPr>
    </w:p>
    <w:p w14:paraId="4857D595" w14:textId="77777777" w:rsidR="00E26EB0" w:rsidRDefault="00E26EB0">
      <w:pPr>
        <w:pStyle w:val="BodyText"/>
        <w:spacing w:before="59"/>
        <w:rPr>
          <w:rFonts w:ascii="Verdana" w:hAnsi="Verdana"/>
        </w:rPr>
      </w:pPr>
    </w:p>
    <w:p w14:paraId="40D5C6A5" w14:textId="77777777" w:rsidR="00E26EB0" w:rsidRPr="00EC75B7" w:rsidRDefault="00E26EB0">
      <w:pPr>
        <w:pStyle w:val="BodyText"/>
        <w:spacing w:before="59"/>
        <w:rPr>
          <w:rFonts w:ascii="Verdana" w:hAnsi="Verdana"/>
        </w:rPr>
      </w:pPr>
    </w:p>
    <w:p w14:paraId="65E9F8B8" w14:textId="77777777" w:rsidR="008715BE" w:rsidRPr="00EC75B7" w:rsidRDefault="00000000">
      <w:pPr>
        <w:spacing w:line="376" w:lineRule="auto"/>
        <w:ind w:left="849" w:right="681" w:hanging="85"/>
        <w:rPr>
          <w:rFonts w:ascii="Verdana" w:hAnsi="Verdana"/>
          <w:sz w:val="18"/>
          <w:szCs w:val="18"/>
        </w:rPr>
      </w:pPr>
      <w:r w:rsidRPr="00EC75B7">
        <w:rPr>
          <w:rFonts w:ascii="Verdana" w:hAnsi="Verdana"/>
          <w:color w:val="797766"/>
          <w:position w:val="6"/>
          <w:sz w:val="18"/>
          <w:szCs w:val="18"/>
        </w:rPr>
        <w:t>13</w:t>
      </w:r>
      <w:r w:rsidRPr="00EC75B7">
        <w:rPr>
          <w:rFonts w:ascii="Verdana" w:hAnsi="Verdana"/>
          <w:color w:val="797766"/>
          <w:sz w:val="18"/>
          <w:szCs w:val="18"/>
        </w:rPr>
        <w:t xml:space="preserve">  Annex to Order No. 2.480/2022 of the Minister of Environment, Water, and Forests approving the National Action Plan for the conservation and management of the red-breasted goose population - Branta ruficollis, during the period</w:t>
      </w:r>
    </w:p>
    <w:p w14:paraId="5BF7A07B" w14:textId="77777777" w:rsidR="008715BE" w:rsidRPr="00EC75B7" w:rsidRDefault="008715BE">
      <w:pPr>
        <w:spacing w:line="376" w:lineRule="auto"/>
        <w:rPr>
          <w:rFonts w:ascii="Verdana" w:hAnsi="Verdana"/>
          <w:sz w:val="18"/>
          <w:szCs w:val="18"/>
        </w:rPr>
        <w:sectPr w:rsidR="008715BE" w:rsidRPr="00EC75B7">
          <w:pgSz w:w="11910" w:h="16840"/>
          <w:pgMar w:top="1160" w:right="141" w:bottom="1020" w:left="425" w:header="766" w:footer="797" w:gutter="0"/>
          <w:cols w:space="708"/>
        </w:sectPr>
      </w:pPr>
    </w:p>
    <w:p w14:paraId="45D46F44" w14:textId="77777777" w:rsidR="008715BE" w:rsidRPr="00EC75B7" w:rsidRDefault="008715BE">
      <w:pPr>
        <w:pStyle w:val="BodyText"/>
        <w:spacing w:before="13" w:after="1"/>
        <w:rPr>
          <w:rFonts w:ascii="Verdana" w:hAnsi="Verdana"/>
        </w:rPr>
      </w:pPr>
    </w:p>
    <w:p w14:paraId="01BD62B7" w14:textId="77777777" w:rsidR="008715BE" w:rsidRPr="00EC75B7" w:rsidRDefault="00000000">
      <w:pPr>
        <w:ind w:left="1005"/>
        <w:rPr>
          <w:rFonts w:ascii="Verdana" w:hAnsi="Verdana"/>
          <w:sz w:val="18"/>
          <w:szCs w:val="18"/>
        </w:rPr>
      </w:pPr>
      <w:r w:rsidRPr="00EC75B7">
        <w:rPr>
          <w:rFonts w:ascii="Verdana" w:hAnsi="Verdana"/>
          <w:noProof/>
          <w:sz w:val="18"/>
          <w:szCs w:val="18"/>
        </w:rPr>
        <w:drawing>
          <wp:inline distT="0" distB="0" distL="0" distR="0" wp14:anchorId="6AB0760E" wp14:editId="3EF7D95B">
            <wp:extent cx="5271525" cy="3788229"/>
            <wp:effectExtent l="0" t="0" r="5715" b="3175"/>
            <wp:docPr id="129" name="Image 129"/>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6" cstate="print"/>
                    <a:stretch>
                      <a:fillRect/>
                    </a:stretch>
                  </pic:blipFill>
                  <pic:spPr>
                    <a:xfrm>
                      <a:off x="0" y="0"/>
                      <a:ext cx="5286478" cy="3798974"/>
                    </a:xfrm>
                    <a:prstGeom prst="rect">
                      <a:avLst/>
                    </a:prstGeom>
                  </pic:spPr>
                </pic:pic>
              </a:graphicData>
            </a:graphic>
          </wp:inline>
        </w:drawing>
      </w:r>
    </w:p>
    <w:p w14:paraId="5980C63E" w14:textId="77777777" w:rsidR="008715BE" w:rsidRPr="00EC75B7" w:rsidRDefault="008715BE">
      <w:pPr>
        <w:pStyle w:val="BodyText"/>
        <w:spacing w:before="23"/>
        <w:rPr>
          <w:rFonts w:ascii="Verdana" w:hAnsi="Verdana"/>
        </w:rPr>
      </w:pPr>
    </w:p>
    <w:p w14:paraId="3C422878" w14:textId="77777777" w:rsidR="008715BE" w:rsidRPr="00EC75B7" w:rsidRDefault="00000000">
      <w:pPr>
        <w:spacing w:before="1"/>
        <w:ind w:right="62"/>
        <w:jc w:val="center"/>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24 Movements </w:t>
      </w:r>
      <w:r w:rsidRPr="00EC75B7">
        <w:rPr>
          <w:rFonts w:ascii="Verdana" w:hAnsi="Verdana"/>
          <w:b/>
          <w:color w:val="009DEF"/>
          <w:sz w:val="18"/>
          <w:szCs w:val="18"/>
        </w:rPr>
        <w:t xml:space="preserve">of the species in wintering areas, based on data obtained from satellite transmitters </w:t>
      </w:r>
      <w:r w:rsidRPr="00EC75B7">
        <w:rPr>
          <w:rFonts w:ascii="Verdana" w:hAnsi="Verdana"/>
          <w:b/>
          <w:color w:val="009DEF"/>
          <w:spacing w:val="-7"/>
          <w:sz w:val="18"/>
          <w:szCs w:val="18"/>
        </w:rPr>
        <w:t>in</w:t>
      </w:r>
    </w:p>
    <w:p w14:paraId="51175C4F" w14:textId="77777777" w:rsidR="008715BE" w:rsidRPr="00EC75B7" w:rsidRDefault="00000000">
      <w:pPr>
        <w:spacing w:before="97"/>
        <w:ind w:right="52"/>
        <w:jc w:val="center"/>
        <w:rPr>
          <w:rFonts w:ascii="Verdana" w:hAnsi="Verdana"/>
          <w:b/>
          <w:sz w:val="18"/>
          <w:szCs w:val="18"/>
        </w:rPr>
      </w:pPr>
      <w:r w:rsidRPr="00EC75B7">
        <w:rPr>
          <w:rFonts w:ascii="Verdana" w:hAnsi="Verdana"/>
          <w:b/>
          <w:color w:val="009DEF"/>
          <w:sz w:val="18"/>
          <w:szCs w:val="18"/>
        </w:rPr>
        <w:t xml:space="preserve">the southeast </w:t>
      </w:r>
      <w:r w:rsidRPr="00EC75B7">
        <w:rPr>
          <w:rFonts w:ascii="Verdana" w:hAnsi="Verdana"/>
          <w:b/>
          <w:color w:val="009DEF"/>
          <w:spacing w:val="9"/>
          <w:sz w:val="18"/>
          <w:szCs w:val="18"/>
        </w:rPr>
        <w:t xml:space="preserve">of </w:t>
      </w:r>
      <w:r w:rsidRPr="00EC75B7">
        <w:rPr>
          <w:rFonts w:ascii="Verdana" w:hAnsi="Verdana"/>
          <w:b/>
          <w:color w:val="009DEF"/>
          <w:sz w:val="18"/>
          <w:szCs w:val="18"/>
        </w:rPr>
        <w:t>the country, during the period</w:t>
      </w:r>
      <w:r w:rsidRPr="00EC75B7">
        <w:rPr>
          <w:rFonts w:ascii="Verdana" w:hAnsi="Verdana"/>
          <w:b/>
          <w:color w:val="009DEF"/>
          <w:spacing w:val="-4"/>
          <w:sz w:val="18"/>
          <w:szCs w:val="18"/>
        </w:rPr>
        <w:t xml:space="preserve"> 2011-2020</w:t>
      </w:r>
    </w:p>
    <w:p w14:paraId="083D1EF1" w14:textId="77777777" w:rsidR="008715BE" w:rsidRPr="00EC75B7" w:rsidRDefault="008715BE">
      <w:pPr>
        <w:pStyle w:val="BodyText"/>
        <w:spacing w:before="20"/>
        <w:rPr>
          <w:rFonts w:ascii="Verdana" w:hAnsi="Verdana"/>
          <w:b/>
        </w:rPr>
      </w:pPr>
    </w:p>
    <w:p w14:paraId="2BD8A7AB" w14:textId="77777777" w:rsidR="008715BE" w:rsidRPr="00EC75B7" w:rsidRDefault="00000000">
      <w:pPr>
        <w:pStyle w:val="BodyText"/>
        <w:spacing w:line="355" w:lineRule="auto"/>
        <w:ind w:left="794" w:right="846"/>
        <w:jc w:val="both"/>
        <w:rPr>
          <w:rFonts w:ascii="Verdana" w:hAnsi="Verdana"/>
        </w:rPr>
      </w:pPr>
      <w:r w:rsidRPr="00EC75B7">
        <w:rPr>
          <w:rFonts w:ascii="Verdana" w:hAnsi="Verdana"/>
        </w:rPr>
        <w:t>The following table shows the migration routes of bird species identified in the project area according to information available on Bird Migration Map</w:t>
      </w:r>
      <w:r w:rsidRPr="00EC75B7">
        <w:rPr>
          <w:rFonts w:ascii="Verdana" w:hAnsi="Verdana"/>
          <w:position w:val="6"/>
        </w:rPr>
        <w:t>14</w:t>
      </w:r>
      <w:r w:rsidRPr="00EC75B7">
        <w:rPr>
          <w:rFonts w:ascii="Verdana" w:hAnsi="Verdana"/>
        </w:rPr>
        <w:t xml:space="preserve">  and the results of projects studying birds using satellite transmitters in central and southeastern Europe</w:t>
      </w:r>
      <w:r w:rsidRPr="00EC75B7">
        <w:rPr>
          <w:rFonts w:ascii="Verdana" w:hAnsi="Verdana"/>
          <w:position w:val="6"/>
        </w:rPr>
        <w:t>15</w:t>
      </w:r>
      <w:r w:rsidRPr="00EC75B7">
        <w:rPr>
          <w:rFonts w:ascii="Verdana" w:hAnsi="Verdana"/>
        </w:rPr>
        <w:t xml:space="preserve"> .</w:t>
      </w:r>
    </w:p>
    <w:p w14:paraId="31A513BA" w14:textId="77777777" w:rsidR="008715BE" w:rsidRPr="00EC75B7" w:rsidRDefault="00000000">
      <w:pPr>
        <w:spacing w:before="177"/>
        <w:ind w:left="765"/>
        <w:jc w:val="both"/>
        <w:rPr>
          <w:rFonts w:ascii="Verdana" w:hAnsi="Verdana"/>
          <w:b/>
          <w:sz w:val="18"/>
          <w:szCs w:val="18"/>
        </w:rPr>
      </w:pPr>
      <w:r w:rsidRPr="00EC75B7">
        <w:rPr>
          <w:rFonts w:ascii="Verdana" w:hAnsi="Verdana"/>
          <w:b/>
          <w:color w:val="00AFEF"/>
          <w:sz w:val="18"/>
          <w:szCs w:val="18"/>
        </w:rPr>
        <w:t xml:space="preserve">Table 10 Migration routes for migratory bird species analyzed in this </w:t>
      </w:r>
      <w:r w:rsidRPr="00EC75B7">
        <w:rPr>
          <w:rFonts w:ascii="Verdana" w:hAnsi="Verdana"/>
          <w:b/>
          <w:color w:val="00AFEF"/>
          <w:spacing w:val="-2"/>
          <w:sz w:val="18"/>
          <w:szCs w:val="18"/>
        </w:rPr>
        <w:t>study</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8715BE" w:rsidRPr="00EC75B7" w14:paraId="5DC3141C" w14:textId="77777777">
        <w:trPr>
          <w:trHeight w:val="777"/>
        </w:trPr>
        <w:tc>
          <w:tcPr>
            <w:tcW w:w="569" w:type="dxa"/>
            <w:shd w:val="clear" w:color="auto" w:fill="00AFEF"/>
          </w:tcPr>
          <w:p w14:paraId="24F2A0C9" w14:textId="77777777" w:rsidR="008715BE" w:rsidRPr="00EC75B7" w:rsidRDefault="00000000">
            <w:pPr>
              <w:pStyle w:val="TableParagraph"/>
              <w:spacing w:before="193"/>
              <w:ind w:left="132" w:firstLine="14"/>
              <w:rPr>
                <w:rFonts w:ascii="Verdana" w:hAnsi="Verdana"/>
                <w:b/>
                <w:sz w:val="18"/>
                <w:szCs w:val="18"/>
              </w:rPr>
            </w:pPr>
            <w:r w:rsidRPr="00EC75B7">
              <w:rPr>
                <w:rFonts w:ascii="Verdana" w:hAnsi="Verdana"/>
                <w:b/>
                <w:color w:val="FFFFFF"/>
                <w:spacing w:val="-4"/>
                <w:sz w:val="18"/>
                <w:szCs w:val="18"/>
              </w:rPr>
              <w:t>No.</w:t>
            </w:r>
          </w:p>
        </w:tc>
        <w:tc>
          <w:tcPr>
            <w:tcW w:w="2150" w:type="dxa"/>
            <w:shd w:val="clear" w:color="auto" w:fill="00AFEF"/>
          </w:tcPr>
          <w:p w14:paraId="0B0F0D2C" w14:textId="77777777" w:rsidR="008715BE" w:rsidRPr="00EC75B7" w:rsidRDefault="008715BE">
            <w:pPr>
              <w:pStyle w:val="TableParagraph"/>
              <w:spacing w:before="96"/>
              <w:rPr>
                <w:rFonts w:ascii="Verdana" w:hAnsi="Verdana"/>
                <w:b/>
                <w:sz w:val="18"/>
                <w:szCs w:val="18"/>
              </w:rPr>
            </w:pPr>
          </w:p>
          <w:p w14:paraId="5B7915C4"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Species</w:t>
            </w:r>
          </w:p>
        </w:tc>
        <w:tc>
          <w:tcPr>
            <w:tcW w:w="1927" w:type="dxa"/>
            <w:shd w:val="clear" w:color="auto" w:fill="00AFEF"/>
          </w:tcPr>
          <w:p w14:paraId="4F44F6AA" w14:textId="77777777" w:rsidR="008715BE" w:rsidRPr="00EC75B7" w:rsidRDefault="008715BE">
            <w:pPr>
              <w:pStyle w:val="TableParagraph"/>
              <w:spacing w:before="96"/>
              <w:rPr>
                <w:rFonts w:ascii="Verdana" w:hAnsi="Verdana"/>
                <w:b/>
                <w:sz w:val="18"/>
                <w:szCs w:val="18"/>
              </w:rPr>
            </w:pPr>
          </w:p>
          <w:p w14:paraId="23B7B844" w14:textId="77777777" w:rsidR="008715BE" w:rsidRPr="00EC75B7" w:rsidRDefault="00000000">
            <w:pPr>
              <w:pStyle w:val="TableParagraph"/>
              <w:ind w:left="214"/>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449" w:type="dxa"/>
            <w:shd w:val="clear" w:color="auto" w:fill="00AFEF"/>
          </w:tcPr>
          <w:p w14:paraId="5A24E0BE" w14:textId="77777777" w:rsidR="008715BE" w:rsidRPr="00EC75B7" w:rsidRDefault="00000000">
            <w:pPr>
              <w:pStyle w:val="TableParagraph"/>
              <w:spacing w:line="194" w:lineRule="exact"/>
              <w:ind w:left="19" w:right="2"/>
              <w:jc w:val="center"/>
              <w:rPr>
                <w:rFonts w:ascii="Verdana" w:hAnsi="Verdana"/>
                <w:b/>
                <w:sz w:val="18"/>
                <w:szCs w:val="18"/>
              </w:rPr>
            </w:pPr>
            <w:r w:rsidRPr="00EC75B7">
              <w:rPr>
                <w:rFonts w:ascii="Verdana" w:hAnsi="Verdana"/>
                <w:b/>
                <w:color w:val="FFFFFF"/>
                <w:spacing w:val="-4"/>
                <w:sz w:val="18"/>
                <w:szCs w:val="18"/>
              </w:rPr>
              <w:t xml:space="preserve">Ind. </w:t>
            </w:r>
            <w:r w:rsidRPr="00EC75B7">
              <w:rPr>
                <w:rFonts w:ascii="Verdana" w:hAnsi="Verdana"/>
                <w:b/>
                <w:color w:val="FFFFFF"/>
                <w:sz w:val="18"/>
                <w:szCs w:val="18"/>
              </w:rPr>
              <w:t>no.</w:t>
            </w:r>
          </w:p>
          <w:p w14:paraId="53CEC345" w14:textId="77777777" w:rsidR="008715BE" w:rsidRPr="00EC75B7" w:rsidRDefault="00000000">
            <w:pPr>
              <w:pStyle w:val="TableParagraph"/>
              <w:spacing w:line="194" w:lineRule="exact"/>
              <w:ind w:left="19" w:right="6"/>
              <w:jc w:val="center"/>
              <w:rPr>
                <w:rFonts w:ascii="Verdana" w:hAnsi="Verdana"/>
                <w:b/>
                <w:sz w:val="18"/>
                <w:szCs w:val="18"/>
              </w:rPr>
            </w:pPr>
            <w:r w:rsidRPr="00EC75B7">
              <w:rPr>
                <w:rFonts w:ascii="Verdana" w:hAnsi="Verdana"/>
                <w:b/>
                <w:color w:val="FFFFFF"/>
                <w:sz w:val="18"/>
                <w:szCs w:val="18"/>
              </w:rPr>
              <w:t xml:space="preserve">Reported </w:t>
            </w:r>
            <w:r w:rsidRPr="00EC75B7">
              <w:rPr>
                <w:rFonts w:ascii="Verdana" w:hAnsi="Verdana"/>
                <w:b/>
                <w:color w:val="FFFFFF"/>
                <w:spacing w:val="-5"/>
                <w:sz w:val="18"/>
                <w:szCs w:val="18"/>
              </w:rPr>
              <w:t>in</w:t>
            </w:r>
          </w:p>
          <w:p w14:paraId="3E261DA3" w14:textId="77777777" w:rsidR="008715BE" w:rsidRPr="00EC75B7" w:rsidRDefault="00000000">
            <w:pPr>
              <w:pStyle w:val="TableParagraph"/>
              <w:spacing w:line="194" w:lineRule="exact"/>
              <w:ind w:left="19" w:right="3"/>
              <w:jc w:val="center"/>
              <w:rPr>
                <w:rFonts w:ascii="Verdana" w:hAnsi="Verdana"/>
                <w:b/>
                <w:sz w:val="18"/>
                <w:szCs w:val="18"/>
              </w:rPr>
            </w:pPr>
            <w:r w:rsidRPr="00EC75B7">
              <w:rPr>
                <w:rFonts w:ascii="Verdana" w:hAnsi="Verdana"/>
                <w:b/>
                <w:color w:val="FFFFFF"/>
                <w:spacing w:val="-5"/>
                <w:sz w:val="18"/>
                <w:szCs w:val="18"/>
              </w:rPr>
              <w:t>the</w:t>
            </w:r>
          </w:p>
          <w:p w14:paraId="574BBB73" w14:textId="77777777" w:rsidR="008715BE" w:rsidRPr="00EC75B7" w:rsidRDefault="00000000">
            <w:pPr>
              <w:pStyle w:val="TableParagraph"/>
              <w:spacing w:line="174" w:lineRule="exact"/>
              <w:ind w:left="19" w:right="5"/>
              <w:jc w:val="center"/>
              <w:rPr>
                <w:rFonts w:ascii="Verdana" w:hAnsi="Verdana"/>
                <w:b/>
                <w:sz w:val="18"/>
                <w:szCs w:val="18"/>
              </w:rPr>
            </w:pPr>
            <w:r w:rsidRPr="00EC75B7">
              <w:rPr>
                <w:rFonts w:ascii="Verdana" w:hAnsi="Verdana"/>
                <w:b/>
                <w:color w:val="FFFFFF"/>
                <w:spacing w:val="-2"/>
                <w:sz w:val="18"/>
                <w:szCs w:val="18"/>
              </w:rPr>
              <w:t>studied</w:t>
            </w:r>
          </w:p>
        </w:tc>
        <w:tc>
          <w:tcPr>
            <w:tcW w:w="1842" w:type="dxa"/>
            <w:shd w:val="clear" w:color="auto" w:fill="00AFEF"/>
          </w:tcPr>
          <w:p w14:paraId="0F62FE53" w14:textId="77777777" w:rsidR="008715BE" w:rsidRPr="00EC75B7" w:rsidRDefault="00000000">
            <w:pPr>
              <w:pStyle w:val="TableParagraph"/>
              <w:spacing w:line="194" w:lineRule="exact"/>
              <w:ind w:left="16"/>
              <w:jc w:val="center"/>
              <w:rPr>
                <w:rFonts w:ascii="Verdana" w:hAnsi="Verdana"/>
                <w:b/>
                <w:sz w:val="18"/>
                <w:szCs w:val="18"/>
              </w:rPr>
            </w:pPr>
            <w:r w:rsidRPr="00EC75B7">
              <w:rPr>
                <w:rFonts w:ascii="Verdana" w:hAnsi="Verdana"/>
                <w:b/>
                <w:color w:val="FFFFFF"/>
                <w:spacing w:val="-2"/>
                <w:sz w:val="18"/>
                <w:szCs w:val="18"/>
              </w:rPr>
              <w:t>Migration</w:t>
            </w:r>
            <w:r w:rsidRPr="00EC75B7">
              <w:rPr>
                <w:rFonts w:ascii="Verdana" w:hAnsi="Verdana"/>
                <w:b/>
                <w:color w:val="FFFFFF"/>
                <w:sz w:val="18"/>
                <w:szCs w:val="18"/>
              </w:rPr>
              <w:t xml:space="preserve"> route</w:t>
            </w:r>
          </w:p>
        </w:tc>
        <w:tc>
          <w:tcPr>
            <w:tcW w:w="2006" w:type="dxa"/>
            <w:shd w:val="clear" w:color="auto" w:fill="00AFEF"/>
          </w:tcPr>
          <w:p w14:paraId="63C37DEF" w14:textId="77777777" w:rsidR="008715BE" w:rsidRPr="00EC75B7" w:rsidRDefault="00000000">
            <w:pPr>
              <w:pStyle w:val="TableParagraph"/>
              <w:spacing w:line="194" w:lineRule="exact"/>
              <w:ind w:left="20"/>
              <w:jc w:val="center"/>
              <w:rPr>
                <w:rFonts w:ascii="Verdana" w:hAnsi="Verdana"/>
                <w:b/>
                <w:sz w:val="18"/>
                <w:szCs w:val="18"/>
              </w:rPr>
            </w:pPr>
            <w:r w:rsidRPr="00EC75B7">
              <w:rPr>
                <w:rFonts w:ascii="Verdana" w:hAnsi="Verdana"/>
                <w:b/>
                <w:color w:val="FFFFFF"/>
                <w:spacing w:val="-2"/>
                <w:sz w:val="18"/>
                <w:szCs w:val="18"/>
              </w:rPr>
              <w:t xml:space="preserve">Data </w:t>
            </w:r>
            <w:r w:rsidRPr="00EC75B7">
              <w:rPr>
                <w:rFonts w:ascii="Verdana" w:hAnsi="Verdana"/>
                <w:b/>
                <w:color w:val="FFFFFF"/>
                <w:sz w:val="18"/>
                <w:szCs w:val="18"/>
              </w:rPr>
              <w:t>source</w:t>
            </w:r>
          </w:p>
        </w:tc>
      </w:tr>
      <w:tr w:rsidR="008715BE" w:rsidRPr="00EC75B7" w14:paraId="0F604DE5" w14:textId="77777777">
        <w:trPr>
          <w:trHeight w:val="316"/>
        </w:trPr>
        <w:tc>
          <w:tcPr>
            <w:tcW w:w="569" w:type="dxa"/>
          </w:tcPr>
          <w:p w14:paraId="1FE771A8"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10"/>
                <w:sz w:val="18"/>
                <w:szCs w:val="18"/>
              </w:rPr>
              <w:t>1</w:t>
            </w:r>
          </w:p>
        </w:tc>
        <w:tc>
          <w:tcPr>
            <w:tcW w:w="2150" w:type="dxa"/>
          </w:tcPr>
          <w:p w14:paraId="0CFFFAB3" w14:textId="77777777" w:rsidR="008715BE" w:rsidRPr="00EC75B7" w:rsidRDefault="00000000">
            <w:pPr>
              <w:pStyle w:val="TableParagraph"/>
              <w:spacing w:before="59"/>
              <w:ind w:left="108"/>
              <w:rPr>
                <w:rFonts w:ascii="Verdana" w:hAnsi="Verdana"/>
                <w:i/>
                <w:sz w:val="18"/>
                <w:szCs w:val="18"/>
              </w:rPr>
            </w:pPr>
            <w:r w:rsidRPr="00EC75B7">
              <w:rPr>
                <w:rFonts w:ascii="Verdana" w:hAnsi="Verdana"/>
                <w:i/>
                <w:sz w:val="18"/>
                <w:szCs w:val="18"/>
              </w:rPr>
              <w:t xml:space="preserve">Accipiter </w:t>
            </w:r>
            <w:r w:rsidRPr="00EC75B7">
              <w:rPr>
                <w:rFonts w:ascii="Verdana" w:hAnsi="Verdana"/>
                <w:i/>
                <w:spacing w:val="-2"/>
                <w:sz w:val="18"/>
                <w:szCs w:val="18"/>
              </w:rPr>
              <w:t>gentilis</w:t>
            </w:r>
          </w:p>
        </w:tc>
        <w:tc>
          <w:tcPr>
            <w:tcW w:w="1927" w:type="dxa"/>
          </w:tcPr>
          <w:p w14:paraId="53414F23"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2"/>
                <w:sz w:val="18"/>
                <w:szCs w:val="18"/>
              </w:rPr>
              <w:t>Goshawk</w:t>
            </w:r>
          </w:p>
        </w:tc>
        <w:tc>
          <w:tcPr>
            <w:tcW w:w="1449" w:type="dxa"/>
          </w:tcPr>
          <w:p w14:paraId="0B85CEB4" w14:textId="77777777" w:rsidR="008715BE" w:rsidRPr="00EC75B7" w:rsidRDefault="00000000">
            <w:pPr>
              <w:pStyle w:val="TableParagraph"/>
              <w:spacing w:before="59"/>
              <w:ind w:left="19"/>
              <w:jc w:val="center"/>
              <w:rPr>
                <w:rFonts w:ascii="Verdana" w:hAnsi="Verdana"/>
                <w:sz w:val="18"/>
                <w:szCs w:val="18"/>
              </w:rPr>
            </w:pPr>
            <w:r w:rsidRPr="00EC75B7">
              <w:rPr>
                <w:rFonts w:ascii="Verdana" w:hAnsi="Verdana"/>
                <w:spacing w:val="-10"/>
                <w:sz w:val="18"/>
                <w:szCs w:val="18"/>
              </w:rPr>
              <w:t>2</w:t>
            </w:r>
          </w:p>
        </w:tc>
        <w:tc>
          <w:tcPr>
            <w:tcW w:w="1842" w:type="dxa"/>
          </w:tcPr>
          <w:p w14:paraId="275792D4" w14:textId="77777777" w:rsidR="008715BE" w:rsidRPr="00EC75B7" w:rsidRDefault="00000000">
            <w:pPr>
              <w:pStyle w:val="TableParagraph"/>
              <w:spacing w:line="194" w:lineRule="exact"/>
              <w:ind w:left="16"/>
              <w:jc w:val="center"/>
              <w:rPr>
                <w:rFonts w:ascii="Verdana" w:hAnsi="Verdana"/>
                <w:sz w:val="18"/>
                <w:szCs w:val="18"/>
              </w:rPr>
            </w:pPr>
            <w:r w:rsidRPr="00EC75B7">
              <w:rPr>
                <w:rFonts w:ascii="Verdana" w:hAnsi="Verdana"/>
                <w:sz w:val="18"/>
                <w:szCs w:val="18"/>
              </w:rPr>
              <w:t>-</w:t>
            </w:r>
          </w:p>
        </w:tc>
        <w:tc>
          <w:tcPr>
            <w:tcW w:w="2006" w:type="dxa"/>
          </w:tcPr>
          <w:p w14:paraId="65A894C6" w14:textId="77777777" w:rsidR="008715BE" w:rsidRPr="00EC75B7" w:rsidRDefault="00000000">
            <w:pPr>
              <w:pStyle w:val="TableParagraph"/>
              <w:spacing w:line="194" w:lineRule="exact"/>
              <w:ind w:left="19"/>
              <w:jc w:val="center"/>
              <w:rPr>
                <w:rFonts w:ascii="Verdana" w:hAnsi="Verdana"/>
                <w:sz w:val="18"/>
                <w:szCs w:val="18"/>
              </w:rPr>
            </w:pPr>
            <w:r w:rsidRPr="00EC75B7">
              <w:rPr>
                <w:rFonts w:ascii="Verdana" w:hAnsi="Verdana"/>
                <w:sz w:val="18"/>
                <w:szCs w:val="18"/>
              </w:rPr>
              <w:t>-</w:t>
            </w:r>
          </w:p>
        </w:tc>
      </w:tr>
      <w:tr w:rsidR="008715BE" w:rsidRPr="00EC75B7" w14:paraId="6FAB9037" w14:textId="77777777">
        <w:trPr>
          <w:trHeight w:val="582"/>
        </w:trPr>
        <w:tc>
          <w:tcPr>
            <w:tcW w:w="569" w:type="dxa"/>
          </w:tcPr>
          <w:p w14:paraId="7C98F51F" w14:textId="77777777" w:rsidR="008715BE" w:rsidRPr="00EC75B7" w:rsidRDefault="00000000">
            <w:pPr>
              <w:pStyle w:val="TableParagraph"/>
              <w:spacing w:before="193"/>
              <w:ind w:left="108"/>
              <w:rPr>
                <w:rFonts w:ascii="Verdana" w:hAnsi="Verdana"/>
                <w:sz w:val="18"/>
                <w:szCs w:val="18"/>
              </w:rPr>
            </w:pPr>
            <w:r w:rsidRPr="00EC75B7">
              <w:rPr>
                <w:rFonts w:ascii="Verdana" w:hAnsi="Verdana"/>
                <w:spacing w:val="-10"/>
                <w:sz w:val="18"/>
                <w:szCs w:val="18"/>
              </w:rPr>
              <w:t>2</w:t>
            </w:r>
          </w:p>
        </w:tc>
        <w:tc>
          <w:tcPr>
            <w:tcW w:w="2150" w:type="dxa"/>
          </w:tcPr>
          <w:p w14:paraId="1300A98A" w14:textId="77777777" w:rsidR="008715BE" w:rsidRPr="00EC75B7" w:rsidRDefault="00000000">
            <w:pPr>
              <w:pStyle w:val="TableParagraph"/>
              <w:spacing w:before="193"/>
              <w:ind w:left="108"/>
              <w:rPr>
                <w:rFonts w:ascii="Verdana" w:hAnsi="Verdana"/>
                <w:i/>
                <w:sz w:val="18"/>
                <w:szCs w:val="18"/>
              </w:rPr>
            </w:pPr>
            <w:r w:rsidRPr="00EC75B7">
              <w:rPr>
                <w:rFonts w:ascii="Verdana" w:hAnsi="Verdana"/>
                <w:i/>
                <w:spacing w:val="-2"/>
                <w:sz w:val="18"/>
                <w:szCs w:val="18"/>
              </w:rPr>
              <w:t>Sparrowhawk</w:t>
            </w:r>
          </w:p>
        </w:tc>
        <w:tc>
          <w:tcPr>
            <w:tcW w:w="1927" w:type="dxa"/>
          </w:tcPr>
          <w:p w14:paraId="1B74CF9A" w14:textId="77777777" w:rsidR="008715BE" w:rsidRPr="00EC75B7" w:rsidRDefault="00000000">
            <w:pPr>
              <w:pStyle w:val="TableParagraph"/>
              <w:spacing w:before="193"/>
              <w:ind w:left="108"/>
              <w:rPr>
                <w:rFonts w:ascii="Verdana" w:hAnsi="Verdana"/>
                <w:sz w:val="18"/>
                <w:szCs w:val="18"/>
              </w:rPr>
            </w:pPr>
            <w:r w:rsidRPr="00EC75B7">
              <w:rPr>
                <w:rFonts w:ascii="Verdana" w:hAnsi="Verdana"/>
                <w:sz w:val="18"/>
                <w:szCs w:val="18"/>
              </w:rPr>
              <w:t>S</w:t>
            </w:r>
            <w:r w:rsidRPr="00EC75B7">
              <w:rPr>
                <w:rFonts w:ascii="Verdana" w:hAnsi="Verdana"/>
                <w:spacing w:val="-2"/>
                <w:sz w:val="18"/>
                <w:szCs w:val="18"/>
              </w:rPr>
              <w:t>par</w:t>
            </w:r>
            <w:r w:rsidRPr="00EC75B7">
              <w:rPr>
                <w:rFonts w:ascii="Verdana" w:hAnsi="Verdana"/>
                <w:sz w:val="18"/>
                <w:szCs w:val="18"/>
              </w:rPr>
              <w:t>rowhawk</w:t>
            </w:r>
          </w:p>
        </w:tc>
        <w:tc>
          <w:tcPr>
            <w:tcW w:w="1449" w:type="dxa"/>
          </w:tcPr>
          <w:p w14:paraId="6B4D10D3" w14:textId="77777777" w:rsidR="008715BE" w:rsidRPr="00EC75B7" w:rsidRDefault="00000000">
            <w:pPr>
              <w:pStyle w:val="TableParagraph"/>
              <w:spacing w:before="193"/>
              <w:ind w:left="19"/>
              <w:jc w:val="center"/>
              <w:rPr>
                <w:rFonts w:ascii="Verdana" w:hAnsi="Verdana"/>
                <w:sz w:val="18"/>
                <w:szCs w:val="18"/>
              </w:rPr>
            </w:pPr>
            <w:r w:rsidRPr="00EC75B7">
              <w:rPr>
                <w:rFonts w:ascii="Verdana" w:hAnsi="Verdana"/>
                <w:spacing w:val="-10"/>
                <w:sz w:val="18"/>
                <w:szCs w:val="18"/>
              </w:rPr>
              <w:t>5</w:t>
            </w:r>
          </w:p>
        </w:tc>
        <w:tc>
          <w:tcPr>
            <w:tcW w:w="1842" w:type="dxa"/>
          </w:tcPr>
          <w:p w14:paraId="068B4C3E" w14:textId="77777777" w:rsidR="008715BE" w:rsidRPr="00EC75B7" w:rsidRDefault="00000000">
            <w:pPr>
              <w:pStyle w:val="TableParagraph"/>
              <w:ind w:left="110" w:right="393"/>
              <w:rPr>
                <w:rFonts w:ascii="Verdana" w:hAnsi="Verdana"/>
                <w:sz w:val="18"/>
                <w:szCs w:val="18"/>
              </w:rPr>
            </w:pPr>
            <w:r w:rsidRPr="00EC75B7">
              <w:rPr>
                <w:rFonts w:ascii="Verdana" w:hAnsi="Verdana"/>
                <w:spacing w:val="-2"/>
                <w:sz w:val="18"/>
                <w:szCs w:val="18"/>
              </w:rPr>
              <w:t>Northern Europe - Southern</w:t>
            </w:r>
          </w:p>
          <w:p w14:paraId="28F8950E" w14:textId="77777777" w:rsidR="008715BE" w:rsidRPr="00EC75B7" w:rsidRDefault="00000000">
            <w:pPr>
              <w:pStyle w:val="TableParagraph"/>
              <w:spacing w:line="173" w:lineRule="exact"/>
              <w:ind w:left="110"/>
              <w:rPr>
                <w:rFonts w:ascii="Verdana" w:hAnsi="Verdana"/>
                <w:sz w:val="18"/>
                <w:szCs w:val="18"/>
              </w:rPr>
            </w:pPr>
            <w:r w:rsidRPr="00EC75B7">
              <w:rPr>
                <w:rFonts w:ascii="Verdana" w:hAnsi="Verdana"/>
                <w:spacing w:val="-2"/>
                <w:sz w:val="18"/>
                <w:szCs w:val="18"/>
              </w:rPr>
              <w:t>Europe</w:t>
            </w:r>
          </w:p>
        </w:tc>
        <w:tc>
          <w:tcPr>
            <w:tcW w:w="2006" w:type="dxa"/>
          </w:tcPr>
          <w:p w14:paraId="637B0C35" w14:textId="77777777" w:rsidR="008715BE" w:rsidRPr="00EC75B7" w:rsidRDefault="00000000">
            <w:pPr>
              <w:pStyle w:val="TableParagraph"/>
              <w:ind w:left="116" w:right="100" w:hanging="5"/>
              <w:rPr>
                <w:rFonts w:ascii="Verdana" w:hAnsi="Verdana"/>
                <w:sz w:val="18"/>
                <w:szCs w:val="18"/>
              </w:rPr>
            </w:pPr>
            <w:r w:rsidRPr="00EC75B7">
              <w:rPr>
                <w:rFonts w:ascii="Verdana" w:hAnsi="Verdana"/>
                <w:sz w:val="18"/>
                <w:szCs w:val="18"/>
              </w:rPr>
              <w:t>Migrationatlas -</w:t>
            </w:r>
            <w:hyperlink r:id="rId57">
              <w:r w:rsidR="008715BE" w:rsidRPr="00EC75B7">
                <w:rPr>
                  <w:rFonts w:ascii="Verdana" w:hAnsi="Verdana"/>
                  <w:spacing w:val="-2"/>
                  <w:sz w:val="18"/>
                  <w:szCs w:val="18"/>
                </w:rPr>
                <w:t xml:space="preserve"> https://migrationatlas</w:t>
              </w:r>
            </w:hyperlink>
          </w:p>
          <w:p w14:paraId="02902A18" w14:textId="77777777" w:rsidR="008715BE" w:rsidRPr="00EC75B7" w:rsidRDefault="00000000">
            <w:pPr>
              <w:pStyle w:val="TableParagraph"/>
              <w:spacing w:line="173"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A74289A" w14:textId="77777777">
        <w:trPr>
          <w:trHeight w:val="314"/>
        </w:trPr>
        <w:tc>
          <w:tcPr>
            <w:tcW w:w="569" w:type="dxa"/>
          </w:tcPr>
          <w:p w14:paraId="23C88259"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10"/>
                <w:sz w:val="18"/>
                <w:szCs w:val="18"/>
              </w:rPr>
              <w:t>3</w:t>
            </w:r>
          </w:p>
        </w:tc>
        <w:tc>
          <w:tcPr>
            <w:tcW w:w="2150" w:type="dxa"/>
          </w:tcPr>
          <w:p w14:paraId="5E3D5E2E" w14:textId="77777777" w:rsidR="008715BE" w:rsidRPr="00EC75B7" w:rsidRDefault="00000000">
            <w:pPr>
              <w:pStyle w:val="TableParagraph"/>
              <w:spacing w:before="59"/>
              <w:ind w:left="108"/>
              <w:rPr>
                <w:rFonts w:ascii="Verdana" w:hAnsi="Verdana"/>
                <w:i/>
                <w:sz w:val="18"/>
                <w:szCs w:val="18"/>
              </w:rPr>
            </w:pPr>
            <w:r w:rsidRPr="00EC75B7">
              <w:rPr>
                <w:rFonts w:ascii="Verdana" w:hAnsi="Verdana"/>
                <w:i/>
                <w:sz w:val="18"/>
                <w:szCs w:val="18"/>
              </w:rPr>
              <w:t xml:space="preserve">Alauda </w:t>
            </w:r>
            <w:r w:rsidRPr="00EC75B7">
              <w:rPr>
                <w:rFonts w:ascii="Verdana" w:hAnsi="Verdana"/>
                <w:i/>
                <w:spacing w:val="-2"/>
                <w:sz w:val="18"/>
                <w:szCs w:val="18"/>
              </w:rPr>
              <w:t>arvensis</w:t>
            </w:r>
          </w:p>
        </w:tc>
        <w:tc>
          <w:tcPr>
            <w:tcW w:w="1927" w:type="dxa"/>
          </w:tcPr>
          <w:p w14:paraId="73530058"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4"/>
                <w:sz w:val="18"/>
                <w:szCs w:val="18"/>
              </w:rPr>
              <w:t>Sky</w:t>
            </w:r>
            <w:r w:rsidRPr="00EC75B7">
              <w:rPr>
                <w:rFonts w:ascii="Verdana" w:hAnsi="Verdana"/>
                <w:sz w:val="18"/>
                <w:szCs w:val="18"/>
              </w:rPr>
              <w:t>lark</w:t>
            </w:r>
          </w:p>
        </w:tc>
        <w:tc>
          <w:tcPr>
            <w:tcW w:w="1449" w:type="dxa"/>
          </w:tcPr>
          <w:p w14:paraId="524136EA" w14:textId="77777777" w:rsidR="008715BE" w:rsidRPr="00EC75B7" w:rsidRDefault="00000000">
            <w:pPr>
              <w:pStyle w:val="TableParagraph"/>
              <w:spacing w:before="59"/>
              <w:ind w:left="19" w:right="3"/>
              <w:jc w:val="center"/>
              <w:rPr>
                <w:rFonts w:ascii="Verdana" w:hAnsi="Verdana"/>
                <w:sz w:val="18"/>
                <w:szCs w:val="18"/>
              </w:rPr>
            </w:pPr>
            <w:r w:rsidRPr="00EC75B7">
              <w:rPr>
                <w:rFonts w:ascii="Verdana" w:hAnsi="Verdana"/>
                <w:spacing w:val="-5"/>
                <w:sz w:val="18"/>
                <w:szCs w:val="18"/>
              </w:rPr>
              <w:t>550</w:t>
            </w:r>
          </w:p>
        </w:tc>
        <w:tc>
          <w:tcPr>
            <w:tcW w:w="1842" w:type="dxa"/>
          </w:tcPr>
          <w:p w14:paraId="2AE48E18" w14:textId="77777777" w:rsidR="008715BE" w:rsidRPr="00EC75B7" w:rsidRDefault="00000000">
            <w:pPr>
              <w:pStyle w:val="TableParagraph"/>
              <w:spacing w:line="194" w:lineRule="exact"/>
              <w:ind w:left="16"/>
              <w:jc w:val="center"/>
              <w:rPr>
                <w:rFonts w:ascii="Verdana" w:hAnsi="Verdana"/>
                <w:sz w:val="18"/>
                <w:szCs w:val="18"/>
              </w:rPr>
            </w:pPr>
            <w:r w:rsidRPr="00EC75B7">
              <w:rPr>
                <w:rFonts w:ascii="Verdana" w:hAnsi="Verdana"/>
                <w:sz w:val="18"/>
                <w:szCs w:val="18"/>
              </w:rPr>
              <w:t>-</w:t>
            </w:r>
          </w:p>
        </w:tc>
        <w:tc>
          <w:tcPr>
            <w:tcW w:w="2006" w:type="dxa"/>
          </w:tcPr>
          <w:p w14:paraId="1D2BF574" w14:textId="77777777" w:rsidR="008715BE" w:rsidRPr="00EC75B7" w:rsidRDefault="00000000">
            <w:pPr>
              <w:pStyle w:val="TableParagraph"/>
              <w:spacing w:line="194" w:lineRule="exact"/>
              <w:ind w:left="19"/>
              <w:jc w:val="center"/>
              <w:rPr>
                <w:rFonts w:ascii="Verdana" w:hAnsi="Verdana"/>
                <w:sz w:val="18"/>
                <w:szCs w:val="18"/>
              </w:rPr>
            </w:pPr>
            <w:r w:rsidRPr="00EC75B7">
              <w:rPr>
                <w:rFonts w:ascii="Verdana" w:hAnsi="Verdana"/>
                <w:sz w:val="18"/>
                <w:szCs w:val="18"/>
              </w:rPr>
              <w:t>-</w:t>
            </w:r>
          </w:p>
        </w:tc>
      </w:tr>
      <w:tr w:rsidR="008715BE" w:rsidRPr="00EC75B7" w14:paraId="7422E7E9" w14:textId="77777777">
        <w:trPr>
          <w:trHeight w:val="316"/>
        </w:trPr>
        <w:tc>
          <w:tcPr>
            <w:tcW w:w="569" w:type="dxa"/>
          </w:tcPr>
          <w:p w14:paraId="15465E09"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10"/>
                <w:sz w:val="18"/>
                <w:szCs w:val="18"/>
              </w:rPr>
              <w:t>4</w:t>
            </w:r>
          </w:p>
        </w:tc>
        <w:tc>
          <w:tcPr>
            <w:tcW w:w="2150" w:type="dxa"/>
          </w:tcPr>
          <w:p w14:paraId="47923AB0" w14:textId="77777777" w:rsidR="008715BE" w:rsidRPr="00EC75B7" w:rsidRDefault="00000000">
            <w:pPr>
              <w:pStyle w:val="TableParagraph"/>
              <w:spacing w:before="59"/>
              <w:ind w:left="108"/>
              <w:rPr>
                <w:rFonts w:ascii="Verdana" w:hAnsi="Verdana"/>
                <w:i/>
                <w:sz w:val="18"/>
                <w:szCs w:val="18"/>
              </w:rPr>
            </w:pPr>
            <w:r w:rsidRPr="00EC75B7">
              <w:rPr>
                <w:rFonts w:ascii="Verdana" w:hAnsi="Verdana"/>
                <w:i/>
                <w:sz w:val="18"/>
                <w:szCs w:val="18"/>
              </w:rPr>
              <w:t xml:space="preserve">Anthus </w:t>
            </w:r>
            <w:r w:rsidRPr="00EC75B7">
              <w:rPr>
                <w:rFonts w:ascii="Verdana" w:hAnsi="Verdana"/>
                <w:i/>
                <w:spacing w:val="-2"/>
                <w:sz w:val="18"/>
                <w:szCs w:val="18"/>
              </w:rPr>
              <w:t>campestris</w:t>
            </w:r>
          </w:p>
        </w:tc>
        <w:tc>
          <w:tcPr>
            <w:tcW w:w="1927" w:type="dxa"/>
          </w:tcPr>
          <w:p w14:paraId="4FE24D59" w14:textId="77777777" w:rsidR="008715BE" w:rsidRPr="00EC75B7" w:rsidRDefault="00000000">
            <w:pPr>
              <w:pStyle w:val="TableParagraph"/>
              <w:spacing w:before="59"/>
              <w:ind w:left="108"/>
              <w:rPr>
                <w:rFonts w:ascii="Verdana" w:hAnsi="Verdana"/>
                <w:sz w:val="18"/>
                <w:szCs w:val="18"/>
              </w:rPr>
            </w:pPr>
            <w:r w:rsidRPr="00EC75B7">
              <w:rPr>
                <w:rFonts w:ascii="Verdana" w:hAnsi="Verdana"/>
                <w:spacing w:val="-4"/>
                <w:sz w:val="18"/>
                <w:szCs w:val="18"/>
              </w:rPr>
              <w:t xml:space="preserve">Meadow </w:t>
            </w:r>
            <w:r w:rsidRPr="00EC75B7">
              <w:rPr>
                <w:rFonts w:ascii="Verdana" w:hAnsi="Verdana"/>
                <w:sz w:val="18"/>
                <w:szCs w:val="18"/>
              </w:rPr>
              <w:t>pipit</w:t>
            </w:r>
          </w:p>
        </w:tc>
        <w:tc>
          <w:tcPr>
            <w:tcW w:w="1449" w:type="dxa"/>
          </w:tcPr>
          <w:p w14:paraId="37BE4040" w14:textId="77777777" w:rsidR="008715BE" w:rsidRPr="00EC75B7" w:rsidRDefault="00000000">
            <w:pPr>
              <w:pStyle w:val="TableParagraph"/>
              <w:spacing w:before="59"/>
              <w:ind w:left="19" w:right="2"/>
              <w:jc w:val="center"/>
              <w:rPr>
                <w:rFonts w:ascii="Verdana" w:hAnsi="Verdana"/>
                <w:sz w:val="18"/>
                <w:szCs w:val="18"/>
              </w:rPr>
            </w:pPr>
            <w:r w:rsidRPr="00EC75B7">
              <w:rPr>
                <w:rFonts w:ascii="Verdana" w:hAnsi="Verdana"/>
                <w:spacing w:val="-5"/>
                <w:sz w:val="18"/>
                <w:szCs w:val="18"/>
              </w:rPr>
              <w:t>10</w:t>
            </w:r>
          </w:p>
        </w:tc>
        <w:tc>
          <w:tcPr>
            <w:tcW w:w="1842" w:type="dxa"/>
          </w:tcPr>
          <w:p w14:paraId="18B3A6D4" w14:textId="77777777" w:rsidR="008715BE" w:rsidRPr="00EC75B7" w:rsidRDefault="00000000">
            <w:pPr>
              <w:pStyle w:val="TableParagraph"/>
              <w:spacing w:line="194" w:lineRule="exact"/>
              <w:ind w:left="16"/>
              <w:jc w:val="center"/>
              <w:rPr>
                <w:rFonts w:ascii="Verdana" w:hAnsi="Verdana"/>
                <w:sz w:val="18"/>
                <w:szCs w:val="18"/>
              </w:rPr>
            </w:pPr>
            <w:r w:rsidRPr="00EC75B7">
              <w:rPr>
                <w:rFonts w:ascii="Verdana" w:hAnsi="Verdana"/>
                <w:sz w:val="18"/>
                <w:szCs w:val="18"/>
              </w:rPr>
              <w:t>-</w:t>
            </w:r>
          </w:p>
        </w:tc>
        <w:tc>
          <w:tcPr>
            <w:tcW w:w="2006" w:type="dxa"/>
          </w:tcPr>
          <w:p w14:paraId="3F13C2BF" w14:textId="77777777" w:rsidR="008715BE" w:rsidRPr="00EC75B7" w:rsidRDefault="00000000">
            <w:pPr>
              <w:pStyle w:val="TableParagraph"/>
              <w:spacing w:line="194" w:lineRule="exact"/>
              <w:ind w:left="19"/>
              <w:jc w:val="center"/>
              <w:rPr>
                <w:rFonts w:ascii="Verdana" w:hAnsi="Verdana"/>
                <w:sz w:val="18"/>
                <w:szCs w:val="18"/>
              </w:rPr>
            </w:pPr>
            <w:r w:rsidRPr="00EC75B7">
              <w:rPr>
                <w:rFonts w:ascii="Verdana" w:hAnsi="Verdana"/>
                <w:sz w:val="18"/>
                <w:szCs w:val="18"/>
              </w:rPr>
              <w:t>-</w:t>
            </w:r>
          </w:p>
        </w:tc>
      </w:tr>
      <w:tr w:rsidR="008715BE" w:rsidRPr="00EC75B7" w14:paraId="570D05C9" w14:textId="77777777">
        <w:trPr>
          <w:trHeight w:val="582"/>
        </w:trPr>
        <w:tc>
          <w:tcPr>
            <w:tcW w:w="569" w:type="dxa"/>
          </w:tcPr>
          <w:p w14:paraId="7A27BD44" w14:textId="77777777" w:rsidR="008715BE" w:rsidRPr="00EC75B7" w:rsidRDefault="00000000">
            <w:pPr>
              <w:pStyle w:val="TableParagraph"/>
              <w:spacing w:before="193"/>
              <w:ind w:left="108"/>
              <w:rPr>
                <w:rFonts w:ascii="Verdana" w:hAnsi="Verdana"/>
                <w:sz w:val="18"/>
                <w:szCs w:val="18"/>
              </w:rPr>
            </w:pPr>
            <w:r w:rsidRPr="00EC75B7">
              <w:rPr>
                <w:rFonts w:ascii="Verdana" w:hAnsi="Verdana"/>
                <w:spacing w:val="-10"/>
                <w:sz w:val="18"/>
                <w:szCs w:val="18"/>
              </w:rPr>
              <w:t>5</w:t>
            </w:r>
          </w:p>
        </w:tc>
        <w:tc>
          <w:tcPr>
            <w:tcW w:w="2150" w:type="dxa"/>
          </w:tcPr>
          <w:p w14:paraId="6194E1FF" w14:textId="77777777" w:rsidR="008715BE" w:rsidRPr="00EC75B7" w:rsidRDefault="00000000">
            <w:pPr>
              <w:pStyle w:val="TableParagraph"/>
              <w:spacing w:before="193"/>
              <w:ind w:left="108"/>
              <w:rPr>
                <w:rFonts w:ascii="Verdana" w:hAnsi="Verdana"/>
                <w:i/>
                <w:sz w:val="18"/>
                <w:szCs w:val="18"/>
              </w:rPr>
            </w:pPr>
            <w:r w:rsidRPr="00EC75B7">
              <w:rPr>
                <w:rFonts w:ascii="Verdana" w:hAnsi="Verdana"/>
                <w:i/>
                <w:sz w:val="18"/>
                <w:szCs w:val="18"/>
              </w:rPr>
              <w:t xml:space="preserve">Sunset </w:t>
            </w:r>
            <w:r w:rsidRPr="00EC75B7">
              <w:rPr>
                <w:rFonts w:ascii="Verdana" w:hAnsi="Verdana"/>
                <w:i/>
                <w:spacing w:val="-4"/>
                <w:sz w:val="18"/>
                <w:szCs w:val="18"/>
              </w:rPr>
              <w:t>sunset</w:t>
            </w:r>
          </w:p>
        </w:tc>
        <w:tc>
          <w:tcPr>
            <w:tcW w:w="1927" w:type="dxa"/>
          </w:tcPr>
          <w:p w14:paraId="27AEDD10" w14:textId="77777777" w:rsidR="008715BE" w:rsidRPr="00EC75B7" w:rsidRDefault="00000000">
            <w:pPr>
              <w:pStyle w:val="TableParagraph"/>
              <w:spacing w:before="193"/>
              <w:ind w:left="108"/>
              <w:rPr>
                <w:rFonts w:ascii="Verdana" w:hAnsi="Verdana"/>
                <w:sz w:val="18"/>
                <w:szCs w:val="18"/>
              </w:rPr>
            </w:pPr>
            <w:r w:rsidRPr="00EC75B7">
              <w:rPr>
                <w:rFonts w:ascii="Verdana" w:hAnsi="Verdana"/>
                <w:spacing w:val="-2"/>
                <w:sz w:val="18"/>
                <w:szCs w:val="18"/>
              </w:rPr>
              <w:t>Black Drepnea</w:t>
            </w:r>
          </w:p>
        </w:tc>
        <w:tc>
          <w:tcPr>
            <w:tcW w:w="1449" w:type="dxa"/>
          </w:tcPr>
          <w:p w14:paraId="7A637817" w14:textId="77777777" w:rsidR="008715BE" w:rsidRPr="00EC75B7" w:rsidRDefault="00000000">
            <w:pPr>
              <w:pStyle w:val="TableParagraph"/>
              <w:spacing w:before="193"/>
              <w:ind w:left="19" w:right="2"/>
              <w:jc w:val="center"/>
              <w:rPr>
                <w:rFonts w:ascii="Verdana" w:hAnsi="Verdana"/>
                <w:sz w:val="18"/>
                <w:szCs w:val="18"/>
              </w:rPr>
            </w:pPr>
            <w:r w:rsidRPr="00EC75B7">
              <w:rPr>
                <w:rFonts w:ascii="Verdana" w:hAnsi="Verdana"/>
                <w:spacing w:val="-5"/>
                <w:sz w:val="18"/>
                <w:szCs w:val="18"/>
              </w:rPr>
              <w:t>99</w:t>
            </w:r>
          </w:p>
        </w:tc>
        <w:tc>
          <w:tcPr>
            <w:tcW w:w="1842" w:type="dxa"/>
          </w:tcPr>
          <w:p w14:paraId="5502FCEB"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Northern Europe </w:t>
            </w:r>
            <w:r w:rsidRPr="00EC75B7">
              <w:rPr>
                <w:rFonts w:ascii="Verdana" w:hAnsi="Verdana"/>
                <w:spacing w:val="-10"/>
                <w:sz w:val="18"/>
                <w:szCs w:val="18"/>
              </w:rPr>
              <w:t>-</w:t>
            </w:r>
          </w:p>
          <w:p w14:paraId="6EADB93B"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South</w:t>
            </w:r>
          </w:p>
          <w:p w14:paraId="19A801EC"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Eastern </w:t>
            </w:r>
            <w:r w:rsidRPr="00EC75B7">
              <w:rPr>
                <w:rFonts w:ascii="Verdana" w:hAnsi="Verdana"/>
                <w:spacing w:val="-2"/>
                <w:sz w:val="18"/>
                <w:szCs w:val="18"/>
              </w:rPr>
              <w:t>Europe</w:t>
            </w:r>
          </w:p>
        </w:tc>
        <w:tc>
          <w:tcPr>
            <w:tcW w:w="2006" w:type="dxa"/>
          </w:tcPr>
          <w:p w14:paraId="5D5E8D61" w14:textId="77777777" w:rsidR="008715BE" w:rsidRPr="00EC75B7" w:rsidRDefault="00000000">
            <w:pPr>
              <w:pStyle w:val="TableParagraph"/>
              <w:ind w:left="116" w:right="100" w:hanging="5"/>
              <w:rPr>
                <w:rFonts w:ascii="Verdana" w:hAnsi="Verdana"/>
                <w:sz w:val="18"/>
                <w:szCs w:val="18"/>
              </w:rPr>
            </w:pPr>
            <w:r w:rsidRPr="00EC75B7">
              <w:rPr>
                <w:rFonts w:ascii="Verdana" w:hAnsi="Verdana"/>
                <w:sz w:val="18"/>
                <w:szCs w:val="18"/>
              </w:rPr>
              <w:t>Migrationatlas -</w:t>
            </w:r>
            <w:hyperlink r:id="rId58">
              <w:r w:rsidR="008715BE" w:rsidRPr="00EC75B7">
                <w:rPr>
                  <w:rFonts w:ascii="Verdana" w:hAnsi="Verdana"/>
                  <w:spacing w:val="-2"/>
                  <w:sz w:val="18"/>
                  <w:szCs w:val="18"/>
                </w:rPr>
                <w:t xml:space="preserve"> https://migrationatlas</w:t>
              </w:r>
            </w:hyperlink>
          </w:p>
          <w:p w14:paraId="0F62A97E" w14:textId="77777777" w:rsidR="008715BE" w:rsidRPr="00EC75B7" w:rsidRDefault="00000000">
            <w:pPr>
              <w:pStyle w:val="TableParagraph"/>
              <w:spacing w:line="173"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0BC8B3BF" w14:textId="77777777">
        <w:trPr>
          <w:trHeight w:val="582"/>
        </w:trPr>
        <w:tc>
          <w:tcPr>
            <w:tcW w:w="569" w:type="dxa"/>
          </w:tcPr>
          <w:p w14:paraId="29A3E702" w14:textId="77777777" w:rsidR="008715BE" w:rsidRPr="00EC75B7" w:rsidRDefault="00000000">
            <w:pPr>
              <w:pStyle w:val="TableParagraph"/>
              <w:spacing w:before="193"/>
              <w:ind w:left="108"/>
              <w:rPr>
                <w:rFonts w:ascii="Verdana" w:hAnsi="Verdana"/>
                <w:sz w:val="18"/>
                <w:szCs w:val="18"/>
              </w:rPr>
            </w:pPr>
            <w:r w:rsidRPr="00EC75B7">
              <w:rPr>
                <w:rFonts w:ascii="Verdana" w:hAnsi="Verdana"/>
                <w:spacing w:val="-10"/>
                <w:sz w:val="18"/>
                <w:szCs w:val="18"/>
              </w:rPr>
              <w:t>6</w:t>
            </w:r>
          </w:p>
        </w:tc>
        <w:tc>
          <w:tcPr>
            <w:tcW w:w="2150" w:type="dxa"/>
          </w:tcPr>
          <w:p w14:paraId="0FE1FC4A" w14:textId="77777777" w:rsidR="008715BE" w:rsidRPr="00EC75B7" w:rsidRDefault="00000000">
            <w:pPr>
              <w:pStyle w:val="TableParagraph"/>
              <w:spacing w:before="193"/>
              <w:ind w:left="108"/>
              <w:rPr>
                <w:rFonts w:ascii="Verdana" w:hAnsi="Verdana"/>
                <w:i/>
                <w:sz w:val="18"/>
                <w:szCs w:val="18"/>
              </w:rPr>
            </w:pPr>
            <w:r w:rsidRPr="00EC75B7">
              <w:rPr>
                <w:rFonts w:ascii="Verdana" w:hAnsi="Verdana"/>
                <w:i/>
                <w:sz w:val="18"/>
                <w:szCs w:val="18"/>
              </w:rPr>
              <w:t xml:space="preserve">Aquila </w:t>
            </w:r>
            <w:r w:rsidRPr="00EC75B7">
              <w:rPr>
                <w:rFonts w:ascii="Verdana" w:hAnsi="Verdana"/>
                <w:i/>
                <w:spacing w:val="-2"/>
                <w:sz w:val="18"/>
                <w:szCs w:val="18"/>
              </w:rPr>
              <w:t>pomarina</w:t>
            </w:r>
          </w:p>
        </w:tc>
        <w:tc>
          <w:tcPr>
            <w:tcW w:w="1927" w:type="dxa"/>
          </w:tcPr>
          <w:p w14:paraId="6B985E13" w14:textId="77777777" w:rsidR="008715BE" w:rsidRPr="00EC75B7" w:rsidRDefault="00000000">
            <w:pPr>
              <w:pStyle w:val="TableParagraph"/>
              <w:spacing w:before="193"/>
              <w:ind w:left="108"/>
              <w:rPr>
                <w:rFonts w:ascii="Verdana" w:hAnsi="Verdana"/>
                <w:sz w:val="18"/>
                <w:szCs w:val="18"/>
              </w:rPr>
            </w:pPr>
            <w:r w:rsidRPr="00EC75B7">
              <w:rPr>
                <w:rFonts w:ascii="Verdana" w:hAnsi="Verdana"/>
                <w:sz w:val="18"/>
                <w:szCs w:val="18"/>
              </w:rPr>
              <w:t>L</w:t>
            </w:r>
            <w:r w:rsidRPr="00EC75B7">
              <w:rPr>
                <w:rFonts w:ascii="Verdana" w:hAnsi="Verdana"/>
                <w:spacing w:val="-4"/>
                <w:sz w:val="18"/>
                <w:szCs w:val="18"/>
              </w:rPr>
              <w:t xml:space="preserve">esser </w:t>
            </w:r>
            <w:r w:rsidRPr="00EC75B7">
              <w:rPr>
                <w:rFonts w:ascii="Verdana" w:hAnsi="Verdana"/>
                <w:sz w:val="18"/>
                <w:szCs w:val="18"/>
              </w:rPr>
              <w:t>spotted eagle</w:t>
            </w:r>
          </w:p>
        </w:tc>
        <w:tc>
          <w:tcPr>
            <w:tcW w:w="1449" w:type="dxa"/>
          </w:tcPr>
          <w:p w14:paraId="4F5DEBC6" w14:textId="77777777" w:rsidR="008715BE" w:rsidRPr="00EC75B7" w:rsidRDefault="00000000">
            <w:pPr>
              <w:pStyle w:val="TableParagraph"/>
              <w:spacing w:before="193"/>
              <w:ind w:left="19" w:right="2"/>
              <w:jc w:val="center"/>
              <w:rPr>
                <w:rFonts w:ascii="Verdana" w:hAnsi="Verdana"/>
                <w:sz w:val="18"/>
                <w:szCs w:val="18"/>
              </w:rPr>
            </w:pPr>
            <w:r w:rsidRPr="00EC75B7">
              <w:rPr>
                <w:rFonts w:ascii="Verdana" w:hAnsi="Verdana"/>
                <w:spacing w:val="-5"/>
                <w:sz w:val="18"/>
                <w:szCs w:val="18"/>
              </w:rPr>
              <w:t>19</w:t>
            </w:r>
          </w:p>
        </w:tc>
        <w:tc>
          <w:tcPr>
            <w:tcW w:w="1842" w:type="dxa"/>
          </w:tcPr>
          <w:p w14:paraId="612AE1EB" w14:textId="77777777" w:rsidR="008715BE" w:rsidRPr="00EC75B7" w:rsidRDefault="00000000">
            <w:pPr>
              <w:pStyle w:val="TableParagraph"/>
              <w:ind w:left="378" w:right="242" w:hanging="118"/>
              <w:rPr>
                <w:rFonts w:ascii="Verdana" w:hAnsi="Verdana"/>
                <w:sz w:val="18"/>
                <w:szCs w:val="18"/>
              </w:rPr>
            </w:pPr>
            <w:r w:rsidRPr="00EC75B7">
              <w:rPr>
                <w:rFonts w:ascii="Verdana" w:hAnsi="Verdana"/>
                <w:spacing w:val="-2"/>
                <w:sz w:val="18"/>
                <w:szCs w:val="18"/>
              </w:rPr>
              <w:t xml:space="preserve">Northern Europe - </w:t>
            </w:r>
            <w:r w:rsidRPr="00EC75B7">
              <w:rPr>
                <w:rFonts w:ascii="Verdana" w:hAnsi="Verdana"/>
                <w:sz w:val="18"/>
                <w:szCs w:val="18"/>
              </w:rPr>
              <w:t>Central Africa</w:t>
            </w:r>
          </w:p>
        </w:tc>
        <w:tc>
          <w:tcPr>
            <w:tcW w:w="2006" w:type="dxa"/>
          </w:tcPr>
          <w:p w14:paraId="4529F027" w14:textId="77777777" w:rsidR="008715BE" w:rsidRPr="00EC75B7" w:rsidRDefault="00000000">
            <w:pPr>
              <w:pStyle w:val="TableParagraph"/>
              <w:ind w:left="140" w:right="120" w:hanging="30"/>
              <w:rPr>
                <w:rFonts w:ascii="Verdana" w:hAnsi="Verdana"/>
                <w:sz w:val="18"/>
                <w:szCs w:val="18"/>
              </w:rPr>
            </w:pPr>
            <w:r w:rsidRPr="00EC75B7">
              <w:rPr>
                <w:rFonts w:ascii="Verdana" w:hAnsi="Verdana"/>
                <w:sz w:val="18"/>
                <w:szCs w:val="18"/>
              </w:rPr>
              <w:t>Birdtrackingmap -</w:t>
            </w:r>
            <w:hyperlink r:id="rId59">
              <w:r w:rsidR="008715BE" w:rsidRPr="00EC75B7">
                <w:rPr>
                  <w:rFonts w:ascii="Verdana" w:hAnsi="Verdana"/>
                  <w:spacing w:val="-2"/>
                  <w:sz w:val="18"/>
                  <w:szCs w:val="18"/>
                </w:rPr>
                <w:t xml:space="preserve"> https://bbecquet.gith</w:t>
              </w:r>
            </w:hyperlink>
          </w:p>
          <w:p w14:paraId="74EEE4B4" w14:textId="77777777" w:rsidR="008715BE" w:rsidRPr="00EC75B7" w:rsidRDefault="00000000">
            <w:pPr>
              <w:pStyle w:val="TableParagraph"/>
              <w:spacing w:line="173" w:lineRule="exact"/>
              <w:ind w:left="253"/>
              <w:rPr>
                <w:rFonts w:ascii="Verdana" w:hAnsi="Verdana"/>
                <w:sz w:val="18"/>
                <w:szCs w:val="18"/>
              </w:rPr>
            </w:pPr>
            <w:r w:rsidRPr="00EC75B7">
              <w:rPr>
                <w:rFonts w:ascii="Verdana" w:hAnsi="Verdana"/>
                <w:spacing w:val="-2"/>
                <w:sz w:val="18"/>
                <w:szCs w:val="18"/>
              </w:rPr>
              <w:t>ub.io/birdtracking/</w:t>
            </w:r>
          </w:p>
        </w:tc>
      </w:tr>
      <w:tr w:rsidR="008715BE" w:rsidRPr="00EC75B7" w14:paraId="6791FA9C" w14:textId="77777777">
        <w:trPr>
          <w:trHeight w:val="388"/>
        </w:trPr>
        <w:tc>
          <w:tcPr>
            <w:tcW w:w="569" w:type="dxa"/>
          </w:tcPr>
          <w:p w14:paraId="2DA45EA9" w14:textId="77777777" w:rsidR="008715BE" w:rsidRPr="00EC75B7" w:rsidRDefault="00000000">
            <w:pPr>
              <w:pStyle w:val="TableParagraph"/>
              <w:spacing w:before="97"/>
              <w:ind w:left="108"/>
              <w:rPr>
                <w:rFonts w:ascii="Verdana" w:hAnsi="Verdana"/>
                <w:sz w:val="18"/>
                <w:szCs w:val="18"/>
              </w:rPr>
            </w:pPr>
            <w:r w:rsidRPr="00EC75B7">
              <w:rPr>
                <w:rFonts w:ascii="Verdana" w:hAnsi="Verdana"/>
                <w:spacing w:val="-10"/>
                <w:sz w:val="18"/>
                <w:szCs w:val="18"/>
              </w:rPr>
              <w:t>7</w:t>
            </w:r>
          </w:p>
        </w:tc>
        <w:tc>
          <w:tcPr>
            <w:tcW w:w="2150" w:type="dxa"/>
          </w:tcPr>
          <w:p w14:paraId="15D03CAF" w14:textId="77777777" w:rsidR="008715BE" w:rsidRPr="00EC75B7" w:rsidRDefault="00000000">
            <w:pPr>
              <w:pStyle w:val="TableParagraph"/>
              <w:spacing w:before="97"/>
              <w:ind w:left="108"/>
              <w:rPr>
                <w:rFonts w:ascii="Verdana" w:hAnsi="Verdana"/>
                <w:i/>
                <w:sz w:val="18"/>
                <w:szCs w:val="18"/>
              </w:rPr>
            </w:pPr>
            <w:r w:rsidRPr="00EC75B7">
              <w:rPr>
                <w:rFonts w:ascii="Verdana" w:hAnsi="Verdana"/>
                <w:i/>
                <w:sz w:val="18"/>
                <w:szCs w:val="18"/>
              </w:rPr>
              <w:t xml:space="preserve">Buteo </w:t>
            </w:r>
            <w:r w:rsidRPr="00EC75B7">
              <w:rPr>
                <w:rFonts w:ascii="Verdana" w:hAnsi="Verdana"/>
                <w:i/>
                <w:spacing w:val="-2"/>
                <w:sz w:val="18"/>
                <w:szCs w:val="18"/>
              </w:rPr>
              <w:t>buteo</w:t>
            </w:r>
          </w:p>
        </w:tc>
        <w:tc>
          <w:tcPr>
            <w:tcW w:w="1927" w:type="dxa"/>
          </w:tcPr>
          <w:p w14:paraId="70B4BD65" w14:textId="77777777" w:rsidR="008715BE" w:rsidRPr="00EC75B7" w:rsidRDefault="00000000">
            <w:pPr>
              <w:pStyle w:val="TableParagraph"/>
              <w:spacing w:before="97"/>
              <w:ind w:left="108"/>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buzzard</w:t>
            </w:r>
          </w:p>
        </w:tc>
        <w:tc>
          <w:tcPr>
            <w:tcW w:w="1449" w:type="dxa"/>
          </w:tcPr>
          <w:p w14:paraId="60D2B1E4" w14:textId="77777777" w:rsidR="008715BE" w:rsidRPr="00EC75B7" w:rsidRDefault="00000000">
            <w:pPr>
              <w:pStyle w:val="TableParagraph"/>
              <w:spacing w:before="97"/>
              <w:ind w:left="19" w:right="3"/>
              <w:jc w:val="center"/>
              <w:rPr>
                <w:rFonts w:ascii="Verdana" w:hAnsi="Verdana"/>
                <w:sz w:val="18"/>
                <w:szCs w:val="18"/>
              </w:rPr>
            </w:pPr>
            <w:r w:rsidRPr="00EC75B7">
              <w:rPr>
                <w:rFonts w:ascii="Verdana" w:hAnsi="Verdana"/>
                <w:spacing w:val="-5"/>
                <w:sz w:val="18"/>
                <w:szCs w:val="18"/>
              </w:rPr>
              <w:t>162</w:t>
            </w:r>
          </w:p>
        </w:tc>
        <w:tc>
          <w:tcPr>
            <w:tcW w:w="1842" w:type="dxa"/>
          </w:tcPr>
          <w:p w14:paraId="0DFF6EBE"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Northern Europe </w:t>
            </w:r>
            <w:r w:rsidRPr="00EC75B7">
              <w:rPr>
                <w:rFonts w:ascii="Verdana" w:hAnsi="Verdana"/>
                <w:spacing w:val="-10"/>
                <w:sz w:val="18"/>
                <w:szCs w:val="18"/>
              </w:rPr>
              <w:t>-</w:t>
            </w:r>
          </w:p>
          <w:p w14:paraId="1B482C9E"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2"/>
                <w:sz w:val="18"/>
                <w:szCs w:val="18"/>
              </w:rPr>
              <w:t>South</w:t>
            </w:r>
          </w:p>
        </w:tc>
        <w:tc>
          <w:tcPr>
            <w:tcW w:w="2006" w:type="dxa"/>
          </w:tcPr>
          <w:p w14:paraId="3AE468B7" w14:textId="77777777" w:rsidR="008715BE" w:rsidRPr="00EC75B7" w:rsidRDefault="00000000">
            <w:pPr>
              <w:pStyle w:val="TableParagraph"/>
              <w:spacing w:line="194" w:lineRule="exact"/>
              <w:ind w:left="17"/>
              <w:jc w:val="center"/>
              <w:rPr>
                <w:rFonts w:ascii="Verdana" w:hAnsi="Verdana"/>
                <w:sz w:val="18"/>
                <w:szCs w:val="18"/>
              </w:rPr>
            </w:pPr>
            <w:r w:rsidRPr="00EC75B7">
              <w:rPr>
                <w:rFonts w:ascii="Verdana" w:hAnsi="Verdana"/>
                <w:sz w:val="18"/>
                <w:szCs w:val="18"/>
              </w:rPr>
              <w:t xml:space="preserve">Migrationatlas </w:t>
            </w:r>
            <w:r w:rsidRPr="00EC75B7">
              <w:rPr>
                <w:rFonts w:ascii="Verdana" w:hAnsi="Verdana"/>
                <w:spacing w:val="-12"/>
                <w:sz w:val="18"/>
                <w:szCs w:val="18"/>
              </w:rPr>
              <w:t>-</w:t>
            </w:r>
          </w:p>
        </w:tc>
      </w:tr>
    </w:tbl>
    <w:p w14:paraId="66483379" w14:textId="77777777" w:rsidR="008715BE" w:rsidRPr="00EC75B7" w:rsidRDefault="008715BE">
      <w:pPr>
        <w:pStyle w:val="BodyText"/>
        <w:spacing w:before="176"/>
        <w:rPr>
          <w:rFonts w:ascii="Verdana" w:hAnsi="Verdana"/>
          <w:b/>
        </w:rPr>
      </w:pPr>
    </w:p>
    <w:p w14:paraId="7AEB8C02" w14:textId="77777777" w:rsidR="008715BE" w:rsidRPr="00EC75B7" w:rsidRDefault="008715BE">
      <w:pPr>
        <w:pStyle w:val="ListParagraph"/>
        <w:numPr>
          <w:ilvl w:val="0"/>
          <w:numId w:val="93"/>
        </w:numPr>
        <w:tabs>
          <w:tab w:val="left" w:pos="894"/>
        </w:tabs>
        <w:spacing w:before="1"/>
        <w:ind w:left="894" w:hanging="129"/>
        <w:jc w:val="both"/>
        <w:rPr>
          <w:rFonts w:ascii="Verdana" w:hAnsi="Verdana"/>
          <w:sz w:val="18"/>
          <w:szCs w:val="18"/>
        </w:rPr>
      </w:pPr>
      <w:hyperlink r:id="rId60">
        <w:r w:rsidRPr="00EC75B7">
          <w:rPr>
            <w:rFonts w:ascii="Verdana" w:hAnsi="Verdana"/>
            <w:color w:val="797766"/>
            <w:sz w:val="18"/>
            <w:szCs w:val="18"/>
          </w:rPr>
          <w:t xml:space="preserve">Birdmap </w:t>
        </w:r>
        <w:r w:rsidRPr="00EC75B7">
          <w:rPr>
            <w:rFonts w:ascii="Verdana" w:hAnsi="Verdana"/>
            <w:color w:val="797766"/>
            <w:spacing w:val="-2"/>
            <w:sz w:val="18"/>
            <w:szCs w:val="18"/>
          </w:rPr>
          <w:t>(5dvision.ee)</w:t>
        </w:r>
      </w:hyperlink>
    </w:p>
    <w:p w14:paraId="39672DE0" w14:textId="77777777" w:rsidR="008715BE" w:rsidRPr="00EC75B7" w:rsidRDefault="008715BE">
      <w:pPr>
        <w:pStyle w:val="BodyText"/>
        <w:spacing w:before="3"/>
        <w:rPr>
          <w:rFonts w:ascii="Verdana" w:hAnsi="Verdana"/>
        </w:rPr>
      </w:pPr>
    </w:p>
    <w:p w14:paraId="2EC79266" w14:textId="63E6EFF6" w:rsidR="008715BE" w:rsidRPr="009C3CA5" w:rsidRDefault="008715BE" w:rsidP="009C3CA5">
      <w:pPr>
        <w:pStyle w:val="ListParagraph"/>
        <w:numPr>
          <w:ilvl w:val="0"/>
          <w:numId w:val="93"/>
        </w:numPr>
        <w:tabs>
          <w:tab w:val="left" w:pos="908"/>
        </w:tabs>
        <w:spacing w:before="1"/>
        <w:ind w:left="908" w:hanging="143"/>
        <w:rPr>
          <w:rFonts w:ascii="Verdana" w:hAnsi="Verdana"/>
          <w:sz w:val="18"/>
          <w:szCs w:val="18"/>
        </w:rPr>
        <w:sectPr w:rsidR="008715BE" w:rsidRPr="009C3CA5">
          <w:pgSz w:w="11910" w:h="16840"/>
          <w:pgMar w:top="1160" w:right="141" w:bottom="1020" w:left="425" w:header="766" w:footer="797" w:gutter="0"/>
          <w:cols w:space="708"/>
        </w:sectPr>
      </w:pPr>
      <w:hyperlink r:id="rId61">
        <w:r w:rsidRPr="009C3CA5">
          <w:rPr>
            <w:rFonts w:ascii="Verdana" w:hAnsi="Verdana"/>
            <w:color w:val="797766"/>
            <w:spacing w:val="-2"/>
            <w:sz w:val="18"/>
            <w:szCs w:val="18"/>
          </w:rPr>
          <w:t>SATELLITETRACKING.EU</w:t>
        </w:r>
      </w:hyperlink>
    </w:p>
    <w:p w14:paraId="39480F86" w14:textId="77777777" w:rsidR="008715BE" w:rsidRPr="00EC75B7" w:rsidRDefault="008715BE">
      <w:pPr>
        <w:pStyle w:val="BodyText"/>
        <w:spacing w:before="13" w:after="1"/>
        <w:rPr>
          <w:rFonts w:ascii="Verdana" w:hAnsi="Verdana"/>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8715BE" w:rsidRPr="00EC75B7" w14:paraId="6DF2E2A8" w14:textId="77777777">
        <w:trPr>
          <w:trHeight w:val="777"/>
        </w:trPr>
        <w:tc>
          <w:tcPr>
            <w:tcW w:w="569" w:type="dxa"/>
            <w:shd w:val="clear" w:color="auto" w:fill="00AFEF"/>
          </w:tcPr>
          <w:p w14:paraId="1C885190" w14:textId="77777777" w:rsidR="008715BE" w:rsidRPr="00EC75B7" w:rsidRDefault="008715BE">
            <w:pPr>
              <w:pStyle w:val="TableParagraph"/>
              <w:spacing w:before="7"/>
              <w:rPr>
                <w:rFonts w:ascii="Verdana" w:hAnsi="Verdana"/>
                <w:sz w:val="18"/>
                <w:szCs w:val="18"/>
              </w:rPr>
            </w:pPr>
          </w:p>
          <w:p w14:paraId="34ADB889" w14:textId="77777777" w:rsidR="008715BE" w:rsidRPr="00EC75B7" w:rsidRDefault="00000000">
            <w:pPr>
              <w:pStyle w:val="TableParagraph"/>
              <w:ind w:left="132" w:firstLine="14"/>
              <w:rPr>
                <w:rFonts w:ascii="Verdana" w:hAnsi="Verdana"/>
                <w:b/>
                <w:sz w:val="18"/>
                <w:szCs w:val="18"/>
              </w:rPr>
            </w:pPr>
            <w:r w:rsidRPr="00EC75B7">
              <w:rPr>
                <w:rFonts w:ascii="Verdana" w:hAnsi="Verdana"/>
                <w:b/>
                <w:color w:val="FFFFFF"/>
                <w:spacing w:val="-4"/>
                <w:sz w:val="18"/>
                <w:szCs w:val="18"/>
              </w:rPr>
              <w:t>No.</w:t>
            </w:r>
          </w:p>
        </w:tc>
        <w:tc>
          <w:tcPr>
            <w:tcW w:w="2150" w:type="dxa"/>
            <w:shd w:val="clear" w:color="auto" w:fill="00AFEF"/>
          </w:tcPr>
          <w:p w14:paraId="078D3498" w14:textId="77777777" w:rsidR="008715BE" w:rsidRPr="00EC75B7" w:rsidRDefault="008715BE">
            <w:pPr>
              <w:pStyle w:val="TableParagraph"/>
              <w:spacing w:before="106"/>
              <w:rPr>
                <w:rFonts w:ascii="Verdana" w:hAnsi="Verdana"/>
                <w:sz w:val="18"/>
                <w:szCs w:val="18"/>
              </w:rPr>
            </w:pPr>
          </w:p>
          <w:p w14:paraId="4F275002"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Species</w:t>
            </w:r>
          </w:p>
        </w:tc>
        <w:tc>
          <w:tcPr>
            <w:tcW w:w="1927" w:type="dxa"/>
            <w:shd w:val="clear" w:color="auto" w:fill="00AFEF"/>
          </w:tcPr>
          <w:p w14:paraId="32353DAF" w14:textId="77777777" w:rsidR="008715BE" w:rsidRPr="00EC75B7" w:rsidRDefault="008715BE">
            <w:pPr>
              <w:pStyle w:val="TableParagraph"/>
              <w:spacing w:before="106"/>
              <w:rPr>
                <w:rFonts w:ascii="Verdana" w:hAnsi="Verdana"/>
                <w:sz w:val="18"/>
                <w:szCs w:val="18"/>
              </w:rPr>
            </w:pPr>
          </w:p>
          <w:p w14:paraId="3F8C3E10" w14:textId="77777777" w:rsidR="008715BE" w:rsidRPr="00EC75B7" w:rsidRDefault="00000000">
            <w:pPr>
              <w:pStyle w:val="TableParagraph"/>
              <w:ind w:left="214"/>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449" w:type="dxa"/>
            <w:shd w:val="clear" w:color="auto" w:fill="00AFEF"/>
          </w:tcPr>
          <w:p w14:paraId="0235BD57" w14:textId="77777777" w:rsidR="008715BE" w:rsidRPr="00EC75B7" w:rsidRDefault="00000000">
            <w:pPr>
              <w:pStyle w:val="TableParagraph"/>
              <w:spacing w:before="8" w:line="195" w:lineRule="exact"/>
              <w:ind w:left="19" w:right="2"/>
              <w:jc w:val="center"/>
              <w:rPr>
                <w:rFonts w:ascii="Verdana" w:hAnsi="Verdana"/>
                <w:b/>
                <w:sz w:val="18"/>
                <w:szCs w:val="18"/>
              </w:rPr>
            </w:pPr>
            <w:r w:rsidRPr="00EC75B7">
              <w:rPr>
                <w:rFonts w:ascii="Verdana" w:hAnsi="Verdana"/>
                <w:b/>
                <w:color w:val="FFFFFF"/>
                <w:spacing w:val="-4"/>
                <w:sz w:val="18"/>
                <w:szCs w:val="18"/>
              </w:rPr>
              <w:t xml:space="preserve">Index </w:t>
            </w:r>
            <w:r w:rsidRPr="00EC75B7">
              <w:rPr>
                <w:rFonts w:ascii="Verdana" w:hAnsi="Verdana"/>
                <w:b/>
                <w:color w:val="FFFFFF"/>
                <w:sz w:val="18"/>
                <w:szCs w:val="18"/>
              </w:rPr>
              <w:t>no.</w:t>
            </w:r>
          </w:p>
          <w:p w14:paraId="62AD57B1" w14:textId="77777777" w:rsidR="008715BE" w:rsidRPr="00EC75B7" w:rsidRDefault="00000000">
            <w:pPr>
              <w:pStyle w:val="TableParagraph"/>
              <w:spacing w:line="195" w:lineRule="exact"/>
              <w:ind w:left="19" w:right="6"/>
              <w:jc w:val="center"/>
              <w:rPr>
                <w:rFonts w:ascii="Verdana" w:hAnsi="Verdana"/>
                <w:b/>
                <w:sz w:val="18"/>
                <w:szCs w:val="18"/>
              </w:rPr>
            </w:pPr>
            <w:r w:rsidRPr="00EC75B7">
              <w:rPr>
                <w:rFonts w:ascii="Verdana" w:hAnsi="Verdana"/>
                <w:b/>
                <w:color w:val="FFFFFF"/>
                <w:sz w:val="18"/>
                <w:szCs w:val="18"/>
              </w:rPr>
              <w:t xml:space="preserve">Reported </w:t>
            </w:r>
            <w:r w:rsidRPr="00EC75B7">
              <w:rPr>
                <w:rFonts w:ascii="Verdana" w:hAnsi="Verdana"/>
                <w:b/>
                <w:color w:val="FFFFFF"/>
                <w:spacing w:val="-5"/>
                <w:sz w:val="18"/>
                <w:szCs w:val="18"/>
              </w:rPr>
              <w:t>in</w:t>
            </w:r>
          </w:p>
          <w:p w14:paraId="2F0A1E23" w14:textId="77777777" w:rsidR="008715BE" w:rsidRPr="00EC75B7" w:rsidRDefault="00000000">
            <w:pPr>
              <w:pStyle w:val="TableParagraph"/>
              <w:spacing w:line="194" w:lineRule="exact"/>
              <w:ind w:left="19" w:right="3"/>
              <w:jc w:val="center"/>
              <w:rPr>
                <w:rFonts w:ascii="Verdana" w:hAnsi="Verdana"/>
                <w:b/>
                <w:sz w:val="18"/>
                <w:szCs w:val="18"/>
              </w:rPr>
            </w:pPr>
            <w:r w:rsidRPr="00EC75B7">
              <w:rPr>
                <w:rFonts w:ascii="Verdana" w:hAnsi="Verdana"/>
                <w:b/>
                <w:color w:val="FFFFFF"/>
                <w:spacing w:val="-5"/>
                <w:sz w:val="18"/>
                <w:szCs w:val="18"/>
              </w:rPr>
              <w:t>the</w:t>
            </w:r>
          </w:p>
          <w:p w14:paraId="3232E05C" w14:textId="77777777" w:rsidR="008715BE" w:rsidRPr="00EC75B7" w:rsidRDefault="00000000">
            <w:pPr>
              <w:pStyle w:val="TableParagraph"/>
              <w:spacing w:line="165" w:lineRule="exact"/>
              <w:ind w:left="19" w:right="5"/>
              <w:jc w:val="center"/>
              <w:rPr>
                <w:rFonts w:ascii="Verdana" w:hAnsi="Verdana"/>
                <w:b/>
                <w:sz w:val="18"/>
                <w:szCs w:val="18"/>
              </w:rPr>
            </w:pPr>
            <w:r w:rsidRPr="00EC75B7">
              <w:rPr>
                <w:rFonts w:ascii="Verdana" w:hAnsi="Verdana"/>
                <w:b/>
                <w:color w:val="FFFFFF"/>
                <w:spacing w:val="-2"/>
                <w:sz w:val="18"/>
                <w:szCs w:val="18"/>
              </w:rPr>
              <w:t>studied</w:t>
            </w:r>
          </w:p>
        </w:tc>
        <w:tc>
          <w:tcPr>
            <w:tcW w:w="1842" w:type="dxa"/>
            <w:shd w:val="clear" w:color="auto" w:fill="00AFEF"/>
          </w:tcPr>
          <w:p w14:paraId="64D5F360" w14:textId="77777777" w:rsidR="008715BE" w:rsidRPr="00EC75B7" w:rsidRDefault="00000000">
            <w:pPr>
              <w:pStyle w:val="TableParagraph"/>
              <w:spacing w:before="8"/>
              <w:ind w:left="172"/>
              <w:rPr>
                <w:rFonts w:ascii="Verdana" w:hAnsi="Verdana"/>
                <w:b/>
                <w:sz w:val="18"/>
                <w:szCs w:val="18"/>
              </w:rPr>
            </w:pPr>
            <w:r w:rsidRPr="00EC75B7">
              <w:rPr>
                <w:rFonts w:ascii="Verdana" w:hAnsi="Verdana"/>
                <w:b/>
                <w:color w:val="FFFFFF"/>
                <w:spacing w:val="-2"/>
                <w:sz w:val="18"/>
                <w:szCs w:val="18"/>
              </w:rPr>
              <w:t>Migration</w:t>
            </w:r>
            <w:r w:rsidRPr="00EC75B7">
              <w:rPr>
                <w:rFonts w:ascii="Verdana" w:hAnsi="Verdana"/>
                <w:b/>
                <w:color w:val="FFFFFF"/>
                <w:sz w:val="18"/>
                <w:szCs w:val="18"/>
              </w:rPr>
              <w:t xml:space="preserve"> route</w:t>
            </w:r>
          </w:p>
        </w:tc>
        <w:tc>
          <w:tcPr>
            <w:tcW w:w="2006" w:type="dxa"/>
            <w:shd w:val="clear" w:color="auto" w:fill="00AFEF"/>
          </w:tcPr>
          <w:p w14:paraId="7EE68E6D" w14:textId="77777777" w:rsidR="008715BE" w:rsidRPr="00EC75B7" w:rsidRDefault="00000000">
            <w:pPr>
              <w:pStyle w:val="TableParagraph"/>
              <w:spacing w:before="8"/>
              <w:ind w:left="20"/>
              <w:jc w:val="center"/>
              <w:rPr>
                <w:rFonts w:ascii="Verdana" w:hAnsi="Verdana"/>
                <w:b/>
                <w:sz w:val="18"/>
                <w:szCs w:val="18"/>
              </w:rPr>
            </w:pPr>
            <w:r w:rsidRPr="00EC75B7">
              <w:rPr>
                <w:rFonts w:ascii="Verdana" w:hAnsi="Verdana"/>
                <w:b/>
                <w:color w:val="FFFFFF"/>
                <w:spacing w:val="-2"/>
                <w:sz w:val="18"/>
                <w:szCs w:val="18"/>
              </w:rPr>
              <w:t xml:space="preserve">Data </w:t>
            </w:r>
            <w:r w:rsidRPr="00EC75B7">
              <w:rPr>
                <w:rFonts w:ascii="Verdana" w:hAnsi="Verdana"/>
                <w:b/>
                <w:color w:val="FFFFFF"/>
                <w:sz w:val="18"/>
                <w:szCs w:val="18"/>
              </w:rPr>
              <w:t>source</w:t>
            </w:r>
          </w:p>
        </w:tc>
      </w:tr>
      <w:tr w:rsidR="008715BE" w:rsidRPr="00EC75B7" w14:paraId="03A1BE4F" w14:textId="77777777">
        <w:trPr>
          <w:trHeight w:val="388"/>
        </w:trPr>
        <w:tc>
          <w:tcPr>
            <w:tcW w:w="569" w:type="dxa"/>
          </w:tcPr>
          <w:p w14:paraId="19EE3900" w14:textId="77777777" w:rsidR="008715BE" w:rsidRPr="00EC75B7" w:rsidRDefault="008715BE">
            <w:pPr>
              <w:pStyle w:val="TableParagraph"/>
              <w:rPr>
                <w:rFonts w:ascii="Verdana" w:hAnsi="Verdana"/>
                <w:sz w:val="18"/>
                <w:szCs w:val="18"/>
              </w:rPr>
            </w:pPr>
          </w:p>
        </w:tc>
        <w:tc>
          <w:tcPr>
            <w:tcW w:w="2150" w:type="dxa"/>
          </w:tcPr>
          <w:p w14:paraId="630D731D" w14:textId="77777777" w:rsidR="008715BE" w:rsidRPr="00EC75B7" w:rsidRDefault="008715BE">
            <w:pPr>
              <w:pStyle w:val="TableParagraph"/>
              <w:rPr>
                <w:rFonts w:ascii="Verdana" w:hAnsi="Verdana"/>
                <w:sz w:val="18"/>
                <w:szCs w:val="18"/>
              </w:rPr>
            </w:pPr>
          </w:p>
        </w:tc>
        <w:tc>
          <w:tcPr>
            <w:tcW w:w="1927" w:type="dxa"/>
          </w:tcPr>
          <w:p w14:paraId="16060FA1" w14:textId="77777777" w:rsidR="008715BE" w:rsidRPr="00EC75B7" w:rsidRDefault="008715BE">
            <w:pPr>
              <w:pStyle w:val="TableParagraph"/>
              <w:rPr>
                <w:rFonts w:ascii="Verdana" w:hAnsi="Verdana"/>
                <w:sz w:val="18"/>
                <w:szCs w:val="18"/>
              </w:rPr>
            </w:pPr>
          </w:p>
        </w:tc>
        <w:tc>
          <w:tcPr>
            <w:tcW w:w="1449" w:type="dxa"/>
          </w:tcPr>
          <w:p w14:paraId="01926324" w14:textId="77777777" w:rsidR="008715BE" w:rsidRPr="00EC75B7" w:rsidRDefault="008715BE">
            <w:pPr>
              <w:pStyle w:val="TableParagraph"/>
              <w:rPr>
                <w:rFonts w:ascii="Verdana" w:hAnsi="Verdana"/>
                <w:sz w:val="18"/>
                <w:szCs w:val="18"/>
              </w:rPr>
            </w:pPr>
          </w:p>
        </w:tc>
        <w:tc>
          <w:tcPr>
            <w:tcW w:w="1842" w:type="dxa"/>
          </w:tcPr>
          <w:p w14:paraId="67F212C6"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Europe</w:t>
            </w:r>
          </w:p>
        </w:tc>
        <w:tc>
          <w:tcPr>
            <w:tcW w:w="2006" w:type="dxa"/>
          </w:tcPr>
          <w:p w14:paraId="4CC726B3" w14:textId="77777777" w:rsidR="008715BE" w:rsidRPr="00EC75B7" w:rsidRDefault="008715BE">
            <w:pPr>
              <w:pStyle w:val="TableParagraph"/>
              <w:spacing w:before="8" w:line="195" w:lineRule="exact"/>
              <w:ind w:left="13"/>
              <w:jc w:val="center"/>
              <w:rPr>
                <w:rFonts w:ascii="Verdana" w:hAnsi="Verdana"/>
                <w:sz w:val="18"/>
                <w:szCs w:val="18"/>
              </w:rPr>
            </w:pPr>
            <w:hyperlink r:id="rId62">
              <w:r w:rsidRPr="00EC75B7">
                <w:rPr>
                  <w:rFonts w:ascii="Verdana" w:hAnsi="Verdana"/>
                  <w:spacing w:val="-2"/>
                  <w:sz w:val="18"/>
                  <w:szCs w:val="18"/>
                </w:rPr>
                <w:t>https://migrationatlas</w:t>
              </w:r>
            </w:hyperlink>
          </w:p>
          <w:p w14:paraId="0F246E22" w14:textId="77777777" w:rsidR="008715BE" w:rsidRPr="00EC75B7" w:rsidRDefault="00000000">
            <w:pPr>
              <w:pStyle w:val="TableParagraph"/>
              <w:spacing w:line="165" w:lineRule="exact"/>
              <w:ind w:left="16"/>
              <w:jc w:val="center"/>
              <w:rPr>
                <w:rFonts w:ascii="Verdana" w:hAnsi="Verdana"/>
                <w:sz w:val="18"/>
                <w:szCs w:val="18"/>
              </w:rPr>
            </w:pPr>
            <w:r w:rsidRPr="00EC75B7">
              <w:rPr>
                <w:rFonts w:ascii="Verdana" w:hAnsi="Verdana"/>
                <w:spacing w:val="-2"/>
                <w:sz w:val="18"/>
                <w:szCs w:val="18"/>
              </w:rPr>
              <w:t>.org/node/1830</w:t>
            </w:r>
          </w:p>
        </w:tc>
      </w:tr>
      <w:tr w:rsidR="008715BE" w:rsidRPr="00EC75B7" w14:paraId="34694F05" w14:textId="77777777">
        <w:trPr>
          <w:trHeight w:val="316"/>
        </w:trPr>
        <w:tc>
          <w:tcPr>
            <w:tcW w:w="569" w:type="dxa"/>
          </w:tcPr>
          <w:p w14:paraId="6F0E99C3"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10"/>
                <w:sz w:val="18"/>
                <w:szCs w:val="18"/>
              </w:rPr>
              <w:t>8</w:t>
            </w:r>
          </w:p>
        </w:tc>
        <w:tc>
          <w:tcPr>
            <w:tcW w:w="2150" w:type="dxa"/>
          </w:tcPr>
          <w:p w14:paraId="1E2DCF78"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Buteo </w:t>
            </w:r>
            <w:r w:rsidRPr="00EC75B7">
              <w:rPr>
                <w:rFonts w:ascii="Verdana" w:hAnsi="Verdana"/>
                <w:i/>
                <w:spacing w:val="-2"/>
                <w:sz w:val="18"/>
                <w:szCs w:val="18"/>
              </w:rPr>
              <w:t>rufinus</w:t>
            </w:r>
          </w:p>
        </w:tc>
        <w:tc>
          <w:tcPr>
            <w:tcW w:w="1927" w:type="dxa"/>
          </w:tcPr>
          <w:p w14:paraId="5E7CEB5C" w14:textId="77777777" w:rsidR="008715BE" w:rsidRPr="00EC75B7" w:rsidRDefault="00000000">
            <w:pPr>
              <w:pStyle w:val="TableParagraph"/>
              <w:spacing w:before="70"/>
              <w:ind w:left="108"/>
              <w:rPr>
                <w:rFonts w:ascii="Verdana" w:hAnsi="Verdana"/>
                <w:sz w:val="18"/>
                <w:szCs w:val="18"/>
              </w:rPr>
            </w:pPr>
            <w:r w:rsidRPr="00EC75B7">
              <w:rPr>
                <w:rFonts w:ascii="Verdana" w:hAnsi="Verdana"/>
                <w:sz w:val="18"/>
                <w:szCs w:val="18"/>
              </w:rPr>
              <w:t xml:space="preserve">Long-legged </w:t>
            </w:r>
            <w:r w:rsidRPr="00EC75B7">
              <w:rPr>
                <w:rFonts w:ascii="Verdana" w:hAnsi="Verdana"/>
                <w:spacing w:val="-4"/>
                <w:sz w:val="18"/>
                <w:szCs w:val="18"/>
              </w:rPr>
              <w:t>buzzard</w:t>
            </w:r>
          </w:p>
        </w:tc>
        <w:tc>
          <w:tcPr>
            <w:tcW w:w="1449" w:type="dxa"/>
          </w:tcPr>
          <w:p w14:paraId="795E0E2C"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19</w:t>
            </w:r>
          </w:p>
        </w:tc>
        <w:tc>
          <w:tcPr>
            <w:tcW w:w="1842" w:type="dxa"/>
          </w:tcPr>
          <w:p w14:paraId="2852A173" w14:textId="77777777" w:rsidR="008715BE" w:rsidRPr="00EC75B7" w:rsidRDefault="008715BE">
            <w:pPr>
              <w:pStyle w:val="TableParagraph"/>
              <w:rPr>
                <w:rFonts w:ascii="Verdana" w:hAnsi="Verdana"/>
                <w:sz w:val="18"/>
                <w:szCs w:val="18"/>
              </w:rPr>
            </w:pPr>
          </w:p>
        </w:tc>
        <w:tc>
          <w:tcPr>
            <w:tcW w:w="2006" w:type="dxa"/>
          </w:tcPr>
          <w:p w14:paraId="05088F2C" w14:textId="77777777" w:rsidR="008715BE" w:rsidRPr="00EC75B7" w:rsidRDefault="008715BE">
            <w:pPr>
              <w:pStyle w:val="TableParagraph"/>
              <w:rPr>
                <w:rFonts w:ascii="Verdana" w:hAnsi="Verdana"/>
                <w:sz w:val="18"/>
                <w:szCs w:val="18"/>
              </w:rPr>
            </w:pPr>
          </w:p>
        </w:tc>
      </w:tr>
      <w:tr w:rsidR="008715BE" w:rsidRPr="00EC75B7" w14:paraId="4FEAE28E" w14:textId="77777777">
        <w:trPr>
          <w:trHeight w:val="582"/>
        </w:trPr>
        <w:tc>
          <w:tcPr>
            <w:tcW w:w="569" w:type="dxa"/>
          </w:tcPr>
          <w:p w14:paraId="470949F5" w14:textId="77777777" w:rsidR="008715BE" w:rsidRPr="00EC75B7" w:rsidRDefault="008715BE">
            <w:pPr>
              <w:pStyle w:val="TableParagraph"/>
              <w:spacing w:before="7"/>
              <w:rPr>
                <w:rFonts w:ascii="Verdana" w:hAnsi="Verdana"/>
                <w:sz w:val="18"/>
                <w:szCs w:val="18"/>
              </w:rPr>
            </w:pPr>
          </w:p>
          <w:p w14:paraId="4A671F5C" w14:textId="77777777" w:rsidR="008715BE" w:rsidRPr="00EC75B7" w:rsidRDefault="00000000">
            <w:pPr>
              <w:pStyle w:val="TableParagraph"/>
              <w:ind w:left="108"/>
              <w:rPr>
                <w:rFonts w:ascii="Verdana" w:hAnsi="Verdana"/>
                <w:sz w:val="18"/>
                <w:szCs w:val="18"/>
              </w:rPr>
            </w:pPr>
            <w:r w:rsidRPr="00EC75B7">
              <w:rPr>
                <w:rFonts w:ascii="Verdana" w:hAnsi="Verdana"/>
                <w:spacing w:val="-10"/>
                <w:sz w:val="18"/>
                <w:szCs w:val="18"/>
              </w:rPr>
              <w:t>9</w:t>
            </w:r>
          </w:p>
        </w:tc>
        <w:tc>
          <w:tcPr>
            <w:tcW w:w="2150" w:type="dxa"/>
          </w:tcPr>
          <w:p w14:paraId="712AE0B7" w14:textId="77777777" w:rsidR="008715BE" w:rsidRPr="00EC75B7" w:rsidRDefault="008715BE">
            <w:pPr>
              <w:pStyle w:val="TableParagraph"/>
              <w:spacing w:before="7"/>
              <w:rPr>
                <w:rFonts w:ascii="Verdana" w:hAnsi="Verdana"/>
                <w:sz w:val="18"/>
                <w:szCs w:val="18"/>
              </w:rPr>
            </w:pPr>
          </w:p>
          <w:p w14:paraId="14FBB396"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Caprimulgus </w:t>
            </w:r>
            <w:r w:rsidRPr="00EC75B7">
              <w:rPr>
                <w:rFonts w:ascii="Verdana" w:hAnsi="Verdana"/>
                <w:i/>
                <w:spacing w:val="-2"/>
                <w:sz w:val="18"/>
                <w:szCs w:val="18"/>
              </w:rPr>
              <w:t>europaeus</w:t>
            </w:r>
          </w:p>
        </w:tc>
        <w:tc>
          <w:tcPr>
            <w:tcW w:w="1927" w:type="dxa"/>
          </w:tcPr>
          <w:p w14:paraId="17253293" w14:textId="77777777" w:rsidR="008715BE" w:rsidRPr="00EC75B7" w:rsidRDefault="008715BE">
            <w:pPr>
              <w:pStyle w:val="TableParagraph"/>
              <w:spacing w:before="7"/>
              <w:rPr>
                <w:rFonts w:ascii="Verdana" w:hAnsi="Verdana"/>
                <w:sz w:val="18"/>
                <w:szCs w:val="18"/>
              </w:rPr>
            </w:pPr>
          </w:p>
          <w:p w14:paraId="0911E3E8"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Nightjar</w:t>
            </w:r>
          </w:p>
        </w:tc>
        <w:tc>
          <w:tcPr>
            <w:tcW w:w="1449" w:type="dxa"/>
          </w:tcPr>
          <w:p w14:paraId="0E60FF18" w14:textId="77777777" w:rsidR="008715BE" w:rsidRPr="00EC75B7" w:rsidRDefault="008715BE">
            <w:pPr>
              <w:pStyle w:val="TableParagraph"/>
              <w:spacing w:before="7"/>
              <w:rPr>
                <w:rFonts w:ascii="Verdana" w:hAnsi="Verdana"/>
                <w:sz w:val="18"/>
                <w:szCs w:val="18"/>
              </w:rPr>
            </w:pPr>
          </w:p>
          <w:p w14:paraId="3A26FDF5"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1</w:t>
            </w:r>
          </w:p>
        </w:tc>
        <w:tc>
          <w:tcPr>
            <w:tcW w:w="1842" w:type="dxa"/>
          </w:tcPr>
          <w:p w14:paraId="04E9695D" w14:textId="77777777" w:rsidR="008715BE" w:rsidRPr="00EC75B7" w:rsidRDefault="00000000">
            <w:pPr>
              <w:pStyle w:val="TableParagraph"/>
              <w:spacing w:before="8" w:line="195" w:lineRule="exact"/>
              <w:ind w:left="16"/>
              <w:jc w:val="center"/>
              <w:rPr>
                <w:rFonts w:ascii="Verdana" w:hAnsi="Verdana"/>
                <w:sz w:val="18"/>
                <w:szCs w:val="18"/>
              </w:rPr>
            </w:pPr>
            <w:r w:rsidRPr="00EC75B7">
              <w:rPr>
                <w:rFonts w:ascii="Verdana" w:hAnsi="Verdana"/>
                <w:sz w:val="18"/>
                <w:szCs w:val="18"/>
              </w:rPr>
              <w:t xml:space="preserve">Northern Europe </w:t>
            </w:r>
            <w:r w:rsidRPr="00EC75B7">
              <w:rPr>
                <w:rFonts w:ascii="Verdana" w:hAnsi="Verdana"/>
                <w:spacing w:val="-10"/>
                <w:sz w:val="18"/>
                <w:szCs w:val="18"/>
              </w:rPr>
              <w:t>-</w:t>
            </w:r>
          </w:p>
          <w:p w14:paraId="097BC199" w14:textId="77777777" w:rsidR="008715BE" w:rsidRPr="00EC75B7" w:rsidRDefault="00000000">
            <w:pPr>
              <w:pStyle w:val="TableParagraph"/>
              <w:spacing w:line="194" w:lineRule="exact"/>
              <w:ind w:left="14"/>
              <w:jc w:val="center"/>
              <w:rPr>
                <w:rFonts w:ascii="Verdana" w:hAnsi="Verdana"/>
                <w:sz w:val="18"/>
                <w:szCs w:val="18"/>
              </w:rPr>
            </w:pPr>
            <w:r w:rsidRPr="00EC75B7">
              <w:rPr>
                <w:rFonts w:ascii="Verdana" w:hAnsi="Verdana"/>
                <w:spacing w:val="-5"/>
                <w:sz w:val="18"/>
                <w:szCs w:val="18"/>
              </w:rPr>
              <w:t>South</w:t>
            </w:r>
          </w:p>
          <w:p w14:paraId="6BBEAF85" w14:textId="77777777" w:rsidR="008715BE" w:rsidRPr="00EC75B7" w:rsidRDefault="00000000">
            <w:pPr>
              <w:pStyle w:val="TableParagraph"/>
              <w:spacing w:line="165" w:lineRule="exact"/>
              <w:ind w:left="15"/>
              <w:jc w:val="center"/>
              <w:rPr>
                <w:rFonts w:ascii="Verdana" w:hAnsi="Verdana"/>
                <w:sz w:val="18"/>
                <w:szCs w:val="18"/>
              </w:rPr>
            </w:pPr>
            <w:r w:rsidRPr="00EC75B7">
              <w:rPr>
                <w:rFonts w:ascii="Verdana" w:hAnsi="Verdana"/>
                <w:sz w:val="18"/>
                <w:szCs w:val="18"/>
              </w:rPr>
              <w:t xml:space="preserve">Eastern </w:t>
            </w:r>
            <w:r w:rsidRPr="00EC75B7">
              <w:rPr>
                <w:rFonts w:ascii="Verdana" w:hAnsi="Verdana"/>
                <w:spacing w:val="-2"/>
                <w:sz w:val="18"/>
                <w:szCs w:val="18"/>
              </w:rPr>
              <w:t>Europe</w:t>
            </w:r>
          </w:p>
        </w:tc>
        <w:tc>
          <w:tcPr>
            <w:tcW w:w="2006" w:type="dxa"/>
          </w:tcPr>
          <w:p w14:paraId="0D607037"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63">
              <w:r w:rsidR="008715BE" w:rsidRPr="00EC75B7">
                <w:rPr>
                  <w:rFonts w:ascii="Verdana" w:hAnsi="Verdana"/>
                  <w:spacing w:val="-2"/>
                  <w:sz w:val="18"/>
                  <w:szCs w:val="18"/>
                </w:rPr>
                <w:t xml:space="preserve"> https://migrationatlas</w:t>
              </w:r>
            </w:hyperlink>
          </w:p>
          <w:p w14:paraId="47BD9ADD"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71E1F7D1" w14:textId="77777777">
        <w:trPr>
          <w:trHeight w:val="314"/>
        </w:trPr>
        <w:tc>
          <w:tcPr>
            <w:tcW w:w="569" w:type="dxa"/>
          </w:tcPr>
          <w:p w14:paraId="01024C5D"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10</w:t>
            </w:r>
          </w:p>
        </w:tc>
        <w:tc>
          <w:tcPr>
            <w:tcW w:w="2150" w:type="dxa"/>
          </w:tcPr>
          <w:p w14:paraId="5038390B"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Carduelis </w:t>
            </w:r>
            <w:r w:rsidRPr="00EC75B7">
              <w:rPr>
                <w:rFonts w:ascii="Verdana" w:hAnsi="Verdana"/>
                <w:i/>
                <w:spacing w:val="-2"/>
                <w:sz w:val="18"/>
                <w:szCs w:val="18"/>
              </w:rPr>
              <w:t>carduelis</w:t>
            </w:r>
          </w:p>
        </w:tc>
        <w:tc>
          <w:tcPr>
            <w:tcW w:w="1927" w:type="dxa"/>
          </w:tcPr>
          <w:p w14:paraId="17F129C0"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Goldfinch</w:t>
            </w:r>
          </w:p>
        </w:tc>
        <w:tc>
          <w:tcPr>
            <w:tcW w:w="1449" w:type="dxa"/>
          </w:tcPr>
          <w:p w14:paraId="19DB6605" w14:textId="77777777" w:rsidR="008715BE" w:rsidRPr="00EC75B7" w:rsidRDefault="00000000">
            <w:pPr>
              <w:pStyle w:val="TableParagraph"/>
              <w:spacing w:before="68"/>
              <w:ind w:left="19" w:right="3"/>
              <w:jc w:val="center"/>
              <w:rPr>
                <w:rFonts w:ascii="Verdana" w:hAnsi="Verdana"/>
                <w:sz w:val="18"/>
                <w:szCs w:val="18"/>
              </w:rPr>
            </w:pPr>
            <w:r w:rsidRPr="00EC75B7">
              <w:rPr>
                <w:rFonts w:ascii="Verdana" w:hAnsi="Verdana"/>
                <w:spacing w:val="-5"/>
                <w:sz w:val="18"/>
                <w:szCs w:val="18"/>
              </w:rPr>
              <w:t>10</w:t>
            </w:r>
          </w:p>
        </w:tc>
        <w:tc>
          <w:tcPr>
            <w:tcW w:w="1842" w:type="dxa"/>
          </w:tcPr>
          <w:p w14:paraId="10E59B4C"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53835F0A"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4FC06A3F" w14:textId="77777777">
        <w:trPr>
          <w:trHeight w:val="316"/>
        </w:trPr>
        <w:tc>
          <w:tcPr>
            <w:tcW w:w="569" w:type="dxa"/>
          </w:tcPr>
          <w:p w14:paraId="04ED106E"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11</w:t>
            </w:r>
          </w:p>
        </w:tc>
        <w:tc>
          <w:tcPr>
            <w:tcW w:w="2150" w:type="dxa"/>
          </w:tcPr>
          <w:p w14:paraId="159BF70C"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Green</w:t>
            </w:r>
            <w:r w:rsidRPr="00EC75B7">
              <w:rPr>
                <w:rFonts w:ascii="Verdana" w:hAnsi="Verdana"/>
                <w:i/>
                <w:spacing w:val="-2"/>
                <w:sz w:val="18"/>
                <w:szCs w:val="18"/>
              </w:rPr>
              <w:t>fin</w:t>
            </w:r>
            <w:r w:rsidRPr="00EC75B7">
              <w:rPr>
                <w:rFonts w:ascii="Verdana" w:hAnsi="Verdana"/>
                <w:i/>
                <w:sz w:val="18"/>
                <w:szCs w:val="18"/>
              </w:rPr>
              <w:t>ch</w:t>
            </w:r>
          </w:p>
        </w:tc>
        <w:tc>
          <w:tcPr>
            <w:tcW w:w="1927" w:type="dxa"/>
          </w:tcPr>
          <w:p w14:paraId="1B614BD9"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2"/>
                <w:sz w:val="18"/>
                <w:szCs w:val="18"/>
              </w:rPr>
              <w:t>Florinte</w:t>
            </w:r>
          </w:p>
        </w:tc>
        <w:tc>
          <w:tcPr>
            <w:tcW w:w="1449" w:type="dxa"/>
          </w:tcPr>
          <w:p w14:paraId="7EA7780E"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46</w:t>
            </w:r>
          </w:p>
        </w:tc>
        <w:tc>
          <w:tcPr>
            <w:tcW w:w="1842" w:type="dxa"/>
          </w:tcPr>
          <w:p w14:paraId="79B5A213" w14:textId="77777777" w:rsidR="008715BE" w:rsidRPr="00EC75B7" w:rsidRDefault="00000000">
            <w:pPr>
              <w:pStyle w:val="TableParagraph"/>
              <w:spacing w:before="10"/>
              <w:ind w:left="16"/>
              <w:jc w:val="center"/>
              <w:rPr>
                <w:rFonts w:ascii="Verdana" w:hAnsi="Verdana"/>
                <w:sz w:val="18"/>
                <w:szCs w:val="18"/>
              </w:rPr>
            </w:pPr>
            <w:r w:rsidRPr="00EC75B7">
              <w:rPr>
                <w:rFonts w:ascii="Verdana" w:hAnsi="Verdana"/>
                <w:sz w:val="18"/>
                <w:szCs w:val="18"/>
              </w:rPr>
              <w:t>-</w:t>
            </w:r>
          </w:p>
        </w:tc>
        <w:tc>
          <w:tcPr>
            <w:tcW w:w="2006" w:type="dxa"/>
          </w:tcPr>
          <w:p w14:paraId="4817AFCF" w14:textId="77777777" w:rsidR="008715BE" w:rsidRPr="00EC75B7" w:rsidRDefault="00000000">
            <w:pPr>
              <w:pStyle w:val="TableParagraph"/>
              <w:spacing w:before="10"/>
              <w:ind w:left="19"/>
              <w:jc w:val="center"/>
              <w:rPr>
                <w:rFonts w:ascii="Verdana" w:hAnsi="Verdana"/>
                <w:sz w:val="18"/>
                <w:szCs w:val="18"/>
              </w:rPr>
            </w:pPr>
            <w:r w:rsidRPr="00EC75B7">
              <w:rPr>
                <w:rFonts w:ascii="Verdana" w:hAnsi="Verdana"/>
                <w:sz w:val="18"/>
                <w:szCs w:val="18"/>
              </w:rPr>
              <w:t>-</w:t>
            </w:r>
          </w:p>
        </w:tc>
      </w:tr>
      <w:tr w:rsidR="008715BE" w:rsidRPr="00EC75B7" w14:paraId="3B2007B5" w14:textId="77777777">
        <w:trPr>
          <w:trHeight w:val="971"/>
        </w:trPr>
        <w:tc>
          <w:tcPr>
            <w:tcW w:w="569" w:type="dxa"/>
          </w:tcPr>
          <w:p w14:paraId="23B8C8C2" w14:textId="77777777" w:rsidR="008715BE" w:rsidRPr="00EC75B7" w:rsidRDefault="008715BE">
            <w:pPr>
              <w:pStyle w:val="TableParagraph"/>
              <w:rPr>
                <w:rFonts w:ascii="Verdana" w:hAnsi="Verdana"/>
                <w:sz w:val="18"/>
                <w:szCs w:val="18"/>
              </w:rPr>
            </w:pPr>
          </w:p>
          <w:p w14:paraId="02FA741A" w14:textId="77777777" w:rsidR="008715BE" w:rsidRPr="00EC75B7" w:rsidRDefault="008715BE">
            <w:pPr>
              <w:pStyle w:val="TableParagraph"/>
              <w:spacing w:before="6"/>
              <w:rPr>
                <w:rFonts w:ascii="Verdana" w:hAnsi="Verdana"/>
                <w:sz w:val="18"/>
                <w:szCs w:val="18"/>
              </w:rPr>
            </w:pPr>
          </w:p>
          <w:p w14:paraId="5D44B0B5"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12</w:t>
            </w:r>
          </w:p>
        </w:tc>
        <w:tc>
          <w:tcPr>
            <w:tcW w:w="2150" w:type="dxa"/>
          </w:tcPr>
          <w:p w14:paraId="2F3BF07D" w14:textId="77777777" w:rsidR="008715BE" w:rsidRPr="00EC75B7" w:rsidRDefault="008715BE">
            <w:pPr>
              <w:pStyle w:val="TableParagraph"/>
              <w:rPr>
                <w:rFonts w:ascii="Verdana" w:hAnsi="Verdana"/>
                <w:sz w:val="18"/>
                <w:szCs w:val="18"/>
              </w:rPr>
            </w:pPr>
          </w:p>
          <w:p w14:paraId="2985C8FF" w14:textId="77777777" w:rsidR="008715BE" w:rsidRPr="00EC75B7" w:rsidRDefault="008715BE">
            <w:pPr>
              <w:pStyle w:val="TableParagraph"/>
              <w:spacing w:before="6"/>
              <w:rPr>
                <w:rFonts w:ascii="Verdana" w:hAnsi="Verdana"/>
                <w:sz w:val="18"/>
                <w:szCs w:val="18"/>
              </w:rPr>
            </w:pPr>
          </w:p>
          <w:p w14:paraId="0C7CB376"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Ciconia </w:t>
            </w:r>
            <w:r w:rsidRPr="00EC75B7">
              <w:rPr>
                <w:rFonts w:ascii="Verdana" w:hAnsi="Verdana"/>
                <w:i/>
                <w:spacing w:val="-2"/>
                <w:sz w:val="18"/>
                <w:szCs w:val="18"/>
              </w:rPr>
              <w:t>ciconia</w:t>
            </w:r>
          </w:p>
        </w:tc>
        <w:tc>
          <w:tcPr>
            <w:tcW w:w="1927" w:type="dxa"/>
          </w:tcPr>
          <w:p w14:paraId="26FD5AA9" w14:textId="77777777" w:rsidR="008715BE" w:rsidRPr="00EC75B7" w:rsidRDefault="008715BE">
            <w:pPr>
              <w:pStyle w:val="TableParagraph"/>
              <w:rPr>
                <w:rFonts w:ascii="Verdana" w:hAnsi="Verdana"/>
                <w:sz w:val="18"/>
                <w:szCs w:val="18"/>
              </w:rPr>
            </w:pPr>
          </w:p>
          <w:p w14:paraId="608BBFFD" w14:textId="77777777" w:rsidR="008715BE" w:rsidRPr="00EC75B7" w:rsidRDefault="008715BE">
            <w:pPr>
              <w:pStyle w:val="TableParagraph"/>
              <w:spacing w:before="6"/>
              <w:rPr>
                <w:rFonts w:ascii="Verdana" w:hAnsi="Verdana"/>
                <w:sz w:val="18"/>
                <w:szCs w:val="18"/>
              </w:rPr>
            </w:pPr>
          </w:p>
          <w:p w14:paraId="6C512865" w14:textId="77777777" w:rsidR="008715BE" w:rsidRPr="00EC75B7" w:rsidRDefault="00000000">
            <w:pPr>
              <w:pStyle w:val="TableParagraph"/>
              <w:ind w:left="108"/>
              <w:rPr>
                <w:rFonts w:ascii="Verdana" w:hAnsi="Verdana"/>
                <w:sz w:val="18"/>
                <w:szCs w:val="18"/>
              </w:rPr>
            </w:pPr>
            <w:r w:rsidRPr="00EC75B7">
              <w:rPr>
                <w:rFonts w:ascii="Verdana" w:hAnsi="Verdana"/>
                <w:spacing w:val="-4"/>
                <w:sz w:val="18"/>
                <w:szCs w:val="18"/>
              </w:rPr>
              <w:t xml:space="preserve">White </w:t>
            </w:r>
            <w:r w:rsidRPr="00EC75B7">
              <w:rPr>
                <w:rFonts w:ascii="Verdana" w:hAnsi="Verdana"/>
                <w:sz w:val="18"/>
                <w:szCs w:val="18"/>
              </w:rPr>
              <w:t>stork</w:t>
            </w:r>
          </w:p>
        </w:tc>
        <w:tc>
          <w:tcPr>
            <w:tcW w:w="1449" w:type="dxa"/>
          </w:tcPr>
          <w:p w14:paraId="0087A295" w14:textId="77777777" w:rsidR="008715BE" w:rsidRPr="00EC75B7" w:rsidRDefault="008715BE">
            <w:pPr>
              <w:pStyle w:val="TableParagraph"/>
              <w:rPr>
                <w:rFonts w:ascii="Verdana" w:hAnsi="Verdana"/>
                <w:sz w:val="18"/>
                <w:szCs w:val="18"/>
              </w:rPr>
            </w:pPr>
          </w:p>
          <w:p w14:paraId="6E74D337" w14:textId="77777777" w:rsidR="008715BE" w:rsidRPr="00EC75B7" w:rsidRDefault="008715BE">
            <w:pPr>
              <w:pStyle w:val="TableParagraph"/>
              <w:spacing w:before="6"/>
              <w:rPr>
                <w:rFonts w:ascii="Verdana" w:hAnsi="Verdana"/>
                <w:sz w:val="18"/>
                <w:szCs w:val="18"/>
              </w:rPr>
            </w:pPr>
          </w:p>
          <w:p w14:paraId="12D7E1D1"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93</w:t>
            </w:r>
          </w:p>
        </w:tc>
        <w:tc>
          <w:tcPr>
            <w:tcW w:w="1842" w:type="dxa"/>
          </w:tcPr>
          <w:p w14:paraId="7EFEBF1A" w14:textId="77777777" w:rsidR="008715BE" w:rsidRPr="00EC75B7" w:rsidRDefault="00000000">
            <w:pPr>
              <w:pStyle w:val="TableParagraph"/>
              <w:spacing w:before="8"/>
              <w:ind w:left="474" w:right="129" w:hanging="324"/>
              <w:rPr>
                <w:rFonts w:ascii="Verdana" w:hAnsi="Verdana"/>
                <w:sz w:val="18"/>
                <w:szCs w:val="18"/>
              </w:rPr>
            </w:pPr>
            <w:r w:rsidRPr="00EC75B7">
              <w:rPr>
                <w:rFonts w:ascii="Verdana" w:hAnsi="Verdana"/>
                <w:sz w:val="18"/>
                <w:szCs w:val="18"/>
              </w:rPr>
              <w:t>Southeast Europe - East Africa</w:t>
            </w:r>
          </w:p>
        </w:tc>
        <w:tc>
          <w:tcPr>
            <w:tcW w:w="2006" w:type="dxa"/>
          </w:tcPr>
          <w:p w14:paraId="0DF640C9" w14:textId="77777777" w:rsidR="008715BE" w:rsidRPr="00EC75B7" w:rsidRDefault="00000000">
            <w:pPr>
              <w:pStyle w:val="TableParagraph"/>
              <w:spacing w:line="194" w:lineRule="exact"/>
              <w:ind w:left="150" w:right="131" w:firstLine="2"/>
              <w:jc w:val="center"/>
              <w:rPr>
                <w:rFonts w:ascii="Verdana" w:hAnsi="Verdana"/>
                <w:sz w:val="18"/>
                <w:szCs w:val="18"/>
              </w:rPr>
            </w:pPr>
            <w:r w:rsidRPr="00EC75B7">
              <w:rPr>
                <w:rFonts w:ascii="Verdana" w:hAnsi="Verdana"/>
                <w:sz w:val="18"/>
                <w:szCs w:val="18"/>
              </w:rPr>
              <w:t>Satellite tracking -</w:t>
            </w:r>
            <w:hyperlink r:id="rId64">
              <w:r w:rsidR="008715BE" w:rsidRPr="00EC75B7">
                <w:rPr>
                  <w:rFonts w:ascii="Verdana" w:hAnsi="Verdana"/>
                  <w:spacing w:val="-2"/>
                  <w:sz w:val="18"/>
                  <w:szCs w:val="18"/>
                </w:rPr>
                <w:t xml:space="preserve"> https://satellitetracki ng.eu/inds/show map/?check_273=27</w:t>
              </w:r>
            </w:hyperlink>
            <w:r w:rsidRPr="00EC75B7">
              <w:rPr>
                <w:rFonts w:ascii="Verdana" w:hAnsi="Verdana"/>
                <w:spacing w:val="-10"/>
                <w:sz w:val="18"/>
                <w:szCs w:val="18"/>
              </w:rPr>
              <w:t xml:space="preserve"> 3</w:t>
            </w:r>
          </w:p>
        </w:tc>
      </w:tr>
      <w:tr w:rsidR="008715BE" w:rsidRPr="00EC75B7" w14:paraId="273EBB0B" w14:textId="77777777">
        <w:trPr>
          <w:trHeight w:val="972"/>
        </w:trPr>
        <w:tc>
          <w:tcPr>
            <w:tcW w:w="569" w:type="dxa"/>
          </w:tcPr>
          <w:p w14:paraId="56D4766E" w14:textId="77777777" w:rsidR="008715BE" w:rsidRPr="00EC75B7" w:rsidRDefault="008715BE">
            <w:pPr>
              <w:pStyle w:val="TableParagraph"/>
              <w:rPr>
                <w:rFonts w:ascii="Verdana" w:hAnsi="Verdana"/>
                <w:sz w:val="18"/>
                <w:szCs w:val="18"/>
              </w:rPr>
            </w:pPr>
          </w:p>
          <w:p w14:paraId="2FD04556" w14:textId="77777777" w:rsidR="008715BE" w:rsidRPr="00EC75B7" w:rsidRDefault="008715BE">
            <w:pPr>
              <w:pStyle w:val="TableParagraph"/>
              <w:spacing w:before="7"/>
              <w:rPr>
                <w:rFonts w:ascii="Verdana" w:hAnsi="Verdana"/>
                <w:sz w:val="18"/>
                <w:szCs w:val="18"/>
              </w:rPr>
            </w:pPr>
          </w:p>
          <w:p w14:paraId="6400B2E1"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13</w:t>
            </w:r>
          </w:p>
        </w:tc>
        <w:tc>
          <w:tcPr>
            <w:tcW w:w="2150" w:type="dxa"/>
          </w:tcPr>
          <w:p w14:paraId="09DB5C40" w14:textId="77777777" w:rsidR="008715BE" w:rsidRPr="00EC75B7" w:rsidRDefault="008715BE">
            <w:pPr>
              <w:pStyle w:val="TableParagraph"/>
              <w:rPr>
                <w:rFonts w:ascii="Verdana" w:hAnsi="Verdana"/>
                <w:sz w:val="18"/>
                <w:szCs w:val="18"/>
              </w:rPr>
            </w:pPr>
          </w:p>
          <w:p w14:paraId="3F6EB60D" w14:textId="77777777" w:rsidR="008715BE" w:rsidRPr="00EC75B7" w:rsidRDefault="008715BE">
            <w:pPr>
              <w:pStyle w:val="TableParagraph"/>
              <w:spacing w:before="7"/>
              <w:rPr>
                <w:rFonts w:ascii="Verdana" w:hAnsi="Verdana"/>
                <w:sz w:val="18"/>
                <w:szCs w:val="18"/>
              </w:rPr>
            </w:pPr>
          </w:p>
          <w:p w14:paraId="154AF069"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Ciconia </w:t>
            </w:r>
            <w:r w:rsidRPr="00EC75B7">
              <w:rPr>
                <w:rFonts w:ascii="Verdana" w:hAnsi="Verdana"/>
                <w:i/>
                <w:spacing w:val="-2"/>
                <w:sz w:val="18"/>
                <w:szCs w:val="18"/>
              </w:rPr>
              <w:t>nigra</w:t>
            </w:r>
          </w:p>
        </w:tc>
        <w:tc>
          <w:tcPr>
            <w:tcW w:w="1927" w:type="dxa"/>
          </w:tcPr>
          <w:p w14:paraId="76F59DE5" w14:textId="77777777" w:rsidR="008715BE" w:rsidRPr="00EC75B7" w:rsidRDefault="008715BE">
            <w:pPr>
              <w:pStyle w:val="TableParagraph"/>
              <w:rPr>
                <w:rFonts w:ascii="Verdana" w:hAnsi="Verdana"/>
                <w:sz w:val="18"/>
                <w:szCs w:val="18"/>
              </w:rPr>
            </w:pPr>
          </w:p>
          <w:p w14:paraId="47B74B68" w14:textId="77777777" w:rsidR="008715BE" w:rsidRPr="00EC75B7" w:rsidRDefault="008715BE">
            <w:pPr>
              <w:pStyle w:val="TableParagraph"/>
              <w:spacing w:before="7"/>
              <w:rPr>
                <w:rFonts w:ascii="Verdana" w:hAnsi="Verdana"/>
                <w:sz w:val="18"/>
                <w:szCs w:val="18"/>
              </w:rPr>
            </w:pPr>
          </w:p>
          <w:p w14:paraId="5DD4C04D"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Black </w:t>
            </w:r>
            <w:r w:rsidRPr="00EC75B7">
              <w:rPr>
                <w:rFonts w:ascii="Verdana" w:hAnsi="Verdana"/>
                <w:sz w:val="18"/>
                <w:szCs w:val="18"/>
              </w:rPr>
              <w:t>stork</w:t>
            </w:r>
          </w:p>
        </w:tc>
        <w:tc>
          <w:tcPr>
            <w:tcW w:w="1449" w:type="dxa"/>
          </w:tcPr>
          <w:p w14:paraId="45E23CEA" w14:textId="77777777" w:rsidR="008715BE" w:rsidRPr="00EC75B7" w:rsidRDefault="008715BE">
            <w:pPr>
              <w:pStyle w:val="TableParagraph"/>
              <w:rPr>
                <w:rFonts w:ascii="Verdana" w:hAnsi="Verdana"/>
                <w:sz w:val="18"/>
                <w:szCs w:val="18"/>
              </w:rPr>
            </w:pPr>
          </w:p>
          <w:p w14:paraId="1347A8EA" w14:textId="77777777" w:rsidR="008715BE" w:rsidRPr="00EC75B7" w:rsidRDefault="008715BE">
            <w:pPr>
              <w:pStyle w:val="TableParagraph"/>
              <w:spacing w:before="7"/>
              <w:rPr>
                <w:rFonts w:ascii="Verdana" w:hAnsi="Verdana"/>
                <w:sz w:val="18"/>
                <w:szCs w:val="18"/>
              </w:rPr>
            </w:pPr>
          </w:p>
          <w:p w14:paraId="3F27CC8F"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1</w:t>
            </w:r>
          </w:p>
        </w:tc>
        <w:tc>
          <w:tcPr>
            <w:tcW w:w="1842" w:type="dxa"/>
          </w:tcPr>
          <w:p w14:paraId="74DF6296" w14:textId="64327830" w:rsidR="008715BE" w:rsidRPr="00EC75B7" w:rsidRDefault="00000000">
            <w:pPr>
              <w:pStyle w:val="TableParagraph"/>
              <w:spacing w:before="8"/>
              <w:ind w:left="618" w:hanging="504"/>
              <w:rPr>
                <w:rFonts w:ascii="Verdana" w:hAnsi="Verdana"/>
                <w:sz w:val="18"/>
                <w:szCs w:val="18"/>
              </w:rPr>
            </w:pPr>
            <w:r w:rsidRPr="00EC75B7">
              <w:rPr>
                <w:rFonts w:ascii="Verdana" w:hAnsi="Verdana"/>
                <w:sz w:val="18"/>
                <w:szCs w:val="18"/>
              </w:rPr>
              <w:t xml:space="preserve">East Africa -Northern </w:t>
            </w:r>
            <w:r w:rsidRPr="00EC75B7">
              <w:rPr>
                <w:rFonts w:ascii="Verdana" w:hAnsi="Verdana"/>
                <w:spacing w:val="-2"/>
                <w:sz w:val="18"/>
                <w:szCs w:val="18"/>
              </w:rPr>
              <w:t>Europe</w:t>
            </w:r>
          </w:p>
        </w:tc>
        <w:tc>
          <w:tcPr>
            <w:tcW w:w="2006" w:type="dxa"/>
          </w:tcPr>
          <w:p w14:paraId="38D61020" w14:textId="77777777" w:rsidR="008715BE" w:rsidRPr="00EC75B7" w:rsidRDefault="00000000">
            <w:pPr>
              <w:pStyle w:val="TableParagraph"/>
              <w:spacing w:before="8"/>
              <w:ind w:left="118" w:right="100" w:firstLine="5"/>
              <w:jc w:val="center"/>
              <w:rPr>
                <w:rFonts w:ascii="Verdana" w:hAnsi="Verdana"/>
                <w:sz w:val="18"/>
                <w:szCs w:val="18"/>
              </w:rPr>
            </w:pPr>
            <w:r w:rsidRPr="00EC75B7">
              <w:rPr>
                <w:rFonts w:ascii="Verdana" w:hAnsi="Verdana"/>
                <w:sz w:val="18"/>
                <w:szCs w:val="18"/>
              </w:rPr>
              <w:t>Birdmap -</w:t>
            </w:r>
            <w:hyperlink r:id="rId65">
              <w:r w:rsidR="008715BE" w:rsidRPr="00EC75B7">
                <w:rPr>
                  <w:rFonts w:ascii="Verdana" w:hAnsi="Verdana"/>
                  <w:spacing w:val="-2"/>
                  <w:sz w:val="18"/>
                  <w:szCs w:val="18"/>
                </w:rPr>
                <w:t xml:space="preserve"> https://birdmap.5dvis ion.ee/EN/202 3/autumn/?line=1&amp;tr</w:t>
              </w:r>
            </w:hyperlink>
          </w:p>
          <w:p w14:paraId="07356A61" w14:textId="77777777" w:rsidR="008715BE" w:rsidRPr="00EC75B7" w:rsidRDefault="00000000">
            <w:pPr>
              <w:pStyle w:val="TableParagraph"/>
              <w:spacing w:line="163" w:lineRule="exact"/>
              <w:ind w:left="18"/>
              <w:jc w:val="center"/>
              <w:rPr>
                <w:rFonts w:ascii="Verdana" w:hAnsi="Verdana"/>
                <w:sz w:val="18"/>
                <w:szCs w:val="18"/>
              </w:rPr>
            </w:pPr>
            <w:r w:rsidRPr="00EC75B7">
              <w:rPr>
                <w:rFonts w:ascii="Verdana" w:hAnsi="Verdana"/>
                <w:spacing w:val="-2"/>
                <w:sz w:val="18"/>
                <w:szCs w:val="18"/>
              </w:rPr>
              <w:t>ack=0&amp;speed=1</w:t>
            </w:r>
          </w:p>
        </w:tc>
      </w:tr>
      <w:tr w:rsidR="008715BE" w:rsidRPr="00EC75B7" w14:paraId="79A97450" w14:textId="77777777">
        <w:trPr>
          <w:trHeight w:val="585"/>
        </w:trPr>
        <w:tc>
          <w:tcPr>
            <w:tcW w:w="569" w:type="dxa"/>
          </w:tcPr>
          <w:p w14:paraId="2C9A6A7E" w14:textId="77777777" w:rsidR="008715BE" w:rsidRPr="00EC75B7" w:rsidRDefault="008715BE">
            <w:pPr>
              <w:pStyle w:val="TableParagraph"/>
              <w:spacing w:before="9"/>
              <w:rPr>
                <w:rFonts w:ascii="Verdana" w:hAnsi="Verdana"/>
                <w:sz w:val="18"/>
                <w:szCs w:val="18"/>
              </w:rPr>
            </w:pPr>
          </w:p>
          <w:p w14:paraId="3AF420EA"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14</w:t>
            </w:r>
          </w:p>
        </w:tc>
        <w:tc>
          <w:tcPr>
            <w:tcW w:w="2150" w:type="dxa"/>
          </w:tcPr>
          <w:p w14:paraId="429F933D" w14:textId="77777777" w:rsidR="008715BE" w:rsidRPr="00EC75B7" w:rsidRDefault="008715BE">
            <w:pPr>
              <w:pStyle w:val="TableParagraph"/>
              <w:spacing w:before="9"/>
              <w:rPr>
                <w:rFonts w:ascii="Verdana" w:hAnsi="Verdana"/>
                <w:sz w:val="18"/>
                <w:szCs w:val="18"/>
              </w:rPr>
            </w:pPr>
          </w:p>
          <w:p w14:paraId="7EE06A04"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Circaetus </w:t>
            </w:r>
            <w:r w:rsidRPr="00EC75B7">
              <w:rPr>
                <w:rFonts w:ascii="Verdana" w:hAnsi="Verdana"/>
                <w:i/>
                <w:spacing w:val="-2"/>
                <w:sz w:val="18"/>
                <w:szCs w:val="18"/>
              </w:rPr>
              <w:t>gallicus</w:t>
            </w:r>
          </w:p>
        </w:tc>
        <w:tc>
          <w:tcPr>
            <w:tcW w:w="1927" w:type="dxa"/>
          </w:tcPr>
          <w:p w14:paraId="02501A03" w14:textId="77777777" w:rsidR="008715BE" w:rsidRPr="00EC75B7" w:rsidRDefault="008715BE">
            <w:pPr>
              <w:pStyle w:val="TableParagraph"/>
              <w:spacing w:before="9"/>
              <w:rPr>
                <w:rFonts w:ascii="Verdana" w:hAnsi="Verdana"/>
                <w:sz w:val="18"/>
                <w:szCs w:val="18"/>
              </w:rPr>
            </w:pPr>
          </w:p>
          <w:p w14:paraId="5602909F"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Short-toed snake eagle</w:t>
            </w:r>
          </w:p>
        </w:tc>
        <w:tc>
          <w:tcPr>
            <w:tcW w:w="1449" w:type="dxa"/>
          </w:tcPr>
          <w:p w14:paraId="3B73120F" w14:textId="77777777" w:rsidR="008715BE" w:rsidRPr="00EC75B7" w:rsidRDefault="008715BE">
            <w:pPr>
              <w:pStyle w:val="TableParagraph"/>
              <w:spacing w:before="9"/>
              <w:rPr>
                <w:rFonts w:ascii="Verdana" w:hAnsi="Verdana"/>
                <w:sz w:val="18"/>
                <w:szCs w:val="18"/>
              </w:rPr>
            </w:pPr>
          </w:p>
          <w:p w14:paraId="4888A250"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1</w:t>
            </w:r>
          </w:p>
        </w:tc>
        <w:tc>
          <w:tcPr>
            <w:tcW w:w="1842" w:type="dxa"/>
          </w:tcPr>
          <w:p w14:paraId="3CC7C13D" w14:textId="77777777" w:rsidR="008715BE" w:rsidRPr="00EC75B7" w:rsidRDefault="00000000">
            <w:pPr>
              <w:pStyle w:val="TableParagraph"/>
              <w:spacing w:line="194" w:lineRule="exact"/>
              <w:ind w:left="618" w:right="242" w:hanging="358"/>
              <w:rPr>
                <w:rFonts w:ascii="Verdana" w:hAnsi="Verdana"/>
                <w:sz w:val="18"/>
                <w:szCs w:val="18"/>
              </w:rPr>
            </w:pPr>
            <w:r w:rsidRPr="00EC75B7">
              <w:rPr>
                <w:rFonts w:ascii="Verdana" w:hAnsi="Verdana"/>
                <w:spacing w:val="-2"/>
                <w:sz w:val="18"/>
                <w:szCs w:val="18"/>
              </w:rPr>
              <w:t>Northern Europe - Southern Europe</w:t>
            </w:r>
          </w:p>
        </w:tc>
        <w:tc>
          <w:tcPr>
            <w:tcW w:w="2006" w:type="dxa"/>
          </w:tcPr>
          <w:p w14:paraId="564D0365" w14:textId="77777777" w:rsidR="008715BE" w:rsidRPr="00EC75B7" w:rsidRDefault="00000000">
            <w:pPr>
              <w:pStyle w:val="TableParagraph"/>
              <w:spacing w:before="10"/>
              <w:ind w:left="116" w:right="100" w:firstLine="259"/>
              <w:rPr>
                <w:rFonts w:ascii="Verdana" w:hAnsi="Verdana"/>
                <w:sz w:val="18"/>
                <w:szCs w:val="18"/>
              </w:rPr>
            </w:pPr>
            <w:r w:rsidRPr="00EC75B7">
              <w:rPr>
                <w:rFonts w:ascii="Verdana" w:hAnsi="Verdana"/>
                <w:sz w:val="18"/>
                <w:szCs w:val="18"/>
              </w:rPr>
              <w:t>Migrationatlas -</w:t>
            </w:r>
            <w:hyperlink r:id="rId66">
              <w:r w:rsidR="008715BE" w:rsidRPr="00EC75B7">
                <w:rPr>
                  <w:rFonts w:ascii="Verdana" w:hAnsi="Verdana"/>
                  <w:spacing w:val="-2"/>
                  <w:sz w:val="18"/>
                  <w:szCs w:val="18"/>
                </w:rPr>
                <w:t xml:space="preserve"> https://migrationatlas</w:t>
              </w:r>
            </w:hyperlink>
          </w:p>
          <w:p w14:paraId="63882968"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25F0433" w14:textId="77777777">
        <w:trPr>
          <w:trHeight w:val="313"/>
        </w:trPr>
        <w:tc>
          <w:tcPr>
            <w:tcW w:w="569" w:type="dxa"/>
          </w:tcPr>
          <w:p w14:paraId="74E012BA"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15</w:t>
            </w:r>
          </w:p>
        </w:tc>
        <w:tc>
          <w:tcPr>
            <w:tcW w:w="2150" w:type="dxa"/>
          </w:tcPr>
          <w:p w14:paraId="533B588A"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aeruginosus</w:t>
            </w:r>
          </w:p>
        </w:tc>
        <w:tc>
          <w:tcPr>
            <w:tcW w:w="1927" w:type="dxa"/>
          </w:tcPr>
          <w:p w14:paraId="26C0806C" w14:textId="77777777" w:rsidR="008715BE" w:rsidRPr="00EC75B7" w:rsidRDefault="00000000">
            <w:pPr>
              <w:pStyle w:val="TableParagraph"/>
              <w:spacing w:before="68"/>
              <w:ind w:left="108"/>
              <w:rPr>
                <w:rFonts w:ascii="Verdana" w:hAnsi="Verdana"/>
                <w:sz w:val="18"/>
                <w:szCs w:val="18"/>
              </w:rPr>
            </w:pPr>
            <w:r w:rsidRPr="00EC75B7">
              <w:rPr>
                <w:rFonts w:ascii="Verdana" w:hAnsi="Verdana"/>
                <w:sz w:val="18"/>
                <w:szCs w:val="18"/>
              </w:rPr>
              <w:t xml:space="preserve">Reed </w:t>
            </w:r>
            <w:r w:rsidRPr="00EC75B7">
              <w:rPr>
                <w:rFonts w:ascii="Verdana" w:hAnsi="Verdana"/>
                <w:spacing w:val="-4"/>
                <w:sz w:val="18"/>
                <w:szCs w:val="18"/>
              </w:rPr>
              <w:t>warbler</w:t>
            </w:r>
          </w:p>
        </w:tc>
        <w:tc>
          <w:tcPr>
            <w:tcW w:w="1449" w:type="dxa"/>
          </w:tcPr>
          <w:p w14:paraId="420B845A"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37</w:t>
            </w:r>
          </w:p>
        </w:tc>
        <w:tc>
          <w:tcPr>
            <w:tcW w:w="1842" w:type="dxa"/>
          </w:tcPr>
          <w:p w14:paraId="4EE157B9"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35EF24AE"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2DA7B35D" w14:textId="77777777">
        <w:trPr>
          <w:trHeight w:val="313"/>
        </w:trPr>
        <w:tc>
          <w:tcPr>
            <w:tcW w:w="569" w:type="dxa"/>
          </w:tcPr>
          <w:p w14:paraId="0230DBF8"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16</w:t>
            </w:r>
          </w:p>
        </w:tc>
        <w:tc>
          <w:tcPr>
            <w:tcW w:w="2150" w:type="dxa"/>
          </w:tcPr>
          <w:p w14:paraId="2773587E"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cyaneus</w:t>
            </w:r>
          </w:p>
        </w:tc>
        <w:tc>
          <w:tcPr>
            <w:tcW w:w="1927" w:type="dxa"/>
          </w:tcPr>
          <w:p w14:paraId="0F169160" w14:textId="77777777" w:rsidR="008715BE" w:rsidRPr="00EC75B7" w:rsidRDefault="00000000">
            <w:pPr>
              <w:pStyle w:val="TableParagraph"/>
              <w:spacing w:before="68"/>
              <w:ind w:left="108"/>
              <w:rPr>
                <w:rFonts w:ascii="Verdana" w:hAnsi="Verdana"/>
                <w:sz w:val="18"/>
                <w:szCs w:val="18"/>
              </w:rPr>
            </w:pPr>
            <w:r w:rsidRPr="00EC75B7">
              <w:rPr>
                <w:rFonts w:ascii="Verdana" w:hAnsi="Verdana"/>
                <w:sz w:val="18"/>
                <w:szCs w:val="18"/>
              </w:rPr>
              <w:t xml:space="preserve">Blue-winged </w:t>
            </w:r>
            <w:r w:rsidRPr="00EC75B7">
              <w:rPr>
                <w:rFonts w:ascii="Verdana" w:hAnsi="Verdana"/>
                <w:spacing w:val="-2"/>
                <w:sz w:val="18"/>
                <w:szCs w:val="18"/>
              </w:rPr>
              <w:t>teal</w:t>
            </w:r>
          </w:p>
        </w:tc>
        <w:tc>
          <w:tcPr>
            <w:tcW w:w="1449" w:type="dxa"/>
          </w:tcPr>
          <w:p w14:paraId="6FD3D1CF"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7</w:t>
            </w:r>
          </w:p>
        </w:tc>
        <w:tc>
          <w:tcPr>
            <w:tcW w:w="1842" w:type="dxa"/>
          </w:tcPr>
          <w:p w14:paraId="2C24EC69"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1F8E3583"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366FD8BC" w14:textId="77777777">
        <w:trPr>
          <w:trHeight w:val="316"/>
        </w:trPr>
        <w:tc>
          <w:tcPr>
            <w:tcW w:w="569" w:type="dxa"/>
          </w:tcPr>
          <w:p w14:paraId="1598C949"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17</w:t>
            </w:r>
          </w:p>
        </w:tc>
        <w:tc>
          <w:tcPr>
            <w:tcW w:w="2150" w:type="dxa"/>
          </w:tcPr>
          <w:p w14:paraId="216EA879"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pygargus</w:t>
            </w:r>
          </w:p>
        </w:tc>
        <w:tc>
          <w:tcPr>
            <w:tcW w:w="1927" w:type="dxa"/>
          </w:tcPr>
          <w:p w14:paraId="2D41F137" w14:textId="77777777" w:rsidR="008715BE" w:rsidRPr="00EC75B7" w:rsidRDefault="00000000">
            <w:pPr>
              <w:pStyle w:val="TableParagraph"/>
              <w:spacing w:before="70"/>
              <w:ind w:left="108"/>
              <w:rPr>
                <w:rFonts w:ascii="Verdana" w:hAnsi="Verdana"/>
                <w:sz w:val="18"/>
                <w:szCs w:val="18"/>
              </w:rPr>
            </w:pPr>
            <w:r w:rsidRPr="00EC75B7">
              <w:rPr>
                <w:rFonts w:ascii="Verdana" w:hAnsi="Verdana"/>
                <w:sz w:val="18"/>
                <w:szCs w:val="18"/>
              </w:rPr>
              <w:t xml:space="preserve">Erete </w:t>
            </w:r>
            <w:r w:rsidRPr="00EC75B7">
              <w:rPr>
                <w:rFonts w:ascii="Verdana" w:hAnsi="Verdana"/>
                <w:spacing w:val="-5"/>
                <w:sz w:val="18"/>
                <w:szCs w:val="18"/>
              </w:rPr>
              <w:t>sur</w:t>
            </w:r>
          </w:p>
        </w:tc>
        <w:tc>
          <w:tcPr>
            <w:tcW w:w="1449" w:type="dxa"/>
          </w:tcPr>
          <w:p w14:paraId="55CF9ADA" w14:textId="77777777" w:rsidR="008715BE" w:rsidRPr="00EC75B7" w:rsidRDefault="00000000">
            <w:pPr>
              <w:pStyle w:val="TableParagraph"/>
              <w:spacing w:before="70"/>
              <w:ind w:left="19"/>
              <w:jc w:val="center"/>
              <w:rPr>
                <w:rFonts w:ascii="Verdana" w:hAnsi="Verdana"/>
                <w:sz w:val="18"/>
                <w:szCs w:val="18"/>
              </w:rPr>
            </w:pPr>
            <w:r w:rsidRPr="00EC75B7">
              <w:rPr>
                <w:rFonts w:ascii="Verdana" w:hAnsi="Verdana"/>
                <w:spacing w:val="-10"/>
                <w:sz w:val="18"/>
                <w:szCs w:val="18"/>
              </w:rPr>
              <w:t>8</w:t>
            </w:r>
          </w:p>
        </w:tc>
        <w:tc>
          <w:tcPr>
            <w:tcW w:w="1842" w:type="dxa"/>
          </w:tcPr>
          <w:p w14:paraId="18748F2A" w14:textId="77777777" w:rsidR="008715BE" w:rsidRPr="00EC75B7" w:rsidRDefault="00000000">
            <w:pPr>
              <w:pStyle w:val="TableParagraph"/>
              <w:spacing w:before="10"/>
              <w:ind w:left="16"/>
              <w:jc w:val="center"/>
              <w:rPr>
                <w:rFonts w:ascii="Verdana" w:hAnsi="Verdana"/>
                <w:sz w:val="18"/>
                <w:szCs w:val="18"/>
              </w:rPr>
            </w:pPr>
            <w:r w:rsidRPr="00EC75B7">
              <w:rPr>
                <w:rFonts w:ascii="Verdana" w:hAnsi="Verdana"/>
                <w:sz w:val="18"/>
                <w:szCs w:val="18"/>
              </w:rPr>
              <w:t>-</w:t>
            </w:r>
          </w:p>
        </w:tc>
        <w:tc>
          <w:tcPr>
            <w:tcW w:w="2006" w:type="dxa"/>
          </w:tcPr>
          <w:p w14:paraId="4AA4FC4C" w14:textId="77777777" w:rsidR="008715BE" w:rsidRPr="00EC75B7" w:rsidRDefault="00000000">
            <w:pPr>
              <w:pStyle w:val="TableParagraph"/>
              <w:spacing w:before="10"/>
              <w:ind w:left="19"/>
              <w:jc w:val="center"/>
              <w:rPr>
                <w:rFonts w:ascii="Verdana" w:hAnsi="Verdana"/>
                <w:sz w:val="18"/>
                <w:szCs w:val="18"/>
              </w:rPr>
            </w:pPr>
            <w:r w:rsidRPr="00EC75B7">
              <w:rPr>
                <w:rFonts w:ascii="Verdana" w:hAnsi="Verdana"/>
                <w:sz w:val="18"/>
                <w:szCs w:val="18"/>
              </w:rPr>
              <w:t>-</w:t>
            </w:r>
          </w:p>
        </w:tc>
      </w:tr>
      <w:tr w:rsidR="008715BE" w:rsidRPr="00EC75B7" w14:paraId="4BE4D485" w14:textId="77777777">
        <w:trPr>
          <w:trHeight w:val="313"/>
        </w:trPr>
        <w:tc>
          <w:tcPr>
            <w:tcW w:w="569" w:type="dxa"/>
          </w:tcPr>
          <w:p w14:paraId="7BDA7810"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18</w:t>
            </w:r>
          </w:p>
        </w:tc>
        <w:tc>
          <w:tcPr>
            <w:tcW w:w="2150" w:type="dxa"/>
          </w:tcPr>
          <w:p w14:paraId="073D00DE"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Columba </w:t>
            </w:r>
            <w:r w:rsidRPr="00EC75B7">
              <w:rPr>
                <w:rFonts w:ascii="Verdana" w:hAnsi="Verdana"/>
                <w:i/>
                <w:spacing w:val="-2"/>
                <w:sz w:val="18"/>
                <w:szCs w:val="18"/>
              </w:rPr>
              <w:t>palumbus</w:t>
            </w:r>
          </w:p>
        </w:tc>
        <w:tc>
          <w:tcPr>
            <w:tcW w:w="1927" w:type="dxa"/>
          </w:tcPr>
          <w:p w14:paraId="4A56EC49"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 xml:space="preserve">Ring-necked </w:t>
            </w:r>
            <w:r w:rsidRPr="00EC75B7">
              <w:rPr>
                <w:rFonts w:ascii="Verdana" w:hAnsi="Verdana"/>
                <w:sz w:val="18"/>
                <w:szCs w:val="18"/>
              </w:rPr>
              <w:t>pigeon</w:t>
            </w:r>
          </w:p>
        </w:tc>
        <w:tc>
          <w:tcPr>
            <w:tcW w:w="1449" w:type="dxa"/>
          </w:tcPr>
          <w:p w14:paraId="03B389BC"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2</w:t>
            </w:r>
          </w:p>
        </w:tc>
        <w:tc>
          <w:tcPr>
            <w:tcW w:w="1842" w:type="dxa"/>
          </w:tcPr>
          <w:p w14:paraId="19B7A347"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34FF9430"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4D0F6840" w14:textId="77777777">
        <w:trPr>
          <w:trHeight w:val="973"/>
        </w:trPr>
        <w:tc>
          <w:tcPr>
            <w:tcW w:w="569" w:type="dxa"/>
          </w:tcPr>
          <w:p w14:paraId="24B9DF6A" w14:textId="77777777" w:rsidR="008715BE" w:rsidRPr="00EC75B7" w:rsidRDefault="008715BE">
            <w:pPr>
              <w:pStyle w:val="TableParagraph"/>
              <w:rPr>
                <w:rFonts w:ascii="Verdana" w:hAnsi="Verdana"/>
                <w:sz w:val="18"/>
                <w:szCs w:val="18"/>
              </w:rPr>
            </w:pPr>
          </w:p>
          <w:p w14:paraId="09BCAAF8" w14:textId="77777777" w:rsidR="008715BE" w:rsidRPr="00EC75B7" w:rsidRDefault="008715BE">
            <w:pPr>
              <w:pStyle w:val="TableParagraph"/>
              <w:spacing w:before="6"/>
              <w:rPr>
                <w:rFonts w:ascii="Verdana" w:hAnsi="Verdana"/>
                <w:sz w:val="18"/>
                <w:szCs w:val="18"/>
              </w:rPr>
            </w:pPr>
          </w:p>
          <w:p w14:paraId="25F7AE2F"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19</w:t>
            </w:r>
          </w:p>
        </w:tc>
        <w:tc>
          <w:tcPr>
            <w:tcW w:w="2150" w:type="dxa"/>
          </w:tcPr>
          <w:p w14:paraId="29E1FC7E" w14:textId="77777777" w:rsidR="008715BE" w:rsidRPr="00EC75B7" w:rsidRDefault="008715BE">
            <w:pPr>
              <w:pStyle w:val="TableParagraph"/>
              <w:rPr>
                <w:rFonts w:ascii="Verdana" w:hAnsi="Verdana"/>
                <w:sz w:val="18"/>
                <w:szCs w:val="18"/>
              </w:rPr>
            </w:pPr>
          </w:p>
          <w:p w14:paraId="5DA0492F" w14:textId="77777777" w:rsidR="008715BE" w:rsidRPr="00EC75B7" w:rsidRDefault="008715BE">
            <w:pPr>
              <w:pStyle w:val="TableParagraph"/>
              <w:spacing w:before="6"/>
              <w:rPr>
                <w:rFonts w:ascii="Verdana" w:hAnsi="Verdana"/>
                <w:sz w:val="18"/>
                <w:szCs w:val="18"/>
              </w:rPr>
            </w:pPr>
          </w:p>
          <w:p w14:paraId="692480FD"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Coracias </w:t>
            </w:r>
            <w:r w:rsidRPr="00EC75B7">
              <w:rPr>
                <w:rFonts w:ascii="Verdana" w:hAnsi="Verdana"/>
                <w:i/>
                <w:spacing w:val="-2"/>
                <w:sz w:val="18"/>
                <w:szCs w:val="18"/>
              </w:rPr>
              <w:t>garrulus</w:t>
            </w:r>
          </w:p>
        </w:tc>
        <w:tc>
          <w:tcPr>
            <w:tcW w:w="1927" w:type="dxa"/>
          </w:tcPr>
          <w:p w14:paraId="38755FD9" w14:textId="77777777" w:rsidR="008715BE" w:rsidRPr="00EC75B7" w:rsidRDefault="008715BE">
            <w:pPr>
              <w:pStyle w:val="TableParagraph"/>
              <w:rPr>
                <w:rFonts w:ascii="Verdana" w:hAnsi="Verdana"/>
                <w:sz w:val="18"/>
                <w:szCs w:val="18"/>
              </w:rPr>
            </w:pPr>
          </w:p>
          <w:p w14:paraId="09EADDEE" w14:textId="77777777" w:rsidR="008715BE" w:rsidRPr="00EC75B7" w:rsidRDefault="008715BE">
            <w:pPr>
              <w:pStyle w:val="TableParagraph"/>
              <w:spacing w:before="6"/>
              <w:rPr>
                <w:rFonts w:ascii="Verdana" w:hAnsi="Verdana"/>
                <w:sz w:val="18"/>
                <w:szCs w:val="18"/>
              </w:rPr>
            </w:pPr>
          </w:p>
          <w:p w14:paraId="12509BA0"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Dumbrăveancă</w:t>
            </w:r>
          </w:p>
        </w:tc>
        <w:tc>
          <w:tcPr>
            <w:tcW w:w="1449" w:type="dxa"/>
          </w:tcPr>
          <w:p w14:paraId="396F0A63" w14:textId="77777777" w:rsidR="008715BE" w:rsidRPr="00EC75B7" w:rsidRDefault="008715BE">
            <w:pPr>
              <w:pStyle w:val="TableParagraph"/>
              <w:rPr>
                <w:rFonts w:ascii="Verdana" w:hAnsi="Verdana"/>
                <w:sz w:val="18"/>
                <w:szCs w:val="18"/>
              </w:rPr>
            </w:pPr>
          </w:p>
          <w:p w14:paraId="73EE59D1" w14:textId="77777777" w:rsidR="008715BE" w:rsidRPr="00EC75B7" w:rsidRDefault="008715BE">
            <w:pPr>
              <w:pStyle w:val="TableParagraph"/>
              <w:spacing w:before="6"/>
              <w:rPr>
                <w:rFonts w:ascii="Verdana" w:hAnsi="Verdana"/>
                <w:sz w:val="18"/>
                <w:szCs w:val="18"/>
              </w:rPr>
            </w:pPr>
          </w:p>
          <w:p w14:paraId="19F8AFAC"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26</w:t>
            </w:r>
          </w:p>
        </w:tc>
        <w:tc>
          <w:tcPr>
            <w:tcW w:w="1842" w:type="dxa"/>
          </w:tcPr>
          <w:p w14:paraId="74781FFD" w14:textId="77777777" w:rsidR="008715BE" w:rsidRPr="00EC75B7" w:rsidRDefault="00000000">
            <w:pPr>
              <w:pStyle w:val="TableParagraph"/>
              <w:spacing w:before="8"/>
              <w:ind w:left="443" w:right="129" w:hanging="293"/>
              <w:rPr>
                <w:rFonts w:ascii="Verdana" w:hAnsi="Verdana"/>
                <w:sz w:val="18"/>
                <w:szCs w:val="18"/>
              </w:rPr>
            </w:pPr>
            <w:r w:rsidRPr="00EC75B7">
              <w:rPr>
                <w:rFonts w:ascii="Verdana" w:hAnsi="Verdana"/>
                <w:sz w:val="18"/>
                <w:szCs w:val="18"/>
              </w:rPr>
              <w:t>Southeastern Europe - Southern Africa</w:t>
            </w:r>
          </w:p>
        </w:tc>
        <w:tc>
          <w:tcPr>
            <w:tcW w:w="2006" w:type="dxa"/>
          </w:tcPr>
          <w:p w14:paraId="3F702A31" w14:textId="77777777" w:rsidR="008715BE" w:rsidRPr="00EC75B7" w:rsidRDefault="00000000">
            <w:pPr>
              <w:pStyle w:val="TableParagraph"/>
              <w:spacing w:line="194" w:lineRule="exact"/>
              <w:ind w:left="150" w:right="131" w:firstLine="2"/>
              <w:jc w:val="center"/>
              <w:rPr>
                <w:rFonts w:ascii="Verdana" w:hAnsi="Verdana"/>
                <w:sz w:val="18"/>
                <w:szCs w:val="18"/>
              </w:rPr>
            </w:pPr>
            <w:r w:rsidRPr="00EC75B7">
              <w:rPr>
                <w:rFonts w:ascii="Verdana" w:hAnsi="Verdana"/>
                <w:sz w:val="18"/>
                <w:szCs w:val="18"/>
              </w:rPr>
              <w:t>Satellite tracking -</w:t>
            </w:r>
            <w:hyperlink r:id="rId67">
              <w:r w:rsidR="008715BE" w:rsidRPr="00EC75B7">
                <w:rPr>
                  <w:rFonts w:ascii="Verdana" w:hAnsi="Verdana"/>
                  <w:spacing w:val="-2"/>
                  <w:sz w:val="18"/>
                  <w:szCs w:val="18"/>
                </w:rPr>
                <w:t xml:space="preserve"> https://satellitetracki ng.eu/inds/show map/?check_273=27</w:t>
              </w:r>
            </w:hyperlink>
            <w:r w:rsidRPr="00EC75B7">
              <w:rPr>
                <w:rFonts w:ascii="Verdana" w:hAnsi="Verdana"/>
                <w:spacing w:val="-10"/>
                <w:sz w:val="18"/>
                <w:szCs w:val="18"/>
              </w:rPr>
              <w:t xml:space="preserve"> 3</w:t>
            </w:r>
          </w:p>
        </w:tc>
      </w:tr>
      <w:tr w:rsidR="008715BE" w:rsidRPr="00EC75B7" w14:paraId="63DEE34F" w14:textId="77777777">
        <w:trPr>
          <w:trHeight w:val="314"/>
        </w:trPr>
        <w:tc>
          <w:tcPr>
            <w:tcW w:w="569" w:type="dxa"/>
          </w:tcPr>
          <w:p w14:paraId="631F3FE8"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20</w:t>
            </w:r>
          </w:p>
        </w:tc>
        <w:tc>
          <w:tcPr>
            <w:tcW w:w="2150" w:type="dxa"/>
          </w:tcPr>
          <w:p w14:paraId="40E38D42"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Corvus </w:t>
            </w:r>
            <w:r w:rsidRPr="00EC75B7">
              <w:rPr>
                <w:rFonts w:ascii="Verdana" w:hAnsi="Verdana"/>
                <w:i/>
                <w:spacing w:val="-2"/>
                <w:sz w:val="18"/>
                <w:szCs w:val="18"/>
              </w:rPr>
              <w:t>corax</w:t>
            </w:r>
          </w:p>
        </w:tc>
        <w:tc>
          <w:tcPr>
            <w:tcW w:w="1927" w:type="dxa"/>
          </w:tcPr>
          <w:p w14:paraId="74AEFEFB"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Raven</w:t>
            </w:r>
          </w:p>
        </w:tc>
        <w:tc>
          <w:tcPr>
            <w:tcW w:w="1449" w:type="dxa"/>
          </w:tcPr>
          <w:p w14:paraId="7878D37F"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1</w:t>
            </w:r>
          </w:p>
        </w:tc>
        <w:tc>
          <w:tcPr>
            <w:tcW w:w="1842" w:type="dxa"/>
          </w:tcPr>
          <w:p w14:paraId="4E56BA21"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702F5BBA"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3A0798FC" w14:textId="77777777">
        <w:trPr>
          <w:trHeight w:val="582"/>
        </w:trPr>
        <w:tc>
          <w:tcPr>
            <w:tcW w:w="569" w:type="dxa"/>
          </w:tcPr>
          <w:p w14:paraId="78C32789" w14:textId="77777777" w:rsidR="008715BE" w:rsidRPr="00EC75B7" w:rsidRDefault="008715BE">
            <w:pPr>
              <w:pStyle w:val="TableParagraph"/>
              <w:spacing w:before="7"/>
              <w:rPr>
                <w:rFonts w:ascii="Verdana" w:hAnsi="Verdana"/>
                <w:sz w:val="18"/>
                <w:szCs w:val="18"/>
              </w:rPr>
            </w:pPr>
          </w:p>
          <w:p w14:paraId="71D0AACD"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21</w:t>
            </w:r>
          </w:p>
        </w:tc>
        <w:tc>
          <w:tcPr>
            <w:tcW w:w="2150" w:type="dxa"/>
          </w:tcPr>
          <w:p w14:paraId="6D357A5F" w14:textId="77777777" w:rsidR="008715BE" w:rsidRPr="00EC75B7" w:rsidRDefault="008715BE">
            <w:pPr>
              <w:pStyle w:val="TableParagraph"/>
              <w:spacing w:before="7"/>
              <w:rPr>
                <w:rFonts w:ascii="Verdana" w:hAnsi="Verdana"/>
                <w:sz w:val="18"/>
                <w:szCs w:val="18"/>
              </w:rPr>
            </w:pPr>
          </w:p>
          <w:p w14:paraId="37A4911D"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Corvus </w:t>
            </w:r>
            <w:r w:rsidRPr="00EC75B7">
              <w:rPr>
                <w:rFonts w:ascii="Verdana" w:hAnsi="Verdana"/>
                <w:i/>
                <w:spacing w:val="-2"/>
                <w:sz w:val="18"/>
                <w:szCs w:val="18"/>
              </w:rPr>
              <w:t>frugilegus</w:t>
            </w:r>
          </w:p>
        </w:tc>
        <w:tc>
          <w:tcPr>
            <w:tcW w:w="1927" w:type="dxa"/>
          </w:tcPr>
          <w:p w14:paraId="3F5FD017" w14:textId="77777777" w:rsidR="008715BE" w:rsidRPr="00EC75B7" w:rsidRDefault="00000000">
            <w:pPr>
              <w:pStyle w:val="TableParagraph"/>
              <w:spacing w:before="106"/>
              <w:ind w:left="108" w:right="277"/>
              <w:rPr>
                <w:rFonts w:ascii="Verdana" w:hAnsi="Verdana"/>
                <w:sz w:val="18"/>
                <w:szCs w:val="18"/>
              </w:rPr>
            </w:pPr>
            <w:r w:rsidRPr="00EC75B7">
              <w:rPr>
                <w:rFonts w:ascii="Verdana" w:hAnsi="Verdana"/>
                <w:spacing w:val="-2"/>
                <w:sz w:val="18"/>
                <w:szCs w:val="18"/>
              </w:rPr>
              <w:t>Raven</w:t>
            </w:r>
          </w:p>
        </w:tc>
        <w:tc>
          <w:tcPr>
            <w:tcW w:w="1449" w:type="dxa"/>
          </w:tcPr>
          <w:p w14:paraId="59BED1EE" w14:textId="77777777" w:rsidR="008715BE" w:rsidRPr="00EC75B7" w:rsidRDefault="008715BE">
            <w:pPr>
              <w:pStyle w:val="TableParagraph"/>
              <w:spacing w:before="7"/>
              <w:rPr>
                <w:rFonts w:ascii="Verdana" w:hAnsi="Verdana"/>
                <w:sz w:val="18"/>
                <w:szCs w:val="18"/>
              </w:rPr>
            </w:pPr>
          </w:p>
          <w:p w14:paraId="08886D8F"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28</w:t>
            </w:r>
          </w:p>
        </w:tc>
        <w:tc>
          <w:tcPr>
            <w:tcW w:w="1842" w:type="dxa"/>
          </w:tcPr>
          <w:p w14:paraId="74DFAF1C" w14:textId="77777777" w:rsidR="008715BE" w:rsidRPr="00EC75B7" w:rsidRDefault="00000000">
            <w:pPr>
              <w:pStyle w:val="TableParagraph"/>
              <w:spacing w:before="8"/>
              <w:ind w:left="215"/>
              <w:rPr>
                <w:rFonts w:ascii="Verdana" w:hAnsi="Verdana"/>
                <w:sz w:val="18"/>
                <w:szCs w:val="18"/>
              </w:rPr>
            </w:pPr>
            <w:r w:rsidRPr="00EC75B7">
              <w:rPr>
                <w:rFonts w:ascii="Verdana" w:hAnsi="Verdana"/>
                <w:sz w:val="18"/>
                <w:szCs w:val="18"/>
              </w:rPr>
              <w:t xml:space="preserve">Southeastern </w:t>
            </w:r>
            <w:r w:rsidRPr="00EC75B7">
              <w:rPr>
                <w:rFonts w:ascii="Verdana" w:hAnsi="Verdana"/>
                <w:spacing w:val="-2"/>
                <w:sz w:val="18"/>
                <w:szCs w:val="18"/>
              </w:rPr>
              <w:t>Europe</w:t>
            </w:r>
          </w:p>
        </w:tc>
        <w:tc>
          <w:tcPr>
            <w:tcW w:w="2006" w:type="dxa"/>
          </w:tcPr>
          <w:p w14:paraId="444DACCC"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68">
              <w:r w:rsidR="008715BE" w:rsidRPr="00EC75B7">
                <w:rPr>
                  <w:rFonts w:ascii="Verdana" w:hAnsi="Verdana"/>
                  <w:spacing w:val="-2"/>
                  <w:sz w:val="18"/>
                  <w:szCs w:val="18"/>
                </w:rPr>
                <w:t xml:space="preserve"> https://migrationatlas</w:t>
              </w:r>
            </w:hyperlink>
          </w:p>
          <w:p w14:paraId="72EAF00A"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548B7507" w14:textId="77777777">
        <w:trPr>
          <w:trHeight w:val="582"/>
        </w:trPr>
        <w:tc>
          <w:tcPr>
            <w:tcW w:w="569" w:type="dxa"/>
          </w:tcPr>
          <w:p w14:paraId="5084BE02" w14:textId="77777777" w:rsidR="008715BE" w:rsidRPr="00EC75B7" w:rsidRDefault="008715BE">
            <w:pPr>
              <w:pStyle w:val="TableParagraph"/>
              <w:spacing w:before="7"/>
              <w:rPr>
                <w:rFonts w:ascii="Verdana" w:hAnsi="Verdana"/>
                <w:sz w:val="18"/>
                <w:szCs w:val="18"/>
              </w:rPr>
            </w:pPr>
          </w:p>
          <w:p w14:paraId="0F7A30FD"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22</w:t>
            </w:r>
          </w:p>
        </w:tc>
        <w:tc>
          <w:tcPr>
            <w:tcW w:w="2150" w:type="dxa"/>
          </w:tcPr>
          <w:p w14:paraId="5DB620B7" w14:textId="77777777" w:rsidR="008715BE" w:rsidRPr="00EC75B7" w:rsidRDefault="008715BE">
            <w:pPr>
              <w:pStyle w:val="TableParagraph"/>
              <w:spacing w:before="7"/>
              <w:rPr>
                <w:rFonts w:ascii="Verdana" w:hAnsi="Verdana"/>
                <w:sz w:val="18"/>
                <w:szCs w:val="18"/>
              </w:rPr>
            </w:pPr>
          </w:p>
          <w:p w14:paraId="2F11FF46"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Coturnix </w:t>
            </w:r>
            <w:r w:rsidRPr="00EC75B7">
              <w:rPr>
                <w:rFonts w:ascii="Verdana" w:hAnsi="Verdana"/>
                <w:i/>
                <w:spacing w:val="-2"/>
                <w:sz w:val="18"/>
                <w:szCs w:val="18"/>
              </w:rPr>
              <w:t>coturnix</w:t>
            </w:r>
          </w:p>
        </w:tc>
        <w:tc>
          <w:tcPr>
            <w:tcW w:w="1927" w:type="dxa"/>
          </w:tcPr>
          <w:p w14:paraId="607ADE65" w14:textId="77777777" w:rsidR="008715BE" w:rsidRPr="00EC75B7" w:rsidRDefault="008715BE">
            <w:pPr>
              <w:pStyle w:val="TableParagraph"/>
              <w:spacing w:before="7"/>
              <w:rPr>
                <w:rFonts w:ascii="Verdana" w:hAnsi="Verdana"/>
                <w:sz w:val="18"/>
                <w:szCs w:val="18"/>
              </w:rPr>
            </w:pPr>
          </w:p>
          <w:p w14:paraId="64B2AAD8"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Quail</w:t>
            </w:r>
          </w:p>
        </w:tc>
        <w:tc>
          <w:tcPr>
            <w:tcW w:w="1449" w:type="dxa"/>
          </w:tcPr>
          <w:p w14:paraId="35511EB9" w14:textId="77777777" w:rsidR="008715BE" w:rsidRPr="00EC75B7" w:rsidRDefault="008715BE">
            <w:pPr>
              <w:pStyle w:val="TableParagraph"/>
              <w:spacing w:before="7"/>
              <w:rPr>
                <w:rFonts w:ascii="Verdana" w:hAnsi="Verdana"/>
                <w:sz w:val="18"/>
                <w:szCs w:val="18"/>
              </w:rPr>
            </w:pPr>
          </w:p>
          <w:p w14:paraId="04147B86"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4</w:t>
            </w:r>
          </w:p>
        </w:tc>
        <w:tc>
          <w:tcPr>
            <w:tcW w:w="1842" w:type="dxa"/>
          </w:tcPr>
          <w:p w14:paraId="20D36EC4" w14:textId="77777777" w:rsidR="008715BE" w:rsidRPr="00EC75B7" w:rsidRDefault="00000000">
            <w:pPr>
              <w:pStyle w:val="TableParagraph"/>
              <w:spacing w:before="8"/>
              <w:ind w:left="105" w:right="86"/>
              <w:jc w:val="center"/>
              <w:rPr>
                <w:rFonts w:ascii="Verdana" w:hAnsi="Verdana"/>
                <w:sz w:val="18"/>
                <w:szCs w:val="18"/>
              </w:rPr>
            </w:pPr>
            <w:r w:rsidRPr="00EC75B7">
              <w:rPr>
                <w:rFonts w:ascii="Verdana" w:hAnsi="Verdana"/>
                <w:sz w:val="18"/>
                <w:szCs w:val="18"/>
              </w:rPr>
              <w:t xml:space="preserve">Central Europe - </w:t>
            </w:r>
            <w:r w:rsidRPr="00EC75B7">
              <w:rPr>
                <w:rFonts w:ascii="Verdana" w:hAnsi="Verdana"/>
                <w:spacing w:val="-4"/>
                <w:sz w:val="18"/>
                <w:szCs w:val="18"/>
              </w:rPr>
              <w:t>South</w:t>
            </w:r>
          </w:p>
          <w:p w14:paraId="6A4D19AF" w14:textId="77777777" w:rsidR="008715BE" w:rsidRPr="00EC75B7" w:rsidRDefault="00000000">
            <w:pPr>
              <w:pStyle w:val="TableParagraph"/>
              <w:spacing w:line="164" w:lineRule="exact"/>
              <w:ind w:left="17"/>
              <w:jc w:val="center"/>
              <w:rPr>
                <w:rFonts w:ascii="Verdana" w:hAnsi="Verdana"/>
                <w:sz w:val="18"/>
                <w:szCs w:val="18"/>
              </w:rPr>
            </w:pPr>
            <w:r w:rsidRPr="00EC75B7">
              <w:rPr>
                <w:rFonts w:ascii="Verdana" w:hAnsi="Verdana"/>
                <w:sz w:val="18"/>
                <w:szCs w:val="18"/>
              </w:rPr>
              <w:t xml:space="preserve">Eastern </w:t>
            </w:r>
            <w:r w:rsidRPr="00EC75B7">
              <w:rPr>
                <w:rFonts w:ascii="Verdana" w:hAnsi="Verdana"/>
                <w:spacing w:val="-2"/>
                <w:sz w:val="18"/>
                <w:szCs w:val="18"/>
              </w:rPr>
              <w:t>Europe</w:t>
            </w:r>
          </w:p>
        </w:tc>
        <w:tc>
          <w:tcPr>
            <w:tcW w:w="2006" w:type="dxa"/>
          </w:tcPr>
          <w:p w14:paraId="2ADF4F87"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69">
              <w:r w:rsidR="008715BE" w:rsidRPr="00EC75B7">
                <w:rPr>
                  <w:rFonts w:ascii="Verdana" w:hAnsi="Verdana"/>
                  <w:spacing w:val="-2"/>
                  <w:sz w:val="18"/>
                  <w:szCs w:val="18"/>
                </w:rPr>
                <w:t xml:space="preserve"> https://migrationatlas</w:t>
              </w:r>
            </w:hyperlink>
          </w:p>
          <w:p w14:paraId="53FAB8AC"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C09F3CF" w14:textId="77777777">
        <w:trPr>
          <w:trHeight w:val="585"/>
        </w:trPr>
        <w:tc>
          <w:tcPr>
            <w:tcW w:w="569" w:type="dxa"/>
          </w:tcPr>
          <w:p w14:paraId="05155F85" w14:textId="77777777" w:rsidR="008715BE" w:rsidRPr="00EC75B7" w:rsidRDefault="008715BE">
            <w:pPr>
              <w:pStyle w:val="TableParagraph"/>
              <w:spacing w:before="9"/>
              <w:rPr>
                <w:rFonts w:ascii="Verdana" w:hAnsi="Verdana"/>
                <w:sz w:val="18"/>
                <w:szCs w:val="18"/>
              </w:rPr>
            </w:pPr>
          </w:p>
          <w:p w14:paraId="1FFE19DB"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23</w:t>
            </w:r>
          </w:p>
        </w:tc>
        <w:tc>
          <w:tcPr>
            <w:tcW w:w="2150" w:type="dxa"/>
          </w:tcPr>
          <w:p w14:paraId="7232A44C" w14:textId="77777777" w:rsidR="008715BE" w:rsidRPr="00EC75B7" w:rsidRDefault="008715BE">
            <w:pPr>
              <w:pStyle w:val="TableParagraph"/>
              <w:spacing w:before="9"/>
              <w:rPr>
                <w:rFonts w:ascii="Verdana" w:hAnsi="Verdana"/>
                <w:sz w:val="18"/>
                <w:szCs w:val="18"/>
              </w:rPr>
            </w:pPr>
          </w:p>
          <w:p w14:paraId="1BD5EB3A"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Cuculus </w:t>
            </w:r>
            <w:r w:rsidRPr="00EC75B7">
              <w:rPr>
                <w:rFonts w:ascii="Verdana" w:hAnsi="Verdana"/>
                <w:i/>
                <w:spacing w:val="-2"/>
                <w:sz w:val="18"/>
                <w:szCs w:val="18"/>
              </w:rPr>
              <w:t>canorus</w:t>
            </w:r>
          </w:p>
        </w:tc>
        <w:tc>
          <w:tcPr>
            <w:tcW w:w="1927" w:type="dxa"/>
          </w:tcPr>
          <w:p w14:paraId="78ADCE08" w14:textId="77777777" w:rsidR="008715BE" w:rsidRPr="00EC75B7" w:rsidRDefault="008715BE">
            <w:pPr>
              <w:pStyle w:val="TableParagraph"/>
              <w:spacing w:before="9"/>
              <w:rPr>
                <w:rFonts w:ascii="Verdana" w:hAnsi="Verdana"/>
                <w:sz w:val="18"/>
                <w:szCs w:val="18"/>
              </w:rPr>
            </w:pPr>
          </w:p>
          <w:p w14:paraId="3EC6116D"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Cuckoo</w:t>
            </w:r>
          </w:p>
        </w:tc>
        <w:tc>
          <w:tcPr>
            <w:tcW w:w="1449" w:type="dxa"/>
          </w:tcPr>
          <w:p w14:paraId="4F975AA3" w14:textId="77777777" w:rsidR="008715BE" w:rsidRPr="00EC75B7" w:rsidRDefault="008715BE">
            <w:pPr>
              <w:pStyle w:val="TableParagraph"/>
              <w:spacing w:before="9"/>
              <w:rPr>
                <w:rFonts w:ascii="Verdana" w:hAnsi="Verdana"/>
                <w:sz w:val="18"/>
                <w:szCs w:val="18"/>
              </w:rPr>
            </w:pPr>
          </w:p>
          <w:p w14:paraId="7C7D0976"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6</w:t>
            </w:r>
          </w:p>
        </w:tc>
        <w:tc>
          <w:tcPr>
            <w:tcW w:w="1842" w:type="dxa"/>
          </w:tcPr>
          <w:p w14:paraId="63E0E36F" w14:textId="77777777" w:rsidR="008715BE" w:rsidRPr="00EC75B7" w:rsidRDefault="00000000">
            <w:pPr>
              <w:pStyle w:val="TableParagraph"/>
              <w:spacing w:before="10" w:line="195" w:lineRule="exact"/>
              <w:ind w:left="16"/>
              <w:jc w:val="center"/>
              <w:rPr>
                <w:rFonts w:ascii="Verdana" w:hAnsi="Verdana"/>
                <w:sz w:val="18"/>
                <w:szCs w:val="18"/>
              </w:rPr>
            </w:pPr>
            <w:r w:rsidRPr="00EC75B7">
              <w:rPr>
                <w:rFonts w:ascii="Verdana" w:hAnsi="Verdana"/>
                <w:sz w:val="18"/>
                <w:szCs w:val="18"/>
              </w:rPr>
              <w:t xml:space="preserve">Northern Europe </w:t>
            </w:r>
            <w:r w:rsidRPr="00EC75B7">
              <w:rPr>
                <w:rFonts w:ascii="Verdana" w:hAnsi="Verdana"/>
                <w:spacing w:val="-10"/>
                <w:sz w:val="18"/>
                <w:szCs w:val="18"/>
              </w:rPr>
              <w:t>-</w:t>
            </w:r>
          </w:p>
          <w:p w14:paraId="458204FF" w14:textId="77777777" w:rsidR="008715BE" w:rsidRPr="00EC75B7" w:rsidRDefault="00000000">
            <w:pPr>
              <w:pStyle w:val="TableParagraph"/>
              <w:spacing w:line="194" w:lineRule="exact"/>
              <w:ind w:left="14"/>
              <w:jc w:val="center"/>
              <w:rPr>
                <w:rFonts w:ascii="Verdana" w:hAnsi="Verdana"/>
                <w:sz w:val="18"/>
                <w:szCs w:val="18"/>
              </w:rPr>
            </w:pPr>
            <w:r w:rsidRPr="00EC75B7">
              <w:rPr>
                <w:rFonts w:ascii="Verdana" w:hAnsi="Verdana"/>
                <w:spacing w:val="-5"/>
                <w:sz w:val="18"/>
                <w:szCs w:val="18"/>
              </w:rPr>
              <w:t>South</w:t>
            </w:r>
          </w:p>
          <w:p w14:paraId="28068527" w14:textId="77777777" w:rsidR="008715BE" w:rsidRPr="00EC75B7" w:rsidRDefault="00000000">
            <w:pPr>
              <w:pStyle w:val="TableParagraph"/>
              <w:spacing w:line="165" w:lineRule="exact"/>
              <w:ind w:left="15"/>
              <w:jc w:val="center"/>
              <w:rPr>
                <w:rFonts w:ascii="Verdana" w:hAnsi="Verdana"/>
                <w:sz w:val="18"/>
                <w:szCs w:val="18"/>
              </w:rPr>
            </w:pPr>
            <w:r w:rsidRPr="00EC75B7">
              <w:rPr>
                <w:rFonts w:ascii="Verdana" w:hAnsi="Verdana"/>
                <w:sz w:val="18"/>
                <w:szCs w:val="18"/>
              </w:rPr>
              <w:t xml:space="preserve">Eastern </w:t>
            </w:r>
            <w:r w:rsidRPr="00EC75B7">
              <w:rPr>
                <w:rFonts w:ascii="Verdana" w:hAnsi="Verdana"/>
                <w:spacing w:val="-2"/>
                <w:sz w:val="18"/>
                <w:szCs w:val="18"/>
              </w:rPr>
              <w:t>Europe</w:t>
            </w:r>
          </w:p>
        </w:tc>
        <w:tc>
          <w:tcPr>
            <w:tcW w:w="2006" w:type="dxa"/>
          </w:tcPr>
          <w:p w14:paraId="1D2EECD5" w14:textId="77777777" w:rsidR="008715BE" w:rsidRPr="00EC75B7" w:rsidRDefault="00000000">
            <w:pPr>
              <w:pStyle w:val="TableParagraph"/>
              <w:spacing w:before="10"/>
              <w:ind w:left="116" w:right="100" w:firstLine="259"/>
              <w:rPr>
                <w:rFonts w:ascii="Verdana" w:hAnsi="Verdana"/>
                <w:sz w:val="18"/>
                <w:szCs w:val="18"/>
              </w:rPr>
            </w:pPr>
            <w:r w:rsidRPr="00EC75B7">
              <w:rPr>
                <w:rFonts w:ascii="Verdana" w:hAnsi="Verdana"/>
                <w:sz w:val="18"/>
                <w:szCs w:val="18"/>
              </w:rPr>
              <w:t>Migrationatlas -</w:t>
            </w:r>
            <w:hyperlink r:id="rId70">
              <w:r w:rsidR="008715BE" w:rsidRPr="00EC75B7">
                <w:rPr>
                  <w:rFonts w:ascii="Verdana" w:hAnsi="Verdana"/>
                  <w:spacing w:val="-2"/>
                  <w:sz w:val="18"/>
                  <w:szCs w:val="18"/>
                </w:rPr>
                <w:t xml:space="preserve"> https://migrationatlas</w:t>
              </w:r>
            </w:hyperlink>
          </w:p>
          <w:p w14:paraId="2C405BAE"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29DE3E63" w14:textId="77777777">
        <w:trPr>
          <w:trHeight w:val="582"/>
        </w:trPr>
        <w:tc>
          <w:tcPr>
            <w:tcW w:w="569" w:type="dxa"/>
          </w:tcPr>
          <w:p w14:paraId="64DB1E9E" w14:textId="77777777" w:rsidR="008715BE" w:rsidRPr="00EC75B7" w:rsidRDefault="008715BE">
            <w:pPr>
              <w:pStyle w:val="TableParagraph"/>
              <w:spacing w:before="7"/>
              <w:rPr>
                <w:rFonts w:ascii="Verdana" w:hAnsi="Verdana"/>
                <w:sz w:val="18"/>
                <w:szCs w:val="18"/>
              </w:rPr>
            </w:pPr>
          </w:p>
          <w:p w14:paraId="45328C1C"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24</w:t>
            </w:r>
          </w:p>
        </w:tc>
        <w:tc>
          <w:tcPr>
            <w:tcW w:w="2150" w:type="dxa"/>
          </w:tcPr>
          <w:p w14:paraId="3F35D98D" w14:textId="77777777" w:rsidR="008715BE" w:rsidRPr="00EC75B7" w:rsidRDefault="008715BE">
            <w:pPr>
              <w:pStyle w:val="TableParagraph"/>
              <w:spacing w:before="7"/>
              <w:rPr>
                <w:rFonts w:ascii="Verdana" w:hAnsi="Verdana"/>
                <w:sz w:val="18"/>
                <w:szCs w:val="18"/>
              </w:rPr>
            </w:pPr>
          </w:p>
          <w:p w14:paraId="0FE7C5BA" w14:textId="77777777" w:rsidR="008715BE" w:rsidRPr="00EC75B7" w:rsidRDefault="00000000">
            <w:pPr>
              <w:pStyle w:val="TableParagraph"/>
              <w:ind w:left="108"/>
              <w:rPr>
                <w:rFonts w:ascii="Verdana" w:hAnsi="Verdana"/>
                <w:i/>
                <w:sz w:val="18"/>
                <w:szCs w:val="18"/>
              </w:rPr>
            </w:pPr>
            <w:r w:rsidRPr="00EC75B7">
              <w:rPr>
                <w:rFonts w:ascii="Verdana" w:hAnsi="Verdana"/>
                <w:i/>
                <w:spacing w:val="-2"/>
                <w:sz w:val="18"/>
                <w:szCs w:val="18"/>
              </w:rPr>
              <w:t>House Martin</w:t>
            </w:r>
          </w:p>
        </w:tc>
        <w:tc>
          <w:tcPr>
            <w:tcW w:w="1927" w:type="dxa"/>
          </w:tcPr>
          <w:p w14:paraId="49991955" w14:textId="77777777" w:rsidR="008715BE" w:rsidRPr="00EC75B7" w:rsidRDefault="008715BE">
            <w:pPr>
              <w:pStyle w:val="TableParagraph"/>
              <w:spacing w:before="7"/>
              <w:rPr>
                <w:rFonts w:ascii="Verdana" w:hAnsi="Verdana"/>
                <w:sz w:val="18"/>
                <w:szCs w:val="18"/>
              </w:rPr>
            </w:pPr>
          </w:p>
          <w:p w14:paraId="116DA487" w14:textId="77777777" w:rsidR="008715BE" w:rsidRPr="00EC75B7" w:rsidRDefault="00000000">
            <w:pPr>
              <w:pStyle w:val="TableParagraph"/>
              <w:ind w:left="108"/>
              <w:rPr>
                <w:rFonts w:ascii="Verdana" w:hAnsi="Verdana"/>
                <w:sz w:val="18"/>
                <w:szCs w:val="18"/>
              </w:rPr>
            </w:pPr>
            <w:r w:rsidRPr="00EC75B7">
              <w:rPr>
                <w:rFonts w:ascii="Verdana" w:hAnsi="Verdana"/>
                <w:spacing w:val="-4"/>
                <w:sz w:val="18"/>
                <w:szCs w:val="18"/>
              </w:rPr>
              <w:t xml:space="preserve">House </w:t>
            </w:r>
            <w:r w:rsidRPr="00EC75B7">
              <w:rPr>
                <w:rFonts w:ascii="Verdana" w:hAnsi="Verdana"/>
                <w:sz w:val="18"/>
                <w:szCs w:val="18"/>
              </w:rPr>
              <w:t>Martin</w:t>
            </w:r>
          </w:p>
        </w:tc>
        <w:tc>
          <w:tcPr>
            <w:tcW w:w="1449" w:type="dxa"/>
          </w:tcPr>
          <w:p w14:paraId="364D8FEF" w14:textId="77777777" w:rsidR="008715BE" w:rsidRPr="00EC75B7" w:rsidRDefault="008715BE">
            <w:pPr>
              <w:pStyle w:val="TableParagraph"/>
              <w:spacing w:before="7"/>
              <w:rPr>
                <w:rFonts w:ascii="Verdana" w:hAnsi="Verdana"/>
                <w:sz w:val="18"/>
                <w:szCs w:val="18"/>
              </w:rPr>
            </w:pPr>
          </w:p>
          <w:p w14:paraId="589782D6"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50</w:t>
            </w:r>
          </w:p>
        </w:tc>
        <w:tc>
          <w:tcPr>
            <w:tcW w:w="1842" w:type="dxa"/>
          </w:tcPr>
          <w:p w14:paraId="478342BA" w14:textId="77777777" w:rsidR="008715BE" w:rsidRPr="00EC75B7" w:rsidRDefault="00000000">
            <w:pPr>
              <w:pStyle w:val="TableParagraph"/>
              <w:spacing w:line="194" w:lineRule="exact"/>
              <w:ind w:left="695" w:right="242" w:hanging="435"/>
              <w:rPr>
                <w:rFonts w:ascii="Verdana" w:hAnsi="Verdana"/>
                <w:sz w:val="18"/>
                <w:szCs w:val="18"/>
              </w:rPr>
            </w:pPr>
            <w:r w:rsidRPr="00EC75B7">
              <w:rPr>
                <w:rFonts w:ascii="Verdana" w:hAnsi="Verdana"/>
                <w:spacing w:val="-2"/>
                <w:sz w:val="18"/>
                <w:szCs w:val="18"/>
              </w:rPr>
              <w:t>Northern Europe - Southern Africa</w:t>
            </w:r>
          </w:p>
        </w:tc>
        <w:tc>
          <w:tcPr>
            <w:tcW w:w="2006" w:type="dxa"/>
          </w:tcPr>
          <w:p w14:paraId="11A3C47F"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71">
              <w:r w:rsidR="008715BE" w:rsidRPr="00EC75B7">
                <w:rPr>
                  <w:rFonts w:ascii="Verdana" w:hAnsi="Verdana"/>
                  <w:spacing w:val="-2"/>
                  <w:sz w:val="18"/>
                  <w:szCs w:val="18"/>
                </w:rPr>
                <w:t xml:space="preserve"> https://migrationatlas</w:t>
              </w:r>
            </w:hyperlink>
          </w:p>
          <w:p w14:paraId="52B5F754"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00DECD3C" w14:textId="77777777">
        <w:trPr>
          <w:trHeight w:val="314"/>
        </w:trPr>
        <w:tc>
          <w:tcPr>
            <w:tcW w:w="569" w:type="dxa"/>
          </w:tcPr>
          <w:p w14:paraId="4E0C32E2"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25</w:t>
            </w:r>
          </w:p>
        </w:tc>
        <w:tc>
          <w:tcPr>
            <w:tcW w:w="2150" w:type="dxa"/>
          </w:tcPr>
          <w:p w14:paraId="4508D68D"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Emberiza </w:t>
            </w:r>
            <w:r w:rsidRPr="00EC75B7">
              <w:rPr>
                <w:rFonts w:ascii="Verdana" w:hAnsi="Verdana"/>
                <w:i/>
                <w:spacing w:val="-2"/>
                <w:sz w:val="18"/>
                <w:szCs w:val="18"/>
              </w:rPr>
              <w:t>calandra</w:t>
            </w:r>
          </w:p>
        </w:tc>
        <w:tc>
          <w:tcPr>
            <w:tcW w:w="1927" w:type="dxa"/>
          </w:tcPr>
          <w:p w14:paraId="7F1BBFE0"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4"/>
                <w:sz w:val="18"/>
                <w:szCs w:val="18"/>
              </w:rPr>
              <w:t>Yellow</w:t>
            </w:r>
            <w:r w:rsidRPr="00EC75B7">
              <w:rPr>
                <w:rFonts w:ascii="Verdana" w:hAnsi="Verdana"/>
                <w:sz w:val="18"/>
                <w:szCs w:val="18"/>
              </w:rPr>
              <w:t>hammer</w:t>
            </w:r>
          </w:p>
        </w:tc>
        <w:tc>
          <w:tcPr>
            <w:tcW w:w="1449" w:type="dxa"/>
          </w:tcPr>
          <w:p w14:paraId="669D00B7" w14:textId="77777777" w:rsidR="008715BE" w:rsidRPr="00EC75B7" w:rsidRDefault="00000000">
            <w:pPr>
              <w:pStyle w:val="TableParagraph"/>
              <w:spacing w:before="68"/>
              <w:ind w:left="19" w:right="3"/>
              <w:jc w:val="center"/>
              <w:rPr>
                <w:rFonts w:ascii="Verdana" w:hAnsi="Verdana"/>
                <w:sz w:val="18"/>
                <w:szCs w:val="18"/>
              </w:rPr>
            </w:pPr>
            <w:r w:rsidRPr="00EC75B7">
              <w:rPr>
                <w:rFonts w:ascii="Verdana" w:hAnsi="Verdana"/>
                <w:spacing w:val="-5"/>
                <w:sz w:val="18"/>
                <w:szCs w:val="18"/>
              </w:rPr>
              <w:t>200</w:t>
            </w:r>
          </w:p>
        </w:tc>
        <w:tc>
          <w:tcPr>
            <w:tcW w:w="1842" w:type="dxa"/>
          </w:tcPr>
          <w:p w14:paraId="30314E90"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6E9FBB3C"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5D3C85FD" w14:textId="77777777">
        <w:trPr>
          <w:trHeight w:val="316"/>
        </w:trPr>
        <w:tc>
          <w:tcPr>
            <w:tcW w:w="569" w:type="dxa"/>
          </w:tcPr>
          <w:p w14:paraId="7E742194"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26</w:t>
            </w:r>
          </w:p>
        </w:tc>
        <w:tc>
          <w:tcPr>
            <w:tcW w:w="2150" w:type="dxa"/>
          </w:tcPr>
          <w:p w14:paraId="4839201B"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Emberiza </w:t>
            </w:r>
            <w:r w:rsidRPr="00EC75B7">
              <w:rPr>
                <w:rFonts w:ascii="Verdana" w:hAnsi="Verdana"/>
                <w:i/>
                <w:spacing w:val="-2"/>
                <w:sz w:val="18"/>
                <w:szCs w:val="18"/>
              </w:rPr>
              <w:t>hortulana</w:t>
            </w:r>
          </w:p>
        </w:tc>
        <w:tc>
          <w:tcPr>
            <w:tcW w:w="1927" w:type="dxa"/>
          </w:tcPr>
          <w:p w14:paraId="52917C0E"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2"/>
                <w:sz w:val="18"/>
                <w:szCs w:val="18"/>
              </w:rPr>
              <w:t xml:space="preserve">Garden </w:t>
            </w:r>
            <w:r w:rsidRPr="00EC75B7">
              <w:rPr>
                <w:rFonts w:ascii="Verdana" w:hAnsi="Verdana"/>
                <w:sz w:val="18"/>
                <w:szCs w:val="18"/>
              </w:rPr>
              <w:t>bunting</w:t>
            </w:r>
          </w:p>
        </w:tc>
        <w:tc>
          <w:tcPr>
            <w:tcW w:w="1449" w:type="dxa"/>
          </w:tcPr>
          <w:p w14:paraId="32511388" w14:textId="77777777" w:rsidR="008715BE" w:rsidRPr="00EC75B7" w:rsidRDefault="00000000">
            <w:pPr>
              <w:pStyle w:val="TableParagraph"/>
              <w:spacing w:before="70"/>
              <w:ind w:left="19"/>
              <w:jc w:val="center"/>
              <w:rPr>
                <w:rFonts w:ascii="Verdana" w:hAnsi="Verdana"/>
                <w:sz w:val="18"/>
                <w:szCs w:val="18"/>
              </w:rPr>
            </w:pPr>
            <w:r w:rsidRPr="00EC75B7">
              <w:rPr>
                <w:rFonts w:ascii="Verdana" w:hAnsi="Verdana"/>
                <w:spacing w:val="-10"/>
                <w:sz w:val="18"/>
                <w:szCs w:val="18"/>
              </w:rPr>
              <w:t>3</w:t>
            </w:r>
          </w:p>
        </w:tc>
        <w:tc>
          <w:tcPr>
            <w:tcW w:w="1842" w:type="dxa"/>
          </w:tcPr>
          <w:p w14:paraId="6B671834"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6D186DE3"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144E3382" w14:textId="77777777">
        <w:trPr>
          <w:trHeight w:val="582"/>
        </w:trPr>
        <w:tc>
          <w:tcPr>
            <w:tcW w:w="569" w:type="dxa"/>
          </w:tcPr>
          <w:p w14:paraId="75ED23BB" w14:textId="77777777" w:rsidR="008715BE" w:rsidRPr="00EC75B7" w:rsidRDefault="008715BE">
            <w:pPr>
              <w:pStyle w:val="TableParagraph"/>
              <w:spacing w:before="7"/>
              <w:rPr>
                <w:rFonts w:ascii="Verdana" w:hAnsi="Verdana"/>
                <w:sz w:val="18"/>
                <w:szCs w:val="18"/>
              </w:rPr>
            </w:pPr>
          </w:p>
          <w:p w14:paraId="2580C18F"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27</w:t>
            </w:r>
          </w:p>
        </w:tc>
        <w:tc>
          <w:tcPr>
            <w:tcW w:w="2150" w:type="dxa"/>
          </w:tcPr>
          <w:p w14:paraId="578E51E8" w14:textId="77777777" w:rsidR="008715BE" w:rsidRPr="00EC75B7" w:rsidRDefault="008715BE">
            <w:pPr>
              <w:pStyle w:val="TableParagraph"/>
              <w:spacing w:before="7"/>
              <w:rPr>
                <w:rFonts w:ascii="Verdana" w:hAnsi="Verdana"/>
                <w:sz w:val="18"/>
                <w:szCs w:val="18"/>
              </w:rPr>
            </w:pPr>
          </w:p>
          <w:p w14:paraId="09E90BA6"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European </w:t>
            </w:r>
            <w:r w:rsidRPr="00EC75B7">
              <w:rPr>
                <w:rFonts w:ascii="Verdana" w:hAnsi="Verdana"/>
                <w:i/>
                <w:spacing w:val="-2"/>
                <w:sz w:val="18"/>
                <w:szCs w:val="18"/>
              </w:rPr>
              <w:t>robin</w:t>
            </w:r>
          </w:p>
        </w:tc>
        <w:tc>
          <w:tcPr>
            <w:tcW w:w="1927" w:type="dxa"/>
          </w:tcPr>
          <w:p w14:paraId="4C709507" w14:textId="77777777" w:rsidR="008715BE" w:rsidRPr="00EC75B7" w:rsidRDefault="008715BE">
            <w:pPr>
              <w:pStyle w:val="TableParagraph"/>
              <w:spacing w:before="7"/>
              <w:rPr>
                <w:rFonts w:ascii="Verdana" w:hAnsi="Verdana"/>
                <w:sz w:val="18"/>
                <w:szCs w:val="18"/>
              </w:rPr>
            </w:pPr>
          </w:p>
          <w:p w14:paraId="16121074"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Robin</w:t>
            </w:r>
          </w:p>
        </w:tc>
        <w:tc>
          <w:tcPr>
            <w:tcW w:w="1449" w:type="dxa"/>
          </w:tcPr>
          <w:p w14:paraId="4E0DDCA0" w14:textId="77777777" w:rsidR="008715BE" w:rsidRPr="00EC75B7" w:rsidRDefault="008715BE">
            <w:pPr>
              <w:pStyle w:val="TableParagraph"/>
              <w:spacing w:before="7"/>
              <w:rPr>
                <w:rFonts w:ascii="Verdana" w:hAnsi="Verdana"/>
                <w:sz w:val="18"/>
                <w:szCs w:val="18"/>
              </w:rPr>
            </w:pPr>
          </w:p>
          <w:p w14:paraId="04D5BF98"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3</w:t>
            </w:r>
          </w:p>
        </w:tc>
        <w:tc>
          <w:tcPr>
            <w:tcW w:w="1842" w:type="dxa"/>
          </w:tcPr>
          <w:p w14:paraId="1723D90D" w14:textId="77777777" w:rsidR="008715BE" w:rsidRPr="00EC75B7" w:rsidRDefault="00000000">
            <w:pPr>
              <w:pStyle w:val="TableParagraph"/>
              <w:spacing w:line="194" w:lineRule="exact"/>
              <w:ind w:left="618" w:right="242" w:hanging="358"/>
              <w:rPr>
                <w:rFonts w:ascii="Verdana" w:hAnsi="Verdana"/>
                <w:sz w:val="18"/>
                <w:szCs w:val="18"/>
              </w:rPr>
            </w:pPr>
            <w:r w:rsidRPr="00EC75B7">
              <w:rPr>
                <w:rFonts w:ascii="Verdana" w:hAnsi="Verdana"/>
                <w:spacing w:val="-2"/>
                <w:sz w:val="18"/>
                <w:szCs w:val="18"/>
              </w:rPr>
              <w:t>Northern Europe - Southern Europe</w:t>
            </w:r>
          </w:p>
        </w:tc>
        <w:tc>
          <w:tcPr>
            <w:tcW w:w="2006" w:type="dxa"/>
          </w:tcPr>
          <w:p w14:paraId="554A8F5A"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72">
              <w:r w:rsidR="008715BE" w:rsidRPr="00EC75B7">
                <w:rPr>
                  <w:rFonts w:ascii="Verdana" w:hAnsi="Verdana"/>
                  <w:spacing w:val="-2"/>
                  <w:sz w:val="18"/>
                  <w:szCs w:val="18"/>
                </w:rPr>
                <w:t xml:space="preserve"> https://migrationatlas</w:t>
              </w:r>
            </w:hyperlink>
          </w:p>
          <w:p w14:paraId="286A626A"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4AD9FBCD" w14:textId="77777777">
        <w:trPr>
          <w:trHeight w:val="583"/>
        </w:trPr>
        <w:tc>
          <w:tcPr>
            <w:tcW w:w="569" w:type="dxa"/>
          </w:tcPr>
          <w:p w14:paraId="171AC225" w14:textId="77777777" w:rsidR="008715BE" w:rsidRPr="00EC75B7" w:rsidRDefault="008715BE">
            <w:pPr>
              <w:pStyle w:val="TableParagraph"/>
              <w:spacing w:before="7"/>
              <w:rPr>
                <w:rFonts w:ascii="Verdana" w:hAnsi="Verdana"/>
                <w:sz w:val="18"/>
                <w:szCs w:val="18"/>
              </w:rPr>
            </w:pPr>
          </w:p>
          <w:p w14:paraId="7896B697" w14:textId="77777777" w:rsidR="008715BE" w:rsidRPr="00EC75B7" w:rsidRDefault="00000000">
            <w:pPr>
              <w:pStyle w:val="TableParagraph"/>
              <w:spacing w:before="1"/>
              <w:ind w:left="108"/>
              <w:rPr>
                <w:rFonts w:ascii="Verdana" w:hAnsi="Verdana"/>
                <w:sz w:val="18"/>
                <w:szCs w:val="18"/>
              </w:rPr>
            </w:pPr>
            <w:r w:rsidRPr="00EC75B7">
              <w:rPr>
                <w:rFonts w:ascii="Verdana" w:hAnsi="Verdana"/>
                <w:spacing w:val="-5"/>
                <w:sz w:val="18"/>
                <w:szCs w:val="18"/>
              </w:rPr>
              <w:t>2</w:t>
            </w:r>
          </w:p>
        </w:tc>
        <w:tc>
          <w:tcPr>
            <w:tcW w:w="2150" w:type="dxa"/>
          </w:tcPr>
          <w:p w14:paraId="48E7C50D" w14:textId="77777777" w:rsidR="008715BE" w:rsidRPr="00EC75B7" w:rsidRDefault="008715BE">
            <w:pPr>
              <w:pStyle w:val="TableParagraph"/>
              <w:spacing w:before="7"/>
              <w:rPr>
                <w:rFonts w:ascii="Verdana" w:hAnsi="Verdana"/>
                <w:sz w:val="18"/>
                <w:szCs w:val="18"/>
              </w:rPr>
            </w:pPr>
          </w:p>
          <w:p w14:paraId="7E7F69D9" w14:textId="77777777" w:rsidR="008715BE" w:rsidRPr="00EC75B7" w:rsidRDefault="00000000">
            <w:pPr>
              <w:pStyle w:val="TableParagraph"/>
              <w:spacing w:before="1"/>
              <w:ind w:left="108"/>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columbarius</w:t>
            </w:r>
          </w:p>
        </w:tc>
        <w:tc>
          <w:tcPr>
            <w:tcW w:w="1927" w:type="dxa"/>
          </w:tcPr>
          <w:p w14:paraId="790C99C6" w14:textId="77777777" w:rsidR="008715BE" w:rsidRPr="00EC75B7" w:rsidRDefault="008715BE">
            <w:pPr>
              <w:pStyle w:val="TableParagraph"/>
              <w:spacing w:before="7"/>
              <w:rPr>
                <w:rFonts w:ascii="Verdana" w:hAnsi="Verdana"/>
                <w:sz w:val="18"/>
                <w:szCs w:val="18"/>
              </w:rPr>
            </w:pPr>
          </w:p>
          <w:p w14:paraId="73742927" w14:textId="77777777" w:rsidR="008715BE" w:rsidRPr="00EC75B7" w:rsidRDefault="00000000">
            <w:pPr>
              <w:pStyle w:val="TableParagraph"/>
              <w:spacing w:before="1"/>
              <w:ind w:left="108"/>
              <w:rPr>
                <w:rFonts w:ascii="Verdana" w:hAnsi="Verdana"/>
                <w:sz w:val="18"/>
                <w:szCs w:val="18"/>
              </w:rPr>
            </w:pPr>
            <w:r w:rsidRPr="00EC75B7">
              <w:rPr>
                <w:rFonts w:ascii="Verdana" w:hAnsi="Verdana"/>
                <w:spacing w:val="-2"/>
                <w:sz w:val="18"/>
                <w:szCs w:val="18"/>
              </w:rPr>
              <w:t xml:space="preserve">Peregrine </w:t>
            </w:r>
            <w:r w:rsidRPr="00EC75B7">
              <w:rPr>
                <w:rFonts w:ascii="Verdana" w:hAnsi="Verdana"/>
                <w:sz w:val="18"/>
                <w:szCs w:val="18"/>
              </w:rPr>
              <w:t>falcon</w:t>
            </w:r>
          </w:p>
        </w:tc>
        <w:tc>
          <w:tcPr>
            <w:tcW w:w="1449" w:type="dxa"/>
          </w:tcPr>
          <w:p w14:paraId="4A5BB07B" w14:textId="77777777" w:rsidR="008715BE" w:rsidRPr="00EC75B7" w:rsidRDefault="008715BE">
            <w:pPr>
              <w:pStyle w:val="TableParagraph"/>
              <w:spacing w:before="7"/>
              <w:rPr>
                <w:rFonts w:ascii="Verdana" w:hAnsi="Verdana"/>
                <w:sz w:val="18"/>
                <w:szCs w:val="18"/>
              </w:rPr>
            </w:pPr>
          </w:p>
          <w:p w14:paraId="3A8E4D81" w14:textId="77777777" w:rsidR="008715BE" w:rsidRPr="00EC75B7" w:rsidRDefault="00000000">
            <w:pPr>
              <w:pStyle w:val="TableParagraph"/>
              <w:spacing w:before="1"/>
              <w:ind w:left="19"/>
              <w:jc w:val="center"/>
              <w:rPr>
                <w:rFonts w:ascii="Verdana" w:hAnsi="Verdana"/>
                <w:sz w:val="18"/>
                <w:szCs w:val="18"/>
              </w:rPr>
            </w:pPr>
            <w:r w:rsidRPr="00EC75B7">
              <w:rPr>
                <w:rFonts w:ascii="Verdana" w:hAnsi="Verdana"/>
                <w:spacing w:val="-10"/>
                <w:sz w:val="18"/>
                <w:szCs w:val="18"/>
              </w:rPr>
              <w:t>2</w:t>
            </w:r>
          </w:p>
        </w:tc>
        <w:tc>
          <w:tcPr>
            <w:tcW w:w="1842" w:type="dxa"/>
          </w:tcPr>
          <w:p w14:paraId="00401A25" w14:textId="77777777" w:rsidR="008715BE" w:rsidRPr="00EC75B7" w:rsidRDefault="00000000">
            <w:pPr>
              <w:pStyle w:val="TableParagraph"/>
              <w:spacing w:line="194" w:lineRule="exact"/>
              <w:ind w:left="618" w:right="242" w:hanging="358"/>
              <w:rPr>
                <w:rFonts w:ascii="Verdana" w:hAnsi="Verdana"/>
                <w:sz w:val="18"/>
                <w:szCs w:val="18"/>
              </w:rPr>
            </w:pPr>
            <w:r w:rsidRPr="00EC75B7">
              <w:rPr>
                <w:rFonts w:ascii="Verdana" w:hAnsi="Verdana"/>
                <w:spacing w:val="-2"/>
                <w:sz w:val="18"/>
                <w:szCs w:val="18"/>
              </w:rPr>
              <w:t>Northern Europe - Southern Europe</w:t>
            </w:r>
          </w:p>
        </w:tc>
        <w:tc>
          <w:tcPr>
            <w:tcW w:w="2006" w:type="dxa"/>
          </w:tcPr>
          <w:p w14:paraId="3637AD79" w14:textId="77777777" w:rsidR="008715BE" w:rsidRPr="00EC75B7" w:rsidRDefault="00000000">
            <w:pPr>
              <w:pStyle w:val="TableParagraph"/>
              <w:spacing w:before="9"/>
              <w:ind w:left="116" w:right="100" w:firstLine="259"/>
              <w:rPr>
                <w:rFonts w:ascii="Verdana" w:hAnsi="Verdana"/>
                <w:sz w:val="18"/>
                <w:szCs w:val="18"/>
              </w:rPr>
            </w:pPr>
            <w:r w:rsidRPr="00EC75B7">
              <w:rPr>
                <w:rFonts w:ascii="Verdana" w:hAnsi="Verdana"/>
                <w:sz w:val="18"/>
                <w:szCs w:val="18"/>
              </w:rPr>
              <w:t>Migrationatlas -</w:t>
            </w:r>
            <w:hyperlink r:id="rId73">
              <w:r w:rsidR="008715BE" w:rsidRPr="00EC75B7">
                <w:rPr>
                  <w:rFonts w:ascii="Verdana" w:hAnsi="Verdana"/>
                  <w:spacing w:val="-2"/>
                  <w:sz w:val="18"/>
                  <w:szCs w:val="18"/>
                </w:rPr>
                <w:t xml:space="preserve"> https://migrationatlas</w:t>
              </w:r>
            </w:hyperlink>
          </w:p>
          <w:p w14:paraId="1106BEFF"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6B276E7" w14:textId="77777777">
        <w:trPr>
          <w:trHeight w:val="582"/>
        </w:trPr>
        <w:tc>
          <w:tcPr>
            <w:tcW w:w="569" w:type="dxa"/>
          </w:tcPr>
          <w:p w14:paraId="279DC609" w14:textId="77777777" w:rsidR="008715BE" w:rsidRPr="00EC75B7" w:rsidRDefault="008715BE">
            <w:pPr>
              <w:pStyle w:val="TableParagraph"/>
              <w:spacing w:before="7"/>
              <w:rPr>
                <w:rFonts w:ascii="Verdana" w:hAnsi="Verdana"/>
                <w:sz w:val="18"/>
                <w:szCs w:val="18"/>
              </w:rPr>
            </w:pPr>
          </w:p>
          <w:p w14:paraId="6AC30396"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29</w:t>
            </w:r>
          </w:p>
        </w:tc>
        <w:tc>
          <w:tcPr>
            <w:tcW w:w="2150" w:type="dxa"/>
          </w:tcPr>
          <w:p w14:paraId="566D73CC" w14:textId="77777777" w:rsidR="008715BE" w:rsidRPr="00EC75B7" w:rsidRDefault="008715BE">
            <w:pPr>
              <w:pStyle w:val="TableParagraph"/>
              <w:spacing w:before="7"/>
              <w:rPr>
                <w:rFonts w:ascii="Verdana" w:hAnsi="Verdana"/>
                <w:sz w:val="18"/>
                <w:szCs w:val="18"/>
              </w:rPr>
            </w:pPr>
          </w:p>
          <w:p w14:paraId="40003EF0"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subbuteo</w:t>
            </w:r>
          </w:p>
        </w:tc>
        <w:tc>
          <w:tcPr>
            <w:tcW w:w="1927" w:type="dxa"/>
          </w:tcPr>
          <w:p w14:paraId="647B5141" w14:textId="77777777" w:rsidR="008715BE" w:rsidRPr="00EC75B7" w:rsidRDefault="008715BE">
            <w:pPr>
              <w:pStyle w:val="TableParagraph"/>
              <w:spacing w:before="7"/>
              <w:rPr>
                <w:rFonts w:ascii="Verdana" w:hAnsi="Verdana"/>
                <w:sz w:val="18"/>
                <w:szCs w:val="18"/>
              </w:rPr>
            </w:pPr>
          </w:p>
          <w:p w14:paraId="69E9232C"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Swallow </w:t>
            </w:r>
            <w:r w:rsidRPr="00EC75B7">
              <w:rPr>
                <w:rFonts w:ascii="Verdana" w:hAnsi="Verdana"/>
                <w:spacing w:val="-2"/>
                <w:sz w:val="18"/>
                <w:szCs w:val="18"/>
              </w:rPr>
              <w:t>hawk</w:t>
            </w:r>
          </w:p>
        </w:tc>
        <w:tc>
          <w:tcPr>
            <w:tcW w:w="1449" w:type="dxa"/>
          </w:tcPr>
          <w:p w14:paraId="2FF732CA" w14:textId="77777777" w:rsidR="008715BE" w:rsidRPr="00EC75B7" w:rsidRDefault="008715BE">
            <w:pPr>
              <w:pStyle w:val="TableParagraph"/>
              <w:spacing w:before="7"/>
              <w:rPr>
                <w:rFonts w:ascii="Verdana" w:hAnsi="Verdana"/>
                <w:sz w:val="18"/>
                <w:szCs w:val="18"/>
              </w:rPr>
            </w:pPr>
          </w:p>
          <w:p w14:paraId="39644720"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2</w:t>
            </w:r>
          </w:p>
        </w:tc>
        <w:tc>
          <w:tcPr>
            <w:tcW w:w="1842" w:type="dxa"/>
          </w:tcPr>
          <w:p w14:paraId="57096500" w14:textId="77777777" w:rsidR="008715BE" w:rsidRPr="00EC75B7" w:rsidRDefault="00000000">
            <w:pPr>
              <w:pStyle w:val="TableParagraph"/>
              <w:spacing w:line="194" w:lineRule="exact"/>
              <w:ind w:left="695" w:right="242" w:hanging="435"/>
              <w:rPr>
                <w:rFonts w:ascii="Verdana" w:hAnsi="Verdana"/>
                <w:sz w:val="18"/>
                <w:szCs w:val="18"/>
              </w:rPr>
            </w:pPr>
            <w:r w:rsidRPr="00EC75B7">
              <w:rPr>
                <w:rFonts w:ascii="Verdana" w:hAnsi="Verdana"/>
                <w:spacing w:val="-2"/>
                <w:sz w:val="18"/>
                <w:szCs w:val="18"/>
              </w:rPr>
              <w:t>Northern Europe - Southern Africa</w:t>
            </w:r>
          </w:p>
        </w:tc>
        <w:tc>
          <w:tcPr>
            <w:tcW w:w="2006" w:type="dxa"/>
          </w:tcPr>
          <w:p w14:paraId="1E748AB1"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74">
              <w:r w:rsidR="008715BE" w:rsidRPr="00EC75B7">
                <w:rPr>
                  <w:rFonts w:ascii="Verdana" w:hAnsi="Verdana"/>
                  <w:spacing w:val="-2"/>
                  <w:sz w:val="18"/>
                  <w:szCs w:val="18"/>
                </w:rPr>
                <w:t xml:space="preserve"> https://migrationatlas</w:t>
              </w:r>
            </w:hyperlink>
          </w:p>
          <w:p w14:paraId="77F96C08"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CC6DEF8" w14:textId="77777777">
        <w:trPr>
          <w:trHeight w:val="585"/>
        </w:trPr>
        <w:tc>
          <w:tcPr>
            <w:tcW w:w="569" w:type="dxa"/>
          </w:tcPr>
          <w:p w14:paraId="77884977" w14:textId="77777777" w:rsidR="008715BE" w:rsidRPr="00EC75B7" w:rsidRDefault="008715BE">
            <w:pPr>
              <w:pStyle w:val="TableParagraph"/>
              <w:spacing w:before="9"/>
              <w:rPr>
                <w:rFonts w:ascii="Verdana" w:hAnsi="Verdana"/>
                <w:sz w:val="18"/>
                <w:szCs w:val="18"/>
              </w:rPr>
            </w:pPr>
          </w:p>
          <w:p w14:paraId="42775A5C"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30</w:t>
            </w:r>
          </w:p>
        </w:tc>
        <w:tc>
          <w:tcPr>
            <w:tcW w:w="2150" w:type="dxa"/>
          </w:tcPr>
          <w:p w14:paraId="77D24646" w14:textId="77777777" w:rsidR="008715BE" w:rsidRPr="00EC75B7" w:rsidRDefault="008715BE">
            <w:pPr>
              <w:pStyle w:val="TableParagraph"/>
              <w:spacing w:before="9"/>
              <w:rPr>
                <w:rFonts w:ascii="Verdana" w:hAnsi="Verdana"/>
                <w:sz w:val="18"/>
                <w:szCs w:val="18"/>
              </w:rPr>
            </w:pPr>
          </w:p>
          <w:p w14:paraId="58DED6E0"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tinnunculus</w:t>
            </w:r>
          </w:p>
        </w:tc>
        <w:tc>
          <w:tcPr>
            <w:tcW w:w="1927" w:type="dxa"/>
          </w:tcPr>
          <w:p w14:paraId="77E63B7E" w14:textId="77777777" w:rsidR="008715BE" w:rsidRPr="00EC75B7" w:rsidRDefault="008715BE">
            <w:pPr>
              <w:pStyle w:val="TableParagraph"/>
              <w:spacing w:before="9"/>
              <w:rPr>
                <w:rFonts w:ascii="Verdana" w:hAnsi="Verdana"/>
                <w:sz w:val="18"/>
                <w:szCs w:val="18"/>
              </w:rPr>
            </w:pPr>
          </w:p>
          <w:p w14:paraId="56855519" w14:textId="77777777" w:rsidR="008715BE" w:rsidRPr="00EC75B7" w:rsidRDefault="00000000">
            <w:pPr>
              <w:pStyle w:val="TableParagraph"/>
              <w:ind w:left="108"/>
              <w:rPr>
                <w:rFonts w:ascii="Verdana" w:hAnsi="Verdana"/>
                <w:sz w:val="18"/>
                <w:szCs w:val="18"/>
              </w:rPr>
            </w:pPr>
            <w:r w:rsidRPr="00EC75B7">
              <w:rPr>
                <w:rFonts w:ascii="Verdana" w:hAnsi="Verdana"/>
                <w:spacing w:val="-4"/>
                <w:sz w:val="18"/>
                <w:szCs w:val="18"/>
              </w:rPr>
              <w:t xml:space="preserve">Red </w:t>
            </w:r>
            <w:r w:rsidRPr="00EC75B7">
              <w:rPr>
                <w:rFonts w:ascii="Verdana" w:hAnsi="Verdana"/>
                <w:sz w:val="18"/>
                <w:szCs w:val="18"/>
              </w:rPr>
              <w:t>Kestrel</w:t>
            </w:r>
          </w:p>
        </w:tc>
        <w:tc>
          <w:tcPr>
            <w:tcW w:w="1449" w:type="dxa"/>
          </w:tcPr>
          <w:p w14:paraId="541E7187" w14:textId="77777777" w:rsidR="008715BE" w:rsidRPr="00EC75B7" w:rsidRDefault="008715BE">
            <w:pPr>
              <w:pStyle w:val="TableParagraph"/>
              <w:spacing w:before="9"/>
              <w:rPr>
                <w:rFonts w:ascii="Verdana" w:hAnsi="Verdana"/>
                <w:sz w:val="18"/>
                <w:szCs w:val="18"/>
              </w:rPr>
            </w:pPr>
          </w:p>
          <w:p w14:paraId="2EF632E4"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5</w:t>
            </w:r>
          </w:p>
        </w:tc>
        <w:tc>
          <w:tcPr>
            <w:tcW w:w="1842" w:type="dxa"/>
          </w:tcPr>
          <w:p w14:paraId="360B2F6B" w14:textId="77777777" w:rsidR="008715BE" w:rsidRPr="00EC75B7" w:rsidRDefault="00000000">
            <w:pPr>
              <w:pStyle w:val="TableParagraph"/>
              <w:spacing w:before="10"/>
              <w:ind w:left="405" w:right="242" w:hanging="144"/>
              <w:rPr>
                <w:rFonts w:ascii="Verdana" w:hAnsi="Verdana"/>
                <w:sz w:val="18"/>
                <w:szCs w:val="18"/>
              </w:rPr>
            </w:pPr>
            <w:r w:rsidRPr="00EC75B7">
              <w:rPr>
                <w:rFonts w:ascii="Verdana" w:hAnsi="Verdana"/>
                <w:spacing w:val="-2"/>
                <w:sz w:val="18"/>
                <w:szCs w:val="18"/>
              </w:rPr>
              <w:t xml:space="preserve">Northern Europe - </w:t>
            </w:r>
            <w:r w:rsidRPr="00EC75B7">
              <w:rPr>
                <w:rFonts w:ascii="Verdana" w:hAnsi="Verdana"/>
                <w:sz w:val="18"/>
                <w:szCs w:val="18"/>
              </w:rPr>
              <w:t>Northern Africa</w:t>
            </w:r>
          </w:p>
        </w:tc>
        <w:tc>
          <w:tcPr>
            <w:tcW w:w="2006" w:type="dxa"/>
          </w:tcPr>
          <w:p w14:paraId="6626E67F" w14:textId="77777777" w:rsidR="008715BE" w:rsidRPr="00EC75B7" w:rsidRDefault="00000000">
            <w:pPr>
              <w:pStyle w:val="TableParagraph"/>
              <w:spacing w:before="10"/>
              <w:ind w:left="116" w:right="100" w:firstLine="259"/>
              <w:rPr>
                <w:rFonts w:ascii="Verdana" w:hAnsi="Verdana"/>
                <w:sz w:val="18"/>
                <w:szCs w:val="18"/>
              </w:rPr>
            </w:pPr>
            <w:r w:rsidRPr="00EC75B7">
              <w:rPr>
                <w:rFonts w:ascii="Verdana" w:hAnsi="Verdana"/>
                <w:sz w:val="18"/>
                <w:szCs w:val="18"/>
              </w:rPr>
              <w:t>Migrationatlas -</w:t>
            </w:r>
            <w:hyperlink r:id="rId75">
              <w:r w:rsidR="008715BE" w:rsidRPr="00EC75B7">
                <w:rPr>
                  <w:rFonts w:ascii="Verdana" w:hAnsi="Verdana"/>
                  <w:spacing w:val="-2"/>
                  <w:sz w:val="18"/>
                  <w:szCs w:val="18"/>
                </w:rPr>
                <w:t xml:space="preserve"> https://migrationatlas</w:t>
              </w:r>
            </w:hyperlink>
          </w:p>
          <w:p w14:paraId="7D65930A"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1538BA59" w14:textId="77777777">
        <w:trPr>
          <w:trHeight w:val="313"/>
        </w:trPr>
        <w:tc>
          <w:tcPr>
            <w:tcW w:w="569" w:type="dxa"/>
          </w:tcPr>
          <w:p w14:paraId="34649F25"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31</w:t>
            </w:r>
          </w:p>
        </w:tc>
        <w:tc>
          <w:tcPr>
            <w:tcW w:w="2150" w:type="dxa"/>
          </w:tcPr>
          <w:p w14:paraId="133A1A1F"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Fringilla coelebs</w:t>
            </w:r>
          </w:p>
        </w:tc>
        <w:tc>
          <w:tcPr>
            <w:tcW w:w="1927" w:type="dxa"/>
          </w:tcPr>
          <w:p w14:paraId="3708DC46"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Chaffinch</w:t>
            </w:r>
          </w:p>
        </w:tc>
        <w:tc>
          <w:tcPr>
            <w:tcW w:w="1449" w:type="dxa"/>
          </w:tcPr>
          <w:p w14:paraId="69F72811"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4</w:t>
            </w:r>
          </w:p>
        </w:tc>
        <w:tc>
          <w:tcPr>
            <w:tcW w:w="1842" w:type="dxa"/>
          </w:tcPr>
          <w:p w14:paraId="49C90EAF"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414528BD"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241FB6FA" w14:textId="77777777">
        <w:trPr>
          <w:trHeight w:val="582"/>
        </w:trPr>
        <w:tc>
          <w:tcPr>
            <w:tcW w:w="569" w:type="dxa"/>
          </w:tcPr>
          <w:p w14:paraId="3C519A16" w14:textId="77777777" w:rsidR="008715BE" w:rsidRPr="00EC75B7" w:rsidRDefault="008715BE">
            <w:pPr>
              <w:pStyle w:val="TableParagraph"/>
              <w:spacing w:before="7"/>
              <w:rPr>
                <w:rFonts w:ascii="Verdana" w:hAnsi="Verdana"/>
                <w:sz w:val="18"/>
                <w:szCs w:val="18"/>
              </w:rPr>
            </w:pPr>
          </w:p>
          <w:p w14:paraId="219108D9"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32</w:t>
            </w:r>
          </w:p>
        </w:tc>
        <w:tc>
          <w:tcPr>
            <w:tcW w:w="2150" w:type="dxa"/>
          </w:tcPr>
          <w:p w14:paraId="540D31EA" w14:textId="77777777" w:rsidR="008715BE" w:rsidRPr="00EC75B7" w:rsidRDefault="008715BE">
            <w:pPr>
              <w:pStyle w:val="TableParagraph"/>
              <w:spacing w:before="7"/>
              <w:rPr>
                <w:rFonts w:ascii="Verdana" w:hAnsi="Verdana"/>
                <w:sz w:val="18"/>
                <w:szCs w:val="18"/>
              </w:rPr>
            </w:pPr>
          </w:p>
          <w:p w14:paraId="1940C9FB" w14:textId="77777777" w:rsidR="008715BE" w:rsidRPr="00EC75B7" w:rsidRDefault="00000000">
            <w:pPr>
              <w:pStyle w:val="TableParagraph"/>
              <w:ind w:left="108"/>
              <w:rPr>
                <w:rFonts w:ascii="Verdana" w:hAnsi="Verdana"/>
                <w:i/>
                <w:sz w:val="18"/>
                <w:szCs w:val="18"/>
              </w:rPr>
            </w:pPr>
            <w:r w:rsidRPr="00EC75B7">
              <w:rPr>
                <w:rFonts w:ascii="Verdana" w:hAnsi="Verdana"/>
                <w:i/>
                <w:spacing w:val="-2"/>
                <w:sz w:val="18"/>
                <w:szCs w:val="18"/>
              </w:rPr>
              <w:t xml:space="preserve">Crested </w:t>
            </w:r>
            <w:r w:rsidRPr="00EC75B7">
              <w:rPr>
                <w:rFonts w:ascii="Verdana" w:hAnsi="Verdana"/>
                <w:i/>
                <w:sz w:val="18"/>
                <w:szCs w:val="18"/>
              </w:rPr>
              <w:t>Bunting</w:t>
            </w:r>
          </w:p>
        </w:tc>
        <w:tc>
          <w:tcPr>
            <w:tcW w:w="1927" w:type="dxa"/>
          </w:tcPr>
          <w:p w14:paraId="65917234" w14:textId="77777777" w:rsidR="008715BE" w:rsidRPr="00EC75B7" w:rsidRDefault="008715BE">
            <w:pPr>
              <w:pStyle w:val="TableParagraph"/>
              <w:spacing w:before="7"/>
              <w:rPr>
                <w:rFonts w:ascii="Verdana" w:hAnsi="Verdana"/>
                <w:sz w:val="18"/>
                <w:szCs w:val="18"/>
              </w:rPr>
            </w:pPr>
          </w:p>
          <w:p w14:paraId="17D734CC"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Ciocârlan</w:t>
            </w:r>
          </w:p>
        </w:tc>
        <w:tc>
          <w:tcPr>
            <w:tcW w:w="1449" w:type="dxa"/>
          </w:tcPr>
          <w:p w14:paraId="36112BE9" w14:textId="77777777" w:rsidR="008715BE" w:rsidRPr="00EC75B7" w:rsidRDefault="008715BE">
            <w:pPr>
              <w:pStyle w:val="TableParagraph"/>
              <w:spacing w:before="7"/>
              <w:rPr>
                <w:rFonts w:ascii="Verdana" w:hAnsi="Verdana"/>
                <w:sz w:val="18"/>
                <w:szCs w:val="18"/>
              </w:rPr>
            </w:pPr>
          </w:p>
          <w:p w14:paraId="4BCE4D28"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26</w:t>
            </w:r>
          </w:p>
        </w:tc>
        <w:tc>
          <w:tcPr>
            <w:tcW w:w="1842" w:type="dxa"/>
          </w:tcPr>
          <w:p w14:paraId="4472C442" w14:textId="77777777" w:rsidR="008715BE" w:rsidRPr="00EC75B7" w:rsidRDefault="00000000">
            <w:pPr>
              <w:pStyle w:val="TableParagraph"/>
              <w:spacing w:before="8"/>
              <w:ind w:left="398" w:hanging="284"/>
              <w:rPr>
                <w:rFonts w:ascii="Verdana" w:hAnsi="Verdana"/>
                <w:sz w:val="18"/>
                <w:szCs w:val="18"/>
              </w:rPr>
            </w:pPr>
            <w:r w:rsidRPr="00EC75B7">
              <w:rPr>
                <w:rFonts w:ascii="Verdana" w:hAnsi="Verdana"/>
                <w:sz w:val="18"/>
                <w:szCs w:val="18"/>
              </w:rPr>
              <w:t>Southern Europe - Southeastern Europe</w:t>
            </w:r>
          </w:p>
        </w:tc>
        <w:tc>
          <w:tcPr>
            <w:tcW w:w="2006" w:type="dxa"/>
          </w:tcPr>
          <w:p w14:paraId="01DFF1D2"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76">
              <w:r w:rsidR="008715BE" w:rsidRPr="00EC75B7">
                <w:rPr>
                  <w:rFonts w:ascii="Verdana" w:hAnsi="Verdana"/>
                  <w:spacing w:val="-2"/>
                  <w:sz w:val="18"/>
                  <w:szCs w:val="18"/>
                </w:rPr>
                <w:t xml:space="preserve"> https://migrationatlas</w:t>
              </w:r>
            </w:hyperlink>
          </w:p>
          <w:p w14:paraId="074CB09A"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bl>
    <w:p w14:paraId="0085EDA7" w14:textId="77777777" w:rsidR="008715BE" w:rsidRPr="00EC75B7" w:rsidRDefault="008715BE">
      <w:pPr>
        <w:pStyle w:val="BodyText"/>
        <w:spacing w:before="13" w:after="1"/>
        <w:rPr>
          <w:rFonts w:ascii="Verdana" w:hAnsi="Verdana"/>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8715BE" w:rsidRPr="00EC75B7" w14:paraId="7EDFE980" w14:textId="77777777">
        <w:trPr>
          <w:trHeight w:val="777"/>
        </w:trPr>
        <w:tc>
          <w:tcPr>
            <w:tcW w:w="569" w:type="dxa"/>
            <w:shd w:val="clear" w:color="auto" w:fill="00AFEF"/>
          </w:tcPr>
          <w:p w14:paraId="2CFADACA" w14:textId="77777777" w:rsidR="008715BE" w:rsidRPr="00EC75B7" w:rsidRDefault="008715BE">
            <w:pPr>
              <w:pStyle w:val="TableParagraph"/>
              <w:spacing w:before="7"/>
              <w:rPr>
                <w:rFonts w:ascii="Verdana" w:hAnsi="Verdana"/>
                <w:sz w:val="18"/>
                <w:szCs w:val="18"/>
              </w:rPr>
            </w:pPr>
          </w:p>
          <w:p w14:paraId="2EA836ED" w14:textId="77777777" w:rsidR="008715BE" w:rsidRPr="00EC75B7" w:rsidRDefault="00000000">
            <w:pPr>
              <w:pStyle w:val="TableParagraph"/>
              <w:ind w:left="132" w:firstLine="14"/>
              <w:rPr>
                <w:rFonts w:ascii="Verdana" w:hAnsi="Verdana"/>
                <w:b/>
                <w:sz w:val="18"/>
                <w:szCs w:val="18"/>
              </w:rPr>
            </w:pPr>
            <w:r w:rsidRPr="00EC75B7">
              <w:rPr>
                <w:rFonts w:ascii="Verdana" w:hAnsi="Verdana"/>
                <w:b/>
                <w:color w:val="FFFFFF"/>
                <w:spacing w:val="-4"/>
                <w:sz w:val="18"/>
                <w:szCs w:val="18"/>
              </w:rPr>
              <w:t>No.</w:t>
            </w:r>
          </w:p>
        </w:tc>
        <w:tc>
          <w:tcPr>
            <w:tcW w:w="2150" w:type="dxa"/>
            <w:shd w:val="clear" w:color="auto" w:fill="00AFEF"/>
          </w:tcPr>
          <w:p w14:paraId="064FE247" w14:textId="77777777" w:rsidR="008715BE" w:rsidRPr="00EC75B7" w:rsidRDefault="008715BE">
            <w:pPr>
              <w:pStyle w:val="TableParagraph"/>
              <w:spacing w:before="106"/>
              <w:rPr>
                <w:rFonts w:ascii="Verdana" w:hAnsi="Verdana"/>
                <w:sz w:val="18"/>
                <w:szCs w:val="18"/>
              </w:rPr>
            </w:pPr>
          </w:p>
          <w:p w14:paraId="41A87427"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Species</w:t>
            </w:r>
          </w:p>
        </w:tc>
        <w:tc>
          <w:tcPr>
            <w:tcW w:w="1927" w:type="dxa"/>
            <w:shd w:val="clear" w:color="auto" w:fill="00AFEF"/>
          </w:tcPr>
          <w:p w14:paraId="767CE0C2" w14:textId="77777777" w:rsidR="008715BE" w:rsidRPr="00EC75B7" w:rsidRDefault="008715BE">
            <w:pPr>
              <w:pStyle w:val="TableParagraph"/>
              <w:spacing w:before="106"/>
              <w:rPr>
                <w:rFonts w:ascii="Verdana" w:hAnsi="Verdana"/>
                <w:sz w:val="18"/>
                <w:szCs w:val="18"/>
              </w:rPr>
            </w:pPr>
          </w:p>
          <w:p w14:paraId="2FC759E1" w14:textId="77777777" w:rsidR="008715BE" w:rsidRPr="00EC75B7" w:rsidRDefault="00000000">
            <w:pPr>
              <w:pStyle w:val="TableParagraph"/>
              <w:ind w:left="214"/>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449" w:type="dxa"/>
            <w:shd w:val="clear" w:color="auto" w:fill="00AFEF"/>
          </w:tcPr>
          <w:p w14:paraId="0DCFD9B1" w14:textId="77777777" w:rsidR="008715BE" w:rsidRPr="00EC75B7" w:rsidRDefault="00000000">
            <w:pPr>
              <w:pStyle w:val="TableParagraph"/>
              <w:spacing w:before="8" w:line="195" w:lineRule="exact"/>
              <w:ind w:left="19" w:right="2"/>
              <w:jc w:val="center"/>
              <w:rPr>
                <w:rFonts w:ascii="Verdana" w:hAnsi="Verdana"/>
                <w:b/>
                <w:sz w:val="18"/>
                <w:szCs w:val="18"/>
              </w:rPr>
            </w:pPr>
            <w:r w:rsidRPr="00EC75B7">
              <w:rPr>
                <w:rFonts w:ascii="Verdana" w:hAnsi="Verdana"/>
                <w:b/>
                <w:color w:val="FFFFFF"/>
                <w:spacing w:val="-4"/>
                <w:sz w:val="18"/>
                <w:szCs w:val="18"/>
              </w:rPr>
              <w:t xml:space="preserve">Index </w:t>
            </w:r>
            <w:r w:rsidRPr="00EC75B7">
              <w:rPr>
                <w:rFonts w:ascii="Verdana" w:hAnsi="Verdana"/>
                <w:b/>
                <w:color w:val="FFFFFF"/>
                <w:sz w:val="18"/>
                <w:szCs w:val="18"/>
              </w:rPr>
              <w:t>no.</w:t>
            </w:r>
          </w:p>
          <w:p w14:paraId="79DF23AE" w14:textId="77777777" w:rsidR="008715BE" w:rsidRPr="00EC75B7" w:rsidRDefault="00000000">
            <w:pPr>
              <w:pStyle w:val="TableParagraph"/>
              <w:spacing w:line="195" w:lineRule="exact"/>
              <w:ind w:left="19" w:right="6"/>
              <w:jc w:val="center"/>
              <w:rPr>
                <w:rFonts w:ascii="Verdana" w:hAnsi="Verdana"/>
                <w:b/>
                <w:sz w:val="18"/>
                <w:szCs w:val="18"/>
              </w:rPr>
            </w:pPr>
            <w:r w:rsidRPr="00EC75B7">
              <w:rPr>
                <w:rFonts w:ascii="Verdana" w:hAnsi="Verdana"/>
                <w:b/>
                <w:color w:val="FFFFFF"/>
                <w:sz w:val="18"/>
                <w:szCs w:val="18"/>
              </w:rPr>
              <w:t xml:space="preserve">Reported </w:t>
            </w:r>
            <w:r w:rsidRPr="00EC75B7">
              <w:rPr>
                <w:rFonts w:ascii="Verdana" w:hAnsi="Verdana"/>
                <w:b/>
                <w:color w:val="FFFFFF"/>
                <w:spacing w:val="-5"/>
                <w:sz w:val="18"/>
                <w:szCs w:val="18"/>
              </w:rPr>
              <w:t>in</w:t>
            </w:r>
          </w:p>
          <w:p w14:paraId="0068B5E3" w14:textId="77777777" w:rsidR="008715BE" w:rsidRPr="00EC75B7" w:rsidRDefault="00000000">
            <w:pPr>
              <w:pStyle w:val="TableParagraph"/>
              <w:spacing w:line="194" w:lineRule="exact"/>
              <w:ind w:left="19" w:right="3"/>
              <w:jc w:val="center"/>
              <w:rPr>
                <w:rFonts w:ascii="Verdana" w:hAnsi="Verdana"/>
                <w:b/>
                <w:sz w:val="18"/>
                <w:szCs w:val="18"/>
              </w:rPr>
            </w:pPr>
            <w:r w:rsidRPr="00EC75B7">
              <w:rPr>
                <w:rFonts w:ascii="Verdana" w:hAnsi="Verdana"/>
                <w:b/>
                <w:color w:val="FFFFFF"/>
                <w:spacing w:val="-5"/>
                <w:sz w:val="18"/>
                <w:szCs w:val="18"/>
              </w:rPr>
              <w:t>the</w:t>
            </w:r>
          </w:p>
          <w:p w14:paraId="4C1679B1" w14:textId="77777777" w:rsidR="008715BE" w:rsidRPr="00EC75B7" w:rsidRDefault="00000000">
            <w:pPr>
              <w:pStyle w:val="TableParagraph"/>
              <w:spacing w:line="165" w:lineRule="exact"/>
              <w:ind w:left="19" w:right="5"/>
              <w:jc w:val="center"/>
              <w:rPr>
                <w:rFonts w:ascii="Verdana" w:hAnsi="Verdana"/>
                <w:b/>
                <w:sz w:val="18"/>
                <w:szCs w:val="18"/>
              </w:rPr>
            </w:pPr>
            <w:r w:rsidRPr="00EC75B7">
              <w:rPr>
                <w:rFonts w:ascii="Verdana" w:hAnsi="Verdana"/>
                <w:b/>
                <w:color w:val="FFFFFF"/>
                <w:spacing w:val="-2"/>
                <w:sz w:val="18"/>
                <w:szCs w:val="18"/>
              </w:rPr>
              <w:t>studied</w:t>
            </w:r>
          </w:p>
        </w:tc>
        <w:tc>
          <w:tcPr>
            <w:tcW w:w="1842" w:type="dxa"/>
            <w:shd w:val="clear" w:color="auto" w:fill="00AFEF"/>
          </w:tcPr>
          <w:p w14:paraId="154745EF" w14:textId="77777777" w:rsidR="008715BE" w:rsidRPr="00EC75B7" w:rsidRDefault="00000000">
            <w:pPr>
              <w:pStyle w:val="TableParagraph"/>
              <w:spacing w:before="8"/>
              <w:ind w:left="16"/>
              <w:jc w:val="center"/>
              <w:rPr>
                <w:rFonts w:ascii="Verdana" w:hAnsi="Verdana"/>
                <w:b/>
                <w:sz w:val="18"/>
                <w:szCs w:val="18"/>
              </w:rPr>
            </w:pPr>
            <w:r w:rsidRPr="00EC75B7">
              <w:rPr>
                <w:rFonts w:ascii="Verdana" w:hAnsi="Verdana"/>
                <w:b/>
                <w:color w:val="FFFFFF"/>
                <w:spacing w:val="-2"/>
                <w:sz w:val="18"/>
                <w:szCs w:val="18"/>
              </w:rPr>
              <w:t>Migration</w:t>
            </w:r>
            <w:r w:rsidRPr="00EC75B7">
              <w:rPr>
                <w:rFonts w:ascii="Verdana" w:hAnsi="Verdana"/>
                <w:b/>
                <w:color w:val="FFFFFF"/>
                <w:sz w:val="18"/>
                <w:szCs w:val="18"/>
              </w:rPr>
              <w:t xml:space="preserve"> route</w:t>
            </w:r>
          </w:p>
        </w:tc>
        <w:tc>
          <w:tcPr>
            <w:tcW w:w="2006" w:type="dxa"/>
            <w:shd w:val="clear" w:color="auto" w:fill="00AFEF"/>
          </w:tcPr>
          <w:p w14:paraId="6A52A063" w14:textId="77777777" w:rsidR="008715BE" w:rsidRPr="00EC75B7" w:rsidRDefault="00000000">
            <w:pPr>
              <w:pStyle w:val="TableParagraph"/>
              <w:spacing w:before="8"/>
              <w:ind w:left="20"/>
              <w:jc w:val="center"/>
              <w:rPr>
                <w:rFonts w:ascii="Verdana" w:hAnsi="Verdana"/>
                <w:b/>
                <w:sz w:val="18"/>
                <w:szCs w:val="18"/>
              </w:rPr>
            </w:pPr>
            <w:r w:rsidRPr="00EC75B7">
              <w:rPr>
                <w:rFonts w:ascii="Verdana" w:hAnsi="Verdana"/>
                <w:b/>
                <w:color w:val="FFFFFF"/>
                <w:spacing w:val="-2"/>
                <w:sz w:val="18"/>
                <w:szCs w:val="18"/>
              </w:rPr>
              <w:t xml:space="preserve">Data </w:t>
            </w:r>
            <w:r w:rsidRPr="00EC75B7">
              <w:rPr>
                <w:rFonts w:ascii="Verdana" w:hAnsi="Verdana"/>
                <w:b/>
                <w:color w:val="FFFFFF"/>
                <w:sz w:val="18"/>
                <w:szCs w:val="18"/>
              </w:rPr>
              <w:t>source</w:t>
            </w:r>
          </w:p>
        </w:tc>
      </w:tr>
      <w:tr w:rsidR="008715BE" w:rsidRPr="00EC75B7" w14:paraId="31C993C3" w14:textId="77777777">
        <w:trPr>
          <w:trHeight w:val="316"/>
        </w:trPr>
        <w:tc>
          <w:tcPr>
            <w:tcW w:w="569" w:type="dxa"/>
          </w:tcPr>
          <w:p w14:paraId="6F0DD725"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33</w:t>
            </w:r>
          </w:p>
        </w:tc>
        <w:tc>
          <w:tcPr>
            <w:tcW w:w="2150" w:type="dxa"/>
          </w:tcPr>
          <w:p w14:paraId="0103AC31"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Common snipe</w:t>
            </w:r>
          </w:p>
        </w:tc>
        <w:tc>
          <w:tcPr>
            <w:tcW w:w="1927" w:type="dxa"/>
          </w:tcPr>
          <w:p w14:paraId="04F1901F"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snipe</w:t>
            </w:r>
          </w:p>
        </w:tc>
        <w:tc>
          <w:tcPr>
            <w:tcW w:w="1449" w:type="dxa"/>
          </w:tcPr>
          <w:p w14:paraId="4232B135"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1</w:t>
            </w:r>
          </w:p>
        </w:tc>
        <w:tc>
          <w:tcPr>
            <w:tcW w:w="1842" w:type="dxa"/>
          </w:tcPr>
          <w:p w14:paraId="2DC50937"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7AFF5E17"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0B3A3729" w14:textId="77777777">
        <w:trPr>
          <w:trHeight w:val="314"/>
        </w:trPr>
        <w:tc>
          <w:tcPr>
            <w:tcW w:w="569" w:type="dxa"/>
          </w:tcPr>
          <w:p w14:paraId="1D367FFA"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3</w:t>
            </w:r>
          </w:p>
        </w:tc>
        <w:tc>
          <w:tcPr>
            <w:tcW w:w="2150" w:type="dxa"/>
          </w:tcPr>
          <w:p w14:paraId="4ED84F05"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Garrulus </w:t>
            </w:r>
            <w:r w:rsidRPr="00EC75B7">
              <w:rPr>
                <w:rFonts w:ascii="Verdana" w:hAnsi="Verdana"/>
                <w:i/>
                <w:spacing w:val="-2"/>
                <w:sz w:val="18"/>
                <w:szCs w:val="18"/>
              </w:rPr>
              <w:t>glandarius</w:t>
            </w:r>
          </w:p>
        </w:tc>
        <w:tc>
          <w:tcPr>
            <w:tcW w:w="1927" w:type="dxa"/>
          </w:tcPr>
          <w:p w14:paraId="5B5C4B4E"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Magpie</w:t>
            </w:r>
          </w:p>
        </w:tc>
        <w:tc>
          <w:tcPr>
            <w:tcW w:w="1449" w:type="dxa"/>
          </w:tcPr>
          <w:p w14:paraId="7EC1DD07"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4</w:t>
            </w:r>
          </w:p>
        </w:tc>
        <w:tc>
          <w:tcPr>
            <w:tcW w:w="1842" w:type="dxa"/>
          </w:tcPr>
          <w:p w14:paraId="6E4952BF"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0DF8574F"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61603AA4" w14:textId="77777777">
        <w:trPr>
          <w:trHeight w:val="314"/>
        </w:trPr>
        <w:tc>
          <w:tcPr>
            <w:tcW w:w="569" w:type="dxa"/>
          </w:tcPr>
          <w:p w14:paraId="5362E1FB"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35</w:t>
            </w:r>
          </w:p>
        </w:tc>
        <w:tc>
          <w:tcPr>
            <w:tcW w:w="2150" w:type="dxa"/>
          </w:tcPr>
          <w:p w14:paraId="13843BF8"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Hieraaetus pennatus</w:t>
            </w:r>
          </w:p>
        </w:tc>
        <w:tc>
          <w:tcPr>
            <w:tcW w:w="1927" w:type="dxa"/>
          </w:tcPr>
          <w:p w14:paraId="52FD4E24"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4"/>
                <w:sz w:val="18"/>
                <w:szCs w:val="18"/>
              </w:rPr>
              <w:t xml:space="preserve">Small </w:t>
            </w:r>
            <w:r w:rsidRPr="00EC75B7">
              <w:rPr>
                <w:rFonts w:ascii="Verdana" w:hAnsi="Verdana"/>
                <w:sz w:val="18"/>
                <w:szCs w:val="18"/>
              </w:rPr>
              <w:t>eagle</w:t>
            </w:r>
          </w:p>
        </w:tc>
        <w:tc>
          <w:tcPr>
            <w:tcW w:w="1449" w:type="dxa"/>
          </w:tcPr>
          <w:p w14:paraId="5AABABFE"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2</w:t>
            </w:r>
          </w:p>
        </w:tc>
        <w:tc>
          <w:tcPr>
            <w:tcW w:w="1842" w:type="dxa"/>
          </w:tcPr>
          <w:p w14:paraId="06F22537"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128A5EB7"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65FFF131" w14:textId="77777777">
        <w:trPr>
          <w:trHeight w:val="585"/>
        </w:trPr>
        <w:tc>
          <w:tcPr>
            <w:tcW w:w="569" w:type="dxa"/>
          </w:tcPr>
          <w:p w14:paraId="43B68D34" w14:textId="77777777" w:rsidR="008715BE" w:rsidRPr="00EC75B7" w:rsidRDefault="008715BE">
            <w:pPr>
              <w:pStyle w:val="TableParagraph"/>
              <w:spacing w:before="9"/>
              <w:rPr>
                <w:rFonts w:ascii="Verdana" w:hAnsi="Verdana"/>
                <w:sz w:val="18"/>
                <w:szCs w:val="18"/>
              </w:rPr>
            </w:pPr>
          </w:p>
          <w:p w14:paraId="4D53E5BF"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36</w:t>
            </w:r>
          </w:p>
        </w:tc>
        <w:tc>
          <w:tcPr>
            <w:tcW w:w="2150" w:type="dxa"/>
          </w:tcPr>
          <w:p w14:paraId="26A1B2C5" w14:textId="77777777" w:rsidR="008715BE" w:rsidRPr="00EC75B7" w:rsidRDefault="008715BE">
            <w:pPr>
              <w:pStyle w:val="TableParagraph"/>
              <w:spacing w:before="9"/>
              <w:rPr>
                <w:rFonts w:ascii="Verdana" w:hAnsi="Verdana"/>
                <w:sz w:val="18"/>
                <w:szCs w:val="18"/>
              </w:rPr>
            </w:pPr>
          </w:p>
          <w:p w14:paraId="2453F600" w14:textId="77777777" w:rsidR="008715BE" w:rsidRPr="00EC75B7" w:rsidRDefault="00000000">
            <w:pPr>
              <w:pStyle w:val="TableParagraph"/>
              <w:ind w:left="108"/>
              <w:rPr>
                <w:rFonts w:ascii="Verdana" w:hAnsi="Verdana"/>
                <w:i/>
                <w:sz w:val="18"/>
                <w:szCs w:val="18"/>
              </w:rPr>
            </w:pPr>
            <w:r w:rsidRPr="00EC75B7">
              <w:rPr>
                <w:rFonts w:ascii="Verdana" w:hAnsi="Verdana"/>
                <w:i/>
                <w:spacing w:val="-2"/>
                <w:sz w:val="18"/>
                <w:szCs w:val="18"/>
              </w:rPr>
              <w:t xml:space="preserve">Barn </w:t>
            </w:r>
            <w:r w:rsidRPr="00EC75B7">
              <w:rPr>
                <w:rFonts w:ascii="Verdana" w:hAnsi="Verdana"/>
                <w:i/>
                <w:sz w:val="18"/>
                <w:szCs w:val="18"/>
              </w:rPr>
              <w:t>swallow</w:t>
            </w:r>
          </w:p>
        </w:tc>
        <w:tc>
          <w:tcPr>
            <w:tcW w:w="1927" w:type="dxa"/>
          </w:tcPr>
          <w:p w14:paraId="44112DF3" w14:textId="77777777" w:rsidR="008715BE" w:rsidRPr="00EC75B7" w:rsidRDefault="008715BE">
            <w:pPr>
              <w:pStyle w:val="TableParagraph"/>
              <w:spacing w:before="9"/>
              <w:rPr>
                <w:rFonts w:ascii="Verdana" w:hAnsi="Verdana"/>
                <w:sz w:val="18"/>
                <w:szCs w:val="18"/>
              </w:rPr>
            </w:pPr>
          </w:p>
          <w:p w14:paraId="621C95D9"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Barn swallow</w:t>
            </w:r>
          </w:p>
        </w:tc>
        <w:tc>
          <w:tcPr>
            <w:tcW w:w="1449" w:type="dxa"/>
          </w:tcPr>
          <w:p w14:paraId="7DAD861D" w14:textId="77777777" w:rsidR="008715BE" w:rsidRPr="00EC75B7" w:rsidRDefault="008715BE">
            <w:pPr>
              <w:pStyle w:val="TableParagraph"/>
              <w:spacing w:before="9"/>
              <w:rPr>
                <w:rFonts w:ascii="Verdana" w:hAnsi="Verdana"/>
                <w:sz w:val="18"/>
                <w:szCs w:val="18"/>
              </w:rPr>
            </w:pPr>
          </w:p>
          <w:p w14:paraId="04FEF00A" w14:textId="77777777" w:rsidR="008715BE" w:rsidRPr="00EC75B7" w:rsidRDefault="00000000">
            <w:pPr>
              <w:pStyle w:val="TableParagraph"/>
              <w:ind w:left="19" w:right="3"/>
              <w:jc w:val="center"/>
              <w:rPr>
                <w:rFonts w:ascii="Verdana" w:hAnsi="Verdana"/>
                <w:sz w:val="18"/>
                <w:szCs w:val="18"/>
              </w:rPr>
            </w:pPr>
            <w:r w:rsidRPr="00EC75B7">
              <w:rPr>
                <w:rFonts w:ascii="Verdana" w:hAnsi="Verdana"/>
                <w:spacing w:val="-5"/>
                <w:sz w:val="18"/>
                <w:szCs w:val="18"/>
              </w:rPr>
              <w:t>219</w:t>
            </w:r>
          </w:p>
        </w:tc>
        <w:tc>
          <w:tcPr>
            <w:tcW w:w="1842" w:type="dxa"/>
          </w:tcPr>
          <w:p w14:paraId="434B5985" w14:textId="77777777" w:rsidR="008715BE" w:rsidRPr="00EC75B7" w:rsidRDefault="00000000">
            <w:pPr>
              <w:pStyle w:val="TableParagraph"/>
              <w:spacing w:line="194" w:lineRule="exact"/>
              <w:ind w:left="695" w:right="242" w:hanging="435"/>
              <w:rPr>
                <w:rFonts w:ascii="Verdana" w:hAnsi="Verdana"/>
                <w:sz w:val="18"/>
                <w:szCs w:val="18"/>
              </w:rPr>
            </w:pPr>
            <w:r w:rsidRPr="00EC75B7">
              <w:rPr>
                <w:rFonts w:ascii="Verdana" w:hAnsi="Verdana"/>
                <w:spacing w:val="-2"/>
                <w:sz w:val="18"/>
                <w:szCs w:val="18"/>
              </w:rPr>
              <w:t>Northern Europe - Southern Africa</w:t>
            </w:r>
          </w:p>
        </w:tc>
        <w:tc>
          <w:tcPr>
            <w:tcW w:w="2006" w:type="dxa"/>
          </w:tcPr>
          <w:p w14:paraId="3CB60B66" w14:textId="77777777" w:rsidR="008715BE" w:rsidRPr="00EC75B7" w:rsidRDefault="00000000">
            <w:pPr>
              <w:pStyle w:val="TableParagraph"/>
              <w:spacing w:before="10"/>
              <w:ind w:left="116" w:right="100" w:firstLine="259"/>
              <w:rPr>
                <w:rFonts w:ascii="Verdana" w:hAnsi="Verdana"/>
                <w:sz w:val="18"/>
                <w:szCs w:val="18"/>
              </w:rPr>
            </w:pPr>
            <w:r w:rsidRPr="00EC75B7">
              <w:rPr>
                <w:rFonts w:ascii="Verdana" w:hAnsi="Verdana"/>
                <w:sz w:val="18"/>
                <w:szCs w:val="18"/>
              </w:rPr>
              <w:t>Migrationatlas -</w:t>
            </w:r>
            <w:hyperlink r:id="rId77">
              <w:r w:rsidR="008715BE" w:rsidRPr="00EC75B7">
                <w:rPr>
                  <w:rFonts w:ascii="Verdana" w:hAnsi="Verdana"/>
                  <w:spacing w:val="-2"/>
                  <w:sz w:val="18"/>
                  <w:szCs w:val="18"/>
                </w:rPr>
                <w:t xml:space="preserve"> https://migrationatlas</w:t>
              </w:r>
            </w:hyperlink>
          </w:p>
          <w:p w14:paraId="2EE017DB"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1A218F3E" w14:textId="77777777">
        <w:trPr>
          <w:trHeight w:val="582"/>
        </w:trPr>
        <w:tc>
          <w:tcPr>
            <w:tcW w:w="569" w:type="dxa"/>
          </w:tcPr>
          <w:p w14:paraId="26D4CD54" w14:textId="77777777" w:rsidR="008715BE" w:rsidRPr="00EC75B7" w:rsidRDefault="008715BE">
            <w:pPr>
              <w:pStyle w:val="TableParagraph"/>
              <w:spacing w:before="7"/>
              <w:rPr>
                <w:rFonts w:ascii="Verdana" w:hAnsi="Verdana"/>
                <w:sz w:val="18"/>
                <w:szCs w:val="18"/>
              </w:rPr>
            </w:pPr>
          </w:p>
          <w:p w14:paraId="4CD5D1E7"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37</w:t>
            </w:r>
          </w:p>
        </w:tc>
        <w:tc>
          <w:tcPr>
            <w:tcW w:w="2150" w:type="dxa"/>
          </w:tcPr>
          <w:p w14:paraId="41E26236" w14:textId="77777777" w:rsidR="008715BE" w:rsidRPr="00EC75B7" w:rsidRDefault="008715BE">
            <w:pPr>
              <w:pStyle w:val="TableParagraph"/>
              <w:spacing w:before="7"/>
              <w:rPr>
                <w:rFonts w:ascii="Verdana" w:hAnsi="Verdana"/>
                <w:sz w:val="18"/>
                <w:szCs w:val="18"/>
              </w:rPr>
            </w:pPr>
          </w:p>
          <w:p w14:paraId="24DE7C8C"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Lanius </w:t>
            </w:r>
            <w:r w:rsidRPr="00EC75B7">
              <w:rPr>
                <w:rFonts w:ascii="Verdana" w:hAnsi="Verdana"/>
                <w:i/>
                <w:spacing w:val="-2"/>
                <w:sz w:val="18"/>
                <w:szCs w:val="18"/>
              </w:rPr>
              <w:t>collurio</w:t>
            </w:r>
          </w:p>
        </w:tc>
        <w:tc>
          <w:tcPr>
            <w:tcW w:w="1927" w:type="dxa"/>
          </w:tcPr>
          <w:p w14:paraId="065CD2EA" w14:textId="77777777" w:rsidR="008715BE" w:rsidRPr="00EC75B7" w:rsidRDefault="008715BE">
            <w:pPr>
              <w:pStyle w:val="TableParagraph"/>
              <w:spacing w:before="7"/>
              <w:rPr>
                <w:rFonts w:ascii="Verdana" w:hAnsi="Verdana"/>
                <w:sz w:val="18"/>
                <w:szCs w:val="18"/>
              </w:rPr>
            </w:pPr>
          </w:p>
          <w:p w14:paraId="32141C7F"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Red-backed </w:t>
            </w:r>
            <w:r w:rsidRPr="00EC75B7">
              <w:rPr>
                <w:rFonts w:ascii="Verdana" w:hAnsi="Verdana"/>
                <w:sz w:val="18"/>
                <w:szCs w:val="18"/>
              </w:rPr>
              <w:t>shrike</w:t>
            </w:r>
          </w:p>
        </w:tc>
        <w:tc>
          <w:tcPr>
            <w:tcW w:w="1449" w:type="dxa"/>
          </w:tcPr>
          <w:p w14:paraId="48960489" w14:textId="77777777" w:rsidR="008715BE" w:rsidRPr="00EC75B7" w:rsidRDefault="008715BE">
            <w:pPr>
              <w:pStyle w:val="TableParagraph"/>
              <w:spacing w:before="7"/>
              <w:rPr>
                <w:rFonts w:ascii="Verdana" w:hAnsi="Verdana"/>
                <w:sz w:val="18"/>
                <w:szCs w:val="18"/>
              </w:rPr>
            </w:pPr>
          </w:p>
          <w:p w14:paraId="3E38D1CA"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58</w:t>
            </w:r>
          </w:p>
        </w:tc>
        <w:tc>
          <w:tcPr>
            <w:tcW w:w="1842" w:type="dxa"/>
          </w:tcPr>
          <w:p w14:paraId="24D4F9F1" w14:textId="77777777" w:rsidR="008715BE" w:rsidRPr="00EC75B7" w:rsidRDefault="00000000">
            <w:pPr>
              <w:pStyle w:val="TableParagraph"/>
              <w:spacing w:line="194" w:lineRule="exact"/>
              <w:ind w:left="695" w:right="242" w:hanging="435"/>
              <w:rPr>
                <w:rFonts w:ascii="Verdana" w:hAnsi="Verdana"/>
                <w:sz w:val="18"/>
                <w:szCs w:val="18"/>
              </w:rPr>
            </w:pPr>
            <w:r w:rsidRPr="00EC75B7">
              <w:rPr>
                <w:rFonts w:ascii="Verdana" w:hAnsi="Verdana"/>
                <w:spacing w:val="-2"/>
                <w:sz w:val="18"/>
                <w:szCs w:val="18"/>
              </w:rPr>
              <w:t>Northern Europe - Southern Africa</w:t>
            </w:r>
          </w:p>
        </w:tc>
        <w:tc>
          <w:tcPr>
            <w:tcW w:w="2006" w:type="dxa"/>
          </w:tcPr>
          <w:p w14:paraId="198557F0"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78">
              <w:r w:rsidR="008715BE" w:rsidRPr="00EC75B7">
                <w:rPr>
                  <w:rFonts w:ascii="Verdana" w:hAnsi="Verdana"/>
                  <w:spacing w:val="-2"/>
                  <w:sz w:val="18"/>
                  <w:szCs w:val="18"/>
                </w:rPr>
                <w:t xml:space="preserve"> https://migrationatlas</w:t>
              </w:r>
            </w:hyperlink>
          </w:p>
          <w:p w14:paraId="2B8B4D4F"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568693B7" w14:textId="77777777">
        <w:trPr>
          <w:trHeight w:val="388"/>
        </w:trPr>
        <w:tc>
          <w:tcPr>
            <w:tcW w:w="569" w:type="dxa"/>
          </w:tcPr>
          <w:p w14:paraId="1480F233" w14:textId="77777777" w:rsidR="008715BE" w:rsidRPr="00EC75B7" w:rsidRDefault="00000000">
            <w:pPr>
              <w:pStyle w:val="TableParagraph"/>
              <w:spacing w:before="104"/>
              <w:ind w:left="108"/>
              <w:rPr>
                <w:rFonts w:ascii="Verdana" w:hAnsi="Verdana"/>
                <w:sz w:val="18"/>
                <w:szCs w:val="18"/>
              </w:rPr>
            </w:pPr>
            <w:r w:rsidRPr="00EC75B7">
              <w:rPr>
                <w:rFonts w:ascii="Verdana" w:hAnsi="Verdana"/>
                <w:spacing w:val="-5"/>
                <w:sz w:val="18"/>
                <w:szCs w:val="18"/>
              </w:rPr>
              <w:t>38</w:t>
            </w:r>
          </w:p>
        </w:tc>
        <w:tc>
          <w:tcPr>
            <w:tcW w:w="2150" w:type="dxa"/>
          </w:tcPr>
          <w:p w14:paraId="31D85C9B" w14:textId="77777777" w:rsidR="008715BE" w:rsidRPr="00EC75B7" w:rsidRDefault="00000000">
            <w:pPr>
              <w:pStyle w:val="TableParagraph"/>
              <w:spacing w:before="104"/>
              <w:ind w:left="108"/>
              <w:rPr>
                <w:rFonts w:ascii="Verdana" w:hAnsi="Verdana"/>
                <w:i/>
                <w:sz w:val="18"/>
                <w:szCs w:val="18"/>
              </w:rPr>
            </w:pPr>
            <w:r w:rsidRPr="00EC75B7">
              <w:rPr>
                <w:rFonts w:ascii="Verdana" w:hAnsi="Verdana"/>
                <w:i/>
                <w:sz w:val="18"/>
                <w:szCs w:val="18"/>
              </w:rPr>
              <w:t xml:space="preserve">Lanius </w:t>
            </w:r>
            <w:r w:rsidRPr="00EC75B7">
              <w:rPr>
                <w:rFonts w:ascii="Verdana" w:hAnsi="Verdana"/>
                <w:i/>
                <w:spacing w:val="-2"/>
                <w:sz w:val="18"/>
                <w:szCs w:val="18"/>
              </w:rPr>
              <w:t>minor</w:t>
            </w:r>
          </w:p>
        </w:tc>
        <w:tc>
          <w:tcPr>
            <w:tcW w:w="1927" w:type="dxa"/>
          </w:tcPr>
          <w:p w14:paraId="54656420" w14:textId="77777777" w:rsidR="008715BE" w:rsidRPr="00EC75B7" w:rsidRDefault="00000000">
            <w:pPr>
              <w:pStyle w:val="TableParagraph"/>
              <w:spacing w:line="194" w:lineRule="exact"/>
              <w:ind w:left="108" w:right="277"/>
              <w:rPr>
                <w:rFonts w:ascii="Verdana" w:hAnsi="Verdana"/>
                <w:sz w:val="18"/>
                <w:szCs w:val="18"/>
              </w:rPr>
            </w:pPr>
            <w:r w:rsidRPr="00EC75B7">
              <w:rPr>
                <w:rFonts w:ascii="Verdana" w:hAnsi="Verdana"/>
                <w:spacing w:val="-2"/>
                <w:sz w:val="18"/>
                <w:szCs w:val="18"/>
              </w:rPr>
              <w:t>Black</w:t>
            </w:r>
            <w:r w:rsidRPr="00EC75B7">
              <w:rPr>
                <w:rFonts w:ascii="Verdana" w:hAnsi="Verdana"/>
                <w:sz w:val="18"/>
                <w:szCs w:val="18"/>
              </w:rPr>
              <w:t>-fronted Shrike</w:t>
            </w:r>
          </w:p>
        </w:tc>
        <w:tc>
          <w:tcPr>
            <w:tcW w:w="1449" w:type="dxa"/>
          </w:tcPr>
          <w:p w14:paraId="50BEF3D8" w14:textId="77777777" w:rsidR="008715BE" w:rsidRPr="00EC75B7" w:rsidRDefault="00000000">
            <w:pPr>
              <w:pStyle w:val="TableParagraph"/>
              <w:spacing w:before="104"/>
              <w:ind w:left="19"/>
              <w:jc w:val="center"/>
              <w:rPr>
                <w:rFonts w:ascii="Verdana" w:hAnsi="Verdana"/>
                <w:sz w:val="18"/>
                <w:szCs w:val="18"/>
              </w:rPr>
            </w:pPr>
            <w:r w:rsidRPr="00EC75B7">
              <w:rPr>
                <w:rFonts w:ascii="Verdana" w:hAnsi="Verdana"/>
                <w:spacing w:val="-10"/>
                <w:sz w:val="18"/>
                <w:szCs w:val="18"/>
              </w:rPr>
              <w:t>3</w:t>
            </w:r>
          </w:p>
        </w:tc>
        <w:tc>
          <w:tcPr>
            <w:tcW w:w="1842" w:type="dxa"/>
          </w:tcPr>
          <w:p w14:paraId="489D859A"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5E1B4082"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7BF91E96" w14:textId="77777777">
        <w:trPr>
          <w:trHeight w:val="314"/>
        </w:trPr>
        <w:tc>
          <w:tcPr>
            <w:tcW w:w="569" w:type="dxa"/>
          </w:tcPr>
          <w:p w14:paraId="03DDC12E"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39</w:t>
            </w:r>
          </w:p>
        </w:tc>
        <w:tc>
          <w:tcPr>
            <w:tcW w:w="2150" w:type="dxa"/>
          </w:tcPr>
          <w:p w14:paraId="6D48B230"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 xml:space="preserve">Black-headed </w:t>
            </w:r>
            <w:r w:rsidRPr="00EC75B7">
              <w:rPr>
                <w:rFonts w:ascii="Verdana" w:hAnsi="Verdana"/>
                <w:i/>
                <w:sz w:val="18"/>
                <w:szCs w:val="18"/>
              </w:rPr>
              <w:t>Gull</w:t>
            </w:r>
          </w:p>
        </w:tc>
        <w:tc>
          <w:tcPr>
            <w:tcW w:w="1927" w:type="dxa"/>
          </w:tcPr>
          <w:p w14:paraId="18E8C949"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 xml:space="preserve">Black-headed </w:t>
            </w:r>
            <w:r w:rsidRPr="00EC75B7">
              <w:rPr>
                <w:rFonts w:ascii="Verdana" w:hAnsi="Verdana"/>
                <w:sz w:val="18"/>
                <w:szCs w:val="18"/>
              </w:rPr>
              <w:t>gull</w:t>
            </w:r>
          </w:p>
        </w:tc>
        <w:tc>
          <w:tcPr>
            <w:tcW w:w="1449" w:type="dxa"/>
          </w:tcPr>
          <w:p w14:paraId="357EB416"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88</w:t>
            </w:r>
          </w:p>
        </w:tc>
        <w:tc>
          <w:tcPr>
            <w:tcW w:w="1842" w:type="dxa"/>
          </w:tcPr>
          <w:p w14:paraId="58CF7D2B"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2B01B7E9"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3ED6CB2C" w14:textId="77777777">
        <w:trPr>
          <w:trHeight w:val="585"/>
        </w:trPr>
        <w:tc>
          <w:tcPr>
            <w:tcW w:w="569" w:type="dxa"/>
          </w:tcPr>
          <w:p w14:paraId="1F17627F" w14:textId="77777777" w:rsidR="008715BE" w:rsidRPr="00EC75B7" w:rsidRDefault="008715BE">
            <w:pPr>
              <w:pStyle w:val="TableParagraph"/>
              <w:spacing w:before="9"/>
              <w:rPr>
                <w:rFonts w:ascii="Verdana" w:hAnsi="Verdana"/>
                <w:sz w:val="18"/>
                <w:szCs w:val="18"/>
              </w:rPr>
            </w:pPr>
          </w:p>
          <w:p w14:paraId="5F2A5B4E"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40</w:t>
            </w:r>
          </w:p>
        </w:tc>
        <w:tc>
          <w:tcPr>
            <w:tcW w:w="2150" w:type="dxa"/>
          </w:tcPr>
          <w:p w14:paraId="76FDAFE0" w14:textId="77777777" w:rsidR="008715BE" w:rsidRPr="00EC75B7" w:rsidRDefault="008715BE">
            <w:pPr>
              <w:pStyle w:val="TableParagraph"/>
              <w:spacing w:before="9"/>
              <w:rPr>
                <w:rFonts w:ascii="Verdana" w:hAnsi="Verdana"/>
                <w:sz w:val="18"/>
                <w:szCs w:val="18"/>
              </w:rPr>
            </w:pPr>
          </w:p>
          <w:p w14:paraId="7D511DD5"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Luscinia </w:t>
            </w:r>
            <w:r w:rsidRPr="00EC75B7">
              <w:rPr>
                <w:rFonts w:ascii="Verdana" w:hAnsi="Verdana"/>
                <w:i/>
                <w:spacing w:val="-2"/>
                <w:sz w:val="18"/>
                <w:szCs w:val="18"/>
              </w:rPr>
              <w:t>luscinia</w:t>
            </w:r>
          </w:p>
        </w:tc>
        <w:tc>
          <w:tcPr>
            <w:tcW w:w="1927" w:type="dxa"/>
          </w:tcPr>
          <w:p w14:paraId="2BF25F27" w14:textId="77777777" w:rsidR="008715BE" w:rsidRPr="00EC75B7" w:rsidRDefault="00000000">
            <w:pPr>
              <w:pStyle w:val="TableParagraph"/>
              <w:spacing w:before="106" w:line="195" w:lineRule="exact"/>
              <w:ind w:left="108"/>
              <w:rPr>
                <w:rFonts w:ascii="Verdana" w:hAnsi="Verdana"/>
                <w:sz w:val="18"/>
                <w:szCs w:val="18"/>
              </w:rPr>
            </w:pPr>
            <w:r w:rsidRPr="00EC75B7">
              <w:rPr>
                <w:rFonts w:ascii="Verdana" w:hAnsi="Verdana"/>
                <w:spacing w:val="-5"/>
                <w:sz w:val="18"/>
                <w:szCs w:val="18"/>
              </w:rPr>
              <w:t>Nightingale</w:t>
            </w:r>
          </w:p>
          <w:p w14:paraId="0C392EDE"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glade</w:t>
            </w:r>
          </w:p>
        </w:tc>
        <w:tc>
          <w:tcPr>
            <w:tcW w:w="1449" w:type="dxa"/>
          </w:tcPr>
          <w:p w14:paraId="08C7AA02" w14:textId="77777777" w:rsidR="008715BE" w:rsidRPr="00EC75B7" w:rsidRDefault="008715BE">
            <w:pPr>
              <w:pStyle w:val="TableParagraph"/>
              <w:spacing w:before="9"/>
              <w:rPr>
                <w:rFonts w:ascii="Verdana" w:hAnsi="Verdana"/>
                <w:sz w:val="18"/>
                <w:szCs w:val="18"/>
              </w:rPr>
            </w:pPr>
          </w:p>
          <w:p w14:paraId="6ED1BA68"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1</w:t>
            </w:r>
          </w:p>
        </w:tc>
        <w:tc>
          <w:tcPr>
            <w:tcW w:w="1842" w:type="dxa"/>
          </w:tcPr>
          <w:p w14:paraId="7EE92402" w14:textId="77777777" w:rsidR="008715BE" w:rsidRPr="00EC75B7" w:rsidRDefault="00000000">
            <w:pPr>
              <w:pStyle w:val="TableParagraph"/>
              <w:spacing w:before="10"/>
              <w:ind w:left="105" w:right="86"/>
              <w:jc w:val="center"/>
              <w:rPr>
                <w:rFonts w:ascii="Verdana" w:hAnsi="Verdana"/>
                <w:sz w:val="18"/>
                <w:szCs w:val="18"/>
              </w:rPr>
            </w:pPr>
            <w:r w:rsidRPr="00EC75B7">
              <w:rPr>
                <w:rFonts w:ascii="Verdana" w:hAnsi="Verdana"/>
                <w:spacing w:val="-2"/>
                <w:sz w:val="18"/>
                <w:szCs w:val="18"/>
              </w:rPr>
              <w:t>Northern Europe - Eastern</w:t>
            </w:r>
          </w:p>
          <w:p w14:paraId="51176739" w14:textId="77777777" w:rsidR="008715BE" w:rsidRPr="00EC75B7" w:rsidRDefault="00000000">
            <w:pPr>
              <w:pStyle w:val="TableParagraph"/>
              <w:spacing w:line="165" w:lineRule="exact"/>
              <w:ind w:left="13"/>
              <w:jc w:val="center"/>
              <w:rPr>
                <w:rFonts w:ascii="Verdana" w:hAnsi="Verdana"/>
                <w:sz w:val="18"/>
                <w:szCs w:val="18"/>
              </w:rPr>
            </w:pPr>
            <w:r w:rsidRPr="00EC75B7">
              <w:rPr>
                <w:rFonts w:ascii="Verdana" w:hAnsi="Verdana"/>
                <w:spacing w:val="-2"/>
                <w:sz w:val="18"/>
                <w:szCs w:val="18"/>
              </w:rPr>
              <w:t>Africa</w:t>
            </w:r>
          </w:p>
        </w:tc>
        <w:tc>
          <w:tcPr>
            <w:tcW w:w="2006" w:type="dxa"/>
          </w:tcPr>
          <w:p w14:paraId="09DFD159" w14:textId="77777777" w:rsidR="008715BE" w:rsidRPr="00EC75B7" w:rsidRDefault="00000000">
            <w:pPr>
              <w:pStyle w:val="TableParagraph"/>
              <w:spacing w:before="10"/>
              <w:ind w:left="111" w:right="105" w:firstLine="360"/>
              <w:rPr>
                <w:rFonts w:ascii="Verdana" w:hAnsi="Verdana"/>
                <w:sz w:val="18"/>
                <w:szCs w:val="18"/>
              </w:rPr>
            </w:pPr>
            <w:r w:rsidRPr="00EC75B7">
              <w:rPr>
                <w:rFonts w:ascii="Verdana" w:hAnsi="Verdana"/>
                <w:sz w:val="18"/>
                <w:szCs w:val="18"/>
              </w:rPr>
              <w:t>Migrationatlas -</w:t>
            </w:r>
            <w:hyperlink r:id="rId79">
              <w:r w:rsidR="008715BE" w:rsidRPr="00EC75B7">
                <w:rPr>
                  <w:rFonts w:ascii="Verdana" w:hAnsi="Verdana"/>
                  <w:spacing w:val="-2"/>
                  <w:sz w:val="18"/>
                  <w:szCs w:val="18"/>
                </w:rPr>
                <w:t xml:space="preserve"> https://migrationatlas</w:t>
              </w:r>
            </w:hyperlink>
          </w:p>
          <w:p w14:paraId="6A6EFC6D" w14:textId="77777777" w:rsidR="008715BE" w:rsidRPr="00EC75B7" w:rsidRDefault="00000000">
            <w:pPr>
              <w:pStyle w:val="TableParagraph"/>
              <w:spacing w:line="165" w:lineRule="exact"/>
              <w:ind w:left="111"/>
              <w:rPr>
                <w:rFonts w:ascii="Verdana" w:hAnsi="Verdana"/>
                <w:sz w:val="18"/>
                <w:szCs w:val="18"/>
              </w:rPr>
            </w:pPr>
            <w:r w:rsidRPr="00EC75B7">
              <w:rPr>
                <w:rFonts w:ascii="Verdana" w:hAnsi="Verdana"/>
                <w:spacing w:val="-2"/>
                <w:sz w:val="18"/>
                <w:szCs w:val="18"/>
              </w:rPr>
              <w:t>.org/node/1830</w:t>
            </w:r>
          </w:p>
        </w:tc>
      </w:tr>
      <w:tr w:rsidR="008715BE" w:rsidRPr="00EC75B7" w14:paraId="44862ABB" w14:textId="77777777">
        <w:trPr>
          <w:trHeight w:val="582"/>
        </w:trPr>
        <w:tc>
          <w:tcPr>
            <w:tcW w:w="569" w:type="dxa"/>
          </w:tcPr>
          <w:p w14:paraId="513D2E33" w14:textId="77777777" w:rsidR="008715BE" w:rsidRPr="00EC75B7" w:rsidRDefault="008715BE">
            <w:pPr>
              <w:pStyle w:val="TableParagraph"/>
              <w:spacing w:before="7"/>
              <w:rPr>
                <w:rFonts w:ascii="Verdana" w:hAnsi="Verdana"/>
                <w:sz w:val="18"/>
                <w:szCs w:val="18"/>
              </w:rPr>
            </w:pPr>
          </w:p>
          <w:p w14:paraId="332244DA"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41</w:t>
            </w:r>
          </w:p>
        </w:tc>
        <w:tc>
          <w:tcPr>
            <w:tcW w:w="2150" w:type="dxa"/>
          </w:tcPr>
          <w:p w14:paraId="44B82F5E" w14:textId="77777777" w:rsidR="008715BE" w:rsidRPr="00EC75B7" w:rsidRDefault="008715BE">
            <w:pPr>
              <w:pStyle w:val="TableParagraph"/>
              <w:spacing w:before="7"/>
              <w:rPr>
                <w:rFonts w:ascii="Verdana" w:hAnsi="Verdana"/>
                <w:sz w:val="18"/>
                <w:szCs w:val="18"/>
              </w:rPr>
            </w:pPr>
          </w:p>
          <w:p w14:paraId="68FE109F"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Luscinia </w:t>
            </w:r>
            <w:r w:rsidRPr="00EC75B7">
              <w:rPr>
                <w:rFonts w:ascii="Verdana" w:hAnsi="Verdana"/>
                <w:i/>
                <w:spacing w:val="-2"/>
                <w:sz w:val="18"/>
                <w:szCs w:val="18"/>
              </w:rPr>
              <w:t>megarhynchos</w:t>
            </w:r>
          </w:p>
        </w:tc>
        <w:tc>
          <w:tcPr>
            <w:tcW w:w="1927" w:type="dxa"/>
          </w:tcPr>
          <w:p w14:paraId="75D09E0B" w14:textId="77777777" w:rsidR="008715BE" w:rsidRPr="00EC75B7" w:rsidRDefault="008715BE">
            <w:pPr>
              <w:pStyle w:val="TableParagraph"/>
              <w:spacing w:before="7"/>
              <w:rPr>
                <w:rFonts w:ascii="Verdana" w:hAnsi="Verdana"/>
                <w:sz w:val="18"/>
                <w:szCs w:val="18"/>
              </w:rPr>
            </w:pPr>
          </w:p>
          <w:p w14:paraId="5F4BF69E"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Red-throated </w:t>
            </w:r>
            <w:r w:rsidRPr="00EC75B7">
              <w:rPr>
                <w:rFonts w:ascii="Verdana" w:hAnsi="Verdana"/>
                <w:sz w:val="18"/>
                <w:szCs w:val="18"/>
              </w:rPr>
              <w:t>Nightingale</w:t>
            </w:r>
          </w:p>
        </w:tc>
        <w:tc>
          <w:tcPr>
            <w:tcW w:w="1449" w:type="dxa"/>
          </w:tcPr>
          <w:p w14:paraId="0040F786" w14:textId="77777777" w:rsidR="008715BE" w:rsidRPr="00EC75B7" w:rsidRDefault="008715BE">
            <w:pPr>
              <w:pStyle w:val="TableParagraph"/>
              <w:spacing w:before="7"/>
              <w:rPr>
                <w:rFonts w:ascii="Verdana" w:hAnsi="Verdana"/>
                <w:sz w:val="18"/>
                <w:szCs w:val="18"/>
              </w:rPr>
            </w:pPr>
          </w:p>
          <w:p w14:paraId="57648746"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4</w:t>
            </w:r>
          </w:p>
        </w:tc>
        <w:tc>
          <w:tcPr>
            <w:tcW w:w="1842" w:type="dxa"/>
          </w:tcPr>
          <w:p w14:paraId="46A68017" w14:textId="77777777" w:rsidR="008715BE" w:rsidRPr="00EC75B7" w:rsidRDefault="00000000">
            <w:pPr>
              <w:pStyle w:val="TableParagraph"/>
              <w:spacing w:before="8"/>
              <w:ind w:left="405" w:right="129" w:hanging="255"/>
              <w:rPr>
                <w:rFonts w:ascii="Verdana" w:hAnsi="Verdana"/>
                <w:sz w:val="18"/>
                <w:szCs w:val="18"/>
              </w:rPr>
            </w:pPr>
            <w:r w:rsidRPr="00EC75B7">
              <w:rPr>
                <w:rFonts w:ascii="Verdana" w:hAnsi="Verdana"/>
                <w:sz w:val="18"/>
                <w:szCs w:val="18"/>
              </w:rPr>
              <w:t>Southeastern Europe - Northern Africa</w:t>
            </w:r>
          </w:p>
        </w:tc>
        <w:tc>
          <w:tcPr>
            <w:tcW w:w="2006" w:type="dxa"/>
          </w:tcPr>
          <w:p w14:paraId="7C8CDDA6"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0">
              <w:r w:rsidR="008715BE" w:rsidRPr="00EC75B7">
                <w:rPr>
                  <w:rFonts w:ascii="Verdana" w:hAnsi="Verdana"/>
                  <w:spacing w:val="-2"/>
                  <w:sz w:val="18"/>
                  <w:szCs w:val="18"/>
                </w:rPr>
                <w:t xml:space="preserve"> https://migrationatlas</w:t>
              </w:r>
            </w:hyperlink>
          </w:p>
          <w:p w14:paraId="43202DB4"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0224EAAE" w14:textId="77777777">
        <w:trPr>
          <w:trHeight w:val="388"/>
        </w:trPr>
        <w:tc>
          <w:tcPr>
            <w:tcW w:w="569" w:type="dxa"/>
          </w:tcPr>
          <w:p w14:paraId="6A2227B1" w14:textId="77777777" w:rsidR="008715BE" w:rsidRPr="00EC75B7" w:rsidRDefault="00000000">
            <w:pPr>
              <w:pStyle w:val="TableParagraph"/>
              <w:spacing w:before="106"/>
              <w:ind w:left="108"/>
              <w:rPr>
                <w:rFonts w:ascii="Verdana" w:hAnsi="Verdana"/>
                <w:sz w:val="18"/>
                <w:szCs w:val="18"/>
              </w:rPr>
            </w:pPr>
            <w:r w:rsidRPr="00EC75B7">
              <w:rPr>
                <w:rFonts w:ascii="Verdana" w:hAnsi="Verdana"/>
                <w:spacing w:val="-5"/>
                <w:sz w:val="18"/>
                <w:szCs w:val="18"/>
              </w:rPr>
              <w:t>42</w:t>
            </w:r>
          </w:p>
        </w:tc>
        <w:tc>
          <w:tcPr>
            <w:tcW w:w="2150" w:type="dxa"/>
          </w:tcPr>
          <w:p w14:paraId="3B599063" w14:textId="77777777" w:rsidR="008715BE" w:rsidRPr="00EC75B7" w:rsidRDefault="00000000">
            <w:pPr>
              <w:pStyle w:val="TableParagraph"/>
              <w:spacing w:line="194" w:lineRule="exact"/>
              <w:ind w:left="108" w:right="815"/>
              <w:rPr>
                <w:rFonts w:ascii="Verdana" w:hAnsi="Verdana"/>
                <w:i/>
                <w:sz w:val="18"/>
                <w:szCs w:val="18"/>
              </w:rPr>
            </w:pPr>
            <w:r w:rsidRPr="00EC75B7">
              <w:rPr>
                <w:rFonts w:ascii="Verdana" w:hAnsi="Verdana"/>
                <w:i/>
                <w:spacing w:val="-2"/>
                <w:sz w:val="18"/>
                <w:szCs w:val="18"/>
              </w:rPr>
              <w:t>Calandra lark</w:t>
            </w:r>
          </w:p>
        </w:tc>
        <w:tc>
          <w:tcPr>
            <w:tcW w:w="1927" w:type="dxa"/>
          </w:tcPr>
          <w:p w14:paraId="7604ECB2" w14:textId="77777777" w:rsidR="008715BE" w:rsidRPr="00EC75B7" w:rsidRDefault="00000000">
            <w:pPr>
              <w:pStyle w:val="TableParagraph"/>
              <w:spacing w:before="106"/>
              <w:ind w:left="108"/>
              <w:rPr>
                <w:rFonts w:ascii="Verdana" w:hAnsi="Verdana"/>
                <w:sz w:val="18"/>
                <w:szCs w:val="18"/>
              </w:rPr>
            </w:pPr>
            <w:r w:rsidRPr="00EC75B7">
              <w:rPr>
                <w:rFonts w:ascii="Verdana" w:hAnsi="Verdana"/>
                <w:spacing w:val="-2"/>
                <w:sz w:val="18"/>
                <w:szCs w:val="18"/>
              </w:rPr>
              <w:t xml:space="preserve">Bărăgan </w:t>
            </w:r>
            <w:r w:rsidRPr="00EC75B7">
              <w:rPr>
                <w:rFonts w:ascii="Verdana" w:hAnsi="Verdana"/>
                <w:sz w:val="18"/>
                <w:szCs w:val="18"/>
              </w:rPr>
              <w:t>lark</w:t>
            </w:r>
          </w:p>
        </w:tc>
        <w:tc>
          <w:tcPr>
            <w:tcW w:w="1449" w:type="dxa"/>
          </w:tcPr>
          <w:p w14:paraId="35F9547D" w14:textId="77777777" w:rsidR="008715BE" w:rsidRPr="00EC75B7" w:rsidRDefault="00000000">
            <w:pPr>
              <w:pStyle w:val="TableParagraph"/>
              <w:spacing w:before="106"/>
              <w:ind w:left="19" w:right="2"/>
              <w:jc w:val="center"/>
              <w:rPr>
                <w:rFonts w:ascii="Verdana" w:hAnsi="Verdana"/>
                <w:sz w:val="18"/>
                <w:szCs w:val="18"/>
              </w:rPr>
            </w:pPr>
            <w:r w:rsidRPr="00EC75B7">
              <w:rPr>
                <w:rFonts w:ascii="Verdana" w:hAnsi="Verdana"/>
                <w:spacing w:val="-5"/>
                <w:sz w:val="18"/>
                <w:szCs w:val="18"/>
              </w:rPr>
              <w:t>55</w:t>
            </w:r>
          </w:p>
        </w:tc>
        <w:tc>
          <w:tcPr>
            <w:tcW w:w="1842" w:type="dxa"/>
          </w:tcPr>
          <w:p w14:paraId="392B0193"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41E826CA"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5497E4C2" w14:textId="77777777">
        <w:trPr>
          <w:trHeight w:val="582"/>
        </w:trPr>
        <w:tc>
          <w:tcPr>
            <w:tcW w:w="569" w:type="dxa"/>
          </w:tcPr>
          <w:p w14:paraId="5D4BB9C6" w14:textId="77777777" w:rsidR="008715BE" w:rsidRPr="00EC75B7" w:rsidRDefault="008715BE">
            <w:pPr>
              <w:pStyle w:val="TableParagraph"/>
              <w:spacing w:before="7"/>
              <w:rPr>
                <w:rFonts w:ascii="Verdana" w:hAnsi="Verdana"/>
                <w:sz w:val="18"/>
                <w:szCs w:val="18"/>
              </w:rPr>
            </w:pPr>
          </w:p>
          <w:p w14:paraId="3D22D359"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43</w:t>
            </w:r>
          </w:p>
        </w:tc>
        <w:tc>
          <w:tcPr>
            <w:tcW w:w="2150" w:type="dxa"/>
          </w:tcPr>
          <w:p w14:paraId="7C12D5D2" w14:textId="77777777" w:rsidR="008715BE" w:rsidRPr="00EC75B7" w:rsidRDefault="008715BE">
            <w:pPr>
              <w:pStyle w:val="TableParagraph"/>
              <w:spacing w:before="7"/>
              <w:rPr>
                <w:rFonts w:ascii="Verdana" w:hAnsi="Verdana"/>
                <w:sz w:val="18"/>
                <w:szCs w:val="18"/>
              </w:rPr>
            </w:pPr>
          </w:p>
          <w:p w14:paraId="79A1C6FB"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Merops </w:t>
            </w:r>
            <w:r w:rsidRPr="00EC75B7">
              <w:rPr>
                <w:rFonts w:ascii="Verdana" w:hAnsi="Verdana"/>
                <w:i/>
                <w:spacing w:val="-2"/>
                <w:sz w:val="18"/>
                <w:szCs w:val="18"/>
              </w:rPr>
              <w:t>apiaster</w:t>
            </w:r>
          </w:p>
        </w:tc>
        <w:tc>
          <w:tcPr>
            <w:tcW w:w="1927" w:type="dxa"/>
          </w:tcPr>
          <w:p w14:paraId="4E5B8863" w14:textId="77777777" w:rsidR="008715BE" w:rsidRPr="00EC75B7" w:rsidRDefault="008715BE">
            <w:pPr>
              <w:pStyle w:val="TableParagraph"/>
              <w:spacing w:before="7"/>
              <w:rPr>
                <w:rFonts w:ascii="Verdana" w:hAnsi="Verdana"/>
                <w:sz w:val="18"/>
                <w:szCs w:val="18"/>
              </w:rPr>
            </w:pPr>
          </w:p>
          <w:p w14:paraId="288C2BE3"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Prigorie</w:t>
            </w:r>
          </w:p>
        </w:tc>
        <w:tc>
          <w:tcPr>
            <w:tcW w:w="1449" w:type="dxa"/>
          </w:tcPr>
          <w:p w14:paraId="247C68DA" w14:textId="77777777" w:rsidR="008715BE" w:rsidRPr="00EC75B7" w:rsidRDefault="008715BE">
            <w:pPr>
              <w:pStyle w:val="TableParagraph"/>
              <w:spacing w:before="7"/>
              <w:rPr>
                <w:rFonts w:ascii="Verdana" w:hAnsi="Verdana"/>
                <w:sz w:val="18"/>
                <w:szCs w:val="18"/>
              </w:rPr>
            </w:pPr>
          </w:p>
          <w:p w14:paraId="53CF2E50" w14:textId="77777777" w:rsidR="008715BE" w:rsidRPr="00EC75B7" w:rsidRDefault="00000000">
            <w:pPr>
              <w:pStyle w:val="TableParagraph"/>
              <w:ind w:left="19" w:right="3"/>
              <w:jc w:val="center"/>
              <w:rPr>
                <w:rFonts w:ascii="Verdana" w:hAnsi="Verdana"/>
                <w:sz w:val="18"/>
                <w:szCs w:val="18"/>
              </w:rPr>
            </w:pPr>
            <w:r w:rsidRPr="00EC75B7">
              <w:rPr>
                <w:rFonts w:ascii="Verdana" w:hAnsi="Verdana"/>
                <w:spacing w:val="-5"/>
                <w:sz w:val="18"/>
                <w:szCs w:val="18"/>
              </w:rPr>
              <w:t>147</w:t>
            </w:r>
          </w:p>
        </w:tc>
        <w:tc>
          <w:tcPr>
            <w:tcW w:w="1842" w:type="dxa"/>
          </w:tcPr>
          <w:p w14:paraId="4E3098F7" w14:textId="77777777" w:rsidR="008715BE" w:rsidRPr="00EC75B7" w:rsidRDefault="00000000">
            <w:pPr>
              <w:pStyle w:val="TableParagraph"/>
              <w:spacing w:before="8"/>
              <w:ind w:left="364" w:right="216" w:hanging="130"/>
              <w:rPr>
                <w:rFonts w:ascii="Verdana" w:hAnsi="Verdana"/>
                <w:sz w:val="18"/>
                <w:szCs w:val="18"/>
              </w:rPr>
            </w:pPr>
            <w:r w:rsidRPr="00EC75B7">
              <w:rPr>
                <w:rFonts w:ascii="Verdana" w:hAnsi="Verdana"/>
                <w:sz w:val="18"/>
                <w:szCs w:val="18"/>
              </w:rPr>
              <w:t>Central Europe - Southern Europe</w:t>
            </w:r>
          </w:p>
        </w:tc>
        <w:tc>
          <w:tcPr>
            <w:tcW w:w="2006" w:type="dxa"/>
          </w:tcPr>
          <w:p w14:paraId="396916C5"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1">
              <w:r w:rsidR="008715BE" w:rsidRPr="00EC75B7">
                <w:rPr>
                  <w:rFonts w:ascii="Verdana" w:hAnsi="Verdana"/>
                  <w:spacing w:val="-2"/>
                  <w:sz w:val="18"/>
                  <w:szCs w:val="18"/>
                </w:rPr>
                <w:t xml:space="preserve"> https://migrationatlas</w:t>
              </w:r>
            </w:hyperlink>
          </w:p>
          <w:p w14:paraId="0F9B51A5"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6405BE76" w14:textId="77777777">
        <w:trPr>
          <w:trHeight w:val="316"/>
        </w:trPr>
        <w:tc>
          <w:tcPr>
            <w:tcW w:w="569" w:type="dxa"/>
          </w:tcPr>
          <w:p w14:paraId="622FBAB2"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44</w:t>
            </w:r>
          </w:p>
        </w:tc>
        <w:tc>
          <w:tcPr>
            <w:tcW w:w="2150" w:type="dxa"/>
          </w:tcPr>
          <w:p w14:paraId="5C1A1ECC"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Motacilla </w:t>
            </w:r>
            <w:r w:rsidRPr="00EC75B7">
              <w:rPr>
                <w:rFonts w:ascii="Verdana" w:hAnsi="Verdana"/>
                <w:i/>
                <w:spacing w:val="-4"/>
                <w:sz w:val="18"/>
                <w:szCs w:val="18"/>
              </w:rPr>
              <w:t>alba</w:t>
            </w:r>
          </w:p>
        </w:tc>
        <w:tc>
          <w:tcPr>
            <w:tcW w:w="1927" w:type="dxa"/>
          </w:tcPr>
          <w:p w14:paraId="711C53AB"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4"/>
                <w:sz w:val="18"/>
                <w:szCs w:val="18"/>
              </w:rPr>
              <w:t xml:space="preserve">White </w:t>
            </w:r>
            <w:r w:rsidRPr="00EC75B7">
              <w:rPr>
                <w:rFonts w:ascii="Verdana" w:hAnsi="Verdana"/>
                <w:sz w:val="18"/>
                <w:szCs w:val="18"/>
              </w:rPr>
              <w:t>wagtail</w:t>
            </w:r>
          </w:p>
        </w:tc>
        <w:tc>
          <w:tcPr>
            <w:tcW w:w="1449" w:type="dxa"/>
          </w:tcPr>
          <w:p w14:paraId="66C2C5F9"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56</w:t>
            </w:r>
          </w:p>
        </w:tc>
        <w:tc>
          <w:tcPr>
            <w:tcW w:w="1842" w:type="dxa"/>
          </w:tcPr>
          <w:p w14:paraId="5931CF3A" w14:textId="77777777" w:rsidR="008715BE" w:rsidRPr="00EC75B7" w:rsidRDefault="00000000">
            <w:pPr>
              <w:pStyle w:val="TableParagraph"/>
              <w:spacing w:before="10"/>
              <w:ind w:left="16"/>
              <w:jc w:val="center"/>
              <w:rPr>
                <w:rFonts w:ascii="Verdana" w:hAnsi="Verdana"/>
                <w:sz w:val="18"/>
                <w:szCs w:val="18"/>
              </w:rPr>
            </w:pPr>
            <w:r w:rsidRPr="00EC75B7">
              <w:rPr>
                <w:rFonts w:ascii="Verdana" w:hAnsi="Verdana"/>
                <w:sz w:val="18"/>
                <w:szCs w:val="18"/>
              </w:rPr>
              <w:t>-</w:t>
            </w:r>
          </w:p>
        </w:tc>
        <w:tc>
          <w:tcPr>
            <w:tcW w:w="2006" w:type="dxa"/>
          </w:tcPr>
          <w:p w14:paraId="66E7C1E1" w14:textId="77777777" w:rsidR="008715BE" w:rsidRPr="00EC75B7" w:rsidRDefault="00000000">
            <w:pPr>
              <w:pStyle w:val="TableParagraph"/>
              <w:spacing w:before="10"/>
              <w:ind w:left="19"/>
              <w:jc w:val="center"/>
              <w:rPr>
                <w:rFonts w:ascii="Verdana" w:hAnsi="Verdana"/>
                <w:sz w:val="18"/>
                <w:szCs w:val="18"/>
              </w:rPr>
            </w:pPr>
            <w:r w:rsidRPr="00EC75B7">
              <w:rPr>
                <w:rFonts w:ascii="Verdana" w:hAnsi="Verdana"/>
                <w:sz w:val="18"/>
                <w:szCs w:val="18"/>
              </w:rPr>
              <w:t>-</w:t>
            </w:r>
          </w:p>
        </w:tc>
      </w:tr>
      <w:tr w:rsidR="008715BE" w:rsidRPr="00EC75B7" w14:paraId="76425F3E" w14:textId="77777777">
        <w:trPr>
          <w:trHeight w:val="313"/>
        </w:trPr>
        <w:tc>
          <w:tcPr>
            <w:tcW w:w="569" w:type="dxa"/>
          </w:tcPr>
          <w:p w14:paraId="4B689A05"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45</w:t>
            </w:r>
          </w:p>
        </w:tc>
        <w:tc>
          <w:tcPr>
            <w:tcW w:w="2150" w:type="dxa"/>
          </w:tcPr>
          <w:p w14:paraId="06E993E7"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 xml:space="preserve">Yellow </w:t>
            </w:r>
            <w:r w:rsidRPr="00EC75B7">
              <w:rPr>
                <w:rFonts w:ascii="Verdana" w:hAnsi="Verdana"/>
                <w:i/>
                <w:sz w:val="18"/>
                <w:szCs w:val="18"/>
              </w:rPr>
              <w:t>wagtail</w:t>
            </w:r>
          </w:p>
        </w:tc>
        <w:tc>
          <w:tcPr>
            <w:tcW w:w="1927" w:type="dxa"/>
          </w:tcPr>
          <w:p w14:paraId="49DBAF7A"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 xml:space="preserve">Yellow </w:t>
            </w:r>
            <w:r w:rsidRPr="00EC75B7">
              <w:rPr>
                <w:rFonts w:ascii="Verdana" w:hAnsi="Verdana"/>
                <w:sz w:val="18"/>
                <w:szCs w:val="18"/>
              </w:rPr>
              <w:t>wagtail</w:t>
            </w:r>
          </w:p>
        </w:tc>
        <w:tc>
          <w:tcPr>
            <w:tcW w:w="1449" w:type="dxa"/>
          </w:tcPr>
          <w:p w14:paraId="0BE7BBC2" w14:textId="77777777" w:rsidR="008715BE" w:rsidRPr="00EC75B7" w:rsidRDefault="00000000">
            <w:pPr>
              <w:pStyle w:val="TableParagraph"/>
              <w:spacing w:before="68"/>
              <w:ind w:left="19" w:right="3"/>
              <w:jc w:val="center"/>
              <w:rPr>
                <w:rFonts w:ascii="Verdana" w:hAnsi="Verdana"/>
                <w:sz w:val="18"/>
                <w:szCs w:val="18"/>
              </w:rPr>
            </w:pPr>
            <w:r w:rsidRPr="00EC75B7">
              <w:rPr>
                <w:rFonts w:ascii="Verdana" w:hAnsi="Verdana"/>
                <w:spacing w:val="-5"/>
                <w:sz w:val="18"/>
                <w:szCs w:val="18"/>
              </w:rPr>
              <w:t>233</w:t>
            </w:r>
          </w:p>
        </w:tc>
        <w:tc>
          <w:tcPr>
            <w:tcW w:w="1842" w:type="dxa"/>
          </w:tcPr>
          <w:p w14:paraId="541AAC2F"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1E4C7572"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5AF486AC" w14:textId="77777777">
        <w:trPr>
          <w:trHeight w:val="316"/>
        </w:trPr>
        <w:tc>
          <w:tcPr>
            <w:tcW w:w="569" w:type="dxa"/>
          </w:tcPr>
          <w:p w14:paraId="6B4CBCA4"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46</w:t>
            </w:r>
          </w:p>
        </w:tc>
        <w:tc>
          <w:tcPr>
            <w:tcW w:w="2150" w:type="dxa"/>
          </w:tcPr>
          <w:p w14:paraId="79EDC7CD"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Oenanthe </w:t>
            </w:r>
            <w:r w:rsidRPr="00EC75B7">
              <w:rPr>
                <w:rFonts w:ascii="Verdana" w:hAnsi="Verdana"/>
                <w:i/>
                <w:spacing w:val="-2"/>
                <w:sz w:val="18"/>
                <w:szCs w:val="18"/>
              </w:rPr>
              <w:t>oenanthe</w:t>
            </w:r>
          </w:p>
        </w:tc>
        <w:tc>
          <w:tcPr>
            <w:tcW w:w="1927" w:type="dxa"/>
          </w:tcPr>
          <w:p w14:paraId="3216F6CA"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Stonechat</w:t>
            </w:r>
          </w:p>
        </w:tc>
        <w:tc>
          <w:tcPr>
            <w:tcW w:w="1449" w:type="dxa"/>
          </w:tcPr>
          <w:p w14:paraId="36066BD7"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15</w:t>
            </w:r>
          </w:p>
        </w:tc>
        <w:tc>
          <w:tcPr>
            <w:tcW w:w="1842" w:type="dxa"/>
          </w:tcPr>
          <w:p w14:paraId="2F63E362"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2616FCFF"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4DBAD308" w14:textId="77777777">
        <w:trPr>
          <w:trHeight w:val="313"/>
        </w:trPr>
        <w:tc>
          <w:tcPr>
            <w:tcW w:w="569" w:type="dxa"/>
          </w:tcPr>
          <w:p w14:paraId="71DF4BA0"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47</w:t>
            </w:r>
          </w:p>
        </w:tc>
        <w:tc>
          <w:tcPr>
            <w:tcW w:w="2150" w:type="dxa"/>
          </w:tcPr>
          <w:p w14:paraId="1E651C7B"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 xml:space="preserve">Great </w:t>
            </w:r>
            <w:r w:rsidRPr="00EC75B7">
              <w:rPr>
                <w:rFonts w:ascii="Verdana" w:hAnsi="Verdana"/>
                <w:i/>
                <w:sz w:val="18"/>
                <w:szCs w:val="18"/>
              </w:rPr>
              <w:t>tit</w:t>
            </w:r>
          </w:p>
        </w:tc>
        <w:tc>
          <w:tcPr>
            <w:tcW w:w="1927" w:type="dxa"/>
          </w:tcPr>
          <w:p w14:paraId="28026F21"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4"/>
                <w:sz w:val="18"/>
                <w:szCs w:val="18"/>
              </w:rPr>
              <w:t xml:space="preserve">Great </w:t>
            </w:r>
            <w:r w:rsidRPr="00EC75B7">
              <w:rPr>
                <w:rFonts w:ascii="Verdana" w:hAnsi="Verdana"/>
                <w:sz w:val="18"/>
                <w:szCs w:val="18"/>
              </w:rPr>
              <w:t>tit</w:t>
            </w:r>
          </w:p>
        </w:tc>
        <w:tc>
          <w:tcPr>
            <w:tcW w:w="1449" w:type="dxa"/>
          </w:tcPr>
          <w:p w14:paraId="006E13AB"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3</w:t>
            </w:r>
          </w:p>
        </w:tc>
        <w:tc>
          <w:tcPr>
            <w:tcW w:w="1842" w:type="dxa"/>
          </w:tcPr>
          <w:p w14:paraId="19F52FF6"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6E3DA39E"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1493ADCE" w14:textId="77777777">
        <w:trPr>
          <w:trHeight w:val="313"/>
        </w:trPr>
        <w:tc>
          <w:tcPr>
            <w:tcW w:w="569" w:type="dxa"/>
          </w:tcPr>
          <w:p w14:paraId="133EA80F"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4</w:t>
            </w:r>
          </w:p>
        </w:tc>
        <w:tc>
          <w:tcPr>
            <w:tcW w:w="2150" w:type="dxa"/>
          </w:tcPr>
          <w:p w14:paraId="65C20C3B"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 xml:space="preserve">House </w:t>
            </w:r>
            <w:r w:rsidRPr="00EC75B7">
              <w:rPr>
                <w:rFonts w:ascii="Verdana" w:hAnsi="Verdana"/>
                <w:i/>
                <w:sz w:val="18"/>
                <w:szCs w:val="18"/>
              </w:rPr>
              <w:t>sparrow</w:t>
            </w:r>
          </w:p>
        </w:tc>
        <w:tc>
          <w:tcPr>
            <w:tcW w:w="1927" w:type="dxa"/>
          </w:tcPr>
          <w:p w14:paraId="605C29E5"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4"/>
                <w:sz w:val="18"/>
                <w:szCs w:val="18"/>
              </w:rPr>
              <w:t xml:space="preserve">House </w:t>
            </w:r>
            <w:r w:rsidRPr="00EC75B7">
              <w:rPr>
                <w:rFonts w:ascii="Verdana" w:hAnsi="Verdana"/>
                <w:sz w:val="18"/>
                <w:szCs w:val="18"/>
              </w:rPr>
              <w:t>sparrow</w:t>
            </w:r>
          </w:p>
        </w:tc>
        <w:tc>
          <w:tcPr>
            <w:tcW w:w="1449" w:type="dxa"/>
          </w:tcPr>
          <w:p w14:paraId="4AC016B3"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70</w:t>
            </w:r>
          </w:p>
        </w:tc>
        <w:tc>
          <w:tcPr>
            <w:tcW w:w="1842" w:type="dxa"/>
          </w:tcPr>
          <w:p w14:paraId="4633A911"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46E9DB6D"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2AD756B1" w14:textId="77777777">
        <w:trPr>
          <w:trHeight w:val="316"/>
        </w:trPr>
        <w:tc>
          <w:tcPr>
            <w:tcW w:w="569" w:type="dxa"/>
          </w:tcPr>
          <w:p w14:paraId="007F7D13"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49</w:t>
            </w:r>
          </w:p>
        </w:tc>
        <w:tc>
          <w:tcPr>
            <w:tcW w:w="2150" w:type="dxa"/>
          </w:tcPr>
          <w:p w14:paraId="35EDEF16"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Perdix </w:t>
            </w:r>
            <w:r w:rsidRPr="00EC75B7">
              <w:rPr>
                <w:rFonts w:ascii="Verdana" w:hAnsi="Verdana"/>
                <w:i/>
                <w:spacing w:val="-2"/>
                <w:sz w:val="18"/>
                <w:szCs w:val="18"/>
              </w:rPr>
              <w:t>perdix</w:t>
            </w:r>
          </w:p>
        </w:tc>
        <w:tc>
          <w:tcPr>
            <w:tcW w:w="1927" w:type="dxa"/>
          </w:tcPr>
          <w:p w14:paraId="03F9E6C7"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2"/>
                <w:sz w:val="18"/>
                <w:szCs w:val="18"/>
              </w:rPr>
              <w:t>Partridge</w:t>
            </w:r>
          </w:p>
        </w:tc>
        <w:tc>
          <w:tcPr>
            <w:tcW w:w="1449" w:type="dxa"/>
          </w:tcPr>
          <w:p w14:paraId="25171FAF"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30</w:t>
            </w:r>
          </w:p>
        </w:tc>
        <w:tc>
          <w:tcPr>
            <w:tcW w:w="1842" w:type="dxa"/>
          </w:tcPr>
          <w:p w14:paraId="032749AE" w14:textId="77777777" w:rsidR="008715BE" w:rsidRPr="00EC75B7" w:rsidRDefault="00000000">
            <w:pPr>
              <w:pStyle w:val="TableParagraph"/>
              <w:spacing w:before="10"/>
              <w:ind w:left="16"/>
              <w:jc w:val="center"/>
              <w:rPr>
                <w:rFonts w:ascii="Verdana" w:hAnsi="Verdana"/>
                <w:sz w:val="18"/>
                <w:szCs w:val="18"/>
              </w:rPr>
            </w:pPr>
            <w:r w:rsidRPr="00EC75B7">
              <w:rPr>
                <w:rFonts w:ascii="Verdana" w:hAnsi="Verdana"/>
                <w:sz w:val="18"/>
                <w:szCs w:val="18"/>
              </w:rPr>
              <w:t>-</w:t>
            </w:r>
          </w:p>
        </w:tc>
        <w:tc>
          <w:tcPr>
            <w:tcW w:w="2006" w:type="dxa"/>
          </w:tcPr>
          <w:p w14:paraId="1542482B" w14:textId="77777777" w:rsidR="008715BE" w:rsidRPr="00EC75B7" w:rsidRDefault="00000000">
            <w:pPr>
              <w:pStyle w:val="TableParagraph"/>
              <w:spacing w:before="10"/>
              <w:ind w:left="19"/>
              <w:jc w:val="center"/>
              <w:rPr>
                <w:rFonts w:ascii="Verdana" w:hAnsi="Verdana"/>
                <w:sz w:val="18"/>
                <w:szCs w:val="18"/>
              </w:rPr>
            </w:pPr>
            <w:r w:rsidRPr="00EC75B7">
              <w:rPr>
                <w:rFonts w:ascii="Verdana" w:hAnsi="Verdana"/>
                <w:sz w:val="18"/>
                <w:szCs w:val="18"/>
              </w:rPr>
              <w:t>-</w:t>
            </w:r>
          </w:p>
        </w:tc>
      </w:tr>
      <w:tr w:rsidR="008715BE" w:rsidRPr="00EC75B7" w14:paraId="5A29F0D0" w14:textId="77777777">
        <w:trPr>
          <w:trHeight w:val="314"/>
        </w:trPr>
        <w:tc>
          <w:tcPr>
            <w:tcW w:w="569" w:type="dxa"/>
          </w:tcPr>
          <w:p w14:paraId="22259035"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50</w:t>
            </w:r>
          </w:p>
        </w:tc>
        <w:tc>
          <w:tcPr>
            <w:tcW w:w="2150" w:type="dxa"/>
          </w:tcPr>
          <w:p w14:paraId="1619F4CF"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Honey buzzard</w:t>
            </w:r>
          </w:p>
        </w:tc>
        <w:tc>
          <w:tcPr>
            <w:tcW w:w="1927" w:type="dxa"/>
          </w:tcPr>
          <w:p w14:paraId="7CD15B79"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Viespar</w:t>
            </w:r>
          </w:p>
        </w:tc>
        <w:tc>
          <w:tcPr>
            <w:tcW w:w="1449" w:type="dxa"/>
          </w:tcPr>
          <w:p w14:paraId="06AF2C98" w14:textId="77777777" w:rsidR="008715BE" w:rsidRPr="00EC75B7" w:rsidRDefault="00000000">
            <w:pPr>
              <w:pStyle w:val="TableParagraph"/>
              <w:spacing w:before="68"/>
              <w:ind w:left="19"/>
              <w:jc w:val="center"/>
              <w:rPr>
                <w:rFonts w:ascii="Verdana" w:hAnsi="Verdana"/>
                <w:sz w:val="18"/>
                <w:szCs w:val="18"/>
              </w:rPr>
            </w:pPr>
            <w:r w:rsidRPr="00EC75B7">
              <w:rPr>
                <w:rFonts w:ascii="Verdana" w:hAnsi="Verdana"/>
                <w:spacing w:val="-10"/>
                <w:sz w:val="18"/>
                <w:szCs w:val="18"/>
              </w:rPr>
              <w:t>2</w:t>
            </w:r>
          </w:p>
        </w:tc>
        <w:tc>
          <w:tcPr>
            <w:tcW w:w="1842" w:type="dxa"/>
          </w:tcPr>
          <w:p w14:paraId="094E6B9C"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2082EF7A"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55FBC33A" w14:textId="77777777">
        <w:trPr>
          <w:trHeight w:val="316"/>
        </w:trPr>
        <w:tc>
          <w:tcPr>
            <w:tcW w:w="569" w:type="dxa"/>
          </w:tcPr>
          <w:p w14:paraId="16083F12"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51</w:t>
            </w:r>
          </w:p>
        </w:tc>
        <w:tc>
          <w:tcPr>
            <w:tcW w:w="2150" w:type="dxa"/>
          </w:tcPr>
          <w:p w14:paraId="55685168"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pacing w:val="-2"/>
                <w:sz w:val="18"/>
                <w:szCs w:val="18"/>
              </w:rPr>
              <w:t>Phasianus colchicus</w:t>
            </w:r>
          </w:p>
        </w:tc>
        <w:tc>
          <w:tcPr>
            <w:tcW w:w="1927" w:type="dxa"/>
          </w:tcPr>
          <w:p w14:paraId="1E07E1A5"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2"/>
                <w:sz w:val="18"/>
                <w:szCs w:val="18"/>
              </w:rPr>
              <w:t>Pheasant</w:t>
            </w:r>
          </w:p>
        </w:tc>
        <w:tc>
          <w:tcPr>
            <w:tcW w:w="1449" w:type="dxa"/>
          </w:tcPr>
          <w:p w14:paraId="2F6828C5"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12</w:t>
            </w:r>
          </w:p>
        </w:tc>
        <w:tc>
          <w:tcPr>
            <w:tcW w:w="1842" w:type="dxa"/>
          </w:tcPr>
          <w:p w14:paraId="49F0DF63"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38B6C04B"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7CBE9B96" w14:textId="77777777">
        <w:trPr>
          <w:trHeight w:val="388"/>
        </w:trPr>
        <w:tc>
          <w:tcPr>
            <w:tcW w:w="569" w:type="dxa"/>
          </w:tcPr>
          <w:p w14:paraId="367D7AF0" w14:textId="77777777" w:rsidR="008715BE" w:rsidRPr="00EC75B7" w:rsidRDefault="00000000">
            <w:pPr>
              <w:pStyle w:val="TableParagraph"/>
              <w:spacing w:before="104"/>
              <w:ind w:left="108"/>
              <w:rPr>
                <w:rFonts w:ascii="Verdana" w:hAnsi="Verdana"/>
                <w:sz w:val="18"/>
                <w:szCs w:val="18"/>
              </w:rPr>
            </w:pPr>
            <w:r w:rsidRPr="00EC75B7">
              <w:rPr>
                <w:rFonts w:ascii="Verdana" w:hAnsi="Verdana"/>
                <w:spacing w:val="-5"/>
                <w:sz w:val="18"/>
                <w:szCs w:val="18"/>
              </w:rPr>
              <w:t>52</w:t>
            </w:r>
          </w:p>
        </w:tc>
        <w:tc>
          <w:tcPr>
            <w:tcW w:w="2150" w:type="dxa"/>
          </w:tcPr>
          <w:p w14:paraId="06E20E20" w14:textId="77777777" w:rsidR="008715BE" w:rsidRPr="00EC75B7" w:rsidRDefault="00000000">
            <w:pPr>
              <w:pStyle w:val="TableParagraph"/>
              <w:spacing w:line="194" w:lineRule="exact"/>
              <w:ind w:left="108" w:right="815"/>
              <w:rPr>
                <w:rFonts w:ascii="Verdana" w:hAnsi="Verdana"/>
                <w:i/>
                <w:sz w:val="18"/>
                <w:szCs w:val="18"/>
              </w:rPr>
            </w:pPr>
            <w:r w:rsidRPr="00EC75B7">
              <w:rPr>
                <w:rFonts w:ascii="Verdana" w:hAnsi="Verdana"/>
                <w:i/>
                <w:spacing w:val="-2"/>
                <w:sz w:val="18"/>
                <w:szCs w:val="18"/>
              </w:rPr>
              <w:t>Phoenicurus phoenicurus</w:t>
            </w:r>
          </w:p>
        </w:tc>
        <w:tc>
          <w:tcPr>
            <w:tcW w:w="1927" w:type="dxa"/>
          </w:tcPr>
          <w:p w14:paraId="2944994C" w14:textId="77777777" w:rsidR="008715BE" w:rsidRPr="00EC75B7" w:rsidRDefault="00000000">
            <w:pPr>
              <w:pStyle w:val="TableParagraph"/>
              <w:spacing w:before="104"/>
              <w:ind w:left="108"/>
              <w:rPr>
                <w:rFonts w:ascii="Verdana" w:hAnsi="Verdana"/>
                <w:sz w:val="18"/>
                <w:szCs w:val="18"/>
              </w:rPr>
            </w:pPr>
            <w:r w:rsidRPr="00EC75B7">
              <w:rPr>
                <w:rFonts w:ascii="Verdana" w:hAnsi="Verdana"/>
                <w:spacing w:val="-2"/>
                <w:sz w:val="18"/>
                <w:szCs w:val="18"/>
              </w:rPr>
              <w:t xml:space="preserve">Forest </w:t>
            </w:r>
            <w:r w:rsidRPr="00EC75B7">
              <w:rPr>
                <w:rFonts w:ascii="Verdana" w:hAnsi="Verdana"/>
                <w:sz w:val="18"/>
                <w:szCs w:val="18"/>
              </w:rPr>
              <w:t>redstart</w:t>
            </w:r>
          </w:p>
        </w:tc>
        <w:tc>
          <w:tcPr>
            <w:tcW w:w="1449" w:type="dxa"/>
          </w:tcPr>
          <w:p w14:paraId="47B9D0E0" w14:textId="77777777" w:rsidR="008715BE" w:rsidRPr="00EC75B7" w:rsidRDefault="00000000">
            <w:pPr>
              <w:pStyle w:val="TableParagraph"/>
              <w:spacing w:before="104"/>
              <w:ind w:left="19"/>
              <w:jc w:val="center"/>
              <w:rPr>
                <w:rFonts w:ascii="Verdana" w:hAnsi="Verdana"/>
                <w:sz w:val="18"/>
                <w:szCs w:val="18"/>
              </w:rPr>
            </w:pPr>
            <w:r w:rsidRPr="00EC75B7">
              <w:rPr>
                <w:rFonts w:ascii="Verdana" w:hAnsi="Verdana"/>
                <w:spacing w:val="-10"/>
                <w:sz w:val="18"/>
                <w:szCs w:val="18"/>
              </w:rPr>
              <w:t>4</w:t>
            </w:r>
          </w:p>
        </w:tc>
        <w:tc>
          <w:tcPr>
            <w:tcW w:w="1842" w:type="dxa"/>
          </w:tcPr>
          <w:p w14:paraId="3E8EFA2A"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0E200077"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2D7BFDC4" w14:textId="77777777">
        <w:trPr>
          <w:trHeight w:val="314"/>
        </w:trPr>
        <w:tc>
          <w:tcPr>
            <w:tcW w:w="569" w:type="dxa"/>
          </w:tcPr>
          <w:p w14:paraId="3763B8D6"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53</w:t>
            </w:r>
          </w:p>
        </w:tc>
        <w:tc>
          <w:tcPr>
            <w:tcW w:w="2150" w:type="dxa"/>
          </w:tcPr>
          <w:p w14:paraId="07B6C096"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 xml:space="preserve">Pica </w:t>
            </w:r>
            <w:r w:rsidRPr="00EC75B7">
              <w:rPr>
                <w:rFonts w:ascii="Verdana" w:hAnsi="Verdana"/>
                <w:i/>
                <w:spacing w:val="-4"/>
                <w:sz w:val="18"/>
                <w:szCs w:val="18"/>
              </w:rPr>
              <w:t>pica</w:t>
            </w:r>
          </w:p>
        </w:tc>
        <w:tc>
          <w:tcPr>
            <w:tcW w:w="1927" w:type="dxa"/>
          </w:tcPr>
          <w:p w14:paraId="090701FA"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Magpie</w:t>
            </w:r>
          </w:p>
        </w:tc>
        <w:tc>
          <w:tcPr>
            <w:tcW w:w="1449" w:type="dxa"/>
          </w:tcPr>
          <w:p w14:paraId="6CE3923C"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69</w:t>
            </w:r>
          </w:p>
        </w:tc>
        <w:tc>
          <w:tcPr>
            <w:tcW w:w="1842" w:type="dxa"/>
          </w:tcPr>
          <w:p w14:paraId="716DED66"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21394796"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4EDB5CD4" w14:textId="77777777">
        <w:trPr>
          <w:trHeight w:val="316"/>
        </w:trPr>
        <w:tc>
          <w:tcPr>
            <w:tcW w:w="569" w:type="dxa"/>
          </w:tcPr>
          <w:p w14:paraId="08C30B7E"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lastRenderedPageBreak/>
              <w:t>54</w:t>
            </w:r>
          </w:p>
        </w:tc>
        <w:tc>
          <w:tcPr>
            <w:tcW w:w="2150" w:type="dxa"/>
          </w:tcPr>
          <w:p w14:paraId="3D9C9898"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pacing w:val="-2"/>
                <w:sz w:val="18"/>
                <w:szCs w:val="18"/>
              </w:rPr>
              <w:t xml:space="preserve">Sand </w:t>
            </w:r>
            <w:r w:rsidRPr="00EC75B7">
              <w:rPr>
                <w:rFonts w:ascii="Verdana" w:hAnsi="Verdana"/>
                <w:i/>
                <w:sz w:val="18"/>
                <w:szCs w:val="18"/>
              </w:rPr>
              <w:t>martin</w:t>
            </w:r>
          </w:p>
        </w:tc>
        <w:tc>
          <w:tcPr>
            <w:tcW w:w="1927" w:type="dxa"/>
          </w:tcPr>
          <w:p w14:paraId="3B96E56C"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 xml:space="preserve">Marsh </w:t>
            </w:r>
            <w:r w:rsidRPr="00EC75B7">
              <w:rPr>
                <w:rFonts w:ascii="Verdana" w:hAnsi="Verdana"/>
                <w:sz w:val="18"/>
                <w:szCs w:val="18"/>
              </w:rPr>
              <w:t>marigold</w:t>
            </w:r>
          </w:p>
        </w:tc>
        <w:tc>
          <w:tcPr>
            <w:tcW w:w="1449" w:type="dxa"/>
          </w:tcPr>
          <w:p w14:paraId="26EC30C9" w14:textId="77777777" w:rsidR="008715BE" w:rsidRPr="00EC75B7" w:rsidRDefault="00000000">
            <w:pPr>
              <w:pStyle w:val="TableParagraph"/>
              <w:spacing w:before="70"/>
              <w:ind w:left="19"/>
              <w:jc w:val="center"/>
              <w:rPr>
                <w:rFonts w:ascii="Verdana" w:hAnsi="Verdana"/>
                <w:sz w:val="18"/>
                <w:szCs w:val="18"/>
              </w:rPr>
            </w:pPr>
            <w:r w:rsidRPr="00EC75B7">
              <w:rPr>
                <w:rFonts w:ascii="Verdana" w:hAnsi="Verdana"/>
                <w:spacing w:val="-10"/>
                <w:sz w:val="18"/>
                <w:szCs w:val="18"/>
              </w:rPr>
              <w:t>1</w:t>
            </w:r>
          </w:p>
        </w:tc>
        <w:tc>
          <w:tcPr>
            <w:tcW w:w="1842" w:type="dxa"/>
          </w:tcPr>
          <w:p w14:paraId="4E184C9C"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153FE25A"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221008DF" w14:textId="77777777">
        <w:trPr>
          <w:trHeight w:val="314"/>
        </w:trPr>
        <w:tc>
          <w:tcPr>
            <w:tcW w:w="569" w:type="dxa"/>
          </w:tcPr>
          <w:p w14:paraId="50850B74"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55</w:t>
            </w:r>
          </w:p>
        </w:tc>
        <w:tc>
          <w:tcPr>
            <w:tcW w:w="2150" w:type="dxa"/>
          </w:tcPr>
          <w:p w14:paraId="1B154433"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pacing w:val="-2"/>
                <w:sz w:val="18"/>
                <w:szCs w:val="18"/>
              </w:rPr>
              <w:t>Wh</w:t>
            </w:r>
            <w:r w:rsidRPr="00EC75B7">
              <w:rPr>
                <w:rFonts w:ascii="Verdana" w:hAnsi="Verdana"/>
                <w:i/>
                <w:sz w:val="18"/>
                <w:szCs w:val="18"/>
              </w:rPr>
              <w:t>inchat</w:t>
            </w:r>
          </w:p>
        </w:tc>
        <w:tc>
          <w:tcPr>
            <w:tcW w:w="1927" w:type="dxa"/>
          </w:tcPr>
          <w:p w14:paraId="19E610F3"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4"/>
                <w:sz w:val="18"/>
                <w:szCs w:val="18"/>
              </w:rPr>
              <w:t>Whinchat</w:t>
            </w:r>
          </w:p>
        </w:tc>
        <w:tc>
          <w:tcPr>
            <w:tcW w:w="1449" w:type="dxa"/>
          </w:tcPr>
          <w:p w14:paraId="2A250B80"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10</w:t>
            </w:r>
          </w:p>
        </w:tc>
        <w:tc>
          <w:tcPr>
            <w:tcW w:w="1842" w:type="dxa"/>
          </w:tcPr>
          <w:p w14:paraId="6A370371"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5B8BED00"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0DF67354" w14:textId="77777777">
        <w:trPr>
          <w:trHeight w:val="316"/>
        </w:trPr>
        <w:tc>
          <w:tcPr>
            <w:tcW w:w="569" w:type="dxa"/>
          </w:tcPr>
          <w:p w14:paraId="5C310DC1"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5"/>
                <w:sz w:val="18"/>
                <w:szCs w:val="18"/>
              </w:rPr>
              <w:t>56</w:t>
            </w:r>
          </w:p>
        </w:tc>
        <w:tc>
          <w:tcPr>
            <w:tcW w:w="2150" w:type="dxa"/>
          </w:tcPr>
          <w:p w14:paraId="60E98E89" w14:textId="77777777" w:rsidR="008715BE" w:rsidRPr="00EC75B7" w:rsidRDefault="00000000">
            <w:pPr>
              <w:pStyle w:val="TableParagraph"/>
              <w:spacing w:before="68"/>
              <w:ind w:left="108"/>
              <w:rPr>
                <w:rFonts w:ascii="Verdana" w:hAnsi="Verdana"/>
                <w:i/>
                <w:sz w:val="18"/>
                <w:szCs w:val="18"/>
              </w:rPr>
            </w:pPr>
            <w:r w:rsidRPr="00EC75B7">
              <w:rPr>
                <w:rFonts w:ascii="Verdana" w:hAnsi="Verdana"/>
                <w:i/>
                <w:sz w:val="18"/>
                <w:szCs w:val="18"/>
              </w:rPr>
              <w:t>Eurasian coll</w:t>
            </w:r>
            <w:r w:rsidRPr="00EC75B7">
              <w:rPr>
                <w:rFonts w:ascii="Verdana" w:hAnsi="Verdana"/>
                <w:i/>
                <w:spacing w:val="-2"/>
                <w:sz w:val="18"/>
                <w:szCs w:val="18"/>
              </w:rPr>
              <w:t>ared dove</w:t>
            </w:r>
          </w:p>
        </w:tc>
        <w:tc>
          <w:tcPr>
            <w:tcW w:w="1927" w:type="dxa"/>
          </w:tcPr>
          <w:p w14:paraId="7B0E0D69" w14:textId="77777777" w:rsidR="008715BE" w:rsidRPr="00EC75B7" w:rsidRDefault="00000000">
            <w:pPr>
              <w:pStyle w:val="TableParagraph"/>
              <w:spacing w:before="68"/>
              <w:ind w:left="108"/>
              <w:rPr>
                <w:rFonts w:ascii="Verdana" w:hAnsi="Verdana"/>
                <w:sz w:val="18"/>
                <w:szCs w:val="18"/>
              </w:rPr>
            </w:pPr>
            <w:r w:rsidRPr="00EC75B7">
              <w:rPr>
                <w:rFonts w:ascii="Verdana" w:hAnsi="Verdana"/>
                <w:spacing w:val="-2"/>
                <w:sz w:val="18"/>
                <w:szCs w:val="18"/>
              </w:rPr>
              <w:t>Guguştiuc</w:t>
            </w:r>
          </w:p>
        </w:tc>
        <w:tc>
          <w:tcPr>
            <w:tcW w:w="1449" w:type="dxa"/>
          </w:tcPr>
          <w:p w14:paraId="652567B5" w14:textId="77777777" w:rsidR="008715BE" w:rsidRPr="00EC75B7" w:rsidRDefault="00000000">
            <w:pPr>
              <w:pStyle w:val="TableParagraph"/>
              <w:spacing w:before="68"/>
              <w:ind w:left="19" w:right="2"/>
              <w:jc w:val="center"/>
              <w:rPr>
                <w:rFonts w:ascii="Verdana" w:hAnsi="Verdana"/>
                <w:sz w:val="18"/>
                <w:szCs w:val="18"/>
              </w:rPr>
            </w:pPr>
            <w:r w:rsidRPr="00EC75B7">
              <w:rPr>
                <w:rFonts w:ascii="Verdana" w:hAnsi="Verdana"/>
                <w:spacing w:val="-5"/>
                <w:sz w:val="18"/>
                <w:szCs w:val="18"/>
              </w:rPr>
              <w:t>29</w:t>
            </w:r>
          </w:p>
        </w:tc>
        <w:tc>
          <w:tcPr>
            <w:tcW w:w="1842" w:type="dxa"/>
          </w:tcPr>
          <w:p w14:paraId="6708809D"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4C3AFC86"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4A3C515B" w14:textId="77777777">
        <w:trPr>
          <w:trHeight w:val="582"/>
        </w:trPr>
        <w:tc>
          <w:tcPr>
            <w:tcW w:w="569" w:type="dxa"/>
          </w:tcPr>
          <w:p w14:paraId="42B31E67" w14:textId="77777777" w:rsidR="008715BE" w:rsidRPr="00EC75B7" w:rsidRDefault="008715BE">
            <w:pPr>
              <w:pStyle w:val="TableParagraph"/>
              <w:spacing w:before="7"/>
              <w:rPr>
                <w:rFonts w:ascii="Verdana" w:hAnsi="Verdana"/>
                <w:sz w:val="18"/>
                <w:szCs w:val="18"/>
              </w:rPr>
            </w:pPr>
          </w:p>
          <w:p w14:paraId="6CA23ACB"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57</w:t>
            </w:r>
          </w:p>
        </w:tc>
        <w:tc>
          <w:tcPr>
            <w:tcW w:w="2150" w:type="dxa"/>
          </w:tcPr>
          <w:p w14:paraId="26B674BC" w14:textId="77777777" w:rsidR="008715BE" w:rsidRPr="00EC75B7" w:rsidRDefault="008715BE">
            <w:pPr>
              <w:pStyle w:val="TableParagraph"/>
              <w:spacing w:before="7"/>
              <w:rPr>
                <w:rFonts w:ascii="Verdana" w:hAnsi="Verdana"/>
                <w:sz w:val="18"/>
                <w:szCs w:val="18"/>
              </w:rPr>
            </w:pPr>
          </w:p>
          <w:p w14:paraId="40A914DB" w14:textId="77777777" w:rsidR="008715BE" w:rsidRPr="00EC75B7" w:rsidRDefault="00000000">
            <w:pPr>
              <w:pStyle w:val="TableParagraph"/>
              <w:ind w:left="108"/>
              <w:rPr>
                <w:rFonts w:ascii="Verdana" w:hAnsi="Verdana"/>
                <w:i/>
                <w:sz w:val="18"/>
                <w:szCs w:val="18"/>
              </w:rPr>
            </w:pPr>
            <w:r w:rsidRPr="00EC75B7">
              <w:rPr>
                <w:rFonts w:ascii="Verdana" w:hAnsi="Verdana"/>
                <w:i/>
                <w:spacing w:val="-2"/>
                <w:sz w:val="18"/>
                <w:szCs w:val="18"/>
              </w:rPr>
              <w:t>Turtle Dove</w:t>
            </w:r>
          </w:p>
        </w:tc>
        <w:tc>
          <w:tcPr>
            <w:tcW w:w="1927" w:type="dxa"/>
          </w:tcPr>
          <w:p w14:paraId="3191F71E" w14:textId="77777777" w:rsidR="008715BE" w:rsidRPr="00EC75B7" w:rsidRDefault="008715BE">
            <w:pPr>
              <w:pStyle w:val="TableParagraph"/>
              <w:spacing w:before="7"/>
              <w:rPr>
                <w:rFonts w:ascii="Verdana" w:hAnsi="Verdana"/>
                <w:sz w:val="18"/>
                <w:szCs w:val="18"/>
              </w:rPr>
            </w:pPr>
          </w:p>
          <w:p w14:paraId="47C20068"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Turturică</w:t>
            </w:r>
          </w:p>
        </w:tc>
        <w:tc>
          <w:tcPr>
            <w:tcW w:w="1449" w:type="dxa"/>
          </w:tcPr>
          <w:p w14:paraId="78966CB2" w14:textId="77777777" w:rsidR="008715BE" w:rsidRPr="00EC75B7" w:rsidRDefault="008715BE">
            <w:pPr>
              <w:pStyle w:val="TableParagraph"/>
              <w:spacing w:before="7"/>
              <w:rPr>
                <w:rFonts w:ascii="Verdana" w:hAnsi="Verdana"/>
                <w:sz w:val="18"/>
                <w:szCs w:val="18"/>
              </w:rPr>
            </w:pPr>
          </w:p>
          <w:p w14:paraId="3DD4DD7A"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5</w:t>
            </w:r>
          </w:p>
        </w:tc>
        <w:tc>
          <w:tcPr>
            <w:tcW w:w="1842" w:type="dxa"/>
          </w:tcPr>
          <w:p w14:paraId="2A41720E" w14:textId="77777777" w:rsidR="008715BE" w:rsidRPr="00EC75B7" w:rsidRDefault="00000000">
            <w:pPr>
              <w:pStyle w:val="TableParagraph"/>
              <w:spacing w:before="8" w:line="195" w:lineRule="exact"/>
              <w:ind w:left="16"/>
              <w:jc w:val="center"/>
              <w:rPr>
                <w:rFonts w:ascii="Verdana" w:hAnsi="Verdana"/>
                <w:sz w:val="18"/>
                <w:szCs w:val="18"/>
              </w:rPr>
            </w:pPr>
            <w:r w:rsidRPr="00EC75B7">
              <w:rPr>
                <w:rFonts w:ascii="Verdana" w:hAnsi="Verdana"/>
                <w:sz w:val="18"/>
                <w:szCs w:val="18"/>
              </w:rPr>
              <w:t xml:space="preserve">Northern Europe </w:t>
            </w:r>
            <w:r w:rsidRPr="00EC75B7">
              <w:rPr>
                <w:rFonts w:ascii="Verdana" w:hAnsi="Verdana"/>
                <w:spacing w:val="-10"/>
                <w:sz w:val="18"/>
                <w:szCs w:val="18"/>
              </w:rPr>
              <w:t>-</w:t>
            </w:r>
          </w:p>
          <w:p w14:paraId="2BC149AC" w14:textId="77777777" w:rsidR="008715BE" w:rsidRPr="00EC75B7" w:rsidRDefault="00000000">
            <w:pPr>
              <w:pStyle w:val="TableParagraph"/>
              <w:spacing w:line="194" w:lineRule="exact"/>
              <w:ind w:left="14"/>
              <w:jc w:val="center"/>
              <w:rPr>
                <w:rFonts w:ascii="Verdana" w:hAnsi="Verdana"/>
                <w:sz w:val="18"/>
                <w:szCs w:val="18"/>
              </w:rPr>
            </w:pPr>
            <w:r w:rsidRPr="00EC75B7">
              <w:rPr>
                <w:rFonts w:ascii="Verdana" w:hAnsi="Verdana"/>
                <w:spacing w:val="-5"/>
                <w:sz w:val="18"/>
                <w:szCs w:val="18"/>
              </w:rPr>
              <w:t>South</w:t>
            </w:r>
          </w:p>
          <w:p w14:paraId="31340302" w14:textId="77777777" w:rsidR="008715BE" w:rsidRPr="00EC75B7" w:rsidRDefault="00000000">
            <w:pPr>
              <w:pStyle w:val="TableParagraph"/>
              <w:spacing w:line="165" w:lineRule="exact"/>
              <w:ind w:left="15"/>
              <w:jc w:val="center"/>
              <w:rPr>
                <w:rFonts w:ascii="Verdana" w:hAnsi="Verdana"/>
                <w:sz w:val="18"/>
                <w:szCs w:val="18"/>
              </w:rPr>
            </w:pPr>
            <w:r w:rsidRPr="00EC75B7">
              <w:rPr>
                <w:rFonts w:ascii="Verdana" w:hAnsi="Verdana"/>
                <w:sz w:val="18"/>
                <w:szCs w:val="18"/>
              </w:rPr>
              <w:t xml:space="preserve">Eastern </w:t>
            </w:r>
            <w:r w:rsidRPr="00EC75B7">
              <w:rPr>
                <w:rFonts w:ascii="Verdana" w:hAnsi="Verdana"/>
                <w:spacing w:val="-2"/>
                <w:sz w:val="18"/>
                <w:szCs w:val="18"/>
              </w:rPr>
              <w:t>Europe</w:t>
            </w:r>
          </w:p>
        </w:tc>
        <w:tc>
          <w:tcPr>
            <w:tcW w:w="2006" w:type="dxa"/>
          </w:tcPr>
          <w:p w14:paraId="33642E0E"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2">
              <w:r w:rsidR="008715BE" w:rsidRPr="00EC75B7">
                <w:rPr>
                  <w:rFonts w:ascii="Verdana" w:hAnsi="Verdana"/>
                  <w:spacing w:val="-2"/>
                  <w:sz w:val="18"/>
                  <w:szCs w:val="18"/>
                </w:rPr>
                <w:t xml:space="preserve"> https://migrationatlas</w:t>
              </w:r>
            </w:hyperlink>
          </w:p>
          <w:p w14:paraId="2547B01F"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2FE71901" w14:textId="77777777">
        <w:trPr>
          <w:trHeight w:val="582"/>
        </w:trPr>
        <w:tc>
          <w:tcPr>
            <w:tcW w:w="569" w:type="dxa"/>
          </w:tcPr>
          <w:p w14:paraId="0709DD77" w14:textId="77777777" w:rsidR="008715BE" w:rsidRPr="00EC75B7" w:rsidRDefault="008715BE">
            <w:pPr>
              <w:pStyle w:val="TableParagraph"/>
              <w:spacing w:before="7"/>
              <w:rPr>
                <w:rFonts w:ascii="Verdana" w:hAnsi="Verdana"/>
                <w:sz w:val="18"/>
                <w:szCs w:val="18"/>
              </w:rPr>
            </w:pPr>
          </w:p>
          <w:p w14:paraId="2081C3B2"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58</w:t>
            </w:r>
          </w:p>
        </w:tc>
        <w:tc>
          <w:tcPr>
            <w:tcW w:w="2150" w:type="dxa"/>
          </w:tcPr>
          <w:p w14:paraId="2D3D569C" w14:textId="77777777" w:rsidR="008715BE" w:rsidRPr="00EC75B7" w:rsidRDefault="008715BE">
            <w:pPr>
              <w:pStyle w:val="TableParagraph"/>
              <w:spacing w:before="7"/>
              <w:rPr>
                <w:rFonts w:ascii="Verdana" w:hAnsi="Verdana"/>
                <w:sz w:val="18"/>
                <w:szCs w:val="18"/>
              </w:rPr>
            </w:pPr>
          </w:p>
          <w:p w14:paraId="25307B6F"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Sturnus </w:t>
            </w:r>
            <w:r w:rsidRPr="00EC75B7">
              <w:rPr>
                <w:rFonts w:ascii="Verdana" w:hAnsi="Verdana"/>
                <w:i/>
                <w:spacing w:val="-2"/>
                <w:sz w:val="18"/>
                <w:szCs w:val="18"/>
              </w:rPr>
              <w:t>vulgaris</w:t>
            </w:r>
          </w:p>
        </w:tc>
        <w:tc>
          <w:tcPr>
            <w:tcW w:w="1927" w:type="dxa"/>
          </w:tcPr>
          <w:p w14:paraId="4FFC2638" w14:textId="77777777" w:rsidR="008715BE" w:rsidRPr="00EC75B7" w:rsidRDefault="008715BE">
            <w:pPr>
              <w:pStyle w:val="TableParagraph"/>
              <w:spacing w:before="7"/>
              <w:rPr>
                <w:rFonts w:ascii="Verdana" w:hAnsi="Verdana"/>
                <w:sz w:val="18"/>
                <w:szCs w:val="18"/>
              </w:rPr>
            </w:pPr>
          </w:p>
          <w:p w14:paraId="17530478"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starling</w:t>
            </w:r>
          </w:p>
        </w:tc>
        <w:tc>
          <w:tcPr>
            <w:tcW w:w="1449" w:type="dxa"/>
          </w:tcPr>
          <w:p w14:paraId="66DF2611" w14:textId="77777777" w:rsidR="008715BE" w:rsidRPr="00EC75B7" w:rsidRDefault="008715BE">
            <w:pPr>
              <w:pStyle w:val="TableParagraph"/>
              <w:spacing w:before="7"/>
              <w:rPr>
                <w:rFonts w:ascii="Verdana" w:hAnsi="Verdana"/>
                <w:sz w:val="18"/>
                <w:szCs w:val="18"/>
              </w:rPr>
            </w:pPr>
          </w:p>
          <w:p w14:paraId="19C4360A" w14:textId="77777777" w:rsidR="008715BE" w:rsidRPr="00EC75B7" w:rsidRDefault="00000000">
            <w:pPr>
              <w:pStyle w:val="TableParagraph"/>
              <w:ind w:left="19" w:right="3"/>
              <w:jc w:val="center"/>
              <w:rPr>
                <w:rFonts w:ascii="Verdana" w:hAnsi="Verdana"/>
                <w:sz w:val="18"/>
                <w:szCs w:val="18"/>
              </w:rPr>
            </w:pPr>
            <w:r w:rsidRPr="00EC75B7">
              <w:rPr>
                <w:rFonts w:ascii="Verdana" w:hAnsi="Verdana"/>
                <w:spacing w:val="-5"/>
                <w:sz w:val="18"/>
                <w:szCs w:val="18"/>
              </w:rPr>
              <w:t>982</w:t>
            </w:r>
          </w:p>
        </w:tc>
        <w:tc>
          <w:tcPr>
            <w:tcW w:w="1842" w:type="dxa"/>
          </w:tcPr>
          <w:p w14:paraId="1759EBA3" w14:textId="77777777" w:rsidR="008715BE" w:rsidRPr="00EC75B7" w:rsidRDefault="00000000">
            <w:pPr>
              <w:pStyle w:val="TableParagraph"/>
              <w:spacing w:line="194" w:lineRule="exact"/>
              <w:ind w:left="618" w:right="312" w:hanging="288"/>
              <w:rPr>
                <w:rFonts w:ascii="Verdana" w:hAnsi="Verdana"/>
                <w:sz w:val="18"/>
                <w:szCs w:val="18"/>
              </w:rPr>
            </w:pPr>
            <w:r w:rsidRPr="00EC75B7">
              <w:rPr>
                <w:rFonts w:ascii="Verdana" w:hAnsi="Verdana"/>
                <w:sz w:val="18"/>
                <w:szCs w:val="18"/>
              </w:rPr>
              <w:t xml:space="preserve">Eastern Europe - </w:t>
            </w:r>
            <w:r w:rsidRPr="00EC75B7">
              <w:rPr>
                <w:rFonts w:ascii="Verdana" w:hAnsi="Verdana"/>
                <w:spacing w:val="-2"/>
                <w:sz w:val="18"/>
                <w:szCs w:val="18"/>
              </w:rPr>
              <w:t>Southern Europe</w:t>
            </w:r>
          </w:p>
        </w:tc>
        <w:tc>
          <w:tcPr>
            <w:tcW w:w="2006" w:type="dxa"/>
          </w:tcPr>
          <w:p w14:paraId="6FB1830F"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3">
              <w:r w:rsidR="008715BE" w:rsidRPr="00EC75B7">
                <w:rPr>
                  <w:rFonts w:ascii="Verdana" w:hAnsi="Verdana"/>
                  <w:spacing w:val="-2"/>
                  <w:sz w:val="18"/>
                  <w:szCs w:val="18"/>
                </w:rPr>
                <w:t xml:space="preserve"> https://migrationatlas</w:t>
              </w:r>
            </w:hyperlink>
          </w:p>
          <w:p w14:paraId="07FDD528"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3CF8F0CF" w14:textId="77777777">
        <w:trPr>
          <w:trHeight w:val="583"/>
        </w:trPr>
        <w:tc>
          <w:tcPr>
            <w:tcW w:w="569" w:type="dxa"/>
          </w:tcPr>
          <w:p w14:paraId="4FB6FB0D" w14:textId="77777777" w:rsidR="008715BE" w:rsidRPr="00EC75B7" w:rsidRDefault="008715BE">
            <w:pPr>
              <w:pStyle w:val="TableParagraph"/>
              <w:spacing w:before="7"/>
              <w:rPr>
                <w:rFonts w:ascii="Verdana" w:hAnsi="Verdana"/>
                <w:sz w:val="18"/>
                <w:szCs w:val="18"/>
              </w:rPr>
            </w:pPr>
          </w:p>
          <w:p w14:paraId="39CA0AB3" w14:textId="77777777" w:rsidR="008715BE" w:rsidRPr="00EC75B7" w:rsidRDefault="00000000">
            <w:pPr>
              <w:pStyle w:val="TableParagraph"/>
              <w:spacing w:before="1"/>
              <w:ind w:left="108"/>
              <w:rPr>
                <w:rFonts w:ascii="Verdana" w:hAnsi="Verdana"/>
                <w:sz w:val="18"/>
                <w:szCs w:val="18"/>
              </w:rPr>
            </w:pPr>
            <w:r w:rsidRPr="00EC75B7">
              <w:rPr>
                <w:rFonts w:ascii="Verdana" w:hAnsi="Verdana"/>
                <w:spacing w:val="-5"/>
                <w:sz w:val="18"/>
                <w:szCs w:val="18"/>
              </w:rPr>
              <w:t>59</w:t>
            </w:r>
          </w:p>
        </w:tc>
        <w:tc>
          <w:tcPr>
            <w:tcW w:w="2150" w:type="dxa"/>
          </w:tcPr>
          <w:p w14:paraId="17093ADD" w14:textId="77777777" w:rsidR="008715BE" w:rsidRPr="00EC75B7" w:rsidRDefault="008715BE">
            <w:pPr>
              <w:pStyle w:val="TableParagraph"/>
              <w:spacing w:before="7"/>
              <w:rPr>
                <w:rFonts w:ascii="Verdana" w:hAnsi="Verdana"/>
                <w:sz w:val="18"/>
                <w:szCs w:val="18"/>
              </w:rPr>
            </w:pPr>
          </w:p>
          <w:p w14:paraId="5823EED9" w14:textId="77777777" w:rsidR="008715BE" w:rsidRPr="00EC75B7" w:rsidRDefault="00000000">
            <w:pPr>
              <w:pStyle w:val="TableParagraph"/>
              <w:spacing w:before="1"/>
              <w:ind w:left="108"/>
              <w:rPr>
                <w:rFonts w:ascii="Verdana" w:hAnsi="Verdana"/>
                <w:i/>
                <w:sz w:val="18"/>
                <w:szCs w:val="18"/>
              </w:rPr>
            </w:pPr>
            <w:r w:rsidRPr="00EC75B7">
              <w:rPr>
                <w:rFonts w:ascii="Verdana" w:hAnsi="Verdana"/>
                <w:i/>
                <w:sz w:val="18"/>
                <w:szCs w:val="18"/>
              </w:rPr>
              <w:t xml:space="preserve">Sylvia </w:t>
            </w:r>
            <w:r w:rsidRPr="00EC75B7">
              <w:rPr>
                <w:rFonts w:ascii="Verdana" w:hAnsi="Verdana"/>
                <w:i/>
                <w:spacing w:val="-2"/>
                <w:sz w:val="18"/>
                <w:szCs w:val="18"/>
              </w:rPr>
              <w:t>atricapilla</w:t>
            </w:r>
          </w:p>
        </w:tc>
        <w:tc>
          <w:tcPr>
            <w:tcW w:w="1927" w:type="dxa"/>
          </w:tcPr>
          <w:p w14:paraId="758EEE5E" w14:textId="77777777" w:rsidR="008715BE" w:rsidRPr="00EC75B7" w:rsidRDefault="008715BE">
            <w:pPr>
              <w:pStyle w:val="TableParagraph"/>
              <w:spacing w:before="7"/>
              <w:rPr>
                <w:rFonts w:ascii="Verdana" w:hAnsi="Verdana"/>
                <w:sz w:val="18"/>
                <w:szCs w:val="18"/>
              </w:rPr>
            </w:pPr>
          </w:p>
          <w:p w14:paraId="075B8FCD" w14:textId="77777777" w:rsidR="008715BE" w:rsidRPr="00EC75B7" w:rsidRDefault="00000000">
            <w:pPr>
              <w:pStyle w:val="TableParagraph"/>
              <w:spacing w:before="1"/>
              <w:ind w:left="108"/>
              <w:rPr>
                <w:rFonts w:ascii="Verdana" w:hAnsi="Verdana"/>
                <w:sz w:val="18"/>
                <w:szCs w:val="18"/>
              </w:rPr>
            </w:pPr>
            <w:r w:rsidRPr="00EC75B7">
              <w:rPr>
                <w:rFonts w:ascii="Verdana" w:hAnsi="Verdana"/>
                <w:spacing w:val="-4"/>
                <w:sz w:val="18"/>
                <w:szCs w:val="18"/>
              </w:rPr>
              <w:t>Black</w:t>
            </w:r>
            <w:r w:rsidRPr="00EC75B7">
              <w:rPr>
                <w:rFonts w:ascii="Verdana" w:hAnsi="Verdana"/>
                <w:sz w:val="18"/>
                <w:szCs w:val="18"/>
              </w:rPr>
              <w:t>cap</w:t>
            </w:r>
          </w:p>
        </w:tc>
        <w:tc>
          <w:tcPr>
            <w:tcW w:w="1449" w:type="dxa"/>
          </w:tcPr>
          <w:p w14:paraId="5EA8647E" w14:textId="77777777" w:rsidR="008715BE" w:rsidRPr="00EC75B7" w:rsidRDefault="008715BE">
            <w:pPr>
              <w:pStyle w:val="TableParagraph"/>
              <w:spacing w:before="7"/>
              <w:rPr>
                <w:rFonts w:ascii="Verdana" w:hAnsi="Verdana"/>
                <w:sz w:val="18"/>
                <w:szCs w:val="18"/>
              </w:rPr>
            </w:pPr>
          </w:p>
          <w:p w14:paraId="7D241860" w14:textId="77777777" w:rsidR="008715BE" w:rsidRPr="00EC75B7" w:rsidRDefault="00000000">
            <w:pPr>
              <w:pStyle w:val="TableParagraph"/>
              <w:spacing w:before="1"/>
              <w:ind w:left="19"/>
              <w:jc w:val="center"/>
              <w:rPr>
                <w:rFonts w:ascii="Verdana" w:hAnsi="Verdana"/>
                <w:sz w:val="18"/>
                <w:szCs w:val="18"/>
              </w:rPr>
            </w:pPr>
            <w:r w:rsidRPr="00EC75B7">
              <w:rPr>
                <w:rFonts w:ascii="Verdana" w:hAnsi="Verdana"/>
                <w:spacing w:val="-10"/>
                <w:sz w:val="18"/>
                <w:szCs w:val="18"/>
              </w:rPr>
              <w:t>3</w:t>
            </w:r>
          </w:p>
        </w:tc>
        <w:tc>
          <w:tcPr>
            <w:tcW w:w="1842" w:type="dxa"/>
          </w:tcPr>
          <w:p w14:paraId="6CC81C93" w14:textId="77777777" w:rsidR="008715BE" w:rsidRPr="00EC75B7" w:rsidRDefault="00000000">
            <w:pPr>
              <w:pStyle w:val="TableParagraph"/>
              <w:spacing w:before="8"/>
              <w:ind w:left="458" w:right="242" w:hanging="197"/>
              <w:rPr>
                <w:rFonts w:ascii="Verdana" w:hAnsi="Verdana"/>
                <w:sz w:val="18"/>
                <w:szCs w:val="18"/>
              </w:rPr>
            </w:pPr>
            <w:r w:rsidRPr="00EC75B7">
              <w:rPr>
                <w:rFonts w:ascii="Verdana" w:hAnsi="Verdana"/>
                <w:spacing w:val="-2"/>
                <w:sz w:val="18"/>
                <w:szCs w:val="18"/>
              </w:rPr>
              <w:t xml:space="preserve">Northern Europe - </w:t>
            </w:r>
            <w:r w:rsidRPr="00EC75B7">
              <w:rPr>
                <w:rFonts w:ascii="Verdana" w:hAnsi="Verdana"/>
                <w:sz w:val="18"/>
                <w:szCs w:val="18"/>
              </w:rPr>
              <w:t>Western Asia</w:t>
            </w:r>
          </w:p>
        </w:tc>
        <w:tc>
          <w:tcPr>
            <w:tcW w:w="2006" w:type="dxa"/>
          </w:tcPr>
          <w:p w14:paraId="53FD1D6D"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4">
              <w:r w:rsidR="008715BE" w:rsidRPr="00EC75B7">
                <w:rPr>
                  <w:rFonts w:ascii="Verdana" w:hAnsi="Verdana"/>
                  <w:spacing w:val="-2"/>
                  <w:sz w:val="18"/>
                  <w:szCs w:val="18"/>
                </w:rPr>
                <w:t xml:space="preserve"> https://migrationatlas</w:t>
              </w:r>
            </w:hyperlink>
          </w:p>
          <w:p w14:paraId="305EB956" w14:textId="77777777" w:rsidR="008715BE" w:rsidRPr="00EC75B7" w:rsidRDefault="00000000">
            <w:pPr>
              <w:pStyle w:val="TableParagraph"/>
              <w:spacing w:line="165"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18860870" w14:textId="77777777">
        <w:trPr>
          <w:trHeight w:val="316"/>
        </w:trPr>
        <w:tc>
          <w:tcPr>
            <w:tcW w:w="569" w:type="dxa"/>
          </w:tcPr>
          <w:p w14:paraId="353B0380"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5"/>
                <w:sz w:val="18"/>
                <w:szCs w:val="18"/>
              </w:rPr>
              <w:t>60</w:t>
            </w:r>
          </w:p>
        </w:tc>
        <w:tc>
          <w:tcPr>
            <w:tcW w:w="2150" w:type="dxa"/>
          </w:tcPr>
          <w:p w14:paraId="34021839" w14:textId="77777777" w:rsidR="008715BE" w:rsidRPr="00EC75B7" w:rsidRDefault="00000000">
            <w:pPr>
              <w:pStyle w:val="TableParagraph"/>
              <w:spacing w:before="70"/>
              <w:ind w:left="108"/>
              <w:rPr>
                <w:rFonts w:ascii="Verdana" w:hAnsi="Verdana"/>
                <w:i/>
                <w:sz w:val="18"/>
                <w:szCs w:val="18"/>
              </w:rPr>
            </w:pPr>
            <w:r w:rsidRPr="00EC75B7">
              <w:rPr>
                <w:rFonts w:ascii="Verdana" w:hAnsi="Verdana"/>
                <w:i/>
                <w:sz w:val="18"/>
                <w:szCs w:val="18"/>
              </w:rPr>
              <w:t xml:space="preserve">Turdus </w:t>
            </w:r>
            <w:r w:rsidRPr="00EC75B7">
              <w:rPr>
                <w:rFonts w:ascii="Verdana" w:hAnsi="Verdana"/>
                <w:i/>
                <w:spacing w:val="-2"/>
                <w:sz w:val="18"/>
                <w:szCs w:val="18"/>
              </w:rPr>
              <w:t>merula</w:t>
            </w:r>
          </w:p>
        </w:tc>
        <w:tc>
          <w:tcPr>
            <w:tcW w:w="1927" w:type="dxa"/>
          </w:tcPr>
          <w:p w14:paraId="4F680A90" w14:textId="77777777" w:rsidR="008715BE" w:rsidRPr="00EC75B7" w:rsidRDefault="00000000">
            <w:pPr>
              <w:pStyle w:val="TableParagraph"/>
              <w:spacing w:before="70"/>
              <w:ind w:left="108"/>
              <w:rPr>
                <w:rFonts w:ascii="Verdana" w:hAnsi="Verdana"/>
                <w:sz w:val="18"/>
                <w:szCs w:val="18"/>
              </w:rPr>
            </w:pPr>
            <w:r w:rsidRPr="00EC75B7">
              <w:rPr>
                <w:rFonts w:ascii="Verdana" w:hAnsi="Verdana"/>
                <w:spacing w:val="-2"/>
                <w:sz w:val="18"/>
                <w:szCs w:val="18"/>
              </w:rPr>
              <w:t>Blackbird</w:t>
            </w:r>
          </w:p>
        </w:tc>
        <w:tc>
          <w:tcPr>
            <w:tcW w:w="1449" w:type="dxa"/>
          </w:tcPr>
          <w:p w14:paraId="656A1791" w14:textId="77777777" w:rsidR="008715BE" w:rsidRPr="00EC75B7" w:rsidRDefault="00000000">
            <w:pPr>
              <w:pStyle w:val="TableParagraph"/>
              <w:spacing w:before="70"/>
              <w:ind w:left="19" w:right="2"/>
              <w:jc w:val="center"/>
              <w:rPr>
                <w:rFonts w:ascii="Verdana" w:hAnsi="Verdana"/>
                <w:sz w:val="18"/>
                <w:szCs w:val="18"/>
              </w:rPr>
            </w:pPr>
            <w:r w:rsidRPr="00EC75B7">
              <w:rPr>
                <w:rFonts w:ascii="Verdana" w:hAnsi="Verdana"/>
                <w:spacing w:val="-5"/>
                <w:sz w:val="18"/>
                <w:szCs w:val="18"/>
              </w:rPr>
              <w:t>18</w:t>
            </w:r>
          </w:p>
        </w:tc>
        <w:tc>
          <w:tcPr>
            <w:tcW w:w="1842" w:type="dxa"/>
          </w:tcPr>
          <w:p w14:paraId="32170D0A" w14:textId="77777777" w:rsidR="008715BE" w:rsidRPr="00EC75B7" w:rsidRDefault="00000000">
            <w:pPr>
              <w:pStyle w:val="TableParagraph"/>
              <w:spacing w:before="8"/>
              <w:ind w:left="16"/>
              <w:jc w:val="center"/>
              <w:rPr>
                <w:rFonts w:ascii="Verdana" w:hAnsi="Verdana"/>
                <w:sz w:val="18"/>
                <w:szCs w:val="18"/>
              </w:rPr>
            </w:pPr>
            <w:r w:rsidRPr="00EC75B7">
              <w:rPr>
                <w:rFonts w:ascii="Verdana" w:hAnsi="Verdana"/>
                <w:sz w:val="18"/>
                <w:szCs w:val="18"/>
              </w:rPr>
              <w:t>-</w:t>
            </w:r>
          </w:p>
        </w:tc>
        <w:tc>
          <w:tcPr>
            <w:tcW w:w="2006" w:type="dxa"/>
          </w:tcPr>
          <w:p w14:paraId="395BF9AC" w14:textId="77777777" w:rsidR="008715BE" w:rsidRPr="00EC75B7" w:rsidRDefault="00000000">
            <w:pPr>
              <w:pStyle w:val="TableParagraph"/>
              <w:spacing w:before="8"/>
              <w:ind w:left="19"/>
              <w:jc w:val="center"/>
              <w:rPr>
                <w:rFonts w:ascii="Verdana" w:hAnsi="Verdana"/>
                <w:sz w:val="18"/>
                <w:szCs w:val="18"/>
              </w:rPr>
            </w:pPr>
            <w:r w:rsidRPr="00EC75B7">
              <w:rPr>
                <w:rFonts w:ascii="Verdana" w:hAnsi="Verdana"/>
                <w:sz w:val="18"/>
                <w:szCs w:val="18"/>
              </w:rPr>
              <w:t>-</w:t>
            </w:r>
          </w:p>
        </w:tc>
      </w:tr>
      <w:tr w:rsidR="008715BE" w:rsidRPr="00EC75B7" w14:paraId="06852D97" w14:textId="77777777">
        <w:trPr>
          <w:trHeight w:val="582"/>
        </w:trPr>
        <w:tc>
          <w:tcPr>
            <w:tcW w:w="569" w:type="dxa"/>
          </w:tcPr>
          <w:p w14:paraId="68FE7911" w14:textId="77777777" w:rsidR="008715BE" w:rsidRPr="00EC75B7" w:rsidRDefault="008715BE">
            <w:pPr>
              <w:pStyle w:val="TableParagraph"/>
              <w:spacing w:before="7"/>
              <w:rPr>
                <w:rFonts w:ascii="Verdana" w:hAnsi="Verdana"/>
                <w:sz w:val="18"/>
                <w:szCs w:val="18"/>
              </w:rPr>
            </w:pPr>
          </w:p>
          <w:p w14:paraId="05776CDA"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61</w:t>
            </w:r>
          </w:p>
        </w:tc>
        <w:tc>
          <w:tcPr>
            <w:tcW w:w="2150" w:type="dxa"/>
          </w:tcPr>
          <w:p w14:paraId="51979B58" w14:textId="77777777" w:rsidR="008715BE" w:rsidRPr="00EC75B7" w:rsidRDefault="008715BE">
            <w:pPr>
              <w:pStyle w:val="TableParagraph"/>
              <w:spacing w:before="7"/>
              <w:rPr>
                <w:rFonts w:ascii="Verdana" w:hAnsi="Verdana"/>
                <w:sz w:val="18"/>
                <w:szCs w:val="18"/>
              </w:rPr>
            </w:pPr>
          </w:p>
          <w:p w14:paraId="402F68FE"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Turdus </w:t>
            </w:r>
            <w:r w:rsidRPr="00EC75B7">
              <w:rPr>
                <w:rFonts w:ascii="Verdana" w:hAnsi="Verdana"/>
                <w:i/>
                <w:spacing w:val="-2"/>
                <w:sz w:val="18"/>
                <w:szCs w:val="18"/>
              </w:rPr>
              <w:t>philomelos</w:t>
            </w:r>
          </w:p>
        </w:tc>
        <w:tc>
          <w:tcPr>
            <w:tcW w:w="1927" w:type="dxa"/>
          </w:tcPr>
          <w:p w14:paraId="75DBB2EF" w14:textId="77777777" w:rsidR="008715BE" w:rsidRPr="00EC75B7" w:rsidRDefault="008715BE">
            <w:pPr>
              <w:pStyle w:val="TableParagraph"/>
              <w:spacing w:before="7"/>
              <w:rPr>
                <w:rFonts w:ascii="Verdana" w:hAnsi="Verdana"/>
                <w:sz w:val="18"/>
                <w:szCs w:val="18"/>
              </w:rPr>
            </w:pPr>
          </w:p>
          <w:p w14:paraId="086C72CA"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Song </w:t>
            </w:r>
            <w:r w:rsidRPr="00EC75B7">
              <w:rPr>
                <w:rFonts w:ascii="Verdana" w:hAnsi="Verdana"/>
                <w:sz w:val="18"/>
                <w:szCs w:val="18"/>
              </w:rPr>
              <w:t>thrush</w:t>
            </w:r>
          </w:p>
        </w:tc>
        <w:tc>
          <w:tcPr>
            <w:tcW w:w="1449" w:type="dxa"/>
          </w:tcPr>
          <w:p w14:paraId="437C5B84" w14:textId="77777777" w:rsidR="008715BE" w:rsidRPr="00EC75B7" w:rsidRDefault="008715BE">
            <w:pPr>
              <w:pStyle w:val="TableParagraph"/>
              <w:spacing w:before="7"/>
              <w:rPr>
                <w:rFonts w:ascii="Verdana" w:hAnsi="Verdana"/>
                <w:sz w:val="18"/>
                <w:szCs w:val="18"/>
              </w:rPr>
            </w:pPr>
          </w:p>
          <w:p w14:paraId="14CFB045" w14:textId="77777777" w:rsidR="008715BE" w:rsidRPr="00EC75B7" w:rsidRDefault="00000000">
            <w:pPr>
              <w:pStyle w:val="TableParagraph"/>
              <w:ind w:left="19"/>
              <w:jc w:val="center"/>
              <w:rPr>
                <w:rFonts w:ascii="Verdana" w:hAnsi="Verdana"/>
                <w:sz w:val="18"/>
                <w:szCs w:val="18"/>
              </w:rPr>
            </w:pPr>
            <w:r w:rsidRPr="00EC75B7">
              <w:rPr>
                <w:rFonts w:ascii="Verdana" w:hAnsi="Verdana"/>
                <w:spacing w:val="-10"/>
                <w:sz w:val="18"/>
                <w:szCs w:val="18"/>
              </w:rPr>
              <w:t>7</w:t>
            </w:r>
          </w:p>
        </w:tc>
        <w:tc>
          <w:tcPr>
            <w:tcW w:w="1842" w:type="dxa"/>
          </w:tcPr>
          <w:p w14:paraId="7EAA0E52" w14:textId="77777777" w:rsidR="008715BE" w:rsidRPr="00EC75B7" w:rsidRDefault="00000000">
            <w:pPr>
              <w:pStyle w:val="TableParagraph"/>
              <w:spacing w:before="8"/>
              <w:ind w:left="414" w:right="281" w:hanging="116"/>
              <w:rPr>
                <w:rFonts w:ascii="Verdana" w:hAnsi="Verdana"/>
                <w:sz w:val="18"/>
                <w:szCs w:val="18"/>
              </w:rPr>
            </w:pPr>
            <w:r w:rsidRPr="00EC75B7">
              <w:rPr>
                <w:rFonts w:ascii="Verdana" w:hAnsi="Verdana"/>
                <w:sz w:val="18"/>
                <w:szCs w:val="18"/>
              </w:rPr>
              <w:t>Southern Europe - Central Asia</w:t>
            </w:r>
          </w:p>
        </w:tc>
        <w:tc>
          <w:tcPr>
            <w:tcW w:w="2006" w:type="dxa"/>
          </w:tcPr>
          <w:p w14:paraId="5CF45606"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5">
              <w:r w:rsidR="008715BE" w:rsidRPr="00EC75B7">
                <w:rPr>
                  <w:rFonts w:ascii="Verdana" w:hAnsi="Verdana"/>
                  <w:spacing w:val="-2"/>
                  <w:sz w:val="18"/>
                  <w:szCs w:val="18"/>
                </w:rPr>
                <w:t xml:space="preserve"> https://migrationatlas</w:t>
              </w:r>
            </w:hyperlink>
          </w:p>
          <w:p w14:paraId="2495164C"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7F91A559" w14:textId="77777777">
        <w:trPr>
          <w:trHeight w:val="582"/>
        </w:trPr>
        <w:tc>
          <w:tcPr>
            <w:tcW w:w="569" w:type="dxa"/>
          </w:tcPr>
          <w:p w14:paraId="3E32B460" w14:textId="77777777" w:rsidR="008715BE" w:rsidRPr="00EC75B7" w:rsidRDefault="008715BE">
            <w:pPr>
              <w:pStyle w:val="TableParagraph"/>
              <w:spacing w:before="7"/>
              <w:rPr>
                <w:rFonts w:ascii="Verdana" w:hAnsi="Verdana"/>
                <w:sz w:val="18"/>
                <w:szCs w:val="18"/>
              </w:rPr>
            </w:pPr>
          </w:p>
          <w:p w14:paraId="3A3E9B65"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62</w:t>
            </w:r>
          </w:p>
        </w:tc>
        <w:tc>
          <w:tcPr>
            <w:tcW w:w="2150" w:type="dxa"/>
          </w:tcPr>
          <w:p w14:paraId="0EDC4756" w14:textId="77777777" w:rsidR="008715BE" w:rsidRPr="00EC75B7" w:rsidRDefault="008715BE">
            <w:pPr>
              <w:pStyle w:val="TableParagraph"/>
              <w:spacing w:before="7"/>
              <w:rPr>
                <w:rFonts w:ascii="Verdana" w:hAnsi="Verdana"/>
                <w:sz w:val="18"/>
                <w:szCs w:val="18"/>
              </w:rPr>
            </w:pPr>
          </w:p>
          <w:p w14:paraId="33A97952"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 xml:space="preserve">Turdus </w:t>
            </w:r>
            <w:r w:rsidRPr="00EC75B7">
              <w:rPr>
                <w:rFonts w:ascii="Verdana" w:hAnsi="Verdana"/>
                <w:i/>
                <w:spacing w:val="-2"/>
                <w:sz w:val="18"/>
                <w:szCs w:val="18"/>
              </w:rPr>
              <w:t>pilaris</w:t>
            </w:r>
          </w:p>
        </w:tc>
        <w:tc>
          <w:tcPr>
            <w:tcW w:w="1927" w:type="dxa"/>
          </w:tcPr>
          <w:p w14:paraId="07A018C8" w14:textId="77777777" w:rsidR="008715BE" w:rsidRPr="00EC75B7" w:rsidRDefault="008715BE">
            <w:pPr>
              <w:pStyle w:val="TableParagraph"/>
              <w:spacing w:before="7"/>
              <w:rPr>
                <w:rFonts w:ascii="Verdana" w:hAnsi="Verdana"/>
                <w:sz w:val="18"/>
                <w:szCs w:val="18"/>
              </w:rPr>
            </w:pPr>
          </w:p>
          <w:p w14:paraId="23E369E7"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Fieldfare</w:t>
            </w:r>
          </w:p>
        </w:tc>
        <w:tc>
          <w:tcPr>
            <w:tcW w:w="1449" w:type="dxa"/>
          </w:tcPr>
          <w:p w14:paraId="66629410" w14:textId="77777777" w:rsidR="008715BE" w:rsidRPr="00EC75B7" w:rsidRDefault="008715BE">
            <w:pPr>
              <w:pStyle w:val="TableParagraph"/>
              <w:spacing w:before="7"/>
              <w:rPr>
                <w:rFonts w:ascii="Verdana" w:hAnsi="Verdana"/>
                <w:sz w:val="18"/>
                <w:szCs w:val="18"/>
              </w:rPr>
            </w:pPr>
          </w:p>
          <w:p w14:paraId="6ED71F26"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38</w:t>
            </w:r>
          </w:p>
        </w:tc>
        <w:tc>
          <w:tcPr>
            <w:tcW w:w="1842" w:type="dxa"/>
          </w:tcPr>
          <w:p w14:paraId="4DD2DFE0" w14:textId="77777777" w:rsidR="008715BE" w:rsidRPr="00EC75B7" w:rsidRDefault="00000000">
            <w:pPr>
              <w:pStyle w:val="TableParagraph"/>
              <w:spacing w:line="194" w:lineRule="exact"/>
              <w:ind w:left="618" w:right="242" w:hanging="358"/>
              <w:rPr>
                <w:rFonts w:ascii="Verdana" w:hAnsi="Verdana"/>
                <w:sz w:val="18"/>
                <w:szCs w:val="18"/>
              </w:rPr>
            </w:pPr>
            <w:r w:rsidRPr="00EC75B7">
              <w:rPr>
                <w:rFonts w:ascii="Verdana" w:hAnsi="Verdana"/>
                <w:spacing w:val="-2"/>
                <w:sz w:val="18"/>
                <w:szCs w:val="18"/>
              </w:rPr>
              <w:t>Northern Europe - Southern Europe</w:t>
            </w:r>
          </w:p>
        </w:tc>
        <w:tc>
          <w:tcPr>
            <w:tcW w:w="2006" w:type="dxa"/>
          </w:tcPr>
          <w:p w14:paraId="2DE383F2"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6">
              <w:r w:rsidR="008715BE" w:rsidRPr="00EC75B7">
                <w:rPr>
                  <w:rFonts w:ascii="Verdana" w:hAnsi="Verdana"/>
                  <w:spacing w:val="-2"/>
                  <w:sz w:val="18"/>
                  <w:szCs w:val="18"/>
                </w:rPr>
                <w:t xml:space="preserve"> https://migrationatlas</w:t>
              </w:r>
            </w:hyperlink>
          </w:p>
          <w:p w14:paraId="0C49A027" w14:textId="77777777" w:rsidR="008715BE" w:rsidRPr="00EC75B7" w:rsidRDefault="00000000">
            <w:pPr>
              <w:pStyle w:val="TableParagraph"/>
              <w:spacing w:line="164" w:lineRule="exact"/>
              <w:ind w:left="371"/>
              <w:rPr>
                <w:rFonts w:ascii="Verdana" w:hAnsi="Verdana"/>
                <w:sz w:val="18"/>
                <w:szCs w:val="18"/>
              </w:rPr>
            </w:pPr>
            <w:r w:rsidRPr="00EC75B7">
              <w:rPr>
                <w:rFonts w:ascii="Verdana" w:hAnsi="Verdana"/>
                <w:spacing w:val="-2"/>
                <w:sz w:val="18"/>
                <w:szCs w:val="18"/>
              </w:rPr>
              <w:t>.org/node/1830</w:t>
            </w:r>
          </w:p>
        </w:tc>
      </w:tr>
      <w:tr w:rsidR="008715BE" w:rsidRPr="00EC75B7" w14:paraId="435FF9E8" w14:textId="77777777">
        <w:trPr>
          <w:trHeight w:val="585"/>
        </w:trPr>
        <w:tc>
          <w:tcPr>
            <w:tcW w:w="569" w:type="dxa"/>
          </w:tcPr>
          <w:p w14:paraId="1181357B" w14:textId="77777777" w:rsidR="008715BE" w:rsidRPr="00EC75B7" w:rsidRDefault="008715BE">
            <w:pPr>
              <w:pStyle w:val="TableParagraph"/>
              <w:spacing w:before="7"/>
              <w:rPr>
                <w:rFonts w:ascii="Verdana" w:hAnsi="Verdana"/>
                <w:sz w:val="18"/>
                <w:szCs w:val="18"/>
              </w:rPr>
            </w:pPr>
          </w:p>
          <w:p w14:paraId="24ED63C3" w14:textId="77777777" w:rsidR="008715BE" w:rsidRPr="00EC75B7" w:rsidRDefault="00000000">
            <w:pPr>
              <w:pStyle w:val="TableParagraph"/>
              <w:ind w:left="108"/>
              <w:rPr>
                <w:rFonts w:ascii="Verdana" w:hAnsi="Verdana"/>
                <w:sz w:val="18"/>
                <w:szCs w:val="18"/>
              </w:rPr>
            </w:pPr>
            <w:r w:rsidRPr="00EC75B7">
              <w:rPr>
                <w:rFonts w:ascii="Verdana" w:hAnsi="Verdana"/>
                <w:spacing w:val="-5"/>
                <w:sz w:val="18"/>
                <w:szCs w:val="18"/>
              </w:rPr>
              <w:t>63</w:t>
            </w:r>
          </w:p>
        </w:tc>
        <w:tc>
          <w:tcPr>
            <w:tcW w:w="2150" w:type="dxa"/>
          </w:tcPr>
          <w:p w14:paraId="4218EC88" w14:textId="77777777" w:rsidR="008715BE" w:rsidRPr="00EC75B7" w:rsidRDefault="008715BE">
            <w:pPr>
              <w:pStyle w:val="TableParagraph"/>
              <w:spacing w:before="7"/>
              <w:rPr>
                <w:rFonts w:ascii="Verdana" w:hAnsi="Verdana"/>
                <w:sz w:val="18"/>
                <w:szCs w:val="18"/>
              </w:rPr>
            </w:pPr>
          </w:p>
          <w:p w14:paraId="5136FC31" w14:textId="77777777" w:rsidR="008715BE" w:rsidRPr="00EC75B7" w:rsidRDefault="00000000">
            <w:pPr>
              <w:pStyle w:val="TableParagraph"/>
              <w:ind w:left="108"/>
              <w:rPr>
                <w:rFonts w:ascii="Verdana" w:hAnsi="Verdana"/>
                <w:i/>
                <w:sz w:val="18"/>
                <w:szCs w:val="18"/>
              </w:rPr>
            </w:pPr>
            <w:r w:rsidRPr="00EC75B7">
              <w:rPr>
                <w:rFonts w:ascii="Verdana" w:hAnsi="Verdana"/>
                <w:i/>
                <w:sz w:val="18"/>
                <w:szCs w:val="18"/>
              </w:rPr>
              <w:t>Ho</w:t>
            </w:r>
            <w:r w:rsidRPr="00EC75B7">
              <w:rPr>
                <w:rFonts w:ascii="Verdana" w:hAnsi="Verdana"/>
                <w:i/>
                <w:spacing w:val="-2"/>
                <w:sz w:val="18"/>
                <w:szCs w:val="18"/>
              </w:rPr>
              <w:t>op</w:t>
            </w:r>
            <w:r w:rsidRPr="00EC75B7">
              <w:rPr>
                <w:rFonts w:ascii="Verdana" w:hAnsi="Verdana"/>
                <w:i/>
                <w:sz w:val="18"/>
                <w:szCs w:val="18"/>
              </w:rPr>
              <w:t>oe</w:t>
            </w:r>
          </w:p>
        </w:tc>
        <w:tc>
          <w:tcPr>
            <w:tcW w:w="1927" w:type="dxa"/>
          </w:tcPr>
          <w:p w14:paraId="4575B506" w14:textId="77777777" w:rsidR="008715BE" w:rsidRPr="00EC75B7" w:rsidRDefault="008715BE">
            <w:pPr>
              <w:pStyle w:val="TableParagraph"/>
              <w:spacing w:before="7"/>
              <w:rPr>
                <w:rFonts w:ascii="Verdana" w:hAnsi="Verdana"/>
                <w:sz w:val="18"/>
                <w:szCs w:val="18"/>
              </w:rPr>
            </w:pPr>
          </w:p>
          <w:p w14:paraId="4FAE7D1F"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Hoopoe</w:t>
            </w:r>
          </w:p>
        </w:tc>
        <w:tc>
          <w:tcPr>
            <w:tcW w:w="1449" w:type="dxa"/>
          </w:tcPr>
          <w:p w14:paraId="7402F536" w14:textId="77777777" w:rsidR="008715BE" w:rsidRPr="00EC75B7" w:rsidRDefault="008715BE">
            <w:pPr>
              <w:pStyle w:val="TableParagraph"/>
              <w:spacing w:before="7"/>
              <w:rPr>
                <w:rFonts w:ascii="Verdana" w:hAnsi="Verdana"/>
                <w:sz w:val="18"/>
                <w:szCs w:val="18"/>
              </w:rPr>
            </w:pPr>
          </w:p>
          <w:p w14:paraId="3086087D" w14:textId="77777777" w:rsidR="008715BE" w:rsidRPr="00EC75B7" w:rsidRDefault="00000000">
            <w:pPr>
              <w:pStyle w:val="TableParagraph"/>
              <w:ind w:left="19" w:right="2"/>
              <w:jc w:val="center"/>
              <w:rPr>
                <w:rFonts w:ascii="Verdana" w:hAnsi="Verdana"/>
                <w:sz w:val="18"/>
                <w:szCs w:val="18"/>
              </w:rPr>
            </w:pPr>
            <w:r w:rsidRPr="00EC75B7">
              <w:rPr>
                <w:rFonts w:ascii="Verdana" w:hAnsi="Verdana"/>
                <w:spacing w:val="-5"/>
                <w:sz w:val="18"/>
                <w:szCs w:val="18"/>
              </w:rPr>
              <w:t>51</w:t>
            </w:r>
          </w:p>
        </w:tc>
        <w:tc>
          <w:tcPr>
            <w:tcW w:w="1842" w:type="dxa"/>
          </w:tcPr>
          <w:p w14:paraId="21005E3B" w14:textId="77777777" w:rsidR="008715BE" w:rsidRPr="00EC75B7" w:rsidRDefault="00000000">
            <w:pPr>
              <w:pStyle w:val="TableParagraph"/>
              <w:spacing w:before="8"/>
              <w:ind w:left="364" w:right="216" w:hanging="130"/>
              <w:rPr>
                <w:rFonts w:ascii="Verdana" w:hAnsi="Verdana"/>
                <w:sz w:val="18"/>
                <w:szCs w:val="18"/>
              </w:rPr>
            </w:pPr>
            <w:r w:rsidRPr="00EC75B7">
              <w:rPr>
                <w:rFonts w:ascii="Verdana" w:hAnsi="Verdana"/>
                <w:sz w:val="18"/>
                <w:szCs w:val="18"/>
              </w:rPr>
              <w:t>Central Europe - Southern Europe</w:t>
            </w:r>
          </w:p>
        </w:tc>
        <w:tc>
          <w:tcPr>
            <w:tcW w:w="2006" w:type="dxa"/>
          </w:tcPr>
          <w:p w14:paraId="262BC777" w14:textId="77777777" w:rsidR="008715BE" w:rsidRPr="00EC75B7" w:rsidRDefault="00000000">
            <w:pPr>
              <w:pStyle w:val="TableParagraph"/>
              <w:spacing w:before="8"/>
              <w:ind w:left="116" w:right="100" w:firstLine="259"/>
              <w:rPr>
                <w:rFonts w:ascii="Verdana" w:hAnsi="Verdana"/>
                <w:sz w:val="18"/>
                <w:szCs w:val="18"/>
              </w:rPr>
            </w:pPr>
            <w:r w:rsidRPr="00EC75B7">
              <w:rPr>
                <w:rFonts w:ascii="Verdana" w:hAnsi="Verdana"/>
                <w:sz w:val="18"/>
                <w:szCs w:val="18"/>
              </w:rPr>
              <w:t>Migrationatlas -</w:t>
            </w:r>
            <w:hyperlink r:id="rId87">
              <w:r w:rsidR="008715BE" w:rsidRPr="00EC75B7">
                <w:rPr>
                  <w:rFonts w:ascii="Verdana" w:hAnsi="Verdana"/>
                  <w:spacing w:val="-2"/>
                  <w:sz w:val="18"/>
                  <w:szCs w:val="18"/>
                </w:rPr>
                <w:t xml:space="preserve"> https://migrationatlas</w:t>
              </w:r>
            </w:hyperlink>
          </w:p>
          <w:p w14:paraId="788FE563" w14:textId="77777777" w:rsidR="008715BE" w:rsidRPr="00EC75B7" w:rsidRDefault="00000000">
            <w:pPr>
              <w:pStyle w:val="TableParagraph"/>
              <w:spacing w:line="166" w:lineRule="exact"/>
              <w:ind w:left="371"/>
              <w:rPr>
                <w:rFonts w:ascii="Verdana" w:hAnsi="Verdana"/>
                <w:sz w:val="18"/>
                <w:szCs w:val="18"/>
              </w:rPr>
            </w:pPr>
            <w:r w:rsidRPr="00EC75B7">
              <w:rPr>
                <w:rFonts w:ascii="Verdana" w:hAnsi="Verdana"/>
                <w:spacing w:val="-2"/>
                <w:sz w:val="18"/>
                <w:szCs w:val="18"/>
              </w:rPr>
              <w:t>.org/node/1830</w:t>
            </w:r>
          </w:p>
        </w:tc>
      </w:tr>
    </w:tbl>
    <w:p w14:paraId="54030555" w14:textId="77777777" w:rsidR="008715BE" w:rsidRPr="00EC75B7" w:rsidRDefault="008715BE">
      <w:pPr>
        <w:pStyle w:val="TableParagraph"/>
        <w:spacing w:line="166" w:lineRule="exact"/>
        <w:rPr>
          <w:rFonts w:ascii="Verdana" w:hAnsi="Verdana"/>
          <w:sz w:val="18"/>
          <w:szCs w:val="18"/>
        </w:rPr>
        <w:sectPr w:rsidR="008715BE" w:rsidRPr="00EC75B7">
          <w:pgSz w:w="11910" w:h="16840"/>
          <w:pgMar w:top="1160" w:right="141" w:bottom="1020" w:left="425" w:header="766" w:footer="797" w:gutter="0"/>
          <w:cols w:space="708"/>
        </w:sectPr>
      </w:pPr>
    </w:p>
    <w:p w14:paraId="12F075BC" w14:textId="77777777" w:rsidR="008715BE" w:rsidRPr="00EC75B7" w:rsidRDefault="008715BE">
      <w:pPr>
        <w:pStyle w:val="BodyText"/>
        <w:spacing w:before="46"/>
        <w:rPr>
          <w:rFonts w:ascii="Verdana" w:hAnsi="Verdana"/>
        </w:rPr>
      </w:pPr>
    </w:p>
    <w:p w14:paraId="2DE15755" w14:textId="77777777" w:rsidR="008715BE" w:rsidRPr="00EC75B7" w:rsidRDefault="00000000">
      <w:pPr>
        <w:pStyle w:val="Heading5"/>
        <w:spacing w:before="1"/>
        <w:ind w:left="765"/>
        <w:rPr>
          <w:rFonts w:ascii="Verdana" w:hAnsi="Verdana"/>
        </w:rPr>
      </w:pPr>
      <w:r w:rsidRPr="00EC75B7">
        <w:rPr>
          <w:rFonts w:ascii="Verdana" w:hAnsi="Verdana"/>
        </w:rPr>
        <w:t xml:space="preserve">Migration routes for </w:t>
      </w:r>
      <w:r w:rsidRPr="00EC75B7">
        <w:rPr>
          <w:rFonts w:ascii="Verdana" w:hAnsi="Verdana"/>
          <w:spacing w:val="-2"/>
        </w:rPr>
        <w:t xml:space="preserve">bat </w:t>
      </w:r>
      <w:r w:rsidRPr="00EC75B7">
        <w:rPr>
          <w:rFonts w:ascii="Verdana" w:hAnsi="Verdana"/>
        </w:rPr>
        <w:t>species</w:t>
      </w:r>
    </w:p>
    <w:p w14:paraId="38E02DE6" w14:textId="77777777" w:rsidR="008715BE" w:rsidRPr="00EC75B7" w:rsidRDefault="00000000">
      <w:pPr>
        <w:pStyle w:val="BodyText"/>
        <w:spacing w:before="174" w:line="357" w:lineRule="auto"/>
        <w:ind w:left="765" w:right="853"/>
        <w:jc w:val="both"/>
        <w:rPr>
          <w:rFonts w:ascii="Verdana" w:hAnsi="Verdana"/>
        </w:rPr>
      </w:pPr>
      <w:r w:rsidRPr="00EC75B7">
        <w:rPr>
          <w:rFonts w:ascii="Verdana" w:hAnsi="Verdana"/>
        </w:rPr>
        <w:t>The study area is not located in protected natural areas within the Natura 2000 network, but species with European and national protection status within this network are present in the study area (all bats are protected).</w:t>
      </w:r>
    </w:p>
    <w:p w14:paraId="0B4D981D" w14:textId="77777777" w:rsidR="008715BE" w:rsidRPr="00EC75B7" w:rsidRDefault="00000000">
      <w:pPr>
        <w:spacing w:before="122" w:line="357" w:lineRule="auto"/>
        <w:ind w:left="765" w:right="849"/>
        <w:jc w:val="both"/>
        <w:rPr>
          <w:rFonts w:ascii="Verdana" w:hAnsi="Verdana"/>
          <w:i/>
          <w:sz w:val="18"/>
          <w:szCs w:val="18"/>
        </w:rPr>
      </w:pPr>
      <w:r w:rsidRPr="00EC75B7">
        <w:rPr>
          <w:rFonts w:ascii="Verdana" w:hAnsi="Verdana"/>
          <w:sz w:val="18"/>
          <w:szCs w:val="18"/>
        </w:rPr>
        <w:t xml:space="preserve">The following bat species have been identified in the project area: </w:t>
      </w:r>
      <w:r w:rsidRPr="00EC75B7">
        <w:rPr>
          <w:rFonts w:ascii="Verdana" w:hAnsi="Verdana"/>
          <w:i/>
          <w:sz w:val="18"/>
          <w:szCs w:val="18"/>
        </w:rPr>
        <w:t xml:space="preserve">Eptesicus serotinus, </w:t>
      </w:r>
      <w:r w:rsidRPr="00EC75B7">
        <w:rPr>
          <w:rFonts w:ascii="Verdana" w:hAnsi="Verdana"/>
          <w:i/>
          <w:spacing w:val="-2"/>
          <w:sz w:val="18"/>
          <w:szCs w:val="18"/>
        </w:rPr>
        <w:t xml:space="preserve">Miniopterus schreibersii, Myotis daubentonii, Myotis mystacinus/brandtii, Nyctalus leisleri, Nyctalus noctula, </w:t>
      </w:r>
      <w:r w:rsidRPr="00EC75B7">
        <w:rPr>
          <w:rFonts w:ascii="Verdana" w:hAnsi="Verdana"/>
          <w:i/>
          <w:sz w:val="18"/>
          <w:szCs w:val="18"/>
        </w:rPr>
        <w:t xml:space="preserve">Pipistrellus nathusii/kuhlii, Pipistrellus pipistrellus, Pipistrellus pygmaeus, Plecotus auritus, Vespertilio </w:t>
      </w:r>
      <w:r w:rsidRPr="00EC75B7">
        <w:rPr>
          <w:rFonts w:ascii="Verdana" w:hAnsi="Verdana"/>
          <w:i/>
          <w:spacing w:val="-2"/>
          <w:sz w:val="18"/>
          <w:szCs w:val="18"/>
        </w:rPr>
        <w:t>murinus.</w:t>
      </w:r>
    </w:p>
    <w:p w14:paraId="3AD155EB" w14:textId="77777777" w:rsidR="008715BE" w:rsidRPr="00EC75B7" w:rsidRDefault="008715BE">
      <w:pPr>
        <w:pStyle w:val="BodyText"/>
        <w:spacing w:before="71"/>
        <w:rPr>
          <w:rFonts w:ascii="Verdana" w:hAnsi="Verdana"/>
          <w:i/>
        </w:rPr>
      </w:pPr>
    </w:p>
    <w:p w14:paraId="0BD9F9DB" w14:textId="77777777" w:rsidR="008715BE" w:rsidRPr="00EC75B7" w:rsidRDefault="00000000">
      <w:pPr>
        <w:pStyle w:val="BodyText"/>
        <w:spacing w:line="357" w:lineRule="auto"/>
        <w:ind w:left="765" w:right="847"/>
        <w:jc w:val="both"/>
        <w:rPr>
          <w:rFonts w:ascii="Verdana" w:hAnsi="Verdana"/>
        </w:rPr>
      </w:pPr>
      <w:r w:rsidRPr="00EC75B7">
        <w:rPr>
          <w:rFonts w:ascii="Verdana" w:hAnsi="Verdana"/>
        </w:rPr>
        <w:t xml:space="preserve">The most abundant taxon recorded in the 2022 monitoring campaign was </w:t>
      </w:r>
      <w:r w:rsidRPr="00EC75B7">
        <w:rPr>
          <w:rFonts w:ascii="Verdana" w:hAnsi="Verdana"/>
          <w:i/>
        </w:rPr>
        <w:t>Pipistrellus nathusii/kuhlii</w:t>
      </w:r>
      <w:r w:rsidRPr="00EC75B7">
        <w:rPr>
          <w:rFonts w:ascii="Verdana" w:hAnsi="Verdana"/>
        </w:rPr>
        <w:t xml:space="preserve">, followed by </w:t>
      </w:r>
      <w:r w:rsidRPr="00EC75B7">
        <w:rPr>
          <w:rFonts w:ascii="Verdana" w:hAnsi="Verdana"/>
          <w:i/>
        </w:rPr>
        <w:t xml:space="preserve">Nyctalus noctula. </w:t>
      </w:r>
      <w:r w:rsidRPr="00EC75B7">
        <w:rPr>
          <w:rFonts w:ascii="Verdana" w:hAnsi="Verdana"/>
        </w:rPr>
        <w:t>All groups/species recorded in the study area are very common in the open areas of southern Romania.</w:t>
      </w:r>
    </w:p>
    <w:p w14:paraId="44530619" w14:textId="77777777" w:rsidR="008715BE" w:rsidRPr="00EC75B7" w:rsidRDefault="008715BE">
      <w:pPr>
        <w:pStyle w:val="BodyText"/>
        <w:spacing w:before="71"/>
        <w:rPr>
          <w:rFonts w:ascii="Verdana" w:hAnsi="Verdana"/>
        </w:rPr>
      </w:pPr>
    </w:p>
    <w:p w14:paraId="401DC81F" w14:textId="77777777" w:rsidR="008715BE" w:rsidRPr="00EC75B7" w:rsidRDefault="00000000">
      <w:pPr>
        <w:pStyle w:val="BodyText"/>
        <w:spacing w:line="355" w:lineRule="auto"/>
        <w:ind w:left="765" w:right="847"/>
        <w:jc w:val="both"/>
        <w:rPr>
          <w:rFonts w:ascii="Verdana" w:hAnsi="Verdana"/>
        </w:rPr>
      </w:pPr>
      <w:r w:rsidRPr="00EC75B7">
        <w:rPr>
          <w:rFonts w:ascii="Verdana" w:hAnsi="Verdana"/>
        </w:rPr>
        <w:t xml:space="preserve">The </w:t>
      </w:r>
      <w:r w:rsidRPr="00EC75B7">
        <w:rPr>
          <w:rFonts w:ascii="Verdana" w:hAnsi="Verdana"/>
          <w:i/>
        </w:rPr>
        <w:t xml:space="preserve">Pipistrellus pipistrellus </w:t>
      </w:r>
      <w:r w:rsidRPr="00EC75B7">
        <w:rPr>
          <w:rFonts w:ascii="Verdana" w:hAnsi="Verdana"/>
        </w:rPr>
        <w:t xml:space="preserve">species is among the regional migratory species, with seasonal migrations ranging from several hundred kilometers to dispersal or migration distances of up to 800 km. </w:t>
      </w:r>
      <w:r w:rsidRPr="00EC75B7">
        <w:rPr>
          <w:rFonts w:ascii="Verdana" w:hAnsi="Verdana"/>
          <w:i/>
        </w:rPr>
        <w:t xml:space="preserve">Pipistrellus nathusii </w:t>
      </w:r>
      <w:r w:rsidRPr="00EC75B7">
        <w:rPr>
          <w:rFonts w:ascii="Verdana" w:hAnsi="Verdana"/>
        </w:rPr>
        <w:t>can migrate over slightly longer distances (over 2,000 km).</w:t>
      </w:r>
    </w:p>
    <w:p w14:paraId="51931B56" w14:textId="39412653" w:rsidR="008715BE" w:rsidRPr="00EC75B7" w:rsidRDefault="009C3CA5">
      <w:pPr>
        <w:pStyle w:val="BodyText"/>
        <w:spacing w:before="125" w:line="355" w:lineRule="auto"/>
        <w:ind w:left="765" w:right="859"/>
        <w:jc w:val="both"/>
        <w:rPr>
          <w:rFonts w:ascii="Verdana" w:hAnsi="Verdana"/>
        </w:rPr>
      </w:pPr>
      <w:r w:rsidRPr="00EC75B7">
        <w:rPr>
          <w:rFonts w:ascii="Verdana" w:hAnsi="Verdana"/>
          <w:noProof/>
        </w:rPr>
        <w:drawing>
          <wp:anchor distT="0" distB="0" distL="0" distR="0" simplePos="0" relativeHeight="251746304" behindDoc="1" locked="0" layoutInCell="1" allowOverlap="1" wp14:anchorId="42C9857F" wp14:editId="128D8721">
            <wp:simplePos x="0" y="0"/>
            <wp:positionH relativeFrom="page">
              <wp:posOffset>1028700</wp:posOffset>
            </wp:positionH>
            <wp:positionV relativeFrom="paragraph">
              <wp:posOffset>600710</wp:posOffset>
            </wp:positionV>
            <wp:extent cx="5658485" cy="2771775"/>
            <wp:effectExtent l="0" t="0" r="0" b="9525"/>
            <wp:wrapTopAndBottom/>
            <wp:docPr id="130" name="Image 130" descr="Migration routes of nathusius'pipistrelle in Europe"/>
            <wp:cNvGraphicFramePr/>
            <a:graphic xmlns:a="http://schemas.openxmlformats.org/drawingml/2006/main">
              <a:graphicData uri="http://schemas.openxmlformats.org/drawingml/2006/picture">
                <pic:pic xmlns:pic="http://schemas.openxmlformats.org/drawingml/2006/picture">
                  <pic:nvPicPr>
                    <pic:cNvPr id="130" name="Image 130" descr="Migration routes of nathusius'pipistrelle in Europe"/>
                    <pic:cNvPicPr/>
                  </pic:nvPicPr>
                  <pic:blipFill>
                    <a:blip r:embed="rId88" cstate="print"/>
                    <a:stretch>
                      <a:fillRect/>
                    </a:stretch>
                  </pic:blipFill>
                  <pic:spPr>
                    <a:xfrm>
                      <a:off x="0" y="0"/>
                      <a:ext cx="5658485" cy="2771775"/>
                    </a:xfrm>
                    <a:prstGeom prst="rect">
                      <a:avLst/>
                    </a:prstGeom>
                  </pic:spPr>
                </pic:pic>
              </a:graphicData>
            </a:graphic>
            <wp14:sizeRelV relativeFrom="margin">
              <wp14:pctHeight>0</wp14:pctHeight>
            </wp14:sizeRelV>
          </wp:anchor>
        </w:drawing>
      </w:r>
      <w:r w:rsidRPr="00EC75B7">
        <w:rPr>
          <w:rFonts w:ascii="Verdana" w:hAnsi="Verdana"/>
        </w:rPr>
        <w:t>A project has been developed for these species with the aim of identifying migration routes and providing operational maps to guide the planning of wind farm projects</w:t>
      </w:r>
      <w:r w:rsidRPr="00EC75B7">
        <w:rPr>
          <w:rFonts w:ascii="Verdana" w:hAnsi="Verdana"/>
          <w:position w:val="6"/>
        </w:rPr>
        <w:t>17</w:t>
      </w:r>
      <w:r w:rsidRPr="00EC75B7">
        <w:rPr>
          <w:rFonts w:ascii="Verdana" w:hAnsi="Verdana"/>
        </w:rPr>
        <w:t>.</w:t>
      </w:r>
    </w:p>
    <w:p w14:paraId="138C966D" w14:textId="5EF35CEF" w:rsidR="008715BE" w:rsidRPr="00EC75B7" w:rsidRDefault="008715BE">
      <w:pPr>
        <w:pStyle w:val="BodyText"/>
        <w:spacing w:before="6"/>
        <w:rPr>
          <w:rFonts w:ascii="Verdana" w:hAnsi="Verdana"/>
        </w:rPr>
      </w:pPr>
    </w:p>
    <w:p w14:paraId="13738175" w14:textId="77777777" w:rsidR="008715BE" w:rsidRPr="00EC75B7" w:rsidRDefault="008715BE">
      <w:pPr>
        <w:pStyle w:val="BodyText"/>
        <w:spacing w:before="12"/>
        <w:rPr>
          <w:rFonts w:ascii="Verdana" w:hAnsi="Verdana"/>
        </w:rPr>
      </w:pPr>
    </w:p>
    <w:p w14:paraId="513A1F46" w14:textId="77777777" w:rsidR="008715BE" w:rsidRPr="00EC75B7" w:rsidRDefault="00000000">
      <w:pPr>
        <w:ind w:right="53"/>
        <w:jc w:val="center"/>
        <w:rPr>
          <w:rFonts w:ascii="Verdana" w:hAnsi="Verdana"/>
          <w:b/>
          <w:i/>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25 </w:t>
      </w:r>
      <w:r w:rsidRPr="00EC75B7">
        <w:rPr>
          <w:rFonts w:ascii="Verdana" w:hAnsi="Verdana"/>
          <w:b/>
          <w:color w:val="009DEF"/>
          <w:sz w:val="18"/>
          <w:szCs w:val="18"/>
        </w:rPr>
        <w:t xml:space="preserve">Migration routes of the </w:t>
      </w:r>
      <w:r w:rsidRPr="00EC75B7">
        <w:rPr>
          <w:rFonts w:ascii="Verdana" w:hAnsi="Verdana"/>
          <w:b/>
          <w:i/>
          <w:color w:val="009DEF"/>
          <w:sz w:val="18"/>
          <w:szCs w:val="18"/>
        </w:rPr>
        <w:t xml:space="preserve">Pipistrellus </w:t>
      </w:r>
      <w:r w:rsidRPr="00EC75B7">
        <w:rPr>
          <w:rFonts w:ascii="Verdana" w:hAnsi="Verdana"/>
          <w:b/>
          <w:i/>
          <w:color w:val="009DEF"/>
          <w:spacing w:val="-2"/>
          <w:sz w:val="18"/>
          <w:szCs w:val="18"/>
        </w:rPr>
        <w:t xml:space="preserve">nathusi </w:t>
      </w:r>
      <w:r w:rsidRPr="00EC75B7">
        <w:rPr>
          <w:rFonts w:ascii="Verdana" w:hAnsi="Verdana"/>
          <w:b/>
          <w:color w:val="009DEF"/>
          <w:sz w:val="18"/>
          <w:szCs w:val="18"/>
        </w:rPr>
        <w:t>species</w:t>
      </w:r>
    </w:p>
    <w:p w14:paraId="3DCE9BFE" w14:textId="77777777" w:rsidR="008715BE" w:rsidRPr="00EC75B7" w:rsidRDefault="008715BE">
      <w:pPr>
        <w:pStyle w:val="BodyText"/>
        <w:spacing w:before="26"/>
        <w:rPr>
          <w:rFonts w:ascii="Verdana" w:hAnsi="Verdana"/>
          <w:b/>
          <w:i/>
        </w:rPr>
      </w:pPr>
    </w:p>
    <w:p w14:paraId="3A4337C4" w14:textId="77777777" w:rsidR="008715BE" w:rsidRPr="00EC75B7" w:rsidRDefault="00000000">
      <w:pPr>
        <w:pStyle w:val="BodyText"/>
        <w:spacing w:line="357" w:lineRule="auto"/>
        <w:ind w:left="794" w:right="846"/>
        <w:jc w:val="both"/>
        <w:rPr>
          <w:rFonts w:ascii="Verdana" w:hAnsi="Verdana"/>
        </w:rPr>
      </w:pPr>
      <w:r w:rsidRPr="00EC75B7">
        <w:rPr>
          <w:rFonts w:ascii="Verdana" w:hAnsi="Verdana"/>
          <w:i/>
        </w:rPr>
        <w:t xml:space="preserve">Nyctalus noctula </w:t>
      </w:r>
      <w:r w:rsidRPr="00EC75B7">
        <w:rPr>
          <w:rFonts w:ascii="Verdana" w:hAnsi="Verdana"/>
        </w:rPr>
        <w:t>is a species that migrates long distances, regularly flying 3,000-4,000 km in a round trip from its summer breeding grounds to its winter habitat and back.</w:t>
      </w:r>
    </w:p>
    <w:p w14:paraId="0E9D0B47" w14:textId="77777777" w:rsidR="009C3CA5" w:rsidRPr="00EC75B7" w:rsidRDefault="009C3CA5">
      <w:pPr>
        <w:pStyle w:val="BodyText"/>
        <w:spacing w:before="23"/>
        <w:rPr>
          <w:rFonts w:ascii="Verdana" w:hAnsi="Verdana"/>
        </w:rPr>
      </w:pPr>
    </w:p>
    <w:p w14:paraId="22765B9D" w14:textId="77777777" w:rsidR="008715BE" w:rsidRPr="00EC75B7" w:rsidRDefault="00000000">
      <w:pPr>
        <w:pStyle w:val="Heading3"/>
        <w:numPr>
          <w:ilvl w:val="2"/>
          <w:numId w:val="110"/>
        </w:numPr>
        <w:tabs>
          <w:tab w:val="left" w:pos="2474"/>
        </w:tabs>
        <w:spacing w:before="1"/>
        <w:ind w:left="2474" w:hanging="715"/>
        <w:rPr>
          <w:rFonts w:ascii="Verdana" w:hAnsi="Verdana"/>
          <w:i/>
          <w:color w:val="00AFEF"/>
          <w:sz w:val="18"/>
          <w:szCs w:val="18"/>
        </w:rPr>
      </w:pPr>
      <w:r w:rsidRPr="00EC75B7">
        <w:rPr>
          <w:rFonts w:ascii="Verdana" w:hAnsi="Verdana"/>
          <w:color w:val="00AFEF"/>
          <w:sz w:val="18"/>
          <w:szCs w:val="18"/>
        </w:rPr>
        <w:t xml:space="preserve">Information about </w:t>
      </w:r>
      <w:r w:rsidRPr="00EC75B7">
        <w:rPr>
          <w:rFonts w:ascii="Verdana" w:hAnsi="Verdana"/>
          <w:color w:val="00AFEF"/>
          <w:spacing w:val="-2"/>
          <w:sz w:val="18"/>
          <w:szCs w:val="18"/>
        </w:rPr>
        <w:t xml:space="preserve">local </w:t>
      </w:r>
      <w:r w:rsidRPr="00EC75B7">
        <w:rPr>
          <w:rFonts w:ascii="Verdana" w:hAnsi="Verdana"/>
          <w:color w:val="00AFEF"/>
          <w:sz w:val="18"/>
          <w:szCs w:val="18"/>
        </w:rPr>
        <w:t>flora and fauna</w:t>
      </w:r>
    </w:p>
    <w:p w14:paraId="31A55D85" w14:textId="77777777" w:rsidR="008715BE" w:rsidRPr="00EC75B7" w:rsidRDefault="008715BE">
      <w:pPr>
        <w:pStyle w:val="BodyText"/>
        <w:spacing w:before="113"/>
        <w:rPr>
          <w:rFonts w:ascii="Verdana" w:hAnsi="Verdana"/>
          <w:b/>
        </w:rPr>
      </w:pPr>
    </w:p>
    <w:p w14:paraId="54B92BA3" w14:textId="60451C8F" w:rsidR="00E26EB0" w:rsidRPr="00E26EB0" w:rsidRDefault="00000000" w:rsidP="00E26EB0">
      <w:pPr>
        <w:pStyle w:val="BodyText"/>
        <w:spacing w:line="360" w:lineRule="auto"/>
        <w:ind w:left="720" w:right="821"/>
        <w:jc w:val="both"/>
        <w:rPr>
          <w:rFonts w:ascii="Verdana" w:hAnsi="Verdana"/>
        </w:rPr>
      </w:pPr>
      <w:r w:rsidRPr="00EC75B7">
        <w:rPr>
          <w:rFonts w:ascii="Verdana" w:hAnsi="Verdana"/>
        </w:rPr>
        <w:t xml:space="preserve">To identify and characterize the biodiversity components in the </w:t>
      </w:r>
      <w:r w:rsidRPr="00EC75B7">
        <w:rPr>
          <w:rFonts w:ascii="Verdana" w:hAnsi="Verdana"/>
          <w:spacing w:val="-2"/>
        </w:rPr>
        <w:t xml:space="preserve">project </w:t>
      </w:r>
      <w:r w:rsidRPr="00EC75B7">
        <w:rPr>
          <w:rFonts w:ascii="Verdana" w:hAnsi="Verdana"/>
        </w:rPr>
        <w:t>site area</w:t>
      </w:r>
      <w:r w:rsidR="00E26EB0">
        <w:rPr>
          <w:rFonts w:ascii="Verdana" w:hAnsi="Verdana"/>
        </w:rPr>
        <w:t xml:space="preserve"> </w:t>
      </w:r>
      <w:r w:rsidRPr="00E26EB0">
        <w:rPr>
          <w:rFonts w:ascii="Verdana" w:hAnsi="Verdana"/>
          <w:i/>
          <w:iCs/>
        </w:rPr>
        <w:t>"</w:t>
      </w:r>
      <w:r w:rsidR="00E26EB0" w:rsidRPr="00E26EB0">
        <w:t xml:space="preserve"> </w:t>
      </w:r>
      <w:r w:rsidR="00E26EB0" w:rsidRPr="00E26EB0">
        <w:rPr>
          <w:rFonts w:ascii="Verdana" w:hAnsi="Verdana"/>
          <w:i/>
          <w:iCs/>
        </w:rPr>
        <w:t>Wind Farm 48 (46) wind turbines approx. 316.8 MW (303.6 MW), substations, Transformer stations, Electrical connection networks, Construction and modernization of communication and access routes</w:t>
      </w:r>
      <w:r w:rsidRPr="00E26EB0">
        <w:rPr>
          <w:rFonts w:ascii="Verdana" w:hAnsi="Verdana"/>
          <w:i/>
          <w:iCs/>
        </w:rPr>
        <w:t>,</w:t>
      </w:r>
      <w:r w:rsidR="00E26EB0">
        <w:rPr>
          <w:rFonts w:ascii="Verdana" w:hAnsi="Verdana"/>
          <w:i/>
          <w:iCs/>
        </w:rPr>
        <w:t xml:space="preserve"> Cerchezu, Constanta County</w:t>
      </w:r>
      <w:r w:rsidRPr="00EC75B7">
        <w:rPr>
          <w:rFonts w:ascii="Verdana" w:hAnsi="Verdana"/>
        </w:rPr>
        <w:t xml:space="preserve">" </w:t>
      </w:r>
      <w:r w:rsidRPr="00EC75B7">
        <w:rPr>
          <w:rFonts w:ascii="Verdana" w:hAnsi="Verdana"/>
          <w:spacing w:val="-2"/>
        </w:rPr>
        <w:t xml:space="preserve">field trips </w:t>
      </w:r>
      <w:r w:rsidRPr="00EC75B7">
        <w:rPr>
          <w:rFonts w:ascii="Verdana" w:hAnsi="Verdana"/>
        </w:rPr>
        <w:t>were conducted</w:t>
      </w:r>
      <w:r w:rsidR="00E26EB0" w:rsidRPr="00E26EB0">
        <w:t xml:space="preserve"> </w:t>
      </w:r>
      <w:r w:rsidR="00E26EB0" w:rsidRPr="00E26EB0">
        <w:rPr>
          <w:rFonts w:ascii="Verdana" w:hAnsi="Verdana"/>
        </w:rPr>
        <w:t xml:space="preserve">repeated in the field, with observations/monitoring of habitats and vegetation, invertebrates, herpetofauna (amphibians and reptiles), avifauna, mammals, and chiroptera. Field activities were carried out </w:t>
      </w:r>
      <w:r w:rsidR="00E26EB0" w:rsidRPr="00E26EB0">
        <w:rPr>
          <w:rFonts w:ascii="Verdana" w:hAnsi="Verdana"/>
        </w:rPr>
        <w:lastRenderedPageBreak/>
        <w:t>over a period of 12 months (April 2022 – March 2023), covering a complete biological cycle, and included 24 trips, with data collected by an independent team of specialists by taxonomic groups; The investigations extended beyond the project's direct area of influence, according to the resulting distribution maps.</w:t>
      </w:r>
    </w:p>
    <w:p w14:paraId="430E6C89" w14:textId="5ECBEF0B" w:rsidR="008715BE" w:rsidRPr="00EC75B7" w:rsidRDefault="00E26EB0" w:rsidP="00E26EB0">
      <w:pPr>
        <w:pStyle w:val="BodyText"/>
        <w:spacing w:line="360" w:lineRule="auto"/>
        <w:ind w:left="720" w:right="821"/>
        <w:jc w:val="both"/>
        <w:rPr>
          <w:rFonts w:ascii="Verdana" w:hAnsi="Verdana"/>
        </w:rPr>
      </w:pPr>
      <w:r w:rsidRPr="00E26EB0">
        <w:rPr>
          <w:rFonts w:ascii="Verdana" w:hAnsi="Verdana"/>
        </w:rPr>
        <w:t>Additionally, specific methods were applied for bats (nocturnal transects with ultrasonic detectors, fixed points in transects, and static detectors placed at several points), with recordings made throughout the activity season (according to the monitoring program), and the identification and processing of acoustic data was performed with dedicated software; spatial data were processed in ArcGIS ESRI 2023.</w:t>
      </w:r>
    </w:p>
    <w:p w14:paraId="1B66A94D" w14:textId="77777777" w:rsidR="008715BE" w:rsidRPr="00EC75B7" w:rsidRDefault="008715BE">
      <w:pPr>
        <w:pStyle w:val="BodyText"/>
        <w:rPr>
          <w:rFonts w:ascii="Verdana" w:hAnsi="Verdana"/>
        </w:rPr>
      </w:pPr>
    </w:p>
    <w:p w14:paraId="4C79A72B" w14:textId="77777777" w:rsidR="008715BE" w:rsidRDefault="008715BE">
      <w:pPr>
        <w:pStyle w:val="BodyText"/>
        <w:spacing w:before="168"/>
        <w:rPr>
          <w:rFonts w:ascii="Verdana" w:hAnsi="Verdana"/>
        </w:rPr>
      </w:pPr>
    </w:p>
    <w:p w14:paraId="4D334234" w14:textId="77777777" w:rsidR="00E26EB0" w:rsidRDefault="00E26EB0">
      <w:pPr>
        <w:pStyle w:val="BodyText"/>
        <w:spacing w:before="168"/>
        <w:rPr>
          <w:rFonts w:ascii="Verdana" w:hAnsi="Verdana"/>
        </w:rPr>
      </w:pPr>
    </w:p>
    <w:p w14:paraId="388594BD" w14:textId="77777777" w:rsidR="00E26EB0" w:rsidRDefault="00E26EB0">
      <w:pPr>
        <w:pStyle w:val="BodyText"/>
        <w:spacing w:before="168"/>
        <w:rPr>
          <w:rFonts w:ascii="Verdana" w:hAnsi="Verdana"/>
        </w:rPr>
      </w:pPr>
    </w:p>
    <w:p w14:paraId="01016D55" w14:textId="77777777" w:rsidR="00E26EB0" w:rsidRDefault="00E26EB0">
      <w:pPr>
        <w:pStyle w:val="BodyText"/>
        <w:spacing w:before="168"/>
        <w:rPr>
          <w:rFonts w:ascii="Verdana" w:hAnsi="Verdana"/>
        </w:rPr>
      </w:pPr>
    </w:p>
    <w:p w14:paraId="6267D28F" w14:textId="77777777" w:rsidR="00E26EB0" w:rsidRDefault="00E26EB0">
      <w:pPr>
        <w:pStyle w:val="BodyText"/>
        <w:spacing w:before="168"/>
        <w:rPr>
          <w:rFonts w:ascii="Verdana" w:hAnsi="Verdana"/>
        </w:rPr>
      </w:pPr>
    </w:p>
    <w:p w14:paraId="29F697A2" w14:textId="77777777" w:rsidR="00E26EB0" w:rsidRDefault="00E26EB0">
      <w:pPr>
        <w:pStyle w:val="BodyText"/>
        <w:spacing w:before="168"/>
        <w:rPr>
          <w:rFonts w:ascii="Verdana" w:hAnsi="Verdana"/>
        </w:rPr>
      </w:pPr>
    </w:p>
    <w:p w14:paraId="22AC9049" w14:textId="77777777" w:rsidR="00E26EB0" w:rsidRDefault="00E26EB0">
      <w:pPr>
        <w:pStyle w:val="BodyText"/>
        <w:spacing w:before="168"/>
        <w:rPr>
          <w:rFonts w:ascii="Verdana" w:hAnsi="Verdana"/>
        </w:rPr>
      </w:pPr>
    </w:p>
    <w:p w14:paraId="08F59F34" w14:textId="77777777" w:rsidR="00E26EB0" w:rsidRDefault="00E26EB0">
      <w:pPr>
        <w:pStyle w:val="BodyText"/>
        <w:spacing w:before="168"/>
        <w:rPr>
          <w:rFonts w:ascii="Verdana" w:hAnsi="Verdana"/>
        </w:rPr>
      </w:pPr>
    </w:p>
    <w:p w14:paraId="7CA5C302" w14:textId="77777777" w:rsidR="00E26EB0" w:rsidRDefault="00E26EB0">
      <w:pPr>
        <w:pStyle w:val="BodyText"/>
        <w:spacing w:before="168"/>
        <w:rPr>
          <w:rFonts w:ascii="Verdana" w:hAnsi="Verdana"/>
        </w:rPr>
      </w:pPr>
    </w:p>
    <w:p w14:paraId="2173555A" w14:textId="77777777" w:rsidR="00E26EB0" w:rsidRDefault="00E26EB0">
      <w:pPr>
        <w:pStyle w:val="BodyText"/>
        <w:spacing w:before="168"/>
        <w:rPr>
          <w:rFonts w:ascii="Verdana" w:hAnsi="Verdana"/>
        </w:rPr>
      </w:pPr>
    </w:p>
    <w:p w14:paraId="2E13737B" w14:textId="77777777" w:rsidR="00E26EB0" w:rsidRDefault="00E26EB0">
      <w:pPr>
        <w:pStyle w:val="BodyText"/>
        <w:spacing w:before="168"/>
        <w:rPr>
          <w:rFonts w:ascii="Verdana" w:hAnsi="Verdana"/>
        </w:rPr>
      </w:pPr>
    </w:p>
    <w:p w14:paraId="6F07289C" w14:textId="77777777" w:rsidR="00E26EB0" w:rsidRDefault="00E26EB0">
      <w:pPr>
        <w:pStyle w:val="BodyText"/>
        <w:spacing w:before="168"/>
        <w:rPr>
          <w:rFonts w:ascii="Verdana" w:hAnsi="Verdana"/>
        </w:rPr>
      </w:pPr>
    </w:p>
    <w:p w14:paraId="28DD415E" w14:textId="77777777" w:rsidR="00E26EB0" w:rsidRDefault="00E26EB0">
      <w:pPr>
        <w:pStyle w:val="BodyText"/>
        <w:spacing w:before="168"/>
        <w:rPr>
          <w:rFonts w:ascii="Verdana" w:hAnsi="Verdana"/>
        </w:rPr>
      </w:pPr>
    </w:p>
    <w:p w14:paraId="5F225A7D" w14:textId="77777777" w:rsidR="00E26EB0" w:rsidRDefault="00E26EB0">
      <w:pPr>
        <w:pStyle w:val="BodyText"/>
        <w:spacing w:before="168"/>
        <w:rPr>
          <w:rFonts w:ascii="Verdana" w:hAnsi="Verdana"/>
        </w:rPr>
      </w:pPr>
    </w:p>
    <w:p w14:paraId="5EC6DDFE" w14:textId="77777777" w:rsidR="00E26EB0" w:rsidRDefault="00E26EB0">
      <w:pPr>
        <w:pStyle w:val="BodyText"/>
        <w:spacing w:before="168"/>
        <w:rPr>
          <w:rFonts w:ascii="Verdana" w:hAnsi="Verdana"/>
        </w:rPr>
      </w:pPr>
    </w:p>
    <w:p w14:paraId="2AB54468" w14:textId="77777777" w:rsidR="00E26EB0" w:rsidRDefault="00E26EB0">
      <w:pPr>
        <w:pStyle w:val="BodyText"/>
        <w:spacing w:before="168"/>
        <w:rPr>
          <w:rFonts w:ascii="Verdana" w:hAnsi="Verdana"/>
        </w:rPr>
      </w:pPr>
    </w:p>
    <w:p w14:paraId="40C1E73E" w14:textId="77777777" w:rsidR="00E26EB0" w:rsidRDefault="00E26EB0">
      <w:pPr>
        <w:pStyle w:val="BodyText"/>
        <w:spacing w:before="168"/>
        <w:rPr>
          <w:rFonts w:ascii="Verdana" w:hAnsi="Verdana"/>
        </w:rPr>
      </w:pPr>
    </w:p>
    <w:p w14:paraId="11A97298" w14:textId="77777777" w:rsidR="00E26EB0" w:rsidRDefault="00E26EB0">
      <w:pPr>
        <w:pStyle w:val="BodyText"/>
        <w:spacing w:before="168"/>
        <w:rPr>
          <w:rFonts w:ascii="Verdana" w:hAnsi="Verdana"/>
        </w:rPr>
      </w:pPr>
    </w:p>
    <w:p w14:paraId="4075312C" w14:textId="77777777" w:rsidR="00E26EB0" w:rsidRDefault="00E26EB0">
      <w:pPr>
        <w:pStyle w:val="BodyText"/>
        <w:spacing w:before="168"/>
        <w:rPr>
          <w:rFonts w:ascii="Verdana" w:hAnsi="Verdana"/>
        </w:rPr>
      </w:pPr>
    </w:p>
    <w:p w14:paraId="045294E8" w14:textId="77777777" w:rsidR="00E26EB0" w:rsidRDefault="00E26EB0">
      <w:pPr>
        <w:pStyle w:val="BodyText"/>
        <w:spacing w:before="168"/>
        <w:rPr>
          <w:rFonts w:ascii="Verdana" w:hAnsi="Verdana"/>
        </w:rPr>
      </w:pPr>
    </w:p>
    <w:p w14:paraId="4E129FD2" w14:textId="77777777" w:rsidR="00E26EB0" w:rsidRDefault="00E26EB0">
      <w:pPr>
        <w:pStyle w:val="BodyText"/>
        <w:spacing w:before="168"/>
        <w:rPr>
          <w:rFonts w:ascii="Verdana" w:hAnsi="Verdana"/>
        </w:rPr>
      </w:pPr>
    </w:p>
    <w:p w14:paraId="3E504285" w14:textId="77777777" w:rsidR="00E26EB0" w:rsidRDefault="00E26EB0">
      <w:pPr>
        <w:pStyle w:val="BodyText"/>
        <w:spacing w:before="168"/>
        <w:rPr>
          <w:rFonts w:ascii="Verdana" w:hAnsi="Verdana"/>
        </w:rPr>
      </w:pPr>
    </w:p>
    <w:p w14:paraId="3D4722C7" w14:textId="77777777" w:rsidR="00E26EB0" w:rsidRDefault="00E26EB0">
      <w:pPr>
        <w:pStyle w:val="BodyText"/>
        <w:spacing w:before="168"/>
        <w:rPr>
          <w:rFonts w:ascii="Verdana" w:hAnsi="Verdana"/>
        </w:rPr>
      </w:pPr>
    </w:p>
    <w:p w14:paraId="4A98BFDB" w14:textId="77777777" w:rsidR="00E26EB0" w:rsidRDefault="00E26EB0">
      <w:pPr>
        <w:pStyle w:val="BodyText"/>
        <w:spacing w:before="168"/>
        <w:rPr>
          <w:rFonts w:ascii="Verdana" w:hAnsi="Verdana"/>
        </w:rPr>
      </w:pPr>
    </w:p>
    <w:p w14:paraId="1A792B8E" w14:textId="77777777" w:rsidR="00E26EB0" w:rsidRDefault="00E26EB0">
      <w:pPr>
        <w:pStyle w:val="BodyText"/>
        <w:spacing w:before="168"/>
        <w:rPr>
          <w:rFonts w:ascii="Verdana" w:hAnsi="Verdana"/>
        </w:rPr>
      </w:pPr>
    </w:p>
    <w:p w14:paraId="5884BBB4" w14:textId="77777777" w:rsidR="00E26EB0" w:rsidRDefault="00E26EB0">
      <w:pPr>
        <w:pStyle w:val="BodyText"/>
        <w:spacing w:before="168"/>
        <w:rPr>
          <w:rFonts w:ascii="Verdana" w:hAnsi="Verdana"/>
        </w:rPr>
      </w:pPr>
    </w:p>
    <w:p w14:paraId="64EBA5B1" w14:textId="77777777" w:rsidR="00E26EB0" w:rsidRDefault="00E26EB0">
      <w:pPr>
        <w:pStyle w:val="BodyText"/>
        <w:spacing w:before="168"/>
        <w:rPr>
          <w:rFonts w:ascii="Verdana" w:hAnsi="Verdana"/>
        </w:rPr>
      </w:pPr>
    </w:p>
    <w:p w14:paraId="22449A71" w14:textId="77777777" w:rsidR="00E26EB0" w:rsidRDefault="00E26EB0">
      <w:pPr>
        <w:pStyle w:val="BodyText"/>
        <w:spacing w:before="168"/>
        <w:rPr>
          <w:rFonts w:ascii="Verdana" w:hAnsi="Verdana"/>
        </w:rPr>
      </w:pPr>
    </w:p>
    <w:p w14:paraId="4FF57FE7" w14:textId="77777777" w:rsidR="00E26EB0" w:rsidRDefault="00E26EB0">
      <w:pPr>
        <w:pStyle w:val="BodyText"/>
        <w:spacing w:before="168"/>
        <w:rPr>
          <w:rFonts w:ascii="Verdana" w:hAnsi="Verdana"/>
        </w:rPr>
      </w:pPr>
    </w:p>
    <w:p w14:paraId="55A993D2" w14:textId="77777777" w:rsidR="00E26EB0" w:rsidRPr="00EC75B7" w:rsidRDefault="00E26EB0">
      <w:pPr>
        <w:pStyle w:val="BodyText"/>
        <w:spacing w:before="168"/>
        <w:rPr>
          <w:rFonts w:ascii="Verdana" w:hAnsi="Verdana"/>
        </w:rPr>
      </w:pPr>
    </w:p>
    <w:p w14:paraId="720EFF4D" w14:textId="77777777" w:rsidR="008715BE" w:rsidRPr="00EC75B7" w:rsidRDefault="00000000">
      <w:pPr>
        <w:ind w:left="765"/>
        <w:rPr>
          <w:rFonts w:ascii="Verdana" w:hAnsi="Verdana"/>
          <w:sz w:val="18"/>
          <w:szCs w:val="18"/>
        </w:rPr>
      </w:pPr>
      <w:r w:rsidRPr="00EC75B7">
        <w:rPr>
          <w:rFonts w:ascii="Verdana" w:hAnsi="Verdana"/>
          <w:color w:val="797766"/>
          <w:spacing w:val="-2"/>
          <w:position w:val="4"/>
          <w:sz w:val="18"/>
          <w:szCs w:val="18"/>
        </w:rPr>
        <w:t>16</w:t>
      </w:r>
      <w:r w:rsidRPr="00EC75B7">
        <w:rPr>
          <w:rFonts w:ascii="Verdana" w:hAnsi="Verdana"/>
          <w:color w:val="797766"/>
          <w:spacing w:val="-2"/>
          <w:sz w:val="18"/>
          <w:szCs w:val="18"/>
        </w:rPr>
        <w:t xml:space="preserve">  According to Hutterer,</w:t>
      </w:r>
      <w:r w:rsidRPr="00EC75B7">
        <w:rPr>
          <w:rFonts w:ascii="Verdana" w:hAnsi="Verdana"/>
          <w:color w:val="797766"/>
          <w:spacing w:val="-4"/>
          <w:sz w:val="18"/>
          <w:szCs w:val="18"/>
        </w:rPr>
        <w:t xml:space="preserve"> 2005</w:t>
      </w:r>
    </w:p>
    <w:p w14:paraId="44650F47" w14:textId="77777777" w:rsidR="008715BE" w:rsidRPr="00EC75B7" w:rsidRDefault="00000000">
      <w:pPr>
        <w:spacing w:before="51"/>
        <w:ind w:left="765"/>
        <w:rPr>
          <w:rFonts w:ascii="Verdana" w:hAnsi="Verdana"/>
          <w:sz w:val="18"/>
          <w:szCs w:val="18"/>
        </w:rPr>
      </w:pPr>
      <w:r w:rsidRPr="00EC75B7">
        <w:rPr>
          <w:rFonts w:ascii="Verdana" w:hAnsi="Verdana"/>
          <w:color w:val="797766"/>
          <w:position w:val="4"/>
          <w:sz w:val="18"/>
          <w:szCs w:val="18"/>
        </w:rPr>
        <w:t>17</w:t>
      </w:r>
      <w:r w:rsidRPr="00EC75B7">
        <w:rPr>
          <w:rFonts w:ascii="Verdana" w:hAnsi="Verdana"/>
          <w:color w:val="797766"/>
          <w:sz w:val="18"/>
          <w:szCs w:val="18"/>
        </w:rPr>
        <w:t xml:space="preserve">  Bat migration routes in Europe,</w:t>
      </w:r>
      <w:r w:rsidRPr="00EC75B7">
        <w:rPr>
          <w:rFonts w:ascii="Verdana" w:hAnsi="Verdana"/>
          <w:color w:val="797766"/>
          <w:spacing w:val="-4"/>
          <w:sz w:val="18"/>
          <w:szCs w:val="18"/>
        </w:rPr>
        <w:t xml:space="preserve"> 2021</w:t>
      </w:r>
    </w:p>
    <w:p w14:paraId="7407FC9E" w14:textId="77777777" w:rsidR="008715BE" w:rsidRPr="00EC75B7" w:rsidRDefault="008715BE">
      <w:pPr>
        <w:rPr>
          <w:rFonts w:ascii="Verdana" w:hAnsi="Verdana"/>
          <w:sz w:val="18"/>
          <w:szCs w:val="18"/>
        </w:rPr>
        <w:sectPr w:rsidR="008715BE" w:rsidRPr="00EC75B7">
          <w:pgSz w:w="11910" w:h="16840"/>
          <w:pgMar w:top="1160" w:right="141" w:bottom="980" w:left="425" w:header="766" w:footer="797" w:gutter="0"/>
          <w:cols w:space="708"/>
        </w:sectPr>
      </w:pPr>
    </w:p>
    <w:p w14:paraId="717333D4" w14:textId="77777777" w:rsidR="008715BE" w:rsidRPr="00EC75B7" w:rsidRDefault="008715BE">
      <w:pPr>
        <w:pStyle w:val="BodyText"/>
        <w:spacing w:before="46"/>
        <w:rPr>
          <w:rFonts w:ascii="Verdana" w:hAnsi="Verdana"/>
        </w:rPr>
      </w:pPr>
    </w:p>
    <w:p w14:paraId="22F73FB9" w14:textId="77777777" w:rsidR="008715BE" w:rsidRPr="00EC75B7" w:rsidRDefault="00000000">
      <w:pPr>
        <w:pStyle w:val="Heading5"/>
        <w:numPr>
          <w:ilvl w:val="0"/>
          <w:numId w:val="92"/>
        </w:numPr>
        <w:tabs>
          <w:tab w:val="left" w:pos="1512"/>
        </w:tabs>
        <w:spacing w:before="115"/>
        <w:ind w:left="1512" w:hanging="358"/>
        <w:jc w:val="both"/>
        <w:rPr>
          <w:rFonts w:ascii="Verdana" w:hAnsi="Verdana"/>
        </w:rPr>
      </w:pPr>
      <w:r w:rsidRPr="00EC75B7">
        <w:rPr>
          <w:rFonts w:ascii="Verdana" w:hAnsi="Verdana"/>
        </w:rPr>
        <w:t xml:space="preserve">Plants and </w:t>
      </w:r>
      <w:r w:rsidRPr="00EC75B7">
        <w:rPr>
          <w:rFonts w:ascii="Verdana" w:hAnsi="Verdana"/>
          <w:spacing w:val="-2"/>
        </w:rPr>
        <w:t>habitats</w:t>
      </w:r>
    </w:p>
    <w:p w14:paraId="02546E2F" w14:textId="77777777" w:rsidR="008715BE" w:rsidRPr="00EC75B7" w:rsidRDefault="008715BE">
      <w:pPr>
        <w:pStyle w:val="BodyText"/>
        <w:spacing w:before="9"/>
        <w:rPr>
          <w:rFonts w:ascii="Verdana" w:hAnsi="Verdana"/>
          <w:b/>
        </w:rPr>
      </w:pPr>
    </w:p>
    <w:p w14:paraId="7C13A99B" w14:textId="77777777" w:rsidR="008715BE" w:rsidRPr="00EC75B7" w:rsidRDefault="00000000">
      <w:pPr>
        <w:pStyle w:val="BodyText"/>
        <w:spacing w:line="357" w:lineRule="auto"/>
        <w:ind w:left="794" w:right="854"/>
        <w:jc w:val="both"/>
        <w:rPr>
          <w:rFonts w:ascii="Verdana" w:hAnsi="Verdana"/>
        </w:rPr>
      </w:pPr>
      <w:r w:rsidRPr="00EC75B7">
        <w:rPr>
          <w:rFonts w:ascii="Verdana" w:hAnsi="Verdana"/>
        </w:rPr>
        <w:t>It was found that the largest share in the Cerchezu UAT is represented by agricultural areas, which occupy about 88% of the total.</w:t>
      </w:r>
      <w:r w:rsidRPr="00EC75B7">
        <w:rPr>
          <w:rFonts w:ascii="Verdana" w:hAnsi="Verdana"/>
          <w:spacing w:val="-6"/>
        </w:rPr>
        <w:t xml:space="preserve"> </w:t>
      </w:r>
      <w:r w:rsidRPr="00EC75B7">
        <w:rPr>
          <w:rFonts w:ascii="Verdana" w:hAnsi="Verdana"/>
        </w:rPr>
        <w:t>A smaller share is represented by pastures (approximately 4.5%) and localities (approximately 5%). The smallest shares are held by industrial or commercial areas (less than 1%) and agricultural land with significant areas of natural vegetation (approximately 1.4%).</w:t>
      </w:r>
    </w:p>
    <w:p w14:paraId="195EA9C8" w14:textId="77777777" w:rsidR="008715BE" w:rsidRPr="00EC75B7" w:rsidRDefault="00000000">
      <w:pPr>
        <w:pStyle w:val="Heading5"/>
        <w:spacing w:before="124"/>
        <w:ind w:left="765"/>
        <w:rPr>
          <w:rFonts w:ascii="Verdana" w:hAnsi="Verdana"/>
        </w:rPr>
      </w:pPr>
      <w:r w:rsidRPr="00EC75B7">
        <w:rPr>
          <w:rFonts w:ascii="Verdana" w:hAnsi="Verdana"/>
        </w:rPr>
        <w:t xml:space="preserve">The grassland area in the south of </w:t>
      </w:r>
      <w:r w:rsidRPr="00EC75B7">
        <w:rPr>
          <w:rFonts w:ascii="Verdana" w:hAnsi="Verdana"/>
          <w:spacing w:val="-2"/>
        </w:rPr>
        <w:t>Cerchezu</w:t>
      </w:r>
    </w:p>
    <w:p w14:paraId="35C484EB" w14:textId="566580C0" w:rsidR="008715BE" w:rsidRPr="00EC75B7" w:rsidRDefault="00000000" w:rsidP="00E26EB0">
      <w:pPr>
        <w:pStyle w:val="BodyText"/>
        <w:spacing w:before="217" w:line="357" w:lineRule="auto"/>
        <w:ind w:left="765" w:right="856"/>
        <w:jc w:val="both"/>
        <w:rPr>
          <w:rFonts w:ascii="Verdana" w:hAnsi="Verdana"/>
        </w:rPr>
      </w:pPr>
      <w:r w:rsidRPr="00EC75B7">
        <w:rPr>
          <w:rFonts w:ascii="Verdana" w:hAnsi="Verdana"/>
        </w:rPr>
        <w:t>Predominantly herbaceous vegetation, with rare shrubs, visibly affected by grazing, as it is surrounded by agricultural land. Due to this limitation, the vegetation is overgrazed, with less than 100% ground cover. The vegetation consists mainly of herbaceous species, native species, with the most represented families being Asteraceae and Poaceae:</w:t>
      </w:r>
    </w:p>
    <w:p w14:paraId="4F2C0343" w14:textId="77777777" w:rsidR="008715BE" w:rsidRPr="00EC75B7" w:rsidRDefault="00000000">
      <w:pPr>
        <w:spacing w:line="357" w:lineRule="auto"/>
        <w:ind w:left="765" w:right="845"/>
        <w:jc w:val="both"/>
        <w:rPr>
          <w:rFonts w:ascii="Verdana" w:hAnsi="Verdana"/>
          <w:i/>
          <w:sz w:val="18"/>
          <w:szCs w:val="18"/>
        </w:rPr>
      </w:pPr>
      <w:r w:rsidRPr="00EC75B7">
        <w:rPr>
          <w:rFonts w:ascii="Verdana" w:hAnsi="Verdana"/>
          <w:i/>
          <w:sz w:val="18"/>
          <w:szCs w:val="18"/>
        </w:rPr>
        <w:t>Artemisia austriaca, Artemisia absinthium, Botriochloa ischaemum, Marrubium peregrinum, Hordeum murinum, Xeranthemum annuum, Daucus carota, Chondrilla juncaea, Euphorbia glareosa nicaeensis, Eryngium campestre, Achillea setacea, Agropyron cristatum, Cichorium intybus, Plantago lanceolata</w:t>
      </w:r>
      <w:r w:rsidRPr="00EC75B7">
        <w:rPr>
          <w:rFonts w:ascii="Verdana" w:hAnsi="Verdana"/>
          <w:sz w:val="18"/>
          <w:szCs w:val="18"/>
        </w:rPr>
        <w:t xml:space="preserve">, </w:t>
      </w:r>
      <w:r w:rsidRPr="00EC75B7">
        <w:rPr>
          <w:rFonts w:ascii="Verdana" w:hAnsi="Verdana"/>
          <w:i/>
          <w:sz w:val="18"/>
          <w:szCs w:val="18"/>
        </w:rPr>
        <w:t xml:space="preserve">Sisymbrium orientale, Teucrium polium </w:t>
      </w:r>
      <w:r w:rsidRPr="00EC75B7">
        <w:rPr>
          <w:rFonts w:ascii="Verdana" w:hAnsi="Verdana"/>
          <w:sz w:val="18"/>
          <w:szCs w:val="18"/>
        </w:rPr>
        <w:t xml:space="preserve">subsp. </w:t>
      </w:r>
      <w:r w:rsidRPr="00EC75B7">
        <w:rPr>
          <w:rFonts w:ascii="Verdana" w:hAnsi="Verdana"/>
          <w:i/>
          <w:sz w:val="18"/>
          <w:szCs w:val="18"/>
        </w:rPr>
        <w:t>capitatum, Salvia aethiopis</w:t>
      </w:r>
      <w:r w:rsidRPr="00EC75B7">
        <w:rPr>
          <w:rFonts w:ascii="Verdana" w:hAnsi="Verdana"/>
          <w:sz w:val="18"/>
          <w:szCs w:val="18"/>
        </w:rPr>
        <w:t xml:space="preserve">, </w:t>
      </w:r>
      <w:r w:rsidRPr="00EC75B7">
        <w:rPr>
          <w:rFonts w:ascii="Verdana" w:hAnsi="Verdana"/>
          <w:i/>
          <w:sz w:val="18"/>
          <w:szCs w:val="18"/>
        </w:rPr>
        <w:t xml:space="preserve">Linaria genistifolia, Sideritis montana, Tunica prolifera, Bupleurum commutatum </w:t>
      </w:r>
      <w:r w:rsidRPr="00EC75B7">
        <w:rPr>
          <w:rFonts w:ascii="Verdana" w:hAnsi="Verdana"/>
          <w:sz w:val="18"/>
          <w:szCs w:val="18"/>
        </w:rPr>
        <w:t>subsp</w:t>
      </w:r>
      <w:r w:rsidRPr="00EC75B7">
        <w:rPr>
          <w:rFonts w:ascii="Verdana" w:hAnsi="Verdana"/>
          <w:i/>
          <w:sz w:val="18"/>
          <w:szCs w:val="18"/>
        </w:rPr>
        <w:t>. glaucocarpum</w:t>
      </w:r>
      <w:r w:rsidRPr="00EC75B7">
        <w:rPr>
          <w:rFonts w:ascii="Verdana" w:hAnsi="Verdana"/>
          <w:sz w:val="18"/>
          <w:szCs w:val="18"/>
        </w:rPr>
        <w:t xml:space="preserve">, </w:t>
      </w:r>
      <w:r w:rsidRPr="00EC75B7">
        <w:rPr>
          <w:rFonts w:ascii="Verdana" w:hAnsi="Verdana"/>
          <w:i/>
          <w:sz w:val="18"/>
          <w:szCs w:val="18"/>
        </w:rPr>
        <w:t xml:space="preserve">Festuca valesiaca, Poa bulbosa, Cynodon dactylon </w:t>
      </w:r>
      <w:r w:rsidRPr="00EC75B7">
        <w:rPr>
          <w:rFonts w:ascii="Verdana" w:hAnsi="Verdana"/>
          <w:sz w:val="18"/>
          <w:szCs w:val="18"/>
        </w:rPr>
        <w:t xml:space="preserve">(herbaceous base; shows slight soil salinity, specific), </w:t>
      </w:r>
      <w:r w:rsidRPr="00EC75B7">
        <w:rPr>
          <w:rFonts w:ascii="Verdana" w:hAnsi="Verdana"/>
          <w:i/>
          <w:sz w:val="18"/>
          <w:szCs w:val="18"/>
        </w:rPr>
        <w:t>Aegylops cylindrica, Galium humifusum</w:t>
      </w:r>
      <w:r w:rsidRPr="00EC75B7">
        <w:rPr>
          <w:rFonts w:ascii="Verdana" w:hAnsi="Verdana"/>
          <w:sz w:val="18"/>
          <w:szCs w:val="18"/>
        </w:rPr>
        <w:t xml:space="preserve">, </w:t>
      </w:r>
      <w:r w:rsidRPr="00EC75B7">
        <w:rPr>
          <w:rFonts w:ascii="Verdana" w:hAnsi="Verdana"/>
          <w:i/>
          <w:sz w:val="18"/>
          <w:szCs w:val="18"/>
        </w:rPr>
        <w:t>Asperula tenella</w:t>
      </w:r>
      <w:r w:rsidRPr="00EC75B7">
        <w:rPr>
          <w:rFonts w:ascii="Verdana" w:hAnsi="Verdana"/>
          <w:sz w:val="18"/>
          <w:szCs w:val="18"/>
        </w:rPr>
        <w:t xml:space="preserve">, </w:t>
      </w:r>
      <w:r w:rsidRPr="00EC75B7">
        <w:rPr>
          <w:rFonts w:ascii="Verdana" w:hAnsi="Verdana"/>
          <w:i/>
          <w:sz w:val="18"/>
          <w:szCs w:val="18"/>
        </w:rPr>
        <w:t xml:space="preserve">Bromus </w:t>
      </w:r>
      <w:r w:rsidRPr="00EC75B7">
        <w:rPr>
          <w:rFonts w:ascii="Verdana" w:hAnsi="Verdana"/>
          <w:sz w:val="18"/>
          <w:szCs w:val="18"/>
        </w:rPr>
        <w:t xml:space="preserve">cf. </w:t>
      </w:r>
      <w:r w:rsidRPr="00EC75B7">
        <w:rPr>
          <w:rFonts w:ascii="Verdana" w:hAnsi="Verdana"/>
          <w:i/>
          <w:sz w:val="18"/>
          <w:szCs w:val="18"/>
        </w:rPr>
        <w:t>tectorum</w:t>
      </w:r>
      <w:r w:rsidRPr="00EC75B7">
        <w:rPr>
          <w:rFonts w:ascii="Verdana" w:hAnsi="Verdana"/>
          <w:sz w:val="18"/>
          <w:szCs w:val="18"/>
        </w:rPr>
        <w:t xml:space="preserve">, </w:t>
      </w:r>
      <w:r w:rsidRPr="00EC75B7">
        <w:rPr>
          <w:rFonts w:ascii="Verdana" w:hAnsi="Verdana"/>
          <w:i/>
          <w:sz w:val="18"/>
          <w:szCs w:val="18"/>
        </w:rPr>
        <w:t xml:space="preserve">Allium rotundum, Potentilla </w:t>
      </w:r>
      <w:r w:rsidRPr="00EC75B7">
        <w:rPr>
          <w:rFonts w:ascii="Verdana" w:hAnsi="Verdana"/>
          <w:sz w:val="18"/>
          <w:szCs w:val="18"/>
        </w:rPr>
        <w:t xml:space="preserve">sp., </w:t>
      </w:r>
      <w:r w:rsidRPr="00EC75B7">
        <w:rPr>
          <w:rFonts w:ascii="Verdana" w:hAnsi="Verdana"/>
          <w:i/>
          <w:sz w:val="18"/>
          <w:szCs w:val="18"/>
        </w:rPr>
        <w:t xml:space="preserve">Vulpia myuros, Trifolium </w:t>
      </w:r>
      <w:r w:rsidRPr="00EC75B7">
        <w:rPr>
          <w:rFonts w:ascii="Verdana" w:hAnsi="Verdana"/>
          <w:sz w:val="18"/>
          <w:szCs w:val="18"/>
        </w:rPr>
        <w:t xml:space="preserve">sp., </w:t>
      </w:r>
      <w:r w:rsidRPr="00EC75B7">
        <w:rPr>
          <w:rFonts w:ascii="Verdana" w:hAnsi="Verdana"/>
          <w:i/>
          <w:sz w:val="18"/>
          <w:szCs w:val="18"/>
        </w:rPr>
        <w:t>Medicago lupulina, Sambucus ebulus, Carduus acanthoides, Cannabis ruderalis, Prunus spinosa, Verbascum thapsus, Urtica dioica, Torilis nodosa, Onopordum acanthium, Rosa canina, Consolida regalis, Centaurea diffusa, Cephalaria transsilvanica</w:t>
      </w:r>
      <w:r w:rsidRPr="00EC75B7">
        <w:rPr>
          <w:rFonts w:ascii="Verdana" w:hAnsi="Verdana"/>
          <w:sz w:val="18"/>
          <w:szCs w:val="18"/>
        </w:rPr>
        <w:t xml:space="preserve">, </w:t>
      </w:r>
      <w:r w:rsidRPr="00EC75B7">
        <w:rPr>
          <w:rFonts w:ascii="Verdana" w:hAnsi="Verdana"/>
          <w:i/>
          <w:sz w:val="18"/>
          <w:szCs w:val="18"/>
        </w:rPr>
        <w:t>Elymus repens, Lolium perenne</w:t>
      </w:r>
      <w:r w:rsidRPr="00EC75B7">
        <w:rPr>
          <w:rFonts w:ascii="Verdana" w:hAnsi="Verdana"/>
          <w:sz w:val="18"/>
          <w:szCs w:val="18"/>
        </w:rPr>
        <w:t xml:space="preserve">, </w:t>
      </w:r>
      <w:r w:rsidRPr="00EC75B7">
        <w:rPr>
          <w:rFonts w:ascii="Verdana" w:hAnsi="Verdana"/>
          <w:i/>
          <w:sz w:val="18"/>
          <w:szCs w:val="18"/>
        </w:rPr>
        <w:t>Convolvulus arvensis.</w:t>
      </w:r>
    </w:p>
    <w:p w14:paraId="6685FDA6" w14:textId="77777777" w:rsidR="008715BE" w:rsidRPr="00EC75B7" w:rsidRDefault="008715BE">
      <w:pPr>
        <w:pStyle w:val="BodyText"/>
        <w:spacing w:before="76"/>
        <w:rPr>
          <w:rFonts w:ascii="Verdana" w:hAnsi="Verdana"/>
          <w:i/>
        </w:rPr>
      </w:pPr>
    </w:p>
    <w:p w14:paraId="3D60C11E" w14:textId="77777777" w:rsidR="008715BE" w:rsidRPr="00EC75B7" w:rsidRDefault="00000000">
      <w:pPr>
        <w:pStyle w:val="BodyText"/>
        <w:spacing w:line="360" w:lineRule="auto"/>
        <w:ind w:left="765" w:right="855"/>
        <w:jc w:val="both"/>
        <w:rPr>
          <w:rFonts w:ascii="Verdana" w:hAnsi="Verdana"/>
        </w:rPr>
      </w:pPr>
      <w:r w:rsidRPr="00EC75B7">
        <w:rPr>
          <w:rFonts w:ascii="Verdana" w:hAnsi="Verdana"/>
        </w:rPr>
        <w:t>The landscape is typical of Dobrogea, with limestone deposits of the canara type, where rare species typical of Dobrogea, calcifers, can still be found. The meadow is also bordered and covered on one side by an acacia plantation (Robinia pseudoacacia, an invasive alien species).</w:t>
      </w:r>
    </w:p>
    <w:p w14:paraId="43DD6062" w14:textId="77777777" w:rsidR="008715BE" w:rsidRPr="00EC75B7" w:rsidRDefault="008715BE">
      <w:pPr>
        <w:pStyle w:val="BodyText"/>
        <w:spacing w:before="66"/>
        <w:rPr>
          <w:rFonts w:ascii="Verdana" w:hAnsi="Verdana"/>
        </w:rPr>
      </w:pPr>
    </w:p>
    <w:p w14:paraId="1EC76A31" w14:textId="77777777" w:rsidR="008715BE" w:rsidRPr="00EC75B7" w:rsidRDefault="00000000">
      <w:pPr>
        <w:pStyle w:val="BodyText"/>
        <w:spacing w:line="357" w:lineRule="auto"/>
        <w:ind w:left="765" w:right="860"/>
        <w:jc w:val="both"/>
        <w:rPr>
          <w:rFonts w:ascii="Verdana" w:hAnsi="Verdana"/>
        </w:rPr>
      </w:pPr>
      <w:r w:rsidRPr="00EC75B7">
        <w:rPr>
          <w:rFonts w:ascii="Verdana" w:hAnsi="Verdana"/>
        </w:rPr>
        <w:t>The distribution of vegetation is heterogeneous, alternating areas with abundant vegetation in good condition with areas with sparse vegetation, reduced in size and coverage and affected by the presence of ruderal and some segetal species.</w:t>
      </w:r>
    </w:p>
    <w:p w14:paraId="6341A46D" w14:textId="77777777" w:rsidR="008715BE" w:rsidRPr="00EC75B7" w:rsidRDefault="008715BE">
      <w:pPr>
        <w:pStyle w:val="BodyText"/>
        <w:spacing w:before="202"/>
        <w:rPr>
          <w:rFonts w:ascii="Verdana" w:hAnsi="Verdana"/>
        </w:rPr>
      </w:pPr>
    </w:p>
    <w:p w14:paraId="0F90B4D7" w14:textId="77777777" w:rsidR="008715BE" w:rsidRPr="00EC75B7" w:rsidRDefault="008715BE">
      <w:pPr>
        <w:pStyle w:val="Heading5"/>
        <w:rPr>
          <w:rFonts w:ascii="Verdana" w:hAnsi="Verdana"/>
        </w:rPr>
        <w:sectPr w:rsidR="008715BE" w:rsidRPr="00EC75B7">
          <w:pgSz w:w="11910" w:h="16840"/>
          <w:pgMar w:top="1160" w:right="141" w:bottom="1020" w:left="425" w:header="766" w:footer="797" w:gutter="0"/>
          <w:cols w:space="708"/>
        </w:sectPr>
      </w:pPr>
    </w:p>
    <w:p w14:paraId="3D7644A4" w14:textId="77777777" w:rsidR="008715BE" w:rsidRPr="00EC75B7" w:rsidRDefault="008715BE">
      <w:pPr>
        <w:pStyle w:val="BodyText"/>
        <w:spacing w:before="46"/>
        <w:rPr>
          <w:rFonts w:ascii="Verdana" w:hAnsi="Verdana"/>
          <w:b/>
        </w:rPr>
      </w:pPr>
    </w:p>
    <w:p w14:paraId="6D44278F" w14:textId="77777777" w:rsidR="00E26EB0" w:rsidRDefault="00E26EB0" w:rsidP="00E26EB0">
      <w:pPr>
        <w:pStyle w:val="Heading5"/>
        <w:ind w:left="765"/>
        <w:rPr>
          <w:rFonts w:ascii="Verdana" w:hAnsi="Verdana"/>
          <w:spacing w:val="-2"/>
        </w:rPr>
      </w:pPr>
      <w:r w:rsidRPr="00EC75B7">
        <w:rPr>
          <w:rFonts w:ascii="Verdana" w:hAnsi="Verdana"/>
        </w:rPr>
        <w:t xml:space="preserve">The grassland area north of the village of </w:t>
      </w:r>
      <w:r w:rsidRPr="00EC75B7">
        <w:rPr>
          <w:rFonts w:ascii="Verdana" w:hAnsi="Verdana"/>
          <w:spacing w:val="-2"/>
        </w:rPr>
        <w:t>Viroaga</w:t>
      </w:r>
    </w:p>
    <w:p w14:paraId="43AFA786" w14:textId="77777777" w:rsidR="00E26EB0" w:rsidRPr="00EC75B7" w:rsidRDefault="00E26EB0" w:rsidP="00E26EB0">
      <w:pPr>
        <w:pStyle w:val="Heading5"/>
        <w:ind w:left="765"/>
        <w:rPr>
          <w:rFonts w:ascii="Verdana" w:hAnsi="Verdana"/>
        </w:rPr>
      </w:pPr>
    </w:p>
    <w:p w14:paraId="7D342BAE" w14:textId="77777777" w:rsidR="008715BE" w:rsidRPr="00EC75B7" w:rsidRDefault="00000000">
      <w:pPr>
        <w:pStyle w:val="BodyText"/>
        <w:spacing w:before="1"/>
        <w:ind w:left="765"/>
        <w:jc w:val="both"/>
        <w:rPr>
          <w:rFonts w:ascii="Verdana" w:hAnsi="Verdana"/>
        </w:rPr>
      </w:pPr>
      <w:r w:rsidRPr="00EC75B7">
        <w:rPr>
          <w:rFonts w:ascii="Verdana" w:hAnsi="Verdana"/>
        </w:rPr>
        <w:t xml:space="preserve">Characterized by herbaceous species, predominantly species with no conservation value, with </w:t>
      </w:r>
      <w:r w:rsidRPr="00EC75B7">
        <w:rPr>
          <w:rFonts w:ascii="Verdana" w:hAnsi="Verdana"/>
          <w:spacing w:val="-2"/>
        </w:rPr>
        <w:t>a predominance of</w:t>
      </w:r>
    </w:p>
    <w:p w14:paraId="557CA5D3" w14:textId="77777777" w:rsidR="008715BE" w:rsidRPr="00EC75B7" w:rsidRDefault="00000000">
      <w:pPr>
        <w:pStyle w:val="BodyText"/>
        <w:spacing w:before="109"/>
        <w:ind w:left="765"/>
        <w:jc w:val="both"/>
        <w:rPr>
          <w:rFonts w:ascii="Verdana" w:hAnsi="Verdana"/>
        </w:rPr>
      </w:pPr>
      <w:r w:rsidRPr="00EC75B7">
        <w:rPr>
          <w:rFonts w:ascii="Verdana" w:hAnsi="Verdana"/>
        </w:rPr>
        <w:t xml:space="preserve">taxa from the </w:t>
      </w:r>
      <w:r w:rsidRPr="00EC75B7">
        <w:rPr>
          <w:rFonts w:ascii="Verdana" w:hAnsi="Verdana"/>
          <w:spacing w:val="-2"/>
        </w:rPr>
        <w:t xml:space="preserve">Poaceae </w:t>
      </w:r>
      <w:r w:rsidRPr="00EC75B7">
        <w:rPr>
          <w:rFonts w:ascii="Verdana" w:hAnsi="Verdana"/>
        </w:rPr>
        <w:t>family</w:t>
      </w:r>
      <w:r w:rsidRPr="00EC75B7">
        <w:rPr>
          <w:rFonts w:ascii="Verdana" w:hAnsi="Verdana"/>
          <w:spacing w:val="-2"/>
        </w:rPr>
        <w:t>:</w:t>
      </w:r>
    </w:p>
    <w:p w14:paraId="29F273FC" w14:textId="77777777" w:rsidR="008715BE" w:rsidRPr="00EC75B7" w:rsidRDefault="008715BE">
      <w:pPr>
        <w:pStyle w:val="BodyText"/>
        <w:spacing w:before="7"/>
        <w:rPr>
          <w:rFonts w:ascii="Verdana" w:hAnsi="Verdana"/>
        </w:rPr>
      </w:pPr>
    </w:p>
    <w:p w14:paraId="55584657" w14:textId="77777777" w:rsidR="008715BE" w:rsidRPr="00EC75B7" w:rsidRDefault="00000000">
      <w:pPr>
        <w:spacing w:line="357" w:lineRule="auto"/>
        <w:ind w:left="765" w:right="849"/>
        <w:jc w:val="both"/>
        <w:rPr>
          <w:rFonts w:ascii="Verdana" w:hAnsi="Verdana"/>
          <w:sz w:val="18"/>
          <w:szCs w:val="18"/>
        </w:rPr>
      </w:pPr>
      <w:r w:rsidRPr="00EC75B7">
        <w:rPr>
          <w:rFonts w:ascii="Verdana" w:hAnsi="Verdana"/>
          <w:i/>
          <w:sz w:val="18"/>
          <w:szCs w:val="18"/>
        </w:rPr>
        <w:t xml:space="preserve">Carduus acanthoides </w:t>
      </w:r>
      <w:r w:rsidRPr="00EC75B7">
        <w:rPr>
          <w:rFonts w:ascii="Verdana" w:hAnsi="Verdana"/>
          <w:sz w:val="18"/>
          <w:szCs w:val="18"/>
        </w:rPr>
        <w:t xml:space="preserve">(almost monodominant over large areas), </w:t>
      </w:r>
      <w:r w:rsidRPr="00EC75B7">
        <w:rPr>
          <w:rFonts w:ascii="Verdana" w:hAnsi="Verdana"/>
          <w:i/>
          <w:sz w:val="18"/>
          <w:szCs w:val="18"/>
        </w:rPr>
        <w:t xml:space="preserve">Lolium perenne, Festuca valesiaca, Poa angustifolia, Achillea setacea, Papaver dubium, Daucus carota, Tunica prolifera, Berteroa incana, Plantago lanceolata, Vulpia myuros, Bromus </w:t>
      </w:r>
      <w:r w:rsidRPr="00EC75B7">
        <w:rPr>
          <w:rFonts w:ascii="Verdana" w:hAnsi="Verdana"/>
          <w:sz w:val="18"/>
          <w:szCs w:val="18"/>
        </w:rPr>
        <w:t xml:space="preserve">cf. </w:t>
      </w:r>
      <w:r w:rsidRPr="00EC75B7">
        <w:rPr>
          <w:rFonts w:ascii="Verdana" w:hAnsi="Verdana"/>
          <w:i/>
          <w:sz w:val="18"/>
          <w:szCs w:val="18"/>
        </w:rPr>
        <w:t>tectorum, Stellaria media, Centaurea diffusa, Reseda lutea, Cannabis ruderalis, Artemisia austriaca</w:t>
      </w:r>
      <w:r w:rsidRPr="00EC75B7">
        <w:rPr>
          <w:rFonts w:ascii="Verdana" w:hAnsi="Verdana"/>
          <w:sz w:val="18"/>
          <w:szCs w:val="18"/>
        </w:rPr>
        <w:t xml:space="preserve">, </w:t>
      </w:r>
      <w:r w:rsidRPr="00EC75B7">
        <w:rPr>
          <w:rFonts w:ascii="Verdana" w:hAnsi="Verdana"/>
          <w:i/>
          <w:sz w:val="18"/>
          <w:szCs w:val="18"/>
        </w:rPr>
        <w:t xml:space="preserve">Marrubium peregrinum, Onopordom acanthium, Galium humifusum, Galum verum, Stachys germanica, Medicago falcata, Aegylops cylindrica, Potentilla argentea, Bromus tectorum </w:t>
      </w:r>
      <w:r w:rsidRPr="00EC75B7">
        <w:rPr>
          <w:rFonts w:ascii="Verdana" w:hAnsi="Verdana"/>
          <w:sz w:val="18"/>
          <w:szCs w:val="18"/>
        </w:rPr>
        <w:t xml:space="preserve">(predominant species over large areas), </w:t>
      </w:r>
      <w:r w:rsidRPr="00EC75B7">
        <w:rPr>
          <w:rFonts w:ascii="Verdana" w:hAnsi="Verdana"/>
          <w:i/>
          <w:sz w:val="18"/>
          <w:szCs w:val="18"/>
        </w:rPr>
        <w:t xml:space="preserve">Phragmites australis, Poa prratensis </w:t>
      </w:r>
      <w:r w:rsidRPr="00EC75B7">
        <w:rPr>
          <w:rFonts w:ascii="Verdana" w:hAnsi="Verdana"/>
          <w:sz w:val="18"/>
          <w:szCs w:val="18"/>
        </w:rPr>
        <w:t xml:space="preserve">(predominant species over large areas), </w:t>
      </w:r>
      <w:r w:rsidRPr="00EC75B7">
        <w:rPr>
          <w:rFonts w:ascii="Verdana" w:hAnsi="Verdana"/>
          <w:i/>
          <w:sz w:val="18"/>
          <w:szCs w:val="18"/>
        </w:rPr>
        <w:t xml:space="preserve">Bupleurum commutatum </w:t>
      </w:r>
      <w:r w:rsidRPr="00EC75B7">
        <w:rPr>
          <w:rFonts w:ascii="Verdana" w:hAnsi="Verdana"/>
          <w:sz w:val="18"/>
          <w:szCs w:val="18"/>
        </w:rPr>
        <w:t>subsp</w:t>
      </w:r>
      <w:r w:rsidRPr="00EC75B7">
        <w:rPr>
          <w:rFonts w:ascii="Verdana" w:hAnsi="Verdana"/>
          <w:i/>
          <w:sz w:val="18"/>
          <w:szCs w:val="18"/>
        </w:rPr>
        <w:t>. glaucocarpum</w:t>
      </w:r>
      <w:r w:rsidRPr="00EC75B7">
        <w:rPr>
          <w:rFonts w:ascii="Verdana" w:hAnsi="Verdana"/>
          <w:sz w:val="18"/>
          <w:szCs w:val="18"/>
        </w:rPr>
        <w:t>.</w:t>
      </w:r>
    </w:p>
    <w:p w14:paraId="368F4F7F" w14:textId="77777777" w:rsidR="008715BE" w:rsidRPr="00EC75B7" w:rsidRDefault="00000000">
      <w:pPr>
        <w:spacing w:before="125" w:line="357" w:lineRule="auto"/>
        <w:ind w:left="765" w:right="846"/>
        <w:jc w:val="both"/>
        <w:rPr>
          <w:rFonts w:ascii="Verdana" w:hAnsi="Verdana"/>
          <w:sz w:val="18"/>
          <w:szCs w:val="18"/>
        </w:rPr>
      </w:pPr>
      <w:r w:rsidRPr="00EC75B7">
        <w:rPr>
          <w:rFonts w:ascii="Verdana" w:hAnsi="Verdana"/>
          <w:sz w:val="18"/>
          <w:szCs w:val="18"/>
        </w:rPr>
        <w:t xml:space="preserve">The plant associations that characterize the plant communities in the analyzed areas are </w:t>
      </w:r>
      <w:r w:rsidRPr="00EC75B7">
        <w:rPr>
          <w:rFonts w:ascii="Verdana" w:hAnsi="Verdana"/>
          <w:i/>
          <w:sz w:val="18"/>
          <w:szCs w:val="18"/>
        </w:rPr>
        <w:t xml:space="preserve">Cynodonti-Poëtum angustifoliae </w:t>
      </w:r>
      <w:r w:rsidRPr="00EC75B7">
        <w:rPr>
          <w:rFonts w:ascii="Verdana" w:hAnsi="Verdana"/>
          <w:sz w:val="18"/>
          <w:szCs w:val="18"/>
        </w:rPr>
        <w:t xml:space="preserve">Rapaics ex Soó 1957 and </w:t>
      </w:r>
      <w:r w:rsidRPr="00EC75B7">
        <w:rPr>
          <w:rFonts w:ascii="Verdana" w:hAnsi="Verdana"/>
          <w:i/>
          <w:sz w:val="18"/>
          <w:szCs w:val="18"/>
        </w:rPr>
        <w:t xml:space="preserve">Artemsio austriacae-Poëtum bulbosae </w:t>
      </w:r>
      <w:r w:rsidRPr="00EC75B7">
        <w:rPr>
          <w:rFonts w:ascii="Verdana" w:hAnsi="Verdana"/>
          <w:sz w:val="18"/>
          <w:szCs w:val="18"/>
        </w:rPr>
        <w:t xml:space="preserve">Pop 1970, which form the steppe grassland vegetation. </w:t>
      </w:r>
      <w:r w:rsidRPr="00EC75B7">
        <w:rPr>
          <w:rFonts w:ascii="Verdana" w:hAnsi="Verdana"/>
          <w:i/>
          <w:sz w:val="18"/>
          <w:szCs w:val="18"/>
        </w:rPr>
        <w:t xml:space="preserve">Cynodonti-Poëtum angustifoliae </w:t>
      </w:r>
      <w:r w:rsidRPr="00EC75B7">
        <w:rPr>
          <w:rFonts w:ascii="Verdana" w:hAnsi="Verdana"/>
          <w:sz w:val="18"/>
          <w:szCs w:val="18"/>
        </w:rPr>
        <w:t>is a secondary association, its composition being heterogeneous depending on location, type, and degree of use, thus being "enriched" with numerous ruderal elements, species resistant to these pressures.</w:t>
      </w:r>
      <w:r w:rsidRPr="00EC75B7">
        <w:rPr>
          <w:rFonts w:ascii="Verdana" w:hAnsi="Verdana"/>
          <w:spacing w:val="-13"/>
          <w:sz w:val="18"/>
          <w:szCs w:val="18"/>
        </w:rPr>
        <w:t xml:space="preserve"> </w:t>
      </w:r>
      <w:r w:rsidRPr="00EC75B7">
        <w:rPr>
          <w:rFonts w:ascii="Verdana" w:hAnsi="Verdana"/>
          <w:sz w:val="18"/>
          <w:szCs w:val="18"/>
        </w:rPr>
        <w:t xml:space="preserve">Today, located between agricultural lands, these areas constitute pastures and areas where sheepfolds are set up. However, the vegetation still retains some elements of the Dobrogea steppe vegetation, such as </w:t>
      </w:r>
      <w:r w:rsidRPr="00EC75B7">
        <w:rPr>
          <w:rFonts w:ascii="Verdana" w:hAnsi="Verdana"/>
          <w:i/>
          <w:sz w:val="18"/>
          <w:szCs w:val="18"/>
        </w:rPr>
        <w:t xml:space="preserve">Teucrium polium </w:t>
      </w:r>
      <w:r w:rsidRPr="00EC75B7">
        <w:rPr>
          <w:rFonts w:ascii="Verdana" w:hAnsi="Verdana"/>
          <w:sz w:val="18"/>
          <w:szCs w:val="18"/>
        </w:rPr>
        <w:t xml:space="preserve">subsp. </w:t>
      </w:r>
      <w:r w:rsidRPr="00EC75B7">
        <w:rPr>
          <w:rFonts w:ascii="Verdana" w:hAnsi="Verdana"/>
          <w:i/>
          <w:sz w:val="18"/>
          <w:szCs w:val="18"/>
        </w:rPr>
        <w:t>capitatum, Festuca valesiaca</w:t>
      </w:r>
      <w:r w:rsidRPr="00EC75B7">
        <w:rPr>
          <w:rFonts w:ascii="Verdana" w:hAnsi="Verdana"/>
          <w:sz w:val="18"/>
          <w:szCs w:val="18"/>
        </w:rPr>
        <w:t xml:space="preserve">, </w:t>
      </w:r>
      <w:r w:rsidRPr="00EC75B7">
        <w:rPr>
          <w:rFonts w:ascii="Verdana" w:hAnsi="Verdana"/>
          <w:i/>
          <w:sz w:val="18"/>
          <w:szCs w:val="18"/>
        </w:rPr>
        <w:t>Sideritis montana, Asperula tenella, Allium rotundum</w:t>
      </w:r>
      <w:r w:rsidRPr="00EC75B7">
        <w:rPr>
          <w:rFonts w:ascii="Verdana" w:hAnsi="Verdana"/>
          <w:sz w:val="18"/>
          <w:szCs w:val="18"/>
        </w:rPr>
        <w:t xml:space="preserve">, etc. Ruderalisation is caused by the degradation </w:t>
      </w:r>
      <w:r w:rsidRPr="00EC75B7">
        <w:rPr>
          <w:rFonts w:ascii="Verdana" w:hAnsi="Verdana"/>
          <w:spacing w:val="-2"/>
          <w:sz w:val="18"/>
          <w:szCs w:val="18"/>
        </w:rPr>
        <w:t>of the initial communities, the reduction of soil cover and the presence of species that form real thickets</w:t>
      </w:r>
      <w:r w:rsidRPr="00EC75B7">
        <w:rPr>
          <w:rFonts w:ascii="Verdana" w:hAnsi="Verdana"/>
          <w:sz w:val="18"/>
          <w:szCs w:val="18"/>
        </w:rPr>
        <w:t xml:space="preserve">, such as </w:t>
      </w:r>
      <w:r w:rsidRPr="00EC75B7">
        <w:rPr>
          <w:rFonts w:ascii="Verdana" w:hAnsi="Verdana"/>
          <w:i/>
          <w:sz w:val="18"/>
          <w:szCs w:val="18"/>
        </w:rPr>
        <w:t>Carduus acanthoides, Onopordon acanthium, Urtica dioica, Sambucus ebulus, Cannabis ruderalis</w:t>
      </w:r>
      <w:r w:rsidRPr="00EC75B7">
        <w:rPr>
          <w:rFonts w:ascii="Verdana" w:hAnsi="Verdana"/>
          <w:sz w:val="18"/>
          <w:szCs w:val="18"/>
        </w:rPr>
        <w:t xml:space="preserve">, etc. The two associations belong to the habitat in the national classification (Doniţă et al. 2005) R3420 West Pontic grasslands with </w:t>
      </w:r>
      <w:r w:rsidRPr="00EC75B7">
        <w:rPr>
          <w:rFonts w:ascii="Verdana" w:hAnsi="Verdana"/>
          <w:i/>
          <w:sz w:val="18"/>
          <w:szCs w:val="18"/>
        </w:rPr>
        <w:t>Poa bulbosa, Artemisia austriaca, Cynodon dactylon</w:t>
      </w:r>
      <w:r w:rsidRPr="00EC75B7">
        <w:rPr>
          <w:rFonts w:ascii="Verdana" w:hAnsi="Verdana"/>
          <w:sz w:val="18"/>
          <w:szCs w:val="18"/>
        </w:rPr>
        <w:t xml:space="preserve">, and </w:t>
      </w:r>
      <w:r w:rsidRPr="00EC75B7">
        <w:rPr>
          <w:rFonts w:ascii="Verdana" w:hAnsi="Verdana"/>
          <w:i/>
          <w:sz w:val="18"/>
          <w:szCs w:val="18"/>
        </w:rPr>
        <w:t xml:space="preserve">Poa angustifolia </w:t>
      </w:r>
      <w:r w:rsidRPr="00EC75B7">
        <w:rPr>
          <w:rFonts w:ascii="Verdana" w:hAnsi="Verdana"/>
          <w:sz w:val="18"/>
          <w:szCs w:val="18"/>
        </w:rPr>
        <w:t xml:space="preserve">(lands covered, prior to anthropization, with vegetation specific to the Natura 2000 priority habitat 62C0* </w:t>
      </w:r>
      <w:r w:rsidRPr="00EC75B7">
        <w:rPr>
          <w:rFonts w:ascii="Verdana" w:hAnsi="Verdana"/>
          <w:spacing w:val="-2"/>
          <w:sz w:val="18"/>
          <w:szCs w:val="18"/>
        </w:rPr>
        <w:t xml:space="preserve">Ponto-Sarmatic </w:t>
      </w:r>
      <w:r w:rsidRPr="00EC75B7">
        <w:rPr>
          <w:rFonts w:ascii="Verdana" w:hAnsi="Verdana"/>
          <w:sz w:val="18"/>
          <w:szCs w:val="18"/>
        </w:rPr>
        <w:t>steppes</w:t>
      </w:r>
      <w:r w:rsidRPr="00EC75B7">
        <w:rPr>
          <w:rFonts w:ascii="Verdana" w:hAnsi="Verdana"/>
          <w:spacing w:val="-2"/>
          <w:sz w:val="18"/>
          <w:szCs w:val="18"/>
        </w:rPr>
        <w:t>).</w:t>
      </w:r>
    </w:p>
    <w:p w14:paraId="32E99773" w14:textId="77777777" w:rsidR="008715BE" w:rsidRPr="00EC75B7" w:rsidRDefault="00000000">
      <w:pPr>
        <w:pStyle w:val="BodyText"/>
        <w:spacing w:before="134" w:line="357" w:lineRule="auto"/>
        <w:ind w:left="765" w:right="848"/>
        <w:jc w:val="both"/>
        <w:rPr>
          <w:rFonts w:ascii="Verdana" w:hAnsi="Verdana"/>
        </w:rPr>
      </w:pPr>
      <w:r w:rsidRPr="00EC75B7">
        <w:rPr>
          <w:rFonts w:ascii="Verdana" w:hAnsi="Verdana"/>
        </w:rPr>
        <w:t xml:space="preserve">Habitat R8702 Anthropogenic communities with </w:t>
      </w:r>
      <w:r w:rsidRPr="00EC75B7">
        <w:rPr>
          <w:rFonts w:ascii="Verdana" w:hAnsi="Verdana"/>
          <w:i/>
        </w:rPr>
        <w:t xml:space="preserve">Onopordum acanthium, Carduus nutans </w:t>
      </w:r>
      <w:r w:rsidRPr="00EC75B7">
        <w:rPr>
          <w:rFonts w:ascii="Verdana" w:hAnsi="Verdana"/>
        </w:rPr>
        <w:t xml:space="preserve">and </w:t>
      </w:r>
      <w:r w:rsidRPr="00EC75B7">
        <w:rPr>
          <w:rFonts w:ascii="Verdana" w:hAnsi="Verdana"/>
          <w:i/>
        </w:rPr>
        <w:t xml:space="preserve">Centaurea calcitrapa </w:t>
      </w:r>
      <w:r w:rsidRPr="00EC75B7">
        <w:rPr>
          <w:rFonts w:ascii="Verdana" w:hAnsi="Verdana"/>
        </w:rPr>
        <w:t xml:space="preserve">(Doniţă et al. 2005) occurs in areas where </w:t>
      </w:r>
      <w:r w:rsidRPr="00EC75B7">
        <w:rPr>
          <w:rFonts w:ascii="Verdana" w:hAnsi="Verdana"/>
          <w:i/>
        </w:rPr>
        <w:t xml:space="preserve">Carduus </w:t>
      </w:r>
      <w:r w:rsidRPr="00EC75B7">
        <w:rPr>
          <w:rFonts w:ascii="Verdana" w:hAnsi="Verdana"/>
        </w:rPr>
        <w:t xml:space="preserve">and </w:t>
      </w:r>
      <w:r w:rsidRPr="00EC75B7">
        <w:rPr>
          <w:rFonts w:ascii="Verdana" w:hAnsi="Verdana"/>
          <w:i/>
        </w:rPr>
        <w:t xml:space="preserve">Onopordon </w:t>
      </w:r>
      <w:r w:rsidRPr="00EC75B7">
        <w:rPr>
          <w:rFonts w:ascii="Verdana" w:hAnsi="Verdana"/>
        </w:rPr>
        <w:t>species are highly distributed, with 70-80% coverage, where they form thickets of brambles that prevent the development of natural native vegetation. However, they are a source of food at the end of the summer and in the autumn for migratory or sedentary species of the order Passeriformes.</w:t>
      </w:r>
    </w:p>
    <w:p w14:paraId="4663E839" w14:textId="77777777" w:rsidR="008715BE" w:rsidRPr="00EC75B7" w:rsidRDefault="00000000">
      <w:pPr>
        <w:pStyle w:val="Heading5"/>
        <w:spacing w:before="163"/>
        <w:ind w:left="765"/>
        <w:rPr>
          <w:rFonts w:ascii="Verdana" w:hAnsi="Verdana"/>
        </w:rPr>
      </w:pPr>
      <w:r w:rsidRPr="00EC75B7">
        <w:rPr>
          <w:rFonts w:ascii="Verdana" w:hAnsi="Verdana"/>
        </w:rPr>
        <w:t xml:space="preserve">The grassland area west of the village of </w:t>
      </w:r>
      <w:r w:rsidRPr="00EC75B7">
        <w:rPr>
          <w:rFonts w:ascii="Verdana" w:hAnsi="Verdana"/>
          <w:spacing w:val="-2"/>
        </w:rPr>
        <w:t>Căscioarele</w:t>
      </w:r>
    </w:p>
    <w:p w14:paraId="01D0BD8F" w14:textId="77777777" w:rsidR="008715BE" w:rsidRPr="00EC75B7" w:rsidRDefault="008715BE">
      <w:pPr>
        <w:pStyle w:val="BodyText"/>
        <w:spacing w:before="40"/>
        <w:rPr>
          <w:rFonts w:ascii="Verdana" w:hAnsi="Verdana"/>
          <w:b/>
        </w:rPr>
      </w:pPr>
    </w:p>
    <w:p w14:paraId="4004CB2D" w14:textId="77777777" w:rsidR="008715BE" w:rsidRPr="00EC75B7" w:rsidRDefault="00000000">
      <w:pPr>
        <w:pStyle w:val="BodyText"/>
        <w:spacing w:line="357" w:lineRule="auto"/>
        <w:ind w:left="765" w:right="850"/>
        <w:jc w:val="both"/>
        <w:rPr>
          <w:rFonts w:ascii="Verdana" w:hAnsi="Verdana"/>
        </w:rPr>
      </w:pPr>
      <w:r w:rsidRPr="00EC75B7">
        <w:rPr>
          <w:rFonts w:ascii="Verdana" w:hAnsi="Verdana"/>
        </w:rPr>
        <w:t>The analyzed meadow is predominantly covered with herbaceous vegetation, with rare shrubs, heavily affected by grazing, and bordered by agricultural land and inhabited areas.</w:t>
      </w:r>
      <w:r w:rsidRPr="00EC75B7">
        <w:rPr>
          <w:rFonts w:ascii="Verdana" w:hAnsi="Verdana"/>
          <w:spacing w:val="-3"/>
        </w:rPr>
        <w:t xml:space="preserve"> </w:t>
      </w:r>
      <w:r w:rsidRPr="00EC75B7">
        <w:rPr>
          <w:rFonts w:ascii="Verdana" w:hAnsi="Verdana"/>
        </w:rPr>
        <w:t xml:space="preserve">The vegetation is mosaic-like, alternating between grazed and overgrazed areas, with plant communities featuring grass species characteristic of steppe vegetation (e.g., </w:t>
      </w:r>
      <w:r w:rsidRPr="00EC75B7">
        <w:rPr>
          <w:rFonts w:ascii="Verdana" w:hAnsi="Verdana"/>
          <w:i/>
        </w:rPr>
        <w:t>Stipa capillata</w:t>
      </w:r>
      <w:r w:rsidRPr="00EC75B7">
        <w:rPr>
          <w:rFonts w:ascii="Verdana" w:hAnsi="Verdana"/>
        </w:rPr>
        <w:t xml:space="preserve">, </w:t>
      </w:r>
      <w:r w:rsidRPr="00EC75B7">
        <w:rPr>
          <w:rFonts w:ascii="Verdana" w:hAnsi="Verdana"/>
          <w:i/>
        </w:rPr>
        <w:t>Chrysopogon gryllus</w:t>
      </w:r>
      <w:r w:rsidRPr="00EC75B7">
        <w:rPr>
          <w:rFonts w:ascii="Verdana" w:hAnsi="Verdana"/>
        </w:rPr>
        <w:t>) observed in some places.</w:t>
      </w:r>
      <w:r w:rsidRPr="00EC75B7">
        <w:rPr>
          <w:rFonts w:ascii="Verdana" w:hAnsi="Verdana"/>
          <w:spacing w:val="-6"/>
        </w:rPr>
        <w:t xml:space="preserve"> </w:t>
      </w:r>
      <w:r w:rsidRPr="00EC75B7">
        <w:rPr>
          <w:rFonts w:ascii="Verdana" w:hAnsi="Verdana"/>
        </w:rPr>
        <w:t>The vegetation consists mainly of native species, with the most represented families being Asteraceae and Poaceae:</w:t>
      </w:r>
    </w:p>
    <w:p w14:paraId="12F347FB" w14:textId="77777777" w:rsidR="008715BE" w:rsidRPr="00EC75B7" w:rsidRDefault="008715BE">
      <w:pPr>
        <w:pStyle w:val="BodyText"/>
        <w:spacing w:before="50"/>
        <w:rPr>
          <w:rFonts w:ascii="Verdana" w:hAnsi="Verdana"/>
        </w:rPr>
      </w:pPr>
    </w:p>
    <w:p w14:paraId="320C333B" w14:textId="2E145A9B" w:rsidR="008715BE" w:rsidRPr="009C3CA5" w:rsidRDefault="00000000" w:rsidP="009C3CA5">
      <w:pPr>
        <w:spacing w:line="357" w:lineRule="auto"/>
        <w:ind w:left="765" w:right="846"/>
        <w:jc w:val="both"/>
        <w:rPr>
          <w:rFonts w:ascii="Verdana" w:hAnsi="Verdana"/>
          <w:i/>
          <w:sz w:val="18"/>
          <w:szCs w:val="18"/>
        </w:rPr>
      </w:pPr>
      <w:r w:rsidRPr="00EC75B7">
        <w:rPr>
          <w:rFonts w:ascii="Verdana" w:hAnsi="Verdana"/>
          <w:i/>
          <w:sz w:val="18"/>
          <w:szCs w:val="18"/>
        </w:rPr>
        <w:t xml:space="preserve">Berteroa incana, Plantago lanceolata, Galium humifusum, Achillea setacea, Torilis arvensis, Allium rotundum, Eryngium campestre, Daucus carota, Lolium perenne, Dicanthium ischaemum </w:t>
      </w:r>
      <w:r w:rsidRPr="00EC75B7">
        <w:rPr>
          <w:rFonts w:ascii="Verdana" w:hAnsi="Verdana"/>
          <w:sz w:val="18"/>
          <w:szCs w:val="18"/>
        </w:rPr>
        <w:t>(predominant species over large areas)</w:t>
      </w:r>
      <w:r w:rsidRPr="00EC75B7">
        <w:rPr>
          <w:rFonts w:ascii="Verdana" w:hAnsi="Verdana"/>
          <w:i/>
          <w:sz w:val="18"/>
          <w:szCs w:val="18"/>
        </w:rPr>
        <w:t xml:space="preserve">, Cynodon dactylon </w:t>
      </w:r>
      <w:r w:rsidRPr="00EC75B7">
        <w:rPr>
          <w:rFonts w:ascii="Verdana" w:hAnsi="Verdana"/>
          <w:sz w:val="18"/>
          <w:szCs w:val="18"/>
        </w:rPr>
        <w:t>(predominant species over large areas)</w:t>
      </w:r>
      <w:r w:rsidRPr="00EC75B7">
        <w:rPr>
          <w:rFonts w:ascii="Verdana" w:hAnsi="Verdana"/>
          <w:i/>
          <w:sz w:val="18"/>
          <w:szCs w:val="18"/>
        </w:rPr>
        <w:t>,</w:t>
      </w:r>
      <w:r w:rsidRPr="00EC75B7">
        <w:rPr>
          <w:rFonts w:ascii="Verdana" w:hAnsi="Verdana"/>
          <w:i/>
          <w:spacing w:val="-8"/>
          <w:sz w:val="18"/>
          <w:szCs w:val="18"/>
        </w:rPr>
        <w:t xml:space="preserve"> </w:t>
      </w:r>
      <w:r w:rsidRPr="00EC75B7">
        <w:rPr>
          <w:rFonts w:ascii="Verdana" w:hAnsi="Verdana"/>
          <w:i/>
          <w:sz w:val="18"/>
          <w:szCs w:val="18"/>
        </w:rPr>
        <w:t xml:space="preserve">Tunica prolifera, Festuca valesiaca, Bromus </w:t>
      </w:r>
      <w:r w:rsidRPr="00EC75B7">
        <w:rPr>
          <w:rFonts w:ascii="Verdana" w:hAnsi="Verdana"/>
          <w:sz w:val="18"/>
          <w:szCs w:val="18"/>
        </w:rPr>
        <w:t xml:space="preserve">cf. </w:t>
      </w:r>
      <w:r w:rsidRPr="00EC75B7">
        <w:rPr>
          <w:rFonts w:ascii="Verdana" w:hAnsi="Verdana"/>
          <w:i/>
          <w:sz w:val="18"/>
          <w:szCs w:val="18"/>
        </w:rPr>
        <w:t xml:space="preserve">tectorum </w:t>
      </w:r>
      <w:r w:rsidRPr="00EC75B7">
        <w:rPr>
          <w:rFonts w:ascii="Verdana" w:hAnsi="Verdana"/>
          <w:sz w:val="18"/>
          <w:szCs w:val="18"/>
        </w:rPr>
        <w:t>(predominant species over large areas)</w:t>
      </w:r>
      <w:r w:rsidRPr="00EC75B7">
        <w:rPr>
          <w:rFonts w:ascii="Verdana" w:hAnsi="Verdana"/>
          <w:i/>
          <w:sz w:val="18"/>
          <w:szCs w:val="18"/>
        </w:rPr>
        <w:t xml:space="preserve">, Sisymbrium orientale, Poa bulbosa, Centaurea diffusa, Artemisia austriaca, Nigella arvensis, Consolida regalis, Xeranthemum annuum, </w:t>
      </w:r>
      <w:r w:rsidRPr="00EC75B7">
        <w:rPr>
          <w:rFonts w:ascii="Verdana" w:hAnsi="Verdana"/>
          <w:i/>
          <w:sz w:val="18"/>
          <w:szCs w:val="18"/>
        </w:rPr>
        <w:lastRenderedPageBreak/>
        <w:t>Chondrilla juncaea, Euphorbia glareosa nicaeensis, Asperula tenella, Dactylis glomerata, Crataegus monogyna, Cephalaria transsilvnica, Cichorium intybus, Stipa capillata, Marrubium</w:t>
      </w:r>
      <w:r w:rsidR="009C3CA5">
        <w:rPr>
          <w:rFonts w:ascii="Verdana" w:hAnsi="Verdana"/>
          <w:i/>
          <w:sz w:val="18"/>
          <w:szCs w:val="18"/>
        </w:rPr>
        <w:t xml:space="preserve"> </w:t>
      </w:r>
      <w:r w:rsidRPr="00EC75B7">
        <w:rPr>
          <w:rFonts w:ascii="Verdana" w:hAnsi="Verdana"/>
          <w:i/>
          <w:sz w:val="18"/>
          <w:szCs w:val="18"/>
        </w:rPr>
        <w:t xml:space="preserve">peregrinum, Chaiturus marrubiastrum, Oenothera </w:t>
      </w:r>
      <w:r w:rsidRPr="00EC75B7">
        <w:rPr>
          <w:rFonts w:ascii="Verdana" w:hAnsi="Verdana"/>
          <w:sz w:val="18"/>
          <w:szCs w:val="18"/>
        </w:rPr>
        <w:t>sp</w:t>
      </w:r>
      <w:r w:rsidRPr="00EC75B7">
        <w:rPr>
          <w:rFonts w:ascii="Verdana" w:hAnsi="Verdana"/>
          <w:i/>
          <w:sz w:val="18"/>
          <w:szCs w:val="18"/>
        </w:rPr>
        <w:t xml:space="preserve">., Echiunm vulgare, Heliotropium suaveolens, Sanguisorba minor, Malva neglecta, Sedum </w:t>
      </w:r>
      <w:r w:rsidRPr="00EC75B7">
        <w:rPr>
          <w:rFonts w:ascii="Verdana" w:hAnsi="Verdana"/>
          <w:sz w:val="18"/>
          <w:szCs w:val="18"/>
        </w:rPr>
        <w:t>sp</w:t>
      </w:r>
      <w:r w:rsidRPr="00EC75B7">
        <w:rPr>
          <w:rFonts w:ascii="Verdana" w:hAnsi="Verdana"/>
          <w:i/>
          <w:sz w:val="18"/>
          <w:szCs w:val="18"/>
        </w:rPr>
        <w:t xml:space="preserve">., Agropyron cristatum, Chrysopogon gryllus, Carduus acanthoides </w:t>
      </w:r>
      <w:r w:rsidRPr="00EC75B7">
        <w:rPr>
          <w:rFonts w:ascii="Verdana" w:hAnsi="Verdana"/>
          <w:sz w:val="18"/>
          <w:szCs w:val="18"/>
        </w:rPr>
        <w:t>(predominant species over large areas)</w:t>
      </w:r>
      <w:r w:rsidRPr="00EC75B7">
        <w:rPr>
          <w:rFonts w:ascii="Verdana" w:hAnsi="Verdana"/>
          <w:i/>
          <w:sz w:val="18"/>
          <w:szCs w:val="18"/>
        </w:rPr>
        <w:t>,</w:t>
      </w:r>
      <w:r w:rsidRPr="00EC75B7">
        <w:rPr>
          <w:rFonts w:ascii="Verdana" w:hAnsi="Verdana"/>
          <w:i/>
          <w:spacing w:val="-3"/>
          <w:sz w:val="18"/>
          <w:szCs w:val="18"/>
        </w:rPr>
        <w:t xml:space="preserve"> </w:t>
      </w:r>
      <w:r w:rsidRPr="00EC75B7">
        <w:rPr>
          <w:rFonts w:ascii="Verdana" w:hAnsi="Verdana"/>
          <w:i/>
          <w:sz w:val="18"/>
          <w:szCs w:val="18"/>
        </w:rPr>
        <w:t xml:space="preserve">Onopordum acanthium </w:t>
      </w:r>
      <w:r w:rsidRPr="00EC75B7">
        <w:rPr>
          <w:rFonts w:ascii="Verdana" w:hAnsi="Verdana"/>
          <w:sz w:val="18"/>
          <w:szCs w:val="18"/>
        </w:rPr>
        <w:t>(predominant species over large areas)</w:t>
      </w:r>
      <w:r w:rsidRPr="00EC75B7">
        <w:rPr>
          <w:rFonts w:ascii="Verdana" w:hAnsi="Verdana"/>
          <w:i/>
          <w:sz w:val="18"/>
          <w:szCs w:val="18"/>
        </w:rPr>
        <w:t xml:space="preserve">, C. lanceolatum, Verbascum thapsus, V. nigrum, Sambucus ebulus, Urtica dioica, Xanthium spinosum </w:t>
      </w:r>
      <w:r w:rsidRPr="00EC75B7">
        <w:rPr>
          <w:rFonts w:ascii="Verdana" w:hAnsi="Verdana"/>
          <w:sz w:val="18"/>
          <w:szCs w:val="18"/>
        </w:rPr>
        <w:t>(invasive alien species, characteristic of fallow areas).</w:t>
      </w:r>
    </w:p>
    <w:p w14:paraId="191624B8" w14:textId="77777777" w:rsidR="008715BE" w:rsidRPr="00EC75B7" w:rsidRDefault="008715BE">
      <w:pPr>
        <w:pStyle w:val="BodyText"/>
        <w:spacing w:before="70"/>
        <w:rPr>
          <w:rFonts w:ascii="Verdana" w:hAnsi="Verdana"/>
        </w:rPr>
      </w:pPr>
    </w:p>
    <w:p w14:paraId="018B68DC" w14:textId="77777777" w:rsidR="008715BE" w:rsidRPr="00EC75B7" w:rsidRDefault="00000000">
      <w:pPr>
        <w:pStyle w:val="BodyText"/>
        <w:spacing w:before="1" w:line="360" w:lineRule="auto"/>
        <w:ind w:left="765" w:right="856"/>
        <w:jc w:val="both"/>
        <w:rPr>
          <w:rFonts w:ascii="Verdana" w:hAnsi="Verdana"/>
        </w:rPr>
      </w:pPr>
      <w:r w:rsidRPr="00EC75B7">
        <w:rPr>
          <w:rFonts w:ascii="Verdana" w:hAnsi="Verdana"/>
        </w:rPr>
        <w:t xml:space="preserve">Characteristic Dobrogea landscape with large open areas covered with herbaceous vegetation with xerophilous elements resistant to periods without precipitation during the summer, secondary to steppe vegetation, and calcareous deposits of the canara type, where rare calcifuge species usually grow. Woody species are rare (e.g., </w:t>
      </w:r>
      <w:r w:rsidRPr="00EC75B7">
        <w:rPr>
          <w:rFonts w:ascii="Verdana" w:hAnsi="Verdana"/>
          <w:i/>
        </w:rPr>
        <w:t>Crataegus monogyna</w:t>
      </w:r>
      <w:r w:rsidRPr="00EC75B7">
        <w:rPr>
          <w:rFonts w:ascii="Verdana" w:hAnsi="Verdana"/>
        </w:rPr>
        <w:t>).</w:t>
      </w:r>
    </w:p>
    <w:p w14:paraId="5C42745F" w14:textId="77777777" w:rsidR="008715BE" w:rsidRPr="00EC75B7" w:rsidRDefault="008715BE">
      <w:pPr>
        <w:pStyle w:val="BodyText"/>
        <w:spacing w:before="62"/>
        <w:rPr>
          <w:rFonts w:ascii="Verdana" w:hAnsi="Verdana"/>
        </w:rPr>
      </w:pPr>
    </w:p>
    <w:p w14:paraId="7C77400B" w14:textId="77777777" w:rsidR="008715BE" w:rsidRPr="00EC75B7" w:rsidRDefault="00000000">
      <w:pPr>
        <w:spacing w:line="360" w:lineRule="auto"/>
        <w:ind w:left="765" w:right="847"/>
        <w:jc w:val="both"/>
        <w:rPr>
          <w:rFonts w:ascii="Verdana" w:hAnsi="Verdana"/>
          <w:sz w:val="18"/>
          <w:szCs w:val="18"/>
        </w:rPr>
      </w:pPr>
      <w:r w:rsidRPr="00EC75B7">
        <w:rPr>
          <w:rFonts w:ascii="Verdana" w:hAnsi="Verdana"/>
          <w:spacing w:val="-2"/>
          <w:sz w:val="18"/>
          <w:szCs w:val="18"/>
        </w:rPr>
        <w:t xml:space="preserve">The distribution of vegetation is heterogeneous, alternating between areas with abundant vegetation and areas with </w:t>
      </w:r>
      <w:r w:rsidRPr="00EC75B7">
        <w:rPr>
          <w:rFonts w:ascii="Verdana" w:hAnsi="Verdana"/>
          <w:sz w:val="18"/>
          <w:szCs w:val="18"/>
        </w:rPr>
        <w:t>sparse</w:t>
      </w:r>
      <w:r w:rsidRPr="00EC75B7">
        <w:rPr>
          <w:rFonts w:ascii="Verdana" w:hAnsi="Verdana"/>
          <w:spacing w:val="-2"/>
          <w:sz w:val="18"/>
          <w:szCs w:val="18"/>
        </w:rPr>
        <w:t xml:space="preserve"> vegetation</w:t>
      </w:r>
      <w:r w:rsidRPr="00EC75B7">
        <w:rPr>
          <w:rFonts w:ascii="Verdana" w:hAnsi="Verdana"/>
          <w:sz w:val="18"/>
          <w:szCs w:val="18"/>
        </w:rPr>
        <w:t xml:space="preserve">, with reduced size and coverage and affected by the presence of ruderal species (e.g. </w:t>
      </w:r>
      <w:r w:rsidRPr="00EC75B7">
        <w:rPr>
          <w:rFonts w:ascii="Verdana" w:hAnsi="Verdana"/>
          <w:i/>
          <w:sz w:val="18"/>
          <w:szCs w:val="18"/>
        </w:rPr>
        <w:t>Carduus acanthoides, C. lanceolatum, Verbascum thapsus, Sambucus ebulus, Urtica dioica,</w:t>
      </w:r>
      <w:r w:rsidRPr="00EC75B7">
        <w:rPr>
          <w:rFonts w:ascii="Verdana" w:hAnsi="Verdana"/>
          <w:i/>
          <w:spacing w:val="-9"/>
          <w:sz w:val="18"/>
          <w:szCs w:val="18"/>
        </w:rPr>
        <w:t xml:space="preserve"> </w:t>
      </w:r>
      <w:r w:rsidRPr="00EC75B7">
        <w:rPr>
          <w:rFonts w:ascii="Verdana" w:hAnsi="Verdana"/>
          <w:i/>
          <w:sz w:val="18"/>
          <w:szCs w:val="18"/>
        </w:rPr>
        <w:t>Xanthium spinosum</w:t>
      </w:r>
      <w:r w:rsidRPr="00EC75B7">
        <w:rPr>
          <w:rFonts w:ascii="Verdana" w:hAnsi="Verdana"/>
          <w:sz w:val="18"/>
          <w:szCs w:val="18"/>
        </w:rPr>
        <w:t>)</w:t>
      </w:r>
      <w:r w:rsidRPr="00EC75B7">
        <w:rPr>
          <w:rFonts w:ascii="Verdana" w:hAnsi="Verdana"/>
          <w:i/>
          <w:sz w:val="18"/>
          <w:szCs w:val="18"/>
        </w:rPr>
        <w:t xml:space="preserve">, </w:t>
      </w:r>
      <w:r w:rsidRPr="00EC75B7">
        <w:rPr>
          <w:rFonts w:ascii="Verdana" w:hAnsi="Verdana"/>
          <w:sz w:val="18"/>
          <w:szCs w:val="18"/>
        </w:rPr>
        <w:t>and some segetal species (e.g., Consolida regalis).</w:t>
      </w:r>
    </w:p>
    <w:p w14:paraId="05E0E202" w14:textId="77777777" w:rsidR="008715BE" w:rsidRPr="00EC75B7" w:rsidRDefault="008715BE">
      <w:pPr>
        <w:pStyle w:val="BodyText"/>
        <w:spacing w:before="63"/>
        <w:rPr>
          <w:rFonts w:ascii="Verdana" w:hAnsi="Verdana"/>
        </w:rPr>
      </w:pPr>
    </w:p>
    <w:p w14:paraId="1F4B0B85" w14:textId="77777777" w:rsidR="008715BE" w:rsidRPr="00EC75B7" w:rsidRDefault="00000000">
      <w:pPr>
        <w:pStyle w:val="BodyText"/>
        <w:spacing w:before="1" w:line="357" w:lineRule="auto"/>
        <w:ind w:left="765" w:right="849"/>
        <w:jc w:val="both"/>
        <w:rPr>
          <w:rFonts w:ascii="Verdana" w:hAnsi="Verdana"/>
        </w:rPr>
      </w:pPr>
      <w:r w:rsidRPr="00EC75B7">
        <w:rPr>
          <w:rFonts w:ascii="Verdana" w:hAnsi="Verdana"/>
        </w:rPr>
        <w:t xml:space="preserve">The grassland is a mosaic of plant communities, among which the most prominent are the plant associations </w:t>
      </w:r>
      <w:r w:rsidRPr="00EC75B7">
        <w:rPr>
          <w:rFonts w:ascii="Verdana" w:hAnsi="Verdana"/>
          <w:i/>
        </w:rPr>
        <w:t xml:space="preserve">Cynodonti-Poëtum angustifoliae </w:t>
      </w:r>
      <w:r w:rsidRPr="00EC75B7">
        <w:rPr>
          <w:rFonts w:ascii="Verdana" w:hAnsi="Verdana"/>
        </w:rPr>
        <w:t xml:space="preserve">Rapaics ex Soó 1957, </w:t>
      </w:r>
      <w:r w:rsidRPr="00EC75B7">
        <w:rPr>
          <w:rFonts w:ascii="Verdana" w:hAnsi="Verdana"/>
          <w:i/>
        </w:rPr>
        <w:t xml:space="preserve">Artemsio austriacae-Poëtum bulbosae </w:t>
      </w:r>
      <w:r w:rsidRPr="00EC75B7">
        <w:rPr>
          <w:rFonts w:ascii="Verdana" w:hAnsi="Verdana"/>
        </w:rPr>
        <w:t xml:space="preserve">Pop 1970 and </w:t>
      </w:r>
      <w:r w:rsidRPr="00EC75B7">
        <w:rPr>
          <w:rFonts w:ascii="Verdana" w:hAnsi="Verdana"/>
          <w:i/>
        </w:rPr>
        <w:t xml:space="preserve">Botriochloetum ischaemi </w:t>
      </w:r>
      <w:r w:rsidRPr="00EC75B7">
        <w:rPr>
          <w:rFonts w:ascii="Verdana" w:hAnsi="Verdana"/>
        </w:rPr>
        <w:t>(Kristinsen 1937) Pop 1977, which form the secondary steppe grassland vegetation. All three associations represent secondary vegetation successions, with a fairly heterogeneous phytocenotic composition depending on location, soil type, exposure, type and degree of use, thus being</w:t>
      </w:r>
    </w:p>
    <w:p w14:paraId="1D05A7EA" w14:textId="77777777" w:rsidR="008715BE" w:rsidRPr="00EC75B7" w:rsidRDefault="00000000">
      <w:pPr>
        <w:spacing w:before="4" w:line="357" w:lineRule="auto"/>
        <w:ind w:left="765" w:right="847"/>
        <w:jc w:val="both"/>
        <w:rPr>
          <w:rFonts w:ascii="Verdana" w:hAnsi="Verdana"/>
          <w:sz w:val="18"/>
          <w:szCs w:val="18"/>
        </w:rPr>
      </w:pPr>
      <w:r w:rsidRPr="00EC75B7">
        <w:rPr>
          <w:rFonts w:ascii="Verdana" w:hAnsi="Verdana"/>
          <w:sz w:val="18"/>
          <w:szCs w:val="18"/>
        </w:rPr>
        <w:t xml:space="preserve">"enriched" with numerous species that denote ruderalization. However, the vegetation still retains some elements of the Dobrujan steppe vegetation, such as </w:t>
      </w:r>
      <w:r w:rsidRPr="00EC75B7">
        <w:rPr>
          <w:rFonts w:ascii="Verdana" w:hAnsi="Verdana"/>
          <w:i/>
          <w:sz w:val="18"/>
          <w:szCs w:val="18"/>
        </w:rPr>
        <w:t>Chrysopogon gryllus, Stipa capillata, Festuca valesiaca, Eryngium campestre, Plantago lanceolata, Sanguisorba minor, Asperula tenella, Allium rotundum</w:t>
      </w:r>
      <w:r w:rsidRPr="00EC75B7">
        <w:rPr>
          <w:rFonts w:ascii="Verdana" w:hAnsi="Verdana"/>
          <w:sz w:val="18"/>
          <w:szCs w:val="18"/>
        </w:rPr>
        <w:t xml:space="preserve">, etc. Ruderalisation is caused by the degradation of the initial communities, the reduction of soil cover and the presence of species that form real thickets, such as </w:t>
      </w:r>
      <w:r w:rsidRPr="00EC75B7">
        <w:rPr>
          <w:rFonts w:ascii="Verdana" w:hAnsi="Verdana"/>
          <w:i/>
          <w:sz w:val="18"/>
          <w:szCs w:val="18"/>
        </w:rPr>
        <w:t>Carduus acanthoides, Onopordon acanthium, Urtica dioica, Sambucus ebulus</w:t>
      </w:r>
      <w:r w:rsidRPr="00EC75B7">
        <w:rPr>
          <w:rFonts w:ascii="Verdana" w:hAnsi="Verdana"/>
          <w:sz w:val="18"/>
          <w:szCs w:val="18"/>
        </w:rPr>
        <w:t>, etc.</w:t>
      </w:r>
      <w:r w:rsidRPr="00EC75B7">
        <w:rPr>
          <w:rFonts w:ascii="Verdana" w:hAnsi="Verdana"/>
          <w:spacing w:val="40"/>
          <w:sz w:val="18"/>
          <w:szCs w:val="18"/>
        </w:rPr>
        <w:t xml:space="preserve"> </w:t>
      </w:r>
      <w:r w:rsidRPr="00EC75B7">
        <w:rPr>
          <w:rFonts w:ascii="Verdana" w:hAnsi="Verdana"/>
          <w:sz w:val="18"/>
          <w:szCs w:val="18"/>
        </w:rPr>
        <w:t xml:space="preserve">The first two associations belong to the habitat in the national classification (Doniţă et al. 2005) R3420 West Pontic grasslands with </w:t>
      </w:r>
      <w:r w:rsidRPr="00EC75B7">
        <w:rPr>
          <w:rFonts w:ascii="Verdana" w:hAnsi="Verdana"/>
          <w:i/>
          <w:sz w:val="18"/>
          <w:szCs w:val="18"/>
        </w:rPr>
        <w:t>Poa bulbosa, Artemisia austriaca, Cynodon dactylon</w:t>
      </w:r>
      <w:r w:rsidRPr="00EC75B7">
        <w:rPr>
          <w:rFonts w:ascii="Verdana" w:hAnsi="Verdana"/>
          <w:sz w:val="18"/>
          <w:szCs w:val="18"/>
        </w:rPr>
        <w:t xml:space="preserve">, and </w:t>
      </w:r>
      <w:r w:rsidRPr="00EC75B7">
        <w:rPr>
          <w:rFonts w:ascii="Verdana" w:hAnsi="Verdana"/>
          <w:i/>
          <w:sz w:val="18"/>
          <w:szCs w:val="18"/>
        </w:rPr>
        <w:t>Poa angustifolia</w:t>
      </w:r>
      <w:r w:rsidRPr="00EC75B7">
        <w:rPr>
          <w:rFonts w:ascii="Verdana" w:hAnsi="Verdana"/>
          <w:sz w:val="18"/>
          <w:szCs w:val="18"/>
        </w:rPr>
        <w:t xml:space="preserve">, and the </w:t>
      </w:r>
      <w:r w:rsidRPr="00EC75B7">
        <w:rPr>
          <w:rFonts w:ascii="Verdana" w:hAnsi="Verdana"/>
          <w:i/>
          <w:sz w:val="18"/>
          <w:szCs w:val="18"/>
        </w:rPr>
        <w:t xml:space="preserve">Botriochloetum ischaemi </w:t>
      </w:r>
      <w:r w:rsidRPr="00EC75B7">
        <w:rPr>
          <w:rFonts w:ascii="Verdana" w:hAnsi="Verdana"/>
          <w:sz w:val="18"/>
          <w:szCs w:val="18"/>
        </w:rPr>
        <w:t xml:space="preserve">association defines the habitat R3415 Ponto-Balkan grasslands-Balkan grasslands with </w:t>
      </w:r>
      <w:r w:rsidRPr="00EC75B7">
        <w:rPr>
          <w:rFonts w:ascii="Verdana" w:hAnsi="Verdana"/>
          <w:i/>
          <w:sz w:val="18"/>
          <w:szCs w:val="18"/>
        </w:rPr>
        <w:t xml:space="preserve">Botriochloa ischaemum </w:t>
      </w:r>
      <w:r w:rsidRPr="00EC75B7">
        <w:rPr>
          <w:rFonts w:ascii="Verdana" w:hAnsi="Verdana"/>
          <w:sz w:val="18"/>
          <w:szCs w:val="18"/>
        </w:rPr>
        <w:t xml:space="preserve">and </w:t>
      </w:r>
      <w:r w:rsidRPr="00EC75B7">
        <w:rPr>
          <w:rFonts w:ascii="Verdana" w:hAnsi="Verdana"/>
          <w:i/>
          <w:sz w:val="18"/>
          <w:szCs w:val="18"/>
        </w:rPr>
        <w:t>Festuca valesiaca</w:t>
      </w:r>
      <w:r w:rsidRPr="00EC75B7">
        <w:rPr>
          <w:rFonts w:ascii="Verdana" w:hAnsi="Verdana"/>
          <w:sz w:val="18"/>
          <w:szCs w:val="18"/>
        </w:rPr>
        <w:t>, both habitats with a compositional structure strongly affected by grazing (land probably covered, prior to anthropization, with vegetation characteristic of the Natura 2000 habitat 62C0* Ponto-Sarmatian steppes).</w:t>
      </w:r>
    </w:p>
    <w:p w14:paraId="7D077121" w14:textId="77777777" w:rsidR="008715BE" w:rsidRPr="00EC75B7" w:rsidRDefault="008715BE">
      <w:pPr>
        <w:pStyle w:val="BodyText"/>
        <w:spacing w:before="77"/>
        <w:rPr>
          <w:rFonts w:ascii="Verdana" w:hAnsi="Verdana"/>
        </w:rPr>
      </w:pPr>
    </w:p>
    <w:p w14:paraId="218BF6E0" w14:textId="77777777" w:rsidR="008715BE" w:rsidRPr="00EC75B7" w:rsidRDefault="00000000">
      <w:pPr>
        <w:spacing w:line="357" w:lineRule="auto"/>
        <w:ind w:left="765" w:right="850"/>
        <w:jc w:val="both"/>
        <w:rPr>
          <w:rFonts w:ascii="Verdana" w:hAnsi="Verdana"/>
          <w:sz w:val="18"/>
          <w:szCs w:val="18"/>
        </w:rPr>
      </w:pPr>
      <w:r w:rsidRPr="00EC75B7">
        <w:rPr>
          <w:rFonts w:ascii="Verdana" w:hAnsi="Verdana"/>
          <w:sz w:val="18"/>
          <w:szCs w:val="18"/>
        </w:rPr>
        <w:t xml:space="preserve">In some places, there are plant communities with </w:t>
      </w:r>
      <w:r w:rsidRPr="00EC75B7">
        <w:rPr>
          <w:rFonts w:ascii="Verdana" w:hAnsi="Verdana"/>
          <w:i/>
          <w:sz w:val="18"/>
          <w:szCs w:val="18"/>
        </w:rPr>
        <w:t xml:space="preserve">Chrysopogon gryllus </w:t>
      </w:r>
      <w:r w:rsidRPr="00EC75B7">
        <w:rPr>
          <w:rFonts w:ascii="Verdana" w:hAnsi="Verdana"/>
          <w:sz w:val="18"/>
          <w:szCs w:val="18"/>
        </w:rPr>
        <w:t>(ass. veg.</w:t>
      </w:r>
      <w:r w:rsidRPr="00EC75B7">
        <w:rPr>
          <w:rFonts w:ascii="Verdana" w:hAnsi="Verdana"/>
          <w:spacing w:val="-1"/>
          <w:sz w:val="18"/>
          <w:szCs w:val="18"/>
        </w:rPr>
        <w:t xml:space="preserve"> </w:t>
      </w:r>
      <w:r w:rsidRPr="00EC75B7">
        <w:rPr>
          <w:rFonts w:ascii="Verdana" w:hAnsi="Verdana"/>
          <w:i/>
          <w:sz w:val="18"/>
          <w:szCs w:val="18"/>
        </w:rPr>
        <w:t xml:space="preserve">Thymio pannonici-Chrysopogonetum grylli </w:t>
      </w:r>
      <w:r w:rsidRPr="00EC75B7">
        <w:rPr>
          <w:rFonts w:ascii="Verdana" w:hAnsi="Verdana"/>
          <w:sz w:val="18"/>
          <w:szCs w:val="18"/>
        </w:rPr>
        <w:t xml:space="preserve">Doniţă et al. 1992, syn.: </w:t>
      </w:r>
      <w:r w:rsidRPr="00EC75B7">
        <w:rPr>
          <w:rFonts w:ascii="Verdana" w:hAnsi="Verdana"/>
          <w:i/>
          <w:sz w:val="18"/>
          <w:szCs w:val="18"/>
        </w:rPr>
        <w:t xml:space="preserve">Chrysopogonetum grylli </w:t>
      </w:r>
      <w:r w:rsidRPr="00EC75B7">
        <w:rPr>
          <w:rFonts w:ascii="Verdana" w:hAnsi="Verdana"/>
          <w:sz w:val="18"/>
          <w:szCs w:val="18"/>
        </w:rPr>
        <w:t>Soó), with limited distribution on the limestone slopes bordering the flat area of the meadow, clearly degraded by grazing.</w:t>
      </w:r>
    </w:p>
    <w:p w14:paraId="118ABAD5" w14:textId="77777777" w:rsidR="008715BE" w:rsidRPr="00EC75B7" w:rsidRDefault="008715BE">
      <w:pPr>
        <w:pStyle w:val="BodyText"/>
        <w:spacing w:before="71"/>
        <w:rPr>
          <w:rFonts w:ascii="Verdana" w:hAnsi="Verdana"/>
        </w:rPr>
      </w:pPr>
    </w:p>
    <w:p w14:paraId="122E2D7C" w14:textId="77777777" w:rsidR="008715BE" w:rsidRPr="00EC75B7" w:rsidRDefault="00000000">
      <w:pPr>
        <w:pStyle w:val="BodyText"/>
        <w:spacing w:line="357" w:lineRule="auto"/>
        <w:ind w:left="765" w:right="845"/>
        <w:jc w:val="both"/>
        <w:rPr>
          <w:rFonts w:ascii="Verdana" w:hAnsi="Verdana"/>
        </w:rPr>
      </w:pPr>
      <w:r w:rsidRPr="00EC75B7">
        <w:rPr>
          <w:rFonts w:ascii="Verdana" w:hAnsi="Verdana"/>
        </w:rPr>
        <w:t xml:space="preserve">The limestone rocks of the canara type still preserve elements of characteristic vegetation with </w:t>
      </w:r>
      <w:r w:rsidRPr="00EC75B7">
        <w:rPr>
          <w:rFonts w:ascii="Verdana" w:hAnsi="Verdana"/>
          <w:i/>
        </w:rPr>
        <w:t>Agropyron cristatum</w:t>
      </w:r>
      <w:r w:rsidRPr="00EC75B7">
        <w:rPr>
          <w:rFonts w:ascii="Verdana" w:hAnsi="Verdana"/>
        </w:rPr>
        <w:t xml:space="preserve">, </w:t>
      </w:r>
      <w:r w:rsidRPr="00EC75B7">
        <w:rPr>
          <w:rFonts w:ascii="Verdana" w:hAnsi="Verdana"/>
          <w:i/>
        </w:rPr>
        <w:t>Satureja coerulea</w:t>
      </w:r>
      <w:r w:rsidRPr="00EC75B7">
        <w:rPr>
          <w:rFonts w:ascii="Verdana" w:hAnsi="Verdana"/>
        </w:rPr>
        <w:t xml:space="preserve">, </w:t>
      </w:r>
      <w:r w:rsidRPr="00EC75B7">
        <w:rPr>
          <w:rFonts w:ascii="Verdana" w:hAnsi="Verdana"/>
          <w:i/>
        </w:rPr>
        <w:t xml:space="preserve">Thymus </w:t>
      </w:r>
      <w:r w:rsidRPr="00EC75B7">
        <w:rPr>
          <w:rFonts w:ascii="Verdana" w:hAnsi="Verdana"/>
        </w:rPr>
        <w:t>sp.,</w:t>
      </w:r>
      <w:r w:rsidRPr="00EC75B7">
        <w:rPr>
          <w:rFonts w:ascii="Verdana" w:hAnsi="Verdana"/>
          <w:spacing w:val="38"/>
        </w:rPr>
        <w:t xml:space="preserve"> </w:t>
      </w:r>
      <w:r w:rsidRPr="00EC75B7">
        <w:rPr>
          <w:rFonts w:ascii="Verdana" w:hAnsi="Verdana"/>
        </w:rPr>
        <w:t xml:space="preserve">these areas, apparently unattractive to domestic animals, are affected by the passage of animals, vectors of dispersion and for alien plant species, such as </w:t>
      </w:r>
      <w:r w:rsidRPr="00EC75B7">
        <w:rPr>
          <w:rFonts w:ascii="Verdana" w:hAnsi="Verdana"/>
          <w:i/>
        </w:rPr>
        <w:t xml:space="preserve">Xanthium spinosum </w:t>
      </w:r>
      <w:r w:rsidRPr="00EC75B7">
        <w:rPr>
          <w:rFonts w:ascii="Verdana" w:hAnsi="Verdana"/>
        </w:rPr>
        <w:t>– an invasive alien species in our country, characteristic of degraded areas.</w:t>
      </w:r>
    </w:p>
    <w:p w14:paraId="1093B90E"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0E2EFABF" w14:textId="77777777" w:rsidR="008715BE" w:rsidRPr="00EC75B7" w:rsidRDefault="008715BE">
      <w:pPr>
        <w:pStyle w:val="BodyText"/>
        <w:spacing w:before="46"/>
        <w:rPr>
          <w:rFonts w:ascii="Verdana" w:hAnsi="Verdana"/>
        </w:rPr>
      </w:pPr>
    </w:p>
    <w:p w14:paraId="3B562EC1" w14:textId="77777777" w:rsidR="008715BE" w:rsidRPr="00EC75B7" w:rsidRDefault="00000000">
      <w:pPr>
        <w:pStyle w:val="BodyText"/>
        <w:spacing w:before="1" w:line="357" w:lineRule="auto"/>
        <w:ind w:left="794" w:right="846"/>
        <w:jc w:val="both"/>
        <w:rPr>
          <w:rFonts w:ascii="Verdana" w:hAnsi="Verdana"/>
        </w:rPr>
      </w:pPr>
      <w:r w:rsidRPr="00EC75B7">
        <w:rPr>
          <w:rFonts w:ascii="Verdana" w:hAnsi="Verdana"/>
        </w:rPr>
        <w:t xml:space="preserve">The meadow is crossed by a drainage canal that is mostly devoid of vegetation, with certain areas where excess moisture remains, allowing meso-hygrophilous species such as </w:t>
      </w:r>
      <w:r w:rsidRPr="00EC75B7">
        <w:rPr>
          <w:rFonts w:ascii="Verdana" w:hAnsi="Verdana"/>
          <w:i/>
        </w:rPr>
        <w:t xml:space="preserve">Chaiturus marrubiastrum </w:t>
      </w:r>
      <w:r w:rsidRPr="00EC75B7">
        <w:rPr>
          <w:rFonts w:ascii="Verdana" w:hAnsi="Verdana"/>
        </w:rPr>
        <w:t xml:space="preserve">to grow, as well as some allochthonous species such as </w:t>
      </w:r>
      <w:r w:rsidRPr="00EC75B7">
        <w:rPr>
          <w:rFonts w:ascii="Verdana" w:hAnsi="Verdana"/>
          <w:i/>
        </w:rPr>
        <w:t xml:space="preserve">Oenothera </w:t>
      </w:r>
      <w:r w:rsidRPr="00EC75B7">
        <w:rPr>
          <w:rFonts w:ascii="Verdana" w:hAnsi="Verdana"/>
        </w:rPr>
        <w:t>sp. (a taxon of South American origin).</w:t>
      </w:r>
    </w:p>
    <w:p w14:paraId="744C72E2" w14:textId="77777777" w:rsidR="008715BE" w:rsidRPr="00EC75B7" w:rsidRDefault="008715BE">
      <w:pPr>
        <w:pStyle w:val="BodyText"/>
        <w:spacing w:before="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678F3EB3" w14:textId="77777777">
        <w:trPr>
          <w:trHeight w:val="4102"/>
        </w:trPr>
        <w:tc>
          <w:tcPr>
            <w:tcW w:w="4857" w:type="dxa"/>
          </w:tcPr>
          <w:p w14:paraId="33E040F6"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14A2D02" wp14:editId="35AD5994">
                  <wp:extent cx="2990307" cy="2500312"/>
                  <wp:effectExtent l="0" t="0" r="0" b="0"/>
                  <wp:docPr id="131" name="Image 13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89" cstate="print"/>
                          <a:stretch>
                            <a:fillRect/>
                          </a:stretch>
                        </pic:blipFill>
                        <pic:spPr>
                          <a:xfrm>
                            <a:off x="0" y="0"/>
                            <a:ext cx="2990307" cy="2500312"/>
                          </a:xfrm>
                          <a:prstGeom prst="rect">
                            <a:avLst/>
                          </a:prstGeom>
                        </pic:spPr>
                      </pic:pic>
                    </a:graphicData>
                  </a:graphic>
                </wp:inline>
              </w:drawing>
            </w:r>
          </w:p>
        </w:tc>
        <w:tc>
          <w:tcPr>
            <w:tcW w:w="4858" w:type="dxa"/>
          </w:tcPr>
          <w:p w14:paraId="3D28F6C2"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565250EA" wp14:editId="2EF70C28">
                  <wp:extent cx="2991188" cy="2500312"/>
                  <wp:effectExtent l="0" t="0" r="0" b="0"/>
                  <wp:docPr id="132" name="Image 132"/>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90" cstate="print"/>
                          <a:stretch>
                            <a:fillRect/>
                          </a:stretch>
                        </pic:blipFill>
                        <pic:spPr>
                          <a:xfrm>
                            <a:off x="0" y="0"/>
                            <a:ext cx="2991188" cy="2500312"/>
                          </a:xfrm>
                          <a:prstGeom prst="rect">
                            <a:avLst/>
                          </a:prstGeom>
                        </pic:spPr>
                      </pic:pic>
                    </a:graphicData>
                  </a:graphic>
                </wp:inline>
              </w:drawing>
            </w:r>
          </w:p>
        </w:tc>
      </w:tr>
      <w:tr w:rsidR="008715BE" w:rsidRPr="00EC75B7" w14:paraId="12478F47" w14:textId="77777777">
        <w:trPr>
          <w:trHeight w:val="4230"/>
        </w:trPr>
        <w:tc>
          <w:tcPr>
            <w:tcW w:w="4857" w:type="dxa"/>
          </w:tcPr>
          <w:p w14:paraId="7D654B24" w14:textId="77777777" w:rsidR="008715BE" w:rsidRPr="00EC75B7" w:rsidRDefault="008715BE">
            <w:pPr>
              <w:pStyle w:val="TableParagraph"/>
              <w:spacing w:before="5"/>
              <w:rPr>
                <w:rFonts w:ascii="Verdana" w:hAnsi="Verdana"/>
                <w:sz w:val="18"/>
                <w:szCs w:val="18"/>
              </w:rPr>
            </w:pPr>
          </w:p>
          <w:p w14:paraId="3200966B"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569A2AA1" wp14:editId="736242FE">
                  <wp:extent cx="3001696" cy="2509837"/>
                  <wp:effectExtent l="0" t="0" r="0" b="0"/>
                  <wp:docPr id="133" name="Image 133"/>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91" cstate="print"/>
                          <a:stretch>
                            <a:fillRect/>
                          </a:stretch>
                        </pic:blipFill>
                        <pic:spPr>
                          <a:xfrm>
                            <a:off x="0" y="0"/>
                            <a:ext cx="3001696" cy="2509837"/>
                          </a:xfrm>
                          <a:prstGeom prst="rect">
                            <a:avLst/>
                          </a:prstGeom>
                        </pic:spPr>
                      </pic:pic>
                    </a:graphicData>
                  </a:graphic>
                </wp:inline>
              </w:drawing>
            </w:r>
          </w:p>
        </w:tc>
        <w:tc>
          <w:tcPr>
            <w:tcW w:w="4858" w:type="dxa"/>
          </w:tcPr>
          <w:p w14:paraId="5B9767E7" w14:textId="77777777" w:rsidR="008715BE" w:rsidRPr="00EC75B7" w:rsidRDefault="008715BE">
            <w:pPr>
              <w:pStyle w:val="TableParagraph"/>
              <w:spacing w:before="5"/>
              <w:rPr>
                <w:rFonts w:ascii="Verdana" w:hAnsi="Verdana"/>
                <w:sz w:val="18"/>
                <w:szCs w:val="18"/>
              </w:rPr>
            </w:pPr>
          </w:p>
          <w:p w14:paraId="5A79EB5F"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1BB108AE" wp14:editId="71A6BF2B">
                  <wp:extent cx="2991159" cy="2500312"/>
                  <wp:effectExtent l="0" t="0" r="0" b="0"/>
                  <wp:docPr id="134" name="Image 134"/>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92" cstate="print"/>
                          <a:stretch>
                            <a:fillRect/>
                          </a:stretch>
                        </pic:blipFill>
                        <pic:spPr>
                          <a:xfrm>
                            <a:off x="0" y="0"/>
                            <a:ext cx="2991159" cy="2500312"/>
                          </a:xfrm>
                          <a:prstGeom prst="rect">
                            <a:avLst/>
                          </a:prstGeom>
                        </pic:spPr>
                      </pic:pic>
                    </a:graphicData>
                  </a:graphic>
                </wp:inline>
              </w:drawing>
            </w:r>
          </w:p>
        </w:tc>
      </w:tr>
      <w:tr w:rsidR="008715BE" w:rsidRPr="00EC75B7" w14:paraId="3B141F07" w14:textId="77777777">
        <w:trPr>
          <w:trHeight w:val="4102"/>
        </w:trPr>
        <w:tc>
          <w:tcPr>
            <w:tcW w:w="4857" w:type="dxa"/>
          </w:tcPr>
          <w:p w14:paraId="5E50629E" w14:textId="77777777" w:rsidR="008715BE" w:rsidRPr="00EC75B7" w:rsidRDefault="008715BE">
            <w:pPr>
              <w:pStyle w:val="TableParagraph"/>
              <w:spacing w:before="5"/>
              <w:rPr>
                <w:rFonts w:ascii="Verdana" w:hAnsi="Verdana"/>
                <w:sz w:val="18"/>
                <w:szCs w:val="18"/>
              </w:rPr>
            </w:pPr>
          </w:p>
          <w:p w14:paraId="4CE440B5"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500CB29" wp14:editId="2A7EA529">
                  <wp:extent cx="3014106" cy="2520315"/>
                  <wp:effectExtent l="0" t="0" r="0" b="0"/>
                  <wp:docPr id="135" name="Image 135"/>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3" cstate="print"/>
                          <a:stretch>
                            <a:fillRect/>
                          </a:stretch>
                        </pic:blipFill>
                        <pic:spPr>
                          <a:xfrm>
                            <a:off x="0" y="0"/>
                            <a:ext cx="3014106" cy="2520315"/>
                          </a:xfrm>
                          <a:prstGeom prst="rect">
                            <a:avLst/>
                          </a:prstGeom>
                        </pic:spPr>
                      </pic:pic>
                    </a:graphicData>
                  </a:graphic>
                </wp:inline>
              </w:drawing>
            </w:r>
          </w:p>
        </w:tc>
        <w:tc>
          <w:tcPr>
            <w:tcW w:w="4858" w:type="dxa"/>
          </w:tcPr>
          <w:p w14:paraId="6B933C83" w14:textId="77777777" w:rsidR="008715BE" w:rsidRPr="00EC75B7" w:rsidRDefault="008715BE">
            <w:pPr>
              <w:pStyle w:val="TableParagraph"/>
              <w:spacing w:before="8"/>
              <w:rPr>
                <w:rFonts w:ascii="Verdana" w:hAnsi="Verdana"/>
                <w:sz w:val="18"/>
                <w:szCs w:val="18"/>
              </w:rPr>
            </w:pPr>
          </w:p>
          <w:p w14:paraId="0A8568DA"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5792D163" wp14:editId="3677A559">
                  <wp:extent cx="3015777" cy="2511456"/>
                  <wp:effectExtent l="0" t="0" r="0" b="0"/>
                  <wp:docPr id="136" name="Image 136"/>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94" cstate="print"/>
                          <a:stretch>
                            <a:fillRect/>
                          </a:stretch>
                        </pic:blipFill>
                        <pic:spPr>
                          <a:xfrm>
                            <a:off x="0" y="0"/>
                            <a:ext cx="3015777" cy="2511456"/>
                          </a:xfrm>
                          <a:prstGeom prst="rect">
                            <a:avLst/>
                          </a:prstGeom>
                        </pic:spPr>
                      </pic:pic>
                    </a:graphicData>
                  </a:graphic>
                </wp:inline>
              </w:drawing>
            </w:r>
          </w:p>
        </w:tc>
      </w:tr>
    </w:tbl>
    <w:p w14:paraId="0DF7335A" w14:textId="77777777" w:rsidR="008715BE" w:rsidRPr="00EC75B7" w:rsidRDefault="008715BE">
      <w:pPr>
        <w:pStyle w:val="TableParagraph"/>
        <w:rPr>
          <w:rFonts w:ascii="Verdana" w:hAnsi="Verdana"/>
          <w:sz w:val="18"/>
          <w:szCs w:val="18"/>
        </w:rPr>
        <w:sectPr w:rsidR="008715BE" w:rsidRPr="00EC75B7">
          <w:pgSz w:w="11910" w:h="16840"/>
          <w:pgMar w:top="1160" w:right="141" w:bottom="1020" w:left="425" w:header="766" w:footer="797" w:gutter="0"/>
          <w:cols w:space="708"/>
        </w:sectPr>
      </w:pPr>
    </w:p>
    <w:p w14:paraId="5F79B512" w14:textId="77777777" w:rsidR="008715BE" w:rsidRPr="00EC75B7" w:rsidRDefault="008715BE">
      <w:pPr>
        <w:pStyle w:val="BodyText"/>
        <w:spacing w:before="133"/>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779369C7" w14:textId="77777777">
        <w:trPr>
          <w:trHeight w:val="4080"/>
        </w:trPr>
        <w:tc>
          <w:tcPr>
            <w:tcW w:w="4857" w:type="dxa"/>
          </w:tcPr>
          <w:p w14:paraId="5B246847"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70F0DC4" wp14:editId="078FE828">
                  <wp:extent cx="3003278" cy="2501741"/>
                  <wp:effectExtent l="0" t="0" r="0" b="0"/>
                  <wp:docPr id="137" name="Image 137"/>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5" cstate="print"/>
                          <a:stretch>
                            <a:fillRect/>
                          </a:stretch>
                        </pic:blipFill>
                        <pic:spPr>
                          <a:xfrm>
                            <a:off x="0" y="0"/>
                            <a:ext cx="3003278" cy="2501741"/>
                          </a:xfrm>
                          <a:prstGeom prst="rect">
                            <a:avLst/>
                          </a:prstGeom>
                        </pic:spPr>
                      </pic:pic>
                    </a:graphicData>
                  </a:graphic>
                </wp:inline>
              </w:drawing>
            </w:r>
          </w:p>
        </w:tc>
        <w:tc>
          <w:tcPr>
            <w:tcW w:w="4858" w:type="dxa"/>
          </w:tcPr>
          <w:p w14:paraId="1EC1457C"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36C9F2BD" wp14:editId="7C721CF1">
                  <wp:extent cx="2998284" cy="2496883"/>
                  <wp:effectExtent l="0" t="0" r="0" b="0"/>
                  <wp:docPr id="138" name="Image 138"/>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6" cstate="print"/>
                          <a:stretch>
                            <a:fillRect/>
                          </a:stretch>
                        </pic:blipFill>
                        <pic:spPr>
                          <a:xfrm>
                            <a:off x="0" y="0"/>
                            <a:ext cx="2998284" cy="2496883"/>
                          </a:xfrm>
                          <a:prstGeom prst="rect">
                            <a:avLst/>
                          </a:prstGeom>
                        </pic:spPr>
                      </pic:pic>
                    </a:graphicData>
                  </a:graphic>
                </wp:inline>
              </w:drawing>
            </w:r>
          </w:p>
        </w:tc>
      </w:tr>
      <w:tr w:rsidR="008715BE" w:rsidRPr="00EC75B7" w14:paraId="75D9AED9" w14:textId="77777777">
        <w:trPr>
          <w:trHeight w:val="4079"/>
        </w:trPr>
        <w:tc>
          <w:tcPr>
            <w:tcW w:w="4857" w:type="dxa"/>
          </w:tcPr>
          <w:p w14:paraId="6D4DFF49" w14:textId="77777777" w:rsidR="008715BE" w:rsidRPr="00EC75B7" w:rsidRDefault="008715BE">
            <w:pPr>
              <w:pStyle w:val="TableParagraph"/>
              <w:spacing w:before="10"/>
              <w:rPr>
                <w:rFonts w:ascii="Verdana" w:hAnsi="Verdana"/>
                <w:sz w:val="18"/>
                <w:szCs w:val="18"/>
              </w:rPr>
            </w:pPr>
          </w:p>
          <w:p w14:paraId="6447876F"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40CD330D" wp14:editId="1B2C49F9">
                  <wp:extent cx="3003279" cy="2501741"/>
                  <wp:effectExtent l="0" t="0" r="0" b="0"/>
                  <wp:docPr id="139" name="Image 139"/>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7" cstate="print"/>
                          <a:stretch>
                            <a:fillRect/>
                          </a:stretch>
                        </pic:blipFill>
                        <pic:spPr>
                          <a:xfrm>
                            <a:off x="0" y="0"/>
                            <a:ext cx="3003279" cy="2501741"/>
                          </a:xfrm>
                          <a:prstGeom prst="rect">
                            <a:avLst/>
                          </a:prstGeom>
                        </pic:spPr>
                      </pic:pic>
                    </a:graphicData>
                  </a:graphic>
                </wp:inline>
              </w:drawing>
            </w:r>
          </w:p>
        </w:tc>
        <w:tc>
          <w:tcPr>
            <w:tcW w:w="4858" w:type="dxa"/>
          </w:tcPr>
          <w:p w14:paraId="2723872A" w14:textId="77777777" w:rsidR="008715BE" w:rsidRPr="00EC75B7" w:rsidRDefault="008715BE">
            <w:pPr>
              <w:pStyle w:val="TableParagraph"/>
              <w:spacing w:before="10"/>
              <w:rPr>
                <w:rFonts w:ascii="Verdana" w:hAnsi="Verdana"/>
                <w:sz w:val="18"/>
                <w:szCs w:val="18"/>
              </w:rPr>
            </w:pPr>
          </w:p>
          <w:p w14:paraId="190527EF"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0D1E9D8B" wp14:editId="6A8E86EE">
                  <wp:extent cx="3004163" cy="2501741"/>
                  <wp:effectExtent l="0" t="0" r="0" b="0"/>
                  <wp:docPr id="140" name="Image 140"/>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98" cstate="print"/>
                          <a:stretch>
                            <a:fillRect/>
                          </a:stretch>
                        </pic:blipFill>
                        <pic:spPr>
                          <a:xfrm>
                            <a:off x="0" y="0"/>
                            <a:ext cx="3004163" cy="2501741"/>
                          </a:xfrm>
                          <a:prstGeom prst="rect">
                            <a:avLst/>
                          </a:prstGeom>
                        </pic:spPr>
                      </pic:pic>
                    </a:graphicData>
                  </a:graphic>
                </wp:inline>
              </w:drawing>
            </w:r>
          </w:p>
        </w:tc>
      </w:tr>
    </w:tbl>
    <w:p w14:paraId="3B15AF6C" w14:textId="77777777" w:rsidR="008715BE" w:rsidRPr="00EC75B7" w:rsidRDefault="00000000">
      <w:pPr>
        <w:spacing w:before="131"/>
        <w:ind w:right="58"/>
        <w:jc w:val="center"/>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26 </w:t>
      </w:r>
      <w:r w:rsidRPr="00EC75B7">
        <w:rPr>
          <w:rFonts w:ascii="Verdana" w:hAnsi="Verdana"/>
          <w:b/>
          <w:color w:val="009DEF"/>
          <w:sz w:val="18"/>
          <w:szCs w:val="18"/>
        </w:rPr>
        <w:t xml:space="preserve">Aspects of the analyzed areas regarding </w:t>
      </w:r>
      <w:r w:rsidRPr="00EC75B7">
        <w:rPr>
          <w:rFonts w:ascii="Verdana" w:hAnsi="Verdana"/>
          <w:b/>
          <w:color w:val="009DEF"/>
          <w:spacing w:val="-2"/>
          <w:sz w:val="18"/>
          <w:szCs w:val="18"/>
        </w:rPr>
        <w:t xml:space="preserve">meadow </w:t>
      </w:r>
      <w:r w:rsidRPr="00EC75B7">
        <w:rPr>
          <w:rFonts w:ascii="Verdana" w:hAnsi="Verdana"/>
          <w:b/>
          <w:color w:val="009DEF"/>
          <w:sz w:val="18"/>
          <w:szCs w:val="18"/>
        </w:rPr>
        <w:t>vegetation</w:t>
      </w:r>
    </w:p>
    <w:p w14:paraId="49F78DFD" w14:textId="77777777" w:rsidR="008715BE" w:rsidRPr="00EC75B7" w:rsidRDefault="008715BE">
      <w:pPr>
        <w:pStyle w:val="BodyText"/>
        <w:rPr>
          <w:rFonts w:ascii="Verdana" w:hAnsi="Verdana"/>
          <w:b/>
        </w:rPr>
      </w:pPr>
    </w:p>
    <w:p w14:paraId="390EEEE3" w14:textId="77777777" w:rsidR="008715BE" w:rsidRPr="00EC75B7" w:rsidRDefault="008715BE">
      <w:pPr>
        <w:pStyle w:val="BodyText"/>
        <w:rPr>
          <w:rFonts w:ascii="Verdana" w:hAnsi="Verdana"/>
          <w:b/>
        </w:rPr>
      </w:pPr>
    </w:p>
    <w:p w14:paraId="0CEF5B5A" w14:textId="77777777" w:rsidR="008715BE" w:rsidRPr="00EC75B7" w:rsidRDefault="008715BE">
      <w:pPr>
        <w:pStyle w:val="BodyText"/>
        <w:spacing w:before="42"/>
        <w:rPr>
          <w:rFonts w:ascii="Verdana" w:hAnsi="Verdana"/>
          <w:b/>
        </w:rPr>
      </w:pPr>
    </w:p>
    <w:p w14:paraId="559039DA" w14:textId="77777777" w:rsidR="008715BE" w:rsidRPr="00EC75B7" w:rsidRDefault="00000000">
      <w:pPr>
        <w:pStyle w:val="BodyText"/>
        <w:spacing w:line="357" w:lineRule="auto"/>
        <w:ind w:left="794" w:right="847"/>
        <w:jc w:val="both"/>
        <w:rPr>
          <w:rFonts w:ascii="Verdana" w:hAnsi="Verdana"/>
        </w:rPr>
      </w:pPr>
      <w:r w:rsidRPr="00EC75B7">
        <w:rPr>
          <w:rFonts w:ascii="Verdana" w:hAnsi="Verdana"/>
        </w:rPr>
        <w:t xml:space="preserve">An obvious effect of the degree of use and degradation of the grassland is the presence of habitat R8702 Anthropogenic communities with </w:t>
      </w:r>
      <w:r w:rsidRPr="00EC75B7">
        <w:rPr>
          <w:rFonts w:ascii="Verdana" w:hAnsi="Verdana"/>
          <w:i/>
        </w:rPr>
        <w:t xml:space="preserve">Onopordum acanthium, Carduus nutans, and Centaurea calcitrapa </w:t>
      </w:r>
      <w:r w:rsidRPr="00EC75B7">
        <w:rPr>
          <w:rFonts w:ascii="Verdana" w:hAnsi="Verdana"/>
        </w:rPr>
        <w:t xml:space="preserve">(Doniţă et al. 2005). This is defined by areas where </w:t>
      </w:r>
      <w:r w:rsidRPr="00EC75B7">
        <w:rPr>
          <w:rFonts w:ascii="Verdana" w:hAnsi="Verdana"/>
          <w:i/>
        </w:rPr>
        <w:t xml:space="preserve">Carduus and Onopordon </w:t>
      </w:r>
      <w:r w:rsidRPr="00EC75B7">
        <w:rPr>
          <w:rFonts w:ascii="Verdana" w:hAnsi="Verdana"/>
        </w:rPr>
        <w:t>species are highly distributed</w:t>
      </w:r>
      <w:r w:rsidRPr="00EC75B7">
        <w:rPr>
          <w:rFonts w:ascii="Verdana" w:hAnsi="Verdana"/>
          <w:spacing w:val="-1"/>
        </w:rPr>
        <w:t xml:space="preserve"> </w:t>
      </w:r>
      <w:r w:rsidRPr="00EC75B7">
        <w:rPr>
          <w:rFonts w:ascii="Verdana" w:hAnsi="Verdana"/>
        </w:rPr>
        <w:t xml:space="preserve">(observed especially near localities), has high coverage of 70-80% forming thickets (brambles) that prevent the development of natural native vegetation It is a source of food at the end of the summer season and in the autumn season for species of the order </w:t>
      </w:r>
      <w:r w:rsidRPr="00EC75B7">
        <w:rPr>
          <w:rFonts w:ascii="Verdana" w:hAnsi="Verdana"/>
          <w:i/>
        </w:rPr>
        <w:t>Passeriformes</w:t>
      </w:r>
      <w:r w:rsidRPr="00EC75B7">
        <w:rPr>
          <w:rFonts w:ascii="Verdana" w:hAnsi="Verdana"/>
        </w:rPr>
        <w:t>, migratory or sedentary.</w:t>
      </w:r>
    </w:p>
    <w:p w14:paraId="190835D7"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6B06442E" w14:textId="77777777" w:rsidR="008715BE" w:rsidRPr="00EC75B7" w:rsidRDefault="008715BE">
      <w:pPr>
        <w:pStyle w:val="BodyText"/>
        <w:spacing w:before="133"/>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09D91242" w14:textId="77777777">
        <w:trPr>
          <w:trHeight w:val="4102"/>
        </w:trPr>
        <w:tc>
          <w:tcPr>
            <w:tcW w:w="4857" w:type="dxa"/>
          </w:tcPr>
          <w:p w14:paraId="6A729910" w14:textId="77777777" w:rsidR="008715BE" w:rsidRPr="00EC75B7" w:rsidRDefault="00000000">
            <w:pPr>
              <w:pStyle w:val="TableParagraph"/>
              <w:ind w:left="50" w:right="-15"/>
              <w:rPr>
                <w:rFonts w:ascii="Verdana" w:hAnsi="Verdana"/>
                <w:sz w:val="18"/>
                <w:szCs w:val="18"/>
              </w:rPr>
            </w:pPr>
            <w:r w:rsidRPr="00EC75B7">
              <w:rPr>
                <w:rFonts w:ascii="Verdana" w:hAnsi="Verdana"/>
                <w:noProof/>
                <w:sz w:val="18"/>
                <w:szCs w:val="18"/>
              </w:rPr>
              <w:drawing>
                <wp:inline distT="0" distB="0" distL="0" distR="0" wp14:anchorId="78DB4375" wp14:editId="0EB7C808">
                  <wp:extent cx="3030942" cy="2534316"/>
                  <wp:effectExtent l="0" t="0" r="0" b="0"/>
                  <wp:docPr id="141" name="Image 141"/>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9" cstate="print"/>
                          <a:stretch>
                            <a:fillRect/>
                          </a:stretch>
                        </pic:blipFill>
                        <pic:spPr>
                          <a:xfrm>
                            <a:off x="0" y="0"/>
                            <a:ext cx="3030942" cy="2534316"/>
                          </a:xfrm>
                          <a:prstGeom prst="rect">
                            <a:avLst/>
                          </a:prstGeom>
                        </pic:spPr>
                      </pic:pic>
                    </a:graphicData>
                  </a:graphic>
                </wp:inline>
              </w:drawing>
            </w:r>
          </w:p>
        </w:tc>
        <w:tc>
          <w:tcPr>
            <w:tcW w:w="4858" w:type="dxa"/>
          </w:tcPr>
          <w:p w14:paraId="4966DA7F" w14:textId="77777777" w:rsidR="008715BE" w:rsidRPr="00EC75B7" w:rsidRDefault="00000000">
            <w:pPr>
              <w:pStyle w:val="TableParagraph"/>
              <w:ind w:left="54" w:right="-15"/>
              <w:rPr>
                <w:rFonts w:ascii="Verdana" w:hAnsi="Verdana"/>
                <w:sz w:val="18"/>
                <w:szCs w:val="18"/>
              </w:rPr>
            </w:pPr>
            <w:r w:rsidRPr="00EC75B7">
              <w:rPr>
                <w:rFonts w:ascii="Verdana" w:hAnsi="Verdana"/>
                <w:noProof/>
                <w:sz w:val="18"/>
                <w:szCs w:val="18"/>
              </w:rPr>
              <w:drawing>
                <wp:inline distT="0" distB="0" distL="0" distR="0" wp14:anchorId="3B819D5E" wp14:editId="767EFD68">
                  <wp:extent cx="3026105" cy="2529649"/>
                  <wp:effectExtent l="0" t="0" r="0" b="0"/>
                  <wp:docPr id="142" name="Image 142"/>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0" cstate="print"/>
                          <a:stretch>
                            <a:fillRect/>
                          </a:stretch>
                        </pic:blipFill>
                        <pic:spPr>
                          <a:xfrm>
                            <a:off x="0" y="0"/>
                            <a:ext cx="3026105" cy="2529649"/>
                          </a:xfrm>
                          <a:prstGeom prst="rect">
                            <a:avLst/>
                          </a:prstGeom>
                        </pic:spPr>
                      </pic:pic>
                    </a:graphicData>
                  </a:graphic>
                </wp:inline>
              </w:drawing>
            </w:r>
          </w:p>
        </w:tc>
      </w:tr>
      <w:tr w:rsidR="008715BE" w:rsidRPr="00EC75B7" w14:paraId="72BB089A" w14:textId="77777777">
        <w:trPr>
          <w:trHeight w:val="4230"/>
        </w:trPr>
        <w:tc>
          <w:tcPr>
            <w:tcW w:w="4857" w:type="dxa"/>
          </w:tcPr>
          <w:p w14:paraId="679E1277" w14:textId="77777777" w:rsidR="008715BE" w:rsidRPr="00EC75B7" w:rsidRDefault="008715BE">
            <w:pPr>
              <w:pStyle w:val="TableParagraph"/>
              <w:spacing w:before="5"/>
              <w:rPr>
                <w:rFonts w:ascii="Verdana" w:hAnsi="Verdana"/>
                <w:sz w:val="18"/>
                <w:szCs w:val="18"/>
              </w:rPr>
            </w:pPr>
          </w:p>
          <w:p w14:paraId="36374AAE"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00CC6BF5" wp14:editId="3D563C25">
                  <wp:extent cx="3001696" cy="2509837"/>
                  <wp:effectExtent l="0" t="0" r="0" b="0"/>
                  <wp:docPr id="143" name="Image 143"/>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1" cstate="print"/>
                          <a:stretch>
                            <a:fillRect/>
                          </a:stretch>
                        </pic:blipFill>
                        <pic:spPr>
                          <a:xfrm>
                            <a:off x="0" y="0"/>
                            <a:ext cx="3001696" cy="2509837"/>
                          </a:xfrm>
                          <a:prstGeom prst="rect">
                            <a:avLst/>
                          </a:prstGeom>
                        </pic:spPr>
                      </pic:pic>
                    </a:graphicData>
                  </a:graphic>
                </wp:inline>
              </w:drawing>
            </w:r>
          </w:p>
        </w:tc>
        <w:tc>
          <w:tcPr>
            <w:tcW w:w="4858" w:type="dxa"/>
          </w:tcPr>
          <w:p w14:paraId="0238BAD3" w14:textId="77777777" w:rsidR="008715BE" w:rsidRPr="00EC75B7" w:rsidRDefault="008715BE">
            <w:pPr>
              <w:pStyle w:val="TableParagraph"/>
              <w:spacing w:before="5"/>
              <w:rPr>
                <w:rFonts w:ascii="Verdana" w:hAnsi="Verdana"/>
                <w:sz w:val="18"/>
                <w:szCs w:val="18"/>
              </w:rPr>
            </w:pPr>
          </w:p>
          <w:p w14:paraId="5563DA50"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304E1C61" wp14:editId="3FA37860">
                  <wp:extent cx="2991159" cy="2500312"/>
                  <wp:effectExtent l="0" t="0" r="0" b="0"/>
                  <wp:docPr id="144" name="Image 144"/>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02" cstate="print"/>
                          <a:stretch>
                            <a:fillRect/>
                          </a:stretch>
                        </pic:blipFill>
                        <pic:spPr>
                          <a:xfrm>
                            <a:off x="0" y="0"/>
                            <a:ext cx="2991159" cy="2500312"/>
                          </a:xfrm>
                          <a:prstGeom prst="rect">
                            <a:avLst/>
                          </a:prstGeom>
                        </pic:spPr>
                      </pic:pic>
                    </a:graphicData>
                  </a:graphic>
                </wp:inline>
              </w:drawing>
            </w:r>
          </w:p>
        </w:tc>
      </w:tr>
      <w:tr w:rsidR="008715BE" w:rsidRPr="00EC75B7" w14:paraId="77A461B7" w14:textId="77777777">
        <w:trPr>
          <w:trHeight w:val="4087"/>
        </w:trPr>
        <w:tc>
          <w:tcPr>
            <w:tcW w:w="4857" w:type="dxa"/>
          </w:tcPr>
          <w:p w14:paraId="0C45EF1D" w14:textId="77777777" w:rsidR="008715BE" w:rsidRPr="00EC75B7" w:rsidRDefault="008715BE">
            <w:pPr>
              <w:pStyle w:val="TableParagraph"/>
              <w:spacing w:before="5"/>
              <w:rPr>
                <w:rFonts w:ascii="Verdana" w:hAnsi="Verdana"/>
                <w:sz w:val="18"/>
                <w:szCs w:val="18"/>
              </w:rPr>
            </w:pPr>
          </w:p>
          <w:p w14:paraId="71F2E60D"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7D4DCB1F" wp14:editId="2C7652B5">
                  <wp:extent cx="2961622" cy="2466975"/>
                  <wp:effectExtent l="0" t="0" r="0" b="0"/>
                  <wp:docPr id="145" name="Image 145"/>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3" cstate="print"/>
                          <a:stretch>
                            <a:fillRect/>
                          </a:stretch>
                        </pic:blipFill>
                        <pic:spPr>
                          <a:xfrm>
                            <a:off x="0" y="0"/>
                            <a:ext cx="2961622" cy="2466975"/>
                          </a:xfrm>
                          <a:prstGeom prst="rect">
                            <a:avLst/>
                          </a:prstGeom>
                        </pic:spPr>
                      </pic:pic>
                    </a:graphicData>
                  </a:graphic>
                </wp:inline>
              </w:drawing>
            </w:r>
          </w:p>
        </w:tc>
        <w:tc>
          <w:tcPr>
            <w:tcW w:w="4858" w:type="dxa"/>
          </w:tcPr>
          <w:p w14:paraId="0E707B9C" w14:textId="77777777" w:rsidR="008715BE" w:rsidRPr="00EC75B7" w:rsidRDefault="008715BE">
            <w:pPr>
              <w:pStyle w:val="TableParagraph"/>
              <w:spacing w:before="5"/>
              <w:rPr>
                <w:rFonts w:ascii="Verdana" w:hAnsi="Verdana"/>
                <w:sz w:val="18"/>
                <w:szCs w:val="18"/>
              </w:rPr>
            </w:pPr>
          </w:p>
          <w:p w14:paraId="0C42BEF5"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524FB9B4" wp14:editId="579400F6">
                  <wp:extent cx="3004163" cy="2501741"/>
                  <wp:effectExtent l="0" t="0" r="0" b="0"/>
                  <wp:docPr id="146" name="Image 146"/>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4" cstate="print"/>
                          <a:stretch>
                            <a:fillRect/>
                          </a:stretch>
                        </pic:blipFill>
                        <pic:spPr>
                          <a:xfrm>
                            <a:off x="0" y="0"/>
                            <a:ext cx="3004163" cy="2501741"/>
                          </a:xfrm>
                          <a:prstGeom prst="rect">
                            <a:avLst/>
                          </a:prstGeom>
                        </pic:spPr>
                      </pic:pic>
                    </a:graphicData>
                  </a:graphic>
                </wp:inline>
              </w:drawing>
            </w:r>
          </w:p>
        </w:tc>
      </w:tr>
    </w:tbl>
    <w:p w14:paraId="7845A9D4" w14:textId="77777777" w:rsidR="008715BE" w:rsidRPr="00EC75B7" w:rsidRDefault="00000000">
      <w:pPr>
        <w:spacing w:before="132" w:line="357" w:lineRule="auto"/>
        <w:ind w:left="2947" w:right="942" w:hanging="2064"/>
        <w:jc w:val="both"/>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27 </w:t>
      </w:r>
      <w:r w:rsidRPr="00EC75B7">
        <w:rPr>
          <w:rFonts w:ascii="Verdana" w:hAnsi="Verdana"/>
          <w:b/>
          <w:color w:val="009DEF"/>
          <w:sz w:val="18"/>
          <w:szCs w:val="18"/>
        </w:rPr>
        <w:t xml:space="preserve">Aspects of areas affected by grazing, where ruderal species predominate and </w:t>
      </w:r>
      <w:r w:rsidRPr="00EC75B7">
        <w:rPr>
          <w:rFonts w:ascii="Verdana" w:hAnsi="Verdana"/>
          <w:b/>
          <w:color w:val="009DEF"/>
          <w:spacing w:val="-2"/>
          <w:sz w:val="18"/>
          <w:szCs w:val="18"/>
        </w:rPr>
        <w:t xml:space="preserve">invasive alien species (e.g., </w:t>
      </w:r>
      <w:r w:rsidRPr="00EC75B7">
        <w:rPr>
          <w:rFonts w:ascii="Verdana" w:hAnsi="Verdana"/>
          <w:b/>
          <w:i/>
          <w:color w:val="009DEF"/>
          <w:spacing w:val="-2"/>
          <w:sz w:val="18"/>
          <w:szCs w:val="18"/>
        </w:rPr>
        <w:t>Xanthium spinosum</w:t>
      </w:r>
      <w:r w:rsidRPr="00EC75B7">
        <w:rPr>
          <w:rFonts w:ascii="Verdana" w:hAnsi="Verdana"/>
          <w:b/>
          <w:color w:val="009DEF"/>
          <w:spacing w:val="-2"/>
          <w:sz w:val="18"/>
          <w:szCs w:val="18"/>
        </w:rPr>
        <w:t>) grow</w:t>
      </w:r>
      <w:r w:rsidRPr="00EC75B7">
        <w:rPr>
          <w:rFonts w:ascii="Verdana" w:hAnsi="Verdana"/>
          <w:b/>
          <w:color w:val="009DEF"/>
          <w:sz w:val="18"/>
          <w:szCs w:val="18"/>
        </w:rPr>
        <w:t xml:space="preserve"> in places.</w:t>
      </w:r>
    </w:p>
    <w:p w14:paraId="23913010" w14:textId="77777777" w:rsidR="008715BE" w:rsidRPr="00EC75B7" w:rsidRDefault="00000000">
      <w:pPr>
        <w:pStyle w:val="BodyText"/>
        <w:spacing w:before="121" w:line="357" w:lineRule="auto"/>
        <w:ind w:left="765" w:right="847"/>
        <w:jc w:val="both"/>
        <w:rPr>
          <w:rFonts w:ascii="Verdana" w:hAnsi="Verdana"/>
        </w:rPr>
      </w:pPr>
      <w:r w:rsidRPr="00EC75B7">
        <w:rPr>
          <w:rFonts w:ascii="Verdana" w:hAnsi="Verdana"/>
        </w:rPr>
        <w:t xml:space="preserve">Although the main use of the grassland is as pasture, it is also a refuge for numerous species of wildlife, some of which are protected (e.g. </w:t>
      </w:r>
      <w:r w:rsidRPr="00EC75B7">
        <w:rPr>
          <w:rFonts w:ascii="Verdana" w:hAnsi="Verdana"/>
          <w:i/>
        </w:rPr>
        <w:t>Spermophilus citellus</w:t>
      </w:r>
      <w:r w:rsidRPr="00EC75B7">
        <w:rPr>
          <w:rFonts w:ascii="Verdana" w:hAnsi="Verdana"/>
        </w:rPr>
        <w:t>), due to the plant species that form the trophic base, but also due to its role as a breeding habitat. The vegetation of the grassland</w:t>
      </w:r>
    </w:p>
    <w:p w14:paraId="13EDAE02"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20392E30" w14:textId="77777777" w:rsidR="008715BE" w:rsidRPr="00EC75B7" w:rsidRDefault="008715BE">
      <w:pPr>
        <w:pStyle w:val="BodyText"/>
        <w:spacing w:before="46"/>
        <w:rPr>
          <w:rFonts w:ascii="Verdana" w:hAnsi="Verdana"/>
        </w:rPr>
      </w:pPr>
    </w:p>
    <w:p w14:paraId="4CADA866" w14:textId="77777777" w:rsidR="008715BE" w:rsidRPr="00EC75B7" w:rsidRDefault="00000000">
      <w:pPr>
        <w:pStyle w:val="BodyText"/>
        <w:spacing w:before="1" w:line="360" w:lineRule="auto"/>
        <w:ind w:left="765" w:right="857"/>
        <w:jc w:val="both"/>
        <w:rPr>
          <w:rFonts w:ascii="Verdana" w:hAnsi="Verdana"/>
        </w:rPr>
      </w:pPr>
      <w:r w:rsidRPr="00EC75B7">
        <w:rPr>
          <w:rFonts w:ascii="Verdana" w:hAnsi="Verdana"/>
        </w:rPr>
        <w:t>is clearly affected by grazing, with the land being heavily ruderalized due to its use as common grazing land, which reduces its conservation value, with the presence of alien taxa contributing to this situation.</w:t>
      </w:r>
    </w:p>
    <w:p w14:paraId="3D223D67" w14:textId="77777777" w:rsidR="008715BE" w:rsidRPr="00EC75B7" w:rsidRDefault="00000000">
      <w:pPr>
        <w:pStyle w:val="Heading5"/>
        <w:spacing w:before="116"/>
        <w:ind w:left="765"/>
        <w:rPr>
          <w:rFonts w:ascii="Verdana" w:hAnsi="Verdana"/>
        </w:rPr>
      </w:pPr>
      <w:r w:rsidRPr="00EC75B7">
        <w:rPr>
          <w:rFonts w:ascii="Verdana" w:hAnsi="Verdana"/>
        </w:rPr>
        <w:t xml:space="preserve">The grassland area east of the village of Căscioarele (not identified by </w:t>
      </w:r>
      <w:r w:rsidRPr="00EC75B7">
        <w:rPr>
          <w:rFonts w:ascii="Verdana" w:hAnsi="Verdana"/>
          <w:spacing w:val="-2"/>
        </w:rPr>
        <w:t>CLC2018)</w:t>
      </w:r>
    </w:p>
    <w:p w14:paraId="659A64EB" w14:textId="77777777" w:rsidR="008715BE" w:rsidRPr="00EC75B7" w:rsidRDefault="008715BE">
      <w:pPr>
        <w:pStyle w:val="BodyText"/>
        <w:rPr>
          <w:rFonts w:ascii="Verdana" w:hAnsi="Verdana"/>
          <w:b/>
        </w:rPr>
      </w:pPr>
    </w:p>
    <w:p w14:paraId="6F1E76AA" w14:textId="77777777" w:rsidR="008715BE" w:rsidRPr="00EC75B7" w:rsidRDefault="00000000">
      <w:pPr>
        <w:pStyle w:val="BodyText"/>
        <w:spacing w:line="357" w:lineRule="auto"/>
        <w:ind w:left="765" w:right="846"/>
        <w:jc w:val="both"/>
        <w:rPr>
          <w:rFonts w:ascii="Verdana" w:hAnsi="Verdana"/>
        </w:rPr>
      </w:pPr>
      <w:r w:rsidRPr="00EC75B7">
        <w:rPr>
          <w:rFonts w:ascii="Verdana" w:hAnsi="Verdana"/>
        </w:rPr>
        <w:t xml:space="preserve">This grassland area is used as pasture for sheep, with a sheepfold located nearby. In this grassland area, the vegetation is predominantly segetal and ruderal (with rare elements of spontaneous xerophilous steppe vegetation), consisting of the following 41 taxa. Spring annuals are replaced by vegetation specific to the summer season. The highest proportion is held by representatives of </w:t>
      </w:r>
      <w:r w:rsidRPr="00EC75B7">
        <w:rPr>
          <w:rFonts w:ascii="Verdana" w:hAnsi="Verdana"/>
          <w:b/>
        </w:rPr>
        <w:t xml:space="preserve">the Poaceae </w:t>
      </w:r>
      <w:r w:rsidRPr="00EC75B7">
        <w:rPr>
          <w:rFonts w:ascii="Verdana" w:hAnsi="Verdana"/>
        </w:rPr>
        <w:t xml:space="preserve">(grasses), </w:t>
      </w:r>
      <w:r w:rsidRPr="00EC75B7">
        <w:rPr>
          <w:rFonts w:ascii="Verdana" w:hAnsi="Verdana"/>
          <w:b/>
        </w:rPr>
        <w:t xml:space="preserve">Fabaceae </w:t>
      </w:r>
      <w:r w:rsidRPr="00EC75B7">
        <w:rPr>
          <w:rFonts w:ascii="Verdana" w:hAnsi="Verdana"/>
        </w:rPr>
        <w:t xml:space="preserve">(legumes), and </w:t>
      </w:r>
      <w:r w:rsidRPr="00EC75B7">
        <w:rPr>
          <w:rFonts w:ascii="Verdana" w:hAnsi="Verdana"/>
          <w:b/>
        </w:rPr>
        <w:t xml:space="preserve">Caryophyllaceae </w:t>
      </w:r>
      <w:r w:rsidRPr="00EC75B7">
        <w:rPr>
          <w:rFonts w:ascii="Verdana" w:hAnsi="Verdana"/>
        </w:rPr>
        <w:t>(carnation family) families:</w:t>
      </w:r>
    </w:p>
    <w:p w14:paraId="7EBB5C27" w14:textId="77777777" w:rsidR="008715BE" w:rsidRPr="00EC75B7" w:rsidRDefault="008715BE">
      <w:pPr>
        <w:pStyle w:val="BodyText"/>
        <w:rPr>
          <w:rFonts w:ascii="Verdana" w:hAnsi="Verdana"/>
        </w:rPr>
      </w:pPr>
    </w:p>
    <w:p w14:paraId="74CB42DE" w14:textId="77777777" w:rsidR="008715BE" w:rsidRPr="00EC75B7" w:rsidRDefault="008715BE">
      <w:pPr>
        <w:pStyle w:val="BodyText"/>
        <w:spacing w:before="6"/>
        <w:rPr>
          <w:rFonts w:ascii="Verdana" w:hAnsi="Verdana"/>
        </w:rPr>
      </w:pPr>
    </w:p>
    <w:tbl>
      <w:tblPr>
        <w:tblStyle w:val="TableNormal1"/>
        <w:tblW w:w="0" w:type="auto"/>
        <w:tblInd w:w="1272" w:type="dxa"/>
        <w:tblLayout w:type="fixed"/>
        <w:tblLook w:val="01E0" w:firstRow="1" w:lastRow="1" w:firstColumn="1" w:lastColumn="1" w:noHBand="0" w:noVBand="0"/>
      </w:tblPr>
      <w:tblGrid>
        <w:gridCol w:w="2824"/>
        <w:gridCol w:w="3162"/>
        <w:gridCol w:w="2604"/>
      </w:tblGrid>
      <w:tr w:rsidR="008715BE" w:rsidRPr="00EC75B7" w14:paraId="532B3FF8" w14:textId="77777777">
        <w:trPr>
          <w:trHeight w:val="314"/>
        </w:trPr>
        <w:tc>
          <w:tcPr>
            <w:tcW w:w="2824" w:type="dxa"/>
          </w:tcPr>
          <w:p w14:paraId="34D144D9" w14:textId="77777777" w:rsidR="008715BE" w:rsidRPr="00EC75B7" w:rsidRDefault="00000000">
            <w:pPr>
              <w:pStyle w:val="TableParagraph"/>
              <w:spacing w:before="9"/>
              <w:ind w:left="4" w:right="573"/>
              <w:jc w:val="center"/>
              <w:rPr>
                <w:rFonts w:ascii="Verdana" w:hAnsi="Verdana"/>
                <w:i/>
                <w:sz w:val="18"/>
                <w:szCs w:val="18"/>
              </w:rPr>
            </w:pPr>
            <w:r w:rsidRPr="00EC75B7">
              <w:rPr>
                <w:rFonts w:ascii="Verdana" w:hAnsi="Verdana"/>
                <w:i/>
                <w:sz w:val="18"/>
                <w:szCs w:val="18"/>
              </w:rPr>
              <w:t xml:space="preserve">Achillea </w:t>
            </w:r>
            <w:r w:rsidRPr="00EC75B7">
              <w:rPr>
                <w:rFonts w:ascii="Verdana" w:hAnsi="Verdana"/>
                <w:i/>
                <w:spacing w:val="-2"/>
                <w:sz w:val="18"/>
                <w:szCs w:val="18"/>
              </w:rPr>
              <w:t>setacea</w:t>
            </w:r>
          </w:p>
        </w:tc>
        <w:tc>
          <w:tcPr>
            <w:tcW w:w="3162" w:type="dxa"/>
          </w:tcPr>
          <w:p w14:paraId="5B4AF898" w14:textId="77777777" w:rsidR="008715BE" w:rsidRPr="00EC75B7" w:rsidRDefault="00000000">
            <w:pPr>
              <w:pStyle w:val="TableParagraph"/>
              <w:spacing w:before="9"/>
              <w:ind w:left="4" w:right="66"/>
              <w:jc w:val="center"/>
              <w:rPr>
                <w:rFonts w:ascii="Verdana" w:hAnsi="Verdana"/>
                <w:i/>
                <w:sz w:val="18"/>
                <w:szCs w:val="18"/>
              </w:rPr>
            </w:pPr>
            <w:r w:rsidRPr="00EC75B7">
              <w:rPr>
                <w:rFonts w:ascii="Verdana" w:hAnsi="Verdana"/>
                <w:i/>
                <w:spacing w:val="-2"/>
                <w:sz w:val="18"/>
                <w:szCs w:val="18"/>
              </w:rPr>
              <w:t>Trifolium repens</w:t>
            </w:r>
          </w:p>
        </w:tc>
        <w:tc>
          <w:tcPr>
            <w:tcW w:w="2604" w:type="dxa"/>
          </w:tcPr>
          <w:p w14:paraId="662FCF29" w14:textId="77777777" w:rsidR="008715BE" w:rsidRPr="00EC75B7" w:rsidRDefault="00000000">
            <w:pPr>
              <w:pStyle w:val="TableParagraph"/>
              <w:spacing w:before="9"/>
              <w:ind w:left="642" w:right="2"/>
              <w:jc w:val="center"/>
              <w:rPr>
                <w:rFonts w:ascii="Verdana" w:hAnsi="Verdana"/>
                <w:i/>
                <w:sz w:val="18"/>
                <w:szCs w:val="18"/>
              </w:rPr>
            </w:pPr>
            <w:r w:rsidRPr="00EC75B7">
              <w:rPr>
                <w:rFonts w:ascii="Verdana" w:hAnsi="Verdana"/>
                <w:i/>
                <w:sz w:val="18"/>
                <w:szCs w:val="18"/>
              </w:rPr>
              <w:t xml:space="preserve">Cynodon </w:t>
            </w:r>
            <w:r w:rsidRPr="00EC75B7">
              <w:rPr>
                <w:rFonts w:ascii="Verdana" w:hAnsi="Verdana"/>
                <w:i/>
                <w:spacing w:val="-2"/>
                <w:sz w:val="18"/>
                <w:szCs w:val="18"/>
              </w:rPr>
              <w:t>dactylon</w:t>
            </w:r>
          </w:p>
        </w:tc>
      </w:tr>
      <w:tr w:rsidR="008715BE" w:rsidRPr="00EC75B7" w14:paraId="087A654C" w14:textId="77777777">
        <w:trPr>
          <w:trHeight w:val="434"/>
        </w:trPr>
        <w:tc>
          <w:tcPr>
            <w:tcW w:w="2824" w:type="dxa"/>
          </w:tcPr>
          <w:p w14:paraId="3D41F266" w14:textId="77777777" w:rsidR="008715BE" w:rsidRPr="00EC75B7" w:rsidRDefault="00000000">
            <w:pPr>
              <w:pStyle w:val="TableParagraph"/>
              <w:spacing w:before="129"/>
              <w:ind w:left="6" w:right="573"/>
              <w:jc w:val="center"/>
              <w:rPr>
                <w:rFonts w:ascii="Verdana" w:hAnsi="Verdana"/>
                <w:i/>
                <w:sz w:val="18"/>
                <w:szCs w:val="18"/>
              </w:rPr>
            </w:pPr>
            <w:r w:rsidRPr="00EC75B7">
              <w:rPr>
                <w:rFonts w:ascii="Verdana" w:hAnsi="Verdana"/>
                <w:i/>
                <w:sz w:val="18"/>
                <w:szCs w:val="18"/>
              </w:rPr>
              <w:t xml:space="preserve">Poa </w:t>
            </w:r>
            <w:r w:rsidRPr="00EC75B7">
              <w:rPr>
                <w:rFonts w:ascii="Verdana" w:hAnsi="Verdana"/>
                <w:i/>
                <w:spacing w:val="-2"/>
                <w:sz w:val="18"/>
                <w:szCs w:val="18"/>
              </w:rPr>
              <w:t>bulbosa</w:t>
            </w:r>
          </w:p>
        </w:tc>
        <w:tc>
          <w:tcPr>
            <w:tcW w:w="3162" w:type="dxa"/>
          </w:tcPr>
          <w:p w14:paraId="25FCFCB6" w14:textId="77777777" w:rsidR="008715BE" w:rsidRPr="00EC75B7" w:rsidRDefault="00000000">
            <w:pPr>
              <w:pStyle w:val="TableParagraph"/>
              <w:spacing w:before="129"/>
              <w:ind w:left="2" w:right="66"/>
              <w:jc w:val="center"/>
              <w:rPr>
                <w:rFonts w:ascii="Verdana" w:hAnsi="Verdana"/>
                <w:i/>
                <w:sz w:val="18"/>
                <w:szCs w:val="18"/>
              </w:rPr>
            </w:pPr>
            <w:r w:rsidRPr="00EC75B7">
              <w:rPr>
                <w:rFonts w:ascii="Verdana" w:hAnsi="Verdana"/>
                <w:i/>
                <w:spacing w:val="-2"/>
                <w:sz w:val="18"/>
                <w:szCs w:val="18"/>
              </w:rPr>
              <w:t>Marrubium peregrinum</w:t>
            </w:r>
          </w:p>
        </w:tc>
        <w:tc>
          <w:tcPr>
            <w:tcW w:w="2604" w:type="dxa"/>
          </w:tcPr>
          <w:p w14:paraId="75779ACB" w14:textId="77777777" w:rsidR="008715BE" w:rsidRPr="00EC75B7" w:rsidRDefault="00000000">
            <w:pPr>
              <w:pStyle w:val="TableParagraph"/>
              <w:spacing w:before="129"/>
              <w:ind w:left="642" w:right="4"/>
              <w:jc w:val="center"/>
              <w:rPr>
                <w:rFonts w:ascii="Verdana" w:hAnsi="Verdana"/>
                <w:i/>
                <w:sz w:val="18"/>
                <w:szCs w:val="18"/>
              </w:rPr>
            </w:pPr>
            <w:r w:rsidRPr="00EC75B7">
              <w:rPr>
                <w:rFonts w:ascii="Verdana" w:hAnsi="Verdana"/>
                <w:i/>
                <w:sz w:val="18"/>
                <w:szCs w:val="18"/>
              </w:rPr>
              <w:t xml:space="preserve">Veronica </w:t>
            </w:r>
            <w:r w:rsidRPr="00EC75B7">
              <w:rPr>
                <w:rFonts w:ascii="Verdana" w:hAnsi="Verdana"/>
                <w:i/>
                <w:spacing w:val="-2"/>
                <w:sz w:val="18"/>
                <w:szCs w:val="18"/>
              </w:rPr>
              <w:t>verna</w:t>
            </w:r>
          </w:p>
        </w:tc>
      </w:tr>
      <w:tr w:rsidR="008715BE" w:rsidRPr="00EC75B7" w14:paraId="54C68973" w14:textId="77777777">
        <w:trPr>
          <w:trHeight w:val="434"/>
        </w:trPr>
        <w:tc>
          <w:tcPr>
            <w:tcW w:w="2824" w:type="dxa"/>
          </w:tcPr>
          <w:p w14:paraId="5A8CB859" w14:textId="77777777" w:rsidR="008715BE" w:rsidRPr="00EC75B7" w:rsidRDefault="00000000">
            <w:pPr>
              <w:pStyle w:val="TableParagraph"/>
              <w:spacing w:before="129"/>
              <w:ind w:left="4" w:right="573"/>
              <w:jc w:val="center"/>
              <w:rPr>
                <w:rFonts w:ascii="Verdana" w:hAnsi="Verdana"/>
                <w:i/>
                <w:sz w:val="18"/>
                <w:szCs w:val="18"/>
              </w:rPr>
            </w:pPr>
            <w:r w:rsidRPr="00EC75B7">
              <w:rPr>
                <w:rFonts w:ascii="Verdana" w:hAnsi="Verdana"/>
                <w:i/>
                <w:sz w:val="18"/>
                <w:szCs w:val="18"/>
              </w:rPr>
              <w:t xml:space="preserve">Plantago </w:t>
            </w:r>
            <w:r w:rsidRPr="00EC75B7">
              <w:rPr>
                <w:rFonts w:ascii="Verdana" w:hAnsi="Verdana"/>
                <w:i/>
                <w:spacing w:val="-2"/>
                <w:sz w:val="18"/>
                <w:szCs w:val="18"/>
              </w:rPr>
              <w:t>lanceolata</w:t>
            </w:r>
          </w:p>
        </w:tc>
        <w:tc>
          <w:tcPr>
            <w:tcW w:w="3162" w:type="dxa"/>
          </w:tcPr>
          <w:p w14:paraId="638920D2" w14:textId="77777777" w:rsidR="008715BE" w:rsidRPr="00EC75B7" w:rsidRDefault="00000000">
            <w:pPr>
              <w:pStyle w:val="TableParagraph"/>
              <w:spacing w:before="129"/>
              <w:ind w:left="4" w:right="66"/>
              <w:jc w:val="center"/>
              <w:rPr>
                <w:rFonts w:ascii="Verdana" w:hAnsi="Verdana"/>
                <w:i/>
                <w:sz w:val="18"/>
                <w:szCs w:val="18"/>
              </w:rPr>
            </w:pPr>
            <w:r w:rsidRPr="00EC75B7">
              <w:rPr>
                <w:rFonts w:ascii="Verdana" w:hAnsi="Verdana"/>
                <w:i/>
                <w:spacing w:val="-2"/>
                <w:sz w:val="18"/>
                <w:szCs w:val="18"/>
              </w:rPr>
              <w:t>Bentgrass</w:t>
            </w:r>
          </w:p>
        </w:tc>
        <w:tc>
          <w:tcPr>
            <w:tcW w:w="2604" w:type="dxa"/>
          </w:tcPr>
          <w:p w14:paraId="1EBD071C" w14:textId="77777777" w:rsidR="008715BE" w:rsidRPr="00EC75B7" w:rsidRDefault="00000000">
            <w:pPr>
              <w:pStyle w:val="TableParagraph"/>
              <w:spacing w:before="129"/>
              <w:ind w:left="642" w:right="4"/>
              <w:jc w:val="center"/>
              <w:rPr>
                <w:rFonts w:ascii="Verdana" w:hAnsi="Verdana"/>
                <w:i/>
                <w:sz w:val="18"/>
                <w:szCs w:val="18"/>
              </w:rPr>
            </w:pPr>
            <w:r w:rsidRPr="00EC75B7">
              <w:rPr>
                <w:rFonts w:ascii="Verdana" w:hAnsi="Verdana"/>
                <w:i/>
                <w:sz w:val="18"/>
                <w:szCs w:val="18"/>
              </w:rPr>
              <w:t xml:space="preserve">Holosteum </w:t>
            </w:r>
            <w:r w:rsidRPr="00EC75B7">
              <w:rPr>
                <w:rFonts w:ascii="Verdana" w:hAnsi="Verdana"/>
                <w:i/>
                <w:spacing w:val="-2"/>
                <w:sz w:val="18"/>
                <w:szCs w:val="18"/>
              </w:rPr>
              <w:t>umbellatum</w:t>
            </w:r>
          </w:p>
        </w:tc>
      </w:tr>
      <w:tr w:rsidR="008715BE" w:rsidRPr="00EC75B7" w14:paraId="375F875C" w14:textId="77777777">
        <w:trPr>
          <w:trHeight w:val="434"/>
        </w:trPr>
        <w:tc>
          <w:tcPr>
            <w:tcW w:w="2824" w:type="dxa"/>
          </w:tcPr>
          <w:p w14:paraId="5F93D72B" w14:textId="77777777" w:rsidR="008715BE" w:rsidRPr="00EC75B7" w:rsidRDefault="00000000">
            <w:pPr>
              <w:pStyle w:val="TableParagraph"/>
              <w:spacing w:before="129"/>
              <w:ind w:left="6" w:right="573"/>
              <w:jc w:val="center"/>
              <w:rPr>
                <w:rFonts w:ascii="Verdana" w:hAnsi="Verdana"/>
                <w:i/>
                <w:sz w:val="18"/>
                <w:szCs w:val="18"/>
              </w:rPr>
            </w:pPr>
            <w:r w:rsidRPr="00EC75B7">
              <w:rPr>
                <w:rFonts w:ascii="Verdana" w:hAnsi="Verdana"/>
                <w:i/>
                <w:sz w:val="18"/>
                <w:szCs w:val="18"/>
              </w:rPr>
              <w:t xml:space="preserve">Cerastium </w:t>
            </w:r>
            <w:r w:rsidRPr="00EC75B7">
              <w:rPr>
                <w:rFonts w:ascii="Verdana" w:hAnsi="Verdana"/>
                <w:i/>
                <w:spacing w:val="-2"/>
                <w:sz w:val="18"/>
                <w:szCs w:val="18"/>
              </w:rPr>
              <w:t>semidecandrum</w:t>
            </w:r>
          </w:p>
        </w:tc>
        <w:tc>
          <w:tcPr>
            <w:tcW w:w="3162" w:type="dxa"/>
          </w:tcPr>
          <w:p w14:paraId="45B27705" w14:textId="77777777" w:rsidR="008715BE" w:rsidRPr="00EC75B7" w:rsidRDefault="00000000">
            <w:pPr>
              <w:pStyle w:val="TableParagraph"/>
              <w:spacing w:before="129"/>
              <w:ind w:right="66"/>
              <w:jc w:val="center"/>
              <w:rPr>
                <w:rFonts w:ascii="Verdana" w:hAnsi="Verdana"/>
                <w:sz w:val="18"/>
                <w:szCs w:val="18"/>
              </w:rPr>
            </w:pPr>
            <w:r w:rsidRPr="00EC75B7">
              <w:rPr>
                <w:rFonts w:ascii="Verdana" w:hAnsi="Verdana"/>
                <w:i/>
                <w:sz w:val="18"/>
                <w:szCs w:val="18"/>
              </w:rPr>
              <w:t xml:space="preserve">Anchusa </w:t>
            </w:r>
            <w:r w:rsidRPr="00EC75B7">
              <w:rPr>
                <w:rFonts w:ascii="Verdana" w:hAnsi="Verdana"/>
                <w:spacing w:val="-5"/>
                <w:sz w:val="18"/>
                <w:szCs w:val="18"/>
              </w:rPr>
              <w:t>sp.</w:t>
            </w:r>
          </w:p>
        </w:tc>
        <w:tc>
          <w:tcPr>
            <w:tcW w:w="2604" w:type="dxa"/>
          </w:tcPr>
          <w:p w14:paraId="6A8CD1F5" w14:textId="77777777" w:rsidR="008715BE" w:rsidRPr="00EC75B7" w:rsidRDefault="00000000">
            <w:pPr>
              <w:pStyle w:val="TableParagraph"/>
              <w:spacing w:before="129"/>
              <w:ind w:left="642" w:right="5"/>
              <w:jc w:val="center"/>
              <w:rPr>
                <w:rFonts w:ascii="Verdana" w:hAnsi="Verdana"/>
                <w:i/>
                <w:sz w:val="18"/>
                <w:szCs w:val="18"/>
              </w:rPr>
            </w:pPr>
            <w:r w:rsidRPr="00EC75B7">
              <w:rPr>
                <w:rFonts w:ascii="Verdana" w:hAnsi="Verdana"/>
                <w:i/>
                <w:spacing w:val="-2"/>
                <w:sz w:val="18"/>
                <w:szCs w:val="18"/>
              </w:rPr>
              <w:t>Filago arvensis</w:t>
            </w:r>
          </w:p>
        </w:tc>
      </w:tr>
      <w:tr w:rsidR="008715BE" w:rsidRPr="00EC75B7" w14:paraId="71B6CBE7" w14:textId="77777777">
        <w:trPr>
          <w:trHeight w:val="434"/>
        </w:trPr>
        <w:tc>
          <w:tcPr>
            <w:tcW w:w="2824" w:type="dxa"/>
          </w:tcPr>
          <w:p w14:paraId="66D8A8B7" w14:textId="77777777" w:rsidR="008715BE" w:rsidRPr="00EC75B7" w:rsidRDefault="00000000">
            <w:pPr>
              <w:pStyle w:val="TableParagraph"/>
              <w:spacing w:before="129"/>
              <w:ind w:left="7" w:right="573"/>
              <w:jc w:val="center"/>
              <w:rPr>
                <w:rFonts w:ascii="Verdana" w:hAnsi="Verdana"/>
                <w:i/>
                <w:sz w:val="18"/>
                <w:szCs w:val="18"/>
              </w:rPr>
            </w:pPr>
            <w:r w:rsidRPr="00EC75B7">
              <w:rPr>
                <w:rFonts w:ascii="Verdana" w:hAnsi="Verdana"/>
                <w:i/>
                <w:sz w:val="18"/>
                <w:szCs w:val="18"/>
              </w:rPr>
              <w:t xml:space="preserve">Stellaria </w:t>
            </w:r>
            <w:r w:rsidRPr="00EC75B7">
              <w:rPr>
                <w:rFonts w:ascii="Verdana" w:hAnsi="Verdana"/>
                <w:i/>
                <w:spacing w:val="-2"/>
                <w:sz w:val="18"/>
                <w:szCs w:val="18"/>
              </w:rPr>
              <w:t>media</w:t>
            </w:r>
          </w:p>
        </w:tc>
        <w:tc>
          <w:tcPr>
            <w:tcW w:w="3162" w:type="dxa"/>
          </w:tcPr>
          <w:p w14:paraId="20CD5B96" w14:textId="77777777" w:rsidR="008715BE" w:rsidRPr="00EC75B7" w:rsidRDefault="00000000">
            <w:pPr>
              <w:pStyle w:val="TableParagraph"/>
              <w:spacing w:before="129"/>
              <w:ind w:left="4" w:right="66"/>
              <w:jc w:val="center"/>
              <w:rPr>
                <w:rFonts w:ascii="Verdana" w:hAnsi="Verdana"/>
                <w:i/>
                <w:sz w:val="18"/>
                <w:szCs w:val="18"/>
              </w:rPr>
            </w:pPr>
            <w:r w:rsidRPr="00EC75B7">
              <w:rPr>
                <w:rFonts w:ascii="Verdana" w:hAnsi="Verdana"/>
                <w:i/>
                <w:sz w:val="18"/>
                <w:szCs w:val="18"/>
              </w:rPr>
              <w:t xml:space="preserve">Scleranthus </w:t>
            </w:r>
            <w:r w:rsidRPr="00EC75B7">
              <w:rPr>
                <w:rFonts w:ascii="Verdana" w:hAnsi="Verdana"/>
                <w:i/>
                <w:spacing w:val="-2"/>
                <w:sz w:val="18"/>
                <w:szCs w:val="18"/>
              </w:rPr>
              <w:t>annuus</w:t>
            </w:r>
          </w:p>
        </w:tc>
        <w:tc>
          <w:tcPr>
            <w:tcW w:w="2604" w:type="dxa"/>
          </w:tcPr>
          <w:p w14:paraId="013F3A93" w14:textId="77777777" w:rsidR="008715BE" w:rsidRPr="00EC75B7" w:rsidRDefault="00000000">
            <w:pPr>
              <w:pStyle w:val="TableParagraph"/>
              <w:spacing w:before="129"/>
              <w:ind w:left="642" w:right="4"/>
              <w:jc w:val="center"/>
              <w:rPr>
                <w:rFonts w:ascii="Verdana" w:hAnsi="Verdana"/>
                <w:i/>
                <w:sz w:val="18"/>
                <w:szCs w:val="18"/>
              </w:rPr>
            </w:pPr>
            <w:r w:rsidRPr="00EC75B7">
              <w:rPr>
                <w:rFonts w:ascii="Verdana" w:hAnsi="Verdana"/>
                <w:i/>
                <w:sz w:val="18"/>
                <w:szCs w:val="18"/>
              </w:rPr>
              <w:t xml:space="preserve">Chenopodium </w:t>
            </w:r>
            <w:r w:rsidRPr="00EC75B7">
              <w:rPr>
                <w:rFonts w:ascii="Verdana" w:hAnsi="Verdana"/>
                <w:i/>
                <w:spacing w:val="-4"/>
                <w:sz w:val="18"/>
                <w:szCs w:val="18"/>
              </w:rPr>
              <w:t>album</w:t>
            </w:r>
          </w:p>
        </w:tc>
      </w:tr>
      <w:tr w:rsidR="008715BE" w:rsidRPr="00EC75B7" w14:paraId="161746A6" w14:textId="77777777">
        <w:trPr>
          <w:trHeight w:val="434"/>
        </w:trPr>
        <w:tc>
          <w:tcPr>
            <w:tcW w:w="2824" w:type="dxa"/>
          </w:tcPr>
          <w:p w14:paraId="0CB94719" w14:textId="77777777" w:rsidR="008715BE" w:rsidRPr="00EC75B7" w:rsidRDefault="00000000">
            <w:pPr>
              <w:pStyle w:val="TableParagraph"/>
              <w:spacing w:before="129"/>
              <w:ind w:left="2" w:right="573"/>
              <w:jc w:val="center"/>
              <w:rPr>
                <w:rFonts w:ascii="Verdana" w:hAnsi="Verdana"/>
                <w:i/>
                <w:sz w:val="18"/>
                <w:szCs w:val="18"/>
              </w:rPr>
            </w:pPr>
            <w:r w:rsidRPr="00EC75B7">
              <w:rPr>
                <w:rFonts w:ascii="Verdana" w:hAnsi="Verdana"/>
                <w:i/>
                <w:sz w:val="18"/>
                <w:szCs w:val="18"/>
              </w:rPr>
              <w:t xml:space="preserve">Galium </w:t>
            </w:r>
            <w:r w:rsidRPr="00EC75B7">
              <w:rPr>
                <w:rFonts w:ascii="Verdana" w:hAnsi="Verdana"/>
                <w:i/>
                <w:spacing w:val="-2"/>
                <w:sz w:val="18"/>
                <w:szCs w:val="18"/>
              </w:rPr>
              <w:t>humifusum</w:t>
            </w:r>
          </w:p>
        </w:tc>
        <w:tc>
          <w:tcPr>
            <w:tcW w:w="3162" w:type="dxa"/>
          </w:tcPr>
          <w:p w14:paraId="3AE93192" w14:textId="77777777" w:rsidR="008715BE" w:rsidRPr="00EC75B7" w:rsidRDefault="00000000">
            <w:pPr>
              <w:pStyle w:val="TableParagraph"/>
              <w:spacing w:before="129"/>
              <w:ind w:left="4" w:right="66"/>
              <w:jc w:val="center"/>
              <w:rPr>
                <w:rFonts w:ascii="Verdana" w:hAnsi="Verdana"/>
                <w:i/>
                <w:sz w:val="18"/>
                <w:szCs w:val="18"/>
              </w:rPr>
            </w:pPr>
            <w:r w:rsidRPr="00EC75B7">
              <w:rPr>
                <w:rFonts w:ascii="Verdana" w:hAnsi="Verdana"/>
                <w:i/>
                <w:sz w:val="18"/>
                <w:szCs w:val="18"/>
              </w:rPr>
              <w:t xml:space="preserve">Androsace </w:t>
            </w:r>
            <w:r w:rsidRPr="00EC75B7">
              <w:rPr>
                <w:rFonts w:ascii="Verdana" w:hAnsi="Verdana"/>
                <w:i/>
                <w:spacing w:val="-2"/>
                <w:sz w:val="18"/>
                <w:szCs w:val="18"/>
              </w:rPr>
              <w:t>elongata</w:t>
            </w:r>
          </w:p>
        </w:tc>
        <w:tc>
          <w:tcPr>
            <w:tcW w:w="2604" w:type="dxa"/>
          </w:tcPr>
          <w:p w14:paraId="1F1F7D51" w14:textId="77777777" w:rsidR="008715BE" w:rsidRPr="00EC75B7" w:rsidRDefault="00000000">
            <w:pPr>
              <w:pStyle w:val="TableParagraph"/>
              <w:spacing w:before="129"/>
              <w:ind w:left="642"/>
              <w:jc w:val="center"/>
              <w:rPr>
                <w:rFonts w:ascii="Verdana" w:hAnsi="Verdana"/>
                <w:sz w:val="18"/>
                <w:szCs w:val="18"/>
              </w:rPr>
            </w:pPr>
            <w:r w:rsidRPr="00EC75B7">
              <w:rPr>
                <w:rFonts w:ascii="Verdana" w:hAnsi="Verdana"/>
                <w:i/>
                <w:sz w:val="18"/>
                <w:szCs w:val="18"/>
              </w:rPr>
              <w:t xml:space="preserve">Geranium </w:t>
            </w:r>
            <w:r w:rsidRPr="00EC75B7">
              <w:rPr>
                <w:rFonts w:ascii="Verdana" w:hAnsi="Verdana"/>
                <w:spacing w:val="-5"/>
                <w:sz w:val="18"/>
                <w:szCs w:val="18"/>
              </w:rPr>
              <w:t>sp.</w:t>
            </w:r>
          </w:p>
        </w:tc>
      </w:tr>
      <w:tr w:rsidR="008715BE" w:rsidRPr="00EC75B7" w14:paraId="70F1227F" w14:textId="77777777">
        <w:trPr>
          <w:trHeight w:val="434"/>
        </w:trPr>
        <w:tc>
          <w:tcPr>
            <w:tcW w:w="2824" w:type="dxa"/>
          </w:tcPr>
          <w:p w14:paraId="15FE06F4" w14:textId="77777777" w:rsidR="008715BE" w:rsidRPr="00EC75B7" w:rsidRDefault="00000000">
            <w:pPr>
              <w:pStyle w:val="TableParagraph"/>
              <w:spacing w:before="129"/>
              <w:ind w:right="573"/>
              <w:jc w:val="center"/>
              <w:rPr>
                <w:rFonts w:ascii="Verdana" w:hAnsi="Verdana"/>
                <w:i/>
                <w:sz w:val="18"/>
                <w:szCs w:val="18"/>
              </w:rPr>
            </w:pPr>
            <w:r w:rsidRPr="00EC75B7">
              <w:rPr>
                <w:rFonts w:ascii="Verdana" w:hAnsi="Verdana"/>
                <w:i/>
                <w:sz w:val="18"/>
                <w:szCs w:val="18"/>
              </w:rPr>
              <w:t xml:space="preserve">Erodium </w:t>
            </w:r>
            <w:r w:rsidRPr="00EC75B7">
              <w:rPr>
                <w:rFonts w:ascii="Verdana" w:hAnsi="Verdana"/>
                <w:i/>
                <w:spacing w:val="-2"/>
                <w:sz w:val="18"/>
                <w:szCs w:val="18"/>
              </w:rPr>
              <w:t>cicutarium</w:t>
            </w:r>
          </w:p>
        </w:tc>
        <w:tc>
          <w:tcPr>
            <w:tcW w:w="3162" w:type="dxa"/>
          </w:tcPr>
          <w:p w14:paraId="4D5D7E67" w14:textId="77777777" w:rsidR="008715BE" w:rsidRPr="00EC75B7" w:rsidRDefault="00000000">
            <w:pPr>
              <w:pStyle w:val="TableParagraph"/>
              <w:spacing w:before="129"/>
              <w:ind w:left="5" w:right="66"/>
              <w:jc w:val="center"/>
              <w:rPr>
                <w:rFonts w:ascii="Verdana" w:hAnsi="Verdana"/>
                <w:i/>
                <w:sz w:val="18"/>
                <w:szCs w:val="18"/>
              </w:rPr>
            </w:pPr>
            <w:r w:rsidRPr="00EC75B7">
              <w:rPr>
                <w:rFonts w:ascii="Verdana" w:hAnsi="Verdana"/>
                <w:i/>
                <w:sz w:val="18"/>
                <w:szCs w:val="18"/>
              </w:rPr>
              <w:t xml:space="preserve">Xeranthemum </w:t>
            </w:r>
            <w:r w:rsidRPr="00EC75B7">
              <w:rPr>
                <w:rFonts w:ascii="Verdana" w:hAnsi="Verdana"/>
                <w:i/>
                <w:spacing w:val="-2"/>
                <w:sz w:val="18"/>
                <w:szCs w:val="18"/>
              </w:rPr>
              <w:t>annuum</w:t>
            </w:r>
          </w:p>
        </w:tc>
        <w:tc>
          <w:tcPr>
            <w:tcW w:w="2604" w:type="dxa"/>
          </w:tcPr>
          <w:p w14:paraId="16C7255D" w14:textId="77777777" w:rsidR="008715BE" w:rsidRPr="00EC75B7" w:rsidRDefault="00000000">
            <w:pPr>
              <w:pStyle w:val="TableParagraph"/>
              <w:spacing w:before="129"/>
              <w:ind w:left="642" w:right="1"/>
              <w:jc w:val="center"/>
              <w:rPr>
                <w:rFonts w:ascii="Verdana" w:hAnsi="Verdana"/>
                <w:i/>
                <w:sz w:val="18"/>
                <w:szCs w:val="18"/>
              </w:rPr>
            </w:pPr>
            <w:r w:rsidRPr="00EC75B7">
              <w:rPr>
                <w:rFonts w:ascii="Verdana" w:hAnsi="Verdana"/>
                <w:i/>
                <w:spacing w:val="-2"/>
                <w:sz w:val="18"/>
                <w:szCs w:val="18"/>
              </w:rPr>
              <w:t xml:space="preserve">Silver </w:t>
            </w:r>
            <w:r w:rsidRPr="00EC75B7">
              <w:rPr>
                <w:rFonts w:ascii="Verdana" w:hAnsi="Verdana"/>
                <w:i/>
                <w:sz w:val="18"/>
                <w:szCs w:val="18"/>
              </w:rPr>
              <w:t>cinquefoil</w:t>
            </w:r>
          </w:p>
        </w:tc>
      </w:tr>
      <w:tr w:rsidR="008715BE" w:rsidRPr="00EC75B7" w14:paraId="318F8661" w14:textId="77777777">
        <w:trPr>
          <w:trHeight w:val="434"/>
        </w:trPr>
        <w:tc>
          <w:tcPr>
            <w:tcW w:w="2824" w:type="dxa"/>
          </w:tcPr>
          <w:p w14:paraId="6DC54770" w14:textId="77777777" w:rsidR="008715BE" w:rsidRPr="00EC75B7" w:rsidRDefault="00000000">
            <w:pPr>
              <w:pStyle w:val="TableParagraph"/>
              <w:spacing w:before="129"/>
              <w:ind w:left="6" w:right="573"/>
              <w:jc w:val="center"/>
              <w:rPr>
                <w:rFonts w:ascii="Verdana" w:hAnsi="Verdana"/>
                <w:i/>
                <w:sz w:val="18"/>
                <w:szCs w:val="18"/>
              </w:rPr>
            </w:pPr>
            <w:r w:rsidRPr="00EC75B7">
              <w:rPr>
                <w:rFonts w:ascii="Verdana" w:hAnsi="Verdana"/>
                <w:i/>
                <w:sz w:val="18"/>
                <w:szCs w:val="18"/>
              </w:rPr>
              <w:t xml:space="preserve">Bromus </w:t>
            </w:r>
            <w:r w:rsidRPr="00EC75B7">
              <w:rPr>
                <w:rFonts w:ascii="Verdana" w:hAnsi="Verdana"/>
                <w:i/>
                <w:spacing w:val="-2"/>
                <w:sz w:val="18"/>
                <w:szCs w:val="18"/>
              </w:rPr>
              <w:t>tectorum</w:t>
            </w:r>
          </w:p>
        </w:tc>
        <w:tc>
          <w:tcPr>
            <w:tcW w:w="3162" w:type="dxa"/>
          </w:tcPr>
          <w:p w14:paraId="445283B5" w14:textId="77777777" w:rsidR="008715BE" w:rsidRPr="00EC75B7" w:rsidRDefault="00000000">
            <w:pPr>
              <w:pStyle w:val="TableParagraph"/>
              <w:spacing w:before="129"/>
              <w:ind w:left="1" w:right="66"/>
              <w:jc w:val="center"/>
              <w:rPr>
                <w:rFonts w:ascii="Verdana" w:hAnsi="Verdana"/>
                <w:i/>
                <w:sz w:val="18"/>
                <w:szCs w:val="18"/>
              </w:rPr>
            </w:pPr>
            <w:r w:rsidRPr="00EC75B7">
              <w:rPr>
                <w:rFonts w:ascii="Verdana" w:hAnsi="Verdana"/>
                <w:i/>
                <w:spacing w:val="-2"/>
                <w:sz w:val="18"/>
                <w:szCs w:val="18"/>
              </w:rPr>
              <w:t>Barley</w:t>
            </w:r>
          </w:p>
        </w:tc>
        <w:tc>
          <w:tcPr>
            <w:tcW w:w="2604" w:type="dxa"/>
          </w:tcPr>
          <w:p w14:paraId="2C937F83" w14:textId="77777777" w:rsidR="008715BE" w:rsidRPr="00EC75B7" w:rsidRDefault="00000000">
            <w:pPr>
              <w:pStyle w:val="TableParagraph"/>
              <w:spacing w:before="129"/>
              <w:ind w:left="642"/>
              <w:jc w:val="center"/>
              <w:rPr>
                <w:rFonts w:ascii="Verdana" w:hAnsi="Verdana"/>
                <w:sz w:val="18"/>
                <w:szCs w:val="18"/>
              </w:rPr>
            </w:pPr>
            <w:r w:rsidRPr="00EC75B7">
              <w:rPr>
                <w:rFonts w:ascii="Verdana" w:hAnsi="Verdana"/>
                <w:i/>
                <w:sz w:val="18"/>
                <w:szCs w:val="18"/>
              </w:rPr>
              <w:t xml:space="preserve">Centaurea </w:t>
            </w:r>
            <w:r w:rsidRPr="00EC75B7">
              <w:rPr>
                <w:rFonts w:ascii="Verdana" w:hAnsi="Verdana"/>
                <w:spacing w:val="-5"/>
                <w:sz w:val="18"/>
                <w:szCs w:val="18"/>
              </w:rPr>
              <w:t>sp.</w:t>
            </w:r>
          </w:p>
        </w:tc>
      </w:tr>
      <w:tr w:rsidR="008715BE" w:rsidRPr="00EC75B7" w14:paraId="6464DB0E" w14:textId="77777777">
        <w:trPr>
          <w:trHeight w:val="434"/>
        </w:trPr>
        <w:tc>
          <w:tcPr>
            <w:tcW w:w="2824" w:type="dxa"/>
          </w:tcPr>
          <w:p w14:paraId="6A22FD25" w14:textId="77777777" w:rsidR="008715BE" w:rsidRPr="00EC75B7" w:rsidRDefault="00000000">
            <w:pPr>
              <w:pStyle w:val="TableParagraph"/>
              <w:spacing w:before="129"/>
              <w:ind w:left="3" w:right="573"/>
              <w:jc w:val="center"/>
              <w:rPr>
                <w:rFonts w:ascii="Verdana" w:hAnsi="Verdana"/>
                <w:i/>
                <w:sz w:val="18"/>
                <w:szCs w:val="18"/>
              </w:rPr>
            </w:pPr>
            <w:r w:rsidRPr="00EC75B7">
              <w:rPr>
                <w:rFonts w:ascii="Verdana" w:hAnsi="Verdana"/>
                <w:i/>
                <w:sz w:val="18"/>
                <w:szCs w:val="18"/>
              </w:rPr>
              <w:t xml:space="preserve">Bromus </w:t>
            </w:r>
            <w:r w:rsidRPr="00EC75B7">
              <w:rPr>
                <w:rFonts w:ascii="Verdana" w:hAnsi="Verdana"/>
                <w:i/>
                <w:spacing w:val="-2"/>
                <w:sz w:val="18"/>
                <w:szCs w:val="18"/>
              </w:rPr>
              <w:t>hordeaceus</w:t>
            </w:r>
          </w:p>
        </w:tc>
        <w:tc>
          <w:tcPr>
            <w:tcW w:w="3162" w:type="dxa"/>
          </w:tcPr>
          <w:p w14:paraId="5B566056" w14:textId="77777777" w:rsidR="008715BE" w:rsidRPr="00EC75B7" w:rsidRDefault="00000000">
            <w:pPr>
              <w:pStyle w:val="TableParagraph"/>
              <w:spacing w:before="129"/>
              <w:ind w:left="4" w:right="66"/>
              <w:jc w:val="center"/>
              <w:rPr>
                <w:rFonts w:ascii="Verdana" w:hAnsi="Verdana"/>
                <w:i/>
                <w:sz w:val="18"/>
                <w:szCs w:val="18"/>
              </w:rPr>
            </w:pPr>
            <w:r w:rsidRPr="00EC75B7">
              <w:rPr>
                <w:rFonts w:ascii="Verdana" w:hAnsi="Verdana"/>
                <w:i/>
                <w:sz w:val="18"/>
                <w:szCs w:val="18"/>
              </w:rPr>
              <w:t xml:space="preserve">Lepidium </w:t>
            </w:r>
            <w:r w:rsidRPr="00EC75B7">
              <w:rPr>
                <w:rFonts w:ascii="Verdana" w:hAnsi="Verdana"/>
                <w:i/>
                <w:spacing w:val="-2"/>
                <w:sz w:val="18"/>
                <w:szCs w:val="18"/>
              </w:rPr>
              <w:t>draba</w:t>
            </w:r>
          </w:p>
        </w:tc>
        <w:tc>
          <w:tcPr>
            <w:tcW w:w="2604" w:type="dxa"/>
          </w:tcPr>
          <w:p w14:paraId="1BBAB2AA" w14:textId="77777777" w:rsidR="008715BE" w:rsidRPr="00EC75B7" w:rsidRDefault="00000000">
            <w:pPr>
              <w:pStyle w:val="TableParagraph"/>
              <w:spacing w:before="129"/>
              <w:ind w:left="642"/>
              <w:jc w:val="center"/>
              <w:rPr>
                <w:rFonts w:ascii="Verdana" w:hAnsi="Verdana"/>
                <w:sz w:val="18"/>
                <w:szCs w:val="18"/>
              </w:rPr>
            </w:pPr>
            <w:r w:rsidRPr="00EC75B7">
              <w:rPr>
                <w:rFonts w:ascii="Verdana" w:hAnsi="Verdana"/>
                <w:i/>
                <w:sz w:val="18"/>
                <w:szCs w:val="18"/>
              </w:rPr>
              <w:t xml:space="preserve">Matricaria </w:t>
            </w:r>
            <w:r w:rsidRPr="00EC75B7">
              <w:rPr>
                <w:rFonts w:ascii="Verdana" w:hAnsi="Verdana"/>
                <w:spacing w:val="-5"/>
                <w:sz w:val="18"/>
                <w:szCs w:val="18"/>
              </w:rPr>
              <w:t>sp.</w:t>
            </w:r>
          </w:p>
        </w:tc>
      </w:tr>
      <w:tr w:rsidR="008715BE" w:rsidRPr="00EC75B7" w14:paraId="20CC1281" w14:textId="77777777">
        <w:trPr>
          <w:trHeight w:val="434"/>
        </w:trPr>
        <w:tc>
          <w:tcPr>
            <w:tcW w:w="2824" w:type="dxa"/>
          </w:tcPr>
          <w:p w14:paraId="0C3483E0" w14:textId="77777777" w:rsidR="008715BE" w:rsidRPr="00EC75B7" w:rsidRDefault="00000000">
            <w:pPr>
              <w:pStyle w:val="TableParagraph"/>
              <w:spacing w:before="129"/>
              <w:ind w:left="5" w:right="573"/>
              <w:jc w:val="center"/>
              <w:rPr>
                <w:rFonts w:ascii="Verdana" w:hAnsi="Verdana"/>
                <w:i/>
                <w:sz w:val="18"/>
                <w:szCs w:val="18"/>
              </w:rPr>
            </w:pPr>
            <w:r w:rsidRPr="00EC75B7">
              <w:rPr>
                <w:rFonts w:ascii="Verdana" w:hAnsi="Verdana"/>
                <w:i/>
                <w:sz w:val="18"/>
                <w:szCs w:val="18"/>
              </w:rPr>
              <w:t xml:space="preserve">Medicago </w:t>
            </w:r>
            <w:r w:rsidRPr="00EC75B7">
              <w:rPr>
                <w:rFonts w:ascii="Verdana" w:hAnsi="Verdana"/>
                <w:i/>
                <w:spacing w:val="-2"/>
                <w:sz w:val="18"/>
                <w:szCs w:val="18"/>
              </w:rPr>
              <w:t>minima</w:t>
            </w:r>
          </w:p>
        </w:tc>
        <w:tc>
          <w:tcPr>
            <w:tcW w:w="3162" w:type="dxa"/>
          </w:tcPr>
          <w:p w14:paraId="55B3EF68" w14:textId="77777777" w:rsidR="008715BE" w:rsidRPr="00EC75B7" w:rsidRDefault="00000000">
            <w:pPr>
              <w:pStyle w:val="TableParagraph"/>
              <w:spacing w:before="129"/>
              <w:ind w:right="66"/>
              <w:jc w:val="center"/>
              <w:rPr>
                <w:rFonts w:ascii="Verdana" w:hAnsi="Verdana"/>
                <w:i/>
                <w:sz w:val="18"/>
                <w:szCs w:val="18"/>
              </w:rPr>
            </w:pPr>
            <w:r w:rsidRPr="00EC75B7">
              <w:rPr>
                <w:rFonts w:ascii="Verdana" w:hAnsi="Verdana"/>
                <w:i/>
                <w:sz w:val="18"/>
                <w:szCs w:val="18"/>
              </w:rPr>
              <w:t xml:space="preserve">Veronica </w:t>
            </w:r>
            <w:r w:rsidRPr="00EC75B7">
              <w:rPr>
                <w:rFonts w:ascii="Verdana" w:hAnsi="Verdana"/>
                <w:i/>
                <w:spacing w:val="-2"/>
                <w:sz w:val="18"/>
                <w:szCs w:val="18"/>
              </w:rPr>
              <w:t>polita</w:t>
            </w:r>
          </w:p>
        </w:tc>
        <w:tc>
          <w:tcPr>
            <w:tcW w:w="2604" w:type="dxa"/>
          </w:tcPr>
          <w:p w14:paraId="72F44A1C" w14:textId="77777777" w:rsidR="008715BE" w:rsidRPr="00EC75B7" w:rsidRDefault="00000000">
            <w:pPr>
              <w:pStyle w:val="TableParagraph"/>
              <w:spacing w:before="129"/>
              <w:ind w:left="642" w:right="3"/>
              <w:jc w:val="center"/>
              <w:rPr>
                <w:rFonts w:ascii="Verdana" w:hAnsi="Verdana"/>
                <w:sz w:val="18"/>
                <w:szCs w:val="18"/>
              </w:rPr>
            </w:pPr>
            <w:r w:rsidRPr="00EC75B7">
              <w:rPr>
                <w:rFonts w:ascii="Verdana" w:hAnsi="Verdana"/>
                <w:i/>
                <w:spacing w:val="-2"/>
                <w:sz w:val="18"/>
                <w:szCs w:val="18"/>
              </w:rPr>
              <w:t xml:space="preserve">Thymus </w:t>
            </w:r>
            <w:r w:rsidRPr="00EC75B7">
              <w:rPr>
                <w:rFonts w:ascii="Verdana" w:hAnsi="Verdana"/>
                <w:spacing w:val="-5"/>
                <w:sz w:val="18"/>
                <w:szCs w:val="18"/>
              </w:rPr>
              <w:t>sp.</w:t>
            </w:r>
          </w:p>
        </w:tc>
      </w:tr>
      <w:tr w:rsidR="008715BE" w:rsidRPr="00EC75B7" w14:paraId="20072941" w14:textId="77777777">
        <w:trPr>
          <w:trHeight w:val="434"/>
        </w:trPr>
        <w:tc>
          <w:tcPr>
            <w:tcW w:w="2824" w:type="dxa"/>
          </w:tcPr>
          <w:p w14:paraId="4FEE9BEE" w14:textId="77777777" w:rsidR="008715BE" w:rsidRPr="00EC75B7" w:rsidRDefault="00000000">
            <w:pPr>
              <w:pStyle w:val="TableParagraph"/>
              <w:spacing w:before="129"/>
              <w:ind w:left="3" w:right="573"/>
              <w:jc w:val="center"/>
              <w:rPr>
                <w:rFonts w:ascii="Verdana" w:hAnsi="Verdana"/>
                <w:i/>
                <w:sz w:val="18"/>
                <w:szCs w:val="18"/>
              </w:rPr>
            </w:pPr>
            <w:r w:rsidRPr="00EC75B7">
              <w:rPr>
                <w:rFonts w:ascii="Verdana" w:hAnsi="Verdana"/>
                <w:i/>
                <w:sz w:val="18"/>
                <w:szCs w:val="18"/>
              </w:rPr>
              <w:t xml:space="preserve">Lathyrus </w:t>
            </w:r>
            <w:r w:rsidRPr="00EC75B7">
              <w:rPr>
                <w:rFonts w:ascii="Verdana" w:hAnsi="Verdana"/>
                <w:i/>
                <w:spacing w:val="-2"/>
                <w:sz w:val="18"/>
                <w:szCs w:val="18"/>
              </w:rPr>
              <w:t>tuberosus</w:t>
            </w:r>
          </w:p>
        </w:tc>
        <w:tc>
          <w:tcPr>
            <w:tcW w:w="3162" w:type="dxa"/>
          </w:tcPr>
          <w:p w14:paraId="0FE0D4BA" w14:textId="77777777" w:rsidR="008715BE" w:rsidRPr="00EC75B7" w:rsidRDefault="00000000">
            <w:pPr>
              <w:pStyle w:val="TableParagraph"/>
              <w:spacing w:before="129"/>
              <w:ind w:right="66"/>
              <w:jc w:val="center"/>
              <w:rPr>
                <w:rFonts w:ascii="Verdana" w:hAnsi="Verdana"/>
                <w:i/>
                <w:sz w:val="18"/>
                <w:szCs w:val="18"/>
              </w:rPr>
            </w:pPr>
            <w:r w:rsidRPr="00EC75B7">
              <w:rPr>
                <w:rFonts w:ascii="Verdana" w:hAnsi="Verdana"/>
                <w:i/>
                <w:sz w:val="18"/>
                <w:szCs w:val="18"/>
              </w:rPr>
              <w:t xml:space="preserve">Malva </w:t>
            </w:r>
            <w:r w:rsidRPr="00EC75B7">
              <w:rPr>
                <w:rFonts w:ascii="Verdana" w:hAnsi="Verdana"/>
                <w:i/>
                <w:spacing w:val="-2"/>
                <w:sz w:val="18"/>
                <w:szCs w:val="18"/>
              </w:rPr>
              <w:t>neglecta</w:t>
            </w:r>
          </w:p>
        </w:tc>
        <w:tc>
          <w:tcPr>
            <w:tcW w:w="2604" w:type="dxa"/>
          </w:tcPr>
          <w:p w14:paraId="3F4DA030" w14:textId="77777777" w:rsidR="008715BE" w:rsidRPr="00EC75B7" w:rsidRDefault="00000000">
            <w:pPr>
              <w:pStyle w:val="TableParagraph"/>
              <w:spacing w:before="129"/>
              <w:ind w:left="642" w:right="4"/>
              <w:jc w:val="center"/>
              <w:rPr>
                <w:rFonts w:ascii="Verdana" w:hAnsi="Verdana"/>
                <w:i/>
                <w:sz w:val="18"/>
                <w:szCs w:val="18"/>
              </w:rPr>
            </w:pPr>
            <w:r w:rsidRPr="00EC75B7">
              <w:rPr>
                <w:rFonts w:ascii="Verdana" w:hAnsi="Verdana"/>
                <w:i/>
                <w:sz w:val="18"/>
                <w:szCs w:val="18"/>
              </w:rPr>
              <w:t xml:space="preserve">Alyssum </w:t>
            </w:r>
            <w:r w:rsidRPr="00EC75B7">
              <w:rPr>
                <w:rFonts w:ascii="Verdana" w:hAnsi="Verdana"/>
                <w:i/>
                <w:spacing w:val="-2"/>
                <w:sz w:val="18"/>
                <w:szCs w:val="18"/>
              </w:rPr>
              <w:t>desertorum</w:t>
            </w:r>
          </w:p>
        </w:tc>
      </w:tr>
      <w:tr w:rsidR="008715BE" w:rsidRPr="00EC75B7" w14:paraId="2A017DB4" w14:textId="77777777">
        <w:trPr>
          <w:trHeight w:val="434"/>
        </w:trPr>
        <w:tc>
          <w:tcPr>
            <w:tcW w:w="2824" w:type="dxa"/>
          </w:tcPr>
          <w:p w14:paraId="4DC677F5" w14:textId="77777777" w:rsidR="008715BE" w:rsidRPr="00EC75B7" w:rsidRDefault="00000000">
            <w:pPr>
              <w:pStyle w:val="TableParagraph"/>
              <w:spacing w:before="129"/>
              <w:ind w:left="6" w:right="573"/>
              <w:jc w:val="center"/>
              <w:rPr>
                <w:rFonts w:ascii="Verdana" w:hAnsi="Verdana"/>
                <w:i/>
                <w:sz w:val="18"/>
                <w:szCs w:val="18"/>
              </w:rPr>
            </w:pPr>
            <w:r w:rsidRPr="00EC75B7">
              <w:rPr>
                <w:rFonts w:ascii="Verdana" w:hAnsi="Verdana"/>
                <w:i/>
                <w:sz w:val="18"/>
                <w:szCs w:val="18"/>
              </w:rPr>
              <w:t>Dandel</w:t>
            </w:r>
            <w:r w:rsidRPr="00EC75B7">
              <w:rPr>
                <w:rFonts w:ascii="Verdana" w:hAnsi="Verdana"/>
                <w:i/>
                <w:spacing w:val="-2"/>
                <w:sz w:val="18"/>
                <w:szCs w:val="18"/>
              </w:rPr>
              <w:t>ion</w:t>
            </w:r>
          </w:p>
        </w:tc>
        <w:tc>
          <w:tcPr>
            <w:tcW w:w="3162" w:type="dxa"/>
          </w:tcPr>
          <w:p w14:paraId="51F4C792" w14:textId="77777777" w:rsidR="008715BE" w:rsidRPr="00EC75B7" w:rsidRDefault="00000000">
            <w:pPr>
              <w:pStyle w:val="TableParagraph"/>
              <w:spacing w:before="129"/>
              <w:ind w:left="1" w:right="66"/>
              <w:jc w:val="center"/>
              <w:rPr>
                <w:rFonts w:ascii="Verdana" w:hAnsi="Verdana"/>
                <w:i/>
                <w:sz w:val="18"/>
                <w:szCs w:val="18"/>
              </w:rPr>
            </w:pPr>
            <w:r w:rsidRPr="00EC75B7">
              <w:rPr>
                <w:rFonts w:ascii="Verdana" w:hAnsi="Verdana"/>
                <w:i/>
                <w:sz w:val="18"/>
                <w:szCs w:val="18"/>
              </w:rPr>
              <w:t xml:space="preserve">Carduus </w:t>
            </w:r>
            <w:r w:rsidRPr="00EC75B7">
              <w:rPr>
                <w:rFonts w:ascii="Verdana" w:hAnsi="Verdana"/>
                <w:i/>
                <w:spacing w:val="-2"/>
                <w:sz w:val="18"/>
                <w:szCs w:val="18"/>
              </w:rPr>
              <w:t>nutans</w:t>
            </w:r>
          </w:p>
        </w:tc>
        <w:tc>
          <w:tcPr>
            <w:tcW w:w="2604" w:type="dxa"/>
          </w:tcPr>
          <w:p w14:paraId="36991683" w14:textId="77777777" w:rsidR="008715BE" w:rsidRPr="00EC75B7" w:rsidRDefault="00000000">
            <w:pPr>
              <w:pStyle w:val="TableParagraph"/>
              <w:spacing w:before="129"/>
              <w:ind w:left="642" w:right="2"/>
              <w:jc w:val="center"/>
              <w:rPr>
                <w:rFonts w:ascii="Verdana" w:hAnsi="Verdana"/>
                <w:i/>
                <w:sz w:val="18"/>
                <w:szCs w:val="18"/>
              </w:rPr>
            </w:pPr>
            <w:r w:rsidRPr="00EC75B7">
              <w:rPr>
                <w:rFonts w:ascii="Verdana" w:hAnsi="Verdana"/>
                <w:i/>
                <w:spacing w:val="-2"/>
                <w:sz w:val="18"/>
                <w:szCs w:val="18"/>
              </w:rPr>
              <w:t>M</w:t>
            </w:r>
            <w:r w:rsidRPr="00EC75B7">
              <w:rPr>
                <w:rFonts w:ascii="Verdana" w:hAnsi="Verdana"/>
                <w:i/>
                <w:sz w:val="18"/>
                <w:szCs w:val="18"/>
              </w:rPr>
              <w:t>ullein</w:t>
            </w:r>
          </w:p>
        </w:tc>
      </w:tr>
      <w:tr w:rsidR="008715BE" w:rsidRPr="00EC75B7" w14:paraId="31F3A789" w14:textId="77777777">
        <w:trPr>
          <w:trHeight w:val="434"/>
        </w:trPr>
        <w:tc>
          <w:tcPr>
            <w:tcW w:w="2824" w:type="dxa"/>
          </w:tcPr>
          <w:p w14:paraId="16401B44" w14:textId="77777777" w:rsidR="008715BE" w:rsidRPr="00EC75B7" w:rsidRDefault="00000000">
            <w:pPr>
              <w:pStyle w:val="TableParagraph"/>
              <w:spacing w:before="129"/>
              <w:ind w:left="6" w:right="573"/>
              <w:jc w:val="center"/>
              <w:rPr>
                <w:rFonts w:ascii="Verdana" w:hAnsi="Verdana"/>
                <w:i/>
                <w:sz w:val="18"/>
                <w:szCs w:val="18"/>
              </w:rPr>
            </w:pPr>
            <w:r w:rsidRPr="00EC75B7">
              <w:rPr>
                <w:rFonts w:ascii="Verdana" w:hAnsi="Verdana"/>
                <w:i/>
                <w:sz w:val="18"/>
                <w:szCs w:val="18"/>
              </w:rPr>
              <w:t xml:space="preserve">Eryngium </w:t>
            </w:r>
            <w:r w:rsidRPr="00EC75B7">
              <w:rPr>
                <w:rFonts w:ascii="Verdana" w:hAnsi="Verdana"/>
                <w:i/>
                <w:spacing w:val="-2"/>
                <w:sz w:val="18"/>
                <w:szCs w:val="18"/>
              </w:rPr>
              <w:t>campestre</w:t>
            </w:r>
          </w:p>
        </w:tc>
        <w:tc>
          <w:tcPr>
            <w:tcW w:w="3162" w:type="dxa"/>
          </w:tcPr>
          <w:p w14:paraId="3462AE03" w14:textId="77777777" w:rsidR="008715BE" w:rsidRPr="00EC75B7" w:rsidRDefault="00000000">
            <w:pPr>
              <w:pStyle w:val="TableParagraph"/>
              <w:spacing w:before="129"/>
              <w:ind w:left="4" w:right="66"/>
              <w:jc w:val="center"/>
              <w:rPr>
                <w:rFonts w:ascii="Verdana" w:hAnsi="Verdana"/>
                <w:i/>
                <w:sz w:val="18"/>
                <w:szCs w:val="18"/>
              </w:rPr>
            </w:pPr>
            <w:r w:rsidRPr="00EC75B7">
              <w:rPr>
                <w:rFonts w:ascii="Verdana" w:hAnsi="Verdana"/>
                <w:i/>
                <w:sz w:val="18"/>
                <w:szCs w:val="18"/>
              </w:rPr>
              <w:t xml:space="preserve">Sysimbrium </w:t>
            </w:r>
            <w:r w:rsidRPr="00EC75B7">
              <w:rPr>
                <w:rFonts w:ascii="Verdana" w:hAnsi="Verdana"/>
                <w:i/>
                <w:spacing w:val="-2"/>
                <w:sz w:val="18"/>
                <w:szCs w:val="18"/>
              </w:rPr>
              <w:t>loeselii</w:t>
            </w:r>
          </w:p>
        </w:tc>
        <w:tc>
          <w:tcPr>
            <w:tcW w:w="2604" w:type="dxa"/>
          </w:tcPr>
          <w:p w14:paraId="48BA664E" w14:textId="77777777" w:rsidR="008715BE" w:rsidRPr="00EC75B7" w:rsidRDefault="00000000">
            <w:pPr>
              <w:pStyle w:val="TableParagraph"/>
              <w:spacing w:before="129"/>
              <w:ind w:left="642" w:right="4"/>
              <w:jc w:val="center"/>
              <w:rPr>
                <w:rFonts w:ascii="Verdana" w:hAnsi="Verdana"/>
                <w:i/>
                <w:sz w:val="18"/>
                <w:szCs w:val="18"/>
              </w:rPr>
            </w:pPr>
            <w:r w:rsidRPr="00EC75B7">
              <w:rPr>
                <w:rFonts w:ascii="Verdana" w:hAnsi="Verdana"/>
                <w:i/>
                <w:sz w:val="18"/>
                <w:szCs w:val="18"/>
              </w:rPr>
              <w:t xml:space="preserve">Daucus </w:t>
            </w:r>
            <w:r w:rsidRPr="00EC75B7">
              <w:rPr>
                <w:rFonts w:ascii="Verdana" w:hAnsi="Verdana"/>
                <w:i/>
                <w:spacing w:val="-2"/>
                <w:sz w:val="18"/>
                <w:szCs w:val="18"/>
              </w:rPr>
              <w:t>carota</w:t>
            </w:r>
          </w:p>
        </w:tc>
      </w:tr>
      <w:tr w:rsidR="008715BE" w:rsidRPr="00EC75B7" w14:paraId="0D5FDCD3" w14:textId="77777777">
        <w:trPr>
          <w:trHeight w:val="314"/>
        </w:trPr>
        <w:tc>
          <w:tcPr>
            <w:tcW w:w="2824" w:type="dxa"/>
          </w:tcPr>
          <w:p w14:paraId="6B6F0D81" w14:textId="77777777" w:rsidR="008715BE" w:rsidRPr="00EC75B7" w:rsidRDefault="00000000">
            <w:pPr>
              <w:pStyle w:val="TableParagraph"/>
              <w:spacing w:before="129" w:line="166" w:lineRule="exact"/>
              <w:ind w:left="5" w:right="573"/>
              <w:jc w:val="center"/>
              <w:rPr>
                <w:rFonts w:ascii="Verdana" w:hAnsi="Verdana"/>
                <w:i/>
                <w:sz w:val="18"/>
                <w:szCs w:val="18"/>
              </w:rPr>
            </w:pPr>
            <w:r w:rsidRPr="00EC75B7">
              <w:rPr>
                <w:rFonts w:ascii="Verdana" w:hAnsi="Verdana"/>
                <w:i/>
                <w:spacing w:val="-2"/>
                <w:sz w:val="18"/>
                <w:szCs w:val="18"/>
              </w:rPr>
              <w:t>Chondrilla juncacea</w:t>
            </w:r>
          </w:p>
        </w:tc>
        <w:tc>
          <w:tcPr>
            <w:tcW w:w="3162" w:type="dxa"/>
          </w:tcPr>
          <w:p w14:paraId="1E660CCB" w14:textId="77777777" w:rsidR="008715BE" w:rsidRPr="00EC75B7" w:rsidRDefault="00000000">
            <w:pPr>
              <w:pStyle w:val="TableParagraph"/>
              <w:spacing w:before="129" w:line="166" w:lineRule="exact"/>
              <w:ind w:left="2" w:right="66"/>
              <w:jc w:val="center"/>
              <w:rPr>
                <w:rFonts w:ascii="Verdana" w:hAnsi="Verdana"/>
                <w:i/>
                <w:sz w:val="18"/>
                <w:szCs w:val="18"/>
              </w:rPr>
            </w:pPr>
            <w:r w:rsidRPr="00EC75B7">
              <w:rPr>
                <w:rFonts w:ascii="Verdana" w:hAnsi="Verdana"/>
                <w:i/>
                <w:sz w:val="18"/>
                <w:szCs w:val="18"/>
              </w:rPr>
              <w:t xml:space="preserve">Draba </w:t>
            </w:r>
            <w:r w:rsidRPr="00EC75B7">
              <w:rPr>
                <w:rFonts w:ascii="Verdana" w:hAnsi="Verdana"/>
                <w:i/>
                <w:spacing w:val="-2"/>
                <w:sz w:val="18"/>
                <w:szCs w:val="18"/>
              </w:rPr>
              <w:t>verna</w:t>
            </w:r>
          </w:p>
        </w:tc>
        <w:tc>
          <w:tcPr>
            <w:tcW w:w="2604" w:type="dxa"/>
          </w:tcPr>
          <w:p w14:paraId="4C059632" w14:textId="77777777" w:rsidR="008715BE" w:rsidRPr="00EC75B7" w:rsidRDefault="008715BE">
            <w:pPr>
              <w:pStyle w:val="TableParagraph"/>
              <w:rPr>
                <w:rFonts w:ascii="Verdana" w:hAnsi="Verdana"/>
                <w:sz w:val="18"/>
                <w:szCs w:val="18"/>
              </w:rPr>
            </w:pPr>
          </w:p>
        </w:tc>
      </w:tr>
    </w:tbl>
    <w:p w14:paraId="31A74A45" w14:textId="77777777" w:rsidR="008715BE" w:rsidRPr="00EC75B7" w:rsidRDefault="008715BE">
      <w:pPr>
        <w:pStyle w:val="BodyText"/>
        <w:rPr>
          <w:rFonts w:ascii="Verdana" w:hAnsi="Verdana"/>
        </w:rPr>
      </w:pPr>
    </w:p>
    <w:p w14:paraId="79D8F4B5" w14:textId="77777777" w:rsidR="008715BE" w:rsidRPr="00EC75B7" w:rsidRDefault="008715BE">
      <w:pPr>
        <w:pStyle w:val="BodyText"/>
        <w:spacing w:before="75"/>
        <w:rPr>
          <w:rFonts w:ascii="Verdana" w:hAnsi="Verdana"/>
        </w:rPr>
      </w:pPr>
    </w:p>
    <w:p w14:paraId="1330B413" w14:textId="77777777" w:rsidR="008715BE" w:rsidRPr="00EC75B7" w:rsidRDefault="00000000">
      <w:pPr>
        <w:pStyle w:val="BodyText"/>
        <w:spacing w:before="1" w:line="360" w:lineRule="auto"/>
        <w:ind w:left="765" w:right="847"/>
        <w:jc w:val="both"/>
        <w:rPr>
          <w:rFonts w:ascii="Verdana" w:hAnsi="Verdana"/>
        </w:rPr>
      </w:pPr>
      <w:r w:rsidRPr="00EC75B7">
        <w:rPr>
          <w:rFonts w:ascii="Verdana" w:hAnsi="Verdana"/>
        </w:rPr>
        <w:t>The vegetation forms a meadow, but this is a grazed meadow, a secondary meadow established on former habitats with specific steppe vegetation, on which anthropogenic factors have intervened in the past (most likely areas used for agriculture).</w:t>
      </w:r>
      <w:r w:rsidRPr="00EC75B7">
        <w:rPr>
          <w:rFonts w:ascii="Verdana" w:hAnsi="Verdana"/>
          <w:spacing w:val="24"/>
        </w:rPr>
        <w:t xml:space="preserve"> </w:t>
      </w:r>
      <w:r w:rsidRPr="00EC75B7">
        <w:rPr>
          <w:rFonts w:ascii="Verdana" w:hAnsi="Verdana"/>
        </w:rPr>
        <w:t xml:space="preserve">This type of vegetation can often be found on the edges of roads or agricultural crops, which are better maintained. It can be observed that some species such as </w:t>
      </w:r>
      <w:r w:rsidRPr="00EC75B7">
        <w:rPr>
          <w:rFonts w:ascii="Verdana" w:hAnsi="Verdana"/>
          <w:i/>
        </w:rPr>
        <w:t>Achillea setacea</w:t>
      </w:r>
      <w:r w:rsidRPr="00EC75B7">
        <w:rPr>
          <w:rFonts w:ascii="Verdana" w:hAnsi="Verdana"/>
        </w:rPr>
        <w:t xml:space="preserve">, </w:t>
      </w:r>
      <w:r w:rsidRPr="00EC75B7">
        <w:rPr>
          <w:rFonts w:ascii="Verdana" w:hAnsi="Verdana"/>
          <w:i/>
        </w:rPr>
        <w:t>Thymus sp., Medicago minima, Veronica verna, Centaurea sp., Xeranthemum annuum</w:t>
      </w:r>
      <w:r w:rsidRPr="00EC75B7">
        <w:rPr>
          <w:rFonts w:ascii="Verdana" w:hAnsi="Verdana"/>
        </w:rPr>
        <w:t>, etc. are species that indicate secondary pasture quality, some of which are found in the phytocenotic composition of xerophilous vegetation.</w:t>
      </w:r>
    </w:p>
    <w:p w14:paraId="4E78FB2B" w14:textId="77777777" w:rsidR="008715BE" w:rsidRPr="00EC75B7" w:rsidRDefault="008715BE">
      <w:pPr>
        <w:pStyle w:val="BodyText"/>
        <w:spacing w:before="58"/>
        <w:rPr>
          <w:rFonts w:ascii="Verdana" w:hAnsi="Verdana"/>
        </w:rPr>
      </w:pPr>
    </w:p>
    <w:p w14:paraId="1248784A" w14:textId="77777777" w:rsidR="008715BE" w:rsidRPr="00EC75B7" w:rsidRDefault="00000000">
      <w:pPr>
        <w:pStyle w:val="BodyText"/>
        <w:spacing w:line="360" w:lineRule="auto"/>
        <w:ind w:left="765" w:right="847"/>
        <w:jc w:val="both"/>
        <w:rPr>
          <w:rFonts w:ascii="Verdana" w:hAnsi="Verdana"/>
        </w:rPr>
      </w:pPr>
      <w:r w:rsidRPr="00EC75B7">
        <w:rPr>
          <w:rFonts w:ascii="Verdana" w:hAnsi="Verdana"/>
        </w:rPr>
        <w:t xml:space="preserve">The meadow is a large, expansive area covered mainly with </w:t>
      </w:r>
      <w:r w:rsidRPr="00EC75B7">
        <w:rPr>
          <w:rFonts w:ascii="Verdana" w:hAnsi="Verdana"/>
          <w:i/>
        </w:rPr>
        <w:t>Poa pratensis</w:t>
      </w:r>
      <w:r w:rsidRPr="00EC75B7">
        <w:rPr>
          <w:rFonts w:ascii="Verdana" w:hAnsi="Verdana"/>
        </w:rPr>
        <w:t xml:space="preserve">, a mesophilic species that indicates sandy-loamy soils, probably with excess water in the spring. The vegetation of this meadow can be classified in the </w:t>
      </w:r>
      <w:r w:rsidRPr="00EC75B7">
        <w:rPr>
          <w:rFonts w:ascii="Verdana" w:hAnsi="Verdana"/>
          <w:i/>
        </w:rPr>
        <w:t xml:space="preserve">Poëtum pratensis </w:t>
      </w:r>
      <w:r w:rsidRPr="00EC75B7">
        <w:rPr>
          <w:rFonts w:ascii="Verdana" w:hAnsi="Verdana"/>
        </w:rPr>
        <w:t>association (Răvăruţ et al. 1956).</w:t>
      </w:r>
    </w:p>
    <w:p w14:paraId="013B764B" w14:textId="77777777" w:rsidR="008715BE" w:rsidRPr="00EC75B7" w:rsidRDefault="008715BE">
      <w:pPr>
        <w:pStyle w:val="BodyText"/>
        <w:spacing w:before="63"/>
        <w:rPr>
          <w:rFonts w:ascii="Verdana" w:hAnsi="Verdana"/>
        </w:rPr>
      </w:pPr>
    </w:p>
    <w:p w14:paraId="6135D2B1" w14:textId="77777777" w:rsidR="008715BE" w:rsidRPr="00EC75B7" w:rsidRDefault="00000000">
      <w:pPr>
        <w:pStyle w:val="BodyText"/>
        <w:spacing w:line="360" w:lineRule="auto"/>
        <w:ind w:left="794" w:right="856"/>
        <w:jc w:val="both"/>
        <w:rPr>
          <w:rFonts w:ascii="Verdana" w:hAnsi="Verdana"/>
        </w:rPr>
      </w:pPr>
      <w:r w:rsidRPr="00EC75B7">
        <w:rPr>
          <w:rFonts w:ascii="Verdana" w:hAnsi="Verdana"/>
        </w:rPr>
        <w:t>There are no alien species (at least so far), which can be considered a positive aspect, but given the proximity of agricultural land, the presence of alien species cannot be ruled out.</w:t>
      </w:r>
    </w:p>
    <w:p w14:paraId="68E0BA06" w14:textId="77777777" w:rsidR="008715BE" w:rsidRPr="00EC75B7" w:rsidRDefault="008715BE">
      <w:pPr>
        <w:pStyle w:val="BodyText"/>
        <w:spacing w:line="360" w:lineRule="auto"/>
        <w:jc w:val="both"/>
        <w:rPr>
          <w:rFonts w:ascii="Verdana" w:hAnsi="Verdana"/>
        </w:rPr>
        <w:sectPr w:rsidR="008715BE" w:rsidRPr="00EC75B7">
          <w:pgSz w:w="11910" w:h="16840"/>
          <w:pgMar w:top="1160" w:right="141" w:bottom="1020" w:left="425" w:header="766" w:footer="797" w:gutter="0"/>
          <w:cols w:space="708"/>
        </w:sectPr>
      </w:pPr>
    </w:p>
    <w:p w14:paraId="104D68CD" w14:textId="77777777" w:rsidR="008715BE" w:rsidRPr="00EC75B7" w:rsidRDefault="008715BE">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5081FB57" w14:textId="77777777">
        <w:trPr>
          <w:trHeight w:val="5099"/>
        </w:trPr>
        <w:tc>
          <w:tcPr>
            <w:tcW w:w="4857" w:type="dxa"/>
          </w:tcPr>
          <w:p w14:paraId="04BA342D"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63F5BDA6" wp14:editId="657972CD">
                  <wp:extent cx="2974237" cy="3190589"/>
                  <wp:effectExtent l="0" t="0" r="0" b="0"/>
                  <wp:docPr id="147" name="Image 147"/>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05" cstate="print"/>
                          <a:stretch>
                            <a:fillRect/>
                          </a:stretch>
                        </pic:blipFill>
                        <pic:spPr>
                          <a:xfrm>
                            <a:off x="0" y="0"/>
                            <a:ext cx="2974237" cy="3190589"/>
                          </a:xfrm>
                          <a:prstGeom prst="rect">
                            <a:avLst/>
                          </a:prstGeom>
                        </pic:spPr>
                      </pic:pic>
                    </a:graphicData>
                  </a:graphic>
                </wp:inline>
              </w:drawing>
            </w:r>
          </w:p>
        </w:tc>
        <w:tc>
          <w:tcPr>
            <w:tcW w:w="4858" w:type="dxa"/>
          </w:tcPr>
          <w:p w14:paraId="7670628F"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7F361915" wp14:editId="596D2912">
                  <wp:extent cx="2975113" cy="3190589"/>
                  <wp:effectExtent l="0" t="0" r="0" b="0"/>
                  <wp:docPr id="148" name="Image 148"/>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6" cstate="print"/>
                          <a:stretch>
                            <a:fillRect/>
                          </a:stretch>
                        </pic:blipFill>
                        <pic:spPr>
                          <a:xfrm>
                            <a:off x="0" y="0"/>
                            <a:ext cx="2975113" cy="3190589"/>
                          </a:xfrm>
                          <a:prstGeom prst="rect">
                            <a:avLst/>
                          </a:prstGeom>
                        </pic:spPr>
                      </pic:pic>
                    </a:graphicData>
                  </a:graphic>
                </wp:inline>
              </w:drawing>
            </w:r>
          </w:p>
        </w:tc>
      </w:tr>
      <w:tr w:rsidR="008715BE" w:rsidRPr="00EC75B7" w14:paraId="78ED741B" w14:textId="77777777">
        <w:trPr>
          <w:trHeight w:val="437"/>
        </w:trPr>
        <w:tc>
          <w:tcPr>
            <w:tcW w:w="4857" w:type="dxa"/>
          </w:tcPr>
          <w:p w14:paraId="259407F5" w14:textId="77777777" w:rsidR="008715BE" w:rsidRPr="00EC75B7" w:rsidRDefault="00000000">
            <w:pPr>
              <w:pStyle w:val="TableParagraph"/>
              <w:spacing w:before="9" w:line="219" w:lineRule="exact"/>
              <w:ind w:right="118"/>
              <w:jc w:val="center"/>
              <w:rPr>
                <w:rFonts w:ascii="Verdana" w:hAnsi="Verdana"/>
                <w:sz w:val="18"/>
                <w:szCs w:val="18"/>
              </w:rPr>
            </w:pPr>
            <w:r w:rsidRPr="00EC75B7">
              <w:rPr>
                <w:rFonts w:ascii="Verdana" w:hAnsi="Verdana"/>
                <w:color w:val="444444"/>
                <w:sz w:val="18"/>
                <w:szCs w:val="18"/>
              </w:rPr>
              <w:t xml:space="preserve">The meadow area is mainly covered </w:t>
            </w:r>
            <w:r w:rsidRPr="00EC75B7">
              <w:rPr>
                <w:rFonts w:ascii="Verdana" w:hAnsi="Verdana"/>
                <w:color w:val="444444"/>
                <w:spacing w:val="-5"/>
                <w:sz w:val="18"/>
                <w:szCs w:val="18"/>
              </w:rPr>
              <w:t>with</w:t>
            </w:r>
          </w:p>
          <w:p w14:paraId="3B020331" w14:textId="77777777" w:rsidR="008715BE" w:rsidRPr="00EC75B7" w:rsidRDefault="00000000">
            <w:pPr>
              <w:pStyle w:val="TableParagraph"/>
              <w:spacing w:line="189" w:lineRule="exact"/>
              <w:ind w:left="6" w:right="118"/>
              <w:jc w:val="center"/>
              <w:rPr>
                <w:rFonts w:ascii="Verdana" w:hAnsi="Verdana"/>
                <w:i/>
                <w:sz w:val="18"/>
                <w:szCs w:val="18"/>
              </w:rPr>
            </w:pPr>
            <w:r w:rsidRPr="00EC75B7">
              <w:rPr>
                <w:rFonts w:ascii="Verdana" w:hAnsi="Verdana"/>
                <w:i/>
                <w:color w:val="444444"/>
                <w:sz w:val="18"/>
                <w:szCs w:val="18"/>
              </w:rPr>
              <w:t xml:space="preserve">Poa </w:t>
            </w:r>
            <w:r w:rsidRPr="00EC75B7">
              <w:rPr>
                <w:rFonts w:ascii="Verdana" w:hAnsi="Verdana"/>
                <w:i/>
                <w:color w:val="444444"/>
                <w:spacing w:val="-2"/>
                <w:sz w:val="18"/>
                <w:szCs w:val="18"/>
              </w:rPr>
              <w:t>pratensis</w:t>
            </w:r>
          </w:p>
        </w:tc>
        <w:tc>
          <w:tcPr>
            <w:tcW w:w="4858" w:type="dxa"/>
          </w:tcPr>
          <w:p w14:paraId="574149B0" w14:textId="77777777" w:rsidR="008715BE" w:rsidRPr="00EC75B7" w:rsidRDefault="00000000">
            <w:pPr>
              <w:pStyle w:val="TableParagraph"/>
              <w:spacing w:before="9" w:line="219" w:lineRule="exact"/>
              <w:ind w:left="7" w:right="110"/>
              <w:jc w:val="center"/>
              <w:rPr>
                <w:rFonts w:ascii="Verdana" w:hAnsi="Verdana"/>
                <w:sz w:val="18"/>
                <w:szCs w:val="18"/>
              </w:rPr>
            </w:pPr>
            <w:r w:rsidRPr="00EC75B7">
              <w:rPr>
                <w:rFonts w:ascii="Verdana" w:hAnsi="Verdana"/>
                <w:color w:val="444444"/>
                <w:sz w:val="18"/>
                <w:szCs w:val="18"/>
              </w:rPr>
              <w:t xml:space="preserve">The grassland area covered mainly </w:t>
            </w:r>
            <w:r w:rsidRPr="00EC75B7">
              <w:rPr>
                <w:rFonts w:ascii="Verdana" w:hAnsi="Verdana"/>
                <w:color w:val="444444"/>
                <w:spacing w:val="-5"/>
                <w:sz w:val="18"/>
                <w:szCs w:val="18"/>
              </w:rPr>
              <w:t>with</w:t>
            </w:r>
          </w:p>
          <w:p w14:paraId="7EB4CB70" w14:textId="77777777" w:rsidR="008715BE" w:rsidRPr="00EC75B7" w:rsidRDefault="00000000">
            <w:pPr>
              <w:pStyle w:val="TableParagraph"/>
              <w:spacing w:line="189" w:lineRule="exact"/>
              <w:ind w:left="11" w:right="110"/>
              <w:jc w:val="center"/>
              <w:rPr>
                <w:rFonts w:ascii="Verdana" w:hAnsi="Verdana"/>
                <w:i/>
                <w:sz w:val="18"/>
                <w:szCs w:val="18"/>
              </w:rPr>
            </w:pPr>
            <w:r w:rsidRPr="00EC75B7">
              <w:rPr>
                <w:rFonts w:ascii="Verdana" w:hAnsi="Verdana"/>
                <w:i/>
                <w:color w:val="444444"/>
                <w:sz w:val="18"/>
                <w:szCs w:val="18"/>
              </w:rPr>
              <w:t xml:space="preserve">Thymus </w:t>
            </w:r>
            <w:r w:rsidRPr="00EC75B7">
              <w:rPr>
                <w:rFonts w:ascii="Verdana" w:hAnsi="Verdana"/>
                <w:i/>
                <w:color w:val="444444"/>
                <w:spacing w:val="-5"/>
                <w:sz w:val="18"/>
                <w:szCs w:val="18"/>
              </w:rPr>
              <w:t>sp.</w:t>
            </w:r>
          </w:p>
        </w:tc>
      </w:tr>
      <w:tr w:rsidR="008715BE" w:rsidRPr="00EC75B7" w14:paraId="7D7D9748" w14:textId="77777777">
        <w:trPr>
          <w:trHeight w:val="5099"/>
        </w:trPr>
        <w:tc>
          <w:tcPr>
            <w:tcW w:w="4857" w:type="dxa"/>
          </w:tcPr>
          <w:p w14:paraId="488C29B7"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4BCD8DDA" wp14:editId="27C7B6C5">
                  <wp:extent cx="2974237" cy="3190589"/>
                  <wp:effectExtent l="0" t="0" r="0" b="0"/>
                  <wp:docPr id="149" name="Image 149"/>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07" cstate="print"/>
                          <a:stretch>
                            <a:fillRect/>
                          </a:stretch>
                        </pic:blipFill>
                        <pic:spPr>
                          <a:xfrm>
                            <a:off x="0" y="0"/>
                            <a:ext cx="2974237" cy="3190589"/>
                          </a:xfrm>
                          <a:prstGeom prst="rect">
                            <a:avLst/>
                          </a:prstGeom>
                        </pic:spPr>
                      </pic:pic>
                    </a:graphicData>
                  </a:graphic>
                </wp:inline>
              </w:drawing>
            </w:r>
          </w:p>
        </w:tc>
        <w:tc>
          <w:tcPr>
            <w:tcW w:w="4858" w:type="dxa"/>
          </w:tcPr>
          <w:p w14:paraId="44293FB3"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33BB5D7D" wp14:editId="35FE478C">
                  <wp:extent cx="2975113" cy="3190589"/>
                  <wp:effectExtent l="0" t="0" r="0" b="0"/>
                  <wp:docPr id="150" name="Image 150"/>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08" cstate="print"/>
                          <a:stretch>
                            <a:fillRect/>
                          </a:stretch>
                        </pic:blipFill>
                        <pic:spPr>
                          <a:xfrm>
                            <a:off x="0" y="0"/>
                            <a:ext cx="2975113" cy="3190589"/>
                          </a:xfrm>
                          <a:prstGeom prst="rect">
                            <a:avLst/>
                          </a:prstGeom>
                        </pic:spPr>
                      </pic:pic>
                    </a:graphicData>
                  </a:graphic>
                </wp:inline>
              </w:drawing>
            </w:r>
          </w:p>
        </w:tc>
      </w:tr>
      <w:tr w:rsidR="008715BE" w:rsidRPr="00EC75B7" w14:paraId="69FD5D77" w14:textId="77777777">
        <w:trPr>
          <w:trHeight w:val="437"/>
        </w:trPr>
        <w:tc>
          <w:tcPr>
            <w:tcW w:w="4857" w:type="dxa"/>
          </w:tcPr>
          <w:p w14:paraId="56219C84" w14:textId="77777777" w:rsidR="008715BE" w:rsidRPr="00EC75B7" w:rsidRDefault="00000000">
            <w:pPr>
              <w:pStyle w:val="TableParagraph"/>
              <w:spacing w:before="9" w:line="219" w:lineRule="exact"/>
              <w:ind w:right="118"/>
              <w:jc w:val="center"/>
              <w:rPr>
                <w:rFonts w:ascii="Verdana" w:hAnsi="Verdana"/>
                <w:sz w:val="18"/>
                <w:szCs w:val="18"/>
              </w:rPr>
            </w:pPr>
            <w:r w:rsidRPr="00EC75B7">
              <w:rPr>
                <w:rFonts w:ascii="Verdana" w:hAnsi="Verdana"/>
                <w:sz w:val="18"/>
                <w:szCs w:val="18"/>
              </w:rPr>
              <w:t xml:space="preserve">Grassland area mainly covered </w:t>
            </w:r>
            <w:r w:rsidRPr="00EC75B7">
              <w:rPr>
                <w:rFonts w:ascii="Verdana" w:hAnsi="Verdana"/>
                <w:spacing w:val="-5"/>
                <w:sz w:val="18"/>
                <w:szCs w:val="18"/>
              </w:rPr>
              <w:t>with</w:t>
            </w:r>
          </w:p>
          <w:p w14:paraId="627E5B6D" w14:textId="77777777" w:rsidR="008715BE" w:rsidRPr="00EC75B7" w:rsidRDefault="00000000">
            <w:pPr>
              <w:pStyle w:val="TableParagraph"/>
              <w:spacing w:line="189" w:lineRule="exact"/>
              <w:ind w:left="9" w:right="118"/>
              <w:jc w:val="center"/>
              <w:rPr>
                <w:rFonts w:ascii="Verdana" w:hAnsi="Verdana"/>
                <w:i/>
                <w:sz w:val="18"/>
                <w:szCs w:val="18"/>
              </w:rPr>
            </w:pPr>
            <w:r w:rsidRPr="00EC75B7">
              <w:rPr>
                <w:rFonts w:ascii="Verdana" w:hAnsi="Verdana"/>
                <w:i/>
                <w:sz w:val="18"/>
                <w:szCs w:val="18"/>
              </w:rPr>
              <w:t xml:space="preserve">Achillea </w:t>
            </w:r>
            <w:r w:rsidRPr="00EC75B7">
              <w:rPr>
                <w:rFonts w:ascii="Verdana" w:hAnsi="Verdana"/>
                <w:i/>
                <w:spacing w:val="-2"/>
                <w:sz w:val="18"/>
                <w:szCs w:val="18"/>
              </w:rPr>
              <w:t>setacea</w:t>
            </w:r>
          </w:p>
        </w:tc>
        <w:tc>
          <w:tcPr>
            <w:tcW w:w="4858" w:type="dxa"/>
          </w:tcPr>
          <w:p w14:paraId="24865EE2" w14:textId="77777777" w:rsidR="008715BE" w:rsidRPr="00EC75B7" w:rsidRDefault="00000000">
            <w:pPr>
              <w:pStyle w:val="TableParagraph"/>
              <w:spacing w:before="9" w:line="219" w:lineRule="exact"/>
              <w:ind w:left="7" w:right="110"/>
              <w:jc w:val="center"/>
              <w:rPr>
                <w:rFonts w:ascii="Verdana" w:hAnsi="Verdana"/>
                <w:sz w:val="18"/>
                <w:szCs w:val="18"/>
              </w:rPr>
            </w:pPr>
            <w:r w:rsidRPr="00EC75B7">
              <w:rPr>
                <w:rFonts w:ascii="Verdana" w:hAnsi="Verdana"/>
                <w:sz w:val="18"/>
                <w:szCs w:val="18"/>
              </w:rPr>
              <w:t xml:space="preserve">Grassland area mainly covered </w:t>
            </w:r>
            <w:r w:rsidRPr="00EC75B7">
              <w:rPr>
                <w:rFonts w:ascii="Verdana" w:hAnsi="Verdana"/>
                <w:spacing w:val="-5"/>
                <w:sz w:val="18"/>
                <w:szCs w:val="18"/>
              </w:rPr>
              <w:t>with</w:t>
            </w:r>
          </w:p>
          <w:p w14:paraId="51F2C85C" w14:textId="77777777" w:rsidR="008715BE" w:rsidRPr="00EC75B7" w:rsidRDefault="00000000">
            <w:pPr>
              <w:pStyle w:val="TableParagraph"/>
              <w:spacing w:line="189" w:lineRule="exact"/>
              <w:ind w:left="12" w:right="110"/>
              <w:jc w:val="center"/>
              <w:rPr>
                <w:rFonts w:ascii="Verdana" w:hAnsi="Verdana"/>
                <w:i/>
                <w:sz w:val="18"/>
                <w:szCs w:val="18"/>
              </w:rPr>
            </w:pPr>
            <w:r w:rsidRPr="00EC75B7">
              <w:rPr>
                <w:rFonts w:ascii="Verdana" w:hAnsi="Verdana"/>
                <w:i/>
                <w:sz w:val="18"/>
                <w:szCs w:val="18"/>
              </w:rPr>
              <w:t xml:space="preserve">Hordeum </w:t>
            </w:r>
            <w:r w:rsidRPr="00EC75B7">
              <w:rPr>
                <w:rFonts w:ascii="Verdana" w:hAnsi="Verdana"/>
                <w:i/>
                <w:spacing w:val="-2"/>
                <w:sz w:val="18"/>
                <w:szCs w:val="18"/>
              </w:rPr>
              <w:t>vulgare</w:t>
            </w:r>
          </w:p>
        </w:tc>
      </w:tr>
    </w:tbl>
    <w:p w14:paraId="37F79B96" w14:textId="77777777" w:rsidR="008715BE" w:rsidRPr="00EC75B7" w:rsidRDefault="008715BE">
      <w:pPr>
        <w:pStyle w:val="TableParagraph"/>
        <w:spacing w:line="189" w:lineRule="exact"/>
        <w:jc w:val="center"/>
        <w:rPr>
          <w:rFonts w:ascii="Verdana" w:hAnsi="Verdana"/>
          <w:i/>
          <w:sz w:val="18"/>
          <w:szCs w:val="18"/>
        </w:rPr>
        <w:sectPr w:rsidR="008715BE" w:rsidRPr="00EC75B7">
          <w:pgSz w:w="11910" w:h="16840"/>
          <w:pgMar w:top="1160" w:right="141" w:bottom="1020" w:left="425" w:header="766" w:footer="797" w:gutter="0"/>
          <w:cols w:space="708"/>
        </w:sectPr>
      </w:pPr>
    </w:p>
    <w:p w14:paraId="31189EE9" w14:textId="77777777" w:rsidR="008715BE" w:rsidRPr="00EC75B7" w:rsidRDefault="008715BE">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63BB584C" w14:textId="77777777">
        <w:trPr>
          <w:trHeight w:val="5099"/>
        </w:trPr>
        <w:tc>
          <w:tcPr>
            <w:tcW w:w="4857" w:type="dxa"/>
          </w:tcPr>
          <w:p w14:paraId="18952D2F"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770B961B" wp14:editId="128A7842">
                  <wp:extent cx="2974237" cy="3190589"/>
                  <wp:effectExtent l="0" t="0" r="0" b="0"/>
                  <wp:docPr id="15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09" cstate="print"/>
                          <a:stretch>
                            <a:fillRect/>
                          </a:stretch>
                        </pic:blipFill>
                        <pic:spPr>
                          <a:xfrm>
                            <a:off x="0" y="0"/>
                            <a:ext cx="2974237" cy="3190589"/>
                          </a:xfrm>
                          <a:prstGeom prst="rect">
                            <a:avLst/>
                          </a:prstGeom>
                        </pic:spPr>
                      </pic:pic>
                    </a:graphicData>
                  </a:graphic>
                </wp:inline>
              </w:drawing>
            </w:r>
          </w:p>
        </w:tc>
        <w:tc>
          <w:tcPr>
            <w:tcW w:w="4858" w:type="dxa"/>
          </w:tcPr>
          <w:p w14:paraId="2DF32410"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6534258F" wp14:editId="1C91D7E3">
                  <wp:extent cx="2975113" cy="3190589"/>
                  <wp:effectExtent l="0" t="0" r="0" b="0"/>
                  <wp:docPr id="152" name="Image 152"/>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10" cstate="print"/>
                          <a:stretch>
                            <a:fillRect/>
                          </a:stretch>
                        </pic:blipFill>
                        <pic:spPr>
                          <a:xfrm>
                            <a:off x="0" y="0"/>
                            <a:ext cx="2975113" cy="3190589"/>
                          </a:xfrm>
                          <a:prstGeom prst="rect">
                            <a:avLst/>
                          </a:prstGeom>
                        </pic:spPr>
                      </pic:pic>
                    </a:graphicData>
                  </a:graphic>
                </wp:inline>
              </w:drawing>
            </w:r>
          </w:p>
        </w:tc>
      </w:tr>
      <w:tr w:rsidR="008715BE" w:rsidRPr="00EC75B7" w14:paraId="52522B37" w14:textId="77777777">
        <w:trPr>
          <w:trHeight w:val="218"/>
        </w:trPr>
        <w:tc>
          <w:tcPr>
            <w:tcW w:w="9715" w:type="dxa"/>
            <w:gridSpan w:val="2"/>
          </w:tcPr>
          <w:p w14:paraId="25373753" w14:textId="77777777" w:rsidR="008715BE" w:rsidRPr="00EC75B7" w:rsidRDefault="00000000">
            <w:pPr>
              <w:pStyle w:val="TableParagraph"/>
              <w:spacing w:before="9" w:line="189" w:lineRule="exact"/>
              <w:ind w:right="108"/>
              <w:jc w:val="center"/>
              <w:rPr>
                <w:rFonts w:ascii="Verdana" w:hAnsi="Verdana"/>
                <w:sz w:val="18"/>
                <w:szCs w:val="18"/>
              </w:rPr>
            </w:pPr>
            <w:r w:rsidRPr="00EC75B7">
              <w:rPr>
                <w:rFonts w:ascii="Verdana" w:hAnsi="Verdana"/>
                <w:color w:val="444444"/>
                <w:sz w:val="18"/>
                <w:szCs w:val="18"/>
              </w:rPr>
              <w:t xml:space="preserve">Aspects of the analyzed grassland area and identified pressure </w:t>
            </w:r>
            <w:r w:rsidRPr="00EC75B7">
              <w:rPr>
                <w:rFonts w:ascii="Verdana" w:hAnsi="Verdana"/>
                <w:color w:val="444444"/>
                <w:spacing w:val="-2"/>
                <w:sz w:val="18"/>
                <w:szCs w:val="18"/>
              </w:rPr>
              <w:t>(sheepfold)</w:t>
            </w:r>
          </w:p>
        </w:tc>
      </w:tr>
    </w:tbl>
    <w:p w14:paraId="3550C26F" w14:textId="77777777" w:rsidR="008715BE" w:rsidRPr="00EC75B7" w:rsidRDefault="00000000">
      <w:pPr>
        <w:spacing w:before="131"/>
        <w:ind w:right="57"/>
        <w:jc w:val="center"/>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28 </w:t>
      </w:r>
      <w:r w:rsidRPr="00EC75B7">
        <w:rPr>
          <w:rFonts w:ascii="Verdana" w:hAnsi="Verdana"/>
          <w:b/>
          <w:color w:val="009DEF"/>
          <w:sz w:val="18"/>
          <w:szCs w:val="18"/>
        </w:rPr>
        <w:t xml:space="preserve">Aspects of vegetation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763FF3EA" w14:textId="77777777" w:rsidR="008715BE" w:rsidRPr="00EC75B7" w:rsidRDefault="008715BE">
      <w:pPr>
        <w:pStyle w:val="BodyText"/>
        <w:rPr>
          <w:rFonts w:ascii="Verdana" w:hAnsi="Verdana"/>
          <w:b/>
        </w:rPr>
      </w:pPr>
    </w:p>
    <w:p w14:paraId="0E7D3ED0" w14:textId="77777777" w:rsidR="008715BE" w:rsidRPr="00EC75B7" w:rsidRDefault="008715BE">
      <w:pPr>
        <w:pStyle w:val="BodyText"/>
        <w:rPr>
          <w:rFonts w:ascii="Verdana" w:hAnsi="Verdana"/>
          <w:b/>
        </w:rPr>
      </w:pPr>
    </w:p>
    <w:p w14:paraId="75DF6D21" w14:textId="77777777" w:rsidR="008715BE" w:rsidRPr="00EC75B7" w:rsidRDefault="008715BE">
      <w:pPr>
        <w:pStyle w:val="BodyText"/>
        <w:spacing w:before="4"/>
        <w:rPr>
          <w:rFonts w:ascii="Verdana" w:hAnsi="Verdana"/>
          <w:b/>
        </w:rPr>
      </w:pPr>
    </w:p>
    <w:p w14:paraId="176A7457" w14:textId="77777777" w:rsidR="008715BE" w:rsidRPr="00EC75B7" w:rsidRDefault="00000000">
      <w:pPr>
        <w:pStyle w:val="Heading5"/>
        <w:numPr>
          <w:ilvl w:val="0"/>
          <w:numId w:val="92"/>
        </w:numPr>
        <w:tabs>
          <w:tab w:val="left" w:pos="1512"/>
        </w:tabs>
        <w:ind w:left="1512" w:hanging="358"/>
        <w:jc w:val="left"/>
        <w:rPr>
          <w:rFonts w:ascii="Verdana" w:hAnsi="Verdana"/>
        </w:rPr>
      </w:pPr>
      <w:r w:rsidRPr="00EC75B7">
        <w:rPr>
          <w:rFonts w:ascii="Verdana" w:hAnsi="Verdana"/>
          <w:spacing w:val="-2"/>
        </w:rPr>
        <w:t>Mammals</w:t>
      </w:r>
    </w:p>
    <w:p w14:paraId="69FDF011" w14:textId="77777777" w:rsidR="008715BE" w:rsidRPr="00EC75B7" w:rsidRDefault="008715BE">
      <w:pPr>
        <w:pStyle w:val="BodyText"/>
        <w:spacing w:before="10"/>
        <w:rPr>
          <w:rFonts w:ascii="Verdana" w:hAnsi="Verdana"/>
          <w:b/>
        </w:rPr>
      </w:pPr>
    </w:p>
    <w:p w14:paraId="4DEF9A6F" w14:textId="77777777" w:rsidR="008715BE" w:rsidRPr="00EC75B7" w:rsidRDefault="00000000">
      <w:pPr>
        <w:pStyle w:val="BodyText"/>
        <w:spacing w:line="357" w:lineRule="auto"/>
        <w:ind w:left="794" w:right="848"/>
        <w:jc w:val="both"/>
        <w:rPr>
          <w:rFonts w:ascii="Verdana" w:hAnsi="Verdana"/>
        </w:rPr>
      </w:pPr>
      <w:r w:rsidRPr="00EC75B7">
        <w:rPr>
          <w:rFonts w:ascii="Verdana" w:hAnsi="Verdana"/>
        </w:rPr>
        <w:t>During the monitoring period, 14 mammal species were identified in the study area (which includes both the project site and the southern end of the Natura 2000 site ROSCI0071 Dumbrăveni - Valea Urluia - Lacul Vederoasa), as shown in the table below.</w:t>
      </w:r>
    </w:p>
    <w:p w14:paraId="7C04817E" w14:textId="77777777" w:rsidR="008715BE" w:rsidRPr="00EC75B7" w:rsidRDefault="00000000">
      <w:pPr>
        <w:spacing w:before="172"/>
        <w:ind w:left="765"/>
        <w:jc w:val="both"/>
        <w:rPr>
          <w:rFonts w:ascii="Verdana" w:hAnsi="Verdana"/>
          <w:b/>
          <w:sz w:val="18"/>
          <w:szCs w:val="18"/>
        </w:rPr>
      </w:pPr>
      <w:r w:rsidRPr="00EC75B7">
        <w:rPr>
          <w:rFonts w:ascii="Verdana" w:hAnsi="Verdana"/>
          <w:b/>
          <w:color w:val="00AFEF"/>
          <w:sz w:val="18"/>
          <w:szCs w:val="18"/>
        </w:rPr>
        <w:t xml:space="preserve">Table 11 </w:t>
      </w:r>
      <w:r w:rsidRPr="00EC75B7">
        <w:rPr>
          <w:rFonts w:ascii="Verdana" w:hAnsi="Verdana"/>
          <w:b/>
          <w:color w:val="00AFEF"/>
          <w:spacing w:val="-2"/>
          <w:sz w:val="18"/>
          <w:szCs w:val="18"/>
        </w:rPr>
        <w:t xml:space="preserve">Identified </w:t>
      </w:r>
      <w:r w:rsidRPr="00EC75B7">
        <w:rPr>
          <w:rFonts w:ascii="Verdana" w:hAnsi="Verdana"/>
          <w:b/>
          <w:color w:val="00AFEF"/>
          <w:sz w:val="18"/>
          <w:szCs w:val="18"/>
        </w:rPr>
        <w:t>mammal species</w:t>
      </w:r>
    </w:p>
    <w:tbl>
      <w:tblPr>
        <w:tblStyle w:val="TableNormal1"/>
        <w:tblW w:w="0" w:type="auto"/>
        <w:tblInd w:w="2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179"/>
        <w:gridCol w:w="1282"/>
        <w:gridCol w:w="987"/>
        <w:gridCol w:w="1422"/>
        <w:gridCol w:w="874"/>
        <w:gridCol w:w="1208"/>
        <w:gridCol w:w="1179"/>
        <w:gridCol w:w="1508"/>
        <w:gridCol w:w="1577"/>
      </w:tblGrid>
      <w:tr w:rsidR="008715BE" w:rsidRPr="00E26EB0" w14:paraId="49B3BCBD" w14:textId="77777777">
        <w:trPr>
          <w:trHeight w:val="510"/>
        </w:trPr>
        <w:tc>
          <w:tcPr>
            <w:tcW w:w="1179" w:type="dxa"/>
            <w:shd w:val="clear" w:color="auto" w:fill="00A1E8"/>
          </w:tcPr>
          <w:p w14:paraId="53E8B190" w14:textId="77777777" w:rsidR="008715BE" w:rsidRPr="00E26EB0" w:rsidRDefault="00000000">
            <w:pPr>
              <w:pStyle w:val="TableParagraph"/>
              <w:spacing w:before="169"/>
              <w:ind w:left="6" w:right="1"/>
              <w:jc w:val="center"/>
              <w:rPr>
                <w:rFonts w:ascii="Verdana" w:hAnsi="Verdana"/>
                <w:b/>
                <w:sz w:val="16"/>
                <w:szCs w:val="16"/>
              </w:rPr>
            </w:pPr>
            <w:r w:rsidRPr="00E26EB0">
              <w:rPr>
                <w:rFonts w:ascii="Verdana" w:hAnsi="Verdana"/>
                <w:b/>
                <w:color w:val="FFFFFF"/>
                <w:spacing w:val="-2"/>
                <w:sz w:val="16"/>
                <w:szCs w:val="16"/>
              </w:rPr>
              <w:t>Species</w:t>
            </w:r>
          </w:p>
        </w:tc>
        <w:tc>
          <w:tcPr>
            <w:tcW w:w="1282" w:type="dxa"/>
            <w:shd w:val="clear" w:color="auto" w:fill="00A1E8"/>
          </w:tcPr>
          <w:p w14:paraId="20F0C5A5" w14:textId="77777777" w:rsidR="008715BE" w:rsidRPr="00E26EB0" w:rsidRDefault="00000000">
            <w:pPr>
              <w:pStyle w:val="TableParagraph"/>
              <w:spacing w:before="169"/>
              <w:ind w:left="161" w:right="157"/>
              <w:jc w:val="center"/>
              <w:rPr>
                <w:rFonts w:ascii="Verdana" w:hAnsi="Verdana"/>
                <w:b/>
                <w:sz w:val="16"/>
                <w:szCs w:val="16"/>
              </w:rPr>
            </w:pPr>
            <w:r w:rsidRPr="00E26EB0">
              <w:rPr>
                <w:rFonts w:ascii="Verdana" w:hAnsi="Verdana"/>
                <w:b/>
                <w:color w:val="FFFFFF"/>
                <w:sz w:val="16"/>
                <w:szCs w:val="16"/>
              </w:rPr>
              <w:t xml:space="preserve">Species </w:t>
            </w:r>
            <w:r w:rsidRPr="00E26EB0">
              <w:rPr>
                <w:rFonts w:ascii="Verdana" w:hAnsi="Verdana"/>
                <w:b/>
                <w:color w:val="FFFFFF"/>
                <w:spacing w:val="-4"/>
                <w:sz w:val="16"/>
                <w:szCs w:val="16"/>
              </w:rPr>
              <w:t>(ro)</w:t>
            </w:r>
          </w:p>
        </w:tc>
        <w:tc>
          <w:tcPr>
            <w:tcW w:w="987" w:type="dxa"/>
            <w:shd w:val="clear" w:color="auto" w:fill="00A1E8"/>
          </w:tcPr>
          <w:p w14:paraId="15023E48" w14:textId="77777777" w:rsidR="00E26EB0" w:rsidRDefault="00E26EB0">
            <w:pPr>
              <w:pStyle w:val="TableParagraph"/>
              <w:spacing w:before="85" w:line="169" w:lineRule="exact"/>
              <w:ind w:left="200"/>
              <w:rPr>
                <w:rFonts w:ascii="Verdana" w:hAnsi="Verdana"/>
                <w:b/>
                <w:color w:val="FFFFFF"/>
                <w:sz w:val="16"/>
                <w:szCs w:val="16"/>
              </w:rPr>
            </w:pPr>
          </w:p>
          <w:p w14:paraId="4FDB06BC" w14:textId="5445CE25" w:rsidR="008715BE" w:rsidRPr="00E26EB0" w:rsidRDefault="00000000">
            <w:pPr>
              <w:pStyle w:val="TableParagraph"/>
              <w:spacing w:before="85" w:line="169" w:lineRule="exact"/>
              <w:ind w:left="200"/>
              <w:rPr>
                <w:rFonts w:ascii="Verdana" w:hAnsi="Verdana"/>
                <w:b/>
                <w:sz w:val="16"/>
                <w:szCs w:val="16"/>
              </w:rPr>
            </w:pPr>
            <w:r w:rsidRPr="00E26EB0">
              <w:rPr>
                <w:rFonts w:ascii="Verdana" w:hAnsi="Verdana"/>
                <w:b/>
                <w:color w:val="FFFFFF"/>
                <w:sz w:val="16"/>
                <w:szCs w:val="16"/>
              </w:rPr>
              <w:t xml:space="preserve">No. </w:t>
            </w:r>
            <w:r w:rsidRPr="00E26EB0">
              <w:rPr>
                <w:rFonts w:ascii="Verdana" w:hAnsi="Verdana"/>
                <w:b/>
                <w:color w:val="FFFFFF"/>
                <w:spacing w:val="-4"/>
                <w:sz w:val="16"/>
                <w:szCs w:val="16"/>
              </w:rPr>
              <w:t>ind.</w:t>
            </w:r>
          </w:p>
          <w:p w14:paraId="209E3231" w14:textId="77777777" w:rsidR="008715BE" w:rsidRPr="00E26EB0" w:rsidRDefault="00000000">
            <w:pPr>
              <w:pStyle w:val="TableParagraph"/>
              <w:spacing w:line="169" w:lineRule="exact"/>
              <w:ind w:left="107"/>
              <w:rPr>
                <w:rFonts w:ascii="Verdana" w:hAnsi="Verdana"/>
                <w:b/>
                <w:sz w:val="16"/>
                <w:szCs w:val="16"/>
              </w:rPr>
            </w:pPr>
            <w:r w:rsidRPr="00E26EB0">
              <w:rPr>
                <w:rFonts w:ascii="Verdana" w:hAnsi="Verdana"/>
                <w:b/>
                <w:color w:val="FFFFFF"/>
                <w:spacing w:val="-2"/>
                <w:sz w:val="16"/>
                <w:szCs w:val="16"/>
              </w:rPr>
              <w:t>reported</w:t>
            </w:r>
          </w:p>
        </w:tc>
        <w:tc>
          <w:tcPr>
            <w:tcW w:w="1422" w:type="dxa"/>
            <w:shd w:val="clear" w:color="auto" w:fill="00A1E8"/>
          </w:tcPr>
          <w:p w14:paraId="1AFE461C" w14:textId="77777777" w:rsidR="00E26EB0" w:rsidRDefault="00E26EB0">
            <w:pPr>
              <w:pStyle w:val="TableParagraph"/>
              <w:spacing w:line="170" w:lineRule="exact"/>
              <w:ind w:left="11" w:right="3"/>
              <w:jc w:val="center"/>
              <w:rPr>
                <w:rFonts w:ascii="Verdana" w:hAnsi="Verdana"/>
                <w:b/>
                <w:color w:val="FFFFFF"/>
                <w:spacing w:val="-2"/>
                <w:sz w:val="16"/>
                <w:szCs w:val="16"/>
              </w:rPr>
            </w:pPr>
          </w:p>
          <w:p w14:paraId="6FF837BF" w14:textId="2D61C639" w:rsidR="008715BE" w:rsidRPr="00E26EB0" w:rsidRDefault="00000000">
            <w:pPr>
              <w:pStyle w:val="TableParagraph"/>
              <w:spacing w:line="170" w:lineRule="exact"/>
              <w:ind w:left="11" w:right="3"/>
              <w:jc w:val="center"/>
              <w:rPr>
                <w:rFonts w:ascii="Verdana" w:hAnsi="Verdana"/>
                <w:b/>
                <w:sz w:val="16"/>
                <w:szCs w:val="16"/>
              </w:rPr>
            </w:pPr>
            <w:r w:rsidRPr="00E26EB0">
              <w:rPr>
                <w:rFonts w:ascii="Verdana" w:hAnsi="Verdana"/>
                <w:b/>
                <w:color w:val="FFFFFF"/>
                <w:spacing w:val="-2"/>
                <w:sz w:val="16"/>
                <w:szCs w:val="16"/>
              </w:rPr>
              <w:t>Observations</w:t>
            </w:r>
          </w:p>
          <w:p w14:paraId="207F9233" w14:textId="77777777" w:rsidR="008715BE" w:rsidRPr="00E26EB0" w:rsidRDefault="00000000">
            <w:pPr>
              <w:pStyle w:val="TableParagraph"/>
              <w:spacing w:line="170" w:lineRule="exact"/>
              <w:ind w:left="11" w:right="1"/>
              <w:jc w:val="center"/>
              <w:rPr>
                <w:rFonts w:ascii="Verdana" w:hAnsi="Verdana"/>
                <w:b/>
                <w:sz w:val="16"/>
                <w:szCs w:val="16"/>
              </w:rPr>
            </w:pPr>
            <w:r w:rsidRPr="00E26EB0">
              <w:rPr>
                <w:rFonts w:ascii="Verdana" w:hAnsi="Verdana"/>
                <w:b/>
                <w:color w:val="FFFFFF"/>
                <w:spacing w:val="-2"/>
                <w:sz w:val="16"/>
                <w:szCs w:val="16"/>
              </w:rPr>
              <w:t>Activity</w:t>
            </w:r>
          </w:p>
          <w:p w14:paraId="59187316" w14:textId="77777777" w:rsidR="008715BE" w:rsidRPr="00E26EB0" w:rsidRDefault="00000000">
            <w:pPr>
              <w:pStyle w:val="TableParagraph"/>
              <w:spacing w:line="150" w:lineRule="exact"/>
              <w:ind w:left="11" w:right="4"/>
              <w:jc w:val="center"/>
              <w:rPr>
                <w:rFonts w:ascii="Verdana" w:hAnsi="Verdana"/>
                <w:b/>
                <w:sz w:val="16"/>
                <w:szCs w:val="16"/>
              </w:rPr>
            </w:pPr>
            <w:r w:rsidRPr="00E26EB0">
              <w:rPr>
                <w:rFonts w:ascii="Verdana" w:hAnsi="Verdana"/>
                <w:b/>
                <w:color w:val="FFFFFF"/>
                <w:spacing w:val="-2"/>
                <w:sz w:val="16"/>
                <w:szCs w:val="16"/>
              </w:rPr>
              <w:t>species</w:t>
            </w:r>
          </w:p>
        </w:tc>
        <w:tc>
          <w:tcPr>
            <w:tcW w:w="874" w:type="dxa"/>
            <w:shd w:val="clear" w:color="auto" w:fill="00A1E8"/>
          </w:tcPr>
          <w:p w14:paraId="1A03F48D" w14:textId="77777777" w:rsidR="008715BE" w:rsidRPr="00E26EB0" w:rsidRDefault="00000000">
            <w:pPr>
              <w:pStyle w:val="TableParagraph"/>
              <w:spacing w:before="169"/>
              <w:ind w:left="7" w:right="4"/>
              <w:jc w:val="center"/>
              <w:rPr>
                <w:rFonts w:ascii="Verdana" w:hAnsi="Verdana"/>
                <w:b/>
                <w:sz w:val="16"/>
                <w:szCs w:val="16"/>
              </w:rPr>
            </w:pPr>
            <w:r w:rsidRPr="00E26EB0">
              <w:rPr>
                <w:rFonts w:ascii="Verdana" w:hAnsi="Verdana"/>
                <w:b/>
                <w:color w:val="FFFFFF"/>
                <w:spacing w:val="-4"/>
                <w:sz w:val="16"/>
                <w:szCs w:val="16"/>
              </w:rPr>
              <w:t>IUCN*</w:t>
            </w:r>
          </w:p>
        </w:tc>
        <w:tc>
          <w:tcPr>
            <w:tcW w:w="1208" w:type="dxa"/>
            <w:shd w:val="clear" w:color="auto" w:fill="00A1E8"/>
          </w:tcPr>
          <w:p w14:paraId="5811CC08" w14:textId="77777777" w:rsidR="00E26EB0" w:rsidRDefault="00E26EB0">
            <w:pPr>
              <w:pStyle w:val="TableParagraph"/>
              <w:spacing w:before="88" w:line="235" w:lineRule="auto"/>
              <w:ind w:left="216" w:firstLine="33"/>
              <w:rPr>
                <w:rFonts w:ascii="Verdana" w:hAnsi="Verdana"/>
                <w:b/>
                <w:color w:val="FFFFFF"/>
                <w:spacing w:val="-2"/>
                <w:sz w:val="16"/>
                <w:szCs w:val="16"/>
              </w:rPr>
            </w:pPr>
          </w:p>
          <w:p w14:paraId="24C98BBB" w14:textId="121C05A8" w:rsidR="008715BE" w:rsidRPr="00E26EB0" w:rsidRDefault="00000000">
            <w:pPr>
              <w:pStyle w:val="TableParagraph"/>
              <w:spacing w:before="88" w:line="235" w:lineRule="auto"/>
              <w:ind w:left="216" w:firstLine="33"/>
              <w:rPr>
                <w:rFonts w:ascii="Verdana" w:hAnsi="Verdana"/>
                <w:b/>
                <w:sz w:val="16"/>
                <w:szCs w:val="16"/>
              </w:rPr>
            </w:pPr>
            <w:r w:rsidRPr="00E26EB0">
              <w:rPr>
                <w:rFonts w:ascii="Verdana" w:hAnsi="Verdana"/>
                <w:b/>
                <w:color w:val="FFFFFF"/>
                <w:spacing w:val="-2"/>
                <w:sz w:val="16"/>
                <w:szCs w:val="16"/>
              </w:rPr>
              <w:t>Habitats Directive*</w:t>
            </w:r>
          </w:p>
        </w:tc>
        <w:tc>
          <w:tcPr>
            <w:tcW w:w="1179" w:type="dxa"/>
            <w:shd w:val="clear" w:color="auto" w:fill="00A1E8"/>
          </w:tcPr>
          <w:p w14:paraId="1B400EF3" w14:textId="77777777" w:rsidR="00E26EB0" w:rsidRDefault="00E26EB0">
            <w:pPr>
              <w:pStyle w:val="TableParagraph"/>
              <w:spacing w:before="85" w:line="169" w:lineRule="exact"/>
              <w:ind w:left="6" w:right="2"/>
              <w:jc w:val="center"/>
              <w:rPr>
                <w:rFonts w:ascii="Verdana" w:hAnsi="Verdana"/>
                <w:b/>
                <w:color w:val="FFFFFF"/>
                <w:spacing w:val="-2"/>
                <w:sz w:val="16"/>
                <w:szCs w:val="16"/>
              </w:rPr>
            </w:pPr>
          </w:p>
          <w:p w14:paraId="63025BD9" w14:textId="27D46C00" w:rsidR="008715BE" w:rsidRPr="00E26EB0" w:rsidRDefault="00000000">
            <w:pPr>
              <w:pStyle w:val="TableParagraph"/>
              <w:spacing w:before="85" w:line="169" w:lineRule="exact"/>
              <w:ind w:left="6" w:right="2"/>
              <w:jc w:val="center"/>
              <w:rPr>
                <w:rFonts w:ascii="Verdana" w:hAnsi="Verdana"/>
                <w:b/>
                <w:sz w:val="16"/>
                <w:szCs w:val="16"/>
              </w:rPr>
            </w:pPr>
            <w:r w:rsidRPr="00E26EB0">
              <w:rPr>
                <w:rFonts w:ascii="Verdana" w:hAnsi="Verdana"/>
                <w:b/>
                <w:color w:val="FFFFFF"/>
                <w:spacing w:val="-2"/>
                <w:sz w:val="16"/>
                <w:szCs w:val="16"/>
              </w:rPr>
              <w:t>Priority species</w:t>
            </w:r>
          </w:p>
          <w:p w14:paraId="6C8A88A5" w14:textId="77777777" w:rsidR="008715BE" w:rsidRPr="00E26EB0" w:rsidRDefault="00000000">
            <w:pPr>
              <w:pStyle w:val="TableParagraph"/>
              <w:spacing w:line="169" w:lineRule="exact"/>
              <w:ind w:left="6" w:right="2"/>
              <w:jc w:val="center"/>
              <w:rPr>
                <w:rFonts w:ascii="Verdana" w:hAnsi="Verdana"/>
                <w:b/>
                <w:sz w:val="16"/>
                <w:szCs w:val="16"/>
              </w:rPr>
            </w:pPr>
            <w:r w:rsidRPr="00E26EB0">
              <w:rPr>
                <w:rFonts w:ascii="Verdana" w:hAnsi="Verdana"/>
                <w:b/>
                <w:color w:val="FFFFFF"/>
                <w:spacing w:val="-2"/>
                <w:sz w:val="16"/>
                <w:szCs w:val="16"/>
              </w:rPr>
              <w:t>priority</w:t>
            </w:r>
          </w:p>
        </w:tc>
        <w:tc>
          <w:tcPr>
            <w:tcW w:w="1508" w:type="dxa"/>
            <w:shd w:val="clear" w:color="auto" w:fill="00A1E8"/>
          </w:tcPr>
          <w:p w14:paraId="19A9029A" w14:textId="77777777" w:rsidR="008715BE" w:rsidRPr="00E26EB0" w:rsidRDefault="00000000" w:rsidP="00E26EB0">
            <w:pPr>
              <w:pStyle w:val="TableParagraph"/>
              <w:spacing w:before="169"/>
              <w:jc w:val="center"/>
              <w:rPr>
                <w:rFonts w:ascii="Verdana" w:hAnsi="Verdana"/>
                <w:b/>
                <w:sz w:val="16"/>
                <w:szCs w:val="16"/>
              </w:rPr>
            </w:pPr>
            <w:r w:rsidRPr="00E26EB0">
              <w:rPr>
                <w:rFonts w:ascii="Verdana" w:hAnsi="Verdana"/>
                <w:b/>
                <w:color w:val="FFFFFF"/>
                <w:sz w:val="16"/>
                <w:szCs w:val="16"/>
              </w:rPr>
              <w:t>Government Emergency Ordinance</w:t>
            </w:r>
            <w:r w:rsidRPr="00E26EB0">
              <w:rPr>
                <w:rFonts w:ascii="Verdana" w:hAnsi="Verdana"/>
                <w:b/>
                <w:color w:val="FFFFFF"/>
                <w:spacing w:val="-2"/>
                <w:sz w:val="16"/>
                <w:szCs w:val="16"/>
              </w:rPr>
              <w:t xml:space="preserve"> 57/2007*</w:t>
            </w:r>
          </w:p>
        </w:tc>
        <w:tc>
          <w:tcPr>
            <w:tcW w:w="1577" w:type="dxa"/>
            <w:shd w:val="clear" w:color="auto" w:fill="00A1E8"/>
          </w:tcPr>
          <w:p w14:paraId="68605FBD" w14:textId="77777777" w:rsidR="00E26EB0" w:rsidRDefault="00E26EB0">
            <w:pPr>
              <w:pStyle w:val="TableParagraph"/>
              <w:ind w:left="111" w:right="105" w:hanging="1"/>
              <w:jc w:val="center"/>
              <w:rPr>
                <w:rFonts w:ascii="Verdana" w:hAnsi="Verdana"/>
                <w:b/>
                <w:color w:val="FFFFFF"/>
                <w:sz w:val="16"/>
                <w:szCs w:val="16"/>
              </w:rPr>
            </w:pPr>
          </w:p>
          <w:p w14:paraId="03D58DB7" w14:textId="038A36AE" w:rsidR="008715BE" w:rsidRPr="00E26EB0" w:rsidRDefault="00000000">
            <w:pPr>
              <w:pStyle w:val="TableParagraph"/>
              <w:ind w:left="111" w:right="105" w:hanging="1"/>
              <w:jc w:val="center"/>
              <w:rPr>
                <w:rFonts w:ascii="Verdana" w:hAnsi="Verdana"/>
                <w:b/>
                <w:sz w:val="16"/>
                <w:szCs w:val="16"/>
              </w:rPr>
            </w:pPr>
            <w:r w:rsidRPr="00E26EB0">
              <w:rPr>
                <w:rFonts w:ascii="Verdana" w:hAnsi="Verdana"/>
                <w:b/>
                <w:color w:val="FFFFFF"/>
                <w:sz w:val="16"/>
                <w:szCs w:val="16"/>
              </w:rPr>
              <w:t xml:space="preserve">Red Book of </w:t>
            </w:r>
            <w:r w:rsidRPr="00E26EB0">
              <w:rPr>
                <w:rFonts w:ascii="Verdana" w:hAnsi="Verdana"/>
                <w:b/>
                <w:color w:val="FFFFFF"/>
                <w:spacing w:val="-2"/>
                <w:sz w:val="16"/>
                <w:szCs w:val="16"/>
              </w:rPr>
              <w:t>Vertebrates in</w:t>
            </w:r>
          </w:p>
          <w:p w14:paraId="32AA48B3" w14:textId="77777777" w:rsidR="008715BE" w:rsidRPr="00E26EB0" w:rsidRDefault="00000000">
            <w:pPr>
              <w:pStyle w:val="TableParagraph"/>
              <w:spacing w:line="150" w:lineRule="exact"/>
              <w:ind w:left="3"/>
              <w:jc w:val="center"/>
              <w:rPr>
                <w:rFonts w:ascii="Verdana" w:hAnsi="Verdana"/>
                <w:b/>
                <w:sz w:val="16"/>
                <w:szCs w:val="16"/>
              </w:rPr>
            </w:pPr>
            <w:r w:rsidRPr="00E26EB0">
              <w:rPr>
                <w:rFonts w:ascii="Verdana" w:hAnsi="Verdana"/>
                <w:b/>
                <w:color w:val="FFFFFF"/>
                <w:spacing w:val="-2"/>
                <w:sz w:val="16"/>
                <w:szCs w:val="16"/>
              </w:rPr>
              <w:t>Romania</w:t>
            </w:r>
          </w:p>
        </w:tc>
      </w:tr>
      <w:tr w:rsidR="008715BE" w:rsidRPr="00E26EB0" w14:paraId="1C3F63A9" w14:textId="77777777">
        <w:trPr>
          <w:trHeight w:val="681"/>
        </w:trPr>
        <w:tc>
          <w:tcPr>
            <w:tcW w:w="1179" w:type="dxa"/>
          </w:tcPr>
          <w:p w14:paraId="0F5C83F7" w14:textId="77777777" w:rsidR="008715BE" w:rsidRPr="00E26EB0" w:rsidRDefault="00000000">
            <w:pPr>
              <w:pStyle w:val="TableParagraph"/>
              <w:spacing w:before="169"/>
              <w:ind w:left="302" w:hanging="82"/>
              <w:rPr>
                <w:rFonts w:ascii="Verdana" w:hAnsi="Verdana"/>
                <w:i/>
                <w:sz w:val="16"/>
                <w:szCs w:val="16"/>
              </w:rPr>
            </w:pPr>
            <w:r w:rsidRPr="00E26EB0">
              <w:rPr>
                <w:rFonts w:ascii="Verdana" w:hAnsi="Verdana"/>
                <w:i/>
                <w:spacing w:val="-2"/>
                <w:sz w:val="16"/>
                <w:szCs w:val="16"/>
              </w:rPr>
              <w:t>Apodemus agrarius</w:t>
            </w:r>
          </w:p>
        </w:tc>
        <w:tc>
          <w:tcPr>
            <w:tcW w:w="1282" w:type="dxa"/>
          </w:tcPr>
          <w:p w14:paraId="6B3F6462" w14:textId="77777777" w:rsidR="008715BE" w:rsidRPr="00E26EB0" w:rsidRDefault="00000000">
            <w:pPr>
              <w:pStyle w:val="TableParagraph"/>
              <w:spacing w:before="83"/>
              <w:ind w:left="161" w:right="152"/>
              <w:jc w:val="center"/>
              <w:rPr>
                <w:rFonts w:ascii="Verdana" w:hAnsi="Verdana"/>
                <w:sz w:val="16"/>
                <w:szCs w:val="16"/>
              </w:rPr>
            </w:pPr>
            <w:r w:rsidRPr="00E26EB0">
              <w:rPr>
                <w:rFonts w:ascii="Verdana" w:hAnsi="Verdana"/>
                <w:spacing w:val="-4"/>
                <w:sz w:val="16"/>
                <w:szCs w:val="16"/>
              </w:rPr>
              <w:t xml:space="preserve">Field </w:t>
            </w:r>
            <w:r w:rsidRPr="00E26EB0">
              <w:rPr>
                <w:rFonts w:ascii="Verdana" w:hAnsi="Verdana"/>
                <w:sz w:val="16"/>
                <w:szCs w:val="16"/>
              </w:rPr>
              <w:t>mouse</w:t>
            </w:r>
          </w:p>
        </w:tc>
        <w:tc>
          <w:tcPr>
            <w:tcW w:w="987" w:type="dxa"/>
          </w:tcPr>
          <w:p w14:paraId="79FAF2A4" w14:textId="77777777" w:rsidR="008715BE" w:rsidRPr="00E26EB0" w:rsidRDefault="008715BE">
            <w:pPr>
              <w:pStyle w:val="TableParagraph"/>
              <w:spacing w:before="82"/>
              <w:rPr>
                <w:rFonts w:ascii="Verdana" w:hAnsi="Verdana"/>
                <w:b/>
                <w:sz w:val="16"/>
                <w:szCs w:val="16"/>
              </w:rPr>
            </w:pPr>
          </w:p>
          <w:p w14:paraId="2B3B8546"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19</w:t>
            </w:r>
          </w:p>
        </w:tc>
        <w:tc>
          <w:tcPr>
            <w:tcW w:w="1422" w:type="dxa"/>
          </w:tcPr>
          <w:p w14:paraId="2574A679" w14:textId="77777777" w:rsidR="008715BE" w:rsidRPr="00E26EB0" w:rsidRDefault="00000000">
            <w:pPr>
              <w:pStyle w:val="TableParagraph"/>
              <w:ind w:left="11" w:right="1"/>
              <w:jc w:val="center"/>
              <w:rPr>
                <w:rFonts w:ascii="Verdana" w:hAnsi="Verdana"/>
                <w:sz w:val="16"/>
                <w:szCs w:val="16"/>
              </w:rPr>
            </w:pPr>
            <w:r w:rsidRPr="00E26EB0">
              <w:rPr>
                <w:rFonts w:ascii="Verdana" w:hAnsi="Verdana"/>
                <w:sz w:val="16"/>
                <w:szCs w:val="16"/>
              </w:rPr>
              <w:t>The species was observed during the summer</w:t>
            </w:r>
          </w:p>
          <w:p w14:paraId="072333D9" w14:textId="77777777" w:rsidR="008715BE" w:rsidRPr="00E26EB0" w:rsidRDefault="00000000">
            <w:pPr>
              <w:pStyle w:val="TableParagraph"/>
              <w:spacing w:line="149" w:lineRule="exact"/>
              <w:ind w:left="11" w:right="5"/>
              <w:jc w:val="center"/>
              <w:rPr>
                <w:rFonts w:ascii="Verdana" w:hAnsi="Verdana"/>
                <w:sz w:val="16"/>
                <w:szCs w:val="16"/>
              </w:rPr>
            </w:pPr>
            <w:r w:rsidRPr="00E26EB0">
              <w:rPr>
                <w:rFonts w:ascii="Verdana" w:hAnsi="Verdana"/>
                <w:sz w:val="16"/>
                <w:szCs w:val="16"/>
              </w:rPr>
              <w:t xml:space="preserve">and </w:t>
            </w:r>
            <w:r w:rsidRPr="00E26EB0">
              <w:rPr>
                <w:rFonts w:ascii="Verdana" w:hAnsi="Verdana"/>
                <w:spacing w:val="-4"/>
                <w:sz w:val="16"/>
                <w:szCs w:val="16"/>
              </w:rPr>
              <w:t>winter</w:t>
            </w:r>
          </w:p>
        </w:tc>
        <w:tc>
          <w:tcPr>
            <w:tcW w:w="874" w:type="dxa"/>
          </w:tcPr>
          <w:p w14:paraId="6C88AEAC" w14:textId="77777777" w:rsidR="008715BE" w:rsidRPr="00E26EB0" w:rsidRDefault="008715BE">
            <w:pPr>
              <w:pStyle w:val="TableParagraph"/>
              <w:spacing w:before="82"/>
              <w:rPr>
                <w:rFonts w:ascii="Verdana" w:hAnsi="Verdana"/>
                <w:b/>
                <w:sz w:val="16"/>
                <w:szCs w:val="16"/>
              </w:rPr>
            </w:pPr>
          </w:p>
          <w:p w14:paraId="52A1E815"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2851412D" w14:textId="77777777" w:rsidR="008715BE" w:rsidRPr="00E26EB0" w:rsidRDefault="008715BE">
            <w:pPr>
              <w:pStyle w:val="TableParagraph"/>
              <w:spacing w:before="82"/>
              <w:rPr>
                <w:rFonts w:ascii="Verdana" w:hAnsi="Verdana"/>
                <w:b/>
                <w:sz w:val="16"/>
                <w:szCs w:val="16"/>
              </w:rPr>
            </w:pPr>
          </w:p>
          <w:p w14:paraId="503E2321"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7AD68346" w14:textId="77777777" w:rsidR="008715BE" w:rsidRPr="00E26EB0" w:rsidRDefault="008715BE">
            <w:pPr>
              <w:pStyle w:val="TableParagraph"/>
              <w:spacing w:before="82"/>
              <w:rPr>
                <w:rFonts w:ascii="Verdana" w:hAnsi="Verdana"/>
                <w:b/>
                <w:sz w:val="16"/>
                <w:szCs w:val="16"/>
              </w:rPr>
            </w:pPr>
          </w:p>
          <w:p w14:paraId="12770FEA"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7CAA44AB" w14:textId="77777777" w:rsidR="008715BE" w:rsidRPr="00E26EB0" w:rsidRDefault="008715BE">
            <w:pPr>
              <w:pStyle w:val="TableParagraph"/>
              <w:spacing w:before="82"/>
              <w:rPr>
                <w:rFonts w:ascii="Verdana" w:hAnsi="Verdana"/>
                <w:b/>
                <w:sz w:val="16"/>
                <w:szCs w:val="16"/>
              </w:rPr>
            </w:pPr>
          </w:p>
          <w:p w14:paraId="2B194AF5"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045D7625" w14:textId="77777777" w:rsidR="008715BE" w:rsidRPr="00E26EB0" w:rsidRDefault="008715BE">
            <w:pPr>
              <w:pStyle w:val="TableParagraph"/>
              <w:spacing w:before="82"/>
              <w:rPr>
                <w:rFonts w:ascii="Verdana" w:hAnsi="Verdana"/>
                <w:b/>
                <w:sz w:val="16"/>
                <w:szCs w:val="16"/>
              </w:rPr>
            </w:pPr>
          </w:p>
          <w:p w14:paraId="108A1474"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11373CEA" w14:textId="77777777">
        <w:trPr>
          <w:trHeight w:val="1190"/>
        </w:trPr>
        <w:tc>
          <w:tcPr>
            <w:tcW w:w="1179" w:type="dxa"/>
          </w:tcPr>
          <w:p w14:paraId="46DF02BE" w14:textId="77777777" w:rsidR="008715BE" w:rsidRPr="00E26EB0" w:rsidRDefault="008715BE">
            <w:pPr>
              <w:pStyle w:val="TableParagraph"/>
              <w:rPr>
                <w:rFonts w:ascii="Verdana" w:hAnsi="Verdana"/>
                <w:b/>
                <w:sz w:val="16"/>
                <w:szCs w:val="16"/>
              </w:rPr>
            </w:pPr>
          </w:p>
          <w:p w14:paraId="7478FD46" w14:textId="77777777" w:rsidR="008715BE" w:rsidRPr="00E26EB0" w:rsidRDefault="008715BE">
            <w:pPr>
              <w:pStyle w:val="TableParagraph"/>
              <w:spacing w:before="82"/>
              <w:rPr>
                <w:rFonts w:ascii="Verdana" w:hAnsi="Verdana"/>
                <w:b/>
                <w:sz w:val="16"/>
                <w:szCs w:val="16"/>
              </w:rPr>
            </w:pPr>
          </w:p>
          <w:p w14:paraId="609966DB" w14:textId="77777777" w:rsidR="008715BE" w:rsidRPr="00E26EB0" w:rsidRDefault="00000000">
            <w:pPr>
              <w:pStyle w:val="TableParagraph"/>
              <w:ind w:left="244" w:hanging="24"/>
              <w:rPr>
                <w:rFonts w:ascii="Verdana" w:hAnsi="Verdana"/>
                <w:i/>
                <w:sz w:val="16"/>
                <w:szCs w:val="16"/>
              </w:rPr>
            </w:pPr>
            <w:r w:rsidRPr="00E26EB0">
              <w:rPr>
                <w:rFonts w:ascii="Verdana" w:hAnsi="Verdana"/>
                <w:i/>
                <w:spacing w:val="-2"/>
                <w:sz w:val="16"/>
                <w:szCs w:val="16"/>
              </w:rPr>
              <w:t>Apodemus sylvaticus</w:t>
            </w:r>
          </w:p>
        </w:tc>
        <w:tc>
          <w:tcPr>
            <w:tcW w:w="1282" w:type="dxa"/>
          </w:tcPr>
          <w:p w14:paraId="780BC648" w14:textId="77777777" w:rsidR="008715BE" w:rsidRPr="00E26EB0" w:rsidRDefault="008715BE">
            <w:pPr>
              <w:pStyle w:val="TableParagraph"/>
              <w:rPr>
                <w:rFonts w:ascii="Verdana" w:hAnsi="Verdana"/>
                <w:b/>
                <w:sz w:val="16"/>
                <w:szCs w:val="16"/>
              </w:rPr>
            </w:pPr>
          </w:p>
          <w:p w14:paraId="76C2B97B" w14:textId="77777777" w:rsidR="008715BE" w:rsidRPr="00E26EB0" w:rsidRDefault="008715BE">
            <w:pPr>
              <w:pStyle w:val="TableParagraph"/>
              <w:spacing w:before="82"/>
              <w:rPr>
                <w:rFonts w:ascii="Verdana" w:hAnsi="Verdana"/>
                <w:b/>
                <w:sz w:val="16"/>
                <w:szCs w:val="16"/>
              </w:rPr>
            </w:pPr>
          </w:p>
          <w:p w14:paraId="2752914E" w14:textId="77777777" w:rsidR="008715BE" w:rsidRPr="00E26EB0" w:rsidRDefault="00000000">
            <w:pPr>
              <w:pStyle w:val="TableParagraph"/>
              <w:ind w:left="395" w:hanging="147"/>
              <w:rPr>
                <w:rFonts w:ascii="Verdana" w:hAnsi="Verdana"/>
                <w:sz w:val="16"/>
                <w:szCs w:val="16"/>
              </w:rPr>
            </w:pPr>
            <w:r w:rsidRPr="00E26EB0">
              <w:rPr>
                <w:rFonts w:ascii="Verdana" w:hAnsi="Verdana"/>
                <w:spacing w:val="-2"/>
                <w:sz w:val="16"/>
                <w:szCs w:val="16"/>
              </w:rPr>
              <w:t xml:space="preserve">Wood </w:t>
            </w:r>
            <w:r w:rsidRPr="00E26EB0">
              <w:rPr>
                <w:rFonts w:ascii="Verdana" w:hAnsi="Verdana"/>
                <w:sz w:val="16"/>
                <w:szCs w:val="16"/>
              </w:rPr>
              <w:t>mouse</w:t>
            </w:r>
          </w:p>
        </w:tc>
        <w:tc>
          <w:tcPr>
            <w:tcW w:w="987" w:type="dxa"/>
          </w:tcPr>
          <w:p w14:paraId="259D2D49" w14:textId="77777777" w:rsidR="008715BE" w:rsidRPr="00E26EB0" w:rsidRDefault="008715BE">
            <w:pPr>
              <w:pStyle w:val="TableParagraph"/>
              <w:rPr>
                <w:rFonts w:ascii="Verdana" w:hAnsi="Verdana"/>
                <w:b/>
                <w:sz w:val="16"/>
                <w:szCs w:val="16"/>
              </w:rPr>
            </w:pPr>
          </w:p>
          <w:p w14:paraId="19DF1C18" w14:textId="77777777" w:rsidR="008715BE" w:rsidRPr="00E26EB0" w:rsidRDefault="008715BE">
            <w:pPr>
              <w:pStyle w:val="TableParagraph"/>
              <w:spacing w:before="166"/>
              <w:rPr>
                <w:rFonts w:ascii="Verdana" w:hAnsi="Verdana"/>
                <w:b/>
                <w:sz w:val="16"/>
                <w:szCs w:val="16"/>
              </w:rPr>
            </w:pPr>
          </w:p>
          <w:p w14:paraId="1F457EA4"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1</w:t>
            </w:r>
          </w:p>
        </w:tc>
        <w:tc>
          <w:tcPr>
            <w:tcW w:w="1422" w:type="dxa"/>
          </w:tcPr>
          <w:p w14:paraId="48181CB7" w14:textId="77777777" w:rsidR="008715BE" w:rsidRPr="00E26EB0" w:rsidRDefault="00000000">
            <w:pPr>
              <w:pStyle w:val="TableParagraph"/>
              <w:spacing w:line="237" w:lineRule="auto"/>
              <w:ind w:left="167" w:right="154" w:hanging="1"/>
              <w:jc w:val="center"/>
              <w:rPr>
                <w:rFonts w:ascii="Verdana" w:hAnsi="Verdana"/>
                <w:sz w:val="16"/>
                <w:szCs w:val="16"/>
              </w:rPr>
            </w:pPr>
            <w:r w:rsidRPr="00E26EB0">
              <w:rPr>
                <w:rFonts w:ascii="Verdana" w:hAnsi="Verdana"/>
                <w:sz w:val="16"/>
                <w:szCs w:val="16"/>
              </w:rPr>
              <w:t xml:space="preserve">The species does not nest on </w:t>
            </w:r>
            <w:r w:rsidRPr="00E26EB0">
              <w:rPr>
                <w:rFonts w:ascii="Verdana" w:hAnsi="Verdana"/>
                <w:spacing w:val="-2"/>
                <w:sz w:val="16"/>
                <w:szCs w:val="16"/>
              </w:rPr>
              <w:t xml:space="preserve">the site, but uses </w:t>
            </w:r>
            <w:r w:rsidRPr="00E26EB0">
              <w:rPr>
                <w:rFonts w:ascii="Verdana" w:hAnsi="Verdana"/>
                <w:sz w:val="16"/>
                <w:szCs w:val="16"/>
              </w:rPr>
              <w:t>it for</w:t>
            </w:r>
          </w:p>
          <w:p w14:paraId="601268BA" w14:textId="77777777" w:rsidR="008715BE" w:rsidRPr="00E26EB0" w:rsidRDefault="00000000">
            <w:pPr>
              <w:pStyle w:val="TableParagraph"/>
              <w:spacing w:before="4" w:line="151" w:lineRule="exact"/>
              <w:ind w:left="11"/>
              <w:jc w:val="center"/>
              <w:rPr>
                <w:rFonts w:ascii="Verdana" w:hAnsi="Verdana"/>
                <w:sz w:val="16"/>
                <w:szCs w:val="16"/>
              </w:rPr>
            </w:pPr>
            <w:r w:rsidRPr="00E26EB0">
              <w:rPr>
                <w:rFonts w:ascii="Verdana" w:hAnsi="Verdana"/>
                <w:spacing w:val="-2"/>
                <w:sz w:val="16"/>
                <w:szCs w:val="16"/>
              </w:rPr>
              <w:t>transit</w:t>
            </w:r>
          </w:p>
        </w:tc>
        <w:tc>
          <w:tcPr>
            <w:tcW w:w="874" w:type="dxa"/>
          </w:tcPr>
          <w:p w14:paraId="3D489604" w14:textId="77777777" w:rsidR="008715BE" w:rsidRPr="00E26EB0" w:rsidRDefault="008715BE">
            <w:pPr>
              <w:pStyle w:val="TableParagraph"/>
              <w:rPr>
                <w:rFonts w:ascii="Verdana" w:hAnsi="Verdana"/>
                <w:b/>
                <w:sz w:val="16"/>
                <w:szCs w:val="16"/>
              </w:rPr>
            </w:pPr>
          </w:p>
          <w:p w14:paraId="24AFE741" w14:textId="77777777" w:rsidR="008715BE" w:rsidRPr="00E26EB0" w:rsidRDefault="008715BE">
            <w:pPr>
              <w:pStyle w:val="TableParagraph"/>
              <w:spacing w:before="166"/>
              <w:rPr>
                <w:rFonts w:ascii="Verdana" w:hAnsi="Verdana"/>
                <w:b/>
                <w:sz w:val="16"/>
                <w:szCs w:val="16"/>
              </w:rPr>
            </w:pPr>
          </w:p>
          <w:p w14:paraId="0B476D40"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4E36F269" w14:textId="77777777" w:rsidR="008715BE" w:rsidRPr="00E26EB0" w:rsidRDefault="008715BE">
            <w:pPr>
              <w:pStyle w:val="TableParagraph"/>
              <w:rPr>
                <w:rFonts w:ascii="Verdana" w:hAnsi="Verdana"/>
                <w:b/>
                <w:sz w:val="16"/>
                <w:szCs w:val="16"/>
              </w:rPr>
            </w:pPr>
          </w:p>
          <w:p w14:paraId="2CFE8EE5" w14:textId="77777777" w:rsidR="008715BE" w:rsidRPr="00E26EB0" w:rsidRDefault="008715BE">
            <w:pPr>
              <w:pStyle w:val="TableParagraph"/>
              <w:spacing w:before="166"/>
              <w:rPr>
                <w:rFonts w:ascii="Verdana" w:hAnsi="Verdana"/>
                <w:b/>
                <w:sz w:val="16"/>
                <w:szCs w:val="16"/>
              </w:rPr>
            </w:pPr>
          </w:p>
          <w:p w14:paraId="3CBCBE7C"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2FE465FA" w14:textId="77777777" w:rsidR="008715BE" w:rsidRPr="00E26EB0" w:rsidRDefault="008715BE">
            <w:pPr>
              <w:pStyle w:val="TableParagraph"/>
              <w:rPr>
                <w:rFonts w:ascii="Verdana" w:hAnsi="Verdana"/>
                <w:b/>
                <w:sz w:val="16"/>
                <w:szCs w:val="16"/>
              </w:rPr>
            </w:pPr>
          </w:p>
          <w:p w14:paraId="6828F3DF" w14:textId="77777777" w:rsidR="008715BE" w:rsidRPr="00E26EB0" w:rsidRDefault="008715BE">
            <w:pPr>
              <w:pStyle w:val="TableParagraph"/>
              <w:spacing w:before="166"/>
              <w:rPr>
                <w:rFonts w:ascii="Verdana" w:hAnsi="Verdana"/>
                <w:b/>
                <w:sz w:val="16"/>
                <w:szCs w:val="16"/>
              </w:rPr>
            </w:pPr>
          </w:p>
          <w:p w14:paraId="062099DE"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2BBB83AF" w14:textId="77777777" w:rsidR="008715BE" w:rsidRPr="00E26EB0" w:rsidRDefault="008715BE">
            <w:pPr>
              <w:pStyle w:val="TableParagraph"/>
              <w:rPr>
                <w:rFonts w:ascii="Verdana" w:hAnsi="Verdana"/>
                <w:b/>
                <w:sz w:val="16"/>
                <w:szCs w:val="16"/>
              </w:rPr>
            </w:pPr>
          </w:p>
          <w:p w14:paraId="53B7A697" w14:textId="77777777" w:rsidR="008715BE" w:rsidRPr="00E26EB0" w:rsidRDefault="008715BE">
            <w:pPr>
              <w:pStyle w:val="TableParagraph"/>
              <w:spacing w:before="166"/>
              <w:rPr>
                <w:rFonts w:ascii="Verdana" w:hAnsi="Verdana"/>
                <w:b/>
                <w:sz w:val="16"/>
                <w:szCs w:val="16"/>
              </w:rPr>
            </w:pPr>
          </w:p>
          <w:p w14:paraId="477EDCC6"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68E883AD" w14:textId="77777777" w:rsidR="008715BE" w:rsidRPr="00E26EB0" w:rsidRDefault="008715BE">
            <w:pPr>
              <w:pStyle w:val="TableParagraph"/>
              <w:rPr>
                <w:rFonts w:ascii="Verdana" w:hAnsi="Verdana"/>
                <w:b/>
                <w:sz w:val="16"/>
                <w:szCs w:val="16"/>
              </w:rPr>
            </w:pPr>
          </w:p>
          <w:p w14:paraId="3B106554" w14:textId="77777777" w:rsidR="008715BE" w:rsidRPr="00E26EB0" w:rsidRDefault="008715BE">
            <w:pPr>
              <w:pStyle w:val="TableParagraph"/>
              <w:spacing w:before="166"/>
              <w:rPr>
                <w:rFonts w:ascii="Verdana" w:hAnsi="Verdana"/>
                <w:b/>
                <w:sz w:val="16"/>
                <w:szCs w:val="16"/>
              </w:rPr>
            </w:pPr>
          </w:p>
          <w:p w14:paraId="7F0C2D6A"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0F5FDB15" w14:textId="77777777">
        <w:trPr>
          <w:trHeight w:val="681"/>
        </w:trPr>
        <w:tc>
          <w:tcPr>
            <w:tcW w:w="1179" w:type="dxa"/>
          </w:tcPr>
          <w:p w14:paraId="0F2884CC" w14:textId="77777777" w:rsidR="008715BE" w:rsidRPr="00E26EB0" w:rsidRDefault="008715BE">
            <w:pPr>
              <w:pStyle w:val="TableParagraph"/>
              <w:spacing w:before="82"/>
              <w:rPr>
                <w:rFonts w:ascii="Verdana" w:hAnsi="Verdana"/>
                <w:b/>
                <w:sz w:val="16"/>
                <w:szCs w:val="16"/>
              </w:rPr>
            </w:pPr>
          </w:p>
          <w:p w14:paraId="207B4AE5" w14:textId="77777777" w:rsidR="008715BE" w:rsidRPr="00E26EB0" w:rsidRDefault="00000000">
            <w:pPr>
              <w:pStyle w:val="TableParagraph"/>
              <w:ind w:left="6"/>
              <w:jc w:val="center"/>
              <w:rPr>
                <w:rFonts w:ascii="Verdana" w:hAnsi="Verdana"/>
                <w:i/>
                <w:sz w:val="16"/>
                <w:szCs w:val="16"/>
              </w:rPr>
            </w:pPr>
            <w:r w:rsidRPr="00E26EB0">
              <w:rPr>
                <w:rFonts w:ascii="Verdana" w:hAnsi="Verdana"/>
                <w:i/>
                <w:sz w:val="16"/>
                <w:szCs w:val="16"/>
              </w:rPr>
              <w:t xml:space="preserve">Canis </w:t>
            </w:r>
            <w:r w:rsidRPr="00E26EB0">
              <w:rPr>
                <w:rFonts w:ascii="Verdana" w:hAnsi="Verdana"/>
                <w:i/>
                <w:spacing w:val="-2"/>
                <w:sz w:val="16"/>
                <w:szCs w:val="16"/>
              </w:rPr>
              <w:t>aureus</w:t>
            </w:r>
          </w:p>
        </w:tc>
        <w:tc>
          <w:tcPr>
            <w:tcW w:w="1282" w:type="dxa"/>
          </w:tcPr>
          <w:p w14:paraId="34F5034A" w14:textId="77777777" w:rsidR="008715BE" w:rsidRPr="00E26EB0" w:rsidRDefault="008715BE">
            <w:pPr>
              <w:pStyle w:val="TableParagraph"/>
              <w:spacing w:before="82"/>
              <w:rPr>
                <w:rFonts w:ascii="Verdana" w:hAnsi="Verdana"/>
                <w:b/>
                <w:sz w:val="16"/>
                <w:szCs w:val="16"/>
              </w:rPr>
            </w:pPr>
          </w:p>
          <w:p w14:paraId="368C0E64" w14:textId="77777777" w:rsidR="008715BE" w:rsidRPr="00E26EB0" w:rsidRDefault="00000000">
            <w:pPr>
              <w:pStyle w:val="TableParagraph"/>
              <w:ind w:left="161" w:right="155"/>
              <w:jc w:val="center"/>
              <w:rPr>
                <w:rFonts w:ascii="Verdana" w:hAnsi="Verdana"/>
                <w:sz w:val="16"/>
                <w:szCs w:val="16"/>
              </w:rPr>
            </w:pPr>
            <w:r w:rsidRPr="00E26EB0">
              <w:rPr>
                <w:rFonts w:ascii="Verdana" w:hAnsi="Verdana"/>
                <w:spacing w:val="-2"/>
                <w:sz w:val="16"/>
                <w:szCs w:val="16"/>
              </w:rPr>
              <w:t>Jackal</w:t>
            </w:r>
          </w:p>
        </w:tc>
        <w:tc>
          <w:tcPr>
            <w:tcW w:w="987" w:type="dxa"/>
          </w:tcPr>
          <w:p w14:paraId="3610EA5F" w14:textId="77777777" w:rsidR="008715BE" w:rsidRPr="00E26EB0" w:rsidRDefault="008715BE">
            <w:pPr>
              <w:pStyle w:val="TableParagraph"/>
              <w:spacing w:before="82"/>
              <w:rPr>
                <w:rFonts w:ascii="Verdana" w:hAnsi="Verdana"/>
                <w:b/>
                <w:sz w:val="16"/>
                <w:szCs w:val="16"/>
              </w:rPr>
            </w:pPr>
          </w:p>
          <w:p w14:paraId="41FC0266"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26</w:t>
            </w:r>
          </w:p>
        </w:tc>
        <w:tc>
          <w:tcPr>
            <w:tcW w:w="1422" w:type="dxa"/>
          </w:tcPr>
          <w:p w14:paraId="7BF4CC42" w14:textId="77777777" w:rsidR="008715BE" w:rsidRPr="00E26EB0" w:rsidRDefault="00000000">
            <w:pPr>
              <w:pStyle w:val="TableParagraph"/>
              <w:ind w:left="11"/>
              <w:jc w:val="center"/>
              <w:rPr>
                <w:rFonts w:ascii="Verdana" w:hAnsi="Verdana"/>
                <w:sz w:val="16"/>
                <w:szCs w:val="16"/>
              </w:rPr>
            </w:pPr>
            <w:r w:rsidRPr="00E26EB0">
              <w:rPr>
                <w:rFonts w:ascii="Verdana" w:hAnsi="Verdana"/>
                <w:sz w:val="16"/>
                <w:szCs w:val="16"/>
              </w:rPr>
              <w:t xml:space="preserve">The species uses the </w:t>
            </w:r>
            <w:r w:rsidRPr="00E26EB0">
              <w:rPr>
                <w:rFonts w:ascii="Verdana" w:hAnsi="Verdana"/>
                <w:spacing w:val="-2"/>
                <w:sz w:val="16"/>
                <w:szCs w:val="16"/>
              </w:rPr>
              <w:t>site area</w:t>
            </w:r>
          </w:p>
          <w:p w14:paraId="794CEB92" w14:textId="77777777" w:rsidR="008715BE" w:rsidRPr="00E26EB0" w:rsidRDefault="00000000">
            <w:pPr>
              <w:pStyle w:val="TableParagraph"/>
              <w:spacing w:line="149"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16F639F3" w14:textId="77777777" w:rsidR="008715BE" w:rsidRPr="00E26EB0" w:rsidRDefault="008715BE">
            <w:pPr>
              <w:pStyle w:val="TableParagraph"/>
              <w:spacing w:before="82"/>
              <w:rPr>
                <w:rFonts w:ascii="Verdana" w:hAnsi="Verdana"/>
                <w:b/>
                <w:sz w:val="16"/>
                <w:szCs w:val="16"/>
              </w:rPr>
            </w:pPr>
          </w:p>
          <w:p w14:paraId="7F19E721" w14:textId="77777777" w:rsidR="008715BE" w:rsidRPr="00E26EB0" w:rsidRDefault="00000000">
            <w:pPr>
              <w:pStyle w:val="TableParagraph"/>
              <w:ind w:left="7" w:right="6"/>
              <w:jc w:val="center"/>
              <w:rPr>
                <w:rFonts w:ascii="Verdana" w:hAnsi="Verdana"/>
                <w:sz w:val="16"/>
                <w:szCs w:val="16"/>
              </w:rPr>
            </w:pPr>
            <w:r w:rsidRPr="00E26EB0">
              <w:rPr>
                <w:rFonts w:ascii="Verdana" w:hAnsi="Verdana"/>
                <w:spacing w:val="-5"/>
                <w:sz w:val="16"/>
                <w:szCs w:val="16"/>
              </w:rPr>
              <w:t>NT</w:t>
            </w:r>
          </w:p>
        </w:tc>
        <w:tc>
          <w:tcPr>
            <w:tcW w:w="1208" w:type="dxa"/>
          </w:tcPr>
          <w:p w14:paraId="1FC4E49C" w14:textId="77777777" w:rsidR="008715BE" w:rsidRPr="00E26EB0" w:rsidRDefault="008715BE">
            <w:pPr>
              <w:pStyle w:val="TableParagraph"/>
              <w:spacing w:before="82"/>
              <w:rPr>
                <w:rFonts w:ascii="Verdana" w:hAnsi="Verdana"/>
                <w:b/>
                <w:sz w:val="16"/>
                <w:szCs w:val="16"/>
              </w:rPr>
            </w:pPr>
          </w:p>
          <w:p w14:paraId="5F8305D1"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40831844" w14:textId="77777777" w:rsidR="008715BE" w:rsidRPr="00E26EB0" w:rsidRDefault="008715BE">
            <w:pPr>
              <w:pStyle w:val="TableParagraph"/>
              <w:spacing w:before="82"/>
              <w:rPr>
                <w:rFonts w:ascii="Verdana" w:hAnsi="Verdana"/>
                <w:b/>
                <w:sz w:val="16"/>
                <w:szCs w:val="16"/>
              </w:rPr>
            </w:pPr>
          </w:p>
          <w:p w14:paraId="0046AD6B"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327784A4" w14:textId="77777777" w:rsidR="008715BE" w:rsidRPr="00E26EB0" w:rsidRDefault="008715BE">
            <w:pPr>
              <w:pStyle w:val="TableParagraph"/>
              <w:spacing w:before="82"/>
              <w:rPr>
                <w:rFonts w:ascii="Verdana" w:hAnsi="Verdana"/>
                <w:b/>
                <w:sz w:val="16"/>
                <w:szCs w:val="16"/>
              </w:rPr>
            </w:pPr>
          </w:p>
          <w:p w14:paraId="2E2845D9" w14:textId="77777777" w:rsidR="008715BE" w:rsidRPr="00E26EB0" w:rsidRDefault="00000000">
            <w:pPr>
              <w:pStyle w:val="TableParagraph"/>
              <w:jc w:val="center"/>
              <w:rPr>
                <w:rFonts w:ascii="Verdana" w:hAnsi="Verdana"/>
                <w:sz w:val="16"/>
                <w:szCs w:val="16"/>
              </w:rPr>
            </w:pPr>
            <w:r w:rsidRPr="00E26EB0">
              <w:rPr>
                <w:rFonts w:ascii="Verdana" w:hAnsi="Verdana"/>
                <w:sz w:val="16"/>
                <w:szCs w:val="16"/>
              </w:rPr>
              <w:t>Annex</w:t>
            </w:r>
            <w:r w:rsidRPr="00E26EB0">
              <w:rPr>
                <w:rFonts w:ascii="Verdana" w:hAnsi="Verdana"/>
                <w:spacing w:val="-7"/>
                <w:sz w:val="16"/>
                <w:szCs w:val="16"/>
              </w:rPr>
              <w:t xml:space="preserve"> 5A</w:t>
            </w:r>
          </w:p>
        </w:tc>
        <w:tc>
          <w:tcPr>
            <w:tcW w:w="1577" w:type="dxa"/>
          </w:tcPr>
          <w:p w14:paraId="5A0C5585" w14:textId="77777777" w:rsidR="008715BE" w:rsidRPr="00E26EB0" w:rsidRDefault="008715BE">
            <w:pPr>
              <w:pStyle w:val="TableParagraph"/>
              <w:spacing w:before="82"/>
              <w:rPr>
                <w:rFonts w:ascii="Verdana" w:hAnsi="Verdana"/>
                <w:b/>
                <w:sz w:val="16"/>
                <w:szCs w:val="16"/>
              </w:rPr>
            </w:pPr>
          </w:p>
          <w:p w14:paraId="2639B84B" w14:textId="77777777" w:rsidR="008715BE" w:rsidRPr="00E26EB0" w:rsidRDefault="00000000">
            <w:pPr>
              <w:pStyle w:val="TableParagraph"/>
              <w:ind w:left="2"/>
              <w:jc w:val="center"/>
              <w:rPr>
                <w:rFonts w:ascii="Verdana" w:hAnsi="Verdana"/>
                <w:sz w:val="16"/>
                <w:szCs w:val="16"/>
              </w:rPr>
            </w:pPr>
            <w:r w:rsidRPr="00E26EB0">
              <w:rPr>
                <w:rFonts w:ascii="Verdana" w:hAnsi="Verdana"/>
                <w:spacing w:val="-2"/>
                <w:sz w:val="16"/>
                <w:szCs w:val="16"/>
              </w:rPr>
              <w:t xml:space="preserve">Vulnerable </w:t>
            </w:r>
            <w:r w:rsidRPr="00E26EB0">
              <w:rPr>
                <w:rFonts w:ascii="Verdana" w:hAnsi="Verdana"/>
                <w:sz w:val="16"/>
                <w:szCs w:val="16"/>
              </w:rPr>
              <w:t>species</w:t>
            </w:r>
          </w:p>
        </w:tc>
      </w:tr>
      <w:tr w:rsidR="008715BE" w:rsidRPr="00E26EB0" w14:paraId="592DD010" w14:textId="77777777">
        <w:trPr>
          <w:trHeight w:val="1190"/>
        </w:trPr>
        <w:tc>
          <w:tcPr>
            <w:tcW w:w="1179" w:type="dxa"/>
          </w:tcPr>
          <w:p w14:paraId="6B647331" w14:textId="77777777" w:rsidR="008715BE" w:rsidRPr="00E26EB0" w:rsidRDefault="008715BE">
            <w:pPr>
              <w:pStyle w:val="TableParagraph"/>
              <w:rPr>
                <w:rFonts w:ascii="Verdana" w:hAnsi="Verdana"/>
                <w:b/>
                <w:sz w:val="16"/>
                <w:szCs w:val="16"/>
              </w:rPr>
            </w:pPr>
          </w:p>
          <w:p w14:paraId="07A41258" w14:textId="77777777" w:rsidR="008715BE" w:rsidRPr="00E26EB0" w:rsidRDefault="008715BE">
            <w:pPr>
              <w:pStyle w:val="TableParagraph"/>
              <w:spacing w:before="82"/>
              <w:rPr>
                <w:rFonts w:ascii="Verdana" w:hAnsi="Verdana"/>
                <w:b/>
                <w:sz w:val="16"/>
                <w:szCs w:val="16"/>
              </w:rPr>
            </w:pPr>
          </w:p>
          <w:p w14:paraId="3C60710B" w14:textId="77777777" w:rsidR="008715BE" w:rsidRPr="00E26EB0" w:rsidRDefault="00000000">
            <w:pPr>
              <w:pStyle w:val="TableParagraph"/>
              <w:spacing w:before="1"/>
              <w:ind w:left="251" w:hanging="12"/>
              <w:rPr>
                <w:rFonts w:ascii="Verdana" w:hAnsi="Verdana"/>
                <w:i/>
                <w:sz w:val="16"/>
                <w:szCs w:val="16"/>
              </w:rPr>
            </w:pPr>
            <w:r w:rsidRPr="00E26EB0">
              <w:rPr>
                <w:rFonts w:ascii="Verdana" w:hAnsi="Verdana"/>
                <w:i/>
                <w:spacing w:val="-2"/>
                <w:sz w:val="16"/>
                <w:szCs w:val="16"/>
              </w:rPr>
              <w:t>Capreolus capreolus</w:t>
            </w:r>
          </w:p>
        </w:tc>
        <w:tc>
          <w:tcPr>
            <w:tcW w:w="1282" w:type="dxa"/>
          </w:tcPr>
          <w:p w14:paraId="5ADD79E0" w14:textId="77777777" w:rsidR="008715BE" w:rsidRPr="00E26EB0" w:rsidRDefault="008715BE">
            <w:pPr>
              <w:pStyle w:val="TableParagraph"/>
              <w:rPr>
                <w:rFonts w:ascii="Verdana" w:hAnsi="Verdana"/>
                <w:b/>
                <w:sz w:val="16"/>
                <w:szCs w:val="16"/>
              </w:rPr>
            </w:pPr>
          </w:p>
          <w:p w14:paraId="7D998021" w14:textId="77777777" w:rsidR="008715BE" w:rsidRPr="00E26EB0" w:rsidRDefault="008715BE">
            <w:pPr>
              <w:pStyle w:val="TableParagraph"/>
              <w:spacing w:before="169"/>
              <w:rPr>
                <w:rFonts w:ascii="Verdana" w:hAnsi="Verdana"/>
                <w:b/>
                <w:sz w:val="16"/>
                <w:szCs w:val="16"/>
              </w:rPr>
            </w:pPr>
          </w:p>
          <w:p w14:paraId="04D57890" w14:textId="77777777" w:rsidR="008715BE" w:rsidRPr="00E26EB0" w:rsidRDefault="00000000">
            <w:pPr>
              <w:pStyle w:val="TableParagraph"/>
              <w:ind w:left="161" w:right="156"/>
              <w:jc w:val="center"/>
              <w:rPr>
                <w:rFonts w:ascii="Verdana" w:hAnsi="Verdana"/>
                <w:sz w:val="16"/>
                <w:szCs w:val="16"/>
              </w:rPr>
            </w:pPr>
            <w:r w:rsidRPr="00E26EB0">
              <w:rPr>
                <w:rFonts w:ascii="Verdana" w:hAnsi="Verdana"/>
                <w:spacing w:val="-2"/>
                <w:sz w:val="16"/>
                <w:szCs w:val="16"/>
              </w:rPr>
              <w:t>Roe deer</w:t>
            </w:r>
          </w:p>
        </w:tc>
        <w:tc>
          <w:tcPr>
            <w:tcW w:w="987" w:type="dxa"/>
          </w:tcPr>
          <w:p w14:paraId="0C7EE87C" w14:textId="77777777" w:rsidR="008715BE" w:rsidRPr="00E26EB0" w:rsidRDefault="008715BE">
            <w:pPr>
              <w:pStyle w:val="TableParagraph"/>
              <w:rPr>
                <w:rFonts w:ascii="Verdana" w:hAnsi="Verdana"/>
                <w:b/>
                <w:sz w:val="16"/>
                <w:szCs w:val="16"/>
              </w:rPr>
            </w:pPr>
          </w:p>
          <w:p w14:paraId="7BA98B0D" w14:textId="77777777" w:rsidR="008715BE" w:rsidRPr="00E26EB0" w:rsidRDefault="008715BE">
            <w:pPr>
              <w:pStyle w:val="TableParagraph"/>
              <w:spacing w:before="169"/>
              <w:rPr>
                <w:rFonts w:ascii="Verdana" w:hAnsi="Verdana"/>
                <w:b/>
                <w:sz w:val="16"/>
                <w:szCs w:val="16"/>
              </w:rPr>
            </w:pPr>
          </w:p>
          <w:p w14:paraId="32485FCB"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14</w:t>
            </w:r>
          </w:p>
        </w:tc>
        <w:tc>
          <w:tcPr>
            <w:tcW w:w="1422" w:type="dxa"/>
          </w:tcPr>
          <w:p w14:paraId="1D8FC225" w14:textId="77777777" w:rsidR="008715BE" w:rsidRPr="00E26EB0" w:rsidRDefault="00000000">
            <w:pPr>
              <w:pStyle w:val="TableParagraph"/>
              <w:spacing w:line="237" w:lineRule="auto"/>
              <w:ind w:left="174" w:right="160" w:hanging="3"/>
              <w:jc w:val="center"/>
              <w:rPr>
                <w:rFonts w:ascii="Verdana" w:hAnsi="Verdana"/>
                <w:sz w:val="16"/>
                <w:szCs w:val="16"/>
              </w:rPr>
            </w:pPr>
            <w:r w:rsidRPr="00E26EB0">
              <w:rPr>
                <w:rFonts w:ascii="Verdana" w:hAnsi="Verdana"/>
                <w:sz w:val="16"/>
                <w:szCs w:val="16"/>
              </w:rPr>
              <w:t xml:space="preserve">The species was observed during the </w:t>
            </w:r>
            <w:r w:rsidRPr="00E26EB0">
              <w:rPr>
                <w:rFonts w:ascii="Verdana" w:hAnsi="Verdana"/>
                <w:spacing w:val="-2"/>
                <w:sz w:val="16"/>
                <w:szCs w:val="16"/>
              </w:rPr>
              <w:t xml:space="preserve">summer-winter </w:t>
            </w:r>
            <w:r w:rsidRPr="00E26EB0">
              <w:rPr>
                <w:rFonts w:ascii="Verdana" w:hAnsi="Verdana"/>
                <w:sz w:val="16"/>
                <w:szCs w:val="16"/>
              </w:rPr>
              <w:t>period</w:t>
            </w:r>
            <w:r w:rsidRPr="00E26EB0">
              <w:rPr>
                <w:rFonts w:ascii="Verdana" w:hAnsi="Verdana"/>
                <w:spacing w:val="-2"/>
                <w:sz w:val="16"/>
                <w:szCs w:val="16"/>
              </w:rPr>
              <w:t>, using the site</w:t>
            </w:r>
          </w:p>
          <w:p w14:paraId="2F17BF4A" w14:textId="77777777" w:rsidR="008715BE" w:rsidRPr="00E26EB0" w:rsidRDefault="00000000">
            <w:pPr>
              <w:pStyle w:val="TableParagraph"/>
              <w:spacing w:before="4" w:line="151"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3D12360D" w14:textId="77777777" w:rsidR="008715BE" w:rsidRPr="00E26EB0" w:rsidRDefault="008715BE">
            <w:pPr>
              <w:pStyle w:val="TableParagraph"/>
              <w:rPr>
                <w:rFonts w:ascii="Verdana" w:hAnsi="Verdana"/>
                <w:b/>
                <w:sz w:val="16"/>
                <w:szCs w:val="16"/>
              </w:rPr>
            </w:pPr>
          </w:p>
          <w:p w14:paraId="7EB06517" w14:textId="77777777" w:rsidR="008715BE" w:rsidRPr="00E26EB0" w:rsidRDefault="008715BE">
            <w:pPr>
              <w:pStyle w:val="TableParagraph"/>
              <w:spacing w:before="169"/>
              <w:rPr>
                <w:rFonts w:ascii="Verdana" w:hAnsi="Verdana"/>
                <w:b/>
                <w:sz w:val="16"/>
                <w:szCs w:val="16"/>
              </w:rPr>
            </w:pPr>
          </w:p>
          <w:p w14:paraId="5023116D"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6C6055FE" w14:textId="77777777" w:rsidR="008715BE" w:rsidRPr="00E26EB0" w:rsidRDefault="008715BE">
            <w:pPr>
              <w:pStyle w:val="TableParagraph"/>
              <w:rPr>
                <w:rFonts w:ascii="Verdana" w:hAnsi="Verdana"/>
                <w:b/>
                <w:sz w:val="16"/>
                <w:szCs w:val="16"/>
              </w:rPr>
            </w:pPr>
          </w:p>
          <w:p w14:paraId="46CFD17B" w14:textId="77777777" w:rsidR="008715BE" w:rsidRPr="00E26EB0" w:rsidRDefault="008715BE">
            <w:pPr>
              <w:pStyle w:val="TableParagraph"/>
              <w:spacing w:before="169"/>
              <w:rPr>
                <w:rFonts w:ascii="Verdana" w:hAnsi="Verdana"/>
                <w:b/>
                <w:sz w:val="16"/>
                <w:szCs w:val="16"/>
              </w:rPr>
            </w:pPr>
          </w:p>
          <w:p w14:paraId="2DA43E37"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10F3985A" w14:textId="77777777" w:rsidR="008715BE" w:rsidRPr="00E26EB0" w:rsidRDefault="008715BE">
            <w:pPr>
              <w:pStyle w:val="TableParagraph"/>
              <w:rPr>
                <w:rFonts w:ascii="Verdana" w:hAnsi="Verdana"/>
                <w:b/>
                <w:sz w:val="16"/>
                <w:szCs w:val="16"/>
              </w:rPr>
            </w:pPr>
          </w:p>
          <w:p w14:paraId="6C287C66" w14:textId="77777777" w:rsidR="008715BE" w:rsidRPr="00E26EB0" w:rsidRDefault="008715BE">
            <w:pPr>
              <w:pStyle w:val="TableParagraph"/>
              <w:spacing w:before="169"/>
              <w:rPr>
                <w:rFonts w:ascii="Verdana" w:hAnsi="Verdana"/>
                <w:b/>
                <w:sz w:val="16"/>
                <w:szCs w:val="16"/>
              </w:rPr>
            </w:pPr>
          </w:p>
          <w:p w14:paraId="68394EBC"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798E81E6" w14:textId="77777777" w:rsidR="008715BE" w:rsidRPr="00E26EB0" w:rsidRDefault="008715BE">
            <w:pPr>
              <w:pStyle w:val="TableParagraph"/>
              <w:rPr>
                <w:rFonts w:ascii="Verdana" w:hAnsi="Verdana"/>
                <w:b/>
                <w:sz w:val="16"/>
                <w:szCs w:val="16"/>
              </w:rPr>
            </w:pPr>
          </w:p>
          <w:p w14:paraId="6B1A3B34" w14:textId="77777777" w:rsidR="008715BE" w:rsidRPr="00E26EB0" w:rsidRDefault="008715BE">
            <w:pPr>
              <w:pStyle w:val="TableParagraph"/>
              <w:spacing w:before="169"/>
              <w:rPr>
                <w:rFonts w:ascii="Verdana" w:hAnsi="Verdana"/>
                <w:b/>
                <w:sz w:val="16"/>
                <w:szCs w:val="16"/>
              </w:rPr>
            </w:pPr>
          </w:p>
          <w:p w14:paraId="685E3465" w14:textId="77777777" w:rsidR="008715BE" w:rsidRPr="00E26EB0" w:rsidRDefault="00000000">
            <w:pPr>
              <w:pStyle w:val="TableParagraph"/>
              <w:ind w:left="1"/>
              <w:jc w:val="center"/>
              <w:rPr>
                <w:rFonts w:ascii="Verdana" w:hAnsi="Verdana"/>
                <w:sz w:val="16"/>
                <w:szCs w:val="16"/>
              </w:rPr>
            </w:pPr>
            <w:r w:rsidRPr="00E26EB0">
              <w:rPr>
                <w:rFonts w:ascii="Verdana" w:hAnsi="Verdana"/>
                <w:sz w:val="16"/>
                <w:szCs w:val="16"/>
              </w:rPr>
              <w:t>Annex</w:t>
            </w:r>
            <w:r w:rsidRPr="00E26EB0">
              <w:rPr>
                <w:rFonts w:ascii="Verdana" w:hAnsi="Verdana"/>
                <w:spacing w:val="-5"/>
                <w:sz w:val="16"/>
                <w:szCs w:val="16"/>
              </w:rPr>
              <w:t xml:space="preserve"> 5B</w:t>
            </w:r>
          </w:p>
        </w:tc>
        <w:tc>
          <w:tcPr>
            <w:tcW w:w="1577" w:type="dxa"/>
          </w:tcPr>
          <w:p w14:paraId="010D064C" w14:textId="77777777" w:rsidR="008715BE" w:rsidRPr="00E26EB0" w:rsidRDefault="008715BE">
            <w:pPr>
              <w:pStyle w:val="TableParagraph"/>
              <w:rPr>
                <w:rFonts w:ascii="Verdana" w:hAnsi="Verdana"/>
                <w:b/>
                <w:sz w:val="16"/>
                <w:szCs w:val="16"/>
              </w:rPr>
            </w:pPr>
          </w:p>
          <w:p w14:paraId="6BB751E5" w14:textId="77777777" w:rsidR="008715BE" w:rsidRPr="00E26EB0" w:rsidRDefault="008715BE">
            <w:pPr>
              <w:pStyle w:val="TableParagraph"/>
              <w:spacing w:before="169"/>
              <w:rPr>
                <w:rFonts w:ascii="Verdana" w:hAnsi="Verdana"/>
                <w:b/>
                <w:sz w:val="16"/>
                <w:szCs w:val="16"/>
              </w:rPr>
            </w:pPr>
          </w:p>
          <w:p w14:paraId="72CDB88C" w14:textId="77777777" w:rsidR="008715BE" w:rsidRPr="00E26EB0" w:rsidRDefault="00000000">
            <w:pPr>
              <w:pStyle w:val="TableParagraph"/>
              <w:ind w:left="2"/>
              <w:jc w:val="center"/>
              <w:rPr>
                <w:rFonts w:ascii="Verdana" w:hAnsi="Verdana"/>
                <w:sz w:val="16"/>
                <w:szCs w:val="16"/>
              </w:rPr>
            </w:pPr>
            <w:r w:rsidRPr="00E26EB0">
              <w:rPr>
                <w:rFonts w:ascii="Verdana" w:hAnsi="Verdana"/>
                <w:spacing w:val="-2"/>
                <w:sz w:val="16"/>
                <w:szCs w:val="16"/>
              </w:rPr>
              <w:t xml:space="preserve">Vulnerable </w:t>
            </w:r>
            <w:r w:rsidRPr="00E26EB0">
              <w:rPr>
                <w:rFonts w:ascii="Verdana" w:hAnsi="Verdana"/>
                <w:sz w:val="16"/>
                <w:szCs w:val="16"/>
              </w:rPr>
              <w:t>species</w:t>
            </w:r>
          </w:p>
        </w:tc>
      </w:tr>
      <w:tr w:rsidR="008715BE" w:rsidRPr="00E26EB0" w14:paraId="4D735350" w14:textId="77777777">
        <w:trPr>
          <w:trHeight w:val="1192"/>
        </w:trPr>
        <w:tc>
          <w:tcPr>
            <w:tcW w:w="1179" w:type="dxa"/>
          </w:tcPr>
          <w:p w14:paraId="4D93E3BB" w14:textId="77777777" w:rsidR="008715BE" w:rsidRPr="00E26EB0" w:rsidRDefault="008715BE">
            <w:pPr>
              <w:pStyle w:val="TableParagraph"/>
              <w:rPr>
                <w:rFonts w:ascii="Verdana" w:hAnsi="Verdana"/>
                <w:b/>
                <w:sz w:val="16"/>
                <w:szCs w:val="16"/>
              </w:rPr>
            </w:pPr>
          </w:p>
          <w:p w14:paraId="3D9468AE" w14:textId="77777777" w:rsidR="008715BE" w:rsidRPr="00E26EB0" w:rsidRDefault="008715BE">
            <w:pPr>
              <w:pStyle w:val="TableParagraph"/>
              <w:spacing w:before="82"/>
              <w:rPr>
                <w:rFonts w:ascii="Verdana" w:hAnsi="Verdana"/>
                <w:b/>
                <w:sz w:val="16"/>
                <w:szCs w:val="16"/>
              </w:rPr>
            </w:pPr>
          </w:p>
          <w:p w14:paraId="0180BCB2" w14:textId="77777777" w:rsidR="008715BE" w:rsidRPr="00E26EB0" w:rsidRDefault="00000000">
            <w:pPr>
              <w:pStyle w:val="TableParagraph"/>
              <w:ind w:left="273" w:hanging="22"/>
              <w:rPr>
                <w:rFonts w:ascii="Verdana" w:hAnsi="Verdana"/>
                <w:i/>
                <w:sz w:val="16"/>
                <w:szCs w:val="16"/>
              </w:rPr>
            </w:pPr>
            <w:r w:rsidRPr="00E26EB0">
              <w:rPr>
                <w:rFonts w:ascii="Verdana" w:hAnsi="Verdana"/>
                <w:i/>
                <w:spacing w:val="-2"/>
                <w:sz w:val="16"/>
                <w:szCs w:val="16"/>
              </w:rPr>
              <w:t>Crocidura leucodon</w:t>
            </w:r>
          </w:p>
        </w:tc>
        <w:tc>
          <w:tcPr>
            <w:tcW w:w="1282" w:type="dxa"/>
          </w:tcPr>
          <w:p w14:paraId="42D3B834" w14:textId="77777777" w:rsidR="008715BE" w:rsidRPr="00E26EB0" w:rsidRDefault="008715BE">
            <w:pPr>
              <w:pStyle w:val="TableParagraph"/>
              <w:rPr>
                <w:rFonts w:ascii="Verdana" w:hAnsi="Verdana"/>
                <w:b/>
                <w:sz w:val="16"/>
                <w:szCs w:val="16"/>
              </w:rPr>
            </w:pPr>
          </w:p>
          <w:p w14:paraId="4F4E7DEE" w14:textId="77777777" w:rsidR="008715BE" w:rsidRPr="00E26EB0" w:rsidRDefault="008715BE">
            <w:pPr>
              <w:pStyle w:val="TableParagraph"/>
              <w:spacing w:before="82"/>
              <w:rPr>
                <w:rFonts w:ascii="Verdana" w:hAnsi="Verdana"/>
                <w:b/>
                <w:sz w:val="16"/>
                <w:szCs w:val="16"/>
              </w:rPr>
            </w:pPr>
          </w:p>
          <w:p w14:paraId="1141ED01" w14:textId="77777777" w:rsidR="008715BE" w:rsidRPr="00E26EB0" w:rsidRDefault="00000000">
            <w:pPr>
              <w:pStyle w:val="TableParagraph"/>
              <w:spacing w:line="171" w:lineRule="exact"/>
              <w:ind w:left="161" w:right="154"/>
              <w:jc w:val="center"/>
              <w:rPr>
                <w:rFonts w:ascii="Verdana" w:hAnsi="Verdana"/>
                <w:sz w:val="16"/>
                <w:szCs w:val="16"/>
              </w:rPr>
            </w:pPr>
            <w:r w:rsidRPr="00E26EB0">
              <w:rPr>
                <w:rFonts w:ascii="Verdana" w:hAnsi="Verdana"/>
                <w:spacing w:val="-5"/>
                <w:sz w:val="16"/>
                <w:szCs w:val="16"/>
              </w:rPr>
              <w:t xml:space="preserve">Field </w:t>
            </w:r>
            <w:r w:rsidRPr="00E26EB0">
              <w:rPr>
                <w:rFonts w:ascii="Verdana" w:hAnsi="Verdana"/>
                <w:sz w:val="16"/>
                <w:szCs w:val="16"/>
              </w:rPr>
              <w:t>shrew</w:t>
            </w:r>
          </w:p>
          <w:p w14:paraId="292DF52A" w14:textId="77777777" w:rsidR="008715BE" w:rsidRPr="00E26EB0" w:rsidRDefault="00000000">
            <w:pPr>
              <w:pStyle w:val="TableParagraph"/>
              <w:spacing w:line="171" w:lineRule="exact"/>
              <w:ind w:left="161" w:right="157"/>
              <w:jc w:val="center"/>
              <w:rPr>
                <w:rFonts w:ascii="Verdana" w:hAnsi="Verdana"/>
                <w:sz w:val="16"/>
                <w:szCs w:val="16"/>
              </w:rPr>
            </w:pPr>
            <w:r w:rsidRPr="00E26EB0">
              <w:rPr>
                <w:rFonts w:ascii="Verdana" w:hAnsi="Verdana"/>
                <w:spacing w:val="-4"/>
                <w:sz w:val="16"/>
                <w:szCs w:val="16"/>
              </w:rPr>
              <w:t>field</w:t>
            </w:r>
          </w:p>
        </w:tc>
        <w:tc>
          <w:tcPr>
            <w:tcW w:w="987" w:type="dxa"/>
          </w:tcPr>
          <w:p w14:paraId="63230FC4" w14:textId="77777777" w:rsidR="008715BE" w:rsidRPr="00E26EB0" w:rsidRDefault="008715BE">
            <w:pPr>
              <w:pStyle w:val="TableParagraph"/>
              <w:rPr>
                <w:rFonts w:ascii="Verdana" w:hAnsi="Verdana"/>
                <w:b/>
                <w:sz w:val="16"/>
                <w:szCs w:val="16"/>
              </w:rPr>
            </w:pPr>
          </w:p>
          <w:p w14:paraId="5320C54B" w14:textId="77777777" w:rsidR="008715BE" w:rsidRPr="00E26EB0" w:rsidRDefault="008715BE">
            <w:pPr>
              <w:pStyle w:val="TableParagraph"/>
              <w:spacing w:before="168"/>
              <w:rPr>
                <w:rFonts w:ascii="Verdana" w:hAnsi="Verdana"/>
                <w:b/>
                <w:sz w:val="16"/>
                <w:szCs w:val="16"/>
              </w:rPr>
            </w:pPr>
          </w:p>
          <w:p w14:paraId="2B3DA816"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2</w:t>
            </w:r>
          </w:p>
        </w:tc>
        <w:tc>
          <w:tcPr>
            <w:tcW w:w="1422" w:type="dxa"/>
          </w:tcPr>
          <w:p w14:paraId="776625A9" w14:textId="77777777" w:rsidR="008715BE" w:rsidRPr="00E26EB0" w:rsidRDefault="00000000">
            <w:pPr>
              <w:pStyle w:val="TableParagraph"/>
              <w:ind w:left="134" w:right="121"/>
              <w:jc w:val="center"/>
              <w:rPr>
                <w:rFonts w:ascii="Verdana" w:hAnsi="Verdana"/>
                <w:sz w:val="16"/>
                <w:szCs w:val="16"/>
              </w:rPr>
            </w:pPr>
            <w:r w:rsidRPr="00E26EB0">
              <w:rPr>
                <w:rFonts w:ascii="Verdana" w:hAnsi="Verdana"/>
                <w:sz w:val="16"/>
                <w:szCs w:val="16"/>
              </w:rPr>
              <w:t xml:space="preserve">The species does not inhabit the </w:t>
            </w:r>
            <w:r w:rsidRPr="00E26EB0">
              <w:rPr>
                <w:rFonts w:ascii="Verdana" w:hAnsi="Verdana"/>
                <w:spacing w:val="-2"/>
                <w:sz w:val="16"/>
                <w:szCs w:val="16"/>
              </w:rPr>
              <w:t xml:space="preserve">site, but uses </w:t>
            </w:r>
            <w:r w:rsidRPr="00E26EB0">
              <w:rPr>
                <w:rFonts w:ascii="Verdana" w:hAnsi="Verdana"/>
                <w:sz w:val="16"/>
                <w:szCs w:val="16"/>
              </w:rPr>
              <w:t xml:space="preserve">its </w:t>
            </w:r>
            <w:r w:rsidRPr="00E26EB0">
              <w:rPr>
                <w:rFonts w:ascii="Verdana" w:hAnsi="Verdana"/>
                <w:spacing w:val="-2"/>
                <w:sz w:val="16"/>
                <w:szCs w:val="16"/>
              </w:rPr>
              <w:t xml:space="preserve">surface </w:t>
            </w:r>
            <w:r w:rsidRPr="00E26EB0">
              <w:rPr>
                <w:rFonts w:ascii="Verdana" w:hAnsi="Verdana"/>
                <w:sz w:val="16"/>
                <w:szCs w:val="16"/>
              </w:rPr>
              <w:t>for</w:t>
            </w:r>
          </w:p>
          <w:p w14:paraId="24BFC426" w14:textId="77777777" w:rsidR="008715BE" w:rsidRPr="00E26EB0" w:rsidRDefault="00000000">
            <w:pPr>
              <w:pStyle w:val="TableParagraph"/>
              <w:spacing w:line="148" w:lineRule="exact"/>
              <w:ind w:left="11"/>
              <w:jc w:val="center"/>
              <w:rPr>
                <w:rFonts w:ascii="Verdana" w:hAnsi="Verdana"/>
                <w:sz w:val="16"/>
                <w:szCs w:val="16"/>
              </w:rPr>
            </w:pPr>
            <w:r w:rsidRPr="00E26EB0">
              <w:rPr>
                <w:rFonts w:ascii="Verdana" w:hAnsi="Verdana"/>
                <w:spacing w:val="-2"/>
                <w:sz w:val="16"/>
                <w:szCs w:val="16"/>
              </w:rPr>
              <w:t>transit</w:t>
            </w:r>
          </w:p>
        </w:tc>
        <w:tc>
          <w:tcPr>
            <w:tcW w:w="874" w:type="dxa"/>
          </w:tcPr>
          <w:p w14:paraId="6BD4B41A" w14:textId="77777777" w:rsidR="008715BE" w:rsidRPr="00E26EB0" w:rsidRDefault="008715BE">
            <w:pPr>
              <w:pStyle w:val="TableParagraph"/>
              <w:rPr>
                <w:rFonts w:ascii="Verdana" w:hAnsi="Verdana"/>
                <w:b/>
                <w:sz w:val="16"/>
                <w:szCs w:val="16"/>
              </w:rPr>
            </w:pPr>
          </w:p>
          <w:p w14:paraId="5A0E4287" w14:textId="77777777" w:rsidR="008715BE" w:rsidRPr="00E26EB0" w:rsidRDefault="008715BE">
            <w:pPr>
              <w:pStyle w:val="TableParagraph"/>
              <w:spacing w:before="168"/>
              <w:rPr>
                <w:rFonts w:ascii="Verdana" w:hAnsi="Verdana"/>
                <w:b/>
                <w:sz w:val="16"/>
                <w:szCs w:val="16"/>
              </w:rPr>
            </w:pPr>
          </w:p>
          <w:p w14:paraId="701B2343"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5C24A298" w14:textId="77777777" w:rsidR="008715BE" w:rsidRPr="00E26EB0" w:rsidRDefault="008715BE">
            <w:pPr>
              <w:pStyle w:val="TableParagraph"/>
              <w:rPr>
                <w:rFonts w:ascii="Verdana" w:hAnsi="Verdana"/>
                <w:b/>
                <w:sz w:val="16"/>
                <w:szCs w:val="16"/>
              </w:rPr>
            </w:pPr>
          </w:p>
          <w:p w14:paraId="047E98BC" w14:textId="77777777" w:rsidR="008715BE" w:rsidRPr="00E26EB0" w:rsidRDefault="008715BE">
            <w:pPr>
              <w:pStyle w:val="TableParagraph"/>
              <w:spacing w:before="168"/>
              <w:rPr>
                <w:rFonts w:ascii="Verdana" w:hAnsi="Verdana"/>
                <w:b/>
                <w:sz w:val="16"/>
                <w:szCs w:val="16"/>
              </w:rPr>
            </w:pPr>
          </w:p>
          <w:p w14:paraId="07B60CE9"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6E1A0B5A" w14:textId="77777777" w:rsidR="008715BE" w:rsidRPr="00E26EB0" w:rsidRDefault="008715BE">
            <w:pPr>
              <w:pStyle w:val="TableParagraph"/>
              <w:rPr>
                <w:rFonts w:ascii="Verdana" w:hAnsi="Verdana"/>
                <w:b/>
                <w:sz w:val="16"/>
                <w:szCs w:val="16"/>
              </w:rPr>
            </w:pPr>
          </w:p>
          <w:p w14:paraId="78326B2F" w14:textId="77777777" w:rsidR="008715BE" w:rsidRPr="00E26EB0" w:rsidRDefault="008715BE">
            <w:pPr>
              <w:pStyle w:val="TableParagraph"/>
              <w:spacing w:before="168"/>
              <w:rPr>
                <w:rFonts w:ascii="Verdana" w:hAnsi="Verdana"/>
                <w:b/>
                <w:sz w:val="16"/>
                <w:szCs w:val="16"/>
              </w:rPr>
            </w:pPr>
          </w:p>
          <w:p w14:paraId="4146F511"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5A3464EA" w14:textId="77777777" w:rsidR="008715BE" w:rsidRPr="00E26EB0" w:rsidRDefault="008715BE">
            <w:pPr>
              <w:pStyle w:val="TableParagraph"/>
              <w:rPr>
                <w:rFonts w:ascii="Verdana" w:hAnsi="Verdana"/>
                <w:b/>
                <w:sz w:val="16"/>
                <w:szCs w:val="16"/>
              </w:rPr>
            </w:pPr>
          </w:p>
          <w:p w14:paraId="271059BF" w14:textId="77777777" w:rsidR="008715BE" w:rsidRPr="00E26EB0" w:rsidRDefault="008715BE">
            <w:pPr>
              <w:pStyle w:val="TableParagraph"/>
              <w:spacing w:before="168"/>
              <w:rPr>
                <w:rFonts w:ascii="Verdana" w:hAnsi="Verdana"/>
                <w:b/>
                <w:sz w:val="16"/>
                <w:szCs w:val="16"/>
              </w:rPr>
            </w:pPr>
          </w:p>
          <w:p w14:paraId="394FCE14"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45A19900" w14:textId="77777777" w:rsidR="008715BE" w:rsidRPr="00E26EB0" w:rsidRDefault="008715BE">
            <w:pPr>
              <w:pStyle w:val="TableParagraph"/>
              <w:rPr>
                <w:rFonts w:ascii="Verdana" w:hAnsi="Verdana"/>
                <w:b/>
                <w:sz w:val="16"/>
                <w:szCs w:val="16"/>
              </w:rPr>
            </w:pPr>
          </w:p>
          <w:p w14:paraId="637776A1" w14:textId="77777777" w:rsidR="008715BE" w:rsidRPr="00E26EB0" w:rsidRDefault="008715BE">
            <w:pPr>
              <w:pStyle w:val="TableParagraph"/>
              <w:spacing w:before="168"/>
              <w:rPr>
                <w:rFonts w:ascii="Verdana" w:hAnsi="Verdana"/>
                <w:b/>
                <w:sz w:val="16"/>
                <w:szCs w:val="16"/>
              </w:rPr>
            </w:pPr>
          </w:p>
          <w:p w14:paraId="790EF253" w14:textId="77777777" w:rsidR="008715BE" w:rsidRPr="00E26EB0" w:rsidRDefault="00000000">
            <w:pPr>
              <w:pStyle w:val="TableParagraph"/>
              <w:ind w:left="2"/>
              <w:jc w:val="center"/>
              <w:rPr>
                <w:rFonts w:ascii="Verdana" w:hAnsi="Verdana"/>
                <w:sz w:val="16"/>
                <w:szCs w:val="16"/>
              </w:rPr>
            </w:pPr>
            <w:r w:rsidRPr="00E26EB0">
              <w:rPr>
                <w:rFonts w:ascii="Verdana" w:hAnsi="Verdana"/>
                <w:spacing w:val="-2"/>
                <w:sz w:val="16"/>
                <w:szCs w:val="16"/>
              </w:rPr>
              <w:t xml:space="preserve">Vulnerable </w:t>
            </w:r>
            <w:r w:rsidRPr="00E26EB0">
              <w:rPr>
                <w:rFonts w:ascii="Verdana" w:hAnsi="Verdana"/>
                <w:sz w:val="16"/>
                <w:szCs w:val="16"/>
              </w:rPr>
              <w:t>species</w:t>
            </w:r>
          </w:p>
        </w:tc>
      </w:tr>
      <w:tr w:rsidR="008715BE" w:rsidRPr="00E26EB0" w14:paraId="2B0B6F2A" w14:textId="77777777">
        <w:trPr>
          <w:trHeight w:val="681"/>
        </w:trPr>
        <w:tc>
          <w:tcPr>
            <w:tcW w:w="1179" w:type="dxa"/>
          </w:tcPr>
          <w:p w14:paraId="5C4FF2F6" w14:textId="77777777" w:rsidR="008715BE" w:rsidRPr="00E26EB0" w:rsidRDefault="008715BE">
            <w:pPr>
              <w:pStyle w:val="TableParagraph"/>
              <w:spacing w:before="1"/>
              <w:rPr>
                <w:rFonts w:ascii="Verdana" w:hAnsi="Verdana"/>
                <w:b/>
                <w:sz w:val="16"/>
                <w:szCs w:val="16"/>
              </w:rPr>
            </w:pPr>
          </w:p>
          <w:p w14:paraId="0228AB7A" w14:textId="77777777" w:rsidR="008715BE" w:rsidRPr="00E26EB0" w:rsidRDefault="00000000">
            <w:pPr>
              <w:pStyle w:val="TableParagraph"/>
              <w:spacing w:line="235" w:lineRule="auto"/>
              <w:ind w:left="179" w:firstLine="69"/>
              <w:rPr>
                <w:rFonts w:ascii="Verdana" w:hAnsi="Verdana"/>
                <w:i/>
                <w:sz w:val="16"/>
                <w:szCs w:val="16"/>
              </w:rPr>
            </w:pPr>
            <w:r w:rsidRPr="00E26EB0">
              <w:rPr>
                <w:rFonts w:ascii="Verdana" w:hAnsi="Verdana"/>
                <w:i/>
                <w:spacing w:val="-2"/>
                <w:sz w:val="16"/>
                <w:szCs w:val="16"/>
              </w:rPr>
              <w:t>Erinaceus roumanicus</w:t>
            </w:r>
          </w:p>
        </w:tc>
        <w:tc>
          <w:tcPr>
            <w:tcW w:w="1282" w:type="dxa"/>
          </w:tcPr>
          <w:p w14:paraId="6D470E35" w14:textId="77777777" w:rsidR="008715BE" w:rsidRPr="00E26EB0" w:rsidRDefault="00000000">
            <w:pPr>
              <w:pStyle w:val="TableParagraph"/>
              <w:spacing w:before="169" w:line="169" w:lineRule="exact"/>
              <w:ind w:left="161" w:right="154"/>
              <w:jc w:val="center"/>
              <w:rPr>
                <w:rFonts w:ascii="Verdana" w:hAnsi="Verdana"/>
                <w:sz w:val="16"/>
                <w:szCs w:val="16"/>
              </w:rPr>
            </w:pPr>
            <w:r w:rsidRPr="00E26EB0">
              <w:rPr>
                <w:rFonts w:ascii="Verdana" w:hAnsi="Verdana"/>
                <w:spacing w:val="-2"/>
                <w:sz w:val="16"/>
                <w:szCs w:val="16"/>
              </w:rPr>
              <w:t>Eastern</w:t>
            </w:r>
          </w:p>
          <w:p w14:paraId="59F8EB82" w14:textId="77777777" w:rsidR="008715BE" w:rsidRPr="00E26EB0" w:rsidRDefault="00000000">
            <w:pPr>
              <w:pStyle w:val="TableParagraph"/>
              <w:spacing w:line="169" w:lineRule="exact"/>
              <w:ind w:left="161" w:right="154"/>
              <w:jc w:val="center"/>
              <w:rPr>
                <w:rFonts w:ascii="Verdana" w:hAnsi="Verdana"/>
                <w:sz w:val="16"/>
                <w:szCs w:val="16"/>
              </w:rPr>
            </w:pPr>
            <w:r w:rsidRPr="00E26EB0">
              <w:rPr>
                <w:rFonts w:ascii="Verdana" w:hAnsi="Verdana"/>
                <w:spacing w:val="-2"/>
                <w:sz w:val="16"/>
                <w:szCs w:val="16"/>
              </w:rPr>
              <w:t>Eastern</w:t>
            </w:r>
          </w:p>
        </w:tc>
        <w:tc>
          <w:tcPr>
            <w:tcW w:w="987" w:type="dxa"/>
          </w:tcPr>
          <w:p w14:paraId="3D6FCC7E" w14:textId="77777777" w:rsidR="008715BE" w:rsidRPr="00E26EB0" w:rsidRDefault="008715BE">
            <w:pPr>
              <w:pStyle w:val="TableParagraph"/>
              <w:spacing w:before="82"/>
              <w:rPr>
                <w:rFonts w:ascii="Verdana" w:hAnsi="Verdana"/>
                <w:b/>
                <w:sz w:val="16"/>
                <w:szCs w:val="16"/>
              </w:rPr>
            </w:pPr>
          </w:p>
          <w:p w14:paraId="0504D7B1"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6</w:t>
            </w:r>
          </w:p>
        </w:tc>
        <w:tc>
          <w:tcPr>
            <w:tcW w:w="1422" w:type="dxa"/>
          </w:tcPr>
          <w:p w14:paraId="25D35394" w14:textId="77777777" w:rsidR="008715BE" w:rsidRPr="00E26EB0" w:rsidRDefault="00000000">
            <w:pPr>
              <w:pStyle w:val="TableParagraph"/>
              <w:spacing w:line="237" w:lineRule="auto"/>
              <w:ind w:left="277" w:right="247" w:hanging="20"/>
              <w:jc w:val="both"/>
              <w:rPr>
                <w:rFonts w:ascii="Verdana" w:hAnsi="Verdana"/>
                <w:sz w:val="16"/>
                <w:szCs w:val="16"/>
              </w:rPr>
            </w:pPr>
            <w:r w:rsidRPr="00E26EB0">
              <w:rPr>
                <w:rFonts w:ascii="Verdana" w:hAnsi="Verdana"/>
                <w:sz w:val="16"/>
                <w:szCs w:val="16"/>
              </w:rPr>
              <w:t>The species was observed during the</w:t>
            </w:r>
          </w:p>
          <w:p w14:paraId="373A2A09" w14:textId="77777777" w:rsidR="008715BE" w:rsidRPr="00E26EB0" w:rsidRDefault="00000000">
            <w:pPr>
              <w:pStyle w:val="TableParagraph"/>
              <w:spacing w:line="153" w:lineRule="exact"/>
              <w:ind w:left="116"/>
              <w:jc w:val="both"/>
              <w:rPr>
                <w:rFonts w:ascii="Verdana" w:hAnsi="Verdana"/>
                <w:sz w:val="16"/>
                <w:szCs w:val="16"/>
              </w:rPr>
            </w:pPr>
            <w:r w:rsidRPr="00E26EB0">
              <w:rPr>
                <w:rFonts w:ascii="Verdana" w:hAnsi="Verdana"/>
                <w:sz w:val="16"/>
                <w:szCs w:val="16"/>
              </w:rPr>
              <w:t xml:space="preserve">spring - </w:t>
            </w:r>
            <w:r w:rsidRPr="00E26EB0">
              <w:rPr>
                <w:rFonts w:ascii="Verdana" w:hAnsi="Verdana"/>
                <w:spacing w:val="-4"/>
                <w:sz w:val="16"/>
                <w:szCs w:val="16"/>
              </w:rPr>
              <w:t>summer</w:t>
            </w:r>
          </w:p>
        </w:tc>
        <w:tc>
          <w:tcPr>
            <w:tcW w:w="874" w:type="dxa"/>
          </w:tcPr>
          <w:p w14:paraId="4D6B69DE" w14:textId="77777777" w:rsidR="008715BE" w:rsidRPr="00E26EB0" w:rsidRDefault="008715BE">
            <w:pPr>
              <w:pStyle w:val="TableParagraph"/>
              <w:spacing w:before="82"/>
              <w:rPr>
                <w:rFonts w:ascii="Verdana" w:hAnsi="Verdana"/>
                <w:b/>
                <w:sz w:val="16"/>
                <w:szCs w:val="16"/>
              </w:rPr>
            </w:pPr>
          </w:p>
          <w:p w14:paraId="2CC9583E"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434B2042" w14:textId="77777777" w:rsidR="008715BE" w:rsidRPr="00E26EB0" w:rsidRDefault="008715BE">
            <w:pPr>
              <w:pStyle w:val="TableParagraph"/>
              <w:spacing w:before="82"/>
              <w:rPr>
                <w:rFonts w:ascii="Verdana" w:hAnsi="Verdana"/>
                <w:b/>
                <w:sz w:val="16"/>
                <w:szCs w:val="16"/>
              </w:rPr>
            </w:pPr>
          </w:p>
          <w:p w14:paraId="342166BC"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006EFD36" w14:textId="77777777" w:rsidR="008715BE" w:rsidRPr="00E26EB0" w:rsidRDefault="008715BE">
            <w:pPr>
              <w:pStyle w:val="TableParagraph"/>
              <w:spacing w:before="82"/>
              <w:rPr>
                <w:rFonts w:ascii="Verdana" w:hAnsi="Verdana"/>
                <w:b/>
                <w:sz w:val="16"/>
                <w:szCs w:val="16"/>
              </w:rPr>
            </w:pPr>
          </w:p>
          <w:p w14:paraId="3CF4BBF6"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13DBA0D1" w14:textId="77777777" w:rsidR="008715BE" w:rsidRPr="00E26EB0" w:rsidRDefault="008715BE">
            <w:pPr>
              <w:pStyle w:val="TableParagraph"/>
              <w:spacing w:before="82"/>
              <w:rPr>
                <w:rFonts w:ascii="Verdana" w:hAnsi="Verdana"/>
                <w:b/>
                <w:sz w:val="16"/>
                <w:szCs w:val="16"/>
              </w:rPr>
            </w:pPr>
          </w:p>
          <w:p w14:paraId="6BB525B3"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1F743193" w14:textId="77777777" w:rsidR="008715BE" w:rsidRPr="00E26EB0" w:rsidRDefault="008715BE">
            <w:pPr>
              <w:pStyle w:val="TableParagraph"/>
              <w:spacing w:before="82"/>
              <w:rPr>
                <w:rFonts w:ascii="Verdana" w:hAnsi="Verdana"/>
                <w:b/>
                <w:sz w:val="16"/>
                <w:szCs w:val="16"/>
              </w:rPr>
            </w:pPr>
          </w:p>
          <w:p w14:paraId="479E9D75"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bl>
    <w:p w14:paraId="70B47A0B" w14:textId="77777777" w:rsidR="008715BE" w:rsidRPr="00E26EB0" w:rsidRDefault="008715BE">
      <w:pPr>
        <w:pStyle w:val="TableParagraph"/>
        <w:jc w:val="center"/>
        <w:rPr>
          <w:rFonts w:ascii="Verdana" w:hAnsi="Verdana"/>
          <w:sz w:val="16"/>
          <w:szCs w:val="16"/>
        </w:rPr>
        <w:sectPr w:rsidR="008715BE" w:rsidRPr="00E26EB0">
          <w:pgSz w:w="11910" w:h="16840"/>
          <w:pgMar w:top="1160" w:right="141" w:bottom="1020" w:left="425" w:header="766" w:footer="797" w:gutter="0"/>
          <w:cols w:space="708"/>
        </w:sectPr>
      </w:pPr>
    </w:p>
    <w:p w14:paraId="56BAE564" w14:textId="77777777" w:rsidR="008715BE" w:rsidRPr="00E26EB0" w:rsidRDefault="008715BE">
      <w:pPr>
        <w:pStyle w:val="BodyText"/>
        <w:spacing w:before="13" w:after="1"/>
        <w:rPr>
          <w:rFonts w:ascii="Verdana" w:hAnsi="Verdana"/>
          <w:b/>
          <w:sz w:val="16"/>
          <w:szCs w:val="16"/>
        </w:rPr>
      </w:pPr>
    </w:p>
    <w:tbl>
      <w:tblPr>
        <w:tblStyle w:val="TableNormal1"/>
        <w:tblW w:w="0" w:type="auto"/>
        <w:tblInd w:w="2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179"/>
        <w:gridCol w:w="1282"/>
        <w:gridCol w:w="987"/>
        <w:gridCol w:w="1422"/>
        <w:gridCol w:w="874"/>
        <w:gridCol w:w="1208"/>
        <w:gridCol w:w="1179"/>
        <w:gridCol w:w="1508"/>
        <w:gridCol w:w="1577"/>
      </w:tblGrid>
      <w:tr w:rsidR="008715BE" w:rsidRPr="00E26EB0" w14:paraId="22C5A59C" w14:textId="77777777">
        <w:trPr>
          <w:trHeight w:val="511"/>
        </w:trPr>
        <w:tc>
          <w:tcPr>
            <w:tcW w:w="1179" w:type="dxa"/>
            <w:shd w:val="clear" w:color="auto" w:fill="00A1E8"/>
          </w:tcPr>
          <w:p w14:paraId="5AFF0EA9" w14:textId="77777777" w:rsidR="008715BE" w:rsidRPr="00E26EB0" w:rsidRDefault="008715BE">
            <w:pPr>
              <w:pStyle w:val="TableParagraph"/>
              <w:spacing w:before="7"/>
              <w:rPr>
                <w:rFonts w:ascii="Verdana" w:hAnsi="Verdana"/>
                <w:b/>
                <w:sz w:val="16"/>
                <w:szCs w:val="16"/>
              </w:rPr>
            </w:pPr>
          </w:p>
          <w:p w14:paraId="05E2415D" w14:textId="77777777" w:rsidR="008715BE" w:rsidRPr="00E26EB0" w:rsidRDefault="00000000">
            <w:pPr>
              <w:pStyle w:val="TableParagraph"/>
              <w:ind w:left="6" w:right="1"/>
              <w:jc w:val="center"/>
              <w:rPr>
                <w:rFonts w:ascii="Verdana" w:hAnsi="Verdana"/>
                <w:b/>
                <w:sz w:val="16"/>
                <w:szCs w:val="16"/>
              </w:rPr>
            </w:pPr>
            <w:r w:rsidRPr="00E26EB0">
              <w:rPr>
                <w:rFonts w:ascii="Verdana" w:hAnsi="Verdana"/>
                <w:b/>
                <w:color w:val="FFFFFF"/>
                <w:spacing w:val="-2"/>
                <w:sz w:val="16"/>
                <w:szCs w:val="16"/>
              </w:rPr>
              <w:t>Species</w:t>
            </w:r>
          </w:p>
        </w:tc>
        <w:tc>
          <w:tcPr>
            <w:tcW w:w="1282" w:type="dxa"/>
            <w:shd w:val="clear" w:color="auto" w:fill="00A1E8"/>
          </w:tcPr>
          <w:p w14:paraId="53F249B3" w14:textId="77777777" w:rsidR="008715BE" w:rsidRPr="00E26EB0" w:rsidRDefault="008715BE">
            <w:pPr>
              <w:pStyle w:val="TableParagraph"/>
              <w:spacing w:before="7"/>
              <w:rPr>
                <w:rFonts w:ascii="Verdana" w:hAnsi="Verdana"/>
                <w:b/>
                <w:sz w:val="16"/>
                <w:szCs w:val="16"/>
              </w:rPr>
            </w:pPr>
          </w:p>
          <w:p w14:paraId="11024BB8" w14:textId="77777777" w:rsidR="008715BE" w:rsidRPr="00E26EB0" w:rsidRDefault="00000000">
            <w:pPr>
              <w:pStyle w:val="TableParagraph"/>
              <w:ind w:left="161" w:right="157"/>
              <w:jc w:val="center"/>
              <w:rPr>
                <w:rFonts w:ascii="Verdana" w:hAnsi="Verdana"/>
                <w:b/>
                <w:sz w:val="16"/>
                <w:szCs w:val="16"/>
              </w:rPr>
            </w:pPr>
            <w:r w:rsidRPr="00E26EB0">
              <w:rPr>
                <w:rFonts w:ascii="Verdana" w:hAnsi="Verdana"/>
                <w:b/>
                <w:color w:val="FFFFFF"/>
                <w:sz w:val="16"/>
                <w:szCs w:val="16"/>
              </w:rPr>
              <w:t xml:space="preserve">Species </w:t>
            </w:r>
            <w:r w:rsidRPr="00E26EB0">
              <w:rPr>
                <w:rFonts w:ascii="Verdana" w:hAnsi="Verdana"/>
                <w:b/>
                <w:color w:val="FFFFFF"/>
                <w:spacing w:val="-4"/>
                <w:sz w:val="16"/>
                <w:szCs w:val="16"/>
              </w:rPr>
              <w:t>(en)</w:t>
            </w:r>
          </w:p>
        </w:tc>
        <w:tc>
          <w:tcPr>
            <w:tcW w:w="987" w:type="dxa"/>
            <w:shd w:val="clear" w:color="auto" w:fill="00A1E8"/>
          </w:tcPr>
          <w:p w14:paraId="201F96B5" w14:textId="77777777" w:rsidR="008715BE" w:rsidRPr="00E26EB0" w:rsidRDefault="00000000">
            <w:pPr>
              <w:pStyle w:val="TableParagraph"/>
              <w:spacing w:before="92"/>
              <w:ind w:left="200"/>
              <w:rPr>
                <w:rFonts w:ascii="Verdana" w:hAnsi="Verdana"/>
                <w:b/>
                <w:sz w:val="16"/>
                <w:szCs w:val="16"/>
              </w:rPr>
            </w:pPr>
            <w:r w:rsidRPr="00E26EB0">
              <w:rPr>
                <w:rFonts w:ascii="Verdana" w:hAnsi="Verdana"/>
                <w:b/>
                <w:color w:val="FFFFFF"/>
                <w:spacing w:val="-4"/>
                <w:sz w:val="16"/>
                <w:szCs w:val="16"/>
              </w:rPr>
              <w:t>Ind</w:t>
            </w:r>
            <w:r w:rsidRPr="00E26EB0">
              <w:rPr>
                <w:rFonts w:ascii="Verdana" w:hAnsi="Verdana"/>
                <w:b/>
                <w:color w:val="FFFFFF"/>
                <w:sz w:val="16"/>
                <w:szCs w:val="16"/>
              </w:rPr>
              <w:t>.</w:t>
            </w:r>
          </w:p>
          <w:p w14:paraId="76E54E74" w14:textId="77777777" w:rsidR="008715BE" w:rsidRPr="00E26EB0" w:rsidRDefault="00000000">
            <w:pPr>
              <w:pStyle w:val="TableParagraph"/>
              <w:ind w:left="107"/>
              <w:rPr>
                <w:rFonts w:ascii="Verdana" w:hAnsi="Verdana"/>
                <w:b/>
                <w:sz w:val="16"/>
                <w:szCs w:val="16"/>
              </w:rPr>
            </w:pPr>
            <w:r w:rsidRPr="00E26EB0">
              <w:rPr>
                <w:rFonts w:ascii="Verdana" w:hAnsi="Verdana"/>
                <w:b/>
                <w:color w:val="FFFFFF"/>
                <w:spacing w:val="-2"/>
                <w:sz w:val="16"/>
                <w:szCs w:val="16"/>
              </w:rPr>
              <w:t>reported</w:t>
            </w:r>
          </w:p>
        </w:tc>
        <w:tc>
          <w:tcPr>
            <w:tcW w:w="1422" w:type="dxa"/>
            <w:shd w:val="clear" w:color="auto" w:fill="00A1E8"/>
          </w:tcPr>
          <w:p w14:paraId="55FFBAE4" w14:textId="77777777" w:rsidR="008715BE" w:rsidRPr="00E26EB0" w:rsidRDefault="00000000">
            <w:pPr>
              <w:pStyle w:val="TableParagraph"/>
              <w:spacing w:line="170" w:lineRule="exact"/>
              <w:ind w:left="134" w:right="124"/>
              <w:jc w:val="center"/>
              <w:rPr>
                <w:rFonts w:ascii="Verdana" w:hAnsi="Verdana"/>
                <w:b/>
                <w:sz w:val="16"/>
                <w:szCs w:val="16"/>
              </w:rPr>
            </w:pPr>
            <w:r w:rsidRPr="00E26EB0">
              <w:rPr>
                <w:rFonts w:ascii="Verdana" w:hAnsi="Verdana"/>
                <w:b/>
                <w:color w:val="FFFFFF"/>
                <w:spacing w:val="-2"/>
                <w:sz w:val="16"/>
                <w:szCs w:val="16"/>
              </w:rPr>
              <w:t>Observations species activity</w:t>
            </w:r>
          </w:p>
        </w:tc>
        <w:tc>
          <w:tcPr>
            <w:tcW w:w="874" w:type="dxa"/>
            <w:shd w:val="clear" w:color="auto" w:fill="00A1E8"/>
          </w:tcPr>
          <w:p w14:paraId="4EB19551" w14:textId="77777777" w:rsidR="008715BE" w:rsidRPr="00E26EB0" w:rsidRDefault="008715BE">
            <w:pPr>
              <w:pStyle w:val="TableParagraph"/>
              <w:spacing w:before="7"/>
              <w:rPr>
                <w:rFonts w:ascii="Verdana" w:hAnsi="Verdana"/>
                <w:b/>
                <w:sz w:val="16"/>
                <w:szCs w:val="16"/>
              </w:rPr>
            </w:pPr>
          </w:p>
          <w:p w14:paraId="0DBA3220" w14:textId="77777777" w:rsidR="008715BE" w:rsidRPr="00E26EB0" w:rsidRDefault="00000000">
            <w:pPr>
              <w:pStyle w:val="TableParagraph"/>
              <w:ind w:left="7" w:right="4"/>
              <w:jc w:val="center"/>
              <w:rPr>
                <w:rFonts w:ascii="Verdana" w:hAnsi="Verdana"/>
                <w:b/>
                <w:sz w:val="16"/>
                <w:szCs w:val="16"/>
              </w:rPr>
            </w:pPr>
            <w:r w:rsidRPr="00E26EB0">
              <w:rPr>
                <w:rFonts w:ascii="Verdana" w:hAnsi="Verdana"/>
                <w:b/>
                <w:color w:val="FFFFFF"/>
                <w:spacing w:val="-4"/>
                <w:sz w:val="16"/>
                <w:szCs w:val="16"/>
              </w:rPr>
              <w:t>IUCN</w:t>
            </w:r>
          </w:p>
        </w:tc>
        <w:tc>
          <w:tcPr>
            <w:tcW w:w="1208" w:type="dxa"/>
            <w:shd w:val="clear" w:color="auto" w:fill="00A1E8"/>
          </w:tcPr>
          <w:p w14:paraId="3B21A61B" w14:textId="77777777" w:rsidR="008715BE" w:rsidRPr="00E26EB0" w:rsidRDefault="00000000">
            <w:pPr>
              <w:pStyle w:val="TableParagraph"/>
              <w:spacing w:before="92"/>
              <w:ind w:left="216" w:firstLine="33"/>
              <w:rPr>
                <w:rFonts w:ascii="Verdana" w:hAnsi="Verdana"/>
                <w:b/>
                <w:sz w:val="16"/>
                <w:szCs w:val="16"/>
              </w:rPr>
            </w:pPr>
            <w:r w:rsidRPr="00E26EB0">
              <w:rPr>
                <w:rFonts w:ascii="Verdana" w:hAnsi="Verdana"/>
                <w:b/>
                <w:color w:val="FFFFFF"/>
                <w:spacing w:val="-2"/>
                <w:sz w:val="16"/>
                <w:szCs w:val="16"/>
              </w:rPr>
              <w:t>Habitats Directive*</w:t>
            </w:r>
          </w:p>
        </w:tc>
        <w:tc>
          <w:tcPr>
            <w:tcW w:w="1179" w:type="dxa"/>
            <w:shd w:val="clear" w:color="auto" w:fill="00A1E8"/>
          </w:tcPr>
          <w:p w14:paraId="14EE214B" w14:textId="77777777" w:rsidR="008715BE" w:rsidRPr="00E26EB0" w:rsidRDefault="00000000">
            <w:pPr>
              <w:pStyle w:val="TableParagraph"/>
              <w:spacing w:before="92"/>
              <w:ind w:left="6" w:right="2"/>
              <w:jc w:val="center"/>
              <w:rPr>
                <w:rFonts w:ascii="Verdana" w:hAnsi="Verdana"/>
                <w:b/>
                <w:sz w:val="16"/>
                <w:szCs w:val="16"/>
              </w:rPr>
            </w:pPr>
            <w:r w:rsidRPr="00E26EB0">
              <w:rPr>
                <w:rFonts w:ascii="Verdana" w:hAnsi="Verdana"/>
                <w:b/>
                <w:color w:val="FFFFFF"/>
                <w:spacing w:val="-2"/>
                <w:sz w:val="16"/>
                <w:szCs w:val="16"/>
              </w:rPr>
              <w:t>Priority</w:t>
            </w:r>
          </w:p>
          <w:p w14:paraId="0E7FF8AA" w14:textId="77777777" w:rsidR="008715BE" w:rsidRPr="00E26EB0" w:rsidRDefault="00000000">
            <w:pPr>
              <w:pStyle w:val="TableParagraph"/>
              <w:ind w:left="6" w:right="2"/>
              <w:jc w:val="center"/>
              <w:rPr>
                <w:rFonts w:ascii="Verdana" w:hAnsi="Verdana"/>
                <w:b/>
                <w:sz w:val="16"/>
                <w:szCs w:val="16"/>
              </w:rPr>
            </w:pPr>
            <w:r w:rsidRPr="00E26EB0">
              <w:rPr>
                <w:rFonts w:ascii="Verdana" w:hAnsi="Verdana"/>
                <w:b/>
                <w:color w:val="FFFFFF"/>
                <w:spacing w:val="-2"/>
                <w:sz w:val="16"/>
                <w:szCs w:val="16"/>
              </w:rPr>
              <w:t>Priority</w:t>
            </w:r>
          </w:p>
        </w:tc>
        <w:tc>
          <w:tcPr>
            <w:tcW w:w="1508" w:type="dxa"/>
            <w:shd w:val="clear" w:color="auto" w:fill="00A1E8"/>
          </w:tcPr>
          <w:p w14:paraId="5E7350FF" w14:textId="77777777" w:rsidR="008715BE" w:rsidRPr="00E26EB0" w:rsidRDefault="008715BE">
            <w:pPr>
              <w:pStyle w:val="TableParagraph"/>
              <w:spacing w:before="7"/>
              <w:rPr>
                <w:rFonts w:ascii="Verdana" w:hAnsi="Verdana"/>
                <w:b/>
                <w:sz w:val="16"/>
                <w:szCs w:val="16"/>
              </w:rPr>
            </w:pPr>
          </w:p>
          <w:p w14:paraId="08F72C2B" w14:textId="77777777" w:rsidR="008715BE" w:rsidRPr="00E26EB0" w:rsidRDefault="00000000">
            <w:pPr>
              <w:pStyle w:val="TableParagraph"/>
              <w:ind w:left="2"/>
              <w:jc w:val="center"/>
              <w:rPr>
                <w:rFonts w:ascii="Verdana" w:hAnsi="Verdana"/>
                <w:b/>
                <w:sz w:val="16"/>
                <w:szCs w:val="16"/>
              </w:rPr>
            </w:pPr>
            <w:r w:rsidRPr="00E26EB0">
              <w:rPr>
                <w:rFonts w:ascii="Verdana" w:hAnsi="Verdana"/>
                <w:b/>
                <w:color w:val="FFFFFF"/>
                <w:sz w:val="16"/>
                <w:szCs w:val="16"/>
              </w:rPr>
              <w:t>Government Emergency Ordinance</w:t>
            </w:r>
            <w:r w:rsidRPr="00E26EB0">
              <w:rPr>
                <w:rFonts w:ascii="Verdana" w:hAnsi="Verdana"/>
                <w:b/>
                <w:color w:val="FFFFFF"/>
                <w:spacing w:val="-2"/>
                <w:sz w:val="16"/>
                <w:szCs w:val="16"/>
              </w:rPr>
              <w:t xml:space="preserve"> 57/2007*</w:t>
            </w:r>
          </w:p>
        </w:tc>
        <w:tc>
          <w:tcPr>
            <w:tcW w:w="1577" w:type="dxa"/>
            <w:shd w:val="clear" w:color="auto" w:fill="00A1E8"/>
          </w:tcPr>
          <w:p w14:paraId="0D6625D2" w14:textId="77777777" w:rsidR="008715BE" w:rsidRPr="00E26EB0" w:rsidRDefault="00000000">
            <w:pPr>
              <w:pStyle w:val="TableParagraph"/>
              <w:spacing w:line="170" w:lineRule="exact"/>
              <w:ind w:left="111" w:right="105" w:hanging="1"/>
              <w:jc w:val="center"/>
              <w:rPr>
                <w:rFonts w:ascii="Verdana" w:hAnsi="Verdana"/>
                <w:b/>
                <w:sz w:val="16"/>
                <w:szCs w:val="16"/>
              </w:rPr>
            </w:pPr>
            <w:r w:rsidRPr="00E26EB0">
              <w:rPr>
                <w:rFonts w:ascii="Verdana" w:hAnsi="Verdana"/>
                <w:b/>
                <w:color w:val="FFFFFF"/>
                <w:sz w:val="16"/>
                <w:szCs w:val="16"/>
              </w:rPr>
              <w:t xml:space="preserve">Red Book of </w:t>
            </w:r>
            <w:r w:rsidRPr="00E26EB0">
              <w:rPr>
                <w:rFonts w:ascii="Verdana" w:hAnsi="Verdana"/>
                <w:b/>
                <w:color w:val="FFFFFF"/>
                <w:spacing w:val="-2"/>
                <w:sz w:val="16"/>
                <w:szCs w:val="16"/>
              </w:rPr>
              <w:t>Vertebrates in Romania</w:t>
            </w:r>
          </w:p>
        </w:tc>
      </w:tr>
      <w:tr w:rsidR="008715BE" w:rsidRPr="00E26EB0" w14:paraId="43E82357" w14:textId="77777777">
        <w:trPr>
          <w:trHeight w:val="678"/>
        </w:trPr>
        <w:tc>
          <w:tcPr>
            <w:tcW w:w="1179" w:type="dxa"/>
          </w:tcPr>
          <w:p w14:paraId="136F0D9E" w14:textId="77777777" w:rsidR="008715BE" w:rsidRPr="00E26EB0" w:rsidRDefault="008715BE">
            <w:pPr>
              <w:pStyle w:val="TableParagraph"/>
              <w:rPr>
                <w:rFonts w:ascii="Verdana" w:hAnsi="Verdana"/>
                <w:sz w:val="16"/>
                <w:szCs w:val="16"/>
              </w:rPr>
            </w:pPr>
          </w:p>
        </w:tc>
        <w:tc>
          <w:tcPr>
            <w:tcW w:w="1282" w:type="dxa"/>
          </w:tcPr>
          <w:p w14:paraId="266A25DD" w14:textId="77777777" w:rsidR="008715BE" w:rsidRPr="00E26EB0" w:rsidRDefault="008715BE">
            <w:pPr>
              <w:pStyle w:val="TableParagraph"/>
              <w:rPr>
                <w:rFonts w:ascii="Verdana" w:hAnsi="Verdana"/>
                <w:sz w:val="16"/>
                <w:szCs w:val="16"/>
              </w:rPr>
            </w:pPr>
          </w:p>
        </w:tc>
        <w:tc>
          <w:tcPr>
            <w:tcW w:w="987" w:type="dxa"/>
          </w:tcPr>
          <w:p w14:paraId="513B635B" w14:textId="77777777" w:rsidR="008715BE" w:rsidRPr="00E26EB0" w:rsidRDefault="008715BE">
            <w:pPr>
              <w:pStyle w:val="TableParagraph"/>
              <w:rPr>
                <w:rFonts w:ascii="Verdana" w:hAnsi="Verdana"/>
                <w:sz w:val="16"/>
                <w:szCs w:val="16"/>
              </w:rPr>
            </w:pPr>
          </w:p>
        </w:tc>
        <w:tc>
          <w:tcPr>
            <w:tcW w:w="1422" w:type="dxa"/>
          </w:tcPr>
          <w:p w14:paraId="6E5F6C41" w14:textId="77777777" w:rsidR="008715BE" w:rsidRPr="00E26EB0" w:rsidRDefault="00000000">
            <w:pPr>
              <w:pStyle w:val="TableParagraph"/>
              <w:spacing w:before="8"/>
              <w:ind w:left="11"/>
              <w:jc w:val="center"/>
              <w:rPr>
                <w:rFonts w:ascii="Verdana" w:hAnsi="Verdana"/>
                <w:sz w:val="16"/>
                <w:szCs w:val="16"/>
              </w:rPr>
            </w:pPr>
            <w:r w:rsidRPr="00E26EB0">
              <w:rPr>
                <w:rFonts w:ascii="Verdana" w:hAnsi="Verdana"/>
                <w:sz w:val="16"/>
                <w:szCs w:val="16"/>
              </w:rPr>
              <w:t xml:space="preserve">The species uses the </w:t>
            </w:r>
            <w:r w:rsidRPr="00E26EB0">
              <w:rPr>
                <w:rFonts w:ascii="Verdana" w:hAnsi="Verdana"/>
                <w:spacing w:val="-2"/>
                <w:sz w:val="16"/>
                <w:szCs w:val="16"/>
              </w:rPr>
              <w:t>site area</w:t>
            </w:r>
          </w:p>
          <w:p w14:paraId="5DC8DD6B" w14:textId="77777777" w:rsidR="008715BE" w:rsidRPr="00E26EB0" w:rsidRDefault="00000000">
            <w:pPr>
              <w:pStyle w:val="TableParagraph"/>
              <w:spacing w:line="138"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7DE3299C" w14:textId="77777777" w:rsidR="008715BE" w:rsidRPr="00E26EB0" w:rsidRDefault="008715BE">
            <w:pPr>
              <w:pStyle w:val="TableParagraph"/>
              <w:rPr>
                <w:rFonts w:ascii="Verdana" w:hAnsi="Verdana"/>
                <w:sz w:val="16"/>
                <w:szCs w:val="16"/>
              </w:rPr>
            </w:pPr>
          </w:p>
        </w:tc>
        <w:tc>
          <w:tcPr>
            <w:tcW w:w="1208" w:type="dxa"/>
          </w:tcPr>
          <w:p w14:paraId="0EC03A6A" w14:textId="77777777" w:rsidR="008715BE" w:rsidRPr="00E26EB0" w:rsidRDefault="008715BE">
            <w:pPr>
              <w:pStyle w:val="TableParagraph"/>
              <w:rPr>
                <w:rFonts w:ascii="Verdana" w:hAnsi="Verdana"/>
                <w:sz w:val="16"/>
                <w:szCs w:val="16"/>
              </w:rPr>
            </w:pPr>
          </w:p>
        </w:tc>
        <w:tc>
          <w:tcPr>
            <w:tcW w:w="1179" w:type="dxa"/>
          </w:tcPr>
          <w:p w14:paraId="7F8DA7FB" w14:textId="77777777" w:rsidR="008715BE" w:rsidRPr="00E26EB0" w:rsidRDefault="008715BE">
            <w:pPr>
              <w:pStyle w:val="TableParagraph"/>
              <w:rPr>
                <w:rFonts w:ascii="Verdana" w:hAnsi="Verdana"/>
                <w:sz w:val="16"/>
                <w:szCs w:val="16"/>
              </w:rPr>
            </w:pPr>
          </w:p>
        </w:tc>
        <w:tc>
          <w:tcPr>
            <w:tcW w:w="1508" w:type="dxa"/>
          </w:tcPr>
          <w:p w14:paraId="78724037" w14:textId="77777777" w:rsidR="008715BE" w:rsidRPr="00E26EB0" w:rsidRDefault="008715BE">
            <w:pPr>
              <w:pStyle w:val="TableParagraph"/>
              <w:rPr>
                <w:rFonts w:ascii="Verdana" w:hAnsi="Verdana"/>
                <w:sz w:val="16"/>
                <w:szCs w:val="16"/>
              </w:rPr>
            </w:pPr>
          </w:p>
        </w:tc>
        <w:tc>
          <w:tcPr>
            <w:tcW w:w="1577" w:type="dxa"/>
          </w:tcPr>
          <w:p w14:paraId="52167DE2" w14:textId="77777777" w:rsidR="008715BE" w:rsidRPr="00E26EB0" w:rsidRDefault="008715BE">
            <w:pPr>
              <w:pStyle w:val="TableParagraph"/>
              <w:rPr>
                <w:rFonts w:ascii="Verdana" w:hAnsi="Verdana"/>
                <w:sz w:val="16"/>
                <w:szCs w:val="16"/>
              </w:rPr>
            </w:pPr>
          </w:p>
        </w:tc>
      </w:tr>
      <w:tr w:rsidR="008715BE" w:rsidRPr="00E26EB0" w14:paraId="0BD758AB" w14:textId="77777777">
        <w:trPr>
          <w:trHeight w:val="1192"/>
        </w:trPr>
        <w:tc>
          <w:tcPr>
            <w:tcW w:w="1179" w:type="dxa"/>
          </w:tcPr>
          <w:p w14:paraId="3BA08B16" w14:textId="77777777" w:rsidR="008715BE" w:rsidRPr="00E26EB0" w:rsidRDefault="008715BE">
            <w:pPr>
              <w:pStyle w:val="TableParagraph"/>
              <w:rPr>
                <w:rFonts w:ascii="Verdana" w:hAnsi="Verdana"/>
                <w:b/>
                <w:sz w:val="16"/>
                <w:szCs w:val="16"/>
              </w:rPr>
            </w:pPr>
          </w:p>
          <w:p w14:paraId="1904939A" w14:textId="77777777" w:rsidR="008715BE" w:rsidRPr="00E26EB0" w:rsidRDefault="008715BE">
            <w:pPr>
              <w:pStyle w:val="TableParagraph"/>
              <w:spacing w:before="93"/>
              <w:rPr>
                <w:rFonts w:ascii="Verdana" w:hAnsi="Verdana"/>
                <w:b/>
                <w:sz w:val="16"/>
                <w:szCs w:val="16"/>
              </w:rPr>
            </w:pPr>
          </w:p>
          <w:p w14:paraId="5F9F2ECB" w14:textId="77777777" w:rsidR="008715BE" w:rsidRPr="00E26EB0" w:rsidRDefault="00000000">
            <w:pPr>
              <w:pStyle w:val="TableParagraph"/>
              <w:ind w:left="223" w:firstLine="160"/>
              <w:rPr>
                <w:rFonts w:ascii="Verdana" w:hAnsi="Verdana"/>
                <w:i/>
                <w:sz w:val="16"/>
                <w:szCs w:val="16"/>
              </w:rPr>
            </w:pPr>
            <w:r w:rsidRPr="00E26EB0">
              <w:rPr>
                <w:rFonts w:ascii="Verdana" w:hAnsi="Verdana"/>
                <w:i/>
                <w:spacing w:val="-2"/>
                <w:sz w:val="16"/>
                <w:szCs w:val="16"/>
              </w:rPr>
              <w:t>Lepus europaeus</w:t>
            </w:r>
          </w:p>
        </w:tc>
        <w:tc>
          <w:tcPr>
            <w:tcW w:w="1282" w:type="dxa"/>
          </w:tcPr>
          <w:p w14:paraId="78D31642" w14:textId="77777777" w:rsidR="008715BE" w:rsidRPr="00E26EB0" w:rsidRDefault="008715BE">
            <w:pPr>
              <w:pStyle w:val="TableParagraph"/>
              <w:rPr>
                <w:rFonts w:ascii="Verdana" w:hAnsi="Verdana"/>
                <w:b/>
                <w:sz w:val="16"/>
                <w:szCs w:val="16"/>
              </w:rPr>
            </w:pPr>
          </w:p>
          <w:p w14:paraId="5509CD20" w14:textId="77777777" w:rsidR="008715BE" w:rsidRPr="00E26EB0" w:rsidRDefault="008715BE">
            <w:pPr>
              <w:pStyle w:val="TableParagraph"/>
              <w:spacing w:before="93"/>
              <w:rPr>
                <w:rFonts w:ascii="Verdana" w:hAnsi="Verdana"/>
                <w:b/>
                <w:sz w:val="16"/>
                <w:szCs w:val="16"/>
              </w:rPr>
            </w:pPr>
          </w:p>
          <w:p w14:paraId="740F14DF" w14:textId="77777777" w:rsidR="008715BE" w:rsidRPr="00E26EB0" w:rsidRDefault="00000000">
            <w:pPr>
              <w:pStyle w:val="TableParagraph"/>
              <w:ind w:left="448" w:hanging="149"/>
              <w:rPr>
                <w:rFonts w:ascii="Verdana" w:hAnsi="Verdana"/>
                <w:sz w:val="16"/>
                <w:szCs w:val="16"/>
              </w:rPr>
            </w:pPr>
            <w:r w:rsidRPr="00E26EB0">
              <w:rPr>
                <w:rFonts w:ascii="Verdana" w:hAnsi="Verdana"/>
                <w:spacing w:val="-4"/>
                <w:sz w:val="16"/>
                <w:szCs w:val="16"/>
              </w:rPr>
              <w:t>H</w:t>
            </w:r>
            <w:r w:rsidRPr="00E26EB0">
              <w:rPr>
                <w:rFonts w:ascii="Verdana" w:hAnsi="Verdana"/>
                <w:sz w:val="16"/>
                <w:szCs w:val="16"/>
              </w:rPr>
              <w:t>are</w:t>
            </w:r>
          </w:p>
        </w:tc>
        <w:tc>
          <w:tcPr>
            <w:tcW w:w="987" w:type="dxa"/>
          </w:tcPr>
          <w:p w14:paraId="01A09D76" w14:textId="77777777" w:rsidR="008715BE" w:rsidRPr="00E26EB0" w:rsidRDefault="008715BE">
            <w:pPr>
              <w:pStyle w:val="TableParagraph"/>
              <w:rPr>
                <w:rFonts w:ascii="Verdana" w:hAnsi="Verdana"/>
                <w:b/>
                <w:sz w:val="16"/>
                <w:szCs w:val="16"/>
              </w:rPr>
            </w:pPr>
          </w:p>
          <w:p w14:paraId="09C56175" w14:textId="77777777" w:rsidR="008715BE" w:rsidRPr="00E26EB0" w:rsidRDefault="008715BE">
            <w:pPr>
              <w:pStyle w:val="TableParagraph"/>
              <w:rPr>
                <w:rFonts w:ascii="Verdana" w:hAnsi="Verdana"/>
                <w:b/>
                <w:sz w:val="16"/>
                <w:szCs w:val="16"/>
              </w:rPr>
            </w:pPr>
          </w:p>
          <w:p w14:paraId="743871B6" w14:textId="77777777" w:rsidR="008715BE" w:rsidRPr="00E26EB0" w:rsidRDefault="008715BE">
            <w:pPr>
              <w:pStyle w:val="TableParagraph"/>
              <w:spacing w:before="6"/>
              <w:rPr>
                <w:rFonts w:ascii="Verdana" w:hAnsi="Verdana"/>
                <w:b/>
                <w:sz w:val="16"/>
                <w:szCs w:val="16"/>
              </w:rPr>
            </w:pPr>
          </w:p>
          <w:p w14:paraId="346F3EE7"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26</w:t>
            </w:r>
          </w:p>
        </w:tc>
        <w:tc>
          <w:tcPr>
            <w:tcW w:w="1422" w:type="dxa"/>
          </w:tcPr>
          <w:p w14:paraId="2ACCF5D1" w14:textId="77777777" w:rsidR="008715BE" w:rsidRPr="00E26EB0" w:rsidRDefault="00000000">
            <w:pPr>
              <w:pStyle w:val="TableParagraph"/>
              <w:spacing w:line="170" w:lineRule="exact"/>
              <w:ind w:left="109" w:right="98" w:hanging="1"/>
              <w:jc w:val="center"/>
              <w:rPr>
                <w:rFonts w:ascii="Verdana" w:hAnsi="Verdana"/>
                <w:sz w:val="16"/>
                <w:szCs w:val="16"/>
              </w:rPr>
            </w:pPr>
            <w:r w:rsidRPr="00E26EB0">
              <w:rPr>
                <w:rFonts w:ascii="Verdana" w:hAnsi="Verdana"/>
                <w:sz w:val="16"/>
                <w:szCs w:val="16"/>
              </w:rPr>
              <w:t xml:space="preserve">The species was observed throughout the year The species uses </w:t>
            </w:r>
            <w:r w:rsidRPr="00E26EB0">
              <w:rPr>
                <w:rFonts w:ascii="Verdana" w:hAnsi="Verdana"/>
                <w:spacing w:val="-2"/>
                <w:sz w:val="16"/>
                <w:szCs w:val="16"/>
              </w:rPr>
              <w:t xml:space="preserve">the site area </w:t>
            </w:r>
            <w:r w:rsidRPr="00E26EB0">
              <w:rPr>
                <w:rFonts w:ascii="Verdana" w:hAnsi="Verdana"/>
                <w:sz w:val="16"/>
                <w:szCs w:val="16"/>
              </w:rPr>
              <w:t>for transit</w:t>
            </w:r>
          </w:p>
        </w:tc>
        <w:tc>
          <w:tcPr>
            <w:tcW w:w="874" w:type="dxa"/>
          </w:tcPr>
          <w:p w14:paraId="13FF1ADC" w14:textId="77777777" w:rsidR="008715BE" w:rsidRPr="00E26EB0" w:rsidRDefault="008715BE">
            <w:pPr>
              <w:pStyle w:val="TableParagraph"/>
              <w:rPr>
                <w:rFonts w:ascii="Verdana" w:hAnsi="Verdana"/>
                <w:b/>
                <w:sz w:val="16"/>
                <w:szCs w:val="16"/>
              </w:rPr>
            </w:pPr>
          </w:p>
          <w:p w14:paraId="3CB62BC9" w14:textId="77777777" w:rsidR="008715BE" w:rsidRPr="00E26EB0" w:rsidRDefault="008715BE">
            <w:pPr>
              <w:pStyle w:val="TableParagraph"/>
              <w:rPr>
                <w:rFonts w:ascii="Verdana" w:hAnsi="Verdana"/>
                <w:b/>
                <w:sz w:val="16"/>
                <w:szCs w:val="16"/>
              </w:rPr>
            </w:pPr>
          </w:p>
          <w:p w14:paraId="33BA8AE6" w14:textId="77777777" w:rsidR="008715BE" w:rsidRPr="00E26EB0" w:rsidRDefault="008715BE">
            <w:pPr>
              <w:pStyle w:val="TableParagraph"/>
              <w:spacing w:before="6"/>
              <w:rPr>
                <w:rFonts w:ascii="Verdana" w:hAnsi="Verdana"/>
                <w:b/>
                <w:sz w:val="16"/>
                <w:szCs w:val="16"/>
              </w:rPr>
            </w:pPr>
          </w:p>
          <w:p w14:paraId="166F5AF8"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4901A586" w14:textId="77777777" w:rsidR="008715BE" w:rsidRPr="00E26EB0" w:rsidRDefault="008715BE">
            <w:pPr>
              <w:pStyle w:val="TableParagraph"/>
              <w:rPr>
                <w:rFonts w:ascii="Verdana" w:hAnsi="Verdana"/>
                <w:b/>
                <w:sz w:val="16"/>
                <w:szCs w:val="16"/>
              </w:rPr>
            </w:pPr>
          </w:p>
          <w:p w14:paraId="5F37DFD1" w14:textId="77777777" w:rsidR="008715BE" w:rsidRPr="00E26EB0" w:rsidRDefault="008715BE">
            <w:pPr>
              <w:pStyle w:val="TableParagraph"/>
              <w:rPr>
                <w:rFonts w:ascii="Verdana" w:hAnsi="Verdana"/>
                <w:b/>
                <w:sz w:val="16"/>
                <w:szCs w:val="16"/>
              </w:rPr>
            </w:pPr>
          </w:p>
          <w:p w14:paraId="7D924278" w14:textId="77777777" w:rsidR="008715BE" w:rsidRPr="00E26EB0" w:rsidRDefault="008715BE">
            <w:pPr>
              <w:pStyle w:val="TableParagraph"/>
              <w:spacing w:before="6"/>
              <w:rPr>
                <w:rFonts w:ascii="Verdana" w:hAnsi="Verdana"/>
                <w:b/>
                <w:sz w:val="16"/>
                <w:szCs w:val="16"/>
              </w:rPr>
            </w:pPr>
          </w:p>
          <w:p w14:paraId="6F0CE4DC"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5CB4C215" w14:textId="77777777" w:rsidR="008715BE" w:rsidRPr="00E26EB0" w:rsidRDefault="008715BE">
            <w:pPr>
              <w:pStyle w:val="TableParagraph"/>
              <w:rPr>
                <w:rFonts w:ascii="Verdana" w:hAnsi="Verdana"/>
                <w:b/>
                <w:sz w:val="16"/>
                <w:szCs w:val="16"/>
              </w:rPr>
            </w:pPr>
          </w:p>
          <w:p w14:paraId="1D868AB4" w14:textId="77777777" w:rsidR="008715BE" w:rsidRPr="00E26EB0" w:rsidRDefault="008715BE">
            <w:pPr>
              <w:pStyle w:val="TableParagraph"/>
              <w:rPr>
                <w:rFonts w:ascii="Verdana" w:hAnsi="Verdana"/>
                <w:b/>
                <w:sz w:val="16"/>
                <w:szCs w:val="16"/>
              </w:rPr>
            </w:pPr>
          </w:p>
          <w:p w14:paraId="4D83E485" w14:textId="77777777" w:rsidR="008715BE" w:rsidRPr="00E26EB0" w:rsidRDefault="008715BE">
            <w:pPr>
              <w:pStyle w:val="TableParagraph"/>
              <w:spacing w:before="6"/>
              <w:rPr>
                <w:rFonts w:ascii="Verdana" w:hAnsi="Verdana"/>
                <w:b/>
                <w:sz w:val="16"/>
                <w:szCs w:val="16"/>
              </w:rPr>
            </w:pPr>
          </w:p>
          <w:p w14:paraId="57E2A6F2"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2D2B6995" w14:textId="77777777" w:rsidR="008715BE" w:rsidRPr="00E26EB0" w:rsidRDefault="008715BE">
            <w:pPr>
              <w:pStyle w:val="TableParagraph"/>
              <w:rPr>
                <w:rFonts w:ascii="Verdana" w:hAnsi="Verdana"/>
                <w:b/>
                <w:sz w:val="16"/>
                <w:szCs w:val="16"/>
              </w:rPr>
            </w:pPr>
          </w:p>
          <w:p w14:paraId="757E4088" w14:textId="77777777" w:rsidR="008715BE" w:rsidRPr="00E26EB0" w:rsidRDefault="008715BE">
            <w:pPr>
              <w:pStyle w:val="TableParagraph"/>
              <w:rPr>
                <w:rFonts w:ascii="Verdana" w:hAnsi="Verdana"/>
                <w:b/>
                <w:sz w:val="16"/>
                <w:szCs w:val="16"/>
              </w:rPr>
            </w:pPr>
          </w:p>
          <w:p w14:paraId="077EA595" w14:textId="77777777" w:rsidR="008715BE" w:rsidRPr="00E26EB0" w:rsidRDefault="008715BE">
            <w:pPr>
              <w:pStyle w:val="TableParagraph"/>
              <w:spacing w:before="6"/>
              <w:rPr>
                <w:rFonts w:ascii="Verdana" w:hAnsi="Verdana"/>
                <w:b/>
                <w:sz w:val="16"/>
                <w:szCs w:val="16"/>
              </w:rPr>
            </w:pPr>
          </w:p>
          <w:p w14:paraId="20A3087E" w14:textId="77777777" w:rsidR="008715BE" w:rsidRPr="00E26EB0" w:rsidRDefault="00000000">
            <w:pPr>
              <w:pStyle w:val="TableParagraph"/>
              <w:ind w:left="1"/>
              <w:jc w:val="center"/>
              <w:rPr>
                <w:rFonts w:ascii="Verdana" w:hAnsi="Verdana"/>
                <w:sz w:val="16"/>
                <w:szCs w:val="16"/>
              </w:rPr>
            </w:pPr>
            <w:r w:rsidRPr="00E26EB0">
              <w:rPr>
                <w:rFonts w:ascii="Verdana" w:hAnsi="Verdana"/>
                <w:sz w:val="16"/>
                <w:szCs w:val="16"/>
              </w:rPr>
              <w:t>Annex</w:t>
            </w:r>
            <w:r w:rsidRPr="00E26EB0">
              <w:rPr>
                <w:rFonts w:ascii="Verdana" w:hAnsi="Verdana"/>
                <w:spacing w:val="-5"/>
                <w:sz w:val="16"/>
                <w:szCs w:val="16"/>
              </w:rPr>
              <w:t xml:space="preserve"> 5B</w:t>
            </w:r>
          </w:p>
        </w:tc>
        <w:tc>
          <w:tcPr>
            <w:tcW w:w="1577" w:type="dxa"/>
          </w:tcPr>
          <w:p w14:paraId="29898891" w14:textId="77777777" w:rsidR="008715BE" w:rsidRPr="00E26EB0" w:rsidRDefault="008715BE">
            <w:pPr>
              <w:pStyle w:val="TableParagraph"/>
              <w:rPr>
                <w:rFonts w:ascii="Verdana" w:hAnsi="Verdana"/>
                <w:b/>
                <w:sz w:val="16"/>
                <w:szCs w:val="16"/>
              </w:rPr>
            </w:pPr>
          </w:p>
          <w:p w14:paraId="1C48DE65" w14:textId="77777777" w:rsidR="008715BE" w:rsidRPr="00E26EB0" w:rsidRDefault="008715BE">
            <w:pPr>
              <w:pStyle w:val="TableParagraph"/>
              <w:rPr>
                <w:rFonts w:ascii="Verdana" w:hAnsi="Verdana"/>
                <w:b/>
                <w:sz w:val="16"/>
                <w:szCs w:val="16"/>
              </w:rPr>
            </w:pPr>
          </w:p>
          <w:p w14:paraId="3288999D" w14:textId="77777777" w:rsidR="008715BE" w:rsidRPr="00E26EB0" w:rsidRDefault="008715BE">
            <w:pPr>
              <w:pStyle w:val="TableParagraph"/>
              <w:spacing w:before="6"/>
              <w:rPr>
                <w:rFonts w:ascii="Verdana" w:hAnsi="Verdana"/>
                <w:b/>
                <w:sz w:val="16"/>
                <w:szCs w:val="16"/>
              </w:rPr>
            </w:pPr>
          </w:p>
          <w:p w14:paraId="3D79FC78"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30568429" w14:textId="77777777">
        <w:trPr>
          <w:trHeight w:val="1190"/>
        </w:trPr>
        <w:tc>
          <w:tcPr>
            <w:tcW w:w="1179" w:type="dxa"/>
          </w:tcPr>
          <w:p w14:paraId="5F716020" w14:textId="77777777" w:rsidR="008715BE" w:rsidRPr="00E26EB0" w:rsidRDefault="008715BE">
            <w:pPr>
              <w:pStyle w:val="TableParagraph"/>
              <w:rPr>
                <w:rFonts w:ascii="Verdana" w:hAnsi="Verdana"/>
                <w:b/>
                <w:sz w:val="16"/>
                <w:szCs w:val="16"/>
              </w:rPr>
            </w:pPr>
          </w:p>
          <w:p w14:paraId="1B819AD2" w14:textId="77777777" w:rsidR="008715BE" w:rsidRPr="00E26EB0" w:rsidRDefault="008715BE">
            <w:pPr>
              <w:pStyle w:val="TableParagraph"/>
              <w:rPr>
                <w:rFonts w:ascii="Verdana" w:hAnsi="Verdana"/>
                <w:b/>
                <w:sz w:val="16"/>
                <w:szCs w:val="16"/>
              </w:rPr>
            </w:pPr>
          </w:p>
          <w:p w14:paraId="561D330B" w14:textId="77777777" w:rsidR="008715BE" w:rsidRPr="00E26EB0" w:rsidRDefault="008715BE">
            <w:pPr>
              <w:pStyle w:val="TableParagraph"/>
              <w:spacing w:before="6"/>
              <w:rPr>
                <w:rFonts w:ascii="Verdana" w:hAnsi="Verdana"/>
                <w:b/>
                <w:sz w:val="16"/>
                <w:szCs w:val="16"/>
              </w:rPr>
            </w:pPr>
          </w:p>
          <w:p w14:paraId="393C1526" w14:textId="77777777" w:rsidR="008715BE" w:rsidRPr="00E26EB0" w:rsidRDefault="00000000">
            <w:pPr>
              <w:pStyle w:val="TableParagraph"/>
              <w:ind w:left="6" w:right="2"/>
              <w:jc w:val="center"/>
              <w:rPr>
                <w:rFonts w:ascii="Verdana" w:hAnsi="Verdana"/>
                <w:i/>
                <w:sz w:val="16"/>
                <w:szCs w:val="16"/>
              </w:rPr>
            </w:pPr>
            <w:r w:rsidRPr="00E26EB0">
              <w:rPr>
                <w:rFonts w:ascii="Verdana" w:hAnsi="Verdana"/>
                <w:i/>
                <w:sz w:val="16"/>
                <w:szCs w:val="16"/>
              </w:rPr>
              <w:t xml:space="preserve">Meles </w:t>
            </w:r>
            <w:r w:rsidRPr="00E26EB0">
              <w:rPr>
                <w:rFonts w:ascii="Verdana" w:hAnsi="Verdana"/>
                <w:i/>
                <w:spacing w:val="-2"/>
                <w:sz w:val="16"/>
                <w:szCs w:val="16"/>
              </w:rPr>
              <w:t>meles</w:t>
            </w:r>
          </w:p>
        </w:tc>
        <w:tc>
          <w:tcPr>
            <w:tcW w:w="1282" w:type="dxa"/>
          </w:tcPr>
          <w:p w14:paraId="510418B6" w14:textId="77777777" w:rsidR="008715BE" w:rsidRPr="00E26EB0" w:rsidRDefault="008715BE">
            <w:pPr>
              <w:pStyle w:val="TableParagraph"/>
              <w:rPr>
                <w:rFonts w:ascii="Verdana" w:hAnsi="Verdana"/>
                <w:b/>
                <w:sz w:val="16"/>
                <w:szCs w:val="16"/>
              </w:rPr>
            </w:pPr>
          </w:p>
          <w:p w14:paraId="2534EA04" w14:textId="77777777" w:rsidR="008715BE" w:rsidRPr="00E26EB0" w:rsidRDefault="008715BE">
            <w:pPr>
              <w:pStyle w:val="TableParagraph"/>
              <w:rPr>
                <w:rFonts w:ascii="Verdana" w:hAnsi="Verdana"/>
                <w:b/>
                <w:sz w:val="16"/>
                <w:szCs w:val="16"/>
              </w:rPr>
            </w:pPr>
          </w:p>
          <w:p w14:paraId="7A026481" w14:textId="77777777" w:rsidR="008715BE" w:rsidRPr="00E26EB0" w:rsidRDefault="008715BE">
            <w:pPr>
              <w:pStyle w:val="TableParagraph"/>
              <w:spacing w:before="6"/>
              <w:rPr>
                <w:rFonts w:ascii="Verdana" w:hAnsi="Verdana"/>
                <w:b/>
                <w:sz w:val="16"/>
                <w:szCs w:val="16"/>
              </w:rPr>
            </w:pPr>
          </w:p>
          <w:p w14:paraId="48D6ACE3" w14:textId="77777777" w:rsidR="008715BE" w:rsidRPr="00E26EB0" w:rsidRDefault="00000000">
            <w:pPr>
              <w:pStyle w:val="TableParagraph"/>
              <w:ind w:left="6"/>
              <w:jc w:val="center"/>
              <w:rPr>
                <w:rFonts w:ascii="Verdana" w:hAnsi="Verdana"/>
                <w:sz w:val="16"/>
                <w:szCs w:val="16"/>
              </w:rPr>
            </w:pPr>
            <w:r w:rsidRPr="00E26EB0">
              <w:rPr>
                <w:rFonts w:ascii="Verdana" w:hAnsi="Verdana"/>
                <w:spacing w:val="-2"/>
                <w:sz w:val="16"/>
                <w:szCs w:val="16"/>
              </w:rPr>
              <w:t>Badger/Marten</w:t>
            </w:r>
          </w:p>
        </w:tc>
        <w:tc>
          <w:tcPr>
            <w:tcW w:w="987" w:type="dxa"/>
          </w:tcPr>
          <w:p w14:paraId="6EB35C66" w14:textId="77777777" w:rsidR="008715BE" w:rsidRPr="00E26EB0" w:rsidRDefault="008715BE">
            <w:pPr>
              <w:pStyle w:val="TableParagraph"/>
              <w:rPr>
                <w:rFonts w:ascii="Verdana" w:hAnsi="Verdana"/>
                <w:b/>
                <w:sz w:val="16"/>
                <w:szCs w:val="16"/>
              </w:rPr>
            </w:pPr>
          </w:p>
          <w:p w14:paraId="71ECB062" w14:textId="77777777" w:rsidR="008715BE" w:rsidRPr="00E26EB0" w:rsidRDefault="008715BE">
            <w:pPr>
              <w:pStyle w:val="TableParagraph"/>
              <w:rPr>
                <w:rFonts w:ascii="Verdana" w:hAnsi="Verdana"/>
                <w:b/>
                <w:sz w:val="16"/>
                <w:szCs w:val="16"/>
              </w:rPr>
            </w:pPr>
          </w:p>
          <w:p w14:paraId="20379F35" w14:textId="77777777" w:rsidR="008715BE" w:rsidRPr="00E26EB0" w:rsidRDefault="008715BE">
            <w:pPr>
              <w:pStyle w:val="TableParagraph"/>
              <w:spacing w:before="6"/>
              <w:rPr>
                <w:rFonts w:ascii="Verdana" w:hAnsi="Verdana"/>
                <w:b/>
                <w:sz w:val="16"/>
                <w:szCs w:val="16"/>
              </w:rPr>
            </w:pPr>
          </w:p>
          <w:p w14:paraId="10E3749F"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15</w:t>
            </w:r>
          </w:p>
        </w:tc>
        <w:tc>
          <w:tcPr>
            <w:tcW w:w="1422" w:type="dxa"/>
          </w:tcPr>
          <w:p w14:paraId="00FDAC5E" w14:textId="77777777" w:rsidR="008715BE" w:rsidRPr="00E26EB0" w:rsidRDefault="00000000">
            <w:pPr>
              <w:pStyle w:val="TableParagraph"/>
              <w:spacing w:before="9" w:line="237" w:lineRule="auto"/>
              <w:ind w:left="109" w:right="98" w:hanging="1"/>
              <w:jc w:val="center"/>
              <w:rPr>
                <w:rFonts w:ascii="Verdana" w:hAnsi="Verdana"/>
                <w:sz w:val="16"/>
                <w:szCs w:val="16"/>
              </w:rPr>
            </w:pPr>
            <w:r w:rsidRPr="00E26EB0">
              <w:rPr>
                <w:rFonts w:ascii="Verdana" w:hAnsi="Verdana"/>
                <w:sz w:val="16"/>
                <w:szCs w:val="16"/>
              </w:rPr>
              <w:t xml:space="preserve">The species was observed throughout the year The species uses </w:t>
            </w:r>
            <w:r w:rsidRPr="00E26EB0">
              <w:rPr>
                <w:rFonts w:ascii="Verdana" w:hAnsi="Verdana"/>
                <w:spacing w:val="-2"/>
                <w:sz w:val="16"/>
                <w:szCs w:val="16"/>
              </w:rPr>
              <w:t>the site area</w:t>
            </w:r>
          </w:p>
          <w:p w14:paraId="1ECA32E5" w14:textId="77777777" w:rsidR="008715BE" w:rsidRPr="00E26EB0" w:rsidRDefault="00000000">
            <w:pPr>
              <w:pStyle w:val="TableParagraph"/>
              <w:spacing w:before="4" w:line="142"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4E0F3D21" w14:textId="77777777" w:rsidR="008715BE" w:rsidRPr="00E26EB0" w:rsidRDefault="008715BE">
            <w:pPr>
              <w:pStyle w:val="TableParagraph"/>
              <w:rPr>
                <w:rFonts w:ascii="Verdana" w:hAnsi="Verdana"/>
                <w:b/>
                <w:sz w:val="16"/>
                <w:szCs w:val="16"/>
              </w:rPr>
            </w:pPr>
          </w:p>
          <w:p w14:paraId="39A8FA56" w14:textId="77777777" w:rsidR="008715BE" w:rsidRPr="00E26EB0" w:rsidRDefault="008715BE">
            <w:pPr>
              <w:pStyle w:val="TableParagraph"/>
              <w:rPr>
                <w:rFonts w:ascii="Verdana" w:hAnsi="Verdana"/>
                <w:b/>
                <w:sz w:val="16"/>
                <w:szCs w:val="16"/>
              </w:rPr>
            </w:pPr>
          </w:p>
          <w:p w14:paraId="22988139" w14:textId="77777777" w:rsidR="008715BE" w:rsidRPr="00E26EB0" w:rsidRDefault="008715BE">
            <w:pPr>
              <w:pStyle w:val="TableParagraph"/>
              <w:spacing w:before="6"/>
              <w:rPr>
                <w:rFonts w:ascii="Verdana" w:hAnsi="Verdana"/>
                <w:b/>
                <w:sz w:val="16"/>
                <w:szCs w:val="16"/>
              </w:rPr>
            </w:pPr>
          </w:p>
          <w:p w14:paraId="4FA2223A"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1A07DF98" w14:textId="77777777" w:rsidR="008715BE" w:rsidRPr="00E26EB0" w:rsidRDefault="008715BE">
            <w:pPr>
              <w:pStyle w:val="TableParagraph"/>
              <w:rPr>
                <w:rFonts w:ascii="Verdana" w:hAnsi="Verdana"/>
                <w:b/>
                <w:sz w:val="16"/>
                <w:szCs w:val="16"/>
              </w:rPr>
            </w:pPr>
          </w:p>
          <w:p w14:paraId="3B197980" w14:textId="77777777" w:rsidR="008715BE" w:rsidRPr="00E26EB0" w:rsidRDefault="008715BE">
            <w:pPr>
              <w:pStyle w:val="TableParagraph"/>
              <w:rPr>
                <w:rFonts w:ascii="Verdana" w:hAnsi="Verdana"/>
                <w:b/>
                <w:sz w:val="16"/>
                <w:szCs w:val="16"/>
              </w:rPr>
            </w:pPr>
          </w:p>
          <w:p w14:paraId="5B56EE94" w14:textId="77777777" w:rsidR="008715BE" w:rsidRPr="00E26EB0" w:rsidRDefault="008715BE">
            <w:pPr>
              <w:pStyle w:val="TableParagraph"/>
              <w:spacing w:before="6"/>
              <w:rPr>
                <w:rFonts w:ascii="Verdana" w:hAnsi="Verdana"/>
                <w:b/>
                <w:sz w:val="16"/>
                <w:szCs w:val="16"/>
              </w:rPr>
            </w:pPr>
          </w:p>
          <w:p w14:paraId="310B7DC1"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20E434B9" w14:textId="77777777" w:rsidR="008715BE" w:rsidRPr="00E26EB0" w:rsidRDefault="008715BE">
            <w:pPr>
              <w:pStyle w:val="TableParagraph"/>
              <w:rPr>
                <w:rFonts w:ascii="Verdana" w:hAnsi="Verdana"/>
                <w:b/>
                <w:sz w:val="16"/>
                <w:szCs w:val="16"/>
              </w:rPr>
            </w:pPr>
          </w:p>
          <w:p w14:paraId="6DC76E5A" w14:textId="77777777" w:rsidR="008715BE" w:rsidRPr="00E26EB0" w:rsidRDefault="008715BE">
            <w:pPr>
              <w:pStyle w:val="TableParagraph"/>
              <w:rPr>
                <w:rFonts w:ascii="Verdana" w:hAnsi="Verdana"/>
                <w:b/>
                <w:sz w:val="16"/>
                <w:szCs w:val="16"/>
              </w:rPr>
            </w:pPr>
          </w:p>
          <w:p w14:paraId="16E16809" w14:textId="77777777" w:rsidR="008715BE" w:rsidRPr="00E26EB0" w:rsidRDefault="008715BE">
            <w:pPr>
              <w:pStyle w:val="TableParagraph"/>
              <w:spacing w:before="6"/>
              <w:rPr>
                <w:rFonts w:ascii="Verdana" w:hAnsi="Verdana"/>
                <w:b/>
                <w:sz w:val="16"/>
                <w:szCs w:val="16"/>
              </w:rPr>
            </w:pPr>
          </w:p>
          <w:p w14:paraId="6060E621"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0069570F" w14:textId="77777777" w:rsidR="008715BE" w:rsidRPr="00E26EB0" w:rsidRDefault="008715BE">
            <w:pPr>
              <w:pStyle w:val="TableParagraph"/>
              <w:rPr>
                <w:rFonts w:ascii="Verdana" w:hAnsi="Verdana"/>
                <w:b/>
                <w:sz w:val="16"/>
                <w:szCs w:val="16"/>
              </w:rPr>
            </w:pPr>
          </w:p>
          <w:p w14:paraId="643D9078" w14:textId="77777777" w:rsidR="008715BE" w:rsidRPr="00E26EB0" w:rsidRDefault="008715BE">
            <w:pPr>
              <w:pStyle w:val="TableParagraph"/>
              <w:rPr>
                <w:rFonts w:ascii="Verdana" w:hAnsi="Verdana"/>
                <w:b/>
                <w:sz w:val="16"/>
                <w:szCs w:val="16"/>
              </w:rPr>
            </w:pPr>
          </w:p>
          <w:p w14:paraId="28DC4A60" w14:textId="77777777" w:rsidR="008715BE" w:rsidRPr="00E26EB0" w:rsidRDefault="008715BE">
            <w:pPr>
              <w:pStyle w:val="TableParagraph"/>
              <w:spacing w:before="6"/>
              <w:rPr>
                <w:rFonts w:ascii="Verdana" w:hAnsi="Verdana"/>
                <w:b/>
                <w:sz w:val="16"/>
                <w:szCs w:val="16"/>
              </w:rPr>
            </w:pPr>
          </w:p>
          <w:p w14:paraId="261E13A0" w14:textId="77777777" w:rsidR="008715BE" w:rsidRPr="00E26EB0" w:rsidRDefault="00000000">
            <w:pPr>
              <w:pStyle w:val="TableParagraph"/>
              <w:ind w:left="1"/>
              <w:jc w:val="center"/>
              <w:rPr>
                <w:rFonts w:ascii="Verdana" w:hAnsi="Verdana"/>
                <w:sz w:val="16"/>
                <w:szCs w:val="16"/>
              </w:rPr>
            </w:pPr>
            <w:r w:rsidRPr="00E26EB0">
              <w:rPr>
                <w:rFonts w:ascii="Verdana" w:hAnsi="Verdana"/>
                <w:sz w:val="16"/>
                <w:szCs w:val="16"/>
              </w:rPr>
              <w:t>Annex</w:t>
            </w:r>
            <w:r w:rsidRPr="00E26EB0">
              <w:rPr>
                <w:rFonts w:ascii="Verdana" w:hAnsi="Verdana"/>
                <w:spacing w:val="-5"/>
                <w:sz w:val="16"/>
                <w:szCs w:val="16"/>
              </w:rPr>
              <w:t xml:space="preserve"> 5B</w:t>
            </w:r>
          </w:p>
        </w:tc>
        <w:tc>
          <w:tcPr>
            <w:tcW w:w="1577" w:type="dxa"/>
          </w:tcPr>
          <w:p w14:paraId="6AE3B74A" w14:textId="77777777" w:rsidR="008715BE" w:rsidRPr="00E26EB0" w:rsidRDefault="008715BE">
            <w:pPr>
              <w:pStyle w:val="TableParagraph"/>
              <w:rPr>
                <w:rFonts w:ascii="Verdana" w:hAnsi="Verdana"/>
                <w:b/>
                <w:sz w:val="16"/>
                <w:szCs w:val="16"/>
              </w:rPr>
            </w:pPr>
          </w:p>
          <w:p w14:paraId="3CFB8DBD" w14:textId="77777777" w:rsidR="008715BE" w:rsidRPr="00E26EB0" w:rsidRDefault="008715BE">
            <w:pPr>
              <w:pStyle w:val="TableParagraph"/>
              <w:rPr>
                <w:rFonts w:ascii="Verdana" w:hAnsi="Verdana"/>
                <w:b/>
                <w:sz w:val="16"/>
                <w:szCs w:val="16"/>
              </w:rPr>
            </w:pPr>
          </w:p>
          <w:p w14:paraId="19796F3E" w14:textId="77777777" w:rsidR="008715BE" w:rsidRPr="00E26EB0" w:rsidRDefault="008715BE">
            <w:pPr>
              <w:pStyle w:val="TableParagraph"/>
              <w:spacing w:before="6"/>
              <w:rPr>
                <w:rFonts w:ascii="Verdana" w:hAnsi="Verdana"/>
                <w:b/>
                <w:sz w:val="16"/>
                <w:szCs w:val="16"/>
              </w:rPr>
            </w:pPr>
          </w:p>
          <w:p w14:paraId="62AD605C"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5B6146D9" w14:textId="77777777">
        <w:trPr>
          <w:trHeight w:val="1192"/>
        </w:trPr>
        <w:tc>
          <w:tcPr>
            <w:tcW w:w="1179" w:type="dxa"/>
          </w:tcPr>
          <w:p w14:paraId="0218F177" w14:textId="77777777" w:rsidR="008715BE" w:rsidRPr="00E26EB0" w:rsidRDefault="008715BE">
            <w:pPr>
              <w:pStyle w:val="TableParagraph"/>
              <w:rPr>
                <w:rFonts w:ascii="Verdana" w:hAnsi="Verdana"/>
                <w:b/>
                <w:sz w:val="16"/>
                <w:szCs w:val="16"/>
              </w:rPr>
            </w:pPr>
          </w:p>
          <w:p w14:paraId="11F40A2C" w14:textId="77777777" w:rsidR="008715BE" w:rsidRPr="00E26EB0" w:rsidRDefault="008715BE">
            <w:pPr>
              <w:pStyle w:val="TableParagraph"/>
              <w:spacing w:before="96"/>
              <w:rPr>
                <w:rFonts w:ascii="Verdana" w:hAnsi="Verdana"/>
                <w:b/>
                <w:sz w:val="16"/>
                <w:szCs w:val="16"/>
              </w:rPr>
            </w:pPr>
          </w:p>
          <w:p w14:paraId="5A36E658" w14:textId="77777777" w:rsidR="008715BE" w:rsidRPr="00E26EB0" w:rsidRDefault="00000000">
            <w:pPr>
              <w:pStyle w:val="TableParagraph"/>
              <w:spacing w:line="235" w:lineRule="auto"/>
              <w:ind w:left="203" w:firstLine="115"/>
              <w:rPr>
                <w:rFonts w:ascii="Verdana" w:hAnsi="Verdana"/>
                <w:i/>
                <w:sz w:val="16"/>
                <w:szCs w:val="16"/>
              </w:rPr>
            </w:pPr>
            <w:r w:rsidRPr="00E26EB0">
              <w:rPr>
                <w:rFonts w:ascii="Verdana" w:hAnsi="Verdana"/>
                <w:i/>
                <w:spacing w:val="-2"/>
                <w:sz w:val="16"/>
                <w:szCs w:val="16"/>
              </w:rPr>
              <w:t>Mustela eversmanii</w:t>
            </w:r>
          </w:p>
        </w:tc>
        <w:tc>
          <w:tcPr>
            <w:tcW w:w="1282" w:type="dxa"/>
          </w:tcPr>
          <w:p w14:paraId="072F9CD5" w14:textId="77777777" w:rsidR="008715BE" w:rsidRPr="00E26EB0" w:rsidRDefault="008715BE">
            <w:pPr>
              <w:pStyle w:val="TableParagraph"/>
              <w:rPr>
                <w:rFonts w:ascii="Verdana" w:hAnsi="Verdana"/>
                <w:b/>
                <w:sz w:val="16"/>
                <w:szCs w:val="16"/>
              </w:rPr>
            </w:pPr>
          </w:p>
          <w:p w14:paraId="48A04935" w14:textId="77777777" w:rsidR="008715BE" w:rsidRPr="00E26EB0" w:rsidRDefault="008715BE">
            <w:pPr>
              <w:pStyle w:val="TableParagraph"/>
              <w:rPr>
                <w:rFonts w:ascii="Verdana" w:hAnsi="Verdana"/>
                <w:b/>
                <w:sz w:val="16"/>
                <w:szCs w:val="16"/>
              </w:rPr>
            </w:pPr>
          </w:p>
          <w:p w14:paraId="48254813" w14:textId="77777777" w:rsidR="008715BE" w:rsidRPr="00E26EB0" w:rsidRDefault="008715BE">
            <w:pPr>
              <w:pStyle w:val="TableParagraph"/>
              <w:spacing w:before="7"/>
              <w:rPr>
                <w:rFonts w:ascii="Verdana" w:hAnsi="Verdana"/>
                <w:b/>
                <w:sz w:val="16"/>
                <w:szCs w:val="16"/>
              </w:rPr>
            </w:pPr>
          </w:p>
          <w:p w14:paraId="594AE83A" w14:textId="77777777" w:rsidR="008715BE" w:rsidRPr="00E26EB0" w:rsidRDefault="00000000">
            <w:pPr>
              <w:pStyle w:val="TableParagraph"/>
              <w:ind w:left="5"/>
              <w:jc w:val="center"/>
              <w:rPr>
                <w:rFonts w:ascii="Verdana" w:hAnsi="Verdana"/>
                <w:sz w:val="16"/>
                <w:szCs w:val="16"/>
              </w:rPr>
            </w:pPr>
            <w:r w:rsidRPr="00E26EB0">
              <w:rPr>
                <w:rFonts w:ascii="Verdana" w:hAnsi="Verdana"/>
                <w:spacing w:val="-2"/>
                <w:sz w:val="16"/>
                <w:szCs w:val="16"/>
              </w:rPr>
              <w:t xml:space="preserve">Steppe </w:t>
            </w:r>
            <w:r w:rsidRPr="00E26EB0">
              <w:rPr>
                <w:rFonts w:ascii="Verdana" w:hAnsi="Verdana"/>
                <w:sz w:val="16"/>
                <w:szCs w:val="16"/>
              </w:rPr>
              <w:t>ferret</w:t>
            </w:r>
          </w:p>
        </w:tc>
        <w:tc>
          <w:tcPr>
            <w:tcW w:w="987" w:type="dxa"/>
          </w:tcPr>
          <w:p w14:paraId="29BBE56B" w14:textId="77777777" w:rsidR="008715BE" w:rsidRPr="00E26EB0" w:rsidRDefault="008715BE">
            <w:pPr>
              <w:pStyle w:val="TableParagraph"/>
              <w:rPr>
                <w:rFonts w:ascii="Verdana" w:hAnsi="Verdana"/>
                <w:b/>
                <w:sz w:val="16"/>
                <w:szCs w:val="16"/>
              </w:rPr>
            </w:pPr>
          </w:p>
          <w:p w14:paraId="285D0660" w14:textId="77777777" w:rsidR="008715BE" w:rsidRPr="00E26EB0" w:rsidRDefault="008715BE">
            <w:pPr>
              <w:pStyle w:val="TableParagraph"/>
              <w:rPr>
                <w:rFonts w:ascii="Verdana" w:hAnsi="Verdana"/>
                <w:b/>
                <w:sz w:val="16"/>
                <w:szCs w:val="16"/>
              </w:rPr>
            </w:pPr>
          </w:p>
          <w:p w14:paraId="13CA55D0" w14:textId="77777777" w:rsidR="008715BE" w:rsidRPr="00E26EB0" w:rsidRDefault="008715BE">
            <w:pPr>
              <w:pStyle w:val="TableParagraph"/>
              <w:spacing w:before="7"/>
              <w:rPr>
                <w:rFonts w:ascii="Verdana" w:hAnsi="Verdana"/>
                <w:b/>
                <w:sz w:val="16"/>
                <w:szCs w:val="16"/>
              </w:rPr>
            </w:pPr>
          </w:p>
          <w:p w14:paraId="544AC43C"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1</w:t>
            </w:r>
          </w:p>
        </w:tc>
        <w:tc>
          <w:tcPr>
            <w:tcW w:w="1422" w:type="dxa"/>
          </w:tcPr>
          <w:p w14:paraId="53570A10" w14:textId="77777777" w:rsidR="008715BE" w:rsidRPr="00E26EB0" w:rsidRDefault="00000000">
            <w:pPr>
              <w:pStyle w:val="TableParagraph"/>
              <w:spacing w:before="8"/>
              <w:ind w:left="109" w:right="98" w:hanging="1"/>
              <w:jc w:val="center"/>
              <w:rPr>
                <w:rFonts w:ascii="Verdana" w:hAnsi="Verdana"/>
                <w:sz w:val="16"/>
                <w:szCs w:val="16"/>
              </w:rPr>
            </w:pPr>
            <w:r w:rsidRPr="00E26EB0">
              <w:rPr>
                <w:rFonts w:ascii="Verdana" w:hAnsi="Verdana"/>
                <w:sz w:val="16"/>
                <w:szCs w:val="16"/>
              </w:rPr>
              <w:t xml:space="preserve">The species was observed throughout the year The species uses </w:t>
            </w:r>
            <w:r w:rsidRPr="00E26EB0">
              <w:rPr>
                <w:rFonts w:ascii="Verdana" w:hAnsi="Verdana"/>
                <w:spacing w:val="-2"/>
                <w:sz w:val="16"/>
                <w:szCs w:val="16"/>
              </w:rPr>
              <w:t>the site area</w:t>
            </w:r>
          </w:p>
          <w:p w14:paraId="4D29E09A" w14:textId="77777777" w:rsidR="008715BE" w:rsidRPr="00E26EB0" w:rsidRDefault="00000000">
            <w:pPr>
              <w:pStyle w:val="TableParagraph"/>
              <w:spacing w:line="140"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5A9A5726" w14:textId="77777777" w:rsidR="008715BE" w:rsidRPr="00E26EB0" w:rsidRDefault="008715BE">
            <w:pPr>
              <w:pStyle w:val="TableParagraph"/>
              <w:rPr>
                <w:rFonts w:ascii="Verdana" w:hAnsi="Verdana"/>
                <w:b/>
                <w:sz w:val="16"/>
                <w:szCs w:val="16"/>
              </w:rPr>
            </w:pPr>
          </w:p>
          <w:p w14:paraId="6E0E3986" w14:textId="77777777" w:rsidR="008715BE" w:rsidRPr="00E26EB0" w:rsidRDefault="008715BE">
            <w:pPr>
              <w:pStyle w:val="TableParagraph"/>
              <w:rPr>
                <w:rFonts w:ascii="Verdana" w:hAnsi="Verdana"/>
                <w:b/>
                <w:sz w:val="16"/>
                <w:szCs w:val="16"/>
              </w:rPr>
            </w:pPr>
          </w:p>
          <w:p w14:paraId="32C1B906" w14:textId="77777777" w:rsidR="008715BE" w:rsidRPr="00E26EB0" w:rsidRDefault="008715BE">
            <w:pPr>
              <w:pStyle w:val="TableParagraph"/>
              <w:spacing w:before="7"/>
              <w:rPr>
                <w:rFonts w:ascii="Verdana" w:hAnsi="Verdana"/>
                <w:b/>
                <w:sz w:val="16"/>
                <w:szCs w:val="16"/>
              </w:rPr>
            </w:pPr>
          </w:p>
          <w:p w14:paraId="4CE3F205"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5"/>
                <w:sz w:val="16"/>
                <w:szCs w:val="16"/>
              </w:rPr>
              <w:t>EN</w:t>
            </w:r>
          </w:p>
        </w:tc>
        <w:tc>
          <w:tcPr>
            <w:tcW w:w="1208" w:type="dxa"/>
          </w:tcPr>
          <w:p w14:paraId="5FC897A9" w14:textId="77777777" w:rsidR="008715BE" w:rsidRPr="00E26EB0" w:rsidRDefault="008715BE">
            <w:pPr>
              <w:pStyle w:val="TableParagraph"/>
              <w:rPr>
                <w:rFonts w:ascii="Verdana" w:hAnsi="Verdana"/>
                <w:b/>
                <w:sz w:val="16"/>
                <w:szCs w:val="16"/>
              </w:rPr>
            </w:pPr>
          </w:p>
          <w:p w14:paraId="2D6F132D" w14:textId="77777777" w:rsidR="008715BE" w:rsidRPr="00E26EB0" w:rsidRDefault="008715BE">
            <w:pPr>
              <w:pStyle w:val="TableParagraph"/>
              <w:spacing w:before="96"/>
              <w:rPr>
                <w:rFonts w:ascii="Verdana" w:hAnsi="Verdana"/>
                <w:b/>
                <w:sz w:val="16"/>
                <w:szCs w:val="16"/>
              </w:rPr>
            </w:pPr>
          </w:p>
          <w:p w14:paraId="193F6497" w14:textId="77777777" w:rsidR="008715BE" w:rsidRPr="00E26EB0" w:rsidRDefault="00000000">
            <w:pPr>
              <w:pStyle w:val="TableParagraph"/>
              <w:spacing w:line="235" w:lineRule="auto"/>
              <w:ind w:left="280" w:hanging="8"/>
              <w:rPr>
                <w:rFonts w:ascii="Verdana" w:hAnsi="Verdana"/>
                <w:sz w:val="16"/>
                <w:szCs w:val="16"/>
              </w:rPr>
            </w:pPr>
            <w:r w:rsidRPr="00E26EB0">
              <w:rPr>
                <w:rFonts w:ascii="Verdana" w:hAnsi="Verdana"/>
                <w:spacing w:val="-2"/>
                <w:sz w:val="16"/>
                <w:szCs w:val="16"/>
              </w:rPr>
              <w:t xml:space="preserve">Annex II, </w:t>
            </w:r>
            <w:r w:rsidRPr="00E26EB0">
              <w:rPr>
                <w:rFonts w:ascii="Verdana" w:hAnsi="Verdana"/>
                <w:sz w:val="16"/>
                <w:szCs w:val="16"/>
              </w:rPr>
              <w:t xml:space="preserve">Annex </w:t>
            </w:r>
            <w:r w:rsidRPr="00E26EB0">
              <w:rPr>
                <w:rFonts w:ascii="Verdana" w:hAnsi="Verdana"/>
                <w:spacing w:val="-7"/>
                <w:sz w:val="16"/>
                <w:szCs w:val="16"/>
              </w:rPr>
              <w:t>IV</w:t>
            </w:r>
          </w:p>
        </w:tc>
        <w:tc>
          <w:tcPr>
            <w:tcW w:w="1179" w:type="dxa"/>
          </w:tcPr>
          <w:p w14:paraId="3002B405" w14:textId="77777777" w:rsidR="008715BE" w:rsidRPr="00E26EB0" w:rsidRDefault="008715BE">
            <w:pPr>
              <w:pStyle w:val="TableParagraph"/>
              <w:rPr>
                <w:rFonts w:ascii="Verdana" w:hAnsi="Verdana"/>
                <w:b/>
                <w:sz w:val="16"/>
                <w:szCs w:val="16"/>
              </w:rPr>
            </w:pPr>
          </w:p>
          <w:p w14:paraId="72C10260" w14:textId="77777777" w:rsidR="008715BE" w:rsidRPr="00E26EB0" w:rsidRDefault="008715BE">
            <w:pPr>
              <w:pStyle w:val="TableParagraph"/>
              <w:rPr>
                <w:rFonts w:ascii="Verdana" w:hAnsi="Verdana"/>
                <w:b/>
                <w:sz w:val="16"/>
                <w:szCs w:val="16"/>
              </w:rPr>
            </w:pPr>
          </w:p>
          <w:p w14:paraId="7184FF8E" w14:textId="77777777" w:rsidR="008715BE" w:rsidRPr="00E26EB0" w:rsidRDefault="008715BE">
            <w:pPr>
              <w:pStyle w:val="TableParagraph"/>
              <w:spacing w:before="7"/>
              <w:rPr>
                <w:rFonts w:ascii="Verdana" w:hAnsi="Verdana"/>
                <w:b/>
                <w:sz w:val="16"/>
                <w:szCs w:val="16"/>
              </w:rPr>
            </w:pPr>
          </w:p>
          <w:p w14:paraId="164CCCF8"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1B600C9B" w14:textId="77777777" w:rsidR="008715BE" w:rsidRPr="00E26EB0" w:rsidRDefault="008715BE">
            <w:pPr>
              <w:pStyle w:val="TableParagraph"/>
              <w:rPr>
                <w:rFonts w:ascii="Verdana" w:hAnsi="Verdana"/>
                <w:b/>
                <w:sz w:val="16"/>
                <w:szCs w:val="16"/>
              </w:rPr>
            </w:pPr>
          </w:p>
          <w:p w14:paraId="4ED046DD" w14:textId="77777777" w:rsidR="008715BE" w:rsidRPr="00E26EB0" w:rsidRDefault="008715BE">
            <w:pPr>
              <w:pStyle w:val="TableParagraph"/>
              <w:spacing w:before="96"/>
              <w:rPr>
                <w:rFonts w:ascii="Verdana" w:hAnsi="Verdana"/>
                <w:b/>
                <w:sz w:val="16"/>
                <w:szCs w:val="16"/>
              </w:rPr>
            </w:pPr>
          </w:p>
          <w:p w14:paraId="273B5ABD" w14:textId="77777777" w:rsidR="008715BE" w:rsidRPr="00E26EB0" w:rsidRDefault="00000000">
            <w:pPr>
              <w:pStyle w:val="TableParagraph"/>
              <w:spacing w:line="235" w:lineRule="auto"/>
              <w:ind w:left="659" w:right="68" w:hanging="461"/>
              <w:rPr>
                <w:rFonts w:ascii="Verdana" w:hAnsi="Verdana"/>
                <w:sz w:val="16"/>
                <w:szCs w:val="16"/>
              </w:rPr>
            </w:pPr>
            <w:r w:rsidRPr="00E26EB0">
              <w:rPr>
                <w:rFonts w:ascii="Verdana" w:hAnsi="Verdana"/>
                <w:sz w:val="16"/>
                <w:szCs w:val="16"/>
              </w:rPr>
              <w:t>Annex 3, Annex</w:t>
            </w:r>
            <w:r w:rsidRPr="00E26EB0">
              <w:rPr>
                <w:rFonts w:ascii="Verdana" w:hAnsi="Verdana"/>
                <w:spacing w:val="-6"/>
                <w:sz w:val="16"/>
                <w:szCs w:val="16"/>
              </w:rPr>
              <w:t xml:space="preserve"> 4A</w:t>
            </w:r>
          </w:p>
        </w:tc>
        <w:tc>
          <w:tcPr>
            <w:tcW w:w="1577" w:type="dxa"/>
          </w:tcPr>
          <w:p w14:paraId="2B14BEF5" w14:textId="77777777" w:rsidR="008715BE" w:rsidRPr="00E26EB0" w:rsidRDefault="008715BE">
            <w:pPr>
              <w:pStyle w:val="TableParagraph"/>
              <w:rPr>
                <w:rFonts w:ascii="Verdana" w:hAnsi="Verdana"/>
                <w:b/>
                <w:sz w:val="16"/>
                <w:szCs w:val="16"/>
              </w:rPr>
            </w:pPr>
          </w:p>
          <w:p w14:paraId="55EE7C9E" w14:textId="77777777" w:rsidR="008715BE" w:rsidRPr="00E26EB0" w:rsidRDefault="008715BE">
            <w:pPr>
              <w:pStyle w:val="TableParagraph"/>
              <w:rPr>
                <w:rFonts w:ascii="Verdana" w:hAnsi="Verdana"/>
                <w:b/>
                <w:sz w:val="16"/>
                <w:szCs w:val="16"/>
              </w:rPr>
            </w:pPr>
          </w:p>
          <w:p w14:paraId="392F9B68" w14:textId="77777777" w:rsidR="008715BE" w:rsidRPr="00E26EB0" w:rsidRDefault="008715BE">
            <w:pPr>
              <w:pStyle w:val="TableParagraph"/>
              <w:spacing w:before="7"/>
              <w:rPr>
                <w:rFonts w:ascii="Verdana" w:hAnsi="Verdana"/>
                <w:b/>
                <w:sz w:val="16"/>
                <w:szCs w:val="16"/>
              </w:rPr>
            </w:pPr>
          </w:p>
          <w:p w14:paraId="7269AEBC" w14:textId="77777777" w:rsidR="008715BE" w:rsidRPr="00E26EB0" w:rsidRDefault="00000000">
            <w:pPr>
              <w:pStyle w:val="TableParagraph"/>
              <w:ind w:left="2"/>
              <w:jc w:val="center"/>
              <w:rPr>
                <w:rFonts w:ascii="Verdana" w:hAnsi="Verdana"/>
                <w:sz w:val="16"/>
                <w:szCs w:val="16"/>
              </w:rPr>
            </w:pPr>
            <w:r w:rsidRPr="00E26EB0">
              <w:rPr>
                <w:rFonts w:ascii="Verdana" w:hAnsi="Verdana"/>
                <w:spacing w:val="-2"/>
                <w:sz w:val="16"/>
                <w:szCs w:val="16"/>
              </w:rPr>
              <w:t xml:space="preserve">Vulnerable </w:t>
            </w:r>
            <w:r w:rsidRPr="00E26EB0">
              <w:rPr>
                <w:rFonts w:ascii="Verdana" w:hAnsi="Verdana"/>
                <w:sz w:val="16"/>
                <w:szCs w:val="16"/>
              </w:rPr>
              <w:t>species</w:t>
            </w:r>
          </w:p>
        </w:tc>
      </w:tr>
      <w:tr w:rsidR="008715BE" w:rsidRPr="00E26EB0" w14:paraId="4D0EA196" w14:textId="77777777">
        <w:trPr>
          <w:trHeight w:val="1360"/>
        </w:trPr>
        <w:tc>
          <w:tcPr>
            <w:tcW w:w="1179" w:type="dxa"/>
          </w:tcPr>
          <w:p w14:paraId="3DE7EA0B" w14:textId="77777777" w:rsidR="008715BE" w:rsidRPr="00E26EB0" w:rsidRDefault="008715BE">
            <w:pPr>
              <w:pStyle w:val="TableParagraph"/>
              <w:rPr>
                <w:rFonts w:ascii="Verdana" w:hAnsi="Verdana"/>
                <w:b/>
                <w:sz w:val="16"/>
                <w:szCs w:val="16"/>
              </w:rPr>
            </w:pPr>
          </w:p>
          <w:p w14:paraId="050A8177" w14:textId="77777777" w:rsidR="008715BE" w:rsidRPr="00E26EB0" w:rsidRDefault="008715BE">
            <w:pPr>
              <w:pStyle w:val="TableParagraph"/>
              <w:rPr>
                <w:rFonts w:ascii="Verdana" w:hAnsi="Verdana"/>
                <w:b/>
                <w:sz w:val="16"/>
                <w:szCs w:val="16"/>
              </w:rPr>
            </w:pPr>
          </w:p>
          <w:p w14:paraId="7F15610F" w14:textId="77777777" w:rsidR="008715BE" w:rsidRPr="00E26EB0" w:rsidRDefault="008715BE">
            <w:pPr>
              <w:pStyle w:val="TableParagraph"/>
              <w:spacing w:before="4"/>
              <w:rPr>
                <w:rFonts w:ascii="Verdana" w:hAnsi="Verdana"/>
                <w:b/>
                <w:sz w:val="16"/>
                <w:szCs w:val="16"/>
              </w:rPr>
            </w:pPr>
          </w:p>
          <w:p w14:paraId="72396A71" w14:textId="77777777" w:rsidR="008715BE" w:rsidRPr="00E26EB0" w:rsidRDefault="00000000">
            <w:pPr>
              <w:pStyle w:val="TableParagraph"/>
              <w:ind w:left="208" w:firstLine="153"/>
              <w:rPr>
                <w:rFonts w:ascii="Verdana" w:hAnsi="Verdana"/>
                <w:i/>
                <w:sz w:val="16"/>
                <w:szCs w:val="16"/>
              </w:rPr>
            </w:pPr>
            <w:r w:rsidRPr="00E26EB0">
              <w:rPr>
                <w:rFonts w:ascii="Verdana" w:hAnsi="Verdana"/>
                <w:i/>
                <w:spacing w:val="-2"/>
                <w:sz w:val="16"/>
                <w:szCs w:val="16"/>
              </w:rPr>
              <w:t>Rattus norvegicus</w:t>
            </w:r>
          </w:p>
        </w:tc>
        <w:tc>
          <w:tcPr>
            <w:tcW w:w="1282" w:type="dxa"/>
          </w:tcPr>
          <w:p w14:paraId="1FB563C5" w14:textId="77777777" w:rsidR="008715BE" w:rsidRPr="00E26EB0" w:rsidRDefault="008715BE">
            <w:pPr>
              <w:pStyle w:val="TableParagraph"/>
              <w:rPr>
                <w:rFonts w:ascii="Verdana" w:hAnsi="Verdana"/>
                <w:b/>
                <w:sz w:val="16"/>
                <w:szCs w:val="16"/>
              </w:rPr>
            </w:pPr>
          </w:p>
          <w:p w14:paraId="0CC133A4" w14:textId="77777777" w:rsidR="008715BE" w:rsidRPr="00E26EB0" w:rsidRDefault="008715BE">
            <w:pPr>
              <w:pStyle w:val="TableParagraph"/>
              <w:rPr>
                <w:rFonts w:ascii="Verdana" w:hAnsi="Verdana"/>
                <w:b/>
                <w:sz w:val="16"/>
                <w:szCs w:val="16"/>
              </w:rPr>
            </w:pPr>
          </w:p>
          <w:p w14:paraId="6AE6E175" w14:textId="77777777" w:rsidR="008715BE" w:rsidRPr="00E26EB0" w:rsidRDefault="008715BE">
            <w:pPr>
              <w:pStyle w:val="TableParagraph"/>
              <w:spacing w:before="4"/>
              <w:rPr>
                <w:rFonts w:ascii="Verdana" w:hAnsi="Verdana"/>
                <w:b/>
                <w:sz w:val="16"/>
                <w:szCs w:val="16"/>
              </w:rPr>
            </w:pPr>
          </w:p>
          <w:p w14:paraId="36643F43" w14:textId="77777777" w:rsidR="008715BE" w:rsidRPr="00E26EB0" w:rsidRDefault="00000000">
            <w:pPr>
              <w:pStyle w:val="TableParagraph"/>
              <w:spacing w:line="171" w:lineRule="exact"/>
              <w:ind w:left="357"/>
              <w:rPr>
                <w:rFonts w:ascii="Verdana" w:hAnsi="Verdana"/>
                <w:sz w:val="16"/>
                <w:szCs w:val="16"/>
              </w:rPr>
            </w:pPr>
            <w:r w:rsidRPr="00E26EB0">
              <w:rPr>
                <w:rFonts w:ascii="Verdana" w:hAnsi="Verdana"/>
                <w:spacing w:val="-2"/>
                <w:sz w:val="16"/>
                <w:szCs w:val="16"/>
              </w:rPr>
              <w:t>Rat</w:t>
            </w:r>
          </w:p>
          <w:p w14:paraId="3EDBCDA0" w14:textId="77777777" w:rsidR="008715BE" w:rsidRPr="00E26EB0" w:rsidRDefault="00000000">
            <w:pPr>
              <w:pStyle w:val="TableParagraph"/>
              <w:spacing w:line="171" w:lineRule="exact"/>
              <w:ind w:left="350"/>
              <w:rPr>
                <w:rFonts w:ascii="Verdana" w:hAnsi="Verdana"/>
                <w:sz w:val="16"/>
                <w:szCs w:val="16"/>
              </w:rPr>
            </w:pPr>
            <w:r w:rsidRPr="00E26EB0">
              <w:rPr>
                <w:rFonts w:ascii="Verdana" w:hAnsi="Verdana"/>
                <w:spacing w:val="-2"/>
                <w:sz w:val="16"/>
                <w:szCs w:val="16"/>
              </w:rPr>
              <w:t>brown</w:t>
            </w:r>
          </w:p>
        </w:tc>
        <w:tc>
          <w:tcPr>
            <w:tcW w:w="987" w:type="dxa"/>
          </w:tcPr>
          <w:p w14:paraId="116C3644" w14:textId="77777777" w:rsidR="008715BE" w:rsidRPr="00E26EB0" w:rsidRDefault="008715BE">
            <w:pPr>
              <w:pStyle w:val="TableParagraph"/>
              <w:rPr>
                <w:rFonts w:ascii="Verdana" w:hAnsi="Verdana"/>
                <w:b/>
                <w:sz w:val="16"/>
                <w:szCs w:val="16"/>
              </w:rPr>
            </w:pPr>
          </w:p>
          <w:p w14:paraId="7F6A7896" w14:textId="77777777" w:rsidR="008715BE" w:rsidRPr="00E26EB0" w:rsidRDefault="008715BE">
            <w:pPr>
              <w:pStyle w:val="TableParagraph"/>
              <w:rPr>
                <w:rFonts w:ascii="Verdana" w:hAnsi="Verdana"/>
                <w:b/>
                <w:sz w:val="16"/>
                <w:szCs w:val="16"/>
              </w:rPr>
            </w:pPr>
          </w:p>
          <w:p w14:paraId="32A100F0" w14:textId="77777777" w:rsidR="008715BE" w:rsidRPr="00E26EB0" w:rsidRDefault="008715BE">
            <w:pPr>
              <w:pStyle w:val="TableParagraph"/>
              <w:spacing w:before="90"/>
              <w:rPr>
                <w:rFonts w:ascii="Verdana" w:hAnsi="Verdana"/>
                <w:b/>
                <w:sz w:val="16"/>
                <w:szCs w:val="16"/>
              </w:rPr>
            </w:pPr>
          </w:p>
          <w:p w14:paraId="65ADC722"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1</w:t>
            </w:r>
          </w:p>
        </w:tc>
        <w:tc>
          <w:tcPr>
            <w:tcW w:w="1422" w:type="dxa"/>
          </w:tcPr>
          <w:p w14:paraId="56BD5C49" w14:textId="77777777" w:rsidR="008715BE" w:rsidRPr="00E26EB0" w:rsidRDefault="00000000">
            <w:pPr>
              <w:pStyle w:val="TableParagraph"/>
              <w:spacing w:before="9" w:line="237" w:lineRule="auto"/>
              <w:ind w:left="253" w:right="245" w:firstLine="2"/>
              <w:jc w:val="center"/>
              <w:rPr>
                <w:rFonts w:ascii="Verdana" w:hAnsi="Verdana"/>
                <w:sz w:val="16"/>
                <w:szCs w:val="16"/>
              </w:rPr>
            </w:pPr>
            <w:r w:rsidRPr="00E26EB0">
              <w:rPr>
                <w:rFonts w:ascii="Verdana" w:hAnsi="Verdana"/>
                <w:sz w:val="16"/>
                <w:szCs w:val="16"/>
              </w:rPr>
              <w:t xml:space="preserve">The species was observed during </w:t>
            </w:r>
            <w:r w:rsidRPr="00E26EB0">
              <w:rPr>
                <w:rFonts w:ascii="Verdana" w:hAnsi="Verdana"/>
                <w:spacing w:val="-2"/>
                <w:sz w:val="16"/>
                <w:szCs w:val="16"/>
              </w:rPr>
              <w:t>winter</w:t>
            </w:r>
          </w:p>
          <w:p w14:paraId="398A3CCE" w14:textId="77777777" w:rsidR="008715BE" w:rsidRPr="00E26EB0" w:rsidRDefault="00000000">
            <w:pPr>
              <w:pStyle w:val="TableParagraph"/>
              <w:spacing w:before="1"/>
              <w:ind w:left="11"/>
              <w:jc w:val="center"/>
              <w:rPr>
                <w:rFonts w:ascii="Verdana" w:hAnsi="Verdana"/>
                <w:sz w:val="16"/>
                <w:szCs w:val="16"/>
              </w:rPr>
            </w:pPr>
            <w:r w:rsidRPr="00E26EB0">
              <w:rPr>
                <w:rFonts w:ascii="Verdana" w:hAnsi="Verdana"/>
                <w:sz w:val="16"/>
                <w:szCs w:val="16"/>
              </w:rPr>
              <w:t xml:space="preserve">The species uses the </w:t>
            </w:r>
            <w:r w:rsidRPr="00E26EB0">
              <w:rPr>
                <w:rFonts w:ascii="Verdana" w:hAnsi="Verdana"/>
                <w:spacing w:val="-2"/>
                <w:sz w:val="16"/>
                <w:szCs w:val="16"/>
              </w:rPr>
              <w:t>surface of the site</w:t>
            </w:r>
          </w:p>
          <w:p w14:paraId="074B6DFA" w14:textId="77777777" w:rsidR="008715BE" w:rsidRPr="00E26EB0" w:rsidRDefault="00000000">
            <w:pPr>
              <w:pStyle w:val="TableParagraph"/>
              <w:spacing w:line="140"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73C6B9B4" w14:textId="77777777" w:rsidR="008715BE" w:rsidRPr="00E26EB0" w:rsidRDefault="008715BE">
            <w:pPr>
              <w:pStyle w:val="TableParagraph"/>
              <w:rPr>
                <w:rFonts w:ascii="Verdana" w:hAnsi="Verdana"/>
                <w:b/>
                <w:sz w:val="16"/>
                <w:szCs w:val="16"/>
              </w:rPr>
            </w:pPr>
          </w:p>
          <w:p w14:paraId="29CF1CD6" w14:textId="77777777" w:rsidR="008715BE" w:rsidRPr="00E26EB0" w:rsidRDefault="008715BE">
            <w:pPr>
              <w:pStyle w:val="TableParagraph"/>
              <w:rPr>
                <w:rFonts w:ascii="Verdana" w:hAnsi="Verdana"/>
                <w:b/>
                <w:sz w:val="16"/>
                <w:szCs w:val="16"/>
              </w:rPr>
            </w:pPr>
          </w:p>
          <w:p w14:paraId="09920DB2" w14:textId="77777777" w:rsidR="008715BE" w:rsidRPr="00E26EB0" w:rsidRDefault="008715BE">
            <w:pPr>
              <w:pStyle w:val="TableParagraph"/>
              <w:spacing w:before="90"/>
              <w:rPr>
                <w:rFonts w:ascii="Verdana" w:hAnsi="Verdana"/>
                <w:b/>
                <w:sz w:val="16"/>
                <w:szCs w:val="16"/>
              </w:rPr>
            </w:pPr>
          </w:p>
          <w:p w14:paraId="432411DF"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59CE784B" w14:textId="77777777" w:rsidR="008715BE" w:rsidRPr="00E26EB0" w:rsidRDefault="008715BE">
            <w:pPr>
              <w:pStyle w:val="TableParagraph"/>
              <w:rPr>
                <w:rFonts w:ascii="Verdana" w:hAnsi="Verdana"/>
                <w:b/>
                <w:sz w:val="16"/>
                <w:szCs w:val="16"/>
              </w:rPr>
            </w:pPr>
          </w:p>
          <w:p w14:paraId="60E9BEBE" w14:textId="77777777" w:rsidR="008715BE" w:rsidRPr="00E26EB0" w:rsidRDefault="008715BE">
            <w:pPr>
              <w:pStyle w:val="TableParagraph"/>
              <w:rPr>
                <w:rFonts w:ascii="Verdana" w:hAnsi="Verdana"/>
                <w:b/>
                <w:sz w:val="16"/>
                <w:szCs w:val="16"/>
              </w:rPr>
            </w:pPr>
          </w:p>
          <w:p w14:paraId="024775A4" w14:textId="77777777" w:rsidR="008715BE" w:rsidRPr="00E26EB0" w:rsidRDefault="008715BE">
            <w:pPr>
              <w:pStyle w:val="TableParagraph"/>
              <w:spacing w:before="90"/>
              <w:rPr>
                <w:rFonts w:ascii="Verdana" w:hAnsi="Verdana"/>
                <w:b/>
                <w:sz w:val="16"/>
                <w:szCs w:val="16"/>
              </w:rPr>
            </w:pPr>
          </w:p>
          <w:p w14:paraId="0A78B64D"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53F65169" w14:textId="77777777" w:rsidR="008715BE" w:rsidRPr="00E26EB0" w:rsidRDefault="008715BE">
            <w:pPr>
              <w:pStyle w:val="TableParagraph"/>
              <w:rPr>
                <w:rFonts w:ascii="Verdana" w:hAnsi="Verdana"/>
                <w:b/>
                <w:sz w:val="16"/>
                <w:szCs w:val="16"/>
              </w:rPr>
            </w:pPr>
          </w:p>
          <w:p w14:paraId="2B9E04C6" w14:textId="77777777" w:rsidR="008715BE" w:rsidRPr="00E26EB0" w:rsidRDefault="008715BE">
            <w:pPr>
              <w:pStyle w:val="TableParagraph"/>
              <w:rPr>
                <w:rFonts w:ascii="Verdana" w:hAnsi="Verdana"/>
                <w:b/>
                <w:sz w:val="16"/>
                <w:szCs w:val="16"/>
              </w:rPr>
            </w:pPr>
          </w:p>
          <w:p w14:paraId="6829F01A" w14:textId="77777777" w:rsidR="008715BE" w:rsidRPr="00E26EB0" w:rsidRDefault="008715BE">
            <w:pPr>
              <w:pStyle w:val="TableParagraph"/>
              <w:spacing w:before="90"/>
              <w:rPr>
                <w:rFonts w:ascii="Verdana" w:hAnsi="Verdana"/>
                <w:b/>
                <w:sz w:val="16"/>
                <w:szCs w:val="16"/>
              </w:rPr>
            </w:pPr>
          </w:p>
          <w:p w14:paraId="2BECFCEC"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3DAFBDA8" w14:textId="77777777" w:rsidR="008715BE" w:rsidRPr="00E26EB0" w:rsidRDefault="008715BE">
            <w:pPr>
              <w:pStyle w:val="TableParagraph"/>
              <w:rPr>
                <w:rFonts w:ascii="Verdana" w:hAnsi="Verdana"/>
                <w:b/>
                <w:sz w:val="16"/>
                <w:szCs w:val="16"/>
              </w:rPr>
            </w:pPr>
          </w:p>
          <w:p w14:paraId="1A0B9A4B" w14:textId="77777777" w:rsidR="008715BE" w:rsidRPr="00E26EB0" w:rsidRDefault="008715BE">
            <w:pPr>
              <w:pStyle w:val="TableParagraph"/>
              <w:rPr>
                <w:rFonts w:ascii="Verdana" w:hAnsi="Verdana"/>
                <w:b/>
                <w:sz w:val="16"/>
                <w:szCs w:val="16"/>
              </w:rPr>
            </w:pPr>
          </w:p>
          <w:p w14:paraId="4A2AF4EE" w14:textId="77777777" w:rsidR="008715BE" w:rsidRPr="00E26EB0" w:rsidRDefault="008715BE">
            <w:pPr>
              <w:pStyle w:val="TableParagraph"/>
              <w:spacing w:before="90"/>
              <w:rPr>
                <w:rFonts w:ascii="Verdana" w:hAnsi="Verdana"/>
                <w:b/>
                <w:sz w:val="16"/>
                <w:szCs w:val="16"/>
              </w:rPr>
            </w:pPr>
          </w:p>
          <w:p w14:paraId="6D032573"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2CC0A88F" w14:textId="77777777" w:rsidR="008715BE" w:rsidRPr="00E26EB0" w:rsidRDefault="008715BE">
            <w:pPr>
              <w:pStyle w:val="TableParagraph"/>
              <w:rPr>
                <w:rFonts w:ascii="Verdana" w:hAnsi="Verdana"/>
                <w:b/>
                <w:sz w:val="16"/>
                <w:szCs w:val="16"/>
              </w:rPr>
            </w:pPr>
          </w:p>
          <w:p w14:paraId="760F527C" w14:textId="77777777" w:rsidR="008715BE" w:rsidRPr="00E26EB0" w:rsidRDefault="008715BE">
            <w:pPr>
              <w:pStyle w:val="TableParagraph"/>
              <w:rPr>
                <w:rFonts w:ascii="Verdana" w:hAnsi="Verdana"/>
                <w:b/>
                <w:sz w:val="16"/>
                <w:szCs w:val="16"/>
              </w:rPr>
            </w:pPr>
          </w:p>
          <w:p w14:paraId="44DC4566" w14:textId="77777777" w:rsidR="008715BE" w:rsidRPr="00E26EB0" w:rsidRDefault="008715BE">
            <w:pPr>
              <w:pStyle w:val="TableParagraph"/>
              <w:spacing w:before="90"/>
              <w:rPr>
                <w:rFonts w:ascii="Verdana" w:hAnsi="Verdana"/>
                <w:b/>
                <w:sz w:val="16"/>
                <w:szCs w:val="16"/>
              </w:rPr>
            </w:pPr>
          </w:p>
          <w:p w14:paraId="515F38B0"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63B6623F" w14:textId="77777777">
        <w:trPr>
          <w:trHeight w:val="1360"/>
        </w:trPr>
        <w:tc>
          <w:tcPr>
            <w:tcW w:w="1179" w:type="dxa"/>
          </w:tcPr>
          <w:p w14:paraId="4559D5AD" w14:textId="77777777" w:rsidR="008715BE" w:rsidRPr="00E26EB0" w:rsidRDefault="008715BE">
            <w:pPr>
              <w:pStyle w:val="TableParagraph"/>
              <w:rPr>
                <w:rFonts w:ascii="Verdana" w:hAnsi="Verdana"/>
                <w:b/>
                <w:sz w:val="16"/>
                <w:szCs w:val="16"/>
              </w:rPr>
            </w:pPr>
          </w:p>
          <w:p w14:paraId="2267340D" w14:textId="77777777" w:rsidR="008715BE" w:rsidRPr="00E26EB0" w:rsidRDefault="008715BE">
            <w:pPr>
              <w:pStyle w:val="TableParagraph"/>
              <w:rPr>
                <w:rFonts w:ascii="Verdana" w:hAnsi="Verdana"/>
                <w:b/>
                <w:sz w:val="16"/>
                <w:szCs w:val="16"/>
              </w:rPr>
            </w:pPr>
          </w:p>
          <w:p w14:paraId="6C44A745" w14:textId="77777777" w:rsidR="008715BE" w:rsidRPr="00E26EB0" w:rsidRDefault="008715BE">
            <w:pPr>
              <w:pStyle w:val="TableParagraph"/>
              <w:spacing w:before="6"/>
              <w:rPr>
                <w:rFonts w:ascii="Verdana" w:hAnsi="Verdana"/>
                <w:b/>
                <w:sz w:val="16"/>
                <w:szCs w:val="16"/>
              </w:rPr>
            </w:pPr>
          </w:p>
          <w:p w14:paraId="20D1E606" w14:textId="77777777" w:rsidR="008715BE" w:rsidRPr="00E26EB0" w:rsidRDefault="00000000">
            <w:pPr>
              <w:pStyle w:val="TableParagraph"/>
              <w:ind w:left="273" w:firstLine="79"/>
              <w:rPr>
                <w:rFonts w:ascii="Verdana" w:hAnsi="Verdana"/>
                <w:i/>
                <w:sz w:val="16"/>
                <w:szCs w:val="16"/>
              </w:rPr>
            </w:pPr>
            <w:r w:rsidRPr="00E26EB0">
              <w:rPr>
                <w:rFonts w:ascii="Verdana" w:hAnsi="Verdana"/>
                <w:i/>
                <w:spacing w:val="-2"/>
                <w:sz w:val="16"/>
                <w:szCs w:val="16"/>
              </w:rPr>
              <w:t>Spalax leucodon</w:t>
            </w:r>
          </w:p>
        </w:tc>
        <w:tc>
          <w:tcPr>
            <w:tcW w:w="1282" w:type="dxa"/>
          </w:tcPr>
          <w:p w14:paraId="2F7233A5" w14:textId="77777777" w:rsidR="008715BE" w:rsidRPr="00E26EB0" w:rsidRDefault="008715BE">
            <w:pPr>
              <w:pStyle w:val="TableParagraph"/>
              <w:rPr>
                <w:rFonts w:ascii="Verdana" w:hAnsi="Verdana"/>
                <w:b/>
                <w:sz w:val="16"/>
                <w:szCs w:val="16"/>
              </w:rPr>
            </w:pPr>
          </w:p>
          <w:p w14:paraId="4B341503" w14:textId="77777777" w:rsidR="008715BE" w:rsidRPr="00E26EB0" w:rsidRDefault="008715BE">
            <w:pPr>
              <w:pStyle w:val="TableParagraph"/>
              <w:rPr>
                <w:rFonts w:ascii="Verdana" w:hAnsi="Verdana"/>
                <w:b/>
                <w:sz w:val="16"/>
                <w:szCs w:val="16"/>
              </w:rPr>
            </w:pPr>
          </w:p>
          <w:p w14:paraId="2816E64A" w14:textId="77777777" w:rsidR="008715BE" w:rsidRPr="00E26EB0" w:rsidRDefault="008715BE">
            <w:pPr>
              <w:pStyle w:val="TableParagraph"/>
              <w:spacing w:before="90"/>
              <w:rPr>
                <w:rFonts w:ascii="Verdana" w:hAnsi="Verdana"/>
                <w:b/>
                <w:sz w:val="16"/>
                <w:szCs w:val="16"/>
              </w:rPr>
            </w:pPr>
          </w:p>
          <w:p w14:paraId="118D6254" w14:textId="77777777" w:rsidR="008715BE" w:rsidRPr="00E26EB0" w:rsidRDefault="00000000">
            <w:pPr>
              <w:pStyle w:val="TableParagraph"/>
              <w:ind w:left="161" w:right="155"/>
              <w:jc w:val="center"/>
              <w:rPr>
                <w:rFonts w:ascii="Verdana" w:hAnsi="Verdana"/>
                <w:sz w:val="16"/>
                <w:szCs w:val="16"/>
              </w:rPr>
            </w:pPr>
            <w:r w:rsidRPr="00E26EB0">
              <w:rPr>
                <w:rFonts w:ascii="Verdana" w:hAnsi="Verdana"/>
                <w:spacing w:val="-5"/>
                <w:sz w:val="16"/>
                <w:szCs w:val="16"/>
              </w:rPr>
              <w:t xml:space="preserve">Small </w:t>
            </w:r>
            <w:r w:rsidRPr="00E26EB0">
              <w:rPr>
                <w:rFonts w:ascii="Verdana" w:hAnsi="Verdana"/>
                <w:sz w:val="16"/>
                <w:szCs w:val="16"/>
              </w:rPr>
              <w:t>blind mole</w:t>
            </w:r>
          </w:p>
        </w:tc>
        <w:tc>
          <w:tcPr>
            <w:tcW w:w="987" w:type="dxa"/>
          </w:tcPr>
          <w:p w14:paraId="7801E1E4" w14:textId="77777777" w:rsidR="008715BE" w:rsidRPr="00E26EB0" w:rsidRDefault="008715BE">
            <w:pPr>
              <w:pStyle w:val="TableParagraph"/>
              <w:rPr>
                <w:rFonts w:ascii="Verdana" w:hAnsi="Verdana"/>
                <w:b/>
                <w:sz w:val="16"/>
                <w:szCs w:val="16"/>
              </w:rPr>
            </w:pPr>
          </w:p>
          <w:p w14:paraId="7B43DC90" w14:textId="77777777" w:rsidR="008715BE" w:rsidRPr="00E26EB0" w:rsidRDefault="008715BE">
            <w:pPr>
              <w:pStyle w:val="TableParagraph"/>
              <w:rPr>
                <w:rFonts w:ascii="Verdana" w:hAnsi="Verdana"/>
                <w:b/>
                <w:sz w:val="16"/>
                <w:szCs w:val="16"/>
              </w:rPr>
            </w:pPr>
          </w:p>
          <w:p w14:paraId="75718083" w14:textId="77777777" w:rsidR="008715BE" w:rsidRPr="00E26EB0" w:rsidRDefault="008715BE">
            <w:pPr>
              <w:pStyle w:val="TableParagraph"/>
              <w:spacing w:before="90"/>
              <w:rPr>
                <w:rFonts w:ascii="Verdana" w:hAnsi="Verdana"/>
                <w:b/>
                <w:sz w:val="16"/>
                <w:szCs w:val="16"/>
              </w:rPr>
            </w:pPr>
          </w:p>
          <w:p w14:paraId="1E5C19B4"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9</w:t>
            </w:r>
          </w:p>
        </w:tc>
        <w:tc>
          <w:tcPr>
            <w:tcW w:w="1422" w:type="dxa"/>
          </w:tcPr>
          <w:p w14:paraId="4E52C876" w14:textId="77777777" w:rsidR="008715BE" w:rsidRPr="00E26EB0" w:rsidRDefault="00000000">
            <w:pPr>
              <w:pStyle w:val="TableParagraph"/>
              <w:spacing w:before="8"/>
              <w:ind w:left="253" w:right="245" w:firstLine="2"/>
              <w:jc w:val="center"/>
              <w:rPr>
                <w:rFonts w:ascii="Verdana" w:hAnsi="Verdana"/>
                <w:sz w:val="16"/>
                <w:szCs w:val="16"/>
              </w:rPr>
            </w:pPr>
            <w:r w:rsidRPr="00E26EB0">
              <w:rPr>
                <w:rFonts w:ascii="Verdana" w:hAnsi="Verdana"/>
                <w:sz w:val="16"/>
                <w:szCs w:val="16"/>
              </w:rPr>
              <w:t xml:space="preserve">The species was observed during </w:t>
            </w:r>
            <w:r w:rsidRPr="00E26EB0">
              <w:rPr>
                <w:rFonts w:ascii="Verdana" w:hAnsi="Verdana"/>
                <w:spacing w:val="-2"/>
                <w:sz w:val="16"/>
                <w:szCs w:val="16"/>
              </w:rPr>
              <w:t>winter</w:t>
            </w:r>
          </w:p>
          <w:p w14:paraId="58E127F0" w14:textId="77777777" w:rsidR="008715BE" w:rsidRPr="00E26EB0" w:rsidRDefault="00000000">
            <w:pPr>
              <w:pStyle w:val="TableParagraph"/>
              <w:spacing w:line="237" w:lineRule="auto"/>
              <w:ind w:left="11"/>
              <w:jc w:val="center"/>
              <w:rPr>
                <w:rFonts w:ascii="Verdana" w:hAnsi="Verdana"/>
                <w:sz w:val="16"/>
                <w:szCs w:val="16"/>
              </w:rPr>
            </w:pPr>
            <w:r w:rsidRPr="00E26EB0">
              <w:rPr>
                <w:rFonts w:ascii="Verdana" w:hAnsi="Verdana"/>
                <w:sz w:val="16"/>
                <w:szCs w:val="16"/>
              </w:rPr>
              <w:t xml:space="preserve">The species uses the </w:t>
            </w:r>
            <w:r w:rsidRPr="00E26EB0">
              <w:rPr>
                <w:rFonts w:ascii="Verdana" w:hAnsi="Verdana"/>
                <w:spacing w:val="-2"/>
                <w:sz w:val="16"/>
                <w:szCs w:val="16"/>
              </w:rPr>
              <w:t>surface of the site</w:t>
            </w:r>
          </w:p>
          <w:p w14:paraId="50C6108E" w14:textId="77777777" w:rsidR="008715BE" w:rsidRPr="00E26EB0" w:rsidRDefault="00000000">
            <w:pPr>
              <w:pStyle w:val="TableParagraph"/>
              <w:spacing w:line="142"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597606C7" w14:textId="77777777" w:rsidR="008715BE" w:rsidRPr="00E26EB0" w:rsidRDefault="008715BE">
            <w:pPr>
              <w:pStyle w:val="TableParagraph"/>
              <w:rPr>
                <w:rFonts w:ascii="Verdana" w:hAnsi="Verdana"/>
                <w:b/>
                <w:sz w:val="16"/>
                <w:szCs w:val="16"/>
              </w:rPr>
            </w:pPr>
          </w:p>
          <w:p w14:paraId="1FEEEF6A" w14:textId="77777777" w:rsidR="008715BE" w:rsidRPr="00E26EB0" w:rsidRDefault="008715BE">
            <w:pPr>
              <w:pStyle w:val="TableParagraph"/>
              <w:rPr>
                <w:rFonts w:ascii="Verdana" w:hAnsi="Verdana"/>
                <w:b/>
                <w:sz w:val="16"/>
                <w:szCs w:val="16"/>
              </w:rPr>
            </w:pPr>
          </w:p>
          <w:p w14:paraId="2C63774C" w14:textId="77777777" w:rsidR="008715BE" w:rsidRPr="00E26EB0" w:rsidRDefault="008715BE">
            <w:pPr>
              <w:pStyle w:val="TableParagraph"/>
              <w:spacing w:before="90"/>
              <w:rPr>
                <w:rFonts w:ascii="Verdana" w:hAnsi="Verdana"/>
                <w:b/>
                <w:sz w:val="16"/>
                <w:szCs w:val="16"/>
              </w:rPr>
            </w:pPr>
          </w:p>
          <w:p w14:paraId="7EE46484"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1AF107DA" w14:textId="77777777" w:rsidR="008715BE" w:rsidRPr="00E26EB0" w:rsidRDefault="008715BE">
            <w:pPr>
              <w:pStyle w:val="TableParagraph"/>
              <w:rPr>
                <w:rFonts w:ascii="Verdana" w:hAnsi="Verdana"/>
                <w:b/>
                <w:sz w:val="16"/>
                <w:szCs w:val="16"/>
              </w:rPr>
            </w:pPr>
          </w:p>
          <w:p w14:paraId="2BC6FF41" w14:textId="77777777" w:rsidR="008715BE" w:rsidRPr="00E26EB0" w:rsidRDefault="008715BE">
            <w:pPr>
              <w:pStyle w:val="TableParagraph"/>
              <w:rPr>
                <w:rFonts w:ascii="Verdana" w:hAnsi="Verdana"/>
                <w:b/>
                <w:sz w:val="16"/>
                <w:szCs w:val="16"/>
              </w:rPr>
            </w:pPr>
          </w:p>
          <w:p w14:paraId="0C3B17EA" w14:textId="77777777" w:rsidR="008715BE" w:rsidRPr="00E26EB0" w:rsidRDefault="008715BE">
            <w:pPr>
              <w:pStyle w:val="TableParagraph"/>
              <w:spacing w:before="90"/>
              <w:rPr>
                <w:rFonts w:ascii="Verdana" w:hAnsi="Verdana"/>
                <w:b/>
                <w:sz w:val="16"/>
                <w:szCs w:val="16"/>
              </w:rPr>
            </w:pPr>
          </w:p>
          <w:p w14:paraId="5211216E"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763C665A" w14:textId="77777777" w:rsidR="008715BE" w:rsidRPr="00E26EB0" w:rsidRDefault="008715BE">
            <w:pPr>
              <w:pStyle w:val="TableParagraph"/>
              <w:rPr>
                <w:rFonts w:ascii="Verdana" w:hAnsi="Verdana"/>
                <w:b/>
                <w:sz w:val="16"/>
                <w:szCs w:val="16"/>
              </w:rPr>
            </w:pPr>
          </w:p>
          <w:p w14:paraId="062F9265" w14:textId="77777777" w:rsidR="008715BE" w:rsidRPr="00E26EB0" w:rsidRDefault="008715BE">
            <w:pPr>
              <w:pStyle w:val="TableParagraph"/>
              <w:rPr>
                <w:rFonts w:ascii="Verdana" w:hAnsi="Verdana"/>
                <w:b/>
                <w:sz w:val="16"/>
                <w:szCs w:val="16"/>
              </w:rPr>
            </w:pPr>
          </w:p>
          <w:p w14:paraId="6A0FDE5E" w14:textId="77777777" w:rsidR="008715BE" w:rsidRPr="00E26EB0" w:rsidRDefault="008715BE">
            <w:pPr>
              <w:pStyle w:val="TableParagraph"/>
              <w:spacing w:before="90"/>
              <w:rPr>
                <w:rFonts w:ascii="Verdana" w:hAnsi="Verdana"/>
                <w:b/>
                <w:sz w:val="16"/>
                <w:szCs w:val="16"/>
              </w:rPr>
            </w:pPr>
          </w:p>
          <w:p w14:paraId="7DD2A665"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15466043" w14:textId="77777777" w:rsidR="008715BE" w:rsidRPr="00E26EB0" w:rsidRDefault="008715BE">
            <w:pPr>
              <w:pStyle w:val="TableParagraph"/>
              <w:rPr>
                <w:rFonts w:ascii="Verdana" w:hAnsi="Verdana"/>
                <w:b/>
                <w:sz w:val="16"/>
                <w:szCs w:val="16"/>
              </w:rPr>
            </w:pPr>
          </w:p>
          <w:p w14:paraId="47E7AFA6" w14:textId="77777777" w:rsidR="008715BE" w:rsidRPr="00E26EB0" w:rsidRDefault="008715BE">
            <w:pPr>
              <w:pStyle w:val="TableParagraph"/>
              <w:rPr>
                <w:rFonts w:ascii="Verdana" w:hAnsi="Verdana"/>
                <w:b/>
                <w:sz w:val="16"/>
                <w:szCs w:val="16"/>
              </w:rPr>
            </w:pPr>
          </w:p>
          <w:p w14:paraId="1E4A4DD2" w14:textId="77777777" w:rsidR="008715BE" w:rsidRPr="00E26EB0" w:rsidRDefault="008715BE">
            <w:pPr>
              <w:pStyle w:val="TableParagraph"/>
              <w:spacing w:before="90"/>
              <w:rPr>
                <w:rFonts w:ascii="Verdana" w:hAnsi="Verdana"/>
                <w:b/>
                <w:sz w:val="16"/>
                <w:szCs w:val="16"/>
              </w:rPr>
            </w:pPr>
          </w:p>
          <w:p w14:paraId="239834F4" w14:textId="77777777" w:rsidR="008715BE" w:rsidRPr="00E26EB0" w:rsidRDefault="00000000">
            <w:pPr>
              <w:pStyle w:val="TableParagraph"/>
              <w:ind w:left="1"/>
              <w:jc w:val="center"/>
              <w:rPr>
                <w:rFonts w:ascii="Verdana" w:hAnsi="Verdana"/>
                <w:sz w:val="16"/>
                <w:szCs w:val="16"/>
              </w:rPr>
            </w:pPr>
            <w:r w:rsidRPr="00E26EB0">
              <w:rPr>
                <w:rFonts w:ascii="Verdana" w:hAnsi="Verdana"/>
                <w:sz w:val="16"/>
                <w:szCs w:val="16"/>
              </w:rPr>
              <w:t>Annex</w:t>
            </w:r>
            <w:r w:rsidRPr="00E26EB0">
              <w:rPr>
                <w:rFonts w:ascii="Verdana" w:hAnsi="Verdana"/>
                <w:spacing w:val="-5"/>
                <w:sz w:val="16"/>
                <w:szCs w:val="16"/>
              </w:rPr>
              <w:t xml:space="preserve"> 4B</w:t>
            </w:r>
          </w:p>
        </w:tc>
        <w:tc>
          <w:tcPr>
            <w:tcW w:w="1577" w:type="dxa"/>
          </w:tcPr>
          <w:p w14:paraId="213428F1" w14:textId="77777777" w:rsidR="008715BE" w:rsidRPr="00E26EB0" w:rsidRDefault="008715BE">
            <w:pPr>
              <w:pStyle w:val="TableParagraph"/>
              <w:rPr>
                <w:rFonts w:ascii="Verdana" w:hAnsi="Verdana"/>
                <w:b/>
                <w:sz w:val="16"/>
                <w:szCs w:val="16"/>
              </w:rPr>
            </w:pPr>
          </w:p>
          <w:p w14:paraId="69137725" w14:textId="77777777" w:rsidR="008715BE" w:rsidRPr="00E26EB0" w:rsidRDefault="008715BE">
            <w:pPr>
              <w:pStyle w:val="TableParagraph"/>
              <w:rPr>
                <w:rFonts w:ascii="Verdana" w:hAnsi="Verdana"/>
                <w:b/>
                <w:sz w:val="16"/>
                <w:szCs w:val="16"/>
              </w:rPr>
            </w:pPr>
          </w:p>
          <w:p w14:paraId="2ACEBF3A" w14:textId="77777777" w:rsidR="008715BE" w:rsidRPr="00E26EB0" w:rsidRDefault="008715BE">
            <w:pPr>
              <w:pStyle w:val="TableParagraph"/>
              <w:spacing w:before="90"/>
              <w:rPr>
                <w:rFonts w:ascii="Verdana" w:hAnsi="Verdana"/>
                <w:b/>
                <w:sz w:val="16"/>
                <w:szCs w:val="16"/>
              </w:rPr>
            </w:pPr>
          </w:p>
          <w:p w14:paraId="588AE66A"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5B884B69" w14:textId="77777777">
        <w:trPr>
          <w:trHeight w:val="1022"/>
        </w:trPr>
        <w:tc>
          <w:tcPr>
            <w:tcW w:w="1179" w:type="dxa"/>
          </w:tcPr>
          <w:p w14:paraId="66E400BF" w14:textId="77777777" w:rsidR="008715BE" w:rsidRPr="00E26EB0" w:rsidRDefault="008715BE">
            <w:pPr>
              <w:pStyle w:val="TableParagraph"/>
              <w:rPr>
                <w:rFonts w:ascii="Verdana" w:hAnsi="Verdana"/>
                <w:b/>
                <w:sz w:val="16"/>
                <w:szCs w:val="16"/>
              </w:rPr>
            </w:pPr>
          </w:p>
          <w:p w14:paraId="53FD94E0" w14:textId="77777777" w:rsidR="008715BE" w:rsidRPr="00E26EB0" w:rsidRDefault="008715BE">
            <w:pPr>
              <w:pStyle w:val="TableParagraph"/>
              <w:spacing w:before="7"/>
              <w:rPr>
                <w:rFonts w:ascii="Verdana" w:hAnsi="Verdana"/>
                <w:b/>
                <w:sz w:val="16"/>
                <w:szCs w:val="16"/>
              </w:rPr>
            </w:pPr>
          </w:p>
          <w:p w14:paraId="42452805" w14:textId="77777777" w:rsidR="008715BE" w:rsidRPr="00E26EB0" w:rsidRDefault="00000000">
            <w:pPr>
              <w:pStyle w:val="TableParagraph"/>
              <w:ind w:left="345" w:hanging="238"/>
              <w:rPr>
                <w:rFonts w:ascii="Verdana" w:hAnsi="Verdana"/>
                <w:i/>
                <w:sz w:val="16"/>
                <w:szCs w:val="16"/>
              </w:rPr>
            </w:pPr>
            <w:r w:rsidRPr="00E26EB0">
              <w:rPr>
                <w:rFonts w:ascii="Verdana" w:hAnsi="Verdana"/>
                <w:i/>
                <w:spacing w:val="-2"/>
                <w:sz w:val="16"/>
                <w:szCs w:val="16"/>
              </w:rPr>
              <w:t>Spermophilus citellus</w:t>
            </w:r>
          </w:p>
        </w:tc>
        <w:tc>
          <w:tcPr>
            <w:tcW w:w="1282" w:type="dxa"/>
          </w:tcPr>
          <w:p w14:paraId="721D2F11" w14:textId="77777777" w:rsidR="008715BE" w:rsidRPr="00E26EB0" w:rsidRDefault="008715BE">
            <w:pPr>
              <w:pStyle w:val="TableParagraph"/>
              <w:rPr>
                <w:rFonts w:ascii="Verdana" w:hAnsi="Verdana"/>
                <w:b/>
                <w:sz w:val="16"/>
                <w:szCs w:val="16"/>
              </w:rPr>
            </w:pPr>
          </w:p>
          <w:p w14:paraId="64A3848D" w14:textId="77777777" w:rsidR="008715BE" w:rsidRPr="00E26EB0" w:rsidRDefault="008715BE">
            <w:pPr>
              <w:pStyle w:val="TableParagraph"/>
              <w:spacing w:before="93"/>
              <w:rPr>
                <w:rFonts w:ascii="Verdana" w:hAnsi="Verdana"/>
                <w:b/>
                <w:sz w:val="16"/>
                <w:szCs w:val="16"/>
              </w:rPr>
            </w:pPr>
          </w:p>
          <w:p w14:paraId="70210C48" w14:textId="77777777" w:rsidR="008715BE" w:rsidRPr="00E26EB0" w:rsidRDefault="00000000">
            <w:pPr>
              <w:pStyle w:val="TableParagraph"/>
              <w:spacing w:before="1"/>
              <w:ind w:left="161" w:right="158"/>
              <w:jc w:val="center"/>
              <w:rPr>
                <w:rFonts w:ascii="Verdana" w:hAnsi="Verdana"/>
                <w:sz w:val="16"/>
                <w:szCs w:val="16"/>
              </w:rPr>
            </w:pPr>
            <w:r w:rsidRPr="00E26EB0">
              <w:rPr>
                <w:rFonts w:ascii="Verdana" w:hAnsi="Verdana"/>
                <w:spacing w:val="-2"/>
                <w:sz w:val="16"/>
                <w:szCs w:val="16"/>
              </w:rPr>
              <w:t>Ground squirrel</w:t>
            </w:r>
          </w:p>
        </w:tc>
        <w:tc>
          <w:tcPr>
            <w:tcW w:w="987" w:type="dxa"/>
          </w:tcPr>
          <w:p w14:paraId="3EE1180C" w14:textId="77777777" w:rsidR="008715BE" w:rsidRPr="00E26EB0" w:rsidRDefault="008715BE">
            <w:pPr>
              <w:pStyle w:val="TableParagraph"/>
              <w:rPr>
                <w:rFonts w:ascii="Verdana" w:hAnsi="Verdana"/>
                <w:b/>
                <w:sz w:val="16"/>
                <w:szCs w:val="16"/>
              </w:rPr>
            </w:pPr>
          </w:p>
          <w:p w14:paraId="5C6461CB" w14:textId="77777777" w:rsidR="008715BE" w:rsidRPr="00E26EB0" w:rsidRDefault="008715BE">
            <w:pPr>
              <w:pStyle w:val="TableParagraph"/>
              <w:spacing w:before="93"/>
              <w:rPr>
                <w:rFonts w:ascii="Verdana" w:hAnsi="Verdana"/>
                <w:b/>
                <w:sz w:val="16"/>
                <w:szCs w:val="16"/>
              </w:rPr>
            </w:pPr>
          </w:p>
          <w:p w14:paraId="120895FF" w14:textId="77777777" w:rsidR="008715BE" w:rsidRPr="00E26EB0" w:rsidRDefault="00000000">
            <w:pPr>
              <w:pStyle w:val="TableParagraph"/>
              <w:spacing w:before="1"/>
              <w:ind w:left="7" w:right="2"/>
              <w:jc w:val="center"/>
              <w:rPr>
                <w:rFonts w:ascii="Verdana" w:hAnsi="Verdana"/>
                <w:sz w:val="16"/>
                <w:szCs w:val="16"/>
              </w:rPr>
            </w:pPr>
            <w:r w:rsidRPr="00E26EB0">
              <w:rPr>
                <w:rFonts w:ascii="Verdana" w:hAnsi="Verdana"/>
                <w:spacing w:val="-5"/>
                <w:sz w:val="16"/>
                <w:szCs w:val="16"/>
              </w:rPr>
              <w:t>39</w:t>
            </w:r>
          </w:p>
        </w:tc>
        <w:tc>
          <w:tcPr>
            <w:tcW w:w="1422" w:type="dxa"/>
          </w:tcPr>
          <w:p w14:paraId="6E6F04AB" w14:textId="77777777" w:rsidR="008715BE" w:rsidRPr="00E26EB0" w:rsidRDefault="00000000">
            <w:pPr>
              <w:pStyle w:val="TableParagraph"/>
              <w:spacing w:before="8"/>
              <w:ind w:left="11"/>
              <w:jc w:val="center"/>
              <w:rPr>
                <w:rFonts w:ascii="Verdana" w:hAnsi="Verdana"/>
                <w:sz w:val="16"/>
                <w:szCs w:val="16"/>
              </w:rPr>
            </w:pPr>
            <w:r w:rsidRPr="00E26EB0">
              <w:rPr>
                <w:rFonts w:ascii="Verdana" w:hAnsi="Verdana"/>
                <w:sz w:val="16"/>
                <w:szCs w:val="16"/>
              </w:rPr>
              <w:t xml:space="preserve">The species uses </w:t>
            </w:r>
            <w:r w:rsidRPr="00E26EB0">
              <w:rPr>
                <w:rFonts w:ascii="Verdana" w:hAnsi="Verdana"/>
                <w:spacing w:val="-2"/>
                <w:sz w:val="16"/>
                <w:szCs w:val="16"/>
              </w:rPr>
              <w:t xml:space="preserve">the site </w:t>
            </w:r>
            <w:r w:rsidRPr="00E26EB0">
              <w:rPr>
                <w:rFonts w:ascii="Verdana" w:hAnsi="Verdana"/>
                <w:sz w:val="16"/>
                <w:szCs w:val="16"/>
              </w:rPr>
              <w:t>for nesting, feeding, and</w:t>
            </w:r>
          </w:p>
          <w:p w14:paraId="3412F454" w14:textId="77777777" w:rsidR="008715BE" w:rsidRPr="00E26EB0" w:rsidRDefault="00000000">
            <w:pPr>
              <w:pStyle w:val="TableParagraph"/>
              <w:spacing w:line="140" w:lineRule="exact"/>
              <w:ind w:left="11"/>
              <w:jc w:val="center"/>
              <w:rPr>
                <w:rFonts w:ascii="Verdana" w:hAnsi="Verdana"/>
                <w:sz w:val="16"/>
                <w:szCs w:val="16"/>
              </w:rPr>
            </w:pPr>
            <w:r w:rsidRPr="00E26EB0">
              <w:rPr>
                <w:rFonts w:ascii="Verdana" w:hAnsi="Verdana"/>
                <w:spacing w:val="-2"/>
                <w:sz w:val="16"/>
                <w:szCs w:val="16"/>
              </w:rPr>
              <w:t>transit</w:t>
            </w:r>
          </w:p>
        </w:tc>
        <w:tc>
          <w:tcPr>
            <w:tcW w:w="874" w:type="dxa"/>
          </w:tcPr>
          <w:p w14:paraId="56341D0C" w14:textId="77777777" w:rsidR="008715BE" w:rsidRPr="00E26EB0" w:rsidRDefault="008715BE">
            <w:pPr>
              <w:pStyle w:val="TableParagraph"/>
              <w:rPr>
                <w:rFonts w:ascii="Verdana" w:hAnsi="Verdana"/>
                <w:b/>
                <w:sz w:val="16"/>
                <w:szCs w:val="16"/>
              </w:rPr>
            </w:pPr>
          </w:p>
          <w:p w14:paraId="284B29BB" w14:textId="77777777" w:rsidR="008715BE" w:rsidRPr="00E26EB0" w:rsidRDefault="008715BE">
            <w:pPr>
              <w:pStyle w:val="TableParagraph"/>
              <w:spacing w:before="93"/>
              <w:rPr>
                <w:rFonts w:ascii="Verdana" w:hAnsi="Verdana"/>
                <w:b/>
                <w:sz w:val="16"/>
                <w:szCs w:val="16"/>
              </w:rPr>
            </w:pPr>
          </w:p>
          <w:p w14:paraId="668CB2A3" w14:textId="77777777" w:rsidR="008715BE" w:rsidRPr="00E26EB0" w:rsidRDefault="00000000">
            <w:pPr>
              <w:pStyle w:val="TableParagraph"/>
              <w:spacing w:before="1"/>
              <w:ind w:left="7"/>
              <w:jc w:val="center"/>
              <w:rPr>
                <w:rFonts w:ascii="Verdana" w:hAnsi="Verdana"/>
                <w:sz w:val="16"/>
                <w:szCs w:val="16"/>
              </w:rPr>
            </w:pPr>
            <w:r w:rsidRPr="00E26EB0">
              <w:rPr>
                <w:rFonts w:ascii="Verdana" w:hAnsi="Verdana"/>
                <w:spacing w:val="-5"/>
                <w:sz w:val="16"/>
                <w:szCs w:val="16"/>
              </w:rPr>
              <w:t>VU</w:t>
            </w:r>
          </w:p>
        </w:tc>
        <w:tc>
          <w:tcPr>
            <w:tcW w:w="1208" w:type="dxa"/>
          </w:tcPr>
          <w:p w14:paraId="3EAE10E6" w14:textId="77777777" w:rsidR="008715BE" w:rsidRPr="00E26EB0" w:rsidRDefault="008715BE">
            <w:pPr>
              <w:pStyle w:val="TableParagraph"/>
              <w:rPr>
                <w:rFonts w:ascii="Verdana" w:hAnsi="Verdana"/>
                <w:b/>
                <w:sz w:val="16"/>
                <w:szCs w:val="16"/>
              </w:rPr>
            </w:pPr>
          </w:p>
          <w:p w14:paraId="36CB20CC" w14:textId="77777777" w:rsidR="008715BE" w:rsidRPr="00E26EB0" w:rsidRDefault="008715BE">
            <w:pPr>
              <w:pStyle w:val="TableParagraph"/>
              <w:spacing w:before="7"/>
              <w:rPr>
                <w:rFonts w:ascii="Verdana" w:hAnsi="Verdana"/>
                <w:b/>
                <w:sz w:val="16"/>
                <w:szCs w:val="16"/>
              </w:rPr>
            </w:pPr>
          </w:p>
          <w:p w14:paraId="29B5F266" w14:textId="77777777" w:rsidR="008715BE" w:rsidRPr="00E26EB0" w:rsidRDefault="00000000">
            <w:pPr>
              <w:pStyle w:val="TableParagraph"/>
              <w:ind w:left="280" w:hanging="8"/>
              <w:rPr>
                <w:rFonts w:ascii="Verdana" w:hAnsi="Verdana"/>
                <w:sz w:val="16"/>
                <w:szCs w:val="16"/>
              </w:rPr>
            </w:pPr>
            <w:r w:rsidRPr="00E26EB0">
              <w:rPr>
                <w:rFonts w:ascii="Verdana" w:hAnsi="Verdana"/>
                <w:spacing w:val="-2"/>
                <w:sz w:val="16"/>
                <w:szCs w:val="16"/>
              </w:rPr>
              <w:t xml:space="preserve">Annex II, </w:t>
            </w:r>
            <w:r w:rsidRPr="00E26EB0">
              <w:rPr>
                <w:rFonts w:ascii="Verdana" w:hAnsi="Verdana"/>
                <w:sz w:val="16"/>
                <w:szCs w:val="16"/>
              </w:rPr>
              <w:t xml:space="preserve">Annex </w:t>
            </w:r>
            <w:r w:rsidRPr="00E26EB0">
              <w:rPr>
                <w:rFonts w:ascii="Verdana" w:hAnsi="Verdana"/>
                <w:spacing w:val="-7"/>
                <w:sz w:val="16"/>
                <w:szCs w:val="16"/>
              </w:rPr>
              <w:t>IV</w:t>
            </w:r>
          </w:p>
        </w:tc>
        <w:tc>
          <w:tcPr>
            <w:tcW w:w="1179" w:type="dxa"/>
          </w:tcPr>
          <w:p w14:paraId="4421070D" w14:textId="77777777" w:rsidR="008715BE" w:rsidRPr="00E26EB0" w:rsidRDefault="008715BE">
            <w:pPr>
              <w:pStyle w:val="TableParagraph"/>
              <w:rPr>
                <w:rFonts w:ascii="Verdana" w:hAnsi="Verdana"/>
                <w:b/>
                <w:sz w:val="16"/>
                <w:szCs w:val="16"/>
              </w:rPr>
            </w:pPr>
          </w:p>
          <w:p w14:paraId="421848F3" w14:textId="77777777" w:rsidR="008715BE" w:rsidRPr="00E26EB0" w:rsidRDefault="008715BE">
            <w:pPr>
              <w:pStyle w:val="TableParagraph"/>
              <w:spacing w:before="93"/>
              <w:rPr>
                <w:rFonts w:ascii="Verdana" w:hAnsi="Verdana"/>
                <w:b/>
                <w:sz w:val="16"/>
                <w:szCs w:val="16"/>
              </w:rPr>
            </w:pPr>
          </w:p>
          <w:p w14:paraId="38B37A34" w14:textId="77777777" w:rsidR="008715BE" w:rsidRPr="00E26EB0" w:rsidRDefault="00000000">
            <w:pPr>
              <w:pStyle w:val="TableParagraph"/>
              <w:spacing w:before="1"/>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5863F441" w14:textId="77777777" w:rsidR="008715BE" w:rsidRPr="00E26EB0" w:rsidRDefault="008715BE">
            <w:pPr>
              <w:pStyle w:val="TableParagraph"/>
              <w:rPr>
                <w:rFonts w:ascii="Verdana" w:hAnsi="Verdana"/>
                <w:b/>
                <w:sz w:val="16"/>
                <w:szCs w:val="16"/>
              </w:rPr>
            </w:pPr>
          </w:p>
          <w:p w14:paraId="0D9E59E0" w14:textId="77777777" w:rsidR="008715BE" w:rsidRPr="00E26EB0" w:rsidRDefault="008715BE">
            <w:pPr>
              <w:pStyle w:val="TableParagraph"/>
              <w:spacing w:before="7"/>
              <w:rPr>
                <w:rFonts w:ascii="Verdana" w:hAnsi="Verdana"/>
                <w:b/>
                <w:sz w:val="16"/>
                <w:szCs w:val="16"/>
              </w:rPr>
            </w:pPr>
          </w:p>
          <w:p w14:paraId="0EEAAE4F" w14:textId="77777777" w:rsidR="008715BE" w:rsidRPr="00E26EB0" w:rsidRDefault="00000000">
            <w:pPr>
              <w:pStyle w:val="TableParagraph"/>
              <w:ind w:left="659" w:right="68" w:hanging="461"/>
              <w:rPr>
                <w:rFonts w:ascii="Verdana" w:hAnsi="Verdana"/>
                <w:sz w:val="16"/>
                <w:szCs w:val="16"/>
              </w:rPr>
            </w:pPr>
            <w:r w:rsidRPr="00E26EB0">
              <w:rPr>
                <w:rFonts w:ascii="Verdana" w:hAnsi="Verdana"/>
                <w:sz w:val="16"/>
                <w:szCs w:val="16"/>
              </w:rPr>
              <w:t>Annex 3, Annex</w:t>
            </w:r>
            <w:r w:rsidRPr="00E26EB0">
              <w:rPr>
                <w:rFonts w:ascii="Verdana" w:hAnsi="Verdana"/>
                <w:spacing w:val="-6"/>
                <w:sz w:val="16"/>
                <w:szCs w:val="16"/>
              </w:rPr>
              <w:t xml:space="preserve"> 4A</w:t>
            </w:r>
          </w:p>
        </w:tc>
        <w:tc>
          <w:tcPr>
            <w:tcW w:w="1577" w:type="dxa"/>
          </w:tcPr>
          <w:p w14:paraId="5C2DCE8F" w14:textId="77777777" w:rsidR="008715BE" w:rsidRPr="00E26EB0" w:rsidRDefault="008715BE">
            <w:pPr>
              <w:pStyle w:val="TableParagraph"/>
              <w:rPr>
                <w:rFonts w:ascii="Verdana" w:hAnsi="Verdana"/>
                <w:b/>
                <w:sz w:val="16"/>
                <w:szCs w:val="16"/>
              </w:rPr>
            </w:pPr>
          </w:p>
          <w:p w14:paraId="645A3730" w14:textId="77777777" w:rsidR="008715BE" w:rsidRPr="00E26EB0" w:rsidRDefault="008715BE">
            <w:pPr>
              <w:pStyle w:val="TableParagraph"/>
              <w:spacing w:before="93"/>
              <w:rPr>
                <w:rFonts w:ascii="Verdana" w:hAnsi="Verdana"/>
                <w:b/>
                <w:sz w:val="16"/>
                <w:szCs w:val="16"/>
              </w:rPr>
            </w:pPr>
          </w:p>
          <w:p w14:paraId="74041436" w14:textId="77777777" w:rsidR="008715BE" w:rsidRPr="00E26EB0" w:rsidRDefault="00000000">
            <w:pPr>
              <w:pStyle w:val="TableParagraph"/>
              <w:spacing w:before="1"/>
              <w:ind w:left="2"/>
              <w:jc w:val="center"/>
              <w:rPr>
                <w:rFonts w:ascii="Verdana" w:hAnsi="Verdana"/>
                <w:sz w:val="16"/>
                <w:szCs w:val="16"/>
              </w:rPr>
            </w:pPr>
            <w:r w:rsidRPr="00E26EB0">
              <w:rPr>
                <w:rFonts w:ascii="Verdana" w:hAnsi="Verdana"/>
                <w:spacing w:val="-2"/>
                <w:sz w:val="16"/>
                <w:szCs w:val="16"/>
              </w:rPr>
              <w:t xml:space="preserve">Vulnerable </w:t>
            </w:r>
            <w:r w:rsidRPr="00E26EB0">
              <w:rPr>
                <w:rFonts w:ascii="Verdana" w:hAnsi="Verdana"/>
                <w:sz w:val="16"/>
                <w:szCs w:val="16"/>
              </w:rPr>
              <w:t>species</w:t>
            </w:r>
          </w:p>
        </w:tc>
      </w:tr>
      <w:tr w:rsidR="008715BE" w:rsidRPr="00E26EB0" w14:paraId="2AB96895" w14:textId="77777777">
        <w:trPr>
          <w:trHeight w:val="2212"/>
        </w:trPr>
        <w:tc>
          <w:tcPr>
            <w:tcW w:w="1179" w:type="dxa"/>
          </w:tcPr>
          <w:p w14:paraId="16C1D549" w14:textId="77777777" w:rsidR="008715BE" w:rsidRPr="00E26EB0" w:rsidRDefault="008715BE">
            <w:pPr>
              <w:pStyle w:val="TableParagraph"/>
              <w:rPr>
                <w:rFonts w:ascii="Verdana" w:hAnsi="Verdana"/>
                <w:b/>
                <w:sz w:val="16"/>
                <w:szCs w:val="16"/>
              </w:rPr>
            </w:pPr>
          </w:p>
          <w:p w14:paraId="252018B4" w14:textId="77777777" w:rsidR="008715BE" w:rsidRPr="00E26EB0" w:rsidRDefault="008715BE">
            <w:pPr>
              <w:pStyle w:val="TableParagraph"/>
              <w:rPr>
                <w:rFonts w:ascii="Verdana" w:hAnsi="Verdana"/>
                <w:b/>
                <w:sz w:val="16"/>
                <w:szCs w:val="16"/>
              </w:rPr>
            </w:pPr>
          </w:p>
          <w:p w14:paraId="5B607A4B" w14:textId="77777777" w:rsidR="008715BE" w:rsidRPr="00E26EB0" w:rsidRDefault="008715BE">
            <w:pPr>
              <w:pStyle w:val="TableParagraph"/>
              <w:rPr>
                <w:rFonts w:ascii="Verdana" w:hAnsi="Verdana"/>
                <w:b/>
                <w:sz w:val="16"/>
                <w:szCs w:val="16"/>
              </w:rPr>
            </w:pPr>
          </w:p>
          <w:p w14:paraId="1F408556" w14:textId="77777777" w:rsidR="008715BE" w:rsidRPr="00E26EB0" w:rsidRDefault="008715BE">
            <w:pPr>
              <w:pStyle w:val="TableParagraph"/>
              <w:rPr>
                <w:rFonts w:ascii="Verdana" w:hAnsi="Verdana"/>
                <w:b/>
                <w:sz w:val="16"/>
                <w:szCs w:val="16"/>
              </w:rPr>
            </w:pPr>
          </w:p>
          <w:p w14:paraId="0947F1E9" w14:textId="77777777" w:rsidR="008715BE" w:rsidRPr="00E26EB0" w:rsidRDefault="008715BE">
            <w:pPr>
              <w:pStyle w:val="TableParagraph"/>
              <w:spacing w:before="89"/>
              <w:rPr>
                <w:rFonts w:ascii="Verdana" w:hAnsi="Verdana"/>
                <w:b/>
                <w:sz w:val="16"/>
                <w:szCs w:val="16"/>
              </w:rPr>
            </w:pPr>
          </w:p>
          <w:p w14:paraId="28183DEE" w14:textId="77777777" w:rsidR="008715BE" w:rsidRPr="00E26EB0" w:rsidRDefault="00000000">
            <w:pPr>
              <w:pStyle w:val="TableParagraph"/>
              <w:ind w:left="261" w:firstLine="136"/>
              <w:rPr>
                <w:rFonts w:ascii="Verdana" w:hAnsi="Verdana"/>
                <w:i/>
                <w:sz w:val="16"/>
                <w:szCs w:val="16"/>
              </w:rPr>
            </w:pPr>
            <w:r w:rsidRPr="00E26EB0">
              <w:rPr>
                <w:rFonts w:ascii="Verdana" w:hAnsi="Verdana"/>
                <w:i/>
                <w:spacing w:val="-2"/>
                <w:sz w:val="16"/>
                <w:szCs w:val="16"/>
              </w:rPr>
              <w:t>Talpa europaea</w:t>
            </w:r>
          </w:p>
        </w:tc>
        <w:tc>
          <w:tcPr>
            <w:tcW w:w="1282" w:type="dxa"/>
          </w:tcPr>
          <w:p w14:paraId="450C9579" w14:textId="77777777" w:rsidR="008715BE" w:rsidRPr="00E26EB0" w:rsidRDefault="008715BE">
            <w:pPr>
              <w:pStyle w:val="TableParagraph"/>
              <w:rPr>
                <w:rFonts w:ascii="Verdana" w:hAnsi="Verdana"/>
                <w:b/>
                <w:sz w:val="16"/>
                <w:szCs w:val="16"/>
              </w:rPr>
            </w:pPr>
          </w:p>
          <w:p w14:paraId="0ECF1DC6" w14:textId="77777777" w:rsidR="008715BE" w:rsidRPr="00E26EB0" w:rsidRDefault="008715BE">
            <w:pPr>
              <w:pStyle w:val="TableParagraph"/>
              <w:rPr>
                <w:rFonts w:ascii="Verdana" w:hAnsi="Verdana"/>
                <w:b/>
                <w:sz w:val="16"/>
                <w:szCs w:val="16"/>
              </w:rPr>
            </w:pPr>
          </w:p>
          <w:p w14:paraId="3AB5EE1A" w14:textId="77777777" w:rsidR="008715BE" w:rsidRPr="00E26EB0" w:rsidRDefault="008715BE">
            <w:pPr>
              <w:pStyle w:val="TableParagraph"/>
              <w:rPr>
                <w:rFonts w:ascii="Verdana" w:hAnsi="Verdana"/>
                <w:b/>
                <w:sz w:val="16"/>
                <w:szCs w:val="16"/>
              </w:rPr>
            </w:pPr>
          </w:p>
          <w:p w14:paraId="707C259F" w14:textId="77777777" w:rsidR="008715BE" w:rsidRPr="00E26EB0" w:rsidRDefault="008715BE">
            <w:pPr>
              <w:pStyle w:val="TableParagraph"/>
              <w:rPr>
                <w:rFonts w:ascii="Verdana" w:hAnsi="Verdana"/>
                <w:b/>
                <w:sz w:val="16"/>
                <w:szCs w:val="16"/>
              </w:rPr>
            </w:pPr>
          </w:p>
          <w:p w14:paraId="65BC3E38" w14:textId="77777777" w:rsidR="008715BE" w:rsidRPr="00E26EB0" w:rsidRDefault="008715BE">
            <w:pPr>
              <w:pStyle w:val="TableParagraph"/>
              <w:rPr>
                <w:rFonts w:ascii="Verdana" w:hAnsi="Verdana"/>
                <w:b/>
                <w:sz w:val="16"/>
                <w:szCs w:val="16"/>
              </w:rPr>
            </w:pPr>
          </w:p>
          <w:p w14:paraId="01ABD51F" w14:textId="77777777" w:rsidR="008715BE" w:rsidRPr="00E26EB0" w:rsidRDefault="008715BE">
            <w:pPr>
              <w:pStyle w:val="TableParagraph"/>
              <w:spacing w:before="2"/>
              <w:rPr>
                <w:rFonts w:ascii="Verdana" w:hAnsi="Verdana"/>
                <w:b/>
                <w:sz w:val="16"/>
                <w:szCs w:val="16"/>
              </w:rPr>
            </w:pPr>
          </w:p>
          <w:p w14:paraId="381BB385" w14:textId="77777777" w:rsidR="008715BE" w:rsidRPr="00E26EB0" w:rsidRDefault="00000000">
            <w:pPr>
              <w:pStyle w:val="TableParagraph"/>
              <w:ind w:left="161" w:right="154"/>
              <w:jc w:val="center"/>
              <w:rPr>
                <w:rFonts w:ascii="Verdana" w:hAnsi="Verdana"/>
                <w:sz w:val="16"/>
                <w:szCs w:val="16"/>
              </w:rPr>
            </w:pPr>
            <w:r w:rsidRPr="00E26EB0">
              <w:rPr>
                <w:rFonts w:ascii="Verdana" w:hAnsi="Verdana"/>
                <w:spacing w:val="-2"/>
                <w:sz w:val="16"/>
                <w:szCs w:val="16"/>
              </w:rPr>
              <w:t>Mole</w:t>
            </w:r>
          </w:p>
        </w:tc>
        <w:tc>
          <w:tcPr>
            <w:tcW w:w="987" w:type="dxa"/>
          </w:tcPr>
          <w:p w14:paraId="19C2C412" w14:textId="77777777" w:rsidR="008715BE" w:rsidRPr="00E26EB0" w:rsidRDefault="008715BE">
            <w:pPr>
              <w:pStyle w:val="TableParagraph"/>
              <w:rPr>
                <w:rFonts w:ascii="Verdana" w:hAnsi="Verdana"/>
                <w:b/>
                <w:sz w:val="16"/>
                <w:szCs w:val="16"/>
              </w:rPr>
            </w:pPr>
          </w:p>
          <w:p w14:paraId="5FE8AD58" w14:textId="77777777" w:rsidR="008715BE" w:rsidRPr="00E26EB0" w:rsidRDefault="008715BE">
            <w:pPr>
              <w:pStyle w:val="TableParagraph"/>
              <w:rPr>
                <w:rFonts w:ascii="Verdana" w:hAnsi="Verdana"/>
                <w:b/>
                <w:sz w:val="16"/>
                <w:szCs w:val="16"/>
              </w:rPr>
            </w:pPr>
          </w:p>
          <w:p w14:paraId="7C4EFBC1" w14:textId="77777777" w:rsidR="008715BE" w:rsidRPr="00E26EB0" w:rsidRDefault="008715BE">
            <w:pPr>
              <w:pStyle w:val="TableParagraph"/>
              <w:rPr>
                <w:rFonts w:ascii="Verdana" w:hAnsi="Verdana"/>
                <w:b/>
                <w:sz w:val="16"/>
                <w:szCs w:val="16"/>
              </w:rPr>
            </w:pPr>
          </w:p>
          <w:p w14:paraId="7D1D25CD" w14:textId="77777777" w:rsidR="008715BE" w:rsidRPr="00E26EB0" w:rsidRDefault="008715BE">
            <w:pPr>
              <w:pStyle w:val="TableParagraph"/>
              <w:rPr>
                <w:rFonts w:ascii="Verdana" w:hAnsi="Verdana"/>
                <w:b/>
                <w:sz w:val="16"/>
                <w:szCs w:val="16"/>
              </w:rPr>
            </w:pPr>
          </w:p>
          <w:p w14:paraId="62403211" w14:textId="77777777" w:rsidR="008715BE" w:rsidRPr="00E26EB0" w:rsidRDefault="008715BE">
            <w:pPr>
              <w:pStyle w:val="TableParagraph"/>
              <w:rPr>
                <w:rFonts w:ascii="Verdana" w:hAnsi="Verdana"/>
                <w:b/>
                <w:sz w:val="16"/>
                <w:szCs w:val="16"/>
              </w:rPr>
            </w:pPr>
          </w:p>
          <w:p w14:paraId="53CD951C" w14:textId="77777777" w:rsidR="008715BE" w:rsidRPr="00E26EB0" w:rsidRDefault="008715BE">
            <w:pPr>
              <w:pStyle w:val="TableParagraph"/>
              <w:spacing w:before="2"/>
              <w:rPr>
                <w:rFonts w:ascii="Verdana" w:hAnsi="Verdana"/>
                <w:b/>
                <w:sz w:val="16"/>
                <w:szCs w:val="16"/>
              </w:rPr>
            </w:pPr>
          </w:p>
          <w:p w14:paraId="10DE3256" w14:textId="77777777" w:rsidR="008715BE" w:rsidRPr="00E26EB0" w:rsidRDefault="00000000">
            <w:pPr>
              <w:pStyle w:val="TableParagraph"/>
              <w:ind w:left="7"/>
              <w:jc w:val="center"/>
              <w:rPr>
                <w:rFonts w:ascii="Verdana" w:hAnsi="Verdana"/>
                <w:sz w:val="16"/>
                <w:szCs w:val="16"/>
              </w:rPr>
            </w:pPr>
            <w:r w:rsidRPr="00E26EB0">
              <w:rPr>
                <w:rFonts w:ascii="Verdana" w:hAnsi="Verdana"/>
                <w:spacing w:val="-10"/>
                <w:sz w:val="16"/>
                <w:szCs w:val="16"/>
              </w:rPr>
              <w:t>8</w:t>
            </w:r>
          </w:p>
        </w:tc>
        <w:tc>
          <w:tcPr>
            <w:tcW w:w="1422" w:type="dxa"/>
          </w:tcPr>
          <w:p w14:paraId="373DB495" w14:textId="77777777" w:rsidR="008715BE" w:rsidRPr="00E26EB0" w:rsidRDefault="00000000">
            <w:pPr>
              <w:pStyle w:val="TableParagraph"/>
              <w:spacing w:before="8"/>
              <w:ind w:left="109" w:right="98" w:hanging="1"/>
              <w:jc w:val="center"/>
              <w:rPr>
                <w:rFonts w:ascii="Verdana" w:hAnsi="Verdana"/>
                <w:sz w:val="16"/>
                <w:szCs w:val="16"/>
              </w:rPr>
            </w:pPr>
            <w:r w:rsidRPr="00E26EB0">
              <w:rPr>
                <w:rFonts w:ascii="Verdana" w:hAnsi="Verdana"/>
                <w:sz w:val="16"/>
                <w:szCs w:val="16"/>
              </w:rPr>
              <w:t xml:space="preserve">The species was observed during </w:t>
            </w:r>
            <w:r w:rsidRPr="00E26EB0">
              <w:rPr>
                <w:rFonts w:ascii="Verdana" w:hAnsi="Verdana"/>
                <w:spacing w:val="-2"/>
                <w:sz w:val="16"/>
                <w:szCs w:val="16"/>
              </w:rPr>
              <w:t xml:space="preserve">spring and summer </w:t>
            </w:r>
            <w:r w:rsidRPr="00E26EB0">
              <w:rPr>
                <w:rFonts w:ascii="Verdana" w:hAnsi="Verdana"/>
                <w:sz w:val="16"/>
                <w:szCs w:val="16"/>
              </w:rPr>
              <w:t xml:space="preserve">The species uses </w:t>
            </w:r>
            <w:r w:rsidRPr="00E26EB0">
              <w:rPr>
                <w:rFonts w:ascii="Verdana" w:hAnsi="Verdana"/>
                <w:spacing w:val="-2"/>
                <w:sz w:val="16"/>
                <w:szCs w:val="16"/>
              </w:rPr>
              <w:t xml:space="preserve">the site </w:t>
            </w:r>
            <w:r w:rsidRPr="00E26EB0">
              <w:rPr>
                <w:rFonts w:ascii="Verdana" w:hAnsi="Verdana"/>
                <w:sz w:val="16"/>
                <w:szCs w:val="16"/>
              </w:rPr>
              <w:t xml:space="preserve">for feeding and transit, with mounds also present </w:t>
            </w:r>
            <w:r w:rsidRPr="00E26EB0">
              <w:rPr>
                <w:rFonts w:ascii="Verdana" w:hAnsi="Verdana"/>
                <w:spacing w:val="-2"/>
                <w:sz w:val="16"/>
                <w:szCs w:val="16"/>
              </w:rPr>
              <w:t>within</w:t>
            </w:r>
          </w:p>
          <w:p w14:paraId="55457977" w14:textId="77777777" w:rsidR="008715BE" w:rsidRPr="00E26EB0" w:rsidRDefault="00000000">
            <w:pPr>
              <w:pStyle w:val="TableParagraph"/>
              <w:spacing w:line="134" w:lineRule="exact"/>
              <w:ind w:left="11" w:right="3"/>
              <w:jc w:val="center"/>
              <w:rPr>
                <w:rFonts w:ascii="Verdana" w:hAnsi="Verdana"/>
                <w:sz w:val="16"/>
                <w:szCs w:val="16"/>
              </w:rPr>
            </w:pPr>
            <w:r w:rsidRPr="00E26EB0">
              <w:rPr>
                <w:rFonts w:ascii="Verdana" w:hAnsi="Verdana"/>
                <w:spacing w:val="-2"/>
                <w:sz w:val="16"/>
                <w:szCs w:val="16"/>
              </w:rPr>
              <w:t>site</w:t>
            </w:r>
          </w:p>
        </w:tc>
        <w:tc>
          <w:tcPr>
            <w:tcW w:w="874" w:type="dxa"/>
          </w:tcPr>
          <w:p w14:paraId="6551B30E" w14:textId="77777777" w:rsidR="008715BE" w:rsidRPr="00E26EB0" w:rsidRDefault="008715BE">
            <w:pPr>
              <w:pStyle w:val="TableParagraph"/>
              <w:rPr>
                <w:rFonts w:ascii="Verdana" w:hAnsi="Verdana"/>
                <w:b/>
                <w:sz w:val="16"/>
                <w:szCs w:val="16"/>
              </w:rPr>
            </w:pPr>
          </w:p>
          <w:p w14:paraId="0A4EFE59" w14:textId="77777777" w:rsidR="008715BE" w:rsidRPr="00E26EB0" w:rsidRDefault="008715BE">
            <w:pPr>
              <w:pStyle w:val="TableParagraph"/>
              <w:rPr>
                <w:rFonts w:ascii="Verdana" w:hAnsi="Verdana"/>
                <w:b/>
                <w:sz w:val="16"/>
                <w:szCs w:val="16"/>
              </w:rPr>
            </w:pPr>
          </w:p>
          <w:p w14:paraId="13806324" w14:textId="77777777" w:rsidR="008715BE" w:rsidRPr="00E26EB0" w:rsidRDefault="008715BE">
            <w:pPr>
              <w:pStyle w:val="TableParagraph"/>
              <w:rPr>
                <w:rFonts w:ascii="Verdana" w:hAnsi="Verdana"/>
                <w:b/>
                <w:sz w:val="16"/>
                <w:szCs w:val="16"/>
              </w:rPr>
            </w:pPr>
          </w:p>
          <w:p w14:paraId="3F682881" w14:textId="77777777" w:rsidR="008715BE" w:rsidRPr="00E26EB0" w:rsidRDefault="008715BE">
            <w:pPr>
              <w:pStyle w:val="TableParagraph"/>
              <w:rPr>
                <w:rFonts w:ascii="Verdana" w:hAnsi="Verdana"/>
                <w:b/>
                <w:sz w:val="16"/>
                <w:szCs w:val="16"/>
              </w:rPr>
            </w:pPr>
          </w:p>
          <w:p w14:paraId="19E6C132" w14:textId="77777777" w:rsidR="008715BE" w:rsidRPr="00E26EB0" w:rsidRDefault="008715BE">
            <w:pPr>
              <w:pStyle w:val="TableParagraph"/>
              <w:rPr>
                <w:rFonts w:ascii="Verdana" w:hAnsi="Verdana"/>
                <w:b/>
                <w:sz w:val="16"/>
                <w:szCs w:val="16"/>
              </w:rPr>
            </w:pPr>
          </w:p>
          <w:p w14:paraId="448E56F5" w14:textId="77777777" w:rsidR="008715BE" w:rsidRPr="00E26EB0" w:rsidRDefault="008715BE">
            <w:pPr>
              <w:pStyle w:val="TableParagraph"/>
              <w:spacing w:before="2"/>
              <w:rPr>
                <w:rFonts w:ascii="Verdana" w:hAnsi="Verdana"/>
                <w:b/>
                <w:sz w:val="16"/>
                <w:szCs w:val="16"/>
              </w:rPr>
            </w:pPr>
          </w:p>
          <w:p w14:paraId="23AACCE6"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6A834980" w14:textId="77777777" w:rsidR="008715BE" w:rsidRPr="00E26EB0" w:rsidRDefault="008715BE">
            <w:pPr>
              <w:pStyle w:val="TableParagraph"/>
              <w:rPr>
                <w:rFonts w:ascii="Verdana" w:hAnsi="Verdana"/>
                <w:b/>
                <w:sz w:val="16"/>
                <w:szCs w:val="16"/>
              </w:rPr>
            </w:pPr>
          </w:p>
          <w:p w14:paraId="49A7AB4F" w14:textId="77777777" w:rsidR="008715BE" w:rsidRPr="00E26EB0" w:rsidRDefault="008715BE">
            <w:pPr>
              <w:pStyle w:val="TableParagraph"/>
              <w:rPr>
                <w:rFonts w:ascii="Verdana" w:hAnsi="Verdana"/>
                <w:b/>
                <w:sz w:val="16"/>
                <w:szCs w:val="16"/>
              </w:rPr>
            </w:pPr>
          </w:p>
          <w:p w14:paraId="4063E08C" w14:textId="77777777" w:rsidR="008715BE" w:rsidRPr="00E26EB0" w:rsidRDefault="008715BE">
            <w:pPr>
              <w:pStyle w:val="TableParagraph"/>
              <w:rPr>
                <w:rFonts w:ascii="Verdana" w:hAnsi="Verdana"/>
                <w:b/>
                <w:sz w:val="16"/>
                <w:szCs w:val="16"/>
              </w:rPr>
            </w:pPr>
          </w:p>
          <w:p w14:paraId="52AA3572" w14:textId="77777777" w:rsidR="008715BE" w:rsidRPr="00E26EB0" w:rsidRDefault="008715BE">
            <w:pPr>
              <w:pStyle w:val="TableParagraph"/>
              <w:rPr>
                <w:rFonts w:ascii="Verdana" w:hAnsi="Verdana"/>
                <w:b/>
                <w:sz w:val="16"/>
                <w:szCs w:val="16"/>
              </w:rPr>
            </w:pPr>
          </w:p>
          <w:p w14:paraId="66D14767" w14:textId="77777777" w:rsidR="008715BE" w:rsidRPr="00E26EB0" w:rsidRDefault="008715BE">
            <w:pPr>
              <w:pStyle w:val="TableParagraph"/>
              <w:rPr>
                <w:rFonts w:ascii="Verdana" w:hAnsi="Verdana"/>
                <w:b/>
                <w:sz w:val="16"/>
                <w:szCs w:val="16"/>
              </w:rPr>
            </w:pPr>
          </w:p>
          <w:p w14:paraId="05AD3754" w14:textId="77777777" w:rsidR="008715BE" w:rsidRPr="00E26EB0" w:rsidRDefault="008715BE">
            <w:pPr>
              <w:pStyle w:val="TableParagraph"/>
              <w:spacing w:before="2"/>
              <w:rPr>
                <w:rFonts w:ascii="Verdana" w:hAnsi="Verdana"/>
                <w:b/>
                <w:sz w:val="16"/>
                <w:szCs w:val="16"/>
              </w:rPr>
            </w:pPr>
          </w:p>
          <w:p w14:paraId="61303D1F"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12A5C387" w14:textId="77777777" w:rsidR="008715BE" w:rsidRPr="00E26EB0" w:rsidRDefault="008715BE">
            <w:pPr>
              <w:pStyle w:val="TableParagraph"/>
              <w:rPr>
                <w:rFonts w:ascii="Verdana" w:hAnsi="Verdana"/>
                <w:b/>
                <w:sz w:val="16"/>
                <w:szCs w:val="16"/>
              </w:rPr>
            </w:pPr>
          </w:p>
          <w:p w14:paraId="7C4ACFC8" w14:textId="77777777" w:rsidR="008715BE" w:rsidRPr="00E26EB0" w:rsidRDefault="008715BE">
            <w:pPr>
              <w:pStyle w:val="TableParagraph"/>
              <w:rPr>
                <w:rFonts w:ascii="Verdana" w:hAnsi="Verdana"/>
                <w:b/>
                <w:sz w:val="16"/>
                <w:szCs w:val="16"/>
              </w:rPr>
            </w:pPr>
          </w:p>
          <w:p w14:paraId="5D121F45" w14:textId="77777777" w:rsidR="008715BE" w:rsidRPr="00E26EB0" w:rsidRDefault="008715BE">
            <w:pPr>
              <w:pStyle w:val="TableParagraph"/>
              <w:rPr>
                <w:rFonts w:ascii="Verdana" w:hAnsi="Verdana"/>
                <w:b/>
                <w:sz w:val="16"/>
                <w:szCs w:val="16"/>
              </w:rPr>
            </w:pPr>
          </w:p>
          <w:p w14:paraId="1B467E66" w14:textId="77777777" w:rsidR="008715BE" w:rsidRPr="00E26EB0" w:rsidRDefault="008715BE">
            <w:pPr>
              <w:pStyle w:val="TableParagraph"/>
              <w:rPr>
                <w:rFonts w:ascii="Verdana" w:hAnsi="Verdana"/>
                <w:b/>
                <w:sz w:val="16"/>
                <w:szCs w:val="16"/>
              </w:rPr>
            </w:pPr>
          </w:p>
          <w:p w14:paraId="7A6BCAD8" w14:textId="77777777" w:rsidR="008715BE" w:rsidRPr="00E26EB0" w:rsidRDefault="008715BE">
            <w:pPr>
              <w:pStyle w:val="TableParagraph"/>
              <w:rPr>
                <w:rFonts w:ascii="Verdana" w:hAnsi="Verdana"/>
                <w:b/>
                <w:sz w:val="16"/>
                <w:szCs w:val="16"/>
              </w:rPr>
            </w:pPr>
          </w:p>
          <w:p w14:paraId="1451BEBA" w14:textId="77777777" w:rsidR="008715BE" w:rsidRPr="00E26EB0" w:rsidRDefault="008715BE">
            <w:pPr>
              <w:pStyle w:val="TableParagraph"/>
              <w:spacing w:before="2"/>
              <w:rPr>
                <w:rFonts w:ascii="Verdana" w:hAnsi="Verdana"/>
                <w:b/>
                <w:sz w:val="16"/>
                <w:szCs w:val="16"/>
              </w:rPr>
            </w:pPr>
          </w:p>
          <w:p w14:paraId="1F0E9B99"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0E73EEA3" w14:textId="77777777" w:rsidR="008715BE" w:rsidRPr="00E26EB0" w:rsidRDefault="008715BE">
            <w:pPr>
              <w:pStyle w:val="TableParagraph"/>
              <w:rPr>
                <w:rFonts w:ascii="Verdana" w:hAnsi="Verdana"/>
                <w:b/>
                <w:sz w:val="16"/>
                <w:szCs w:val="16"/>
              </w:rPr>
            </w:pPr>
          </w:p>
          <w:p w14:paraId="1096A395" w14:textId="77777777" w:rsidR="008715BE" w:rsidRPr="00E26EB0" w:rsidRDefault="008715BE">
            <w:pPr>
              <w:pStyle w:val="TableParagraph"/>
              <w:rPr>
                <w:rFonts w:ascii="Verdana" w:hAnsi="Verdana"/>
                <w:b/>
                <w:sz w:val="16"/>
                <w:szCs w:val="16"/>
              </w:rPr>
            </w:pPr>
          </w:p>
          <w:p w14:paraId="7E0E3FBA" w14:textId="77777777" w:rsidR="008715BE" w:rsidRPr="00E26EB0" w:rsidRDefault="008715BE">
            <w:pPr>
              <w:pStyle w:val="TableParagraph"/>
              <w:rPr>
                <w:rFonts w:ascii="Verdana" w:hAnsi="Verdana"/>
                <w:b/>
                <w:sz w:val="16"/>
                <w:szCs w:val="16"/>
              </w:rPr>
            </w:pPr>
          </w:p>
          <w:p w14:paraId="03AFB00B" w14:textId="77777777" w:rsidR="008715BE" w:rsidRPr="00E26EB0" w:rsidRDefault="008715BE">
            <w:pPr>
              <w:pStyle w:val="TableParagraph"/>
              <w:rPr>
                <w:rFonts w:ascii="Verdana" w:hAnsi="Verdana"/>
                <w:b/>
                <w:sz w:val="16"/>
                <w:szCs w:val="16"/>
              </w:rPr>
            </w:pPr>
          </w:p>
          <w:p w14:paraId="06015803" w14:textId="77777777" w:rsidR="008715BE" w:rsidRPr="00E26EB0" w:rsidRDefault="008715BE">
            <w:pPr>
              <w:pStyle w:val="TableParagraph"/>
              <w:rPr>
                <w:rFonts w:ascii="Verdana" w:hAnsi="Verdana"/>
                <w:b/>
                <w:sz w:val="16"/>
                <w:szCs w:val="16"/>
              </w:rPr>
            </w:pPr>
          </w:p>
          <w:p w14:paraId="7C9A1F89" w14:textId="77777777" w:rsidR="008715BE" w:rsidRPr="00E26EB0" w:rsidRDefault="008715BE">
            <w:pPr>
              <w:pStyle w:val="TableParagraph"/>
              <w:spacing w:before="2"/>
              <w:rPr>
                <w:rFonts w:ascii="Verdana" w:hAnsi="Verdana"/>
                <w:b/>
                <w:sz w:val="16"/>
                <w:szCs w:val="16"/>
              </w:rPr>
            </w:pPr>
          </w:p>
          <w:p w14:paraId="3FB8D0AB" w14:textId="77777777" w:rsidR="008715BE" w:rsidRPr="00E26EB0" w:rsidRDefault="00000000">
            <w:pPr>
              <w:pStyle w:val="TableParagraph"/>
              <w:ind w:left="9"/>
              <w:jc w:val="center"/>
              <w:rPr>
                <w:rFonts w:ascii="Verdana" w:hAnsi="Verdana"/>
                <w:sz w:val="16"/>
                <w:szCs w:val="16"/>
              </w:rPr>
            </w:pPr>
            <w:r w:rsidRPr="00E26EB0">
              <w:rPr>
                <w:rFonts w:ascii="Verdana" w:hAnsi="Verdana"/>
                <w:sz w:val="16"/>
                <w:szCs w:val="16"/>
              </w:rPr>
              <w:t>-</w:t>
            </w:r>
          </w:p>
        </w:tc>
        <w:tc>
          <w:tcPr>
            <w:tcW w:w="1577" w:type="dxa"/>
          </w:tcPr>
          <w:p w14:paraId="3029FA60" w14:textId="77777777" w:rsidR="008715BE" w:rsidRPr="00E26EB0" w:rsidRDefault="008715BE">
            <w:pPr>
              <w:pStyle w:val="TableParagraph"/>
              <w:rPr>
                <w:rFonts w:ascii="Verdana" w:hAnsi="Verdana"/>
                <w:b/>
                <w:sz w:val="16"/>
                <w:szCs w:val="16"/>
              </w:rPr>
            </w:pPr>
          </w:p>
          <w:p w14:paraId="55770EF0" w14:textId="77777777" w:rsidR="008715BE" w:rsidRPr="00E26EB0" w:rsidRDefault="008715BE">
            <w:pPr>
              <w:pStyle w:val="TableParagraph"/>
              <w:rPr>
                <w:rFonts w:ascii="Verdana" w:hAnsi="Verdana"/>
                <w:b/>
                <w:sz w:val="16"/>
                <w:szCs w:val="16"/>
              </w:rPr>
            </w:pPr>
          </w:p>
          <w:p w14:paraId="5384F3C3" w14:textId="77777777" w:rsidR="008715BE" w:rsidRPr="00E26EB0" w:rsidRDefault="008715BE">
            <w:pPr>
              <w:pStyle w:val="TableParagraph"/>
              <w:rPr>
                <w:rFonts w:ascii="Verdana" w:hAnsi="Verdana"/>
                <w:b/>
                <w:sz w:val="16"/>
                <w:szCs w:val="16"/>
              </w:rPr>
            </w:pPr>
          </w:p>
          <w:p w14:paraId="2E88733B" w14:textId="77777777" w:rsidR="008715BE" w:rsidRPr="00E26EB0" w:rsidRDefault="008715BE">
            <w:pPr>
              <w:pStyle w:val="TableParagraph"/>
              <w:rPr>
                <w:rFonts w:ascii="Verdana" w:hAnsi="Verdana"/>
                <w:b/>
                <w:sz w:val="16"/>
                <w:szCs w:val="16"/>
              </w:rPr>
            </w:pPr>
          </w:p>
          <w:p w14:paraId="43B96DC8" w14:textId="77777777" w:rsidR="008715BE" w:rsidRPr="00E26EB0" w:rsidRDefault="008715BE">
            <w:pPr>
              <w:pStyle w:val="TableParagraph"/>
              <w:rPr>
                <w:rFonts w:ascii="Verdana" w:hAnsi="Verdana"/>
                <w:b/>
                <w:sz w:val="16"/>
                <w:szCs w:val="16"/>
              </w:rPr>
            </w:pPr>
          </w:p>
          <w:p w14:paraId="3BB57935" w14:textId="77777777" w:rsidR="008715BE" w:rsidRPr="00E26EB0" w:rsidRDefault="008715BE">
            <w:pPr>
              <w:pStyle w:val="TableParagraph"/>
              <w:spacing w:before="2"/>
              <w:rPr>
                <w:rFonts w:ascii="Verdana" w:hAnsi="Verdana"/>
                <w:b/>
                <w:sz w:val="16"/>
                <w:szCs w:val="16"/>
              </w:rPr>
            </w:pPr>
          </w:p>
          <w:p w14:paraId="3BF7C124"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r w:rsidR="008715BE" w:rsidRPr="00E26EB0" w14:paraId="75F553F2" w14:textId="77777777">
        <w:trPr>
          <w:trHeight w:val="1190"/>
        </w:trPr>
        <w:tc>
          <w:tcPr>
            <w:tcW w:w="1179" w:type="dxa"/>
          </w:tcPr>
          <w:p w14:paraId="25EDE230" w14:textId="77777777" w:rsidR="008715BE" w:rsidRPr="00E26EB0" w:rsidRDefault="008715BE">
            <w:pPr>
              <w:pStyle w:val="TableParagraph"/>
              <w:rPr>
                <w:rFonts w:ascii="Verdana" w:hAnsi="Verdana"/>
                <w:b/>
                <w:sz w:val="16"/>
                <w:szCs w:val="16"/>
              </w:rPr>
            </w:pPr>
          </w:p>
          <w:p w14:paraId="320B1EE9" w14:textId="77777777" w:rsidR="008715BE" w:rsidRPr="00E26EB0" w:rsidRDefault="008715BE">
            <w:pPr>
              <w:pStyle w:val="TableParagraph"/>
              <w:spacing w:before="91"/>
              <w:rPr>
                <w:rFonts w:ascii="Verdana" w:hAnsi="Verdana"/>
                <w:b/>
                <w:sz w:val="16"/>
                <w:szCs w:val="16"/>
              </w:rPr>
            </w:pPr>
          </w:p>
          <w:p w14:paraId="6FAD9174" w14:textId="77777777" w:rsidR="008715BE" w:rsidRPr="00E26EB0" w:rsidRDefault="00000000">
            <w:pPr>
              <w:pStyle w:val="TableParagraph"/>
              <w:ind w:left="362" w:hanging="8"/>
              <w:rPr>
                <w:rFonts w:ascii="Verdana" w:hAnsi="Verdana"/>
                <w:i/>
                <w:sz w:val="16"/>
                <w:szCs w:val="16"/>
              </w:rPr>
            </w:pPr>
            <w:r w:rsidRPr="00E26EB0">
              <w:rPr>
                <w:rFonts w:ascii="Verdana" w:hAnsi="Verdana"/>
                <w:i/>
                <w:spacing w:val="-2"/>
                <w:sz w:val="16"/>
                <w:szCs w:val="16"/>
              </w:rPr>
              <w:t>Vulpes vulpes</w:t>
            </w:r>
          </w:p>
        </w:tc>
        <w:tc>
          <w:tcPr>
            <w:tcW w:w="1282" w:type="dxa"/>
          </w:tcPr>
          <w:p w14:paraId="70B213E9" w14:textId="77777777" w:rsidR="008715BE" w:rsidRPr="00E26EB0" w:rsidRDefault="008715BE">
            <w:pPr>
              <w:pStyle w:val="TableParagraph"/>
              <w:rPr>
                <w:rFonts w:ascii="Verdana" w:hAnsi="Verdana"/>
                <w:b/>
                <w:sz w:val="16"/>
                <w:szCs w:val="16"/>
              </w:rPr>
            </w:pPr>
          </w:p>
          <w:p w14:paraId="7AB2CCC0" w14:textId="77777777" w:rsidR="008715BE" w:rsidRPr="00E26EB0" w:rsidRDefault="008715BE">
            <w:pPr>
              <w:pStyle w:val="TableParagraph"/>
              <w:rPr>
                <w:rFonts w:ascii="Verdana" w:hAnsi="Verdana"/>
                <w:b/>
                <w:sz w:val="16"/>
                <w:szCs w:val="16"/>
              </w:rPr>
            </w:pPr>
          </w:p>
          <w:p w14:paraId="3865CC60" w14:textId="77777777" w:rsidR="008715BE" w:rsidRPr="00E26EB0" w:rsidRDefault="008715BE">
            <w:pPr>
              <w:pStyle w:val="TableParagraph"/>
              <w:spacing w:before="4"/>
              <w:rPr>
                <w:rFonts w:ascii="Verdana" w:hAnsi="Verdana"/>
                <w:b/>
                <w:sz w:val="16"/>
                <w:szCs w:val="16"/>
              </w:rPr>
            </w:pPr>
          </w:p>
          <w:p w14:paraId="345E44A2" w14:textId="77777777" w:rsidR="008715BE" w:rsidRPr="00E26EB0" w:rsidRDefault="00000000">
            <w:pPr>
              <w:pStyle w:val="TableParagraph"/>
              <w:ind w:left="161" w:right="154"/>
              <w:jc w:val="center"/>
              <w:rPr>
                <w:rFonts w:ascii="Verdana" w:hAnsi="Verdana"/>
                <w:sz w:val="16"/>
                <w:szCs w:val="16"/>
              </w:rPr>
            </w:pPr>
            <w:r w:rsidRPr="00E26EB0">
              <w:rPr>
                <w:rFonts w:ascii="Verdana" w:hAnsi="Verdana"/>
                <w:spacing w:val="-4"/>
                <w:sz w:val="16"/>
                <w:szCs w:val="16"/>
              </w:rPr>
              <w:t>Fox</w:t>
            </w:r>
          </w:p>
        </w:tc>
        <w:tc>
          <w:tcPr>
            <w:tcW w:w="987" w:type="dxa"/>
          </w:tcPr>
          <w:p w14:paraId="1F7BD8D0" w14:textId="77777777" w:rsidR="008715BE" w:rsidRPr="00E26EB0" w:rsidRDefault="008715BE">
            <w:pPr>
              <w:pStyle w:val="TableParagraph"/>
              <w:rPr>
                <w:rFonts w:ascii="Verdana" w:hAnsi="Verdana"/>
                <w:b/>
                <w:sz w:val="16"/>
                <w:szCs w:val="16"/>
              </w:rPr>
            </w:pPr>
          </w:p>
          <w:p w14:paraId="6D3974DB" w14:textId="77777777" w:rsidR="008715BE" w:rsidRPr="00E26EB0" w:rsidRDefault="008715BE">
            <w:pPr>
              <w:pStyle w:val="TableParagraph"/>
              <w:rPr>
                <w:rFonts w:ascii="Verdana" w:hAnsi="Verdana"/>
                <w:b/>
                <w:sz w:val="16"/>
                <w:szCs w:val="16"/>
              </w:rPr>
            </w:pPr>
          </w:p>
          <w:p w14:paraId="5044F8D5" w14:textId="77777777" w:rsidR="008715BE" w:rsidRPr="00E26EB0" w:rsidRDefault="008715BE">
            <w:pPr>
              <w:pStyle w:val="TableParagraph"/>
              <w:spacing w:before="4"/>
              <w:rPr>
                <w:rFonts w:ascii="Verdana" w:hAnsi="Verdana"/>
                <w:b/>
                <w:sz w:val="16"/>
                <w:szCs w:val="16"/>
              </w:rPr>
            </w:pPr>
          </w:p>
          <w:p w14:paraId="010AE637"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55</w:t>
            </w:r>
          </w:p>
        </w:tc>
        <w:tc>
          <w:tcPr>
            <w:tcW w:w="1422" w:type="dxa"/>
          </w:tcPr>
          <w:p w14:paraId="1A2E6F80" w14:textId="77777777" w:rsidR="008715BE" w:rsidRPr="00E26EB0" w:rsidRDefault="00000000">
            <w:pPr>
              <w:pStyle w:val="TableParagraph"/>
              <w:spacing w:before="9" w:line="237" w:lineRule="auto"/>
              <w:ind w:left="109" w:right="98" w:hanging="1"/>
              <w:jc w:val="center"/>
              <w:rPr>
                <w:rFonts w:ascii="Verdana" w:hAnsi="Verdana"/>
                <w:sz w:val="16"/>
                <w:szCs w:val="16"/>
              </w:rPr>
            </w:pPr>
            <w:r w:rsidRPr="00E26EB0">
              <w:rPr>
                <w:rFonts w:ascii="Verdana" w:hAnsi="Verdana"/>
                <w:sz w:val="16"/>
                <w:szCs w:val="16"/>
              </w:rPr>
              <w:t xml:space="preserve">The species has been observed throughout the year The species uses </w:t>
            </w:r>
            <w:r w:rsidRPr="00E26EB0">
              <w:rPr>
                <w:rFonts w:ascii="Verdana" w:hAnsi="Verdana"/>
                <w:spacing w:val="-2"/>
                <w:sz w:val="16"/>
                <w:szCs w:val="16"/>
              </w:rPr>
              <w:t>the site area</w:t>
            </w:r>
          </w:p>
          <w:p w14:paraId="027838BA" w14:textId="77777777" w:rsidR="008715BE" w:rsidRPr="00E26EB0" w:rsidRDefault="00000000">
            <w:pPr>
              <w:pStyle w:val="TableParagraph"/>
              <w:spacing w:before="4" w:line="142" w:lineRule="exact"/>
              <w:ind w:left="11" w:right="3"/>
              <w:jc w:val="center"/>
              <w:rPr>
                <w:rFonts w:ascii="Verdana" w:hAnsi="Verdana"/>
                <w:sz w:val="16"/>
                <w:szCs w:val="16"/>
              </w:rPr>
            </w:pPr>
            <w:r w:rsidRPr="00E26EB0">
              <w:rPr>
                <w:rFonts w:ascii="Verdana" w:hAnsi="Verdana"/>
                <w:sz w:val="16"/>
                <w:szCs w:val="16"/>
              </w:rPr>
              <w:t xml:space="preserve">for </w:t>
            </w:r>
            <w:r w:rsidRPr="00E26EB0">
              <w:rPr>
                <w:rFonts w:ascii="Verdana" w:hAnsi="Verdana"/>
                <w:spacing w:val="-2"/>
                <w:sz w:val="16"/>
                <w:szCs w:val="16"/>
              </w:rPr>
              <w:t>transit</w:t>
            </w:r>
          </w:p>
        </w:tc>
        <w:tc>
          <w:tcPr>
            <w:tcW w:w="874" w:type="dxa"/>
          </w:tcPr>
          <w:p w14:paraId="5924F187" w14:textId="77777777" w:rsidR="008715BE" w:rsidRPr="00E26EB0" w:rsidRDefault="008715BE">
            <w:pPr>
              <w:pStyle w:val="TableParagraph"/>
              <w:rPr>
                <w:rFonts w:ascii="Verdana" w:hAnsi="Verdana"/>
                <w:b/>
                <w:sz w:val="16"/>
                <w:szCs w:val="16"/>
              </w:rPr>
            </w:pPr>
          </w:p>
          <w:p w14:paraId="7952A1D8" w14:textId="77777777" w:rsidR="008715BE" w:rsidRPr="00E26EB0" w:rsidRDefault="008715BE">
            <w:pPr>
              <w:pStyle w:val="TableParagraph"/>
              <w:rPr>
                <w:rFonts w:ascii="Verdana" w:hAnsi="Verdana"/>
                <w:b/>
                <w:sz w:val="16"/>
                <w:szCs w:val="16"/>
              </w:rPr>
            </w:pPr>
          </w:p>
          <w:p w14:paraId="7217D3CD" w14:textId="77777777" w:rsidR="008715BE" w:rsidRPr="00E26EB0" w:rsidRDefault="008715BE">
            <w:pPr>
              <w:pStyle w:val="TableParagraph"/>
              <w:spacing w:before="4"/>
              <w:rPr>
                <w:rFonts w:ascii="Verdana" w:hAnsi="Verdana"/>
                <w:b/>
                <w:sz w:val="16"/>
                <w:szCs w:val="16"/>
              </w:rPr>
            </w:pPr>
          </w:p>
          <w:p w14:paraId="172554E3" w14:textId="77777777" w:rsidR="008715BE" w:rsidRPr="00E26EB0" w:rsidRDefault="00000000">
            <w:pPr>
              <w:pStyle w:val="TableParagraph"/>
              <w:ind w:left="7" w:right="2"/>
              <w:jc w:val="center"/>
              <w:rPr>
                <w:rFonts w:ascii="Verdana" w:hAnsi="Verdana"/>
                <w:sz w:val="16"/>
                <w:szCs w:val="16"/>
              </w:rPr>
            </w:pPr>
            <w:r w:rsidRPr="00E26EB0">
              <w:rPr>
                <w:rFonts w:ascii="Verdana" w:hAnsi="Verdana"/>
                <w:spacing w:val="-5"/>
                <w:sz w:val="16"/>
                <w:szCs w:val="16"/>
              </w:rPr>
              <w:t>LC</w:t>
            </w:r>
          </w:p>
        </w:tc>
        <w:tc>
          <w:tcPr>
            <w:tcW w:w="1208" w:type="dxa"/>
          </w:tcPr>
          <w:p w14:paraId="0E365439" w14:textId="77777777" w:rsidR="008715BE" w:rsidRPr="00E26EB0" w:rsidRDefault="008715BE">
            <w:pPr>
              <w:pStyle w:val="TableParagraph"/>
              <w:rPr>
                <w:rFonts w:ascii="Verdana" w:hAnsi="Verdana"/>
                <w:b/>
                <w:sz w:val="16"/>
                <w:szCs w:val="16"/>
              </w:rPr>
            </w:pPr>
          </w:p>
          <w:p w14:paraId="5549B452" w14:textId="77777777" w:rsidR="008715BE" w:rsidRPr="00E26EB0" w:rsidRDefault="008715BE">
            <w:pPr>
              <w:pStyle w:val="TableParagraph"/>
              <w:rPr>
                <w:rFonts w:ascii="Verdana" w:hAnsi="Verdana"/>
                <w:b/>
                <w:sz w:val="16"/>
                <w:szCs w:val="16"/>
              </w:rPr>
            </w:pPr>
          </w:p>
          <w:p w14:paraId="07978EAD" w14:textId="77777777" w:rsidR="008715BE" w:rsidRPr="00E26EB0" w:rsidRDefault="008715BE">
            <w:pPr>
              <w:pStyle w:val="TableParagraph"/>
              <w:spacing w:before="4"/>
              <w:rPr>
                <w:rFonts w:ascii="Verdana" w:hAnsi="Verdana"/>
                <w:b/>
                <w:sz w:val="16"/>
                <w:szCs w:val="16"/>
              </w:rPr>
            </w:pPr>
          </w:p>
          <w:p w14:paraId="5C493101" w14:textId="77777777" w:rsidR="008715BE" w:rsidRPr="00E26EB0" w:rsidRDefault="00000000">
            <w:pPr>
              <w:pStyle w:val="TableParagraph"/>
              <w:ind w:left="3"/>
              <w:jc w:val="center"/>
              <w:rPr>
                <w:rFonts w:ascii="Verdana" w:hAnsi="Verdana"/>
                <w:sz w:val="16"/>
                <w:szCs w:val="16"/>
              </w:rPr>
            </w:pPr>
            <w:r w:rsidRPr="00E26EB0">
              <w:rPr>
                <w:rFonts w:ascii="Verdana" w:hAnsi="Verdana"/>
                <w:sz w:val="16"/>
                <w:szCs w:val="16"/>
              </w:rPr>
              <w:t>-</w:t>
            </w:r>
          </w:p>
        </w:tc>
        <w:tc>
          <w:tcPr>
            <w:tcW w:w="1179" w:type="dxa"/>
          </w:tcPr>
          <w:p w14:paraId="7EE9C901" w14:textId="77777777" w:rsidR="008715BE" w:rsidRPr="00E26EB0" w:rsidRDefault="008715BE">
            <w:pPr>
              <w:pStyle w:val="TableParagraph"/>
              <w:rPr>
                <w:rFonts w:ascii="Verdana" w:hAnsi="Verdana"/>
                <w:b/>
                <w:sz w:val="16"/>
                <w:szCs w:val="16"/>
              </w:rPr>
            </w:pPr>
          </w:p>
          <w:p w14:paraId="69D11CCD" w14:textId="77777777" w:rsidR="008715BE" w:rsidRPr="00E26EB0" w:rsidRDefault="008715BE">
            <w:pPr>
              <w:pStyle w:val="TableParagraph"/>
              <w:rPr>
                <w:rFonts w:ascii="Verdana" w:hAnsi="Verdana"/>
                <w:b/>
                <w:sz w:val="16"/>
                <w:szCs w:val="16"/>
              </w:rPr>
            </w:pPr>
          </w:p>
          <w:p w14:paraId="164AE4FA" w14:textId="77777777" w:rsidR="008715BE" w:rsidRPr="00E26EB0" w:rsidRDefault="008715BE">
            <w:pPr>
              <w:pStyle w:val="TableParagraph"/>
              <w:spacing w:before="4"/>
              <w:rPr>
                <w:rFonts w:ascii="Verdana" w:hAnsi="Verdana"/>
                <w:b/>
                <w:sz w:val="16"/>
                <w:szCs w:val="16"/>
              </w:rPr>
            </w:pPr>
          </w:p>
          <w:p w14:paraId="523F1200" w14:textId="77777777" w:rsidR="008715BE" w:rsidRPr="00E26EB0" w:rsidRDefault="00000000">
            <w:pPr>
              <w:pStyle w:val="TableParagraph"/>
              <w:ind w:left="6" w:right="6"/>
              <w:jc w:val="center"/>
              <w:rPr>
                <w:rFonts w:ascii="Verdana" w:hAnsi="Verdana"/>
                <w:sz w:val="16"/>
                <w:szCs w:val="16"/>
              </w:rPr>
            </w:pPr>
            <w:r w:rsidRPr="00E26EB0">
              <w:rPr>
                <w:rFonts w:ascii="Verdana" w:hAnsi="Verdana"/>
                <w:spacing w:val="-5"/>
                <w:sz w:val="16"/>
                <w:szCs w:val="16"/>
              </w:rPr>
              <w:t>No</w:t>
            </w:r>
          </w:p>
        </w:tc>
        <w:tc>
          <w:tcPr>
            <w:tcW w:w="1508" w:type="dxa"/>
          </w:tcPr>
          <w:p w14:paraId="58A27944" w14:textId="77777777" w:rsidR="008715BE" w:rsidRPr="00E26EB0" w:rsidRDefault="008715BE">
            <w:pPr>
              <w:pStyle w:val="TableParagraph"/>
              <w:rPr>
                <w:rFonts w:ascii="Verdana" w:hAnsi="Verdana"/>
                <w:b/>
                <w:sz w:val="16"/>
                <w:szCs w:val="16"/>
              </w:rPr>
            </w:pPr>
          </w:p>
          <w:p w14:paraId="6C131BCA" w14:textId="77777777" w:rsidR="008715BE" w:rsidRPr="00E26EB0" w:rsidRDefault="008715BE">
            <w:pPr>
              <w:pStyle w:val="TableParagraph"/>
              <w:rPr>
                <w:rFonts w:ascii="Verdana" w:hAnsi="Verdana"/>
                <w:b/>
                <w:sz w:val="16"/>
                <w:szCs w:val="16"/>
              </w:rPr>
            </w:pPr>
          </w:p>
          <w:p w14:paraId="341DF86A" w14:textId="77777777" w:rsidR="008715BE" w:rsidRPr="00E26EB0" w:rsidRDefault="008715BE">
            <w:pPr>
              <w:pStyle w:val="TableParagraph"/>
              <w:spacing w:before="4"/>
              <w:rPr>
                <w:rFonts w:ascii="Verdana" w:hAnsi="Verdana"/>
                <w:b/>
                <w:sz w:val="16"/>
                <w:szCs w:val="16"/>
              </w:rPr>
            </w:pPr>
          </w:p>
          <w:p w14:paraId="7CCFC0DD" w14:textId="77777777" w:rsidR="008715BE" w:rsidRPr="00E26EB0" w:rsidRDefault="00000000">
            <w:pPr>
              <w:pStyle w:val="TableParagraph"/>
              <w:ind w:left="1"/>
              <w:jc w:val="center"/>
              <w:rPr>
                <w:rFonts w:ascii="Verdana" w:hAnsi="Verdana"/>
                <w:sz w:val="16"/>
                <w:szCs w:val="16"/>
              </w:rPr>
            </w:pPr>
            <w:r w:rsidRPr="00E26EB0">
              <w:rPr>
                <w:rFonts w:ascii="Verdana" w:hAnsi="Verdana"/>
                <w:sz w:val="16"/>
                <w:szCs w:val="16"/>
              </w:rPr>
              <w:t>Annex</w:t>
            </w:r>
            <w:r w:rsidRPr="00E26EB0">
              <w:rPr>
                <w:rFonts w:ascii="Verdana" w:hAnsi="Verdana"/>
                <w:spacing w:val="-5"/>
                <w:sz w:val="16"/>
                <w:szCs w:val="16"/>
              </w:rPr>
              <w:t xml:space="preserve"> 5B</w:t>
            </w:r>
          </w:p>
        </w:tc>
        <w:tc>
          <w:tcPr>
            <w:tcW w:w="1577" w:type="dxa"/>
          </w:tcPr>
          <w:p w14:paraId="4926CDA1" w14:textId="77777777" w:rsidR="008715BE" w:rsidRPr="00E26EB0" w:rsidRDefault="008715BE">
            <w:pPr>
              <w:pStyle w:val="TableParagraph"/>
              <w:rPr>
                <w:rFonts w:ascii="Verdana" w:hAnsi="Verdana"/>
                <w:b/>
                <w:sz w:val="16"/>
                <w:szCs w:val="16"/>
              </w:rPr>
            </w:pPr>
          </w:p>
          <w:p w14:paraId="70AB7054" w14:textId="77777777" w:rsidR="008715BE" w:rsidRPr="00E26EB0" w:rsidRDefault="008715BE">
            <w:pPr>
              <w:pStyle w:val="TableParagraph"/>
              <w:rPr>
                <w:rFonts w:ascii="Verdana" w:hAnsi="Verdana"/>
                <w:b/>
                <w:sz w:val="16"/>
                <w:szCs w:val="16"/>
              </w:rPr>
            </w:pPr>
          </w:p>
          <w:p w14:paraId="7C01345B" w14:textId="77777777" w:rsidR="008715BE" w:rsidRPr="00E26EB0" w:rsidRDefault="008715BE">
            <w:pPr>
              <w:pStyle w:val="TableParagraph"/>
              <w:spacing w:before="4"/>
              <w:rPr>
                <w:rFonts w:ascii="Verdana" w:hAnsi="Verdana"/>
                <w:b/>
                <w:sz w:val="16"/>
                <w:szCs w:val="16"/>
              </w:rPr>
            </w:pPr>
          </w:p>
          <w:p w14:paraId="55429259" w14:textId="77777777" w:rsidR="008715BE" w:rsidRPr="00E26EB0" w:rsidRDefault="00000000">
            <w:pPr>
              <w:pStyle w:val="TableParagraph"/>
              <w:ind w:left="5"/>
              <w:jc w:val="center"/>
              <w:rPr>
                <w:rFonts w:ascii="Verdana" w:hAnsi="Verdana"/>
                <w:sz w:val="16"/>
                <w:szCs w:val="16"/>
              </w:rPr>
            </w:pPr>
            <w:r w:rsidRPr="00E26EB0">
              <w:rPr>
                <w:rFonts w:ascii="Verdana" w:hAnsi="Verdana"/>
                <w:sz w:val="16"/>
                <w:szCs w:val="16"/>
              </w:rPr>
              <w:t>-</w:t>
            </w:r>
          </w:p>
        </w:tc>
      </w:tr>
    </w:tbl>
    <w:p w14:paraId="70C3FFF5" w14:textId="3DCD2C1E" w:rsidR="008715BE" w:rsidRPr="00EC75B7" w:rsidRDefault="00000000" w:rsidP="00E26EB0">
      <w:pPr>
        <w:pStyle w:val="BodyText"/>
        <w:spacing w:before="13"/>
        <w:ind w:left="794"/>
        <w:jc w:val="both"/>
        <w:rPr>
          <w:rFonts w:ascii="Verdana" w:hAnsi="Verdana"/>
        </w:rPr>
      </w:pPr>
      <w:r w:rsidRPr="00EC75B7">
        <w:rPr>
          <w:rFonts w:ascii="Verdana" w:hAnsi="Verdana"/>
          <w:b/>
        </w:rPr>
        <w:t>IUCN</w:t>
      </w:r>
      <w:r w:rsidRPr="00EC75B7">
        <w:rPr>
          <w:rFonts w:ascii="Verdana" w:hAnsi="Verdana"/>
        </w:rPr>
        <w:t xml:space="preserve">: LC – Least Concern; VU – Vulnerable; NT – </w:t>
      </w:r>
      <w:r w:rsidRPr="00EC75B7">
        <w:rPr>
          <w:rFonts w:ascii="Verdana" w:hAnsi="Verdana"/>
          <w:spacing w:val="-2"/>
        </w:rPr>
        <w:t xml:space="preserve">Near </w:t>
      </w:r>
      <w:r w:rsidRPr="00EC75B7">
        <w:rPr>
          <w:rFonts w:ascii="Verdana" w:hAnsi="Verdana"/>
        </w:rPr>
        <w:t xml:space="preserve">Threatened, EN (Endangered) – </w:t>
      </w:r>
      <w:r w:rsidRPr="00EC75B7">
        <w:rPr>
          <w:rFonts w:ascii="Verdana" w:hAnsi="Verdana"/>
          <w:spacing w:val="-2"/>
        </w:rPr>
        <w:t xml:space="preserve">endangered </w:t>
      </w:r>
      <w:r w:rsidRPr="00EC75B7">
        <w:rPr>
          <w:rFonts w:ascii="Verdana" w:hAnsi="Verdana"/>
        </w:rPr>
        <w:t>species</w:t>
      </w:r>
      <w:r w:rsidRPr="00EC75B7">
        <w:rPr>
          <w:rFonts w:ascii="Verdana" w:hAnsi="Verdana"/>
          <w:spacing w:val="-2"/>
        </w:rPr>
        <w:t>.</w:t>
      </w:r>
    </w:p>
    <w:p w14:paraId="2A3F43F4" w14:textId="77777777" w:rsidR="008715BE" w:rsidRPr="00EC75B7" w:rsidRDefault="008715BE">
      <w:pPr>
        <w:pStyle w:val="BodyText"/>
        <w:spacing w:before="9"/>
        <w:rPr>
          <w:rFonts w:ascii="Verdana" w:hAnsi="Verdana"/>
        </w:rPr>
      </w:pPr>
    </w:p>
    <w:p w14:paraId="581EBB7C" w14:textId="77777777" w:rsidR="008715BE" w:rsidRPr="00EC75B7" w:rsidRDefault="00000000">
      <w:pPr>
        <w:pStyle w:val="BodyText"/>
        <w:spacing w:line="357" w:lineRule="auto"/>
        <w:ind w:left="794" w:right="851"/>
        <w:jc w:val="both"/>
        <w:rPr>
          <w:rFonts w:ascii="Verdana" w:hAnsi="Verdana"/>
        </w:rPr>
      </w:pPr>
      <w:r w:rsidRPr="00EC75B7">
        <w:rPr>
          <w:rFonts w:ascii="Verdana" w:hAnsi="Verdana"/>
          <w:b/>
        </w:rPr>
        <w:t>Habitats Directive</w:t>
      </w:r>
      <w:r w:rsidRPr="00EC75B7">
        <w:rPr>
          <w:rFonts w:ascii="Verdana" w:hAnsi="Verdana"/>
        </w:rPr>
        <w:t>: Annex II – animal and plant species of Community interest whose conservation requires the designation of special areas of conservation; Annex IV – animal and plant species of Community importance requiring strict protection;</w:t>
      </w:r>
    </w:p>
    <w:p w14:paraId="06962E33" w14:textId="77777777" w:rsidR="008715BE" w:rsidRPr="00EC75B7" w:rsidRDefault="008715BE">
      <w:pPr>
        <w:pStyle w:val="BodyText"/>
        <w:spacing w:before="46"/>
        <w:rPr>
          <w:rFonts w:ascii="Verdana" w:hAnsi="Verdana"/>
        </w:rPr>
      </w:pPr>
    </w:p>
    <w:p w14:paraId="4A770AC8" w14:textId="77777777" w:rsidR="008715BE" w:rsidRDefault="00000000">
      <w:pPr>
        <w:pStyle w:val="BodyText"/>
        <w:spacing w:before="1" w:line="357" w:lineRule="auto"/>
        <w:ind w:left="794" w:right="848"/>
        <w:jc w:val="both"/>
        <w:rPr>
          <w:rFonts w:ascii="Verdana" w:hAnsi="Verdana"/>
        </w:rPr>
      </w:pPr>
      <w:r w:rsidRPr="00EC75B7">
        <w:rPr>
          <w:rFonts w:ascii="Verdana" w:hAnsi="Verdana"/>
          <w:b/>
        </w:rPr>
        <w:t xml:space="preserve">OUG57/2007 </w:t>
      </w:r>
      <w:r w:rsidRPr="00EC75B7">
        <w:rPr>
          <w:rFonts w:ascii="Verdana" w:hAnsi="Verdana"/>
        </w:rPr>
        <w:t>on the regime of protected natural areas, conservation of natural habitats, wild flora and fauna: Annex 3 - Plant and animal species whose conservation requires the designation of special conservation areas and special bird protection areas; Annex 4A - Species of Community interest. Animal and plant species requiring strict protection; Annex 4B - Species of national interest Animal and plant species requiring strict protection Annex 5A - Species of Community interest. Plant and animal species of Community interest, except for bird species, whose removal from the wild and exploitation are subject to management measures; Annex 5B - Animal species of national interest whose removal from the wild and exploitation are subject to management measures.</w:t>
      </w:r>
    </w:p>
    <w:p w14:paraId="4AA3A6E2" w14:textId="77777777" w:rsidR="009C3CA5" w:rsidRPr="00EC75B7" w:rsidRDefault="009C3CA5">
      <w:pPr>
        <w:pStyle w:val="BodyText"/>
        <w:spacing w:before="1" w:line="357" w:lineRule="auto"/>
        <w:ind w:left="794" w:right="848"/>
        <w:jc w:val="both"/>
        <w:rPr>
          <w:rFonts w:ascii="Verdana" w:hAnsi="Verdana"/>
        </w:rPr>
      </w:pPr>
    </w:p>
    <w:p w14:paraId="53E57398" w14:textId="77777777" w:rsidR="008715BE" w:rsidRPr="00EC75B7" w:rsidRDefault="008715BE">
      <w:pPr>
        <w:pStyle w:val="BodyText"/>
        <w:spacing w:before="7"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8715BE" w:rsidRPr="00EC75B7" w14:paraId="585D6AF4" w14:textId="77777777">
        <w:trPr>
          <w:trHeight w:val="5100"/>
        </w:trPr>
        <w:tc>
          <w:tcPr>
            <w:tcW w:w="4914" w:type="dxa"/>
          </w:tcPr>
          <w:p w14:paraId="24907F5D"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213D963" wp14:editId="6E876E19">
                  <wp:extent cx="3012400" cy="3194685"/>
                  <wp:effectExtent l="0" t="0" r="0" b="0"/>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11" cstate="print"/>
                          <a:stretch>
                            <a:fillRect/>
                          </a:stretch>
                        </pic:blipFill>
                        <pic:spPr>
                          <a:xfrm>
                            <a:off x="0" y="0"/>
                            <a:ext cx="3012400" cy="3194685"/>
                          </a:xfrm>
                          <a:prstGeom prst="rect">
                            <a:avLst/>
                          </a:prstGeom>
                        </pic:spPr>
                      </pic:pic>
                    </a:graphicData>
                  </a:graphic>
                </wp:inline>
              </w:drawing>
            </w:r>
          </w:p>
        </w:tc>
        <w:tc>
          <w:tcPr>
            <w:tcW w:w="4801" w:type="dxa"/>
          </w:tcPr>
          <w:p w14:paraId="5672D0E6" w14:textId="77777777" w:rsidR="008715BE" w:rsidRPr="00EC75B7" w:rsidRDefault="008715BE">
            <w:pPr>
              <w:pStyle w:val="TableParagraph"/>
              <w:spacing w:before="1"/>
              <w:rPr>
                <w:rFonts w:ascii="Verdana" w:hAnsi="Verdana"/>
                <w:sz w:val="18"/>
                <w:szCs w:val="18"/>
              </w:rPr>
            </w:pPr>
          </w:p>
          <w:p w14:paraId="0DC4F7A7"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5C97ABB1" wp14:editId="41A293D2">
                  <wp:extent cx="2940495" cy="3161919"/>
                  <wp:effectExtent l="0" t="0" r="0" b="0"/>
                  <wp:docPr id="154" name="Image 154"/>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12" cstate="print"/>
                          <a:stretch>
                            <a:fillRect/>
                          </a:stretch>
                        </pic:blipFill>
                        <pic:spPr>
                          <a:xfrm>
                            <a:off x="0" y="0"/>
                            <a:ext cx="2940495" cy="3161919"/>
                          </a:xfrm>
                          <a:prstGeom prst="rect">
                            <a:avLst/>
                          </a:prstGeom>
                        </pic:spPr>
                      </pic:pic>
                    </a:graphicData>
                  </a:graphic>
                </wp:inline>
              </w:drawing>
            </w:r>
          </w:p>
        </w:tc>
      </w:tr>
      <w:tr w:rsidR="008715BE" w:rsidRPr="00EC75B7" w14:paraId="1C79D1C0" w14:textId="77777777">
        <w:trPr>
          <w:trHeight w:val="499"/>
        </w:trPr>
        <w:tc>
          <w:tcPr>
            <w:tcW w:w="4914" w:type="dxa"/>
          </w:tcPr>
          <w:p w14:paraId="12DCEFB4" w14:textId="77777777" w:rsidR="008715BE" w:rsidRPr="00EC75B7" w:rsidRDefault="00000000">
            <w:pPr>
              <w:pStyle w:val="TableParagraph"/>
              <w:spacing w:before="9"/>
              <w:ind w:left="1741" w:right="212" w:hanging="1445"/>
              <w:rPr>
                <w:rFonts w:ascii="Verdana" w:hAnsi="Verdana"/>
                <w:sz w:val="18"/>
                <w:szCs w:val="18"/>
              </w:rPr>
            </w:pPr>
            <w:r w:rsidRPr="00EC75B7">
              <w:rPr>
                <w:rFonts w:ascii="Verdana" w:hAnsi="Verdana"/>
                <w:sz w:val="18"/>
                <w:szCs w:val="18"/>
              </w:rPr>
              <w:t>Jackal (</w:t>
            </w:r>
            <w:r w:rsidRPr="00EC75B7">
              <w:rPr>
                <w:rFonts w:ascii="Verdana" w:hAnsi="Verdana"/>
                <w:i/>
                <w:sz w:val="18"/>
                <w:szCs w:val="18"/>
              </w:rPr>
              <w:t>Canis aureus</w:t>
            </w:r>
            <w:r w:rsidRPr="00EC75B7">
              <w:rPr>
                <w:rFonts w:ascii="Verdana" w:hAnsi="Verdana"/>
                <w:sz w:val="18"/>
                <w:szCs w:val="18"/>
              </w:rPr>
              <w:t>) in the area of the wind farm site</w:t>
            </w:r>
          </w:p>
        </w:tc>
        <w:tc>
          <w:tcPr>
            <w:tcW w:w="4801" w:type="dxa"/>
          </w:tcPr>
          <w:p w14:paraId="40E496CB" w14:textId="77777777" w:rsidR="008715BE" w:rsidRPr="00EC75B7" w:rsidRDefault="00000000">
            <w:pPr>
              <w:pStyle w:val="TableParagraph"/>
              <w:spacing w:before="9"/>
              <w:ind w:left="1225" w:right="114" w:hanging="894"/>
              <w:rPr>
                <w:rFonts w:ascii="Verdana" w:hAnsi="Verdana"/>
                <w:sz w:val="18"/>
                <w:szCs w:val="18"/>
              </w:rPr>
            </w:pPr>
            <w:r w:rsidRPr="00EC75B7">
              <w:rPr>
                <w:rFonts w:ascii="Verdana" w:hAnsi="Verdana"/>
                <w:sz w:val="18"/>
                <w:szCs w:val="18"/>
              </w:rPr>
              <w:t>Roe deer (</w:t>
            </w:r>
            <w:r w:rsidRPr="00EC75B7">
              <w:rPr>
                <w:rFonts w:ascii="Verdana" w:hAnsi="Verdana"/>
                <w:i/>
                <w:sz w:val="18"/>
                <w:szCs w:val="18"/>
              </w:rPr>
              <w:t>Capreolus capreolus</w:t>
            </w:r>
            <w:r w:rsidRPr="00EC75B7">
              <w:rPr>
                <w:rFonts w:ascii="Verdana" w:hAnsi="Verdana"/>
                <w:sz w:val="18"/>
                <w:szCs w:val="18"/>
              </w:rPr>
              <w:t>) in the Natura 2000 site ROSCI0071</w:t>
            </w:r>
          </w:p>
        </w:tc>
      </w:tr>
      <w:tr w:rsidR="008715BE" w:rsidRPr="00EC75B7" w14:paraId="1F2B9431" w14:textId="77777777">
        <w:trPr>
          <w:trHeight w:val="5222"/>
        </w:trPr>
        <w:tc>
          <w:tcPr>
            <w:tcW w:w="4914" w:type="dxa"/>
          </w:tcPr>
          <w:p w14:paraId="08706ABA" w14:textId="77777777" w:rsidR="008715BE" w:rsidRPr="00EC75B7" w:rsidRDefault="008715BE">
            <w:pPr>
              <w:pStyle w:val="TableParagraph"/>
              <w:spacing w:before="10"/>
              <w:rPr>
                <w:rFonts w:ascii="Verdana" w:hAnsi="Verdana"/>
                <w:sz w:val="18"/>
                <w:szCs w:val="18"/>
              </w:rPr>
            </w:pPr>
          </w:p>
          <w:p w14:paraId="5BBB08FB" w14:textId="77777777" w:rsidR="008715BE" w:rsidRPr="00EC75B7" w:rsidRDefault="00000000">
            <w:pPr>
              <w:pStyle w:val="TableParagraph"/>
              <w:ind w:left="50" w:right="-29"/>
              <w:rPr>
                <w:rFonts w:ascii="Verdana" w:hAnsi="Verdana"/>
                <w:sz w:val="18"/>
                <w:szCs w:val="18"/>
              </w:rPr>
            </w:pPr>
            <w:r w:rsidRPr="00EC75B7">
              <w:rPr>
                <w:rFonts w:ascii="Verdana" w:hAnsi="Verdana"/>
                <w:noProof/>
                <w:sz w:val="18"/>
                <w:szCs w:val="18"/>
              </w:rPr>
              <w:drawing>
                <wp:inline distT="0" distB="0" distL="0" distR="0" wp14:anchorId="150DB60F" wp14:editId="4A0E1DF6">
                  <wp:extent cx="3081247" cy="3268979"/>
                  <wp:effectExtent l="0" t="0" r="0" b="0"/>
                  <wp:docPr id="155" name="Image 155"/>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13" cstate="print"/>
                          <a:stretch>
                            <a:fillRect/>
                          </a:stretch>
                        </pic:blipFill>
                        <pic:spPr>
                          <a:xfrm>
                            <a:off x="0" y="0"/>
                            <a:ext cx="3081247" cy="3268979"/>
                          </a:xfrm>
                          <a:prstGeom prst="rect">
                            <a:avLst/>
                          </a:prstGeom>
                        </pic:spPr>
                      </pic:pic>
                    </a:graphicData>
                  </a:graphic>
                </wp:inline>
              </w:drawing>
            </w:r>
          </w:p>
        </w:tc>
        <w:tc>
          <w:tcPr>
            <w:tcW w:w="4801" w:type="dxa"/>
          </w:tcPr>
          <w:p w14:paraId="315473DB" w14:textId="77777777" w:rsidR="008715BE" w:rsidRPr="00EC75B7" w:rsidRDefault="008715BE">
            <w:pPr>
              <w:pStyle w:val="TableParagraph"/>
              <w:spacing w:before="10"/>
              <w:rPr>
                <w:rFonts w:ascii="Verdana" w:hAnsi="Verdana"/>
                <w:sz w:val="18"/>
                <w:szCs w:val="18"/>
              </w:rPr>
            </w:pPr>
          </w:p>
          <w:p w14:paraId="0FED56E7" w14:textId="77777777" w:rsidR="008715BE" w:rsidRPr="00EC75B7" w:rsidRDefault="00000000">
            <w:pPr>
              <w:pStyle w:val="TableParagraph"/>
              <w:ind w:left="54" w:right="-44"/>
              <w:rPr>
                <w:rFonts w:ascii="Verdana" w:hAnsi="Verdana"/>
                <w:sz w:val="18"/>
                <w:szCs w:val="18"/>
              </w:rPr>
            </w:pPr>
            <w:r w:rsidRPr="00EC75B7">
              <w:rPr>
                <w:rFonts w:ascii="Verdana" w:hAnsi="Verdana"/>
                <w:noProof/>
                <w:sz w:val="18"/>
                <w:szCs w:val="18"/>
              </w:rPr>
              <w:drawing>
                <wp:inline distT="0" distB="0" distL="0" distR="0" wp14:anchorId="1AA04F45" wp14:editId="130DC8EF">
                  <wp:extent cx="3008717" cy="3268979"/>
                  <wp:effectExtent l="0" t="0" r="0" b="0"/>
                  <wp:docPr id="156" name="Image 156"/>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14" cstate="print"/>
                          <a:stretch>
                            <a:fillRect/>
                          </a:stretch>
                        </pic:blipFill>
                        <pic:spPr>
                          <a:xfrm>
                            <a:off x="0" y="0"/>
                            <a:ext cx="3008717" cy="3268979"/>
                          </a:xfrm>
                          <a:prstGeom prst="rect">
                            <a:avLst/>
                          </a:prstGeom>
                        </pic:spPr>
                      </pic:pic>
                    </a:graphicData>
                  </a:graphic>
                </wp:inline>
              </w:drawing>
            </w:r>
          </w:p>
        </w:tc>
      </w:tr>
      <w:tr w:rsidR="008715BE" w:rsidRPr="00EC75B7" w14:paraId="3960FD8D" w14:textId="77777777">
        <w:trPr>
          <w:trHeight w:val="716"/>
        </w:trPr>
        <w:tc>
          <w:tcPr>
            <w:tcW w:w="4914" w:type="dxa"/>
          </w:tcPr>
          <w:p w14:paraId="65E0DF16" w14:textId="77777777" w:rsidR="008715BE" w:rsidRPr="00EC75B7" w:rsidRDefault="00000000">
            <w:pPr>
              <w:pStyle w:val="TableParagraph"/>
              <w:spacing w:before="178"/>
              <w:ind w:left="1873" w:right="212" w:hanging="1462"/>
              <w:rPr>
                <w:rFonts w:ascii="Verdana" w:hAnsi="Verdana"/>
                <w:sz w:val="18"/>
                <w:szCs w:val="18"/>
              </w:rPr>
            </w:pPr>
            <w:r w:rsidRPr="00EC75B7">
              <w:rPr>
                <w:rFonts w:ascii="Verdana" w:hAnsi="Verdana"/>
                <w:sz w:val="18"/>
                <w:szCs w:val="18"/>
              </w:rPr>
              <w:t>Fox (</w:t>
            </w:r>
            <w:r w:rsidRPr="00EC75B7">
              <w:rPr>
                <w:rFonts w:ascii="Verdana" w:hAnsi="Verdana"/>
                <w:i/>
                <w:sz w:val="18"/>
                <w:szCs w:val="18"/>
              </w:rPr>
              <w:t>Vulpes vulpes</w:t>
            </w:r>
            <w:r w:rsidRPr="00EC75B7">
              <w:rPr>
                <w:rFonts w:ascii="Verdana" w:hAnsi="Verdana"/>
                <w:sz w:val="18"/>
                <w:szCs w:val="18"/>
              </w:rPr>
              <w:t xml:space="preserve">) in the Natura site </w:t>
            </w:r>
            <w:r w:rsidRPr="00EC75B7">
              <w:rPr>
                <w:rFonts w:ascii="Verdana" w:hAnsi="Verdana"/>
                <w:spacing w:val="-2"/>
                <w:sz w:val="18"/>
                <w:szCs w:val="18"/>
              </w:rPr>
              <w:t>ROSCI0071</w:t>
            </w:r>
          </w:p>
        </w:tc>
        <w:tc>
          <w:tcPr>
            <w:tcW w:w="4801" w:type="dxa"/>
          </w:tcPr>
          <w:p w14:paraId="7EDB2D2C" w14:textId="77777777" w:rsidR="008715BE" w:rsidRPr="00EC75B7" w:rsidRDefault="00000000">
            <w:pPr>
              <w:pStyle w:val="TableParagraph"/>
              <w:spacing w:before="42" w:line="218" w:lineRule="exact"/>
              <w:ind w:left="69" w:right="173"/>
              <w:jc w:val="center"/>
              <w:rPr>
                <w:rFonts w:ascii="Verdana" w:hAnsi="Verdana"/>
                <w:sz w:val="18"/>
                <w:szCs w:val="18"/>
              </w:rPr>
            </w:pPr>
            <w:r w:rsidRPr="00EC75B7">
              <w:rPr>
                <w:rFonts w:ascii="Verdana" w:hAnsi="Verdana"/>
                <w:sz w:val="18"/>
                <w:szCs w:val="18"/>
              </w:rPr>
              <w:t>Motion sensor-triggered photo-video camera located in the wind farm site area</w:t>
            </w:r>
          </w:p>
        </w:tc>
      </w:tr>
    </w:tbl>
    <w:p w14:paraId="58EBDAC5" w14:textId="77777777" w:rsidR="008715BE" w:rsidRPr="00EC75B7" w:rsidRDefault="008715BE">
      <w:pPr>
        <w:pStyle w:val="TableParagraph"/>
        <w:spacing w:line="218" w:lineRule="exact"/>
        <w:jc w:val="center"/>
        <w:rPr>
          <w:rFonts w:ascii="Verdana" w:hAnsi="Verdana"/>
          <w:sz w:val="18"/>
          <w:szCs w:val="18"/>
        </w:rPr>
        <w:sectPr w:rsidR="008715BE" w:rsidRPr="00EC75B7">
          <w:pgSz w:w="11910" w:h="16840"/>
          <w:pgMar w:top="1160" w:right="141" w:bottom="1020" w:left="425" w:header="766" w:footer="797" w:gutter="0"/>
          <w:cols w:space="708"/>
        </w:sectPr>
      </w:pPr>
    </w:p>
    <w:p w14:paraId="6B349B85" w14:textId="77777777" w:rsidR="008715BE" w:rsidRPr="00EC75B7" w:rsidRDefault="008715BE">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8715BE" w:rsidRPr="00EC75B7" w14:paraId="75C67DDF" w14:textId="77777777">
        <w:trPr>
          <w:trHeight w:val="5102"/>
        </w:trPr>
        <w:tc>
          <w:tcPr>
            <w:tcW w:w="4914" w:type="dxa"/>
          </w:tcPr>
          <w:p w14:paraId="5C3F22FE"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12E23B83" wp14:editId="0C11DD65">
                  <wp:extent cx="3011455" cy="3194684"/>
                  <wp:effectExtent l="0" t="0" r="0" b="0"/>
                  <wp:docPr id="157" name="Image 157"/>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15" cstate="print"/>
                          <a:stretch>
                            <a:fillRect/>
                          </a:stretch>
                        </pic:blipFill>
                        <pic:spPr>
                          <a:xfrm>
                            <a:off x="0" y="0"/>
                            <a:ext cx="3011455" cy="3194684"/>
                          </a:xfrm>
                          <a:prstGeom prst="rect">
                            <a:avLst/>
                          </a:prstGeom>
                        </pic:spPr>
                      </pic:pic>
                    </a:graphicData>
                  </a:graphic>
                </wp:inline>
              </w:drawing>
            </w:r>
          </w:p>
        </w:tc>
        <w:tc>
          <w:tcPr>
            <w:tcW w:w="4801" w:type="dxa"/>
          </w:tcPr>
          <w:p w14:paraId="7D2E56D7"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24672623" wp14:editId="242EDA45">
                  <wp:extent cx="2940568" cy="3194684"/>
                  <wp:effectExtent l="0" t="0" r="0" b="0"/>
                  <wp:docPr id="158" name="Image 158"/>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6" cstate="print"/>
                          <a:stretch>
                            <a:fillRect/>
                          </a:stretch>
                        </pic:blipFill>
                        <pic:spPr>
                          <a:xfrm>
                            <a:off x="0" y="0"/>
                            <a:ext cx="2940568" cy="3194684"/>
                          </a:xfrm>
                          <a:prstGeom prst="rect">
                            <a:avLst/>
                          </a:prstGeom>
                        </pic:spPr>
                      </pic:pic>
                    </a:graphicData>
                  </a:graphic>
                </wp:inline>
              </w:drawing>
            </w:r>
          </w:p>
        </w:tc>
      </w:tr>
      <w:tr w:rsidR="008715BE" w:rsidRPr="00EC75B7" w14:paraId="33B6C77F" w14:textId="77777777">
        <w:trPr>
          <w:trHeight w:val="437"/>
        </w:trPr>
        <w:tc>
          <w:tcPr>
            <w:tcW w:w="4914" w:type="dxa"/>
          </w:tcPr>
          <w:p w14:paraId="5AD7D94F" w14:textId="77777777" w:rsidR="008715BE" w:rsidRPr="00EC75B7" w:rsidRDefault="00000000">
            <w:pPr>
              <w:pStyle w:val="TableParagraph"/>
              <w:spacing w:line="218" w:lineRule="exact"/>
              <w:ind w:left="935" w:right="212" w:hanging="416"/>
              <w:rPr>
                <w:rFonts w:ascii="Verdana" w:hAnsi="Verdana"/>
                <w:sz w:val="18"/>
                <w:szCs w:val="18"/>
              </w:rPr>
            </w:pPr>
            <w:r w:rsidRPr="00EC75B7">
              <w:rPr>
                <w:rFonts w:ascii="Verdana" w:hAnsi="Verdana"/>
                <w:sz w:val="18"/>
                <w:szCs w:val="18"/>
              </w:rPr>
              <w:t>Ground squirrel (</w:t>
            </w:r>
            <w:r w:rsidRPr="00EC75B7">
              <w:rPr>
                <w:rFonts w:ascii="Verdana" w:hAnsi="Verdana"/>
                <w:i/>
                <w:sz w:val="18"/>
                <w:szCs w:val="18"/>
              </w:rPr>
              <w:t>Spermophilus citellus</w:t>
            </w:r>
            <w:r w:rsidRPr="00EC75B7">
              <w:rPr>
                <w:rFonts w:ascii="Verdana" w:hAnsi="Verdana"/>
                <w:sz w:val="18"/>
                <w:szCs w:val="18"/>
              </w:rPr>
              <w:t>) in the area of the wind farm site</w:t>
            </w:r>
          </w:p>
        </w:tc>
        <w:tc>
          <w:tcPr>
            <w:tcW w:w="4801" w:type="dxa"/>
          </w:tcPr>
          <w:p w14:paraId="25B88AEF" w14:textId="77777777" w:rsidR="008715BE" w:rsidRPr="00EC75B7" w:rsidRDefault="00000000">
            <w:pPr>
              <w:pStyle w:val="TableParagraph"/>
              <w:spacing w:line="218" w:lineRule="exact"/>
              <w:ind w:left="640" w:right="114" w:hanging="378"/>
              <w:rPr>
                <w:rFonts w:ascii="Verdana" w:hAnsi="Verdana"/>
                <w:sz w:val="18"/>
                <w:szCs w:val="18"/>
              </w:rPr>
            </w:pPr>
            <w:r w:rsidRPr="00EC75B7">
              <w:rPr>
                <w:rFonts w:ascii="Verdana" w:hAnsi="Verdana"/>
                <w:sz w:val="18"/>
                <w:szCs w:val="18"/>
              </w:rPr>
              <w:t>Mounds of small blind mole (</w:t>
            </w:r>
            <w:r w:rsidRPr="00EC75B7">
              <w:rPr>
                <w:rFonts w:ascii="Verdana" w:hAnsi="Verdana"/>
                <w:i/>
                <w:sz w:val="18"/>
                <w:szCs w:val="18"/>
              </w:rPr>
              <w:t>Spalax leucodon</w:t>
            </w:r>
            <w:r w:rsidRPr="00EC75B7">
              <w:rPr>
                <w:rFonts w:ascii="Verdana" w:hAnsi="Verdana"/>
                <w:sz w:val="18"/>
                <w:szCs w:val="18"/>
              </w:rPr>
              <w:t>) in the area of the wind farm site</w:t>
            </w:r>
          </w:p>
        </w:tc>
      </w:tr>
      <w:tr w:rsidR="008715BE" w:rsidRPr="00EC75B7" w14:paraId="6D306CED" w14:textId="77777777">
        <w:trPr>
          <w:trHeight w:val="5102"/>
        </w:trPr>
        <w:tc>
          <w:tcPr>
            <w:tcW w:w="4914" w:type="dxa"/>
          </w:tcPr>
          <w:p w14:paraId="0610105B"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34783C78" wp14:editId="03B4924D">
                  <wp:extent cx="3011335" cy="3194685"/>
                  <wp:effectExtent l="0" t="0" r="0" b="0"/>
                  <wp:docPr id="159" name="Image 159"/>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17" cstate="print"/>
                          <a:stretch>
                            <a:fillRect/>
                          </a:stretch>
                        </pic:blipFill>
                        <pic:spPr>
                          <a:xfrm>
                            <a:off x="0" y="0"/>
                            <a:ext cx="3011335" cy="3194685"/>
                          </a:xfrm>
                          <a:prstGeom prst="rect">
                            <a:avLst/>
                          </a:prstGeom>
                        </pic:spPr>
                      </pic:pic>
                    </a:graphicData>
                  </a:graphic>
                </wp:inline>
              </w:drawing>
            </w:r>
          </w:p>
        </w:tc>
        <w:tc>
          <w:tcPr>
            <w:tcW w:w="4801" w:type="dxa"/>
          </w:tcPr>
          <w:p w14:paraId="315035E5"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415D4B1F" wp14:editId="3317B21D">
                  <wp:extent cx="2940450" cy="3194685"/>
                  <wp:effectExtent l="0" t="0" r="0" b="0"/>
                  <wp:docPr id="160" name="Image 160"/>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8" cstate="print"/>
                          <a:stretch>
                            <a:fillRect/>
                          </a:stretch>
                        </pic:blipFill>
                        <pic:spPr>
                          <a:xfrm>
                            <a:off x="0" y="0"/>
                            <a:ext cx="2940450" cy="3194685"/>
                          </a:xfrm>
                          <a:prstGeom prst="rect">
                            <a:avLst/>
                          </a:prstGeom>
                        </pic:spPr>
                      </pic:pic>
                    </a:graphicData>
                  </a:graphic>
                </wp:inline>
              </w:drawing>
            </w:r>
          </w:p>
        </w:tc>
      </w:tr>
      <w:tr w:rsidR="008715BE" w:rsidRPr="00EC75B7" w14:paraId="5EB71A01" w14:textId="77777777">
        <w:trPr>
          <w:trHeight w:val="655"/>
        </w:trPr>
        <w:tc>
          <w:tcPr>
            <w:tcW w:w="4914" w:type="dxa"/>
          </w:tcPr>
          <w:p w14:paraId="75CFBF06" w14:textId="77777777" w:rsidR="008715BE" w:rsidRPr="00EC75B7" w:rsidRDefault="00000000">
            <w:pPr>
              <w:pStyle w:val="TableParagraph"/>
              <w:spacing w:before="118"/>
              <w:ind w:left="935" w:right="212" w:hanging="363"/>
              <w:rPr>
                <w:rFonts w:ascii="Verdana" w:hAnsi="Verdana"/>
                <w:sz w:val="18"/>
                <w:szCs w:val="18"/>
              </w:rPr>
            </w:pPr>
            <w:r w:rsidRPr="00EC75B7">
              <w:rPr>
                <w:rFonts w:ascii="Verdana" w:hAnsi="Verdana"/>
                <w:sz w:val="18"/>
                <w:szCs w:val="18"/>
              </w:rPr>
              <w:t>Badger (</w:t>
            </w:r>
            <w:r w:rsidRPr="00EC75B7">
              <w:rPr>
                <w:rFonts w:ascii="Verdana" w:hAnsi="Verdana"/>
                <w:i/>
                <w:sz w:val="18"/>
                <w:szCs w:val="18"/>
              </w:rPr>
              <w:t>Meles meles</w:t>
            </w:r>
            <w:r w:rsidRPr="00EC75B7">
              <w:rPr>
                <w:rFonts w:ascii="Verdana" w:hAnsi="Verdana"/>
                <w:sz w:val="18"/>
                <w:szCs w:val="18"/>
              </w:rPr>
              <w:t>) burrow in the area of the wind farm site</w:t>
            </w:r>
          </w:p>
        </w:tc>
        <w:tc>
          <w:tcPr>
            <w:tcW w:w="4801" w:type="dxa"/>
          </w:tcPr>
          <w:p w14:paraId="3DE03DFE" w14:textId="77777777" w:rsidR="008715BE" w:rsidRPr="00EC75B7" w:rsidRDefault="00000000">
            <w:pPr>
              <w:pStyle w:val="TableParagraph"/>
              <w:spacing w:line="218" w:lineRule="exact"/>
              <w:ind w:left="118" w:right="225" w:firstLine="2"/>
              <w:jc w:val="center"/>
              <w:rPr>
                <w:rFonts w:ascii="Verdana" w:hAnsi="Verdana"/>
                <w:sz w:val="18"/>
                <w:szCs w:val="18"/>
              </w:rPr>
            </w:pPr>
            <w:r w:rsidRPr="00EC75B7">
              <w:rPr>
                <w:rFonts w:ascii="Verdana" w:hAnsi="Verdana"/>
                <w:sz w:val="18"/>
                <w:szCs w:val="18"/>
              </w:rPr>
              <w:t>Steppe polecat (</w:t>
            </w:r>
            <w:r w:rsidRPr="00EC75B7">
              <w:rPr>
                <w:rFonts w:ascii="Verdana" w:hAnsi="Verdana"/>
                <w:i/>
                <w:sz w:val="18"/>
                <w:szCs w:val="18"/>
              </w:rPr>
              <w:t>Mustela eversmanii</w:t>
            </w:r>
            <w:r w:rsidRPr="00EC75B7">
              <w:rPr>
                <w:rFonts w:ascii="Verdana" w:hAnsi="Verdana"/>
                <w:sz w:val="18"/>
                <w:szCs w:val="18"/>
              </w:rPr>
              <w:t xml:space="preserve">) roadkill in the </w:t>
            </w:r>
            <w:r w:rsidRPr="00EC75B7">
              <w:rPr>
                <w:rFonts w:ascii="Verdana" w:hAnsi="Verdana"/>
                <w:spacing w:val="-2"/>
                <w:sz w:val="18"/>
                <w:szCs w:val="18"/>
              </w:rPr>
              <w:t>wind</w:t>
            </w:r>
            <w:r w:rsidRPr="00EC75B7">
              <w:rPr>
                <w:rFonts w:ascii="Verdana" w:hAnsi="Verdana"/>
                <w:sz w:val="18"/>
                <w:szCs w:val="18"/>
              </w:rPr>
              <w:t xml:space="preserve"> farm site area</w:t>
            </w:r>
          </w:p>
        </w:tc>
      </w:tr>
    </w:tbl>
    <w:p w14:paraId="316D854F" w14:textId="77777777" w:rsidR="008715BE" w:rsidRPr="00EC75B7" w:rsidRDefault="008715BE">
      <w:pPr>
        <w:pStyle w:val="TableParagraph"/>
        <w:spacing w:line="218" w:lineRule="exact"/>
        <w:jc w:val="center"/>
        <w:rPr>
          <w:rFonts w:ascii="Verdana" w:hAnsi="Verdana"/>
          <w:sz w:val="18"/>
          <w:szCs w:val="18"/>
        </w:rPr>
        <w:sectPr w:rsidR="008715BE" w:rsidRPr="00EC75B7">
          <w:pgSz w:w="11910" w:h="16840"/>
          <w:pgMar w:top="1160" w:right="141" w:bottom="1020" w:left="425" w:header="766" w:footer="797" w:gutter="0"/>
          <w:cols w:space="708"/>
        </w:sectPr>
      </w:pPr>
    </w:p>
    <w:p w14:paraId="51A00595" w14:textId="77777777" w:rsidR="008715BE" w:rsidRPr="00EC75B7" w:rsidRDefault="008715BE">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8715BE" w:rsidRPr="00EC75B7" w14:paraId="5E57FE3F" w14:textId="77777777">
        <w:trPr>
          <w:trHeight w:val="5101"/>
        </w:trPr>
        <w:tc>
          <w:tcPr>
            <w:tcW w:w="4914" w:type="dxa"/>
          </w:tcPr>
          <w:p w14:paraId="030315D3"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F18D1D0" wp14:editId="6635D2C8">
                  <wp:extent cx="3007712" cy="3190589"/>
                  <wp:effectExtent l="0" t="0" r="0" b="0"/>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9" cstate="print"/>
                          <a:stretch>
                            <a:fillRect/>
                          </a:stretch>
                        </pic:blipFill>
                        <pic:spPr>
                          <a:xfrm>
                            <a:off x="0" y="0"/>
                            <a:ext cx="3007712" cy="3190589"/>
                          </a:xfrm>
                          <a:prstGeom prst="rect">
                            <a:avLst/>
                          </a:prstGeom>
                        </pic:spPr>
                      </pic:pic>
                    </a:graphicData>
                  </a:graphic>
                </wp:inline>
              </w:drawing>
            </w:r>
          </w:p>
        </w:tc>
        <w:tc>
          <w:tcPr>
            <w:tcW w:w="4801" w:type="dxa"/>
          </w:tcPr>
          <w:p w14:paraId="2868FA53"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39E421AB" wp14:editId="7FEC5CE2">
                  <wp:extent cx="2940568" cy="3194684"/>
                  <wp:effectExtent l="0" t="0" r="0" b="0"/>
                  <wp:docPr id="162" name="Image 162"/>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20" cstate="print"/>
                          <a:stretch>
                            <a:fillRect/>
                          </a:stretch>
                        </pic:blipFill>
                        <pic:spPr>
                          <a:xfrm>
                            <a:off x="0" y="0"/>
                            <a:ext cx="2940568" cy="3194684"/>
                          </a:xfrm>
                          <a:prstGeom prst="rect">
                            <a:avLst/>
                          </a:prstGeom>
                        </pic:spPr>
                      </pic:pic>
                    </a:graphicData>
                  </a:graphic>
                </wp:inline>
              </w:drawing>
            </w:r>
          </w:p>
        </w:tc>
      </w:tr>
      <w:tr w:rsidR="008715BE" w:rsidRPr="00EC75B7" w14:paraId="1F36D393" w14:textId="77777777">
        <w:trPr>
          <w:trHeight w:val="437"/>
        </w:trPr>
        <w:tc>
          <w:tcPr>
            <w:tcW w:w="4914" w:type="dxa"/>
          </w:tcPr>
          <w:p w14:paraId="70C19B4A" w14:textId="77777777" w:rsidR="008715BE" w:rsidRPr="00EC75B7" w:rsidRDefault="00000000">
            <w:pPr>
              <w:pStyle w:val="TableParagraph"/>
              <w:spacing w:line="218" w:lineRule="exact"/>
              <w:ind w:left="1014" w:right="212" w:hanging="915"/>
              <w:rPr>
                <w:rFonts w:ascii="Verdana" w:hAnsi="Verdana"/>
                <w:sz w:val="18"/>
                <w:szCs w:val="18"/>
              </w:rPr>
            </w:pPr>
            <w:r w:rsidRPr="00EC75B7">
              <w:rPr>
                <w:rFonts w:ascii="Verdana" w:hAnsi="Verdana"/>
                <w:sz w:val="18"/>
                <w:szCs w:val="18"/>
              </w:rPr>
              <w:t>Badger (</w:t>
            </w:r>
            <w:r w:rsidRPr="00EC75B7">
              <w:rPr>
                <w:rFonts w:ascii="Verdana" w:hAnsi="Verdana"/>
                <w:i/>
                <w:sz w:val="18"/>
                <w:szCs w:val="18"/>
              </w:rPr>
              <w:t>Meles meles</w:t>
            </w:r>
            <w:r w:rsidRPr="00EC75B7">
              <w:rPr>
                <w:rFonts w:ascii="Verdana" w:hAnsi="Verdana"/>
                <w:sz w:val="18"/>
                <w:szCs w:val="18"/>
              </w:rPr>
              <w:t>) in ROSCI0071 Dumbrăveni - Valea Urluia - Lacul Vederoasa</w:t>
            </w:r>
          </w:p>
        </w:tc>
        <w:tc>
          <w:tcPr>
            <w:tcW w:w="4801" w:type="dxa"/>
          </w:tcPr>
          <w:p w14:paraId="4E6F4F02" w14:textId="77777777" w:rsidR="008715BE" w:rsidRPr="00EC75B7" w:rsidRDefault="00000000">
            <w:pPr>
              <w:pStyle w:val="TableParagraph"/>
              <w:spacing w:line="218" w:lineRule="exact"/>
              <w:ind w:left="1688" w:hanging="1496"/>
              <w:rPr>
                <w:rFonts w:ascii="Verdana" w:hAnsi="Verdana"/>
                <w:sz w:val="18"/>
                <w:szCs w:val="18"/>
              </w:rPr>
            </w:pPr>
            <w:r w:rsidRPr="00EC75B7">
              <w:rPr>
                <w:rFonts w:ascii="Verdana" w:hAnsi="Verdana"/>
                <w:sz w:val="18"/>
                <w:szCs w:val="18"/>
              </w:rPr>
              <w:t>Fox (</w:t>
            </w:r>
            <w:r w:rsidRPr="00EC75B7">
              <w:rPr>
                <w:rFonts w:ascii="Verdana" w:hAnsi="Verdana"/>
                <w:i/>
                <w:sz w:val="18"/>
                <w:szCs w:val="18"/>
              </w:rPr>
              <w:t>Vulpes vulpes</w:t>
            </w:r>
            <w:r w:rsidRPr="00EC75B7">
              <w:rPr>
                <w:rFonts w:ascii="Verdana" w:hAnsi="Verdana"/>
                <w:sz w:val="18"/>
                <w:szCs w:val="18"/>
              </w:rPr>
              <w:t>) in the area of the wind farm site</w:t>
            </w:r>
          </w:p>
        </w:tc>
      </w:tr>
      <w:tr w:rsidR="008715BE" w:rsidRPr="00EC75B7" w14:paraId="62E2B336" w14:textId="77777777">
        <w:trPr>
          <w:trHeight w:val="5102"/>
        </w:trPr>
        <w:tc>
          <w:tcPr>
            <w:tcW w:w="4914" w:type="dxa"/>
          </w:tcPr>
          <w:p w14:paraId="155F6BB2"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9B43A0C" wp14:editId="0223A03A">
                  <wp:extent cx="3043963" cy="3211068"/>
                  <wp:effectExtent l="0" t="0" r="0" b="0"/>
                  <wp:docPr id="163" name="Image 163"/>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21" cstate="print"/>
                          <a:stretch>
                            <a:fillRect/>
                          </a:stretch>
                        </pic:blipFill>
                        <pic:spPr>
                          <a:xfrm>
                            <a:off x="0" y="0"/>
                            <a:ext cx="3043963" cy="3211068"/>
                          </a:xfrm>
                          <a:prstGeom prst="rect">
                            <a:avLst/>
                          </a:prstGeom>
                        </pic:spPr>
                      </pic:pic>
                    </a:graphicData>
                  </a:graphic>
                </wp:inline>
              </w:drawing>
            </w:r>
          </w:p>
        </w:tc>
        <w:tc>
          <w:tcPr>
            <w:tcW w:w="4801" w:type="dxa"/>
          </w:tcPr>
          <w:p w14:paraId="08B35579"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2BC67796" wp14:editId="77E676E7">
                  <wp:extent cx="2940450" cy="3194685"/>
                  <wp:effectExtent l="0" t="0" r="0" b="0"/>
                  <wp:docPr id="164" name="Image 164"/>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2" cstate="print"/>
                          <a:stretch>
                            <a:fillRect/>
                          </a:stretch>
                        </pic:blipFill>
                        <pic:spPr>
                          <a:xfrm>
                            <a:off x="0" y="0"/>
                            <a:ext cx="2940450" cy="3194685"/>
                          </a:xfrm>
                          <a:prstGeom prst="rect">
                            <a:avLst/>
                          </a:prstGeom>
                        </pic:spPr>
                      </pic:pic>
                    </a:graphicData>
                  </a:graphic>
                </wp:inline>
              </w:drawing>
            </w:r>
          </w:p>
        </w:tc>
      </w:tr>
      <w:tr w:rsidR="008715BE" w:rsidRPr="00EC75B7" w14:paraId="66CD0B0C" w14:textId="77777777">
        <w:trPr>
          <w:trHeight w:val="437"/>
        </w:trPr>
        <w:tc>
          <w:tcPr>
            <w:tcW w:w="4914" w:type="dxa"/>
          </w:tcPr>
          <w:p w14:paraId="2E01F78F" w14:textId="77777777" w:rsidR="008715BE" w:rsidRPr="00EC75B7" w:rsidRDefault="00000000">
            <w:pPr>
              <w:pStyle w:val="TableParagraph"/>
              <w:spacing w:line="218" w:lineRule="exact"/>
              <w:ind w:left="935" w:right="212" w:hanging="195"/>
              <w:rPr>
                <w:rFonts w:ascii="Verdana" w:hAnsi="Verdana"/>
                <w:sz w:val="18"/>
                <w:szCs w:val="18"/>
              </w:rPr>
            </w:pPr>
            <w:r w:rsidRPr="00EC75B7">
              <w:rPr>
                <w:rFonts w:ascii="Verdana" w:hAnsi="Verdana"/>
                <w:sz w:val="18"/>
                <w:szCs w:val="18"/>
              </w:rPr>
              <w:t>Hedgehog (</w:t>
            </w:r>
            <w:r w:rsidRPr="00EC75B7">
              <w:rPr>
                <w:rFonts w:ascii="Verdana" w:hAnsi="Verdana"/>
                <w:i/>
                <w:sz w:val="18"/>
                <w:szCs w:val="18"/>
              </w:rPr>
              <w:t>Erinaceus roumanicus</w:t>
            </w:r>
            <w:r w:rsidRPr="00EC75B7">
              <w:rPr>
                <w:rFonts w:ascii="Verdana" w:hAnsi="Verdana"/>
                <w:sz w:val="18"/>
                <w:szCs w:val="18"/>
              </w:rPr>
              <w:t>) in the area of the wind farm site</w:t>
            </w:r>
          </w:p>
        </w:tc>
        <w:tc>
          <w:tcPr>
            <w:tcW w:w="4801" w:type="dxa"/>
          </w:tcPr>
          <w:p w14:paraId="1C82F3BB" w14:textId="77777777" w:rsidR="008715BE" w:rsidRPr="00EC75B7" w:rsidRDefault="00000000">
            <w:pPr>
              <w:pStyle w:val="TableParagraph"/>
              <w:spacing w:line="218" w:lineRule="exact"/>
              <w:ind w:left="882" w:hanging="488"/>
              <w:rPr>
                <w:rFonts w:ascii="Verdana" w:hAnsi="Verdana"/>
                <w:sz w:val="18"/>
                <w:szCs w:val="18"/>
              </w:rPr>
            </w:pPr>
            <w:r w:rsidRPr="00EC75B7">
              <w:rPr>
                <w:rFonts w:ascii="Verdana" w:hAnsi="Verdana"/>
                <w:sz w:val="18"/>
                <w:szCs w:val="18"/>
              </w:rPr>
              <w:t>Hare (</w:t>
            </w:r>
            <w:r w:rsidRPr="00EC75B7">
              <w:rPr>
                <w:rFonts w:ascii="Verdana" w:hAnsi="Verdana"/>
                <w:i/>
                <w:sz w:val="18"/>
                <w:szCs w:val="18"/>
              </w:rPr>
              <w:t>Lepus europaeus</w:t>
            </w:r>
            <w:r w:rsidRPr="00EC75B7">
              <w:rPr>
                <w:rFonts w:ascii="Verdana" w:hAnsi="Verdana"/>
                <w:sz w:val="18"/>
                <w:szCs w:val="18"/>
              </w:rPr>
              <w:t>) in the area of the wind farm site</w:t>
            </w:r>
          </w:p>
        </w:tc>
      </w:tr>
    </w:tbl>
    <w:p w14:paraId="632DBB73" w14:textId="77777777" w:rsidR="008715BE" w:rsidRPr="00EC75B7" w:rsidRDefault="008715BE">
      <w:pPr>
        <w:pStyle w:val="BodyText"/>
        <w:rPr>
          <w:rFonts w:ascii="Verdana" w:hAnsi="Verdana"/>
        </w:rPr>
      </w:pPr>
    </w:p>
    <w:p w14:paraId="6C7D20C9" w14:textId="77777777" w:rsidR="008715BE" w:rsidRPr="00EC75B7" w:rsidRDefault="008715BE">
      <w:pPr>
        <w:pStyle w:val="BodyText"/>
        <w:spacing w:before="70"/>
        <w:rPr>
          <w:rFonts w:ascii="Verdana" w:hAnsi="Verdana"/>
        </w:rPr>
      </w:pPr>
    </w:p>
    <w:p w14:paraId="175FC272" w14:textId="77777777" w:rsidR="008715BE" w:rsidRPr="00EC75B7" w:rsidRDefault="00000000">
      <w:pPr>
        <w:ind w:right="58"/>
        <w:jc w:val="center"/>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29 </w:t>
      </w:r>
      <w:r w:rsidRPr="00EC75B7">
        <w:rPr>
          <w:rFonts w:ascii="Verdana" w:hAnsi="Verdana"/>
          <w:b/>
          <w:color w:val="009DEF"/>
          <w:sz w:val="18"/>
          <w:szCs w:val="18"/>
        </w:rPr>
        <w:t xml:space="preserve">Distribution of locations where </w:t>
      </w:r>
      <w:r w:rsidRPr="00EC75B7">
        <w:rPr>
          <w:rFonts w:ascii="Verdana" w:hAnsi="Verdana"/>
          <w:b/>
          <w:color w:val="009DEF"/>
          <w:spacing w:val="-2"/>
          <w:sz w:val="18"/>
          <w:szCs w:val="18"/>
        </w:rPr>
        <w:t xml:space="preserve">mammal </w:t>
      </w:r>
      <w:r w:rsidRPr="00EC75B7">
        <w:rPr>
          <w:rFonts w:ascii="Verdana" w:hAnsi="Verdana"/>
          <w:b/>
          <w:color w:val="009DEF"/>
          <w:sz w:val="18"/>
          <w:szCs w:val="18"/>
        </w:rPr>
        <w:t>species are present</w:t>
      </w:r>
    </w:p>
    <w:p w14:paraId="4FB359F8" w14:textId="77777777" w:rsidR="008715BE" w:rsidRPr="00EC75B7" w:rsidRDefault="008715BE">
      <w:pPr>
        <w:pStyle w:val="BodyText"/>
        <w:rPr>
          <w:rFonts w:ascii="Verdana" w:hAnsi="Verdana"/>
          <w:b/>
        </w:rPr>
      </w:pPr>
    </w:p>
    <w:p w14:paraId="2E8F4EAB" w14:textId="77777777" w:rsidR="008715BE" w:rsidRPr="00EC75B7" w:rsidRDefault="008715BE">
      <w:pPr>
        <w:pStyle w:val="BodyText"/>
        <w:rPr>
          <w:rFonts w:ascii="Verdana" w:hAnsi="Verdana"/>
          <w:b/>
        </w:rPr>
      </w:pPr>
    </w:p>
    <w:p w14:paraId="4AC9CC37" w14:textId="77777777" w:rsidR="008715BE" w:rsidRPr="00EC75B7" w:rsidRDefault="008715BE">
      <w:pPr>
        <w:pStyle w:val="BodyText"/>
        <w:spacing w:before="78"/>
        <w:rPr>
          <w:rFonts w:ascii="Verdana" w:hAnsi="Verdana"/>
          <w:b/>
        </w:rPr>
      </w:pPr>
    </w:p>
    <w:p w14:paraId="3AAC2882" w14:textId="77777777" w:rsidR="008715BE" w:rsidRPr="00EC75B7" w:rsidRDefault="00000000">
      <w:pPr>
        <w:pStyle w:val="Heading5"/>
        <w:numPr>
          <w:ilvl w:val="0"/>
          <w:numId w:val="92"/>
        </w:numPr>
        <w:tabs>
          <w:tab w:val="left" w:pos="1513"/>
        </w:tabs>
        <w:ind w:left="1513" w:hanging="359"/>
        <w:jc w:val="left"/>
        <w:rPr>
          <w:rFonts w:ascii="Verdana" w:hAnsi="Verdana"/>
        </w:rPr>
      </w:pPr>
      <w:r w:rsidRPr="00EC75B7">
        <w:rPr>
          <w:rFonts w:ascii="Verdana" w:hAnsi="Verdana"/>
        </w:rPr>
        <w:t xml:space="preserve">Amphibians and </w:t>
      </w:r>
      <w:r w:rsidRPr="00EC75B7">
        <w:rPr>
          <w:rFonts w:ascii="Verdana" w:hAnsi="Verdana"/>
          <w:spacing w:val="-2"/>
        </w:rPr>
        <w:t>reptiles</w:t>
      </w:r>
    </w:p>
    <w:p w14:paraId="799AC47C" w14:textId="77777777" w:rsidR="008715BE" w:rsidRPr="00EC75B7" w:rsidRDefault="008715BE">
      <w:pPr>
        <w:pStyle w:val="BodyText"/>
        <w:spacing w:before="9"/>
        <w:rPr>
          <w:rFonts w:ascii="Verdana" w:hAnsi="Verdana"/>
          <w:b/>
        </w:rPr>
      </w:pPr>
    </w:p>
    <w:p w14:paraId="4170D144" w14:textId="77777777" w:rsidR="008715BE" w:rsidRPr="00EC75B7" w:rsidRDefault="00000000">
      <w:pPr>
        <w:pStyle w:val="BodyText"/>
        <w:spacing w:line="357" w:lineRule="auto"/>
        <w:ind w:left="794" w:right="847"/>
        <w:jc w:val="both"/>
        <w:rPr>
          <w:rFonts w:ascii="Verdana" w:hAnsi="Verdana"/>
        </w:rPr>
      </w:pPr>
      <w:r w:rsidRPr="00EC75B7">
        <w:rPr>
          <w:rFonts w:ascii="Verdana" w:hAnsi="Verdana"/>
        </w:rPr>
        <w:t>During the monitoring period, transects were carried out on the surface of the future Cerchezu wind farm and all signs of presence (visual observation of individuals, regardless of their stage of development: egg, larva or adult, or their condition: alive, dead) of amphibian and reptile species were noted. This</w:t>
      </w:r>
    </w:p>
    <w:p w14:paraId="2019003C"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7A2AD22A" w14:textId="77777777" w:rsidR="008715BE" w:rsidRPr="00EC75B7" w:rsidRDefault="008715BE">
      <w:pPr>
        <w:pStyle w:val="BodyText"/>
        <w:spacing w:before="46"/>
        <w:rPr>
          <w:rFonts w:ascii="Verdana" w:hAnsi="Verdana"/>
        </w:rPr>
      </w:pPr>
    </w:p>
    <w:p w14:paraId="57CD8354" w14:textId="77777777" w:rsidR="008715BE" w:rsidRPr="00EC75B7" w:rsidRDefault="00000000">
      <w:pPr>
        <w:pStyle w:val="BodyText"/>
        <w:spacing w:before="1"/>
        <w:ind w:left="794"/>
        <w:jc w:val="both"/>
        <w:rPr>
          <w:rFonts w:ascii="Verdana" w:hAnsi="Verdana"/>
        </w:rPr>
      </w:pPr>
      <w:r w:rsidRPr="00EC75B7">
        <w:rPr>
          <w:rFonts w:ascii="Verdana" w:hAnsi="Verdana"/>
        </w:rPr>
        <w:t xml:space="preserve">method was also applied in the southern sector of the Natura2000 site ROSCI0071 Dumbrăveni - Valea Urluia </w:t>
      </w:r>
      <w:r w:rsidRPr="00EC75B7">
        <w:rPr>
          <w:rFonts w:ascii="Verdana" w:hAnsi="Verdana"/>
          <w:spacing w:val="-10"/>
        </w:rPr>
        <w:t>-</w:t>
      </w:r>
    </w:p>
    <w:p w14:paraId="023400EA" w14:textId="77777777" w:rsidR="008715BE" w:rsidRPr="00EC75B7" w:rsidRDefault="00000000">
      <w:pPr>
        <w:pStyle w:val="BodyText"/>
        <w:spacing w:before="109"/>
        <w:ind w:left="794"/>
        <w:jc w:val="both"/>
        <w:rPr>
          <w:rFonts w:ascii="Verdana" w:hAnsi="Verdana"/>
        </w:rPr>
      </w:pPr>
      <w:r w:rsidRPr="00EC75B7">
        <w:rPr>
          <w:rFonts w:ascii="Verdana" w:hAnsi="Verdana"/>
        </w:rPr>
        <w:t xml:space="preserve">Lacul Vederoasa, which borders the </w:t>
      </w:r>
      <w:r w:rsidRPr="00EC75B7">
        <w:rPr>
          <w:rFonts w:ascii="Verdana" w:hAnsi="Verdana"/>
          <w:spacing w:val="-2"/>
        </w:rPr>
        <w:t xml:space="preserve">project </w:t>
      </w:r>
      <w:r w:rsidRPr="00EC75B7">
        <w:rPr>
          <w:rFonts w:ascii="Verdana" w:hAnsi="Verdana"/>
        </w:rPr>
        <w:t>area</w:t>
      </w:r>
      <w:r w:rsidRPr="00EC75B7">
        <w:rPr>
          <w:rFonts w:ascii="Verdana" w:hAnsi="Verdana"/>
          <w:spacing w:val="-2"/>
        </w:rPr>
        <w:t>.</w:t>
      </w:r>
    </w:p>
    <w:p w14:paraId="2013CADB" w14:textId="77777777" w:rsidR="008715BE" w:rsidRPr="00EC75B7" w:rsidRDefault="008715BE">
      <w:pPr>
        <w:pStyle w:val="BodyText"/>
        <w:spacing w:before="57"/>
        <w:rPr>
          <w:rFonts w:ascii="Verdana" w:hAnsi="Verdana"/>
        </w:rPr>
      </w:pPr>
    </w:p>
    <w:p w14:paraId="3259EFBB" w14:textId="77777777" w:rsidR="008715BE" w:rsidRPr="00EC75B7" w:rsidRDefault="00000000">
      <w:pPr>
        <w:ind w:left="765"/>
        <w:jc w:val="both"/>
        <w:rPr>
          <w:rFonts w:ascii="Verdana" w:hAnsi="Verdana"/>
          <w:b/>
          <w:sz w:val="18"/>
          <w:szCs w:val="18"/>
        </w:rPr>
      </w:pPr>
      <w:r w:rsidRPr="00EC75B7">
        <w:rPr>
          <w:rFonts w:ascii="Verdana" w:hAnsi="Verdana"/>
          <w:b/>
          <w:color w:val="00AFEF"/>
          <w:sz w:val="18"/>
          <w:szCs w:val="18"/>
        </w:rPr>
        <w:t xml:space="preserve">Table 12 </w:t>
      </w:r>
      <w:r w:rsidRPr="00EC75B7">
        <w:rPr>
          <w:rFonts w:ascii="Verdana" w:hAnsi="Verdana"/>
          <w:b/>
          <w:color w:val="00AFEF"/>
          <w:spacing w:val="-2"/>
          <w:sz w:val="18"/>
          <w:szCs w:val="18"/>
        </w:rPr>
        <w:t xml:space="preserve">Identified </w:t>
      </w:r>
      <w:r w:rsidRPr="00EC75B7">
        <w:rPr>
          <w:rFonts w:ascii="Verdana" w:hAnsi="Verdana"/>
          <w:b/>
          <w:color w:val="00AFEF"/>
          <w:sz w:val="18"/>
          <w:szCs w:val="18"/>
        </w:rPr>
        <w:t>mammal species</w:t>
      </w:r>
    </w:p>
    <w:tbl>
      <w:tblPr>
        <w:tblStyle w:val="TableNormal1"/>
        <w:tblW w:w="0" w:type="auto"/>
        <w:tblInd w:w="29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565"/>
        <w:gridCol w:w="1827"/>
        <w:gridCol w:w="1207"/>
        <w:gridCol w:w="871"/>
        <w:gridCol w:w="1207"/>
        <w:gridCol w:w="1180"/>
        <w:gridCol w:w="1236"/>
        <w:gridCol w:w="1576"/>
      </w:tblGrid>
      <w:tr w:rsidR="008715BE" w:rsidRPr="00EC75B7" w14:paraId="71A40522" w14:textId="77777777">
        <w:trPr>
          <w:trHeight w:val="582"/>
        </w:trPr>
        <w:tc>
          <w:tcPr>
            <w:tcW w:w="1565" w:type="dxa"/>
            <w:shd w:val="clear" w:color="auto" w:fill="00A1E8"/>
          </w:tcPr>
          <w:p w14:paraId="3F4E9DF1" w14:textId="77777777" w:rsidR="008715BE" w:rsidRPr="00EC75B7" w:rsidRDefault="00000000">
            <w:pPr>
              <w:pStyle w:val="TableParagraph"/>
              <w:spacing w:before="194"/>
              <w:ind w:left="12" w:right="4"/>
              <w:jc w:val="center"/>
              <w:rPr>
                <w:rFonts w:ascii="Verdana" w:hAnsi="Verdana"/>
                <w:b/>
                <w:sz w:val="18"/>
                <w:szCs w:val="18"/>
              </w:rPr>
            </w:pPr>
            <w:r w:rsidRPr="00EC75B7">
              <w:rPr>
                <w:rFonts w:ascii="Verdana" w:hAnsi="Verdana"/>
                <w:b/>
                <w:color w:val="FFFFFF"/>
                <w:spacing w:val="-2"/>
                <w:sz w:val="18"/>
                <w:szCs w:val="18"/>
              </w:rPr>
              <w:t>Species</w:t>
            </w:r>
          </w:p>
        </w:tc>
        <w:tc>
          <w:tcPr>
            <w:tcW w:w="1827" w:type="dxa"/>
            <w:shd w:val="clear" w:color="auto" w:fill="00A1E8"/>
          </w:tcPr>
          <w:p w14:paraId="460E0B8E" w14:textId="77777777" w:rsidR="008715BE" w:rsidRPr="00EC75B7" w:rsidRDefault="00000000">
            <w:pPr>
              <w:pStyle w:val="TableParagraph"/>
              <w:spacing w:before="194"/>
              <w:ind w:left="12"/>
              <w:jc w:val="center"/>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4"/>
                <w:sz w:val="18"/>
                <w:szCs w:val="18"/>
              </w:rPr>
              <w:t>(ro)</w:t>
            </w:r>
          </w:p>
        </w:tc>
        <w:tc>
          <w:tcPr>
            <w:tcW w:w="1207" w:type="dxa"/>
            <w:shd w:val="clear" w:color="auto" w:fill="00A1E8"/>
          </w:tcPr>
          <w:p w14:paraId="23DE1ABC" w14:textId="77777777" w:rsidR="008715BE" w:rsidRPr="00EC75B7" w:rsidRDefault="00000000">
            <w:pPr>
              <w:pStyle w:val="TableParagraph"/>
              <w:spacing w:before="98" w:line="195" w:lineRule="exact"/>
              <w:ind w:left="14" w:right="7"/>
              <w:jc w:val="center"/>
              <w:rPr>
                <w:rFonts w:ascii="Verdana" w:hAnsi="Verdana"/>
                <w:b/>
                <w:sz w:val="18"/>
                <w:szCs w:val="18"/>
              </w:rPr>
            </w:pPr>
            <w:r w:rsidRPr="00EC75B7">
              <w:rPr>
                <w:rFonts w:ascii="Verdana" w:hAnsi="Verdana"/>
                <w:b/>
                <w:color w:val="FFFFFF"/>
                <w:sz w:val="18"/>
                <w:szCs w:val="18"/>
              </w:rPr>
              <w:t xml:space="preserve">No. </w:t>
            </w:r>
            <w:r w:rsidRPr="00EC75B7">
              <w:rPr>
                <w:rFonts w:ascii="Verdana" w:hAnsi="Verdana"/>
                <w:b/>
                <w:color w:val="FFFFFF"/>
                <w:spacing w:val="-4"/>
                <w:sz w:val="18"/>
                <w:szCs w:val="18"/>
              </w:rPr>
              <w:t>ind.</w:t>
            </w:r>
          </w:p>
          <w:p w14:paraId="1AB4511A" w14:textId="77777777" w:rsidR="008715BE" w:rsidRPr="00EC75B7" w:rsidRDefault="00000000">
            <w:pPr>
              <w:pStyle w:val="TableParagraph"/>
              <w:spacing w:line="195" w:lineRule="exact"/>
              <w:ind w:left="14" w:right="3"/>
              <w:jc w:val="center"/>
              <w:rPr>
                <w:rFonts w:ascii="Verdana" w:hAnsi="Verdana"/>
                <w:b/>
                <w:sz w:val="18"/>
                <w:szCs w:val="18"/>
              </w:rPr>
            </w:pPr>
            <w:r w:rsidRPr="00EC75B7">
              <w:rPr>
                <w:rFonts w:ascii="Verdana" w:hAnsi="Verdana"/>
                <w:b/>
                <w:color w:val="FFFFFF"/>
                <w:spacing w:val="-2"/>
                <w:sz w:val="18"/>
                <w:szCs w:val="18"/>
              </w:rPr>
              <w:t>reported</w:t>
            </w:r>
          </w:p>
        </w:tc>
        <w:tc>
          <w:tcPr>
            <w:tcW w:w="871" w:type="dxa"/>
            <w:shd w:val="clear" w:color="auto" w:fill="00A1E8"/>
          </w:tcPr>
          <w:p w14:paraId="12980BC5" w14:textId="77777777" w:rsidR="008715BE" w:rsidRPr="00EC75B7" w:rsidRDefault="00000000">
            <w:pPr>
              <w:pStyle w:val="TableParagraph"/>
              <w:spacing w:before="194"/>
              <w:ind w:left="11"/>
              <w:jc w:val="center"/>
              <w:rPr>
                <w:rFonts w:ascii="Verdana" w:hAnsi="Verdana"/>
                <w:b/>
                <w:sz w:val="18"/>
                <w:szCs w:val="18"/>
              </w:rPr>
            </w:pPr>
            <w:r w:rsidRPr="00EC75B7">
              <w:rPr>
                <w:rFonts w:ascii="Verdana" w:hAnsi="Verdana"/>
                <w:b/>
                <w:color w:val="FFFFFF"/>
                <w:spacing w:val="-2"/>
                <w:sz w:val="18"/>
                <w:szCs w:val="18"/>
              </w:rPr>
              <w:t>IUCN</w:t>
            </w:r>
          </w:p>
        </w:tc>
        <w:tc>
          <w:tcPr>
            <w:tcW w:w="1207" w:type="dxa"/>
            <w:shd w:val="clear" w:color="auto" w:fill="00A1E8"/>
          </w:tcPr>
          <w:p w14:paraId="6E083651" w14:textId="77777777" w:rsidR="008715BE" w:rsidRPr="00EC75B7" w:rsidRDefault="00000000">
            <w:pPr>
              <w:pStyle w:val="TableParagraph"/>
              <w:spacing w:before="98"/>
              <w:ind w:left="163" w:right="147" w:firstLine="36"/>
              <w:rPr>
                <w:rFonts w:ascii="Verdana" w:hAnsi="Verdana"/>
                <w:b/>
                <w:sz w:val="18"/>
                <w:szCs w:val="18"/>
              </w:rPr>
            </w:pPr>
            <w:r w:rsidRPr="00EC75B7">
              <w:rPr>
                <w:rFonts w:ascii="Verdana" w:hAnsi="Verdana"/>
                <w:b/>
                <w:color w:val="FFFFFF"/>
                <w:spacing w:val="-2"/>
                <w:sz w:val="18"/>
                <w:szCs w:val="18"/>
              </w:rPr>
              <w:t>Habitats Directive*</w:t>
            </w:r>
          </w:p>
        </w:tc>
        <w:tc>
          <w:tcPr>
            <w:tcW w:w="1180" w:type="dxa"/>
            <w:shd w:val="clear" w:color="auto" w:fill="00A1E8"/>
          </w:tcPr>
          <w:p w14:paraId="4C18B2A4" w14:textId="77777777" w:rsidR="008715BE" w:rsidRPr="00EC75B7" w:rsidRDefault="00000000">
            <w:pPr>
              <w:pStyle w:val="TableParagraph"/>
              <w:spacing w:before="98" w:line="195" w:lineRule="exact"/>
              <w:ind w:left="13" w:right="2"/>
              <w:jc w:val="center"/>
              <w:rPr>
                <w:rFonts w:ascii="Verdana" w:hAnsi="Verdana"/>
                <w:b/>
                <w:sz w:val="18"/>
                <w:szCs w:val="18"/>
              </w:rPr>
            </w:pPr>
            <w:r w:rsidRPr="00EC75B7">
              <w:rPr>
                <w:rFonts w:ascii="Verdana" w:hAnsi="Verdana"/>
                <w:b/>
                <w:color w:val="FFFFFF"/>
                <w:spacing w:val="-2"/>
                <w:sz w:val="18"/>
                <w:szCs w:val="18"/>
              </w:rPr>
              <w:t>Priority species</w:t>
            </w:r>
          </w:p>
          <w:p w14:paraId="6A8A2919" w14:textId="77777777" w:rsidR="008715BE" w:rsidRPr="00EC75B7" w:rsidRDefault="00000000">
            <w:pPr>
              <w:pStyle w:val="TableParagraph"/>
              <w:spacing w:line="195" w:lineRule="exact"/>
              <w:ind w:left="13" w:right="1"/>
              <w:jc w:val="center"/>
              <w:rPr>
                <w:rFonts w:ascii="Verdana" w:hAnsi="Verdana"/>
                <w:b/>
                <w:sz w:val="18"/>
                <w:szCs w:val="18"/>
              </w:rPr>
            </w:pPr>
            <w:r w:rsidRPr="00EC75B7">
              <w:rPr>
                <w:rFonts w:ascii="Verdana" w:hAnsi="Verdana"/>
                <w:b/>
                <w:color w:val="FFFFFF"/>
                <w:spacing w:val="-2"/>
                <w:sz w:val="18"/>
                <w:szCs w:val="18"/>
              </w:rPr>
              <w:t>Priority</w:t>
            </w:r>
          </w:p>
        </w:tc>
        <w:tc>
          <w:tcPr>
            <w:tcW w:w="1236" w:type="dxa"/>
            <w:shd w:val="clear" w:color="auto" w:fill="00A1E8"/>
          </w:tcPr>
          <w:p w14:paraId="51579705" w14:textId="77777777" w:rsidR="008715BE" w:rsidRPr="00EC75B7" w:rsidRDefault="00000000">
            <w:pPr>
              <w:pStyle w:val="TableParagraph"/>
              <w:spacing w:before="98"/>
              <w:ind w:left="165" w:firstLine="256"/>
              <w:rPr>
                <w:rFonts w:ascii="Verdana" w:hAnsi="Verdana"/>
                <w:b/>
                <w:sz w:val="18"/>
                <w:szCs w:val="18"/>
              </w:rPr>
            </w:pPr>
            <w:r w:rsidRPr="00EC75B7">
              <w:rPr>
                <w:rFonts w:ascii="Verdana" w:hAnsi="Verdana"/>
                <w:b/>
                <w:color w:val="FFFFFF"/>
                <w:spacing w:val="-4"/>
                <w:sz w:val="18"/>
                <w:szCs w:val="18"/>
              </w:rPr>
              <w:t>Government Emergency Ordinance</w:t>
            </w:r>
            <w:r w:rsidRPr="00EC75B7">
              <w:rPr>
                <w:rFonts w:ascii="Verdana" w:hAnsi="Verdana"/>
                <w:b/>
                <w:color w:val="FFFFFF"/>
                <w:spacing w:val="-2"/>
                <w:sz w:val="18"/>
                <w:szCs w:val="18"/>
              </w:rPr>
              <w:t xml:space="preserve"> 57/2007*</w:t>
            </w:r>
          </w:p>
        </w:tc>
        <w:tc>
          <w:tcPr>
            <w:tcW w:w="1576" w:type="dxa"/>
            <w:shd w:val="clear" w:color="auto" w:fill="00A1E8"/>
          </w:tcPr>
          <w:p w14:paraId="28498D15" w14:textId="77777777" w:rsidR="008715BE" w:rsidRPr="00EC75B7" w:rsidRDefault="00000000">
            <w:pPr>
              <w:pStyle w:val="TableParagraph"/>
              <w:ind w:left="184" w:hanging="44"/>
              <w:rPr>
                <w:rFonts w:ascii="Verdana" w:hAnsi="Verdana"/>
                <w:b/>
                <w:sz w:val="18"/>
                <w:szCs w:val="18"/>
              </w:rPr>
            </w:pPr>
            <w:r w:rsidRPr="00EC75B7">
              <w:rPr>
                <w:rFonts w:ascii="Verdana" w:hAnsi="Verdana"/>
                <w:b/>
                <w:color w:val="FFFFFF"/>
                <w:sz w:val="18"/>
                <w:szCs w:val="18"/>
              </w:rPr>
              <w:t xml:space="preserve">Red Book of </w:t>
            </w:r>
            <w:r w:rsidRPr="00EC75B7">
              <w:rPr>
                <w:rFonts w:ascii="Verdana" w:hAnsi="Verdana"/>
                <w:b/>
                <w:color w:val="FFFFFF"/>
                <w:spacing w:val="-2"/>
                <w:sz w:val="18"/>
                <w:szCs w:val="18"/>
              </w:rPr>
              <w:t>Vertebrates</w:t>
            </w:r>
          </w:p>
          <w:p w14:paraId="28B6388B" w14:textId="77777777" w:rsidR="008715BE" w:rsidRPr="00EC75B7" w:rsidRDefault="00000000">
            <w:pPr>
              <w:pStyle w:val="TableParagraph"/>
              <w:spacing w:line="173" w:lineRule="exact"/>
              <w:ind w:left="228"/>
              <w:rPr>
                <w:rFonts w:ascii="Verdana" w:hAnsi="Verdana"/>
                <w:b/>
                <w:sz w:val="18"/>
                <w:szCs w:val="18"/>
              </w:rPr>
            </w:pPr>
            <w:r w:rsidRPr="00EC75B7">
              <w:rPr>
                <w:rFonts w:ascii="Verdana" w:hAnsi="Verdana"/>
                <w:b/>
                <w:color w:val="FFFFFF"/>
                <w:sz w:val="18"/>
                <w:szCs w:val="18"/>
              </w:rPr>
              <w:t xml:space="preserve">in </w:t>
            </w:r>
            <w:r w:rsidRPr="00EC75B7">
              <w:rPr>
                <w:rFonts w:ascii="Verdana" w:hAnsi="Verdana"/>
                <w:b/>
                <w:color w:val="FFFFFF"/>
                <w:spacing w:val="-2"/>
                <w:sz w:val="18"/>
                <w:szCs w:val="18"/>
              </w:rPr>
              <w:t>Romania</w:t>
            </w:r>
          </w:p>
        </w:tc>
      </w:tr>
      <w:tr w:rsidR="008715BE" w:rsidRPr="00EC75B7" w14:paraId="7DED43A7" w14:textId="77777777">
        <w:trPr>
          <w:trHeight w:val="390"/>
        </w:trPr>
        <w:tc>
          <w:tcPr>
            <w:tcW w:w="1565" w:type="dxa"/>
          </w:tcPr>
          <w:p w14:paraId="3C65E4FC" w14:textId="77777777" w:rsidR="008715BE" w:rsidRPr="00EC75B7" w:rsidRDefault="00000000">
            <w:pPr>
              <w:pStyle w:val="TableParagraph"/>
              <w:spacing w:before="98"/>
              <w:ind w:left="12" w:right="2"/>
              <w:jc w:val="center"/>
              <w:rPr>
                <w:rFonts w:ascii="Verdana" w:hAnsi="Verdana"/>
                <w:i/>
                <w:sz w:val="18"/>
                <w:szCs w:val="18"/>
              </w:rPr>
            </w:pPr>
            <w:r w:rsidRPr="00EC75B7">
              <w:rPr>
                <w:rFonts w:ascii="Verdana" w:hAnsi="Verdana"/>
                <w:i/>
                <w:sz w:val="18"/>
                <w:szCs w:val="18"/>
              </w:rPr>
              <w:t xml:space="preserve">Bufo </w:t>
            </w:r>
            <w:r w:rsidRPr="00EC75B7">
              <w:rPr>
                <w:rFonts w:ascii="Verdana" w:hAnsi="Verdana"/>
                <w:i/>
                <w:spacing w:val="-2"/>
                <w:sz w:val="18"/>
                <w:szCs w:val="18"/>
              </w:rPr>
              <w:t>viridis</w:t>
            </w:r>
          </w:p>
        </w:tc>
        <w:tc>
          <w:tcPr>
            <w:tcW w:w="1827" w:type="dxa"/>
          </w:tcPr>
          <w:p w14:paraId="2C0E664C" w14:textId="77777777" w:rsidR="008715BE" w:rsidRPr="00EC75B7" w:rsidRDefault="00000000">
            <w:pPr>
              <w:pStyle w:val="TableParagraph"/>
              <w:spacing w:before="2" w:line="195" w:lineRule="exact"/>
              <w:ind w:left="12" w:right="3"/>
              <w:jc w:val="center"/>
              <w:rPr>
                <w:rFonts w:ascii="Verdana" w:hAnsi="Verdana"/>
                <w:sz w:val="18"/>
                <w:szCs w:val="18"/>
              </w:rPr>
            </w:pPr>
            <w:r w:rsidRPr="00EC75B7">
              <w:rPr>
                <w:rFonts w:ascii="Verdana" w:hAnsi="Verdana"/>
                <w:spacing w:val="-2"/>
                <w:sz w:val="18"/>
                <w:szCs w:val="18"/>
              </w:rPr>
              <w:t xml:space="preserve">Green </w:t>
            </w:r>
            <w:r w:rsidRPr="00EC75B7">
              <w:rPr>
                <w:rFonts w:ascii="Verdana" w:hAnsi="Verdana"/>
                <w:sz w:val="18"/>
                <w:szCs w:val="18"/>
              </w:rPr>
              <w:t>toad</w:t>
            </w:r>
          </w:p>
          <w:p w14:paraId="3F7747C7" w14:textId="77777777" w:rsidR="008715BE" w:rsidRPr="00EC75B7" w:rsidRDefault="00000000">
            <w:pPr>
              <w:pStyle w:val="TableParagraph"/>
              <w:spacing w:line="174" w:lineRule="exact"/>
              <w:ind w:left="12" w:right="1"/>
              <w:jc w:val="center"/>
              <w:rPr>
                <w:rFonts w:ascii="Verdana" w:hAnsi="Verdana"/>
                <w:sz w:val="18"/>
                <w:szCs w:val="18"/>
              </w:rPr>
            </w:pPr>
            <w:r w:rsidRPr="00EC75B7">
              <w:rPr>
                <w:rFonts w:ascii="Verdana" w:hAnsi="Verdana"/>
                <w:spacing w:val="-2"/>
                <w:sz w:val="18"/>
                <w:szCs w:val="18"/>
              </w:rPr>
              <w:t>green</w:t>
            </w:r>
          </w:p>
        </w:tc>
        <w:tc>
          <w:tcPr>
            <w:tcW w:w="1207" w:type="dxa"/>
          </w:tcPr>
          <w:p w14:paraId="5E0972C9" w14:textId="77777777" w:rsidR="008715BE" w:rsidRPr="00EC75B7" w:rsidRDefault="00000000">
            <w:pPr>
              <w:pStyle w:val="TableParagraph"/>
              <w:spacing w:before="98"/>
              <w:ind w:left="14" w:right="5"/>
              <w:jc w:val="center"/>
              <w:rPr>
                <w:rFonts w:ascii="Verdana" w:hAnsi="Verdana"/>
                <w:sz w:val="18"/>
                <w:szCs w:val="18"/>
              </w:rPr>
            </w:pPr>
            <w:r w:rsidRPr="00EC75B7">
              <w:rPr>
                <w:rFonts w:ascii="Verdana" w:hAnsi="Verdana"/>
                <w:spacing w:val="-10"/>
                <w:sz w:val="18"/>
                <w:szCs w:val="18"/>
              </w:rPr>
              <w:t>4</w:t>
            </w:r>
          </w:p>
        </w:tc>
        <w:tc>
          <w:tcPr>
            <w:tcW w:w="871" w:type="dxa"/>
          </w:tcPr>
          <w:p w14:paraId="2B856C87" w14:textId="77777777" w:rsidR="008715BE" w:rsidRPr="00EC75B7" w:rsidRDefault="00000000">
            <w:pPr>
              <w:pStyle w:val="TableParagraph"/>
              <w:spacing w:before="98"/>
              <w:ind w:left="11" w:right="5"/>
              <w:jc w:val="center"/>
              <w:rPr>
                <w:rFonts w:ascii="Verdana" w:hAnsi="Verdana"/>
                <w:sz w:val="18"/>
                <w:szCs w:val="18"/>
              </w:rPr>
            </w:pPr>
            <w:r w:rsidRPr="00EC75B7">
              <w:rPr>
                <w:rFonts w:ascii="Verdana" w:hAnsi="Verdana"/>
                <w:spacing w:val="-5"/>
                <w:sz w:val="18"/>
                <w:szCs w:val="18"/>
              </w:rPr>
              <w:t>LC</w:t>
            </w:r>
          </w:p>
        </w:tc>
        <w:tc>
          <w:tcPr>
            <w:tcW w:w="1207" w:type="dxa"/>
          </w:tcPr>
          <w:p w14:paraId="38A132E9" w14:textId="77777777" w:rsidR="008715BE" w:rsidRPr="00EC75B7" w:rsidRDefault="00000000">
            <w:pPr>
              <w:pStyle w:val="TableParagraph"/>
              <w:spacing w:before="98"/>
              <w:ind w:left="14" w:right="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1B2AF382" w14:textId="77777777" w:rsidR="008715BE" w:rsidRPr="00EC75B7" w:rsidRDefault="00000000">
            <w:pPr>
              <w:pStyle w:val="TableParagraph"/>
              <w:spacing w:before="98"/>
              <w:ind w:left="13"/>
              <w:jc w:val="center"/>
              <w:rPr>
                <w:rFonts w:ascii="Verdana" w:hAnsi="Verdana"/>
                <w:sz w:val="18"/>
                <w:szCs w:val="18"/>
              </w:rPr>
            </w:pPr>
            <w:r w:rsidRPr="00EC75B7">
              <w:rPr>
                <w:rFonts w:ascii="Verdana" w:hAnsi="Verdana"/>
                <w:spacing w:val="-5"/>
                <w:sz w:val="18"/>
                <w:szCs w:val="18"/>
              </w:rPr>
              <w:t>No</w:t>
            </w:r>
          </w:p>
        </w:tc>
        <w:tc>
          <w:tcPr>
            <w:tcW w:w="1236" w:type="dxa"/>
          </w:tcPr>
          <w:p w14:paraId="59CC740D" w14:textId="77777777" w:rsidR="008715BE" w:rsidRPr="00EC75B7" w:rsidRDefault="00000000">
            <w:pPr>
              <w:pStyle w:val="TableParagraph"/>
              <w:spacing w:before="9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tc>
        <w:tc>
          <w:tcPr>
            <w:tcW w:w="1576" w:type="dxa"/>
          </w:tcPr>
          <w:p w14:paraId="138D0EE9" w14:textId="77777777" w:rsidR="008715BE" w:rsidRPr="00EC75B7" w:rsidRDefault="00000000">
            <w:pPr>
              <w:pStyle w:val="TableParagraph"/>
              <w:spacing w:before="2" w:line="195" w:lineRule="exact"/>
              <w:ind w:left="17"/>
              <w:jc w:val="center"/>
              <w:rPr>
                <w:rFonts w:ascii="Verdana" w:hAnsi="Verdana"/>
                <w:sz w:val="18"/>
                <w:szCs w:val="18"/>
              </w:rPr>
            </w:pPr>
            <w:r w:rsidRPr="00EC75B7">
              <w:rPr>
                <w:rFonts w:ascii="Verdana" w:hAnsi="Verdana"/>
                <w:spacing w:val="-2"/>
                <w:sz w:val="18"/>
                <w:szCs w:val="18"/>
              </w:rPr>
              <w:t xml:space="preserve">Near threatened </w:t>
            </w:r>
            <w:r w:rsidRPr="00EC75B7">
              <w:rPr>
                <w:rFonts w:ascii="Verdana" w:hAnsi="Verdana"/>
                <w:sz w:val="18"/>
                <w:szCs w:val="18"/>
              </w:rPr>
              <w:t>species</w:t>
            </w:r>
          </w:p>
          <w:p w14:paraId="2581C19C" w14:textId="77777777" w:rsidR="008715BE" w:rsidRPr="00EC75B7" w:rsidRDefault="00000000">
            <w:pPr>
              <w:pStyle w:val="TableParagraph"/>
              <w:spacing w:line="174" w:lineRule="exact"/>
              <w:ind w:left="11"/>
              <w:jc w:val="center"/>
              <w:rPr>
                <w:rFonts w:ascii="Verdana" w:hAnsi="Verdana"/>
                <w:sz w:val="18"/>
                <w:szCs w:val="18"/>
              </w:rPr>
            </w:pPr>
            <w:r w:rsidRPr="00EC75B7">
              <w:rPr>
                <w:rFonts w:ascii="Verdana" w:hAnsi="Verdana"/>
                <w:spacing w:val="-2"/>
                <w:sz w:val="18"/>
                <w:szCs w:val="18"/>
              </w:rPr>
              <w:t>endangered</w:t>
            </w:r>
          </w:p>
        </w:tc>
      </w:tr>
      <w:tr w:rsidR="008715BE" w:rsidRPr="00EC75B7" w14:paraId="2A8AD093" w14:textId="77777777">
        <w:trPr>
          <w:trHeight w:val="388"/>
        </w:trPr>
        <w:tc>
          <w:tcPr>
            <w:tcW w:w="1565" w:type="dxa"/>
          </w:tcPr>
          <w:p w14:paraId="12495089" w14:textId="77777777" w:rsidR="008715BE" w:rsidRPr="00EC75B7" w:rsidRDefault="00000000">
            <w:pPr>
              <w:pStyle w:val="TableParagraph"/>
              <w:spacing w:line="194" w:lineRule="exact"/>
              <w:ind w:left="12" w:right="6"/>
              <w:jc w:val="center"/>
              <w:rPr>
                <w:rFonts w:ascii="Verdana" w:hAnsi="Verdana"/>
                <w:i/>
                <w:sz w:val="18"/>
                <w:szCs w:val="18"/>
              </w:rPr>
            </w:pPr>
            <w:r w:rsidRPr="00EC75B7">
              <w:rPr>
                <w:rFonts w:ascii="Verdana" w:hAnsi="Verdana"/>
                <w:i/>
                <w:spacing w:val="-2"/>
                <w:sz w:val="18"/>
                <w:szCs w:val="18"/>
              </w:rPr>
              <w:t>Dolicophis</w:t>
            </w:r>
          </w:p>
          <w:p w14:paraId="21A35CC8" w14:textId="77777777" w:rsidR="008715BE" w:rsidRPr="00EC75B7" w:rsidRDefault="00000000">
            <w:pPr>
              <w:pStyle w:val="TableParagraph"/>
              <w:spacing w:line="174" w:lineRule="exact"/>
              <w:ind w:left="12" w:right="1"/>
              <w:jc w:val="center"/>
              <w:rPr>
                <w:rFonts w:ascii="Verdana" w:hAnsi="Verdana"/>
                <w:i/>
                <w:sz w:val="18"/>
                <w:szCs w:val="18"/>
              </w:rPr>
            </w:pPr>
            <w:r w:rsidRPr="00EC75B7">
              <w:rPr>
                <w:rFonts w:ascii="Verdana" w:hAnsi="Verdana"/>
                <w:i/>
                <w:spacing w:val="-2"/>
                <w:sz w:val="18"/>
                <w:szCs w:val="18"/>
              </w:rPr>
              <w:t>caspius</w:t>
            </w:r>
          </w:p>
        </w:tc>
        <w:tc>
          <w:tcPr>
            <w:tcW w:w="1827" w:type="dxa"/>
          </w:tcPr>
          <w:p w14:paraId="132B234D" w14:textId="77777777" w:rsidR="008715BE" w:rsidRPr="00EC75B7" w:rsidRDefault="00000000">
            <w:pPr>
              <w:pStyle w:val="TableParagraph"/>
              <w:spacing w:before="95"/>
              <w:ind w:left="12"/>
              <w:jc w:val="center"/>
              <w:rPr>
                <w:rFonts w:ascii="Verdana" w:hAnsi="Verdana"/>
                <w:sz w:val="18"/>
                <w:szCs w:val="18"/>
              </w:rPr>
            </w:pPr>
            <w:r w:rsidRPr="00EC75B7">
              <w:rPr>
                <w:rFonts w:ascii="Verdana" w:hAnsi="Verdana"/>
                <w:sz w:val="18"/>
                <w:szCs w:val="18"/>
              </w:rPr>
              <w:t xml:space="preserve">The </w:t>
            </w:r>
            <w:r w:rsidRPr="00EC75B7">
              <w:rPr>
                <w:rFonts w:ascii="Verdana" w:hAnsi="Verdana"/>
                <w:spacing w:val="-5"/>
                <w:sz w:val="18"/>
                <w:szCs w:val="18"/>
              </w:rPr>
              <w:t xml:space="preserve">evil </w:t>
            </w:r>
            <w:r w:rsidRPr="00EC75B7">
              <w:rPr>
                <w:rFonts w:ascii="Verdana" w:hAnsi="Verdana"/>
                <w:sz w:val="18"/>
                <w:szCs w:val="18"/>
              </w:rPr>
              <w:t>snake</w:t>
            </w:r>
          </w:p>
        </w:tc>
        <w:tc>
          <w:tcPr>
            <w:tcW w:w="1207" w:type="dxa"/>
          </w:tcPr>
          <w:p w14:paraId="78F5EEC0" w14:textId="77777777" w:rsidR="008715BE" w:rsidRPr="00EC75B7" w:rsidRDefault="00000000">
            <w:pPr>
              <w:pStyle w:val="TableParagraph"/>
              <w:spacing w:before="95"/>
              <w:ind w:left="14" w:right="5"/>
              <w:jc w:val="center"/>
              <w:rPr>
                <w:rFonts w:ascii="Verdana" w:hAnsi="Verdana"/>
                <w:sz w:val="18"/>
                <w:szCs w:val="18"/>
              </w:rPr>
            </w:pPr>
            <w:r w:rsidRPr="00EC75B7">
              <w:rPr>
                <w:rFonts w:ascii="Verdana" w:hAnsi="Verdana"/>
                <w:spacing w:val="-10"/>
                <w:sz w:val="18"/>
                <w:szCs w:val="18"/>
              </w:rPr>
              <w:t>3</w:t>
            </w:r>
          </w:p>
        </w:tc>
        <w:tc>
          <w:tcPr>
            <w:tcW w:w="871" w:type="dxa"/>
          </w:tcPr>
          <w:p w14:paraId="0DD53B48" w14:textId="77777777" w:rsidR="008715BE" w:rsidRPr="00EC75B7" w:rsidRDefault="00000000">
            <w:pPr>
              <w:pStyle w:val="TableParagraph"/>
              <w:spacing w:before="95"/>
              <w:ind w:left="11" w:right="5"/>
              <w:jc w:val="center"/>
              <w:rPr>
                <w:rFonts w:ascii="Verdana" w:hAnsi="Verdana"/>
                <w:sz w:val="18"/>
                <w:szCs w:val="18"/>
              </w:rPr>
            </w:pPr>
            <w:r w:rsidRPr="00EC75B7">
              <w:rPr>
                <w:rFonts w:ascii="Verdana" w:hAnsi="Verdana"/>
                <w:spacing w:val="-5"/>
                <w:sz w:val="18"/>
                <w:szCs w:val="18"/>
              </w:rPr>
              <w:t>LC</w:t>
            </w:r>
          </w:p>
        </w:tc>
        <w:tc>
          <w:tcPr>
            <w:tcW w:w="1207" w:type="dxa"/>
          </w:tcPr>
          <w:p w14:paraId="484FF2A0" w14:textId="77777777" w:rsidR="008715BE" w:rsidRPr="00EC75B7" w:rsidRDefault="00000000">
            <w:pPr>
              <w:pStyle w:val="TableParagraph"/>
              <w:spacing w:before="95"/>
              <w:ind w:left="14" w:right="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3E1BCA2E" w14:textId="77777777" w:rsidR="008715BE" w:rsidRPr="00EC75B7" w:rsidRDefault="00000000">
            <w:pPr>
              <w:pStyle w:val="TableParagraph"/>
              <w:spacing w:before="95"/>
              <w:ind w:left="13"/>
              <w:jc w:val="center"/>
              <w:rPr>
                <w:rFonts w:ascii="Verdana" w:hAnsi="Verdana"/>
                <w:sz w:val="18"/>
                <w:szCs w:val="18"/>
              </w:rPr>
            </w:pPr>
            <w:r w:rsidRPr="00EC75B7">
              <w:rPr>
                <w:rFonts w:ascii="Verdana" w:hAnsi="Verdana"/>
                <w:spacing w:val="-5"/>
                <w:sz w:val="18"/>
                <w:szCs w:val="18"/>
              </w:rPr>
              <w:t>No</w:t>
            </w:r>
          </w:p>
        </w:tc>
        <w:tc>
          <w:tcPr>
            <w:tcW w:w="1236" w:type="dxa"/>
          </w:tcPr>
          <w:p w14:paraId="4B280952" w14:textId="77777777" w:rsidR="008715BE" w:rsidRPr="00EC75B7" w:rsidRDefault="00000000">
            <w:pPr>
              <w:pStyle w:val="TableParagraph"/>
              <w:spacing w:line="194" w:lineRule="exact"/>
              <w:ind w:left="208"/>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p w14:paraId="59FA7AFC" w14:textId="77777777" w:rsidR="008715BE" w:rsidRPr="00EC75B7" w:rsidRDefault="00000000">
            <w:pPr>
              <w:pStyle w:val="TableParagraph"/>
              <w:spacing w:line="174" w:lineRule="exact"/>
              <w:ind w:left="237"/>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576" w:type="dxa"/>
          </w:tcPr>
          <w:p w14:paraId="794CFA79" w14:textId="77777777" w:rsidR="008715BE" w:rsidRPr="00EC75B7" w:rsidRDefault="00000000">
            <w:pPr>
              <w:pStyle w:val="TableParagraph"/>
              <w:spacing w:line="194" w:lineRule="exact"/>
              <w:ind w:left="15"/>
              <w:jc w:val="center"/>
              <w:rPr>
                <w:rFonts w:ascii="Verdana" w:hAnsi="Verdana"/>
                <w:sz w:val="18"/>
                <w:szCs w:val="18"/>
              </w:rPr>
            </w:pPr>
            <w:r w:rsidRPr="00EC75B7">
              <w:rPr>
                <w:rFonts w:ascii="Verdana" w:hAnsi="Verdana"/>
                <w:spacing w:val="-2"/>
                <w:sz w:val="18"/>
                <w:szCs w:val="18"/>
              </w:rPr>
              <w:t>Vulnerable</w:t>
            </w:r>
          </w:p>
          <w:p w14:paraId="1931E780" w14:textId="77777777" w:rsidR="008715BE" w:rsidRPr="00EC75B7" w:rsidRDefault="00000000">
            <w:pPr>
              <w:pStyle w:val="TableParagraph"/>
              <w:spacing w:line="174" w:lineRule="exact"/>
              <w:ind w:left="15"/>
              <w:jc w:val="center"/>
              <w:rPr>
                <w:rFonts w:ascii="Verdana" w:hAnsi="Verdana"/>
                <w:sz w:val="18"/>
                <w:szCs w:val="18"/>
              </w:rPr>
            </w:pPr>
            <w:r w:rsidRPr="00EC75B7">
              <w:rPr>
                <w:rFonts w:ascii="Verdana" w:hAnsi="Verdana"/>
                <w:spacing w:val="-2"/>
                <w:sz w:val="18"/>
                <w:szCs w:val="18"/>
              </w:rPr>
              <w:t>vulnerable</w:t>
            </w:r>
          </w:p>
        </w:tc>
      </w:tr>
      <w:tr w:rsidR="008715BE" w:rsidRPr="00EC75B7" w14:paraId="51A5D1F8" w14:textId="77777777">
        <w:trPr>
          <w:trHeight w:val="313"/>
        </w:trPr>
        <w:tc>
          <w:tcPr>
            <w:tcW w:w="1565" w:type="dxa"/>
          </w:tcPr>
          <w:p w14:paraId="2A705E49" w14:textId="77777777" w:rsidR="008715BE" w:rsidRPr="00EC75B7" w:rsidRDefault="00000000">
            <w:pPr>
              <w:pStyle w:val="TableParagraph"/>
              <w:spacing w:before="59"/>
              <w:ind w:left="12" w:right="4"/>
              <w:jc w:val="center"/>
              <w:rPr>
                <w:rFonts w:ascii="Verdana" w:hAnsi="Verdana"/>
                <w:i/>
                <w:sz w:val="18"/>
                <w:szCs w:val="18"/>
              </w:rPr>
            </w:pPr>
            <w:r w:rsidRPr="00EC75B7">
              <w:rPr>
                <w:rFonts w:ascii="Verdana" w:hAnsi="Verdana"/>
                <w:i/>
                <w:sz w:val="18"/>
                <w:szCs w:val="18"/>
              </w:rPr>
              <w:t xml:space="preserve">Lacerta </w:t>
            </w:r>
            <w:r w:rsidRPr="00EC75B7">
              <w:rPr>
                <w:rFonts w:ascii="Verdana" w:hAnsi="Verdana"/>
                <w:i/>
                <w:spacing w:val="-2"/>
                <w:sz w:val="18"/>
                <w:szCs w:val="18"/>
              </w:rPr>
              <w:t>viridis</w:t>
            </w:r>
          </w:p>
        </w:tc>
        <w:tc>
          <w:tcPr>
            <w:tcW w:w="1827" w:type="dxa"/>
          </w:tcPr>
          <w:p w14:paraId="33DDE9EA" w14:textId="77777777" w:rsidR="008715BE" w:rsidRPr="00EC75B7" w:rsidRDefault="00000000">
            <w:pPr>
              <w:pStyle w:val="TableParagraph"/>
              <w:spacing w:before="59"/>
              <w:ind w:left="12" w:right="2"/>
              <w:jc w:val="center"/>
              <w:rPr>
                <w:rFonts w:ascii="Verdana" w:hAnsi="Verdana"/>
                <w:sz w:val="18"/>
                <w:szCs w:val="18"/>
              </w:rPr>
            </w:pPr>
            <w:r w:rsidRPr="00EC75B7">
              <w:rPr>
                <w:rFonts w:ascii="Verdana" w:hAnsi="Verdana"/>
                <w:spacing w:val="-2"/>
                <w:sz w:val="18"/>
                <w:szCs w:val="18"/>
              </w:rPr>
              <w:t>Gușter</w:t>
            </w:r>
          </w:p>
        </w:tc>
        <w:tc>
          <w:tcPr>
            <w:tcW w:w="1207" w:type="dxa"/>
          </w:tcPr>
          <w:p w14:paraId="63639637" w14:textId="77777777" w:rsidR="008715BE" w:rsidRPr="00EC75B7" w:rsidRDefault="00000000">
            <w:pPr>
              <w:pStyle w:val="TableParagraph"/>
              <w:spacing w:before="59"/>
              <w:ind w:left="14" w:right="2"/>
              <w:jc w:val="center"/>
              <w:rPr>
                <w:rFonts w:ascii="Verdana" w:hAnsi="Verdana"/>
                <w:sz w:val="18"/>
                <w:szCs w:val="18"/>
              </w:rPr>
            </w:pPr>
            <w:r w:rsidRPr="00EC75B7">
              <w:rPr>
                <w:rFonts w:ascii="Verdana" w:hAnsi="Verdana"/>
                <w:spacing w:val="-5"/>
                <w:sz w:val="18"/>
                <w:szCs w:val="18"/>
              </w:rPr>
              <w:t>11</w:t>
            </w:r>
          </w:p>
        </w:tc>
        <w:tc>
          <w:tcPr>
            <w:tcW w:w="871" w:type="dxa"/>
          </w:tcPr>
          <w:p w14:paraId="7E869E82" w14:textId="77777777" w:rsidR="008715BE" w:rsidRPr="00EC75B7" w:rsidRDefault="00000000">
            <w:pPr>
              <w:pStyle w:val="TableParagraph"/>
              <w:spacing w:before="59"/>
              <w:ind w:left="11" w:right="5"/>
              <w:jc w:val="center"/>
              <w:rPr>
                <w:rFonts w:ascii="Verdana" w:hAnsi="Verdana"/>
                <w:sz w:val="18"/>
                <w:szCs w:val="18"/>
              </w:rPr>
            </w:pPr>
            <w:r w:rsidRPr="00EC75B7">
              <w:rPr>
                <w:rFonts w:ascii="Verdana" w:hAnsi="Verdana"/>
                <w:spacing w:val="-5"/>
                <w:sz w:val="18"/>
                <w:szCs w:val="18"/>
              </w:rPr>
              <w:t>LC</w:t>
            </w:r>
          </w:p>
        </w:tc>
        <w:tc>
          <w:tcPr>
            <w:tcW w:w="1207" w:type="dxa"/>
          </w:tcPr>
          <w:p w14:paraId="0D7BDBF6"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63B23439"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pacing w:val="-5"/>
                <w:sz w:val="18"/>
                <w:szCs w:val="18"/>
              </w:rPr>
              <w:t>No</w:t>
            </w:r>
          </w:p>
        </w:tc>
        <w:tc>
          <w:tcPr>
            <w:tcW w:w="1236" w:type="dxa"/>
          </w:tcPr>
          <w:p w14:paraId="468A4FF7"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tc>
        <w:tc>
          <w:tcPr>
            <w:tcW w:w="1576" w:type="dxa"/>
          </w:tcPr>
          <w:p w14:paraId="432A87BA"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w:t>
            </w:r>
          </w:p>
        </w:tc>
      </w:tr>
      <w:tr w:rsidR="008715BE" w:rsidRPr="00EC75B7" w14:paraId="17B67304" w14:textId="77777777">
        <w:trPr>
          <w:trHeight w:val="388"/>
        </w:trPr>
        <w:tc>
          <w:tcPr>
            <w:tcW w:w="1565" w:type="dxa"/>
          </w:tcPr>
          <w:p w14:paraId="61750A68" w14:textId="77777777" w:rsidR="008715BE" w:rsidRPr="00EC75B7" w:rsidRDefault="00000000">
            <w:pPr>
              <w:pStyle w:val="TableParagraph"/>
              <w:spacing w:before="98"/>
              <w:ind w:left="12" w:right="6"/>
              <w:jc w:val="center"/>
              <w:rPr>
                <w:rFonts w:ascii="Verdana" w:hAnsi="Verdana"/>
                <w:i/>
                <w:sz w:val="18"/>
                <w:szCs w:val="18"/>
              </w:rPr>
            </w:pPr>
            <w:r w:rsidRPr="00EC75B7">
              <w:rPr>
                <w:rFonts w:ascii="Verdana" w:hAnsi="Verdana"/>
                <w:i/>
                <w:spacing w:val="-2"/>
                <w:sz w:val="18"/>
                <w:szCs w:val="18"/>
              </w:rPr>
              <w:t>Podarcis muralis</w:t>
            </w:r>
          </w:p>
        </w:tc>
        <w:tc>
          <w:tcPr>
            <w:tcW w:w="1827" w:type="dxa"/>
          </w:tcPr>
          <w:p w14:paraId="621D2686" w14:textId="77777777" w:rsidR="008715BE" w:rsidRPr="00EC75B7" w:rsidRDefault="00000000">
            <w:pPr>
              <w:pStyle w:val="TableParagraph"/>
              <w:spacing w:before="98"/>
              <w:ind w:left="12" w:right="4"/>
              <w:jc w:val="center"/>
              <w:rPr>
                <w:rFonts w:ascii="Verdana" w:hAnsi="Verdana"/>
                <w:sz w:val="18"/>
                <w:szCs w:val="18"/>
              </w:rPr>
            </w:pPr>
            <w:r w:rsidRPr="00EC75B7">
              <w:rPr>
                <w:rFonts w:ascii="Verdana" w:hAnsi="Verdana"/>
                <w:spacing w:val="-2"/>
                <w:sz w:val="18"/>
                <w:szCs w:val="18"/>
              </w:rPr>
              <w:t xml:space="preserve">Wall </w:t>
            </w:r>
            <w:r w:rsidRPr="00EC75B7">
              <w:rPr>
                <w:rFonts w:ascii="Verdana" w:hAnsi="Verdana"/>
                <w:sz w:val="18"/>
                <w:szCs w:val="18"/>
              </w:rPr>
              <w:t>lizard</w:t>
            </w:r>
          </w:p>
        </w:tc>
        <w:tc>
          <w:tcPr>
            <w:tcW w:w="1207" w:type="dxa"/>
          </w:tcPr>
          <w:p w14:paraId="135BCE5B" w14:textId="77777777" w:rsidR="008715BE" w:rsidRPr="00EC75B7" w:rsidRDefault="00000000">
            <w:pPr>
              <w:pStyle w:val="TableParagraph"/>
              <w:spacing w:before="98"/>
              <w:ind w:left="14" w:right="5"/>
              <w:jc w:val="center"/>
              <w:rPr>
                <w:rFonts w:ascii="Verdana" w:hAnsi="Verdana"/>
                <w:sz w:val="18"/>
                <w:szCs w:val="18"/>
              </w:rPr>
            </w:pPr>
            <w:r w:rsidRPr="00EC75B7">
              <w:rPr>
                <w:rFonts w:ascii="Verdana" w:hAnsi="Verdana"/>
                <w:spacing w:val="-10"/>
                <w:sz w:val="18"/>
                <w:szCs w:val="18"/>
              </w:rPr>
              <w:t>2</w:t>
            </w:r>
          </w:p>
        </w:tc>
        <w:tc>
          <w:tcPr>
            <w:tcW w:w="871" w:type="dxa"/>
          </w:tcPr>
          <w:p w14:paraId="44082D35" w14:textId="77777777" w:rsidR="008715BE" w:rsidRPr="00EC75B7" w:rsidRDefault="00000000">
            <w:pPr>
              <w:pStyle w:val="TableParagraph"/>
              <w:spacing w:before="98"/>
              <w:ind w:left="11" w:right="5"/>
              <w:jc w:val="center"/>
              <w:rPr>
                <w:rFonts w:ascii="Verdana" w:hAnsi="Verdana"/>
                <w:sz w:val="18"/>
                <w:szCs w:val="18"/>
              </w:rPr>
            </w:pPr>
            <w:r w:rsidRPr="00EC75B7">
              <w:rPr>
                <w:rFonts w:ascii="Verdana" w:hAnsi="Verdana"/>
                <w:spacing w:val="-5"/>
                <w:sz w:val="18"/>
                <w:szCs w:val="18"/>
              </w:rPr>
              <w:t>LC</w:t>
            </w:r>
          </w:p>
        </w:tc>
        <w:tc>
          <w:tcPr>
            <w:tcW w:w="1207" w:type="dxa"/>
          </w:tcPr>
          <w:p w14:paraId="08BB3448" w14:textId="77777777" w:rsidR="008715BE" w:rsidRPr="00EC75B7" w:rsidRDefault="00000000">
            <w:pPr>
              <w:pStyle w:val="TableParagraph"/>
              <w:spacing w:before="98"/>
              <w:ind w:left="14" w:right="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10D16276" w14:textId="77777777" w:rsidR="008715BE" w:rsidRPr="00EC75B7" w:rsidRDefault="00000000">
            <w:pPr>
              <w:pStyle w:val="TableParagraph"/>
              <w:spacing w:before="98"/>
              <w:ind w:left="13"/>
              <w:jc w:val="center"/>
              <w:rPr>
                <w:rFonts w:ascii="Verdana" w:hAnsi="Verdana"/>
                <w:sz w:val="18"/>
                <w:szCs w:val="18"/>
              </w:rPr>
            </w:pPr>
            <w:r w:rsidRPr="00EC75B7">
              <w:rPr>
                <w:rFonts w:ascii="Verdana" w:hAnsi="Verdana"/>
                <w:spacing w:val="-5"/>
                <w:sz w:val="18"/>
                <w:szCs w:val="18"/>
              </w:rPr>
              <w:t>No</w:t>
            </w:r>
          </w:p>
        </w:tc>
        <w:tc>
          <w:tcPr>
            <w:tcW w:w="1236" w:type="dxa"/>
          </w:tcPr>
          <w:p w14:paraId="4BBAF41A" w14:textId="77777777" w:rsidR="008715BE" w:rsidRPr="00EC75B7" w:rsidRDefault="00000000">
            <w:pPr>
              <w:pStyle w:val="TableParagraph"/>
              <w:spacing w:before="9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tc>
        <w:tc>
          <w:tcPr>
            <w:tcW w:w="1576" w:type="dxa"/>
          </w:tcPr>
          <w:p w14:paraId="5E335BDD" w14:textId="77777777" w:rsidR="008715BE" w:rsidRPr="00EC75B7" w:rsidRDefault="00000000">
            <w:pPr>
              <w:pStyle w:val="TableParagraph"/>
              <w:spacing w:line="194" w:lineRule="exact"/>
              <w:ind w:left="15"/>
              <w:jc w:val="center"/>
              <w:rPr>
                <w:rFonts w:ascii="Verdana" w:hAnsi="Verdana"/>
                <w:sz w:val="18"/>
                <w:szCs w:val="18"/>
              </w:rPr>
            </w:pPr>
            <w:r w:rsidRPr="00EC75B7">
              <w:rPr>
                <w:rFonts w:ascii="Verdana" w:hAnsi="Verdana"/>
                <w:spacing w:val="-2"/>
                <w:sz w:val="18"/>
                <w:szCs w:val="18"/>
              </w:rPr>
              <w:t>Vulnerable species</w:t>
            </w:r>
          </w:p>
          <w:p w14:paraId="735825FE" w14:textId="77777777" w:rsidR="008715BE" w:rsidRPr="00EC75B7" w:rsidRDefault="00000000">
            <w:pPr>
              <w:pStyle w:val="TableParagraph"/>
              <w:spacing w:line="174" w:lineRule="exact"/>
              <w:ind w:left="15"/>
              <w:jc w:val="center"/>
              <w:rPr>
                <w:rFonts w:ascii="Verdana" w:hAnsi="Verdana"/>
                <w:sz w:val="18"/>
                <w:szCs w:val="18"/>
              </w:rPr>
            </w:pPr>
            <w:r w:rsidRPr="00EC75B7">
              <w:rPr>
                <w:rFonts w:ascii="Verdana" w:hAnsi="Verdana"/>
                <w:spacing w:val="-2"/>
                <w:sz w:val="18"/>
                <w:szCs w:val="18"/>
              </w:rPr>
              <w:t>vulnerable</w:t>
            </w:r>
          </w:p>
        </w:tc>
      </w:tr>
      <w:tr w:rsidR="008715BE" w:rsidRPr="00EC75B7" w14:paraId="23D6B2A5" w14:textId="77777777">
        <w:trPr>
          <w:trHeight w:val="390"/>
        </w:trPr>
        <w:tc>
          <w:tcPr>
            <w:tcW w:w="1565" w:type="dxa"/>
          </w:tcPr>
          <w:p w14:paraId="4D67301A" w14:textId="77777777" w:rsidR="008715BE" w:rsidRPr="00EC75B7" w:rsidRDefault="00000000">
            <w:pPr>
              <w:pStyle w:val="TableParagraph"/>
              <w:spacing w:before="98"/>
              <w:ind w:left="12" w:right="1"/>
              <w:jc w:val="center"/>
              <w:rPr>
                <w:rFonts w:ascii="Verdana" w:hAnsi="Verdana"/>
                <w:i/>
                <w:sz w:val="18"/>
                <w:szCs w:val="18"/>
              </w:rPr>
            </w:pPr>
            <w:r w:rsidRPr="00EC75B7">
              <w:rPr>
                <w:rFonts w:ascii="Verdana" w:hAnsi="Verdana"/>
                <w:i/>
                <w:sz w:val="18"/>
                <w:szCs w:val="18"/>
              </w:rPr>
              <w:t xml:space="preserve">Podarcis </w:t>
            </w:r>
            <w:r w:rsidRPr="00EC75B7">
              <w:rPr>
                <w:rFonts w:ascii="Verdana" w:hAnsi="Verdana"/>
                <w:i/>
                <w:spacing w:val="-2"/>
                <w:sz w:val="18"/>
                <w:szCs w:val="18"/>
              </w:rPr>
              <w:t>taurica</w:t>
            </w:r>
          </w:p>
        </w:tc>
        <w:tc>
          <w:tcPr>
            <w:tcW w:w="1827" w:type="dxa"/>
          </w:tcPr>
          <w:p w14:paraId="0AAD3283" w14:textId="77777777" w:rsidR="008715BE" w:rsidRPr="00EC75B7" w:rsidRDefault="00000000">
            <w:pPr>
              <w:pStyle w:val="TableParagraph"/>
              <w:spacing w:before="98"/>
              <w:ind w:left="12" w:right="1"/>
              <w:jc w:val="center"/>
              <w:rPr>
                <w:rFonts w:ascii="Verdana" w:hAnsi="Verdana"/>
                <w:sz w:val="18"/>
                <w:szCs w:val="18"/>
              </w:rPr>
            </w:pPr>
            <w:r w:rsidRPr="00EC75B7">
              <w:rPr>
                <w:rFonts w:ascii="Verdana" w:hAnsi="Verdana"/>
                <w:sz w:val="18"/>
                <w:szCs w:val="18"/>
              </w:rPr>
              <w:t>Ste</w:t>
            </w:r>
            <w:r w:rsidRPr="00EC75B7">
              <w:rPr>
                <w:rFonts w:ascii="Verdana" w:hAnsi="Verdana"/>
                <w:spacing w:val="-4"/>
                <w:sz w:val="18"/>
                <w:szCs w:val="18"/>
              </w:rPr>
              <w:t xml:space="preserve">ppe </w:t>
            </w:r>
            <w:r w:rsidRPr="00EC75B7">
              <w:rPr>
                <w:rFonts w:ascii="Verdana" w:hAnsi="Verdana"/>
                <w:sz w:val="18"/>
                <w:szCs w:val="18"/>
              </w:rPr>
              <w:t>lizard</w:t>
            </w:r>
          </w:p>
        </w:tc>
        <w:tc>
          <w:tcPr>
            <w:tcW w:w="1207" w:type="dxa"/>
          </w:tcPr>
          <w:p w14:paraId="31776FA2" w14:textId="77777777" w:rsidR="008715BE" w:rsidRPr="00EC75B7" w:rsidRDefault="00000000">
            <w:pPr>
              <w:pStyle w:val="TableParagraph"/>
              <w:spacing w:before="98"/>
              <w:ind w:left="14" w:right="2"/>
              <w:jc w:val="center"/>
              <w:rPr>
                <w:rFonts w:ascii="Verdana" w:hAnsi="Verdana"/>
                <w:sz w:val="18"/>
                <w:szCs w:val="18"/>
              </w:rPr>
            </w:pPr>
            <w:r w:rsidRPr="00EC75B7">
              <w:rPr>
                <w:rFonts w:ascii="Verdana" w:hAnsi="Verdana"/>
                <w:spacing w:val="-5"/>
                <w:sz w:val="18"/>
                <w:szCs w:val="18"/>
              </w:rPr>
              <w:t>14</w:t>
            </w:r>
          </w:p>
        </w:tc>
        <w:tc>
          <w:tcPr>
            <w:tcW w:w="871" w:type="dxa"/>
          </w:tcPr>
          <w:p w14:paraId="4E025B7D" w14:textId="77777777" w:rsidR="008715BE" w:rsidRPr="00EC75B7" w:rsidRDefault="00000000">
            <w:pPr>
              <w:pStyle w:val="TableParagraph"/>
              <w:spacing w:before="98"/>
              <w:ind w:left="11" w:right="5"/>
              <w:jc w:val="center"/>
              <w:rPr>
                <w:rFonts w:ascii="Verdana" w:hAnsi="Verdana"/>
                <w:sz w:val="18"/>
                <w:szCs w:val="18"/>
              </w:rPr>
            </w:pPr>
            <w:r w:rsidRPr="00EC75B7">
              <w:rPr>
                <w:rFonts w:ascii="Verdana" w:hAnsi="Verdana"/>
                <w:spacing w:val="-5"/>
                <w:sz w:val="18"/>
                <w:szCs w:val="18"/>
              </w:rPr>
              <w:t>LC</w:t>
            </w:r>
          </w:p>
        </w:tc>
        <w:tc>
          <w:tcPr>
            <w:tcW w:w="1207" w:type="dxa"/>
          </w:tcPr>
          <w:p w14:paraId="4B7CA8BF" w14:textId="77777777" w:rsidR="008715BE" w:rsidRPr="00EC75B7" w:rsidRDefault="00000000">
            <w:pPr>
              <w:pStyle w:val="TableParagraph"/>
              <w:spacing w:before="98"/>
              <w:ind w:left="14" w:right="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0862752A" w14:textId="77777777" w:rsidR="008715BE" w:rsidRPr="00EC75B7" w:rsidRDefault="00000000">
            <w:pPr>
              <w:pStyle w:val="TableParagraph"/>
              <w:spacing w:before="98"/>
              <w:ind w:left="13"/>
              <w:jc w:val="center"/>
              <w:rPr>
                <w:rFonts w:ascii="Verdana" w:hAnsi="Verdana"/>
                <w:sz w:val="18"/>
                <w:szCs w:val="18"/>
              </w:rPr>
            </w:pPr>
            <w:r w:rsidRPr="00EC75B7">
              <w:rPr>
                <w:rFonts w:ascii="Verdana" w:hAnsi="Verdana"/>
                <w:spacing w:val="-5"/>
                <w:sz w:val="18"/>
                <w:szCs w:val="18"/>
              </w:rPr>
              <w:t>No</w:t>
            </w:r>
          </w:p>
        </w:tc>
        <w:tc>
          <w:tcPr>
            <w:tcW w:w="1236" w:type="dxa"/>
          </w:tcPr>
          <w:p w14:paraId="44359490" w14:textId="77777777" w:rsidR="008715BE" w:rsidRPr="00EC75B7" w:rsidRDefault="00000000">
            <w:pPr>
              <w:pStyle w:val="TableParagraph"/>
              <w:spacing w:before="9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tc>
        <w:tc>
          <w:tcPr>
            <w:tcW w:w="1576" w:type="dxa"/>
          </w:tcPr>
          <w:p w14:paraId="56913D04" w14:textId="77777777" w:rsidR="008715BE" w:rsidRPr="00EC75B7" w:rsidRDefault="00000000">
            <w:pPr>
              <w:pStyle w:val="TableParagraph"/>
              <w:spacing w:before="2" w:line="195" w:lineRule="exact"/>
              <w:ind w:left="17"/>
              <w:jc w:val="center"/>
              <w:rPr>
                <w:rFonts w:ascii="Verdana" w:hAnsi="Verdana"/>
                <w:sz w:val="18"/>
                <w:szCs w:val="18"/>
              </w:rPr>
            </w:pPr>
            <w:r w:rsidRPr="00EC75B7">
              <w:rPr>
                <w:rFonts w:ascii="Verdana" w:hAnsi="Verdana"/>
                <w:spacing w:val="-2"/>
                <w:sz w:val="18"/>
                <w:szCs w:val="18"/>
              </w:rPr>
              <w:t xml:space="preserve">Near threatened </w:t>
            </w:r>
            <w:r w:rsidRPr="00EC75B7">
              <w:rPr>
                <w:rFonts w:ascii="Verdana" w:hAnsi="Verdana"/>
                <w:sz w:val="18"/>
                <w:szCs w:val="18"/>
              </w:rPr>
              <w:t>species</w:t>
            </w:r>
          </w:p>
          <w:p w14:paraId="1CDEA117" w14:textId="77777777" w:rsidR="008715BE" w:rsidRPr="00EC75B7" w:rsidRDefault="00000000">
            <w:pPr>
              <w:pStyle w:val="TableParagraph"/>
              <w:spacing w:line="174" w:lineRule="exact"/>
              <w:ind w:left="11"/>
              <w:jc w:val="center"/>
              <w:rPr>
                <w:rFonts w:ascii="Verdana" w:hAnsi="Verdana"/>
                <w:sz w:val="18"/>
                <w:szCs w:val="18"/>
              </w:rPr>
            </w:pPr>
            <w:r w:rsidRPr="00EC75B7">
              <w:rPr>
                <w:rFonts w:ascii="Verdana" w:hAnsi="Verdana"/>
                <w:spacing w:val="-2"/>
                <w:sz w:val="18"/>
                <w:szCs w:val="18"/>
              </w:rPr>
              <w:t>endangered</w:t>
            </w:r>
          </w:p>
        </w:tc>
      </w:tr>
      <w:tr w:rsidR="008715BE" w:rsidRPr="00EC75B7" w14:paraId="7F2C72BD" w14:textId="77777777">
        <w:trPr>
          <w:trHeight w:val="388"/>
        </w:trPr>
        <w:tc>
          <w:tcPr>
            <w:tcW w:w="1565" w:type="dxa"/>
          </w:tcPr>
          <w:p w14:paraId="7E901BC2" w14:textId="77777777" w:rsidR="008715BE" w:rsidRPr="00EC75B7" w:rsidRDefault="00000000">
            <w:pPr>
              <w:pStyle w:val="TableParagraph"/>
              <w:spacing w:before="95"/>
              <w:ind w:left="12"/>
              <w:jc w:val="center"/>
              <w:rPr>
                <w:rFonts w:ascii="Verdana" w:hAnsi="Verdana"/>
                <w:i/>
                <w:sz w:val="18"/>
                <w:szCs w:val="18"/>
              </w:rPr>
            </w:pPr>
            <w:r w:rsidRPr="00EC75B7">
              <w:rPr>
                <w:rFonts w:ascii="Verdana" w:hAnsi="Verdana"/>
                <w:i/>
                <w:sz w:val="18"/>
                <w:szCs w:val="18"/>
              </w:rPr>
              <w:t xml:space="preserve">Testudo </w:t>
            </w:r>
            <w:r w:rsidRPr="00EC75B7">
              <w:rPr>
                <w:rFonts w:ascii="Verdana" w:hAnsi="Verdana"/>
                <w:i/>
                <w:spacing w:val="-2"/>
                <w:sz w:val="18"/>
                <w:szCs w:val="18"/>
              </w:rPr>
              <w:t>graeca</w:t>
            </w:r>
          </w:p>
        </w:tc>
        <w:tc>
          <w:tcPr>
            <w:tcW w:w="1827" w:type="dxa"/>
          </w:tcPr>
          <w:p w14:paraId="7985EE0A" w14:textId="77777777" w:rsidR="008715BE" w:rsidRPr="00EC75B7" w:rsidRDefault="00000000">
            <w:pPr>
              <w:pStyle w:val="TableParagraph"/>
              <w:spacing w:line="194" w:lineRule="exact"/>
              <w:ind w:left="12" w:right="5"/>
              <w:jc w:val="center"/>
              <w:rPr>
                <w:rFonts w:ascii="Verdana" w:hAnsi="Verdana"/>
                <w:sz w:val="18"/>
                <w:szCs w:val="18"/>
              </w:rPr>
            </w:pPr>
            <w:r w:rsidRPr="00EC75B7">
              <w:rPr>
                <w:rFonts w:ascii="Verdana" w:hAnsi="Verdana"/>
                <w:spacing w:val="-2"/>
                <w:sz w:val="18"/>
                <w:szCs w:val="18"/>
              </w:rPr>
              <w:t xml:space="preserve">Dobrogea </w:t>
            </w:r>
            <w:r w:rsidRPr="00EC75B7">
              <w:rPr>
                <w:rFonts w:ascii="Verdana" w:hAnsi="Verdana"/>
                <w:sz w:val="18"/>
                <w:szCs w:val="18"/>
              </w:rPr>
              <w:t>tortoise</w:t>
            </w:r>
          </w:p>
          <w:p w14:paraId="2209EC8C" w14:textId="77777777" w:rsidR="008715BE" w:rsidRPr="00EC75B7" w:rsidRDefault="00000000">
            <w:pPr>
              <w:pStyle w:val="TableParagraph"/>
              <w:spacing w:line="174" w:lineRule="exact"/>
              <w:ind w:left="12" w:right="3"/>
              <w:jc w:val="center"/>
              <w:rPr>
                <w:rFonts w:ascii="Verdana" w:hAnsi="Verdana"/>
                <w:sz w:val="18"/>
                <w:szCs w:val="18"/>
              </w:rPr>
            </w:pPr>
            <w:r w:rsidRPr="00EC75B7">
              <w:rPr>
                <w:rFonts w:ascii="Verdana" w:hAnsi="Verdana"/>
                <w:spacing w:val="-2"/>
                <w:sz w:val="18"/>
                <w:szCs w:val="18"/>
              </w:rPr>
              <w:t>Dobrogea</w:t>
            </w:r>
          </w:p>
        </w:tc>
        <w:tc>
          <w:tcPr>
            <w:tcW w:w="1207" w:type="dxa"/>
          </w:tcPr>
          <w:p w14:paraId="71C47486" w14:textId="77777777" w:rsidR="008715BE" w:rsidRPr="00EC75B7" w:rsidRDefault="00000000">
            <w:pPr>
              <w:pStyle w:val="TableParagraph"/>
              <w:spacing w:before="95"/>
              <w:ind w:left="14" w:right="5"/>
              <w:jc w:val="center"/>
              <w:rPr>
                <w:rFonts w:ascii="Verdana" w:hAnsi="Verdana"/>
                <w:sz w:val="18"/>
                <w:szCs w:val="18"/>
              </w:rPr>
            </w:pPr>
            <w:r w:rsidRPr="00EC75B7">
              <w:rPr>
                <w:rFonts w:ascii="Verdana" w:hAnsi="Verdana"/>
                <w:spacing w:val="-10"/>
                <w:sz w:val="18"/>
                <w:szCs w:val="18"/>
              </w:rPr>
              <w:t>6</w:t>
            </w:r>
          </w:p>
        </w:tc>
        <w:tc>
          <w:tcPr>
            <w:tcW w:w="871" w:type="dxa"/>
          </w:tcPr>
          <w:p w14:paraId="18B72554" w14:textId="77777777" w:rsidR="008715BE" w:rsidRPr="00EC75B7" w:rsidRDefault="00000000">
            <w:pPr>
              <w:pStyle w:val="TableParagraph"/>
              <w:spacing w:before="95"/>
              <w:ind w:left="11"/>
              <w:jc w:val="center"/>
              <w:rPr>
                <w:rFonts w:ascii="Verdana" w:hAnsi="Verdana"/>
                <w:sz w:val="18"/>
                <w:szCs w:val="18"/>
              </w:rPr>
            </w:pPr>
            <w:r w:rsidRPr="00EC75B7">
              <w:rPr>
                <w:rFonts w:ascii="Verdana" w:hAnsi="Verdana"/>
                <w:spacing w:val="-5"/>
                <w:sz w:val="18"/>
                <w:szCs w:val="18"/>
              </w:rPr>
              <w:t>VU</w:t>
            </w:r>
          </w:p>
        </w:tc>
        <w:tc>
          <w:tcPr>
            <w:tcW w:w="1207" w:type="dxa"/>
          </w:tcPr>
          <w:p w14:paraId="451FC9AD" w14:textId="77777777" w:rsidR="008715BE" w:rsidRPr="00EC75B7" w:rsidRDefault="00000000">
            <w:pPr>
              <w:pStyle w:val="TableParagraph"/>
              <w:spacing w:line="194" w:lineRule="exact"/>
              <w:ind w:left="230"/>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p w14:paraId="6F88DA98" w14:textId="77777777" w:rsidR="008715BE" w:rsidRPr="00EC75B7" w:rsidRDefault="00000000">
            <w:pPr>
              <w:pStyle w:val="TableParagraph"/>
              <w:spacing w:line="174" w:lineRule="exact"/>
              <w:ind w:left="238"/>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180" w:type="dxa"/>
          </w:tcPr>
          <w:p w14:paraId="7036F6DF" w14:textId="77777777" w:rsidR="008715BE" w:rsidRPr="00EC75B7" w:rsidRDefault="00000000">
            <w:pPr>
              <w:pStyle w:val="TableParagraph"/>
              <w:spacing w:before="95"/>
              <w:ind w:left="13"/>
              <w:jc w:val="center"/>
              <w:rPr>
                <w:rFonts w:ascii="Verdana" w:hAnsi="Verdana"/>
                <w:sz w:val="18"/>
                <w:szCs w:val="18"/>
              </w:rPr>
            </w:pPr>
            <w:r w:rsidRPr="00EC75B7">
              <w:rPr>
                <w:rFonts w:ascii="Verdana" w:hAnsi="Verdana"/>
                <w:spacing w:val="-5"/>
                <w:sz w:val="18"/>
                <w:szCs w:val="18"/>
              </w:rPr>
              <w:t>No</w:t>
            </w:r>
          </w:p>
        </w:tc>
        <w:tc>
          <w:tcPr>
            <w:tcW w:w="1236" w:type="dxa"/>
          </w:tcPr>
          <w:p w14:paraId="07A9BA62" w14:textId="77777777" w:rsidR="008715BE" w:rsidRPr="00EC75B7" w:rsidRDefault="00000000">
            <w:pPr>
              <w:pStyle w:val="TableParagraph"/>
              <w:spacing w:line="194" w:lineRule="exact"/>
              <w:ind w:left="261"/>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3,</w:t>
            </w:r>
          </w:p>
          <w:p w14:paraId="155FEE56" w14:textId="77777777" w:rsidR="008715BE" w:rsidRPr="00EC75B7" w:rsidRDefault="00000000">
            <w:pPr>
              <w:pStyle w:val="TableParagraph"/>
              <w:spacing w:line="174" w:lineRule="exact"/>
              <w:ind w:left="237"/>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4A</w:t>
            </w:r>
          </w:p>
        </w:tc>
        <w:tc>
          <w:tcPr>
            <w:tcW w:w="1576" w:type="dxa"/>
          </w:tcPr>
          <w:p w14:paraId="1C471D94" w14:textId="77777777" w:rsidR="008715BE" w:rsidRPr="00EC75B7" w:rsidRDefault="00000000">
            <w:pPr>
              <w:pStyle w:val="TableParagraph"/>
              <w:spacing w:line="194" w:lineRule="exact"/>
              <w:ind w:left="15"/>
              <w:jc w:val="center"/>
              <w:rPr>
                <w:rFonts w:ascii="Verdana" w:hAnsi="Verdana"/>
                <w:sz w:val="18"/>
                <w:szCs w:val="18"/>
              </w:rPr>
            </w:pPr>
            <w:r w:rsidRPr="00EC75B7">
              <w:rPr>
                <w:rFonts w:ascii="Verdana" w:hAnsi="Verdana"/>
                <w:spacing w:val="-2"/>
                <w:sz w:val="18"/>
                <w:szCs w:val="18"/>
              </w:rPr>
              <w:t>Species</w:t>
            </w:r>
          </w:p>
          <w:p w14:paraId="6F46836A" w14:textId="77777777" w:rsidR="008715BE" w:rsidRPr="00EC75B7" w:rsidRDefault="00000000">
            <w:pPr>
              <w:pStyle w:val="TableParagraph"/>
              <w:spacing w:line="174" w:lineRule="exact"/>
              <w:ind w:left="13"/>
              <w:jc w:val="center"/>
              <w:rPr>
                <w:rFonts w:ascii="Verdana" w:hAnsi="Verdana"/>
                <w:sz w:val="18"/>
                <w:szCs w:val="18"/>
              </w:rPr>
            </w:pPr>
            <w:r w:rsidRPr="00EC75B7">
              <w:rPr>
                <w:rFonts w:ascii="Verdana" w:hAnsi="Verdana"/>
                <w:spacing w:val="-2"/>
                <w:sz w:val="18"/>
                <w:szCs w:val="18"/>
              </w:rPr>
              <w:t>Endangered</w:t>
            </w:r>
          </w:p>
        </w:tc>
      </w:tr>
    </w:tbl>
    <w:p w14:paraId="673AB8F7" w14:textId="77777777" w:rsidR="008715BE" w:rsidRPr="00EC75B7" w:rsidRDefault="00000000">
      <w:pPr>
        <w:spacing w:before="3"/>
        <w:ind w:left="765"/>
        <w:jc w:val="both"/>
        <w:rPr>
          <w:rFonts w:ascii="Verdana" w:hAnsi="Verdana"/>
          <w:i/>
          <w:sz w:val="18"/>
          <w:szCs w:val="18"/>
        </w:rPr>
      </w:pPr>
      <w:r w:rsidRPr="00EC75B7">
        <w:rPr>
          <w:rFonts w:ascii="Verdana" w:hAnsi="Verdana"/>
          <w:b/>
          <w:i/>
          <w:sz w:val="18"/>
          <w:szCs w:val="18"/>
        </w:rPr>
        <w:t>IUCN</w:t>
      </w:r>
      <w:r w:rsidRPr="00EC75B7">
        <w:rPr>
          <w:rFonts w:ascii="Verdana" w:hAnsi="Verdana"/>
          <w:i/>
          <w:sz w:val="18"/>
          <w:szCs w:val="18"/>
        </w:rPr>
        <w:t xml:space="preserve">: LC – Least Concern; VU – </w:t>
      </w:r>
      <w:r w:rsidRPr="00EC75B7">
        <w:rPr>
          <w:rFonts w:ascii="Verdana" w:hAnsi="Verdana"/>
          <w:i/>
          <w:spacing w:val="-2"/>
          <w:sz w:val="18"/>
          <w:szCs w:val="18"/>
        </w:rPr>
        <w:t>Vulnerable</w:t>
      </w:r>
    </w:p>
    <w:p w14:paraId="52D6C2C2" w14:textId="77777777" w:rsidR="008715BE" w:rsidRPr="00EC75B7" w:rsidRDefault="00000000">
      <w:pPr>
        <w:ind w:left="765" w:right="858"/>
        <w:jc w:val="both"/>
        <w:rPr>
          <w:rFonts w:ascii="Verdana" w:hAnsi="Verdana"/>
          <w:i/>
          <w:sz w:val="18"/>
          <w:szCs w:val="18"/>
        </w:rPr>
      </w:pPr>
      <w:r w:rsidRPr="00EC75B7">
        <w:rPr>
          <w:rFonts w:ascii="Verdana" w:hAnsi="Verdana"/>
          <w:b/>
          <w:i/>
          <w:sz w:val="18"/>
          <w:szCs w:val="18"/>
        </w:rPr>
        <w:t>Habitats Directive</w:t>
      </w:r>
      <w:r w:rsidRPr="00EC75B7">
        <w:rPr>
          <w:rFonts w:ascii="Verdana" w:hAnsi="Verdana"/>
          <w:i/>
          <w:sz w:val="18"/>
          <w:szCs w:val="18"/>
        </w:rPr>
        <w:t>: Annex II – animal and plant species of Community interest whose conservation requires the designation of special areas of conservation; Annex IV – animal and plant species of Community importance requiring strict protection;</w:t>
      </w:r>
    </w:p>
    <w:p w14:paraId="13FA5CF4" w14:textId="77777777" w:rsidR="008715BE" w:rsidRPr="00EC75B7" w:rsidRDefault="00000000">
      <w:pPr>
        <w:spacing w:before="1" w:line="237" w:lineRule="auto"/>
        <w:ind w:left="794" w:right="846"/>
        <w:jc w:val="both"/>
        <w:rPr>
          <w:rFonts w:ascii="Verdana" w:hAnsi="Verdana"/>
          <w:i/>
          <w:sz w:val="18"/>
          <w:szCs w:val="18"/>
        </w:rPr>
      </w:pPr>
      <w:r w:rsidRPr="00EC75B7">
        <w:rPr>
          <w:rFonts w:ascii="Verdana" w:hAnsi="Verdana"/>
          <w:b/>
          <w:i/>
          <w:sz w:val="18"/>
          <w:szCs w:val="18"/>
        </w:rPr>
        <w:t xml:space="preserve">OUG57/2007 </w:t>
      </w:r>
      <w:r w:rsidRPr="00EC75B7">
        <w:rPr>
          <w:rFonts w:ascii="Verdana" w:hAnsi="Verdana"/>
          <w:i/>
          <w:sz w:val="18"/>
          <w:szCs w:val="18"/>
        </w:rPr>
        <w:t>on the regime of protected natural areas, conservation of natural habitats, wild flora and fauna: Annex 3 - Plant and animal species whose conservation requires the designation of special conservation areas and special bird protection areas; Annex 4A - Species of Community interest. Animal and plant species requiring strict protection; Annex 4B - Species of national interest. Animal and plant species requiring strict protection.</w:t>
      </w:r>
    </w:p>
    <w:p w14:paraId="06CCB344" w14:textId="77777777" w:rsidR="008715BE" w:rsidRPr="00EC75B7" w:rsidRDefault="008715BE">
      <w:pPr>
        <w:pStyle w:val="BodyText"/>
        <w:spacing w:before="196"/>
        <w:rPr>
          <w:rFonts w:ascii="Verdana" w:hAnsi="Verdana"/>
          <w:i/>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7D0344C6" w14:textId="77777777">
        <w:trPr>
          <w:trHeight w:val="5102"/>
        </w:trPr>
        <w:tc>
          <w:tcPr>
            <w:tcW w:w="4857" w:type="dxa"/>
          </w:tcPr>
          <w:p w14:paraId="7605FB23"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5F6C82B6" wp14:editId="60DF77A0">
                  <wp:extent cx="2976654" cy="3194685"/>
                  <wp:effectExtent l="0" t="0" r="0" b="0"/>
                  <wp:docPr id="165" name="Image 165"/>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3" cstate="print"/>
                          <a:stretch>
                            <a:fillRect/>
                          </a:stretch>
                        </pic:blipFill>
                        <pic:spPr>
                          <a:xfrm>
                            <a:off x="0" y="0"/>
                            <a:ext cx="2976654" cy="3194685"/>
                          </a:xfrm>
                          <a:prstGeom prst="rect">
                            <a:avLst/>
                          </a:prstGeom>
                        </pic:spPr>
                      </pic:pic>
                    </a:graphicData>
                  </a:graphic>
                </wp:inline>
              </w:drawing>
            </w:r>
          </w:p>
        </w:tc>
        <w:tc>
          <w:tcPr>
            <w:tcW w:w="4858" w:type="dxa"/>
          </w:tcPr>
          <w:p w14:paraId="5E8059D6"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77FD2A76" wp14:editId="4652DBF1">
                  <wp:extent cx="2977531" cy="3194685"/>
                  <wp:effectExtent l="0" t="0" r="0" b="0"/>
                  <wp:docPr id="166" name="Image 166"/>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4" cstate="print"/>
                          <a:stretch>
                            <a:fillRect/>
                          </a:stretch>
                        </pic:blipFill>
                        <pic:spPr>
                          <a:xfrm>
                            <a:off x="0" y="0"/>
                            <a:ext cx="2977531" cy="3194685"/>
                          </a:xfrm>
                          <a:prstGeom prst="rect">
                            <a:avLst/>
                          </a:prstGeom>
                        </pic:spPr>
                      </pic:pic>
                    </a:graphicData>
                  </a:graphic>
                </wp:inline>
              </w:drawing>
            </w:r>
          </w:p>
        </w:tc>
      </w:tr>
      <w:tr w:rsidR="008715BE" w:rsidRPr="00EC75B7" w14:paraId="23D3F74A" w14:textId="77777777">
        <w:trPr>
          <w:trHeight w:val="874"/>
        </w:trPr>
        <w:tc>
          <w:tcPr>
            <w:tcW w:w="4857" w:type="dxa"/>
          </w:tcPr>
          <w:p w14:paraId="01725E90" w14:textId="77777777" w:rsidR="008715BE" w:rsidRPr="00EC75B7" w:rsidRDefault="008715BE">
            <w:pPr>
              <w:pStyle w:val="TableParagraph"/>
              <w:spacing w:before="8"/>
              <w:rPr>
                <w:rFonts w:ascii="Verdana" w:hAnsi="Verdana"/>
                <w:i/>
                <w:sz w:val="18"/>
                <w:szCs w:val="18"/>
              </w:rPr>
            </w:pPr>
          </w:p>
          <w:p w14:paraId="1BA26CE4" w14:textId="77777777" w:rsidR="008715BE" w:rsidRPr="00EC75B7" w:rsidRDefault="00000000">
            <w:pPr>
              <w:pStyle w:val="TableParagraph"/>
              <w:ind w:left="114" w:right="144" w:firstLine="105"/>
              <w:rPr>
                <w:rFonts w:ascii="Verdana" w:hAnsi="Verdana"/>
                <w:sz w:val="18"/>
                <w:szCs w:val="18"/>
              </w:rPr>
            </w:pPr>
            <w:r w:rsidRPr="00EC75B7">
              <w:rPr>
                <w:rFonts w:ascii="Verdana" w:hAnsi="Verdana"/>
                <w:sz w:val="18"/>
                <w:szCs w:val="18"/>
              </w:rPr>
              <w:t>Green toad (</w:t>
            </w:r>
            <w:r w:rsidRPr="00EC75B7">
              <w:rPr>
                <w:rFonts w:ascii="Verdana" w:hAnsi="Verdana"/>
                <w:i/>
                <w:sz w:val="18"/>
                <w:szCs w:val="18"/>
              </w:rPr>
              <w:t>Bufo viridis</w:t>
            </w:r>
            <w:r w:rsidRPr="00EC75B7">
              <w:rPr>
                <w:rFonts w:ascii="Verdana" w:hAnsi="Verdana"/>
                <w:sz w:val="18"/>
                <w:szCs w:val="18"/>
              </w:rPr>
              <w:t>) larvae in a temporary puddle on a farm road</w:t>
            </w:r>
          </w:p>
        </w:tc>
        <w:tc>
          <w:tcPr>
            <w:tcW w:w="4858" w:type="dxa"/>
          </w:tcPr>
          <w:p w14:paraId="4138319C" w14:textId="77777777" w:rsidR="008715BE" w:rsidRPr="00EC75B7" w:rsidRDefault="00000000">
            <w:pPr>
              <w:pStyle w:val="TableParagraph"/>
              <w:spacing w:line="218" w:lineRule="exact"/>
              <w:ind w:left="286" w:right="384" w:firstLine="1"/>
              <w:jc w:val="center"/>
              <w:rPr>
                <w:rFonts w:ascii="Verdana" w:hAnsi="Verdana"/>
                <w:sz w:val="18"/>
                <w:szCs w:val="18"/>
              </w:rPr>
            </w:pPr>
            <w:r w:rsidRPr="00EC75B7">
              <w:rPr>
                <w:rFonts w:ascii="Verdana" w:hAnsi="Verdana"/>
                <w:sz w:val="18"/>
                <w:szCs w:val="18"/>
              </w:rPr>
              <w:t>Green toad (</w:t>
            </w:r>
            <w:r w:rsidRPr="00EC75B7">
              <w:rPr>
                <w:rFonts w:ascii="Verdana" w:hAnsi="Verdana"/>
                <w:i/>
                <w:sz w:val="18"/>
                <w:szCs w:val="18"/>
              </w:rPr>
              <w:t>Bufo viridis</w:t>
            </w:r>
            <w:r w:rsidRPr="00EC75B7">
              <w:rPr>
                <w:rFonts w:ascii="Verdana" w:hAnsi="Verdana"/>
                <w:sz w:val="18"/>
                <w:szCs w:val="18"/>
              </w:rPr>
              <w:t xml:space="preserve">) victim of road traffic, in the Natura 2000 site ROSCI0071 Dumbrăveni - Valea Urluia - Lacul </w:t>
            </w:r>
            <w:r w:rsidRPr="00EC75B7">
              <w:rPr>
                <w:rFonts w:ascii="Verdana" w:hAnsi="Verdana"/>
                <w:spacing w:val="-2"/>
                <w:sz w:val="18"/>
                <w:szCs w:val="18"/>
              </w:rPr>
              <w:t>Vederoasa</w:t>
            </w:r>
          </w:p>
        </w:tc>
      </w:tr>
    </w:tbl>
    <w:p w14:paraId="15C2AA4D" w14:textId="77777777" w:rsidR="008715BE" w:rsidRPr="00EC75B7" w:rsidRDefault="008715BE">
      <w:pPr>
        <w:pStyle w:val="TableParagraph"/>
        <w:spacing w:line="218" w:lineRule="exact"/>
        <w:jc w:val="center"/>
        <w:rPr>
          <w:rFonts w:ascii="Verdana" w:hAnsi="Verdana"/>
          <w:sz w:val="18"/>
          <w:szCs w:val="18"/>
        </w:rPr>
        <w:sectPr w:rsidR="008715BE" w:rsidRPr="00EC75B7">
          <w:pgSz w:w="11910" w:h="16840"/>
          <w:pgMar w:top="1160" w:right="141" w:bottom="1020" w:left="425" w:header="766" w:footer="797" w:gutter="0"/>
          <w:cols w:space="708"/>
        </w:sectPr>
      </w:pPr>
    </w:p>
    <w:p w14:paraId="680C0C55" w14:textId="77777777" w:rsidR="008715BE" w:rsidRPr="00EC75B7" w:rsidRDefault="008715BE">
      <w:pPr>
        <w:pStyle w:val="BodyText"/>
        <w:spacing w:before="133"/>
        <w:rPr>
          <w:rFonts w:ascii="Verdana" w:hAnsi="Verdana"/>
          <w:i/>
        </w:rPr>
      </w:pPr>
    </w:p>
    <w:tbl>
      <w:tblPr>
        <w:tblStyle w:val="TableNormal1"/>
        <w:tblW w:w="0" w:type="auto"/>
        <w:tblInd w:w="831" w:type="dxa"/>
        <w:tblLayout w:type="fixed"/>
        <w:tblLook w:val="01E0" w:firstRow="1" w:lastRow="1" w:firstColumn="1" w:lastColumn="1" w:noHBand="0" w:noVBand="0"/>
      </w:tblPr>
      <w:tblGrid>
        <w:gridCol w:w="4857"/>
        <w:gridCol w:w="4858"/>
      </w:tblGrid>
      <w:tr w:rsidR="008715BE" w:rsidRPr="00EC75B7" w14:paraId="6509F3B8" w14:textId="77777777">
        <w:trPr>
          <w:trHeight w:val="5162"/>
        </w:trPr>
        <w:tc>
          <w:tcPr>
            <w:tcW w:w="4857" w:type="dxa"/>
          </w:tcPr>
          <w:p w14:paraId="31421A35" w14:textId="77777777" w:rsidR="008715BE" w:rsidRPr="00EC75B7" w:rsidRDefault="00000000">
            <w:pPr>
              <w:pStyle w:val="TableParagraph"/>
              <w:ind w:left="50" w:right="-44"/>
              <w:rPr>
                <w:rFonts w:ascii="Verdana" w:hAnsi="Verdana"/>
                <w:sz w:val="18"/>
                <w:szCs w:val="18"/>
              </w:rPr>
            </w:pPr>
            <w:r w:rsidRPr="00EC75B7">
              <w:rPr>
                <w:rFonts w:ascii="Verdana" w:hAnsi="Verdana"/>
                <w:noProof/>
                <w:sz w:val="18"/>
                <w:szCs w:val="18"/>
              </w:rPr>
              <w:drawing>
                <wp:inline distT="0" distB="0" distL="0" distR="0" wp14:anchorId="73CC75C1" wp14:editId="05CE58B7">
                  <wp:extent cx="3045879" cy="3268979"/>
                  <wp:effectExtent l="0" t="0" r="0" b="0"/>
                  <wp:docPr id="167" name="Image 167"/>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25" cstate="print"/>
                          <a:stretch>
                            <a:fillRect/>
                          </a:stretch>
                        </pic:blipFill>
                        <pic:spPr>
                          <a:xfrm>
                            <a:off x="0" y="0"/>
                            <a:ext cx="3045879" cy="3268979"/>
                          </a:xfrm>
                          <a:prstGeom prst="rect">
                            <a:avLst/>
                          </a:prstGeom>
                        </pic:spPr>
                      </pic:pic>
                    </a:graphicData>
                  </a:graphic>
                </wp:inline>
              </w:drawing>
            </w:r>
          </w:p>
        </w:tc>
        <w:tc>
          <w:tcPr>
            <w:tcW w:w="4858" w:type="dxa"/>
          </w:tcPr>
          <w:p w14:paraId="4FF42A5C" w14:textId="77777777" w:rsidR="008715BE" w:rsidRPr="00EC75B7" w:rsidRDefault="00000000">
            <w:pPr>
              <w:pStyle w:val="TableParagraph"/>
              <w:ind w:left="54" w:right="-44"/>
              <w:rPr>
                <w:rFonts w:ascii="Verdana" w:hAnsi="Verdana"/>
                <w:sz w:val="18"/>
                <w:szCs w:val="18"/>
              </w:rPr>
            </w:pPr>
            <w:r w:rsidRPr="00EC75B7">
              <w:rPr>
                <w:rFonts w:ascii="Verdana" w:hAnsi="Verdana"/>
                <w:noProof/>
                <w:sz w:val="18"/>
                <w:szCs w:val="18"/>
              </w:rPr>
              <w:drawing>
                <wp:inline distT="0" distB="0" distL="0" distR="0" wp14:anchorId="582E11A9" wp14:editId="7A686E89">
                  <wp:extent cx="3046776" cy="3268979"/>
                  <wp:effectExtent l="0" t="0" r="0" b="0"/>
                  <wp:docPr id="168" name="Image 168"/>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26" cstate="print"/>
                          <a:stretch>
                            <a:fillRect/>
                          </a:stretch>
                        </pic:blipFill>
                        <pic:spPr>
                          <a:xfrm>
                            <a:off x="0" y="0"/>
                            <a:ext cx="3046776" cy="3268979"/>
                          </a:xfrm>
                          <a:prstGeom prst="rect">
                            <a:avLst/>
                          </a:prstGeom>
                        </pic:spPr>
                      </pic:pic>
                    </a:graphicData>
                  </a:graphic>
                </wp:inline>
              </w:drawing>
            </w:r>
          </w:p>
        </w:tc>
      </w:tr>
      <w:tr w:rsidR="008715BE" w:rsidRPr="00EC75B7" w14:paraId="213C850B" w14:textId="77777777">
        <w:trPr>
          <w:trHeight w:val="715"/>
        </w:trPr>
        <w:tc>
          <w:tcPr>
            <w:tcW w:w="4857" w:type="dxa"/>
          </w:tcPr>
          <w:p w14:paraId="49D7D40D" w14:textId="77777777" w:rsidR="008715BE" w:rsidRPr="00EC75B7" w:rsidRDefault="00000000">
            <w:pPr>
              <w:pStyle w:val="TableParagraph"/>
              <w:spacing w:before="42" w:line="218" w:lineRule="exact"/>
              <w:ind w:left="160" w:right="270" w:hanging="3"/>
              <w:jc w:val="center"/>
              <w:rPr>
                <w:rFonts w:ascii="Verdana" w:hAnsi="Verdana"/>
                <w:sz w:val="18"/>
                <w:szCs w:val="18"/>
              </w:rPr>
            </w:pPr>
            <w:r w:rsidRPr="00EC75B7">
              <w:rPr>
                <w:rFonts w:ascii="Verdana" w:hAnsi="Verdana"/>
                <w:sz w:val="18"/>
                <w:szCs w:val="18"/>
              </w:rPr>
              <w:t>Dobrogea tortoise (</w:t>
            </w:r>
            <w:r w:rsidRPr="00EC75B7">
              <w:rPr>
                <w:rFonts w:ascii="Verdana" w:hAnsi="Verdana"/>
                <w:i/>
                <w:sz w:val="18"/>
                <w:szCs w:val="18"/>
              </w:rPr>
              <w:t>Testudo graeca</w:t>
            </w:r>
            <w:r w:rsidRPr="00EC75B7">
              <w:rPr>
                <w:rFonts w:ascii="Verdana" w:hAnsi="Verdana"/>
                <w:sz w:val="18"/>
                <w:szCs w:val="18"/>
              </w:rPr>
              <w:t>) observed inside ROSCI0071 Dumbrăveni - Valea Urluia - Lacul Vederoasa</w:t>
            </w:r>
          </w:p>
        </w:tc>
        <w:tc>
          <w:tcPr>
            <w:tcW w:w="4858" w:type="dxa"/>
          </w:tcPr>
          <w:p w14:paraId="77EEDA60" w14:textId="77777777" w:rsidR="008715BE" w:rsidRPr="00EC75B7" w:rsidRDefault="00000000">
            <w:pPr>
              <w:pStyle w:val="TableParagraph"/>
              <w:spacing w:before="178"/>
              <w:ind w:left="912" w:right="648" w:hanging="365"/>
              <w:rPr>
                <w:rFonts w:ascii="Verdana" w:hAnsi="Verdana"/>
                <w:sz w:val="18"/>
                <w:szCs w:val="18"/>
              </w:rPr>
            </w:pPr>
            <w:r w:rsidRPr="00EC75B7">
              <w:rPr>
                <w:rFonts w:ascii="Verdana" w:hAnsi="Verdana"/>
                <w:sz w:val="18"/>
                <w:szCs w:val="18"/>
              </w:rPr>
              <w:t>Green lizard (</w:t>
            </w:r>
            <w:r w:rsidRPr="00EC75B7">
              <w:rPr>
                <w:rFonts w:ascii="Verdana" w:hAnsi="Verdana"/>
                <w:i/>
                <w:sz w:val="18"/>
                <w:szCs w:val="18"/>
              </w:rPr>
              <w:t>Lacerta viridis</w:t>
            </w:r>
            <w:r w:rsidRPr="00EC75B7">
              <w:rPr>
                <w:rFonts w:ascii="Verdana" w:hAnsi="Verdana"/>
                <w:sz w:val="18"/>
                <w:szCs w:val="18"/>
              </w:rPr>
              <w:t>) observed in the area of the wind farm site</w:t>
            </w:r>
          </w:p>
        </w:tc>
      </w:tr>
      <w:tr w:rsidR="008715BE" w:rsidRPr="00EC75B7" w14:paraId="4CCB237D" w14:textId="77777777">
        <w:trPr>
          <w:trHeight w:val="5102"/>
        </w:trPr>
        <w:tc>
          <w:tcPr>
            <w:tcW w:w="4857" w:type="dxa"/>
          </w:tcPr>
          <w:p w14:paraId="29C8CDB1"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13657E6D" wp14:editId="37AFCA6E">
                  <wp:extent cx="2976711" cy="3194685"/>
                  <wp:effectExtent l="0" t="0" r="0" b="0"/>
                  <wp:docPr id="169" name="Image 169"/>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27" cstate="print"/>
                          <a:stretch>
                            <a:fillRect/>
                          </a:stretch>
                        </pic:blipFill>
                        <pic:spPr>
                          <a:xfrm>
                            <a:off x="0" y="0"/>
                            <a:ext cx="2976711" cy="3194685"/>
                          </a:xfrm>
                          <a:prstGeom prst="rect">
                            <a:avLst/>
                          </a:prstGeom>
                        </pic:spPr>
                      </pic:pic>
                    </a:graphicData>
                  </a:graphic>
                </wp:inline>
              </w:drawing>
            </w:r>
          </w:p>
        </w:tc>
        <w:tc>
          <w:tcPr>
            <w:tcW w:w="4858" w:type="dxa"/>
          </w:tcPr>
          <w:p w14:paraId="1787B8D9"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6DF5A597" wp14:editId="03DE8493">
                  <wp:extent cx="2977587" cy="3194685"/>
                  <wp:effectExtent l="0" t="0" r="0" b="0"/>
                  <wp:docPr id="170" name="Image 170"/>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28" cstate="print"/>
                          <a:stretch>
                            <a:fillRect/>
                          </a:stretch>
                        </pic:blipFill>
                        <pic:spPr>
                          <a:xfrm>
                            <a:off x="0" y="0"/>
                            <a:ext cx="2977587" cy="3194685"/>
                          </a:xfrm>
                          <a:prstGeom prst="rect">
                            <a:avLst/>
                          </a:prstGeom>
                        </pic:spPr>
                      </pic:pic>
                    </a:graphicData>
                  </a:graphic>
                </wp:inline>
              </w:drawing>
            </w:r>
          </w:p>
        </w:tc>
      </w:tr>
      <w:tr w:rsidR="008715BE" w:rsidRPr="00EC75B7" w14:paraId="3FE3C6A8" w14:textId="77777777">
        <w:trPr>
          <w:trHeight w:val="437"/>
        </w:trPr>
        <w:tc>
          <w:tcPr>
            <w:tcW w:w="4857" w:type="dxa"/>
          </w:tcPr>
          <w:p w14:paraId="281D5744" w14:textId="77777777" w:rsidR="008715BE" w:rsidRPr="00EC75B7" w:rsidRDefault="00000000">
            <w:pPr>
              <w:pStyle w:val="TableParagraph"/>
              <w:spacing w:line="218" w:lineRule="exact"/>
              <w:ind w:left="270" w:right="144" w:hanging="152"/>
              <w:rPr>
                <w:rFonts w:ascii="Verdana" w:hAnsi="Verdana"/>
                <w:sz w:val="18"/>
                <w:szCs w:val="18"/>
              </w:rPr>
            </w:pPr>
            <w:r w:rsidRPr="00EC75B7">
              <w:rPr>
                <w:rFonts w:ascii="Verdana" w:hAnsi="Verdana"/>
                <w:sz w:val="18"/>
                <w:szCs w:val="18"/>
              </w:rPr>
              <w:t>Caspian whipsnake (</w:t>
            </w:r>
            <w:r w:rsidRPr="00EC75B7">
              <w:rPr>
                <w:rFonts w:ascii="Verdana" w:hAnsi="Verdana"/>
                <w:i/>
                <w:sz w:val="18"/>
                <w:szCs w:val="18"/>
              </w:rPr>
              <w:t>Dolicophis caspius</w:t>
            </w:r>
            <w:r w:rsidRPr="00EC75B7">
              <w:rPr>
                <w:rFonts w:ascii="Verdana" w:hAnsi="Verdana"/>
                <w:sz w:val="18"/>
                <w:szCs w:val="18"/>
              </w:rPr>
              <w:t>) roadkill in the area of the wind farm site</w:t>
            </w:r>
          </w:p>
        </w:tc>
        <w:tc>
          <w:tcPr>
            <w:tcW w:w="4858" w:type="dxa"/>
          </w:tcPr>
          <w:p w14:paraId="08A991EA" w14:textId="77777777" w:rsidR="008715BE" w:rsidRPr="00EC75B7" w:rsidRDefault="00000000">
            <w:pPr>
              <w:pStyle w:val="TableParagraph"/>
              <w:spacing w:before="10" w:line="219" w:lineRule="exact"/>
              <w:ind w:left="9" w:right="110"/>
              <w:jc w:val="center"/>
              <w:rPr>
                <w:rFonts w:ascii="Verdana" w:hAnsi="Verdana"/>
                <w:sz w:val="18"/>
                <w:szCs w:val="18"/>
              </w:rPr>
            </w:pPr>
            <w:r w:rsidRPr="00EC75B7">
              <w:rPr>
                <w:rFonts w:ascii="Verdana" w:hAnsi="Verdana"/>
                <w:sz w:val="18"/>
                <w:szCs w:val="18"/>
              </w:rPr>
              <w:t>Wall lizard (</w:t>
            </w:r>
            <w:r w:rsidRPr="00EC75B7">
              <w:rPr>
                <w:rFonts w:ascii="Verdana" w:hAnsi="Verdana"/>
                <w:i/>
                <w:sz w:val="18"/>
                <w:szCs w:val="18"/>
              </w:rPr>
              <w:t>Podarcis muralis</w:t>
            </w:r>
            <w:r w:rsidRPr="00EC75B7">
              <w:rPr>
                <w:rFonts w:ascii="Verdana" w:hAnsi="Verdana"/>
                <w:sz w:val="18"/>
                <w:szCs w:val="18"/>
              </w:rPr>
              <w:t xml:space="preserve">) observed </w:t>
            </w:r>
            <w:r w:rsidRPr="00EC75B7">
              <w:rPr>
                <w:rFonts w:ascii="Verdana" w:hAnsi="Verdana"/>
                <w:spacing w:val="-5"/>
                <w:sz w:val="18"/>
                <w:szCs w:val="18"/>
              </w:rPr>
              <w:t>in</w:t>
            </w:r>
          </w:p>
          <w:p w14:paraId="6C4F790D" w14:textId="77777777" w:rsidR="008715BE" w:rsidRPr="00EC75B7" w:rsidRDefault="00000000">
            <w:pPr>
              <w:pStyle w:val="TableParagraph"/>
              <w:spacing w:line="189" w:lineRule="exact"/>
              <w:ind w:left="11" w:right="110"/>
              <w:jc w:val="center"/>
              <w:rPr>
                <w:rFonts w:ascii="Verdana" w:hAnsi="Verdana"/>
                <w:sz w:val="18"/>
                <w:szCs w:val="18"/>
              </w:rPr>
            </w:pPr>
            <w:r w:rsidRPr="00EC75B7">
              <w:rPr>
                <w:rFonts w:ascii="Verdana" w:hAnsi="Verdana"/>
                <w:spacing w:val="-2"/>
                <w:sz w:val="18"/>
                <w:szCs w:val="18"/>
              </w:rPr>
              <w:t xml:space="preserve">the wind </w:t>
            </w:r>
            <w:r w:rsidRPr="00EC75B7">
              <w:rPr>
                <w:rFonts w:ascii="Verdana" w:hAnsi="Verdana"/>
                <w:sz w:val="18"/>
                <w:szCs w:val="18"/>
              </w:rPr>
              <w:t>farm area</w:t>
            </w:r>
          </w:p>
        </w:tc>
      </w:tr>
    </w:tbl>
    <w:p w14:paraId="2048FA44" w14:textId="77777777" w:rsidR="008715BE" w:rsidRPr="00EC75B7" w:rsidRDefault="008715BE">
      <w:pPr>
        <w:pStyle w:val="TableParagraph"/>
        <w:spacing w:line="189" w:lineRule="exact"/>
        <w:jc w:val="center"/>
        <w:rPr>
          <w:rFonts w:ascii="Verdana" w:hAnsi="Verdana"/>
          <w:sz w:val="18"/>
          <w:szCs w:val="18"/>
        </w:rPr>
        <w:sectPr w:rsidR="008715BE" w:rsidRPr="00EC75B7">
          <w:pgSz w:w="11910" w:h="16840"/>
          <w:pgMar w:top="1160" w:right="141" w:bottom="1020" w:left="425" w:header="766" w:footer="797" w:gutter="0"/>
          <w:cols w:space="708"/>
        </w:sectPr>
      </w:pPr>
    </w:p>
    <w:p w14:paraId="2AB5D760" w14:textId="77777777" w:rsidR="008715BE" w:rsidRPr="00EC75B7" w:rsidRDefault="008715BE">
      <w:pPr>
        <w:pStyle w:val="BodyText"/>
        <w:spacing w:before="13" w:after="1"/>
        <w:rPr>
          <w:rFonts w:ascii="Verdana" w:hAnsi="Verdana"/>
          <w:i/>
        </w:rPr>
      </w:pPr>
    </w:p>
    <w:tbl>
      <w:tblPr>
        <w:tblStyle w:val="TableNormal1"/>
        <w:tblW w:w="0" w:type="auto"/>
        <w:tblInd w:w="2463" w:type="dxa"/>
        <w:tblLayout w:type="fixed"/>
        <w:tblLook w:val="01E0" w:firstRow="1" w:lastRow="1" w:firstColumn="1" w:lastColumn="1" w:noHBand="0" w:noVBand="0"/>
      </w:tblPr>
      <w:tblGrid>
        <w:gridCol w:w="6343"/>
      </w:tblGrid>
      <w:tr w:rsidR="008715BE" w:rsidRPr="00EC75B7" w14:paraId="2C2BCA8E" w14:textId="77777777">
        <w:trPr>
          <w:trHeight w:val="5102"/>
        </w:trPr>
        <w:tc>
          <w:tcPr>
            <w:tcW w:w="6343" w:type="dxa"/>
          </w:tcPr>
          <w:p w14:paraId="1D143B18" w14:textId="77777777" w:rsidR="008715BE" w:rsidRPr="00EC75B7" w:rsidRDefault="00000000">
            <w:pPr>
              <w:pStyle w:val="TableParagraph"/>
              <w:ind w:left="741"/>
              <w:rPr>
                <w:rFonts w:ascii="Verdana" w:hAnsi="Verdana"/>
                <w:sz w:val="18"/>
                <w:szCs w:val="18"/>
              </w:rPr>
            </w:pPr>
            <w:r w:rsidRPr="00EC75B7">
              <w:rPr>
                <w:rFonts w:ascii="Verdana" w:hAnsi="Verdana"/>
                <w:noProof/>
                <w:sz w:val="18"/>
                <w:szCs w:val="18"/>
              </w:rPr>
              <w:drawing>
                <wp:inline distT="0" distB="0" distL="0" distR="0" wp14:anchorId="0A90B27A" wp14:editId="6C1BB933">
                  <wp:extent cx="3033998" cy="3194684"/>
                  <wp:effectExtent l="0" t="0" r="0" b="0"/>
                  <wp:docPr id="171" name="Image 171"/>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29" cstate="print"/>
                          <a:stretch>
                            <a:fillRect/>
                          </a:stretch>
                        </pic:blipFill>
                        <pic:spPr>
                          <a:xfrm>
                            <a:off x="0" y="0"/>
                            <a:ext cx="3033998" cy="3194684"/>
                          </a:xfrm>
                          <a:prstGeom prst="rect">
                            <a:avLst/>
                          </a:prstGeom>
                        </pic:spPr>
                      </pic:pic>
                    </a:graphicData>
                  </a:graphic>
                </wp:inline>
              </w:drawing>
            </w:r>
          </w:p>
        </w:tc>
      </w:tr>
      <w:tr w:rsidR="008715BE" w:rsidRPr="00EC75B7" w14:paraId="400F3CB8" w14:textId="77777777">
        <w:trPr>
          <w:trHeight w:val="219"/>
        </w:trPr>
        <w:tc>
          <w:tcPr>
            <w:tcW w:w="6343" w:type="dxa"/>
          </w:tcPr>
          <w:p w14:paraId="27068453" w14:textId="77777777" w:rsidR="008715BE" w:rsidRPr="00EC75B7" w:rsidRDefault="00000000">
            <w:pPr>
              <w:pStyle w:val="TableParagraph"/>
              <w:spacing w:before="10" w:line="189" w:lineRule="exact"/>
              <w:ind w:left="50"/>
              <w:rPr>
                <w:rFonts w:ascii="Verdana" w:hAnsi="Verdana"/>
                <w:sz w:val="18"/>
                <w:szCs w:val="18"/>
              </w:rPr>
            </w:pPr>
            <w:r w:rsidRPr="00EC75B7">
              <w:rPr>
                <w:rFonts w:ascii="Verdana" w:hAnsi="Verdana"/>
                <w:sz w:val="18"/>
                <w:szCs w:val="18"/>
              </w:rPr>
              <w:t>Steppe lizard (</w:t>
            </w:r>
            <w:r w:rsidRPr="00EC75B7">
              <w:rPr>
                <w:rFonts w:ascii="Verdana" w:hAnsi="Verdana"/>
                <w:i/>
                <w:sz w:val="18"/>
                <w:szCs w:val="18"/>
              </w:rPr>
              <w:t>Podarcis taurica</w:t>
            </w:r>
            <w:r w:rsidRPr="00EC75B7">
              <w:rPr>
                <w:rFonts w:ascii="Verdana" w:hAnsi="Verdana"/>
                <w:sz w:val="18"/>
                <w:szCs w:val="18"/>
              </w:rPr>
              <w:t xml:space="preserve">) observed in the </w:t>
            </w:r>
            <w:r w:rsidRPr="00EC75B7">
              <w:rPr>
                <w:rFonts w:ascii="Verdana" w:hAnsi="Verdana"/>
                <w:spacing w:val="-2"/>
                <w:sz w:val="18"/>
                <w:szCs w:val="18"/>
              </w:rPr>
              <w:t xml:space="preserve">wind </w:t>
            </w:r>
            <w:r w:rsidRPr="00EC75B7">
              <w:rPr>
                <w:rFonts w:ascii="Verdana" w:hAnsi="Verdana"/>
                <w:sz w:val="18"/>
                <w:szCs w:val="18"/>
              </w:rPr>
              <w:t>farm area</w:t>
            </w:r>
          </w:p>
        </w:tc>
      </w:tr>
    </w:tbl>
    <w:p w14:paraId="23992D25" w14:textId="77777777" w:rsidR="008715BE" w:rsidRPr="00EC75B7" w:rsidRDefault="008715BE">
      <w:pPr>
        <w:pStyle w:val="BodyText"/>
        <w:spacing w:before="32"/>
        <w:rPr>
          <w:rFonts w:ascii="Verdana" w:hAnsi="Verdana"/>
          <w:i/>
        </w:rPr>
      </w:pPr>
    </w:p>
    <w:p w14:paraId="4665B72A" w14:textId="77777777" w:rsidR="008715BE" w:rsidRPr="00EC75B7" w:rsidRDefault="00000000">
      <w:pPr>
        <w:ind w:right="55"/>
        <w:jc w:val="center"/>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30 </w:t>
      </w:r>
      <w:r w:rsidRPr="00EC75B7">
        <w:rPr>
          <w:rFonts w:ascii="Verdana" w:hAnsi="Verdana"/>
          <w:b/>
          <w:color w:val="009DEF"/>
          <w:sz w:val="18"/>
          <w:szCs w:val="18"/>
        </w:rPr>
        <w:t xml:space="preserve">Relevant photographs of </w:t>
      </w:r>
      <w:r w:rsidRPr="00EC75B7">
        <w:rPr>
          <w:rFonts w:ascii="Verdana" w:hAnsi="Verdana"/>
          <w:b/>
          <w:color w:val="009DEF"/>
          <w:spacing w:val="-2"/>
          <w:sz w:val="18"/>
          <w:szCs w:val="18"/>
        </w:rPr>
        <w:t>mammals</w:t>
      </w:r>
    </w:p>
    <w:p w14:paraId="47308E1D" w14:textId="77777777" w:rsidR="008715BE" w:rsidRPr="00EC75B7" w:rsidRDefault="008715BE">
      <w:pPr>
        <w:pStyle w:val="BodyText"/>
        <w:rPr>
          <w:rFonts w:ascii="Verdana" w:hAnsi="Verdana"/>
          <w:b/>
        </w:rPr>
      </w:pPr>
    </w:p>
    <w:p w14:paraId="2CC8CFCB" w14:textId="77777777" w:rsidR="008715BE" w:rsidRPr="00EC75B7" w:rsidRDefault="008715BE">
      <w:pPr>
        <w:pStyle w:val="BodyText"/>
        <w:rPr>
          <w:rFonts w:ascii="Verdana" w:hAnsi="Verdana"/>
          <w:b/>
        </w:rPr>
      </w:pPr>
    </w:p>
    <w:p w14:paraId="2ED86FBF" w14:textId="77777777" w:rsidR="008715BE" w:rsidRPr="00EC75B7" w:rsidRDefault="008715BE">
      <w:pPr>
        <w:pStyle w:val="BodyText"/>
        <w:spacing w:before="5"/>
        <w:rPr>
          <w:rFonts w:ascii="Verdana" w:hAnsi="Verdana"/>
          <w:b/>
        </w:rPr>
      </w:pPr>
    </w:p>
    <w:p w14:paraId="4043B36D" w14:textId="77777777" w:rsidR="008715BE" w:rsidRPr="00EC75B7" w:rsidRDefault="00000000">
      <w:pPr>
        <w:pStyle w:val="Heading5"/>
        <w:numPr>
          <w:ilvl w:val="0"/>
          <w:numId w:val="92"/>
        </w:numPr>
        <w:tabs>
          <w:tab w:val="left" w:pos="1513"/>
        </w:tabs>
        <w:ind w:left="1513" w:hanging="359"/>
        <w:jc w:val="left"/>
        <w:rPr>
          <w:rFonts w:ascii="Verdana" w:hAnsi="Verdana"/>
        </w:rPr>
      </w:pPr>
      <w:r w:rsidRPr="00EC75B7">
        <w:rPr>
          <w:rFonts w:ascii="Verdana" w:hAnsi="Verdana"/>
          <w:spacing w:val="-2"/>
        </w:rPr>
        <w:t>Avifauna</w:t>
      </w:r>
    </w:p>
    <w:p w14:paraId="0047298E" w14:textId="77777777" w:rsidR="008715BE" w:rsidRPr="00EC75B7" w:rsidRDefault="008715BE">
      <w:pPr>
        <w:pStyle w:val="BodyText"/>
        <w:spacing w:before="9"/>
        <w:rPr>
          <w:rFonts w:ascii="Verdana" w:hAnsi="Verdana"/>
          <w:b/>
        </w:rPr>
      </w:pPr>
    </w:p>
    <w:p w14:paraId="4511CE9A" w14:textId="77777777" w:rsidR="008715BE" w:rsidRPr="00EC75B7" w:rsidRDefault="00000000">
      <w:pPr>
        <w:pStyle w:val="BodyText"/>
        <w:spacing w:line="357" w:lineRule="auto"/>
        <w:ind w:left="794" w:right="855"/>
        <w:jc w:val="both"/>
        <w:rPr>
          <w:rFonts w:ascii="Verdana" w:hAnsi="Verdana"/>
        </w:rPr>
      </w:pPr>
      <w:r w:rsidRPr="00EC75B7">
        <w:rPr>
          <w:rFonts w:ascii="Verdana" w:hAnsi="Verdana"/>
        </w:rPr>
        <w:t>During the monitoring period, transects were carried out on the surface of the future Cerchezu wind farm and all signs of presence (visual observation of individuals, auditory signals) of bird species were noted. This method was also applied in the southern sector of the Natura2000 site ROSCI0071 Dumbrăveni - Valea Urluia - Lacul Vederoasa, which borders the project area.</w:t>
      </w:r>
    </w:p>
    <w:p w14:paraId="572FD59E" w14:textId="77777777" w:rsidR="008715BE" w:rsidRPr="00EC75B7" w:rsidRDefault="00000000">
      <w:pPr>
        <w:pStyle w:val="BodyText"/>
        <w:spacing w:before="124" w:line="357" w:lineRule="auto"/>
        <w:ind w:left="794" w:right="848"/>
        <w:jc w:val="both"/>
        <w:rPr>
          <w:rFonts w:ascii="Verdana" w:hAnsi="Verdana"/>
        </w:rPr>
      </w:pPr>
      <w:r w:rsidRPr="00EC75B7">
        <w:rPr>
          <w:rFonts w:ascii="Verdana" w:hAnsi="Verdana"/>
        </w:rPr>
        <w:t>During the monitoring period, in the studied area (which includes both the project site and the southern end of the Natura2000 site ROSCI0071 Dumbrăveni - Valea Urluia - Lacul Vederoasa) the presence of 63 bird species (totaling almost 3,800 individuals) was established, as shown in the table below.</w:t>
      </w:r>
    </w:p>
    <w:p w14:paraId="6122F74C" w14:textId="77777777" w:rsidR="008715BE" w:rsidRPr="00EC75B7" w:rsidRDefault="008715BE">
      <w:pPr>
        <w:pStyle w:val="BodyText"/>
        <w:spacing w:line="357" w:lineRule="auto"/>
        <w:jc w:val="both"/>
        <w:rPr>
          <w:rFonts w:ascii="Verdana" w:hAnsi="Verdana"/>
        </w:rPr>
        <w:sectPr w:rsidR="008715BE" w:rsidRPr="00EC75B7">
          <w:pgSz w:w="11910" w:h="16840"/>
          <w:pgMar w:top="1160" w:right="141" w:bottom="1020" w:left="425" w:header="766" w:footer="797" w:gutter="0"/>
          <w:cols w:space="708"/>
        </w:sectPr>
      </w:pPr>
    </w:p>
    <w:p w14:paraId="157603D7" w14:textId="77777777" w:rsidR="008715BE" w:rsidRPr="00EC75B7" w:rsidRDefault="00000000">
      <w:pPr>
        <w:spacing w:before="99"/>
        <w:ind w:left="569"/>
        <w:rPr>
          <w:rFonts w:ascii="Verdana" w:hAnsi="Verdana"/>
          <w:b/>
          <w:sz w:val="18"/>
          <w:szCs w:val="18"/>
        </w:rPr>
      </w:pPr>
      <w:r w:rsidRPr="00EC75B7">
        <w:rPr>
          <w:rFonts w:ascii="Verdana" w:hAnsi="Verdana"/>
          <w:b/>
          <w:color w:val="00AFEF"/>
          <w:sz w:val="18"/>
          <w:szCs w:val="18"/>
        </w:rPr>
        <w:lastRenderedPageBreak/>
        <w:t xml:space="preserve">Table 13 Bird species identified in the </w:t>
      </w:r>
      <w:r w:rsidRPr="00EC75B7">
        <w:rPr>
          <w:rFonts w:ascii="Verdana" w:hAnsi="Verdana"/>
          <w:b/>
          <w:color w:val="00AFEF"/>
          <w:spacing w:val="-2"/>
          <w:sz w:val="18"/>
          <w:szCs w:val="18"/>
        </w:rPr>
        <w:t xml:space="preserve">study </w:t>
      </w:r>
      <w:r w:rsidRPr="00EC75B7">
        <w:rPr>
          <w:rFonts w:ascii="Verdana" w:hAnsi="Verdana"/>
          <w:b/>
          <w:color w:val="00AFEF"/>
          <w:sz w:val="18"/>
          <w:szCs w:val="18"/>
        </w:rPr>
        <w:t>area</w:t>
      </w: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8715BE" w:rsidRPr="00EC75B7" w14:paraId="2FE58FB1" w14:textId="77777777">
        <w:trPr>
          <w:trHeight w:val="429"/>
        </w:trPr>
        <w:tc>
          <w:tcPr>
            <w:tcW w:w="847" w:type="dxa"/>
            <w:shd w:val="clear" w:color="auto" w:fill="00A1E8"/>
          </w:tcPr>
          <w:p w14:paraId="6B7E11CA" w14:textId="77777777" w:rsidR="008715BE" w:rsidRPr="00EC75B7" w:rsidRDefault="00000000">
            <w:pPr>
              <w:pStyle w:val="TableParagraph"/>
              <w:spacing w:before="18"/>
              <w:ind w:left="271" w:right="23" w:firstLine="14"/>
              <w:rPr>
                <w:rFonts w:ascii="Verdana" w:hAnsi="Verdana"/>
                <w:b/>
                <w:sz w:val="18"/>
                <w:szCs w:val="18"/>
              </w:rPr>
            </w:pPr>
            <w:r w:rsidRPr="00EC75B7">
              <w:rPr>
                <w:rFonts w:ascii="Verdana" w:hAnsi="Verdana"/>
                <w:b/>
                <w:color w:val="FFFFFF"/>
                <w:spacing w:val="-4"/>
                <w:sz w:val="18"/>
                <w:szCs w:val="18"/>
              </w:rPr>
              <w:t>No.</w:t>
            </w:r>
          </w:p>
        </w:tc>
        <w:tc>
          <w:tcPr>
            <w:tcW w:w="2405" w:type="dxa"/>
            <w:shd w:val="clear" w:color="auto" w:fill="00A1E8"/>
          </w:tcPr>
          <w:p w14:paraId="5E7D658C" w14:textId="77777777" w:rsidR="008715BE" w:rsidRPr="00EC75B7" w:rsidRDefault="00000000">
            <w:pPr>
              <w:pStyle w:val="TableParagraph"/>
              <w:spacing w:before="117"/>
              <w:ind w:left="13" w:right="4"/>
              <w:jc w:val="center"/>
              <w:rPr>
                <w:rFonts w:ascii="Verdana" w:hAnsi="Verdana"/>
                <w:b/>
                <w:sz w:val="18"/>
                <w:szCs w:val="18"/>
              </w:rPr>
            </w:pPr>
            <w:r w:rsidRPr="00EC75B7">
              <w:rPr>
                <w:rFonts w:ascii="Verdana" w:hAnsi="Verdana"/>
                <w:b/>
                <w:color w:val="FFFFFF"/>
                <w:spacing w:val="-2"/>
                <w:sz w:val="18"/>
                <w:szCs w:val="18"/>
              </w:rPr>
              <w:t>Species</w:t>
            </w:r>
          </w:p>
        </w:tc>
        <w:tc>
          <w:tcPr>
            <w:tcW w:w="2268" w:type="dxa"/>
            <w:shd w:val="clear" w:color="auto" w:fill="00A1E8"/>
          </w:tcPr>
          <w:p w14:paraId="0BAD8CBF" w14:textId="77777777" w:rsidR="008715BE" w:rsidRPr="00EC75B7" w:rsidRDefault="00000000">
            <w:pPr>
              <w:pStyle w:val="TableParagraph"/>
              <w:spacing w:before="117"/>
              <w:ind w:left="13" w:right="3"/>
              <w:jc w:val="center"/>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207" w:type="dxa"/>
            <w:shd w:val="clear" w:color="auto" w:fill="00A1E8"/>
          </w:tcPr>
          <w:p w14:paraId="1BFD298C" w14:textId="77777777" w:rsidR="008715BE" w:rsidRPr="00EC75B7" w:rsidRDefault="00000000">
            <w:pPr>
              <w:pStyle w:val="TableParagraph"/>
              <w:spacing w:before="21" w:line="195" w:lineRule="exact"/>
              <w:ind w:left="14" w:right="5"/>
              <w:jc w:val="center"/>
              <w:rPr>
                <w:rFonts w:ascii="Verdana" w:hAnsi="Verdana"/>
                <w:b/>
                <w:sz w:val="18"/>
                <w:szCs w:val="18"/>
              </w:rPr>
            </w:pPr>
            <w:r w:rsidRPr="00EC75B7">
              <w:rPr>
                <w:rFonts w:ascii="Verdana" w:hAnsi="Verdana"/>
                <w:b/>
                <w:color w:val="FFFFFF"/>
                <w:spacing w:val="-4"/>
                <w:sz w:val="18"/>
                <w:szCs w:val="18"/>
              </w:rPr>
              <w:t>No</w:t>
            </w:r>
            <w:r w:rsidRPr="00EC75B7">
              <w:rPr>
                <w:rFonts w:ascii="Verdana" w:hAnsi="Verdana"/>
                <w:b/>
                <w:color w:val="FFFFFF"/>
                <w:sz w:val="18"/>
                <w:szCs w:val="18"/>
              </w:rPr>
              <w:t>.</w:t>
            </w:r>
          </w:p>
          <w:p w14:paraId="5A2F8F23" w14:textId="77777777" w:rsidR="008715BE" w:rsidRPr="00EC75B7" w:rsidRDefault="00000000">
            <w:pPr>
              <w:pStyle w:val="TableParagraph"/>
              <w:spacing w:line="194" w:lineRule="exact"/>
              <w:ind w:left="14" w:right="1"/>
              <w:jc w:val="center"/>
              <w:rPr>
                <w:rFonts w:ascii="Verdana" w:hAnsi="Verdana"/>
                <w:b/>
                <w:sz w:val="18"/>
                <w:szCs w:val="18"/>
              </w:rPr>
            </w:pPr>
            <w:r w:rsidRPr="00EC75B7">
              <w:rPr>
                <w:rFonts w:ascii="Verdana" w:hAnsi="Verdana"/>
                <w:b/>
                <w:color w:val="FFFFFF"/>
                <w:spacing w:val="-2"/>
                <w:sz w:val="18"/>
                <w:szCs w:val="18"/>
              </w:rPr>
              <w:t>reported</w:t>
            </w:r>
          </w:p>
        </w:tc>
        <w:tc>
          <w:tcPr>
            <w:tcW w:w="924" w:type="dxa"/>
            <w:shd w:val="clear" w:color="auto" w:fill="00A1E8"/>
          </w:tcPr>
          <w:p w14:paraId="6D932327" w14:textId="77777777" w:rsidR="008715BE" w:rsidRPr="00EC75B7" w:rsidRDefault="00000000">
            <w:pPr>
              <w:pStyle w:val="TableParagraph"/>
              <w:spacing w:before="117"/>
              <w:ind w:left="13"/>
              <w:jc w:val="center"/>
              <w:rPr>
                <w:rFonts w:ascii="Verdana" w:hAnsi="Verdana"/>
                <w:b/>
                <w:sz w:val="18"/>
                <w:szCs w:val="18"/>
              </w:rPr>
            </w:pPr>
            <w:r w:rsidRPr="00EC75B7">
              <w:rPr>
                <w:rFonts w:ascii="Verdana" w:hAnsi="Verdana"/>
                <w:b/>
                <w:color w:val="FFFFFF"/>
                <w:spacing w:val="-2"/>
                <w:sz w:val="18"/>
                <w:szCs w:val="18"/>
              </w:rPr>
              <w:t>IUCN</w:t>
            </w:r>
          </w:p>
        </w:tc>
        <w:tc>
          <w:tcPr>
            <w:tcW w:w="1560" w:type="dxa"/>
            <w:shd w:val="clear" w:color="auto" w:fill="00A1E8"/>
          </w:tcPr>
          <w:p w14:paraId="40B88F85" w14:textId="77777777" w:rsidR="008715BE" w:rsidRPr="00EC75B7" w:rsidRDefault="00000000">
            <w:pPr>
              <w:pStyle w:val="TableParagraph"/>
              <w:spacing w:before="21" w:line="195" w:lineRule="exact"/>
              <w:ind w:left="375"/>
              <w:rPr>
                <w:rFonts w:ascii="Verdana" w:hAnsi="Verdana"/>
                <w:b/>
                <w:sz w:val="18"/>
                <w:szCs w:val="18"/>
              </w:rPr>
            </w:pPr>
            <w:r w:rsidRPr="00EC75B7">
              <w:rPr>
                <w:rFonts w:ascii="Verdana" w:hAnsi="Verdana"/>
                <w:b/>
                <w:color w:val="FFFFFF"/>
                <w:spacing w:val="-2"/>
                <w:sz w:val="18"/>
                <w:szCs w:val="18"/>
              </w:rPr>
              <w:t>Directive</w:t>
            </w:r>
          </w:p>
          <w:p w14:paraId="0366C101" w14:textId="77777777" w:rsidR="008715BE" w:rsidRPr="00EC75B7" w:rsidRDefault="00000000">
            <w:pPr>
              <w:pStyle w:val="TableParagraph"/>
              <w:spacing w:line="194" w:lineRule="exact"/>
              <w:ind w:left="442"/>
              <w:rPr>
                <w:rFonts w:ascii="Verdana" w:hAnsi="Verdana"/>
                <w:b/>
                <w:sz w:val="18"/>
                <w:szCs w:val="18"/>
              </w:rPr>
            </w:pPr>
            <w:r w:rsidRPr="00EC75B7">
              <w:rPr>
                <w:rFonts w:ascii="Verdana" w:hAnsi="Verdana"/>
                <w:b/>
                <w:color w:val="FFFFFF"/>
                <w:spacing w:val="-2"/>
                <w:sz w:val="18"/>
                <w:szCs w:val="18"/>
              </w:rPr>
              <w:t>Birds*</w:t>
            </w:r>
          </w:p>
        </w:tc>
        <w:tc>
          <w:tcPr>
            <w:tcW w:w="1416" w:type="dxa"/>
            <w:shd w:val="clear" w:color="auto" w:fill="00A1E8"/>
          </w:tcPr>
          <w:p w14:paraId="1806F51E" w14:textId="77777777" w:rsidR="008715BE" w:rsidRPr="00EC75B7" w:rsidRDefault="00000000">
            <w:pPr>
              <w:pStyle w:val="TableParagraph"/>
              <w:spacing w:before="18"/>
              <w:ind w:left="253" w:firstLine="256"/>
              <w:rPr>
                <w:rFonts w:ascii="Verdana" w:hAnsi="Verdana"/>
                <w:b/>
                <w:sz w:val="18"/>
                <w:szCs w:val="18"/>
              </w:rPr>
            </w:pPr>
            <w:r w:rsidRPr="00EC75B7">
              <w:rPr>
                <w:rFonts w:ascii="Verdana" w:hAnsi="Verdana"/>
                <w:b/>
                <w:color w:val="FFFFFF"/>
                <w:spacing w:val="-4"/>
                <w:sz w:val="18"/>
                <w:szCs w:val="18"/>
              </w:rPr>
              <w:t>Government Emergency Ordinance</w:t>
            </w:r>
            <w:r w:rsidRPr="00EC75B7">
              <w:rPr>
                <w:rFonts w:ascii="Verdana" w:hAnsi="Verdana"/>
                <w:b/>
                <w:color w:val="FFFFFF"/>
                <w:spacing w:val="-2"/>
                <w:sz w:val="18"/>
                <w:szCs w:val="18"/>
              </w:rPr>
              <w:t xml:space="preserve"> 57/2007*</w:t>
            </w:r>
          </w:p>
        </w:tc>
        <w:tc>
          <w:tcPr>
            <w:tcW w:w="1985" w:type="dxa"/>
            <w:shd w:val="clear" w:color="auto" w:fill="00A1E8"/>
          </w:tcPr>
          <w:p w14:paraId="5DF64AC0" w14:textId="77777777" w:rsidR="008715BE" w:rsidRPr="00EC75B7" w:rsidRDefault="00000000">
            <w:pPr>
              <w:pStyle w:val="TableParagraph"/>
              <w:spacing w:before="18"/>
              <w:ind w:left="387" w:hanging="44"/>
              <w:rPr>
                <w:rFonts w:ascii="Verdana" w:hAnsi="Verdana"/>
                <w:b/>
                <w:sz w:val="18"/>
                <w:szCs w:val="18"/>
              </w:rPr>
            </w:pPr>
            <w:r w:rsidRPr="00EC75B7">
              <w:rPr>
                <w:rFonts w:ascii="Verdana" w:hAnsi="Verdana"/>
                <w:b/>
                <w:color w:val="FFFFFF"/>
                <w:sz w:val="18"/>
                <w:szCs w:val="18"/>
              </w:rPr>
              <w:t xml:space="preserve">Red Book of </w:t>
            </w:r>
            <w:r w:rsidRPr="00EC75B7">
              <w:rPr>
                <w:rFonts w:ascii="Verdana" w:hAnsi="Verdana"/>
                <w:b/>
                <w:color w:val="FFFFFF"/>
                <w:spacing w:val="-2"/>
                <w:sz w:val="18"/>
                <w:szCs w:val="18"/>
              </w:rPr>
              <w:t>Vertebrates</w:t>
            </w:r>
          </w:p>
        </w:tc>
        <w:tc>
          <w:tcPr>
            <w:tcW w:w="1419" w:type="dxa"/>
            <w:shd w:val="clear" w:color="auto" w:fill="00A1E8"/>
          </w:tcPr>
          <w:p w14:paraId="4C9E9332" w14:textId="77777777" w:rsidR="008715BE" w:rsidRPr="00EC75B7" w:rsidRDefault="00000000">
            <w:pPr>
              <w:pStyle w:val="TableParagraph"/>
              <w:spacing w:before="21" w:line="195" w:lineRule="exact"/>
              <w:ind w:left="11"/>
              <w:jc w:val="center"/>
              <w:rPr>
                <w:rFonts w:ascii="Verdana" w:hAnsi="Verdana"/>
                <w:b/>
                <w:sz w:val="18"/>
                <w:szCs w:val="18"/>
              </w:rPr>
            </w:pPr>
            <w:r w:rsidRPr="00EC75B7">
              <w:rPr>
                <w:rFonts w:ascii="Verdana" w:hAnsi="Verdana"/>
                <w:b/>
                <w:color w:val="FFFFFF"/>
                <w:spacing w:val="-5"/>
                <w:sz w:val="18"/>
                <w:szCs w:val="18"/>
              </w:rPr>
              <w:t>Con</w:t>
            </w:r>
            <w:r w:rsidRPr="00EC75B7">
              <w:rPr>
                <w:rFonts w:ascii="Verdana" w:hAnsi="Verdana"/>
                <w:b/>
                <w:color w:val="FFFFFF"/>
                <w:sz w:val="18"/>
                <w:szCs w:val="18"/>
              </w:rPr>
              <w:t>vention</w:t>
            </w:r>
          </w:p>
          <w:p w14:paraId="7A81D122" w14:textId="77777777" w:rsidR="008715BE" w:rsidRPr="00EC75B7" w:rsidRDefault="00000000">
            <w:pPr>
              <w:pStyle w:val="TableParagraph"/>
              <w:spacing w:line="194" w:lineRule="exact"/>
              <w:ind w:left="11"/>
              <w:jc w:val="center"/>
              <w:rPr>
                <w:rFonts w:ascii="Verdana" w:hAnsi="Verdana"/>
                <w:b/>
                <w:sz w:val="18"/>
                <w:szCs w:val="18"/>
              </w:rPr>
            </w:pPr>
            <w:r w:rsidRPr="00EC75B7">
              <w:rPr>
                <w:rFonts w:ascii="Verdana" w:hAnsi="Verdana"/>
                <w:b/>
                <w:color w:val="FFFFFF"/>
                <w:sz w:val="18"/>
                <w:szCs w:val="18"/>
              </w:rPr>
              <w:t>Con</w:t>
            </w:r>
            <w:r w:rsidRPr="00EC75B7">
              <w:rPr>
                <w:rFonts w:ascii="Verdana" w:hAnsi="Verdana"/>
                <w:b/>
                <w:color w:val="FFFFFF"/>
                <w:spacing w:val="-2"/>
                <w:sz w:val="18"/>
                <w:szCs w:val="18"/>
              </w:rPr>
              <w:t>vention</w:t>
            </w:r>
            <w:r w:rsidRPr="00EC75B7">
              <w:rPr>
                <w:rFonts w:ascii="Verdana" w:hAnsi="Verdana"/>
                <w:b/>
                <w:color w:val="FFFFFF"/>
                <w:sz w:val="18"/>
                <w:szCs w:val="18"/>
              </w:rPr>
              <w:t>*</w:t>
            </w:r>
          </w:p>
        </w:tc>
        <w:tc>
          <w:tcPr>
            <w:tcW w:w="1282" w:type="dxa"/>
            <w:shd w:val="clear" w:color="auto" w:fill="00A1E8"/>
          </w:tcPr>
          <w:p w14:paraId="6140FBBD" w14:textId="77777777" w:rsidR="008715BE" w:rsidRPr="00EC75B7" w:rsidRDefault="00000000">
            <w:pPr>
              <w:pStyle w:val="TableParagraph"/>
              <w:spacing w:before="21" w:line="195" w:lineRule="exact"/>
              <w:ind w:left="188"/>
              <w:rPr>
                <w:rFonts w:ascii="Verdana" w:hAnsi="Verdana"/>
                <w:b/>
                <w:sz w:val="18"/>
                <w:szCs w:val="18"/>
              </w:rPr>
            </w:pPr>
            <w:r w:rsidRPr="00EC75B7">
              <w:rPr>
                <w:rFonts w:ascii="Verdana" w:hAnsi="Verdana"/>
                <w:b/>
                <w:color w:val="FFFFFF"/>
                <w:spacing w:val="-2"/>
                <w:sz w:val="18"/>
                <w:szCs w:val="18"/>
              </w:rPr>
              <w:t>Convention</w:t>
            </w:r>
          </w:p>
          <w:p w14:paraId="15065B34" w14:textId="77777777" w:rsidR="008715BE" w:rsidRPr="00EC75B7" w:rsidRDefault="00000000">
            <w:pPr>
              <w:pStyle w:val="TableParagraph"/>
              <w:spacing w:line="194" w:lineRule="exact"/>
              <w:ind w:left="106"/>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Bonn*</w:t>
            </w:r>
          </w:p>
        </w:tc>
      </w:tr>
      <w:tr w:rsidR="008715BE" w:rsidRPr="00EC75B7" w14:paraId="13C95743" w14:textId="77777777">
        <w:trPr>
          <w:trHeight w:val="313"/>
        </w:trPr>
        <w:tc>
          <w:tcPr>
            <w:tcW w:w="847" w:type="dxa"/>
          </w:tcPr>
          <w:p w14:paraId="14C63CD0"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1</w:t>
            </w:r>
          </w:p>
        </w:tc>
        <w:tc>
          <w:tcPr>
            <w:tcW w:w="2405" w:type="dxa"/>
          </w:tcPr>
          <w:p w14:paraId="1417C44B" w14:textId="77777777" w:rsidR="008715BE" w:rsidRPr="00EC75B7" w:rsidRDefault="00000000">
            <w:pPr>
              <w:pStyle w:val="TableParagraph"/>
              <w:spacing w:line="195" w:lineRule="exact"/>
              <w:ind w:left="13" w:right="3"/>
              <w:jc w:val="center"/>
              <w:rPr>
                <w:rFonts w:ascii="Verdana" w:hAnsi="Verdana"/>
                <w:i/>
                <w:sz w:val="18"/>
                <w:szCs w:val="18"/>
              </w:rPr>
            </w:pPr>
            <w:r w:rsidRPr="00EC75B7">
              <w:rPr>
                <w:rFonts w:ascii="Verdana" w:hAnsi="Verdana"/>
                <w:i/>
                <w:sz w:val="18"/>
                <w:szCs w:val="18"/>
              </w:rPr>
              <w:t xml:space="preserve">Accipiter </w:t>
            </w:r>
            <w:r w:rsidRPr="00EC75B7">
              <w:rPr>
                <w:rFonts w:ascii="Verdana" w:hAnsi="Verdana"/>
                <w:i/>
                <w:spacing w:val="-2"/>
                <w:sz w:val="18"/>
                <w:szCs w:val="18"/>
              </w:rPr>
              <w:t>gentilis</w:t>
            </w:r>
          </w:p>
        </w:tc>
        <w:tc>
          <w:tcPr>
            <w:tcW w:w="2268" w:type="dxa"/>
          </w:tcPr>
          <w:p w14:paraId="6ED224B8" w14:textId="77777777" w:rsidR="008715BE" w:rsidRPr="00EC75B7" w:rsidRDefault="00000000">
            <w:pPr>
              <w:pStyle w:val="TableParagraph"/>
              <w:spacing w:before="59"/>
              <w:ind w:left="13" w:right="2"/>
              <w:jc w:val="center"/>
              <w:rPr>
                <w:rFonts w:ascii="Verdana" w:hAnsi="Verdana"/>
                <w:sz w:val="18"/>
                <w:szCs w:val="18"/>
              </w:rPr>
            </w:pPr>
            <w:r w:rsidRPr="00EC75B7">
              <w:rPr>
                <w:rFonts w:ascii="Verdana" w:hAnsi="Verdana"/>
                <w:spacing w:val="-2"/>
                <w:sz w:val="18"/>
                <w:szCs w:val="18"/>
              </w:rPr>
              <w:t>Goshawk</w:t>
            </w:r>
          </w:p>
        </w:tc>
        <w:tc>
          <w:tcPr>
            <w:tcW w:w="1207" w:type="dxa"/>
          </w:tcPr>
          <w:p w14:paraId="0ED79EE2"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00F6F748"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1D793AF5"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4ED78C84" w14:textId="77777777" w:rsidR="008715BE" w:rsidRPr="00EC75B7" w:rsidRDefault="00000000">
            <w:pPr>
              <w:pStyle w:val="TableParagraph"/>
              <w:spacing w:before="59"/>
              <w:ind w:left="9"/>
              <w:jc w:val="center"/>
              <w:rPr>
                <w:rFonts w:ascii="Verdana" w:hAnsi="Verdana"/>
                <w:sz w:val="18"/>
                <w:szCs w:val="18"/>
              </w:rPr>
            </w:pPr>
            <w:r w:rsidRPr="00EC75B7">
              <w:rPr>
                <w:rFonts w:ascii="Verdana" w:hAnsi="Verdana"/>
                <w:sz w:val="18"/>
                <w:szCs w:val="18"/>
              </w:rPr>
              <w:t>-</w:t>
            </w:r>
          </w:p>
        </w:tc>
        <w:tc>
          <w:tcPr>
            <w:tcW w:w="1985" w:type="dxa"/>
          </w:tcPr>
          <w:p w14:paraId="3E367C2E"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4B46D929"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7805DBAC"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5BCA7EC7" w14:textId="77777777">
        <w:trPr>
          <w:trHeight w:val="316"/>
        </w:trPr>
        <w:tc>
          <w:tcPr>
            <w:tcW w:w="847" w:type="dxa"/>
          </w:tcPr>
          <w:p w14:paraId="2E256FE5" w14:textId="77777777" w:rsidR="008715BE" w:rsidRPr="00EC75B7" w:rsidRDefault="00000000">
            <w:pPr>
              <w:pStyle w:val="TableParagraph"/>
              <w:spacing w:before="1"/>
              <w:ind w:left="12" w:right="4"/>
              <w:jc w:val="center"/>
              <w:rPr>
                <w:rFonts w:ascii="Verdana" w:hAnsi="Verdana"/>
                <w:sz w:val="18"/>
                <w:szCs w:val="18"/>
              </w:rPr>
            </w:pPr>
            <w:r w:rsidRPr="00EC75B7">
              <w:rPr>
                <w:rFonts w:ascii="Verdana" w:hAnsi="Verdana"/>
                <w:spacing w:val="-10"/>
                <w:sz w:val="18"/>
                <w:szCs w:val="18"/>
              </w:rPr>
              <w:t>2</w:t>
            </w:r>
          </w:p>
        </w:tc>
        <w:tc>
          <w:tcPr>
            <w:tcW w:w="2405" w:type="dxa"/>
          </w:tcPr>
          <w:p w14:paraId="6D4273C3" w14:textId="77777777" w:rsidR="008715BE" w:rsidRPr="00EC75B7" w:rsidRDefault="00000000">
            <w:pPr>
              <w:pStyle w:val="TableParagraph"/>
              <w:spacing w:before="1"/>
              <w:ind w:left="13" w:right="3"/>
              <w:jc w:val="center"/>
              <w:rPr>
                <w:rFonts w:ascii="Verdana" w:hAnsi="Verdana"/>
                <w:i/>
                <w:sz w:val="18"/>
                <w:szCs w:val="18"/>
              </w:rPr>
            </w:pPr>
            <w:r w:rsidRPr="00EC75B7">
              <w:rPr>
                <w:rFonts w:ascii="Verdana" w:hAnsi="Verdana"/>
                <w:i/>
                <w:spacing w:val="-2"/>
                <w:sz w:val="18"/>
                <w:szCs w:val="18"/>
              </w:rPr>
              <w:t>Sparrowhawk</w:t>
            </w:r>
          </w:p>
        </w:tc>
        <w:tc>
          <w:tcPr>
            <w:tcW w:w="2268" w:type="dxa"/>
          </w:tcPr>
          <w:p w14:paraId="295FFC4C" w14:textId="77777777" w:rsidR="008715BE" w:rsidRPr="00EC75B7" w:rsidRDefault="00000000">
            <w:pPr>
              <w:pStyle w:val="TableParagraph"/>
              <w:spacing w:before="61"/>
              <w:ind w:left="13" w:right="5"/>
              <w:jc w:val="center"/>
              <w:rPr>
                <w:rFonts w:ascii="Verdana" w:hAnsi="Verdana"/>
                <w:sz w:val="18"/>
                <w:szCs w:val="18"/>
              </w:rPr>
            </w:pPr>
            <w:r w:rsidRPr="00EC75B7">
              <w:rPr>
                <w:rFonts w:ascii="Verdana" w:hAnsi="Verdana"/>
                <w:sz w:val="18"/>
                <w:szCs w:val="18"/>
              </w:rPr>
              <w:t>S</w:t>
            </w:r>
            <w:r w:rsidRPr="00EC75B7">
              <w:rPr>
                <w:rFonts w:ascii="Verdana" w:hAnsi="Verdana"/>
                <w:spacing w:val="-2"/>
                <w:sz w:val="18"/>
                <w:szCs w:val="18"/>
              </w:rPr>
              <w:t>par</w:t>
            </w:r>
            <w:r w:rsidRPr="00EC75B7">
              <w:rPr>
                <w:rFonts w:ascii="Verdana" w:hAnsi="Verdana"/>
                <w:sz w:val="18"/>
                <w:szCs w:val="18"/>
              </w:rPr>
              <w:t>rowhawk</w:t>
            </w:r>
          </w:p>
        </w:tc>
        <w:tc>
          <w:tcPr>
            <w:tcW w:w="1207" w:type="dxa"/>
          </w:tcPr>
          <w:p w14:paraId="625EBE35" w14:textId="77777777" w:rsidR="008715BE" w:rsidRPr="00EC75B7" w:rsidRDefault="00000000">
            <w:pPr>
              <w:pStyle w:val="TableParagraph"/>
              <w:spacing w:before="61"/>
              <w:ind w:left="14" w:right="4"/>
              <w:jc w:val="center"/>
              <w:rPr>
                <w:rFonts w:ascii="Verdana" w:hAnsi="Verdana"/>
                <w:sz w:val="18"/>
                <w:szCs w:val="18"/>
              </w:rPr>
            </w:pPr>
            <w:r w:rsidRPr="00EC75B7">
              <w:rPr>
                <w:rFonts w:ascii="Verdana" w:hAnsi="Verdana"/>
                <w:spacing w:val="-10"/>
                <w:sz w:val="18"/>
                <w:szCs w:val="18"/>
              </w:rPr>
              <w:t>5</w:t>
            </w:r>
          </w:p>
        </w:tc>
        <w:tc>
          <w:tcPr>
            <w:tcW w:w="924" w:type="dxa"/>
          </w:tcPr>
          <w:p w14:paraId="67B3E5D9"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7B859390"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z w:val="18"/>
                <w:szCs w:val="18"/>
              </w:rPr>
              <w:t>-</w:t>
            </w:r>
          </w:p>
        </w:tc>
        <w:tc>
          <w:tcPr>
            <w:tcW w:w="1416" w:type="dxa"/>
          </w:tcPr>
          <w:p w14:paraId="4E7B046E" w14:textId="77777777" w:rsidR="008715BE" w:rsidRPr="00EC75B7" w:rsidRDefault="00000000">
            <w:pPr>
              <w:pStyle w:val="TableParagraph"/>
              <w:spacing w:before="61"/>
              <w:ind w:left="9"/>
              <w:jc w:val="center"/>
              <w:rPr>
                <w:rFonts w:ascii="Verdana" w:hAnsi="Verdana"/>
                <w:sz w:val="18"/>
                <w:szCs w:val="18"/>
              </w:rPr>
            </w:pPr>
            <w:r w:rsidRPr="00EC75B7">
              <w:rPr>
                <w:rFonts w:ascii="Verdana" w:hAnsi="Verdana"/>
                <w:sz w:val="18"/>
                <w:szCs w:val="18"/>
              </w:rPr>
              <w:t>-</w:t>
            </w:r>
          </w:p>
        </w:tc>
        <w:tc>
          <w:tcPr>
            <w:tcW w:w="1985" w:type="dxa"/>
          </w:tcPr>
          <w:p w14:paraId="6065D962"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3E51743F"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55E56116"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z w:val="18"/>
                <w:szCs w:val="18"/>
              </w:rPr>
              <w:t>-</w:t>
            </w:r>
          </w:p>
        </w:tc>
      </w:tr>
      <w:tr w:rsidR="008715BE" w:rsidRPr="00EC75B7" w14:paraId="06B37607" w14:textId="77777777">
        <w:trPr>
          <w:trHeight w:val="314"/>
        </w:trPr>
        <w:tc>
          <w:tcPr>
            <w:tcW w:w="847" w:type="dxa"/>
          </w:tcPr>
          <w:p w14:paraId="026E86D1"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3</w:t>
            </w:r>
          </w:p>
        </w:tc>
        <w:tc>
          <w:tcPr>
            <w:tcW w:w="2405" w:type="dxa"/>
          </w:tcPr>
          <w:p w14:paraId="6536B054" w14:textId="77777777" w:rsidR="008715BE" w:rsidRPr="00EC75B7" w:rsidRDefault="00000000">
            <w:pPr>
              <w:pStyle w:val="TableParagraph"/>
              <w:spacing w:line="195" w:lineRule="exact"/>
              <w:ind w:left="13" w:right="4"/>
              <w:jc w:val="center"/>
              <w:rPr>
                <w:rFonts w:ascii="Verdana" w:hAnsi="Verdana"/>
                <w:i/>
                <w:sz w:val="18"/>
                <w:szCs w:val="18"/>
              </w:rPr>
            </w:pPr>
            <w:r w:rsidRPr="00EC75B7">
              <w:rPr>
                <w:rFonts w:ascii="Verdana" w:hAnsi="Verdana"/>
                <w:i/>
                <w:sz w:val="18"/>
                <w:szCs w:val="18"/>
              </w:rPr>
              <w:t xml:space="preserve">Alauda </w:t>
            </w:r>
            <w:r w:rsidRPr="00EC75B7">
              <w:rPr>
                <w:rFonts w:ascii="Verdana" w:hAnsi="Verdana"/>
                <w:i/>
                <w:spacing w:val="-2"/>
                <w:sz w:val="18"/>
                <w:szCs w:val="18"/>
              </w:rPr>
              <w:t>arvensis</w:t>
            </w:r>
          </w:p>
        </w:tc>
        <w:tc>
          <w:tcPr>
            <w:tcW w:w="2268" w:type="dxa"/>
          </w:tcPr>
          <w:p w14:paraId="7E176D64" w14:textId="77777777" w:rsidR="008715BE" w:rsidRPr="00EC75B7" w:rsidRDefault="00000000">
            <w:pPr>
              <w:pStyle w:val="TableParagraph"/>
              <w:spacing w:before="59"/>
              <w:ind w:left="13" w:right="5"/>
              <w:jc w:val="center"/>
              <w:rPr>
                <w:rFonts w:ascii="Verdana" w:hAnsi="Verdana"/>
                <w:sz w:val="18"/>
                <w:szCs w:val="18"/>
              </w:rPr>
            </w:pPr>
            <w:r w:rsidRPr="00EC75B7">
              <w:rPr>
                <w:rFonts w:ascii="Verdana" w:hAnsi="Verdana"/>
                <w:spacing w:val="-4"/>
                <w:sz w:val="18"/>
                <w:szCs w:val="18"/>
              </w:rPr>
              <w:t>Sky</w:t>
            </w:r>
            <w:r w:rsidRPr="00EC75B7">
              <w:rPr>
                <w:rFonts w:ascii="Verdana" w:hAnsi="Verdana"/>
                <w:sz w:val="18"/>
                <w:szCs w:val="18"/>
              </w:rPr>
              <w:t>lark</w:t>
            </w:r>
          </w:p>
        </w:tc>
        <w:tc>
          <w:tcPr>
            <w:tcW w:w="1207" w:type="dxa"/>
          </w:tcPr>
          <w:p w14:paraId="63CC953B" w14:textId="77777777" w:rsidR="008715BE" w:rsidRPr="00EC75B7" w:rsidRDefault="00000000">
            <w:pPr>
              <w:pStyle w:val="TableParagraph"/>
              <w:spacing w:before="59"/>
              <w:ind w:left="14" w:right="1"/>
              <w:jc w:val="center"/>
              <w:rPr>
                <w:rFonts w:ascii="Verdana" w:hAnsi="Verdana"/>
                <w:sz w:val="18"/>
                <w:szCs w:val="18"/>
              </w:rPr>
            </w:pPr>
            <w:r w:rsidRPr="00EC75B7">
              <w:rPr>
                <w:rFonts w:ascii="Verdana" w:hAnsi="Verdana"/>
                <w:spacing w:val="-5"/>
                <w:sz w:val="18"/>
                <w:szCs w:val="18"/>
              </w:rPr>
              <w:t>550</w:t>
            </w:r>
          </w:p>
        </w:tc>
        <w:tc>
          <w:tcPr>
            <w:tcW w:w="924" w:type="dxa"/>
          </w:tcPr>
          <w:p w14:paraId="3A85D4AC"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3B3C94F7"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1E2B9057"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084D0D76"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0F0A0FA8"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100764D2"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45F63553" w14:textId="77777777">
        <w:trPr>
          <w:trHeight w:val="316"/>
        </w:trPr>
        <w:tc>
          <w:tcPr>
            <w:tcW w:w="847" w:type="dxa"/>
          </w:tcPr>
          <w:p w14:paraId="2DC3A4B0"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4</w:t>
            </w:r>
          </w:p>
        </w:tc>
        <w:tc>
          <w:tcPr>
            <w:tcW w:w="2405" w:type="dxa"/>
          </w:tcPr>
          <w:p w14:paraId="4591CBFA" w14:textId="77777777" w:rsidR="008715BE" w:rsidRPr="00EC75B7" w:rsidRDefault="00000000">
            <w:pPr>
              <w:pStyle w:val="TableParagraph"/>
              <w:spacing w:line="195" w:lineRule="exact"/>
              <w:ind w:left="13" w:right="2"/>
              <w:jc w:val="center"/>
              <w:rPr>
                <w:rFonts w:ascii="Verdana" w:hAnsi="Verdana"/>
                <w:i/>
                <w:sz w:val="18"/>
                <w:szCs w:val="18"/>
              </w:rPr>
            </w:pPr>
            <w:r w:rsidRPr="00EC75B7">
              <w:rPr>
                <w:rFonts w:ascii="Verdana" w:hAnsi="Verdana"/>
                <w:i/>
                <w:sz w:val="18"/>
                <w:szCs w:val="18"/>
              </w:rPr>
              <w:t xml:space="preserve">Anthus </w:t>
            </w:r>
            <w:r w:rsidRPr="00EC75B7">
              <w:rPr>
                <w:rFonts w:ascii="Verdana" w:hAnsi="Verdana"/>
                <w:i/>
                <w:spacing w:val="-2"/>
                <w:sz w:val="18"/>
                <w:szCs w:val="18"/>
              </w:rPr>
              <w:t>campestris</w:t>
            </w:r>
          </w:p>
        </w:tc>
        <w:tc>
          <w:tcPr>
            <w:tcW w:w="2268" w:type="dxa"/>
          </w:tcPr>
          <w:p w14:paraId="054B2013" w14:textId="77777777" w:rsidR="008715BE" w:rsidRPr="00EC75B7" w:rsidRDefault="00000000">
            <w:pPr>
              <w:pStyle w:val="TableParagraph"/>
              <w:spacing w:before="59"/>
              <w:ind w:left="13" w:right="4"/>
              <w:jc w:val="center"/>
              <w:rPr>
                <w:rFonts w:ascii="Verdana" w:hAnsi="Verdana"/>
                <w:sz w:val="18"/>
                <w:szCs w:val="18"/>
              </w:rPr>
            </w:pPr>
            <w:r w:rsidRPr="00EC75B7">
              <w:rPr>
                <w:rFonts w:ascii="Verdana" w:hAnsi="Verdana"/>
                <w:spacing w:val="-4"/>
                <w:sz w:val="18"/>
                <w:szCs w:val="18"/>
              </w:rPr>
              <w:t xml:space="preserve">Meadow </w:t>
            </w:r>
            <w:r w:rsidRPr="00EC75B7">
              <w:rPr>
                <w:rFonts w:ascii="Verdana" w:hAnsi="Verdana"/>
                <w:sz w:val="18"/>
                <w:szCs w:val="18"/>
              </w:rPr>
              <w:t>pipit</w:t>
            </w:r>
          </w:p>
        </w:tc>
        <w:tc>
          <w:tcPr>
            <w:tcW w:w="1207" w:type="dxa"/>
          </w:tcPr>
          <w:p w14:paraId="2E1A1BBF"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10</w:t>
            </w:r>
          </w:p>
        </w:tc>
        <w:tc>
          <w:tcPr>
            <w:tcW w:w="924" w:type="dxa"/>
          </w:tcPr>
          <w:p w14:paraId="3AA7339F"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3B742E4F"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7321547A"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60B2CCF8"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466E41A7"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0ED96B4E"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49245F5D" w14:textId="77777777">
        <w:trPr>
          <w:trHeight w:val="313"/>
        </w:trPr>
        <w:tc>
          <w:tcPr>
            <w:tcW w:w="847" w:type="dxa"/>
          </w:tcPr>
          <w:p w14:paraId="11688E84"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5</w:t>
            </w:r>
          </w:p>
        </w:tc>
        <w:tc>
          <w:tcPr>
            <w:tcW w:w="2405" w:type="dxa"/>
          </w:tcPr>
          <w:p w14:paraId="73301DDD" w14:textId="77777777" w:rsidR="008715BE" w:rsidRPr="00EC75B7" w:rsidRDefault="00000000">
            <w:pPr>
              <w:pStyle w:val="TableParagraph"/>
              <w:spacing w:line="195" w:lineRule="exact"/>
              <w:ind w:left="13" w:right="1"/>
              <w:jc w:val="center"/>
              <w:rPr>
                <w:rFonts w:ascii="Verdana" w:hAnsi="Verdana"/>
                <w:i/>
                <w:sz w:val="18"/>
                <w:szCs w:val="18"/>
              </w:rPr>
            </w:pPr>
            <w:r w:rsidRPr="00EC75B7">
              <w:rPr>
                <w:rFonts w:ascii="Verdana" w:hAnsi="Verdana"/>
                <w:i/>
                <w:sz w:val="18"/>
                <w:szCs w:val="18"/>
              </w:rPr>
              <w:t xml:space="preserve">Sunset </w:t>
            </w:r>
            <w:r w:rsidRPr="00EC75B7">
              <w:rPr>
                <w:rFonts w:ascii="Verdana" w:hAnsi="Verdana"/>
                <w:i/>
                <w:spacing w:val="-4"/>
                <w:sz w:val="18"/>
                <w:szCs w:val="18"/>
              </w:rPr>
              <w:t>sunset</w:t>
            </w:r>
          </w:p>
        </w:tc>
        <w:tc>
          <w:tcPr>
            <w:tcW w:w="2268" w:type="dxa"/>
          </w:tcPr>
          <w:p w14:paraId="17F6A52B" w14:textId="77777777" w:rsidR="008715BE" w:rsidRPr="00EC75B7" w:rsidRDefault="00000000">
            <w:pPr>
              <w:pStyle w:val="TableParagraph"/>
              <w:spacing w:before="59"/>
              <w:ind w:left="13" w:right="3"/>
              <w:jc w:val="center"/>
              <w:rPr>
                <w:rFonts w:ascii="Verdana" w:hAnsi="Verdana"/>
                <w:sz w:val="18"/>
                <w:szCs w:val="18"/>
              </w:rPr>
            </w:pPr>
            <w:r w:rsidRPr="00EC75B7">
              <w:rPr>
                <w:rFonts w:ascii="Verdana" w:hAnsi="Verdana"/>
                <w:spacing w:val="-2"/>
                <w:sz w:val="18"/>
                <w:szCs w:val="18"/>
              </w:rPr>
              <w:t>Black Drepnea</w:t>
            </w:r>
          </w:p>
        </w:tc>
        <w:tc>
          <w:tcPr>
            <w:tcW w:w="1207" w:type="dxa"/>
          </w:tcPr>
          <w:p w14:paraId="6C2B1C17"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99</w:t>
            </w:r>
          </w:p>
        </w:tc>
        <w:tc>
          <w:tcPr>
            <w:tcW w:w="924" w:type="dxa"/>
          </w:tcPr>
          <w:p w14:paraId="4CE18468"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02A172E9"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06C2020E" w14:textId="77777777" w:rsidR="008715BE" w:rsidRPr="00EC75B7" w:rsidRDefault="00000000">
            <w:pPr>
              <w:pStyle w:val="TableParagraph"/>
              <w:spacing w:before="59"/>
              <w:ind w:left="9"/>
              <w:jc w:val="center"/>
              <w:rPr>
                <w:rFonts w:ascii="Verdana" w:hAnsi="Verdana"/>
                <w:sz w:val="18"/>
                <w:szCs w:val="18"/>
              </w:rPr>
            </w:pPr>
            <w:r w:rsidRPr="00EC75B7">
              <w:rPr>
                <w:rFonts w:ascii="Verdana" w:hAnsi="Verdana"/>
                <w:sz w:val="18"/>
                <w:szCs w:val="18"/>
              </w:rPr>
              <w:t>-</w:t>
            </w:r>
          </w:p>
        </w:tc>
        <w:tc>
          <w:tcPr>
            <w:tcW w:w="1985" w:type="dxa"/>
          </w:tcPr>
          <w:p w14:paraId="5BD58969"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2A056611"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2C295811"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7F4395EA" w14:textId="77777777">
        <w:trPr>
          <w:trHeight w:val="314"/>
        </w:trPr>
        <w:tc>
          <w:tcPr>
            <w:tcW w:w="847" w:type="dxa"/>
          </w:tcPr>
          <w:p w14:paraId="136B4ECD"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6</w:t>
            </w:r>
          </w:p>
        </w:tc>
        <w:tc>
          <w:tcPr>
            <w:tcW w:w="2405" w:type="dxa"/>
          </w:tcPr>
          <w:p w14:paraId="16BAC40D" w14:textId="77777777" w:rsidR="008715BE" w:rsidRPr="00EC75B7" w:rsidRDefault="00000000">
            <w:pPr>
              <w:pStyle w:val="TableParagraph"/>
              <w:spacing w:line="195" w:lineRule="exact"/>
              <w:ind w:left="13" w:right="3"/>
              <w:jc w:val="center"/>
              <w:rPr>
                <w:rFonts w:ascii="Verdana" w:hAnsi="Verdana"/>
                <w:i/>
                <w:sz w:val="18"/>
                <w:szCs w:val="18"/>
              </w:rPr>
            </w:pPr>
            <w:r w:rsidRPr="00EC75B7">
              <w:rPr>
                <w:rFonts w:ascii="Verdana" w:hAnsi="Verdana"/>
                <w:i/>
                <w:sz w:val="18"/>
                <w:szCs w:val="18"/>
              </w:rPr>
              <w:t xml:space="preserve">Aquila </w:t>
            </w:r>
            <w:r w:rsidRPr="00EC75B7">
              <w:rPr>
                <w:rFonts w:ascii="Verdana" w:hAnsi="Verdana"/>
                <w:i/>
                <w:spacing w:val="-2"/>
                <w:sz w:val="18"/>
                <w:szCs w:val="18"/>
              </w:rPr>
              <w:t>pomarina</w:t>
            </w:r>
          </w:p>
        </w:tc>
        <w:tc>
          <w:tcPr>
            <w:tcW w:w="2268" w:type="dxa"/>
          </w:tcPr>
          <w:p w14:paraId="15FFD555" w14:textId="77777777" w:rsidR="008715BE" w:rsidRPr="00EC75B7" w:rsidRDefault="00000000">
            <w:pPr>
              <w:pStyle w:val="TableParagraph"/>
              <w:spacing w:before="59"/>
              <w:ind w:left="13" w:right="4"/>
              <w:jc w:val="center"/>
              <w:rPr>
                <w:rFonts w:ascii="Verdana" w:hAnsi="Verdana"/>
                <w:sz w:val="18"/>
                <w:szCs w:val="18"/>
              </w:rPr>
            </w:pPr>
            <w:r w:rsidRPr="00EC75B7">
              <w:rPr>
                <w:rFonts w:ascii="Verdana" w:hAnsi="Verdana"/>
                <w:sz w:val="18"/>
                <w:szCs w:val="18"/>
              </w:rPr>
              <w:t>L</w:t>
            </w:r>
            <w:r w:rsidRPr="00EC75B7">
              <w:rPr>
                <w:rFonts w:ascii="Verdana" w:hAnsi="Verdana"/>
                <w:spacing w:val="-4"/>
                <w:sz w:val="18"/>
                <w:szCs w:val="18"/>
              </w:rPr>
              <w:t xml:space="preserve">esser </w:t>
            </w:r>
            <w:r w:rsidRPr="00EC75B7">
              <w:rPr>
                <w:rFonts w:ascii="Verdana" w:hAnsi="Verdana"/>
                <w:sz w:val="18"/>
                <w:szCs w:val="18"/>
              </w:rPr>
              <w:t>spotted eagle</w:t>
            </w:r>
          </w:p>
        </w:tc>
        <w:tc>
          <w:tcPr>
            <w:tcW w:w="1207" w:type="dxa"/>
          </w:tcPr>
          <w:p w14:paraId="12A7D09C"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19</w:t>
            </w:r>
          </w:p>
        </w:tc>
        <w:tc>
          <w:tcPr>
            <w:tcW w:w="924" w:type="dxa"/>
          </w:tcPr>
          <w:p w14:paraId="4AFAA306"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0C4CF96B"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0009485B"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7F296D4C" w14:textId="77777777" w:rsidR="008715BE" w:rsidRPr="00EC75B7" w:rsidRDefault="00000000">
            <w:pPr>
              <w:pStyle w:val="TableParagraph"/>
              <w:spacing w:before="59"/>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7352FD2F"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51C7F660"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3CA19973" w14:textId="77777777">
        <w:trPr>
          <w:trHeight w:val="316"/>
        </w:trPr>
        <w:tc>
          <w:tcPr>
            <w:tcW w:w="847" w:type="dxa"/>
          </w:tcPr>
          <w:p w14:paraId="5EDB386D" w14:textId="77777777" w:rsidR="008715BE" w:rsidRPr="00EC75B7" w:rsidRDefault="00000000">
            <w:pPr>
              <w:pStyle w:val="TableParagraph"/>
              <w:spacing w:before="1"/>
              <w:ind w:left="12" w:right="4"/>
              <w:jc w:val="center"/>
              <w:rPr>
                <w:rFonts w:ascii="Verdana" w:hAnsi="Verdana"/>
                <w:sz w:val="18"/>
                <w:szCs w:val="18"/>
              </w:rPr>
            </w:pPr>
            <w:r w:rsidRPr="00EC75B7">
              <w:rPr>
                <w:rFonts w:ascii="Verdana" w:hAnsi="Verdana"/>
                <w:spacing w:val="-10"/>
                <w:sz w:val="18"/>
                <w:szCs w:val="18"/>
              </w:rPr>
              <w:t>7</w:t>
            </w:r>
          </w:p>
        </w:tc>
        <w:tc>
          <w:tcPr>
            <w:tcW w:w="2405" w:type="dxa"/>
          </w:tcPr>
          <w:p w14:paraId="1B10A8B5" w14:textId="77777777" w:rsidR="008715BE" w:rsidRPr="00EC75B7" w:rsidRDefault="00000000">
            <w:pPr>
              <w:pStyle w:val="TableParagraph"/>
              <w:spacing w:before="1"/>
              <w:ind w:left="13" w:right="2"/>
              <w:jc w:val="center"/>
              <w:rPr>
                <w:rFonts w:ascii="Verdana" w:hAnsi="Verdana"/>
                <w:i/>
                <w:sz w:val="18"/>
                <w:szCs w:val="18"/>
              </w:rPr>
            </w:pPr>
            <w:r w:rsidRPr="00EC75B7">
              <w:rPr>
                <w:rFonts w:ascii="Verdana" w:hAnsi="Verdana"/>
                <w:i/>
                <w:sz w:val="18"/>
                <w:szCs w:val="18"/>
              </w:rPr>
              <w:t xml:space="preserve">Buteo </w:t>
            </w:r>
            <w:r w:rsidRPr="00EC75B7">
              <w:rPr>
                <w:rFonts w:ascii="Verdana" w:hAnsi="Verdana"/>
                <w:i/>
                <w:spacing w:val="-2"/>
                <w:sz w:val="18"/>
                <w:szCs w:val="18"/>
              </w:rPr>
              <w:t>buteo</w:t>
            </w:r>
          </w:p>
        </w:tc>
        <w:tc>
          <w:tcPr>
            <w:tcW w:w="2268" w:type="dxa"/>
          </w:tcPr>
          <w:p w14:paraId="6924EBF0"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buzzard</w:t>
            </w:r>
          </w:p>
        </w:tc>
        <w:tc>
          <w:tcPr>
            <w:tcW w:w="1207" w:type="dxa"/>
          </w:tcPr>
          <w:p w14:paraId="487C3B44" w14:textId="77777777" w:rsidR="008715BE" w:rsidRPr="00EC75B7" w:rsidRDefault="00000000">
            <w:pPr>
              <w:pStyle w:val="TableParagraph"/>
              <w:spacing w:before="61"/>
              <w:ind w:left="14" w:right="1"/>
              <w:jc w:val="center"/>
              <w:rPr>
                <w:rFonts w:ascii="Verdana" w:hAnsi="Verdana"/>
                <w:sz w:val="18"/>
                <w:szCs w:val="18"/>
              </w:rPr>
            </w:pPr>
            <w:r w:rsidRPr="00EC75B7">
              <w:rPr>
                <w:rFonts w:ascii="Verdana" w:hAnsi="Verdana"/>
                <w:spacing w:val="-5"/>
                <w:sz w:val="18"/>
                <w:szCs w:val="18"/>
              </w:rPr>
              <w:t>162</w:t>
            </w:r>
          </w:p>
        </w:tc>
        <w:tc>
          <w:tcPr>
            <w:tcW w:w="924" w:type="dxa"/>
          </w:tcPr>
          <w:p w14:paraId="60FA7AD0"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044678F9"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z w:val="18"/>
                <w:szCs w:val="18"/>
              </w:rPr>
              <w:t>-</w:t>
            </w:r>
          </w:p>
        </w:tc>
        <w:tc>
          <w:tcPr>
            <w:tcW w:w="1416" w:type="dxa"/>
          </w:tcPr>
          <w:p w14:paraId="1E9BA227" w14:textId="77777777" w:rsidR="008715BE" w:rsidRPr="00EC75B7" w:rsidRDefault="00000000">
            <w:pPr>
              <w:pStyle w:val="TableParagraph"/>
              <w:spacing w:before="61"/>
              <w:ind w:left="9"/>
              <w:jc w:val="center"/>
              <w:rPr>
                <w:rFonts w:ascii="Verdana" w:hAnsi="Verdana"/>
                <w:sz w:val="18"/>
                <w:szCs w:val="18"/>
              </w:rPr>
            </w:pPr>
            <w:r w:rsidRPr="00EC75B7">
              <w:rPr>
                <w:rFonts w:ascii="Verdana" w:hAnsi="Verdana"/>
                <w:sz w:val="18"/>
                <w:szCs w:val="18"/>
              </w:rPr>
              <w:t>-</w:t>
            </w:r>
          </w:p>
        </w:tc>
        <w:tc>
          <w:tcPr>
            <w:tcW w:w="1985" w:type="dxa"/>
          </w:tcPr>
          <w:p w14:paraId="53A886C3"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0346C375"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4CC50019"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z w:val="18"/>
                <w:szCs w:val="18"/>
              </w:rPr>
              <w:t>-</w:t>
            </w:r>
          </w:p>
        </w:tc>
      </w:tr>
      <w:tr w:rsidR="008715BE" w:rsidRPr="00EC75B7" w14:paraId="41346ECC" w14:textId="77777777">
        <w:trPr>
          <w:trHeight w:val="313"/>
        </w:trPr>
        <w:tc>
          <w:tcPr>
            <w:tcW w:w="847" w:type="dxa"/>
          </w:tcPr>
          <w:p w14:paraId="1E889D82"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8</w:t>
            </w:r>
          </w:p>
        </w:tc>
        <w:tc>
          <w:tcPr>
            <w:tcW w:w="2405" w:type="dxa"/>
          </w:tcPr>
          <w:p w14:paraId="7A0F37B3" w14:textId="77777777" w:rsidR="008715BE" w:rsidRPr="00EC75B7" w:rsidRDefault="00000000">
            <w:pPr>
              <w:pStyle w:val="TableParagraph"/>
              <w:spacing w:line="195" w:lineRule="exact"/>
              <w:ind w:left="13" w:right="4"/>
              <w:jc w:val="center"/>
              <w:rPr>
                <w:rFonts w:ascii="Verdana" w:hAnsi="Verdana"/>
                <w:i/>
                <w:sz w:val="18"/>
                <w:szCs w:val="18"/>
              </w:rPr>
            </w:pPr>
            <w:r w:rsidRPr="00EC75B7">
              <w:rPr>
                <w:rFonts w:ascii="Verdana" w:hAnsi="Verdana"/>
                <w:i/>
                <w:sz w:val="18"/>
                <w:szCs w:val="18"/>
              </w:rPr>
              <w:t xml:space="preserve">Buteo </w:t>
            </w:r>
            <w:r w:rsidRPr="00EC75B7">
              <w:rPr>
                <w:rFonts w:ascii="Verdana" w:hAnsi="Verdana"/>
                <w:i/>
                <w:spacing w:val="-2"/>
                <w:sz w:val="18"/>
                <w:szCs w:val="18"/>
              </w:rPr>
              <w:t>rufinus</w:t>
            </w:r>
          </w:p>
        </w:tc>
        <w:tc>
          <w:tcPr>
            <w:tcW w:w="2268" w:type="dxa"/>
          </w:tcPr>
          <w:p w14:paraId="34D8C610" w14:textId="77777777" w:rsidR="008715BE" w:rsidRPr="00EC75B7" w:rsidRDefault="00000000">
            <w:pPr>
              <w:pStyle w:val="TableParagraph"/>
              <w:spacing w:before="59"/>
              <w:ind w:left="13" w:right="4"/>
              <w:jc w:val="center"/>
              <w:rPr>
                <w:rFonts w:ascii="Verdana" w:hAnsi="Verdana"/>
                <w:sz w:val="18"/>
                <w:szCs w:val="18"/>
              </w:rPr>
            </w:pPr>
            <w:r w:rsidRPr="00EC75B7">
              <w:rPr>
                <w:rFonts w:ascii="Verdana" w:hAnsi="Verdana"/>
                <w:sz w:val="18"/>
                <w:szCs w:val="18"/>
              </w:rPr>
              <w:t xml:space="preserve">Long-legged </w:t>
            </w:r>
            <w:r w:rsidRPr="00EC75B7">
              <w:rPr>
                <w:rFonts w:ascii="Verdana" w:hAnsi="Verdana"/>
                <w:spacing w:val="-4"/>
                <w:sz w:val="18"/>
                <w:szCs w:val="18"/>
              </w:rPr>
              <w:t>buzzard</w:t>
            </w:r>
          </w:p>
        </w:tc>
        <w:tc>
          <w:tcPr>
            <w:tcW w:w="1207" w:type="dxa"/>
          </w:tcPr>
          <w:p w14:paraId="7B332D59"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19</w:t>
            </w:r>
          </w:p>
        </w:tc>
        <w:tc>
          <w:tcPr>
            <w:tcW w:w="924" w:type="dxa"/>
          </w:tcPr>
          <w:p w14:paraId="755FB1DB"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73370894"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215116DF"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3EE71B4A" w14:textId="77777777" w:rsidR="008715BE" w:rsidRPr="00EC75B7" w:rsidRDefault="00000000">
            <w:pPr>
              <w:pStyle w:val="TableParagraph"/>
              <w:spacing w:before="59"/>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430EBB27"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272E95C5"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77026312" w14:textId="77777777">
        <w:trPr>
          <w:trHeight w:val="316"/>
        </w:trPr>
        <w:tc>
          <w:tcPr>
            <w:tcW w:w="847" w:type="dxa"/>
          </w:tcPr>
          <w:p w14:paraId="138B65D9" w14:textId="77777777" w:rsidR="008715BE" w:rsidRPr="00EC75B7" w:rsidRDefault="00000000">
            <w:pPr>
              <w:pStyle w:val="TableParagraph"/>
              <w:spacing w:line="195" w:lineRule="exact"/>
              <w:ind w:left="12" w:right="4"/>
              <w:jc w:val="center"/>
              <w:rPr>
                <w:rFonts w:ascii="Verdana" w:hAnsi="Verdana"/>
                <w:sz w:val="18"/>
                <w:szCs w:val="18"/>
              </w:rPr>
            </w:pPr>
            <w:r w:rsidRPr="00EC75B7">
              <w:rPr>
                <w:rFonts w:ascii="Verdana" w:hAnsi="Verdana"/>
                <w:spacing w:val="-10"/>
                <w:sz w:val="18"/>
                <w:szCs w:val="18"/>
              </w:rPr>
              <w:t>9</w:t>
            </w:r>
          </w:p>
        </w:tc>
        <w:tc>
          <w:tcPr>
            <w:tcW w:w="2405" w:type="dxa"/>
          </w:tcPr>
          <w:p w14:paraId="65CEF239" w14:textId="77777777" w:rsidR="008715BE" w:rsidRPr="00EC75B7" w:rsidRDefault="00000000">
            <w:pPr>
              <w:pStyle w:val="TableParagraph"/>
              <w:spacing w:line="195" w:lineRule="exact"/>
              <w:ind w:left="13" w:right="5"/>
              <w:jc w:val="center"/>
              <w:rPr>
                <w:rFonts w:ascii="Verdana" w:hAnsi="Verdana"/>
                <w:i/>
                <w:sz w:val="18"/>
                <w:szCs w:val="18"/>
              </w:rPr>
            </w:pPr>
            <w:r w:rsidRPr="00EC75B7">
              <w:rPr>
                <w:rFonts w:ascii="Verdana" w:hAnsi="Verdana"/>
                <w:i/>
                <w:sz w:val="18"/>
                <w:szCs w:val="18"/>
              </w:rPr>
              <w:t xml:space="preserve">Caprimulgus </w:t>
            </w:r>
            <w:r w:rsidRPr="00EC75B7">
              <w:rPr>
                <w:rFonts w:ascii="Verdana" w:hAnsi="Verdana"/>
                <w:i/>
                <w:spacing w:val="-2"/>
                <w:sz w:val="18"/>
                <w:szCs w:val="18"/>
              </w:rPr>
              <w:t>europaeus</w:t>
            </w:r>
          </w:p>
        </w:tc>
        <w:tc>
          <w:tcPr>
            <w:tcW w:w="2268" w:type="dxa"/>
          </w:tcPr>
          <w:p w14:paraId="4F2F5DFB" w14:textId="77777777" w:rsidR="008715BE" w:rsidRPr="00EC75B7" w:rsidRDefault="00000000">
            <w:pPr>
              <w:pStyle w:val="TableParagraph"/>
              <w:spacing w:before="61"/>
              <w:ind w:left="13" w:right="4"/>
              <w:jc w:val="center"/>
              <w:rPr>
                <w:rFonts w:ascii="Verdana" w:hAnsi="Verdana"/>
                <w:sz w:val="18"/>
                <w:szCs w:val="18"/>
              </w:rPr>
            </w:pPr>
            <w:r w:rsidRPr="00EC75B7">
              <w:rPr>
                <w:rFonts w:ascii="Verdana" w:hAnsi="Verdana"/>
                <w:spacing w:val="-2"/>
                <w:sz w:val="18"/>
                <w:szCs w:val="18"/>
              </w:rPr>
              <w:t>Nightjar</w:t>
            </w:r>
          </w:p>
        </w:tc>
        <w:tc>
          <w:tcPr>
            <w:tcW w:w="1207" w:type="dxa"/>
          </w:tcPr>
          <w:p w14:paraId="673547E3" w14:textId="77777777" w:rsidR="008715BE" w:rsidRPr="00EC75B7" w:rsidRDefault="00000000">
            <w:pPr>
              <w:pStyle w:val="TableParagraph"/>
              <w:spacing w:before="61"/>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0213CA47"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4C43AE1B" w14:textId="77777777" w:rsidR="008715BE" w:rsidRPr="00EC75B7" w:rsidRDefault="00000000">
            <w:pPr>
              <w:pStyle w:val="TableParagraph"/>
              <w:spacing w:before="61"/>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5B7B1102"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1B486A59"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44248C08"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491CF57C"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z w:val="18"/>
                <w:szCs w:val="18"/>
              </w:rPr>
              <w:t>-</w:t>
            </w:r>
          </w:p>
        </w:tc>
      </w:tr>
      <w:tr w:rsidR="008715BE" w:rsidRPr="00EC75B7" w14:paraId="13D66363" w14:textId="77777777">
        <w:trPr>
          <w:trHeight w:val="313"/>
        </w:trPr>
        <w:tc>
          <w:tcPr>
            <w:tcW w:w="847" w:type="dxa"/>
          </w:tcPr>
          <w:p w14:paraId="319F9F41"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10</w:t>
            </w:r>
          </w:p>
        </w:tc>
        <w:tc>
          <w:tcPr>
            <w:tcW w:w="2405" w:type="dxa"/>
          </w:tcPr>
          <w:p w14:paraId="53AD41E0" w14:textId="77777777" w:rsidR="008715BE" w:rsidRPr="00EC75B7" w:rsidRDefault="00000000">
            <w:pPr>
              <w:pStyle w:val="TableParagraph"/>
              <w:spacing w:line="195" w:lineRule="exact"/>
              <w:ind w:left="13" w:right="5"/>
              <w:jc w:val="center"/>
              <w:rPr>
                <w:rFonts w:ascii="Verdana" w:hAnsi="Verdana"/>
                <w:i/>
                <w:sz w:val="18"/>
                <w:szCs w:val="18"/>
              </w:rPr>
            </w:pPr>
            <w:r w:rsidRPr="00EC75B7">
              <w:rPr>
                <w:rFonts w:ascii="Verdana" w:hAnsi="Verdana"/>
                <w:i/>
                <w:spacing w:val="-2"/>
                <w:sz w:val="18"/>
                <w:szCs w:val="18"/>
              </w:rPr>
              <w:t>Gold</w:t>
            </w:r>
            <w:r w:rsidRPr="00EC75B7">
              <w:rPr>
                <w:rFonts w:ascii="Verdana" w:hAnsi="Verdana"/>
                <w:i/>
                <w:sz w:val="18"/>
                <w:szCs w:val="18"/>
              </w:rPr>
              <w:t>finch</w:t>
            </w:r>
          </w:p>
        </w:tc>
        <w:tc>
          <w:tcPr>
            <w:tcW w:w="2268" w:type="dxa"/>
          </w:tcPr>
          <w:p w14:paraId="38C5103B" w14:textId="77777777" w:rsidR="008715BE" w:rsidRPr="00EC75B7" w:rsidRDefault="00000000">
            <w:pPr>
              <w:pStyle w:val="TableParagraph"/>
              <w:spacing w:before="59"/>
              <w:ind w:left="13" w:right="3"/>
              <w:jc w:val="center"/>
              <w:rPr>
                <w:rFonts w:ascii="Verdana" w:hAnsi="Verdana"/>
                <w:sz w:val="18"/>
                <w:szCs w:val="18"/>
              </w:rPr>
            </w:pPr>
            <w:r w:rsidRPr="00EC75B7">
              <w:rPr>
                <w:rFonts w:ascii="Verdana" w:hAnsi="Verdana"/>
                <w:spacing w:val="-2"/>
                <w:sz w:val="18"/>
                <w:szCs w:val="18"/>
              </w:rPr>
              <w:t>Goldfinch</w:t>
            </w:r>
          </w:p>
        </w:tc>
        <w:tc>
          <w:tcPr>
            <w:tcW w:w="1207" w:type="dxa"/>
          </w:tcPr>
          <w:p w14:paraId="7B0C89D0" w14:textId="77777777" w:rsidR="008715BE" w:rsidRPr="00EC75B7" w:rsidRDefault="00000000">
            <w:pPr>
              <w:pStyle w:val="TableParagraph"/>
              <w:spacing w:before="59"/>
              <w:ind w:left="14" w:right="1"/>
              <w:jc w:val="center"/>
              <w:rPr>
                <w:rFonts w:ascii="Verdana" w:hAnsi="Verdana"/>
                <w:sz w:val="18"/>
                <w:szCs w:val="18"/>
              </w:rPr>
            </w:pPr>
            <w:r w:rsidRPr="00EC75B7">
              <w:rPr>
                <w:rFonts w:ascii="Verdana" w:hAnsi="Verdana"/>
                <w:spacing w:val="-5"/>
                <w:sz w:val="18"/>
                <w:szCs w:val="18"/>
              </w:rPr>
              <w:t>100</w:t>
            </w:r>
          </w:p>
        </w:tc>
        <w:tc>
          <w:tcPr>
            <w:tcW w:w="924" w:type="dxa"/>
          </w:tcPr>
          <w:p w14:paraId="2B0FDD5C"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1AABE25F"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4F182915"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6CECEAE9"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57FCD624"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19B019B1"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3979249D" w14:textId="77777777">
        <w:trPr>
          <w:trHeight w:val="316"/>
        </w:trPr>
        <w:tc>
          <w:tcPr>
            <w:tcW w:w="847" w:type="dxa"/>
          </w:tcPr>
          <w:p w14:paraId="22AF7667"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11</w:t>
            </w:r>
          </w:p>
        </w:tc>
        <w:tc>
          <w:tcPr>
            <w:tcW w:w="2405" w:type="dxa"/>
          </w:tcPr>
          <w:p w14:paraId="405E120D" w14:textId="77777777" w:rsidR="008715BE" w:rsidRPr="00EC75B7" w:rsidRDefault="00000000">
            <w:pPr>
              <w:pStyle w:val="TableParagraph"/>
              <w:spacing w:line="195" w:lineRule="exact"/>
              <w:ind w:left="13" w:right="1"/>
              <w:jc w:val="center"/>
              <w:rPr>
                <w:rFonts w:ascii="Verdana" w:hAnsi="Verdana"/>
                <w:i/>
                <w:sz w:val="18"/>
                <w:szCs w:val="18"/>
              </w:rPr>
            </w:pPr>
            <w:r w:rsidRPr="00EC75B7">
              <w:rPr>
                <w:rFonts w:ascii="Verdana" w:hAnsi="Verdana"/>
                <w:i/>
                <w:sz w:val="18"/>
                <w:szCs w:val="18"/>
              </w:rPr>
              <w:t>Green</w:t>
            </w:r>
            <w:r w:rsidRPr="00EC75B7">
              <w:rPr>
                <w:rFonts w:ascii="Verdana" w:hAnsi="Verdana"/>
                <w:i/>
                <w:spacing w:val="-2"/>
                <w:sz w:val="18"/>
                <w:szCs w:val="18"/>
              </w:rPr>
              <w:t>fin</w:t>
            </w:r>
            <w:r w:rsidRPr="00EC75B7">
              <w:rPr>
                <w:rFonts w:ascii="Verdana" w:hAnsi="Verdana"/>
                <w:i/>
                <w:sz w:val="18"/>
                <w:szCs w:val="18"/>
              </w:rPr>
              <w:t>ch</w:t>
            </w:r>
          </w:p>
        </w:tc>
        <w:tc>
          <w:tcPr>
            <w:tcW w:w="2268" w:type="dxa"/>
          </w:tcPr>
          <w:p w14:paraId="73E7653F" w14:textId="77777777" w:rsidR="008715BE" w:rsidRPr="00EC75B7" w:rsidRDefault="00000000">
            <w:pPr>
              <w:pStyle w:val="TableParagraph"/>
              <w:spacing w:before="59"/>
              <w:ind w:left="13" w:right="4"/>
              <w:jc w:val="center"/>
              <w:rPr>
                <w:rFonts w:ascii="Verdana" w:hAnsi="Verdana"/>
                <w:sz w:val="18"/>
                <w:szCs w:val="18"/>
              </w:rPr>
            </w:pPr>
            <w:r w:rsidRPr="00EC75B7">
              <w:rPr>
                <w:rFonts w:ascii="Verdana" w:hAnsi="Verdana"/>
                <w:spacing w:val="-2"/>
                <w:sz w:val="18"/>
                <w:szCs w:val="18"/>
              </w:rPr>
              <w:t>Florinte</w:t>
            </w:r>
          </w:p>
        </w:tc>
        <w:tc>
          <w:tcPr>
            <w:tcW w:w="1207" w:type="dxa"/>
          </w:tcPr>
          <w:p w14:paraId="0F240AA4"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46</w:t>
            </w:r>
          </w:p>
        </w:tc>
        <w:tc>
          <w:tcPr>
            <w:tcW w:w="924" w:type="dxa"/>
          </w:tcPr>
          <w:p w14:paraId="74B8E6A7"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747593E5"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5DB7A283"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68E27233"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5243FCF9"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154CAC42"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30F6289F" w14:textId="77777777">
        <w:trPr>
          <w:trHeight w:val="313"/>
        </w:trPr>
        <w:tc>
          <w:tcPr>
            <w:tcW w:w="847" w:type="dxa"/>
          </w:tcPr>
          <w:p w14:paraId="777E5D32"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12</w:t>
            </w:r>
          </w:p>
        </w:tc>
        <w:tc>
          <w:tcPr>
            <w:tcW w:w="2405" w:type="dxa"/>
          </w:tcPr>
          <w:p w14:paraId="45CA2FEA" w14:textId="77777777" w:rsidR="008715BE" w:rsidRPr="00EC75B7" w:rsidRDefault="00000000">
            <w:pPr>
              <w:pStyle w:val="TableParagraph"/>
              <w:spacing w:line="195" w:lineRule="exact"/>
              <w:ind w:left="13" w:right="5"/>
              <w:jc w:val="center"/>
              <w:rPr>
                <w:rFonts w:ascii="Verdana" w:hAnsi="Verdana"/>
                <w:i/>
                <w:sz w:val="18"/>
                <w:szCs w:val="18"/>
              </w:rPr>
            </w:pPr>
            <w:r w:rsidRPr="00EC75B7">
              <w:rPr>
                <w:rFonts w:ascii="Verdana" w:hAnsi="Verdana"/>
                <w:i/>
                <w:sz w:val="18"/>
                <w:szCs w:val="18"/>
              </w:rPr>
              <w:t xml:space="preserve">Ciconia </w:t>
            </w:r>
            <w:r w:rsidRPr="00EC75B7">
              <w:rPr>
                <w:rFonts w:ascii="Verdana" w:hAnsi="Verdana"/>
                <w:i/>
                <w:spacing w:val="-2"/>
                <w:sz w:val="18"/>
                <w:szCs w:val="18"/>
              </w:rPr>
              <w:t>ciconia</w:t>
            </w:r>
          </w:p>
        </w:tc>
        <w:tc>
          <w:tcPr>
            <w:tcW w:w="2268" w:type="dxa"/>
          </w:tcPr>
          <w:p w14:paraId="789CFB72"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pacing w:val="-4"/>
                <w:sz w:val="18"/>
                <w:szCs w:val="18"/>
              </w:rPr>
              <w:t xml:space="preserve">White </w:t>
            </w:r>
            <w:r w:rsidRPr="00EC75B7">
              <w:rPr>
                <w:rFonts w:ascii="Verdana" w:hAnsi="Verdana"/>
                <w:sz w:val="18"/>
                <w:szCs w:val="18"/>
              </w:rPr>
              <w:t>stork</w:t>
            </w:r>
          </w:p>
        </w:tc>
        <w:tc>
          <w:tcPr>
            <w:tcW w:w="1207" w:type="dxa"/>
          </w:tcPr>
          <w:p w14:paraId="396743A5"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93</w:t>
            </w:r>
          </w:p>
        </w:tc>
        <w:tc>
          <w:tcPr>
            <w:tcW w:w="924" w:type="dxa"/>
          </w:tcPr>
          <w:p w14:paraId="499AD4E7"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53E67217"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4AB3C3D5"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6D6C964C" w14:textId="77777777" w:rsidR="008715BE" w:rsidRPr="00EC75B7" w:rsidRDefault="00000000">
            <w:pPr>
              <w:pStyle w:val="TableParagraph"/>
              <w:spacing w:before="59"/>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79CECC3B"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0D7DDF8F" w14:textId="77777777" w:rsidR="008715BE" w:rsidRPr="00EC75B7" w:rsidRDefault="00000000">
            <w:pPr>
              <w:pStyle w:val="TableParagraph"/>
              <w:spacing w:before="59"/>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66415A9E" w14:textId="77777777">
        <w:trPr>
          <w:trHeight w:val="313"/>
        </w:trPr>
        <w:tc>
          <w:tcPr>
            <w:tcW w:w="847" w:type="dxa"/>
          </w:tcPr>
          <w:p w14:paraId="6E813406"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13</w:t>
            </w:r>
          </w:p>
        </w:tc>
        <w:tc>
          <w:tcPr>
            <w:tcW w:w="2405" w:type="dxa"/>
          </w:tcPr>
          <w:p w14:paraId="6DB5C955" w14:textId="77777777" w:rsidR="008715BE" w:rsidRPr="00EC75B7" w:rsidRDefault="00000000">
            <w:pPr>
              <w:pStyle w:val="TableParagraph"/>
              <w:spacing w:line="195" w:lineRule="exact"/>
              <w:ind w:left="13"/>
              <w:jc w:val="center"/>
              <w:rPr>
                <w:rFonts w:ascii="Verdana" w:hAnsi="Verdana"/>
                <w:i/>
                <w:sz w:val="18"/>
                <w:szCs w:val="18"/>
              </w:rPr>
            </w:pPr>
            <w:r w:rsidRPr="00EC75B7">
              <w:rPr>
                <w:rFonts w:ascii="Verdana" w:hAnsi="Verdana"/>
                <w:i/>
                <w:sz w:val="18"/>
                <w:szCs w:val="18"/>
              </w:rPr>
              <w:t xml:space="preserve">Ciconia </w:t>
            </w:r>
            <w:r w:rsidRPr="00EC75B7">
              <w:rPr>
                <w:rFonts w:ascii="Verdana" w:hAnsi="Verdana"/>
                <w:i/>
                <w:spacing w:val="-2"/>
                <w:sz w:val="18"/>
                <w:szCs w:val="18"/>
              </w:rPr>
              <w:t>nigra</w:t>
            </w:r>
          </w:p>
        </w:tc>
        <w:tc>
          <w:tcPr>
            <w:tcW w:w="2268" w:type="dxa"/>
          </w:tcPr>
          <w:p w14:paraId="71F9A528" w14:textId="77777777" w:rsidR="008715BE" w:rsidRPr="00EC75B7" w:rsidRDefault="00000000">
            <w:pPr>
              <w:pStyle w:val="TableParagraph"/>
              <w:spacing w:before="59"/>
              <w:ind w:left="13" w:right="1"/>
              <w:jc w:val="center"/>
              <w:rPr>
                <w:rFonts w:ascii="Verdana" w:hAnsi="Verdana"/>
                <w:sz w:val="18"/>
                <w:szCs w:val="18"/>
              </w:rPr>
            </w:pPr>
            <w:r w:rsidRPr="00EC75B7">
              <w:rPr>
                <w:rFonts w:ascii="Verdana" w:hAnsi="Verdana"/>
                <w:spacing w:val="-2"/>
                <w:sz w:val="18"/>
                <w:szCs w:val="18"/>
              </w:rPr>
              <w:t xml:space="preserve">Black </w:t>
            </w:r>
            <w:r w:rsidRPr="00EC75B7">
              <w:rPr>
                <w:rFonts w:ascii="Verdana" w:hAnsi="Verdana"/>
                <w:sz w:val="18"/>
                <w:szCs w:val="18"/>
              </w:rPr>
              <w:t>stork</w:t>
            </w:r>
          </w:p>
        </w:tc>
        <w:tc>
          <w:tcPr>
            <w:tcW w:w="1207" w:type="dxa"/>
          </w:tcPr>
          <w:p w14:paraId="1141E34C"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27B9A683"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1835C982"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62803280"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6B1E5421" w14:textId="77777777" w:rsidR="008715BE" w:rsidRPr="00EC75B7" w:rsidRDefault="00000000">
            <w:pPr>
              <w:pStyle w:val="TableParagraph"/>
              <w:spacing w:before="59"/>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058E6AF5"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43A9DAF2" w14:textId="77777777" w:rsidR="008715BE" w:rsidRPr="00EC75B7" w:rsidRDefault="00000000">
            <w:pPr>
              <w:pStyle w:val="TableParagraph"/>
              <w:spacing w:before="59"/>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01E7F420" w14:textId="77777777">
        <w:trPr>
          <w:trHeight w:val="316"/>
        </w:trPr>
        <w:tc>
          <w:tcPr>
            <w:tcW w:w="847" w:type="dxa"/>
          </w:tcPr>
          <w:p w14:paraId="743E3E08"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5"/>
                <w:sz w:val="18"/>
                <w:szCs w:val="18"/>
              </w:rPr>
              <w:t>14</w:t>
            </w:r>
          </w:p>
        </w:tc>
        <w:tc>
          <w:tcPr>
            <w:tcW w:w="2405" w:type="dxa"/>
          </w:tcPr>
          <w:p w14:paraId="12DEA28F" w14:textId="77777777" w:rsidR="008715BE" w:rsidRPr="00EC75B7" w:rsidRDefault="00000000">
            <w:pPr>
              <w:pStyle w:val="TableParagraph"/>
              <w:spacing w:before="1"/>
              <w:ind w:left="13" w:right="1"/>
              <w:jc w:val="center"/>
              <w:rPr>
                <w:rFonts w:ascii="Verdana" w:hAnsi="Verdana"/>
                <w:i/>
                <w:sz w:val="18"/>
                <w:szCs w:val="18"/>
              </w:rPr>
            </w:pPr>
            <w:r w:rsidRPr="00EC75B7">
              <w:rPr>
                <w:rFonts w:ascii="Verdana" w:hAnsi="Verdana"/>
                <w:i/>
                <w:spacing w:val="-2"/>
                <w:sz w:val="18"/>
                <w:szCs w:val="18"/>
              </w:rPr>
              <w:t>Short-toed</w:t>
            </w:r>
            <w:r w:rsidRPr="00EC75B7">
              <w:rPr>
                <w:rFonts w:ascii="Verdana" w:hAnsi="Verdana"/>
                <w:i/>
                <w:sz w:val="18"/>
                <w:szCs w:val="18"/>
              </w:rPr>
              <w:t xml:space="preserve"> snake eagle</w:t>
            </w:r>
          </w:p>
        </w:tc>
        <w:tc>
          <w:tcPr>
            <w:tcW w:w="2268" w:type="dxa"/>
          </w:tcPr>
          <w:p w14:paraId="020EFFED" w14:textId="77777777" w:rsidR="008715BE" w:rsidRPr="00EC75B7" w:rsidRDefault="00000000">
            <w:pPr>
              <w:pStyle w:val="TableParagraph"/>
              <w:spacing w:before="61"/>
              <w:ind w:left="13" w:right="4"/>
              <w:jc w:val="center"/>
              <w:rPr>
                <w:rFonts w:ascii="Verdana" w:hAnsi="Verdana"/>
                <w:sz w:val="18"/>
                <w:szCs w:val="18"/>
              </w:rPr>
            </w:pPr>
            <w:r w:rsidRPr="00EC75B7">
              <w:rPr>
                <w:rFonts w:ascii="Verdana" w:hAnsi="Verdana"/>
                <w:spacing w:val="-2"/>
                <w:sz w:val="18"/>
                <w:szCs w:val="18"/>
              </w:rPr>
              <w:t>Snake eagle</w:t>
            </w:r>
          </w:p>
        </w:tc>
        <w:tc>
          <w:tcPr>
            <w:tcW w:w="1207" w:type="dxa"/>
          </w:tcPr>
          <w:p w14:paraId="147CCE83" w14:textId="77777777" w:rsidR="008715BE" w:rsidRPr="00EC75B7" w:rsidRDefault="00000000">
            <w:pPr>
              <w:pStyle w:val="TableParagraph"/>
              <w:spacing w:before="61"/>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130B3FE7"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319F2FE6" w14:textId="77777777" w:rsidR="008715BE" w:rsidRPr="00EC75B7" w:rsidRDefault="00000000">
            <w:pPr>
              <w:pStyle w:val="TableParagraph"/>
              <w:spacing w:before="61"/>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42FD601F"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0D5D6FBD" w14:textId="77777777" w:rsidR="008715BE" w:rsidRPr="00EC75B7" w:rsidRDefault="00000000">
            <w:pPr>
              <w:pStyle w:val="TableParagraph"/>
              <w:spacing w:before="61"/>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54945D68"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5AD03E04"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z w:val="18"/>
                <w:szCs w:val="18"/>
              </w:rPr>
              <w:t>-</w:t>
            </w:r>
          </w:p>
        </w:tc>
      </w:tr>
      <w:tr w:rsidR="008715BE" w:rsidRPr="00EC75B7" w14:paraId="54098F1F" w14:textId="77777777">
        <w:trPr>
          <w:trHeight w:val="314"/>
        </w:trPr>
        <w:tc>
          <w:tcPr>
            <w:tcW w:w="847" w:type="dxa"/>
          </w:tcPr>
          <w:p w14:paraId="3A8D2CD8"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15</w:t>
            </w:r>
          </w:p>
        </w:tc>
        <w:tc>
          <w:tcPr>
            <w:tcW w:w="2405" w:type="dxa"/>
          </w:tcPr>
          <w:p w14:paraId="54FE1D4E" w14:textId="77777777" w:rsidR="008715BE" w:rsidRPr="00EC75B7" w:rsidRDefault="00000000">
            <w:pPr>
              <w:pStyle w:val="TableParagraph"/>
              <w:spacing w:line="195" w:lineRule="exact"/>
              <w:ind w:left="13" w:right="5"/>
              <w:jc w:val="center"/>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aeruginosus</w:t>
            </w:r>
          </w:p>
        </w:tc>
        <w:tc>
          <w:tcPr>
            <w:tcW w:w="2268" w:type="dxa"/>
          </w:tcPr>
          <w:p w14:paraId="33B72B14" w14:textId="77777777" w:rsidR="008715BE" w:rsidRPr="00EC75B7" w:rsidRDefault="00000000">
            <w:pPr>
              <w:pStyle w:val="TableParagraph"/>
              <w:spacing w:before="59"/>
              <w:ind w:left="13" w:right="2"/>
              <w:jc w:val="center"/>
              <w:rPr>
                <w:rFonts w:ascii="Verdana" w:hAnsi="Verdana"/>
                <w:sz w:val="18"/>
                <w:szCs w:val="18"/>
              </w:rPr>
            </w:pPr>
            <w:r w:rsidRPr="00EC75B7">
              <w:rPr>
                <w:rFonts w:ascii="Verdana" w:hAnsi="Verdana"/>
                <w:spacing w:val="-4"/>
                <w:sz w:val="18"/>
                <w:szCs w:val="18"/>
              </w:rPr>
              <w:t xml:space="preserve">Marsh </w:t>
            </w:r>
            <w:r w:rsidRPr="00EC75B7">
              <w:rPr>
                <w:rFonts w:ascii="Verdana" w:hAnsi="Verdana"/>
                <w:sz w:val="18"/>
                <w:szCs w:val="18"/>
              </w:rPr>
              <w:t>harrier</w:t>
            </w:r>
          </w:p>
        </w:tc>
        <w:tc>
          <w:tcPr>
            <w:tcW w:w="1207" w:type="dxa"/>
          </w:tcPr>
          <w:p w14:paraId="14FC6DC4"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37</w:t>
            </w:r>
          </w:p>
        </w:tc>
        <w:tc>
          <w:tcPr>
            <w:tcW w:w="924" w:type="dxa"/>
          </w:tcPr>
          <w:p w14:paraId="330BC754"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65EAB429"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780E7025"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5CF120D1"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2984E8FD"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6AEAFD70"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201B2B1A" w14:textId="77777777">
        <w:trPr>
          <w:trHeight w:val="316"/>
        </w:trPr>
        <w:tc>
          <w:tcPr>
            <w:tcW w:w="847" w:type="dxa"/>
          </w:tcPr>
          <w:p w14:paraId="0DC48596"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16</w:t>
            </w:r>
          </w:p>
        </w:tc>
        <w:tc>
          <w:tcPr>
            <w:tcW w:w="2405" w:type="dxa"/>
          </w:tcPr>
          <w:p w14:paraId="47457F7E" w14:textId="77777777" w:rsidR="008715BE" w:rsidRPr="00EC75B7" w:rsidRDefault="00000000">
            <w:pPr>
              <w:pStyle w:val="TableParagraph"/>
              <w:spacing w:line="195" w:lineRule="exact"/>
              <w:ind w:left="13" w:right="4"/>
              <w:jc w:val="center"/>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cyaneus</w:t>
            </w:r>
          </w:p>
        </w:tc>
        <w:tc>
          <w:tcPr>
            <w:tcW w:w="2268" w:type="dxa"/>
          </w:tcPr>
          <w:p w14:paraId="5038E0DC" w14:textId="77777777" w:rsidR="008715BE" w:rsidRPr="00EC75B7" w:rsidRDefault="00000000">
            <w:pPr>
              <w:pStyle w:val="TableParagraph"/>
              <w:spacing w:before="59"/>
              <w:ind w:left="13" w:right="5"/>
              <w:jc w:val="center"/>
              <w:rPr>
                <w:rFonts w:ascii="Verdana" w:hAnsi="Verdana"/>
                <w:sz w:val="18"/>
                <w:szCs w:val="18"/>
              </w:rPr>
            </w:pPr>
            <w:r w:rsidRPr="00EC75B7">
              <w:rPr>
                <w:rFonts w:ascii="Verdana" w:hAnsi="Verdana"/>
                <w:sz w:val="18"/>
                <w:szCs w:val="18"/>
              </w:rPr>
              <w:t xml:space="preserve">Blue-winged </w:t>
            </w:r>
            <w:r w:rsidRPr="00EC75B7">
              <w:rPr>
                <w:rFonts w:ascii="Verdana" w:hAnsi="Verdana"/>
                <w:spacing w:val="-2"/>
                <w:sz w:val="18"/>
                <w:szCs w:val="18"/>
              </w:rPr>
              <w:t>teal</w:t>
            </w:r>
          </w:p>
        </w:tc>
        <w:tc>
          <w:tcPr>
            <w:tcW w:w="1207" w:type="dxa"/>
          </w:tcPr>
          <w:p w14:paraId="31173AD4"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7</w:t>
            </w:r>
          </w:p>
        </w:tc>
        <w:tc>
          <w:tcPr>
            <w:tcW w:w="924" w:type="dxa"/>
          </w:tcPr>
          <w:p w14:paraId="6338A7DD"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0F8CA2C1"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214C74F2"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0D2F2F8D"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663FDA36"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3AA326FA"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4F081778" w14:textId="77777777">
        <w:trPr>
          <w:trHeight w:val="313"/>
        </w:trPr>
        <w:tc>
          <w:tcPr>
            <w:tcW w:w="847" w:type="dxa"/>
          </w:tcPr>
          <w:p w14:paraId="4D513599"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17</w:t>
            </w:r>
          </w:p>
        </w:tc>
        <w:tc>
          <w:tcPr>
            <w:tcW w:w="2405" w:type="dxa"/>
          </w:tcPr>
          <w:p w14:paraId="3F820E6A" w14:textId="77777777" w:rsidR="008715BE" w:rsidRPr="00EC75B7" w:rsidRDefault="00000000">
            <w:pPr>
              <w:pStyle w:val="TableParagraph"/>
              <w:spacing w:line="195" w:lineRule="exact"/>
              <w:ind w:left="13" w:right="2"/>
              <w:jc w:val="center"/>
              <w:rPr>
                <w:rFonts w:ascii="Verdana" w:hAnsi="Verdana"/>
                <w:i/>
                <w:sz w:val="18"/>
                <w:szCs w:val="18"/>
              </w:rPr>
            </w:pPr>
            <w:r w:rsidRPr="00EC75B7">
              <w:rPr>
                <w:rFonts w:ascii="Verdana" w:hAnsi="Verdana"/>
                <w:i/>
                <w:sz w:val="18"/>
                <w:szCs w:val="18"/>
              </w:rPr>
              <w:t xml:space="preserve">Circus </w:t>
            </w:r>
            <w:r w:rsidRPr="00EC75B7">
              <w:rPr>
                <w:rFonts w:ascii="Verdana" w:hAnsi="Verdana"/>
                <w:i/>
                <w:spacing w:val="-2"/>
                <w:sz w:val="18"/>
                <w:szCs w:val="18"/>
              </w:rPr>
              <w:t>pygargus</w:t>
            </w:r>
          </w:p>
        </w:tc>
        <w:tc>
          <w:tcPr>
            <w:tcW w:w="2268" w:type="dxa"/>
          </w:tcPr>
          <w:p w14:paraId="7B6FDE8F" w14:textId="77777777" w:rsidR="008715BE" w:rsidRPr="00EC75B7" w:rsidRDefault="00000000">
            <w:pPr>
              <w:pStyle w:val="TableParagraph"/>
              <w:spacing w:before="59"/>
              <w:ind w:left="13" w:right="2"/>
              <w:jc w:val="center"/>
              <w:rPr>
                <w:rFonts w:ascii="Verdana" w:hAnsi="Verdana"/>
                <w:sz w:val="18"/>
                <w:szCs w:val="18"/>
              </w:rPr>
            </w:pPr>
            <w:r w:rsidRPr="00EC75B7">
              <w:rPr>
                <w:rFonts w:ascii="Verdana" w:hAnsi="Verdana"/>
                <w:sz w:val="18"/>
                <w:szCs w:val="18"/>
              </w:rPr>
              <w:t xml:space="preserve">Erete </w:t>
            </w:r>
            <w:r w:rsidRPr="00EC75B7">
              <w:rPr>
                <w:rFonts w:ascii="Verdana" w:hAnsi="Verdana"/>
                <w:spacing w:val="-5"/>
                <w:sz w:val="18"/>
                <w:szCs w:val="18"/>
              </w:rPr>
              <w:t>sur</w:t>
            </w:r>
          </w:p>
        </w:tc>
        <w:tc>
          <w:tcPr>
            <w:tcW w:w="1207" w:type="dxa"/>
          </w:tcPr>
          <w:p w14:paraId="0DB9FCED"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8</w:t>
            </w:r>
          </w:p>
        </w:tc>
        <w:tc>
          <w:tcPr>
            <w:tcW w:w="924" w:type="dxa"/>
          </w:tcPr>
          <w:p w14:paraId="3328D602"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40A6D043"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5A906365"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7041F759"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pacing w:val="-2"/>
                <w:sz w:val="18"/>
                <w:szCs w:val="18"/>
              </w:rPr>
              <w:t xml:space="preserve">Endangered </w:t>
            </w:r>
            <w:r w:rsidRPr="00EC75B7">
              <w:rPr>
                <w:rFonts w:ascii="Verdana" w:hAnsi="Verdana"/>
                <w:sz w:val="18"/>
                <w:szCs w:val="18"/>
              </w:rPr>
              <w:t>species</w:t>
            </w:r>
          </w:p>
        </w:tc>
        <w:tc>
          <w:tcPr>
            <w:tcW w:w="1419" w:type="dxa"/>
          </w:tcPr>
          <w:p w14:paraId="2DBB137C"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7CE74327"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79218E61" w14:textId="77777777">
        <w:trPr>
          <w:trHeight w:val="388"/>
        </w:trPr>
        <w:tc>
          <w:tcPr>
            <w:tcW w:w="847" w:type="dxa"/>
          </w:tcPr>
          <w:p w14:paraId="04792A71"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18</w:t>
            </w:r>
          </w:p>
        </w:tc>
        <w:tc>
          <w:tcPr>
            <w:tcW w:w="2405" w:type="dxa"/>
          </w:tcPr>
          <w:p w14:paraId="375DEE58" w14:textId="77777777" w:rsidR="008715BE" w:rsidRPr="00EC75B7" w:rsidRDefault="00000000">
            <w:pPr>
              <w:pStyle w:val="TableParagraph"/>
              <w:spacing w:line="195" w:lineRule="exact"/>
              <w:ind w:left="13" w:right="4"/>
              <w:jc w:val="center"/>
              <w:rPr>
                <w:rFonts w:ascii="Verdana" w:hAnsi="Verdana"/>
                <w:i/>
                <w:sz w:val="18"/>
                <w:szCs w:val="18"/>
              </w:rPr>
            </w:pPr>
            <w:r w:rsidRPr="00EC75B7">
              <w:rPr>
                <w:rFonts w:ascii="Verdana" w:hAnsi="Verdana"/>
                <w:i/>
                <w:sz w:val="18"/>
                <w:szCs w:val="18"/>
              </w:rPr>
              <w:t xml:space="preserve">Columba </w:t>
            </w:r>
            <w:r w:rsidRPr="00EC75B7">
              <w:rPr>
                <w:rFonts w:ascii="Verdana" w:hAnsi="Verdana"/>
                <w:i/>
                <w:spacing w:val="-2"/>
                <w:sz w:val="18"/>
                <w:szCs w:val="18"/>
              </w:rPr>
              <w:t>palumbus</w:t>
            </w:r>
          </w:p>
        </w:tc>
        <w:tc>
          <w:tcPr>
            <w:tcW w:w="2268" w:type="dxa"/>
          </w:tcPr>
          <w:p w14:paraId="298D6FC6" w14:textId="77777777" w:rsidR="008715BE" w:rsidRPr="00EC75B7" w:rsidRDefault="00000000">
            <w:pPr>
              <w:pStyle w:val="TableParagraph"/>
              <w:spacing w:before="97"/>
              <w:ind w:left="13" w:right="6"/>
              <w:jc w:val="center"/>
              <w:rPr>
                <w:rFonts w:ascii="Verdana" w:hAnsi="Verdana"/>
                <w:sz w:val="18"/>
                <w:szCs w:val="18"/>
              </w:rPr>
            </w:pPr>
            <w:r w:rsidRPr="00EC75B7">
              <w:rPr>
                <w:rFonts w:ascii="Verdana" w:hAnsi="Verdana"/>
                <w:spacing w:val="-2"/>
                <w:sz w:val="18"/>
                <w:szCs w:val="18"/>
              </w:rPr>
              <w:t xml:space="preserve">Ring-necked </w:t>
            </w:r>
            <w:r w:rsidRPr="00EC75B7">
              <w:rPr>
                <w:rFonts w:ascii="Verdana" w:hAnsi="Verdana"/>
                <w:sz w:val="18"/>
                <w:szCs w:val="18"/>
              </w:rPr>
              <w:t>pigeon</w:t>
            </w:r>
          </w:p>
        </w:tc>
        <w:tc>
          <w:tcPr>
            <w:tcW w:w="1207" w:type="dxa"/>
          </w:tcPr>
          <w:p w14:paraId="3205D58C" w14:textId="77777777" w:rsidR="008715BE" w:rsidRPr="00EC75B7" w:rsidRDefault="00000000">
            <w:pPr>
              <w:pStyle w:val="TableParagraph"/>
              <w:spacing w:before="97"/>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24DE34CD" w14:textId="77777777" w:rsidR="008715BE" w:rsidRPr="00EC75B7" w:rsidRDefault="00000000">
            <w:pPr>
              <w:pStyle w:val="TableParagraph"/>
              <w:spacing w:before="97"/>
              <w:ind w:left="8"/>
              <w:jc w:val="center"/>
              <w:rPr>
                <w:rFonts w:ascii="Verdana" w:hAnsi="Verdana"/>
                <w:sz w:val="18"/>
                <w:szCs w:val="18"/>
              </w:rPr>
            </w:pPr>
            <w:r w:rsidRPr="00EC75B7">
              <w:rPr>
                <w:rFonts w:ascii="Verdana" w:hAnsi="Verdana"/>
                <w:spacing w:val="-5"/>
                <w:sz w:val="18"/>
                <w:szCs w:val="18"/>
              </w:rPr>
              <w:t>LC</w:t>
            </w:r>
          </w:p>
        </w:tc>
        <w:tc>
          <w:tcPr>
            <w:tcW w:w="1560" w:type="dxa"/>
          </w:tcPr>
          <w:p w14:paraId="7B9C673F" w14:textId="77777777" w:rsidR="008715BE" w:rsidRPr="00EC75B7" w:rsidRDefault="00000000">
            <w:pPr>
              <w:pStyle w:val="TableParagraph"/>
              <w:spacing w:line="194" w:lineRule="exact"/>
              <w:ind w:left="325"/>
              <w:rPr>
                <w:rFonts w:ascii="Verdana" w:hAnsi="Verdana"/>
                <w:sz w:val="18"/>
                <w:szCs w:val="18"/>
              </w:rPr>
            </w:pPr>
            <w:r w:rsidRPr="00EC75B7">
              <w:rPr>
                <w:rFonts w:ascii="Verdana" w:hAnsi="Verdana"/>
                <w:sz w:val="18"/>
                <w:szCs w:val="18"/>
              </w:rPr>
              <w:t xml:space="preserve">Annex II </w:t>
            </w:r>
            <w:r w:rsidRPr="00EC75B7">
              <w:rPr>
                <w:rFonts w:ascii="Verdana" w:hAnsi="Verdana"/>
                <w:spacing w:val="-5"/>
                <w:sz w:val="18"/>
                <w:szCs w:val="18"/>
              </w:rPr>
              <w:t>A,</w:t>
            </w:r>
          </w:p>
          <w:p w14:paraId="3A31E6BB" w14:textId="77777777" w:rsidR="008715BE" w:rsidRPr="00EC75B7" w:rsidRDefault="00000000">
            <w:pPr>
              <w:pStyle w:val="TableParagraph"/>
              <w:spacing w:line="174" w:lineRule="exact"/>
              <w:ind w:left="320"/>
              <w:rPr>
                <w:rFonts w:ascii="Verdana" w:hAnsi="Verdana"/>
                <w:sz w:val="18"/>
                <w:szCs w:val="18"/>
              </w:rPr>
            </w:pPr>
            <w:r w:rsidRPr="00EC75B7">
              <w:rPr>
                <w:rFonts w:ascii="Verdana" w:hAnsi="Verdana"/>
                <w:sz w:val="18"/>
                <w:szCs w:val="18"/>
              </w:rPr>
              <w:t xml:space="preserve">Annex III </w:t>
            </w:r>
            <w:r w:rsidRPr="00EC75B7">
              <w:rPr>
                <w:rFonts w:ascii="Verdana" w:hAnsi="Verdana"/>
                <w:spacing w:val="-10"/>
                <w:sz w:val="18"/>
                <w:szCs w:val="18"/>
              </w:rPr>
              <w:t>A</w:t>
            </w:r>
          </w:p>
        </w:tc>
        <w:tc>
          <w:tcPr>
            <w:tcW w:w="1416" w:type="dxa"/>
          </w:tcPr>
          <w:p w14:paraId="276D5DBD" w14:textId="77777777" w:rsidR="008715BE" w:rsidRPr="00EC75B7" w:rsidRDefault="00000000">
            <w:pPr>
              <w:pStyle w:val="TableParagraph"/>
              <w:spacing w:before="97"/>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29B1F247" w14:textId="77777777" w:rsidR="008715BE" w:rsidRPr="00EC75B7" w:rsidRDefault="00000000">
            <w:pPr>
              <w:pStyle w:val="TableParagraph"/>
              <w:spacing w:before="97"/>
              <w:ind w:left="11"/>
              <w:jc w:val="center"/>
              <w:rPr>
                <w:rFonts w:ascii="Verdana" w:hAnsi="Verdana"/>
                <w:sz w:val="18"/>
                <w:szCs w:val="18"/>
              </w:rPr>
            </w:pPr>
            <w:r w:rsidRPr="00EC75B7">
              <w:rPr>
                <w:rFonts w:ascii="Verdana" w:hAnsi="Verdana"/>
                <w:sz w:val="18"/>
                <w:szCs w:val="18"/>
              </w:rPr>
              <w:t>-</w:t>
            </w:r>
          </w:p>
        </w:tc>
        <w:tc>
          <w:tcPr>
            <w:tcW w:w="1419" w:type="dxa"/>
          </w:tcPr>
          <w:p w14:paraId="2AA866BC" w14:textId="77777777" w:rsidR="008715BE" w:rsidRPr="00EC75B7" w:rsidRDefault="00000000">
            <w:pPr>
              <w:pStyle w:val="TableParagraph"/>
              <w:spacing w:before="97"/>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197A0514" w14:textId="77777777" w:rsidR="008715BE" w:rsidRPr="00EC75B7" w:rsidRDefault="00000000">
            <w:pPr>
              <w:pStyle w:val="TableParagraph"/>
              <w:spacing w:before="97"/>
              <w:ind w:left="8"/>
              <w:jc w:val="center"/>
              <w:rPr>
                <w:rFonts w:ascii="Verdana" w:hAnsi="Verdana"/>
                <w:sz w:val="18"/>
                <w:szCs w:val="18"/>
              </w:rPr>
            </w:pPr>
            <w:r w:rsidRPr="00EC75B7">
              <w:rPr>
                <w:rFonts w:ascii="Verdana" w:hAnsi="Verdana"/>
                <w:sz w:val="18"/>
                <w:szCs w:val="18"/>
              </w:rPr>
              <w:t>-</w:t>
            </w:r>
          </w:p>
        </w:tc>
      </w:tr>
      <w:tr w:rsidR="008715BE" w:rsidRPr="00EC75B7" w14:paraId="36E0B2DD" w14:textId="77777777">
        <w:trPr>
          <w:trHeight w:val="316"/>
        </w:trPr>
        <w:tc>
          <w:tcPr>
            <w:tcW w:w="847" w:type="dxa"/>
          </w:tcPr>
          <w:p w14:paraId="17600F55"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19</w:t>
            </w:r>
          </w:p>
        </w:tc>
        <w:tc>
          <w:tcPr>
            <w:tcW w:w="2405" w:type="dxa"/>
          </w:tcPr>
          <w:p w14:paraId="5B38FF87" w14:textId="77777777" w:rsidR="008715BE" w:rsidRPr="00EC75B7" w:rsidRDefault="00000000">
            <w:pPr>
              <w:pStyle w:val="TableParagraph"/>
              <w:spacing w:line="195" w:lineRule="exact"/>
              <w:ind w:left="13" w:right="6"/>
              <w:jc w:val="center"/>
              <w:rPr>
                <w:rFonts w:ascii="Verdana" w:hAnsi="Verdana"/>
                <w:i/>
                <w:sz w:val="18"/>
                <w:szCs w:val="18"/>
              </w:rPr>
            </w:pPr>
            <w:r w:rsidRPr="00EC75B7">
              <w:rPr>
                <w:rFonts w:ascii="Verdana" w:hAnsi="Verdana"/>
                <w:i/>
                <w:sz w:val="18"/>
                <w:szCs w:val="18"/>
              </w:rPr>
              <w:t xml:space="preserve">Coracias </w:t>
            </w:r>
            <w:r w:rsidRPr="00EC75B7">
              <w:rPr>
                <w:rFonts w:ascii="Verdana" w:hAnsi="Verdana"/>
                <w:i/>
                <w:spacing w:val="-2"/>
                <w:sz w:val="18"/>
                <w:szCs w:val="18"/>
              </w:rPr>
              <w:t>garrulus</w:t>
            </w:r>
          </w:p>
        </w:tc>
        <w:tc>
          <w:tcPr>
            <w:tcW w:w="2268" w:type="dxa"/>
          </w:tcPr>
          <w:p w14:paraId="34AFBB1B" w14:textId="77777777" w:rsidR="008715BE" w:rsidRPr="00EC75B7" w:rsidRDefault="00000000">
            <w:pPr>
              <w:pStyle w:val="TableParagraph"/>
              <w:spacing w:before="61"/>
              <w:ind w:left="13" w:right="1"/>
              <w:jc w:val="center"/>
              <w:rPr>
                <w:rFonts w:ascii="Verdana" w:hAnsi="Verdana"/>
                <w:sz w:val="18"/>
                <w:szCs w:val="18"/>
              </w:rPr>
            </w:pPr>
            <w:r w:rsidRPr="00EC75B7">
              <w:rPr>
                <w:rFonts w:ascii="Verdana" w:hAnsi="Verdana"/>
                <w:spacing w:val="-2"/>
                <w:sz w:val="18"/>
                <w:szCs w:val="18"/>
              </w:rPr>
              <w:t>European roller</w:t>
            </w:r>
          </w:p>
        </w:tc>
        <w:tc>
          <w:tcPr>
            <w:tcW w:w="1207" w:type="dxa"/>
          </w:tcPr>
          <w:p w14:paraId="54A9C536" w14:textId="77777777" w:rsidR="008715BE" w:rsidRPr="00EC75B7" w:rsidRDefault="00000000">
            <w:pPr>
              <w:pStyle w:val="TableParagraph"/>
              <w:spacing w:before="61"/>
              <w:ind w:left="14"/>
              <w:jc w:val="center"/>
              <w:rPr>
                <w:rFonts w:ascii="Verdana" w:hAnsi="Verdana"/>
                <w:sz w:val="18"/>
                <w:szCs w:val="18"/>
              </w:rPr>
            </w:pPr>
            <w:r w:rsidRPr="00EC75B7">
              <w:rPr>
                <w:rFonts w:ascii="Verdana" w:hAnsi="Verdana"/>
                <w:spacing w:val="-5"/>
                <w:sz w:val="18"/>
                <w:szCs w:val="18"/>
              </w:rPr>
              <w:t>26</w:t>
            </w:r>
          </w:p>
        </w:tc>
        <w:tc>
          <w:tcPr>
            <w:tcW w:w="924" w:type="dxa"/>
          </w:tcPr>
          <w:p w14:paraId="0FFF909F"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5A5BDBBB" w14:textId="77777777" w:rsidR="008715BE" w:rsidRPr="00EC75B7" w:rsidRDefault="00000000">
            <w:pPr>
              <w:pStyle w:val="TableParagraph"/>
              <w:spacing w:before="61"/>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11098913"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35DC6636"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6349E3F5"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24BB0CA4" w14:textId="77777777" w:rsidR="008715BE" w:rsidRPr="00EC75B7" w:rsidRDefault="00000000">
            <w:pPr>
              <w:pStyle w:val="TableParagraph"/>
              <w:spacing w:before="61"/>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569C9739" w14:textId="77777777">
        <w:trPr>
          <w:trHeight w:val="314"/>
        </w:trPr>
        <w:tc>
          <w:tcPr>
            <w:tcW w:w="847" w:type="dxa"/>
          </w:tcPr>
          <w:p w14:paraId="653AA678"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20</w:t>
            </w:r>
          </w:p>
        </w:tc>
        <w:tc>
          <w:tcPr>
            <w:tcW w:w="2405" w:type="dxa"/>
          </w:tcPr>
          <w:p w14:paraId="16112FCC" w14:textId="77777777" w:rsidR="008715BE" w:rsidRPr="00EC75B7" w:rsidRDefault="00000000">
            <w:pPr>
              <w:pStyle w:val="TableParagraph"/>
              <w:spacing w:line="195" w:lineRule="exact"/>
              <w:ind w:left="13" w:right="2"/>
              <w:jc w:val="center"/>
              <w:rPr>
                <w:rFonts w:ascii="Verdana" w:hAnsi="Verdana"/>
                <w:i/>
                <w:sz w:val="18"/>
                <w:szCs w:val="18"/>
              </w:rPr>
            </w:pPr>
            <w:r w:rsidRPr="00EC75B7">
              <w:rPr>
                <w:rFonts w:ascii="Verdana" w:hAnsi="Verdana"/>
                <w:i/>
                <w:sz w:val="18"/>
                <w:szCs w:val="18"/>
              </w:rPr>
              <w:t xml:space="preserve">Corvus </w:t>
            </w:r>
            <w:r w:rsidRPr="00EC75B7">
              <w:rPr>
                <w:rFonts w:ascii="Verdana" w:hAnsi="Verdana"/>
                <w:i/>
                <w:spacing w:val="-2"/>
                <w:sz w:val="18"/>
                <w:szCs w:val="18"/>
              </w:rPr>
              <w:t>corax</w:t>
            </w:r>
          </w:p>
        </w:tc>
        <w:tc>
          <w:tcPr>
            <w:tcW w:w="2268" w:type="dxa"/>
          </w:tcPr>
          <w:p w14:paraId="2C6375A9"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pacing w:val="-2"/>
                <w:sz w:val="18"/>
                <w:szCs w:val="18"/>
              </w:rPr>
              <w:t>The raven</w:t>
            </w:r>
          </w:p>
        </w:tc>
        <w:tc>
          <w:tcPr>
            <w:tcW w:w="1207" w:type="dxa"/>
          </w:tcPr>
          <w:p w14:paraId="7EA591FB"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30DE563A"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5C9EB547"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4F9D4633"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5F9AF176"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pacing w:val="-2"/>
                <w:sz w:val="18"/>
                <w:szCs w:val="18"/>
              </w:rPr>
              <w:t xml:space="preserve">Endangered </w:t>
            </w:r>
            <w:r w:rsidRPr="00EC75B7">
              <w:rPr>
                <w:rFonts w:ascii="Verdana" w:hAnsi="Verdana"/>
                <w:sz w:val="18"/>
                <w:szCs w:val="18"/>
              </w:rPr>
              <w:t>species</w:t>
            </w:r>
          </w:p>
        </w:tc>
        <w:tc>
          <w:tcPr>
            <w:tcW w:w="1419" w:type="dxa"/>
          </w:tcPr>
          <w:p w14:paraId="562E1B06"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41CFA93E"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067EC8A4" w14:textId="77777777">
        <w:trPr>
          <w:trHeight w:val="314"/>
        </w:trPr>
        <w:tc>
          <w:tcPr>
            <w:tcW w:w="847" w:type="dxa"/>
          </w:tcPr>
          <w:p w14:paraId="50624E88"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21</w:t>
            </w:r>
          </w:p>
        </w:tc>
        <w:tc>
          <w:tcPr>
            <w:tcW w:w="2405" w:type="dxa"/>
          </w:tcPr>
          <w:p w14:paraId="666B95AA" w14:textId="77777777" w:rsidR="008715BE" w:rsidRPr="00EC75B7" w:rsidRDefault="00000000">
            <w:pPr>
              <w:pStyle w:val="TableParagraph"/>
              <w:spacing w:line="195" w:lineRule="exact"/>
              <w:ind w:left="13" w:right="4"/>
              <w:jc w:val="center"/>
              <w:rPr>
                <w:rFonts w:ascii="Verdana" w:hAnsi="Verdana"/>
                <w:i/>
                <w:sz w:val="18"/>
                <w:szCs w:val="18"/>
              </w:rPr>
            </w:pPr>
            <w:r w:rsidRPr="00EC75B7">
              <w:rPr>
                <w:rFonts w:ascii="Verdana" w:hAnsi="Verdana"/>
                <w:i/>
                <w:sz w:val="18"/>
                <w:szCs w:val="18"/>
              </w:rPr>
              <w:t xml:space="preserve">Corvus </w:t>
            </w:r>
            <w:r w:rsidRPr="00EC75B7">
              <w:rPr>
                <w:rFonts w:ascii="Verdana" w:hAnsi="Verdana"/>
                <w:i/>
                <w:spacing w:val="-2"/>
                <w:sz w:val="18"/>
                <w:szCs w:val="18"/>
              </w:rPr>
              <w:t>frugilegus</w:t>
            </w:r>
          </w:p>
        </w:tc>
        <w:tc>
          <w:tcPr>
            <w:tcW w:w="2268" w:type="dxa"/>
          </w:tcPr>
          <w:p w14:paraId="485987EE" w14:textId="77777777" w:rsidR="008715BE" w:rsidRPr="00EC75B7" w:rsidRDefault="00000000">
            <w:pPr>
              <w:pStyle w:val="TableParagraph"/>
              <w:spacing w:before="59"/>
              <w:ind w:left="13" w:right="4"/>
              <w:jc w:val="center"/>
              <w:rPr>
                <w:rFonts w:ascii="Verdana" w:hAnsi="Verdana"/>
                <w:sz w:val="18"/>
                <w:szCs w:val="18"/>
              </w:rPr>
            </w:pPr>
            <w:r w:rsidRPr="00EC75B7">
              <w:rPr>
                <w:rFonts w:ascii="Verdana" w:hAnsi="Verdana"/>
                <w:spacing w:val="-2"/>
                <w:sz w:val="18"/>
                <w:szCs w:val="18"/>
              </w:rPr>
              <w:t>Raven</w:t>
            </w:r>
          </w:p>
        </w:tc>
        <w:tc>
          <w:tcPr>
            <w:tcW w:w="1207" w:type="dxa"/>
          </w:tcPr>
          <w:p w14:paraId="2DC081E4"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pacing w:val="-5"/>
                <w:sz w:val="18"/>
                <w:szCs w:val="18"/>
              </w:rPr>
              <w:t>28</w:t>
            </w:r>
          </w:p>
        </w:tc>
        <w:tc>
          <w:tcPr>
            <w:tcW w:w="924" w:type="dxa"/>
          </w:tcPr>
          <w:p w14:paraId="4D43C5CB"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3C07DEE7"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14FF1BD0"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19DAB083"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75B26309"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578E3B1E"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75F77836" w14:textId="77777777">
        <w:trPr>
          <w:trHeight w:val="316"/>
        </w:trPr>
        <w:tc>
          <w:tcPr>
            <w:tcW w:w="847" w:type="dxa"/>
          </w:tcPr>
          <w:p w14:paraId="48E3EDC8"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5"/>
                <w:sz w:val="18"/>
                <w:szCs w:val="18"/>
              </w:rPr>
              <w:t>22</w:t>
            </w:r>
          </w:p>
        </w:tc>
        <w:tc>
          <w:tcPr>
            <w:tcW w:w="2405" w:type="dxa"/>
          </w:tcPr>
          <w:p w14:paraId="6B25DFF4" w14:textId="77777777" w:rsidR="008715BE" w:rsidRPr="00EC75B7" w:rsidRDefault="00000000">
            <w:pPr>
              <w:pStyle w:val="TableParagraph"/>
              <w:spacing w:before="1"/>
              <w:ind w:left="13" w:right="4"/>
              <w:jc w:val="center"/>
              <w:rPr>
                <w:rFonts w:ascii="Verdana" w:hAnsi="Verdana"/>
                <w:i/>
                <w:sz w:val="18"/>
                <w:szCs w:val="18"/>
              </w:rPr>
            </w:pPr>
            <w:r w:rsidRPr="00EC75B7">
              <w:rPr>
                <w:rFonts w:ascii="Verdana" w:hAnsi="Verdana"/>
                <w:i/>
                <w:sz w:val="18"/>
                <w:szCs w:val="18"/>
              </w:rPr>
              <w:t xml:space="preserve">Coturnix </w:t>
            </w:r>
            <w:r w:rsidRPr="00EC75B7">
              <w:rPr>
                <w:rFonts w:ascii="Verdana" w:hAnsi="Verdana"/>
                <w:i/>
                <w:spacing w:val="-2"/>
                <w:sz w:val="18"/>
                <w:szCs w:val="18"/>
              </w:rPr>
              <w:t>coturnix</w:t>
            </w:r>
          </w:p>
        </w:tc>
        <w:tc>
          <w:tcPr>
            <w:tcW w:w="2268" w:type="dxa"/>
          </w:tcPr>
          <w:p w14:paraId="270D8CBA" w14:textId="77777777" w:rsidR="008715BE" w:rsidRPr="00EC75B7" w:rsidRDefault="00000000">
            <w:pPr>
              <w:pStyle w:val="TableParagraph"/>
              <w:spacing w:before="61"/>
              <w:ind w:left="13" w:right="3"/>
              <w:jc w:val="center"/>
              <w:rPr>
                <w:rFonts w:ascii="Verdana" w:hAnsi="Verdana"/>
                <w:sz w:val="18"/>
                <w:szCs w:val="18"/>
              </w:rPr>
            </w:pPr>
            <w:r w:rsidRPr="00EC75B7">
              <w:rPr>
                <w:rFonts w:ascii="Verdana" w:hAnsi="Verdana"/>
                <w:spacing w:val="-2"/>
                <w:sz w:val="18"/>
                <w:szCs w:val="18"/>
              </w:rPr>
              <w:t>Quail</w:t>
            </w:r>
          </w:p>
        </w:tc>
        <w:tc>
          <w:tcPr>
            <w:tcW w:w="1207" w:type="dxa"/>
          </w:tcPr>
          <w:p w14:paraId="4DDC836D" w14:textId="77777777" w:rsidR="008715BE" w:rsidRPr="00EC75B7" w:rsidRDefault="00000000">
            <w:pPr>
              <w:pStyle w:val="TableParagraph"/>
              <w:spacing w:before="61"/>
              <w:ind w:left="14" w:right="4"/>
              <w:jc w:val="center"/>
              <w:rPr>
                <w:rFonts w:ascii="Verdana" w:hAnsi="Verdana"/>
                <w:sz w:val="18"/>
                <w:szCs w:val="18"/>
              </w:rPr>
            </w:pPr>
            <w:r w:rsidRPr="00EC75B7">
              <w:rPr>
                <w:rFonts w:ascii="Verdana" w:hAnsi="Verdana"/>
                <w:spacing w:val="-10"/>
                <w:sz w:val="18"/>
                <w:szCs w:val="18"/>
              </w:rPr>
              <w:t>4</w:t>
            </w:r>
          </w:p>
        </w:tc>
        <w:tc>
          <w:tcPr>
            <w:tcW w:w="924" w:type="dxa"/>
          </w:tcPr>
          <w:p w14:paraId="1FAACDDB"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76A81B8E"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2A35FDFD"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745D9FDC"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46CAA9AA"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67DBCA94" w14:textId="77777777" w:rsidR="008715BE" w:rsidRPr="00EC75B7" w:rsidRDefault="00000000">
            <w:pPr>
              <w:pStyle w:val="TableParagraph"/>
              <w:spacing w:before="61"/>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01F454CE" w14:textId="77777777">
        <w:trPr>
          <w:trHeight w:val="314"/>
        </w:trPr>
        <w:tc>
          <w:tcPr>
            <w:tcW w:w="847" w:type="dxa"/>
          </w:tcPr>
          <w:p w14:paraId="31CBB7C3"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23</w:t>
            </w:r>
          </w:p>
        </w:tc>
        <w:tc>
          <w:tcPr>
            <w:tcW w:w="2405" w:type="dxa"/>
          </w:tcPr>
          <w:p w14:paraId="6F558F53" w14:textId="77777777" w:rsidR="008715BE" w:rsidRPr="00EC75B7" w:rsidRDefault="00000000">
            <w:pPr>
              <w:pStyle w:val="TableParagraph"/>
              <w:ind w:left="13" w:right="3"/>
              <w:jc w:val="center"/>
              <w:rPr>
                <w:rFonts w:ascii="Verdana" w:hAnsi="Verdana"/>
                <w:i/>
                <w:sz w:val="18"/>
                <w:szCs w:val="18"/>
              </w:rPr>
            </w:pPr>
            <w:r w:rsidRPr="00EC75B7">
              <w:rPr>
                <w:rFonts w:ascii="Verdana" w:hAnsi="Verdana"/>
                <w:i/>
                <w:sz w:val="18"/>
                <w:szCs w:val="18"/>
              </w:rPr>
              <w:t xml:space="preserve">Cuculus </w:t>
            </w:r>
            <w:r w:rsidRPr="00EC75B7">
              <w:rPr>
                <w:rFonts w:ascii="Verdana" w:hAnsi="Verdana"/>
                <w:i/>
                <w:spacing w:val="-2"/>
                <w:sz w:val="18"/>
                <w:szCs w:val="18"/>
              </w:rPr>
              <w:t>canorus</w:t>
            </w:r>
          </w:p>
        </w:tc>
        <w:tc>
          <w:tcPr>
            <w:tcW w:w="2268" w:type="dxa"/>
          </w:tcPr>
          <w:p w14:paraId="40685B0A" w14:textId="77777777" w:rsidR="008715BE" w:rsidRPr="00EC75B7" w:rsidRDefault="00000000">
            <w:pPr>
              <w:pStyle w:val="TableParagraph"/>
              <w:spacing w:before="60"/>
              <w:ind w:left="13" w:right="1"/>
              <w:jc w:val="center"/>
              <w:rPr>
                <w:rFonts w:ascii="Verdana" w:hAnsi="Verdana"/>
                <w:sz w:val="18"/>
                <w:szCs w:val="18"/>
              </w:rPr>
            </w:pPr>
            <w:r w:rsidRPr="00EC75B7">
              <w:rPr>
                <w:rFonts w:ascii="Verdana" w:hAnsi="Verdana"/>
                <w:spacing w:val="-5"/>
                <w:sz w:val="18"/>
                <w:szCs w:val="18"/>
              </w:rPr>
              <w:t>Cuckoo</w:t>
            </w:r>
          </w:p>
        </w:tc>
        <w:tc>
          <w:tcPr>
            <w:tcW w:w="1207" w:type="dxa"/>
          </w:tcPr>
          <w:p w14:paraId="7E795A15" w14:textId="77777777" w:rsidR="008715BE" w:rsidRPr="00EC75B7" w:rsidRDefault="00000000">
            <w:pPr>
              <w:pStyle w:val="TableParagraph"/>
              <w:spacing w:before="60"/>
              <w:ind w:left="14" w:right="4"/>
              <w:jc w:val="center"/>
              <w:rPr>
                <w:rFonts w:ascii="Verdana" w:hAnsi="Verdana"/>
                <w:sz w:val="18"/>
                <w:szCs w:val="18"/>
              </w:rPr>
            </w:pPr>
            <w:r w:rsidRPr="00EC75B7">
              <w:rPr>
                <w:rFonts w:ascii="Verdana" w:hAnsi="Verdana"/>
                <w:spacing w:val="-10"/>
                <w:sz w:val="18"/>
                <w:szCs w:val="18"/>
              </w:rPr>
              <w:t>6</w:t>
            </w:r>
          </w:p>
        </w:tc>
        <w:tc>
          <w:tcPr>
            <w:tcW w:w="924" w:type="dxa"/>
          </w:tcPr>
          <w:p w14:paraId="1081D476" w14:textId="77777777" w:rsidR="008715BE" w:rsidRPr="00EC75B7" w:rsidRDefault="00000000">
            <w:pPr>
              <w:pStyle w:val="TableParagraph"/>
              <w:spacing w:before="60"/>
              <w:ind w:left="8"/>
              <w:jc w:val="center"/>
              <w:rPr>
                <w:rFonts w:ascii="Verdana" w:hAnsi="Verdana"/>
                <w:sz w:val="18"/>
                <w:szCs w:val="18"/>
              </w:rPr>
            </w:pPr>
            <w:r w:rsidRPr="00EC75B7">
              <w:rPr>
                <w:rFonts w:ascii="Verdana" w:hAnsi="Verdana"/>
                <w:spacing w:val="-5"/>
                <w:sz w:val="18"/>
                <w:szCs w:val="18"/>
              </w:rPr>
              <w:t>LC</w:t>
            </w:r>
          </w:p>
        </w:tc>
        <w:tc>
          <w:tcPr>
            <w:tcW w:w="1560" w:type="dxa"/>
          </w:tcPr>
          <w:p w14:paraId="5FC07E05" w14:textId="77777777" w:rsidR="008715BE" w:rsidRPr="00EC75B7" w:rsidRDefault="00000000">
            <w:pPr>
              <w:pStyle w:val="TableParagraph"/>
              <w:spacing w:before="60"/>
              <w:ind w:left="13"/>
              <w:jc w:val="center"/>
              <w:rPr>
                <w:rFonts w:ascii="Verdana" w:hAnsi="Verdana"/>
                <w:sz w:val="18"/>
                <w:szCs w:val="18"/>
              </w:rPr>
            </w:pPr>
            <w:r w:rsidRPr="00EC75B7">
              <w:rPr>
                <w:rFonts w:ascii="Verdana" w:hAnsi="Verdana"/>
                <w:sz w:val="18"/>
                <w:szCs w:val="18"/>
              </w:rPr>
              <w:t>-</w:t>
            </w:r>
          </w:p>
        </w:tc>
        <w:tc>
          <w:tcPr>
            <w:tcW w:w="1416" w:type="dxa"/>
          </w:tcPr>
          <w:p w14:paraId="76AF66C5" w14:textId="77777777" w:rsidR="008715BE" w:rsidRPr="00EC75B7" w:rsidRDefault="00000000">
            <w:pPr>
              <w:pStyle w:val="TableParagraph"/>
              <w:spacing w:before="60"/>
              <w:ind w:left="9"/>
              <w:jc w:val="center"/>
              <w:rPr>
                <w:rFonts w:ascii="Verdana" w:hAnsi="Verdana"/>
                <w:sz w:val="18"/>
                <w:szCs w:val="18"/>
              </w:rPr>
            </w:pPr>
            <w:r w:rsidRPr="00EC75B7">
              <w:rPr>
                <w:rFonts w:ascii="Verdana" w:hAnsi="Verdana"/>
                <w:sz w:val="18"/>
                <w:szCs w:val="18"/>
              </w:rPr>
              <w:t>-</w:t>
            </w:r>
          </w:p>
        </w:tc>
        <w:tc>
          <w:tcPr>
            <w:tcW w:w="1985" w:type="dxa"/>
          </w:tcPr>
          <w:p w14:paraId="4206956B" w14:textId="77777777" w:rsidR="008715BE" w:rsidRPr="00EC75B7" w:rsidRDefault="00000000">
            <w:pPr>
              <w:pStyle w:val="TableParagraph"/>
              <w:spacing w:before="60"/>
              <w:ind w:left="11"/>
              <w:jc w:val="center"/>
              <w:rPr>
                <w:rFonts w:ascii="Verdana" w:hAnsi="Verdana"/>
                <w:sz w:val="18"/>
                <w:szCs w:val="18"/>
              </w:rPr>
            </w:pPr>
            <w:r w:rsidRPr="00EC75B7">
              <w:rPr>
                <w:rFonts w:ascii="Verdana" w:hAnsi="Verdana"/>
                <w:sz w:val="18"/>
                <w:szCs w:val="18"/>
              </w:rPr>
              <w:t>-</w:t>
            </w:r>
          </w:p>
        </w:tc>
        <w:tc>
          <w:tcPr>
            <w:tcW w:w="1419" w:type="dxa"/>
          </w:tcPr>
          <w:p w14:paraId="119EFB79" w14:textId="77777777" w:rsidR="008715BE" w:rsidRPr="00EC75B7" w:rsidRDefault="00000000">
            <w:pPr>
              <w:pStyle w:val="TableParagraph"/>
              <w:spacing w:before="60"/>
              <w:ind w:left="11"/>
              <w:jc w:val="center"/>
              <w:rPr>
                <w:rFonts w:ascii="Verdana" w:hAnsi="Verdana"/>
                <w:sz w:val="18"/>
                <w:szCs w:val="18"/>
              </w:rPr>
            </w:pPr>
            <w:r w:rsidRPr="00EC75B7">
              <w:rPr>
                <w:rFonts w:ascii="Verdana" w:hAnsi="Verdana"/>
                <w:sz w:val="18"/>
                <w:szCs w:val="18"/>
              </w:rPr>
              <w:t>-</w:t>
            </w:r>
          </w:p>
        </w:tc>
        <w:tc>
          <w:tcPr>
            <w:tcW w:w="1282" w:type="dxa"/>
          </w:tcPr>
          <w:p w14:paraId="1B21FD04" w14:textId="77777777" w:rsidR="008715BE" w:rsidRPr="00EC75B7" w:rsidRDefault="00000000">
            <w:pPr>
              <w:pStyle w:val="TableParagraph"/>
              <w:spacing w:before="60"/>
              <w:ind w:left="8"/>
              <w:jc w:val="center"/>
              <w:rPr>
                <w:rFonts w:ascii="Verdana" w:hAnsi="Verdana"/>
                <w:sz w:val="18"/>
                <w:szCs w:val="18"/>
              </w:rPr>
            </w:pPr>
            <w:r w:rsidRPr="00EC75B7">
              <w:rPr>
                <w:rFonts w:ascii="Verdana" w:hAnsi="Verdana"/>
                <w:sz w:val="18"/>
                <w:szCs w:val="18"/>
              </w:rPr>
              <w:t>-</w:t>
            </w:r>
          </w:p>
        </w:tc>
      </w:tr>
      <w:tr w:rsidR="008715BE" w:rsidRPr="00EC75B7" w14:paraId="272E2B9A" w14:textId="77777777">
        <w:trPr>
          <w:trHeight w:val="316"/>
        </w:trPr>
        <w:tc>
          <w:tcPr>
            <w:tcW w:w="847" w:type="dxa"/>
          </w:tcPr>
          <w:p w14:paraId="156607DA"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24</w:t>
            </w:r>
          </w:p>
        </w:tc>
        <w:tc>
          <w:tcPr>
            <w:tcW w:w="2405" w:type="dxa"/>
          </w:tcPr>
          <w:p w14:paraId="064805B3" w14:textId="77777777" w:rsidR="008715BE" w:rsidRPr="00EC75B7" w:rsidRDefault="00000000">
            <w:pPr>
              <w:pStyle w:val="TableParagraph"/>
              <w:spacing w:line="195" w:lineRule="exact"/>
              <w:ind w:left="13"/>
              <w:jc w:val="center"/>
              <w:rPr>
                <w:rFonts w:ascii="Verdana" w:hAnsi="Verdana"/>
                <w:i/>
                <w:sz w:val="18"/>
                <w:szCs w:val="18"/>
              </w:rPr>
            </w:pPr>
            <w:r w:rsidRPr="00EC75B7">
              <w:rPr>
                <w:rFonts w:ascii="Verdana" w:hAnsi="Verdana"/>
                <w:i/>
                <w:spacing w:val="-2"/>
                <w:sz w:val="18"/>
                <w:szCs w:val="18"/>
              </w:rPr>
              <w:t>House Martin</w:t>
            </w:r>
          </w:p>
        </w:tc>
        <w:tc>
          <w:tcPr>
            <w:tcW w:w="2268" w:type="dxa"/>
          </w:tcPr>
          <w:p w14:paraId="140F63CB" w14:textId="77777777" w:rsidR="008715BE" w:rsidRPr="00EC75B7" w:rsidRDefault="00000000">
            <w:pPr>
              <w:pStyle w:val="TableParagraph"/>
              <w:spacing w:before="61"/>
              <w:ind w:left="13" w:right="3"/>
              <w:jc w:val="center"/>
              <w:rPr>
                <w:rFonts w:ascii="Verdana" w:hAnsi="Verdana"/>
                <w:sz w:val="18"/>
                <w:szCs w:val="18"/>
              </w:rPr>
            </w:pPr>
            <w:r w:rsidRPr="00EC75B7">
              <w:rPr>
                <w:rFonts w:ascii="Verdana" w:hAnsi="Verdana"/>
                <w:spacing w:val="-4"/>
                <w:sz w:val="18"/>
                <w:szCs w:val="18"/>
              </w:rPr>
              <w:t xml:space="preserve">House </w:t>
            </w:r>
            <w:r w:rsidRPr="00EC75B7">
              <w:rPr>
                <w:rFonts w:ascii="Verdana" w:hAnsi="Verdana"/>
                <w:sz w:val="18"/>
                <w:szCs w:val="18"/>
              </w:rPr>
              <w:t>Martin</w:t>
            </w:r>
          </w:p>
        </w:tc>
        <w:tc>
          <w:tcPr>
            <w:tcW w:w="1207" w:type="dxa"/>
          </w:tcPr>
          <w:p w14:paraId="2D742C54" w14:textId="77777777" w:rsidR="008715BE" w:rsidRPr="00EC75B7" w:rsidRDefault="00000000">
            <w:pPr>
              <w:pStyle w:val="TableParagraph"/>
              <w:spacing w:before="61"/>
              <w:ind w:left="14"/>
              <w:jc w:val="center"/>
              <w:rPr>
                <w:rFonts w:ascii="Verdana" w:hAnsi="Verdana"/>
                <w:sz w:val="18"/>
                <w:szCs w:val="18"/>
              </w:rPr>
            </w:pPr>
            <w:r w:rsidRPr="00EC75B7">
              <w:rPr>
                <w:rFonts w:ascii="Verdana" w:hAnsi="Verdana"/>
                <w:spacing w:val="-5"/>
                <w:sz w:val="18"/>
                <w:szCs w:val="18"/>
              </w:rPr>
              <w:t>50</w:t>
            </w:r>
          </w:p>
        </w:tc>
        <w:tc>
          <w:tcPr>
            <w:tcW w:w="924" w:type="dxa"/>
          </w:tcPr>
          <w:p w14:paraId="5CD5543A"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pacing w:val="-5"/>
                <w:sz w:val="18"/>
                <w:szCs w:val="18"/>
              </w:rPr>
              <w:t>LC</w:t>
            </w:r>
          </w:p>
        </w:tc>
        <w:tc>
          <w:tcPr>
            <w:tcW w:w="1560" w:type="dxa"/>
          </w:tcPr>
          <w:p w14:paraId="7F0D1A5F" w14:textId="77777777" w:rsidR="008715BE" w:rsidRPr="00EC75B7" w:rsidRDefault="00000000">
            <w:pPr>
              <w:pStyle w:val="TableParagraph"/>
              <w:spacing w:before="61"/>
              <w:ind w:left="13"/>
              <w:jc w:val="center"/>
              <w:rPr>
                <w:rFonts w:ascii="Verdana" w:hAnsi="Verdana"/>
                <w:sz w:val="18"/>
                <w:szCs w:val="18"/>
              </w:rPr>
            </w:pPr>
            <w:r w:rsidRPr="00EC75B7">
              <w:rPr>
                <w:rFonts w:ascii="Verdana" w:hAnsi="Verdana"/>
                <w:sz w:val="18"/>
                <w:szCs w:val="18"/>
              </w:rPr>
              <w:t>-</w:t>
            </w:r>
          </w:p>
        </w:tc>
        <w:tc>
          <w:tcPr>
            <w:tcW w:w="1416" w:type="dxa"/>
          </w:tcPr>
          <w:p w14:paraId="34B99E88" w14:textId="77777777" w:rsidR="008715BE" w:rsidRPr="00EC75B7" w:rsidRDefault="00000000">
            <w:pPr>
              <w:pStyle w:val="TableParagraph"/>
              <w:spacing w:before="61"/>
              <w:ind w:left="9"/>
              <w:jc w:val="center"/>
              <w:rPr>
                <w:rFonts w:ascii="Verdana" w:hAnsi="Verdana"/>
                <w:sz w:val="18"/>
                <w:szCs w:val="18"/>
              </w:rPr>
            </w:pPr>
            <w:r w:rsidRPr="00EC75B7">
              <w:rPr>
                <w:rFonts w:ascii="Verdana" w:hAnsi="Verdana"/>
                <w:sz w:val="18"/>
                <w:szCs w:val="18"/>
              </w:rPr>
              <w:t>-</w:t>
            </w:r>
          </w:p>
        </w:tc>
        <w:tc>
          <w:tcPr>
            <w:tcW w:w="1985" w:type="dxa"/>
          </w:tcPr>
          <w:p w14:paraId="50039029"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419" w:type="dxa"/>
          </w:tcPr>
          <w:p w14:paraId="33BE5D0C" w14:textId="77777777" w:rsidR="008715BE" w:rsidRPr="00EC75B7" w:rsidRDefault="00000000">
            <w:pPr>
              <w:pStyle w:val="TableParagraph"/>
              <w:spacing w:before="61"/>
              <w:ind w:left="11"/>
              <w:jc w:val="center"/>
              <w:rPr>
                <w:rFonts w:ascii="Verdana" w:hAnsi="Verdana"/>
                <w:sz w:val="18"/>
                <w:szCs w:val="18"/>
              </w:rPr>
            </w:pPr>
            <w:r w:rsidRPr="00EC75B7">
              <w:rPr>
                <w:rFonts w:ascii="Verdana" w:hAnsi="Verdana"/>
                <w:sz w:val="18"/>
                <w:szCs w:val="18"/>
              </w:rPr>
              <w:t>-</w:t>
            </w:r>
          </w:p>
        </w:tc>
        <w:tc>
          <w:tcPr>
            <w:tcW w:w="1282" w:type="dxa"/>
          </w:tcPr>
          <w:p w14:paraId="29045B45" w14:textId="77777777" w:rsidR="008715BE" w:rsidRPr="00EC75B7" w:rsidRDefault="00000000">
            <w:pPr>
              <w:pStyle w:val="TableParagraph"/>
              <w:spacing w:before="61"/>
              <w:ind w:left="8"/>
              <w:jc w:val="center"/>
              <w:rPr>
                <w:rFonts w:ascii="Verdana" w:hAnsi="Verdana"/>
                <w:sz w:val="18"/>
                <w:szCs w:val="18"/>
              </w:rPr>
            </w:pPr>
            <w:r w:rsidRPr="00EC75B7">
              <w:rPr>
                <w:rFonts w:ascii="Verdana" w:hAnsi="Verdana"/>
                <w:sz w:val="18"/>
                <w:szCs w:val="18"/>
              </w:rPr>
              <w:t>-</w:t>
            </w:r>
          </w:p>
        </w:tc>
      </w:tr>
      <w:tr w:rsidR="008715BE" w:rsidRPr="00EC75B7" w14:paraId="44ACF2E7" w14:textId="77777777">
        <w:trPr>
          <w:trHeight w:val="313"/>
        </w:trPr>
        <w:tc>
          <w:tcPr>
            <w:tcW w:w="847" w:type="dxa"/>
          </w:tcPr>
          <w:p w14:paraId="314B7C00" w14:textId="77777777" w:rsidR="008715BE" w:rsidRPr="00EC75B7" w:rsidRDefault="00000000">
            <w:pPr>
              <w:pStyle w:val="TableParagraph"/>
              <w:spacing w:line="194" w:lineRule="exact"/>
              <w:ind w:left="12"/>
              <w:jc w:val="center"/>
              <w:rPr>
                <w:rFonts w:ascii="Verdana" w:hAnsi="Verdana"/>
                <w:sz w:val="18"/>
                <w:szCs w:val="18"/>
              </w:rPr>
            </w:pPr>
            <w:r w:rsidRPr="00EC75B7">
              <w:rPr>
                <w:rFonts w:ascii="Verdana" w:hAnsi="Verdana"/>
                <w:spacing w:val="-5"/>
                <w:sz w:val="18"/>
                <w:szCs w:val="18"/>
              </w:rPr>
              <w:lastRenderedPageBreak/>
              <w:t>25</w:t>
            </w:r>
          </w:p>
        </w:tc>
        <w:tc>
          <w:tcPr>
            <w:tcW w:w="2405" w:type="dxa"/>
          </w:tcPr>
          <w:p w14:paraId="37E0E9A9" w14:textId="77777777" w:rsidR="008715BE" w:rsidRPr="00EC75B7" w:rsidRDefault="00000000">
            <w:pPr>
              <w:pStyle w:val="TableParagraph"/>
              <w:spacing w:line="194" w:lineRule="exact"/>
              <w:ind w:left="13" w:right="4"/>
              <w:jc w:val="center"/>
              <w:rPr>
                <w:rFonts w:ascii="Verdana" w:hAnsi="Verdana"/>
                <w:i/>
                <w:sz w:val="18"/>
                <w:szCs w:val="18"/>
              </w:rPr>
            </w:pPr>
            <w:r w:rsidRPr="00EC75B7">
              <w:rPr>
                <w:rFonts w:ascii="Verdana" w:hAnsi="Verdana"/>
                <w:i/>
                <w:spacing w:val="-2"/>
                <w:sz w:val="18"/>
                <w:szCs w:val="18"/>
              </w:rPr>
              <w:t xml:space="preserve">Calandra </w:t>
            </w:r>
            <w:r w:rsidRPr="00EC75B7">
              <w:rPr>
                <w:rFonts w:ascii="Verdana" w:hAnsi="Verdana"/>
                <w:i/>
                <w:sz w:val="18"/>
                <w:szCs w:val="18"/>
              </w:rPr>
              <w:t>Bunting</w:t>
            </w:r>
          </w:p>
        </w:tc>
        <w:tc>
          <w:tcPr>
            <w:tcW w:w="2268" w:type="dxa"/>
          </w:tcPr>
          <w:p w14:paraId="4A70D42E" w14:textId="77777777" w:rsidR="008715BE" w:rsidRPr="00EC75B7" w:rsidRDefault="00000000">
            <w:pPr>
              <w:pStyle w:val="TableParagraph"/>
              <w:spacing w:before="59"/>
              <w:ind w:left="13" w:right="1"/>
              <w:jc w:val="center"/>
              <w:rPr>
                <w:rFonts w:ascii="Verdana" w:hAnsi="Verdana"/>
                <w:sz w:val="18"/>
                <w:szCs w:val="18"/>
              </w:rPr>
            </w:pPr>
            <w:r w:rsidRPr="00EC75B7">
              <w:rPr>
                <w:rFonts w:ascii="Verdana" w:hAnsi="Verdana"/>
                <w:spacing w:val="-4"/>
                <w:sz w:val="18"/>
                <w:szCs w:val="18"/>
              </w:rPr>
              <w:t xml:space="preserve">Sour </w:t>
            </w:r>
            <w:r w:rsidRPr="00EC75B7">
              <w:rPr>
                <w:rFonts w:ascii="Verdana" w:hAnsi="Verdana"/>
                <w:sz w:val="18"/>
                <w:szCs w:val="18"/>
              </w:rPr>
              <w:t>press</w:t>
            </w:r>
          </w:p>
        </w:tc>
        <w:tc>
          <w:tcPr>
            <w:tcW w:w="1207" w:type="dxa"/>
          </w:tcPr>
          <w:p w14:paraId="6588D61B" w14:textId="77777777" w:rsidR="008715BE" w:rsidRPr="00EC75B7" w:rsidRDefault="00000000">
            <w:pPr>
              <w:pStyle w:val="TableParagraph"/>
              <w:spacing w:before="59"/>
              <w:ind w:left="14" w:right="1"/>
              <w:jc w:val="center"/>
              <w:rPr>
                <w:rFonts w:ascii="Verdana" w:hAnsi="Verdana"/>
                <w:sz w:val="18"/>
                <w:szCs w:val="18"/>
              </w:rPr>
            </w:pPr>
            <w:r w:rsidRPr="00EC75B7">
              <w:rPr>
                <w:rFonts w:ascii="Verdana" w:hAnsi="Verdana"/>
                <w:spacing w:val="-5"/>
                <w:sz w:val="18"/>
                <w:szCs w:val="18"/>
              </w:rPr>
              <w:t>200</w:t>
            </w:r>
          </w:p>
        </w:tc>
        <w:tc>
          <w:tcPr>
            <w:tcW w:w="924" w:type="dxa"/>
          </w:tcPr>
          <w:p w14:paraId="4D8AAB24"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5BD45C0B" w14:textId="77777777" w:rsidR="008715BE" w:rsidRPr="00EC75B7" w:rsidRDefault="00000000">
            <w:pPr>
              <w:pStyle w:val="TableParagraph"/>
              <w:spacing w:before="59"/>
              <w:ind w:left="13"/>
              <w:jc w:val="center"/>
              <w:rPr>
                <w:rFonts w:ascii="Verdana" w:hAnsi="Verdana"/>
                <w:sz w:val="18"/>
                <w:szCs w:val="18"/>
              </w:rPr>
            </w:pPr>
            <w:r w:rsidRPr="00EC75B7">
              <w:rPr>
                <w:rFonts w:ascii="Verdana" w:hAnsi="Verdana"/>
                <w:sz w:val="18"/>
                <w:szCs w:val="18"/>
              </w:rPr>
              <w:t>-</w:t>
            </w:r>
          </w:p>
        </w:tc>
        <w:tc>
          <w:tcPr>
            <w:tcW w:w="1416" w:type="dxa"/>
          </w:tcPr>
          <w:p w14:paraId="7CDBF546" w14:textId="77777777" w:rsidR="008715BE" w:rsidRPr="00EC75B7" w:rsidRDefault="00000000">
            <w:pPr>
              <w:pStyle w:val="TableParagraph"/>
              <w:spacing w:before="59"/>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1D5D721F"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24EFD41F"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1FA98055"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r w:rsidR="008715BE" w:rsidRPr="00EC75B7" w14:paraId="29FDEE4B" w14:textId="77777777">
        <w:trPr>
          <w:trHeight w:val="316"/>
        </w:trPr>
        <w:tc>
          <w:tcPr>
            <w:tcW w:w="847" w:type="dxa"/>
          </w:tcPr>
          <w:p w14:paraId="39EF6056" w14:textId="77777777" w:rsidR="008715BE" w:rsidRPr="00EC75B7" w:rsidRDefault="00000000">
            <w:pPr>
              <w:pStyle w:val="TableParagraph"/>
              <w:spacing w:line="195" w:lineRule="exact"/>
              <w:ind w:left="12"/>
              <w:jc w:val="center"/>
              <w:rPr>
                <w:rFonts w:ascii="Verdana" w:hAnsi="Verdana"/>
                <w:sz w:val="18"/>
                <w:szCs w:val="18"/>
              </w:rPr>
            </w:pPr>
            <w:r w:rsidRPr="00EC75B7">
              <w:rPr>
                <w:rFonts w:ascii="Verdana" w:hAnsi="Verdana"/>
                <w:spacing w:val="-5"/>
                <w:sz w:val="18"/>
                <w:szCs w:val="18"/>
              </w:rPr>
              <w:t>26</w:t>
            </w:r>
          </w:p>
        </w:tc>
        <w:tc>
          <w:tcPr>
            <w:tcW w:w="2405" w:type="dxa"/>
          </w:tcPr>
          <w:p w14:paraId="2F4F839B" w14:textId="77777777" w:rsidR="008715BE" w:rsidRPr="00EC75B7" w:rsidRDefault="00000000">
            <w:pPr>
              <w:pStyle w:val="TableParagraph"/>
              <w:spacing w:line="195" w:lineRule="exact"/>
              <w:ind w:left="13" w:right="3"/>
              <w:jc w:val="center"/>
              <w:rPr>
                <w:rFonts w:ascii="Verdana" w:hAnsi="Verdana"/>
                <w:i/>
                <w:sz w:val="18"/>
                <w:szCs w:val="18"/>
              </w:rPr>
            </w:pPr>
            <w:r w:rsidRPr="00EC75B7">
              <w:rPr>
                <w:rFonts w:ascii="Verdana" w:hAnsi="Verdana"/>
                <w:i/>
                <w:sz w:val="18"/>
                <w:szCs w:val="18"/>
              </w:rPr>
              <w:t xml:space="preserve">Emberiza </w:t>
            </w:r>
            <w:r w:rsidRPr="00EC75B7">
              <w:rPr>
                <w:rFonts w:ascii="Verdana" w:hAnsi="Verdana"/>
                <w:i/>
                <w:spacing w:val="-2"/>
                <w:sz w:val="18"/>
                <w:szCs w:val="18"/>
              </w:rPr>
              <w:t>hortulana</w:t>
            </w:r>
          </w:p>
        </w:tc>
        <w:tc>
          <w:tcPr>
            <w:tcW w:w="2268" w:type="dxa"/>
          </w:tcPr>
          <w:p w14:paraId="1878AC46" w14:textId="77777777" w:rsidR="008715BE" w:rsidRPr="00EC75B7" w:rsidRDefault="00000000">
            <w:pPr>
              <w:pStyle w:val="TableParagraph"/>
              <w:spacing w:before="59"/>
              <w:ind w:left="13" w:right="3"/>
              <w:jc w:val="center"/>
              <w:rPr>
                <w:rFonts w:ascii="Verdana" w:hAnsi="Verdana"/>
                <w:sz w:val="18"/>
                <w:szCs w:val="18"/>
              </w:rPr>
            </w:pPr>
            <w:r w:rsidRPr="00EC75B7">
              <w:rPr>
                <w:rFonts w:ascii="Verdana" w:hAnsi="Verdana"/>
                <w:spacing w:val="-2"/>
                <w:sz w:val="18"/>
                <w:szCs w:val="18"/>
              </w:rPr>
              <w:t xml:space="preserve">Garden </w:t>
            </w:r>
            <w:r w:rsidRPr="00EC75B7">
              <w:rPr>
                <w:rFonts w:ascii="Verdana" w:hAnsi="Verdana"/>
                <w:sz w:val="18"/>
                <w:szCs w:val="18"/>
              </w:rPr>
              <w:t>bunting</w:t>
            </w:r>
          </w:p>
        </w:tc>
        <w:tc>
          <w:tcPr>
            <w:tcW w:w="1207" w:type="dxa"/>
          </w:tcPr>
          <w:p w14:paraId="6875C089" w14:textId="77777777" w:rsidR="008715BE" w:rsidRPr="00EC75B7" w:rsidRDefault="00000000">
            <w:pPr>
              <w:pStyle w:val="TableParagraph"/>
              <w:spacing w:before="59"/>
              <w:ind w:left="14" w:right="4"/>
              <w:jc w:val="center"/>
              <w:rPr>
                <w:rFonts w:ascii="Verdana" w:hAnsi="Verdana"/>
                <w:sz w:val="18"/>
                <w:szCs w:val="18"/>
              </w:rPr>
            </w:pPr>
            <w:r w:rsidRPr="00EC75B7">
              <w:rPr>
                <w:rFonts w:ascii="Verdana" w:hAnsi="Verdana"/>
                <w:spacing w:val="-10"/>
                <w:sz w:val="18"/>
                <w:szCs w:val="18"/>
              </w:rPr>
              <w:t>3</w:t>
            </w:r>
          </w:p>
        </w:tc>
        <w:tc>
          <w:tcPr>
            <w:tcW w:w="924" w:type="dxa"/>
          </w:tcPr>
          <w:p w14:paraId="08683013"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pacing w:val="-5"/>
                <w:sz w:val="18"/>
                <w:szCs w:val="18"/>
              </w:rPr>
              <w:t>LC</w:t>
            </w:r>
          </w:p>
        </w:tc>
        <w:tc>
          <w:tcPr>
            <w:tcW w:w="1560" w:type="dxa"/>
          </w:tcPr>
          <w:p w14:paraId="2008F663" w14:textId="77777777" w:rsidR="008715BE" w:rsidRPr="00EC75B7" w:rsidRDefault="00000000">
            <w:pPr>
              <w:pStyle w:val="TableParagraph"/>
              <w:spacing w:before="59"/>
              <w:ind w:left="14"/>
              <w:jc w:val="center"/>
              <w:rPr>
                <w:rFonts w:ascii="Verdana" w:hAnsi="Verdana"/>
                <w:sz w:val="18"/>
                <w:szCs w:val="18"/>
              </w:rPr>
            </w:pPr>
            <w:r w:rsidRPr="00EC75B7">
              <w:rPr>
                <w:rFonts w:ascii="Verdana" w:hAnsi="Verdana"/>
                <w:sz w:val="18"/>
                <w:szCs w:val="18"/>
              </w:rPr>
              <w:t>An</w:t>
            </w:r>
            <w:r w:rsidRPr="00EC75B7">
              <w:rPr>
                <w:rFonts w:ascii="Verdana" w:hAnsi="Verdana"/>
                <w:spacing w:val="-10"/>
                <w:sz w:val="18"/>
                <w:szCs w:val="18"/>
              </w:rPr>
              <w:t>nex</w:t>
            </w:r>
          </w:p>
        </w:tc>
        <w:tc>
          <w:tcPr>
            <w:tcW w:w="1416" w:type="dxa"/>
          </w:tcPr>
          <w:p w14:paraId="12E0F142"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5A943AC8"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419" w:type="dxa"/>
          </w:tcPr>
          <w:p w14:paraId="039FE147" w14:textId="77777777" w:rsidR="008715BE" w:rsidRPr="00EC75B7" w:rsidRDefault="00000000">
            <w:pPr>
              <w:pStyle w:val="TableParagraph"/>
              <w:spacing w:before="59"/>
              <w:ind w:left="11"/>
              <w:jc w:val="center"/>
              <w:rPr>
                <w:rFonts w:ascii="Verdana" w:hAnsi="Verdana"/>
                <w:sz w:val="18"/>
                <w:szCs w:val="18"/>
              </w:rPr>
            </w:pPr>
            <w:r w:rsidRPr="00EC75B7">
              <w:rPr>
                <w:rFonts w:ascii="Verdana" w:hAnsi="Verdana"/>
                <w:sz w:val="18"/>
                <w:szCs w:val="18"/>
              </w:rPr>
              <w:t>-</w:t>
            </w:r>
          </w:p>
        </w:tc>
        <w:tc>
          <w:tcPr>
            <w:tcW w:w="1282" w:type="dxa"/>
          </w:tcPr>
          <w:p w14:paraId="2792135F" w14:textId="77777777" w:rsidR="008715BE" w:rsidRPr="00EC75B7" w:rsidRDefault="00000000">
            <w:pPr>
              <w:pStyle w:val="TableParagraph"/>
              <w:spacing w:before="59"/>
              <w:ind w:left="8"/>
              <w:jc w:val="center"/>
              <w:rPr>
                <w:rFonts w:ascii="Verdana" w:hAnsi="Verdana"/>
                <w:sz w:val="18"/>
                <w:szCs w:val="18"/>
              </w:rPr>
            </w:pPr>
            <w:r w:rsidRPr="00EC75B7">
              <w:rPr>
                <w:rFonts w:ascii="Verdana" w:hAnsi="Verdana"/>
                <w:sz w:val="18"/>
                <w:szCs w:val="18"/>
              </w:rPr>
              <w:t>-</w:t>
            </w:r>
          </w:p>
        </w:tc>
      </w:tr>
    </w:tbl>
    <w:p w14:paraId="0DAB715D" w14:textId="77777777" w:rsidR="008715BE" w:rsidRPr="00EC75B7" w:rsidRDefault="008715BE">
      <w:pPr>
        <w:pStyle w:val="TableParagraph"/>
        <w:jc w:val="center"/>
        <w:rPr>
          <w:rFonts w:ascii="Verdana" w:hAnsi="Verdana"/>
          <w:sz w:val="18"/>
          <w:szCs w:val="18"/>
        </w:rPr>
        <w:sectPr w:rsidR="008715BE" w:rsidRPr="00EC75B7">
          <w:headerReference w:type="default" r:id="rId130"/>
          <w:footerReference w:type="default" r:id="rId131"/>
          <w:pgSz w:w="16840" w:h="11910" w:orient="landscape"/>
          <w:pgMar w:top="1260" w:right="992" w:bottom="1020" w:left="283" w:header="766" w:footer="824" w:gutter="0"/>
          <w:cols w:space="708"/>
        </w:sectPr>
      </w:pPr>
    </w:p>
    <w:p w14:paraId="0528C685" w14:textId="77777777" w:rsidR="008715BE" w:rsidRPr="00EC75B7" w:rsidRDefault="008715BE">
      <w:pPr>
        <w:pStyle w:val="BodyText"/>
        <w:spacing w:before="6"/>
        <w:rPr>
          <w:rFonts w:ascii="Verdana" w:hAnsi="Verdana"/>
          <w:b/>
        </w:rPr>
      </w:pP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8715BE" w:rsidRPr="00EC75B7" w14:paraId="5E453BF4" w14:textId="77777777">
        <w:trPr>
          <w:trHeight w:val="426"/>
        </w:trPr>
        <w:tc>
          <w:tcPr>
            <w:tcW w:w="847" w:type="dxa"/>
            <w:shd w:val="clear" w:color="auto" w:fill="00A1E8"/>
          </w:tcPr>
          <w:p w14:paraId="0854859B" w14:textId="77777777" w:rsidR="008715BE" w:rsidRPr="00EC75B7" w:rsidRDefault="00000000">
            <w:pPr>
              <w:pStyle w:val="TableParagraph"/>
              <w:spacing w:before="19" w:line="194" w:lineRule="exact"/>
              <w:ind w:left="271" w:right="23" w:firstLine="14"/>
              <w:rPr>
                <w:rFonts w:ascii="Verdana" w:hAnsi="Verdana"/>
                <w:b/>
                <w:sz w:val="18"/>
                <w:szCs w:val="18"/>
              </w:rPr>
            </w:pPr>
            <w:r w:rsidRPr="00EC75B7">
              <w:rPr>
                <w:rFonts w:ascii="Verdana" w:hAnsi="Verdana"/>
                <w:b/>
                <w:color w:val="FFFFFF"/>
                <w:spacing w:val="-4"/>
                <w:sz w:val="18"/>
                <w:szCs w:val="18"/>
              </w:rPr>
              <w:t>No.</w:t>
            </w:r>
          </w:p>
        </w:tc>
        <w:tc>
          <w:tcPr>
            <w:tcW w:w="2405" w:type="dxa"/>
            <w:shd w:val="clear" w:color="auto" w:fill="00A1E8"/>
          </w:tcPr>
          <w:p w14:paraId="2D964202" w14:textId="77777777" w:rsidR="008715BE" w:rsidRPr="00EC75B7" w:rsidRDefault="00000000">
            <w:pPr>
              <w:pStyle w:val="TableParagraph"/>
              <w:spacing w:before="123"/>
              <w:ind w:left="13" w:right="4"/>
              <w:jc w:val="center"/>
              <w:rPr>
                <w:rFonts w:ascii="Verdana" w:hAnsi="Verdana"/>
                <w:b/>
                <w:sz w:val="18"/>
                <w:szCs w:val="18"/>
              </w:rPr>
            </w:pPr>
            <w:r w:rsidRPr="00EC75B7">
              <w:rPr>
                <w:rFonts w:ascii="Verdana" w:hAnsi="Verdana"/>
                <w:b/>
                <w:color w:val="FFFFFF"/>
                <w:spacing w:val="-2"/>
                <w:sz w:val="18"/>
                <w:szCs w:val="18"/>
              </w:rPr>
              <w:t>Species</w:t>
            </w:r>
          </w:p>
        </w:tc>
        <w:tc>
          <w:tcPr>
            <w:tcW w:w="2268" w:type="dxa"/>
            <w:shd w:val="clear" w:color="auto" w:fill="00A1E8"/>
          </w:tcPr>
          <w:p w14:paraId="786F1121" w14:textId="77777777" w:rsidR="008715BE" w:rsidRPr="00EC75B7" w:rsidRDefault="00000000">
            <w:pPr>
              <w:pStyle w:val="TableParagraph"/>
              <w:spacing w:before="123"/>
              <w:ind w:left="13" w:right="3"/>
              <w:jc w:val="center"/>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207" w:type="dxa"/>
            <w:shd w:val="clear" w:color="auto" w:fill="00A1E8"/>
          </w:tcPr>
          <w:p w14:paraId="57F106FD" w14:textId="77777777" w:rsidR="008715BE" w:rsidRPr="00EC75B7" w:rsidRDefault="00000000">
            <w:pPr>
              <w:pStyle w:val="TableParagraph"/>
              <w:spacing w:before="27" w:line="195" w:lineRule="exact"/>
              <w:ind w:left="14" w:right="5"/>
              <w:jc w:val="center"/>
              <w:rPr>
                <w:rFonts w:ascii="Verdana" w:hAnsi="Verdana"/>
                <w:b/>
                <w:sz w:val="18"/>
                <w:szCs w:val="18"/>
              </w:rPr>
            </w:pPr>
            <w:r w:rsidRPr="00EC75B7">
              <w:rPr>
                <w:rFonts w:ascii="Verdana" w:hAnsi="Verdana"/>
                <w:b/>
                <w:color w:val="FFFFFF"/>
                <w:spacing w:val="-4"/>
                <w:sz w:val="18"/>
                <w:szCs w:val="18"/>
              </w:rPr>
              <w:t xml:space="preserve">Ind. </w:t>
            </w:r>
            <w:r w:rsidRPr="00EC75B7">
              <w:rPr>
                <w:rFonts w:ascii="Verdana" w:hAnsi="Verdana"/>
                <w:b/>
                <w:color w:val="FFFFFF"/>
                <w:sz w:val="18"/>
                <w:szCs w:val="18"/>
              </w:rPr>
              <w:t>no.</w:t>
            </w:r>
          </w:p>
          <w:p w14:paraId="54A5F63E" w14:textId="77777777" w:rsidR="008715BE" w:rsidRPr="00EC75B7" w:rsidRDefault="00000000">
            <w:pPr>
              <w:pStyle w:val="TableParagraph"/>
              <w:spacing w:line="184" w:lineRule="exact"/>
              <w:ind w:left="14" w:right="1"/>
              <w:jc w:val="center"/>
              <w:rPr>
                <w:rFonts w:ascii="Verdana" w:hAnsi="Verdana"/>
                <w:b/>
                <w:sz w:val="18"/>
                <w:szCs w:val="18"/>
              </w:rPr>
            </w:pPr>
            <w:r w:rsidRPr="00EC75B7">
              <w:rPr>
                <w:rFonts w:ascii="Verdana" w:hAnsi="Verdana"/>
                <w:b/>
                <w:color w:val="FFFFFF"/>
                <w:spacing w:val="-2"/>
                <w:sz w:val="18"/>
                <w:szCs w:val="18"/>
              </w:rPr>
              <w:t>reported</w:t>
            </w:r>
          </w:p>
        </w:tc>
        <w:tc>
          <w:tcPr>
            <w:tcW w:w="924" w:type="dxa"/>
            <w:shd w:val="clear" w:color="auto" w:fill="00A1E8"/>
          </w:tcPr>
          <w:p w14:paraId="7DE49CA9" w14:textId="77777777" w:rsidR="008715BE" w:rsidRPr="00EC75B7" w:rsidRDefault="00000000">
            <w:pPr>
              <w:pStyle w:val="TableParagraph"/>
              <w:spacing w:before="123"/>
              <w:ind w:left="13"/>
              <w:jc w:val="center"/>
              <w:rPr>
                <w:rFonts w:ascii="Verdana" w:hAnsi="Verdana"/>
                <w:b/>
                <w:sz w:val="18"/>
                <w:szCs w:val="18"/>
              </w:rPr>
            </w:pPr>
            <w:r w:rsidRPr="00EC75B7">
              <w:rPr>
                <w:rFonts w:ascii="Verdana" w:hAnsi="Verdana"/>
                <w:b/>
                <w:color w:val="FFFFFF"/>
                <w:spacing w:val="-2"/>
                <w:sz w:val="18"/>
                <w:szCs w:val="18"/>
              </w:rPr>
              <w:t>IUCN</w:t>
            </w:r>
          </w:p>
        </w:tc>
        <w:tc>
          <w:tcPr>
            <w:tcW w:w="1560" w:type="dxa"/>
            <w:shd w:val="clear" w:color="auto" w:fill="00A1E8"/>
          </w:tcPr>
          <w:p w14:paraId="465AEE10" w14:textId="77777777" w:rsidR="008715BE" w:rsidRPr="00EC75B7" w:rsidRDefault="00000000">
            <w:pPr>
              <w:pStyle w:val="TableParagraph"/>
              <w:spacing w:before="27" w:line="195" w:lineRule="exact"/>
              <w:ind w:left="375"/>
              <w:rPr>
                <w:rFonts w:ascii="Verdana" w:hAnsi="Verdana"/>
                <w:b/>
                <w:sz w:val="18"/>
                <w:szCs w:val="18"/>
              </w:rPr>
            </w:pPr>
            <w:r w:rsidRPr="00EC75B7">
              <w:rPr>
                <w:rFonts w:ascii="Verdana" w:hAnsi="Verdana"/>
                <w:b/>
                <w:color w:val="FFFFFF"/>
                <w:spacing w:val="-2"/>
                <w:sz w:val="18"/>
                <w:szCs w:val="18"/>
              </w:rPr>
              <w:t>Directive</w:t>
            </w:r>
          </w:p>
          <w:p w14:paraId="296BC098" w14:textId="77777777" w:rsidR="008715BE" w:rsidRPr="00EC75B7" w:rsidRDefault="00000000">
            <w:pPr>
              <w:pStyle w:val="TableParagraph"/>
              <w:spacing w:line="184" w:lineRule="exact"/>
              <w:ind w:left="442"/>
              <w:rPr>
                <w:rFonts w:ascii="Verdana" w:hAnsi="Verdana"/>
                <w:b/>
                <w:sz w:val="18"/>
                <w:szCs w:val="18"/>
              </w:rPr>
            </w:pPr>
            <w:r w:rsidRPr="00EC75B7">
              <w:rPr>
                <w:rFonts w:ascii="Verdana" w:hAnsi="Verdana"/>
                <w:b/>
                <w:color w:val="FFFFFF"/>
                <w:spacing w:val="-2"/>
                <w:sz w:val="18"/>
                <w:szCs w:val="18"/>
              </w:rPr>
              <w:t>Birds*</w:t>
            </w:r>
          </w:p>
        </w:tc>
        <w:tc>
          <w:tcPr>
            <w:tcW w:w="1416" w:type="dxa"/>
            <w:shd w:val="clear" w:color="auto" w:fill="00A1E8"/>
          </w:tcPr>
          <w:p w14:paraId="25C84676" w14:textId="77777777" w:rsidR="008715BE" w:rsidRPr="00EC75B7" w:rsidRDefault="00000000">
            <w:pPr>
              <w:pStyle w:val="TableParagraph"/>
              <w:spacing w:before="19" w:line="194" w:lineRule="exact"/>
              <w:ind w:left="253" w:firstLine="256"/>
              <w:rPr>
                <w:rFonts w:ascii="Verdana" w:hAnsi="Verdana"/>
                <w:b/>
                <w:sz w:val="18"/>
                <w:szCs w:val="18"/>
              </w:rPr>
            </w:pPr>
            <w:r w:rsidRPr="00EC75B7">
              <w:rPr>
                <w:rFonts w:ascii="Verdana" w:hAnsi="Verdana"/>
                <w:b/>
                <w:color w:val="FFFFFF"/>
                <w:spacing w:val="-4"/>
                <w:sz w:val="18"/>
                <w:szCs w:val="18"/>
              </w:rPr>
              <w:t>Government Emergency Ordinance</w:t>
            </w:r>
            <w:r w:rsidRPr="00EC75B7">
              <w:rPr>
                <w:rFonts w:ascii="Verdana" w:hAnsi="Verdana"/>
                <w:b/>
                <w:color w:val="FFFFFF"/>
                <w:spacing w:val="-2"/>
                <w:sz w:val="18"/>
                <w:szCs w:val="18"/>
              </w:rPr>
              <w:t xml:space="preserve"> 57/2007*</w:t>
            </w:r>
          </w:p>
        </w:tc>
        <w:tc>
          <w:tcPr>
            <w:tcW w:w="1985" w:type="dxa"/>
            <w:shd w:val="clear" w:color="auto" w:fill="00A1E8"/>
          </w:tcPr>
          <w:p w14:paraId="0F43DC09" w14:textId="77777777" w:rsidR="008715BE" w:rsidRPr="00EC75B7" w:rsidRDefault="00000000">
            <w:pPr>
              <w:pStyle w:val="TableParagraph"/>
              <w:spacing w:before="19" w:line="194" w:lineRule="exact"/>
              <w:ind w:left="387" w:hanging="44"/>
              <w:rPr>
                <w:rFonts w:ascii="Verdana" w:hAnsi="Verdana"/>
                <w:b/>
                <w:sz w:val="18"/>
                <w:szCs w:val="18"/>
              </w:rPr>
            </w:pPr>
            <w:r w:rsidRPr="00EC75B7">
              <w:rPr>
                <w:rFonts w:ascii="Verdana" w:hAnsi="Verdana"/>
                <w:b/>
                <w:color w:val="FFFFFF"/>
                <w:sz w:val="18"/>
                <w:szCs w:val="18"/>
              </w:rPr>
              <w:t xml:space="preserve">Red Book of </w:t>
            </w:r>
            <w:r w:rsidRPr="00EC75B7">
              <w:rPr>
                <w:rFonts w:ascii="Verdana" w:hAnsi="Verdana"/>
                <w:b/>
                <w:color w:val="FFFFFF"/>
                <w:spacing w:val="-2"/>
                <w:sz w:val="18"/>
                <w:szCs w:val="18"/>
              </w:rPr>
              <w:t>Vertebrates</w:t>
            </w:r>
          </w:p>
        </w:tc>
        <w:tc>
          <w:tcPr>
            <w:tcW w:w="1419" w:type="dxa"/>
            <w:shd w:val="clear" w:color="auto" w:fill="00A1E8"/>
          </w:tcPr>
          <w:p w14:paraId="395CFD77" w14:textId="77777777" w:rsidR="008715BE" w:rsidRPr="00EC75B7" w:rsidRDefault="00000000">
            <w:pPr>
              <w:pStyle w:val="TableParagraph"/>
              <w:spacing w:before="27" w:line="195" w:lineRule="exact"/>
              <w:ind w:left="11"/>
              <w:jc w:val="center"/>
              <w:rPr>
                <w:rFonts w:ascii="Verdana" w:hAnsi="Verdana"/>
                <w:b/>
                <w:sz w:val="18"/>
                <w:szCs w:val="18"/>
              </w:rPr>
            </w:pPr>
            <w:r w:rsidRPr="00EC75B7">
              <w:rPr>
                <w:rFonts w:ascii="Verdana" w:hAnsi="Verdana"/>
                <w:b/>
                <w:color w:val="FFFFFF"/>
                <w:sz w:val="18"/>
                <w:szCs w:val="18"/>
              </w:rPr>
              <w:t xml:space="preserve">Convention </w:t>
            </w:r>
            <w:r w:rsidRPr="00EC75B7">
              <w:rPr>
                <w:rFonts w:ascii="Verdana" w:hAnsi="Verdana"/>
                <w:b/>
                <w:color w:val="FFFFFF"/>
                <w:spacing w:val="-5"/>
                <w:sz w:val="18"/>
                <w:szCs w:val="18"/>
              </w:rPr>
              <w:t>of</w:t>
            </w:r>
          </w:p>
          <w:p w14:paraId="3F74A0E9" w14:textId="77777777" w:rsidR="008715BE" w:rsidRPr="00EC75B7" w:rsidRDefault="00000000">
            <w:pPr>
              <w:pStyle w:val="TableParagraph"/>
              <w:spacing w:line="184" w:lineRule="exact"/>
              <w:ind w:left="11"/>
              <w:jc w:val="center"/>
              <w:rPr>
                <w:rFonts w:ascii="Verdana" w:hAnsi="Verdana"/>
                <w:b/>
                <w:sz w:val="18"/>
                <w:szCs w:val="18"/>
              </w:rPr>
            </w:pPr>
            <w:r w:rsidRPr="00EC75B7">
              <w:rPr>
                <w:rFonts w:ascii="Verdana" w:hAnsi="Verdana"/>
                <w:b/>
                <w:color w:val="FFFFFF"/>
                <w:spacing w:val="-2"/>
                <w:sz w:val="18"/>
                <w:szCs w:val="18"/>
              </w:rPr>
              <w:t>Con</w:t>
            </w:r>
            <w:r w:rsidRPr="00EC75B7">
              <w:rPr>
                <w:rFonts w:ascii="Verdana" w:hAnsi="Verdana"/>
                <w:b/>
                <w:color w:val="FFFFFF"/>
                <w:sz w:val="18"/>
                <w:szCs w:val="18"/>
              </w:rPr>
              <w:t>vention</w:t>
            </w:r>
          </w:p>
        </w:tc>
        <w:tc>
          <w:tcPr>
            <w:tcW w:w="1282" w:type="dxa"/>
            <w:shd w:val="clear" w:color="auto" w:fill="00A1E8"/>
          </w:tcPr>
          <w:p w14:paraId="784DECF3" w14:textId="77777777" w:rsidR="008715BE" w:rsidRPr="00EC75B7" w:rsidRDefault="00000000">
            <w:pPr>
              <w:pStyle w:val="TableParagraph"/>
              <w:spacing w:before="27" w:line="195" w:lineRule="exact"/>
              <w:ind w:left="188"/>
              <w:rPr>
                <w:rFonts w:ascii="Verdana" w:hAnsi="Verdana"/>
                <w:b/>
                <w:sz w:val="18"/>
                <w:szCs w:val="18"/>
              </w:rPr>
            </w:pPr>
            <w:r w:rsidRPr="00EC75B7">
              <w:rPr>
                <w:rFonts w:ascii="Verdana" w:hAnsi="Verdana"/>
                <w:b/>
                <w:color w:val="FFFFFF"/>
                <w:spacing w:val="-2"/>
                <w:sz w:val="18"/>
                <w:szCs w:val="18"/>
              </w:rPr>
              <w:t>Convention</w:t>
            </w:r>
          </w:p>
          <w:p w14:paraId="60880C1A" w14:textId="77777777" w:rsidR="008715BE" w:rsidRPr="00EC75B7" w:rsidRDefault="00000000">
            <w:pPr>
              <w:pStyle w:val="TableParagraph"/>
              <w:spacing w:line="184" w:lineRule="exact"/>
              <w:ind w:left="106"/>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Bonn*</w:t>
            </w:r>
          </w:p>
        </w:tc>
      </w:tr>
      <w:tr w:rsidR="008715BE" w:rsidRPr="00EC75B7" w14:paraId="26E71E3B" w14:textId="77777777">
        <w:trPr>
          <w:trHeight w:val="314"/>
        </w:trPr>
        <w:tc>
          <w:tcPr>
            <w:tcW w:w="847" w:type="dxa"/>
          </w:tcPr>
          <w:p w14:paraId="2119D8CF"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27</w:t>
            </w:r>
          </w:p>
        </w:tc>
        <w:tc>
          <w:tcPr>
            <w:tcW w:w="2405" w:type="dxa"/>
          </w:tcPr>
          <w:p w14:paraId="779F3684"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z w:val="18"/>
                <w:szCs w:val="18"/>
              </w:rPr>
              <w:t xml:space="preserve">Erithacus </w:t>
            </w:r>
            <w:r w:rsidRPr="00EC75B7">
              <w:rPr>
                <w:rFonts w:ascii="Verdana" w:hAnsi="Verdana"/>
                <w:i/>
                <w:spacing w:val="-2"/>
                <w:sz w:val="18"/>
                <w:szCs w:val="18"/>
              </w:rPr>
              <w:t>rubecula</w:t>
            </w:r>
          </w:p>
        </w:tc>
        <w:tc>
          <w:tcPr>
            <w:tcW w:w="2268" w:type="dxa"/>
          </w:tcPr>
          <w:p w14:paraId="31FB646F"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pacing w:val="-2"/>
                <w:sz w:val="18"/>
                <w:szCs w:val="18"/>
              </w:rPr>
              <w:t>Redstart</w:t>
            </w:r>
          </w:p>
        </w:tc>
        <w:tc>
          <w:tcPr>
            <w:tcW w:w="1207" w:type="dxa"/>
          </w:tcPr>
          <w:p w14:paraId="1448C12E"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3</w:t>
            </w:r>
          </w:p>
        </w:tc>
        <w:tc>
          <w:tcPr>
            <w:tcW w:w="924" w:type="dxa"/>
          </w:tcPr>
          <w:p w14:paraId="4627C6CB"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7F0245B7"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153973DF"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581EE530"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344B3E9A"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45AD5D75"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961774A" w14:textId="77777777">
        <w:trPr>
          <w:trHeight w:val="316"/>
        </w:trPr>
        <w:tc>
          <w:tcPr>
            <w:tcW w:w="847" w:type="dxa"/>
          </w:tcPr>
          <w:p w14:paraId="0B7F9747"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28</w:t>
            </w:r>
          </w:p>
        </w:tc>
        <w:tc>
          <w:tcPr>
            <w:tcW w:w="2405" w:type="dxa"/>
          </w:tcPr>
          <w:p w14:paraId="38DB2A1A" w14:textId="77777777" w:rsidR="008715BE" w:rsidRPr="00EC75B7" w:rsidRDefault="00000000">
            <w:pPr>
              <w:pStyle w:val="TableParagraph"/>
              <w:spacing w:before="10"/>
              <w:ind w:left="13" w:right="4"/>
              <w:jc w:val="center"/>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columbarius</w:t>
            </w:r>
          </w:p>
        </w:tc>
        <w:tc>
          <w:tcPr>
            <w:tcW w:w="2268" w:type="dxa"/>
          </w:tcPr>
          <w:p w14:paraId="4AEB00D6" w14:textId="77777777" w:rsidR="008715BE" w:rsidRPr="00EC75B7" w:rsidRDefault="00000000">
            <w:pPr>
              <w:pStyle w:val="TableParagraph"/>
              <w:spacing w:before="70"/>
              <w:ind w:left="13" w:right="3"/>
              <w:jc w:val="center"/>
              <w:rPr>
                <w:rFonts w:ascii="Verdana" w:hAnsi="Verdana"/>
                <w:sz w:val="18"/>
                <w:szCs w:val="18"/>
              </w:rPr>
            </w:pPr>
            <w:r w:rsidRPr="00EC75B7">
              <w:rPr>
                <w:rFonts w:ascii="Verdana" w:hAnsi="Verdana"/>
                <w:spacing w:val="-2"/>
                <w:sz w:val="18"/>
                <w:szCs w:val="18"/>
              </w:rPr>
              <w:t>Mer</w:t>
            </w:r>
            <w:r w:rsidRPr="00EC75B7">
              <w:rPr>
                <w:rFonts w:ascii="Verdana" w:hAnsi="Verdana"/>
                <w:sz w:val="18"/>
                <w:szCs w:val="18"/>
              </w:rPr>
              <w:t>lin</w:t>
            </w:r>
          </w:p>
        </w:tc>
        <w:tc>
          <w:tcPr>
            <w:tcW w:w="1207" w:type="dxa"/>
          </w:tcPr>
          <w:p w14:paraId="348BDFF8" w14:textId="77777777" w:rsidR="008715BE" w:rsidRPr="00EC75B7" w:rsidRDefault="00000000">
            <w:pPr>
              <w:pStyle w:val="TableParagraph"/>
              <w:spacing w:before="70"/>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751BF8D8"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4D2668CF"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58FAE3B" w14:textId="77777777" w:rsidR="008715BE" w:rsidRPr="00EC75B7" w:rsidRDefault="00000000">
            <w:pPr>
              <w:pStyle w:val="TableParagraph"/>
              <w:spacing w:before="70"/>
              <w:ind w:left="9"/>
              <w:jc w:val="center"/>
              <w:rPr>
                <w:rFonts w:ascii="Verdana" w:hAnsi="Verdana"/>
                <w:sz w:val="18"/>
                <w:szCs w:val="18"/>
              </w:rPr>
            </w:pPr>
            <w:r w:rsidRPr="00EC75B7">
              <w:rPr>
                <w:rFonts w:ascii="Verdana" w:hAnsi="Verdana"/>
                <w:sz w:val="18"/>
                <w:szCs w:val="18"/>
              </w:rPr>
              <w:t>-</w:t>
            </w:r>
          </w:p>
        </w:tc>
        <w:tc>
          <w:tcPr>
            <w:tcW w:w="1985" w:type="dxa"/>
          </w:tcPr>
          <w:p w14:paraId="041BEFE5"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3ECECB3B"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1E576243"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7A7D20F6" w14:textId="77777777">
        <w:trPr>
          <w:trHeight w:val="313"/>
        </w:trPr>
        <w:tc>
          <w:tcPr>
            <w:tcW w:w="847" w:type="dxa"/>
          </w:tcPr>
          <w:p w14:paraId="4B2A0848"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29</w:t>
            </w:r>
          </w:p>
        </w:tc>
        <w:tc>
          <w:tcPr>
            <w:tcW w:w="2405" w:type="dxa"/>
          </w:tcPr>
          <w:p w14:paraId="268C870D"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subbuteo</w:t>
            </w:r>
          </w:p>
        </w:tc>
        <w:tc>
          <w:tcPr>
            <w:tcW w:w="2268" w:type="dxa"/>
          </w:tcPr>
          <w:p w14:paraId="7825CFD7" w14:textId="77777777" w:rsidR="008715BE" w:rsidRPr="00EC75B7" w:rsidRDefault="00000000">
            <w:pPr>
              <w:pStyle w:val="TableParagraph"/>
              <w:spacing w:before="68"/>
              <w:ind w:left="13" w:right="3"/>
              <w:jc w:val="center"/>
              <w:rPr>
                <w:rFonts w:ascii="Verdana" w:hAnsi="Verdana"/>
                <w:sz w:val="18"/>
                <w:szCs w:val="18"/>
              </w:rPr>
            </w:pPr>
            <w:r w:rsidRPr="00EC75B7">
              <w:rPr>
                <w:rFonts w:ascii="Verdana" w:hAnsi="Verdana"/>
                <w:sz w:val="18"/>
                <w:szCs w:val="18"/>
              </w:rPr>
              <w:t xml:space="preserve">Swallow </w:t>
            </w:r>
            <w:r w:rsidRPr="00EC75B7">
              <w:rPr>
                <w:rFonts w:ascii="Verdana" w:hAnsi="Verdana"/>
                <w:spacing w:val="-2"/>
                <w:sz w:val="18"/>
                <w:szCs w:val="18"/>
              </w:rPr>
              <w:t>hawk</w:t>
            </w:r>
          </w:p>
        </w:tc>
        <w:tc>
          <w:tcPr>
            <w:tcW w:w="1207" w:type="dxa"/>
          </w:tcPr>
          <w:p w14:paraId="5DA36E4E"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61CB8245"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57518C66"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6E83FE24"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58B9AA28"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65C19CC4"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4FA7FC0B" w14:textId="77777777" w:rsidR="008715BE" w:rsidRPr="00EC75B7" w:rsidRDefault="00000000">
            <w:pPr>
              <w:pStyle w:val="TableParagraph"/>
              <w:spacing w:before="68"/>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7C27BF27" w14:textId="77777777">
        <w:trPr>
          <w:trHeight w:val="316"/>
        </w:trPr>
        <w:tc>
          <w:tcPr>
            <w:tcW w:w="847" w:type="dxa"/>
          </w:tcPr>
          <w:p w14:paraId="2D667DF2"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30</w:t>
            </w:r>
          </w:p>
        </w:tc>
        <w:tc>
          <w:tcPr>
            <w:tcW w:w="2405" w:type="dxa"/>
          </w:tcPr>
          <w:p w14:paraId="4FFA7B10" w14:textId="77777777" w:rsidR="008715BE" w:rsidRPr="00EC75B7" w:rsidRDefault="00000000">
            <w:pPr>
              <w:pStyle w:val="TableParagraph"/>
              <w:spacing w:before="8"/>
              <w:ind w:left="13" w:right="8"/>
              <w:jc w:val="center"/>
              <w:rPr>
                <w:rFonts w:ascii="Verdana" w:hAnsi="Verdana"/>
                <w:i/>
                <w:sz w:val="18"/>
                <w:szCs w:val="18"/>
              </w:rPr>
            </w:pPr>
            <w:r w:rsidRPr="00EC75B7">
              <w:rPr>
                <w:rFonts w:ascii="Verdana" w:hAnsi="Verdana"/>
                <w:i/>
                <w:sz w:val="18"/>
                <w:szCs w:val="18"/>
              </w:rPr>
              <w:t xml:space="preserve">Falco </w:t>
            </w:r>
            <w:r w:rsidRPr="00EC75B7">
              <w:rPr>
                <w:rFonts w:ascii="Verdana" w:hAnsi="Verdana"/>
                <w:i/>
                <w:spacing w:val="-2"/>
                <w:sz w:val="18"/>
                <w:szCs w:val="18"/>
              </w:rPr>
              <w:t>tinnunculus</w:t>
            </w:r>
          </w:p>
        </w:tc>
        <w:tc>
          <w:tcPr>
            <w:tcW w:w="2268" w:type="dxa"/>
          </w:tcPr>
          <w:p w14:paraId="574FFFF5" w14:textId="77777777" w:rsidR="008715BE" w:rsidRPr="00EC75B7" w:rsidRDefault="00000000">
            <w:pPr>
              <w:pStyle w:val="TableParagraph"/>
              <w:spacing w:before="70"/>
              <w:ind w:left="13" w:right="3"/>
              <w:jc w:val="center"/>
              <w:rPr>
                <w:rFonts w:ascii="Verdana" w:hAnsi="Verdana"/>
                <w:sz w:val="18"/>
                <w:szCs w:val="18"/>
              </w:rPr>
            </w:pPr>
            <w:r w:rsidRPr="00EC75B7">
              <w:rPr>
                <w:rFonts w:ascii="Verdana" w:hAnsi="Verdana"/>
                <w:spacing w:val="-4"/>
                <w:sz w:val="18"/>
                <w:szCs w:val="18"/>
              </w:rPr>
              <w:t xml:space="preserve">Red </w:t>
            </w:r>
            <w:r w:rsidRPr="00EC75B7">
              <w:rPr>
                <w:rFonts w:ascii="Verdana" w:hAnsi="Verdana"/>
                <w:sz w:val="18"/>
                <w:szCs w:val="18"/>
              </w:rPr>
              <w:t>Kestrel</w:t>
            </w:r>
          </w:p>
        </w:tc>
        <w:tc>
          <w:tcPr>
            <w:tcW w:w="1207" w:type="dxa"/>
          </w:tcPr>
          <w:p w14:paraId="331B5077" w14:textId="77777777" w:rsidR="008715BE" w:rsidRPr="00EC75B7" w:rsidRDefault="00000000">
            <w:pPr>
              <w:pStyle w:val="TableParagraph"/>
              <w:spacing w:before="70"/>
              <w:ind w:left="14"/>
              <w:jc w:val="center"/>
              <w:rPr>
                <w:rFonts w:ascii="Verdana" w:hAnsi="Verdana"/>
                <w:sz w:val="18"/>
                <w:szCs w:val="18"/>
              </w:rPr>
            </w:pPr>
            <w:r w:rsidRPr="00EC75B7">
              <w:rPr>
                <w:rFonts w:ascii="Verdana" w:hAnsi="Verdana"/>
                <w:spacing w:val="-5"/>
                <w:sz w:val="18"/>
                <w:szCs w:val="18"/>
              </w:rPr>
              <w:t>55</w:t>
            </w:r>
          </w:p>
        </w:tc>
        <w:tc>
          <w:tcPr>
            <w:tcW w:w="924" w:type="dxa"/>
          </w:tcPr>
          <w:p w14:paraId="39EAC5BD"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7EB0BBB3"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D1DAC46" w14:textId="77777777" w:rsidR="008715BE" w:rsidRPr="00EC75B7" w:rsidRDefault="00000000">
            <w:pPr>
              <w:pStyle w:val="TableParagraph"/>
              <w:spacing w:before="70"/>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5666E926"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450B29FA"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5856271F" w14:textId="77777777" w:rsidR="008715BE" w:rsidRPr="00EC75B7" w:rsidRDefault="00000000">
            <w:pPr>
              <w:pStyle w:val="TableParagraph"/>
              <w:spacing w:before="70"/>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1D5905BD" w14:textId="77777777">
        <w:trPr>
          <w:trHeight w:val="313"/>
        </w:trPr>
        <w:tc>
          <w:tcPr>
            <w:tcW w:w="847" w:type="dxa"/>
          </w:tcPr>
          <w:p w14:paraId="1BDD34C7"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31</w:t>
            </w:r>
          </w:p>
        </w:tc>
        <w:tc>
          <w:tcPr>
            <w:tcW w:w="2405" w:type="dxa"/>
          </w:tcPr>
          <w:p w14:paraId="103E88A4" w14:textId="77777777" w:rsidR="008715BE" w:rsidRPr="00EC75B7" w:rsidRDefault="00000000">
            <w:pPr>
              <w:pStyle w:val="TableParagraph"/>
              <w:spacing w:before="8"/>
              <w:ind w:left="13" w:right="1"/>
              <w:jc w:val="center"/>
              <w:rPr>
                <w:rFonts w:ascii="Verdana" w:hAnsi="Verdana"/>
                <w:i/>
                <w:sz w:val="18"/>
                <w:szCs w:val="18"/>
              </w:rPr>
            </w:pPr>
            <w:r w:rsidRPr="00EC75B7">
              <w:rPr>
                <w:rFonts w:ascii="Verdana" w:hAnsi="Verdana"/>
                <w:i/>
                <w:spacing w:val="-2"/>
                <w:sz w:val="18"/>
                <w:szCs w:val="18"/>
              </w:rPr>
              <w:t>Chaenomeles sinensis</w:t>
            </w:r>
          </w:p>
        </w:tc>
        <w:tc>
          <w:tcPr>
            <w:tcW w:w="2268" w:type="dxa"/>
          </w:tcPr>
          <w:p w14:paraId="4A0CC6F5" w14:textId="77777777" w:rsidR="008715BE" w:rsidRPr="00EC75B7" w:rsidRDefault="00000000">
            <w:pPr>
              <w:pStyle w:val="TableParagraph"/>
              <w:spacing w:before="68"/>
              <w:ind w:left="13" w:right="5"/>
              <w:jc w:val="center"/>
              <w:rPr>
                <w:rFonts w:ascii="Verdana" w:hAnsi="Verdana"/>
                <w:sz w:val="18"/>
                <w:szCs w:val="18"/>
              </w:rPr>
            </w:pPr>
            <w:r w:rsidRPr="00EC75B7">
              <w:rPr>
                <w:rFonts w:ascii="Verdana" w:hAnsi="Verdana"/>
                <w:spacing w:val="-2"/>
                <w:sz w:val="18"/>
                <w:szCs w:val="18"/>
              </w:rPr>
              <w:t>Chaffinch</w:t>
            </w:r>
          </w:p>
        </w:tc>
        <w:tc>
          <w:tcPr>
            <w:tcW w:w="1207" w:type="dxa"/>
          </w:tcPr>
          <w:p w14:paraId="67397480"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4</w:t>
            </w:r>
          </w:p>
        </w:tc>
        <w:tc>
          <w:tcPr>
            <w:tcW w:w="924" w:type="dxa"/>
          </w:tcPr>
          <w:p w14:paraId="223747FD"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3DD1878E"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2A4A39D7"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7C99AC1E"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2E6CF1E3"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24885607"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42F110C1" w14:textId="77777777">
        <w:trPr>
          <w:trHeight w:val="316"/>
        </w:trPr>
        <w:tc>
          <w:tcPr>
            <w:tcW w:w="847" w:type="dxa"/>
          </w:tcPr>
          <w:p w14:paraId="7B3DEA2A"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32</w:t>
            </w:r>
          </w:p>
        </w:tc>
        <w:tc>
          <w:tcPr>
            <w:tcW w:w="2405" w:type="dxa"/>
          </w:tcPr>
          <w:p w14:paraId="114D4A8B" w14:textId="77777777" w:rsidR="008715BE" w:rsidRPr="00EC75B7" w:rsidRDefault="00000000">
            <w:pPr>
              <w:pStyle w:val="TableParagraph"/>
              <w:spacing w:before="8"/>
              <w:ind w:left="13"/>
              <w:jc w:val="center"/>
              <w:rPr>
                <w:rFonts w:ascii="Verdana" w:hAnsi="Verdana"/>
                <w:i/>
                <w:sz w:val="18"/>
                <w:szCs w:val="18"/>
              </w:rPr>
            </w:pPr>
            <w:r w:rsidRPr="00EC75B7">
              <w:rPr>
                <w:rFonts w:ascii="Verdana" w:hAnsi="Verdana"/>
                <w:i/>
                <w:spacing w:val="-2"/>
                <w:sz w:val="18"/>
                <w:szCs w:val="18"/>
              </w:rPr>
              <w:t xml:space="preserve">Crested </w:t>
            </w:r>
            <w:r w:rsidRPr="00EC75B7">
              <w:rPr>
                <w:rFonts w:ascii="Verdana" w:hAnsi="Verdana"/>
                <w:i/>
                <w:sz w:val="18"/>
                <w:szCs w:val="18"/>
              </w:rPr>
              <w:t>Bunting</w:t>
            </w:r>
          </w:p>
        </w:tc>
        <w:tc>
          <w:tcPr>
            <w:tcW w:w="2268" w:type="dxa"/>
          </w:tcPr>
          <w:p w14:paraId="5D315E95"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pacing w:val="-2"/>
                <w:sz w:val="18"/>
                <w:szCs w:val="18"/>
              </w:rPr>
              <w:t>Ciocârlan</w:t>
            </w:r>
          </w:p>
        </w:tc>
        <w:tc>
          <w:tcPr>
            <w:tcW w:w="1207" w:type="dxa"/>
          </w:tcPr>
          <w:p w14:paraId="4A065AC9"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26</w:t>
            </w:r>
          </w:p>
        </w:tc>
        <w:tc>
          <w:tcPr>
            <w:tcW w:w="924" w:type="dxa"/>
          </w:tcPr>
          <w:p w14:paraId="70D5B6FF"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51DA36A4"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3B6F21E5"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317432BF"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51CB9A15"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0AE30986"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0FA0F72D" w14:textId="77777777">
        <w:trPr>
          <w:trHeight w:val="388"/>
        </w:trPr>
        <w:tc>
          <w:tcPr>
            <w:tcW w:w="847" w:type="dxa"/>
          </w:tcPr>
          <w:p w14:paraId="351C82FF"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33</w:t>
            </w:r>
          </w:p>
        </w:tc>
        <w:tc>
          <w:tcPr>
            <w:tcW w:w="2405" w:type="dxa"/>
          </w:tcPr>
          <w:p w14:paraId="21DA4409" w14:textId="77777777" w:rsidR="008715BE" w:rsidRPr="00EC75B7" w:rsidRDefault="00000000">
            <w:pPr>
              <w:pStyle w:val="TableParagraph"/>
              <w:spacing w:before="8"/>
              <w:ind w:left="13" w:right="5"/>
              <w:jc w:val="center"/>
              <w:rPr>
                <w:rFonts w:ascii="Verdana" w:hAnsi="Verdana"/>
                <w:i/>
                <w:sz w:val="18"/>
                <w:szCs w:val="18"/>
              </w:rPr>
            </w:pPr>
            <w:r w:rsidRPr="00EC75B7">
              <w:rPr>
                <w:rFonts w:ascii="Verdana" w:hAnsi="Verdana"/>
                <w:i/>
                <w:spacing w:val="-2"/>
                <w:sz w:val="18"/>
                <w:szCs w:val="18"/>
              </w:rPr>
              <w:t>Common snipe</w:t>
            </w:r>
          </w:p>
        </w:tc>
        <w:tc>
          <w:tcPr>
            <w:tcW w:w="2268" w:type="dxa"/>
          </w:tcPr>
          <w:p w14:paraId="4D70C71D" w14:textId="77777777" w:rsidR="008715BE" w:rsidRPr="00EC75B7" w:rsidRDefault="00000000">
            <w:pPr>
              <w:pStyle w:val="TableParagraph"/>
              <w:spacing w:before="105"/>
              <w:ind w:left="13" w:right="3"/>
              <w:jc w:val="center"/>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snipe</w:t>
            </w:r>
          </w:p>
        </w:tc>
        <w:tc>
          <w:tcPr>
            <w:tcW w:w="1207" w:type="dxa"/>
          </w:tcPr>
          <w:p w14:paraId="7A938610" w14:textId="77777777" w:rsidR="008715BE" w:rsidRPr="00EC75B7" w:rsidRDefault="00000000">
            <w:pPr>
              <w:pStyle w:val="TableParagraph"/>
              <w:spacing w:before="105"/>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088B0E8C" w14:textId="77777777" w:rsidR="008715BE" w:rsidRPr="00EC75B7" w:rsidRDefault="00000000">
            <w:pPr>
              <w:pStyle w:val="TableParagraph"/>
              <w:spacing w:before="105"/>
              <w:ind w:left="8"/>
              <w:jc w:val="center"/>
              <w:rPr>
                <w:rFonts w:ascii="Verdana" w:hAnsi="Verdana"/>
                <w:sz w:val="18"/>
                <w:szCs w:val="18"/>
              </w:rPr>
            </w:pPr>
            <w:r w:rsidRPr="00EC75B7">
              <w:rPr>
                <w:rFonts w:ascii="Verdana" w:hAnsi="Verdana"/>
                <w:spacing w:val="-5"/>
                <w:sz w:val="18"/>
                <w:szCs w:val="18"/>
              </w:rPr>
              <w:t>LC</w:t>
            </w:r>
          </w:p>
        </w:tc>
        <w:tc>
          <w:tcPr>
            <w:tcW w:w="1560" w:type="dxa"/>
          </w:tcPr>
          <w:p w14:paraId="59B9D8B7" w14:textId="77777777" w:rsidR="008715BE" w:rsidRPr="00EC75B7" w:rsidRDefault="00000000">
            <w:pPr>
              <w:pStyle w:val="TableParagraph"/>
              <w:spacing w:line="196" w:lineRule="exact"/>
              <w:ind w:left="320" w:right="295" w:firstLine="4"/>
              <w:rPr>
                <w:rFonts w:ascii="Verdana" w:hAnsi="Verdana"/>
                <w:sz w:val="18"/>
                <w:szCs w:val="18"/>
              </w:rPr>
            </w:pPr>
            <w:r w:rsidRPr="00EC75B7">
              <w:rPr>
                <w:rFonts w:ascii="Verdana" w:hAnsi="Verdana"/>
                <w:spacing w:val="-2"/>
                <w:sz w:val="18"/>
                <w:szCs w:val="18"/>
              </w:rPr>
              <w:t xml:space="preserve">Annex II A, </w:t>
            </w:r>
            <w:r w:rsidRPr="00EC75B7">
              <w:rPr>
                <w:rFonts w:ascii="Verdana" w:hAnsi="Verdana"/>
                <w:sz w:val="18"/>
                <w:szCs w:val="18"/>
              </w:rPr>
              <w:t xml:space="preserve">Annex III </w:t>
            </w:r>
            <w:r w:rsidRPr="00EC75B7">
              <w:rPr>
                <w:rFonts w:ascii="Verdana" w:hAnsi="Verdana"/>
                <w:spacing w:val="-10"/>
                <w:sz w:val="18"/>
                <w:szCs w:val="18"/>
              </w:rPr>
              <w:t>B</w:t>
            </w:r>
          </w:p>
        </w:tc>
        <w:tc>
          <w:tcPr>
            <w:tcW w:w="1416" w:type="dxa"/>
          </w:tcPr>
          <w:p w14:paraId="49BBC5BD" w14:textId="77777777" w:rsidR="008715BE" w:rsidRPr="00EC75B7" w:rsidRDefault="00000000">
            <w:pPr>
              <w:pStyle w:val="TableParagraph"/>
              <w:spacing w:line="196" w:lineRule="exact"/>
              <w:ind w:left="330" w:hanging="36"/>
              <w:rPr>
                <w:rFonts w:ascii="Verdana" w:hAnsi="Verdana"/>
                <w:sz w:val="18"/>
                <w:szCs w:val="18"/>
              </w:rPr>
            </w:pPr>
            <w:r w:rsidRPr="00EC75B7">
              <w:rPr>
                <w:rFonts w:ascii="Verdana" w:hAnsi="Verdana"/>
                <w:sz w:val="18"/>
                <w:szCs w:val="18"/>
              </w:rPr>
              <w:t>Annex 5C, Annex</w:t>
            </w:r>
            <w:r w:rsidRPr="00EC75B7">
              <w:rPr>
                <w:rFonts w:ascii="Verdana" w:hAnsi="Verdana"/>
                <w:spacing w:val="-5"/>
                <w:sz w:val="18"/>
                <w:szCs w:val="18"/>
              </w:rPr>
              <w:t xml:space="preserve"> 5E</w:t>
            </w:r>
          </w:p>
        </w:tc>
        <w:tc>
          <w:tcPr>
            <w:tcW w:w="1985" w:type="dxa"/>
          </w:tcPr>
          <w:p w14:paraId="439DB4A8" w14:textId="77777777" w:rsidR="008715BE" w:rsidRPr="00EC75B7" w:rsidRDefault="00000000">
            <w:pPr>
              <w:pStyle w:val="TableParagraph"/>
              <w:spacing w:before="105"/>
              <w:ind w:left="11"/>
              <w:jc w:val="center"/>
              <w:rPr>
                <w:rFonts w:ascii="Verdana" w:hAnsi="Verdana"/>
                <w:sz w:val="18"/>
                <w:szCs w:val="18"/>
              </w:rPr>
            </w:pPr>
            <w:r w:rsidRPr="00EC75B7">
              <w:rPr>
                <w:rFonts w:ascii="Verdana" w:hAnsi="Verdana"/>
                <w:sz w:val="18"/>
                <w:szCs w:val="18"/>
              </w:rPr>
              <w:t>-</w:t>
            </w:r>
          </w:p>
        </w:tc>
        <w:tc>
          <w:tcPr>
            <w:tcW w:w="1419" w:type="dxa"/>
          </w:tcPr>
          <w:p w14:paraId="1428786F" w14:textId="77777777" w:rsidR="008715BE" w:rsidRPr="00EC75B7" w:rsidRDefault="00000000">
            <w:pPr>
              <w:pStyle w:val="TableParagraph"/>
              <w:spacing w:before="105"/>
              <w:ind w:left="11"/>
              <w:jc w:val="center"/>
              <w:rPr>
                <w:rFonts w:ascii="Verdana" w:hAnsi="Verdana"/>
                <w:sz w:val="18"/>
                <w:szCs w:val="18"/>
              </w:rPr>
            </w:pPr>
            <w:r w:rsidRPr="00EC75B7">
              <w:rPr>
                <w:rFonts w:ascii="Verdana" w:hAnsi="Verdana"/>
                <w:sz w:val="18"/>
                <w:szCs w:val="18"/>
              </w:rPr>
              <w:t>-</w:t>
            </w:r>
          </w:p>
        </w:tc>
        <w:tc>
          <w:tcPr>
            <w:tcW w:w="1282" w:type="dxa"/>
          </w:tcPr>
          <w:p w14:paraId="6FA10746" w14:textId="77777777" w:rsidR="008715BE" w:rsidRPr="00EC75B7" w:rsidRDefault="00000000">
            <w:pPr>
              <w:pStyle w:val="TableParagraph"/>
              <w:spacing w:before="105"/>
              <w:ind w:left="8"/>
              <w:jc w:val="center"/>
              <w:rPr>
                <w:rFonts w:ascii="Verdana" w:hAnsi="Verdana"/>
                <w:sz w:val="18"/>
                <w:szCs w:val="18"/>
              </w:rPr>
            </w:pPr>
            <w:r w:rsidRPr="00EC75B7">
              <w:rPr>
                <w:rFonts w:ascii="Verdana" w:hAnsi="Verdana"/>
                <w:sz w:val="18"/>
                <w:szCs w:val="18"/>
              </w:rPr>
              <w:t>-</w:t>
            </w:r>
          </w:p>
        </w:tc>
      </w:tr>
      <w:tr w:rsidR="008715BE" w:rsidRPr="00EC75B7" w14:paraId="7A3C67DA" w14:textId="77777777">
        <w:trPr>
          <w:trHeight w:val="311"/>
        </w:trPr>
        <w:tc>
          <w:tcPr>
            <w:tcW w:w="847" w:type="dxa"/>
          </w:tcPr>
          <w:p w14:paraId="2D373ECF" w14:textId="77777777" w:rsidR="008715BE" w:rsidRPr="00EC75B7" w:rsidRDefault="00000000">
            <w:pPr>
              <w:pStyle w:val="TableParagraph"/>
              <w:spacing w:before="5"/>
              <w:ind w:left="12"/>
              <w:jc w:val="center"/>
              <w:rPr>
                <w:rFonts w:ascii="Verdana" w:hAnsi="Verdana"/>
                <w:sz w:val="18"/>
                <w:szCs w:val="18"/>
              </w:rPr>
            </w:pPr>
            <w:r w:rsidRPr="00EC75B7">
              <w:rPr>
                <w:rFonts w:ascii="Verdana" w:hAnsi="Verdana"/>
                <w:spacing w:val="-5"/>
                <w:sz w:val="18"/>
                <w:szCs w:val="18"/>
              </w:rPr>
              <w:t>34</w:t>
            </w:r>
          </w:p>
        </w:tc>
        <w:tc>
          <w:tcPr>
            <w:tcW w:w="2405" w:type="dxa"/>
          </w:tcPr>
          <w:p w14:paraId="3B714D49" w14:textId="77777777" w:rsidR="008715BE" w:rsidRPr="00EC75B7" w:rsidRDefault="00000000">
            <w:pPr>
              <w:pStyle w:val="TableParagraph"/>
              <w:spacing w:before="5"/>
              <w:ind w:left="13" w:right="4"/>
              <w:jc w:val="center"/>
              <w:rPr>
                <w:rFonts w:ascii="Verdana" w:hAnsi="Verdana"/>
                <w:i/>
                <w:sz w:val="18"/>
                <w:szCs w:val="18"/>
              </w:rPr>
            </w:pPr>
            <w:r w:rsidRPr="00EC75B7">
              <w:rPr>
                <w:rFonts w:ascii="Verdana" w:hAnsi="Verdana"/>
                <w:i/>
                <w:sz w:val="18"/>
                <w:szCs w:val="18"/>
              </w:rPr>
              <w:t xml:space="preserve">Garrulus </w:t>
            </w:r>
            <w:r w:rsidRPr="00EC75B7">
              <w:rPr>
                <w:rFonts w:ascii="Verdana" w:hAnsi="Verdana"/>
                <w:i/>
                <w:spacing w:val="-2"/>
                <w:sz w:val="18"/>
                <w:szCs w:val="18"/>
              </w:rPr>
              <w:t>glandarius</w:t>
            </w:r>
          </w:p>
        </w:tc>
        <w:tc>
          <w:tcPr>
            <w:tcW w:w="2268" w:type="dxa"/>
          </w:tcPr>
          <w:p w14:paraId="04AECB4E" w14:textId="77777777" w:rsidR="008715BE" w:rsidRPr="00EC75B7" w:rsidRDefault="00000000">
            <w:pPr>
              <w:pStyle w:val="TableParagraph"/>
              <w:spacing w:before="65"/>
              <w:ind w:left="13" w:right="6"/>
              <w:jc w:val="center"/>
              <w:rPr>
                <w:rFonts w:ascii="Verdana" w:hAnsi="Verdana"/>
                <w:sz w:val="18"/>
                <w:szCs w:val="18"/>
              </w:rPr>
            </w:pPr>
            <w:r w:rsidRPr="00EC75B7">
              <w:rPr>
                <w:rFonts w:ascii="Verdana" w:hAnsi="Verdana"/>
                <w:spacing w:val="-2"/>
                <w:sz w:val="18"/>
                <w:szCs w:val="18"/>
              </w:rPr>
              <w:t>Magpie</w:t>
            </w:r>
          </w:p>
        </w:tc>
        <w:tc>
          <w:tcPr>
            <w:tcW w:w="1207" w:type="dxa"/>
          </w:tcPr>
          <w:p w14:paraId="40BA2463" w14:textId="77777777" w:rsidR="008715BE" w:rsidRPr="00EC75B7" w:rsidRDefault="00000000">
            <w:pPr>
              <w:pStyle w:val="TableParagraph"/>
              <w:spacing w:before="65"/>
              <w:ind w:left="14" w:right="4"/>
              <w:jc w:val="center"/>
              <w:rPr>
                <w:rFonts w:ascii="Verdana" w:hAnsi="Verdana"/>
                <w:sz w:val="18"/>
                <w:szCs w:val="18"/>
              </w:rPr>
            </w:pPr>
            <w:r w:rsidRPr="00EC75B7">
              <w:rPr>
                <w:rFonts w:ascii="Verdana" w:hAnsi="Verdana"/>
                <w:spacing w:val="-10"/>
                <w:sz w:val="18"/>
                <w:szCs w:val="18"/>
              </w:rPr>
              <w:t>4</w:t>
            </w:r>
          </w:p>
        </w:tc>
        <w:tc>
          <w:tcPr>
            <w:tcW w:w="924" w:type="dxa"/>
          </w:tcPr>
          <w:p w14:paraId="4012B485" w14:textId="77777777" w:rsidR="008715BE" w:rsidRPr="00EC75B7" w:rsidRDefault="00000000">
            <w:pPr>
              <w:pStyle w:val="TableParagraph"/>
              <w:spacing w:before="65"/>
              <w:ind w:left="8"/>
              <w:jc w:val="center"/>
              <w:rPr>
                <w:rFonts w:ascii="Verdana" w:hAnsi="Verdana"/>
                <w:sz w:val="18"/>
                <w:szCs w:val="18"/>
              </w:rPr>
            </w:pPr>
            <w:r w:rsidRPr="00EC75B7">
              <w:rPr>
                <w:rFonts w:ascii="Verdana" w:hAnsi="Verdana"/>
                <w:spacing w:val="-5"/>
                <w:sz w:val="18"/>
                <w:szCs w:val="18"/>
              </w:rPr>
              <w:t>LC</w:t>
            </w:r>
          </w:p>
        </w:tc>
        <w:tc>
          <w:tcPr>
            <w:tcW w:w="1560" w:type="dxa"/>
          </w:tcPr>
          <w:p w14:paraId="28A421E4" w14:textId="77777777" w:rsidR="008715BE" w:rsidRPr="00EC75B7" w:rsidRDefault="00000000">
            <w:pPr>
              <w:pStyle w:val="TableParagraph"/>
              <w:spacing w:before="65"/>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3BB4FDEC" w14:textId="77777777" w:rsidR="008715BE" w:rsidRPr="00EC75B7" w:rsidRDefault="00000000">
            <w:pPr>
              <w:pStyle w:val="TableParagraph"/>
              <w:spacing w:before="65"/>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297E1543" w14:textId="77777777" w:rsidR="008715BE" w:rsidRPr="00EC75B7" w:rsidRDefault="00000000">
            <w:pPr>
              <w:pStyle w:val="TableParagraph"/>
              <w:spacing w:before="65"/>
              <w:ind w:left="11"/>
              <w:jc w:val="center"/>
              <w:rPr>
                <w:rFonts w:ascii="Verdana" w:hAnsi="Verdana"/>
                <w:sz w:val="18"/>
                <w:szCs w:val="18"/>
              </w:rPr>
            </w:pPr>
            <w:r w:rsidRPr="00EC75B7">
              <w:rPr>
                <w:rFonts w:ascii="Verdana" w:hAnsi="Verdana"/>
                <w:sz w:val="18"/>
                <w:szCs w:val="18"/>
              </w:rPr>
              <w:t>-</w:t>
            </w:r>
          </w:p>
        </w:tc>
        <w:tc>
          <w:tcPr>
            <w:tcW w:w="1419" w:type="dxa"/>
          </w:tcPr>
          <w:p w14:paraId="65026C9A" w14:textId="77777777" w:rsidR="008715BE" w:rsidRPr="00EC75B7" w:rsidRDefault="00000000">
            <w:pPr>
              <w:pStyle w:val="TableParagraph"/>
              <w:spacing w:before="65"/>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290D31CE" w14:textId="77777777" w:rsidR="008715BE" w:rsidRPr="00EC75B7" w:rsidRDefault="00000000">
            <w:pPr>
              <w:pStyle w:val="TableParagraph"/>
              <w:spacing w:before="65"/>
              <w:ind w:left="8"/>
              <w:jc w:val="center"/>
              <w:rPr>
                <w:rFonts w:ascii="Verdana" w:hAnsi="Verdana"/>
                <w:sz w:val="18"/>
                <w:szCs w:val="18"/>
              </w:rPr>
            </w:pPr>
            <w:r w:rsidRPr="00EC75B7">
              <w:rPr>
                <w:rFonts w:ascii="Verdana" w:hAnsi="Verdana"/>
                <w:sz w:val="18"/>
                <w:szCs w:val="18"/>
              </w:rPr>
              <w:t>-</w:t>
            </w:r>
          </w:p>
        </w:tc>
      </w:tr>
      <w:tr w:rsidR="008715BE" w:rsidRPr="00EC75B7" w14:paraId="5924A9CD" w14:textId="77777777">
        <w:trPr>
          <w:trHeight w:val="388"/>
        </w:trPr>
        <w:tc>
          <w:tcPr>
            <w:tcW w:w="847" w:type="dxa"/>
          </w:tcPr>
          <w:p w14:paraId="7A6902FD"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35</w:t>
            </w:r>
          </w:p>
        </w:tc>
        <w:tc>
          <w:tcPr>
            <w:tcW w:w="2405" w:type="dxa"/>
          </w:tcPr>
          <w:p w14:paraId="29A49A39" w14:textId="77777777" w:rsidR="008715BE" w:rsidRPr="00EC75B7" w:rsidRDefault="00000000">
            <w:pPr>
              <w:pStyle w:val="TableParagraph"/>
              <w:spacing w:before="8"/>
              <w:ind w:left="13" w:right="4"/>
              <w:jc w:val="center"/>
              <w:rPr>
                <w:rFonts w:ascii="Verdana" w:hAnsi="Verdana"/>
                <w:i/>
                <w:sz w:val="18"/>
                <w:szCs w:val="18"/>
              </w:rPr>
            </w:pPr>
            <w:r w:rsidRPr="00EC75B7">
              <w:rPr>
                <w:rFonts w:ascii="Verdana" w:hAnsi="Verdana"/>
                <w:i/>
                <w:spacing w:val="-2"/>
                <w:sz w:val="18"/>
                <w:szCs w:val="18"/>
              </w:rPr>
              <w:t>Hieraaetus pennatus</w:t>
            </w:r>
          </w:p>
        </w:tc>
        <w:tc>
          <w:tcPr>
            <w:tcW w:w="2268" w:type="dxa"/>
          </w:tcPr>
          <w:p w14:paraId="2ABD4F5B" w14:textId="77777777" w:rsidR="008715BE" w:rsidRPr="00EC75B7" w:rsidRDefault="00000000">
            <w:pPr>
              <w:pStyle w:val="TableParagraph"/>
              <w:spacing w:before="106"/>
              <w:ind w:left="13" w:right="3"/>
              <w:jc w:val="center"/>
              <w:rPr>
                <w:rFonts w:ascii="Verdana" w:hAnsi="Verdana"/>
                <w:sz w:val="18"/>
                <w:szCs w:val="18"/>
              </w:rPr>
            </w:pPr>
            <w:r w:rsidRPr="00EC75B7">
              <w:rPr>
                <w:rFonts w:ascii="Verdana" w:hAnsi="Verdana"/>
                <w:spacing w:val="-4"/>
                <w:sz w:val="18"/>
                <w:szCs w:val="18"/>
              </w:rPr>
              <w:t xml:space="preserve">Small </w:t>
            </w:r>
            <w:r w:rsidRPr="00EC75B7">
              <w:rPr>
                <w:rFonts w:ascii="Verdana" w:hAnsi="Verdana"/>
                <w:sz w:val="18"/>
                <w:szCs w:val="18"/>
              </w:rPr>
              <w:t>eagle</w:t>
            </w:r>
          </w:p>
        </w:tc>
        <w:tc>
          <w:tcPr>
            <w:tcW w:w="1207" w:type="dxa"/>
          </w:tcPr>
          <w:p w14:paraId="3B9A16F2" w14:textId="77777777" w:rsidR="008715BE" w:rsidRPr="00EC75B7" w:rsidRDefault="00000000">
            <w:pPr>
              <w:pStyle w:val="TableParagraph"/>
              <w:spacing w:before="106"/>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216F274B"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pacing w:val="-5"/>
                <w:sz w:val="18"/>
                <w:szCs w:val="18"/>
              </w:rPr>
              <w:t>LC</w:t>
            </w:r>
          </w:p>
        </w:tc>
        <w:tc>
          <w:tcPr>
            <w:tcW w:w="1560" w:type="dxa"/>
          </w:tcPr>
          <w:p w14:paraId="404338DF" w14:textId="77777777" w:rsidR="008715BE" w:rsidRPr="00EC75B7" w:rsidRDefault="00000000">
            <w:pPr>
              <w:pStyle w:val="TableParagraph"/>
              <w:spacing w:before="106"/>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6DE98792"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3302CD99" w14:textId="77777777" w:rsidR="008715BE" w:rsidRPr="00EC75B7" w:rsidRDefault="00000000">
            <w:pPr>
              <w:pStyle w:val="TableParagraph"/>
              <w:spacing w:before="8" w:line="195" w:lineRule="exact"/>
              <w:ind w:left="507"/>
              <w:rPr>
                <w:rFonts w:ascii="Verdana" w:hAnsi="Verdana"/>
                <w:sz w:val="18"/>
                <w:szCs w:val="18"/>
              </w:rPr>
            </w:pPr>
            <w:r w:rsidRPr="00EC75B7">
              <w:rPr>
                <w:rFonts w:ascii="Verdana" w:hAnsi="Verdana"/>
                <w:spacing w:val="-2"/>
                <w:sz w:val="18"/>
                <w:szCs w:val="18"/>
              </w:rPr>
              <w:t xml:space="preserve">Critically endangered </w:t>
            </w:r>
            <w:r w:rsidRPr="00EC75B7">
              <w:rPr>
                <w:rFonts w:ascii="Verdana" w:hAnsi="Verdana"/>
                <w:sz w:val="18"/>
                <w:szCs w:val="18"/>
              </w:rPr>
              <w:t>species</w:t>
            </w:r>
          </w:p>
          <w:p w14:paraId="0D962D3E" w14:textId="77777777" w:rsidR="008715BE" w:rsidRPr="00EC75B7" w:rsidRDefault="00000000">
            <w:pPr>
              <w:pStyle w:val="TableParagraph"/>
              <w:spacing w:line="165" w:lineRule="exact"/>
              <w:ind w:left="594"/>
              <w:rPr>
                <w:rFonts w:ascii="Verdana" w:hAnsi="Verdana"/>
                <w:sz w:val="18"/>
                <w:szCs w:val="18"/>
              </w:rPr>
            </w:pPr>
            <w:r w:rsidRPr="00EC75B7">
              <w:rPr>
                <w:rFonts w:ascii="Verdana" w:hAnsi="Verdana"/>
                <w:spacing w:val="-2"/>
                <w:sz w:val="18"/>
                <w:szCs w:val="18"/>
              </w:rPr>
              <w:t>Endangered</w:t>
            </w:r>
          </w:p>
        </w:tc>
        <w:tc>
          <w:tcPr>
            <w:tcW w:w="1419" w:type="dxa"/>
          </w:tcPr>
          <w:p w14:paraId="55526203"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w:t>
            </w:r>
          </w:p>
        </w:tc>
        <w:tc>
          <w:tcPr>
            <w:tcW w:w="1282" w:type="dxa"/>
          </w:tcPr>
          <w:p w14:paraId="5486F9A9"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z w:val="18"/>
                <w:szCs w:val="18"/>
              </w:rPr>
              <w:t>-</w:t>
            </w:r>
          </w:p>
        </w:tc>
      </w:tr>
      <w:tr w:rsidR="008715BE" w:rsidRPr="00EC75B7" w14:paraId="59891AA9" w14:textId="77777777">
        <w:trPr>
          <w:trHeight w:val="316"/>
        </w:trPr>
        <w:tc>
          <w:tcPr>
            <w:tcW w:w="847" w:type="dxa"/>
          </w:tcPr>
          <w:p w14:paraId="6E92FC67"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36</w:t>
            </w:r>
          </w:p>
        </w:tc>
        <w:tc>
          <w:tcPr>
            <w:tcW w:w="2405" w:type="dxa"/>
          </w:tcPr>
          <w:p w14:paraId="17EA00F1" w14:textId="77777777" w:rsidR="008715BE" w:rsidRPr="00EC75B7" w:rsidRDefault="00000000">
            <w:pPr>
              <w:pStyle w:val="TableParagraph"/>
              <w:spacing w:before="10"/>
              <w:ind w:left="13" w:right="3"/>
              <w:jc w:val="center"/>
              <w:rPr>
                <w:rFonts w:ascii="Verdana" w:hAnsi="Verdana"/>
                <w:i/>
                <w:sz w:val="18"/>
                <w:szCs w:val="18"/>
              </w:rPr>
            </w:pPr>
            <w:r w:rsidRPr="00EC75B7">
              <w:rPr>
                <w:rFonts w:ascii="Verdana" w:hAnsi="Verdana"/>
                <w:i/>
                <w:sz w:val="18"/>
                <w:szCs w:val="18"/>
              </w:rPr>
              <w:t xml:space="preserve">Hirundo </w:t>
            </w:r>
            <w:r w:rsidRPr="00EC75B7">
              <w:rPr>
                <w:rFonts w:ascii="Verdana" w:hAnsi="Verdana"/>
                <w:i/>
                <w:spacing w:val="-2"/>
                <w:sz w:val="18"/>
                <w:szCs w:val="18"/>
              </w:rPr>
              <w:t>rustica</w:t>
            </w:r>
          </w:p>
        </w:tc>
        <w:tc>
          <w:tcPr>
            <w:tcW w:w="2268" w:type="dxa"/>
          </w:tcPr>
          <w:p w14:paraId="0732EB68" w14:textId="77777777" w:rsidR="008715BE" w:rsidRPr="00EC75B7" w:rsidRDefault="00000000">
            <w:pPr>
              <w:pStyle w:val="TableParagraph"/>
              <w:spacing w:before="70"/>
              <w:ind w:left="13" w:right="5"/>
              <w:jc w:val="center"/>
              <w:rPr>
                <w:rFonts w:ascii="Verdana" w:hAnsi="Verdana"/>
                <w:sz w:val="18"/>
                <w:szCs w:val="18"/>
              </w:rPr>
            </w:pPr>
            <w:r w:rsidRPr="00EC75B7">
              <w:rPr>
                <w:rFonts w:ascii="Verdana" w:hAnsi="Verdana"/>
                <w:spacing w:val="-2"/>
                <w:sz w:val="18"/>
                <w:szCs w:val="18"/>
              </w:rPr>
              <w:t>Swallow</w:t>
            </w:r>
          </w:p>
        </w:tc>
        <w:tc>
          <w:tcPr>
            <w:tcW w:w="1207" w:type="dxa"/>
          </w:tcPr>
          <w:p w14:paraId="477D9DB1" w14:textId="77777777" w:rsidR="008715BE" w:rsidRPr="00EC75B7" w:rsidRDefault="00000000">
            <w:pPr>
              <w:pStyle w:val="TableParagraph"/>
              <w:spacing w:before="70"/>
              <w:ind w:left="14" w:right="1"/>
              <w:jc w:val="center"/>
              <w:rPr>
                <w:rFonts w:ascii="Verdana" w:hAnsi="Verdana"/>
                <w:sz w:val="18"/>
                <w:szCs w:val="18"/>
              </w:rPr>
            </w:pPr>
            <w:r w:rsidRPr="00EC75B7">
              <w:rPr>
                <w:rFonts w:ascii="Verdana" w:hAnsi="Verdana"/>
                <w:spacing w:val="-5"/>
                <w:sz w:val="18"/>
                <w:szCs w:val="18"/>
              </w:rPr>
              <w:t>219</w:t>
            </w:r>
          </w:p>
        </w:tc>
        <w:tc>
          <w:tcPr>
            <w:tcW w:w="924" w:type="dxa"/>
          </w:tcPr>
          <w:p w14:paraId="39176FE2"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532C101C"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C72E84C" w14:textId="77777777" w:rsidR="008715BE" w:rsidRPr="00EC75B7" w:rsidRDefault="00000000">
            <w:pPr>
              <w:pStyle w:val="TableParagraph"/>
              <w:spacing w:before="70"/>
              <w:ind w:left="9"/>
              <w:jc w:val="center"/>
              <w:rPr>
                <w:rFonts w:ascii="Verdana" w:hAnsi="Verdana"/>
                <w:sz w:val="18"/>
                <w:szCs w:val="18"/>
              </w:rPr>
            </w:pPr>
            <w:r w:rsidRPr="00EC75B7">
              <w:rPr>
                <w:rFonts w:ascii="Verdana" w:hAnsi="Verdana"/>
                <w:sz w:val="18"/>
                <w:szCs w:val="18"/>
              </w:rPr>
              <w:t>-</w:t>
            </w:r>
          </w:p>
        </w:tc>
        <w:tc>
          <w:tcPr>
            <w:tcW w:w="1985" w:type="dxa"/>
          </w:tcPr>
          <w:p w14:paraId="3F469B8D"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12CA584D"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77AA40E9"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219E46E1" w14:textId="77777777">
        <w:trPr>
          <w:trHeight w:val="313"/>
        </w:trPr>
        <w:tc>
          <w:tcPr>
            <w:tcW w:w="847" w:type="dxa"/>
          </w:tcPr>
          <w:p w14:paraId="7BD0B483"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37</w:t>
            </w:r>
          </w:p>
        </w:tc>
        <w:tc>
          <w:tcPr>
            <w:tcW w:w="2405" w:type="dxa"/>
          </w:tcPr>
          <w:p w14:paraId="10A9EDBE" w14:textId="77777777" w:rsidR="008715BE" w:rsidRPr="00EC75B7" w:rsidRDefault="00000000">
            <w:pPr>
              <w:pStyle w:val="TableParagraph"/>
              <w:spacing w:before="8"/>
              <w:ind w:left="13" w:right="4"/>
              <w:jc w:val="center"/>
              <w:rPr>
                <w:rFonts w:ascii="Verdana" w:hAnsi="Verdana"/>
                <w:i/>
                <w:sz w:val="18"/>
                <w:szCs w:val="18"/>
              </w:rPr>
            </w:pPr>
            <w:r w:rsidRPr="00EC75B7">
              <w:rPr>
                <w:rFonts w:ascii="Verdana" w:hAnsi="Verdana"/>
                <w:i/>
                <w:sz w:val="18"/>
                <w:szCs w:val="18"/>
              </w:rPr>
              <w:t xml:space="preserve">Lanius </w:t>
            </w:r>
            <w:r w:rsidRPr="00EC75B7">
              <w:rPr>
                <w:rFonts w:ascii="Verdana" w:hAnsi="Verdana"/>
                <w:i/>
                <w:spacing w:val="-2"/>
                <w:sz w:val="18"/>
                <w:szCs w:val="18"/>
              </w:rPr>
              <w:t>collurio</w:t>
            </w:r>
          </w:p>
        </w:tc>
        <w:tc>
          <w:tcPr>
            <w:tcW w:w="2268" w:type="dxa"/>
          </w:tcPr>
          <w:p w14:paraId="62125814" w14:textId="77777777" w:rsidR="008715BE" w:rsidRPr="00EC75B7" w:rsidRDefault="00000000">
            <w:pPr>
              <w:pStyle w:val="TableParagraph"/>
              <w:spacing w:before="68"/>
              <w:ind w:left="13" w:right="3"/>
              <w:jc w:val="center"/>
              <w:rPr>
                <w:rFonts w:ascii="Verdana" w:hAnsi="Verdana"/>
                <w:sz w:val="18"/>
                <w:szCs w:val="18"/>
              </w:rPr>
            </w:pPr>
            <w:r w:rsidRPr="00EC75B7">
              <w:rPr>
                <w:rFonts w:ascii="Verdana" w:hAnsi="Verdana"/>
                <w:spacing w:val="-2"/>
                <w:sz w:val="18"/>
                <w:szCs w:val="18"/>
              </w:rPr>
              <w:t xml:space="preserve">Red-backed </w:t>
            </w:r>
            <w:r w:rsidRPr="00EC75B7">
              <w:rPr>
                <w:rFonts w:ascii="Verdana" w:hAnsi="Verdana"/>
                <w:sz w:val="18"/>
                <w:szCs w:val="18"/>
              </w:rPr>
              <w:t>shrike</w:t>
            </w:r>
          </w:p>
        </w:tc>
        <w:tc>
          <w:tcPr>
            <w:tcW w:w="1207" w:type="dxa"/>
          </w:tcPr>
          <w:p w14:paraId="74C9F119"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58</w:t>
            </w:r>
          </w:p>
        </w:tc>
        <w:tc>
          <w:tcPr>
            <w:tcW w:w="924" w:type="dxa"/>
          </w:tcPr>
          <w:p w14:paraId="02333343"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01424977"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67090F94"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61A79E30"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766C8714"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3C86FCD5"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0EF8B84" w14:textId="77777777">
        <w:trPr>
          <w:trHeight w:val="388"/>
        </w:trPr>
        <w:tc>
          <w:tcPr>
            <w:tcW w:w="847" w:type="dxa"/>
          </w:tcPr>
          <w:p w14:paraId="5011F4DD"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38</w:t>
            </w:r>
          </w:p>
        </w:tc>
        <w:tc>
          <w:tcPr>
            <w:tcW w:w="2405" w:type="dxa"/>
          </w:tcPr>
          <w:p w14:paraId="5BEB94EE" w14:textId="77777777" w:rsidR="008715BE" w:rsidRPr="00EC75B7" w:rsidRDefault="00000000">
            <w:pPr>
              <w:pStyle w:val="TableParagraph"/>
              <w:spacing w:before="8"/>
              <w:ind w:left="13" w:right="1"/>
              <w:jc w:val="center"/>
              <w:rPr>
                <w:rFonts w:ascii="Verdana" w:hAnsi="Verdana"/>
                <w:i/>
                <w:sz w:val="18"/>
                <w:szCs w:val="18"/>
              </w:rPr>
            </w:pPr>
            <w:r w:rsidRPr="00EC75B7">
              <w:rPr>
                <w:rFonts w:ascii="Verdana" w:hAnsi="Verdana"/>
                <w:i/>
                <w:sz w:val="18"/>
                <w:szCs w:val="18"/>
              </w:rPr>
              <w:t xml:space="preserve">Lanius </w:t>
            </w:r>
            <w:r w:rsidRPr="00EC75B7">
              <w:rPr>
                <w:rFonts w:ascii="Verdana" w:hAnsi="Verdana"/>
                <w:i/>
                <w:spacing w:val="-2"/>
                <w:sz w:val="18"/>
                <w:szCs w:val="18"/>
              </w:rPr>
              <w:t>minor</w:t>
            </w:r>
          </w:p>
        </w:tc>
        <w:tc>
          <w:tcPr>
            <w:tcW w:w="2268" w:type="dxa"/>
          </w:tcPr>
          <w:p w14:paraId="77BD55B6" w14:textId="77777777" w:rsidR="008715BE" w:rsidRPr="00EC75B7" w:rsidRDefault="00000000">
            <w:pPr>
              <w:pStyle w:val="TableParagraph"/>
              <w:spacing w:before="8" w:line="195" w:lineRule="exact"/>
              <w:ind w:left="13" w:right="4"/>
              <w:jc w:val="center"/>
              <w:rPr>
                <w:rFonts w:ascii="Verdana" w:hAnsi="Verdana"/>
                <w:sz w:val="18"/>
                <w:szCs w:val="18"/>
              </w:rPr>
            </w:pPr>
            <w:r w:rsidRPr="00EC75B7">
              <w:rPr>
                <w:rFonts w:ascii="Verdana" w:hAnsi="Verdana"/>
                <w:spacing w:val="-2"/>
                <w:sz w:val="18"/>
                <w:szCs w:val="18"/>
              </w:rPr>
              <w:t xml:space="preserve">Black-fronted </w:t>
            </w:r>
            <w:r w:rsidRPr="00EC75B7">
              <w:rPr>
                <w:rFonts w:ascii="Verdana" w:hAnsi="Verdana"/>
                <w:sz w:val="18"/>
                <w:szCs w:val="18"/>
              </w:rPr>
              <w:t>shrike</w:t>
            </w:r>
          </w:p>
          <w:p w14:paraId="358E0C7F" w14:textId="77777777" w:rsidR="008715BE" w:rsidRPr="00EC75B7" w:rsidRDefault="00000000">
            <w:pPr>
              <w:pStyle w:val="TableParagraph"/>
              <w:spacing w:line="165" w:lineRule="exact"/>
              <w:ind w:left="13" w:right="3"/>
              <w:jc w:val="center"/>
              <w:rPr>
                <w:rFonts w:ascii="Verdana" w:hAnsi="Verdana"/>
                <w:sz w:val="18"/>
                <w:szCs w:val="18"/>
              </w:rPr>
            </w:pPr>
            <w:r w:rsidRPr="00EC75B7">
              <w:rPr>
                <w:rFonts w:ascii="Verdana" w:hAnsi="Verdana"/>
                <w:spacing w:val="-2"/>
                <w:sz w:val="18"/>
                <w:szCs w:val="18"/>
              </w:rPr>
              <w:t>black</w:t>
            </w:r>
          </w:p>
        </w:tc>
        <w:tc>
          <w:tcPr>
            <w:tcW w:w="1207" w:type="dxa"/>
          </w:tcPr>
          <w:p w14:paraId="258234D6" w14:textId="77777777" w:rsidR="008715BE" w:rsidRPr="00EC75B7" w:rsidRDefault="00000000">
            <w:pPr>
              <w:pStyle w:val="TableParagraph"/>
              <w:spacing w:before="106"/>
              <w:ind w:left="14" w:right="4"/>
              <w:jc w:val="center"/>
              <w:rPr>
                <w:rFonts w:ascii="Verdana" w:hAnsi="Verdana"/>
                <w:sz w:val="18"/>
                <w:szCs w:val="18"/>
              </w:rPr>
            </w:pPr>
            <w:r w:rsidRPr="00EC75B7">
              <w:rPr>
                <w:rFonts w:ascii="Verdana" w:hAnsi="Verdana"/>
                <w:spacing w:val="-10"/>
                <w:sz w:val="18"/>
                <w:szCs w:val="18"/>
              </w:rPr>
              <w:t>3</w:t>
            </w:r>
          </w:p>
        </w:tc>
        <w:tc>
          <w:tcPr>
            <w:tcW w:w="924" w:type="dxa"/>
          </w:tcPr>
          <w:p w14:paraId="0F31C146"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pacing w:val="-5"/>
                <w:sz w:val="18"/>
                <w:szCs w:val="18"/>
              </w:rPr>
              <w:t>LC</w:t>
            </w:r>
          </w:p>
        </w:tc>
        <w:tc>
          <w:tcPr>
            <w:tcW w:w="1560" w:type="dxa"/>
          </w:tcPr>
          <w:p w14:paraId="02D05182" w14:textId="77777777" w:rsidR="008715BE" w:rsidRPr="00EC75B7" w:rsidRDefault="00000000">
            <w:pPr>
              <w:pStyle w:val="TableParagraph"/>
              <w:spacing w:before="106"/>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0CD388C0"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2A31DAC9"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w:t>
            </w:r>
          </w:p>
        </w:tc>
        <w:tc>
          <w:tcPr>
            <w:tcW w:w="1419" w:type="dxa"/>
          </w:tcPr>
          <w:p w14:paraId="55A321DB"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w:t>
            </w:r>
          </w:p>
        </w:tc>
        <w:tc>
          <w:tcPr>
            <w:tcW w:w="1282" w:type="dxa"/>
          </w:tcPr>
          <w:p w14:paraId="6E56BF23"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z w:val="18"/>
                <w:szCs w:val="18"/>
              </w:rPr>
              <w:t>-</w:t>
            </w:r>
          </w:p>
        </w:tc>
      </w:tr>
      <w:tr w:rsidR="008715BE" w:rsidRPr="00EC75B7" w14:paraId="01A04175" w14:textId="77777777">
        <w:trPr>
          <w:trHeight w:val="316"/>
        </w:trPr>
        <w:tc>
          <w:tcPr>
            <w:tcW w:w="847" w:type="dxa"/>
          </w:tcPr>
          <w:p w14:paraId="50C80CB6"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39</w:t>
            </w:r>
          </w:p>
        </w:tc>
        <w:tc>
          <w:tcPr>
            <w:tcW w:w="2405" w:type="dxa"/>
          </w:tcPr>
          <w:p w14:paraId="259C8014" w14:textId="77777777" w:rsidR="008715BE" w:rsidRPr="00EC75B7" w:rsidRDefault="00000000">
            <w:pPr>
              <w:pStyle w:val="TableParagraph"/>
              <w:spacing w:before="10"/>
              <w:ind w:left="13" w:right="6"/>
              <w:jc w:val="center"/>
              <w:rPr>
                <w:rFonts w:ascii="Verdana" w:hAnsi="Verdana"/>
                <w:i/>
                <w:sz w:val="18"/>
                <w:szCs w:val="18"/>
              </w:rPr>
            </w:pPr>
            <w:r w:rsidRPr="00EC75B7">
              <w:rPr>
                <w:rFonts w:ascii="Verdana" w:hAnsi="Verdana"/>
                <w:i/>
                <w:sz w:val="18"/>
                <w:szCs w:val="18"/>
              </w:rPr>
              <w:t xml:space="preserve">Larus </w:t>
            </w:r>
            <w:r w:rsidRPr="00EC75B7">
              <w:rPr>
                <w:rFonts w:ascii="Verdana" w:hAnsi="Verdana"/>
                <w:i/>
                <w:spacing w:val="-2"/>
                <w:sz w:val="18"/>
                <w:szCs w:val="18"/>
              </w:rPr>
              <w:t>cachinnans</w:t>
            </w:r>
          </w:p>
        </w:tc>
        <w:tc>
          <w:tcPr>
            <w:tcW w:w="2268" w:type="dxa"/>
          </w:tcPr>
          <w:p w14:paraId="7FEA508F" w14:textId="77777777" w:rsidR="008715BE" w:rsidRPr="00EC75B7" w:rsidRDefault="00000000">
            <w:pPr>
              <w:pStyle w:val="TableParagraph"/>
              <w:spacing w:before="70"/>
              <w:ind w:left="13" w:right="6"/>
              <w:jc w:val="center"/>
              <w:rPr>
                <w:rFonts w:ascii="Verdana" w:hAnsi="Verdana"/>
                <w:sz w:val="18"/>
                <w:szCs w:val="18"/>
              </w:rPr>
            </w:pPr>
            <w:r w:rsidRPr="00EC75B7">
              <w:rPr>
                <w:rFonts w:ascii="Verdana" w:hAnsi="Verdana"/>
                <w:spacing w:val="-2"/>
                <w:sz w:val="18"/>
                <w:szCs w:val="18"/>
              </w:rPr>
              <w:t xml:space="preserve">Black-headed </w:t>
            </w:r>
            <w:r w:rsidRPr="00EC75B7">
              <w:rPr>
                <w:rFonts w:ascii="Verdana" w:hAnsi="Verdana"/>
                <w:sz w:val="18"/>
                <w:szCs w:val="18"/>
              </w:rPr>
              <w:t>Gull</w:t>
            </w:r>
          </w:p>
        </w:tc>
        <w:tc>
          <w:tcPr>
            <w:tcW w:w="1207" w:type="dxa"/>
          </w:tcPr>
          <w:p w14:paraId="5B218139" w14:textId="77777777" w:rsidR="008715BE" w:rsidRPr="00EC75B7" w:rsidRDefault="00000000">
            <w:pPr>
              <w:pStyle w:val="TableParagraph"/>
              <w:spacing w:before="70"/>
              <w:ind w:left="14"/>
              <w:jc w:val="center"/>
              <w:rPr>
                <w:rFonts w:ascii="Verdana" w:hAnsi="Verdana"/>
                <w:sz w:val="18"/>
                <w:szCs w:val="18"/>
              </w:rPr>
            </w:pPr>
            <w:r w:rsidRPr="00EC75B7">
              <w:rPr>
                <w:rFonts w:ascii="Verdana" w:hAnsi="Verdana"/>
                <w:spacing w:val="-5"/>
                <w:sz w:val="18"/>
                <w:szCs w:val="18"/>
              </w:rPr>
              <w:t>88</w:t>
            </w:r>
          </w:p>
        </w:tc>
        <w:tc>
          <w:tcPr>
            <w:tcW w:w="924" w:type="dxa"/>
          </w:tcPr>
          <w:p w14:paraId="2F674A8A"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28A35A04"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1DC102AD" w14:textId="77777777" w:rsidR="008715BE" w:rsidRPr="00EC75B7" w:rsidRDefault="00000000">
            <w:pPr>
              <w:pStyle w:val="TableParagraph"/>
              <w:spacing w:before="70"/>
              <w:ind w:left="9"/>
              <w:jc w:val="center"/>
              <w:rPr>
                <w:rFonts w:ascii="Verdana" w:hAnsi="Verdana"/>
                <w:sz w:val="18"/>
                <w:szCs w:val="18"/>
              </w:rPr>
            </w:pPr>
            <w:r w:rsidRPr="00EC75B7">
              <w:rPr>
                <w:rFonts w:ascii="Verdana" w:hAnsi="Verdana"/>
                <w:sz w:val="18"/>
                <w:szCs w:val="18"/>
              </w:rPr>
              <w:t>-</w:t>
            </w:r>
          </w:p>
        </w:tc>
        <w:tc>
          <w:tcPr>
            <w:tcW w:w="1985" w:type="dxa"/>
          </w:tcPr>
          <w:p w14:paraId="10907BAB"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11E51A47"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1D2DD064"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48E915C4" w14:textId="77777777">
        <w:trPr>
          <w:trHeight w:val="313"/>
        </w:trPr>
        <w:tc>
          <w:tcPr>
            <w:tcW w:w="847" w:type="dxa"/>
          </w:tcPr>
          <w:p w14:paraId="7BFBD0A9"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40</w:t>
            </w:r>
          </w:p>
        </w:tc>
        <w:tc>
          <w:tcPr>
            <w:tcW w:w="2405" w:type="dxa"/>
          </w:tcPr>
          <w:p w14:paraId="0680D537" w14:textId="77777777" w:rsidR="008715BE" w:rsidRPr="00EC75B7" w:rsidRDefault="00000000">
            <w:pPr>
              <w:pStyle w:val="TableParagraph"/>
              <w:spacing w:before="8"/>
              <w:ind w:left="13" w:right="4"/>
              <w:jc w:val="center"/>
              <w:rPr>
                <w:rFonts w:ascii="Verdana" w:hAnsi="Verdana"/>
                <w:i/>
                <w:sz w:val="18"/>
                <w:szCs w:val="18"/>
              </w:rPr>
            </w:pPr>
            <w:r w:rsidRPr="00EC75B7">
              <w:rPr>
                <w:rFonts w:ascii="Verdana" w:hAnsi="Verdana"/>
                <w:i/>
                <w:sz w:val="18"/>
                <w:szCs w:val="18"/>
              </w:rPr>
              <w:t xml:space="preserve">Luscinia </w:t>
            </w:r>
            <w:r w:rsidRPr="00EC75B7">
              <w:rPr>
                <w:rFonts w:ascii="Verdana" w:hAnsi="Verdana"/>
                <w:i/>
                <w:spacing w:val="-2"/>
                <w:sz w:val="18"/>
                <w:szCs w:val="18"/>
              </w:rPr>
              <w:t>luscinia</w:t>
            </w:r>
          </w:p>
        </w:tc>
        <w:tc>
          <w:tcPr>
            <w:tcW w:w="2268" w:type="dxa"/>
          </w:tcPr>
          <w:p w14:paraId="17805AB3" w14:textId="77777777" w:rsidR="008715BE" w:rsidRPr="00EC75B7" w:rsidRDefault="00000000">
            <w:pPr>
              <w:pStyle w:val="TableParagraph"/>
              <w:spacing w:before="68"/>
              <w:ind w:left="13" w:right="3"/>
              <w:jc w:val="center"/>
              <w:rPr>
                <w:rFonts w:ascii="Verdana" w:hAnsi="Verdana"/>
                <w:sz w:val="18"/>
                <w:szCs w:val="18"/>
              </w:rPr>
            </w:pPr>
            <w:r w:rsidRPr="00EC75B7">
              <w:rPr>
                <w:rFonts w:ascii="Verdana" w:hAnsi="Verdana"/>
                <w:sz w:val="18"/>
                <w:szCs w:val="18"/>
              </w:rPr>
              <w:t xml:space="preserve">Nightingale of </w:t>
            </w:r>
            <w:r w:rsidRPr="00EC75B7">
              <w:rPr>
                <w:rFonts w:ascii="Verdana" w:hAnsi="Verdana"/>
                <w:spacing w:val="-4"/>
                <w:sz w:val="18"/>
                <w:szCs w:val="18"/>
              </w:rPr>
              <w:t>the grove</w:t>
            </w:r>
          </w:p>
        </w:tc>
        <w:tc>
          <w:tcPr>
            <w:tcW w:w="1207" w:type="dxa"/>
          </w:tcPr>
          <w:p w14:paraId="322455F3"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37022BB6"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6953B630"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4B813DCE"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382CF708"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300DB6AA"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1925598C"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6E7F4D5" w14:textId="77777777">
        <w:trPr>
          <w:trHeight w:val="316"/>
        </w:trPr>
        <w:tc>
          <w:tcPr>
            <w:tcW w:w="847" w:type="dxa"/>
          </w:tcPr>
          <w:p w14:paraId="30F4EC1A"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41</w:t>
            </w:r>
          </w:p>
        </w:tc>
        <w:tc>
          <w:tcPr>
            <w:tcW w:w="2405" w:type="dxa"/>
          </w:tcPr>
          <w:p w14:paraId="3F126A80" w14:textId="77777777" w:rsidR="008715BE" w:rsidRPr="00EC75B7" w:rsidRDefault="00000000">
            <w:pPr>
              <w:pStyle w:val="TableParagraph"/>
              <w:spacing w:before="8"/>
              <w:ind w:left="13" w:right="4"/>
              <w:jc w:val="center"/>
              <w:rPr>
                <w:rFonts w:ascii="Verdana" w:hAnsi="Verdana"/>
                <w:i/>
                <w:sz w:val="18"/>
                <w:szCs w:val="18"/>
              </w:rPr>
            </w:pPr>
            <w:r w:rsidRPr="00EC75B7">
              <w:rPr>
                <w:rFonts w:ascii="Verdana" w:hAnsi="Verdana"/>
                <w:i/>
                <w:sz w:val="18"/>
                <w:szCs w:val="18"/>
              </w:rPr>
              <w:t xml:space="preserve">Luscinia </w:t>
            </w:r>
            <w:r w:rsidRPr="00EC75B7">
              <w:rPr>
                <w:rFonts w:ascii="Verdana" w:hAnsi="Verdana"/>
                <w:i/>
                <w:spacing w:val="-2"/>
                <w:sz w:val="18"/>
                <w:szCs w:val="18"/>
              </w:rPr>
              <w:t>megarhynchos</w:t>
            </w:r>
          </w:p>
        </w:tc>
        <w:tc>
          <w:tcPr>
            <w:tcW w:w="2268" w:type="dxa"/>
          </w:tcPr>
          <w:p w14:paraId="408C8E29" w14:textId="77777777" w:rsidR="008715BE" w:rsidRPr="00EC75B7" w:rsidRDefault="00000000">
            <w:pPr>
              <w:pStyle w:val="TableParagraph"/>
              <w:spacing w:before="71"/>
              <w:ind w:left="13" w:right="1"/>
              <w:jc w:val="center"/>
              <w:rPr>
                <w:rFonts w:ascii="Verdana" w:hAnsi="Verdana"/>
                <w:sz w:val="18"/>
                <w:szCs w:val="18"/>
              </w:rPr>
            </w:pPr>
            <w:r w:rsidRPr="00EC75B7">
              <w:rPr>
                <w:rFonts w:ascii="Verdana" w:hAnsi="Verdana"/>
                <w:spacing w:val="-2"/>
                <w:sz w:val="18"/>
                <w:szCs w:val="18"/>
              </w:rPr>
              <w:t xml:space="preserve">Red-throated </w:t>
            </w:r>
            <w:r w:rsidRPr="00EC75B7">
              <w:rPr>
                <w:rFonts w:ascii="Verdana" w:hAnsi="Verdana"/>
                <w:sz w:val="18"/>
                <w:szCs w:val="18"/>
              </w:rPr>
              <w:t>Nightingale</w:t>
            </w:r>
          </w:p>
        </w:tc>
        <w:tc>
          <w:tcPr>
            <w:tcW w:w="1207" w:type="dxa"/>
          </w:tcPr>
          <w:p w14:paraId="6B3696AE" w14:textId="77777777" w:rsidR="008715BE" w:rsidRPr="00EC75B7" w:rsidRDefault="00000000">
            <w:pPr>
              <w:pStyle w:val="TableParagraph"/>
              <w:spacing w:before="71"/>
              <w:ind w:left="14" w:right="4"/>
              <w:jc w:val="center"/>
              <w:rPr>
                <w:rFonts w:ascii="Verdana" w:hAnsi="Verdana"/>
                <w:sz w:val="18"/>
                <w:szCs w:val="18"/>
              </w:rPr>
            </w:pPr>
            <w:r w:rsidRPr="00EC75B7">
              <w:rPr>
                <w:rFonts w:ascii="Verdana" w:hAnsi="Verdana"/>
                <w:spacing w:val="-10"/>
                <w:sz w:val="18"/>
                <w:szCs w:val="18"/>
              </w:rPr>
              <w:t>4</w:t>
            </w:r>
          </w:p>
        </w:tc>
        <w:tc>
          <w:tcPr>
            <w:tcW w:w="924" w:type="dxa"/>
          </w:tcPr>
          <w:p w14:paraId="283F7E9C" w14:textId="77777777" w:rsidR="008715BE" w:rsidRPr="00EC75B7" w:rsidRDefault="00000000">
            <w:pPr>
              <w:pStyle w:val="TableParagraph"/>
              <w:spacing w:before="71"/>
              <w:ind w:left="8"/>
              <w:jc w:val="center"/>
              <w:rPr>
                <w:rFonts w:ascii="Verdana" w:hAnsi="Verdana"/>
                <w:sz w:val="18"/>
                <w:szCs w:val="18"/>
              </w:rPr>
            </w:pPr>
            <w:r w:rsidRPr="00EC75B7">
              <w:rPr>
                <w:rFonts w:ascii="Verdana" w:hAnsi="Verdana"/>
                <w:spacing w:val="-5"/>
                <w:sz w:val="18"/>
                <w:szCs w:val="18"/>
              </w:rPr>
              <w:t>LC</w:t>
            </w:r>
          </w:p>
        </w:tc>
        <w:tc>
          <w:tcPr>
            <w:tcW w:w="1560" w:type="dxa"/>
          </w:tcPr>
          <w:p w14:paraId="26E8E1A4" w14:textId="77777777" w:rsidR="008715BE" w:rsidRPr="00EC75B7" w:rsidRDefault="00000000">
            <w:pPr>
              <w:pStyle w:val="TableParagraph"/>
              <w:spacing w:before="71"/>
              <w:ind w:left="13"/>
              <w:jc w:val="center"/>
              <w:rPr>
                <w:rFonts w:ascii="Verdana" w:hAnsi="Verdana"/>
                <w:sz w:val="18"/>
                <w:szCs w:val="18"/>
              </w:rPr>
            </w:pPr>
            <w:r w:rsidRPr="00EC75B7">
              <w:rPr>
                <w:rFonts w:ascii="Verdana" w:hAnsi="Verdana"/>
                <w:sz w:val="18"/>
                <w:szCs w:val="18"/>
              </w:rPr>
              <w:t>-</w:t>
            </w:r>
          </w:p>
        </w:tc>
        <w:tc>
          <w:tcPr>
            <w:tcW w:w="1416" w:type="dxa"/>
          </w:tcPr>
          <w:p w14:paraId="4F25288B" w14:textId="77777777" w:rsidR="008715BE" w:rsidRPr="00EC75B7" w:rsidRDefault="00000000">
            <w:pPr>
              <w:pStyle w:val="TableParagraph"/>
              <w:spacing w:before="71"/>
              <w:ind w:left="9"/>
              <w:jc w:val="center"/>
              <w:rPr>
                <w:rFonts w:ascii="Verdana" w:hAnsi="Verdana"/>
                <w:sz w:val="18"/>
                <w:szCs w:val="18"/>
              </w:rPr>
            </w:pPr>
            <w:r w:rsidRPr="00EC75B7">
              <w:rPr>
                <w:rFonts w:ascii="Verdana" w:hAnsi="Verdana"/>
                <w:sz w:val="18"/>
                <w:szCs w:val="18"/>
              </w:rPr>
              <w:t>-</w:t>
            </w:r>
          </w:p>
        </w:tc>
        <w:tc>
          <w:tcPr>
            <w:tcW w:w="1985" w:type="dxa"/>
          </w:tcPr>
          <w:p w14:paraId="5F913FC6" w14:textId="77777777" w:rsidR="008715BE" w:rsidRPr="00EC75B7" w:rsidRDefault="00000000">
            <w:pPr>
              <w:pStyle w:val="TableParagraph"/>
              <w:spacing w:before="71"/>
              <w:ind w:left="11"/>
              <w:jc w:val="center"/>
              <w:rPr>
                <w:rFonts w:ascii="Verdana" w:hAnsi="Verdana"/>
                <w:sz w:val="18"/>
                <w:szCs w:val="18"/>
              </w:rPr>
            </w:pPr>
            <w:r w:rsidRPr="00EC75B7">
              <w:rPr>
                <w:rFonts w:ascii="Verdana" w:hAnsi="Verdana"/>
                <w:sz w:val="18"/>
                <w:szCs w:val="18"/>
              </w:rPr>
              <w:t>-</w:t>
            </w:r>
          </w:p>
        </w:tc>
        <w:tc>
          <w:tcPr>
            <w:tcW w:w="1419" w:type="dxa"/>
          </w:tcPr>
          <w:p w14:paraId="6248829E" w14:textId="77777777" w:rsidR="008715BE" w:rsidRPr="00EC75B7" w:rsidRDefault="00000000">
            <w:pPr>
              <w:pStyle w:val="TableParagraph"/>
              <w:spacing w:before="71"/>
              <w:ind w:left="11"/>
              <w:jc w:val="center"/>
              <w:rPr>
                <w:rFonts w:ascii="Verdana" w:hAnsi="Verdana"/>
                <w:sz w:val="18"/>
                <w:szCs w:val="18"/>
              </w:rPr>
            </w:pPr>
            <w:r w:rsidRPr="00EC75B7">
              <w:rPr>
                <w:rFonts w:ascii="Verdana" w:hAnsi="Verdana"/>
                <w:sz w:val="18"/>
                <w:szCs w:val="18"/>
              </w:rPr>
              <w:t>-</w:t>
            </w:r>
          </w:p>
        </w:tc>
        <w:tc>
          <w:tcPr>
            <w:tcW w:w="1282" w:type="dxa"/>
          </w:tcPr>
          <w:p w14:paraId="12C7D2A0" w14:textId="77777777" w:rsidR="008715BE" w:rsidRPr="00EC75B7" w:rsidRDefault="00000000">
            <w:pPr>
              <w:pStyle w:val="TableParagraph"/>
              <w:spacing w:before="71"/>
              <w:ind w:left="8"/>
              <w:jc w:val="center"/>
              <w:rPr>
                <w:rFonts w:ascii="Verdana" w:hAnsi="Verdana"/>
                <w:sz w:val="18"/>
                <w:szCs w:val="18"/>
              </w:rPr>
            </w:pPr>
            <w:r w:rsidRPr="00EC75B7">
              <w:rPr>
                <w:rFonts w:ascii="Verdana" w:hAnsi="Verdana"/>
                <w:sz w:val="18"/>
                <w:szCs w:val="18"/>
              </w:rPr>
              <w:t>-</w:t>
            </w:r>
          </w:p>
        </w:tc>
      </w:tr>
      <w:tr w:rsidR="008715BE" w:rsidRPr="00EC75B7" w14:paraId="118923F7" w14:textId="77777777">
        <w:trPr>
          <w:trHeight w:val="314"/>
        </w:trPr>
        <w:tc>
          <w:tcPr>
            <w:tcW w:w="847" w:type="dxa"/>
          </w:tcPr>
          <w:p w14:paraId="5BA84567"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42</w:t>
            </w:r>
          </w:p>
        </w:tc>
        <w:tc>
          <w:tcPr>
            <w:tcW w:w="2405" w:type="dxa"/>
          </w:tcPr>
          <w:p w14:paraId="617B58D5"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pacing w:val="-2"/>
                <w:sz w:val="18"/>
                <w:szCs w:val="18"/>
              </w:rPr>
              <w:t>Calandra Lark</w:t>
            </w:r>
          </w:p>
        </w:tc>
        <w:tc>
          <w:tcPr>
            <w:tcW w:w="2268" w:type="dxa"/>
          </w:tcPr>
          <w:p w14:paraId="540BCA1B"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pacing w:val="-2"/>
                <w:sz w:val="18"/>
                <w:szCs w:val="18"/>
              </w:rPr>
              <w:t xml:space="preserve">Bărăgan </w:t>
            </w:r>
            <w:r w:rsidRPr="00EC75B7">
              <w:rPr>
                <w:rFonts w:ascii="Verdana" w:hAnsi="Verdana"/>
                <w:sz w:val="18"/>
                <w:szCs w:val="18"/>
              </w:rPr>
              <w:t>lark</w:t>
            </w:r>
          </w:p>
        </w:tc>
        <w:tc>
          <w:tcPr>
            <w:tcW w:w="1207" w:type="dxa"/>
          </w:tcPr>
          <w:p w14:paraId="635548C5"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55</w:t>
            </w:r>
          </w:p>
        </w:tc>
        <w:tc>
          <w:tcPr>
            <w:tcW w:w="924" w:type="dxa"/>
          </w:tcPr>
          <w:p w14:paraId="59D59B09"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pacing w:val="-5"/>
                <w:sz w:val="18"/>
                <w:szCs w:val="18"/>
              </w:rPr>
              <w:t>VU</w:t>
            </w:r>
          </w:p>
        </w:tc>
        <w:tc>
          <w:tcPr>
            <w:tcW w:w="1560" w:type="dxa"/>
          </w:tcPr>
          <w:p w14:paraId="72A99091"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z w:val="18"/>
                <w:szCs w:val="18"/>
              </w:rPr>
              <w:t>An</w:t>
            </w:r>
            <w:r w:rsidRPr="00EC75B7">
              <w:rPr>
                <w:rFonts w:ascii="Verdana" w:hAnsi="Verdana"/>
                <w:spacing w:val="-10"/>
                <w:sz w:val="18"/>
                <w:szCs w:val="18"/>
              </w:rPr>
              <w:t>nex</w:t>
            </w:r>
          </w:p>
        </w:tc>
        <w:tc>
          <w:tcPr>
            <w:tcW w:w="1416" w:type="dxa"/>
          </w:tcPr>
          <w:p w14:paraId="6E1C04E2"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43F435D5"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0AC1FD3B"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4F1C7389"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931BB4A" w14:textId="77777777">
        <w:trPr>
          <w:trHeight w:val="316"/>
        </w:trPr>
        <w:tc>
          <w:tcPr>
            <w:tcW w:w="847" w:type="dxa"/>
          </w:tcPr>
          <w:p w14:paraId="5535825C"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43</w:t>
            </w:r>
          </w:p>
        </w:tc>
        <w:tc>
          <w:tcPr>
            <w:tcW w:w="2405" w:type="dxa"/>
          </w:tcPr>
          <w:p w14:paraId="00D6F624"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z w:val="18"/>
                <w:szCs w:val="18"/>
              </w:rPr>
              <w:t xml:space="preserve">Merops </w:t>
            </w:r>
            <w:r w:rsidRPr="00EC75B7">
              <w:rPr>
                <w:rFonts w:ascii="Verdana" w:hAnsi="Verdana"/>
                <w:i/>
                <w:spacing w:val="-2"/>
                <w:sz w:val="18"/>
                <w:szCs w:val="18"/>
              </w:rPr>
              <w:t>apiaster</w:t>
            </w:r>
          </w:p>
        </w:tc>
        <w:tc>
          <w:tcPr>
            <w:tcW w:w="2268" w:type="dxa"/>
          </w:tcPr>
          <w:p w14:paraId="51AD7A13"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pacing w:val="-2"/>
                <w:sz w:val="18"/>
                <w:szCs w:val="18"/>
              </w:rPr>
              <w:t>Prigorie</w:t>
            </w:r>
          </w:p>
        </w:tc>
        <w:tc>
          <w:tcPr>
            <w:tcW w:w="1207" w:type="dxa"/>
          </w:tcPr>
          <w:p w14:paraId="0731112F" w14:textId="77777777" w:rsidR="008715BE" w:rsidRPr="00EC75B7" w:rsidRDefault="00000000">
            <w:pPr>
              <w:pStyle w:val="TableParagraph"/>
              <w:spacing w:before="68"/>
              <w:ind w:left="14" w:right="1"/>
              <w:jc w:val="center"/>
              <w:rPr>
                <w:rFonts w:ascii="Verdana" w:hAnsi="Verdana"/>
                <w:sz w:val="18"/>
                <w:szCs w:val="18"/>
              </w:rPr>
            </w:pPr>
            <w:r w:rsidRPr="00EC75B7">
              <w:rPr>
                <w:rFonts w:ascii="Verdana" w:hAnsi="Verdana"/>
                <w:spacing w:val="-5"/>
                <w:sz w:val="18"/>
                <w:szCs w:val="18"/>
              </w:rPr>
              <w:t>147</w:t>
            </w:r>
          </w:p>
        </w:tc>
        <w:tc>
          <w:tcPr>
            <w:tcW w:w="924" w:type="dxa"/>
          </w:tcPr>
          <w:p w14:paraId="006CF4B2"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6EF4021D"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22020E3F"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43E941B5"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668A86C8"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6B61922D" w14:textId="77777777" w:rsidR="008715BE" w:rsidRPr="00EC75B7" w:rsidRDefault="00000000">
            <w:pPr>
              <w:pStyle w:val="TableParagraph"/>
              <w:spacing w:before="68"/>
              <w:ind w:left="161" w:right="157"/>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r>
      <w:tr w:rsidR="008715BE" w:rsidRPr="00EC75B7" w14:paraId="7A6E88E4" w14:textId="77777777">
        <w:trPr>
          <w:trHeight w:val="313"/>
        </w:trPr>
        <w:tc>
          <w:tcPr>
            <w:tcW w:w="847" w:type="dxa"/>
          </w:tcPr>
          <w:p w14:paraId="23EAD1F0"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44</w:t>
            </w:r>
          </w:p>
        </w:tc>
        <w:tc>
          <w:tcPr>
            <w:tcW w:w="2405" w:type="dxa"/>
          </w:tcPr>
          <w:p w14:paraId="0284A5AE" w14:textId="77777777" w:rsidR="008715BE" w:rsidRPr="00EC75B7" w:rsidRDefault="00000000">
            <w:pPr>
              <w:pStyle w:val="TableParagraph"/>
              <w:spacing w:before="8"/>
              <w:ind w:left="13"/>
              <w:jc w:val="center"/>
              <w:rPr>
                <w:rFonts w:ascii="Verdana" w:hAnsi="Verdana"/>
                <w:i/>
                <w:sz w:val="18"/>
                <w:szCs w:val="18"/>
              </w:rPr>
            </w:pPr>
            <w:r w:rsidRPr="00EC75B7">
              <w:rPr>
                <w:rFonts w:ascii="Verdana" w:hAnsi="Verdana"/>
                <w:i/>
                <w:sz w:val="18"/>
                <w:szCs w:val="18"/>
              </w:rPr>
              <w:t xml:space="preserve">Motacilla </w:t>
            </w:r>
            <w:r w:rsidRPr="00EC75B7">
              <w:rPr>
                <w:rFonts w:ascii="Verdana" w:hAnsi="Verdana"/>
                <w:i/>
                <w:spacing w:val="-4"/>
                <w:sz w:val="18"/>
                <w:szCs w:val="18"/>
              </w:rPr>
              <w:t>alba</w:t>
            </w:r>
          </w:p>
        </w:tc>
        <w:tc>
          <w:tcPr>
            <w:tcW w:w="2268" w:type="dxa"/>
          </w:tcPr>
          <w:p w14:paraId="35D4AE3F"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pacing w:val="-4"/>
                <w:sz w:val="18"/>
                <w:szCs w:val="18"/>
              </w:rPr>
              <w:t xml:space="preserve">White </w:t>
            </w:r>
            <w:r w:rsidRPr="00EC75B7">
              <w:rPr>
                <w:rFonts w:ascii="Verdana" w:hAnsi="Verdana"/>
                <w:sz w:val="18"/>
                <w:szCs w:val="18"/>
              </w:rPr>
              <w:t>wagtail</w:t>
            </w:r>
          </w:p>
        </w:tc>
        <w:tc>
          <w:tcPr>
            <w:tcW w:w="1207" w:type="dxa"/>
          </w:tcPr>
          <w:p w14:paraId="3B2D7CE8"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56</w:t>
            </w:r>
          </w:p>
        </w:tc>
        <w:tc>
          <w:tcPr>
            <w:tcW w:w="924" w:type="dxa"/>
          </w:tcPr>
          <w:p w14:paraId="5B1DAED7"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1CC950CA"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722D1153"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45FE82FB"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4FF3AB54"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52008EAE"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300D7501" w14:textId="77777777">
        <w:trPr>
          <w:trHeight w:val="314"/>
        </w:trPr>
        <w:tc>
          <w:tcPr>
            <w:tcW w:w="847" w:type="dxa"/>
          </w:tcPr>
          <w:p w14:paraId="7D86914E"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45</w:t>
            </w:r>
          </w:p>
        </w:tc>
        <w:tc>
          <w:tcPr>
            <w:tcW w:w="2405" w:type="dxa"/>
          </w:tcPr>
          <w:p w14:paraId="2E814E8E"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z w:val="18"/>
                <w:szCs w:val="18"/>
              </w:rPr>
              <w:t xml:space="preserve">Motacilla </w:t>
            </w:r>
            <w:r w:rsidRPr="00EC75B7">
              <w:rPr>
                <w:rFonts w:ascii="Verdana" w:hAnsi="Verdana"/>
                <w:i/>
                <w:spacing w:val="-2"/>
                <w:sz w:val="18"/>
                <w:szCs w:val="18"/>
              </w:rPr>
              <w:t>flava</w:t>
            </w:r>
          </w:p>
        </w:tc>
        <w:tc>
          <w:tcPr>
            <w:tcW w:w="2268" w:type="dxa"/>
          </w:tcPr>
          <w:p w14:paraId="31AF62BF" w14:textId="77777777" w:rsidR="008715BE" w:rsidRPr="00EC75B7" w:rsidRDefault="00000000">
            <w:pPr>
              <w:pStyle w:val="TableParagraph"/>
              <w:spacing w:before="68"/>
              <w:ind w:left="13" w:right="4"/>
              <w:jc w:val="center"/>
              <w:rPr>
                <w:rFonts w:ascii="Verdana" w:hAnsi="Verdana"/>
                <w:sz w:val="18"/>
                <w:szCs w:val="18"/>
              </w:rPr>
            </w:pPr>
            <w:r w:rsidRPr="00EC75B7">
              <w:rPr>
                <w:rFonts w:ascii="Verdana" w:hAnsi="Verdana"/>
                <w:spacing w:val="-2"/>
                <w:sz w:val="18"/>
                <w:szCs w:val="18"/>
              </w:rPr>
              <w:t xml:space="preserve">Yellow </w:t>
            </w:r>
            <w:r w:rsidRPr="00EC75B7">
              <w:rPr>
                <w:rFonts w:ascii="Verdana" w:hAnsi="Verdana"/>
                <w:sz w:val="18"/>
                <w:szCs w:val="18"/>
              </w:rPr>
              <w:t>wagtail</w:t>
            </w:r>
          </w:p>
        </w:tc>
        <w:tc>
          <w:tcPr>
            <w:tcW w:w="1207" w:type="dxa"/>
          </w:tcPr>
          <w:p w14:paraId="306C05F7" w14:textId="77777777" w:rsidR="008715BE" w:rsidRPr="00EC75B7" w:rsidRDefault="00000000">
            <w:pPr>
              <w:pStyle w:val="TableParagraph"/>
              <w:spacing w:before="68"/>
              <w:ind w:left="14" w:right="1"/>
              <w:jc w:val="center"/>
              <w:rPr>
                <w:rFonts w:ascii="Verdana" w:hAnsi="Verdana"/>
                <w:sz w:val="18"/>
                <w:szCs w:val="18"/>
              </w:rPr>
            </w:pPr>
            <w:r w:rsidRPr="00EC75B7">
              <w:rPr>
                <w:rFonts w:ascii="Verdana" w:hAnsi="Verdana"/>
                <w:spacing w:val="-5"/>
                <w:sz w:val="18"/>
                <w:szCs w:val="18"/>
              </w:rPr>
              <w:t>233</w:t>
            </w:r>
          </w:p>
        </w:tc>
        <w:tc>
          <w:tcPr>
            <w:tcW w:w="924" w:type="dxa"/>
          </w:tcPr>
          <w:p w14:paraId="3B2DA0A2"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607840C4"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005977D9"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03576EBE"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4C401743"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51C93BF1"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5FEB7CAB" w14:textId="77777777">
        <w:trPr>
          <w:trHeight w:val="316"/>
        </w:trPr>
        <w:tc>
          <w:tcPr>
            <w:tcW w:w="847" w:type="dxa"/>
          </w:tcPr>
          <w:p w14:paraId="0F4E62C9"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46</w:t>
            </w:r>
          </w:p>
        </w:tc>
        <w:tc>
          <w:tcPr>
            <w:tcW w:w="2405" w:type="dxa"/>
          </w:tcPr>
          <w:p w14:paraId="4D306E11" w14:textId="77777777" w:rsidR="008715BE" w:rsidRPr="00EC75B7" w:rsidRDefault="00000000">
            <w:pPr>
              <w:pStyle w:val="TableParagraph"/>
              <w:spacing w:before="10"/>
              <w:ind w:left="13" w:right="7"/>
              <w:jc w:val="center"/>
              <w:rPr>
                <w:rFonts w:ascii="Verdana" w:hAnsi="Verdana"/>
                <w:i/>
                <w:sz w:val="18"/>
                <w:szCs w:val="18"/>
              </w:rPr>
            </w:pPr>
            <w:r w:rsidRPr="00EC75B7">
              <w:rPr>
                <w:rFonts w:ascii="Verdana" w:hAnsi="Verdana"/>
                <w:i/>
                <w:sz w:val="18"/>
                <w:szCs w:val="18"/>
              </w:rPr>
              <w:t xml:space="preserve">Oenanthe </w:t>
            </w:r>
            <w:r w:rsidRPr="00EC75B7">
              <w:rPr>
                <w:rFonts w:ascii="Verdana" w:hAnsi="Verdana"/>
                <w:i/>
                <w:spacing w:val="-2"/>
                <w:sz w:val="18"/>
                <w:szCs w:val="18"/>
              </w:rPr>
              <w:t>oenanthe</w:t>
            </w:r>
          </w:p>
        </w:tc>
        <w:tc>
          <w:tcPr>
            <w:tcW w:w="2268" w:type="dxa"/>
          </w:tcPr>
          <w:p w14:paraId="55FB7317" w14:textId="77777777" w:rsidR="008715BE" w:rsidRPr="00EC75B7" w:rsidRDefault="00000000">
            <w:pPr>
              <w:pStyle w:val="TableParagraph"/>
              <w:spacing w:before="70"/>
              <w:ind w:left="13" w:right="5"/>
              <w:jc w:val="center"/>
              <w:rPr>
                <w:rFonts w:ascii="Verdana" w:hAnsi="Verdana"/>
                <w:sz w:val="18"/>
                <w:szCs w:val="18"/>
              </w:rPr>
            </w:pPr>
            <w:r w:rsidRPr="00EC75B7">
              <w:rPr>
                <w:rFonts w:ascii="Verdana" w:hAnsi="Verdana"/>
                <w:spacing w:val="-5"/>
                <w:sz w:val="18"/>
                <w:szCs w:val="18"/>
              </w:rPr>
              <w:t>Stonechat</w:t>
            </w:r>
          </w:p>
        </w:tc>
        <w:tc>
          <w:tcPr>
            <w:tcW w:w="1207" w:type="dxa"/>
          </w:tcPr>
          <w:p w14:paraId="2A7B2F4B" w14:textId="77777777" w:rsidR="008715BE" w:rsidRPr="00EC75B7" w:rsidRDefault="00000000">
            <w:pPr>
              <w:pStyle w:val="TableParagraph"/>
              <w:spacing w:before="70"/>
              <w:ind w:left="14"/>
              <w:jc w:val="center"/>
              <w:rPr>
                <w:rFonts w:ascii="Verdana" w:hAnsi="Verdana"/>
                <w:sz w:val="18"/>
                <w:szCs w:val="18"/>
              </w:rPr>
            </w:pPr>
            <w:r w:rsidRPr="00EC75B7">
              <w:rPr>
                <w:rFonts w:ascii="Verdana" w:hAnsi="Verdana"/>
                <w:spacing w:val="-5"/>
                <w:sz w:val="18"/>
                <w:szCs w:val="18"/>
              </w:rPr>
              <w:t>15</w:t>
            </w:r>
          </w:p>
        </w:tc>
        <w:tc>
          <w:tcPr>
            <w:tcW w:w="924" w:type="dxa"/>
          </w:tcPr>
          <w:p w14:paraId="52D22656"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6315A621"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093279D" w14:textId="77777777" w:rsidR="008715BE" w:rsidRPr="00EC75B7" w:rsidRDefault="00000000">
            <w:pPr>
              <w:pStyle w:val="TableParagraph"/>
              <w:spacing w:before="70"/>
              <w:ind w:left="9"/>
              <w:jc w:val="center"/>
              <w:rPr>
                <w:rFonts w:ascii="Verdana" w:hAnsi="Verdana"/>
                <w:sz w:val="18"/>
                <w:szCs w:val="18"/>
              </w:rPr>
            </w:pPr>
            <w:r w:rsidRPr="00EC75B7">
              <w:rPr>
                <w:rFonts w:ascii="Verdana" w:hAnsi="Verdana"/>
                <w:sz w:val="18"/>
                <w:szCs w:val="18"/>
              </w:rPr>
              <w:t>-</w:t>
            </w:r>
          </w:p>
        </w:tc>
        <w:tc>
          <w:tcPr>
            <w:tcW w:w="1985" w:type="dxa"/>
          </w:tcPr>
          <w:p w14:paraId="386393E4"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5F2D7435"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6DD0020C"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54304129" w14:textId="77777777">
        <w:trPr>
          <w:trHeight w:val="313"/>
        </w:trPr>
        <w:tc>
          <w:tcPr>
            <w:tcW w:w="847" w:type="dxa"/>
          </w:tcPr>
          <w:p w14:paraId="681AA521"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47</w:t>
            </w:r>
          </w:p>
        </w:tc>
        <w:tc>
          <w:tcPr>
            <w:tcW w:w="2405" w:type="dxa"/>
          </w:tcPr>
          <w:p w14:paraId="613DCA3D"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pacing w:val="-2"/>
                <w:sz w:val="18"/>
                <w:szCs w:val="18"/>
              </w:rPr>
              <w:t xml:space="preserve">Great </w:t>
            </w:r>
            <w:r w:rsidRPr="00EC75B7">
              <w:rPr>
                <w:rFonts w:ascii="Verdana" w:hAnsi="Verdana"/>
                <w:i/>
                <w:sz w:val="18"/>
                <w:szCs w:val="18"/>
              </w:rPr>
              <w:t>tit</w:t>
            </w:r>
          </w:p>
        </w:tc>
        <w:tc>
          <w:tcPr>
            <w:tcW w:w="2268" w:type="dxa"/>
          </w:tcPr>
          <w:p w14:paraId="1A846B8A" w14:textId="77777777" w:rsidR="008715BE" w:rsidRPr="00EC75B7" w:rsidRDefault="00000000">
            <w:pPr>
              <w:pStyle w:val="TableParagraph"/>
              <w:spacing w:before="68"/>
              <w:ind w:left="13" w:right="4"/>
              <w:jc w:val="center"/>
              <w:rPr>
                <w:rFonts w:ascii="Verdana" w:hAnsi="Verdana"/>
                <w:sz w:val="18"/>
                <w:szCs w:val="18"/>
              </w:rPr>
            </w:pPr>
            <w:r w:rsidRPr="00EC75B7">
              <w:rPr>
                <w:rFonts w:ascii="Verdana" w:hAnsi="Verdana"/>
                <w:spacing w:val="-4"/>
                <w:sz w:val="18"/>
                <w:szCs w:val="18"/>
              </w:rPr>
              <w:t xml:space="preserve">Great </w:t>
            </w:r>
            <w:r w:rsidRPr="00EC75B7">
              <w:rPr>
                <w:rFonts w:ascii="Verdana" w:hAnsi="Verdana"/>
                <w:sz w:val="18"/>
                <w:szCs w:val="18"/>
              </w:rPr>
              <w:t>tit</w:t>
            </w:r>
          </w:p>
        </w:tc>
        <w:tc>
          <w:tcPr>
            <w:tcW w:w="1207" w:type="dxa"/>
          </w:tcPr>
          <w:p w14:paraId="651E5DC1"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3</w:t>
            </w:r>
          </w:p>
        </w:tc>
        <w:tc>
          <w:tcPr>
            <w:tcW w:w="924" w:type="dxa"/>
          </w:tcPr>
          <w:p w14:paraId="58FFA009"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61AB5AD3"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05C83D87"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6DED1498"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3B3C0008"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07DA13A4"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31479804" w14:textId="77777777">
        <w:trPr>
          <w:trHeight w:val="316"/>
        </w:trPr>
        <w:tc>
          <w:tcPr>
            <w:tcW w:w="847" w:type="dxa"/>
          </w:tcPr>
          <w:p w14:paraId="5A409FC7"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48</w:t>
            </w:r>
          </w:p>
        </w:tc>
        <w:tc>
          <w:tcPr>
            <w:tcW w:w="2405" w:type="dxa"/>
          </w:tcPr>
          <w:p w14:paraId="7C3E85FB" w14:textId="77777777" w:rsidR="008715BE" w:rsidRPr="00EC75B7" w:rsidRDefault="00000000">
            <w:pPr>
              <w:pStyle w:val="TableParagraph"/>
              <w:spacing w:before="8"/>
              <w:ind w:left="13" w:right="4"/>
              <w:jc w:val="center"/>
              <w:rPr>
                <w:rFonts w:ascii="Verdana" w:hAnsi="Verdana"/>
                <w:i/>
                <w:sz w:val="18"/>
                <w:szCs w:val="18"/>
              </w:rPr>
            </w:pPr>
            <w:r w:rsidRPr="00EC75B7">
              <w:rPr>
                <w:rFonts w:ascii="Verdana" w:hAnsi="Verdana"/>
                <w:i/>
                <w:sz w:val="18"/>
                <w:szCs w:val="18"/>
              </w:rPr>
              <w:t xml:space="preserve">Passer </w:t>
            </w:r>
            <w:r w:rsidRPr="00EC75B7">
              <w:rPr>
                <w:rFonts w:ascii="Verdana" w:hAnsi="Verdana"/>
                <w:i/>
                <w:spacing w:val="-2"/>
                <w:sz w:val="18"/>
                <w:szCs w:val="18"/>
              </w:rPr>
              <w:t>domesticus</w:t>
            </w:r>
          </w:p>
        </w:tc>
        <w:tc>
          <w:tcPr>
            <w:tcW w:w="2268" w:type="dxa"/>
          </w:tcPr>
          <w:p w14:paraId="05A6F595"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pacing w:val="-4"/>
                <w:sz w:val="18"/>
                <w:szCs w:val="18"/>
              </w:rPr>
              <w:t xml:space="preserve">House </w:t>
            </w:r>
            <w:r w:rsidRPr="00EC75B7">
              <w:rPr>
                <w:rFonts w:ascii="Verdana" w:hAnsi="Verdana"/>
                <w:sz w:val="18"/>
                <w:szCs w:val="18"/>
              </w:rPr>
              <w:t>sparrow</w:t>
            </w:r>
          </w:p>
        </w:tc>
        <w:tc>
          <w:tcPr>
            <w:tcW w:w="1207" w:type="dxa"/>
          </w:tcPr>
          <w:p w14:paraId="7128114B"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70</w:t>
            </w:r>
          </w:p>
        </w:tc>
        <w:tc>
          <w:tcPr>
            <w:tcW w:w="924" w:type="dxa"/>
          </w:tcPr>
          <w:p w14:paraId="292C64FB"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272AB90B"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2D0995E4"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63C81CD3"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0F06B20F"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0EE9900A"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44B1BCE6" w14:textId="77777777">
        <w:trPr>
          <w:trHeight w:val="388"/>
        </w:trPr>
        <w:tc>
          <w:tcPr>
            <w:tcW w:w="847" w:type="dxa"/>
          </w:tcPr>
          <w:p w14:paraId="229F96C4" w14:textId="77777777" w:rsidR="008715BE" w:rsidRPr="00EC75B7" w:rsidRDefault="00000000">
            <w:pPr>
              <w:pStyle w:val="TableParagraph"/>
              <w:spacing w:before="9"/>
              <w:ind w:left="12"/>
              <w:jc w:val="center"/>
              <w:rPr>
                <w:rFonts w:ascii="Verdana" w:hAnsi="Verdana"/>
                <w:sz w:val="18"/>
                <w:szCs w:val="18"/>
              </w:rPr>
            </w:pPr>
            <w:r w:rsidRPr="00EC75B7">
              <w:rPr>
                <w:rFonts w:ascii="Verdana" w:hAnsi="Verdana"/>
                <w:spacing w:val="-5"/>
                <w:sz w:val="18"/>
                <w:szCs w:val="18"/>
              </w:rPr>
              <w:lastRenderedPageBreak/>
              <w:t>49</w:t>
            </w:r>
          </w:p>
        </w:tc>
        <w:tc>
          <w:tcPr>
            <w:tcW w:w="2405" w:type="dxa"/>
          </w:tcPr>
          <w:p w14:paraId="5F67915A" w14:textId="77777777" w:rsidR="008715BE" w:rsidRPr="00EC75B7" w:rsidRDefault="00000000">
            <w:pPr>
              <w:pStyle w:val="TableParagraph"/>
              <w:spacing w:before="9"/>
              <w:ind w:left="13" w:right="2"/>
              <w:jc w:val="center"/>
              <w:rPr>
                <w:rFonts w:ascii="Verdana" w:hAnsi="Verdana"/>
                <w:i/>
                <w:sz w:val="18"/>
                <w:szCs w:val="18"/>
              </w:rPr>
            </w:pPr>
            <w:r w:rsidRPr="00EC75B7">
              <w:rPr>
                <w:rFonts w:ascii="Verdana" w:hAnsi="Verdana"/>
                <w:i/>
                <w:sz w:val="18"/>
                <w:szCs w:val="18"/>
              </w:rPr>
              <w:t xml:space="preserve">Perdix </w:t>
            </w:r>
            <w:r w:rsidRPr="00EC75B7">
              <w:rPr>
                <w:rFonts w:ascii="Verdana" w:hAnsi="Verdana"/>
                <w:i/>
                <w:spacing w:val="-2"/>
                <w:sz w:val="18"/>
                <w:szCs w:val="18"/>
              </w:rPr>
              <w:t>perdix</w:t>
            </w:r>
          </w:p>
        </w:tc>
        <w:tc>
          <w:tcPr>
            <w:tcW w:w="2268" w:type="dxa"/>
          </w:tcPr>
          <w:p w14:paraId="234013B9" w14:textId="77777777" w:rsidR="008715BE" w:rsidRPr="00EC75B7" w:rsidRDefault="00000000">
            <w:pPr>
              <w:pStyle w:val="TableParagraph"/>
              <w:spacing w:before="105"/>
              <w:ind w:left="13" w:right="4"/>
              <w:jc w:val="center"/>
              <w:rPr>
                <w:rFonts w:ascii="Verdana" w:hAnsi="Verdana"/>
                <w:sz w:val="18"/>
                <w:szCs w:val="18"/>
              </w:rPr>
            </w:pPr>
            <w:r w:rsidRPr="00EC75B7">
              <w:rPr>
                <w:rFonts w:ascii="Verdana" w:hAnsi="Verdana"/>
                <w:spacing w:val="-2"/>
                <w:sz w:val="18"/>
                <w:szCs w:val="18"/>
              </w:rPr>
              <w:t>Partridge</w:t>
            </w:r>
          </w:p>
        </w:tc>
        <w:tc>
          <w:tcPr>
            <w:tcW w:w="1207" w:type="dxa"/>
          </w:tcPr>
          <w:p w14:paraId="6C415481" w14:textId="77777777" w:rsidR="008715BE" w:rsidRPr="00EC75B7" w:rsidRDefault="00000000">
            <w:pPr>
              <w:pStyle w:val="TableParagraph"/>
              <w:spacing w:before="105"/>
              <w:ind w:left="14"/>
              <w:jc w:val="center"/>
              <w:rPr>
                <w:rFonts w:ascii="Verdana" w:hAnsi="Verdana"/>
                <w:sz w:val="18"/>
                <w:szCs w:val="18"/>
              </w:rPr>
            </w:pPr>
            <w:r w:rsidRPr="00EC75B7">
              <w:rPr>
                <w:rFonts w:ascii="Verdana" w:hAnsi="Verdana"/>
                <w:spacing w:val="-5"/>
                <w:sz w:val="18"/>
                <w:szCs w:val="18"/>
              </w:rPr>
              <w:t>30</w:t>
            </w:r>
          </w:p>
        </w:tc>
        <w:tc>
          <w:tcPr>
            <w:tcW w:w="924" w:type="dxa"/>
          </w:tcPr>
          <w:p w14:paraId="2153D0D3" w14:textId="77777777" w:rsidR="008715BE" w:rsidRPr="00EC75B7" w:rsidRDefault="00000000">
            <w:pPr>
              <w:pStyle w:val="TableParagraph"/>
              <w:spacing w:before="105"/>
              <w:ind w:left="8"/>
              <w:jc w:val="center"/>
              <w:rPr>
                <w:rFonts w:ascii="Verdana" w:hAnsi="Verdana"/>
                <w:sz w:val="18"/>
                <w:szCs w:val="18"/>
              </w:rPr>
            </w:pPr>
            <w:r w:rsidRPr="00EC75B7">
              <w:rPr>
                <w:rFonts w:ascii="Verdana" w:hAnsi="Verdana"/>
                <w:spacing w:val="-5"/>
                <w:sz w:val="18"/>
                <w:szCs w:val="18"/>
              </w:rPr>
              <w:t>LC</w:t>
            </w:r>
          </w:p>
        </w:tc>
        <w:tc>
          <w:tcPr>
            <w:tcW w:w="1560" w:type="dxa"/>
          </w:tcPr>
          <w:p w14:paraId="277F0126" w14:textId="77777777" w:rsidR="008715BE" w:rsidRPr="00EC75B7" w:rsidRDefault="00000000">
            <w:pPr>
              <w:pStyle w:val="TableParagraph"/>
              <w:spacing w:line="194" w:lineRule="exact"/>
              <w:ind w:left="320" w:right="295" w:firstLine="4"/>
              <w:rPr>
                <w:rFonts w:ascii="Verdana" w:hAnsi="Verdana"/>
                <w:sz w:val="18"/>
                <w:szCs w:val="18"/>
              </w:rPr>
            </w:pPr>
            <w:r w:rsidRPr="00EC75B7">
              <w:rPr>
                <w:rFonts w:ascii="Verdana" w:hAnsi="Verdana"/>
                <w:spacing w:val="-2"/>
                <w:sz w:val="18"/>
                <w:szCs w:val="18"/>
              </w:rPr>
              <w:t xml:space="preserve">Annex II A, </w:t>
            </w:r>
            <w:r w:rsidRPr="00EC75B7">
              <w:rPr>
                <w:rFonts w:ascii="Verdana" w:hAnsi="Verdana"/>
                <w:sz w:val="18"/>
                <w:szCs w:val="18"/>
              </w:rPr>
              <w:t xml:space="preserve">Annex III </w:t>
            </w:r>
            <w:r w:rsidRPr="00EC75B7">
              <w:rPr>
                <w:rFonts w:ascii="Verdana" w:hAnsi="Verdana"/>
                <w:spacing w:val="-17"/>
                <w:sz w:val="18"/>
                <w:szCs w:val="18"/>
              </w:rPr>
              <w:t>A</w:t>
            </w:r>
          </w:p>
        </w:tc>
        <w:tc>
          <w:tcPr>
            <w:tcW w:w="1416" w:type="dxa"/>
          </w:tcPr>
          <w:p w14:paraId="4E5BE81E" w14:textId="77777777" w:rsidR="008715BE" w:rsidRPr="00EC75B7" w:rsidRDefault="00000000">
            <w:pPr>
              <w:pStyle w:val="TableParagraph"/>
              <w:spacing w:before="105"/>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36E4B485" w14:textId="77777777" w:rsidR="008715BE" w:rsidRPr="00EC75B7" w:rsidRDefault="00000000">
            <w:pPr>
              <w:pStyle w:val="TableParagraph"/>
              <w:spacing w:before="105"/>
              <w:ind w:left="11"/>
              <w:jc w:val="center"/>
              <w:rPr>
                <w:rFonts w:ascii="Verdana" w:hAnsi="Verdana"/>
                <w:sz w:val="18"/>
                <w:szCs w:val="18"/>
              </w:rPr>
            </w:pPr>
            <w:r w:rsidRPr="00EC75B7">
              <w:rPr>
                <w:rFonts w:ascii="Verdana" w:hAnsi="Verdana"/>
                <w:sz w:val="18"/>
                <w:szCs w:val="18"/>
              </w:rPr>
              <w:t>-</w:t>
            </w:r>
          </w:p>
        </w:tc>
        <w:tc>
          <w:tcPr>
            <w:tcW w:w="1419" w:type="dxa"/>
          </w:tcPr>
          <w:p w14:paraId="7EEE2230" w14:textId="77777777" w:rsidR="008715BE" w:rsidRPr="00EC75B7" w:rsidRDefault="00000000">
            <w:pPr>
              <w:pStyle w:val="TableParagraph"/>
              <w:spacing w:before="105"/>
              <w:ind w:left="11"/>
              <w:jc w:val="center"/>
              <w:rPr>
                <w:rFonts w:ascii="Verdana" w:hAnsi="Verdana"/>
                <w:sz w:val="18"/>
                <w:szCs w:val="18"/>
              </w:rPr>
            </w:pPr>
            <w:r w:rsidRPr="00EC75B7">
              <w:rPr>
                <w:rFonts w:ascii="Verdana" w:hAnsi="Verdana"/>
                <w:sz w:val="18"/>
                <w:szCs w:val="18"/>
              </w:rPr>
              <w:t>-</w:t>
            </w:r>
          </w:p>
        </w:tc>
        <w:tc>
          <w:tcPr>
            <w:tcW w:w="1282" w:type="dxa"/>
          </w:tcPr>
          <w:p w14:paraId="10A27D68" w14:textId="77777777" w:rsidR="008715BE" w:rsidRPr="00EC75B7" w:rsidRDefault="00000000">
            <w:pPr>
              <w:pStyle w:val="TableParagraph"/>
              <w:spacing w:before="105"/>
              <w:ind w:left="8"/>
              <w:jc w:val="center"/>
              <w:rPr>
                <w:rFonts w:ascii="Verdana" w:hAnsi="Verdana"/>
                <w:sz w:val="18"/>
                <w:szCs w:val="18"/>
              </w:rPr>
            </w:pPr>
            <w:r w:rsidRPr="00EC75B7">
              <w:rPr>
                <w:rFonts w:ascii="Verdana" w:hAnsi="Verdana"/>
                <w:sz w:val="18"/>
                <w:szCs w:val="18"/>
              </w:rPr>
              <w:t>-</w:t>
            </w:r>
          </w:p>
        </w:tc>
      </w:tr>
      <w:tr w:rsidR="008715BE" w:rsidRPr="00EC75B7" w14:paraId="2A6EF804" w14:textId="77777777">
        <w:trPr>
          <w:trHeight w:val="314"/>
        </w:trPr>
        <w:tc>
          <w:tcPr>
            <w:tcW w:w="847" w:type="dxa"/>
          </w:tcPr>
          <w:p w14:paraId="71A88D48"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50</w:t>
            </w:r>
          </w:p>
        </w:tc>
        <w:tc>
          <w:tcPr>
            <w:tcW w:w="2405" w:type="dxa"/>
          </w:tcPr>
          <w:p w14:paraId="6A40F92B" w14:textId="77777777" w:rsidR="008715BE" w:rsidRPr="00EC75B7" w:rsidRDefault="00000000">
            <w:pPr>
              <w:pStyle w:val="TableParagraph"/>
              <w:spacing w:before="8"/>
              <w:ind w:left="13" w:right="1"/>
              <w:jc w:val="center"/>
              <w:rPr>
                <w:rFonts w:ascii="Verdana" w:hAnsi="Verdana"/>
                <w:i/>
                <w:sz w:val="18"/>
                <w:szCs w:val="18"/>
              </w:rPr>
            </w:pPr>
            <w:r w:rsidRPr="00EC75B7">
              <w:rPr>
                <w:rFonts w:ascii="Verdana" w:hAnsi="Verdana"/>
                <w:i/>
                <w:sz w:val="18"/>
                <w:szCs w:val="18"/>
              </w:rPr>
              <w:t xml:space="preserve">Pernis </w:t>
            </w:r>
            <w:r w:rsidRPr="00EC75B7">
              <w:rPr>
                <w:rFonts w:ascii="Verdana" w:hAnsi="Verdana"/>
                <w:i/>
                <w:spacing w:val="-2"/>
                <w:sz w:val="18"/>
                <w:szCs w:val="18"/>
              </w:rPr>
              <w:t>apivorus</w:t>
            </w:r>
          </w:p>
        </w:tc>
        <w:tc>
          <w:tcPr>
            <w:tcW w:w="2268" w:type="dxa"/>
          </w:tcPr>
          <w:p w14:paraId="59A3C3C1" w14:textId="77777777" w:rsidR="008715BE" w:rsidRPr="00EC75B7" w:rsidRDefault="00000000">
            <w:pPr>
              <w:pStyle w:val="TableParagraph"/>
              <w:spacing w:before="68"/>
              <w:ind w:left="13" w:right="4"/>
              <w:jc w:val="center"/>
              <w:rPr>
                <w:rFonts w:ascii="Verdana" w:hAnsi="Verdana"/>
                <w:sz w:val="18"/>
                <w:szCs w:val="18"/>
              </w:rPr>
            </w:pPr>
            <w:r w:rsidRPr="00EC75B7">
              <w:rPr>
                <w:rFonts w:ascii="Verdana" w:hAnsi="Verdana"/>
                <w:spacing w:val="-2"/>
                <w:sz w:val="18"/>
                <w:szCs w:val="18"/>
              </w:rPr>
              <w:t>Viespar</w:t>
            </w:r>
          </w:p>
        </w:tc>
        <w:tc>
          <w:tcPr>
            <w:tcW w:w="1207" w:type="dxa"/>
          </w:tcPr>
          <w:p w14:paraId="7A99BAD8"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2</w:t>
            </w:r>
          </w:p>
        </w:tc>
        <w:tc>
          <w:tcPr>
            <w:tcW w:w="924" w:type="dxa"/>
          </w:tcPr>
          <w:p w14:paraId="76A1FAB5"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3F1BF6E7"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10"/>
                <w:sz w:val="18"/>
                <w:szCs w:val="18"/>
              </w:rPr>
              <w:t>I</w:t>
            </w:r>
          </w:p>
        </w:tc>
        <w:tc>
          <w:tcPr>
            <w:tcW w:w="1416" w:type="dxa"/>
          </w:tcPr>
          <w:p w14:paraId="2EDBCD37"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10"/>
                <w:sz w:val="18"/>
                <w:szCs w:val="18"/>
              </w:rPr>
              <w:t xml:space="preserve"> 3</w:t>
            </w:r>
          </w:p>
        </w:tc>
        <w:tc>
          <w:tcPr>
            <w:tcW w:w="1985" w:type="dxa"/>
          </w:tcPr>
          <w:p w14:paraId="415C93E4" w14:textId="77777777" w:rsidR="008715BE" w:rsidRPr="00EC75B7" w:rsidRDefault="00000000">
            <w:pPr>
              <w:pStyle w:val="TableParagraph"/>
              <w:spacing w:before="68"/>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17A274A9"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4E624146"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5C8B0BC4" w14:textId="77777777">
        <w:trPr>
          <w:trHeight w:val="388"/>
        </w:trPr>
        <w:tc>
          <w:tcPr>
            <w:tcW w:w="847" w:type="dxa"/>
          </w:tcPr>
          <w:p w14:paraId="7E2D8645"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51</w:t>
            </w:r>
          </w:p>
        </w:tc>
        <w:tc>
          <w:tcPr>
            <w:tcW w:w="2405" w:type="dxa"/>
          </w:tcPr>
          <w:p w14:paraId="3384F695"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pacing w:val="-2"/>
                <w:sz w:val="18"/>
                <w:szCs w:val="18"/>
              </w:rPr>
              <w:t>Phasianus colchicus</w:t>
            </w:r>
          </w:p>
        </w:tc>
        <w:tc>
          <w:tcPr>
            <w:tcW w:w="2268" w:type="dxa"/>
          </w:tcPr>
          <w:p w14:paraId="0EF4932A" w14:textId="77777777" w:rsidR="008715BE" w:rsidRPr="00EC75B7" w:rsidRDefault="00000000">
            <w:pPr>
              <w:pStyle w:val="TableParagraph"/>
              <w:spacing w:before="106"/>
              <w:ind w:left="13" w:right="5"/>
              <w:jc w:val="center"/>
              <w:rPr>
                <w:rFonts w:ascii="Verdana" w:hAnsi="Verdana"/>
                <w:sz w:val="18"/>
                <w:szCs w:val="18"/>
              </w:rPr>
            </w:pPr>
            <w:r w:rsidRPr="00EC75B7">
              <w:rPr>
                <w:rFonts w:ascii="Verdana" w:hAnsi="Verdana"/>
                <w:spacing w:val="-2"/>
                <w:sz w:val="18"/>
                <w:szCs w:val="18"/>
              </w:rPr>
              <w:t>Pheasant</w:t>
            </w:r>
          </w:p>
        </w:tc>
        <w:tc>
          <w:tcPr>
            <w:tcW w:w="1207" w:type="dxa"/>
          </w:tcPr>
          <w:p w14:paraId="57BE6E59" w14:textId="77777777" w:rsidR="008715BE" w:rsidRPr="00EC75B7" w:rsidRDefault="00000000">
            <w:pPr>
              <w:pStyle w:val="TableParagraph"/>
              <w:spacing w:before="106"/>
              <w:ind w:left="14"/>
              <w:jc w:val="center"/>
              <w:rPr>
                <w:rFonts w:ascii="Verdana" w:hAnsi="Verdana"/>
                <w:sz w:val="18"/>
                <w:szCs w:val="18"/>
              </w:rPr>
            </w:pPr>
            <w:r w:rsidRPr="00EC75B7">
              <w:rPr>
                <w:rFonts w:ascii="Verdana" w:hAnsi="Verdana"/>
                <w:spacing w:val="-5"/>
                <w:sz w:val="18"/>
                <w:szCs w:val="18"/>
              </w:rPr>
              <w:t>12</w:t>
            </w:r>
          </w:p>
        </w:tc>
        <w:tc>
          <w:tcPr>
            <w:tcW w:w="924" w:type="dxa"/>
          </w:tcPr>
          <w:p w14:paraId="3F9C4019"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pacing w:val="-5"/>
                <w:sz w:val="18"/>
                <w:szCs w:val="18"/>
              </w:rPr>
              <w:t>LC</w:t>
            </w:r>
          </w:p>
        </w:tc>
        <w:tc>
          <w:tcPr>
            <w:tcW w:w="1560" w:type="dxa"/>
          </w:tcPr>
          <w:p w14:paraId="6853CAE8" w14:textId="77777777" w:rsidR="008715BE" w:rsidRPr="00EC75B7" w:rsidRDefault="00000000">
            <w:pPr>
              <w:pStyle w:val="TableParagraph"/>
              <w:spacing w:line="194" w:lineRule="exact"/>
              <w:ind w:left="320" w:right="295" w:firstLine="4"/>
              <w:rPr>
                <w:rFonts w:ascii="Verdana" w:hAnsi="Verdana"/>
                <w:sz w:val="18"/>
                <w:szCs w:val="18"/>
              </w:rPr>
            </w:pPr>
            <w:r w:rsidRPr="00EC75B7">
              <w:rPr>
                <w:rFonts w:ascii="Verdana" w:hAnsi="Verdana"/>
                <w:spacing w:val="-2"/>
                <w:sz w:val="18"/>
                <w:szCs w:val="18"/>
              </w:rPr>
              <w:t xml:space="preserve">Annex II A, </w:t>
            </w:r>
            <w:r w:rsidRPr="00EC75B7">
              <w:rPr>
                <w:rFonts w:ascii="Verdana" w:hAnsi="Verdana"/>
                <w:sz w:val="18"/>
                <w:szCs w:val="18"/>
              </w:rPr>
              <w:t xml:space="preserve">Annex III </w:t>
            </w:r>
            <w:r w:rsidRPr="00EC75B7">
              <w:rPr>
                <w:rFonts w:ascii="Verdana" w:hAnsi="Verdana"/>
                <w:spacing w:val="-17"/>
                <w:sz w:val="18"/>
                <w:szCs w:val="18"/>
              </w:rPr>
              <w:t>A</w:t>
            </w:r>
          </w:p>
        </w:tc>
        <w:tc>
          <w:tcPr>
            <w:tcW w:w="1416" w:type="dxa"/>
          </w:tcPr>
          <w:p w14:paraId="719C1F96"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0D74C09F"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w:t>
            </w:r>
          </w:p>
        </w:tc>
        <w:tc>
          <w:tcPr>
            <w:tcW w:w="1419" w:type="dxa"/>
          </w:tcPr>
          <w:p w14:paraId="530E4271" w14:textId="77777777" w:rsidR="008715BE" w:rsidRPr="00EC75B7" w:rsidRDefault="00000000">
            <w:pPr>
              <w:pStyle w:val="TableParagraph"/>
              <w:spacing w:before="106"/>
              <w:ind w:left="11"/>
              <w:jc w:val="center"/>
              <w:rPr>
                <w:rFonts w:ascii="Verdana" w:hAnsi="Verdana"/>
                <w:sz w:val="18"/>
                <w:szCs w:val="18"/>
              </w:rPr>
            </w:pPr>
            <w:r w:rsidRPr="00EC75B7">
              <w:rPr>
                <w:rFonts w:ascii="Verdana" w:hAnsi="Verdana"/>
                <w:sz w:val="18"/>
                <w:szCs w:val="18"/>
              </w:rPr>
              <w:t>-</w:t>
            </w:r>
          </w:p>
        </w:tc>
        <w:tc>
          <w:tcPr>
            <w:tcW w:w="1282" w:type="dxa"/>
          </w:tcPr>
          <w:p w14:paraId="6517C91B" w14:textId="77777777" w:rsidR="008715BE" w:rsidRPr="00EC75B7" w:rsidRDefault="00000000">
            <w:pPr>
              <w:pStyle w:val="TableParagraph"/>
              <w:spacing w:before="106"/>
              <w:ind w:left="8"/>
              <w:jc w:val="center"/>
              <w:rPr>
                <w:rFonts w:ascii="Verdana" w:hAnsi="Verdana"/>
                <w:sz w:val="18"/>
                <w:szCs w:val="18"/>
              </w:rPr>
            </w:pPr>
            <w:r w:rsidRPr="00EC75B7">
              <w:rPr>
                <w:rFonts w:ascii="Verdana" w:hAnsi="Verdana"/>
                <w:sz w:val="18"/>
                <w:szCs w:val="18"/>
              </w:rPr>
              <w:t>-</w:t>
            </w:r>
          </w:p>
        </w:tc>
      </w:tr>
      <w:tr w:rsidR="008715BE" w:rsidRPr="00EC75B7" w14:paraId="22479594" w14:textId="77777777">
        <w:trPr>
          <w:trHeight w:val="316"/>
        </w:trPr>
        <w:tc>
          <w:tcPr>
            <w:tcW w:w="847" w:type="dxa"/>
          </w:tcPr>
          <w:p w14:paraId="5D4F3AD0"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52</w:t>
            </w:r>
          </w:p>
        </w:tc>
        <w:tc>
          <w:tcPr>
            <w:tcW w:w="2405" w:type="dxa"/>
          </w:tcPr>
          <w:p w14:paraId="43902AE2" w14:textId="77777777" w:rsidR="008715BE" w:rsidRPr="00EC75B7" w:rsidRDefault="00000000">
            <w:pPr>
              <w:pStyle w:val="TableParagraph"/>
              <w:spacing w:before="10"/>
              <w:ind w:left="13" w:right="2"/>
              <w:jc w:val="center"/>
              <w:rPr>
                <w:rFonts w:ascii="Verdana" w:hAnsi="Verdana"/>
                <w:i/>
                <w:sz w:val="18"/>
                <w:szCs w:val="18"/>
              </w:rPr>
            </w:pPr>
            <w:r w:rsidRPr="00EC75B7">
              <w:rPr>
                <w:rFonts w:ascii="Verdana" w:hAnsi="Verdana"/>
                <w:i/>
                <w:spacing w:val="-2"/>
                <w:sz w:val="18"/>
                <w:szCs w:val="18"/>
              </w:rPr>
              <w:t>Phoenicurus phoenicurus</w:t>
            </w:r>
          </w:p>
        </w:tc>
        <w:tc>
          <w:tcPr>
            <w:tcW w:w="2268" w:type="dxa"/>
          </w:tcPr>
          <w:p w14:paraId="0CC9FA78" w14:textId="77777777" w:rsidR="008715BE" w:rsidRPr="00EC75B7" w:rsidRDefault="00000000">
            <w:pPr>
              <w:pStyle w:val="TableParagraph"/>
              <w:spacing w:before="70"/>
              <w:ind w:left="13" w:right="4"/>
              <w:jc w:val="center"/>
              <w:rPr>
                <w:rFonts w:ascii="Verdana" w:hAnsi="Verdana"/>
                <w:sz w:val="18"/>
                <w:szCs w:val="18"/>
              </w:rPr>
            </w:pPr>
            <w:r w:rsidRPr="00EC75B7">
              <w:rPr>
                <w:rFonts w:ascii="Verdana" w:hAnsi="Verdana"/>
                <w:spacing w:val="-2"/>
                <w:sz w:val="18"/>
                <w:szCs w:val="18"/>
              </w:rPr>
              <w:t xml:space="preserve">Forest </w:t>
            </w:r>
            <w:r w:rsidRPr="00EC75B7">
              <w:rPr>
                <w:rFonts w:ascii="Verdana" w:hAnsi="Verdana"/>
                <w:sz w:val="18"/>
                <w:szCs w:val="18"/>
              </w:rPr>
              <w:t>redstart</w:t>
            </w:r>
          </w:p>
        </w:tc>
        <w:tc>
          <w:tcPr>
            <w:tcW w:w="1207" w:type="dxa"/>
          </w:tcPr>
          <w:p w14:paraId="3B9A8351" w14:textId="77777777" w:rsidR="008715BE" w:rsidRPr="00EC75B7" w:rsidRDefault="00000000">
            <w:pPr>
              <w:pStyle w:val="TableParagraph"/>
              <w:spacing w:before="70"/>
              <w:ind w:left="14" w:right="4"/>
              <w:jc w:val="center"/>
              <w:rPr>
                <w:rFonts w:ascii="Verdana" w:hAnsi="Verdana"/>
                <w:sz w:val="18"/>
                <w:szCs w:val="18"/>
              </w:rPr>
            </w:pPr>
            <w:r w:rsidRPr="00EC75B7">
              <w:rPr>
                <w:rFonts w:ascii="Verdana" w:hAnsi="Verdana"/>
                <w:spacing w:val="-10"/>
                <w:sz w:val="18"/>
                <w:szCs w:val="18"/>
              </w:rPr>
              <w:t>4</w:t>
            </w:r>
          </w:p>
        </w:tc>
        <w:tc>
          <w:tcPr>
            <w:tcW w:w="924" w:type="dxa"/>
          </w:tcPr>
          <w:p w14:paraId="31AC9D55"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461C96BA"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1CF3709" w14:textId="77777777" w:rsidR="008715BE" w:rsidRPr="00EC75B7" w:rsidRDefault="00000000">
            <w:pPr>
              <w:pStyle w:val="TableParagraph"/>
              <w:spacing w:before="70"/>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157F2977"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4A6681DD"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5990C7A3"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bl>
    <w:p w14:paraId="2F420EAE" w14:textId="77777777" w:rsidR="008715BE" w:rsidRPr="00EC75B7" w:rsidRDefault="008715BE">
      <w:pPr>
        <w:pStyle w:val="TableParagraph"/>
        <w:jc w:val="center"/>
        <w:rPr>
          <w:rFonts w:ascii="Verdana" w:hAnsi="Verdana"/>
          <w:sz w:val="18"/>
          <w:szCs w:val="18"/>
        </w:rPr>
        <w:sectPr w:rsidR="008715BE" w:rsidRPr="00EC75B7">
          <w:pgSz w:w="16840" w:h="11910" w:orient="landscape"/>
          <w:pgMar w:top="1260" w:right="992" w:bottom="1020" w:left="283" w:header="766" w:footer="824" w:gutter="0"/>
          <w:cols w:space="708"/>
        </w:sectPr>
      </w:pPr>
    </w:p>
    <w:p w14:paraId="143A00BB" w14:textId="77777777" w:rsidR="008715BE" w:rsidRPr="00EC75B7" w:rsidRDefault="008715BE">
      <w:pPr>
        <w:pStyle w:val="BodyText"/>
        <w:spacing w:before="6"/>
        <w:rPr>
          <w:rFonts w:ascii="Verdana" w:hAnsi="Verdana"/>
          <w:b/>
        </w:rPr>
      </w:pP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8715BE" w:rsidRPr="00EC75B7" w14:paraId="092293E7" w14:textId="77777777">
        <w:trPr>
          <w:trHeight w:val="426"/>
        </w:trPr>
        <w:tc>
          <w:tcPr>
            <w:tcW w:w="847" w:type="dxa"/>
            <w:shd w:val="clear" w:color="auto" w:fill="00A1E8"/>
          </w:tcPr>
          <w:p w14:paraId="103ABF68" w14:textId="77777777" w:rsidR="008715BE" w:rsidRPr="00EC75B7" w:rsidRDefault="00000000">
            <w:pPr>
              <w:pStyle w:val="TableParagraph"/>
              <w:spacing w:before="19" w:line="194" w:lineRule="exact"/>
              <w:ind w:left="271" w:right="23" w:firstLine="14"/>
              <w:rPr>
                <w:rFonts w:ascii="Verdana" w:hAnsi="Verdana"/>
                <w:b/>
                <w:sz w:val="18"/>
                <w:szCs w:val="18"/>
              </w:rPr>
            </w:pPr>
            <w:r w:rsidRPr="00EC75B7">
              <w:rPr>
                <w:rFonts w:ascii="Verdana" w:hAnsi="Verdana"/>
                <w:b/>
                <w:color w:val="FFFFFF"/>
                <w:spacing w:val="-4"/>
                <w:sz w:val="18"/>
                <w:szCs w:val="18"/>
              </w:rPr>
              <w:t>No.</w:t>
            </w:r>
          </w:p>
        </w:tc>
        <w:tc>
          <w:tcPr>
            <w:tcW w:w="2405" w:type="dxa"/>
            <w:shd w:val="clear" w:color="auto" w:fill="00A1E8"/>
          </w:tcPr>
          <w:p w14:paraId="38CDB879" w14:textId="77777777" w:rsidR="008715BE" w:rsidRPr="00EC75B7" w:rsidRDefault="00000000">
            <w:pPr>
              <w:pStyle w:val="TableParagraph"/>
              <w:spacing w:before="123"/>
              <w:ind w:left="13" w:right="4"/>
              <w:jc w:val="center"/>
              <w:rPr>
                <w:rFonts w:ascii="Verdana" w:hAnsi="Verdana"/>
                <w:b/>
                <w:sz w:val="18"/>
                <w:szCs w:val="18"/>
              </w:rPr>
            </w:pPr>
            <w:r w:rsidRPr="00EC75B7">
              <w:rPr>
                <w:rFonts w:ascii="Verdana" w:hAnsi="Verdana"/>
                <w:b/>
                <w:color w:val="FFFFFF"/>
                <w:spacing w:val="-2"/>
                <w:sz w:val="18"/>
                <w:szCs w:val="18"/>
              </w:rPr>
              <w:t>Species</w:t>
            </w:r>
          </w:p>
        </w:tc>
        <w:tc>
          <w:tcPr>
            <w:tcW w:w="2268" w:type="dxa"/>
            <w:shd w:val="clear" w:color="auto" w:fill="00A1E8"/>
          </w:tcPr>
          <w:p w14:paraId="472ABC91" w14:textId="77777777" w:rsidR="008715BE" w:rsidRPr="00EC75B7" w:rsidRDefault="00000000">
            <w:pPr>
              <w:pStyle w:val="TableParagraph"/>
              <w:spacing w:before="123"/>
              <w:ind w:left="13" w:right="3"/>
              <w:jc w:val="center"/>
              <w:rPr>
                <w:rFonts w:ascii="Verdana" w:hAnsi="Verdana"/>
                <w:b/>
                <w:sz w:val="18"/>
                <w:szCs w:val="18"/>
              </w:rPr>
            </w:pPr>
            <w:r w:rsidRPr="00EC75B7">
              <w:rPr>
                <w:rFonts w:ascii="Verdana" w:hAnsi="Verdana"/>
                <w:b/>
                <w:color w:val="FFFFFF"/>
                <w:sz w:val="18"/>
                <w:szCs w:val="18"/>
              </w:rPr>
              <w:t xml:space="preserve">Species </w:t>
            </w:r>
            <w:r w:rsidRPr="00EC75B7">
              <w:rPr>
                <w:rFonts w:ascii="Verdana" w:hAnsi="Verdana"/>
                <w:b/>
                <w:color w:val="FFFFFF"/>
                <w:spacing w:val="-2"/>
                <w:sz w:val="18"/>
                <w:szCs w:val="18"/>
              </w:rPr>
              <w:t>(Romanian)</w:t>
            </w:r>
          </w:p>
        </w:tc>
        <w:tc>
          <w:tcPr>
            <w:tcW w:w="1207" w:type="dxa"/>
            <w:shd w:val="clear" w:color="auto" w:fill="00A1E8"/>
          </w:tcPr>
          <w:p w14:paraId="4D90F2DF" w14:textId="77777777" w:rsidR="008715BE" w:rsidRPr="00EC75B7" w:rsidRDefault="00000000">
            <w:pPr>
              <w:pStyle w:val="TableParagraph"/>
              <w:spacing w:before="27" w:line="195" w:lineRule="exact"/>
              <w:ind w:left="14" w:right="5"/>
              <w:jc w:val="center"/>
              <w:rPr>
                <w:rFonts w:ascii="Verdana" w:hAnsi="Verdana"/>
                <w:b/>
                <w:sz w:val="18"/>
                <w:szCs w:val="18"/>
              </w:rPr>
            </w:pPr>
            <w:r w:rsidRPr="00EC75B7">
              <w:rPr>
                <w:rFonts w:ascii="Verdana" w:hAnsi="Verdana"/>
                <w:b/>
                <w:color w:val="FFFFFF"/>
                <w:spacing w:val="-4"/>
                <w:sz w:val="18"/>
                <w:szCs w:val="18"/>
              </w:rPr>
              <w:t xml:space="preserve">Index </w:t>
            </w:r>
            <w:r w:rsidRPr="00EC75B7">
              <w:rPr>
                <w:rFonts w:ascii="Verdana" w:hAnsi="Verdana"/>
                <w:b/>
                <w:color w:val="FFFFFF"/>
                <w:sz w:val="18"/>
                <w:szCs w:val="18"/>
              </w:rPr>
              <w:t>no.</w:t>
            </w:r>
          </w:p>
          <w:p w14:paraId="4CC239F1" w14:textId="77777777" w:rsidR="008715BE" w:rsidRPr="00EC75B7" w:rsidRDefault="00000000">
            <w:pPr>
              <w:pStyle w:val="TableParagraph"/>
              <w:spacing w:line="184" w:lineRule="exact"/>
              <w:ind w:left="14" w:right="1"/>
              <w:jc w:val="center"/>
              <w:rPr>
                <w:rFonts w:ascii="Verdana" w:hAnsi="Verdana"/>
                <w:b/>
                <w:sz w:val="18"/>
                <w:szCs w:val="18"/>
              </w:rPr>
            </w:pPr>
            <w:r w:rsidRPr="00EC75B7">
              <w:rPr>
                <w:rFonts w:ascii="Verdana" w:hAnsi="Verdana"/>
                <w:b/>
                <w:color w:val="FFFFFF"/>
                <w:spacing w:val="-2"/>
                <w:sz w:val="18"/>
                <w:szCs w:val="18"/>
              </w:rPr>
              <w:t>reported</w:t>
            </w:r>
          </w:p>
        </w:tc>
        <w:tc>
          <w:tcPr>
            <w:tcW w:w="924" w:type="dxa"/>
            <w:shd w:val="clear" w:color="auto" w:fill="00A1E8"/>
          </w:tcPr>
          <w:p w14:paraId="52359FBA" w14:textId="77777777" w:rsidR="008715BE" w:rsidRPr="00EC75B7" w:rsidRDefault="00000000">
            <w:pPr>
              <w:pStyle w:val="TableParagraph"/>
              <w:spacing w:before="123"/>
              <w:ind w:left="13"/>
              <w:jc w:val="center"/>
              <w:rPr>
                <w:rFonts w:ascii="Verdana" w:hAnsi="Verdana"/>
                <w:b/>
                <w:sz w:val="18"/>
                <w:szCs w:val="18"/>
              </w:rPr>
            </w:pPr>
            <w:r w:rsidRPr="00EC75B7">
              <w:rPr>
                <w:rFonts w:ascii="Verdana" w:hAnsi="Verdana"/>
                <w:b/>
                <w:color w:val="FFFFFF"/>
                <w:spacing w:val="-2"/>
                <w:sz w:val="18"/>
                <w:szCs w:val="18"/>
              </w:rPr>
              <w:t>IUCN</w:t>
            </w:r>
          </w:p>
        </w:tc>
        <w:tc>
          <w:tcPr>
            <w:tcW w:w="1560" w:type="dxa"/>
            <w:shd w:val="clear" w:color="auto" w:fill="00A1E8"/>
          </w:tcPr>
          <w:p w14:paraId="6E3D7FDB" w14:textId="77777777" w:rsidR="008715BE" w:rsidRPr="00EC75B7" w:rsidRDefault="00000000">
            <w:pPr>
              <w:pStyle w:val="TableParagraph"/>
              <w:spacing w:before="27" w:line="195" w:lineRule="exact"/>
              <w:ind w:left="375"/>
              <w:rPr>
                <w:rFonts w:ascii="Verdana" w:hAnsi="Verdana"/>
                <w:b/>
                <w:sz w:val="18"/>
                <w:szCs w:val="18"/>
              </w:rPr>
            </w:pPr>
            <w:r w:rsidRPr="00EC75B7">
              <w:rPr>
                <w:rFonts w:ascii="Verdana" w:hAnsi="Verdana"/>
                <w:b/>
                <w:color w:val="FFFFFF"/>
                <w:spacing w:val="-2"/>
                <w:sz w:val="18"/>
                <w:szCs w:val="18"/>
              </w:rPr>
              <w:t>Directive</w:t>
            </w:r>
          </w:p>
          <w:p w14:paraId="485ED3DE" w14:textId="77777777" w:rsidR="008715BE" w:rsidRPr="00EC75B7" w:rsidRDefault="00000000">
            <w:pPr>
              <w:pStyle w:val="TableParagraph"/>
              <w:spacing w:line="184" w:lineRule="exact"/>
              <w:ind w:left="442"/>
              <w:rPr>
                <w:rFonts w:ascii="Verdana" w:hAnsi="Verdana"/>
                <w:b/>
                <w:sz w:val="18"/>
                <w:szCs w:val="18"/>
              </w:rPr>
            </w:pPr>
            <w:r w:rsidRPr="00EC75B7">
              <w:rPr>
                <w:rFonts w:ascii="Verdana" w:hAnsi="Verdana"/>
                <w:b/>
                <w:color w:val="FFFFFF"/>
                <w:spacing w:val="-2"/>
                <w:sz w:val="18"/>
                <w:szCs w:val="18"/>
              </w:rPr>
              <w:t>Birds*</w:t>
            </w:r>
          </w:p>
        </w:tc>
        <w:tc>
          <w:tcPr>
            <w:tcW w:w="1416" w:type="dxa"/>
            <w:shd w:val="clear" w:color="auto" w:fill="00A1E8"/>
          </w:tcPr>
          <w:p w14:paraId="78F2C748" w14:textId="77777777" w:rsidR="008715BE" w:rsidRPr="00EC75B7" w:rsidRDefault="00000000">
            <w:pPr>
              <w:pStyle w:val="TableParagraph"/>
              <w:spacing w:before="19" w:line="194" w:lineRule="exact"/>
              <w:ind w:left="253" w:firstLine="256"/>
              <w:rPr>
                <w:rFonts w:ascii="Verdana" w:hAnsi="Verdana"/>
                <w:b/>
                <w:sz w:val="18"/>
                <w:szCs w:val="18"/>
              </w:rPr>
            </w:pPr>
            <w:r w:rsidRPr="00EC75B7">
              <w:rPr>
                <w:rFonts w:ascii="Verdana" w:hAnsi="Verdana"/>
                <w:b/>
                <w:color w:val="FFFFFF"/>
                <w:spacing w:val="-4"/>
                <w:sz w:val="18"/>
                <w:szCs w:val="18"/>
              </w:rPr>
              <w:t>OUG</w:t>
            </w:r>
            <w:r w:rsidRPr="00EC75B7">
              <w:rPr>
                <w:rFonts w:ascii="Verdana" w:hAnsi="Verdana"/>
                <w:b/>
                <w:color w:val="FFFFFF"/>
                <w:spacing w:val="-2"/>
                <w:sz w:val="18"/>
                <w:szCs w:val="18"/>
              </w:rPr>
              <w:t xml:space="preserve"> 57/2007*</w:t>
            </w:r>
          </w:p>
        </w:tc>
        <w:tc>
          <w:tcPr>
            <w:tcW w:w="1985" w:type="dxa"/>
            <w:shd w:val="clear" w:color="auto" w:fill="00A1E8"/>
          </w:tcPr>
          <w:p w14:paraId="14D41AFB" w14:textId="77777777" w:rsidR="008715BE" w:rsidRPr="00EC75B7" w:rsidRDefault="00000000">
            <w:pPr>
              <w:pStyle w:val="TableParagraph"/>
              <w:spacing w:before="19" w:line="194" w:lineRule="exact"/>
              <w:ind w:left="387" w:hanging="44"/>
              <w:rPr>
                <w:rFonts w:ascii="Verdana" w:hAnsi="Verdana"/>
                <w:b/>
                <w:sz w:val="18"/>
                <w:szCs w:val="18"/>
              </w:rPr>
            </w:pPr>
            <w:r w:rsidRPr="00EC75B7">
              <w:rPr>
                <w:rFonts w:ascii="Verdana" w:hAnsi="Verdana"/>
                <w:b/>
                <w:color w:val="FFFFFF"/>
                <w:sz w:val="18"/>
                <w:szCs w:val="18"/>
              </w:rPr>
              <w:t xml:space="preserve">Red Book of </w:t>
            </w:r>
            <w:r w:rsidRPr="00EC75B7">
              <w:rPr>
                <w:rFonts w:ascii="Verdana" w:hAnsi="Verdana"/>
                <w:b/>
                <w:color w:val="FFFFFF"/>
                <w:spacing w:val="-2"/>
                <w:sz w:val="18"/>
                <w:szCs w:val="18"/>
              </w:rPr>
              <w:t>Vertebrates</w:t>
            </w:r>
          </w:p>
        </w:tc>
        <w:tc>
          <w:tcPr>
            <w:tcW w:w="1419" w:type="dxa"/>
            <w:shd w:val="clear" w:color="auto" w:fill="00A1E8"/>
          </w:tcPr>
          <w:p w14:paraId="281BD28C" w14:textId="77777777" w:rsidR="008715BE" w:rsidRPr="00EC75B7" w:rsidRDefault="00000000">
            <w:pPr>
              <w:pStyle w:val="TableParagraph"/>
              <w:spacing w:before="27" w:line="195" w:lineRule="exact"/>
              <w:ind w:left="11"/>
              <w:jc w:val="center"/>
              <w:rPr>
                <w:rFonts w:ascii="Verdana" w:hAnsi="Verdana"/>
                <w:b/>
                <w:sz w:val="18"/>
                <w:szCs w:val="18"/>
              </w:rPr>
            </w:pPr>
            <w:r w:rsidRPr="00EC75B7">
              <w:rPr>
                <w:rFonts w:ascii="Verdana" w:hAnsi="Verdana"/>
                <w:b/>
                <w:color w:val="FFFFFF"/>
                <w:spacing w:val="-5"/>
                <w:sz w:val="18"/>
                <w:szCs w:val="18"/>
              </w:rPr>
              <w:t>Con</w:t>
            </w:r>
            <w:r w:rsidRPr="00EC75B7">
              <w:rPr>
                <w:rFonts w:ascii="Verdana" w:hAnsi="Verdana"/>
                <w:b/>
                <w:color w:val="FFFFFF"/>
                <w:sz w:val="18"/>
                <w:szCs w:val="18"/>
              </w:rPr>
              <w:t>vention</w:t>
            </w:r>
          </w:p>
          <w:p w14:paraId="4E6903A6" w14:textId="77777777" w:rsidR="008715BE" w:rsidRPr="00EC75B7" w:rsidRDefault="00000000">
            <w:pPr>
              <w:pStyle w:val="TableParagraph"/>
              <w:spacing w:line="184" w:lineRule="exact"/>
              <w:ind w:left="11"/>
              <w:jc w:val="center"/>
              <w:rPr>
                <w:rFonts w:ascii="Verdana" w:hAnsi="Verdana"/>
                <w:b/>
                <w:sz w:val="18"/>
                <w:szCs w:val="18"/>
              </w:rPr>
            </w:pPr>
            <w:r w:rsidRPr="00EC75B7">
              <w:rPr>
                <w:rFonts w:ascii="Verdana" w:hAnsi="Verdana"/>
                <w:b/>
                <w:color w:val="FFFFFF"/>
                <w:spacing w:val="-2"/>
                <w:sz w:val="18"/>
                <w:szCs w:val="18"/>
              </w:rPr>
              <w:t>Con</w:t>
            </w:r>
            <w:r w:rsidRPr="00EC75B7">
              <w:rPr>
                <w:rFonts w:ascii="Verdana" w:hAnsi="Verdana"/>
                <w:b/>
                <w:color w:val="FFFFFF"/>
                <w:sz w:val="18"/>
                <w:szCs w:val="18"/>
              </w:rPr>
              <w:t>vention</w:t>
            </w:r>
          </w:p>
        </w:tc>
        <w:tc>
          <w:tcPr>
            <w:tcW w:w="1282" w:type="dxa"/>
            <w:shd w:val="clear" w:color="auto" w:fill="00A1E8"/>
          </w:tcPr>
          <w:p w14:paraId="2DBDD963" w14:textId="77777777" w:rsidR="008715BE" w:rsidRPr="00EC75B7" w:rsidRDefault="00000000">
            <w:pPr>
              <w:pStyle w:val="TableParagraph"/>
              <w:spacing w:before="27" w:line="195" w:lineRule="exact"/>
              <w:ind w:left="188"/>
              <w:rPr>
                <w:rFonts w:ascii="Verdana" w:hAnsi="Verdana"/>
                <w:b/>
                <w:sz w:val="18"/>
                <w:szCs w:val="18"/>
              </w:rPr>
            </w:pPr>
            <w:r w:rsidRPr="00EC75B7">
              <w:rPr>
                <w:rFonts w:ascii="Verdana" w:hAnsi="Verdana"/>
                <w:b/>
                <w:color w:val="FFFFFF"/>
                <w:spacing w:val="-2"/>
                <w:sz w:val="18"/>
                <w:szCs w:val="18"/>
              </w:rPr>
              <w:t>The</w:t>
            </w:r>
          </w:p>
          <w:p w14:paraId="67497BE3" w14:textId="77777777" w:rsidR="008715BE" w:rsidRPr="00EC75B7" w:rsidRDefault="00000000">
            <w:pPr>
              <w:pStyle w:val="TableParagraph"/>
              <w:spacing w:line="184" w:lineRule="exact"/>
              <w:ind w:left="106"/>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Bonn*</w:t>
            </w:r>
          </w:p>
        </w:tc>
      </w:tr>
      <w:tr w:rsidR="008715BE" w:rsidRPr="00EC75B7" w14:paraId="0027F4EB" w14:textId="77777777">
        <w:trPr>
          <w:trHeight w:val="314"/>
        </w:trPr>
        <w:tc>
          <w:tcPr>
            <w:tcW w:w="847" w:type="dxa"/>
          </w:tcPr>
          <w:p w14:paraId="0E90AFA1"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53</w:t>
            </w:r>
          </w:p>
        </w:tc>
        <w:tc>
          <w:tcPr>
            <w:tcW w:w="2405" w:type="dxa"/>
          </w:tcPr>
          <w:p w14:paraId="5FAE7B7E" w14:textId="77777777" w:rsidR="008715BE" w:rsidRPr="00EC75B7" w:rsidRDefault="00000000">
            <w:pPr>
              <w:pStyle w:val="TableParagraph"/>
              <w:spacing w:before="8"/>
              <w:ind w:left="13" w:right="2"/>
              <w:jc w:val="center"/>
              <w:rPr>
                <w:rFonts w:ascii="Verdana" w:hAnsi="Verdana"/>
                <w:i/>
                <w:sz w:val="18"/>
                <w:szCs w:val="18"/>
              </w:rPr>
            </w:pPr>
            <w:r w:rsidRPr="00EC75B7">
              <w:rPr>
                <w:rFonts w:ascii="Verdana" w:hAnsi="Verdana"/>
                <w:i/>
                <w:sz w:val="18"/>
                <w:szCs w:val="18"/>
              </w:rPr>
              <w:t xml:space="preserve">Pica </w:t>
            </w:r>
            <w:r w:rsidRPr="00EC75B7">
              <w:rPr>
                <w:rFonts w:ascii="Verdana" w:hAnsi="Verdana"/>
                <w:i/>
                <w:spacing w:val="-4"/>
                <w:sz w:val="18"/>
                <w:szCs w:val="18"/>
              </w:rPr>
              <w:t>pica</w:t>
            </w:r>
          </w:p>
        </w:tc>
        <w:tc>
          <w:tcPr>
            <w:tcW w:w="2268" w:type="dxa"/>
          </w:tcPr>
          <w:p w14:paraId="43C47FF8"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pacing w:val="-2"/>
                <w:sz w:val="18"/>
                <w:szCs w:val="18"/>
              </w:rPr>
              <w:t>Magpie</w:t>
            </w:r>
          </w:p>
        </w:tc>
        <w:tc>
          <w:tcPr>
            <w:tcW w:w="1207" w:type="dxa"/>
          </w:tcPr>
          <w:p w14:paraId="646E15D9"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69</w:t>
            </w:r>
          </w:p>
        </w:tc>
        <w:tc>
          <w:tcPr>
            <w:tcW w:w="924" w:type="dxa"/>
          </w:tcPr>
          <w:p w14:paraId="6E490DFB"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03AA4276"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35C4481D"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460F508F"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5492577D"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0D333293"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97FD2F3" w14:textId="77777777">
        <w:trPr>
          <w:trHeight w:val="316"/>
        </w:trPr>
        <w:tc>
          <w:tcPr>
            <w:tcW w:w="847" w:type="dxa"/>
          </w:tcPr>
          <w:p w14:paraId="17EB81BD"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54</w:t>
            </w:r>
          </w:p>
        </w:tc>
        <w:tc>
          <w:tcPr>
            <w:tcW w:w="2405" w:type="dxa"/>
          </w:tcPr>
          <w:p w14:paraId="40DCE323" w14:textId="77777777" w:rsidR="008715BE" w:rsidRPr="00EC75B7" w:rsidRDefault="00000000">
            <w:pPr>
              <w:pStyle w:val="TableParagraph"/>
              <w:spacing w:before="10"/>
              <w:ind w:left="13" w:right="3"/>
              <w:jc w:val="center"/>
              <w:rPr>
                <w:rFonts w:ascii="Verdana" w:hAnsi="Verdana"/>
                <w:i/>
                <w:sz w:val="18"/>
                <w:szCs w:val="18"/>
              </w:rPr>
            </w:pPr>
            <w:r w:rsidRPr="00EC75B7">
              <w:rPr>
                <w:rFonts w:ascii="Verdana" w:hAnsi="Verdana"/>
                <w:i/>
                <w:sz w:val="18"/>
                <w:szCs w:val="18"/>
              </w:rPr>
              <w:t xml:space="preserve">Riparia </w:t>
            </w:r>
            <w:r w:rsidRPr="00EC75B7">
              <w:rPr>
                <w:rFonts w:ascii="Verdana" w:hAnsi="Verdana"/>
                <w:i/>
                <w:spacing w:val="-2"/>
                <w:sz w:val="18"/>
                <w:szCs w:val="18"/>
              </w:rPr>
              <w:t>riparia</w:t>
            </w:r>
          </w:p>
        </w:tc>
        <w:tc>
          <w:tcPr>
            <w:tcW w:w="2268" w:type="dxa"/>
          </w:tcPr>
          <w:p w14:paraId="750295C0" w14:textId="77777777" w:rsidR="008715BE" w:rsidRPr="00EC75B7" w:rsidRDefault="00000000">
            <w:pPr>
              <w:pStyle w:val="TableParagraph"/>
              <w:spacing w:before="70"/>
              <w:ind w:left="13" w:right="3"/>
              <w:jc w:val="center"/>
              <w:rPr>
                <w:rFonts w:ascii="Verdana" w:hAnsi="Verdana"/>
                <w:sz w:val="18"/>
                <w:szCs w:val="18"/>
              </w:rPr>
            </w:pPr>
            <w:r w:rsidRPr="00EC75B7">
              <w:rPr>
                <w:rFonts w:ascii="Verdana" w:hAnsi="Verdana"/>
                <w:spacing w:val="-5"/>
                <w:sz w:val="18"/>
                <w:szCs w:val="18"/>
              </w:rPr>
              <w:t xml:space="preserve">Sand </w:t>
            </w:r>
            <w:r w:rsidRPr="00EC75B7">
              <w:rPr>
                <w:rFonts w:ascii="Verdana" w:hAnsi="Verdana"/>
                <w:sz w:val="18"/>
                <w:szCs w:val="18"/>
              </w:rPr>
              <w:t>martin</w:t>
            </w:r>
          </w:p>
        </w:tc>
        <w:tc>
          <w:tcPr>
            <w:tcW w:w="1207" w:type="dxa"/>
          </w:tcPr>
          <w:p w14:paraId="7F37E992" w14:textId="77777777" w:rsidR="008715BE" w:rsidRPr="00EC75B7" w:rsidRDefault="00000000">
            <w:pPr>
              <w:pStyle w:val="TableParagraph"/>
              <w:spacing w:before="70"/>
              <w:ind w:left="14" w:right="4"/>
              <w:jc w:val="center"/>
              <w:rPr>
                <w:rFonts w:ascii="Verdana" w:hAnsi="Verdana"/>
                <w:sz w:val="18"/>
                <w:szCs w:val="18"/>
              </w:rPr>
            </w:pPr>
            <w:r w:rsidRPr="00EC75B7">
              <w:rPr>
                <w:rFonts w:ascii="Verdana" w:hAnsi="Verdana"/>
                <w:spacing w:val="-10"/>
                <w:sz w:val="18"/>
                <w:szCs w:val="18"/>
              </w:rPr>
              <w:t>1</w:t>
            </w:r>
          </w:p>
        </w:tc>
        <w:tc>
          <w:tcPr>
            <w:tcW w:w="924" w:type="dxa"/>
          </w:tcPr>
          <w:p w14:paraId="1F088BF0"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25ED4071"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19CE091E" w14:textId="77777777" w:rsidR="008715BE" w:rsidRPr="00EC75B7" w:rsidRDefault="00000000">
            <w:pPr>
              <w:pStyle w:val="TableParagraph"/>
              <w:spacing w:before="70"/>
              <w:ind w:left="9"/>
              <w:jc w:val="center"/>
              <w:rPr>
                <w:rFonts w:ascii="Verdana" w:hAnsi="Verdana"/>
                <w:sz w:val="18"/>
                <w:szCs w:val="18"/>
              </w:rPr>
            </w:pPr>
            <w:r w:rsidRPr="00EC75B7">
              <w:rPr>
                <w:rFonts w:ascii="Verdana" w:hAnsi="Verdana"/>
                <w:sz w:val="18"/>
                <w:szCs w:val="18"/>
              </w:rPr>
              <w:t>-</w:t>
            </w:r>
          </w:p>
        </w:tc>
        <w:tc>
          <w:tcPr>
            <w:tcW w:w="1985" w:type="dxa"/>
          </w:tcPr>
          <w:p w14:paraId="1040841D"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16191990"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5BF678A9"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64C8ECBB" w14:textId="77777777">
        <w:trPr>
          <w:trHeight w:val="313"/>
        </w:trPr>
        <w:tc>
          <w:tcPr>
            <w:tcW w:w="847" w:type="dxa"/>
          </w:tcPr>
          <w:p w14:paraId="57CC68CD"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55</w:t>
            </w:r>
          </w:p>
        </w:tc>
        <w:tc>
          <w:tcPr>
            <w:tcW w:w="2405" w:type="dxa"/>
          </w:tcPr>
          <w:p w14:paraId="57DD66F9"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pacing w:val="-2"/>
                <w:sz w:val="18"/>
                <w:szCs w:val="18"/>
              </w:rPr>
              <w:t>Wh</w:t>
            </w:r>
            <w:r w:rsidRPr="00EC75B7">
              <w:rPr>
                <w:rFonts w:ascii="Verdana" w:hAnsi="Verdana"/>
                <w:i/>
                <w:sz w:val="18"/>
                <w:szCs w:val="18"/>
              </w:rPr>
              <w:t>inchat</w:t>
            </w:r>
          </w:p>
        </w:tc>
        <w:tc>
          <w:tcPr>
            <w:tcW w:w="2268" w:type="dxa"/>
          </w:tcPr>
          <w:p w14:paraId="63C44AE0" w14:textId="77777777" w:rsidR="008715BE" w:rsidRPr="00EC75B7" w:rsidRDefault="00000000">
            <w:pPr>
              <w:pStyle w:val="TableParagraph"/>
              <w:spacing w:before="68"/>
              <w:ind w:left="13" w:right="1"/>
              <w:jc w:val="center"/>
              <w:rPr>
                <w:rFonts w:ascii="Verdana" w:hAnsi="Verdana"/>
                <w:sz w:val="18"/>
                <w:szCs w:val="18"/>
              </w:rPr>
            </w:pPr>
            <w:r w:rsidRPr="00EC75B7">
              <w:rPr>
                <w:rFonts w:ascii="Verdana" w:hAnsi="Verdana"/>
                <w:sz w:val="18"/>
                <w:szCs w:val="18"/>
              </w:rPr>
              <w:t xml:space="preserve">Great </w:t>
            </w:r>
            <w:r w:rsidRPr="00EC75B7">
              <w:rPr>
                <w:rFonts w:ascii="Verdana" w:hAnsi="Verdana"/>
                <w:spacing w:val="-4"/>
                <w:sz w:val="18"/>
                <w:szCs w:val="18"/>
              </w:rPr>
              <w:t>Reed Warbler</w:t>
            </w:r>
          </w:p>
        </w:tc>
        <w:tc>
          <w:tcPr>
            <w:tcW w:w="1207" w:type="dxa"/>
          </w:tcPr>
          <w:p w14:paraId="7C796D34"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10</w:t>
            </w:r>
          </w:p>
        </w:tc>
        <w:tc>
          <w:tcPr>
            <w:tcW w:w="924" w:type="dxa"/>
          </w:tcPr>
          <w:p w14:paraId="595F716E"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3D8F6772"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41805C20"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745B1E0D"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669CBE2C"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w:t>
            </w:r>
          </w:p>
        </w:tc>
        <w:tc>
          <w:tcPr>
            <w:tcW w:w="1282" w:type="dxa"/>
          </w:tcPr>
          <w:p w14:paraId="26389C17"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69C76F08" w14:textId="77777777">
        <w:trPr>
          <w:trHeight w:val="316"/>
        </w:trPr>
        <w:tc>
          <w:tcPr>
            <w:tcW w:w="847" w:type="dxa"/>
          </w:tcPr>
          <w:p w14:paraId="0B2E9BA0"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56</w:t>
            </w:r>
          </w:p>
        </w:tc>
        <w:tc>
          <w:tcPr>
            <w:tcW w:w="2405" w:type="dxa"/>
          </w:tcPr>
          <w:p w14:paraId="16150CDD"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z w:val="18"/>
                <w:szCs w:val="18"/>
              </w:rPr>
              <w:t xml:space="preserve">Streptopelia </w:t>
            </w:r>
            <w:r w:rsidRPr="00EC75B7">
              <w:rPr>
                <w:rFonts w:ascii="Verdana" w:hAnsi="Verdana"/>
                <w:i/>
                <w:spacing w:val="-2"/>
                <w:sz w:val="18"/>
                <w:szCs w:val="18"/>
              </w:rPr>
              <w:t>decaocto</w:t>
            </w:r>
          </w:p>
        </w:tc>
        <w:tc>
          <w:tcPr>
            <w:tcW w:w="2268" w:type="dxa"/>
          </w:tcPr>
          <w:p w14:paraId="409B358E" w14:textId="77777777" w:rsidR="008715BE" w:rsidRPr="00EC75B7" w:rsidRDefault="00000000">
            <w:pPr>
              <w:pStyle w:val="TableParagraph"/>
              <w:spacing w:before="70"/>
              <w:ind w:left="13" w:right="6"/>
              <w:jc w:val="center"/>
              <w:rPr>
                <w:rFonts w:ascii="Verdana" w:hAnsi="Verdana"/>
                <w:sz w:val="18"/>
                <w:szCs w:val="18"/>
              </w:rPr>
            </w:pPr>
            <w:r w:rsidRPr="00EC75B7">
              <w:rPr>
                <w:rFonts w:ascii="Verdana" w:hAnsi="Verdana"/>
                <w:spacing w:val="-2"/>
                <w:sz w:val="18"/>
                <w:szCs w:val="18"/>
              </w:rPr>
              <w:t>Guguştiuc</w:t>
            </w:r>
          </w:p>
        </w:tc>
        <w:tc>
          <w:tcPr>
            <w:tcW w:w="1207" w:type="dxa"/>
          </w:tcPr>
          <w:p w14:paraId="1D625610" w14:textId="77777777" w:rsidR="008715BE" w:rsidRPr="00EC75B7" w:rsidRDefault="00000000">
            <w:pPr>
              <w:pStyle w:val="TableParagraph"/>
              <w:spacing w:before="70"/>
              <w:ind w:left="14"/>
              <w:jc w:val="center"/>
              <w:rPr>
                <w:rFonts w:ascii="Verdana" w:hAnsi="Verdana"/>
                <w:sz w:val="18"/>
                <w:szCs w:val="18"/>
              </w:rPr>
            </w:pPr>
            <w:r w:rsidRPr="00EC75B7">
              <w:rPr>
                <w:rFonts w:ascii="Verdana" w:hAnsi="Verdana"/>
                <w:spacing w:val="-5"/>
                <w:sz w:val="18"/>
                <w:szCs w:val="18"/>
              </w:rPr>
              <w:t>29</w:t>
            </w:r>
          </w:p>
        </w:tc>
        <w:tc>
          <w:tcPr>
            <w:tcW w:w="924" w:type="dxa"/>
          </w:tcPr>
          <w:p w14:paraId="608C769B"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07AF0D80"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61A59E45"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29B5B4CE"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3AE6005A"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24A85B68"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1053EB6B" w14:textId="77777777">
        <w:trPr>
          <w:trHeight w:val="313"/>
        </w:trPr>
        <w:tc>
          <w:tcPr>
            <w:tcW w:w="847" w:type="dxa"/>
          </w:tcPr>
          <w:p w14:paraId="22FB8656"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57</w:t>
            </w:r>
          </w:p>
        </w:tc>
        <w:tc>
          <w:tcPr>
            <w:tcW w:w="2405" w:type="dxa"/>
          </w:tcPr>
          <w:p w14:paraId="265D5175" w14:textId="77777777" w:rsidR="008715BE" w:rsidRPr="00EC75B7" w:rsidRDefault="00000000">
            <w:pPr>
              <w:pStyle w:val="TableParagraph"/>
              <w:spacing w:before="8"/>
              <w:ind w:left="13" w:right="6"/>
              <w:jc w:val="center"/>
              <w:rPr>
                <w:rFonts w:ascii="Verdana" w:hAnsi="Verdana"/>
                <w:i/>
                <w:sz w:val="18"/>
                <w:szCs w:val="18"/>
              </w:rPr>
            </w:pPr>
            <w:r w:rsidRPr="00EC75B7">
              <w:rPr>
                <w:rFonts w:ascii="Verdana" w:hAnsi="Verdana"/>
                <w:i/>
                <w:spacing w:val="-2"/>
                <w:sz w:val="18"/>
                <w:szCs w:val="18"/>
              </w:rPr>
              <w:t>Turtle Dove</w:t>
            </w:r>
          </w:p>
        </w:tc>
        <w:tc>
          <w:tcPr>
            <w:tcW w:w="2268" w:type="dxa"/>
          </w:tcPr>
          <w:p w14:paraId="650AC287" w14:textId="77777777" w:rsidR="008715BE" w:rsidRPr="00EC75B7" w:rsidRDefault="00000000">
            <w:pPr>
              <w:pStyle w:val="TableParagraph"/>
              <w:spacing w:before="68"/>
              <w:ind w:left="13" w:right="5"/>
              <w:jc w:val="center"/>
              <w:rPr>
                <w:rFonts w:ascii="Verdana" w:hAnsi="Verdana"/>
                <w:sz w:val="18"/>
                <w:szCs w:val="18"/>
              </w:rPr>
            </w:pPr>
            <w:r w:rsidRPr="00EC75B7">
              <w:rPr>
                <w:rFonts w:ascii="Verdana" w:hAnsi="Verdana"/>
                <w:spacing w:val="-2"/>
                <w:sz w:val="18"/>
                <w:szCs w:val="18"/>
              </w:rPr>
              <w:t>Turturică</w:t>
            </w:r>
          </w:p>
        </w:tc>
        <w:tc>
          <w:tcPr>
            <w:tcW w:w="1207" w:type="dxa"/>
          </w:tcPr>
          <w:p w14:paraId="68D5AAC1" w14:textId="77777777" w:rsidR="008715BE" w:rsidRPr="00EC75B7" w:rsidRDefault="00000000">
            <w:pPr>
              <w:pStyle w:val="TableParagraph"/>
              <w:spacing w:before="68"/>
              <w:ind w:left="14" w:right="4"/>
              <w:jc w:val="center"/>
              <w:rPr>
                <w:rFonts w:ascii="Verdana" w:hAnsi="Verdana"/>
                <w:sz w:val="18"/>
                <w:szCs w:val="18"/>
              </w:rPr>
            </w:pPr>
            <w:r w:rsidRPr="00EC75B7">
              <w:rPr>
                <w:rFonts w:ascii="Verdana" w:hAnsi="Verdana"/>
                <w:spacing w:val="-10"/>
                <w:sz w:val="18"/>
                <w:szCs w:val="18"/>
              </w:rPr>
              <w:t>5</w:t>
            </w:r>
          </w:p>
        </w:tc>
        <w:tc>
          <w:tcPr>
            <w:tcW w:w="924" w:type="dxa"/>
          </w:tcPr>
          <w:p w14:paraId="680495A9"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pacing w:val="-5"/>
                <w:sz w:val="18"/>
                <w:szCs w:val="18"/>
              </w:rPr>
              <w:t>NT</w:t>
            </w:r>
          </w:p>
        </w:tc>
        <w:tc>
          <w:tcPr>
            <w:tcW w:w="1560" w:type="dxa"/>
          </w:tcPr>
          <w:p w14:paraId="12EE75A6"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61242171"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4223D879" w14:textId="77777777" w:rsidR="008715BE" w:rsidRPr="00EC75B7" w:rsidRDefault="00000000">
            <w:pPr>
              <w:pStyle w:val="TableParagraph"/>
              <w:spacing w:before="68"/>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74346D6D"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1A56D5C7"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63BAC356" w14:textId="77777777">
        <w:trPr>
          <w:trHeight w:val="316"/>
        </w:trPr>
        <w:tc>
          <w:tcPr>
            <w:tcW w:w="847" w:type="dxa"/>
          </w:tcPr>
          <w:p w14:paraId="7E7B1D37"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58</w:t>
            </w:r>
          </w:p>
        </w:tc>
        <w:tc>
          <w:tcPr>
            <w:tcW w:w="2405" w:type="dxa"/>
          </w:tcPr>
          <w:p w14:paraId="541CD3C5" w14:textId="77777777" w:rsidR="008715BE" w:rsidRPr="00EC75B7" w:rsidRDefault="00000000">
            <w:pPr>
              <w:pStyle w:val="TableParagraph"/>
              <w:spacing w:before="8"/>
              <w:ind w:left="13" w:right="1"/>
              <w:jc w:val="center"/>
              <w:rPr>
                <w:rFonts w:ascii="Verdana" w:hAnsi="Verdana"/>
                <w:i/>
                <w:sz w:val="18"/>
                <w:szCs w:val="18"/>
              </w:rPr>
            </w:pPr>
            <w:r w:rsidRPr="00EC75B7">
              <w:rPr>
                <w:rFonts w:ascii="Verdana" w:hAnsi="Verdana"/>
                <w:i/>
                <w:sz w:val="18"/>
                <w:szCs w:val="18"/>
              </w:rPr>
              <w:t xml:space="preserve">Sturnus </w:t>
            </w:r>
            <w:r w:rsidRPr="00EC75B7">
              <w:rPr>
                <w:rFonts w:ascii="Verdana" w:hAnsi="Verdana"/>
                <w:i/>
                <w:spacing w:val="-2"/>
                <w:sz w:val="18"/>
                <w:szCs w:val="18"/>
              </w:rPr>
              <w:t>vulgaris</w:t>
            </w:r>
          </w:p>
        </w:tc>
        <w:tc>
          <w:tcPr>
            <w:tcW w:w="2268" w:type="dxa"/>
          </w:tcPr>
          <w:p w14:paraId="70F51217"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pacing w:val="-2"/>
                <w:sz w:val="18"/>
                <w:szCs w:val="18"/>
              </w:rPr>
              <w:t xml:space="preserve">Common </w:t>
            </w:r>
            <w:r w:rsidRPr="00EC75B7">
              <w:rPr>
                <w:rFonts w:ascii="Verdana" w:hAnsi="Verdana"/>
                <w:sz w:val="18"/>
                <w:szCs w:val="18"/>
              </w:rPr>
              <w:t>starling</w:t>
            </w:r>
          </w:p>
        </w:tc>
        <w:tc>
          <w:tcPr>
            <w:tcW w:w="1207" w:type="dxa"/>
          </w:tcPr>
          <w:p w14:paraId="04C40148" w14:textId="77777777" w:rsidR="008715BE" w:rsidRPr="00EC75B7" w:rsidRDefault="00000000">
            <w:pPr>
              <w:pStyle w:val="TableParagraph"/>
              <w:spacing w:before="68"/>
              <w:ind w:left="14" w:right="1"/>
              <w:jc w:val="center"/>
              <w:rPr>
                <w:rFonts w:ascii="Verdana" w:hAnsi="Verdana"/>
                <w:sz w:val="18"/>
                <w:szCs w:val="18"/>
              </w:rPr>
            </w:pPr>
            <w:r w:rsidRPr="00EC75B7">
              <w:rPr>
                <w:rFonts w:ascii="Verdana" w:hAnsi="Verdana"/>
                <w:spacing w:val="-5"/>
                <w:sz w:val="18"/>
                <w:szCs w:val="18"/>
              </w:rPr>
              <w:t>982</w:t>
            </w:r>
          </w:p>
        </w:tc>
        <w:tc>
          <w:tcPr>
            <w:tcW w:w="924" w:type="dxa"/>
          </w:tcPr>
          <w:p w14:paraId="6E71E39F"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22363B02"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1582731A"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488668D6"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6770C304"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III</w:t>
            </w:r>
          </w:p>
        </w:tc>
        <w:tc>
          <w:tcPr>
            <w:tcW w:w="1282" w:type="dxa"/>
          </w:tcPr>
          <w:p w14:paraId="6BF65228"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1A3F9E90" w14:textId="77777777">
        <w:trPr>
          <w:trHeight w:val="314"/>
        </w:trPr>
        <w:tc>
          <w:tcPr>
            <w:tcW w:w="847" w:type="dxa"/>
          </w:tcPr>
          <w:p w14:paraId="0EE4AF5C"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59</w:t>
            </w:r>
          </w:p>
        </w:tc>
        <w:tc>
          <w:tcPr>
            <w:tcW w:w="2405" w:type="dxa"/>
          </w:tcPr>
          <w:p w14:paraId="76280C39" w14:textId="77777777" w:rsidR="008715BE" w:rsidRPr="00EC75B7" w:rsidRDefault="00000000">
            <w:pPr>
              <w:pStyle w:val="TableParagraph"/>
              <w:spacing w:before="8"/>
              <w:ind w:left="13" w:right="5"/>
              <w:jc w:val="center"/>
              <w:rPr>
                <w:rFonts w:ascii="Verdana" w:hAnsi="Verdana"/>
                <w:i/>
                <w:sz w:val="18"/>
                <w:szCs w:val="18"/>
              </w:rPr>
            </w:pPr>
            <w:r w:rsidRPr="00EC75B7">
              <w:rPr>
                <w:rFonts w:ascii="Verdana" w:hAnsi="Verdana"/>
                <w:i/>
                <w:spacing w:val="-2"/>
                <w:sz w:val="18"/>
                <w:szCs w:val="18"/>
              </w:rPr>
              <w:t>Black</w:t>
            </w:r>
            <w:r w:rsidRPr="00EC75B7">
              <w:rPr>
                <w:rFonts w:ascii="Verdana" w:hAnsi="Verdana"/>
                <w:i/>
                <w:sz w:val="18"/>
                <w:szCs w:val="18"/>
              </w:rPr>
              <w:t>cap</w:t>
            </w:r>
          </w:p>
        </w:tc>
        <w:tc>
          <w:tcPr>
            <w:tcW w:w="2268" w:type="dxa"/>
          </w:tcPr>
          <w:p w14:paraId="7969E28F" w14:textId="77777777" w:rsidR="008715BE" w:rsidRPr="00EC75B7" w:rsidRDefault="00000000">
            <w:pPr>
              <w:pStyle w:val="TableParagraph"/>
              <w:spacing w:before="69"/>
              <w:ind w:left="13" w:right="1"/>
              <w:jc w:val="center"/>
              <w:rPr>
                <w:rFonts w:ascii="Verdana" w:hAnsi="Verdana"/>
                <w:sz w:val="18"/>
                <w:szCs w:val="18"/>
              </w:rPr>
            </w:pPr>
            <w:r w:rsidRPr="00EC75B7">
              <w:rPr>
                <w:rFonts w:ascii="Verdana" w:hAnsi="Verdana"/>
                <w:spacing w:val="-4"/>
                <w:sz w:val="18"/>
                <w:szCs w:val="18"/>
              </w:rPr>
              <w:t>Black</w:t>
            </w:r>
            <w:r w:rsidRPr="00EC75B7">
              <w:rPr>
                <w:rFonts w:ascii="Verdana" w:hAnsi="Verdana"/>
                <w:sz w:val="18"/>
                <w:szCs w:val="18"/>
              </w:rPr>
              <w:t>cap</w:t>
            </w:r>
          </w:p>
        </w:tc>
        <w:tc>
          <w:tcPr>
            <w:tcW w:w="1207" w:type="dxa"/>
          </w:tcPr>
          <w:p w14:paraId="6E2591E4" w14:textId="77777777" w:rsidR="008715BE" w:rsidRPr="00EC75B7" w:rsidRDefault="00000000">
            <w:pPr>
              <w:pStyle w:val="TableParagraph"/>
              <w:spacing w:before="69"/>
              <w:ind w:left="14" w:right="4"/>
              <w:jc w:val="center"/>
              <w:rPr>
                <w:rFonts w:ascii="Verdana" w:hAnsi="Verdana"/>
                <w:sz w:val="18"/>
                <w:szCs w:val="18"/>
              </w:rPr>
            </w:pPr>
            <w:r w:rsidRPr="00EC75B7">
              <w:rPr>
                <w:rFonts w:ascii="Verdana" w:hAnsi="Verdana"/>
                <w:spacing w:val="-10"/>
                <w:sz w:val="18"/>
                <w:szCs w:val="18"/>
              </w:rPr>
              <w:t>3</w:t>
            </w:r>
          </w:p>
        </w:tc>
        <w:tc>
          <w:tcPr>
            <w:tcW w:w="924" w:type="dxa"/>
          </w:tcPr>
          <w:p w14:paraId="325AC11B" w14:textId="77777777" w:rsidR="008715BE" w:rsidRPr="00EC75B7" w:rsidRDefault="00000000">
            <w:pPr>
              <w:pStyle w:val="TableParagraph"/>
              <w:spacing w:before="69"/>
              <w:ind w:left="8"/>
              <w:jc w:val="center"/>
              <w:rPr>
                <w:rFonts w:ascii="Verdana" w:hAnsi="Verdana"/>
                <w:sz w:val="18"/>
                <w:szCs w:val="18"/>
              </w:rPr>
            </w:pPr>
            <w:r w:rsidRPr="00EC75B7">
              <w:rPr>
                <w:rFonts w:ascii="Verdana" w:hAnsi="Verdana"/>
                <w:spacing w:val="-5"/>
                <w:sz w:val="18"/>
                <w:szCs w:val="18"/>
              </w:rPr>
              <w:t>LC</w:t>
            </w:r>
          </w:p>
        </w:tc>
        <w:tc>
          <w:tcPr>
            <w:tcW w:w="1560" w:type="dxa"/>
          </w:tcPr>
          <w:p w14:paraId="5EAEE43A" w14:textId="77777777" w:rsidR="008715BE" w:rsidRPr="00EC75B7" w:rsidRDefault="00000000">
            <w:pPr>
              <w:pStyle w:val="TableParagraph"/>
              <w:spacing w:before="69"/>
              <w:ind w:left="13"/>
              <w:jc w:val="center"/>
              <w:rPr>
                <w:rFonts w:ascii="Verdana" w:hAnsi="Verdana"/>
                <w:sz w:val="18"/>
                <w:szCs w:val="18"/>
              </w:rPr>
            </w:pPr>
            <w:r w:rsidRPr="00EC75B7">
              <w:rPr>
                <w:rFonts w:ascii="Verdana" w:hAnsi="Verdana"/>
                <w:sz w:val="18"/>
                <w:szCs w:val="18"/>
              </w:rPr>
              <w:t>-</w:t>
            </w:r>
          </w:p>
        </w:tc>
        <w:tc>
          <w:tcPr>
            <w:tcW w:w="1416" w:type="dxa"/>
          </w:tcPr>
          <w:p w14:paraId="7676607B" w14:textId="77777777" w:rsidR="008715BE" w:rsidRPr="00EC75B7" w:rsidRDefault="00000000">
            <w:pPr>
              <w:pStyle w:val="TableParagraph"/>
              <w:spacing w:before="69"/>
              <w:ind w:left="9"/>
              <w:jc w:val="center"/>
              <w:rPr>
                <w:rFonts w:ascii="Verdana" w:hAnsi="Verdana"/>
                <w:sz w:val="18"/>
                <w:szCs w:val="18"/>
              </w:rPr>
            </w:pPr>
            <w:r w:rsidRPr="00EC75B7">
              <w:rPr>
                <w:rFonts w:ascii="Verdana" w:hAnsi="Verdana"/>
                <w:sz w:val="18"/>
                <w:szCs w:val="18"/>
              </w:rPr>
              <w:t>-</w:t>
            </w:r>
          </w:p>
        </w:tc>
        <w:tc>
          <w:tcPr>
            <w:tcW w:w="1985" w:type="dxa"/>
          </w:tcPr>
          <w:p w14:paraId="36603F9A" w14:textId="77777777" w:rsidR="008715BE" w:rsidRPr="00EC75B7" w:rsidRDefault="00000000">
            <w:pPr>
              <w:pStyle w:val="TableParagraph"/>
              <w:spacing w:before="69"/>
              <w:ind w:left="11"/>
              <w:jc w:val="center"/>
              <w:rPr>
                <w:rFonts w:ascii="Verdana" w:hAnsi="Verdana"/>
                <w:sz w:val="18"/>
                <w:szCs w:val="18"/>
              </w:rPr>
            </w:pPr>
            <w:r w:rsidRPr="00EC75B7">
              <w:rPr>
                <w:rFonts w:ascii="Verdana" w:hAnsi="Verdana"/>
                <w:sz w:val="18"/>
                <w:szCs w:val="18"/>
              </w:rPr>
              <w:t>-</w:t>
            </w:r>
          </w:p>
        </w:tc>
        <w:tc>
          <w:tcPr>
            <w:tcW w:w="1419" w:type="dxa"/>
          </w:tcPr>
          <w:p w14:paraId="2574C699" w14:textId="77777777" w:rsidR="008715BE" w:rsidRPr="00EC75B7" w:rsidRDefault="00000000">
            <w:pPr>
              <w:pStyle w:val="TableParagraph"/>
              <w:spacing w:before="69"/>
              <w:ind w:left="11"/>
              <w:jc w:val="center"/>
              <w:rPr>
                <w:rFonts w:ascii="Verdana" w:hAnsi="Verdana"/>
                <w:sz w:val="18"/>
                <w:szCs w:val="18"/>
              </w:rPr>
            </w:pPr>
            <w:r w:rsidRPr="00EC75B7">
              <w:rPr>
                <w:rFonts w:ascii="Verdana" w:hAnsi="Verdana"/>
                <w:sz w:val="18"/>
                <w:szCs w:val="18"/>
              </w:rPr>
              <w:t>-</w:t>
            </w:r>
          </w:p>
        </w:tc>
        <w:tc>
          <w:tcPr>
            <w:tcW w:w="1282" w:type="dxa"/>
          </w:tcPr>
          <w:p w14:paraId="0BF39248" w14:textId="77777777" w:rsidR="008715BE" w:rsidRPr="00EC75B7" w:rsidRDefault="00000000">
            <w:pPr>
              <w:pStyle w:val="TableParagraph"/>
              <w:spacing w:before="69"/>
              <w:ind w:left="8"/>
              <w:jc w:val="center"/>
              <w:rPr>
                <w:rFonts w:ascii="Verdana" w:hAnsi="Verdana"/>
                <w:sz w:val="18"/>
                <w:szCs w:val="18"/>
              </w:rPr>
            </w:pPr>
            <w:r w:rsidRPr="00EC75B7">
              <w:rPr>
                <w:rFonts w:ascii="Verdana" w:hAnsi="Verdana"/>
                <w:sz w:val="18"/>
                <w:szCs w:val="18"/>
              </w:rPr>
              <w:t>-</w:t>
            </w:r>
          </w:p>
        </w:tc>
      </w:tr>
      <w:tr w:rsidR="008715BE" w:rsidRPr="00EC75B7" w14:paraId="64BC06D9" w14:textId="77777777">
        <w:trPr>
          <w:trHeight w:val="314"/>
        </w:trPr>
        <w:tc>
          <w:tcPr>
            <w:tcW w:w="847" w:type="dxa"/>
          </w:tcPr>
          <w:p w14:paraId="15B2BBF4"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60</w:t>
            </w:r>
          </w:p>
        </w:tc>
        <w:tc>
          <w:tcPr>
            <w:tcW w:w="2405" w:type="dxa"/>
          </w:tcPr>
          <w:p w14:paraId="04E1379E"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pacing w:val="-2"/>
                <w:sz w:val="18"/>
                <w:szCs w:val="18"/>
              </w:rPr>
              <w:t>Black</w:t>
            </w:r>
            <w:r w:rsidRPr="00EC75B7">
              <w:rPr>
                <w:rFonts w:ascii="Verdana" w:hAnsi="Verdana"/>
                <w:i/>
                <w:sz w:val="18"/>
                <w:szCs w:val="18"/>
              </w:rPr>
              <w:t>bird</w:t>
            </w:r>
          </w:p>
        </w:tc>
        <w:tc>
          <w:tcPr>
            <w:tcW w:w="2268" w:type="dxa"/>
          </w:tcPr>
          <w:p w14:paraId="4F1F4FCF"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pacing w:val="-2"/>
                <w:sz w:val="18"/>
                <w:szCs w:val="18"/>
              </w:rPr>
              <w:t>Blackbird</w:t>
            </w:r>
          </w:p>
        </w:tc>
        <w:tc>
          <w:tcPr>
            <w:tcW w:w="1207" w:type="dxa"/>
          </w:tcPr>
          <w:p w14:paraId="7F45A6DD"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18</w:t>
            </w:r>
          </w:p>
        </w:tc>
        <w:tc>
          <w:tcPr>
            <w:tcW w:w="924" w:type="dxa"/>
          </w:tcPr>
          <w:p w14:paraId="2E1F775A"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pacing w:val="-5"/>
                <w:sz w:val="18"/>
                <w:szCs w:val="18"/>
              </w:rPr>
              <w:t>LC</w:t>
            </w:r>
          </w:p>
        </w:tc>
        <w:tc>
          <w:tcPr>
            <w:tcW w:w="1560" w:type="dxa"/>
          </w:tcPr>
          <w:p w14:paraId="08329655"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w:t>
            </w:r>
          </w:p>
        </w:tc>
        <w:tc>
          <w:tcPr>
            <w:tcW w:w="1416" w:type="dxa"/>
          </w:tcPr>
          <w:p w14:paraId="17BDFE2B" w14:textId="77777777" w:rsidR="008715BE" w:rsidRPr="00EC75B7" w:rsidRDefault="00000000">
            <w:pPr>
              <w:pStyle w:val="TableParagraph"/>
              <w:spacing w:before="68"/>
              <w:ind w:left="9"/>
              <w:jc w:val="center"/>
              <w:rPr>
                <w:rFonts w:ascii="Verdana" w:hAnsi="Verdana"/>
                <w:sz w:val="18"/>
                <w:szCs w:val="18"/>
              </w:rPr>
            </w:pPr>
            <w:r w:rsidRPr="00EC75B7">
              <w:rPr>
                <w:rFonts w:ascii="Verdana" w:hAnsi="Verdana"/>
                <w:sz w:val="18"/>
                <w:szCs w:val="18"/>
              </w:rPr>
              <w:t>-</w:t>
            </w:r>
          </w:p>
        </w:tc>
        <w:tc>
          <w:tcPr>
            <w:tcW w:w="1985" w:type="dxa"/>
          </w:tcPr>
          <w:p w14:paraId="6ECC6F71"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33DC2841"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2001162A"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5E2C305A" w14:textId="77777777">
        <w:trPr>
          <w:trHeight w:val="316"/>
        </w:trPr>
        <w:tc>
          <w:tcPr>
            <w:tcW w:w="847" w:type="dxa"/>
          </w:tcPr>
          <w:p w14:paraId="1C5F9883" w14:textId="77777777" w:rsidR="008715BE" w:rsidRPr="00EC75B7" w:rsidRDefault="00000000">
            <w:pPr>
              <w:pStyle w:val="TableParagraph"/>
              <w:spacing w:before="10"/>
              <w:ind w:left="12"/>
              <w:jc w:val="center"/>
              <w:rPr>
                <w:rFonts w:ascii="Verdana" w:hAnsi="Verdana"/>
                <w:sz w:val="18"/>
                <w:szCs w:val="18"/>
              </w:rPr>
            </w:pPr>
            <w:r w:rsidRPr="00EC75B7">
              <w:rPr>
                <w:rFonts w:ascii="Verdana" w:hAnsi="Verdana"/>
                <w:spacing w:val="-5"/>
                <w:sz w:val="18"/>
                <w:szCs w:val="18"/>
              </w:rPr>
              <w:t>61</w:t>
            </w:r>
          </w:p>
        </w:tc>
        <w:tc>
          <w:tcPr>
            <w:tcW w:w="2405" w:type="dxa"/>
          </w:tcPr>
          <w:p w14:paraId="1A6A9FBA" w14:textId="77777777" w:rsidR="008715BE" w:rsidRPr="00EC75B7" w:rsidRDefault="00000000">
            <w:pPr>
              <w:pStyle w:val="TableParagraph"/>
              <w:spacing w:before="10"/>
              <w:ind w:left="13" w:right="5"/>
              <w:jc w:val="center"/>
              <w:rPr>
                <w:rFonts w:ascii="Verdana" w:hAnsi="Verdana"/>
                <w:i/>
                <w:sz w:val="18"/>
                <w:szCs w:val="18"/>
              </w:rPr>
            </w:pPr>
            <w:r w:rsidRPr="00EC75B7">
              <w:rPr>
                <w:rFonts w:ascii="Verdana" w:hAnsi="Verdana"/>
                <w:i/>
                <w:sz w:val="18"/>
                <w:szCs w:val="18"/>
              </w:rPr>
              <w:t xml:space="preserve">Turdus </w:t>
            </w:r>
            <w:r w:rsidRPr="00EC75B7">
              <w:rPr>
                <w:rFonts w:ascii="Verdana" w:hAnsi="Verdana"/>
                <w:i/>
                <w:spacing w:val="-2"/>
                <w:sz w:val="18"/>
                <w:szCs w:val="18"/>
              </w:rPr>
              <w:t>philomelos</w:t>
            </w:r>
          </w:p>
        </w:tc>
        <w:tc>
          <w:tcPr>
            <w:tcW w:w="2268" w:type="dxa"/>
          </w:tcPr>
          <w:p w14:paraId="077E56A6" w14:textId="77777777" w:rsidR="008715BE" w:rsidRPr="00EC75B7" w:rsidRDefault="00000000">
            <w:pPr>
              <w:pStyle w:val="TableParagraph"/>
              <w:spacing w:before="70"/>
              <w:ind w:left="13" w:right="5"/>
              <w:jc w:val="center"/>
              <w:rPr>
                <w:rFonts w:ascii="Verdana" w:hAnsi="Verdana"/>
                <w:sz w:val="18"/>
                <w:szCs w:val="18"/>
              </w:rPr>
            </w:pPr>
            <w:r w:rsidRPr="00EC75B7">
              <w:rPr>
                <w:rFonts w:ascii="Verdana" w:hAnsi="Verdana"/>
                <w:spacing w:val="-2"/>
                <w:sz w:val="18"/>
                <w:szCs w:val="18"/>
              </w:rPr>
              <w:t xml:space="preserve">Song </w:t>
            </w:r>
            <w:r w:rsidRPr="00EC75B7">
              <w:rPr>
                <w:rFonts w:ascii="Verdana" w:hAnsi="Verdana"/>
                <w:sz w:val="18"/>
                <w:szCs w:val="18"/>
              </w:rPr>
              <w:t>thrush</w:t>
            </w:r>
          </w:p>
        </w:tc>
        <w:tc>
          <w:tcPr>
            <w:tcW w:w="1207" w:type="dxa"/>
          </w:tcPr>
          <w:p w14:paraId="14CEDB00" w14:textId="77777777" w:rsidR="008715BE" w:rsidRPr="00EC75B7" w:rsidRDefault="00000000">
            <w:pPr>
              <w:pStyle w:val="TableParagraph"/>
              <w:spacing w:before="70"/>
              <w:ind w:left="14" w:right="4"/>
              <w:jc w:val="center"/>
              <w:rPr>
                <w:rFonts w:ascii="Verdana" w:hAnsi="Verdana"/>
                <w:sz w:val="18"/>
                <w:szCs w:val="18"/>
              </w:rPr>
            </w:pPr>
            <w:r w:rsidRPr="00EC75B7">
              <w:rPr>
                <w:rFonts w:ascii="Verdana" w:hAnsi="Verdana"/>
                <w:spacing w:val="-10"/>
                <w:sz w:val="18"/>
                <w:szCs w:val="18"/>
              </w:rPr>
              <w:t>7</w:t>
            </w:r>
          </w:p>
        </w:tc>
        <w:tc>
          <w:tcPr>
            <w:tcW w:w="924" w:type="dxa"/>
          </w:tcPr>
          <w:p w14:paraId="5EB4476B"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4524CB75"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2F9E1D73"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5FDC855D"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419" w:type="dxa"/>
          </w:tcPr>
          <w:p w14:paraId="29F530A8"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3E5857C7"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r w:rsidR="008715BE" w:rsidRPr="00EC75B7" w14:paraId="5B43B08E" w14:textId="77777777">
        <w:trPr>
          <w:trHeight w:val="313"/>
        </w:trPr>
        <w:tc>
          <w:tcPr>
            <w:tcW w:w="847" w:type="dxa"/>
          </w:tcPr>
          <w:p w14:paraId="6047DC56"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62</w:t>
            </w:r>
          </w:p>
        </w:tc>
        <w:tc>
          <w:tcPr>
            <w:tcW w:w="2405" w:type="dxa"/>
          </w:tcPr>
          <w:p w14:paraId="3FDCC1CF" w14:textId="77777777" w:rsidR="008715BE" w:rsidRPr="00EC75B7" w:rsidRDefault="00000000">
            <w:pPr>
              <w:pStyle w:val="TableParagraph"/>
              <w:spacing w:before="8"/>
              <w:ind w:left="13" w:right="3"/>
              <w:jc w:val="center"/>
              <w:rPr>
                <w:rFonts w:ascii="Verdana" w:hAnsi="Verdana"/>
                <w:i/>
                <w:sz w:val="18"/>
                <w:szCs w:val="18"/>
              </w:rPr>
            </w:pPr>
            <w:r w:rsidRPr="00EC75B7">
              <w:rPr>
                <w:rFonts w:ascii="Verdana" w:hAnsi="Verdana"/>
                <w:i/>
                <w:sz w:val="18"/>
                <w:szCs w:val="18"/>
              </w:rPr>
              <w:t xml:space="preserve">Turdus </w:t>
            </w:r>
            <w:r w:rsidRPr="00EC75B7">
              <w:rPr>
                <w:rFonts w:ascii="Verdana" w:hAnsi="Verdana"/>
                <w:i/>
                <w:spacing w:val="-2"/>
                <w:sz w:val="18"/>
                <w:szCs w:val="18"/>
              </w:rPr>
              <w:t>pilaris</w:t>
            </w:r>
          </w:p>
        </w:tc>
        <w:tc>
          <w:tcPr>
            <w:tcW w:w="2268" w:type="dxa"/>
          </w:tcPr>
          <w:p w14:paraId="1303F1A0" w14:textId="77777777" w:rsidR="008715BE" w:rsidRPr="00EC75B7" w:rsidRDefault="00000000">
            <w:pPr>
              <w:pStyle w:val="TableParagraph"/>
              <w:spacing w:before="68"/>
              <w:ind w:left="13" w:right="2"/>
              <w:jc w:val="center"/>
              <w:rPr>
                <w:rFonts w:ascii="Verdana" w:hAnsi="Verdana"/>
                <w:sz w:val="18"/>
                <w:szCs w:val="18"/>
              </w:rPr>
            </w:pPr>
            <w:r w:rsidRPr="00EC75B7">
              <w:rPr>
                <w:rFonts w:ascii="Verdana" w:hAnsi="Verdana"/>
                <w:spacing w:val="-2"/>
                <w:sz w:val="18"/>
                <w:szCs w:val="18"/>
              </w:rPr>
              <w:t>Redwing</w:t>
            </w:r>
          </w:p>
        </w:tc>
        <w:tc>
          <w:tcPr>
            <w:tcW w:w="1207" w:type="dxa"/>
          </w:tcPr>
          <w:p w14:paraId="19594F49" w14:textId="77777777" w:rsidR="008715BE" w:rsidRPr="00EC75B7" w:rsidRDefault="00000000">
            <w:pPr>
              <w:pStyle w:val="TableParagraph"/>
              <w:spacing w:before="68"/>
              <w:ind w:left="14"/>
              <w:jc w:val="center"/>
              <w:rPr>
                <w:rFonts w:ascii="Verdana" w:hAnsi="Verdana"/>
                <w:sz w:val="18"/>
                <w:szCs w:val="18"/>
              </w:rPr>
            </w:pPr>
            <w:r w:rsidRPr="00EC75B7">
              <w:rPr>
                <w:rFonts w:ascii="Verdana" w:hAnsi="Verdana"/>
                <w:spacing w:val="-5"/>
                <w:sz w:val="18"/>
                <w:szCs w:val="18"/>
              </w:rPr>
              <w:t>38</w:t>
            </w:r>
          </w:p>
        </w:tc>
        <w:tc>
          <w:tcPr>
            <w:tcW w:w="924" w:type="dxa"/>
          </w:tcPr>
          <w:p w14:paraId="124353ED" w14:textId="77777777" w:rsidR="008715BE" w:rsidRPr="00EC75B7" w:rsidRDefault="00000000">
            <w:pPr>
              <w:pStyle w:val="TableParagraph"/>
              <w:spacing w:before="68"/>
              <w:ind w:left="12"/>
              <w:jc w:val="center"/>
              <w:rPr>
                <w:rFonts w:ascii="Verdana" w:hAnsi="Verdana"/>
                <w:sz w:val="18"/>
                <w:szCs w:val="18"/>
              </w:rPr>
            </w:pPr>
            <w:r w:rsidRPr="00EC75B7">
              <w:rPr>
                <w:rFonts w:ascii="Verdana" w:hAnsi="Verdana"/>
                <w:spacing w:val="-5"/>
                <w:sz w:val="18"/>
                <w:szCs w:val="18"/>
              </w:rPr>
              <w:t>VU</w:t>
            </w:r>
          </w:p>
        </w:tc>
        <w:tc>
          <w:tcPr>
            <w:tcW w:w="1560" w:type="dxa"/>
          </w:tcPr>
          <w:p w14:paraId="3BF76B9D" w14:textId="77777777" w:rsidR="008715BE" w:rsidRPr="00EC75B7" w:rsidRDefault="00000000">
            <w:pPr>
              <w:pStyle w:val="TableParagraph"/>
              <w:spacing w:before="68"/>
              <w:ind w:left="13"/>
              <w:jc w:val="center"/>
              <w:rPr>
                <w:rFonts w:ascii="Verdana" w:hAnsi="Verdana"/>
                <w:sz w:val="18"/>
                <w:szCs w:val="18"/>
              </w:rPr>
            </w:pPr>
            <w:r w:rsidRPr="00EC75B7">
              <w:rPr>
                <w:rFonts w:ascii="Verdana" w:hAnsi="Verdana"/>
                <w:sz w:val="18"/>
                <w:szCs w:val="18"/>
              </w:rPr>
              <w:t xml:space="preserve">Annex II </w:t>
            </w:r>
            <w:r w:rsidRPr="00EC75B7">
              <w:rPr>
                <w:rFonts w:ascii="Verdana" w:hAnsi="Verdana"/>
                <w:spacing w:val="-10"/>
                <w:sz w:val="18"/>
                <w:szCs w:val="18"/>
              </w:rPr>
              <w:t>B</w:t>
            </w:r>
          </w:p>
        </w:tc>
        <w:tc>
          <w:tcPr>
            <w:tcW w:w="1416" w:type="dxa"/>
          </w:tcPr>
          <w:p w14:paraId="1DE82893"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5C</w:t>
            </w:r>
          </w:p>
        </w:tc>
        <w:tc>
          <w:tcPr>
            <w:tcW w:w="1985" w:type="dxa"/>
          </w:tcPr>
          <w:p w14:paraId="6E694E44"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419" w:type="dxa"/>
          </w:tcPr>
          <w:p w14:paraId="58EC6FC0" w14:textId="77777777" w:rsidR="008715BE" w:rsidRPr="00EC75B7" w:rsidRDefault="00000000">
            <w:pPr>
              <w:pStyle w:val="TableParagraph"/>
              <w:spacing w:before="68"/>
              <w:ind w:left="11"/>
              <w:jc w:val="center"/>
              <w:rPr>
                <w:rFonts w:ascii="Verdana" w:hAnsi="Verdana"/>
                <w:sz w:val="18"/>
                <w:szCs w:val="18"/>
              </w:rPr>
            </w:pPr>
            <w:r w:rsidRPr="00EC75B7">
              <w:rPr>
                <w:rFonts w:ascii="Verdana" w:hAnsi="Verdana"/>
                <w:sz w:val="18"/>
                <w:szCs w:val="18"/>
              </w:rPr>
              <w:t>-</w:t>
            </w:r>
          </w:p>
        </w:tc>
        <w:tc>
          <w:tcPr>
            <w:tcW w:w="1282" w:type="dxa"/>
          </w:tcPr>
          <w:p w14:paraId="01880C12" w14:textId="77777777" w:rsidR="008715BE" w:rsidRPr="00EC75B7" w:rsidRDefault="00000000">
            <w:pPr>
              <w:pStyle w:val="TableParagraph"/>
              <w:spacing w:before="68"/>
              <w:ind w:left="8"/>
              <w:jc w:val="center"/>
              <w:rPr>
                <w:rFonts w:ascii="Verdana" w:hAnsi="Verdana"/>
                <w:sz w:val="18"/>
                <w:szCs w:val="18"/>
              </w:rPr>
            </w:pPr>
            <w:r w:rsidRPr="00EC75B7">
              <w:rPr>
                <w:rFonts w:ascii="Verdana" w:hAnsi="Verdana"/>
                <w:sz w:val="18"/>
                <w:szCs w:val="18"/>
              </w:rPr>
              <w:t>-</w:t>
            </w:r>
          </w:p>
        </w:tc>
      </w:tr>
      <w:tr w:rsidR="008715BE" w:rsidRPr="00EC75B7" w14:paraId="6307DBD1" w14:textId="77777777">
        <w:trPr>
          <w:trHeight w:val="316"/>
        </w:trPr>
        <w:tc>
          <w:tcPr>
            <w:tcW w:w="847" w:type="dxa"/>
          </w:tcPr>
          <w:p w14:paraId="4ED92342" w14:textId="77777777" w:rsidR="008715BE" w:rsidRPr="00EC75B7" w:rsidRDefault="00000000">
            <w:pPr>
              <w:pStyle w:val="TableParagraph"/>
              <w:spacing w:before="8"/>
              <w:ind w:left="12"/>
              <w:jc w:val="center"/>
              <w:rPr>
                <w:rFonts w:ascii="Verdana" w:hAnsi="Verdana"/>
                <w:sz w:val="18"/>
                <w:szCs w:val="18"/>
              </w:rPr>
            </w:pPr>
            <w:r w:rsidRPr="00EC75B7">
              <w:rPr>
                <w:rFonts w:ascii="Verdana" w:hAnsi="Verdana"/>
                <w:spacing w:val="-5"/>
                <w:sz w:val="18"/>
                <w:szCs w:val="18"/>
              </w:rPr>
              <w:t>63</w:t>
            </w:r>
          </w:p>
        </w:tc>
        <w:tc>
          <w:tcPr>
            <w:tcW w:w="2405" w:type="dxa"/>
          </w:tcPr>
          <w:p w14:paraId="7B2A80F3" w14:textId="77777777" w:rsidR="008715BE" w:rsidRPr="00EC75B7" w:rsidRDefault="00000000">
            <w:pPr>
              <w:pStyle w:val="TableParagraph"/>
              <w:spacing w:before="8"/>
              <w:ind w:left="13" w:right="1"/>
              <w:jc w:val="center"/>
              <w:rPr>
                <w:rFonts w:ascii="Verdana" w:hAnsi="Verdana"/>
                <w:i/>
                <w:sz w:val="18"/>
                <w:szCs w:val="18"/>
              </w:rPr>
            </w:pPr>
            <w:r w:rsidRPr="00EC75B7">
              <w:rPr>
                <w:rFonts w:ascii="Verdana" w:hAnsi="Verdana"/>
                <w:i/>
                <w:sz w:val="18"/>
                <w:szCs w:val="18"/>
              </w:rPr>
              <w:t>Ho</w:t>
            </w:r>
            <w:r w:rsidRPr="00EC75B7">
              <w:rPr>
                <w:rFonts w:ascii="Verdana" w:hAnsi="Verdana"/>
                <w:i/>
                <w:spacing w:val="-2"/>
                <w:sz w:val="18"/>
                <w:szCs w:val="18"/>
              </w:rPr>
              <w:t>op</w:t>
            </w:r>
            <w:r w:rsidRPr="00EC75B7">
              <w:rPr>
                <w:rFonts w:ascii="Verdana" w:hAnsi="Verdana"/>
                <w:i/>
                <w:sz w:val="18"/>
                <w:szCs w:val="18"/>
              </w:rPr>
              <w:t>oe</w:t>
            </w:r>
          </w:p>
        </w:tc>
        <w:tc>
          <w:tcPr>
            <w:tcW w:w="2268" w:type="dxa"/>
          </w:tcPr>
          <w:p w14:paraId="28A1F2A6" w14:textId="77777777" w:rsidR="008715BE" w:rsidRPr="00EC75B7" w:rsidRDefault="00000000">
            <w:pPr>
              <w:pStyle w:val="TableParagraph"/>
              <w:spacing w:before="70"/>
              <w:ind w:left="13" w:right="2"/>
              <w:jc w:val="center"/>
              <w:rPr>
                <w:rFonts w:ascii="Verdana" w:hAnsi="Verdana"/>
                <w:sz w:val="18"/>
                <w:szCs w:val="18"/>
              </w:rPr>
            </w:pPr>
            <w:r w:rsidRPr="00EC75B7">
              <w:rPr>
                <w:rFonts w:ascii="Verdana" w:hAnsi="Verdana"/>
                <w:spacing w:val="-2"/>
                <w:sz w:val="18"/>
                <w:szCs w:val="18"/>
              </w:rPr>
              <w:t>Hoopoe</w:t>
            </w:r>
          </w:p>
        </w:tc>
        <w:tc>
          <w:tcPr>
            <w:tcW w:w="1207" w:type="dxa"/>
          </w:tcPr>
          <w:p w14:paraId="67E69442" w14:textId="77777777" w:rsidR="008715BE" w:rsidRPr="00EC75B7" w:rsidRDefault="00000000">
            <w:pPr>
              <w:pStyle w:val="TableParagraph"/>
              <w:spacing w:before="70"/>
              <w:ind w:left="14"/>
              <w:jc w:val="center"/>
              <w:rPr>
                <w:rFonts w:ascii="Verdana" w:hAnsi="Verdana"/>
                <w:sz w:val="18"/>
                <w:szCs w:val="18"/>
              </w:rPr>
            </w:pPr>
            <w:r w:rsidRPr="00EC75B7">
              <w:rPr>
                <w:rFonts w:ascii="Verdana" w:hAnsi="Verdana"/>
                <w:spacing w:val="-5"/>
                <w:sz w:val="18"/>
                <w:szCs w:val="18"/>
              </w:rPr>
              <w:t>51</w:t>
            </w:r>
          </w:p>
        </w:tc>
        <w:tc>
          <w:tcPr>
            <w:tcW w:w="924" w:type="dxa"/>
          </w:tcPr>
          <w:p w14:paraId="13D28C89"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pacing w:val="-5"/>
                <w:sz w:val="18"/>
                <w:szCs w:val="18"/>
              </w:rPr>
              <w:t>LC</w:t>
            </w:r>
          </w:p>
        </w:tc>
        <w:tc>
          <w:tcPr>
            <w:tcW w:w="1560" w:type="dxa"/>
          </w:tcPr>
          <w:p w14:paraId="0F660E1B" w14:textId="77777777" w:rsidR="008715BE" w:rsidRPr="00EC75B7" w:rsidRDefault="00000000">
            <w:pPr>
              <w:pStyle w:val="TableParagraph"/>
              <w:spacing w:before="70"/>
              <w:ind w:left="13"/>
              <w:jc w:val="center"/>
              <w:rPr>
                <w:rFonts w:ascii="Verdana" w:hAnsi="Verdana"/>
                <w:sz w:val="18"/>
                <w:szCs w:val="18"/>
              </w:rPr>
            </w:pPr>
            <w:r w:rsidRPr="00EC75B7">
              <w:rPr>
                <w:rFonts w:ascii="Verdana" w:hAnsi="Verdana"/>
                <w:sz w:val="18"/>
                <w:szCs w:val="18"/>
              </w:rPr>
              <w:t>-</w:t>
            </w:r>
          </w:p>
        </w:tc>
        <w:tc>
          <w:tcPr>
            <w:tcW w:w="1416" w:type="dxa"/>
          </w:tcPr>
          <w:p w14:paraId="5937ED56" w14:textId="77777777" w:rsidR="008715BE" w:rsidRPr="00EC75B7" w:rsidRDefault="00000000">
            <w:pPr>
              <w:pStyle w:val="TableParagraph"/>
              <w:spacing w:before="70"/>
              <w:ind w:left="12"/>
              <w:jc w:val="center"/>
              <w:rPr>
                <w:rFonts w:ascii="Verdana" w:hAnsi="Verdana"/>
                <w:sz w:val="18"/>
                <w:szCs w:val="18"/>
              </w:rPr>
            </w:pPr>
            <w:r w:rsidRPr="00EC75B7">
              <w:rPr>
                <w:rFonts w:ascii="Verdana" w:hAnsi="Verdana"/>
                <w:sz w:val="18"/>
                <w:szCs w:val="18"/>
              </w:rPr>
              <w:t>Annex</w:t>
            </w:r>
            <w:r w:rsidRPr="00EC75B7">
              <w:rPr>
                <w:rFonts w:ascii="Verdana" w:hAnsi="Verdana"/>
                <w:spacing w:val="-5"/>
                <w:sz w:val="18"/>
                <w:szCs w:val="18"/>
              </w:rPr>
              <w:t xml:space="preserve"> 4B</w:t>
            </w:r>
          </w:p>
        </w:tc>
        <w:tc>
          <w:tcPr>
            <w:tcW w:w="1985" w:type="dxa"/>
          </w:tcPr>
          <w:p w14:paraId="5198D9AD" w14:textId="77777777" w:rsidR="008715BE" w:rsidRPr="00EC75B7" w:rsidRDefault="00000000">
            <w:pPr>
              <w:pStyle w:val="TableParagraph"/>
              <w:spacing w:before="70"/>
              <w:ind w:left="10"/>
              <w:jc w:val="center"/>
              <w:rPr>
                <w:rFonts w:ascii="Verdana" w:hAnsi="Verdana"/>
                <w:sz w:val="18"/>
                <w:szCs w:val="18"/>
              </w:rPr>
            </w:pPr>
            <w:r w:rsidRPr="00EC75B7">
              <w:rPr>
                <w:rFonts w:ascii="Verdana" w:hAnsi="Verdana"/>
                <w:spacing w:val="-2"/>
                <w:sz w:val="18"/>
                <w:szCs w:val="18"/>
              </w:rPr>
              <w:t xml:space="preserve">Vulnerable </w:t>
            </w:r>
            <w:r w:rsidRPr="00EC75B7">
              <w:rPr>
                <w:rFonts w:ascii="Verdana" w:hAnsi="Verdana"/>
                <w:sz w:val="18"/>
                <w:szCs w:val="18"/>
              </w:rPr>
              <w:t>species</w:t>
            </w:r>
          </w:p>
        </w:tc>
        <w:tc>
          <w:tcPr>
            <w:tcW w:w="1419" w:type="dxa"/>
          </w:tcPr>
          <w:p w14:paraId="6FE3AF17" w14:textId="77777777" w:rsidR="008715BE" w:rsidRPr="00EC75B7" w:rsidRDefault="00000000">
            <w:pPr>
              <w:pStyle w:val="TableParagraph"/>
              <w:spacing w:before="70"/>
              <w:ind w:left="11"/>
              <w:jc w:val="center"/>
              <w:rPr>
                <w:rFonts w:ascii="Verdana" w:hAnsi="Verdana"/>
                <w:sz w:val="18"/>
                <w:szCs w:val="18"/>
              </w:rPr>
            </w:pPr>
            <w:r w:rsidRPr="00EC75B7">
              <w:rPr>
                <w:rFonts w:ascii="Verdana" w:hAnsi="Verdana"/>
                <w:sz w:val="18"/>
                <w:szCs w:val="18"/>
              </w:rPr>
              <w:t>-</w:t>
            </w:r>
          </w:p>
        </w:tc>
        <w:tc>
          <w:tcPr>
            <w:tcW w:w="1282" w:type="dxa"/>
          </w:tcPr>
          <w:p w14:paraId="0CC0FF1E" w14:textId="77777777" w:rsidR="008715BE" w:rsidRPr="00EC75B7" w:rsidRDefault="00000000">
            <w:pPr>
              <w:pStyle w:val="TableParagraph"/>
              <w:spacing w:before="70"/>
              <w:ind w:left="8"/>
              <w:jc w:val="center"/>
              <w:rPr>
                <w:rFonts w:ascii="Verdana" w:hAnsi="Verdana"/>
                <w:sz w:val="18"/>
                <w:szCs w:val="18"/>
              </w:rPr>
            </w:pPr>
            <w:r w:rsidRPr="00EC75B7">
              <w:rPr>
                <w:rFonts w:ascii="Verdana" w:hAnsi="Verdana"/>
                <w:sz w:val="18"/>
                <w:szCs w:val="18"/>
              </w:rPr>
              <w:t>-</w:t>
            </w:r>
          </w:p>
        </w:tc>
      </w:tr>
    </w:tbl>
    <w:p w14:paraId="3F88CA6D" w14:textId="77777777" w:rsidR="008715BE" w:rsidRPr="00EC75B7" w:rsidRDefault="00000000">
      <w:pPr>
        <w:spacing w:before="14" w:line="171" w:lineRule="exact"/>
        <w:ind w:left="569"/>
        <w:jc w:val="both"/>
        <w:rPr>
          <w:rFonts w:ascii="Verdana" w:hAnsi="Verdana"/>
          <w:i/>
          <w:sz w:val="18"/>
          <w:szCs w:val="18"/>
        </w:rPr>
      </w:pPr>
      <w:r w:rsidRPr="00EC75B7">
        <w:rPr>
          <w:rFonts w:ascii="Verdana" w:hAnsi="Verdana"/>
          <w:i/>
          <w:spacing w:val="-3"/>
          <w:sz w:val="18"/>
          <w:szCs w:val="18"/>
        </w:rPr>
        <w:t>I</w:t>
      </w:r>
      <w:r w:rsidRPr="00EC75B7">
        <w:rPr>
          <w:rFonts w:ascii="Verdana" w:hAnsi="Verdana"/>
          <w:b/>
          <w:i/>
          <w:sz w:val="18"/>
          <w:szCs w:val="18"/>
        </w:rPr>
        <w:t>UCN</w:t>
      </w:r>
      <w:r w:rsidRPr="00EC75B7">
        <w:rPr>
          <w:rFonts w:ascii="Verdana" w:hAnsi="Verdana"/>
          <w:i/>
          <w:sz w:val="18"/>
          <w:szCs w:val="18"/>
        </w:rPr>
        <w:t xml:space="preserve">: LC – Least Concern; NT – Near Threatened; VU – </w:t>
      </w:r>
      <w:r w:rsidRPr="00EC75B7">
        <w:rPr>
          <w:rFonts w:ascii="Verdana" w:hAnsi="Verdana"/>
          <w:i/>
          <w:spacing w:val="-2"/>
          <w:sz w:val="18"/>
          <w:szCs w:val="18"/>
        </w:rPr>
        <w:t>Vulnerable;</w:t>
      </w:r>
    </w:p>
    <w:p w14:paraId="7DCA87D8" w14:textId="77777777" w:rsidR="008715BE" w:rsidRPr="00EC75B7" w:rsidRDefault="00000000">
      <w:pPr>
        <w:ind w:left="569" w:right="421"/>
        <w:jc w:val="both"/>
        <w:rPr>
          <w:rFonts w:ascii="Verdana" w:hAnsi="Verdana"/>
          <w:i/>
          <w:sz w:val="18"/>
          <w:szCs w:val="18"/>
        </w:rPr>
      </w:pPr>
      <w:r w:rsidRPr="00EC75B7">
        <w:rPr>
          <w:rFonts w:ascii="Verdana" w:hAnsi="Verdana"/>
          <w:b/>
          <w:i/>
          <w:sz w:val="18"/>
          <w:szCs w:val="18"/>
        </w:rPr>
        <w:t>Birds Directive</w:t>
      </w:r>
      <w:r w:rsidRPr="00EC75B7">
        <w:rPr>
          <w:rFonts w:ascii="Verdana" w:hAnsi="Verdana"/>
          <w:i/>
          <w:sz w:val="18"/>
          <w:szCs w:val="18"/>
        </w:rPr>
        <w:t>: Annex I - Species subject to special conservation measures for their habitats in order to ensure their survival and reproduction in their area of distribution; Annex II A - Species that may be hunted in the geographical sea and land area to which this Directive applies;</w:t>
      </w:r>
      <w:r w:rsidRPr="00EC75B7">
        <w:rPr>
          <w:rFonts w:ascii="Verdana" w:hAnsi="Verdana"/>
          <w:i/>
          <w:spacing w:val="20"/>
          <w:sz w:val="18"/>
          <w:szCs w:val="18"/>
        </w:rPr>
        <w:t xml:space="preserve"> </w:t>
      </w:r>
      <w:r w:rsidRPr="00EC75B7">
        <w:rPr>
          <w:rFonts w:ascii="Verdana" w:hAnsi="Verdana"/>
          <w:i/>
          <w:sz w:val="18"/>
          <w:szCs w:val="18"/>
        </w:rPr>
        <w:t>Annex II B - Species which may be hunted only in certain Member States specified in the Directive; Annex II B - Species which may be hunted only in certain Member States specified in the Directive; Annex III A - Species for which the sale, transport for sale,</w:t>
      </w:r>
      <w:r w:rsidRPr="00EC75B7">
        <w:rPr>
          <w:rFonts w:ascii="Verdana" w:hAnsi="Verdana"/>
          <w:i/>
          <w:spacing w:val="23"/>
          <w:sz w:val="18"/>
          <w:szCs w:val="18"/>
        </w:rPr>
        <w:t xml:space="preserve"> </w:t>
      </w:r>
      <w:r w:rsidRPr="00EC75B7">
        <w:rPr>
          <w:rFonts w:ascii="Verdana" w:hAnsi="Verdana"/>
          <w:i/>
          <w:sz w:val="18"/>
          <w:szCs w:val="18"/>
        </w:rPr>
        <w:t>keeping for sale, and offering for sale of live or dead birds and any readily recognizable parts of birds or bird products are not prohibited, provided that the birds have been killed or captured by legal means or have been obtained by legal means;</w:t>
      </w:r>
      <w:r w:rsidRPr="00EC75B7">
        <w:rPr>
          <w:rFonts w:ascii="Verdana" w:hAnsi="Verdana"/>
          <w:i/>
          <w:spacing w:val="24"/>
          <w:sz w:val="18"/>
          <w:szCs w:val="18"/>
        </w:rPr>
        <w:t xml:space="preserve"> </w:t>
      </w:r>
      <w:r w:rsidRPr="00EC75B7">
        <w:rPr>
          <w:rFonts w:ascii="Verdana" w:hAnsi="Verdana"/>
          <w:i/>
          <w:sz w:val="18"/>
          <w:szCs w:val="18"/>
        </w:rPr>
        <w:t>Annex III B - Species of birds for which some Member States may permit on their territory the sale, transport for sale, keeping for sale, and offering for sale of live or dead birds and any easily recognizable parts of birds or bird products, subject to certain restrictions,</w:t>
      </w:r>
      <w:r w:rsidRPr="00EC75B7">
        <w:rPr>
          <w:rFonts w:ascii="Verdana" w:hAnsi="Verdana"/>
          <w:i/>
          <w:spacing w:val="27"/>
          <w:sz w:val="18"/>
          <w:szCs w:val="18"/>
        </w:rPr>
        <w:t xml:space="preserve"> </w:t>
      </w:r>
      <w:r w:rsidRPr="00EC75B7">
        <w:rPr>
          <w:rFonts w:ascii="Verdana" w:hAnsi="Verdana"/>
          <w:i/>
          <w:sz w:val="18"/>
          <w:szCs w:val="18"/>
        </w:rPr>
        <w:t>provided that the birds have been killed or captured by legal means or obtained by legal means.</w:t>
      </w:r>
    </w:p>
    <w:p w14:paraId="5DCA57E9" w14:textId="77777777" w:rsidR="008715BE" w:rsidRPr="00EC75B7" w:rsidRDefault="00000000">
      <w:pPr>
        <w:ind w:left="569" w:right="420"/>
        <w:jc w:val="both"/>
        <w:rPr>
          <w:rFonts w:ascii="Verdana" w:hAnsi="Verdana"/>
          <w:i/>
          <w:sz w:val="18"/>
          <w:szCs w:val="18"/>
        </w:rPr>
      </w:pPr>
      <w:r w:rsidRPr="00EC75B7">
        <w:rPr>
          <w:rFonts w:ascii="Verdana" w:hAnsi="Verdana"/>
          <w:b/>
          <w:i/>
          <w:sz w:val="18"/>
          <w:szCs w:val="18"/>
        </w:rPr>
        <w:t xml:space="preserve">OUG57/2007 </w:t>
      </w:r>
      <w:r w:rsidRPr="00EC75B7">
        <w:rPr>
          <w:rFonts w:ascii="Verdana" w:hAnsi="Verdana"/>
          <w:i/>
          <w:sz w:val="18"/>
          <w:szCs w:val="18"/>
        </w:rPr>
        <w:t>on the regime of protected natural areas, conservation of natural habitats, wild flora and fauna: Annex 3 - Plant and animal species whose conservation requires the designation of special conservation areas and special bird protection areas; Annex 4B - Species of national interest. Animal and plant species requiring strict protection; Annex 5C - Species of Community interest whose hunting is permitted; Annex 5E - Bird species of Community interest whose trade is permitted under special conditions.</w:t>
      </w:r>
    </w:p>
    <w:p w14:paraId="369B7BF5" w14:textId="77777777" w:rsidR="008715BE" w:rsidRPr="00EC75B7" w:rsidRDefault="00000000">
      <w:pPr>
        <w:spacing w:line="168" w:lineRule="exact"/>
        <w:ind w:left="569"/>
        <w:jc w:val="both"/>
        <w:rPr>
          <w:rFonts w:ascii="Verdana" w:hAnsi="Verdana"/>
          <w:i/>
          <w:sz w:val="18"/>
          <w:szCs w:val="18"/>
        </w:rPr>
      </w:pPr>
      <w:r w:rsidRPr="00EC75B7">
        <w:rPr>
          <w:rFonts w:ascii="Verdana" w:hAnsi="Verdana"/>
          <w:b/>
          <w:i/>
          <w:sz w:val="18"/>
          <w:szCs w:val="18"/>
        </w:rPr>
        <w:t xml:space="preserve">Bern Convention: </w:t>
      </w:r>
      <w:r w:rsidRPr="00EC75B7">
        <w:rPr>
          <w:rFonts w:ascii="Verdana" w:hAnsi="Verdana"/>
          <w:i/>
          <w:sz w:val="18"/>
          <w:szCs w:val="18"/>
        </w:rPr>
        <w:t xml:space="preserve">Annex II - Strictly protected fauna species; Annex III - </w:t>
      </w:r>
      <w:r w:rsidRPr="00EC75B7">
        <w:rPr>
          <w:rFonts w:ascii="Verdana" w:hAnsi="Verdana"/>
          <w:i/>
          <w:spacing w:val="-2"/>
          <w:sz w:val="18"/>
          <w:szCs w:val="18"/>
        </w:rPr>
        <w:t xml:space="preserve">Protected </w:t>
      </w:r>
      <w:r w:rsidRPr="00EC75B7">
        <w:rPr>
          <w:rFonts w:ascii="Verdana" w:hAnsi="Verdana"/>
          <w:i/>
          <w:sz w:val="18"/>
          <w:szCs w:val="18"/>
        </w:rPr>
        <w:t>fauna species</w:t>
      </w:r>
      <w:r w:rsidRPr="00EC75B7">
        <w:rPr>
          <w:rFonts w:ascii="Verdana" w:hAnsi="Verdana"/>
          <w:i/>
          <w:spacing w:val="-2"/>
          <w:sz w:val="18"/>
          <w:szCs w:val="18"/>
        </w:rPr>
        <w:t>.</w:t>
      </w:r>
    </w:p>
    <w:p w14:paraId="05EF3894" w14:textId="77777777" w:rsidR="008715BE" w:rsidRPr="00EC75B7" w:rsidRDefault="00000000">
      <w:pPr>
        <w:spacing w:line="169" w:lineRule="exact"/>
        <w:ind w:left="569"/>
        <w:jc w:val="both"/>
        <w:rPr>
          <w:rFonts w:ascii="Verdana" w:hAnsi="Verdana"/>
          <w:i/>
          <w:sz w:val="18"/>
          <w:szCs w:val="18"/>
        </w:rPr>
      </w:pPr>
      <w:r w:rsidRPr="00EC75B7">
        <w:rPr>
          <w:rFonts w:ascii="Verdana" w:hAnsi="Verdana"/>
          <w:b/>
          <w:i/>
          <w:sz w:val="18"/>
          <w:szCs w:val="18"/>
        </w:rPr>
        <w:t xml:space="preserve">Bonn Convention: </w:t>
      </w:r>
      <w:r w:rsidRPr="00EC75B7">
        <w:rPr>
          <w:rFonts w:ascii="Verdana" w:hAnsi="Verdana"/>
          <w:i/>
          <w:sz w:val="18"/>
          <w:szCs w:val="18"/>
        </w:rPr>
        <w:t xml:space="preserve">Annex II - Migratory species to be covered by </w:t>
      </w:r>
      <w:r w:rsidRPr="00EC75B7">
        <w:rPr>
          <w:rFonts w:ascii="Verdana" w:hAnsi="Verdana"/>
          <w:i/>
          <w:spacing w:val="-2"/>
          <w:sz w:val="18"/>
          <w:szCs w:val="18"/>
        </w:rPr>
        <w:t>agreements</w:t>
      </w:r>
    </w:p>
    <w:p w14:paraId="455A3FAF" w14:textId="77777777" w:rsidR="008715BE" w:rsidRPr="00EC75B7" w:rsidRDefault="008715BE">
      <w:pPr>
        <w:spacing w:line="169" w:lineRule="exact"/>
        <w:jc w:val="both"/>
        <w:rPr>
          <w:rFonts w:ascii="Verdana" w:hAnsi="Verdana"/>
          <w:i/>
          <w:sz w:val="18"/>
          <w:szCs w:val="18"/>
        </w:rPr>
        <w:sectPr w:rsidR="008715BE" w:rsidRPr="00EC75B7">
          <w:pgSz w:w="16840" w:h="11910" w:orient="landscape"/>
          <w:pgMar w:top="1260" w:right="992" w:bottom="1020" w:left="283" w:header="766" w:footer="824" w:gutter="0"/>
          <w:cols w:space="708"/>
        </w:sectPr>
      </w:pPr>
    </w:p>
    <w:p w14:paraId="324A0613" w14:textId="77777777" w:rsidR="008715BE" w:rsidRPr="00EC75B7" w:rsidRDefault="008715BE">
      <w:pPr>
        <w:pStyle w:val="BodyText"/>
        <w:rPr>
          <w:rFonts w:ascii="Verdana" w:hAnsi="Verdana"/>
          <w:i/>
        </w:rPr>
      </w:pPr>
    </w:p>
    <w:p w14:paraId="5CD7D726" w14:textId="77777777" w:rsidR="008715BE" w:rsidRPr="00EC75B7" w:rsidRDefault="008715BE">
      <w:pPr>
        <w:pStyle w:val="BodyText"/>
        <w:spacing w:before="51"/>
        <w:rPr>
          <w:rFonts w:ascii="Verdana" w:hAnsi="Verdana"/>
          <w:i/>
        </w:rPr>
      </w:pPr>
    </w:p>
    <w:tbl>
      <w:tblPr>
        <w:tblStyle w:val="TableNormal1"/>
        <w:tblW w:w="0" w:type="auto"/>
        <w:tblInd w:w="123" w:type="dxa"/>
        <w:tblLayout w:type="fixed"/>
        <w:tblLook w:val="01E0" w:firstRow="1" w:lastRow="1" w:firstColumn="1" w:lastColumn="1" w:noHBand="0" w:noVBand="0"/>
      </w:tblPr>
      <w:tblGrid>
        <w:gridCol w:w="4757"/>
        <w:gridCol w:w="4740"/>
      </w:tblGrid>
      <w:tr w:rsidR="008715BE" w:rsidRPr="00EC75B7" w14:paraId="4C6AF55B" w14:textId="77777777">
        <w:trPr>
          <w:trHeight w:val="4533"/>
        </w:trPr>
        <w:tc>
          <w:tcPr>
            <w:tcW w:w="4757" w:type="dxa"/>
          </w:tcPr>
          <w:p w14:paraId="5F65BB3F"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7E9CD348" wp14:editId="616277CD">
                  <wp:extent cx="2835134" cy="2834258"/>
                  <wp:effectExtent l="0" t="0" r="0" b="0"/>
                  <wp:docPr id="178" name="Image 178"/>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32" cstate="print"/>
                          <a:stretch>
                            <a:fillRect/>
                          </a:stretch>
                        </pic:blipFill>
                        <pic:spPr>
                          <a:xfrm>
                            <a:off x="0" y="0"/>
                            <a:ext cx="2835134" cy="2834258"/>
                          </a:xfrm>
                          <a:prstGeom prst="rect">
                            <a:avLst/>
                          </a:prstGeom>
                        </pic:spPr>
                      </pic:pic>
                    </a:graphicData>
                  </a:graphic>
                </wp:inline>
              </w:drawing>
            </w:r>
          </w:p>
        </w:tc>
        <w:tc>
          <w:tcPr>
            <w:tcW w:w="4740" w:type="dxa"/>
          </w:tcPr>
          <w:p w14:paraId="5CCD560C" w14:textId="77777777" w:rsidR="008715BE" w:rsidRPr="00EC75B7" w:rsidRDefault="00000000">
            <w:pPr>
              <w:pStyle w:val="TableParagraph"/>
              <w:ind w:left="155"/>
              <w:rPr>
                <w:rFonts w:ascii="Verdana" w:hAnsi="Verdana"/>
                <w:sz w:val="18"/>
                <w:szCs w:val="18"/>
              </w:rPr>
            </w:pPr>
            <w:r w:rsidRPr="00EC75B7">
              <w:rPr>
                <w:rFonts w:ascii="Verdana" w:hAnsi="Verdana"/>
                <w:noProof/>
                <w:sz w:val="18"/>
                <w:szCs w:val="18"/>
              </w:rPr>
              <w:drawing>
                <wp:inline distT="0" distB="0" distL="0" distR="0" wp14:anchorId="199ADD0D" wp14:editId="651EEC93">
                  <wp:extent cx="2835134" cy="2834258"/>
                  <wp:effectExtent l="0" t="0" r="0" b="0"/>
                  <wp:docPr id="179" name="Image 179"/>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33" cstate="print"/>
                          <a:stretch>
                            <a:fillRect/>
                          </a:stretch>
                        </pic:blipFill>
                        <pic:spPr>
                          <a:xfrm>
                            <a:off x="0" y="0"/>
                            <a:ext cx="2835134" cy="2834258"/>
                          </a:xfrm>
                          <a:prstGeom prst="rect">
                            <a:avLst/>
                          </a:prstGeom>
                        </pic:spPr>
                      </pic:pic>
                    </a:graphicData>
                  </a:graphic>
                </wp:inline>
              </w:drawing>
            </w:r>
          </w:p>
        </w:tc>
      </w:tr>
      <w:tr w:rsidR="008715BE" w:rsidRPr="00EC75B7" w14:paraId="43D84708" w14:textId="77777777">
        <w:trPr>
          <w:trHeight w:val="716"/>
        </w:trPr>
        <w:tc>
          <w:tcPr>
            <w:tcW w:w="4757" w:type="dxa"/>
          </w:tcPr>
          <w:p w14:paraId="3E538C96" w14:textId="77777777" w:rsidR="008715BE" w:rsidRPr="00EC75B7" w:rsidRDefault="00000000">
            <w:pPr>
              <w:pStyle w:val="TableParagraph"/>
              <w:spacing w:before="120"/>
              <w:ind w:left="2106" w:hanging="1966"/>
              <w:rPr>
                <w:rFonts w:ascii="Verdana" w:hAnsi="Verdana"/>
                <w:sz w:val="18"/>
                <w:szCs w:val="18"/>
              </w:rPr>
            </w:pPr>
            <w:r w:rsidRPr="00EC75B7">
              <w:rPr>
                <w:rFonts w:ascii="Verdana" w:hAnsi="Verdana"/>
                <w:sz w:val="18"/>
                <w:szCs w:val="18"/>
              </w:rPr>
              <w:t>White stork (</w:t>
            </w:r>
            <w:r w:rsidRPr="00EC75B7">
              <w:rPr>
                <w:rFonts w:ascii="Verdana" w:hAnsi="Verdana"/>
                <w:i/>
                <w:sz w:val="18"/>
                <w:szCs w:val="18"/>
              </w:rPr>
              <w:t>Ciconia ciconia</w:t>
            </w:r>
            <w:r w:rsidRPr="00EC75B7">
              <w:rPr>
                <w:rFonts w:ascii="Verdana" w:hAnsi="Verdana"/>
                <w:sz w:val="18"/>
                <w:szCs w:val="18"/>
              </w:rPr>
              <w:t xml:space="preserve">) nest in </w:t>
            </w:r>
            <w:r w:rsidRPr="00EC75B7">
              <w:rPr>
                <w:rFonts w:ascii="Verdana" w:hAnsi="Verdana"/>
                <w:spacing w:val="-2"/>
                <w:sz w:val="18"/>
                <w:szCs w:val="18"/>
              </w:rPr>
              <w:t>Olteni</w:t>
            </w:r>
          </w:p>
        </w:tc>
        <w:tc>
          <w:tcPr>
            <w:tcW w:w="4740" w:type="dxa"/>
          </w:tcPr>
          <w:p w14:paraId="264518E1" w14:textId="77777777" w:rsidR="008715BE" w:rsidRPr="00EC75B7" w:rsidRDefault="00000000">
            <w:pPr>
              <w:pStyle w:val="TableParagraph"/>
              <w:spacing w:before="9"/>
              <w:ind w:left="407" w:right="193" w:firstLine="1"/>
              <w:jc w:val="center"/>
              <w:rPr>
                <w:rFonts w:ascii="Verdana" w:hAnsi="Verdana"/>
                <w:sz w:val="18"/>
                <w:szCs w:val="18"/>
              </w:rPr>
            </w:pPr>
            <w:r w:rsidRPr="00EC75B7">
              <w:rPr>
                <w:rFonts w:ascii="Verdana" w:hAnsi="Verdana"/>
                <w:sz w:val="18"/>
                <w:szCs w:val="18"/>
              </w:rPr>
              <w:t>Mixed nesting colony (</w:t>
            </w:r>
            <w:r w:rsidRPr="00EC75B7">
              <w:rPr>
                <w:rFonts w:ascii="Verdana" w:hAnsi="Verdana"/>
                <w:i/>
                <w:sz w:val="18"/>
                <w:szCs w:val="18"/>
              </w:rPr>
              <w:t>Merops apiaster, Sturnus vulgaris</w:t>
            </w:r>
            <w:r w:rsidRPr="00EC75B7">
              <w:rPr>
                <w:rFonts w:ascii="Verdana" w:hAnsi="Verdana"/>
                <w:sz w:val="18"/>
                <w:szCs w:val="18"/>
              </w:rPr>
              <w:t xml:space="preserve">) near the future </w:t>
            </w:r>
            <w:r w:rsidRPr="00EC75B7">
              <w:rPr>
                <w:rFonts w:ascii="Verdana" w:hAnsi="Verdana"/>
                <w:spacing w:val="-2"/>
                <w:sz w:val="18"/>
                <w:szCs w:val="18"/>
              </w:rPr>
              <w:t>wind</w:t>
            </w:r>
            <w:r w:rsidRPr="00EC75B7">
              <w:rPr>
                <w:rFonts w:ascii="Verdana" w:hAnsi="Verdana"/>
                <w:sz w:val="18"/>
                <w:szCs w:val="18"/>
              </w:rPr>
              <w:t xml:space="preserve"> farm</w:t>
            </w:r>
          </w:p>
        </w:tc>
      </w:tr>
      <w:tr w:rsidR="008715BE" w:rsidRPr="00EC75B7" w14:paraId="7BA99FF0" w14:textId="77777777">
        <w:trPr>
          <w:trHeight w:val="4655"/>
        </w:trPr>
        <w:tc>
          <w:tcPr>
            <w:tcW w:w="4757" w:type="dxa"/>
          </w:tcPr>
          <w:p w14:paraId="5B29C8D5" w14:textId="77777777" w:rsidR="008715BE" w:rsidRPr="00EC75B7" w:rsidRDefault="008715BE">
            <w:pPr>
              <w:pStyle w:val="TableParagraph"/>
              <w:spacing w:before="11"/>
              <w:rPr>
                <w:rFonts w:ascii="Verdana" w:hAnsi="Verdana"/>
                <w:i/>
                <w:sz w:val="18"/>
                <w:szCs w:val="18"/>
              </w:rPr>
            </w:pPr>
          </w:p>
          <w:p w14:paraId="6D0A85CB"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6E66ADB9" wp14:editId="742388BE">
                  <wp:extent cx="2900172" cy="2900172"/>
                  <wp:effectExtent l="0" t="0" r="0" b="0"/>
                  <wp:docPr id="180" name="Image 180"/>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34" cstate="print"/>
                          <a:stretch>
                            <a:fillRect/>
                          </a:stretch>
                        </pic:blipFill>
                        <pic:spPr>
                          <a:xfrm>
                            <a:off x="0" y="0"/>
                            <a:ext cx="2900172" cy="2900172"/>
                          </a:xfrm>
                          <a:prstGeom prst="rect">
                            <a:avLst/>
                          </a:prstGeom>
                        </pic:spPr>
                      </pic:pic>
                    </a:graphicData>
                  </a:graphic>
                </wp:inline>
              </w:drawing>
            </w:r>
          </w:p>
        </w:tc>
        <w:tc>
          <w:tcPr>
            <w:tcW w:w="4740" w:type="dxa"/>
          </w:tcPr>
          <w:p w14:paraId="47BBA499" w14:textId="77777777" w:rsidR="008715BE" w:rsidRPr="00EC75B7" w:rsidRDefault="008715BE">
            <w:pPr>
              <w:pStyle w:val="TableParagraph"/>
              <w:spacing w:before="11"/>
              <w:rPr>
                <w:rFonts w:ascii="Verdana" w:hAnsi="Verdana"/>
                <w:i/>
                <w:sz w:val="18"/>
                <w:szCs w:val="18"/>
              </w:rPr>
            </w:pPr>
          </w:p>
          <w:p w14:paraId="04A65222" w14:textId="77777777" w:rsidR="008715BE" w:rsidRPr="00EC75B7" w:rsidRDefault="00000000">
            <w:pPr>
              <w:pStyle w:val="TableParagraph"/>
              <w:ind w:left="155" w:right="-29"/>
              <w:rPr>
                <w:rFonts w:ascii="Verdana" w:hAnsi="Verdana"/>
                <w:sz w:val="18"/>
                <w:szCs w:val="18"/>
              </w:rPr>
            </w:pPr>
            <w:r w:rsidRPr="00EC75B7">
              <w:rPr>
                <w:rFonts w:ascii="Verdana" w:hAnsi="Verdana"/>
                <w:noProof/>
                <w:sz w:val="18"/>
                <w:szCs w:val="18"/>
              </w:rPr>
              <w:drawing>
                <wp:inline distT="0" distB="0" distL="0" distR="0" wp14:anchorId="1241C8A7" wp14:editId="00BB6A3D">
                  <wp:extent cx="2900171" cy="2900172"/>
                  <wp:effectExtent l="0" t="0" r="0" b="0"/>
                  <wp:docPr id="181" name="Image 181"/>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35" cstate="print"/>
                          <a:stretch>
                            <a:fillRect/>
                          </a:stretch>
                        </pic:blipFill>
                        <pic:spPr>
                          <a:xfrm>
                            <a:off x="0" y="0"/>
                            <a:ext cx="2900171" cy="2900172"/>
                          </a:xfrm>
                          <a:prstGeom prst="rect">
                            <a:avLst/>
                          </a:prstGeom>
                        </pic:spPr>
                      </pic:pic>
                    </a:graphicData>
                  </a:graphic>
                </wp:inline>
              </w:drawing>
            </w:r>
          </w:p>
        </w:tc>
      </w:tr>
      <w:tr w:rsidR="008715BE" w:rsidRPr="00EC75B7" w14:paraId="6887F3FC" w14:textId="77777777">
        <w:trPr>
          <w:trHeight w:val="497"/>
        </w:trPr>
        <w:tc>
          <w:tcPr>
            <w:tcW w:w="4757" w:type="dxa"/>
          </w:tcPr>
          <w:p w14:paraId="3569C63B" w14:textId="77777777" w:rsidR="008715BE" w:rsidRPr="00EC75B7" w:rsidRDefault="00000000">
            <w:pPr>
              <w:pStyle w:val="TableParagraph"/>
              <w:spacing w:before="41" w:line="218" w:lineRule="exact"/>
              <w:ind w:left="301" w:hanging="92"/>
              <w:rPr>
                <w:rFonts w:ascii="Verdana" w:hAnsi="Verdana"/>
                <w:sz w:val="18"/>
                <w:szCs w:val="18"/>
              </w:rPr>
            </w:pPr>
            <w:r w:rsidRPr="00EC75B7">
              <w:rPr>
                <w:rFonts w:ascii="Verdana" w:hAnsi="Verdana"/>
                <w:sz w:val="18"/>
                <w:szCs w:val="18"/>
              </w:rPr>
              <w:t>Corn bunting (</w:t>
            </w:r>
            <w:r w:rsidRPr="00EC75B7">
              <w:rPr>
                <w:rFonts w:ascii="Verdana" w:hAnsi="Verdana"/>
                <w:i/>
                <w:sz w:val="18"/>
                <w:szCs w:val="18"/>
              </w:rPr>
              <w:t>Emberiza calandra</w:t>
            </w:r>
            <w:r w:rsidRPr="00EC75B7">
              <w:rPr>
                <w:rFonts w:ascii="Verdana" w:hAnsi="Verdana"/>
                <w:sz w:val="18"/>
                <w:szCs w:val="18"/>
              </w:rPr>
              <w:t>) and yellow wagtail (</w:t>
            </w:r>
            <w:r w:rsidRPr="00EC75B7">
              <w:rPr>
                <w:rFonts w:ascii="Verdana" w:hAnsi="Verdana"/>
                <w:i/>
                <w:sz w:val="18"/>
                <w:szCs w:val="18"/>
              </w:rPr>
              <w:t>Motacilla flava</w:t>
            </w:r>
            <w:r w:rsidRPr="00EC75B7">
              <w:rPr>
                <w:rFonts w:ascii="Verdana" w:hAnsi="Verdana"/>
                <w:sz w:val="18"/>
                <w:szCs w:val="18"/>
              </w:rPr>
              <w:t>) at a temporary pond</w:t>
            </w:r>
          </w:p>
        </w:tc>
        <w:tc>
          <w:tcPr>
            <w:tcW w:w="4740" w:type="dxa"/>
          </w:tcPr>
          <w:p w14:paraId="35E68BA4" w14:textId="77777777" w:rsidR="008715BE" w:rsidRPr="00EC75B7" w:rsidRDefault="00000000">
            <w:pPr>
              <w:pStyle w:val="TableParagraph"/>
              <w:spacing w:before="180"/>
              <w:ind w:left="916"/>
              <w:rPr>
                <w:rFonts w:ascii="Verdana" w:hAnsi="Verdana"/>
                <w:sz w:val="18"/>
                <w:szCs w:val="18"/>
              </w:rPr>
            </w:pPr>
            <w:r w:rsidRPr="00EC75B7">
              <w:rPr>
                <w:rFonts w:ascii="Verdana" w:hAnsi="Verdana"/>
                <w:sz w:val="18"/>
                <w:szCs w:val="18"/>
              </w:rPr>
              <w:t>Whinchat (</w:t>
            </w:r>
            <w:r w:rsidRPr="00EC75B7">
              <w:rPr>
                <w:rFonts w:ascii="Verdana" w:hAnsi="Verdana"/>
                <w:i/>
                <w:sz w:val="18"/>
                <w:szCs w:val="18"/>
              </w:rPr>
              <w:t xml:space="preserve">Saxicola </w:t>
            </w:r>
            <w:r w:rsidRPr="00EC75B7">
              <w:rPr>
                <w:rFonts w:ascii="Verdana" w:hAnsi="Verdana"/>
                <w:i/>
                <w:spacing w:val="-2"/>
                <w:sz w:val="18"/>
                <w:szCs w:val="18"/>
              </w:rPr>
              <w:t>rubetra</w:t>
            </w:r>
            <w:r w:rsidRPr="00EC75B7">
              <w:rPr>
                <w:rFonts w:ascii="Verdana" w:hAnsi="Verdana"/>
                <w:spacing w:val="-2"/>
                <w:sz w:val="18"/>
                <w:szCs w:val="18"/>
              </w:rPr>
              <w:t>)</w:t>
            </w:r>
          </w:p>
        </w:tc>
      </w:tr>
    </w:tbl>
    <w:p w14:paraId="42A7E97B" w14:textId="77777777" w:rsidR="008715BE" w:rsidRPr="00EC75B7" w:rsidRDefault="008715BE">
      <w:pPr>
        <w:pStyle w:val="TableParagraph"/>
        <w:rPr>
          <w:rFonts w:ascii="Verdana" w:hAnsi="Verdana"/>
          <w:sz w:val="18"/>
          <w:szCs w:val="18"/>
        </w:rPr>
        <w:sectPr w:rsidR="008715BE" w:rsidRPr="00EC75B7">
          <w:headerReference w:type="default" r:id="rId136"/>
          <w:footerReference w:type="default" r:id="rId137"/>
          <w:pgSz w:w="11910" w:h="16840"/>
          <w:pgMar w:top="1320" w:right="566" w:bottom="980" w:left="1133" w:header="766" w:footer="799" w:gutter="0"/>
          <w:cols w:space="708"/>
        </w:sectPr>
      </w:pPr>
    </w:p>
    <w:p w14:paraId="3EB4F2D8" w14:textId="77777777" w:rsidR="008715BE" w:rsidRPr="00EC75B7" w:rsidRDefault="008715BE">
      <w:pPr>
        <w:pStyle w:val="BodyText"/>
        <w:spacing w:before="5"/>
        <w:rPr>
          <w:rFonts w:ascii="Verdana" w:hAnsi="Verdana"/>
          <w:i/>
        </w:rPr>
      </w:pPr>
    </w:p>
    <w:tbl>
      <w:tblPr>
        <w:tblStyle w:val="TableNormal1"/>
        <w:tblW w:w="0" w:type="auto"/>
        <w:tblInd w:w="123" w:type="dxa"/>
        <w:tblLayout w:type="fixed"/>
        <w:tblLook w:val="01E0" w:firstRow="1" w:lastRow="1" w:firstColumn="1" w:lastColumn="1" w:noHBand="0" w:noVBand="0"/>
      </w:tblPr>
      <w:tblGrid>
        <w:gridCol w:w="4858"/>
        <w:gridCol w:w="4858"/>
      </w:tblGrid>
      <w:tr w:rsidR="008715BE" w:rsidRPr="00EC75B7" w14:paraId="60E2CD9D" w14:textId="77777777">
        <w:trPr>
          <w:trHeight w:val="5102"/>
        </w:trPr>
        <w:tc>
          <w:tcPr>
            <w:tcW w:w="4858" w:type="dxa"/>
          </w:tcPr>
          <w:p w14:paraId="3ED5162B"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30E76926" wp14:editId="38B9991E">
                  <wp:extent cx="2976888" cy="3194684"/>
                  <wp:effectExtent l="0" t="0" r="0" b="0"/>
                  <wp:docPr id="182" name="Image 182"/>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38" cstate="print"/>
                          <a:stretch>
                            <a:fillRect/>
                          </a:stretch>
                        </pic:blipFill>
                        <pic:spPr>
                          <a:xfrm>
                            <a:off x="0" y="0"/>
                            <a:ext cx="2976888" cy="3194684"/>
                          </a:xfrm>
                          <a:prstGeom prst="rect">
                            <a:avLst/>
                          </a:prstGeom>
                        </pic:spPr>
                      </pic:pic>
                    </a:graphicData>
                  </a:graphic>
                </wp:inline>
              </w:drawing>
            </w:r>
          </w:p>
        </w:tc>
        <w:tc>
          <w:tcPr>
            <w:tcW w:w="4858" w:type="dxa"/>
          </w:tcPr>
          <w:p w14:paraId="0FC05753" w14:textId="77777777" w:rsidR="008715BE" w:rsidRPr="00EC75B7" w:rsidRDefault="00000000">
            <w:pPr>
              <w:pStyle w:val="TableParagraph"/>
              <w:ind w:left="54"/>
              <w:rPr>
                <w:rFonts w:ascii="Verdana" w:hAnsi="Verdana"/>
                <w:sz w:val="18"/>
                <w:szCs w:val="18"/>
              </w:rPr>
            </w:pPr>
            <w:r w:rsidRPr="00EC75B7">
              <w:rPr>
                <w:rFonts w:ascii="Verdana" w:hAnsi="Verdana"/>
                <w:noProof/>
                <w:sz w:val="18"/>
                <w:szCs w:val="18"/>
              </w:rPr>
              <w:drawing>
                <wp:inline distT="0" distB="0" distL="0" distR="0" wp14:anchorId="4333EFB9" wp14:editId="3A8069DE">
                  <wp:extent cx="2977489" cy="3194684"/>
                  <wp:effectExtent l="0" t="0" r="0" b="0"/>
                  <wp:docPr id="183" name="Image 183"/>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9" cstate="print"/>
                          <a:stretch>
                            <a:fillRect/>
                          </a:stretch>
                        </pic:blipFill>
                        <pic:spPr>
                          <a:xfrm>
                            <a:off x="0" y="0"/>
                            <a:ext cx="2977489" cy="3194684"/>
                          </a:xfrm>
                          <a:prstGeom prst="rect">
                            <a:avLst/>
                          </a:prstGeom>
                        </pic:spPr>
                      </pic:pic>
                    </a:graphicData>
                  </a:graphic>
                </wp:inline>
              </w:drawing>
            </w:r>
          </w:p>
        </w:tc>
      </w:tr>
      <w:tr w:rsidR="008715BE" w:rsidRPr="00EC75B7" w14:paraId="1DDA6560" w14:textId="77777777">
        <w:trPr>
          <w:trHeight w:val="218"/>
        </w:trPr>
        <w:tc>
          <w:tcPr>
            <w:tcW w:w="4858" w:type="dxa"/>
          </w:tcPr>
          <w:p w14:paraId="77F6DE4B" w14:textId="77777777" w:rsidR="008715BE" w:rsidRPr="00EC75B7" w:rsidRDefault="00000000">
            <w:pPr>
              <w:pStyle w:val="TableParagraph"/>
              <w:spacing w:before="10" w:line="189" w:lineRule="exact"/>
              <w:ind w:right="110"/>
              <w:jc w:val="center"/>
              <w:rPr>
                <w:rFonts w:ascii="Verdana" w:hAnsi="Verdana"/>
                <w:sz w:val="18"/>
                <w:szCs w:val="18"/>
              </w:rPr>
            </w:pPr>
            <w:r w:rsidRPr="00EC75B7">
              <w:rPr>
                <w:rFonts w:ascii="Verdana" w:hAnsi="Verdana"/>
                <w:sz w:val="18"/>
                <w:szCs w:val="18"/>
              </w:rPr>
              <w:t>Corn bunting (</w:t>
            </w:r>
            <w:r w:rsidRPr="00EC75B7">
              <w:rPr>
                <w:rFonts w:ascii="Verdana" w:hAnsi="Verdana"/>
                <w:i/>
                <w:sz w:val="18"/>
                <w:szCs w:val="18"/>
              </w:rPr>
              <w:t>Emberiza calandra</w:t>
            </w:r>
            <w:r w:rsidRPr="00EC75B7">
              <w:rPr>
                <w:rFonts w:ascii="Verdana" w:hAnsi="Verdana"/>
                <w:sz w:val="18"/>
                <w:szCs w:val="18"/>
              </w:rPr>
              <w:t xml:space="preserve">) </w:t>
            </w:r>
            <w:r w:rsidRPr="00EC75B7">
              <w:rPr>
                <w:rFonts w:ascii="Verdana" w:hAnsi="Verdana"/>
                <w:spacing w:val="-2"/>
                <w:sz w:val="18"/>
                <w:szCs w:val="18"/>
              </w:rPr>
              <w:t>singing</w:t>
            </w:r>
          </w:p>
        </w:tc>
        <w:tc>
          <w:tcPr>
            <w:tcW w:w="4858" w:type="dxa"/>
          </w:tcPr>
          <w:p w14:paraId="54BAD06A" w14:textId="77777777" w:rsidR="008715BE" w:rsidRPr="00EC75B7" w:rsidRDefault="00000000">
            <w:pPr>
              <w:pStyle w:val="TableParagraph"/>
              <w:spacing w:before="10" w:line="189" w:lineRule="exact"/>
              <w:ind w:left="10" w:right="110"/>
              <w:jc w:val="center"/>
              <w:rPr>
                <w:rFonts w:ascii="Verdana" w:hAnsi="Verdana"/>
                <w:sz w:val="18"/>
                <w:szCs w:val="18"/>
              </w:rPr>
            </w:pPr>
            <w:r w:rsidRPr="00EC75B7">
              <w:rPr>
                <w:rFonts w:ascii="Verdana" w:hAnsi="Verdana"/>
                <w:sz w:val="18"/>
                <w:szCs w:val="18"/>
              </w:rPr>
              <w:t>Pheasant (</w:t>
            </w:r>
            <w:r w:rsidRPr="00EC75B7">
              <w:rPr>
                <w:rFonts w:ascii="Verdana" w:hAnsi="Verdana"/>
                <w:i/>
                <w:sz w:val="18"/>
                <w:szCs w:val="18"/>
              </w:rPr>
              <w:t xml:space="preserve">Phasianus </w:t>
            </w:r>
            <w:r w:rsidRPr="00EC75B7">
              <w:rPr>
                <w:rFonts w:ascii="Verdana" w:hAnsi="Verdana"/>
                <w:i/>
                <w:spacing w:val="-2"/>
                <w:sz w:val="18"/>
                <w:szCs w:val="18"/>
              </w:rPr>
              <w:t>colchicus</w:t>
            </w:r>
            <w:r w:rsidRPr="00EC75B7">
              <w:rPr>
                <w:rFonts w:ascii="Verdana" w:hAnsi="Verdana"/>
                <w:spacing w:val="-2"/>
                <w:sz w:val="18"/>
                <w:szCs w:val="18"/>
              </w:rPr>
              <w:t>)</w:t>
            </w:r>
          </w:p>
        </w:tc>
      </w:tr>
      <w:tr w:rsidR="008715BE" w:rsidRPr="00EC75B7" w14:paraId="5E01E510" w14:textId="77777777">
        <w:trPr>
          <w:trHeight w:val="4533"/>
        </w:trPr>
        <w:tc>
          <w:tcPr>
            <w:tcW w:w="4858" w:type="dxa"/>
          </w:tcPr>
          <w:p w14:paraId="5E6FD8CF" w14:textId="77777777" w:rsidR="008715BE" w:rsidRPr="00EC75B7" w:rsidRDefault="00000000">
            <w:pPr>
              <w:pStyle w:val="TableParagraph"/>
              <w:ind w:left="105"/>
              <w:rPr>
                <w:rFonts w:ascii="Verdana" w:hAnsi="Verdana"/>
                <w:sz w:val="18"/>
                <w:szCs w:val="18"/>
              </w:rPr>
            </w:pPr>
            <w:r w:rsidRPr="00EC75B7">
              <w:rPr>
                <w:rFonts w:ascii="Verdana" w:hAnsi="Verdana"/>
                <w:noProof/>
                <w:sz w:val="18"/>
                <w:szCs w:val="18"/>
              </w:rPr>
              <w:drawing>
                <wp:inline distT="0" distB="0" distL="0" distR="0" wp14:anchorId="6B6A456F" wp14:editId="66F6A0B8">
                  <wp:extent cx="2839354" cy="2838354"/>
                  <wp:effectExtent l="0" t="0" r="0" b="0"/>
                  <wp:docPr id="184" name="Image 184"/>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0" cstate="print"/>
                          <a:stretch>
                            <a:fillRect/>
                          </a:stretch>
                        </pic:blipFill>
                        <pic:spPr>
                          <a:xfrm>
                            <a:off x="0" y="0"/>
                            <a:ext cx="2839354" cy="2838354"/>
                          </a:xfrm>
                          <a:prstGeom prst="rect">
                            <a:avLst/>
                          </a:prstGeom>
                        </pic:spPr>
                      </pic:pic>
                    </a:graphicData>
                  </a:graphic>
                </wp:inline>
              </w:drawing>
            </w:r>
          </w:p>
        </w:tc>
        <w:tc>
          <w:tcPr>
            <w:tcW w:w="4858" w:type="dxa"/>
          </w:tcPr>
          <w:p w14:paraId="03DD5B3D" w14:textId="77777777" w:rsidR="008715BE" w:rsidRPr="00EC75B7" w:rsidRDefault="00000000">
            <w:pPr>
              <w:pStyle w:val="TableParagraph"/>
              <w:ind w:left="109"/>
              <w:rPr>
                <w:rFonts w:ascii="Verdana" w:hAnsi="Verdana"/>
                <w:sz w:val="18"/>
                <w:szCs w:val="18"/>
              </w:rPr>
            </w:pPr>
            <w:r w:rsidRPr="00EC75B7">
              <w:rPr>
                <w:rFonts w:ascii="Verdana" w:hAnsi="Verdana"/>
                <w:noProof/>
                <w:sz w:val="18"/>
                <w:szCs w:val="18"/>
              </w:rPr>
              <w:drawing>
                <wp:inline distT="0" distB="0" distL="0" distR="0" wp14:anchorId="1E80942E" wp14:editId="45C15A50">
                  <wp:extent cx="2839354" cy="2838354"/>
                  <wp:effectExtent l="0" t="0" r="0" b="0"/>
                  <wp:docPr id="185" name="Image 185"/>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1" cstate="print"/>
                          <a:stretch>
                            <a:fillRect/>
                          </a:stretch>
                        </pic:blipFill>
                        <pic:spPr>
                          <a:xfrm>
                            <a:off x="0" y="0"/>
                            <a:ext cx="2839354" cy="2838354"/>
                          </a:xfrm>
                          <a:prstGeom prst="rect">
                            <a:avLst/>
                          </a:prstGeom>
                        </pic:spPr>
                      </pic:pic>
                    </a:graphicData>
                  </a:graphic>
                </wp:inline>
              </w:drawing>
            </w:r>
          </w:p>
        </w:tc>
      </w:tr>
      <w:tr w:rsidR="008715BE" w:rsidRPr="00EC75B7" w14:paraId="1F7C8087" w14:textId="77777777">
        <w:trPr>
          <w:trHeight w:val="218"/>
        </w:trPr>
        <w:tc>
          <w:tcPr>
            <w:tcW w:w="4858" w:type="dxa"/>
          </w:tcPr>
          <w:p w14:paraId="09BD6F9B" w14:textId="77777777" w:rsidR="008715BE" w:rsidRPr="00EC75B7" w:rsidRDefault="00000000">
            <w:pPr>
              <w:pStyle w:val="TableParagraph"/>
              <w:spacing w:before="9" w:line="189" w:lineRule="exact"/>
              <w:ind w:left="1" w:right="110"/>
              <w:jc w:val="center"/>
              <w:rPr>
                <w:rFonts w:ascii="Verdana" w:hAnsi="Verdana"/>
                <w:sz w:val="18"/>
                <w:szCs w:val="18"/>
              </w:rPr>
            </w:pPr>
            <w:r w:rsidRPr="00EC75B7">
              <w:rPr>
                <w:rFonts w:ascii="Verdana" w:hAnsi="Verdana"/>
                <w:sz w:val="18"/>
                <w:szCs w:val="18"/>
              </w:rPr>
              <w:t>Skylark (</w:t>
            </w:r>
            <w:r w:rsidRPr="00EC75B7">
              <w:rPr>
                <w:rFonts w:ascii="Verdana" w:hAnsi="Verdana"/>
                <w:i/>
                <w:sz w:val="18"/>
                <w:szCs w:val="18"/>
              </w:rPr>
              <w:t xml:space="preserve">Alauda </w:t>
            </w:r>
            <w:r w:rsidRPr="00EC75B7">
              <w:rPr>
                <w:rFonts w:ascii="Verdana" w:hAnsi="Verdana"/>
                <w:i/>
                <w:spacing w:val="-2"/>
                <w:sz w:val="18"/>
                <w:szCs w:val="18"/>
              </w:rPr>
              <w:t>arvensis</w:t>
            </w:r>
            <w:r w:rsidRPr="00EC75B7">
              <w:rPr>
                <w:rFonts w:ascii="Verdana" w:hAnsi="Verdana"/>
                <w:spacing w:val="-2"/>
                <w:sz w:val="18"/>
                <w:szCs w:val="18"/>
              </w:rPr>
              <w:t>)</w:t>
            </w:r>
          </w:p>
        </w:tc>
        <w:tc>
          <w:tcPr>
            <w:tcW w:w="4858" w:type="dxa"/>
          </w:tcPr>
          <w:p w14:paraId="436F4A27" w14:textId="77777777" w:rsidR="008715BE" w:rsidRPr="00EC75B7" w:rsidRDefault="00000000">
            <w:pPr>
              <w:pStyle w:val="TableParagraph"/>
              <w:spacing w:before="9" w:line="189" w:lineRule="exact"/>
              <w:ind w:left="12" w:right="110"/>
              <w:jc w:val="center"/>
              <w:rPr>
                <w:rFonts w:ascii="Verdana" w:hAnsi="Verdana"/>
                <w:sz w:val="18"/>
                <w:szCs w:val="18"/>
              </w:rPr>
            </w:pPr>
            <w:r w:rsidRPr="00EC75B7">
              <w:rPr>
                <w:rFonts w:ascii="Verdana" w:hAnsi="Verdana"/>
                <w:sz w:val="18"/>
                <w:szCs w:val="18"/>
              </w:rPr>
              <w:t>Lesser spotted eagles (</w:t>
            </w:r>
            <w:r w:rsidRPr="00EC75B7">
              <w:rPr>
                <w:rFonts w:ascii="Verdana" w:hAnsi="Verdana"/>
                <w:i/>
                <w:sz w:val="18"/>
                <w:szCs w:val="18"/>
              </w:rPr>
              <w:t xml:space="preserve">Aquila </w:t>
            </w:r>
            <w:r w:rsidRPr="00EC75B7">
              <w:rPr>
                <w:rFonts w:ascii="Verdana" w:hAnsi="Verdana"/>
                <w:i/>
                <w:spacing w:val="-2"/>
                <w:sz w:val="18"/>
                <w:szCs w:val="18"/>
              </w:rPr>
              <w:t>pomarina</w:t>
            </w:r>
            <w:r w:rsidRPr="00EC75B7">
              <w:rPr>
                <w:rFonts w:ascii="Verdana" w:hAnsi="Verdana"/>
                <w:spacing w:val="-2"/>
                <w:sz w:val="18"/>
                <w:szCs w:val="18"/>
              </w:rPr>
              <w:t>)</w:t>
            </w:r>
          </w:p>
        </w:tc>
      </w:tr>
    </w:tbl>
    <w:p w14:paraId="065B8407" w14:textId="77777777" w:rsidR="008715BE" w:rsidRPr="00EC75B7" w:rsidRDefault="008715BE">
      <w:pPr>
        <w:pStyle w:val="TableParagraph"/>
        <w:spacing w:line="189" w:lineRule="exact"/>
        <w:jc w:val="center"/>
        <w:rPr>
          <w:rFonts w:ascii="Verdana" w:hAnsi="Verdana"/>
          <w:sz w:val="18"/>
          <w:szCs w:val="18"/>
        </w:rPr>
        <w:sectPr w:rsidR="008715BE" w:rsidRPr="00EC75B7">
          <w:pgSz w:w="11910" w:h="16840"/>
          <w:pgMar w:top="1320" w:right="566" w:bottom="1020" w:left="1133" w:header="766" w:footer="799" w:gutter="0"/>
          <w:cols w:space="708"/>
        </w:sectPr>
      </w:pPr>
    </w:p>
    <w:p w14:paraId="7FE4B0DE" w14:textId="77777777" w:rsidR="008715BE" w:rsidRPr="00EC75B7" w:rsidRDefault="008715BE">
      <w:pPr>
        <w:pStyle w:val="BodyText"/>
        <w:spacing w:before="5"/>
        <w:rPr>
          <w:rFonts w:ascii="Verdana" w:hAnsi="Verdana"/>
          <w:i/>
        </w:rPr>
      </w:pPr>
    </w:p>
    <w:tbl>
      <w:tblPr>
        <w:tblStyle w:val="TableNormal1"/>
        <w:tblW w:w="0" w:type="auto"/>
        <w:tblInd w:w="178" w:type="dxa"/>
        <w:tblLayout w:type="fixed"/>
        <w:tblLook w:val="01E0" w:firstRow="1" w:lastRow="1" w:firstColumn="1" w:lastColumn="1" w:noHBand="0" w:noVBand="0"/>
      </w:tblPr>
      <w:tblGrid>
        <w:gridCol w:w="4748"/>
        <w:gridCol w:w="4748"/>
      </w:tblGrid>
      <w:tr w:rsidR="008715BE" w:rsidRPr="00EC75B7" w14:paraId="13E27F2F" w14:textId="77777777">
        <w:trPr>
          <w:trHeight w:val="4286"/>
        </w:trPr>
        <w:tc>
          <w:tcPr>
            <w:tcW w:w="4748" w:type="dxa"/>
          </w:tcPr>
          <w:p w14:paraId="03623AED" w14:textId="77777777" w:rsidR="008715BE" w:rsidRPr="00EC75B7" w:rsidRDefault="00000000">
            <w:pPr>
              <w:pStyle w:val="TableParagraph"/>
              <w:ind w:left="172"/>
              <w:rPr>
                <w:rFonts w:ascii="Verdana" w:hAnsi="Verdana"/>
                <w:sz w:val="18"/>
                <w:szCs w:val="18"/>
              </w:rPr>
            </w:pPr>
            <w:r w:rsidRPr="00EC75B7">
              <w:rPr>
                <w:rFonts w:ascii="Verdana" w:hAnsi="Verdana"/>
                <w:noProof/>
                <w:sz w:val="18"/>
                <w:szCs w:val="18"/>
              </w:rPr>
              <w:drawing>
                <wp:inline distT="0" distB="0" distL="0" distR="0" wp14:anchorId="25B29258" wp14:editId="4EA5074B">
                  <wp:extent cx="2678870" cy="2678620"/>
                  <wp:effectExtent l="0" t="0" r="0" b="0"/>
                  <wp:docPr id="186" name="Image 186"/>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42" cstate="print"/>
                          <a:stretch>
                            <a:fillRect/>
                          </a:stretch>
                        </pic:blipFill>
                        <pic:spPr>
                          <a:xfrm>
                            <a:off x="0" y="0"/>
                            <a:ext cx="2678870" cy="2678620"/>
                          </a:xfrm>
                          <a:prstGeom prst="rect">
                            <a:avLst/>
                          </a:prstGeom>
                        </pic:spPr>
                      </pic:pic>
                    </a:graphicData>
                  </a:graphic>
                </wp:inline>
              </w:drawing>
            </w:r>
          </w:p>
        </w:tc>
        <w:tc>
          <w:tcPr>
            <w:tcW w:w="4748" w:type="dxa"/>
          </w:tcPr>
          <w:p w14:paraId="6A7B3664" w14:textId="77777777" w:rsidR="008715BE" w:rsidRPr="00EC75B7" w:rsidRDefault="00000000">
            <w:pPr>
              <w:pStyle w:val="TableParagraph"/>
              <w:ind w:left="285"/>
              <w:rPr>
                <w:rFonts w:ascii="Verdana" w:hAnsi="Verdana"/>
                <w:sz w:val="18"/>
                <w:szCs w:val="18"/>
              </w:rPr>
            </w:pPr>
            <w:r w:rsidRPr="00EC75B7">
              <w:rPr>
                <w:rFonts w:ascii="Verdana" w:hAnsi="Verdana"/>
                <w:noProof/>
                <w:sz w:val="18"/>
                <w:szCs w:val="18"/>
              </w:rPr>
              <w:drawing>
                <wp:inline distT="0" distB="0" distL="0" distR="0" wp14:anchorId="2C15B378" wp14:editId="5792D9A9">
                  <wp:extent cx="2678870" cy="2678620"/>
                  <wp:effectExtent l="0" t="0" r="0" b="0"/>
                  <wp:docPr id="187" name="Image 187"/>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3" cstate="print"/>
                          <a:stretch>
                            <a:fillRect/>
                          </a:stretch>
                        </pic:blipFill>
                        <pic:spPr>
                          <a:xfrm>
                            <a:off x="0" y="0"/>
                            <a:ext cx="2678870" cy="2678620"/>
                          </a:xfrm>
                          <a:prstGeom prst="rect">
                            <a:avLst/>
                          </a:prstGeom>
                        </pic:spPr>
                      </pic:pic>
                    </a:graphicData>
                  </a:graphic>
                </wp:inline>
              </w:drawing>
            </w:r>
          </w:p>
        </w:tc>
      </w:tr>
      <w:tr w:rsidR="008715BE" w:rsidRPr="00EC75B7" w14:paraId="4C9E263F" w14:textId="77777777">
        <w:trPr>
          <w:trHeight w:val="221"/>
        </w:trPr>
        <w:tc>
          <w:tcPr>
            <w:tcW w:w="4748" w:type="dxa"/>
          </w:tcPr>
          <w:p w14:paraId="7335F447" w14:textId="77777777" w:rsidR="008715BE" w:rsidRPr="00EC75B7" w:rsidRDefault="00000000">
            <w:pPr>
              <w:pStyle w:val="TableParagraph"/>
              <w:spacing w:before="11" w:line="190" w:lineRule="exact"/>
              <w:ind w:left="116" w:right="225"/>
              <w:jc w:val="center"/>
              <w:rPr>
                <w:rFonts w:ascii="Verdana" w:hAnsi="Verdana"/>
                <w:i/>
                <w:sz w:val="18"/>
                <w:szCs w:val="18"/>
              </w:rPr>
            </w:pPr>
            <w:r w:rsidRPr="00EC75B7">
              <w:rPr>
                <w:rFonts w:ascii="Verdana" w:hAnsi="Verdana"/>
                <w:sz w:val="18"/>
                <w:szCs w:val="18"/>
              </w:rPr>
              <w:t>Common buzzard (</w:t>
            </w:r>
            <w:r w:rsidRPr="00EC75B7">
              <w:rPr>
                <w:rFonts w:ascii="Verdana" w:hAnsi="Verdana"/>
                <w:i/>
                <w:sz w:val="18"/>
                <w:szCs w:val="18"/>
              </w:rPr>
              <w:t xml:space="preserve">Buteo </w:t>
            </w:r>
            <w:r w:rsidRPr="00EC75B7">
              <w:rPr>
                <w:rFonts w:ascii="Verdana" w:hAnsi="Verdana"/>
                <w:i/>
                <w:spacing w:val="-2"/>
                <w:sz w:val="18"/>
                <w:szCs w:val="18"/>
              </w:rPr>
              <w:t>buteo)</w:t>
            </w:r>
          </w:p>
        </w:tc>
        <w:tc>
          <w:tcPr>
            <w:tcW w:w="4748" w:type="dxa"/>
          </w:tcPr>
          <w:p w14:paraId="77E94F8F" w14:textId="77777777" w:rsidR="008715BE" w:rsidRPr="00EC75B7" w:rsidRDefault="00000000">
            <w:pPr>
              <w:pStyle w:val="TableParagraph"/>
              <w:spacing w:before="11" w:line="190" w:lineRule="exact"/>
              <w:ind w:left="224" w:right="110"/>
              <w:jc w:val="center"/>
              <w:rPr>
                <w:rFonts w:ascii="Verdana" w:hAnsi="Verdana"/>
                <w:i/>
                <w:sz w:val="18"/>
                <w:szCs w:val="18"/>
              </w:rPr>
            </w:pPr>
            <w:r w:rsidRPr="00EC75B7">
              <w:rPr>
                <w:rFonts w:ascii="Verdana" w:hAnsi="Verdana"/>
                <w:sz w:val="18"/>
                <w:szCs w:val="18"/>
              </w:rPr>
              <w:t>Long-legged buzzard (</w:t>
            </w:r>
            <w:r w:rsidRPr="00EC75B7">
              <w:rPr>
                <w:rFonts w:ascii="Verdana" w:hAnsi="Verdana"/>
                <w:i/>
                <w:sz w:val="18"/>
                <w:szCs w:val="18"/>
              </w:rPr>
              <w:t xml:space="preserve">Buteo </w:t>
            </w:r>
            <w:r w:rsidRPr="00EC75B7">
              <w:rPr>
                <w:rFonts w:ascii="Verdana" w:hAnsi="Verdana"/>
                <w:i/>
                <w:spacing w:val="-2"/>
                <w:sz w:val="18"/>
                <w:szCs w:val="18"/>
              </w:rPr>
              <w:t>rufinus)</w:t>
            </w:r>
          </w:p>
        </w:tc>
      </w:tr>
      <w:tr w:rsidR="008715BE" w:rsidRPr="00EC75B7" w14:paraId="54DB110A" w14:textId="77777777">
        <w:trPr>
          <w:trHeight w:val="4535"/>
        </w:trPr>
        <w:tc>
          <w:tcPr>
            <w:tcW w:w="4748" w:type="dxa"/>
          </w:tcPr>
          <w:p w14:paraId="6A2E1E1E"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37B504C8" wp14:editId="36854513">
                  <wp:extent cx="2838479" cy="2838354"/>
                  <wp:effectExtent l="0" t="0" r="0" b="0"/>
                  <wp:docPr id="188" name="Image 188"/>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44" cstate="print"/>
                          <a:stretch>
                            <a:fillRect/>
                          </a:stretch>
                        </pic:blipFill>
                        <pic:spPr>
                          <a:xfrm>
                            <a:off x="0" y="0"/>
                            <a:ext cx="2838479" cy="2838354"/>
                          </a:xfrm>
                          <a:prstGeom prst="rect">
                            <a:avLst/>
                          </a:prstGeom>
                        </pic:spPr>
                      </pic:pic>
                    </a:graphicData>
                  </a:graphic>
                </wp:inline>
              </w:drawing>
            </w:r>
          </w:p>
        </w:tc>
        <w:tc>
          <w:tcPr>
            <w:tcW w:w="4748" w:type="dxa"/>
          </w:tcPr>
          <w:p w14:paraId="06465FEF" w14:textId="77777777" w:rsidR="008715BE" w:rsidRPr="00EC75B7" w:rsidRDefault="00000000">
            <w:pPr>
              <w:pStyle w:val="TableParagraph"/>
              <w:ind w:left="163"/>
              <w:rPr>
                <w:rFonts w:ascii="Verdana" w:hAnsi="Verdana"/>
                <w:sz w:val="18"/>
                <w:szCs w:val="18"/>
              </w:rPr>
            </w:pPr>
            <w:r w:rsidRPr="00EC75B7">
              <w:rPr>
                <w:rFonts w:ascii="Verdana" w:hAnsi="Verdana"/>
                <w:noProof/>
                <w:sz w:val="18"/>
                <w:szCs w:val="18"/>
              </w:rPr>
              <w:drawing>
                <wp:inline distT="0" distB="0" distL="0" distR="0" wp14:anchorId="31B7AA44" wp14:editId="6E0BCDAA">
                  <wp:extent cx="2838479" cy="2838354"/>
                  <wp:effectExtent l="0" t="0" r="0" b="0"/>
                  <wp:docPr id="189" name="Image 189"/>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45" cstate="print"/>
                          <a:stretch>
                            <a:fillRect/>
                          </a:stretch>
                        </pic:blipFill>
                        <pic:spPr>
                          <a:xfrm>
                            <a:off x="0" y="0"/>
                            <a:ext cx="2838479" cy="2838354"/>
                          </a:xfrm>
                          <a:prstGeom prst="rect">
                            <a:avLst/>
                          </a:prstGeom>
                        </pic:spPr>
                      </pic:pic>
                    </a:graphicData>
                  </a:graphic>
                </wp:inline>
              </w:drawing>
            </w:r>
          </w:p>
        </w:tc>
      </w:tr>
      <w:tr w:rsidR="008715BE" w:rsidRPr="00EC75B7" w14:paraId="69604289" w14:textId="77777777">
        <w:trPr>
          <w:trHeight w:val="437"/>
        </w:trPr>
        <w:tc>
          <w:tcPr>
            <w:tcW w:w="4748" w:type="dxa"/>
          </w:tcPr>
          <w:p w14:paraId="732995D4" w14:textId="77777777" w:rsidR="008715BE" w:rsidRPr="00EC75B7" w:rsidRDefault="00000000">
            <w:pPr>
              <w:pStyle w:val="TableParagraph"/>
              <w:spacing w:line="218" w:lineRule="exact"/>
              <w:ind w:left="1119" w:hanging="773"/>
              <w:rPr>
                <w:rFonts w:ascii="Verdana" w:hAnsi="Verdana"/>
                <w:sz w:val="18"/>
                <w:szCs w:val="18"/>
              </w:rPr>
            </w:pPr>
            <w:r w:rsidRPr="00EC75B7">
              <w:rPr>
                <w:rFonts w:ascii="Verdana" w:hAnsi="Verdana"/>
                <w:sz w:val="18"/>
                <w:szCs w:val="18"/>
              </w:rPr>
              <w:t>White storks (</w:t>
            </w:r>
            <w:r w:rsidRPr="00EC75B7">
              <w:rPr>
                <w:rFonts w:ascii="Verdana" w:hAnsi="Verdana"/>
                <w:i/>
                <w:sz w:val="18"/>
                <w:szCs w:val="18"/>
              </w:rPr>
              <w:t>Ciconia ciconia</w:t>
            </w:r>
            <w:r w:rsidRPr="00EC75B7">
              <w:rPr>
                <w:rFonts w:ascii="Verdana" w:hAnsi="Verdana"/>
                <w:sz w:val="18"/>
                <w:szCs w:val="18"/>
              </w:rPr>
              <w:t>) feeding on the project site</w:t>
            </w:r>
          </w:p>
        </w:tc>
        <w:tc>
          <w:tcPr>
            <w:tcW w:w="4748" w:type="dxa"/>
          </w:tcPr>
          <w:p w14:paraId="1D65E71F" w14:textId="77777777" w:rsidR="008715BE" w:rsidRPr="00EC75B7" w:rsidRDefault="00000000">
            <w:pPr>
              <w:pStyle w:val="TableParagraph"/>
              <w:spacing w:line="218" w:lineRule="exact"/>
              <w:ind w:left="702" w:hanging="159"/>
              <w:rPr>
                <w:rFonts w:ascii="Verdana" w:hAnsi="Verdana"/>
                <w:sz w:val="18"/>
                <w:szCs w:val="18"/>
              </w:rPr>
            </w:pPr>
            <w:r w:rsidRPr="00EC75B7">
              <w:rPr>
                <w:rFonts w:ascii="Verdana" w:hAnsi="Verdana"/>
                <w:sz w:val="18"/>
                <w:szCs w:val="18"/>
              </w:rPr>
              <w:t>White storks (</w:t>
            </w:r>
            <w:r w:rsidRPr="00EC75B7">
              <w:rPr>
                <w:rFonts w:ascii="Verdana" w:hAnsi="Verdana"/>
                <w:i/>
                <w:sz w:val="18"/>
                <w:szCs w:val="18"/>
              </w:rPr>
              <w:t>Ciconia ciconia</w:t>
            </w:r>
            <w:r w:rsidRPr="00EC75B7">
              <w:rPr>
                <w:rFonts w:ascii="Verdana" w:hAnsi="Verdana"/>
                <w:sz w:val="18"/>
                <w:szCs w:val="18"/>
              </w:rPr>
              <w:t>) migrating over the project site</w:t>
            </w:r>
          </w:p>
        </w:tc>
      </w:tr>
      <w:tr w:rsidR="008715BE" w:rsidRPr="00EC75B7" w14:paraId="15FC330D" w14:textId="77777777">
        <w:trPr>
          <w:trHeight w:val="4535"/>
        </w:trPr>
        <w:tc>
          <w:tcPr>
            <w:tcW w:w="4748" w:type="dxa"/>
          </w:tcPr>
          <w:p w14:paraId="2CE57D67"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55DDE03A" wp14:editId="3BEFF972">
                  <wp:extent cx="2838354" cy="2838354"/>
                  <wp:effectExtent l="0" t="0" r="0" b="0"/>
                  <wp:docPr id="190" name="Image 190"/>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6" cstate="print"/>
                          <a:stretch>
                            <a:fillRect/>
                          </a:stretch>
                        </pic:blipFill>
                        <pic:spPr>
                          <a:xfrm>
                            <a:off x="0" y="0"/>
                            <a:ext cx="2838354" cy="2838354"/>
                          </a:xfrm>
                          <a:prstGeom prst="rect">
                            <a:avLst/>
                          </a:prstGeom>
                        </pic:spPr>
                      </pic:pic>
                    </a:graphicData>
                  </a:graphic>
                </wp:inline>
              </w:drawing>
            </w:r>
          </w:p>
        </w:tc>
        <w:tc>
          <w:tcPr>
            <w:tcW w:w="4748" w:type="dxa"/>
          </w:tcPr>
          <w:p w14:paraId="7B08A704" w14:textId="77777777" w:rsidR="008715BE" w:rsidRPr="00EC75B7" w:rsidRDefault="00000000">
            <w:pPr>
              <w:pStyle w:val="TableParagraph"/>
              <w:ind w:left="163"/>
              <w:rPr>
                <w:rFonts w:ascii="Verdana" w:hAnsi="Verdana"/>
                <w:sz w:val="18"/>
                <w:szCs w:val="18"/>
              </w:rPr>
            </w:pPr>
            <w:r w:rsidRPr="00EC75B7">
              <w:rPr>
                <w:rFonts w:ascii="Verdana" w:hAnsi="Verdana"/>
                <w:noProof/>
                <w:sz w:val="18"/>
                <w:szCs w:val="18"/>
              </w:rPr>
              <w:drawing>
                <wp:inline distT="0" distB="0" distL="0" distR="0" wp14:anchorId="0041653B" wp14:editId="67D5419A">
                  <wp:extent cx="2838354" cy="2838354"/>
                  <wp:effectExtent l="0" t="0" r="0" b="0"/>
                  <wp:docPr id="191" name="Image 191"/>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47" cstate="print"/>
                          <a:stretch>
                            <a:fillRect/>
                          </a:stretch>
                        </pic:blipFill>
                        <pic:spPr>
                          <a:xfrm>
                            <a:off x="0" y="0"/>
                            <a:ext cx="2838354" cy="2838354"/>
                          </a:xfrm>
                          <a:prstGeom prst="rect">
                            <a:avLst/>
                          </a:prstGeom>
                        </pic:spPr>
                      </pic:pic>
                    </a:graphicData>
                  </a:graphic>
                </wp:inline>
              </w:drawing>
            </w:r>
          </w:p>
        </w:tc>
      </w:tr>
      <w:tr w:rsidR="008715BE" w:rsidRPr="00EC75B7" w14:paraId="4928333B" w14:textId="77777777">
        <w:trPr>
          <w:trHeight w:val="219"/>
        </w:trPr>
        <w:tc>
          <w:tcPr>
            <w:tcW w:w="4748" w:type="dxa"/>
          </w:tcPr>
          <w:p w14:paraId="073F3119" w14:textId="77777777" w:rsidR="008715BE" w:rsidRPr="00EC75B7" w:rsidRDefault="00000000">
            <w:pPr>
              <w:pStyle w:val="TableParagraph"/>
              <w:spacing w:before="10" w:line="189" w:lineRule="exact"/>
              <w:ind w:left="116" w:right="226"/>
              <w:jc w:val="center"/>
              <w:rPr>
                <w:rFonts w:ascii="Verdana" w:hAnsi="Verdana"/>
                <w:sz w:val="18"/>
                <w:szCs w:val="18"/>
              </w:rPr>
            </w:pPr>
            <w:r w:rsidRPr="00EC75B7">
              <w:rPr>
                <w:rFonts w:ascii="Verdana" w:hAnsi="Verdana"/>
                <w:sz w:val="18"/>
                <w:szCs w:val="18"/>
              </w:rPr>
              <w:t>Marsh harriers (</w:t>
            </w:r>
            <w:r w:rsidRPr="00EC75B7">
              <w:rPr>
                <w:rFonts w:ascii="Verdana" w:hAnsi="Verdana"/>
                <w:i/>
                <w:sz w:val="18"/>
                <w:szCs w:val="18"/>
              </w:rPr>
              <w:t xml:space="preserve">Circus </w:t>
            </w:r>
            <w:r w:rsidRPr="00EC75B7">
              <w:rPr>
                <w:rFonts w:ascii="Verdana" w:hAnsi="Verdana"/>
                <w:i/>
                <w:spacing w:val="-2"/>
                <w:sz w:val="18"/>
                <w:szCs w:val="18"/>
              </w:rPr>
              <w:t>aeruginosus</w:t>
            </w:r>
            <w:r w:rsidRPr="00EC75B7">
              <w:rPr>
                <w:rFonts w:ascii="Verdana" w:hAnsi="Verdana"/>
                <w:spacing w:val="-2"/>
                <w:sz w:val="18"/>
                <w:szCs w:val="18"/>
              </w:rPr>
              <w:t>)</w:t>
            </w:r>
          </w:p>
        </w:tc>
        <w:tc>
          <w:tcPr>
            <w:tcW w:w="4748" w:type="dxa"/>
          </w:tcPr>
          <w:p w14:paraId="1E4B487A" w14:textId="77777777" w:rsidR="008715BE" w:rsidRPr="00EC75B7" w:rsidRDefault="00000000">
            <w:pPr>
              <w:pStyle w:val="TableParagraph"/>
              <w:spacing w:before="10" w:line="189" w:lineRule="exact"/>
              <w:ind w:left="226" w:right="110"/>
              <w:jc w:val="center"/>
              <w:rPr>
                <w:rFonts w:ascii="Verdana" w:hAnsi="Verdana"/>
                <w:sz w:val="18"/>
                <w:szCs w:val="18"/>
              </w:rPr>
            </w:pPr>
            <w:r w:rsidRPr="00EC75B7">
              <w:rPr>
                <w:rFonts w:ascii="Verdana" w:hAnsi="Verdana"/>
                <w:sz w:val="18"/>
                <w:szCs w:val="18"/>
              </w:rPr>
              <w:t>European roller (</w:t>
            </w:r>
            <w:r w:rsidRPr="00EC75B7">
              <w:rPr>
                <w:rFonts w:ascii="Verdana" w:hAnsi="Verdana"/>
                <w:i/>
                <w:sz w:val="18"/>
                <w:szCs w:val="18"/>
              </w:rPr>
              <w:t xml:space="preserve">Coracias </w:t>
            </w:r>
            <w:r w:rsidRPr="00EC75B7">
              <w:rPr>
                <w:rFonts w:ascii="Verdana" w:hAnsi="Verdana"/>
                <w:i/>
                <w:spacing w:val="-2"/>
                <w:sz w:val="18"/>
                <w:szCs w:val="18"/>
              </w:rPr>
              <w:t>garrulus</w:t>
            </w:r>
            <w:r w:rsidRPr="00EC75B7">
              <w:rPr>
                <w:rFonts w:ascii="Verdana" w:hAnsi="Verdana"/>
                <w:spacing w:val="-2"/>
                <w:sz w:val="18"/>
                <w:szCs w:val="18"/>
              </w:rPr>
              <w:t>)</w:t>
            </w:r>
          </w:p>
        </w:tc>
      </w:tr>
    </w:tbl>
    <w:p w14:paraId="26424024" w14:textId="77777777" w:rsidR="008715BE" w:rsidRPr="00EC75B7" w:rsidRDefault="008715BE">
      <w:pPr>
        <w:pStyle w:val="TableParagraph"/>
        <w:spacing w:line="189" w:lineRule="exact"/>
        <w:jc w:val="center"/>
        <w:rPr>
          <w:rFonts w:ascii="Verdana" w:hAnsi="Verdana"/>
          <w:sz w:val="18"/>
          <w:szCs w:val="18"/>
        </w:rPr>
        <w:sectPr w:rsidR="008715BE" w:rsidRPr="00EC75B7">
          <w:pgSz w:w="11910" w:h="16840"/>
          <w:pgMar w:top="1320" w:right="566" w:bottom="1020" w:left="1133" w:header="766" w:footer="799" w:gutter="0"/>
          <w:cols w:space="708"/>
        </w:sectPr>
      </w:pPr>
    </w:p>
    <w:p w14:paraId="56A37985" w14:textId="77777777" w:rsidR="008715BE" w:rsidRPr="00EC75B7" w:rsidRDefault="008715BE">
      <w:pPr>
        <w:pStyle w:val="BodyText"/>
        <w:spacing w:before="5"/>
        <w:rPr>
          <w:rFonts w:ascii="Verdana" w:hAnsi="Verdana"/>
          <w:i/>
        </w:rPr>
      </w:pPr>
    </w:p>
    <w:tbl>
      <w:tblPr>
        <w:tblStyle w:val="TableNormal1"/>
        <w:tblW w:w="0" w:type="auto"/>
        <w:tblInd w:w="178" w:type="dxa"/>
        <w:tblLayout w:type="fixed"/>
        <w:tblLook w:val="01E0" w:firstRow="1" w:lastRow="1" w:firstColumn="1" w:lastColumn="1" w:noHBand="0" w:noVBand="0"/>
      </w:tblPr>
      <w:tblGrid>
        <w:gridCol w:w="4748"/>
        <w:gridCol w:w="4748"/>
      </w:tblGrid>
      <w:tr w:rsidR="008715BE" w:rsidRPr="00EC75B7" w14:paraId="74C0BF97" w14:textId="77777777">
        <w:trPr>
          <w:trHeight w:val="4533"/>
        </w:trPr>
        <w:tc>
          <w:tcPr>
            <w:tcW w:w="4748" w:type="dxa"/>
          </w:tcPr>
          <w:p w14:paraId="5879D85A"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7B42A17C" wp14:editId="463A19E4">
                  <wp:extent cx="2839231" cy="2838354"/>
                  <wp:effectExtent l="0" t="0" r="0" b="0"/>
                  <wp:docPr id="192" name="Image 192"/>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48" cstate="print"/>
                          <a:stretch>
                            <a:fillRect/>
                          </a:stretch>
                        </pic:blipFill>
                        <pic:spPr>
                          <a:xfrm>
                            <a:off x="0" y="0"/>
                            <a:ext cx="2839231" cy="2838354"/>
                          </a:xfrm>
                          <a:prstGeom prst="rect">
                            <a:avLst/>
                          </a:prstGeom>
                        </pic:spPr>
                      </pic:pic>
                    </a:graphicData>
                  </a:graphic>
                </wp:inline>
              </w:drawing>
            </w:r>
          </w:p>
        </w:tc>
        <w:tc>
          <w:tcPr>
            <w:tcW w:w="4748" w:type="dxa"/>
          </w:tcPr>
          <w:p w14:paraId="556DEA42" w14:textId="77777777" w:rsidR="008715BE" w:rsidRPr="00EC75B7" w:rsidRDefault="00000000">
            <w:pPr>
              <w:pStyle w:val="TableParagraph"/>
              <w:ind w:left="163"/>
              <w:rPr>
                <w:rFonts w:ascii="Verdana" w:hAnsi="Verdana"/>
                <w:sz w:val="18"/>
                <w:szCs w:val="18"/>
              </w:rPr>
            </w:pPr>
            <w:r w:rsidRPr="00EC75B7">
              <w:rPr>
                <w:rFonts w:ascii="Verdana" w:hAnsi="Verdana"/>
                <w:noProof/>
                <w:sz w:val="18"/>
                <w:szCs w:val="18"/>
              </w:rPr>
              <w:drawing>
                <wp:inline distT="0" distB="0" distL="0" distR="0" wp14:anchorId="3E0025CE" wp14:editId="26B731D8">
                  <wp:extent cx="2839231" cy="2838354"/>
                  <wp:effectExtent l="0" t="0" r="0" b="0"/>
                  <wp:docPr id="193" name="Image 193"/>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49" cstate="print"/>
                          <a:stretch>
                            <a:fillRect/>
                          </a:stretch>
                        </pic:blipFill>
                        <pic:spPr>
                          <a:xfrm>
                            <a:off x="0" y="0"/>
                            <a:ext cx="2839231" cy="2838354"/>
                          </a:xfrm>
                          <a:prstGeom prst="rect">
                            <a:avLst/>
                          </a:prstGeom>
                        </pic:spPr>
                      </pic:pic>
                    </a:graphicData>
                  </a:graphic>
                </wp:inline>
              </w:drawing>
            </w:r>
          </w:p>
        </w:tc>
      </w:tr>
      <w:tr w:rsidR="008715BE" w:rsidRPr="00EC75B7" w14:paraId="0F2D31F3" w14:textId="77777777">
        <w:trPr>
          <w:trHeight w:val="219"/>
        </w:trPr>
        <w:tc>
          <w:tcPr>
            <w:tcW w:w="4748" w:type="dxa"/>
          </w:tcPr>
          <w:p w14:paraId="2182E6FD" w14:textId="77777777" w:rsidR="008715BE" w:rsidRPr="00EC75B7" w:rsidRDefault="00000000">
            <w:pPr>
              <w:pStyle w:val="TableParagraph"/>
              <w:spacing w:before="9" w:line="190" w:lineRule="exact"/>
              <w:ind w:left="116" w:right="223"/>
              <w:jc w:val="center"/>
              <w:rPr>
                <w:rFonts w:ascii="Verdana" w:hAnsi="Verdana"/>
                <w:sz w:val="18"/>
                <w:szCs w:val="18"/>
              </w:rPr>
            </w:pPr>
            <w:r w:rsidRPr="00EC75B7">
              <w:rPr>
                <w:rFonts w:ascii="Verdana" w:hAnsi="Verdana"/>
                <w:sz w:val="18"/>
                <w:szCs w:val="18"/>
              </w:rPr>
              <w:t>Corn Bunting (</w:t>
            </w:r>
            <w:r w:rsidRPr="00EC75B7">
              <w:rPr>
                <w:rFonts w:ascii="Verdana" w:hAnsi="Verdana"/>
                <w:i/>
                <w:sz w:val="18"/>
                <w:szCs w:val="18"/>
              </w:rPr>
              <w:t xml:space="preserve">Emberiza </w:t>
            </w:r>
            <w:r w:rsidRPr="00EC75B7">
              <w:rPr>
                <w:rFonts w:ascii="Verdana" w:hAnsi="Verdana"/>
                <w:i/>
                <w:spacing w:val="-2"/>
                <w:sz w:val="18"/>
                <w:szCs w:val="18"/>
              </w:rPr>
              <w:t>calandra</w:t>
            </w:r>
            <w:r w:rsidRPr="00EC75B7">
              <w:rPr>
                <w:rFonts w:ascii="Verdana" w:hAnsi="Verdana"/>
                <w:spacing w:val="-2"/>
                <w:sz w:val="18"/>
                <w:szCs w:val="18"/>
              </w:rPr>
              <w:t>)</w:t>
            </w:r>
          </w:p>
        </w:tc>
        <w:tc>
          <w:tcPr>
            <w:tcW w:w="4748" w:type="dxa"/>
          </w:tcPr>
          <w:p w14:paraId="35E43760" w14:textId="77777777" w:rsidR="008715BE" w:rsidRPr="00EC75B7" w:rsidRDefault="00000000">
            <w:pPr>
              <w:pStyle w:val="TableParagraph"/>
              <w:spacing w:before="9" w:line="190" w:lineRule="exact"/>
              <w:ind w:left="226" w:right="110"/>
              <w:jc w:val="center"/>
              <w:rPr>
                <w:rFonts w:ascii="Verdana" w:hAnsi="Verdana"/>
                <w:sz w:val="18"/>
                <w:szCs w:val="18"/>
              </w:rPr>
            </w:pPr>
            <w:r w:rsidRPr="00EC75B7">
              <w:rPr>
                <w:rFonts w:ascii="Verdana" w:hAnsi="Verdana"/>
                <w:sz w:val="18"/>
                <w:szCs w:val="18"/>
              </w:rPr>
              <w:t>Kestrel (</w:t>
            </w:r>
            <w:r w:rsidRPr="00EC75B7">
              <w:rPr>
                <w:rFonts w:ascii="Verdana" w:hAnsi="Verdana"/>
                <w:i/>
                <w:sz w:val="18"/>
                <w:szCs w:val="18"/>
              </w:rPr>
              <w:t xml:space="preserve">Falco </w:t>
            </w:r>
            <w:r w:rsidRPr="00EC75B7">
              <w:rPr>
                <w:rFonts w:ascii="Verdana" w:hAnsi="Verdana"/>
                <w:i/>
                <w:spacing w:val="-2"/>
                <w:sz w:val="18"/>
                <w:szCs w:val="18"/>
              </w:rPr>
              <w:t>tinnunculus</w:t>
            </w:r>
            <w:r w:rsidRPr="00EC75B7">
              <w:rPr>
                <w:rFonts w:ascii="Verdana" w:hAnsi="Verdana"/>
                <w:spacing w:val="-2"/>
                <w:sz w:val="18"/>
                <w:szCs w:val="18"/>
              </w:rPr>
              <w:t>)</w:t>
            </w:r>
          </w:p>
        </w:tc>
      </w:tr>
      <w:tr w:rsidR="008715BE" w:rsidRPr="00EC75B7" w14:paraId="77772A8F" w14:textId="77777777">
        <w:trPr>
          <w:trHeight w:val="4534"/>
        </w:trPr>
        <w:tc>
          <w:tcPr>
            <w:tcW w:w="4748" w:type="dxa"/>
          </w:tcPr>
          <w:p w14:paraId="53E1E31C"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5CFFF56C" wp14:editId="627714C9">
                  <wp:extent cx="2839231" cy="2838354"/>
                  <wp:effectExtent l="0" t="0" r="0" b="0"/>
                  <wp:docPr id="194" name="Image 194"/>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0" cstate="print"/>
                          <a:stretch>
                            <a:fillRect/>
                          </a:stretch>
                        </pic:blipFill>
                        <pic:spPr>
                          <a:xfrm>
                            <a:off x="0" y="0"/>
                            <a:ext cx="2839231" cy="2838354"/>
                          </a:xfrm>
                          <a:prstGeom prst="rect">
                            <a:avLst/>
                          </a:prstGeom>
                        </pic:spPr>
                      </pic:pic>
                    </a:graphicData>
                  </a:graphic>
                </wp:inline>
              </w:drawing>
            </w:r>
          </w:p>
        </w:tc>
        <w:tc>
          <w:tcPr>
            <w:tcW w:w="4748" w:type="dxa"/>
          </w:tcPr>
          <w:p w14:paraId="1BD28CFB" w14:textId="77777777" w:rsidR="008715BE" w:rsidRPr="00EC75B7" w:rsidRDefault="00000000">
            <w:pPr>
              <w:pStyle w:val="TableParagraph"/>
              <w:ind w:left="163"/>
              <w:rPr>
                <w:rFonts w:ascii="Verdana" w:hAnsi="Verdana"/>
                <w:sz w:val="18"/>
                <w:szCs w:val="18"/>
              </w:rPr>
            </w:pPr>
            <w:r w:rsidRPr="00EC75B7">
              <w:rPr>
                <w:rFonts w:ascii="Verdana" w:hAnsi="Verdana"/>
                <w:noProof/>
                <w:sz w:val="18"/>
                <w:szCs w:val="18"/>
              </w:rPr>
              <w:drawing>
                <wp:inline distT="0" distB="0" distL="0" distR="0" wp14:anchorId="0D655A16" wp14:editId="043DA329">
                  <wp:extent cx="2839231" cy="2838354"/>
                  <wp:effectExtent l="0" t="0" r="0" b="0"/>
                  <wp:docPr id="195" name="Image 195"/>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51" cstate="print"/>
                          <a:stretch>
                            <a:fillRect/>
                          </a:stretch>
                        </pic:blipFill>
                        <pic:spPr>
                          <a:xfrm>
                            <a:off x="0" y="0"/>
                            <a:ext cx="2839231" cy="2838354"/>
                          </a:xfrm>
                          <a:prstGeom prst="rect">
                            <a:avLst/>
                          </a:prstGeom>
                        </pic:spPr>
                      </pic:pic>
                    </a:graphicData>
                  </a:graphic>
                </wp:inline>
              </w:drawing>
            </w:r>
          </w:p>
        </w:tc>
      </w:tr>
      <w:tr w:rsidR="008715BE" w:rsidRPr="00EC75B7" w14:paraId="255D1CF7" w14:textId="77777777">
        <w:trPr>
          <w:trHeight w:val="218"/>
        </w:trPr>
        <w:tc>
          <w:tcPr>
            <w:tcW w:w="4748" w:type="dxa"/>
          </w:tcPr>
          <w:p w14:paraId="31A8A4B0" w14:textId="77777777" w:rsidR="008715BE" w:rsidRPr="00EC75B7" w:rsidRDefault="00000000">
            <w:pPr>
              <w:pStyle w:val="TableParagraph"/>
              <w:spacing w:before="9" w:line="189" w:lineRule="exact"/>
              <w:ind w:left="116" w:right="223"/>
              <w:jc w:val="center"/>
              <w:rPr>
                <w:rFonts w:ascii="Verdana" w:hAnsi="Verdana"/>
                <w:sz w:val="18"/>
                <w:szCs w:val="18"/>
              </w:rPr>
            </w:pPr>
            <w:r w:rsidRPr="00EC75B7">
              <w:rPr>
                <w:rFonts w:ascii="Verdana" w:hAnsi="Verdana"/>
                <w:sz w:val="18"/>
                <w:szCs w:val="18"/>
              </w:rPr>
              <w:t>Booted eagle (</w:t>
            </w:r>
            <w:r w:rsidRPr="00EC75B7">
              <w:rPr>
                <w:rFonts w:ascii="Verdana" w:hAnsi="Verdana"/>
                <w:i/>
                <w:sz w:val="18"/>
                <w:szCs w:val="18"/>
              </w:rPr>
              <w:t xml:space="preserve">Hieraaetus </w:t>
            </w:r>
            <w:r w:rsidRPr="00EC75B7">
              <w:rPr>
                <w:rFonts w:ascii="Verdana" w:hAnsi="Verdana"/>
                <w:i/>
                <w:spacing w:val="-2"/>
                <w:sz w:val="18"/>
                <w:szCs w:val="18"/>
              </w:rPr>
              <w:t>pennatus</w:t>
            </w:r>
            <w:r w:rsidRPr="00EC75B7">
              <w:rPr>
                <w:rFonts w:ascii="Verdana" w:hAnsi="Verdana"/>
                <w:spacing w:val="-2"/>
                <w:sz w:val="18"/>
                <w:szCs w:val="18"/>
              </w:rPr>
              <w:t>)</w:t>
            </w:r>
          </w:p>
        </w:tc>
        <w:tc>
          <w:tcPr>
            <w:tcW w:w="4748" w:type="dxa"/>
          </w:tcPr>
          <w:p w14:paraId="2DC2CDC7" w14:textId="77777777" w:rsidR="008715BE" w:rsidRPr="00EC75B7" w:rsidRDefault="00000000">
            <w:pPr>
              <w:pStyle w:val="TableParagraph"/>
              <w:spacing w:before="9" w:line="189" w:lineRule="exact"/>
              <w:ind w:left="226" w:right="110"/>
              <w:jc w:val="center"/>
              <w:rPr>
                <w:rFonts w:ascii="Verdana" w:hAnsi="Verdana"/>
                <w:sz w:val="18"/>
                <w:szCs w:val="18"/>
              </w:rPr>
            </w:pPr>
            <w:r w:rsidRPr="00EC75B7">
              <w:rPr>
                <w:rFonts w:ascii="Verdana" w:hAnsi="Verdana"/>
                <w:sz w:val="18"/>
                <w:szCs w:val="18"/>
              </w:rPr>
              <w:t>Red-backed Shrike (</w:t>
            </w:r>
            <w:r w:rsidRPr="00EC75B7">
              <w:rPr>
                <w:rFonts w:ascii="Verdana" w:hAnsi="Verdana"/>
                <w:i/>
                <w:sz w:val="18"/>
                <w:szCs w:val="18"/>
              </w:rPr>
              <w:t xml:space="preserve">Lanius </w:t>
            </w:r>
            <w:r w:rsidRPr="00EC75B7">
              <w:rPr>
                <w:rFonts w:ascii="Verdana" w:hAnsi="Verdana"/>
                <w:i/>
                <w:spacing w:val="-2"/>
                <w:sz w:val="18"/>
                <w:szCs w:val="18"/>
              </w:rPr>
              <w:t>collurio</w:t>
            </w:r>
            <w:r w:rsidRPr="00EC75B7">
              <w:rPr>
                <w:rFonts w:ascii="Verdana" w:hAnsi="Verdana"/>
                <w:spacing w:val="-2"/>
                <w:sz w:val="18"/>
                <w:szCs w:val="18"/>
              </w:rPr>
              <w:t>)</w:t>
            </w:r>
          </w:p>
        </w:tc>
      </w:tr>
      <w:tr w:rsidR="008715BE" w:rsidRPr="00EC75B7" w14:paraId="21895F2B" w14:textId="77777777">
        <w:trPr>
          <w:trHeight w:val="4535"/>
        </w:trPr>
        <w:tc>
          <w:tcPr>
            <w:tcW w:w="4748" w:type="dxa"/>
          </w:tcPr>
          <w:p w14:paraId="002D0920"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4BA912F7" wp14:editId="30497AFA">
                  <wp:extent cx="2838377" cy="2838354"/>
                  <wp:effectExtent l="0" t="0" r="0" b="0"/>
                  <wp:docPr id="196" name="Image 196"/>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52" cstate="print"/>
                          <a:stretch>
                            <a:fillRect/>
                          </a:stretch>
                        </pic:blipFill>
                        <pic:spPr>
                          <a:xfrm>
                            <a:off x="0" y="0"/>
                            <a:ext cx="2838377" cy="2838354"/>
                          </a:xfrm>
                          <a:prstGeom prst="rect">
                            <a:avLst/>
                          </a:prstGeom>
                        </pic:spPr>
                      </pic:pic>
                    </a:graphicData>
                  </a:graphic>
                </wp:inline>
              </w:drawing>
            </w:r>
          </w:p>
        </w:tc>
        <w:tc>
          <w:tcPr>
            <w:tcW w:w="4748" w:type="dxa"/>
          </w:tcPr>
          <w:p w14:paraId="5AC3B87C" w14:textId="77777777" w:rsidR="008715BE" w:rsidRPr="00EC75B7" w:rsidRDefault="00000000">
            <w:pPr>
              <w:pStyle w:val="TableParagraph"/>
              <w:ind w:left="163"/>
              <w:rPr>
                <w:rFonts w:ascii="Verdana" w:hAnsi="Verdana"/>
                <w:sz w:val="18"/>
                <w:szCs w:val="18"/>
              </w:rPr>
            </w:pPr>
            <w:r w:rsidRPr="00EC75B7">
              <w:rPr>
                <w:rFonts w:ascii="Verdana" w:hAnsi="Verdana"/>
                <w:noProof/>
                <w:sz w:val="18"/>
                <w:szCs w:val="18"/>
              </w:rPr>
              <w:drawing>
                <wp:inline distT="0" distB="0" distL="0" distR="0" wp14:anchorId="0DFF9C38" wp14:editId="2218CA31">
                  <wp:extent cx="2838377" cy="2838354"/>
                  <wp:effectExtent l="0" t="0" r="0" b="0"/>
                  <wp:docPr id="197" name="Image 197"/>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53" cstate="print"/>
                          <a:stretch>
                            <a:fillRect/>
                          </a:stretch>
                        </pic:blipFill>
                        <pic:spPr>
                          <a:xfrm>
                            <a:off x="0" y="0"/>
                            <a:ext cx="2838377" cy="2838354"/>
                          </a:xfrm>
                          <a:prstGeom prst="rect">
                            <a:avLst/>
                          </a:prstGeom>
                        </pic:spPr>
                      </pic:pic>
                    </a:graphicData>
                  </a:graphic>
                </wp:inline>
              </w:drawing>
            </w:r>
          </w:p>
        </w:tc>
      </w:tr>
      <w:tr w:rsidR="008715BE" w:rsidRPr="00EC75B7" w14:paraId="2FBAE2BD" w14:textId="77777777">
        <w:trPr>
          <w:trHeight w:val="219"/>
        </w:trPr>
        <w:tc>
          <w:tcPr>
            <w:tcW w:w="4748" w:type="dxa"/>
          </w:tcPr>
          <w:p w14:paraId="2E14A89F" w14:textId="77777777" w:rsidR="008715BE" w:rsidRPr="00EC75B7" w:rsidRDefault="00000000">
            <w:pPr>
              <w:pStyle w:val="TableParagraph"/>
              <w:spacing w:before="10" w:line="189" w:lineRule="exact"/>
              <w:ind w:left="116" w:right="223"/>
              <w:jc w:val="center"/>
              <w:rPr>
                <w:rFonts w:ascii="Verdana" w:hAnsi="Verdana"/>
                <w:sz w:val="18"/>
                <w:szCs w:val="18"/>
              </w:rPr>
            </w:pPr>
            <w:r w:rsidRPr="00EC75B7">
              <w:rPr>
                <w:rFonts w:ascii="Verdana" w:hAnsi="Verdana"/>
                <w:sz w:val="18"/>
                <w:szCs w:val="18"/>
              </w:rPr>
              <w:t>Lesser Grey Shrike (</w:t>
            </w:r>
            <w:r w:rsidRPr="00EC75B7">
              <w:rPr>
                <w:rFonts w:ascii="Verdana" w:hAnsi="Verdana"/>
                <w:i/>
                <w:sz w:val="18"/>
                <w:szCs w:val="18"/>
              </w:rPr>
              <w:t xml:space="preserve">Lanius </w:t>
            </w:r>
            <w:r w:rsidRPr="00EC75B7">
              <w:rPr>
                <w:rFonts w:ascii="Verdana" w:hAnsi="Verdana"/>
                <w:i/>
                <w:spacing w:val="-2"/>
                <w:sz w:val="18"/>
                <w:szCs w:val="18"/>
              </w:rPr>
              <w:t>minor</w:t>
            </w:r>
            <w:r w:rsidRPr="00EC75B7">
              <w:rPr>
                <w:rFonts w:ascii="Verdana" w:hAnsi="Verdana"/>
                <w:spacing w:val="-2"/>
                <w:sz w:val="18"/>
                <w:szCs w:val="18"/>
              </w:rPr>
              <w:t>)</w:t>
            </w:r>
          </w:p>
        </w:tc>
        <w:tc>
          <w:tcPr>
            <w:tcW w:w="4748" w:type="dxa"/>
          </w:tcPr>
          <w:p w14:paraId="6995B7D9" w14:textId="77777777" w:rsidR="008715BE" w:rsidRPr="00EC75B7" w:rsidRDefault="00000000">
            <w:pPr>
              <w:pStyle w:val="TableParagraph"/>
              <w:spacing w:before="10" w:line="189" w:lineRule="exact"/>
              <w:ind w:left="226" w:right="110"/>
              <w:jc w:val="center"/>
              <w:rPr>
                <w:rFonts w:ascii="Verdana" w:hAnsi="Verdana"/>
                <w:sz w:val="18"/>
                <w:szCs w:val="18"/>
              </w:rPr>
            </w:pPr>
            <w:r w:rsidRPr="00EC75B7">
              <w:rPr>
                <w:rFonts w:ascii="Verdana" w:hAnsi="Verdana"/>
                <w:sz w:val="18"/>
                <w:szCs w:val="18"/>
              </w:rPr>
              <w:t>Bee-eaters (</w:t>
            </w:r>
            <w:r w:rsidRPr="00EC75B7">
              <w:rPr>
                <w:rFonts w:ascii="Verdana" w:hAnsi="Verdana"/>
                <w:i/>
                <w:sz w:val="18"/>
                <w:szCs w:val="18"/>
              </w:rPr>
              <w:t xml:space="preserve">Merops </w:t>
            </w:r>
            <w:r w:rsidRPr="00EC75B7">
              <w:rPr>
                <w:rFonts w:ascii="Verdana" w:hAnsi="Verdana"/>
                <w:i/>
                <w:spacing w:val="-2"/>
                <w:sz w:val="18"/>
                <w:szCs w:val="18"/>
              </w:rPr>
              <w:t>apiaster</w:t>
            </w:r>
            <w:r w:rsidRPr="00EC75B7">
              <w:rPr>
                <w:rFonts w:ascii="Verdana" w:hAnsi="Verdana"/>
                <w:spacing w:val="-2"/>
                <w:sz w:val="18"/>
                <w:szCs w:val="18"/>
              </w:rPr>
              <w:t>)</w:t>
            </w:r>
          </w:p>
        </w:tc>
      </w:tr>
    </w:tbl>
    <w:p w14:paraId="2F993D82" w14:textId="77777777" w:rsidR="008715BE" w:rsidRPr="00EC75B7" w:rsidRDefault="008715BE">
      <w:pPr>
        <w:pStyle w:val="TableParagraph"/>
        <w:spacing w:line="189" w:lineRule="exact"/>
        <w:jc w:val="center"/>
        <w:rPr>
          <w:rFonts w:ascii="Verdana" w:hAnsi="Verdana"/>
          <w:sz w:val="18"/>
          <w:szCs w:val="18"/>
        </w:rPr>
        <w:sectPr w:rsidR="008715BE" w:rsidRPr="00EC75B7">
          <w:pgSz w:w="11910" w:h="16840"/>
          <w:pgMar w:top="1320" w:right="566" w:bottom="1020" w:left="1133" w:header="766" w:footer="799" w:gutter="0"/>
          <w:cols w:space="708"/>
        </w:sectPr>
      </w:pPr>
    </w:p>
    <w:p w14:paraId="24D97DB1" w14:textId="77777777" w:rsidR="008715BE" w:rsidRPr="00EC75B7" w:rsidRDefault="008715BE">
      <w:pPr>
        <w:pStyle w:val="BodyText"/>
        <w:spacing w:before="5"/>
        <w:rPr>
          <w:rFonts w:ascii="Verdana" w:hAnsi="Verdana"/>
          <w:i/>
        </w:rPr>
      </w:pPr>
    </w:p>
    <w:tbl>
      <w:tblPr>
        <w:tblStyle w:val="TableNormal1"/>
        <w:tblW w:w="0" w:type="auto"/>
        <w:tblInd w:w="286" w:type="dxa"/>
        <w:tblLayout w:type="fixed"/>
        <w:tblLook w:val="01E0" w:firstRow="1" w:lastRow="1" w:firstColumn="1" w:lastColumn="1" w:noHBand="0" w:noVBand="0"/>
      </w:tblPr>
      <w:tblGrid>
        <w:gridCol w:w="4641"/>
        <w:gridCol w:w="4641"/>
      </w:tblGrid>
      <w:tr w:rsidR="008715BE" w:rsidRPr="00EC75B7" w14:paraId="1C6F68EC" w14:textId="77777777">
        <w:trPr>
          <w:trHeight w:val="4319"/>
        </w:trPr>
        <w:tc>
          <w:tcPr>
            <w:tcW w:w="4641" w:type="dxa"/>
          </w:tcPr>
          <w:p w14:paraId="46B7C47F"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2C1175F8" wp14:editId="34E77F77">
                  <wp:extent cx="2703445" cy="2703195"/>
                  <wp:effectExtent l="0" t="0" r="0" b="0"/>
                  <wp:docPr id="198" name="Image 198"/>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54" cstate="print"/>
                          <a:stretch>
                            <a:fillRect/>
                          </a:stretch>
                        </pic:blipFill>
                        <pic:spPr>
                          <a:xfrm>
                            <a:off x="0" y="0"/>
                            <a:ext cx="2703445" cy="2703195"/>
                          </a:xfrm>
                          <a:prstGeom prst="rect">
                            <a:avLst/>
                          </a:prstGeom>
                        </pic:spPr>
                      </pic:pic>
                    </a:graphicData>
                  </a:graphic>
                </wp:inline>
              </w:drawing>
            </w:r>
          </w:p>
        </w:tc>
        <w:tc>
          <w:tcPr>
            <w:tcW w:w="4641" w:type="dxa"/>
          </w:tcPr>
          <w:p w14:paraId="12FA03C5" w14:textId="77777777" w:rsidR="008715BE" w:rsidRPr="00EC75B7" w:rsidRDefault="00000000">
            <w:pPr>
              <w:pStyle w:val="TableParagraph"/>
              <w:ind w:left="270"/>
              <w:rPr>
                <w:rFonts w:ascii="Verdana" w:hAnsi="Verdana"/>
                <w:sz w:val="18"/>
                <w:szCs w:val="18"/>
              </w:rPr>
            </w:pPr>
            <w:r w:rsidRPr="00EC75B7">
              <w:rPr>
                <w:rFonts w:ascii="Verdana" w:hAnsi="Verdana"/>
                <w:noProof/>
                <w:sz w:val="18"/>
                <w:szCs w:val="18"/>
              </w:rPr>
              <w:drawing>
                <wp:inline distT="0" distB="0" distL="0" distR="0" wp14:anchorId="3011BFF0" wp14:editId="33FD2D82">
                  <wp:extent cx="2703445" cy="2703195"/>
                  <wp:effectExtent l="0" t="0" r="0" b="0"/>
                  <wp:docPr id="199" name="Image 199"/>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55" cstate="print"/>
                          <a:stretch>
                            <a:fillRect/>
                          </a:stretch>
                        </pic:blipFill>
                        <pic:spPr>
                          <a:xfrm>
                            <a:off x="0" y="0"/>
                            <a:ext cx="2703445" cy="2703195"/>
                          </a:xfrm>
                          <a:prstGeom prst="rect">
                            <a:avLst/>
                          </a:prstGeom>
                        </pic:spPr>
                      </pic:pic>
                    </a:graphicData>
                  </a:graphic>
                </wp:inline>
              </w:drawing>
            </w:r>
          </w:p>
        </w:tc>
      </w:tr>
      <w:tr w:rsidR="008715BE" w:rsidRPr="00EC75B7" w14:paraId="1EEB6736" w14:textId="77777777">
        <w:trPr>
          <w:trHeight w:val="218"/>
        </w:trPr>
        <w:tc>
          <w:tcPr>
            <w:tcW w:w="4641" w:type="dxa"/>
          </w:tcPr>
          <w:p w14:paraId="7918DCBB" w14:textId="77777777" w:rsidR="008715BE" w:rsidRPr="00EC75B7" w:rsidRDefault="00000000">
            <w:pPr>
              <w:pStyle w:val="TableParagraph"/>
              <w:spacing w:before="9" w:line="189" w:lineRule="exact"/>
              <w:ind w:left="736"/>
              <w:rPr>
                <w:rFonts w:ascii="Verdana" w:hAnsi="Verdana"/>
                <w:sz w:val="18"/>
                <w:szCs w:val="18"/>
              </w:rPr>
            </w:pPr>
            <w:r w:rsidRPr="00EC75B7">
              <w:rPr>
                <w:rFonts w:ascii="Verdana" w:hAnsi="Verdana"/>
                <w:sz w:val="18"/>
                <w:szCs w:val="18"/>
              </w:rPr>
              <w:t>White wagtail (</w:t>
            </w:r>
            <w:r w:rsidRPr="00EC75B7">
              <w:rPr>
                <w:rFonts w:ascii="Verdana" w:hAnsi="Verdana"/>
                <w:i/>
                <w:sz w:val="18"/>
                <w:szCs w:val="18"/>
              </w:rPr>
              <w:t xml:space="preserve">Motacilla </w:t>
            </w:r>
            <w:r w:rsidRPr="00EC75B7">
              <w:rPr>
                <w:rFonts w:ascii="Verdana" w:hAnsi="Verdana"/>
                <w:i/>
                <w:spacing w:val="-2"/>
                <w:sz w:val="18"/>
                <w:szCs w:val="18"/>
              </w:rPr>
              <w:t>alba</w:t>
            </w:r>
            <w:r w:rsidRPr="00EC75B7">
              <w:rPr>
                <w:rFonts w:ascii="Verdana" w:hAnsi="Verdana"/>
                <w:spacing w:val="-2"/>
                <w:sz w:val="18"/>
                <w:szCs w:val="18"/>
              </w:rPr>
              <w:t>)</w:t>
            </w:r>
          </w:p>
        </w:tc>
        <w:tc>
          <w:tcPr>
            <w:tcW w:w="4641" w:type="dxa"/>
          </w:tcPr>
          <w:p w14:paraId="49D8D836" w14:textId="77777777" w:rsidR="008715BE" w:rsidRPr="00EC75B7" w:rsidRDefault="00000000">
            <w:pPr>
              <w:pStyle w:val="TableParagraph"/>
              <w:spacing w:before="9" w:line="189" w:lineRule="exact"/>
              <w:ind w:left="224" w:right="5"/>
              <w:jc w:val="center"/>
              <w:rPr>
                <w:rFonts w:ascii="Verdana" w:hAnsi="Verdana"/>
                <w:sz w:val="18"/>
                <w:szCs w:val="18"/>
              </w:rPr>
            </w:pPr>
            <w:r w:rsidRPr="00EC75B7">
              <w:rPr>
                <w:rFonts w:ascii="Verdana" w:hAnsi="Verdana"/>
                <w:sz w:val="18"/>
                <w:szCs w:val="18"/>
              </w:rPr>
              <w:t>Yellow Wagtail (</w:t>
            </w:r>
            <w:r w:rsidRPr="00EC75B7">
              <w:rPr>
                <w:rFonts w:ascii="Verdana" w:hAnsi="Verdana"/>
                <w:i/>
                <w:sz w:val="18"/>
                <w:szCs w:val="18"/>
              </w:rPr>
              <w:t xml:space="preserve">Motacilla </w:t>
            </w:r>
            <w:r w:rsidRPr="00EC75B7">
              <w:rPr>
                <w:rFonts w:ascii="Verdana" w:hAnsi="Verdana"/>
                <w:i/>
                <w:spacing w:val="-2"/>
                <w:sz w:val="18"/>
                <w:szCs w:val="18"/>
              </w:rPr>
              <w:t>flava</w:t>
            </w:r>
            <w:r w:rsidRPr="00EC75B7">
              <w:rPr>
                <w:rFonts w:ascii="Verdana" w:hAnsi="Verdana"/>
                <w:spacing w:val="-2"/>
                <w:sz w:val="18"/>
                <w:szCs w:val="18"/>
              </w:rPr>
              <w:t>)</w:t>
            </w:r>
          </w:p>
        </w:tc>
      </w:tr>
      <w:tr w:rsidR="008715BE" w:rsidRPr="00EC75B7" w14:paraId="5FA74CCD" w14:textId="77777777">
        <w:trPr>
          <w:trHeight w:val="4318"/>
        </w:trPr>
        <w:tc>
          <w:tcPr>
            <w:tcW w:w="4641" w:type="dxa"/>
          </w:tcPr>
          <w:p w14:paraId="47E3430E" w14:textId="77777777" w:rsidR="008715BE" w:rsidRPr="00EC75B7" w:rsidRDefault="00000000">
            <w:pPr>
              <w:pStyle w:val="TableParagraph"/>
              <w:ind w:left="50"/>
              <w:rPr>
                <w:rFonts w:ascii="Verdana" w:hAnsi="Verdana"/>
                <w:sz w:val="18"/>
                <w:szCs w:val="18"/>
              </w:rPr>
            </w:pPr>
            <w:r w:rsidRPr="00EC75B7">
              <w:rPr>
                <w:rFonts w:ascii="Verdana" w:hAnsi="Verdana"/>
                <w:noProof/>
                <w:sz w:val="18"/>
                <w:szCs w:val="18"/>
              </w:rPr>
              <w:drawing>
                <wp:inline distT="0" distB="0" distL="0" distR="0" wp14:anchorId="12C7AD78" wp14:editId="115694E3">
                  <wp:extent cx="2703318" cy="2703195"/>
                  <wp:effectExtent l="0" t="0" r="0" b="0"/>
                  <wp:docPr id="200"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56" cstate="print"/>
                          <a:stretch>
                            <a:fillRect/>
                          </a:stretch>
                        </pic:blipFill>
                        <pic:spPr>
                          <a:xfrm>
                            <a:off x="0" y="0"/>
                            <a:ext cx="2703318" cy="2703195"/>
                          </a:xfrm>
                          <a:prstGeom prst="rect">
                            <a:avLst/>
                          </a:prstGeom>
                        </pic:spPr>
                      </pic:pic>
                    </a:graphicData>
                  </a:graphic>
                </wp:inline>
              </w:drawing>
            </w:r>
          </w:p>
        </w:tc>
        <w:tc>
          <w:tcPr>
            <w:tcW w:w="4641" w:type="dxa"/>
          </w:tcPr>
          <w:p w14:paraId="74905204" w14:textId="77777777" w:rsidR="008715BE" w:rsidRPr="00EC75B7" w:rsidRDefault="00000000">
            <w:pPr>
              <w:pStyle w:val="TableParagraph"/>
              <w:ind w:left="285"/>
              <w:rPr>
                <w:rFonts w:ascii="Verdana" w:hAnsi="Verdana"/>
                <w:sz w:val="18"/>
                <w:szCs w:val="18"/>
              </w:rPr>
            </w:pPr>
            <w:r w:rsidRPr="00EC75B7">
              <w:rPr>
                <w:rFonts w:ascii="Verdana" w:hAnsi="Verdana"/>
                <w:noProof/>
                <w:sz w:val="18"/>
                <w:szCs w:val="18"/>
              </w:rPr>
              <w:drawing>
                <wp:inline distT="0" distB="0" distL="0" distR="0" wp14:anchorId="419A7619" wp14:editId="5DB1684F">
                  <wp:extent cx="2678620" cy="2678620"/>
                  <wp:effectExtent l="0" t="0" r="0" b="0"/>
                  <wp:docPr id="201" name="Image 201"/>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57" cstate="print"/>
                          <a:stretch>
                            <a:fillRect/>
                          </a:stretch>
                        </pic:blipFill>
                        <pic:spPr>
                          <a:xfrm>
                            <a:off x="0" y="0"/>
                            <a:ext cx="2678620" cy="2678620"/>
                          </a:xfrm>
                          <a:prstGeom prst="rect">
                            <a:avLst/>
                          </a:prstGeom>
                        </pic:spPr>
                      </pic:pic>
                    </a:graphicData>
                  </a:graphic>
                </wp:inline>
              </w:drawing>
            </w:r>
          </w:p>
        </w:tc>
      </w:tr>
      <w:tr w:rsidR="008715BE" w:rsidRPr="00EC75B7" w14:paraId="6C66B3D1" w14:textId="77777777">
        <w:trPr>
          <w:trHeight w:val="220"/>
        </w:trPr>
        <w:tc>
          <w:tcPr>
            <w:tcW w:w="4641" w:type="dxa"/>
          </w:tcPr>
          <w:p w14:paraId="303A3D4C" w14:textId="77777777" w:rsidR="008715BE" w:rsidRPr="00EC75B7" w:rsidRDefault="00000000">
            <w:pPr>
              <w:pStyle w:val="TableParagraph"/>
              <w:spacing w:before="11" w:line="189" w:lineRule="exact"/>
              <w:ind w:left="978"/>
              <w:rPr>
                <w:rFonts w:ascii="Verdana" w:hAnsi="Verdana"/>
                <w:sz w:val="18"/>
                <w:szCs w:val="18"/>
              </w:rPr>
            </w:pPr>
            <w:r w:rsidRPr="00EC75B7">
              <w:rPr>
                <w:rFonts w:ascii="Verdana" w:hAnsi="Verdana"/>
                <w:spacing w:val="-2"/>
                <w:sz w:val="18"/>
                <w:szCs w:val="18"/>
              </w:rPr>
              <w:t>Grey partridge (</w:t>
            </w:r>
            <w:r w:rsidRPr="00EC75B7">
              <w:rPr>
                <w:rFonts w:ascii="Verdana" w:hAnsi="Verdana"/>
                <w:i/>
                <w:spacing w:val="-2"/>
                <w:sz w:val="18"/>
                <w:szCs w:val="18"/>
              </w:rPr>
              <w:t>Perdix perdix</w:t>
            </w:r>
            <w:r w:rsidRPr="00EC75B7">
              <w:rPr>
                <w:rFonts w:ascii="Verdana" w:hAnsi="Verdana"/>
                <w:spacing w:val="-2"/>
                <w:sz w:val="18"/>
                <w:szCs w:val="18"/>
              </w:rPr>
              <w:t>)</w:t>
            </w:r>
          </w:p>
        </w:tc>
        <w:tc>
          <w:tcPr>
            <w:tcW w:w="4641" w:type="dxa"/>
          </w:tcPr>
          <w:p w14:paraId="454E6ADF" w14:textId="77777777" w:rsidR="008715BE" w:rsidRPr="00EC75B7" w:rsidRDefault="00000000">
            <w:pPr>
              <w:pStyle w:val="TableParagraph"/>
              <w:spacing w:before="11" w:line="189" w:lineRule="exact"/>
              <w:ind w:left="224" w:right="2"/>
              <w:jc w:val="center"/>
              <w:rPr>
                <w:rFonts w:ascii="Verdana" w:hAnsi="Verdana"/>
                <w:sz w:val="18"/>
                <w:szCs w:val="18"/>
              </w:rPr>
            </w:pPr>
            <w:r w:rsidRPr="00EC75B7">
              <w:rPr>
                <w:rFonts w:ascii="Verdana" w:hAnsi="Verdana"/>
                <w:sz w:val="18"/>
                <w:szCs w:val="18"/>
              </w:rPr>
              <w:t>Whinchat (</w:t>
            </w:r>
            <w:r w:rsidRPr="00EC75B7">
              <w:rPr>
                <w:rFonts w:ascii="Verdana" w:hAnsi="Verdana"/>
                <w:i/>
                <w:sz w:val="18"/>
                <w:szCs w:val="18"/>
              </w:rPr>
              <w:t xml:space="preserve">Saxicola </w:t>
            </w:r>
            <w:r w:rsidRPr="00EC75B7">
              <w:rPr>
                <w:rFonts w:ascii="Verdana" w:hAnsi="Verdana"/>
                <w:i/>
                <w:spacing w:val="-2"/>
                <w:sz w:val="18"/>
                <w:szCs w:val="18"/>
              </w:rPr>
              <w:t>rubetra</w:t>
            </w:r>
            <w:r w:rsidRPr="00EC75B7">
              <w:rPr>
                <w:rFonts w:ascii="Verdana" w:hAnsi="Verdana"/>
                <w:spacing w:val="-2"/>
                <w:sz w:val="18"/>
                <w:szCs w:val="18"/>
              </w:rPr>
              <w:t>)</w:t>
            </w:r>
          </w:p>
        </w:tc>
      </w:tr>
      <w:tr w:rsidR="008715BE" w:rsidRPr="00EC75B7" w14:paraId="1EE8ACF4" w14:textId="77777777">
        <w:trPr>
          <w:trHeight w:val="4259"/>
        </w:trPr>
        <w:tc>
          <w:tcPr>
            <w:tcW w:w="4641" w:type="dxa"/>
          </w:tcPr>
          <w:p w14:paraId="3B0D4BB7" w14:textId="77777777" w:rsidR="008715BE" w:rsidRPr="00EC75B7" w:rsidRDefault="00000000">
            <w:pPr>
              <w:pStyle w:val="TableParagraph"/>
              <w:ind w:left="80"/>
              <w:rPr>
                <w:rFonts w:ascii="Verdana" w:hAnsi="Verdana"/>
                <w:sz w:val="18"/>
                <w:szCs w:val="18"/>
              </w:rPr>
            </w:pPr>
            <w:r w:rsidRPr="00EC75B7">
              <w:rPr>
                <w:rFonts w:ascii="Verdana" w:hAnsi="Verdana"/>
                <w:noProof/>
                <w:sz w:val="18"/>
                <w:szCs w:val="18"/>
              </w:rPr>
              <w:drawing>
                <wp:inline distT="0" distB="0" distL="0" distR="0" wp14:anchorId="79FB869F" wp14:editId="42C30D8A">
                  <wp:extent cx="2496754" cy="2475187"/>
                  <wp:effectExtent l="0" t="0" r="0" b="1905"/>
                  <wp:docPr id="202" name="Image 202"/>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58" cstate="print"/>
                          <a:stretch>
                            <a:fillRect/>
                          </a:stretch>
                        </pic:blipFill>
                        <pic:spPr>
                          <a:xfrm>
                            <a:off x="0" y="0"/>
                            <a:ext cx="2502753" cy="2481134"/>
                          </a:xfrm>
                          <a:prstGeom prst="rect">
                            <a:avLst/>
                          </a:prstGeom>
                        </pic:spPr>
                      </pic:pic>
                    </a:graphicData>
                  </a:graphic>
                </wp:inline>
              </w:drawing>
            </w:r>
          </w:p>
        </w:tc>
        <w:tc>
          <w:tcPr>
            <w:tcW w:w="4641" w:type="dxa"/>
          </w:tcPr>
          <w:p w14:paraId="081E8FD0" w14:textId="77777777" w:rsidR="008715BE" w:rsidRPr="00EC75B7" w:rsidRDefault="008715BE">
            <w:pPr>
              <w:pStyle w:val="TableParagraph"/>
              <w:spacing w:before="5"/>
              <w:rPr>
                <w:rFonts w:ascii="Verdana" w:hAnsi="Verdana"/>
                <w:i/>
                <w:sz w:val="18"/>
                <w:szCs w:val="18"/>
              </w:rPr>
            </w:pPr>
          </w:p>
          <w:p w14:paraId="177FDA5C" w14:textId="77777777" w:rsidR="008715BE" w:rsidRPr="00EC75B7" w:rsidRDefault="00000000">
            <w:pPr>
              <w:pStyle w:val="TableParagraph"/>
              <w:ind w:left="330"/>
              <w:rPr>
                <w:rFonts w:ascii="Verdana" w:hAnsi="Verdana"/>
                <w:sz w:val="18"/>
                <w:szCs w:val="18"/>
              </w:rPr>
            </w:pPr>
            <w:r w:rsidRPr="00EC75B7">
              <w:rPr>
                <w:rFonts w:ascii="Verdana" w:hAnsi="Verdana"/>
                <w:noProof/>
                <w:sz w:val="18"/>
                <w:szCs w:val="18"/>
              </w:rPr>
              <w:drawing>
                <wp:inline distT="0" distB="0" distL="0" distR="0" wp14:anchorId="60EFD6D1" wp14:editId="4FACD816">
                  <wp:extent cx="2498966" cy="2332705"/>
                  <wp:effectExtent l="0" t="0" r="0" b="0"/>
                  <wp:docPr id="203" name="Image 203"/>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59" cstate="print"/>
                          <a:stretch>
                            <a:fillRect/>
                          </a:stretch>
                        </pic:blipFill>
                        <pic:spPr>
                          <a:xfrm>
                            <a:off x="0" y="0"/>
                            <a:ext cx="2502981" cy="2336453"/>
                          </a:xfrm>
                          <a:prstGeom prst="rect">
                            <a:avLst/>
                          </a:prstGeom>
                        </pic:spPr>
                      </pic:pic>
                    </a:graphicData>
                  </a:graphic>
                </wp:inline>
              </w:drawing>
            </w:r>
          </w:p>
        </w:tc>
      </w:tr>
      <w:tr w:rsidR="008715BE" w:rsidRPr="00EC75B7" w14:paraId="532E30D2" w14:textId="77777777">
        <w:trPr>
          <w:trHeight w:val="220"/>
        </w:trPr>
        <w:tc>
          <w:tcPr>
            <w:tcW w:w="4641" w:type="dxa"/>
          </w:tcPr>
          <w:p w14:paraId="5F3FC296" w14:textId="77777777" w:rsidR="008715BE" w:rsidRPr="00EC75B7" w:rsidRDefault="00000000">
            <w:pPr>
              <w:pStyle w:val="TableParagraph"/>
              <w:spacing w:before="11" w:line="189" w:lineRule="exact"/>
              <w:ind w:left="846"/>
              <w:rPr>
                <w:rFonts w:ascii="Verdana" w:hAnsi="Verdana"/>
                <w:sz w:val="18"/>
                <w:szCs w:val="18"/>
              </w:rPr>
            </w:pPr>
            <w:r w:rsidRPr="00EC75B7">
              <w:rPr>
                <w:rFonts w:ascii="Verdana" w:hAnsi="Verdana"/>
                <w:sz w:val="18"/>
                <w:szCs w:val="18"/>
              </w:rPr>
              <w:t>Turtle Dove (</w:t>
            </w:r>
            <w:r w:rsidRPr="00EC75B7">
              <w:rPr>
                <w:rFonts w:ascii="Verdana" w:hAnsi="Verdana"/>
                <w:i/>
                <w:sz w:val="18"/>
                <w:szCs w:val="18"/>
              </w:rPr>
              <w:t xml:space="preserve">Streptopelia </w:t>
            </w:r>
            <w:r w:rsidRPr="00EC75B7">
              <w:rPr>
                <w:rFonts w:ascii="Verdana" w:hAnsi="Verdana"/>
                <w:i/>
                <w:spacing w:val="-2"/>
                <w:sz w:val="18"/>
                <w:szCs w:val="18"/>
              </w:rPr>
              <w:t>turtur</w:t>
            </w:r>
            <w:r w:rsidRPr="00EC75B7">
              <w:rPr>
                <w:rFonts w:ascii="Verdana" w:hAnsi="Verdana"/>
                <w:spacing w:val="-2"/>
                <w:sz w:val="18"/>
                <w:szCs w:val="18"/>
              </w:rPr>
              <w:t>)</w:t>
            </w:r>
          </w:p>
        </w:tc>
        <w:tc>
          <w:tcPr>
            <w:tcW w:w="4641" w:type="dxa"/>
          </w:tcPr>
          <w:p w14:paraId="2C18EC4E" w14:textId="77777777" w:rsidR="008715BE" w:rsidRPr="00EC75B7" w:rsidRDefault="00000000">
            <w:pPr>
              <w:pStyle w:val="TableParagraph"/>
              <w:spacing w:before="11" w:line="189" w:lineRule="exact"/>
              <w:ind w:left="224"/>
              <w:jc w:val="center"/>
              <w:rPr>
                <w:rFonts w:ascii="Verdana" w:hAnsi="Verdana"/>
                <w:sz w:val="18"/>
                <w:szCs w:val="18"/>
              </w:rPr>
            </w:pPr>
            <w:r w:rsidRPr="00EC75B7">
              <w:rPr>
                <w:rFonts w:ascii="Verdana" w:hAnsi="Verdana"/>
                <w:sz w:val="18"/>
                <w:szCs w:val="18"/>
              </w:rPr>
              <w:t>Hoopoe (</w:t>
            </w:r>
            <w:r w:rsidRPr="00EC75B7">
              <w:rPr>
                <w:rFonts w:ascii="Verdana" w:hAnsi="Verdana"/>
                <w:i/>
                <w:sz w:val="18"/>
                <w:szCs w:val="18"/>
              </w:rPr>
              <w:t xml:space="preserve">Upupa </w:t>
            </w:r>
            <w:r w:rsidRPr="00EC75B7">
              <w:rPr>
                <w:rFonts w:ascii="Verdana" w:hAnsi="Verdana"/>
                <w:i/>
                <w:spacing w:val="-2"/>
                <w:sz w:val="18"/>
                <w:szCs w:val="18"/>
              </w:rPr>
              <w:t>epops</w:t>
            </w:r>
            <w:r w:rsidRPr="00EC75B7">
              <w:rPr>
                <w:rFonts w:ascii="Verdana" w:hAnsi="Verdana"/>
                <w:spacing w:val="-2"/>
                <w:sz w:val="18"/>
                <w:szCs w:val="18"/>
              </w:rPr>
              <w:t>)</w:t>
            </w:r>
          </w:p>
        </w:tc>
      </w:tr>
    </w:tbl>
    <w:p w14:paraId="2E13C2E1" w14:textId="77777777" w:rsidR="008715BE" w:rsidRPr="00EC75B7" w:rsidRDefault="008715BE">
      <w:pPr>
        <w:pStyle w:val="BodyText"/>
        <w:rPr>
          <w:rFonts w:ascii="Verdana" w:hAnsi="Verdana"/>
          <w:i/>
        </w:rPr>
      </w:pPr>
    </w:p>
    <w:p w14:paraId="640978B0" w14:textId="77777777" w:rsidR="008715BE" w:rsidRPr="00EC75B7" w:rsidRDefault="00000000" w:rsidP="00903DD2">
      <w:pPr>
        <w:ind w:left="2160" w:right="368"/>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31 </w:t>
      </w:r>
      <w:r w:rsidRPr="00EC75B7">
        <w:rPr>
          <w:rFonts w:ascii="Verdana" w:hAnsi="Verdana"/>
          <w:b/>
          <w:color w:val="009DEF"/>
          <w:sz w:val="18"/>
          <w:szCs w:val="18"/>
        </w:rPr>
        <w:t xml:space="preserve">Photos relevant to </w:t>
      </w:r>
      <w:r w:rsidRPr="00EC75B7">
        <w:rPr>
          <w:rFonts w:ascii="Verdana" w:hAnsi="Verdana"/>
          <w:b/>
          <w:color w:val="009DEF"/>
          <w:spacing w:val="-2"/>
          <w:sz w:val="18"/>
          <w:szCs w:val="18"/>
        </w:rPr>
        <w:t>bird</w:t>
      </w:r>
      <w:r w:rsidRPr="00EC75B7">
        <w:rPr>
          <w:rFonts w:ascii="Verdana" w:hAnsi="Verdana"/>
          <w:b/>
          <w:color w:val="009DEF"/>
          <w:sz w:val="18"/>
          <w:szCs w:val="18"/>
        </w:rPr>
        <w:t xml:space="preserve"> species</w:t>
      </w:r>
    </w:p>
    <w:p w14:paraId="5A67F045" w14:textId="77777777" w:rsidR="008715BE" w:rsidRPr="00EC75B7" w:rsidRDefault="008715BE">
      <w:pPr>
        <w:jc w:val="center"/>
        <w:rPr>
          <w:rFonts w:ascii="Verdana" w:hAnsi="Verdana"/>
          <w:b/>
          <w:sz w:val="18"/>
          <w:szCs w:val="18"/>
        </w:rPr>
        <w:sectPr w:rsidR="008715BE" w:rsidRPr="00EC75B7">
          <w:pgSz w:w="11910" w:h="16840"/>
          <w:pgMar w:top="1320" w:right="566" w:bottom="1020" w:left="1133" w:header="766" w:footer="799" w:gutter="0"/>
          <w:cols w:space="708"/>
        </w:sectPr>
      </w:pPr>
    </w:p>
    <w:p w14:paraId="60797C54" w14:textId="77777777" w:rsidR="008715BE" w:rsidRPr="00EC75B7" w:rsidRDefault="00000000">
      <w:pPr>
        <w:pStyle w:val="Heading5"/>
        <w:numPr>
          <w:ilvl w:val="0"/>
          <w:numId w:val="92"/>
        </w:numPr>
        <w:tabs>
          <w:tab w:val="left" w:pos="804"/>
        </w:tabs>
        <w:spacing w:before="99"/>
        <w:ind w:left="804" w:hanging="358"/>
        <w:jc w:val="left"/>
        <w:rPr>
          <w:rFonts w:ascii="Verdana" w:hAnsi="Verdana"/>
        </w:rPr>
      </w:pPr>
      <w:r w:rsidRPr="00EC75B7">
        <w:rPr>
          <w:rFonts w:ascii="Verdana" w:hAnsi="Verdana"/>
          <w:spacing w:val="-2"/>
        </w:rPr>
        <w:lastRenderedPageBreak/>
        <w:t>Chiroptera</w:t>
      </w:r>
    </w:p>
    <w:p w14:paraId="2FA3869F" w14:textId="77777777" w:rsidR="008715BE" w:rsidRPr="00EC75B7" w:rsidRDefault="008715BE">
      <w:pPr>
        <w:pStyle w:val="BodyText"/>
        <w:spacing w:before="10"/>
        <w:rPr>
          <w:rFonts w:ascii="Verdana" w:hAnsi="Verdana"/>
          <w:b/>
        </w:rPr>
      </w:pPr>
    </w:p>
    <w:p w14:paraId="2F704F04" w14:textId="77777777" w:rsidR="008715BE" w:rsidRPr="00EC75B7" w:rsidRDefault="00000000">
      <w:pPr>
        <w:pStyle w:val="BodyText"/>
        <w:ind w:left="57"/>
        <w:jc w:val="both"/>
        <w:rPr>
          <w:rFonts w:ascii="Verdana" w:hAnsi="Verdana"/>
        </w:rPr>
      </w:pPr>
      <w:r w:rsidRPr="00EC75B7">
        <w:rPr>
          <w:rFonts w:ascii="Verdana" w:hAnsi="Verdana"/>
        </w:rPr>
        <w:t xml:space="preserve">In order to observe the activity of chiroptera in the site, best practices in </w:t>
      </w:r>
      <w:r w:rsidRPr="00EC75B7">
        <w:rPr>
          <w:rFonts w:ascii="Verdana" w:hAnsi="Verdana"/>
          <w:spacing w:val="-2"/>
        </w:rPr>
        <w:t xml:space="preserve">the field </w:t>
      </w:r>
      <w:r w:rsidRPr="00EC75B7">
        <w:rPr>
          <w:rFonts w:ascii="Verdana" w:hAnsi="Verdana"/>
        </w:rPr>
        <w:t>were implemented</w:t>
      </w:r>
      <w:r w:rsidRPr="00EC75B7">
        <w:rPr>
          <w:rFonts w:ascii="Verdana" w:hAnsi="Verdana"/>
          <w:spacing w:val="-2"/>
        </w:rPr>
        <w:t>,</w:t>
      </w:r>
    </w:p>
    <w:p w14:paraId="02940A59" w14:textId="77777777" w:rsidR="008715BE" w:rsidRPr="00EC75B7" w:rsidRDefault="00000000">
      <w:pPr>
        <w:pStyle w:val="BodyText"/>
        <w:spacing w:before="107"/>
        <w:ind w:left="57"/>
        <w:jc w:val="both"/>
        <w:rPr>
          <w:rFonts w:ascii="Verdana" w:hAnsi="Verdana"/>
        </w:rPr>
      </w:pPr>
      <w:r w:rsidRPr="00EC75B7">
        <w:rPr>
          <w:rFonts w:ascii="Verdana" w:hAnsi="Verdana"/>
        </w:rPr>
        <w:t xml:space="preserve">using </w:t>
      </w:r>
      <w:r w:rsidRPr="00EC75B7">
        <w:rPr>
          <w:rFonts w:ascii="Verdana" w:hAnsi="Verdana"/>
          <w:spacing w:val="-2"/>
        </w:rPr>
        <w:t xml:space="preserve">state-of-the-art </w:t>
      </w:r>
      <w:r w:rsidRPr="00EC75B7">
        <w:rPr>
          <w:rFonts w:ascii="Verdana" w:hAnsi="Verdana"/>
        </w:rPr>
        <w:t>equipment</w:t>
      </w:r>
      <w:r w:rsidRPr="00EC75B7">
        <w:rPr>
          <w:rFonts w:ascii="Verdana" w:hAnsi="Verdana"/>
          <w:spacing w:val="-2"/>
        </w:rPr>
        <w:t>.</w:t>
      </w:r>
    </w:p>
    <w:p w14:paraId="045DAD29" w14:textId="77777777" w:rsidR="008715BE" w:rsidRPr="00EC75B7" w:rsidRDefault="008715BE">
      <w:pPr>
        <w:pStyle w:val="BodyText"/>
        <w:spacing w:before="9"/>
        <w:rPr>
          <w:rFonts w:ascii="Verdana" w:hAnsi="Verdana"/>
        </w:rPr>
      </w:pPr>
    </w:p>
    <w:p w14:paraId="18C8B38C" w14:textId="77777777" w:rsidR="008715BE" w:rsidRPr="00EC75B7" w:rsidRDefault="00000000">
      <w:pPr>
        <w:pStyle w:val="BodyText"/>
        <w:spacing w:line="360" w:lineRule="auto"/>
        <w:ind w:left="57" w:right="423"/>
        <w:jc w:val="both"/>
        <w:rPr>
          <w:rFonts w:ascii="Verdana" w:hAnsi="Verdana"/>
        </w:rPr>
      </w:pPr>
      <w:r w:rsidRPr="00EC75B7">
        <w:rPr>
          <w:rFonts w:ascii="Verdana" w:hAnsi="Verdana"/>
        </w:rPr>
        <w:t>Detecting bats at night is difficult, so a method was chosen that is both non-invasive and highly effective: recording the ultrasonic sounds emitted by the animals at night.</w:t>
      </w:r>
    </w:p>
    <w:p w14:paraId="669CCE6D" w14:textId="77777777" w:rsidR="008715BE" w:rsidRPr="00EC75B7" w:rsidRDefault="00000000">
      <w:pPr>
        <w:pStyle w:val="BodyText"/>
        <w:spacing w:before="116"/>
        <w:ind w:left="57"/>
        <w:jc w:val="both"/>
        <w:rPr>
          <w:rFonts w:ascii="Verdana" w:hAnsi="Verdana"/>
        </w:rPr>
      </w:pPr>
      <w:r w:rsidRPr="00EC75B7">
        <w:rPr>
          <w:rFonts w:ascii="Verdana" w:hAnsi="Verdana"/>
        </w:rPr>
        <w:t xml:space="preserve">Three </w:t>
      </w:r>
      <w:r w:rsidRPr="00EC75B7">
        <w:rPr>
          <w:rFonts w:ascii="Verdana" w:hAnsi="Verdana"/>
          <w:spacing w:val="-2"/>
        </w:rPr>
        <w:t xml:space="preserve">monitoring </w:t>
      </w:r>
      <w:r w:rsidRPr="00EC75B7">
        <w:rPr>
          <w:rFonts w:ascii="Verdana" w:hAnsi="Verdana"/>
        </w:rPr>
        <w:t>methods were used</w:t>
      </w:r>
      <w:r w:rsidRPr="00EC75B7">
        <w:rPr>
          <w:rFonts w:ascii="Verdana" w:hAnsi="Verdana"/>
          <w:spacing w:val="-2"/>
        </w:rPr>
        <w:t>:</w:t>
      </w:r>
    </w:p>
    <w:p w14:paraId="28A80E9E" w14:textId="77777777" w:rsidR="008715BE" w:rsidRPr="00EC75B7" w:rsidRDefault="008715BE">
      <w:pPr>
        <w:pStyle w:val="BodyText"/>
        <w:spacing w:before="9"/>
        <w:rPr>
          <w:rFonts w:ascii="Verdana" w:hAnsi="Verdana"/>
        </w:rPr>
      </w:pPr>
    </w:p>
    <w:p w14:paraId="52458B7B" w14:textId="77777777" w:rsidR="008715BE" w:rsidRPr="00EC75B7" w:rsidRDefault="00000000" w:rsidP="00E26EB0">
      <w:pPr>
        <w:pStyle w:val="ListParagraph"/>
        <w:numPr>
          <w:ilvl w:val="0"/>
          <w:numId w:val="91"/>
        </w:numPr>
        <w:tabs>
          <w:tab w:val="left" w:pos="775"/>
        </w:tabs>
        <w:spacing w:line="360" w:lineRule="auto"/>
        <w:ind w:left="775" w:hanging="358"/>
        <w:jc w:val="both"/>
        <w:rPr>
          <w:rFonts w:ascii="Verdana" w:hAnsi="Verdana"/>
          <w:sz w:val="18"/>
          <w:szCs w:val="18"/>
        </w:rPr>
      </w:pPr>
      <w:r w:rsidRPr="00EC75B7">
        <w:rPr>
          <w:rFonts w:ascii="Verdana" w:hAnsi="Verdana"/>
          <w:spacing w:val="-2"/>
          <w:sz w:val="18"/>
          <w:szCs w:val="18"/>
        </w:rPr>
        <w:t>Qualitative</w:t>
      </w:r>
    </w:p>
    <w:p w14:paraId="5104BD7B" w14:textId="77777777" w:rsidR="008715BE" w:rsidRPr="00EC75B7" w:rsidRDefault="008715BE" w:rsidP="00E26EB0">
      <w:pPr>
        <w:pStyle w:val="BodyText"/>
        <w:spacing w:line="360" w:lineRule="auto"/>
        <w:jc w:val="both"/>
        <w:rPr>
          <w:rFonts w:ascii="Verdana" w:hAnsi="Verdana"/>
        </w:rPr>
      </w:pPr>
    </w:p>
    <w:p w14:paraId="3DE602AF" w14:textId="77777777" w:rsidR="008715BE" w:rsidRPr="00EC75B7" w:rsidRDefault="00000000" w:rsidP="00E26EB0">
      <w:pPr>
        <w:pStyle w:val="ListParagraph"/>
        <w:numPr>
          <w:ilvl w:val="0"/>
          <w:numId w:val="91"/>
        </w:numPr>
        <w:tabs>
          <w:tab w:val="left" w:pos="775"/>
        </w:tabs>
        <w:spacing w:line="360" w:lineRule="auto"/>
        <w:ind w:left="775" w:hanging="358"/>
        <w:jc w:val="both"/>
        <w:rPr>
          <w:rFonts w:ascii="Verdana" w:hAnsi="Verdana"/>
          <w:sz w:val="18"/>
          <w:szCs w:val="18"/>
        </w:rPr>
      </w:pPr>
      <w:r w:rsidRPr="00EC75B7">
        <w:rPr>
          <w:rFonts w:ascii="Verdana" w:hAnsi="Verdana"/>
          <w:sz w:val="18"/>
          <w:szCs w:val="18"/>
        </w:rPr>
        <w:t xml:space="preserve">Quantitative – </w:t>
      </w:r>
      <w:r w:rsidRPr="00EC75B7">
        <w:rPr>
          <w:rFonts w:ascii="Verdana" w:hAnsi="Verdana"/>
          <w:spacing w:val="-2"/>
          <w:sz w:val="18"/>
          <w:szCs w:val="18"/>
        </w:rPr>
        <w:t>transect</w:t>
      </w:r>
    </w:p>
    <w:p w14:paraId="3C01B5BD" w14:textId="77777777" w:rsidR="008715BE" w:rsidRPr="00EC75B7" w:rsidRDefault="008715BE" w:rsidP="00E26EB0">
      <w:pPr>
        <w:pStyle w:val="BodyText"/>
        <w:spacing w:line="360" w:lineRule="auto"/>
        <w:jc w:val="both"/>
        <w:rPr>
          <w:rFonts w:ascii="Verdana" w:hAnsi="Verdana"/>
        </w:rPr>
      </w:pPr>
    </w:p>
    <w:p w14:paraId="28A5D60C" w14:textId="77777777" w:rsidR="008715BE" w:rsidRPr="00EC75B7" w:rsidRDefault="00000000" w:rsidP="00E26EB0">
      <w:pPr>
        <w:pStyle w:val="ListParagraph"/>
        <w:numPr>
          <w:ilvl w:val="0"/>
          <w:numId w:val="91"/>
        </w:numPr>
        <w:tabs>
          <w:tab w:val="left" w:pos="775"/>
        </w:tabs>
        <w:spacing w:line="360" w:lineRule="auto"/>
        <w:ind w:left="775" w:hanging="358"/>
        <w:jc w:val="both"/>
        <w:rPr>
          <w:rFonts w:ascii="Verdana" w:hAnsi="Verdana"/>
          <w:sz w:val="18"/>
          <w:szCs w:val="18"/>
        </w:rPr>
      </w:pPr>
      <w:r w:rsidRPr="00EC75B7">
        <w:rPr>
          <w:rFonts w:ascii="Verdana" w:hAnsi="Verdana"/>
          <w:sz w:val="18"/>
          <w:szCs w:val="18"/>
        </w:rPr>
        <w:t xml:space="preserve">Quantitative – </w:t>
      </w:r>
      <w:r w:rsidRPr="00EC75B7">
        <w:rPr>
          <w:rFonts w:ascii="Verdana" w:hAnsi="Verdana"/>
          <w:spacing w:val="-2"/>
          <w:sz w:val="18"/>
          <w:szCs w:val="18"/>
        </w:rPr>
        <w:t xml:space="preserve">passive </w:t>
      </w:r>
      <w:r w:rsidRPr="00EC75B7">
        <w:rPr>
          <w:rFonts w:ascii="Verdana" w:hAnsi="Verdana"/>
          <w:sz w:val="18"/>
          <w:szCs w:val="18"/>
        </w:rPr>
        <w:t>detection</w:t>
      </w:r>
    </w:p>
    <w:p w14:paraId="7D1161A6" w14:textId="77777777" w:rsidR="008715BE" w:rsidRPr="00EC75B7" w:rsidRDefault="008715BE">
      <w:pPr>
        <w:pStyle w:val="BodyText"/>
        <w:spacing w:before="7"/>
        <w:rPr>
          <w:rFonts w:ascii="Verdana" w:hAnsi="Verdana"/>
        </w:rPr>
      </w:pPr>
    </w:p>
    <w:p w14:paraId="1EDC0E99" w14:textId="77777777" w:rsidR="008715BE" w:rsidRPr="00EC75B7" w:rsidRDefault="00000000">
      <w:pPr>
        <w:pStyle w:val="BodyText"/>
        <w:spacing w:line="357" w:lineRule="auto"/>
        <w:ind w:left="57" w:right="421"/>
        <w:jc w:val="both"/>
        <w:rPr>
          <w:rFonts w:ascii="Verdana" w:hAnsi="Verdana"/>
        </w:rPr>
      </w:pPr>
      <w:r w:rsidRPr="00EC75B7">
        <w:rPr>
          <w:rFonts w:ascii="Verdana" w:hAnsi="Verdana"/>
        </w:rPr>
        <w:t>The qualitative method involved driving along ultrasound transects in a vehicle on a pre-established route within the proposed site. The transects were carried out half an hour before sunset until 3:00 a.m. the following day in order to record the entire optimal spectrum for the bat species in the site. An Anabat Walkabout device with GPS was used. The data were processed using Anabat Insight software and identification guides for bat ultrasounds (Pocora &amp; Pocora, 2012). Monthly trips were made, as far as possible during periods with optimal weather conditions for animal flight (no rain, temperatures close to the monthly average at night). The total length of the transects for each night was 60.7 km.</w:t>
      </w:r>
    </w:p>
    <w:p w14:paraId="7B28CFA2" w14:textId="77777777" w:rsidR="008715BE" w:rsidRPr="00EC75B7" w:rsidRDefault="00000000">
      <w:pPr>
        <w:pStyle w:val="BodyText"/>
        <w:spacing w:before="127" w:line="357" w:lineRule="auto"/>
        <w:ind w:left="57" w:right="424"/>
        <w:jc w:val="both"/>
        <w:rPr>
          <w:rFonts w:ascii="Verdana" w:hAnsi="Verdana"/>
        </w:rPr>
      </w:pPr>
      <w:r w:rsidRPr="00EC75B7">
        <w:rPr>
          <w:rFonts w:ascii="Verdana" w:hAnsi="Verdana"/>
        </w:rPr>
        <w:t xml:space="preserve">Qualitative methods included: 1 - recording bat activity at fixed points in </w:t>
      </w:r>
      <w:r w:rsidRPr="00EC75B7">
        <w:rPr>
          <w:rFonts w:ascii="Verdana" w:hAnsi="Verdana"/>
          <w:spacing w:val="-2"/>
        </w:rPr>
        <w:t>transects (10 points), where bat activity was monitored for 10 minutes,</w:t>
      </w:r>
      <w:r w:rsidRPr="00EC75B7">
        <w:rPr>
          <w:rFonts w:ascii="Verdana" w:hAnsi="Verdana"/>
          <w:spacing w:val="-4"/>
        </w:rPr>
        <w:t xml:space="preserve"> </w:t>
      </w:r>
      <w:r w:rsidRPr="00EC75B7">
        <w:rPr>
          <w:rFonts w:ascii="Verdana" w:hAnsi="Verdana"/>
          <w:spacing w:val="-2"/>
        </w:rPr>
        <w:t xml:space="preserve">2 - </w:t>
      </w:r>
      <w:r w:rsidRPr="00EC75B7">
        <w:rPr>
          <w:rFonts w:ascii="Verdana" w:hAnsi="Verdana"/>
        </w:rPr>
        <w:t>automatic</w:t>
      </w:r>
      <w:r w:rsidRPr="00EC75B7">
        <w:rPr>
          <w:rFonts w:ascii="Verdana" w:hAnsi="Verdana"/>
          <w:spacing w:val="-2"/>
        </w:rPr>
        <w:t xml:space="preserve"> recording </w:t>
      </w:r>
      <w:r w:rsidRPr="00EC75B7">
        <w:rPr>
          <w:rFonts w:ascii="Verdana" w:hAnsi="Verdana"/>
        </w:rPr>
        <w:t>of bats using static detectors placed in various positions in the field (stratified radomic sampling method), of the Anabat Chorus type, with a frequency of one full night of activity per month, at 5 points in the proposed location. The data recorded using static detectors were identified manually using Kaleidoscope Pro – Wildlife Acoustics software.</w:t>
      </w:r>
    </w:p>
    <w:p w14:paraId="67B261B3" w14:textId="77777777" w:rsidR="008715BE" w:rsidRPr="00EC75B7" w:rsidRDefault="00000000">
      <w:pPr>
        <w:pStyle w:val="BodyText"/>
        <w:spacing w:before="127" w:line="357" w:lineRule="auto"/>
        <w:ind w:left="57" w:right="436"/>
        <w:jc w:val="both"/>
        <w:rPr>
          <w:rFonts w:ascii="Verdana" w:hAnsi="Verdana"/>
        </w:rPr>
      </w:pPr>
      <w:r w:rsidRPr="00EC75B7">
        <w:rPr>
          <w:rFonts w:ascii="Verdana" w:hAnsi="Verdana"/>
        </w:rPr>
        <w:t>For any ultrasound analysis, the number of contacts is not equal to the number of individuals, as an animal can be detected several times in the same place (especially for quantitative monitoring). The number of contacts is directly proportional to the number of individuals.</w:t>
      </w:r>
    </w:p>
    <w:p w14:paraId="415B06F0" w14:textId="77777777" w:rsidR="008715BE" w:rsidRPr="00EC75B7" w:rsidRDefault="00000000">
      <w:pPr>
        <w:pStyle w:val="BodyText"/>
        <w:spacing w:before="122" w:line="357" w:lineRule="auto"/>
        <w:ind w:left="57" w:right="435"/>
        <w:jc w:val="both"/>
        <w:rPr>
          <w:rFonts w:ascii="Verdana" w:hAnsi="Verdana"/>
        </w:rPr>
      </w:pPr>
      <w:r w:rsidRPr="00EC75B7">
        <w:rPr>
          <w:rFonts w:ascii="Verdana" w:hAnsi="Verdana"/>
        </w:rPr>
        <w:t>The Bat Activity Index (BAI) was calculated for the quantitative method, providing a less subjective perspective in quantifying the potential impact (no. of contacts/nights of activity).</w:t>
      </w:r>
    </w:p>
    <w:p w14:paraId="5C260924" w14:textId="77777777" w:rsidR="008715BE" w:rsidRPr="00EC75B7" w:rsidRDefault="00000000">
      <w:pPr>
        <w:pStyle w:val="BodyText"/>
        <w:spacing w:before="120"/>
        <w:ind w:left="86"/>
        <w:jc w:val="both"/>
        <w:rPr>
          <w:rFonts w:ascii="Verdana" w:hAnsi="Verdana"/>
        </w:rPr>
      </w:pPr>
      <w:r w:rsidRPr="00EC75B7">
        <w:rPr>
          <w:rFonts w:ascii="Verdana" w:hAnsi="Verdana"/>
        </w:rPr>
        <w:t>All spatial data were processed using ArcGIS ESRI</w:t>
      </w:r>
      <w:r w:rsidRPr="00EC75B7">
        <w:rPr>
          <w:rFonts w:ascii="Verdana" w:hAnsi="Verdana"/>
          <w:spacing w:val="-2"/>
        </w:rPr>
        <w:t xml:space="preserve"> 2023 </w:t>
      </w:r>
      <w:r w:rsidRPr="00EC75B7">
        <w:rPr>
          <w:rFonts w:ascii="Verdana" w:hAnsi="Verdana"/>
        </w:rPr>
        <w:t>software</w:t>
      </w:r>
      <w:r w:rsidRPr="00EC75B7">
        <w:rPr>
          <w:rFonts w:ascii="Verdana" w:hAnsi="Verdana"/>
          <w:spacing w:val="-2"/>
        </w:rPr>
        <w:t>.</w:t>
      </w:r>
    </w:p>
    <w:p w14:paraId="3A398FC2" w14:textId="77777777" w:rsidR="008715BE" w:rsidRPr="00EC75B7" w:rsidRDefault="008715BE">
      <w:pPr>
        <w:pStyle w:val="BodyText"/>
        <w:spacing w:before="9"/>
        <w:rPr>
          <w:rFonts w:ascii="Verdana" w:hAnsi="Verdana"/>
        </w:rPr>
      </w:pPr>
    </w:p>
    <w:p w14:paraId="4D4CCB9C" w14:textId="77777777" w:rsidR="008715BE" w:rsidRPr="00EC75B7" w:rsidRDefault="00000000">
      <w:pPr>
        <w:pStyle w:val="Heading5"/>
        <w:rPr>
          <w:rFonts w:ascii="Verdana" w:hAnsi="Verdana"/>
        </w:rPr>
      </w:pPr>
      <w:r w:rsidRPr="00EC75B7">
        <w:rPr>
          <w:rFonts w:ascii="Verdana" w:hAnsi="Verdana"/>
          <w:spacing w:val="-2"/>
        </w:rPr>
        <w:t xml:space="preserve">Qualitative </w:t>
      </w:r>
      <w:r w:rsidRPr="00EC75B7">
        <w:rPr>
          <w:rFonts w:ascii="Verdana" w:hAnsi="Verdana"/>
        </w:rPr>
        <w:t>method</w:t>
      </w:r>
    </w:p>
    <w:p w14:paraId="162BFA1D" w14:textId="77777777" w:rsidR="008715BE" w:rsidRPr="00EC75B7" w:rsidRDefault="008715BE">
      <w:pPr>
        <w:pStyle w:val="BodyText"/>
        <w:spacing w:before="10"/>
        <w:rPr>
          <w:rFonts w:ascii="Verdana" w:hAnsi="Verdana"/>
          <w:b/>
        </w:rPr>
      </w:pPr>
    </w:p>
    <w:p w14:paraId="3026E73A" w14:textId="77777777" w:rsidR="008715BE" w:rsidRPr="00EC75B7" w:rsidRDefault="00000000">
      <w:pPr>
        <w:pStyle w:val="BodyText"/>
        <w:ind w:left="57"/>
        <w:jc w:val="both"/>
        <w:rPr>
          <w:rFonts w:ascii="Verdana" w:hAnsi="Verdana"/>
        </w:rPr>
      </w:pPr>
      <w:r w:rsidRPr="00EC75B7">
        <w:rPr>
          <w:rFonts w:ascii="Verdana" w:hAnsi="Verdana"/>
        </w:rPr>
        <w:t>Climatic conditions during monitoring were generally optimal (one sub-optimal case) for the year</w:t>
      </w:r>
      <w:r w:rsidRPr="00EC75B7">
        <w:rPr>
          <w:rFonts w:ascii="Verdana" w:hAnsi="Verdana"/>
          <w:spacing w:val="-2"/>
        </w:rPr>
        <w:t xml:space="preserve"> 2022.</w:t>
      </w:r>
    </w:p>
    <w:p w14:paraId="5F817ADA" w14:textId="77777777" w:rsidR="008715BE" w:rsidRPr="00EC75B7" w:rsidRDefault="008715BE">
      <w:pPr>
        <w:pStyle w:val="BodyText"/>
        <w:spacing w:before="7"/>
        <w:rPr>
          <w:rFonts w:ascii="Verdana" w:hAnsi="Verdana"/>
        </w:rPr>
      </w:pPr>
    </w:p>
    <w:p w14:paraId="0552F4C9" w14:textId="77777777" w:rsidR="008715BE" w:rsidRPr="00EC75B7" w:rsidRDefault="00000000">
      <w:pPr>
        <w:pStyle w:val="BodyText"/>
        <w:ind w:left="57"/>
        <w:jc w:val="both"/>
        <w:rPr>
          <w:rFonts w:ascii="Verdana" w:hAnsi="Verdana"/>
        </w:rPr>
      </w:pPr>
      <w:r w:rsidRPr="00EC75B7">
        <w:rPr>
          <w:rFonts w:ascii="Verdana" w:hAnsi="Verdana"/>
        </w:rPr>
        <w:t>During the monitoring period</w:t>
      </w:r>
      <w:r w:rsidRPr="00EC75B7">
        <w:rPr>
          <w:rFonts w:ascii="Verdana" w:hAnsi="Verdana"/>
          <w:spacing w:val="-2"/>
        </w:rPr>
        <w:t>,</w:t>
      </w:r>
      <w:r w:rsidRPr="00EC75B7">
        <w:rPr>
          <w:rFonts w:ascii="Verdana" w:hAnsi="Verdana"/>
        </w:rPr>
        <w:t xml:space="preserve"> 285 </w:t>
      </w:r>
      <w:r w:rsidRPr="00EC75B7">
        <w:rPr>
          <w:rFonts w:ascii="Verdana" w:hAnsi="Verdana"/>
          <w:spacing w:val="-2"/>
        </w:rPr>
        <w:t xml:space="preserve">records </w:t>
      </w:r>
      <w:r w:rsidRPr="00EC75B7">
        <w:rPr>
          <w:rFonts w:ascii="Verdana" w:hAnsi="Verdana"/>
        </w:rPr>
        <w:t>were captured</w:t>
      </w:r>
      <w:r w:rsidRPr="00EC75B7">
        <w:rPr>
          <w:rFonts w:ascii="Verdana" w:hAnsi="Verdana"/>
          <w:spacing w:val="-2"/>
        </w:rPr>
        <w:t>.</w:t>
      </w:r>
    </w:p>
    <w:p w14:paraId="5A857299" w14:textId="77777777" w:rsidR="008715BE" w:rsidRPr="00EC75B7" w:rsidRDefault="008715BE">
      <w:pPr>
        <w:pStyle w:val="BodyText"/>
        <w:spacing w:before="9"/>
        <w:rPr>
          <w:rFonts w:ascii="Verdana" w:hAnsi="Verdana"/>
        </w:rPr>
      </w:pPr>
    </w:p>
    <w:p w14:paraId="4C8A3E88" w14:textId="77777777" w:rsidR="008715BE" w:rsidRPr="00EC75B7" w:rsidRDefault="00000000">
      <w:pPr>
        <w:pStyle w:val="BodyText"/>
        <w:spacing w:before="1" w:line="357" w:lineRule="auto"/>
        <w:ind w:left="57" w:right="431"/>
        <w:jc w:val="both"/>
        <w:rPr>
          <w:rFonts w:ascii="Verdana" w:hAnsi="Verdana"/>
        </w:rPr>
      </w:pPr>
      <w:r w:rsidRPr="00EC75B7">
        <w:rPr>
          <w:rFonts w:ascii="Verdana" w:hAnsi="Verdana"/>
        </w:rPr>
        <w:t xml:space="preserve">Five potentially six species/groups of bats were identified. Certain species cannot be directly identified through ultrasound analysis due to the similarity of their echolocation, so groupings such as </w:t>
      </w:r>
      <w:r w:rsidRPr="00EC75B7">
        <w:rPr>
          <w:rFonts w:ascii="Verdana" w:hAnsi="Verdana"/>
          <w:i/>
        </w:rPr>
        <w:t xml:space="preserve">Pipistrellus nathusii/Pipistrellus kuhlii </w:t>
      </w:r>
      <w:r w:rsidRPr="00EC75B7">
        <w:rPr>
          <w:rFonts w:ascii="Verdana" w:hAnsi="Verdana"/>
        </w:rPr>
        <w:t xml:space="preserve">or </w:t>
      </w:r>
      <w:r w:rsidRPr="00EC75B7">
        <w:rPr>
          <w:rFonts w:ascii="Verdana" w:hAnsi="Verdana"/>
          <w:i/>
        </w:rPr>
        <w:t xml:space="preserve">Myotis sp. </w:t>
      </w:r>
      <w:r w:rsidRPr="00EC75B7">
        <w:rPr>
          <w:rFonts w:ascii="Verdana" w:hAnsi="Verdana"/>
        </w:rPr>
        <w:t>(with various grouping variations) are accepted. The species identifications from the qualitative method can be found in the sonograms presented below.</w:t>
      </w:r>
    </w:p>
    <w:p w14:paraId="6E8DD746"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799" w:gutter="0"/>
          <w:cols w:space="708"/>
        </w:sectPr>
      </w:pPr>
    </w:p>
    <w:p w14:paraId="52887989" w14:textId="77777777" w:rsidR="008715BE" w:rsidRPr="00EC75B7" w:rsidRDefault="00000000">
      <w:pPr>
        <w:pStyle w:val="BodyText"/>
        <w:spacing w:before="99" w:line="357" w:lineRule="auto"/>
        <w:ind w:left="57" w:right="422"/>
        <w:jc w:val="both"/>
        <w:rPr>
          <w:rFonts w:ascii="Verdana" w:hAnsi="Verdana"/>
        </w:rPr>
      </w:pPr>
      <w:r w:rsidRPr="00EC75B7">
        <w:rPr>
          <w:rFonts w:ascii="Verdana" w:hAnsi="Verdana"/>
        </w:rPr>
        <w:lastRenderedPageBreak/>
        <w:t xml:space="preserve">The most abundant taxon recorded in the 2022 monitoring campaign was </w:t>
      </w:r>
      <w:r w:rsidRPr="00EC75B7">
        <w:rPr>
          <w:rFonts w:ascii="Verdana" w:hAnsi="Verdana"/>
          <w:i/>
        </w:rPr>
        <w:t>Pipistrellus nathusii/kuhlii</w:t>
      </w:r>
      <w:r w:rsidRPr="00EC75B7">
        <w:rPr>
          <w:rFonts w:ascii="Verdana" w:hAnsi="Verdana"/>
        </w:rPr>
        <w:t xml:space="preserve">, followed by </w:t>
      </w:r>
      <w:r w:rsidRPr="00EC75B7">
        <w:rPr>
          <w:rFonts w:ascii="Verdana" w:hAnsi="Verdana"/>
          <w:i/>
        </w:rPr>
        <w:t xml:space="preserve">Nyctalus noctula. </w:t>
      </w:r>
      <w:r w:rsidRPr="00EC75B7">
        <w:rPr>
          <w:rFonts w:ascii="Verdana" w:hAnsi="Verdana"/>
        </w:rPr>
        <w:t>All groups/species recorded in the study area are very common in the open areas of southern Romania.</w:t>
      </w:r>
    </w:p>
    <w:p w14:paraId="58AB6631" w14:textId="77777777" w:rsidR="008715BE" w:rsidRPr="00EC75B7" w:rsidRDefault="00000000">
      <w:pPr>
        <w:pStyle w:val="BodyText"/>
        <w:spacing w:before="123" w:line="357" w:lineRule="auto"/>
        <w:ind w:left="57" w:right="435"/>
        <w:jc w:val="both"/>
        <w:rPr>
          <w:rFonts w:ascii="Verdana" w:hAnsi="Verdana"/>
          <w:i/>
        </w:rPr>
      </w:pPr>
      <w:r w:rsidRPr="00EC75B7">
        <w:rPr>
          <w:rFonts w:ascii="Verdana" w:hAnsi="Verdana"/>
        </w:rPr>
        <w:t xml:space="preserve">The evolution of chiropteran activity per monitoring month indicates a peak in May 2022, which may coincide with late migrations of some species or with the beginning of the maternity period for species of the genus </w:t>
      </w:r>
      <w:r w:rsidRPr="00EC75B7">
        <w:rPr>
          <w:rFonts w:ascii="Verdana" w:hAnsi="Verdana"/>
          <w:i/>
        </w:rPr>
        <w:t>Pipistrellus sp.</w:t>
      </w:r>
    </w:p>
    <w:p w14:paraId="427C5572" w14:textId="77777777" w:rsidR="008715BE" w:rsidRPr="00EC75B7" w:rsidRDefault="00000000">
      <w:pPr>
        <w:pStyle w:val="BodyText"/>
        <w:spacing w:before="122" w:line="360" w:lineRule="auto"/>
        <w:ind w:left="86" w:right="437"/>
        <w:jc w:val="both"/>
        <w:rPr>
          <w:rFonts w:ascii="Verdana" w:hAnsi="Verdana"/>
        </w:rPr>
      </w:pPr>
      <w:r w:rsidRPr="00EC75B7">
        <w:rPr>
          <w:rFonts w:ascii="Verdana" w:hAnsi="Verdana"/>
        </w:rPr>
        <w:t>Activity gradually decreased starting in May 2022, and diversity remained roughly similar, with few species identified during transects (maximum 5). The data indicate the possibility of using the site as a migration area in the spring season, but also as a maternity area in the summer.</w:t>
      </w:r>
    </w:p>
    <w:p w14:paraId="36E6C29E" w14:textId="77777777" w:rsidR="008715BE" w:rsidRPr="00EC75B7" w:rsidRDefault="00000000">
      <w:pPr>
        <w:spacing w:before="165"/>
        <w:ind w:left="57" w:right="467"/>
        <w:jc w:val="both"/>
        <w:rPr>
          <w:rFonts w:ascii="Verdana" w:hAnsi="Verdana"/>
          <w:b/>
          <w:sz w:val="18"/>
          <w:szCs w:val="18"/>
        </w:rPr>
      </w:pPr>
      <w:r w:rsidRPr="00EC75B7">
        <w:rPr>
          <w:rFonts w:ascii="Verdana" w:hAnsi="Verdana"/>
          <w:b/>
          <w:color w:val="00AFEF"/>
          <w:sz w:val="18"/>
          <w:szCs w:val="18"/>
        </w:rPr>
        <w:t>Table 14 Number of ultrasound contacts per species or group and conservation status – qualitative method – ultrasound transects</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929"/>
        <w:gridCol w:w="3269"/>
        <w:gridCol w:w="2071"/>
        <w:gridCol w:w="1915"/>
        <w:gridCol w:w="1528"/>
      </w:tblGrid>
      <w:tr w:rsidR="008715BE" w:rsidRPr="00EC75B7" w14:paraId="0E96927C" w14:textId="77777777">
        <w:trPr>
          <w:trHeight w:val="299"/>
        </w:trPr>
        <w:tc>
          <w:tcPr>
            <w:tcW w:w="929" w:type="dxa"/>
            <w:shd w:val="clear" w:color="auto" w:fill="00A1E8"/>
          </w:tcPr>
          <w:p w14:paraId="4DC4F6D2" w14:textId="77777777" w:rsidR="008715BE" w:rsidRPr="00EC75B7" w:rsidRDefault="00000000">
            <w:pPr>
              <w:pStyle w:val="TableParagraph"/>
              <w:spacing w:before="51"/>
              <w:ind w:left="10"/>
              <w:jc w:val="center"/>
              <w:rPr>
                <w:rFonts w:ascii="Verdana" w:hAnsi="Verdana"/>
                <w:b/>
                <w:sz w:val="18"/>
                <w:szCs w:val="18"/>
              </w:rPr>
            </w:pPr>
            <w:r w:rsidRPr="00EC75B7">
              <w:rPr>
                <w:rFonts w:ascii="Verdana" w:hAnsi="Verdana"/>
                <w:b/>
                <w:color w:val="FFFFFF"/>
                <w:spacing w:val="-4"/>
                <w:sz w:val="18"/>
                <w:szCs w:val="18"/>
              </w:rPr>
              <w:t>No</w:t>
            </w:r>
            <w:r w:rsidRPr="00EC75B7">
              <w:rPr>
                <w:rFonts w:ascii="Verdana" w:hAnsi="Verdana"/>
                <w:b/>
                <w:color w:val="FFFFFF"/>
                <w:sz w:val="18"/>
                <w:szCs w:val="18"/>
              </w:rPr>
              <w:t>.</w:t>
            </w:r>
          </w:p>
        </w:tc>
        <w:tc>
          <w:tcPr>
            <w:tcW w:w="3269" w:type="dxa"/>
            <w:shd w:val="clear" w:color="auto" w:fill="00A1E8"/>
          </w:tcPr>
          <w:p w14:paraId="183DC4D0" w14:textId="77777777" w:rsidR="008715BE" w:rsidRPr="00EC75B7" w:rsidRDefault="00000000">
            <w:pPr>
              <w:pStyle w:val="TableParagraph"/>
              <w:spacing w:before="51"/>
              <w:ind w:left="8"/>
              <w:jc w:val="center"/>
              <w:rPr>
                <w:rFonts w:ascii="Verdana" w:hAnsi="Verdana"/>
                <w:b/>
                <w:sz w:val="18"/>
                <w:szCs w:val="18"/>
              </w:rPr>
            </w:pPr>
            <w:r w:rsidRPr="00EC75B7">
              <w:rPr>
                <w:rFonts w:ascii="Verdana" w:hAnsi="Verdana"/>
                <w:b/>
                <w:color w:val="FFFFFF"/>
                <w:spacing w:val="-2"/>
                <w:sz w:val="18"/>
                <w:szCs w:val="18"/>
              </w:rPr>
              <w:t>Species</w:t>
            </w:r>
          </w:p>
        </w:tc>
        <w:tc>
          <w:tcPr>
            <w:tcW w:w="2071" w:type="dxa"/>
            <w:shd w:val="clear" w:color="auto" w:fill="00A1E8"/>
          </w:tcPr>
          <w:p w14:paraId="14B40FF8" w14:textId="77777777" w:rsidR="008715BE" w:rsidRPr="00EC75B7" w:rsidRDefault="00000000">
            <w:pPr>
              <w:pStyle w:val="TableParagraph"/>
              <w:spacing w:before="51"/>
              <w:ind w:left="326"/>
              <w:rPr>
                <w:rFonts w:ascii="Verdana" w:hAnsi="Verdana"/>
                <w:b/>
                <w:sz w:val="18"/>
                <w:szCs w:val="18"/>
              </w:rPr>
            </w:pPr>
            <w:r w:rsidRPr="00EC75B7">
              <w:rPr>
                <w:rFonts w:ascii="Verdana" w:hAnsi="Verdana"/>
                <w:b/>
                <w:color w:val="FFFFFF"/>
                <w:sz w:val="18"/>
                <w:szCs w:val="18"/>
              </w:rPr>
              <w:t>O.U.G.</w:t>
            </w:r>
            <w:r w:rsidRPr="00EC75B7">
              <w:rPr>
                <w:rFonts w:ascii="Verdana" w:hAnsi="Verdana"/>
                <w:b/>
                <w:color w:val="FFFFFF"/>
                <w:spacing w:val="-2"/>
                <w:sz w:val="18"/>
                <w:szCs w:val="18"/>
              </w:rPr>
              <w:t xml:space="preserve"> 57/2007</w:t>
            </w:r>
          </w:p>
        </w:tc>
        <w:tc>
          <w:tcPr>
            <w:tcW w:w="1915" w:type="dxa"/>
            <w:shd w:val="clear" w:color="auto" w:fill="00A1E8"/>
          </w:tcPr>
          <w:p w14:paraId="5AD55D9B" w14:textId="77777777" w:rsidR="008715BE" w:rsidRPr="00EC75B7" w:rsidRDefault="00000000">
            <w:pPr>
              <w:pStyle w:val="TableParagraph"/>
              <w:spacing w:before="51"/>
              <w:ind w:left="13" w:right="1"/>
              <w:jc w:val="center"/>
              <w:rPr>
                <w:rFonts w:ascii="Verdana" w:hAnsi="Verdana"/>
                <w:b/>
                <w:sz w:val="18"/>
                <w:szCs w:val="18"/>
              </w:rPr>
            </w:pPr>
            <w:r w:rsidRPr="00EC75B7">
              <w:rPr>
                <w:rFonts w:ascii="Verdana" w:hAnsi="Verdana"/>
                <w:b/>
                <w:color w:val="FFFFFF"/>
                <w:spacing w:val="-2"/>
                <w:sz w:val="18"/>
                <w:szCs w:val="18"/>
              </w:rPr>
              <w:t xml:space="preserve">Habitats </w:t>
            </w:r>
            <w:r w:rsidRPr="00EC75B7">
              <w:rPr>
                <w:rFonts w:ascii="Verdana" w:hAnsi="Verdana"/>
                <w:b/>
                <w:color w:val="FFFFFF"/>
                <w:sz w:val="18"/>
                <w:szCs w:val="18"/>
              </w:rPr>
              <w:t>Directive</w:t>
            </w:r>
          </w:p>
        </w:tc>
        <w:tc>
          <w:tcPr>
            <w:tcW w:w="1528" w:type="dxa"/>
            <w:shd w:val="clear" w:color="auto" w:fill="00A1E8"/>
          </w:tcPr>
          <w:p w14:paraId="4674EC35" w14:textId="77777777" w:rsidR="008715BE" w:rsidRPr="00EC75B7" w:rsidRDefault="00000000">
            <w:pPr>
              <w:pStyle w:val="TableParagraph"/>
              <w:spacing w:before="51"/>
              <w:ind w:left="16" w:right="4"/>
              <w:jc w:val="center"/>
              <w:rPr>
                <w:rFonts w:ascii="Verdana" w:hAnsi="Verdana"/>
                <w:b/>
                <w:sz w:val="18"/>
                <w:szCs w:val="18"/>
              </w:rPr>
            </w:pPr>
            <w:r w:rsidRPr="00EC75B7">
              <w:rPr>
                <w:rFonts w:ascii="Verdana" w:hAnsi="Verdana"/>
                <w:b/>
                <w:color w:val="FFFFFF"/>
                <w:sz w:val="18"/>
                <w:szCs w:val="18"/>
              </w:rPr>
              <w:t xml:space="preserve">No. of </w:t>
            </w:r>
            <w:r w:rsidRPr="00EC75B7">
              <w:rPr>
                <w:rFonts w:ascii="Verdana" w:hAnsi="Verdana"/>
                <w:b/>
                <w:color w:val="FFFFFF"/>
                <w:spacing w:val="-2"/>
                <w:sz w:val="18"/>
                <w:szCs w:val="18"/>
              </w:rPr>
              <w:t>contacts</w:t>
            </w:r>
          </w:p>
        </w:tc>
      </w:tr>
      <w:tr w:rsidR="008715BE" w:rsidRPr="00EC75B7" w14:paraId="4A13D111" w14:textId="77777777">
        <w:trPr>
          <w:trHeight w:val="302"/>
        </w:trPr>
        <w:tc>
          <w:tcPr>
            <w:tcW w:w="929" w:type="dxa"/>
          </w:tcPr>
          <w:p w14:paraId="417E61BC" w14:textId="77777777" w:rsidR="008715BE" w:rsidRPr="00EC75B7" w:rsidRDefault="00000000">
            <w:pPr>
              <w:pStyle w:val="TableParagraph"/>
              <w:spacing w:before="54"/>
              <w:ind w:left="10" w:right="1"/>
              <w:jc w:val="center"/>
              <w:rPr>
                <w:rFonts w:ascii="Verdana" w:hAnsi="Verdana"/>
                <w:sz w:val="18"/>
                <w:szCs w:val="18"/>
              </w:rPr>
            </w:pPr>
            <w:r w:rsidRPr="00EC75B7">
              <w:rPr>
                <w:rFonts w:ascii="Verdana" w:hAnsi="Verdana"/>
                <w:spacing w:val="-10"/>
                <w:sz w:val="18"/>
                <w:szCs w:val="18"/>
              </w:rPr>
              <w:t>1</w:t>
            </w:r>
          </w:p>
        </w:tc>
        <w:tc>
          <w:tcPr>
            <w:tcW w:w="3269" w:type="dxa"/>
          </w:tcPr>
          <w:p w14:paraId="2878361A" w14:textId="77777777" w:rsidR="008715BE" w:rsidRPr="00EC75B7" w:rsidRDefault="00000000">
            <w:pPr>
              <w:pStyle w:val="TableParagraph"/>
              <w:spacing w:before="54"/>
              <w:ind w:left="108"/>
              <w:rPr>
                <w:rFonts w:ascii="Verdana" w:hAnsi="Verdana"/>
                <w:i/>
                <w:sz w:val="18"/>
                <w:szCs w:val="18"/>
              </w:rPr>
            </w:pPr>
            <w:r w:rsidRPr="00EC75B7">
              <w:rPr>
                <w:rFonts w:ascii="Verdana" w:hAnsi="Verdana"/>
                <w:i/>
                <w:spacing w:val="-2"/>
                <w:sz w:val="18"/>
                <w:szCs w:val="18"/>
              </w:rPr>
              <w:t>Pipistrellus nathusii/kuhlii</w:t>
            </w:r>
          </w:p>
        </w:tc>
        <w:tc>
          <w:tcPr>
            <w:tcW w:w="2071" w:type="dxa"/>
          </w:tcPr>
          <w:p w14:paraId="26C03DE4" w14:textId="77777777" w:rsidR="008715BE" w:rsidRPr="00EC75B7" w:rsidRDefault="00000000">
            <w:pPr>
              <w:pStyle w:val="TableParagraph"/>
              <w:spacing w:before="54"/>
              <w:ind w:left="13" w:right="1"/>
              <w:jc w:val="center"/>
              <w:rPr>
                <w:rFonts w:ascii="Verdana" w:hAnsi="Verdana"/>
                <w:sz w:val="18"/>
                <w:szCs w:val="18"/>
              </w:rPr>
            </w:pPr>
            <w:r w:rsidRPr="00EC75B7">
              <w:rPr>
                <w:rFonts w:ascii="Verdana" w:hAnsi="Verdana"/>
                <w:sz w:val="18"/>
                <w:szCs w:val="18"/>
              </w:rPr>
              <w:t xml:space="preserve">Annex IV </w:t>
            </w:r>
            <w:r w:rsidRPr="00EC75B7">
              <w:rPr>
                <w:rFonts w:ascii="Verdana" w:hAnsi="Verdana"/>
                <w:spacing w:val="-10"/>
                <w:sz w:val="18"/>
                <w:szCs w:val="18"/>
              </w:rPr>
              <w:t>A</w:t>
            </w:r>
          </w:p>
        </w:tc>
        <w:tc>
          <w:tcPr>
            <w:tcW w:w="1915" w:type="dxa"/>
          </w:tcPr>
          <w:p w14:paraId="38132161" w14:textId="77777777" w:rsidR="008715BE" w:rsidRPr="00EC75B7" w:rsidRDefault="00000000">
            <w:pPr>
              <w:pStyle w:val="TableParagraph"/>
              <w:spacing w:before="54"/>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528" w:type="dxa"/>
          </w:tcPr>
          <w:p w14:paraId="50F46000" w14:textId="77777777" w:rsidR="008715BE" w:rsidRPr="00EC75B7" w:rsidRDefault="00000000">
            <w:pPr>
              <w:pStyle w:val="TableParagraph"/>
              <w:spacing w:before="54"/>
              <w:ind w:left="16" w:right="1"/>
              <w:jc w:val="center"/>
              <w:rPr>
                <w:rFonts w:ascii="Verdana" w:hAnsi="Verdana"/>
                <w:sz w:val="18"/>
                <w:szCs w:val="18"/>
              </w:rPr>
            </w:pPr>
            <w:r w:rsidRPr="00EC75B7">
              <w:rPr>
                <w:rFonts w:ascii="Verdana" w:hAnsi="Verdana"/>
                <w:spacing w:val="-5"/>
                <w:sz w:val="18"/>
                <w:szCs w:val="18"/>
              </w:rPr>
              <w:t>239</w:t>
            </w:r>
          </w:p>
        </w:tc>
      </w:tr>
      <w:tr w:rsidR="008715BE" w:rsidRPr="00EC75B7" w14:paraId="4C282816" w14:textId="77777777">
        <w:trPr>
          <w:trHeight w:val="299"/>
        </w:trPr>
        <w:tc>
          <w:tcPr>
            <w:tcW w:w="929" w:type="dxa"/>
          </w:tcPr>
          <w:p w14:paraId="754856AF" w14:textId="77777777" w:rsidR="008715BE" w:rsidRPr="00EC75B7" w:rsidRDefault="00000000">
            <w:pPr>
              <w:pStyle w:val="TableParagraph"/>
              <w:spacing w:before="51"/>
              <w:ind w:left="10" w:right="1"/>
              <w:jc w:val="center"/>
              <w:rPr>
                <w:rFonts w:ascii="Verdana" w:hAnsi="Verdana"/>
                <w:sz w:val="18"/>
                <w:szCs w:val="18"/>
              </w:rPr>
            </w:pPr>
            <w:r w:rsidRPr="00EC75B7">
              <w:rPr>
                <w:rFonts w:ascii="Verdana" w:hAnsi="Verdana"/>
                <w:spacing w:val="-10"/>
                <w:sz w:val="18"/>
                <w:szCs w:val="18"/>
              </w:rPr>
              <w:t>2</w:t>
            </w:r>
          </w:p>
        </w:tc>
        <w:tc>
          <w:tcPr>
            <w:tcW w:w="3269" w:type="dxa"/>
          </w:tcPr>
          <w:p w14:paraId="73326BC9" w14:textId="77777777" w:rsidR="008715BE" w:rsidRPr="00EC75B7" w:rsidRDefault="00000000">
            <w:pPr>
              <w:pStyle w:val="TableParagraph"/>
              <w:spacing w:before="51"/>
              <w:ind w:left="108"/>
              <w:rPr>
                <w:rFonts w:ascii="Verdana" w:hAnsi="Verdana"/>
                <w:i/>
                <w:sz w:val="18"/>
                <w:szCs w:val="18"/>
              </w:rPr>
            </w:pPr>
            <w:r w:rsidRPr="00EC75B7">
              <w:rPr>
                <w:rFonts w:ascii="Verdana" w:hAnsi="Verdana"/>
                <w:i/>
                <w:spacing w:val="-2"/>
                <w:sz w:val="18"/>
                <w:szCs w:val="18"/>
              </w:rPr>
              <w:t>Pipistrellus pipistrellus</w:t>
            </w:r>
          </w:p>
        </w:tc>
        <w:tc>
          <w:tcPr>
            <w:tcW w:w="2071" w:type="dxa"/>
          </w:tcPr>
          <w:p w14:paraId="705DF3BB" w14:textId="77777777" w:rsidR="008715BE" w:rsidRPr="00EC75B7" w:rsidRDefault="00000000">
            <w:pPr>
              <w:pStyle w:val="TableParagraph"/>
              <w:spacing w:before="51"/>
              <w:ind w:left="13" w:right="1"/>
              <w:jc w:val="center"/>
              <w:rPr>
                <w:rFonts w:ascii="Verdana" w:hAnsi="Verdana"/>
                <w:sz w:val="18"/>
                <w:szCs w:val="18"/>
              </w:rPr>
            </w:pPr>
            <w:r w:rsidRPr="00EC75B7">
              <w:rPr>
                <w:rFonts w:ascii="Verdana" w:hAnsi="Verdana"/>
                <w:sz w:val="18"/>
                <w:szCs w:val="18"/>
              </w:rPr>
              <w:t xml:space="preserve">Annex IV </w:t>
            </w:r>
            <w:r w:rsidRPr="00EC75B7">
              <w:rPr>
                <w:rFonts w:ascii="Verdana" w:hAnsi="Verdana"/>
                <w:spacing w:val="-10"/>
                <w:sz w:val="18"/>
                <w:szCs w:val="18"/>
              </w:rPr>
              <w:t>A</w:t>
            </w:r>
          </w:p>
        </w:tc>
        <w:tc>
          <w:tcPr>
            <w:tcW w:w="1915" w:type="dxa"/>
          </w:tcPr>
          <w:p w14:paraId="5F5C348F" w14:textId="77777777" w:rsidR="008715BE" w:rsidRPr="00EC75B7" w:rsidRDefault="00000000">
            <w:pPr>
              <w:pStyle w:val="TableParagraph"/>
              <w:spacing w:before="51"/>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528" w:type="dxa"/>
          </w:tcPr>
          <w:p w14:paraId="6F5933E1" w14:textId="77777777" w:rsidR="008715BE" w:rsidRPr="00EC75B7" w:rsidRDefault="00000000">
            <w:pPr>
              <w:pStyle w:val="TableParagraph"/>
              <w:spacing w:before="51"/>
              <w:ind w:left="16" w:right="3"/>
              <w:jc w:val="center"/>
              <w:rPr>
                <w:rFonts w:ascii="Verdana" w:hAnsi="Verdana"/>
                <w:sz w:val="18"/>
                <w:szCs w:val="18"/>
              </w:rPr>
            </w:pPr>
            <w:r w:rsidRPr="00EC75B7">
              <w:rPr>
                <w:rFonts w:ascii="Verdana" w:hAnsi="Verdana"/>
                <w:spacing w:val="-10"/>
                <w:sz w:val="18"/>
                <w:szCs w:val="18"/>
              </w:rPr>
              <w:t>7</w:t>
            </w:r>
          </w:p>
        </w:tc>
      </w:tr>
      <w:tr w:rsidR="008715BE" w:rsidRPr="00EC75B7" w14:paraId="7B2D947B" w14:textId="77777777">
        <w:trPr>
          <w:trHeight w:val="299"/>
        </w:trPr>
        <w:tc>
          <w:tcPr>
            <w:tcW w:w="929" w:type="dxa"/>
          </w:tcPr>
          <w:p w14:paraId="3B96BCD1" w14:textId="77777777" w:rsidR="008715BE" w:rsidRPr="00EC75B7" w:rsidRDefault="00000000">
            <w:pPr>
              <w:pStyle w:val="TableParagraph"/>
              <w:spacing w:before="51"/>
              <w:ind w:left="10" w:right="1"/>
              <w:jc w:val="center"/>
              <w:rPr>
                <w:rFonts w:ascii="Verdana" w:hAnsi="Verdana"/>
                <w:sz w:val="18"/>
                <w:szCs w:val="18"/>
              </w:rPr>
            </w:pPr>
            <w:r w:rsidRPr="00EC75B7">
              <w:rPr>
                <w:rFonts w:ascii="Verdana" w:hAnsi="Verdana"/>
                <w:spacing w:val="-10"/>
                <w:sz w:val="18"/>
                <w:szCs w:val="18"/>
              </w:rPr>
              <w:t>3</w:t>
            </w:r>
          </w:p>
        </w:tc>
        <w:tc>
          <w:tcPr>
            <w:tcW w:w="3269" w:type="dxa"/>
          </w:tcPr>
          <w:p w14:paraId="20D67C30" w14:textId="77777777" w:rsidR="008715BE" w:rsidRPr="00EC75B7" w:rsidRDefault="00000000">
            <w:pPr>
              <w:pStyle w:val="TableParagraph"/>
              <w:spacing w:before="51"/>
              <w:ind w:left="108"/>
              <w:rPr>
                <w:rFonts w:ascii="Verdana" w:hAnsi="Verdana"/>
                <w:i/>
                <w:sz w:val="18"/>
                <w:szCs w:val="18"/>
              </w:rPr>
            </w:pPr>
            <w:r w:rsidRPr="00EC75B7">
              <w:rPr>
                <w:rFonts w:ascii="Verdana" w:hAnsi="Verdana"/>
                <w:i/>
                <w:sz w:val="18"/>
                <w:szCs w:val="18"/>
              </w:rPr>
              <w:t xml:space="preserve">Nyctalus </w:t>
            </w:r>
            <w:r w:rsidRPr="00EC75B7">
              <w:rPr>
                <w:rFonts w:ascii="Verdana" w:hAnsi="Verdana"/>
                <w:i/>
                <w:spacing w:val="-2"/>
                <w:sz w:val="18"/>
                <w:szCs w:val="18"/>
              </w:rPr>
              <w:t>leisleri</w:t>
            </w:r>
          </w:p>
        </w:tc>
        <w:tc>
          <w:tcPr>
            <w:tcW w:w="2071" w:type="dxa"/>
          </w:tcPr>
          <w:p w14:paraId="5F67043E" w14:textId="77777777" w:rsidR="008715BE" w:rsidRPr="00EC75B7" w:rsidRDefault="00000000">
            <w:pPr>
              <w:pStyle w:val="TableParagraph"/>
              <w:spacing w:before="51"/>
              <w:ind w:left="13" w:right="1"/>
              <w:jc w:val="center"/>
              <w:rPr>
                <w:rFonts w:ascii="Verdana" w:hAnsi="Verdana"/>
                <w:sz w:val="18"/>
                <w:szCs w:val="18"/>
              </w:rPr>
            </w:pPr>
            <w:r w:rsidRPr="00EC75B7">
              <w:rPr>
                <w:rFonts w:ascii="Verdana" w:hAnsi="Verdana"/>
                <w:sz w:val="18"/>
                <w:szCs w:val="18"/>
              </w:rPr>
              <w:t xml:space="preserve">Annex IV </w:t>
            </w:r>
            <w:r w:rsidRPr="00EC75B7">
              <w:rPr>
                <w:rFonts w:ascii="Verdana" w:hAnsi="Verdana"/>
                <w:spacing w:val="-10"/>
                <w:sz w:val="18"/>
                <w:szCs w:val="18"/>
              </w:rPr>
              <w:t>A</w:t>
            </w:r>
          </w:p>
        </w:tc>
        <w:tc>
          <w:tcPr>
            <w:tcW w:w="1915" w:type="dxa"/>
          </w:tcPr>
          <w:p w14:paraId="0E1AB151" w14:textId="77777777" w:rsidR="008715BE" w:rsidRPr="00EC75B7" w:rsidRDefault="00000000">
            <w:pPr>
              <w:pStyle w:val="TableParagraph"/>
              <w:spacing w:before="51"/>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528" w:type="dxa"/>
          </w:tcPr>
          <w:p w14:paraId="31112E65" w14:textId="77777777" w:rsidR="008715BE" w:rsidRPr="00EC75B7" w:rsidRDefault="00000000">
            <w:pPr>
              <w:pStyle w:val="TableParagraph"/>
              <w:spacing w:before="51"/>
              <w:ind w:left="16"/>
              <w:jc w:val="center"/>
              <w:rPr>
                <w:rFonts w:ascii="Verdana" w:hAnsi="Verdana"/>
                <w:sz w:val="18"/>
                <w:szCs w:val="18"/>
              </w:rPr>
            </w:pPr>
            <w:r w:rsidRPr="00EC75B7">
              <w:rPr>
                <w:rFonts w:ascii="Verdana" w:hAnsi="Verdana"/>
                <w:spacing w:val="-5"/>
                <w:sz w:val="18"/>
                <w:szCs w:val="18"/>
              </w:rPr>
              <w:t>10</w:t>
            </w:r>
          </w:p>
        </w:tc>
      </w:tr>
      <w:tr w:rsidR="008715BE" w:rsidRPr="00EC75B7" w14:paraId="301FD11C" w14:textId="77777777">
        <w:trPr>
          <w:trHeight w:val="299"/>
        </w:trPr>
        <w:tc>
          <w:tcPr>
            <w:tcW w:w="929" w:type="dxa"/>
          </w:tcPr>
          <w:p w14:paraId="1EA630F1" w14:textId="77777777" w:rsidR="008715BE" w:rsidRPr="00EC75B7" w:rsidRDefault="00000000">
            <w:pPr>
              <w:pStyle w:val="TableParagraph"/>
              <w:spacing w:before="51"/>
              <w:ind w:left="10" w:right="1"/>
              <w:jc w:val="center"/>
              <w:rPr>
                <w:rFonts w:ascii="Verdana" w:hAnsi="Verdana"/>
                <w:sz w:val="18"/>
                <w:szCs w:val="18"/>
              </w:rPr>
            </w:pPr>
            <w:r w:rsidRPr="00EC75B7">
              <w:rPr>
                <w:rFonts w:ascii="Verdana" w:hAnsi="Verdana"/>
                <w:spacing w:val="-10"/>
                <w:sz w:val="18"/>
                <w:szCs w:val="18"/>
              </w:rPr>
              <w:t>4</w:t>
            </w:r>
          </w:p>
        </w:tc>
        <w:tc>
          <w:tcPr>
            <w:tcW w:w="3269" w:type="dxa"/>
          </w:tcPr>
          <w:p w14:paraId="68B04392" w14:textId="77777777" w:rsidR="008715BE" w:rsidRPr="00EC75B7" w:rsidRDefault="00000000">
            <w:pPr>
              <w:pStyle w:val="TableParagraph"/>
              <w:spacing w:before="51"/>
              <w:ind w:left="108"/>
              <w:rPr>
                <w:rFonts w:ascii="Verdana" w:hAnsi="Verdana"/>
                <w:i/>
                <w:sz w:val="18"/>
                <w:szCs w:val="18"/>
              </w:rPr>
            </w:pPr>
            <w:r w:rsidRPr="00EC75B7">
              <w:rPr>
                <w:rFonts w:ascii="Verdana" w:hAnsi="Verdana"/>
                <w:i/>
                <w:sz w:val="18"/>
                <w:szCs w:val="18"/>
              </w:rPr>
              <w:t xml:space="preserve">Nyctalus </w:t>
            </w:r>
            <w:r w:rsidRPr="00EC75B7">
              <w:rPr>
                <w:rFonts w:ascii="Verdana" w:hAnsi="Verdana"/>
                <w:i/>
                <w:spacing w:val="-2"/>
                <w:sz w:val="18"/>
                <w:szCs w:val="18"/>
              </w:rPr>
              <w:t>noctula</w:t>
            </w:r>
          </w:p>
        </w:tc>
        <w:tc>
          <w:tcPr>
            <w:tcW w:w="2071" w:type="dxa"/>
          </w:tcPr>
          <w:p w14:paraId="4D1D36D1" w14:textId="77777777" w:rsidR="008715BE" w:rsidRPr="00EC75B7" w:rsidRDefault="00000000">
            <w:pPr>
              <w:pStyle w:val="TableParagraph"/>
              <w:spacing w:before="51"/>
              <w:ind w:left="13"/>
              <w:jc w:val="center"/>
              <w:rPr>
                <w:rFonts w:ascii="Verdana" w:hAnsi="Verdana"/>
                <w:sz w:val="18"/>
                <w:szCs w:val="18"/>
              </w:rPr>
            </w:pPr>
            <w:r w:rsidRPr="00EC75B7">
              <w:rPr>
                <w:rFonts w:ascii="Verdana" w:hAnsi="Verdana"/>
                <w:sz w:val="18"/>
                <w:szCs w:val="18"/>
              </w:rPr>
              <w:t xml:space="preserve">Annex IV </w:t>
            </w:r>
            <w:r w:rsidRPr="00EC75B7">
              <w:rPr>
                <w:rFonts w:ascii="Verdana" w:hAnsi="Verdana"/>
                <w:spacing w:val="-10"/>
                <w:sz w:val="18"/>
                <w:szCs w:val="18"/>
              </w:rPr>
              <w:t>A</w:t>
            </w:r>
          </w:p>
        </w:tc>
        <w:tc>
          <w:tcPr>
            <w:tcW w:w="1915" w:type="dxa"/>
          </w:tcPr>
          <w:p w14:paraId="74CCD6A6" w14:textId="77777777" w:rsidR="008715BE" w:rsidRPr="00EC75B7" w:rsidRDefault="00000000">
            <w:pPr>
              <w:pStyle w:val="TableParagraph"/>
              <w:spacing w:before="51"/>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528" w:type="dxa"/>
          </w:tcPr>
          <w:p w14:paraId="71539FA1" w14:textId="77777777" w:rsidR="008715BE" w:rsidRPr="00EC75B7" w:rsidRDefault="00000000">
            <w:pPr>
              <w:pStyle w:val="TableParagraph"/>
              <w:spacing w:before="51"/>
              <w:ind w:left="16"/>
              <w:jc w:val="center"/>
              <w:rPr>
                <w:rFonts w:ascii="Verdana" w:hAnsi="Verdana"/>
                <w:sz w:val="18"/>
                <w:szCs w:val="18"/>
              </w:rPr>
            </w:pPr>
            <w:r w:rsidRPr="00EC75B7">
              <w:rPr>
                <w:rFonts w:ascii="Verdana" w:hAnsi="Verdana"/>
                <w:spacing w:val="-5"/>
                <w:sz w:val="18"/>
                <w:szCs w:val="18"/>
              </w:rPr>
              <w:t>26</w:t>
            </w:r>
          </w:p>
        </w:tc>
      </w:tr>
      <w:tr w:rsidR="008715BE" w:rsidRPr="00EC75B7" w14:paraId="2B313122" w14:textId="77777777">
        <w:trPr>
          <w:trHeight w:val="299"/>
        </w:trPr>
        <w:tc>
          <w:tcPr>
            <w:tcW w:w="929" w:type="dxa"/>
          </w:tcPr>
          <w:p w14:paraId="4FA5EF1F" w14:textId="77777777" w:rsidR="008715BE" w:rsidRPr="00EC75B7" w:rsidRDefault="00000000">
            <w:pPr>
              <w:pStyle w:val="TableParagraph"/>
              <w:spacing w:before="51"/>
              <w:ind w:left="10" w:right="1"/>
              <w:jc w:val="center"/>
              <w:rPr>
                <w:rFonts w:ascii="Verdana" w:hAnsi="Verdana"/>
                <w:sz w:val="18"/>
                <w:szCs w:val="18"/>
              </w:rPr>
            </w:pPr>
            <w:r w:rsidRPr="00EC75B7">
              <w:rPr>
                <w:rFonts w:ascii="Verdana" w:hAnsi="Verdana"/>
                <w:spacing w:val="-10"/>
                <w:sz w:val="18"/>
                <w:szCs w:val="18"/>
              </w:rPr>
              <w:t>5</w:t>
            </w:r>
          </w:p>
        </w:tc>
        <w:tc>
          <w:tcPr>
            <w:tcW w:w="3269" w:type="dxa"/>
          </w:tcPr>
          <w:p w14:paraId="2BD34AD6" w14:textId="77777777" w:rsidR="008715BE" w:rsidRPr="00EC75B7" w:rsidRDefault="00000000">
            <w:pPr>
              <w:pStyle w:val="TableParagraph"/>
              <w:spacing w:before="51"/>
              <w:ind w:left="108"/>
              <w:rPr>
                <w:rFonts w:ascii="Verdana" w:hAnsi="Verdana"/>
                <w:i/>
                <w:sz w:val="18"/>
                <w:szCs w:val="18"/>
              </w:rPr>
            </w:pPr>
            <w:r w:rsidRPr="00EC75B7">
              <w:rPr>
                <w:rFonts w:ascii="Verdana" w:hAnsi="Verdana"/>
                <w:i/>
                <w:sz w:val="18"/>
                <w:szCs w:val="18"/>
              </w:rPr>
              <w:t xml:space="preserve">Eptesicus </w:t>
            </w:r>
            <w:r w:rsidRPr="00EC75B7">
              <w:rPr>
                <w:rFonts w:ascii="Verdana" w:hAnsi="Verdana"/>
                <w:i/>
                <w:spacing w:val="-2"/>
                <w:sz w:val="18"/>
                <w:szCs w:val="18"/>
              </w:rPr>
              <w:t>serotinus</w:t>
            </w:r>
          </w:p>
        </w:tc>
        <w:tc>
          <w:tcPr>
            <w:tcW w:w="2071" w:type="dxa"/>
          </w:tcPr>
          <w:p w14:paraId="63EAADA9" w14:textId="77777777" w:rsidR="008715BE" w:rsidRPr="00EC75B7" w:rsidRDefault="00000000">
            <w:pPr>
              <w:pStyle w:val="TableParagraph"/>
              <w:spacing w:before="51"/>
              <w:ind w:left="13" w:right="1"/>
              <w:jc w:val="center"/>
              <w:rPr>
                <w:rFonts w:ascii="Verdana" w:hAnsi="Verdana"/>
                <w:sz w:val="18"/>
                <w:szCs w:val="18"/>
              </w:rPr>
            </w:pPr>
            <w:r w:rsidRPr="00EC75B7">
              <w:rPr>
                <w:rFonts w:ascii="Verdana" w:hAnsi="Verdana"/>
                <w:sz w:val="18"/>
                <w:szCs w:val="18"/>
              </w:rPr>
              <w:t xml:space="preserve">Annex IV </w:t>
            </w:r>
            <w:r w:rsidRPr="00EC75B7">
              <w:rPr>
                <w:rFonts w:ascii="Verdana" w:hAnsi="Verdana"/>
                <w:spacing w:val="-10"/>
                <w:sz w:val="18"/>
                <w:szCs w:val="18"/>
              </w:rPr>
              <w:t>A</w:t>
            </w:r>
          </w:p>
        </w:tc>
        <w:tc>
          <w:tcPr>
            <w:tcW w:w="1915" w:type="dxa"/>
          </w:tcPr>
          <w:p w14:paraId="3D1515E5" w14:textId="77777777" w:rsidR="008715BE" w:rsidRPr="00EC75B7" w:rsidRDefault="00000000">
            <w:pPr>
              <w:pStyle w:val="TableParagraph"/>
              <w:spacing w:before="51"/>
              <w:ind w:left="13"/>
              <w:jc w:val="center"/>
              <w:rPr>
                <w:rFonts w:ascii="Verdana" w:hAnsi="Verdana"/>
                <w:sz w:val="18"/>
                <w:szCs w:val="18"/>
              </w:rPr>
            </w:pPr>
            <w:r w:rsidRPr="00EC75B7">
              <w:rPr>
                <w:rFonts w:ascii="Verdana" w:hAnsi="Verdana"/>
                <w:sz w:val="18"/>
                <w:szCs w:val="18"/>
              </w:rPr>
              <w:t xml:space="preserve">Annex </w:t>
            </w:r>
            <w:r w:rsidRPr="00EC75B7">
              <w:rPr>
                <w:rFonts w:ascii="Verdana" w:hAnsi="Verdana"/>
                <w:spacing w:val="-5"/>
                <w:sz w:val="18"/>
                <w:szCs w:val="18"/>
              </w:rPr>
              <w:t>IV</w:t>
            </w:r>
          </w:p>
        </w:tc>
        <w:tc>
          <w:tcPr>
            <w:tcW w:w="1528" w:type="dxa"/>
          </w:tcPr>
          <w:p w14:paraId="6CF5C270" w14:textId="77777777" w:rsidR="008715BE" w:rsidRPr="00EC75B7" w:rsidRDefault="00000000">
            <w:pPr>
              <w:pStyle w:val="TableParagraph"/>
              <w:spacing w:before="51"/>
              <w:ind w:left="16" w:right="3"/>
              <w:jc w:val="center"/>
              <w:rPr>
                <w:rFonts w:ascii="Verdana" w:hAnsi="Verdana"/>
                <w:sz w:val="18"/>
                <w:szCs w:val="18"/>
              </w:rPr>
            </w:pPr>
            <w:r w:rsidRPr="00EC75B7">
              <w:rPr>
                <w:rFonts w:ascii="Verdana" w:hAnsi="Verdana"/>
                <w:spacing w:val="-10"/>
                <w:sz w:val="18"/>
                <w:szCs w:val="18"/>
              </w:rPr>
              <w:t>3</w:t>
            </w:r>
          </w:p>
        </w:tc>
      </w:tr>
    </w:tbl>
    <w:p w14:paraId="1936B54E" w14:textId="77777777" w:rsidR="008715BE" w:rsidRPr="00EC75B7" w:rsidRDefault="008715BE">
      <w:pPr>
        <w:pStyle w:val="BodyText"/>
        <w:rPr>
          <w:rFonts w:ascii="Verdana" w:hAnsi="Verdana"/>
          <w:b/>
        </w:rPr>
      </w:pPr>
    </w:p>
    <w:p w14:paraId="62D61D8B" w14:textId="77777777" w:rsidR="008715BE" w:rsidRPr="00EC75B7" w:rsidRDefault="008715BE">
      <w:pPr>
        <w:pStyle w:val="BodyText"/>
        <w:spacing w:before="60"/>
        <w:rPr>
          <w:rFonts w:ascii="Verdana" w:hAnsi="Verdana"/>
          <w:b/>
        </w:rPr>
      </w:pPr>
    </w:p>
    <w:p w14:paraId="4B383DC7" w14:textId="77777777" w:rsidR="008715BE" w:rsidRPr="00EC75B7" w:rsidRDefault="00000000">
      <w:pPr>
        <w:pStyle w:val="Heading5"/>
        <w:rPr>
          <w:rFonts w:ascii="Verdana" w:hAnsi="Verdana"/>
        </w:rPr>
      </w:pPr>
      <w:r w:rsidRPr="00EC75B7">
        <w:rPr>
          <w:rFonts w:ascii="Verdana" w:hAnsi="Verdana"/>
          <w:spacing w:val="-2"/>
        </w:rPr>
        <w:t xml:space="preserve">Quantitative </w:t>
      </w:r>
      <w:r w:rsidRPr="00EC75B7">
        <w:rPr>
          <w:rFonts w:ascii="Verdana" w:hAnsi="Verdana"/>
        </w:rPr>
        <w:t>method</w:t>
      </w:r>
    </w:p>
    <w:p w14:paraId="47A6E4CB" w14:textId="77777777" w:rsidR="008715BE" w:rsidRPr="00EC75B7" w:rsidRDefault="008715BE">
      <w:pPr>
        <w:pStyle w:val="BodyText"/>
        <w:spacing w:before="9"/>
        <w:rPr>
          <w:rFonts w:ascii="Verdana" w:hAnsi="Verdana"/>
          <w:b/>
        </w:rPr>
      </w:pPr>
    </w:p>
    <w:p w14:paraId="68A40FFE" w14:textId="77777777" w:rsidR="008715BE" w:rsidRPr="00EC75B7" w:rsidRDefault="00000000">
      <w:pPr>
        <w:pStyle w:val="BodyText"/>
        <w:spacing w:line="357" w:lineRule="auto"/>
        <w:ind w:left="57" w:right="426"/>
        <w:jc w:val="both"/>
        <w:rPr>
          <w:rFonts w:ascii="Verdana" w:hAnsi="Verdana"/>
        </w:rPr>
      </w:pPr>
      <w:r w:rsidRPr="00EC75B7">
        <w:rPr>
          <w:rFonts w:ascii="Verdana" w:hAnsi="Verdana"/>
        </w:rPr>
        <w:t>The static points collected during the transect recorded variable results, with relatively uniform values across the site in terms of species diversity. The highest values in terms of contact abundance were recorded at T2 in the northern part of the site.</w:t>
      </w:r>
      <w:r w:rsidRPr="00EC75B7">
        <w:rPr>
          <w:rFonts w:ascii="Verdana" w:hAnsi="Verdana"/>
          <w:spacing w:val="-1"/>
        </w:rPr>
        <w:t xml:space="preserve"> </w:t>
      </w:r>
      <w:r w:rsidRPr="00EC75B7">
        <w:rPr>
          <w:rFonts w:ascii="Verdana" w:hAnsi="Verdana"/>
        </w:rPr>
        <w:t xml:space="preserve">In general, the highest values were recorded along linear vegetation elements (shrub alignments, roads, and </w:t>
      </w:r>
      <w:r w:rsidRPr="00EC75B7">
        <w:rPr>
          <w:rFonts w:ascii="Verdana" w:hAnsi="Verdana"/>
          <w:spacing w:val="-2"/>
        </w:rPr>
        <w:t xml:space="preserve">irrigation </w:t>
      </w:r>
      <w:r w:rsidRPr="00EC75B7">
        <w:rPr>
          <w:rFonts w:ascii="Verdana" w:hAnsi="Verdana"/>
        </w:rPr>
        <w:t>channels</w:t>
      </w:r>
      <w:r w:rsidRPr="00EC75B7">
        <w:rPr>
          <w:rFonts w:ascii="Verdana" w:hAnsi="Verdana"/>
          <w:spacing w:val="-2"/>
        </w:rPr>
        <w:t>).</w:t>
      </w:r>
    </w:p>
    <w:p w14:paraId="790671B7" w14:textId="77777777" w:rsidR="008715BE" w:rsidRPr="00EC75B7" w:rsidRDefault="00000000">
      <w:pPr>
        <w:pStyle w:val="BodyText"/>
        <w:spacing w:before="123" w:line="357" w:lineRule="auto"/>
        <w:ind w:left="86" w:right="423"/>
        <w:jc w:val="both"/>
        <w:rPr>
          <w:rFonts w:ascii="Verdana" w:hAnsi="Verdana"/>
        </w:rPr>
      </w:pPr>
      <w:r w:rsidRPr="00EC75B7">
        <w:rPr>
          <w:rFonts w:ascii="Verdana" w:hAnsi="Verdana"/>
        </w:rPr>
        <w:t>The static detectors were placed near former irrigation channels (MS1, MS2, MS3, MS5), but also in open agricultural land (MS4). The five static detectors recorded a total of 31,060 raw contacts, with a maximum abundance for MS2 (9,986 raw contacts). The sonograms of the identified species (minus those common in the qualitative analysis) can be seen in.</w:t>
      </w:r>
      <w:r w:rsidRPr="00EC75B7">
        <w:rPr>
          <w:rFonts w:ascii="Verdana" w:hAnsi="Verdana"/>
          <w:spacing w:val="-9"/>
        </w:rPr>
        <w:t xml:space="preserve"> </w:t>
      </w:r>
      <w:r w:rsidRPr="00EC75B7">
        <w:rPr>
          <w:rFonts w:ascii="Verdana" w:hAnsi="Verdana"/>
        </w:rPr>
        <w:t xml:space="preserve">The BAI activity index had the highest value for point MS2, located in the central eastern area of the project, near an abandoned irrigation canal. The species with the highest abundance was </w:t>
      </w:r>
      <w:r w:rsidRPr="00EC75B7">
        <w:rPr>
          <w:rFonts w:ascii="Verdana" w:hAnsi="Verdana"/>
          <w:i/>
        </w:rPr>
        <w:t>Pipistrellus nathusii/kuhlii</w:t>
      </w:r>
      <w:r w:rsidRPr="00EC75B7">
        <w:rPr>
          <w:rFonts w:ascii="Verdana" w:hAnsi="Verdana"/>
        </w:rPr>
        <w:t>, but also with the highest BAI index.</w:t>
      </w:r>
      <w:r w:rsidRPr="00EC75B7">
        <w:rPr>
          <w:rFonts w:ascii="Verdana" w:hAnsi="Verdana"/>
          <w:spacing w:val="-4"/>
        </w:rPr>
        <w:t xml:space="preserve"> </w:t>
      </w:r>
      <w:r w:rsidRPr="00EC75B7">
        <w:rPr>
          <w:rFonts w:ascii="Verdana" w:hAnsi="Verdana"/>
        </w:rPr>
        <w:t xml:space="preserve">The evolution of ultrasound contacts per month indicates a maximum during the autumn migration period (August) and a high level during the spring migration period. The species </w:t>
      </w:r>
      <w:r w:rsidRPr="00EC75B7">
        <w:rPr>
          <w:rFonts w:ascii="Verdana" w:hAnsi="Verdana"/>
          <w:i/>
        </w:rPr>
        <w:t xml:space="preserve">Miniopterus schreibersii </w:t>
      </w:r>
      <w:r w:rsidRPr="00EC75B7">
        <w:rPr>
          <w:rFonts w:ascii="Verdana" w:hAnsi="Verdana"/>
        </w:rPr>
        <w:t xml:space="preserve">was more active during </w:t>
      </w:r>
      <w:r w:rsidRPr="00EC75B7">
        <w:rPr>
          <w:rFonts w:ascii="Verdana" w:hAnsi="Verdana"/>
          <w:spacing w:val="-2"/>
        </w:rPr>
        <w:t xml:space="preserve">migration </w:t>
      </w:r>
      <w:r w:rsidRPr="00EC75B7">
        <w:rPr>
          <w:rFonts w:ascii="Verdana" w:hAnsi="Verdana"/>
        </w:rPr>
        <w:t>periods</w:t>
      </w:r>
      <w:r w:rsidRPr="00EC75B7">
        <w:rPr>
          <w:rFonts w:ascii="Verdana" w:hAnsi="Verdana"/>
          <w:spacing w:val="-2"/>
        </w:rPr>
        <w:t>.</w:t>
      </w:r>
    </w:p>
    <w:p w14:paraId="07456FA5"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799" w:gutter="0"/>
          <w:cols w:space="708"/>
        </w:sectPr>
      </w:pPr>
    </w:p>
    <w:p w14:paraId="0DD8D1A7" w14:textId="77777777" w:rsidR="008715BE" w:rsidRPr="00EC75B7" w:rsidRDefault="008715BE">
      <w:pPr>
        <w:pStyle w:val="BodyText"/>
        <w:spacing w:before="10"/>
        <w:rPr>
          <w:rFonts w:ascii="Verdana" w:hAnsi="Verdana"/>
        </w:rPr>
      </w:pPr>
    </w:p>
    <w:p w14:paraId="51EFBCCC" w14:textId="77777777" w:rsidR="008715BE" w:rsidRPr="00EC75B7" w:rsidRDefault="00000000">
      <w:pPr>
        <w:ind w:left="364"/>
        <w:rPr>
          <w:rFonts w:ascii="Verdana" w:hAnsi="Verdana"/>
          <w:sz w:val="18"/>
          <w:szCs w:val="18"/>
        </w:rPr>
      </w:pPr>
      <w:r w:rsidRPr="00EC75B7">
        <w:rPr>
          <w:rFonts w:ascii="Verdana" w:hAnsi="Verdana"/>
          <w:noProof/>
          <w:sz w:val="18"/>
          <w:szCs w:val="18"/>
        </w:rPr>
        <w:drawing>
          <wp:inline distT="0" distB="0" distL="0" distR="0" wp14:anchorId="650C3A83" wp14:editId="212DA7A8">
            <wp:extent cx="5627209" cy="3096768"/>
            <wp:effectExtent l="0" t="0" r="0" b="0"/>
            <wp:docPr id="204" name="Image 204"/>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60" cstate="print"/>
                    <a:stretch>
                      <a:fillRect/>
                    </a:stretch>
                  </pic:blipFill>
                  <pic:spPr>
                    <a:xfrm>
                      <a:off x="0" y="0"/>
                      <a:ext cx="5627209" cy="3096768"/>
                    </a:xfrm>
                    <a:prstGeom prst="rect">
                      <a:avLst/>
                    </a:prstGeom>
                  </pic:spPr>
                </pic:pic>
              </a:graphicData>
            </a:graphic>
          </wp:inline>
        </w:drawing>
      </w:r>
    </w:p>
    <w:p w14:paraId="752AC2BC" w14:textId="77777777" w:rsidR="008715BE" w:rsidRPr="00EC75B7" w:rsidRDefault="008715BE">
      <w:pPr>
        <w:pStyle w:val="BodyText"/>
        <w:rPr>
          <w:rFonts w:ascii="Verdana" w:hAnsi="Verdana"/>
        </w:rPr>
      </w:pPr>
    </w:p>
    <w:p w14:paraId="047DA455" w14:textId="77777777" w:rsidR="008715BE" w:rsidRPr="00EC75B7" w:rsidRDefault="008715BE">
      <w:pPr>
        <w:pStyle w:val="BodyText"/>
        <w:spacing w:before="38"/>
        <w:rPr>
          <w:rFonts w:ascii="Verdana" w:hAnsi="Verdana"/>
        </w:rPr>
      </w:pPr>
    </w:p>
    <w:p w14:paraId="6315F212" w14:textId="77777777" w:rsidR="008715BE" w:rsidRPr="00EC75B7" w:rsidRDefault="00000000">
      <w:pPr>
        <w:ind w:left="720"/>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32 </w:t>
      </w:r>
      <w:r w:rsidRPr="00EC75B7">
        <w:rPr>
          <w:rFonts w:ascii="Verdana" w:hAnsi="Verdana"/>
          <w:b/>
          <w:color w:val="009DEF"/>
          <w:sz w:val="18"/>
          <w:szCs w:val="18"/>
        </w:rPr>
        <w:t xml:space="preserve">Evolution of ultrasonic contacts in static detection per </w:t>
      </w:r>
      <w:r w:rsidRPr="00EC75B7">
        <w:rPr>
          <w:rFonts w:ascii="Verdana" w:hAnsi="Verdana"/>
          <w:b/>
          <w:color w:val="009DEF"/>
          <w:spacing w:val="-2"/>
          <w:sz w:val="18"/>
          <w:szCs w:val="18"/>
        </w:rPr>
        <w:t xml:space="preserve">monitoring </w:t>
      </w:r>
      <w:r w:rsidRPr="00EC75B7">
        <w:rPr>
          <w:rFonts w:ascii="Verdana" w:hAnsi="Verdana"/>
          <w:b/>
          <w:color w:val="009DEF"/>
          <w:sz w:val="18"/>
          <w:szCs w:val="18"/>
        </w:rPr>
        <w:t>month</w:t>
      </w:r>
    </w:p>
    <w:p w14:paraId="5BF48849" w14:textId="77777777" w:rsidR="008715BE" w:rsidRPr="00EC75B7" w:rsidRDefault="008715BE">
      <w:pPr>
        <w:pStyle w:val="BodyText"/>
        <w:rPr>
          <w:rFonts w:ascii="Verdana" w:hAnsi="Verdana"/>
          <w:b/>
        </w:rPr>
      </w:pPr>
    </w:p>
    <w:p w14:paraId="4F1D3A00" w14:textId="77777777" w:rsidR="008715BE" w:rsidRPr="00EC75B7" w:rsidRDefault="008715BE">
      <w:pPr>
        <w:pStyle w:val="BodyText"/>
        <w:rPr>
          <w:rFonts w:ascii="Verdana" w:hAnsi="Verdana"/>
          <w:b/>
        </w:rPr>
      </w:pPr>
    </w:p>
    <w:p w14:paraId="2F46F7E7" w14:textId="77777777" w:rsidR="008715BE" w:rsidRPr="00EC75B7" w:rsidRDefault="008715BE">
      <w:pPr>
        <w:pStyle w:val="BodyText"/>
        <w:rPr>
          <w:rFonts w:ascii="Verdana" w:hAnsi="Verdana"/>
          <w:b/>
        </w:rPr>
      </w:pPr>
    </w:p>
    <w:p w14:paraId="50A133F5" w14:textId="77777777" w:rsidR="008715BE" w:rsidRPr="00EC75B7" w:rsidRDefault="008715BE">
      <w:pPr>
        <w:pStyle w:val="BodyText"/>
        <w:spacing w:before="6"/>
        <w:rPr>
          <w:rFonts w:ascii="Verdana" w:hAnsi="Verdana"/>
          <w:b/>
        </w:rPr>
      </w:pPr>
    </w:p>
    <w:p w14:paraId="53530C14" w14:textId="77777777" w:rsidR="008715BE" w:rsidRPr="00EC75B7" w:rsidRDefault="00000000">
      <w:pPr>
        <w:pStyle w:val="Heading2"/>
        <w:numPr>
          <w:ilvl w:val="1"/>
          <w:numId w:val="110"/>
        </w:numPr>
        <w:tabs>
          <w:tab w:val="left" w:pos="832"/>
        </w:tabs>
        <w:ind w:left="832" w:hanging="720"/>
        <w:jc w:val="left"/>
        <w:rPr>
          <w:rFonts w:ascii="Verdana" w:hAnsi="Verdana"/>
          <w:color w:val="00AFEF"/>
          <w:sz w:val="18"/>
          <w:szCs w:val="18"/>
        </w:rPr>
      </w:pPr>
      <w:bookmarkStart w:id="43" w:name="_bookmark44"/>
      <w:bookmarkEnd w:id="43"/>
      <w:r w:rsidRPr="00EC75B7">
        <w:rPr>
          <w:rFonts w:ascii="Verdana" w:hAnsi="Verdana"/>
          <w:color w:val="00AFEF"/>
          <w:sz w:val="18"/>
          <w:szCs w:val="18"/>
        </w:rPr>
        <w:t xml:space="preserve">Soil/subsoil and </w:t>
      </w:r>
      <w:r w:rsidRPr="00EC75B7">
        <w:rPr>
          <w:rFonts w:ascii="Verdana" w:hAnsi="Verdana"/>
          <w:color w:val="00AFEF"/>
          <w:spacing w:val="-2"/>
          <w:sz w:val="18"/>
          <w:szCs w:val="18"/>
        </w:rPr>
        <w:t xml:space="preserve">land </w:t>
      </w:r>
      <w:r w:rsidRPr="00EC75B7">
        <w:rPr>
          <w:rFonts w:ascii="Verdana" w:hAnsi="Verdana"/>
          <w:color w:val="00AFEF"/>
          <w:sz w:val="18"/>
          <w:szCs w:val="18"/>
        </w:rPr>
        <w:t>use</w:t>
      </w:r>
    </w:p>
    <w:p w14:paraId="34033F72" w14:textId="77777777" w:rsidR="008715BE" w:rsidRPr="00EC75B7" w:rsidRDefault="008715BE">
      <w:pPr>
        <w:pStyle w:val="BodyText"/>
        <w:spacing w:before="103"/>
        <w:rPr>
          <w:rFonts w:ascii="Verdana" w:hAnsi="Verdana"/>
          <w:b/>
        </w:rPr>
      </w:pPr>
    </w:p>
    <w:p w14:paraId="7BA5CCA1" w14:textId="77777777" w:rsidR="008715BE" w:rsidRPr="00EC75B7" w:rsidRDefault="00000000">
      <w:pPr>
        <w:pStyle w:val="Heading3"/>
        <w:numPr>
          <w:ilvl w:val="2"/>
          <w:numId w:val="90"/>
        </w:numPr>
        <w:tabs>
          <w:tab w:val="left" w:pos="1700"/>
        </w:tabs>
        <w:ind w:left="1700" w:hanging="649"/>
        <w:rPr>
          <w:rFonts w:ascii="Verdana" w:hAnsi="Verdana"/>
          <w:sz w:val="18"/>
          <w:szCs w:val="18"/>
        </w:rPr>
      </w:pPr>
      <w:bookmarkStart w:id="44" w:name="_bookmark45"/>
      <w:bookmarkEnd w:id="44"/>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22A842FD" w14:textId="77777777" w:rsidR="008715BE" w:rsidRPr="00EC75B7" w:rsidRDefault="008715BE">
      <w:pPr>
        <w:pStyle w:val="BodyText"/>
        <w:spacing w:before="114"/>
        <w:rPr>
          <w:rFonts w:ascii="Verdana" w:hAnsi="Verdana"/>
          <w:b/>
        </w:rPr>
      </w:pPr>
    </w:p>
    <w:p w14:paraId="2C1E9930" w14:textId="77777777" w:rsidR="008715BE" w:rsidRPr="00EC75B7" w:rsidRDefault="00000000">
      <w:pPr>
        <w:pStyle w:val="BodyText"/>
        <w:spacing w:line="360" w:lineRule="auto"/>
        <w:ind w:left="57" w:right="434"/>
        <w:jc w:val="both"/>
        <w:rPr>
          <w:rFonts w:ascii="Verdana" w:hAnsi="Verdana"/>
        </w:rPr>
      </w:pPr>
      <w:r w:rsidRPr="00EC75B7">
        <w:rPr>
          <w:rFonts w:ascii="Verdana" w:hAnsi="Verdana"/>
        </w:rPr>
        <w:t>The analyzed area is located in the administrative territory of Cerchezu commune, Constanța county, with agriculture as the main function of the studied area, the agricultural land currently being used for arable farming.</w:t>
      </w:r>
    </w:p>
    <w:p w14:paraId="2CE77F89" w14:textId="77777777" w:rsidR="008715BE" w:rsidRPr="00EC75B7" w:rsidRDefault="00000000">
      <w:pPr>
        <w:pStyle w:val="BodyText"/>
        <w:spacing w:before="117" w:line="360" w:lineRule="auto"/>
        <w:ind w:left="57" w:right="431"/>
        <w:jc w:val="both"/>
        <w:rPr>
          <w:rFonts w:ascii="Verdana" w:hAnsi="Verdana"/>
        </w:rPr>
      </w:pPr>
      <w:r w:rsidRPr="00EC75B7">
        <w:rPr>
          <w:rFonts w:ascii="Verdana" w:hAnsi="Verdana"/>
        </w:rPr>
        <w:t>The land on which the proposed investment is to be made is privately owned by individuals/legal entities with whom the beneficiary of the investment, SOUTH WIND SRL, has concluded transfer and surface rights agreements.</w:t>
      </w:r>
    </w:p>
    <w:p w14:paraId="48146DFB" w14:textId="77777777" w:rsidR="008715BE" w:rsidRPr="00EC75B7" w:rsidRDefault="00000000">
      <w:pPr>
        <w:pStyle w:val="BodyText"/>
        <w:spacing w:before="118" w:line="357" w:lineRule="auto"/>
        <w:ind w:left="57" w:right="407"/>
        <w:jc w:val="both"/>
        <w:rPr>
          <w:rFonts w:ascii="Verdana" w:hAnsi="Verdana"/>
        </w:rPr>
      </w:pPr>
      <w:r w:rsidRPr="00EC75B7">
        <w:rPr>
          <w:rFonts w:ascii="Verdana" w:hAnsi="Verdana"/>
        </w:rPr>
        <w:t>The area studied for the implementation of the project includes agricultural land intended for arable use and land for special purposes—service roads in the public domain of the administrative-territorial unit of Cerchezu commune, administered by the Local Council of Cerchezu commune and the public domain of county interest.</w:t>
      </w:r>
    </w:p>
    <w:p w14:paraId="52CC0D66" w14:textId="77777777" w:rsidR="008715BE" w:rsidRPr="00EC75B7" w:rsidRDefault="00000000">
      <w:pPr>
        <w:pStyle w:val="BodyText"/>
        <w:spacing w:before="123" w:line="357" w:lineRule="auto"/>
        <w:ind w:left="57" w:right="421"/>
        <w:jc w:val="both"/>
        <w:rPr>
          <w:rFonts w:ascii="Verdana" w:hAnsi="Verdana"/>
        </w:rPr>
      </w:pPr>
      <w:r w:rsidRPr="00EC75B7">
        <w:rPr>
          <w:rFonts w:ascii="Verdana" w:hAnsi="Verdana"/>
        </w:rPr>
        <w:t>From a geological point of view, the analyzed territory belongs to the geological unit of southern Dobrogea (according to the geological map of Romania - sheet 1:200,000 Mangalia), located between the Central Dobrogea Massif, the Wallachian Platform, and the state border with Bulgaria. This sector, which contains a section of the Moesian platform, consists of Mesozoic and Tertiary epicontinental deposits, slightly folded or unfolded, characterized by small thicknesses and many sedimentary gaps. They are arranged on a folded Paleozoic foundation from which relatively slightly folded Silurian and Devonian deposits have been highlighted. The territory that makes up the southeastern tip of Dobrogea has the appearance of a plateau with low elevations, whose altitude decreases slowly from west to east and from south to north. Thus, the highest elevations are located near the border, south of Olteni.</w:t>
      </w:r>
      <w:r w:rsidRPr="00EC75B7">
        <w:rPr>
          <w:rFonts w:ascii="Verdana" w:hAnsi="Verdana"/>
          <w:spacing w:val="15"/>
        </w:rPr>
        <w:t xml:space="preserve"> </w:t>
      </w:r>
      <w:r w:rsidRPr="00EC75B7">
        <w:rPr>
          <w:rFonts w:ascii="Verdana" w:hAnsi="Verdana"/>
        </w:rPr>
        <w:t xml:space="preserve">Looking eastward, the altitude of the plateau reaches approximately 80 m near the town of Cotu Văii and 20-30 m near Mangalia. From south to north, </w:t>
      </w:r>
      <w:r w:rsidRPr="00EC75B7">
        <w:rPr>
          <w:rFonts w:ascii="Verdana" w:hAnsi="Verdana"/>
        </w:rPr>
        <w:lastRenderedPageBreak/>
        <w:t>there is also a decrease in altitude. Near the border, south of Negru Vodă, elevations of 160-154 m are recorded.</w:t>
      </w:r>
    </w:p>
    <w:p w14:paraId="7EBB1568" w14:textId="77777777" w:rsidR="008715BE" w:rsidRPr="00EC75B7" w:rsidRDefault="00000000">
      <w:pPr>
        <w:pStyle w:val="BodyText"/>
        <w:spacing w:before="99" w:line="360" w:lineRule="auto"/>
        <w:ind w:left="57" w:right="432"/>
        <w:jc w:val="both"/>
        <w:rPr>
          <w:rFonts w:ascii="Verdana" w:hAnsi="Verdana"/>
        </w:rPr>
      </w:pPr>
      <w:r w:rsidRPr="00EC75B7">
        <w:rPr>
          <w:rFonts w:ascii="Verdana" w:hAnsi="Verdana"/>
        </w:rPr>
        <w:t>The plateau is crossed by canyon-like valleys, generally narrow, with steep and symmetrical sides. These valleys belong to two distinct hydrographic basins: the Danube to the west and the Black Sea to the east.</w:t>
      </w:r>
    </w:p>
    <w:p w14:paraId="6A3144C5" w14:textId="77777777" w:rsidR="008715BE" w:rsidRPr="00EC75B7" w:rsidRDefault="008715BE">
      <w:pPr>
        <w:pStyle w:val="BodyText"/>
        <w:spacing w:before="20"/>
        <w:rPr>
          <w:rFonts w:ascii="Verdana" w:hAnsi="Verdana"/>
        </w:rPr>
      </w:pPr>
    </w:p>
    <w:p w14:paraId="7F281B7F" w14:textId="77777777" w:rsidR="008715BE" w:rsidRPr="00EC75B7" w:rsidRDefault="00000000">
      <w:pPr>
        <w:pStyle w:val="Heading3"/>
        <w:numPr>
          <w:ilvl w:val="2"/>
          <w:numId w:val="89"/>
        </w:numPr>
        <w:tabs>
          <w:tab w:val="left" w:pos="1766"/>
        </w:tabs>
        <w:ind w:left="1766" w:hanging="715"/>
        <w:rPr>
          <w:rFonts w:ascii="Verdana" w:hAnsi="Verdana"/>
          <w:sz w:val="18"/>
          <w:szCs w:val="18"/>
        </w:rPr>
      </w:pPr>
      <w:bookmarkStart w:id="45" w:name="_bookmark46"/>
      <w:bookmarkEnd w:id="45"/>
      <w:r w:rsidRPr="00EC75B7">
        <w:rPr>
          <w:rFonts w:ascii="Verdana" w:hAnsi="Verdana"/>
          <w:color w:val="00AFEF"/>
          <w:sz w:val="18"/>
          <w:szCs w:val="18"/>
        </w:rPr>
        <w:t xml:space="preserve">General information about </w:t>
      </w:r>
      <w:r w:rsidRPr="00EC75B7">
        <w:rPr>
          <w:rFonts w:ascii="Verdana" w:hAnsi="Verdana"/>
          <w:color w:val="00AFEF"/>
          <w:spacing w:val="-2"/>
          <w:sz w:val="18"/>
          <w:szCs w:val="18"/>
        </w:rPr>
        <w:t>the soil/subsoil</w:t>
      </w:r>
    </w:p>
    <w:p w14:paraId="40B3C07C" w14:textId="77777777" w:rsidR="008715BE" w:rsidRPr="00EC75B7" w:rsidRDefault="008715BE">
      <w:pPr>
        <w:pStyle w:val="BodyText"/>
        <w:spacing w:before="114"/>
        <w:rPr>
          <w:rFonts w:ascii="Verdana" w:hAnsi="Verdana"/>
          <w:b/>
        </w:rPr>
      </w:pPr>
    </w:p>
    <w:p w14:paraId="4AEC3DDF" w14:textId="77777777" w:rsidR="008715BE" w:rsidRPr="00EC75B7" w:rsidRDefault="00000000">
      <w:pPr>
        <w:pStyle w:val="BodyText"/>
        <w:ind w:left="57"/>
        <w:jc w:val="both"/>
        <w:rPr>
          <w:rFonts w:ascii="Verdana" w:hAnsi="Verdana"/>
        </w:rPr>
      </w:pPr>
      <w:r w:rsidRPr="00EC75B7">
        <w:rPr>
          <w:rFonts w:ascii="Verdana" w:hAnsi="Verdana"/>
        </w:rPr>
        <w:t xml:space="preserve">The formation and geographical distribution of soils in the Cerchezu commune have been influenced by physical and natural </w:t>
      </w:r>
      <w:r w:rsidRPr="00EC75B7">
        <w:rPr>
          <w:rFonts w:ascii="Verdana" w:hAnsi="Verdana"/>
          <w:spacing w:val="-2"/>
        </w:rPr>
        <w:t>factors</w:t>
      </w:r>
    </w:p>
    <w:p w14:paraId="640E7245" w14:textId="77777777" w:rsidR="008715BE" w:rsidRPr="00EC75B7" w:rsidRDefault="00000000">
      <w:pPr>
        <w:pStyle w:val="BodyText"/>
        <w:spacing w:before="109"/>
        <w:ind w:left="57"/>
        <w:jc w:val="both"/>
        <w:rPr>
          <w:rFonts w:ascii="Verdana" w:hAnsi="Verdana"/>
        </w:rPr>
      </w:pPr>
      <w:r w:rsidRPr="00EC75B7">
        <w:rPr>
          <w:rFonts w:ascii="Verdana" w:hAnsi="Verdana"/>
        </w:rPr>
        <w:t>physical and natural factors, relief, lithology</w:t>
      </w:r>
      <w:r w:rsidRPr="00EC75B7">
        <w:rPr>
          <w:rFonts w:ascii="Verdana" w:hAnsi="Verdana"/>
          <w:spacing w:val="-2"/>
        </w:rPr>
        <w:t xml:space="preserve">, </w:t>
      </w:r>
      <w:r w:rsidRPr="00EC75B7">
        <w:rPr>
          <w:rFonts w:ascii="Verdana" w:hAnsi="Verdana"/>
        </w:rPr>
        <w:t xml:space="preserve">and </w:t>
      </w:r>
      <w:r w:rsidRPr="00EC75B7">
        <w:rPr>
          <w:rFonts w:ascii="Verdana" w:hAnsi="Verdana"/>
          <w:spacing w:val="-2"/>
        </w:rPr>
        <w:t>climate.</w:t>
      </w:r>
    </w:p>
    <w:p w14:paraId="1942AE3D" w14:textId="77777777" w:rsidR="008715BE" w:rsidRPr="00EC75B7" w:rsidRDefault="008715BE">
      <w:pPr>
        <w:pStyle w:val="BodyText"/>
        <w:spacing w:before="9"/>
        <w:rPr>
          <w:rFonts w:ascii="Verdana" w:hAnsi="Verdana"/>
        </w:rPr>
      </w:pPr>
    </w:p>
    <w:p w14:paraId="2E232697" w14:textId="77777777" w:rsidR="008715BE" w:rsidRPr="00EC75B7" w:rsidRDefault="00000000">
      <w:pPr>
        <w:pStyle w:val="BodyText"/>
        <w:spacing w:line="357" w:lineRule="auto"/>
        <w:ind w:left="57" w:right="439"/>
        <w:jc w:val="both"/>
        <w:rPr>
          <w:rFonts w:ascii="Verdana" w:hAnsi="Verdana"/>
        </w:rPr>
      </w:pPr>
      <w:r w:rsidRPr="00EC75B7">
        <w:rPr>
          <w:rFonts w:ascii="Verdana" w:hAnsi="Verdana"/>
        </w:rPr>
        <w:t>The numerous soil classes and types are distinctly different in terms of their properties, productive capacity, and measures to maintain and increase fertility.</w:t>
      </w:r>
    </w:p>
    <w:p w14:paraId="158C2CD3" w14:textId="77777777" w:rsidR="008715BE" w:rsidRPr="00EC75B7" w:rsidRDefault="00000000">
      <w:pPr>
        <w:pStyle w:val="BodyText"/>
        <w:spacing w:before="121" w:line="360" w:lineRule="auto"/>
        <w:ind w:left="57" w:right="433"/>
        <w:jc w:val="both"/>
        <w:rPr>
          <w:rFonts w:ascii="Verdana" w:hAnsi="Verdana"/>
        </w:rPr>
      </w:pPr>
      <w:r w:rsidRPr="00EC75B7">
        <w:rPr>
          <w:rFonts w:ascii="Verdana" w:hAnsi="Verdana"/>
        </w:rPr>
        <w:t>The main soil types in the analyzed area are chernozems, fertile black soils characteristic of agricultural land in this area, rich in humus and nutrients, which makes them suitable for agriculture, especially for cereal crops.</w:t>
      </w:r>
    </w:p>
    <w:p w14:paraId="3DA05672" w14:textId="77777777" w:rsidR="008715BE" w:rsidRPr="00EC75B7" w:rsidRDefault="00000000">
      <w:pPr>
        <w:pStyle w:val="BodyText"/>
        <w:spacing w:before="115"/>
        <w:ind w:left="57"/>
        <w:jc w:val="both"/>
        <w:rPr>
          <w:rFonts w:ascii="Verdana" w:hAnsi="Verdana"/>
        </w:rPr>
      </w:pPr>
      <w:r w:rsidRPr="00EC75B7">
        <w:rPr>
          <w:rFonts w:ascii="Verdana" w:hAnsi="Verdana"/>
        </w:rPr>
        <w:t xml:space="preserve">The following figure shows the soil map of the </w:t>
      </w:r>
      <w:r w:rsidRPr="00EC75B7">
        <w:rPr>
          <w:rFonts w:ascii="Verdana" w:hAnsi="Verdana"/>
          <w:spacing w:val="-2"/>
        </w:rPr>
        <w:t xml:space="preserve">proposed </w:t>
      </w:r>
      <w:r w:rsidRPr="00EC75B7">
        <w:rPr>
          <w:rFonts w:ascii="Verdana" w:hAnsi="Verdana"/>
        </w:rPr>
        <w:t>project area</w:t>
      </w:r>
      <w:r w:rsidRPr="00EC75B7">
        <w:rPr>
          <w:rFonts w:ascii="Verdana" w:hAnsi="Verdana"/>
          <w:spacing w:val="-2"/>
        </w:rPr>
        <w:t>:</w:t>
      </w:r>
    </w:p>
    <w:p w14:paraId="4B212B4E" w14:textId="0FD325F8" w:rsidR="008715BE" w:rsidRPr="00EC75B7" w:rsidRDefault="00E7611D">
      <w:pPr>
        <w:pStyle w:val="BodyText"/>
        <w:spacing w:before="37"/>
        <w:rPr>
          <w:rFonts w:ascii="Verdana" w:hAnsi="Verdana"/>
        </w:rPr>
      </w:pPr>
      <w:r>
        <w:rPr>
          <w:noProof/>
        </w:rPr>
        <w:drawing>
          <wp:inline distT="0" distB="0" distL="0" distR="0" wp14:anchorId="482E1171" wp14:editId="07842B95">
            <wp:extent cx="5753100" cy="4069032"/>
            <wp:effectExtent l="0" t="0" r="0" b="8255"/>
            <wp:docPr id="12806499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55924" cy="4071029"/>
                    </a:xfrm>
                    <a:prstGeom prst="rect">
                      <a:avLst/>
                    </a:prstGeom>
                    <a:noFill/>
                    <a:ln>
                      <a:noFill/>
                    </a:ln>
                  </pic:spPr>
                </pic:pic>
              </a:graphicData>
            </a:graphic>
          </wp:inline>
        </w:drawing>
      </w:r>
    </w:p>
    <w:p w14:paraId="52872BA6" w14:textId="77777777" w:rsidR="008715BE" w:rsidRPr="00EC75B7" w:rsidRDefault="008715BE">
      <w:pPr>
        <w:pStyle w:val="BodyText"/>
        <w:spacing w:before="53"/>
        <w:rPr>
          <w:rFonts w:ascii="Verdana" w:hAnsi="Verdana"/>
        </w:rPr>
      </w:pPr>
    </w:p>
    <w:p w14:paraId="26A250C1" w14:textId="77777777" w:rsidR="008715BE" w:rsidRPr="00EC75B7" w:rsidRDefault="00000000">
      <w:pPr>
        <w:ind w:left="29" w:right="368"/>
        <w:jc w:val="center"/>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33 </w:t>
      </w:r>
      <w:r w:rsidRPr="00EC75B7">
        <w:rPr>
          <w:rFonts w:ascii="Verdana" w:hAnsi="Verdana"/>
          <w:b/>
          <w:color w:val="009DEF"/>
          <w:sz w:val="18"/>
          <w:szCs w:val="18"/>
        </w:rPr>
        <w:t xml:space="preserve">Soil map of the </w:t>
      </w:r>
      <w:r w:rsidRPr="00EC75B7">
        <w:rPr>
          <w:rFonts w:ascii="Verdana" w:hAnsi="Verdana"/>
          <w:b/>
          <w:color w:val="009DEF"/>
          <w:spacing w:val="-2"/>
          <w:sz w:val="18"/>
          <w:szCs w:val="18"/>
        </w:rPr>
        <w:t xml:space="preserve">proposed </w:t>
      </w:r>
      <w:r w:rsidRPr="00EC75B7">
        <w:rPr>
          <w:rFonts w:ascii="Verdana" w:hAnsi="Verdana"/>
          <w:b/>
          <w:color w:val="009DEF"/>
          <w:sz w:val="18"/>
          <w:szCs w:val="18"/>
        </w:rPr>
        <w:t>project area</w:t>
      </w:r>
    </w:p>
    <w:p w14:paraId="3C00C099" w14:textId="77777777" w:rsidR="008715BE" w:rsidRPr="00EC75B7" w:rsidRDefault="008715BE">
      <w:pPr>
        <w:pStyle w:val="BodyText"/>
        <w:rPr>
          <w:rFonts w:ascii="Verdana" w:hAnsi="Verdana"/>
          <w:b/>
        </w:rPr>
      </w:pPr>
    </w:p>
    <w:p w14:paraId="03E9882D" w14:textId="77777777" w:rsidR="008715BE" w:rsidRPr="00EC75B7" w:rsidRDefault="008715BE">
      <w:pPr>
        <w:pStyle w:val="BodyText"/>
        <w:rPr>
          <w:rFonts w:ascii="Verdana" w:hAnsi="Verdana"/>
          <w:b/>
        </w:rPr>
      </w:pPr>
    </w:p>
    <w:p w14:paraId="3119CA9D" w14:textId="77777777" w:rsidR="008715BE" w:rsidRPr="00EC75B7" w:rsidRDefault="008715BE">
      <w:pPr>
        <w:pStyle w:val="BodyText"/>
        <w:spacing w:before="81"/>
        <w:rPr>
          <w:rFonts w:ascii="Verdana" w:hAnsi="Verdana"/>
          <w:b/>
        </w:rPr>
      </w:pPr>
    </w:p>
    <w:p w14:paraId="457EBF94" w14:textId="77777777" w:rsidR="008715BE" w:rsidRPr="00EC75B7" w:rsidRDefault="00000000">
      <w:pPr>
        <w:pStyle w:val="BodyText"/>
        <w:spacing w:line="357" w:lineRule="auto"/>
        <w:ind w:left="57" w:right="411"/>
        <w:jc w:val="both"/>
        <w:rPr>
          <w:rFonts w:ascii="Verdana" w:hAnsi="Verdana"/>
        </w:rPr>
      </w:pPr>
      <w:r w:rsidRPr="00EC75B7">
        <w:rPr>
          <w:rFonts w:ascii="Verdana" w:hAnsi="Verdana"/>
        </w:rPr>
        <w:t>Analyzing the soil map, it can be seen that in the project implementation area, the predominant soil class is chernozems (black earth), accounting for approximately 90% of the total area.</w:t>
      </w:r>
    </w:p>
    <w:p w14:paraId="2A8862BD" w14:textId="77777777" w:rsidR="008715BE" w:rsidRPr="00EC75B7" w:rsidRDefault="00000000">
      <w:pPr>
        <w:pStyle w:val="BodyText"/>
        <w:spacing w:before="120" w:line="360" w:lineRule="auto"/>
        <w:ind w:left="86" w:right="432"/>
        <w:jc w:val="both"/>
        <w:rPr>
          <w:rFonts w:ascii="Verdana" w:hAnsi="Verdana"/>
        </w:rPr>
      </w:pPr>
      <w:r w:rsidRPr="00EC75B7">
        <w:rPr>
          <w:rFonts w:ascii="Verdana" w:hAnsi="Verdana"/>
          <w:spacing w:val="-2"/>
        </w:rPr>
        <w:t xml:space="preserve">From a geological point of view, the region is predominantly covered with sedimentary rocks including sand, </w:t>
      </w:r>
      <w:r w:rsidRPr="00EC75B7">
        <w:rPr>
          <w:rFonts w:ascii="Verdana" w:hAnsi="Verdana"/>
        </w:rPr>
        <w:t>clay, and marl, due to the marine and fluvial deposits that characterize the Dobrogea platform.</w:t>
      </w:r>
    </w:p>
    <w:p w14:paraId="4768410E" w14:textId="77777777" w:rsidR="008715BE" w:rsidRPr="00EC75B7" w:rsidRDefault="00000000">
      <w:pPr>
        <w:pStyle w:val="BodyText"/>
        <w:spacing w:before="99" w:line="357" w:lineRule="auto"/>
        <w:ind w:left="86" w:right="421"/>
        <w:jc w:val="both"/>
        <w:rPr>
          <w:rFonts w:ascii="Verdana" w:hAnsi="Verdana"/>
        </w:rPr>
      </w:pPr>
      <w:r w:rsidRPr="00EC75B7">
        <w:rPr>
          <w:rFonts w:ascii="Verdana" w:hAnsi="Verdana"/>
        </w:rPr>
        <w:lastRenderedPageBreak/>
        <w:t>More specifically, the analyzed territory is located in Southern Dobrogea, which, from a tectonic point of view, represents a sector of the Moesian Platform, delimited by the major Capidava-Ovidiu faults to the north, and the intramoesic (Călărași-Fierbinți-Sabla) fault to the south, which continues to northern Bulgaria, the Danube to the west, and the Black Sea to the east. This region covers an area of approximately 5000 km</w:t>
      </w:r>
      <w:r w:rsidRPr="00EC75B7">
        <w:rPr>
          <w:rFonts w:ascii="Verdana" w:hAnsi="Verdana"/>
          <w:position w:val="6"/>
        </w:rPr>
        <w:t>2</w:t>
      </w:r>
      <w:r w:rsidRPr="00EC75B7">
        <w:rPr>
          <w:rFonts w:ascii="Verdana" w:hAnsi="Verdana"/>
        </w:rPr>
        <w:t>. Above the Archean and Proterozoic crystalline bedrock, there are discordant sedimentary deposits belonging to the Paleozoic, Mesozoic, and Neogene sedimentary cycles.</w:t>
      </w:r>
    </w:p>
    <w:p w14:paraId="05948357" w14:textId="77777777" w:rsidR="008715BE" w:rsidRPr="00EC75B7" w:rsidRDefault="00000000">
      <w:pPr>
        <w:pStyle w:val="BodyText"/>
        <w:spacing w:before="122" w:line="357" w:lineRule="auto"/>
        <w:ind w:left="86" w:right="426"/>
        <w:jc w:val="both"/>
        <w:rPr>
          <w:rFonts w:ascii="Verdana" w:hAnsi="Verdana"/>
        </w:rPr>
      </w:pPr>
      <w:r w:rsidRPr="00EC75B7">
        <w:rPr>
          <w:rFonts w:ascii="Verdana" w:hAnsi="Verdana"/>
        </w:rPr>
        <w:t xml:space="preserve">In Southern Dobrogea, a carbonate platform developed from the Mesozoic (Upper Jurassic and Cretaceous) and continued through the Paleogene to the Miocene. The Pliocene developed mainly along the right bank of the Danube, in areas with low topography, and is represented by the sedimentation of continental </w:t>
      </w:r>
      <w:r w:rsidRPr="00EC75B7">
        <w:rPr>
          <w:rFonts w:ascii="Verdana" w:hAnsi="Verdana"/>
          <w:spacing w:val="-2"/>
        </w:rPr>
        <w:t>red</w:t>
      </w:r>
      <w:r w:rsidRPr="00EC75B7">
        <w:rPr>
          <w:rFonts w:ascii="Verdana" w:hAnsi="Verdana"/>
        </w:rPr>
        <w:t xml:space="preserve"> clay sequences</w:t>
      </w:r>
      <w:r w:rsidRPr="00EC75B7">
        <w:rPr>
          <w:rFonts w:ascii="Verdana" w:hAnsi="Verdana"/>
          <w:spacing w:val="-2"/>
        </w:rPr>
        <w:t>.</w:t>
      </w:r>
    </w:p>
    <w:p w14:paraId="2D7F5E7F" w14:textId="77777777" w:rsidR="008715BE" w:rsidRPr="00EC75B7" w:rsidRDefault="00000000">
      <w:pPr>
        <w:pStyle w:val="BodyText"/>
        <w:spacing w:before="123" w:line="360" w:lineRule="auto"/>
        <w:ind w:left="86" w:right="432"/>
        <w:jc w:val="both"/>
        <w:rPr>
          <w:rFonts w:ascii="Verdana" w:hAnsi="Verdana"/>
        </w:rPr>
      </w:pPr>
      <w:r w:rsidRPr="00EC75B7">
        <w:rPr>
          <w:rFonts w:ascii="Verdana" w:hAnsi="Verdana"/>
        </w:rPr>
        <w:t>The commune of Cerchezu, located in Constanța County, has a specific geographical and pedological environment that can influence both agricultural activities and the sustainable development of the area.</w:t>
      </w:r>
    </w:p>
    <w:p w14:paraId="0A590954" w14:textId="77777777" w:rsidR="008715BE" w:rsidRPr="00EC75B7" w:rsidRDefault="00000000">
      <w:pPr>
        <w:pStyle w:val="BodyText"/>
        <w:spacing w:before="119" w:line="357" w:lineRule="auto"/>
        <w:ind w:left="86" w:right="425"/>
        <w:jc w:val="both"/>
        <w:rPr>
          <w:rFonts w:ascii="Verdana" w:hAnsi="Verdana"/>
        </w:rPr>
      </w:pPr>
      <w:r w:rsidRPr="00EC75B7">
        <w:rPr>
          <w:rFonts w:ascii="Verdana" w:hAnsi="Verdana"/>
        </w:rPr>
        <w:t>In the analyzed area, the commune of Cerchezu and its surroundings, no areas of particular geological, paleontological, and speleological importance have been identified.</w:t>
      </w:r>
    </w:p>
    <w:p w14:paraId="14C7912B" w14:textId="77777777" w:rsidR="008715BE" w:rsidRPr="00EC75B7" w:rsidRDefault="008715BE">
      <w:pPr>
        <w:pStyle w:val="BodyText"/>
        <w:spacing w:before="23"/>
        <w:rPr>
          <w:rFonts w:ascii="Verdana" w:hAnsi="Verdana"/>
        </w:rPr>
      </w:pPr>
    </w:p>
    <w:p w14:paraId="4718D432" w14:textId="77777777" w:rsidR="008715BE" w:rsidRPr="00EC75B7" w:rsidRDefault="00000000">
      <w:pPr>
        <w:pStyle w:val="Heading3"/>
        <w:numPr>
          <w:ilvl w:val="2"/>
          <w:numId w:val="89"/>
        </w:numPr>
        <w:tabs>
          <w:tab w:val="left" w:pos="1766"/>
        </w:tabs>
        <w:ind w:left="1766" w:hanging="715"/>
        <w:rPr>
          <w:rFonts w:ascii="Verdana" w:hAnsi="Verdana"/>
          <w:sz w:val="18"/>
          <w:szCs w:val="18"/>
        </w:rPr>
      </w:pPr>
      <w:bookmarkStart w:id="46" w:name="_bookmark47"/>
      <w:bookmarkEnd w:id="46"/>
      <w:r w:rsidRPr="00EC75B7">
        <w:rPr>
          <w:rFonts w:ascii="Verdana" w:hAnsi="Verdana"/>
          <w:color w:val="00AFEF"/>
          <w:sz w:val="18"/>
          <w:szCs w:val="18"/>
        </w:rPr>
        <w:t xml:space="preserve">Current state of the soil/subsoil in the </w:t>
      </w:r>
      <w:r w:rsidRPr="00EC75B7">
        <w:rPr>
          <w:rFonts w:ascii="Verdana" w:hAnsi="Verdana"/>
          <w:color w:val="00AFEF"/>
          <w:spacing w:val="-2"/>
          <w:sz w:val="18"/>
          <w:szCs w:val="18"/>
        </w:rPr>
        <w:t xml:space="preserve">site </w:t>
      </w:r>
      <w:r w:rsidRPr="00EC75B7">
        <w:rPr>
          <w:rFonts w:ascii="Verdana" w:hAnsi="Verdana"/>
          <w:color w:val="00AFEF"/>
          <w:sz w:val="18"/>
          <w:szCs w:val="18"/>
        </w:rPr>
        <w:t>area</w:t>
      </w:r>
    </w:p>
    <w:p w14:paraId="1E915723" w14:textId="77777777" w:rsidR="008715BE" w:rsidRPr="00EC75B7" w:rsidRDefault="008715BE">
      <w:pPr>
        <w:pStyle w:val="BodyText"/>
        <w:spacing w:before="114"/>
        <w:rPr>
          <w:rFonts w:ascii="Verdana" w:hAnsi="Verdana"/>
          <w:b/>
        </w:rPr>
      </w:pPr>
    </w:p>
    <w:p w14:paraId="48C88C71" w14:textId="77777777" w:rsidR="008715BE" w:rsidRPr="00EC75B7" w:rsidRDefault="00000000">
      <w:pPr>
        <w:pStyle w:val="BodyText"/>
        <w:spacing w:line="357" w:lineRule="auto"/>
        <w:ind w:left="57" w:right="412"/>
        <w:jc w:val="both"/>
        <w:rPr>
          <w:rFonts w:ascii="Verdana" w:hAnsi="Verdana"/>
        </w:rPr>
      </w:pPr>
      <w:r w:rsidRPr="00EC75B7">
        <w:rPr>
          <w:rFonts w:ascii="Verdana" w:hAnsi="Verdana"/>
        </w:rPr>
        <w:t>Currently, the soil quality in the administrative territory of the Cerchezu commune is not affected by industrial activities. According to available public sources, there are no historically contaminated sites or potentially contaminated sites in the administrative territory of the Cerchezu commune.</w:t>
      </w:r>
    </w:p>
    <w:p w14:paraId="50C0A3C4" w14:textId="77777777" w:rsidR="008715BE" w:rsidRPr="00EC75B7" w:rsidRDefault="00000000">
      <w:pPr>
        <w:pStyle w:val="BodyText"/>
        <w:spacing w:before="122" w:line="360" w:lineRule="auto"/>
        <w:ind w:left="57" w:right="412"/>
        <w:jc w:val="both"/>
        <w:rPr>
          <w:rFonts w:ascii="Verdana" w:hAnsi="Verdana"/>
        </w:rPr>
      </w:pPr>
      <w:r w:rsidRPr="00EC75B7">
        <w:rPr>
          <w:rFonts w:ascii="Verdana" w:hAnsi="Verdana"/>
        </w:rPr>
        <w:t>Areas with a potential risk of soil pollution are represented by agricultural activities. Improper use of fertilizers can lead to excessive nitrogen and phosphate levels, with effects on the soil microflora and their accumulation in vegetation.</w:t>
      </w:r>
    </w:p>
    <w:p w14:paraId="09577272" w14:textId="77777777" w:rsidR="008715BE" w:rsidRPr="00EC75B7" w:rsidRDefault="00000000">
      <w:pPr>
        <w:pStyle w:val="BodyText"/>
        <w:spacing w:before="116" w:line="360" w:lineRule="auto"/>
        <w:ind w:left="33" w:right="408"/>
        <w:jc w:val="both"/>
        <w:rPr>
          <w:rFonts w:ascii="Verdana" w:hAnsi="Verdana"/>
        </w:rPr>
      </w:pPr>
      <w:r w:rsidRPr="00EC75B7">
        <w:rPr>
          <w:rFonts w:ascii="Verdana" w:hAnsi="Verdana"/>
        </w:rPr>
        <w:t>According to the County Report on the State of the Environment, 2022, for Constanța County, out of a total area of 707,129 ha, recorded in the land registry according to data provided by DAJ Constanța, almost 80% is agricultural land (558,204 ha), with the remaining 20% being non-agricultural land.</w:t>
      </w:r>
    </w:p>
    <w:p w14:paraId="5135E103" w14:textId="132673D7" w:rsidR="008715BE" w:rsidRPr="00EC75B7" w:rsidRDefault="00000000" w:rsidP="00E26EB0">
      <w:pPr>
        <w:pStyle w:val="BodyText"/>
        <w:spacing w:before="115"/>
        <w:ind w:left="38" w:right="491"/>
        <w:jc w:val="both"/>
        <w:rPr>
          <w:rFonts w:ascii="Verdana" w:hAnsi="Verdana"/>
        </w:rPr>
      </w:pPr>
      <w:r w:rsidRPr="00EC75B7">
        <w:rPr>
          <w:rFonts w:ascii="Verdana" w:hAnsi="Verdana"/>
        </w:rPr>
        <w:t xml:space="preserve">The map showing the distribution of land use categories in the project coverage area is </w:t>
      </w:r>
      <w:r w:rsidRPr="00EC75B7">
        <w:rPr>
          <w:rFonts w:ascii="Verdana" w:hAnsi="Verdana"/>
          <w:spacing w:val="-2"/>
        </w:rPr>
        <w:t>shown</w:t>
      </w:r>
      <w:r w:rsidR="00E26EB0">
        <w:rPr>
          <w:rFonts w:ascii="Verdana" w:hAnsi="Verdana"/>
        </w:rPr>
        <w:t xml:space="preserve"> </w:t>
      </w:r>
      <w:r w:rsidRPr="00EC75B7">
        <w:rPr>
          <w:rFonts w:ascii="Verdana" w:hAnsi="Verdana"/>
        </w:rPr>
        <w:t xml:space="preserve">in the figure </w:t>
      </w:r>
      <w:r w:rsidRPr="00EC75B7">
        <w:rPr>
          <w:rFonts w:ascii="Verdana" w:hAnsi="Verdana"/>
          <w:spacing w:val="-4"/>
        </w:rPr>
        <w:t>below.</w:t>
      </w:r>
    </w:p>
    <w:p w14:paraId="1B060A62" w14:textId="77777777" w:rsidR="008715BE" w:rsidRPr="00EC75B7" w:rsidRDefault="008715BE">
      <w:pPr>
        <w:pStyle w:val="BodyText"/>
        <w:jc w:val="both"/>
        <w:rPr>
          <w:rFonts w:ascii="Verdana" w:hAnsi="Verdana"/>
        </w:rPr>
        <w:sectPr w:rsidR="008715BE" w:rsidRPr="00EC75B7">
          <w:pgSz w:w="11910" w:h="16840"/>
          <w:pgMar w:top="1320" w:right="566" w:bottom="1020" w:left="1133" w:header="766" w:footer="799" w:gutter="0"/>
          <w:cols w:space="708"/>
        </w:sectPr>
      </w:pPr>
    </w:p>
    <w:p w14:paraId="51C9005B" w14:textId="0154600E" w:rsidR="008715BE" w:rsidRPr="00EC75B7" w:rsidRDefault="00E7611D" w:rsidP="00E7611D">
      <w:pPr>
        <w:pStyle w:val="BodyText"/>
        <w:spacing w:before="6"/>
        <w:jc w:val="center"/>
        <w:rPr>
          <w:rFonts w:ascii="Verdana" w:hAnsi="Verdana"/>
        </w:rPr>
      </w:pPr>
      <w:r>
        <w:rPr>
          <w:noProof/>
        </w:rPr>
        <w:lastRenderedPageBreak/>
        <w:drawing>
          <wp:inline distT="0" distB="0" distL="0" distR="0" wp14:anchorId="1369290E" wp14:editId="77B8CC57">
            <wp:extent cx="5238750" cy="3705245"/>
            <wp:effectExtent l="0" t="0" r="0" b="9525"/>
            <wp:docPr id="7857103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42710" cy="3708046"/>
                    </a:xfrm>
                    <a:prstGeom prst="rect">
                      <a:avLst/>
                    </a:prstGeom>
                    <a:noFill/>
                    <a:ln>
                      <a:noFill/>
                    </a:ln>
                  </pic:spPr>
                </pic:pic>
              </a:graphicData>
            </a:graphic>
          </wp:inline>
        </w:drawing>
      </w:r>
    </w:p>
    <w:p w14:paraId="271F8A16" w14:textId="5E4CF42A" w:rsidR="008715BE" w:rsidRPr="00EC75B7" w:rsidRDefault="008715BE">
      <w:pPr>
        <w:ind w:left="58"/>
        <w:rPr>
          <w:rFonts w:ascii="Verdana" w:hAnsi="Verdana"/>
          <w:sz w:val="18"/>
          <w:szCs w:val="18"/>
        </w:rPr>
      </w:pPr>
    </w:p>
    <w:p w14:paraId="00013E78" w14:textId="77777777" w:rsidR="008715BE" w:rsidRPr="00EC75B7" w:rsidRDefault="008715BE">
      <w:pPr>
        <w:pStyle w:val="BodyText"/>
        <w:spacing w:before="100"/>
        <w:rPr>
          <w:rFonts w:ascii="Verdana" w:hAnsi="Verdana"/>
        </w:rPr>
      </w:pPr>
    </w:p>
    <w:p w14:paraId="4AC63837" w14:textId="77777777" w:rsidR="008715BE" w:rsidRPr="00EC75B7" w:rsidRDefault="00000000">
      <w:pPr>
        <w:spacing w:before="1"/>
        <w:ind w:left="684"/>
        <w:rPr>
          <w:rFonts w:ascii="Verdana" w:hAnsi="Verdana"/>
          <w:i/>
          <w:sz w:val="18"/>
          <w:szCs w:val="18"/>
        </w:rPr>
      </w:pPr>
      <w:r w:rsidRPr="00EC75B7">
        <w:rPr>
          <w:rFonts w:ascii="Verdana" w:hAnsi="Verdana"/>
          <w:i/>
          <w:color w:val="009DEF"/>
          <w:sz w:val="18"/>
          <w:szCs w:val="18"/>
        </w:rPr>
        <w:t>Source: CORINE Land Cover, 2018, Version 2020_20u1mDate of publication: Jun 14, 2019 Revision date: May 13,</w:t>
      </w:r>
      <w:r w:rsidRPr="00EC75B7">
        <w:rPr>
          <w:rFonts w:ascii="Verdana" w:hAnsi="Verdana"/>
          <w:i/>
          <w:color w:val="009DEF"/>
          <w:spacing w:val="-4"/>
          <w:sz w:val="18"/>
          <w:szCs w:val="18"/>
        </w:rPr>
        <w:t xml:space="preserve"> 2020</w:t>
      </w:r>
    </w:p>
    <w:p w14:paraId="31677FC8" w14:textId="77777777" w:rsidR="008715BE" w:rsidRPr="00EC75B7" w:rsidRDefault="00000000">
      <w:pPr>
        <w:spacing w:before="119"/>
        <w:ind w:left="710"/>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34 </w:t>
      </w:r>
      <w:r w:rsidRPr="00EC75B7">
        <w:rPr>
          <w:rFonts w:ascii="Verdana" w:hAnsi="Verdana"/>
          <w:b/>
          <w:color w:val="009DEF"/>
          <w:sz w:val="18"/>
          <w:szCs w:val="18"/>
        </w:rPr>
        <w:t xml:space="preserve">Distribution of land use categories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coverage area</w:t>
      </w:r>
    </w:p>
    <w:p w14:paraId="6A9DEF46" w14:textId="77777777" w:rsidR="008715BE" w:rsidRPr="00EC75B7" w:rsidRDefault="008715BE">
      <w:pPr>
        <w:pStyle w:val="BodyText"/>
        <w:spacing w:before="23"/>
        <w:rPr>
          <w:rFonts w:ascii="Verdana" w:hAnsi="Verdana"/>
          <w:b/>
        </w:rPr>
      </w:pPr>
    </w:p>
    <w:p w14:paraId="47F1458B" w14:textId="77777777" w:rsidR="008715BE" w:rsidRPr="00EC75B7" w:rsidRDefault="00000000">
      <w:pPr>
        <w:pStyle w:val="BodyText"/>
        <w:spacing w:line="357" w:lineRule="auto"/>
        <w:ind w:left="38" w:right="411"/>
        <w:jc w:val="both"/>
        <w:rPr>
          <w:rFonts w:ascii="Verdana" w:hAnsi="Verdana"/>
        </w:rPr>
      </w:pPr>
      <w:r w:rsidRPr="00EC75B7">
        <w:rPr>
          <w:rFonts w:ascii="Verdana" w:hAnsi="Verdana"/>
        </w:rPr>
        <w:t>In terms of land use categories, the study area consists of arable land (90%), secondary pastures, predominantly agricultural land mixed with natural vegetation, discontinuous urban areas, and industrial or commercial units.</w:t>
      </w:r>
    </w:p>
    <w:p w14:paraId="0E05BBAB" w14:textId="77777777" w:rsidR="008715BE" w:rsidRPr="00EC75B7" w:rsidRDefault="00000000">
      <w:pPr>
        <w:pStyle w:val="BodyText"/>
        <w:spacing w:before="122" w:line="357" w:lineRule="auto"/>
        <w:ind w:left="33" w:right="402"/>
        <w:jc w:val="both"/>
        <w:rPr>
          <w:rFonts w:ascii="Verdana" w:hAnsi="Verdana"/>
        </w:rPr>
      </w:pPr>
      <w:r w:rsidRPr="00EC75B7">
        <w:rPr>
          <w:rFonts w:ascii="Verdana" w:hAnsi="Verdana"/>
        </w:rPr>
        <w:t xml:space="preserve">The Convention on Biological Diversity (CBD) has defined soil biodiversity as "the variation of soil life, from genes to communities and the ecological complexes of which they are part." </w:t>
      </w:r>
      <w:r w:rsidRPr="00EC75B7">
        <w:rPr>
          <w:rFonts w:ascii="Verdana" w:hAnsi="Verdana"/>
          <w:color w:val="0D0D0D"/>
        </w:rPr>
        <w:t>In other words, soil biodiversity represents the diversity of underground life.</w:t>
      </w:r>
    </w:p>
    <w:p w14:paraId="0CFD3E41" w14:textId="77777777" w:rsidR="008715BE" w:rsidRPr="00EC75B7" w:rsidRDefault="00000000">
      <w:pPr>
        <w:pStyle w:val="BodyText"/>
        <w:spacing w:before="122" w:line="357" w:lineRule="auto"/>
        <w:ind w:left="33" w:right="406"/>
        <w:jc w:val="both"/>
        <w:rPr>
          <w:rFonts w:ascii="Verdana" w:hAnsi="Verdana"/>
        </w:rPr>
      </w:pPr>
      <w:r w:rsidRPr="00EC75B7">
        <w:rPr>
          <w:rFonts w:ascii="Verdana" w:hAnsi="Verdana"/>
        </w:rPr>
        <w:t>A recent article published by the JRC (Joint Research Centre) presents a map of potential threats to three categories of soil biodiversity (microorganisms, fauna, and biological functions of the soil) in the EU and provides guidance for identifying soils that may be at risk. According to the JRC's conclusions, intensive human use/exploitation poses the greatest potential threat, while genetically modified organisms (GMOs) pose the least threat.</w:t>
      </w:r>
    </w:p>
    <w:p w14:paraId="6A4A00C1" w14:textId="77777777" w:rsidR="008715BE" w:rsidRPr="00EC75B7" w:rsidRDefault="00000000">
      <w:pPr>
        <w:pStyle w:val="BodyText"/>
        <w:spacing w:before="125" w:line="357" w:lineRule="auto"/>
        <w:ind w:left="33" w:right="414"/>
        <w:jc w:val="both"/>
        <w:rPr>
          <w:rFonts w:ascii="Verdana" w:hAnsi="Verdana"/>
        </w:rPr>
      </w:pPr>
      <w:r w:rsidRPr="00EC75B7">
        <w:rPr>
          <w:rFonts w:ascii="Verdana" w:hAnsi="Verdana"/>
        </w:rPr>
        <w:t>The maps show that high-risk soils exist in most European countries, with the risk being higher in agricultural areas and the Danube floodplains than in other forested areas.</w:t>
      </w:r>
    </w:p>
    <w:p w14:paraId="340BCE58" w14:textId="77777777" w:rsidR="008715BE" w:rsidRPr="00EC75B7" w:rsidRDefault="00000000">
      <w:pPr>
        <w:pStyle w:val="BodyText"/>
        <w:spacing w:before="120" w:line="357" w:lineRule="auto"/>
        <w:ind w:left="33" w:right="402"/>
        <w:jc w:val="both"/>
        <w:rPr>
          <w:rFonts w:ascii="Verdana" w:hAnsi="Verdana"/>
        </w:rPr>
      </w:pPr>
      <w:r w:rsidRPr="00EC75B7">
        <w:rPr>
          <w:rFonts w:ascii="Verdana" w:hAnsi="Verdana"/>
        </w:rPr>
        <w:t>The biological potential of the soil was assessed and mapped using critical thresholds for certain factors that influence the soil, such as climate change, land use change, habitat fragmentation, intensive anthropogenic exploitation, decline in soil organic matter, industrial pollution, soil compaction, soil erosion, soil sealing, soil salinization, the use of GMOs in</w:t>
      </w:r>
    </w:p>
    <w:p w14:paraId="43F7E4D4"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799" w:gutter="0"/>
          <w:cols w:space="708"/>
        </w:sectPr>
      </w:pPr>
    </w:p>
    <w:p w14:paraId="18127136" w14:textId="77777777" w:rsidR="008715BE" w:rsidRPr="00EC75B7" w:rsidRDefault="00000000">
      <w:pPr>
        <w:pStyle w:val="BodyText"/>
        <w:spacing w:before="99"/>
        <w:ind w:left="33"/>
        <w:rPr>
          <w:rFonts w:ascii="Verdana" w:hAnsi="Verdana"/>
        </w:rPr>
      </w:pPr>
      <w:r w:rsidRPr="00EC75B7">
        <w:rPr>
          <w:rFonts w:ascii="Verdana" w:hAnsi="Verdana"/>
        </w:rPr>
        <w:lastRenderedPageBreak/>
        <w:t>agriculture, and invasive species. These can affect the biological condition of soils</w:t>
      </w:r>
      <w:r w:rsidRPr="00EC75B7">
        <w:rPr>
          <w:rFonts w:ascii="Verdana" w:hAnsi="Verdana"/>
          <w:spacing w:val="32"/>
        </w:rPr>
        <w:t xml:space="preserve">  </w:t>
      </w:r>
      <w:r w:rsidRPr="00EC75B7">
        <w:rPr>
          <w:rFonts w:ascii="Verdana" w:hAnsi="Verdana"/>
        </w:rPr>
        <w:t xml:space="preserve"> and indirectly the levels </w:t>
      </w:r>
      <w:r w:rsidRPr="00EC75B7">
        <w:rPr>
          <w:rFonts w:ascii="Verdana" w:hAnsi="Verdana"/>
          <w:spacing w:val="-5"/>
        </w:rPr>
        <w:t>of</w:t>
      </w:r>
    </w:p>
    <w:p w14:paraId="168DD014" w14:textId="77777777" w:rsidR="008715BE" w:rsidRPr="00EC75B7" w:rsidRDefault="00000000">
      <w:pPr>
        <w:pStyle w:val="BodyText"/>
        <w:spacing w:before="110"/>
        <w:ind w:left="33"/>
        <w:rPr>
          <w:rFonts w:ascii="Verdana" w:hAnsi="Verdana"/>
        </w:rPr>
      </w:pPr>
      <w:r w:rsidRPr="00EC75B7">
        <w:rPr>
          <w:rFonts w:ascii="Verdana" w:hAnsi="Verdana"/>
          <w:spacing w:val="-2"/>
        </w:rPr>
        <w:t xml:space="preserve">soil </w:t>
      </w:r>
      <w:r w:rsidRPr="00EC75B7">
        <w:rPr>
          <w:rFonts w:ascii="Verdana" w:hAnsi="Verdana"/>
        </w:rPr>
        <w:t>biodiversity levels</w:t>
      </w:r>
      <w:r w:rsidRPr="00EC75B7">
        <w:rPr>
          <w:rFonts w:ascii="Verdana" w:hAnsi="Verdana"/>
          <w:spacing w:val="-2"/>
        </w:rPr>
        <w:t>.</w:t>
      </w:r>
    </w:p>
    <w:p w14:paraId="5974503A" w14:textId="77777777" w:rsidR="008715BE" w:rsidRPr="00EC75B7" w:rsidRDefault="008715BE">
      <w:pPr>
        <w:pStyle w:val="BodyText"/>
        <w:spacing w:before="7"/>
        <w:rPr>
          <w:rFonts w:ascii="Verdana" w:hAnsi="Verdana"/>
        </w:rPr>
      </w:pPr>
    </w:p>
    <w:p w14:paraId="5E36AD6A" w14:textId="77777777" w:rsidR="008715BE" w:rsidRPr="00EC75B7" w:rsidRDefault="00000000">
      <w:pPr>
        <w:pStyle w:val="BodyText"/>
        <w:spacing w:line="357" w:lineRule="auto"/>
        <w:ind w:left="33" w:right="400"/>
        <w:jc w:val="both"/>
        <w:rPr>
          <w:rFonts w:ascii="Verdana" w:hAnsi="Verdana"/>
        </w:rPr>
      </w:pPr>
      <w:r w:rsidRPr="00EC75B7">
        <w:rPr>
          <w:rFonts w:ascii="Verdana" w:hAnsi="Verdana"/>
        </w:rPr>
        <w:t>Analyzing the data presented in the JRC study on the potential risks threatening the biological functions of the soil, it was observed that in the project implementation area, the vast majority of soils present a high risk in Romania, decreasing to a moderate risk in Bulgaria, , thus making biological functions susceptible to being affected by soil degradation processes.</w:t>
      </w:r>
    </w:p>
    <w:p w14:paraId="72A7AE5F" w14:textId="03B6E704" w:rsidR="008715BE" w:rsidRPr="00EC75B7" w:rsidRDefault="00E7611D" w:rsidP="00E7611D">
      <w:pPr>
        <w:pStyle w:val="BodyText"/>
        <w:spacing w:before="5"/>
        <w:jc w:val="center"/>
        <w:rPr>
          <w:rFonts w:ascii="Verdana" w:hAnsi="Verdana"/>
        </w:rPr>
      </w:pPr>
      <w:r>
        <w:rPr>
          <w:noProof/>
        </w:rPr>
        <w:drawing>
          <wp:inline distT="0" distB="0" distL="0" distR="0" wp14:anchorId="46E7C99A" wp14:editId="23C28018">
            <wp:extent cx="5575300" cy="3943278"/>
            <wp:effectExtent l="0" t="0" r="6350" b="635"/>
            <wp:docPr id="18621490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80180" cy="3946729"/>
                    </a:xfrm>
                    <a:prstGeom prst="rect">
                      <a:avLst/>
                    </a:prstGeom>
                    <a:noFill/>
                    <a:ln>
                      <a:noFill/>
                    </a:ln>
                  </pic:spPr>
                </pic:pic>
              </a:graphicData>
            </a:graphic>
          </wp:inline>
        </w:drawing>
      </w:r>
    </w:p>
    <w:p w14:paraId="25D95DD0" w14:textId="77777777" w:rsidR="008715BE" w:rsidRPr="00EC75B7" w:rsidRDefault="00000000">
      <w:pPr>
        <w:spacing w:before="130"/>
        <w:ind w:left="199" w:right="309"/>
        <w:rPr>
          <w:rFonts w:ascii="Verdana" w:hAnsi="Verdana"/>
          <w:i/>
          <w:sz w:val="18"/>
          <w:szCs w:val="18"/>
        </w:rPr>
      </w:pPr>
      <w:r w:rsidRPr="00EC75B7">
        <w:rPr>
          <w:rFonts w:ascii="Verdana" w:hAnsi="Verdana"/>
          <w:i/>
          <w:color w:val="009DEF"/>
          <w:sz w:val="18"/>
          <w:szCs w:val="18"/>
        </w:rPr>
        <w:t>Source: Joint Research Centre-European Soil Data Centre- Soil Biodiversity; A knowledge-based approach to estimating the magnitude and spatial patterns of potential threats to soil biodiversity</w:t>
      </w:r>
    </w:p>
    <w:p w14:paraId="1EF0AC3D" w14:textId="77777777" w:rsidR="008715BE" w:rsidRPr="00EC75B7" w:rsidRDefault="00000000">
      <w:pPr>
        <w:spacing w:before="117"/>
        <w:ind w:left="22" w:right="368"/>
        <w:jc w:val="center"/>
        <w:rPr>
          <w:rFonts w:ascii="Verdana" w:hAnsi="Verdana"/>
          <w:b/>
          <w:sz w:val="18"/>
          <w:szCs w:val="18"/>
        </w:rPr>
      </w:pPr>
      <w:r w:rsidRPr="00EC75B7">
        <w:rPr>
          <w:rFonts w:ascii="Verdana" w:hAnsi="Verdana"/>
          <w:b/>
          <w:color w:val="009DEF"/>
          <w:sz w:val="18"/>
          <w:szCs w:val="18"/>
        </w:rPr>
        <w:t>Figure</w:t>
      </w:r>
      <w:r w:rsidRPr="00EC75B7">
        <w:rPr>
          <w:rFonts w:ascii="Verdana" w:hAnsi="Verdana"/>
          <w:b/>
          <w:color w:val="00AFEF"/>
          <w:sz w:val="18"/>
          <w:szCs w:val="18"/>
        </w:rPr>
        <w:t xml:space="preserve"> 35 </w:t>
      </w:r>
      <w:r w:rsidRPr="00EC75B7">
        <w:rPr>
          <w:rFonts w:ascii="Verdana" w:hAnsi="Verdana"/>
          <w:b/>
          <w:color w:val="009DEF"/>
          <w:sz w:val="18"/>
          <w:szCs w:val="18"/>
        </w:rPr>
        <w:t xml:space="preserve">Map of potential threats to soil biological functions in the </w:t>
      </w:r>
      <w:r w:rsidRPr="00EC75B7">
        <w:rPr>
          <w:rFonts w:ascii="Verdana" w:hAnsi="Verdana"/>
          <w:b/>
          <w:color w:val="009DEF"/>
          <w:spacing w:val="-5"/>
          <w:sz w:val="18"/>
          <w:szCs w:val="18"/>
        </w:rPr>
        <w:t xml:space="preserve">project implementation </w:t>
      </w:r>
      <w:r w:rsidRPr="00EC75B7">
        <w:rPr>
          <w:rFonts w:ascii="Verdana" w:hAnsi="Verdana"/>
          <w:b/>
          <w:color w:val="009DEF"/>
          <w:sz w:val="18"/>
          <w:szCs w:val="18"/>
        </w:rPr>
        <w:t>area</w:t>
      </w:r>
    </w:p>
    <w:p w14:paraId="120C5211" w14:textId="77777777" w:rsidR="008715BE" w:rsidRPr="00EC75B7" w:rsidRDefault="00000000">
      <w:pPr>
        <w:spacing w:before="98"/>
        <w:ind w:left="32" w:right="368"/>
        <w:jc w:val="center"/>
        <w:rPr>
          <w:rFonts w:ascii="Verdana" w:hAnsi="Verdana"/>
          <w:b/>
          <w:sz w:val="18"/>
          <w:szCs w:val="18"/>
        </w:rPr>
      </w:pPr>
      <w:r w:rsidRPr="00EC75B7">
        <w:rPr>
          <w:rFonts w:ascii="Verdana" w:hAnsi="Verdana"/>
          <w:b/>
          <w:color w:val="009DEF"/>
          <w:spacing w:val="-2"/>
          <w:sz w:val="18"/>
          <w:szCs w:val="18"/>
        </w:rPr>
        <w:t xml:space="preserve">project </w:t>
      </w:r>
      <w:r w:rsidRPr="00EC75B7">
        <w:rPr>
          <w:rFonts w:ascii="Verdana" w:hAnsi="Verdana"/>
          <w:b/>
          <w:color w:val="009DEF"/>
          <w:sz w:val="18"/>
          <w:szCs w:val="18"/>
        </w:rPr>
        <w:t>implementation area</w:t>
      </w:r>
    </w:p>
    <w:p w14:paraId="7DB50899" w14:textId="77777777" w:rsidR="008715BE" w:rsidRPr="00EC75B7" w:rsidRDefault="008715BE">
      <w:pPr>
        <w:pStyle w:val="BodyText"/>
        <w:rPr>
          <w:rFonts w:ascii="Verdana" w:hAnsi="Verdana"/>
          <w:b/>
        </w:rPr>
      </w:pPr>
    </w:p>
    <w:p w14:paraId="2517DF27" w14:textId="77777777" w:rsidR="008715BE" w:rsidRPr="00EC75B7" w:rsidRDefault="008715BE">
      <w:pPr>
        <w:pStyle w:val="BodyText"/>
        <w:rPr>
          <w:rFonts w:ascii="Verdana" w:hAnsi="Verdana"/>
          <w:b/>
        </w:rPr>
      </w:pPr>
    </w:p>
    <w:p w14:paraId="1FD8A187" w14:textId="77777777" w:rsidR="008715BE" w:rsidRPr="00EC75B7" w:rsidRDefault="008715BE">
      <w:pPr>
        <w:pStyle w:val="BodyText"/>
        <w:spacing w:before="164"/>
        <w:rPr>
          <w:rFonts w:ascii="Verdana" w:hAnsi="Verdana"/>
          <w:b/>
        </w:rPr>
      </w:pPr>
    </w:p>
    <w:p w14:paraId="54B98106" w14:textId="77777777" w:rsidR="008715BE" w:rsidRPr="00EC75B7" w:rsidRDefault="00000000">
      <w:pPr>
        <w:pStyle w:val="ListParagraph"/>
        <w:numPr>
          <w:ilvl w:val="2"/>
          <w:numId w:val="89"/>
        </w:numPr>
        <w:tabs>
          <w:tab w:val="left" w:pos="1766"/>
        </w:tabs>
        <w:ind w:left="1766" w:hanging="715"/>
        <w:rPr>
          <w:rFonts w:ascii="Verdana" w:hAnsi="Verdana"/>
          <w:b/>
          <w:sz w:val="18"/>
          <w:szCs w:val="18"/>
        </w:rPr>
      </w:pPr>
      <w:bookmarkStart w:id="47" w:name="_bookmark48"/>
      <w:bookmarkEnd w:id="47"/>
      <w:r w:rsidRPr="00EC75B7">
        <w:rPr>
          <w:rFonts w:ascii="Verdana" w:hAnsi="Verdana"/>
          <w:b/>
          <w:color w:val="00AFEF"/>
          <w:spacing w:val="-2"/>
          <w:sz w:val="18"/>
          <w:szCs w:val="18"/>
        </w:rPr>
        <w:t xml:space="preserve">Land </w:t>
      </w:r>
      <w:r w:rsidRPr="00EC75B7">
        <w:rPr>
          <w:rFonts w:ascii="Verdana" w:hAnsi="Verdana"/>
          <w:b/>
          <w:color w:val="00AFEF"/>
          <w:sz w:val="18"/>
          <w:szCs w:val="18"/>
        </w:rPr>
        <w:t>use</w:t>
      </w:r>
    </w:p>
    <w:p w14:paraId="6B9799DF" w14:textId="77777777" w:rsidR="008715BE" w:rsidRPr="00EC75B7" w:rsidRDefault="008715BE">
      <w:pPr>
        <w:pStyle w:val="BodyText"/>
        <w:spacing w:before="139"/>
        <w:rPr>
          <w:rFonts w:ascii="Verdana" w:hAnsi="Verdana"/>
          <w:b/>
        </w:rPr>
      </w:pPr>
    </w:p>
    <w:p w14:paraId="31F6DFEC" w14:textId="77777777" w:rsidR="008715BE" w:rsidRPr="00EC75B7" w:rsidRDefault="00000000">
      <w:pPr>
        <w:pStyle w:val="BodyText"/>
        <w:spacing w:line="360" w:lineRule="auto"/>
        <w:ind w:left="33" w:right="399"/>
        <w:jc w:val="both"/>
        <w:rPr>
          <w:rFonts w:ascii="Verdana" w:hAnsi="Verdana"/>
        </w:rPr>
      </w:pPr>
      <w:r w:rsidRPr="00EC75B7">
        <w:rPr>
          <w:rFonts w:ascii="Verdana" w:hAnsi="Verdana"/>
        </w:rPr>
        <w:t>The land on which the proposed investment is to be carried out is privately owned by individuals/legal entities with whom the beneficiary of the investment, SOUTH WIND SRL, has concluded surface rights contracts.</w:t>
      </w:r>
    </w:p>
    <w:p w14:paraId="66F92764" w14:textId="77777777" w:rsidR="008715BE" w:rsidRPr="00EC75B7" w:rsidRDefault="00000000">
      <w:pPr>
        <w:pStyle w:val="BodyText"/>
        <w:spacing w:before="116"/>
        <w:ind w:left="57"/>
        <w:rPr>
          <w:rFonts w:ascii="Verdana" w:hAnsi="Verdana"/>
        </w:rPr>
      </w:pPr>
      <w:r w:rsidRPr="00EC75B7">
        <w:rPr>
          <w:rFonts w:ascii="Verdana" w:hAnsi="Verdana"/>
        </w:rPr>
        <w:t>The total area of the proposed project is</w:t>
      </w:r>
      <w:r w:rsidRPr="00EC75B7">
        <w:rPr>
          <w:rFonts w:ascii="Verdana" w:hAnsi="Verdana"/>
          <w:b/>
          <w:color w:val="009DEF"/>
        </w:rPr>
        <w:t xml:space="preserve"> 40 </w:t>
      </w:r>
      <w:r w:rsidRPr="00EC75B7">
        <w:rPr>
          <w:rFonts w:ascii="Verdana" w:hAnsi="Verdana"/>
          <w:b/>
          <w:color w:val="009DEF"/>
          <w:spacing w:val="-5"/>
        </w:rPr>
        <w:t>ha</w:t>
      </w:r>
      <w:r w:rsidRPr="00EC75B7">
        <w:rPr>
          <w:rFonts w:ascii="Verdana" w:hAnsi="Verdana"/>
          <w:spacing w:val="-5"/>
        </w:rPr>
        <w:t>.</w:t>
      </w:r>
    </w:p>
    <w:p w14:paraId="7F690C2E" w14:textId="77777777" w:rsidR="008715BE" w:rsidRPr="00EC75B7" w:rsidRDefault="008715BE">
      <w:pPr>
        <w:pStyle w:val="BodyText"/>
        <w:spacing w:before="10"/>
        <w:rPr>
          <w:rFonts w:ascii="Verdana" w:hAnsi="Verdana"/>
        </w:rPr>
      </w:pPr>
    </w:p>
    <w:p w14:paraId="7C052D47" w14:textId="77777777" w:rsidR="008715BE" w:rsidRPr="00EC75B7" w:rsidRDefault="00000000">
      <w:pPr>
        <w:pStyle w:val="BodyText"/>
        <w:spacing w:line="360" w:lineRule="auto"/>
        <w:ind w:left="57" w:right="430"/>
        <w:jc w:val="both"/>
        <w:rPr>
          <w:rFonts w:ascii="Verdana" w:hAnsi="Verdana"/>
        </w:rPr>
      </w:pPr>
      <w:r w:rsidRPr="00EC75B7">
        <w:rPr>
          <w:rFonts w:ascii="Verdana" w:hAnsi="Verdana"/>
          <w:b/>
        </w:rPr>
        <w:t xml:space="preserve">The land </w:t>
      </w:r>
      <w:r w:rsidRPr="00EC75B7">
        <w:rPr>
          <w:rFonts w:ascii="Verdana" w:hAnsi="Verdana"/>
        </w:rPr>
        <w:t>on which the investment covered by this documentation is to be developed is represented by the plots shown in the following table:</w:t>
      </w:r>
    </w:p>
    <w:p w14:paraId="6DA704A3" w14:textId="77777777" w:rsidR="008715BE" w:rsidRPr="00EC75B7" w:rsidRDefault="008715BE">
      <w:pPr>
        <w:pStyle w:val="BodyText"/>
        <w:rPr>
          <w:rFonts w:ascii="Verdana" w:hAnsi="Verdana"/>
        </w:rPr>
      </w:pPr>
    </w:p>
    <w:p w14:paraId="3B69C731" w14:textId="77777777" w:rsidR="008715BE" w:rsidRPr="00EC75B7" w:rsidRDefault="008715BE">
      <w:pPr>
        <w:pStyle w:val="BodyText"/>
        <w:spacing w:before="55"/>
        <w:rPr>
          <w:rFonts w:ascii="Verdana" w:hAnsi="Verdana"/>
        </w:rPr>
      </w:pPr>
    </w:p>
    <w:p w14:paraId="640B84E1"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15 </w:t>
      </w:r>
      <w:r w:rsidRPr="00EC75B7">
        <w:rPr>
          <w:rFonts w:ascii="Verdana" w:hAnsi="Verdana"/>
          <w:b/>
          <w:color w:val="00AFEF"/>
          <w:spacing w:val="-2"/>
          <w:sz w:val="18"/>
          <w:szCs w:val="18"/>
        </w:rPr>
        <w:t xml:space="preserve">Territorial </w:t>
      </w:r>
      <w:r w:rsidRPr="00EC75B7">
        <w:rPr>
          <w:rFonts w:ascii="Verdana" w:hAnsi="Verdana"/>
          <w:b/>
          <w:color w:val="00AFEF"/>
          <w:sz w:val="18"/>
          <w:szCs w:val="18"/>
        </w:rPr>
        <w:t>balance</w:t>
      </w:r>
    </w:p>
    <w:p w14:paraId="727BFD9C" w14:textId="77777777" w:rsidR="008715BE" w:rsidRPr="00EC75B7" w:rsidRDefault="008715BE">
      <w:pPr>
        <w:pStyle w:val="BodyText"/>
        <w:spacing w:before="5"/>
        <w:rPr>
          <w:rFonts w:ascii="Verdana" w:hAnsi="Verdana"/>
          <w:b/>
        </w:rPr>
      </w:pPr>
    </w:p>
    <w:tbl>
      <w:tblPr>
        <w:tblStyle w:val="TableNormal1"/>
        <w:tblW w:w="0" w:type="auto"/>
        <w:tblInd w:w="1493"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5591"/>
        <w:gridCol w:w="1275"/>
      </w:tblGrid>
      <w:tr w:rsidR="008715BE" w:rsidRPr="00EC75B7" w14:paraId="62F54848" w14:textId="77777777">
        <w:trPr>
          <w:trHeight w:val="398"/>
        </w:trPr>
        <w:tc>
          <w:tcPr>
            <w:tcW w:w="5591" w:type="dxa"/>
            <w:shd w:val="clear" w:color="auto" w:fill="00AFEF"/>
          </w:tcPr>
          <w:p w14:paraId="19BD411C"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Components</w:t>
            </w:r>
          </w:p>
        </w:tc>
        <w:tc>
          <w:tcPr>
            <w:tcW w:w="1275" w:type="dxa"/>
            <w:shd w:val="clear" w:color="auto" w:fill="00AFEF"/>
          </w:tcPr>
          <w:p w14:paraId="0C779755" w14:textId="77777777" w:rsidR="008715BE" w:rsidRPr="00EC75B7" w:rsidRDefault="00000000">
            <w:pPr>
              <w:pStyle w:val="TableParagraph"/>
              <w:spacing w:before="8"/>
              <w:ind w:left="11" w:right="4"/>
              <w:jc w:val="center"/>
              <w:rPr>
                <w:rFonts w:ascii="Verdana" w:hAnsi="Verdana"/>
                <w:b/>
                <w:sz w:val="18"/>
                <w:szCs w:val="18"/>
              </w:rPr>
            </w:pPr>
            <w:r w:rsidRPr="00EC75B7">
              <w:rPr>
                <w:rFonts w:ascii="Verdana" w:hAnsi="Verdana"/>
                <w:b/>
                <w:color w:val="FFFFFF"/>
                <w:sz w:val="18"/>
                <w:szCs w:val="18"/>
              </w:rPr>
              <w:t xml:space="preserve">Total </w:t>
            </w:r>
            <w:r w:rsidRPr="00EC75B7">
              <w:rPr>
                <w:rFonts w:ascii="Verdana" w:hAnsi="Verdana"/>
                <w:b/>
                <w:color w:val="FFFFFF"/>
                <w:spacing w:val="-7"/>
                <w:sz w:val="18"/>
                <w:szCs w:val="18"/>
              </w:rPr>
              <w:t>ha</w:t>
            </w:r>
          </w:p>
        </w:tc>
      </w:tr>
      <w:tr w:rsidR="008715BE" w:rsidRPr="00EC75B7" w14:paraId="409EF410" w14:textId="77777777">
        <w:trPr>
          <w:trHeight w:val="194"/>
        </w:trPr>
        <w:tc>
          <w:tcPr>
            <w:tcW w:w="5591" w:type="dxa"/>
          </w:tcPr>
          <w:p w14:paraId="76E2D908"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pacing w:val="-2"/>
                <w:sz w:val="18"/>
                <w:szCs w:val="18"/>
              </w:rPr>
              <w:t>Foundations</w:t>
            </w:r>
          </w:p>
        </w:tc>
        <w:tc>
          <w:tcPr>
            <w:tcW w:w="1275" w:type="dxa"/>
          </w:tcPr>
          <w:p w14:paraId="77ACF0CE" w14:textId="77777777" w:rsidR="008715BE" w:rsidRPr="00EC75B7" w:rsidRDefault="00000000">
            <w:pPr>
              <w:pStyle w:val="TableParagraph"/>
              <w:spacing w:before="8" w:line="166" w:lineRule="exact"/>
              <w:ind w:left="11" w:right="2"/>
              <w:jc w:val="center"/>
              <w:rPr>
                <w:rFonts w:ascii="Verdana" w:hAnsi="Verdana"/>
                <w:sz w:val="18"/>
                <w:szCs w:val="18"/>
              </w:rPr>
            </w:pPr>
            <w:r w:rsidRPr="00EC75B7">
              <w:rPr>
                <w:rFonts w:ascii="Verdana" w:hAnsi="Verdana"/>
                <w:spacing w:val="-4"/>
                <w:sz w:val="18"/>
                <w:szCs w:val="18"/>
              </w:rPr>
              <w:t>3.25</w:t>
            </w:r>
          </w:p>
        </w:tc>
      </w:tr>
      <w:tr w:rsidR="008715BE" w:rsidRPr="00EC75B7" w14:paraId="053BF7B2" w14:textId="77777777">
        <w:trPr>
          <w:trHeight w:val="196"/>
        </w:trPr>
        <w:tc>
          <w:tcPr>
            <w:tcW w:w="5591" w:type="dxa"/>
          </w:tcPr>
          <w:p w14:paraId="2D05F2F0" w14:textId="77777777" w:rsidR="008715BE" w:rsidRPr="00EC75B7" w:rsidRDefault="00000000">
            <w:pPr>
              <w:pStyle w:val="TableParagraph"/>
              <w:spacing w:before="10" w:line="166" w:lineRule="exact"/>
              <w:ind w:left="107"/>
              <w:rPr>
                <w:rFonts w:ascii="Verdana" w:hAnsi="Verdana"/>
                <w:sz w:val="18"/>
                <w:szCs w:val="18"/>
              </w:rPr>
            </w:pPr>
            <w:r w:rsidRPr="00EC75B7">
              <w:rPr>
                <w:rFonts w:ascii="Verdana" w:hAnsi="Verdana"/>
                <w:spacing w:val="-2"/>
                <w:sz w:val="18"/>
                <w:szCs w:val="18"/>
              </w:rPr>
              <w:lastRenderedPageBreak/>
              <w:t xml:space="preserve">Technology </w:t>
            </w:r>
            <w:r w:rsidRPr="00EC75B7">
              <w:rPr>
                <w:rFonts w:ascii="Verdana" w:hAnsi="Verdana"/>
                <w:sz w:val="18"/>
                <w:szCs w:val="18"/>
              </w:rPr>
              <w:t>platforms</w:t>
            </w:r>
          </w:p>
        </w:tc>
        <w:tc>
          <w:tcPr>
            <w:tcW w:w="1275" w:type="dxa"/>
          </w:tcPr>
          <w:p w14:paraId="5845B4F5" w14:textId="77777777" w:rsidR="008715BE" w:rsidRPr="00EC75B7" w:rsidRDefault="00000000">
            <w:pPr>
              <w:pStyle w:val="TableParagraph"/>
              <w:spacing w:before="10" w:line="166" w:lineRule="exact"/>
              <w:ind w:left="11"/>
              <w:jc w:val="center"/>
              <w:rPr>
                <w:rFonts w:ascii="Verdana" w:hAnsi="Verdana"/>
                <w:sz w:val="18"/>
                <w:szCs w:val="18"/>
              </w:rPr>
            </w:pPr>
            <w:r w:rsidRPr="00EC75B7">
              <w:rPr>
                <w:rFonts w:ascii="Verdana" w:hAnsi="Verdana"/>
                <w:spacing w:val="-5"/>
                <w:sz w:val="18"/>
                <w:szCs w:val="18"/>
              </w:rPr>
              <w:t>22</w:t>
            </w:r>
          </w:p>
        </w:tc>
      </w:tr>
      <w:tr w:rsidR="008715BE" w:rsidRPr="00EC75B7" w14:paraId="32FDAB86" w14:textId="77777777">
        <w:trPr>
          <w:trHeight w:val="194"/>
        </w:trPr>
        <w:tc>
          <w:tcPr>
            <w:tcW w:w="5591" w:type="dxa"/>
          </w:tcPr>
          <w:p w14:paraId="689A0F39"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pacing w:val="-2"/>
                <w:sz w:val="18"/>
                <w:szCs w:val="18"/>
              </w:rPr>
              <w:t xml:space="preserve">Transformer </w:t>
            </w:r>
            <w:r w:rsidRPr="00EC75B7">
              <w:rPr>
                <w:rFonts w:ascii="Verdana" w:hAnsi="Verdana"/>
                <w:sz w:val="18"/>
                <w:szCs w:val="18"/>
              </w:rPr>
              <w:t>stations</w:t>
            </w:r>
          </w:p>
        </w:tc>
        <w:tc>
          <w:tcPr>
            <w:tcW w:w="1275" w:type="dxa"/>
          </w:tcPr>
          <w:p w14:paraId="7946FA4F" w14:textId="77777777" w:rsidR="008715BE" w:rsidRPr="00EC75B7" w:rsidRDefault="00000000">
            <w:pPr>
              <w:pStyle w:val="TableParagraph"/>
              <w:spacing w:before="8" w:line="166" w:lineRule="exact"/>
              <w:ind w:left="11" w:right="2"/>
              <w:jc w:val="center"/>
              <w:rPr>
                <w:rFonts w:ascii="Verdana" w:hAnsi="Verdana"/>
                <w:sz w:val="18"/>
                <w:szCs w:val="18"/>
              </w:rPr>
            </w:pPr>
            <w:r w:rsidRPr="00EC75B7">
              <w:rPr>
                <w:rFonts w:ascii="Verdana" w:hAnsi="Verdana"/>
                <w:spacing w:val="-4"/>
                <w:sz w:val="18"/>
                <w:szCs w:val="18"/>
              </w:rPr>
              <w:t>3.03</w:t>
            </w:r>
          </w:p>
        </w:tc>
      </w:tr>
      <w:tr w:rsidR="008715BE" w:rsidRPr="00EC75B7" w14:paraId="5B76CAFD" w14:textId="77777777">
        <w:trPr>
          <w:trHeight w:val="388"/>
        </w:trPr>
        <w:tc>
          <w:tcPr>
            <w:tcW w:w="5591" w:type="dxa"/>
          </w:tcPr>
          <w:p w14:paraId="48AA1337" w14:textId="77777777" w:rsidR="008715BE" w:rsidRPr="00EC75B7" w:rsidRDefault="00000000">
            <w:pPr>
              <w:pStyle w:val="TableParagraph"/>
              <w:spacing w:line="194" w:lineRule="exact"/>
              <w:ind w:left="107" w:right="123"/>
              <w:rPr>
                <w:rFonts w:ascii="Verdana" w:hAnsi="Verdana"/>
                <w:sz w:val="18"/>
                <w:szCs w:val="18"/>
              </w:rPr>
            </w:pPr>
            <w:r w:rsidRPr="00EC75B7">
              <w:rPr>
                <w:rFonts w:ascii="Verdana" w:hAnsi="Verdana"/>
                <w:sz w:val="18"/>
                <w:szCs w:val="18"/>
              </w:rPr>
              <w:t>Internal access road network, overlapping existing agricultural roads, 5.5 m wide, to be paved</w:t>
            </w:r>
          </w:p>
        </w:tc>
        <w:tc>
          <w:tcPr>
            <w:tcW w:w="1275" w:type="dxa"/>
          </w:tcPr>
          <w:p w14:paraId="3FAFEF29" w14:textId="77777777" w:rsidR="008715BE" w:rsidRPr="00EC75B7" w:rsidRDefault="00000000">
            <w:pPr>
              <w:pStyle w:val="TableParagraph"/>
              <w:spacing w:before="104"/>
              <w:ind w:left="11" w:right="5"/>
              <w:jc w:val="center"/>
              <w:rPr>
                <w:rFonts w:ascii="Verdana" w:hAnsi="Verdana"/>
                <w:sz w:val="18"/>
                <w:szCs w:val="18"/>
              </w:rPr>
            </w:pPr>
            <w:r w:rsidRPr="00EC75B7">
              <w:rPr>
                <w:rFonts w:ascii="Verdana" w:hAnsi="Verdana"/>
                <w:spacing w:val="-2"/>
                <w:sz w:val="18"/>
                <w:szCs w:val="18"/>
              </w:rPr>
              <w:t>49.0</w:t>
            </w:r>
          </w:p>
        </w:tc>
      </w:tr>
      <w:tr w:rsidR="008715BE" w:rsidRPr="00EC75B7" w14:paraId="787A0218" w14:textId="77777777">
        <w:trPr>
          <w:trHeight w:val="194"/>
        </w:trPr>
        <w:tc>
          <w:tcPr>
            <w:tcW w:w="5591" w:type="dxa"/>
          </w:tcPr>
          <w:p w14:paraId="7756369B"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pacing w:val="-2"/>
                <w:sz w:val="18"/>
                <w:szCs w:val="18"/>
              </w:rPr>
              <w:t xml:space="preserve">Site </w:t>
            </w:r>
            <w:r w:rsidRPr="00EC75B7">
              <w:rPr>
                <w:rFonts w:ascii="Verdana" w:hAnsi="Verdana"/>
                <w:sz w:val="18"/>
                <w:szCs w:val="18"/>
              </w:rPr>
              <w:t>organization</w:t>
            </w:r>
          </w:p>
        </w:tc>
        <w:tc>
          <w:tcPr>
            <w:tcW w:w="1275" w:type="dxa"/>
          </w:tcPr>
          <w:p w14:paraId="4179CB53" w14:textId="77777777" w:rsidR="008715BE" w:rsidRPr="00EC75B7" w:rsidRDefault="00000000">
            <w:pPr>
              <w:pStyle w:val="TableParagraph"/>
              <w:spacing w:before="8" w:line="166" w:lineRule="exact"/>
              <w:ind w:left="11" w:right="2"/>
              <w:jc w:val="center"/>
              <w:rPr>
                <w:rFonts w:ascii="Verdana" w:hAnsi="Verdana"/>
                <w:sz w:val="18"/>
                <w:szCs w:val="18"/>
              </w:rPr>
            </w:pPr>
            <w:r w:rsidRPr="00EC75B7">
              <w:rPr>
                <w:rFonts w:ascii="Verdana" w:hAnsi="Verdana"/>
                <w:spacing w:val="-4"/>
                <w:sz w:val="18"/>
                <w:szCs w:val="18"/>
              </w:rPr>
              <w:t>3.6</w:t>
            </w:r>
          </w:p>
        </w:tc>
      </w:tr>
      <w:tr w:rsidR="008715BE" w:rsidRPr="00EC75B7" w14:paraId="2988C5B9" w14:textId="77777777">
        <w:trPr>
          <w:trHeight w:val="196"/>
        </w:trPr>
        <w:tc>
          <w:tcPr>
            <w:tcW w:w="5591" w:type="dxa"/>
          </w:tcPr>
          <w:p w14:paraId="7BAF55D7" w14:textId="77777777" w:rsidR="008715BE" w:rsidRPr="00EC75B7" w:rsidRDefault="00000000">
            <w:pPr>
              <w:pStyle w:val="TableParagraph"/>
              <w:spacing w:before="8" w:line="168" w:lineRule="exact"/>
              <w:ind w:left="107"/>
              <w:rPr>
                <w:rFonts w:ascii="Verdana" w:hAnsi="Verdana"/>
                <w:sz w:val="18"/>
                <w:szCs w:val="18"/>
              </w:rPr>
            </w:pPr>
            <w:r w:rsidRPr="00EC75B7">
              <w:rPr>
                <w:rFonts w:ascii="Verdana" w:hAnsi="Verdana"/>
                <w:spacing w:val="-2"/>
                <w:sz w:val="18"/>
                <w:szCs w:val="18"/>
              </w:rPr>
              <w:t xml:space="preserve">Total </w:t>
            </w:r>
            <w:r w:rsidRPr="00EC75B7">
              <w:rPr>
                <w:rFonts w:ascii="Verdana" w:hAnsi="Verdana"/>
                <w:sz w:val="18"/>
                <w:szCs w:val="18"/>
              </w:rPr>
              <w:t>area</w:t>
            </w:r>
          </w:p>
        </w:tc>
        <w:tc>
          <w:tcPr>
            <w:tcW w:w="1275" w:type="dxa"/>
          </w:tcPr>
          <w:p w14:paraId="107D1484" w14:textId="77777777" w:rsidR="008715BE" w:rsidRPr="00EC75B7" w:rsidRDefault="00000000">
            <w:pPr>
              <w:pStyle w:val="TableParagraph"/>
              <w:spacing w:before="8" w:line="168" w:lineRule="exact"/>
              <w:ind w:left="11" w:right="3"/>
              <w:jc w:val="center"/>
              <w:rPr>
                <w:rFonts w:ascii="Verdana" w:hAnsi="Verdana"/>
                <w:sz w:val="18"/>
                <w:szCs w:val="18"/>
              </w:rPr>
            </w:pPr>
            <w:r w:rsidRPr="00EC75B7">
              <w:rPr>
                <w:rFonts w:ascii="Verdana" w:hAnsi="Verdana"/>
                <w:spacing w:val="-2"/>
                <w:sz w:val="18"/>
                <w:szCs w:val="18"/>
              </w:rPr>
              <w:t>80.95</w:t>
            </w:r>
          </w:p>
        </w:tc>
      </w:tr>
    </w:tbl>
    <w:p w14:paraId="7F1625C4" w14:textId="77777777" w:rsidR="008715BE" w:rsidRPr="00EC75B7" w:rsidRDefault="008715BE">
      <w:pPr>
        <w:pStyle w:val="BodyText"/>
        <w:rPr>
          <w:rFonts w:ascii="Verdana" w:hAnsi="Verdana"/>
          <w:b/>
        </w:rPr>
      </w:pPr>
    </w:p>
    <w:p w14:paraId="0FB3CF0F" w14:textId="77777777" w:rsidR="008715BE" w:rsidRPr="00EC75B7" w:rsidRDefault="008715BE">
      <w:pPr>
        <w:pStyle w:val="BodyText"/>
        <w:spacing w:before="28"/>
        <w:rPr>
          <w:rFonts w:ascii="Verdana" w:hAnsi="Verdana"/>
          <w:b/>
        </w:rPr>
      </w:pPr>
    </w:p>
    <w:p w14:paraId="001B39DC" w14:textId="77777777" w:rsidR="008715BE" w:rsidRPr="00EC75B7" w:rsidRDefault="00000000">
      <w:pPr>
        <w:pStyle w:val="BodyText"/>
        <w:ind w:left="42"/>
        <w:rPr>
          <w:rFonts w:ascii="Verdana" w:hAnsi="Verdana"/>
        </w:rPr>
      </w:pPr>
      <w:r w:rsidRPr="00EC75B7">
        <w:rPr>
          <w:rFonts w:ascii="Verdana" w:hAnsi="Verdana"/>
        </w:rPr>
        <w:t xml:space="preserve">The construction of the energy park will lead to the permanent occupation of </w:t>
      </w:r>
      <w:r w:rsidRPr="00EC75B7">
        <w:rPr>
          <w:rFonts w:ascii="Verdana" w:hAnsi="Verdana"/>
          <w:spacing w:val="-2"/>
        </w:rPr>
        <w:t xml:space="preserve">land </w:t>
      </w:r>
      <w:r w:rsidRPr="00EC75B7">
        <w:rPr>
          <w:rFonts w:ascii="Verdana" w:hAnsi="Verdana"/>
        </w:rPr>
        <w:t>areas</w:t>
      </w:r>
      <w:r w:rsidRPr="00EC75B7">
        <w:rPr>
          <w:rFonts w:ascii="Verdana" w:hAnsi="Verdana"/>
          <w:spacing w:val="-2"/>
        </w:rPr>
        <w:t>:</w:t>
      </w:r>
    </w:p>
    <w:p w14:paraId="2F87645F" w14:textId="77777777" w:rsidR="008715BE" w:rsidRPr="00EC75B7" w:rsidRDefault="008715BE">
      <w:pPr>
        <w:pStyle w:val="BodyText"/>
        <w:spacing w:before="10"/>
        <w:rPr>
          <w:rFonts w:ascii="Verdana" w:hAnsi="Verdana"/>
        </w:rPr>
      </w:pPr>
    </w:p>
    <w:p w14:paraId="782253DF" w14:textId="77777777" w:rsidR="008715BE" w:rsidRPr="00EC75B7" w:rsidRDefault="00000000">
      <w:pPr>
        <w:pStyle w:val="ListParagraph"/>
        <w:numPr>
          <w:ilvl w:val="0"/>
          <w:numId w:val="88"/>
        </w:numPr>
        <w:tabs>
          <w:tab w:val="left" w:pos="832"/>
        </w:tabs>
        <w:ind w:left="832" w:hanging="417"/>
        <w:rPr>
          <w:rFonts w:ascii="Verdana" w:hAnsi="Verdana"/>
          <w:sz w:val="18"/>
          <w:szCs w:val="18"/>
        </w:rPr>
      </w:pPr>
      <w:r w:rsidRPr="00EC75B7">
        <w:rPr>
          <w:rFonts w:ascii="Verdana" w:hAnsi="Verdana"/>
          <w:b/>
          <w:sz w:val="18"/>
          <w:szCs w:val="18"/>
        </w:rPr>
        <w:t xml:space="preserve">approximately 25 ha </w:t>
      </w:r>
      <w:r w:rsidRPr="00EC75B7">
        <w:rPr>
          <w:rFonts w:ascii="Verdana" w:hAnsi="Verdana"/>
          <w:sz w:val="18"/>
          <w:szCs w:val="18"/>
        </w:rPr>
        <w:t xml:space="preserve">for </w:t>
      </w:r>
      <w:r w:rsidRPr="00EC75B7">
        <w:rPr>
          <w:rFonts w:ascii="Verdana" w:hAnsi="Verdana"/>
          <w:spacing w:val="-10"/>
          <w:sz w:val="18"/>
          <w:szCs w:val="18"/>
        </w:rPr>
        <w:t>the</w:t>
      </w:r>
      <w:r w:rsidRPr="00EC75B7">
        <w:rPr>
          <w:rFonts w:ascii="Verdana" w:hAnsi="Verdana"/>
          <w:sz w:val="18"/>
          <w:szCs w:val="18"/>
        </w:rPr>
        <w:t xml:space="preserve"> location of wind turbines and complementary constructions and</w:t>
      </w:r>
    </w:p>
    <w:p w14:paraId="57F8858D" w14:textId="77777777" w:rsidR="008715BE" w:rsidRPr="00EC75B7" w:rsidRDefault="00000000">
      <w:pPr>
        <w:pStyle w:val="BodyText"/>
        <w:spacing w:before="109"/>
        <w:ind w:left="770"/>
        <w:rPr>
          <w:rFonts w:ascii="Verdana" w:hAnsi="Verdana"/>
        </w:rPr>
      </w:pPr>
      <w:r w:rsidRPr="00EC75B7">
        <w:rPr>
          <w:rFonts w:ascii="Verdana" w:hAnsi="Verdana"/>
          <w:spacing w:val="-2"/>
        </w:rPr>
        <w:t xml:space="preserve">transformer </w:t>
      </w:r>
      <w:r w:rsidRPr="00EC75B7">
        <w:rPr>
          <w:rFonts w:ascii="Verdana" w:hAnsi="Verdana"/>
        </w:rPr>
        <w:t>stations</w:t>
      </w:r>
    </w:p>
    <w:p w14:paraId="74284FA8" w14:textId="77777777" w:rsidR="008715BE" w:rsidRPr="00EC75B7" w:rsidRDefault="00000000">
      <w:pPr>
        <w:pStyle w:val="ListParagraph"/>
        <w:numPr>
          <w:ilvl w:val="0"/>
          <w:numId w:val="88"/>
        </w:numPr>
        <w:tabs>
          <w:tab w:val="left" w:pos="770"/>
        </w:tabs>
        <w:spacing w:before="107"/>
        <w:ind w:left="770" w:hanging="355"/>
        <w:rPr>
          <w:rFonts w:ascii="Verdana" w:hAnsi="Verdana"/>
          <w:sz w:val="18"/>
          <w:szCs w:val="18"/>
        </w:rPr>
      </w:pPr>
      <w:r w:rsidRPr="00EC75B7">
        <w:rPr>
          <w:rFonts w:ascii="Verdana" w:hAnsi="Verdana"/>
          <w:b/>
          <w:sz w:val="18"/>
          <w:szCs w:val="18"/>
        </w:rPr>
        <w:t xml:space="preserve">49.06 ha </w:t>
      </w:r>
      <w:r w:rsidRPr="00EC75B7">
        <w:rPr>
          <w:rFonts w:ascii="Verdana" w:hAnsi="Verdana"/>
          <w:sz w:val="18"/>
          <w:szCs w:val="18"/>
        </w:rPr>
        <w:t xml:space="preserve">permanently occupied by service roads and </w:t>
      </w:r>
      <w:r w:rsidRPr="00EC75B7">
        <w:rPr>
          <w:rFonts w:ascii="Verdana" w:hAnsi="Verdana"/>
          <w:spacing w:val="-2"/>
          <w:sz w:val="18"/>
          <w:szCs w:val="18"/>
        </w:rPr>
        <w:t xml:space="preserve">paved </w:t>
      </w:r>
      <w:r w:rsidRPr="00EC75B7">
        <w:rPr>
          <w:rFonts w:ascii="Verdana" w:hAnsi="Verdana"/>
          <w:sz w:val="18"/>
          <w:szCs w:val="18"/>
        </w:rPr>
        <w:t>roads</w:t>
      </w:r>
      <w:r w:rsidRPr="00EC75B7">
        <w:rPr>
          <w:rFonts w:ascii="Verdana" w:hAnsi="Verdana"/>
          <w:spacing w:val="-2"/>
          <w:sz w:val="18"/>
          <w:szCs w:val="18"/>
        </w:rPr>
        <w:t>.</w:t>
      </w:r>
    </w:p>
    <w:p w14:paraId="4984CD47" w14:textId="77777777" w:rsidR="008715BE" w:rsidRPr="00EC75B7" w:rsidRDefault="00000000">
      <w:pPr>
        <w:pStyle w:val="BodyText"/>
        <w:spacing w:before="109"/>
        <w:ind w:left="42"/>
        <w:rPr>
          <w:rFonts w:ascii="Verdana" w:hAnsi="Verdana"/>
        </w:rPr>
      </w:pPr>
      <w:r w:rsidRPr="00EC75B7">
        <w:rPr>
          <w:rFonts w:ascii="Verdana" w:hAnsi="Verdana"/>
        </w:rPr>
        <w:t xml:space="preserve">The energy park will lead to the permanent removal of an area of approximately 30 </w:t>
      </w:r>
      <w:r w:rsidRPr="00EC75B7">
        <w:rPr>
          <w:rFonts w:ascii="Verdana" w:hAnsi="Verdana"/>
          <w:spacing w:val="-4"/>
        </w:rPr>
        <w:t xml:space="preserve">ha </w:t>
      </w:r>
      <w:r w:rsidRPr="00EC75B7">
        <w:rPr>
          <w:rFonts w:ascii="Verdana" w:hAnsi="Verdana"/>
        </w:rPr>
        <w:t>from agricultural use</w:t>
      </w:r>
      <w:r w:rsidRPr="00EC75B7">
        <w:rPr>
          <w:rFonts w:ascii="Verdana" w:hAnsi="Verdana"/>
          <w:spacing w:val="-4"/>
        </w:rPr>
        <w:t>.</w:t>
      </w:r>
    </w:p>
    <w:p w14:paraId="06C3F058" w14:textId="77777777" w:rsidR="008715BE" w:rsidRPr="00EC75B7" w:rsidRDefault="008715BE">
      <w:pPr>
        <w:pStyle w:val="BodyText"/>
        <w:spacing w:before="9"/>
        <w:rPr>
          <w:rFonts w:ascii="Verdana" w:hAnsi="Verdana"/>
        </w:rPr>
      </w:pPr>
    </w:p>
    <w:p w14:paraId="25E80164" w14:textId="77777777" w:rsidR="008715BE" w:rsidRPr="00EC75B7" w:rsidRDefault="00000000">
      <w:pPr>
        <w:pStyle w:val="BodyText"/>
        <w:spacing w:before="1" w:line="357" w:lineRule="auto"/>
        <w:ind w:left="33" w:right="407"/>
        <w:jc w:val="both"/>
        <w:rPr>
          <w:rFonts w:ascii="Verdana" w:hAnsi="Verdana"/>
        </w:rPr>
      </w:pPr>
      <w:r w:rsidRPr="00EC75B7">
        <w:rPr>
          <w:rFonts w:ascii="Verdana" w:hAnsi="Verdana"/>
        </w:rPr>
        <w:t>The area studied for the implementation of the objective includes agricultural land intended for arable land and land for special purposes - service roads in the public domain of the administrative-territorial unit of Cerchezu commune, administered by the Local Council of Cerchezu commune.</w:t>
      </w:r>
    </w:p>
    <w:p w14:paraId="508A0D41" w14:textId="77777777" w:rsidR="008715BE" w:rsidRPr="00EC75B7" w:rsidRDefault="00000000">
      <w:pPr>
        <w:pStyle w:val="BodyText"/>
        <w:spacing w:before="121" w:line="357" w:lineRule="auto"/>
        <w:ind w:left="33" w:right="431"/>
        <w:jc w:val="both"/>
        <w:rPr>
          <w:rFonts w:ascii="Verdana" w:hAnsi="Verdana"/>
        </w:rPr>
      </w:pPr>
      <w:r w:rsidRPr="00EC75B7">
        <w:rPr>
          <w:rFonts w:ascii="Verdana" w:hAnsi="Verdana"/>
        </w:rPr>
        <w:t>The main function of the studied area is agriculture, with agricultural land currently used for arable farming covering an area of</w:t>
      </w:r>
      <w:r w:rsidRPr="00EC75B7">
        <w:rPr>
          <w:rFonts w:ascii="Verdana" w:hAnsi="Verdana"/>
          <w:b/>
          <w:color w:val="009DEF"/>
        </w:rPr>
        <w:t xml:space="preserve"> 2,908.24 ha</w:t>
      </w:r>
      <w:r w:rsidRPr="00EC75B7">
        <w:rPr>
          <w:rFonts w:ascii="Verdana" w:hAnsi="Verdana"/>
          <w:color w:val="444444"/>
        </w:rPr>
        <w:t xml:space="preserve">, </w:t>
      </w:r>
      <w:r w:rsidRPr="00EC75B7">
        <w:rPr>
          <w:rFonts w:ascii="Verdana" w:hAnsi="Verdana"/>
        </w:rPr>
        <w:t>representing</w:t>
      </w:r>
      <w:r w:rsidRPr="00EC75B7">
        <w:rPr>
          <w:rFonts w:ascii="Verdana" w:hAnsi="Verdana"/>
          <w:b/>
          <w:color w:val="009DEF"/>
        </w:rPr>
        <w:t xml:space="preserve"> 96.05% </w:t>
      </w:r>
      <w:r w:rsidRPr="00EC75B7">
        <w:rPr>
          <w:rFonts w:ascii="Verdana" w:hAnsi="Verdana"/>
        </w:rPr>
        <w:t>of the total studied area. The categories of land use are presented in the following table and figure.</w:t>
      </w:r>
    </w:p>
    <w:p w14:paraId="5B2B4BBB" w14:textId="77777777" w:rsidR="008715BE" w:rsidRPr="00EC75B7" w:rsidRDefault="00000000">
      <w:pPr>
        <w:pStyle w:val="BodyText"/>
        <w:rPr>
          <w:rFonts w:ascii="Verdana" w:hAnsi="Verdana"/>
        </w:rPr>
      </w:pPr>
      <w:r w:rsidRPr="00EC75B7">
        <w:rPr>
          <w:rFonts w:ascii="Verdana" w:hAnsi="Verdana"/>
          <w:noProof/>
        </w:rPr>
        <w:drawing>
          <wp:anchor distT="0" distB="0" distL="0" distR="0" simplePos="0" relativeHeight="251749376" behindDoc="1" locked="0" layoutInCell="1" allowOverlap="1" wp14:anchorId="1FAD4C17" wp14:editId="564CD995">
            <wp:simplePos x="0" y="0"/>
            <wp:positionH relativeFrom="page">
              <wp:posOffset>841777</wp:posOffset>
            </wp:positionH>
            <wp:positionV relativeFrom="paragraph">
              <wp:posOffset>93216</wp:posOffset>
            </wp:positionV>
            <wp:extent cx="3478581" cy="2393061"/>
            <wp:effectExtent l="0" t="0" r="0" b="0"/>
            <wp:wrapTopAndBottom/>
            <wp:docPr id="208" name="Image 208" descr="P1029C1T10#yIS1"/>
            <wp:cNvGraphicFramePr/>
            <a:graphic xmlns:a="http://schemas.openxmlformats.org/drawingml/2006/main">
              <a:graphicData uri="http://schemas.openxmlformats.org/drawingml/2006/picture">
                <pic:pic xmlns:pic="http://schemas.openxmlformats.org/drawingml/2006/picture">
                  <pic:nvPicPr>
                    <pic:cNvPr id="208" name="Image 208" descr="P1029C1T10#yIS1"/>
                    <pic:cNvPicPr/>
                  </pic:nvPicPr>
                  <pic:blipFill>
                    <a:blip r:embed="rId164" cstate="print"/>
                    <a:stretch>
                      <a:fillRect/>
                    </a:stretch>
                  </pic:blipFill>
                  <pic:spPr>
                    <a:xfrm>
                      <a:off x="0" y="0"/>
                      <a:ext cx="3478581" cy="2393061"/>
                    </a:xfrm>
                    <a:prstGeom prst="rect">
                      <a:avLst/>
                    </a:prstGeom>
                  </pic:spPr>
                </pic:pic>
              </a:graphicData>
            </a:graphic>
          </wp:anchor>
        </w:drawing>
      </w:r>
      <w:r w:rsidRPr="00EC75B7">
        <w:rPr>
          <w:rFonts w:ascii="Verdana" w:hAnsi="Verdana"/>
          <w:noProof/>
        </w:rPr>
        <mc:AlternateContent>
          <mc:Choice Requires="wps">
            <w:drawing>
              <wp:anchor distT="0" distB="0" distL="0" distR="0" simplePos="0" relativeHeight="251724800" behindDoc="1" locked="0" layoutInCell="1" allowOverlap="1" wp14:anchorId="5D44110E" wp14:editId="174F1D75">
                <wp:simplePos x="0" y="0"/>
                <wp:positionH relativeFrom="page">
                  <wp:posOffset>4710048</wp:posOffset>
                </wp:positionH>
                <wp:positionV relativeFrom="paragraph">
                  <wp:posOffset>716981</wp:posOffset>
                </wp:positionV>
                <wp:extent cx="2132965" cy="1003300"/>
                <wp:effectExtent l="0" t="0" r="0" b="0"/>
                <wp:wrapTopAndBottom/>
                <wp:docPr id="209" name="Textbox 209"/>
                <wp:cNvGraphicFramePr/>
                <a:graphic xmlns:a="http://schemas.openxmlformats.org/drawingml/2006/main">
                  <a:graphicData uri="http://schemas.microsoft.com/office/word/2010/wordprocessingShape">
                    <wps:wsp>
                      <wps:cNvSpPr txBox="1"/>
                      <wps:spPr>
                        <a:xfrm>
                          <a:off x="0" y="0"/>
                          <a:ext cx="2132965" cy="1003300"/>
                        </a:xfrm>
                        <a:prstGeom prst="rect">
                          <a:avLst/>
                        </a:prstGeom>
                      </wps:spPr>
                      <wps:txbx>
                        <w:txbxContent>
                          <w:tbl>
                            <w:tblPr>
                              <w:tblStyle w:val="TableNormal1"/>
                              <w:tblW w:w="0" w:type="auto"/>
                              <w:tblInd w:w="5"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2425"/>
                              <w:gridCol w:w="924"/>
                            </w:tblGrid>
                            <w:tr w:rsidR="008715BE" w14:paraId="3E4D9648" w14:textId="77777777">
                              <w:trPr>
                                <w:trHeight w:val="273"/>
                              </w:trPr>
                              <w:tc>
                                <w:tcPr>
                                  <w:tcW w:w="2425" w:type="dxa"/>
                                  <w:shd w:val="clear" w:color="auto" w:fill="00AFEF"/>
                                </w:tcPr>
                                <w:p w14:paraId="4D8E2B58" w14:textId="77777777" w:rsidR="008715BE" w:rsidRDefault="00000000">
                                  <w:pPr>
                                    <w:pStyle w:val="TableParagraph"/>
                                    <w:spacing w:before="8"/>
                                    <w:ind w:left="107"/>
                                    <w:rPr>
                                      <w:b/>
                                      <w:sz w:val="14"/>
                                    </w:rPr>
                                  </w:pPr>
                                  <w:r>
                                    <w:rPr>
                                      <w:b/>
                                      <w:color w:val="FFFFFF"/>
                                      <w:w w:val="130"/>
                                      <w:sz w:val="9"/>
                                    </w:rPr>
                                    <w:t xml:space="preserve">Land </w:t>
                                  </w:r>
                                  <w:r>
                                    <w:rPr>
                                      <w:b/>
                                      <w:color w:val="FFFFFF"/>
                                      <w:spacing w:val="-2"/>
                                      <w:w w:val="130"/>
                                      <w:sz w:val="9"/>
                                    </w:rPr>
                                    <w:t xml:space="preserve">use </w:t>
                                  </w:r>
                                  <w:r>
                                    <w:rPr>
                                      <w:b/>
                                      <w:color w:val="FFFFFF"/>
                                      <w:w w:val="130"/>
                                      <w:sz w:val="9"/>
                                    </w:rPr>
                                    <w:t>categories</w:t>
                                  </w:r>
                                </w:p>
                              </w:tc>
                              <w:tc>
                                <w:tcPr>
                                  <w:tcW w:w="924" w:type="dxa"/>
                                  <w:shd w:val="clear" w:color="auto" w:fill="00AFEF"/>
                                </w:tcPr>
                                <w:p w14:paraId="62219B3E" w14:textId="77777777" w:rsidR="008715BE" w:rsidRDefault="00000000">
                                  <w:pPr>
                                    <w:pStyle w:val="TableParagraph"/>
                                    <w:spacing w:before="8"/>
                                    <w:ind w:left="107"/>
                                    <w:rPr>
                                      <w:b/>
                                      <w:sz w:val="14"/>
                                    </w:rPr>
                                  </w:pPr>
                                  <w:r>
                                    <w:rPr>
                                      <w:b/>
                                      <w:color w:val="FFFFFF"/>
                                      <w:spacing w:val="-5"/>
                                      <w:w w:val="135"/>
                                      <w:sz w:val="9"/>
                                    </w:rPr>
                                    <w:t>ha</w:t>
                                  </w:r>
                                </w:p>
                              </w:tc>
                            </w:tr>
                            <w:tr w:rsidR="008715BE" w14:paraId="026222E9" w14:textId="77777777">
                              <w:trPr>
                                <w:trHeight w:val="170"/>
                              </w:trPr>
                              <w:tc>
                                <w:tcPr>
                                  <w:tcW w:w="2425" w:type="dxa"/>
                                </w:tcPr>
                                <w:p w14:paraId="418B0C31" w14:textId="77777777" w:rsidR="008715BE" w:rsidRDefault="00000000">
                                  <w:pPr>
                                    <w:pStyle w:val="TableParagraph"/>
                                    <w:spacing w:before="8" w:line="142" w:lineRule="exact"/>
                                    <w:ind w:left="107"/>
                                    <w:rPr>
                                      <w:sz w:val="14"/>
                                    </w:rPr>
                                  </w:pPr>
                                  <w:r>
                                    <w:rPr>
                                      <w:spacing w:val="-2"/>
                                      <w:w w:val="120"/>
                                      <w:sz w:val="9"/>
                                    </w:rPr>
                                    <w:t>Pasture</w:t>
                                  </w:r>
                                </w:p>
                              </w:tc>
                              <w:tc>
                                <w:tcPr>
                                  <w:tcW w:w="924" w:type="dxa"/>
                                  <w:shd w:val="clear" w:color="auto" w:fill="F1F1F1"/>
                                </w:tcPr>
                                <w:p w14:paraId="0E5F8AF2" w14:textId="77777777" w:rsidR="008715BE" w:rsidRDefault="00000000">
                                  <w:pPr>
                                    <w:pStyle w:val="TableParagraph"/>
                                    <w:spacing w:before="8" w:line="142" w:lineRule="exact"/>
                                    <w:ind w:left="107"/>
                                    <w:rPr>
                                      <w:sz w:val="14"/>
                                    </w:rPr>
                                  </w:pPr>
                                  <w:r>
                                    <w:rPr>
                                      <w:spacing w:val="-5"/>
                                      <w:w w:val="125"/>
                                      <w:sz w:val="9"/>
                                    </w:rPr>
                                    <w:t>64</w:t>
                                  </w:r>
                                </w:p>
                              </w:tc>
                            </w:tr>
                            <w:tr w:rsidR="008715BE" w14:paraId="4635BB4C" w14:textId="77777777">
                              <w:trPr>
                                <w:trHeight w:val="170"/>
                              </w:trPr>
                              <w:tc>
                                <w:tcPr>
                                  <w:tcW w:w="2425" w:type="dxa"/>
                                </w:tcPr>
                                <w:p w14:paraId="09E1F294" w14:textId="77777777" w:rsidR="008715BE" w:rsidRDefault="00000000">
                                  <w:pPr>
                                    <w:pStyle w:val="TableParagraph"/>
                                    <w:spacing w:before="8" w:line="142" w:lineRule="exact"/>
                                    <w:ind w:left="107"/>
                                    <w:rPr>
                                      <w:sz w:val="14"/>
                                    </w:rPr>
                                  </w:pPr>
                                  <w:r>
                                    <w:rPr>
                                      <w:spacing w:val="-2"/>
                                      <w:w w:val="125"/>
                                      <w:sz w:val="9"/>
                                    </w:rPr>
                                    <w:t xml:space="preserve">Irrigation </w:t>
                                  </w:r>
                                  <w:r>
                                    <w:rPr>
                                      <w:w w:val="125"/>
                                      <w:sz w:val="9"/>
                                    </w:rPr>
                                    <w:t>canal</w:t>
                                  </w:r>
                                </w:p>
                              </w:tc>
                              <w:tc>
                                <w:tcPr>
                                  <w:tcW w:w="924" w:type="dxa"/>
                                  <w:shd w:val="clear" w:color="auto" w:fill="F1F1F1"/>
                                </w:tcPr>
                                <w:p w14:paraId="3C23D882" w14:textId="77777777" w:rsidR="008715BE" w:rsidRDefault="00000000">
                                  <w:pPr>
                                    <w:pStyle w:val="TableParagraph"/>
                                    <w:spacing w:before="8" w:line="142" w:lineRule="exact"/>
                                    <w:ind w:left="107"/>
                                    <w:rPr>
                                      <w:sz w:val="14"/>
                                    </w:rPr>
                                  </w:pPr>
                                  <w:r>
                                    <w:rPr>
                                      <w:spacing w:val="-2"/>
                                      <w:w w:val="125"/>
                                      <w:sz w:val="9"/>
                                    </w:rPr>
                                    <w:t>11.77</w:t>
                                  </w:r>
                                </w:p>
                              </w:tc>
                            </w:tr>
                            <w:tr w:rsidR="008715BE" w14:paraId="07085325" w14:textId="77777777">
                              <w:trPr>
                                <w:trHeight w:val="186"/>
                              </w:trPr>
                              <w:tc>
                                <w:tcPr>
                                  <w:tcW w:w="2425" w:type="dxa"/>
                                </w:tcPr>
                                <w:p w14:paraId="165F397D" w14:textId="77777777" w:rsidR="008715BE" w:rsidRDefault="00000000">
                                  <w:pPr>
                                    <w:pStyle w:val="TableParagraph"/>
                                    <w:spacing w:before="17" w:line="149" w:lineRule="exact"/>
                                    <w:ind w:left="107"/>
                                    <w:rPr>
                                      <w:sz w:val="14"/>
                                    </w:rPr>
                                  </w:pPr>
                                  <w:r>
                                    <w:rPr>
                                      <w:w w:val="125"/>
                                      <w:sz w:val="9"/>
                                    </w:rPr>
                                    <w:t xml:space="preserve">Major traffic </w:t>
                                  </w:r>
                                  <w:r>
                                    <w:rPr>
                                      <w:spacing w:val="-2"/>
                                      <w:w w:val="125"/>
                                      <w:sz w:val="9"/>
                                    </w:rPr>
                                    <w:t>(DN+Dc)</w:t>
                                  </w:r>
                                </w:p>
                              </w:tc>
                              <w:tc>
                                <w:tcPr>
                                  <w:tcW w:w="924" w:type="dxa"/>
                                  <w:shd w:val="clear" w:color="auto" w:fill="F1F1F1"/>
                                </w:tcPr>
                                <w:p w14:paraId="5E2D32F2" w14:textId="77777777" w:rsidR="008715BE" w:rsidRDefault="00000000">
                                  <w:pPr>
                                    <w:pStyle w:val="TableParagraph"/>
                                    <w:spacing w:before="17" w:line="149" w:lineRule="exact"/>
                                    <w:ind w:left="107"/>
                                    <w:rPr>
                                      <w:sz w:val="14"/>
                                    </w:rPr>
                                  </w:pPr>
                                  <w:r>
                                    <w:rPr>
                                      <w:spacing w:val="-4"/>
                                      <w:w w:val="125"/>
                                      <w:sz w:val="9"/>
                                    </w:rPr>
                                    <w:t>5.2</w:t>
                                  </w:r>
                                </w:p>
                              </w:tc>
                            </w:tr>
                            <w:tr w:rsidR="008715BE" w14:paraId="16C80931" w14:textId="77777777">
                              <w:trPr>
                                <w:trHeight w:val="170"/>
                              </w:trPr>
                              <w:tc>
                                <w:tcPr>
                                  <w:tcW w:w="2425" w:type="dxa"/>
                                </w:tcPr>
                                <w:p w14:paraId="656A7520" w14:textId="77777777" w:rsidR="008715BE" w:rsidRDefault="00000000">
                                  <w:pPr>
                                    <w:pStyle w:val="TableParagraph"/>
                                    <w:spacing w:before="8" w:line="142" w:lineRule="exact"/>
                                    <w:ind w:left="107"/>
                                    <w:rPr>
                                      <w:sz w:val="14"/>
                                    </w:rPr>
                                  </w:pPr>
                                  <w:r>
                                    <w:rPr>
                                      <w:w w:val="120"/>
                                      <w:sz w:val="9"/>
                                    </w:rPr>
                                    <w:t xml:space="preserve">Service roads </w:t>
                                  </w:r>
                                  <w:r>
                                    <w:rPr>
                                      <w:spacing w:val="-4"/>
                                      <w:w w:val="120"/>
                                      <w:sz w:val="9"/>
                                    </w:rPr>
                                    <w:t>(De)</w:t>
                                  </w:r>
                                </w:p>
                              </w:tc>
                              <w:tc>
                                <w:tcPr>
                                  <w:tcW w:w="924" w:type="dxa"/>
                                  <w:shd w:val="clear" w:color="auto" w:fill="F1F1F1"/>
                                </w:tcPr>
                                <w:p w14:paraId="401C3FCA" w14:textId="77777777" w:rsidR="008715BE" w:rsidRDefault="00000000">
                                  <w:pPr>
                                    <w:pStyle w:val="TableParagraph"/>
                                    <w:spacing w:before="8" w:line="142" w:lineRule="exact"/>
                                    <w:ind w:left="107"/>
                                    <w:rPr>
                                      <w:sz w:val="14"/>
                                    </w:rPr>
                                  </w:pPr>
                                  <w:r>
                                    <w:rPr>
                                      <w:spacing w:val="-2"/>
                                      <w:w w:val="125"/>
                                      <w:sz w:val="9"/>
                                    </w:rPr>
                                    <w:t>36.65</w:t>
                                  </w:r>
                                </w:p>
                              </w:tc>
                            </w:tr>
                            <w:tr w:rsidR="008715BE" w14:paraId="3D85F192" w14:textId="77777777">
                              <w:trPr>
                                <w:trHeight w:val="177"/>
                              </w:trPr>
                              <w:tc>
                                <w:tcPr>
                                  <w:tcW w:w="2425" w:type="dxa"/>
                                </w:tcPr>
                                <w:p w14:paraId="13156A5B" w14:textId="77777777" w:rsidR="008715BE" w:rsidRDefault="00000000">
                                  <w:pPr>
                                    <w:pStyle w:val="TableParagraph"/>
                                    <w:spacing w:before="13" w:line="144" w:lineRule="exact"/>
                                    <w:ind w:left="107"/>
                                    <w:rPr>
                                      <w:sz w:val="14"/>
                                    </w:rPr>
                                  </w:pPr>
                                  <w:r>
                                    <w:rPr>
                                      <w:spacing w:val="-2"/>
                                      <w:w w:val="120"/>
                                      <w:sz w:val="9"/>
                                    </w:rPr>
                                    <w:t xml:space="preserve">Unproductive </w:t>
                                  </w:r>
                                  <w:r>
                                    <w:rPr>
                                      <w:w w:val="120"/>
                                      <w:sz w:val="9"/>
                                    </w:rPr>
                                    <w:t>land</w:t>
                                  </w:r>
                                </w:p>
                              </w:tc>
                              <w:tc>
                                <w:tcPr>
                                  <w:tcW w:w="924" w:type="dxa"/>
                                  <w:shd w:val="clear" w:color="auto" w:fill="F1F1F1"/>
                                </w:tcPr>
                                <w:p w14:paraId="379DD876" w14:textId="77777777" w:rsidR="008715BE" w:rsidRDefault="00000000">
                                  <w:pPr>
                                    <w:pStyle w:val="TableParagraph"/>
                                    <w:spacing w:before="13" w:line="144" w:lineRule="exact"/>
                                    <w:ind w:left="107"/>
                                    <w:rPr>
                                      <w:sz w:val="14"/>
                                    </w:rPr>
                                  </w:pPr>
                                  <w:r>
                                    <w:rPr>
                                      <w:spacing w:val="-4"/>
                                      <w:w w:val="125"/>
                                      <w:sz w:val="9"/>
                                    </w:rPr>
                                    <w:t>1.87</w:t>
                                  </w:r>
                                </w:p>
                              </w:tc>
                            </w:tr>
                            <w:tr w:rsidR="008715BE" w14:paraId="31505E2D" w14:textId="77777777">
                              <w:trPr>
                                <w:trHeight w:val="170"/>
                              </w:trPr>
                              <w:tc>
                                <w:tcPr>
                                  <w:tcW w:w="2425" w:type="dxa"/>
                                </w:tcPr>
                                <w:p w14:paraId="56914B8C" w14:textId="77777777" w:rsidR="008715BE" w:rsidRDefault="00000000">
                                  <w:pPr>
                                    <w:pStyle w:val="TableParagraph"/>
                                    <w:spacing w:before="8" w:line="142" w:lineRule="exact"/>
                                    <w:ind w:left="107"/>
                                    <w:rPr>
                                      <w:sz w:val="14"/>
                                    </w:rPr>
                                  </w:pPr>
                                  <w:r>
                                    <w:rPr>
                                      <w:spacing w:val="-2"/>
                                      <w:w w:val="120"/>
                                      <w:sz w:val="9"/>
                                    </w:rPr>
                                    <w:t xml:space="preserve">Arable </w:t>
                                  </w:r>
                                  <w:r>
                                    <w:rPr>
                                      <w:w w:val="120"/>
                                      <w:sz w:val="9"/>
                                    </w:rPr>
                                    <w:t>land</w:t>
                                  </w:r>
                                </w:p>
                              </w:tc>
                              <w:tc>
                                <w:tcPr>
                                  <w:tcW w:w="924" w:type="dxa"/>
                                  <w:shd w:val="clear" w:color="auto" w:fill="F1F1F1"/>
                                </w:tcPr>
                                <w:p w14:paraId="1F0C2E13" w14:textId="77777777" w:rsidR="008715BE" w:rsidRDefault="00000000">
                                  <w:pPr>
                                    <w:pStyle w:val="TableParagraph"/>
                                    <w:spacing w:before="8" w:line="142" w:lineRule="exact"/>
                                    <w:ind w:left="107"/>
                                    <w:rPr>
                                      <w:sz w:val="14"/>
                                    </w:rPr>
                                  </w:pPr>
                                  <w:r>
                                    <w:rPr>
                                      <w:spacing w:val="-2"/>
                                      <w:w w:val="125"/>
                                      <w:sz w:val="9"/>
                                    </w:rPr>
                                    <w:t>2908.2</w:t>
                                  </w:r>
                                </w:p>
                              </w:tc>
                            </w:tr>
                            <w:tr w:rsidR="008715BE" w14:paraId="0A258ABA" w14:textId="77777777">
                              <w:trPr>
                                <w:trHeight w:val="172"/>
                              </w:trPr>
                              <w:tc>
                                <w:tcPr>
                                  <w:tcW w:w="2425" w:type="dxa"/>
                                  <w:shd w:val="clear" w:color="auto" w:fill="009DEF"/>
                                </w:tcPr>
                                <w:p w14:paraId="7339C4ED" w14:textId="77777777" w:rsidR="008715BE" w:rsidRDefault="00000000">
                                  <w:pPr>
                                    <w:pStyle w:val="TableParagraph"/>
                                    <w:spacing w:before="8" w:line="144" w:lineRule="exact"/>
                                    <w:ind w:left="107"/>
                                    <w:rPr>
                                      <w:b/>
                                      <w:sz w:val="14"/>
                                    </w:rPr>
                                  </w:pPr>
                                  <w:r>
                                    <w:rPr>
                                      <w:b/>
                                      <w:spacing w:val="-4"/>
                                      <w:w w:val="135"/>
                                      <w:sz w:val="9"/>
                                    </w:rPr>
                                    <w:t>Total</w:t>
                                  </w:r>
                                </w:p>
                              </w:tc>
                              <w:tc>
                                <w:tcPr>
                                  <w:tcW w:w="924" w:type="dxa"/>
                                  <w:shd w:val="clear" w:color="auto" w:fill="F1F1F1"/>
                                </w:tcPr>
                                <w:p w14:paraId="0A44BD79" w14:textId="77777777" w:rsidR="008715BE" w:rsidRDefault="00000000">
                                  <w:pPr>
                                    <w:pStyle w:val="TableParagraph"/>
                                    <w:spacing w:before="8" w:line="144" w:lineRule="exact"/>
                                    <w:ind w:left="107"/>
                                    <w:rPr>
                                      <w:b/>
                                      <w:sz w:val="14"/>
                                    </w:rPr>
                                  </w:pPr>
                                  <w:r>
                                    <w:rPr>
                                      <w:b/>
                                      <w:color w:val="009DEF"/>
                                      <w:spacing w:val="-2"/>
                                      <w:w w:val="140"/>
                                      <w:sz w:val="9"/>
                                    </w:rPr>
                                    <w:t>3027.77</w:t>
                                  </w:r>
                                </w:p>
                              </w:tc>
                            </w:tr>
                          </w:tbl>
                          <w:p w14:paraId="5D47A4C9" w14:textId="77777777" w:rsidR="008715BE" w:rsidRDefault="008715BE">
                            <w:pPr>
                              <w:pStyle w:val="BodyText"/>
                            </w:pPr>
                          </w:p>
                        </w:txbxContent>
                      </wps:txbx>
                      <wps:bodyPr wrap="square" lIns="0" tIns="0" rIns="0" bIns="0" rtlCol="0"/>
                    </wps:wsp>
                  </a:graphicData>
                </a:graphic>
              </wp:anchor>
            </w:drawing>
          </mc:Choice>
          <mc:Fallback>
            <w:pict>
              <v:shape w14:anchorId="5D44110E" id="Textbox 209" o:spid="_x0000_s1103" type="#_x0000_t202" style="position:absolute;margin-left:370.85pt;margin-top:56.45pt;width:167.95pt;height:79pt;z-index:-25159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" filled="f" stroked="f">
                <v:textbox inset="0,0,0,0">
                  <w:txbxContent>
                    <w:tbl>
                      <w:tblPr>
                        <w:tblStyle w:val="TableNormal1"/>
                        <w:tblW w:w="0" w:type="auto"/>
                        <w:tblInd w:w="5"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2425"/>
                        <w:gridCol w:w="924"/>
                      </w:tblGrid>
                      <w:tr w:rsidR="008715BE" w14:paraId="3E4D9648" w14:textId="77777777">
                        <w:trPr>
                          <w:trHeight w:val="273"/>
                        </w:trPr>
                        <w:tc>
                          <w:tcPr>
                            <w:tcW w:w="2425" w:type="dxa"/>
                            <w:shd w:val="clear" w:color="auto" w:fill="00AFEF"/>
                          </w:tcPr>
                          <w:p w14:paraId="4D8E2B58" w14:textId="77777777" w:rsidR="008715BE" w:rsidRDefault="00000000">
                            <w:pPr>
                              <w:pStyle w:val="TableParagraph"/>
                              <w:spacing w:before="8"/>
                              <w:ind w:left="107"/>
                              <w:rPr>
                                <w:b/>
                                <w:sz w:val="14"/>
                              </w:rPr>
                            </w:pPr>
                            <w:r>
                              <w:rPr>
                                <w:b/>
                                <w:color w:val="FFFFFF"/>
                                <w:w w:val="130"/>
                                <w:sz w:val="9"/>
                              </w:rPr>
                              <w:t xml:space="preserve">Land </w:t>
                            </w:r>
                            <w:r>
                              <w:rPr>
                                <w:b/>
                                <w:color w:val="FFFFFF"/>
                                <w:spacing w:val="-2"/>
                                <w:w w:val="130"/>
                                <w:sz w:val="9"/>
                              </w:rPr>
                              <w:t xml:space="preserve">use </w:t>
                            </w:r>
                            <w:r>
                              <w:rPr>
                                <w:b/>
                                <w:color w:val="FFFFFF"/>
                                <w:w w:val="130"/>
                                <w:sz w:val="9"/>
                              </w:rPr>
                              <w:t>categories</w:t>
                            </w:r>
                          </w:p>
                        </w:tc>
                        <w:tc>
                          <w:tcPr>
                            <w:tcW w:w="924" w:type="dxa"/>
                            <w:shd w:val="clear" w:color="auto" w:fill="00AFEF"/>
                          </w:tcPr>
                          <w:p w14:paraId="62219B3E" w14:textId="77777777" w:rsidR="008715BE" w:rsidRDefault="00000000">
                            <w:pPr>
                              <w:pStyle w:val="TableParagraph"/>
                              <w:spacing w:before="8"/>
                              <w:ind w:left="107"/>
                              <w:rPr>
                                <w:b/>
                                <w:sz w:val="14"/>
                              </w:rPr>
                            </w:pPr>
                            <w:r>
                              <w:rPr>
                                <w:b/>
                                <w:color w:val="FFFFFF"/>
                                <w:spacing w:val="-5"/>
                                <w:w w:val="135"/>
                                <w:sz w:val="9"/>
                              </w:rPr>
                              <w:t>ha</w:t>
                            </w:r>
                          </w:p>
                        </w:tc>
                      </w:tr>
                      <w:tr w:rsidR="008715BE" w14:paraId="026222E9" w14:textId="77777777">
                        <w:trPr>
                          <w:trHeight w:val="170"/>
                        </w:trPr>
                        <w:tc>
                          <w:tcPr>
                            <w:tcW w:w="2425" w:type="dxa"/>
                          </w:tcPr>
                          <w:p w14:paraId="418B0C31" w14:textId="77777777" w:rsidR="008715BE" w:rsidRDefault="00000000">
                            <w:pPr>
                              <w:pStyle w:val="TableParagraph"/>
                              <w:spacing w:before="8" w:line="142" w:lineRule="exact"/>
                              <w:ind w:left="107"/>
                              <w:rPr>
                                <w:sz w:val="14"/>
                              </w:rPr>
                            </w:pPr>
                            <w:r>
                              <w:rPr>
                                <w:spacing w:val="-2"/>
                                <w:w w:val="120"/>
                                <w:sz w:val="9"/>
                              </w:rPr>
                              <w:t>Pasture</w:t>
                            </w:r>
                          </w:p>
                        </w:tc>
                        <w:tc>
                          <w:tcPr>
                            <w:tcW w:w="924" w:type="dxa"/>
                            <w:shd w:val="clear" w:color="auto" w:fill="F1F1F1"/>
                          </w:tcPr>
                          <w:p w14:paraId="0E5F8AF2" w14:textId="77777777" w:rsidR="008715BE" w:rsidRDefault="00000000">
                            <w:pPr>
                              <w:pStyle w:val="TableParagraph"/>
                              <w:spacing w:before="8" w:line="142" w:lineRule="exact"/>
                              <w:ind w:left="107"/>
                              <w:rPr>
                                <w:sz w:val="14"/>
                              </w:rPr>
                            </w:pPr>
                            <w:r>
                              <w:rPr>
                                <w:spacing w:val="-5"/>
                                <w:w w:val="125"/>
                                <w:sz w:val="9"/>
                              </w:rPr>
                              <w:t>64</w:t>
                            </w:r>
                          </w:p>
                        </w:tc>
                      </w:tr>
                      <w:tr w:rsidR="008715BE" w14:paraId="4635BB4C" w14:textId="77777777">
                        <w:trPr>
                          <w:trHeight w:val="170"/>
                        </w:trPr>
                        <w:tc>
                          <w:tcPr>
                            <w:tcW w:w="2425" w:type="dxa"/>
                          </w:tcPr>
                          <w:p w14:paraId="09E1F294" w14:textId="77777777" w:rsidR="008715BE" w:rsidRDefault="00000000">
                            <w:pPr>
                              <w:pStyle w:val="TableParagraph"/>
                              <w:spacing w:before="8" w:line="142" w:lineRule="exact"/>
                              <w:ind w:left="107"/>
                              <w:rPr>
                                <w:sz w:val="14"/>
                              </w:rPr>
                            </w:pPr>
                            <w:r>
                              <w:rPr>
                                <w:spacing w:val="-2"/>
                                <w:w w:val="125"/>
                                <w:sz w:val="9"/>
                              </w:rPr>
                              <w:t xml:space="preserve">Irrigation </w:t>
                            </w:r>
                            <w:r>
                              <w:rPr>
                                <w:w w:val="125"/>
                                <w:sz w:val="9"/>
                              </w:rPr>
                              <w:t>canal</w:t>
                            </w:r>
                          </w:p>
                        </w:tc>
                        <w:tc>
                          <w:tcPr>
                            <w:tcW w:w="924" w:type="dxa"/>
                            <w:shd w:val="clear" w:color="auto" w:fill="F1F1F1"/>
                          </w:tcPr>
                          <w:p w14:paraId="3C23D882" w14:textId="77777777" w:rsidR="008715BE" w:rsidRDefault="00000000">
                            <w:pPr>
                              <w:pStyle w:val="TableParagraph"/>
                              <w:spacing w:before="8" w:line="142" w:lineRule="exact"/>
                              <w:ind w:left="107"/>
                              <w:rPr>
                                <w:sz w:val="14"/>
                              </w:rPr>
                            </w:pPr>
                            <w:r>
                              <w:rPr>
                                <w:spacing w:val="-2"/>
                                <w:w w:val="125"/>
                                <w:sz w:val="9"/>
                              </w:rPr>
                              <w:t>11.77</w:t>
                            </w:r>
                          </w:p>
                        </w:tc>
                      </w:tr>
                      <w:tr w:rsidR="008715BE" w14:paraId="07085325" w14:textId="77777777">
                        <w:trPr>
                          <w:trHeight w:val="186"/>
                        </w:trPr>
                        <w:tc>
                          <w:tcPr>
                            <w:tcW w:w="2425" w:type="dxa"/>
                          </w:tcPr>
                          <w:p w14:paraId="165F397D" w14:textId="77777777" w:rsidR="008715BE" w:rsidRDefault="00000000">
                            <w:pPr>
                              <w:pStyle w:val="TableParagraph"/>
                              <w:spacing w:before="17" w:line="149" w:lineRule="exact"/>
                              <w:ind w:left="107"/>
                              <w:rPr>
                                <w:sz w:val="14"/>
                              </w:rPr>
                            </w:pPr>
                            <w:r>
                              <w:rPr>
                                <w:w w:val="125"/>
                                <w:sz w:val="9"/>
                              </w:rPr>
                              <w:t xml:space="preserve">Major traffic </w:t>
                            </w:r>
                            <w:r>
                              <w:rPr>
                                <w:spacing w:val="-2"/>
                                <w:w w:val="125"/>
                                <w:sz w:val="9"/>
                              </w:rPr>
                              <w:t>(DN+Dc)</w:t>
                            </w:r>
                          </w:p>
                        </w:tc>
                        <w:tc>
                          <w:tcPr>
                            <w:tcW w:w="924" w:type="dxa"/>
                            <w:shd w:val="clear" w:color="auto" w:fill="F1F1F1"/>
                          </w:tcPr>
                          <w:p w14:paraId="5E2D32F2" w14:textId="77777777" w:rsidR="008715BE" w:rsidRDefault="00000000">
                            <w:pPr>
                              <w:pStyle w:val="TableParagraph"/>
                              <w:spacing w:before="17" w:line="149" w:lineRule="exact"/>
                              <w:ind w:left="107"/>
                              <w:rPr>
                                <w:sz w:val="14"/>
                              </w:rPr>
                            </w:pPr>
                            <w:r>
                              <w:rPr>
                                <w:spacing w:val="-4"/>
                                <w:w w:val="125"/>
                                <w:sz w:val="9"/>
                              </w:rPr>
                              <w:t>5.2</w:t>
                            </w:r>
                          </w:p>
                        </w:tc>
                      </w:tr>
                      <w:tr w:rsidR="008715BE" w14:paraId="16C80931" w14:textId="77777777">
                        <w:trPr>
                          <w:trHeight w:val="170"/>
                        </w:trPr>
                        <w:tc>
                          <w:tcPr>
                            <w:tcW w:w="2425" w:type="dxa"/>
                          </w:tcPr>
                          <w:p w14:paraId="656A7520" w14:textId="77777777" w:rsidR="008715BE" w:rsidRDefault="00000000">
                            <w:pPr>
                              <w:pStyle w:val="TableParagraph"/>
                              <w:spacing w:before="8" w:line="142" w:lineRule="exact"/>
                              <w:ind w:left="107"/>
                              <w:rPr>
                                <w:sz w:val="14"/>
                              </w:rPr>
                            </w:pPr>
                            <w:r>
                              <w:rPr>
                                <w:w w:val="120"/>
                                <w:sz w:val="9"/>
                              </w:rPr>
                              <w:t xml:space="preserve">Service roads </w:t>
                            </w:r>
                            <w:r>
                              <w:rPr>
                                <w:spacing w:val="-4"/>
                                <w:w w:val="120"/>
                                <w:sz w:val="9"/>
                              </w:rPr>
                              <w:t>(De)</w:t>
                            </w:r>
                          </w:p>
                        </w:tc>
                        <w:tc>
                          <w:tcPr>
                            <w:tcW w:w="924" w:type="dxa"/>
                            <w:shd w:val="clear" w:color="auto" w:fill="F1F1F1"/>
                          </w:tcPr>
                          <w:p w14:paraId="401C3FCA" w14:textId="77777777" w:rsidR="008715BE" w:rsidRDefault="00000000">
                            <w:pPr>
                              <w:pStyle w:val="TableParagraph"/>
                              <w:spacing w:before="8" w:line="142" w:lineRule="exact"/>
                              <w:ind w:left="107"/>
                              <w:rPr>
                                <w:sz w:val="14"/>
                              </w:rPr>
                            </w:pPr>
                            <w:r>
                              <w:rPr>
                                <w:spacing w:val="-2"/>
                                <w:w w:val="125"/>
                                <w:sz w:val="9"/>
                              </w:rPr>
                              <w:t>36.65</w:t>
                            </w:r>
                          </w:p>
                        </w:tc>
                      </w:tr>
                      <w:tr w:rsidR="008715BE" w14:paraId="3D85F192" w14:textId="77777777">
                        <w:trPr>
                          <w:trHeight w:val="177"/>
                        </w:trPr>
                        <w:tc>
                          <w:tcPr>
                            <w:tcW w:w="2425" w:type="dxa"/>
                          </w:tcPr>
                          <w:p w14:paraId="13156A5B" w14:textId="77777777" w:rsidR="008715BE" w:rsidRDefault="00000000">
                            <w:pPr>
                              <w:pStyle w:val="TableParagraph"/>
                              <w:spacing w:before="13" w:line="144" w:lineRule="exact"/>
                              <w:ind w:left="107"/>
                              <w:rPr>
                                <w:sz w:val="14"/>
                              </w:rPr>
                            </w:pPr>
                            <w:r>
                              <w:rPr>
                                <w:spacing w:val="-2"/>
                                <w:w w:val="120"/>
                                <w:sz w:val="9"/>
                              </w:rPr>
                              <w:t xml:space="preserve">Unproductive </w:t>
                            </w:r>
                            <w:r>
                              <w:rPr>
                                <w:w w:val="120"/>
                                <w:sz w:val="9"/>
                              </w:rPr>
                              <w:t>land</w:t>
                            </w:r>
                          </w:p>
                        </w:tc>
                        <w:tc>
                          <w:tcPr>
                            <w:tcW w:w="924" w:type="dxa"/>
                            <w:shd w:val="clear" w:color="auto" w:fill="F1F1F1"/>
                          </w:tcPr>
                          <w:p w14:paraId="379DD876" w14:textId="77777777" w:rsidR="008715BE" w:rsidRDefault="00000000">
                            <w:pPr>
                              <w:pStyle w:val="TableParagraph"/>
                              <w:spacing w:before="13" w:line="144" w:lineRule="exact"/>
                              <w:ind w:left="107"/>
                              <w:rPr>
                                <w:sz w:val="14"/>
                              </w:rPr>
                            </w:pPr>
                            <w:r>
                              <w:rPr>
                                <w:spacing w:val="-4"/>
                                <w:w w:val="125"/>
                                <w:sz w:val="9"/>
                              </w:rPr>
                              <w:t>1.87</w:t>
                            </w:r>
                          </w:p>
                        </w:tc>
                      </w:tr>
                      <w:tr w:rsidR="008715BE" w14:paraId="31505E2D" w14:textId="77777777">
                        <w:trPr>
                          <w:trHeight w:val="170"/>
                        </w:trPr>
                        <w:tc>
                          <w:tcPr>
                            <w:tcW w:w="2425" w:type="dxa"/>
                          </w:tcPr>
                          <w:p w14:paraId="56914B8C" w14:textId="77777777" w:rsidR="008715BE" w:rsidRDefault="00000000">
                            <w:pPr>
                              <w:pStyle w:val="TableParagraph"/>
                              <w:spacing w:before="8" w:line="142" w:lineRule="exact"/>
                              <w:ind w:left="107"/>
                              <w:rPr>
                                <w:sz w:val="14"/>
                              </w:rPr>
                            </w:pPr>
                            <w:r>
                              <w:rPr>
                                <w:spacing w:val="-2"/>
                                <w:w w:val="120"/>
                                <w:sz w:val="9"/>
                              </w:rPr>
                              <w:t xml:space="preserve">Arable </w:t>
                            </w:r>
                            <w:r>
                              <w:rPr>
                                <w:w w:val="120"/>
                                <w:sz w:val="9"/>
                              </w:rPr>
                              <w:t>land</w:t>
                            </w:r>
                          </w:p>
                        </w:tc>
                        <w:tc>
                          <w:tcPr>
                            <w:tcW w:w="924" w:type="dxa"/>
                            <w:shd w:val="clear" w:color="auto" w:fill="F1F1F1"/>
                          </w:tcPr>
                          <w:p w14:paraId="1F0C2E13" w14:textId="77777777" w:rsidR="008715BE" w:rsidRDefault="00000000">
                            <w:pPr>
                              <w:pStyle w:val="TableParagraph"/>
                              <w:spacing w:before="8" w:line="142" w:lineRule="exact"/>
                              <w:ind w:left="107"/>
                              <w:rPr>
                                <w:sz w:val="14"/>
                              </w:rPr>
                            </w:pPr>
                            <w:r>
                              <w:rPr>
                                <w:spacing w:val="-2"/>
                                <w:w w:val="125"/>
                                <w:sz w:val="9"/>
                              </w:rPr>
                              <w:t>2908.2</w:t>
                            </w:r>
                          </w:p>
                        </w:tc>
                      </w:tr>
                      <w:tr w:rsidR="008715BE" w14:paraId="0A258ABA" w14:textId="77777777">
                        <w:trPr>
                          <w:trHeight w:val="172"/>
                        </w:trPr>
                        <w:tc>
                          <w:tcPr>
                            <w:tcW w:w="2425" w:type="dxa"/>
                            <w:shd w:val="clear" w:color="auto" w:fill="009DEF"/>
                          </w:tcPr>
                          <w:p w14:paraId="7339C4ED" w14:textId="77777777" w:rsidR="008715BE" w:rsidRDefault="00000000">
                            <w:pPr>
                              <w:pStyle w:val="TableParagraph"/>
                              <w:spacing w:before="8" w:line="144" w:lineRule="exact"/>
                              <w:ind w:left="107"/>
                              <w:rPr>
                                <w:b/>
                                <w:sz w:val="14"/>
                              </w:rPr>
                            </w:pPr>
                            <w:r>
                              <w:rPr>
                                <w:b/>
                                <w:spacing w:val="-4"/>
                                <w:w w:val="135"/>
                                <w:sz w:val="9"/>
                              </w:rPr>
                              <w:t>Total</w:t>
                            </w:r>
                          </w:p>
                        </w:tc>
                        <w:tc>
                          <w:tcPr>
                            <w:tcW w:w="924" w:type="dxa"/>
                            <w:shd w:val="clear" w:color="auto" w:fill="F1F1F1"/>
                          </w:tcPr>
                          <w:p w14:paraId="0A44BD79" w14:textId="77777777" w:rsidR="008715BE" w:rsidRDefault="00000000">
                            <w:pPr>
                              <w:pStyle w:val="TableParagraph"/>
                              <w:spacing w:before="8" w:line="144" w:lineRule="exact"/>
                              <w:ind w:left="107"/>
                              <w:rPr>
                                <w:b/>
                                <w:sz w:val="14"/>
                              </w:rPr>
                            </w:pPr>
                            <w:r>
                              <w:rPr>
                                <w:b/>
                                <w:color w:val="009DEF"/>
                                <w:spacing w:val="-2"/>
                                <w:w w:val="140"/>
                                <w:sz w:val="9"/>
                              </w:rPr>
                              <w:t>3027.77</w:t>
                            </w:r>
                          </w:p>
                        </w:tc>
                      </w:tr>
                    </w:tbl>
                    <w:p w14:paraId="5D47A4C9" w14:textId="77777777" w:rsidR="008715BE" w:rsidRDefault="008715BE">
                      <w:pPr>
                        <w:pStyle w:val="BodyText"/>
                      </w:pPr>
                    </w:p>
                  </w:txbxContent>
                </v:textbox>
                <w10:wrap type="topAndBottom" anchorx="page"/>
              </v:shape>
            </w:pict>
          </mc:Fallback>
        </mc:AlternateContent>
      </w:r>
    </w:p>
    <w:p w14:paraId="27052BF6" w14:textId="77777777" w:rsidR="008715BE" w:rsidRPr="00EC75B7" w:rsidRDefault="008715BE">
      <w:pPr>
        <w:pStyle w:val="BodyText"/>
        <w:rPr>
          <w:rFonts w:ascii="Verdana" w:hAnsi="Verdana"/>
        </w:rPr>
      </w:pPr>
    </w:p>
    <w:p w14:paraId="0C744CD8" w14:textId="77777777" w:rsidR="008715BE" w:rsidRPr="00EC75B7" w:rsidRDefault="008715BE">
      <w:pPr>
        <w:pStyle w:val="BodyText"/>
        <w:spacing w:before="147"/>
        <w:rPr>
          <w:rFonts w:ascii="Verdana" w:hAnsi="Verdana"/>
        </w:rPr>
      </w:pPr>
    </w:p>
    <w:p w14:paraId="64B4B117" w14:textId="77777777" w:rsidR="008715BE" w:rsidRPr="00EC75B7" w:rsidRDefault="00000000">
      <w:pPr>
        <w:spacing w:before="1"/>
        <w:ind w:right="368"/>
        <w:jc w:val="center"/>
        <w:rPr>
          <w:rFonts w:ascii="Verdana" w:hAnsi="Verdana"/>
          <w:b/>
          <w:sz w:val="18"/>
          <w:szCs w:val="18"/>
        </w:rPr>
      </w:pPr>
      <w:r w:rsidRPr="00EC75B7">
        <w:rPr>
          <w:rFonts w:ascii="Verdana" w:hAnsi="Verdana"/>
          <w:b/>
          <w:color w:val="009DEF"/>
          <w:sz w:val="18"/>
          <w:szCs w:val="18"/>
        </w:rPr>
        <w:t>Figure no.</w:t>
      </w:r>
      <w:r w:rsidRPr="00EC75B7">
        <w:rPr>
          <w:rFonts w:ascii="Verdana" w:hAnsi="Verdana"/>
          <w:b/>
          <w:color w:val="00AFEF"/>
          <w:sz w:val="18"/>
          <w:szCs w:val="18"/>
        </w:rPr>
        <w:t xml:space="preserve"> 36 </w:t>
      </w:r>
      <w:r w:rsidRPr="00EC75B7">
        <w:rPr>
          <w:rFonts w:ascii="Verdana" w:hAnsi="Verdana"/>
          <w:b/>
          <w:color w:val="009DEF"/>
          <w:spacing w:val="-2"/>
          <w:sz w:val="18"/>
          <w:szCs w:val="18"/>
        </w:rPr>
        <w:t xml:space="preserve">Land </w:t>
      </w:r>
      <w:r w:rsidRPr="00EC75B7">
        <w:rPr>
          <w:rFonts w:ascii="Verdana" w:hAnsi="Verdana"/>
          <w:b/>
          <w:color w:val="009DEF"/>
          <w:sz w:val="18"/>
          <w:szCs w:val="18"/>
        </w:rPr>
        <w:t>use categories</w:t>
      </w:r>
    </w:p>
    <w:p w14:paraId="02FAA929" w14:textId="77777777" w:rsidR="008715BE" w:rsidRPr="00EC75B7" w:rsidRDefault="00000000">
      <w:pPr>
        <w:pStyle w:val="BodyText"/>
        <w:spacing w:before="100"/>
        <w:ind w:left="57"/>
        <w:rPr>
          <w:rFonts w:ascii="Verdana" w:hAnsi="Verdana"/>
        </w:rPr>
      </w:pPr>
      <w:r w:rsidRPr="00EC75B7">
        <w:rPr>
          <w:rFonts w:ascii="Verdana" w:hAnsi="Verdana"/>
        </w:rPr>
        <w:t xml:space="preserve">The energy park will lead to the permanent removal of approximately 30 </w:t>
      </w:r>
      <w:r w:rsidRPr="00EC75B7">
        <w:rPr>
          <w:rFonts w:ascii="Verdana" w:hAnsi="Verdana"/>
          <w:spacing w:val="-5"/>
        </w:rPr>
        <w:t xml:space="preserve">ha </w:t>
      </w:r>
      <w:r w:rsidRPr="00EC75B7">
        <w:rPr>
          <w:rFonts w:ascii="Verdana" w:hAnsi="Verdana"/>
        </w:rPr>
        <w:t>of land from agricultural use</w:t>
      </w:r>
      <w:r w:rsidRPr="00EC75B7">
        <w:rPr>
          <w:rFonts w:ascii="Verdana" w:hAnsi="Verdana"/>
          <w:spacing w:val="-5"/>
        </w:rPr>
        <w:t>.</w:t>
      </w:r>
    </w:p>
    <w:p w14:paraId="6538294A" w14:textId="77777777" w:rsidR="008715BE" w:rsidRPr="00EC75B7" w:rsidRDefault="008715BE">
      <w:pPr>
        <w:pStyle w:val="BodyText"/>
        <w:spacing w:before="9"/>
        <w:rPr>
          <w:rFonts w:ascii="Verdana" w:hAnsi="Verdana"/>
        </w:rPr>
      </w:pPr>
    </w:p>
    <w:p w14:paraId="3694D9D9" w14:textId="77777777" w:rsidR="008715BE" w:rsidRPr="00EC75B7" w:rsidRDefault="00000000">
      <w:pPr>
        <w:pStyle w:val="BodyText"/>
        <w:spacing w:before="1" w:line="357" w:lineRule="auto"/>
        <w:ind w:left="57" w:right="431"/>
        <w:jc w:val="both"/>
        <w:rPr>
          <w:rFonts w:ascii="Verdana" w:hAnsi="Verdana"/>
        </w:rPr>
      </w:pPr>
      <w:r w:rsidRPr="00EC75B7">
        <w:rPr>
          <w:rFonts w:ascii="Verdana" w:hAnsi="Verdana"/>
        </w:rPr>
        <w:t>For the areas occupied by the component storage platforms and crane assembly, a request will be made for the temporary removal of the relevant areas from agricultural use.</w:t>
      </w:r>
    </w:p>
    <w:p w14:paraId="07761BC6" w14:textId="77777777" w:rsidR="008715BE" w:rsidRPr="00EC75B7" w:rsidRDefault="00000000">
      <w:pPr>
        <w:pStyle w:val="BodyText"/>
        <w:spacing w:before="120" w:line="357" w:lineRule="auto"/>
        <w:ind w:left="57" w:right="432"/>
        <w:jc w:val="both"/>
        <w:rPr>
          <w:rFonts w:ascii="Verdana" w:hAnsi="Verdana"/>
        </w:rPr>
      </w:pPr>
      <w:r w:rsidRPr="00EC75B7">
        <w:rPr>
          <w:rFonts w:ascii="Verdana" w:hAnsi="Verdana"/>
        </w:rPr>
        <w:t>The quality classes and fertility ratings of agricultural land are closely linked to the assessment of soil fertility and productivity. Thus, agricultural land is grouped into five quality classes, differentiated by average fertility rating (class I: 81-100 points, class V: 1-20 points).</w:t>
      </w:r>
    </w:p>
    <w:p w14:paraId="59142869" w14:textId="77777777" w:rsidR="008715BE" w:rsidRPr="00EC75B7" w:rsidRDefault="00000000">
      <w:pPr>
        <w:spacing w:before="122" w:line="360" w:lineRule="auto"/>
        <w:ind w:left="57" w:right="426"/>
        <w:jc w:val="both"/>
        <w:rPr>
          <w:rFonts w:ascii="Verdana" w:hAnsi="Verdana"/>
          <w:b/>
          <w:sz w:val="18"/>
          <w:szCs w:val="18"/>
        </w:rPr>
      </w:pPr>
      <w:r w:rsidRPr="00EC75B7">
        <w:rPr>
          <w:rFonts w:ascii="Verdana" w:hAnsi="Verdana"/>
          <w:b/>
          <w:sz w:val="18"/>
          <w:szCs w:val="18"/>
        </w:rPr>
        <w:t>The land on which the investments are to be developed outside the built-up area of the municipality of Cerchezu is classified as class III quality (on a scale from I to V), i.e. moderately fertile soil, moderately affected by degradation.</w:t>
      </w:r>
    </w:p>
    <w:p w14:paraId="6FB2537B" w14:textId="77777777" w:rsidR="008715BE" w:rsidRPr="00EC75B7" w:rsidRDefault="008715BE">
      <w:pPr>
        <w:pStyle w:val="BodyText"/>
        <w:spacing w:before="134"/>
        <w:rPr>
          <w:rFonts w:ascii="Verdana" w:hAnsi="Verdana"/>
          <w:b/>
        </w:rPr>
      </w:pPr>
    </w:p>
    <w:p w14:paraId="27399BF5" w14:textId="77777777" w:rsidR="008715BE" w:rsidRPr="00EC75B7" w:rsidRDefault="00000000">
      <w:pPr>
        <w:pStyle w:val="Heading2"/>
        <w:numPr>
          <w:ilvl w:val="1"/>
          <w:numId w:val="110"/>
        </w:numPr>
        <w:tabs>
          <w:tab w:val="left" w:pos="832"/>
        </w:tabs>
        <w:ind w:left="832" w:hanging="720"/>
        <w:jc w:val="left"/>
        <w:rPr>
          <w:rFonts w:ascii="Verdana" w:hAnsi="Verdana"/>
          <w:color w:val="00AFEF"/>
          <w:sz w:val="18"/>
          <w:szCs w:val="18"/>
        </w:rPr>
      </w:pPr>
      <w:bookmarkStart w:id="48" w:name="_bookmark49"/>
      <w:bookmarkEnd w:id="48"/>
      <w:r w:rsidRPr="00EC75B7">
        <w:rPr>
          <w:rFonts w:ascii="Verdana" w:hAnsi="Verdana"/>
          <w:color w:val="00AFEF"/>
          <w:spacing w:val="-5"/>
          <w:sz w:val="18"/>
          <w:szCs w:val="18"/>
        </w:rPr>
        <w:lastRenderedPageBreak/>
        <w:t xml:space="preserve">Water/Water </w:t>
      </w:r>
      <w:r w:rsidRPr="00EC75B7">
        <w:rPr>
          <w:rFonts w:ascii="Verdana" w:hAnsi="Verdana"/>
          <w:color w:val="00AFEF"/>
          <w:sz w:val="18"/>
          <w:szCs w:val="18"/>
        </w:rPr>
        <w:t>bodies</w:t>
      </w:r>
    </w:p>
    <w:p w14:paraId="6820CCA9" w14:textId="77777777" w:rsidR="008715BE" w:rsidRPr="00EC75B7" w:rsidRDefault="008715BE">
      <w:pPr>
        <w:pStyle w:val="BodyText"/>
        <w:spacing w:before="104"/>
        <w:rPr>
          <w:rFonts w:ascii="Verdana" w:hAnsi="Verdana"/>
          <w:b/>
        </w:rPr>
      </w:pPr>
    </w:p>
    <w:p w14:paraId="4D58543F" w14:textId="77777777" w:rsidR="008715BE" w:rsidRPr="00EC75B7" w:rsidRDefault="00000000">
      <w:pPr>
        <w:pStyle w:val="Heading3"/>
        <w:numPr>
          <w:ilvl w:val="2"/>
          <w:numId w:val="110"/>
        </w:numPr>
        <w:tabs>
          <w:tab w:val="left" w:pos="1768"/>
        </w:tabs>
        <w:ind w:left="1768" w:hanging="717"/>
        <w:rPr>
          <w:rFonts w:ascii="Verdana" w:hAnsi="Verdana"/>
          <w:color w:val="00AFEF"/>
          <w:sz w:val="18"/>
          <w:szCs w:val="18"/>
        </w:rPr>
      </w:pPr>
      <w:bookmarkStart w:id="49" w:name="_bookmark50"/>
      <w:bookmarkEnd w:id="49"/>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50A4E175" w14:textId="77777777" w:rsidR="008715BE" w:rsidRPr="00EC75B7" w:rsidRDefault="008715BE">
      <w:pPr>
        <w:pStyle w:val="BodyText"/>
        <w:spacing w:before="114"/>
        <w:rPr>
          <w:rFonts w:ascii="Verdana" w:hAnsi="Verdana"/>
          <w:b/>
        </w:rPr>
      </w:pPr>
    </w:p>
    <w:p w14:paraId="606A26E9" w14:textId="77777777" w:rsidR="008715BE" w:rsidRPr="00EC75B7" w:rsidRDefault="00000000">
      <w:pPr>
        <w:pStyle w:val="BodyText"/>
        <w:spacing w:line="357" w:lineRule="auto"/>
        <w:ind w:left="86" w:right="423"/>
        <w:jc w:val="both"/>
        <w:rPr>
          <w:rFonts w:ascii="Verdana" w:hAnsi="Verdana"/>
        </w:rPr>
      </w:pPr>
      <w:r w:rsidRPr="00EC75B7">
        <w:rPr>
          <w:rFonts w:ascii="Verdana" w:hAnsi="Verdana"/>
        </w:rPr>
        <w:t>The study area for assessing the water environmental factor was defined to include the project site and its area of direct and indirect influence, taking into account the type and extent of the proposed works, as well as potential interactions with surface or groundwater bodies and watercourses in the project area.</w:t>
      </w:r>
    </w:p>
    <w:p w14:paraId="63639794" w14:textId="77777777" w:rsidR="008715BE" w:rsidRPr="00EC75B7" w:rsidRDefault="00000000">
      <w:pPr>
        <w:pStyle w:val="BodyText"/>
        <w:spacing w:before="121" w:line="360" w:lineRule="auto"/>
        <w:ind w:left="57" w:right="432"/>
        <w:jc w:val="both"/>
        <w:rPr>
          <w:rFonts w:ascii="Verdana" w:hAnsi="Verdana"/>
        </w:rPr>
      </w:pPr>
      <w:r w:rsidRPr="00EC75B7">
        <w:rPr>
          <w:rFonts w:ascii="Verdana" w:hAnsi="Verdana"/>
        </w:rPr>
        <w:t>For the water environmental factor, the study area includes the area occupied by permanent and temporary works, as well as a proximity area around the site where indirect effects could occur (e.g., dust emissions, waste, chemicals/oils/lubricants/etc.).</w:t>
      </w:r>
    </w:p>
    <w:p w14:paraId="7EBAE7EC" w14:textId="77777777" w:rsidR="008715BE" w:rsidRPr="00EC75B7" w:rsidRDefault="00000000">
      <w:pPr>
        <w:pStyle w:val="BodyText"/>
        <w:spacing w:before="118" w:line="357" w:lineRule="auto"/>
        <w:ind w:left="57" w:right="422"/>
        <w:jc w:val="both"/>
        <w:rPr>
          <w:rFonts w:ascii="Verdana" w:hAnsi="Verdana"/>
        </w:rPr>
      </w:pPr>
      <w:r w:rsidRPr="00EC75B7">
        <w:rPr>
          <w:rFonts w:ascii="Verdana" w:hAnsi="Verdana"/>
        </w:rPr>
        <w:t>The study area was defined based on information available from official databases on surface and groundwater bodies, existing technical documentation, and local characteristics of the territory, ensuring a proportional and adequate assessment of the potential risks associated with the project.</w:t>
      </w:r>
    </w:p>
    <w:p w14:paraId="63603CCC" w14:textId="77777777" w:rsidR="008715BE" w:rsidRPr="00EC75B7" w:rsidRDefault="008715BE">
      <w:pPr>
        <w:pStyle w:val="BodyText"/>
        <w:spacing w:before="24"/>
        <w:rPr>
          <w:rFonts w:ascii="Verdana" w:hAnsi="Verdana"/>
        </w:rPr>
      </w:pPr>
    </w:p>
    <w:p w14:paraId="7E0945E2" w14:textId="77777777" w:rsidR="008715BE" w:rsidRPr="00EC75B7" w:rsidRDefault="00000000">
      <w:pPr>
        <w:pStyle w:val="Heading3"/>
        <w:numPr>
          <w:ilvl w:val="2"/>
          <w:numId w:val="110"/>
        </w:numPr>
        <w:tabs>
          <w:tab w:val="left" w:pos="1768"/>
        </w:tabs>
        <w:spacing w:before="1"/>
        <w:ind w:left="1768" w:hanging="717"/>
        <w:rPr>
          <w:rFonts w:ascii="Verdana" w:hAnsi="Verdana"/>
          <w:color w:val="00AFEF"/>
          <w:sz w:val="18"/>
          <w:szCs w:val="18"/>
        </w:rPr>
      </w:pPr>
      <w:bookmarkStart w:id="50" w:name="_bookmark51"/>
      <w:bookmarkEnd w:id="50"/>
      <w:r w:rsidRPr="00EC75B7">
        <w:rPr>
          <w:rFonts w:ascii="Verdana" w:hAnsi="Verdana"/>
          <w:color w:val="00AFEF"/>
          <w:spacing w:val="-2"/>
          <w:sz w:val="18"/>
          <w:szCs w:val="18"/>
        </w:rPr>
        <w:t xml:space="preserve">Surface </w:t>
      </w:r>
      <w:r w:rsidRPr="00EC75B7">
        <w:rPr>
          <w:rFonts w:ascii="Verdana" w:hAnsi="Verdana"/>
          <w:color w:val="00AFEF"/>
          <w:sz w:val="18"/>
          <w:szCs w:val="18"/>
        </w:rPr>
        <w:t>water</w:t>
      </w:r>
    </w:p>
    <w:p w14:paraId="44CADEE5" w14:textId="77777777" w:rsidR="008715BE" w:rsidRPr="00EC75B7" w:rsidRDefault="008715BE">
      <w:pPr>
        <w:pStyle w:val="BodyText"/>
        <w:spacing w:before="113"/>
        <w:rPr>
          <w:rFonts w:ascii="Verdana" w:hAnsi="Verdana"/>
          <w:b/>
        </w:rPr>
      </w:pPr>
    </w:p>
    <w:p w14:paraId="35D5D155" w14:textId="77777777" w:rsidR="008715BE" w:rsidRPr="00EC75B7" w:rsidRDefault="00000000">
      <w:pPr>
        <w:pStyle w:val="BodyText"/>
        <w:spacing w:line="357" w:lineRule="auto"/>
        <w:ind w:left="57" w:right="421"/>
        <w:jc w:val="both"/>
        <w:rPr>
          <w:rFonts w:ascii="Verdana" w:hAnsi="Verdana"/>
          <w:b/>
        </w:rPr>
      </w:pPr>
      <w:r w:rsidRPr="00EC75B7">
        <w:rPr>
          <w:rFonts w:ascii="Verdana" w:hAnsi="Verdana"/>
        </w:rPr>
        <w:t>From a hydrographic point of view, the project site is located in the Danube-Litoral Hydrographic Basin. The closest surface water bodies identified in the studied area on Romanian territory are located at distances greater than 28 km (Mangalia - code ROCT01_B2, at a distance of approx. 29 km, east of the site boundary, Eforie Nord-Vama Veche</w:t>
      </w:r>
      <w:r w:rsidRPr="00EC75B7">
        <w:rPr>
          <w:rFonts w:ascii="Verdana" w:hAnsi="Verdana"/>
          <w:spacing w:val="-1"/>
        </w:rPr>
        <w:t xml:space="preserve"> </w:t>
      </w:r>
      <w:r w:rsidRPr="00EC75B7">
        <w:rPr>
          <w:rFonts w:ascii="Verdana" w:hAnsi="Verdana"/>
        </w:rPr>
        <w:t xml:space="preserve">- ROCT02_B2, northeast of the site boundary, at a distance of approx. 35 km, there is also Lake Tatlageac - ROLW15-1_B9, and Lake Techirghiol dulce - </w:t>
      </w:r>
      <w:r w:rsidRPr="00EC75B7">
        <w:rPr>
          <w:rFonts w:ascii="Verdana" w:hAnsi="Verdana"/>
          <w:spacing w:val="-2"/>
        </w:rPr>
        <w:t>ROLW15.1_B1)</w:t>
      </w:r>
      <w:r w:rsidRPr="00EC75B7">
        <w:rPr>
          <w:rFonts w:ascii="Verdana" w:hAnsi="Verdana"/>
          <w:b/>
          <w:spacing w:val="-2"/>
        </w:rPr>
        <w:t>.</w:t>
      </w:r>
    </w:p>
    <w:p w14:paraId="66CC710F" w14:textId="77777777" w:rsidR="008715BE" w:rsidRPr="00EC75B7" w:rsidRDefault="00000000">
      <w:pPr>
        <w:pStyle w:val="BodyText"/>
        <w:spacing w:before="125"/>
        <w:ind w:left="57"/>
        <w:jc w:val="both"/>
        <w:rPr>
          <w:rFonts w:ascii="Verdana" w:hAnsi="Verdana"/>
        </w:rPr>
      </w:pPr>
      <w:r w:rsidRPr="00EC75B7">
        <w:rPr>
          <w:rFonts w:ascii="Verdana" w:hAnsi="Verdana"/>
        </w:rPr>
        <w:t xml:space="preserve">The project elements do not intersect any </w:t>
      </w:r>
      <w:r w:rsidRPr="00EC75B7">
        <w:rPr>
          <w:rFonts w:ascii="Verdana" w:hAnsi="Verdana"/>
          <w:spacing w:val="-2"/>
        </w:rPr>
        <w:t xml:space="preserve">surface </w:t>
      </w:r>
      <w:r w:rsidRPr="00EC75B7">
        <w:rPr>
          <w:rFonts w:ascii="Verdana" w:hAnsi="Verdana"/>
        </w:rPr>
        <w:t>water bodies</w:t>
      </w:r>
      <w:r w:rsidRPr="00EC75B7">
        <w:rPr>
          <w:rFonts w:ascii="Verdana" w:hAnsi="Verdana"/>
          <w:spacing w:val="-2"/>
        </w:rPr>
        <w:t>.</w:t>
      </w:r>
    </w:p>
    <w:p w14:paraId="4C1A3BB8" w14:textId="77777777" w:rsidR="008715BE" w:rsidRPr="00EC75B7" w:rsidRDefault="008715BE">
      <w:pPr>
        <w:pStyle w:val="BodyText"/>
        <w:spacing w:before="9"/>
        <w:rPr>
          <w:rFonts w:ascii="Verdana" w:hAnsi="Verdana"/>
        </w:rPr>
      </w:pPr>
    </w:p>
    <w:p w14:paraId="2571D192" w14:textId="77777777" w:rsidR="008715BE" w:rsidRPr="00EC75B7" w:rsidRDefault="00000000">
      <w:pPr>
        <w:pStyle w:val="BodyText"/>
        <w:spacing w:line="357" w:lineRule="auto"/>
        <w:ind w:left="57" w:right="426"/>
        <w:jc w:val="both"/>
        <w:rPr>
          <w:rFonts w:ascii="Verdana" w:hAnsi="Verdana"/>
        </w:rPr>
      </w:pPr>
      <w:r w:rsidRPr="00EC75B7">
        <w:rPr>
          <w:rFonts w:ascii="Verdana" w:hAnsi="Verdana"/>
        </w:rPr>
        <w:t>The following table shows the ecological status and chemical status of surface water bodies in the wind farm location area, based on data provided by the updated Management Plan for the Danube River, Danube Delta, Dobrogea Hydrographic Area, and Coastal Waters (2022-2027):</w:t>
      </w:r>
    </w:p>
    <w:p w14:paraId="1A818BB5" w14:textId="77777777" w:rsidR="008715BE" w:rsidRPr="00EC75B7" w:rsidRDefault="00000000">
      <w:pPr>
        <w:spacing w:before="172"/>
        <w:ind w:left="57"/>
        <w:jc w:val="both"/>
        <w:rPr>
          <w:rFonts w:ascii="Verdana" w:hAnsi="Verdana"/>
          <w:b/>
          <w:sz w:val="18"/>
          <w:szCs w:val="18"/>
        </w:rPr>
      </w:pPr>
      <w:r w:rsidRPr="00EC75B7">
        <w:rPr>
          <w:rFonts w:ascii="Verdana" w:hAnsi="Verdana"/>
          <w:b/>
          <w:color w:val="00AFEF"/>
          <w:sz w:val="18"/>
          <w:szCs w:val="18"/>
        </w:rPr>
        <w:t xml:space="preserve">Table 16 </w:t>
      </w:r>
      <w:r w:rsidRPr="00EC75B7">
        <w:rPr>
          <w:rFonts w:ascii="Verdana" w:hAnsi="Verdana"/>
          <w:b/>
          <w:color w:val="009DEF"/>
          <w:sz w:val="18"/>
          <w:szCs w:val="18"/>
        </w:rPr>
        <w:t xml:space="preserve">Ecological status of surface water bodies in the </w:t>
      </w:r>
      <w:r w:rsidRPr="00EC75B7">
        <w:rPr>
          <w:rFonts w:ascii="Verdana" w:hAnsi="Verdana"/>
          <w:b/>
          <w:color w:val="009DEF"/>
          <w:spacing w:val="-2"/>
          <w:sz w:val="18"/>
          <w:szCs w:val="18"/>
        </w:rPr>
        <w:t xml:space="preserve">site </w:t>
      </w:r>
      <w:r w:rsidRPr="00EC75B7">
        <w:rPr>
          <w:rFonts w:ascii="Verdana" w:hAnsi="Verdana"/>
          <w:b/>
          <w:color w:val="009DEF"/>
          <w:sz w:val="18"/>
          <w:szCs w:val="18"/>
        </w:rPr>
        <w:t>area</w:t>
      </w:r>
    </w:p>
    <w:tbl>
      <w:tblPr>
        <w:tblStyle w:val="TableNormal1"/>
        <w:tblW w:w="0" w:type="auto"/>
        <w:tblInd w:w="6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2127"/>
        <w:gridCol w:w="1278"/>
        <w:gridCol w:w="1275"/>
        <w:gridCol w:w="1703"/>
        <w:gridCol w:w="853"/>
        <w:gridCol w:w="1276"/>
        <w:gridCol w:w="851"/>
      </w:tblGrid>
      <w:tr w:rsidR="008715BE" w:rsidRPr="00EC75B7" w14:paraId="79D2DF1D" w14:textId="77777777">
        <w:trPr>
          <w:trHeight w:val="777"/>
        </w:trPr>
        <w:tc>
          <w:tcPr>
            <w:tcW w:w="2127" w:type="dxa"/>
            <w:tcBorders>
              <w:top w:val="dotted" w:sz="4" w:space="0" w:color="A6A6A6"/>
              <w:left w:val="dotted" w:sz="4" w:space="0" w:color="A6A6A6"/>
              <w:bottom w:val="dotted" w:sz="4" w:space="0" w:color="A6A6A6"/>
              <w:right w:val="dotted" w:sz="4" w:space="0" w:color="A6A6A6"/>
            </w:tcBorders>
            <w:shd w:val="clear" w:color="auto" w:fill="00AFEF"/>
          </w:tcPr>
          <w:p w14:paraId="76D96509" w14:textId="77777777" w:rsidR="008715BE" w:rsidRPr="00EC75B7" w:rsidRDefault="008715BE">
            <w:pPr>
              <w:pStyle w:val="TableParagraph"/>
              <w:spacing w:before="96"/>
              <w:rPr>
                <w:rFonts w:ascii="Verdana" w:hAnsi="Verdana"/>
                <w:b/>
                <w:sz w:val="18"/>
                <w:szCs w:val="18"/>
              </w:rPr>
            </w:pPr>
          </w:p>
          <w:p w14:paraId="0D05F2A6" w14:textId="77777777" w:rsidR="008715BE" w:rsidRPr="00EC75B7" w:rsidRDefault="00000000">
            <w:pPr>
              <w:pStyle w:val="TableParagraph"/>
              <w:ind w:left="209"/>
              <w:rPr>
                <w:rFonts w:ascii="Verdana" w:hAnsi="Verdana"/>
                <w:b/>
                <w:sz w:val="18"/>
                <w:szCs w:val="18"/>
              </w:rPr>
            </w:pPr>
            <w:r w:rsidRPr="00EC75B7">
              <w:rPr>
                <w:rFonts w:ascii="Verdana" w:hAnsi="Verdana"/>
                <w:b/>
                <w:color w:val="FFFFFF"/>
                <w:spacing w:val="-5"/>
                <w:sz w:val="18"/>
                <w:szCs w:val="18"/>
              </w:rPr>
              <w:t xml:space="preserve">Water </w:t>
            </w:r>
            <w:r w:rsidRPr="00EC75B7">
              <w:rPr>
                <w:rFonts w:ascii="Verdana" w:hAnsi="Verdana"/>
                <w:b/>
                <w:color w:val="FFFFFF"/>
                <w:sz w:val="18"/>
                <w:szCs w:val="18"/>
              </w:rPr>
              <w:t>body name</w:t>
            </w:r>
          </w:p>
        </w:tc>
        <w:tc>
          <w:tcPr>
            <w:tcW w:w="1278" w:type="dxa"/>
            <w:tcBorders>
              <w:top w:val="dotted" w:sz="4" w:space="0" w:color="A6A6A6"/>
              <w:left w:val="dotted" w:sz="4" w:space="0" w:color="A6A6A6"/>
              <w:bottom w:val="dotted" w:sz="4" w:space="0" w:color="A6A6A6"/>
              <w:right w:val="dotted" w:sz="4" w:space="0" w:color="A6A6A6"/>
            </w:tcBorders>
            <w:shd w:val="clear" w:color="auto" w:fill="00AFEF"/>
          </w:tcPr>
          <w:p w14:paraId="383A7ED5" w14:textId="77777777" w:rsidR="008715BE" w:rsidRPr="00EC75B7" w:rsidRDefault="00000000">
            <w:pPr>
              <w:pStyle w:val="TableParagraph"/>
              <w:spacing w:before="97"/>
              <w:ind w:left="133" w:right="125" w:firstLine="3"/>
              <w:jc w:val="center"/>
              <w:rPr>
                <w:rFonts w:ascii="Verdana" w:hAnsi="Verdana"/>
                <w:b/>
                <w:sz w:val="18"/>
                <w:szCs w:val="18"/>
              </w:rPr>
            </w:pPr>
            <w:r w:rsidRPr="00EC75B7">
              <w:rPr>
                <w:rFonts w:ascii="Verdana" w:hAnsi="Verdana"/>
                <w:b/>
                <w:color w:val="FFFFFF"/>
                <w:spacing w:val="-4"/>
                <w:sz w:val="18"/>
                <w:szCs w:val="18"/>
              </w:rPr>
              <w:t xml:space="preserve">Water </w:t>
            </w:r>
            <w:r w:rsidRPr="00EC75B7">
              <w:rPr>
                <w:rFonts w:ascii="Verdana" w:hAnsi="Verdana"/>
                <w:b/>
                <w:color w:val="FFFFFF"/>
                <w:sz w:val="18"/>
                <w:szCs w:val="18"/>
              </w:rPr>
              <w:t>body</w:t>
            </w:r>
            <w:r w:rsidRPr="00EC75B7">
              <w:rPr>
                <w:rFonts w:ascii="Verdana" w:hAnsi="Verdana"/>
                <w:b/>
                <w:color w:val="FFFFFF"/>
                <w:spacing w:val="-2"/>
                <w:sz w:val="18"/>
                <w:szCs w:val="18"/>
              </w:rPr>
              <w:t xml:space="preserve"> category</w:t>
            </w:r>
          </w:p>
        </w:tc>
        <w:tc>
          <w:tcPr>
            <w:tcW w:w="1275" w:type="dxa"/>
            <w:tcBorders>
              <w:top w:val="dotted" w:sz="4" w:space="0" w:color="A6A6A6"/>
              <w:left w:val="dotted" w:sz="4" w:space="0" w:color="A6A6A6"/>
              <w:bottom w:val="dotted" w:sz="4" w:space="0" w:color="A6A6A6"/>
              <w:right w:val="dotted" w:sz="4" w:space="0" w:color="A6A6A6"/>
            </w:tcBorders>
            <w:shd w:val="clear" w:color="auto" w:fill="00AFEF"/>
          </w:tcPr>
          <w:p w14:paraId="37207185" w14:textId="77777777" w:rsidR="008715BE" w:rsidRPr="00EC75B7" w:rsidRDefault="00000000">
            <w:pPr>
              <w:pStyle w:val="TableParagraph"/>
              <w:ind w:left="11" w:right="1"/>
              <w:jc w:val="center"/>
              <w:rPr>
                <w:rFonts w:ascii="Verdana" w:hAnsi="Verdana"/>
                <w:b/>
                <w:sz w:val="18"/>
                <w:szCs w:val="18"/>
              </w:rPr>
            </w:pPr>
            <w:r w:rsidRPr="00EC75B7">
              <w:rPr>
                <w:rFonts w:ascii="Verdana" w:hAnsi="Verdana"/>
                <w:b/>
                <w:color w:val="FFFFFF"/>
                <w:spacing w:val="-4"/>
                <w:sz w:val="18"/>
                <w:szCs w:val="18"/>
              </w:rPr>
              <w:t xml:space="preserve">Water </w:t>
            </w:r>
            <w:r w:rsidRPr="00EC75B7">
              <w:rPr>
                <w:rFonts w:ascii="Verdana" w:hAnsi="Verdana"/>
                <w:b/>
                <w:color w:val="FFFFFF"/>
                <w:sz w:val="18"/>
                <w:szCs w:val="18"/>
              </w:rPr>
              <w:t>body</w:t>
            </w:r>
            <w:r w:rsidRPr="00EC75B7">
              <w:rPr>
                <w:rFonts w:ascii="Verdana" w:hAnsi="Verdana"/>
                <w:b/>
                <w:color w:val="FFFFFF"/>
                <w:spacing w:val="-2"/>
                <w:sz w:val="18"/>
                <w:szCs w:val="18"/>
              </w:rPr>
              <w:t xml:space="preserve"> type</w:t>
            </w:r>
          </w:p>
        </w:tc>
        <w:tc>
          <w:tcPr>
            <w:tcW w:w="1703" w:type="dxa"/>
            <w:tcBorders>
              <w:top w:val="dotted" w:sz="4" w:space="0" w:color="A6A6A6"/>
              <w:left w:val="dotted" w:sz="4" w:space="0" w:color="A6A6A6"/>
              <w:bottom w:val="dotted" w:sz="4" w:space="0" w:color="A6A6A6"/>
              <w:right w:val="dotted" w:sz="4" w:space="0" w:color="A6A6A6"/>
            </w:tcBorders>
            <w:shd w:val="clear" w:color="auto" w:fill="00AFEF"/>
          </w:tcPr>
          <w:p w14:paraId="72AFC15F" w14:textId="77777777" w:rsidR="008715BE" w:rsidRPr="00EC75B7" w:rsidRDefault="00000000">
            <w:pPr>
              <w:pStyle w:val="TableParagraph"/>
              <w:spacing w:before="97"/>
              <w:ind w:left="411" w:right="25" w:hanging="212"/>
              <w:rPr>
                <w:rFonts w:ascii="Verdana" w:hAnsi="Verdana"/>
                <w:b/>
                <w:sz w:val="18"/>
                <w:szCs w:val="18"/>
              </w:rPr>
            </w:pPr>
            <w:r w:rsidRPr="00EC75B7">
              <w:rPr>
                <w:rFonts w:ascii="Verdana" w:hAnsi="Verdana"/>
                <w:b/>
                <w:color w:val="FFFFFF"/>
                <w:spacing w:val="-2"/>
                <w:sz w:val="18"/>
                <w:szCs w:val="18"/>
              </w:rPr>
              <w:t xml:space="preserve">Surface </w:t>
            </w:r>
            <w:r w:rsidRPr="00EC75B7">
              <w:rPr>
                <w:rFonts w:ascii="Verdana" w:hAnsi="Verdana"/>
                <w:b/>
                <w:color w:val="FFFFFF"/>
                <w:sz w:val="18"/>
                <w:szCs w:val="18"/>
              </w:rPr>
              <w:t>water</w:t>
            </w:r>
            <w:r w:rsidRPr="00EC75B7">
              <w:rPr>
                <w:rFonts w:ascii="Verdana" w:hAnsi="Verdana"/>
                <w:b/>
                <w:color w:val="FFFFFF"/>
                <w:spacing w:val="-2"/>
                <w:sz w:val="18"/>
                <w:szCs w:val="18"/>
              </w:rPr>
              <w:t xml:space="preserve"> body code</w:t>
            </w:r>
          </w:p>
        </w:tc>
        <w:tc>
          <w:tcPr>
            <w:tcW w:w="853" w:type="dxa"/>
            <w:tcBorders>
              <w:top w:val="dotted" w:sz="4" w:space="0" w:color="A6A6A6"/>
              <w:left w:val="dotted" w:sz="4" w:space="0" w:color="A6A6A6"/>
              <w:bottom w:val="dotted" w:sz="4" w:space="0" w:color="A6A6A6"/>
              <w:right w:val="dotted" w:sz="4" w:space="0" w:color="A6A6A6"/>
            </w:tcBorders>
            <w:shd w:val="clear" w:color="auto" w:fill="00AFEF"/>
          </w:tcPr>
          <w:p w14:paraId="5B9A5358" w14:textId="77777777" w:rsidR="008715BE" w:rsidRPr="00EC75B7" w:rsidRDefault="00000000">
            <w:pPr>
              <w:pStyle w:val="TableParagraph"/>
              <w:ind w:left="127" w:right="120" w:hanging="2"/>
              <w:jc w:val="center"/>
              <w:rPr>
                <w:rFonts w:ascii="Verdana" w:hAnsi="Verdana"/>
                <w:b/>
                <w:sz w:val="18"/>
                <w:szCs w:val="18"/>
              </w:rPr>
            </w:pPr>
            <w:r w:rsidRPr="00EC75B7">
              <w:rPr>
                <w:rFonts w:ascii="Verdana" w:hAnsi="Verdana"/>
                <w:b/>
                <w:color w:val="FFFFFF"/>
                <w:spacing w:val="-2"/>
                <w:sz w:val="18"/>
                <w:szCs w:val="18"/>
              </w:rPr>
              <w:t>Status/</w:t>
            </w:r>
            <w:r w:rsidRPr="00EC75B7">
              <w:rPr>
                <w:rFonts w:ascii="Verdana" w:hAnsi="Verdana"/>
                <w:b/>
                <w:color w:val="FFFFFF"/>
                <w:spacing w:val="-4"/>
                <w:sz w:val="18"/>
                <w:szCs w:val="18"/>
              </w:rPr>
              <w:t>Pot</w:t>
            </w:r>
            <w:r w:rsidRPr="00EC75B7">
              <w:rPr>
                <w:rFonts w:ascii="Verdana" w:hAnsi="Verdana"/>
                <w:b/>
                <w:color w:val="FFFFFF"/>
                <w:spacing w:val="-2"/>
                <w:sz w:val="18"/>
                <w:szCs w:val="18"/>
              </w:rPr>
              <w:t>ential</w:t>
            </w:r>
          </w:p>
          <w:p w14:paraId="4A7C3E4B" w14:textId="77777777" w:rsidR="008715BE" w:rsidRPr="00EC75B7" w:rsidRDefault="00000000">
            <w:pPr>
              <w:pStyle w:val="TableParagraph"/>
              <w:spacing w:line="172" w:lineRule="exact"/>
              <w:ind w:left="4"/>
              <w:jc w:val="center"/>
              <w:rPr>
                <w:rFonts w:ascii="Verdana" w:hAnsi="Verdana"/>
                <w:b/>
                <w:sz w:val="18"/>
                <w:szCs w:val="18"/>
              </w:rPr>
            </w:pPr>
            <w:r w:rsidRPr="00EC75B7">
              <w:rPr>
                <w:rFonts w:ascii="Verdana" w:hAnsi="Verdana"/>
                <w:b/>
                <w:color w:val="FFFFFF"/>
                <w:spacing w:val="-2"/>
                <w:sz w:val="18"/>
                <w:szCs w:val="18"/>
              </w:rPr>
              <w:t>(S/P)</w:t>
            </w:r>
          </w:p>
        </w:tc>
        <w:tc>
          <w:tcPr>
            <w:tcW w:w="1276" w:type="dxa"/>
            <w:tcBorders>
              <w:top w:val="dotted" w:sz="4" w:space="0" w:color="A6A6A6"/>
              <w:left w:val="dotted" w:sz="4" w:space="0" w:color="A6A6A6"/>
              <w:bottom w:val="dotted" w:sz="4" w:space="0" w:color="A6A6A6"/>
              <w:right w:val="dotted" w:sz="4" w:space="0" w:color="A6A6A6"/>
            </w:tcBorders>
            <w:shd w:val="clear" w:color="auto" w:fill="00AFEF"/>
          </w:tcPr>
          <w:p w14:paraId="1B6EAF98" w14:textId="77777777" w:rsidR="008715BE" w:rsidRPr="00EC75B7" w:rsidRDefault="00000000">
            <w:pPr>
              <w:pStyle w:val="TableParagraph"/>
              <w:ind w:left="154" w:right="153" w:hanging="2"/>
              <w:jc w:val="center"/>
              <w:rPr>
                <w:rFonts w:ascii="Verdana" w:hAnsi="Verdana"/>
                <w:b/>
                <w:sz w:val="18"/>
                <w:szCs w:val="18"/>
              </w:rPr>
            </w:pPr>
            <w:r w:rsidRPr="00EC75B7">
              <w:rPr>
                <w:rFonts w:ascii="Verdana" w:hAnsi="Verdana"/>
                <w:b/>
                <w:color w:val="FFFFFF"/>
                <w:sz w:val="18"/>
                <w:szCs w:val="18"/>
              </w:rPr>
              <w:t>Ecological status</w:t>
            </w:r>
            <w:r w:rsidRPr="00EC75B7">
              <w:rPr>
                <w:rFonts w:ascii="Verdana" w:hAnsi="Verdana"/>
                <w:b/>
                <w:color w:val="FFFFFF"/>
                <w:spacing w:val="-2"/>
                <w:sz w:val="18"/>
                <w:szCs w:val="18"/>
              </w:rPr>
              <w:t>/potential</w:t>
            </w:r>
          </w:p>
          <w:p w14:paraId="005326BA" w14:textId="77777777" w:rsidR="008715BE" w:rsidRPr="00EC75B7" w:rsidRDefault="00000000">
            <w:pPr>
              <w:pStyle w:val="TableParagraph"/>
              <w:spacing w:line="172" w:lineRule="exact"/>
              <w:ind w:left="2"/>
              <w:jc w:val="center"/>
              <w:rPr>
                <w:rFonts w:ascii="Verdana" w:hAnsi="Verdana"/>
                <w:b/>
                <w:sz w:val="18"/>
                <w:szCs w:val="18"/>
              </w:rPr>
            </w:pPr>
            <w:r w:rsidRPr="00EC75B7">
              <w:rPr>
                <w:rFonts w:ascii="Verdana" w:hAnsi="Verdana"/>
                <w:b/>
                <w:color w:val="FFFFFF"/>
                <w:spacing w:val="-2"/>
                <w:sz w:val="18"/>
                <w:szCs w:val="18"/>
              </w:rPr>
              <w:t>ecological</w:t>
            </w:r>
          </w:p>
        </w:tc>
        <w:tc>
          <w:tcPr>
            <w:tcW w:w="851" w:type="dxa"/>
            <w:tcBorders>
              <w:top w:val="dotted" w:sz="4" w:space="0" w:color="A6A6A6"/>
              <w:left w:val="dotted" w:sz="4" w:space="0" w:color="A6A6A6"/>
              <w:bottom w:val="dotted" w:sz="4" w:space="0" w:color="A6A6A6"/>
              <w:right w:val="dotted" w:sz="4" w:space="0" w:color="A6A6A6"/>
            </w:tcBorders>
            <w:shd w:val="clear" w:color="auto" w:fill="00AFEF"/>
          </w:tcPr>
          <w:p w14:paraId="11014C25" w14:textId="77777777" w:rsidR="008715BE" w:rsidRPr="00EC75B7" w:rsidRDefault="00000000">
            <w:pPr>
              <w:pStyle w:val="TableParagraph"/>
              <w:spacing w:before="97"/>
              <w:ind w:left="129" w:right="125" w:hanging="3"/>
              <w:jc w:val="center"/>
              <w:rPr>
                <w:rFonts w:ascii="Verdana" w:hAnsi="Verdana"/>
                <w:b/>
                <w:sz w:val="18"/>
                <w:szCs w:val="18"/>
              </w:rPr>
            </w:pPr>
            <w:r w:rsidRPr="00EC75B7">
              <w:rPr>
                <w:rFonts w:ascii="Verdana" w:hAnsi="Verdana"/>
                <w:b/>
                <w:color w:val="FFFFFF"/>
                <w:spacing w:val="-2"/>
                <w:sz w:val="18"/>
                <w:szCs w:val="18"/>
              </w:rPr>
              <w:t xml:space="preserve">Chemical </w:t>
            </w:r>
            <w:r w:rsidRPr="00EC75B7">
              <w:rPr>
                <w:rFonts w:ascii="Verdana" w:hAnsi="Verdana"/>
                <w:b/>
                <w:color w:val="FFFFFF"/>
                <w:spacing w:val="-10"/>
                <w:sz w:val="18"/>
                <w:szCs w:val="18"/>
              </w:rPr>
              <w:t>status</w:t>
            </w:r>
          </w:p>
        </w:tc>
      </w:tr>
      <w:tr w:rsidR="008715BE" w:rsidRPr="00EC75B7" w14:paraId="5CE533EE" w14:textId="77777777">
        <w:trPr>
          <w:trHeight w:val="388"/>
        </w:trPr>
        <w:tc>
          <w:tcPr>
            <w:tcW w:w="2127" w:type="dxa"/>
            <w:tcBorders>
              <w:top w:val="dotted" w:sz="4" w:space="0" w:color="A6A6A6"/>
            </w:tcBorders>
          </w:tcPr>
          <w:p w14:paraId="29C6422B" w14:textId="77777777" w:rsidR="008715BE" w:rsidRPr="00EC75B7" w:rsidRDefault="00000000">
            <w:pPr>
              <w:pStyle w:val="TableParagraph"/>
              <w:spacing w:before="97"/>
              <w:ind w:left="108"/>
              <w:rPr>
                <w:rFonts w:ascii="Verdana" w:hAnsi="Verdana"/>
                <w:sz w:val="18"/>
                <w:szCs w:val="18"/>
              </w:rPr>
            </w:pPr>
            <w:r w:rsidRPr="00EC75B7">
              <w:rPr>
                <w:rFonts w:ascii="Verdana" w:hAnsi="Verdana"/>
                <w:spacing w:val="-2"/>
                <w:sz w:val="18"/>
                <w:szCs w:val="18"/>
              </w:rPr>
              <w:t>Mangalia</w:t>
            </w:r>
          </w:p>
        </w:tc>
        <w:tc>
          <w:tcPr>
            <w:tcW w:w="1278" w:type="dxa"/>
            <w:tcBorders>
              <w:top w:val="dotted" w:sz="4" w:space="0" w:color="A6A6A6"/>
            </w:tcBorders>
          </w:tcPr>
          <w:p w14:paraId="35E5478F" w14:textId="77777777" w:rsidR="008715BE" w:rsidRPr="00EC75B7" w:rsidRDefault="00000000">
            <w:pPr>
              <w:pStyle w:val="TableParagraph"/>
              <w:spacing w:before="97"/>
              <w:ind w:left="110"/>
              <w:rPr>
                <w:rFonts w:ascii="Verdana" w:hAnsi="Verdana"/>
                <w:sz w:val="18"/>
                <w:szCs w:val="18"/>
              </w:rPr>
            </w:pPr>
            <w:r w:rsidRPr="00EC75B7">
              <w:rPr>
                <w:rFonts w:ascii="Verdana" w:hAnsi="Verdana"/>
                <w:spacing w:val="-5"/>
                <w:sz w:val="18"/>
                <w:szCs w:val="18"/>
              </w:rPr>
              <w:t>CW</w:t>
            </w:r>
          </w:p>
        </w:tc>
        <w:tc>
          <w:tcPr>
            <w:tcW w:w="1275" w:type="dxa"/>
            <w:tcBorders>
              <w:top w:val="dotted" w:sz="4" w:space="0" w:color="A6A6A6"/>
            </w:tcBorders>
          </w:tcPr>
          <w:p w14:paraId="37F70DEB"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ROCT01CAP</w:t>
            </w:r>
          </w:p>
          <w:p w14:paraId="1BDDC977"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10"/>
                <w:sz w:val="18"/>
                <w:szCs w:val="18"/>
              </w:rPr>
              <w:t>M</w:t>
            </w:r>
          </w:p>
        </w:tc>
        <w:tc>
          <w:tcPr>
            <w:tcW w:w="1703" w:type="dxa"/>
            <w:tcBorders>
              <w:top w:val="dotted" w:sz="4" w:space="0" w:color="A6A6A6"/>
            </w:tcBorders>
          </w:tcPr>
          <w:p w14:paraId="26868C96" w14:textId="77777777" w:rsidR="008715BE" w:rsidRPr="00EC75B7" w:rsidRDefault="00000000">
            <w:pPr>
              <w:pStyle w:val="TableParagraph"/>
              <w:spacing w:before="97"/>
              <w:ind w:left="106"/>
              <w:rPr>
                <w:rFonts w:ascii="Verdana" w:hAnsi="Verdana"/>
                <w:sz w:val="18"/>
                <w:szCs w:val="18"/>
              </w:rPr>
            </w:pPr>
            <w:r w:rsidRPr="00EC75B7">
              <w:rPr>
                <w:rFonts w:ascii="Verdana" w:hAnsi="Verdana"/>
                <w:spacing w:val="-2"/>
                <w:sz w:val="18"/>
                <w:szCs w:val="18"/>
              </w:rPr>
              <w:t>ROCT01_B2</w:t>
            </w:r>
          </w:p>
        </w:tc>
        <w:tc>
          <w:tcPr>
            <w:tcW w:w="853" w:type="dxa"/>
            <w:tcBorders>
              <w:top w:val="dotted" w:sz="4" w:space="0" w:color="A6A6A6"/>
            </w:tcBorders>
          </w:tcPr>
          <w:p w14:paraId="12CC0C5E" w14:textId="77777777" w:rsidR="008715BE" w:rsidRPr="00EC75B7" w:rsidRDefault="00000000">
            <w:pPr>
              <w:pStyle w:val="TableParagraph"/>
              <w:spacing w:before="97"/>
              <w:ind w:left="2"/>
              <w:jc w:val="center"/>
              <w:rPr>
                <w:rFonts w:ascii="Verdana" w:hAnsi="Verdana"/>
                <w:sz w:val="18"/>
                <w:szCs w:val="18"/>
              </w:rPr>
            </w:pPr>
            <w:r w:rsidRPr="00EC75B7">
              <w:rPr>
                <w:rFonts w:ascii="Verdana" w:hAnsi="Verdana"/>
                <w:spacing w:val="-10"/>
                <w:sz w:val="18"/>
                <w:szCs w:val="18"/>
              </w:rPr>
              <w:t>P</w:t>
            </w:r>
          </w:p>
        </w:tc>
        <w:tc>
          <w:tcPr>
            <w:tcW w:w="1276" w:type="dxa"/>
            <w:tcBorders>
              <w:top w:val="dotted" w:sz="4" w:space="0" w:color="A6A6A6"/>
            </w:tcBorders>
          </w:tcPr>
          <w:p w14:paraId="39033CA1"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5</w:t>
            </w:r>
          </w:p>
        </w:tc>
        <w:tc>
          <w:tcPr>
            <w:tcW w:w="851" w:type="dxa"/>
            <w:tcBorders>
              <w:top w:val="dotted" w:sz="4" w:space="0" w:color="A6A6A6"/>
            </w:tcBorders>
          </w:tcPr>
          <w:p w14:paraId="4C39B518"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r>
      <w:tr w:rsidR="008715BE" w:rsidRPr="00EC75B7" w14:paraId="7EE821F8" w14:textId="77777777">
        <w:trPr>
          <w:trHeight w:val="390"/>
        </w:trPr>
        <w:tc>
          <w:tcPr>
            <w:tcW w:w="2127" w:type="dxa"/>
          </w:tcPr>
          <w:p w14:paraId="600625F9" w14:textId="77777777" w:rsidR="008715BE" w:rsidRPr="00EC75B7" w:rsidRDefault="00000000">
            <w:pPr>
              <w:pStyle w:val="TableParagraph"/>
              <w:tabs>
                <w:tab w:val="left" w:pos="1105"/>
              </w:tabs>
              <w:spacing w:line="194" w:lineRule="exact"/>
              <w:ind w:left="108"/>
              <w:rPr>
                <w:rFonts w:ascii="Verdana" w:hAnsi="Verdana"/>
                <w:sz w:val="18"/>
                <w:szCs w:val="18"/>
              </w:rPr>
            </w:pPr>
            <w:r w:rsidRPr="00EC75B7">
              <w:rPr>
                <w:rFonts w:ascii="Verdana" w:hAnsi="Verdana"/>
                <w:spacing w:val="-2"/>
                <w:sz w:val="18"/>
                <w:szCs w:val="18"/>
              </w:rPr>
              <w:t>Eforie</w:t>
            </w:r>
            <w:r w:rsidRPr="00EC75B7">
              <w:rPr>
                <w:rFonts w:ascii="Verdana" w:hAnsi="Verdana"/>
                <w:sz w:val="18"/>
                <w:szCs w:val="18"/>
              </w:rPr>
              <w:tab/>
            </w:r>
            <w:r w:rsidRPr="00EC75B7">
              <w:rPr>
                <w:rFonts w:ascii="Verdana" w:hAnsi="Verdana"/>
                <w:spacing w:val="-4"/>
                <w:sz w:val="18"/>
                <w:szCs w:val="18"/>
              </w:rPr>
              <w:t>North-Vama</w:t>
            </w:r>
          </w:p>
          <w:p w14:paraId="66EBAC9A" w14:textId="77777777" w:rsidR="008715BE" w:rsidRPr="00EC75B7" w:rsidRDefault="00000000">
            <w:pPr>
              <w:pStyle w:val="TableParagraph"/>
              <w:spacing w:before="1" w:line="175" w:lineRule="exact"/>
              <w:ind w:left="108"/>
              <w:rPr>
                <w:rFonts w:ascii="Verdana" w:hAnsi="Verdana"/>
                <w:sz w:val="18"/>
                <w:szCs w:val="18"/>
              </w:rPr>
            </w:pPr>
            <w:r w:rsidRPr="00EC75B7">
              <w:rPr>
                <w:rFonts w:ascii="Verdana" w:hAnsi="Verdana"/>
                <w:spacing w:val="-2"/>
                <w:sz w:val="18"/>
                <w:szCs w:val="18"/>
              </w:rPr>
              <w:t>Veche</w:t>
            </w:r>
          </w:p>
        </w:tc>
        <w:tc>
          <w:tcPr>
            <w:tcW w:w="1278" w:type="dxa"/>
          </w:tcPr>
          <w:p w14:paraId="7A498667"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CW</w:t>
            </w:r>
          </w:p>
        </w:tc>
        <w:tc>
          <w:tcPr>
            <w:tcW w:w="1275" w:type="dxa"/>
          </w:tcPr>
          <w:p w14:paraId="71B62449"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ROCT02</w:t>
            </w:r>
          </w:p>
        </w:tc>
        <w:tc>
          <w:tcPr>
            <w:tcW w:w="1703" w:type="dxa"/>
          </w:tcPr>
          <w:p w14:paraId="739B02EC"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ROCT02_B2</w:t>
            </w:r>
          </w:p>
        </w:tc>
        <w:tc>
          <w:tcPr>
            <w:tcW w:w="853" w:type="dxa"/>
          </w:tcPr>
          <w:p w14:paraId="1CCC020F"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S</w:t>
            </w:r>
          </w:p>
        </w:tc>
        <w:tc>
          <w:tcPr>
            <w:tcW w:w="1276" w:type="dxa"/>
          </w:tcPr>
          <w:p w14:paraId="5977C9B2"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5</w:t>
            </w:r>
          </w:p>
        </w:tc>
        <w:tc>
          <w:tcPr>
            <w:tcW w:w="851" w:type="dxa"/>
          </w:tcPr>
          <w:p w14:paraId="6381A01B"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r>
      <w:tr w:rsidR="008715BE" w:rsidRPr="00EC75B7" w14:paraId="0C9BB168" w14:textId="77777777">
        <w:trPr>
          <w:trHeight w:val="194"/>
        </w:trPr>
        <w:tc>
          <w:tcPr>
            <w:tcW w:w="2127" w:type="dxa"/>
          </w:tcPr>
          <w:p w14:paraId="2A6C1218" w14:textId="77777777" w:rsidR="008715BE" w:rsidRPr="00EC75B7" w:rsidRDefault="00000000">
            <w:pPr>
              <w:pStyle w:val="TableParagraph"/>
              <w:spacing w:line="175"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Bugeac</w:t>
            </w:r>
          </w:p>
        </w:tc>
        <w:tc>
          <w:tcPr>
            <w:tcW w:w="1278" w:type="dxa"/>
          </w:tcPr>
          <w:p w14:paraId="0EFEE4E2"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pacing w:val="-5"/>
                <w:sz w:val="18"/>
                <w:szCs w:val="18"/>
              </w:rPr>
              <w:t>LW</w:t>
            </w:r>
          </w:p>
        </w:tc>
        <w:tc>
          <w:tcPr>
            <w:tcW w:w="1275" w:type="dxa"/>
          </w:tcPr>
          <w:p w14:paraId="639F747C" w14:textId="77777777" w:rsidR="008715BE" w:rsidRPr="00EC75B7" w:rsidRDefault="00000000">
            <w:pPr>
              <w:pStyle w:val="TableParagraph"/>
              <w:spacing w:line="175" w:lineRule="exact"/>
              <w:ind w:left="106"/>
              <w:rPr>
                <w:rFonts w:ascii="Verdana" w:hAnsi="Verdana"/>
                <w:sz w:val="18"/>
                <w:szCs w:val="18"/>
              </w:rPr>
            </w:pPr>
            <w:r w:rsidRPr="00EC75B7">
              <w:rPr>
                <w:rFonts w:ascii="Verdana" w:hAnsi="Verdana"/>
                <w:spacing w:val="-2"/>
                <w:sz w:val="18"/>
                <w:szCs w:val="18"/>
              </w:rPr>
              <w:t>ROLN02</w:t>
            </w:r>
          </w:p>
        </w:tc>
        <w:tc>
          <w:tcPr>
            <w:tcW w:w="1703" w:type="dxa"/>
          </w:tcPr>
          <w:p w14:paraId="7744B6B3" w14:textId="77777777" w:rsidR="008715BE" w:rsidRPr="00EC75B7" w:rsidRDefault="00000000">
            <w:pPr>
              <w:pStyle w:val="TableParagraph"/>
              <w:spacing w:line="175" w:lineRule="exact"/>
              <w:ind w:left="106"/>
              <w:rPr>
                <w:rFonts w:ascii="Verdana" w:hAnsi="Verdana"/>
                <w:sz w:val="18"/>
                <w:szCs w:val="18"/>
              </w:rPr>
            </w:pPr>
            <w:r w:rsidRPr="00EC75B7">
              <w:rPr>
                <w:rFonts w:ascii="Verdana" w:hAnsi="Verdana"/>
                <w:spacing w:val="-2"/>
                <w:sz w:val="18"/>
                <w:szCs w:val="18"/>
              </w:rPr>
              <w:t>ROLW14-1-37_B1</w:t>
            </w:r>
          </w:p>
        </w:tc>
        <w:tc>
          <w:tcPr>
            <w:tcW w:w="853" w:type="dxa"/>
          </w:tcPr>
          <w:p w14:paraId="2221E252" w14:textId="77777777" w:rsidR="008715BE" w:rsidRPr="00EC75B7" w:rsidRDefault="00000000">
            <w:pPr>
              <w:pStyle w:val="TableParagraph"/>
              <w:spacing w:line="175" w:lineRule="exact"/>
              <w:jc w:val="center"/>
              <w:rPr>
                <w:rFonts w:ascii="Verdana" w:hAnsi="Verdana"/>
                <w:sz w:val="18"/>
                <w:szCs w:val="18"/>
              </w:rPr>
            </w:pPr>
            <w:r w:rsidRPr="00EC75B7">
              <w:rPr>
                <w:rFonts w:ascii="Verdana" w:hAnsi="Verdana"/>
                <w:spacing w:val="-10"/>
                <w:sz w:val="18"/>
                <w:szCs w:val="18"/>
              </w:rPr>
              <w:t>S</w:t>
            </w:r>
          </w:p>
        </w:tc>
        <w:tc>
          <w:tcPr>
            <w:tcW w:w="1276" w:type="dxa"/>
          </w:tcPr>
          <w:p w14:paraId="08F42FD8" w14:textId="77777777" w:rsidR="008715BE" w:rsidRPr="00EC75B7" w:rsidRDefault="00000000">
            <w:pPr>
              <w:pStyle w:val="TableParagraph"/>
              <w:spacing w:line="175" w:lineRule="exact"/>
              <w:jc w:val="center"/>
              <w:rPr>
                <w:rFonts w:ascii="Verdana" w:hAnsi="Verdana"/>
                <w:sz w:val="18"/>
                <w:szCs w:val="18"/>
              </w:rPr>
            </w:pPr>
            <w:r w:rsidRPr="00EC75B7">
              <w:rPr>
                <w:rFonts w:ascii="Verdana" w:hAnsi="Verdana"/>
                <w:spacing w:val="-10"/>
                <w:sz w:val="18"/>
                <w:szCs w:val="18"/>
              </w:rPr>
              <w:t>2</w:t>
            </w:r>
          </w:p>
        </w:tc>
        <w:tc>
          <w:tcPr>
            <w:tcW w:w="851" w:type="dxa"/>
          </w:tcPr>
          <w:p w14:paraId="1ADC32F5" w14:textId="77777777" w:rsidR="008715BE" w:rsidRPr="00EC75B7" w:rsidRDefault="00000000">
            <w:pPr>
              <w:pStyle w:val="TableParagraph"/>
              <w:spacing w:line="175" w:lineRule="exact"/>
              <w:jc w:val="center"/>
              <w:rPr>
                <w:rFonts w:ascii="Verdana" w:hAnsi="Verdana"/>
                <w:sz w:val="18"/>
                <w:szCs w:val="18"/>
              </w:rPr>
            </w:pPr>
            <w:r w:rsidRPr="00EC75B7">
              <w:rPr>
                <w:rFonts w:ascii="Verdana" w:hAnsi="Verdana"/>
                <w:spacing w:val="-10"/>
                <w:sz w:val="18"/>
                <w:szCs w:val="18"/>
              </w:rPr>
              <w:t>2</w:t>
            </w:r>
          </w:p>
        </w:tc>
      </w:tr>
      <w:tr w:rsidR="008715BE" w:rsidRPr="00EC75B7" w14:paraId="61006BBD" w14:textId="77777777">
        <w:trPr>
          <w:trHeight w:val="194"/>
        </w:trPr>
        <w:tc>
          <w:tcPr>
            <w:tcW w:w="2127" w:type="dxa"/>
          </w:tcPr>
          <w:p w14:paraId="4BF1926F"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Iortmac</w:t>
            </w:r>
          </w:p>
        </w:tc>
        <w:tc>
          <w:tcPr>
            <w:tcW w:w="1278" w:type="dxa"/>
          </w:tcPr>
          <w:p w14:paraId="0D8B9A3F"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5"/>
                <w:sz w:val="18"/>
                <w:szCs w:val="18"/>
              </w:rPr>
              <w:t>LW</w:t>
            </w:r>
          </w:p>
        </w:tc>
        <w:tc>
          <w:tcPr>
            <w:tcW w:w="1275" w:type="dxa"/>
          </w:tcPr>
          <w:p w14:paraId="3FA92845"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ROLN01</w:t>
            </w:r>
          </w:p>
        </w:tc>
        <w:tc>
          <w:tcPr>
            <w:tcW w:w="1703" w:type="dxa"/>
          </w:tcPr>
          <w:p w14:paraId="577AC08C"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ROLW14-1-39_B1</w:t>
            </w:r>
          </w:p>
        </w:tc>
        <w:tc>
          <w:tcPr>
            <w:tcW w:w="853" w:type="dxa"/>
          </w:tcPr>
          <w:p w14:paraId="1B39A0C4"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S</w:t>
            </w:r>
          </w:p>
        </w:tc>
        <w:tc>
          <w:tcPr>
            <w:tcW w:w="1276" w:type="dxa"/>
          </w:tcPr>
          <w:p w14:paraId="0CD933E2"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c>
          <w:tcPr>
            <w:tcW w:w="851" w:type="dxa"/>
          </w:tcPr>
          <w:p w14:paraId="03A80CD1"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r>
      <w:tr w:rsidR="008715BE" w:rsidRPr="00EC75B7" w14:paraId="45520551" w14:textId="77777777">
        <w:trPr>
          <w:trHeight w:val="388"/>
        </w:trPr>
        <w:tc>
          <w:tcPr>
            <w:tcW w:w="2127" w:type="dxa"/>
          </w:tcPr>
          <w:p w14:paraId="68322C3E"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Oltina</w:t>
            </w:r>
          </w:p>
        </w:tc>
        <w:tc>
          <w:tcPr>
            <w:tcW w:w="1278" w:type="dxa"/>
          </w:tcPr>
          <w:p w14:paraId="67D826A8"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LW</w:t>
            </w:r>
          </w:p>
        </w:tc>
        <w:tc>
          <w:tcPr>
            <w:tcW w:w="1275" w:type="dxa"/>
          </w:tcPr>
          <w:p w14:paraId="6A4FD697"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ROLN02</w:t>
            </w:r>
          </w:p>
        </w:tc>
        <w:tc>
          <w:tcPr>
            <w:tcW w:w="1703" w:type="dxa"/>
          </w:tcPr>
          <w:p w14:paraId="13E85DB6"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ROLW14-1-39-</w:t>
            </w:r>
          </w:p>
          <w:p w14:paraId="545FD673"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4"/>
                <w:sz w:val="18"/>
                <w:szCs w:val="18"/>
              </w:rPr>
              <w:t>1_B1</w:t>
            </w:r>
          </w:p>
        </w:tc>
        <w:tc>
          <w:tcPr>
            <w:tcW w:w="853" w:type="dxa"/>
          </w:tcPr>
          <w:p w14:paraId="7BB2D09E"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S</w:t>
            </w:r>
          </w:p>
        </w:tc>
        <w:tc>
          <w:tcPr>
            <w:tcW w:w="1276" w:type="dxa"/>
          </w:tcPr>
          <w:p w14:paraId="15FA2B3F"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c>
          <w:tcPr>
            <w:tcW w:w="851" w:type="dxa"/>
          </w:tcPr>
          <w:p w14:paraId="3959CE74"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r>
      <w:tr w:rsidR="008715BE" w:rsidRPr="00EC75B7" w14:paraId="3ACD27E4" w14:textId="77777777">
        <w:trPr>
          <w:trHeight w:val="388"/>
        </w:trPr>
        <w:tc>
          <w:tcPr>
            <w:tcW w:w="2127" w:type="dxa"/>
          </w:tcPr>
          <w:p w14:paraId="76A2D1B5"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Dunăreni</w:t>
            </w:r>
          </w:p>
        </w:tc>
        <w:tc>
          <w:tcPr>
            <w:tcW w:w="1278" w:type="dxa"/>
          </w:tcPr>
          <w:p w14:paraId="5F54126D"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LW</w:t>
            </w:r>
          </w:p>
        </w:tc>
        <w:tc>
          <w:tcPr>
            <w:tcW w:w="1275" w:type="dxa"/>
          </w:tcPr>
          <w:p w14:paraId="3753BB3C"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ROLN01</w:t>
            </w:r>
          </w:p>
        </w:tc>
        <w:tc>
          <w:tcPr>
            <w:tcW w:w="1703" w:type="dxa"/>
          </w:tcPr>
          <w:p w14:paraId="2242CC42"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z w:val="18"/>
                <w:szCs w:val="18"/>
              </w:rPr>
              <w:t>ROLW14-1-</w:t>
            </w:r>
          </w:p>
          <w:p w14:paraId="77A2C32F"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39A_B1</w:t>
            </w:r>
          </w:p>
        </w:tc>
        <w:tc>
          <w:tcPr>
            <w:tcW w:w="853" w:type="dxa"/>
          </w:tcPr>
          <w:p w14:paraId="3A26DFA8"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S</w:t>
            </w:r>
          </w:p>
        </w:tc>
        <w:tc>
          <w:tcPr>
            <w:tcW w:w="1276" w:type="dxa"/>
          </w:tcPr>
          <w:p w14:paraId="005EF3FF"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c>
          <w:tcPr>
            <w:tcW w:w="851" w:type="dxa"/>
          </w:tcPr>
          <w:p w14:paraId="55C32772" w14:textId="77777777" w:rsidR="008715BE" w:rsidRPr="00EC75B7" w:rsidRDefault="00000000">
            <w:pPr>
              <w:pStyle w:val="TableParagraph"/>
              <w:spacing w:before="97"/>
              <w:jc w:val="center"/>
              <w:rPr>
                <w:rFonts w:ascii="Verdana" w:hAnsi="Verdana"/>
                <w:sz w:val="18"/>
                <w:szCs w:val="18"/>
              </w:rPr>
            </w:pPr>
            <w:r w:rsidRPr="00EC75B7">
              <w:rPr>
                <w:rFonts w:ascii="Verdana" w:hAnsi="Verdana"/>
                <w:spacing w:val="-10"/>
                <w:sz w:val="18"/>
                <w:szCs w:val="18"/>
              </w:rPr>
              <w:t>2</w:t>
            </w:r>
          </w:p>
        </w:tc>
      </w:tr>
      <w:tr w:rsidR="008715BE" w:rsidRPr="00EC75B7" w14:paraId="6394130E" w14:textId="77777777">
        <w:trPr>
          <w:trHeight w:val="196"/>
        </w:trPr>
        <w:tc>
          <w:tcPr>
            <w:tcW w:w="2127" w:type="dxa"/>
          </w:tcPr>
          <w:p w14:paraId="6B803822" w14:textId="77777777" w:rsidR="008715BE" w:rsidRPr="00EC75B7" w:rsidRDefault="00000000">
            <w:pPr>
              <w:pStyle w:val="TableParagraph"/>
              <w:spacing w:line="176"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Vederoasa</w:t>
            </w:r>
          </w:p>
        </w:tc>
        <w:tc>
          <w:tcPr>
            <w:tcW w:w="1278" w:type="dxa"/>
          </w:tcPr>
          <w:p w14:paraId="30F6562E" w14:textId="77777777" w:rsidR="008715BE" w:rsidRPr="00EC75B7" w:rsidRDefault="00000000">
            <w:pPr>
              <w:pStyle w:val="TableParagraph"/>
              <w:spacing w:line="176" w:lineRule="exact"/>
              <w:ind w:left="110"/>
              <w:rPr>
                <w:rFonts w:ascii="Verdana" w:hAnsi="Verdana"/>
                <w:sz w:val="18"/>
                <w:szCs w:val="18"/>
              </w:rPr>
            </w:pPr>
            <w:r w:rsidRPr="00EC75B7">
              <w:rPr>
                <w:rFonts w:ascii="Verdana" w:hAnsi="Verdana"/>
                <w:spacing w:val="-5"/>
                <w:sz w:val="18"/>
                <w:szCs w:val="18"/>
              </w:rPr>
              <w:t>LW</w:t>
            </w:r>
          </w:p>
        </w:tc>
        <w:tc>
          <w:tcPr>
            <w:tcW w:w="1275" w:type="dxa"/>
          </w:tcPr>
          <w:p w14:paraId="7554F6DA" w14:textId="77777777" w:rsidR="008715BE" w:rsidRPr="00EC75B7" w:rsidRDefault="00000000">
            <w:pPr>
              <w:pStyle w:val="TableParagraph"/>
              <w:spacing w:line="176" w:lineRule="exact"/>
              <w:ind w:left="106"/>
              <w:rPr>
                <w:rFonts w:ascii="Verdana" w:hAnsi="Verdana"/>
                <w:sz w:val="18"/>
                <w:szCs w:val="18"/>
              </w:rPr>
            </w:pPr>
            <w:r w:rsidRPr="00EC75B7">
              <w:rPr>
                <w:rFonts w:ascii="Verdana" w:hAnsi="Verdana"/>
                <w:spacing w:val="-2"/>
                <w:sz w:val="18"/>
                <w:szCs w:val="18"/>
              </w:rPr>
              <w:t>ROLN02</w:t>
            </w:r>
          </w:p>
        </w:tc>
        <w:tc>
          <w:tcPr>
            <w:tcW w:w="1703" w:type="dxa"/>
          </w:tcPr>
          <w:p w14:paraId="578F08B9" w14:textId="77777777" w:rsidR="008715BE" w:rsidRPr="00EC75B7" w:rsidRDefault="00000000">
            <w:pPr>
              <w:pStyle w:val="TableParagraph"/>
              <w:spacing w:line="176" w:lineRule="exact"/>
              <w:ind w:left="106"/>
              <w:rPr>
                <w:rFonts w:ascii="Verdana" w:hAnsi="Verdana"/>
                <w:sz w:val="18"/>
                <w:szCs w:val="18"/>
              </w:rPr>
            </w:pPr>
            <w:r w:rsidRPr="00EC75B7">
              <w:rPr>
                <w:rFonts w:ascii="Verdana" w:hAnsi="Verdana"/>
                <w:spacing w:val="-2"/>
                <w:sz w:val="18"/>
                <w:szCs w:val="18"/>
              </w:rPr>
              <w:t>ROLW14-1-40_B1</w:t>
            </w:r>
          </w:p>
        </w:tc>
        <w:tc>
          <w:tcPr>
            <w:tcW w:w="853" w:type="dxa"/>
          </w:tcPr>
          <w:p w14:paraId="254E810B" w14:textId="77777777" w:rsidR="008715BE" w:rsidRPr="00EC75B7" w:rsidRDefault="00000000">
            <w:pPr>
              <w:pStyle w:val="TableParagraph"/>
              <w:spacing w:line="176" w:lineRule="exact"/>
              <w:jc w:val="center"/>
              <w:rPr>
                <w:rFonts w:ascii="Verdana" w:hAnsi="Verdana"/>
                <w:sz w:val="18"/>
                <w:szCs w:val="18"/>
              </w:rPr>
            </w:pPr>
            <w:r w:rsidRPr="00EC75B7">
              <w:rPr>
                <w:rFonts w:ascii="Verdana" w:hAnsi="Verdana"/>
                <w:spacing w:val="-10"/>
                <w:sz w:val="18"/>
                <w:szCs w:val="18"/>
              </w:rPr>
              <w:t>S</w:t>
            </w:r>
          </w:p>
        </w:tc>
        <w:tc>
          <w:tcPr>
            <w:tcW w:w="1276" w:type="dxa"/>
          </w:tcPr>
          <w:p w14:paraId="4FB942AF" w14:textId="77777777" w:rsidR="008715BE" w:rsidRPr="00EC75B7" w:rsidRDefault="00000000">
            <w:pPr>
              <w:pStyle w:val="TableParagraph"/>
              <w:spacing w:line="176" w:lineRule="exact"/>
              <w:jc w:val="center"/>
              <w:rPr>
                <w:rFonts w:ascii="Verdana" w:hAnsi="Verdana"/>
                <w:sz w:val="18"/>
                <w:szCs w:val="18"/>
              </w:rPr>
            </w:pPr>
            <w:r w:rsidRPr="00EC75B7">
              <w:rPr>
                <w:rFonts w:ascii="Verdana" w:hAnsi="Verdana"/>
                <w:spacing w:val="-10"/>
                <w:sz w:val="18"/>
                <w:szCs w:val="18"/>
              </w:rPr>
              <w:t>2</w:t>
            </w:r>
          </w:p>
        </w:tc>
        <w:tc>
          <w:tcPr>
            <w:tcW w:w="851" w:type="dxa"/>
          </w:tcPr>
          <w:p w14:paraId="11401C8D" w14:textId="77777777" w:rsidR="008715BE" w:rsidRPr="00EC75B7" w:rsidRDefault="00000000">
            <w:pPr>
              <w:pStyle w:val="TableParagraph"/>
              <w:spacing w:line="176" w:lineRule="exact"/>
              <w:jc w:val="center"/>
              <w:rPr>
                <w:rFonts w:ascii="Verdana" w:hAnsi="Verdana"/>
                <w:sz w:val="18"/>
                <w:szCs w:val="18"/>
              </w:rPr>
            </w:pPr>
            <w:r w:rsidRPr="00EC75B7">
              <w:rPr>
                <w:rFonts w:ascii="Verdana" w:hAnsi="Verdana"/>
                <w:spacing w:val="-10"/>
                <w:sz w:val="18"/>
                <w:szCs w:val="18"/>
              </w:rPr>
              <w:t>2</w:t>
            </w:r>
          </w:p>
        </w:tc>
      </w:tr>
      <w:tr w:rsidR="008715BE" w:rsidRPr="00EC75B7" w14:paraId="2ADEE949" w14:textId="77777777">
        <w:trPr>
          <w:trHeight w:val="194"/>
        </w:trPr>
        <w:tc>
          <w:tcPr>
            <w:tcW w:w="2127" w:type="dxa"/>
          </w:tcPr>
          <w:p w14:paraId="42ABE504"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Techirghiol </w:t>
            </w:r>
            <w:r w:rsidRPr="00EC75B7">
              <w:rPr>
                <w:rFonts w:ascii="Verdana" w:hAnsi="Verdana"/>
                <w:spacing w:val="-2"/>
                <w:sz w:val="18"/>
                <w:szCs w:val="18"/>
              </w:rPr>
              <w:t xml:space="preserve">freshwater </w:t>
            </w:r>
            <w:r w:rsidRPr="00EC75B7">
              <w:rPr>
                <w:rFonts w:ascii="Verdana" w:hAnsi="Verdana"/>
                <w:sz w:val="18"/>
                <w:szCs w:val="18"/>
              </w:rPr>
              <w:t>lake</w:t>
            </w:r>
          </w:p>
        </w:tc>
        <w:tc>
          <w:tcPr>
            <w:tcW w:w="1278" w:type="dxa"/>
          </w:tcPr>
          <w:p w14:paraId="577D97A1"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5"/>
                <w:sz w:val="18"/>
                <w:szCs w:val="18"/>
              </w:rPr>
              <w:t>LW</w:t>
            </w:r>
          </w:p>
        </w:tc>
        <w:tc>
          <w:tcPr>
            <w:tcW w:w="1275" w:type="dxa"/>
          </w:tcPr>
          <w:p w14:paraId="082ED8C7"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ROLN05</w:t>
            </w:r>
          </w:p>
        </w:tc>
        <w:tc>
          <w:tcPr>
            <w:tcW w:w="1703" w:type="dxa"/>
          </w:tcPr>
          <w:p w14:paraId="083F033E"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ROLW15.1_B1</w:t>
            </w:r>
          </w:p>
        </w:tc>
        <w:tc>
          <w:tcPr>
            <w:tcW w:w="853" w:type="dxa"/>
          </w:tcPr>
          <w:p w14:paraId="746C16CB"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S</w:t>
            </w:r>
          </w:p>
        </w:tc>
        <w:tc>
          <w:tcPr>
            <w:tcW w:w="1276" w:type="dxa"/>
          </w:tcPr>
          <w:p w14:paraId="71B36F91"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c>
          <w:tcPr>
            <w:tcW w:w="851" w:type="dxa"/>
          </w:tcPr>
          <w:p w14:paraId="0BCBF767"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r>
      <w:tr w:rsidR="008715BE" w:rsidRPr="00EC75B7" w14:paraId="4632FAB7" w14:textId="77777777">
        <w:trPr>
          <w:trHeight w:val="193"/>
        </w:trPr>
        <w:tc>
          <w:tcPr>
            <w:tcW w:w="2127" w:type="dxa"/>
          </w:tcPr>
          <w:p w14:paraId="44A85835"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Techirghiol </w:t>
            </w:r>
            <w:r w:rsidRPr="00EC75B7">
              <w:rPr>
                <w:rFonts w:ascii="Verdana" w:hAnsi="Verdana"/>
                <w:spacing w:val="-4"/>
                <w:sz w:val="18"/>
                <w:szCs w:val="18"/>
              </w:rPr>
              <w:t xml:space="preserve">Salt </w:t>
            </w:r>
            <w:r w:rsidRPr="00EC75B7">
              <w:rPr>
                <w:rFonts w:ascii="Verdana" w:hAnsi="Verdana"/>
                <w:sz w:val="18"/>
                <w:szCs w:val="18"/>
              </w:rPr>
              <w:t>Lake</w:t>
            </w:r>
          </w:p>
        </w:tc>
        <w:tc>
          <w:tcPr>
            <w:tcW w:w="1278" w:type="dxa"/>
          </w:tcPr>
          <w:p w14:paraId="094CB60F"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HMWB - </w:t>
            </w:r>
            <w:r w:rsidRPr="00EC75B7">
              <w:rPr>
                <w:rFonts w:ascii="Verdana" w:hAnsi="Verdana"/>
                <w:spacing w:val="-5"/>
                <w:sz w:val="18"/>
                <w:szCs w:val="18"/>
              </w:rPr>
              <w:t>LW</w:t>
            </w:r>
          </w:p>
        </w:tc>
        <w:tc>
          <w:tcPr>
            <w:tcW w:w="1275" w:type="dxa"/>
          </w:tcPr>
          <w:p w14:paraId="5EF117E4"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ROLNPM01T</w:t>
            </w:r>
          </w:p>
        </w:tc>
        <w:tc>
          <w:tcPr>
            <w:tcW w:w="1703" w:type="dxa"/>
          </w:tcPr>
          <w:p w14:paraId="622E79BE"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4"/>
                <w:sz w:val="18"/>
                <w:szCs w:val="18"/>
              </w:rPr>
              <w:t>ROLW15-1_B2</w:t>
            </w:r>
          </w:p>
        </w:tc>
        <w:tc>
          <w:tcPr>
            <w:tcW w:w="853" w:type="dxa"/>
          </w:tcPr>
          <w:p w14:paraId="2C0147CA" w14:textId="77777777" w:rsidR="008715BE" w:rsidRPr="00EC75B7" w:rsidRDefault="00000000">
            <w:pPr>
              <w:pStyle w:val="TableParagraph"/>
              <w:spacing w:line="174" w:lineRule="exact"/>
              <w:ind w:left="2"/>
              <w:jc w:val="center"/>
              <w:rPr>
                <w:rFonts w:ascii="Verdana" w:hAnsi="Verdana"/>
                <w:sz w:val="18"/>
                <w:szCs w:val="18"/>
              </w:rPr>
            </w:pPr>
            <w:r w:rsidRPr="00EC75B7">
              <w:rPr>
                <w:rFonts w:ascii="Verdana" w:hAnsi="Verdana"/>
                <w:sz w:val="18"/>
                <w:szCs w:val="18"/>
              </w:rPr>
              <w:t>-</w:t>
            </w:r>
          </w:p>
        </w:tc>
        <w:tc>
          <w:tcPr>
            <w:tcW w:w="1276" w:type="dxa"/>
          </w:tcPr>
          <w:p w14:paraId="482BDB16"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z w:val="18"/>
                <w:szCs w:val="18"/>
              </w:rPr>
              <w:t>-</w:t>
            </w:r>
          </w:p>
        </w:tc>
        <w:tc>
          <w:tcPr>
            <w:tcW w:w="851" w:type="dxa"/>
          </w:tcPr>
          <w:p w14:paraId="5580B880"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r>
      <w:tr w:rsidR="008715BE" w:rsidRPr="00EC75B7" w14:paraId="0B9A8C42" w14:textId="77777777">
        <w:trPr>
          <w:trHeight w:val="194"/>
        </w:trPr>
        <w:tc>
          <w:tcPr>
            <w:tcW w:w="2127" w:type="dxa"/>
          </w:tcPr>
          <w:p w14:paraId="2CC90DC2"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Lake </w:t>
            </w:r>
            <w:r w:rsidRPr="00EC75B7">
              <w:rPr>
                <w:rFonts w:ascii="Verdana" w:hAnsi="Verdana"/>
                <w:spacing w:val="-2"/>
                <w:sz w:val="18"/>
                <w:szCs w:val="18"/>
              </w:rPr>
              <w:t>Tatlageac</w:t>
            </w:r>
          </w:p>
        </w:tc>
        <w:tc>
          <w:tcPr>
            <w:tcW w:w="1278" w:type="dxa"/>
          </w:tcPr>
          <w:p w14:paraId="382185B2"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5"/>
                <w:sz w:val="18"/>
                <w:szCs w:val="18"/>
              </w:rPr>
              <w:t>LW</w:t>
            </w:r>
          </w:p>
        </w:tc>
        <w:tc>
          <w:tcPr>
            <w:tcW w:w="1275" w:type="dxa"/>
          </w:tcPr>
          <w:p w14:paraId="7912DCAC"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ROLN02</w:t>
            </w:r>
          </w:p>
        </w:tc>
        <w:tc>
          <w:tcPr>
            <w:tcW w:w="1703" w:type="dxa"/>
          </w:tcPr>
          <w:p w14:paraId="63A8989C"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4"/>
                <w:sz w:val="18"/>
                <w:szCs w:val="18"/>
              </w:rPr>
              <w:t>ROLW15-1_B9</w:t>
            </w:r>
          </w:p>
        </w:tc>
        <w:tc>
          <w:tcPr>
            <w:tcW w:w="853" w:type="dxa"/>
          </w:tcPr>
          <w:p w14:paraId="55F388B0"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S</w:t>
            </w:r>
          </w:p>
        </w:tc>
        <w:tc>
          <w:tcPr>
            <w:tcW w:w="1276" w:type="dxa"/>
          </w:tcPr>
          <w:p w14:paraId="7ACFB6FA"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c>
          <w:tcPr>
            <w:tcW w:w="851" w:type="dxa"/>
          </w:tcPr>
          <w:p w14:paraId="0DAB9C5E" w14:textId="77777777" w:rsidR="008715BE" w:rsidRPr="00EC75B7" w:rsidRDefault="00000000">
            <w:pPr>
              <w:pStyle w:val="TableParagraph"/>
              <w:spacing w:line="174" w:lineRule="exact"/>
              <w:jc w:val="center"/>
              <w:rPr>
                <w:rFonts w:ascii="Verdana" w:hAnsi="Verdana"/>
                <w:sz w:val="18"/>
                <w:szCs w:val="18"/>
              </w:rPr>
            </w:pPr>
            <w:r w:rsidRPr="00EC75B7">
              <w:rPr>
                <w:rFonts w:ascii="Verdana" w:hAnsi="Verdana"/>
                <w:spacing w:val="-10"/>
                <w:sz w:val="18"/>
                <w:szCs w:val="18"/>
              </w:rPr>
              <w:t>2</w:t>
            </w:r>
          </w:p>
        </w:tc>
      </w:tr>
    </w:tbl>
    <w:p w14:paraId="430365BE" w14:textId="77777777" w:rsidR="008715BE" w:rsidRPr="00EC75B7" w:rsidRDefault="00000000">
      <w:pPr>
        <w:spacing w:before="3"/>
        <w:ind w:left="199"/>
        <w:rPr>
          <w:rFonts w:ascii="Verdana" w:hAnsi="Verdana"/>
          <w:i/>
          <w:sz w:val="18"/>
          <w:szCs w:val="18"/>
        </w:rPr>
      </w:pPr>
      <w:r w:rsidRPr="00EC75B7">
        <w:rPr>
          <w:rFonts w:ascii="Verdana" w:hAnsi="Verdana"/>
          <w:i/>
          <w:sz w:val="18"/>
          <w:szCs w:val="18"/>
        </w:rPr>
        <w:t>Column "Water body category": RW - natural river/CAMP river/artificial river, LW - natural lake/storage lake/heavily modified natural lake/artificial lake, CW - natural/heavily modified coastal waters, HMWB = heavily modified water body</w:t>
      </w:r>
    </w:p>
    <w:p w14:paraId="7EE031D0" w14:textId="77777777" w:rsidR="00C76B56" w:rsidRDefault="00000000" w:rsidP="00C76B56">
      <w:pPr>
        <w:spacing w:line="170" w:lineRule="exact"/>
        <w:ind w:left="199"/>
        <w:rPr>
          <w:rFonts w:ascii="Verdana" w:hAnsi="Verdana"/>
          <w:i/>
          <w:sz w:val="18"/>
          <w:szCs w:val="18"/>
        </w:rPr>
      </w:pPr>
      <w:r w:rsidRPr="00EC75B7">
        <w:rPr>
          <w:rFonts w:ascii="Verdana" w:hAnsi="Verdana"/>
          <w:i/>
          <w:sz w:val="18"/>
          <w:szCs w:val="18"/>
        </w:rPr>
        <w:t xml:space="preserve">Column "Status/Potential": S - ecological status; P - </w:t>
      </w:r>
      <w:r w:rsidRPr="00EC75B7">
        <w:rPr>
          <w:rFonts w:ascii="Verdana" w:hAnsi="Verdana"/>
          <w:i/>
          <w:spacing w:val="-2"/>
          <w:sz w:val="18"/>
          <w:szCs w:val="18"/>
        </w:rPr>
        <w:t xml:space="preserve">ecological </w:t>
      </w:r>
      <w:r w:rsidRPr="00EC75B7">
        <w:rPr>
          <w:rFonts w:ascii="Verdana" w:hAnsi="Verdana"/>
          <w:i/>
          <w:sz w:val="18"/>
          <w:szCs w:val="18"/>
        </w:rPr>
        <w:t>potential</w:t>
      </w:r>
    </w:p>
    <w:p w14:paraId="147FC7EA" w14:textId="6C4DC735" w:rsidR="008715BE" w:rsidRPr="00EC75B7" w:rsidRDefault="00000000" w:rsidP="00C76B56">
      <w:pPr>
        <w:spacing w:line="170" w:lineRule="exact"/>
        <w:ind w:left="199"/>
        <w:rPr>
          <w:rFonts w:ascii="Verdana" w:hAnsi="Verdana"/>
          <w:i/>
          <w:sz w:val="18"/>
          <w:szCs w:val="18"/>
        </w:rPr>
      </w:pPr>
      <w:r w:rsidRPr="00EC75B7">
        <w:rPr>
          <w:rFonts w:ascii="Verdana" w:hAnsi="Verdana"/>
          <w:i/>
          <w:sz w:val="18"/>
          <w:szCs w:val="18"/>
        </w:rPr>
        <w:t xml:space="preserve">Column "Water body type": ROCT02 - </w:t>
      </w:r>
      <w:r w:rsidRPr="00EC75B7">
        <w:rPr>
          <w:rFonts w:ascii="Verdana" w:hAnsi="Verdana"/>
          <w:i/>
          <w:spacing w:val="-2"/>
          <w:sz w:val="18"/>
          <w:szCs w:val="18"/>
        </w:rPr>
        <w:t xml:space="preserve">natural </w:t>
      </w:r>
      <w:r w:rsidRPr="00EC75B7">
        <w:rPr>
          <w:rFonts w:ascii="Verdana" w:hAnsi="Verdana"/>
          <w:i/>
          <w:sz w:val="18"/>
          <w:szCs w:val="18"/>
        </w:rPr>
        <w:t>coastal waters</w:t>
      </w:r>
      <w:r w:rsidRPr="00EC75B7">
        <w:rPr>
          <w:rFonts w:ascii="Verdana" w:hAnsi="Verdana"/>
          <w:i/>
          <w:spacing w:val="-2"/>
          <w:sz w:val="18"/>
          <w:szCs w:val="18"/>
        </w:rPr>
        <w:t>,</w:t>
      </w:r>
    </w:p>
    <w:p w14:paraId="0525079F" w14:textId="77777777" w:rsidR="008715BE" w:rsidRPr="00EC75B7" w:rsidRDefault="00000000">
      <w:pPr>
        <w:ind w:left="199"/>
        <w:rPr>
          <w:rFonts w:ascii="Verdana" w:hAnsi="Verdana"/>
          <w:i/>
          <w:sz w:val="18"/>
          <w:szCs w:val="18"/>
        </w:rPr>
      </w:pPr>
      <w:r w:rsidRPr="00EC75B7">
        <w:rPr>
          <w:rFonts w:ascii="Verdana" w:hAnsi="Verdana"/>
          <w:i/>
          <w:sz w:val="18"/>
          <w:szCs w:val="18"/>
        </w:rPr>
        <w:lastRenderedPageBreak/>
        <w:t>Column "Ecological status/ecological potential": 1 - very good ecological status; 2 - good ecological status/maximum and good potential; 3 - moderate ecological status/moderate potential; 4 - poor ecological status/poor potential; 5 - bad ecological status/bad potential</w:t>
      </w:r>
    </w:p>
    <w:p w14:paraId="78A2074B" w14:textId="77777777" w:rsidR="008715BE" w:rsidRPr="00EC75B7" w:rsidRDefault="00000000">
      <w:pPr>
        <w:spacing w:line="168" w:lineRule="exact"/>
        <w:ind w:left="199"/>
        <w:rPr>
          <w:rFonts w:ascii="Verdana" w:hAnsi="Verdana"/>
          <w:i/>
          <w:sz w:val="18"/>
          <w:szCs w:val="18"/>
        </w:rPr>
      </w:pPr>
      <w:r w:rsidRPr="00EC75B7">
        <w:rPr>
          <w:rFonts w:ascii="Verdana" w:hAnsi="Verdana"/>
          <w:i/>
          <w:sz w:val="18"/>
          <w:szCs w:val="18"/>
        </w:rPr>
        <w:t xml:space="preserve">Column "Chemical status": 2 = </w:t>
      </w:r>
      <w:r w:rsidRPr="00EC75B7">
        <w:rPr>
          <w:rFonts w:ascii="Verdana" w:hAnsi="Verdana"/>
          <w:i/>
          <w:spacing w:val="-4"/>
          <w:sz w:val="18"/>
          <w:szCs w:val="18"/>
        </w:rPr>
        <w:t>good</w:t>
      </w:r>
    </w:p>
    <w:p w14:paraId="1CE683BC" w14:textId="77777777" w:rsidR="008715BE" w:rsidRPr="00EC75B7" w:rsidRDefault="008715BE">
      <w:pPr>
        <w:pStyle w:val="BodyText"/>
        <w:spacing w:before="107"/>
        <w:rPr>
          <w:rFonts w:ascii="Verdana" w:hAnsi="Verdana"/>
          <w:i/>
        </w:rPr>
      </w:pPr>
    </w:p>
    <w:p w14:paraId="52588143" w14:textId="77777777" w:rsidR="008715BE" w:rsidRPr="00EC75B7" w:rsidRDefault="00000000">
      <w:pPr>
        <w:pStyle w:val="BodyText"/>
        <w:spacing w:line="357" w:lineRule="auto"/>
        <w:ind w:left="57" w:right="425"/>
        <w:jc w:val="both"/>
        <w:rPr>
          <w:rFonts w:ascii="Verdana" w:hAnsi="Verdana"/>
        </w:rPr>
      </w:pPr>
      <w:r w:rsidRPr="00EC75B7">
        <w:rPr>
          <w:rFonts w:ascii="Verdana" w:hAnsi="Verdana"/>
        </w:rPr>
        <w:t>The closest surface water bodies identified in the project area on Bulgarian territory are located south of the site boundary: BG1DJ900R1015 at a distance of approx. 1 km south of the project site, BG2DO700L017 at a distance of approx. 34 km, and BG2BS000C001 at a distance of approx. 36 km, southeast of the site boundary.</w:t>
      </w:r>
    </w:p>
    <w:p w14:paraId="2863C97F" w14:textId="77777777" w:rsidR="008715BE" w:rsidRPr="00EC75B7" w:rsidRDefault="00000000">
      <w:pPr>
        <w:pStyle w:val="BodyText"/>
        <w:spacing w:before="123"/>
        <w:ind w:left="57"/>
        <w:jc w:val="both"/>
        <w:rPr>
          <w:rFonts w:ascii="Verdana" w:hAnsi="Verdana"/>
        </w:rPr>
      </w:pPr>
      <w:r w:rsidRPr="00EC75B7">
        <w:rPr>
          <w:rFonts w:ascii="Verdana" w:hAnsi="Verdana"/>
        </w:rPr>
        <w:t xml:space="preserve">The following figure shows the location of the project in relation to </w:t>
      </w:r>
      <w:r w:rsidRPr="00EC75B7">
        <w:rPr>
          <w:rFonts w:ascii="Verdana" w:hAnsi="Verdana"/>
          <w:spacing w:val="-2"/>
        </w:rPr>
        <w:t xml:space="preserve">surface </w:t>
      </w:r>
      <w:r w:rsidRPr="00EC75B7">
        <w:rPr>
          <w:rFonts w:ascii="Verdana" w:hAnsi="Verdana"/>
        </w:rPr>
        <w:t>water bodies.</w:t>
      </w:r>
    </w:p>
    <w:p w14:paraId="1735E508" w14:textId="0B6C93A7" w:rsidR="008715BE" w:rsidRPr="00EC75B7" w:rsidRDefault="00E7611D" w:rsidP="00E7611D">
      <w:pPr>
        <w:pStyle w:val="BodyText"/>
        <w:spacing w:before="54"/>
        <w:jc w:val="center"/>
        <w:rPr>
          <w:rFonts w:ascii="Verdana" w:hAnsi="Verdana"/>
        </w:rPr>
      </w:pPr>
      <w:r>
        <w:rPr>
          <w:noProof/>
        </w:rPr>
        <w:drawing>
          <wp:inline distT="0" distB="0" distL="0" distR="0" wp14:anchorId="232CD6E2" wp14:editId="43CCD2DF">
            <wp:extent cx="5473700" cy="3871419"/>
            <wp:effectExtent l="0" t="0" r="0" b="0"/>
            <wp:docPr id="2930403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79144" cy="3875269"/>
                    </a:xfrm>
                    <a:prstGeom prst="rect">
                      <a:avLst/>
                    </a:prstGeom>
                    <a:noFill/>
                    <a:ln>
                      <a:noFill/>
                    </a:ln>
                  </pic:spPr>
                </pic:pic>
              </a:graphicData>
            </a:graphic>
          </wp:inline>
        </w:drawing>
      </w:r>
    </w:p>
    <w:p w14:paraId="07AE00A6" w14:textId="1731888F" w:rsidR="00903DD2" w:rsidRPr="00692EED" w:rsidRDefault="00000000" w:rsidP="00692EED">
      <w:pPr>
        <w:spacing w:before="120"/>
        <w:ind w:left="284" w:right="368"/>
        <w:jc w:val="center"/>
        <w:rPr>
          <w:rFonts w:ascii="Verdana" w:hAnsi="Verdana"/>
          <w:b/>
          <w:sz w:val="18"/>
          <w:szCs w:val="18"/>
        </w:rPr>
      </w:pPr>
      <w:r w:rsidRPr="00EC75B7">
        <w:rPr>
          <w:rFonts w:ascii="Verdana" w:hAnsi="Verdana"/>
          <w:b/>
          <w:color w:val="009DEF"/>
          <w:sz w:val="18"/>
          <w:szCs w:val="18"/>
        </w:rPr>
        <w:t xml:space="preserve">Figure no. 37 Surface water bodies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3550FE28" w14:textId="77777777" w:rsidR="00903DD2" w:rsidRDefault="00903DD2" w:rsidP="00E7611D">
      <w:pPr>
        <w:pStyle w:val="BodyText"/>
        <w:spacing w:line="357" w:lineRule="auto"/>
        <w:ind w:right="435"/>
        <w:jc w:val="both"/>
        <w:rPr>
          <w:rFonts w:ascii="Verdana" w:hAnsi="Verdana"/>
        </w:rPr>
      </w:pPr>
    </w:p>
    <w:p w14:paraId="28FBE936" w14:textId="5FB17136" w:rsidR="008715BE" w:rsidRPr="00EC75B7" w:rsidRDefault="00000000">
      <w:pPr>
        <w:pStyle w:val="BodyText"/>
        <w:spacing w:line="357" w:lineRule="auto"/>
        <w:ind w:left="57" w:right="435"/>
        <w:jc w:val="both"/>
        <w:rPr>
          <w:rFonts w:ascii="Verdana" w:hAnsi="Verdana"/>
        </w:rPr>
      </w:pPr>
      <w:r w:rsidRPr="00EC75B7">
        <w:rPr>
          <w:rFonts w:ascii="Verdana" w:hAnsi="Verdana"/>
        </w:rPr>
        <w:t>According to the Danube Littoral River Basin Management Plan, no interdependencies between watercourses (no surface water bodies have been delimited on these watercourses) have been identified at the river basin level in the wind farm project area.</w:t>
      </w:r>
    </w:p>
    <w:p w14:paraId="632E9734" w14:textId="77777777" w:rsidR="008715BE" w:rsidRPr="00EC75B7" w:rsidRDefault="00000000">
      <w:pPr>
        <w:pStyle w:val="BodyText"/>
        <w:spacing w:before="122"/>
        <w:ind w:left="57"/>
        <w:jc w:val="both"/>
        <w:rPr>
          <w:rFonts w:ascii="Verdana" w:hAnsi="Verdana"/>
        </w:rPr>
      </w:pPr>
      <w:r w:rsidRPr="00EC75B7">
        <w:rPr>
          <w:rFonts w:ascii="Verdana" w:hAnsi="Verdana"/>
        </w:rPr>
        <w:t xml:space="preserve">Three </w:t>
      </w:r>
      <w:r w:rsidRPr="00EC75B7">
        <w:rPr>
          <w:rFonts w:ascii="Verdana" w:hAnsi="Verdana"/>
          <w:spacing w:val="-4"/>
        </w:rPr>
        <w:t xml:space="preserve">watercourses </w:t>
      </w:r>
      <w:r w:rsidRPr="00EC75B7">
        <w:rPr>
          <w:rFonts w:ascii="Verdana" w:hAnsi="Verdana"/>
        </w:rPr>
        <w:t>were identified in the project area</w:t>
      </w:r>
      <w:r w:rsidRPr="00EC75B7">
        <w:rPr>
          <w:rFonts w:ascii="Verdana" w:hAnsi="Verdana"/>
          <w:spacing w:val="-4"/>
        </w:rPr>
        <w:t>:</w:t>
      </w:r>
    </w:p>
    <w:p w14:paraId="4B0BB5EA" w14:textId="36BF1FBE" w:rsidR="008715BE" w:rsidRDefault="00000000" w:rsidP="00903DD2">
      <w:pPr>
        <w:pStyle w:val="BodyText"/>
        <w:spacing w:before="210"/>
        <w:rPr>
          <w:rFonts w:ascii="Verdana" w:hAnsi="Verdana"/>
        </w:rPr>
      </w:pPr>
      <w:r w:rsidRPr="00EC75B7">
        <w:rPr>
          <w:rFonts w:ascii="Verdana" w:hAnsi="Verdana"/>
          <w:noProof/>
        </w:rPr>
        <w:drawing>
          <wp:anchor distT="0" distB="0" distL="0" distR="0" simplePos="0" relativeHeight="251751424" behindDoc="1" locked="0" layoutInCell="1" allowOverlap="1" wp14:anchorId="1B2AAC8A" wp14:editId="4F29F702">
            <wp:simplePos x="0" y="0"/>
            <wp:positionH relativeFrom="page">
              <wp:posOffset>1003413</wp:posOffset>
            </wp:positionH>
            <wp:positionV relativeFrom="paragraph">
              <wp:posOffset>303619</wp:posOffset>
            </wp:positionV>
            <wp:extent cx="6054712" cy="827532"/>
            <wp:effectExtent l="0" t="0" r="0" b="0"/>
            <wp:wrapTopAndBottom/>
            <wp:docPr id="211" name="Image 211" descr="P936#yIS1"/>
            <wp:cNvGraphicFramePr/>
            <a:graphic xmlns:a="http://schemas.openxmlformats.org/drawingml/2006/main">
              <a:graphicData uri="http://schemas.openxmlformats.org/drawingml/2006/picture">
                <pic:pic xmlns:pic="http://schemas.openxmlformats.org/drawingml/2006/picture">
                  <pic:nvPicPr>
                    <pic:cNvPr id="211" name="Image 211" descr="P936#yIS1"/>
                    <pic:cNvPicPr/>
                  </pic:nvPicPr>
                  <pic:blipFill>
                    <a:blip r:embed="rId166" cstate="print"/>
                    <a:stretch>
                      <a:fillRect/>
                    </a:stretch>
                  </pic:blipFill>
                  <pic:spPr>
                    <a:xfrm>
                      <a:off x="0" y="0"/>
                      <a:ext cx="6054712" cy="827532"/>
                    </a:xfrm>
                    <a:prstGeom prst="rect">
                      <a:avLst/>
                    </a:prstGeom>
                  </pic:spPr>
                </pic:pic>
              </a:graphicData>
            </a:graphic>
          </wp:anchor>
        </w:drawing>
      </w:r>
    </w:p>
    <w:p w14:paraId="4F3E5443" w14:textId="77777777" w:rsidR="00903DD2" w:rsidRPr="00EC75B7" w:rsidRDefault="00903DD2" w:rsidP="00903DD2">
      <w:pPr>
        <w:pStyle w:val="BodyText"/>
        <w:spacing w:before="210"/>
        <w:rPr>
          <w:rFonts w:ascii="Verdana" w:hAnsi="Verdana"/>
        </w:rPr>
      </w:pPr>
    </w:p>
    <w:p w14:paraId="1B4EA10F" w14:textId="4254DF99" w:rsidR="008715BE" w:rsidRPr="00EC75B7" w:rsidRDefault="00E7611D">
      <w:pPr>
        <w:ind w:left="58"/>
        <w:rPr>
          <w:rFonts w:ascii="Verdana" w:hAnsi="Verdana"/>
          <w:sz w:val="18"/>
          <w:szCs w:val="18"/>
        </w:rPr>
      </w:pPr>
      <w:r>
        <w:rPr>
          <w:noProof/>
        </w:rPr>
        <w:lastRenderedPageBreak/>
        <w:drawing>
          <wp:inline distT="0" distB="0" distL="0" distR="0" wp14:anchorId="0C3F50CD" wp14:editId="1B526A83">
            <wp:extent cx="5403850" cy="3822016"/>
            <wp:effectExtent l="0" t="0" r="6350" b="7620"/>
            <wp:docPr id="15861813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10580" cy="3826776"/>
                    </a:xfrm>
                    <a:prstGeom prst="rect">
                      <a:avLst/>
                    </a:prstGeom>
                    <a:noFill/>
                    <a:ln>
                      <a:noFill/>
                    </a:ln>
                  </pic:spPr>
                </pic:pic>
              </a:graphicData>
            </a:graphic>
          </wp:inline>
        </w:drawing>
      </w:r>
    </w:p>
    <w:p w14:paraId="32858821" w14:textId="77777777" w:rsidR="008715BE" w:rsidRPr="00EC75B7" w:rsidRDefault="008715BE">
      <w:pPr>
        <w:pStyle w:val="BodyText"/>
        <w:spacing w:before="19"/>
        <w:rPr>
          <w:rFonts w:ascii="Verdana" w:hAnsi="Verdana"/>
        </w:rPr>
      </w:pPr>
    </w:p>
    <w:p w14:paraId="47C41EFF" w14:textId="77777777" w:rsidR="008715BE" w:rsidRPr="00EC75B7" w:rsidRDefault="00000000">
      <w:pPr>
        <w:ind w:left="284" w:right="368"/>
        <w:jc w:val="center"/>
        <w:rPr>
          <w:rFonts w:ascii="Verdana" w:hAnsi="Verdana"/>
          <w:b/>
          <w:sz w:val="18"/>
          <w:szCs w:val="18"/>
        </w:rPr>
      </w:pPr>
      <w:r w:rsidRPr="00EC75B7">
        <w:rPr>
          <w:rFonts w:ascii="Verdana" w:hAnsi="Verdana"/>
          <w:b/>
          <w:color w:val="009DEF"/>
          <w:sz w:val="18"/>
          <w:szCs w:val="18"/>
        </w:rPr>
        <w:t xml:space="preserve">Figure no. 38 Surface watercourses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49E601A4" w14:textId="77777777" w:rsidR="008715BE" w:rsidRPr="00EC75B7" w:rsidRDefault="008715BE">
      <w:pPr>
        <w:pStyle w:val="BodyText"/>
        <w:rPr>
          <w:rFonts w:ascii="Verdana" w:hAnsi="Verdana"/>
          <w:b/>
        </w:rPr>
      </w:pPr>
    </w:p>
    <w:p w14:paraId="17D9C4BA" w14:textId="77777777" w:rsidR="008715BE" w:rsidRPr="00EC75B7" w:rsidRDefault="008715BE">
      <w:pPr>
        <w:pStyle w:val="BodyText"/>
        <w:spacing w:before="86"/>
        <w:rPr>
          <w:rFonts w:ascii="Verdana" w:hAnsi="Verdana"/>
          <w:b/>
        </w:rPr>
      </w:pPr>
    </w:p>
    <w:p w14:paraId="185CC660" w14:textId="77777777" w:rsidR="008715BE" w:rsidRPr="00EC75B7" w:rsidRDefault="00000000">
      <w:pPr>
        <w:pStyle w:val="BodyText"/>
        <w:spacing w:line="357" w:lineRule="auto"/>
        <w:ind w:left="57" w:right="428"/>
        <w:jc w:val="both"/>
        <w:rPr>
          <w:rFonts w:ascii="Verdana" w:hAnsi="Verdana"/>
        </w:rPr>
      </w:pPr>
      <w:r w:rsidRPr="00EC75B7">
        <w:rPr>
          <w:rFonts w:ascii="Verdana" w:hAnsi="Verdana"/>
        </w:rPr>
        <w:t>In order to carry out the project, it is necessary to build underpasses for the Cerchez (2 underpasses) and Măgura (2 underpasses) watercourses. The works will be carried out using horizontal drilling technology at a depth of 1 m between the upper generator of the protective pipe and the watercourse bed. Upon completion of the works, the affected areas will be restored to their original condition.</w:t>
      </w:r>
    </w:p>
    <w:p w14:paraId="3A330A32"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799" w:gutter="0"/>
          <w:cols w:space="708"/>
        </w:sectPr>
      </w:pPr>
    </w:p>
    <w:p w14:paraId="531AF847" w14:textId="77777777" w:rsidR="008715BE" w:rsidRPr="00EC75B7" w:rsidRDefault="008715BE">
      <w:pPr>
        <w:pStyle w:val="BodyText"/>
        <w:spacing w:before="9"/>
        <w:rPr>
          <w:rFonts w:ascii="Verdana" w:hAnsi="Verdana"/>
        </w:rPr>
      </w:pPr>
    </w:p>
    <w:p w14:paraId="4CB3AD02" w14:textId="48D25CF4" w:rsidR="008715BE" w:rsidRPr="00EC75B7" w:rsidRDefault="009069FA" w:rsidP="009069FA">
      <w:pPr>
        <w:ind w:left="401"/>
        <w:jc w:val="center"/>
        <w:rPr>
          <w:rFonts w:ascii="Verdana" w:hAnsi="Verdana"/>
          <w:sz w:val="18"/>
          <w:szCs w:val="18"/>
        </w:rPr>
      </w:pPr>
      <w:r>
        <w:rPr>
          <w:noProof/>
        </w:rPr>
        <w:drawing>
          <wp:inline distT="0" distB="0" distL="0" distR="0" wp14:anchorId="50166084" wp14:editId="305DF4B1">
            <wp:extent cx="4920000" cy="3479800"/>
            <wp:effectExtent l="0" t="0" r="0" b="6350"/>
            <wp:docPr id="1352917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925862" cy="3483946"/>
                    </a:xfrm>
                    <a:prstGeom prst="rect">
                      <a:avLst/>
                    </a:prstGeom>
                    <a:noFill/>
                    <a:ln>
                      <a:noFill/>
                    </a:ln>
                  </pic:spPr>
                </pic:pic>
              </a:graphicData>
            </a:graphic>
          </wp:inline>
        </w:drawing>
      </w:r>
    </w:p>
    <w:p w14:paraId="2401112D" w14:textId="77777777" w:rsidR="008715BE" w:rsidRPr="00EC75B7" w:rsidRDefault="00000000">
      <w:pPr>
        <w:spacing w:before="193"/>
        <w:ind w:left="284" w:right="368"/>
        <w:jc w:val="center"/>
        <w:rPr>
          <w:rFonts w:ascii="Verdana" w:hAnsi="Verdana"/>
          <w:b/>
          <w:sz w:val="18"/>
          <w:szCs w:val="18"/>
        </w:rPr>
      </w:pPr>
      <w:r w:rsidRPr="00EC75B7">
        <w:rPr>
          <w:rFonts w:ascii="Verdana" w:hAnsi="Verdana"/>
          <w:b/>
          <w:color w:val="009DEF"/>
          <w:sz w:val="18"/>
          <w:szCs w:val="18"/>
        </w:rPr>
        <w:t xml:space="preserve">Figure no. 39 Location of </w:t>
      </w:r>
      <w:r w:rsidRPr="00EC75B7">
        <w:rPr>
          <w:rFonts w:ascii="Verdana" w:hAnsi="Verdana"/>
          <w:b/>
          <w:color w:val="009DEF"/>
          <w:spacing w:val="-5"/>
          <w:sz w:val="18"/>
          <w:szCs w:val="18"/>
        </w:rPr>
        <w:t xml:space="preserve">watercourse </w:t>
      </w:r>
      <w:r w:rsidRPr="00EC75B7">
        <w:rPr>
          <w:rFonts w:ascii="Verdana" w:hAnsi="Verdana"/>
          <w:b/>
          <w:color w:val="009DEF"/>
          <w:sz w:val="18"/>
          <w:szCs w:val="18"/>
        </w:rPr>
        <w:t>underpass works</w:t>
      </w:r>
    </w:p>
    <w:p w14:paraId="57FCB0F4" w14:textId="77777777" w:rsidR="008715BE" w:rsidRPr="00EC75B7" w:rsidRDefault="008715BE">
      <w:pPr>
        <w:pStyle w:val="BodyText"/>
        <w:spacing w:before="22"/>
        <w:rPr>
          <w:rFonts w:ascii="Verdana" w:hAnsi="Verdana"/>
          <w:b/>
        </w:rPr>
      </w:pPr>
    </w:p>
    <w:p w14:paraId="141D7708" w14:textId="77777777" w:rsidR="008715BE" w:rsidRPr="00EC75B7" w:rsidRDefault="00000000">
      <w:pPr>
        <w:pStyle w:val="BodyText"/>
        <w:ind w:left="57"/>
        <w:rPr>
          <w:rFonts w:ascii="Verdana" w:hAnsi="Verdana"/>
        </w:rPr>
      </w:pPr>
      <w:r w:rsidRPr="00EC75B7">
        <w:rPr>
          <w:rFonts w:ascii="Verdana" w:hAnsi="Verdana"/>
        </w:rPr>
        <w:t xml:space="preserve">In the vicinity of wind farms T1, T4, T12, T26, T27, and T28, there are irrigation channels that </w:t>
      </w:r>
      <w:r w:rsidRPr="00EC75B7">
        <w:rPr>
          <w:rFonts w:ascii="Verdana" w:hAnsi="Verdana"/>
          <w:spacing w:val="-2"/>
        </w:rPr>
        <w:t>are not in operation.</w:t>
      </w:r>
    </w:p>
    <w:p w14:paraId="496C2115" w14:textId="41FB5FBB" w:rsidR="008715BE" w:rsidRPr="00EC75B7" w:rsidRDefault="009069FA" w:rsidP="009069FA">
      <w:pPr>
        <w:pStyle w:val="BodyText"/>
        <w:spacing w:before="2"/>
        <w:jc w:val="center"/>
        <w:rPr>
          <w:rFonts w:ascii="Verdana" w:hAnsi="Verdana"/>
        </w:rPr>
      </w:pPr>
      <w:r>
        <w:rPr>
          <w:noProof/>
        </w:rPr>
        <w:drawing>
          <wp:inline distT="0" distB="0" distL="0" distR="0" wp14:anchorId="0F279359" wp14:editId="354B99F4">
            <wp:extent cx="5537835" cy="3916780"/>
            <wp:effectExtent l="0" t="0" r="5715" b="7620"/>
            <wp:docPr id="5562863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40975" cy="3919001"/>
                    </a:xfrm>
                    <a:prstGeom prst="rect">
                      <a:avLst/>
                    </a:prstGeom>
                    <a:noFill/>
                    <a:ln>
                      <a:noFill/>
                    </a:ln>
                  </pic:spPr>
                </pic:pic>
              </a:graphicData>
            </a:graphic>
          </wp:inline>
        </w:drawing>
      </w:r>
    </w:p>
    <w:p w14:paraId="543DFECA" w14:textId="77777777" w:rsidR="008715BE" w:rsidRPr="00EC75B7" w:rsidRDefault="00000000">
      <w:pPr>
        <w:spacing w:before="203"/>
        <w:ind w:left="283" w:right="368"/>
        <w:jc w:val="center"/>
        <w:rPr>
          <w:rFonts w:ascii="Verdana" w:hAnsi="Verdana"/>
          <w:b/>
          <w:sz w:val="18"/>
          <w:szCs w:val="18"/>
        </w:rPr>
      </w:pPr>
      <w:r w:rsidRPr="00EC75B7">
        <w:rPr>
          <w:rFonts w:ascii="Verdana" w:hAnsi="Verdana"/>
          <w:b/>
          <w:color w:val="009DEF"/>
          <w:sz w:val="18"/>
          <w:szCs w:val="18"/>
        </w:rPr>
        <w:t xml:space="preserve">Figure no. 40 Irrigation channels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69647541" w14:textId="77777777" w:rsidR="008715BE" w:rsidRPr="00EC75B7" w:rsidRDefault="008715BE">
      <w:pPr>
        <w:jc w:val="center"/>
        <w:rPr>
          <w:rFonts w:ascii="Verdana" w:hAnsi="Verdana"/>
          <w:b/>
          <w:sz w:val="18"/>
          <w:szCs w:val="18"/>
        </w:rPr>
        <w:sectPr w:rsidR="008715BE" w:rsidRPr="00EC75B7">
          <w:pgSz w:w="11910" w:h="16840"/>
          <w:pgMar w:top="1320" w:right="566" w:bottom="1020" w:left="1133" w:header="766" w:footer="799" w:gutter="0"/>
          <w:cols w:space="708"/>
        </w:sectPr>
      </w:pPr>
    </w:p>
    <w:p w14:paraId="4DF331B4" w14:textId="77777777" w:rsidR="008715BE" w:rsidRPr="00EC75B7" w:rsidRDefault="00000000">
      <w:pPr>
        <w:pStyle w:val="Heading3"/>
        <w:numPr>
          <w:ilvl w:val="2"/>
          <w:numId w:val="110"/>
        </w:numPr>
        <w:tabs>
          <w:tab w:val="left" w:pos="1768"/>
        </w:tabs>
        <w:spacing w:before="102"/>
        <w:ind w:left="1768" w:hanging="717"/>
        <w:rPr>
          <w:rFonts w:ascii="Verdana" w:hAnsi="Verdana"/>
          <w:color w:val="00AFEF"/>
          <w:sz w:val="18"/>
          <w:szCs w:val="18"/>
        </w:rPr>
      </w:pPr>
      <w:bookmarkStart w:id="51" w:name="_bookmark52"/>
      <w:bookmarkEnd w:id="51"/>
      <w:r w:rsidRPr="00EC75B7">
        <w:rPr>
          <w:rFonts w:ascii="Verdana" w:hAnsi="Verdana"/>
          <w:color w:val="00AFEF"/>
          <w:spacing w:val="-2"/>
          <w:sz w:val="18"/>
          <w:szCs w:val="18"/>
        </w:rPr>
        <w:lastRenderedPageBreak/>
        <w:t>Ground</w:t>
      </w:r>
      <w:r w:rsidRPr="00EC75B7">
        <w:rPr>
          <w:rFonts w:ascii="Verdana" w:hAnsi="Verdana"/>
          <w:color w:val="00AFEF"/>
          <w:sz w:val="18"/>
          <w:szCs w:val="18"/>
        </w:rPr>
        <w:t>water</w:t>
      </w:r>
    </w:p>
    <w:p w14:paraId="05C6A03C" w14:textId="77777777" w:rsidR="008715BE" w:rsidRPr="00EC75B7" w:rsidRDefault="008715BE">
      <w:pPr>
        <w:pStyle w:val="BodyText"/>
        <w:spacing w:before="114"/>
        <w:rPr>
          <w:rFonts w:ascii="Verdana" w:hAnsi="Verdana"/>
          <w:b/>
        </w:rPr>
      </w:pPr>
    </w:p>
    <w:p w14:paraId="2FFDC91B" w14:textId="77777777" w:rsidR="008715BE" w:rsidRPr="00EC75B7" w:rsidRDefault="00000000">
      <w:pPr>
        <w:pStyle w:val="BodyText"/>
        <w:spacing w:line="357" w:lineRule="auto"/>
        <w:ind w:left="57"/>
        <w:rPr>
          <w:rFonts w:ascii="Verdana" w:hAnsi="Verdana"/>
        </w:rPr>
      </w:pPr>
      <w:r w:rsidRPr="00EC75B7">
        <w:rPr>
          <w:rFonts w:ascii="Verdana" w:hAnsi="Verdana"/>
        </w:rPr>
        <w:t>The project implementation area overlaps with three groundwater bodies in Romania and is located near two groundwater bodies in Bulgaria:</w:t>
      </w:r>
    </w:p>
    <w:p w14:paraId="3618EA33" w14:textId="77777777" w:rsidR="008715BE" w:rsidRPr="00EC75B7" w:rsidRDefault="00000000" w:rsidP="009069FA">
      <w:pPr>
        <w:pStyle w:val="ListParagraph"/>
        <w:numPr>
          <w:ilvl w:val="0"/>
          <w:numId w:val="87"/>
        </w:numPr>
        <w:tabs>
          <w:tab w:val="left" w:pos="1135"/>
        </w:tabs>
        <w:spacing w:before="121"/>
        <w:jc w:val="both"/>
        <w:rPr>
          <w:rFonts w:ascii="Verdana" w:hAnsi="Verdana"/>
          <w:sz w:val="18"/>
          <w:szCs w:val="18"/>
        </w:rPr>
      </w:pPr>
      <w:r w:rsidRPr="00EC75B7">
        <w:rPr>
          <w:rFonts w:ascii="Verdana" w:hAnsi="Verdana"/>
          <w:sz w:val="18"/>
          <w:szCs w:val="18"/>
        </w:rPr>
        <w:t xml:space="preserve">2 transboundary deep groundwater bodies (RODL04 Cobadin-Mangalia, RODL06 </w:t>
      </w:r>
      <w:r w:rsidRPr="00EC75B7">
        <w:rPr>
          <w:rFonts w:ascii="Verdana" w:hAnsi="Verdana"/>
          <w:spacing w:val="-10"/>
          <w:sz w:val="18"/>
          <w:szCs w:val="18"/>
        </w:rPr>
        <w:t>-</w:t>
      </w:r>
    </w:p>
    <w:p w14:paraId="74DD74C0" w14:textId="77777777" w:rsidR="008715BE" w:rsidRPr="00EC75B7" w:rsidRDefault="00000000" w:rsidP="009069FA">
      <w:pPr>
        <w:pStyle w:val="BodyText"/>
        <w:spacing w:before="109"/>
        <w:ind w:left="1135"/>
        <w:jc w:val="both"/>
        <w:rPr>
          <w:rFonts w:ascii="Verdana" w:hAnsi="Verdana"/>
        </w:rPr>
      </w:pPr>
      <w:r w:rsidRPr="00EC75B7">
        <w:rPr>
          <w:rFonts w:ascii="Verdana" w:hAnsi="Verdana"/>
        </w:rPr>
        <w:t xml:space="preserve">Platforma </w:t>
      </w:r>
      <w:r w:rsidRPr="00EC75B7">
        <w:rPr>
          <w:rFonts w:ascii="Verdana" w:hAnsi="Verdana"/>
          <w:spacing w:val="-2"/>
        </w:rPr>
        <w:t>Valahă);</w:t>
      </w:r>
    </w:p>
    <w:p w14:paraId="6ED4DBDD" w14:textId="77777777" w:rsidR="008715BE" w:rsidRPr="00EC75B7" w:rsidRDefault="00000000" w:rsidP="009069FA">
      <w:pPr>
        <w:pStyle w:val="ListParagraph"/>
        <w:numPr>
          <w:ilvl w:val="0"/>
          <w:numId w:val="87"/>
        </w:numPr>
        <w:tabs>
          <w:tab w:val="left" w:pos="1135"/>
        </w:tabs>
        <w:spacing w:before="109"/>
        <w:jc w:val="both"/>
        <w:rPr>
          <w:rFonts w:ascii="Verdana" w:hAnsi="Verdana"/>
          <w:sz w:val="18"/>
          <w:szCs w:val="18"/>
        </w:rPr>
      </w:pPr>
      <w:r w:rsidRPr="00EC75B7">
        <w:rPr>
          <w:rFonts w:ascii="Verdana" w:hAnsi="Verdana"/>
          <w:sz w:val="18"/>
          <w:szCs w:val="18"/>
        </w:rPr>
        <w:t xml:space="preserve">1 groundwater body (RODL10 </w:t>
      </w:r>
      <w:r w:rsidRPr="00EC75B7">
        <w:rPr>
          <w:rFonts w:ascii="Verdana" w:hAnsi="Verdana"/>
          <w:spacing w:val="-2"/>
          <w:sz w:val="18"/>
          <w:szCs w:val="18"/>
        </w:rPr>
        <w:t xml:space="preserve">Southern </w:t>
      </w:r>
      <w:r w:rsidRPr="00EC75B7">
        <w:rPr>
          <w:rFonts w:ascii="Verdana" w:hAnsi="Verdana"/>
          <w:sz w:val="18"/>
          <w:szCs w:val="18"/>
        </w:rPr>
        <w:t>Dobrogea</w:t>
      </w:r>
      <w:r w:rsidRPr="00EC75B7">
        <w:rPr>
          <w:rFonts w:ascii="Verdana" w:hAnsi="Verdana"/>
          <w:spacing w:val="-2"/>
          <w:sz w:val="18"/>
          <w:szCs w:val="18"/>
        </w:rPr>
        <w:t>);</w:t>
      </w:r>
    </w:p>
    <w:p w14:paraId="61127DF4" w14:textId="41013B70" w:rsidR="008715BE" w:rsidRPr="009069FA" w:rsidRDefault="00000000" w:rsidP="009069FA">
      <w:pPr>
        <w:pStyle w:val="ListParagraph"/>
        <w:numPr>
          <w:ilvl w:val="0"/>
          <w:numId w:val="87"/>
        </w:numPr>
        <w:tabs>
          <w:tab w:val="left" w:pos="1135"/>
          <w:tab w:val="left" w:pos="2402"/>
        </w:tabs>
        <w:spacing w:before="107"/>
        <w:jc w:val="both"/>
        <w:rPr>
          <w:rFonts w:ascii="Verdana" w:hAnsi="Verdana"/>
          <w:sz w:val="18"/>
          <w:szCs w:val="18"/>
        </w:rPr>
      </w:pPr>
      <w:r w:rsidRPr="00EC75B7">
        <w:rPr>
          <w:rFonts w:ascii="Verdana" w:hAnsi="Verdana"/>
          <w:sz w:val="18"/>
          <w:szCs w:val="18"/>
        </w:rPr>
        <w:t>2</w:t>
      </w:r>
      <w:r w:rsidRPr="00EC75B7">
        <w:rPr>
          <w:rFonts w:ascii="Verdana" w:hAnsi="Verdana"/>
          <w:spacing w:val="35"/>
          <w:sz w:val="18"/>
          <w:szCs w:val="18"/>
        </w:rPr>
        <w:t xml:space="preserve">  </w:t>
      </w:r>
      <w:r w:rsidRPr="00EC75B7">
        <w:rPr>
          <w:rFonts w:ascii="Verdana" w:hAnsi="Verdana"/>
          <w:spacing w:val="-2"/>
          <w:sz w:val="18"/>
          <w:szCs w:val="18"/>
        </w:rPr>
        <w:t xml:space="preserve"> bodies</w:t>
      </w:r>
      <w:r w:rsidRPr="00EC75B7">
        <w:rPr>
          <w:rFonts w:ascii="Verdana" w:hAnsi="Verdana"/>
          <w:sz w:val="18"/>
          <w:szCs w:val="18"/>
        </w:rPr>
        <w:tab/>
      </w:r>
      <w:r w:rsidRPr="00EC75B7">
        <w:rPr>
          <w:rFonts w:ascii="Verdana" w:hAnsi="Verdana"/>
          <w:spacing w:val="25"/>
          <w:sz w:val="18"/>
          <w:szCs w:val="18"/>
        </w:rPr>
        <w:t xml:space="preserve">  </w:t>
      </w:r>
      <w:r w:rsidRPr="00EC75B7">
        <w:rPr>
          <w:rFonts w:ascii="Verdana" w:hAnsi="Verdana"/>
          <w:sz w:val="18"/>
          <w:szCs w:val="18"/>
        </w:rPr>
        <w:t xml:space="preserve"> groundwater bodies</w:t>
      </w:r>
      <w:r w:rsidRPr="00EC75B7">
        <w:rPr>
          <w:rFonts w:ascii="Verdana" w:hAnsi="Verdana"/>
          <w:spacing w:val="26"/>
          <w:sz w:val="18"/>
          <w:szCs w:val="18"/>
        </w:rPr>
        <w:t xml:space="preserve">  </w:t>
      </w:r>
      <w:r w:rsidRPr="00EC75B7">
        <w:rPr>
          <w:rFonts w:ascii="Verdana" w:hAnsi="Verdana"/>
          <w:sz w:val="18"/>
          <w:szCs w:val="18"/>
        </w:rPr>
        <w:t xml:space="preserve"> </w:t>
      </w:r>
      <w:r w:rsidRPr="00EC75B7">
        <w:rPr>
          <w:rFonts w:ascii="Verdana" w:hAnsi="Verdana"/>
          <w:spacing w:val="25"/>
          <w:sz w:val="18"/>
          <w:szCs w:val="18"/>
        </w:rPr>
        <w:t xml:space="preserve">  </w:t>
      </w:r>
      <w:r w:rsidRPr="00EC75B7">
        <w:rPr>
          <w:rFonts w:ascii="Verdana" w:hAnsi="Verdana"/>
          <w:sz w:val="18"/>
          <w:szCs w:val="18"/>
        </w:rPr>
        <w:t xml:space="preserve"> located</w:t>
      </w:r>
      <w:r w:rsidRPr="00EC75B7">
        <w:rPr>
          <w:rFonts w:ascii="Verdana" w:hAnsi="Verdana"/>
          <w:spacing w:val="26"/>
          <w:sz w:val="18"/>
          <w:szCs w:val="18"/>
        </w:rPr>
        <w:t xml:space="preserve">  </w:t>
      </w:r>
      <w:r w:rsidRPr="00EC75B7">
        <w:rPr>
          <w:rFonts w:ascii="Verdana" w:hAnsi="Verdana"/>
          <w:sz w:val="18"/>
          <w:szCs w:val="18"/>
        </w:rPr>
        <w:t xml:space="preserve"> on</w:t>
      </w:r>
      <w:r w:rsidRPr="00EC75B7">
        <w:rPr>
          <w:rFonts w:ascii="Verdana" w:hAnsi="Verdana"/>
          <w:spacing w:val="26"/>
          <w:sz w:val="18"/>
          <w:szCs w:val="18"/>
        </w:rPr>
        <w:t xml:space="preserve">  </w:t>
      </w:r>
      <w:r w:rsidRPr="00EC75B7">
        <w:rPr>
          <w:rFonts w:ascii="Verdana" w:hAnsi="Verdana"/>
          <w:sz w:val="18"/>
          <w:szCs w:val="18"/>
        </w:rPr>
        <w:t xml:space="preserve"> the territory</w:t>
      </w:r>
      <w:r w:rsidRPr="00EC75B7">
        <w:rPr>
          <w:rFonts w:ascii="Verdana" w:hAnsi="Verdana"/>
          <w:spacing w:val="26"/>
          <w:sz w:val="18"/>
          <w:szCs w:val="18"/>
        </w:rPr>
        <w:t xml:space="preserve">  </w:t>
      </w:r>
      <w:r w:rsidRPr="00EC75B7">
        <w:rPr>
          <w:rFonts w:ascii="Verdana" w:hAnsi="Verdana"/>
          <w:sz w:val="18"/>
          <w:szCs w:val="18"/>
        </w:rPr>
        <w:t xml:space="preserve"> of Bulgaria</w:t>
      </w:r>
      <w:r w:rsidRPr="00EC75B7">
        <w:rPr>
          <w:rFonts w:ascii="Verdana" w:hAnsi="Verdana"/>
          <w:spacing w:val="26"/>
          <w:sz w:val="18"/>
          <w:szCs w:val="18"/>
        </w:rPr>
        <w:t xml:space="preserve">  </w:t>
      </w:r>
      <w:r w:rsidRPr="00EC75B7">
        <w:rPr>
          <w:rFonts w:ascii="Verdana" w:hAnsi="Verdana"/>
          <w:sz w:val="18"/>
          <w:szCs w:val="18"/>
        </w:rPr>
        <w:t xml:space="preserve"> (BG1G000000N049</w:t>
      </w:r>
      <w:r w:rsidRPr="00EC75B7">
        <w:rPr>
          <w:rFonts w:ascii="Verdana" w:hAnsi="Verdana"/>
          <w:spacing w:val="25"/>
          <w:sz w:val="18"/>
          <w:szCs w:val="18"/>
        </w:rPr>
        <w:t xml:space="preserve">  </w:t>
      </w:r>
      <w:r w:rsidRPr="00EC75B7">
        <w:rPr>
          <w:rFonts w:ascii="Verdana" w:hAnsi="Verdana"/>
          <w:spacing w:val="-5"/>
          <w:sz w:val="18"/>
          <w:szCs w:val="18"/>
        </w:rPr>
        <w:t xml:space="preserve"> and</w:t>
      </w:r>
      <w:r w:rsidR="009069FA">
        <w:rPr>
          <w:rFonts w:ascii="Verdana" w:hAnsi="Verdana"/>
          <w:spacing w:val="-5"/>
          <w:sz w:val="18"/>
          <w:szCs w:val="18"/>
        </w:rPr>
        <w:t xml:space="preserve"> </w:t>
      </w:r>
      <w:r w:rsidRPr="009069FA">
        <w:rPr>
          <w:rFonts w:ascii="Verdana" w:hAnsi="Verdana"/>
          <w:spacing w:val="-2"/>
        </w:rPr>
        <w:t>BG1G0000J3K051).</w:t>
      </w:r>
    </w:p>
    <w:p w14:paraId="1D76D116" w14:textId="68CE6EDC" w:rsidR="008715BE" w:rsidRPr="00EC75B7" w:rsidRDefault="009069FA">
      <w:pPr>
        <w:pStyle w:val="BodyText"/>
        <w:spacing w:before="10"/>
        <w:rPr>
          <w:rFonts w:ascii="Verdana" w:hAnsi="Verdana"/>
        </w:rPr>
      </w:pPr>
      <w:r>
        <w:rPr>
          <w:noProof/>
        </w:rPr>
        <w:drawing>
          <wp:inline distT="0" distB="0" distL="0" distR="0" wp14:anchorId="24C38454" wp14:editId="3BA7F415">
            <wp:extent cx="6483985" cy="4585970"/>
            <wp:effectExtent l="0" t="0" r="0" b="5080"/>
            <wp:docPr id="8051731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483985" cy="4585970"/>
                    </a:xfrm>
                    <a:prstGeom prst="rect">
                      <a:avLst/>
                    </a:prstGeom>
                    <a:noFill/>
                    <a:ln>
                      <a:noFill/>
                    </a:ln>
                  </pic:spPr>
                </pic:pic>
              </a:graphicData>
            </a:graphic>
          </wp:inline>
        </w:drawing>
      </w:r>
    </w:p>
    <w:p w14:paraId="723FEB7E" w14:textId="77777777" w:rsidR="008715BE" w:rsidRPr="00EC75B7" w:rsidRDefault="008715BE">
      <w:pPr>
        <w:pStyle w:val="BodyText"/>
        <w:spacing w:before="100"/>
        <w:rPr>
          <w:rFonts w:ascii="Verdana" w:hAnsi="Verdana"/>
        </w:rPr>
      </w:pPr>
    </w:p>
    <w:p w14:paraId="193A2AF3" w14:textId="77777777" w:rsidR="008715BE" w:rsidRPr="00EC75B7" w:rsidRDefault="00000000">
      <w:pPr>
        <w:ind w:left="282" w:right="368"/>
        <w:jc w:val="center"/>
        <w:rPr>
          <w:rFonts w:ascii="Verdana" w:hAnsi="Verdana"/>
          <w:b/>
          <w:sz w:val="18"/>
          <w:szCs w:val="18"/>
        </w:rPr>
      </w:pPr>
      <w:r w:rsidRPr="00EC75B7">
        <w:rPr>
          <w:rFonts w:ascii="Verdana" w:hAnsi="Verdana"/>
          <w:b/>
          <w:color w:val="009DEF"/>
          <w:sz w:val="18"/>
          <w:szCs w:val="18"/>
        </w:rPr>
        <w:t xml:space="preserve">Figure no. 41 Groundwater bodies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678E6E96" w14:textId="77777777" w:rsidR="008715BE" w:rsidRPr="00EC75B7" w:rsidRDefault="008715BE">
      <w:pPr>
        <w:pStyle w:val="BodyText"/>
        <w:rPr>
          <w:rFonts w:ascii="Verdana" w:hAnsi="Verdana"/>
          <w:b/>
        </w:rPr>
      </w:pPr>
    </w:p>
    <w:p w14:paraId="5E35672D" w14:textId="77777777" w:rsidR="008715BE" w:rsidRPr="00EC75B7" w:rsidRDefault="008715BE">
      <w:pPr>
        <w:pStyle w:val="BodyText"/>
        <w:rPr>
          <w:rFonts w:ascii="Verdana" w:hAnsi="Verdana"/>
          <w:b/>
        </w:rPr>
      </w:pPr>
    </w:p>
    <w:p w14:paraId="41C41EC3" w14:textId="77777777" w:rsidR="008715BE" w:rsidRPr="00EC75B7" w:rsidRDefault="008715BE">
      <w:pPr>
        <w:pStyle w:val="BodyText"/>
        <w:spacing w:before="78"/>
        <w:rPr>
          <w:rFonts w:ascii="Verdana" w:hAnsi="Verdana"/>
          <w:b/>
        </w:rPr>
      </w:pPr>
    </w:p>
    <w:p w14:paraId="1BDCEA85" w14:textId="77777777" w:rsidR="008715BE" w:rsidRPr="00EC75B7" w:rsidRDefault="00000000">
      <w:pPr>
        <w:pStyle w:val="Heading5"/>
        <w:rPr>
          <w:rFonts w:ascii="Verdana" w:hAnsi="Verdana"/>
        </w:rPr>
      </w:pPr>
      <w:r w:rsidRPr="00EC75B7">
        <w:rPr>
          <w:rFonts w:ascii="Verdana" w:hAnsi="Verdana"/>
        </w:rPr>
        <w:t>Groundwater body RODL04 – Cobadin - Mangalia (</w:t>
      </w:r>
      <w:r w:rsidRPr="00EC75B7">
        <w:rPr>
          <w:rFonts w:ascii="Verdana" w:hAnsi="Verdana"/>
          <w:spacing w:val="-2"/>
        </w:rPr>
        <w:t xml:space="preserve">transboundary </w:t>
      </w:r>
      <w:r w:rsidRPr="00EC75B7">
        <w:rPr>
          <w:rFonts w:ascii="Verdana" w:hAnsi="Verdana"/>
        </w:rPr>
        <w:t>water body</w:t>
      </w:r>
      <w:r w:rsidRPr="00EC75B7">
        <w:rPr>
          <w:rFonts w:ascii="Verdana" w:hAnsi="Verdana"/>
          <w:spacing w:val="-2"/>
        </w:rPr>
        <w:t>)</w:t>
      </w:r>
    </w:p>
    <w:p w14:paraId="051DB554" w14:textId="77777777" w:rsidR="008715BE" w:rsidRPr="00EC75B7" w:rsidRDefault="008715BE">
      <w:pPr>
        <w:pStyle w:val="BodyText"/>
        <w:spacing w:before="10"/>
        <w:rPr>
          <w:rFonts w:ascii="Verdana" w:hAnsi="Verdana"/>
          <w:b/>
        </w:rPr>
      </w:pPr>
    </w:p>
    <w:p w14:paraId="5FC21627" w14:textId="77777777" w:rsidR="008715BE" w:rsidRPr="00EC75B7" w:rsidRDefault="00000000">
      <w:pPr>
        <w:pStyle w:val="BodyText"/>
        <w:spacing w:line="357" w:lineRule="auto"/>
        <w:ind w:left="57" w:right="424"/>
        <w:jc w:val="both"/>
        <w:rPr>
          <w:rFonts w:ascii="Verdana" w:hAnsi="Verdana"/>
        </w:rPr>
      </w:pPr>
      <w:r w:rsidRPr="00EC75B7">
        <w:rPr>
          <w:rFonts w:ascii="Verdana" w:hAnsi="Verdana"/>
        </w:rPr>
        <w:t>The deep groundwater body is accumulated in oolitic and lumachelic Sarmatian (Kersonian) limestone deposits located in the southeastern tip of Dobrogea.</w:t>
      </w:r>
      <w:r w:rsidRPr="00EC75B7">
        <w:rPr>
          <w:rFonts w:ascii="Verdana" w:hAnsi="Verdana"/>
          <w:spacing w:val="40"/>
        </w:rPr>
        <w:t xml:space="preserve"> </w:t>
      </w:r>
      <w:r w:rsidRPr="00EC75B7">
        <w:rPr>
          <w:rFonts w:ascii="Verdana" w:hAnsi="Verdana"/>
        </w:rPr>
        <w:t>The Sarmatian limestone deposits form a 10-150 m thick slab sloping slightly towards the east, which contains free-flowing water that is the main source of supply for the coast south of Eforie Nord.</w:t>
      </w:r>
    </w:p>
    <w:p w14:paraId="33D8D0AD" w14:textId="77777777" w:rsidR="008715BE" w:rsidRPr="00EC75B7" w:rsidRDefault="00000000">
      <w:pPr>
        <w:pStyle w:val="BodyText"/>
        <w:spacing w:before="123"/>
        <w:ind w:left="57"/>
        <w:jc w:val="both"/>
        <w:rPr>
          <w:rFonts w:ascii="Verdana" w:hAnsi="Verdana"/>
        </w:rPr>
      </w:pPr>
      <w:r w:rsidRPr="00EC75B7">
        <w:rPr>
          <w:rFonts w:ascii="Verdana" w:hAnsi="Verdana"/>
        </w:rPr>
        <w:t xml:space="preserve">At the base of the Sarmatian limestones there is a package of Senonian chalk representing the </w:t>
      </w:r>
      <w:r w:rsidRPr="00EC75B7">
        <w:rPr>
          <w:rFonts w:ascii="Verdana" w:hAnsi="Verdana"/>
          <w:spacing w:val="-2"/>
        </w:rPr>
        <w:t xml:space="preserve">impermeable </w:t>
      </w:r>
      <w:r w:rsidRPr="00EC75B7">
        <w:rPr>
          <w:rFonts w:ascii="Verdana" w:hAnsi="Verdana"/>
        </w:rPr>
        <w:t>bed</w:t>
      </w:r>
    </w:p>
    <w:p w14:paraId="1FCA5604" w14:textId="77777777" w:rsidR="008715BE" w:rsidRPr="00EC75B7" w:rsidRDefault="00000000">
      <w:pPr>
        <w:pStyle w:val="BodyText"/>
        <w:spacing w:before="107"/>
        <w:ind w:left="57"/>
        <w:jc w:val="both"/>
        <w:rPr>
          <w:rFonts w:ascii="Verdana" w:hAnsi="Verdana"/>
        </w:rPr>
      </w:pPr>
      <w:r w:rsidRPr="00EC75B7">
        <w:rPr>
          <w:rFonts w:ascii="Verdana" w:hAnsi="Verdana"/>
        </w:rPr>
        <w:t xml:space="preserve">of </w:t>
      </w:r>
      <w:r w:rsidRPr="00EC75B7">
        <w:rPr>
          <w:rFonts w:ascii="Verdana" w:hAnsi="Verdana"/>
          <w:spacing w:val="-2"/>
        </w:rPr>
        <w:t>the aquifer.</w:t>
      </w:r>
    </w:p>
    <w:p w14:paraId="305290C6" w14:textId="77777777" w:rsidR="008715BE" w:rsidRPr="00EC75B7" w:rsidRDefault="008715BE">
      <w:pPr>
        <w:pStyle w:val="BodyText"/>
        <w:jc w:val="both"/>
        <w:rPr>
          <w:rFonts w:ascii="Verdana" w:hAnsi="Verdana"/>
        </w:rPr>
        <w:sectPr w:rsidR="008715BE" w:rsidRPr="00EC75B7">
          <w:pgSz w:w="11910" w:h="16840"/>
          <w:pgMar w:top="1320" w:right="566" w:bottom="1020" w:left="1133" w:header="766" w:footer="799" w:gutter="0"/>
          <w:cols w:space="708"/>
        </w:sectPr>
      </w:pPr>
    </w:p>
    <w:p w14:paraId="6A88D40B" w14:textId="77777777" w:rsidR="008715BE" w:rsidRPr="00EC75B7" w:rsidRDefault="00000000">
      <w:pPr>
        <w:pStyle w:val="BodyText"/>
        <w:spacing w:before="99" w:line="357" w:lineRule="auto"/>
        <w:ind w:left="57" w:right="433"/>
        <w:jc w:val="both"/>
        <w:rPr>
          <w:rFonts w:ascii="Verdana" w:hAnsi="Verdana"/>
        </w:rPr>
      </w:pPr>
      <w:r w:rsidRPr="00EC75B7">
        <w:rPr>
          <w:rFonts w:ascii="Verdana" w:hAnsi="Verdana"/>
        </w:rPr>
        <w:lastRenderedPageBreak/>
        <w:t>At the top, the Sarmatian aquifer complex is generally covered by permeable Pleistocene loess deposits (middle and upper), but locally there are also impermeable clay layers from the lower Pleistocene.</w:t>
      </w:r>
    </w:p>
    <w:p w14:paraId="1E3B9B37" w14:textId="77777777" w:rsidR="008715BE" w:rsidRPr="00EC75B7" w:rsidRDefault="00000000">
      <w:pPr>
        <w:pStyle w:val="BodyText"/>
        <w:spacing w:before="123"/>
        <w:ind w:left="57"/>
        <w:jc w:val="both"/>
        <w:rPr>
          <w:rFonts w:ascii="Verdana" w:hAnsi="Verdana"/>
        </w:rPr>
      </w:pPr>
      <w:r w:rsidRPr="00EC75B7">
        <w:rPr>
          <w:rFonts w:ascii="Verdana" w:hAnsi="Verdana"/>
        </w:rPr>
        <w:t xml:space="preserve">The majority of the groundwater body (85%) is covered by </w:t>
      </w:r>
      <w:r w:rsidRPr="00EC75B7">
        <w:rPr>
          <w:rFonts w:ascii="Verdana" w:hAnsi="Verdana"/>
          <w:spacing w:val="-2"/>
        </w:rPr>
        <w:t xml:space="preserve">arable </w:t>
      </w:r>
      <w:r w:rsidRPr="00EC75B7">
        <w:rPr>
          <w:rFonts w:ascii="Verdana" w:hAnsi="Verdana"/>
        </w:rPr>
        <w:t>land</w:t>
      </w:r>
      <w:r w:rsidRPr="00EC75B7">
        <w:rPr>
          <w:rFonts w:ascii="Verdana" w:hAnsi="Verdana"/>
          <w:spacing w:val="-2"/>
        </w:rPr>
        <w:t>.</w:t>
      </w:r>
    </w:p>
    <w:p w14:paraId="6FBE5210" w14:textId="77777777" w:rsidR="008715BE" w:rsidRPr="00EC75B7" w:rsidRDefault="008715BE">
      <w:pPr>
        <w:pStyle w:val="BodyText"/>
        <w:spacing w:before="9"/>
        <w:rPr>
          <w:rFonts w:ascii="Verdana" w:hAnsi="Verdana"/>
        </w:rPr>
      </w:pPr>
    </w:p>
    <w:p w14:paraId="735F1BC8" w14:textId="77777777" w:rsidR="008715BE" w:rsidRPr="00EC75B7" w:rsidRDefault="00000000">
      <w:pPr>
        <w:pStyle w:val="Heading5"/>
        <w:rPr>
          <w:rFonts w:ascii="Verdana" w:hAnsi="Verdana"/>
        </w:rPr>
      </w:pPr>
      <w:r w:rsidRPr="00EC75B7">
        <w:rPr>
          <w:rFonts w:ascii="Verdana" w:hAnsi="Verdana"/>
        </w:rPr>
        <w:t>Groundwater body RODL06 - Valaha Platform (</w:t>
      </w:r>
      <w:r w:rsidRPr="00EC75B7">
        <w:rPr>
          <w:rFonts w:ascii="Verdana" w:hAnsi="Verdana"/>
          <w:spacing w:val="-2"/>
        </w:rPr>
        <w:t xml:space="preserve">transboundary </w:t>
      </w:r>
      <w:r w:rsidRPr="00EC75B7">
        <w:rPr>
          <w:rFonts w:ascii="Verdana" w:hAnsi="Verdana"/>
        </w:rPr>
        <w:t>water body</w:t>
      </w:r>
      <w:r w:rsidRPr="00EC75B7">
        <w:rPr>
          <w:rFonts w:ascii="Verdana" w:hAnsi="Verdana"/>
          <w:spacing w:val="-2"/>
        </w:rPr>
        <w:t>)</w:t>
      </w:r>
    </w:p>
    <w:p w14:paraId="22B9BE1F" w14:textId="77777777" w:rsidR="008715BE" w:rsidRPr="00EC75B7" w:rsidRDefault="008715BE">
      <w:pPr>
        <w:pStyle w:val="BodyText"/>
        <w:spacing w:before="7"/>
        <w:rPr>
          <w:rFonts w:ascii="Verdana" w:hAnsi="Verdana"/>
          <w:b/>
        </w:rPr>
      </w:pPr>
    </w:p>
    <w:p w14:paraId="4ABF657B" w14:textId="77777777" w:rsidR="008715BE" w:rsidRPr="00EC75B7" w:rsidRDefault="00000000">
      <w:pPr>
        <w:pStyle w:val="BodyText"/>
        <w:spacing w:line="360" w:lineRule="auto"/>
        <w:ind w:left="57" w:right="434"/>
        <w:jc w:val="both"/>
        <w:rPr>
          <w:rFonts w:ascii="Verdana" w:hAnsi="Verdana"/>
        </w:rPr>
      </w:pPr>
      <w:r w:rsidRPr="00EC75B7">
        <w:rPr>
          <w:rFonts w:ascii="Verdana" w:hAnsi="Verdana"/>
        </w:rPr>
        <w:t>This deep underground water body has a large extent, partially covering the Wallachian Platform, and is described below in two areas, which present different degrees of knowledge and exploitation:</w:t>
      </w:r>
    </w:p>
    <w:p w14:paraId="2BA4FEB2" w14:textId="77777777" w:rsidR="008715BE" w:rsidRPr="00EC75B7" w:rsidRDefault="00000000">
      <w:pPr>
        <w:pStyle w:val="ListParagraph"/>
        <w:numPr>
          <w:ilvl w:val="0"/>
          <w:numId w:val="87"/>
        </w:numPr>
        <w:tabs>
          <w:tab w:val="left" w:pos="1133"/>
          <w:tab w:val="left" w:pos="1135"/>
        </w:tabs>
        <w:spacing w:before="118" w:line="357" w:lineRule="auto"/>
        <w:ind w:right="424"/>
        <w:jc w:val="both"/>
        <w:rPr>
          <w:rFonts w:ascii="Verdana" w:hAnsi="Verdana"/>
          <w:sz w:val="18"/>
          <w:szCs w:val="18"/>
        </w:rPr>
      </w:pPr>
      <w:r w:rsidRPr="00EC75B7">
        <w:rPr>
          <w:rFonts w:ascii="Verdana" w:hAnsi="Verdana"/>
          <w:sz w:val="18"/>
          <w:szCs w:val="18"/>
        </w:rPr>
        <w:t>Development area in Southern Dobrogea: The deep aquifer – but partially also with a free level (the sector adjacent to the Danube) – is confined to Jurassic and Barremian limestone and dolomite formations, sometimes fractured and karstified, with regional extension (approx. 4500 km2) throughout Southern Dobrogea. The Barremian-Jurassic aquifer, also known as the lower aquifer, is confined to fractured and karstified carbonate formations of Barremian and Upper Jurassic age (Tithonian, Kimmeridgian, Oxfordian).</w:t>
      </w:r>
      <w:r w:rsidRPr="00EC75B7">
        <w:rPr>
          <w:rFonts w:ascii="Verdana" w:hAnsi="Verdana"/>
          <w:spacing w:val="-5"/>
          <w:sz w:val="18"/>
          <w:szCs w:val="18"/>
        </w:rPr>
        <w:t xml:space="preserve"> </w:t>
      </w:r>
      <w:r w:rsidRPr="00EC75B7">
        <w:rPr>
          <w:rFonts w:ascii="Verdana" w:hAnsi="Verdana"/>
          <w:sz w:val="18"/>
          <w:szCs w:val="18"/>
        </w:rPr>
        <w:t>The Jurassic and Barremian formations are characterized by hydraulic communication through an aquitard.</w:t>
      </w:r>
    </w:p>
    <w:p w14:paraId="73CBB26D" w14:textId="77777777" w:rsidR="008715BE" w:rsidRPr="00EC75B7" w:rsidRDefault="00000000">
      <w:pPr>
        <w:pStyle w:val="ListParagraph"/>
        <w:numPr>
          <w:ilvl w:val="0"/>
          <w:numId w:val="87"/>
        </w:numPr>
        <w:tabs>
          <w:tab w:val="left" w:pos="1133"/>
          <w:tab w:val="left" w:pos="1135"/>
        </w:tabs>
        <w:spacing w:before="6" w:line="357" w:lineRule="auto"/>
        <w:ind w:right="423"/>
        <w:jc w:val="both"/>
        <w:rPr>
          <w:rFonts w:ascii="Verdana" w:hAnsi="Verdana"/>
          <w:sz w:val="18"/>
          <w:szCs w:val="18"/>
        </w:rPr>
      </w:pPr>
      <w:r w:rsidRPr="00EC75B7">
        <w:rPr>
          <w:rFonts w:ascii="Verdana" w:hAnsi="Verdana"/>
          <w:sz w:val="18"/>
          <w:szCs w:val="18"/>
        </w:rPr>
        <w:t>Giurgiu – Călăraşi area: A series of exploratory drillings were carried out in the area bordering the Danube, between Zimnicea to the west and Feteşti</w:t>
      </w:r>
      <w:r w:rsidRPr="00EC75B7">
        <w:rPr>
          <w:rFonts w:ascii="Verdana" w:hAnsi="Verdana"/>
          <w:spacing w:val="35"/>
          <w:sz w:val="18"/>
          <w:szCs w:val="18"/>
        </w:rPr>
        <w:t xml:space="preserve"> </w:t>
      </w:r>
      <w:r w:rsidRPr="00EC75B7">
        <w:rPr>
          <w:rFonts w:ascii="Verdana" w:hAnsi="Verdana"/>
          <w:sz w:val="18"/>
          <w:szCs w:val="18"/>
        </w:rPr>
        <w:t>to the east, intercepted a series of carbonate rocks (compact or fissured limestone, whitish or grayish with frequent flint lenses) from the Lower Cretaceous and Jurassic periods, located at depths of 200–400 meters.</w:t>
      </w:r>
      <w:r w:rsidRPr="00EC75B7">
        <w:rPr>
          <w:rFonts w:ascii="Verdana" w:hAnsi="Verdana"/>
          <w:spacing w:val="40"/>
          <w:sz w:val="18"/>
          <w:szCs w:val="18"/>
        </w:rPr>
        <w:t xml:space="preserve"> </w:t>
      </w:r>
      <w:r w:rsidRPr="00EC75B7">
        <w:rPr>
          <w:rFonts w:ascii="Verdana" w:hAnsi="Verdana"/>
          <w:sz w:val="18"/>
          <w:szCs w:val="18"/>
        </w:rPr>
        <w:t>This deep aquifer is strongly ascending, with the piezometric level located at depths between 4 and 12 m. The flow rates obtained by pumping are between 20 and 60 l/s, with specific flow rates of around 10 to 25 l/s/m.</w:t>
      </w:r>
      <w:r w:rsidRPr="00EC75B7">
        <w:rPr>
          <w:rFonts w:ascii="Verdana" w:hAnsi="Verdana"/>
          <w:spacing w:val="40"/>
          <w:sz w:val="18"/>
          <w:szCs w:val="18"/>
        </w:rPr>
        <w:t xml:space="preserve"> </w:t>
      </w:r>
      <w:r w:rsidRPr="00EC75B7">
        <w:rPr>
          <w:rFonts w:ascii="Verdana" w:hAnsi="Verdana"/>
          <w:sz w:val="18"/>
          <w:szCs w:val="18"/>
        </w:rPr>
        <w:t>In the Giurgiu area, beneath the gravel and boulders of the low Danube terrace, at depths of between 15 and 25 m, there are a series of deposits consisting of gray, white, or greenish marl and sandstone, attributed to the Upper Cretaceous (Turonian-Senonian).</w:t>
      </w:r>
    </w:p>
    <w:p w14:paraId="6888EF8A" w14:textId="77777777" w:rsidR="008715BE" w:rsidRPr="00EC75B7" w:rsidRDefault="00000000">
      <w:pPr>
        <w:pStyle w:val="BodyText"/>
        <w:spacing w:before="127" w:line="360" w:lineRule="auto"/>
        <w:ind w:left="57" w:right="429"/>
        <w:jc w:val="both"/>
        <w:rPr>
          <w:rFonts w:ascii="Verdana" w:hAnsi="Verdana"/>
        </w:rPr>
      </w:pPr>
      <w:r w:rsidRPr="00EC75B7">
        <w:rPr>
          <w:rFonts w:ascii="Verdana" w:hAnsi="Verdana"/>
        </w:rPr>
        <w:t xml:space="preserve">The RODL06 groundwater body is covered by agricultural land, and if chemical fertilizers are applied to this land, it may have a negative impact on the chemical status of the </w:t>
      </w:r>
      <w:r w:rsidRPr="00EC75B7">
        <w:rPr>
          <w:rFonts w:ascii="Verdana" w:hAnsi="Verdana"/>
          <w:spacing w:val="-2"/>
        </w:rPr>
        <w:t xml:space="preserve">groundwater </w:t>
      </w:r>
      <w:r w:rsidRPr="00EC75B7">
        <w:rPr>
          <w:rFonts w:ascii="Verdana" w:hAnsi="Verdana"/>
        </w:rPr>
        <w:t>body</w:t>
      </w:r>
      <w:r w:rsidRPr="00EC75B7">
        <w:rPr>
          <w:rFonts w:ascii="Verdana" w:hAnsi="Verdana"/>
          <w:spacing w:val="-2"/>
        </w:rPr>
        <w:t>.</w:t>
      </w:r>
    </w:p>
    <w:p w14:paraId="685A695B" w14:textId="77777777" w:rsidR="008715BE" w:rsidRPr="00EC75B7" w:rsidRDefault="00000000">
      <w:pPr>
        <w:pStyle w:val="Heading5"/>
        <w:spacing w:before="116"/>
        <w:rPr>
          <w:rFonts w:ascii="Verdana" w:hAnsi="Verdana"/>
        </w:rPr>
      </w:pPr>
      <w:r w:rsidRPr="00EC75B7">
        <w:rPr>
          <w:rFonts w:ascii="Verdana" w:hAnsi="Verdana"/>
        </w:rPr>
        <w:t>Groundwater body RODL10 - Southern Dobrogea (</w:t>
      </w:r>
      <w:r w:rsidRPr="00EC75B7">
        <w:rPr>
          <w:rFonts w:ascii="Verdana" w:hAnsi="Verdana"/>
          <w:spacing w:val="-2"/>
        </w:rPr>
        <w:t xml:space="preserve">transboundary </w:t>
      </w:r>
      <w:r w:rsidRPr="00EC75B7">
        <w:rPr>
          <w:rFonts w:ascii="Verdana" w:hAnsi="Verdana"/>
        </w:rPr>
        <w:t>water body</w:t>
      </w:r>
      <w:r w:rsidRPr="00EC75B7">
        <w:rPr>
          <w:rFonts w:ascii="Verdana" w:hAnsi="Verdana"/>
          <w:spacing w:val="-2"/>
        </w:rPr>
        <w:t>)</w:t>
      </w:r>
    </w:p>
    <w:p w14:paraId="6F88BB4C" w14:textId="77777777" w:rsidR="008715BE" w:rsidRPr="00EC75B7" w:rsidRDefault="008715BE">
      <w:pPr>
        <w:pStyle w:val="BodyText"/>
        <w:spacing w:before="9"/>
        <w:rPr>
          <w:rFonts w:ascii="Verdana" w:hAnsi="Verdana"/>
          <w:b/>
        </w:rPr>
      </w:pPr>
    </w:p>
    <w:p w14:paraId="6B863A62" w14:textId="77777777" w:rsidR="008715BE" w:rsidRPr="00EC75B7" w:rsidRDefault="00000000">
      <w:pPr>
        <w:pStyle w:val="BodyText"/>
        <w:spacing w:line="357" w:lineRule="auto"/>
        <w:ind w:left="57" w:right="425"/>
        <w:jc w:val="both"/>
        <w:rPr>
          <w:rFonts w:ascii="Verdana" w:hAnsi="Verdana"/>
        </w:rPr>
      </w:pPr>
      <w:r w:rsidRPr="00EC75B7">
        <w:rPr>
          <w:rFonts w:ascii="Verdana" w:hAnsi="Verdana"/>
        </w:rPr>
        <w:t>The groundwater body is phreatic, porous-permeable or fissured, located in current and sub-current alluvium (attributed to the Holocene), in loess deposits (Upper Pleistocene-Holocene), in loess (Middle Pleistocene-Upper Pleistocene), as well as at the boundary between loess/loessoid/red clays (the latter being attributed to the Lower Pleistocene) and the terminal part of the Sarmatian deposits (Cotu Văii Formation), Upper Badenian (Seimeni Formation) or Lower Cretaceous. Due to its lithological constitution, geomorphological characteristics, and structural-tectonic conditions, the body shows great variations in quantity and quality, both horizontally and vertically.</w:t>
      </w:r>
    </w:p>
    <w:p w14:paraId="177AB179" w14:textId="77777777" w:rsidR="008715BE" w:rsidRPr="00EC75B7" w:rsidRDefault="00000000">
      <w:pPr>
        <w:pStyle w:val="BodyText"/>
        <w:spacing w:before="126"/>
        <w:ind w:left="57"/>
        <w:jc w:val="both"/>
        <w:rPr>
          <w:rFonts w:ascii="Verdana" w:hAnsi="Verdana"/>
        </w:rPr>
      </w:pPr>
      <w:r w:rsidRPr="00EC75B7">
        <w:rPr>
          <w:rFonts w:ascii="Verdana" w:hAnsi="Verdana"/>
        </w:rPr>
        <w:t>Most of the surface area of the water body is covered by agricultural land (</w:t>
      </w:r>
      <w:r w:rsidRPr="00EC75B7">
        <w:rPr>
          <w:rFonts w:ascii="Verdana" w:hAnsi="Verdana"/>
          <w:spacing w:val="-5"/>
        </w:rPr>
        <w:t>83%).</w:t>
      </w:r>
    </w:p>
    <w:p w14:paraId="58F729C6" w14:textId="77777777" w:rsidR="008715BE" w:rsidRPr="00EC75B7" w:rsidRDefault="008715BE">
      <w:pPr>
        <w:pStyle w:val="BodyText"/>
        <w:spacing w:before="6"/>
        <w:rPr>
          <w:rFonts w:ascii="Verdana" w:hAnsi="Verdana"/>
        </w:rPr>
      </w:pPr>
    </w:p>
    <w:p w14:paraId="37101250" w14:textId="0ED68F58" w:rsidR="008715BE" w:rsidRPr="00EC75B7" w:rsidRDefault="00000000" w:rsidP="001A36C7">
      <w:pPr>
        <w:pStyle w:val="BodyText"/>
        <w:ind w:left="57"/>
        <w:jc w:val="both"/>
        <w:rPr>
          <w:rFonts w:ascii="Verdana" w:hAnsi="Verdana"/>
        </w:rPr>
      </w:pPr>
      <w:r w:rsidRPr="00EC75B7">
        <w:rPr>
          <w:rFonts w:ascii="Verdana" w:hAnsi="Verdana"/>
          <w:noProof/>
        </w:rPr>
        <mc:AlternateContent>
          <mc:Choice Requires="wps">
            <w:drawing>
              <wp:anchor distT="0" distB="0" distL="0" distR="0" simplePos="0" relativeHeight="251701248" behindDoc="1" locked="0" layoutInCell="1" allowOverlap="1" wp14:anchorId="66FDDD60" wp14:editId="342292D4">
                <wp:simplePos x="0" y="0"/>
                <wp:positionH relativeFrom="page">
                  <wp:posOffset>5915914</wp:posOffset>
                </wp:positionH>
                <wp:positionV relativeFrom="paragraph">
                  <wp:posOffset>101742</wp:posOffset>
                </wp:positionV>
                <wp:extent cx="17780" cy="12700"/>
                <wp:effectExtent l="0" t="0" r="0" b="0"/>
                <wp:wrapNone/>
                <wp:docPr id="216" name="Textbox 216"/>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A0FCD05" w14:textId="77777777" w:rsidR="008715BE" w:rsidRDefault="00000000">
                            <w:pPr>
                              <w:spacing w:line="19" w:lineRule="exact"/>
                              <w:rPr>
                                <w:sz w:val="2"/>
                              </w:rPr>
                            </w:pPr>
                            <w:r>
                              <w:rPr>
                                <w:spacing w:val="-5"/>
                                <w:sz w:val="1"/>
                              </w:rPr>
                              <w:t>19F</w:t>
                            </w:r>
                          </w:p>
                        </w:txbxContent>
                      </wps:txbx>
                      <wps:bodyPr wrap="square" lIns="0" tIns="0" rIns="0" bIns="0" rtlCol="0"/>
                    </wps:wsp>
                  </a:graphicData>
                </a:graphic>
              </wp:anchor>
            </w:drawing>
          </mc:Choice>
          <mc:Fallback>
            <w:pict>
              <v:shape w14:anchorId="66FDDD60" id="Textbox 216" o:spid="_x0000_s1104" type="#_x0000_t202" style="position:absolute;left:0;text-align:left;margin-left:465.8pt;margin-top:8pt;width:1.4pt;height:1pt;z-index:-25161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" filled="f" stroked="f">
                <v:textbox inset="0,0,0,0">
                  <w:txbxContent>
                    <w:p w14:paraId="5A0FCD05" w14:textId="77777777" w:rsidR="008715BE" w:rsidRDefault="00000000">
                      <w:pPr>
                        <w:spacing w:line="19" w:lineRule="exact"/>
                        <w:rPr>
                          <w:sz w:val="2"/>
                        </w:rPr>
                      </w:pPr>
                      <w:r>
                        <w:rPr>
                          <w:spacing w:val="-5"/>
                          <w:sz w:val="1"/>
                        </w:rPr>
                        <w:t>19F</w:t>
                      </w:r>
                    </w:p>
                  </w:txbxContent>
                </v:textbox>
                <w10:wrap anchorx="page"/>
              </v:shape>
            </w:pict>
          </mc:Fallback>
        </mc:AlternateContent>
      </w:r>
      <w:r w:rsidRPr="00EC75B7">
        <w:rPr>
          <w:rFonts w:ascii="Verdana" w:hAnsi="Verdana"/>
        </w:rPr>
        <w:t xml:space="preserve">The environmental objectives for groundwater bodies, current quantitative and chemical status </w:t>
      </w:r>
      <w:r w:rsidRPr="00EC75B7">
        <w:rPr>
          <w:rFonts w:ascii="Verdana" w:hAnsi="Verdana"/>
          <w:position w:val="6"/>
        </w:rPr>
        <w:t>18</w:t>
      </w:r>
      <w:r w:rsidRPr="00EC75B7">
        <w:rPr>
          <w:rFonts w:ascii="Verdana" w:hAnsi="Verdana"/>
        </w:rPr>
        <w:t xml:space="preserve">can be found </w:t>
      </w:r>
      <w:r w:rsidRPr="00EC75B7">
        <w:rPr>
          <w:rFonts w:ascii="Verdana" w:hAnsi="Verdana"/>
          <w:spacing w:val="-5"/>
        </w:rPr>
        <w:t>in</w:t>
      </w:r>
      <w:r w:rsidR="001A36C7">
        <w:rPr>
          <w:rFonts w:ascii="Verdana" w:hAnsi="Verdana"/>
        </w:rPr>
        <w:t xml:space="preserve"> </w:t>
      </w:r>
      <w:r w:rsidRPr="00EC75B7">
        <w:rPr>
          <w:rFonts w:ascii="Verdana" w:hAnsi="Verdana"/>
          <w:spacing w:val="-2"/>
        </w:rPr>
        <w:t xml:space="preserve">the following </w:t>
      </w:r>
      <w:r w:rsidRPr="00EC75B7">
        <w:rPr>
          <w:rFonts w:ascii="Verdana" w:hAnsi="Verdana"/>
        </w:rPr>
        <w:t>table</w:t>
      </w:r>
      <w:r w:rsidRPr="00EC75B7">
        <w:rPr>
          <w:rFonts w:ascii="Verdana" w:hAnsi="Verdana"/>
          <w:spacing w:val="-2"/>
        </w:rPr>
        <w:t>:</w:t>
      </w:r>
    </w:p>
    <w:p w14:paraId="7E9B53A3" w14:textId="77777777" w:rsidR="008715BE" w:rsidRPr="00EC75B7" w:rsidRDefault="008715BE">
      <w:pPr>
        <w:pStyle w:val="BodyText"/>
        <w:rPr>
          <w:rFonts w:ascii="Verdana" w:hAnsi="Verdana"/>
        </w:rPr>
      </w:pPr>
    </w:p>
    <w:p w14:paraId="27E4867B" w14:textId="77777777" w:rsidR="008715BE" w:rsidRPr="00EC75B7" w:rsidRDefault="008715BE">
      <w:pPr>
        <w:pStyle w:val="BodyText"/>
        <w:rPr>
          <w:rFonts w:ascii="Verdana" w:hAnsi="Verdana"/>
        </w:rPr>
      </w:pPr>
    </w:p>
    <w:p w14:paraId="0507F6AD" w14:textId="77777777" w:rsidR="008715BE" w:rsidRPr="00EC75B7" w:rsidRDefault="008715BE">
      <w:pPr>
        <w:pStyle w:val="BodyText"/>
        <w:spacing w:before="88"/>
        <w:rPr>
          <w:rFonts w:ascii="Verdana" w:hAnsi="Verdana"/>
        </w:rPr>
      </w:pPr>
    </w:p>
    <w:p w14:paraId="1D8F0418" w14:textId="77777777" w:rsidR="008715BE" w:rsidRPr="00EC75B7" w:rsidRDefault="00000000">
      <w:pPr>
        <w:ind w:left="57"/>
        <w:rPr>
          <w:rFonts w:ascii="Verdana" w:hAnsi="Verdana"/>
          <w:i/>
          <w:sz w:val="18"/>
          <w:szCs w:val="18"/>
        </w:rPr>
      </w:pPr>
      <w:r w:rsidRPr="00EC75B7">
        <w:rPr>
          <w:rFonts w:ascii="Verdana" w:hAnsi="Verdana"/>
          <w:color w:val="797766"/>
          <w:position w:val="4"/>
          <w:sz w:val="18"/>
          <w:szCs w:val="18"/>
        </w:rPr>
        <w:t>18</w:t>
      </w:r>
      <w:r w:rsidRPr="00EC75B7">
        <w:rPr>
          <w:rFonts w:ascii="Verdana" w:hAnsi="Verdana"/>
          <w:i/>
          <w:color w:val="797766"/>
          <w:sz w:val="18"/>
          <w:szCs w:val="18"/>
        </w:rPr>
        <w:t xml:space="preserve">  Updated Management Plan for the Danube River, Danube Delta, Dobrogea Hydrographic Area, and Coastal Waters,</w:t>
      </w:r>
      <w:r w:rsidRPr="00EC75B7">
        <w:rPr>
          <w:rFonts w:ascii="Verdana" w:hAnsi="Verdana"/>
          <w:i/>
          <w:color w:val="797766"/>
          <w:spacing w:val="-4"/>
          <w:sz w:val="18"/>
          <w:szCs w:val="18"/>
        </w:rPr>
        <w:t xml:space="preserve"> 2022-2027</w:t>
      </w:r>
    </w:p>
    <w:p w14:paraId="129CDDDF" w14:textId="77777777" w:rsidR="008715BE" w:rsidRPr="00EC75B7" w:rsidRDefault="008715BE">
      <w:pPr>
        <w:rPr>
          <w:rFonts w:ascii="Verdana" w:hAnsi="Verdana"/>
          <w:i/>
          <w:sz w:val="18"/>
          <w:szCs w:val="18"/>
        </w:rPr>
        <w:sectPr w:rsidR="008715BE" w:rsidRPr="00EC75B7">
          <w:pgSz w:w="11910" w:h="16840"/>
          <w:pgMar w:top="1320" w:right="566" w:bottom="980" w:left="1133" w:header="766" w:footer="799" w:gutter="0"/>
          <w:cols w:space="708"/>
        </w:sectPr>
      </w:pPr>
    </w:p>
    <w:p w14:paraId="26F85CA0" w14:textId="77777777" w:rsidR="008715BE" w:rsidRPr="00EC75B7" w:rsidRDefault="00000000">
      <w:pPr>
        <w:spacing w:before="99"/>
        <w:ind w:left="57"/>
        <w:rPr>
          <w:rFonts w:ascii="Verdana" w:hAnsi="Verdana"/>
          <w:b/>
          <w:sz w:val="18"/>
          <w:szCs w:val="18"/>
        </w:rPr>
      </w:pPr>
      <w:r w:rsidRPr="00EC75B7">
        <w:rPr>
          <w:rFonts w:ascii="Verdana" w:hAnsi="Verdana"/>
          <w:b/>
          <w:color w:val="00AFEF"/>
          <w:sz w:val="18"/>
          <w:szCs w:val="18"/>
        </w:rPr>
        <w:lastRenderedPageBreak/>
        <w:t xml:space="preserve">Table 17 </w:t>
      </w:r>
      <w:r w:rsidRPr="00EC75B7">
        <w:rPr>
          <w:rFonts w:ascii="Verdana" w:hAnsi="Verdana"/>
          <w:b/>
          <w:color w:val="009DEF"/>
          <w:sz w:val="18"/>
          <w:szCs w:val="18"/>
        </w:rPr>
        <w:t xml:space="preserve">Environmental objectives for groundwater bodies, </w:t>
      </w:r>
      <w:r w:rsidRPr="00EC75B7">
        <w:rPr>
          <w:rFonts w:ascii="Verdana" w:hAnsi="Verdana"/>
          <w:b/>
          <w:color w:val="009DEF"/>
          <w:spacing w:val="-2"/>
          <w:sz w:val="18"/>
          <w:szCs w:val="18"/>
        </w:rPr>
        <w:t xml:space="preserve">current </w:t>
      </w:r>
      <w:r w:rsidRPr="00EC75B7">
        <w:rPr>
          <w:rFonts w:ascii="Verdana" w:hAnsi="Verdana"/>
          <w:b/>
          <w:color w:val="009DEF"/>
          <w:sz w:val="18"/>
          <w:szCs w:val="18"/>
        </w:rPr>
        <w:t>quantitative and chemical status</w:t>
      </w:r>
    </w:p>
    <w:tbl>
      <w:tblPr>
        <w:tblStyle w:val="TableNormal1"/>
        <w:tblW w:w="0" w:type="auto"/>
        <w:tblInd w:w="67"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210"/>
        <w:gridCol w:w="1123"/>
        <w:gridCol w:w="1335"/>
        <w:gridCol w:w="1219"/>
        <w:gridCol w:w="1325"/>
        <w:gridCol w:w="1133"/>
        <w:gridCol w:w="1177"/>
        <w:gridCol w:w="1114"/>
      </w:tblGrid>
      <w:tr w:rsidR="008715BE" w:rsidRPr="00EC75B7" w14:paraId="5F0A8993" w14:textId="77777777">
        <w:trPr>
          <w:trHeight w:val="583"/>
        </w:trPr>
        <w:tc>
          <w:tcPr>
            <w:tcW w:w="1210" w:type="dxa"/>
            <w:vMerge w:val="restart"/>
            <w:shd w:val="clear" w:color="auto" w:fill="00AFEF"/>
          </w:tcPr>
          <w:p w14:paraId="21062AD6" w14:textId="77777777" w:rsidR="008715BE" w:rsidRPr="00EC75B7" w:rsidRDefault="00000000">
            <w:pPr>
              <w:pStyle w:val="TableParagraph"/>
              <w:ind w:left="151" w:right="138" w:hanging="3"/>
              <w:jc w:val="center"/>
              <w:rPr>
                <w:rFonts w:ascii="Verdana" w:hAnsi="Verdana"/>
                <w:b/>
                <w:sz w:val="18"/>
                <w:szCs w:val="18"/>
              </w:rPr>
            </w:pPr>
            <w:r w:rsidRPr="00EC75B7">
              <w:rPr>
                <w:rFonts w:ascii="Verdana" w:hAnsi="Verdana"/>
                <w:b/>
                <w:color w:val="FFFFFF"/>
                <w:spacing w:val="-2"/>
                <w:sz w:val="18"/>
                <w:szCs w:val="18"/>
              </w:rPr>
              <w:t xml:space="preserve">Name </w:t>
            </w:r>
            <w:r w:rsidRPr="00EC75B7">
              <w:rPr>
                <w:rFonts w:ascii="Verdana" w:hAnsi="Verdana"/>
                <w:b/>
                <w:color w:val="FFFFFF"/>
                <w:sz w:val="18"/>
                <w:szCs w:val="18"/>
              </w:rPr>
              <w:t xml:space="preserve">of </w:t>
            </w:r>
            <w:r w:rsidRPr="00EC75B7">
              <w:rPr>
                <w:rFonts w:ascii="Verdana" w:hAnsi="Verdana"/>
                <w:b/>
                <w:color w:val="FFFFFF"/>
                <w:spacing w:val="-2"/>
                <w:sz w:val="18"/>
                <w:szCs w:val="18"/>
              </w:rPr>
              <w:t xml:space="preserve">groundwater </w:t>
            </w:r>
            <w:r w:rsidRPr="00EC75B7">
              <w:rPr>
                <w:rFonts w:ascii="Verdana" w:hAnsi="Verdana"/>
                <w:b/>
                <w:color w:val="FFFFFF"/>
                <w:sz w:val="18"/>
                <w:szCs w:val="18"/>
              </w:rPr>
              <w:t>body</w:t>
            </w:r>
          </w:p>
        </w:tc>
        <w:tc>
          <w:tcPr>
            <w:tcW w:w="1123" w:type="dxa"/>
            <w:vMerge w:val="restart"/>
            <w:shd w:val="clear" w:color="auto" w:fill="00AFEF"/>
          </w:tcPr>
          <w:p w14:paraId="04A61CE0" w14:textId="77777777" w:rsidR="008715BE" w:rsidRPr="00EC75B7" w:rsidRDefault="00000000">
            <w:pPr>
              <w:pStyle w:val="TableParagraph"/>
              <w:ind w:left="73" w:right="60"/>
              <w:jc w:val="center"/>
              <w:rPr>
                <w:rFonts w:ascii="Verdana" w:hAnsi="Verdana"/>
                <w:b/>
                <w:sz w:val="18"/>
                <w:szCs w:val="18"/>
              </w:rPr>
            </w:pPr>
            <w:r w:rsidRPr="00EC75B7">
              <w:rPr>
                <w:rFonts w:ascii="Verdana" w:hAnsi="Verdana"/>
                <w:b/>
                <w:color w:val="FFFFFF"/>
                <w:spacing w:val="-2"/>
                <w:sz w:val="18"/>
                <w:szCs w:val="18"/>
              </w:rPr>
              <w:t>Groundwater</w:t>
            </w:r>
            <w:r w:rsidRPr="00EC75B7">
              <w:rPr>
                <w:rFonts w:ascii="Verdana" w:hAnsi="Verdana"/>
                <w:b/>
                <w:color w:val="FFFFFF"/>
                <w:sz w:val="18"/>
                <w:szCs w:val="18"/>
              </w:rPr>
              <w:t xml:space="preserve"> body code</w:t>
            </w:r>
          </w:p>
        </w:tc>
        <w:tc>
          <w:tcPr>
            <w:tcW w:w="2554" w:type="dxa"/>
            <w:gridSpan w:val="2"/>
            <w:shd w:val="clear" w:color="auto" w:fill="00AFEF"/>
          </w:tcPr>
          <w:p w14:paraId="73AE7BA3" w14:textId="77777777" w:rsidR="008715BE" w:rsidRPr="00EC75B7" w:rsidRDefault="00000000">
            <w:pPr>
              <w:pStyle w:val="TableParagraph"/>
              <w:ind w:left="468"/>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objective</w:t>
            </w:r>
          </w:p>
        </w:tc>
        <w:tc>
          <w:tcPr>
            <w:tcW w:w="1325" w:type="dxa"/>
            <w:vMerge w:val="restart"/>
            <w:shd w:val="clear" w:color="auto" w:fill="00AFEF"/>
          </w:tcPr>
          <w:p w14:paraId="07CA1A3F" w14:textId="77777777" w:rsidR="008715BE" w:rsidRPr="00EC75B7" w:rsidRDefault="00000000">
            <w:pPr>
              <w:pStyle w:val="TableParagraph"/>
              <w:ind w:left="10" w:right="1"/>
              <w:jc w:val="center"/>
              <w:rPr>
                <w:rFonts w:ascii="Verdana" w:hAnsi="Verdana"/>
                <w:b/>
                <w:sz w:val="18"/>
                <w:szCs w:val="18"/>
              </w:rPr>
            </w:pPr>
            <w:r w:rsidRPr="00EC75B7">
              <w:rPr>
                <w:rFonts w:ascii="Verdana" w:hAnsi="Verdana"/>
                <w:b/>
                <w:color w:val="FFFFFF"/>
                <w:spacing w:val="-2"/>
                <w:sz w:val="18"/>
                <w:szCs w:val="18"/>
              </w:rPr>
              <w:t>Current quantitative status</w:t>
            </w:r>
          </w:p>
        </w:tc>
        <w:tc>
          <w:tcPr>
            <w:tcW w:w="1133" w:type="dxa"/>
            <w:vMerge w:val="restart"/>
            <w:shd w:val="clear" w:color="auto" w:fill="00AFEF"/>
          </w:tcPr>
          <w:p w14:paraId="6F5DAA71" w14:textId="77777777" w:rsidR="008715BE" w:rsidRPr="00EC75B7" w:rsidRDefault="00000000">
            <w:pPr>
              <w:pStyle w:val="TableParagraph"/>
              <w:ind w:left="221" w:right="209" w:firstLine="50"/>
              <w:rPr>
                <w:rFonts w:ascii="Verdana" w:hAnsi="Verdana"/>
                <w:b/>
                <w:sz w:val="18"/>
                <w:szCs w:val="18"/>
              </w:rPr>
            </w:pPr>
            <w:r w:rsidRPr="00EC75B7">
              <w:rPr>
                <w:rFonts w:ascii="Verdana" w:hAnsi="Verdana"/>
                <w:b/>
                <w:color w:val="FFFFFF"/>
                <w:spacing w:val="-2"/>
                <w:sz w:val="18"/>
                <w:szCs w:val="18"/>
              </w:rPr>
              <w:t>Current chemical status</w:t>
            </w:r>
          </w:p>
        </w:tc>
        <w:tc>
          <w:tcPr>
            <w:tcW w:w="2291" w:type="dxa"/>
            <w:gridSpan w:val="2"/>
            <w:shd w:val="clear" w:color="auto" w:fill="00AFEF"/>
          </w:tcPr>
          <w:p w14:paraId="77609CCB" w14:textId="77777777" w:rsidR="008715BE" w:rsidRPr="00EC75B7" w:rsidRDefault="00000000">
            <w:pPr>
              <w:pStyle w:val="TableParagraph"/>
              <w:ind w:left="1092" w:right="169" w:hanging="915"/>
              <w:rPr>
                <w:rFonts w:ascii="Verdana" w:hAnsi="Verdana"/>
                <w:b/>
                <w:sz w:val="18"/>
                <w:szCs w:val="18"/>
              </w:rPr>
            </w:pPr>
            <w:r w:rsidRPr="00EC75B7">
              <w:rPr>
                <w:rFonts w:ascii="Verdana" w:hAnsi="Verdana"/>
                <w:b/>
                <w:color w:val="FFFFFF"/>
                <w:sz w:val="18"/>
                <w:szCs w:val="18"/>
              </w:rPr>
              <w:t xml:space="preserve">Deadline for </w:t>
            </w:r>
            <w:r w:rsidRPr="00EC75B7">
              <w:rPr>
                <w:rFonts w:ascii="Verdana" w:hAnsi="Verdana"/>
                <w:b/>
                <w:color w:val="FFFFFF"/>
                <w:spacing w:val="-10"/>
                <w:sz w:val="18"/>
                <w:szCs w:val="18"/>
              </w:rPr>
              <w:t>achieving</w:t>
            </w:r>
          </w:p>
          <w:p w14:paraId="506C1FBE" w14:textId="77777777" w:rsidR="008715BE" w:rsidRPr="00EC75B7" w:rsidRDefault="00000000">
            <w:pPr>
              <w:pStyle w:val="TableParagraph"/>
              <w:spacing w:line="173" w:lineRule="exact"/>
              <w:ind w:left="108"/>
              <w:rPr>
                <w:rFonts w:ascii="Verdana" w:hAnsi="Verdana"/>
                <w:b/>
                <w:sz w:val="18"/>
                <w:szCs w:val="18"/>
              </w:rPr>
            </w:pPr>
            <w:r w:rsidRPr="00EC75B7">
              <w:rPr>
                <w:rFonts w:ascii="Verdana" w:hAnsi="Verdana"/>
                <w:b/>
                <w:color w:val="FFFFFF"/>
                <w:sz w:val="18"/>
                <w:szCs w:val="18"/>
              </w:rPr>
              <w:t xml:space="preserve">the </w:t>
            </w: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objective</w:t>
            </w:r>
          </w:p>
        </w:tc>
      </w:tr>
      <w:tr w:rsidR="008715BE" w:rsidRPr="00EC75B7" w14:paraId="07862336" w14:textId="77777777">
        <w:trPr>
          <w:trHeight w:val="496"/>
        </w:trPr>
        <w:tc>
          <w:tcPr>
            <w:tcW w:w="1210" w:type="dxa"/>
            <w:vMerge/>
            <w:tcBorders>
              <w:top w:val="nil"/>
            </w:tcBorders>
            <w:shd w:val="clear" w:color="auto" w:fill="00AFEF"/>
          </w:tcPr>
          <w:p w14:paraId="324CA62B" w14:textId="77777777" w:rsidR="008715BE" w:rsidRPr="00EC75B7" w:rsidRDefault="008715BE">
            <w:pPr>
              <w:rPr>
                <w:rFonts w:ascii="Verdana" w:hAnsi="Verdana"/>
                <w:sz w:val="18"/>
                <w:szCs w:val="18"/>
              </w:rPr>
            </w:pPr>
          </w:p>
        </w:tc>
        <w:tc>
          <w:tcPr>
            <w:tcW w:w="1123" w:type="dxa"/>
            <w:vMerge/>
            <w:tcBorders>
              <w:top w:val="nil"/>
            </w:tcBorders>
            <w:shd w:val="clear" w:color="auto" w:fill="00AFEF"/>
          </w:tcPr>
          <w:p w14:paraId="418F8A53" w14:textId="77777777" w:rsidR="008715BE" w:rsidRPr="00EC75B7" w:rsidRDefault="008715BE">
            <w:pPr>
              <w:rPr>
                <w:rFonts w:ascii="Verdana" w:hAnsi="Verdana"/>
                <w:sz w:val="18"/>
                <w:szCs w:val="18"/>
              </w:rPr>
            </w:pPr>
          </w:p>
        </w:tc>
        <w:tc>
          <w:tcPr>
            <w:tcW w:w="1335" w:type="dxa"/>
            <w:shd w:val="clear" w:color="auto" w:fill="00AFEF"/>
          </w:tcPr>
          <w:p w14:paraId="3ABA6FAA" w14:textId="77777777" w:rsidR="008715BE" w:rsidRPr="00EC75B7" w:rsidRDefault="00000000">
            <w:pPr>
              <w:pStyle w:val="TableParagraph"/>
              <w:spacing w:line="194" w:lineRule="exact"/>
              <w:ind w:left="10" w:right="4"/>
              <w:jc w:val="center"/>
              <w:rPr>
                <w:rFonts w:ascii="Verdana" w:hAnsi="Verdana"/>
                <w:b/>
                <w:sz w:val="18"/>
                <w:szCs w:val="18"/>
              </w:rPr>
            </w:pPr>
            <w:r w:rsidRPr="00EC75B7">
              <w:rPr>
                <w:rFonts w:ascii="Verdana" w:hAnsi="Verdana"/>
                <w:b/>
                <w:color w:val="FFFFFF"/>
                <w:spacing w:val="-2"/>
                <w:sz w:val="18"/>
                <w:szCs w:val="18"/>
              </w:rPr>
              <w:t>Quantitative status</w:t>
            </w:r>
          </w:p>
          <w:p w14:paraId="1D5A9A9C" w14:textId="77777777" w:rsidR="008715BE" w:rsidRPr="00EC75B7" w:rsidRDefault="00000000">
            <w:pPr>
              <w:pStyle w:val="TableParagraph"/>
              <w:spacing w:line="195" w:lineRule="exact"/>
              <w:ind w:left="10"/>
              <w:jc w:val="center"/>
              <w:rPr>
                <w:rFonts w:ascii="Verdana" w:hAnsi="Verdana"/>
                <w:b/>
                <w:sz w:val="18"/>
                <w:szCs w:val="18"/>
              </w:rPr>
            </w:pPr>
            <w:r w:rsidRPr="00EC75B7">
              <w:rPr>
                <w:rFonts w:ascii="Verdana" w:hAnsi="Verdana"/>
                <w:b/>
                <w:color w:val="FFFFFF"/>
                <w:spacing w:val="-2"/>
                <w:sz w:val="18"/>
                <w:szCs w:val="18"/>
              </w:rPr>
              <w:t>quantitative</w:t>
            </w:r>
          </w:p>
        </w:tc>
        <w:tc>
          <w:tcPr>
            <w:tcW w:w="1219" w:type="dxa"/>
            <w:shd w:val="clear" w:color="auto" w:fill="00AFEF"/>
          </w:tcPr>
          <w:p w14:paraId="37EA21F2" w14:textId="77777777" w:rsidR="008715BE" w:rsidRPr="00EC75B7" w:rsidRDefault="00000000">
            <w:pPr>
              <w:pStyle w:val="TableParagraph"/>
              <w:spacing w:line="194" w:lineRule="exact"/>
              <w:ind w:left="316"/>
              <w:rPr>
                <w:rFonts w:ascii="Verdana" w:hAnsi="Verdana"/>
                <w:b/>
                <w:sz w:val="18"/>
                <w:szCs w:val="18"/>
              </w:rPr>
            </w:pPr>
            <w:r w:rsidRPr="00EC75B7">
              <w:rPr>
                <w:rFonts w:ascii="Verdana" w:hAnsi="Verdana"/>
                <w:b/>
                <w:color w:val="FFFFFF"/>
                <w:spacing w:val="-2"/>
                <w:sz w:val="18"/>
                <w:szCs w:val="18"/>
              </w:rPr>
              <w:t>Chemical</w:t>
            </w:r>
          </w:p>
          <w:p w14:paraId="2C252180" w14:textId="77777777" w:rsidR="008715BE" w:rsidRPr="00EC75B7" w:rsidRDefault="00000000">
            <w:pPr>
              <w:pStyle w:val="TableParagraph"/>
              <w:spacing w:line="195" w:lineRule="exact"/>
              <w:ind w:left="266"/>
              <w:rPr>
                <w:rFonts w:ascii="Verdana" w:hAnsi="Verdana"/>
                <w:b/>
                <w:sz w:val="18"/>
                <w:szCs w:val="18"/>
              </w:rPr>
            </w:pPr>
            <w:r w:rsidRPr="00EC75B7">
              <w:rPr>
                <w:rFonts w:ascii="Verdana" w:hAnsi="Verdana"/>
                <w:b/>
                <w:color w:val="FFFFFF"/>
                <w:spacing w:val="-2"/>
                <w:sz w:val="18"/>
                <w:szCs w:val="18"/>
              </w:rPr>
              <w:t>chemical</w:t>
            </w:r>
          </w:p>
        </w:tc>
        <w:tc>
          <w:tcPr>
            <w:tcW w:w="1325" w:type="dxa"/>
            <w:vMerge/>
            <w:tcBorders>
              <w:top w:val="nil"/>
            </w:tcBorders>
            <w:shd w:val="clear" w:color="auto" w:fill="00AFEF"/>
          </w:tcPr>
          <w:p w14:paraId="2782E426" w14:textId="77777777" w:rsidR="008715BE" w:rsidRPr="00EC75B7" w:rsidRDefault="008715BE">
            <w:pPr>
              <w:rPr>
                <w:rFonts w:ascii="Verdana" w:hAnsi="Verdana"/>
                <w:sz w:val="18"/>
                <w:szCs w:val="18"/>
              </w:rPr>
            </w:pPr>
          </w:p>
        </w:tc>
        <w:tc>
          <w:tcPr>
            <w:tcW w:w="1133" w:type="dxa"/>
            <w:vMerge/>
            <w:tcBorders>
              <w:top w:val="nil"/>
            </w:tcBorders>
            <w:shd w:val="clear" w:color="auto" w:fill="00AFEF"/>
          </w:tcPr>
          <w:p w14:paraId="63774591" w14:textId="77777777" w:rsidR="008715BE" w:rsidRPr="00EC75B7" w:rsidRDefault="008715BE">
            <w:pPr>
              <w:rPr>
                <w:rFonts w:ascii="Verdana" w:hAnsi="Verdana"/>
                <w:sz w:val="18"/>
                <w:szCs w:val="18"/>
              </w:rPr>
            </w:pPr>
          </w:p>
        </w:tc>
        <w:tc>
          <w:tcPr>
            <w:tcW w:w="1177" w:type="dxa"/>
            <w:shd w:val="clear" w:color="auto" w:fill="00AFEF"/>
          </w:tcPr>
          <w:p w14:paraId="71B4BB9E" w14:textId="77777777" w:rsidR="008715BE" w:rsidRPr="00EC75B7" w:rsidRDefault="00000000">
            <w:pPr>
              <w:pStyle w:val="TableParagraph"/>
              <w:spacing w:line="194" w:lineRule="exact"/>
              <w:ind w:left="10" w:right="4"/>
              <w:jc w:val="center"/>
              <w:rPr>
                <w:rFonts w:ascii="Verdana" w:hAnsi="Verdana"/>
                <w:b/>
                <w:sz w:val="18"/>
                <w:szCs w:val="18"/>
              </w:rPr>
            </w:pPr>
            <w:r w:rsidRPr="00EC75B7">
              <w:rPr>
                <w:rFonts w:ascii="Verdana" w:hAnsi="Verdana"/>
                <w:b/>
                <w:color w:val="FFFFFF"/>
                <w:spacing w:val="-2"/>
                <w:sz w:val="18"/>
                <w:szCs w:val="18"/>
              </w:rPr>
              <w:t>Quantitative</w:t>
            </w:r>
          </w:p>
          <w:p w14:paraId="3D8E8479" w14:textId="77777777" w:rsidR="008715BE" w:rsidRPr="00EC75B7" w:rsidRDefault="00000000">
            <w:pPr>
              <w:pStyle w:val="TableParagraph"/>
              <w:spacing w:line="195" w:lineRule="exact"/>
              <w:ind w:left="10"/>
              <w:jc w:val="center"/>
              <w:rPr>
                <w:rFonts w:ascii="Verdana" w:hAnsi="Verdana"/>
                <w:b/>
                <w:sz w:val="18"/>
                <w:szCs w:val="18"/>
              </w:rPr>
            </w:pPr>
            <w:r w:rsidRPr="00EC75B7">
              <w:rPr>
                <w:rFonts w:ascii="Verdana" w:hAnsi="Verdana"/>
                <w:b/>
                <w:color w:val="FFFFFF"/>
                <w:spacing w:val="-2"/>
                <w:sz w:val="18"/>
                <w:szCs w:val="18"/>
              </w:rPr>
              <w:t>quantitative</w:t>
            </w:r>
          </w:p>
        </w:tc>
        <w:tc>
          <w:tcPr>
            <w:tcW w:w="1114" w:type="dxa"/>
            <w:shd w:val="clear" w:color="auto" w:fill="00AFEF"/>
          </w:tcPr>
          <w:p w14:paraId="1F7CFB56" w14:textId="77777777" w:rsidR="008715BE" w:rsidRPr="00EC75B7" w:rsidRDefault="00000000">
            <w:pPr>
              <w:pStyle w:val="TableParagraph"/>
              <w:spacing w:line="194" w:lineRule="exact"/>
              <w:ind w:left="261"/>
              <w:rPr>
                <w:rFonts w:ascii="Verdana" w:hAnsi="Verdana"/>
                <w:b/>
                <w:sz w:val="18"/>
                <w:szCs w:val="18"/>
              </w:rPr>
            </w:pPr>
            <w:r w:rsidRPr="00EC75B7">
              <w:rPr>
                <w:rFonts w:ascii="Verdana" w:hAnsi="Verdana"/>
                <w:b/>
                <w:color w:val="FFFFFF"/>
                <w:spacing w:val="-2"/>
                <w:sz w:val="18"/>
                <w:szCs w:val="18"/>
              </w:rPr>
              <w:t>State</w:t>
            </w:r>
          </w:p>
          <w:p w14:paraId="18C2E2DE" w14:textId="77777777" w:rsidR="008715BE" w:rsidRPr="00EC75B7" w:rsidRDefault="00000000">
            <w:pPr>
              <w:pStyle w:val="TableParagraph"/>
              <w:spacing w:line="195" w:lineRule="exact"/>
              <w:ind w:left="211"/>
              <w:rPr>
                <w:rFonts w:ascii="Verdana" w:hAnsi="Verdana"/>
                <w:b/>
                <w:sz w:val="18"/>
                <w:szCs w:val="18"/>
              </w:rPr>
            </w:pPr>
            <w:r w:rsidRPr="00EC75B7">
              <w:rPr>
                <w:rFonts w:ascii="Verdana" w:hAnsi="Verdana"/>
                <w:b/>
                <w:color w:val="FFFFFF"/>
                <w:spacing w:val="-2"/>
                <w:sz w:val="18"/>
                <w:szCs w:val="18"/>
              </w:rPr>
              <w:t>chemical</w:t>
            </w:r>
          </w:p>
        </w:tc>
      </w:tr>
      <w:tr w:rsidR="008715BE" w:rsidRPr="00EC75B7" w14:paraId="4FD20E19" w14:textId="77777777">
        <w:trPr>
          <w:trHeight w:val="388"/>
        </w:trPr>
        <w:tc>
          <w:tcPr>
            <w:tcW w:w="1210" w:type="dxa"/>
          </w:tcPr>
          <w:p w14:paraId="400189D0"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pacing w:val="-2"/>
                <w:sz w:val="18"/>
                <w:szCs w:val="18"/>
              </w:rPr>
              <w:t xml:space="preserve">Cobadin </w:t>
            </w:r>
            <w:r w:rsidRPr="00EC75B7">
              <w:rPr>
                <w:rFonts w:ascii="Verdana" w:hAnsi="Verdana"/>
                <w:spacing w:val="-10"/>
                <w:sz w:val="18"/>
                <w:szCs w:val="18"/>
              </w:rPr>
              <w:t>-</w:t>
            </w:r>
          </w:p>
          <w:p w14:paraId="1610B713"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pacing w:val="-2"/>
                <w:sz w:val="18"/>
                <w:szCs w:val="18"/>
              </w:rPr>
              <w:t>Mangalia</w:t>
            </w:r>
          </w:p>
        </w:tc>
        <w:tc>
          <w:tcPr>
            <w:tcW w:w="1123" w:type="dxa"/>
          </w:tcPr>
          <w:p w14:paraId="1A4C0475" w14:textId="77777777" w:rsidR="008715BE" w:rsidRPr="00EC75B7" w:rsidRDefault="00000000">
            <w:pPr>
              <w:pStyle w:val="TableParagraph"/>
              <w:spacing w:line="195" w:lineRule="exact"/>
              <w:ind w:left="73" w:right="63"/>
              <w:jc w:val="center"/>
              <w:rPr>
                <w:rFonts w:ascii="Verdana" w:hAnsi="Verdana"/>
                <w:sz w:val="18"/>
                <w:szCs w:val="18"/>
              </w:rPr>
            </w:pPr>
            <w:r w:rsidRPr="00EC75B7">
              <w:rPr>
                <w:rFonts w:ascii="Verdana" w:hAnsi="Verdana"/>
                <w:spacing w:val="-2"/>
                <w:sz w:val="18"/>
                <w:szCs w:val="18"/>
              </w:rPr>
              <w:t>RODL04</w:t>
            </w:r>
          </w:p>
        </w:tc>
        <w:tc>
          <w:tcPr>
            <w:tcW w:w="1335" w:type="dxa"/>
          </w:tcPr>
          <w:p w14:paraId="7153CAF3"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B</w:t>
            </w:r>
          </w:p>
        </w:tc>
        <w:tc>
          <w:tcPr>
            <w:tcW w:w="1219" w:type="dxa"/>
          </w:tcPr>
          <w:p w14:paraId="369DD34D" w14:textId="77777777" w:rsidR="008715BE" w:rsidRPr="00EC75B7" w:rsidRDefault="00000000">
            <w:pPr>
              <w:pStyle w:val="TableParagraph"/>
              <w:spacing w:line="195" w:lineRule="exact"/>
              <w:ind w:left="14"/>
              <w:jc w:val="center"/>
              <w:rPr>
                <w:rFonts w:ascii="Verdana" w:hAnsi="Verdana"/>
                <w:sz w:val="18"/>
                <w:szCs w:val="18"/>
              </w:rPr>
            </w:pPr>
            <w:r w:rsidRPr="00EC75B7">
              <w:rPr>
                <w:rFonts w:ascii="Verdana" w:hAnsi="Verdana"/>
                <w:spacing w:val="-10"/>
                <w:sz w:val="18"/>
                <w:szCs w:val="18"/>
              </w:rPr>
              <w:t>B</w:t>
            </w:r>
          </w:p>
        </w:tc>
        <w:tc>
          <w:tcPr>
            <w:tcW w:w="1325" w:type="dxa"/>
          </w:tcPr>
          <w:p w14:paraId="5FBFF0BC"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B</w:t>
            </w:r>
          </w:p>
        </w:tc>
        <w:tc>
          <w:tcPr>
            <w:tcW w:w="1133" w:type="dxa"/>
          </w:tcPr>
          <w:p w14:paraId="61834C3D"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S</w:t>
            </w:r>
          </w:p>
        </w:tc>
        <w:tc>
          <w:tcPr>
            <w:tcW w:w="1177" w:type="dxa"/>
          </w:tcPr>
          <w:p w14:paraId="0510A83D"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4"/>
                <w:sz w:val="18"/>
                <w:szCs w:val="18"/>
              </w:rPr>
              <w:t>2020</w:t>
            </w:r>
          </w:p>
        </w:tc>
        <w:tc>
          <w:tcPr>
            <w:tcW w:w="1114" w:type="dxa"/>
          </w:tcPr>
          <w:p w14:paraId="6B12EB19"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4"/>
                <w:sz w:val="18"/>
                <w:szCs w:val="18"/>
              </w:rPr>
              <w:t>2027</w:t>
            </w:r>
          </w:p>
        </w:tc>
      </w:tr>
      <w:tr w:rsidR="008715BE" w:rsidRPr="00EC75B7" w14:paraId="4771B4ED" w14:textId="77777777">
        <w:trPr>
          <w:trHeight w:val="388"/>
        </w:trPr>
        <w:tc>
          <w:tcPr>
            <w:tcW w:w="1210" w:type="dxa"/>
          </w:tcPr>
          <w:p w14:paraId="4873C433"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pacing w:val="-2"/>
                <w:sz w:val="18"/>
                <w:szCs w:val="18"/>
              </w:rPr>
              <w:t>Platform</w:t>
            </w:r>
          </w:p>
          <w:p w14:paraId="1C3AC0AE"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pacing w:val="-2"/>
                <w:sz w:val="18"/>
                <w:szCs w:val="18"/>
              </w:rPr>
              <w:t>Valahă</w:t>
            </w:r>
          </w:p>
        </w:tc>
        <w:tc>
          <w:tcPr>
            <w:tcW w:w="1123" w:type="dxa"/>
          </w:tcPr>
          <w:p w14:paraId="14FE991F" w14:textId="77777777" w:rsidR="008715BE" w:rsidRPr="00EC75B7" w:rsidRDefault="00000000">
            <w:pPr>
              <w:pStyle w:val="TableParagraph"/>
              <w:spacing w:line="195" w:lineRule="exact"/>
              <w:ind w:left="73" w:right="63"/>
              <w:jc w:val="center"/>
              <w:rPr>
                <w:rFonts w:ascii="Verdana" w:hAnsi="Verdana"/>
                <w:sz w:val="18"/>
                <w:szCs w:val="18"/>
              </w:rPr>
            </w:pPr>
            <w:r w:rsidRPr="00EC75B7">
              <w:rPr>
                <w:rFonts w:ascii="Verdana" w:hAnsi="Verdana"/>
                <w:spacing w:val="-2"/>
                <w:sz w:val="18"/>
                <w:szCs w:val="18"/>
              </w:rPr>
              <w:t>RODL06</w:t>
            </w:r>
          </w:p>
        </w:tc>
        <w:tc>
          <w:tcPr>
            <w:tcW w:w="1335" w:type="dxa"/>
          </w:tcPr>
          <w:p w14:paraId="0644FFCD"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B</w:t>
            </w:r>
          </w:p>
        </w:tc>
        <w:tc>
          <w:tcPr>
            <w:tcW w:w="1219" w:type="dxa"/>
          </w:tcPr>
          <w:p w14:paraId="2015FE2B" w14:textId="77777777" w:rsidR="008715BE" w:rsidRPr="00EC75B7" w:rsidRDefault="00000000">
            <w:pPr>
              <w:pStyle w:val="TableParagraph"/>
              <w:spacing w:line="195" w:lineRule="exact"/>
              <w:ind w:left="14"/>
              <w:jc w:val="center"/>
              <w:rPr>
                <w:rFonts w:ascii="Verdana" w:hAnsi="Verdana"/>
                <w:sz w:val="18"/>
                <w:szCs w:val="18"/>
              </w:rPr>
            </w:pPr>
            <w:r w:rsidRPr="00EC75B7">
              <w:rPr>
                <w:rFonts w:ascii="Verdana" w:hAnsi="Verdana"/>
                <w:spacing w:val="-10"/>
                <w:sz w:val="18"/>
                <w:szCs w:val="18"/>
              </w:rPr>
              <w:t>B</w:t>
            </w:r>
          </w:p>
        </w:tc>
        <w:tc>
          <w:tcPr>
            <w:tcW w:w="1325" w:type="dxa"/>
          </w:tcPr>
          <w:p w14:paraId="06C46EEC"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B</w:t>
            </w:r>
          </w:p>
        </w:tc>
        <w:tc>
          <w:tcPr>
            <w:tcW w:w="1133" w:type="dxa"/>
          </w:tcPr>
          <w:p w14:paraId="38E00929"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10"/>
                <w:sz w:val="18"/>
                <w:szCs w:val="18"/>
              </w:rPr>
              <w:t>B</w:t>
            </w:r>
          </w:p>
        </w:tc>
        <w:tc>
          <w:tcPr>
            <w:tcW w:w="1177" w:type="dxa"/>
          </w:tcPr>
          <w:p w14:paraId="05CC30EE"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4"/>
                <w:sz w:val="18"/>
                <w:szCs w:val="18"/>
              </w:rPr>
              <w:t>2020</w:t>
            </w:r>
          </w:p>
        </w:tc>
        <w:tc>
          <w:tcPr>
            <w:tcW w:w="1114" w:type="dxa"/>
          </w:tcPr>
          <w:p w14:paraId="057DD56F"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4"/>
                <w:sz w:val="18"/>
                <w:szCs w:val="18"/>
              </w:rPr>
              <w:t>2020</w:t>
            </w:r>
          </w:p>
        </w:tc>
      </w:tr>
      <w:tr w:rsidR="008715BE" w:rsidRPr="00EC75B7" w14:paraId="032B20CE" w14:textId="77777777">
        <w:trPr>
          <w:trHeight w:val="390"/>
        </w:trPr>
        <w:tc>
          <w:tcPr>
            <w:tcW w:w="1210" w:type="dxa"/>
          </w:tcPr>
          <w:p w14:paraId="7036CB60" w14:textId="77777777" w:rsidR="008715BE" w:rsidRPr="00EC75B7" w:rsidRDefault="00000000">
            <w:pPr>
              <w:pStyle w:val="TableParagraph"/>
              <w:spacing w:before="2" w:line="195" w:lineRule="exact"/>
              <w:ind w:left="108"/>
              <w:rPr>
                <w:rFonts w:ascii="Verdana" w:hAnsi="Verdana"/>
                <w:sz w:val="18"/>
                <w:szCs w:val="18"/>
              </w:rPr>
            </w:pPr>
            <w:r w:rsidRPr="00EC75B7">
              <w:rPr>
                <w:rFonts w:ascii="Verdana" w:hAnsi="Verdana"/>
                <w:spacing w:val="-2"/>
                <w:sz w:val="18"/>
                <w:szCs w:val="18"/>
              </w:rPr>
              <w:t>Southern</w:t>
            </w:r>
          </w:p>
          <w:p w14:paraId="01251592"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pacing w:val="-5"/>
                <w:sz w:val="18"/>
                <w:szCs w:val="18"/>
              </w:rPr>
              <w:t>South</w:t>
            </w:r>
          </w:p>
        </w:tc>
        <w:tc>
          <w:tcPr>
            <w:tcW w:w="1123" w:type="dxa"/>
          </w:tcPr>
          <w:p w14:paraId="06B9208A" w14:textId="77777777" w:rsidR="008715BE" w:rsidRPr="00EC75B7" w:rsidRDefault="00000000">
            <w:pPr>
              <w:pStyle w:val="TableParagraph"/>
              <w:spacing w:before="2"/>
              <w:ind w:left="73" w:right="63"/>
              <w:jc w:val="center"/>
              <w:rPr>
                <w:rFonts w:ascii="Verdana" w:hAnsi="Verdana"/>
                <w:sz w:val="18"/>
                <w:szCs w:val="18"/>
              </w:rPr>
            </w:pPr>
            <w:r w:rsidRPr="00EC75B7">
              <w:rPr>
                <w:rFonts w:ascii="Verdana" w:hAnsi="Verdana"/>
                <w:spacing w:val="-2"/>
                <w:sz w:val="18"/>
                <w:szCs w:val="18"/>
              </w:rPr>
              <w:t>RODL10</w:t>
            </w:r>
          </w:p>
        </w:tc>
        <w:tc>
          <w:tcPr>
            <w:tcW w:w="1335" w:type="dxa"/>
          </w:tcPr>
          <w:p w14:paraId="0721FED7" w14:textId="77777777" w:rsidR="008715BE" w:rsidRPr="00EC75B7" w:rsidRDefault="00000000">
            <w:pPr>
              <w:pStyle w:val="TableParagraph"/>
              <w:spacing w:before="2"/>
              <w:ind w:left="10"/>
              <w:jc w:val="center"/>
              <w:rPr>
                <w:rFonts w:ascii="Verdana" w:hAnsi="Verdana"/>
                <w:sz w:val="18"/>
                <w:szCs w:val="18"/>
              </w:rPr>
            </w:pPr>
            <w:r w:rsidRPr="00EC75B7">
              <w:rPr>
                <w:rFonts w:ascii="Verdana" w:hAnsi="Verdana"/>
                <w:spacing w:val="-10"/>
                <w:sz w:val="18"/>
                <w:szCs w:val="18"/>
              </w:rPr>
              <w:t>B</w:t>
            </w:r>
          </w:p>
        </w:tc>
        <w:tc>
          <w:tcPr>
            <w:tcW w:w="1219" w:type="dxa"/>
          </w:tcPr>
          <w:p w14:paraId="3E3A3FA1" w14:textId="77777777" w:rsidR="008715BE" w:rsidRPr="00EC75B7" w:rsidRDefault="00000000">
            <w:pPr>
              <w:pStyle w:val="TableParagraph"/>
              <w:spacing w:before="2"/>
              <w:ind w:left="14"/>
              <w:jc w:val="center"/>
              <w:rPr>
                <w:rFonts w:ascii="Verdana" w:hAnsi="Verdana"/>
                <w:sz w:val="18"/>
                <w:szCs w:val="18"/>
              </w:rPr>
            </w:pPr>
            <w:r w:rsidRPr="00EC75B7">
              <w:rPr>
                <w:rFonts w:ascii="Verdana" w:hAnsi="Verdana"/>
                <w:spacing w:val="-10"/>
                <w:sz w:val="18"/>
                <w:szCs w:val="18"/>
              </w:rPr>
              <w:t>B</w:t>
            </w:r>
          </w:p>
        </w:tc>
        <w:tc>
          <w:tcPr>
            <w:tcW w:w="1325" w:type="dxa"/>
          </w:tcPr>
          <w:p w14:paraId="5BA7EA8D" w14:textId="77777777" w:rsidR="008715BE" w:rsidRPr="00EC75B7" w:rsidRDefault="00000000">
            <w:pPr>
              <w:pStyle w:val="TableParagraph"/>
              <w:spacing w:before="2"/>
              <w:ind w:left="10"/>
              <w:jc w:val="center"/>
              <w:rPr>
                <w:rFonts w:ascii="Verdana" w:hAnsi="Verdana"/>
                <w:sz w:val="18"/>
                <w:szCs w:val="18"/>
              </w:rPr>
            </w:pPr>
            <w:r w:rsidRPr="00EC75B7">
              <w:rPr>
                <w:rFonts w:ascii="Verdana" w:hAnsi="Verdana"/>
                <w:spacing w:val="-10"/>
                <w:sz w:val="18"/>
                <w:szCs w:val="18"/>
              </w:rPr>
              <w:t>B</w:t>
            </w:r>
          </w:p>
        </w:tc>
        <w:tc>
          <w:tcPr>
            <w:tcW w:w="1133" w:type="dxa"/>
          </w:tcPr>
          <w:p w14:paraId="53DE0A53" w14:textId="77777777" w:rsidR="008715BE" w:rsidRPr="00EC75B7" w:rsidRDefault="00000000">
            <w:pPr>
              <w:pStyle w:val="TableParagraph"/>
              <w:spacing w:before="2"/>
              <w:ind w:left="10"/>
              <w:jc w:val="center"/>
              <w:rPr>
                <w:rFonts w:ascii="Verdana" w:hAnsi="Verdana"/>
                <w:sz w:val="18"/>
                <w:szCs w:val="18"/>
              </w:rPr>
            </w:pPr>
            <w:r w:rsidRPr="00EC75B7">
              <w:rPr>
                <w:rFonts w:ascii="Verdana" w:hAnsi="Verdana"/>
                <w:spacing w:val="-10"/>
                <w:sz w:val="18"/>
                <w:szCs w:val="18"/>
              </w:rPr>
              <w:t>S</w:t>
            </w:r>
          </w:p>
        </w:tc>
        <w:tc>
          <w:tcPr>
            <w:tcW w:w="1177" w:type="dxa"/>
          </w:tcPr>
          <w:p w14:paraId="083EE999" w14:textId="77777777" w:rsidR="008715BE" w:rsidRPr="00EC75B7" w:rsidRDefault="00000000">
            <w:pPr>
              <w:pStyle w:val="TableParagraph"/>
              <w:spacing w:before="2"/>
              <w:ind w:left="10"/>
              <w:jc w:val="center"/>
              <w:rPr>
                <w:rFonts w:ascii="Verdana" w:hAnsi="Verdana"/>
                <w:sz w:val="18"/>
                <w:szCs w:val="18"/>
              </w:rPr>
            </w:pPr>
            <w:r w:rsidRPr="00EC75B7">
              <w:rPr>
                <w:rFonts w:ascii="Verdana" w:hAnsi="Verdana"/>
                <w:spacing w:val="-4"/>
                <w:sz w:val="18"/>
                <w:szCs w:val="18"/>
              </w:rPr>
              <w:t>2020</w:t>
            </w:r>
          </w:p>
        </w:tc>
        <w:tc>
          <w:tcPr>
            <w:tcW w:w="1114" w:type="dxa"/>
          </w:tcPr>
          <w:p w14:paraId="70944515" w14:textId="77777777" w:rsidR="008715BE" w:rsidRPr="00EC75B7" w:rsidRDefault="00000000">
            <w:pPr>
              <w:pStyle w:val="TableParagraph"/>
              <w:spacing w:before="2"/>
              <w:ind w:left="10"/>
              <w:jc w:val="center"/>
              <w:rPr>
                <w:rFonts w:ascii="Verdana" w:hAnsi="Verdana"/>
                <w:sz w:val="18"/>
                <w:szCs w:val="18"/>
              </w:rPr>
            </w:pPr>
            <w:r w:rsidRPr="00EC75B7">
              <w:rPr>
                <w:rFonts w:ascii="Verdana" w:hAnsi="Verdana"/>
                <w:spacing w:val="-4"/>
                <w:sz w:val="18"/>
                <w:szCs w:val="18"/>
              </w:rPr>
              <w:t>2027</w:t>
            </w:r>
          </w:p>
        </w:tc>
      </w:tr>
    </w:tbl>
    <w:p w14:paraId="28964126" w14:textId="77777777" w:rsidR="008715BE" w:rsidRPr="00EC75B7" w:rsidRDefault="00000000">
      <w:pPr>
        <w:spacing w:before="1"/>
        <w:ind w:left="57"/>
        <w:rPr>
          <w:rFonts w:ascii="Verdana" w:hAnsi="Verdana"/>
          <w:sz w:val="18"/>
          <w:szCs w:val="18"/>
        </w:rPr>
      </w:pPr>
      <w:r w:rsidRPr="00EC75B7">
        <w:rPr>
          <w:rFonts w:ascii="Verdana" w:hAnsi="Verdana"/>
          <w:sz w:val="18"/>
          <w:szCs w:val="18"/>
        </w:rPr>
        <w:t xml:space="preserve">Legend: B – good status S – </w:t>
      </w:r>
      <w:r w:rsidRPr="00EC75B7">
        <w:rPr>
          <w:rFonts w:ascii="Verdana" w:hAnsi="Verdana"/>
          <w:spacing w:val="-2"/>
          <w:sz w:val="18"/>
          <w:szCs w:val="18"/>
        </w:rPr>
        <w:t xml:space="preserve">poor </w:t>
      </w:r>
      <w:r w:rsidRPr="00EC75B7">
        <w:rPr>
          <w:rFonts w:ascii="Verdana" w:hAnsi="Verdana"/>
          <w:sz w:val="18"/>
          <w:szCs w:val="18"/>
        </w:rPr>
        <w:t>status</w:t>
      </w:r>
    </w:p>
    <w:p w14:paraId="274E1F22" w14:textId="77777777" w:rsidR="008715BE" w:rsidRPr="00EC75B7" w:rsidRDefault="008715BE">
      <w:pPr>
        <w:pStyle w:val="BodyText"/>
        <w:rPr>
          <w:rFonts w:ascii="Verdana" w:hAnsi="Verdana"/>
        </w:rPr>
      </w:pPr>
    </w:p>
    <w:p w14:paraId="7B0D1B0A" w14:textId="77777777" w:rsidR="008715BE" w:rsidRPr="00EC75B7" w:rsidRDefault="008715BE">
      <w:pPr>
        <w:pStyle w:val="BodyText"/>
        <w:spacing w:before="55"/>
        <w:rPr>
          <w:rFonts w:ascii="Verdana" w:hAnsi="Verdana"/>
        </w:rPr>
      </w:pPr>
    </w:p>
    <w:p w14:paraId="40D3379C" w14:textId="77777777" w:rsidR="008715BE" w:rsidRPr="00EC75B7" w:rsidRDefault="00000000">
      <w:pPr>
        <w:spacing w:line="360" w:lineRule="auto"/>
        <w:ind w:left="57" w:right="424"/>
        <w:jc w:val="both"/>
        <w:rPr>
          <w:rFonts w:ascii="Verdana" w:hAnsi="Verdana"/>
          <w:b/>
          <w:sz w:val="18"/>
          <w:szCs w:val="18"/>
        </w:rPr>
      </w:pPr>
      <w:r w:rsidRPr="00EC75B7">
        <w:rPr>
          <w:rFonts w:ascii="Verdana" w:hAnsi="Verdana"/>
          <w:b/>
          <w:sz w:val="18"/>
          <w:szCs w:val="18"/>
        </w:rPr>
        <w:t>In the project area, the quantitative status of groundwater bodies is good, while the chemical status is poor for groundwater bodies RODL04 Cobadin-Mangalia and RODL10 Southern Dobrogea, and good for water body RODL06 Valaha Platform.</w:t>
      </w:r>
    </w:p>
    <w:p w14:paraId="02092196" w14:textId="77777777" w:rsidR="008715BE" w:rsidRPr="00EC75B7" w:rsidRDefault="008715BE">
      <w:pPr>
        <w:pStyle w:val="BodyText"/>
        <w:rPr>
          <w:rFonts w:ascii="Verdana" w:hAnsi="Verdana"/>
          <w:b/>
        </w:rPr>
      </w:pPr>
    </w:p>
    <w:p w14:paraId="335A16AA" w14:textId="77777777" w:rsidR="008715BE" w:rsidRPr="00EC75B7" w:rsidRDefault="008715BE">
      <w:pPr>
        <w:pStyle w:val="BodyText"/>
        <w:rPr>
          <w:rFonts w:ascii="Verdana" w:hAnsi="Verdana"/>
          <w:b/>
        </w:rPr>
      </w:pPr>
    </w:p>
    <w:p w14:paraId="222440D1" w14:textId="77777777" w:rsidR="008715BE" w:rsidRPr="00EC75B7" w:rsidRDefault="008715BE">
      <w:pPr>
        <w:pStyle w:val="BodyText"/>
        <w:spacing w:before="28"/>
        <w:rPr>
          <w:rFonts w:ascii="Verdana" w:hAnsi="Verdana"/>
          <w:b/>
        </w:rPr>
      </w:pPr>
    </w:p>
    <w:p w14:paraId="63D76039" w14:textId="77777777" w:rsidR="008715BE" w:rsidRPr="00EC75B7" w:rsidRDefault="00000000">
      <w:pPr>
        <w:pStyle w:val="Heading2"/>
        <w:numPr>
          <w:ilvl w:val="1"/>
          <w:numId w:val="110"/>
        </w:numPr>
        <w:tabs>
          <w:tab w:val="left" w:pos="835"/>
        </w:tabs>
        <w:ind w:hanging="720"/>
        <w:jc w:val="left"/>
        <w:rPr>
          <w:rFonts w:ascii="Verdana" w:hAnsi="Verdana"/>
          <w:color w:val="00AFEF"/>
          <w:sz w:val="18"/>
          <w:szCs w:val="18"/>
        </w:rPr>
      </w:pPr>
      <w:bookmarkStart w:id="52" w:name="_bookmark53"/>
      <w:bookmarkEnd w:id="52"/>
      <w:r w:rsidRPr="00EC75B7">
        <w:rPr>
          <w:rFonts w:ascii="Verdana" w:hAnsi="Verdana"/>
          <w:color w:val="00AFEF"/>
          <w:spacing w:val="-5"/>
          <w:sz w:val="18"/>
          <w:szCs w:val="18"/>
        </w:rPr>
        <w:t>Air</w:t>
      </w:r>
    </w:p>
    <w:p w14:paraId="589363CA" w14:textId="77777777" w:rsidR="008715BE" w:rsidRPr="00EC75B7" w:rsidRDefault="00000000">
      <w:pPr>
        <w:pStyle w:val="Heading3"/>
        <w:numPr>
          <w:ilvl w:val="2"/>
          <w:numId w:val="110"/>
        </w:numPr>
        <w:tabs>
          <w:tab w:val="left" w:pos="1766"/>
        </w:tabs>
        <w:spacing w:before="133"/>
        <w:ind w:left="1766" w:hanging="715"/>
        <w:rPr>
          <w:rFonts w:ascii="Verdana" w:hAnsi="Verdana"/>
          <w:i/>
          <w:color w:val="00AFEF"/>
          <w:sz w:val="18"/>
          <w:szCs w:val="18"/>
        </w:rPr>
      </w:pPr>
      <w:bookmarkStart w:id="53" w:name="_bookmark54"/>
      <w:bookmarkEnd w:id="53"/>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29682A9B" w14:textId="77777777" w:rsidR="008715BE" w:rsidRPr="00EC75B7" w:rsidRDefault="008715BE">
      <w:pPr>
        <w:pStyle w:val="BodyText"/>
        <w:spacing w:before="113"/>
        <w:rPr>
          <w:rFonts w:ascii="Verdana" w:hAnsi="Verdana"/>
          <w:b/>
        </w:rPr>
      </w:pPr>
    </w:p>
    <w:p w14:paraId="1C373734" w14:textId="77777777" w:rsidR="008715BE" w:rsidRPr="00EC75B7" w:rsidRDefault="00000000">
      <w:pPr>
        <w:pStyle w:val="BodyText"/>
        <w:spacing w:line="360" w:lineRule="auto"/>
        <w:ind w:left="86" w:right="429"/>
        <w:jc w:val="both"/>
        <w:rPr>
          <w:rFonts w:ascii="Verdana" w:hAnsi="Verdana"/>
        </w:rPr>
      </w:pPr>
      <w:r w:rsidRPr="00EC75B7">
        <w:rPr>
          <w:rFonts w:ascii="Verdana" w:hAnsi="Verdana"/>
        </w:rPr>
        <w:t xml:space="preserve">The study area for assessing the air environmental factor was defined to include the project site and its area of direct and indirect influence, taking into account the type and scale of the </w:t>
      </w:r>
      <w:r w:rsidRPr="00EC75B7">
        <w:rPr>
          <w:rFonts w:ascii="Verdana" w:hAnsi="Verdana"/>
          <w:spacing w:val="-2"/>
        </w:rPr>
        <w:t>proposed</w:t>
      </w:r>
      <w:r w:rsidRPr="00EC75B7">
        <w:rPr>
          <w:rFonts w:ascii="Verdana" w:hAnsi="Verdana"/>
        </w:rPr>
        <w:t xml:space="preserve"> works</w:t>
      </w:r>
      <w:r w:rsidRPr="00EC75B7">
        <w:rPr>
          <w:rFonts w:ascii="Verdana" w:hAnsi="Verdana"/>
          <w:spacing w:val="-2"/>
        </w:rPr>
        <w:t>.</w:t>
      </w:r>
    </w:p>
    <w:p w14:paraId="0D4D96E4" w14:textId="77777777" w:rsidR="008715BE" w:rsidRPr="00EC75B7" w:rsidRDefault="00000000">
      <w:pPr>
        <w:pStyle w:val="BodyText"/>
        <w:spacing w:before="118" w:line="357" w:lineRule="auto"/>
        <w:ind w:left="86" w:right="421"/>
        <w:jc w:val="both"/>
        <w:rPr>
          <w:rFonts w:ascii="Verdana" w:hAnsi="Verdana"/>
        </w:rPr>
      </w:pPr>
      <w:r w:rsidRPr="00EC75B7">
        <w:rPr>
          <w:rFonts w:ascii="Verdana" w:hAnsi="Verdana"/>
        </w:rPr>
        <w:t>For the air environmental factor, the study area includes the area occupied by the project components, as well as a proximity area around the site where direct and indirect effects could occur (e.g., dust emissions, increased concentrations of pollutants associated with traffic and the operation of equipment involved in the works).</w:t>
      </w:r>
    </w:p>
    <w:p w14:paraId="74A269DD" w14:textId="77777777" w:rsidR="008715BE" w:rsidRPr="00EC75B7" w:rsidRDefault="00000000">
      <w:pPr>
        <w:pStyle w:val="BodyText"/>
        <w:spacing w:before="121" w:line="360" w:lineRule="auto"/>
        <w:ind w:left="86" w:right="423"/>
        <w:jc w:val="both"/>
        <w:rPr>
          <w:rFonts w:ascii="Verdana" w:hAnsi="Verdana"/>
        </w:rPr>
      </w:pPr>
      <w:r w:rsidRPr="00EC75B7">
        <w:rPr>
          <w:rFonts w:ascii="Verdana" w:hAnsi="Verdana"/>
        </w:rPr>
        <w:t>The definition of the study area was based on information available from official national and European databases on air quality and activities with an impact on air, existing specialist documentation, and the local characteristics of the area, ensuring a proportionate and adequate assessment of the potential risks associated with the project.</w:t>
      </w:r>
    </w:p>
    <w:p w14:paraId="15C4369A" w14:textId="77777777" w:rsidR="008715BE" w:rsidRPr="00EC75B7" w:rsidRDefault="008715BE">
      <w:pPr>
        <w:pStyle w:val="BodyText"/>
        <w:spacing w:before="17"/>
        <w:rPr>
          <w:rFonts w:ascii="Verdana" w:hAnsi="Verdana"/>
        </w:rPr>
      </w:pPr>
    </w:p>
    <w:p w14:paraId="236F7A67" w14:textId="77777777" w:rsidR="008715BE" w:rsidRPr="00EC75B7" w:rsidRDefault="00000000">
      <w:pPr>
        <w:pStyle w:val="Heading3"/>
        <w:numPr>
          <w:ilvl w:val="2"/>
          <w:numId w:val="110"/>
        </w:numPr>
        <w:tabs>
          <w:tab w:val="left" w:pos="1766"/>
        </w:tabs>
        <w:spacing w:before="1"/>
        <w:ind w:left="1766" w:hanging="715"/>
        <w:rPr>
          <w:rFonts w:ascii="Verdana" w:hAnsi="Verdana"/>
          <w:i/>
          <w:color w:val="00AFEF"/>
          <w:sz w:val="18"/>
          <w:szCs w:val="18"/>
        </w:rPr>
      </w:pPr>
      <w:bookmarkStart w:id="54" w:name="_bookmark55"/>
      <w:bookmarkEnd w:id="54"/>
      <w:r w:rsidRPr="00EC75B7">
        <w:rPr>
          <w:rFonts w:ascii="Verdana" w:hAnsi="Verdana"/>
          <w:color w:val="00AFEF"/>
          <w:sz w:val="18"/>
          <w:szCs w:val="18"/>
        </w:rPr>
        <w:t xml:space="preserve">Brief description of existing sources of pollution in the </w:t>
      </w:r>
      <w:r w:rsidRPr="00EC75B7">
        <w:rPr>
          <w:rFonts w:ascii="Verdana" w:hAnsi="Verdana"/>
          <w:color w:val="00AFEF"/>
          <w:spacing w:val="-2"/>
          <w:sz w:val="18"/>
          <w:szCs w:val="18"/>
        </w:rPr>
        <w:t xml:space="preserve">project </w:t>
      </w:r>
      <w:r w:rsidRPr="00EC75B7">
        <w:rPr>
          <w:rFonts w:ascii="Verdana" w:hAnsi="Verdana"/>
          <w:color w:val="00AFEF"/>
          <w:sz w:val="18"/>
          <w:szCs w:val="18"/>
        </w:rPr>
        <w:t>area</w:t>
      </w:r>
    </w:p>
    <w:p w14:paraId="06B78DB3" w14:textId="77777777" w:rsidR="008715BE" w:rsidRPr="00EC75B7" w:rsidRDefault="008715BE">
      <w:pPr>
        <w:pStyle w:val="BodyText"/>
        <w:spacing w:before="113"/>
        <w:rPr>
          <w:rFonts w:ascii="Verdana" w:hAnsi="Verdana"/>
          <w:b/>
        </w:rPr>
      </w:pPr>
    </w:p>
    <w:p w14:paraId="4AC3BC0E" w14:textId="77777777" w:rsidR="008715BE" w:rsidRPr="00EC75B7" w:rsidRDefault="00000000">
      <w:pPr>
        <w:pStyle w:val="BodyText"/>
        <w:spacing w:before="1" w:line="360" w:lineRule="auto"/>
        <w:ind w:left="57" w:right="423"/>
        <w:jc w:val="both"/>
        <w:rPr>
          <w:rFonts w:ascii="Verdana" w:hAnsi="Verdana"/>
        </w:rPr>
      </w:pPr>
      <w:r w:rsidRPr="00EC75B7">
        <w:rPr>
          <w:rFonts w:ascii="Verdana" w:hAnsi="Verdana"/>
        </w:rPr>
        <w:t xml:space="preserve">The main sources of air pollution in the Cerchezu commune are transport activities, construction/demolition activities, diffuse combustion sources, agricultural activities, and </w:t>
      </w:r>
      <w:r w:rsidRPr="00EC75B7">
        <w:rPr>
          <w:rFonts w:ascii="Verdana" w:hAnsi="Verdana"/>
          <w:spacing w:val="-2"/>
        </w:rPr>
        <w:t>industrial</w:t>
      </w:r>
      <w:r w:rsidRPr="00EC75B7">
        <w:rPr>
          <w:rFonts w:ascii="Verdana" w:hAnsi="Verdana"/>
        </w:rPr>
        <w:t xml:space="preserve"> activities</w:t>
      </w:r>
      <w:r w:rsidRPr="00EC75B7">
        <w:rPr>
          <w:rFonts w:ascii="Verdana" w:hAnsi="Verdana"/>
          <w:spacing w:val="-2"/>
        </w:rPr>
        <w:t>.</w:t>
      </w:r>
    </w:p>
    <w:p w14:paraId="52124F7C" w14:textId="77777777" w:rsidR="008715BE" w:rsidRPr="00EC75B7" w:rsidRDefault="00000000">
      <w:pPr>
        <w:pStyle w:val="BodyText"/>
        <w:spacing w:before="115" w:line="360" w:lineRule="auto"/>
        <w:ind w:left="57" w:right="432"/>
        <w:jc w:val="both"/>
        <w:rPr>
          <w:rFonts w:ascii="Verdana" w:hAnsi="Verdana"/>
        </w:rPr>
      </w:pPr>
      <w:r w:rsidRPr="00EC75B7">
        <w:rPr>
          <w:rFonts w:ascii="Verdana" w:hAnsi="Verdana"/>
          <w:b/>
          <w:color w:val="00AFEF"/>
        </w:rPr>
        <w:t xml:space="preserve">Transport activities </w:t>
      </w:r>
      <w:r w:rsidRPr="00EC75B7">
        <w:rPr>
          <w:rFonts w:ascii="Verdana" w:hAnsi="Verdana"/>
        </w:rPr>
        <w:t>in the municipality of Cerchezu include only road traffic, as there are no railway lines in the area. Road traffic mainly takes place on:</w:t>
      </w:r>
    </w:p>
    <w:p w14:paraId="23801F31" w14:textId="77777777" w:rsidR="008715BE" w:rsidRPr="00EC75B7" w:rsidRDefault="00000000">
      <w:pPr>
        <w:pStyle w:val="ListParagraph"/>
        <w:numPr>
          <w:ilvl w:val="0"/>
          <w:numId w:val="86"/>
        </w:numPr>
        <w:tabs>
          <w:tab w:val="left" w:pos="777"/>
        </w:tabs>
        <w:spacing w:before="119" w:line="360" w:lineRule="auto"/>
        <w:ind w:right="424"/>
        <w:rPr>
          <w:rFonts w:ascii="Verdana" w:hAnsi="Verdana"/>
          <w:sz w:val="18"/>
          <w:szCs w:val="18"/>
        </w:rPr>
      </w:pPr>
      <w:r w:rsidRPr="00EC75B7">
        <w:rPr>
          <w:rFonts w:ascii="Verdana" w:hAnsi="Verdana"/>
          <w:sz w:val="18"/>
          <w:szCs w:val="18"/>
        </w:rPr>
        <w:t>the DJ391 Mangalia – Negru Vodă – Cobadin – Tuzla county road, which crosses the Cerchezu commune and connects it with other localities at the county level;</w:t>
      </w:r>
    </w:p>
    <w:p w14:paraId="053957CC" w14:textId="77777777" w:rsidR="008715BE" w:rsidRPr="00EC75B7" w:rsidRDefault="00000000">
      <w:pPr>
        <w:pStyle w:val="ListParagraph"/>
        <w:numPr>
          <w:ilvl w:val="0"/>
          <w:numId w:val="86"/>
        </w:numPr>
        <w:tabs>
          <w:tab w:val="left" w:pos="777"/>
        </w:tabs>
        <w:spacing w:before="116" w:line="360" w:lineRule="auto"/>
        <w:ind w:right="421"/>
        <w:rPr>
          <w:rFonts w:ascii="Verdana" w:hAnsi="Verdana"/>
          <w:sz w:val="18"/>
          <w:szCs w:val="18"/>
        </w:rPr>
      </w:pPr>
      <w:r w:rsidRPr="00EC75B7">
        <w:rPr>
          <w:rFonts w:ascii="Verdana" w:hAnsi="Verdana"/>
          <w:sz w:val="18"/>
          <w:szCs w:val="18"/>
        </w:rPr>
        <w:t>the municipal roads DC19 Măgura – Cerchezu, DC18 Viroaga – Măgura, DC17 Chirnogeni-Viroaga, DC16 DN38-Chimogeni-Plopeni-Negrești, DC13 DN38-Pelinu;</w:t>
      </w:r>
    </w:p>
    <w:p w14:paraId="03E9DB0B" w14:textId="77777777" w:rsidR="008715BE" w:rsidRPr="00EC75B7" w:rsidRDefault="00000000">
      <w:pPr>
        <w:pStyle w:val="ListParagraph"/>
        <w:numPr>
          <w:ilvl w:val="0"/>
          <w:numId w:val="86"/>
        </w:numPr>
        <w:tabs>
          <w:tab w:val="left" w:pos="777"/>
        </w:tabs>
        <w:spacing w:before="118"/>
        <w:rPr>
          <w:rFonts w:ascii="Verdana" w:hAnsi="Verdana"/>
          <w:sz w:val="18"/>
          <w:szCs w:val="18"/>
        </w:rPr>
      </w:pPr>
      <w:r w:rsidRPr="00EC75B7">
        <w:rPr>
          <w:rFonts w:ascii="Verdana" w:hAnsi="Verdana"/>
          <w:sz w:val="18"/>
          <w:szCs w:val="18"/>
        </w:rPr>
        <w:t xml:space="preserve">on the internal streets of the commune connecting to the </w:t>
      </w:r>
      <w:r w:rsidRPr="00EC75B7">
        <w:rPr>
          <w:rFonts w:ascii="Verdana" w:hAnsi="Verdana"/>
          <w:spacing w:val="-2"/>
          <w:sz w:val="18"/>
          <w:szCs w:val="18"/>
        </w:rPr>
        <w:t xml:space="preserve">main </w:t>
      </w:r>
      <w:r w:rsidRPr="00EC75B7">
        <w:rPr>
          <w:rFonts w:ascii="Verdana" w:hAnsi="Verdana"/>
          <w:sz w:val="18"/>
          <w:szCs w:val="18"/>
        </w:rPr>
        <w:t>roads</w:t>
      </w:r>
      <w:r w:rsidRPr="00EC75B7">
        <w:rPr>
          <w:rFonts w:ascii="Verdana" w:hAnsi="Verdana"/>
          <w:spacing w:val="-2"/>
          <w:sz w:val="18"/>
          <w:szCs w:val="18"/>
        </w:rPr>
        <w:t>.</w:t>
      </w:r>
    </w:p>
    <w:p w14:paraId="3D84F5BC" w14:textId="77777777" w:rsidR="008715BE" w:rsidRPr="00EC75B7" w:rsidRDefault="008715BE">
      <w:pPr>
        <w:pStyle w:val="ListParagraph"/>
        <w:rPr>
          <w:rFonts w:ascii="Verdana" w:hAnsi="Verdana"/>
          <w:sz w:val="18"/>
          <w:szCs w:val="18"/>
        </w:rPr>
        <w:sectPr w:rsidR="008715BE" w:rsidRPr="00EC75B7">
          <w:pgSz w:w="11910" w:h="16840"/>
          <w:pgMar w:top="1320" w:right="566" w:bottom="1020" w:left="1133" w:header="766" w:footer="799" w:gutter="0"/>
          <w:cols w:space="708"/>
        </w:sectPr>
      </w:pPr>
    </w:p>
    <w:p w14:paraId="30D404BD" w14:textId="77777777" w:rsidR="008715BE" w:rsidRPr="00EC75B7" w:rsidRDefault="00000000">
      <w:pPr>
        <w:pStyle w:val="BodyText"/>
        <w:spacing w:before="99" w:line="360" w:lineRule="auto"/>
        <w:ind w:left="57" w:right="430"/>
        <w:jc w:val="both"/>
        <w:rPr>
          <w:rFonts w:ascii="Verdana" w:hAnsi="Verdana"/>
        </w:rPr>
      </w:pPr>
      <w:r w:rsidRPr="00EC75B7">
        <w:rPr>
          <w:rFonts w:ascii="Verdana" w:hAnsi="Verdana"/>
        </w:rPr>
        <w:lastRenderedPageBreak/>
        <w:t>Road traffic as a mobile source of pollution has the highest share in atmospheric pollution in the Cerchezu commune area, with transit traffic making the largest contribution.</w:t>
      </w:r>
    </w:p>
    <w:p w14:paraId="50C69F86" w14:textId="77777777" w:rsidR="008715BE" w:rsidRPr="00EC75B7" w:rsidRDefault="00000000">
      <w:pPr>
        <w:spacing w:before="116" w:line="355" w:lineRule="auto"/>
        <w:ind w:left="57" w:right="422"/>
        <w:jc w:val="both"/>
        <w:rPr>
          <w:rFonts w:ascii="Verdana" w:hAnsi="Verdana"/>
          <w:sz w:val="18"/>
          <w:szCs w:val="18"/>
        </w:rPr>
      </w:pPr>
      <w:r w:rsidRPr="00EC75B7">
        <w:rPr>
          <w:rFonts w:ascii="Verdana" w:hAnsi="Verdana"/>
          <w:position w:val="2"/>
          <w:sz w:val="18"/>
          <w:szCs w:val="18"/>
        </w:rPr>
        <w:t xml:space="preserve">The main specific pollutants resulting from road transport are: </w:t>
      </w:r>
      <w:r w:rsidRPr="00EC75B7">
        <w:rPr>
          <w:rFonts w:ascii="Verdana" w:hAnsi="Verdana"/>
          <w:b/>
          <w:position w:val="2"/>
          <w:sz w:val="18"/>
          <w:szCs w:val="18"/>
        </w:rPr>
        <w:t>nitrogen oxides (</w:t>
      </w:r>
      <w:r w:rsidRPr="00EC75B7">
        <w:rPr>
          <w:rFonts w:ascii="Verdana" w:hAnsi="Verdana"/>
          <w:b/>
          <w:sz w:val="18"/>
          <w:szCs w:val="18"/>
        </w:rPr>
        <w:t>NOx</w:t>
      </w:r>
      <w:r w:rsidRPr="00EC75B7">
        <w:rPr>
          <w:rFonts w:ascii="Verdana" w:hAnsi="Verdana"/>
          <w:b/>
          <w:position w:val="2"/>
          <w:sz w:val="18"/>
          <w:szCs w:val="18"/>
        </w:rPr>
        <w:t>), sulfur dioxide (</w:t>
      </w:r>
      <w:r w:rsidRPr="00EC75B7">
        <w:rPr>
          <w:rFonts w:ascii="Verdana" w:hAnsi="Verdana"/>
          <w:b/>
          <w:sz w:val="18"/>
          <w:szCs w:val="18"/>
        </w:rPr>
        <w:t>SO2</w:t>
      </w:r>
      <w:r w:rsidRPr="00EC75B7">
        <w:rPr>
          <w:rFonts w:ascii="Verdana" w:hAnsi="Verdana"/>
          <w:b/>
          <w:position w:val="2"/>
          <w:sz w:val="18"/>
          <w:szCs w:val="18"/>
        </w:rPr>
        <w:t>), carbon oxides (</w:t>
      </w:r>
      <w:r w:rsidRPr="00EC75B7">
        <w:rPr>
          <w:rFonts w:ascii="Verdana" w:hAnsi="Verdana"/>
          <w:b/>
          <w:sz w:val="18"/>
          <w:szCs w:val="18"/>
        </w:rPr>
        <w:t>COx</w:t>
      </w:r>
      <w:r w:rsidRPr="00EC75B7">
        <w:rPr>
          <w:rFonts w:ascii="Verdana" w:hAnsi="Verdana"/>
          <w:b/>
          <w:position w:val="2"/>
          <w:sz w:val="18"/>
          <w:szCs w:val="18"/>
        </w:rPr>
        <w:t>), particulate matter (</w:t>
      </w:r>
      <w:r w:rsidRPr="00EC75B7">
        <w:rPr>
          <w:rFonts w:ascii="Verdana" w:hAnsi="Verdana"/>
          <w:b/>
          <w:sz w:val="18"/>
          <w:szCs w:val="18"/>
        </w:rPr>
        <w:t>PM10</w:t>
      </w:r>
      <w:r w:rsidRPr="00EC75B7">
        <w:rPr>
          <w:rFonts w:ascii="Verdana" w:hAnsi="Verdana"/>
          <w:b/>
          <w:position w:val="2"/>
          <w:sz w:val="18"/>
          <w:szCs w:val="18"/>
        </w:rPr>
        <w:t xml:space="preserve">, </w:t>
      </w:r>
      <w:r w:rsidRPr="00EC75B7">
        <w:rPr>
          <w:rFonts w:ascii="Verdana" w:hAnsi="Verdana"/>
          <w:b/>
          <w:sz w:val="18"/>
          <w:szCs w:val="18"/>
        </w:rPr>
        <w:t>PM2.5</w:t>
      </w:r>
      <w:r w:rsidRPr="00EC75B7">
        <w:rPr>
          <w:rFonts w:ascii="Verdana" w:hAnsi="Verdana"/>
          <w:b/>
          <w:position w:val="2"/>
          <w:sz w:val="18"/>
          <w:szCs w:val="18"/>
        </w:rPr>
        <w:t xml:space="preserve">), and </w:t>
      </w:r>
      <w:r w:rsidRPr="00EC75B7">
        <w:rPr>
          <w:rFonts w:ascii="Verdana" w:hAnsi="Verdana"/>
          <w:b/>
          <w:sz w:val="18"/>
          <w:szCs w:val="18"/>
        </w:rPr>
        <w:t xml:space="preserve">volatile </w:t>
      </w:r>
      <w:r w:rsidRPr="00EC75B7">
        <w:rPr>
          <w:rFonts w:ascii="Verdana" w:hAnsi="Verdana"/>
          <w:b/>
          <w:position w:val="2"/>
          <w:sz w:val="18"/>
          <w:szCs w:val="18"/>
        </w:rPr>
        <w:t xml:space="preserve">organic compounds </w:t>
      </w:r>
      <w:r w:rsidRPr="00EC75B7">
        <w:rPr>
          <w:rFonts w:ascii="Verdana" w:hAnsi="Verdana"/>
          <w:b/>
          <w:sz w:val="18"/>
          <w:szCs w:val="18"/>
        </w:rPr>
        <w:t>(VOCs)</w:t>
      </w:r>
      <w:r w:rsidRPr="00EC75B7">
        <w:rPr>
          <w:rFonts w:ascii="Verdana" w:hAnsi="Verdana"/>
          <w:sz w:val="18"/>
          <w:szCs w:val="18"/>
        </w:rPr>
        <w:t>.</w:t>
      </w:r>
    </w:p>
    <w:p w14:paraId="6EE2C1DA" w14:textId="77777777" w:rsidR="008715BE" w:rsidRPr="00EC75B7" w:rsidRDefault="00000000">
      <w:pPr>
        <w:pStyle w:val="BodyText"/>
        <w:spacing w:before="119" w:line="357" w:lineRule="auto"/>
        <w:ind w:left="57" w:right="424"/>
        <w:jc w:val="both"/>
        <w:rPr>
          <w:rFonts w:ascii="Verdana" w:hAnsi="Verdana"/>
        </w:rPr>
      </w:pPr>
      <w:r w:rsidRPr="00EC75B7">
        <w:rPr>
          <w:rFonts w:ascii="Verdana" w:hAnsi="Verdana"/>
          <w:noProof/>
        </w:rPr>
        <mc:AlternateContent>
          <mc:Choice Requires="wps">
            <w:drawing>
              <wp:anchor distT="0" distB="0" distL="0" distR="0" simplePos="0" relativeHeight="251703296" behindDoc="1" locked="0" layoutInCell="1" allowOverlap="1" wp14:anchorId="2D679886" wp14:editId="7A53076C">
                <wp:simplePos x="0" y="0"/>
                <wp:positionH relativeFrom="page">
                  <wp:posOffset>4023995</wp:posOffset>
                </wp:positionH>
                <wp:positionV relativeFrom="paragraph">
                  <wp:posOffset>177067</wp:posOffset>
                </wp:positionV>
                <wp:extent cx="17780" cy="12700"/>
                <wp:effectExtent l="0" t="0" r="0" b="0"/>
                <wp:wrapNone/>
                <wp:docPr id="217" name="Textbox 217"/>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4AE0626C" w14:textId="77777777" w:rsidR="008715BE" w:rsidRDefault="00000000">
                            <w:pPr>
                              <w:spacing w:line="19" w:lineRule="exact"/>
                              <w:rPr>
                                <w:sz w:val="2"/>
                              </w:rPr>
                            </w:pPr>
                            <w:r>
                              <w:rPr>
                                <w:spacing w:val="-5"/>
                                <w:sz w:val="1"/>
                              </w:rPr>
                              <w:t>20F</w:t>
                            </w:r>
                          </w:p>
                        </w:txbxContent>
                      </wps:txbx>
                      <wps:bodyPr wrap="square" lIns="0" tIns="0" rIns="0" bIns="0" rtlCol="0"/>
                    </wps:wsp>
                  </a:graphicData>
                </a:graphic>
              </wp:anchor>
            </w:drawing>
          </mc:Choice>
          <mc:Fallback>
            <w:pict>
              <v:shape w14:anchorId="2D679886" id="Textbox 217" o:spid="_x0000_s1105" type="#_x0000_t202" style="position:absolute;left:0;text-align:left;margin-left:316.85pt;margin-top:13.95pt;width:1.4pt;height:1pt;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" filled="f" stroked="f">
                <v:textbox inset="0,0,0,0">
                  <w:txbxContent>
                    <w:p w14:paraId="4AE0626C" w14:textId="77777777" w:rsidR="008715BE" w:rsidRDefault="00000000">
                      <w:pPr>
                        <w:spacing w:line="19" w:lineRule="exact"/>
                        <w:rPr>
                          <w:sz w:val="2"/>
                        </w:rPr>
                      </w:pPr>
                      <w:r>
                        <w:rPr>
                          <w:spacing w:val="-5"/>
                          <w:sz w:val="1"/>
                        </w:rPr>
                        <w:t>20F</w:t>
                      </w:r>
                    </w:p>
                  </w:txbxContent>
                </v:textbox>
                <w10:wrap anchorx="page"/>
              </v:shape>
            </w:pict>
          </mc:Fallback>
        </mc:AlternateContent>
      </w:r>
      <w:r w:rsidRPr="00EC75B7">
        <w:rPr>
          <w:rFonts w:ascii="Verdana" w:hAnsi="Verdana"/>
        </w:rPr>
        <w:t>According to the latest traffic census conducted in 2022</w:t>
      </w:r>
      <w:r w:rsidRPr="00EC75B7">
        <w:rPr>
          <w:rFonts w:ascii="Verdana" w:hAnsi="Verdana"/>
          <w:spacing w:val="-11"/>
        </w:rPr>
        <w:t xml:space="preserve"> </w:t>
      </w:r>
      <w:r w:rsidRPr="00EC75B7">
        <w:rPr>
          <w:rFonts w:ascii="Verdana" w:hAnsi="Verdana"/>
          <w:position w:val="6"/>
        </w:rPr>
        <w:t>19</w:t>
      </w:r>
      <w:r w:rsidRPr="00EC75B7">
        <w:rPr>
          <w:rFonts w:ascii="Verdana" w:hAnsi="Verdana"/>
        </w:rPr>
        <w:t xml:space="preserve">  by CESTRIN – the Center for Technical Road Studies and Informatics within CNAIR (the National Road Infrastructure Administration Company), on a 53.817 km section of the DN38 road (closest to the town of Cerchezu),</w:t>
      </w:r>
      <w:r w:rsidRPr="00EC75B7">
        <w:rPr>
          <w:rFonts w:ascii="Verdana" w:hAnsi="Verdana"/>
          <w:spacing w:val="20"/>
        </w:rPr>
        <w:t xml:space="preserve"> </w:t>
      </w:r>
      <w:r w:rsidRPr="00EC75B7">
        <w:rPr>
          <w:rFonts w:ascii="Verdana" w:hAnsi="Verdana"/>
          <w:b/>
        </w:rPr>
        <w:t xml:space="preserve">the </w:t>
      </w:r>
      <w:r w:rsidRPr="00EC75B7">
        <w:rPr>
          <w:rFonts w:ascii="Verdana" w:hAnsi="Verdana"/>
        </w:rPr>
        <w:t xml:space="preserve">daily average </w:t>
      </w:r>
      <w:r w:rsidRPr="00EC75B7">
        <w:rPr>
          <w:rFonts w:ascii="Verdana" w:hAnsi="Verdana"/>
          <w:b/>
        </w:rPr>
        <w:t>number</w:t>
      </w:r>
      <w:r w:rsidRPr="00EC75B7">
        <w:rPr>
          <w:rFonts w:ascii="Verdana" w:hAnsi="Verdana"/>
        </w:rPr>
        <w:t xml:space="preserve"> </w:t>
      </w:r>
      <w:r w:rsidRPr="00EC75B7">
        <w:rPr>
          <w:rFonts w:ascii="Verdana" w:hAnsi="Verdana"/>
          <w:b/>
        </w:rPr>
        <w:t xml:space="preserve">of vehicles </w:t>
      </w:r>
      <w:r w:rsidRPr="00EC75B7">
        <w:rPr>
          <w:rFonts w:ascii="Verdana" w:hAnsi="Verdana"/>
        </w:rPr>
        <w:t>is around</w:t>
      </w:r>
      <w:r w:rsidRPr="00EC75B7">
        <w:rPr>
          <w:rFonts w:ascii="Verdana" w:hAnsi="Verdana"/>
          <w:b/>
        </w:rPr>
        <w:t xml:space="preserve"> 3,750 per day, </w:t>
      </w:r>
      <w:r w:rsidRPr="00EC75B7">
        <w:rPr>
          <w:rFonts w:ascii="Verdana" w:hAnsi="Verdana"/>
        </w:rPr>
        <w:t xml:space="preserve">of which: 2,740 </w:t>
      </w:r>
      <w:r w:rsidRPr="001A36C7">
        <w:rPr>
          <w:rFonts w:ascii="Verdana" w:hAnsi="Verdana"/>
          <w:bCs/>
        </w:rPr>
        <w:t>are</w:t>
      </w:r>
      <w:r w:rsidRPr="00EC75B7">
        <w:rPr>
          <w:rFonts w:ascii="Verdana" w:hAnsi="Verdana"/>
          <w:b/>
        </w:rPr>
        <w:t xml:space="preserve"> </w:t>
      </w:r>
      <w:r w:rsidRPr="00EC75B7">
        <w:rPr>
          <w:rFonts w:ascii="Verdana" w:hAnsi="Verdana"/>
        </w:rPr>
        <w:t>light vehicles (cars), 433 are trucks, 218 are vans and special vehicles, 98 are buses/coaches, and 98 are minibuses.</w:t>
      </w:r>
    </w:p>
    <w:p w14:paraId="0C33B0CC" w14:textId="77777777" w:rsidR="008715BE" w:rsidRPr="00EC75B7" w:rsidRDefault="00000000">
      <w:pPr>
        <w:pStyle w:val="BodyText"/>
        <w:spacing w:before="4"/>
        <w:ind w:left="57"/>
        <w:jc w:val="both"/>
        <w:rPr>
          <w:rFonts w:ascii="Verdana" w:hAnsi="Verdana"/>
        </w:rPr>
      </w:pPr>
      <w:r w:rsidRPr="00EC75B7">
        <w:rPr>
          <w:rFonts w:ascii="Verdana" w:hAnsi="Verdana"/>
        </w:rPr>
        <w:t xml:space="preserve">24 trucks and derivatives, 18 tractors, 29 bicycles, and 14 </w:t>
      </w:r>
      <w:r w:rsidRPr="00EC75B7">
        <w:rPr>
          <w:rFonts w:ascii="Verdana" w:hAnsi="Verdana"/>
          <w:spacing w:val="-2"/>
        </w:rPr>
        <w:t>motorcycles.</w:t>
      </w:r>
    </w:p>
    <w:p w14:paraId="36124B77" w14:textId="77777777" w:rsidR="008715BE" w:rsidRPr="00EC75B7" w:rsidRDefault="008715BE">
      <w:pPr>
        <w:pStyle w:val="BodyText"/>
        <w:spacing w:before="10"/>
        <w:rPr>
          <w:rFonts w:ascii="Verdana" w:hAnsi="Verdana"/>
        </w:rPr>
      </w:pPr>
    </w:p>
    <w:p w14:paraId="76E5E766" w14:textId="77777777" w:rsidR="008715BE" w:rsidRPr="00EC75B7" w:rsidRDefault="00000000">
      <w:pPr>
        <w:pStyle w:val="BodyText"/>
        <w:spacing w:line="357" w:lineRule="auto"/>
        <w:ind w:left="57" w:right="422"/>
        <w:jc w:val="both"/>
        <w:rPr>
          <w:rFonts w:ascii="Verdana" w:hAnsi="Verdana"/>
        </w:rPr>
      </w:pPr>
      <w:r w:rsidRPr="00EC75B7">
        <w:rPr>
          <w:rFonts w:ascii="Verdana" w:hAnsi="Verdana"/>
        </w:rPr>
        <w:t>Areas along the road and at intersections, especially where there is heavy vehicle traffic, are most exposed to pollution. Other exposed areas are centers of general interest—</w:t>
      </w:r>
      <w:r w:rsidRPr="00EC75B7">
        <w:rPr>
          <w:rFonts w:ascii="Verdana" w:hAnsi="Verdana"/>
          <w:spacing w:val="-2"/>
        </w:rPr>
        <w:t xml:space="preserve">transit </w:t>
      </w:r>
      <w:r w:rsidRPr="00EC75B7">
        <w:rPr>
          <w:rFonts w:ascii="Verdana" w:hAnsi="Verdana"/>
        </w:rPr>
        <w:t>points</w:t>
      </w:r>
      <w:r w:rsidRPr="00EC75B7">
        <w:rPr>
          <w:rFonts w:ascii="Verdana" w:hAnsi="Verdana"/>
          <w:spacing w:val="-2"/>
        </w:rPr>
        <w:t>.</w:t>
      </w:r>
    </w:p>
    <w:p w14:paraId="6CEB25B8" w14:textId="77777777" w:rsidR="008715BE" w:rsidRPr="00EC75B7" w:rsidRDefault="00000000">
      <w:pPr>
        <w:pStyle w:val="BodyText"/>
        <w:spacing w:before="122" w:line="357" w:lineRule="auto"/>
        <w:ind w:left="57" w:right="427"/>
        <w:jc w:val="both"/>
        <w:rPr>
          <w:rFonts w:ascii="Verdana" w:hAnsi="Verdana"/>
        </w:rPr>
      </w:pPr>
      <w:r w:rsidRPr="00EC75B7">
        <w:rPr>
          <w:rFonts w:ascii="Verdana" w:hAnsi="Verdana"/>
        </w:rPr>
        <w:t>The level of atmospheric pollution generated by road transport varies over time and space. The level of pollution depends on the type of vehicle, the age of the vehicle, the volume of traffic, the type of fuel used, and the technical condition of the road and the vehicle. The greatest impact is felt in built-up areas and areas with congested traffic arteries. Concentrations of atmospheric pollutants are higher in areas with traffic arteries flanked by tall buildings (such as apartment blocks) in a compact form, which prevent the dispersion of pollutants into the atmosphere – a situation that is not specific to the municipality of Cerchezu.</w:t>
      </w:r>
    </w:p>
    <w:p w14:paraId="1412F2D1" w14:textId="77777777" w:rsidR="008715BE" w:rsidRPr="00EC75B7" w:rsidRDefault="00000000">
      <w:pPr>
        <w:spacing w:before="124" w:line="360" w:lineRule="auto"/>
        <w:ind w:left="57" w:right="428"/>
        <w:jc w:val="both"/>
        <w:rPr>
          <w:rFonts w:ascii="Verdana" w:hAnsi="Verdana"/>
          <w:sz w:val="18"/>
          <w:szCs w:val="18"/>
        </w:rPr>
      </w:pPr>
      <w:r w:rsidRPr="00EC75B7">
        <w:rPr>
          <w:rFonts w:ascii="Verdana" w:hAnsi="Verdana"/>
          <w:b/>
          <w:color w:val="00AFEF"/>
          <w:sz w:val="18"/>
          <w:szCs w:val="18"/>
        </w:rPr>
        <w:t xml:space="preserve">Construction/demolition activities </w:t>
      </w:r>
      <w:r w:rsidRPr="00EC75B7">
        <w:rPr>
          <w:rFonts w:ascii="Verdana" w:hAnsi="Verdana"/>
          <w:sz w:val="18"/>
          <w:szCs w:val="18"/>
        </w:rPr>
        <w:t>in the municipality of Cerchezu can be sources of air pollution through:</w:t>
      </w:r>
    </w:p>
    <w:p w14:paraId="35F9EFDA" w14:textId="77777777" w:rsidR="008715BE" w:rsidRPr="00EC75B7" w:rsidRDefault="00000000">
      <w:pPr>
        <w:pStyle w:val="ListParagraph"/>
        <w:numPr>
          <w:ilvl w:val="0"/>
          <w:numId w:val="86"/>
        </w:numPr>
        <w:tabs>
          <w:tab w:val="left" w:pos="777"/>
        </w:tabs>
        <w:spacing w:before="119" w:line="357" w:lineRule="auto"/>
        <w:ind w:right="421"/>
        <w:jc w:val="both"/>
        <w:rPr>
          <w:rFonts w:ascii="Verdana" w:hAnsi="Verdana"/>
          <w:sz w:val="18"/>
          <w:szCs w:val="18"/>
        </w:rPr>
      </w:pPr>
      <w:r w:rsidRPr="00EC75B7">
        <w:rPr>
          <w:rFonts w:ascii="Verdana" w:hAnsi="Verdana"/>
          <w:sz w:val="18"/>
          <w:szCs w:val="18"/>
        </w:rPr>
        <w:t>earthmoving activities (topsoil removal, excavation, filling, levelling, loading, unloading, transport), construction materials and construction waste – stationary uncontrolled sources. The specific pollutants produced are</w:t>
      </w:r>
      <w:r w:rsidRPr="00EC75B7">
        <w:rPr>
          <w:rFonts w:ascii="Verdana" w:hAnsi="Verdana"/>
          <w:b/>
          <w:sz w:val="18"/>
          <w:szCs w:val="18"/>
        </w:rPr>
        <w:t>: dust</w:t>
      </w:r>
      <w:r w:rsidRPr="00EC75B7">
        <w:rPr>
          <w:rFonts w:ascii="Verdana" w:hAnsi="Verdana"/>
          <w:sz w:val="18"/>
          <w:szCs w:val="18"/>
        </w:rPr>
        <w:t>;</w:t>
      </w:r>
    </w:p>
    <w:p w14:paraId="50735350" w14:textId="77777777" w:rsidR="008715BE" w:rsidRPr="00EC75B7" w:rsidRDefault="00000000">
      <w:pPr>
        <w:pStyle w:val="ListParagraph"/>
        <w:numPr>
          <w:ilvl w:val="0"/>
          <w:numId w:val="86"/>
        </w:numPr>
        <w:tabs>
          <w:tab w:val="left" w:pos="777"/>
        </w:tabs>
        <w:spacing w:before="121" w:line="357" w:lineRule="auto"/>
        <w:ind w:right="421"/>
        <w:jc w:val="both"/>
        <w:rPr>
          <w:rFonts w:ascii="Verdana" w:hAnsi="Verdana"/>
          <w:sz w:val="18"/>
          <w:szCs w:val="18"/>
        </w:rPr>
      </w:pPr>
      <w:r w:rsidRPr="00EC75B7">
        <w:rPr>
          <w:rFonts w:ascii="Verdana" w:hAnsi="Verdana"/>
          <w:sz w:val="18"/>
          <w:szCs w:val="18"/>
        </w:rPr>
        <w:t xml:space="preserve">vehicles and machinery involved in land development and the transport of materials and equipment necessary for construction works (excavators, compactors, cranes, </w:t>
      </w:r>
      <w:r w:rsidRPr="00EC75B7">
        <w:rPr>
          <w:rFonts w:ascii="Verdana" w:hAnsi="Verdana"/>
          <w:position w:val="2"/>
          <w:sz w:val="18"/>
          <w:szCs w:val="18"/>
        </w:rPr>
        <w:t>electric</w:t>
      </w:r>
      <w:r w:rsidRPr="00EC75B7">
        <w:rPr>
          <w:rFonts w:ascii="Verdana" w:hAnsi="Verdana"/>
          <w:sz w:val="18"/>
          <w:szCs w:val="18"/>
        </w:rPr>
        <w:t xml:space="preserve"> generators</w:t>
      </w:r>
      <w:r w:rsidRPr="00EC75B7">
        <w:rPr>
          <w:rFonts w:ascii="Verdana" w:hAnsi="Verdana"/>
          <w:position w:val="2"/>
          <w:sz w:val="18"/>
          <w:szCs w:val="18"/>
        </w:rPr>
        <w:t xml:space="preserve">) – non-road mobile sources. The main specific pollutants produced are: </w:t>
      </w:r>
      <w:r w:rsidRPr="00EC75B7">
        <w:rPr>
          <w:rFonts w:ascii="Verdana" w:hAnsi="Verdana"/>
          <w:b/>
          <w:sz w:val="18"/>
          <w:szCs w:val="18"/>
        </w:rPr>
        <w:t>NOx</w:t>
      </w:r>
      <w:r w:rsidRPr="00EC75B7">
        <w:rPr>
          <w:rFonts w:ascii="Verdana" w:hAnsi="Verdana"/>
          <w:b/>
          <w:position w:val="2"/>
          <w:sz w:val="18"/>
          <w:szCs w:val="18"/>
        </w:rPr>
        <w:t xml:space="preserve">, </w:t>
      </w:r>
      <w:r w:rsidRPr="00EC75B7">
        <w:rPr>
          <w:rFonts w:ascii="Verdana" w:hAnsi="Verdana"/>
          <w:b/>
          <w:sz w:val="18"/>
          <w:szCs w:val="18"/>
        </w:rPr>
        <w:t>SOx</w:t>
      </w:r>
      <w:r w:rsidRPr="00EC75B7">
        <w:rPr>
          <w:rFonts w:ascii="Verdana" w:hAnsi="Verdana"/>
          <w:b/>
          <w:position w:val="2"/>
          <w:sz w:val="18"/>
          <w:szCs w:val="18"/>
        </w:rPr>
        <w:t xml:space="preserve">, CO, </w:t>
      </w:r>
      <w:r w:rsidRPr="00EC75B7">
        <w:rPr>
          <w:rFonts w:ascii="Verdana" w:hAnsi="Verdana"/>
          <w:b/>
          <w:spacing w:val="-2"/>
          <w:sz w:val="18"/>
          <w:szCs w:val="18"/>
        </w:rPr>
        <w:t>dust</w:t>
      </w:r>
      <w:r w:rsidRPr="00EC75B7">
        <w:rPr>
          <w:rFonts w:ascii="Verdana" w:hAnsi="Verdana"/>
          <w:spacing w:val="-2"/>
          <w:sz w:val="18"/>
          <w:szCs w:val="18"/>
        </w:rPr>
        <w:t>.</w:t>
      </w:r>
    </w:p>
    <w:p w14:paraId="73500B16" w14:textId="77777777" w:rsidR="008715BE" w:rsidRPr="00EC75B7" w:rsidRDefault="00000000">
      <w:pPr>
        <w:pStyle w:val="BodyText"/>
        <w:spacing w:before="117"/>
        <w:ind w:left="57"/>
        <w:jc w:val="both"/>
        <w:rPr>
          <w:rFonts w:ascii="Verdana" w:hAnsi="Verdana"/>
        </w:rPr>
      </w:pPr>
      <w:r w:rsidRPr="00EC75B7">
        <w:rPr>
          <w:rFonts w:ascii="Verdana" w:hAnsi="Verdana"/>
          <w:noProof/>
        </w:rPr>
        <mc:AlternateContent>
          <mc:Choice Requires="wps">
            <w:drawing>
              <wp:anchor distT="0" distB="0" distL="0" distR="0" simplePos="0" relativeHeight="251705344" behindDoc="1" locked="0" layoutInCell="1" allowOverlap="1" wp14:anchorId="5E50A3A8" wp14:editId="56A353C0">
                <wp:simplePos x="0" y="0"/>
                <wp:positionH relativeFrom="page">
                  <wp:posOffset>2993770</wp:posOffset>
                </wp:positionH>
                <wp:positionV relativeFrom="paragraph">
                  <wp:posOffset>175902</wp:posOffset>
                </wp:positionV>
                <wp:extent cx="17780" cy="12700"/>
                <wp:effectExtent l="0" t="0" r="0" b="0"/>
                <wp:wrapNone/>
                <wp:docPr id="218" name="Textbox 21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59294E6" w14:textId="77777777" w:rsidR="008715BE" w:rsidRDefault="00000000">
                            <w:pPr>
                              <w:spacing w:line="19" w:lineRule="exact"/>
                              <w:rPr>
                                <w:sz w:val="2"/>
                              </w:rPr>
                            </w:pPr>
                            <w:r>
                              <w:rPr>
                                <w:spacing w:val="-5"/>
                                <w:sz w:val="1"/>
                              </w:rPr>
                              <w:t>21F</w:t>
                            </w:r>
                          </w:p>
                        </w:txbxContent>
                      </wps:txbx>
                      <wps:bodyPr wrap="square" lIns="0" tIns="0" rIns="0" bIns="0" rtlCol="0"/>
                    </wps:wsp>
                  </a:graphicData>
                </a:graphic>
              </wp:anchor>
            </w:drawing>
          </mc:Choice>
          <mc:Fallback>
            <w:pict>
              <v:shape w14:anchorId="5E50A3A8" id="Textbox 218" o:spid="_x0000_s1106" type="#_x0000_t202" style="position:absolute;left:0;text-align:left;margin-left:235.75pt;margin-top:13.85pt;width:1.4pt;height:1pt;z-index:-25161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" filled="f" stroked="f">
                <v:textbox inset="0,0,0,0">
                  <w:txbxContent>
                    <w:p w14:paraId="559294E6" w14:textId="77777777" w:rsidR="008715BE" w:rsidRDefault="00000000">
                      <w:pPr>
                        <w:spacing w:line="19" w:lineRule="exact"/>
                        <w:rPr>
                          <w:sz w:val="2"/>
                        </w:rPr>
                      </w:pPr>
                      <w:r>
                        <w:rPr>
                          <w:spacing w:val="-5"/>
                          <w:sz w:val="1"/>
                        </w:rPr>
                        <w:t>21F</w:t>
                      </w:r>
                    </w:p>
                  </w:txbxContent>
                </v:textbox>
                <w10:wrap anchorx="page"/>
              </v:shape>
            </w:pict>
          </mc:Fallback>
        </mc:AlternateContent>
      </w:r>
      <w:r w:rsidRPr="00EC75B7">
        <w:rPr>
          <w:rFonts w:ascii="Verdana" w:hAnsi="Verdana"/>
        </w:rPr>
        <w:t xml:space="preserve">According to local government data </w:t>
      </w:r>
      <w:r w:rsidRPr="00EC75B7">
        <w:rPr>
          <w:rFonts w:ascii="Verdana" w:hAnsi="Verdana"/>
          <w:position w:val="6"/>
        </w:rPr>
        <w:t>20</w:t>
      </w:r>
      <w:r w:rsidRPr="00EC75B7">
        <w:rPr>
          <w:rFonts w:ascii="Verdana" w:hAnsi="Verdana"/>
        </w:rPr>
        <w:t xml:space="preserve">, between 2019 and 2023 , </w:t>
      </w:r>
      <w:r w:rsidRPr="00EC75B7">
        <w:rPr>
          <w:rFonts w:ascii="Verdana" w:hAnsi="Verdana"/>
          <w:spacing w:val="-5"/>
        </w:rPr>
        <w:t>there</w:t>
      </w:r>
      <w:r w:rsidRPr="00EC75B7">
        <w:rPr>
          <w:rFonts w:ascii="Verdana" w:hAnsi="Verdana"/>
        </w:rPr>
        <w:t xml:space="preserve"> are</w:t>
      </w:r>
    </w:p>
    <w:p w14:paraId="60C641D4" w14:textId="77777777" w:rsidR="008715BE" w:rsidRPr="00EC75B7" w:rsidRDefault="00000000">
      <w:pPr>
        <w:pStyle w:val="BodyText"/>
        <w:spacing w:before="109"/>
        <w:ind w:left="57"/>
        <w:jc w:val="both"/>
        <w:rPr>
          <w:rFonts w:ascii="Verdana" w:hAnsi="Verdana"/>
        </w:rPr>
      </w:pPr>
      <w:r w:rsidRPr="00EC75B7">
        <w:rPr>
          <w:rFonts w:ascii="Verdana" w:hAnsi="Verdana"/>
        </w:rPr>
        <w:t xml:space="preserve">the following categories of </w:t>
      </w:r>
      <w:r w:rsidRPr="00EC75B7">
        <w:rPr>
          <w:rFonts w:ascii="Verdana" w:hAnsi="Verdana"/>
          <w:spacing w:val="-2"/>
        </w:rPr>
        <w:t>works:</w:t>
      </w:r>
    </w:p>
    <w:p w14:paraId="30D83F27" w14:textId="77777777" w:rsidR="008715BE" w:rsidRPr="00EC75B7" w:rsidRDefault="008715BE">
      <w:pPr>
        <w:pStyle w:val="BodyText"/>
        <w:spacing w:before="7"/>
        <w:rPr>
          <w:rFonts w:ascii="Verdana" w:hAnsi="Verdana"/>
        </w:rPr>
      </w:pPr>
    </w:p>
    <w:p w14:paraId="72FB8C8A" w14:textId="77777777" w:rsidR="008715BE" w:rsidRPr="00EC75B7" w:rsidRDefault="00000000">
      <w:pPr>
        <w:pStyle w:val="ListParagraph"/>
        <w:numPr>
          <w:ilvl w:val="0"/>
          <w:numId w:val="86"/>
        </w:numPr>
        <w:tabs>
          <w:tab w:val="left" w:pos="777"/>
        </w:tabs>
        <w:rPr>
          <w:rFonts w:ascii="Verdana" w:hAnsi="Verdana"/>
          <w:sz w:val="18"/>
          <w:szCs w:val="18"/>
        </w:rPr>
      </w:pPr>
      <w:r w:rsidRPr="00EC75B7">
        <w:rPr>
          <w:rFonts w:ascii="Verdana" w:hAnsi="Verdana"/>
          <w:spacing w:val="-2"/>
          <w:sz w:val="18"/>
          <w:szCs w:val="18"/>
        </w:rPr>
        <w:t xml:space="preserve">Road </w:t>
      </w:r>
      <w:r w:rsidRPr="00EC75B7">
        <w:rPr>
          <w:rFonts w:ascii="Verdana" w:hAnsi="Verdana"/>
          <w:sz w:val="18"/>
          <w:szCs w:val="18"/>
        </w:rPr>
        <w:t>infrastructure rehabilitation and modernization works</w:t>
      </w:r>
      <w:r w:rsidRPr="00EC75B7">
        <w:rPr>
          <w:rFonts w:ascii="Verdana" w:hAnsi="Verdana"/>
          <w:spacing w:val="-2"/>
          <w:sz w:val="18"/>
          <w:szCs w:val="18"/>
        </w:rPr>
        <w:t>;</w:t>
      </w:r>
    </w:p>
    <w:p w14:paraId="374B6E03" w14:textId="77777777" w:rsidR="008715BE" w:rsidRPr="00EC75B7" w:rsidRDefault="008715BE">
      <w:pPr>
        <w:pStyle w:val="BodyText"/>
        <w:spacing w:before="10"/>
        <w:rPr>
          <w:rFonts w:ascii="Verdana" w:hAnsi="Verdana"/>
        </w:rPr>
      </w:pPr>
    </w:p>
    <w:p w14:paraId="63C847DF" w14:textId="77777777" w:rsidR="008715BE" w:rsidRPr="00EC75B7" w:rsidRDefault="00000000">
      <w:pPr>
        <w:pStyle w:val="ListParagraph"/>
        <w:numPr>
          <w:ilvl w:val="0"/>
          <w:numId w:val="86"/>
        </w:numPr>
        <w:tabs>
          <w:tab w:val="left" w:pos="777"/>
        </w:tabs>
        <w:rPr>
          <w:rFonts w:ascii="Verdana" w:hAnsi="Verdana"/>
          <w:sz w:val="18"/>
          <w:szCs w:val="18"/>
        </w:rPr>
      </w:pPr>
      <w:r w:rsidRPr="00EC75B7">
        <w:rPr>
          <w:rFonts w:ascii="Verdana" w:hAnsi="Verdana"/>
          <w:sz w:val="18"/>
          <w:szCs w:val="18"/>
        </w:rPr>
        <w:t xml:space="preserve">Modernization works on agricultural roads in </w:t>
      </w:r>
      <w:r w:rsidRPr="00EC75B7">
        <w:rPr>
          <w:rFonts w:ascii="Verdana" w:hAnsi="Verdana"/>
          <w:spacing w:val="-2"/>
          <w:sz w:val="18"/>
          <w:szCs w:val="18"/>
        </w:rPr>
        <w:t>the locality;</w:t>
      </w:r>
    </w:p>
    <w:p w14:paraId="157A2D9A" w14:textId="77777777" w:rsidR="008715BE" w:rsidRPr="00EC75B7" w:rsidRDefault="008715BE">
      <w:pPr>
        <w:pStyle w:val="BodyText"/>
        <w:spacing w:before="9"/>
        <w:rPr>
          <w:rFonts w:ascii="Verdana" w:hAnsi="Verdana"/>
        </w:rPr>
      </w:pPr>
    </w:p>
    <w:p w14:paraId="0B341C87" w14:textId="77777777" w:rsidR="008715BE" w:rsidRPr="00EC75B7" w:rsidRDefault="00000000">
      <w:pPr>
        <w:pStyle w:val="ListParagraph"/>
        <w:numPr>
          <w:ilvl w:val="0"/>
          <w:numId w:val="86"/>
        </w:numPr>
        <w:tabs>
          <w:tab w:val="left" w:pos="777"/>
        </w:tabs>
        <w:rPr>
          <w:rFonts w:ascii="Verdana" w:hAnsi="Verdana"/>
          <w:sz w:val="18"/>
          <w:szCs w:val="18"/>
        </w:rPr>
      </w:pPr>
      <w:r w:rsidRPr="00EC75B7">
        <w:rPr>
          <w:rFonts w:ascii="Verdana" w:hAnsi="Verdana"/>
          <w:spacing w:val="-2"/>
          <w:sz w:val="18"/>
          <w:szCs w:val="18"/>
        </w:rPr>
        <w:t xml:space="preserve">School </w:t>
      </w:r>
      <w:r w:rsidRPr="00EC75B7">
        <w:rPr>
          <w:rFonts w:ascii="Verdana" w:hAnsi="Verdana"/>
          <w:sz w:val="18"/>
          <w:szCs w:val="18"/>
        </w:rPr>
        <w:t>renovation works</w:t>
      </w:r>
      <w:r w:rsidRPr="00EC75B7">
        <w:rPr>
          <w:rFonts w:ascii="Verdana" w:hAnsi="Verdana"/>
          <w:spacing w:val="-2"/>
          <w:sz w:val="18"/>
          <w:szCs w:val="18"/>
        </w:rPr>
        <w:t>;</w:t>
      </w:r>
    </w:p>
    <w:p w14:paraId="693727A1" w14:textId="77777777" w:rsidR="008715BE" w:rsidRPr="00EC75B7" w:rsidRDefault="008715BE">
      <w:pPr>
        <w:pStyle w:val="BodyText"/>
        <w:spacing w:before="7"/>
        <w:rPr>
          <w:rFonts w:ascii="Verdana" w:hAnsi="Verdana"/>
        </w:rPr>
      </w:pPr>
    </w:p>
    <w:p w14:paraId="03F83B5C" w14:textId="77777777" w:rsidR="008715BE" w:rsidRPr="00EC75B7" w:rsidRDefault="00000000">
      <w:pPr>
        <w:pStyle w:val="ListParagraph"/>
        <w:numPr>
          <w:ilvl w:val="0"/>
          <w:numId w:val="86"/>
        </w:numPr>
        <w:tabs>
          <w:tab w:val="left" w:pos="777"/>
        </w:tabs>
        <w:rPr>
          <w:rFonts w:ascii="Verdana" w:hAnsi="Verdana"/>
          <w:sz w:val="18"/>
          <w:szCs w:val="18"/>
        </w:rPr>
      </w:pPr>
      <w:r w:rsidRPr="00EC75B7">
        <w:rPr>
          <w:rFonts w:ascii="Verdana" w:hAnsi="Verdana"/>
          <w:sz w:val="18"/>
          <w:szCs w:val="18"/>
        </w:rPr>
        <w:t xml:space="preserve">Works for the establishment of </w:t>
      </w:r>
      <w:r w:rsidRPr="00EC75B7">
        <w:rPr>
          <w:rFonts w:ascii="Verdana" w:hAnsi="Verdana"/>
          <w:spacing w:val="-2"/>
          <w:sz w:val="18"/>
          <w:szCs w:val="18"/>
        </w:rPr>
        <w:t xml:space="preserve">natural </w:t>
      </w:r>
      <w:r w:rsidRPr="00EC75B7">
        <w:rPr>
          <w:rFonts w:ascii="Verdana" w:hAnsi="Verdana"/>
          <w:sz w:val="18"/>
          <w:szCs w:val="18"/>
        </w:rPr>
        <w:t>gas distribution systems</w:t>
      </w:r>
      <w:r w:rsidRPr="00EC75B7">
        <w:rPr>
          <w:rFonts w:ascii="Verdana" w:hAnsi="Verdana"/>
          <w:spacing w:val="-2"/>
          <w:sz w:val="18"/>
          <w:szCs w:val="18"/>
        </w:rPr>
        <w:t>;</w:t>
      </w:r>
    </w:p>
    <w:p w14:paraId="6509F32A" w14:textId="77777777" w:rsidR="008715BE" w:rsidRPr="00EC75B7" w:rsidRDefault="008715BE">
      <w:pPr>
        <w:pStyle w:val="BodyText"/>
        <w:spacing w:before="9"/>
        <w:rPr>
          <w:rFonts w:ascii="Verdana" w:hAnsi="Verdana"/>
        </w:rPr>
      </w:pPr>
    </w:p>
    <w:p w14:paraId="49C27BAF" w14:textId="77777777" w:rsidR="008715BE" w:rsidRPr="00EC75B7" w:rsidRDefault="00000000">
      <w:pPr>
        <w:pStyle w:val="ListParagraph"/>
        <w:numPr>
          <w:ilvl w:val="0"/>
          <w:numId w:val="86"/>
        </w:numPr>
        <w:tabs>
          <w:tab w:val="left" w:pos="777"/>
        </w:tabs>
        <w:rPr>
          <w:rFonts w:ascii="Verdana" w:hAnsi="Verdana"/>
          <w:sz w:val="18"/>
          <w:szCs w:val="18"/>
        </w:rPr>
      </w:pPr>
      <w:r w:rsidRPr="00EC75B7">
        <w:rPr>
          <w:rFonts w:ascii="Verdana" w:hAnsi="Verdana"/>
          <w:sz w:val="18"/>
          <w:szCs w:val="18"/>
        </w:rPr>
        <w:t xml:space="preserve">Works for the development of </w:t>
      </w:r>
      <w:r w:rsidRPr="00EC75B7">
        <w:rPr>
          <w:rFonts w:ascii="Verdana" w:hAnsi="Verdana"/>
          <w:spacing w:val="-2"/>
          <w:sz w:val="18"/>
          <w:szCs w:val="18"/>
        </w:rPr>
        <w:t xml:space="preserve">sports </w:t>
      </w:r>
      <w:r w:rsidRPr="00EC75B7">
        <w:rPr>
          <w:rFonts w:ascii="Verdana" w:hAnsi="Verdana"/>
          <w:sz w:val="18"/>
          <w:szCs w:val="18"/>
        </w:rPr>
        <w:t>infrastructure</w:t>
      </w:r>
      <w:r w:rsidRPr="00EC75B7">
        <w:rPr>
          <w:rFonts w:ascii="Verdana" w:hAnsi="Verdana"/>
          <w:spacing w:val="-2"/>
          <w:sz w:val="18"/>
          <w:szCs w:val="18"/>
        </w:rPr>
        <w:t>;</w:t>
      </w:r>
    </w:p>
    <w:p w14:paraId="450FB1DB" w14:textId="77777777" w:rsidR="008715BE" w:rsidRPr="00EC75B7" w:rsidRDefault="008715BE">
      <w:pPr>
        <w:pStyle w:val="BodyText"/>
        <w:rPr>
          <w:rFonts w:ascii="Verdana" w:hAnsi="Verdana"/>
        </w:rPr>
      </w:pPr>
    </w:p>
    <w:p w14:paraId="0626EAC4" w14:textId="77777777" w:rsidR="008715BE" w:rsidRPr="00EC75B7" w:rsidRDefault="008715BE">
      <w:pPr>
        <w:pStyle w:val="BodyText"/>
        <w:rPr>
          <w:rFonts w:ascii="Verdana" w:hAnsi="Verdana"/>
        </w:rPr>
      </w:pPr>
    </w:p>
    <w:p w14:paraId="1E090A44" w14:textId="77777777" w:rsidR="008715BE" w:rsidRPr="00EC75B7" w:rsidRDefault="008715BE">
      <w:pPr>
        <w:pStyle w:val="BodyText"/>
        <w:spacing w:before="67"/>
        <w:rPr>
          <w:rFonts w:ascii="Verdana" w:hAnsi="Verdana"/>
        </w:rPr>
      </w:pPr>
    </w:p>
    <w:p w14:paraId="5BDB9ADC" w14:textId="77777777" w:rsidR="008715BE" w:rsidRPr="00EC75B7" w:rsidRDefault="00000000">
      <w:pPr>
        <w:ind w:left="57"/>
        <w:rPr>
          <w:rFonts w:ascii="Verdana" w:hAnsi="Verdana"/>
          <w:sz w:val="18"/>
          <w:szCs w:val="18"/>
        </w:rPr>
      </w:pPr>
      <w:r w:rsidRPr="00EC75B7">
        <w:rPr>
          <w:rFonts w:ascii="Verdana" w:hAnsi="Verdana"/>
          <w:color w:val="797766"/>
          <w:position w:val="4"/>
          <w:sz w:val="18"/>
          <w:szCs w:val="18"/>
        </w:rPr>
        <w:t>19</w:t>
      </w:r>
      <w:hyperlink r:id="rId171">
        <w:r w:rsidR="008715BE" w:rsidRPr="00EC75B7">
          <w:rPr>
            <w:rFonts w:ascii="Verdana" w:hAnsi="Verdana"/>
            <w:color w:val="797766"/>
            <w:spacing w:val="-2"/>
            <w:sz w:val="18"/>
            <w:szCs w:val="18"/>
          </w:rPr>
          <w:t>https://www.cestrin.ro/assets/pdf/recensamant%202022.pdf</w:t>
        </w:r>
      </w:hyperlink>
    </w:p>
    <w:p w14:paraId="12D0C0B1" w14:textId="77777777" w:rsidR="008715BE" w:rsidRPr="00EC75B7" w:rsidRDefault="00000000">
      <w:pPr>
        <w:spacing w:before="51"/>
        <w:ind w:left="57"/>
        <w:rPr>
          <w:rFonts w:ascii="Verdana" w:hAnsi="Verdana"/>
          <w:sz w:val="18"/>
          <w:szCs w:val="18"/>
        </w:rPr>
      </w:pPr>
      <w:r w:rsidRPr="00EC75B7">
        <w:rPr>
          <w:rFonts w:ascii="Verdana" w:hAnsi="Verdana"/>
          <w:color w:val="797766"/>
          <w:position w:val="4"/>
          <w:sz w:val="18"/>
          <w:szCs w:val="18"/>
        </w:rPr>
        <w:t>20</w:t>
      </w:r>
      <w:hyperlink r:id="rId172">
        <w:r w:rsidR="008715BE" w:rsidRPr="00EC75B7">
          <w:rPr>
            <w:rFonts w:ascii="Verdana" w:hAnsi="Verdana"/>
            <w:color w:val="797766"/>
            <w:spacing w:val="-2"/>
            <w:sz w:val="18"/>
            <w:szCs w:val="18"/>
          </w:rPr>
          <w:t>https://www.graiuldobrogei.ro/page/1/?s=cerchezu</w:t>
        </w:r>
      </w:hyperlink>
    </w:p>
    <w:p w14:paraId="6D7D06D0" w14:textId="77777777" w:rsidR="008715BE" w:rsidRPr="00EC75B7" w:rsidRDefault="008715BE">
      <w:pPr>
        <w:rPr>
          <w:rFonts w:ascii="Verdana" w:hAnsi="Verdana"/>
          <w:sz w:val="18"/>
          <w:szCs w:val="18"/>
        </w:rPr>
        <w:sectPr w:rsidR="008715BE" w:rsidRPr="00EC75B7">
          <w:pgSz w:w="11910" w:h="16840"/>
          <w:pgMar w:top="1320" w:right="566" w:bottom="980" w:left="1133" w:header="766" w:footer="799" w:gutter="0"/>
          <w:cols w:space="708"/>
        </w:sectPr>
      </w:pPr>
    </w:p>
    <w:p w14:paraId="707B4276" w14:textId="77777777" w:rsidR="008715BE" w:rsidRPr="00EC75B7" w:rsidRDefault="00000000">
      <w:pPr>
        <w:pStyle w:val="ListParagraph"/>
        <w:numPr>
          <w:ilvl w:val="0"/>
          <w:numId w:val="86"/>
        </w:numPr>
        <w:tabs>
          <w:tab w:val="left" w:pos="777"/>
        </w:tabs>
        <w:spacing w:before="99"/>
        <w:rPr>
          <w:rFonts w:ascii="Verdana" w:hAnsi="Verdana"/>
          <w:sz w:val="18"/>
          <w:szCs w:val="18"/>
        </w:rPr>
      </w:pPr>
      <w:r w:rsidRPr="00EC75B7">
        <w:rPr>
          <w:rFonts w:ascii="Verdana" w:hAnsi="Verdana"/>
          <w:sz w:val="18"/>
          <w:szCs w:val="18"/>
        </w:rPr>
        <w:lastRenderedPageBreak/>
        <w:t xml:space="preserve">Works for the construction of </w:t>
      </w:r>
      <w:r w:rsidRPr="00EC75B7">
        <w:rPr>
          <w:rFonts w:ascii="Verdana" w:hAnsi="Verdana"/>
          <w:spacing w:val="-2"/>
          <w:sz w:val="18"/>
          <w:szCs w:val="18"/>
        </w:rPr>
        <w:t>a kindergarten.</w:t>
      </w:r>
    </w:p>
    <w:p w14:paraId="43B18E18" w14:textId="77777777" w:rsidR="008715BE" w:rsidRPr="00EC75B7" w:rsidRDefault="008715BE">
      <w:pPr>
        <w:pStyle w:val="BodyText"/>
        <w:spacing w:before="10"/>
        <w:rPr>
          <w:rFonts w:ascii="Verdana" w:hAnsi="Verdana"/>
        </w:rPr>
      </w:pPr>
    </w:p>
    <w:p w14:paraId="0DA517D9" w14:textId="77777777" w:rsidR="008715BE" w:rsidRPr="00EC75B7" w:rsidRDefault="00000000">
      <w:pPr>
        <w:pStyle w:val="BodyText"/>
        <w:spacing w:line="357" w:lineRule="auto"/>
        <w:ind w:left="57" w:right="436"/>
        <w:jc w:val="both"/>
        <w:rPr>
          <w:rFonts w:ascii="Verdana" w:hAnsi="Verdana"/>
        </w:rPr>
      </w:pPr>
      <w:r w:rsidRPr="00EC75B7">
        <w:rPr>
          <w:rFonts w:ascii="Verdana" w:hAnsi="Verdana"/>
        </w:rPr>
        <w:t>The impact generated by construction/demolition activities is usually temporary and local. The most affected areas are those in the vicinity of the work fronts and site organizations.</w:t>
      </w:r>
    </w:p>
    <w:p w14:paraId="11908D3E" w14:textId="77777777" w:rsidR="008715BE" w:rsidRPr="00EC75B7" w:rsidRDefault="008715BE">
      <w:pPr>
        <w:pStyle w:val="BodyText"/>
        <w:rPr>
          <w:rFonts w:ascii="Verdana" w:hAnsi="Verdana"/>
        </w:rPr>
      </w:pPr>
    </w:p>
    <w:p w14:paraId="718739D8" w14:textId="77777777" w:rsidR="008715BE" w:rsidRPr="00EC75B7" w:rsidRDefault="008715BE">
      <w:pPr>
        <w:pStyle w:val="BodyText"/>
        <w:spacing w:before="130"/>
        <w:rPr>
          <w:rFonts w:ascii="Verdana" w:hAnsi="Verdana"/>
        </w:rPr>
      </w:pPr>
    </w:p>
    <w:p w14:paraId="6BC307C1"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Diffuse sources of </w:t>
      </w:r>
      <w:r w:rsidRPr="00EC75B7">
        <w:rPr>
          <w:rFonts w:ascii="Verdana" w:hAnsi="Verdana"/>
          <w:b/>
          <w:color w:val="00AFEF"/>
          <w:spacing w:val="-2"/>
          <w:sz w:val="18"/>
          <w:szCs w:val="18"/>
        </w:rPr>
        <w:t>combustion</w:t>
      </w:r>
    </w:p>
    <w:p w14:paraId="340D73B8" w14:textId="77777777" w:rsidR="008715BE" w:rsidRPr="00EC75B7" w:rsidRDefault="008715BE">
      <w:pPr>
        <w:pStyle w:val="BodyText"/>
        <w:spacing w:before="7"/>
        <w:rPr>
          <w:rFonts w:ascii="Verdana" w:hAnsi="Verdana"/>
          <w:b/>
        </w:rPr>
      </w:pPr>
    </w:p>
    <w:p w14:paraId="031D3662" w14:textId="77777777" w:rsidR="008715BE" w:rsidRPr="00EC75B7" w:rsidRDefault="00000000">
      <w:pPr>
        <w:pStyle w:val="BodyText"/>
        <w:spacing w:line="360" w:lineRule="auto"/>
        <w:ind w:left="57" w:right="428"/>
        <w:jc w:val="both"/>
        <w:rPr>
          <w:rFonts w:ascii="Verdana" w:hAnsi="Verdana"/>
        </w:rPr>
      </w:pPr>
      <w:r w:rsidRPr="00EC75B7">
        <w:rPr>
          <w:rFonts w:ascii="Verdana" w:hAnsi="Verdana"/>
        </w:rPr>
        <w:t xml:space="preserve">Residential and institutional heating represented by individual heating sources (boilers, stoves) that use solid fuels (wood) and are not equipped with appropriate chimneys to ensure the dispersion of pollutants into the air can be a source of </w:t>
      </w:r>
      <w:r w:rsidRPr="00EC75B7">
        <w:rPr>
          <w:rFonts w:ascii="Verdana" w:hAnsi="Verdana"/>
          <w:spacing w:val="-2"/>
        </w:rPr>
        <w:t xml:space="preserve">air </w:t>
      </w:r>
      <w:r w:rsidRPr="00EC75B7">
        <w:rPr>
          <w:rFonts w:ascii="Verdana" w:hAnsi="Verdana"/>
        </w:rPr>
        <w:t>pollution.</w:t>
      </w:r>
    </w:p>
    <w:p w14:paraId="12BC0D98" w14:textId="77777777" w:rsidR="008715BE" w:rsidRPr="00EC75B7" w:rsidRDefault="00000000">
      <w:pPr>
        <w:pStyle w:val="BodyText"/>
        <w:spacing w:before="114" w:line="357" w:lineRule="auto"/>
        <w:ind w:left="57" w:right="425"/>
        <w:jc w:val="both"/>
        <w:rPr>
          <w:rFonts w:ascii="Verdana" w:hAnsi="Verdana"/>
        </w:rPr>
      </w:pPr>
      <w:r w:rsidRPr="00EC75B7">
        <w:rPr>
          <w:rFonts w:ascii="Verdana" w:hAnsi="Verdana"/>
        </w:rPr>
        <w:t>To these can be added the unauthorized outdoor burning of household waste, used tires, plastics, and street waste within urban areas, the failure to maintain public sanitation, and the improper storage of household waste. These sources cumulatively constitute a global source of permanent pollution with particulate matter, various gaseous pollutants, unpleasant odors, which are particularly noticeable in unfavorable weather conditions (fog, atmospheric calm, thermal inversion).</w:t>
      </w:r>
    </w:p>
    <w:p w14:paraId="53623857" w14:textId="77777777" w:rsidR="008715BE" w:rsidRPr="00EC75B7" w:rsidRDefault="00000000">
      <w:pPr>
        <w:spacing w:before="125"/>
        <w:ind w:left="57"/>
        <w:jc w:val="both"/>
        <w:rPr>
          <w:rFonts w:ascii="Verdana" w:hAnsi="Verdana"/>
          <w:position w:val="2"/>
          <w:sz w:val="18"/>
          <w:szCs w:val="18"/>
        </w:rPr>
      </w:pPr>
      <w:r w:rsidRPr="00EC75B7">
        <w:rPr>
          <w:rFonts w:ascii="Verdana" w:hAnsi="Verdana"/>
          <w:position w:val="2"/>
          <w:sz w:val="18"/>
          <w:szCs w:val="18"/>
        </w:rPr>
        <w:t xml:space="preserve">The main pollutants from these sources are: </w:t>
      </w:r>
      <w:r w:rsidRPr="00EC75B7">
        <w:rPr>
          <w:rFonts w:ascii="Verdana" w:hAnsi="Verdana"/>
          <w:b/>
          <w:position w:val="2"/>
          <w:sz w:val="18"/>
          <w:szCs w:val="18"/>
        </w:rPr>
        <w:t xml:space="preserve">CO, </w:t>
      </w:r>
      <w:r w:rsidRPr="00EC75B7">
        <w:rPr>
          <w:rFonts w:ascii="Verdana" w:hAnsi="Verdana"/>
          <w:b/>
          <w:sz w:val="18"/>
          <w:szCs w:val="18"/>
        </w:rPr>
        <w:t>SO2</w:t>
      </w:r>
      <w:r w:rsidRPr="00EC75B7">
        <w:rPr>
          <w:rFonts w:ascii="Verdana" w:hAnsi="Verdana"/>
          <w:b/>
          <w:position w:val="2"/>
          <w:sz w:val="18"/>
          <w:szCs w:val="18"/>
        </w:rPr>
        <w:t xml:space="preserve">, </w:t>
      </w:r>
      <w:r w:rsidRPr="00EC75B7">
        <w:rPr>
          <w:rFonts w:ascii="Verdana" w:hAnsi="Verdana"/>
          <w:b/>
          <w:sz w:val="18"/>
          <w:szCs w:val="18"/>
        </w:rPr>
        <w:t>NO2</w:t>
      </w:r>
      <w:r w:rsidRPr="00EC75B7">
        <w:rPr>
          <w:rFonts w:ascii="Verdana" w:hAnsi="Verdana"/>
          <w:b/>
          <w:position w:val="2"/>
          <w:sz w:val="18"/>
          <w:szCs w:val="18"/>
        </w:rPr>
        <w:t xml:space="preserve">, </w:t>
      </w:r>
      <w:r w:rsidRPr="00EC75B7">
        <w:rPr>
          <w:rFonts w:ascii="Verdana" w:hAnsi="Verdana"/>
          <w:b/>
          <w:sz w:val="18"/>
          <w:szCs w:val="18"/>
        </w:rPr>
        <w:t>O3</w:t>
      </w:r>
      <w:r w:rsidRPr="00EC75B7">
        <w:rPr>
          <w:rFonts w:ascii="Verdana" w:hAnsi="Verdana"/>
          <w:b/>
          <w:position w:val="2"/>
          <w:sz w:val="18"/>
          <w:szCs w:val="18"/>
        </w:rPr>
        <w:t xml:space="preserve">, </w:t>
      </w:r>
      <w:r w:rsidRPr="00EC75B7">
        <w:rPr>
          <w:rFonts w:ascii="Verdana" w:hAnsi="Verdana"/>
          <w:b/>
          <w:sz w:val="18"/>
          <w:szCs w:val="18"/>
        </w:rPr>
        <w:t>PM10</w:t>
      </w:r>
      <w:r w:rsidRPr="00EC75B7">
        <w:rPr>
          <w:rFonts w:ascii="Verdana" w:hAnsi="Verdana"/>
          <w:b/>
          <w:position w:val="2"/>
          <w:sz w:val="18"/>
          <w:szCs w:val="18"/>
        </w:rPr>
        <w:t>, PM</w:t>
      </w:r>
      <w:r w:rsidRPr="00EC75B7">
        <w:rPr>
          <w:rFonts w:ascii="Verdana" w:hAnsi="Verdana"/>
          <w:b/>
          <w:sz w:val="18"/>
          <w:szCs w:val="18"/>
        </w:rPr>
        <w:t xml:space="preserve"> 2.5</w:t>
      </w:r>
      <w:r w:rsidRPr="00EC75B7">
        <w:rPr>
          <w:rFonts w:ascii="Verdana" w:hAnsi="Verdana"/>
          <w:b/>
          <w:position w:val="2"/>
          <w:sz w:val="18"/>
          <w:szCs w:val="18"/>
        </w:rPr>
        <w:t xml:space="preserve">, </w:t>
      </w:r>
      <w:r w:rsidRPr="00EC75B7">
        <w:rPr>
          <w:rFonts w:ascii="Verdana" w:hAnsi="Verdana"/>
          <w:b/>
          <w:spacing w:val="-4"/>
          <w:sz w:val="18"/>
          <w:szCs w:val="18"/>
        </w:rPr>
        <w:t>NO2</w:t>
      </w:r>
      <w:r w:rsidRPr="00EC75B7">
        <w:rPr>
          <w:rFonts w:ascii="Verdana" w:hAnsi="Verdana"/>
          <w:spacing w:val="-4"/>
          <w:position w:val="2"/>
          <w:sz w:val="18"/>
          <w:szCs w:val="18"/>
        </w:rPr>
        <w:t>.</w:t>
      </w:r>
    </w:p>
    <w:p w14:paraId="7A185451" w14:textId="77777777" w:rsidR="008715BE" w:rsidRPr="00EC75B7" w:rsidRDefault="008715BE">
      <w:pPr>
        <w:pStyle w:val="BodyText"/>
        <w:spacing w:before="6"/>
        <w:rPr>
          <w:rFonts w:ascii="Verdana" w:hAnsi="Verdana"/>
        </w:rPr>
      </w:pPr>
    </w:p>
    <w:p w14:paraId="1267AB27" w14:textId="77777777" w:rsidR="008715BE" w:rsidRPr="00EC75B7" w:rsidRDefault="00000000">
      <w:pPr>
        <w:ind w:left="57"/>
        <w:rPr>
          <w:rFonts w:ascii="Verdana" w:hAnsi="Verdana"/>
          <w:b/>
          <w:sz w:val="18"/>
          <w:szCs w:val="18"/>
        </w:rPr>
      </w:pPr>
      <w:r w:rsidRPr="00EC75B7">
        <w:rPr>
          <w:rFonts w:ascii="Verdana" w:hAnsi="Verdana"/>
          <w:b/>
          <w:color w:val="00AFEF"/>
          <w:spacing w:val="-2"/>
          <w:sz w:val="18"/>
          <w:szCs w:val="18"/>
        </w:rPr>
        <w:t>Agriculture</w:t>
      </w:r>
    </w:p>
    <w:p w14:paraId="2E1DB73C" w14:textId="77777777" w:rsidR="008715BE" w:rsidRPr="00EC75B7" w:rsidRDefault="008715BE">
      <w:pPr>
        <w:pStyle w:val="BodyText"/>
        <w:spacing w:before="6"/>
        <w:rPr>
          <w:rFonts w:ascii="Verdana" w:hAnsi="Verdana"/>
          <w:b/>
        </w:rPr>
      </w:pPr>
    </w:p>
    <w:p w14:paraId="450B37E3" w14:textId="77777777" w:rsidR="008715BE" w:rsidRPr="00EC75B7" w:rsidRDefault="00000000">
      <w:pPr>
        <w:pStyle w:val="BodyText"/>
        <w:ind w:left="57"/>
        <w:rPr>
          <w:rFonts w:ascii="Verdana" w:hAnsi="Verdana"/>
          <w:position w:val="2"/>
        </w:rPr>
      </w:pPr>
      <w:r w:rsidRPr="00EC75B7">
        <w:rPr>
          <w:rFonts w:ascii="Verdana" w:hAnsi="Verdana"/>
          <w:position w:val="2"/>
        </w:rPr>
        <w:t xml:space="preserve">Emissions to the atmosphere associated with the agricultural sector consist mainly of </w:t>
      </w:r>
      <w:r w:rsidRPr="00EC75B7">
        <w:rPr>
          <w:rFonts w:ascii="Verdana" w:hAnsi="Verdana"/>
        </w:rPr>
        <w:t>NH3</w:t>
      </w:r>
      <w:r w:rsidRPr="00EC75B7">
        <w:rPr>
          <w:rFonts w:ascii="Verdana" w:hAnsi="Verdana"/>
          <w:position w:val="2"/>
        </w:rPr>
        <w:t xml:space="preserve">, dust, </w:t>
      </w:r>
      <w:r w:rsidRPr="00EC75B7">
        <w:rPr>
          <w:rFonts w:ascii="Verdana" w:hAnsi="Verdana"/>
        </w:rPr>
        <w:t>NOx</w:t>
      </w:r>
      <w:r w:rsidRPr="00EC75B7">
        <w:rPr>
          <w:rFonts w:ascii="Verdana" w:hAnsi="Verdana"/>
          <w:position w:val="2"/>
        </w:rPr>
        <w:t xml:space="preserve">, and </w:t>
      </w:r>
      <w:r w:rsidRPr="00EC75B7">
        <w:rPr>
          <w:rFonts w:ascii="Verdana" w:hAnsi="Verdana"/>
        </w:rPr>
        <w:t xml:space="preserve">CH4 </w:t>
      </w:r>
      <w:r w:rsidRPr="00EC75B7">
        <w:rPr>
          <w:rFonts w:ascii="Verdana" w:hAnsi="Verdana"/>
          <w:spacing w:val="-5"/>
          <w:position w:val="2"/>
        </w:rPr>
        <w:t>from</w:t>
      </w:r>
    </w:p>
    <w:p w14:paraId="5A6BD70E" w14:textId="77777777" w:rsidR="008715BE" w:rsidRPr="00EC75B7" w:rsidRDefault="00000000">
      <w:pPr>
        <w:pStyle w:val="BodyText"/>
        <w:spacing w:before="106"/>
        <w:ind w:left="57"/>
        <w:rPr>
          <w:rFonts w:ascii="Verdana" w:hAnsi="Verdana"/>
        </w:rPr>
      </w:pPr>
      <w:r w:rsidRPr="00EC75B7">
        <w:rPr>
          <w:rFonts w:ascii="Verdana" w:hAnsi="Verdana"/>
        </w:rPr>
        <w:t xml:space="preserve">animal husbandry (manure management, enteric fermentation) and </w:t>
      </w:r>
      <w:r w:rsidRPr="00EC75B7">
        <w:rPr>
          <w:rFonts w:ascii="Verdana" w:hAnsi="Verdana"/>
          <w:spacing w:val="-2"/>
        </w:rPr>
        <w:t xml:space="preserve">crop </w:t>
      </w:r>
      <w:r w:rsidRPr="00EC75B7">
        <w:rPr>
          <w:rFonts w:ascii="Verdana" w:hAnsi="Verdana"/>
        </w:rPr>
        <w:t>cultivation</w:t>
      </w:r>
      <w:r w:rsidRPr="00EC75B7">
        <w:rPr>
          <w:rFonts w:ascii="Verdana" w:hAnsi="Verdana"/>
          <w:spacing w:val="-2"/>
        </w:rPr>
        <w:t>.</w:t>
      </w:r>
    </w:p>
    <w:p w14:paraId="76261AE2" w14:textId="77777777" w:rsidR="008715BE" w:rsidRPr="00EC75B7" w:rsidRDefault="008715BE">
      <w:pPr>
        <w:pStyle w:val="BodyText"/>
        <w:spacing w:before="9"/>
        <w:rPr>
          <w:rFonts w:ascii="Verdana" w:hAnsi="Verdana"/>
        </w:rPr>
      </w:pPr>
    </w:p>
    <w:p w14:paraId="2EE25866" w14:textId="77777777" w:rsidR="008715BE" w:rsidRPr="00EC75B7" w:rsidRDefault="00000000">
      <w:pPr>
        <w:pStyle w:val="BodyText"/>
        <w:spacing w:before="1" w:line="360" w:lineRule="auto"/>
        <w:ind w:left="57" w:right="434"/>
        <w:jc w:val="both"/>
        <w:rPr>
          <w:rFonts w:ascii="Verdana" w:hAnsi="Verdana"/>
        </w:rPr>
      </w:pPr>
      <w:r w:rsidRPr="00EC75B7">
        <w:rPr>
          <w:rFonts w:ascii="Verdana" w:hAnsi="Verdana"/>
        </w:rPr>
        <w:t>At the level of Constanța County, according to the 2022 Annual Report on the State of the Environment, no information is available on the quantification of agriculture's contribution to atmospheric emissions.</w:t>
      </w:r>
    </w:p>
    <w:p w14:paraId="3C66041E" w14:textId="77777777" w:rsidR="008715BE" w:rsidRPr="00EC75B7" w:rsidRDefault="00000000">
      <w:pPr>
        <w:pStyle w:val="BodyText"/>
        <w:spacing w:before="116" w:line="357" w:lineRule="auto"/>
        <w:ind w:left="57" w:right="422"/>
        <w:jc w:val="both"/>
        <w:rPr>
          <w:rFonts w:ascii="Verdana" w:hAnsi="Verdana"/>
        </w:rPr>
      </w:pPr>
      <w:r w:rsidRPr="00EC75B7">
        <w:rPr>
          <w:rFonts w:ascii="Verdana" w:hAnsi="Verdana"/>
          <w:noProof/>
        </w:rPr>
        <mc:AlternateContent>
          <mc:Choice Requires="wps">
            <w:drawing>
              <wp:anchor distT="0" distB="0" distL="0" distR="0" simplePos="0" relativeHeight="251707392" behindDoc="1" locked="0" layoutInCell="1" allowOverlap="1" wp14:anchorId="52D0BFEB" wp14:editId="2D5F8C0A">
                <wp:simplePos x="0" y="0"/>
                <wp:positionH relativeFrom="page">
                  <wp:posOffset>1926589</wp:posOffset>
                </wp:positionH>
                <wp:positionV relativeFrom="paragraph">
                  <wp:posOffset>382320</wp:posOffset>
                </wp:positionV>
                <wp:extent cx="17780" cy="12700"/>
                <wp:effectExtent l="0" t="0" r="0" b="0"/>
                <wp:wrapNone/>
                <wp:docPr id="219" name="Textbox 219"/>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752F6D7" w14:textId="77777777" w:rsidR="008715BE" w:rsidRDefault="00000000">
                            <w:pPr>
                              <w:spacing w:line="19" w:lineRule="exact"/>
                              <w:rPr>
                                <w:sz w:val="2"/>
                              </w:rPr>
                            </w:pPr>
                            <w:r>
                              <w:rPr>
                                <w:spacing w:val="-5"/>
                                <w:sz w:val="1"/>
                              </w:rPr>
                              <w:t>22F</w:t>
                            </w:r>
                          </w:p>
                        </w:txbxContent>
                      </wps:txbx>
                      <wps:bodyPr wrap="square" lIns="0" tIns="0" rIns="0" bIns="0" rtlCol="0"/>
                    </wps:wsp>
                  </a:graphicData>
                </a:graphic>
              </wp:anchor>
            </w:drawing>
          </mc:Choice>
          <mc:Fallback>
            <w:pict>
              <v:shape w14:anchorId="52D0BFEB" id="Textbox 219" o:spid="_x0000_s1107" type="#_x0000_t202" style="position:absolute;left:0;text-align:left;margin-left:151.7pt;margin-top:30.1pt;width:1.4pt;height:1pt;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CVxfQEAAO0CAAAOAAAAZHJzL2Uyb0RvYy54bWysUlGL2zAMfh/sPxi/r0k7uJ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" filled="f" stroked="f">
                <v:textbox inset="0,0,0,0">
                  <w:txbxContent>
                    <w:p w14:paraId="5752F6D7" w14:textId="77777777" w:rsidR="008715BE" w:rsidRDefault="00000000">
                      <w:pPr>
                        <w:spacing w:line="19" w:lineRule="exact"/>
                        <w:rPr>
                          <w:sz w:val="2"/>
                        </w:rPr>
                      </w:pPr>
                      <w:r>
                        <w:rPr>
                          <w:spacing w:val="-5"/>
                          <w:sz w:val="1"/>
                        </w:rPr>
                        <w:t>22F</w:t>
                      </w:r>
                    </w:p>
                  </w:txbxContent>
                </v:textbox>
                <w10:wrap anchorx="page"/>
              </v:shape>
            </w:pict>
          </mc:Fallback>
        </mc:AlternateContent>
      </w:r>
      <w:r w:rsidRPr="00EC75B7">
        <w:rPr>
          <w:rFonts w:ascii="Verdana" w:hAnsi="Verdana"/>
        </w:rPr>
        <w:t xml:space="preserve">The commune of Cerchezu is part of the South-West Dobrogea Local Action Group (LAG) along with nine other communes. Agriculture </w:t>
      </w:r>
      <w:r w:rsidRPr="00EC75B7">
        <w:rPr>
          <w:rFonts w:ascii="Verdana" w:hAnsi="Verdana"/>
          <w:position w:val="6"/>
        </w:rPr>
        <w:t>21</w:t>
      </w:r>
      <w:r w:rsidRPr="00EC75B7">
        <w:rPr>
          <w:rFonts w:ascii="Verdana" w:hAnsi="Verdana"/>
        </w:rPr>
        <w:t>is one of the main areas of activity in the LAG area, with cereal and industrial crops, fruit and vegetables, vines, beekeeping, and animal husbandry being characteristic.</w:t>
      </w:r>
      <w:r w:rsidRPr="00EC75B7">
        <w:rPr>
          <w:rFonts w:ascii="Verdana" w:hAnsi="Verdana"/>
          <w:spacing w:val="40"/>
        </w:rPr>
        <w:t xml:space="preserve"> </w:t>
      </w:r>
      <w:r w:rsidRPr="00EC75B7">
        <w:rPr>
          <w:rFonts w:ascii="Verdana" w:hAnsi="Verdana"/>
        </w:rPr>
        <w:t>Agricultural activities are carried out either a) on large farms, consisting of large properties, but also of small plots of land leased together, and consisting of cereal cultivation, or b) at a semi-subsistence and subsistence level, on relatively small areas of up to approximately 10 ha. At this smaller scale, agricultural production can be more varied, including vegetables in greenhouses, seedling production for the local market and for own consumption.</w:t>
      </w:r>
    </w:p>
    <w:p w14:paraId="30B8BC2E" w14:textId="77777777" w:rsidR="008715BE" w:rsidRPr="00EC75B7" w:rsidRDefault="00000000">
      <w:pPr>
        <w:pStyle w:val="BodyText"/>
        <w:spacing w:before="124" w:line="360" w:lineRule="auto"/>
        <w:ind w:left="57" w:right="437"/>
        <w:jc w:val="both"/>
        <w:rPr>
          <w:rFonts w:ascii="Verdana" w:hAnsi="Verdana"/>
        </w:rPr>
      </w:pPr>
      <w:r w:rsidRPr="00EC75B7">
        <w:rPr>
          <w:rFonts w:ascii="Verdana" w:hAnsi="Verdana"/>
        </w:rPr>
        <w:t>The lack of irrigation infrastructure limits production to crops that can cope with the low rainfall in the area.</w:t>
      </w:r>
    </w:p>
    <w:p w14:paraId="3A17FCEA" w14:textId="77777777" w:rsidR="008715BE" w:rsidRPr="00EC75B7" w:rsidRDefault="00000000">
      <w:pPr>
        <w:pStyle w:val="BodyText"/>
        <w:spacing w:before="118"/>
        <w:ind w:left="57"/>
        <w:jc w:val="both"/>
        <w:rPr>
          <w:rFonts w:ascii="Verdana" w:hAnsi="Verdana"/>
        </w:rPr>
      </w:pPr>
      <w:r w:rsidRPr="00EC75B7">
        <w:rPr>
          <w:rFonts w:ascii="Verdana" w:hAnsi="Verdana"/>
        </w:rPr>
        <w:t xml:space="preserve">No data on </w:t>
      </w:r>
      <w:r w:rsidRPr="00EC75B7">
        <w:rPr>
          <w:rFonts w:ascii="Verdana" w:hAnsi="Verdana"/>
          <w:spacing w:val="-2"/>
        </w:rPr>
        <w:t xml:space="preserve">agricultural </w:t>
      </w:r>
      <w:r w:rsidRPr="00EC75B7">
        <w:rPr>
          <w:rFonts w:ascii="Verdana" w:hAnsi="Verdana"/>
        </w:rPr>
        <w:t>activities were available for the municipality of Cerchezu</w:t>
      </w:r>
      <w:r w:rsidRPr="00EC75B7">
        <w:rPr>
          <w:rFonts w:ascii="Verdana" w:hAnsi="Verdana"/>
          <w:spacing w:val="-2"/>
        </w:rPr>
        <w:t>.</w:t>
      </w:r>
    </w:p>
    <w:p w14:paraId="454E6C6F" w14:textId="77777777" w:rsidR="008715BE" w:rsidRPr="00EC75B7" w:rsidRDefault="008715BE">
      <w:pPr>
        <w:pStyle w:val="BodyText"/>
        <w:spacing w:before="7"/>
        <w:rPr>
          <w:rFonts w:ascii="Verdana" w:hAnsi="Verdana"/>
        </w:rPr>
      </w:pPr>
    </w:p>
    <w:p w14:paraId="6CA2A67A" w14:textId="77777777" w:rsidR="008715BE" w:rsidRPr="00EC75B7" w:rsidRDefault="00000000">
      <w:pPr>
        <w:spacing w:before="1"/>
        <w:ind w:left="57"/>
        <w:rPr>
          <w:rFonts w:ascii="Verdana" w:hAnsi="Verdana"/>
          <w:b/>
          <w:sz w:val="18"/>
          <w:szCs w:val="18"/>
        </w:rPr>
      </w:pPr>
      <w:r w:rsidRPr="00EC75B7">
        <w:rPr>
          <w:rFonts w:ascii="Verdana" w:hAnsi="Verdana"/>
          <w:b/>
          <w:color w:val="00AFEF"/>
          <w:spacing w:val="-2"/>
          <w:sz w:val="18"/>
          <w:szCs w:val="18"/>
        </w:rPr>
        <w:t xml:space="preserve">Industrial </w:t>
      </w:r>
      <w:r w:rsidRPr="00EC75B7">
        <w:rPr>
          <w:rFonts w:ascii="Verdana" w:hAnsi="Verdana"/>
          <w:b/>
          <w:color w:val="00AFEF"/>
          <w:sz w:val="18"/>
          <w:szCs w:val="18"/>
        </w:rPr>
        <w:t>activities</w:t>
      </w:r>
    </w:p>
    <w:p w14:paraId="36D99374" w14:textId="77777777" w:rsidR="008715BE" w:rsidRPr="00EC75B7" w:rsidRDefault="008715BE">
      <w:pPr>
        <w:pStyle w:val="BodyText"/>
        <w:spacing w:before="6"/>
        <w:rPr>
          <w:rFonts w:ascii="Verdana" w:hAnsi="Verdana"/>
          <w:b/>
        </w:rPr>
      </w:pPr>
    </w:p>
    <w:p w14:paraId="53FA89CE" w14:textId="77777777" w:rsidR="008715BE" w:rsidRPr="00EC75B7" w:rsidRDefault="00000000">
      <w:pPr>
        <w:pStyle w:val="BodyText"/>
        <w:spacing w:line="357" w:lineRule="auto"/>
        <w:ind w:left="57" w:right="423"/>
        <w:jc w:val="both"/>
        <w:rPr>
          <w:rFonts w:ascii="Verdana" w:hAnsi="Verdana"/>
        </w:rPr>
      </w:pPr>
      <w:r w:rsidRPr="00EC75B7">
        <w:rPr>
          <w:rFonts w:ascii="Verdana" w:hAnsi="Verdana"/>
          <w:noProof/>
        </w:rPr>
        <mc:AlternateContent>
          <mc:Choice Requires="wps">
            <w:drawing>
              <wp:anchor distT="0" distB="0" distL="0" distR="0" simplePos="0" relativeHeight="251709440" behindDoc="1" locked="0" layoutInCell="1" allowOverlap="1" wp14:anchorId="458C242A" wp14:editId="2C543281">
                <wp:simplePos x="0" y="0"/>
                <wp:positionH relativeFrom="page">
                  <wp:posOffset>4434204</wp:posOffset>
                </wp:positionH>
                <wp:positionV relativeFrom="paragraph">
                  <wp:posOffset>101715</wp:posOffset>
                </wp:positionV>
                <wp:extent cx="17780" cy="12700"/>
                <wp:effectExtent l="0" t="0" r="0" b="0"/>
                <wp:wrapNone/>
                <wp:docPr id="220" name="Textbox 22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08863E2C" w14:textId="77777777" w:rsidR="008715BE" w:rsidRDefault="00000000">
                            <w:pPr>
                              <w:spacing w:line="19" w:lineRule="exact"/>
                              <w:rPr>
                                <w:sz w:val="2"/>
                              </w:rPr>
                            </w:pPr>
                            <w:r>
                              <w:rPr>
                                <w:spacing w:val="-5"/>
                                <w:sz w:val="1"/>
                              </w:rPr>
                              <w:t>23F</w:t>
                            </w:r>
                          </w:p>
                        </w:txbxContent>
                      </wps:txbx>
                      <wps:bodyPr wrap="square" lIns="0" tIns="0" rIns="0" bIns="0" rtlCol="0"/>
                    </wps:wsp>
                  </a:graphicData>
                </a:graphic>
              </wp:anchor>
            </w:drawing>
          </mc:Choice>
          <mc:Fallback>
            <w:pict>
              <v:shape w14:anchorId="458C242A" id="Textbox 220" o:spid="_x0000_s1108" type="#_x0000_t202" style="position:absolute;left:0;text-align:left;margin-left:349.15pt;margin-top:8pt;width:1.4pt;height:1pt;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" filled="f" stroked="f">
                <v:textbox inset="0,0,0,0">
                  <w:txbxContent>
                    <w:p w14:paraId="08863E2C" w14:textId="77777777" w:rsidR="008715BE" w:rsidRDefault="00000000">
                      <w:pPr>
                        <w:spacing w:line="19" w:lineRule="exact"/>
                        <w:rPr>
                          <w:sz w:val="2"/>
                        </w:rPr>
                      </w:pPr>
                      <w:r>
                        <w:rPr>
                          <w:spacing w:val="-5"/>
                          <w:sz w:val="1"/>
                        </w:rPr>
                        <w:t>23F</w:t>
                      </w:r>
                    </w:p>
                  </w:txbxContent>
                </v:textbox>
                <w10:wrap anchorx="page"/>
              </v:shape>
            </w:pict>
          </mc:Fallback>
        </mc:AlternateContent>
      </w:r>
      <w:r w:rsidRPr="00EC75B7">
        <w:rPr>
          <w:rFonts w:ascii="Verdana" w:hAnsi="Verdana"/>
        </w:rPr>
        <w:t xml:space="preserve">According to data from the Local Development Strategy 2014-2020 </w:t>
      </w:r>
      <w:r w:rsidRPr="00EC75B7">
        <w:rPr>
          <w:rFonts w:ascii="Verdana" w:hAnsi="Verdana"/>
          <w:position w:val="6"/>
        </w:rPr>
        <w:t>22</w:t>
      </w:r>
      <w:r w:rsidRPr="00EC75B7">
        <w:rPr>
          <w:rFonts w:ascii="Verdana" w:hAnsi="Verdana"/>
        </w:rPr>
        <w:t xml:space="preserve"> , amended in 2023, many economic enterprises in the area face a lack of capital for investment. As a result, innovations – often associated with the risk of loss – are slow to catch on, whether they involve new cultivation technologies or methods of processing, promoting, or selling products.</w:t>
      </w:r>
    </w:p>
    <w:p w14:paraId="4D85744F" w14:textId="77777777" w:rsidR="008715BE" w:rsidRPr="00EC75B7" w:rsidRDefault="008715BE">
      <w:pPr>
        <w:pStyle w:val="BodyText"/>
        <w:rPr>
          <w:rFonts w:ascii="Verdana" w:hAnsi="Verdana"/>
        </w:rPr>
      </w:pPr>
    </w:p>
    <w:p w14:paraId="13CBD7B0" w14:textId="77777777" w:rsidR="008715BE" w:rsidRPr="00EC75B7" w:rsidRDefault="008715BE">
      <w:pPr>
        <w:pStyle w:val="BodyText"/>
        <w:spacing w:before="60"/>
        <w:rPr>
          <w:rFonts w:ascii="Verdana" w:hAnsi="Verdana"/>
        </w:rPr>
      </w:pPr>
    </w:p>
    <w:p w14:paraId="0E1E3E60" w14:textId="77777777" w:rsidR="008715BE" w:rsidRPr="00EC75B7" w:rsidRDefault="00000000">
      <w:pPr>
        <w:spacing w:before="1"/>
        <w:ind w:left="57"/>
        <w:rPr>
          <w:rFonts w:ascii="Verdana" w:hAnsi="Verdana"/>
          <w:sz w:val="18"/>
          <w:szCs w:val="18"/>
        </w:rPr>
      </w:pPr>
      <w:r w:rsidRPr="00EC75B7">
        <w:rPr>
          <w:rFonts w:ascii="Verdana" w:hAnsi="Verdana"/>
          <w:color w:val="797766"/>
          <w:position w:val="4"/>
          <w:sz w:val="18"/>
          <w:szCs w:val="18"/>
        </w:rPr>
        <w:t>21</w:t>
      </w:r>
      <w:hyperlink r:id="rId173">
        <w:r w:rsidR="008715BE" w:rsidRPr="00EC75B7">
          <w:rPr>
            <w:rFonts w:ascii="Verdana" w:hAnsi="Verdana"/>
            <w:color w:val="797766"/>
            <w:spacing w:val="-2"/>
            <w:sz w:val="18"/>
            <w:szCs w:val="18"/>
          </w:rPr>
          <w:t>https://galdobrogeasv.ro/modificari-ale-strategiei-de-dezvoltare-locala/</w:t>
        </w:r>
      </w:hyperlink>
    </w:p>
    <w:p w14:paraId="394BAEA2" w14:textId="77777777" w:rsidR="008715BE" w:rsidRPr="00EC75B7" w:rsidRDefault="00000000">
      <w:pPr>
        <w:spacing w:before="50"/>
        <w:ind w:left="57"/>
        <w:rPr>
          <w:rFonts w:ascii="Verdana" w:hAnsi="Verdana"/>
          <w:sz w:val="18"/>
          <w:szCs w:val="18"/>
        </w:rPr>
      </w:pPr>
      <w:r w:rsidRPr="00EC75B7">
        <w:rPr>
          <w:rFonts w:ascii="Verdana" w:hAnsi="Verdana"/>
          <w:color w:val="797766"/>
          <w:position w:val="4"/>
          <w:sz w:val="18"/>
          <w:szCs w:val="18"/>
        </w:rPr>
        <w:t>22</w:t>
      </w:r>
      <w:hyperlink r:id="rId174">
        <w:r w:rsidR="008715BE" w:rsidRPr="00EC75B7">
          <w:rPr>
            <w:rFonts w:ascii="Verdana" w:hAnsi="Verdana"/>
            <w:color w:val="797766"/>
            <w:spacing w:val="-2"/>
            <w:sz w:val="18"/>
            <w:szCs w:val="18"/>
          </w:rPr>
          <w:t>https://galdobrogeasv.ro/modificari-ale-strategiei-de-dezvoltare-locala/</w:t>
        </w:r>
      </w:hyperlink>
    </w:p>
    <w:p w14:paraId="27775AD0" w14:textId="77777777" w:rsidR="008715BE" w:rsidRPr="00EC75B7" w:rsidRDefault="008715BE">
      <w:pPr>
        <w:rPr>
          <w:rFonts w:ascii="Verdana" w:hAnsi="Verdana"/>
          <w:sz w:val="18"/>
          <w:szCs w:val="18"/>
        </w:rPr>
        <w:sectPr w:rsidR="008715BE" w:rsidRPr="00EC75B7">
          <w:pgSz w:w="11910" w:h="16840"/>
          <w:pgMar w:top="1320" w:right="566" w:bottom="980" w:left="1133" w:header="766" w:footer="799" w:gutter="0"/>
          <w:cols w:space="708"/>
        </w:sectPr>
      </w:pPr>
    </w:p>
    <w:p w14:paraId="28E3AEDD" w14:textId="77777777" w:rsidR="008715BE" w:rsidRPr="00EC75B7" w:rsidRDefault="00000000">
      <w:pPr>
        <w:pStyle w:val="BodyText"/>
        <w:spacing w:before="99" w:line="357" w:lineRule="auto"/>
        <w:ind w:left="57" w:right="430"/>
        <w:jc w:val="both"/>
        <w:rPr>
          <w:rFonts w:ascii="Verdana" w:hAnsi="Verdana"/>
        </w:rPr>
      </w:pPr>
      <w:r w:rsidRPr="00EC75B7">
        <w:rPr>
          <w:rFonts w:ascii="Verdana" w:hAnsi="Verdana"/>
        </w:rPr>
        <w:lastRenderedPageBreak/>
        <w:t>In the municipality of Cerchezu, registered companies operate in the field of cereal cultivation (excluding rice), legumes, and oilseed crops, retail trade in non-specialized stores, predominantly selling food, beverages, and tobacco, tourism, and sea fishing, which are not considered to cause significant air pollution.</w:t>
      </w:r>
    </w:p>
    <w:p w14:paraId="41B80AD5" w14:textId="77777777" w:rsidR="008715BE" w:rsidRPr="00EC75B7" w:rsidRDefault="00000000">
      <w:pPr>
        <w:pStyle w:val="BodyText"/>
        <w:spacing w:before="124"/>
        <w:ind w:left="57"/>
        <w:jc w:val="both"/>
        <w:rPr>
          <w:rFonts w:ascii="Verdana" w:hAnsi="Verdana"/>
        </w:rPr>
      </w:pPr>
      <w:r w:rsidRPr="00EC75B7">
        <w:rPr>
          <w:rFonts w:ascii="Verdana" w:hAnsi="Verdana"/>
        </w:rPr>
        <w:t xml:space="preserve">Currently, there are no industrial facilities in the municipality of Cerchezu that are subject to the </w:t>
      </w:r>
      <w:r w:rsidRPr="00EC75B7">
        <w:rPr>
          <w:rFonts w:ascii="Verdana" w:hAnsi="Verdana"/>
          <w:spacing w:val="-2"/>
        </w:rPr>
        <w:t xml:space="preserve">Industrial Emissions </w:t>
      </w:r>
      <w:r w:rsidRPr="00EC75B7">
        <w:rPr>
          <w:rFonts w:ascii="Verdana" w:hAnsi="Verdana"/>
        </w:rPr>
        <w:t>Directive</w:t>
      </w:r>
    </w:p>
    <w:p w14:paraId="4C847035" w14:textId="77777777" w:rsidR="008715BE" w:rsidRPr="00EC75B7" w:rsidRDefault="00000000">
      <w:pPr>
        <w:pStyle w:val="BodyText"/>
        <w:spacing w:before="107"/>
        <w:ind w:left="57"/>
        <w:jc w:val="both"/>
        <w:rPr>
          <w:rFonts w:ascii="Verdana" w:hAnsi="Verdana"/>
        </w:rPr>
      </w:pPr>
      <w:r w:rsidRPr="00EC75B7">
        <w:rPr>
          <w:rFonts w:ascii="Verdana" w:hAnsi="Verdana"/>
        </w:rPr>
        <w:t>Industrial Emissions Directive (</w:t>
      </w:r>
      <w:r w:rsidRPr="00EC75B7">
        <w:rPr>
          <w:rFonts w:ascii="Verdana" w:hAnsi="Verdana"/>
          <w:spacing w:val="-4"/>
        </w:rPr>
        <w:t>IED).</w:t>
      </w:r>
    </w:p>
    <w:p w14:paraId="0FD19180" w14:textId="77777777" w:rsidR="008715BE" w:rsidRPr="00EC75B7" w:rsidRDefault="008715BE">
      <w:pPr>
        <w:pStyle w:val="BodyText"/>
        <w:spacing w:before="132"/>
        <w:rPr>
          <w:rFonts w:ascii="Verdana" w:hAnsi="Verdana"/>
        </w:rPr>
      </w:pPr>
    </w:p>
    <w:p w14:paraId="75C792B8" w14:textId="77777777" w:rsidR="008715BE" w:rsidRPr="00EC75B7" w:rsidRDefault="00000000">
      <w:pPr>
        <w:pStyle w:val="Heading3"/>
        <w:numPr>
          <w:ilvl w:val="2"/>
          <w:numId w:val="110"/>
        </w:numPr>
        <w:tabs>
          <w:tab w:val="left" w:pos="1766"/>
        </w:tabs>
        <w:ind w:left="1766" w:hanging="715"/>
        <w:rPr>
          <w:rFonts w:ascii="Verdana" w:hAnsi="Verdana"/>
          <w:i/>
          <w:color w:val="00AFEF"/>
          <w:sz w:val="18"/>
          <w:szCs w:val="18"/>
        </w:rPr>
      </w:pPr>
      <w:bookmarkStart w:id="55" w:name="_bookmark56"/>
      <w:bookmarkEnd w:id="55"/>
      <w:r w:rsidRPr="00EC75B7">
        <w:rPr>
          <w:rFonts w:ascii="Verdana" w:hAnsi="Verdana"/>
          <w:color w:val="00AFEF"/>
          <w:sz w:val="18"/>
          <w:szCs w:val="18"/>
        </w:rPr>
        <w:t xml:space="preserve">Current state of </w:t>
      </w:r>
      <w:r w:rsidRPr="00EC75B7">
        <w:rPr>
          <w:rFonts w:ascii="Verdana" w:hAnsi="Verdana"/>
          <w:color w:val="00AFEF"/>
          <w:spacing w:val="-2"/>
          <w:sz w:val="18"/>
          <w:szCs w:val="18"/>
        </w:rPr>
        <w:t xml:space="preserve">air </w:t>
      </w:r>
      <w:r w:rsidRPr="00EC75B7">
        <w:rPr>
          <w:rFonts w:ascii="Verdana" w:hAnsi="Verdana"/>
          <w:color w:val="00AFEF"/>
          <w:sz w:val="18"/>
          <w:szCs w:val="18"/>
        </w:rPr>
        <w:t>quality</w:t>
      </w:r>
    </w:p>
    <w:p w14:paraId="04549808" w14:textId="77777777" w:rsidR="008715BE" w:rsidRPr="00EC75B7" w:rsidRDefault="008715BE">
      <w:pPr>
        <w:pStyle w:val="BodyText"/>
        <w:spacing w:before="113"/>
        <w:rPr>
          <w:rFonts w:ascii="Verdana" w:hAnsi="Verdana"/>
          <w:b/>
        </w:rPr>
      </w:pPr>
    </w:p>
    <w:p w14:paraId="3C590FB2" w14:textId="77777777" w:rsidR="008715BE" w:rsidRPr="00EC75B7" w:rsidRDefault="00000000">
      <w:pPr>
        <w:pStyle w:val="BodyText"/>
        <w:spacing w:before="1" w:line="360" w:lineRule="auto"/>
        <w:ind w:left="57" w:right="433"/>
        <w:jc w:val="both"/>
        <w:rPr>
          <w:rFonts w:ascii="Verdana" w:hAnsi="Verdana"/>
        </w:rPr>
      </w:pPr>
      <w:r w:rsidRPr="00EC75B7">
        <w:rPr>
          <w:rFonts w:ascii="Verdana" w:hAnsi="Verdana"/>
        </w:rPr>
        <w:t xml:space="preserve">Air quality monitoring in Constanța County is carried out using the </w:t>
      </w:r>
      <w:r w:rsidRPr="00EC75B7">
        <w:rPr>
          <w:rFonts w:ascii="Verdana" w:hAnsi="Verdana"/>
          <w:spacing w:val="-2"/>
        </w:rPr>
        <w:t xml:space="preserve">automatic air quality monitoring </w:t>
      </w:r>
      <w:r w:rsidRPr="00EC75B7">
        <w:rPr>
          <w:rFonts w:ascii="Verdana" w:hAnsi="Verdana"/>
        </w:rPr>
        <w:t xml:space="preserve">system </w:t>
      </w:r>
      <w:r w:rsidRPr="00EC75B7">
        <w:rPr>
          <w:rFonts w:ascii="Verdana" w:hAnsi="Verdana"/>
          <w:spacing w:val="-2"/>
        </w:rPr>
        <w:t xml:space="preserve">included in the RNMCA, consisting of eight stations located in accordance with the </w:t>
      </w:r>
      <w:r w:rsidRPr="00EC75B7">
        <w:rPr>
          <w:rFonts w:ascii="Verdana" w:hAnsi="Verdana"/>
        </w:rPr>
        <w:t>specific</w:t>
      </w:r>
      <w:r w:rsidRPr="00EC75B7">
        <w:rPr>
          <w:rFonts w:ascii="Verdana" w:hAnsi="Verdana"/>
          <w:spacing w:val="-2"/>
        </w:rPr>
        <w:t xml:space="preserve"> criteria </w:t>
      </w:r>
      <w:r w:rsidRPr="00EC75B7">
        <w:rPr>
          <w:rFonts w:ascii="Verdana" w:hAnsi="Verdana"/>
        </w:rPr>
        <w:t>currently set out in Law 104/2011 on air quality. The structure of this network is as follows:</w:t>
      </w:r>
    </w:p>
    <w:p w14:paraId="3FBC009F" w14:textId="77777777" w:rsidR="008715BE" w:rsidRPr="00EC75B7" w:rsidRDefault="00000000">
      <w:pPr>
        <w:pStyle w:val="ListParagraph"/>
        <w:numPr>
          <w:ilvl w:val="0"/>
          <w:numId w:val="86"/>
        </w:numPr>
        <w:tabs>
          <w:tab w:val="left" w:pos="1051"/>
        </w:tabs>
        <w:spacing w:before="118" w:line="340" w:lineRule="auto"/>
        <w:ind w:left="1051" w:right="430" w:hanging="569"/>
        <w:jc w:val="both"/>
        <w:rPr>
          <w:rFonts w:ascii="Verdana" w:hAnsi="Verdana"/>
          <w:sz w:val="18"/>
          <w:szCs w:val="18"/>
        </w:rPr>
      </w:pPr>
      <w:r w:rsidRPr="00EC75B7">
        <w:rPr>
          <w:rFonts w:ascii="Verdana" w:hAnsi="Verdana"/>
          <w:sz w:val="18"/>
          <w:szCs w:val="18"/>
        </w:rPr>
        <w:t xml:space="preserve">CT-1 station - traffic station, located in Constanța, Casa de cultură, the location being representative in terms of traffic (maximum radius of representativeness 100m); </w:t>
      </w:r>
      <w:r w:rsidRPr="00EC75B7">
        <w:rPr>
          <w:rFonts w:ascii="Verdana" w:hAnsi="Verdana"/>
          <w:position w:val="2"/>
          <w:sz w:val="18"/>
          <w:szCs w:val="18"/>
        </w:rPr>
        <w:t xml:space="preserve">the pollutants monitored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w:t>
      </w:r>
      <w:r w:rsidRPr="00EC75B7">
        <w:rPr>
          <w:rFonts w:ascii="Verdana" w:hAnsi="Verdana"/>
          <w:sz w:val="18"/>
          <w:szCs w:val="18"/>
        </w:rPr>
        <w:t xml:space="preserve">PM10 </w:t>
      </w:r>
      <w:r w:rsidRPr="00EC75B7">
        <w:rPr>
          <w:rFonts w:ascii="Verdana" w:hAnsi="Verdana"/>
          <w:position w:val="2"/>
          <w:sz w:val="18"/>
          <w:szCs w:val="18"/>
        </w:rPr>
        <w:t xml:space="preserve">Pb, </w:t>
      </w:r>
      <w:r w:rsidRPr="00EC75B7">
        <w:rPr>
          <w:rFonts w:ascii="Verdana" w:hAnsi="Verdana"/>
          <w:sz w:val="18"/>
          <w:szCs w:val="18"/>
        </w:rPr>
        <w:t>C6H6</w:t>
      </w:r>
      <w:r w:rsidRPr="00EC75B7">
        <w:rPr>
          <w:rFonts w:ascii="Verdana" w:hAnsi="Verdana"/>
          <w:position w:val="2"/>
          <w:sz w:val="18"/>
          <w:szCs w:val="18"/>
        </w:rPr>
        <w:t>, CO, Ni, Cd;</w:t>
      </w:r>
    </w:p>
    <w:p w14:paraId="2A70AF40" w14:textId="77777777" w:rsidR="008715BE" w:rsidRPr="00EC75B7" w:rsidRDefault="00000000">
      <w:pPr>
        <w:pStyle w:val="ListParagraph"/>
        <w:numPr>
          <w:ilvl w:val="0"/>
          <w:numId w:val="86"/>
        </w:numPr>
        <w:tabs>
          <w:tab w:val="left" w:pos="1051"/>
          <w:tab w:val="left" w:pos="1137"/>
        </w:tabs>
        <w:spacing w:before="136" w:line="340" w:lineRule="auto"/>
        <w:ind w:left="1137" w:right="423" w:hanging="720"/>
        <w:jc w:val="both"/>
        <w:rPr>
          <w:rFonts w:ascii="Verdana" w:hAnsi="Verdana"/>
          <w:sz w:val="18"/>
          <w:szCs w:val="18"/>
        </w:rPr>
      </w:pPr>
      <w:r w:rsidRPr="00EC75B7">
        <w:rPr>
          <w:rFonts w:ascii="Verdana" w:hAnsi="Verdana"/>
          <w:sz w:val="18"/>
          <w:szCs w:val="18"/>
        </w:rPr>
        <w:t xml:space="preserve">CT-2 station – urban background station located in the Fantazio – Parc Primărie area, less exposed </w:t>
      </w:r>
      <w:r w:rsidRPr="00EC75B7">
        <w:rPr>
          <w:rFonts w:ascii="Verdana" w:hAnsi="Verdana"/>
          <w:position w:val="2"/>
          <w:sz w:val="18"/>
          <w:szCs w:val="18"/>
        </w:rPr>
        <w:t xml:space="preserve">to traffic and industry; monitored pollutants: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CO, </w:t>
      </w:r>
      <w:r w:rsidRPr="00EC75B7">
        <w:rPr>
          <w:rFonts w:ascii="Verdana" w:hAnsi="Verdana"/>
          <w:sz w:val="18"/>
          <w:szCs w:val="18"/>
        </w:rPr>
        <w:t>PM2.5</w:t>
      </w:r>
      <w:r w:rsidRPr="00EC75B7">
        <w:rPr>
          <w:rFonts w:ascii="Verdana" w:hAnsi="Verdana"/>
          <w:position w:val="2"/>
          <w:sz w:val="18"/>
          <w:szCs w:val="18"/>
        </w:rPr>
        <w:t xml:space="preserve">, </w:t>
      </w:r>
      <w:r w:rsidRPr="00EC75B7">
        <w:rPr>
          <w:rFonts w:ascii="Verdana" w:hAnsi="Verdana"/>
          <w:sz w:val="18"/>
          <w:szCs w:val="18"/>
        </w:rPr>
        <w:t>O3</w:t>
      </w:r>
      <w:r w:rsidRPr="00EC75B7">
        <w:rPr>
          <w:rFonts w:ascii="Verdana" w:hAnsi="Verdana"/>
          <w:position w:val="2"/>
          <w:sz w:val="18"/>
          <w:szCs w:val="18"/>
        </w:rPr>
        <w:t xml:space="preserve">, benzene, toluene, </w:t>
      </w:r>
      <w:r w:rsidRPr="00EC75B7">
        <w:rPr>
          <w:rFonts w:ascii="Verdana" w:hAnsi="Verdana"/>
          <w:sz w:val="18"/>
          <w:szCs w:val="18"/>
        </w:rPr>
        <w:t>o,m,pxylene, ethylbenzene, meteorological parameters;</w:t>
      </w:r>
    </w:p>
    <w:p w14:paraId="3FFFFBC6" w14:textId="77777777" w:rsidR="008715BE" w:rsidRPr="00EC75B7" w:rsidRDefault="00000000">
      <w:pPr>
        <w:pStyle w:val="ListParagraph"/>
        <w:numPr>
          <w:ilvl w:val="0"/>
          <w:numId w:val="86"/>
        </w:numPr>
        <w:tabs>
          <w:tab w:val="left" w:pos="1051"/>
        </w:tabs>
        <w:spacing w:before="135" w:line="350" w:lineRule="auto"/>
        <w:ind w:left="1051" w:right="423" w:hanging="569"/>
        <w:jc w:val="both"/>
        <w:rPr>
          <w:rFonts w:ascii="Verdana" w:hAnsi="Verdana"/>
          <w:sz w:val="18"/>
          <w:szCs w:val="18"/>
        </w:rPr>
      </w:pPr>
      <w:r w:rsidRPr="00EC75B7">
        <w:rPr>
          <w:rFonts w:ascii="Verdana" w:hAnsi="Verdana"/>
          <w:sz w:val="18"/>
          <w:szCs w:val="18"/>
        </w:rPr>
        <w:t>CT-3 station – suburban background station, located in a suburban environment, in the Năvodari Tabăra Victoria urban area (representative area 25-150 km),</w:t>
      </w:r>
      <w:r w:rsidRPr="00EC75B7">
        <w:rPr>
          <w:rFonts w:ascii="Verdana" w:hAnsi="Verdana"/>
          <w:spacing w:val="40"/>
          <w:sz w:val="18"/>
          <w:szCs w:val="18"/>
        </w:rPr>
        <w:t xml:space="preserve"> </w:t>
      </w:r>
      <w:r w:rsidRPr="00EC75B7">
        <w:rPr>
          <w:rFonts w:ascii="Verdana" w:hAnsi="Verdana"/>
          <w:sz w:val="18"/>
          <w:szCs w:val="18"/>
        </w:rPr>
        <w:t xml:space="preserve">for assessing average pollution levels within a large urban area, due to phenomena occurring within the city, with possible significant contributions from transport phenomena originating </w:t>
      </w:r>
      <w:r w:rsidRPr="00EC75B7">
        <w:rPr>
          <w:rFonts w:ascii="Verdana" w:hAnsi="Verdana"/>
          <w:position w:val="2"/>
          <w:sz w:val="18"/>
          <w:szCs w:val="18"/>
        </w:rPr>
        <w:t xml:space="preserve">outside the city; the pollutants monitored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CO, </w:t>
      </w:r>
      <w:r w:rsidRPr="00EC75B7">
        <w:rPr>
          <w:rFonts w:ascii="Verdana" w:hAnsi="Verdana"/>
          <w:sz w:val="18"/>
          <w:szCs w:val="18"/>
        </w:rPr>
        <w:t>O3</w:t>
      </w:r>
      <w:r w:rsidRPr="00EC75B7">
        <w:rPr>
          <w:rFonts w:ascii="Verdana" w:hAnsi="Verdana"/>
          <w:position w:val="2"/>
          <w:sz w:val="18"/>
          <w:szCs w:val="18"/>
        </w:rPr>
        <w:t xml:space="preserve">, Ni, Cd, benzene, toluene, </w:t>
      </w:r>
      <w:r w:rsidRPr="00EC75B7">
        <w:rPr>
          <w:rFonts w:ascii="Verdana" w:hAnsi="Verdana"/>
          <w:sz w:val="18"/>
          <w:szCs w:val="18"/>
        </w:rPr>
        <w:t>o,m,pxylene, ethylbenzene, meteorological parameters;</w:t>
      </w:r>
    </w:p>
    <w:p w14:paraId="5A6AA662" w14:textId="77777777" w:rsidR="008715BE" w:rsidRPr="00EC75B7" w:rsidRDefault="00000000">
      <w:pPr>
        <w:pStyle w:val="ListParagraph"/>
        <w:numPr>
          <w:ilvl w:val="0"/>
          <w:numId w:val="86"/>
        </w:numPr>
        <w:tabs>
          <w:tab w:val="left" w:pos="1051"/>
        </w:tabs>
        <w:spacing w:before="130" w:line="326" w:lineRule="auto"/>
        <w:ind w:left="1051" w:right="423" w:hanging="569"/>
        <w:jc w:val="both"/>
        <w:rPr>
          <w:rFonts w:ascii="Verdana" w:hAnsi="Verdana"/>
          <w:sz w:val="18"/>
          <w:szCs w:val="18"/>
        </w:rPr>
      </w:pPr>
      <w:r w:rsidRPr="00EC75B7">
        <w:rPr>
          <w:rFonts w:ascii="Verdana" w:hAnsi="Verdana"/>
          <w:sz w:val="18"/>
          <w:szCs w:val="18"/>
        </w:rPr>
        <w:t xml:space="preserve">CT-4 station – traffic station, located in Mangalia, in an urban environment (representative area 10-100 </w:t>
      </w:r>
      <w:r w:rsidRPr="00EC75B7">
        <w:rPr>
          <w:rFonts w:ascii="Verdana" w:hAnsi="Verdana"/>
          <w:position w:val="2"/>
          <w:sz w:val="18"/>
          <w:szCs w:val="18"/>
        </w:rPr>
        <w:t xml:space="preserve">km); monitored pollutants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CO, </w:t>
      </w:r>
      <w:r w:rsidRPr="00EC75B7">
        <w:rPr>
          <w:rFonts w:ascii="Verdana" w:hAnsi="Verdana"/>
          <w:sz w:val="18"/>
          <w:szCs w:val="18"/>
        </w:rPr>
        <w:t xml:space="preserve">PM10 </w:t>
      </w:r>
      <w:r w:rsidRPr="00EC75B7">
        <w:rPr>
          <w:rFonts w:ascii="Verdana" w:hAnsi="Verdana"/>
          <w:position w:val="2"/>
          <w:sz w:val="18"/>
          <w:szCs w:val="18"/>
        </w:rPr>
        <w:t xml:space="preserve">Pb, </w:t>
      </w:r>
      <w:r w:rsidRPr="00EC75B7">
        <w:rPr>
          <w:rFonts w:ascii="Verdana" w:hAnsi="Verdana"/>
          <w:sz w:val="18"/>
          <w:szCs w:val="18"/>
        </w:rPr>
        <w:t>C6H6</w:t>
      </w:r>
      <w:r w:rsidRPr="00EC75B7">
        <w:rPr>
          <w:rFonts w:ascii="Verdana" w:hAnsi="Verdana"/>
          <w:position w:val="2"/>
          <w:sz w:val="18"/>
          <w:szCs w:val="18"/>
        </w:rPr>
        <w:t>;</w:t>
      </w:r>
    </w:p>
    <w:p w14:paraId="487DD412" w14:textId="77777777" w:rsidR="008715BE" w:rsidRPr="00EC75B7" w:rsidRDefault="00000000">
      <w:pPr>
        <w:pStyle w:val="ListParagraph"/>
        <w:numPr>
          <w:ilvl w:val="0"/>
          <w:numId w:val="86"/>
        </w:numPr>
        <w:tabs>
          <w:tab w:val="left" w:pos="1051"/>
        </w:tabs>
        <w:spacing w:before="148" w:line="340" w:lineRule="auto"/>
        <w:ind w:left="1051" w:right="422" w:hanging="569"/>
        <w:jc w:val="both"/>
        <w:rPr>
          <w:rFonts w:ascii="Verdana" w:hAnsi="Verdana"/>
          <w:sz w:val="18"/>
          <w:szCs w:val="18"/>
        </w:rPr>
      </w:pPr>
      <w:r w:rsidRPr="00EC75B7">
        <w:rPr>
          <w:rFonts w:ascii="Verdana" w:hAnsi="Verdana"/>
          <w:sz w:val="18"/>
          <w:szCs w:val="18"/>
        </w:rPr>
        <w:t xml:space="preserve">CT-5 station – industrial station, located in Constanța, in an urban environment on Prelungirea </w:t>
      </w:r>
      <w:r w:rsidRPr="00EC75B7">
        <w:rPr>
          <w:rFonts w:ascii="Verdana" w:hAnsi="Verdana"/>
          <w:position w:val="2"/>
          <w:sz w:val="18"/>
          <w:szCs w:val="18"/>
        </w:rPr>
        <w:t xml:space="preserve">Liliacului </w:t>
      </w:r>
      <w:r w:rsidRPr="00EC75B7">
        <w:rPr>
          <w:rFonts w:ascii="Verdana" w:hAnsi="Verdana"/>
          <w:sz w:val="18"/>
          <w:szCs w:val="18"/>
        </w:rPr>
        <w:t xml:space="preserve">Street </w:t>
      </w:r>
      <w:r w:rsidRPr="00EC75B7">
        <w:rPr>
          <w:rFonts w:ascii="Verdana" w:hAnsi="Verdana"/>
          <w:position w:val="2"/>
          <w:sz w:val="18"/>
          <w:szCs w:val="18"/>
        </w:rPr>
        <w:t xml:space="preserve">(representative area 1 km); monitored pollutants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w:t>
      </w:r>
      <w:r w:rsidRPr="00EC75B7">
        <w:rPr>
          <w:rFonts w:ascii="Verdana" w:hAnsi="Verdana"/>
          <w:sz w:val="18"/>
          <w:szCs w:val="18"/>
        </w:rPr>
        <w:t xml:space="preserve">PM10 </w:t>
      </w:r>
      <w:r w:rsidRPr="00EC75B7">
        <w:rPr>
          <w:rFonts w:ascii="Verdana" w:hAnsi="Verdana"/>
          <w:position w:val="2"/>
          <w:sz w:val="18"/>
          <w:szCs w:val="18"/>
        </w:rPr>
        <w:t xml:space="preserve">Pb, </w:t>
      </w:r>
      <w:r w:rsidRPr="00EC75B7">
        <w:rPr>
          <w:rFonts w:ascii="Verdana" w:hAnsi="Verdana"/>
          <w:sz w:val="18"/>
          <w:szCs w:val="18"/>
        </w:rPr>
        <w:t>C6H6</w:t>
      </w:r>
      <w:r w:rsidRPr="00EC75B7">
        <w:rPr>
          <w:rFonts w:ascii="Verdana" w:hAnsi="Verdana"/>
          <w:position w:val="2"/>
          <w:sz w:val="18"/>
          <w:szCs w:val="18"/>
        </w:rPr>
        <w:t xml:space="preserve">, CO, </w:t>
      </w:r>
      <w:r w:rsidRPr="00EC75B7">
        <w:rPr>
          <w:rFonts w:ascii="Verdana" w:hAnsi="Verdana"/>
          <w:sz w:val="18"/>
          <w:szCs w:val="18"/>
        </w:rPr>
        <w:t>O3</w:t>
      </w:r>
      <w:r w:rsidRPr="00EC75B7">
        <w:rPr>
          <w:rFonts w:ascii="Verdana" w:hAnsi="Verdana"/>
          <w:position w:val="2"/>
          <w:sz w:val="18"/>
          <w:szCs w:val="18"/>
        </w:rPr>
        <w:t>, Ni, Cd, meteorological parameters;</w:t>
      </w:r>
    </w:p>
    <w:p w14:paraId="1E3D818B" w14:textId="77777777" w:rsidR="008715BE" w:rsidRPr="00EC75B7" w:rsidRDefault="00000000">
      <w:pPr>
        <w:pStyle w:val="ListParagraph"/>
        <w:numPr>
          <w:ilvl w:val="0"/>
          <w:numId w:val="86"/>
        </w:numPr>
        <w:tabs>
          <w:tab w:val="left" w:pos="1051"/>
        </w:tabs>
        <w:spacing w:before="131" w:line="340" w:lineRule="auto"/>
        <w:ind w:left="1051" w:right="425" w:hanging="569"/>
        <w:jc w:val="both"/>
        <w:rPr>
          <w:rFonts w:ascii="Verdana" w:hAnsi="Verdana"/>
          <w:sz w:val="18"/>
          <w:szCs w:val="18"/>
        </w:rPr>
      </w:pPr>
      <w:r w:rsidRPr="00EC75B7">
        <w:rPr>
          <w:rFonts w:ascii="Verdana" w:hAnsi="Verdana"/>
          <w:sz w:val="18"/>
          <w:szCs w:val="18"/>
        </w:rPr>
        <w:t xml:space="preserve">CT-6 station – industrial station, located in the town of Năvodari, in an urban environment, in the area of the </w:t>
      </w:r>
      <w:r w:rsidRPr="00EC75B7">
        <w:rPr>
          <w:rFonts w:ascii="Verdana" w:hAnsi="Verdana"/>
          <w:position w:val="2"/>
          <w:sz w:val="18"/>
          <w:szCs w:val="18"/>
        </w:rPr>
        <w:t xml:space="preserve">Lazăr Edeleanu </w:t>
      </w:r>
      <w:r w:rsidRPr="00EC75B7">
        <w:rPr>
          <w:rFonts w:ascii="Verdana" w:hAnsi="Verdana"/>
          <w:sz w:val="18"/>
          <w:szCs w:val="18"/>
        </w:rPr>
        <w:t xml:space="preserve">high school </w:t>
      </w:r>
      <w:r w:rsidRPr="00EC75B7">
        <w:rPr>
          <w:rFonts w:ascii="Verdana" w:hAnsi="Verdana"/>
          <w:position w:val="2"/>
          <w:sz w:val="18"/>
          <w:szCs w:val="18"/>
        </w:rPr>
        <w:t xml:space="preserve">(representative area 1 km); monitored pollutants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CO, </w:t>
      </w:r>
      <w:r w:rsidRPr="00EC75B7">
        <w:rPr>
          <w:rFonts w:ascii="Verdana" w:hAnsi="Verdana"/>
          <w:sz w:val="18"/>
          <w:szCs w:val="18"/>
        </w:rPr>
        <w:t>PM10</w:t>
      </w:r>
      <w:r w:rsidRPr="00EC75B7">
        <w:rPr>
          <w:rFonts w:ascii="Verdana" w:hAnsi="Verdana"/>
          <w:position w:val="2"/>
          <w:sz w:val="18"/>
          <w:szCs w:val="18"/>
        </w:rPr>
        <w:t xml:space="preserve">, </w:t>
      </w:r>
      <w:r w:rsidRPr="00EC75B7">
        <w:rPr>
          <w:rFonts w:ascii="Verdana" w:hAnsi="Verdana"/>
          <w:sz w:val="18"/>
          <w:szCs w:val="18"/>
        </w:rPr>
        <w:t>O3</w:t>
      </w:r>
      <w:r w:rsidRPr="00EC75B7">
        <w:rPr>
          <w:rFonts w:ascii="Verdana" w:hAnsi="Verdana"/>
          <w:position w:val="2"/>
          <w:sz w:val="18"/>
          <w:szCs w:val="18"/>
        </w:rPr>
        <w:t>, benzene, meteorological parameters;</w:t>
      </w:r>
    </w:p>
    <w:p w14:paraId="389F8484" w14:textId="77777777" w:rsidR="008715BE" w:rsidRPr="00EC75B7" w:rsidRDefault="00000000">
      <w:pPr>
        <w:pStyle w:val="ListParagraph"/>
        <w:numPr>
          <w:ilvl w:val="0"/>
          <w:numId w:val="86"/>
        </w:numPr>
        <w:tabs>
          <w:tab w:val="left" w:pos="1051"/>
        </w:tabs>
        <w:spacing w:before="132" w:line="340" w:lineRule="auto"/>
        <w:ind w:left="1051" w:right="423" w:hanging="569"/>
        <w:jc w:val="both"/>
        <w:rPr>
          <w:rFonts w:ascii="Verdana" w:hAnsi="Verdana"/>
          <w:sz w:val="18"/>
          <w:szCs w:val="18"/>
        </w:rPr>
      </w:pPr>
      <w:r w:rsidRPr="00EC75B7">
        <w:rPr>
          <w:rFonts w:ascii="Verdana" w:hAnsi="Verdana"/>
          <w:sz w:val="18"/>
          <w:szCs w:val="18"/>
        </w:rPr>
        <w:t>CT-7 station – industrial station, located in an urban environment in the area of the Medgidia town hall (</w:t>
      </w:r>
      <w:r w:rsidRPr="00EC75B7">
        <w:rPr>
          <w:rFonts w:ascii="Verdana" w:hAnsi="Verdana"/>
          <w:position w:val="2"/>
          <w:sz w:val="18"/>
          <w:szCs w:val="18"/>
        </w:rPr>
        <w:t xml:space="preserve">representative </w:t>
      </w:r>
      <w:r w:rsidRPr="00EC75B7">
        <w:rPr>
          <w:rFonts w:ascii="Verdana" w:hAnsi="Verdana"/>
          <w:sz w:val="18"/>
          <w:szCs w:val="18"/>
        </w:rPr>
        <w:t>area</w:t>
      </w:r>
      <w:r w:rsidRPr="00EC75B7">
        <w:rPr>
          <w:rFonts w:ascii="Verdana" w:hAnsi="Verdana"/>
          <w:position w:val="2"/>
          <w:sz w:val="18"/>
          <w:szCs w:val="18"/>
        </w:rPr>
        <w:t xml:space="preserve"> 1 km); monitored pollutants are </w:t>
      </w:r>
      <w:r w:rsidRPr="00EC75B7">
        <w:rPr>
          <w:rFonts w:ascii="Verdana" w:hAnsi="Verdana"/>
          <w:sz w:val="18"/>
          <w:szCs w:val="18"/>
        </w:rPr>
        <w:t>SO2</w:t>
      </w:r>
      <w:r w:rsidRPr="00EC75B7">
        <w:rPr>
          <w:rFonts w:ascii="Verdana" w:hAnsi="Verdana"/>
          <w:position w:val="2"/>
          <w:sz w:val="18"/>
          <w:szCs w:val="18"/>
        </w:rPr>
        <w:t xml:space="preserv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w:t>
      </w:r>
      <w:r w:rsidRPr="00EC75B7">
        <w:rPr>
          <w:rFonts w:ascii="Verdana" w:hAnsi="Verdana"/>
          <w:sz w:val="18"/>
          <w:szCs w:val="18"/>
        </w:rPr>
        <w:t xml:space="preserve">PM10 </w:t>
      </w:r>
      <w:r w:rsidRPr="00EC75B7">
        <w:rPr>
          <w:rFonts w:ascii="Verdana" w:hAnsi="Verdana"/>
          <w:position w:val="2"/>
          <w:sz w:val="18"/>
          <w:szCs w:val="18"/>
        </w:rPr>
        <w:t xml:space="preserve">Pb, CO, </w:t>
      </w:r>
      <w:r w:rsidRPr="00EC75B7">
        <w:rPr>
          <w:rFonts w:ascii="Verdana" w:hAnsi="Verdana"/>
          <w:sz w:val="18"/>
          <w:szCs w:val="18"/>
        </w:rPr>
        <w:t>O3</w:t>
      </w:r>
      <w:r w:rsidRPr="00EC75B7">
        <w:rPr>
          <w:rFonts w:ascii="Verdana" w:hAnsi="Verdana"/>
          <w:position w:val="2"/>
          <w:sz w:val="18"/>
          <w:szCs w:val="18"/>
        </w:rPr>
        <w:t xml:space="preserve">, </w:t>
      </w:r>
      <w:r w:rsidRPr="00EC75B7">
        <w:rPr>
          <w:rFonts w:ascii="Verdana" w:hAnsi="Verdana"/>
          <w:spacing w:val="-2"/>
          <w:sz w:val="18"/>
          <w:szCs w:val="18"/>
        </w:rPr>
        <w:t>meteorological</w:t>
      </w:r>
      <w:r w:rsidRPr="00EC75B7">
        <w:rPr>
          <w:rFonts w:ascii="Verdana" w:hAnsi="Verdana"/>
          <w:position w:val="2"/>
          <w:sz w:val="18"/>
          <w:szCs w:val="18"/>
        </w:rPr>
        <w:t xml:space="preserve"> parameters</w:t>
      </w:r>
      <w:r w:rsidRPr="00EC75B7">
        <w:rPr>
          <w:rFonts w:ascii="Verdana" w:hAnsi="Verdana"/>
          <w:spacing w:val="-2"/>
          <w:sz w:val="18"/>
          <w:szCs w:val="18"/>
        </w:rPr>
        <w:t>;</w:t>
      </w:r>
    </w:p>
    <w:p w14:paraId="5AAB9FAE" w14:textId="77777777" w:rsidR="008715BE" w:rsidRPr="00EC75B7" w:rsidRDefault="00000000">
      <w:pPr>
        <w:pStyle w:val="ListParagraph"/>
        <w:numPr>
          <w:ilvl w:val="0"/>
          <w:numId w:val="86"/>
        </w:numPr>
        <w:tabs>
          <w:tab w:val="left" w:pos="1051"/>
        </w:tabs>
        <w:spacing w:before="136" w:line="340" w:lineRule="auto"/>
        <w:ind w:left="1051" w:right="423" w:hanging="569"/>
        <w:jc w:val="both"/>
        <w:rPr>
          <w:rFonts w:ascii="Verdana" w:hAnsi="Verdana"/>
          <w:sz w:val="18"/>
          <w:szCs w:val="18"/>
        </w:rPr>
      </w:pPr>
      <w:r w:rsidRPr="00EC75B7">
        <w:rPr>
          <w:rFonts w:ascii="Verdana" w:hAnsi="Verdana"/>
          <w:sz w:val="18"/>
          <w:szCs w:val="18"/>
        </w:rPr>
        <w:t xml:space="preserve">CT-8 station - urban background station, located in an urban environment in the municipality of Mangalia, Crișanei Street </w:t>
      </w:r>
      <w:r w:rsidRPr="00EC75B7">
        <w:rPr>
          <w:rFonts w:ascii="Verdana" w:hAnsi="Verdana"/>
          <w:position w:val="2"/>
          <w:sz w:val="18"/>
          <w:szCs w:val="18"/>
        </w:rPr>
        <w:t xml:space="preserve">(representative area 1 km); the pollutants monitored are </w:t>
      </w:r>
      <w:r w:rsidRPr="00EC75B7">
        <w:rPr>
          <w:rFonts w:ascii="Verdana" w:hAnsi="Verdana"/>
          <w:sz w:val="18"/>
          <w:szCs w:val="18"/>
        </w:rPr>
        <w:t>NO2</w:t>
      </w:r>
      <w:r w:rsidRPr="00EC75B7">
        <w:rPr>
          <w:rFonts w:ascii="Verdana" w:hAnsi="Verdana"/>
          <w:position w:val="2"/>
          <w:sz w:val="18"/>
          <w:szCs w:val="18"/>
        </w:rPr>
        <w:t xml:space="preserve">, </w:t>
      </w:r>
      <w:r w:rsidRPr="00EC75B7">
        <w:rPr>
          <w:rFonts w:ascii="Verdana" w:hAnsi="Verdana"/>
          <w:sz w:val="18"/>
          <w:szCs w:val="18"/>
        </w:rPr>
        <w:t>NOx</w:t>
      </w:r>
      <w:r w:rsidRPr="00EC75B7">
        <w:rPr>
          <w:rFonts w:ascii="Verdana" w:hAnsi="Verdana"/>
          <w:position w:val="2"/>
          <w:sz w:val="18"/>
          <w:szCs w:val="18"/>
        </w:rPr>
        <w:t xml:space="preserve">, </w:t>
      </w:r>
      <w:r w:rsidRPr="00EC75B7">
        <w:rPr>
          <w:rFonts w:ascii="Verdana" w:hAnsi="Verdana"/>
          <w:sz w:val="18"/>
          <w:szCs w:val="18"/>
        </w:rPr>
        <w:t xml:space="preserve">PM10, </w:t>
      </w:r>
      <w:r w:rsidRPr="00EC75B7">
        <w:rPr>
          <w:rFonts w:ascii="Verdana" w:hAnsi="Verdana"/>
          <w:spacing w:val="-2"/>
          <w:sz w:val="18"/>
          <w:szCs w:val="18"/>
        </w:rPr>
        <w:t>meteorological</w:t>
      </w:r>
      <w:r w:rsidRPr="00EC75B7">
        <w:rPr>
          <w:rFonts w:ascii="Verdana" w:hAnsi="Verdana"/>
          <w:position w:val="2"/>
          <w:sz w:val="18"/>
          <w:szCs w:val="18"/>
        </w:rPr>
        <w:t xml:space="preserve"> parameters</w:t>
      </w:r>
      <w:r w:rsidRPr="00EC75B7">
        <w:rPr>
          <w:rFonts w:ascii="Verdana" w:hAnsi="Verdana"/>
          <w:spacing w:val="-2"/>
          <w:sz w:val="18"/>
          <w:szCs w:val="18"/>
        </w:rPr>
        <w:t>;</w:t>
      </w:r>
    </w:p>
    <w:p w14:paraId="0519CD5A" w14:textId="77777777" w:rsidR="008715BE" w:rsidRPr="00EC75B7" w:rsidRDefault="008715BE">
      <w:pPr>
        <w:pStyle w:val="ListParagraph"/>
        <w:spacing w:line="340" w:lineRule="auto"/>
        <w:jc w:val="both"/>
        <w:rPr>
          <w:rFonts w:ascii="Verdana" w:hAnsi="Verdana"/>
          <w:sz w:val="18"/>
          <w:szCs w:val="18"/>
        </w:rPr>
        <w:sectPr w:rsidR="008715BE" w:rsidRPr="00EC75B7">
          <w:pgSz w:w="11910" w:h="16840"/>
          <w:pgMar w:top="1320" w:right="566" w:bottom="1020" w:left="1133" w:header="766" w:footer="799" w:gutter="0"/>
          <w:cols w:space="708"/>
        </w:sectPr>
      </w:pPr>
    </w:p>
    <w:p w14:paraId="49E7A1D4" w14:textId="77777777" w:rsidR="008715BE" w:rsidRPr="00EC75B7" w:rsidRDefault="00000000">
      <w:pPr>
        <w:pStyle w:val="BodyText"/>
        <w:spacing w:before="99" w:line="360" w:lineRule="auto"/>
        <w:ind w:left="57" w:right="309"/>
        <w:rPr>
          <w:rFonts w:ascii="Verdana" w:hAnsi="Verdana"/>
        </w:rPr>
      </w:pPr>
      <w:r w:rsidRPr="00EC75B7">
        <w:rPr>
          <w:rFonts w:ascii="Verdana" w:hAnsi="Verdana"/>
        </w:rPr>
        <w:lastRenderedPageBreak/>
        <w:t>The municipality of Cerchezu is not within the range of these monitoring stations, and there are no real-time air quality measurement stations (road transport) planned for the area.</w:t>
      </w:r>
    </w:p>
    <w:p w14:paraId="56381B54" w14:textId="77777777" w:rsidR="008715BE" w:rsidRPr="00EC75B7" w:rsidRDefault="00000000">
      <w:pPr>
        <w:pStyle w:val="BodyText"/>
        <w:spacing w:before="117"/>
        <w:ind w:left="57"/>
        <w:rPr>
          <w:rFonts w:ascii="Verdana" w:hAnsi="Verdana"/>
        </w:rPr>
      </w:pPr>
      <w:r w:rsidRPr="00EC75B7">
        <w:rPr>
          <w:rFonts w:ascii="Verdana" w:hAnsi="Verdana"/>
        </w:rPr>
        <w:t xml:space="preserve">At the time of writing this report, no information was available on </w:t>
      </w:r>
      <w:r w:rsidRPr="00EC75B7">
        <w:rPr>
          <w:rFonts w:ascii="Verdana" w:hAnsi="Verdana"/>
          <w:spacing w:val="-2"/>
        </w:rPr>
        <w:t xml:space="preserve">air </w:t>
      </w:r>
      <w:r w:rsidRPr="00EC75B7">
        <w:rPr>
          <w:rFonts w:ascii="Verdana" w:hAnsi="Verdana"/>
        </w:rPr>
        <w:t>quality measurements</w:t>
      </w:r>
    </w:p>
    <w:p w14:paraId="417D5323" w14:textId="77777777" w:rsidR="008715BE" w:rsidRPr="00EC75B7" w:rsidRDefault="00000000">
      <w:pPr>
        <w:pStyle w:val="BodyText"/>
        <w:spacing w:before="109"/>
        <w:ind w:left="57"/>
        <w:rPr>
          <w:rFonts w:ascii="Verdana" w:hAnsi="Verdana"/>
        </w:rPr>
      </w:pPr>
      <w:r w:rsidRPr="00EC75B7">
        <w:rPr>
          <w:rFonts w:ascii="Verdana" w:hAnsi="Verdana"/>
        </w:rPr>
        <w:t xml:space="preserve">in the municipality of </w:t>
      </w:r>
      <w:r w:rsidRPr="00EC75B7">
        <w:rPr>
          <w:rFonts w:ascii="Verdana" w:hAnsi="Verdana"/>
          <w:spacing w:val="-2"/>
        </w:rPr>
        <w:t>Cerchezu.</w:t>
      </w:r>
    </w:p>
    <w:p w14:paraId="7FEB3596" w14:textId="77777777" w:rsidR="008715BE" w:rsidRPr="00EC75B7" w:rsidRDefault="008715BE">
      <w:pPr>
        <w:pStyle w:val="BodyText"/>
        <w:spacing w:before="9"/>
        <w:rPr>
          <w:rFonts w:ascii="Verdana" w:hAnsi="Verdana"/>
        </w:rPr>
      </w:pPr>
    </w:p>
    <w:p w14:paraId="7D73AD74" w14:textId="77777777" w:rsidR="008715BE" w:rsidRPr="00EC75B7" w:rsidRDefault="00000000">
      <w:pPr>
        <w:pStyle w:val="BodyText"/>
        <w:spacing w:line="355" w:lineRule="auto"/>
        <w:ind w:left="57"/>
        <w:rPr>
          <w:rFonts w:ascii="Verdana" w:hAnsi="Verdana"/>
          <w:position w:val="2"/>
        </w:rPr>
      </w:pPr>
      <w:r w:rsidRPr="00EC75B7">
        <w:rPr>
          <w:rFonts w:ascii="Verdana" w:hAnsi="Verdana"/>
        </w:rPr>
        <w:t xml:space="preserve">In order to establish the current air quality situation in the proposed project area, an analysis was carried out </w:t>
      </w:r>
      <w:r w:rsidRPr="00EC75B7">
        <w:rPr>
          <w:rFonts w:ascii="Verdana" w:hAnsi="Verdana"/>
          <w:position w:val="2"/>
        </w:rPr>
        <w:t xml:space="preserve">of the air quality maps for the indicators </w:t>
      </w:r>
      <w:r w:rsidRPr="00EC75B7">
        <w:rPr>
          <w:rFonts w:ascii="Verdana" w:hAnsi="Verdana"/>
        </w:rPr>
        <w:t>PM10</w:t>
      </w:r>
      <w:r w:rsidRPr="00EC75B7">
        <w:rPr>
          <w:rFonts w:ascii="Verdana" w:hAnsi="Verdana"/>
          <w:position w:val="2"/>
        </w:rPr>
        <w:t xml:space="preserve">, </w:t>
      </w:r>
      <w:r w:rsidRPr="00EC75B7">
        <w:rPr>
          <w:rFonts w:ascii="Verdana" w:hAnsi="Verdana"/>
        </w:rPr>
        <w:t>PM2.5</w:t>
      </w:r>
      <w:r w:rsidRPr="00EC75B7">
        <w:rPr>
          <w:rFonts w:ascii="Verdana" w:hAnsi="Verdana"/>
          <w:position w:val="2"/>
        </w:rPr>
        <w:t xml:space="preserve">, </w:t>
      </w:r>
      <w:r w:rsidRPr="00EC75B7">
        <w:rPr>
          <w:rFonts w:ascii="Verdana" w:hAnsi="Verdana"/>
        </w:rPr>
        <w:t>NO2</w:t>
      </w:r>
      <w:r w:rsidRPr="00EC75B7">
        <w:rPr>
          <w:rFonts w:ascii="Verdana" w:hAnsi="Verdana"/>
          <w:position w:val="2"/>
        </w:rPr>
        <w:t xml:space="preserve">, and </w:t>
      </w:r>
      <w:r w:rsidRPr="00EC75B7">
        <w:rPr>
          <w:rFonts w:ascii="Verdana" w:hAnsi="Verdana"/>
        </w:rPr>
        <w:t>O3</w:t>
      </w:r>
      <w:r w:rsidRPr="00EC75B7">
        <w:rPr>
          <w:rFonts w:ascii="Verdana" w:hAnsi="Verdana"/>
          <w:position w:val="2"/>
        </w:rPr>
        <w:t>, available at European level.</w:t>
      </w:r>
    </w:p>
    <w:p w14:paraId="59D245FB" w14:textId="54E68610" w:rsidR="008715BE" w:rsidRPr="00EC75B7" w:rsidRDefault="009069FA" w:rsidP="009069FA">
      <w:pPr>
        <w:pStyle w:val="BodyText"/>
        <w:spacing w:before="6"/>
        <w:jc w:val="center"/>
        <w:rPr>
          <w:rFonts w:ascii="Verdana" w:hAnsi="Verdana"/>
        </w:rPr>
      </w:pPr>
      <w:r>
        <w:rPr>
          <w:noProof/>
        </w:rPr>
        <w:drawing>
          <wp:inline distT="0" distB="0" distL="0" distR="0" wp14:anchorId="082C3F31" wp14:editId="4BA2B288">
            <wp:extent cx="4864100" cy="3440263"/>
            <wp:effectExtent l="0" t="0" r="0" b="8255"/>
            <wp:docPr id="11672635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66347" cy="3441852"/>
                    </a:xfrm>
                    <a:prstGeom prst="rect">
                      <a:avLst/>
                    </a:prstGeom>
                    <a:noFill/>
                    <a:ln>
                      <a:noFill/>
                    </a:ln>
                  </pic:spPr>
                </pic:pic>
              </a:graphicData>
            </a:graphic>
          </wp:inline>
        </w:drawing>
      </w:r>
    </w:p>
    <w:p w14:paraId="72D39E59" w14:textId="77777777" w:rsidR="008715BE" w:rsidRPr="00EC75B7" w:rsidRDefault="00000000">
      <w:pPr>
        <w:spacing w:before="95"/>
        <w:ind w:left="6087"/>
        <w:rPr>
          <w:rFonts w:ascii="Verdana" w:hAnsi="Verdana"/>
          <w:i/>
          <w:sz w:val="18"/>
          <w:szCs w:val="18"/>
        </w:rPr>
      </w:pPr>
      <w:r w:rsidRPr="00EC75B7">
        <w:rPr>
          <w:rFonts w:ascii="Verdana" w:hAnsi="Verdana"/>
          <w:i/>
          <w:color w:val="009DEF"/>
          <w:sz w:val="18"/>
          <w:szCs w:val="18"/>
        </w:rPr>
        <w:t xml:space="preserve">Source: processed by the European </w:t>
      </w:r>
      <w:r w:rsidRPr="00EC75B7">
        <w:rPr>
          <w:rFonts w:ascii="Verdana" w:hAnsi="Verdana"/>
          <w:i/>
          <w:color w:val="009DEF"/>
          <w:spacing w:val="-2"/>
          <w:sz w:val="18"/>
          <w:szCs w:val="18"/>
        </w:rPr>
        <w:t xml:space="preserve">Environment </w:t>
      </w:r>
      <w:r w:rsidRPr="00EC75B7">
        <w:rPr>
          <w:rFonts w:ascii="Verdana" w:hAnsi="Verdana"/>
          <w:i/>
          <w:color w:val="009DEF"/>
          <w:sz w:val="18"/>
          <w:szCs w:val="18"/>
        </w:rPr>
        <w:t>Agency</w:t>
      </w:r>
    </w:p>
    <w:p w14:paraId="3B6EB950" w14:textId="77777777" w:rsidR="008715BE" w:rsidRPr="00EC75B7" w:rsidRDefault="00000000" w:rsidP="009069FA">
      <w:pPr>
        <w:spacing w:before="169"/>
        <w:ind w:left="288" w:right="368"/>
        <w:jc w:val="center"/>
        <w:rPr>
          <w:rFonts w:ascii="Verdana" w:hAnsi="Verdana"/>
          <w:b/>
          <w:sz w:val="18"/>
          <w:szCs w:val="18"/>
        </w:rPr>
      </w:pPr>
      <w:r w:rsidRPr="00EC75B7">
        <w:rPr>
          <w:rFonts w:ascii="Verdana" w:hAnsi="Verdana"/>
          <w:b/>
          <w:color w:val="009DEF"/>
          <w:position w:val="1"/>
          <w:sz w:val="18"/>
          <w:szCs w:val="18"/>
        </w:rPr>
        <w:t xml:space="preserve">Figure 42 Annual average for the </w:t>
      </w:r>
      <w:r w:rsidRPr="00EC75B7">
        <w:rPr>
          <w:rFonts w:ascii="Verdana" w:hAnsi="Verdana"/>
          <w:b/>
          <w:color w:val="009DEF"/>
          <w:spacing w:val="-4"/>
          <w:sz w:val="18"/>
          <w:szCs w:val="18"/>
        </w:rPr>
        <w:t xml:space="preserve">PM10 </w:t>
      </w:r>
      <w:r w:rsidRPr="00EC75B7">
        <w:rPr>
          <w:rFonts w:ascii="Verdana" w:hAnsi="Verdana"/>
          <w:b/>
          <w:color w:val="009DEF"/>
          <w:position w:val="1"/>
          <w:sz w:val="18"/>
          <w:szCs w:val="18"/>
        </w:rPr>
        <w:t>indicator</w:t>
      </w:r>
    </w:p>
    <w:p w14:paraId="21C80B01" w14:textId="77777777" w:rsidR="008715BE" w:rsidRPr="00EC75B7" w:rsidRDefault="008715BE">
      <w:pPr>
        <w:jc w:val="center"/>
        <w:rPr>
          <w:rFonts w:ascii="Verdana" w:hAnsi="Verdana"/>
          <w:b/>
          <w:sz w:val="18"/>
          <w:szCs w:val="18"/>
        </w:rPr>
        <w:sectPr w:rsidR="008715BE" w:rsidRPr="00EC75B7">
          <w:pgSz w:w="11910" w:h="16840"/>
          <w:pgMar w:top="1320" w:right="566" w:bottom="1020" w:left="1133" w:header="766" w:footer="799" w:gutter="0"/>
          <w:cols w:space="708"/>
        </w:sectPr>
      </w:pPr>
    </w:p>
    <w:p w14:paraId="125AF025" w14:textId="77777777" w:rsidR="008715BE" w:rsidRPr="00EC75B7" w:rsidRDefault="008715BE">
      <w:pPr>
        <w:pStyle w:val="BodyText"/>
        <w:spacing w:before="5"/>
        <w:rPr>
          <w:rFonts w:ascii="Verdana" w:hAnsi="Verdana"/>
          <w:b/>
        </w:rPr>
      </w:pPr>
    </w:p>
    <w:p w14:paraId="45BB798F" w14:textId="41322F59" w:rsidR="008715BE" w:rsidRPr="00EC75B7" w:rsidRDefault="009069FA">
      <w:pPr>
        <w:ind w:left="58"/>
        <w:rPr>
          <w:rFonts w:ascii="Verdana" w:hAnsi="Verdana"/>
          <w:sz w:val="18"/>
          <w:szCs w:val="18"/>
        </w:rPr>
      </w:pPr>
      <w:r>
        <w:rPr>
          <w:noProof/>
        </w:rPr>
        <w:drawing>
          <wp:inline distT="0" distB="0" distL="0" distR="0" wp14:anchorId="12473B4C" wp14:editId="5D561CFB">
            <wp:extent cx="5499100" cy="3889384"/>
            <wp:effectExtent l="0" t="0" r="6350" b="0"/>
            <wp:docPr id="31212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501866" cy="3891340"/>
                    </a:xfrm>
                    <a:prstGeom prst="rect">
                      <a:avLst/>
                    </a:prstGeom>
                    <a:noFill/>
                    <a:ln>
                      <a:noFill/>
                    </a:ln>
                  </pic:spPr>
                </pic:pic>
              </a:graphicData>
            </a:graphic>
          </wp:inline>
        </w:drawing>
      </w:r>
    </w:p>
    <w:p w14:paraId="44332CAE" w14:textId="77777777" w:rsidR="008715BE" w:rsidRPr="00EC75B7" w:rsidRDefault="00000000">
      <w:pPr>
        <w:spacing w:before="85"/>
        <w:ind w:left="6087"/>
        <w:rPr>
          <w:rFonts w:ascii="Verdana" w:hAnsi="Verdana"/>
          <w:i/>
          <w:sz w:val="18"/>
          <w:szCs w:val="18"/>
        </w:rPr>
      </w:pPr>
      <w:r w:rsidRPr="00EC75B7">
        <w:rPr>
          <w:rFonts w:ascii="Verdana" w:hAnsi="Verdana"/>
          <w:i/>
          <w:color w:val="009DEF"/>
          <w:sz w:val="18"/>
          <w:szCs w:val="18"/>
        </w:rPr>
        <w:t xml:space="preserve">Source: processed data from the European </w:t>
      </w:r>
      <w:r w:rsidRPr="00EC75B7">
        <w:rPr>
          <w:rFonts w:ascii="Verdana" w:hAnsi="Verdana"/>
          <w:i/>
          <w:color w:val="009DEF"/>
          <w:spacing w:val="-2"/>
          <w:sz w:val="18"/>
          <w:szCs w:val="18"/>
        </w:rPr>
        <w:t xml:space="preserve">Environment </w:t>
      </w:r>
      <w:r w:rsidRPr="00EC75B7">
        <w:rPr>
          <w:rFonts w:ascii="Verdana" w:hAnsi="Verdana"/>
          <w:i/>
          <w:color w:val="009DEF"/>
          <w:sz w:val="18"/>
          <w:szCs w:val="18"/>
        </w:rPr>
        <w:t>Agency</w:t>
      </w:r>
    </w:p>
    <w:p w14:paraId="7A45DEDB" w14:textId="77777777" w:rsidR="008715BE" w:rsidRPr="00EC75B7" w:rsidRDefault="00000000">
      <w:pPr>
        <w:spacing w:before="170"/>
        <w:ind w:left="285" w:right="368"/>
        <w:jc w:val="center"/>
        <w:rPr>
          <w:rFonts w:ascii="Verdana" w:hAnsi="Verdana"/>
          <w:b/>
          <w:sz w:val="18"/>
          <w:szCs w:val="18"/>
        </w:rPr>
      </w:pPr>
      <w:r w:rsidRPr="00EC75B7">
        <w:rPr>
          <w:rFonts w:ascii="Verdana" w:hAnsi="Verdana"/>
          <w:b/>
          <w:color w:val="009DEF"/>
          <w:position w:val="1"/>
          <w:sz w:val="18"/>
          <w:szCs w:val="18"/>
        </w:rPr>
        <w:t xml:space="preserve">Figure no. 43 Annual average for the </w:t>
      </w:r>
      <w:r w:rsidRPr="00EC75B7">
        <w:rPr>
          <w:rFonts w:ascii="Verdana" w:hAnsi="Verdana"/>
          <w:b/>
          <w:color w:val="009DEF"/>
          <w:spacing w:val="-4"/>
          <w:sz w:val="18"/>
          <w:szCs w:val="18"/>
        </w:rPr>
        <w:t xml:space="preserve">PM2.5 </w:t>
      </w:r>
      <w:r w:rsidRPr="00EC75B7">
        <w:rPr>
          <w:rFonts w:ascii="Verdana" w:hAnsi="Verdana"/>
          <w:b/>
          <w:color w:val="009DEF"/>
          <w:position w:val="1"/>
          <w:sz w:val="18"/>
          <w:szCs w:val="18"/>
        </w:rPr>
        <w:t>indicator</w:t>
      </w:r>
    </w:p>
    <w:p w14:paraId="65837AFB" w14:textId="6F26AE72" w:rsidR="008715BE" w:rsidRPr="00EC75B7" w:rsidRDefault="009069FA" w:rsidP="009069FA">
      <w:pPr>
        <w:pStyle w:val="BodyText"/>
        <w:spacing w:before="36"/>
        <w:jc w:val="center"/>
        <w:rPr>
          <w:rFonts w:ascii="Verdana" w:hAnsi="Verdana"/>
          <w:b/>
        </w:rPr>
      </w:pPr>
      <w:r>
        <w:rPr>
          <w:noProof/>
        </w:rPr>
        <w:drawing>
          <wp:inline distT="0" distB="0" distL="0" distR="0" wp14:anchorId="589C0281" wp14:editId="457CBC71">
            <wp:extent cx="4800513" cy="3395289"/>
            <wp:effectExtent l="0" t="0" r="635" b="0"/>
            <wp:docPr id="16248136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10785" cy="3402554"/>
                    </a:xfrm>
                    <a:prstGeom prst="rect">
                      <a:avLst/>
                    </a:prstGeom>
                    <a:noFill/>
                    <a:ln>
                      <a:noFill/>
                    </a:ln>
                  </pic:spPr>
                </pic:pic>
              </a:graphicData>
            </a:graphic>
          </wp:inline>
        </w:drawing>
      </w:r>
    </w:p>
    <w:p w14:paraId="753DA6C4" w14:textId="77777777" w:rsidR="00903DD2" w:rsidRDefault="00000000" w:rsidP="00903DD2">
      <w:pPr>
        <w:spacing w:before="104"/>
        <w:ind w:left="6087"/>
        <w:rPr>
          <w:rFonts w:ascii="Verdana" w:hAnsi="Verdana"/>
          <w:i/>
          <w:sz w:val="18"/>
          <w:szCs w:val="18"/>
        </w:rPr>
      </w:pPr>
      <w:r w:rsidRPr="00EC75B7">
        <w:rPr>
          <w:rFonts w:ascii="Verdana" w:hAnsi="Verdana"/>
          <w:i/>
          <w:color w:val="009DEF"/>
          <w:sz w:val="18"/>
          <w:szCs w:val="18"/>
        </w:rPr>
        <w:t xml:space="preserve">Source: processed data from the European </w:t>
      </w:r>
      <w:r w:rsidRPr="00EC75B7">
        <w:rPr>
          <w:rFonts w:ascii="Verdana" w:hAnsi="Verdana"/>
          <w:i/>
          <w:color w:val="009DEF"/>
          <w:spacing w:val="-2"/>
          <w:sz w:val="18"/>
          <w:szCs w:val="18"/>
        </w:rPr>
        <w:t xml:space="preserve">Environment </w:t>
      </w:r>
      <w:r w:rsidRPr="00EC75B7">
        <w:rPr>
          <w:rFonts w:ascii="Verdana" w:hAnsi="Verdana"/>
          <w:i/>
          <w:color w:val="009DEF"/>
          <w:sz w:val="18"/>
          <w:szCs w:val="18"/>
        </w:rPr>
        <w:t>Agency</w:t>
      </w:r>
    </w:p>
    <w:p w14:paraId="48CF1505" w14:textId="1190A604" w:rsidR="008715BE" w:rsidRPr="00903DD2" w:rsidRDefault="00000000" w:rsidP="00903DD2">
      <w:pPr>
        <w:spacing w:before="104"/>
        <w:ind w:left="2160" w:firstLine="720"/>
        <w:rPr>
          <w:rFonts w:ascii="Verdana" w:hAnsi="Verdana"/>
          <w:i/>
          <w:sz w:val="18"/>
          <w:szCs w:val="18"/>
        </w:rPr>
      </w:pPr>
      <w:r w:rsidRPr="00EC75B7">
        <w:rPr>
          <w:rFonts w:ascii="Verdana" w:hAnsi="Verdana"/>
          <w:b/>
          <w:color w:val="009DEF"/>
          <w:position w:val="1"/>
          <w:sz w:val="18"/>
          <w:szCs w:val="18"/>
        </w:rPr>
        <w:t xml:space="preserve">Figure 44 Annual average for </w:t>
      </w:r>
      <w:r w:rsidRPr="00EC75B7">
        <w:rPr>
          <w:rFonts w:ascii="Verdana" w:hAnsi="Verdana"/>
          <w:b/>
          <w:color w:val="009DEF"/>
          <w:spacing w:val="-5"/>
          <w:sz w:val="18"/>
          <w:szCs w:val="18"/>
        </w:rPr>
        <w:t>NO2</w:t>
      </w:r>
    </w:p>
    <w:p w14:paraId="4B6636E9" w14:textId="77777777" w:rsidR="008715BE" w:rsidRPr="00EC75B7" w:rsidRDefault="008715BE">
      <w:pPr>
        <w:jc w:val="center"/>
        <w:rPr>
          <w:rFonts w:ascii="Verdana" w:hAnsi="Verdana"/>
          <w:b/>
          <w:sz w:val="18"/>
          <w:szCs w:val="18"/>
        </w:rPr>
        <w:sectPr w:rsidR="008715BE" w:rsidRPr="00EC75B7">
          <w:pgSz w:w="11910" w:h="16840"/>
          <w:pgMar w:top="1320" w:right="566" w:bottom="1020" w:left="1133" w:header="766" w:footer="799" w:gutter="0"/>
          <w:cols w:space="708"/>
        </w:sectPr>
      </w:pPr>
    </w:p>
    <w:p w14:paraId="2B5564CF" w14:textId="77777777" w:rsidR="008715BE" w:rsidRPr="00EC75B7" w:rsidRDefault="008715BE">
      <w:pPr>
        <w:pStyle w:val="BodyText"/>
        <w:spacing w:before="6"/>
        <w:rPr>
          <w:rFonts w:ascii="Verdana" w:hAnsi="Verdana"/>
          <w:b/>
        </w:rPr>
      </w:pPr>
    </w:p>
    <w:p w14:paraId="06091CB7" w14:textId="4DC1111B" w:rsidR="008715BE" w:rsidRPr="00EC75B7" w:rsidRDefault="009069FA" w:rsidP="009069FA">
      <w:pPr>
        <w:ind w:left="58"/>
        <w:jc w:val="center"/>
        <w:rPr>
          <w:rFonts w:ascii="Verdana" w:hAnsi="Verdana"/>
          <w:sz w:val="18"/>
          <w:szCs w:val="18"/>
        </w:rPr>
      </w:pPr>
      <w:r>
        <w:rPr>
          <w:noProof/>
        </w:rPr>
        <w:drawing>
          <wp:inline distT="0" distB="0" distL="0" distR="0" wp14:anchorId="4DA0E686" wp14:editId="76701905">
            <wp:extent cx="5391150" cy="3813034"/>
            <wp:effectExtent l="0" t="0" r="0" b="0"/>
            <wp:docPr id="9017167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395881" cy="3816380"/>
                    </a:xfrm>
                    <a:prstGeom prst="rect">
                      <a:avLst/>
                    </a:prstGeom>
                    <a:noFill/>
                    <a:ln>
                      <a:noFill/>
                    </a:ln>
                  </pic:spPr>
                </pic:pic>
              </a:graphicData>
            </a:graphic>
          </wp:inline>
        </w:drawing>
      </w:r>
    </w:p>
    <w:p w14:paraId="269F3ED8" w14:textId="77777777" w:rsidR="008715BE" w:rsidRPr="00EC75B7" w:rsidRDefault="00000000">
      <w:pPr>
        <w:spacing w:before="103"/>
        <w:ind w:left="6087"/>
        <w:rPr>
          <w:rFonts w:ascii="Verdana" w:hAnsi="Verdana"/>
          <w:i/>
          <w:sz w:val="18"/>
          <w:szCs w:val="18"/>
        </w:rPr>
      </w:pPr>
      <w:r w:rsidRPr="00EC75B7">
        <w:rPr>
          <w:rFonts w:ascii="Verdana" w:hAnsi="Verdana"/>
          <w:i/>
          <w:color w:val="009DEF"/>
          <w:sz w:val="18"/>
          <w:szCs w:val="18"/>
        </w:rPr>
        <w:t xml:space="preserve">Source: processed data from the European </w:t>
      </w:r>
      <w:r w:rsidRPr="00EC75B7">
        <w:rPr>
          <w:rFonts w:ascii="Verdana" w:hAnsi="Verdana"/>
          <w:i/>
          <w:color w:val="009DEF"/>
          <w:spacing w:val="-2"/>
          <w:sz w:val="18"/>
          <w:szCs w:val="18"/>
        </w:rPr>
        <w:t xml:space="preserve">Environment </w:t>
      </w:r>
      <w:r w:rsidRPr="00EC75B7">
        <w:rPr>
          <w:rFonts w:ascii="Verdana" w:hAnsi="Verdana"/>
          <w:i/>
          <w:color w:val="009DEF"/>
          <w:sz w:val="18"/>
          <w:szCs w:val="18"/>
        </w:rPr>
        <w:t>Agency</w:t>
      </w:r>
    </w:p>
    <w:p w14:paraId="463ABE4F" w14:textId="77777777" w:rsidR="008715BE" w:rsidRPr="00EC75B7" w:rsidRDefault="00000000">
      <w:pPr>
        <w:spacing w:before="170"/>
        <w:ind w:left="289" w:right="368"/>
        <w:jc w:val="center"/>
        <w:rPr>
          <w:rFonts w:ascii="Verdana" w:hAnsi="Verdana"/>
          <w:b/>
          <w:sz w:val="18"/>
          <w:szCs w:val="18"/>
        </w:rPr>
      </w:pPr>
      <w:r w:rsidRPr="00EC75B7">
        <w:rPr>
          <w:rFonts w:ascii="Verdana" w:hAnsi="Verdana"/>
          <w:b/>
          <w:color w:val="009DEF"/>
          <w:position w:val="1"/>
          <w:sz w:val="18"/>
          <w:szCs w:val="18"/>
        </w:rPr>
        <w:t xml:space="preserve">Figure no. 45 Annual average for the </w:t>
      </w:r>
      <w:r w:rsidRPr="00EC75B7">
        <w:rPr>
          <w:rFonts w:ascii="Verdana" w:hAnsi="Verdana"/>
          <w:b/>
          <w:color w:val="009DEF"/>
          <w:spacing w:val="-5"/>
          <w:sz w:val="18"/>
          <w:szCs w:val="18"/>
        </w:rPr>
        <w:t xml:space="preserve">NOx </w:t>
      </w:r>
      <w:r w:rsidRPr="00EC75B7">
        <w:rPr>
          <w:rFonts w:ascii="Verdana" w:hAnsi="Verdana"/>
          <w:b/>
          <w:color w:val="009DEF"/>
          <w:position w:val="1"/>
          <w:sz w:val="18"/>
          <w:szCs w:val="18"/>
        </w:rPr>
        <w:t>indicator</w:t>
      </w:r>
    </w:p>
    <w:p w14:paraId="56A3AE5F" w14:textId="77777777" w:rsidR="008715BE" w:rsidRPr="00EC75B7" w:rsidRDefault="008715BE">
      <w:pPr>
        <w:pStyle w:val="BodyText"/>
        <w:spacing w:before="20"/>
        <w:rPr>
          <w:rFonts w:ascii="Verdana" w:hAnsi="Verdana"/>
          <w:b/>
        </w:rPr>
      </w:pPr>
    </w:p>
    <w:p w14:paraId="60654BE6" w14:textId="77777777" w:rsidR="008715BE" w:rsidRPr="00EC75B7" w:rsidRDefault="00000000">
      <w:pPr>
        <w:pStyle w:val="BodyText"/>
        <w:spacing w:line="360" w:lineRule="auto"/>
        <w:ind w:left="57" w:right="424"/>
        <w:jc w:val="both"/>
        <w:rPr>
          <w:rFonts w:ascii="Verdana" w:hAnsi="Verdana"/>
        </w:rPr>
      </w:pPr>
      <w:r w:rsidRPr="00EC75B7">
        <w:rPr>
          <w:rFonts w:ascii="Verdana" w:hAnsi="Verdana"/>
        </w:rPr>
        <w:t xml:space="preserve">As can be seen in the maps above, no exceedances of the limit values set by the legislation in force (Law No. 104/2011 on </w:t>
      </w:r>
      <w:r w:rsidRPr="00EC75B7">
        <w:rPr>
          <w:rFonts w:ascii="Verdana" w:hAnsi="Verdana"/>
          <w:spacing w:val="-2"/>
        </w:rPr>
        <w:t>ambient</w:t>
      </w:r>
      <w:r w:rsidRPr="00EC75B7">
        <w:rPr>
          <w:rFonts w:ascii="Verdana" w:hAnsi="Verdana"/>
        </w:rPr>
        <w:t xml:space="preserve"> air quality</w:t>
      </w:r>
      <w:r w:rsidRPr="00EC75B7">
        <w:rPr>
          <w:rFonts w:ascii="Verdana" w:hAnsi="Verdana"/>
          <w:spacing w:val="-2"/>
        </w:rPr>
        <w:t xml:space="preserve">) </w:t>
      </w:r>
      <w:r w:rsidRPr="00EC75B7">
        <w:rPr>
          <w:rFonts w:ascii="Verdana" w:hAnsi="Verdana"/>
        </w:rPr>
        <w:t>were found in the project implementation area</w:t>
      </w:r>
      <w:r w:rsidRPr="00EC75B7">
        <w:rPr>
          <w:rFonts w:ascii="Verdana" w:hAnsi="Verdana"/>
          <w:spacing w:val="-2"/>
        </w:rPr>
        <w:t>.</w:t>
      </w:r>
    </w:p>
    <w:p w14:paraId="291DAB25" w14:textId="77777777" w:rsidR="008715BE" w:rsidRPr="00EC75B7" w:rsidRDefault="00000000">
      <w:pPr>
        <w:spacing w:before="118" w:line="357" w:lineRule="auto"/>
        <w:ind w:left="57" w:right="427"/>
        <w:jc w:val="both"/>
        <w:rPr>
          <w:rFonts w:ascii="Verdana" w:hAnsi="Verdana"/>
          <w:b/>
          <w:sz w:val="18"/>
          <w:szCs w:val="18"/>
        </w:rPr>
      </w:pPr>
      <w:r w:rsidRPr="00EC75B7">
        <w:rPr>
          <w:rFonts w:ascii="Verdana" w:hAnsi="Verdana"/>
          <w:b/>
          <w:sz w:val="18"/>
          <w:szCs w:val="18"/>
        </w:rPr>
        <w:t>In the Cerchezu commune area, taking into account the activities currently carried out, air quality can be considered generally good, as it is an open rural area uncluttered by urban construction and without intense industrial activity.</w:t>
      </w:r>
    </w:p>
    <w:p w14:paraId="153ACE1D" w14:textId="77777777" w:rsidR="008715BE" w:rsidRPr="00EC75B7" w:rsidRDefault="008715BE">
      <w:pPr>
        <w:pStyle w:val="BodyText"/>
        <w:spacing w:before="32"/>
        <w:rPr>
          <w:rFonts w:ascii="Verdana" w:hAnsi="Verdana"/>
          <w:b/>
        </w:rPr>
      </w:pPr>
    </w:p>
    <w:p w14:paraId="0C01EAB5" w14:textId="77777777" w:rsidR="008715BE" w:rsidRPr="00EC75B7" w:rsidRDefault="00000000">
      <w:pPr>
        <w:pStyle w:val="Heading2"/>
        <w:numPr>
          <w:ilvl w:val="1"/>
          <w:numId w:val="110"/>
        </w:numPr>
        <w:tabs>
          <w:tab w:val="left" w:pos="835"/>
        </w:tabs>
        <w:ind w:hanging="720"/>
        <w:jc w:val="left"/>
        <w:rPr>
          <w:rFonts w:ascii="Verdana" w:hAnsi="Verdana"/>
          <w:color w:val="00AFEF"/>
          <w:sz w:val="18"/>
          <w:szCs w:val="18"/>
        </w:rPr>
      </w:pPr>
      <w:bookmarkStart w:id="56" w:name="_bookmark57"/>
      <w:bookmarkEnd w:id="56"/>
      <w:r w:rsidRPr="00EC75B7">
        <w:rPr>
          <w:rFonts w:ascii="Verdana" w:hAnsi="Verdana"/>
          <w:color w:val="00AFEF"/>
          <w:spacing w:val="-2"/>
          <w:sz w:val="18"/>
          <w:szCs w:val="18"/>
        </w:rPr>
        <w:t>Noise</w:t>
      </w:r>
    </w:p>
    <w:p w14:paraId="4095CFC3" w14:textId="77777777" w:rsidR="008715BE" w:rsidRPr="00EC75B7" w:rsidRDefault="00000000">
      <w:pPr>
        <w:pStyle w:val="Heading3"/>
        <w:numPr>
          <w:ilvl w:val="2"/>
          <w:numId w:val="110"/>
        </w:numPr>
        <w:tabs>
          <w:tab w:val="left" w:pos="1766"/>
        </w:tabs>
        <w:spacing w:before="134"/>
        <w:ind w:left="1766" w:hanging="715"/>
        <w:rPr>
          <w:rFonts w:ascii="Verdana" w:hAnsi="Verdana"/>
          <w:i/>
          <w:color w:val="00AFEF"/>
          <w:sz w:val="18"/>
          <w:szCs w:val="18"/>
        </w:rPr>
      </w:pPr>
      <w:bookmarkStart w:id="57" w:name="_bookmark58"/>
      <w:bookmarkEnd w:id="57"/>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4E50338C" w14:textId="77777777" w:rsidR="008715BE" w:rsidRPr="00EC75B7" w:rsidRDefault="008715BE">
      <w:pPr>
        <w:pStyle w:val="BodyText"/>
        <w:spacing w:before="112"/>
        <w:rPr>
          <w:rFonts w:ascii="Verdana" w:hAnsi="Verdana"/>
          <w:b/>
        </w:rPr>
      </w:pPr>
    </w:p>
    <w:p w14:paraId="75D6552D" w14:textId="77777777" w:rsidR="008715BE" w:rsidRPr="00EC75B7" w:rsidRDefault="00000000">
      <w:pPr>
        <w:pStyle w:val="BodyText"/>
        <w:ind w:left="86"/>
        <w:jc w:val="both"/>
        <w:rPr>
          <w:rFonts w:ascii="Verdana" w:hAnsi="Verdana"/>
        </w:rPr>
      </w:pPr>
      <w:r w:rsidRPr="00EC75B7">
        <w:rPr>
          <w:rFonts w:ascii="Verdana" w:hAnsi="Verdana"/>
        </w:rPr>
        <w:t xml:space="preserve">The study area for noise assessment was defined to include the </w:t>
      </w:r>
      <w:r w:rsidRPr="00EC75B7">
        <w:rPr>
          <w:rFonts w:ascii="Verdana" w:hAnsi="Verdana"/>
          <w:spacing w:val="-2"/>
        </w:rPr>
        <w:t xml:space="preserve">project </w:t>
      </w:r>
      <w:r w:rsidRPr="00EC75B7">
        <w:rPr>
          <w:rFonts w:ascii="Verdana" w:hAnsi="Verdana"/>
        </w:rPr>
        <w:t>site</w:t>
      </w:r>
    </w:p>
    <w:p w14:paraId="3A8E9EF4" w14:textId="77777777" w:rsidR="008715BE" w:rsidRPr="00EC75B7" w:rsidRDefault="00000000">
      <w:pPr>
        <w:pStyle w:val="BodyText"/>
        <w:spacing w:before="109"/>
        <w:ind w:left="86"/>
        <w:jc w:val="both"/>
        <w:rPr>
          <w:rFonts w:ascii="Verdana" w:hAnsi="Verdana"/>
        </w:rPr>
      </w:pPr>
      <w:r w:rsidRPr="00EC75B7">
        <w:rPr>
          <w:rFonts w:ascii="Verdana" w:hAnsi="Verdana"/>
        </w:rPr>
        <w:t xml:space="preserve">and its area of direct and indirect influence, taking into account the type and scale of the </w:t>
      </w:r>
      <w:r w:rsidRPr="00EC75B7">
        <w:rPr>
          <w:rFonts w:ascii="Verdana" w:hAnsi="Verdana"/>
          <w:spacing w:val="-2"/>
        </w:rPr>
        <w:t xml:space="preserve">proposed </w:t>
      </w:r>
      <w:r w:rsidRPr="00EC75B7">
        <w:rPr>
          <w:rFonts w:ascii="Verdana" w:hAnsi="Verdana"/>
        </w:rPr>
        <w:t>works</w:t>
      </w:r>
      <w:r w:rsidRPr="00EC75B7">
        <w:rPr>
          <w:rFonts w:ascii="Verdana" w:hAnsi="Verdana"/>
          <w:spacing w:val="-2"/>
        </w:rPr>
        <w:t>.</w:t>
      </w:r>
    </w:p>
    <w:p w14:paraId="0C74B702" w14:textId="77777777" w:rsidR="008715BE" w:rsidRPr="00EC75B7" w:rsidRDefault="008715BE">
      <w:pPr>
        <w:pStyle w:val="BodyText"/>
        <w:spacing w:before="10"/>
        <w:rPr>
          <w:rFonts w:ascii="Verdana" w:hAnsi="Verdana"/>
        </w:rPr>
      </w:pPr>
    </w:p>
    <w:p w14:paraId="749D7C53" w14:textId="77777777" w:rsidR="008715BE" w:rsidRPr="00EC75B7" w:rsidRDefault="00000000">
      <w:pPr>
        <w:pStyle w:val="BodyText"/>
        <w:spacing w:line="357" w:lineRule="auto"/>
        <w:ind w:left="86" w:right="422"/>
        <w:jc w:val="both"/>
        <w:rPr>
          <w:rFonts w:ascii="Verdana" w:hAnsi="Verdana"/>
        </w:rPr>
      </w:pPr>
      <w:r w:rsidRPr="00EC75B7">
        <w:rPr>
          <w:rFonts w:ascii="Verdana" w:hAnsi="Verdana"/>
        </w:rPr>
        <w:t>For noise, the study area includes the area occupied by the project components, as well as a proximity area around the site where direct effects could occur (e.g., noise associated with construction/decommissioning works, or noise associated with the operation of the wind farm).</w:t>
      </w:r>
    </w:p>
    <w:p w14:paraId="58B7699F" w14:textId="77777777" w:rsidR="008715BE" w:rsidRPr="00EC75B7" w:rsidRDefault="00000000">
      <w:pPr>
        <w:pStyle w:val="BodyText"/>
        <w:spacing w:before="122" w:line="360" w:lineRule="auto"/>
        <w:ind w:left="86" w:right="433"/>
        <w:jc w:val="both"/>
        <w:rPr>
          <w:rFonts w:ascii="Verdana" w:hAnsi="Verdana"/>
        </w:rPr>
      </w:pPr>
      <w:r w:rsidRPr="00EC75B7">
        <w:rPr>
          <w:rFonts w:ascii="Verdana" w:hAnsi="Verdana"/>
        </w:rPr>
        <w:t>The study area was defined based on information available from official databases, existing technical documentation, and local characteristics of the area, ensuring a proportional and adequate assessment of the potential risks associated with the project.</w:t>
      </w:r>
    </w:p>
    <w:p w14:paraId="0F5BE124" w14:textId="77777777" w:rsidR="008715BE" w:rsidRPr="00EC75B7" w:rsidRDefault="008715BE">
      <w:pPr>
        <w:pStyle w:val="BodyText"/>
        <w:spacing w:line="360" w:lineRule="auto"/>
        <w:jc w:val="both"/>
        <w:rPr>
          <w:rFonts w:ascii="Verdana" w:hAnsi="Verdana"/>
        </w:rPr>
        <w:sectPr w:rsidR="008715BE" w:rsidRPr="00EC75B7">
          <w:pgSz w:w="11910" w:h="16840"/>
          <w:pgMar w:top="1320" w:right="566" w:bottom="1020" w:left="1133" w:header="766" w:footer="799" w:gutter="0"/>
          <w:cols w:space="708"/>
        </w:sectPr>
      </w:pPr>
    </w:p>
    <w:p w14:paraId="52D8D687" w14:textId="77777777" w:rsidR="008715BE" w:rsidRPr="00EC75B7" w:rsidRDefault="00000000">
      <w:pPr>
        <w:pStyle w:val="Heading3"/>
        <w:numPr>
          <w:ilvl w:val="2"/>
          <w:numId w:val="110"/>
        </w:numPr>
        <w:tabs>
          <w:tab w:val="left" w:pos="1766"/>
        </w:tabs>
        <w:spacing w:before="102"/>
        <w:ind w:left="1766" w:hanging="715"/>
        <w:rPr>
          <w:rFonts w:ascii="Verdana" w:hAnsi="Verdana"/>
          <w:i/>
          <w:color w:val="00AFEF"/>
          <w:sz w:val="18"/>
          <w:szCs w:val="18"/>
        </w:rPr>
      </w:pPr>
      <w:bookmarkStart w:id="58" w:name="_bookmark59"/>
      <w:bookmarkEnd w:id="58"/>
      <w:r w:rsidRPr="00EC75B7">
        <w:rPr>
          <w:rFonts w:ascii="Verdana" w:hAnsi="Verdana"/>
          <w:color w:val="00AFEF"/>
          <w:sz w:val="18"/>
          <w:szCs w:val="18"/>
        </w:rPr>
        <w:lastRenderedPageBreak/>
        <w:t xml:space="preserve">Brief description of existing sources of pollution in the </w:t>
      </w:r>
      <w:r w:rsidRPr="00EC75B7">
        <w:rPr>
          <w:rFonts w:ascii="Verdana" w:hAnsi="Verdana"/>
          <w:color w:val="00AFEF"/>
          <w:spacing w:val="-2"/>
          <w:sz w:val="18"/>
          <w:szCs w:val="18"/>
        </w:rPr>
        <w:t xml:space="preserve">project </w:t>
      </w:r>
      <w:r w:rsidRPr="00EC75B7">
        <w:rPr>
          <w:rFonts w:ascii="Verdana" w:hAnsi="Verdana"/>
          <w:color w:val="00AFEF"/>
          <w:sz w:val="18"/>
          <w:szCs w:val="18"/>
        </w:rPr>
        <w:t>area</w:t>
      </w:r>
    </w:p>
    <w:p w14:paraId="63AAD893" w14:textId="77777777" w:rsidR="008715BE" w:rsidRPr="00EC75B7" w:rsidRDefault="008715BE">
      <w:pPr>
        <w:pStyle w:val="BodyText"/>
        <w:spacing w:before="114"/>
        <w:rPr>
          <w:rFonts w:ascii="Verdana" w:hAnsi="Verdana"/>
          <w:b/>
        </w:rPr>
      </w:pPr>
    </w:p>
    <w:p w14:paraId="2C436FF2" w14:textId="77777777" w:rsidR="008715BE" w:rsidRPr="00EC75B7" w:rsidRDefault="00000000">
      <w:pPr>
        <w:pStyle w:val="BodyText"/>
        <w:spacing w:line="357" w:lineRule="auto"/>
        <w:ind w:left="57" w:right="432"/>
        <w:jc w:val="both"/>
        <w:rPr>
          <w:rFonts w:ascii="Verdana" w:hAnsi="Verdana"/>
        </w:rPr>
      </w:pPr>
      <w:r w:rsidRPr="00EC75B7">
        <w:rPr>
          <w:rFonts w:ascii="Verdana" w:hAnsi="Verdana"/>
        </w:rPr>
        <w:t>The main sources of noise in the Cerchezu commune are road traffic on county road DJ391 and communal roads DC13, DC16, DC17, DC18, and DC19, as well as construction/demolition activities involving the operation of machinery used in land development/assembly/concrete pouring works and vehicles transporting materials.</w:t>
      </w:r>
    </w:p>
    <w:p w14:paraId="322A6A03" w14:textId="77777777" w:rsidR="008715BE" w:rsidRPr="00EC75B7" w:rsidRDefault="00000000">
      <w:pPr>
        <w:pStyle w:val="BodyText"/>
        <w:spacing w:before="124" w:line="357" w:lineRule="auto"/>
        <w:ind w:left="57" w:right="434"/>
        <w:jc w:val="both"/>
        <w:rPr>
          <w:rFonts w:ascii="Verdana" w:hAnsi="Verdana"/>
        </w:rPr>
      </w:pPr>
      <w:r w:rsidRPr="00EC75B7">
        <w:rPr>
          <w:rFonts w:ascii="Verdana" w:hAnsi="Verdana"/>
        </w:rPr>
        <w:t>Noise pollution causes a whole range of effects on the human body, from mild auditory fatigue to severe neurotic conditions and even trauma to the auditory organ. Higher-frequency sounds are more dangerous than lower-frequency ones.</w:t>
      </w:r>
    </w:p>
    <w:p w14:paraId="2031B96D" w14:textId="77777777" w:rsidR="008715BE" w:rsidRPr="00EC75B7" w:rsidRDefault="00000000">
      <w:pPr>
        <w:pStyle w:val="BodyText"/>
        <w:spacing w:before="121" w:line="357" w:lineRule="auto"/>
        <w:ind w:left="57" w:right="418"/>
        <w:jc w:val="both"/>
        <w:rPr>
          <w:rFonts w:ascii="Verdana" w:hAnsi="Verdana"/>
        </w:rPr>
      </w:pPr>
      <w:r w:rsidRPr="00EC75B7">
        <w:rPr>
          <w:rFonts w:ascii="Verdana" w:hAnsi="Verdana"/>
        </w:rPr>
        <w:t xml:space="preserve">The legal framework for avoiding, preventing, or reducing harmful effects, including discomfort, caused by the exposure of the population to environmental noise is represented by </w:t>
      </w:r>
      <w:r w:rsidRPr="00EC75B7">
        <w:rPr>
          <w:rFonts w:ascii="Verdana" w:hAnsi="Verdana"/>
          <w:i/>
        </w:rPr>
        <w:t xml:space="preserve">Law No. 121/2019 on the assessment and management of environmental noise, with subsequent amendments and additions, </w:t>
      </w:r>
      <w:r w:rsidRPr="00EC75B7">
        <w:rPr>
          <w:rFonts w:ascii="Verdana" w:hAnsi="Verdana"/>
        </w:rPr>
        <w:t>which provides for noise mapping to determine exposure to environmental noise and the adoption of action plans to prevent and reduce environmental noise, where appropriate, and for maintaining ambient noise levels below the limit values where these are not exceeded.</w:t>
      </w:r>
    </w:p>
    <w:p w14:paraId="2EA35740" w14:textId="77777777" w:rsidR="008715BE" w:rsidRPr="00EC75B7" w:rsidRDefault="00000000">
      <w:pPr>
        <w:pStyle w:val="BodyText"/>
        <w:spacing w:before="125" w:line="360" w:lineRule="auto"/>
        <w:ind w:left="57" w:right="432"/>
        <w:jc w:val="both"/>
        <w:rPr>
          <w:rFonts w:ascii="Verdana" w:hAnsi="Verdana"/>
        </w:rPr>
      </w:pPr>
      <w:r w:rsidRPr="00EC75B7">
        <w:rPr>
          <w:rFonts w:ascii="Verdana" w:hAnsi="Verdana"/>
          <w:spacing w:val="-2"/>
        </w:rPr>
        <w:t xml:space="preserve">In Constanța County, noise mapping and the development of strategic noise maps and </w:t>
      </w:r>
      <w:r w:rsidRPr="00EC75B7">
        <w:rPr>
          <w:rFonts w:ascii="Verdana" w:hAnsi="Verdana"/>
        </w:rPr>
        <w:t>action</w:t>
      </w:r>
      <w:r w:rsidRPr="00EC75B7">
        <w:rPr>
          <w:rFonts w:ascii="Verdana" w:hAnsi="Verdana"/>
          <w:spacing w:val="-2"/>
        </w:rPr>
        <w:t xml:space="preserve"> plans </w:t>
      </w:r>
      <w:r w:rsidRPr="00EC75B7">
        <w:rPr>
          <w:rFonts w:ascii="Verdana" w:hAnsi="Verdana"/>
        </w:rPr>
        <w:t>were carried out between 2016 and 2024 as follows:</w:t>
      </w:r>
    </w:p>
    <w:p w14:paraId="4B57051F" w14:textId="77777777" w:rsidR="008715BE" w:rsidRPr="00EC75B7" w:rsidRDefault="00000000">
      <w:pPr>
        <w:pStyle w:val="ListParagraph"/>
        <w:numPr>
          <w:ilvl w:val="0"/>
          <w:numId w:val="85"/>
        </w:numPr>
        <w:tabs>
          <w:tab w:val="left" w:pos="797"/>
        </w:tabs>
        <w:spacing w:before="118" w:line="357" w:lineRule="auto"/>
        <w:ind w:right="472"/>
        <w:jc w:val="both"/>
        <w:rPr>
          <w:rFonts w:ascii="Verdana" w:hAnsi="Verdana"/>
          <w:sz w:val="18"/>
          <w:szCs w:val="18"/>
        </w:rPr>
      </w:pPr>
      <w:r w:rsidRPr="00EC75B7">
        <w:rPr>
          <w:rFonts w:ascii="Verdana" w:hAnsi="Verdana"/>
          <w:sz w:val="18"/>
          <w:szCs w:val="18"/>
        </w:rPr>
        <w:t>The Constanța City Hall drew up strategic noise maps for the municipality of Constanța in 2016, which were redrawn in 2018 for the municipality of Constanța, the Palazu Mare neighborhood, and the Mamaia resort, and updated in 2024 for the municipality of Constanța.</w:t>
      </w:r>
    </w:p>
    <w:p w14:paraId="646C4C0D" w14:textId="77777777" w:rsidR="008715BE" w:rsidRPr="00EC75B7" w:rsidRDefault="00000000">
      <w:pPr>
        <w:pStyle w:val="ListParagraph"/>
        <w:numPr>
          <w:ilvl w:val="0"/>
          <w:numId w:val="85"/>
        </w:numPr>
        <w:tabs>
          <w:tab w:val="left" w:pos="797"/>
        </w:tabs>
        <w:spacing w:before="2" w:line="357" w:lineRule="auto"/>
        <w:ind w:right="467"/>
        <w:jc w:val="both"/>
        <w:rPr>
          <w:rFonts w:ascii="Verdana" w:hAnsi="Verdana"/>
          <w:sz w:val="18"/>
          <w:szCs w:val="18"/>
        </w:rPr>
      </w:pPr>
      <w:r w:rsidRPr="00EC75B7">
        <w:rPr>
          <w:rFonts w:ascii="Verdana" w:hAnsi="Verdana"/>
          <w:sz w:val="18"/>
          <w:szCs w:val="18"/>
        </w:rPr>
        <w:t>The National Company "Administrația Porturilor Maritime" S.A. Constanța drew up strategic noise maps for the Port of Constanța in 2019. The strategic noise maps were approved by Order of the Minister of Transport No. 1245/05.09.2019. The noise action plan was approved by Order of the Minister of Transport No. 1246/05.09.2019;</w:t>
      </w:r>
    </w:p>
    <w:p w14:paraId="29AE8E1A" w14:textId="77777777" w:rsidR="008715BE" w:rsidRPr="00EC75B7" w:rsidRDefault="00000000">
      <w:pPr>
        <w:pStyle w:val="ListParagraph"/>
        <w:numPr>
          <w:ilvl w:val="0"/>
          <w:numId w:val="85"/>
        </w:numPr>
        <w:tabs>
          <w:tab w:val="left" w:pos="797"/>
        </w:tabs>
        <w:spacing w:before="4" w:line="357" w:lineRule="auto"/>
        <w:ind w:right="463"/>
        <w:jc w:val="both"/>
        <w:rPr>
          <w:rFonts w:ascii="Verdana" w:hAnsi="Verdana"/>
          <w:sz w:val="18"/>
          <w:szCs w:val="18"/>
        </w:rPr>
      </w:pPr>
      <w:r w:rsidRPr="00EC75B7">
        <w:rPr>
          <w:rFonts w:ascii="Verdana" w:hAnsi="Verdana"/>
          <w:sz w:val="18"/>
          <w:szCs w:val="18"/>
        </w:rPr>
        <w:t>The Ministry of Transport – National Railway Company "CFR" S.A., as administrator of the Palas – Saligny – 49 km railway section, drew up the strategic noise maps for 2016;</w:t>
      </w:r>
    </w:p>
    <w:p w14:paraId="288E4D32" w14:textId="77777777" w:rsidR="008715BE" w:rsidRPr="00EC75B7" w:rsidRDefault="00000000">
      <w:pPr>
        <w:pStyle w:val="ListParagraph"/>
        <w:numPr>
          <w:ilvl w:val="0"/>
          <w:numId w:val="85"/>
        </w:numPr>
        <w:tabs>
          <w:tab w:val="left" w:pos="797"/>
        </w:tabs>
        <w:spacing w:before="1" w:line="357" w:lineRule="auto"/>
        <w:ind w:right="470"/>
        <w:jc w:val="both"/>
        <w:rPr>
          <w:rFonts w:ascii="Verdana" w:hAnsi="Verdana"/>
          <w:sz w:val="18"/>
          <w:szCs w:val="18"/>
        </w:rPr>
      </w:pPr>
      <w:r w:rsidRPr="00EC75B7">
        <w:rPr>
          <w:rFonts w:ascii="Verdana" w:hAnsi="Verdana"/>
          <w:sz w:val="18"/>
          <w:szCs w:val="18"/>
        </w:rPr>
        <w:t>In 2017, the National Road Infrastructure Administration Company drew up strategic noise maps for main roads with traffic exceeding 6,000,000 vehicles per year: motorways, national roads, and bypasses.</w:t>
      </w:r>
    </w:p>
    <w:p w14:paraId="76343128" w14:textId="77777777" w:rsidR="008715BE" w:rsidRPr="00EC75B7" w:rsidRDefault="00000000">
      <w:pPr>
        <w:pStyle w:val="BodyText"/>
        <w:spacing w:before="122"/>
        <w:ind w:left="57"/>
        <w:rPr>
          <w:rFonts w:ascii="Verdana" w:hAnsi="Verdana"/>
        </w:rPr>
      </w:pPr>
      <w:r w:rsidRPr="00EC75B7">
        <w:rPr>
          <w:rFonts w:ascii="Verdana" w:hAnsi="Verdana"/>
        </w:rPr>
        <w:t xml:space="preserve">The coverage area of the strategic noise maps drawn up at county level does not include the area </w:t>
      </w:r>
      <w:r w:rsidRPr="00EC75B7">
        <w:rPr>
          <w:rFonts w:ascii="Verdana" w:hAnsi="Verdana"/>
          <w:spacing w:val="-2"/>
        </w:rPr>
        <w:t>of the commune of</w:t>
      </w:r>
    </w:p>
    <w:p w14:paraId="4B4EBC00" w14:textId="77777777" w:rsidR="008715BE" w:rsidRPr="00EC75B7" w:rsidRDefault="00000000">
      <w:pPr>
        <w:pStyle w:val="BodyText"/>
        <w:spacing w:before="109"/>
        <w:ind w:left="57"/>
        <w:rPr>
          <w:rFonts w:ascii="Verdana" w:hAnsi="Verdana"/>
        </w:rPr>
      </w:pPr>
      <w:r w:rsidRPr="00EC75B7">
        <w:rPr>
          <w:rFonts w:ascii="Verdana" w:hAnsi="Verdana"/>
          <w:spacing w:val="-2"/>
        </w:rPr>
        <w:t>Cerchezu.</w:t>
      </w:r>
    </w:p>
    <w:p w14:paraId="268F1834" w14:textId="77777777" w:rsidR="008715BE" w:rsidRPr="00EC75B7" w:rsidRDefault="008715BE">
      <w:pPr>
        <w:pStyle w:val="BodyText"/>
        <w:spacing w:before="7"/>
        <w:rPr>
          <w:rFonts w:ascii="Verdana" w:hAnsi="Verdana"/>
        </w:rPr>
      </w:pPr>
    </w:p>
    <w:p w14:paraId="5AA05250" w14:textId="77777777" w:rsidR="008715BE" w:rsidRPr="00EC75B7" w:rsidRDefault="00000000">
      <w:pPr>
        <w:spacing w:line="360" w:lineRule="auto"/>
        <w:ind w:left="86" w:right="419"/>
        <w:jc w:val="both"/>
        <w:rPr>
          <w:rFonts w:ascii="Verdana" w:hAnsi="Verdana"/>
          <w:b/>
          <w:sz w:val="18"/>
          <w:szCs w:val="18"/>
        </w:rPr>
      </w:pPr>
      <w:r w:rsidRPr="00EC75B7">
        <w:rPr>
          <w:rFonts w:ascii="Verdana" w:hAnsi="Verdana"/>
          <w:b/>
          <w:sz w:val="18"/>
          <w:szCs w:val="18"/>
        </w:rPr>
        <w:t>Considering the above and taking into account that the Cerchezu commune is an open rural area, uncluttered by urban buildings, without industrial activities and without heavy traffic on internal roads and roads connecting it to other localities, it can be concluded that the noise level in the commune is low.</w:t>
      </w:r>
    </w:p>
    <w:p w14:paraId="5382B595" w14:textId="77777777" w:rsidR="008715BE" w:rsidRPr="00EC75B7" w:rsidRDefault="008715BE">
      <w:pPr>
        <w:spacing w:line="360" w:lineRule="auto"/>
        <w:jc w:val="both"/>
        <w:rPr>
          <w:rFonts w:ascii="Verdana" w:hAnsi="Verdana"/>
          <w:b/>
          <w:sz w:val="18"/>
          <w:szCs w:val="18"/>
        </w:rPr>
        <w:sectPr w:rsidR="008715BE" w:rsidRPr="00EC75B7">
          <w:pgSz w:w="11910" w:h="16840"/>
          <w:pgMar w:top="1320" w:right="566" w:bottom="1020" w:left="1133" w:header="766" w:footer="799" w:gutter="0"/>
          <w:cols w:space="708"/>
        </w:sectPr>
      </w:pPr>
    </w:p>
    <w:p w14:paraId="587CEBE5" w14:textId="77777777" w:rsidR="008715BE" w:rsidRPr="00EC75B7" w:rsidRDefault="00000000">
      <w:pPr>
        <w:pStyle w:val="Heading2"/>
        <w:numPr>
          <w:ilvl w:val="1"/>
          <w:numId w:val="110"/>
        </w:numPr>
        <w:tabs>
          <w:tab w:val="left" w:pos="835"/>
        </w:tabs>
        <w:spacing w:before="102"/>
        <w:ind w:hanging="720"/>
        <w:jc w:val="left"/>
        <w:rPr>
          <w:rFonts w:ascii="Verdana" w:hAnsi="Verdana"/>
          <w:color w:val="00AFEF"/>
          <w:sz w:val="18"/>
          <w:szCs w:val="18"/>
        </w:rPr>
      </w:pPr>
      <w:bookmarkStart w:id="59" w:name="_bookmark60"/>
      <w:bookmarkEnd w:id="59"/>
      <w:r w:rsidRPr="00EC75B7">
        <w:rPr>
          <w:rFonts w:ascii="Verdana" w:hAnsi="Verdana"/>
          <w:color w:val="00AFEF"/>
          <w:sz w:val="18"/>
          <w:szCs w:val="18"/>
        </w:rPr>
        <w:lastRenderedPageBreak/>
        <w:t xml:space="preserve">Cultural conditions and </w:t>
      </w:r>
      <w:r w:rsidRPr="00EC75B7">
        <w:rPr>
          <w:rFonts w:ascii="Verdana" w:hAnsi="Verdana"/>
          <w:color w:val="00AFEF"/>
          <w:spacing w:val="-2"/>
          <w:sz w:val="18"/>
          <w:szCs w:val="18"/>
        </w:rPr>
        <w:t xml:space="preserve">cultural </w:t>
      </w:r>
      <w:r w:rsidRPr="00EC75B7">
        <w:rPr>
          <w:rFonts w:ascii="Verdana" w:hAnsi="Verdana"/>
          <w:color w:val="00AFEF"/>
          <w:sz w:val="18"/>
          <w:szCs w:val="18"/>
        </w:rPr>
        <w:t>heritage</w:t>
      </w:r>
    </w:p>
    <w:p w14:paraId="4B729711" w14:textId="77777777" w:rsidR="008715BE" w:rsidRPr="00EC75B7" w:rsidRDefault="00000000">
      <w:pPr>
        <w:pStyle w:val="Heading3"/>
        <w:numPr>
          <w:ilvl w:val="2"/>
          <w:numId w:val="110"/>
        </w:numPr>
        <w:tabs>
          <w:tab w:val="left" w:pos="1766"/>
        </w:tabs>
        <w:spacing w:before="133"/>
        <w:ind w:left="1766" w:hanging="715"/>
        <w:rPr>
          <w:rFonts w:ascii="Verdana" w:hAnsi="Verdana"/>
          <w:i/>
          <w:color w:val="00AFEF"/>
          <w:sz w:val="18"/>
          <w:szCs w:val="18"/>
        </w:rPr>
      </w:pPr>
      <w:bookmarkStart w:id="60" w:name="_bookmark61"/>
      <w:bookmarkEnd w:id="60"/>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061A5014" w14:textId="77777777" w:rsidR="008715BE" w:rsidRPr="00EC75B7" w:rsidRDefault="008715BE">
      <w:pPr>
        <w:pStyle w:val="BodyText"/>
        <w:spacing w:before="113"/>
        <w:rPr>
          <w:rFonts w:ascii="Verdana" w:hAnsi="Verdana"/>
          <w:b/>
        </w:rPr>
      </w:pPr>
    </w:p>
    <w:p w14:paraId="3A7ECE22" w14:textId="77777777" w:rsidR="008715BE" w:rsidRPr="00EC75B7" w:rsidRDefault="00000000">
      <w:pPr>
        <w:pStyle w:val="BodyText"/>
        <w:spacing w:before="1" w:line="357" w:lineRule="auto"/>
        <w:ind w:left="86" w:right="430"/>
        <w:jc w:val="both"/>
        <w:rPr>
          <w:rFonts w:ascii="Verdana" w:hAnsi="Verdana"/>
        </w:rPr>
      </w:pPr>
      <w:r w:rsidRPr="00EC75B7">
        <w:rPr>
          <w:rFonts w:ascii="Verdana" w:hAnsi="Verdana"/>
        </w:rPr>
        <w:t>The study area for the assessment of cultural heritage was defined to include the project site and its area of direct and indirect influence, taking into account the type and scale of the proposed works, as well as potential interactions with elements of tangible and intangible cultural heritage.</w:t>
      </w:r>
    </w:p>
    <w:p w14:paraId="2DB6B10A" w14:textId="77777777" w:rsidR="008715BE" w:rsidRPr="00EC75B7" w:rsidRDefault="00000000">
      <w:pPr>
        <w:pStyle w:val="BodyText"/>
        <w:spacing w:before="121" w:line="357" w:lineRule="auto"/>
        <w:ind w:left="57" w:right="425"/>
        <w:jc w:val="both"/>
        <w:rPr>
          <w:rFonts w:ascii="Verdana" w:hAnsi="Verdana"/>
        </w:rPr>
      </w:pPr>
      <w:r w:rsidRPr="00EC75B7">
        <w:rPr>
          <w:rFonts w:ascii="Verdana" w:hAnsi="Verdana"/>
        </w:rPr>
        <w:t>For tangible cultural heritage, the study area includes the area occupied by permanent and temporary works, as well as a proximity area around the site where indirect effects (e.g., vibrations, landscape changes, access) could occur. For intangible cultural heritage, the analysis considered the entire local community in the commune of Cerchezu, given that these elements are linked to social practices, traditions, and community life.</w:t>
      </w:r>
    </w:p>
    <w:p w14:paraId="54B2996F" w14:textId="77777777" w:rsidR="008715BE" w:rsidRPr="00EC75B7" w:rsidRDefault="00000000">
      <w:pPr>
        <w:pStyle w:val="BodyText"/>
        <w:spacing w:before="125" w:line="357" w:lineRule="auto"/>
        <w:ind w:left="57" w:right="433"/>
        <w:jc w:val="both"/>
        <w:rPr>
          <w:rFonts w:ascii="Verdana" w:hAnsi="Verdana"/>
        </w:rPr>
      </w:pPr>
      <w:r w:rsidRPr="00EC75B7">
        <w:rPr>
          <w:rFonts w:ascii="Verdana" w:hAnsi="Verdana"/>
        </w:rPr>
        <w:t>The study area was defined based on information available from official cultural heritage databases, existing specialist documentation, and local characteristics of the territory, ensuring a proportional and adequate assessment of the potential risks associated with the project.</w:t>
      </w:r>
    </w:p>
    <w:p w14:paraId="62B51821" w14:textId="77777777" w:rsidR="008715BE" w:rsidRPr="00EC75B7" w:rsidRDefault="008715BE">
      <w:pPr>
        <w:pStyle w:val="BodyText"/>
        <w:spacing w:before="25"/>
        <w:rPr>
          <w:rFonts w:ascii="Verdana" w:hAnsi="Verdana"/>
        </w:rPr>
      </w:pPr>
    </w:p>
    <w:p w14:paraId="586B9DE7" w14:textId="77777777" w:rsidR="008715BE" w:rsidRPr="00EC75B7" w:rsidRDefault="00000000">
      <w:pPr>
        <w:pStyle w:val="Heading3"/>
        <w:numPr>
          <w:ilvl w:val="2"/>
          <w:numId w:val="110"/>
        </w:numPr>
        <w:tabs>
          <w:tab w:val="left" w:pos="1766"/>
        </w:tabs>
        <w:ind w:left="1766" w:hanging="715"/>
        <w:rPr>
          <w:rFonts w:ascii="Verdana" w:hAnsi="Verdana"/>
          <w:i/>
          <w:color w:val="00AFEF"/>
          <w:sz w:val="18"/>
          <w:szCs w:val="18"/>
        </w:rPr>
      </w:pPr>
      <w:bookmarkStart w:id="61" w:name="_bookmark62"/>
      <w:bookmarkEnd w:id="61"/>
      <w:r w:rsidRPr="00EC75B7">
        <w:rPr>
          <w:rFonts w:ascii="Verdana" w:hAnsi="Verdana"/>
          <w:color w:val="00AFEF"/>
          <w:sz w:val="18"/>
          <w:szCs w:val="18"/>
        </w:rPr>
        <w:t xml:space="preserve">Description of the project in relation to </w:t>
      </w:r>
      <w:r w:rsidRPr="00EC75B7">
        <w:rPr>
          <w:rFonts w:ascii="Verdana" w:hAnsi="Verdana"/>
          <w:color w:val="00AFEF"/>
          <w:spacing w:val="-2"/>
          <w:sz w:val="18"/>
          <w:szCs w:val="18"/>
        </w:rPr>
        <w:t xml:space="preserve">cultural </w:t>
      </w:r>
      <w:r w:rsidRPr="00EC75B7">
        <w:rPr>
          <w:rFonts w:ascii="Verdana" w:hAnsi="Verdana"/>
          <w:color w:val="00AFEF"/>
          <w:sz w:val="18"/>
          <w:szCs w:val="18"/>
        </w:rPr>
        <w:t>heritage elements</w:t>
      </w:r>
    </w:p>
    <w:p w14:paraId="339580AF" w14:textId="77777777" w:rsidR="008715BE" w:rsidRPr="00EC75B7" w:rsidRDefault="008715BE">
      <w:pPr>
        <w:pStyle w:val="BodyText"/>
        <w:spacing w:before="114"/>
        <w:rPr>
          <w:rFonts w:ascii="Verdana" w:hAnsi="Verdana"/>
          <w:b/>
        </w:rPr>
      </w:pPr>
    </w:p>
    <w:p w14:paraId="09768448" w14:textId="77777777" w:rsidR="008715BE" w:rsidRPr="00EC75B7" w:rsidRDefault="00000000">
      <w:pPr>
        <w:pStyle w:val="BodyText"/>
        <w:spacing w:line="357" w:lineRule="auto"/>
        <w:ind w:left="86" w:right="421"/>
        <w:jc w:val="both"/>
        <w:rPr>
          <w:rFonts w:ascii="Verdana" w:hAnsi="Verdana"/>
        </w:rPr>
      </w:pPr>
      <w:r w:rsidRPr="00EC75B7">
        <w:rPr>
          <w:rFonts w:ascii="Verdana" w:hAnsi="Verdana"/>
        </w:rPr>
        <w:t>According to the 2015 List of Historical Monuments in Constanța County, approved by Order No. 2361/2010, the following site of historical interest has been identified in the proposed project area.</w:t>
      </w:r>
    </w:p>
    <w:p w14:paraId="22BD754E" w14:textId="77777777" w:rsidR="008715BE" w:rsidRPr="00EC75B7" w:rsidRDefault="00000000">
      <w:pPr>
        <w:spacing w:before="171"/>
        <w:ind w:left="57"/>
        <w:rPr>
          <w:rFonts w:ascii="Verdana" w:hAnsi="Verdana"/>
          <w:b/>
          <w:sz w:val="18"/>
          <w:szCs w:val="18"/>
        </w:rPr>
      </w:pPr>
      <w:r w:rsidRPr="00EC75B7">
        <w:rPr>
          <w:rFonts w:ascii="Verdana" w:hAnsi="Verdana"/>
          <w:b/>
          <w:color w:val="00AFEF"/>
          <w:sz w:val="18"/>
          <w:szCs w:val="18"/>
        </w:rPr>
        <w:t xml:space="preserve">Table 18 </w:t>
      </w:r>
      <w:r w:rsidRPr="00EC75B7">
        <w:rPr>
          <w:rFonts w:ascii="Verdana" w:hAnsi="Verdana"/>
          <w:b/>
          <w:color w:val="009DEF"/>
          <w:sz w:val="18"/>
          <w:szCs w:val="18"/>
        </w:rPr>
        <w:t xml:space="preserve">Sites of interest in the </w:t>
      </w:r>
      <w:r w:rsidRPr="00EC75B7">
        <w:rPr>
          <w:rFonts w:ascii="Verdana" w:hAnsi="Verdana"/>
          <w:b/>
          <w:color w:val="009DEF"/>
          <w:spacing w:val="-2"/>
          <w:sz w:val="18"/>
          <w:szCs w:val="18"/>
        </w:rPr>
        <w:t>project</w:t>
      </w:r>
      <w:r w:rsidRPr="00EC75B7">
        <w:rPr>
          <w:rFonts w:ascii="Verdana" w:hAnsi="Verdana"/>
          <w:b/>
          <w:color w:val="009DEF"/>
          <w:sz w:val="18"/>
          <w:szCs w:val="18"/>
        </w:rPr>
        <w:t xml:space="preserve"> location area</w:t>
      </w:r>
    </w:p>
    <w:tbl>
      <w:tblPr>
        <w:tblStyle w:val="TableNormal1"/>
        <w:tblW w:w="0" w:type="auto"/>
        <w:tblInd w:w="67"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2266"/>
        <w:gridCol w:w="2266"/>
        <w:gridCol w:w="3120"/>
        <w:gridCol w:w="1411"/>
      </w:tblGrid>
      <w:tr w:rsidR="008715BE" w:rsidRPr="00EC75B7" w14:paraId="5FDFEE65" w14:textId="77777777">
        <w:trPr>
          <w:trHeight w:val="193"/>
        </w:trPr>
        <w:tc>
          <w:tcPr>
            <w:tcW w:w="2266" w:type="dxa"/>
            <w:shd w:val="clear" w:color="auto" w:fill="00AFEF"/>
          </w:tcPr>
          <w:p w14:paraId="5949FF2F" w14:textId="77777777" w:rsidR="008715BE" w:rsidRPr="00EC75B7" w:rsidRDefault="00000000">
            <w:pPr>
              <w:pStyle w:val="TableParagraph"/>
              <w:spacing w:line="174" w:lineRule="exact"/>
              <w:ind w:left="25" w:right="17"/>
              <w:jc w:val="center"/>
              <w:rPr>
                <w:rFonts w:ascii="Verdana" w:hAnsi="Verdana"/>
                <w:b/>
                <w:sz w:val="18"/>
                <w:szCs w:val="18"/>
              </w:rPr>
            </w:pPr>
            <w:r w:rsidRPr="00EC75B7">
              <w:rPr>
                <w:rFonts w:ascii="Verdana" w:hAnsi="Verdana"/>
                <w:b/>
                <w:color w:val="FFFFFF"/>
                <w:spacing w:val="-5"/>
                <w:sz w:val="18"/>
                <w:szCs w:val="18"/>
              </w:rPr>
              <w:t xml:space="preserve">LMI </w:t>
            </w:r>
            <w:r w:rsidRPr="00EC75B7">
              <w:rPr>
                <w:rFonts w:ascii="Verdana" w:hAnsi="Verdana"/>
                <w:b/>
                <w:color w:val="FFFFFF"/>
                <w:sz w:val="18"/>
                <w:szCs w:val="18"/>
              </w:rPr>
              <w:t>code</w:t>
            </w:r>
          </w:p>
        </w:tc>
        <w:tc>
          <w:tcPr>
            <w:tcW w:w="2266" w:type="dxa"/>
            <w:shd w:val="clear" w:color="auto" w:fill="00AFEF"/>
          </w:tcPr>
          <w:p w14:paraId="06CFA3B7" w14:textId="77777777" w:rsidR="008715BE" w:rsidRPr="00EC75B7" w:rsidRDefault="00000000">
            <w:pPr>
              <w:pStyle w:val="TableParagraph"/>
              <w:spacing w:line="174" w:lineRule="exact"/>
              <w:ind w:left="691"/>
              <w:rPr>
                <w:rFonts w:ascii="Verdana" w:hAnsi="Verdana"/>
                <w:b/>
                <w:sz w:val="18"/>
                <w:szCs w:val="18"/>
              </w:rPr>
            </w:pPr>
            <w:r w:rsidRPr="00EC75B7">
              <w:rPr>
                <w:rFonts w:ascii="Verdana" w:hAnsi="Verdana"/>
                <w:b/>
                <w:color w:val="FFFFFF"/>
                <w:spacing w:val="-2"/>
                <w:sz w:val="18"/>
                <w:szCs w:val="18"/>
              </w:rPr>
              <w:t>Location</w:t>
            </w:r>
          </w:p>
        </w:tc>
        <w:tc>
          <w:tcPr>
            <w:tcW w:w="3120" w:type="dxa"/>
            <w:shd w:val="clear" w:color="auto" w:fill="00AFEF"/>
          </w:tcPr>
          <w:p w14:paraId="66C85DB3" w14:textId="77777777" w:rsidR="008715BE" w:rsidRPr="00EC75B7" w:rsidRDefault="00000000">
            <w:pPr>
              <w:pStyle w:val="TableParagraph"/>
              <w:spacing w:line="174" w:lineRule="exact"/>
              <w:ind w:left="9"/>
              <w:jc w:val="center"/>
              <w:rPr>
                <w:rFonts w:ascii="Verdana" w:hAnsi="Verdana"/>
                <w:b/>
                <w:sz w:val="18"/>
                <w:szCs w:val="18"/>
              </w:rPr>
            </w:pPr>
            <w:r w:rsidRPr="00EC75B7">
              <w:rPr>
                <w:rFonts w:ascii="Verdana" w:hAnsi="Verdana"/>
                <w:b/>
                <w:color w:val="FFFFFF"/>
                <w:spacing w:val="-2"/>
                <w:sz w:val="18"/>
                <w:szCs w:val="18"/>
              </w:rPr>
              <w:t>Name</w:t>
            </w:r>
          </w:p>
        </w:tc>
        <w:tc>
          <w:tcPr>
            <w:tcW w:w="1411" w:type="dxa"/>
            <w:shd w:val="clear" w:color="auto" w:fill="00AFEF"/>
          </w:tcPr>
          <w:p w14:paraId="2FBF7B0A" w14:textId="77777777" w:rsidR="008715BE" w:rsidRPr="00EC75B7" w:rsidRDefault="00000000">
            <w:pPr>
              <w:pStyle w:val="TableParagraph"/>
              <w:spacing w:line="174" w:lineRule="exact"/>
              <w:ind w:left="403"/>
              <w:rPr>
                <w:rFonts w:ascii="Verdana" w:hAnsi="Verdana"/>
                <w:b/>
                <w:sz w:val="18"/>
                <w:szCs w:val="18"/>
              </w:rPr>
            </w:pPr>
            <w:r w:rsidRPr="00EC75B7">
              <w:rPr>
                <w:rFonts w:ascii="Verdana" w:hAnsi="Verdana"/>
                <w:b/>
                <w:color w:val="FFFFFF"/>
                <w:spacing w:val="-2"/>
                <w:sz w:val="18"/>
                <w:szCs w:val="18"/>
              </w:rPr>
              <w:t>Date</w:t>
            </w:r>
          </w:p>
        </w:tc>
      </w:tr>
      <w:tr w:rsidR="008715BE" w:rsidRPr="00EC75B7" w14:paraId="6E1F2517" w14:textId="77777777">
        <w:trPr>
          <w:trHeight w:val="390"/>
        </w:trPr>
        <w:tc>
          <w:tcPr>
            <w:tcW w:w="2266" w:type="dxa"/>
          </w:tcPr>
          <w:p w14:paraId="2CC988A3"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CT-IV-m-B-02967</w:t>
            </w:r>
          </w:p>
        </w:tc>
        <w:tc>
          <w:tcPr>
            <w:tcW w:w="2266" w:type="dxa"/>
          </w:tcPr>
          <w:p w14:paraId="4A8B96E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VIROAGA village; </w:t>
            </w:r>
            <w:r w:rsidRPr="00EC75B7">
              <w:rPr>
                <w:rFonts w:ascii="Verdana" w:hAnsi="Verdana"/>
                <w:spacing w:val="-2"/>
                <w:sz w:val="18"/>
                <w:szCs w:val="18"/>
              </w:rPr>
              <w:t>commune</w:t>
            </w:r>
          </w:p>
          <w:p w14:paraId="6829E766" w14:textId="77777777" w:rsidR="008715BE" w:rsidRPr="00EC75B7" w:rsidRDefault="00000000">
            <w:pPr>
              <w:pStyle w:val="TableParagraph"/>
              <w:spacing w:line="177" w:lineRule="exact"/>
              <w:ind w:left="107"/>
              <w:rPr>
                <w:rFonts w:ascii="Verdana" w:hAnsi="Verdana"/>
                <w:sz w:val="18"/>
                <w:szCs w:val="18"/>
              </w:rPr>
            </w:pPr>
            <w:r w:rsidRPr="00EC75B7">
              <w:rPr>
                <w:rFonts w:ascii="Verdana" w:hAnsi="Verdana"/>
                <w:spacing w:val="-2"/>
                <w:sz w:val="18"/>
                <w:szCs w:val="18"/>
              </w:rPr>
              <w:t>CERCHEZU</w:t>
            </w:r>
          </w:p>
        </w:tc>
        <w:tc>
          <w:tcPr>
            <w:tcW w:w="3120" w:type="dxa"/>
          </w:tcPr>
          <w:p w14:paraId="2A9F2413"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Obelisk in memory </w:t>
            </w:r>
            <w:r w:rsidRPr="00EC75B7">
              <w:rPr>
                <w:rFonts w:ascii="Verdana" w:hAnsi="Verdana"/>
                <w:spacing w:val="-5"/>
                <w:sz w:val="18"/>
                <w:szCs w:val="18"/>
              </w:rPr>
              <w:t xml:space="preserve">of </w:t>
            </w:r>
            <w:r w:rsidRPr="00EC75B7">
              <w:rPr>
                <w:rFonts w:ascii="Verdana" w:hAnsi="Verdana"/>
                <w:sz w:val="18"/>
                <w:szCs w:val="18"/>
              </w:rPr>
              <w:t xml:space="preserve">the heroes </w:t>
            </w:r>
            <w:r w:rsidRPr="00EC75B7">
              <w:rPr>
                <w:rFonts w:ascii="Verdana" w:hAnsi="Verdana"/>
                <w:spacing w:val="-5"/>
                <w:sz w:val="18"/>
                <w:szCs w:val="18"/>
              </w:rPr>
              <w:t>of</w:t>
            </w:r>
          </w:p>
          <w:p w14:paraId="3637B595" w14:textId="77777777" w:rsidR="008715BE" w:rsidRPr="00EC75B7" w:rsidRDefault="00000000">
            <w:pPr>
              <w:pStyle w:val="TableParagraph"/>
              <w:spacing w:line="177" w:lineRule="exact"/>
              <w:ind w:left="107"/>
              <w:rPr>
                <w:rFonts w:ascii="Verdana" w:hAnsi="Verdana"/>
                <w:sz w:val="18"/>
                <w:szCs w:val="18"/>
              </w:rPr>
            </w:pPr>
            <w:r w:rsidRPr="00EC75B7">
              <w:rPr>
                <w:rFonts w:ascii="Verdana" w:hAnsi="Verdana"/>
                <w:spacing w:val="-2"/>
                <w:sz w:val="18"/>
                <w:szCs w:val="18"/>
              </w:rPr>
              <w:t xml:space="preserve">World </w:t>
            </w:r>
            <w:r w:rsidRPr="00EC75B7">
              <w:rPr>
                <w:rFonts w:ascii="Verdana" w:hAnsi="Verdana"/>
                <w:sz w:val="18"/>
                <w:szCs w:val="18"/>
              </w:rPr>
              <w:t>War I</w:t>
            </w:r>
          </w:p>
        </w:tc>
        <w:tc>
          <w:tcPr>
            <w:tcW w:w="1411" w:type="dxa"/>
          </w:tcPr>
          <w:p w14:paraId="123DF650"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pacing w:val="-4"/>
                <w:sz w:val="18"/>
                <w:szCs w:val="18"/>
              </w:rPr>
              <w:t>1936</w:t>
            </w:r>
          </w:p>
        </w:tc>
      </w:tr>
    </w:tbl>
    <w:p w14:paraId="3BDECEE1" w14:textId="77777777" w:rsidR="008715BE" w:rsidRPr="00EC75B7" w:rsidRDefault="008715BE">
      <w:pPr>
        <w:pStyle w:val="BodyText"/>
        <w:rPr>
          <w:rFonts w:ascii="Verdana" w:hAnsi="Verdana"/>
          <w:b/>
        </w:rPr>
      </w:pPr>
    </w:p>
    <w:p w14:paraId="6DB35A63" w14:textId="77777777" w:rsidR="008715BE" w:rsidRPr="00EC75B7" w:rsidRDefault="008715BE">
      <w:pPr>
        <w:pStyle w:val="BodyText"/>
        <w:spacing w:before="57"/>
        <w:rPr>
          <w:rFonts w:ascii="Verdana" w:hAnsi="Verdana"/>
          <w:b/>
        </w:rPr>
      </w:pPr>
    </w:p>
    <w:p w14:paraId="149F8134" w14:textId="77777777" w:rsidR="008715BE" w:rsidRPr="00EC75B7" w:rsidRDefault="00000000">
      <w:pPr>
        <w:pStyle w:val="BodyText"/>
        <w:ind w:left="86"/>
        <w:rPr>
          <w:rFonts w:ascii="Verdana" w:hAnsi="Verdana"/>
        </w:rPr>
      </w:pPr>
      <w:r w:rsidRPr="00EC75B7">
        <w:rPr>
          <w:rFonts w:ascii="Verdana" w:hAnsi="Verdana"/>
        </w:rPr>
        <w:t xml:space="preserve">Also, in the project area, there are precisely located archaeological sites that are not included in </w:t>
      </w:r>
      <w:r w:rsidRPr="00EC75B7">
        <w:rPr>
          <w:rFonts w:ascii="Verdana" w:hAnsi="Verdana"/>
          <w:spacing w:val="-2"/>
        </w:rPr>
        <w:t>the List of Historical Monuments, but have been identified with the help of the National Archaeological Repertory.</w:t>
      </w:r>
    </w:p>
    <w:p w14:paraId="462C5778" w14:textId="77777777" w:rsidR="008715BE" w:rsidRPr="00EC75B7" w:rsidRDefault="00000000">
      <w:pPr>
        <w:pStyle w:val="BodyText"/>
        <w:spacing w:before="109"/>
        <w:ind w:left="86"/>
        <w:rPr>
          <w:rFonts w:ascii="Verdana" w:hAnsi="Verdana"/>
        </w:rPr>
      </w:pPr>
      <w:r w:rsidRPr="00EC75B7">
        <w:rPr>
          <w:rFonts w:ascii="Verdana" w:hAnsi="Verdana"/>
        </w:rPr>
        <w:t xml:space="preserve">of Historical Monuments, but have been identified with the help of the National Archaeological Repertory. These </w:t>
      </w:r>
      <w:r w:rsidRPr="00EC75B7">
        <w:rPr>
          <w:rFonts w:ascii="Verdana" w:hAnsi="Verdana"/>
          <w:spacing w:val="-2"/>
        </w:rPr>
        <w:t>are:</w:t>
      </w:r>
    </w:p>
    <w:p w14:paraId="2E247D8C" w14:textId="77777777" w:rsidR="008715BE" w:rsidRPr="00EC75B7" w:rsidRDefault="008715BE">
      <w:pPr>
        <w:pStyle w:val="BodyText"/>
        <w:spacing w:before="9"/>
        <w:rPr>
          <w:rFonts w:ascii="Verdana" w:hAnsi="Verdana"/>
        </w:rPr>
      </w:pPr>
    </w:p>
    <w:p w14:paraId="48F12D5D" w14:textId="77777777" w:rsidR="008715BE" w:rsidRPr="00EC75B7" w:rsidRDefault="00000000">
      <w:pPr>
        <w:pStyle w:val="ListParagraph"/>
        <w:numPr>
          <w:ilvl w:val="1"/>
          <w:numId w:val="85"/>
        </w:numPr>
        <w:tabs>
          <w:tab w:val="left" w:pos="908"/>
        </w:tabs>
        <w:ind w:left="908" w:hanging="284"/>
        <w:rPr>
          <w:rFonts w:ascii="Verdana" w:hAnsi="Verdana"/>
          <w:sz w:val="18"/>
          <w:szCs w:val="18"/>
        </w:rPr>
      </w:pPr>
      <w:r w:rsidRPr="00EC75B7">
        <w:rPr>
          <w:rFonts w:ascii="Verdana" w:hAnsi="Verdana"/>
          <w:sz w:val="18"/>
          <w:szCs w:val="18"/>
        </w:rPr>
        <w:t xml:space="preserve">Villa rustica in Viroaga - Viroaga village, </w:t>
      </w:r>
      <w:r w:rsidRPr="00EC75B7">
        <w:rPr>
          <w:rFonts w:ascii="Verdana" w:hAnsi="Verdana"/>
          <w:spacing w:val="-2"/>
          <w:sz w:val="18"/>
          <w:szCs w:val="18"/>
        </w:rPr>
        <w:t xml:space="preserve">CERCHEZU </w:t>
      </w:r>
      <w:r w:rsidRPr="00EC75B7">
        <w:rPr>
          <w:rFonts w:ascii="Verdana" w:hAnsi="Verdana"/>
          <w:sz w:val="18"/>
          <w:szCs w:val="18"/>
        </w:rPr>
        <w:t>commune</w:t>
      </w:r>
    </w:p>
    <w:p w14:paraId="676629E4" w14:textId="77777777" w:rsidR="008715BE" w:rsidRPr="00EC75B7" w:rsidRDefault="00000000">
      <w:pPr>
        <w:pStyle w:val="ListParagraph"/>
        <w:numPr>
          <w:ilvl w:val="1"/>
          <w:numId w:val="85"/>
        </w:numPr>
        <w:tabs>
          <w:tab w:val="left" w:pos="908"/>
        </w:tabs>
        <w:spacing w:before="109"/>
        <w:ind w:left="908" w:hanging="284"/>
        <w:rPr>
          <w:rFonts w:ascii="Verdana" w:hAnsi="Verdana"/>
          <w:sz w:val="18"/>
          <w:szCs w:val="18"/>
        </w:rPr>
      </w:pPr>
      <w:r w:rsidRPr="00EC75B7">
        <w:rPr>
          <w:rFonts w:ascii="Verdana" w:hAnsi="Verdana"/>
          <w:sz w:val="18"/>
          <w:szCs w:val="18"/>
        </w:rPr>
        <w:t xml:space="preserve">The Tumulus at Căscioarele - Movila Bacu - village of Căscioarele, commune </w:t>
      </w:r>
      <w:r w:rsidRPr="00EC75B7">
        <w:rPr>
          <w:rFonts w:ascii="Verdana" w:hAnsi="Verdana"/>
          <w:spacing w:val="-2"/>
          <w:sz w:val="18"/>
          <w:szCs w:val="18"/>
        </w:rPr>
        <w:t>of CERCHEZU</w:t>
      </w:r>
    </w:p>
    <w:p w14:paraId="5561F940" w14:textId="77777777" w:rsidR="008715BE" w:rsidRPr="00EC75B7" w:rsidRDefault="00000000">
      <w:pPr>
        <w:pStyle w:val="ListParagraph"/>
        <w:numPr>
          <w:ilvl w:val="1"/>
          <w:numId w:val="85"/>
        </w:numPr>
        <w:tabs>
          <w:tab w:val="left" w:pos="908"/>
        </w:tabs>
        <w:spacing w:before="107"/>
        <w:ind w:left="908" w:hanging="284"/>
        <w:rPr>
          <w:rFonts w:ascii="Verdana" w:hAnsi="Verdana"/>
          <w:sz w:val="18"/>
          <w:szCs w:val="18"/>
        </w:rPr>
      </w:pPr>
      <w:r w:rsidRPr="00EC75B7">
        <w:rPr>
          <w:rFonts w:ascii="Verdana" w:hAnsi="Verdana"/>
          <w:sz w:val="18"/>
          <w:szCs w:val="18"/>
        </w:rPr>
        <w:t xml:space="preserve">Legionary fort at Căscioarele - Căscioarele village, </w:t>
      </w:r>
      <w:r w:rsidRPr="00EC75B7">
        <w:rPr>
          <w:rFonts w:ascii="Verdana" w:hAnsi="Verdana"/>
          <w:spacing w:val="-2"/>
          <w:sz w:val="18"/>
          <w:szCs w:val="18"/>
        </w:rPr>
        <w:t xml:space="preserve">CERCHEZU </w:t>
      </w:r>
      <w:r w:rsidRPr="00EC75B7">
        <w:rPr>
          <w:rFonts w:ascii="Verdana" w:hAnsi="Verdana"/>
          <w:sz w:val="18"/>
          <w:szCs w:val="18"/>
        </w:rPr>
        <w:t>commune</w:t>
      </w:r>
    </w:p>
    <w:p w14:paraId="2AA3FBE5" w14:textId="77777777" w:rsidR="008715BE" w:rsidRPr="00EC75B7" w:rsidRDefault="008715BE">
      <w:pPr>
        <w:pStyle w:val="ListParagraph"/>
        <w:rPr>
          <w:rFonts w:ascii="Verdana" w:hAnsi="Verdana"/>
          <w:sz w:val="18"/>
          <w:szCs w:val="18"/>
        </w:rPr>
        <w:sectPr w:rsidR="008715BE" w:rsidRPr="00EC75B7">
          <w:pgSz w:w="11910" w:h="16840"/>
          <w:pgMar w:top="1320" w:right="566" w:bottom="1020" w:left="1133" w:header="766" w:footer="799" w:gutter="0"/>
          <w:cols w:space="708"/>
        </w:sectPr>
      </w:pPr>
    </w:p>
    <w:p w14:paraId="70034C64" w14:textId="77777777" w:rsidR="008715BE" w:rsidRPr="00EC75B7" w:rsidRDefault="008715BE">
      <w:pPr>
        <w:pStyle w:val="BodyText"/>
        <w:rPr>
          <w:rFonts w:ascii="Verdana" w:hAnsi="Verdana"/>
        </w:rPr>
      </w:pPr>
    </w:p>
    <w:p w14:paraId="49968E1D" w14:textId="234CABDC" w:rsidR="008715BE" w:rsidRPr="00EC75B7" w:rsidRDefault="009069FA" w:rsidP="009069FA">
      <w:pPr>
        <w:pStyle w:val="BodyText"/>
        <w:spacing w:before="35"/>
        <w:jc w:val="center"/>
        <w:rPr>
          <w:rFonts w:ascii="Verdana" w:hAnsi="Verdana"/>
        </w:rPr>
      </w:pPr>
      <w:r>
        <w:rPr>
          <w:noProof/>
        </w:rPr>
        <w:drawing>
          <wp:inline distT="0" distB="0" distL="0" distR="0" wp14:anchorId="0573B740" wp14:editId="53F4EE8A">
            <wp:extent cx="4643474" cy="3284220"/>
            <wp:effectExtent l="0" t="0" r="5080" b="0"/>
            <wp:docPr id="20801242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645219" cy="3285454"/>
                    </a:xfrm>
                    <a:prstGeom prst="rect">
                      <a:avLst/>
                    </a:prstGeom>
                    <a:noFill/>
                    <a:ln>
                      <a:noFill/>
                    </a:ln>
                  </pic:spPr>
                </pic:pic>
              </a:graphicData>
            </a:graphic>
          </wp:inline>
        </w:drawing>
      </w:r>
    </w:p>
    <w:p w14:paraId="2FD6DD0E" w14:textId="5FA1FBDE" w:rsidR="008715BE" w:rsidRPr="00EC75B7" w:rsidRDefault="008715BE">
      <w:pPr>
        <w:ind w:left="86"/>
        <w:rPr>
          <w:rFonts w:ascii="Verdana" w:hAnsi="Verdana"/>
          <w:sz w:val="18"/>
          <w:szCs w:val="18"/>
        </w:rPr>
      </w:pPr>
    </w:p>
    <w:p w14:paraId="60EB38DA" w14:textId="77777777" w:rsidR="008715BE" w:rsidRPr="00EC75B7" w:rsidRDefault="008715BE">
      <w:pPr>
        <w:pStyle w:val="BodyText"/>
        <w:spacing w:before="75"/>
        <w:rPr>
          <w:rFonts w:ascii="Verdana" w:hAnsi="Verdana"/>
        </w:rPr>
      </w:pPr>
    </w:p>
    <w:p w14:paraId="47509D70" w14:textId="0B5D3849" w:rsidR="008715BE" w:rsidRPr="00EC75B7" w:rsidRDefault="00000000" w:rsidP="001A36C7">
      <w:pPr>
        <w:ind w:left="665" w:right="1121"/>
        <w:jc w:val="both"/>
        <w:rPr>
          <w:rFonts w:ascii="Verdana" w:hAnsi="Verdana"/>
          <w:b/>
          <w:sz w:val="18"/>
          <w:szCs w:val="18"/>
        </w:rPr>
      </w:pPr>
      <w:r w:rsidRPr="00EC75B7">
        <w:rPr>
          <w:rFonts w:ascii="Verdana" w:hAnsi="Verdana"/>
          <w:b/>
          <w:color w:val="009DEF"/>
          <w:sz w:val="18"/>
          <w:szCs w:val="18"/>
        </w:rPr>
        <w:t xml:space="preserve">Figure no. 46 Map showing the location of the project in relation to sites of historical interest </w:t>
      </w:r>
      <w:r w:rsidRPr="00EC75B7">
        <w:rPr>
          <w:rFonts w:ascii="Verdana" w:hAnsi="Verdana"/>
          <w:b/>
          <w:color w:val="009DEF"/>
          <w:spacing w:val="-2"/>
          <w:sz w:val="18"/>
          <w:szCs w:val="18"/>
        </w:rPr>
        <w:t>(Repertoriul</w:t>
      </w:r>
      <w:r w:rsidR="001A36C7">
        <w:rPr>
          <w:rFonts w:ascii="Verdana" w:hAnsi="Verdana"/>
          <w:b/>
          <w:sz w:val="18"/>
          <w:szCs w:val="18"/>
        </w:rPr>
        <w:t xml:space="preserve"> </w:t>
      </w:r>
      <w:r w:rsidRPr="00EC75B7">
        <w:rPr>
          <w:rFonts w:ascii="Verdana" w:hAnsi="Verdana"/>
          <w:b/>
          <w:color w:val="009DEF"/>
          <w:sz w:val="18"/>
          <w:szCs w:val="18"/>
        </w:rPr>
        <w:t xml:space="preserve">National Archaeological Museum (cIMeC) and National Heritage Institute - eGISpat </w:t>
      </w:r>
      <w:r w:rsidRPr="00EC75B7">
        <w:rPr>
          <w:rFonts w:ascii="Verdana" w:hAnsi="Verdana"/>
          <w:b/>
          <w:color w:val="009DEF"/>
          <w:spacing w:val="-2"/>
          <w:sz w:val="18"/>
          <w:szCs w:val="18"/>
        </w:rPr>
        <w:t>Romania)</w:t>
      </w:r>
    </w:p>
    <w:p w14:paraId="7AB4B6EA" w14:textId="77777777" w:rsidR="008715BE" w:rsidRPr="00EC75B7" w:rsidRDefault="008715BE">
      <w:pPr>
        <w:pStyle w:val="BodyText"/>
        <w:rPr>
          <w:rFonts w:ascii="Verdana" w:hAnsi="Verdana"/>
          <w:b/>
        </w:rPr>
      </w:pPr>
    </w:p>
    <w:p w14:paraId="01DA1810" w14:textId="77777777" w:rsidR="008715BE" w:rsidRPr="00EC75B7" w:rsidRDefault="008715BE">
      <w:pPr>
        <w:pStyle w:val="BodyText"/>
        <w:rPr>
          <w:rFonts w:ascii="Verdana" w:hAnsi="Verdana"/>
          <w:b/>
        </w:rPr>
      </w:pPr>
    </w:p>
    <w:p w14:paraId="26D9C467" w14:textId="77777777" w:rsidR="008715BE" w:rsidRPr="00EC75B7" w:rsidRDefault="008715BE">
      <w:pPr>
        <w:pStyle w:val="BodyText"/>
        <w:spacing w:before="77"/>
        <w:rPr>
          <w:rFonts w:ascii="Verdana" w:hAnsi="Verdana"/>
          <w:b/>
        </w:rPr>
      </w:pPr>
    </w:p>
    <w:p w14:paraId="0B506BCE" w14:textId="77777777" w:rsidR="008715BE" w:rsidRPr="00EC75B7" w:rsidRDefault="00000000">
      <w:pPr>
        <w:pStyle w:val="BodyText"/>
        <w:spacing w:before="1" w:line="357" w:lineRule="auto"/>
        <w:ind w:left="86" w:right="427"/>
        <w:jc w:val="both"/>
        <w:rPr>
          <w:rFonts w:ascii="Verdana" w:hAnsi="Verdana"/>
        </w:rPr>
      </w:pPr>
      <w:r w:rsidRPr="00EC75B7">
        <w:rPr>
          <w:rFonts w:ascii="Verdana" w:hAnsi="Verdana"/>
        </w:rPr>
        <w:t>Interventions on historical monuments are regulated by the provisions of Article 23 of Law No. 422/2001, republished, on the protection of historical monuments. In the protection zone of historical monuments (200.00 m within the built-up area and 500.00 m outside the built-up area), new constructions or interventions on existing constructions will only be authorized with the approval of the Ministry of Culture and National Identity, respectively the Constanța County Directorate for Culture and National Heritage.</w:t>
      </w:r>
    </w:p>
    <w:p w14:paraId="274473C9" w14:textId="77777777" w:rsidR="008715BE" w:rsidRPr="00EC75B7" w:rsidRDefault="00000000">
      <w:pPr>
        <w:pStyle w:val="BodyText"/>
        <w:spacing w:before="124" w:line="357" w:lineRule="auto"/>
        <w:ind w:left="86" w:right="423"/>
        <w:jc w:val="both"/>
        <w:rPr>
          <w:rFonts w:ascii="Verdana" w:hAnsi="Verdana"/>
        </w:rPr>
      </w:pPr>
      <w:r w:rsidRPr="00EC75B7">
        <w:rPr>
          <w:rFonts w:ascii="Verdana" w:hAnsi="Verdana"/>
        </w:rPr>
        <w:t>The legal regime governing historic monuments is regulated by the provisions of Law No. 422/2001, published in the Official Gazette of Romania No. 938 of November 20, 2006, republished pursuant to Article V of Law No. 259/2006 amending and supplementing Law No. 422/2001 on the protection of historic monuments, published in the Official Gazette of Romania No. 100 of May 10, 2007.</w:t>
      </w:r>
      <w:r w:rsidRPr="00EC75B7">
        <w:rPr>
          <w:rFonts w:ascii="Verdana" w:hAnsi="Verdana"/>
          <w:spacing w:val="-8"/>
        </w:rPr>
        <w:t xml:space="preserve"> </w:t>
      </w:r>
      <w:r w:rsidRPr="00EC75B7">
        <w:rPr>
          <w:rFonts w:ascii="Verdana" w:hAnsi="Verdana"/>
        </w:rPr>
        <w:t xml:space="preserve">V of Law No. 259/2006 amending and supplementing Law No. 422/2001 on the protection of historical monuments, published in the Official Gazette of Romania, Part I, No. 573 of July 3, 2006, with the texts </w:t>
      </w:r>
      <w:r w:rsidRPr="00EC75B7">
        <w:rPr>
          <w:rFonts w:ascii="Verdana" w:hAnsi="Verdana"/>
          <w:spacing w:val="-2"/>
        </w:rPr>
        <w:t>being renumbered.</w:t>
      </w:r>
    </w:p>
    <w:p w14:paraId="081AB778" w14:textId="77777777" w:rsidR="008715BE" w:rsidRPr="00EC75B7" w:rsidRDefault="008715BE">
      <w:pPr>
        <w:pStyle w:val="BodyText"/>
        <w:spacing w:before="26"/>
        <w:rPr>
          <w:rFonts w:ascii="Verdana" w:hAnsi="Verdana"/>
        </w:rPr>
      </w:pPr>
    </w:p>
    <w:p w14:paraId="03FD3B15" w14:textId="77777777" w:rsidR="008715BE" w:rsidRPr="00EC75B7" w:rsidRDefault="00000000">
      <w:pPr>
        <w:pStyle w:val="Heading3"/>
        <w:numPr>
          <w:ilvl w:val="2"/>
          <w:numId w:val="110"/>
        </w:numPr>
        <w:tabs>
          <w:tab w:val="left" w:pos="1766"/>
        </w:tabs>
        <w:ind w:left="1766" w:hanging="715"/>
        <w:rPr>
          <w:rFonts w:ascii="Verdana" w:hAnsi="Verdana"/>
          <w:i/>
          <w:color w:val="00AFEF"/>
          <w:sz w:val="18"/>
          <w:szCs w:val="18"/>
        </w:rPr>
      </w:pPr>
      <w:bookmarkStart w:id="62" w:name="_bookmark63"/>
      <w:bookmarkEnd w:id="62"/>
      <w:r w:rsidRPr="00EC75B7">
        <w:rPr>
          <w:rFonts w:ascii="Verdana" w:hAnsi="Verdana"/>
          <w:color w:val="00AFEF"/>
          <w:spacing w:val="-2"/>
          <w:sz w:val="18"/>
          <w:szCs w:val="18"/>
        </w:rPr>
        <w:t xml:space="preserve">Intangible </w:t>
      </w:r>
      <w:r w:rsidRPr="00EC75B7">
        <w:rPr>
          <w:rFonts w:ascii="Verdana" w:hAnsi="Verdana"/>
          <w:color w:val="00AFEF"/>
          <w:sz w:val="18"/>
          <w:szCs w:val="18"/>
        </w:rPr>
        <w:t>cultural heritage</w:t>
      </w:r>
    </w:p>
    <w:p w14:paraId="24D048DB" w14:textId="77777777" w:rsidR="008715BE" w:rsidRPr="00EC75B7" w:rsidRDefault="008715BE">
      <w:pPr>
        <w:pStyle w:val="BodyText"/>
        <w:spacing w:before="114"/>
        <w:rPr>
          <w:rFonts w:ascii="Verdana" w:hAnsi="Verdana"/>
          <w:b/>
        </w:rPr>
      </w:pPr>
    </w:p>
    <w:p w14:paraId="312FAA5A" w14:textId="5E1FCDDE" w:rsidR="00C76B56" w:rsidRPr="00EC75B7" w:rsidRDefault="00000000" w:rsidP="00C76B56">
      <w:pPr>
        <w:pStyle w:val="BodyText"/>
        <w:spacing w:line="360" w:lineRule="auto"/>
        <w:ind w:left="86" w:right="420"/>
        <w:jc w:val="both"/>
        <w:rPr>
          <w:rFonts w:ascii="Verdana" w:hAnsi="Verdana"/>
        </w:rPr>
      </w:pPr>
      <w:r w:rsidRPr="00EC75B7">
        <w:rPr>
          <w:rFonts w:ascii="Verdana" w:hAnsi="Verdana"/>
        </w:rPr>
        <w:t>The intangible cultural heritage of the commune of Cerchezu is part of the broader context of the cultural heritage specific to Southern Dobrogea, a region characterized by ethnic and cultural diversity that has developed over time. Elements of intangible heritage are mainly associated with local traditions, customs, social practices</w:t>
      </w:r>
      <w:r w:rsidR="00C76B56" w:rsidRPr="00EC75B7">
        <w:rPr>
          <w:rFonts w:ascii="Verdana" w:hAnsi="Verdana"/>
        </w:rPr>
        <w:t xml:space="preserve">, oral expressions, and traditional crafts, transmitted mainly informally within </w:t>
      </w:r>
      <w:r w:rsidR="00C76B56" w:rsidRPr="00EC75B7">
        <w:rPr>
          <w:rFonts w:ascii="Verdana" w:hAnsi="Verdana"/>
          <w:spacing w:val="-2"/>
        </w:rPr>
        <w:t>the community.</w:t>
      </w:r>
    </w:p>
    <w:p w14:paraId="0CA71E28" w14:textId="77777777" w:rsidR="00C76B56" w:rsidRPr="00EC75B7" w:rsidRDefault="00C76B56" w:rsidP="00C76B56">
      <w:pPr>
        <w:pStyle w:val="BodyText"/>
        <w:spacing w:before="117" w:line="357" w:lineRule="auto"/>
        <w:ind w:left="86" w:right="429"/>
        <w:jc w:val="both"/>
        <w:rPr>
          <w:rFonts w:ascii="Verdana" w:hAnsi="Verdana"/>
        </w:rPr>
      </w:pPr>
      <w:r w:rsidRPr="00EC75B7">
        <w:rPr>
          <w:rFonts w:ascii="Verdana" w:hAnsi="Verdana"/>
        </w:rPr>
        <w:t xml:space="preserve">In the commune of Cerchezu, the intangible cultural heritage is linked to traditional rural life, agricultural and pastoral practices, as well as seasonal customs and events (religious holidays, community events, rituals associated with the agricultural cycle). There are also elements of local culinary tradition and expressions of oral culture (stories, customs, community practices) characteristic of communities in </w:t>
      </w:r>
      <w:r w:rsidRPr="00EC75B7">
        <w:rPr>
          <w:rFonts w:ascii="Verdana" w:hAnsi="Verdana"/>
        </w:rPr>
        <w:lastRenderedPageBreak/>
        <w:t>southern Dobrogea.</w:t>
      </w:r>
    </w:p>
    <w:p w14:paraId="4796846D" w14:textId="593399B3" w:rsidR="008715BE" w:rsidRDefault="00C76B56" w:rsidP="00903DD2">
      <w:pPr>
        <w:pStyle w:val="BodyText"/>
        <w:spacing w:before="125" w:line="357" w:lineRule="auto"/>
        <w:ind w:left="86" w:right="433"/>
        <w:jc w:val="both"/>
        <w:rPr>
          <w:rFonts w:ascii="Verdana" w:hAnsi="Verdana"/>
        </w:rPr>
      </w:pPr>
      <w:r w:rsidRPr="00EC75B7">
        <w:rPr>
          <w:rFonts w:ascii="Verdana" w:hAnsi="Verdana"/>
        </w:rPr>
        <w:t>No elements of intangible cultural heritage listed in the National Register of Intangible Cultural Heritage or on UNESCO lists have been identified in the commune of Cerchezu, and existing practices are predominantly of local importance, being maintained through the participation of the community and older generations.</w:t>
      </w:r>
    </w:p>
    <w:p w14:paraId="24AEB24A" w14:textId="77777777" w:rsidR="00903DD2" w:rsidRPr="00EC75B7" w:rsidRDefault="00903DD2" w:rsidP="00903DD2">
      <w:pPr>
        <w:pStyle w:val="BodyText"/>
        <w:spacing w:before="125" w:line="357" w:lineRule="auto"/>
        <w:ind w:left="86" w:right="433"/>
        <w:jc w:val="both"/>
        <w:rPr>
          <w:rFonts w:ascii="Verdana" w:hAnsi="Verdana"/>
        </w:rPr>
      </w:pPr>
    </w:p>
    <w:p w14:paraId="74632DD9" w14:textId="77777777" w:rsidR="008715BE" w:rsidRPr="00EC75B7" w:rsidRDefault="00000000">
      <w:pPr>
        <w:pStyle w:val="Heading2"/>
        <w:numPr>
          <w:ilvl w:val="1"/>
          <w:numId w:val="110"/>
        </w:numPr>
        <w:tabs>
          <w:tab w:val="left" w:pos="835"/>
        </w:tabs>
        <w:ind w:hanging="720"/>
        <w:jc w:val="left"/>
        <w:rPr>
          <w:rFonts w:ascii="Verdana" w:hAnsi="Verdana"/>
          <w:color w:val="00AFEF"/>
          <w:sz w:val="18"/>
          <w:szCs w:val="18"/>
        </w:rPr>
      </w:pPr>
      <w:bookmarkStart w:id="63" w:name="_bookmark64"/>
      <w:bookmarkEnd w:id="63"/>
      <w:r w:rsidRPr="00EC75B7">
        <w:rPr>
          <w:rFonts w:ascii="Verdana" w:hAnsi="Verdana"/>
          <w:color w:val="00AFEF"/>
          <w:spacing w:val="-2"/>
          <w:sz w:val="18"/>
          <w:szCs w:val="18"/>
        </w:rPr>
        <w:t>Landscape</w:t>
      </w:r>
    </w:p>
    <w:p w14:paraId="1BE2DF63" w14:textId="77777777" w:rsidR="008715BE" w:rsidRPr="00EC75B7" w:rsidRDefault="00000000">
      <w:pPr>
        <w:pStyle w:val="Heading3"/>
        <w:numPr>
          <w:ilvl w:val="2"/>
          <w:numId w:val="110"/>
        </w:numPr>
        <w:tabs>
          <w:tab w:val="left" w:pos="1766"/>
        </w:tabs>
        <w:spacing w:before="133"/>
        <w:ind w:left="1766" w:hanging="715"/>
        <w:rPr>
          <w:rFonts w:ascii="Verdana" w:hAnsi="Verdana"/>
          <w:i/>
          <w:color w:val="00AFEF"/>
          <w:sz w:val="18"/>
          <w:szCs w:val="18"/>
        </w:rPr>
      </w:pPr>
      <w:bookmarkStart w:id="64" w:name="_bookmark65"/>
      <w:bookmarkEnd w:id="64"/>
      <w:r w:rsidRPr="00EC75B7">
        <w:rPr>
          <w:rFonts w:ascii="Verdana" w:hAnsi="Verdana"/>
          <w:color w:val="00AFEF"/>
          <w:spacing w:val="-2"/>
          <w:sz w:val="18"/>
          <w:szCs w:val="18"/>
        </w:rPr>
        <w:t xml:space="preserve">Study </w:t>
      </w:r>
      <w:r w:rsidRPr="00EC75B7">
        <w:rPr>
          <w:rFonts w:ascii="Verdana" w:hAnsi="Verdana"/>
          <w:color w:val="00AFEF"/>
          <w:sz w:val="18"/>
          <w:szCs w:val="18"/>
        </w:rPr>
        <w:t>area</w:t>
      </w:r>
    </w:p>
    <w:p w14:paraId="69A08EB0" w14:textId="77777777" w:rsidR="008715BE" w:rsidRPr="00EC75B7" w:rsidRDefault="008715BE">
      <w:pPr>
        <w:pStyle w:val="BodyText"/>
        <w:spacing w:before="114"/>
        <w:rPr>
          <w:rFonts w:ascii="Verdana" w:hAnsi="Verdana"/>
          <w:b/>
        </w:rPr>
      </w:pPr>
    </w:p>
    <w:p w14:paraId="4F8ED8D8" w14:textId="77777777" w:rsidR="008715BE" w:rsidRPr="00EC75B7" w:rsidRDefault="00000000">
      <w:pPr>
        <w:pStyle w:val="BodyText"/>
        <w:spacing w:line="357" w:lineRule="auto"/>
        <w:ind w:left="86" w:right="429"/>
        <w:jc w:val="both"/>
        <w:rPr>
          <w:rFonts w:ascii="Verdana" w:hAnsi="Verdana"/>
        </w:rPr>
      </w:pPr>
      <w:r w:rsidRPr="00EC75B7">
        <w:rPr>
          <w:rFonts w:ascii="Verdana" w:hAnsi="Verdana"/>
        </w:rPr>
        <w:t>The study area for assessing the impact on the landscape was defined to cover the project site and its area of visual influence, taking into account the topographical characteristics of the land, the height and typology of the project elements, as well as the potential perception from sensitive points in the surrounding area.</w:t>
      </w:r>
    </w:p>
    <w:p w14:paraId="3621A751" w14:textId="77777777" w:rsidR="008715BE" w:rsidRPr="00EC75B7" w:rsidRDefault="00000000">
      <w:pPr>
        <w:pStyle w:val="BodyText"/>
        <w:spacing w:before="123"/>
        <w:ind w:left="86"/>
        <w:jc w:val="both"/>
        <w:rPr>
          <w:rFonts w:ascii="Verdana" w:hAnsi="Verdana"/>
        </w:rPr>
      </w:pPr>
      <w:r w:rsidRPr="00EC75B7">
        <w:rPr>
          <w:rFonts w:ascii="Verdana" w:hAnsi="Verdana"/>
        </w:rPr>
        <w:t xml:space="preserve">The study area </w:t>
      </w:r>
      <w:r w:rsidRPr="00EC75B7">
        <w:rPr>
          <w:rFonts w:ascii="Verdana" w:hAnsi="Verdana"/>
          <w:spacing w:val="-2"/>
        </w:rPr>
        <w:t>includes:</w:t>
      </w:r>
    </w:p>
    <w:p w14:paraId="441CA7E4" w14:textId="77777777" w:rsidR="008715BE" w:rsidRPr="00EC75B7" w:rsidRDefault="008715BE">
      <w:pPr>
        <w:pStyle w:val="BodyText"/>
        <w:spacing w:before="9"/>
        <w:rPr>
          <w:rFonts w:ascii="Verdana" w:hAnsi="Verdana"/>
        </w:rPr>
      </w:pPr>
    </w:p>
    <w:p w14:paraId="1A61AB06" w14:textId="77777777" w:rsidR="008715BE" w:rsidRPr="00EC75B7" w:rsidRDefault="00000000">
      <w:pPr>
        <w:pStyle w:val="ListParagraph"/>
        <w:numPr>
          <w:ilvl w:val="0"/>
          <w:numId w:val="85"/>
        </w:numPr>
        <w:tabs>
          <w:tab w:val="left" w:pos="765"/>
        </w:tabs>
        <w:spacing w:before="1" w:line="357" w:lineRule="auto"/>
        <w:ind w:left="765" w:right="433" w:hanging="281"/>
        <w:jc w:val="both"/>
        <w:rPr>
          <w:rFonts w:ascii="Verdana" w:hAnsi="Verdana"/>
          <w:sz w:val="18"/>
          <w:szCs w:val="18"/>
        </w:rPr>
      </w:pPr>
      <w:r w:rsidRPr="00EC75B7">
        <w:rPr>
          <w:rFonts w:ascii="Verdana" w:hAnsi="Verdana"/>
          <w:sz w:val="18"/>
          <w:szCs w:val="18"/>
        </w:rPr>
        <w:t>the area of direct influence, corresponding to the location of permanent and temporary works (turbines, access roads, platforms, electrical substation, power lines);</w:t>
      </w:r>
    </w:p>
    <w:p w14:paraId="2FEACCD0" w14:textId="77777777" w:rsidR="008715BE" w:rsidRPr="00EC75B7" w:rsidRDefault="00000000">
      <w:pPr>
        <w:pStyle w:val="ListParagraph"/>
        <w:numPr>
          <w:ilvl w:val="0"/>
          <w:numId w:val="85"/>
        </w:numPr>
        <w:tabs>
          <w:tab w:val="left" w:pos="765"/>
        </w:tabs>
        <w:spacing w:line="360" w:lineRule="auto"/>
        <w:ind w:left="765" w:right="428" w:hanging="281"/>
        <w:jc w:val="both"/>
        <w:rPr>
          <w:rFonts w:ascii="Verdana" w:hAnsi="Verdana"/>
          <w:sz w:val="18"/>
          <w:szCs w:val="18"/>
        </w:rPr>
      </w:pPr>
      <w:r w:rsidRPr="00EC75B7">
        <w:rPr>
          <w:rFonts w:ascii="Verdana" w:hAnsi="Verdana"/>
          <w:sz w:val="18"/>
          <w:szCs w:val="18"/>
        </w:rPr>
        <w:t>extended visual impact area, defined on the basis of visibility analyses (Zone of Theoretical Visibility – ZTV), which may include territories located at a greater distance, from where the elements of the project can be visually perceived, depending on the relief, vegetation cover, and existing structures.</w:t>
      </w:r>
    </w:p>
    <w:p w14:paraId="5DC013EA" w14:textId="77777777" w:rsidR="008715BE" w:rsidRPr="00EC75B7" w:rsidRDefault="00000000">
      <w:pPr>
        <w:pStyle w:val="BodyText"/>
        <w:spacing w:before="116" w:line="360" w:lineRule="auto"/>
        <w:ind w:left="86" w:right="430"/>
        <w:jc w:val="both"/>
        <w:rPr>
          <w:rFonts w:ascii="Verdana" w:hAnsi="Verdana"/>
        </w:rPr>
      </w:pPr>
      <w:r w:rsidRPr="00EC75B7">
        <w:rPr>
          <w:rFonts w:ascii="Verdana" w:hAnsi="Verdana"/>
        </w:rPr>
        <w:t>Within this area, sensitive landscape receptors such as human settlements, communication routes, recreational areas, and other points of public interest were taken into account, as well as the characteristics of the existing landscape, including its structure, coherence, and scenic value.</w:t>
      </w:r>
    </w:p>
    <w:p w14:paraId="2CC8D55F" w14:textId="77777777" w:rsidR="008715BE" w:rsidRPr="00EC75B7" w:rsidRDefault="00000000">
      <w:pPr>
        <w:pStyle w:val="BodyText"/>
        <w:spacing w:before="117" w:line="357" w:lineRule="auto"/>
        <w:ind w:left="86" w:right="428"/>
        <w:jc w:val="both"/>
        <w:rPr>
          <w:rFonts w:ascii="Verdana" w:hAnsi="Verdana"/>
        </w:rPr>
      </w:pPr>
      <w:r w:rsidRPr="00EC75B7">
        <w:rPr>
          <w:rFonts w:ascii="Verdana" w:hAnsi="Verdana"/>
        </w:rPr>
        <w:t>The study area was defined in a manner proportional to the scale of the project and its potential visual impact, ensuring an adequate assessment of both direct and cumulative effects on the landscape, in line with good practice in landscape impact assessment and visual perception.</w:t>
      </w:r>
    </w:p>
    <w:p w14:paraId="2FAE5D6D" w14:textId="77777777" w:rsidR="008715BE" w:rsidRPr="00EC75B7" w:rsidRDefault="008715BE">
      <w:pPr>
        <w:pStyle w:val="BodyText"/>
        <w:spacing w:before="24"/>
        <w:rPr>
          <w:rFonts w:ascii="Verdana" w:hAnsi="Verdana"/>
        </w:rPr>
      </w:pPr>
    </w:p>
    <w:p w14:paraId="4F42F61D" w14:textId="77777777" w:rsidR="008715BE" w:rsidRPr="00EC75B7" w:rsidRDefault="00000000">
      <w:pPr>
        <w:pStyle w:val="Heading3"/>
        <w:numPr>
          <w:ilvl w:val="2"/>
          <w:numId w:val="110"/>
        </w:numPr>
        <w:tabs>
          <w:tab w:val="left" w:pos="1766"/>
        </w:tabs>
        <w:ind w:left="1766" w:hanging="715"/>
        <w:rPr>
          <w:rFonts w:ascii="Verdana" w:hAnsi="Verdana"/>
          <w:i/>
          <w:color w:val="00AFEF"/>
          <w:sz w:val="18"/>
          <w:szCs w:val="18"/>
        </w:rPr>
      </w:pPr>
      <w:bookmarkStart w:id="65" w:name="_bookmark66"/>
      <w:bookmarkEnd w:id="65"/>
      <w:r w:rsidRPr="00EC75B7">
        <w:rPr>
          <w:rFonts w:ascii="Verdana" w:hAnsi="Verdana"/>
          <w:color w:val="00AFEF"/>
          <w:sz w:val="18"/>
          <w:szCs w:val="18"/>
        </w:rPr>
        <w:t xml:space="preserve">Project location and </w:t>
      </w:r>
      <w:r w:rsidRPr="00EC75B7">
        <w:rPr>
          <w:rFonts w:ascii="Verdana" w:hAnsi="Verdana"/>
          <w:color w:val="00AFEF"/>
          <w:spacing w:val="-2"/>
          <w:sz w:val="18"/>
          <w:szCs w:val="18"/>
        </w:rPr>
        <w:t xml:space="preserve">landscape </w:t>
      </w:r>
      <w:r w:rsidRPr="00EC75B7">
        <w:rPr>
          <w:rFonts w:ascii="Verdana" w:hAnsi="Verdana"/>
          <w:color w:val="00AFEF"/>
          <w:sz w:val="18"/>
          <w:szCs w:val="18"/>
        </w:rPr>
        <w:t>types</w:t>
      </w:r>
    </w:p>
    <w:p w14:paraId="56E8965E" w14:textId="77777777" w:rsidR="008715BE" w:rsidRPr="00EC75B7" w:rsidRDefault="008715BE">
      <w:pPr>
        <w:pStyle w:val="BodyText"/>
        <w:spacing w:before="114"/>
        <w:rPr>
          <w:rFonts w:ascii="Verdana" w:hAnsi="Verdana"/>
          <w:b/>
        </w:rPr>
      </w:pPr>
    </w:p>
    <w:p w14:paraId="33DD7A34" w14:textId="77777777" w:rsidR="008715BE" w:rsidRPr="00EC75B7" w:rsidRDefault="00000000">
      <w:pPr>
        <w:pStyle w:val="BodyText"/>
        <w:spacing w:line="360" w:lineRule="auto"/>
        <w:ind w:left="86" w:right="433"/>
        <w:jc w:val="both"/>
        <w:rPr>
          <w:rFonts w:ascii="Verdana" w:hAnsi="Verdana"/>
        </w:rPr>
      </w:pPr>
      <w:r w:rsidRPr="00EC75B7">
        <w:rPr>
          <w:rFonts w:ascii="Verdana" w:hAnsi="Verdana"/>
        </w:rPr>
        <w:t>The study area is predominantly agricultural, with patches of natural grassland used for grazing domestic animals.</w:t>
      </w:r>
    </w:p>
    <w:p w14:paraId="52A5DF80" w14:textId="77777777" w:rsidR="008715BE" w:rsidRPr="00EC75B7" w:rsidRDefault="00000000">
      <w:pPr>
        <w:pStyle w:val="BodyText"/>
        <w:spacing w:before="119" w:line="357" w:lineRule="auto"/>
        <w:ind w:left="86" w:right="427"/>
        <w:jc w:val="both"/>
        <w:rPr>
          <w:rFonts w:ascii="Verdana" w:hAnsi="Verdana"/>
        </w:rPr>
      </w:pPr>
      <w:r w:rsidRPr="00EC75B7">
        <w:rPr>
          <w:rFonts w:ascii="Verdana" w:hAnsi="Verdana"/>
        </w:rPr>
        <w:t>The landscape is typical of Dobrogea, with limestone deposits of the canara type, where rare species typical of Dobrogea, calcifers, can still be found. The pasture is also bordered and covered on one side by an acacia plantation (Robinia pseudoacacia, an invasive alien species).</w:t>
      </w:r>
    </w:p>
    <w:p w14:paraId="407C1DB2"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799" w:gutter="0"/>
          <w:cols w:space="708"/>
        </w:sectPr>
      </w:pPr>
    </w:p>
    <w:p w14:paraId="748C1A97" w14:textId="77777777" w:rsidR="008715BE" w:rsidRPr="00EC75B7" w:rsidRDefault="00000000">
      <w:pPr>
        <w:pStyle w:val="BodyText"/>
        <w:spacing w:before="99" w:line="357" w:lineRule="auto"/>
        <w:ind w:left="86" w:right="432"/>
        <w:jc w:val="both"/>
        <w:rPr>
          <w:rFonts w:ascii="Verdana" w:hAnsi="Verdana"/>
        </w:rPr>
      </w:pPr>
      <w:r w:rsidRPr="00EC75B7">
        <w:rPr>
          <w:rFonts w:ascii="Verdana" w:hAnsi="Verdana"/>
        </w:rPr>
        <w:lastRenderedPageBreak/>
        <w:t>The distribution of vegetation is heterogeneous, alternating areas with abundant vegetation in good condition with areas with sparse vegetation, reduced in size and coverage and affected by the presence of ruderal and some segetal species.</w:t>
      </w:r>
    </w:p>
    <w:p w14:paraId="3DE50665" w14:textId="77777777" w:rsidR="008715BE" w:rsidRPr="00EC75B7" w:rsidRDefault="00000000">
      <w:pPr>
        <w:pStyle w:val="BodyText"/>
        <w:spacing w:before="123" w:line="357" w:lineRule="auto"/>
        <w:ind w:left="86" w:right="431"/>
        <w:jc w:val="both"/>
        <w:rPr>
          <w:rFonts w:ascii="Verdana" w:hAnsi="Verdana"/>
        </w:rPr>
      </w:pPr>
      <w:r w:rsidRPr="00EC75B7">
        <w:rPr>
          <w:rFonts w:ascii="Verdana" w:hAnsi="Verdana"/>
        </w:rPr>
        <w:t xml:space="preserve">The existing European LANMAP3 database was used to identify the landscape types in the site area. Landscape types are determined based on criteria that take into account </w:t>
      </w:r>
      <w:r w:rsidRPr="00EC75B7">
        <w:rPr>
          <w:rFonts w:ascii="Verdana" w:hAnsi="Verdana"/>
          <w:spacing w:val="-2"/>
        </w:rPr>
        <w:t>the</w:t>
      </w:r>
      <w:r w:rsidRPr="00EC75B7">
        <w:rPr>
          <w:rFonts w:ascii="Verdana" w:hAnsi="Verdana"/>
        </w:rPr>
        <w:t xml:space="preserve"> following </w:t>
      </w:r>
      <w:r w:rsidRPr="00EC75B7">
        <w:rPr>
          <w:rFonts w:ascii="Verdana" w:hAnsi="Verdana"/>
          <w:spacing w:val="-2"/>
        </w:rPr>
        <w:t>elements:</w:t>
      </w:r>
    </w:p>
    <w:p w14:paraId="16332E21" w14:textId="77777777" w:rsidR="008715BE" w:rsidRPr="00EC75B7" w:rsidRDefault="00000000">
      <w:pPr>
        <w:pStyle w:val="ListParagraph"/>
        <w:numPr>
          <w:ilvl w:val="0"/>
          <w:numId w:val="85"/>
        </w:numPr>
        <w:tabs>
          <w:tab w:val="left" w:pos="909"/>
        </w:tabs>
        <w:spacing w:before="122"/>
        <w:ind w:left="909" w:hanging="424"/>
        <w:rPr>
          <w:rFonts w:ascii="Verdana" w:hAnsi="Verdana"/>
          <w:sz w:val="18"/>
          <w:szCs w:val="18"/>
        </w:rPr>
      </w:pPr>
      <w:r w:rsidRPr="00EC75B7">
        <w:rPr>
          <w:rFonts w:ascii="Verdana" w:hAnsi="Verdana"/>
          <w:sz w:val="18"/>
          <w:szCs w:val="18"/>
        </w:rPr>
        <w:t xml:space="preserve">The climate type of </w:t>
      </w:r>
      <w:r w:rsidRPr="00EC75B7">
        <w:rPr>
          <w:rFonts w:ascii="Verdana" w:hAnsi="Verdana"/>
          <w:spacing w:val="-2"/>
          <w:sz w:val="18"/>
          <w:szCs w:val="18"/>
        </w:rPr>
        <w:t>the area;</w:t>
      </w:r>
    </w:p>
    <w:p w14:paraId="447D6EDF" w14:textId="77777777" w:rsidR="008715BE" w:rsidRPr="00EC75B7" w:rsidRDefault="00000000">
      <w:pPr>
        <w:pStyle w:val="ListParagraph"/>
        <w:numPr>
          <w:ilvl w:val="0"/>
          <w:numId w:val="85"/>
        </w:numPr>
        <w:tabs>
          <w:tab w:val="left" w:pos="909"/>
        </w:tabs>
        <w:spacing w:before="109"/>
        <w:ind w:left="909" w:hanging="424"/>
        <w:rPr>
          <w:rFonts w:ascii="Verdana" w:hAnsi="Verdana"/>
          <w:sz w:val="18"/>
          <w:szCs w:val="18"/>
        </w:rPr>
      </w:pPr>
      <w:r w:rsidRPr="00EC75B7">
        <w:rPr>
          <w:rFonts w:ascii="Verdana" w:hAnsi="Verdana"/>
          <w:sz w:val="18"/>
          <w:szCs w:val="18"/>
        </w:rPr>
        <w:t xml:space="preserve">The topography of </w:t>
      </w:r>
      <w:r w:rsidRPr="00EC75B7">
        <w:rPr>
          <w:rFonts w:ascii="Verdana" w:hAnsi="Verdana"/>
          <w:spacing w:val="-2"/>
          <w:sz w:val="18"/>
          <w:szCs w:val="18"/>
        </w:rPr>
        <w:t>the land;</w:t>
      </w:r>
    </w:p>
    <w:p w14:paraId="1B133469" w14:textId="77777777" w:rsidR="008715BE" w:rsidRPr="00EC75B7" w:rsidRDefault="00000000">
      <w:pPr>
        <w:pStyle w:val="ListParagraph"/>
        <w:numPr>
          <w:ilvl w:val="0"/>
          <w:numId w:val="85"/>
        </w:numPr>
        <w:tabs>
          <w:tab w:val="left" w:pos="909"/>
        </w:tabs>
        <w:spacing w:before="109"/>
        <w:ind w:left="909" w:hanging="424"/>
        <w:rPr>
          <w:rFonts w:ascii="Verdana" w:hAnsi="Verdana"/>
          <w:sz w:val="18"/>
          <w:szCs w:val="18"/>
        </w:rPr>
      </w:pPr>
      <w:r w:rsidRPr="00EC75B7">
        <w:rPr>
          <w:rFonts w:ascii="Verdana" w:hAnsi="Verdana"/>
          <w:sz w:val="18"/>
          <w:szCs w:val="18"/>
        </w:rPr>
        <w:t xml:space="preserve">Parent material of </w:t>
      </w:r>
      <w:r w:rsidRPr="00EC75B7">
        <w:rPr>
          <w:rFonts w:ascii="Verdana" w:hAnsi="Verdana"/>
          <w:spacing w:val="-2"/>
          <w:sz w:val="18"/>
          <w:szCs w:val="18"/>
        </w:rPr>
        <w:t>the rock;</w:t>
      </w:r>
    </w:p>
    <w:p w14:paraId="4ACE59FD" w14:textId="77777777" w:rsidR="008715BE" w:rsidRPr="00EC75B7" w:rsidRDefault="00000000">
      <w:pPr>
        <w:pStyle w:val="ListParagraph"/>
        <w:numPr>
          <w:ilvl w:val="0"/>
          <w:numId w:val="85"/>
        </w:numPr>
        <w:tabs>
          <w:tab w:val="left" w:pos="909"/>
        </w:tabs>
        <w:spacing w:before="106"/>
        <w:ind w:left="909" w:hanging="424"/>
        <w:rPr>
          <w:rFonts w:ascii="Verdana" w:hAnsi="Verdana"/>
          <w:sz w:val="18"/>
          <w:szCs w:val="18"/>
        </w:rPr>
      </w:pPr>
      <w:r w:rsidRPr="00EC75B7">
        <w:rPr>
          <w:rFonts w:ascii="Verdana" w:hAnsi="Verdana"/>
          <w:spacing w:val="-2"/>
          <w:sz w:val="18"/>
          <w:szCs w:val="18"/>
        </w:rPr>
        <w:t xml:space="preserve">Land </w:t>
      </w:r>
      <w:r w:rsidRPr="00EC75B7">
        <w:rPr>
          <w:rFonts w:ascii="Verdana" w:hAnsi="Verdana"/>
          <w:sz w:val="18"/>
          <w:szCs w:val="18"/>
        </w:rPr>
        <w:t>use</w:t>
      </w:r>
      <w:r w:rsidRPr="00EC75B7">
        <w:rPr>
          <w:rFonts w:ascii="Verdana" w:hAnsi="Verdana"/>
          <w:spacing w:val="-2"/>
          <w:sz w:val="18"/>
          <w:szCs w:val="18"/>
        </w:rPr>
        <w:t>.</w:t>
      </w:r>
    </w:p>
    <w:p w14:paraId="695F2170" w14:textId="77777777" w:rsidR="008715BE" w:rsidRPr="00EC75B7" w:rsidRDefault="008715BE">
      <w:pPr>
        <w:pStyle w:val="BodyText"/>
        <w:spacing w:before="10"/>
        <w:rPr>
          <w:rFonts w:ascii="Verdana" w:hAnsi="Verdana"/>
        </w:rPr>
      </w:pPr>
    </w:p>
    <w:p w14:paraId="0192C06D" w14:textId="77777777" w:rsidR="008715BE" w:rsidRPr="00EC75B7" w:rsidRDefault="00000000">
      <w:pPr>
        <w:pStyle w:val="BodyText"/>
        <w:spacing w:line="360" w:lineRule="auto"/>
        <w:ind w:left="86" w:right="309"/>
        <w:rPr>
          <w:rFonts w:ascii="Verdana" w:hAnsi="Verdana"/>
        </w:rPr>
      </w:pPr>
      <w:r w:rsidRPr="00EC75B7">
        <w:rPr>
          <w:rFonts w:ascii="Verdana" w:hAnsi="Verdana"/>
        </w:rPr>
        <w:t>Our country has a variety of landscapes, with approximately 45 landscapes featuring mountains with gorges and canyons, hills and plateaus, plains and river plains, rivers and lakes.</w:t>
      </w:r>
    </w:p>
    <w:p w14:paraId="75ECB6F0" w14:textId="77777777" w:rsidR="008715BE" w:rsidRPr="00EC75B7" w:rsidRDefault="00000000">
      <w:pPr>
        <w:pStyle w:val="BodyText"/>
        <w:spacing w:before="119" w:line="357" w:lineRule="auto"/>
        <w:ind w:left="86" w:right="309"/>
        <w:rPr>
          <w:rFonts w:ascii="Verdana" w:hAnsi="Verdana"/>
        </w:rPr>
      </w:pPr>
      <w:r w:rsidRPr="00EC75B7">
        <w:rPr>
          <w:rFonts w:ascii="Verdana" w:hAnsi="Verdana"/>
        </w:rPr>
        <w:t>According to the regional differentiation of landscapes in Bulgaria (Velchev, Todorov, Penin, 2003), the territory of Bulgaria falls within three major landscape provinces of Eurasia: Alpine, East Mediterranean, and Pontic.</w:t>
      </w:r>
    </w:p>
    <w:p w14:paraId="15330EE0" w14:textId="77777777" w:rsidR="008715BE" w:rsidRPr="00EC75B7" w:rsidRDefault="00000000">
      <w:pPr>
        <w:pStyle w:val="BodyText"/>
        <w:spacing w:before="120"/>
        <w:ind w:left="86"/>
        <w:rPr>
          <w:rFonts w:ascii="Verdana" w:hAnsi="Verdana"/>
        </w:rPr>
      </w:pPr>
      <w:r w:rsidRPr="00EC75B7">
        <w:rPr>
          <w:rFonts w:ascii="Verdana" w:hAnsi="Verdana"/>
        </w:rPr>
        <w:t xml:space="preserve">The following figure shows the spatial distribution of the types of landscape existing in the </w:t>
      </w:r>
      <w:r w:rsidRPr="00EC75B7">
        <w:rPr>
          <w:rFonts w:ascii="Verdana" w:hAnsi="Verdana"/>
          <w:spacing w:val="-2"/>
        </w:rPr>
        <w:t xml:space="preserve">analyzed </w:t>
      </w:r>
      <w:r w:rsidRPr="00EC75B7">
        <w:rPr>
          <w:rFonts w:ascii="Verdana" w:hAnsi="Verdana"/>
        </w:rPr>
        <w:t>area</w:t>
      </w:r>
      <w:r w:rsidRPr="00EC75B7">
        <w:rPr>
          <w:rFonts w:ascii="Verdana" w:hAnsi="Verdana"/>
          <w:spacing w:val="-2"/>
        </w:rPr>
        <w:t>.</w:t>
      </w:r>
    </w:p>
    <w:p w14:paraId="62CE65CA" w14:textId="60E10556" w:rsidR="008715BE" w:rsidRPr="00EC75B7" w:rsidRDefault="009069FA" w:rsidP="009069FA">
      <w:pPr>
        <w:pStyle w:val="BodyText"/>
        <w:spacing w:before="28"/>
        <w:jc w:val="center"/>
        <w:rPr>
          <w:rFonts w:ascii="Verdana" w:hAnsi="Verdana"/>
        </w:rPr>
      </w:pPr>
      <w:r>
        <w:rPr>
          <w:noProof/>
        </w:rPr>
        <w:drawing>
          <wp:inline distT="0" distB="0" distL="0" distR="0" wp14:anchorId="5F498A32" wp14:editId="194DAD10">
            <wp:extent cx="5448300" cy="3853454"/>
            <wp:effectExtent l="0" t="0" r="0" b="0"/>
            <wp:docPr id="4262376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51535" cy="3855742"/>
                    </a:xfrm>
                    <a:prstGeom prst="rect">
                      <a:avLst/>
                    </a:prstGeom>
                    <a:noFill/>
                    <a:ln>
                      <a:noFill/>
                    </a:ln>
                  </pic:spPr>
                </pic:pic>
              </a:graphicData>
            </a:graphic>
          </wp:inline>
        </w:drawing>
      </w:r>
    </w:p>
    <w:p w14:paraId="2323DBFD" w14:textId="77777777" w:rsidR="008715BE" w:rsidRPr="00EC75B7" w:rsidRDefault="008715BE">
      <w:pPr>
        <w:pStyle w:val="BodyText"/>
        <w:spacing w:before="119"/>
        <w:rPr>
          <w:rFonts w:ascii="Verdana" w:hAnsi="Verdana"/>
        </w:rPr>
      </w:pPr>
    </w:p>
    <w:p w14:paraId="31BB3813" w14:textId="77777777" w:rsidR="008715BE" w:rsidRPr="00EC75B7" w:rsidRDefault="00000000">
      <w:pPr>
        <w:ind w:left="284" w:right="368"/>
        <w:jc w:val="center"/>
        <w:rPr>
          <w:rFonts w:ascii="Verdana" w:hAnsi="Verdana"/>
          <w:b/>
          <w:sz w:val="18"/>
          <w:szCs w:val="18"/>
        </w:rPr>
      </w:pPr>
      <w:r w:rsidRPr="00EC75B7">
        <w:rPr>
          <w:rFonts w:ascii="Verdana" w:hAnsi="Verdana"/>
          <w:b/>
          <w:color w:val="009DEF"/>
          <w:sz w:val="18"/>
          <w:szCs w:val="18"/>
        </w:rPr>
        <w:t xml:space="preserve">Figure no. 47 Landscape types characteristic of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location</w:t>
      </w:r>
    </w:p>
    <w:p w14:paraId="76630F75" w14:textId="77777777" w:rsidR="008715BE" w:rsidRPr="00EC75B7" w:rsidRDefault="008715BE">
      <w:pPr>
        <w:pStyle w:val="BodyText"/>
        <w:rPr>
          <w:rFonts w:ascii="Verdana" w:hAnsi="Verdana"/>
          <w:b/>
        </w:rPr>
      </w:pPr>
    </w:p>
    <w:p w14:paraId="5155048C" w14:textId="77777777" w:rsidR="008715BE" w:rsidRPr="00EC75B7" w:rsidRDefault="008715BE">
      <w:pPr>
        <w:pStyle w:val="BodyText"/>
        <w:rPr>
          <w:rFonts w:ascii="Verdana" w:hAnsi="Verdana"/>
          <w:b/>
        </w:rPr>
      </w:pPr>
    </w:p>
    <w:p w14:paraId="459C513D" w14:textId="77777777" w:rsidR="008715BE" w:rsidRPr="00EC75B7" w:rsidRDefault="008715BE">
      <w:pPr>
        <w:pStyle w:val="BodyText"/>
        <w:spacing w:before="78"/>
        <w:rPr>
          <w:rFonts w:ascii="Verdana" w:hAnsi="Verdana"/>
          <w:b/>
        </w:rPr>
      </w:pPr>
    </w:p>
    <w:p w14:paraId="371DEFF4" w14:textId="5573639A" w:rsidR="008715BE" w:rsidRPr="00EC75B7" w:rsidRDefault="00000000" w:rsidP="009069FA">
      <w:pPr>
        <w:pStyle w:val="BodyText"/>
        <w:ind w:left="86"/>
        <w:rPr>
          <w:rFonts w:ascii="Verdana" w:hAnsi="Verdana"/>
        </w:rPr>
      </w:pPr>
      <w:r w:rsidRPr="00EC75B7">
        <w:rPr>
          <w:rFonts w:ascii="Verdana" w:hAnsi="Verdana"/>
        </w:rPr>
        <w:t xml:space="preserve">We can see from the figure above that the general appearance of the area is dominated by </w:t>
      </w: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landscape types</w:t>
      </w:r>
      <w:r w:rsidRPr="00EC75B7">
        <w:rPr>
          <w:rFonts w:ascii="Verdana" w:hAnsi="Verdana"/>
        </w:rPr>
        <w:t xml:space="preserve">: continental-hills-sediments-arable land and </w:t>
      </w:r>
      <w:r w:rsidRPr="00EC75B7">
        <w:rPr>
          <w:rFonts w:ascii="Verdana" w:hAnsi="Verdana"/>
          <w:spacing w:val="-2"/>
        </w:rPr>
        <w:t>steppe-hills-sediments-arable</w:t>
      </w:r>
      <w:r w:rsidRPr="00EC75B7">
        <w:rPr>
          <w:rFonts w:ascii="Verdana" w:hAnsi="Verdana"/>
        </w:rPr>
        <w:t xml:space="preserve"> land</w:t>
      </w:r>
      <w:r w:rsidRPr="00EC75B7">
        <w:rPr>
          <w:rFonts w:ascii="Verdana" w:hAnsi="Verdana"/>
          <w:spacing w:val="-2"/>
        </w:rPr>
        <w:t>.</w:t>
      </w:r>
    </w:p>
    <w:p w14:paraId="128B3637" w14:textId="77777777" w:rsidR="008715BE" w:rsidRPr="00EC75B7" w:rsidRDefault="008715BE">
      <w:pPr>
        <w:pStyle w:val="BodyText"/>
        <w:rPr>
          <w:rFonts w:ascii="Verdana" w:hAnsi="Verdana"/>
        </w:rPr>
        <w:sectPr w:rsidR="008715BE" w:rsidRPr="00EC75B7">
          <w:pgSz w:w="11910" w:h="16840"/>
          <w:pgMar w:top="1320" w:right="566" w:bottom="1020" w:left="1133" w:header="766" w:footer="799" w:gutter="0"/>
          <w:cols w:space="708"/>
        </w:sectPr>
      </w:pPr>
    </w:p>
    <w:p w14:paraId="01AB95E7" w14:textId="77777777" w:rsidR="008715BE" w:rsidRPr="00EC75B7" w:rsidRDefault="00000000">
      <w:pPr>
        <w:pStyle w:val="BodyText"/>
        <w:spacing w:before="99" w:line="357" w:lineRule="auto"/>
        <w:ind w:left="86" w:right="422"/>
        <w:jc w:val="both"/>
        <w:rPr>
          <w:rFonts w:ascii="Verdana" w:hAnsi="Verdana"/>
        </w:rPr>
      </w:pPr>
      <w:r w:rsidRPr="00EC75B7">
        <w:rPr>
          <w:rFonts w:ascii="Verdana" w:hAnsi="Verdana"/>
        </w:rPr>
        <w:lastRenderedPageBreak/>
        <w:t>In conclusion, it can be observed that the Cerchezu commune is dominated by a steppe-type landscape with a predominantly hilly relief and arable areas. No areas of high sensitivity in terms of landscape were identified in the entire project area.</w:t>
      </w:r>
    </w:p>
    <w:p w14:paraId="2EA2820E" w14:textId="77777777" w:rsidR="008715BE" w:rsidRPr="00EC75B7" w:rsidRDefault="00000000">
      <w:pPr>
        <w:pStyle w:val="BodyText"/>
        <w:spacing w:before="123" w:line="360" w:lineRule="auto"/>
        <w:ind w:left="86" w:right="436"/>
        <w:jc w:val="both"/>
        <w:rPr>
          <w:rFonts w:ascii="Verdana" w:hAnsi="Verdana"/>
        </w:rPr>
      </w:pPr>
      <w:r w:rsidRPr="00EC75B7">
        <w:rPr>
          <w:rFonts w:ascii="Verdana" w:hAnsi="Verdana"/>
        </w:rPr>
        <w:t>The areas of moderate and high sensitivity identified in the study area are the natural areas associated with the protected natural areas located in the vicinity of the project.</w:t>
      </w:r>
    </w:p>
    <w:p w14:paraId="2B642357" w14:textId="77777777" w:rsidR="008715BE" w:rsidRPr="00EC75B7" w:rsidRDefault="008715BE">
      <w:pPr>
        <w:pStyle w:val="BodyText"/>
        <w:spacing w:before="18"/>
        <w:rPr>
          <w:rFonts w:ascii="Verdana" w:hAnsi="Verdana"/>
        </w:rPr>
      </w:pPr>
    </w:p>
    <w:p w14:paraId="3BAC7954" w14:textId="77777777" w:rsidR="008715BE" w:rsidRPr="00EC75B7" w:rsidRDefault="00000000">
      <w:pPr>
        <w:pStyle w:val="Heading3"/>
        <w:numPr>
          <w:ilvl w:val="2"/>
          <w:numId w:val="110"/>
        </w:numPr>
        <w:tabs>
          <w:tab w:val="left" w:pos="1766"/>
        </w:tabs>
        <w:spacing w:before="1"/>
        <w:ind w:left="1766" w:hanging="715"/>
        <w:rPr>
          <w:rFonts w:ascii="Verdana" w:hAnsi="Verdana"/>
          <w:i/>
          <w:color w:val="00AFEF"/>
          <w:sz w:val="18"/>
          <w:szCs w:val="18"/>
        </w:rPr>
      </w:pPr>
      <w:bookmarkStart w:id="66" w:name="_bookmark67"/>
      <w:bookmarkEnd w:id="66"/>
      <w:r w:rsidRPr="00EC75B7">
        <w:rPr>
          <w:rFonts w:ascii="Verdana" w:hAnsi="Verdana"/>
          <w:color w:val="00AFEF"/>
          <w:spacing w:val="-2"/>
          <w:sz w:val="18"/>
          <w:szCs w:val="18"/>
        </w:rPr>
        <w:t xml:space="preserve">Landscape </w:t>
      </w:r>
      <w:r w:rsidRPr="00EC75B7">
        <w:rPr>
          <w:rFonts w:ascii="Verdana" w:hAnsi="Verdana"/>
          <w:color w:val="00AFEF"/>
          <w:sz w:val="18"/>
          <w:szCs w:val="18"/>
        </w:rPr>
        <w:t>fragmentation</w:t>
      </w:r>
    </w:p>
    <w:p w14:paraId="62B7523F" w14:textId="77777777" w:rsidR="008715BE" w:rsidRPr="00EC75B7" w:rsidRDefault="008715BE">
      <w:pPr>
        <w:pStyle w:val="BodyText"/>
        <w:spacing w:before="113"/>
        <w:rPr>
          <w:rFonts w:ascii="Verdana" w:hAnsi="Verdana"/>
          <w:b/>
        </w:rPr>
      </w:pPr>
    </w:p>
    <w:p w14:paraId="2DDB26B6" w14:textId="77777777" w:rsidR="008715BE" w:rsidRPr="00EC75B7" w:rsidRDefault="00000000">
      <w:pPr>
        <w:pStyle w:val="BodyText"/>
        <w:spacing w:before="1" w:line="360" w:lineRule="auto"/>
        <w:ind w:left="86" w:right="424"/>
        <w:jc w:val="both"/>
        <w:rPr>
          <w:rFonts w:ascii="Verdana" w:hAnsi="Verdana"/>
        </w:rPr>
      </w:pPr>
      <w:r w:rsidRPr="00EC75B7">
        <w:rPr>
          <w:rFonts w:ascii="Verdana" w:hAnsi="Verdana"/>
        </w:rPr>
        <w:t>Landscape fragmentation is assessed using the "effective mesh size" indicator (meff, km2), which suggests the probability that two random points in an area will be connected without encountering obstacles ("Landscape fragmentation in Europe"). This indicator is used in some European Union countries and Switzerland to assess the state of the environment, more specifically to understand ecological processes at the landscape level. The following figure shows the variability of landscape fragmentation in the municipality of Cerchezu, using data from the EEA. The lower the "effective mesh size" value, the more fragmented the landscape is and the lower its connectivity.</w:t>
      </w:r>
    </w:p>
    <w:p w14:paraId="4B68D634" w14:textId="46C100A8" w:rsidR="008715BE" w:rsidRPr="00EC75B7" w:rsidRDefault="00903DD2">
      <w:pPr>
        <w:pStyle w:val="BodyText"/>
        <w:spacing w:before="110" w:line="357" w:lineRule="auto"/>
        <w:ind w:left="86" w:right="424"/>
        <w:jc w:val="both"/>
        <w:rPr>
          <w:rFonts w:ascii="Verdana" w:hAnsi="Verdana"/>
        </w:rPr>
      </w:pPr>
      <w:r w:rsidRPr="00EC75B7">
        <w:rPr>
          <w:rFonts w:ascii="Verdana" w:hAnsi="Verdana"/>
        </w:rPr>
        <w:t>The indicator underlying the map takes into account "average and major anthropogenic fragmentation" (roads, railways, built-up areas, etc.) and excludes natural barriers.</w:t>
      </w:r>
      <w:r w:rsidRPr="00EC75B7">
        <w:rPr>
          <w:rFonts w:ascii="Verdana" w:hAnsi="Verdana"/>
          <w:spacing w:val="27"/>
        </w:rPr>
        <w:t xml:space="preserve"> </w:t>
      </w:r>
      <w:r w:rsidRPr="00EC75B7">
        <w:rPr>
          <w:rFonts w:ascii="Verdana" w:hAnsi="Verdana"/>
        </w:rPr>
        <w:t>The figure below shows that the highest values of landscape fragmentation are found in the north-west of the site, in the area of turbine T32. Based on the landscape fragmentation analysis, we can conclude that the project implementation area (Cerchezu commune) is associated with a very low fragmentation value.</w:t>
      </w:r>
    </w:p>
    <w:p w14:paraId="0FEE6AAD" w14:textId="2D008F52" w:rsidR="008715BE" w:rsidRPr="00EC75B7" w:rsidRDefault="009069FA" w:rsidP="009069FA">
      <w:pPr>
        <w:pStyle w:val="BodyText"/>
        <w:spacing w:before="1"/>
        <w:jc w:val="center"/>
        <w:rPr>
          <w:rFonts w:ascii="Verdana" w:hAnsi="Verdana"/>
        </w:rPr>
      </w:pPr>
      <w:r>
        <w:rPr>
          <w:noProof/>
        </w:rPr>
        <w:drawing>
          <wp:inline distT="0" distB="0" distL="0" distR="0" wp14:anchorId="7737CAEE" wp14:editId="314403AC">
            <wp:extent cx="4946650" cy="3498649"/>
            <wp:effectExtent l="0" t="0" r="6350" b="6985"/>
            <wp:docPr id="113278748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50401" cy="3501302"/>
                    </a:xfrm>
                    <a:prstGeom prst="rect">
                      <a:avLst/>
                    </a:prstGeom>
                    <a:noFill/>
                    <a:ln>
                      <a:noFill/>
                    </a:ln>
                  </pic:spPr>
                </pic:pic>
              </a:graphicData>
            </a:graphic>
          </wp:inline>
        </w:drawing>
      </w:r>
    </w:p>
    <w:p w14:paraId="487F23E6" w14:textId="77777777" w:rsidR="008715BE" w:rsidRPr="00EC75B7" w:rsidRDefault="008715BE">
      <w:pPr>
        <w:pStyle w:val="BodyText"/>
        <w:spacing w:before="48"/>
        <w:rPr>
          <w:rFonts w:ascii="Verdana" w:hAnsi="Verdana"/>
        </w:rPr>
      </w:pPr>
    </w:p>
    <w:p w14:paraId="5090F91C" w14:textId="77777777" w:rsidR="008715BE" w:rsidRPr="00EC75B7" w:rsidRDefault="00000000">
      <w:pPr>
        <w:ind w:left="30" w:right="368"/>
        <w:jc w:val="center"/>
        <w:rPr>
          <w:rFonts w:ascii="Verdana" w:hAnsi="Verdana"/>
          <w:sz w:val="18"/>
          <w:szCs w:val="18"/>
        </w:rPr>
      </w:pPr>
      <w:r w:rsidRPr="00EC75B7">
        <w:rPr>
          <w:rFonts w:ascii="Verdana" w:hAnsi="Verdana"/>
          <w:color w:val="009DEF"/>
          <w:sz w:val="18"/>
          <w:szCs w:val="18"/>
        </w:rPr>
        <w:t xml:space="preserve">Source: European </w:t>
      </w:r>
      <w:r w:rsidRPr="00EC75B7">
        <w:rPr>
          <w:rFonts w:ascii="Verdana" w:hAnsi="Verdana"/>
          <w:color w:val="009DEF"/>
          <w:spacing w:val="-2"/>
          <w:sz w:val="18"/>
          <w:szCs w:val="18"/>
        </w:rPr>
        <w:t xml:space="preserve">Environment </w:t>
      </w:r>
      <w:r w:rsidRPr="00EC75B7">
        <w:rPr>
          <w:rFonts w:ascii="Verdana" w:hAnsi="Verdana"/>
          <w:color w:val="009DEF"/>
          <w:sz w:val="18"/>
          <w:szCs w:val="18"/>
        </w:rPr>
        <w:t>Agency</w:t>
      </w:r>
      <w:r w:rsidRPr="00EC75B7">
        <w:rPr>
          <w:rFonts w:ascii="Verdana" w:hAnsi="Verdana"/>
          <w:color w:val="009DEF"/>
          <w:spacing w:val="-2"/>
          <w:sz w:val="18"/>
          <w:szCs w:val="18"/>
          <w:vertAlign w:val="superscript"/>
        </w:rPr>
        <w:t>23</w:t>
      </w:r>
    </w:p>
    <w:p w14:paraId="64B176BE" w14:textId="77777777" w:rsidR="008715BE" w:rsidRPr="00EC75B7" w:rsidRDefault="00000000">
      <w:pPr>
        <w:spacing w:before="170"/>
        <w:ind w:left="1149"/>
        <w:rPr>
          <w:rFonts w:ascii="Verdana" w:hAnsi="Verdana"/>
          <w:b/>
          <w:sz w:val="18"/>
          <w:szCs w:val="18"/>
        </w:rPr>
      </w:pPr>
      <w:r w:rsidRPr="00EC75B7">
        <w:rPr>
          <w:rFonts w:ascii="Verdana" w:hAnsi="Verdana"/>
          <w:b/>
          <w:color w:val="009DEF"/>
          <w:sz w:val="18"/>
          <w:szCs w:val="18"/>
        </w:rPr>
        <w:t xml:space="preserve">Figure 48 Degree of landscape fragmentation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implementation area</w:t>
      </w:r>
    </w:p>
    <w:p w14:paraId="0725537C" w14:textId="77777777" w:rsidR="008715BE" w:rsidRPr="00EC75B7" w:rsidRDefault="008715BE">
      <w:pPr>
        <w:pStyle w:val="BodyText"/>
        <w:rPr>
          <w:rFonts w:ascii="Verdana" w:hAnsi="Verdana"/>
          <w:b/>
        </w:rPr>
      </w:pPr>
    </w:p>
    <w:p w14:paraId="3E006435" w14:textId="77777777" w:rsidR="008715BE" w:rsidRPr="00EC75B7" w:rsidRDefault="008715BE">
      <w:pPr>
        <w:pStyle w:val="BodyText"/>
        <w:spacing w:before="86"/>
        <w:rPr>
          <w:rFonts w:ascii="Verdana" w:hAnsi="Verdana"/>
          <w:b/>
        </w:rPr>
      </w:pPr>
    </w:p>
    <w:p w14:paraId="30112CE2" w14:textId="77777777" w:rsidR="008715BE" w:rsidRPr="00EC75B7" w:rsidRDefault="00000000">
      <w:pPr>
        <w:spacing w:line="244" w:lineRule="auto"/>
        <w:ind w:left="141" w:right="309" w:hanging="85"/>
        <w:rPr>
          <w:rFonts w:ascii="Verdana" w:hAnsi="Verdana"/>
          <w:sz w:val="18"/>
          <w:szCs w:val="18"/>
        </w:rPr>
      </w:pPr>
      <w:r w:rsidRPr="00EC75B7">
        <w:rPr>
          <w:rFonts w:ascii="Verdana" w:hAnsi="Verdana"/>
          <w:color w:val="797766"/>
          <w:position w:val="4"/>
          <w:sz w:val="18"/>
          <w:szCs w:val="18"/>
        </w:rPr>
        <w:t>23</w:t>
      </w:r>
      <w:r w:rsidRPr="00EC75B7">
        <w:rPr>
          <w:rFonts w:ascii="Verdana" w:hAnsi="Verdana"/>
          <w:color w:val="797766"/>
          <w:sz w:val="18"/>
          <w:szCs w:val="18"/>
        </w:rPr>
        <w:t xml:space="preserve">  Landscape fragmentation Effective Mesh Density time-series: major and medium anthropogenic fragmenting elements (FGA2-S) — European Environment Agency (europa.eu)</w:t>
      </w:r>
    </w:p>
    <w:p w14:paraId="1DF39599" w14:textId="77777777" w:rsidR="008715BE" w:rsidRPr="00EC75B7" w:rsidRDefault="008715BE">
      <w:pPr>
        <w:spacing w:line="244" w:lineRule="auto"/>
        <w:rPr>
          <w:rFonts w:ascii="Verdana" w:hAnsi="Verdana"/>
          <w:sz w:val="18"/>
          <w:szCs w:val="18"/>
        </w:rPr>
        <w:sectPr w:rsidR="008715BE" w:rsidRPr="00EC75B7">
          <w:pgSz w:w="11910" w:h="16840"/>
          <w:pgMar w:top="1320" w:right="566" w:bottom="1000" w:left="1133" w:header="766" w:footer="799" w:gutter="0"/>
          <w:cols w:space="708"/>
        </w:sectPr>
      </w:pPr>
    </w:p>
    <w:p w14:paraId="24BECA9A" w14:textId="77777777" w:rsidR="008715BE" w:rsidRPr="00EC75B7" w:rsidRDefault="008715BE">
      <w:pPr>
        <w:pStyle w:val="BodyText"/>
        <w:rPr>
          <w:rFonts w:ascii="Verdana" w:hAnsi="Verdana"/>
        </w:rPr>
      </w:pPr>
    </w:p>
    <w:p w14:paraId="466F3C61" w14:textId="77777777" w:rsidR="008715BE" w:rsidRPr="00EC75B7" w:rsidRDefault="008715BE">
      <w:pPr>
        <w:pStyle w:val="BodyText"/>
        <w:spacing w:before="113"/>
        <w:rPr>
          <w:rFonts w:ascii="Verdana" w:hAnsi="Verdana"/>
        </w:rPr>
      </w:pPr>
    </w:p>
    <w:p w14:paraId="346C2530" w14:textId="77777777" w:rsidR="008715BE" w:rsidRPr="00EC75B7" w:rsidRDefault="00000000">
      <w:pPr>
        <w:pStyle w:val="Heading3"/>
        <w:numPr>
          <w:ilvl w:val="2"/>
          <w:numId w:val="110"/>
        </w:numPr>
        <w:tabs>
          <w:tab w:val="left" w:pos="1766"/>
        </w:tabs>
        <w:ind w:left="1766" w:hanging="715"/>
        <w:rPr>
          <w:rFonts w:ascii="Verdana" w:hAnsi="Verdana"/>
          <w:i/>
          <w:color w:val="00AFEF"/>
          <w:sz w:val="18"/>
          <w:szCs w:val="18"/>
        </w:rPr>
      </w:pPr>
      <w:bookmarkStart w:id="67" w:name="_bookmark68"/>
      <w:bookmarkEnd w:id="67"/>
      <w:r w:rsidRPr="00EC75B7">
        <w:rPr>
          <w:rFonts w:ascii="Verdana" w:hAnsi="Verdana"/>
          <w:color w:val="00AFEF"/>
          <w:spacing w:val="-2"/>
          <w:sz w:val="18"/>
          <w:szCs w:val="18"/>
        </w:rPr>
        <w:t>Topography</w:t>
      </w:r>
    </w:p>
    <w:p w14:paraId="33DB7502" w14:textId="77777777" w:rsidR="008715BE" w:rsidRPr="00EC75B7" w:rsidRDefault="008715BE">
      <w:pPr>
        <w:pStyle w:val="BodyText"/>
        <w:spacing w:before="117"/>
        <w:rPr>
          <w:rFonts w:ascii="Verdana" w:hAnsi="Verdana"/>
          <w:b/>
        </w:rPr>
      </w:pPr>
    </w:p>
    <w:p w14:paraId="0524AE03" w14:textId="77777777" w:rsidR="008715BE" w:rsidRPr="00EC75B7" w:rsidRDefault="00000000">
      <w:pPr>
        <w:pStyle w:val="BodyText"/>
        <w:spacing w:line="357" w:lineRule="auto"/>
        <w:ind w:left="86" w:right="426"/>
        <w:jc w:val="both"/>
        <w:rPr>
          <w:rFonts w:ascii="Verdana" w:hAnsi="Verdana"/>
        </w:rPr>
      </w:pPr>
      <w:r w:rsidRPr="00EC75B7">
        <w:rPr>
          <w:rFonts w:ascii="Verdana" w:hAnsi="Verdana"/>
        </w:rPr>
        <w:t>The territory of Cerchezu commune is located in the southwestern part of Constanța County, within the geomorphological unit of the Southern Dobrogea Plateau. The relief is characterized by plains and a slightly fragmented plateau, with low altitudes and small topographical variations, specific to the southern part of Dobrogea.</w:t>
      </w:r>
    </w:p>
    <w:p w14:paraId="6B346C39" w14:textId="77777777" w:rsidR="008715BE" w:rsidRPr="00EC75B7" w:rsidRDefault="00000000">
      <w:pPr>
        <w:pStyle w:val="BodyText"/>
        <w:spacing w:before="119" w:line="360" w:lineRule="auto"/>
        <w:ind w:left="86" w:right="426"/>
        <w:jc w:val="both"/>
        <w:rPr>
          <w:rFonts w:ascii="Verdana" w:hAnsi="Verdana"/>
        </w:rPr>
      </w:pPr>
      <w:r w:rsidRPr="00EC75B7">
        <w:rPr>
          <w:rFonts w:ascii="Verdana" w:hAnsi="Verdana"/>
        </w:rPr>
        <w:t>Altitudes generally range from 50 to 120 m, and slopes are gentle or very slight, with no major discontinuities in relief. The lack of steep slopes and large differences in elevation gives the area a stable topography, favorable for the location of linear and point infrastructures.</w:t>
      </w:r>
    </w:p>
    <w:p w14:paraId="5528BD51" w14:textId="77777777" w:rsidR="008715BE" w:rsidRPr="00EC75B7" w:rsidRDefault="00000000">
      <w:pPr>
        <w:pStyle w:val="BodyText"/>
        <w:spacing w:before="117" w:line="357" w:lineRule="auto"/>
        <w:ind w:left="86" w:right="434"/>
        <w:jc w:val="both"/>
        <w:rPr>
          <w:rFonts w:ascii="Verdana" w:hAnsi="Verdana"/>
        </w:rPr>
      </w:pPr>
      <w:r w:rsidRPr="00EC75B7">
        <w:rPr>
          <w:rFonts w:ascii="Verdana" w:hAnsi="Verdana"/>
        </w:rPr>
        <w:t>The relief is predominantly gently undulating, shaped by slow geomorphological processes, and the valley network is poorly developed, temporary in nature, and mainly active following heavy rainfall. There are no mountainous relief features, pronounced hills, or areas with potentially unstable geomorphology.</w:t>
      </w:r>
    </w:p>
    <w:p w14:paraId="16F3BAF3" w14:textId="77777777" w:rsidR="008715BE" w:rsidRPr="00EC75B7" w:rsidRDefault="00000000">
      <w:pPr>
        <w:pStyle w:val="BodyText"/>
        <w:spacing w:before="123" w:line="360" w:lineRule="auto"/>
        <w:ind w:left="86" w:right="431"/>
        <w:jc w:val="both"/>
        <w:rPr>
          <w:rFonts w:ascii="Verdana" w:hAnsi="Verdana"/>
        </w:rPr>
      </w:pPr>
      <w:r w:rsidRPr="00EC75B7">
        <w:rPr>
          <w:rFonts w:ascii="Verdana" w:hAnsi="Verdana"/>
        </w:rPr>
        <w:t>From a topographical point of view, the area does not present significant constraints for the development of infrastructure projects, being suitable for the implementation of wind farms.</w:t>
      </w:r>
    </w:p>
    <w:p w14:paraId="1F57ACAF" w14:textId="77777777" w:rsidR="008715BE" w:rsidRPr="00EC75B7" w:rsidRDefault="008715BE">
      <w:pPr>
        <w:pStyle w:val="BodyText"/>
        <w:spacing w:before="19"/>
        <w:rPr>
          <w:rFonts w:ascii="Verdana" w:hAnsi="Verdana"/>
        </w:rPr>
      </w:pPr>
    </w:p>
    <w:p w14:paraId="01887617" w14:textId="77777777" w:rsidR="008715BE" w:rsidRPr="00EC75B7" w:rsidRDefault="00000000">
      <w:pPr>
        <w:pStyle w:val="Heading2"/>
        <w:numPr>
          <w:ilvl w:val="1"/>
          <w:numId w:val="110"/>
        </w:numPr>
        <w:tabs>
          <w:tab w:val="left" w:pos="835"/>
        </w:tabs>
        <w:ind w:hanging="720"/>
        <w:jc w:val="left"/>
        <w:rPr>
          <w:rFonts w:ascii="Verdana" w:hAnsi="Verdana"/>
          <w:color w:val="00AFEF"/>
          <w:sz w:val="18"/>
          <w:szCs w:val="18"/>
        </w:rPr>
      </w:pPr>
      <w:bookmarkStart w:id="68" w:name="_bookmark69"/>
      <w:bookmarkEnd w:id="68"/>
      <w:r w:rsidRPr="00EC75B7">
        <w:rPr>
          <w:rFonts w:ascii="Verdana" w:hAnsi="Verdana"/>
          <w:color w:val="00AFEF"/>
          <w:sz w:val="18"/>
          <w:szCs w:val="18"/>
        </w:rPr>
        <w:t xml:space="preserve">Brief description of the likely evolution of the state of the environment </w:t>
      </w:r>
      <w:r w:rsidRPr="00EC75B7">
        <w:rPr>
          <w:rFonts w:ascii="Verdana" w:hAnsi="Verdana"/>
          <w:color w:val="00AFEF"/>
          <w:spacing w:val="-4"/>
          <w:sz w:val="18"/>
          <w:szCs w:val="18"/>
        </w:rPr>
        <w:t>if</w:t>
      </w:r>
    </w:p>
    <w:p w14:paraId="6B2712E4" w14:textId="77777777" w:rsidR="008715BE" w:rsidRPr="00EC75B7" w:rsidRDefault="00000000">
      <w:pPr>
        <w:spacing w:before="132"/>
        <w:ind w:left="835"/>
        <w:rPr>
          <w:rFonts w:ascii="Verdana" w:hAnsi="Verdana"/>
          <w:b/>
          <w:sz w:val="18"/>
          <w:szCs w:val="18"/>
        </w:rPr>
      </w:pPr>
      <w:r w:rsidRPr="00EC75B7">
        <w:rPr>
          <w:rFonts w:ascii="Verdana" w:hAnsi="Verdana"/>
          <w:b/>
          <w:color w:val="00AFEF"/>
          <w:sz w:val="18"/>
          <w:szCs w:val="18"/>
        </w:rPr>
        <w:t xml:space="preserve">the project is not </w:t>
      </w:r>
      <w:r w:rsidRPr="00EC75B7">
        <w:rPr>
          <w:rFonts w:ascii="Verdana" w:hAnsi="Verdana"/>
          <w:b/>
          <w:color w:val="00AFEF"/>
          <w:spacing w:val="-2"/>
          <w:sz w:val="18"/>
          <w:szCs w:val="18"/>
        </w:rPr>
        <w:t>implemented</w:t>
      </w:r>
    </w:p>
    <w:p w14:paraId="550C9A0E" w14:textId="77777777" w:rsidR="008715BE" w:rsidRPr="00EC75B7" w:rsidRDefault="008715BE">
      <w:pPr>
        <w:pStyle w:val="BodyText"/>
        <w:spacing w:before="101"/>
        <w:rPr>
          <w:rFonts w:ascii="Verdana" w:hAnsi="Verdana"/>
          <w:b/>
        </w:rPr>
      </w:pPr>
    </w:p>
    <w:p w14:paraId="5F7EFFBF" w14:textId="77777777" w:rsidR="008715BE" w:rsidRPr="00EC75B7" w:rsidRDefault="00000000">
      <w:pPr>
        <w:pStyle w:val="BodyText"/>
        <w:spacing w:line="360" w:lineRule="auto"/>
        <w:ind w:left="86" w:right="423"/>
        <w:jc w:val="both"/>
        <w:rPr>
          <w:rFonts w:ascii="Verdana" w:hAnsi="Verdana"/>
        </w:rPr>
      </w:pPr>
      <w:r w:rsidRPr="00EC75B7">
        <w:rPr>
          <w:rFonts w:ascii="Verdana" w:hAnsi="Verdana"/>
        </w:rPr>
        <w:t>The following table provides a brief description of the likely evolution of the state of the environment if the project is not implemented, to the extent that natural changes from the baseline scenario can be reasonably assessed based on available environmental information and scientific knowledge. The most important aspects relevant to the project under review have been retained in this section.</w:t>
      </w:r>
    </w:p>
    <w:p w14:paraId="26263B79" w14:textId="77777777" w:rsidR="008715BE" w:rsidRPr="00EC75B7" w:rsidRDefault="008715BE">
      <w:pPr>
        <w:pStyle w:val="BodyText"/>
        <w:spacing w:line="360" w:lineRule="auto"/>
        <w:jc w:val="both"/>
        <w:rPr>
          <w:rFonts w:ascii="Verdana" w:hAnsi="Verdana"/>
        </w:rPr>
        <w:sectPr w:rsidR="008715BE" w:rsidRPr="00EC75B7">
          <w:pgSz w:w="11910" w:h="16840"/>
          <w:pgMar w:top="1320" w:right="566" w:bottom="1020" w:left="1133" w:header="766" w:footer="799" w:gutter="0"/>
          <w:cols w:space="708"/>
        </w:sectPr>
      </w:pPr>
    </w:p>
    <w:p w14:paraId="23C458D1"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19 Brief description of the likely evolution of the state of the environment if the project is not </w:t>
      </w:r>
      <w:r w:rsidRPr="00EC75B7">
        <w:rPr>
          <w:rFonts w:ascii="Verdana" w:hAnsi="Verdana"/>
          <w:b/>
          <w:color w:val="00AFEF"/>
          <w:spacing w:val="-2"/>
          <w:sz w:val="18"/>
          <w:szCs w:val="18"/>
        </w:rPr>
        <w:t>implemented</w:t>
      </w: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10"/>
        <w:gridCol w:w="5528"/>
        <w:gridCol w:w="5956"/>
        <w:gridCol w:w="1702"/>
      </w:tblGrid>
      <w:tr w:rsidR="008715BE" w:rsidRPr="00EC75B7" w14:paraId="3EF58DF1" w14:textId="77777777">
        <w:trPr>
          <w:trHeight w:val="974"/>
        </w:trPr>
        <w:tc>
          <w:tcPr>
            <w:tcW w:w="1810" w:type="dxa"/>
            <w:shd w:val="clear" w:color="auto" w:fill="00AFEF"/>
          </w:tcPr>
          <w:p w14:paraId="3E9004D2" w14:textId="77777777" w:rsidR="008715BE" w:rsidRPr="00EC75B7" w:rsidRDefault="008715BE">
            <w:pPr>
              <w:pStyle w:val="TableParagraph"/>
              <w:spacing w:before="195"/>
              <w:rPr>
                <w:rFonts w:ascii="Verdana" w:hAnsi="Verdana"/>
                <w:b/>
                <w:sz w:val="18"/>
                <w:szCs w:val="18"/>
              </w:rPr>
            </w:pPr>
          </w:p>
          <w:p w14:paraId="3615BD4A" w14:textId="77777777" w:rsidR="008715BE" w:rsidRPr="00EC75B7" w:rsidRDefault="00000000">
            <w:pPr>
              <w:pStyle w:val="TableParagraph"/>
              <w:ind w:left="335"/>
              <w:rPr>
                <w:rFonts w:ascii="Verdana" w:hAnsi="Verdana"/>
                <w:b/>
                <w:sz w:val="18"/>
                <w:szCs w:val="18"/>
              </w:rPr>
            </w:pPr>
            <w:r w:rsidRPr="00EC75B7">
              <w:rPr>
                <w:rFonts w:ascii="Verdana" w:hAnsi="Verdana"/>
                <w:b/>
                <w:color w:val="FFFFFF"/>
                <w:spacing w:val="-2"/>
                <w:sz w:val="18"/>
                <w:szCs w:val="18"/>
              </w:rPr>
              <w:t>Component</w:t>
            </w:r>
          </w:p>
        </w:tc>
        <w:tc>
          <w:tcPr>
            <w:tcW w:w="5528" w:type="dxa"/>
            <w:shd w:val="clear" w:color="auto" w:fill="00AFEF"/>
          </w:tcPr>
          <w:p w14:paraId="7B0B80EB" w14:textId="77777777" w:rsidR="008715BE" w:rsidRPr="00EC75B7" w:rsidRDefault="008715BE">
            <w:pPr>
              <w:pStyle w:val="TableParagraph"/>
              <w:spacing w:before="195"/>
              <w:rPr>
                <w:rFonts w:ascii="Verdana" w:hAnsi="Verdana"/>
                <w:b/>
                <w:sz w:val="18"/>
                <w:szCs w:val="18"/>
              </w:rPr>
            </w:pPr>
          </w:p>
          <w:p w14:paraId="035DAAB1" w14:textId="77777777" w:rsidR="008715BE" w:rsidRPr="00EC75B7" w:rsidRDefault="00000000">
            <w:pPr>
              <w:pStyle w:val="TableParagraph"/>
              <w:ind w:left="347"/>
              <w:rPr>
                <w:rFonts w:ascii="Verdana" w:hAnsi="Verdana"/>
                <w:b/>
                <w:sz w:val="18"/>
                <w:szCs w:val="18"/>
              </w:rPr>
            </w:pPr>
            <w:r w:rsidRPr="00EC75B7">
              <w:rPr>
                <w:rFonts w:ascii="Verdana" w:hAnsi="Verdana"/>
                <w:b/>
                <w:color w:val="FFFFFF"/>
                <w:sz w:val="18"/>
                <w:szCs w:val="18"/>
              </w:rPr>
              <w:t xml:space="preserve">Main characteristics of the current state of </w:t>
            </w:r>
            <w:r w:rsidRPr="00EC75B7">
              <w:rPr>
                <w:rFonts w:ascii="Verdana" w:hAnsi="Verdana"/>
                <w:b/>
                <w:color w:val="FFFFFF"/>
                <w:spacing w:val="-2"/>
                <w:sz w:val="18"/>
                <w:szCs w:val="18"/>
              </w:rPr>
              <w:t>the environment</w:t>
            </w:r>
          </w:p>
        </w:tc>
        <w:tc>
          <w:tcPr>
            <w:tcW w:w="5956" w:type="dxa"/>
            <w:shd w:val="clear" w:color="auto" w:fill="00AFEF"/>
          </w:tcPr>
          <w:p w14:paraId="3B69EA65" w14:textId="77777777" w:rsidR="008715BE" w:rsidRPr="00EC75B7" w:rsidRDefault="008715BE">
            <w:pPr>
              <w:pStyle w:val="TableParagraph"/>
              <w:spacing w:before="96"/>
              <w:rPr>
                <w:rFonts w:ascii="Verdana" w:hAnsi="Verdana"/>
                <w:b/>
                <w:sz w:val="18"/>
                <w:szCs w:val="18"/>
              </w:rPr>
            </w:pPr>
          </w:p>
          <w:p w14:paraId="6951F0F7" w14:textId="77777777" w:rsidR="008715BE" w:rsidRPr="00EC75B7" w:rsidRDefault="00000000">
            <w:pPr>
              <w:pStyle w:val="TableParagraph"/>
              <w:spacing w:line="195" w:lineRule="exact"/>
              <w:ind w:left="6" w:right="3"/>
              <w:jc w:val="center"/>
              <w:rPr>
                <w:rFonts w:ascii="Verdana" w:hAnsi="Verdana"/>
                <w:b/>
                <w:sz w:val="18"/>
                <w:szCs w:val="18"/>
              </w:rPr>
            </w:pPr>
            <w:r w:rsidRPr="00EC75B7">
              <w:rPr>
                <w:rFonts w:ascii="Verdana" w:hAnsi="Verdana"/>
                <w:b/>
                <w:color w:val="FFFFFF"/>
                <w:sz w:val="18"/>
                <w:szCs w:val="18"/>
              </w:rPr>
              <w:t xml:space="preserve">Likely evolution of the environmental situation if the project </w:t>
            </w:r>
            <w:r w:rsidRPr="00EC75B7">
              <w:rPr>
                <w:rFonts w:ascii="Verdana" w:hAnsi="Verdana"/>
                <w:b/>
                <w:color w:val="FFFFFF"/>
                <w:spacing w:val="-5"/>
                <w:sz w:val="18"/>
                <w:szCs w:val="18"/>
              </w:rPr>
              <w:t>is not</w:t>
            </w:r>
          </w:p>
          <w:p w14:paraId="0796307D" w14:textId="77777777" w:rsidR="008715BE" w:rsidRPr="00EC75B7" w:rsidRDefault="00000000">
            <w:pPr>
              <w:pStyle w:val="TableParagraph"/>
              <w:spacing w:line="195" w:lineRule="exact"/>
              <w:ind w:left="6"/>
              <w:jc w:val="center"/>
              <w:rPr>
                <w:rFonts w:ascii="Verdana" w:hAnsi="Verdana"/>
                <w:b/>
                <w:sz w:val="18"/>
                <w:szCs w:val="18"/>
              </w:rPr>
            </w:pPr>
            <w:r w:rsidRPr="00EC75B7">
              <w:rPr>
                <w:rFonts w:ascii="Verdana" w:hAnsi="Verdana"/>
                <w:b/>
                <w:color w:val="FFFFFF"/>
                <w:sz w:val="18"/>
                <w:szCs w:val="18"/>
              </w:rPr>
              <w:t xml:space="preserve">is </w:t>
            </w:r>
            <w:r w:rsidRPr="00EC75B7">
              <w:rPr>
                <w:rFonts w:ascii="Verdana" w:hAnsi="Verdana"/>
                <w:b/>
                <w:color w:val="FFFFFF"/>
                <w:spacing w:val="-2"/>
                <w:sz w:val="18"/>
                <w:szCs w:val="18"/>
              </w:rPr>
              <w:t>implemented</w:t>
            </w:r>
          </w:p>
        </w:tc>
        <w:tc>
          <w:tcPr>
            <w:tcW w:w="1702" w:type="dxa"/>
            <w:shd w:val="clear" w:color="auto" w:fill="00AFEF"/>
          </w:tcPr>
          <w:p w14:paraId="27CEEF72" w14:textId="77777777" w:rsidR="008715BE" w:rsidRPr="00EC75B7" w:rsidRDefault="00000000">
            <w:pPr>
              <w:pStyle w:val="TableParagraph"/>
              <w:spacing w:before="1"/>
              <w:ind w:left="82" w:right="73"/>
              <w:jc w:val="center"/>
              <w:rPr>
                <w:rFonts w:ascii="Verdana" w:hAnsi="Verdana"/>
                <w:b/>
                <w:sz w:val="18"/>
                <w:szCs w:val="18"/>
              </w:rPr>
            </w:pPr>
            <w:r w:rsidRPr="00EC75B7">
              <w:rPr>
                <w:rFonts w:ascii="Verdana" w:hAnsi="Verdana"/>
                <w:b/>
                <w:color w:val="FFFFFF"/>
                <w:sz w:val="18"/>
                <w:szCs w:val="18"/>
              </w:rPr>
              <w:t>Overall</w:t>
            </w:r>
            <w:r w:rsidRPr="00EC75B7">
              <w:rPr>
                <w:rFonts w:ascii="Verdana" w:hAnsi="Verdana"/>
                <w:b/>
                <w:color w:val="FFFFFF"/>
                <w:spacing w:val="-2"/>
                <w:sz w:val="18"/>
                <w:szCs w:val="18"/>
              </w:rPr>
              <w:t xml:space="preserve"> assessment </w:t>
            </w:r>
            <w:r w:rsidRPr="00EC75B7">
              <w:rPr>
                <w:rFonts w:ascii="Verdana" w:hAnsi="Verdana"/>
                <w:b/>
                <w:color w:val="FFFFFF"/>
                <w:sz w:val="18"/>
                <w:szCs w:val="18"/>
              </w:rPr>
              <w:t xml:space="preserve">of </w:t>
            </w:r>
            <w:r w:rsidRPr="00EC75B7">
              <w:rPr>
                <w:rFonts w:ascii="Verdana" w:hAnsi="Verdana"/>
                <w:b/>
                <w:color w:val="FFFFFF"/>
                <w:spacing w:val="-2"/>
                <w:sz w:val="18"/>
                <w:szCs w:val="18"/>
              </w:rPr>
              <w:t>the likely evolution of</w:t>
            </w:r>
          </w:p>
          <w:p w14:paraId="48C4BF8E" w14:textId="77777777" w:rsidR="008715BE" w:rsidRPr="00EC75B7" w:rsidRDefault="00000000">
            <w:pPr>
              <w:pStyle w:val="TableParagraph"/>
              <w:spacing w:line="171" w:lineRule="exact"/>
              <w:ind w:left="82" w:right="73"/>
              <w:jc w:val="center"/>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status</w:t>
            </w:r>
          </w:p>
        </w:tc>
      </w:tr>
      <w:tr w:rsidR="008715BE" w:rsidRPr="00EC75B7" w14:paraId="3A3B3A53" w14:textId="77777777">
        <w:trPr>
          <w:trHeight w:val="3499"/>
        </w:trPr>
        <w:tc>
          <w:tcPr>
            <w:tcW w:w="1810" w:type="dxa"/>
          </w:tcPr>
          <w:p w14:paraId="6D532AD8" w14:textId="4710E822" w:rsidR="008715BE" w:rsidRPr="00EC75B7" w:rsidRDefault="00000000">
            <w:pPr>
              <w:pStyle w:val="TableParagraph"/>
              <w:tabs>
                <w:tab w:val="left" w:pos="1573"/>
              </w:tabs>
              <w:ind w:left="105" w:right="97"/>
              <w:rPr>
                <w:rFonts w:ascii="Verdana" w:hAnsi="Verdana"/>
                <w:sz w:val="18"/>
                <w:szCs w:val="18"/>
              </w:rPr>
            </w:pPr>
            <w:r w:rsidRPr="00EC75B7">
              <w:rPr>
                <w:rFonts w:ascii="Verdana" w:hAnsi="Verdana"/>
                <w:spacing w:val="-2"/>
                <w:sz w:val="18"/>
                <w:szCs w:val="18"/>
              </w:rPr>
              <w:t>Population</w:t>
            </w:r>
            <w:r w:rsidR="00692EED">
              <w:rPr>
                <w:rFonts w:ascii="Verdana" w:hAnsi="Verdana"/>
                <w:sz w:val="18"/>
                <w:szCs w:val="18"/>
              </w:rPr>
              <w:t xml:space="preserve"> </w:t>
            </w:r>
            <w:r w:rsidRPr="00EC75B7">
              <w:rPr>
                <w:rFonts w:ascii="Verdana" w:hAnsi="Verdana"/>
                <w:spacing w:val="-6"/>
                <w:sz w:val="18"/>
                <w:szCs w:val="18"/>
              </w:rPr>
              <w:t xml:space="preserve">and </w:t>
            </w:r>
            <w:r w:rsidRPr="00EC75B7">
              <w:rPr>
                <w:rFonts w:ascii="Verdana" w:hAnsi="Verdana"/>
                <w:sz w:val="18"/>
                <w:szCs w:val="18"/>
              </w:rPr>
              <w:t>human health</w:t>
            </w:r>
          </w:p>
        </w:tc>
        <w:tc>
          <w:tcPr>
            <w:tcW w:w="5528" w:type="dxa"/>
          </w:tcPr>
          <w:p w14:paraId="2A9F8792" w14:textId="77777777" w:rsidR="008715BE" w:rsidRPr="00EC75B7" w:rsidRDefault="00000000">
            <w:pPr>
              <w:pStyle w:val="TableParagraph"/>
              <w:ind w:left="105" w:right="101"/>
              <w:jc w:val="both"/>
              <w:rPr>
                <w:rFonts w:ascii="Verdana" w:hAnsi="Verdana"/>
                <w:sz w:val="18"/>
                <w:szCs w:val="18"/>
              </w:rPr>
            </w:pPr>
            <w:r w:rsidRPr="00EC75B7">
              <w:rPr>
                <w:rFonts w:ascii="Verdana" w:hAnsi="Verdana"/>
                <w:sz w:val="18"/>
                <w:szCs w:val="18"/>
              </w:rPr>
              <w:t>According to the latest census conducted in 2021, the total population of Cerchezu commune, as of July 1, was 1,360 people, of whom 645 were women and 711 were men.</w:t>
            </w:r>
          </w:p>
          <w:p w14:paraId="4520C37B" w14:textId="77777777" w:rsidR="008715BE" w:rsidRPr="00EC75B7" w:rsidRDefault="00000000">
            <w:pPr>
              <w:pStyle w:val="TableParagraph"/>
              <w:ind w:left="105" w:right="99"/>
              <w:jc w:val="both"/>
              <w:rPr>
                <w:rFonts w:ascii="Verdana" w:hAnsi="Verdana"/>
                <w:sz w:val="18"/>
                <w:szCs w:val="18"/>
              </w:rPr>
            </w:pPr>
            <w:r w:rsidRPr="00EC75B7">
              <w:rPr>
                <w:rFonts w:ascii="Verdana" w:hAnsi="Verdana"/>
                <w:sz w:val="18"/>
                <w:szCs w:val="18"/>
              </w:rPr>
              <w:t xml:space="preserve">The population density of Cerchezu commune was 16.25 </w:t>
            </w:r>
            <w:r w:rsidRPr="00EC75B7">
              <w:rPr>
                <w:rFonts w:ascii="Verdana" w:hAnsi="Verdana"/>
                <w:sz w:val="18"/>
                <w:szCs w:val="18"/>
                <w:vertAlign w:val="superscript"/>
              </w:rPr>
              <w:t>inhabitants/km²</w:t>
            </w:r>
            <w:r w:rsidRPr="00EC75B7">
              <w:rPr>
                <w:rFonts w:ascii="Verdana" w:hAnsi="Verdana"/>
                <w:sz w:val="18"/>
                <w:szCs w:val="18"/>
              </w:rPr>
              <w:t>in 2021, lower than the county density (108.</w:t>
            </w:r>
            <w:r w:rsidRPr="00EC75B7">
              <w:rPr>
                <w:rFonts w:ascii="Verdana" w:hAnsi="Verdana"/>
                <w:sz w:val="18"/>
                <w:szCs w:val="18"/>
                <w:vertAlign w:val="superscript"/>
              </w:rPr>
              <w:t>6 inhabitants/km²</w:t>
            </w:r>
            <w:r w:rsidRPr="00EC75B7">
              <w:rPr>
                <w:rFonts w:ascii="Verdana" w:hAnsi="Verdana"/>
                <w:sz w:val="18"/>
                <w:szCs w:val="18"/>
              </w:rPr>
              <w:t>), regional density (71.2 inhabitants/km²)</w:t>
            </w:r>
            <w:r w:rsidRPr="00EC75B7">
              <w:rPr>
                <w:rFonts w:ascii="Verdana" w:hAnsi="Verdana"/>
                <w:sz w:val="18"/>
                <w:szCs w:val="18"/>
                <w:vertAlign w:val="superscript"/>
              </w:rPr>
              <w:t>,</w:t>
            </w:r>
            <w:r w:rsidRPr="00EC75B7">
              <w:rPr>
                <w:rFonts w:ascii="Verdana" w:hAnsi="Verdana"/>
                <w:sz w:val="18"/>
                <w:szCs w:val="18"/>
              </w:rPr>
              <w:t>and national density (84.4 inhabitants/km²).</w:t>
            </w:r>
          </w:p>
          <w:p w14:paraId="14F81E8D"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The population of Cerchezu commune shows a downward trend between 2011 and 2025, due to both natural movement (births and deaths) and migration. Compared to 2011, the population of Cerchezu commune decreased by 17% in 2025.</w:t>
            </w:r>
          </w:p>
          <w:p w14:paraId="0DB8CB09"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At the level of the Cerchezu commune, between 2010 and 2023, the number of unemployed people showed an upward trend. In 2023, the number of unemployed people reached 44, which is 54% higher than in 2013.</w:t>
            </w:r>
          </w:p>
          <w:p w14:paraId="0551DA83"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 xml:space="preserve">Cerchezu is not among the localities designated as socio-economically marginalized areas in urban and rural areas </w:t>
            </w:r>
            <w:r w:rsidRPr="00EC75B7">
              <w:rPr>
                <w:rFonts w:ascii="Verdana" w:hAnsi="Verdana"/>
                <w:spacing w:val="-5"/>
                <w:sz w:val="18"/>
                <w:szCs w:val="18"/>
              </w:rPr>
              <w:t>in</w:t>
            </w:r>
          </w:p>
          <w:p w14:paraId="30387695"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pacing w:val="-2"/>
                <w:sz w:val="18"/>
                <w:szCs w:val="18"/>
              </w:rPr>
              <w:t>Romania.</w:t>
            </w:r>
          </w:p>
        </w:tc>
        <w:tc>
          <w:tcPr>
            <w:tcW w:w="5956" w:type="dxa"/>
          </w:tcPr>
          <w:p w14:paraId="012A054E"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As a general conclusion, the current situation in terms of population, human health, and economy is specific to rural communities in Romania. Without opportunities for socio-economic development, the future condition of the population in the studied area would worsen. If the project is not implemented, the adult population will seek other job opportunities in more developed areas.</w:t>
            </w:r>
          </w:p>
        </w:tc>
        <w:tc>
          <w:tcPr>
            <w:tcW w:w="1702" w:type="dxa"/>
            <w:shd w:val="clear" w:color="auto" w:fill="FFB799"/>
          </w:tcPr>
          <w:p w14:paraId="441A264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Deterioration</w:t>
            </w:r>
          </w:p>
        </w:tc>
      </w:tr>
      <w:tr w:rsidR="008715BE" w:rsidRPr="00EC75B7" w14:paraId="7E2C7800" w14:textId="77777777">
        <w:trPr>
          <w:trHeight w:val="1946"/>
        </w:trPr>
        <w:tc>
          <w:tcPr>
            <w:tcW w:w="1810" w:type="dxa"/>
          </w:tcPr>
          <w:p w14:paraId="0D3960DD"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Biodiversity</w:t>
            </w:r>
          </w:p>
        </w:tc>
        <w:tc>
          <w:tcPr>
            <w:tcW w:w="5528" w:type="dxa"/>
          </w:tcPr>
          <w:p w14:paraId="6D45C889" w14:textId="77777777" w:rsidR="008715BE" w:rsidRPr="00EC75B7" w:rsidRDefault="00000000">
            <w:pPr>
              <w:pStyle w:val="TableParagraph"/>
              <w:ind w:left="105" w:right="96"/>
              <w:jc w:val="both"/>
              <w:rPr>
                <w:rFonts w:ascii="Verdana" w:hAnsi="Verdana"/>
                <w:sz w:val="18"/>
                <w:szCs w:val="18"/>
              </w:rPr>
            </w:pPr>
            <w:r w:rsidRPr="00EC75B7">
              <w:rPr>
                <w:rFonts w:ascii="Verdana" w:hAnsi="Verdana"/>
                <w:sz w:val="18"/>
                <w:szCs w:val="18"/>
              </w:rPr>
              <w:t xml:space="preserve">If the project is not implemented, the state of biodiversity in the site area would remain broadly similar to the current situation, with the predominantly agricultural/anthropized character of the land being maintained. There would be no additional pressures associated with the construction and operation of the turbines (localized land occupation, noise/traffic disturbance, collision risk and barotrauma for birds and bats). Biodiversity dynamics would continue to be determined mainly by existing pressures (agricultural practices, local traffic, existing fragmentation), </w:t>
            </w:r>
            <w:r w:rsidRPr="00EC75B7">
              <w:rPr>
                <w:rFonts w:ascii="Verdana" w:hAnsi="Verdana"/>
                <w:spacing w:val="-4"/>
                <w:sz w:val="18"/>
                <w:szCs w:val="18"/>
              </w:rPr>
              <w:t>without</w:t>
            </w:r>
          </w:p>
          <w:p w14:paraId="292B3033" w14:textId="77777777" w:rsidR="008715BE" w:rsidRPr="00EC75B7" w:rsidRDefault="00000000">
            <w:pPr>
              <w:pStyle w:val="TableParagraph"/>
              <w:spacing w:line="169" w:lineRule="exact"/>
              <w:ind w:left="105"/>
              <w:jc w:val="both"/>
              <w:rPr>
                <w:rFonts w:ascii="Verdana" w:hAnsi="Verdana"/>
                <w:sz w:val="18"/>
                <w:szCs w:val="18"/>
              </w:rPr>
            </w:pPr>
            <w:r w:rsidRPr="00EC75B7">
              <w:rPr>
                <w:rFonts w:ascii="Verdana" w:hAnsi="Verdana"/>
                <w:sz w:val="18"/>
                <w:szCs w:val="18"/>
              </w:rPr>
              <w:t xml:space="preserve">significant changes induced by </w:t>
            </w:r>
            <w:r w:rsidRPr="00EC75B7">
              <w:rPr>
                <w:rFonts w:ascii="Verdana" w:hAnsi="Verdana"/>
                <w:spacing w:val="-2"/>
                <w:sz w:val="18"/>
                <w:szCs w:val="18"/>
              </w:rPr>
              <w:t>the project.</w:t>
            </w:r>
          </w:p>
        </w:tc>
        <w:tc>
          <w:tcPr>
            <w:tcW w:w="5956" w:type="dxa"/>
          </w:tcPr>
          <w:p w14:paraId="78E4D4E3"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Maintenance (with possible occasional improvement for flying fauna by eliminating specific risks associated with turbine operation, but without relevant structural changes to habitats, assuming current agricultural pressures remain unchanged).</w:t>
            </w:r>
          </w:p>
        </w:tc>
        <w:tc>
          <w:tcPr>
            <w:tcW w:w="1702" w:type="dxa"/>
            <w:shd w:val="clear" w:color="auto" w:fill="C8EBFF"/>
          </w:tcPr>
          <w:p w14:paraId="7DC809C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Maintenance</w:t>
            </w:r>
          </w:p>
        </w:tc>
      </w:tr>
      <w:tr w:rsidR="008715BE" w:rsidRPr="00EC75B7" w14:paraId="61484BF9" w14:textId="77777777">
        <w:trPr>
          <w:trHeight w:val="2138"/>
        </w:trPr>
        <w:tc>
          <w:tcPr>
            <w:tcW w:w="1810" w:type="dxa"/>
          </w:tcPr>
          <w:p w14:paraId="0B048E51"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lastRenderedPageBreak/>
              <w:t>Soil/subsoil</w:t>
            </w:r>
          </w:p>
        </w:tc>
        <w:tc>
          <w:tcPr>
            <w:tcW w:w="5528" w:type="dxa"/>
          </w:tcPr>
          <w:p w14:paraId="48D465B5" w14:textId="77777777" w:rsidR="008715BE" w:rsidRPr="00EC75B7" w:rsidRDefault="00000000">
            <w:pPr>
              <w:pStyle w:val="TableParagraph"/>
              <w:ind w:left="105" w:right="96"/>
              <w:jc w:val="both"/>
              <w:rPr>
                <w:rFonts w:ascii="Verdana" w:hAnsi="Verdana"/>
                <w:sz w:val="18"/>
                <w:szCs w:val="18"/>
              </w:rPr>
            </w:pPr>
            <w:r w:rsidRPr="00EC75B7">
              <w:rPr>
                <w:rFonts w:ascii="Verdana" w:hAnsi="Verdana"/>
                <w:sz w:val="18"/>
                <w:szCs w:val="18"/>
              </w:rPr>
              <w:t>The main soil types in the analyzed area are chernozems, fertile, black soils characteristic of agricultural land in this area, rich in humus and nutrients, which makes them suitable for agriculture, especially for cereal crops.</w:t>
            </w:r>
          </w:p>
          <w:p w14:paraId="174EB802" w14:textId="77777777" w:rsidR="008715BE" w:rsidRPr="00EC75B7" w:rsidRDefault="00000000">
            <w:pPr>
              <w:pStyle w:val="TableParagraph"/>
              <w:ind w:left="105" w:right="99"/>
              <w:jc w:val="both"/>
              <w:rPr>
                <w:rFonts w:ascii="Verdana" w:hAnsi="Verdana"/>
                <w:sz w:val="18"/>
                <w:szCs w:val="18"/>
              </w:rPr>
            </w:pPr>
            <w:r w:rsidRPr="00EC75B7">
              <w:rPr>
                <w:rFonts w:ascii="Verdana" w:hAnsi="Verdana"/>
                <w:sz w:val="18"/>
                <w:szCs w:val="18"/>
              </w:rPr>
              <w:t>According to available public sources, there are no historically contaminated sites or potentially contaminated sites in the administrative territory of Cerchezu commune.</w:t>
            </w:r>
          </w:p>
          <w:p w14:paraId="41F5E3BE"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The land on which the investments are to be developed in the extra-urban area of the commune of Cerchezu falls within quality class III (on a scale from I to V), i.e.</w:t>
            </w:r>
            <w:r w:rsidRPr="00EC75B7">
              <w:rPr>
                <w:rFonts w:ascii="Verdana" w:hAnsi="Verdana"/>
                <w:spacing w:val="-2"/>
                <w:sz w:val="18"/>
                <w:szCs w:val="18"/>
              </w:rPr>
              <w:t xml:space="preserve">, medium-fertile </w:t>
            </w:r>
            <w:r w:rsidRPr="00EC75B7">
              <w:rPr>
                <w:rFonts w:ascii="Verdana" w:hAnsi="Verdana"/>
                <w:sz w:val="18"/>
                <w:szCs w:val="18"/>
              </w:rPr>
              <w:t>soil.</w:t>
            </w:r>
          </w:p>
          <w:p w14:paraId="112EC0A6" w14:textId="77777777" w:rsidR="008715BE" w:rsidRPr="00EC75B7" w:rsidRDefault="00000000">
            <w:pPr>
              <w:pStyle w:val="TableParagraph"/>
              <w:spacing w:line="172" w:lineRule="exact"/>
              <w:ind w:left="105"/>
              <w:jc w:val="both"/>
              <w:rPr>
                <w:rFonts w:ascii="Verdana" w:hAnsi="Verdana"/>
                <w:sz w:val="18"/>
                <w:szCs w:val="18"/>
              </w:rPr>
            </w:pPr>
            <w:r w:rsidRPr="00EC75B7">
              <w:rPr>
                <w:rFonts w:ascii="Verdana" w:hAnsi="Verdana"/>
                <w:sz w:val="18"/>
                <w:szCs w:val="18"/>
              </w:rPr>
              <w:t xml:space="preserve">moderately affected by </w:t>
            </w:r>
            <w:r w:rsidRPr="00EC75B7">
              <w:rPr>
                <w:rFonts w:ascii="Verdana" w:hAnsi="Verdana"/>
                <w:spacing w:val="-2"/>
                <w:sz w:val="18"/>
                <w:szCs w:val="18"/>
              </w:rPr>
              <w:t>degradation.</w:t>
            </w:r>
          </w:p>
        </w:tc>
        <w:tc>
          <w:tcPr>
            <w:tcW w:w="5956" w:type="dxa"/>
          </w:tcPr>
          <w:p w14:paraId="49A164DD"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 xml:space="preserve">Not doing the project won't change the quality and structure of the soil, and we expect the land use to stay the same, focused on farming, which is the main economic activity in rural communities in the </w:t>
            </w:r>
            <w:r w:rsidRPr="00EC75B7">
              <w:rPr>
                <w:rFonts w:ascii="Verdana" w:hAnsi="Verdana"/>
                <w:spacing w:val="-2"/>
                <w:sz w:val="18"/>
                <w:szCs w:val="18"/>
              </w:rPr>
              <w:t xml:space="preserve">study </w:t>
            </w:r>
            <w:r w:rsidRPr="00EC75B7">
              <w:rPr>
                <w:rFonts w:ascii="Verdana" w:hAnsi="Verdana"/>
                <w:sz w:val="18"/>
                <w:szCs w:val="18"/>
              </w:rPr>
              <w:t>area</w:t>
            </w:r>
            <w:r w:rsidRPr="00EC75B7">
              <w:rPr>
                <w:rFonts w:ascii="Verdana" w:hAnsi="Verdana"/>
                <w:spacing w:val="-2"/>
                <w:sz w:val="18"/>
                <w:szCs w:val="18"/>
              </w:rPr>
              <w:t>.</w:t>
            </w:r>
          </w:p>
        </w:tc>
        <w:tc>
          <w:tcPr>
            <w:tcW w:w="1702" w:type="dxa"/>
            <w:shd w:val="clear" w:color="auto" w:fill="C8EBFF"/>
          </w:tcPr>
          <w:p w14:paraId="4FA753D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Maintenance</w:t>
            </w:r>
          </w:p>
        </w:tc>
      </w:tr>
      <w:tr w:rsidR="008715BE" w:rsidRPr="00EC75B7" w14:paraId="6675DF1C" w14:textId="77777777">
        <w:trPr>
          <w:trHeight w:val="582"/>
        </w:trPr>
        <w:tc>
          <w:tcPr>
            <w:tcW w:w="1810" w:type="dxa"/>
          </w:tcPr>
          <w:p w14:paraId="2D978CBD"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Surface </w:t>
            </w:r>
            <w:r w:rsidRPr="00EC75B7">
              <w:rPr>
                <w:rFonts w:ascii="Verdana" w:hAnsi="Verdana"/>
                <w:sz w:val="18"/>
                <w:szCs w:val="18"/>
              </w:rPr>
              <w:t>water</w:t>
            </w:r>
          </w:p>
        </w:tc>
        <w:tc>
          <w:tcPr>
            <w:tcW w:w="5528" w:type="dxa"/>
          </w:tcPr>
          <w:p w14:paraId="29FEFD1D" w14:textId="77777777" w:rsidR="008715BE" w:rsidRPr="00EC75B7" w:rsidRDefault="00000000">
            <w:pPr>
              <w:pStyle w:val="TableParagraph"/>
              <w:ind w:left="105" w:right="80"/>
              <w:rPr>
                <w:rFonts w:ascii="Verdana" w:hAnsi="Verdana"/>
                <w:sz w:val="18"/>
                <w:szCs w:val="18"/>
              </w:rPr>
            </w:pPr>
            <w:r w:rsidRPr="00EC75B7">
              <w:rPr>
                <w:rFonts w:ascii="Verdana" w:hAnsi="Verdana"/>
                <w:sz w:val="18"/>
                <w:szCs w:val="18"/>
              </w:rPr>
              <w:t xml:space="preserve">Given that the project area is located more than 28 km away from the water bodies for which </w:t>
            </w:r>
            <w:r w:rsidRPr="00EC75B7">
              <w:rPr>
                <w:rFonts w:ascii="Verdana" w:hAnsi="Verdana"/>
                <w:spacing w:val="-5"/>
                <w:sz w:val="18"/>
                <w:szCs w:val="18"/>
              </w:rPr>
              <w:t xml:space="preserve">their quality </w:t>
            </w:r>
            <w:r w:rsidRPr="00EC75B7">
              <w:rPr>
                <w:rFonts w:ascii="Verdana" w:hAnsi="Verdana"/>
                <w:sz w:val="18"/>
                <w:szCs w:val="18"/>
              </w:rPr>
              <w:t>status is defined</w:t>
            </w:r>
          </w:p>
          <w:p w14:paraId="3640FBD5"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z w:val="18"/>
                <w:szCs w:val="18"/>
              </w:rPr>
              <w:t xml:space="preserve">and the project works involve </w:t>
            </w:r>
            <w:r w:rsidRPr="00EC75B7">
              <w:rPr>
                <w:rFonts w:ascii="Verdana" w:hAnsi="Verdana"/>
                <w:spacing w:val="-2"/>
                <w:sz w:val="18"/>
                <w:szCs w:val="18"/>
              </w:rPr>
              <w:t>undercrossing</w:t>
            </w:r>
          </w:p>
        </w:tc>
        <w:tc>
          <w:tcPr>
            <w:tcW w:w="5956" w:type="dxa"/>
          </w:tcPr>
          <w:p w14:paraId="7609D9FD"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If the project is not implemented, the quality of surface water bodies will not change, remaining at the current level.</w:t>
            </w:r>
          </w:p>
        </w:tc>
        <w:tc>
          <w:tcPr>
            <w:tcW w:w="1702" w:type="dxa"/>
            <w:shd w:val="clear" w:color="auto" w:fill="C8EBFF"/>
          </w:tcPr>
          <w:p w14:paraId="72FCC74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Maintenance</w:t>
            </w:r>
          </w:p>
        </w:tc>
      </w:tr>
    </w:tbl>
    <w:p w14:paraId="52FD19CD" w14:textId="77777777" w:rsidR="008715BE" w:rsidRPr="00EC75B7" w:rsidRDefault="008715BE">
      <w:pPr>
        <w:pStyle w:val="TableParagraph"/>
        <w:spacing w:line="195" w:lineRule="exact"/>
        <w:rPr>
          <w:rFonts w:ascii="Verdana" w:hAnsi="Verdana"/>
          <w:sz w:val="18"/>
          <w:szCs w:val="18"/>
        </w:rPr>
        <w:sectPr w:rsidR="008715BE" w:rsidRPr="00EC75B7">
          <w:headerReference w:type="default" r:id="rId182"/>
          <w:footerReference w:type="default" r:id="rId183"/>
          <w:pgSz w:w="16840" w:h="11910" w:orient="landscape"/>
          <w:pgMar w:top="1260" w:right="850" w:bottom="1020" w:left="850" w:header="766" w:footer="824" w:gutter="0"/>
          <w:cols w:space="708"/>
        </w:sectPr>
      </w:pPr>
    </w:p>
    <w:p w14:paraId="52D3A523" w14:textId="77777777" w:rsidR="008715BE" w:rsidRPr="00EC75B7" w:rsidRDefault="008715BE">
      <w:pPr>
        <w:pStyle w:val="BodyText"/>
        <w:spacing w:before="6"/>
        <w:rPr>
          <w:rFonts w:ascii="Verdana" w:hAnsi="Verdana"/>
          <w:b/>
        </w:rPr>
      </w:pP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10"/>
        <w:gridCol w:w="5528"/>
        <w:gridCol w:w="5956"/>
        <w:gridCol w:w="1702"/>
      </w:tblGrid>
      <w:tr w:rsidR="008715BE" w:rsidRPr="00EC75B7" w14:paraId="152135CF" w14:textId="77777777">
        <w:trPr>
          <w:trHeight w:val="971"/>
        </w:trPr>
        <w:tc>
          <w:tcPr>
            <w:tcW w:w="1810" w:type="dxa"/>
            <w:shd w:val="clear" w:color="auto" w:fill="00AFEF"/>
          </w:tcPr>
          <w:p w14:paraId="1C731D7D" w14:textId="77777777" w:rsidR="008715BE" w:rsidRPr="00EC75B7" w:rsidRDefault="008715BE">
            <w:pPr>
              <w:pStyle w:val="TableParagraph"/>
              <w:rPr>
                <w:rFonts w:ascii="Verdana" w:hAnsi="Verdana"/>
                <w:b/>
                <w:sz w:val="18"/>
                <w:szCs w:val="18"/>
              </w:rPr>
            </w:pPr>
          </w:p>
          <w:p w14:paraId="073EFBDC" w14:textId="77777777" w:rsidR="008715BE" w:rsidRPr="00EC75B7" w:rsidRDefault="008715BE">
            <w:pPr>
              <w:pStyle w:val="TableParagraph"/>
              <w:spacing w:before="6"/>
              <w:rPr>
                <w:rFonts w:ascii="Verdana" w:hAnsi="Verdana"/>
                <w:b/>
                <w:sz w:val="18"/>
                <w:szCs w:val="18"/>
              </w:rPr>
            </w:pPr>
          </w:p>
          <w:p w14:paraId="1650EA49" w14:textId="77777777" w:rsidR="008715BE" w:rsidRPr="00EC75B7" w:rsidRDefault="00000000">
            <w:pPr>
              <w:pStyle w:val="TableParagraph"/>
              <w:ind w:left="335"/>
              <w:rPr>
                <w:rFonts w:ascii="Verdana" w:hAnsi="Verdana"/>
                <w:b/>
                <w:sz w:val="18"/>
                <w:szCs w:val="18"/>
              </w:rPr>
            </w:pPr>
            <w:r w:rsidRPr="00EC75B7">
              <w:rPr>
                <w:rFonts w:ascii="Verdana" w:hAnsi="Verdana"/>
                <w:b/>
                <w:color w:val="FFFFFF"/>
                <w:spacing w:val="-2"/>
                <w:sz w:val="18"/>
                <w:szCs w:val="18"/>
              </w:rPr>
              <w:t>Component</w:t>
            </w:r>
          </w:p>
        </w:tc>
        <w:tc>
          <w:tcPr>
            <w:tcW w:w="5528" w:type="dxa"/>
            <w:shd w:val="clear" w:color="auto" w:fill="00AFEF"/>
          </w:tcPr>
          <w:p w14:paraId="3938B14F" w14:textId="77777777" w:rsidR="008715BE" w:rsidRPr="00EC75B7" w:rsidRDefault="008715BE">
            <w:pPr>
              <w:pStyle w:val="TableParagraph"/>
              <w:rPr>
                <w:rFonts w:ascii="Verdana" w:hAnsi="Verdana"/>
                <w:b/>
                <w:sz w:val="18"/>
                <w:szCs w:val="18"/>
              </w:rPr>
            </w:pPr>
          </w:p>
          <w:p w14:paraId="4EF705C8" w14:textId="77777777" w:rsidR="008715BE" w:rsidRPr="00EC75B7" w:rsidRDefault="008715BE">
            <w:pPr>
              <w:pStyle w:val="TableParagraph"/>
              <w:spacing w:before="6"/>
              <w:rPr>
                <w:rFonts w:ascii="Verdana" w:hAnsi="Verdana"/>
                <w:b/>
                <w:sz w:val="18"/>
                <w:szCs w:val="18"/>
              </w:rPr>
            </w:pPr>
          </w:p>
          <w:p w14:paraId="75A59A93" w14:textId="77777777" w:rsidR="008715BE" w:rsidRPr="00EC75B7" w:rsidRDefault="00000000">
            <w:pPr>
              <w:pStyle w:val="TableParagraph"/>
              <w:ind w:left="347"/>
              <w:rPr>
                <w:rFonts w:ascii="Verdana" w:hAnsi="Verdana"/>
                <w:b/>
                <w:sz w:val="18"/>
                <w:szCs w:val="18"/>
              </w:rPr>
            </w:pPr>
            <w:r w:rsidRPr="00EC75B7">
              <w:rPr>
                <w:rFonts w:ascii="Verdana" w:hAnsi="Verdana"/>
                <w:b/>
                <w:color w:val="FFFFFF"/>
                <w:sz w:val="18"/>
                <w:szCs w:val="18"/>
              </w:rPr>
              <w:t xml:space="preserve">Main characteristics of the current state of </w:t>
            </w:r>
            <w:r w:rsidRPr="00EC75B7">
              <w:rPr>
                <w:rFonts w:ascii="Verdana" w:hAnsi="Verdana"/>
                <w:b/>
                <w:color w:val="FFFFFF"/>
                <w:spacing w:val="-2"/>
                <w:sz w:val="18"/>
                <w:szCs w:val="18"/>
              </w:rPr>
              <w:t>the environment</w:t>
            </w:r>
          </w:p>
        </w:tc>
        <w:tc>
          <w:tcPr>
            <w:tcW w:w="5956" w:type="dxa"/>
            <w:shd w:val="clear" w:color="auto" w:fill="00AFEF"/>
          </w:tcPr>
          <w:p w14:paraId="6D280032" w14:textId="77777777" w:rsidR="008715BE" w:rsidRPr="00EC75B7" w:rsidRDefault="008715BE">
            <w:pPr>
              <w:pStyle w:val="TableParagraph"/>
              <w:spacing w:before="103"/>
              <w:rPr>
                <w:rFonts w:ascii="Verdana" w:hAnsi="Verdana"/>
                <w:b/>
                <w:sz w:val="18"/>
                <w:szCs w:val="18"/>
              </w:rPr>
            </w:pPr>
          </w:p>
          <w:p w14:paraId="329C75AD" w14:textId="77777777" w:rsidR="008715BE" w:rsidRPr="00EC75B7" w:rsidRDefault="00000000">
            <w:pPr>
              <w:pStyle w:val="TableParagraph"/>
              <w:spacing w:line="195" w:lineRule="exact"/>
              <w:ind w:left="6" w:right="3"/>
              <w:jc w:val="center"/>
              <w:rPr>
                <w:rFonts w:ascii="Verdana" w:hAnsi="Verdana"/>
                <w:b/>
                <w:sz w:val="18"/>
                <w:szCs w:val="18"/>
              </w:rPr>
            </w:pPr>
            <w:r w:rsidRPr="00EC75B7">
              <w:rPr>
                <w:rFonts w:ascii="Verdana" w:hAnsi="Verdana"/>
                <w:b/>
                <w:color w:val="FFFFFF"/>
                <w:sz w:val="18"/>
                <w:szCs w:val="18"/>
              </w:rPr>
              <w:t xml:space="preserve">Probable evolution of the state of the environment if the project </w:t>
            </w:r>
            <w:r w:rsidRPr="00EC75B7">
              <w:rPr>
                <w:rFonts w:ascii="Verdana" w:hAnsi="Verdana"/>
                <w:b/>
                <w:color w:val="FFFFFF"/>
                <w:spacing w:val="-5"/>
                <w:sz w:val="18"/>
                <w:szCs w:val="18"/>
              </w:rPr>
              <w:t>is not</w:t>
            </w:r>
          </w:p>
          <w:p w14:paraId="375B3CE6" w14:textId="77777777" w:rsidR="008715BE" w:rsidRPr="00EC75B7" w:rsidRDefault="00000000">
            <w:pPr>
              <w:pStyle w:val="TableParagraph"/>
              <w:spacing w:line="195" w:lineRule="exact"/>
              <w:ind w:left="6"/>
              <w:jc w:val="center"/>
              <w:rPr>
                <w:rFonts w:ascii="Verdana" w:hAnsi="Verdana"/>
                <w:b/>
                <w:sz w:val="18"/>
                <w:szCs w:val="18"/>
              </w:rPr>
            </w:pPr>
            <w:r w:rsidRPr="00EC75B7">
              <w:rPr>
                <w:rFonts w:ascii="Verdana" w:hAnsi="Verdana"/>
                <w:b/>
                <w:color w:val="FFFFFF"/>
                <w:sz w:val="18"/>
                <w:szCs w:val="18"/>
              </w:rPr>
              <w:t xml:space="preserve">is </w:t>
            </w:r>
            <w:r w:rsidRPr="00EC75B7">
              <w:rPr>
                <w:rFonts w:ascii="Verdana" w:hAnsi="Verdana"/>
                <w:b/>
                <w:color w:val="FFFFFF"/>
                <w:spacing w:val="-2"/>
                <w:sz w:val="18"/>
                <w:szCs w:val="18"/>
              </w:rPr>
              <w:t>implemented</w:t>
            </w:r>
          </w:p>
        </w:tc>
        <w:tc>
          <w:tcPr>
            <w:tcW w:w="1702" w:type="dxa"/>
            <w:shd w:val="clear" w:color="auto" w:fill="00AFEF"/>
          </w:tcPr>
          <w:p w14:paraId="423C0F3C" w14:textId="77777777" w:rsidR="008715BE" w:rsidRPr="00EC75B7" w:rsidRDefault="00000000">
            <w:pPr>
              <w:pStyle w:val="TableParagraph"/>
              <w:spacing w:line="194" w:lineRule="exact"/>
              <w:ind w:left="200" w:right="189" w:hanging="3"/>
              <w:jc w:val="center"/>
              <w:rPr>
                <w:rFonts w:ascii="Verdana" w:hAnsi="Verdana"/>
                <w:b/>
                <w:sz w:val="18"/>
                <w:szCs w:val="18"/>
              </w:rPr>
            </w:pPr>
            <w:r w:rsidRPr="00EC75B7">
              <w:rPr>
                <w:rFonts w:ascii="Verdana" w:hAnsi="Verdana"/>
                <w:b/>
                <w:color w:val="FFFFFF"/>
                <w:sz w:val="18"/>
                <w:szCs w:val="18"/>
              </w:rPr>
              <w:t>Overall</w:t>
            </w:r>
            <w:r w:rsidRPr="00EC75B7">
              <w:rPr>
                <w:rFonts w:ascii="Verdana" w:hAnsi="Verdana"/>
                <w:b/>
                <w:color w:val="FFFFFF"/>
                <w:spacing w:val="-2"/>
                <w:sz w:val="18"/>
                <w:szCs w:val="18"/>
              </w:rPr>
              <w:t xml:space="preserve"> assessment </w:t>
            </w:r>
            <w:r w:rsidRPr="00EC75B7">
              <w:rPr>
                <w:rFonts w:ascii="Verdana" w:hAnsi="Verdana"/>
                <w:b/>
                <w:color w:val="FFFFFF"/>
                <w:sz w:val="18"/>
                <w:szCs w:val="18"/>
              </w:rPr>
              <w:t xml:space="preserve">of </w:t>
            </w:r>
            <w:r w:rsidRPr="00EC75B7">
              <w:rPr>
                <w:rFonts w:ascii="Verdana" w:hAnsi="Verdana"/>
                <w:b/>
                <w:color w:val="FFFFFF"/>
                <w:spacing w:val="-2"/>
                <w:sz w:val="18"/>
                <w:szCs w:val="18"/>
              </w:rPr>
              <w:t xml:space="preserve">the </w:t>
            </w:r>
            <w:r w:rsidRPr="00EC75B7">
              <w:rPr>
                <w:rFonts w:ascii="Verdana" w:hAnsi="Verdana"/>
                <w:b/>
                <w:color w:val="FFFFFF"/>
                <w:sz w:val="18"/>
                <w:szCs w:val="18"/>
              </w:rPr>
              <w:t>likely</w:t>
            </w:r>
            <w:r w:rsidRPr="00EC75B7">
              <w:rPr>
                <w:rFonts w:ascii="Verdana" w:hAnsi="Verdana"/>
                <w:b/>
                <w:color w:val="FFFFFF"/>
                <w:spacing w:val="-2"/>
                <w:sz w:val="18"/>
                <w:szCs w:val="18"/>
              </w:rPr>
              <w:t xml:space="preserve"> evolution </w:t>
            </w:r>
            <w:r w:rsidRPr="00EC75B7">
              <w:rPr>
                <w:rFonts w:ascii="Verdana" w:hAnsi="Verdana"/>
                <w:b/>
                <w:color w:val="FFFFFF"/>
                <w:sz w:val="18"/>
                <w:szCs w:val="18"/>
              </w:rPr>
              <w:t>of the environmental status</w:t>
            </w:r>
          </w:p>
        </w:tc>
      </w:tr>
      <w:tr w:rsidR="008715BE" w:rsidRPr="00EC75B7" w14:paraId="5EBB19EA" w14:textId="77777777">
        <w:trPr>
          <w:trHeight w:val="777"/>
        </w:trPr>
        <w:tc>
          <w:tcPr>
            <w:tcW w:w="1810" w:type="dxa"/>
          </w:tcPr>
          <w:p w14:paraId="361A04D7" w14:textId="77777777" w:rsidR="008715BE" w:rsidRPr="00EC75B7" w:rsidRDefault="008715BE">
            <w:pPr>
              <w:pStyle w:val="TableParagraph"/>
              <w:rPr>
                <w:rFonts w:ascii="Verdana" w:hAnsi="Verdana"/>
                <w:sz w:val="18"/>
                <w:szCs w:val="18"/>
              </w:rPr>
            </w:pPr>
          </w:p>
        </w:tc>
        <w:tc>
          <w:tcPr>
            <w:tcW w:w="5528" w:type="dxa"/>
          </w:tcPr>
          <w:p w14:paraId="1F388041" w14:textId="77777777" w:rsidR="008715BE" w:rsidRPr="00EC75B7" w:rsidRDefault="00000000">
            <w:pPr>
              <w:pStyle w:val="TableParagraph"/>
              <w:spacing w:line="194" w:lineRule="exact"/>
              <w:ind w:left="105" w:right="95"/>
              <w:jc w:val="both"/>
              <w:rPr>
                <w:rFonts w:ascii="Verdana" w:hAnsi="Verdana"/>
                <w:sz w:val="18"/>
                <w:szCs w:val="18"/>
              </w:rPr>
            </w:pPr>
            <w:r w:rsidRPr="00EC75B7">
              <w:rPr>
                <w:rFonts w:ascii="Verdana" w:hAnsi="Verdana"/>
                <w:sz w:val="18"/>
                <w:szCs w:val="18"/>
              </w:rPr>
              <w:t>of the Cerchezu and Măgura watercourses, which are unregistered and for which no data on their quality is available, a cautious approach was taken and they were considered to be in poor ecological and chemical condition</w:t>
            </w:r>
          </w:p>
        </w:tc>
        <w:tc>
          <w:tcPr>
            <w:tcW w:w="5956" w:type="dxa"/>
          </w:tcPr>
          <w:p w14:paraId="559CF06A" w14:textId="77777777" w:rsidR="008715BE" w:rsidRPr="00EC75B7" w:rsidRDefault="008715BE">
            <w:pPr>
              <w:pStyle w:val="TableParagraph"/>
              <w:rPr>
                <w:rFonts w:ascii="Verdana" w:hAnsi="Verdana"/>
                <w:sz w:val="18"/>
                <w:szCs w:val="18"/>
              </w:rPr>
            </w:pPr>
          </w:p>
        </w:tc>
        <w:tc>
          <w:tcPr>
            <w:tcW w:w="1702" w:type="dxa"/>
            <w:shd w:val="clear" w:color="auto" w:fill="C8EBFF"/>
          </w:tcPr>
          <w:p w14:paraId="00BFF232" w14:textId="77777777" w:rsidR="008715BE" w:rsidRPr="00EC75B7" w:rsidRDefault="008715BE">
            <w:pPr>
              <w:pStyle w:val="TableParagraph"/>
              <w:rPr>
                <w:rFonts w:ascii="Verdana" w:hAnsi="Verdana"/>
                <w:sz w:val="18"/>
                <w:szCs w:val="18"/>
              </w:rPr>
            </w:pPr>
          </w:p>
        </w:tc>
      </w:tr>
      <w:tr w:rsidR="008715BE" w:rsidRPr="00EC75B7" w14:paraId="5DC4E802" w14:textId="77777777">
        <w:trPr>
          <w:trHeight w:val="777"/>
        </w:trPr>
        <w:tc>
          <w:tcPr>
            <w:tcW w:w="1810" w:type="dxa"/>
          </w:tcPr>
          <w:p w14:paraId="4ADE173A"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2"/>
                <w:sz w:val="18"/>
                <w:szCs w:val="18"/>
              </w:rPr>
              <w:t>Ground</w:t>
            </w:r>
            <w:r w:rsidRPr="00EC75B7">
              <w:rPr>
                <w:rFonts w:ascii="Verdana" w:hAnsi="Verdana"/>
                <w:sz w:val="18"/>
                <w:szCs w:val="18"/>
              </w:rPr>
              <w:t>water</w:t>
            </w:r>
          </w:p>
        </w:tc>
        <w:tc>
          <w:tcPr>
            <w:tcW w:w="5528" w:type="dxa"/>
          </w:tcPr>
          <w:p w14:paraId="452DDC9E" w14:textId="77777777" w:rsidR="008715BE" w:rsidRPr="00EC75B7" w:rsidRDefault="00000000">
            <w:pPr>
              <w:pStyle w:val="TableParagraph"/>
              <w:spacing w:line="194" w:lineRule="exact"/>
              <w:ind w:left="105" w:right="96"/>
              <w:jc w:val="both"/>
              <w:rPr>
                <w:rFonts w:ascii="Verdana" w:hAnsi="Verdana"/>
                <w:sz w:val="18"/>
                <w:szCs w:val="18"/>
              </w:rPr>
            </w:pPr>
            <w:r w:rsidRPr="00EC75B7">
              <w:rPr>
                <w:rFonts w:ascii="Verdana" w:hAnsi="Verdana"/>
                <w:spacing w:val="-2"/>
                <w:sz w:val="18"/>
                <w:szCs w:val="18"/>
              </w:rPr>
              <w:t>In the project area</w:t>
            </w:r>
            <w:r w:rsidRPr="00EC75B7">
              <w:rPr>
                <w:rFonts w:ascii="Verdana" w:hAnsi="Verdana"/>
                <w:sz w:val="18"/>
                <w:szCs w:val="18"/>
              </w:rPr>
              <w:t xml:space="preserve">, </w:t>
            </w:r>
            <w:r w:rsidRPr="00EC75B7">
              <w:rPr>
                <w:rFonts w:ascii="Verdana" w:hAnsi="Verdana"/>
                <w:spacing w:val="-2"/>
                <w:sz w:val="18"/>
                <w:szCs w:val="18"/>
              </w:rPr>
              <w:t xml:space="preserve">the quantitative status of groundwater bodies </w:t>
            </w:r>
            <w:r w:rsidRPr="00EC75B7">
              <w:rPr>
                <w:rFonts w:ascii="Verdana" w:hAnsi="Verdana"/>
                <w:sz w:val="18"/>
                <w:szCs w:val="18"/>
              </w:rPr>
              <w:t>is good, and the chemical status is poor for the RODL04 Cobadin-Mangalia and RODL10 South Dobrogea groundwater bodies, and good for the RODL06 Valaha Platform groundwater body.</w:t>
            </w:r>
          </w:p>
        </w:tc>
        <w:tc>
          <w:tcPr>
            <w:tcW w:w="5956" w:type="dxa"/>
          </w:tcPr>
          <w:p w14:paraId="0B757D5B" w14:textId="77777777" w:rsidR="008715BE" w:rsidRPr="00EC75B7" w:rsidRDefault="00000000">
            <w:pPr>
              <w:pStyle w:val="TableParagraph"/>
              <w:spacing w:before="8"/>
              <w:ind w:left="107" w:right="96"/>
              <w:jc w:val="both"/>
              <w:rPr>
                <w:rFonts w:ascii="Verdana" w:hAnsi="Verdana"/>
                <w:sz w:val="18"/>
                <w:szCs w:val="18"/>
              </w:rPr>
            </w:pPr>
            <w:r w:rsidRPr="00EC75B7">
              <w:rPr>
                <w:rFonts w:ascii="Verdana" w:hAnsi="Verdana"/>
                <w:sz w:val="18"/>
                <w:szCs w:val="18"/>
              </w:rPr>
              <w:t>Given that the environmental objectives for 2027 for groundwater bodies in the project area are good chemical status, the likely evolution of the quality of these bodies in the area is improvement.</w:t>
            </w:r>
          </w:p>
        </w:tc>
        <w:tc>
          <w:tcPr>
            <w:tcW w:w="1702" w:type="dxa"/>
            <w:shd w:val="clear" w:color="auto" w:fill="CDE1BE"/>
          </w:tcPr>
          <w:p w14:paraId="3556CB60"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Improvement</w:t>
            </w:r>
          </w:p>
        </w:tc>
      </w:tr>
      <w:tr w:rsidR="008715BE" w:rsidRPr="00EC75B7" w14:paraId="6577F5D8" w14:textId="77777777">
        <w:trPr>
          <w:trHeight w:val="1557"/>
        </w:trPr>
        <w:tc>
          <w:tcPr>
            <w:tcW w:w="1810" w:type="dxa"/>
          </w:tcPr>
          <w:p w14:paraId="66056F2A" w14:textId="77777777" w:rsidR="008715BE" w:rsidRPr="00EC75B7" w:rsidRDefault="00000000">
            <w:pPr>
              <w:pStyle w:val="TableParagraph"/>
              <w:spacing w:before="11"/>
              <w:ind w:left="105"/>
              <w:rPr>
                <w:rFonts w:ascii="Verdana" w:hAnsi="Verdana"/>
                <w:sz w:val="18"/>
                <w:szCs w:val="18"/>
              </w:rPr>
            </w:pPr>
            <w:r w:rsidRPr="00EC75B7">
              <w:rPr>
                <w:rFonts w:ascii="Verdana" w:hAnsi="Verdana"/>
                <w:spacing w:val="-5"/>
                <w:sz w:val="18"/>
                <w:szCs w:val="18"/>
              </w:rPr>
              <w:t>Air</w:t>
            </w:r>
          </w:p>
        </w:tc>
        <w:tc>
          <w:tcPr>
            <w:tcW w:w="5528" w:type="dxa"/>
          </w:tcPr>
          <w:p w14:paraId="7986814F" w14:textId="77777777" w:rsidR="008715BE" w:rsidRPr="00EC75B7" w:rsidRDefault="00000000">
            <w:pPr>
              <w:pStyle w:val="TableParagraph"/>
              <w:spacing w:before="11"/>
              <w:ind w:left="105" w:right="98"/>
              <w:jc w:val="both"/>
              <w:rPr>
                <w:rFonts w:ascii="Verdana" w:hAnsi="Verdana"/>
                <w:sz w:val="18"/>
                <w:szCs w:val="18"/>
              </w:rPr>
            </w:pPr>
            <w:r w:rsidRPr="00EC75B7">
              <w:rPr>
                <w:rFonts w:ascii="Verdana" w:hAnsi="Verdana"/>
                <w:sz w:val="18"/>
                <w:szCs w:val="18"/>
              </w:rPr>
              <w:t>In the Cerchezu commune area, taking into account the activities currently carried out, air quality can be considered generally good, as it is an open rural area uncluttered by urban construction and without intense industrial activity.</w:t>
            </w:r>
          </w:p>
        </w:tc>
        <w:tc>
          <w:tcPr>
            <w:tcW w:w="5956" w:type="dxa"/>
          </w:tcPr>
          <w:p w14:paraId="381BB8D9" w14:textId="77777777" w:rsidR="008715BE" w:rsidRPr="00EC75B7" w:rsidRDefault="00000000">
            <w:pPr>
              <w:pStyle w:val="TableParagraph"/>
              <w:spacing w:before="11"/>
              <w:ind w:left="107" w:right="92"/>
              <w:jc w:val="both"/>
              <w:rPr>
                <w:rFonts w:ascii="Verdana" w:hAnsi="Verdana"/>
                <w:sz w:val="18"/>
                <w:szCs w:val="18"/>
              </w:rPr>
            </w:pPr>
            <w:r w:rsidRPr="00EC75B7">
              <w:rPr>
                <w:rFonts w:ascii="Verdana" w:hAnsi="Verdana"/>
                <w:sz w:val="18"/>
                <w:szCs w:val="18"/>
              </w:rPr>
              <w:t xml:space="preserve">In the absence of changes in existing sources of pollution or the emergence of additional sources of pollution, the non-implementation of the project will not </w:t>
            </w:r>
            <w:r w:rsidRPr="00EC75B7">
              <w:rPr>
                <w:rFonts w:ascii="Verdana" w:hAnsi="Verdana"/>
                <w:b/>
                <w:i/>
                <w:sz w:val="18"/>
                <w:szCs w:val="18"/>
              </w:rPr>
              <w:t xml:space="preserve">directly </w:t>
            </w:r>
            <w:r w:rsidRPr="00EC75B7">
              <w:rPr>
                <w:rFonts w:ascii="Verdana" w:hAnsi="Verdana"/>
                <w:sz w:val="18"/>
                <w:szCs w:val="18"/>
              </w:rPr>
              <w:t>lead to a deterioration in air quality in the site area.</w:t>
            </w:r>
          </w:p>
          <w:p w14:paraId="1A8F2E22"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 xml:space="preserve">Given the project's objective of creating a renewable energy source to replace conventional sources of electricity generation, it can be concluded that the non-implementation </w:t>
            </w:r>
            <w:r w:rsidRPr="00EC75B7">
              <w:rPr>
                <w:rFonts w:ascii="Verdana" w:hAnsi="Verdana"/>
                <w:spacing w:val="-2"/>
                <w:sz w:val="18"/>
                <w:szCs w:val="18"/>
              </w:rPr>
              <w:t>of the project</w:t>
            </w:r>
          </w:p>
          <w:p w14:paraId="01E984E7" w14:textId="77777777" w:rsidR="008715BE" w:rsidRPr="00EC75B7" w:rsidRDefault="00000000">
            <w:pPr>
              <w:pStyle w:val="TableParagraph"/>
              <w:spacing w:line="163" w:lineRule="exact"/>
              <w:ind w:left="107"/>
              <w:jc w:val="both"/>
              <w:rPr>
                <w:rFonts w:ascii="Verdana" w:hAnsi="Verdana"/>
                <w:sz w:val="18"/>
                <w:szCs w:val="18"/>
              </w:rPr>
            </w:pPr>
            <w:r w:rsidRPr="00EC75B7">
              <w:rPr>
                <w:rFonts w:ascii="Verdana" w:hAnsi="Verdana"/>
                <w:spacing w:val="-2"/>
                <w:sz w:val="18"/>
                <w:szCs w:val="18"/>
              </w:rPr>
              <w:t xml:space="preserve">will </w:t>
            </w:r>
            <w:r w:rsidRPr="00EC75B7">
              <w:rPr>
                <w:rFonts w:ascii="Verdana" w:hAnsi="Verdana"/>
                <w:b/>
                <w:i/>
                <w:spacing w:val="-2"/>
                <w:sz w:val="18"/>
                <w:szCs w:val="18"/>
              </w:rPr>
              <w:t xml:space="preserve">indirectly </w:t>
            </w:r>
            <w:r w:rsidRPr="00EC75B7">
              <w:rPr>
                <w:rFonts w:ascii="Verdana" w:hAnsi="Verdana"/>
                <w:spacing w:val="-2"/>
                <w:sz w:val="18"/>
                <w:szCs w:val="18"/>
              </w:rPr>
              <w:t>lead to a deterioration in air quality.</w:t>
            </w:r>
          </w:p>
        </w:tc>
        <w:tc>
          <w:tcPr>
            <w:tcW w:w="1702" w:type="dxa"/>
            <w:shd w:val="clear" w:color="auto" w:fill="FFB799"/>
          </w:tcPr>
          <w:p w14:paraId="769C4E62" w14:textId="77777777" w:rsidR="008715BE" w:rsidRPr="00EC75B7" w:rsidRDefault="00000000">
            <w:pPr>
              <w:pStyle w:val="TableParagraph"/>
              <w:spacing w:before="11"/>
              <w:ind w:left="107"/>
              <w:rPr>
                <w:rFonts w:ascii="Verdana" w:hAnsi="Verdana"/>
                <w:sz w:val="18"/>
                <w:szCs w:val="18"/>
              </w:rPr>
            </w:pPr>
            <w:r w:rsidRPr="00EC75B7">
              <w:rPr>
                <w:rFonts w:ascii="Verdana" w:hAnsi="Verdana"/>
                <w:spacing w:val="-2"/>
                <w:sz w:val="18"/>
                <w:szCs w:val="18"/>
              </w:rPr>
              <w:t>Worsening</w:t>
            </w:r>
          </w:p>
        </w:tc>
      </w:tr>
      <w:tr w:rsidR="008715BE" w:rsidRPr="00EC75B7" w14:paraId="78135763" w14:textId="77777777">
        <w:trPr>
          <w:trHeight w:val="1555"/>
        </w:trPr>
        <w:tc>
          <w:tcPr>
            <w:tcW w:w="1810" w:type="dxa"/>
          </w:tcPr>
          <w:p w14:paraId="461F5422" w14:textId="77777777" w:rsidR="008715BE" w:rsidRPr="00EC75B7" w:rsidRDefault="00000000">
            <w:pPr>
              <w:pStyle w:val="TableParagraph"/>
              <w:spacing w:before="8"/>
              <w:ind w:left="105"/>
              <w:rPr>
                <w:rFonts w:ascii="Verdana" w:hAnsi="Verdana"/>
                <w:sz w:val="18"/>
                <w:szCs w:val="18"/>
              </w:rPr>
            </w:pPr>
            <w:r w:rsidRPr="00EC75B7">
              <w:rPr>
                <w:rFonts w:ascii="Verdana" w:hAnsi="Verdana"/>
                <w:sz w:val="18"/>
                <w:szCs w:val="18"/>
              </w:rPr>
              <w:t xml:space="preserve">Cultural conditions and </w:t>
            </w:r>
            <w:r w:rsidRPr="00EC75B7">
              <w:rPr>
                <w:rFonts w:ascii="Verdana" w:hAnsi="Verdana"/>
                <w:spacing w:val="-2"/>
                <w:sz w:val="18"/>
                <w:szCs w:val="18"/>
              </w:rPr>
              <w:t xml:space="preserve">cultural </w:t>
            </w:r>
            <w:r w:rsidRPr="00EC75B7">
              <w:rPr>
                <w:rFonts w:ascii="Verdana" w:hAnsi="Verdana"/>
                <w:sz w:val="18"/>
                <w:szCs w:val="18"/>
              </w:rPr>
              <w:t>heritage</w:t>
            </w:r>
          </w:p>
        </w:tc>
        <w:tc>
          <w:tcPr>
            <w:tcW w:w="5528" w:type="dxa"/>
          </w:tcPr>
          <w:p w14:paraId="3AEB6F13" w14:textId="77777777" w:rsidR="008715BE" w:rsidRPr="00EC75B7" w:rsidRDefault="00000000">
            <w:pPr>
              <w:pStyle w:val="TableParagraph"/>
              <w:spacing w:before="8"/>
              <w:ind w:left="105" w:right="92"/>
              <w:jc w:val="both"/>
              <w:rPr>
                <w:rFonts w:ascii="Verdana" w:hAnsi="Verdana"/>
                <w:sz w:val="18"/>
                <w:szCs w:val="18"/>
              </w:rPr>
            </w:pPr>
            <w:r w:rsidRPr="00EC75B7">
              <w:rPr>
                <w:rFonts w:ascii="Verdana" w:hAnsi="Verdana"/>
                <w:sz w:val="18"/>
                <w:szCs w:val="18"/>
              </w:rPr>
              <w:t xml:space="preserve">In the area of the proposed project, </w:t>
            </w:r>
            <w:r w:rsidRPr="00EC75B7">
              <w:rPr>
                <w:rFonts w:ascii="Verdana" w:hAnsi="Verdana"/>
                <w:i/>
                <w:sz w:val="18"/>
                <w:szCs w:val="18"/>
              </w:rPr>
              <w:t xml:space="preserve">the Obelisk in memory of the heroes of </w:t>
            </w:r>
            <w:r w:rsidRPr="00EC75B7">
              <w:rPr>
                <w:rFonts w:ascii="Verdana" w:hAnsi="Verdana"/>
                <w:sz w:val="18"/>
                <w:szCs w:val="18"/>
              </w:rPr>
              <w:t>World</w:t>
            </w:r>
            <w:r w:rsidRPr="00EC75B7">
              <w:rPr>
                <w:rFonts w:ascii="Verdana" w:hAnsi="Verdana"/>
                <w:i/>
                <w:sz w:val="18"/>
                <w:szCs w:val="18"/>
              </w:rPr>
              <w:t xml:space="preserve"> War I</w:t>
            </w:r>
            <w:r w:rsidRPr="00EC75B7">
              <w:rPr>
                <w:rFonts w:ascii="Verdana" w:hAnsi="Verdana"/>
                <w:sz w:val="18"/>
                <w:szCs w:val="18"/>
              </w:rPr>
              <w:t xml:space="preserve">, belonging to the 2015 List of Historical Monuments in Constanța County, approved by Order No. 2361/2010, and archaeological sites identified with the help of the National Archaeological Repertory, have been identified: Villa rustica in Viroaga - Viroaga village, CERCHEZU commune, the Tumulus at Căscioarele - Movila Bacu - Căscioarele village, CERCHEZU commune, the Legionary Camp </w:t>
            </w:r>
            <w:r w:rsidRPr="00EC75B7">
              <w:rPr>
                <w:rFonts w:ascii="Verdana" w:hAnsi="Verdana"/>
                <w:spacing w:val="-5"/>
                <w:sz w:val="18"/>
                <w:szCs w:val="18"/>
              </w:rPr>
              <w:t>at</w:t>
            </w:r>
          </w:p>
          <w:p w14:paraId="7510F3C1" w14:textId="77777777" w:rsidR="008715BE" w:rsidRPr="00EC75B7" w:rsidRDefault="00000000">
            <w:pPr>
              <w:pStyle w:val="TableParagraph"/>
              <w:spacing w:line="160" w:lineRule="exact"/>
              <w:ind w:left="105"/>
              <w:jc w:val="both"/>
              <w:rPr>
                <w:rFonts w:ascii="Verdana" w:hAnsi="Verdana"/>
                <w:sz w:val="18"/>
                <w:szCs w:val="18"/>
              </w:rPr>
            </w:pPr>
            <w:r w:rsidRPr="00EC75B7">
              <w:rPr>
                <w:rFonts w:ascii="Verdana" w:hAnsi="Verdana"/>
                <w:sz w:val="18"/>
                <w:szCs w:val="18"/>
              </w:rPr>
              <w:t xml:space="preserve">Căscioarele - village of Căscioarele, commune of </w:t>
            </w:r>
            <w:r w:rsidRPr="00EC75B7">
              <w:rPr>
                <w:rFonts w:ascii="Verdana" w:hAnsi="Verdana"/>
                <w:spacing w:val="-2"/>
                <w:sz w:val="18"/>
                <w:szCs w:val="18"/>
              </w:rPr>
              <w:t>CERCHEZU.</w:t>
            </w:r>
          </w:p>
        </w:tc>
        <w:tc>
          <w:tcPr>
            <w:tcW w:w="5956" w:type="dxa"/>
          </w:tcPr>
          <w:p w14:paraId="26643ABC" w14:textId="77777777" w:rsidR="008715BE" w:rsidRPr="00EC75B7" w:rsidRDefault="00000000">
            <w:pPr>
              <w:pStyle w:val="TableParagraph"/>
              <w:spacing w:before="8"/>
              <w:ind w:left="107" w:right="95"/>
              <w:jc w:val="both"/>
              <w:rPr>
                <w:rFonts w:ascii="Verdana" w:hAnsi="Verdana"/>
                <w:sz w:val="18"/>
                <w:szCs w:val="18"/>
              </w:rPr>
            </w:pPr>
            <w:r w:rsidRPr="00EC75B7">
              <w:rPr>
                <w:rFonts w:ascii="Verdana" w:hAnsi="Verdana"/>
                <w:sz w:val="18"/>
                <w:szCs w:val="18"/>
              </w:rPr>
              <w:t>The non-implementation of the project is not expected to cause any changes to the location or content of the archaeological sites or heritage objects in the project area.</w:t>
            </w:r>
          </w:p>
        </w:tc>
        <w:tc>
          <w:tcPr>
            <w:tcW w:w="1702" w:type="dxa"/>
            <w:shd w:val="clear" w:color="auto" w:fill="C8EBFF"/>
          </w:tcPr>
          <w:p w14:paraId="6E2E0F71"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Maintenance</w:t>
            </w:r>
          </w:p>
        </w:tc>
      </w:tr>
      <w:tr w:rsidR="008715BE" w:rsidRPr="00EC75B7" w14:paraId="1B45C0B1" w14:textId="77777777">
        <w:trPr>
          <w:trHeight w:val="777"/>
        </w:trPr>
        <w:tc>
          <w:tcPr>
            <w:tcW w:w="1810" w:type="dxa"/>
          </w:tcPr>
          <w:p w14:paraId="190C5C31"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2"/>
                <w:sz w:val="18"/>
                <w:szCs w:val="18"/>
              </w:rPr>
              <w:t>Landscape</w:t>
            </w:r>
          </w:p>
        </w:tc>
        <w:tc>
          <w:tcPr>
            <w:tcW w:w="5528" w:type="dxa"/>
          </w:tcPr>
          <w:p w14:paraId="0A397495" w14:textId="77777777" w:rsidR="008715BE" w:rsidRPr="00EC75B7" w:rsidRDefault="00000000">
            <w:pPr>
              <w:pStyle w:val="TableParagraph"/>
              <w:spacing w:line="194" w:lineRule="exact"/>
              <w:ind w:left="105" w:right="95"/>
              <w:jc w:val="both"/>
              <w:rPr>
                <w:rFonts w:ascii="Verdana" w:hAnsi="Verdana"/>
                <w:sz w:val="18"/>
                <w:szCs w:val="18"/>
              </w:rPr>
            </w:pPr>
            <w:r w:rsidRPr="00EC75B7">
              <w:rPr>
                <w:rFonts w:ascii="Verdana" w:hAnsi="Verdana"/>
                <w:spacing w:val="-2"/>
                <w:sz w:val="18"/>
                <w:szCs w:val="18"/>
              </w:rPr>
              <w:t xml:space="preserve">The study area is predominantly agricultural, with </w:t>
            </w:r>
            <w:r w:rsidRPr="00EC75B7">
              <w:rPr>
                <w:rFonts w:ascii="Verdana" w:hAnsi="Verdana"/>
                <w:sz w:val="18"/>
                <w:szCs w:val="18"/>
              </w:rPr>
              <w:t>existing anthropogenic</w:t>
            </w:r>
            <w:r w:rsidRPr="00EC75B7">
              <w:rPr>
                <w:rFonts w:ascii="Verdana" w:hAnsi="Verdana"/>
                <w:spacing w:val="-2"/>
                <w:sz w:val="18"/>
                <w:szCs w:val="18"/>
              </w:rPr>
              <w:t xml:space="preserve"> uses </w:t>
            </w:r>
            <w:r w:rsidRPr="00EC75B7">
              <w:rPr>
                <w:rFonts w:ascii="Verdana" w:hAnsi="Verdana"/>
                <w:sz w:val="18"/>
                <w:szCs w:val="18"/>
              </w:rPr>
              <w:t>(agricultural land, pastures, agricultural and communal roads), without historical monuments, archaeological sites, or sites of particular landscape value.</w:t>
            </w:r>
          </w:p>
        </w:tc>
        <w:tc>
          <w:tcPr>
            <w:tcW w:w="5956" w:type="dxa"/>
          </w:tcPr>
          <w:p w14:paraId="593A351F"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If the project is not implemented, there will be no changes in terms of landscape.</w:t>
            </w:r>
          </w:p>
        </w:tc>
        <w:tc>
          <w:tcPr>
            <w:tcW w:w="1702" w:type="dxa"/>
            <w:shd w:val="clear" w:color="auto" w:fill="C8EBFF"/>
          </w:tcPr>
          <w:p w14:paraId="2914BA8F"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Maintenance</w:t>
            </w:r>
          </w:p>
        </w:tc>
      </w:tr>
    </w:tbl>
    <w:p w14:paraId="5DFDF761" w14:textId="77777777" w:rsidR="008715BE" w:rsidRPr="00EC75B7" w:rsidRDefault="008715BE">
      <w:pPr>
        <w:pStyle w:val="BodyText"/>
        <w:rPr>
          <w:rFonts w:ascii="Verdana" w:hAnsi="Verdana"/>
          <w:b/>
        </w:rPr>
      </w:pPr>
    </w:p>
    <w:p w14:paraId="73081D1A" w14:textId="77777777" w:rsidR="008715BE" w:rsidRPr="00EC75B7" w:rsidRDefault="008715BE">
      <w:pPr>
        <w:pStyle w:val="BodyText"/>
        <w:spacing w:before="20"/>
        <w:rPr>
          <w:rFonts w:ascii="Verdana" w:hAnsi="Verdana"/>
          <w:b/>
        </w:rPr>
      </w:pPr>
    </w:p>
    <w:p w14:paraId="5EB0F8AC" w14:textId="77777777" w:rsidR="0053798D" w:rsidRDefault="0053798D">
      <w:pPr>
        <w:pStyle w:val="BodyText"/>
        <w:ind w:left="30"/>
        <w:rPr>
          <w:rFonts w:ascii="Verdana" w:hAnsi="Verdana"/>
        </w:rPr>
      </w:pPr>
    </w:p>
    <w:p w14:paraId="3C8FF274" w14:textId="77777777" w:rsidR="0053798D" w:rsidRDefault="0053798D">
      <w:pPr>
        <w:pStyle w:val="BodyText"/>
        <w:ind w:left="30"/>
        <w:rPr>
          <w:rFonts w:ascii="Verdana" w:hAnsi="Verdana"/>
        </w:rPr>
      </w:pPr>
    </w:p>
    <w:p w14:paraId="51D888C7" w14:textId="77777777" w:rsidR="0053798D" w:rsidRDefault="0053798D">
      <w:pPr>
        <w:pStyle w:val="BodyText"/>
        <w:ind w:left="30"/>
        <w:rPr>
          <w:rFonts w:ascii="Verdana" w:hAnsi="Verdana"/>
        </w:rPr>
      </w:pPr>
    </w:p>
    <w:p w14:paraId="68D55361" w14:textId="77777777" w:rsidR="0053798D" w:rsidRDefault="0053798D">
      <w:pPr>
        <w:pStyle w:val="BodyText"/>
        <w:ind w:left="30"/>
        <w:rPr>
          <w:rFonts w:ascii="Verdana" w:hAnsi="Verdana"/>
        </w:rPr>
      </w:pPr>
    </w:p>
    <w:p w14:paraId="1951589F" w14:textId="7B042390" w:rsidR="008715BE" w:rsidRPr="00EC75B7" w:rsidRDefault="00000000">
      <w:pPr>
        <w:pStyle w:val="BodyText"/>
        <w:ind w:left="30"/>
        <w:rPr>
          <w:rFonts w:ascii="Verdana" w:hAnsi="Verdana"/>
        </w:rPr>
      </w:pPr>
      <w:r w:rsidRPr="00EC75B7">
        <w:rPr>
          <w:rFonts w:ascii="Verdana" w:hAnsi="Verdana"/>
        </w:rPr>
        <w:lastRenderedPageBreak/>
        <w:t xml:space="preserve">Probable evolution compared to the </w:t>
      </w:r>
      <w:r w:rsidRPr="00EC75B7">
        <w:rPr>
          <w:rFonts w:ascii="Verdana" w:hAnsi="Verdana"/>
          <w:spacing w:val="-2"/>
        </w:rPr>
        <w:t xml:space="preserve">existing </w:t>
      </w:r>
      <w:r w:rsidRPr="00EC75B7">
        <w:rPr>
          <w:rFonts w:ascii="Verdana" w:hAnsi="Verdana"/>
        </w:rPr>
        <w:t>situation</w:t>
      </w:r>
      <w:r w:rsidRPr="00EC75B7">
        <w:rPr>
          <w:rFonts w:ascii="Verdana" w:hAnsi="Verdana"/>
          <w:spacing w:val="-2"/>
        </w:rPr>
        <w:t>:</w:t>
      </w:r>
    </w:p>
    <w:p w14:paraId="60C18E12" w14:textId="77777777" w:rsidR="008715BE" w:rsidRPr="00EC75B7" w:rsidRDefault="008715BE">
      <w:pPr>
        <w:pStyle w:val="BodyText"/>
        <w:rPr>
          <w:rFonts w:ascii="Verdana" w:hAnsi="Verdana"/>
        </w:rPr>
      </w:pPr>
    </w:p>
    <w:tbl>
      <w:tblPr>
        <w:tblStyle w:val="TableNormal1"/>
        <w:tblW w:w="0" w:type="auto"/>
        <w:tblInd w:w="4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952"/>
        <w:gridCol w:w="5955"/>
      </w:tblGrid>
      <w:tr w:rsidR="008715BE" w:rsidRPr="00EC75B7" w14:paraId="2DA96804" w14:textId="77777777">
        <w:trPr>
          <w:trHeight w:val="193"/>
        </w:trPr>
        <w:tc>
          <w:tcPr>
            <w:tcW w:w="1952" w:type="dxa"/>
            <w:shd w:val="clear" w:color="auto" w:fill="009DEF"/>
          </w:tcPr>
          <w:p w14:paraId="7C743F39" w14:textId="77777777" w:rsidR="008715BE" w:rsidRPr="00EC75B7" w:rsidRDefault="00000000">
            <w:pPr>
              <w:pStyle w:val="TableParagraph"/>
              <w:spacing w:before="8" w:line="166" w:lineRule="exact"/>
              <w:ind w:left="105"/>
              <w:rPr>
                <w:rFonts w:ascii="Verdana" w:hAnsi="Verdana"/>
                <w:b/>
                <w:sz w:val="18"/>
                <w:szCs w:val="18"/>
              </w:rPr>
            </w:pPr>
            <w:r w:rsidRPr="00EC75B7">
              <w:rPr>
                <w:rFonts w:ascii="Verdana" w:hAnsi="Verdana"/>
                <w:b/>
                <w:color w:val="FFFFFF"/>
                <w:spacing w:val="-4"/>
                <w:sz w:val="18"/>
                <w:szCs w:val="18"/>
              </w:rPr>
              <w:t>Class</w:t>
            </w:r>
          </w:p>
        </w:tc>
        <w:tc>
          <w:tcPr>
            <w:tcW w:w="5955" w:type="dxa"/>
            <w:shd w:val="clear" w:color="auto" w:fill="009DEF"/>
          </w:tcPr>
          <w:p w14:paraId="12AA631F" w14:textId="77777777" w:rsidR="008715BE" w:rsidRPr="00EC75B7" w:rsidRDefault="00000000">
            <w:pPr>
              <w:pStyle w:val="TableParagraph"/>
              <w:spacing w:before="8" w:line="166" w:lineRule="exact"/>
              <w:ind w:left="107"/>
              <w:rPr>
                <w:rFonts w:ascii="Verdana" w:hAnsi="Verdana"/>
                <w:b/>
                <w:sz w:val="18"/>
                <w:szCs w:val="18"/>
              </w:rPr>
            </w:pPr>
            <w:r w:rsidRPr="00EC75B7">
              <w:rPr>
                <w:rFonts w:ascii="Verdana" w:hAnsi="Verdana"/>
                <w:b/>
                <w:color w:val="FFFFFF"/>
                <w:sz w:val="18"/>
                <w:szCs w:val="18"/>
              </w:rPr>
              <w:t xml:space="preserve">Description </w:t>
            </w:r>
            <w:r w:rsidRPr="00EC75B7">
              <w:rPr>
                <w:rFonts w:ascii="Verdana" w:hAnsi="Verdana"/>
                <w:b/>
                <w:color w:val="FFFFFF"/>
                <w:spacing w:val="-2"/>
                <w:sz w:val="18"/>
                <w:szCs w:val="18"/>
              </w:rPr>
              <w:t>of changes</w:t>
            </w:r>
          </w:p>
        </w:tc>
      </w:tr>
      <w:tr w:rsidR="008715BE" w:rsidRPr="00EC75B7" w14:paraId="4223F3FD" w14:textId="77777777">
        <w:trPr>
          <w:trHeight w:val="194"/>
        </w:trPr>
        <w:tc>
          <w:tcPr>
            <w:tcW w:w="1952" w:type="dxa"/>
            <w:shd w:val="clear" w:color="auto" w:fill="CDE1BE"/>
          </w:tcPr>
          <w:p w14:paraId="57082D6E" w14:textId="77777777" w:rsidR="008715BE" w:rsidRPr="00EC75B7" w:rsidRDefault="00000000">
            <w:pPr>
              <w:pStyle w:val="TableParagraph"/>
              <w:spacing w:before="8" w:line="166" w:lineRule="exact"/>
              <w:ind w:left="105"/>
              <w:rPr>
                <w:rFonts w:ascii="Verdana" w:hAnsi="Verdana"/>
                <w:sz w:val="18"/>
                <w:szCs w:val="18"/>
              </w:rPr>
            </w:pPr>
            <w:r w:rsidRPr="00EC75B7">
              <w:rPr>
                <w:rFonts w:ascii="Verdana" w:hAnsi="Verdana"/>
                <w:spacing w:val="-2"/>
                <w:sz w:val="18"/>
                <w:szCs w:val="18"/>
              </w:rPr>
              <w:t>Improvement</w:t>
            </w:r>
          </w:p>
        </w:tc>
        <w:tc>
          <w:tcPr>
            <w:tcW w:w="5955" w:type="dxa"/>
          </w:tcPr>
          <w:p w14:paraId="6FC3B5D7"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 xml:space="preserve">The trend is </w:t>
            </w:r>
            <w:r w:rsidRPr="00EC75B7">
              <w:rPr>
                <w:rFonts w:ascii="Verdana" w:hAnsi="Verdana"/>
                <w:spacing w:val="-2"/>
                <w:sz w:val="18"/>
                <w:szCs w:val="18"/>
              </w:rPr>
              <w:t>positive</w:t>
            </w:r>
          </w:p>
        </w:tc>
      </w:tr>
      <w:tr w:rsidR="008715BE" w:rsidRPr="00EC75B7" w14:paraId="019993E7" w14:textId="77777777">
        <w:trPr>
          <w:trHeight w:val="194"/>
        </w:trPr>
        <w:tc>
          <w:tcPr>
            <w:tcW w:w="1952" w:type="dxa"/>
            <w:shd w:val="clear" w:color="auto" w:fill="C8EBFF"/>
          </w:tcPr>
          <w:p w14:paraId="7854068D" w14:textId="77777777" w:rsidR="008715BE" w:rsidRPr="00EC75B7" w:rsidRDefault="00000000">
            <w:pPr>
              <w:pStyle w:val="TableParagraph"/>
              <w:spacing w:before="9" w:line="166" w:lineRule="exact"/>
              <w:ind w:left="105"/>
              <w:rPr>
                <w:rFonts w:ascii="Verdana" w:hAnsi="Verdana"/>
                <w:sz w:val="18"/>
                <w:szCs w:val="18"/>
              </w:rPr>
            </w:pPr>
            <w:r w:rsidRPr="00EC75B7">
              <w:rPr>
                <w:rFonts w:ascii="Verdana" w:hAnsi="Verdana"/>
                <w:spacing w:val="-2"/>
                <w:sz w:val="18"/>
                <w:szCs w:val="18"/>
              </w:rPr>
              <w:t>Maintenance</w:t>
            </w:r>
          </w:p>
        </w:tc>
        <w:tc>
          <w:tcPr>
            <w:tcW w:w="5955" w:type="dxa"/>
          </w:tcPr>
          <w:p w14:paraId="4A8C40AA" w14:textId="77777777" w:rsidR="008715BE" w:rsidRPr="00EC75B7" w:rsidRDefault="00000000">
            <w:pPr>
              <w:pStyle w:val="TableParagraph"/>
              <w:spacing w:before="9" w:line="166" w:lineRule="exact"/>
              <w:ind w:left="107"/>
              <w:rPr>
                <w:rFonts w:ascii="Verdana" w:hAnsi="Verdana"/>
                <w:sz w:val="18"/>
                <w:szCs w:val="18"/>
              </w:rPr>
            </w:pPr>
            <w:r w:rsidRPr="00EC75B7">
              <w:rPr>
                <w:rFonts w:ascii="Verdana" w:hAnsi="Verdana"/>
                <w:sz w:val="18"/>
                <w:szCs w:val="18"/>
              </w:rPr>
              <w:t xml:space="preserve">The trend is </w:t>
            </w:r>
            <w:r w:rsidRPr="00EC75B7">
              <w:rPr>
                <w:rFonts w:ascii="Verdana" w:hAnsi="Verdana"/>
                <w:spacing w:val="-2"/>
                <w:sz w:val="18"/>
                <w:szCs w:val="18"/>
              </w:rPr>
              <w:t>negative</w:t>
            </w:r>
          </w:p>
        </w:tc>
      </w:tr>
      <w:tr w:rsidR="008715BE" w:rsidRPr="00EC75B7" w14:paraId="39C8F204" w14:textId="77777777">
        <w:trPr>
          <w:trHeight w:val="196"/>
        </w:trPr>
        <w:tc>
          <w:tcPr>
            <w:tcW w:w="1952" w:type="dxa"/>
            <w:shd w:val="clear" w:color="auto" w:fill="FFB799"/>
          </w:tcPr>
          <w:p w14:paraId="7BCBA5BC" w14:textId="77777777" w:rsidR="008715BE" w:rsidRPr="00EC75B7" w:rsidRDefault="00000000">
            <w:pPr>
              <w:pStyle w:val="TableParagraph"/>
              <w:spacing w:before="10" w:line="166" w:lineRule="exact"/>
              <w:ind w:left="105"/>
              <w:rPr>
                <w:rFonts w:ascii="Verdana" w:hAnsi="Verdana"/>
                <w:sz w:val="18"/>
                <w:szCs w:val="18"/>
              </w:rPr>
            </w:pPr>
            <w:r w:rsidRPr="00EC75B7">
              <w:rPr>
                <w:rFonts w:ascii="Verdana" w:hAnsi="Verdana"/>
                <w:spacing w:val="-2"/>
                <w:sz w:val="18"/>
                <w:szCs w:val="18"/>
              </w:rPr>
              <w:t>Worsening</w:t>
            </w:r>
          </w:p>
        </w:tc>
        <w:tc>
          <w:tcPr>
            <w:tcW w:w="5955" w:type="dxa"/>
          </w:tcPr>
          <w:p w14:paraId="4EA20C91" w14:textId="77777777" w:rsidR="008715BE" w:rsidRPr="00EC75B7" w:rsidRDefault="00000000">
            <w:pPr>
              <w:pStyle w:val="TableParagraph"/>
              <w:spacing w:before="10" w:line="166" w:lineRule="exact"/>
              <w:ind w:left="107"/>
              <w:rPr>
                <w:rFonts w:ascii="Verdana" w:hAnsi="Verdana"/>
                <w:sz w:val="18"/>
                <w:szCs w:val="18"/>
              </w:rPr>
            </w:pPr>
            <w:r w:rsidRPr="00EC75B7">
              <w:rPr>
                <w:rFonts w:ascii="Verdana" w:hAnsi="Verdana"/>
                <w:sz w:val="18"/>
                <w:szCs w:val="18"/>
              </w:rPr>
              <w:t xml:space="preserve">No major changes are expected compared to the </w:t>
            </w:r>
            <w:r w:rsidRPr="00EC75B7">
              <w:rPr>
                <w:rFonts w:ascii="Verdana" w:hAnsi="Verdana"/>
                <w:spacing w:val="-2"/>
                <w:sz w:val="18"/>
                <w:szCs w:val="18"/>
              </w:rPr>
              <w:t xml:space="preserve">current </w:t>
            </w:r>
            <w:r w:rsidRPr="00EC75B7">
              <w:rPr>
                <w:rFonts w:ascii="Verdana" w:hAnsi="Verdana"/>
                <w:sz w:val="18"/>
                <w:szCs w:val="18"/>
              </w:rPr>
              <w:t>situation</w:t>
            </w:r>
          </w:p>
        </w:tc>
      </w:tr>
    </w:tbl>
    <w:p w14:paraId="6CF94709" w14:textId="77777777" w:rsidR="008715BE" w:rsidRPr="00EC75B7" w:rsidRDefault="008715BE">
      <w:pPr>
        <w:pStyle w:val="TableParagraph"/>
        <w:spacing w:line="166" w:lineRule="exact"/>
        <w:rPr>
          <w:rFonts w:ascii="Verdana" w:hAnsi="Verdana"/>
          <w:sz w:val="18"/>
          <w:szCs w:val="18"/>
        </w:rPr>
        <w:sectPr w:rsidR="008715BE" w:rsidRPr="00EC75B7">
          <w:pgSz w:w="16840" w:h="11910" w:orient="landscape"/>
          <w:pgMar w:top="1260" w:right="850" w:bottom="1020" w:left="850" w:header="766" w:footer="824" w:gutter="0"/>
          <w:cols w:space="708"/>
        </w:sectPr>
      </w:pPr>
    </w:p>
    <w:p w14:paraId="32271E54" w14:textId="77777777" w:rsidR="008715BE" w:rsidRPr="00EC75B7" w:rsidRDefault="00000000">
      <w:pPr>
        <w:spacing w:before="21"/>
        <w:ind w:left="57"/>
        <w:rPr>
          <w:rFonts w:ascii="Verdana" w:hAnsi="Verdana"/>
          <w:b/>
          <w:sz w:val="18"/>
          <w:szCs w:val="18"/>
        </w:rPr>
      </w:pPr>
      <w:r w:rsidRPr="00EC75B7">
        <w:rPr>
          <w:rFonts w:ascii="Verdana" w:hAnsi="Verdana"/>
          <w:b/>
          <w:noProof/>
          <w:sz w:val="18"/>
          <w:szCs w:val="18"/>
        </w:rPr>
        <w:lastRenderedPageBreak/>
        <w:drawing>
          <wp:anchor distT="0" distB="0" distL="0" distR="0" simplePos="0" relativeHeight="251667456" behindDoc="0" locked="0" layoutInCell="1" allowOverlap="1" wp14:anchorId="2EA56F09" wp14:editId="1BA17268">
            <wp:simplePos x="0" y="0"/>
            <wp:positionH relativeFrom="page">
              <wp:posOffset>756284</wp:posOffset>
            </wp:positionH>
            <wp:positionV relativeFrom="page">
              <wp:posOffset>486409</wp:posOffset>
            </wp:positionV>
            <wp:extent cx="651078" cy="177800"/>
            <wp:effectExtent l="0" t="0" r="0" b="0"/>
            <wp:wrapNone/>
            <wp:docPr id="233" name="Image 233"/>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 xml:space="preserve">Transformation, electrical connection networks, construction and modernization of communication and </w:t>
      </w:r>
      <w:r w:rsidRPr="00EC75B7">
        <w:rPr>
          <w:rFonts w:ascii="Verdana" w:hAnsi="Verdana"/>
          <w:b/>
          <w:color w:val="D0CFC2"/>
          <w:spacing w:val="-4"/>
          <w:sz w:val="18"/>
          <w:szCs w:val="18"/>
        </w:rPr>
        <w:t xml:space="preserve">access </w:t>
      </w:r>
      <w:r w:rsidRPr="00EC75B7">
        <w:rPr>
          <w:rFonts w:ascii="Verdana" w:hAnsi="Verdana"/>
          <w:b/>
          <w:color w:val="D0CFC2"/>
          <w:sz w:val="18"/>
          <w:szCs w:val="18"/>
        </w:rPr>
        <w:t>routes</w:t>
      </w:r>
    </w:p>
    <w:p w14:paraId="21C35250" w14:textId="77777777" w:rsidR="008715BE" w:rsidRPr="00EC75B7" w:rsidRDefault="008715BE">
      <w:pPr>
        <w:pStyle w:val="BodyText"/>
        <w:rPr>
          <w:rFonts w:ascii="Verdana" w:hAnsi="Verdana"/>
          <w:b/>
        </w:rPr>
      </w:pPr>
    </w:p>
    <w:p w14:paraId="5D3979B6" w14:textId="77777777" w:rsidR="008715BE" w:rsidRPr="00EC75B7" w:rsidRDefault="008715BE">
      <w:pPr>
        <w:pStyle w:val="BodyText"/>
        <w:spacing w:before="112"/>
        <w:rPr>
          <w:rFonts w:ascii="Verdana" w:hAnsi="Verdana"/>
          <w:b/>
        </w:rPr>
      </w:pPr>
    </w:p>
    <w:p w14:paraId="00FF333B" w14:textId="77777777" w:rsidR="008715BE" w:rsidRPr="00EC75B7" w:rsidRDefault="00000000">
      <w:pPr>
        <w:pStyle w:val="Heading1"/>
        <w:numPr>
          <w:ilvl w:val="0"/>
          <w:numId w:val="110"/>
        </w:numPr>
        <w:tabs>
          <w:tab w:val="left" w:pos="777"/>
        </w:tabs>
        <w:spacing w:line="357" w:lineRule="auto"/>
        <w:ind w:left="777" w:right="136" w:hanging="764"/>
        <w:jc w:val="left"/>
        <w:rPr>
          <w:rFonts w:ascii="Verdana" w:hAnsi="Verdana"/>
          <w:sz w:val="18"/>
          <w:szCs w:val="18"/>
        </w:rPr>
      </w:pPr>
      <w:bookmarkStart w:id="69" w:name="_bookmark70"/>
      <w:bookmarkEnd w:id="69"/>
      <w:r w:rsidRPr="00EC75B7">
        <w:rPr>
          <w:rFonts w:ascii="Verdana" w:hAnsi="Verdana"/>
          <w:color w:val="00AFEF"/>
          <w:sz w:val="18"/>
          <w:szCs w:val="18"/>
        </w:rPr>
        <w:t>DESCRIPTION OF ENVIRONMENTAL FACTORS LIKELY TO BE SIGNIFICANTLY AFFECTED BY THE PROJECT</w:t>
      </w:r>
    </w:p>
    <w:p w14:paraId="595D186D" w14:textId="77777777" w:rsidR="008715BE" w:rsidRPr="00EC75B7" w:rsidRDefault="00000000">
      <w:pPr>
        <w:pStyle w:val="BodyText"/>
        <w:spacing w:before="234" w:line="360" w:lineRule="auto"/>
        <w:ind w:left="57"/>
        <w:rPr>
          <w:rFonts w:ascii="Verdana" w:hAnsi="Verdana"/>
        </w:rPr>
      </w:pPr>
      <w:r w:rsidRPr="00EC75B7">
        <w:rPr>
          <w:rFonts w:ascii="Verdana" w:hAnsi="Verdana"/>
        </w:rPr>
        <w:t>This chapter will assess the potential effects that investments made through this project may have on the environment, regardless of the likelihood of significant negative effects occurring.</w:t>
      </w:r>
    </w:p>
    <w:p w14:paraId="637EFE10" w14:textId="77777777" w:rsidR="008715BE" w:rsidRPr="00EC75B7" w:rsidRDefault="00000000">
      <w:pPr>
        <w:pStyle w:val="BodyText"/>
        <w:spacing w:line="357" w:lineRule="auto"/>
        <w:ind w:left="57"/>
        <w:rPr>
          <w:rFonts w:ascii="Verdana" w:hAnsi="Verdana"/>
        </w:rPr>
      </w:pPr>
      <w:r w:rsidRPr="00EC75B7">
        <w:rPr>
          <w:rFonts w:ascii="Verdana" w:hAnsi="Verdana"/>
        </w:rPr>
        <w:t>The following environmental factors were assessed: the socio-economic environment and population health, biodiversity, soil/subsoil, water, air, noise, climate change, cultural heritage, landscape, and resource use.</w:t>
      </w:r>
    </w:p>
    <w:p w14:paraId="19E5A9C5" w14:textId="77777777" w:rsidR="008715BE" w:rsidRPr="00EC75B7" w:rsidRDefault="00000000">
      <w:pPr>
        <w:pStyle w:val="BodyText"/>
        <w:ind w:left="57"/>
        <w:rPr>
          <w:rFonts w:ascii="Verdana" w:hAnsi="Verdana"/>
        </w:rPr>
      </w:pPr>
      <w:r w:rsidRPr="00EC75B7">
        <w:rPr>
          <w:rFonts w:ascii="Verdana" w:hAnsi="Verdana"/>
        </w:rPr>
        <w:t xml:space="preserve">In order to identify the environmental factors likely to be affected by the project, the following were </w:t>
      </w:r>
      <w:r w:rsidRPr="00EC75B7">
        <w:rPr>
          <w:rFonts w:ascii="Verdana" w:hAnsi="Verdana"/>
          <w:spacing w:val="-2"/>
        </w:rPr>
        <w:t>analysed:</w:t>
      </w:r>
    </w:p>
    <w:p w14:paraId="1AAEAB02" w14:textId="77777777" w:rsidR="008715BE" w:rsidRPr="00EC75B7" w:rsidRDefault="00000000">
      <w:pPr>
        <w:pStyle w:val="ListParagraph"/>
        <w:numPr>
          <w:ilvl w:val="0"/>
          <w:numId w:val="84"/>
        </w:numPr>
        <w:tabs>
          <w:tab w:val="left" w:pos="777"/>
        </w:tabs>
        <w:spacing w:before="108"/>
        <w:rPr>
          <w:rFonts w:ascii="Verdana" w:hAnsi="Verdana"/>
          <w:sz w:val="18"/>
          <w:szCs w:val="18"/>
        </w:rPr>
      </w:pPr>
      <w:r w:rsidRPr="00EC75B7">
        <w:rPr>
          <w:rFonts w:ascii="Verdana" w:hAnsi="Verdana"/>
          <w:sz w:val="18"/>
          <w:szCs w:val="18"/>
        </w:rPr>
        <w:t xml:space="preserve">all activities necessary for the implementation of </w:t>
      </w:r>
      <w:r w:rsidRPr="00EC75B7">
        <w:rPr>
          <w:rFonts w:ascii="Verdana" w:hAnsi="Verdana"/>
          <w:spacing w:val="-2"/>
          <w:sz w:val="18"/>
          <w:szCs w:val="18"/>
        </w:rPr>
        <w:t>the project;</w:t>
      </w:r>
    </w:p>
    <w:p w14:paraId="39E3274C" w14:textId="77777777" w:rsidR="008715BE" w:rsidRPr="00EC75B7" w:rsidRDefault="00000000">
      <w:pPr>
        <w:pStyle w:val="ListParagraph"/>
        <w:numPr>
          <w:ilvl w:val="0"/>
          <w:numId w:val="84"/>
        </w:numPr>
        <w:tabs>
          <w:tab w:val="left" w:pos="777"/>
        </w:tabs>
        <w:spacing w:before="109"/>
        <w:rPr>
          <w:rFonts w:ascii="Verdana" w:hAnsi="Verdana"/>
          <w:sz w:val="18"/>
          <w:szCs w:val="18"/>
        </w:rPr>
      </w:pPr>
      <w:r w:rsidRPr="00EC75B7">
        <w:rPr>
          <w:rFonts w:ascii="Verdana" w:hAnsi="Verdana"/>
          <w:sz w:val="18"/>
          <w:szCs w:val="18"/>
        </w:rPr>
        <w:t xml:space="preserve">all components of the receiving environment, i.e., the environment that will bear the effects </w:t>
      </w:r>
      <w:r w:rsidRPr="00EC75B7">
        <w:rPr>
          <w:rFonts w:ascii="Verdana" w:hAnsi="Verdana"/>
          <w:spacing w:val="-2"/>
          <w:sz w:val="18"/>
          <w:szCs w:val="18"/>
        </w:rPr>
        <w:t>of the project;</w:t>
      </w:r>
    </w:p>
    <w:p w14:paraId="5A675198" w14:textId="77777777" w:rsidR="008715BE" w:rsidRPr="00EC75B7" w:rsidRDefault="00000000">
      <w:pPr>
        <w:pStyle w:val="ListParagraph"/>
        <w:numPr>
          <w:ilvl w:val="0"/>
          <w:numId w:val="84"/>
        </w:numPr>
        <w:tabs>
          <w:tab w:val="left" w:pos="777"/>
        </w:tabs>
        <w:spacing w:before="107"/>
        <w:rPr>
          <w:rFonts w:ascii="Verdana" w:hAnsi="Verdana"/>
          <w:sz w:val="18"/>
          <w:szCs w:val="18"/>
        </w:rPr>
      </w:pPr>
      <w:r w:rsidRPr="00EC75B7">
        <w:rPr>
          <w:rFonts w:ascii="Verdana" w:hAnsi="Verdana"/>
          <w:sz w:val="18"/>
          <w:szCs w:val="18"/>
        </w:rPr>
        <w:t xml:space="preserve">the current state of the receiving environmental factor (quality of the </w:t>
      </w:r>
      <w:r w:rsidRPr="00EC75B7">
        <w:rPr>
          <w:rFonts w:ascii="Verdana" w:hAnsi="Verdana"/>
          <w:spacing w:val="-2"/>
          <w:sz w:val="18"/>
          <w:szCs w:val="18"/>
        </w:rPr>
        <w:t xml:space="preserve">environmental </w:t>
      </w:r>
      <w:r w:rsidRPr="00EC75B7">
        <w:rPr>
          <w:rFonts w:ascii="Verdana" w:hAnsi="Verdana"/>
          <w:sz w:val="18"/>
          <w:szCs w:val="18"/>
        </w:rPr>
        <w:t>factor</w:t>
      </w:r>
      <w:r w:rsidRPr="00EC75B7">
        <w:rPr>
          <w:rFonts w:ascii="Verdana" w:hAnsi="Verdana"/>
          <w:spacing w:val="-2"/>
          <w:sz w:val="18"/>
          <w:szCs w:val="18"/>
        </w:rPr>
        <w:t>);</w:t>
      </w:r>
    </w:p>
    <w:p w14:paraId="48B21CE5" w14:textId="77777777" w:rsidR="008715BE" w:rsidRPr="00EC75B7" w:rsidRDefault="00000000">
      <w:pPr>
        <w:pStyle w:val="ListParagraph"/>
        <w:numPr>
          <w:ilvl w:val="0"/>
          <w:numId w:val="84"/>
        </w:numPr>
        <w:tabs>
          <w:tab w:val="left" w:pos="777"/>
        </w:tabs>
        <w:spacing w:before="109"/>
        <w:rPr>
          <w:rFonts w:ascii="Verdana" w:hAnsi="Verdana"/>
          <w:sz w:val="18"/>
          <w:szCs w:val="18"/>
        </w:rPr>
      </w:pPr>
      <w:r w:rsidRPr="00EC75B7">
        <w:rPr>
          <w:rFonts w:ascii="Verdana" w:hAnsi="Verdana"/>
          <w:sz w:val="18"/>
          <w:szCs w:val="18"/>
        </w:rPr>
        <w:t xml:space="preserve">all possible interactions between activities and </w:t>
      </w:r>
      <w:r w:rsidRPr="00EC75B7">
        <w:rPr>
          <w:rFonts w:ascii="Verdana" w:hAnsi="Verdana"/>
          <w:spacing w:val="-2"/>
          <w:sz w:val="18"/>
          <w:szCs w:val="18"/>
        </w:rPr>
        <w:t xml:space="preserve">environmental </w:t>
      </w:r>
      <w:r w:rsidRPr="00EC75B7">
        <w:rPr>
          <w:rFonts w:ascii="Verdana" w:hAnsi="Verdana"/>
          <w:sz w:val="18"/>
          <w:szCs w:val="18"/>
        </w:rPr>
        <w:t>components</w:t>
      </w:r>
      <w:r w:rsidRPr="00EC75B7">
        <w:rPr>
          <w:rFonts w:ascii="Verdana" w:hAnsi="Verdana"/>
          <w:spacing w:val="-2"/>
          <w:sz w:val="18"/>
          <w:szCs w:val="18"/>
        </w:rPr>
        <w:t>.</w:t>
      </w:r>
    </w:p>
    <w:p w14:paraId="740B4D83" w14:textId="77777777" w:rsidR="008715BE" w:rsidRPr="00EC75B7" w:rsidRDefault="00000000">
      <w:pPr>
        <w:pStyle w:val="BodyText"/>
        <w:spacing w:before="109" w:line="357" w:lineRule="auto"/>
        <w:ind w:left="57" w:right="138"/>
        <w:jc w:val="both"/>
        <w:rPr>
          <w:rFonts w:ascii="Verdana" w:hAnsi="Verdana"/>
        </w:rPr>
      </w:pPr>
      <w:r w:rsidRPr="00EC75B7">
        <w:rPr>
          <w:rFonts w:ascii="Verdana" w:hAnsi="Verdana"/>
        </w:rPr>
        <w:t>Significant impairment means a permanent change in the quality of the environmental factor or temporary (reversible) changes with medium- and long-term effects on the quality of the environmental factor, for example (5-10 years). Significant impairment of an environmental factor is determined by the occurrence of a number of situations in which the magnitude of the environmental impact resulting from the implementation of the measures proposed by this project falls within the category of high/very high negative impact, and the sensitivity of the environmental component undergoing change as a result of the project falls within the category of high/very high.</w:t>
      </w:r>
    </w:p>
    <w:p w14:paraId="70A99000" w14:textId="77777777" w:rsidR="008715BE" w:rsidRPr="00EC75B7" w:rsidRDefault="00000000">
      <w:pPr>
        <w:pStyle w:val="BodyText"/>
        <w:spacing w:before="5" w:line="357" w:lineRule="auto"/>
        <w:ind w:left="57" w:right="153"/>
        <w:jc w:val="both"/>
        <w:rPr>
          <w:rFonts w:ascii="Verdana" w:hAnsi="Verdana"/>
        </w:rPr>
      </w:pPr>
      <w:r w:rsidRPr="00EC75B7">
        <w:rPr>
          <w:rFonts w:ascii="Verdana" w:hAnsi="Verdana"/>
        </w:rPr>
        <w:t>Significant impact consequences are understood to mean all direct, indirect, isolated, or synergistic effects in the medium and long term as a result of the effect.</w:t>
      </w:r>
    </w:p>
    <w:p w14:paraId="3406421E" w14:textId="77777777" w:rsidR="008715BE" w:rsidRPr="00EC75B7" w:rsidRDefault="00000000">
      <w:pPr>
        <w:pStyle w:val="BodyText"/>
        <w:spacing w:before="1" w:line="360" w:lineRule="auto"/>
        <w:ind w:left="57" w:right="139"/>
        <w:jc w:val="both"/>
        <w:rPr>
          <w:rFonts w:ascii="Verdana" w:hAnsi="Verdana"/>
        </w:rPr>
      </w:pPr>
      <w:r w:rsidRPr="00EC75B7">
        <w:rPr>
          <w:rFonts w:ascii="Verdana" w:hAnsi="Verdana"/>
        </w:rPr>
        <w:t>Both during the execution/decommissioning period and during the project's operation, no activities involving the use of chemicals that could potentially cause major accidents will be carried out.</w:t>
      </w:r>
    </w:p>
    <w:p w14:paraId="6F2344F3" w14:textId="77777777" w:rsidR="008715BE" w:rsidRPr="00EC75B7" w:rsidRDefault="00000000">
      <w:pPr>
        <w:pStyle w:val="BodyText"/>
        <w:spacing w:line="360" w:lineRule="auto"/>
        <w:ind w:left="57" w:right="136"/>
        <w:jc w:val="both"/>
        <w:rPr>
          <w:rFonts w:ascii="Verdana" w:hAnsi="Verdana"/>
        </w:rPr>
      </w:pPr>
      <w:r w:rsidRPr="00EC75B7">
        <w:rPr>
          <w:rFonts w:ascii="Verdana" w:hAnsi="Verdana"/>
        </w:rPr>
        <w:t>The table below presents theoretical situations in which the environmental factor could be significantly affected and is not based on the results of the impact assessment presented in Chapter 7. These situations are also valid for the demobilization/decommissioning stage.</w:t>
      </w:r>
    </w:p>
    <w:p w14:paraId="37190621" w14:textId="77777777" w:rsidR="008715BE" w:rsidRPr="00EC75B7" w:rsidRDefault="008715BE">
      <w:pPr>
        <w:pStyle w:val="BodyText"/>
        <w:spacing w:line="360" w:lineRule="auto"/>
        <w:jc w:val="both"/>
        <w:rPr>
          <w:rFonts w:ascii="Verdana" w:hAnsi="Verdana"/>
        </w:rPr>
        <w:sectPr w:rsidR="008715BE" w:rsidRPr="00EC75B7">
          <w:headerReference w:type="default" r:id="rId184"/>
          <w:footerReference w:type="default" r:id="rId185"/>
          <w:pgSz w:w="11910" w:h="16840"/>
          <w:pgMar w:top="980" w:right="850" w:bottom="1020" w:left="1133" w:header="800" w:footer="824" w:gutter="0"/>
          <w:cols w:space="708"/>
        </w:sectPr>
      </w:pPr>
    </w:p>
    <w:p w14:paraId="560CF089" w14:textId="77777777" w:rsidR="008715BE" w:rsidRPr="00EC75B7" w:rsidRDefault="00000000">
      <w:pPr>
        <w:spacing w:before="189"/>
        <w:ind w:left="2"/>
        <w:rPr>
          <w:rFonts w:ascii="Verdana" w:hAnsi="Verdana"/>
          <w:b/>
          <w:sz w:val="18"/>
          <w:szCs w:val="18"/>
        </w:rPr>
      </w:pPr>
      <w:r w:rsidRPr="00EC75B7">
        <w:rPr>
          <w:rFonts w:ascii="Verdana" w:hAnsi="Verdana"/>
          <w:b/>
          <w:color w:val="00AFEF"/>
          <w:sz w:val="18"/>
          <w:szCs w:val="18"/>
        </w:rPr>
        <w:lastRenderedPageBreak/>
        <w:t xml:space="preserve">Table 20 Environmental factors potentially affected by </w:t>
      </w:r>
      <w:r w:rsidRPr="00EC75B7">
        <w:rPr>
          <w:rFonts w:ascii="Verdana" w:hAnsi="Verdana"/>
          <w:b/>
          <w:color w:val="00AFEF"/>
          <w:spacing w:val="-2"/>
          <w:sz w:val="18"/>
          <w:szCs w:val="18"/>
        </w:rPr>
        <w:t>the project</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623"/>
        <w:gridCol w:w="6030"/>
        <w:gridCol w:w="4962"/>
        <w:gridCol w:w="9357"/>
      </w:tblGrid>
      <w:tr w:rsidR="008715BE" w:rsidRPr="00EC75B7" w14:paraId="38B373D3" w14:textId="77777777">
        <w:trPr>
          <w:trHeight w:val="760"/>
        </w:trPr>
        <w:tc>
          <w:tcPr>
            <w:tcW w:w="1623" w:type="dxa"/>
            <w:shd w:val="clear" w:color="auto" w:fill="00AFEF"/>
          </w:tcPr>
          <w:p w14:paraId="49749BB9" w14:textId="77777777" w:rsidR="008715BE" w:rsidRPr="00EC75B7" w:rsidRDefault="00000000">
            <w:pPr>
              <w:pStyle w:val="TableParagraph"/>
              <w:spacing w:before="186"/>
              <w:ind w:left="532" w:right="380" w:hanging="144"/>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factor</w:t>
            </w:r>
          </w:p>
        </w:tc>
        <w:tc>
          <w:tcPr>
            <w:tcW w:w="6030" w:type="dxa"/>
            <w:shd w:val="clear" w:color="auto" w:fill="00AFEF"/>
          </w:tcPr>
          <w:p w14:paraId="1986EDE3" w14:textId="77777777" w:rsidR="008715BE" w:rsidRPr="00EC75B7" w:rsidRDefault="008715BE">
            <w:pPr>
              <w:pStyle w:val="TableParagraph"/>
              <w:spacing w:before="87"/>
              <w:rPr>
                <w:rFonts w:ascii="Verdana" w:hAnsi="Verdana"/>
                <w:b/>
                <w:sz w:val="18"/>
                <w:szCs w:val="18"/>
              </w:rPr>
            </w:pPr>
          </w:p>
          <w:p w14:paraId="6860E398" w14:textId="77777777" w:rsidR="008715BE" w:rsidRPr="00EC75B7" w:rsidRDefault="00000000">
            <w:pPr>
              <w:pStyle w:val="TableParagraph"/>
              <w:ind w:left="1350"/>
              <w:rPr>
                <w:rFonts w:ascii="Verdana" w:hAnsi="Verdana"/>
                <w:b/>
                <w:sz w:val="18"/>
                <w:szCs w:val="18"/>
              </w:rPr>
            </w:pPr>
            <w:r w:rsidRPr="00EC75B7">
              <w:rPr>
                <w:rFonts w:ascii="Verdana" w:hAnsi="Verdana"/>
                <w:b/>
                <w:color w:val="FFFFFF"/>
                <w:sz w:val="18"/>
                <w:szCs w:val="18"/>
              </w:rPr>
              <w:t xml:space="preserve">Cause of such </w:t>
            </w:r>
            <w:r w:rsidRPr="00EC75B7">
              <w:rPr>
                <w:rFonts w:ascii="Verdana" w:hAnsi="Verdana"/>
                <w:b/>
                <w:color w:val="FFFFFF"/>
                <w:spacing w:val="-2"/>
                <w:sz w:val="18"/>
                <w:szCs w:val="18"/>
              </w:rPr>
              <w:t>situations</w:t>
            </w:r>
          </w:p>
        </w:tc>
        <w:tc>
          <w:tcPr>
            <w:tcW w:w="4962" w:type="dxa"/>
            <w:shd w:val="clear" w:color="auto" w:fill="00AFEF"/>
          </w:tcPr>
          <w:p w14:paraId="68083F05" w14:textId="77777777" w:rsidR="008715BE" w:rsidRPr="00EC75B7" w:rsidRDefault="00000000">
            <w:pPr>
              <w:pStyle w:val="TableParagraph"/>
              <w:spacing w:before="186" w:line="195" w:lineRule="exact"/>
              <w:ind w:left="2" w:right="1"/>
              <w:jc w:val="center"/>
              <w:rPr>
                <w:rFonts w:ascii="Verdana" w:hAnsi="Verdana"/>
                <w:b/>
                <w:sz w:val="18"/>
                <w:szCs w:val="18"/>
              </w:rPr>
            </w:pPr>
            <w:r w:rsidRPr="00EC75B7">
              <w:rPr>
                <w:rFonts w:ascii="Verdana" w:hAnsi="Verdana"/>
                <w:b/>
                <w:color w:val="FFFFFF"/>
                <w:sz w:val="18"/>
                <w:szCs w:val="18"/>
              </w:rPr>
              <w:t xml:space="preserve">Situations that could have led or could lead </w:t>
            </w:r>
            <w:r w:rsidRPr="00EC75B7">
              <w:rPr>
                <w:rFonts w:ascii="Verdana" w:hAnsi="Verdana"/>
                <w:b/>
                <w:color w:val="FFFFFF"/>
                <w:spacing w:val="-5"/>
                <w:sz w:val="18"/>
                <w:szCs w:val="18"/>
              </w:rPr>
              <w:t>to</w:t>
            </w:r>
          </w:p>
          <w:p w14:paraId="1F6685E0" w14:textId="77777777" w:rsidR="008715BE" w:rsidRPr="00EC75B7" w:rsidRDefault="00000000">
            <w:pPr>
              <w:pStyle w:val="TableParagraph"/>
              <w:spacing w:line="195" w:lineRule="exact"/>
              <w:ind w:left="2"/>
              <w:jc w:val="center"/>
              <w:rPr>
                <w:rFonts w:ascii="Verdana" w:hAnsi="Verdana"/>
                <w:b/>
                <w:sz w:val="18"/>
                <w:szCs w:val="18"/>
              </w:rPr>
            </w:pPr>
            <w:r w:rsidRPr="00EC75B7">
              <w:rPr>
                <w:rFonts w:ascii="Verdana" w:hAnsi="Verdana"/>
                <w:b/>
                <w:color w:val="FFFFFF"/>
                <w:spacing w:val="-2"/>
                <w:sz w:val="18"/>
                <w:szCs w:val="18"/>
              </w:rPr>
              <w:t xml:space="preserve">significant </w:t>
            </w:r>
            <w:r w:rsidRPr="00EC75B7">
              <w:rPr>
                <w:rFonts w:ascii="Verdana" w:hAnsi="Verdana"/>
                <w:b/>
                <w:color w:val="FFFFFF"/>
                <w:sz w:val="18"/>
                <w:szCs w:val="18"/>
              </w:rPr>
              <w:t>negative impacts</w:t>
            </w:r>
          </w:p>
        </w:tc>
        <w:tc>
          <w:tcPr>
            <w:tcW w:w="9357" w:type="dxa"/>
            <w:shd w:val="clear" w:color="auto" w:fill="00AFEF"/>
          </w:tcPr>
          <w:p w14:paraId="3B2A9ACC" w14:textId="77777777" w:rsidR="008715BE" w:rsidRPr="00EC75B7" w:rsidRDefault="008715BE">
            <w:pPr>
              <w:pStyle w:val="TableParagraph"/>
              <w:spacing w:before="87"/>
              <w:rPr>
                <w:rFonts w:ascii="Verdana" w:hAnsi="Verdana"/>
                <w:b/>
                <w:sz w:val="18"/>
                <w:szCs w:val="18"/>
              </w:rPr>
            </w:pPr>
          </w:p>
          <w:p w14:paraId="6C815554" w14:textId="77777777" w:rsidR="008715BE" w:rsidRPr="00EC75B7" w:rsidRDefault="00000000">
            <w:pPr>
              <w:pStyle w:val="TableParagraph"/>
              <w:ind w:left="1032"/>
              <w:rPr>
                <w:rFonts w:ascii="Verdana" w:hAnsi="Verdana"/>
                <w:b/>
                <w:sz w:val="18"/>
                <w:szCs w:val="18"/>
              </w:rPr>
            </w:pPr>
            <w:r w:rsidRPr="00EC75B7">
              <w:rPr>
                <w:rFonts w:ascii="Verdana" w:hAnsi="Verdana"/>
                <w:b/>
                <w:color w:val="FFFFFF"/>
                <w:sz w:val="18"/>
                <w:szCs w:val="18"/>
              </w:rPr>
              <w:t xml:space="preserve">The area where they have occurred or could occur, depending on the location </w:t>
            </w:r>
            <w:r w:rsidRPr="00EC75B7">
              <w:rPr>
                <w:rFonts w:ascii="Verdana" w:hAnsi="Verdana"/>
                <w:b/>
                <w:color w:val="FFFFFF"/>
                <w:spacing w:val="-2"/>
                <w:sz w:val="18"/>
                <w:szCs w:val="18"/>
              </w:rPr>
              <w:t>of the works</w:t>
            </w:r>
          </w:p>
        </w:tc>
      </w:tr>
      <w:tr w:rsidR="008715BE" w:rsidRPr="00EC75B7" w14:paraId="23746699" w14:textId="77777777">
        <w:trPr>
          <w:trHeight w:val="1360"/>
        </w:trPr>
        <w:tc>
          <w:tcPr>
            <w:tcW w:w="1623" w:type="dxa"/>
            <w:vMerge w:val="restart"/>
          </w:tcPr>
          <w:p w14:paraId="576F2650" w14:textId="77777777" w:rsidR="008715BE" w:rsidRPr="00EC75B7" w:rsidRDefault="00000000">
            <w:pPr>
              <w:pStyle w:val="TableParagraph"/>
              <w:ind w:left="107" w:right="166"/>
              <w:rPr>
                <w:rFonts w:ascii="Verdana" w:hAnsi="Verdana"/>
                <w:sz w:val="18"/>
                <w:szCs w:val="18"/>
              </w:rPr>
            </w:pPr>
            <w:r w:rsidRPr="00EC75B7">
              <w:rPr>
                <w:rFonts w:ascii="Verdana" w:hAnsi="Verdana"/>
                <w:sz w:val="18"/>
                <w:szCs w:val="18"/>
              </w:rPr>
              <w:t xml:space="preserve">Social and </w:t>
            </w:r>
            <w:r w:rsidRPr="00EC75B7">
              <w:rPr>
                <w:rFonts w:ascii="Verdana" w:hAnsi="Verdana"/>
                <w:spacing w:val="-2"/>
                <w:sz w:val="18"/>
                <w:szCs w:val="18"/>
              </w:rPr>
              <w:t xml:space="preserve">economic </w:t>
            </w:r>
            <w:r w:rsidRPr="00EC75B7">
              <w:rPr>
                <w:rFonts w:ascii="Verdana" w:hAnsi="Verdana"/>
                <w:sz w:val="18"/>
                <w:szCs w:val="18"/>
              </w:rPr>
              <w:t xml:space="preserve">environment </w:t>
            </w:r>
            <w:r w:rsidRPr="00EC75B7">
              <w:rPr>
                <w:rFonts w:ascii="Verdana" w:hAnsi="Verdana"/>
                <w:spacing w:val="-2"/>
                <w:sz w:val="18"/>
                <w:szCs w:val="18"/>
              </w:rPr>
              <w:t>(including public health)</w:t>
            </w:r>
          </w:p>
        </w:tc>
        <w:tc>
          <w:tcPr>
            <w:tcW w:w="6030" w:type="dxa"/>
          </w:tcPr>
          <w:p w14:paraId="5E1DC1E6" w14:textId="77777777" w:rsidR="008715BE" w:rsidRPr="00EC75B7" w:rsidRDefault="00000000">
            <w:pPr>
              <w:pStyle w:val="TableParagraph"/>
              <w:ind w:left="107" w:right="771"/>
              <w:rPr>
                <w:rFonts w:ascii="Verdana" w:hAnsi="Verdana"/>
                <w:sz w:val="18"/>
                <w:szCs w:val="18"/>
              </w:rPr>
            </w:pPr>
            <w:r w:rsidRPr="00EC75B7">
              <w:rPr>
                <w:rFonts w:ascii="Verdana" w:hAnsi="Verdana"/>
                <w:sz w:val="18"/>
                <w:szCs w:val="18"/>
              </w:rPr>
              <w:t>Location of construction sites in the vicinity of residential areas. Use of public roads crossing localities.</w:t>
            </w:r>
          </w:p>
          <w:p w14:paraId="36A4718B"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z w:val="18"/>
                <w:szCs w:val="18"/>
              </w:rPr>
              <w:t xml:space="preserve">Proximity of the work front to </w:t>
            </w:r>
            <w:r w:rsidRPr="00EC75B7">
              <w:rPr>
                <w:rFonts w:ascii="Verdana" w:hAnsi="Verdana"/>
                <w:spacing w:val="-2"/>
                <w:sz w:val="18"/>
                <w:szCs w:val="18"/>
              </w:rPr>
              <w:t xml:space="preserve">inhabited </w:t>
            </w:r>
            <w:r w:rsidRPr="00EC75B7">
              <w:rPr>
                <w:rFonts w:ascii="Verdana" w:hAnsi="Verdana"/>
                <w:sz w:val="18"/>
                <w:szCs w:val="18"/>
              </w:rPr>
              <w:t>areas</w:t>
            </w:r>
          </w:p>
          <w:p w14:paraId="5DA4A4EE"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Malfunctions of machinery and/or means of </w:t>
            </w:r>
            <w:r w:rsidRPr="00EC75B7">
              <w:rPr>
                <w:rFonts w:ascii="Verdana" w:hAnsi="Verdana"/>
                <w:spacing w:val="-2"/>
                <w:sz w:val="18"/>
                <w:szCs w:val="18"/>
              </w:rPr>
              <w:t>transport.</w:t>
            </w:r>
          </w:p>
          <w:p w14:paraId="10582A96"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Failure to ensure regular technical inspection of machinery/means of </w:t>
            </w:r>
            <w:r w:rsidRPr="00EC75B7">
              <w:rPr>
                <w:rFonts w:ascii="Verdana" w:hAnsi="Verdana"/>
                <w:spacing w:val="-2"/>
                <w:sz w:val="18"/>
                <w:szCs w:val="18"/>
              </w:rPr>
              <w:t>transport.</w:t>
            </w:r>
          </w:p>
          <w:p w14:paraId="21667417"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z w:val="18"/>
                <w:szCs w:val="18"/>
              </w:rPr>
              <w:t xml:space="preserve">Use of </w:t>
            </w:r>
            <w:r w:rsidRPr="00EC75B7">
              <w:rPr>
                <w:rFonts w:ascii="Verdana" w:hAnsi="Verdana"/>
                <w:spacing w:val="-2"/>
                <w:sz w:val="18"/>
                <w:szCs w:val="18"/>
              </w:rPr>
              <w:t xml:space="preserve">outdated </w:t>
            </w:r>
            <w:r w:rsidRPr="00EC75B7">
              <w:rPr>
                <w:rFonts w:ascii="Verdana" w:hAnsi="Verdana"/>
                <w:sz w:val="18"/>
                <w:szCs w:val="18"/>
              </w:rPr>
              <w:t>machinery/means of transport</w:t>
            </w:r>
          </w:p>
        </w:tc>
        <w:tc>
          <w:tcPr>
            <w:tcW w:w="4962" w:type="dxa"/>
          </w:tcPr>
          <w:p w14:paraId="728067A6" w14:textId="77777777" w:rsidR="008715BE" w:rsidRPr="00EC75B7" w:rsidRDefault="00000000">
            <w:pPr>
              <w:pStyle w:val="TableParagraph"/>
              <w:ind w:left="104" w:right="97"/>
              <w:jc w:val="both"/>
              <w:rPr>
                <w:rFonts w:ascii="Verdana" w:hAnsi="Verdana"/>
                <w:sz w:val="18"/>
                <w:szCs w:val="18"/>
              </w:rPr>
            </w:pPr>
            <w:r w:rsidRPr="00EC75B7">
              <w:rPr>
                <w:rFonts w:ascii="Verdana" w:hAnsi="Verdana"/>
                <w:sz w:val="18"/>
                <w:szCs w:val="18"/>
              </w:rPr>
              <w:t>Long-term damage to the environment with effects on public health (increased concentrations of pollutants in the air, water, soil, noise, intermittent shading above the maximum limits permitted by current legislation, increased noise and vibration levels).</w:t>
            </w:r>
          </w:p>
        </w:tc>
        <w:tc>
          <w:tcPr>
            <w:tcW w:w="9357" w:type="dxa"/>
          </w:tcPr>
          <w:p w14:paraId="43154E94" w14:textId="77777777" w:rsidR="008715BE" w:rsidRPr="00EC75B7" w:rsidRDefault="00000000">
            <w:pPr>
              <w:pStyle w:val="TableParagraph"/>
              <w:spacing w:line="194" w:lineRule="exact"/>
              <w:ind w:left="103"/>
              <w:rPr>
                <w:rFonts w:ascii="Verdana" w:hAnsi="Verdana"/>
                <w:sz w:val="18"/>
                <w:szCs w:val="18"/>
              </w:rPr>
            </w:pPr>
            <w:r w:rsidRPr="00EC75B7">
              <w:rPr>
                <w:rFonts w:ascii="Verdana" w:hAnsi="Verdana"/>
                <w:sz w:val="18"/>
                <w:szCs w:val="18"/>
              </w:rPr>
              <w:t xml:space="preserve">In the vicinity of the work front and </w:t>
            </w:r>
            <w:r w:rsidRPr="00EC75B7">
              <w:rPr>
                <w:rFonts w:ascii="Verdana" w:hAnsi="Verdana"/>
                <w:spacing w:val="-2"/>
                <w:sz w:val="18"/>
                <w:szCs w:val="18"/>
              </w:rPr>
              <w:t xml:space="preserve">site </w:t>
            </w:r>
            <w:r w:rsidRPr="00EC75B7">
              <w:rPr>
                <w:rFonts w:ascii="Verdana" w:hAnsi="Verdana"/>
                <w:sz w:val="18"/>
                <w:szCs w:val="18"/>
              </w:rPr>
              <w:t>organization</w:t>
            </w:r>
          </w:p>
        </w:tc>
      </w:tr>
      <w:tr w:rsidR="008715BE" w:rsidRPr="00EC75B7" w14:paraId="24A322A5" w14:textId="77777777">
        <w:trPr>
          <w:trHeight w:val="582"/>
        </w:trPr>
        <w:tc>
          <w:tcPr>
            <w:tcW w:w="1623" w:type="dxa"/>
            <w:vMerge/>
            <w:tcBorders>
              <w:top w:val="nil"/>
            </w:tcBorders>
          </w:tcPr>
          <w:p w14:paraId="4390C576" w14:textId="77777777" w:rsidR="008715BE" w:rsidRPr="00EC75B7" w:rsidRDefault="008715BE">
            <w:pPr>
              <w:rPr>
                <w:rFonts w:ascii="Verdana" w:hAnsi="Verdana"/>
                <w:sz w:val="18"/>
                <w:szCs w:val="18"/>
              </w:rPr>
            </w:pPr>
          </w:p>
        </w:tc>
        <w:tc>
          <w:tcPr>
            <w:tcW w:w="6030" w:type="dxa"/>
          </w:tcPr>
          <w:p w14:paraId="23F41D74"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Non-compliance with the </w:t>
            </w:r>
            <w:r w:rsidRPr="00EC75B7">
              <w:rPr>
                <w:rFonts w:ascii="Verdana" w:hAnsi="Verdana"/>
                <w:spacing w:val="-2"/>
                <w:sz w:val="18"/>
                <w:szCs w:val="18"/>
              </w:rPr>
              <w:t xml:space="preserve">technical </w:t>
            </w:r>
            <w:r w:rsidRPr="00EC75B7">
              <w:rPr>
                <w:rFonts w:ascii="Verdana" w:hAnsi="Verdana"/>
                <w:sz w:val="18"/>
                <w:szCs w:val="18"/>
              </w:rPr>
              <w:t>design</w:t>
            </w:r>
            <w:r w:rsidRPr="00EC75B7">
              <w:rPr>
                <w:rFonts w:ascii="Verdana" w:hAnsi="Verdana"/>
                <w:spacing w:val="-2"/>
                <w:sz w:val="18"/>
                <w:szCs w:val="18"/>
              </w:rPr>
              <w:t>.</w:t>
            </w:r>
          </w:p>
        </w:tc>
        <w:tc>
          <w:tcPr>
            <w:tcW w:w="4962" w:type="dxa"/>
          </w:tcPr>
          <w:p w14:paraId="08430B86" w14:textId="2FB3C0AB" w:rsidR="008715BE" w:rsidRPr="00EC75B7" w:rsidRDefault="00692EED" w:rsidP="00692EED">
            <w:pPr>
              <w:pStyle w:val="TableParagraph"/>
              <w:ind w:left="104"/>
              <w:rPr>
                <w:rFonts w:ascii="Verdana" w:hAnsi="Verdana"/>
                <w:sz w:val="18"/>
                <w:szCs w:val="18"/>
              </w:rPr>
            </w:pPr>
            <w:r>
              <w:rPr>
                <w:rFonts w:ascii="Verdana" w:hAnsi="Verdana"/>
                <w:spacing w:val="40"/>
                <w:sz w:val="18"/>
                <w:szCs w:val="18"/>
              </w:rPr>
              <w:t>A</w:t>
            </w:r>
            <w:r w:rsidRPr="00EC75B7">
              <w:rPr>
                <w:rFonts w:ascii="Verdana" w:hAnsi="Verdana"/>
                <w:sz w:val="18"/>
                <w:szCs w:val="18"/>
              </w:rPr>
              <w:t>ffection on natural resources (in</w:t>
            </w:r>
            <w:r w:rsidRPr="00EC75B7">
              <w:rPr>
                <w:rFonts w:ascii="Verdana" w:hAnsi="Verdana"/>
                <w:spacing w:val="40"/>
                <w:sz w:val="18"/>
                <w:szCs w:val="18"/>
              </w:rPr>
              <w:t xml:space="preserve">  </w:t>
            </w:r>
            <w:r w:rsidRPr="00EC75B7">
              <w:rPr>
                <w:rFonts w:ascii="Verdana" w:hAnsi="Verdana"/>
                <w:sz w:val="18"/>
                <w:szCs w:val="18"/>
              </w:rPr>
              <w:t xml:space="preserve"> the sense of</w:t>
            </w:r>
            <w:r w:rsidRPr="00EC75B7">
              <w:rPr>
                <w:rFonts w:ascii="Verdana" w:hAnsi="Verdana"/>
                <w:spacing w:val="40"/>
                <w:sz w:val="18"/>
                <w:szCs w:val="18"/>
              </w:rPr>
              <w:t xml:space="preserve">  </w:t>
            </w:r>
            <w:r w:rsidRPr="00EC75B7">
              <w:rPr>
                <w:rFonts w:ascii="Verdana" w:hAnsi="Verdana"/>
                <w:sz w:val="18"/>
                <w:szCs w:val="18"/>
              </w:rPr>
              <w:t xml:space="preserve"> a considerable reduction in quantity and deterioration in quality) </w:t>
            </w:r>
            <w:r w:rsidRPr="00EC75B7">
              <w:rPr>
                <w:rFonts w:ascii="Verdana" w:hAnsi="Verdana"/>
                <w:spacing w:val="-5"/>
                <w:sz w:val="18"/>
                <w:szCs w:val="18"/>
              </w:rPr>
              <w:t>on</w:t>
            </w:r>
            <w:r>
              <w:rPr>
                <w:rFonts w:ascii="Verdana" w:hAnsi="Verdana"/>
                <w:spacing w:val="-5"/>
                <w:sz w:val="18"/>
                <w:szCs w:val="18"/>
              </w:rPr>
              <w:t xml:space="preserve"> </w:t>
            </w:r>
            <w:r w:rsidRPr="00EC75B7">
              <w:rPr>
                <w:rFonts w:ascii="Verdana" w:hAnsi="Verdana"/>
                <w:sz w:val="18"/>
                <w:szCs w:val="18"/>
              </w:rPr>
              <w:t xml:space="preserve">on which </w:t>
            </w:r>
            <w:r w:rsidRPr="00EC75B7">
              <w:rPr>
                <w:rFonts w:ascii="Verdana" w:hAnsi="Verdana"/>
                <w:spacing w:val="-2"/>
                <w:sz w:val="18"/>
                <w:szCs w:val="18"/>
              </w:rPr>
              <w:t xml:space="preserve">local </w:t>
            </w:r>
            <w:r w:rsidRPr="00EC75B7">
              <w:rPr>
                <w:rFonts w:ascii="Verdana" w:hAnsi="Verdana"/>
                <w:sz w:val="18"/>
                <w:szCs w:val="18"/>
              </w:rPr>
              <w:t>communities depend</w:t>
            </w:r>
            <w:r w:rsidRPr="00EC75B7">
              <w:rPr>
                <w:rFonts w:ascii="Verdana" w:hAnsi="Verdana"/>
                <w:spacing w:val="-2"/>
                <w:sz w:val="18"/>
                <w:szCs w:val="18"/>
              </w:rPr>
              <w:t>.</w:t>
            </w:r>
          </w:p>
        </w:tc>
        <w:tc>
          <w:tcPr>
            <w:tcW w:w="9357" w:type="dxa"/>
          </w:tcPr>
          <w:p w14:paraId="0F1DCE47" w14:textId="77777777" w:rsidR="008715BE" w:rsidRPr="00EC75B7" w:rsidRDefault="00000000">
            <w:pPr>
              <w:pStyle w:val="TableParagraph"/>
              <w:spacing w:line="194" w:lineRule="exact"/>
              <w:ind w:left="103"/>
              <w:rPr>
                <w:rFonts w:ascii="Verdana" w:hAnsi="Verdana"/>
                <w:sz w:val="18"/>
                <w:szCs w:val="18"/>
              </w:rPr>
            </w:pPr>
            <w:r w:rsidRPr="00EC75B7">
              <w:rPr>
                <w:rFonts w:ascii="Verdana" w:hAnsi="Verdana"/>
                <w:sz w:val="18"/>
                <w:szCs w:val="18"/>
              </w:rPr>
              <w:t xml:space="preserve">Natural resources were procured from </w:t>
            </w:r>
            <w:r w:rsidRPr="00EC75B7">
              <w:rPr>
                <w:rFonts w:ascii="Verdana" w:hAnsi="Verdana"/>
                <w:spacing w:val="-2"/>
                <w:sz w:val="18"/>
                <w:szCs w:val="18"/>
              </w:rPr>
              <w:t xml:space="preserve">authorized </w:t>
            </w:r>
            <w:r w:rsidRPr="00EC75B7">
              <w:rPr>
                <w:rFonts w:ascii="Verdana" w:hAnsi="Verdana"/>
                <w:sz w:val="18"/>
                <w:szCs w:val="18"/>
              </w:rPr>
              <w:t>local suppliers</w:t>
            </w:r>
            <w:r w:rsidRPr="00EC75B7">
              <w:rPr>
                <w:rFonts w:ascii="Verdana" w:hAnsi="Verdana"/>
                <w:spacing w:val="-2"/>
                <w:sz w:val="18"/>
                <w:szCs w:val="18"/>
              </w:rPr>
              <w:t>.</w:t>
            </w:r>
          </w:p>
          <w:p w14:paraId="057F2EEC" w14:textId="77777777" w:rsidR="008715BE" w:rsidRPr="00EC75B7" w:rsidRDefault="00000000">
            <w:pPr>
              <w:pStyle w:val="TableParagraph"/>
              <w:spacing w:line="194" w:lineRule="exact"/>
              <w:ind w:left="103"/>
              <w:rPr>
                <w:rFonts w:ascii="Verdana" w:hAnsi="Verdana"/>
                <w:sz w:val="18"/>
                <w:szCs w:val="18"/>
              </w:rPr>
            </w:pPr>
            <w:r w:rsidRPr="00EC75B7">
              <w:rPr>
                <w:rFonts w:ascii="Verdana" w:hAnsi="Verdana"/>
                <w:sz w:val="18"/>
                <w:szCs w:val="18"/>
              </w:rPr>
              <w:t xml:space="preserve">The construction of the wind farm in the Cerchezu area does not involve significant consumption of </w:t>
            </w:r>
            <w:r w:rsidRPr="00EC75B7">
              <w:rPr>
                <w:rFonts w:ascii="Verdana" w:hAnsi="Verdana"/>
                <w:spacing w:val="-2"/>
                <w:sz w:val="18"/>
                <w:szCs w:val="18"/>
              </w:rPr>
              <w:t xml:space="preserve">natural </w:t>
            </w:r>
            <w:r w:rsidRPr="00EC75B7">
              <w:rPr>
                <w:rFonts w:ascii="Verdana" w:hAnsi="Verdana"/>
                <w:sz w:val="18"/>
                <w:szCs w:val="18"/>
              </w:rPr>
              <w:t>resources</w:t>
            </w:r>
            <w:r w:rsidRPr="00EC75B7">
              <w:rPr>
                <w:rFonts w:ascii="Verdana" w:hAnsi="Verdana"/>
                <w:spacing w:val="-2"/>
                <w:sz w:val="18"/>
                <w:szCs w:val="18"/>
              </w:rPr>
              <w:t>,</w:t>
            </w:r>
          </w:p>
          <w:p w14:paraId="7B37BEE4" w14:textId="77777777" w:rsidR="008715BE" w:rsidRPr="00EC75B7" w:rsidRDefault="00000000">
            <w:pPr>
              <w:pStyle w:val="TableParagraph"/>
              <w:spacing w:line="175" w:lineRule="exact"/>
              <w:ind w:left="103"/>
              <w:rPr>
                <w:rFonts w:ascii="Verdana" w:hAnsi="Verdana"/>
                <w:sz w:val="18"/>
                <w:szCs w:val="18"/>
              </w:rPr>
            </w:pPr>
            <w:r w:rsidRPr="00EC75B7">
              <w:rPr>
                <w:rFonts w:ascii="Verdana" w:hAnsi="Verdana"/>
                <w:sz w:val="18"/>
                <w:szCs w:val="18"/>
              </w:rPr>
              <w:t xml:space="preserve">as the communities in the project area are not dependent on these resources and there are alternatives in </w:t>
            </w:r>
            <w:r w:rsidRPr="00EC75B7">
              <w:rPr>
                <w:rFonts w:ascii="Verdana" w:hAnsi="Verdana"/>
                <w:spacing w:val="-4"/>
                <w:sz w:val="18"/>
                <w:szCs w:val="18"/>
              </w:rPr>
              <w:t>the area</w:t>
            </w:r>
          </w:p>
        </w:tc>
      </w:tr>
      <w:tr w:rsidR="008715BE" w:rsidRPr="00EC75B7" w14:paraId="29977747" w14:textId="77777777">
        <w:trPr>
          <w:trHeight w:val="1046"/>
        </w:trPr>
        <w:tc>
          <w:tcPr>
            <w:tcW w:w="1623" w:type="dxa"/>
            <w:vMerge w:val="restart"/>
          </w:tcPr>
          <w:p w14:paraId="2174EA7C"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
                <w:sz w:val="18"/>
                <w:szCs w:val="18"/>
              </w:rPr>
              <w:t>Biodiversity</w:t>
            </w:r>
          </w:p>
        </w:tc>
        <w:tc>
          <w:tcPr>
            <w:tcW w:w="6030" w:type="dxa"/>
          </w:tcPr>
          <w:p w14:paraId="1D546905"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Failure to comply with the technical design and the location established for the works.</w:t>
            </w:r>
          </w:p>
          <w:p w14:paraId="4A4DB3B7"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z w:val="18"/>
                <w:szCs w:val="18"/>
              </w:rPr>
              <w:t xml:space="preserve">Removal of fertile soil and vegetation – </w:t>
            </w:r>
            <w:r w:rsidRPr="00EC75B7">
              <w:rPr>
                <w:rFonts w:ascii="Verdana" w:hAnsi="Verdana"/>
                <w:spacing w:val="-2"/>
                <w:sz w:val="18"/>
                <w:szCs w:val="18"/>
              </w:rPr>
              <w:t xml:space="preserve">stripping </w:t>
            </w:r>
            <w:r w:rsidRPr="00EC75B7">
              <w:rPr>
                <w:rFonts w:ascii="Verdana" w:hAnsi="Verdana"/>
                <w:sz w:val="18"/>
                <w:szCs w:val="18"/>
              </w:rPr>
              <w:t>works</w:t>
            </w:r>
          </w:p>
        </w:tc>
        <w:tc>
          <w:tcPr>
            <w:tcW w:w="4962" w:type="dxa"/>
          </w:tcPr>
          <w:p w14:paraId="21F45796" w14:textId="77777777" w:rsidR="008715BE" w:rsidRPr="00EC75B7" w:rsidRDefault="00000000">
            <w:pPr>
              <w:pStyle w:val="TableParagraph"/>
              <w:ind w:left="104" w:right="99"/>
              <w:jc w:val="both"/>
              <w:rPr>
                <w:rFonts w:ascii="Verdana" w:hAnsi="Verdana"/>
                <w:sz w:val="18"/>
                <w:szCs w:val="18"/>
              </w:rPr>
            </w:pPr>
            <w:r w:rsidRPr="00EC75B7">
              <w:rPr>
                <w:rFonts w:ascii="Verdana" w:hAnsi="Verdana"/>
                <w:sz w:val="18"/>
                <w:szCs w:val="18"/>
              </w:rPr>
              <w:t>Uncontrolled expansion of the footprint of the works, additional land occupation and habitat loss/alteration beyond estimates; local fragmentation and degradation of microhabitats through stripping/excavation outside the approved corridor.</w:t>
            </w:r>
          </w:p>
        </w:tc>
        <w:tc>
          <w:tcPr>
            <w:tcW w:w="9357" w:type="dxa"/>
          </w:tcPr>
          <w:p w14:paraId="35D0E2BF"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In the direct footprint of the works: turbine platforms/foundations, stations, new/modernized roads, site organization, storage and borrow/fill areas (if any).</w:t>
            </w:r>
          </w:p>
        </w:tc>
      </w:tr>
      <w:tr w:rsidR="008715BE" w:rsidRPr="00EC75B7" w14:paraId="30667950" w14:textId="77777777">
        <w:trPr>
          <w:trHeight w:val="1946"/>
        </w:trPr>
        <w:tc>
          <w:tcPr>
            <w:tcW w:w="1623" w:type="dxa"/>
            <w:vMerge/>
            <w:tcBorders>
              <w:top w:val="nil"/>
            </w:tcBorders>
          </w:tcPr>
          <w:p w14:paraId="32C7B9FB" w14:textId="77777777" w:rsidR="008715BE" w:rsidRPr="00EC75B7" w:rsidRDefault="008715BE">
            <w:pPr>
              <w:rPr>
                <w:rFonts w:ascii="Verdana" w:hAnsi="Verdana"/>
                <w:sz w:val="18"/>
                <w:szCs w:val="18"/>
              </w:rPr>
            </w:pPr>
          </w:p>
        </w:tc>
        <w:tc>
          <w:tcPr>
            <w:tcW w:w="6030" w:type="dxa"/>
          </w:tcPr>
          <w:p w14:paraId="3336AE32"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Construction site traffic during the </w:t>
            </w:r>
            <w:r w:rsidRPr="00EC75B7">
              <w:rPr>
                <w:rFonts w:ascii="Verdana" w:hAnsi="Verdana"/>
                <w:spacing w:val="-2"/>
                <w:sz w:val="18"/>
                <w:szCs w:val="18"/>
              </w:rPr>
              <w:t xml:space="preserve">execution/decommissioning </w:t>
            </w:r>
            <w:r w:rsidRPr="00EC75B7">
              <w:rPr>
                <w:rFonts w:ascii="Verdana" w:hAnsi="Verdana"/>
                <w:sz w:val="18"/>
                <w:szCs w:val="18"/>
              </w:rPr>
              <w:t>period</w:t>
            </w:r>
            <w:r w:rsidRPr="00EC75B7">
              <w:rPr>
                <w:rFonts w:ascii="Verdana" w:hAnsi="Verdana"/>
                <w:spacing w:val="-2"/>
                <w:sz w:val="18"/>
                <w:szCs w:val="18"/>
              </w:rPr>
              <w:t>.</w:t>
            </w:r>
          </w:p>
          <w:p w14:paraId="53C5901A"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Traffic during the period of maintenance or repair work.</w:t>
            </w:r>
          </w:p>
        </w:tc>
        <w:tc>
          <w:tcPr>
            <w:tcW w:w="4962" w:type="dxa"/>
          </w:tcPr>
          <w:p w14:paraId="5D360A6A" w14:textId="77777777" w:rsidR="008715BE" w:rsidRPr="00EC75B7" w:rsidRDefault="00000000">
            <w:pPr>
              <w:pStyle w:val="TableParagraph"/>
              <w:ind w:left="104" w:right="270"/>
              <w:rPr>
                <w:rFonts w:ascii="Verdana" w:hAnsi="Verdana"/>
                <w:sz w:val="18"/>
                <w:szCs w:val="18"/>
              </w:rPr>
            </w:pPr>
            <w:r w:rsidRPr="00EC75B7">
              <w:rPr>
                <w:rFonts w:ascii="Verdana" w:hAnsi="Verdana"/>
                <w:sz w:val="18"/>
                <w:szCs w:val="18"/>
              </w:rPr>
              <w:t>Disturbance through noise/vibrations and presence; accidental mortality (crushing/collisions) for amphibians, reptiles, and small mammals; resuspension of dust that may reduce the quality of local habitats.</w:t>
            </w:r>
          </w:p>
          <w:p w14:paraId="7D3A5D98" w14:textId="77777777" w:rsidR="008715BE" w:rsidRPr="00EC75B7" w:rsidRDefault="00000000">
            <w:pPr>
              <w:pStyle w:val="TableParagraph"/>
              <w:spacing w:before="175" w:line="194" w:lineRule="exact"/>
              <w:ind w:left="104" w:right="100"/>
              <w:rPr>
                <w:rFonts w:ascii="Verdana" w:hAnsi="Verdana"/>
                <w:sz w:val="18"/>
                <w:szCs w:val="18"/>
              </w:rPr>
            </w:pPr>
            <w:r w:rsidRPr="00EC75B7">
              <w:rPr>
                <w:rFonts w:ascii="Verdana" w:hAnsi="Verdana"/>
                <w:sz w:val="18"/>
                <w:szCs w:val="18"/>
              </w:rPr>
              <w:t>Recurring local disturbance due to traffic and maintenance activities; increased likelihood of accidental mortality of terrestrial fauna on roads; increased disturbance during biologically sensitive periods (nesting, migration, nocturnal activity).</w:t>
            </w:r>
          </w:p>
        </w:tc>
        <w:tc>
          <w:tcPr>
            <w:tcW w:w="9357" w:type="dxa"/>
          </w:tcPr>
          <w:p w14:paraId="43258F4C"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On access roads (existing/modernized) and internal transport routes, especially at entrances/exits, intersections, and areas with reduced visibility.</w:t>
            </w:r>
          </w:p>
          <w:p w14:paraId="12F732D9" w14:textId="77777777" w:rsidR="008715BE" w:rsidRPr="00EC75B7" w:rsidRDefault="00000000">
            <w:pPr>
              <w:pStyle w:val="TableParagraph"/>
              <w:spacing w:before="192"/>
              <w:ind w:left="103" w:right="390"/>
              <w:rPr>
                <w:rFonts w:ascii="Verdana" w:hAnsi="Verdana"/>
                <w:sz w:val="18"/>
                <w:szCs w:val="18"/>
              </w:rPr>
            </w:pPr>
            <w:r w:rsidRPr="00EC75B7">
              <w:rPr>
                <w:rFonts w:ascii="Verdana" w:hAnsi="Verdana"/>
                <w:sz w:val="18"/>
                <w:szCs w:val="18"/>
              </w:rPr>
              <w:t>Internal roads and turbine/station areas where interventions are carried out; occasionally in equipment parking/storage areas.</w:t>
            </w:r>
          </w:p>
        </w:tc>
      </w:tr>
      <w:tr w:rsidR="008715BE" w:rsidRPr="00EC75B7" w14:paraId="36A6011F" w14:textId="77777777">
        <w:trPr>
          <w:trHeight w:val="777"/>
        </w:trPr>
        <w:tc>
          <w:tcPr>
            <w:tcW w:w="1623" w:type="dxa"/>
            <w:vMerge/>
            <w:tcBorders>
              <w:top w:val="nil"/>
            </w:tcBorders>
          </w:tcPr>
          <w:p w14:paraId="6648BAAA" w14:textId="77777777" w:rsidR="008715BE" w:rsidRPr="00EC75B7" w:rsidRDefault="008715BE">
            <w:pPr>
              <w:rPr>
                <w:rFonts w:ascii="Verdana" w:hAnsi="Verdana"/>
                <w:sz w:val="18"/>
                <w:szCs w:val="18"/>
              </w:rPr>
            </w:pPr>
          </w:p>
        </w:tc>
        <w:tc>
          <w:tcPr>
            <w:tcW w:w="6030" w:type="dxa"/>
          </w:tcPr>
          <w:p w14:paraId="0F2E0C5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Changes in air, water, and </w:t>
            </w:r>
            <w:r w:rsidRPr="00EC75B7">
              <w:rPr>
                <w:rFonts w:ascii="Verdana" w:hAnsi="Verdana"/>
                <w:spacing w:val="-2"/>
                <w:sz w:val="18"/>
                <w:szCs w:val="18"/>
              </w:rPr>
              <w:t xml:space="preserve">soil </w:t>
            </w:r>
            <w:r w:rsidRPr="00EC75B7">
              <w:rPr>
                <w:rFonts w:ascii="Verdana" w:hAnsi="Verdana"/>
                <w:sz w:val="18"/>
                <w:szCs w:val="18"/>
              </w:rPr>
              <w:t>quality</w:t>
            </w:r>
          </w:p>
        </w:tc>
        <w:tc>
          <w:tcPr>
            <w:tcW w:w="4962" w:type="dxa"/>
          </w:tcPr>
          <w:p w14:paraId="749C0D64" w14:textId="77777777" w:rsidR="008715BE" w:rsidRPr="00EC75B7" w:rsidRDefault="00000000">
            <w:pPr>
              <w:pStyle w:val="TableParagraph"/>
              <w:ind w:left="104" w:right="96"/>
              <w:jc w:val="both"/>
              <w:rPr>
                <w:rFonts w:ascii="Verdana" w:hAnsi="Verdana"/>
                <w:sz w:val="18"/>
                <w:szCs w:val="18"/>
              </w:rPr>
            </w:pPr>
            <w:r w:rsidRPr="00EC75B7">
              <w:rPr>
                <w:rFonts w:ascii="Verdana" w:hAnsi="Verdana"/>
                <w:sz w:val="18"/>
                <w:szCs w:val="18"/>
              </w:rPr>
              <w:t xml:space="preserve">Powder deposits on vegetation and soil; accidental pollution (fuels/oils/fluids) affecting soil and microhabitats; temporary changes in </w:t>
            </w:r>
            <w:r w:rsidRPr="00EC75B7">
              <w:rPr>
                <w:rFonts w:ascii="Verdana" w:hAnsi="Verdana"/>
                <w:spacing w:val="-2"/>
                <w:sz w:val="18"/>
                <w:szCs w:val="18"/>
              </w:rPr>
              <w:t xml:space="preserve">local </w:t>
            </w:r>
            <w:r w:rsidRPr="00EC75B7">
              <w:rPr>
                <w:rFonts w:ascii="Verdana" w:hAnsi="Verdana"/>
                <w:sz w:val="18"/>
                <w:szCs w:val="18"/>
              </w:rPr>
              <w:t>conditions</w:t>
            </w:r>
          </w:p>
          <w:p w14:paraId="21BAA07A" w14:textId="77777777" w:rsidR="008715BE" w:rsidRPr="00EC75B7" w:rsidRDefault="00000000">
            <w:pPr>
              <w:pStyle w:val="TableParagraph"/>
              <w:spacing w:line="173" w:lineRule="exact"/>
              <w:ind w:left="104"/>
              <w:jc w:val="both"/>
              <w:rPr>
                <w:rFonts w:ascii="Verdana" w:hAnsi="Verdana"/>
                <w:sz w:val="18"/>
                <w:szCs w:val="18"/>
              </w:rPr>
            </w:pPr>
            <w:r w:rsidRPr="00EC75B7">
              <w:rPr>
                <w:rFonts w:ascii="Verdana" w:hAnsi="Verdana"/>
                <w:sz w:val="18"/>
                <w:szCs w:val="18"/>
              </w:rPr>
              <w:t xml:space="preserve">for invertebrates and </w:t>
            </w:r>
            <w:r w:rsidRPr="00EC75B7">
              <w:rPr>
                <w:rFonts w:ascii="Verdana" w:hAnsi="Verdana"/>
                <w:spacing w:val="-2"/>
                <w:sz w:val="18"/>
                <w:szCs w:val="18"/>
              </w:rPr>
              <w:t xml:space="preserve">spontaneous </w:t>
            </w:r>
            <w:r w:rsidRPr="00EC75B7">
              <w:rPr>
                <w:rFonts w:ascii="Verdana" w:hAnsi="Verdana"/>
                <w:sz w:val="18"/>
                <w:szCs w:val="18"/>
              </w:rPr>
              <w:t>vegetation</w:t>
            </w:r>
          </w:p>
        </w:tc>
        <w:tc>
          <w:tcPr>
            <w:tcW w:w="9357" w:type="dxa"/>
          </w:tcPr>
          <w:p w14:paraId="0FAB3892"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In the vicinity of work fronts and equipment handling/maintenance areas; in supply and storage areas and on work platforms, as well as along heavily used roads.</w:t>
            </w:r>
          </w:p>
        </w:tc>
      </w:tr>
      <w:tr w:rsidR="008715BE" w:rsidRPr="00EC75B7" w14:paraId="1A10CB9D" w14:textId="77777777">
        <w:trPr>
          <w:trHeight w:val="1504"/>
        </w:trPr>
        <w:tc>
          <w:tcPr>
            <w:tcW w:w="1623" w:type="dxa"/>
            <w:vMerge/>
            <w:tcBorders>
              <w:top w:val="nil"/>
            </w:tcBorders>
          </w:tcPr>
          <w:p w14:paraId="1985D210" w14:textId="77777777" w:rsidR="008715BE" w:rsidRPr="00EC75B7" w:rsidRDefault="008715BE">
            <w:pPr>
              <w:rPr>
                <w:rFonts w:ascii="Verdana" w:hAnsi="Verdana"/>
                <w:sz w:val="18"/>
                <w:szCs w:val="18"/>
              </w:rPr>
            </w:pPr>
          </w:p>
        </w:tc>
        <w:tc>
          <w:tcPr>
            <w:tcW w:w="6030" w:type="dxa"/>
          </w:tcPr>
          <w:p w14:paraId="3DD87473" w14:textId="77777777" w:rsidR="008715BE" w:rsidRPr="00EC75B7" w:rsidRDefault="00000000">
            <w:pPr>
              <w:pStyle w:val="TableParagraph"/>
              <w:ind w:left="107" w:right="98"/>
              <w:jc w:val="both"/>
              <w:rPr>
                <w:rFonts w:ascii="Verdana" w:hAnsi="Verdana"/>
                <w:sz w:val="18"/>
                <w:szCs w:val="18"/>
              </w:rPr>
            </w:pPr>
            <w:r w:rsidRPr="00EC75B7">
              <w:rPr>
                <w:rFonts w:ascii="Verdana" w:hAnsi="Verdana"/>
                <w:sz w:val="18"/>
                <w:szCs w:val="18"/>
              </w:rPr>
              <w:t>Disruption of wildlife activity due to human presence, air emissions, and noise resulting from construction work and maintenance and repair interventions during the operational period</w:t>
            </w:r>
          </w:p>
          <w:p w14:paraId="33F821F1" w14:textId="77777777" w:rsidR="008715BE" w:rsidRPr="00EC75B7" w:rsidRDefault="00000000">
            <w:pPr>
              <w:pStyle w:val="TableParagraph"/>
              <w:ind w:left="107" w:right="103"/>
              <w:jc w:val="both"/>
              <w:rPr>
                <w:rFonts w:ascii="Verdana" w:hAnsi="Verdana"/>
                <w:sz w:val="18"/>
                <w:szCs w:val="18"/>
              </w:rPr>
            </w:pPr>
            <w:r w:rsidRPr="00EC75B7">
              <w:rPr>
                <w:rFonts w:ascii="Verdana" w:hAnsi="Verdana"/>
                <w:sz w:val="18"/>
                <w:szCs w:val="18"/>
              </w:rPr>
              <w:t>Changes to the shelter or feeding places of wildlife species whose habitats are located in the area where the works are carried out</w:t>
            </w:r>
          </w:p>
        </w:tc>
        <w:tc>
          <w:tcPr>
            <w:tcW w:w="4962" w:type="dxa"/>
          </w:tcPr>
          <w:p w14:paraId="513ADCF0" w14:textId="77777777" w:rsidR="008715BE" w:rsidRPr="00EC75B7" w:rsidRDefault="00000000">
            <w:pPr>
              <w:pStyle w:val="TableParagraph"/>
              <w:ind w:left="104" w:right="98"/>
              <w:jc w:val="both"/>
              <w:rPr>
                <w:rFonts w:ascii="Verdana" w:hAnsi="Verdana"/>
                <w:sz w:val="18"/>
                <w:szCs w:val="18"/>
              </w:rPr>
            </w:pPr>
            <w:r w:rsidRPr="00EC75B7">
              <w:rPr>
                <w:rFonts w:ascii="Verdana" w:hAnsi="Verdana"/>
                <w:sz w:val="18"/>
                <w:szCs w:val="18"/>
              </w:rPr>
              <w:t>Disturbance and avoidance (reduction in habitat use), temporary displacement of wildlife; possible functional loss of habitat; during operation, for birds/bats: risk of collision/barotrauma and avoidance/barrier effect in relation to the turbine area.</w:t>
            </w:r>
          </w:p>
        </w:tc>
        <w:tc>
          <w:tcPr>
            <w:tcW w:w="9357" w:type="dxa"/>
          </w:tcPr>
          <w:p w14:paraId="5A3ABA7A"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Around the work fronts (construction) and, during operation, in the vicinity of the turbines (rotor area) and associated infrastructure; potentially also in the area of influence towards neighboring Natura 2000 areas (including cross-border).</w:t>
            </w:r>
          </w:p>
        </w:tc>
      </w:tr>
      <w:tr w:rsidR="008715BE" w:rsidRPr="00EC75B7" w14:paraId="0B81E099" w14:textId="77777777">
        <w:trPr>
          <w:trHeight w:val="1166"/>
        </w:trPr>
        <w:tc>
          <w:tcPr>
            <w:tcW w:w="1623" w:type="dxa"/>
            <w:vMerge/>
            <w:tcBorders>
              <w:top w:val="nil"/>
            </w:tcBorders>
          </w:tcPr>
          <w:p w14:paraId="11601217" w14:textId="77777777" w:rsidR="008715BE" w:rsidRPr="00EC75B7" w:rsidRDefault="008715BE">
            <w:pPr>
              <w:rPr>
                <w:rFonts w:ascii="Verdana" w:hAnsi="Verdana"/>
                <w:sz w:val="18"/>
                <w:szCs w:val="18"/>
              </w:rPr>
            </w:pPr>
          </w:p>
        </w:tc>
        <w:tc>
          <w:tcPr>
            <w:tcW w:w="6030" w:type="dxa"/>
          </w:tcPr>
          <w:p w14:paraId="2DA2BDD8" w14:textId="77777777" w:rsidR="008715BE" w:rsidRPr="00EC75B7" w:rsidRDefault="00000000">
            <w:pPr>
              <w:pStyle w:val="TableParagraph"/>
              <w:spacing w:line="194" w:lineRule="exact"/>
              <w:ind w:left="107"/>
              <w:jc w:val="both"/>
              <w:rPr>
                <w:rFonts w:ascii="Verdana" w:hAnsi="Verdana"/>
                <w:sz w:val="18"/>
                <w:szCs w:val="18"/>
              </w:rPr>
            </w:pPr>
            <w:r w:rsidRPr="00EC75B7">
              <w:rPr>
                <w:rFonts w:ascii="Verdana" w:hAnsi="Verdana"/>
                <w:spacing w:val="-2"/>
                <w:sz w:val="18"/>
                <w:szCs w:val="18"/>
              </w:rPr>
              <w:t>Voluntary or unintentional introduction of species</w:t>
            </w:r>
          </w:p>
          <w:p w14:paraId="5759D7DE" w14:textId="77777777" w:rsidR="008715BE" w:rsidRPr="00EC75B7" w:rsidRDefault="00000000">
            <w:pPr>
              <w:pStyle w:val="TableParagraph"/>
              <w:spacing w:before="176" w:line="194" w:lineRule="exact"/>
              <w:ind w:left="107" w:right="97"/>
              <w:jc w:val="both"/>
              <w:rPr>
                <w:rFonts w:ascii="Verdana" w:hAnsi="Verdana"/>
                <w:sz w:val="18"/>
                <w:szCs w:val="18"/>
              </w:rPr>
            </w:pPr>
            <w:r w:rsidRPr="00EC75B7">
              <w:rPr>
                <w:rFonts w:ascii="Verdana" w:hAnsi="Verdana"/>
                <w:sz w:val="18"/>
                <w:szCs w:val="18"/>
              </w:rPr>
              <w:t>Soil removal, excavation, and filling works - quantities of soil that may contain seeds or tubers of invasive or alien plant species. They may also be introduced through the machinery and vehicles used to carry out the works</w:t>
            </w:r>
          </w:p>
        </w:tc>
        <w:tc>
          <w:tcPr>
            <w:tcW w:w="4962" w:type="dxa"/>
          </w:tcPr>
          <w:p w14:paraId="2CBB35AB" w14:textId="77777777" w:rsidR="008715BE" w:rsidRPr="00EC75B7" w:rsidRDefault="00000000">
            <w:pPr>
              <w:pStyle w:val="TableParagraph"/>
              <w:ind w:left="104" w:right="101"/>
              <w:jc w:val="both"/>
              <w:rPr>
                <w:rFonts w:ascii="Verdana" w:hAnsi="Verdana"/>
                <w:sz w:val="18"/>
                <w:szCs w:val="18"/>
              </w:rPr>
            </w:pPr>
            <w:r w:rsidRPr="00EC75B7">
              <w:rPr>
                <w:rFonts w:ascii="Verdana" w:hAnsi="Verdana"/>
                <w:sz w:val="18"/>
                <w:szCs w:val="18"/>
              </w:rPr>
              <w:t>Introduction/spread of opportunistic/invasive species through excavated soil, transport of materials and machinery; competition with local flora and changes in the structure of plant communities in the affected areas.</w:t>
            </w:r>
          </w:p>
        </w:tc>
        <w:tc>
          <w:tcPr>
            <w:tcW w:w="9357" w:type="dxa"/>
          </w:tcPr>
          <w:p w14:paraId="2506A8AE" w14:textId="77777777" w:rsidR="008715BE" w:rsidRPr="00EC75B7" w:rsidRDefault="00000000">
            <w:pPr>
              <w:pStyle w:val="TableParagraph"/>
              <w:ind w:left="103" w:right="104"/>
              <w:rPr>
                <w:rFonts w:ascii="Verdana" w:hAnsi="Verdana"/>
                <w:sz w:val="18"/>
                <w:szCs w:val="18"/>
              </w:rPr>
            </w:pPr>
            <w:r w:rsidRPr="00EC75B7">
              <w:rPr>
                <w:rFonts w:ascii="Verdana" w:hAnsi="Verdana"/>
                <w:sz w:val="18"/>
                <w:szCs w:val="18"/>
              </w:rPr>
              <w:t>Especially on newly constructed platforms and roads, in areas of temporary storage of soil/materials, and along transport routes, where seeds/plant fragments can be dispersed.</w:t>
            </w:r>
          </w:p>
        </w:tc>
      </w:tr>
      <w:tr w:rsidR="008715BE" w:rsidRPr="00EC75B7" w14:paraId="7600E276" w14:textId="77777777">
        <w:trPr>
          <w:trHeight w:val="585"/>
        </w:trPr>
        <w:tc>
          <w:tcPr>
            <w:tcW w:w="1623" w:type="dxa"/>
            <w:vMerge w:val="restart"/>
          </w:tcPr>
          <w:p w14:paraId="109208B4"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Soil/subsoil</w:t>
            </w:r>
          </w:p>
        </w:tc>
        <w:tc>
          <w:tcPr>
            <w:tcW w:w="6030" w:type="dxa"/>
          </w:tcPr>
          <w:p w14:paraId="4D64A0EE"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Failure to comply with the technical design/human errors that could have led to the occupation of additional areas</w:t>
            </w:r>
          </w:p>
        </w:tc>
        <w:tc>
          <w:tcPr>
            <w:tcW w:w="4962" w:type="dxa"/>
          </w:tcPr>
          <w:p w14:paraId="287EA580" w14:textId="77777777" w:rsidR="008715BE" w:rsidRPr="00EC75B7" w:rsidRDefault="00000000">
            <w:pPr>
              <w:pStyle w:val="TableParagraph"/>
              <w:spacing w:before="1"/>
              <w:ind w:left="104"/>
              <w:rPr>
                <w:rFonts w:ascii="Verdana" w:hAnsi="Verdana"/>
                <w:sz w:val="18"/>
                <w:szCs w:val="18"/>
              </w:rPr>
            </w:pPr>
            <w:r w:rsidRPr="00EC75B7">
              <w:rPr>
                <w:rFonts w:ascii="Verdana" w:hAnsi="Verdana"/>
                <w:sz w:val="18"/>
                <w:szCs w:val="18"/>
              </w:rPr>
              <w:t xml:space="preserve">Permanent occupation of </w:t>
            </w:r>
            <w:r w:rsidRPr="00EC75B7">
              <w:rPr>
                <w:rFonts w:ascii="Verdana" w:hAnsi="Verdana"/>
                <w:spacing w:val="-2"/>
                <w:sz w:val="18"/>
                <w:szCs w:val="18"/>
              </w:rPr>
              <w:t xml:space="preserve">land </w:t>
            </w:r>
            <w:r w:rsidRPr="00EC75B7">
              <w:rPr>
                <w:rFonts w:ascii="Verdana" w:hAnsi="Verdana"/>
                <w:sz w:val="18"/>
                <w:szCs w:val="18"/>
              </w:rPr>
              <w:t>areas</w:t>
            </w:r>
          </w:p>
        </w:tc>
        <w:tc>
          <w:tcPr>
            <w:tcW w:w="9357" w:type="dxa"/>
          </w:tcPr>
          <w:p w14:paraId="1D9FED94" w14:textId="77777777" w:rsidR="008715BE" w:rsidRPr="00EC75B7" w:rsidRDefault="00000000">
            <w:pPr>
              <w:pStyle w:val="TableParagraph"/>
              <w:spacing w:before="1" w:line="195" w:lineRule="exact"/>
              <w:ind w:left="103"/>
              <w:rPr>
                <w:rFonts w:ascii="Verdana" w:hAnsi="Verdana"/>
                <w:sz w:val="18"/>
                <w:szCs w:val="18"/>
              </w:rPr>
            </w:pPr>
            <w:r w:rsidRPr="00EC75B7">
              <w:rPr>
                <w:rFonts w:ascii="Verdana" w:hAnsi="Verdana"/>
                <w:sz w:val="18"/>
                <w:szCs w:val="18"/>
              </w:rPr>
              <w:t xml:space="preserve">The construction of the energy park will lead to the permanent occupation of </w:t>
            </w:r>
            <w:r w:rsidRPr="00EC75B7">
              <w:rPr>
                <w:rFonts w:ascii="Verdana" w:hAnsi="Verdana"/>
                <w:spacing w:val="-2"/>
                <w:sz w:val="18"/>
                <w:szCs w:val="18"/>
              </w:rPr>
              <w:t xml:space="preserve">land </w:t>
            </w:r>
            <w:r w:rsidRPr="00EC75B7">
              <w:rPr>
                <w:rFonts w:ascii="Verdana" w:hAnsi="Verdana"/>
                <w:sz w:val="18"/>
                <w:szCs w:val="18"/>
              </w:rPr>
              <w:t>areas</w:t>
            </w:r>
            <w:r w:rsidRPr="00EC75B7">
              <w:rPr>
                <w:rFonts w:ascii="Verdana" w:hAnsi="Verdana"/>
                <w:spacing w:val="-2"/>
                <w:sz w:val="18"/>
                <w:szCs w:val="18"/>
              </w:rPr>
              <w:t>:</w:t>
            </w:r>
          </w:p>
          <w:p w14:paraId="1B6A0496" w14:textId="77777777" w:rsidR="008715BE" w:rsidRPr="00EC75B7" w:rsidRDefault="00000000">
            <w:pPr>
              <w:pStyle w:val="TableParagraph"/>
              <w:numPr>
                <w:ilvl w:val="0"/>
                <w:numId w:val="83"/>
              </w:numPr>
              <w:tabs>
                <w:tab w:val="left" w:pos="190"/>
              </w:tabs>
              <w:spacing w:line="194" w:lineRule="exact"/>
              <w:ind w:left="190" w:hanging="87"/>
              <w:rPr>
                <w:rFonts w:ascii="Verdana" w:hAnsi="Verdana"/>
                <w:sz w:val="18"/>
                <w:szCs w:val="18"/>
              </w:rPr>
            </w:pPr>
            <w:r w:rsidRPr="00EC75B7">
              <w:rPr>
                <w:rFonts w:ascii="Verdana" w:hAnsi="Verdana"/>
                <w:sz w:val="18"/>
                <w:szCs w:val="18"/>
              </w:rPr>
              <w:t xml:space="preserve">58.79 ha for the location of wind turbines and ancillary structures and </w:t>
            </w:r>
            <w:r w:rsidRPr="00EC75B7">
              <w:rPr>
                <w:rFonts w:ascii="Verdana" w:hAnsi="Verdana"/>
                <w:spacing w:val="-2"/>
                <w:sz w:val="18"/>
                <w:szCs w:val="18"/>
              </w:rPr>
              <w:t xml:space="preserve">transformer </w:t>
            </w:r>
            <w:r w:rsidRPr="00EC75B7">
              <w:rPr>
                <w:rFonts w:ascii="Verdana" w:hAnsi="Verdana"/>
                <w:sz w:val="18"/>
                <w:szCs w:val="18"/>
              </w:rPr>
              <w:t>stations</w:t>
            </w:r>
          </w:p>
          <w:p w14:paraId="4D3E9C59" w14:textId="77777777" w:rsidR="008715BE" w:rsidRPr="00EC75B7" w:rsidRDefault="00000000">
            <w:pPr>
              <w:pStyle w:val="TableParagraph"/>
              <w:numPr>
                <w:ilvl w:val="0"/>
                <w:numId w:val="83"/>
              </w:numPr>
              <w:tabs>
                <w:tab w:val="left" w:pos="190"/>
              </w:tabs>
              <w:spacing w:line="175" w:lineRule="exact"/>
              <w:ind w:left="190" w:hanging="87"/>
              <w:rPr>
                <w:rFonts w:ascii="Verdana" w:hAnsi="Verdana"/>
                <w:sz w:val="18"/>
                <w:szCs w:val="18"/>
              </w:rPr>
            </w:pPr>
            <w:r w:rsidRPr="00EC75B7">
              <w:rPr>
                <w:rFonts w:ascii="Verdana" w:hAnsi="Verdana"/>
                <w:sz w:val="18"/>
                <w:szCs w:val="18"/>
              </w:rPr>
              <w:t xml:space="preserve">49.06 ha permanently occupied by service roads and </w:t>
            </w:r>
            <w:r w:rsidRPr="00EC75B7">
              <w:rPr>
                <w:rFonts w:ascii="Verdana" w:hAnsi="Verdana"/>
                <w:spacing w:val="-2"/>
                <w:sz w:val="18"/>
                <w:szCs w:val="18"/>
              </w:rPr>
              <w:t xml:space="preserve">paved </w:t>
            </w:r>
            <w:r w:rsidRPr="00EC75B7">
              <w:rPr>
                <w:rFonts w:ascii="Verdana" w:hAnsi="Verdana"/>
                <w:sz w:val="18"/>
                <w:szCs w:val="18"/>
              </w:rPr>
              <w:t>roads</w:t>
            </w:r>
            <w:r w:rsidRPr="00EC75B7">
              <w:rPr>
                <w:rFonts w:ascii="Verdana" w:hAnsi="Verdana"/>
                <w:spacing w:val="-2"/>
                <w:sz w:val="18"/>
                <w:szCs w:val="18"/>
              </w:rPr>
              <w:t>.</w:t>
            </w:r>
          </w:p>
        </w:tc>
      </w:tr>
      <w:tr w:rsidR="008715BE" w:rsidRPr="00EC75B7" w14:paraId="0E3E2037" w14:textId="77777777">
        <w:trPr>
          <w:trHeight w:val="1360"/>
        </w:trPr>
        <w:tc>
          <w:tcPr>
            <w:tcW w:w="1623" w:type="dxa"/>
            <w:vMerge/>
            <w:tcBorders>
              <w:top w:val="nil"/>
            </w:tcBorders>
          </w:tcPr>
          <w:p w14:paraId="1AFCCACC" w14:textId="77777777" w:rsidR="008715BE" w:rsidRPr="00EC75B7" w:rsidRDefault="008715BE">
            <w:pPr>
              <w:rPr>
                <w:rFonts w:ascii="Verdana" w:hAnsi="Verdana"/>
                <w:sz w:val="18"/>
                <w:szCs w:val="18"/>
              </w:rPr>
            </w:pPr>
          </w:p>
        </w:tc>
        <w:tc>
          <w:tcPr>
            <w:tcW w:w="6030" w:type="dxa"/>
          </w:tcPr>
          <w:p w14:paraId="6EFCA662"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Malfunctions of machinery and/or means of </w:t>
            </w:r>
            <w:r w:rsidRPr="00EC75B7">
              <w:rPr>
                <w:rFonts w:ascii="Verdana" w:hAnsi="Verdana"/>
                <w:spacing w:val="-2"/>
                <w:sz w:val="18"/>
                <w:szCs w:val="18"/>
              </w:rPr>
              <w:t>transport.</w:t>
            </w:r>
          </w:p>
          <w:p w14:paraId="6D87F93B"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Failure to ensure periodic technical inspection of machinery/means of </w:t>
            </w:r>
            <w:r w:rsidRPr="00EC75B7">
              <w:rPr>
                <w:rFonts w:ascii="Verdana" w:hAnsi="Verdana"/>
                <w:spacing w:val="-2"/>
                <w:sz w:val="18"/>
                <w:szCs w:val="18"/>
              </w:rPr>
              <w:t>transport.</w:t>
            </w:r>
          </w:p>
          <w:p w14:paraId="1471418D"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z w:val="18"/>
                <w:szCs w:val="18"/>
              </w:rPr>
              <w:t xml:space="preserve">Use of </w:t>
            </w:r>
            <w:r w:rsidRPr="00EC75B7">
              <w:rPr>
                <w:rFonts w:ascii="Verdana" w:hAnsi="Verdana"/>
                <w:spacing w:val="-2"/>
                <w:sz w:val="18"/>
                <w:szCs w:val="18"/>
              </w:rPr>
              <w:t xml:space="preserve">outdated </w:t>
            </w:r>
            <w:r w:rsidRPr="00EC75B7">
              <w:rPr>
                <w:rFonts w:ascii="Verdana" w:hAnsi="Verdana"/>
                <w:sz w:val="18"/>
                <w:szCs w:val="18"/>
              </w:rPr>
              <w:t>machinery/means of transport.</w:t>
            </w:r>
          </w:p>
          <w:p w14:paraId="57EC6E1A"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Improper management of waste generated during the </w:t>
            </w:r>
            <w:r w:rsidRPr="00EC75B7">
              <w:rPr>
                <w:rFonts w:ascii="Verdana" w:hAnsi="Verdana"/>
                <w:spacing w:val="-2"/>
                <w:sz w:val="18"/>
                <w:szCs w:val="18"/>
              </w:rPr>
              <w:t xml:space="preserve">execution </w:t>
            </w:r>
            <w:r w:rsidRPr="00EC75B7">
              <w:rPr>
                <w:rFonts w:ascii="Verdana" w:hAnsi="Verdana"/>
                <w:sz w:val="18"/>
                <w:szCs w:val="18"/>
              </w:rPr>
              <w:t>period</w:t>
            </w:r>
          </w:p>
          <w:p w14:paraId="2448B7E9"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z w:val="18"/>
                <w:szCs w:val="18"/>
              </w:rPr>
              <w:t xml:space="preserve">Improper management of wastewater from the construction </w:t>
            </w:r>
            <w:r w:rsidRPr="00EC75B7">
              <w:rPr>
                <w:rFonts w:ascii="Verdana" w:hAnsi="Verdana"/>
                <w:spacing w:val="-2"/>
                <w:sz w:val="18"/>
                <w:szCs w:val="18"/>
              </w:rPr>
              <w:t>site</w:t>
            </w:r>
          </w:p>
        </w:tc>
        <w:tc>
          <w:tcPr>
            <w:tcW w:w="4962" w:type="dxa"/>
          </w:tcPr>
          <w:p w14:paraId="14C41EAB"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pacing w:val="-2"/>
                <w:sz w:val="18"/>
                <w:szCs w:val="18"/>
              </w:rPr>
              <w:t xml:space="preserve">Soil </w:t>
            </w:r>
            <w:r w:rsidRPr="00EC75B7">
              <w:rPr>
                <w:rFonts w:ascii="Verdana" w:hAnsi="Verdana"/>
                <w:sz w:val="18"/>
                <w:szCs w:val="18"/>
              </w:rPr>
              <w:t>contamination</w:t>
            </w:r>
          </w:p>
        </w:tc>
        <w:tc>
          <w:tcPr>
            <w:tcW w:w="9357" w:type="dxa"/>
          </w:tcPr>
          <w:p w14:paraId="42D9425D" w14:textId="77777777" w:rsidR="008715BE" w:rsidRPr="00EC75B7" w:rsidRDefault="00000000">
            <w:pPr>
              <w:pStyle w:val="TableParagraph"/>
              <w:spacing w:line="194" w:lineRule="exact"/>
              <w:ind w:left="103"/>
              <w:rPr>
                <w:rFonts w:ascii="Verdana" w:hAnsi="Verdana"/>
                <w:sz w:val="18"/>
                <w:szCs w:val="18"/>
              </w:rPr>
            </w:pPr>
            <w:r w:rsidRPr="00EC75B7">
              <w:rPr>
                <w:rFonts w:ascii="Verdana" w:hAnsi="Verdana"/>
                <w:sz w:val="18"/>
                <w:szCs w:val="18"/>
              </w:rPr>
              <w:t xml:space="preserve">In the wind farm site, in the </w:t>
            </w:r>
            <w:r w:rsidRPr="00EC75B7">
              <w:rPr>
                <w:rFonts w:ascii="Verdana" w:hAnsi="Verdana"/>
                <w:spacing w:val="-2"/>
                <w:sz w:val="18"/>
                <w:szCs w:val="18"/>
              </w:rPr>
              <w:t xml:space="preserve">work </w:t>
            </w:r>
            <w:r w:rsidRPr="00EC75B7">
              <w:rPr>
                <w:rFonts w:ascii="Verdana" w:hAnsi="Verdana"/>
                <w:sz w:val="18"/>
                <w:szCs w:val="18"/>
              </w:rPr>
              <w:t>front area</w:t>
            </w:r>
            <w:r w:rsidRPr="00EC75B7">
              <w:rPr>
                <w:rFonts w:ascii="Verdana" w:hAnsi="Verdana"/>
                <w:spacing w:val="-2"/>
                <w:sz w:val="18"/>
                <w:szCs w:val="18"/>
              </w:rPr>
              <w:t>.</w:t>
            </w:r>
          </w:p>
          <w:p w14:paraId="23D3C520"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z w:val="18"/>
                <w:szCs w:val="18"/>
              </w:rPr>
              <w:t xml:space="preserve">In the area proposed for the organization of </w:t>
            </w:r>
            <w:r w:rsidRPr="00EC75B7">
              <w:rPr>
                <w:rFonts w:ascii="Verdana" w:hAnsi="Verdana"/>
                <w:spacing w:val="-2"/>
                <w:sz w:val="18"/>
                <w:szCs w:val="18"/>
              </w:rPr>
              <w:t>the construction site.</w:t>
            </w:r>
          </w:p>
        </w:tc>
      </w:tr>
      <w:tr w:rsidR="008715BE" w:rsidRPr="00EC75B7" w14:paraId="7CE181E8" w14:textId="77777777">
        <w:trPr>
          <w:trHeight w:val="1360"/>
        </w:trPr>
        <w:tc>
          <w:tcPr>
            <w:tcW w:w="1623" w:type="dxa"/>
            <w:vMerge/>
            <w:tcBorders>
              <w:top w:val="nil"/>
            </w:tcBorders>
          </w:tcPr>
          <w:p w14:paraId="00668B51" w14:textId="77777777" w:rsidR="008715BE" w:rsidRPr="00EC75B7" w:rsidRDefault="008715BE">
            <w:pPr>
              <w:rPr>
                <w:rFonts w:ascii="Verdana" w:hAnsi="Verdana"/>
                <w:sz w:val="18"/>
                <w:szCs w:val="18"/>
              </w:rPr>
            </w:pPr>
          </w:p>
        </w:tc>
        <w:tc>
          <w:tcPr>
            <w:tcW w:w="6030" w:type="dxa"/>
          </w:tcPr>
          <w:p w14:paraId="78FB51C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Failure to comply </w:t>
            </w:r>
            <w:r w:rsidRPr="00EC75B7">
              <w:rPr>
                <w:rFonts w:ascii="Verdana" w:hAnsi="Verdana"/>
                <w:spacing w:val="-10"/>
                <w:sz w:val="18"/>
                <w:szCs w:val="18"/>
              </w:rPr>
              <w:t xml:space="preserve">with </w:t>
            </w:r>
            <w:r w:rsidRPr="00EC75B7">
              <w:rPr>
                <w:rFonts w:ascii="Verdana" w:hAnsi="Verdana"/>
                <w:sz w:val="18"/>
                <w:szCs w:val="18"/>
              </w:rPr>
              <w:t>the technical design or measures to prevent</w:t>
            </w:r>
          </w:p>
          <w:p w14:paraId="5C7D37B4"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impact</w:t>
            </w:r>
          </w:p>
          <w:p w14:paraId="4ACED8B8"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Soil isolation – creation of storage platforms </w:t>
            </w:r>
            <w:r w:rsidRPr="00EC75B7">
              <w:rPr>
                <w:rFonts w:ascii="Verdana" w:hAnsi="Verdana"/>
                <w:spacing w:val="-2"/>
                <w:sz w:val="18"/>
                <w:szCs w:val="18"/>
              </w:rPr>
              <w:t xml:space="preserve">site </w:t>
            </w:r>
            <w:r w:rsidRPr="00EC75B7">
              <w:rPr>
                <w:rFonts w:ascii="Verdana" w:hAnsi="Verdana"/>
                <w:sz w:val="18"/>
                <w:szCs w:val="18"/>
              </w:rPr>
              <w:t>organization</w:t>
            </w:r>
          </w:p>
          <w:p w14:paraId="7C5CECFF"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pacing w:val="-2"/>
                <w:sz w:val="18"/>
                <w:szCs w:val="18"/>
              </w:rPr>
              <w:t xml:space="preserve">Compaction </w:t>
            </w:r>
            <w:r w:rsidRPr="00EC75B7">
              <w:rPr>
                <w:rFonts w:ascii="Verdana" w:hAnsi="Verdana"/>
                <w:sz w:val="18"/>
                <w:szCs w:val="18"/>
              </w:rPr>
              <w:t>works</w:t>
            </w:r>
          </w:p>
          <w:p w14:paraId="13FCF0E5"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Accidental leaks from machinery/vehicles used to </w:t>
            </w:r>
            <w:r w:rsidRPr="00EC75B7">
              <w:rPr>
                <w:rFonts w:ascii="Verdana" w:hAnsi="Verdana"/>
                <w:spacing w:val="-2"/>
                <w:sz w:val="18"/>
                <w:szCs w:val="18"/>
              </w:rPr>
              <w:t>carry out</w:t>
            </w:r>
          </w:p>
          <w:p w14:paraId="69B23736"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pacing w:val="-2"/>
                <w:sz w:val="18"/>
                <w:szCs w:val="18"/>
              </w:rPr>
              <w:t>the works.</w:t>
            </w:r>
          </w:p>
        </w:tc>
        <w:tc>
          <w:tcPr>
            <w:tcW w:w="4962" w:type="dxa"/>
          </w:tcPr>
          <w:p w14:paraId="74FD1165" w14:textId="77777777" w:rsidR="008715BE" w:rsidRPr="00EC75B7" w:rsidRDefault="00000000">
            <w:pPr>
              <w:pStyle w:val="TableParagraph"/>
              <w:ind w:left="104"/>
              <w:rPr>
                <w:rFonts w:ascii="Verdana" w:hAnsi="Verdana"/>
                <w:sz w:val="18"/>
                <w:szCs w:val="18"/>
              </w:rPr>
            </w:pPr>
            <w:r w:rsidRPr="00EC75B7">
              <w:rPr>
                <w:rFonts w:ascii="Verdana" w:hAnsi="Verdana"/>
                <w:sz w:val="18"/>
                <w:szCs w:val="18"/>
              </w:rPr>
              <w:t>Physical degradation and loss of soil productivity in the work front/site organization area</w:t>
            </w:r>
          </w:p>
        </w:tc>
        <w:tc>
          <w:tcPr>
            <w:tcW w:w="9357" w:type="dxa"/>
          </w:tcPr>
          <w:p w14:paraId="2B91366B"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In the work front and site organization areas during the construction/decommissioning period</w:t>
            </w:r>
            <w:r w:rsidRPr="00EC75B7">
              <w:rPr>
                <w:rFonts w:ascii="Verdana" w:hAnsi="Verdana"/>
                <w:spacing w:val="-2"/>
                <w:sz w:val="18"/>
                <w:szCs w:val="18"/>
              </w:rPr>
              <w:t>.</w:t>
            </w:r>
          </w:p>
        </w:tc>
      </w:tr>
      <w:tr w:rsidR="008715BE" w:rsidRPr="00EC75B7" w14:paraId="17629FD9" w14:textId="77777777">
        <w:trPr>
          <w:trHeight w:val="1362"/>
        </w:trPr>
        <w:tc>
          <w:tcPr>
            <w:tcW w:w="1623" w:type="dxa"/>
          </w:tcPr>
          <w:p w14:paraId="724195B8" w14:textId="77777777" w:rsidR="008715BE" w:rsidRPr="00EC75B7" w:rsidRDefault="00000000">
            <w:pPr>
              <w:pStyle w:val="TableParagraph"/>
              <w:ind w:left="107" w:right="380"/>
              <w:rPr>
                <w:rFonts w:ascii="Verdana" w:hAnsi="Verdana"/>
                <w:sz w:val="18"/>
                <w:szCs w:val="18"/>
              </w:rPr>
            </w:pPr>
            <w:r w:rsidRPr="00EC75B7">
              <w:rPr>
                <w:rFonts w:ascii="Verdana" w:hAnsi="Verdana"/>
                <w:spacing w:val="-2"/>
                <w:sz w:val="18"/>
                <w:szCs w:val="18"/>
              </w:rPr>
              <w:lastRenderedPageBreak/>
              <w:t>Use of resources</w:t>
            </w:r>
          </w:p>
        </w:tc>
        <w:tc>
          <w:tcPr>
            <w:tcW w:w="6030" w:type="dxa"/>
          </w:tcPr>
          <w:p w14:paraId="5919982C"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Non-compliance with the technical </w:t>
            </w:r>
            <w:r w:rsidRPr="00EC75B7">
              <w:rPr>
                <w:rFonts w:ascii="Verdana" w:hAnsi="Verdana"/>
                <w:spacing w:val="-2"/>
                <w:sz w:val="18"/>
                <w:szCs w:val="18"/>
              </w:rPr>
              <w:t xml:space="preserve">design/human </w:t>
            </w:r>
            <w:r w:rsidRPr="00EC75B7">
              <w:rPr>
                <w:rFonts w:ascii="Verdana" w:hAnsi="Verdana"/>
                <w:sz w:val="18"/>
                <w:szCs w:val="18"/>
              </w:rPr>
              <w:t>error</w:t>
            </w:r>
          </w:p>
        </w:tc>
        <w:tc>
          <w:tcPr>
            <w:tcW w:w="4962" w:type="dxa"/>
          </w:tcPr>
          <w:p w14:paraId="45EFB237" w14:textId="77777777" w:rsidR="008715BE" w:rsidRPr="00EC75B7" w:rsidRDefault="00000000">
            <w:pPr>
              <w:pStyle w:val="TableParagraph"/>
              <w:ind w:left="104" w:right="99"/>
              <w:jc w:val="both"/>
              <w:rPr>
                <w:rFonts w:ascii="Verdana" w:hAnsi="Verdana"/>
                <w:sz w:val="18"/>
                <w:szCs w:val="18"/>
              </w:rPr>
            </w:pPr>
            <w:r w:rsidRPr="00EC75B7">
              <w:rPr>
                <w:rFonts w:ascii="Verdana" w:hAnsi="Verdana"/>
                <w:sz w:val="18"/>
                <w:szCs w:val="18"/>
              </w:rPr>
              <w:t>High resource consumption and reduction of the support capacity of the areas from which the materials necessary for the implementation of these measures were supplied.</w:t>
            </w:r>
          </w:p>
        </w:tc>
        <w:tc>
          <w:tcPr>
            <w:tcW w:w="9357" w:type="dxa"/>
          </w:tcPr>
          <w:p w14:paraId="1794C6D8" w14:textId="77777777" w:rsidR="008715BE" w:rsidRPr="00EC75B7" w:rsidRDefault="00000000">
            <w:pPr>
              <w:pStyle w:val="TableParagraph"/>
              <w:ind w:left="103"/>
              <w:rPr>
                <w:rFonts w:ascii="Verdana" w:hAnsi="Verdana"/>
                <w:sz w:val="18"/>
                <w:szCs w:val="18"/>
              </w:rPr>
            </w:pPr>
            <w:r w:rsidRPr="00EC75B7">
              <w:rPr>
                <w:rFonts w:ascii="Verdana" w:hAnsi="Verdana"/>
                <w:sz w:val="18"/>
                <w:szCs w:val="18"/>
              </w:rPr>
              <w:t>No areas were identified where communities are dependent on a specific natural resource necessary for the implementation of the measures proposed by the project.</w:t>
            </w:r>
          </w:p>
          <w:p w14:paraId="419CFE4C"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z w:val="18"/>
                <w:szCs w:val="18"/>
              </w:rPr>
              <w:t xml:space="preserve">Resources </w:t>
            </w:r>
            <w:r w:rsidRPr="00EC75B7">
              <w:rPr>
                <w:rFonts w:ascii="Verdana" w:hAnsi="Verdana"/>
                <w:spacing w:val="-2"/>
                <w:sz w:val="18"/>
                <w:szCs w:val="18"/>
              </w:rPr>
              <w:t>used:</w:t>
            </w:r>
          </w:p>
          <w:p w14:paraId="3ED47B6E" w14:textId="77777777" w:rsidR="008715BE" w:rsidRPr="00EC75B7" w:rsidRDefault="00000000">
            <w:pPr>
              <w:pStyle w:val="TableParagraph"/>
              <w:numPr>
                <w:ilvl w:val="0"/>
                <w:numId w:val="82"/>
              </w:numPr>
              <w:tabs>
                <w:tab w:val="left" w:pos="190"/>
              </w:tabs>
              <w:spacing w:line="194" w:lineRule="exact"/>
              <w:ind w:left="190" w:hanging="87"/>
              <w:rPr>
                <w:rFonts w:ascii="Verdana" w:hAnsi="Verdana"/>
                <w:sz w:val="18"/>
                <w:szCs w:val="18"/>
              </w:rPr>
            </w:pPr>
            <w:r w:rsidRPr="00EC75B7">
              <w:rPr>
                <w:rFonts w:ascii="Verdana" w:hAnsi="Verdana"/>
                <w:sz w:val="18"/>
                <w:szCs w:val="18"/>
              </w:rPr>
              <w:t xml:space="preserve">soil, stone, sand, gravel for </w:t>
            </w:r>
            <w:r w:rsidRPr="00EC75B7">
              <w:rPr>
                <w:rFonts w:ascii="Verdana" w:hAnsi="Verdana"/>
                <w:spacing w:val="-9"/>
                <w:sz w:val="18"/>
                <w:szCs w:val="18"/>
              </w:rPr>
              <w:t xml:space="preserve">filling </w:t>
            </w:r>
            <w:r w:rsidRPr="00EC75B7">
              <w:rPr>
                <w:rFonts w:ascii="Verdana" w:hAnsi="Verdana"/>
                <w:sz w:val="18"/>
                <w:szCs w:val="18"/>
              </w:rPr>
              <w:t xml:space="preserve">and </w:t>
            </w:r>
            <w:r w:rsidRPr="00EC75B7">
              <w:rPr>
                <w:rFonts w:ascii="Verdana" w:hAnsi="Verdana"/>
                <w:spacing w:val="-2"/>
                <w:sz w:val="18"/>
                <w:szCs w:val="18"/>
              </w:rPr>
              <w:t>foundations;</w:t>
            </w:r>
          </w:p>
          <w:p w14:paraId="78901249" w14:textId="77777777" w:rsidR="008715BE" w:rsidRPr="00EC75B7" w:rsidRDefault="00000000">
            <w:pPr>
              <w:pStyle w:val="TableParagraph"/>
              <w:numPr>
                <w:ilvl w:val="0"/>
                <w:numId w:val="82"/>
              </w:numPr>
              <w:tabs>
                <w:tab w:val="left" w:pos="190"/>
              </w:tabs>
              <w:spacing w:line="194" w:lineRule="exact"/>
              <w:ind w:left="190" w:hanging="87"/>
              <w:rPr>
                <w:rFonts w:ascii="Verdana" w:hAnsi="Verdana"/>
                <w:sz w:val="18"/>
                <w:szCs w:val="18"/>
              </w:rPr>
            </w:pPr>
            <w:r w:rsidRPr="00EC75B7">
              <w:rPr>
                <w:rFonts w:ascii="Verdana" w:hAnsi="Verdana"/>
                <w:sz w:val="18"/>
                <w:szCs w:val="18"/>
              </w:rPr>
              <w:t xml:space="preserve">wood (lumber) for </w:t>
            </w:r>
            <w:r w:rsidRPr="00EC75B7">
              <w:rPr>
                <w:rFonts w:ascii="Verdana" w:hAnsi="Verdana"/>
                <w:spacing w:val="-2"/>
                <w:sz w:val="18"/>
                <w:szCs w:val="18"/>
              </w:rPr>
              <w:t>formwork;</w:t>
            </w:r>
          </w:p>
          <w:p w14:paraId="4A1A66DE" w14:textId="77777777" w:rsidR="008715BE" w:rsidRPr="00EC75B7" w:rsidRDefault="00000000">
            <w:pPr>
              <w:pStyle w:val="TableParagraph"/>
              <w:numPr>
                <w:ilvl w:val="0"/>
                <w:numId w:val="82"/>
              </w:numPr>
              <w:tabs>
                <w:tab w:val="left" w:pos="190"/>
              </w:tabs>
              <w:spacing w:line="194" w:lineRule="exact"/>
              <w:ind w:left="190" w:hanging="87"/>
              <w:rPr>
                <w:rFonts w:ascii="Verdana" w:hAnsi="Verdana"/>
                <w:sz w:val="18"/>
                <w:szCs w:val="18"/>
              </w:rPr>
            </w:pPr>
            <w:r w:rsidRPr="00EC75B7">
              <w:rPr>
                <w:rFonts w:ascii="Verdana" w:hAnsi="Verdana"/>
                <w:sz w:val="18"/>
                <w:szCs w:val="18"/>
              </w:rPr>
              <w:t xml:space="preserve">non-renewable natural resources - fuels (derived from petroleum) used to operate machinery </w:t>
            </w:r>
            <w:r w:rsidRPr="00EC75B7">
              <w:rPr>
                <w:rFonts w:ascii="Verdana" w:hAnsi="Verdana"/>
                <w:spacing w:val="-5"/>
                <w:sz w:val="18"/>
                <w:szCs w:val="18"/>
              </w:rPr>
              <w:t>and</w:t>
            </w:r>
          </w:p>
          <w:p w14:paraId="71E91F4C" w14:textId="77777777" w:rsidR="008715BE" w:rsidRPr="00EC75B7" w:rsidRDefault="00000000">
            <w:pPr>
              <w:pStyle w:val="TableParagraph"/>
              <w:spacing w:line="175" w:lineRule="exact"/>
              <w:ind w:left="103"/>
              <w:rPr>
                <w:rFonts w:ascii="Verdana" w:hAnsi="Verdana"/>
                <w:sz w:val="18"/>
                <w:szCs w:val="18"/>
              </w:rPr>
            </w:pPr>
            <w:r w:rsidRPr="00EC75B7">
              <w:rPr>
                <w:rFonts w:ascii="Verdana" w:hAnsi="Verdana"/>
                <w:sz w:val="18"/>
                <w:szCs w:val="18"/>
              </w:rPr>
              <w:t>vehicles that transported the necessary materials</w:t>
            </w:r>
            <w:r w:rsidRPr="00EC75B7">
              <w:rPr>
                <w:rFonts w:ascii="Verdana" w:hAnsi="Verdana"/>
                <w:spacing w:val="-10"/>
                <w:sz w:val="18"/>
                <w:szCs w:val="18"/>
              </w:rPr>
              <w:t>.</w:t>
            </w:r>
          </w:p>
        </w:tc>
      </w:tr>
    </w:tbl>
    <w:p w14:paraId="3D9AF769" w14:textId="77777777" w:rsidR="008715BE" w:rsidRPr="00EC75B7" w:rsidRDefault="008715BE">
      <w:pPr>
        <w:pStyle w:val="TableParagraph"/>
        <w:spacing w:line="175" w:lineRule="exact"/>
        <w:rPr>
          <w:rFonts w:ascii="Verdana" w:hAnsi="Verdana"/>
          <w:sz w:val="18"/>
          <w:szCs w:val="18"/>
        </w:rPr>
        <w:sectPr w:rsidR="008715BE" w:rsidRPr="00EC75B7">
          <w:headerReference w:type="default" r:id="rId186"/>
          <w:footerReference w:type="default" r:id="rId187"/>
          <w:pgSz w:w="23820" w:h="16840" w:orient="landscape"/>
          <w:pgMar w:top="1200" w:right="850" w:bottom="1020" w:left="850" w:header="766" w:footer="824" w:gutter="0"/>
          <w:pgNumType w:start="121"/>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623"/>
        <w:gridCol w:w="6030"/>
        <w:gridCol w:w="4962"/>
        <w:gridCol w:w="9357"/>
      </w:tblGrid>
      <w:tr w:rsidR="008715BE" w:rsidRPr="00EC75B7" w14:paraId="4249F3D8" w14:textId="77777777">
        <w:trPr>
          <w:trHeight w:val="760"/>
        </w:trPr>
        <w:tc>
          <w:tcPr>
            <w:tcW w:w="1623" w:type="dxa"/>
            <w:shd w:val="clear" w:color="auto" w:fill="00AFEF"/>
          </w:tcPr>
          <w:p w14:paraId="7D125E18" w14:textId="77777777" w:rsidR="008715BE" w:rsidRPr="00EC75B7" w:rsidRDefault="008715BE">
            <w:pPr>
              <w:pStyle w:val="TableParagraph"/>
              <w:rPr>
                <w:rFonts w:ascii="Verdana" w:hAnsi="Verdana"/>
                <w:b/>
                <w:sz w:val="18"/>
                <w:szCs w:val="18"/>
              </w:rPr>
            </w:pPr>
          </w:p>
          <w:p w14:paraId="44B0AE96" w14:textId="77777777" w:rsidR="008715BE" w:rsidRPr="00EC75B7" w:rsidRDefault="00000000">
            <w:pPr>
              <w:pStyle w:val="TableParagraph"/>
              <w:ind w:left="532" w:right="380" w:hanging="144"/>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factor</w:t>
            </w:r>
          </w:p>
        </w:tc>
        <w:tc>
          <w:tcPr>
            <w:tcW w:w="6030" w:type="dxa"/>
            <w:shd w:val="clear" w:color="auto" w:fill="00AFEF"/>
          </w:tcPr>
          <w:p w14:paraId="492691AD" w14:textId="77777777" w:rsidR="008715BE" w:rsidRPr="00EC75B7" w:rsidRDefault="008715BE">
            <w:pPr>
              <w:pStyle w:val="TableParagraph"/>
              <w:spacing w:before="96"/>
              <w:rPr>
                <w:rFonts w:ascii="Verdana" w:hAnsi="Verdana"/>
                <w:b/>
                <w:sz w:val="18"/>
                <w:szCs w:val="18"/>
              </w:rPr>
            </w:pPr>
          </w:p>
          <w:p w14:paraId="67AF63E0" w14:textId="77777777" w:rsidR="008715BE" w:rsidRPr="00EC75B7" w:rsidRDefault="00000000">
            <w:pPr>
              <w:pStyle w:val="TableParagraph"/>
              <w:ind w:left="1350"/>
              <w:rPr>
                <w:rFonts w:ascii="Verdana" w:hAnsi="Verdana"/>
                <w:b/>
                <w:sz w:val="18"/>
                <w:szCs w:val="18"/>
              </w:rPr>
            </w:pPr>
            <w:r w:rsidRPr="00EC75B7">
              <w:rPr>
                <w:rFonts w:ascii="Verdana" w:hAnsi="Verdana"/>
                <w:b/>
                <w:color w:val="FFFFFF"/>
                <w:sz w:val="18"/>
                <w:szCs w:val="18"/>
              </w:rPr>
              <w:t xml:space="preserve">Cause of such </w:t>
            </w:r>
            <w:r w:rsidRPr="00EC75B7">
              <w:rPr>
                <w:rFonts w:ascii="Verdana" w:hAnsi="Verdana"/>
                <w:b/>
                <w:color w:val="FFFFFF"/>
                <w:spacing w:val="-2"/>
                <w:sz w:val="18"/>
                <w:szCs w:val="18"/>
              </w:rPr>
              <w:t>situations</w:t>
            </w:r>
          </w:p>
        </w:tc>
        <w:tc>
          <w:tcPr>
            <w:tcW w:w="4962" w:type="dxa"/>
            <w:shd w:val="clear" w:color="auto" w:fill="00AFEF"/>
          </w:tcPr>
          <w:p w14:paraId="4E9773E6" w14:textId="77777777" w:rsidR="008715BE" w:rsidRPr="00EC75B7" w:rsidRDefault="008715BE">
            <w:pPr>
              <w:pStyle w:val="TableParagraph"/>
              <w:rPr>
                <w:rFonts w:ascii="Verdana" w:hAnsi="Verdana"/>
                <w:b/>
                <w:sz w:val="18"/>
                <w:szCs w:val="18"/>
              </w:rPr>
            </w:pPr>
          </w:p>
          <w:p w14:paraId="23460B22" w14:textId="77777777" w:rsidR="008715BE" w:rsidRPr="00EC75B7" w:rsidRDefault="00000000">
            <w:pPr>
              <w:pStyle w:val="TableParagraph"/>
              <w:spacing w:line="195" w:lineRule="exact"/>
              <w:ind w:left="2" w:right="1"/>
              <w:jc w:val="center"/>
              <w:rPr>
                <w:rFonts w:ascii="Verdana" w:hAnsi="Verdana"/>
                <w:b/>
                <w:sz w:val="18"/>
                <w:szCs w:val="18"/>
              </w:rPr>
            </w:pPr>
            <w:r w:rsidRPr="00EC75B7">
              <w:rPr>
                <w:rFonts w:ascii="Verdana" w:hAnsi="Verdana"/>
                <w:b/>
                <w:color w:val="FFFFFF"/>
                <w:sz w:val="18"/>
                <w:szCs w:val="18"/>
              </w:rPr>
              <w:t xml:space="preserve">Situations that could have led or could lead </w:t>
            </w:r>
            <w:r w:rsidRPr="00EC75B7">
              <w:rPr>
                <w:rFonts w:ascii="Verdana" w:hAnsi="Verdana"/>
                <w:b/>
                <w:color w:val="FFFFFF"/>
                <w:spacing w:val="-5"/>
                <w:sz w:val="18"/>
                <w:szCs w:val="18"/>
              </w:rPr>
              <w:t>to</w:t>
            </w:r>
          </w:p>
          <w:p w14:paraId="5125E341" w14:textId="77777777" w:rsidR="008715BE" w:rsidRPr="00EC75B7" w:rsidRDefault="00000000">
            <w:pPr>
              <w:pStyle w:val="TableParagraph"/>
              <w:spacing w:line="195" w:lineRule="exact"/>
              <w:ind w:left="2"/>
              <w:jc w:val="center"/>
              <w:rPr>
                <w:rFonts w:ascii="Verdana" w:hAnsi="Verdana"/>
                <w:b/>
                <w:sz w:val="18"/>
                <w:szCs w:val="18"/>
              </w:rPr>
            </w:pPr>
            <w:r w:rsidRPr="00EC75B7">
              <w:rPr>
                <w:rFonts w:ascii="Verdana" w:hAnsi="Verdana"/>
                <w:b/>
                <w:color w:val="FFFFFF"/>
                <w:spacing w:val="-2"/>
                <w:sz w:val="18"/>
                <w:szCs w:val="18"/>
              </w:rPr>
              <w:t xml:space="preserve">significant </w:t>
            </w:r>
            <w:r w:rsidRPr="00EC75B7">
              <w:rPr>
                <w:rFonts w:ascii="Verdana" w:hAnsi="Verdana"/>
                <w:b/>
                <w:color w:val="FFFFFF"/>
                <w:sz w:val="18"/>
                <w:szCs w:val="18"/>
              </w:rPr>
              <w:t>negative impacts</w:t>
            </w:r>
          </w:p>
        </w:tc>
        <w:tc>
          <w:tcPr>
            <w:tcW w:w="9357" w:type="dxa"/>
            <w:shd w:val="clear" w:color="auto" w:fill="00AFEF"/>
          </w:tcPr>
          <w:p w14:paraId="358C0E87" w14:textId="77777777" w:rsidR="008715BE" w:rsidRPr="00EC75B7" w:rsidRDefault="008715BE">
            <w:pPr>
              <w:pStyle w:val="TableParagraph"/>
              <w:spacing w:before="96"/>
              <w:rPr>
                <w:rFonts w:ascii="Verdana" w:hAnsi="Verdana"/>
                <w:b/>
                <w:sz w:val="18"/>
                <w:szCs w:val="18"/>
              </w:rPr>
            </w:pPr>
          </w:p>
          <w:p w14:paraId="591629AF" w14:textId="77777777" w:rsidR="008715BE" w:rsidRPr="00EC75B7" w:rsidRDefault="00000000">
            <w:pPr>
              <w:pStyle w:val="TableParagraph"/>
              <w:ind w:left="1032"/>
              <w:rPr>
                <w:rFonts w:ascii="Verdana" w:hAnsi="Verdana"/>
                <w:b/>
                <w:sz w:val="18"/>
                <w:szCs w:val="18"/>
              </w:rPr>
            </w:pPr>
            <w:r w:rsidRPr="00EC75B7">
              <w:rPr>
                <w:rFonts w:ascii="Verdana" w:hAnsi="Verdana"/>
                <w:b/>
                <w:color w:val="FFFFFF"/>
                <w:sz w:val="18"/>
                <w:szCs w:val="18"/>
              </w:rPr>
              <w:t xml:space="preserve">The area where they occurred or could occur – depending on the location </w:t>
            </w:r>
            <w:r w:rsidRPr="00EC75B7">
              <w:rPr>
                <w:rFonts w:ascii="Verdana" w:hAnsi="Verdana"/>
                <w:b/>
                <w:color w:val="FFFFFF"/>
                <w:spacing w:val="-2"/>
                <w:sz w:val="18"/>
                <w:szCs w:val="18"/>
              </w:rPr>
              <w:t>of the works</w:t>
            </w:r>
          </w:p>
        </w:tc>
      </w:tr>
      <w:tr w:rsidR="008715BE" w:rsidRPr="00EC75B7" w14:paraId="7202A12C" w14:textId="77777777">
        <w:trPr>
          <w:trHeight w:val="777"/>
        </w:trPr>
        <w:tc>
          <w:tcPr>
            <w:tcW w:w="1623" w:type="dxa"/>
            <w:vMerge w:val="restart"/>
          </w:tcPr>
          <w:p w14:paraId="2A1C7412"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pacing w:val="-2"/>
                <w:sz w:val="18"/>
                <w:szCs w:val="18"/>
              </w:rPr>
              <w:t>Climate</w:t>
            </w:r>
          </w:p>
          <w:p w14:paraId="209D9EC6"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climate</w:t>
            </w:r>
          </w:p>
        </w:tc>
        <w:tc>
          <w:tcPr>
            <w:tcW w:w="6030" w:type="dxa"/>
          </w:tcPr>
          <w:p w14:paraId="59E0C94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Failure to take climate change adaptation into account at the design stage</w:t>
            </w:r>
          </w:p>
        </w:tc>
        <w:tc>
          <w:tcPr>
            <w:tcW w:w="4962" w:type="dxa"/>
          </w:tcPr>
          <w:p w14:paraId="1F9771BB" w14:textId="77777777" w:rsidR="008715BE" w:rsidRPr="00EC75B7" w:rsidRDefault="00000000">
            <w:pPr>
              <w:pStyle w:val="TableParagraph"/>
              <w:spacing w:before="8"/>
              <w:ind w:left="104"/>
              <w:rPr>
                <w:rFonts w:ascii="Verdana" w:hAnsi="Verdana"/>
                <w:sz w:val="18"/>
                <w:szCs w:val="18"/>
              </w:rPr>
            </w:pPr>
            <w:r w:rsidRPr="00EC75B7">
              <w:rPr>
                <w:rFonts w:ascii="Verdana" w:hAnsi="Verdana"/>
                <w:sz w:val="18"/>
                <w:szCs w:val="18"/>
              </w:rPr>
              <w:t>Effects of climate change on wind farms that may lead to their total or partial deterioration</w:t>
            </w:r>
          </w:p>
        </w:tc>
        <w:tc>
          <w:tcPr>
            <w:tcW w:w="9357" w:type="dxa"/>
          </w:tcPr>
          <w:p w14:paraId="0FF2D5D9" w14:textId="77777777" w:rsidR="008715BE" w:rsidRPr="00EC75B7" w:rsidRDefault="00000000">
            <w:pPr>
              <w:pStyle w:val="TableParagraph"/>
              <w:spacing w:line="194" w:lineRule="exact"/>
              <w:ind w:left="103" w:right="95"/>
              <w:jc w:val="both"/>
              <w:rPr>
                <w:rFonts w:ascii="Verdana" w:hAnsi="Verdana"/>
                <w:sz w:val="18"/>
                <w:szCs w:val="18"/>
              </w:rPr>
            </w:pPr>
            <w:r w:rsidRPr="00EC75B7">
              <w:rPr>
                <w:rFonts w:ascii="Verdana" w:hAnsi="Verdana"/>
                <w:sz w:val="18"/>
                <w:szCs w:val="18"/>
              </w:rPr>
              <w:t xml:space="preserve">The town of Cerchezu </w:t>
            </w:r>
            <w:r w:rsidRPr="00EC75B7">
              <w:rPr>
                <w:rFonts w:ascii="Verdana" w:hAnsi="Verdana"/>
                <w:b/>
                <w:sz w:val="18"/>
                <w:szCs w:val="18"/>
              </w:rPr>
              <w:t xml:space="preserve">is not explicitly listed </w:t>
            </w:r>
            <w:r w:rsidRPr="00EC75B7">
              <w:rPr>
                <w:rFonts w:ascii="Verdana" w:hAnsi="Verdana"/>
                <w:sz w:val="18"/>
                <w:szCs w:val="18"/>
              </w:rPr>
              <w:t xml:space="preserve">in </w:t>
            </w:r>
            <w:r w:rsidRPr="00EC75B7">
              <w:rPr>
                <w:rFonts w:ascii="Verdana" w:hAnsi="Verdana"/>
                <w:b/>
                <w:sz w:val="18"/>
                <w:szCs w:val="18"/>
              </w:rPr>
              <w:t xml:space="preserve">Annex 3 </w:t>
            </w:r>
            <w:r w:rsidRPr="00EC75B7">
              <w:rPr>
                <w:rFonts w:ascii="Verdana" w:hAnsi="Verdana"/>
                <w:sz w:val="18"/>
                <w:szCs w:val="18"/>
              </w:rPr>
              <w:t>of Law No. 575 of October 22, 2001, on the approval of the National Spatial Planning Plan - Section V Natural Risk Areas, but localities in the southeast (including Constanța County) are generally classified as areas with seismic intensity of approximately VII MSK for general zoning and design purposes.</w:t>
            </w:r>
          </w:p>
        </w:tc>
      </w:tr>
      <w:tr w:rsidR="008715BE" w:rsidRPr="00EC75B7" w14:paraId="6BD56A6B" w14:textId="77777777">
        <w:trPr>
          <w:trHeight w:val="777"/>
        </w:trPr>
        <w:tc>
          <w:tcPr>
            <w:tcW w:w="1623" w:type="dxa"/>
            <w:vMerge/>
            <w:tcBorders>
              <w:top w:val="nil"/>
            </w:tcBorders>
          </w:tcPr>
          <w:p w14:paraId="69EE0FCA" w14:textId="77777777" w:rsidR="008715BE" w:rsidRPr="00EC75B7" w:rsidRDefault="008715BE">
            <w:pPr>
              <w:rPr>
                <w:rFonts w:ascii="Verdana" w:hAnsi="Verdana"/>
                <w:sz w:val="18"/>
                <w:szCs w:val="18"/>
              </w:rPr>
            </w:pPr>
          </w:p>
        </w:tc>
        <w:tc>
          <w:tcPr>
            <w:tcW w:w="6030" w:type="dxa"/>
          </w:tcPr>
          <w:p w14:paraId="6CE0AD7E"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z w:val="18"/>
                <w:szCs w:val="18"/>
              </w:rPr>
              <w:t xml:space="preserve">Machinery and/or </w:t>
            </w:r>
            <w:r w:rsidRPr="00EC75B7">
              <w:rPr>
                <w:rFonts w:ascii="Verdana" w:hAnsi="Verdana"/>
                <w:spacing w:val="-2"/>
                <w:sz w:val="18"/>
                <w:szCs w:val="18"/>
              </w:rPr>
              <w:t xml:space="preserve">transport </w:t>
            </w:r>
            <w:r w:rsidRPr="00EC75B7">
              <w:rPr>
                <w:rFonts w:ascii="Verdana" w:hAnsi="Verdana"/>
                <w:sz w:val="18"/>
                <w:szCs w:val="18"/>
              </w:rPr>
              <w:t>equipment malfunctions</w:t>
            </w:r>
          </w:p>
          <w:p w14:paraId="026CB74F"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Failure to ensure regular technical inspection of machinery/means of </w:t>
            </w:r>
            <w:r w:rsidRPr="00EC75B7">
              <w:rPr>
                <w:rFonts w:ascii="Verdana" w:hAnsi="Verdana"/>
                <w:spacing w:val="-2"/>
                <w:sz w:val="18"/>
                <w:szCs w:val="18"/>
              </w:rPr>
              <w:t>transport</w:t>
            </w:r>
          </w:p>
          <w:p w14:paraId="1FC100FB" w14:textId="77777777" w:rsidR="008715BE" w:rsidRPr="00EC75B7" w:rsidRDefault="00000000">
            <w:pPr>
              <w:pStyle w:val="TableParagraph"/>
              <w:spacing w:line="164" w:lineRule="exact"/>
              <w:ind w:left="107"/>
              <w:rPr>
                <w:rFonts w:ascii="Verdana" w:hAnsi="Verdana"/>
                <w:sz w:val="18"/>
                <w:szCs w:val="18"/>
              </w:rPr>
            </w:pPr>
            <w:r w:rsidRPr="00EC75B7">
              <w:rPr>
                <w:rFonts w:ascii="Verdana" w:hAnsi="Verdana"/>
                <w:sz w:val="18"/>
                <w:szCs w:val="18"/>
              </w:rPr>
              <w:t xml:space="preserve">Use of </w:t>
            </w:r>
            <w:r w:rsidRPr="00EC75B7">
              <w:rPr>
                <w:rFonts w:ascii="Verdana" w:hAnsi="Verdana"/>
                <w:spacing w:val="-2"/>
                <w:sz w:val="18"/>
                <w:szCs w:val="18"/>
              </w:rPr>
              <w:t xml:space="preserve">outdated </w:t>
            </w:r>
            <w:r w:rsidRPr="00EC75B7">
              <w:rPr>
                <w:rFonts w:ascii="Verdana" w:hAnsi="Verdana"/>
                <w:sz w:val="18"/>
                <w:szCs w:val="18"/>
              </w:rPr>
              <w:t>machinery/means of transport.</w:t>
            </w:r>
          </w:p>
        </w:tc>
        <w:tc>
          <w:tcPr>
            <w:tcW w:w="4962" w:type="dxa"/>
          </w:tcPr>
          <w:p w14:paraId="4A4F6844" w14:textId="77777777" w:rsidR="008715BE" w:rsidRPr="00EC75B7" w:rsidRDefault="00000000">
            <w:pPr>
              <w:pStyle w:val="TableParagraph"/>
              <w:spacing w:before="8"/>
              <w:ind w:left="104" w:right="101"/>
              <w:jc w:val="both"/>
              <w:rPr>
                <w:rFonts w:ascii="Verdana" w:hAnsi="Verdana"/>
                <w:sz w:val="18"/>
                <w:szCs w:val="18"/>
              </w:rPr>
            </w:pPr>
            <w:r w:rsidRPr="00EC75B7">
              <w:rPr>
                <w:rFonts w:ascii="Verdana" w:hAnsi="Verdana"/>
                <w:sz w:val="18"/>
                <w:szCs w:val="18"/>
              </w:rPr>
              <w:t>Generation of high levels of greenhouse gas emissions, failing to meet the Europe 2020 Strategy target of reducing greenhouse gas emissions by 20%</w:t>
            </w:r>
          </w:p>
        </w:tc>
        <w:tc>
          <w:tcPr>
            <w:tcW w:w="9357" w:type="dxa"/>
          </w:tcPr>
          <w:p w14:paraId="635FC354" w14:textId="77777777" w:rsidR="008715BE" w:rsidRPr="00EC75B7" w:rsidRDefault="00000000">
            <w:pPr>
              <w:pStyle w:val="TableParagraph"/>
              <w:spacing w:before="8"/>
              <w:ind w:left="103"/>
              <w:rPr>
                <w:rFonts w:ascii="Verdana" w:hAnsi="Verdana"/>
                <w:sz w:val="18"/>
                <w:szCs w:val="18"/>
              </w:rPr>
            </w:pPr>
            <w:r w:rsidRPr="00EC75B7">
              <w:rPr>
                <w:rFonts w:ascii="Verdana" w:hAnsi="Verdana"/>
                <w:sz w:val="18"/>
                <w:szCs w:val="18"/>
              </w:rPr>
              <w:t xml:space="preserve">In the work front and </w:t>
            </w:r>
            <w:r w:rsidRPr="00EC75B7">
              <w:rPr>
                <w:rFonts w:ascii="Verdana" w:hAnsi="Verdana"/>
                <w:spacing w:val="-2"/>
                <w:sz w:val="18"/>
                <w:szCs w:val="18"/>
              </w:rPr>
              <w:t xml:space="preserve">site </w:t>
            </w:r>
            <w:r w:rsidRPr="00EC75B7">
              <w:rPr>
                <w:rFonts w:ascii="Verdana" w:hAnsi="Verdana"/>
                <w:sz w:val="18"/>
                <w:szCs w:val="18"/>
              </w:rPr>
              <w:t>organization area</w:t>
            </w:r>
          </w:p>
        </w:tc>
      </w:tr>
      <w:tr w:rsidR="008715BE" w:rsidRPr="00EC75B7" w14:paraId="6ECF1C9A" w14:textId="77777777">
        <w:trPr>
          <w:trHeight w:val="1557"/>
        </w:trPr>
        <w:tc>
          <w:tcPr>
            <w:tcW w:w="1623" w:type="dxa"/>
            <w:vMerge w:val="restart"/>
          </w:tcPr>
          <w:p w14:paraId="75608334"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Water</w:t>
            </w:r>
          </w:p>
        </w:tc>
        <w:tc>
          <w:tcPr>
            <w:tcW w:w="6030" w:type="dxa"/>
          </w:tcPr>
          <w:p w14:paraId="1296574E" w14:textId="77777777" w:rsidR="008715BE" w:rsidRPr="00EC75B7" w:rsidRDefault="00000000">
            <w:pPr>
              <w:pStyle w:val="TableParagraph"/>
              <w:spacing w:before="8"/>
              <w:ind w:left="107"/>
              <w:jc w:val="both"/>
              <w:rPr>
                <w:rFonts w:ascii="Verdana" w:hAnsi="Verdana"/>
                <w:sz w:val="18"/>
                <w:szCs w:val="18"/>
              </w:rPr>
            </w:pPr>
            <w:r w:rsidRPr="00EC75B7">
              <w:rPr>
                <w:rFonts w:ascii="Verdana" w:hAnsi="Verdana"/>
                <w:sz w:val="18"/>
                <w:szCs w:val="18"/>
              </w:rPr>
              <w:t xml:space="preserve">Non-compliance with the technical </w:t>
            </w:r>
            <w:r w:rsidRPr="00EC75B7">
              <w:rPr>
                <w:rFonts w:ascii="Verdana" w:hAnsi="Verdana"/>
                <w:spacing w:val="-2"/>
                <w:sz w:val="18"/>
                <w:szCs w:val="18"/>
              </w:rPr>
              <w:t xml:space="preserve">design/human </w:t>
            </w:r>
            <w:r w:rsidRPr="00EC75B7">
              <w:rPr>
                <w:rFonts w:ascii="Verdana" w:hAnsi="Verdana"/>
                <w:sz w:val="18"/>
                <w:szCs w:val="18"/>
              </w:rPr>
              <w:t>error.</w:t>
            </w:r>
          </w:p>
          <w:p w14:paraId="2CA01717" w14:textId="77777777" w:rsidR="008715BE" w:rsidRPr="00EC75B7" w:rsidRDefault="00000000">
            <w:pPr>
              <w:pStyle w:val="TableParagraph"/>
              <w:spacing w:before="1"/>
              <w:ind w:left="107" w:right="98"/>
              <w:jc w:val="both"/>
              <w:rPr>
                <w:rFonts w:ascii="Verdana" w:hAnsi="Verdana"/>
                <w:sz w:val="18"/>
                <w:szCs w:val="18"/>
              </w:rPr>
            </w:pPr>
            <w:r w:rsidRPr="00EC75B7">
              <w:rPr>
                <w:rFonts w:ascii="Verdana" w:hAnsi="Verdana"/>
                <w:sz w:val="18"/>
                <w:szCs w:val="18"/>
              </w:rPr>
              <w:t>Accidental fuel leaks from the machinery used to carry out the work and the penetration of pollutants into the water table or their direct discharge into surface waters</w:t>
            </w:r>
          </w:p>
          <w:p w14:paraId="14A29956" w14:textId="77777777" w:rsidR="008715BE" w:rsidRPr="00EC75B7" w:rsidRDefault="00000000">
            <w:pPr>
              <w:pStyle w:val="TableParagraph"/>
              <w:spacing w:line="192" w:lineRule="exact"/>
              <w:ind w:left="107"/>
              <w:jc w:val="both"/>
              <w:rPr>
                <w:rFonts w:ascii="Verdana" w:hAnsi="Verdana"/>
                <w:sz w:val="18"/>
                <w:szCs w:val="18"/>
              </w:rPr>
            </w:pPr>
            <w:r w:rsidRPr="00EC75B7">
              <w:rPr>
                <w:rFonts w:ascii="Verdana" w:hAnsi="Verdana"/>
                <w:sz w:val="18"/>
                <w:szCs w:val="18"/>
              </w:rPr>
              <w:t xml:space="preserve">Storage of </w:t>
            </w:r>
            <w:r w:rsidRPr="00EC75B7">
              <w:rPr>
                <w:rFonts w:ascii="Verdana" w:hAnsi="Verdana"/>
                <w:spacing w:val="-2"/>
                <w:sz w:val="18"/>
                <w:szCs w:val="18"/>
              </w:rPr>
              <w:t>materials/waste</w:t>
            </w:r>
          </w:p>
          <w:p w14:paraId="3CE132C3" w14:textId="77777777" w:rsidR="008715BE" w:rsidRPr="00EC75B7" w:rsidRDefault="00000000">
            <w:pPr>
              <w:pStyle w:val="TableParagraph"/>
              <w:ind w:left="107" w:right="99"/>
              <w:jc w:val="both"/>
              <w:rPr>
                <w:rFonts w:ascii="Verdana" w:hAnsi="Verdana"/>
                <w:sz w:val="18"/>
                <w:szCs w:val="18"/>
              </w:rPr>
            </w:pPr>
            <w:r w:rsidRPr="00EC75B7">
              <w:rPr>
                <w:rFonts w:ascii="Verdana" w:hAnsi="Verdana"/>
                <w:sz w:val="18"/>
                <w:szCs w:val="18"/>
              </w:rPr>
              <w:t>Direct discharge of domestic wastewater from the site organization without pre-treatment.</w:t>
            </w:r>
          </w:p>
        </w:tc>
        <w:tc>
          <w:tcPr>
            <w:tcW w:w="4962" w:type="dxa"/>
          </w:tcPr>
          <w:p w14:paraId="2665375C" w14:textId="77777777" w:rsidR="008715BE" w:rsidRPr="00EC75B7" w:rsidRDefault="00000000">
            <w:pPr>
              <w:pStyle w:val="TableParagraph"/>
              <w:spacing w:before="8"/>
              <w:ind w:left="104" w:right="97"/>
              <w:jc w:val="both"/>
              <w:rPr>
                <w:rFonts w:ascii="Verdana" w:hAnsi="Verdana"/>
                <w:sz w:val="18"/>
                <w:szCs w:val="18"/>
              </w:rPr>
            </w:pPr>
            <w:r w:rsidRPr="00EC75B7">
              <w:rPr>
                <w:rFonts w:ascii="Verdana" w:hAnsi="Verdana"/>
                <w:sz w:val="18"/>
                <w:szCs w:val="18"/>
              </w:rPr>
              <w:t>Deterioration of the condition of surface watercourses and groundwater bodies in the project area, which could lead to the environmental objectives set for them not being achieved</w:t>
            </w:r>
          </w:p>
        </w:tc>
        <w:tc>
          <w:tcPr>
            <w:tcW w:w="9357" w:type="dxa"/>
          </w:tcPr>
          <w:p w14:paraId="14099A11" w14:textId="77777777" w:rsidR="008715BE" w:rsidRPr="00EC75B7" w:rsidRDefault="00000000">
            <w:pPr>
              <w:pStyle w:val="TableParagraph"/>
              <w:spacing w:before="8"/>
              <w:ind w:left="103" w:right="103"/>
              <w:jc w:val="both"/>
              <w:rPr>
                <w:rFonts w:ascii="Verdana" w:hAnsi="Verdana"/>
                <w:sz w:val="18"/>
                <w:szCs w:val="18"/>
              </w:rPr>
            </w:pPr>
            <w:r w:rsidRPr="00EC75B7">
              <w:rPr>
                <w:rFonts w:ascii="Verdana" w:hAnsi="Verdana"/>
                <w:sz w:val="18"/>
                <w:szCs w:val="18"/>
              </w:rPr>
              <w:t>Surface and underground watercourses in the project area, areas where construction work was carried out near watercourses:</w:t>
            </w:r>
          </w:p>
          <w:p w14:paraId="4F684941" w14:textId="77777777" w:rsidR="008715BE" w:rsidRPr="00EC75B7" w:rsidRDefault="00000000">
            <w:pPr>
              <w:pStyle w:val="TableParagraph"/>
              <w:spacing w:before="195"/>
              <w:ind w:left="103" w:right="96"/>
              <w:jc w:val="both"/>
              <w:rPr>
                <w:rFonts w:ascii="Verdana" w:hAnsi="Verdana"/>
                <w:sz w:val="18"/>
                <w:szCs w:val="18"/>
              </w:rPr>
            </w:pPr>
            <w:r w:rsidRPr="00EC75B7">
              <w:rPr>
                <w:rFonts w:ascii="Verdana" w:hAnsi="Verdana"/>
                <w:sz w:val="18"/>
                <w:szCs w:val="18"/>
              </w:rPr>
              <w:t>The water bodies identified in the Cerchezu wind farm site area are located at distances greater than 28 km, so there is no impact on them. The project works require the Cerchez (2) and Măgura (2) watercourses to be crossed, but this will be done using horizontal drilling technology at a depth of 1 m between the upper generator of the protective pipe and the watercourse bed.</w:t>
            </w:r>
          </w:p>
        </w:tc>
      </w:tr>
      <w:tr w:rsidR="008715BE" w:rsidRPr="00EC75B7" w14:paraId="73988FE1" w14:textId="77777777">
        <w:trPr>
          <w:trHeight w:val="617"/>
        </w:trPr>
        <w:tc>
          <w:tcPr>
            <w:tcW w:w="1623" w:type="dxa"/>
            <w:vMerge/>
            <w:tcBorders>
              <w:top w:val="nil"/>
            </w:tcBorders>
          </w:tcPr>
          <w:p w14:paraId="1A891F8E" w14:textId="77777777" w:rsidR="008715BE" w:rsidRPr="00EC75B7" w:rsidRDefault="008715BE">
            <w:pPr>
              <w:rPr>
                <w:rFonts w:ascii="Verdana" w:hAnsi="Verdana"/>
                <w:sz w:val="18"/>
                <w:szCs w:val="18"/>
              </w:rPr>
            </w:pPr>
          </w:p>
        </w:tc>
        <w:tc>
          <w:tcPr>
            <w:tcW w:w="6030" w:type="dxa"/>
          </w:tcPr>
          <w:p w14:paraId="198C5BBC"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z w:val="18"/>
                <w:szCs w:val="18"/>
              </w:rPr>
              <w:t xml:space="preserve">Failure to comply with the technical </w:t>
            </w:r>
            <w:r w:rsidRPr="00EC75B7">
              <w:rPr>
                <w:rFonts w:ascii="Verdana" w:hAnsi="Verdana"/>
                <w:spacing w:val="-2"/>
                <w:sz w:val="18"/>
                <w:szCs w:val="18"/>
              </w:rPr>
              <w:t xml:space="preserve">design/human </w:t>
            </w:r>
            <w:r w:rsidRPr="00EC75B7">
              <w:rPr>
                <w:rFonts w:ascii="Verdana" w:hAnsi="Verdana"/>
                <w:sz w:val="18"/>
                <w:szCs w:val="18"/>
              </w:rPr>
              <w:t>error</w:t>
            </w:r>
            <w:r w:rsidRPr="00EC75B7">
              <w:rPr>
                <w:rFonts w:ascii="Verdana" w:hAnsi="Verdana"/>
                <w:spacing w:val="-2"/>
                <w:sz w:val="18"/>
                <w:szCs w:val="18"/>
              </w:rPr>
              <w:t>.</w:t>
            </w:r>
          </w:p>
          <w:p w14:paraId="38A80A46"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Accidental fuel leaks from the machinery used to carry out the work and their direct discharge into surface water</w:t>
            </w:r>
          </w:p>
        </w:tc>
        <w:tc>
          <w:tcPr>
            <w:tcW w:w="4962" w:type="dxa"/>
          </w:tcPr>
          <w:p w14:paraId="219EE424" w14:textId="77777777" w:rsidR="008715BE" w:rsidRPr="00EC75B7" w:rsidRDefault="00000000">
            <w:pPr>
              <w:pStyle w:val="TableParagraph"/>
              <w:spacing w:before="8"/>
              <w:ind w:left="104"/>
              <w:rPr>
                <w:rFonts w:ascii="Verdana" w:hAnsi="Verdana"/>
                <w:sz w:val="18"/>
                <w:szCs w:val="18"/>
              </w:rPr>
            </w:pPr>
            <w:r w:rsidRPr="00EC75B7">
              <w:rPr>
                <w:rFonts w:ascii="Verdana" w:hAnsi="Verdana"/>
                <w:sz w:val="18"/>
                <w:szCs w:val="18"/>
              </w:rPr>
              <w:t xml:space="preserve">Degradation of </w:t>
            </w:r>
            <w:r w:rsidRPr="00EC75B7">
              <w:rPr>
                <w:rFonts w:ascii="Verdana" w:hAnsi="Verdana"/>
                <w:spacing w:val="-2"/>
                <w:sz w:val="18"/>
                <w:szCs w:val="18"/>
              </w:rPr>
              <w:t xml:space="preserve">bank </w:t>
            </w:r>
            <w:r w:rsidRPr="00EC75B7">
              <w:rPr>
                <w:rFonts w:ascii="Verdana" w:hAnsi="Verdana"/>
                <w:sz w:val="18"/>
                <w:szCs w:val="18"/>
              </w:rPr>
              <w:t>stability</w:t>
            </w:r>
          </w:p>
        </w:tc>
        <w:tc>
          <w:tcPr>
            <w:tcW w:w="9357" w:type="dxa"/>
          </w:tcPr>
          <w:p w14:paraId="67A30235" w14:textId="77777777" w:rsidR="008715BE" w:rsidRPr="00EC75B7" w:rsidRDefault="00000000">
            <w:pPr>
              <w:pStyle w:val="TableParagraph"/>
              <w:spacing w:before="8"/>
              <w:ind w:left="103" w:right="101"/>
              <w:jc w:val="both"/>
              <w:rPr>
                <w:rFonts w:ascii="Verdana" w:hAnsi="Verdana"/>
                <w:sz w:val="18"/>
                <w:szCs w:val="18"/>
              </w:rPr>
            </w:pPr>
            <w:r w:rsidRPr="00EC75B7">
              <w:rPr>
                <w:rFonts w:ascii="Verdana" w:hAnsi="Verdana"/>
                <w:sz w:val="18"/>
                <w:szCs w:val="18"/>
              </w:rPr>
              <w:t>The project works require crossing the Cerchez (2) and Măgura (2) watercourses, but this will be done using horizontal drilling technology at a depth of 1 m between the upper generator of the protective pipe and the watercourse bed</w:t>
            </w:r>
          </w:p>
        </w:tc>
      </w:tr>
      <w:tr w:rsidR="008715BE" w:rsidRPr="00EC75B7" w14:paraId="39937AA8" w14:textId="77777777">
        <w:trPr>
          <w:trHeight w:val="777"/>
        </w:trPr>
        <w:tc>
          <w:tcPr>
            <w:tcW w:w="1623" w:type="dxa"/>
            <w:vMerge/>
            <w:tcBorders>
              <w:top w:val="nil"/>
            </w:tcBorders>
          </w:tcPr>
          <w:p w14:paraId="3ED4A8C5" w14:textId="77777777" w:rsidR="008715BE" w:rsidRPr="00EC75B7" w:rsidRDefault="008715BE">
            <w:pPr>
              <w:rPr>
                <w:rFonts w:ascii="Verdana" w:hAnsi="Verdana"/>
                <w:sz w:val="18"/>
                <w:szCs w:val="18"/>
              </w:rPr>
            </w:pPr>
          </w:p>
        </w:tc>
        <w:tc>
          <w:tcPr>
            <w:tcW w:w="6030" w:type="dxa"/>
          </w:tcPr>
          <w:p w14:paraId="7F5B551F"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z w:val="18"/>
                <w:szCs w:val="18"/>
              </w:rPr>
              <w:t xml:space="preserve">Failure to comply with the </w:t>
            </w:r>
            <w:r w:rsidRPr="00EC75B7">
              <w:rPr>
                <w:rFonts w:ascii="Verdana" w:hAnsi="Verdana"/>
                <w:spacing w:val="-2"/>
                <w:sz w:val="18"/>
                <w:szCs w:val="18"/>
              </w:rPr>
              <w:t xml:space="preserve">technical </w:t>
            </w:r>
            <w:r w:rsidRPr="00EC75B7">
              <w:rPr>
                <w:rFonts w:ascii="Verdana" w:hAnsi="Verdana"/>
                <w:sz w:val="18"/>
                <w:szCs w:val="18"/>
              </w:rPr>
              <w:t>design</w:t>
            </w:r>
            <w:r w:rsidRPr="00EC75B7">
              <w:rPr>
                <w:rFonts w:ascii="Verdana" w:hAnsi="Verdana"/>
                <w:spacing w:val="-2"/>
                <w:sz w:val="18"/>
                <w:szCs w:val="18"/>
              </w:rPr>
              <w:t>.</w:t>
            </w:r>
          </w:p>
          <w:p w14:paraId="6DDD7202"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Non-compliance with the method of constructing the </w:t>
            </w:r>
            <w:r w:rsidRPr="00EC75B7">
              <w:rPr>
                <w:rFonts w:ascii="Verdana" w:hAnsi="Verdana"/>
                <w:spacing w:val="-2"/>
                <w:sz w:val="18"/>
                <w:szCs w:val="18"/>
              </w:rPr>
              <w:t>crossings.</w:t>
            </w:r>
          </w:p>
          <w:p w14:paraId="636B985B"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Improper management of material resulting </w:t>
            </w:r>
            <w:r w:rsidRPr="00EC75B7">
              <w:rPr>
                <w:rFonts w:ascii="Verdana" w:hAnsi="Verdana"/>
                <w:spacing w:val="-2"/>
                <w:sz w:val="18"/>
                <w:szCs w:val="18"/>
              </w:rPr>
              <w:t>from</w:t>
            </w:r>
          </w:p>
          <w:p w14:paraId="31C0CEF9"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z w:val="18"/>
                <w:szCs w:val="18"/>
              </w:rPr>
              <w:t>underpasses (</w:t>
            </w:r>
            <w:r w:rsidRPr="00EC75B7">
              <w:rPr>
                <w:rFonts w:ascii="Verdana" w:hAnsi="Verdana"/>
                <w:spacing w:val="-2"/>
                <w:sz w:val="18"/>
                <w:szCs w:val="18"/>
              </w:rPr>
              <w:t xml:space="preserve">horizontal </w:t>
            </w:r>
            <w:r w:rsidRPr="00EC75B7">
              <w:rPr>
                <w:rFonts w:ascii="Verdana" w:hAnsi="Verdana"/>
                <w:sz w:val="18"/>
                <w:szCs w:val="18"/>
              </w:rPr>
              <w:t>drilling</w:t>
            </w:r>
            <w:r w:rsidRPr="00EC75B7">
              <w:rPr>
                <w:rFonts w:ascii="Verdana" w:hAnsi="Verdana"/>
                <w:spacing w:val="-2"/>
                <w:sz w:val="18"/>
                <w:szCs w:val="18"/>
              </w:rPr>
              <w:t>).</w:t>
            </w:r>
          </w:p>
        </w:tc>
        <w:tc>
          <w:tcPr>
            <w:tcW w:w="4962" w:type="dxa"/>
          </w:tcPr>
          <w:p w14:paraId="4CD10038" w14:textId="77777777" w:rsidR="008715BE" w:rsidRPr="00EC75B7" w:rsidRDefault="00000000">
            <w:pPr>
              <w:pStyle w:val="TableParagraph"/>
              <w:spacing w:before="8"/>
              <w:ind w:left="104" w:right="100"/>
              <w:jc w:val="both"/>
              <w:rPr>
                <w:rFonts w:ascii="Verdana" w:hAnsi="Verdana"/>
                <w:sz w:val="18"/>
                <w:szCs w:val="18"/>
              </w:rPr>
            </w:pPr>
            <w:r w:rsidRPr="00EC75B7">
              <w:rPr>
                <w:rFonts w:ascii="Verdana" w:hAnsi="Verdana"/>
                <w:sz w:val="18"/>
                <w:szCs w:val="18"/>
              </w:rPr>
              <w:t>Reduction or obstruction of the flow section of watercourses by entraining soil or dislodging rocks in the river or stream bed.</w:t>
            </w:r>
          </w:p>
        </w:tc>
        <w:tc>
          <w:tcPr>
            <w:tcW w:w="9357" w:type="dxa"/>
          </w:tcPr>
          <w:p w14:paraId="0902556A" w14:textId="77777777" w:rsidR="008715BE" w:rsidRPr="00EC75B7" w:rsidRDefault="00000000">
            <w:pPr>
              <w:pStyle w:val="TableParagraph"/>
              <w:spacing w:before="8"/>
              <w:ind w:left="103"/>
              <w:rPr>
                <w:rFonts w:ascii="Verdana" w:hAnsi="Verdana"/>
                <w:sz w:val="18"/>
                <w:szCs w:val="18"/>
              </w:rPr>
            </w:pPr>
            <w:r w:rsidRPr="00EC75B7">
              <w:rPr>
                <w:rFonts w:ascii="Verdana" w:hAnsi="Verdana"/>
                <w:sz w:val="18"/>
                <w:szCs w:val="18"/>
              </w:rPr>
              <w:t>The works for crossing the Cerchezu and Măgura watercourses will be carried out using horizontal drilling technology at a depth of 1 m between the upper generator of the protective pipe and the watercourse bed</w:t>
            </w:r>
          </w:p>
        </w:tc>
      </w:tr>
      <w:tr w:rsidR="008715BE" w:rsidRPr="00EC75B7" w14:paraId="082ABE74" w14:textId="77777777">
        <w:trPr>
          <w:trHeight w:val="1749"/>
        </w:trPr>
        <w:tc>
          <w:tcPr>
            <w:tcW w:w="1623" w:type="dxa"/>
          </w:tcPr>
          <w:p w14:paraId="69D54CE1"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Air</w:t>
            </w:r>
          </w:p>
        </w:tc>
        <w:tc>
          <w:tcPr>
            <w:tcW w:w="6030" w:type="dxa"/>
          </w:tcPr>
          <w:p w14:paraId="36F34960"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i/>
                <w:sz w:val="18"/>
                <w:szCs w:val="18"/>
              </w:rPr>
              <w:t xml:space="preserve">Execution and </w:t>
            </w:r>
            <w:r w:rsidRPr="00EC75B7">
              <w:rPr>
                <w:rFonts w:ascii="Verdana" w:hAnsi="Verdana"/>
                <w:i/>
                <w:spacing w:val="-2"/>
                <w:sz w:val="18"/>
                <w:szCs w:val="18"/>
              </w:rPr>
              <w:t>operation</w:t>
            </w:r>
            <w:r w:rsidRPr="00EC75B7">
              <w:rPr>
                <w:rFonts w:ascii="Verdana" w:hAnsi="Verdana"/>
                <w:spacing w:val="-2"/>
                <w:sz w:val="18"/>
                <w:szCs w:val="18"/>
              </w:rPr>
              <w:t>:</w:t>
            </w:r>
          </w:p>
          <w:p w14:paraId="2E52C875"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Increased traffic volume on public roads and failure to provide a traffic management plan.</w:t>
            </w:r>
          </w:p>
          <w:p w14:paraId="38E10F84"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pacing w:val="-2"/>
                <w:sz w:val="18"/>
                <w:szCs w:val="18"/>
              </w:rPr>
              <w:t>Continuous operation of machinery.</w:t>
            </w:r>
          </w:p>
          <w:p w14:paraId="2D1CFAB8"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Malfunctions of machinery and/or means of </w:t>
            </w:r>
            <w:r w:rsidRPr="00EC75B7">
              <w:rPr>
                <w:rFonts w:ascii="Verdana" w:hAnsi="Verdana"/>
                <w:spacing w:val="-2"/>
                <w:sz w:val="18"/>
                <w:szCs w:val="18"/>
              </w:rPr>
              <w:t>transport.</w:t>
            </w:r>
          </w:p>
          <w:p w14:paraId="4BCB2E6C"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Failure to ensure regular technical inspections of machinery/means of </w:t>
            </w:r>
            <w:r w:rsidRPr="00EC75B7">
              <w:rPr>
                <w:rFonts w:ascii="Verdana" w:hAnsi="Verdana"/>
                <w:spacing w:val="-2"/>
                <w:sz w:val="18"/>
                <w:szCs w:val="18"/>
              </w:rPr>
              <w:t>transport.</w:t>
            </w:r>
          </w:p>
          <w:p w14:paraId="4CC0CD4F"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z w:val="18"/>
                <w:szCs w:val="18"/>
              </w:rPr>
              <w:t xml:space="preserve">Use of </w:t>
            </w:r>
            <w:r w:rsidRPr="00EC75B7">
              <w:rPr>
                <w:rFonts w:ascii="Verdana" w:hAnsi="Verdana"/>
                <w:spacing w:val="-2"/>
                <w:sz w:val="18"/>
                <w:szCs w:val="18"/>
              </w:rPr>
              <w:t xml:space="preserve">outdated </w:t>
            </w:r>
            <w:r w:rsidRPr="00EC75B7">
              <w:rPr>
                <w:rFonts w:ascii="Verdana" w:hAnsi="Verdana"/>
                <w:sz w:val="18"/>
                <w:szCs w:val="18"/>
              </w:rPr>
              <w:t>machinery and means of transport</w:t>
            </w:r>
          </w:p>
          <w:p w14:paraId="1B913501"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z w:val="18"/>
                <w:szCs w:val="18"/>
              </w:rPr>
              <w:t xml:space="preserve">Soil stripping – storage and handling </w:t>
            </w:r>
            <w:r w:rsidRPr="00EC75B7">
              <w:rPr>
                <w:rFonts w:ascii="Verdana" w:hAnsi="Verdana"/>
                <w:spacing w:val="-2"/>
                <w:sz w:val="18"/>
                <w:szCs w:val="18"/>
              </w:rPr>
              <w:t>of soil</w:t>
            </w:r>
          </w:p>
        </w:tc>
        <w:tc>
          <w:tcPr>
            <w:tcW w:w="4962" w:type="dxa"/>
          </w:tcPr>
          <w:p w14:paraId="2CAB3105" w14:textId="77777777" w:rsidR="008715BE" w:rsidRPr="00EC75B7" w:rsidRDefault="00000000">
            <w:pPr>
              <w:pStyle w:val="TableParagraph"/>
              <w:spacing w:before="8"/>
              <w:ind w:left="104" w:right="96"/>
              <w:jc w:val="both"/>
              <w:rPr>
                <w:rFonts w:ascii="Verdana" w:hAnsi="Verdana"/>
                <w:sz w:val="18"/>
                <w:szCs w:val="18"/>
              </w:rPr>
            </w:pPr>
            <w:r w:rsidRPr="00EC75B7">
              <w:rPr>
                <w:rFonts w:ascii="Verdana" w:hAnsi="Verdana"/>
                <w:sz w:val="18"/>
                <w:szCs w:val="18"/>
              </w:rPr>
              <w:t xml:space="preserve">Exceeding, in the medium and long term, the </w:t>
            </w:r>
            <w:r w:rsidRPr="00EC75B7">
              <w:rPr>
                <w:rFonts w:ascii="Verdana" w:hAnsi="Verdana"/>
                <w:position w:val="1"/>
                <w:sz w:val="18"/>
                <w:szCs w:val="18"/>
              </w:rPr>
              <w:t>maximum</w:t>
            </w:r>
            <w:r w:rsidRPr="00EC75B7">
              <w:rPr>
                <w:rFonts w:ascii="Verdana" w:hAnsi="Verdana"/>
                <w:sz w:val="18"/>
                <w:szCs w:val="18"/>
              </w:rPr>
              <w:t xml:space="preserve"> concentrations </w:t>
            </w:r>
            <w:r w:rsidRPr="00EC75B7">
              <w:rPr>
                <w:rFonts w:ascii="Verdana" w:hAnsi="Verdana"/>
                <w:position w:val="1"/>
                <w:sz w:val="18"/>
                <w:szCs w:val="18"/>
              </w:rPr>
              <w:t xml:space="preserve">established for the quality indicators </w:t>
            </w:r>
            <w:r w:rsidRPr="00EC75B7">
              <w:rPr>
                <w:rFonts w:ascii="Verdana" w:hAnsi="Verdana"/>
                <w:sz w:val="18"/>
                <w:szCs w:val="18"/>
              </w:rPr>
              <w:t>NO2</w:t>
            </w:r>
            <w:r w:rsidRPr="00EC75B7">
              <w:rPr>
                <w:rFonts w:ascii="Verdana" w:hAnsi="Verdana"/>
                <w:position w:val="1"/>
                <w:sz w:val="18"/>
                <w:szCs w:val="18"/>
              </w:rPr>
              <w:t xml:space="preserve">, </w:t>
            </w:r>
            <w:r w:rsidRPr="00EC75B7">
              <w:rPr>
                <w:rFonts w:ascii="Verdana" w:hAnsi="Verdana"/>
                <w:sz w:val="18"/>
                <w:szCs w:val="18"/>
              </w:rPr>
              <w:t>SO2</w:t>
            </w:r>
            <w:r w:rsidRPr="00EC75B7">
              <w:rPr>
                <w:rFonts w:ascii="Verdana" w:hAnsi="Verdana"/>
                <w:position w:val="1"/>
                <w:sz w:val="18"/>
                <w:szCs w:val="18"/>
              </w:rPr>
              <w:t xml:space="preserve">, CO, </w:t>
            </w:r>
            <w:r w:rsidRPr="00EC75B7">
              <w:rPr>
                <w:rFonts w:ascii="Verdana" w:hAnsi="Verdana"/>
                <w:sz w:val="18"/>
                <w:szCs w:val="18"/>
              </w:rPr>
              <w:t>PM10</w:t>
            </w:r>
            <w:r w:rsidRPr="00EC75B7">
              <w:rPr>
                <w:rFonts w:ascii="Verdana" w:hAnsi="Verdana"/>
                <w:position w:val="1"/>
                <w:sz w:val="18"/>
                <w:szCs w:val="18"/>
              </w:rPr>
              <w:t xml:space="preserve">, </w:t>
            </w:r>
            <w:r w:rsidRPr="00EC75B7">
              <w:rPr>
                <w:rFonts w:ascii="Verdana" w:hAnsi="Verdana"/>
                <w:sz w:val="18"/>
                <w:szCs w:val="18"/>
              </w:rPr>
              <w:t xml:space="preserve">PM2.5 </w:t>
            </w:r>
            <w:r w:rsidRPr="00EC75B7">
              <w:rPr>
                <w:rFonts w:ascii="Verdana" w:hAnsi="Verdana"/>
                <w:position w:val="1"/>
                <w:sz w:val="18"/>
                <w:szCs w:val="18"/>
              </w:rPr>
              <w:t xml:space="preserve">and the assessment thresholds for the health </w:t>
            </w:r>
            <w:r w:rsidRPr="00EC75B7">
              <w:rPr>
                <w:rFonts w:ascii="Verdana" w:hAnsi="Verdana"/>
                <w:sz w:val="18"/>
                <w:szCs w:val="18"/>
              </w:rPr>
              <w:t>of the population and vegetation (cf. Law No. 104/2010 on air quality) and creation of impediments to the implementation of the measures provided for in the Air Quality Maintenance Plans in Constanța County</w:t>
            </w:r>
          </w:p>
        </w:tc>
        <w:tc>
          <w:tcPr>
            <w:tcW w:w="9357" w:type="dxa"/>
          </w:tcPr>
          <w:p w14:paraId="3E84557F" w14:textId="77777777" w:rsidR="008715BE" w:rsidRPr="00EC75B7" w:rsidRDefault="00000000">
            <w:pPr>
              <w:pStyle w:val="TableParagraph"/>
              <w:spacing w:before="8"/>
              <w:ind w:left="103"/>
              <w:rPr>
                <w:rFonts w:ascii="Verdana" w:hAnsi="Verdana"/>
                <w:sz w:val="18"/>
                <w:szCs w:val="18"/>
              </w:rPr>
            </w:pPr>
            <w:r w:rsidRPr="00EC75B7">
              <w:rPr>
                <w:rFonts w:ascii="Verdana" w:hAnsi="Verdana"/>
                <w:sz w:val="18"/>
                <w:szCs w:val="18"/>
              </w:rPr>
              <w:t>The most sensitive areas would be those where the maximum permissible concentrations for several atmospheric pollutants relevant to the proposed project are already periodically exceeded.</w:t>
            </w:r>
          </w:p>
          <w:p w14:paraId="75D0CA51" w14:textId="77777777" w:rsidR="008715BE" w:rsidRPr="00EC75B7" w:rsidRDefault="008715BE">
            <w:pPr>
              <w:pStyle w:val="TableParagraph"/>
              <w:spacing w:before="191"/>
              <w:rPr>
                <w:rFonts w:ascii="Verdana" w:hAnsi="Verdana"/>
                <w:b/>
                <w:sz w:val="18"/>
                <w:szCs w:val="18"/>
              </w:rPr>
            </w:pPr>
          </w:p>
          <w:p w14:paraId="65EE75D1" w14:textId="77777777" w:rsidR="008715BE" w:rsidRPr="00EC75B7" w:rsidRDefault="00000000">
            <w:pPr>
              <w:pStyle w:val="TableParagraph"/>
              <w:spacing w:before="1"/>
              <w:ind w:left="103" w:right="12"/>
              <w:rPr>
                <w:rFonts w:ascii="Verdana" w:hAnsi="Verdana"/>
                <w:sz w:val="18"/>
                <w:szCs w:val="18"/>
              </w:rPr>
            </w:pPr>
            <w:r w:rsidRPr="00EC75B7">
              <w:rPr>
                <w:rFonts w:ascii="Verdana" w:hAnsi="Verdana"/>
                <w:sz w:val="18"/>
                <w:szCs w:val="18"/>
              </w:rPr>
              <w:t xml:space="preserve">During the execution period, </w:t>
            </w:r>
            <w:r w:rsidRPr="00EC75B7">
              <w:rPr>
                <w:rFonts w:ascii="Verdana" w:hAnsi="Verdana"/>
                <w:spacing w:val="-2"/>
                <w:sz w:val="18"/>
                <w:szCs w:val="18"/>
              </w:rPr>
              <w:t>air</w:t>
            </w:r>
            <w:r w:rsidRPr="00EC75B7">
              <w:rPr>
                <w:rFonts w:ascii="Verdana" w:hAnsi="Verdana"/>
                <w:sz w:val="18"/>
                <w:szCs w:val="18"/>
              </w:rPr>
              <w:t xml:space="preserve"> pollutant emissions resulted </w:t>
            </w:r>
            <w:r w:rsidRPr="00EC75B7">
              <w:rPr>
                <w:rFonts w:ascii="Verdana" w:hAnsi="Verdana"/>
                <w:spacing w:val="-2"/>
                <w:sz w:val="18"/>
                <w:szCs w:val="18"/>
              </w:rPr>
              <w:t xml:space="preserve">from the machinery used to carry out the works and the vehicles that transported the raw materials </w:t>
            </w:r>
            <w:r w:rsidRPr="00EC75B7">
              <w:rPr>
                <w:rFonts w:ascii="Verdana" w:hAnsi="Verdana"/>
                <w:sz w:val="18"/>
                <w:szCs w:val="18"/>
              </w:rPr>
              <w:t>in the work front areas and the site organization areas</w:t>
            </w:r>
            <w:r w:rsidRPr="00EC75B7">
              <w:rPr>
                <w:rFonts w:ascii="Verdana" w:hAnsi="Verdana"/>
                <w:spacing w:val="-2"/>
                <w:sz w:val="18"/>
                <w:szCs w:val="18"/>
              </w:rPr>
              <w:t>.</w:t>
            </w:r>
          </w:p>
        </w:tc>
      </w:tr>
      <w:tr w:rsidR="008715BE" w:rsidRPr="00EC75B7" w14:paraId="0FA43183" w14:textId="77777777">
        <w:trPr>
          <w:trHeight w:val="2140"/>
        </w:trPr>
        <w:tc>
          <w:tcPr>
            <w:tcW w:w="1623" w:type="dxa"/>
          </w:tcPr>
          <w:p w14:paraId="6AD90E5A" w14:textId="77777777" w:rsidR="008715BE" w:rsidRPr="00EC75B7" w:rsidRDefault="00000000">
            <w:pPr>
              <w:pStyle w:val="TableParagraph"/>
              <w:spacing w:before="8"/>
              <w:ind w:left="107" w:right="380"/>
              <w:rPr>
                <w:rFonts w:ascii="Verdana" w:hAnsi="Verdana"/>
                <w:sz w:val="18"/>
                <w:szCs w:val="18"/>
              </w:rPr>
            </w:pPr>
            <w:r w:rsidRPr="00EC75B7">
              <w:rPr>
                <w:rFonts w:ascii="Verdana" w:hAnsi="Verdana"/>
                <w:sz w:val="18"/>
                <w:szCs w:val="18"/>
              </w:rPr>
              <w:t xml:space="preserve">Noise and </w:t>
            </w:r>
            <w:r w:rsidRPr="00EC75B7">
              <w:rPr>
                <w:rFonts w:ascii="Verdana" w:hAnsi="Verdana"/>
                <w:spacing w:val="-2"/>
                <w:sz w:val="18"/>
                <w:szCs w:val="18"/>
              </w:rPr>
              <w:t>vibrations</w:t>
            </w:r>
          </w:p>
        </w:tc>
        <w:tc>
          <w:tcPr>
            <w:tcW w:w="6030" w:type="dxa"/>
          </w:tcPr>
          <w:p w14:paraId="240884F7" w14:textId="77777777" w:rsidR="008715BE" w:rsidRPr="00EC75B7" w:rsidRDefault="00000000">
            <w:pPr>
              <w:pStyle w:val="TableParagraph"/>
              <w:spacing w:before="8" w:line="195" w:lineRule="exact"/>
              <w:ind w:left="107"/>
              <w:rPr>
                <w:rFonts w:ascii="Verdana" w:hAnsi="Verdana"/>
                <w:i/>
                <w:sz w:val="18"/>
                <w:szCs w:val="18"/>
              </w:rPr>
            </w:pPr>
            <w:r w:rsidRPr="00EC75B7">
              <w:rPr>
                <w:rFonts w:ascii="Verdana" w:hAnsi="Verdana"/>
                <w:i/>
                <w:sz w:val="18"/>
                <w:szCs w:val="18"/>
              </w:rPr>
              <w:t xml:space="preserve">During the </w:t>
            </w:r>
            <w:r w:rsidRPr="00EC75B7">
              <w:rPr>
                <w:rFonts w:ascii="Verdana" w:hAnsi="Verdana"/>
                <w:i/>
                <w:spacing w:val="-2"/>
                <w:sz w:val="18"/>
                <w:szCs w:val="18"/>
              </w:rPr>
              <w:t xml:space="preserve">execution/decommissioning </w:t>
            </w:r>
            <w:r w:rsidRPr="00EC75B7">
              <w:rPr>
                <w:rFonts w:ascii="Verdana" w:hAnsi="Verdana"/>
                <w:i/>
                <w:sz w:val="18"/>
                <w:szCs w:val="18"/>
              </w:rPr>
              <w:t>period</w:t>
            </w:r>
            <w:r w:rsidRPr="00EC75B7">
              <w:rPr>
                <w:rFonts w:ascii="Verdana" w:hAnsi="Verdana"/>
                <w:i/>
                <w:spacing w:val="-2"/>
                <w:sz w:val="18"/>
                <w:szCs w:val="18"/>
              </w:rPr>
              <w:t>:</w:t>
            </w:r>
          </w:p>
          <w:p w14:paraId="75E1AB5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Site traffic and operation </w:t>
            </w:r>
            <w:r w:rsidRPr="00EC75B7">
              <w:rPr>
                <w:rFonts w:ascii="Verdana" w:hAnsi="Verdana"/>
                <w:spacing w:val="-2"/>
                <w:sz w:val="18"/>
                <w:szCs w:val="18"/>
              </w:rPr>
              <w:t>of machinery.</w:t>
            </w:r>
          </w:p>
          <w:p w14:paraId="6D77A1A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Malfunctions of machinery and/or means of </w:t>
            </w:r>
            <w:r w:rsidRPr="00EC75B7">
              <w:rPr>
                <w:rFonts w:ascii="Verdana" w:hAnsi="Verdana"/>
                <w:spacing w:val="-2"/>
                <w:sz w:val="18"/>
                <w:szCs w:val="18"/>
              </w:rPr>
              <w:t>transport.</w:t>
            </w:r>
          </w:p>
          <w:p w14:paraId="2181EE45"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Failure to ensure regular technical inspections of machinery/means of </w:t>
            </w:r>
            <w:r w:rsidRPr="00EC75B7">
              <w:rPr>
                <w:rFonts w:ascii="Verdana" w:hAnsi="Verdana"/>
                <w:spacing w:val="-2"/>
                <w:sz w:val="18"/>
                <w:szCs w:val="18"/>
              </w:rPr>
              <w:t>transport.</w:t>
            </w:r>
          </w:p>
          <w:p w14:paraId="109E9C1E" w14:textId="77777777" w:rsidR="008715BE" w:rsidRPr="00EC75B7" w:rsidRDefault="00000000">
            <w:pPr>
              <w:pStyle w:val="TableParagraph"/>
              <w:ind w:left="107" w:right="771"/>
              <w:rPr>
                <w:rFonts w:ascii="Verdana" w:hAnsi="Verdana"/>
                <w:sz w:val="18"/>
                <w:szCs w:val="18"/>
              </w:rPr>
            </w:pPr>
            <w:r w:rsidRPr="00EC75B7">
              <w:rPr>
                <w:rFonts w:ascii="Verdana" w:hAnsi="Verdana"/>
                <w:sz w:val="18"/>
                <w:szCs w:val="18"/>
              </w:rPr>
              <w:t xml:space="preserve">Use of outdated machinery/means of transport Failure to comply with </w:t>
            </w:r>
            <w:r w:rsidRPr="00EC75B7">
              <w:rPr>
                <w:rFonts w:ascii="Verdana" w:hAnsi="Verdana"/>
                <w:spacing w:val="-2"/>
                <w:sz w:val="18"/>
                <w:szCs w:val="18"/>
              </w:rPr>
              <w:t xml:space="preserve">the population's </w:t>
            </w:r>
            <w:r w:rsidRPr="00EC75B7">
              <w:rPr>
                <w:rFonts w:ascii="Verdana" w:hAnsi="Verdana"/>
                <w:sz w:val="18"/>
                <w:szCs w:val="18"/>
              </w:rPr>
              <w:t>rest schedule</w:t>
            </w:r>
            <w:r w:rsidRPr="00EC75B7">
              <w:rPr>
                <w:rFonts w:ascii="Verdana" w:hAnsi="Verdana"/>
                <w:spacing w:val="-2"/>
                <w:sz w:val="18"/>
                <w:szCs w:val="18"/>
              </w:rPr>
              <w:t>.</w:t>
            </w:r>
          </w:p>
          <w:p w14:paraId="2FD7F694" w14:textId="77777777" w:rsidR="008715BE" w:rsidRPr="00EC75B7" w:rsidRDefault="00000000">
            <w:pPr>
              <w:pStyle w:val="TableParagraph"/>
              <w:spacing w:before="191" w:line="195" w:lineRule="exact"/>
              <w:ind w:left="107"/>
              <w:rPr>
                <w:rFonts w:ascii="Verdana" w:hAnsi="Verdana"/>
                <w:i/>
                <w:sz w:val="18"/>
                <w:szCs w:val="18"/>
              </w:rPr>
            </w:pPr>
            <w:r w:rsidRPr="00EC75B7">
              <w:rPr>
                <w:rFonts w:ascii="Verdana" w:hAnsi="Verdana"/>
                <w:i/>
                <w:sz w:val="18"/>
                <w:szCs w:val="18"/>
              </w:rPr>
              <w:t xml:space="preserve">During the </w:t>
            </w:r>
            <w:r w:rsidRPr="00EC75B7">
              <w:rPr>
                <w:rFonts w:ascii="Verdana" w:hAnsi="Verdana"/>
                <w:i/>
                <w:spacing w:val="-2"/>
                <w:sz w:val="18"/>
                <w:szCs w:val="18"/>
              </w:rPr>
              <w:t xml:space="preserve">operating </w:t>
            </w:r>
            <w:r w:rsidRPr="00EC75B7">
              <w:rPr>
                <w:rFonts w:ascii="Verdana" w:hAnsi="Verdana"/>
                <w:i/>
                <w:sz w:val="18"/>
                <w:szCs w:val="18"/>
              </w:rPr>
              <w:t>period</w:t>
            </w:r>
            <w:r w:rsidRPr="00EC75B7">
              <w:rPr>
                <w:rFonts w:ascii="Verdana" w:hAnsi="Verdana"/>
                <w:i/>
                <w:spacing w:val="-2"/>
                <w:sz w:val="18"/>
                <w:szCs w:val="18"/>
              </w:rPr>
              <w:t>:</w:t>
            </w:r>
          </w:p>
          <w:p w14:paraId="0B1B50C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Traffic</w:t>
            </w:r>
            <w:r w:rsidRPr="00EC75B7">
              <w:rPr>
                <w:rFonts w:ascii="Verdana" w:hAnsi="Verdana"/>
                <w:spacing w:val="36"/>
                <w:sz w:val="18"/>
                <w:szCs w:val="18"/>
              </w:rPr>
              <w:t xml:space="preserve">  </w:t>
            </w:r>
            <w:r w:rsidRPr="00EC75B7">
              <w:rPr>
                <w:rFonts w:ascii="Verdana" w:hAnsi="Verdana"/>
                <w:sz w:val="18"/>
                <w:szCs w:val="18"/>
              </w:rPr>
              <w:t xml:space="preserve"> and</w:t>
            </w:r>
            <w:r w:rsidRPr="00EC75B7">
              <w:rPr>
                <w:rFonts w:ascii="Verdana" w:hAnsi="Verdana"/>
                <w:spacing w:val="35"/>
                <w:sz w:val="18"/>
                <w:szCs w:val="18"/>
              </w:rPr>
              <w:t xml:space="preserve">  </w:t>
            </w:r>
            <w:r w:rsidRPr="00EC75B7">
              <w:rPr>
                <w:rFonts w:ascii="Verdana" w:hAnsi="Verdana"/>
                <w:sz w:val="18"/>
                <w:szCs w:val="18"/>
              </w:rPr>
              <w:t xml:space="preserve"> operation</w:t>
            </w:r>
            <w:r w:rsidRPr="00EC75B7">
              <w:rPr>
                <w:rFonts w:ascii="Verdana" w:hAnsi="Verdana"/>
                <w:spacing w:val="36"/>
                <w:sz w:val="18"/>
                <w:szCs w:val="18"/>
              </w:rPr>
              <w:t xml:space="preserve">  </w:t>
            </w:r>
            <w:r w:rsidRPr="00EC75B7">
              <w:rPr>
                <w:rFonts w:ascii="Verdana" w:hAnsi="Verdana"/>
                <w:sz w:val="18"/>
                <w:szCs w:val="18"/>
              </w:rPr>
              <w:t xml:space="preserve"> of machinery</w:t>
            </w:r>
            <w:r w:rsidRPr="00EC75B7">
              <w:rPr>
                <w:rFonts w:ascii="Verdana" w:hAnsi="Verdana"/>
                <w:spacing w:val="36"/>
                <w:sz w:val="18"/>
                <w:szCs w:val="18"/>
              </w:rPr>
              <w:t xml:space="preserve">  </w:t>
            </w:r>
            <w:r w:rsidRPr="00EC75B7">
              <w:rPr>
                <w:rFonts w:ascii="Verdana" w:hAnsi="Verdana"/>
                <w:sz w:val="18"/>
                <w:szCs w:val="18"/>
              </w:rPr>
              <w:t xml:space="preserve"> for</w:t>
            </w:r>
            <w:r w:rsidRPr="00EC75B7">
              <w:rPr>
                <w:rFonts w:ascii="Verdana" w:hAnsi="Verdana"/>
                <w:spacing w:val="35"/>
                <w:sz w:val="18"/>
                <w:szCs w:val="18"/>
              </w:rPr>
              <w:t xml:space="preserve">  </w:t>
            </w:r>
            <w:r w:rsidRPr="00EC75B7">
              <w:rPr>
                <w:rFonts w:ascii="Verdana" w:hAnsi="Verdana"/>
                <w:sz w:val="18"/>
                <w:szCs w:val="18"/>
              </w:rPr>
              <w:t xml:space="preserve"> repair</w:t>
            </w:r>
            <w:r w:rsidRPr="00EC75B7">
              <w:rPr>
                <w:rFonts w:ascii="Verdana" w:hAnsi="Verdana"/>
                <w:spacing w:val="34"/>
                <w:sz w:val="18"/>
                <w:szCs w:val="18"/>
              </w:rPr>
              <w:t xml:space="preserve">  </w:t>
            </w:r>
            <w:r w:rsidRPr="00EC75B7">
              <w:rPr>
                <w:rFonts w:ascii="Verdana" w:hAnsi="Verdana"/>
                <w:sz w:val="18"/>
                <w:szCs w:val="18"/>
              </w:rPr>
              <w:t xml:space="preserve"> of breakdowns</w:t>
            </w:r>
            <w:r w:rsidRPr="00EC75B7">
              <w:rPr>
                <w:rFonts w:ascii="Verdana" w:hAnsi="Verdana"/>
                <w:spacing w:val="35"/>
                <w:sz w:val="18"/>
                <w:szCs w:val="18"/>
              </w:rPr>
              <w:t xml:space="preserve">  </w:t>
            </w:r>
            <w:r w:rsidRPr="00EC75B7">
              <w:rPr>
                <w:rFonts w:ascii="Verdana" w:hAnsi="Verdana"/>
                <w:spacing w:val="-5"/>
                <w:sz w:val="18"/>
                <w:szCs w:val="18"/>
              </w:rPr>
              <w:t xml:space="preserve"> and</w:t>
            </w:r>
          </w:p>
          <w:p w14:paraId="31F6A0EF" w14:textId="77777777" w:rsidR="008715BE" w:rsidRPr="00EC75B7" w:rsidRDefault="00000000">
            <w:pPr>
              <w:pStyle w:val="TableParagraph"/>
              <w:spacing w:before="1" w:line="166" w:lineRule="exact"/>
              <w:ind w:left="107"/>
              <w:rPr>
                <w:rFonts w:ascii="Verdana" w:hAnsi="Verdana"/>
                <w:sz w:val="18"/>
                <w:szCs w:val="18"/>
              </w:rPr>
            </w:pPr>
            <w:r w:rsidRPr="00EC75B7">
              <w:rPr>
                <w:rFonts w:ascii="Verdana" w:hAnsi="Verdana"/>
                <w:spacing w:val="-2"/>
                <w:sz w:val="18"/>
                <w:szCs w:val="18"/>
              </w:rPr>
              <w:t>maintenance.</w:t>
            </w:r>
          </w:p>
        </w:tc>
        <w:tc>
          <w:tcPr>
            <w:tcW w:w="4962" w:type="dxa"/>
          </w:tcPr>
          <w:p w14:paraId="5D88C4F8" w14:textId="77777777" w:rsidR="008715BE" w:rsidRPr="00EC75B7" w:rsidRDefault="00000000">
            <w:pPr>
              <w:pStyle w:val="TableParagraph"/>
              <w:spacing w:before="8"/>
              <w:ind w:left="104"/>
              <w:rPr>
                <w:rFonts w:ascii="Verdana" w:hAnsi="Verdana"/>
                <w:sz w:val="18"/>
                <w:szCs w:val="18"/>
              </w:rPr>
            </w:pPr>
            <w:r w:rsidRPr="00EC75B7">
              <w:rPr>
                <w:rFonts w:ascii="Verdana" w:hAnsi="Verdana"/>
                <w:sz w:val="18"/>
                <w:szCs w:val="18"/>
              </w:rPr>
              <w:t>Increase in the equivalent noise level during the day above the permissible limits for residential areas.</w:t>
            </w:r>
          </w:p>
        </w:tc>
        <w:tc>
          <w:tcPr>
            <w:tcW w:w="9357" w:type="dxa"/>
          </w:tcPr>
          <w:p w14:paraId="62F93742" w14:textId="77777777" w:rsidR="008715BE" w:rsidRPr="00EC75B7" w:rsidRDefault="00000000">
            <w:pPr>
              <w:pStyle w:val="TableParagraph"/>
              <w:spacing w:before="8" w:line="195" w:lineRule="exact"/>
              <w:ind w:left="103"/>
              <w:rPr>
                <w:rFonts w:ascii="Verdana" w:hAnsi="Verdana"/>
                <w:sz w:val="18"/>
                <w:szCs w:val="18"/>
              </w:rPr>
            </w:pPr>
            <w:r w:rsidRPr="00EC75B7">
              <w:rPr>
                <w:rFonts w:ascii="Verdana" w:hAnsi="Verdana"/>
                <w:sz w:val="18"/>
                <w:szCs w:val="18"/>
              </w:rPr>
              <w:t xml:space="preserve">In the vicinity of the work front and </w:t>
            </w:r>
            <w:r w:rsidRPr="00EC75B7">
              <w:rPr>
                <w:rFonts w:ascii="Verdana" w:hAnsi="Verdana"/>
                <w:spacing w:val="-2"/>
                <w:sz w:val="18"/>
                <w:szCs w:val="18"/>
              </w:rPr>
              <w:t xml:space="preserve">site </w:t>
            </w:r>
            <w:r w:rsidRPr="00EC75B7">
              <w:rPr>
                <w:rFonts w:ascii="Verdana" w:hAnsi="Verdana"/>
                <w:sz w:val="18"/>
                <w:szCs w:val="18"/>
              </w:rPr>
              <w:t>organization</w:t>
            </w:r>
            <w:r w:rsidRPr="00EC75B7">
              <w:rPr>
                <w:rFonts w:ascii="Verdana" w:hAnsi="Verdana"/>
                <w:spacing w:val="-2"/>
                <w:sz w:val="18"/>
                <w:szCs w:val="18"/>
              </w:rPr>
              <w:t>.</w:t>
            </w:r>
          </w:p>
          <w:p w14:paraId="0DC9BEAA"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z w:val="18"/>
                <w:szCs w:val="18"/>
              </w:rPr>
              <w:t xml:space="preserve">In the vicinity of the objectives that will generate noise during </w:t>
            </w:r>
            <w:r w:rsidRPr="00EC75B7">
              <w:rPr>
                <w:rFonts w:ascii="Verdana" w:hAnsi="Verdana"/>
                <w:spacing w:val="-2"/>
                <w:sz w:val="18"/>
                <w:szCs w:val="18"/>
              </w:rPr>
              <w:t>operation.</w:t>
            </w:r>
          </w:p>
        </w:tc>
      </w:tr>
      <w:tr w:rsidR="008715BE" w:rsidRPr="00EC75B7" w14:paraId="49CF732D" w14:textId="77777777">
        <w:trPr>
          <w:trHeight w:val="582"/>
        </w:trPr>
        <w:tc>
          <w:tcPr>
            <w:tcW w:w="1623" w:type="dxa"/>
          </w:tcPr>
          <w:p w14:paraId="290C3972"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Landscape</w:t>
            </w:r>
          </w:p>
        </w:tc>
        <w:tc>
          <w:tcPr>
            <w:tcW w:w="6030" w:type="dxa"/>
          </w:tcPr>
          <w:p w14:paraId="55048F7F"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pacing w:val="-2"/>
                <w:sz w:val="18"/>
                <w:szCs w:val="18"/>
              </w:rPr>
              <w:t xml:space="preserve">Site </w:t>
            </w:r>
            <w:r w:rsidRPr="00EC75B7">
              <w:rPr>
                <w:rFonts w:ascii="Verdana" w:hAnsi="Verdana"/>
                <w:sz w:val="18"/>
                <w:szCs w:val="18"/>
              </w:rPr>
              <w:t>traffic</w:t>
            </w:r>
          </w:p>
          <w:p w14:paraId="2B01E71C"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The presence of trenches and materials used for construction. </w:t>
            </w:r>
            <w:r w:rsidRPr="00EC75B7">
              <w:rPr>
                <w:rFonts w:ascii="Verdana" w:hAnsi="Verdana"/>
                <w:spacing w:val="-2"/>
                <w:sz w:val="18"/>
                <w:szCs w:val="18"/>
              </w:rPr>
              <w:t>Permanent occupation</w:t>
            </w:r>
          </w:p>
          <w:p w14:paraId="030BED33"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z w:val="18"/>
                <w:szCs w:val="18"/>
              </w:rPr>
              <w:t xml:space="preserve">of certain areas of </w:t>
            </w:r>
            <w:r w:rsidRPr="00EC75B7">
              <w:rPr>
                <w:rFonts w:ascii="Verdana" w:hAnsi="Verdana"/>
                <w:spacing w:val="-2"/>
                <w:sz w:val="18"/>
                <w:szCs w:val="18"/>
              </w:rPr>
              <w:t>land.</w:t>
            </w:r>
          </w:p>
        </w:tc>
        <w:tc>
          <w:tcPr>
            <w:tcW w:w="4962" w:type="dxa"/>
          </w:tcPr>
          <w:p w14:paraId="7B9770B3" w14:textId="77777777" w:rsidR="008715BE" w:rsidRPr="00EC75B7" w:rsidRDefault="00000000">
            <w:pPr>
              <w:pStyle w:val="TableParagraph"/>
              <w:spacing w:before="8"/>
              <w:ind w:left="104"/>
              <w:rPr>
                <w:rFonts w:ascii="Verdana" w:hAnsi="Verdana"/>
                <w:sz w:val="18"/>
                <w:szCs w:val="18"/>
              </w:rPr>
            </w:pPr>
            <w:r w:rsidRPr="00EC75B7">
              <w:rPr>
                <w:rFonts w:ascii="Verdana" w:hAnsi="Verdana"/>
                <w:sz w:val="18"/>
                <w:szCs w:val="18"/>
              </w:rPr>
              <w:t>Alteration of the natural and built landscape with high aesthetic and conservation value.</w:t>
            </w:r>
          </w:p>
        </w:tc>
        <w:tc>
          <w:tcPr>
            <w:tcW w:w="9357" w:type="dxa"/>
          </w:tcPr>
          <w:p w14:paraId="7BCB858D" w14:textId="77777777" w:rsidR="008715BE" w:rsidRPr="00EC75B7" w:rsidRDefault="00000000">
            <w:pPr>
              <w:pStyle w:val="TableParagraph"/>
              <w:spacing w:before="8"/>
              <w:ind w:left="103"/>
              <w:rPr>
                <w:rFonts w:ascii="Verdana" w:hAnsi="Verdana"/>
                <w:sz w:val="18"/>
                <w:szCs w:val="18"/>
              </w:rPr>
            </w:pPr>
            <w:r w:rsidRPr="00EC75B7">
              <w:rPr>
                <w:rFonts w:ascii="Verdana" w:hAnsi="Verdana"/>
                <w:sz w:val="18"/>
                <w:szCs w:val="18"/>
              </w:rPr>
              <w:t>No areas of high landscape value or forest areas that could be affected were identified in the vicinity of the worksites.</w:t>
            </w:r>
          </w:p>
        </w:tc>
      </w:tr>
      <w:tr w:rsidR="008715BE" w:rsidRPr="00EC75B7" w14:paraId="0175B4BD" w14:textId="77777777">
        <w:trPr>
          <w:trHeight w:val="777"/>
        </w:trPr>
        <w:tc>
          <w:tcPr>
            <w:tcW w:w="1623" w:type="dxa"/>
          </w:tcPr>
          <w:p w14:paraId="3682500D" w14:textId="77777777" w:rsidR="008715BE" w:rsidRPr="00EC75B7" w:rsidRDefault="00000000">
            <w:pPr>
              <w:pStyle w:val="TableParagraph"/>
              <w:spacing w:before="8"/>
              <w:ind w:left="107" w:right="380"/>
              <w:rPr>
                <w:rFonts w:ascii="Verdana" w:hAnsi="Verdana"/>
                <w:sz w:val="18"/>
                <w:szCs w:val="18"/>
              </w:rPr>
            </w:pPr>
            <w:r w:rsidRPr="00EC75B7">
              <w:rPr>
                <w:rFonts w:ascii="Verdana" w:hAnsi="Verdana"/>
                <w:spacing w:val="-2"/>
                <w:sz w:val="18"/>
                <w:szCs w:val="18"/>
              </w:rPr>
              <w:t>Cultural heritage</w:t>
            </w:r>
          </w:p>
        </w:tc>
        <w:tc>
          <w:tcPr>
            <w:tcW w:w="6030" w:type="dxa"/>
          </w:tcPr>
          <w:p w14:paraId="4045E03C"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Failure to comply with the technical design and the location established for the works</w:t>
            </w:r>
          </w:p>
          <w:p w14:paraId="53B82BA6" w14:textId="77777777" w:rsidR="008715BE" w:rsidRPr="00EC75B7" w:rsidRDefault="00000000">
            <w:pPr>
              <w:pStyle w:val="TableParagraph"/>
              <w:spacing w:line="193" w:lineRule="exact"/>
              <w:ind w:left="107"/>
              <w:rPr>
                <w:rFonts w:ascii="Verdana" w:hAnsi="Verdana"/>
                <w:sz w:val="18"/>
                <w:szCs w:val="18"/>
              </w:rPr>
            </w:pPr>
            <w:r w:rsidRPr="00EC75B7">
              <w:rPr>
                <w:rFonts w:ascii="Verdana" w:hAnsi="Verdana"/>
                <w:sz w:val="18"/>
                <w:szCs w:val="18"/>
              </w:rPr>
              <w:t xml:space="preserve">Road traffic and the operation of </w:t>
            </w:r>
            <w:r w:rsidRPr="00EC75B7">
              <w:rPr>
                <w:rFonts w:ascii="Verdana" w:hAnsi="Verdana"/>
                <w:spacing w:val="-2"/>
                <w:sz w:val="18"/>
                <w:szCs w:val="18"/>
              </w:rPr>
              <w:t>machinery.</w:t>
            </w:r>
          </w:p>
          <w:p w14:paraId="5B6F4E94"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z w:val="18"/>
                <w:szCs w:val="18"/>
              </w:rPr>
              <w:t xml:space="preserve">Excavations in </w:t>
            </w:r>
            <w:r w:rsidRPr="00EC75B7">
              <w:rPr>
                <w:rFonts w:ascii="Verdana" w:hAnsi="Verdana"/>
                <w:spacing w:val="-2"/>
                <w:sz w:val="18"/>
                <w:szCs w:val="18"/>
              </w:rPr>
              <w:t xml:space="preserve">archaeological </w:t>
            </w:r>
            <w:r w:rsidRPr="00EC75B7">
              <w:rPr>
                <w:rFonts w:ascii="Verdana" w:hAnsi="Verdana"/>
                <w:sz w:val="18"/>
                <w:szCs w:val="18"/>
              </w:rPr>
              <w:t>site protection areas</w:t>
            </w:r>
            <w:r w:rsidRPr="00EC75B7">
              <w:rPr>
                <w:rFonts w:ascii="Verdana" w:hAnsi="Verdana"/>
                <w:spacing w:val="-2"/>
                <w:sz w:val="18"/>
                <w:szCs w:val="18"/>
              </w:rPr>
              <w:t>.</w:t>
            </w:r>
          </w:p>
        </w:tc>
        <w:tc>
          <w:tcPr>
            <w:tcW w:w="4962" w:type="dxa"/>
          </w:tcPr>
          <w:p w14:paraId="58266459" w14:textId="77777777" w:rsidR="008715BE" w:rsidRPr="00EC75B7" w:rsidRDefault="00000000">
            <w:pPr>
              <w:pStyle w:val="TableParagraph"/>
              <w:spacing w:before="8"/>
              <w:ind w:left="104"/>
              <w:rPr>
                <w:rFonts w:ascii="Verdana" w:hAnsi="Verdana"/>
                <w:sz w:val="18"/>
                <w:szCs w:val="18"/>
              </w:rPr>
            </w:pPr>
            <w:r w:rsidRPr="00EC75B7">
              <w:rPr>
                <w:rFonts w:ascii="Verdana" w:hAnsi="Verdana"/>
                <w:sz w:val="18"/>
                <w:szCs w:val="18"/>
              </w:rPr>
              <w:t>Partial or total alteration of historical monuments, places of worship, or archaeological sites</w:t>
            </w:r>
          </w:p>
        </w:tc>
        <w:tc>
          <w:tcPr>
            <w:tcW w:w="9357" w:type="dxa"/>
          </w:tcPr>
          <w:p w14:paraId="53E48957" w14:textId="77777777" w:rsidR="008715BE" w:rsidRPr="00EC75B7" w:rsidRDefault="00000000">
            <w:pPr>
              <w:pStyle w:val="TableParagraph"/>
              <w:spacing w:before="8"/>
              <w:ind w:left="103"/>
              <w:rPr>
                <w:rFonts w:ascii="Verdana" w:hAnsi="Verdana"/>
                <w:sz w:val="18"/>
                <w:szCs w:val="18"/>
              </w:rPr>
            </w:pPr>
            <w:r w:rsidRPr="00EC75B7">
              <w:rPr>
                <w:rFonts w:ascii="Verdana" w:hAnsi="Verdana"/>
                <w:sz w:val="18"/>
                <w:szCs w:val="18"/>
              </w:rPr>
              <w:t>No historical monuments/places of worship/archaeological sites have been identified in the vicinity of the proposed works</w:t>
            </w:r>
          </w:p>
        </w:tc>
      </w:tr>
    </w:tbl>
    <w:p w14:paraId="1BA359E1" w14:textId="77777777" w:rsidR="008715BE" w:rsidRPr="00EC75B7" w:rsidRDefault="008715BE">
      <w:pPr>
        <w:pStyle w:val="TableParagraph"/>
        <w:rPr>
          <w:rFonts w:ascii="Verdana" w:hAnsi="Verdana"/>
          <w:sz w:val="18"/>
          <w:szCs w:val="18"/>
        </w:rPr>
        <w:sectPr w:rsidR="008715BE" w:rsidRPr="00EC75B7">
          <w:type w:val="continuous"/>
          <w:pgSz w:w="23820" w:h="16840" w:orient="landscape"/>
          <w:pgMar w:top="1200" w:right="850" w:bottom="1020" w:left="850" w:header="766" w:footer="824" w:gutter="0"/>
          <w:cols w:space="708"/>
        </w:sectPr>
      </w:pPr>
    </w:p>
    <w:p w14:paraId="64BBCE73" w14:textId="77777777" w:rsidR="008715BE" w:rsidRPr="00EC75B7" w:rsidRDefault="008715BE">
      <w:pPr>
        <w:pStyle w:val="BodyText"/>
        <w:spacing w:before="334"/>
        <w:rPr>
          <w:rFonts w:ascii="Verdana" w:hAnsi="Verdana"/>
          <w:b/>
        </w:rPr>
      </w:pPr>
    </w:p>
    <w:p w14:paraId="0F32897C" w14:textId="1843703C" w:rsidR="008715BE" w:rsidRPr="00692EED" w:rsidRDefault="00692EED" w:rsidP="00692EED">
      <w:pPr>
        <w:pStyle w:val="ListParagraph"/>
        <w:numPr>
          <w:ilvl w:val="0"/>
          <w:numId w:val="110"/>
        </w:numPr>
        <w:tabs>
          <w:tab w:val="left" w:pos="895"/>
          <w:tab w:val="left" w:pos="3643"/>
          <w:tab w:val="left" w:pos="6654"/>
          <w:tab w:val="left" w:pos="9325"/>
        </w:tabs>
        <w:spacing w:before="1"/>
        <w:ind w:left="895" w:right="141" w:hanging="895"/>
        <w:jc w:val="both"/>
        <w:rPr>
          <w:rFonts w:ascii="Verdana" w:hAnsi="Verdana"/>
          <w:b/>
          <w:sz w:val="18"/>
          <w:szCs w:val="18"/>
        </w:rPr>
      </w:pPr>
      <w:bookmarkStart w:id="70" w:name="_bookmark71"/>
      <w:bookmarkEnd w:id="70"/>
      <w:r>
        <w:rPr>
          <w:rFonts w:ascii="Verdana" w:hAnsi="Verdana"/>
          <w:b/>
          <w:color w:val="00AFEF"/>
          <w:spacing w:val="-2"/>
          <w:sz w:val="18"/>
          <w:szCs w:val="18"/>
        </w:rPr>
        <w:t xml:space="preserve">POTENTIAL </w:t>
      </w:r>
      <w:r w:rsidRPr="00EC75B7">
        <w:rPr>
          <w:rFonts w:ascii="Verdana" w:hAnsi="Verdana"/>
          <w:b/>
          <w:color w:val="00AFEF"/>
          <w:spacing w:val="-2"/>
          <w:sz w:val="18"/>
          <w:szCs w:val="18"/>
        </w:rPr>
        <w:t>IMPACT,</w:t>
      </w:r>
      <w:r>
        <w:rPr>
          <w:rFonts w:ascii="Verdana" w:hAnsi="Verdana"/>
          <w:b/>
          <w:color w:val="00AFEF"/>
          <w:spacing w:val="-2"/>
          <w:sz w:val="18"/>
          <w:szCs w:val="18"/>
        </w:rPr>
        <w:t xml:space="preserve"> </w:t>
      </w:r>
      <w:r w:rsidRPr="00EC75B7">
        <w:rPr>
          <w:rFonts w:ascii="Verdana" w:hAnsi="Verdana"/>
          <w:b/>
          <w:color w:val="00AFEF"/>
          <w:spacing w:val="-2"/>
          <w:sz w:val="18"/>
          <w:szCs w:val="18"/>
        </w:rPr>
        <w:t>INCLUDING</w:t>
      </w:r>
      <w:r>
        <w:rPr>
          <w:rFonts w:ascii="Verdana" w:hAnsi="Verdana"/>
          <w:b/>
          <w:color w:val="00AFEF"/>
          <w:spacing w:val="-2"/>
          <w:sz w:val="18"/>
          <w:szCs w:val="18"/>
        </w:rPr>
        <w:t xml:space="preserve"> </w:t>
      </w:r>
      <w:r w:rsidRPr="00EC75B7">
        <w:rPr>
          <w:rFonts w:ascii="Verdana" w:hAnsi="Verdana"/>
          <w:b/>
          <w:color w:val="00AFEF"/>
          <w:spacing w:val="-5"/>
          <w:sz w:val="18"/>
          <w:szCs w:val="18"/>
        </w:rPr>
        <w:t>THE</w:t>
      </w:r>
      <w:r>
        <w:rPr>
          <w:rFonts w:ascii="Verdana" w:hAnsi="Verdana"/>
          <w:b/>
          <w:color w:val="00AFEF"/>
          <w:spacing w:val="-5"/>
          <w:sz w:val="18"/>
          <w:szCs w:val="18"/>
        </w:rPr>
        <w:t xml:space="preserve"> </w:t>
      </w:r>
      <w:r w:rsidRPr="00692EED">
        <w:rPr>
          <w:rFonts w:ascii="Verdana" w:hAnsi="Verdana"/>
          <w:b/>
          <w:color w:val="00AFEF"/>
          <w:spacing w:val="-2"/>
          <w:sz w:val="18"/>
          <w:szCs w:val="18"/>
        </w:rPr>
        <w:t>CROSS-BORDER,ON</w:t>
      </w:r>
      <w:r>
        <w:rPr>
          <w:rFonts w:ascii="Verdana" w:hAnsi="Verdana"/>
          <w:b/>
          <w:color w:val="00AFEF"/>
          <w:spacing w:val="-2"/>
          <w:sz w:val="18"/>
          <w:szCs w:val="18"/>
        </w:rPr>
        <w:t xml:space="preserve"> </w:t>
      </w:r>
      <w:r w:rsidRPr="00692EED">
        <w:rPr>
          <w:rFonts w:ascii="Verdana" w:hAnsi="Verdana"/>
          <w:b/>
          <w:color w:val="00AFEF"/>
          <w:spacing w:val="-2"/>
          <w:sz w:val="18"/>
          <w:szCs w:val="18"/>
        </w:rPr>
        <w:t>ENVIRONMENTAL</w:t>
      </w:r>
      <w:r>
        <w:rPr>
          <w:rFonts w:ascii="Verdana" w:hAnsi="Verdana"/>
          <w:b/>
          <w:color w:val="00AFEF"/>
          <w:spacing w:val="-2"/>
          <w:sz w:val="18"/>
          <w:szCs w:val="18"/>
        </w:rPr>
        <w:t xml:space="preserve"> </w:t>
      </w:r>
      <w:r w:rsidRPr="00692EED">
        <w:rPr>
          <w:rFonts w:ascii="Verdana" w:hAnsi="Verdana"/>
          <w:b/>
          <w:color w:val="00AFEF"/>
          <w:sz w:val="18"/>
          <w:szCs w:val="18"/>
        </w:rPr>
        <w:t xml:space="preserve">COMPONENTS – each </w:t>
      </w:r>
      <w:r w:rsidRPr="00692EED">
        <w:rPr>
          <w:rFonts w:ascii="Verdana" w:hAnsi="Verdana"/>
          <w:b/>
          <w:color w:val="00AFEF"/>
          <w:spacing w:val="-2"/>
          <w:sz w:val="18"/>
          <w:szCs w:val="18"/>
        </w:rPr>
        <w:t>responsible</w:t>
      </w:r>
      <w:r w:rsidRPr="00692EED">
        <w:rPr>
          <w:rFonts w:ascii="Verdana" w:hAnsi="Verdana"/>
          <w:b/>
          <w:color w:val="00AFEF"/>
          <w:sz w:val="18"/>
          <w:szCs w:val="18"/>
        </w:rPr>
        <w:t xml:space="preserve"> for which factor</w:t>
      </w:r>
    </w:p>
    <w:p w14:paraId="20D116E4" w14:textId="77777777" w:rsidR="008715BE" w:rsidRPr="00EC75B7" w:rsidRDefault="008715BE">
      <w:pPr>
        <w:pStyle w:val="BodyText"/>
        <w:spacing w:before="62"/>
        <w:rPr>
          <w:rFonts w:ascii="Verdana" w:hAnsi="Verdana"/>
          <w:b/>
        </w:rPr>
      </w:pPr>
    </w:p>
    <w:p w14:paraId="1067EF30" w14:textId="77777777" w:rsidR="008715BE" w:rsidRPr="00EC75B7" w:rsidRDefault="00000000">
      <w:pPr>
        <w:pStyle w:val="Heading2"/>
        <w:numPr>
          <w:ilvl w:val="1"/>
          <w:numId w:val="110"/>
        </w:numPr>
        <w:tabs>
          <w:tab w:val="left" w:pos="1501"/>
        </w:tabs>
        <w:ind w:left="1501" w:hanging="1246"/>
        <w:jc w:val="left"/>
        <w:rPr>
          <w:rFonts w:ascii="Verdana" w:hAnsi="Verdana"/>
          <w:color w:val="00AFEF"/>
          <w:sz w:val="18"/>
          <w:szCs w:val="18"/>
        </w:rPr>
      </w:pPr>
      <w:bookmarkStart w:id="71" w:name="_bookmark72"/>
      <w:bookmarkEnd w:id="71"/>
      <w:r w:rsidRPr="00EC75B7">
        <w:rPr>
          <w:rFonts w:ascii="Verdana" w:hAnsi="Verdana"/>
          <w:color w:val="00AFEF"/>
          <w:sz w:val="18"/>
          <w:szCs w:val="18"/>
        </w:rPr>
        <w:t xml:space="preserve">Identification of effects and forms of </w:t>
      </w:r>
      <w:r w:rsidRPr="00EC75B7">
        <w:rPr>
          <w:rFonts w:ascii="Verdana" w:hAnsi="Verdana"/>
          <w:color w:val="00AFEF"/>
          <w:spacing w:val="-2"/>
          <w:sz w:val="18"/>
          <w:szCs w:val="18"/>
        </w:rPr>
        <w:t>impact</w:t>
      </w:r>
    </w:p>
    <w:p w14:paraId="7E4FCD6A" w14:textId="77777777" w:rsidR="008715BE" w:rsidRPr="00EC75B7" w:rsidRDefault="00000000">
      <w:pPr>
        <w:pStyle w:val="Heading3"/>
        <w:numPr>
          <w:ilvl w:val="2"/>
          <w:numId w:val="110"/>
        </w:numPr>
        <w:tabs>
          <w:tab w:val="left" w:pos="2178"/>
        </w:tabs>
        <w:spacing w:before="132"/>
        <w:ind w:left="2178" w:hanging="986"/>
        <w:rPr>
          <w:rFonts w:ascii="Verdana" w:hAnsi="Verdana"/>
          <w:i/>
          <w:color w:val="00AFEF"/>
          <w:sz w:val="18"/>
          <w:szCs w:val="18"/>
        </w:rPr>
      </w:pPr>
      <w:bookmarkStart w:id="72" w:name="_bookmark73"/>
      <w:bookmarkEnd w:id="72"/>
      <w:r w:rsidRPr="00EC75B7">
        <w:rPr>
          <w:rFonts w:ascii="Verdana" w:hAnsi="Verdana"/>
          <w:color w:val="00AFEF"/>
          <w:spacing w:val="-2"/>
          <w:sz w:val="18"/>
          <w:szCs w:val="18"/>
        </w:rPr>
        <w:t xml:space="preserve">Project </w:t>
      </w:r>
      <w:r w:rsidRPr="00EC75B7">
        <w:rPr>
          <w:rFonts w:ascii="Verdana" w:hAnsi="Verdana"/>
          <w:color w:val="00AFEF"/>
          <w:sz w:val="18"/>
          <w:szCs w:val="18"/>
        </w:rPr>
        <w:t>construction and operation</w:t>
      </w:r>
    </w:p>
    <w:p w14:paraId="56885890" w14:textId="77777777" w:rsidR="008715BE" w:rsidRPr="00EC75B7" w:rsidRDefault="008715BE">
      <w:pPr>
        <w:pStyle w:val="BodyText"/>
        <w:spacing w:before="114"/>
        <w:rPr>
          <w:rFonts w:ascii="Verdana" w:hAnsi="Verdana"/>
          <w:b/>
        </w:rPr>
      </w:pPr>
    </w:p>
    <w:p w14:paraId="47BA6C4C" w14:textId="77777777" w:rsidR="008715BE" w:rsidRPr="00EC75B7" w:rsidRDefault="00000000">
      <w:pPr>
        <w:pStyle w:val="BodyText"/>
        <w:spacing w:line="357" w:lineRule="auto"/>
        <w:ind w:left="198" w:right="143"/>
        <w:jc w:val="both"/>
        <w:rPr>
          <w:rFonts w:ascii="Verdana" w:hAnsi="Verdana"/>
        </w:rPr>
      </w:pPr>
      <w:r w:rsidRPr="00EC75B7">
        <w:rPr>
          <w:rFonts w:ascii="Verdana" w:hAnsi="Verdana"/>
        </w:rPr>
        <w:t xml:space="preserve">The effects were identified by correlating the project interventions (wind turbines, platforms, access roads, transformer stations, underground electrical networks, site organization, and maintenance activities) with environmental receptors, particularly biodiversity components, based on spatial analyses (GIS) and field observations/monitoring, resulting in a classification of impacts by mechanism (direct/indirect), duration (temporary/permanent), extent (local/neighborhood), and probability </w:t>
      </w:r>
      <w:r w:rsidRPr="00EC75B7">
        <w:rPr>
          <w:rFonts w:ascii="Verdana" w:hAnsi="Verdana"/>
          <w:spacing w:val="-2"/>
        </w:rPr>
        <w:t>(certain/possible/accidental).</w:t>
      </w:r>
    </w:p>
    <w:p w14:paraId="55D96D3C" w14:textId="77777777" w:rsidR="008715BE" w:rsidRPr="00EC75B7" w:rsidRDefault="00000000">
      <w:pPr>
        <w:pStyle w:val="BodyText"/>
        <w:spacing w:before="125" w:line="357" w:lineRule="auto"/>
        <w:ind w:left="198" w:right="136"/>
        <w:jc w:val="both"/>
        <w:rPr>
          <w:rFonts w:ascii="Verdana" w:hAnsi="Verdana"/>
        </w:rPr>
      </w:pPr>
      <w:r w:rsidRPr="00EC75B7">
        <w:rPr>
          <w:rFonts w:ascii="Verdana" w:hAnsi="Verdana"/>
          <w:b/>
        </w:rPr>
        <w:t>During the construction phase</w:t>
      </w:r>
      <w:r w:rsidRPr="00EC75B7">
        <w:rPr>
          <w:rFonts w:ascii="Verdana" w:hAnsi="Verdana"/>
        </w:rPr>
        <w:t>, the effects are mainly generated by earthworks, foundations, assembly, and site traffic, which produce noise, vibrations, and intense human presence, causing temporary disturbance to wildlife and reducing the use of habitats in the vicinity of the work fronts. Also during this stage, temporary land occupation for organisation, storage and the execution of cable trenches, as well as the construction of structural elements (platforms, roads, foundations, stations) can lead to habitat loss/alteration and local fragmentation, which is mainly temporary, but with permanent point impacts associated with the final infrastructure. Construction involves dust and pollutant emissions from transport and machinery, with local and reversible effects, and the use of equipment and handling of materials may, in accidental scenarios, cause point source pollution of soil or water through fuel/oil spills and improper waste management. In addition, vehicle traffic and machinery operation increase the risk of accidental mortality for terrestrial fauna (especially amphibians, reptiles, and small mammals) through collisions or crushing on access roads and within the perimeter of the works.</w:t>
      </w:r>
    </w:p>
    <w:p w14:paraId="11407788" w14:textId="77777777" w:rsidR="008715BE" w:rsidRPr="00EC75B7" w:rsidRDefault="00000000">
      <w:pPr>
        <w:pStyle w:val="BodyText"/>
        <w:spacing w:before="130" w:line="357" w:lineRule="auto"/>
        <w:ind w:left="198" w:right="141"/>
        <w:jc w:val="both"/>
        <w:rPr>
          <w:rFonts w:ascii="Verdana" w:hAnsi="Verdana"/>
        </w:rPr>
      </w:pPr>
      <w:r w:rsidRPr="00EC75B7">
        <w:rPr>
          <w:rFonts w:ascii="Verdana" w:hAnsi="Verdana"/>
          <w:b/>
        </w:rPr>
        <w:t>During operation</w:t>
      </w:r>
      <w:r w:rsidRPr="00EC75B7">
        <w:rPr>
          <w:rFonts w:ascii="Verdana" w:hAnsi="Verdana"/>
        </w:rPr>
        <w:t xml:space="preserve">, the relevant effects are mainly associated with the functioning of the turbines, through the risk of direct mortality of birds and bats as a result of collision with the rotor, as well as through barotrauma specific to bats, a mechanism that can also occur in the absence of collision. The operation of the wind farm may also induce an avoidance or behavioral barrier effect, whereby some species change their flight routes or reduce their use of the area, which may result in functional habitat loss and indirect effects in the medium to long term. During operation, local noise effects (turbine background noise) and temporary effects associated with maintenance activities and related traffic are maintained, and night-time signage/lighting and the presence of infrastructure may occasionally influence the behaviour of some species (attraction/avoidance), usually with a low impact when </w:t>
      </w:r>
      <w:r w:rsidRPr="00EC75B7">
        <w:rPr>
          <w:rFonts w:ascii="Verdana" w:hAnsi="Verdana"/>
          <w:spacing w:val="-2"/>
        </w:rPr>
        <w:t xml:space="preserve">appropriate </w:t>
      </w:r>
      <w:r w:rsidRPr="00EC75B7">
        <w:rPr>
          <w:rFonts w:ascii="Verdana" w:hAnsi="Verdana"/>
        </w:rPr>
        <w:t>design and operating solutions are applied</w:t>
      </w:r>
      <w:r w:rsidRPr="00EC75B7">
        <w:rPr>
          <w:rFonts w:ascii="Verdana" w:hAnsi="Verdana"/>
          <w:spacing w:val="-2"/>
        </w:rPr>
        <w:t>.</w:t>
      </w:r>
    </w:p>
    <w:p w14:paraId="713662FC" w14:textId="77777777" w:rsidR="008715BE" w:rsidRPr="00EC75B7" w:rsidRDefault="00000000">
      <w:pPr>
        <w:pStyle w:val="BodyText"/>
        <w:spacing w:before="127" w:line="357" w:lineRule="auto"/>
        <w:ind w:left="198" w:right="143"/>
        <w:jc w:val="both"/>
        <w:rPr>
          <w:rFonts w:ascii="Verdana" w:hAnsi="Verdana"/>
        </w:rPr>
      </w:pPr>
      <w:r w:rsidRPr="00EC75B7">
        <w:rPr>
          <w:rFonts w:ascii="Verdana" w:hAnsi="Verdana"/>
        </w:rPr>
        <w:t>Overall, construction is characterized by predominantly direct, temporary, and local impacts, while operation is characterized by potentially dominant impacts on flying fauna (collision, barotrauma, and behavioral effects), with a possible cumulative component in the context of anthropogenic pressures in the area.</w:t>
      </w:r>
    </w:p>
    <w:p w14:paraId="4E8061CB" w14:textId="77777777" w:rsidR="008715BE" w:rsidRPr="00EC75B7" w:rsidRDefault="008715BE">
      <w:pPr>
        <w:pStyle w:val="BodyText"/>
        <w:spacing w:line="357" w:lineRule="auto"/>
        <w:jc w:val="both"/>
        <w:rPr>
          <w:rFonts w:ascii="Verdana" w:hAnsi="Verdana"/>
        </w:rPr>
        <w:sectPr w:rsidR="008715BE" w:rsidRPr="00EC75B7">
          <w:headerReference w:type="default" r:id="rId188"/>
          <w:footerReference w:type="default" r:id="rId189"/>
          <w:pgSz w:w="11910" w:h="16840"/>
          <w:pgMar w:top="1320" w:right="850" w:bottom="1020" w:left="992" w:header="766" w:footer="824" w:gutter="0"/>
          <w:cols w:space="708"/>
        </w:sectPr>
      </w:pPr>
    </w:p>
    <w:p w14:paraId="2E349984" w14:textId="77777777" w:rsidR="008715BE" w:rsidRPr="00EC75B7" w:rsidRDefault="00000000">
      <w:pPr>
        <w:pStyle w:val="Heading3"/>
        <w:numPr>
          <w:ilvl w:val="2"/>
          <w:numId w:val="110"/>
        </w:numPr>
        <w:tabs>
          <w:tab w:val="left" w:pos="2178"/>
        </w:tabs>
        <w:spacing w:before="102"/>
        <w:ind w:left="2178" w:hanging="986"/>
        <w:rPr>
          <w:rFonts w:ascii="Verdana" w:hAnsi="Verdana"/>
          <w:i/>
          <w:color w:val="00AFEF"/>
          <w:sz w:val="18"/>
          <w:szCs w:val="18"/>
        </w:rPr>
      </w:pPr>
      <w:bookmarkStart w:id="73" w:name="_bookmark74"/>
      <w:bookmarkEnd w:id="73"/>
      <w:r w:rsidRPr="00EC75B7">
        <w:rPr>
          <w:rFonts w:ascii="Verdana" w:hAnsi="Verdana"/>
          <w:color w:val="00AFEF"/>
          <w:sz w:val="18"/>
          <w:szCs w:val="18"/>
        </w:rPr>
        <w:lastRenderedPageBreak/>
        <w:t xml:space="preserve">Use of </w:t>
      </w:r>
      <w:r w:rsidRPr="00EC75B7">
        <w:rPr>
          <w:rFonts w:ascii="Verdana" w:hAnsi="Verdana"/>
          <w:color w:val="00AFEF"/>
          <w:spacing w:val="-2"/>
          <w:sz w:val="18"/>
          <w:szCs w:val="18"/>
        </w:rPr>
        <w:t xml:space="preserve">natural </w:t>
      </w:r>
      <w:r w:rsidRPr="00EC75B7">
        <w:rPr>
          <w:rFonts w:ascii="Verdana" w:hAnsi="Verdana"/>
          <w:color w:val="00AFEF"/>
          <w:sz w:val="18"/>
          <w:szCs w:val="18"/>
        </w:rPr>
        <w:t>resources</w:t>
      </w:r>
    </w:p>
    <w:p w14:paraId="32F21E97" w14:textId="77777777" w:rsidR="008715BE" w:rsidRPr="00EC75B7" w:rsidRDefault="008715BE">
      <w:pPr>
        <w:pStyle w:val="BodyText"/>
        <w:spacing w:before="114"/>
        <w:rPr>
          <w:rFonts w:ascii="Verdana" w:hAnsi="Verdana"/>
          <w:b/>
        </w:rPr>
      </w:pPr>
    </w:p>
    <w:p w14:paraId="0D8C6532" w14:textId="77777777" w:rsidR="008715BE" w:rsidRPr="00EC75B7" w:rsidRDefault="00000000">
      <w:pPr>
        <w:pStyle w:val="BodyText"/>
        <w:spacing w:line="357" w:lineRule="auto"/>
        <w:ind w:left="198" w:right="141"/>
        <w:jc w:val="both"/>
        <w:rPr>
          <w:rFonts w:ascii="Verdana" w:hAnsi="Verdana"/>
        </w:rPr>
      </w:pPr>
      <w:r w:rsidRPr="00EC75B7">
        <w:rPr>
          <w:rFonts w:ascii="Verdana" w:hAnsi="Verdana"/>
        </w:rPr>
        <w:t>The natural resources used for the implementation of the project are mainly water and mineral aggregates (especially crushed stone and sand), to which is added the land/soil resource related to the works (stripping, excavation, and filling).</w:t>
      </w:r>
      <w:r w:rsidRPr="00EC75B7">
        <w:rPr>
          <w:rFonts w:ascii="Verdana" w:hAnsi="Verdana"/>
          <w:spacing w:val="40"/>
        </w:rPr>
        <w:t xml:space="preserve"> </w:t>
      </w:r>
      <w:r w:rsidRPr="00EC75B7">
        <w:rPr>
          <w:rFonts w:ascii="Verdana" w:hAnsi="Verdana"/>
        </w:rPr>
        <w:t>During the construction phase, water is used in different ways: bottled drinking water is provided for staff, water for sanitary purposes is provided by the contractor (usually via cisterns), and process water is used in small quantities to spray the work fronts (to limit dust) and to moisten/maintain the foundations during the drying period, being brought to the site as needed, without the need for new dedicated water catchments. The concrete required for the foundations is provided by authorized local concrete plants and transported to the site by concrete mixer truck.</w:t>
      </w:r>
    </w:p>
    <w:p w14:paraId="5E12D693" w14:textId="77777777" w:rsidR="008715BE" w:rsidRPr="00EC75B7" w:rsidRDefault="00000000">
      <w:pPr>
        <w:pStyle w:val="BodyText"/>
        <w:spacing w:before="127" w:line="357" w:lineRule="auto"/>
        <w:ind w:left="198" w:right="141"/>
        <w:jc w:val="both"/>
        <w:rPr>
          <w:rFonts w:ascii="Verdana" w:hAnsi="Verdana"/>
        </w:rPr>
      </w:pPr>
      <w:r w:rsidRPr="00EC75B7">
        <w:rPr>
          <w:rFonts w:ascii="Verdana" w:hAnsi="Verdana"/>
        </w:rPr>
        <w:t>Crushed stone fill is required for the construction of foundations, technological platforms, and the development/modernization of access roads, with the quantity estimated in the documentation being approximately 114,250 m³, while sand is used to connect the turbines. The soil resulting from excavations is managed so that it can be reused, as far as possible, for filling and restoring the sites after completion of the works, in order to return the land to its original state. The implementation of the project does not involve the exploitation of natural resources within protected natural areas.</w:t>
      </w:r>
    </w:p>
    <w:p w14:paraId="13BEB413" w14:textId="77777777" w:rsidR="008715BE" w:rsidRPr="00EC75B7" w:rsidRDefault="00000000">
      <w:pPr>
        <w:pStyle w:val="BodyText"/>
        <w:spacing w:before="124" w:line="357" w:lineRule="auto"/>
        <w:ind w:left="198" w:right="148"/>
        <w:jc w:val="both"/>
        <w:rPr>
          <w:rFonts w:ascii="Verdana" w:hAnsi="Verdana"/>
        </w:rPr>
      </w:pPr>
      <w:r w:rsidRPr="00EC75B7">
        <w:rPr>
          <w:rFonts w:ascii="Verdana" w:hAnsi="Verdana"/>
        </w:rPr>
        <w:t>During the operational phase, the only natural resource used for electricity production is wind energy, a renewable resource; consumption associated with exploitation is limited to maintenance materials (such as oils/lubricants and greases) used occasionally in maintenance operations.</w:t>
      </w:r>
    </w:p>
    <w:p w14:paraId="160EFB3F" w14:textId="77777777" w:rsidR="008715BE" w:rsidRPr="00EC75B7" w:rsidRDefault="008715BE">
      <w:pPr>
        <w:pStyle w:val="BodyText"/>
        <w:spacing w:before="24"/>
        <w:rPr>
          <w:rFonts w:ascii="Verdana" w:hAnsi="Verdana"/>
        </w:rPr>
      </w:pPr>
    </w:p>
    <w:p w14:paraId="57C95828" w14:textId="77777777" w:rsidR="008715BE" w:rsidRPr="00EC75B7" w:rsidRDefault="00000000">
      <w:pPr>
        <w:pStyle w:val="Heading3"/>
        <w:numPr>
          <w:ilvl w:val="2"/>
          <w:numId w:val="110"/>
        </w:numPr>
        <w:tabs>
          <w:tab w:val="left" w:pos="2178"/>
        </w:tabs>
        <w:spacing w:before="1"/>
        <w:ind w:left="2178" w:hanging="986"/>
        <w:rPr>
          <w:rFonts w:ascii="Verdana" w:hAnsi="Verdana"/>
          <w:i/>
          <w:color w:val="00AFEF"/>
          <w:sz w:val="18"/>
          <w:szCs w:val="18"/>
        </w:rPr>
      </w:pPr>
      <w:bookmarkStart w:id="74" w:name="_bookmark75"/>
      <w:bookmarkEnd w:id="74"/>
      <w:r w:rsidRPr="00EC75B7">
        <w:rPr>
          <w:rFonts w:ascii="Verdana" w:hAnsi="Verdana"/>
          <w:color w:val="00AFEF"/>
          <w:sz w:val="18"/>
          <w:szCs w:val="18"/>
        </w:rPr>
        <w:t xml:space="preserve">Technologies and substances </w:t>
      </w:r>
      <w:r w:rsidRPr="00EC75B7">
        <w:rPr>
          <w:rFonts w:ascii="Verdana" w:hAnsi="Verdana"/>
          <w:color w:val="00AFEF"/>
          <w:spacing w:val="-2"/>
          <w:sz w:val="18"/>
          <w:szCs w:val="18"/>
        </w:rPr>
        <w:t>used</w:t>
      </w:r>
    </w:p>
    <w:p w14:paraId="6247E02E" w14:textId="77777777" w:rsidR="008715BE" w:rsidRPr="00EC75B7" w:rsidRDefault="008715BE">
      <w:pPr>
        <w:pStyle w:val="BodyText"/>
        <w:spacing w:before="113"/>
        <w:rPr>
          <w:rFonts w:ascii="Verdana" w:hAnsi="Verdana"/>
          <w:b/>
        </w:rPr>
      </w:pPr>
    </w:p>
    <w:p w14:paraId="7A7022E4" w14:textId="77777777" w:rsidR="008715BE" w:rsidRPr="00EC75B7" w:rsidRDefault="00000000">
      <w:pPr>
        <w:pStyle w:val="BodyText"/>
        <w:spacing w:before="1" w:line="357" w:lineRule="auto"/>
        <w:ind w:left="198" w:right="141"/>
        <w:jc w:val="both"/>
        <w:rPr>
          <w:rFonts w:ascii="Verdana" w:hAnsi="Verdana"/>
        </w:rPr>
      </w:pPr>
      <w:r w:rsidRPr="00EC75B7">
        <w:rPr>
          <w:rFonts w:ascii="Verdana" w:hAnsi="Verdana"/>
          <w:b/>
        </w:rPr>
        <w:t xml:space="preserve">During the execution and operation </w:t>
      </w:r>
      <w:r w:rsidRPr="00EC75B7">
        <w:rPr>
          <w:rFonts w:ascii="Verdana" w:hAnsi="Verdana"/>
        </w:rPr>
        <w:t>of the project, common chemicals specific to construction, assembly, and wind turbine operation will be used (such as fuels, oils/lubricants, greases, hydraulic fluids, maintenance products, and technical consumables). Detailed information on the types and quantities of substances used is presented in the technical documentation, in the section dedicated to substances/materials and in the chapters describing the works and maintenance operations.</w:t>
      </w:r>
    </w:p>
    <w:p w14:paraId="3AF79165" w14:textId="77777777" w:rsidR="008715BE" w:rsidRPr="00EC75B7" w:rsidRDefault="00000000">
      <w:pPr>
        <w:pStyle w:val="BodyText"/>
        <w:spacing w:before="125" w:line="357" w:lineRule="auto"/>
        <w:ind w:left="198" w:right="140"/>
        <w:jc w:val="both"/>
        <w:rPr>
          <w:rFonts w:ascii="Verdana" w:hAnsi="Verdana"/>
        </w:rPr>
      </w:pPr>
      <w:r w:rsidRPr="00EC75B7">
        <w:rPr>
          <w:rFonts w:ascii="Verdana" w:hAnsi="Verdana"/>
        </w:rPr>
        <w:t>In assessing the potential effects on environmental factors, both the technologies used and the management of substances were integrated for both stages (execution and operation), with reference to the relevant impact mechanisms (in particular the risk of accidental soil/water pollution and the generation of hazardous waste). Under normal working conditions, the substances used do not have a significant impact on the environment; the impact may only occur in accidental situations (e.g., leaks, spills, equipment failure, or improper handling).</w:t>
      </w:r>
    </w:p>
    <w:p w14:paraId="4691A03D" w14:textId="77777777" w:rsidR="008715BE" w:rsidRPr="00EC75B7" w:rsidRDefault="00000000">
      <w:pPr>
        <w:pStyle w:val="BodyText"/>
        <w:spacing w:before="123" w:line="357" w:lineRule="auto"/>
        <w:ind w:left="198" w:right="144"/>
        <w:jc w:val="both"/>
        <w:rPr>
          <w:rFonts w:ascii="Verdana" w:hAnsi="Verdana"/>
        </w:rPr>
      </w:pPr>
      <w:r w:rsidRPr="00EC75B7">
        <w:rPr>
          <w:rFonts w:ascii="Verdana" w:hAnsi="Verdana"/>
        </w:rPr>
        <w:t>To prevent/eliminate risks, management measures are applied: storage of substances in designated and secure areas (waterproof platforms, retention trays/containers), labeling and keeping safety data sheets (SDS), refueling and maintenance operations in controlled areas, provision of absorbent materials and intervention kits, as well as staff training and handling exclusively in accordance with the requirements of the safety data sheets and internal procedures.</w:t>
      </w:r>
    </w:p>
    <w:p w14:paraId="5BBD281D" w14:textId="77777777" w:rsidR="008715BE" w:rsidRPr="00EC75B7" w:rsidRDefault="008715BE">
      <w:pPr>
        <w:pStyle w:val="BodyText"/>
        <w:spacing w:line="357" w:lineRule="auto"/>
        <w:jc w:val="both"/>
        <w:rPr>
          <w:rFonts w:ascii="Verdana" w:hAnsi="Verdana"/>
        </w:rPr>
        <w:sectPr w:rsidR="008715BE" w:rsidRPr="00EC75B7">
          <w:pgSz w:w="11910" w:h="16840"/>
          <w:pgMar w:top="1320" w:right="850" w:bottom="1020" w:left="992" w:header="766" w:footer="824" w:gutter="0"/>
          <w:cols w:space="708"/>
        </w:sectPr>
      </w:pPr>
    </w:p>
    <w:p w14:paraId="02B8C638" w14:textId="77777777" w:rsidR="008715BE" w:rsidRPr="00EC75B7" w:rsidRDefault="00000000">
      <w:pPr>
        <w:pStyle w:val="Heading3"/>
        <w:numPr>
          <w:ilvl w:val="2"/>
          <w:numId w:val="110"/>
        </w:numPr>
        <w:tabs>
          <w:tab w:val="left" w:pos="1912"/>
          <w:tab w:val="left" w:pos="2178"/>
        </w:tabs>
        <w:spacing w:before="102" w:line="360" w:lineRule="auto"/>
        <w:ind w:left="1912" w:right="142" w:hanging="720"/>
        <w:jc w:val="both"/>
        <w:rPr>
          <w:rFonts w:ascii="Verdana" w:hAnsi="Verdana"/>
          <w:i/>
          <w:color w:val="00AFEF"/>
          <w:sz w:val="18"/>
          <w:szCs w:val="18"/>
        </w:rPr>
      </w:pPr>
      <w:bookmarkStart w:id="75" w:name="_bookmark76"/>
      <w:bookmarkEnd w:id="75"/>
      <w:r w:rsidRPr="00EC75B7">
        <w:rPr>
          <w:rFonts w:ascii="Verdana" w:hAnsi="Verdana"/>
          <w:color w:val="00AFEF"/>
          <w:sz w:val="18"/>
          <w:szCs w:val="18"/>
        </w:rPr>
        <w:lastRenderedPageBreak/>
        <w:t>Emissions of pollutants, noise, vibrations, light, heat, and radiation, creation of discomfort, waste disposal and recovery</w:t>
      </w:r>
    </w:p>
    <w:p w14:paraId="0598F21E" w14:textId="77777777" w:rsidR="008715BE" w:rsidRPr="00EC75B7" w:rsidRDefault="00000000">
      <w:pPr>
        <w:pStyle w:val="BodyText"/>
        <w:spacing w:before="235" w:line="357" w:lineRule="auto"/>
        <w:ind w:left="198" w:right="139"/>
        <w:jc w:val="both"/>
        <w:rPr>
          <w:rFonts w:ascii="Verdana" w:hAnsi="Verdana"/>
        </w:rPr>
      </w:pPr>
      <w:r w:rsidRPr="00EC75B7">
        <w:rPr>
          <w:rFonts w:ascii="Verdana" w:hAnsi="Verdana"/>
        </w:rPr>
        <w:t>A presentation of the sources of physical and chemical pollutant emissions, as well as the types and quantities of waste generated during the implementation of the project (construction and operation), including prevention, selective collection, recovery/recycling, and disposal measures, is included in the technical chapters of the documentation (sections dedicated to emissions and waste management).</w:t>
      </w:r>
    </w:p>
    <w:p w14:paraId="578D1CFA" w14:textId="77777777" w:rsidR="008715BE" w:rsidRPr="00EC75B7" w:rsidRDefault="00000000">
      <w:pPr>
        <w:pStyle w:val="BodyText"/>
        <w:spacing w:before="123" w:line="357" w:lineRule="auto"/>
        <w:ind w:left="198" w:right="141"/>
        <w:jc w:val="both"/>
        <w:rPr>
          <w:rFonts w:ascii="Verdana" w:hAnsi="Verdana"/>
        </w:rPr>
      </w:pPr>
      <w:r w:rsidRPr="00EC75B7">
        <w:rPr>
          <w:rFonts w:ascii="Verdana" w:hAnsi="Verdana"/>
        </w:rPr>
        <w:t>From the perspective of the project under review, the following are particularly relevant: air emissions during the construction phase (dust and combustion gases resulting from earthworks and machinery/transport traffic), noise and vibrations associated with the works and turbine operation, the intermittent shadow flicker effect generated by the rotation of the blades under certain lighting conditions, as well as waste generated both during the construction phase (including construction and packaging waste) and during the operation phase (maintenance waste, including potentially hazardous fractions such as oils/filters/absorbents).</w:t>
      </w:r>
    </w:p>
    <w:p w14:paraId="5B9D7681" w14:textId="77777777" w:rsidR="008715BE" w:rsidRPr="00EC75B7" w:rsidRDefault="008715BE">
      <w:pPr>
        <w:pStyle w:val="BodyText"/>
        <w:spacing w:before="27"/>
        <w:rPr>
          <w:rFonts w:ascii="Verdana" w:hAnsi="Verdana"/>
        </w:rPr>
      </w:pPr>
    </w:p>
    <w:p w14:paraId="42D81FA9" w14:textId="77777777" w:rsidR="008715BE" w:rsidRPr="00EC75B7" w:rsidRDefault="00000000">
      <w:pPr>
        <w:pStyle w:val="Heading3"/>
        <w:numPr>
          <w:ilvl w:val="2"/>
          <w:numId w:val="110"/>
        </w:numPr>
        <w:tabs>
          <w:tab w:val="left" w:pos="2178"/>
        </w:tabs>
        <w:ind w:left="2178" w:hanging="986"/>
        <w:rPr>
          <w:rFonts w:ascii="Verdana" w:hAnsi="Verdana"/>
          <w:i/>
          <w:color w:val="00AFEF"/>
          <w:sz w:val="18"/>
          <w:szCs w:val="18"/>
        </w:rPr>
      </w:pPr>
      <w:bookmarkStart w:id="76" w:name="_bookmark77"/>
      <w:bookmarkEnd w:id="76"/>
      <w:r w:rsidRPr="00EC75B7">
        <w:rPr>
          <w:rFonts w:ascii="Verdana" w:hAnsi="Verdana"/>
          <w:color w:val="00AFEF"/>
          <w:sz w:val="18"/>
          <w:szCs w:val="18"/>
        </w:rPr>
        <w:t xml:space="preserve">Risks to human health, cultural </w:t>
      </w:r>
      <w:r w:rsidRPr="00EC75B7">
        <w:rPr>
          <w:rFonts w:ascii="Verdana" w:hAnsi="Verdana"/>
          <w:color w:val="00AFEF"/>
          <w:spacing w:val="-5"/>
          <w:sz w:val="18"/>
          <w:szCs w:val="18"/>
        </w:rPr>
        <w:t xml:space="preserve">or environmental </w:t>
      </w:r>
      <w:r w:rsidRPr="00EC75B7">
        <w:rPr>
          <w:rFonts w:ascii="Verdana" w:hAnsi="Verdana"/>
          <w:color w:val="00AFEF"/>
          <w:sz w:val="18"/>
          <w:szCs w:val="18"/>
        </w:rPr>
        <w:t>heritage</w:t>
      </w:r>
    </w:p>
    <w:p w14:paraId="78436657" w14:textId="77777777" w:rsidR="008715BE" w:rsidRPr="00EC75B7" w:rsidRDefault="00000000">
      <w:pPr>
        <w:spacing w:before="121"/>
        <w:ind w:left="1912"/>
        <w:rPr>
          <w:rFonts w:ascii="Verdana" w:hAnsi="Verdana"/>
          <w:b/>
          <w:sz w:val="18"/>
          <w:szCs w:val="18"/>
        </w:rPr>
      </w:pPr>
      <w:r w:rsidRPr="00EC75B7">
        <w:rPr>
          <w:rFonts w:ascii="Verdana" w:hAnsi="Verdana"/>
          <w:b/>
          <w:color w:val="00AFEF"/>
          <w:sz w:val="18"/>
          <w:szCs w:val="18"/>
        </w:rPr>
        <w:t xml:space="preserve">the environment (e.g. due to accidents or </w:t>
      </w:r>
      <w:r w:rsidRPr="00EC75B7">
        <w:rPr>
          <w:rFonts w:ascii="Verdana" w:hAnsi="Verdana"/>
          <w:b/>
          <w:color w:val="00AFEF"/>
          <w:spacing w:val="-2"/>
          <w:sz w:val="18"/>
          <w:szCs w:val="18"/>
        </w:rPr>
        <w:t>disasters)</w:t>
      </w:r>
    </w:p>
    <w:p w14:paraId="4CBA108A" w14:textId="77777777" w:rsidR="008715BE" w:rsidRPr="00EC75B7" w:rsidRDefault="008715BE">
      <w:pPr>
        <w:pStyle w:val="BodyText"/>
        <w:spacing w:before="114"/>
        <w:rPr>
          <w:rFonts w:ascii="Verdana" w:hAnsi="Verdana"/>
          <w:b/>
        </w:rPr>
      </w:pPr>
    </w:p>
    <w:p w14:paraId="19195E91" w14:textId="77777777" w:rsidR="008715BE" w:rsidRPr="00EC75B7" w:rsidRDefault="00000000">
      <w:pPr>
        <w:pStyle w:val="BodyText"/>
        <w:spacing w:line="357" w:lineRule="auto"/>
        <w:ind w:left="198" w:right="151"/>
        <w:jc w:val="both"/>
        <w:rPr>
          <w:rFonts w:ascii="Verdana" w:hAnsi="Verdana"/>
        </w:rPr>
      </w:pPr>
      <w:r w:rsidRPr="00EC75B7">
        <w:rPr>
          <w:rFonts w:ascii="Verdana" w:hAnsi="Verdana"/>
        </w:rPr>
        <w:t xml:space="preserve">These aspects (emission sources, physical and chemical pollutants, and the types/quantities of waste generated, including prevention, collection, recovery, and disposal measures) are presented and analyzed in this </w:t>
      </w:r>
      <w:r w:rsidRPr="00EC75B7">
        <w:rPr>
          <w:rFonts w:ascii="Verdana" w:hAnsi="Verdana"/>
          <w:spacing w:val="-2"/>
        </w:rPr>
        <w:t>study.</w:t>
      </w:r>
    </w:p>
    <w:p w14:paraId="7D4DB1BF" w14:textId="77777777" w:rsidR="008715BE" w:rsidRPr="00EC75B7" w:rsidRDefault="008715BE">
      <w:pPr>
        <w:pStyle w:val="BodyText"/>
        <w:spacing w:before="24"/>
        <w:rPr>
          <w:rFonts w:ascii="Verdana" w:hAnsi="Verdana"/>
        </w:rPr>
      </w:pPr>
    </w:p>
    <w:p w14:paraId="28A8DAC2" w14:textId="77777777" w:rsidR="008715BE" w:rsidRPr="00EC75B7" w:rsidRDefault="00000000">
      <w:pPr>
        <w:pStyle w:val="Heading3"/>
        <w:numPr>
          <w:ilvl w:val="2"/>
          <w:numId w:val="110"/>
        </w:numPr>
        <w:tabs>
          <w:tab w:val="left" w:pos="2178"/>
        </w:tabs>
        <w:ind w:left="2178" w:hanging="986"/>
        <w:rPr>
          <w:rFonts w:ascii="Verdana" w:hAnsi="Verdana"/>
          <w:i/>
          <w:color w:val="00AFEF"/>
          <w:sz w:val="18"/>
          <w:szCs w:val="18"/>
        </w:rPr>
      </w:pPr>
      <w:bookmarkStart w:id="77" w:name="_bookmark78"/>
      <w:bookmarkEnd w:id="77"/>
      <w:r w:rsidRPr="00EC75B7">
        <w:rPr>
          <w:rFonts w:ascii="Verdana" w:hAnsi="Verdana"/>
          <w:color w:val="00AFEF"/>
          <w:spacing w:val="-2"/>
          <w:sz w:val="18"/>
          <w:szCs w:val="18"/>
        </w:rPr>
        <w:t xml:space="preserve">Climate </w:t>
      </w:r>
      <w:r w:rsidRPr="00EC75B7">
        <w:rPr>
          <w:rFonts w:ascii="Verdana" w:hAnsi="Verdana"/>
          <w:color w:val="00AFEF"/>
          <w:sz w:val="18"/>
          <w:szCs w:val="18"/>
        </w:rPr>
        <w:t>change</w:t>
      </w:r>
    </w:p>
    <w:p w14:paraId="70DD0D61" w14:textId="77777777" w:rsidR="008715BE" w:rsidRPr="00EC75B7" w:rsidRDefault="008715BE">
      <w:pPr>
        <w:pStyle w:val="BodyText"/>
        <w:spacing w:before="114"/>
        <w:rPr>
          <w:rFonts w:ascii="Verdana" w:hAnsi="Verdana"/>
          <w:b/>
        </w:rPr>
      </w:pPr>
    </w:p>
    <w:p w14:paraId="6B573853" w14:textId="77777777" w:rsidR="008715BE" w:rsidRPr="00EC75B7" w:rsidRDefault="00000000">
      <w:pPr>
        <w:pStyle w:val="BodyText"/>
        <w:ind w:left="198"/>
        <w:jc w:val="both"/>
        <w:rPr>
          <w:rFonts w:ascii="Verdana" w:hAnsi="Verdana"/>
        </w:rPr>
      </w:pPr>
      <w:r w:rsidRPr="00EC75B7">
        <w:rPr>
          <w:rFonts w:ascii="Verdana" w:hAnsi="Verdana"/>
        </w:rPr>
        <w:t xml:space="preserve">Details on climate change are presented in Chapter VII.11. Climate change </w:t>
      </w:r>
      <w:r w:rsidRPr="00EC75B7">
        <w:rPr>
          <w:rFonts w:ascii="Verdana" w:hAnsi="Verdana"/>
          <w:spacing w:val="-5"/>
        </w:rPr>
        <w:t>and</w:t>
      </w:r>
    </w:p>
    <w:p w14:paraId="0C18AC2F" w14:textId="77777777" w:rsidR="008715BE" w:rsidRPr="00EC75B7" w:rsidRDefault="00000000">
      <w:pPr>
        <w:pStyle w:val="BodyText"/>
        <w:spacing w:before="110"/>
        <w:ind w:left="198"/>
        <w:jc w:val="both"/>
        <w:rPr>
          <w:rFonts w:ascii="Verdana" w:hAnsi="Verdana"/>
        </w:rPr>
      </w:pPr>
      <w:r w:rsidRPr="00EC75B7">
        <w:rPr>
          <w:rFonts w:ascii="Verdana" w:hAnsi="Verdana"/>
        </w:rPr>
        <w:t xml:space="preserve">VIII. Description of </w:t>
      </w:r>
      <w:r w:rsidRPr="00EC75B7">
        <w:rPr>
          <w:rFonts w:ascii="Verdana" w:hAnsi="Verdana"/>
          <w:spacing w:val="-2"/>
        </w:rPr>
        <w:t xml:space="preserve">forecasting </w:t>
      </w:r>
      <w:r w:rsidRPr="00EC75B7">
        <w:rPr>
          <w:rFonts w:ascii="Verdana" w:hAnsi="Verdana"/>
        </w:rPr>
        <w:t>methods</w:t>
      </w:r>
      <w:r w:rsidRPr="00EC75B7">
        <w:rPr>
          <w:rFonts w:ascii="Verdana" w:hAnsi="Verdana"/>
          <w:spacing w:val="-2"/>
        </w:rPr>
        <w:t>.</w:t>
      </w:r>
    </w:p>
    <w:p w14:paraId="29924D6F" w14:textId="77777777" w:rsidR="008715BE" w:rsidRPr="00EC75B7" w:rsidRDefault="008715BE">
      <w:pPr>
        <w:pStyle w:val="BodyText"/>
        <w:spacing w:before="129"/>
        <w:rPr>
          <w:rFonts w:ascii="Verdana" w:hAnsi="Verdana"/>
        </w:rPr>
      </w:pPr>
    </w:p>
    <w:p w14:paraId="6CB1644D" w14:textId="77777777" w:rsidR="008715BE" w:rsidRPr="00EC75B7" w:rsidRDefault="00000000">
      <w:pPr>
        <w:pStyle w:val="Heading2"/>
        <w:numPr>
          <w:ilvl w:val="1"/>
          <w:numId w:val="110"/>
        </w:numPr>
        <w:tabs>
          <w:tab w:val="left" w:pos="1501"/>
        </w:tabs>
        <w:spacing w:before="1"/>
        <w:ind w:left="1501" w:hanging="1246"/>
        <w:jc w:val="both"/>
        <w:rPr>
          <w:rFonts w:ascii="Verdana" w:hAnsi="Verdana"/>
          <w:color w:val="00AFEF"/>
          <w:sz w:val="18"/>
          <w:szCs w:val="18"/>
        </w:rPr>
      </w:pPr>
      <w:bookmarkStart w:id="78" w:name="_bookmark79"/>
      <w:bookmarkEnd w:id="78"/>
      <w:r w:rsidRPr="00EC75B7">
        <w:rPr>
          <w:rFonts w:ascii="Verdana" w:hAnsi="Verdana"/>
          <w:color w:val="00AFEF"/>
          <w:sz w:val="18"/>
          <w:szCs w:val="18"/>
        </w:rPr>
        <w:t xml:space="preserve">Social and </w:t>
      </w:r>
      <w:r w:rsidRPr="00EC75B7">
        <w:rPr>
          <w:rFonts w:ascii="Verdana" w:hAnsi="Verdana"/>
          <w:color w:val="00AFEF"/>
          <w:spacing w:val="-2"/>
          <w:sz w:val="18"/>
          <w:szCs w:val="18"/>
        </w:rPr>
        <w:t xml:space="preserve">economic </w:t>
      </w:r>
      <w:r w:rsidRPr="00EC75B7">
        <w:rPr>
          <w:rFonts w:ascii="Verdana" w:hAnsi="Verdana"/>
          <w:color w:val="00AFEF"/>
          <w:sz w:val="18"/>
          <w:szCs w:val="18"/>
        </w:rPr>
        <w:t>environment</w:t>
      </w:r>
    </w:p>
    <w:p w14:paraId="6C61DB07" w14:textId="77777777" w:rsidR="008715BE" w:rsidRPr="00EC75B7" w:rsidRDefault="00000000">
      <w:pPr>
        <w:pStyle w:val="Heading3"/>
        <w:numPr>
          <w:ilvl w:val="2"/>
          <w:numId w:val="110"/>
        </w:numPr>
        <w:tabs>
          <w:tab w:val="left" w:pos="1912"/>
          <w:tab w:val="left" w:pos="2178"/>
        </w:tabs>
        <w:spacing w:before="132" w:line="357" w:lineRule="auto"/>
        <w:ind w:left="1912" w:right="139" w:hanging="720"/>
        <w:jc w:val="both"/>
        <w:rPr>
          <w:rFonts w:ascii="Verdana" w:hAnsi="Verdana"/>
          <w:i/>
          <w:color w:val="00AFEF"/>
          <w:sz w:val="18"/>
          <w:szCs w:val="18"/>
        </w:rPr>
      </w:pPr>
      <w:bookmarkStart w:id="79" w:name="_bookmark80"/>
      <w:bookmarkEnd w:id="79"/>
      <w:r w:rsidRPr="00EC75B7">
        <w:rPr>
          <w:rFonts w:ascii="Verdana" w:hAnsi="Verdana"/>
          <w:color w:val="00AFEF"/>
          <w:sz w:val="18"/>
          <w:szCs w:val="18"/>
        </w:rPr>
        <w:t>Sensitivity class and magnitude classes for assessing the potential impact on the social and economic environment, including public health</w:t>
      </w:r>
    </w:p>
    <w:p w14:paraId="011C7B88" w14:textId="77777777" w:rsidR="008715BE" w:rsidRPr="00EC75B7" w:rsidRDefault="00000000">
      <w:pPr>
        <w:pStyle w:val="BodyText"/>
        <w:spacing w:before="240" w:line="360" w:lineRule="auto"/>
        <w:ind w:left="255" w:right="139"/>
        <w:jc w:val="both"/>
        <w:rPr>
          <w:rFonts w:ascii="Verdana" w:hAnsi="Verdana"/>
        </w:rPr>
      </w:pPr>
      <w:r w:rsidRPr="00EC75B7">
        <w:rPr>
          <w:rFonts w:ascii="Verdana" w:hAnsi="Verdana"/>
        </w:rPr>
        <w:t>For the component "Social and economic environment, population health, and material goods," the following sensitivity classes have been defined:</w:t>
      </w:r>
    </w:p>
    <w:p w14:paraId="3CBBB7BE" w14:textId="77777777" w:rsidR="008715BE" w:rsidRPr="00EC75B7" w:rsidRDefault="00000000">
      <w:pPr>
        <w:spacing w:before="166"/>
        <w:ind w:left="198"/>
        <w:jc w:val="both"/>
        <w:rPr>
          <w:rFonts w:ascii="Verdana" w:hAnsi="Verdana"/>
          <w:b/>
          <w:sz w:val="18"/>
          <w:szCs w:val="18"/>
        </w:rPr>
      </w:pPr>
      <w:r w:rsidRPr="00EC75B7">
        <w:rPr>
          <w:rFonts w:ascii="Verdana" w:hAnsi="Verdana"/>
          <w:b/>
          <w:color w:val="00AFEF"/>
          <w:sz w:val="18"/>
          <w:szCs w:val="18"/>
        </w:rPr>
        <w:t xml:space="preserve">Table 21 </w:t>
      </w:r>
      <w:r w:rsidRPr="00EC75B7">
        <w:rPr>
          <w:rFonts w:ascii="Verdana" w:hAnsi="Verdana"/>
          <w:b/>
          <w:color w:val="00AFEF"/>
          <w:spacing w:val="-2"/>
          <w:sz w:val="18"/>
          <w:szCs w:val="18"/>
        </w:rPr>
        <w:t xml:space="preserve">Sensitivity </w:t>
      </w:r>
      <w:r w:rsidRPr="00EC75B7">
        <w:rPr>
          <w:rFonts w:ascii="Verdana" w:hAnsi="Verdana"/>
          <w:b/>
          <w:color w:val="00AFEF"/>
          <w:sz w:val="18"/>
          <w:szCs w:val="18"/>
        </w:rPr>
        <w:t>classes</w:t>
      </w:r>
    </w:p>
    <w:tbl>
      <w:tblPr>
        <w:tblStyle w:val="TableNormal1"/>
        <w:tblW w:w="0" w:type="auto"/>
        <w:tblInd w:w="208" w:type="dxa"/>
        <w:tblLayout w:type="fixed"/>
        <w:tblLook w:val="01E0" w:firstRow="1" w:lastRow="1" w:firstColumn="1" w:lastColumn="1" w:noHBand="0" w:noVBand="0"/>
      </w:tblPr>
      <w:tblGrid>
        <w:gridCol w:w="2547"/>
        <w:gridCol w:w="4364"/>
        <w:gridCol w:w="2556"/>
      </w:tblGrid>
      <w:tr w:rsidR="008715BE" w:rsidRPr="00EC75B7" w14:paraId="288EBD49" w14:textId="77777777">
        <w:trPr>
          <w:trHeight w:val="585"/>
        </w:trPr>
        <w:tc>
          <w:tcPr>
            <w:tcW w:w="2547" w:type="dxa"/>
            <w:tcBorders>
              <w:top w:val="dotted" w:sz="4" w:space="0" w:color="D9D9D9"/>
              <w:left w:val="dotted" w:sz="4" w:space="0" w:color="D9D9D9"/>
              <w:bottom w:val="dotted" w:sz="4" w:space="0" w:color="D9D9D9"/>
              <w:right w:val="dotted" w:sz="4" w:space="0" w:color="D9D9D9"/>
            </w:tcBorders>
            <w:shd w:val="clear" w:color="auto" w:fill="00AFEF"/>
          </w:tcPr>
          <w:p w14:paraId="0884DBBB"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color w:val="FFFFFF"/>
                <w:spacing w:val="-2"/>
                <w:sz w:val="18"/>
                <w:szCs w:val="18"/>
              </w:rPr>
              <w:t>Sensitivity</w:t>
            </w:r>
          </w:p>
        </w:tc>
        <w:tc>
          <w:tcPr>
            <w:tcW w:w="4364" w:type="dxa"/>
            <w:tcBorders>
              <w:top w:val="dotted" w:sz="4" w:space="0" w:color="D9D9D9"/>
              <w:left w:val="dotted" w:sz="4" w:space="0" w:color="D9D9D9"/>
              <w:bottom w:val="dotted" w:sz="4" w:space="0" w:color="D9D9D9"/>
              <w:right w:val="dotted" w:sz="4" w:space="0" w:color="D9D9D9"/>
            </w:tcBorders>
            <w:shd w:val="clear" w:color="auto" w:fill="00AFEF"/>
          </w:tcPr>
          <w:p w14:paraId="6BEE3C7E" w14:textId="77777777" w:rsidR="008715BE" w:rsidRPr="00EC75B7" w:rsidRDefault="00000000">
            <w:pPr>
              <w:pStyle w:val="TableParagraph"/>
              <w:spacing w:before="2"/>
              <w:ind w:left="107"/>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classification</w:t>
            </w:r>
          </w:p>
        </w:tc>
        <w:tc>
          <w:tcPr>
            <w:tcW w:w="2556" w:type="dxa"/>
            <w:tcBorders>
              <w:top w:val="dotted" w:sz="4" w:space="0" w:color="D9D9D9"/>
              <w:left w:val="dotted" w:sz="4" w:space="0" w:color="D9D9D9"/>
              <w:bottom w:val="dotted" w:sz="4" w:space="0" w:color="D9D9D9"/>
              <w:right w:val="dotted" w:sz="4" w:space="0" w:color="D9D9D9"/>
            </w:tcBorders>
            <w:shd w:val="clear" w:color="auto" w:fill="00AFEF"/>
          </w:tcPr>
          <w:p w14:paraId="2D93AA61" w14:textId="77777777" w:rsidR="008715BE" w:rsidRPr="00EC75B7" w:rsidRDefault="00000000">
            <w:pPr>
              <w:pStyle w:val="TableParagraph"/>
              <w:tabs>
                <w:tab w:val="left" w:pos="709"/>
                <w:tab w:val="left" w:pos="2340"/>
              </w:tabs>
              <w:spacing w:before="2"/>
              <w:ind w:left="107" w:right="94"/>
              <w:rPr>
                <w:rFonts w:ascii="Verdana" w:hAnsi="Verdana"/>
                <w:b/>
                <w:sz w:val="18"/>
                <w:szCs w:val="18"/>
              </w:rPr>
            </w:pPr>
            <w:r w:rsidRPr="00EC75B7">
              <w:rPr>
                <w:rFonts w:ascii="Verdana" w:hAnsi="Verdana"/>
                <w:b/>
                <w:color w:val="FFFFFF"/>
                <w:sz w:val="18"/>
                <w:szCs w:val="18"/>
              </w:rPr>
              <w:t xml:space="preserve">Areas identified in the </w:t>
            </w:r>
            <w:r w:rsidRPr="00EC75B7">
              <w:rPr>
                <w:rFonts w:ascii="Verdana" w:hAnsi="Verdana"/>
                <w:b/>
                <w:color w:val="FFFFFF"/>
                <w:spacing w:val="-5"/>
                <w:sz w:val="18"/>
                <w:szCs w:val="18"/>
              </w:rPr>
              <w:t>implementation</w:t>
            </w:r>
            <w:r w:rsidRPr="00EC75B7">
              <w:rPr>
                <w:rFonts w:ascii="Verdana" w:hAnsi="Verdana"/>
                <w:b/>
                <w:color w:val="FFFFFF"/>
                <w:sz w:val="18"/>
                <w:szCs w:val="18"/>
              </w:rPr>
              <w:t xml:space="preserve"> area</w:t>
            </w:r>
            <w:r w:rsidRPr="00EC75B7">
              <w:rPr>
                <w:rFonts w:ascii="Verdana" w:hAnsi="Verdana"/>
                <w:b/>
                <w:color w:val="FFFFFF"/>
                <w:sz w:val="18"/>
                <w:szCs w:val="18"/>
              </w:rPr>
              <w:tab/>
            </w:r>
            <w:r w:rsidRPr="00EC75B7">
              <w:rPr>
                <w:rFonts w:ascii="Verdana" w:hAnsi="Verdana"/>
                <w:b/>
                <w:color w:val="FFFFFF"/>
                <w:spacing w:val="-2"/>
                <w:sz w:val="18"/>
                <w:szCs w:val="18"/>
              </w:rPr>
              <w:t>implementation</w:t>
            </w:r>
            <w:r w:rsidRPr="00EC75B7">
              <w:rPr>
                <w:rFonts w:ascii="Verdana" w:hAnsi="Verdana"/>
                <w:b/>
                <w:color w:val="FFFFFF"/>
                <w:sz w:val="18"/>
                <w:szCs w:val="18"/>
              </w:rPr>
              <w:tab/>
            </w:r>
            <w:r w:rsidRPr="00EC75B7">
              <w:rPr>
                <w:rFonts w:ascii="Verdana" w:hAnsi="Verdana"/>
                <w:b/>
                <w:color w:val="FFFFFF"/>
                <w:spacing w:val="-10"/>
                <w:sz w:val="18"/>
                <w:szCs w:val="18"/>
              </w:rPr>
              <w:t>of</w:t>
            </w:r>
          </w:p>
          <w:p w14:paraId="14FC27C7" w14:textId="77777777" w:rsidR="008715BE" w:rsidRPr="00EC75B7" w:rsidRDefault="00000000">
            <w:pPr>
              <w:pStyle w:val="TableParagraph"/>
              <w:spacing w:line="173"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3248DC4B" w14:textId="77777777">
        <w:trPr>
          <w:trHeight w:val="194"/>
        </w:trPr>
        <w:tc>
          <w:tcPr>
            <w:tcW w:w="9467" w:type="dxa"/>
            <w:gridSpan w:val="3"/>
            <w:tcBorders>
              <w:top w:val="dotted" w:sz="4" w:space="0" w:color="D9D9D9"/>
              <w:left w:val="dotted" w:sz="4" w:space="0" w:color="D9D9D9"/>
              <w:bottom w:val="dotted" w:sz="4" w:space="0" w:color="D9D9D9"/>
              <w:right w:val="dotted" w:sz="4" w:space="0" w:color="D9D9D9"/>
            </w:tcBorders>
            <w:shd w:val="clear" w:color="auto" w:fill="D9E1F3"/>
          </w:tcPr>
          <w:p w14:paraId="070051A5"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2"/>
                <w:sz w:val="18"/>
                <w:szCs w:val="18"/>
              </w:rPr>
              <w:t>SOCIAL AND ECONOMIC ENVIRONMENT</w:t>
            </w:r>
          </w:p>
        </w:tc>
      </w:tr>
      <w:tr w:rsidR="008715BE" w:rsidRPr="00EC75B7" w14:paraId="2E44B55B" w14:textId="77777777" w:rsidTr="001A36C7">
        <w:trPr>
          <w:trHeight w:val="194"/>
        </w:trPr>
        <w:tc>
          <w:tcPr>
            <w:tcW w:w="2547" w:type="dxa"/>
            <w:tcBorders>
              <w:top w:val="dotted" w:sz="4" w:space="0" w:color="D9D9D9"/>
              <w:left w:val="dotted" w:sz="4" w:space="0" w:color="D9D9D9"/>
              <w:right w:val="single" w:sz="4" w:space="0" w:color="auto"/>
            </w:tcBorders>
            <w:shd w:val="clear" w:color="auto" w:fill="92D050"/>
          </w:tcPr>
          <w:p w14:paraId="3037E950"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4"/>
                <w:sz w:val="18"/>
                <w:szCs w:val="18"/>
              </w:rPr>
              <w:t>Small</w:t>
            </w:r>
          </w:p>
        </w:tc>
        <w:tc>
          <w:tcPr>
            <w:tcW w:w="4364" w:type="dxa"/>
            <w:tcBorders>
              <w:top w:val="single" w:sz="4" w:space="0" w:color="auto"/>
              <w:left w:val="single" w:sz="4" w:space="0" w:color="auto"/>
              <w:bottom w:val="single" w:sz="4" w:space="0" w:color="auto"/>
              <w:right w:val="single" w:sz="4" w:space="0" w:color="auto"/>
            </w:tcBorders>
            <w:shd w:val="clear" w:color="auto" w:fill="D9D9D9"/>
          </w:tcPr>
          <w:p w14:paraId="103B7812" w14:textId="5F8F3729" w:rsidR="008715BE" w:rsidRDefault="00000000" w:rsidP="001A36C7">
            <w:pPr>
              <w:pStyle w:val="TableParagraph"/>
              <w:spacing w:line="174" w:lineRule="exact"/>
              <w:ind w:left="107"/>
              <w:jc w:val="both"/>
              <w:rPr>
                <w:rFonts w:ascii="Verdana" w:hAnsi="Verdana"/>
                <w:spacing w:val="-2"/>
                <w:sz w:val="18"/>
                <w:szCs w:val="18"/>
              </w:rPr>
            </w:pPr>
            <w:r w:rsidRPr="00EC75B7">
              <w:rPr>
                <w:rFonts w:ascii="Verdana" w:hAnsi="Verdana"/>
                <w:sz w:val="18"/>
                <w:szCs w:val="18"/>
              </w:rPr>
              <w:t xml:space="preserve">Are there water or other </w:t>
            </w:r>
            <w:r w:rsidRPr="00EC75B7">
              <w:rPr>
                <w:rFonts w:ascii="Verdana" w:hAnsi="Verdana"/>
                <w:spacing w:val="-2"/>
                <w:sz w:val="18"/>
                <w:szCs w:val="18"/>
              </w:rPr>
              <w:t xml:space="preserve">resources </w:t>
            </w:r>
            <w:r w:rsidRPr="00EC75B7">
              <w:rPr>
                <w:rFonts w:ascii="Verdana" w:hAnsi="Verdana"/>
                <w:sz w:val="18"/>
                <w:szCs w:val="18"/>
              </w:rPr>
              <w:t>in the area</w:t>
            </w:r>
            <w:r w:rsidR="001A36C7">
              <w:rPr>
                <w:rFonts w:ascii="Verdana" w:hAnsi="Verdana"/>
                <w:sz w:val="18"/>
                <w:szCs w:val="18"/>
              </w:rPr>
              <w:t xml:space="preserve"> </w:t>
            </w:r>
            <w:r w:rsidR="001A36C7" w:rsidRPr="00EC75B7">
              <w:rPr>
                <w:rFonts w:ascii="Verdana" w:hAnsi="Verdana"/>
                <w:sz w:val="18"/>
                <w:szCs w:val="18"/>
              </w:rPr>
              <w:t xml:space="preserve">affected, with the community having access to </w:t>
            </w:r>
            <w:r w:rsidR="001A36C7" w:rsidRPr="00EC75B7">
              <w:rPr>
                <w:rFonts w:ascii="Verdana" w:hAnsi="Verdana"/>
                <w:spacing w:val="-4"/>
                <w:sz w:val="18"/>
                <w:szCs w:val="18"/>
              </w:rPr>
              <w:t>other</w:t>
            </w:r>
            <w:r w:rsidR="001A36C7" w:rsidRPr="00EC75B7">
              <w:rPr>
                <w:rFonts w:ascii="Verdana" w:hAnsi="Verdana"/>
                <w:sz w:val="18"/>
                <w:szCs w:val="18"/>
              </w:rPr>
              <w:t xml:space="preserve"> affected, proposed </w:t>
            </w:r>
            <w:r w:rsidR="001A36C7" w:rsidRPr="00EC75B7">
              <w:rPr>
                <w:rFonts w:ascii="Verdana" w:hAnsi="Verdana"/>
                <w:spacing w:val="-2"/>
                <w:sz w:val="18"/>
                <w:szCs w:val="18"/>
              </w:rPr>
              <w:t xml:space="preserve">investments </w:t>
            </w:r>
            <w:r w:rsidR="001A36C7" w:rsidRPr="00EC75B7">
              <w:rPr>
                <w:rFonts w:ascii="Verdana" w:hAnsi="Verdana"/>
                <w:sz w:val="18"/>
                <w:szCs w:val="18"/>
              </w:rPr>
              <w:t>through this</w:t>
            </w:r>
            <w:r w:rsidR="001A36C7">
              <w:rPr>
                <w:rFonts w:ascii="Verdana" w:hAnsi="Verdana"/>
                <w:sz w:val="18"/>
                <w:szCs w:val="18"/>
              </w:rPr>
              <w:t xml:space="preserve"> </w:t>
            </w:r>
            <w:r w:rsidR="001A36C7" w:rsidRPr="00EC75B7">
              <w:rPr>
                <w:rFonts w:ascii="Verdana" w:hAnsi="Verdana"/>
                <w:sz w:val="18"/>
                <w:szCs w:val="18"/>
              </w:rPr>
              <w:t xml:space="preserve">may indirectly cause </w:t>
            </w:r>
            <w:r w:rsidR="001A36C7" w:rsidRPr="00EC75B7">
              <w:rPr>
                <w:rFonts w:ascii="Verdana" w:hAnsi="Verdana"/>
                <w:spacing w:val="-2"/>
                <w:sz w:val="18"/>
                <w:szCs w:val="18"/>
              </w:rPr>
              <w:t xml:space="preserve">minor </w:t>
            </w:r>
            <w:r w:rsidR="001A36C7" w:rsidRPr="00EC75B7">
              <w:rPr>
                <w:rFonts w:ascii="Verdana" w:hAnsi="Verdana"/>
                <w:sz w:val="18"/>
                <w:szCs w:val="18"/>
              </w:rPr>
              <w:t>negative impacts</w:t>
            </w:r>
            <w:r w:rsidR="001A36C7" w:rsidRPr="00EC75B7">
              <w:rPr>
                <w:rFonts w:ascii="Verdana" w:hAnsi="Verdana"/>
                <w:spacing w:val="-2"/>
                <w:sz w:val="18"/>
                <w:szCs w:val="18"/>
              </w:rPr>
              <w:t>.</w:t>
            </w:r>
            <w:r w:rsidR="001A36C7">
              <w:rPr>
                <w:rFonts w:ascii="Verdana" w:hAnsi="Verdana"/>
                <w:spacing w:val="-2"/>
                <w:sz w:val="18"/>
                <w:szCs w:val="18"/>
              </w:rPr>
              <w:t xml:space="preserve"> </w:t>
            </w:r>
            <w:r w:rsidR="001A36C7" w:rsidRPr="00EC75B7">
              <w:rPr>
                <w:rFonts w:ascii="Verdana" w:hAnsi="Verdana"/>
                <w:sz w:val="18"/>
                <w:szCs w:val="18"/>
              </w:rPr>
              <w:t xml:space="preserve">Areas where there is no skilled </w:t>
            </w:r>
            <w:r w:rsidR="001A36C7" w:rsidRPr="00EC75B7">
              <w:rPr>
                <w:rFonts w:ascii="Verdana" w:hAnsi="Verdana"/>
                <w:spacing w:val="-5"/>
                <w:sz w:val="18"/>
                <w:szCs w:val="18"/>
              </w:rPr>
              <w:t>or</w:t>
            </w:r>
            <w:r w:rsidR="001A36C7">
              <w:rPr>
                <w:rFonts w:ascii="Verdana" w:hAnsi="Verdana"/>
                <w:spacing w:val="-5"/>
                <w:sz w:val="18"/>
                <w:szCs w:val="18"/>
              </w:rPr>
              <w:t xml:space="preserve"> </w:t>
            </w:r>
            <w:r w:rsidR="001A36C7" w:rsidRPr="00EC75B7">
              <w:rPr>
                <w:rFonts w:ascii="Verdana" w:hAnsi="Verdana"/>
                <w:spacing w:val="-2"/>
                <w:sz w:val="18"/>
                <w:szCs w:val="18"/>
              </w:rPr>
              <w:t xml:space="preserve">relevant </w:t>
            </w:r>
            <w:r w:rsidR="001A36C7" w:rsidRPr="00EC75B7">
              <w:rPr>
                <w:rFonts w:ascii="Verdana" w:hAnsi="Verdana"/>
                <w:sz w:val="18"/>
                <w:szCs w:val="18"/>
              </w:rPr>
              <w:t>experience</w:t>
            </w:r>
            <w:r w:rsidR="001A36C7" w:rsidRPr="00EC75B7">
              <w:rPr>
                <w:rFonts w:ascii="Verdana" w:hAnsi="Verdana"/>
                <w:spacing w:val="-2"/>
                <w:sz w:val="18"/>
                <w:szCs w:val="18"/>
              </w:rPr>
              <w:t>.</w:t>
            </w:r>
            <w:r w:rsidR="001A36C7">
              <w:rPr>
                <w:rFonts w:ascii="Verdana" w:hAnsi="Verdana"/>
                <w:spacing w:val="-2"/>
                <w:sz w:val="18"/>
                <w:szCs w:val="18"/>
              </w:rPr>
              <w:t xml:space="preserve"> </w:t>
            </w:r>
            <w:r w:rsidR="001A36C7" w:rsidRPr="001A36C7">
              <w:rPr>
                <w:rFonts w:ascii="Verdana" w:hAnsi="Verdana"/>
                <w:spacing w:val="-2"/>
                <w:sz w:val="18"/>
                <w:szCs w:val="18"/>
              </w:rPr>
              <w:t>Concerns from stakeholders regarding</w:t>
            </w:r>
            <w:r w:rsidR="001A36C7">
              <w:rPr>
                <w:rFonts w:ascii="Verdana" w:hAnsi="Verdana"/>
                <w:spacing w:val="-2"/>
                <w:sz w:val="18"/>
                <w:szCs w:val="18"/>
              </w:rPr>
              <w:t xml:space="preserve"> </w:t>
            </w:r>
            <w:r w:rsidR="001A36C7" w:rsidRPr="001A36C7">
              <w:rPr>
                <w:rFonts w:ascii="Verdana" w:hAnsi="Verdana"/>
                <w:spacing w:val="-2"/>
                <w:sz w:val="18"/>
                <w:szCs w:val="18"/>
              </w:rPr>
              <w:t>concerns the emergence of forms of impact on</w:t>
            </w:r>
            <w:r w:rsidR="001A36C7">
              <w:rPr>
                <w:rFonts w:ascii="Verdana" w:hAnsi="Verdana"/>
                <w:spacing w:val="-2"/>
                <w:sz w:val="18"/>
                <w:szCs w:val="18"/>
              </w:rPr>
              <w:t xml:space="preserve"> </w:t>
            </w:r>
            <w:r w:rsidR="001A36C7" w:rsidRPr="001A36C7">
              <w:rPr>
                <w:rFonts w:ascii="Verdana" w:hAnsi="Verdana"/>
                <w:spacing w:val="-2"/>
                <w:sz w:val="18"/>
                <w:szCs w:val="18"/>
              </w:rPr>
              <w:t>the local community.</w:t>
            </w:r>
            <w:r w:rsidR="001A36C7">
              <w:rPr>
                <w:rFonts w:ascii="Verdana" w:hAnsi="Verdana"/>
                <w:spacing w:val="-2"/>
                <w:sz w:val="18"/>
                <w:szCs w:val="18"/>
              </w:rPr>
              <w:t xml:space="preserve"> </w:t>
            </w:r>
            <w:r w:rsidR="001A36C7" w:rsidRPr="001A36C7">
              <w:rPr>
                <w:rFonts w:ascii="Verdana" w:hAnsi="Verdana"/>
                <w:spacing w:val="-2"/>
                <w:sz w:val="18"/>
                <w:szCs w:val="18"/>
              </w:rPr>
              <w:t>Areas where the proposed development may affect</w:t>
            </w:r>
            <w:r w:rsidR="001A36C7">
              <w:rPr>
                <w:rFonts w:ascii="Verdana" w:hAnsi="Verdana"/>
                <w:spacing w:val="-2"/>
                <w:sz w:val="18"/>
                <w:szCs w:val="18"/>
              </w:rPr>
              <w:t xml:space="preserve"> </w:t>
            </w:r>
            <w:r w:rsidR="001A36C7" w:rsidRPr="001A36C7">
              <w:rPr>
                <w:rFonts w:ascii="Verdana" w:hAnsi="Verdana"/>
                <w:spacing w:val="-2"/>
                <w:sz w:val="18"/>
                <w:szCs w:val="18"/>
              </w:rPr>
              <w:t>indigenous ethnic minorities.</w:t>
            </w:r>
          </w:p>
          <w:p w14:paraId="6BFE6126" w14:textId="69BBAA64" w:rsidR="001A36C7" w:rsidRPr="00EC75B7" w:rsidRDefault="001A36C7">
            <w:pPr>
              <w:pStyle w:val="TableParagraph"/>
              <w:spacing w:line="174" w:lineRule="exact"/>
              <w:ind w:left="107"/>
              <w:rPr>
                <w:rFonts w:ascii="Verdana" w:hAnsi="Verdana"/>
                <w:sz w:val="18"/>
                <w:szCs w:val="18"/>
              </w:rPr>
            </w:pPr>
          </w:p>
        </w:tc>
        <w:tc>
          <w:tcPr>
            <w:tcW w:w="2556" w:type="dxa"/>
            <w:tcBorders>
              <w:left w:val="single" w:sz="4" w:space="0" w:color="auto"/>
              <w:right w:val="dotted" w:sz="4" w:space="0" w:color="D9D9D9"/>
            </w:tcBorders>
            <w:shd w:val="clear" w:color="auto" w:fill="D9D9D9"/>
          </w:tcPr>
          <w:p w14:paraId="7D43E9C7" w14:textId="794012D3" w:rsidR="001A36C7" w:rsidRPr="001A36C7" w:rsidRDefault="00000000" w:rsidP="001A36C7">
            <w:pPr>
              <w:pStyle w:val="TableParagraph"/>
              <w:spacing w:line="174" w:lineRule="exact"/>
              <w:ind w:left="14"/>
              <w:jc w:val="both"/>
              <w:rPr>
                <w:rFonts w:ascii="Verdana" w:hAnsi="Verdana"/>
                <w:spacing w:val="-5"/>
                <w:sz w:val="18"/>
                <w:szCs w:val="18"/>
              </w:rPr>
            </w:pPr>
            <w:r w:rsidRPr="00EC75B7">
              <w:rPr>
                <w:rFonts w:ascii="Verdana" w:hAnsi="Verdana"/>
                <w:sz w:val="18"/>
                <w:szCs w:val="18"/>
              </w:rPr>
              <w:t>The entire</w:t>
            </w:r>
            <w:r w:rsidRPr="00EC75B7">
              <w:rPr>
                <w:rFonts w:ascii="Verdana" w:hAnsi="Verdana"/>
                <w:spacing w:val="39"/>
                <w:sz w:val="18"/>
                <w:szCs w:val="18"/>
              </w:rPr>
              <w:t xml:space="preserve">  </w:t>
            </w:r>
            <w:r w:rsidRPr="00EC75B7">
              <w:rPr>
                <w:rFonts w:ascii="Verdana" w:hAnsi="Verdana"/>
                <w:sz w:val="18"/>
                <w:szCs w:val="18"/>
              </w:rPr>
              <w:t xml:space="preserve"> area</w:t>
            </w:r>
            <w:r w:rsidRPr="00EC75B7">
              <w:rPr>
                <w:rFonts w:ascii="Verdana" w:hAnsi="Verdana"/>
                <w:spacing w:val="39"/>
                <w:sz w:val="18"/>
                <w:szCs w:val="18"/>
              </w:rPr>
              <w:t xml:space="preserve">  </w:t>
            </w:r>
            <w:r w:rsidRPr="00EC75B7">
              <w:rPr>
                <w:rFonts w:ascii="Verdana" w:hAnsi="Verdana"/>
                <w:sz w:val="18"/>
                <w:szCs w:val="18"/>
              </w:rPr>
              <w:t xml:space="preserve"> where</w:t>
            </w:r>
            <w:r w:rsidRPr="00EC75B7">
              <w:rPr>
                <w:rFonts w:ascii="Verdana" w:hAnsi="Verdana"/>
                <w:spacing w:val="38"/>
                <w:sz w:val="18"/>
                <w:szCs w:val="18"/>
              </w:rPr>
              <w:t xml:space="preserve">  </w:t>
            </w:r>
            <w:r w:rsidRPr="00EC75B7">
              <w:rPr>
                <w:rFonts w:ascii="Verdana" w:hAnsi="Verdana"/>
                <w:spacing w:val="-4"/>
                <w:sz w:val="18"/>
                <w:szCs w:val="18"/>
              </w:rPr>
              <w:t xml:space="preserve"> are</w:t>
            </w:r>
            <w:r w:rsidR="001A36C7">
              <w:rPr>
                <w:rFonts w:ascii="Verdana" w:hAnsi="Verdana"/>
                <w:spacing w:val="-4"/>
                <w:sz w:val="18"/>
                <w:szCs w:val="18"/>
              </w:rPr>
              <w:t xml:space="preserve"> </w:t>
            </w:r>
            <w:r w:rsidR="001A36C7" w:rsidRPr="00EC75B7">
              <w:rPr>
                <w:rFonts w:ascii="Verdana" w:hAnsi="Verdana"/>
                <w:sz w:val="18"/>
                <w:szCs w:val="18"/>
              </w:rPr>
              <w:t xml:space="preserve">proposed investments through </w:t>
            </w:r>
            <w:r w:rsidR="001A36C7" w:rsidRPr="00EC75B7">
              <w:rPr>
                <w:rFonts w:ascii="Verdana" w:hAnsi="Verdana"/>
                <w:spacing w:val="-2"/>
                <w:sz w:val="18"/>
                <w:szCs w:val="18"/>
              </w:rPr>
              <w:t>this</w:t>
            </w:r>
            <w:r w:rsidR="001A36C7">
              <w:rPr>
                <w:rFonts w:ascii="Verdana" w:hAnsi="Verdana"/>
                <w:spacing w:val="-2"/>
                <w:sz w:val="18"/>
                <w:szCs w:val="18"/>
              </w:rPr>
              <w:t xml:space="preserve"> </w:t>
            </w:r>
            <w:r w:rsidR="001A36C7" w:rsidRPr="00EC75B7">
              <w:rPr>
                <w:rFonts w:ascii="Verdana" w:hAnsi="Verdana"/>
                <w:spacing w:val="-2"/>
                <w:sz w:val="18"/>
                <w:szCs w:val="18"/>
              </w:rPr>
              <w:t>project</w:t>
            </w:r>
            <w:r w:rsidR="001A36C7">
              <w:rPr>
                <w:rFonts w:ascii="Verdana" w:hAnsi="Verdana"/>
                <w:sz w:val="18"/>
                <w:szCs w:val="18"/>
              </w:rPr>
              <w:t xml:space="preserve"> </w:t>
            </w:r>
            <w:r w:rsidR="001A36C7" w:rsidRPr="00EC75B7">
              <w:rPr>
                <w:rFonts w:ascii="Verdana" w:hAnsi="Verdana"/>
                <w:spacing w:val="-5"/>
                <w:sz w:val="18"/>
                <w:szCs w:val="18"/>
              </w:rPr>
              <w:t>characterizes</w:t>
            </w:r>
            <w:r w:rsidR="001A36C7">
              <w:rPr>
                <w:rFonts w:ascii="Verdana" w:hAnsi="Verdana"/>
                <w:spacing w:val="-5"/>
                <w:sz w:val="18"/>
                <w:szCs w:val="18"/>
              </w:rPr>
              <w:t xml:space="preserve"> </w:t>
            </w:r>
            <w:r w:rsidR="001A36C7" w:rsidRPr="001A36C7">
              <w:rPr>
                <w:rFonts w:ascii="Verdana" w:hAnsi="Verdana"/>
                <w:spacing w:val="-5"/>
                <w:sz w:val="18"/>
                <w:szCs w:val="18"/>
              </w:rPr>
              <w:t>by a sensitivity class</w:t>
            </w:r>
            <w:r w:rsidR="001A36C7">
              <w:rPr>
                <w:rFonts w:ascii="Verdana" w:hAnsi="Verdana"/>
                <w:spacing w:val="-5"/>
                <w:sz w:val="18"/>
                <w:szCs w:val="18"/>
              </w:rPr>
              <w:t xml:space="preserve"> </w:t>
            </w:r>
            <w:r w:rsidR="001A36C7" w:rsidRPr="001A36C7">
              <w:rPr>
                <w:rFonts w:ascii="Verdana" w:hAnsi="Verdana"/>
                <w:spacing w:val="-5"/>
                <w:sz w:val="18"/>
                <w:szCs w:val="18"/>
              </w:rPr>
              <w:t>small in terms of</w:t>
            </w:r>
            <w:r w:rsidR="001A36C7">
              <w:rPr>
                <w:rFonts w:ascii="Verdana" w:hAnsi="Verdana"/>
                <w:spacing w:val="-5"/>
                <w:sz w:val="18"/>
                <w:szCs w:val="18"/>
              </w:rPr>
              <w:t xml:space="preserve"> </w:t>
            </w:r>
            <w:r w:rsidR="001A36C7" w:rsidRPr="001A36C7">
              <w:rPr>
                <w:rFonts w:ascii="Verdana" w:hAnsi="Verdana"/>
                <w:spacing w:val="-5"/>
                <w:sz w:val="18"/>
                <w:szCs w:val="18"/>
              </w:rPr>
              <w:t>social and economic environment</w:t>
            </w:r>
          </w:p>
          <w:p w14:paraId="18E1ECC3" w14:textId="01A3D72A" w:rsidR="008715BE" w:rsidRPr="001A36C7" w:rsidRDefault="001A36C7" w:rsidP="001A36C7">
            <w:pPr>
              <w:pStyle w:val="TableParagraph"/>
              <w:spacing w:line="174" w:lineRule="exact"/>
              <w:ind w:left="14"/>
              <w:jc w:val="both"/>
              <w:rPr>
                <w:rFonts w:ascii="Verdana" w:hAnsi="Verdana"/>
                <w:spacing w:val="-5"/>
                <w:sz w:val="18"/>
                <w:szCs w:val="18"/>
              </w:rPr>
            </w:pPr>
            <w:r w:rsidRPr="001A36C7">
              <w:rPr>
                <w:rFonts w:ascii="Verdana" w:hAnsi="Verdana"/>
                <w:spacing w:val="-5"/>
                <w:sz w:val="18"/>
                <w:szCs w:val="18"/>
              </w:rPr>
              <w:t>given that the project</w:t>
            </w:r>
            <w:r>
              <w:rPr>
                <w:rFonts w:ascii="Verdana" w:hAnsi="Verdana"/>
                <w:spacing w:val="-5"/>
                <w:sz w:val="18"/>
                <w:szCs w:val="18"/>
              </w:rPr>
              <w:t xml:space="preserve"> </w:t>
            </w:r>
            <w:r w:rsidRPr="001A36C7">
              <w:rPr>
                <w:rFonts w:ascii="Verdana" w:hAnsi="Verdana"/>
                <w:spacing w:val="-5"/>
                <w:sz w:val="18"/>
                <w:szCs w:val="18"/>
              </w:rPr>
              <w:t>located   in a   area</w:t>
            </w:r>
            <w:r>
              <w:rPr>
                <w:rFonts w:ascii="Verdana" w:hAnsi="Verdana"/>
                <w:spacing w:val="-5"/>
                <w:sz w:val="18"/>
                <w:szCs w:val="18"/>
              </w:rPr>
              <w:t xml:space="preserve"> </w:t>
            </w:r>
            <w:r w:rsidRPr="001A36C7">
              <w:rPr>
                <w:rFonts w:ascii="Verdana" w:hAnsi="Verdana"/>
                <w:spacing w:val="-5"/>
                <w:sz w:val="18"/>
                <w:szCs w:val="18"/>
              </w:rPr>
              <w:t>predominantly agricultural in which</w:t>
            </w:r>
            <w:r>
              <w:rPr>
                <w:rFonts w:ascii="Verdana" w:hAnsi="Verdana"/>
                <w:spacing w:val="-5"/>
                <w:sz w:val="18"/>
                <w:szCs w:val="18"/>
              </w:rPr>
              <w:t xml:space="preserve"> </w:t>
            </w:r>
            <w:r w:rsidRPr="001A36C7">
              <w:rPr>
                <w:rFonts w:ascii="Verdana" w:hAnsi="Verdana"/>
                <w:spacing w:val="-5"/>
                <w:sz w:val="18"/>
                <w:szCs w:val="18"/>
              </w:rPr>
              <w:t>communities that use</w:t>
            </w:r>
            <w:r>
              <w:rPr>
                <w:rFonts w:ascii="Verdana" w:hAnsi="Verdana"/>
                <w:spacing w:val="-5"/>
                <w:sz w:val="18"/>
                <w:szCs w:val="18"/>
              </w:rPr>
              <w:t xml:space="preserve"> </w:t>
            </w:r>
            <w:r w:rsidRPr="001A36C7">
              <w:rPr>
                <w:rFonts w:ascii="Verdana" w:hAnsi="Verdana"/>
                <w:spacing w:val="-5"/>
                <w:sz w:val="18"/>
                <w:szCs w:val="18"/>
              </w:rPr>
              <w:t>affected resources have access to</w:t>
            </w:r>
            <w:r>
              <w:rPr>
                <w:rFonts w:ascii="Verdana" w:hAnsi="Verdana"/>
                <w:spacing w:val="-5"/>
                <w:sz w:val="18"/>
                <w:szCs w:val="18"/>
              </w:rPr>
              <w:t xml:space="preserve"> </w:t>
            </w:r>
            <w:r w:rsidRPr="001A36C7">
              <w:rPr>
                <w:rFonts w:ascii="Verdana" w:hAnsi="Verdana"/>
                <w:spacing w:val="-5"/>
                <w:sz w:val="18"/>
                <w:szCs w:val="18"/>
              </w:rPr>
              <w:t>nearby alternatives.</w:t>
            </w:r>
          </w:p>
        </w:tc>
      </w:tr>
    </w:tbl>
    <w:p w14:paraId="279DBDC2" w14:textId="77777777" w:rsidR="008715BE" w:rsidRPr="00EC75B7" w:rsidRDefault="008715BE">
      <w:pPr>
        <w:pStyle w:val="TableParagraph"/>
        <w:spacing w:line="174" w:lineRule="exact"/>
        <w:rPr>
          <w:rFonts w:ascii="Verdana" w:hAnsi="Verdana"/>
          <w:sz w:val="18"/>
          <w:szCs w:val="18"/>
        </w:rPr>
        <w:sectPr w:rsidR="008715BE" w:rsidRPr="00EC75B7">
          <w:pgSz w:w="11910" w:h="16840"/>
          <w:pgMar w:top="1320" w:right="850" w:bottom="1020" w:left="992" w:header="766" w:footer="824" w:gutter="0"/>
          <w:cols w:space="708"/>
        </w:sectPr>
      </w:pPr>
    </w:p>
    <w:p w14:paraId="698585E1" w14:textId="77777777" w:rsidR="008715BE" w:rsidRPr="00EC75B7" w:rsidRDefault="008715BE">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97"/>
        <w:gridCol w:w="4451"/>
        <w:gridCol w:w="2607"/>
      </w:tblGrid>
      <w:tr w:rsidR="008715BE" w:rsidRPr="00EC75B7" w14:paraId="7372D657" w14:textId="77777777" w:rsidTr="001A36C7">
        <w:trPr>
          <w:trHeight w:val="672"/>
        </w:trPr>
        <w:tc>
          <w:tcPr>
            <w:tcW w:w="2597" w:type="dxa"/>
            <w:shd w:val="clear" w:color="auto" w:fill="00AFEF"/>
          </w:tcPr>
          <w:p w14:paraId="426DF0BD"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4451" w:type="dxa"/>
            <w:shd w:val="clear" w:color="auto" w:fill="00AFEF"/>
          </w:tcPr>
          <w:p w14:paraId="0EB96100"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classification</w:t>
            </w:r>
          </w:p>
        </w:tc>
        <w:tc>
          <w:tcPr>
            <w:tcW w:w="2607" w:type="dxa"/>
            <w:shd w:val="clear" w:color="auto" w:fill="00AFEF"/>
          </w:tcPr>
          <w:p w14:paraId="78CAE469" w14:textId="5AC4150F" w:rsidR="008715BE" w:rsidRPr="00EC75B7" w:rsidRDefault="00000000">
            <w:pPr>
              <w:pStyle w:val="TableParagraph"/>
              <w:tabs>
                <w:tab w:val="left" w:pos="709"/>
                <w:tab w:val="left" w:pos="2340"/>
              </w:tabs>
              <w:spacing w:before="8"/>
              <w:ind w:left="107" w:right="94"/>
              <w:rPr>
                <w:rFonts w:ascii="Verdana" w:hAnsi="Verdana"/>
                <w:b/>
                <w:sz w:val="18"/>
                <w:szCs w:val="18"/>
              </w:rPr>
            </w:pPr>
            <w:r w:rsidRPr="00EC75B7">
              <w:rPr>
                <w:rFonts w:ascii="Verdana" w:hAnsi="Verdana"/>
                <w:b/>
                <w:color w:val="FFFFFF"/>
                <w:sz w:val="18"/>
                <w:szCs w:val="18"/>
              </w:rPr>
              <w:t xml:space="preserve">Areas identified in the </w:t>
            </w:r>
            <w:r w:rsidRPr="00EC75B7">
              <w:rPr>
                <w:rFonts w:ascii="Verdana" w:hAnsi="Verdana"/>
                <w:b/>
                <w:color w:val="FFFFFF"/>
                <w:spacing w:val="-5"/>
                <w:sz w:val="18"/>
                <w:szCs w:val="18"/>
              </w:rPr>
              <w:t>implementation</w:t>
            </w:r>
            <w:r w:rsidRPr="00EC75B7">
              <w:rPr>
                <w:rFonts w:ascii="Verdana" w:hAnsi="Verdana"/>
                <w:b/>
                <w:color w:val="FFFFFF"/>
                <w:sz w:val="18"/>
                <w:szCs w:val="18"/>
              </w:rPr>
              <w:t xml:space="preserve"> area</w:t>
            </w:r>
            <w:r w:rsidR="001A36C7">
              <w:rPr>
                <w:rFonts w:ascii="Verdana" w:hAnsi="Verdana"/>
                <w:b/>
                <w:color w:val="FFFFFF"/>
                <w:sz w:val="18"/>
                <w:szCs w:val="18"/>
              </w:rPr>
              <w:t xml:space="preserve"> of</w:t>
            </w:r>
          </w:p>
          <w:p w14:paraId="1AA97ED1" w14:textId="77777777" w:rsidR="008715BE" w:rsidRPr="00EC75B7" w:rsidRDefault="00000000">
            <w:pPr>
              <w:pStyle w:val="TableParagraph"/>
              <w:spacing w:line="164"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79A5A6AE" w14:textId="77777777" w:rsidTr="001A36C7">
        <w:trPr>
          <w:trHeight w:val="2917"/>
        </w:trPr>
        <w:tc>
          <w:tcPr>
            <w:tcW w:w="2597" w:type="dxa"/>
            <w:shd w:val="clear" w:color="auto" w:fill="FFFF00"/>
          </w:tcPr>
          <w:p w14:paraId="1795AD3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51" w:type="dxa"/>
          </w:tcPr>
          <w:p w14:paraId="6422AFC8" w14:textId="77777777" w:rsidR="008715BE" w:rsidRPr="00EC75B7" w:rsidRDefault="00000000">
            <w:pPr>
              <w:pStyle w:val="TableParagraph"/>
              <w:spacing w:before="8"/>
              <w:ind w:left="107" w:right="70"/>
              <w:rPr>
                <w:rFonts w:ascii="Verdana" w:hAnsi="Verdana"/>
                <w:sz w:val="18"/>
                <w:szCs w:val="18"/>
              </w:rPr>
            </w:pPr>
            <w:r w:rsidRPr="00EC75B7">
              <w:rPr>
                <w:rFonts w:ascii="Verdana" w:hAnsi="Verdana"/>
                <w:sz w:val="18"/>
                <w:szCs w:val="18"/>
              </w:rPr>
              <w:t xml:space="preserve">There are affected water resources in the area, the community has no access to other alternative sources nearby, Areas with a workforce with </w:t>
            </w:r>
            <w:r w:rsidRPr="00EC75B7">
              <w:rPr>
                <w:rFonts w:ascii="Verdana" w:hAnsi="Verdana"/>
                <w:spacing w:val="-2"/>
                <w:sz w:val="18"/>
                <w:szCs w:val="18"/>
              </w:rPr>
              <w:t>little</w:t>
            </w:r>
            <w:r w:rsidRPr="00EC75B7">
              <w:rPr>
                <w:rFonts w:ascii="Verdana" w:hAnsi="Verdana"/>
                <w:sz w:val="18"/>
                <w:szCs w:val="18"/>
              </w:rPr>
              <w:t xml:space="preserve"> experience</w:t>
            </w:r>
          </w:p>
          <w:p w14:paraId="21BE6A38"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The community believes that the development of the project will affect their quality of life for an acceptable period (&lt;1 year)</w:t>
            </w:r>
          </w:p>
          <w:p w14:paraId="20FDA2AA"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 xml:space="preserve">Some stakeholders express concerns about certain forms of impact on some </w:t>
            </w:r>
            <w:r w:rsidRPr="00EC75B7">
              <w:rPr>
                <w:rFonts w:ascii="Verdana" w:hAnsi="Verdana"/>
                <w:spacing w:val="-2"/>
                <w:sz w:val="18"/>
                <w:szCs w:val="18"/>
              </w:rPr>
              <w:t>communities</w:t>
            </w:r>
          </w:p>
          <w:p w14:paraId="3D560FB3"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The area is characterized by the presence of communities made up of</w:t>
            </w:r>
            <w:r w:rsidRPr="00EC75B7">
              <w:rPr>
                <w:rFonts w:ascii="Verdana" w:hAnsi="Verdana"/>
                <w:spacing w:val="47"/>
                <w:sz w:val="18"/>
                <w:szCs w:val="18"/>
              </w:rPr>
              <w:t xml:space="preserve">  </w:t>
            </w:r>
            <w:r w:rsidRPr="00EC75B7">
              <w:rPr>
                <w:rFonts w:ascii="Verdana" w:hAnsi="Verdana"/>
                <w:sz w:val="18"/>
                <w:szCs w:val="18"/>
              </w:rPr>
              <w:t xml:space="preserve"> mainly</w:t>
            </w:r>
            <w:r w:rsidRPr="00EC75B7">
              <w:rPr>
                <w:rFonts w:ascii="Verdana" w:hAnsi="Verdana"/>
                <w:spacing w:val="46"/>
                <w:sz w:val="18"/>
                <w:szCs w:val="18"/>
              </w:rPr>
              <w:t xml:space="preserve">  </w:t>
            </w:r>
            <w:r w:rsidRPr="00EC75B7">
              <w:rPr>
                <w:rFonts w:ascii="Verdana" w:hAnsi="Verdana"/>
                <w:sz w:val="18"/>
                <w:szCs w:val="18"/>
              </w:rPr>
              <w:t xml:space="preserve"> from</w:t>
            </w:r>
            <w:r w:rsidRPr="00EC75B7">
              <w:rPr>
                <w:rFonts w:ascii="Verdana" w:hAnsi="Verdana"/>
                <w:spacing w:val="48"/>
                <w:sz w:val="18"/>
                <w:szCs w:val="18"/>
              </w:rPr>
              <w:t xml:space="preserve">  </w:t>
            </w:r>
            <w:r w:rsidRPr="00EC75B7">
              <w:rPr>
                <w:rFonts w:ascii="Verdana" w:hAnsi="Verdana"/>
                <w:spacing w:val="-2"/>
                <w:sz w:val="18"/>
                <w:szCs w:val="18"/>
              </w:rPr>
              <w:t xml:space="preserve"> </w:t>
            </w:r>
            <w:r w:rsidRPr="00EC75B7">
              <w:rPr>
                <w:rFonts w:ascii="Verdana" w:hAnsi="Verdana"/>
                <w:sz w:val="18"/>
                <w:szCs w:val="18"/>
              </w:rPr>
              <w:t>minorities</w:t>
            </w:r>
            <w:r w:rsidRPr="00EC75B7">
              <w:rPr>
                <w:rFonts w:ascii="Verdana" w:hAnsi="Verdana"/>
                <w:spacing w:val="48"/>
                <w:sz w:val="18"/>
                <w:szCs w:val="18"/>
              </w:rPr>
              <w:t xml:space="preserve">  </w:t>
            </w:r>
            <w:r w:rsidRPr="00EC75B7">
              <w:rPr>
                <w:rFonts w:ascii="Verdana" w:hAnsi="Verdana"/>
                <w:spacing w:val="-2"/>
                <w:sz w:val="18"/>
                <w:szCs w:val="18"/>
              </w:rPr>
              <w:t xml:space="preserve"> ethnic</w:t>
            </w:r>
          </w:p>
          <w:p w14:paraId="29A52BDB" w14:textId="77777777" w:rsidR="008715BE" w:rsidRPr="00EC75B7" w:rsidRDefault="00000000">
            <w:pPr>
              <w:pStyle w:val="TableParagraph"/>
              <w:spacing w:line="166" w:lineRule="exact"/>
              <w:ind w:left="107"/>
              <w:jc w:val="both"/>
              <w:rPr>
                <w:rFonts w:ascii="Verdana" w:hAnsi="Verdana"/>
                <w:sz w:val="18"/>
                <w:szCs w:val="18"/>
              </w:rPr>
            </w:pPr>
            <w:r w:rsidRPr="00EC75B7">
              <w:rPr>
                <w:rFonts w:ascii="Verdana" w:hAnsi="Verdana"/>
                <w:sz w:val="18"/>
                <w:szCs w:val="18"/>
              </w:rPr>
              <w:t xml:space="preserve">indigenous communities that may be affected by the </w:t>
            </w:r>
            <w:r w:rsidRPr="00EC75B7">
              <w:rPr>
                <w:rFonts w:ascii="Verdana" w:hAnsi="Verdana"/>
                <w:spacing w:val="-2"/>
                <w:sz w:val="18"/>
                <w:szCs w:val="18"/>
              </w:rPr>
              <w:t xml:space="preserve">proposed </w:t>
            </w:r>
            <w:r w:rsidRPr="00EC75B7">
              <w:rPr>
                <w:rFonts w:ascii="Verdana" w:hAnsi="Verdana"/>
                <w:sz w:val="18"/>
                <w:szCs w:val="18"/>
              </w:rPr>
              <w:t>development</w:t>
            </w:r>
          </w:p>
        </w:tc>
        <w:tc>
          <w:tcPr>
            <w:tcW w:w="2607" w:type="dxa"/>
          </w:tcPr>
          <w:p w14:paraId="409044A1"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D12B6E3" w14:textId="77777777" w:rsidTr="001A36C7">
        <w:trPr>
          <w:trHeight w:val="2690"/>
        </w:trPr>
        <w:tc>
          <w:tcPr>
            <w:tcW w:w="2597" w:type="dxa"/>
            <w:shd w:val="clear" w:color="auto" w:fill="FAE3D4"/>
          </w:tcPr>
          <w:p w14:paraId="62F86B6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Large</w:t>
            </w:r>
          </w:p>
        </w:tc>
        <w:tc>
          <w:tcPr>
            <w:tcW w:w="4451" w:type="dxa"/>
            <w:shd w:val="clear" w:color="auto" w:fill="F1F1F1"/>
          </w:tcPr>
          <w:p w14:paraId="6F3C3FFA"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 xml:space="preserve">There is a community in the area that is dependent on certain natural resources for which there are no alternatives </w:t>
            </w:r>
            <w:r w:rsidRPr="00EC75B7">
              <w:rPr>
                <w:rFonts w:ascii="Verdana" w:hAnsi="Verdana"/>
                <w:spacing w:val="-2"/>
                <w:sz w:val="18"/>
                <w:szCs w:val="18"/>
              </w:rPr>
              <w:t>nearby.</w:t>
            </w:r>
          </w:p>
          <w:p w14:paraId="756F4E8E" w14:textId="77777777" w:rsidR="008715BE" w:rsidRPr="00EC75B7" w:rsidRDefault="00000000">
            <w:pPr>
              <w:pStyle w:val="TableParagraph"/>
              <w:ind w:left="107" w:right="93"/>
              <w:jc w:val="both"/>
              <w:rPr>
                <w:rFonts w:ascii="Verdana" w:hAnsi="Verdana"/>
                <w:sz w:val="18"/>
                <w:szCs w:val="18"/>
              </w:rPr>
            </w:pPr>
            <w:r w:rsidRPr="00EC75B7">
              <w:rPr>
                <w:rFonts w:ascii="Verdana" w:hAnsi="Verdana"/>
                <w:spacing w:val="-2"/>
                <w:sz w:val="18"/>
                <w:szCs w:val="18"/>
              </w:rPr>
              <w:t xml:space="preserve">The community believes that the development of the project </w:t>
            </w:r>
            <w:r w:rsidRPr="00EC75B7">
              <w:rPr>
                <w:rFonts w:ascii="Verdana" w:hAnsi="Verdana"/>
                <w:sz w:val="18"/>
                <w:szCs w:val="18"/>
              </w:rPr>
              <w:t xml:space="preserve">will affect </w:t>
            </w:r>
            <w:r w:rsidRPr="00EC75B7">
              <w:rPr>
                <w:rFonts w:ascii="Verdana" w:hAnsi="Verdana"/>
                <w:spacing w:val="-2"/>
                <w:sz w:val="18"/>
                <w:szCs w:val="18"/>
              </w:rPr>
              <w:t xml:space="preserve">their </w:t>
            </w:r>
            <w:r w:rsidRPr="00EC75B7">
              <w:rPr>
                <w:rFonts w:ascii="Verdana" w:hAnsi="Verdana"/>
                <w:sz w:val="18"/>
                <w:szCs w:val="18"/>
              </w:rPr>
              <w:t>quality of life for a significant period (&gt;1 year) but they are not forced to leave the area.</w:t>
            </w:r>
          </w:p>
          <w:p w14:paraId="4A259DCA"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A high level of concern is expressed by NGOs and/or stakeholders regarding the impact of the proposed developments.</w:t>
            </w:r>
          </w:p>
          <w:p w14:paraId="20232022"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 xml:space="preserve">The area is characterized by the presence of declining indigenous ethnic minority communities that </w:t>
            </w:r>
            <w:r w:rsidRPr="00EC75B7">
              <w:rPr>
                <w:rFonts w:ascii="Verdana" w:hAnsi="Verdana"/>
                <w:spacing w:val="-5"/>
                <w:sz w:val="18"/>
                <w:szCs w:val="18"/>
              </w:rPr>
              <w:t>may</w:t>
            </w:r>
          </w:p>
          <w:p w14:paraId="7E947258" w14:textId="77777777" w:rsidR="008715BE" w:rsidRPr="00EC75B7" w:rsidRDefault="00000000">
            <w:pPr>
              <w:pStyle w:val="TableParagraph"/>
              <w:spacing w:line="164" w:lineRule="exact"/>
              <w:ind w:left="107"/>
              <w:jc w:val="both"/>
              <w:rPr>
                <w:rFonts w:ascii="Verdana" w:hAnsi="Verdana"/>
                <w:sz w:val="18"/>
                <w:szCs w:val="18"/>
              </w:rPr>
            </w:pPr>
            <w:r w:rsidRPr="00EC75B7">
              <w:rPr>
                <w:rFonts w:ascii="Verdana" w:hAnsi="Verdana"/>
                <w:sz w:val="18"/>
                <w:szCs w:val="18"/>
              </w:rPr>
              <w:t xml:space="preserve">be affected by the </w:t>
            </w:r>
            <w:r w:rsidRPr="00EC75B7">
              <w:rPr>
                <w:rFonts w:ascii="Verdana" w:hAnsi="Verdana"/>
                <w:spacing w:val="-2"/>
                <w:sz w:val="18"/>
                <w:szCs w:val="18"/>
              </w:rPr>
              <w:t xml:space="preserve">proposed </w:t>
            </w:r>
            <w:r w:rsidRPr="00EC75B7">
              <w:rPr>
                <w:rFonts w:ascii="Verdana" w:hAnsi="Verdana"/>
                <w:sz w:val="18"/>
                <w:szCs w:val="18"/>
              </w:rPr>
              <w:t>development</w:t>
            </w:r>
            <w:r w:rsidRPr="00EC75B7">
              <w:rPr>
                <w:rFonts w:ascii="Verdana" w:hAnsi="Verdana"/>
                <w:spacing w:val="-2"/>
                <w:sz w:val="18"/>
                <w:szCs w:val="18"/>
              </w:rPr>
              <w:t>.</w:t>
            </w:r>
          </w:p>
        </w:tc>
        <w:tc>
          <w:tcPr>
            <w:tcW w:w="2607" w:type="dxa"/>
            <w:shd w:val="clear" w:color="auto" w:fill="F1F1F1"/>
          </w:tcPr>
          <w:p w14:paraId="1FF38A7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68DE620" w14:textId="77777777" w:rsidTr="001A36C7">
        <w:trPr>
          <w:trHeight w:val="3364"/>
        </w:trPr>
        <w:tc>
          <w:tcPr>
            <w:tcW w:w="2597" w:type="dxa"/>
            <w:shd w:val="clear" w:color="auto" w:fill="FF0000"/>
          </w:tcPr>
          <w:p w14:paraId="31FF184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4451" w:type="dxa"/>
          </w:tcPr>
          <w:p w14:paraId="22523DC5" w14:textId="77777777" w:rsidR="008715BE" w:rsidRPr="00EC75B7" w:rsidRDefault="00000000">
            <w:pPr>
              <w:pStyle w:val="TableParagraph"/>
              <w:spacing w:before="8"/>
              <w:ind w:left="107" w:right="92"/>
              <w:jc w:val="both"/>
              <w:rPr>
                <w:rFonts w:ascii="Verdana" w:hAnsi="Verdana"/>
                <w:sz w:val="18"/>
                <w:szCs w:val="18"/>
              </w:rPr>
            </w:pPr>
            <w:r w:rsidRPr="00EC75B7">
              <w:rPr>
                <w:rFonts w:ascii="Verdana" w:hAnsi="Verdana"/>
                <w:sz w:val="18"/>
                <w:szCs w:val="18"/>
              </w:rPr>
              <w:t>There are many communities in the area that are dependent on certain affected natural resources and for which there are no alternatives</w:t>
            </w:r>
          </w:p>
          <w:p w14:paraId="48188555" w14:textId="77777777" w:rsidR="008715BE" w:rsidRPr="00EC75B7" w:rsidRDefault="00000000">
            <w:pPr>
              <w:pStyle w:val="TableParagraph"/>
              <w:ind w:left="107" w:right="92"/>
              <w:jc w:val="both"/>
              <w:rPr>
                <w:rFonts w:ascii="Verdana" w:hAnsi="Verdana"/>
                <w:sz w:val="18"/>
                <w:szCs w:val="18"/>
              </w:rPr>
            </w:pPr>
            <w:r w:rsidRPr="00EC75B7">
              <w:rPr>
                <w:rFonts w:ascii="Verdana" w:hAnsi="Verdana"/>
                <w:sz w:val="18"/>
                <w:szCs w:val="18"/>
              </w:rPr>
              <w:t xml:space="preserve">There is no skilled and </w:t>
            </w:r>
            <w:r w:rsidRPr="00EC75B7">
              <w:rPr>
                <w:rFonts w:ascii="Verdana" w:hAnsi="Verdana"/>
                <w:spacing w:val="-2"/>
                <w:sz w:val="18"/>
                <w:szCs w:val="18"/>
              </w:rPr>
              <w:t xml:space="preserve">experienced </w:t>
            </w:r>
            <w:r w:rsidRPr="00EC75B7">
              <w:rPr>
                <w:rFonts w:ascii="Verdana" w:hAnsi="Verdana"/>
                <w:sz w:val="18"/>
                <w:szCs w:val="18"/>
              </w:rPr>
              <w:t>workforce in the area</w:t>
            </w:r>
          </w:p>
          <w:p w14:paraId="6FBFF4C1"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The local community perceives that the changes brought about by the project significantly affect their quality of life and that they may be forced to leave </w:t>
            </w:r>
            <w:r w:rsidRPr="00EC75B7">
              <w:rPr>
                <w:rFonts w:ascii="Verdana" w:hAnsi="Verdana"/>
                <w:spacing w:val="-4"/>
                <w:sz w:val="18"/>
                <w:szCs w:val="18"/>
              </w:rPr>
              <w:t>the area.</w:t>
            </w:r>
          </w:p>
          <w:p w14:paraId="321D7904" w14:textId="77777777" w:rsidR="008715BE" w:rsidRPr="00EC75B7" w:rsidRDefault="00000000">
            <w:pPr>
              <w:pStyle w:val="TableParagraph"/>
              <w:spacing w:line="191" w:lineRule="exact"/>
              <w:ind w:left="107"/>
              <w:rPr>
                <w:rFonts w:ascii="Verdana" w:hAnsi="Verdana"/>
                <w:sz w:val="18"/>
                <w:szCs w:val="18"/>
              </w:rPr>
            </w:pPr>
            <w:r w:rsidRPr="00EC75B7">
              <w:rPr>
                <w:rFonts w:ascii="Verdana" w:hAnsi="Verdana"/>
                <w:sz w:val="18"/>
                <w:szCs w:val="18"/>
              </w:rPr>
              <w:t xml:space="preserve">Stakeholders are extremely </w:t>
            </w:r>
            <w:r w:rsidRPr="00EC75B7">
              <w:rPr>
                <w:rFonts w:ascii="Verdana" w:hAnsi="Verdana"/>
                <w:spacing w:val="-5"/>
                <w:sz w:val="18"/>
                <w:szCs w:val="18"/>
              </w:rPr>
              <w:t>concerned</w:t>
            </w:r>
          </w:p>
          <w:p w14:paraId="2FB84D52" w14:textId="77777777" w:rsidR="008715BE" w:rsidRPr="00EC75B7" w:rsidRDefault="00000000">
            <w:pPr>
              <w:pStyle w:val="TableParagraph"/>
              <w:ind w:left="107" w:right="70"/>
              <w:rPr>
                <w:rFonts w:ascii="Verdana" w:hAnsi="Verdana"/>
                <w:sz w:val="18"/>
                <w:szCs w:val="18"/>
              </w:rPr>
            </w:pPr>
            <w:r w:rsidRPr="00EC75B7">
              <w:rPr>
                <w:rFonts w:ascii="Verdana" w:hAnsi="Verdana"/>
                <w:sz w:val="18"/>
                <w:szCs w:val="18"/>
              </w:rPr>
              <w:t>the impact of the proposed developments. Communities predominantly made up of declining indigenous ethnic minorities that may be affected by the proposed development</w:t>
            </w:r>
          </w:p>
        </w:tc>
        <w:tc>
          <w:tcPr>
            <w:tcW w:w="2607" w:type="dxa"/>
          </w:tcPr>
          <w:p w14:paraId="4C7B057A"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1D737C60" w14:textId="77777777" w:rsidTr="001A36C7">
        <w:trPr>
          <w:trHeight w:val="2468"/>
        </w:trPr>
        <w:tc>
          <w:tcPr>
            <w:tcW w:w="2597" w:type="dxa"/>
            <w:shd w:val="clear" w:color="auto" w:fill="D0CECE"/>
          </w:tcPr>
          <w:p w14:paraId="2CC21412" w14:textId="77777777" w:rsidR="008715BE" w:rsidRPr="00EC75B7" w:rsidRDefault="00000000">
            <w:pPr>
              <w:pStyle w:val="TableParagraph"/>
              <w:spacing w:before="10"/>
              <w:ind w:left="108"/>
              <w:rPr>
                <w:rFonts w:ascii="Verdana" w:hAnsi="Verdana"/>
                <w:b/>
                <w:sz w:val="18"/>
                <w:szCs w:val="18"/>
              </w:rPr>
            </w:pPr>
            <w:r w:rsidRPr="00EC75B7">
              <w:rPr>
                <w:rFonts w:ascii="Verdana" w:hAnsi="Verdana"/>
                <w:b/>
                <w:spacing w:val="-4"/>
                <w:sz w:val="18"/>
                <w:szCs w:val="18"/>
              </w:rPr>
              <w:t xml:space="preserve">No </w:t>
            </w:r>
            <w:r w:rsidRPr="00EC75B7">
              <w:rPr>
                <w:rFonts w:ascii="Verdana" w:hAnsi="Verdana"/>
                <w:b/>
                <w:sz w:val="18"/>
                <w:szCs w:val="18"/>
              </w:rPr>
              <w:t xml:space="preserve">sensitivity/Very low </w:t>
            </w:r>
            <w:r w:rsidRPr="00EC75B7">
              <w:rPr>
                <w:rFonts w:ascii="Verdana" w:hAnsi="Verdana"/>
                <w:b/>
                <w:spacing w:val="-2"/>
                <w:sz w:val="18"/>
                <w:szCs w:val="18"/>
              </w:rPr>
              <w:t>sensitivity</w:t>
            </w:r>
          </w:p>
        </w:tc>
        <w:tc>
          <w:tcPr>
            <w:tcW w:w="4451" w:type="dxa"/>
            <w:shd w:val="clear" w:color="auto" w:fill="F1F1F1"/>
          </w:tcPr>
          <w:p w14:paraId="2C88C417" w14:textId="77777777" w:rsidR="008715BE" w:rsidRPr="00EC75B7" w:rsidRDefault="00000000">
            <w:pPr>
              <w:pStyle w:val="TableParagraph"/>
              <w:spacing w:before="10"/>
              <w:ind w:left="107" w:right="92"/>
              <w:jc w:val="both"/>
              <w:rPr>
                <w:rFonts w:ascii="Verdana" w:hAnsi="Verdana"/>
                <w:sz w:val="18"/>
                <w:szCs w:val="18"/>
              </w:rPr>
            </w:pPr>
            <w:r w:rsidRPr="00EC75B7">
              <w:rPr>
                <w:rFonts w:ascii="Verdana" w:hAnsi="Verdana"/>
                <w:sz w:val="18"/>
                <w:szCs w:val="18"/>
              </w:rPr>
              <w:t>In the project area, local communities that use the affected resources have access to other nearby alternatives, the use of which cannot cause negative impacts.</w:t>
            </w:r>
          </w:p>
          <w:p w14:paraId="15D7801F"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There is </w:t>
            </w:r>
            <w:r w:rsidRPr="00EC75B7">
              <w:rPr>
                <w:rFonts w:ascii="Verdana" w:hAnsi="Verdana"/>
                <w:spacing w:val="78"/>
                <w:sz w:val="18"/>
                <w:szCs w:val="18"/>
              </w:rPr>
              <w:t xml:space="preserve">a </w:t>
            </w:r>
            <w:r w:rsidRPr="00EC75B7">
              <w:rPr>
                <w:rFonts w:ascii="Verdana" w:hAnsi="Verdana"/>
                <w:sz w:val="18"/>
                <w:szCs w:val="18"/>
              </w:rPr>
              <w:t>skilled and experienced workforce available in the area</w:t>
            </w:r>
          </w:p>
          <w:p w14:paraId="075AEFF8" w14:textId="77777777" w:rsidR="008715BE" w:rsidRPr="00EC75B7" w:rsidRDefault="00000000">
            <w:pPr>
              <w:pStyle w:val="TableParagraph"/>
              <w:ind w:left="107" w:right="150"/>
              <w:rPr>
                <w:rFonts w:ascii="Verdana" w:hAnsi="Verdana"/>
                <w:sz w:val="18"/>
                <w:szCs w:val="18"/>
              </w:rPr>
            </w:pPr>
            <w:r w:rsidRPr="00EC75B7">
              <w:rPr>
                <w:rFonts w:ascii="Verdana" w:hAnsi="Verdana"/>
                <w:sz w:val="18"/>
                <w:szCs w:val="18"/>
              </w:rPr>
              <w:t>There are no concerns among stakeholders regarding possible impacts on communities There are no indigenous ethnic minorities in the area that may be affected by the proposed development.</w:t>
            </w:r>
          </w:p>
        </w:tc>
        <w:tc>
          <w:tcPr>
            <w:tcW w:w="2607" w:type="dxa"/>
            <w:shd w:val="clear" w:color="auto" w:fill="F1F1F1"/>
          </w:tcPr>
          <w:p w14:paraId="46B4B43E"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r w:rsidR="008715BE" w:rsidRPr="00EC75B7" w14:paraId="63981863" w14:textId="77777777" w:rsidTr="001A36C7">
        <w:trPr>
          <w:trHeight w:val="222"/>
        </w:trPr>
        <w:tc>
          <w:tcPr>
            <w:tcW w:w="9655" w:type="dxa"/>
            <w:gridSpan w:val="3"/>
            <w:shd w:val="clear" w:color="auto" w:fill="D9E1F3"/>
          </w:tcPr>
          <w:p w14:paraId="72773E25"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POPULATION HEALTH</w:t>
            </w:r>
          </w:p>
        </w:tc>
      </w:tr>
      <w:tr w:rsidR="008715BE" w:rsidRPr="00EC75B7" w14:paraId="758C20E4" w14:textId="77777777" w:rsidTr="001A36C7">
        <w:trPr>
          <w:trHeight w:val="895"/>
        </w:trPr>
        <w:tc>
          <w:tcPr>
            <w:tcW w:w="2597" w:type="dxa"/>
            <w:shd w:val="clear" w:color="auto" w:fill="92D050"/>
          </w:tcPr>
          <w:p w14:paraId="5CEC6D0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Low</w:t>
            </w:r>
          </w:p>
        </w:tc>
        <w:tc>
          <w:tcPr>
            <w:tcW w:w="4451" w:type="dxa"/>
            <w:shd w:val="clear" w:color="auto" w:fill="F1F1F1"/>
          </w:tcPr>
          <w:p w14:paraId="75205274"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Mixed urban residential areas (residential and industrial) with significant sources of air pollution and high noise levels</w:t>
            </w:r>
          </w:p>
        </w:tc>
        <w:tc>
          <w:tcPr>
            <w:tcW w:w="2607" w:type="dxa"/>
            <w:shd w:val="clear" w:color="auto" w:fill="F1F1F1"/>
          </w:tcPr>
          <w:p w14:paraId="740817F6"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AA61D4E" w14:textId="77777777" w:rsidTr="001A36C7">
        <w:trPr>
          <w:trHeight w:val="3142"/>
        </w:trPr>
        <w:tc>
          <w:tcPr>
            <w:tcW w:w="2597" w:type="dxa"/>
            <w:shd w:val="clear" w:color="auto" w:fill="FFFF00"/>
          </w:tcPr>
          <w:p w14:paraId="1BD6B3A8" w14:textId="77777777" w:rsidR="008715BE" w:rsidRPr="00EC75B7" w:rsidRDefault="00000000">
            <w:pPr>
              <w:pStyle w:val="TableParagraph"/>
              <w:spacing w:before="9"/>
              <w:ind w:left="108"/>
              <w:rPr>
                <w:rFonts w:ascii="Verdana" w:hAnsi="Verdana"/>
                <w:b/>
                <w:sz w:val="18"/>
                <w:szCs w:val="18"/>
              </w:rPr>
            </w:pPr>
            <w:r w:rsidRPr="00EC75B7">
              <w:rPr>
                <w:rFonts w:ascii="Verdana" w:hAnsi="Verdana"/>
                <w:b/>
                <w:spacing w:val="-2"/>
                <w:sz w:val="18"/>
                <w:szCs w:val="18"/>
              </w:rPr>
              <w:lastRenderedPageBreak/>
              <w:t>Moderate</w:t>
            </w:r>
          </w:p>
        </w:tc>
        <w:tc>
          <w:tcPr>
            <w:tcW w:w="4451" w:type="dxa"/>
          </w:tcPr>
          <w:p w14:paraId="16B6EC01" w14:textId="77777777" w:rsidR="008715BE" w:rsidRPr="00EC75B7" w:rsidRDefault="00000000">
            <w:pPr>
              <w:pStyle w:val="TableParagraph"/>
              <w:spacing w:before="9"/>
              <w:ind w:left="107" w:right="95"/>
              <w:jc w:val="both"/>
              <w:rPr>
                <w:rFonts w:ascii="Verdana" w:hAnsi="Verdana"/>
                <w:sz w:val="18"/>
                <w:szCs w:val="18"/>
              </w:rPr>
            </w:pPr>
            <w:r w:rsidRPr="00EC75B7">
              <w:rPr>
                <w:rFonts w:ascii="Verdana" w:hAnsi="Verdana"/>
                <w:sz w:val="18"/>
                <w:szCs w:val="18"/>
              </w:rPr>
              <w:t>Urban residential areas with sources of air pollution and high noise levels, which occasionally exceed the permitted limits</w:t>
            </w:r>
          </w:p>
        </w:tc>
        <w:tc>
          <w:tcPr>
            <w:tcW w:w="2607" w:type="dxa"/>
          </w:tcPr>
          <w:p w14:paraId="0288B025" w14:textId="77777777" w:rsidR="008715BE" w:rsidRPr="00EC75B7" w:rsidRDefault="00000000">
            <w:pPr>
              <w:pStyle w:val="TableParagraph"/>
              <w:spacing w:before="9"/>
              <w:ind w:left="107" w:right="93"/>
              <w:jc w:val="both"/>
              <w:rPr>
                <w:rFonts w:ascii="Verdana" w:hAnsi="Verdana"/>
                <w:sz w:val="18"/>
                <w:szCs w:val="18"/>
              </w:rPr>
            </w:pPr>
            <w:r w:rsidRPr="00EC75B7">
              <w:rPr>
                <w:rFonts w:ascii="Verdana" w:hAnsi="Verdana"/>
                <w:sz w:val="18"/>
                <w:szCs w:val="18"/>
              </w:rPr>
              <w:t xml:space="preserve">The project site is located outside the built-up area of Cerchezu, more than 1 km from the nearest inhabited areas, with no sensitive targets in the immediate vicinity. Potential sources of impact on public health are limited, temporary, and controllable, being mainly associated with road traffic and </w:t>
            </w:r>
            <w:r w:rsidRPr="001A36C7">
              <w:rPr>
                <w:rFonts w:ascii="Verdana" w:hAnsi="Verdana"/>
                <w:sz w:val="18"/>
                <w:szCs w:val="18"/>
              </w:rPr>
              <w:t>activities</w:t>
            </w:r>
          </w:p>
          <w:p w14:paraId="50DA1D62" w14:textId="303E3385" w:rsidR="008715BE" w:rsidRPr="00EC75B7" w:rsidRDefault="00000000">
            <w:pPr>
              <w:pStyle w:val="TableParagraph"/>
              <w:spacing w:line="156" w:lineRule="exact"/>
              <w:ind w:left="107"/>
              <w:jc w:val="both"/>
              <w:rPr>
                <w:rFonts w:ascii="Verdana" w:hAnsi="Verdana"/>
                <w:sz w:val="18"/>
                <w:szCs w:val="18"/>
              </w:rPr>
            </w:pPr>
            <w:r w:rsidRPr="00EC75B7">
              <w:rPr>
                <w:rFonts w:ascii="Verdana" w:hAnsi="Verdana"/>
                <w:sz w:val="18"/>
                <w:szCs w:val="18"/>
              </w:rPr>
              <w:t>phase</w:t>
            </w:r>
            <w:r w:rsidRPr="001A36C7">
              <w:rPr>
                <w:rFonts w:ascii="Verdana" w:hAnsi="Verdana"/>
                <w:sz w:val="18"/>
                <w:szCs w:val="18"/>
              </w:rPr>
              <w:t xml:space="preserve">   </w:t>
            </w:r>
            <w:r w:rsidRPr="00EC75B7">
              <w:rPr>
                <w:rFonts w:ascii="Verdana" w:hAnsi="Verdana"/>
                <w:sz w:val="18"/>
                <w:szCs w:val="18"/>
              </w:rPr>
              <w:t xml:space="preserve"> </w:t>
            </w:r>
            <w:r w:rsidRPr="001A36C7">
              <w:rPr>
                <w:rFonts w:ascii="Verdana" w:hAnsi="Verdana"/>
                <w:sz w:val="18"/>
                <w:szCs w:val="18"/>
              </w:rPr>
              <w:t xml:space="preserve">    execution,</w:t>
            </w:r>
            <w:r w:rsidR="001A36C7" w:rsidRPr="001A36C7">
              <w:rPr>
                <w:rFonts w:ascii="Verdana" w:hAnsi="Verdana"/>
                <w:sz w:val="18"/>
                <w:szCs w:val="18"/>
              </w:rPr>
              <w:t xml:space="preserve"> and the level of noise generated during the operational phase, in compliance with the limit values provided by the legislation in force.</w:t>
            </w:r>
          </w:p>
        </w:tc>
      </w:tr>
    </w:tbl>
    <w:p w14:paraId="31BF2EF9" w14:textId="77777777" w:rsidR="008715BE" w:rsidRPr="00EC75B7" w:rsidRDefault="008715BE">
      <w:pPr>
        <w:pStyle w:val="TableParagraph"/>
        <w:spacing w:line="156" w:lineRule="exact"/>
        <w:jc w:val="both"/>
        <w:rPr>
          <w:rFonts w:ascii="Verdana" w:hAnsi="Verdana"/>
          <w:sz w:val="18"/>
          <w:szCs w:val="18"/>
        </w:rPr>
        <w:sectPr w:rsidR="008715BE" w:rsidRPr="00EC75B7">
          <w:pgSz w:w="11910" w:h="16840"/>
          <w:pgMar w:top="1320" w:right="850" w:bottom="1020" w:left="992" w:header="766" w:footer="824" w:gutter="0"/>
          <w:cols w:space="708"/>
        </w:sectPr>
      </w:pPr>
    </w:p>
    <w:p w14:paraId="0E79E70B" w14:textId="77777777" w:rsidR="008715BE" w:rsidRPr="00EC75B7" w:rsidRDefault="008715BE">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47"/>
        <w:gridCol w:w="4364"/>
        <w:gridCol w:w="2556"/>
      </w:tblGrid>
      <w:tr w:rsidR="008715BE" w:rsidRPr="00EC75B7" w14:paraId="66CA5AFB" w14:textId="77777777">
        <w:trPr>
          <w:trHeight w:val="583"/>
        </w:trPr>
        <w:tc>
          <w:tcPr>
            <w:tcW w:w="2547" w:type="dxa"/>
            <w:shd w:val="clear" w:color="auto" w:fill="00AFEF"/>
          </w:tcPr>
          <w:p w14:paraId="75A149A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4364" w:type="dxa"/>
            <w:shd w:val="clear" w:color="auto" w:fill="00AFEF"/>
          </w:tcPr>
          <w:p w14:paraId="4792FEB5"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2556" w:type="dxa"/>
            <w:shd w:val="clear" w:color="auto" w:fill="00AFEF"/>
          </w:tcPr>
          <w:p w14:paraId="6D422F68" w14:textId="33EE2189" w:rsidR="008715BE" w:rsidRPr="00EC75B7" w:rsidRDefault="00000000" w:rsidP="001A36C7">
            <w:pPr>
              <w:pStyle w:val="TableParagraph"/>
              <w:tabs>
                <w:tab w:val="left" w:pos="709"/>
                <w:tab w:val="left" w:pos="2340"/>
              </w:tabs>
              <w:spacing w:before="8"/>
              <w:ind w:left="107" w:right="94"/>
              <w:jc w:val="both"/>
              <w:rPr>
                <w:rFonts w:ascii="Verdana" w:hAnsi="Verdana"/>
                <w:b/>
                <w:sz w:val="18"/>
                <w:szCs w:val="18"/>
              </w:rPr>
            </w:pPr>
            <w:r w:rsidRPr="00EC75B7">
              <w:rPr>
                <w:rFonts w:ascii="Verdana" w:hAnsi="Verdana"/>
                <w:b/>
                <w:color w:val="FFFFFF"/>
                <w:sz w:val="18"/>
                <w:szCs w:val="18"/>
              </w:rPr>
              <w:t xml:space="preserve">Areas identified in </w:t>
            </w:r>
            <w:r w:rsidRPr="00EC75B7">
              <w:rPr>
                <w:rFonts w:ascii="Verdana" w:hAnsi="Verdana"/>
                <w:b/>
                <w:color w:val="FFFFFF"/>
                <w:spacing w:val="-5"/>
                <w:sz w:val="18"/>
                <w:szCs w:val="18"/>
              </w:rPr>
              <w:t>the</w:t>
            </w:r>
            <w:r w:rsidRPr="00EC75B7">
              <w:rPr>
                <w:rFonts w:ascii="Verdana" w:hAnsi="Verdana"/>
                <w:b/>
                <w:color w:val="FFFFFF"/>
                <w:spacing w:val="-2"/>
                <w:sz w:val="18"/>
                <w:szCs w:val="18"/>
              </w:rPr>
              <w:t>implementation</w:t>
            </w:r>
            <w:r w:rsidR="001A36C7">
              <w:rPr>
                <w:rFonts w:ascii="Verdana" w:hAnsi="Verdana"/>
                <w:b/>
                <w:color w:val="FFFFFF"/>
                <w:sz w:val="18"/>
                <w:szCs w:val="18"/>
              </w:rPr>
              <w:t xml:space="preserve"> </w:t>
            </w:r>
            <w:r w:rsidRPr="00EC75B7">
              <w:rPr>
                <w:rFonts w:ascii="Verdana" w:hAnsi="Verdana"/>
                <w:b/>
                <w:color w:val="FFFFFF"/>
                <w:spacing w:val="-10"/>
                <w:sz w:val="18"/>
                <w:szCs w:val="18"/>
              </w:rPr>
              <w:t>of</w:t>
            </w:r>
          </w:p>
          <w:p w14:paraId="1F2197D4" w14:textId="77777777" w:rsidR="008715BE" w:rsidRPr="00EC75B7" w:rsidRDefault="00000000" w:rsidP="001A36C7">
            <w:pPr>
              <w:pStyle w:val="TableParagraph"/>
              <w:spacing w:line="164" w:lineRule="exact"/>
              <w:ind w:left="107"/>
              <w:jc w:val="both"/>
              <w:rPr>
                <w:rFonts w:ascii="Verdana" w:hAnsi="Verdana"/>
                <w:b/>
                <w:sz w:val="18"/>
                <w:szCs w:val="18"/>
              </w:rPr>
            </w:pPr>
            <w:r w:rsidRPr="00EC75B7">
              <w:rPr>
                <w:rFonts w:ascii="Verdana" w:hAnsi="Verdana"/>
                <w:b/>
                <w:color w:val="FFFFFF"/>
                <w:spacing w:val="-2"/>
                <w:sz w:val="18"/>
                <w:szCs w:val="18"/>
              </w:rPr>
              <w:t>project</w:t>
            </w:r>
          </w:p>
        </w:tc>
      </w:tr>
      <w:tr w:rsidR="008715BE" w:rsidRPr="00EC75B7" w14:paraId="5F399D6E" w14:textId="77777777">
        <w:trPr>
          <w:trHeight w:val="779"/>
        </w:trPr>
        <w:tc>
          <w:tcPr>
            <w:tcW w:w="2547" w:type="dxa"/>
            <w:shd w:val="clear" w:color="auto" w:fill="FAE3D4"/>
          </w:tcPr>
          <w:p w14:paraId="0FD85531" w14:textId="77777777" w:rsidR="008715BE" w:rsidRPr="00EC75B7" w:rsidRDefault="00000000">
            <w:pPr>
              <w:pStyle w:val="TableParagraph"/>
              <w:spacing w:before="10"/>
              <w:ind w:left="108"/>
              <w:rPr>
                <w:rFonts w:ascii="Verdana" w:hAnsi="Verdana"/>
                <w:b/>
                <w:sz w:val="18"/>
                <w:szCs w:val="18"/>
              </w:rPr>
            </w:pPr>
            <w:r w:rsidRPr="00EC75B7">
              <w:rPr>
                <w:rFonts w:ascii="Verdana" w:hAnsi="Verdana"/>
                <w:b/>
                <w:spacing w:val="-4"/>
                <w:sz w:val="18"/>
                <w:szCs w:val="18"/>
              </w:rPr>
              <w:t>Large</w:t>
            </w:r>
          </w:p>
        </w:tc>
        <w:tc>
          <w:tcPr>
            <w:tcW w:w="4364" w:type="dxa"/>
            <w:shd w:val="clear" w:color="auto" w:fill="F1F1F1"/>
          </w:tcPr>
          <w:p w14:paraId="7948EF32" w14:textId="77777777" w:rsidR="008715BE" w:rsidRPr="00EC75B7" w:rsidRDefault="00000000">
            <w:pPr>
              <w:pStyle w:val="TableParagraph"/>
              <w:spacing w:before="10"/>
              <w:ind w:left="107" w:right="93"/>
              <w:jc w:val="both"/>
              <w:rPr>
                <w:rFonts w:ascii="Verdana" w:hAnsi="Verdana"/>
                <w:sz w:val="18"/>
                <w:szCs w:val="18"/>
              </w:rPr>
            </w:pPr>
            <w:r w:rsidRPr="00EC75B7">
              <w:rPr>
                <w:rFonts w:ascii="Verdana" w:hAnsi="Verdana"/>
                <w:sz w:val="18"/>
                <w:szCs w:val="18"/>
              </w:rPr>
              <w:t>Urban/rural residential areas where there are no significant sources of air pollution or high noise levels</w:t>
            </w:r>
          </w:p>
        </w:tc>
        <w:tc>
          <w:tcPr>
            <w:tcW w:w="2556" w:type="dxa"/>
            <w:shd w:val="clear" w:color="auto" w:fill="F1F1F1"/>
          </w:tcPr>
          <w:p w14:paraId="7E0D4C6B"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r w:rsidR="008715BE" w:rsidRPr="00EC75B7" w14:paraId="62E538C6" w14:textId="77777777">
        <w:trPr>
          <w:trHeight w:val="777"/>
        </w:trPr>
        <w:tc>
          <w:tcPr>
            <w:tcW w:w="2547" w:type="dxa"/>
            <w:shd w:val="clear" w:color="auto" w:fill="FF0000"/>
          </w:tcPr>
          <w:p w14:paraId="405968D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4364" w:type="dxa"/>
          </w:tcPr>
          <w:p w14:paraId="4117DED1" w14:textId="77777777" w:rsidR="008715BE" w:rsidRPr="00EC75B7" w:rsidRDefault="00000000">
            <w:pPr>
              <w:pStyle w:val="TableParagraph"/>
              <w:spacing w:before="8"/>
              <w:ind w:left="107" w:right="92"/>
              <w:jc w:val="both"/>
              <w:rPr>
                <w:rFonts w:ascii="Verdana" w:hAnsi="Verdana"/>
                <w:sz w:val="18"/>
                <w:szCs w:val="18"/>
              </w:rPr>
            </w:pPr>
            <w:r w:rsidRPr="00EC75B7">
              <w:rPr>
                <w:rFonts w:ascii="Verdana" w:hAnsi="Verdana"/>
                <w:sz w:val="18"/>
                <w:szCs w:val="18"/>
              </w:rPr>
              <w:t>Urban/rural residential areas with high housing density, areas near kindergartens, schools, hospitals</w:t>
            </w:r>
          </w:p>
        </w:tc>
        <w:tc>
          <w:tcPr>
            <w:tcW w:w="2556" w:type="dxa"/>
          </w:tcPr>
          <w:p w14:paraId="4BCBC22E"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7248421" w14:textId="77777777">
        <w:trPr>
          <w:trHeight w:val="582"/>
        </w:trPr>
        <w:tc>
          <w:tcPr>
            <w:tcW w:w="2547" w:type="dxa"/>
            <w:shd w:val="clear" w:color="auto" w:fill="D0CECE"/>
          </w:tcPr>
          <w:p w14:paraId="0EBFEA83"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 xml:space="preserve">No </w:t>
            </w:r>
            <w:r w:rsidRPr="00EC75B7">
              <w:rPr>
                <w:rFonts w:ascii="Verdana" w:hAnsi="Verdana"/>
                <w:b/>
                <w:sz w:val="18"/>
                <w:szCs w:val="18"/>
              </w:rPr>
              <w:t xml:space="preserve">sensitivity/Very low </w:t>
            </w:r>
            <w:r w:rsidRPr="00EC75B7">
              <w:rPr>
                <w:rFonts w:ascii="Verdana" w:hAnsi="Verdana"/>
                <w:b/>
                <w:spacing w:val="-2"/>
                <w:sz w:val="18"/>
                <w:szCs w:val="18"/>
              </w:rPr>
              <w:t>sensitivity</w:t>
            </w:r>
          </w:p>
        </w:tc>
        <w:tc>
          <w:tcPr>
            <w:tcW w:w="4364" w:type="dxa"/>
            <w:shd w:val="clear" w:color="auto" w:fill="F1F1F1"/>
          </w:tcPr>
          <w:p w14:paraId="73944A40" w14:textId="69D2007B"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z w:val="18"/>
                <w:szCs w:val="18"/>
              </w:rPr>
              <w:t>residential areas</w:t>
            </w:r>
            <w:r w:rsidRPr="00EC75B7">
              <w:rPr>
                <w:rFonts w:ascii="Verdana" w:hAnsi="Verdana"/>
                <w:spacing w:val="24"/>
                <w:sz w:val="18"/>
                <w:szCs w:val="18"/>
              </w:rPr>
              <w:t xml:space="preserve">  </w:t>
            </w:r>
            <w:r w:rsidRPr="00EC75B7">
              <w:rPr>
                <w:rFonts w:ascii="Verdana" w:hAnsi="Verdana"/>
                <w:sz w:val="18"/>
                <w:szCs w:val="18"/>
              </w:rPr>
              <w:t xml:space="preserve"> heavily</w:t>
            </w:r>
            <w:r w:rsidRPr="00EC75B7">
              <w:rPr>
                <w:rFonts w:ascii="Verdana" w:hAnsi="Verdana"/>
                <w:spacing w:val="22"/>
                <w:sz w:val="18"/>
                <w:szCs w:val="18"/>
              </w:rPr>
              <w:t xml:space="preserve">  </w:t>
            </w:r>
            <w:r w:rsidRPr="00EC75B7">
              <w:rPr>
                <w:rFonts w:ascii="Verdana" w:hAnsi="Verdana"/>
                <w:sz w:val="18"/>
                <w:szCs w:val="18"/>
              </w:rPr>
              <w:t xml:space="preserve"> warehouses</w:t>
            </w:r>
            <w:r w:rsidRPr="00EC75B7">
              <w:rPr>
                <w:rFonts w:ascii="Verdana" w:hAnsi="Verdana"/>
                <w:spacing w:val="23"/>
                <w:sz w:val="18"/>
                <w:szCs w:val="18"/>
              </w:rPr>
              <w:t xml:space="preserve">  </w:t>
            </w:r>
            <w:r w:rsidRPr="00EC75B7">
              <w:rPr>
                <w:rFonts w:ascii="Verdana" w:hAnsi="Verdana"/>
                <w:sz w:val="18"/>
                <w:szCs w:val="18"/>
              </w:rPr>
              <w:t xml:space="preserve"> or </w:t>
            </w:r>
            <w:r w:rsidRPr="00EC75B7">
              <w:rPr>
                <w:rFonts w:ascii="Verdana" w:hAnsi="Verdana"/>
                <w:spacing w:val="-5"/>
                <w:sz w:val="18"/>
                <w:szCs w:val="18"/>
              </w:rPr>
              <w:t>with</w:t>
            </w:r>
          </w:p>
          <w:p w14:paraId="1AF16EF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temporary/seasonal </w:t>
            </w:r>
            <w:r w:rsidRPr="00EC75B7">
              <w:rPr>
                <w:rFonts w:ascii="Verdana" w:hAnsi="Verdana"/>
                <w:sz w:val="18"/>
                <w:szCs w:val="18"/>
              </w:rPr>
              <w:t>housing</w:t>
            </w:r>
            <w:r w:rsidRPr="00EC75B7">
              <w:rPr>
                <w:rFonts w:ascii="Verdana" w:hAnsi="Verdana"/>
                <w:spacing w:val="-2"/>
                <w:sz w:val="18"/>
                <w:szCs w:val="18"/>
              </w:rPr>
              <w:t>.</w:t>
            </w:r>
          </w:p>
        </w:tc>
        <w:tc>
          <w:tcPr>
            <w:tcW w:w="2556" w:type="dxa"/>
            <w:shd w:val="clear" w:color="auto" w:fill="F1F1F1"/>
          </w:tcPr>
          <w:p w14:paraId="3B3ABAFE"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32CAAF1" w14:textId="77777777">
        <w:trPr>
          <w:trHeight w:val="193"/>
        </w:trPr>
        <w:tc>
          <w:tcPr>
            <w:tcW w:w="9467" w:type="dxa"/>
            <w:gridSpan w:val="3"/>
            <w:shd w:val="clear" w:color="auto" w:fill="D9E1F3"/>
          </w:tcPr>
          <w:p w14:paraId="2EEDC85F"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 xml:space="preserve">MATERIAL </w:t>
            </w:r>
            <w:r w:rsidRPr="00EC75B7">
              <w:rPr>
                <w:rFonts w:ascii="Verdana" w:hAnsi="Verdana"/>
                <w:b/>
                <w:sz w:val="18"/>
                <w:szCs w:val="18"/>
              </w:rPr>
              <w:t>GOODS</w:t>
            </w:r>
          </w:p>
        </w:tc>
      </w:tr>
      <w:tr w:rsidR="008715BE" w:rsidRPr="00EC75B7" w14:paraId="66B1A6B2" w14:textId="77777777">
        <w:trPr>
          <w:trHeight w:val="1557"/>
        </w:trPr>
        <w:tc>
          <w:tcPr>
            <w:tcW w:w="2547" w:type="dxa"/>
            <w:shd w:val="clear" w:color="auto" w:fill="92D050"/>
          </w:tcPr>
          <w:p w14:paraId="13A6D5DE"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Low</w:t>
            </w:r>
          </w:p>
        </w:tc>
        <w:tc>
          <w:tcPr>
            <w:tcW w:w="4364" w:type="dxa"/>
            <w:shd w:val="clear" w:color="auto" w:fill="F1F1F1"/>
          </w:tcPr>
          <w:p w14:paraId="026751EF" w14:textId="77777777" w:rsidR="008715BE" w:rsidRPr="00EC75B7" w:rsidRDefault="00000000">
            <w:pPr>
              <w:pStyle w:val="TableParagraph"/>
              <w:spacing w:before="8"/>
              <w:ind w:left="107" w:right="92"/>
              <w:jc w:val="both"/>
              <w:rPr>
                <w:rFonts w:ascii="Verdana" w:hAnsi="Verdana"/>
                <w:sz w:val="18"/>
                <w:szCs w:val="18"/>
              </w:rPr>
            </w:pPr>
            <w:r w:rsidRPr="00EC75B7">
              <w:rPr>
                <w:rFonts w:ascii="Verdana" w:hAnsi="Verdana"/>
                <w:sz w:val="18"/>
                <w:szCs w:val="18"/>
              </w:rPr>
              <w:t>The goods and benefits that people obtain from nature in the form of goods and services</w:t>
            </w:r>
          </w:p>
          <w:p w14:paraId="50BEFEB6" w14:textId="77777777" w:rsidR="008715BE" w:rsidRPr="00EC75B7" w:rsidRDefault="00000000">
            <w:pPr>
              <w:pStyle w:val="TableParagraph"/>
              <w:ind w:left="107" w:right="92"/>
              <w:jc w:val="both"/>
              <w:rPr>
                <w:rFonts w:ascii="Verdana" w:hAnsi="Verdana"/>
                <w:sz w:val="18"/>
                <w:szCs w:val="18"/>
              </w:rPr>
            </w:pPr>
            <w:r w:rsidRPr="00EC75B7">
              <w:rPr>
                <w:rFonts w:ascii="Verdana" w:hAnsi="Verdana"/>
                <w:sz w:val="18"/>
                <w:szCs w:val="18"/>
              </w:rPr>
              <w:t>provided by natural and semi-natural ecosystems are reduced or of very low importance or no importance.</w:t>
            </w:r>
          </w:p>
          <w:p w14:paraId="4A3E717F"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Buildings and transport infrastructure of minor importance at the local level</w:t>
            </w:r>
          </w:p>
        </w:tc>
        <w:tc>
          <w:tcPr>
            <w:tcW w:w="2556" w:type="dxa"/>
            <w:shd w:val="clear" w:color="auto" w:fill="F1F1F1"/>
          </w:tcPr>
          <w:p w14:paraId="5894FCC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B587B07" w14:textId="77777777">
        <w:trPr>
          <w:trHeight w:val="1554"/>
        </w:trPr>
        <w:tc>
          <w:tcPr>
            <w:tcW w:w="2547" w:type="dxa"/>
            <w:shd w:val="clear" w:color="auto" w:fill="FFFF00"/>
          </w:tcPr>
          <w:p w14:paraId="4854DD0B"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364" w:type="dxa"/>
          </w:tcPr>
          <w:p w14:paraId="7AB0DBCA" w14:textId="77777777" w:rsidR="008715BE" w:rsidRPr="00EC75B7" w:rsidRDefault="00000000">
            <w:pPr>
              <w:pStyle w:val="TableParagraph"/>
              <w:spacing w:before="8"/>
              <w:ind w:left="107" w:right="92"/>
              <w:jc w:val="both"/>
              <w:rPr>
                <w:rFonts w:ascii="Verdana" w:hAnsi="Verdana"/>
                <w:sz w:val="18"/>
                <w:szCs w:val="18"/>
              </w:rPr>
            </w:pPr>
            <w:r w:rsidRPr="00EC75B7">
              <w:rPr>
                <w:rFonts w:ascii="Verdana" w:hAnsi="Verdana"/>
                <w:sz w:val="18"/>
                <w:szCs w:val="18"/>
              </w:rPr>
              <w:t xml:space="preserve">The goods and benefits that people obtain from nature in the form of goods and services provided by natural and semi-natural ecosystems are of low importance but with few alternatives for </w:t>
            </w:r>
            <w:r w:rsidRPr="00EC75B7">
              <w:rPr>
                <w:rFonts w:ascii="Verdana" w:hAnsi="Verdana"/>
                <w:spacing w:val="-2"/>
                <w:sz w:val="18"/>
                <w:szCs w:val="18"/>
              </w:rPr>
              <w:t>replacement.</w:t>
            </w:r>
          </w:p>
          <w:p w14:paraId="6DECCAB1"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Buildings and transport infrastructure of </w:t>
            </w:r>
            <w:r w:rsidRPr="00EC75B7">
              <w:rPr>
                <w:rFonts w:ascii="Verdana" w:hAnsi="Verdana"/>
                <w:spacing w:val="-2"/>
                <w:sz w:val="18"/>
                <w:szCs w:val="18"/>
              </w:rPr>
              <w:t>local</w:t>
            </w:r>
            <w:r w:rsidRPr="00EC75B7">
              <w:rPr>
                <w:rFonts w:ascii="Verdana" w:hAnsi="Verdana"/>
                <w:sz w:val="18"/>
                <w:szCs w:val="18"/>
              </w:rPr>
              <w:t xml:space="preserve"> importance</w:t>
            </w:r>
            <w:r w:rsidRPr="00EC75B7">
              <w:rPr>
                <w:rFonts w:ascii="Verdana" w:hAnsi="Verdana"/>
                <w:spacing w:val="-2"/>
                <w:sz w:val="18"/>
                <w:szCs w:val="18"/>
              </w:rPr>
              <w:t>.</w:t>
            </w:r>
          </w:p>
        </w:tc>
        <w:tc>
          <w:tcPr>
            <w:tcW w:w="2556" w:type="dxa"/>
          </w:tcPr>
          <w:p w14:paraId="3028E15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F0B46BB" w14:textId="77777777">
        <w:trPr>
          <w:trHeight w:val="1360"/>
        </w:trPr>
        <w:tc>
          <w:tcPr>
            <w:tcW w:w="2547" w:type="dxa"/>
            <w:shd w:val="clear" w:color="auto" w:fill="FAE3D4"/>
          </w:tcPr>
          <w:p w14:paraId="7C74818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364" w:type="dxa"/>
            <w:shd w:val="clear" w:color="auto" w:fill="F1F1F1"/>
          </w:tcPr>
          <w:p w14:paraId="1C99E48C"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The goods and benefits that people obtain from nature in the form of goods and services provided by natural and semi-natural ecosystems are of moderate importance and have numerous substitutes.</w:t>
            </w:r>
          </w:p>
          <w:p w14:paraId="56E193DE" w14:textId="77777777" w:rsidR="008715BE" w:rsidRPr="00EC75B7" w:rsidRDefault="00000000">
            <w:pPr>
              <w:pStyle w:val="TableParagraph"/>
              <w:spacing w:line="191" w:lineRule="exact"/>
              <w:ind w:left="107"/>
              <w:rPr>
                <w:rFonts w:ascii="Verdana" w:hAnsi="Verdana"/>
                <w:sz w:val="18"/>
                <w:szCs w:val="18"/>
              </w:rPr>
            </w:pPr>
            <w:r w:rsidRPr="00EC75B7">
              <w:rPr>
                <w:rFonts w:ascii="Verdana" w:hAnsi="Verdana"/>
                <w:sz w:val="18"/>
                <w:szCs w:val="18"/>
              </w:rPr>
              <w:t xml:space="preserve">Buildings and transportation infrastructure of county </w:t>
            </w:r>
            <w:r w:rsidRPr="00EC75B7">
              <w:rPr>
                <w:rFonts w:ascii="Verdana" w:hAnsi="Verdana"/>
                <w:spacing w:val="-2"/>
                <w:sz w:val="18"/>
                <w:szCs w:val="18"/>
              </w:rPr>
              <w:t>importance</w:t>
            </w:r>
          </w:p>
          <w:p w14:paraId="26F290A7"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pacing w:val="-2"/>
                <w:sz w:val="18"/>
                <w:szCs w:val="18"/>
              </w:rPr>
              <w:t>county level.</w:t>
            </w:r>
          </w:p>
        </w:tc>
        <w:tc>
          <w:tcPr>
            <w:tcW w:w="2556" w:type="dxa"/>
            <w:shd w:val="clear" w:color="auto" w:fill="F1F1F1"/>
          </w:tcPr>
          <w:p w14:paraId="42A42AD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4A2B6836" w14:textId="77777777">
        <w:trPr>
          <w:trHeight w:val="1946"/>
        </w:trPr>
        <w:tc>
          <w:tcPr>
            <w:tcW w:w="2547" w:type="dxa"/>
            <w:shd w:val="clear" w:color="auto" w:fill="FF0000"/>
          </w:tcPr>
          <w:p w14:paraId="5EA52D4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4364" w:type="dxa"/>
          </w:tcPr>
          <w:p w14:paraId="01C5EEBC"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 xml:space="preserve">The goods and benefits that people obtain from nature in the form of goods and services provided by natural and semi-natural ecosystems are of high importance and highly </w:t>
            </w:r>
            <w:r w:rsidRPr="00EC75B7">
              <w:rPr>
                <w:rFonts w:ascii="Verdana" w:hAnsi="Verdana"/>
                <w:spacing w:val="-2"/>
                <w:sz w:val="18"/>
                <w:szCs w:val="18"/>
              </w:rPr>
              <w:t>substitutable.</w:t>
            </w:r>
          </w:p>
          <w:p w14:paraId="216446CA"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Buildings and transport infrastructure of high importance / elements of cultural value, cultural protection or energy security areas / buildings at </w:t>
            </w:r>
            <w:r w:rsidRPr="00EC75B7">
              <w:rPr>
                <w:rFonts w:ascii="Verdana" w:hAnsi="Verdana"/>
                <w:spacing w:val="-4"/>
                <w:sz w:val="18"/>
                <w:szCs w:val="18"/>
              </w:rPr>
              <w:t>high risk</w:t>
            </w:r>
          </w:p>
          <w:p w14:paraId="1EFC7879" w14:textId="77777777" w:rsidR="008715BE" w:rsidRPr="00EC75B7" w:rsidRDefault="00000000">
            <w:pPr>
              <w:pStyle w:val="TableParagraph"/>
              <w:spacing w:line="162" w:lineRule="exact"/>
              <w:ind w:left="107"/>
              <w:jc w:val="both"/>
              <w:rPr>
                <w:rFonts w:ascii="Verdana" w:hAnsi="Verdana"/>
                <w:sz w:val="18"/>
                <w:szCs w:val="18"/>
              </w:rPr>
            </w:pPr>
            <w:r w:rsidRPr="00EC75B7">
              <w:rPr>
                <w:rFonts w:ascii="Verdana" w:hAnsi="Verdana"/>
                <w:sz w:val="18"/>
                <w:szCs w:val="18"/>
              </w:rPr>
              <w:t xml:space="preserve">to earthquakes and </w:t>
            </w:r>
            <w:r w:rsidRPr="00EC75B7">
              <w:rPr>
                <w:rFonts w:ascii="Verdana" w:hAnsi="Verdana"/>
                <w:spacing w:val="-2"/>
                <w:sz w:val="18"/>
                <w:szCs w:val="18"/>
              </w:rPr>
              <w:t>vibrations.</w:t>
            </w:r>
          </w:p>
        </w:tc>
        <w:tc>
          <w:tcPr>
            <w:tcW w:w="2556" w:type="dxa"/>
          </w:tcPr>
          <w:p w14:paraId="56A67034"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1AB320C3" w14:textId="77777777">
        <w:trPr>
          <w:trHeight w:val="3693"/>
        </w:trPr>
        <w:tc>
          <w:tcPr>
            <w:tcW w:w="2547" w:type="dxa"/>
            <w:shd w:val="clear" w:color="auto" w:fill="D0CECE"/>
          </w:tcPr>
          <w:p w14:paraId="7E49B9FA"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 xml:space="preserve">No </w:t>
            </w:r>
            <w:r w:rsidRPr="00EC75B7">
              <w:rPr>
                <w:rFonts w:ascii="Verdana" w:hAnsi="Verdana"/>
                <w:b/>
                <w:sz w:val="18"/>
                <w:szCs w:val="18"/>
              </w:rPr>
              <w:t xml:space="preserve">sensitivity/Very low </w:t>
            </w:r>
            <w:r w:rsidRPr="00EC75B7">
              <w:rPr>
                <w:rFonts w:ascii="Verdana" w:hAnsi="Verdana"/>
                <w:b/>
                <w:spacing w:val="-2"/>
                <w:sz w:val="18"/>
                <w:szCs w:val="18"/>
              </w:rPr>
              <w:t>sensitivity</w:t>
            </w:r>
          </w:p>
        </w:tc>
        <w:tc>
          <w:tcPr>
            <w:tcW w:w="4364" w:type="dxa"/>
            <w:shd w:val="clear" w:color="auto" w:fill="F1F1F1"/>
          </w:tcPr>
          <w:p w14:paraId="6D70AE45"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 xml:space="preserve">Existing goods and ecosystem services are of low importance or have no </w:t>
            </w:r>
            <w:r w:rsidRPr="00EC75B7">
              <w:rPr>
                <w:rFonts w:ascii="Verdana" w:hAnsi="Verdana"/>
                <w:spacing w:val="-2"/>
                <w:sz w:val="18"/>
                <w:szCs w:val="18"/>
              </w:rPr>
              <w:t>local</w:t>
            </w:r>
            <w:r w:rsidRPr="00EC75B7">
              <w:rPr>
                <w:rFonts w:ascii="Verdana" w:hAnsi="Verdana"/>
                <w:sz w:val="18"/>
                <w:szCs w:val="18"/>
              </w:rPr>
              <w:t xml:space="preserve"> importance</w:t>
            </w:r>
            <w:r w:rsidRPr="00EC75B7">
              <w:rPr>
                <w:rFonts w:ascii="Verdana" w:hAnsi="Verdana"/>
                <w:spacing w:val="-2"/>
                <w:sz w:val="18"/>
                <w:szCs w:val="18"/>
              </w:rPr>
              <w:t>.</w:t>
            </w:r>
          </w:p>
          <w:p w14:paraId="16DA700D"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Buildings and infrastructure elements of no significance, without vibration-sensitive structural components.</w:t>
            </w:r>
          </w:p>
        </w:tc>
        <w:tc>
          <w:tcPr>
            <w:tcW w:w="2556" w:type="dxa"/>
            <w:shd w:val="clear" w:color="auto" w:fill="F1F1F1"/>
          </w:tcPr>
          <w:p w14:paraId="55095440" w14:textId="2F65649E" w:rsidR="008715BE" w:rsidRPr="00EC75B7" w:rsidRDefault="00000000">
            <w:pPr>
              <w:pStyle w:val="TableParagraph"/>
              <w:tabs>
                <w:tab w:val="left" w:pos="949"/>
                <w:tab w:val="left" w:pos="1115"/>
                <w:tab w:val="left" w:pos="1288"/>
                <w:tab w:val="left" w:pos="1822"/>
                <w:tab w:val="left" w:pos="2253"/>
              </w:tabs>
              <w:spacing w:before="8"/>
              <w:ind w:left="107" w:right="92"/>
              <w:jc w:val="both"/>
              <w:rPr>
                <w:rFonts w:ascii="Verdana" w:hAnsi="Verdana"/>
                <w:sz w:val="18"/>
                <w:szCs w:val="18"/>
              </w:rPr>
            </w:pPr>
            <w:r w:rsidRPr="00EC75B7">
              <w:rPr>
                <w:rFonts w:ascii="Verdana" w:hAnsi="Verdana"/>
                <w:sz w:val="18"/>
                <w:szCs w:val="18"/>
              </w:rPr>
              <w:t xml:space="preserve">The project site is located outside the city limits, on agricultural land, without buildings </w:t>
            </w:r>
            <w:r w:rsidRPr="00EC75B7">
              <w:rPr>
                <w:rFonts w:ascii="Verdana" w:hAnsi="Verdana"/>
                <w:spacing w:val="-4"/>
                <w:sz w:val="18"/>
                <w:szCs w:val="18"/>
              </w:rPr>
              <w:t>or</w:t>
            </w:r>
            <w:r w:rsidR="001A36C7">
              <w:rPr>
                <w:rFonts w:ascii="Verdana" w:hAnsi="Verdana"/>
                <w:sz w:val="18"/>
                <w:szCs w:val="18"/>
              </w:rPr>
              <w:t xml:space="preserve"> </w:t>
            </w:r>
            <w:r w:rsidRPr="00EC75B7">
              <w:rPr>
                <w:rFonts w:ascii="Verdana" w:hAnsi="Verdana"/>
                <w:spacing w:val="-2"/>
                <w:sz w:val="18"/>
                <w:szCs w:val="18"/>
              </w:rPr>
              <w:t>infrastructure elements</w:t>
            </w:r>
            <w:r w:rsidRPr="00EC75B7">
              <w:rPr>
                <w:rFonts w:ascii="Verdana" w:hAnsi="Verdana"/>
                <w:sz w:val="18"/>
                <w:szCs w:val="18"/>
              </w:rPr>
              <w:tab/>
            </w:r>
            <w:r w:rsidRPr="00EC75B7">
              <w:rPr>
                <w:rFonts w:ascii="Verdana" w:hAnsi="Verdana"/>
                <w:sz w:val="18"/>
                <w:szCs w:val="18"/>
              </w:rPr>
              <w:tab/>
              <w:t xml:space="preserve">of local, county, or national importance. Access to the project objectives is via </w:t>
            </w:r>
            <w:r w:rsidRPr="00EC75B7">
              <w:rPr>
                <w:rFonts w:ascii="Verdana" w:hAnsi="Verdana"/>
                <w:spacing w:val="-2"/>
                <w:sz w:val="18"/>
                <w:szCs w:val="18"/>
              </w:rPr>
              <w:t>municipal</w:t>
            </w:r>
            <w:r w:rsidRPr="00EC75B7">
              <w:rPr>
                <w:rFonts w:ascii="Verdana" w:hAnsi="Verdana"/>
                <w:sz w:val="18"/>
                <w:szCs w:val="18"/>
              </w:rPr>
              <w:t xml:space="preserve"> roads</w:t>
            </w:r>
            <w:r w:rsidR="001A36C7">
              <w:rPr>
                <w:rFonts w:ascii="Verdana" w:hAnsi="Verdana"/>
                <w:sz w:val="18"/>
                <w:szCs w:val="18"/>
              </w:rPr>
              <w:t xml:space="preserve"> </w:t>
            </w:r>
            <w:r w:rsidRPr="00EC75B7">
              <w:rPr>
                <w:rFonts w:ascii="Verdana" w:hAnsi="Verdana"/>
                <w:spacing w:val="-6"/>
                <w:sz w:val="18"/>
                <w:szCs w:val="18"/>
              </w:rPr>
              <w:t>and</w:t>
            </w:r>
            <w:r w:rsidR="001A36C7">
              <w:rPr>
                <w:rFonts w:ascii="Verdana" w:hAnsi="Verdana"/>
                <w:sz w:val="18"/>
                <w:szCs w:val="18"/>
              </w:rPr>
              <w:t xml:space="preserve"> </w:t>
            </w:r>
            <w:r w:rsidRPr="00EC75B7">
              <w:rPr>
                <w:rFonts w:ascii="Verdana" w:hAnsi="Verdana"/>
                <w:sz w:val="18"/>
                <w:szCs w:val="18"/>
              </w:rPr>
              <w:t>existing</w:t>
            </w:r>
            <w:r w:rsidRPr="00EC75B7">
              <w:rPr>
                <w:rFonts w:ascii="Verdana" w:hAnsi="Verdana"/>
                <w:spacing w:val="-2"/>
                <w:sz w:val="18"/>
                <w:szCs w:val="18"/>
              </w:rPr>
              <w:t xml:space="preserve"> agricultural roads</w:t>
            </w:r>
            <w:r w:rsidRPr="00EC75B7">
              <w:rPr>
                <w:rFonts w:ascii="Verdana" w:hAnsi="Verdana"/>
                <w:sz w:val="18"/>
                <w:szCs w:val="18"/>
              </w:rPr>
              <w:t xml:space="preserve">, without affecting their structure or functionality. No </w:t>
            </w:r>
            <w:r w:rsidRPr="00EC75B7">
              <w:rPr>
                <w:rFonts w:ascii="Verdana" w:hAnsi="Verdana"/>
                <w:spacing w:val="-2"/>
                <w:sz w:val="18"/>
                <w:szCs w:val="18"/>
              </w:rPr>
              <w:t xml:space="preserve">vibration-sensitive </w:t>
            </w:r>
            <w:r w:rsidRPr="00EC75B7">
              <w:rPr>
                <w:rFonts w:ascii="Verdana" w:hAnsi="Verdana"/>
                <w:sz w:val="18"/>
                <w:szCs w:val="18"/>
              </w:rPr>
              <w:t>material assets</w:t>
            </w:r>
            <w:r w:rsidRPr="00EC75B7">
              <w:rPr>
                <w:rFonts w:ascii="Verdana" w:hAnsi="Verdana"/>
                <w:spacing w:val="-2"/>
                <w:sz w:val="18"/>
                <w:szCs w:val="18"/>
              </w:rPr>
              <w:t>,</w:t>
            </w:r>
            <w:r w:rsidR="001A36C7">
              <w:rPr>
                <w:rFonts w:ascii="Verdana" w:hAnsi="Verdana"/>
                <w:sz w:val="18"/>
                <w:szCs w:val="18"/>
              </w:rPr>
              <w:t xml:space="preserve"> </w:t>
            </w:r>
            <w:r w:rsidRPr="00EC75B7">
              <w:rPr>
                <w:rFonts w:ascii="Verdana" w:hAnsi="Verdana"/>
                <w:spacing w:val="-2"/>
                <w:sz w:val="18"/>
                <w:szCs w:val="18"/>
              </w:rPr>
              <w:t>elements</w:t>
            </w:r>
            <w:r w:rsidR="001A36C7">
              <w:rPr>
                <w:rFonts w:ascii="Verdana" w:hAnsi="Verdana"/>
                <w:sz w:val="18"/>
                <w:szCs w:val="18"/>
              </w:rPr>
              <w:t xml:space="preserve"> </w:t>
            </w:r>
            <w:r w:rsidRPr="00EC75B7">
              <w:rPr>
                <w:rFonts w:ascii="Verdana" w:hAnsi="Verdana"/>
                <w:sz w:val="18"/>
                <w:szCs w:val="18"/>
              </w:rPr>
              <w:t>heritage</w:t>
            </w:r>
            <w:r w:rsidRPr="00EC75B7">
              <w:rPr>
                <w:rFonts w:ascii="Verdana" w:hAnsi="Verdana"/>
                <w:spacing w:val="-6"/>
                <w:sz w:val="18"/>
                <w:szCs w:val="18"/>
              </w:rPr>
              <w:t xml:space="preserve"> elements </w:t>
            </w:r>
            <w:r w:rsidRPr="00EC75B7">
              <w:rPr>
                <w:rFonts w:ascii="Verdana" w:hAnsi="Verdana"/>
                <w:sz w:val="18"/>
                <w:szCs w:val="18"/>
              </w:rPr>
              <w:t>or infrastructure of strategic value, and the impact</w:t>
            </w:r>
            <w:r w:rsidRPr="00EC75B7">
              <w:rPr>
                <w:rFonts w:ascii="Verdana" w:hAnsi="Verdana"/>
                <w:spacing w:val="57"/>
                <w:sz w:val="18"/>
                <w:szCs w:val="18"/>
              </w:rPr>
              <w:t xml:space="preserve">  </w:t>
            </w:r>
            <w:r w:rsidRPr="00EC75B7">
              <w:rPr>
                <w:rFonts w:ascii="Verdana" w:hAnsi="Verdana"/>
                <w:sz w:val="18"/>
                <w:szCs w:val="18"/>
              </w:rPr>
              <w:t xml:space="preserve"> on</w:t>
            </w:r>
            <w:r w:rsidRPr="00EC75B7">
              <w:rPr>
                <w:rFonts w:ascii="Verdana" w:hAnsi="Verdana"/>
                <w:spacing w:val="57"/>
                <w:sz w:val="18"/>
                <w:szCs w:val="18"/>
              </w:rPr>
              <w:t xml:space="preserve">  </w:t>
            </w:r>
            <w:r w:rsidRPr="00EC75B7">
              <w:rPr>
                <w:rFonts w:ascii="Verdana" w:hAnsi="Verdana"/>
                <w:spacing w:val="-2"/>
                <w:sz w:val="18"/>
                <w:szCs w:val="18"/>
              </w:rPr>
              <w:t xml:space="preserve"> material assets</w:t>
            </w:r>
          </w:p>
          <w:p w14:paraId="61F1F78F" w14:textId="77777777" w:rsidR="008715BE" w:rsidRPr="00EC75B7" w:rsidRDefault="00000000">
            <w:pPr>
              <w:pStyle w:val="TableParagraph"/>
              <w:spacing w:line="150" w:lineRule="exact"/>
              <w:ind w:left="107"/>
              <w:jc w:val="both"/>
              <w:rPr>
                <w:rFonts w:ascii="Verdana" w:hAnsi="Verdana"/>
                <w:sz w:val="18"/>
                <w:szCs w:val="18"/>
              </w:rPr>
            </w:pPr>
            <w:r w:rsidRPr="00EC75B7">
              <w:rPr>
                <w:rFonts w:ascii="Verdana" w:hAnsi="Verdana"/>
                <w:sz w:val="18"/>
                <w:szCs w:val="18"/>
              </w:rPr>
              <w:t xml:space="preserve">is </w:t>
            </w:r>
            <w:r w:rsidRPr="00EC75B7">
              <w:rPr>
                <w:rFonts w:ascii="Verdana" w:hAnsi="Verdana"/>
                <w:spacing w:val="-2"/>
                <w:sz w:val="18"/>
                <w:szCs w:val="18"/>
              </w:rPr>
              <w:t>negligible.</w:t>
            </w:r>
          </w:p>
        </w:tc>
      </w:tr>
    </w:tbl>
    <w:p w14:paraId="64FC9D53" w14:textId="77777777" w:rsidR="008715BE" w:rsidRPr="00EC75B7" w:rsidRDefault="008715BE">
      <w:pPr>
        <w:pStyle w:val="TableParagraph"/>
        <w:spacing w:line="150" w:lineRule="exact"/>
        <w:jc w:val="both"/>
        <w:rPr>
          <w:rFonts w:ascii="Verdana" w:hAnsi="Verdana"/>
          <w:sz w:val="18"/>
          <w:szCs w:val="18"/>
        </w:rPr>
        <w:sectPr w:rsidR="008715BE" w:rsidRPr="00EC75B7">
          <w:pgSz w:w="11910" w:h="16840"/>
          <w:pgMar w:top="1320" w:right="850" w:bottom="1020" w:left="992" w:header="766" w:footer="824" w:gutter="0"/>
          <w:cols w:space="708"/>
        </w:sectPr>
      </w:pPr>
    </w:p>
    <w:p w14:paraId="4A2C53BE" w14:textId="77777777" w:rsidR="008715BE" w:rsidRPr="00EC75B7" w:rsidRDefault="00000000">
      <w:pPr>
        <w:spacing w:before="99" w:line="360" w:lineRule="auto"/>
        <w:ind w:left="255"/>
        <w:rPr>
          <w:rFonts w:ascii="Verdana" w:hAnsi="Verdana"/>
          <w:b/>
          <w:sz w:val="18"/>
          <w:szCs w:val="18"/>
        </w:rPr>
      </w:pPr>
      <w:r w:rsidRPr="00EC75B7">
        <w:rPr>
          <w:rFonts w:ascii="Verdana" w:hAnsi="Verdana"/>
          <w:b/>
          <w:sz w:val="18"/>
          <w:szCs w:val="18"/>
        </w:rPr>
        <w:lastRenderedPageBreak/>
        <w:t xml:space="preserve">The </w:t>
      </w:r>
      <w:r w:rsidRPr="00EC75B7">
        <w:rPr>
          <w:rFonts w:ascii="Verdana" w:hAnsi="Verdana"/>
          <w:sz w:val="18"/>
          <w:szCs w:val="18"/>
        </w:rPr>
        <w:t xml:space="preserve">following </w:t>
      </w:r>
      <w:r w:rsidRPr="00EC75B7">
        <w:rPr>
          <w:rFonts w:ascii="Verdana" w:hAnsi="Verdana"/>
          <w:b/>
          <w:sz w:val="18"/>
          <w:szCs w:val="18"/>
        </w:rPr>
        <w:t xml:space="preserve">magnitude classes for the social and economic environment </w:t>
      </w:r>
      <w:r w:rsidRPr="00EC75B7">
        <w:rPr>
          <w:rFonts w:ascii="Verdana" w:hAnsi="Verdana"/>
          <w:sz w:val="18"/>
          <w:szCs w:val="18"/>
        </w:rPr>
        <w:t>were used to assess the magnitude of the impact</w:t>
      </w:r>
      <w:r w:rsidRPr="00EC75B7">
        <w:rPr>
          <w:rFonts w:ascii="Verdana" w:hAnsi="Verdana"/>
          <w:b/>
          <w:sz w:val="18"/>
          <w:szCs w:val="18"/>
        </w:rPr>
        <w:t>:</w:t>
      </w:r>
    </w:p>
    <w:p w14:paraId="21956AA7" w14:textId="77777777" w:rsidR="008715BE" w:rsidRPr="00EC75B7" w:rsidRDefault="00000000">
      <w:pPr>
        <w:spacing w:before="167"/>
        <w:ind w:left="198"/>
        <w:rPr>
          <w:rFonts w:ascii="Verdana" w:hAnsi="Verdana"/>
          <w:b/>
          <w:sz w:val="18"/>
          <w:szCs w:val="18"/>
        </w:rPr>
      </w:pPr>
      <w:r w:rsidRPr="00EC75B7">
        <w:rPr>
          <w:rFonts w:ascii="Verdana" w:hAnsi="Verdana"/>
          <w:b/>
          <w:color w:val="00AFEF"/>
          <w:sz w:val="18"/>
          <w:szCs w:val="18"/>
        </w:rPr>
        <w:t xml:space="preserve">Table 22 Magnitude classes for the social and </w:t>
      </w:r>
      <w:r w:rsidRPr="00EC75B7">
        <w:rPr>
          <w:rFonts w:ascii="Verdana" w:hAnsi="Verdana"/>
          <w:b/>
          <w:color w:val="00AFEF"/>
          <w:spacing w:val="-2"/>
          <w:sz w:val="18"/>
          <w:szCs w:val="18"/>
        </w:rPr>
        <w:t xml:space="preserve">economic </w:t>
      </w:r>
      <w:r w:rsidRPr="00EC75B7">
        <w:rPr>
          <w:rFonts w:ascii="Verdana" w:hAnsi="Verdana"/>
          <w:b/>
          <w:color w:val="00AFEF"/>
          <w:sz w:val="18"/>
          <w:szCs w:val="18"/>
        </w:rPr>
        <w:t>environment</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3F6A7F9F" w14:textId="77777777">
        <w:trPr>
          <w:trHeight w:val="388"/>
        </w:trPr>
        <w:tc>
          <w:tcPr>
            <w:tcW w:w="1803" w:type="dxa"/>
            <w:shd w:val="clear" w:color="auto" w:fill="00AFEF"/>
          </w:tcPr>
          <w:p w14:paraId="7C295F35"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t>Magnitude</w:t>
            </w:r>
          </w:p>
          <w:p w14:paraId="5A366C96"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4288" w:type="dxa"/>
            <w:shd w:val="clear" w:color="auto" w:fill="00AFEF"/>
          </w:tcPr>
          <w:p w14:paraId="74F0ABE7"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1EE7D887" w14:textId="0D5F2CAB" w:rsidR="008715BE" w:rsidRPr="00EC75B7" w:rsidRDefault="00000000" w:rsidP="001A36C7">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in </w:t>
            </w:r>
            <w:r w:rsidRPr="00EC75B7">
              <w:rPr>
                <w:rFonts w:ascii="Verdana" w:hAnsi="Verdana"/>
                <w:b/>
                <w:color w:val="FFFFFF"/>
                <w:spacing w:val="-2"/>
                <w:sz w:val="18"/>
                <w:szCs w:val="18"/>
              </w:rPr>
              <w:t>the case of</w:t>
            </w:r>
            <w:r w:rsidR="001A36C7">
              <w:rPr>
                <w:rFonts w:ascii="Verdana" w:hAnsi="Verdana"/>
                <w:b/>
                <w:sz w:val="18"/>
                <w:szCs w:val="18"/>
              </w:rPr>
              <w:t xml:space="preserve"> </w:t>
            </w:r>
            <w:r w:rsidRPr="00EC75B7">
              <w:rPr>
                <w:rFonts w:ascii="Verdana" w:hAnsi="Verdana"/>
                <w:b/>
                <w:color w:val="FFFFFF"/>
                <w:spacing w:val="-2"/>
                <w:sz w:val="18"/>
                <w:szCs w:val="18"/>
              </w:rPr>
              <w:t>the project</w:t>
            </w:r>
          </w:p>
        </w:tc>
      </w:tr>
      <w:tr w:rsidR="008715BE" w:rsidRPr="00EC75B7" w14:paraId="126ECDAD" w14:textId="77777777">
        <w:trPr>
          <w:trHeight w:val="335"/>
        </w:trPr>
        <w:tc>
          <w:tcPr>
            <w:tcW w:w="9469" w:type="dxa"/>
            <w:gridSpan w:val="3"/>
            <w:shd w:val="clear" w:color="auto" w:fill="ADAAAA"/>
          </w:tcPr>
          <w:p w14:paraId="73AEC2A9"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2C53CA6E" w14:textId="77777777">
        <w:trPr>
          <w:trHeight w:val="2140"/>
        </w:trPr>
        <w:tc>
          <w:tcPr>
            <w:tcW w:w="1803" w:type="dxa"/>
            <w:shd w:val="clear" w:color="auto" w:fill="F1F1F1"/>
          </w:tcPr>
          <w:p w14:paraId="3FD5182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6D0B58E4"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 xml:space="preserve">Temporary disruption (≤1 year) to quality of life, disruption to </w:t>
            </w:r>
            <w:r w:rsidRPr="00EC75B7">
              <w:rPr>
                <w:rFonts w:ascii="Verdana" w:hAnsi="Verdana"/>
                <w:spacing w:val="-2"/>
                <w:sz w:val="18"/>
                <w:szCs w:val="18"/>
              </w:rPr>
              <w:t xml:space="preserve">local </w:t>
            </w:r>
            <w:r w:rsidRPr="00EC75B7">
              <w:rPr>
                <w:rFonts w:ascii="Verdana" w:hAnsi="Verdana"/>
                <w:sz w:val="18"/>
                <w:szCs w:val="18"/>
              </w:rPr>
              <w:t>household and economic activities</w:t>
            </w:r>
            <w:r w:rsidRPr="00EC75B7">
              <w:rPr>
                <w:rFonts w:ascii="Verdana" w:hAnsi="Verdana"/>
                <w:spacing w:val="-2"/>
                <w:sz w:val="18"/>
                <w:szCs w:val="18"/>
              </w:rPr>
              <w:t>.</w:t>
            </w:r>
          </w:p>
        </w:tc>
        <w:tc>
          <w:tcPr>
            <w:tcW w:w="3378" w:type="dxa"/>
            <w:shd w:val="clear" w:color="auto" w:fill="F1F1F1"/>
          </w:tcPr>
          <w:p w14:paraId="1FC38F0E" w14:textId="4004AD57" w:rsidR="008715BE" w:rsidRPr="00EC75B7" w:rsidRDefault="00000000" w:rsidP="001A36C7">
            <w:pPr>
              <w:pStyle w:val="TableParagraph"/>
              <w:ind w:left="107" w:right="96"/>
              <w:jc w:val="both"/>
              <w:rPr>
                <w:rFonts w:ascii="Verdana" w:hAnsi="Verdana"/>
                <w:sz w:val="18"/>
                <w:szCs w:val="18"/>
              </w:rPr>
            </w:pPr>
            <w:r w:rsidRPr="00EC75B7">
              <w:rPr>
                <w:rFonts w:ascii="Verdana" w:hAnsi="Verdana"/>
                <w:sz w:val="18"/>
                <w:szCs w:val="18"/>
              </w:rPr>
              <w:t xml:space="preserve">The implementation of the wind farm does not generate effects that significantly influence the local population in terms of living conditions or economic opportunities. The project does not involve the elimination of existing jobs, does not cause a decrease in the population's income, and does not interfere with the current activities carried out </w:t>
            </w:r>
            <w:r w:rsidRPr="00EC75B7">
              <w:rPr>
                <w:rFonts w:ascii="Verdana" w:hAnsi="Verdana"/>
                <w:spacing w:val="-5"/>
                <w:sz w:val="18"/>
                <w:szCs w:val="18"/>
              </w:rPr>
              <w:t>by</w:t>
            </w:r>
            <w:r w:rsidR="001A36C7">
              <w:rPr>
                <w:rFonts w:ascii="Verdana" w:hAnsi="Verdana"/>
                <w:sz w:val="18"/>
                <w:szCs w:val="18"/>
              </w:rPr>
              <w:t xml:space="preserve"> </w:t>
            </w:r>
            <w:r w:rsidRPr="00EC75B7">
              <w:rPr>
                <w:rFonts w:ascii="Verdana" w:hAnsi="Verdana"/>
                <w:sz w:val="18"/>
                <w:szCs w:val="18"/>
              </w:rPr>
              <w:t xml:space="preserve">communities in </w:t>
            </w:r>
            <w:r w:rsidRPr="00EC75B7">
              <w:rPr>
                <w:rFonts w:ascii="Verdana" w:hAnsi="Verdana"/>
                <w:spacing w:val="-2"/>
                <w:sz w:val="18"/>
                <w:szCs w:val="18"/>
              </w:rPr>
              <w:t>the area.</w:t>
            </w:r>
          </w:p>
        </w:tc>
      </w:tr>
      <w:tr w:rsidR="008715BE" w:rsidRPr="00EC75B7" w14:paraId="2D5DF2C1" w14:textId="77777777">
        <w:trPr>
          <w:trHeight w:val="1555"/>
        </w:trPr>
        <w:tc>
          <w:tcPr>
            <w:tcW w:w="1803" w:type="dxa"/>
          </w:tcPr>
          <w:p w14:paraId="2589963C"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288" w:type="dxa"/>
          </w:tcPr>
          <w:p w14:paraId="2A553F16" w14:textId="77777777" w:rsidR="008715BE" w:rsidRPr="00EC75B7" w:rsidRDefault="00000000">
            <w:pPr>
              <w:pStyle w:val="TableParagraph"/>
              <w:tabs>
                <w:tab w:val="left" w:pos="1506"/>
                <w:tab w:val="left" w:pos="2674"/>
                <w:tab w:val="left" w:pos="3341"/>
              </w:tabs>
              <w:ind w:left="107" w:right="98"/>
              <w:jc w:val="both"/>
              <w:rPr>
                <w:rFonts w:ascii="Verdana" w:hAnsi="Verdana"/>
                <w:sz w:val="18"/>
                <w:szCs w:val="18"/>
              </w:rPr>
            </w:pPr>
            <w:r w:rsidRPr="00EC75B7">
              <w:rPr>
                <w:rFonts w:ascii="Verdana" w:hAnsi="Verdana"/>
                <w:spacing w:val="-2"/>
                <w:sz w:val="18"/>
                <w:szCs w:val="18"/>
              </w:rPr>
              <w:t>Relocation</w:t>
            </w:r>
            <w:r w:rsidRPr="00EC75B7">
              <w:rPr>
                <w:rFonts w:ascii="Verdana" w:hAnsi="Verdana"/>
                <w:sz w:val="18"/>
                <w:szCs w:val="18"/>
              </w:rPr>
              <w:tab/>
            </w:r>
            <w:r w:rsidRPr="00EC75B7">
              <w:rPr>
                <w:rFonts w:ascii="Verdana" w:hAnsi="Verdana"/>
                <w:spacing w:val="-2"/>
                <w:sz w:val="18"/>
                <w:szCs w:val="18"/>
              </w:rPr>
              <w:t>population</w:t>
            </w:r>
            <w:r w:rsidRPr="00EC75B7">
              <w:rPr>
                <w:rFonts w:ascii="Verdana" w:hAnsi="Verdana"/>
                <w:sz w:val="18"/>
                <w:szCs w:val="18"/>
              </w:rPr>
              <w:tab/>
            </w:r>
            <w:r w:rsidRPr="00EC75B7">
              <w:rPr>
                <w:rFonts w:ascii="Verdana" w:hAnsi="Verdana"/>
                <w:spacing w:val="-4"/>
                <w:sz w:val="18"/>
                <w:szCs w:val="18"/>
              </w:rPr>
              <w:t>or</w:t>
            </w:r>
            <w:r w:rsidRPr="00EC75B7">
              <w:rPr>
                <w:rFonts w:ascii="Verdana" w:hAnsi="Verdana"/>
                <w:sz w:val="18"/>
                <w:szCs w:val="18"/>
              </w:rPr>
              <w:tab/>
            </w:r>
            <w:r w:rsidRPr="00EC75B7">
              <w:rPr>
                <w:rFonts w:ascii="Verdana" w:hAnsi="Verdana"/>
                <w:spacing w:val="-2"/>
                <w:sz w:val="18"/>
                <w:szCs w:val="18"/>
              </w:rPr>
              <w:t xml:space="preserve">abandonment </w:t>
            </w:r>
            <w:r w:rsidRPr="00EC75B7">
              <w:rPr>
                <w:rFonts w:ascii="Verdana" w:hAnsi="Verdana"/>
                <w:sz w:val="18"/>
                <w:szCs w:val="18"/>
              </w:rPr>
              <w:t xml:space="preserve">of households in the number of inhabitants of the locality </w:t>
            </w:r>
            <w:r w:rsidRPr="00EC75B7">
              <w:rPr>
                <w:rFonts w:ascii="Verdana" w:hAnsi="Verdana"/>
                <w:spacing w:val="-2"/>
                <w:sz w:val="18"/>
                <w:szCs w:val="18"/>
              </w:rPr>
              <w:t>(≤5).</w:t>
            </w:r>
          </w:p>
          <w:p w14:paraId="2361E6D1"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Reduction in the number of local jobs (5-10%) and temporary reduction in income, affecting business opportunities in the medium term (1-5 years)</w:t>
            </w:r>
          </w:p>
        </w:tc>
        <w:tc>
          <w:tcPr>
            <w:tcW w:w="3378" w:type="dxa"/>
          </w:tcPr>
          <w:p w14:paraId="7DE09FC3" w14:textId="77777777" w:rsidR="008715BE" w:rsidRPr="00EC75B7" w:rsidRDefault="00000000">
            <w:pPr>
              <w:pStyle w:val="TableParagraph"/>
              <w:spacing w:line="194" w:lineRule="exact"/>
              <w:ind w:left="164"/>
              <w:rPr>
                <w:rFonts w:ascii="Verdana" w:hAnsi="Verdana"/>
                <w:sz w:val="18"/>
                <w:szCs w:val="18"/>
              </w:rPr>
            </w:pPr>
            <w:r w:rsidRPr="00EC75B7">
              <w:rPr>
                <w:rFonts w:ascii="Verdana" w:hAnsi="Verdana"/>
                <w:sz w:val="18"/>
                <w:szCs w:val="18"/>
              </w:rPr>
              <w:t>-</w:t>
            </w:r>
          </w:p>
        </w:tc>
      </w:tr>
      <w:tr w:rsidR="008715BE" w:rsidRPr="00EC75B7" w14:paraId="7208CE28" w14:textId="77777777">
        <w:trPr>
          <w:trHeight w:val="2137"/>
        </w:trPr>
        <w:tc>
          <w:tcPr>
            <w:tcW w:w="1803" w:type="dxa"/>
            <w:shd w:val="clear" w:color="auto" w:fill="F1F1F1"/>
          </w:tcPr>
          <w:p w14:paraId="083693C8"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30D025F1" w14:textId="77777777" w:rsidR="008715BE" w:rsidRPr="00EC75B7" w:rsidRDefault="00000000">
            <w:pPr>
              <w:pStyle w:val="TableParagraph"/>
              <w:tabs>
                <w:tab w:val="left" w:pos="1506"/>
                <w:tab w:val="left" w:pos="2674"/>
                <w:tab w:val="left" w:pos="3341"/>
              </w:tabs>
              <w:ind w:left="107" w:right="97"/>
              <w:jc w:val="both"/>
              <w:rPr>
                <w:rFonts w:ascii="Verdana" w:hAnsi="Verdana"/>
                <w:sz w:val="18"/>
                <w:szCs w:val="18"/>
              </w:rPr>
            </w:pPr>
            <w:r w:rsidRPr="00EC75B7">
              <w:rPr>
                <w:rFonts w:ascii="Verdana" w:hAnsi="Verdana"/>
                <w:spacing w:val="-2"/>
                <w:sz w:val="18"/>
                <w:szCs w:val="18"/>
              </w:rPr>
              <w:t>Displacement</w:t>
            </w:r>
            <w:r w:rsidRPr="00EC75B7">
              <w:rPr>
                <w:rFonts w:ascii="Verdana" w:hAnsi="Verdana"/>
                <w:sz w:val="18"/>
                <w:szCs w:val="18"/>
              </w:rPr>
              <w:tab/>
            </w:r>
            <w:r w:rsidRPr="00EC75B7">
              <w:rPr>
                <w:rFonts w:ascii="Verdana" w:hAnsi="Verdana"/>
                <w:spacing w:val="-2"/>
                <w:sz w:val="18"/>
                <w:szCs w:val="18"/>
              </w:rPr>
              <w:t>of the</w:t>
            </w:r>
            <w:r w:rsidRPr="00EC75B7">
              <w:rPr>
                <w:rFonts w:ascii="Verdana" w:hAnsi="Verdana"/>
                <w:sz w:val="18"/>
                <w:szCs w:val="18"/>
              </w:rPr>
              <w:tab/>
            </w:r>
            <w:r w:rsidRPr="00EC75B7">
              <w:rPr>
                <w:rFonts w:ascii="Verdana" w:hAnsi="Verdana"/>
                <w:spacing w:val="-4"/>
                <w:sz w:val="18"/>
                <w:szCs w:val="18"/>
              </w:rPr>
              <w:t>or</w:t>
            </w:r>
            <w:r w:rsidRPr="00EC75B7">
              <w:rPr>
                <w:rFonts w:ascii="Verdana" w:hAnsi="Verdana"/>
                <w:sz w:val="18"/>
                <w:szCs w:val="18"/>
              </w:rPr>
              <w:tab/>
            </w:r>
            <w:r w:rsidRPr="00EC75B7">
              <w:rPr>
                <w:rFonts w:ascii="Verdana" w:hAnsi="Verdana"/>
                <w:spacing w:val="-2"/>
                <w:sz w:val="18"/>
                <w:szCs w:val="18"/>
              </w:rPr>
              <w:t xml:space="preserve">abandonment </w:t>
            </w:r>
            <w:r w:rsidRPr="00EC75B7">
              <w:rPr>
                <w:rFonts w:ascii="Verdana" w:hAnsi="Verdana"/>
                <w:sz w:val="18"/>
                <w:szCs w:val="18"/>
              </w:rPr>
              <w:t xml:space="preserve">of households in the number of inhabitants of the locality or reduction in income (5-20% of the </w:t>
            </w:r>
            <w:r w:rsidRPr="00EC75B7">
              <w:rPr>
                <w:rFonts w:ascii="Verdana" w:hAnsi="Verdana"/>
                <w:spacing w:val="-2"/>
                <w:sz w:val="18"/>
                <w:szCs w:val="18"/>
              </w:rPr>
              <w:t>existing</w:t>
            </w:r>
            <w:r w:rsidRPr="00EC75B7">
              <w:rPr>
                <w:rFonts w:ascii="Verdana" w:hAnsi="Verdana"/>
                <w:sz w:val="18"/>
                <w:szCs w:val="18"/>
              </w:rPr>
              <w:t xml:space="preserve"> population</w:t>
            </w:r>
            <w:r w:rsidRPr="00EC75B7">
              <w:rPr>
                <w:rFonts w:ascii="Verdana" w:hAnsi="Verdana"/>
                <w:spacing w:val="-2"/>
                <w:sz w:val="18"/>
                <w:szCs w:val="18"/>
              </w:rPr>
              <w:t>)</w:t>
            </w:r>
          </w:p>
          <w:p w14:paraId="3C4C5090"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Changes with negative effects on quality of life, loss of opportunities to improve living standards and economic conditions; changes that could lead to increased migration to other areas or threaten the integrity and viability of communities.</w:t>
            </w:r>
          </w:p>
        </w:tc>
        <w:tc>
          <w:tcPr>
            <w:tcW w:w="3378" w:type="dxa"/>
            <w:shd w:val="clear" w:color="auto" w:fill="F1F1F1"/>
          </w:tcPr>
          <w:p w14:paraId="56BB7F20"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7B6A3D25" w14:textId="77777777">
        <w:trPr>
          <w:trHeight w:val="194"/>
        </w:trPr>
        <w:tc>
          <w:tcPr>
            <w:tcW w:w="9469" w:type="dxa"/>
            <w:gridSpan w:val="3"/>
            <w:shd w:val="clear" w:color="auto" w:fill="BEBEBE"/>
          </w:tcPr>
          <w:p w14:paraId="56D9C513"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1511D48B" w14:textId="77777777">
        <w:trPr>
          <w:trHeight w:val="2140"/>
        </w:trPr>
        <w:tc>
          <w:tcPr>
            <w:tcW w:w="1803" w:type="dxa"/>
            <w:shd w:val="clear" w:color="auto" w:fill="F1F1F1"/>
          </w:tcPr>
          <w:p w14:paraId="35B8AD14"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08D49CD4" w14:textId="77777777" w:rsidR="008715BE" w:rsidRPr="00EC75B7" w:rsidRDefault="00000000">
            <w:pPr>
              <w:pStyle w:val="TableParagraph"/>
              <w:spacing w:before="2"/>
              <w:ind w:left="107" w:right="97"/>
              <w:jc w:val="both"/>
              <w:rPr>
                <w:rFonts w:ascii="Verdana" w:hAnsi="Verdana"/>
                <w:sz w:val="18"/>
                <w:szCs w:val="18"/>
              </w:rPr>
            </w:pPr>
            <w:r w:rsidRPr="00EC75B7">
              <w:rPr>
                <w:rFonts w:ascii="Verdana" w:hAnsi="Verdana"/>
                <w:sz w:val="18"/>
                <w:szCs w:val="18"/>
              </w:rPr>
              <w:t xml:space="preserve">The proposed investments contribute in the short term to improving the quality of life and lead to the maintenance/increase in the number of </w:t>
            </w:r>
            <w:r w:rsidRPr="00EC75B7">
              <w:rPr>
                <w:rFonts w:ascii="Verdana" w:hAnsi="Verdana"/>
                <w:spacing w:val="-2"/>
                <w:sz w:val="18"/>
                <w:szCs w:val="18"/>
              </w:rPr>
              <w:t>jobs.</w:t>
            </w:r>
          </w:p>
        </w:tc>
        <w:tc>
          <w:tcPr>
            <w:tcW w:w="3378" w:type="dxa"/>
            <w:shd w:val="clear" w:color="auto" w:fill="F1F1F1"/>
          </w:tcPr>
          <w:p w14:paraId="5F912C35" w14:textId="77777777" w:rsidR="008715BE" w:rsidRPr="00EC75B7" w:rsidRDefault="00000000">
            <w:pPr>
              <w:pStyle w:val="TableParagraph"/>
              <w:tabs>
                <w:tab w:val="left" w:pos="1618"/>
                <w:tab w:val="left" w:pos="2791"/>
              </w:tabs>
              <w:spacing w:before="2"/>
              <w:ind w:left="107" w:right="94"/>
              <w:jc w:val="both"/>
              <w:rPr>
                <w:rFonts w:ascii="Verdana" w:hAnsi="Verdana"/>
                <w:sz w:val="18"/>
                <w:szCs w:val="18"/>
              </w:rPr>
            </w:pPr>
            <w:r w:rsidRPr="00EC75B7">
              <w:rPr>
                <w:rFonts w:ascii="Verdana" w:hAnsi="Verdana"/>
                <w:sz w:val="18"/>
                <w:szCs w:val="18"/>
              </w:rPr>
              <w:t xml:space="preserve">In terms of the construction and operation of the wind farm, the project may have specific favorable effects through the temporary creation of jobs and indirect contributions to </w:t>
            </w:r>
            <w:r w:rsidRPr="00EC75B7">
              <w:rPr>
                <w:rFonts w:ascii="Verdana" w:hAnsi="Verdana"/>
                <w:spacing w:val="-2"/>
                <w:sz w:val="18"/>
                <w:szCs w:val="18"/>
              </w:rPr>
              <w:t>improving</w:t>
            </w:r>
            <w:r w:rsidRPr="00EC75B7">
              <w:rPr>
                <w:rFonts w:ascii="Verdana" w:hAnsi="Verdana"/>
                <w:sz w:val="18"/>
                <w:szCs w:val="18"/>
              </w:rPr>
              <w:tab/>
            </w:r>
            <w:r w:rsidRPr="00EC75B7">
              <w:rPr>
                <w:rFonts w:ascii="Verdana" w:hAnsi="Verdana"/>
                <w:spacing w:val="-2"/>
                <w:sz w:val="18"/>
                <w:szCs w:val="18"/>
              </w:rPr>
              <w:t>local socio-economic conditions</w:t>
            </w:r>
            <w:r w:rsidRPr="00EC75B7">
              <w:rPr>
                <w:rFonts w:ascii="Verdana" w:hAnsi="Verdana"/>
                <w:sz w:val="18"/>
                <w:szCs w:val="18"/>
              </w:rPr>
              <w:tab/>
              <w:t>local socio-economic conditions. These benefits are limited in scope, but may be relevant in the short and medium term for</w:t>
            </w:r>
            <w:r w:rsidRPr="00EC75B7">
              <w:rPr>
                <w:rFonts w:ascii="Verdana" w:hAnsi="Verdana"/>
                <w:spacing w:val="58"/>
                <w:sz w:val="18"/>
                <w:szCs w:val="18"/>
              </w:rPr>
              <w:t xml:space="preserve">  </w:t>
            </w:r>
            <w:r w:rsidRPr="00EC75B7">
              <w:rPr>
                <w:rFonts w:ascii="Verdana" w:hAnsi="Verdana"/>
                <w:sz w:val="18"/>
                <w:szCs w:val="18"/>
              </w:rPr>
              <w:t xml:space="preserve"> communities</w:t>
            </w:r>
            <w:r w:rsidRPr="00EC75B7">
              <w:rPr>
                <w:rFonts w:ascii="Verdana" w:hAnsi="Verdana"/>
                <w:spacing w:val="60"/>
                <w:sz w:val="18"/>
                <w:szCs w:val="18"/>
              </w:rPr>
              <w:t xml:space="preserve">  </w:t>
            </w:r>
            <w:r w:rsidRPr="00EC75B7">
              <w:rPr>
                <w:rFonts w:ascii="Verdana" w:hAnsi="Verdana"/>
                <w:sz w:val="18"/>
                <w:szCs w:val="18"/>
              </w:rPr>
              <w:t xml:space="preserve"> in</w:t>
            </w:r>
            <w:r w:rsidRPr="00EC75B7">
              <w:rPr>
                <w:rFonts w:ascii="Verdana" w:hAnsi="Verdana"/>
                <w:spacing w:val="59"/>
                <w:sz w:val="18"/>
                <w:szCs w:val="18"/>
              </w:rPr>
              <w:t xml:space="preserve">  </w:t>
            </w:r>
            <w:r w:rsidRPr="00EC75B7">
              <w:rPr>
                <w:rFonts w:ascii="Verdana" w:hAnsi="Verdana"/>
                <w:sz w:val="18"/>
                <w:szCs w:val="18"/>
              </w:rPr>
              <w:t xml:space="preserve"> the area</w:t>
            </w:r>
            <w:r w:rsidRPr="00EC75B7">
              <w:rPr>
                <w:rFonts w:ascii="Verdana" w:hAnsi="Verdana"/>
                <w:spacing w:val="58"/>
                <w:sz w:val="18"/>
                <w:szCs w:val="18"/>
              </w:rPr>
              <w:t xml:space="preserve">  </w:t>
            </w:r>
            <w:r w:rsidRPr="00EC75B7">
              <w:rPr>
                <w:rFonts w:ascii="Verdana" w:hAnsi="Verdana"/>
                <w:spacing w:val="-5"/>
                <w:sz w:val="18"/>
                <w:szCs w:val="18"/>
              </w:rPr>
              <w:t xml:space="preserve"> of</w:t>
            </w:r>
          </w:p>
          <w:p w14:paraId="5F59DA20" w14:textId="77777777" w:rsidR="008715BE" w:rsidRPr="00EC75B7" w:rsidRDefault="00000000">
            <w:pPr>
              <w:pStyle w:val="TableParagraph"/>
              <w:spacing w:line="166" w:lineRule="exact"/>
              <w:ind w:left="107"/>
              <w:rPr>
                <w:rFonts w:ascii="Verdana" w:hAnsi="Verdana"/>
                <w:sz w:val="18"/>
                <w:szCs w:val="18"/>
              </w:rPr>
            </w:pPr>
            <w:r w:rsidRPr="00EC75B7">
              <w:rPr>
                <w:rFonts w:ascii="Verdana" w:hAnsi="Verdana"/>
                <w:spacing w:val="-2"/>
                <w:sz w:val="18"/>
                <w:szCs w:val="18"/>
              </w:rPr>
              <w:t>influence</w:t>
            </w:r>
          </w:p>
        </w:tc>
      </w:tr>
      <w:tr w:rsidR="008715BE" w:rsidRPr="00EC75B7" w14:paraId="51754875" w14:textId="77777777">
        <w:trPr>
          <w:trHeight w:val="1084"/>
        </w:trPr>
        <w:tc>
          <w:tcPr>
            <w:tcW w:w="1803" w:type="dxa"/>
          </w:tcPr>
          <w:p w14:paraId="6813A6F2"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288" w:type="dxa"/>
          </w:tcPr>
          <w:p w14:paraId="54F87292"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The proposed investments contribute to improving the quality of life in the medium term and lead to maintaining (≤5% of the local population) leads to an increase in the number of jobs, improvement of economic activities</w:t>
            </w:r>
          </w:p>
        </w:tc>
        <w:tc>
          <w:tcPr>
            <w:tcW w:w="3378" w:type="dxa"/>
          </w:tcPr>
          <w:p w14:paraId="5A503104"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5747AC26" w14:textId="77777777">
        <w:trPr>
          <w:trHeight w:val="1161"/>
        </w:trPr>
        <w:tc>
          <w:tcPr>
            <w:tcW w:w="1803" w:type="dxa"/>
            <w:shd w:val="clear" w:color="auto" w:fill="F1F1F1"/>
          </w:tcPr>
          <w:p w14:paraId="1B69A0D3"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3E4B7CD8"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The proposed investments contribute to a significant improvement in the quality of life (5-20% of the local population), improved conditions for the development of economic activities, and an increase in the number of jobs.</w:t>
            </w:r>
          </w:p>
        </w:tc>
        <w:tc>
          <w:tcPr>
            <w:tcW w:w="3378" w:type="dxa"/>
            <w:shd w:val="clear" w:color="auto" w:fill="F1F1F1"/>
          </w:tcPr>
          <w:p w14:paraId="71013B2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77501067" w14:textId="77777777">
        <w:trPr>
          <w:trHeight w:val="194"/>
        </w:trPr>
        <w:tc>
          <w:tcPr>
            <w:tcW w:w="9469" w:type="dxa"/>
            <w:gridSpan w:val="3"/>
            <w:shd w:val="clear" w:color="auto" w:fill="ADAAAA"/>
          </w:tcPr>
          <w:p w14:paraId="73A40B3D"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2"/>
                <w:sz w:val="18"/>
                <w:szCs w:val="18"/>
              </w:rPr>
              <w:lastRenderedPageBreak/>
              <w:t>Neutral</w:t>
            </w:r>
          </w:p>
        </w:tc>
      </w:tr>
      <w:tr w:rsidR="008715BE" w:rsidRPr="00EC75B7" w14:paraId="5638DDB6" w14:textId="77777777">
        <w:trPr>
          <w:trHeight w:val="585"/>
        </w:trPr>
        <w:tc>
          <w:tcPr>
            <w:tcW w:w="1803" w:type="dxa"/>
            <w:shd w:val="clear" w:color="auto" w:fill="F1F1F1"/>
          </w:tcPr>
          <w:p w14:paraId="55923953" w14:textId="77777777" w:rsidR="008715BE" w:rsidRPr="00EC75B7" w:rsidRDefault="008715BE">
            <w:pPr>
              <w:pStyle w:val="TableParagraph"/>
              <w:rPr>
                <w:rFonts w:ascii="Verdana" w:hAnsi="Verdana"/>
                <w:sz w:val="18"/>
                <w:szCs w:val="18"/>
              </w:rPr>
            </w:pPr>
          </w:p>
        </w:tc>
        <w:tc>
          <w:tcPr>
            <w:tcW w:w="4288" w:type="dxa"/>
            <w:shd w:val="clear" w:color="auto" w:fill="F1F1F1"/>
          </w:tcPr>
          <w:p w14:paraId="65AE135F"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Changes that do not affect the local population and opportunities</w:t>
            </w:r>
            <w:r w:rsidRPr="00EC75B7">
              <w:rPr>
                <w:rFonts w:ascii="Verdana" w:hAnsi="Verdana"/>
                <w:spacing w:val="25"/>
                <w:sz w:val="18"/>
                <w:szCs w:val="18"/>
              </w:rPr>
              <w:t xml:space="preserve">  </w:t>
            </w:r>
            <w:r w:rsidRPr="00EC75B7">
              <w:rPr>
                <w:rFonts w:ascii="Verdana" w:hAnsi="Verdana"/>
                <w:sz w:val="18"/>
                <w:szCs w:val="18"/>
              </w:rPr>
              <w:t xml:space="preserve"> de</w:t>
            </w:r>
            <w:r w:rsidRPr="00EC75B7">
              <w:rPr>
                <w:rFonts w:ascii="Verdana" w:hAnsi="Verdana"/>
                <w:spacing w:val="25"/>
                <w:sz w:val="18"/>
                <w:szCs w:val="18"/>
              </w:rPr>
              <w:t xml:space="preserve">  </w:t>
            </w:r>
            <w:r w:rsidRPr="00EC75B7">
              <w:rPr>
                <w:rFonts w:ascii="Verdana" w:hAnsi="Verdana"/>
                <w:sz w:val="18"/>
                <w:szCs w:val="18"/>
              </w:rPr>
              <w:t xml:space="preserve"> afaceri</w:t>
            </w:r>
            <w:r w:rsidRPr="00EC75B7">
              <w:rPr>
                <w:rFonts w:ascii="Verdana" w:hAnsi="Verdana"/>
                <w:spacing w:val="25"/>
                <w:sz w:val="18"/>
                <w:szCs w:val="18"/>
              </w:rPr>
              <w:t xml:space="preserve">  </w:t>
            </w:r>
            <w:r w:rsidRPr="00EC75B7">
              <w:rPr>
                <w:rFonts w:ascii="Verdana" w:hAnsi="Verdana"/>
                <w:sz w:val="18"/>
                <w:szCs w:val="18"/>
              </w:rPr>
              <w:t xml:space="preserve"> locale</w:t>
            </w:r>
            <w:r w:rsidRPr="00EC75B7">
              <w:rPr>
                <w:rFonts w:ascii="Verdana" w:hAnsi="Verdana"/>
                <w:spacing w:val="25"/>
                <w:sz w:val="18"/>
                <w:szCs w:val="18"/>
              </w:rPr>
              <w:t xml:space="preserve">  </w:t>
            </w:r>
            <w:r w:rsidRPr="00EC75B7">
              <w:rPr>
                <w:rFonts w:ascii="Verdana" w:hAnsi="Verdana"/>
                <w:sz w:val="18"/>
                <w:szCs w:val="18"/>
              </w:rPr>
              <w:t xml:space="preserve"> sau</w:t>
            </w:r>
            <w:r w:rsidRPr="00EC75B7">
              <w:rPr>
                <w:rFonts w:ascii="Verdana" w:hAnsi="Verdana"/>
                <w:spacing w:val="25"/>
                <w:sz w:val="18"/>
                <w:szCs w:val="18"/>
              </w:rPr>
              <w:t xml:space="preserve">  </w:t>
            </w:r>
            <w:r w:rsidRPr="00EC75B7">
              <w:rPr>
                <w:rFonts w:ascii="Verdana" w:hAnsi="Verdana"/>
                <w:spacing w:val="-2"/>
                <w:sz w:val="18"/>
                <w:szCs w:val="18"/>
              </w:rPr>
              <w:t xml:space="preserve"> activităţi</w:t>
            </w:r>
          </w:p>
          <w:p w14:paraId="622A04C4"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pacing w:val="-2"/>
                <w:sz w:val="18"/>
                <w:szCs w:val="18"/>
              </w:rPr>
              <w:t>household</w:t>
            </w:r>
          </w:p>
        </w:tc>
        <w:tc>
          <w:tcPr>
            <w:tcW w:w="3378" w:type="dxa"/>
            <w:shd w:val="clear" w:color="auto" w:fill="F1F1F1"/>
          </w:tcPr>
          <w:p w14:paraId="0105CA91"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bl>
    <w:p w14:paraId="5E9E826E" w14:textId="77777777" w:rsidR="008715BE" w:rsidRPr="00EC75B7" w:rsidRDefault="008715BE">
      <w:pPr>
        <w:pStyle w:val="TableParagraph"/>
        <w:spacing w:line="194" w:lineRule="exact"/>
        <w:rPr>
          <w:rFonts w:ascii="Verdana" w:hAnsi="Verdana"/>
          <w:sz w:val="18"/>
          <w:szCs w:val="18"/>
        </w:rPr>
        <w:sectPr w:rsidR="008715BE" w:rsidRPr="00EC75B7">
          <w:pgSz w:w="11910" w:h="16840"/>
          <w:pgMar w:top="1320" w:right="850" w:bottom="1020" w:left="992" w:header="766" w:footer="824" w:gutter="0"/>
          <w:cols w:space="708"/>
        </w:sectPr>
      </w:pPr>
    </w:p>
    <w:p w14:paraId="01FEB02C" w14:textId="77777777" w:rsidR="008715BE" w:rsidRPr="00EC75B7" w:rsidRDefault="00000000">
      <w:pPr>
        <w:spacing w:before="140"/>
        <w:ind w:left="198"/>
        <w:rPr>
          <w:rFonts w:ascii="Verdana" w:hAnsi="Verdana"/>
          <w:b/>
          <w:sz w:val="18"/>
          <w:szCs w:val="18"/>
        </w:rPr>
      </w:pPr>
      <w:r w:rsidRPr="00EC75B7">
        <w:rPr>
          <w:rFonts w:ascii="Verdana" w:hAnsi="Verdana"/>
          <w:sz w:val="18"/>
          <w:szCs w:val="18"/>
        </w:rPr>
        <w:lastRenderedPageBreak/>
        <w:t xml:space="preserve">To assess the magnitude of the impact, </w:t>
      </w:r>
      <w:r w:rsidRPr="00EC75B7">
        <w:rPr>
          <w:rFonts w:ascii="Verdana" w:hAnsi="Verdana"/>
          <w:b/>
          <w:sz w:val="18"/>
          <w:szCs w:val="18"/>
        </w:rPr>
        <w:t xml:space="preserve">the </w:t>
      </w:r>
      <w:r w:rsidRPr="00EC75B7">
        <w:rPr>
          <w:rFonts w:ascii="Verdana" w:hAnsi="Verdana"/>
          <w:sz w:val="18"/>
          <w:szCs w:val="18"/>
        </w:rPr>
        <w:t xml:space="preserve">following </w:t>
      </w:r>
      <w:r w:rsidRPr="00EC75B7">
        <w:rPr>
          <w:rFonts w:ascii="Verdana" w:hAnsi="Verdana"/>
          <w:b/>
          <w:sz w:val="18"/>
          <w:szCs w:val="18"/>
        </w:rPr>
        <w:t xml:space="preserve">magnitude classes </w:t>
      </w:r>
      <w:r w:rsidRPr="00EC75B7">
        <w:rPr>
          <w:rFonts w:ascii="Verdana" w:hAnsi="Verdana"/>
          <w:sz w:val="18"/>
          <w:szCs w:val="18"/>
        </w:rPr>
        <w:t xml:space="preserve">have been defined </w:t>
      </w:r>
      <w:r w:rsidRPr="00EC75B7">
        <w:rPr>
          <w:rFonts w:ascii="Verdana" w:hAnsi="Verdana"/>
          <w:b/>
          <w:spacing w:val="-2"/>
          <w:sz w:val="18"/>
          <w:szCs w:val="18"/>
        </w:rPr>
        <w:t>for</w:t>
      </w:r>
    </w:p>
    <w:p w14:paraId="22B94547" w14:textId="77777777" w:rsidR="008715BE" w:rsidRPr="00EC75B7" w:rsidRDefault="00000000">
      <w:pPr>
        <w:pStyle w:val="Heading5"/>
        <w:spacing w:before="40"/>
        <w:ind w:left="198"/>
        <w:jc w:val="left"/>
        <w:rPr>
          <w:rFonts w:ascii="Verdana" w:hAnsi="Verdana"/>
        </w:rPr>
      </w:pPr>
      <w:r w:rsidRPr="00EC75B7">
        <w:rPr>
          <w:rFonts w:ascii="Verdana" w:hAnsi="Verdana"/>
          <w:spacing w:val="-2"/>
        </w:rPr>
        <w:t xml:space="preserve">population </w:t>
      </w:r>
      <w:r w:rsidRPr="00EC75B7">
        <w:rPr>
          <w:rFonts w:ascii="Verdana" w:hAnsi="Verdana"/>
        </w:rPr>
        <w:t>health</w:t>
      </w:r>
      <w:r w:rsidRPr="00EC75B7">
        <w:rPr>
          <w:rFonts w:ascii="Verdana" w:hAnsi="Verdana"/>
          <w:spacing w:val="-2"/>
        </w:rPr>
        <w:t>:</w:t>
      </w:r>
    </w:p>
    <w:p w14:paraId="38A37E9A" w14:textId="77777777" w:rsidR="008715BE" w:rsidRPr="00EC75B7" w:rsidRDefault="00000000">
      <w:pPr>
        <w:spacing w:before="169"/>
        <w:ind w:left="198"/>
        <w:rPr>
          <w:rFonts w:ascii="Verdana" w:hAnsi="Verdana"/>
          <w:b/>
          <w:sz w:val="18"/>
          <w:szCs w:val="18"/>
        </w:rPr>
      </w:pPr>
      <w:r w:rsidRPr="00EC75B7">
        <w:rPr>
          <w:rFonts w:ascii="Verdana" w:hAnsi="Verdana"/>
          <w:b/>
          <w:color w:val="00AFEF"/>
          <w:sz w:val="18"/>
          <w:szCs w:val="18"/>
        </w:rPr>
        <w:t xml:space="preserve">Table 23 Magnitude classes for </w:t>
      </w:r>
      <w:r w:rsidRPr="00EC75B7">
        <w:rPr>
          <w:rFonts w:ascii="Verdana" w:hAnsi="Verdana"/>
          <w:b/>
          <w:color w:val="00AFEF"/>
          <w:spacing w:val="-2"/>
          <w:sz w:val="18"/>
          <w:szCs w:val="18"/>
        </w:rPr>
        <w:t xml:space="preserve">population </w:t>
      </w:r>
      <w:r w:rsidRPr="00EC75B7">
        <w:rPr>
          <w:rFonts w:ascii="Verdana" w:hAnsi="Verdana"/>
          <w:b/>
          <w:color w:val="00AFEF"/>
          <w:sz w:val="18"/>
          <w:szCs w:val="18"/>
        </w:rPr>
        <w:t>health</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2E023BBD" w14:textId="77777777">
        <w:trPr>
          <w:trHeight w:val="390"/>
        </w:trPr>
        <w:tc>
          <w:tcPr>
            <w:tcW w:w="1803" w:type="dxa"/>
            <w:shd w:val="clear" w:color="auto" w:fill="00AFEF"/>
          </w:tcPr>
          <w:p w14:paraId="733CA133" w14:textId="77777777" w:rsidR="008715BE" w:rsidRPr="00EC75B7" w:rsidRDefault="00000000">
            <w:pPr>
              <w:pStyle w:val="TableParagraph"/>
              <w:spacing w:before="1" w:line="195" w:lineRule="exact"/>
              <w:ind w:left="108"/>
              <w:rPr>
                <w:rFonts w:ascii="Verdana" w:hAnsi="Verdana"/>
                <w:b/>
                <w:sz w:val="18"/>
                <w:szCs w:val="18"/>
              </w:rPr>
            </w:pPr>
            <w:r w:rsidRPr="00EC75B7">
              <w:rPr>
                <w:rFonts w:ascii="Verdana" w:hAnsi="Verdana"/>
                <w:b/>
                <w:color w:val="FFFFFF"/>
                <w:spacing w:val="-4"/>
                <w:sz w:val="18"/>
                <w:szCs w:val="18"/>
              </w:rPr>
              <w:t>Class</w:t>
            </w:r>
          </w:p>
          <w:p w14:paraId="780117C3"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4288" w:type="dxa"/>
            <w:shd w:val="clear" w:color="auto" w:fill="00AFEF"/>
          </w:tcPr>
          <w:p w14:paraId="5CF985F4"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6B94D40E" w14:textId="77777777" w:rsidR="008715BE" w:rsidRPr="00EC75B7" w:rsidRDefault="00000000">
            <w:pPr>
              <w:pStyle w:val="TableParagraph"/>
              <w:spacing w:before="1" w:line="195" w:lineRule="exact"/>
              <w:ind w:left="107"/>
              <w:rPr>
                <w:rFonts w:ascii="Verdana" w:hAnsi="Verdana"/>
                <w:b/>
                <w:sz w:val="18"/>
                <w:szCs w:val="18"/>
              </w:rPr>
            </w:pPr>
            <w:r w:rsidRPr="00EC75B7">
              <w:rPr>
                <w:rFonts w:ascii="Verdana" w:hAnsi="Verdana"/>
                <w:b/>
                <w:color w:val="FFFFFF"/>
                <w:sz w:val="18"/>
                <w:szCs w:val="18"/>
              </w:rPr>
              <w:t xml:space="preserve">Magnitude identified in </w:t>
            </w:r>
            <w:r w:rsidRPr="00EC75B7">
              <w:rPr>
                <w:rFonts w:ascii="Verdana" w:hAnsi="Verdana"/>
                <w:b/>
                <w:color w:val="FFFFFF"/>
                <w:spacing w:val="-2"/>
                <w:sz w:val="18"/>
                <w:szCs w:val="18"/>
              </w:rPr>
              <w:t>the</w:t>
            </w:r>
          </w:p>
          <w:p w14:paraId="479804F0" w14:textId="77777777" w:rsidR="008715BE" w:rsidRPr="00EC75B7" w:rsidRDefault="00000000">
            <w:pPr>
              <w:pStyle w:val="TableParagraph"/>
              <w:spacing w:line="174" w:lineRule="exact"/>
              <w:ind w:left="107"/>
              <w:rPr>
                <w:rFonts w:ascii="Verdana" w:hAnsi="Verdana"/>
                <w:b/>
                <w:sz w:val="18"/>
                <w:szCs w:val="18"/>
              </w:rPr>
            </w:pPr>
            <w:r w:rsidRPr="00EC75B7">
              <w:rPr>
                <w:rFonts w:ascii="Verdana" w:hAnsi="Verdana"/>
                <w:b/>
                <w:color w:val="FFFFFF"/>
                <w:spacing w:val="-2"/>
                <w:sz w:val="18"/>
                <w:szCs w:val="18"/>
              </w:rPr>
              <w:t>the project</w:t>
            </w:r>
          </w:p>
        </w:tc>
      </w:tr>
      <w:tr w:rsidR="008715BE" w:rsidRPr="00EC75B7" w14:paraId="5BB09FED" w14:textId="77777777">
        <w:trPr>
          <w:trHeight w:val="333"/>
        </w:trPr>
        <w:tc>
          <w:tcPr>
            <w:tcW w:w="9469" w:type="dxa"/>
            <w:gridSpan w:val="3"/>
            <w:shd w:val="clear" w:color="auto" w:fill="ADAAAA"/>
          </w:tcPr>
          <w:p w14:paraId="26BA7F41"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5325C6E5" w14:textId="77777777">
        <w:trPr>
          <w:trHeight w:val="1557"/>
        </w:trPr>
        <w:tc>
          <w:tcPr>
            <w:tcW w:w="1803" w:type="dxa"/>
            <w:shd w:val="clear" w:color="auto" w:fill="F1F1F1"/>
          </w:tcPr>
          <w:p w14:paraId="21F43399"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306C28A9"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Discomfort caused to the population by noise, dust, odors, without risks to human health and not leading to increased morbidity.</w:t>
            </w:r>
          </w:p>
          <w:p w14:paraId="40609816"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 xml:space="preserve">Occurrence of short-term complaints related to discomfort caused by noise, dust, or </w:t>
            </w:r>
            <w:r w:rsidRPr="00EC75B7">
              <w:rPr>
                <w:rFonts w:ascii="Verdana" w:hAnsi="Verdana"/>
                <w:spacing w:val="-2"/>
                <w:sz w:val="18"/>
                <w:szCs w:val="18"/>
              </w:rPr>
              <w:t>odors.</w:t>
            </w:r>
          </w:p>
        </w:tc>
        <w:tc>
          <w:tcPr>
            <w:tcW w:w="3378" w:type="dxa"/>
            <w:shd w:val="clear" w:color="auto" w:fill="F1F1F1"/>
          </w:tcPr>
          <w:p w14:paraId="54B762C7" w14:textId="77777777" w:rsidR="008715BE" w:rsidRPr="00EC75B7" w:rsidRDefault="00000000">
            <w:pPr>
              <w:pStyle w:val="TableParagraph"/>
              <w:tabs>
                <w:tab w:val="left" w:pos="1459"/>
                <w:tab w:val="left" w:pos="2548"/>
              </w:tabs>
              <w:ind w:left="107" w:right="96"/>
              <w:jc w:val="both"/>
              <w:rPr>
                <w:rFonts w:ascii="Verdana" w:hAnsi="Verdana"/>
                <w:sz w:val="18"/>
                <w:szCs w:val="18"/>
              </w:rPr>
            </w:pPr>
            <w:r w:rsidRPr="00EC75B7">
              <w:rPr>
                <w:rFonts w:ascii="Verdana" w:hAnsi="Verdana"/>
                <w:sz w:val="18"/>
                <w:szCs w:val="18"/>
              </w:rPr>
              <w:t xml:space="preserve">During the execution phase, the implementation of the interventions proposed by the project falls within the low negative magnitude class, given that the works will be carried out at a minimum distance of approx. 1 km from the </w:t>
            </w:r>
            <w:r w:rsidRPr="00EC75B7">
              <w:rPr>
                <w:rFonts w:ascii="Verdana" w:hAnsi="Verdana"/>
                <w:spacing w:val="-2"/>
                <w:sz w:val="18"/>
                <w:szCs w:val="18"/>
              </w:rPr>
              <w:t>residential</w:t>
            </w:r>
            <w:r w:rsidRPr="00EC75B7">
              <w:rPr>
                <w:rFonts w:ascii="Verdana" w:hAnsi="Verdana"/>
                <w:sz w:val="18"/>
                <w:szCs w:val="18"/>
              </w:rPr>
              <w:t xml:space="preserve"> area</w:t>
            </w:r>
            <w:r w:rsidRPr="00EC75B7">
              <w:rPr>
                <w:rFonts w:ascii="Verdana" w:hAnsi="Verdana"/>
                <w:sz w:val="18"/>
                <w:szCs w:val="18"/>
              </w:rPr>
              <w:tab/>
            </w:r>
            <w:r w:rsidRPr="00EC75B7">
              <w:rPr>
                <w:rFonts w:ascii="Verdana" w:hAnsi="Verdana"/>
                <w:spacing w:val="-2"/>
                <w:sz w:val="18"/>
                <w:szCs w:val="18"/>
              </w:rPr>
              <w:t>of</w:t>
            </w:r>
            <w:r w:rsidRPr="00EC75B7">
              <w:rPr>
                <w:rFonts w:ascii="Verdana" w:hAnsi="Verdana"/>
                <w:sz w:val="18"/>
                <w:szCs w:val="18"/>
              </w:rPr>
              <w:tab/>
            </w:r>
            <w:r w:rsidRPr="00EC75B7">
              <w:rPr>
                <w:rFonts w:ascii="Verdana" w:hAnsi="Verdana"/>
                <w:spacing w:val="-2"/>
                <w:sz w:val="18"/>
                <w:szCs w:val="18"/>
              </w:rPr>
              <w:t>the</w:t>
            </w:r>
          </w:p>
          <w:p w14:paraId="1A553D85" w14:textId="77777777" w:rsidR="008715BE" w:rsidRPr="00EC75B7" w:rsidRDefault="00000000">
            <w:pPr>
              <w:pStyle w:val="TableParagraph"/>
              <w:spacing w:line="171" w:lineRule="exact"/>
              <w:ind w:left="107"/>
              <w:rPr>
                <w:rFonts w:ascii="Verdana" w:hAnsi="Verdana"/>
                <w:sz w:val="18"/>
                <w:szCs w:val="18"/>
              </w:rPr>
            </w:pPr>
            <w:r w:rsidRPr="00EC75B7">
              <w:rPr>
                <w:rFonts w:ascii="Verdana" w:hAnsi="Verdana"/>
                <w:spacing w:val="-2"/>
                <w:sz w:val="18"/>
                <w:szCs w:val="18"/>
              </w:rPr>
              <w:t>Cerchezu.</w:t>
            </w:r>
          </w:p>
        </w:tc>
      </w:tr>
      <w:tr w:rsidR="008715BE" w:rsidRPr="00EC75B7" w14:paraId="32C099B2" w14:textId="77777777">
        <w:trPr>
          <w:trHeight w:val="777"/>
        </w:trPr>
        <w:tc>
          <w:tcPr>
            <w:tcW w:w="1803" w:type="dxa"/>
          </w:tcPr>
          <w:p w14:paraId="6B4C2624"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288" w:type="dxa"/>
          </w:tcPr>
          <w:p w14:paraId="636022F2"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Exceeding the maximum permissible values of pollutants in the atmosphere and noise levels, which may lead </w:t>
            </w:r>
            <w:r w:rsidRPr="00EC75B7">
              <w:rPr>
                <w:rFonts w:ascii="Verdana" w:hAnsi="Verdana"/>
                <w:spacing w:val="39"/>
                <w:sz w:val="18"/>
                <w:szCs w:val="18"/>
              </w:rPr>
              <w:t xml:space="preserve">to </w:t>
            </w:r>
            <w:r w:rsidRPr="00EC75B7">
              <w:rPr>
                <w:rFonts w:ascii="Verdana" w:hAnsi="Verdana"/>
                <w:sz w:val="18"/>
                <w:szCs w:val="18"/>
              </w:rPr>
              <w:t xml:space="preserve">risks to </w:t>
            </w:r>
            <w:r w:rsidRPr="00EC75B7">
              <w:rPr>
                <w:rFonts w:ascii="Verdana" w:hAnsi="Verdana"/>
                <w:spacing w:val="-2"/>
                <w:sz w:val="18"/>
                <w:szCs w:val="18"/>
              </w:rPr>
              <w:t>human health</w:t>
            </w:r>
          </w:p>
          <w:p w14:paraId="7A297F18" w14:textId="77777777" w:rsidR="008715BE" w:rsidRPr="00EC75B7" w:rsidRDefault="00000000">
            <w:pPr>
              <w:pStyle w:val="TableParagraph"/>
              <w:spacing w:line="172" w:lineRule="exact"/>
              <w:ind w:left="107"/>
              <w:rPr>
                <w:rFonts w:ascii="Verdana" w:hAnsi="Verdana"/>
                <w:sz w:val="18"/>
                <w:szCs w:val="18"/>
              </w:rPr>
            </w:pPr>
            <w:r w:rsidRPr="00EC75B7">
              <w:rPr>
                <w:rFonts w:ascii="Verdana" w:hAnsi="Verdana"/>
                <w:spacing w:val="-2"/>
                <w:sz w:val="18"/>
                <w:szCs w:val="18"/>
              </w:rPr>
              <w:t>.</w:t>
            </w:r>
          </w:p>
        </w:tc>
        <w:tc>
          <w:tcPr>
            <w:tcW w:w="3378" w:type="dxa"/>
          </w:tcPr>
          <w:p w14:paraId="24FDAC1D" w14:textId="77777777" w:rsidR="008715BE" w:rsidRPr="00EC75B7" w:rsidRDefault="00000000">
            <w:pPr>
              <w:pStyle w:val="TableParagraph"/>
              <w:spacing w:line="194" w:lineRule="exact"/>
              <w:ind w:left="164"/>
              <w:rPr>
                <w:rFonts w:ascii="Verdana" w:hAnsi="Verdana"/>
                <w:sz w:val="18"/>
                <w:szCs w:val="18"/>
              </w:rPr>
            </w:pPr>
            <w:r w:rsidRPr="00EC75B7">
              <w:rPr>
                <w:rFonts w:ascii="Verdana" w:hAnsi="Verdana"/>
                <w:sz w:val="18"/>
                <w:szCs w:val="18"/>
              </w:rPr>
              <w:t>-</w:t>
            </w:r>
          </w:p>
        </w:tc>
      </w:tr>
      <w:tr w:rsidR="008715BE" w:rsidRPr="00EC75B7" w14:paraId="30CBC1B4" w14:textId="77777777">
        <w:trPr>
          <w:trHeight w:val="2138"/>
        </w:trPr>
        <w:tc>
          <w:tcPr>
            <w:tcW w:w="1803" w:type="dxa"/>
            <w:shd w:val="clear" w:color="auto" w:fill="F1F1F1"/>
          </w:tcPr>
          <w:p w14:paraId="21D50E3E"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05902C6E"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Exceeding the maximum permissible levels of atmospheric pollutants and noise levels, with long-term effects, which may lead to risks to human health and increased morbidity.</w:t>
            </w:r>
          </w:p>
          <w:p w14:paraId="07052B84" w14:textId="77777777" w:rsidR="008715BE" w:rsidRPr="00EC75B7" w:rsidRDefault="00000000">
            <w:pPr>
              <w:pStyle w:val="TableParagraph"/>
              <w:spacing w:before="172" w:line="194" w:lineRule="exact"/>
              <w:ind w:left="107" w:right="96"/>
              <w:jc w:val="both"/>
              <w:rPr>
                <w:rFonts w:ascii="Verdana" w:hAnsi="Verdana"/>
                <w:sz w:val="18"/>
                <w:szCs w:val="18"/>
              </w:rPr>
            </w:pPr>
            <w:r w:rsidRPr="00EC75B7">
              <w:rPr>
                <w:rFonts w:ascii="Verdana" w:hAnsi="Verdana"/>
                <w:sz w:val="18"/>
                <w:szCs w:val="18"/>
              </w:rPr>
              <w:t>Occurrence of effects with major risks to the health of the population (fires, explosions, emissions of radiation and chemical or biological pollutants in concentrations well above the permitted limits, contamination of water resources, etc.).</w:t>
            </w:r>
          </w:p>
        </w:tc>
        <w:tc>
          <w:tcPr>
            <w:tcW w:w="3378" w:type="dxa"/>
            <w:shd w:val="clear" w:color="auto" w:fill="F1F1F1"/>
          </w:tcPr>
          <w:p w14:paraId="6C63193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w:t>
            </w:r>
          </w:p>
        </w:tc>
      </w:tr>
      <w:tr w:rsidR="008715BE" w:rsidRPr="00EC75B7" w14:paraId="1CAD6C40" w14:textId="77777777">
        <w:trPr>
          <w:trHeight w:val="196"/>
        </w:trPr>
        <w:tc>
          <w:tcPr>
            <w:tcW w:w="9469" w:type="dxa"/>
            <w:gridSpan w:val="3"/>
            <w:shd w:val="clear" w:color="auto" w:fill="BEBEBE"/>
          </w:tcPr>
          <w:p w14:paraId="13D2E525" w14:textId="77777777" w:rsidR="008715BE" w:rsidRPr="00EC75B7" w:rsidRDefault="00000000">
            <w:pPr>
              <w:pStyle w:val="TableParagraph"/>
              <w:spacing w:line="17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29445726" w14:textId="77777777">
        <w:trPr>
          <w:trHeight w:val="1944"/>
        </w:trPr>
        <w:tc>
          <w:tcPr>
            <w:tcW w:w="1803" w:type="dxa"/>
            <w:shd w:val="clear" w:color="auto" w:fill="F1F1F1"/>
          </w:tcPr>
          <w:p w14:paraId="441E8261"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Low</w:t>
            </w:r>
          </w:p>
        </w:tc>
        <w:tc>
          <w:tcPr>
            <w:tcW w:w="4288" w:type="dxa"/>
            <w:shd w:val="clear" w:color="auto" w:fill="F1F1F1"/>
          </w:tcPr>
          <w:p w14:paraId="617CA6BE"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The proposed changes contribute to improving quality of life and reducing risk factors that cause short-term discomfort.</w:t>
            </w:r>
          </w:p>
        </w:tc>
        <w:tc>
          <w:tcPr>
            <w:tcW w:w="3378" w:type="dxa"/>
            <w:shd w:val="clear" w:color="auto" w:fill="F1F1F1"/>
          </w:tcPr>
          <w:p w14:paraId="0615A942"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During the operational phase for the human health component, a low magnitude was also considered, determined by a low and controllable acoustic impact, limited in space and time, with the noise level remaining below the permissible limits in inhabited areas on</w:t>
            </w:r>
            <w:r w:rsidRPr="00EC75B7">
              <w:rPr>
                <w:rFonts w:ascii="Verdana" w:hAnsi="Verdana"/>
                <w:spacing w:val="44"/>
                <w:sz w:val="18"/>
                <w:szCs w:val="18"/>
              </w:rPr>
              <w:t xml:space="preserve">  </w:t>
            </w:r>
            <w:r w:rsidRPr="00EC75B7">
              <w:rPr>
                <w:rFonts w:ascii="Verdana" w:hAnsi="Verdana"/>
                <w:sz w:val="18"/>
                <w:szCs w:val="18"/>
              </w:rPr>
              <w:t xml:space="preserve"> throughout the</w:t>
            </w:r>
            <w:r w:rsidRPr="00EC75B7">
              <w:rPr>
                <w:rFonts w:ascii="Verdana" w:hAnsi="Verdana"/>
                <w:spacing w:val="43"/>
                <w:sz w:val="18"/>
                <w:szCs w:val="18"/>
              </w:rPr>
              <w:t xml:space="preserve">  </w:t>
            </w:r>
            <w:r w:rsidRPr="00EC75B7">
              <w:rPr>
                <w:rFonts w:ascii="Verdana" w:hAnsi="Verdana"/>
                <w:sz w:val="18"/>
                <w:szCs w:val="18"/>
              </w:rPr>
              <w:t xml:space="preserve"> duration</w:t>
            </w:r>
            <w:r w:rsidRPr="00EC75B7">
              <w:rPr>
                <w:rFonts w:ascii="Verdana" w:hAnsi="Verdana"/>
                <w:spacing w:val="45"/>
                <w:sz w:val="18"/>
                <w:szCs w:val="18"/>
              </w:rPr>
              <w:t xml:space="preserve">  </w:t>
            </w:r>
            <w:r w:rsidRPr="00EC75B7">
              <w:rPr>
                <w:rFonts w:ascii="Verdana" w:hAnsi="Verdana"/>
                <w:sz w:val="18"/>
                <w:szCs w:val="18"/>
              </w:rPr>
              <w:t xml:space="preserve"> of</w:t>
            </w:r>
            <w:r w:rsidRPr="00EC75B7">
              <w:rPr>
                <w:rFonts w:ascii="Verdana" w:hAnsi="Verdana"/>
                <w:spacing w:val="44"/>
                <w:sz w:val="18"/>
                <w:szCs w:val="18"/>
              </w:rPr>
              <w:t xml:space="preserve">  </w:t>
            </w:r>
            <w:r w:rsidRPr="00EC75B7">
              <w:rPr>
                <w:rFonts w:ascii="Verdana" w:hAnsi="Verdana"/>
                <w:spacing w:val="-10"/>
                <w:sz w:val="18"/>
                <w:szCs w:val="18"/>
              </w:rPr>
              <w:t xml:space="preserve"> </w:t>
            </w:r>
            <w:r w:rsidRPr="00EC75B7">
              <w:rPr>
                <w:rFonts w:ascii="Verdana" w:hAnsi="Verdana"/>
                <w:sz w:val="18"/>
                <w:szCs w:val="18"/>
              </w:rPr>
              <w:t>operation</w:t>
            </w:r>
            <w:r w:rsidRPr="00EC75B7">
              <w:rPr>
                <w:rFonts w:ascii="Verdana" w:hAnsi="Verdana"/>
                <w:spacing w:val="45"/>
                <w:sz w:val="18"/>
                <w:szCs w:val="18"/>
              </w:rPr>
              <w:t xml:space="preserve">  </w:t>
            </w:r>
            <w:r w:rsidRPr="00EC75B7">
              <w:rPr>
                <w:rFonts w:ascii="Verdana" w:hAnsi="Verdana"/>
                <w:spacing w:val="-10"/>
                <w:sz w:val="18"/>
                <w:szCs w:val="18"/>
              </w:rPr>
              <w:t xml:space="preserve"> of</w:t>
            </w:r>
          </w:p>
          <w:p w14:paraId="080B017A" w14:textId="77777777" w:rsidR="008715BE" w:rsidRPr="00EC75B7" w:rsidRDefault="00000000">
            <w:pPr>
              <w:pStyle w:val="TableParagraph"/>
              <w:spacing w:line="167" w:lineRule="exact"/>
              <w:ind w:left="107"/>
              <w:jc w:val="both"/>
              <w:rPr>
                <w:rFonts w:ascii="Verdana" w:hAnsi="Verdana"/>
                <w:sz w:val="18"/>
                <w:szCs w:val="18"/>
              </w:rPr>
            </w:pPr>
            <w:r w:rsidRPr="00EC75B7">
              <w:rPr>
                <w:rFonts w:ascii="Verdana" w:hAnsi="Verdana"/>
                <w:spacing w:val="-2"/>
                <w:sz w:val="18"/>
                <w:szCs w:val="18"/>
              </w:rPr>
              <w:t>wind farm.</w:t>
            </w:r>
          </w:p>
        </w:tc>
      </w:tr>
      <w:tr w:rsidR="008715BE" w:rsidRPr="00EC75B7" w14:paraId="5E885F46" w14:textId="77777777">
        <w:trPr>
          <w:trHeight w:val="851"/>
        </w:trPr>
        <w:tc>
          <w:tcPr>
            <w:tcW w:w="1803" w:type="dxa"/>
          </w:tcPr>
          <w:p w14:paraId="3DD01EA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288" w:type="dxa"/>
          </w:tcPr>
          <w:p w14:paraId="7433C773"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The proposed changes contribute to improving the quality of life and reducing risk factors that can lead to the onset of diseases and affect the health of the population in the medium and long term.</w:t>
            </w:r>
          </w:p>
        </w:tc>
        <w:tc>
          <w:tcPr>
            <w:tcW w:w="3378" w:type="dxa"/>
          </w:tcPr>
          <w:p w14:paraId="01777321"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7D39F52D" w14:textId="77777777">
        <w:trPr>
          <w:trHeight w:val="1161"/>
        </w:trPr>
        <w:tc>
          <w:tcPr>
            <w:tcW w:w="1803" w:type="dxa"/>
            <w:shd w:val="clear" w:color="auto" w:fill="F1F1F1"/>
          </w:tcPr>
          <w:p w14:paraId="30BBF9AB"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3665D004"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 xml:space="preserve">The proposed changes lead to the elimination of significant risk factors for </w:t>
            </w:r>
            <w:r w:rsidRPr="00EC75B7">
              <w:rPr>
                <w:rFonts w:ascii="Verdana" w:hAnsi="Verdana"/>
                <w:spacing w:val="-2"/>
                <w:sz w:val="18"/>
                <w:szCs w:val="18"/>
              </w:rPr>
              <w:t xml:space="preserve">human </w:t>
            </w:r>
            <w:r w:rsidRPr="00EC75B7">
              <w:rPr>
                <w:rFonts w:ascii="Verdana" w:hAnsi="Verdana"/>
                <w:sz w:val="18"/>
                <w:szCs w:val="18"/>
              </w:rPr>
              <w:t>health</w:t>
            </w:r>
            <w:r w:rsidRPr="00EC75B7">
              <w:rPr>
                <w:rFonts w:ascii="Verdana" w:hAnsi="Verdana"/>
                <w:spacing w:val="-2"/>
                <w:sz w:val="18"/>
                <w:szCs w:val="18"/>
              </w:rPr>
              <w:t>.</w:t>
            </w:r>
          </w:p>
        </w:tc>
        <w:tc>
          <w:tcPr>
            <w:tcW w:w="3378" w:type="dxa"/>
            <w:shd w:val="clear" w:color="auto" w:fill="F1F1F1"/>
          </w:tcPr>
          <w:p w14:paraId="7AE9FA73"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44F5EC37" w14:textId="77777777">
        <w:trPr>
          <w:trHeight w:val="196"/>
        </w:trPr>
        <w:tc>
          <w:tcPr>
            <w:tcW w:w="9469" w:type="dxa"/>
            <w:gridSpan w:val="3"/>
            <w:shd w:val="clear" w:color="auto" w:fill="ADAAAA"/>
          </w:tcPr>
          <w:p w14:paraId="337FB2AA" w14:textId="77777777" w:rsidR="008715BE" w:rsidRPr="00EC75B7" w:rsidRDefault="00000000">
            <w:pPr>
              <w:pStyle w:val="TableParagraph"/>
              <w:spacing w:before="1" w:line="175"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75A5755A" w14:textId="77777777">
        <w:trPr>
          <w:trHeight w:val="388"/>
        </w:trPr>
        <w:tc>
          <w:tcPr>
            <w:tcW w:w="1803" w:type="dxa"/>
            <w:shd w:val="clear" w:color="auto" w:fill="F1F1F1"/>
          </w:tcPr>
          <w:p w14:paraId="2973C642" w14:textId="77777777" w:rsidR="008715BE" w:rsidRPr="00EC75B7" w:rsidRDefault="008715BE">
            <w:pPr>
              <w:pStyle w:val="TableParagraph"/>
              <w:rPr>
                <w:rFonts w:ascii="Verdana" w:hAnsi="Verdana"/>
                <w:sz w:val="18"/>
                <w:szCs w:val="18"/>
              </w:rPr>
            </w:pPr>
          </w:p>
        </w:tc>
        <w:tc>
          <w:tcPr>
            <w:tcW w:w="4288" w:type="dxa"/>
            <w:shd w:val="clear" w:color="auto" w:fill="F1F1F1"/>
          </w:tcPr>
          <w:p w14:paraId="5989A85E"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4"/>
                <w:sz w:val="18"/>
                <w:szCs w:val="18"/>
              </w:rPr>
              <w:t xml:space="preserve">  </w:t>
            </w:r>
            <w:r w:rsidRPr="00EC75B7">
              <w:rPr>
                <w:rFonts w:ascii="Verdana" w:hAnsi="Verdana"/>
                <w:sz w:val="18"/>
                <w:szCs w:val="18"/>
              </w:rPr>
              <w:t xml:space="preserve"> changes that</w:t>
            </w:r>
            <w:r w:rsidRPr="00EC75B7">
              <w:rPr>
                <w:rFonts w:ascii="Verdana" w:hAnsi="Verdana"/>
                <w:spacing w:val="24"/>
                <w:sz w:val="18"/>
                <w:szCs w:val="18"/>
              </w:rPr>
              <w:t xml:space="preserve">  </w:t>
            </w:r>
            <w:r w:rsidRPr="00EC75B7">
              <w:rPr>
                <w:rFonts w:ascii="Verdana" w:hAnsi="Verdana"/>
                <w:sz w:val="18"/>
                <w:szCs w:val="18"/>
              </w:rPr>
              <w:t xml:space="preserve"> do not</w:t>
            </w:r>
            <w:r w:rsidRPr="00EC75B7">
              <w:rPr>
                <w:rFonts w:ascii="Verdana" w:hAnsi="Verdana"/>
                <w:spacing w:val="24"/>
                <w:sz w:val="18"/>
                <w:szCs w:val="18"/>
              </w:rPr>
              <w:t xml:space="preserve">  </w:t>
            </w:r>
            <w:r w:rsidRPr="00EC75B7">
              <w:rPr>
                <w:rFonts w:ascii="Verdana" w:hAnsi="Verdana"/>
                <w:sz w:val="18"/>
                <w:szCs w:val="18"/>
              </w:rPr>
              <w:t xml:space="preserve"> have</w:t>
            </w:r>
            <w:r w:rsidRPr="00EC75B7">
              <w:rPr>
                <w:rFonts w:ascii="Verdana" w:hAnsi="Verdana"/>
                <w:spacing w:val="24"/>
                <w:sz w:val="18"/>
                <w:szCs w:val="18"/>
              </w:rPr>
              <w:t xml:space="preserve">  </w:t>
            </w:r>
            <w:r w:rsidRPr="00EC75B7">
              <w:rPr>
                <w:rFonts w:ascii="Verdana" w:hAnsi="Verdana"/>
                <w:sz w:val="18"/>
                <w:szCs w:val="18"/>
              </w:rPr>
              <w:t xml:space="preserve"> effects</w:t>
            </w:r>
            <w:r w:rsidRPr="00EC75B7">
              <w:rPr>
                <w:rFonts w:ascii="Verdana" w:hAnsi="Verdana"/>
                <w:spacing w:val="26"/>
                <w:sz w:val="18"/>
                <w:szCs w:val="18"/>
              </w:rPr>
              <w:t xml:space="preserve">  </w:t>
            </w:r>
            <w:r w:rsidRPr="00EC75B7">
              <w:rPr>
                <w:rFonts w:ascii="Verdana" w:hAnsi="Verdana"/>
                <w:sz w:val="18"/>
                <w:szCs w:val="18"/>
              </w:rPr>
              <w:t xml:space="preserve"> on </w:t>
            </w:r>
            <w:r w:rsidRPr="00EC75B7">
              <w:rPr>
                <w:rFonts w:ascii="Verdana" w:hAnsi="Verdana"/>
                <w:spacing w:val="-2"/>
                <w:sz w:val="18"/>
                <w:szCs w:val="18"/>
              </w:rPr>
              <w:t>human health</w:t>
            </w:r>
          </w:p>
          <w:p w14:paraId="110D088D"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w:t>
            </w:r>
          </w:p>
        </w:tc>
        <w:tc>
          <w:tcPr>
            <w:tcW w:w="3378" w:type="dxa"/>
            <w:shd w:val="clear" w:color="auto" w:fill="F1F1F1"/>
          </w:tcPr>
          <w:p w14:paraId="3C0DBA00"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bl>
    <w:p w14:paraId="6793F85A" w14:textId="77777777" w:rsidR="008715BE" w:rsidRPr="00EC75B7" w:rsidRDefault="008715BE">
      <w:pPr>
        <w:pStyle w:val="BodyText"/>
        <w:spacing w:before="107"/>
        <w:rPr>
          <w:rFonts w:ascii="Verdana" w:hAnsi="Verdana"/>
          <w:b/>
        </w:rPr>
      </w:pPr>
    </w:p>
    <w:p w14:paraId="32AB7BDF" w14:textId="77777777" w:rsidR="008715BE" w:rsidRPr="00EC75B7" w:rsidRDefault="00000000">
      <w:pPr>
        <w:spacing w:line="285" w:lineRule="auto"/>
        <w:ind w:left="198"/>
        <w:rPr>
          <w:rFonts w:ascii="Verdana" w:hAnsi="Verdana"/>
          <w:b/>
          <w:sz w:val="18"/>
          <w:szCs w:val="18"/>
        </w:rPr>
      </w:pPr>
      <w:r w:rsidRPr="00EC75B7">
        <w:rPr>
          <w:rFonts w:ascii="Verdana" w:hAnsi="Verdana"/>
          <w:sz w:val="18"/>
          <w:szCs w:val="18"/>
        </w:rPr>
        <w:t xml:space="preserve">To assess the magnitude of the impact, </w:t>
      </w:r>
      <w:r w:rsidRPr="00EC75B7">
        <w:rPr>
          <w:rFonts w:ascii="Verdana" w:hAnsi="Verdana"/>
          <w:b/>
          <w:sz w:val="18"/>
          <w:szCs w:val="18"/>
        </w:rPr>
        <w:t>the</w:t>
      </w:r>
      <w:r w:rsidRPr="00EC75B7">
        <w:rPr>
          <w:rFonts w:ascii="Verdana" w:hAnsi="Verdana"/>
          <w:sz w:val="18"/>
          <w:szCs w:val="18"/>
        </w:rPr>
        <w:t xml:space="preserve"> following </w:t>
      </w:r>
      <w:r w:rsidRPr="00EC75B7">
        <w:rPr>
          <w:rFonts w:ascii="Verdana" w:hAnsi="Verdana"/>
          <w:b/>
          <w:sz w:val="18"/>
          <w:szCs w:val="18"/>
        </w:rPr>
        <w:t>magnitude classes</w:t>
      </w:r>
      <w:r w:rsidRPr="00EC75B7">
        <w:rPr>
          <w:rFonts w:ascii="Verdana" w:hAnsi="Verdana"/>
          <w:sz w:val="18"/>
          <w:szCs w:val="18"/>
        </w:rPr>
        <w:t xml:space="preserve"> have been defined </w:t>
      </w:r>
      <w:r w:rsidRPr="00EC75B7">
        <w:rPr>
          <w:rFonts w:ascii="Verdana" w:hAnsi="Verdana"/>
          <w:b/>
          <w:sz w:val="18"/>
          <w:szCs w:val="18"/>
        </w:rPr>
        <w:t xml:space="preserve">for </w:t>
      </w:r>
      <w:r w:rsidRPr="00EC75B7">
        <w:rPr>
          <w:rFonts w:ascii="Verdana" w:hAnsi="Verdana"/>
          <w:b/>
          <w:spacing w:val="-2"/>
          <w:sz w:val="18"/>
          <w:szCs w:val="18"/>
        </w:rPr>
        <w:t>material</w:t>
      </w:r>
      <w:r w:rsidRPr="00EC75B7">
        <w:rPr>
          <w:rFonts w:ascii="Verdana" w:hAnsi="Verdana"/>
          <w:b/>
          <w:sz w:val="18"/>
          <w:szCs w:val="18"/>
        </w:rPr>
        <w:t xml:space="preserve"> goods</w:t>
      </w:r>
      <w:r w:rsidRPr="00EC75B7">
        <w:rPr>
          <w:rFonts w:ascii="Verdana" w:hAnsi="Verdana"/>
          <w:b/>
          <w:spacing w:val="-2"/>
          <w:sz w:val="18"/>
          <w:szCs w:val="18"/>
        </w:rPr>
        <w:t>:</w:t>
      </w:r>
    </w:p>
    <w:p w14:paraId="77BBF86B" w14:textId="77777777" w:rsidR="008715BE" w:rsidRPr="00EC75B7" w:rsidRDefault="00000000">
      <w:pPr>
        <w:spacing w:before="128"/>
        <w:ind w:left="198"/>
        <w:rPr>
          <w:rFonts w:ascii="Verdana" w:hAnsi="Verdana"/>
          <w:b/>
          <w:sz w:val="18"/>
          <w:szCs w:val="18"/>
        </w:rPr>
      </w:pPr>
      <w:r w:rsidRPr="00EC75B7">
        <w:rPr>
          <w:rFonts w:ascii="Verdana" w:hAnsi="Verdana"/>
          <w:b/>
          <w:color w:val="00AFEF"/>
          <w:sz w:val="18"/>
          <w:szCs w:val="18"/>
        </w:rPr>
        <w:t xml:space="preserve">Table 24 Magnitude classes for </w:t>
      </w:r>
      <w:r w:rsidRPr="00EC75B7">
        <w:rPr>
          <w:rFonts w:ascii="Verdana" w:hAnsi="Verdana"/>
          <w:b/>
          <w:color w:val="00AFEF"/>
          <w:spacing w:val="-2"/>
          <w:sz w:val="18"/>
          <w:szCs w:val="18"/>
        </w:rPr>
        <w:t xml:space="preserve">tangible </w:t>
      </w:r>
      <w:r w:rsidRPr="00EC75B7">
        <w:rPr>
          <w:rFonts w:ascii="Verdana" w:hAnsi="Verdana"/>
          <w:b/>
          <w:color w:val="00AFEF"/>
          <w:sz w:val="18"/>
          <w:szCs w:val="18"/>
        </w:rPr>
        <w:t>assets</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755C230A" w14:textId="77777777">
        <w:trPr>
          <w:trHeight w:val="388"/>
        </w:trPr>
        <w:tc>
          <w:tcPr>
            <w:tcW w:w="1803" w:type="dxa"/>
            <w:shd w:val="clear" w:color="auto" w:fill="00AFEF"/>
          </w:tcPr>
          <w:p w14:paraId="01361BFC"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t>Class</w:t>
            </w:r>
          </w:p>
          <w:p w14:paraId="13DC3072"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4288" w:type="dxa"/>
            <w:shd w:val="clear" w:color="auto" w:fill="00AFEF"/>
          </w:tcPr>
          <w:p w14:paraId="013B4B1A"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5ABCE093"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in </w:t>
            </w:r>
            <w:r w:rsidRPr="00EC75B7">
              <w:rPr>
                <w:rFonts w:ascii="Verdana" w:hAnsi="Verdana"/>
                <w:b/>
                <w:color w:val="FFFFFF"/>
                <w:spacing w:val="-2"/>
                <w:sz w:val="18"/>
                <w:szCs w:val="18"/>
              </w:rPr>
              <w:t>the</w:t>
            </w:r>
          </w:p>
          <w:p w14:paraId="1B004B79" w14:textId="77777777" w:rsidR="008715BE" w:rsidRPr="00EC75B7" w:rsidRDefault="00000000">
            <w:pPr>
              <w:pStyle w:val="TableParagraph"/>
              <w:spacing w:line="174" w:lineRule="exact"/>
              <w:ind w:left="107"/>
              <w:rPr>
                <w:rFonts w:ascii="Verdana" w:hAnsi="Verdana"/>
                <w:b/>
                <w:sz w:val="18"/>
                <w:szCs w:val="18"/>
              </w:rPr>
            </w:pPr>
            <w:r w:rsidRPr="00EC75B7">
              <w:rPr>
                <w:rFonts w:ascii="Verdana" w:hAnsi="Verdana"/>
                <w:b/>
                <w:color w:val="FFFFFF"/>
                <w:spacing w:val="-2"/>
                <w:sz w:val="18"/>
                <w:szCs w:val="18"/>
              </w:rPr>
              <w:t>the project</w:t>
            </w:r>
          </w:p>
        </w:tc>
      </w:tr>
      <w:tr w:rsidR="008715BE" w:rsidRPr="00EC75B7" w14:paraId="5FAA33C7" w14:textId="77777777">
        <w:trPr>
          <w:trHeight w:val="335"/>
        </w:trPr>
        <w:tc>
          <w:tcPr>
            <w:tcW w:w="9469" w:type="dxa"/>
            <w:gridSpan w:val="3"/>
            <w:shd w:val="clear" w:color="auto" w:fill="ADAAAA"/>
          </w:tcPr>
          <w:p w14:paraId="6AB93EC6"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lastRenderedPageBreak/>
              <w:t xml:space="preserve">Negative </w:t>
            </w:r>
            <w:r w:rsidRPr="00EC75B7">
              <w:rPr>
                <w:rFonts w:ascii="Verdana" w:hAnsi="Verdana"/>
                <w:b/>
                <w:sz w:val="18"/>
                <w:szCs w:val="18"/>
              </w:rPr>
              <w:t>magnitude</w:t>
            </w:r>
          </w:p>
        </w:tc>
      </w:tr>
      <w:tr w:rsidR="008715BE" w:rsidRPr="00EC75B7" w14:paraId="58A3166C" w14:textId="77777777">
        <w:trPr>
          <w:trHeight w:val="1360"/>
        </w:trPr>
        <w:tc>
          <w:tcPr>
            <w:tcW w:w="1803" w:type="dxa"/>
            <w:shd w:val="clear" w:color="auto" w:fill="F1F1F1"/>
          </w:tcPr>
          <w:p w14:paraId="1F91512E"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24E41D2A" w14:textId="77777777" w:rsidR="008715BE" w:rsidRPr="00EC75B7" w:rsidRDefault="00000000">
            <w:pPr>
              <w:pStyle w:val="TableParagraph"/>
              <w:ind w:left="107" w:right="93"/>
              <w:jc w:val="both"/>
              <w:rPr>
                <w:rFonts w:ascii="Verdana" w:hAnsi="Verdana"/>
                <w:sz w:val="18"/>
                <w:szCs w:val="18"/>
              </w:rPr>
            </w:pPr>
            <w:r w:rsidRPr="00EC75B7">
              <w:rPr>
                <w:rFonts w:ascii="Verdana" w:hAnsi="Verdana"/>
                <w:spacing w:val="-2"/>
                <w:sz w:val="18"/>
                <w:szCs w:val="18"/>
              </w:rPr>
              <w:t xml:space="preserve">The proposed changes affect </w:t>
            </w:r>
            <w:r w:rsidRPr="00EC75B7">
              <w:rPr>
                <w:rFonts w:ascii="Verdana" w:hAnsi="Verdana"/>
                <w:sz w:val="18"/>
                <w:szCs w:val="18"/>
              </w:rPr>
              <w:t xml:space="preserve">ecosystem, social, and economic </w:t>
            </w:r>
            <w:r w:rsidRPr="00EC75B7">
              <w:rPr>
                <w:rFonts w:ascii="Verdana" w:hAnsi="Verdana"/>
                <w:spacing w:val="-2"/>
                <w:sz w:val="18"/>
                <w:szCs w:val="18"/>
              </w:rPr>
              <w:t xml:space="preserve">goods and services </w:t>
            </w:r>
            <w:r w:rsidRPr="00EC75B7">
              <w:rPr>
                <w:rFonts w:ascii="Verdana" w:hAnsi="Verdana"/>
                <w:sz w:val="18"/>
                <w:szCs w:val="18"/>
              </w:rPr>
              <w:t>to a small extent (≤1%).</w:t>
            </w:r>
          </w:p>
        </w:tc>
        <w:tc>
          <w:tcPr>
            <w:tcW w:w="3378" w:type="dxa"/>
            <w:shd w:val="clear" w:color="auto" w:fill="F1F1F1"/>
          </w:tcPr>
          <w:p w14:paraId="5E3FAAB9"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 xml:space="preserve">During the execution phase, the implementation of the wind farm may cause temporary and limited damage to material assets, consisting of the temporary occupation of land areas and the use of existing </w:t>
            </w:r>
            <w:r w:rsidRPr="00EC75B7">
              <w:rPr>
                <w:rFonts w:ascii="Verdana" w:hAnsi="Verdana"/>
                <w:spacing w:val="-2"/>
                <w:sz w:val="18"/>
                <w:szCs w:val="18"/>
              </w:rPr>
              <w:t xml:space="preserve">local </w:t>
            </w:r>
            <w:r w:rsidRPr="00EC75B7">
              <w:rPr>
                <w:rFonts w:ascii="Verdana" w:hAnsi="Verdana"/>
                <w:sz w:val="18"/>
                <w:szCs w:val="18"/>
              </w:rPr>
              <w:t>road infrastructure</w:t>
            </w:r>
          </w:p>
          <w:p w14:paraId="4B856C93" w14:textId="77777777" w:rsidR="008715BE" w:rsidRPr="00EC75B7" w:rsidRDefault="00000000">
            <w:pPr>
              <w:pStyle w:val="TableParagraph"/>
              <w:spacing w:line="169" w:lineRule="exact"/>
              <w:ind w:left="107"/>
              <w:jc w:val="both"/>
              <w:rPr>
                <w:rFonts w:ascii="Verdana" w:hAnsi="Verdana"/>
                <w:sz w:val="18"/>
                <w:szCs w:val="18"/>
              </w:rPr>
            </w:pPr>
            <w:r w:rsidRPr="00EC75B7">
              <w:rPr>
                <w:rFonts w:ascii="Verdana" w:hAnsi="Verdana"/>
                <w:spacing w:val="72"/>
                <w:sz w:val="18"/>
                <w:szCs w:val="18"/>
              </w:rPr>
              <w:t xml:space="preserve">  </w:t>
            </w:r>
            <w:r w:rsidRPr="00EC75B7">
              <w:rPr>
                <w:rFonts w:ascii="Verdana" w:hAnsi="Verdana"/>
                <w:sz w:val="18"/>
                <w:szCs w:val="18"/>
              </w:rPr>
              <w:t xml:space="preserve"> These</w:t>
            </w:r>
            <w:r w:rsidRPr="00EC75B7">
              <w:rPr>
                <w:rFonts w:ascii="Verdana" w:hAnsi="Verdana"/>
                <w:spacing w:val="73"/>
                <w:sz w:val="18"/>
                <w:szCs w:val="18"/>
              </w:rPr>
              <w:t xml:space="preserve">  </w:t>
            </w:r>
            <w:r w:rsidRPr="00EC75B7">
              <w:rPr>
                <w:rFonts w:ascii="Verdana" w:hAnsi="Verdana"/>
                <w:sz w:val="18"/>
                <w:szCs w:val="18"/>
              </w:rPr>
              <w:t xml:space="preserve"> interventions</w:t>
            </w:r>
            <w:r w:rsidRPr="00EC75B7">
              <w:rPr>
                <w:rFonts w:ascii="Verdana" w:hAnsi="Verdana"/>
                <w:spacing w:val="73"/>
                <w:sz w:val="18"/>
                <w:szCs w:val="18"/>
              </w:rPr>
              <w:t xml:space="preserve">  </w:t>
            </w:r>
            <w:r w:rsidRPr="00EC75B7">
              <w:rPr>
                <w:rFonts w:ascii="Verdana" w:hAnsi="Verdana"/>
                <w:spacing w:val="-4"/>
                <w:sz w:val="18"/>
                <w:szCs w:val="18"/>
              </w:rPr>
              <w:t xml:space="preserve"> are</w:t>
            </w:r>
          </w:p>
        </w:tc>
      </w:tr>
    </w:tbl>
    <w:p w14:paraId="03A010F8" w14:textId="77777777" w:rsidR="008715BE" w:rsidRPr="00EC75B7" w:rsidRDefault="008715BE">
      <w:pPr>
        <w:pStyle w:val="TableParagraph"/>
        <w:spacing w:line="169" w:lineRule="exact"/>
        <w:jc w:val="both"/>
        <w:rPr>
          <w:rFonts w:ascii="Verdana" w:hAnsi="Verdana"/>
          <w:sz w:val="18"/>
          <w:szCs w:val="18"/>
        </w:rPr>
        <w:sectPr w:rsidR="008715BE" w:rsidRPr="00EC75B7">
          <w:pgSz w:w="11910" w:h="16840"/>
          <w:pgMar w:top="1320" w:right="850" w:bottom="1020" w:left="992" w:header="766" w:footer="824" w:gutter="0"/>
          <w:cols w:space="708"/>
        </w:sectPr>
      </w:pPr>
    </w:p>
    <w:p w14:paraId="2EB7A481" w14:textId="77777777" w:rsidR="008715BE" w:rsidRPr="00EC75B7" w:rsidRDefault="008715BE">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3458F53F" w14:textId="77777777">
        <w:trPr>
          <w:trHeight w:val="388"/>
        </w:trPr>
        <w:tc>
          <w:tcPr>
            <w:tcW w:w="1803" w:type="dxa"/>
            <w:shd w:val="clear" w:color="auto" w:fill="00AFEF"/>
          </w:tcPr>
          <w:p w14:paraId="562EBB5C" w14:textId="77777777" w:rsidR="008715BE" w:rsidRPr="00EC75B7" w:rsidRDefault="00000000">
            <w:pPr>
              <w:pStyle w:val="TableParagraph"/>
              <w:spacing w:line="194" w:lineRule="exact"/>
              <w:ind w:left="108" w:right="548"/>
              <w:rPr>
                <w:rFonts w:ascii="Verdana" w:hAnsi="Verdana"/>
                <w:b/>
                <w:sz w:val="18"/>
                <w:szCs w:val="18"/>
              </w:rPr>
            </w:pPr>
            <w:r w:rsidRPr="00EC75B7">
              <w:rPr>
                <w:rFonts w:ascii="Verdana" w:hAnsi="Verdana"/>
                <w:b/>
                <w:color w:val="FFFFFF"/>
                <w:spacing w:val="-2"/>
                <w:sz w:val="18"/>
                <w:szCs w:val="18"/>
              </w:rPr>
              <w:t>Magnitude class</w:t>
            </w:r>
          </w:p>
        </w:tc>
        <w:tc>
          <w:tcPr>
            <w:tcW w:w="4288" w:type="dxa"/>
            <w:shd w:val="clear" w:color="auto" w:fill="00AFEF"/>
          </w:tcPr>
          <w:p w14:paraId="59D691BC"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17A1C6EB"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in the case </w:t>
            </w:r>
            <w:r w:rsidRPr="00EC75B7">
              <w:rPr>
                <w:rFonts w:ascii="Verdana" w:hAnsi="Verdana"/>
                <w:b/>
                <w:color w:val="FFFFFF"/>
                <w:spacing w:val="-2"/>
                <w:sz w:val="18"/>
                <w:szCs w:val="18"/>
              </w:rPr>
              <w:t>of the project</w:t>
            </w:r>
          </w:p>
        </w:tc>
      </w:tr>
      <w:tr w:rsidR="008715BE" w:rsidRPr="00EC75B7" w14:paraId="4BDB7FB5" w14:textId="77777777">
        <w:trPr>
          <w:trHeight w:val="971"/>
        </w:trPr>
        <w:tc>
          <w:tcPr>
            <w:tcW w:w="1803" w:type="dxa"/>
            <w:shd w:val="clear" w:color="auto" w:fill="F1F1F1"/>
          </w:tcPr>
          <w:p w14:paraId="53C53D7D" w14:textId="77777777" w:rsidR="008715BE" w:rsidRPr="00EC75B7" w:rsidRDefault="008715BE">
            <w:pPr>
              <w:pStyle w:val="TableParagraph"/>
              <w:rPr>
                <w:rFonts w:ascii="Verdana" w:hAnsi="Verdana"/>
                <w:sz w:val="18"/>
                <w:szCs w:val="18"/>
              </w:rPr>
            </w:pPr>
          </w:p>
        </w:tc>
        <w:tc>
          <w:tcPr>
            <w:tcW w:w="4288" w:type="dxa"/>
            <w:shd w:val="clear" w:color="auto" w:fill="F1F1F1"/>
          </w:tcPr>
          <w:p w14:paraId="50D4C8D0" w14:textId="77777777" w:rsidR="008715BE" w:rsidRPr="00EC75B7" w:rsidRDefault="008715BE">
            <w:pPr>
              <w:pStyle w:val="TableParagraph"/>
              <w:rPr>
                <w:rFonts w:ascii="Verdana" w:hAnsi="Verdana"/>
                <w:sz w:val="18"/>
                <w:szCs w:val="18"/>
              </w:rPr>
            </w:pPr>
          </w:p>
        </w:tc>
        <w:tc>
          <w:tcPr>
            <w:tcW w:w="3378" w:type="dxa"/>
            <w:shd w:val="clear" w:color="auto" w:fill="F1F1F1"/>
          </w:tcPr>
          <w:p w14:paraId="0E28BCB1" w14:textId="77777777" w:rsidR="008715BE" w:rsidRPr="00EC75B7" w:rsidRDefault="00000000">
            <w:pPr>
              <w:pStyle w:val="TableParagraph"/>
              <w:tabs>
                <w:tab w:val="left" w:pos="1526"/>
                <w:tab w:val="left" w:pos="2535"/>
              </w:tabs>
              <w:spacing w:line="194" w:lineRule="exact"/>
              <w:ind w:left="107" w:right="96"/>
              <w:jc w:val="both"/>
              <w:rPr>
                <w:rFonts w:ascii="Verdana" w:hAnsi="Verdana"/>
                <w:sz w:val="18"/>
                <w:szCs w:val="18"/>
              </w:rPr>
            </w:pPr>
            <w:r w:rsidRPr="00EC75B7">
              <w:rPr>
                <w:rFonts w:ascii="Verdana" w:hAnsi="Verdana"/>
                <w:sz w:val="18"/>
                <w:szCs w:val="18"/>
              </w:rPr>
              <w:t xml:space="preserve">reversible, small-scale and do not lead to the deterioration of ecosystem, social or </w:t>
            </w:r>
            <w:r w:rsidRPr="00EC75B7">
              <w:rPr>
                <w:rFonts w:ascii="Verdana" w:hAnsi="Verdana"/>
                <w:spacing w:val="-2"/>
                <w:sz w:val="18"/>
                <w:szCs w:val="18"/>
              </w:rPr>
              <w:t xml:space="preserve">economic </w:t>
            </w:r>
            <w:r w:rsidRPr="00EC75B7">
              <w:rPr>
                <w:rFonts w:ascii="Verdana" w:hAnsi="Verdana"/>
                <w:sz w:val="18"/>
                <w:szCs w:val="18"/>
              </w:rPr>
              <w:t>goods or services</w:t>
            </w:r>
            <w:r w:rsidRPr="00EC75B7">
              <w:rPr>
                <w:rFonts w:ascii="Verdana" w:hAnsi="Verdana"/>
                <w:sz w:val="18"/>
                <w:szCs w:val="18"/>
              </w:rPr>
              <w:tab/>
            </w:r>
            <w:r w:rsidRPr="00EC75B7">
              <w:rPr>
                <w:rFonts w:ascii="Verdana" w:hAnsi="Verdana"/>
                <w:spacing w:val="-2"/>
                <w:sz w:val="18"/>
                <w:szCs w:val="18"/>
              </w:rPr>
              <w:t>in a</w:t>
            </w:r>
            <w:r w:rsidRPr="00EC75B7">
              <w:rPr>
                <w:rFonts w:ascii="Verdana" w:hAnsi="Verdana"/>
                <w:sz w:val="18"/>
                <w:szCs w:val="18"/>
              </w:rPr>
              <w:tab/>
            </w:r>
            <w:r w:rsidRPr="00EC75B7">
              <w:rPr>
                <w:rFonts w:ascii="Verdana" w:hAnsi="Verdana"/>
                <w:spacing w:val="-2"/>
                <w:sz w:val="18"/>
                <w:szCs w:val="18"/>
              </w:rPr>
              <w:t>significant proportion.</w:t>
            </w:r>
          </w:p>
        </w:tc>
      </w:tr>
      <w:tr w:rsidR="008715BE" w:rsidRPr="00EC75B7" w14:paraId="59BBC6D0" w14:textId="77777777">
        <w:trPr>
          <w:trHeight w:val="585"/>
        </w:trPr>
        <w:tc>
          <w:tcPr>
            <w:tcW w:w="1803" w:type="dxa"/>
          </w:tcPr>
          <w:p w14:paraId="3EBF1F7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288" w:type="dxa"/>
          </w:tcPr>
          <w:p w14:paraId="4525FFFA"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The proposed changes affect </w:t>
            </w:r>
            <w:r w:rsidRPr="00EC75B7">
              <w:rPr>
                <w:rFonts w:ascii="Verdana" w:hAnsi="Verdana"/>
                <w:sz w:val="18"/>
                <w:szCs w:val="18"/>
              </w:rPr>
              <w:t xml:space="preserve">ecosystem, social, and economic </w:t>
            </w:r>
            <w:r w:rsidRPr="00EC75B7">
              <w:rPr>
                <w:rFonts w:ascii="Verdana" w:hAnsi="Verdana"/>
                <w:spacing w:val="-2"/>
                <w:sz w:val="18"/>
                <w:szCs w:val="18"/>
              </w:rPr>
              <w:t xml:space="preserve">goods and services </w:t>
            </w:r>
            <w:r w:rsidRPr="00EC75B7">
              <w:rPr>
                <w:rFonts w:ascii="Verdana" w:hAnsi="Verdana"/>
                <w:sz w:val="18"/>
                <w:szCs w:val="18"/>
              </w:rPr>
              <w:t xml:space="preserve">to </w:t>
            </w:r>
            <w:r w:rsidRPr="00EC75B7">
              <w:rPr>
                <w:rFonts w:ascii="Verdana" w:hAnsi="Verdana"/>
                <w:spacing w:val="-2"/>
                <w:sz w:val="18"/>
                <w:szCs w:val="18"/>
              </w:rPr>
              <w:t>a</w:t>
            </w:r>
          </w:p>
          <w:p w14:paraId="5DD9F010" w14:textId="77777777" w:rsidR="008715BE" w:rsidRPr="00EC75B7" w:rsidRDefault="00000000">
            <w:pPr>
              <w:pStyle w:val="TableParagraph"/>
              <w:spacing w:before="1" w:line="166" w:lineRule="exact"/>
              <w:ind w:left="107"/>
              <w:rPr>
                <w:rFonts w:ascii="Verdana" w:hAnsi="Verdana"/>
                <w:sz w:val="18"/>
                <w:szCs w:val="18"/>
              </w:rPr>
            </w:pPr>
            <w:r w:rsidRPr="00EC75B7">
              <w:rPr>
                <w:rFonts w:ascii="Verdana" w:hAnsi="Verdana"/>
                <w:sz w:val="18"/>
                <w:szCs w:val="18"/>
              </w:rPr>
              <w:t>moderate (</w:t>
            </w:r>
            <w:r w:rsidRPr="00EC75B7">
              <w:rPr>
                <w:rFonts w:ascii="Verdana" w:hAnsi="Verdana"/>
                <w:spacing w:val="-4"/>
                <w:sz w:val="18"/>
                <w:szCs w:val="18"/>
              </w:rPr>
              <w:t>1–5%).</w:t>
            </w:r>
          </w:p>
        </w:tc>
        <w:tc>
          <w:tcPr>
            <w:tcW w:w="3378" w:type="dxa"/>
          </w:tcPr>
          <w:p w14:paraId="0CDB7247" w14:textId="77777777" w:rsidR="008715BE" w:rsidRPr="00EC75B7" w:rsidRDefault="00000000">
            <w:pPr>
              <w:pStyle w:val="TableParagraph"/>
              <w:spacing w:before="8"/>
              <w:ind w:left="164"/>
              <w:rPr>
                <w:rFonts w:ascii="Verdana" w:hAnsi="Verdana"/>
                <w:sz w:val="18"/>
                <w:szCs w:val="18"/>
              </w:rPr>
            </w:pPr>
            <w:r w:rsidRPr="00EC75B7">
              <w:rPr>
                <w:rFonts w:ascii="Verdana" w:hAnsi="Verdana"/>
                <w:sz w:val="18"/>
                <w:szCs w:val="18"/>
              </w:rPr>
              <w:t>-</w:t>
            </w:r>
          </w:p>
        </w:tc>
      </w:tr>
      <w:tr w:rsidR="008715BE" w:rsidRPr="00EC75B7" w14:paraId="1AFE1C57" w14:textId="77777777">
        <w:trPr>
          <w:trHeight w:val="697"/>
        </w:trPr>
        <w:tc>
          <w:tcPr>
            <w:tcW w:w="1803" w:type="dxa"/>
            <w:shd w:val="clear" w:color="auto" w:fill="F1F1F1"/>
          </w:tcPr>
          <w:p w14:paraId="13C6FC2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53C4D8F5" w14:textId="77777777" w:rsidR="008715BE" w:rsidRPr="00EC75B7" w:rsidRDefault="00000000">
            <w:pPr>
              <w:pStyle w:val="TableParagraph"/>
              <w:spacing w:before="8"/>
              <w:ind w:left="107" w:right="93"/>
              <w:jc w:val="both"/>
              <w:rPr>
                <w:rFonts w:ascii="Verdana" w:hAnsi="Verdana"/>
                <w:sz w:val="18"/>
                <w:szCs w:val="18"/>
              </w:rPr>
            </w:pPr>
            <w:r w:rsidRPr="00EC75B7">
              <w:rPr>
                <w:rFonts w:ascii="Verdana" w:hAnsi="Verdana"/>
                <w:spacing w:val="-2"/>
                <w:sz w:val="18"/>
                <w:szCs w:val="18"/>
              </w:rPr>
              <w:t xml:space="preserve">The proposed changes affect </w:t>
            </w:r>
            <w:r w:rsidRPr="00EC75B7">
              <w:rPr>
                <w:rFonts w:ascii="Verdana" w:hAnsi="Verdana"/>
                <w:sz w:val="18"/>
                <w:szCs w:val="18"/>
              </w:rPr>
              <w:t xml:space="preserve">ecosystem, social, and economic </w:t>
            </w:r>
            <w:r w:rsidRPr="00EC75B7">
              <w:rPr>
                <w:rFonts w:ascii="Verdana" w:hAnsi="Verdana"/>
                <w:spacing w:val="-2"/>
                <w:sz w:val="18"/>
                <w:szCs w:val="18"/>
              </w:rPr>
              <w:t xml:space="preserve">goods and services </w:t>
            </w:r>
            <w:r w:rsidRPr="00EC75B7">
              <w:rPr>
                <w:rFonts w:ascii="Verdana" w:hAnsi="Verdana"/>
                <w:sz w:val="18"/>
                <w:szCs w:val="18"/>
              </w:rPr>
              <w:t>to a significant extent (≥5%).</w:t>
            </w:r>
          </w:p>
        </w:tc>
        <w:tc>
          <w:tcPr>
            <w:tcW w:w="3378" w:type="dxa"/>
            <w:shd w:val="clear" w:color="auto" w:fill="F1F1F1"/>
          </w:tcPr>
          <w:p w14:paraId="41C418F4"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5098369" w14:textId="77777777">
        <w:trPr>
          <w:trHeight w:val="196"/>
        </w:trPr>
        <w:tc>
          <w:tcPr>
            <w:tcW w:w="9469" w:type="dxa"/>
            <w:gridSpan w:val="3"/>
            <w:shd w:val="clear" w:color="auto" w:fill="BEBEBE"/>
          </w:tcPr>
          <w:p w14:paraId="2191E4F6"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28769D60" w14:textId="77777777">
        <w:trPr>
          <w:trHeight w:val="671"/>
        </w:trPr>
        <w:tc>
          <w:tcPr>
            <w:tcW w:w="1803" w:type="dxa"/>
            <w:shd w:val="clear" w:color="auto" w:fill="F1F1F1"/>
          </w:tcPr>
          <w:p w14:paraId="09034F6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5F08F602" w14:textId="77777777" w:rsidR="008715BE" w:rsidRPr="00EC75B7" w:rsidRDefault="00000000">
            <w:pPr>
              <w:pStyle w:val="TableParagraph"/>
              <w:spacing w:before="8"/>
              <w:ind w:left="107" w:right="95"/>
              <w:jc w:val="both"/>
              <w:rPr>
                <w:rFonts w:ascii="Verdana" w:hAnsi="Verdana"/>
                <w:sz w:val="18"/>
                <w:szCs w:val="18"/>
              </w:rPr>
            </w:pPr>
            <w:r w:rsidRPr="00EC75B7">
              <w:rPr>
                <w:rFonts w:ascii="Verdana" w:hAnsi="Verdana"/>
                <w:sz w:val="18"/>
                <w:szCs w:val="18"/>
              </w:rPr>
              <w:t>The proposed changes improve ecosystem, social, and economic goods and services to a small extent (≤1%).</w:t>
            </w:r>
          </w:p>
        </w:tc>
        <w:tc>
          <w:tcPr>
            <w:tcW w:w="3378" w:type="dxa"/>
            <w:shd w:val="clear" w:color="auto" w:fill="F1F1F1"/>
          </w:tcPr>
          <w:p w14:paraId="75D28649"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AA57E5E" w14:textId="77777777">
        <w:trPr>
          <w:trHeight w:val="717"/>
        </w:trPr>
        <w:tc>
          <w:tcPr>
            <w:tcW w:w="1803" w:type="dxa"/>
          </w:tcPr>
          <w:p w14:paraId="6980334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288" w:type="dxa"/>
          </w:tcPr>
          <w:p w14:paraId="763C2EF7" w14:textId="77777777" w:rsidR="008715BE" w:rsidRPr="00EC75B7" w:rsidRDefault="00000000">
            <w:pPr>
              <w:pStyle w:val="TableParagraph"/>
              <w:spacing w:before="8"/>
              <w:ind w:left="107" w:right="95"/>
              <w:jc w:val="both"/>
              <w:rPr>
                <w:rFonts w:ascii="Verdana" w:hAnsi="Verdana"/>
                <w:sz w:val="18"/>
                <w:szCs w:val="18"/>
              </w:rPr>
            </w:pPr>
            <w:r w:rsidRPr="00EC75B7">
              <w:rPr>
                <w:rFonts w:ascii="Verdana" w:hAnsi="Verdana"/>
                <w:sz w:val="18"/>
                <w:szCs w:val="18"/>
              </w:rPr>
              <w:t>The proposed changes improve ecosystem, social, and economic goods and services to a moderate extent (1–5%).</w:t>
            </w:r>
          </w:p>
        </w:tc>
        <w:tc>
          <w:tcPr>
            <w:tcW w:w="3378" w:type="dxa"/>
          </w:tcPr>
          <w:p w14:paraId="7DE2A37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189CC4F3" w14:textId="77777777">
        <w:trPr>
          <w:trHeight w:val="700"/>
        </w:trPr>
        <w:tc>
          <w:tcPr>
            <w:tcW w:w="1803" w:type="dxa"/>
            <w:shd w:val="clear" w:color="auto" w:fill="F1F1F1"/>
          </w:tcPr>
          <w:p w14:paraId="39EDC54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71B5E246" w14:textId="77777777" w:rsidR="008715BE" w:rsidRPr="00EC75B7" w:rsidRDefault="00000000">
            <w:pPr>
              <w:pStyle w:val="TableParagraph"/>
              <w:spacing w:before="8"/>
              <w:ind w:left="107" w:right="95"/>
              <w:jc w:val="both"/>
              <w:rPr>
                <w:rFonts w:ascii="Verdana" w:hAnsi="Verdana"/>
                <w:sz w:val="18"/>
                <w:szCs w:val="18"/>
              </w:rPr>
            </w:pPr>
            <w:r w:rsidRPr="00EC75B7">
              <w:rPr>
                <w:rFonts w:ascii="Verdana" w:hAnsi="Verdana"/>
                <w:sz w:val="18"/>
                <w:szCs w:val="18"/>
              </w:rPr>
              <w:t>The proposed changes improve ecosystem, social, and economic goods and services to a significant extent (≥5%).</w:t>
            </w:r>
          </w:p>
        </w:tc>
        <w:tc>
          <w:tcPr>
            <w:tcW w:w="3378" w:type="dxa"/>
            <w:shd w:val="clear" w:color="auto" w:fill="F1F1F1"/>
          </w:tcPr>
          <w:p w14:paraId="69B67B15" w14:textId="77777777" w:rsidR="008715BE" w:rsidRPr="00EC75B7" w:rsidRDefault="008715BE">
            <w:pPr>
              <w:pStyle w:val="TableParagraph"/>
              <w:rPr>
                <w:rFonts w:ascii="Verdana" w:hAnsi="Verdana"/>
                <w:sz w:val="18"/>
                <w:szCs w:val="18"/>
              </w:rPr>
            </w:pPr>
          </w:p>
        </w:tc>
      </w:tr>
      <w:tr w:rsidR="008715BE" w:rsidRPr="00EC75B7" w14:paraId="13B4384B" w14:textId="77777777">
        <w:trPr>
          <w:trHeight w:val="193"/>
        </w:trPr>
        <w:tc>
          <w:tcPr>
            <w:tcW w:w="9469" w:type="dxa"/>
            <w:gridSpan w:val="3"/>
            <w:shd w:val="clear" w:color="auto" w:fill="ADAAAA"/>
          </w:tcPr>
          <w:p w14:paraId="513C5C78"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618AC04D" w14:textId="77777777">
        <w:trPr>
          <w:trHeight w:val="779"/>
        </w:trPr>
        <w:tc>
          <w:tcPr>
            <w:tcW w:w="1803" w:type="dxa"/>
            <w:shd w:val="clear" w:color="auto" w:fill="F1F1F1"/>
          </w:tcPr>
          <w:p w14:paraId="03E060C7" w14:textId="77777777" w:rsidR="008715BE" w:rsidRPr="00EC75B7" w:rsidRDefault="008715BE">
            <w:pPr>
              <w:pStyle w:val="TableParagraph"/>
              <w:rPr>
                <w:rFonts w:ascii="Verdana" w:hAnsi="Verdana"/>
                <w:sz w:val="18"/>
                <w:szCs w:val="18"/>
              </w:rPr>
            </w:pPr>
          </w:p>
        </w:tc>
        <w:tc>
          <w:tcPr>
            <w:tcW w:w="4288" w:type="dxa"/>
            <w:shd w:val="clear" w:color="auto" w:fill="F1F1F1"/>
          </w:tcPr>
          <w:p w14:paraId="51ED695D" w14:textId="77777777" w:rsidR="008715BE" w:rsidRPr="00EC75B7" w:rsidRDefault="00000000">
            <w:pPr>
              <w:pStyle w:val="TableParagraph"/>
              <w:spacing w:before="8"/>
              <w:ind w:left="107" w:right="97"/>
              <w:jc w:val="both"/>
              <w:rPr>
                <w:rFonts w:ascii="Verdana" w:hAnsi="Verdana"/>
                <w:sz w:val="18"/>
                <w:szCs w:val="18"/>
              </w:rPr>
            </w:pPr>
            <w:r w:rsidRPr="00EC75B7">
              <w:rPr>
                <w:rFonts w:ascii="Verdana" w:hAnsi="Verdana"/>
                <w:sz w:val="18"/>
                <w:szCs w:val="18"/>
              </w:rPr>
              <w:t>The proposed changes do not affect/influence material goods and ecosystem, social, and economic services.</w:t>
            </w:r>
          </w:p>
        </w:tc>
        <w:tc>
          <w:tcPr>
            <w:tcW w:w="3378" w:type="dxa"/>
            <w:shd w:val="clear" w:color="auto" w:fill="F1F1F1"/>
          </w:tcPr>
          <w:p w14:paraId="1BF00208" w14:textId="77777777" w:rsidR="008715BE" w:rsidRPr="00EC75B7" w:rsidRDefault="00000000">
            <w:pPr>
              <w:pStyle w:val="TableParagraph"/>
              <w:spacing w:before="8"/>
              <w:ind w:left="107" w:right="97"/>
              <w:jc w:val="both"/>
              <w:rPr>
                <w:rFonts w:ascii="Verdana" w:hAnsi="Verdana"/>
                <w:sz w:val="18"/>
                <w:szCs w:val="18"/>
              </w:rPr>
            </w:pPr>
            <w:r w:rsidRPr="00EC75B7">
              <w:rPr>
                <w:rFonts w:ascii="Verdana" w:hAnsi="Verdana"/>
                <w:sz w:val="18"/>
                <w:szCs w:val="18"/>
              </w:rPr>
              <w:t>Interventions specific to the operational phase will not lead to changes in material goods.</w:t>
            </w:r>
          </w:p>
        </w:tc>
      </w:tr>
    </w:tbl>
    <w:p w14:paraId="23002A2F" w14:textId="77777777" w:rsidR="008715BE" w:rsidRPr="00EC75B7" w:rsidRDefault="008715BE">
      <w:pPr>
        <w:pStyle w:val="BodyText"/>
        <w:spacing w:before="231"/>
        <w:rPr>
          <w:rFonts w:ascii="Verdana" w:hAnsi="Verdana"/>
          <w:b/>
        </w:rPr>
      </w:pPr>
    </w:p>
    <w:p w14:paraId="585F093E" w14:textId="77777777" w:rsidR="008715BE" w:rsidRPr="00EC75B7" w:rsidRDefault="00000000">
      <w:pPr>
        <w:pStyle w:val="Heading3"/>
        <w:numPr>
          <w:ilvl w:val="2"/>
          <w:numId w:val="110"/>
        </w:numPr>
        <w:tabs>
          <w:tab w:val="left" w:pos="2178"/>
        </w:tabs>
        <w:ind w:left="2178" w:hanging="986"/>
        <w:rPr>
          <w:rFonts w:ascii="Verdana" w:hAnsi="Verdana"/>
          <w:i/>
          <w:color w:val="00AFEF"/>
          <w:sz w:val="18"/>
          <w:szCs w:val="18"/>
        </w:rPr>
      </w:pPr>
      <w:bookmarkStart w:id="80" w:name="_bookmark81"/>
      <w:bookmarkEnd w:id="80"/>
      <w:r w:rsidRPr="00EC75B7">
        <w:rPr>
          <w:rFonts w:ascii="Verdana" w:hAnsi="Verdana"/>
          <w:color w:val="00AFEF"/>
          <w:spacing w:val="-2"/>
          <w:sz w:val="18"/>
          <w:szCs w:val="18"/>
        </w:rPr>
        <w:t xml:space="preserve">Impact </w:t>
      </w:r>
      <w:r w:rsidRPr="00EC75B7">
        <w:rPr>
          <w:rFonts w:ascii="Verdana" w:hAnsi="Verdana"/>
          <w:color w:val="00AFEF"/>
          <w:sz w:val="18"/>
          <w:szCs w:val="18"/>
        </w:rPr>
        <w:t>forecast</w:t>
      </w:r>
    </w:p>
    <w:p w14:paraId="50F263E4" w14:textId="77777777" w:rsidR="008715BE" w:rsidRPr="00EC75B7" w:rsidRDefault="008715BE">
      <w:pPr>
        <w:pStyle w:val="BodyText"/>
        <w:spacing w:before="114"/>
        <w:rPr>
          <w:rFonts w:ascii="Verdana" w:hAnsi="Verdana"/>
          <w:b/>
        </w:rPr>
      </w:pPr>
    </w:p>
    <w:p w14:paraId="7DEF0FE5" w14:textId="77777777" w:rsidR="008715BE" w:rsidRPr="00EC75B7" w:rsidRDefault="00000000">
      <w:pPr>
        <w:pStyle w:val="BodyText"/>
        <w:spacing w:line="357" w:lineRule="auto"/>
        <w:ind w:left="198" w:right="134" w:firstLine="84"/>
        <w:rPr>
          <w:rFonts w:ascii="Verdana" w:hAnsi="Verdana"/>
        </w:rPr>
      </w:pPr>
      <w:r w:rsidRPr="00EC75B7">
        <w:rPr>
          <w:rFonts w:ascii="Verdana" w:hAnsi="Verdana"/>
        </w:rPr>
        <w:t>When assessing the impact on the social and economic environment, the health of the population, and material goods, the following aspects were taken into account:</w:t>
      </w:r>
    </w:p>
    <w:p w14:paraId="5741BDE0" w14:textId="77777777" w:rsidR="008715BE" w:rsidRPr="00EC75B7" w:rsidRDefault="008715BE">
      <w:pPr>
        <w:pStyle w:val="BodyText"/>
        <w:spacing w:line="357" w:lineRule="auto"/>
        <w:rPr>
          <w:rFonts w:ascii="Verdana" w:hAnsi="Verdana"/>
        </w:rPr>
        <w:sectPr w:rsidR="008715BE" w:rsidRPr="00EC75B7">
          <w:pgSz w:w="11910" w:h="16840"/>
          <w:pgMar w:top="1320" w:right="850" w:bottom="1020" w:left="992" w:header="766" w:footer="824" w:gutter="0"/>
          <w:cols w:space="708"/>
        </w:sectPr>
      </w:pPr>
    </w:p>
    <w:p w14:paraId="101E139E" w14:textId="77777777" w:rsidR="008715BE" w:rsidRPr="00EC75B7" w:rsidRDefault="008715BE">
      <w:pPr>
        <w:pStyle w:val="BodyText"/>
        <w:spacing w:before="10"/>
        <w:rPr>
          <w:rFonts w:ascii="Verdana" w:hAnsi="Verdana"/>
        </w:rPr>
      </w:pPr>
    </w:p>
    <w:p w14:paraId="6CE354AF" w14:textId="77777777" w:rsidR="008715BE" w:rsidRPr="00EC75B7" w:rsidRDefault="00000000">
      <w:pPr>
        <w:ind w:left="284"/>
        <w:rPr>
          <w:rFonts w:ascii="Verdana" w:hAnsi="Verdana"/>
          <w:sz w:val="18"/>
          <w:szCs w:val="18"/>
        </w:rPr>
      </w:pPr>
      <w:r w:rsidRPr="00EC75B7">
        <w:rPr>
          <w:rFonts w:ascii="Verdana" w:hAnsi="Verdana"/>
          <w:noProof/>
          <w:sz w:val="18"/>
          <w:szCs w:val="18"/>
        </w:rPr>
        <mc:AlternateContent>
          <mc:Choice Requires="wpg">
            <w:drawing>
              <wp:inline distT="0" distB="0" distL="0" distR="0" wp14:anchorId="1BAEB3DC" wp14:editId="1836BB9E">
                <wp:extent cx="5904230" cy="1467485"/>
                <wp:effectExtent l="0" t="0" r="0" b="8890"/>
                <wp:docPr id="240" name="Group 240"/>
                <wp:cNvGraphicFramePr/>
                <a:graphic xmlns:a="http://schemas.openxmlformats.org/drawingml/2006/main">
                  <a:graphicData uri="http://schemas.microsoft.com/office/word/2010/wordprocessingGroup">
                    <wpg:wgp>
                      <wpg:cNvGrpSpPr/>
                      <wpg:grpSpPr>
                        <a:xfrm>
                          <a:off x="0" y="0"/>
                          <a:ext cx="5904230" cy="1467485"/>
                          <a:chOff x="0" y="0"/>
                          <a:chExt cx="5904230" cy="1467485"/>
                        </a:xfrm>
                      </wpg:grpSpPr>
                      <wps:wsp>
                        <wps:cNvPr id="241" name="Graphic 241"/>
                        <wps:cNvSpPr/>
                        <wps:spPr>
                          <a:xfrm>
                            <a:off x="0" y="0"/>
                            <a:ext cx="5904230" cy="1467485"/>
                          </a:xfrm>
                          <a:custGeom>
                            <a:avLst/>
                            <a:gdLst/>
                            <a:ahLst/>
                            <a:cxnLst/>
                            <a:rect l="l" t="t" r="r" b="b"/>
                            <a:pathLst>
                              <a:path w="5904230" h="1467485">
                                <a:moveTo>
                                  <a:pt x="5757545" y="0"/>
                                </a:moveTo>
                                <a:lnTo>
                                  <a:pt x="146735" y="0"/>
                                </a:lnTo>
                                <a:lnTo>
                                  <a:pt x="100356" y="7476"/>
                                </a:lnTo>
                                <a:lnTo>
                                  <a:pt x="60076" y="28297"/>
                                </a:lnTo>
                                <a:lnTo>
                                  <a:pt x="28311" y="60048"/>
                                </a:lnTo>
                                <a:lnTo>
                                  <a:pt x="7480" y="100315"/>
                                </a:lnTo>
                                <a:lnTo>
                                  <a:pt x="0" y="146684"/>
                                </a:lnTo>
                                <a:lnTo>
                                  <a:pt x="0" y="1320673"/>
                                </a:lnTo>
                                <a:lnTo>
                                  <a:pt x="7480" y="1367042"/>
                                </a:lnTo>
                                <a:lnTo>
                                  <a:pt x="28311" y="1407309"/>
                                </a:lnTo>
                                <a:lnTo>
                                  <a:pt x="60076" y="1439060"/>
                                </a:lnTo>
                                <a:lnTo>
                                  <a:pt x="100356" y="1459881"/>
                                </a:lnTo>
                                <a:lnTo>
                                  <a:pt x="146735" y="1467357"/>
                                </a:lnTo>
                                <a:lnTo>
                                  <a:pt x="5757545" y="1467357"/>
                                </a:lnTo>
                                <a:lnTo>
                                  <a:pt x="5803914" y="1459881"/>
                                </a:lnTo>
                                <a:lnTo>
                                  <a:pt x="5844181" y="1439060"/>
                                </a:lnTo>
                                <a:lnTo>
                                  <a:pt x="5875932" y="1407309"/>
                                </a:lnTo>
                                <a:lnTo>
                                  <a:pt x="5896753" y="1367042"/>
                                </a:lnTo>
                                <a:lnTo>
                                  <a:pt x="5904230" y="1320673"/>
                                </a:lnTo>
                                <a:lnTo>
                                  <a:pt x="5904230" y="146684"/>
                                </a:lnTo>
                                <a:lnTo>
                                  <a:pt x="5896753" y="100315"/>
                                </a:lnTo>
                                <a:lnTo>
                                  <a:pt x="5875932" y="60048"/>
                                </a:lnTo>
                                <a:lnTo>
                                  <a:pt x="5844181" y="28297"/>
                                </a:lnTo>
                                <a:lnTo>
                                  <a:pt x="5803914" y="7476"/>
                                </a:lnTo>
                                <a:lnTo>
                                  <a:pt x="5757545" y="0"/>
                                </a:lnTo>
                                <a:close/>
                              </a:path>
                            </a:pathLst>
                          </a:custGeom>
                          <a:solidFill>
                            <a:srgbClr val="00AFEF"/>
                          </a:solidFill>
                        </wps:spPr>
                        <wps:bodyPr wrap="square" lIns="0" tIns="0" rIns="0" bIns="0" rtlCol="0">
                          <a:prstTxWarp prst="textNoShape">
                            <a:avLst/>
                          </a:prstTxWarp>
                        </wps:bodyPr>
                      </wps:wsp>
                      <wps:wsp>
                        <wps:cNvPr id="242" name="Graphic 242"/>
                        <wps:cNvSpPr/>
                        <wps:spPr>
                          <a:xfrm>
                            <a:off x="180835" y="420344"/>
                            <a:ext cx="948690" cy="668020"/>
                          </a:xfrm>
                          <a:custGeom>
                            <a:avLst/>
                            <a:gdLst/>
                            <a:ahLst/>
                            <a:cxnLst/>
                            <a:rect l="l" t="t" r="r" b="b"/>
                            <a:pathLst>
                              <a:path w="948690" h="668020">
                                <a:moveTo>
                                  <a:pt x="303923" y="314363"/>
                                </a:moveTo>
                                <a:lnTo>
                                  <a:pt x="5448" y="314363"/>
                                </a:lnTo>
                                <a:lnTo>
                                  <a:pt x="0" y="319214"/>
                                </a:lnTo>
                                <a:lnTo>
                                  <a:pt x="0" y="331190"/>
                                </a:lnTo>
                                <a:lnTo>
                                  <a:pt x="5448" y="336042"/>
                                </a:lnTo>
                                <a:lnTo>
                                  <a:pt x="107353" y="336042"/>
                                </a:lnTo>
                                <a:lnTo>
                                  <a:pt x="49288" y="667435"/>
                                </a:lnTo>
                                <a:lnTo>
                                  <a:pt x="73888" y="667435"/>
                                </a:lnTo>
                                <a:lnTo>
                                  <a:pt x="131953" y="336042"/>
                                </a:lnTo>
                                <a:lnTo>
                                  <a:pt x="298716" y="336042"/>
                                </a:lnTo>
                                <a:lnTo>
                                  <a:pt x="303923" y="314363"/>
                                </a:lnTo>
                                <a:close/>
                              </a:path>
                              <a:path w="948690" h="668020">
                                <a:moveTo>
                                  <a:pt x="437603" y="4851"/>
                                </a:moveTo>
                                <a:lnTo>
                                  <a:pt x="432155" y="0"/>
                                </a:lnTo>
                                <a:lnTo>
                                  <a:pt x="54063" y="0"/>
                                </a:lnTo>
                                <a:lnTo>
                                  <a:pt x="48628" y="4851"/>
                                </a:lnTo>
                                <a:lnTo>
                                  <a:pt x="48615" y="222783"/>
                                </a:lnTo>
                                <a:lnTo>
                                  <a:pt x="54051" y="227634"/>
                                </a:lnTo>
                                <a:lnTo>
                                  <a:pt x="60769" y="227634"/>
                                </a:lnTo>
                                <a:lnTo>
                                  <a:pt x="230949" y="227634"/>
                                </a:lnTo>
                                <a:lnTo>
                                  <a:pt x="230949" y="271005"/>
                                </a:lnTo>
                                <a:lnTo>
                                  <a:pt x="170154" y="271005"/>
                                </a:lnTo>
                                <a:lnTo>
                                  <a:pt x="170154" y="292684"/>
                                </a:lnTo>
                                <a:lnTo>
                                  <a:pt x="309130" y="292684"/>
                                </a:lnTo>
                                <a:lnTo>
                                  <a:pt x="314337" y="271005"/>
                                </a:lnTo>
                                <a:lnTo>
                                  <a:pt x="255257" y="271005"/>
                                </a:lnTo>
                                <a:lnTo>
                                  <a:pt x="255257" y="227634"/>
                                </a:lnTo>
                                <a:lnTo>
                                  <a:pt x="332879" y="227634"/>
                                </a:lnTo>
                                <a:lnTo>
                                  <a:pt x="343090" y="216052"/>
                                </a:lnTo>
                                <a:lnTo>
                                  <a:pt x="355130" y="205955"/>
                                </a:lnTo>
                                <a:lnTo>
                                  <a:pt x="72923" y="205955"/>
                                </a:lnTo>
                                <a:lnTo>
                                  <a:pt x="72923" y="21678"/>
                                </a:lnTo>
                                <a:lnTo>
                                  <a:pt x="413283" y="21678"/>
                                </a:lnTo>
                                <a:lnTo>
                                  <a:pt x="413283" y="184746"/>
                                </a:lnTo>
                                <a:lnTo>
                                  <a:pt x="437591" y="184277"/>
                                </a:lnTo>
                                <a:lnTo>
                                  <a:pt x="437603" y="4851"/>
                                </a:lnTo>
                                <a:close/>
                              </a:path>
                              <a:path w="948690" h="668020">
                                <a:moveTo>
                                  <a:pt x="651256" y="454063"/>
                                </a:moveTo>
                                <a:lnTo>
                                  <a:pt x="651167" y="449122"/>
                                </a:lnTo>
                                <a:lnTo>
                                  <a:pt x="650544" y="444207"/>
                                </a:lnTo>
                                <a:lnTo>
                                  <a:pt x="625881" y="341604"/>
                                </a:lnTo>
                                <a:lnTo>
                                  <a:pt x="625881" y="465442"/>
                                </a:lnTo>
                                <a:lnTo>
                                  <a:pt x="617194" y="484720"/>
                                </a:lnTo>
                                <a:lnTo>
                                  <a:pt x="601040" y="499694"/>
                                </a:lnTo>
                                <a:lnTo>
                                  <a:pt x="578904" y="508279"/>
                                </a:lnTo>
                                <a:lnTo>
                                  <a:pt x="574725" y="509066"/>
                                </a:lnTo>
                                <a:lnTo>
                                  <a:pt x="570458" y="509473"/>
                                </a:lnTo>
                                <a:lnTo>
                                  <a:pt x="381952" y="509473"/>
                                </a:lnTo>
                                <a:lnTo>
                                  <a:pt x="358292" y="505218"/>
                                </a:lnTo>
                                <a:lnTo>
                                  <a:pt x="338975" y="493610"/>
                                </a:lnTo>
                                <a:lnTo>
                                  <a:pt x="325945" y="476377"/>
                                </a:lnTo>
                                <a:lnTo>
                                  <a:pt x="321170" y="455282"/>
                                </a:lnTo>
                                <a:lnTo>
                                  <a:pt x="321170" y="451472"/>
                                </a:lnTo>
                                <a:lnTo>
                                  <a:pt x="364197" y="270497"/>
                                </a:lnTo>
                                <a:lnTo>
                                  <a:pt x="403110" y="230873"/>
                                </a:lnTo>
                                <a:lnTo>
                                  <a:pt x="423621" y="227634"/>
                                </a:lnTo>
                                <a:lnTo>
                                  <a:pt x="524497" y="227634"/>
                                </a:lnTo>
                                <a:lnTo>
                                  <a:pt x="562648" y="239750"/>
                                </a:lnTo>
                                <a:lnTo>
                                  <a:pt x="625602" y="443928"/>
                                </a:lnTo>
                                <a:lnTo>
                                  <a:pt x="625881" y="465442"/>
                                </a:lnTo>
                                <a:lnTo>
                                  <a:pt x="625881" y="341604"/>
                                </a:lnTo>
                                <a:lnTo>
                                  <a:pt x="607695" y="265938"/>
                                </a:lnTo>
                                <a:lnTo>
                                  <a:pt x="582599" y="227634"/>
                                </a:lnTo>
                                <a:lnTo>
                                  <a:pt x="524497" y="205955"/>
                                </a:lnTo>
                                <a:lnTo>
                                  <a:pt x="423621" y="205955"/>
                                </a:lnTo>
                                <a:lnTo>
                                  <a:pt x="370205" y="222910"/>
                                </a:lnTo>
                                <a:lnTo>
                                  <a:pt x="340410" y="265938"/>
                                </a:lnTo>
                                <a:lnTo>
                                  <a:pt x="298742" y="439381"/>
                                </a:lnTo>
                                <a:lnTo>
                                  <a:pt x="298323" y="469468"/>
                                </a:lnTo>
                                <a:lnTo>
                                  <a:pt x="310451" y="496443"/>
                                </a:lnTo>
                                <a:lnTo>
                                  <a:pt x="333044" y="517372"/>
                                </a:lnTo>
                                <a:lnTo>
                                  <a:pt x="363982" y="529399"/>
                                </a:lnTo>
                                <a:lnTo>
                                  <a:pt x="369392" y="530440"/>
                                </a:lnTo>
                                <a:lnTo>
                                  <a:pt x="376389" y="531152"/>
                                </a:lnTo>
                                <a:lnTo>
                                  <a:pt x="380441" y="531152"/>
                                </a:lnTo>
                                <a:lnTo>
                                  <a:pt x="360565" y="667435"/>
                                </a:lnTo>
                                <a:lnTo>
                                  <a:pt x="385089" y="667435"/>
                                </a:lnTo>
                                <a:lnTo>
                                  <a:pt x="404952" y="531152"/>
                                </a:lnTo>
                                <a:lnTo>
                                  <a:pt x="543153" y="531152"/>
                                </a:lnTo>
                                <a:lnTo>
                                  <a:pt x="563029" y="667435"/>
                                </a:lnTo>
                                <a:lnTo>
                                  <a:pt x="587540" y="667435"/>
                                </a:lnTo>
                                <a:lnTo>
                                  <a:pt x="567677" y="531152"/>
                                </a:lnTo>
                                <a:lnTo>
                                  <a:pt x="567296" y="531152"/>
                                </a:lnTo>
                                <a:lnTo>
                                  <a:pt x="600633" y="524649"/>
                                </a:lnTo>
                                <a:lnTo>
                                  <a:pt x="624992" y="509473"/>
                                </a:lnTo>
                                <a:lnTo>
                                  <a:pt x="627354" y="508012"/>
                                </a:lnTo>
                                <a:lnTo>
                                  <a:pt x="645121" y="483654"/>
                                </a:lnTo>
                                <a:lnTo>
                                  <a:pt x="651256" y="454063"/>
                                </a:lnTo>
                                <a:close/>
                              </a:path>
                              <a:path w="948690" h="668020">
                                <a:moveTo>
                                  <a:pt x="899502" y="4851"/>
                                </a:moveTo>
                                <a:lnTo>
                                  <a:pt x="894067" y="0"/>
                                </a:lnTo>
                                <a:lnTo>
                                  <a:pt x="515975" y="0"/>
                                </a:lnTo>
                                <a:lnTo>
                                  <a:pt x="510527" y="4851"/>
                                </a:lnTo>
                                <a:lnTo>
                                  <a:pt x="510527" y="184277"/>
                                </a:lnTo>
                                <a:lnTo>
                                  <a:pt x="524497" y="184277"/>
                                </a:lnTo>
                                <a:lnTo>
                                  <a:pt x="534835" y="184746"/>
                                </a:lnTo>
                                <a:lnTo>
                                  <a:pt x="534835" y="21678"/>
                                </a:lnTo>
                                <a:lnTo>
                                  <a:pt x="875195" y="21678"/>
                                </a:lnTo>
                                <a:lnTo>
                                  <a:pt x="875195" y="205955"/>
                                </a:lnTo>
                                <a:lnTo>
                                  <a:pt x="592988" y="205955"/>
                                </a:lnTo>
                                <a:lnTo>
                                  <a:pt x="605015" y="216052"/>
                                </a:lnTo>
                                <a:lnTo>
                                  <a:pt x="615238" y="227647"/>
                                </a:lnTo>
                                <a:lnTo>
                                  <a:pt x="692861" y="227647"/>
                                </a:lnTo>
                                <a:lnTo>
                                  <a:pt x="692861" y="271005"/>
                                </a:lnTo>
                                <a:lnTo>
                                  <a:pt x="633780" y="271005"/>
                                </a:lnTo>
                                <a:lnTo>
                                  <a:pt x="638987" y="292684"/>
                                </a:lnTo>
                                <a:lnTo>
                                  <a:pt x="777925" y="292684"/>
                                </a:lnTo>
                                <a:lnTo>
                                  <a:pt x="777925" y="271005"/>
                                </a:lnTo>
                                <a:lnTo>
                                  <a:pt x="717169" y="271005"/>
                                </a:lnTo>
                                <a:lnTo>
                                  <a:pt x="717169" y="227647"/>
                                </a:lnTo>
                                <a:lnTo>
                                  <a:pt x="894067" y="227647"/>
                                </a:lnTo>
                                <a:lnTo>
                                  <a:pt x="899502" y="222796"/>
                                </a:lnTo>
                                <a:lnTo>
                                  <a:pt x="899502" y="4851"/>
                                </a:lnTo>
                                <a:close/>
                              </a:path>
                              <a:path w="948690" h="668020">
                                <a:moveTo>
                                  <a:pt x="948118" y="319214"/>
                                </a:moveTo>
                                <a:lnTo>
                                  <a:pt x="942657" y="314363"/>
                                </a:lnTo>
                                <a:lnTo>
                                  <a:pt x="935964" y="314363"/>
                                </a:lnTo>
                                <a:lnTo>
                                  <a:pt x="644194" y="314363"/>
                                </a:lnTo>
                                <a:lnTo>
                                  <a:pt x="649401" y="336042"/>
                                </a:lnTo>
                                <a:lnTo>
                                  <a:pt x="816165" y="336042"/>
                                </a:lnTo>
                                <a:lnTo>
                                  <a:pt x="874229" y="667435"/>
                                </a:lnTo>
                                <a:lnTo>
                                  <a:pt x="898791" y="667435"/>
                                </a:lnTo>
                                <a:lnTo>
                                  <a:pt x="840765" y="336042"/>
                                </a:lnTo>
                                <a:lnTo>
                                  <a:pt x="942657" y="336042"/>
                                </a:lnTo>
                                <a:lnTo>
                                  <a:pt x="948118" y="331190"/>
                                </a:lnTo>
                                <a:lnTo>
                                  <a:pt x="948118" y="319214"/>
                                </a:lnTo>
                                <a:close/>
                              </a:path>
                            </a:pathLst>
                          </a:custGeom>
                          <a:solidFill>
                            <a:srgbClr val="C0C8E3"/>
                          </a:solidFill>
                        </wps:spPr>
                        <wps:bodyPr wrap="square" lIns="0" tIns="0" rIns="0" bIns="0" rtlCol="0">
                          <a:prstTxWarp prst="textNoShape">
                            <a:avLst/>
                          </a:prstTxWarp>
                        </wps:bodyPr>
                      </wps:wsp>
                      <wps:wsp>
                        <wps:cNvPr id="243" name="Graphic 243"/>
                        <wps:cNvSpPr/>
                        <wps:spPr>
                          <a:xfrm>
                            <a:off x="62738" y="273938"/>
                            <a:ext cx="1181100" cy="939800"/>
                          </a:xfrm>
                          <a:custGeom>
                            <a:avLst/>
                            <a:gdLst/>
                            <a:ahLst/>
                            <a:cxnLst/>
                            <a:rect l="l" t="t" r="r" b="b"/>
                            <a:pathLst>
                              <a:path w="1181100" h="939800">
                                <a:moveTo>
                                  <a:pt x="0" y="93853"/>
                                </a:moveTo>
                                <a:lnTo>
                                  <a:pt x="7382" y="57328"/>
                                </a:lnTo>
                                <a:lnTo>
                                  <a:pt x="27516" y="27495"/>
                                </a:lnTo>
                                <a:lnTo>
                                  <a:pt x="57376" y="7377"/>
                                </a:lnTo>
                                <a:lnTo>
                                  <a:pt x="93941" y="0"/>
                                </a:lnTo>
                                <a:lnTo>
                                  <a:pt x="1086866" y="0"/>
                                </a:lnTo>
                                <a:lnTo>
                                  <a:pt x="1123463" y="7377"/>
                                </a:lnTo>
                                <a:lnTo>
                                  <a:pt x="1153334" y="27495"/>
                                </a:lnTo>
                                <a:lnTo>
                                  <a:pt x="1173466" y="57328"/>
                                </a:lnTo>
                                <a:lnTo>
                                  <a:pt x="1180846" y="93853"/>
                                </a:lnTo>
                                <a:lnTo>
                                  <a:pt x="1180846" y="845439"/>
                                </a:lnTo>
                                <a:lnTo>
                                  <a:pt x="1173466" y="881963"/>
                                </a:lnTo>
                                <a:lnTo>
                                  <a:pt x="1153334" y="911796"/>
                                </a:lnTo>
                                <a:lnTo>
                                  <a:pt x="1123463" y="931914"/>
                                </a:lnTo>
                                <a:lnTo>
                                  <a:pt x="1086866" y="939292"/>
                                </a:lnTo>
                                <a:lnTo>
                                  <a:pt x="93941" y="939292"/>
                                </a:lnTo>
                                <a:lnTo>
                                  <a:pt x="57376" y="931914"/>
                                </a:lnTo>
                                <a:lnTo>
                                  <a:pt x="27516" y="911796"/>
                                </a:lnTo>
                                <a:lnTo>
                                  <a:pt x="7382" y="881963"/>
                                </a:lnTo>
                                <a:lnTo>
                                  <a:pt x="0" y="845439"/>
                                </a:lnTo>
                                <a:lnTo>
                                  <a:pt x="0" y="93853"/>
                                </a:lnTo>
                                <a:close/>
                              </a:path>
                            </a:pathLst>
                          </a:custGeom>
                          <a:ln w="12700">
                            <a:solidFill>
                              <a:srgbClr val="FFFFFF"/>
                            </a:solidFill>
                            <a:prstDash val="solid"/>
                          </a:ln>
                        </wps:spPr>
                        <wps:bodyPr wrap="square" lIns="0" tIns="0" rIns="0" bIns="0" rtlCol="0">
                          <a:prstTxWarp prst="textNoShape">
                            <a:avLst/>
                          </a:prstTxWarp>
                        </wps:bodyPr>
                      </wps:wsp>
                      <wps:wsp>
                        <wps:cNvPr id="244" name="Textbox 244"/>
                        <wps:cNvSpPr txBox="1"/>
                        <wps:spPr>
                          <a:xfrm>
                            <a:off x="0" y="0"/>
                            <a:ext cx="5904230" cy="1467485"/>
                          </a:xfrm>
                          <a:prstGeom prst="rect">
                            <a:avLst/>
                          </a:prstGeom>
                        </wps:spPr>
                        <wps:txbx>
                          <w:txbxContent>
                            <w:p w14:paraId="5C053DD5" w14:textId="77777777" w:rsidR="008715BE" w:rsidRDefault="00000000">
                              <w:pPr>
                                <w:spacing w:before="41"/>
                                <w:ind w:left="2099"/>
                                <w:rPr>
                                  <w:b/>
                                  <w:sz w:val="18"/>
                                </w:rPr>
                              </w:pPr>
                              <w:r>
                                <w:rPr>
                                  <w:b/>
                                  <w:w w:val="135"/>
                                  <w:sz w:val="12"/>
                                </w:rPr>
                                <w:t xml:space="preserve">Forms of impact </w:t>
                              </w:r>
                              <w:r>
                                <w:rPr>
                                  <w:b/>
                                  <w:spacing w:val="-2"/>
                                  <w:w w:val="135"/>
                                  <w:sz w:val="12"/>
                                </w:rPr>
                                <w:t>considered:</w:t>
                              </w:r>
                            </w:p>
                            <w:p w14:paraId="5022024C" w14:textId="77777777" w:rsidR="008715BE" w:rsidRDefault="00000000">
                              <w:pPr>
                                <w:numPr>
                                  <w:ilvl w:val="0"/>
                                  <w:numId w:val="81"/>
                                </w:numPr>
                                <w:tabs>
                                  <w:tab w:val="left" w:pos="2271"/>
                                </w:tabs>
                                <w:spacing w:before="18"/>
                                <w:ind w:left="2271" w:hanging="172"/>
                                <w:rPr>
                                  <w:sz w:val="18"/>
                                </w:rPr>
                              </w:pPr>
                              <w:r>
                                <w:rPr>
                                  <w:w w:val="120"/>
                                  <w:sz w:val="12"/>
                                </w:rPr>
                                <w:t xml:space="preserve">Change in </w:t>
                              </w:r>
                              <w:r>
                                <w:rPr>
                                  <w:spacing w:val="-2"/>
                                  <w:w w:val="120"/>
                                  <w:sz w:val="12"/>
                                </w:rPr>
                                <w:t xml:space="preserve">living </w:t>
                              </w:r>
                              <w:r>
                                <w:rPr>
                                  <w:w w:val="120"/>
                                  <w:sz w:val="12"/>
                                </w:rPr>
                                <w:t>conditions</w:t>
                              </w:r>
                            </w:p>
                            <w:p w14:paraId="43BF095B" w14:textId="77777777" w:rsidR="008715BE" w:rsidRDefault="00000000">
                              <w:pPr>
                                <w:numPr>
                                  <w:ilvl w:val="0"/>
                                  <w:numId w:val="81"/>
                                </w:numPr>
                                <w:tabs>
                                  <w:tab w:val="left" w:pos="2271"/>
                                </w:tabs>
                                <w:spacing w:before="18"/>
                                <w:ind w:left="2271" w:hanging="172"/>
                                <w:rPr>
                                  <w:sz w:val="18"/>
                                </w:rPr>
                              </w:pPr>
                              <w:r>
                                <w:rPr>
                                  <w:w w:val="120"/>
                                  <w:sz w:val="12"/>
                                </w:rPr>
                                <w:t xml:space="preserve">Change in quality </w:t>
                              </w:r>
                              <w:r>
                                <w:rPr>
                                  <w:spacing w:val="-2"/>
                                  <w:w w:val="120"/>
                                  <w:sz w:val="12"/>
                                </w:rPr>
                                <w:t>of life</w:t>
                              </w:r>
                            </w:p>
                            <w:p w14:paraId="12D6C98B" w14:textId="77777777" w:rsidR="008715BE" w:rsidRDefault="00000000">
                              <w:pPr>
                                <w:numPr>
                                  <w:ilvl w:val="0"/>
                                  <w:numId w:val="81"/>
                                </w:numPr>
                                <w:tabs>
                                  <w:tab w:val="left" w:pos="2271"/>
                                </w:tabs>
                                <w:spacing w:before="15"/>
                                <w:ind w:left="2271" w:hanging="172"/>
                                <w:rPr>
                                  <w:sz w:val="18"/>
                                </w:rPr>
                              </w:pPr>
                              <w:r>
                                <w:rPr>
                                  <w:w w:val="120"/>
                                  <w:sz w:val="12"/>
                                </w:rPr>
                                <w:t xml:space="preserve">Material and </w:t>
                              </w:r>
                              <w:r>
                                <w:rPr>
                                  <w:spacing w:val="-2"/>
                                  <w:w w:val="120"/>
                                  <w:sz w:val="12"/>
                                </w:rPr>
                                <w:t xml:space="preserve">financial </w:t>
                              </w:r>
                              <w:r>
                                <w:rPr>
                                  <w:w w:val="120"/>
                                  <w:sz w:val="12"/>
                                </w:rPr>
                                <w:t>losses</w:t>
                              </w:r>
                            </w:p>
                            <w:p w14:paraId="54FE9909" w14:textId="77777777" w:rsidR="008715BE" w:rsidRDefault="00000000">
                              <w:pPr>
                                <w:numPr>
                                  <w:ilvl w:val="0"/>
                                  <w:numId w:val="81"/>
                                </w:numPr>
                                <w:tabs>
                                  <w:tab w:val="left" w:pos="2190"/>
                                  <w:tab w:val="left" w:pos="2333"/>
                                </w:tabs>
                                <w:spacing w:before="35" w:line="216" w:lineRule="auto"/>
                                <w:ind w:right="121" w:hanging="29"/>
                                <w:rPr>
                                  <w:sz w:val="18"/>
                                </w:rPr>
                              </w:pPr>
                              <w:r>
                                <w:rPr>
                                  <w:w w:val="120"/>
                                  <w:sz w:val="12"/>
                                </w:rPr>
                                <w:t>Positive impact on the social environment, human health, and material assets (properly treated water supply, reduction of losses, reduction of loads)</w:t>
                              </w:r>
                            </w:p>
                            <w:p w14:paraId="4641C94F" w14:textId="77777777" w:rsidR="008715BE" w:rsidRDefault="00000000">
                              <w:pPr>
                                <w:numPr>
                                  <w:ilvl w:val="0"/>
                                  <w:numId w:val="81"/>
                                </w:numPr>
                                <w:tabs>
                                  <w:tab w:val="left" w:pos="2190"/>
                                  <w:tab w:val="left" w:pos="2333"/>
                                </w:tabs>
                                <w:spacing w:before="38" w:line="216" w:lineRule="auto"/>
                                <w:ind w:right="859" w:hanging="29"/>
                                <w:rPr>
                                  <w:sz w:val="18"/>
                                </w:rPr>
                              </w:pPr>
                              <w:r>
                                <w:rPr>
                                  <w:w w:val="120"/>
                                  <w:sz w:val="12"/>
                                </w:rPr>
                                <w:t>Negative impact: pollutant emissions, accidental spills, increased noise levels, odors, traffic disruption</w:t>
                              </w:r>
                            </w:p>
                          </w:txbxContent>
                        </wps:txbx>
                        <wps:bodyPr wrap="square" lIns="0" tIns="0" rIns="0" bIns="0" rtlCol="0"/>
                      </wps:wsp>
                    </wpg:wgp>
                  </a:graphicData>
                </a:graphic>
              </wp:inline>
            </w:drawing>
          </mc:Choice>
          <mc:Fallback>
            <w:pict>
              <v:group w14:anchorId="1BAEB3DC" id="Group 240" o:spid="_x0000_s1109" style="width:464.9pt;height:115.55pt;mso-position-horizontal-relative:char;mso-position-vertical-relative:line" coordsize="59042,14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">
                <v:shape id="Graphic 241" o:spid="_x0000_s1110" style="position:absolute;width:59042;height:14674;visibility:visible;mso-wrap-style:square;v-text-anchor:top" coordsize="5904230,146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" path="m5757545,l146735,,100356,7476,60076,28297,28311,60048,7480,100315,,146684,,1320673r7480,46369l28311,1407309r31765,31751l100356,1459881r46379,7476l5757545,1467357r46369,-7476l5844181,1439060r31751,-31751l5896753,1367042r7477,-46369l5904230,146684r-7477,-46369l5875932,60048,5844181,28297,5803914,7476,5757545,xe" fillcolor="#00afef" stroked="f">
                  <v:path arrowok="t"/>
                </v:shape>
                <v:shape id="Graphic 242" o:spid="_x0000_s1111" style="position:absolute;left:1808;top:4203;width:9487;height:6680;visibility:visible;mso-wrap-style:square;v-text-anchor:top" coordsize="948690,6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" path="m303923,314363r-298475,l,319214r,11976l5448,336042r101905,l49288,667435r24600,l131953,336042r166763,l303923,314363xem437603,4851l432155,,54063,,48628,4851r-13,217932l54051,227634r6718,l230949,227634r,43371l170154,271005r,21679l309130,292684r5207,-21679l255257,271005r,-43371l332879,227634r10211,-11582l355130,205955r-282207,l72923,21678r340360,l413283,184746r24308,-469l437603,4851xem651256,454063r-89,-4941l650544,444207,625881,341604r,123838l617194,484720r-16154,14974l578904,508279r-4179,787l570458,509473r-188506,l358292,505218,338975,493610,325945,476377r-4775,-21095l321170,451472,364197,270497r38913,-39624l423621,227634r100876,l562648,239750r62954,204178l625881,465442r,-123838l607695,265938,582599,227634,524497,205955r-100876,l370205,222910r-29795,43028l298742,439381r-419,30087l310451,496443r22593,20929l363982,529399r5410,1041l376389,531152r4052,l360565,667435r24524,l404952,531152r138201,l563029,667435r24511,l567677,531152r-381,l600633,524649r24359,-15176l627354,508012r17767,-24358l651256,454063xem899502,4851l894067,,515975,r-5448,4851l510527,184277r13970,l534835,184746r,-163068l875195,21678r,184277l592988,205955r12027,10097l615238,227647r77623,l692861,271005r-59081,l638987,292684r138938,l777925,271005r-60756,l717169,227647r176898,l899502,222796r,-217945xem948118,319214r-5461,-4851l935964,314363r-291770,l649401,336042r166764,l874229,667435r24562,l840765,336042r101892,l948118,331190r,-11976xe" fillcolor="#c0c8e3" stroked="f">
                  <v:path arrowok="t"/>
                </v:shape>
                <v:shape id="Graphic 243" o:spid="_x0000_s1112" style="position:absolute;left:627;top:2739;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" path="m,93853l7382,57328,27516,27495,57376,7377,93941,r992925,l1123463,7377r29871,20118l1173466,57328r7380,36525l1180846,845439r-7380,36524l1153334,911796r-29871,20118l1086866,939292r-992925,l57376,931914,27516,911796,7382,881963,,845439,,93853xe" filled="f" strokecolor="white" strokeweight="1pt">
                  <v:path arrowok="t"/>
                </v:shape>
                <v:shape id="Textbox 244" o:spid="_x0000_s1113" type="#_x0000_t202" style="position:absolute;width:59042;height:1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5C053DD5" w14:textId="77777777" w:rsidR="008715BE" w:rsidRDefault="00000000">
                        <w:pPr>
                          <w:spacing w:before="41"/>
                          <w:ind w:left="2099"/>
                          <w:rPr>
                            <w:b/>
                            <w:sz w:val="18"/>
                          </w:rPr>
                        </w:pPr>
                        <w:r>
                          <w:rPr>
                            <w:b/>
                            <w:w w:val="135"/>
                            <w:sz w:val="12"/>
                          </w:rPr>
                          <w:t xml:space="preserve">Forms of impact </w:t>
                        </w:r>
                        <w:r>
                          <w:rPr>
                            <w:b/>
                            <w:spacing w:val="-2"/>
                            <w:w w:val="135"/>
                            <w:sz w:val="12"/>
                          </w:rPr>
                          <w:t>considered:</w:t>
                        </w:r>
                      </w:p>
                      <w:p w14:paraId="5022024C" w14:textId="77777777" w:rsidR="008715BE" w:rsidRDefault="00000000">
                        <w:pPr>
                          <w:numPr>
                            <w:ilvl w:val="0"/>
                            <w:numId w:val="81"/>
                          </w:numPr>
                          <w:tabs>
                            <w:tab w:val="left" w:pos="2271"/>
                          </w:tabs>
                          <w:spacing w:before="18"/>
                          <w:ind w:left="2271" w:hanging="172"/>
                          <w:rPr>
                            <w:sz w:val="18"/>
                          </w:rPr>
                        </w:pPr>
                        <w:r>
                          <w:rPr>
                            <w:w w:val="120"/>
                            <w:sz w:val="12"/>
                          </w:rPr>
                          <w:t xml:space="preserve">Change in </w:t>
                        </w:r>
                        <w:r>
                          <w:rPr>
                            <w:spacing w:val="-2"/>
                            <w:w w:val="120"/>
                            <w:sz w:val="12"/>
                          </w:rPr>
                          <w:t xml:space="preserve">living </w:t>
                        </w:r>
                        <w:r>
                          <w:rPr>
                            <w:w w:val="120"/>
                            <w:sz w:val="12"/>
                          </w:rPr>
                          <w:t>conditions</w:t>
                        </w:r>
                      </w:p>
                      <w:p w14:paraId="43BF095B" w14:textId="77777777" w:rsidR="008715BE" w:rsidRDefault="00000000">
                        <w:pPr>
                          <w:numPr>
                            <w:ilvl w:val="0"/>
                            <w:numId w:val="81"/>
                          </w:numPr>
                          <w:tabs>
                            <w:tab w:val="left" w:pos="2271"/>
                          </w:tabs>
                          <w:spacing w:before="18"/>
                          <w:ind w:left="2271" w:hanging="172"/>
                          <w:rPr>
                            <w:sz w:val="18"/>
                          </w:rPr>
                        </w:pPr>
                        <w:r>
                          <w:rPr>
                            <w:w w:val="120"/>
                            <w:sz w:val="12"/>
                          </w:rPr>
                          <w:t xml:space="preserve">Change in quality </w:t>
                        </w:r>
                        <w:r>
                          <w:rPr>
                            <w:spacing w:val="-2"/>
                            <w:w w:val="120"/>
                            <w:sz w:val="12"/>
                          </w:rPr>
                          <w:t>of life</w:t>
                        </w:r>
                      </w:p>
                      <w:p w14:paraId="12D6C98B" w14:textId="77777777" w:rsidR="008715BE" w:rsidRDefault="00000000">
                        <w:pPr>
                          <w:numPr>
                            <w:ilvl w:val="0"/>
                            <w:numId w:val="81"/>
                          </w:numPr>
                          <w:tabs>
                            <w:tab w:val="left" w:pos="2271"/>
                          </w:tabs>
                          <w:spacing w:before="15"/>
                          <w:ind w:left="2271" w:hanging="172"/>
                          <w:rPr>
                            <w:sz w:val="18"/>
                          </w:rPr>
                        </w:pPr>
                        <w:r>
                          <w:rPr>
                            <w:w w:val="120"/>
                            <w:sz w:val="12"/>
                          </w:rPr>
                          <w:t xml:space="preserve">Material and </w:t>
                        </w:r>
                        <w:r>
                          <w:rPr>
                            <w:spacing w:val="-2"/>
                            <w:w w:val="120"/>
                            <w:sz w:val="12"/>
                          </w:rPr>
                          <w:t xml:space="preserve">financial </w:t>
                        </w:r>
                        <w:r>
                          <w:rPr>
                            <w:w w:val="120"/>
                            <w:sz w:val="12"/>
                          </w:rPr>
                          <w:t>losses</w:t>
                        </w:r>
                      </w:p>
                      <w:p w14:paraId="54FE9909" w14:textId="77777777" w:rsidR="008715BE" w:rsidRDefault="00000000">
                        <w:pPr>
                          <w:numPr>
                            <w:ilvl w:val="0"/>
                            <w:numId w:val="81"/>
                          </w:numPr>
                          <w:tabs>
                            <w:tab w:val="left" w:pos="2190"/>
                            <w:tab w:val="left" w:pos="2333"/>
                          </w:tabs>
                          <w:spacing w:before="35" w:line="216" w:lineRule="auto"/>
                          <w:ind w:right="121" w:hanging="29"/>
                          <w:rPr>
                            <w:sz w:val="18"/>
                          </w:rPr>
                        </w:pPr>
                        <w:r>
                          <w:rPr>
                            <w:w w:val="120"/>
                            <w:sz w:val="12"/>
                          </w:rPr>
                          <w:t>Positive impact on the social environment, human health, and material assets (properly treated water supply, reduction of losses, reduction of loads)</w:t>
                        </w:r>
                      </w:p>
                      <w:p w14:paraId="4641C94F" w14:textId="77777777" w:rsidR="008715BE" w:rsidRDefault="00000000">
                        <w:pPr>
                          <w:numPr>
                            <w:ilvl w:val="0"/>
                            <w:numId w:val="81"/>
                          </w:numPr>
                          <w:tabs>
                            <w:tab w:val="left" w:pos="2190"/>
                            <w:tab w:val="left" w:pos="2333"/>
                          </w:tabs>
                          <w:spacing w:before="38" w:line="216" w:lineRule="auto"/>
                          <w:ind w:right="859" w:hanging="29"/>
                          <w:rPr>
                            <w:sz w:val="18"/>
                          </w:rPr>
                        </w:pPr>
                        <w:r>
                          <w:rPr>
                            <w:w w:val="120"/>
                            <w:sz w:val="12"/>
                          </w:rPr>
                          <w:t>Negative impact: pollutant emissions, accidental spills, increased noise levels, odors, traffic disruption</w:t>
                        </w:r>
                      </w:p>
                    </w:txbxContent>
                  </v:textbox>
                </v:shape>
                <w10:anchorlock/>
              </v:group>
            </w:pict>
          </mc:Fallback>
        </mc:AlternateContent>
      </w:r>
    </w:p>
    <w:p w14:paraId="78611584" w14:textId="5AECAB0B" w:rsidR="008715BE" w:rsidRPr="00EC75B7" w:rsidRDefault="00000000" w:rsidP="0053798D">
      <w:pPr>
        <w:pStyle w:val="BodyText"/>
        <w:spacing w:before="9"/>
        <w:rPr>
          <w:rFonts w:ascii="Verdana" w:hAnsi="Verdana"/>
        </w:rPr>
      </w:pPr>
      <w:r w:rsidRPr="00EC75B7">
        <w:rPr>
          <w:rFonts w:ascii="Verdana" w:hAnsi="Verdana"/>
          <w:noProof/>
        </w:rPr>
        <mc:AlternateContent>
          <mc:Choice Requires="wpg">
            <w:drawing>
              <wp:anchor distT="0" distB="0" distL="0" distR="0" simplePos="0" relativeHeight="251759616" behindDoc="1" locked="0" layoutInCell="1" allowOverlap="1" wp14:anchorId="06C854D3" wp14:editId="4E6ACD83">
                <wp:simplePos x="0" y="0"/>
                <wp:positionH relativeFrom="page">
                  <wp:posOffset>810259</wp:posOffset>
                </wp:positionH>
                <wp:positionV relativeFrom="paragraph">
                  <wp:posOffset>98932</wp:posOffset>
                </wp:positionV>
                <wp:extent cx="5904230" cy="1174750"/>
                <wp:effectExtent l="0" t="0" r="0" b="0"/>
                <wp:wrapTopAndBottom/>
                <wp:docPr id="245" name="Group 245"/>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46" name="Graphic 246"/>
                        <wps:cNvSpPr/>
                        <wps:spPr>
                          <a:xfrm>
                            <a:off x="0" y="0"/>
                            <a:ext cx="5904230" cy="1174750"/>
                          </a:xfrm>
                          <a:custGeom>
                            <a:avLst/>
                            <a:gdLst/>
                            <a:ahLst/>
                            <a:cxnLst/>
                            <a:rect l="l" t="t" r="r" b="b"/>
                            <a:pathLst>
                              <a:path w="5904230" h="1174750">
                                <a:moveTo>
                                  <a:pt x="5786755" y="0"/>
                                </a:moveTo>
                                <a:lnTo>
                                  <a:pt x="117424" y="0"/>
                                </a:lnTo>
                                <a:lnTo>
                                  <a:pt x="71719" y="9209"/>
                                </a:lnTo>
                                <a:lnTo>
                                  <a:pt x="34394" y="34337"/>
                                </a:lnTo>
                                <a:lnTo>
                                  <a:pt x="9228" y="71633"/>
                                </a:lnTo>
                                <a:lnTo>
                                  <a:pt x="0" y="117348"/>
                                </a:lnTo>
                                <a:lnTo>
                                  <a:pt x="0" y="1056767"/>
                                </a:lnTo>
                                <a:lnTo>
                                  <a:pt x="9228" y="1102500"/>
                                </a:lnTo>
                                <a:lnTo>
                                  <a:pt x="34394" y="1139840"/>
                                </a:lnTo>
                                <a:lnTo>
                                  <a:pt x="71719" y="1165012"/>
                                </a:lnTo>
                                <a:lnTo>
                                  <a:pt x="117424" y="1174242"/>
                                </a:lnTo>
                                <a:lnTo>
                                  <a:pt x="5786755" y="1174242"/>
                                </a:lnTo>
                                <a:lnTo>
                                  <a:pt x="5832488" y="1165012"/>
                                </a:lnTo>
                                <a:lnTo>
                                  <a:pt x="5869828" y="1139840"/>
                                </a:lnTo>
                                <a:lnTo>
                                  <a:pt x="5895000" y="1102500"/>
                                </a:lnTo>
                                <a:lnTo>
                                  <a:pt x="5904230" y="1056767"/>
                                </a:lnTo>
                                <a:lnTo>
                                  <a:pt x="5904230" y="117348"/>
                                </a:lnTo>
                                <a:lnTo>
                                  <a:pt x="5895000" y="71633"/>
                                </a:lnTo>
                                <a:lnTo>
                                  <a:pt x="5869828" y="34337"/>
                                </a:lnTo>
                                <a:lnTo>
                                  <a:pt x="5832488" y="9209"/>
                                </a:lnTo>
                                <a:lnTo>
                                  <a:pt x="5786755" y="0"/>
                                </a:lnTo>
                                <a:close/>
                              </a:path>
                            </a:pathLst>
                          </a:custGeom>
                          <a:solidFill>
                            <a:srgbClr val="D9D9D9"/>
                          </a:solidFill>
                        </wps:spPr>
                        <wps:bodyPr wrap="square" lIns="0" tIns="0" rIns="0" bIns="0" rtlCol="0">
                          <a:prstTxWarp prst="textNoShape">
                            <a:avLst/>
                          </a:prstTxWarp>
                        </wps:bodyPr>
                      </wps:wsp>
                      <wps:wsp>
                        <wps:cNvPr id="247" name="Graphic 247"/>
                        <wps:cNvSpPr/>
                        <wps:spPr>
                          <a:xfrm>
                            <a:off x="212877" y="133806"/>
                            <a:ext cx="941705" cy="785495"/>
                          </a:xfrm>
                          <a:custGeom>
                            <a:avLst/>
                            <a:gdLst/>
                            <a:ahLst/>
                            <a:cxnLst/>
                            <a:rect l="l" t="t" r="r" b="b"/>
                            <a:pathLst>
                              <a:path w="941705" h="785495">
                                <a:moveTo>
                                  <a:pt x="151968" y="709117"/>
                                </a:moveTo>
                                <a:lnTo>
                                  <a:pt x="149580" y="698576"/>
                                </a:lnTo>
                                <a:lnTo>
                                  <a:pt x="143065" y="689965"/>
                                </a:lnTo>
                                <a:lnTo>
                                  <a:pt x="133413" y="684149"/>
                                </a:lnTo>
                                <a:lnTo>
                                  <a:pt x="121577" y="682028"/>
                                </a:lnTo>
                                <a:lnTo>
                                  <a:pt x="109753" y="684149"/>
                                </a:lnTo>
                                <a:lnTo>
                                  <a:pt x="100088" y="689965"/>
                                </a:lnTo>
                                <a:lnTo>
                                  <a:pt x="93586" y="698576"/>
                                </a:lnTo>
                                <a:lnTo>
                                  <a:pt x="91198" y="709117"/>
                                </a:lnTo>
                                <a:lnTo>
                                  <a:pt x="93586" y="719670"/>
                                </a:lnTo>
                                <a:lnTo>
                                  <a:pt x="100088" y="728281"/>
                                </a:lnTo>
                                <a:lnTo>
                                  <a:pt x="109753" y="734098"/>
                                </a:lnTo>
                                <a:lnTo>
                                  <a:pt x="121577" y="736219"/>
                                </a:lnTo>
                                <a:lnTo>
                                  <a:pt x="133413" y="734098"/>
                                </a:lnTo>
                                <a:lnTo>
                                  <a:pt x="143065" y="728281"/>
                                </a:lnTo>
                                <a:lnTo>
                                  <a:pt x="149580" y="719670"/>
                                </a:lnTo>
                                <a:lnTo>
                                  <a:pt x="151968" y="709117"/>
                                </a:lnTo>
                                <a:close/>
                              </a:path>
                              <a:path w="941705" h="785495">
                                <a:moveTo>
                                  <a:pt x="289725" y="709117"/>
                                </a:moveTo>
                                <a:lnTo>
                                  <a:pt x="287337" y="698576"/>
                                </a:lnTo>
                                <a:lnTo>
                                  <a:pt x="280835" y="689965"/>
                                </a:lnTo>
                                <a:lnTo>
                                  <a:pt x="271170" y="684149"/>
                                </a:lnTo>
                                <a:lnTo>
                                  <a:pt x="259346" y="682028"/>
                                </a:lnTo>
                                <a:lnTo>
                                  <a:pt x="247510" y="684149"/>
                                </a:lnTo>
                                <a:lnTo>
                                  <a:pt x="237858" y="689965"/>
                                </a:lnTo>
                                <a:lnTo>
                                  <a:pt x="231343" y="698576"/>
                                </a:lnTo>
                                <a:lnTo>
                                  <a:pt x="228955" y="709117"/>
                                </a:lnTo>
                                <a:lnTo>
                                  <a:pt x="231343" y="719670"/>
                                </a:lnTo>
                                <a:lnTo>
                                  <a:pt x="237858" y="728281"/>
                                </a:lnTo>
                                <a:lnTo>
                                  <a:pt x="247510" y="734098"/>
                                </a:lnTo>
                                <a:lnTo>
                                  <a:pt x="259346" y="736219"/>
                                </a:lnTo>
                                <a:lnTo>
                                  <a:pt x="271170" y="734098"/>
                                </a:lnTo>
                                <a:lnTo>
                                  <a:pt x="280835" y="728281"/>
                                </a:lnTo>
                                <a:lnTo>
                                  <a:pt x="287337" y="719670"/>
                                </a:lnTo>
                                <a:lnTo>
                                  <a:pt x="289725" y="709117"/>
                                </a:lnTo>
                                <a:close/>
                              </a:path>
                              <a:path w="941705" h="785495">
                                <a:moveTo>
                                  <a:pt x="427482" y="709117"/>
                                </a:moveTo>
                                <a:lnTo>
                                  <a:pt x="425094" y="698576"/>
                                </a:lnTo>
                                <a:lnTo>
                                  <a:pt x="418579" y="689965"/>
                                </a:lnTo>
                                <a:lnTo>
                                  <a:pt x="408927" y="684149"/>
                                </a:lnTo>
                                <a:lnTo>
                                  <a:pt x="397090" y="682028"/>
                                </a:lnTo>
                                <a:lnTo>
                                  <a:pt x="385267" y="684149"/>
                                </a:lnTo>
                                <a:lnTo>
                                  <a:pt x="375602" y="689965"/>
                                </a:lnTo>
                                <a:lnTo>
                                  <a:pt x="369087" y="698576"/>
                                </a:lnTo>
                                <a:lnTo>
                                  <a:pt x="366699" y="709117"/>
                                </a:lnTo>
                                <a:lnTo>
                                  <a:pt x="369087" y="719670"/>
                                </a:lnTo>
                                <a:lnTo>
                                  <a:pt x="375602" y="728281"/>
                                </a:lnTo>
                                <a:lnTo>
                                  <a:pt x="385267" y="734098"/>
                                </a:lnTo>
                                <a:lnTo>
                                  <a:pt x="397090" y="736219"/>
                                </a:lnTo>
                                <a:lnTo>
                                  <a:pt x="408927" y="734098"/>
                                </a:lnTo>
                                <a:lnTo>
                                  <a:pt x="418579" y="728281"/>
                                </a:lnTo>
                                <a:lnTo>
                                  <a:pt x="425094" y="719670"/>
                                </a:lnTo>
                                <a:lnTo>
                                  <a:pt x="427482" y="709117"/>
                                </a:lnTo>
                                <a:close/>
                              </a:path>
                              <a:path w="941705" h="785495">
                                <a:moveTo>
                                  <a:pt x="565251" y="709117"/>
                                </a:moveTo>
                                <a:lnTo>
                                  <a:pt x="562864" y="698576"/>
                                </a:lnTo>
                                <a:lnTo>
                                  <a:pt x="556348" y="689965"/>
                                </a:lnTo>
                                <a:lnTo>
                                  <a:pt x="546696" y="684149"/>
                                </a:lnTo>
                                <a:lnTo>
                                  <a:pt x="534860" y="682028"/>
                                </a:lnTo>
                                <a:lnTo>
                                  <a:pt x="523036" y="684149"/>
                                </a:lnTo>
                                <a:lnTo>
                                  <a:pt x="513372" y="689965"/>
                                </a:lnTo>
                                <a:lnTo>
                                  <a:pt x="506857" y="698576"/>
                                </a:lnTo>
                                <a:lnTo>
                                  <a:pt x="504469" y="709117"/>
                                </a:lnTo>
                                <a:lnTo>
                                  <a:pt x="506857" y="719670"/>
                                </a:lnTo>
                                <a:lnTo>
                                  <a:pt x="513372" y="728281"/>
                                </a:lnTo>
                                <a:lnTo>
                                  <a:pt x="523036" y="734098"/>
                                </a:lnTo>
                                <a:lnTo>
                                  <a:pt x="534860" y="736219"/>
                                </a:lnTo>
                                <a:lnTo>
                                  <a:pt x="546696" y="734098"/>
                                </a:lnTo>
                                <a:lnTo>
                                  <a:pt x="556348" y="728281"/>
                                </a:lnTo>
                                <a:lnTo>
                                  <a:pt x="562864" y="719670"/>
                                </a:lnTo>
                                <a:lnTo>
                                  <a:pt x="565251" y="709117"/>
                                </a:lnTo>
                                <a:close/>
                              </a:path>
                              <a:path w="941705" h="785495">
                                <a:moveTo>
                                  <a:pt x="656386" y="709117"/>
                                </a:moveTo>
                                <a:lnTo>
                                  <a:pt x="649693" y="679589"/>
                                </a:lnTo>
                                <a:lnTo>
                                  <a:pt x="632079" y="656272"/>
                                </a:lnTo>
                                <a:lnTo>
                                  <a:pt x="632079" y="709117"/>
                                </a:lnTo>
                                <a:lnTo>
                                  <a:pt x="627303" y="730211"/>
                                </a:lnTo>
                                <a:lnTo>
                                  <a:pt x="614273" y="747445"/>
                                </a:lnTo>
                                <a:lnTo>
                                  <a:pt x="594956" y="759066"/>
                                </a:lnTo>
                                <a:lnTo>
                                  <a:pt x="571296" y="763320"/>
                                </a:lnTo>
                                <a:lnTo>
                                  <a:pt x="85090" y="763320"/>
                                </a:lnTo>
                                <a:lnTo>
                                  <a:pt x="61429" y="759066"/>
                                </a:lnTo>
                                <a:lnTo>
                                  <a:pt x="42113" y="747445"/>
                                </a:lnTo>
                                <a:lnTo>
                                  <a:pt x="29083" y="730211"/>
                                </a:lnTo>
                                <a:lnTo>
                                  <a:pt x="24307" y="709117"/>
                                </a:lnTo>
                                <a:lnTo>
                                  <a:pt x="29083" y="688022"/>
                                </a:lnTo>
                                <a:lnTo>
                                  <a:pt x="42113" y="670801"/>
                                </a:lnTo>
                                <a:lnTo>
                                  <a:pt x="61429" y="659180"/>
                                </a:lnTo>
                                <a:lnTo>
                                  <a:pt x="85090" y="654926"/>
                                </a:lnTo>
                                <a:lnTo>
                                  <a:pt x="571296" y="654926"/>
                                </a:lnTo>
                                <a:lnTo>
                                  <a:pt x="594956" y="659180"/>
                                </a:lnTo>
                                <a:lnTo>
                                  <a:pt x="614273" y="670801"/>
                                </a:lnTo>
                                <a:lnTo>
                                  <a:pt x="627303" y="688022"/>
                                </a:lnTo>
                                <a:lnTo>
                                  <a:pt x="632079" y="709117"/>
                                </a:lnTo>
                                <a:lnTo>
                                  <a:pt x="632079" y="656272"/>
                                </a:lnTo>
                                <a:lnTo>
                                  <a:pt x="631469" y="655459"/>
                                </a:lnTo>
                                <a:lnTo>
                                  <a:pt x="630567" y="654926"/>
                                </a:lnTo>
                                <a:lnTo>
                                  <a:pt x="604418" y="639203"/>
                                </a:lnTo>
                                <a:lnTo>
                                  <a:pt x="571296" y="633247"/>
                                </a:lnTo>
                                <a:lnTo>
                                  <a:pt x="85090" y="633247"/>
                                </a:lnTo>
                                <a:lnTo>
                                  <a:pt x="51968" y="639203"/>
                                </a:lnTo>
                                <a:lnTo>
                                  <a:pt x="24917" y="655459"/>
                                </a:lnTo>
                                <a:lnTo>
                                  <a:pt x="6680" y="679589"/>
                                </a:lnTo>
                                <a:lnTo>
                                  <a:pt x="0" y="709117"/>
                                </a:lnTo>
                                <a:lnTo>
                                  <a:pt x="6680" y="738657"/>
                                </a:lnTo>
                                <a:lnTo>
                                  <a:pt x="24917" y="762774"/>
                                </a:lnTo>
                                <a:lnTo>
                                  <a:pt x="51968" y="779043"/>
                                </a:lnTo>
                                <a:lnTo>
                                  <a:pt x="85090" y="784999"/>
                                </a:lnTo>
                                <a:lnTo>
                                  <a:pt x="571296" y="784999"/>
                                </a:lnTo>
                                <a:lnTo>
                                  <a:pt x="604418" y="779043"/>
                                </a:lnTo>
                                <a:lnTo>
                                  <a:pt x="630555" y="763320"/>
                                </a:lnTo>
                                <a:lnTo>
                                  <a:pt x="631469" y="762774"/>
                                </a:lnTo>
                                <a:lnTo>
                                  <a:pt x="649693" y="738657"/>
                                </a:lnTo>
                                <a:lnTo>
                                  <a:pt x="656386" y="709117"/>
                                </a:lnTo>
                                <a:close/>
                              </a:path>
                              <a:path w="941705" h="785495">
                                <a:moveTo>
                                  <a:pt x="941539" y="388327"/>
                                </a:moveTo>
                                <a:lnTo>
                                  <a:pt x="929779" y="346163"/>
                                </a:lnTo>
                                <a:lnTo>
                                  <a:pt x="917067" y="326656"/>
                                </a:lnTo>
                                <a:lnTo>
                                  <a:pt x="917067" y="388010"/>
                                </a:lnTo>
                                <a:lnTo>
                                  <a:pt x="915619" y="427101"/>
                                </a:lnTo>
                                <a:lnTo>
                                  <a:pt x="894791" y="473519"/>
                                </a:lnTo>
                                <a:lnTo>
                                  <a:pt x="858253" y="507809"/>
                                </a:lnTo>
                                <a:lnTo>
                                  <a:pt x="810463" y="528307"/>
                                </a:lnTo>
                                <a:lnTo>
                                  <a:pt x="755891" y="532117"/>
                                </a:lnTo>
                                <a:lnTo>
                                  <a:pt x="812050" y="279234"/>
                                </a:lnTo>
                                <a:lnTo>
                                  <a:pt x="881341" y="316661"/>
                                </a:lnTo>
                                <a:lnTo>
                                  <a:pt x="905243" y="349935"/>
                                </a:lnTo>
                                <a:lnTo>
                                  <a:pt x="917067" y="388010"/>
                                </a:lnTo>
                                <a:lnTo>
                                  <a:pt x="917067" y="326656"/>
                                </a:lnTo>
                                <a:lnTo>
                                  <a:pt x="870546" y="279234"/>
                                </a:lnTo>
                                <a:lnTo>
                                  <a:pt x="834263" y="262509"/>
                                </a:lnTo>
                                <a:lnTo>
                                  <a:pt x="802246" y="254698"/>
                                </a:lnTo>
                                <a:lnTo>
                                  <a:pt x="551027" y="30695"/>
                                </a:lnTo>
                                <a:lnTo>
                                  <a:pt x="516597" y="0"/>
                                </a:lnTo>
                                <a:lnTo>
                                  <a:pt x="31140" y="432993"/>
                                </a:lnTo>
                                <a:lnTo>
                                  <a:pt x="23088" y="579043"/>
                                </a:lnTo>
                                <a:lnTo>
                                  <a:pt x="25019" y="587463"/>
                                </a:lnTo>
                                <a:lnTo>
                                  <a:pt x="30226" y="594347"/>
                                </a:lnTo>
                                <a:lnTo>
                                  <a:pt x="37947" y="599008"/>
                                </a:lnTo>
                                <a:lnTo>
                                  <a:pt x="47409" y="600722"/>
                                </a:lnTo>
                                <a:lnTo>
                                  <a:pt x="595604" y="600722"/>
                                </a:lnTo>
                                <a:lnTo>
                                  <a:pt x="607771" y="599643"/>
                                </a:lnTo>
                                <a:lnTo>
                                  <a:pt x="625805" y="593826"/>
                                </a:lnTo>
                                <a:lnTo>
                                  <a:pt x="639559" y="582752"/>
                                </a:lnTo>
                                <a:lnTo>
                                  <a:pt x="641604" y="579043"/>
                                </a:lnTo>
                                <a:lnTo>
                                  <a:pt x="647750" y="567918"/>
                                </a:lnTo>
                                <a:lnTo>
                                  <a:pt x="649020" y="551815"/>
                                </a:lnTo>
                                <a:lnTo>
                                  <a:pt x="649097" y="550862"/>
                                </a:lnTo>
                                <a:lnTo>
                                  <a:pt x="634682" y="448970"/>
                                </a:lnTo>
                                <a:lnTo>
                                  <a:pt x="631621" y="427291"/>
                                </a:lnTo>
                                <a:lnTo>
                                  <a:pt x="625005" y="380492"/>
                                </a:lnTo>
                                <a:lnTo>
                                  <a:pt x="625005" y="553783"/>
                                </a:lnTo>
                                <a:lnTo>
                                  <a:pt x="624332" y="562216"/>
                                </a:lnTo>
                                <a:lnTo>
                                  <a:pt x="620318" y="569556"/>
                                </a:lnTo>
                                <a:lnTo>
                                  <a:pt x="613587" y="575106"/>
                                </a:lnTo>
                                <a:lnTo>
                                  <a:pt x="604748" y="578129"/>
                                </a:lnTo>
                                <a:lnTo>
                                  <a:pt x="47409" y="579043"/>
                                </a:lnTo>
                                <a:lnTo>
                                  <a:pt x="47409" y="448970"/>
                                </a:lnTo>
                                <a:lnTo>
                                  <a:pt x="610196" y="448970"/>
                                </a:lnTo>
                                <a:lnTo>
                                  <a:pt x="625005" y="553783"/>
                                </a:lnTo>
                                <a:lnTo>
                                  <a:pt x="625005" y="380492"/>
                                </a:lnTo>
                                <a:lnTo>
                                  <a:pt x="617829" y="329730"/>
                                </a:lnTo>
                                <a:lnTo>
                                  <a:pt x="613841" y="301548"/>
                                </a:lnTo>
                                <a:lnTo>
                                  <a:pt x="608393" y="286981"/>
                                </a:lnTo>
                                <a:lnTo>
                                  <a:pt x="608330" y="286804"/>
                                </a:lnTo>
                                <a:lnTo>
                                  <a:pt x="608215" y="286524"/>
                                </a:lnTo>
                                <a:lnTo>
                                  <a:pt x="607161" y="285356"/>
                                </a:lnTo>
                                <a:lnTo>
                                  <a:pt x="607161" y="427291"/>
                                </a:lnTo>
                                <a:lnTo>
                                  <a:pt x="437591" y="427291"/>
                                </a:lnTo>
                                <a:lnTo>
                                  <a:pt x="437591" y="329730"/>
                                </a:lnTo>
                                <a:lnTo>
                                  <a:pt x="593356" y="329730"/>
                                </a:lnTo>
                                <a:lnTo>
                                  <a:pt x="607136" y="427101"/>
                                </a:lnTo>
                                <a:lnTo>
                                  <a:pt x="607161" y="427291"/>
                                </a:lnTo>
                                <a:lnTo>
                                  <a:pt x="607161" y="285356"/>
                                </a:lnTo>
                                <a:lnTo>
                                  <a:pt x="597408" y="274548"/>
                                </a:lnTo>
                                <a:lnTo>
                                  <a:pt x="590257" y="270687"/>
                                </a:lnTo>
                                <a:lnTo>
                                  <a:pt x="590257" y="308051"/>
                                </a:lnTo>
                                <a:lnTo>
                                  <a:pt x="413283" y="308051"/>
                                </a:lnTo>
                                <a:lnTo>
                                  <a:pt x="413283" y="427291"/>
                                </a:lnTo>
                                <a:lnTo>
                                  <a:pt x="364655" y="427291"/>
                                </a:lnTo>
                                <a:lnTo>
                                  <a:pt x="364655" y="306959"/>
                                </a:lnTo>
                                <a:lnTo>
                                  <a:pt x="366572" y="298526"/>
                                </a:lnTo>
                                <a:lnTo>
                                  <a:pt x="371779" y="291630"/>
                                </a:lnTo>
                                <a:lnTo>
                                  <a:pt x="379501" y="286981"/>
                                </a:lnTo>
                                <a:lnTo>
                                  <a:pt x="388962" y="285280"/>
                                </a:lnTo>
                                <a:lnTo>
                                  <a:pt x="565226" y="285280"/>
                                </a:lnTo>
                                <a:lnTo>
                                  <a:pt x="590257" y="308051"/>
                                </a:lnTo>
                                <a:lnTo>
                                  <a:pt x="590257" y="270687"/>
                                </a:lnTo>
                                <a:lnTo>
                                  <a:pt x="582663" y="266585"/>
                                </a:lnTo>
                                <a:lnTo>
                                  <a:pt x="565226" y="263601"/>
                                </a:lnTo>
                                <a:lnTo>
                                  <a:pt x="388962" y="263601"/>
                                </a:lnTo>
                                <a:lnTo>
                                  <a:pt x="370065" y="267042"/>
                                </a:lnTo>
                                <a:lnTo>
                                  <a:pt x="354622" y="276339"/>
                                </a:lnTo>
                                <a:lnTo>
                                  <a:pt x="344208" y="290106"/>
                                </a:lnTo>
                                <a:lnTo>
                                  <a:pt x="340347" y="306959"/>
                                </a:lnTo>
                                <a:lnTo>
                                  <a:pt x="340347" y="427291"/>
                                </a:lnTo>
                                <a:lnTo>
                                  <a:pt x="72047" y="427291"/>
                                </a:lnTo>
                                <a:lnTo>
                                  <a:pt x="72123" y="427101"/>
                                </a:lnTo>
                                <a:lnTo>
                                  <a:pt x="516597" y="30695"/>
                                </a:lnTo>
                                <a:lnTo>
                                  <a:pt x="788593" y="273227"/>
                                </a:lnTo>
                                <a:lnTo>
                                  <a:pt x="727227" y="549656"/>
                                </a:lnTo>
                                <a:lnTo>
                                  <a:pt x="739127" y="551815"/>
                                </a:lnTo>
                                <a:lnTo>
                                  <a:pt x="784644" y="554443"/>
                                </a:lnTo>
                                <a:lnTo>
                                  <a:pt x="827849" y="546595"/>
                                </a:lnTo>
                                <a:lnTo>
                                  <a:pt x="860640" y="532117"/>
                                </a:lnTo>
                                <a:lnTo>
                                  <a:pt x="866825" y="529386"/>
                                </a:lnTo>
                                <a:lnTo>
                                  <a:pt x="899680" y="503961"/>
                                </a:lnTo>
                                <a:lnTo>
                                  <a:pt x="924496" y="471462"/>
                                </a:lnTo>
                                <a:lnTo>
                                  <a:pt x="939368" y="432993"/>
                                </a:lnTo>
                                <a:lnTo>
                                  <a:pt x="939469" y="432574"/>
                                </a:lnTo>
                                <a:lnTo>
                                  <a:pt x="941539" y="388327"/>
                                </a:lnTo>
                                <a:close/>
                              </a:path>
                            </a:pathLst>
                          </a:custGeom>
                          <a:solidFill>
                            <a:srgbClr val="BEC7E2"/>
                          </a:solidFill>
                        </wps:spPr>
                        <wps:bodyPr wrap="square" lIns="0" tIns="0" rIns="0" bIns="0" rtlCol="0">
                          <a:prstTxWarp prst="textNoShape">
                            <a:avLst/>
                          </a:prstTxWarp>
                        </wps:bodyPr>
                      </wps:wsp>
                      <wps:wsp>
                        <wps:cNvPr id="248" name="Graphic 248"/>
                        <wps:cNvSpPr/>
                        <wps:spPr>
                          <a:xfrm>
                            <a:off x="94843" y="67818"/>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91" y="0"/>
                                </a:lnTo>
                                <a:lnTo>
                                  <a:pt x="1123489" y="7377"/>
                                </a:lnTo>
                                <a:lnTo>
                                  <a:pt x="1153360" y="27495"/>
                                </a:lnTo>
                                <a:lnTo>
                                  <a:pt x="1173491" y="57328"/>
                                </a:lnTo>
                                <a:lnTo>
                                  <a:pt x="1180871" y="93852"/>
                                </a:lnTo>
                                <a:lnTo>
                                  <a:pt x="1180871" y="845438"/>
                                </a:lnTo>
                                <a:lnTo>
                                  <a:pt x="1173491" y="881983"/>
                                </a:lnTo>
                                <a:lnTo>
                                  <a:pt x="1153360" y="911860"/>
                                </a:lnTo>
                                <a:lnTo>
                                  <a:pt x="1123489" y="932021"/>
                                </a:lnTo>
                                <a:lnTo>
                                  <a:pt x="1086891" y="939419"/>
                                </a:lnTo>
                                <a:lnTo>
                                  <a:pt x="93941" y="939419"/>
                                </a:lnTo>
                                <a:lnTo>
                                  <a:pt x="57376" y="932021"/>
                                </a:lnTo>
                                <a:lnTo>
                                  <a:pt x="27516" y="911860"/>
                                </a:lnTo>
                                <a:lnTo>
                                  <a:pt x="7382" y="881983"/>
                                </a:lnTo>
                                <a:lnTo>
                                  <a:pt x="0" y="845438"/>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49" name="Textbox 249"/>
                        <wps:cNvSpPr txBox="1"/>
                        <wps:spPr>
                          <a:xfrm>
                            <a:off x="0" y="0"/>
                            <a:ext cx="5904230" cy="1174750"/>
                          </a:xfrm>
                          <a:prstGeom prst="rect">
                            <a:avLst/>
                          </a:prstGeom>
                        </wps:spPr>
                        <wps:txbx>
                          <w:txbxContent>
                            <w:p w14:paraId="4D81F51C" w14:textId="77777777" w:rsidR="008715BE" w:rsidRDefault="00000000">
                              <w:pPr>
                                <w:spacing w:before="41"/>
                                <w:ind w:left="2099"/>
                                <w:rPr>
                                  <w:b/>
                                  <w:sz w:val="18"/>
                                </w:rPr>
                              </w:pPr>
                              <w:r>
                                <w:rPr>
                                  <w:b/>
                                  <w:w w:val="135"/>
                                  <w:sz w:val="12"/>
                                </w:rPr>
                                <w:t xml:space="preserve">Nature </w:t>
                              </w:r>
                              <w:r>
                                <w:rPr>
                                  <w:b/>
                                  <w:spacing w:val="-2"/>
                                  <w:w w:val="135"/>
                                  <w:sz w:val="12"/>
                                </w:rPr>
                                <w:t>of the impact</w:t>
                              </w:r>
                            </w:p>
                            <w:p w14:paraId="0DA50765" w14:textId="77777777" w:rsidR="008715BE" w:rsidRDefault="00000000">
                              <w:pPr>
                                <w:numPr>
                                  <w:ilvl w:val="0"/>
                                  <w:numId w:val="80"/>
                                </w:numPr>
                                <w:tabs>
                                  <w:tab w:val="left" w:pos="2190"/>
                                  <w:tab w:val="left" w:pos="2258"/>
                                </w:tabs>
                                <w:spacing w:before="35" w:line="216" w:lineRule="auto"/>
                                <w:ind w:right="685" w:hanging="92"/>
                                <w:rPr>
                                  <w:sz w:val="18"/>
                                </w:rPr>
                              </w:pPr>
                              <w:r>
                                <w:rPr>
                                  <w:w w:val="125"/>
                                  <w:sz w:val="12"/>
                                </w:rPr>
                                <w:t>Direct - for the social and economic environment, the proposed interventions may lead to potential immediate changes for the population and the economic environment.</w:t>
                              </w:r>
                            </w:p>
                          </w:txbxContent>
                        </wps:txbx>
                        <wps:bodyPr wrap="square" lIns="0" tIns="0" rIns="0" bIns="0" rtlCol="0"/>
                      </wps:wsp>
                    </wpg:wgp>
                  </a:graphicData>
                </a:graphic>
              </wp:anchor>
            </w:drawing>
          </mc:Choice>
          <mc:Fallback>
            <w:pict>
              <v:group w14:anchorId="06C854D3" id="Group 245" o:spid="_x0000_s1114" style="position:absolute;margin-left:63.8pt;margin-top:7.8pt;width:464.9pt;height:92.5pt;z-index:-251556864;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">
                <v:shape id="Graphic 246" o:spid="_x0000_s1115"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" path="m5786755,l117424,,71719,9209,34394,34337,9228,71633,,117348r,939419l9228,1102500r25166,37340l71719,1165012r45705,9230l5786755,1174242r45733,-9230l5869828,1139840r25172,-37340l5904230,1056767r,-939419l5895000,71633,5869828,34337,5832488,9209,5786755,xe" fillcolor="#d9d9d9" stroked="f">
                  <v:path arrowok="t"/>
                </v:shape>
                <v:shape id="Graphic 247" o:spid="_x0000_s1116" style="position:absolute;left:2128;top:1338;width:9417;height:7855;visibility:visible;mso-wrap-style:square;v-text-anchor:top" coordsize="941705,7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" path="m151968,709117r-2388,-10541l143065,689965r-9652,-5816l121577,682028r-11824,2121l100088,689965r-6502,8611l91198,709117r2388,10553l100088,728281r9665,5817l121577,736219r11836,-2121l143065,728281r6515,-8611l151968,709117xem289725,709117r-2388,-10541l280835,689965r-9665,-5816l259346,682028r-11836,2121l237858,689965r-6515,8611l228955,709117r2388,10553l237858,728281r9652,5817l259346,736219r11824,-2121l280835,728281r6502,-8611l289725,709117xem427482,709117r-2388,-10541l418579,689965r-9652,-5816l397090,682028r-11823,2121l375602,689965r-6515,8611l366699,709117r2388,10553l375602,728281r9665,5817l397090,736219r11837,-2121l418579,728281r6515,-8611l427482,709117xem565251,709117r-2387,-10541l556348,689965r-9652,-5816l534860,682028r-11824,2121l513372,689965r-6515,8611l504469,709117r2388,10553l513372,728281r9664,5817l534860,736219r11836,-2121l556348,728281r6516,-8611l565251,709117xem656386,709117r-6693,-29528l632079,656272r,52845l627303,730211r-13030,17234l594956,759066r-23660,4254l85090,763320,61429,759066,42113,747445,29083,730211,24307,709117r4776,-21095l42113,670801,61429,659180r23661,-4254l571296,654926r23660,4254l614273,670801r13030,17221l632079,709117r,-52845l631469,655459r-902,-533l604418,639203r-33122,-5956l85090,633247r-33122,5956l24917,655459,6680,679589,,709117r6680,29540l24917,762774r27051,16269l85090,784999r486206,l604418,779043r26137,-15723l631469,762774r18224,-24117l656386,709117xem941539,388327l929779,346163,917067,326656r,61354l915619,427101r-20828,46418l858253,507809r-47790,20498l755891,532117,812050,279234r69291,37427l905243,349935r11824,38075l917067,326656,870546,279234,834263,262509r-32017,-7811l551027,30695,516597,,31140,432993,23088,579043r1931,8420l30226,594347r7721,4661l47409,600722r548195,l607771,599643r18034,-5817l639559,582752r2045,-3709l647750,567918r1270,-16103l649097,550862,634682,448970r-3061,-21679l625005,380492r,173291l624332,562216r-4014,7340l613587,575106r-8839,3023l47409,579043r,-130073l610196,448970r14809,104813l625005,380492r-7176,-50762l613841,301548r-5448,-14567l608330,286804r-115,-280l607161,285356r,141935l437591,427291r,-97561l593356,329730r13780,97371l607161,427291r,-141935l597408,274548r-7151,-3861l590257,308051r-176974,l413283,427291r-48628,l364655,306959r1917,-8433l371779,291630r7722,-4649l388962,285280r176264,l590257,308051r,-37364l582663,266585r-17437,-2984l388962,263601r-18897,3441l354622,276339r-10414,13767l340347,306959r,120332l72047,427291r76,-190l516597,30695,788593,273227,727227,549656r11900,2159l784644,554443r43205,-7848l860640,532117r6185,-2731l899680,503961r24816,-32499l939368,432993r101,-419l941539,388327xe" fillcolor="#bec7e2" stroked="f">
                  <v:path arrowok="t"/>
                </v:shape>
                <v:shape id="Graphic 248" o:spid="_x0000_s1117" style="position:absolute;left:948;top:678;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" path="m,93852l7382,57328,27516,27495,57376,7377,93941,r992950,l1123489,7377r29871,20118l1173491,57328r7380,36524l1180871,845438r-7380,36545l1153360,911860r-29871,20161l1086891,939419r-992950,l57376,932021,27516,911860,7382,881983,,845438,,93852xe" filled="f" strokecolor="white" strokeweight="1pt">
                  <v:path arrowok="t"/>
                </v:shape>
                <v:shape id="Textbox 249" o:spid="_x0000_s1118"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4D81F51C" w14:textId="77777777" w:rsidR="008715BE" w:rsidRDefault="00000000">
                        <w:pPr>
                          <w:spacing w:before="41"/>
                          <w:ind w:left="2099"/>
                          <w:rPr>
                            <w:b/>
                            <w:sz w:val="18"/>
                          </w:rPr>
                        </w:pPr>
                        <w:r>
                          <w:rPr>
                            <w:b/>
                            <w:w w:val="135"/>
                            <w:sz w:val="12"/>
                          </w:rPr>
                          <w:t xml:space="preserve">Nature </w:t>
                        </w:r>
                        <w:r>
                          <w:rPr>
                            <w:b/>
                            <w:spacing w:val="-2"/>
                            <w:w w:val="135"/>
                            <w:sz w:val="12"/>
                          </w:rPr>
                          <w:t>of the impact</w:t>
                        </w:r>
                      </w:p>
                      <w:p w14:paraId="0DA50765" w14:textId="77777777" w:rsidR="008715BE" w:rsidRDefault="00000000">
                        <w:pPr>
                          <w:numPr>
                            <w:ilvl w:val="0"/>
                            <w:numId w:val="80"/>
                          </w:numPr>
                          <w:tabs>
                            <w:tab w:val="left" w:pos="2190"/>
                            <w:tab w:val="left" w:pos="2258"/>
                          </w:tabs>
                          <w:spacing w:before="35" w:line="216" w:lineRule="auto"/>
                          <w:ind w:right="685" w:hanging="92"/>
                          <w:rPr>
                            <w:sz w:val="18"/>
                          </w:rPr>
                        </w:pPr>
                        <w:r>
                          <w:rPr>
                            <w:w w:val="125"/>
                            <w:sz w:val="12"/>
                          </w:rPr>
                          <w:t>Direct - for the social and economic environment, the proposed interventions may lead to potential immediate changes for the population and the economic environment.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61664" behindDoc="1" locked="0" layoutInCell="1" allowOverlap="1" wp14:anchorId="725AF088" wp14:editId="25CA785C">
                <wp:simplePos x="0" y="0"/>
                <wp:positionH relativeFrom="page">
                  <wp:posOffset>810259</wp:posOffset>
                </wp:positionH>
                <wp:positionV relativeFrom="paragraph">
                  <wp:posOffset>1390522</wp:posOffset>
                </wp:positionV>
                <wp:extent cx="5904230" cy="1174750"/>
                <wp:effectExtent l="0" t="0" r="0" b="0"/>
                <wp:wrapTopAndBottom/>
                <wp:docPr id="250" name="Group 250"/>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51" name="Graphic 251"/>
                        <wps:cNvSpPr/>
                        <wps:spPr>
                          <a:xfrm>
                            <a:off x="0" y="0"/>
                            <a:ext cx="5904230" cy="1174750"/>
                          </a:xfrm>
                          <a:custGeom>
                            <a:avLst/>
                            <a:gdLst/>
                            <a:ahLst/>
                            <a:cxnLst/>
                            <a:rect l="l" t="t" r="r" b="b"/>
                            <a:pathLst>
                              <a:path w="5904230" h="1174750">
                                <a:moveTo>
                                  <a:pt x="5786755" y="0"/>
                                </a:moveTo>
                                <a:lnTo>
                                  <a:pt x="117424" y="0"/>
                                </a:lnTo>
                                <a:lnTo>
                                  <a:pt x="71719" y="9229"/>
                                </a:lnTo>
                                <a:lnTo>
                                  <a:pt x="34394" y="34401"/>
                                </a:lnTo>
                                <a:lnTo>
                                  <a:pt x="9228" y="71741"/>
                                </a:lnTo>
                                <a:lnTo>
                                  <a:pt x="0" y="117475"/>
                                </a:lnTo>
                                <a:lnTo>
                                  <a:pt x="0" y="1056893"/>
                                </a:lnTo>
                                <a:lnTo>
                                  <a:pt x="9228" y="1102554"/>
                                </a:lnTo>
                                <a:lnTo>
                                  <a:pt x="34394" y="1139856"/>
                                </a:lnTo>
                                <a:lnTo>
                                  <a:pt x="71719" y="1165014"/>
                                </a:lnTo>
                                <a:lnTo>
                                  <a:pt x="117424" y="1174241"/>
                                </a:lnTo>
                                <a:lnTo>
                                  <a:pt x="5786755" y="1174241"/>
                                </a:lnTo>
                                <a:lnTo>
                                  <a:pt x="5832488" y="1165014"/>
                                </a:lnTo>
                                <a:lnTo>
                                  <a:pt x="5869828" y="1139856"/>
                                </a:lnTo>
                                <a:lnTo>
                                  <a:pt x="5895000" y="1102554"/>
                                </a:lnTo>
                                <a:lnTo>
                                  <a:pt x="5904230" y="1056893"/>
                                </a:lnTo>
                                <a:lnTo>
                                  <a:pt x="5904230" y="117475"/>
                                </a:lnTo>
                                <a:lnTo>
                                  <a:pt x="5895000" y="71741"/>
                                </a:lnTo>
                                <a:lnTo>
                                  <a:pt x="5869828" y="34401"/>
                                </a:lnTo>
                                <a:lnTo>
                                  <a:pt x="5832488" y="9229"/>
                                </a:lnTo>
                                <a:lnTo>
                                  <a:pt x="5786755" y="0"/>
                                </a:lnTo>
                                <a:close/>
                              </a:path>
                            </a:pathLst>
                          </a:custGeom>
                          <a:solidFill>
                            <a:srgbClr val="BCD6ED"/>
                          </a:solidFill>
                        </wps:spPr>
                        <wps:bodyPr wrap="square" lIns="0" tIns="0" rIns="0" bIns="0" rtlCol="0">
                          <a:prstTxWarp prst="textNoShape">
                            <a:avLst/>
                          </a:prstTxWarp>
                        </wps:bodyPr>
                      </wps:wsp>
                      <wps:wsp>
                        <wps:cNvPr id="252" name="Graphic 252"/>
                        <wps:cNvSpPr/>
                        <wps:spPr>
                          <a:xfrm>
                            <a:off x="227660" y="223316"/>
                            <a:ext cx="899794" cy="672465"/>
                          </a:xfrm>
                          <a:custGeom>
                            <a:avLst/>
                            <a:gdLst/>
                            <a:ahLst/>
                            <a:cxnLst/>
                            <a:rect l="l" t="t" r="r" b="b"/>
                            <a:pathLst>
                              <a:path w="899794" h="672465">
                                <a:moveTo>
                                  <a:pt x="133718" y="498817"/>
                                </a:moveTo>
                                <a:lnTo>
                                  <a:pt x="85102" y="498817"/>
                                </a:lnTo>
                                <a:lnTo>
                                  <a:pt x="85102" y="542188"/>
                                </a:lnTo>
                                <a:lnTo>
                                  <a:pt x="133718" y="542188"/>
                                </a:lnTo>
                                <a:lnTo>
                                  <a:pt x="133718" y="498817"/>
                                </a:lnTo>
                                <a:close/>
                              </a:path>
                              <a:path w="899794" h="672465">
                                <a:moveTo>
                                  <a:pt x="133718" y="411911"/>
                                </a:moveTo>
                                <a:lnTo>
                                  <a:pt x="85102" y="411911"/>
                                </a:lnTo>
                                <a:lnTo>
                                  <a:pt x="85102" y="455282"/>
                                </a:lnTo>
                                <a:lnTo>
                                  <a:pt x="133718" y="455282"/>
                                </a:lnTo>
                                <a:lnTo>
                                  <a:pt x="133718" y="411911"/>
                                </a:lnTo>
                                <a:close/>
                              </a:path>
                              <a:path w="899794" h="672465">
                                <a:moveTo>
                                  <a:pt x="133718" y="325196"/>
                                </a:moveTo>
                                <a:lnTo>
                                  <a:pt x="85102" y="325196"/>
                                </a:lnTo>
                                <a:lnTo>
                                  <a:pt x="85102" y="368566"/>
                                </a:lnTo>
                                <a:lnTo>
                                  <a:pt x="133718" y="368566"/>
                                </a:lnTo>
                                <a:lnTo>
                                  <a:pt x="133718" y="325196"/>
                                </a:lnTo>
                                <a:close/>
                              </a:path>
                              <a:path w="899794" h="672465">
                                <a:moveTo>
                                  <a:pt x="230962" y="498817"/>
                                </a:moveTo>
                                <a:lnTo>
                                  <a:pt x="182346" y="498817"/>
                                </a:lnTo>
                                <a:lnTo>
                                  <a:pt x="182346" y="542188"/>
                                </a:lnTo>
                                <a:lnTo>
                                  <a:pt x="230962" y="542188"/>
                                </a:lnTo>
                                <a:lnTo>
                                  <a:pt x="230962" y="498817"/>
                                </a:lnTo>
                                <a:close/>
                              </a:path>
                              <a:path w="899794" h="672465">
                                <a:moveTo>
                                  <a:pt x="230962" y="411911"/>
                                </a:moveTo>
                                <a:lnTo>
                                  <a:pt x="182346" y="411911"/>
                                </a:lnTo>
                                <a:lnTo>
                                  <a:pt x="182346" y="455282"/>
                                </a:lnTo>
                                <a:lnTo>
                                  <a:pt x="230962" y="455282"/>
                                </a:lnTo>
                                <a:lnTo>
                                  <a:pt x="230962" y="411911"/>
                                </a:lnTo>
                                <a:close/>
                              </a:path>
                              <a:path w="899794" h="672465">
                                <a:moveTo>
                                  <a:pt x="230962" y="325196"/>
                                </a:moveTo>
                                <a:lnTo>
                                  <a:pt x="182346" y="325196"/>
                                </a:lnTo>
                                <a:lnTo>
                                  <a:pt x="182346" y="368566"/>
                                </a:lnTo>
                                <a:lnTo>
                                  <a:pt x="230962" y="368566"/>
                                </a:lnTo>
                                <a:lnTo>
                                  <a:pt x="230962" y="325196"/>
                                </a:lnTo>
                                <a:close/>
                              </a:path>
                              <a:path w="899794" h="672465">
                                <a:moveTo>
                                  <a:pt x="267423" y="162788"/>
                                </a:moveTo>
                                <a:lnTo>
                                  <a:pt x="218795" y="162788"/>
                                </a:lnTo>
                                <a:lnTo>
                                  <a:pt x="218795" y="206159"/>
                                </a:lnTo>
                                <a:lnTo>
                                  <a:pt x="267423" y="206159"/>
                                </a:lnTo>
                                <a:lnTo>
                                  <a:pt x="267423" y="162788"/>
                                </a:lnTo>
                                <a:close/>
                              </a:path>
                              <a:path w="899794" h="672465">
                                <a:moveTo>
                                  <a:pt x="267423" y="75882"/>
                                </a:moveTo>
                                <a:lnTo>
                                  <a:pt x="218795" y="75882"/>
                                </a:lnTo>
                                <a:lnTo>
                                  <a:pt x="218795" y="119253"/>
                                </a:lnTo>
                                <a:lnTo>
                                  <a:pt x="267423" y="119253"/>
                                </a:lnTo>
                                <a:lnTo>
                                  <a:pt x="267423" y="75882"/>
                                </a:lnTo>
                                <a:close/>
                              </a:path>
                              <a:path w="899794" h="672465">
                                <a:moveTo>
                                  <a:pt x="364655" y="162788"/>
                                </a:moveTo>
                                <a:lnTo>
                                  <a:pt x="316039" y="162788"/>
                                </a:lnTo>
                                <a:lnTo>
                                  <a:pt x="316039" y="206159"/>
                                </a:lnTo>
                                <a:lnTo>
                                  <a:pt x="364655" y="206159"/>
                                </a:lnTo>
                                <a:lnTo>
                                  <a:pt x="364655" y="162788"/>
                                </a:lnTo>
                                <a:close/>
                              </a:path>
                              <a:path w="899794" h="672465">
                                <a:moveTo>
                                  <a:pt x="364655" y="75882"/>
                                </a:moveTo>
                                <a:lnTo>
                                  <a:pt x="316039" y="75882"/>
                                </a:lnTo>
                                <a:lnTo>
                                  <a:pt x="316039" y="119253"/>
                                </a:lnTo>
                                <a:lnTo>
                                  <a:pt x="364655" y="119253"/>
                                </a:lnTo>
                                <a:lnTo>
                                  <a:pt x="364655" y="75882"/>
                                </a:lnTo>
                                <a:close/>
                              </a:path>
                              <a:path w="899794" h="672465">
                                <a:moveTo>
                                  <a:pt x="425437" y="498817"/>
                                </a:moveTo>
                                <a:lnTo>
                                  <a:pt x="376821" y="498817"/>
                                </a:lnTo>
                                <a:lnTo>
                                  <a:pt x="376821" y="542188"/>
                                </a:lnTo>
                                <a:lnTo>
                                  <a:pt x="425437" y="542188"/>
                                </a:lnTo>
                                <a:lnTo>
                                  <a:pt x="425437" y="498817"/>
                                </a:lnTo>
                                <a:close/>
                              </a:path>
                              <a:path w="899794" h="672465">
                                <a:moveTo>
                                  <a:pt x="425437" y="411911"/>
                                </a:moveTo>
                                <a:lnTo>
                                  <a:pt x="376821" y="411911"/>
                                </a:lnTo>
                                <a:lnTo>
                                  <a:pt x="376821" y="455282"/>
                                </a:lnTo>
                                <a:lnTo>
                                  <a:pt x="425437" y="455282"/>
                                </a:lnTo>
                                <a:lnTo>
                                  <a:pt x="425437" y="411911"/>
                                </a:lnTo>
                                <a:close/>
                              </a:path>
                              <a:path w="899794" h="672465">
                                <a:moveTo>
                                  <a:pt x="522681" y="498817"/>
                                </a:moveTo>
                                <a:lnTo>
                                  <a:pt x="474065" y="498817"/>
                                </a:lnTo>
                                <a:lnTo>
                                  <a:pt x="474065" y="542188"/>
                                </a:lnTo>
                                <a:lnTo>
                                  <a:pt x="522681" y="542188"/>
                                </a:lnTo>
                                <a:lnTo>
                                  <a:pt x="522681" y="498817"/>
                                </a:lnTo>
                                <a:close/>
                              </a:path>
                              <a:path w="899794" h="672465">
                                <a:moveTo>
                                  <a:pt x="522681" y="411911"/>
                                </a:moveTo>
                                <a:lnTo>
                                  <a:pt x="474065" y="411911"/>
                                </a:lnTo>
                                <a:lnTo>
                                  <a:pt x="474065" y="455282"/>
                                </a:lnTo>
                                <a:lnTo>
                                  <a:pt x="522681" y="455282"/>
                                </a:lnTo>
                                <a:lnTo>
                                  <a:pt x="522681" y="411911"/>
                                </a:lnTo>
                                <a:close/>
                              </a:path>
                              <a:path w="899794" h="672465">
                                <a:moveTo>
                                  <a:pt x="717169" y="498817"/>
                                </a:moveTo>
                                <a:lnTo>
                                  <a:pt x="668540" y="498817"/>
                                </a:lnTo>
                                <a:lnTo>
                                  <a:pt x="668540" y="542188"/>
                                </a:lnTo>
                                <a:lnTo>
                                  <a:pt x="717169" y="542188"/>
                                </a:lnTo>
                                <a:lnTo>
                                  <a:pt x="717169" y="498817"/>
                                </a:lnTo>
                                <a:close/>
                              </a:path>
                              <a:path w="899794" h="672465">
                                <a:moveTo>
                                  <a:pt x="717169" y="411911"/>
                                </a:moveTo>
                                <a:lnTo>
                                  <a:pt x="668540" y="411911"/>
                                </a:lnTo>
                                <a:lnTo>
                                  <a:pt x="668540" y="455282"/>
                                </a:lnTo>
                                <a:lnTo>
                                  <a:pt x="717169" y="455282"/>
                                </a:lnTo>
                                <a:lnTo>
                                  <a:pt x="717169" y="411911"/>
                                </a:lnTo>
                                <a:close/>
                              </a:path>
                              <a:path w="899794" h="672465">
                                <a:moveTo>
                                  <a:pt x="717169" y="325196"/>
                                </a:moveTo>
                                <a:lnTo>
                                  <a:pt x="668540" y="325196"/>
                                </a:lnTo>
                                <a:lnTo>
                                  <a:pt x="668540" y="368566"/>
                                </a:lnTo>
                                <a:lnTo>
                                  <a:pt x="717169" y="368566"/>
                                </a:lnTo>
                                <a:lnTo>
                                  <a:pt x="717169" y="325196"/>
                                </a:lnTo>
                                <a:close/>
                              </a:path>
                              <a:path w="899794" h="672465">
                                <a:moveTo>
                                  <a:pt x="717169" y="238671"/>
                                </a:moveTo>
                                <a:lnTo>
                                  <a:pt x="668540" y="238671"/>
                                </a:lnTo>
                                <a:lnTo>
                                  <a:pt x="668540" y="282041"/>
                                </a:lnTo>
                                <a:lnTo>
                                  <a:pt x="717169" y="282041"/>
                                </a:lnTo>
                                <a:lnTo>
                                  <a:pt x="717169" y="238671"/>
                                </a:lnTo>
                                <a:close/>
                              </a:path>
                              <a:path w="899794" h="672465">
                                <a:moveTo>
                                  <a:pt x="717169" y="151752"/>
                                </a:moveTo>
                                <a:lnTo>
                                  <a:pt x="668540" y="151752"/>
                                </a:lnTo>
                                <a:lnTo>
                                  <a:pt x="668540" y="195122"/>
                                </a:lnTo>
                                <a:lnTo>
                                  <a:pt x="717169" y="195122"/>
                                </a:lnTo>
                                <a:lnTo>
                                  <a:pt x="717169" y="151752"/>
                                </a:lnTo>
                                <a:close/>
                              </a:path>
                              <a:path w="899794" h="672465">
                                <a:moveTo>
                                  <a:pt x="814412" y="498817"/>
                                </a:moveTo>
                                <a:lnTo>
                                  <a:pt x="765784" y="498817"/>
                                </a:lnTo>
                                <a:lnTo>
                                  <a:pt x="765784" y="542188"/>
                                </a:lnTo>
                                <a:lnTo>
                                  <a:pt x="814412" y="542188"/>
                                </a:lnTo>
                                <a:lnTo>
                                  <a:pt x="814412" y="498817"/>
                                </a:lnTo>
                                <a:close/>
                              </a:path>
                              <a:path w="899794" h="672465">
                                <a:moveTo>
                                  <a:pt x="814412" y="411911"/>
                                </a:moveTo>
                                <a:lnTo>
                                  <a:pt x="765784" y="411911"/>
                                </a:lnTo>
                                <a:lnTo>
                                  <a:pt x="765784" y="455282"/>
                                </a:lnTo>
                                <a:lnTo>
                                  <a:pt x="814412" y="455282"/>
                                </a:lnTo>
                                <a:lnTo>
                                  <a:pt x="814412" y="411911"/>
                                </a:lnTo>
                                <a:close/>
                              </a:path>
                              <a:path w="899794" h="672465">
                                <a:moveTo>
                                  <a:pt x="814412" y="325196"/>
                                </a:moveTo>
                                <a:lnTo>
                                  <a:pt x="765784" y="325196"/>
                                </a:lnTo>
                                <a:lnTo>
                                  <a:pt x="765784" y="368566"/>
                                </a:lnTo>
                                <a:lnTo>
                                  <a:pt x="814412" y="368566"/>
                                </a:lnTo>
                                <a:lnTo>
                                  <a:pt x="814412" y="325196"/>
                                </a:lnTo>
                                <a:close/>
                              </a:path>
                              <a:path w="899794" h="672465">
                                <a:moveTo>
                                  <a:pt x="814412" y="238671"/>
                                </a:moveTo>
                                <a:lnTo>
                                  <a:pt x="765784" y="238671"/>
                                </a:lnTo>
                                <a:lnTo>
                                  <a:pt x="765784" y="282041"/>
                                </a:lnTo>
                                <a:lnTo>
                                  <a:pt x="814412" y="282041"/>
                                </a:lnTo>
                                <a:lnTo>
                                  <a:pt x="814412" y="238671"/>
                                </a:lnTo>
                                <a:close/>
                              </a:path>
                              <a:path w="899794" h="672465">
                                <a:moveTo>
                                  <a:pt x="814412" y="151752"/>
                                </a:moveTo>
                                <a:lnTo>
                                  <a:pt x="765784" y="151752"/>
                                </a:lnTo>
                                <a:lnTo>
                                  <a:pt x="765784" y="195122"/>
                                </a:lnTo>
                                <a:lnTo>
                                  <a:pt x="814412" y="195122"/>
                                </a:lnTo>
                                <a:lnTo>
                                  <a:pt x="814412" y="151752"/>
                                </a:lnTo>
                                <a:close/>
                              </a:path>
                              <a:path w="899794" h="672465">
                                <a:moveTo>
                                  <a:pt x="899464" y="87985"/>
                                </a:moveTo>
                                <a:lnTo>
                                  <a:pt x="875157" y="85280"/>
                                </a:lnTo>
                                <a:lnTo>
                                  <a:pt x="875157" y="107124"/>
                                </a:lnTo>
                                <a:lnTo>
                                  <a:pt x="875157" y="650392"/>
                                </a:lnTo>
                                <a:lnTo>
                                  <a:pt x="765784" y="650392"/>
                                </a:lnTo>
                                <a:lnTo>
                                  <a:pt x="765784" y="585355"/>
                                </a:lnTo>
                                <a:lnTo>
                                  <a:pt x="717169" y="585355"/>
                                </a:lnTo>
                                <a:lnTo>
                                  <a:pt x="717169" y="650392"/>
                                </a:lnTo>
                                <a:lnTo>
                                  <a:pt x="607771" y="650392"/>
                                </a:lnTo>
                                <a:lnTo>
                                  <a:pt x="607771" y="357720"/>
                                </a:lnTo>
                                <a:lnTo>
                                  <a:pt x="607771" y="336042"/>
                                </a:lnTo>
                                <a:lnTo>
                                  <a:pt x="607771" y="77317"/>
                                </a:lnTo>
                                <a:lnTo>
                                  <a:pt x="875157" y="107124"/>
                                </a:lnTo>
                                <a:lnTo>
                                  <a:pt x="875157" y="85280"/>
                                </a:lnTo>
                                <a:lnTo>
                                  <a:pt x="803770" y="77317"/>
                                </a:lnTo>
                                <a:lnTo>
                                  <a:pt x="583463" y="52755"/>
                                </a:lnTo>
                                <a:lnTo>
                                  <a:pt x="583463" y="336042"/>
                                </a:lnTo>
                                <a:lnTo>
                                  <a:pt x="583463" y="357720"/>
                                </a:lnTo>
                                <a:lnTo>
                                  <a:pt x="583463" y="650392"/>
                                </a:lnTo>
                                <a:lnTo>
                                  <a:pt x="474065" y="650392"/>
                                </a:lnTo>
                                <a:lnTo>
                                  <a:pt x="474065" y="585355"/>
                                </a:lnTo>
                                <a:lnTo>
                                  <a:pt x="425437" y="585355"/>
                                </a:lnTo>
                                <a:lnTo>
                                  <a:pt x="425437" y="650392"/>
                                </a:lnTo>
                                <a:lnTo>
                                  <a:pt x="316039" y="650392"/>
                                </a:lnTo>
                                <a:lnTo>
                                  <a:pt x="316039" y="357720"/>
                                </a:lnTo>
                                <a:lnTo>
                                  <a:pt x="583463" y="357720"/>
                                </a:lnTo>
                                <a:lnTo>
                                  <a:pt x="583463" y="336042"/>
                                </a:lnTo>
                                <a:lnTo>
                                  <a:pt x="449745" y="336042"/>
                                </a:lnTo>
                                <a:lnTo>
                                  <a:pt x="449745" y="21678"/>
                                </a:lnTo>
                                <a:lnTo>
                                  <a:pt x="449745" y="0"/>
                                </a:lnTo>
                                <a:lnTo>
                                  <a:pt x="425437" y="0"/>
                                </a:lnTo>
                                <a:lnTo>
                                  <a:pt x="425437" y="21678"/>
                                </a:lnTo>
                                <a:lnTo>
                                  <a:pt x="425437" y="336042"/>
                                </a:lnTo>
                                <a:lnTo>
                                  <a:pt x="316039" y="336042"/>
                                </a:lnTo>
                                <a:lnTo>
                                  <a:pt x="316039" y="270992"/>
                                </a:lnTo>
                                <a:lnTo>
                                  <a:pt x="316039" y="249313"/>
                                </a:lnTo>
                                <a:lnTo>
                                  <a:pt x="291731" y="249313"/>
                                </a:lnTo>
                                <a:lnTo>
                                  <a:pt x="291731" y="270992"/>
                                </a:lnTo>
                                <a:lnTo>
                                  <a:pt x="291731" y="650392"/>
                                </a:lnTo>
                                <a:lnTo>
                                  <a:pt x="182333" y="650392"/>
                                </a:lnTo>
                                <a:lnTo>
                                  <a:pt x="182333" y="585355"/>
                                </a:lnTo>
                                <a:lnTo>
                                  <a:pt x="133705" y="585355"/>
                                </a:lnTo>
                                <a:lnTo>
                                  <a:pt x="133705" y="650392"/>
                                </a:lnTo>
                                <a:lnTo>
                                  <a:pt x="24307" y="650392"/>
                                </a:lnTo>
                                <a:lnTo>
                                  <a:pt x="24307" y="270992"/>
                                </a:lnTo>
                                <a:lnTo>
                                  <a:pt x="291731" y="270992"/>
                                </a:lnTo>
                                <a:lnTo>
                                  <a:pt x="291731" y="249313"/>
                                </a:lnTo>
                                <a:lnTo>
                                  <a:pt x="158026" y="249313"/>
                                </a:lnTo>
                                <a:lnTo>
                                  <a:pt x="158026" y="21678"/>
                                </a:lnTo>
                                <a:lnTo>
                                  <a:pt x="425437" y="21678"/>
                                </a:lnTo>
                                <a:lnTo>
                                  <a:pt x="425437" y="0"/>
                                </a:lnTo>
                                <a:lnTo>
                                  <a:pt x="133705" y="0"/>
                                </a:lnTo>
                                <a:lnTo>
                                  <a:pt x="133705" y="249313"/>
                                </a:lnTo>
                                <a:lnTo>
                                  <a:pt x="0" y="249313"/>
                                </a:lnTo>
                                <a:lnTo>
                                  <a:pt x="0" y="672071"/>
                                </a:lnTo>
                                <a:lnTo>
                                  <a:pt x="899464" y="672071"/>
                                </a:lnTo>
                                <a:lnTo>
                                  <a:pt x="899464" y="650392"/>
                                </a:lnTo>
                                <a:lnTo>
                                  <a:pt x="899464" y="87985"/>
                                </a:lnTo>
                                <a:close/>
                              </a:path>
                            </a:pathLst>
                          </a:custGeom>
                          <a:solidFill>
                            <a:srgbClr val="BCC5E2"/>
                          </a:solidFill>
                        </wps:spPr>
                        <wps:bodyPr wrap="square" lIns="0" tIns="0" rIns="0" bIns="0" rtlCol="0">
                          <a:prstTxWarp prst="textNoShape">
                            <a:avLst/>
                          </a:prstTxWarp>
                        </wps:bodyPr>
                      </wps:wsp>
                      <wps:wsp>
                        <wps:cNvPr id="253" name="Graphic 253"/>
                        <wps:cNvSpPr/>
                        <wps:spPr>
                          <a:xfrm>
                            <a:off x="85318" y="87756"/>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91" y="0"/>
                                </a:lnTo>
                                <a:lnTo>
                                  <a:pt x="1123489" y="7377"/>
                                </a:lnTo>
                                <a:lnTo>
                                  <a:pt x="1153360" y="27495"/>
                                </a:lnTo>
                                <a:lnTo>
                                  <a:pt x="1173491" y="57328"/>
                                </a:lnTo>
                                <a:lnTo>
                                  <a:pt x="1180871" y="93852"/>
                                </a:lnTo>
                                <a:lnTo>
                                  <a:pt x="1180871" y="845438"/>
                                </a:lnTo>
                                <a:lnTo>
                                  <a:pt x="1173491" y="881963"/>
                                </a:lnTo>
                                <a:lnTo>
                                  <a:pt x="1153360" y="911796"/>
                                </a:lnTo>
                                <a:lnTo>
                                  <a:pt x="1123489" y="931914"/>
                                </a:lnTo>
                                <a:lnTo>
                                  <a:pt x="1086891" y="939291"/>
                                </a:lnTo>
                                <a:lnTo>
                                  <a:pt x="93941" y="939291"/>
                                </a:lnTo>
                                <a:lnTo>
                                  <a:pt x="57376" y="931914"/>
                                </a:lnTo>
                                <a:lnTo>
                                  <a:pt x="27516" y="911796"/>
                                </a:lnTo>
                                <a:lnTo>
                                  <a:pt x="7382" y="881963"/>
                                </a:lnTo>
                                <a:lnTo>
                                  <a:pt x="0" y="845438"/>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54" name="Textbox 254"/>
                        <wps:cNvSpPr txBox="1"/>
                        <wps:spPr>
                          <a:xfrm>
                            <a:off x="0" y="0"/>
                            <a:ext cx="5904230" cy="1174750"/>
                          </a:xfrm>
                          <a:prstGeom prst="rect">
                            <a:avLst/>
                          </a:prstGeom>
                        </wps:spPr>
                        <wps:txbx>
                          <w:txbxContent>
                            <w:p w14:paraId="5CA2F56E" w14:textId="77777777" w:rsidR="008715BE" w:rsidRDefault="008715BE">
                              <w:pPr>
                                <w:spacing w:before="139"/>
                                <w:rPr>
                                  <w:sz w:val="18"/>
                                </w:rPr>
                              </w:pPr>
                            </w:p>
                            <w:p w14:paraId="72AE5573" w14:textId="77777777" w:rsidR="008715BE" w:rsidRDefault="00000000">
                              <w:pPr>
                                <w:spacing w:before="1"/>
                                <w:ind w:left="2099"/>
                                <w:rPr>
                                  <w:b/>
                                  <w:sz w:val="18"/>
                                </w:rPr>
                              </w:pPr>
                              <w:r>
                                <w:rPr>
                                  <w:b/>
                                  <w:w w:val="135"/>
                                  <w:sz w:val="12"/>
                                </w:rPr>
                                <w:t xml:space="preserve">Extension </w:t>
                              </w:r>
                              <w:r>
                                <w:rPr>
                                  <w:b/>
                                  <w:spacing w:val="-2"/>
                                  <w:w w:val="135"/>
                                  <w:sz w:val="12"/>
                                </w:rPr>
                                <w:t>of the impact</w:t>
                              </w:r>
                            </w:p>
                            <w:p w14:paraId="25110A79" w14:textId="77777777" w:rsidR="008715BE" w:rsidRDefault="00000000">
                              <w:pPr>
                                <w:numPr>
                                  <w:ilvl w:val="0"/>
                                  <w:numId w:val="79"/>
                                </w:numPr>
                                <w:tabs>
                                  <w:tab w:val="left" w:pos="2271"/>
                                </w:tabs>
                                <w:spacing w:before="18"/>
                                <w:ind w:left="2271" w:hanging="172"/>
                                <w:rPr>
                                  <w:sz w:val="18"/>
                                </w:rPr>
                              </w:pPr>
                              <w:r>
                                <w:rPr>
                                  <w:w w:val="120"/>
                                  <w:sz w:val="12"/>
                                </w:rPr>
                                <w:t xml:space="preserve">Local: for specific works at the level of </w:t>
                              </w:r>
                              <w:r>
                                <w:rPr>
                                  <w:spacing w:val="-5"/>
                                  <w:w w:val="120"/>
                                  <w:sz w:val="12"/>
                                </w:rPr>
                                <w:t>the local administrative unit</w:t>
                              </w:r>
                            </w:p>
                            <w:p w14:paraId="19CB9ACD" w14:textId="77777777" w:rsidR="008715BE" w:rsidRDefault="00000000">
                              <w:pPr>
                                <w:numPr>
                                  <w:ilvl w:val="0"/>
                                  <w:numId w:val="79"/>
                                </w:numPr>
                                <w:tabs>
                                  <w:tab w:val="left" w:pos="2271"/>
                                </w:tabs>
                                <w:spacing w:before="35" w:line="216" w:lineRule="auto"/>
                                <w:ind w:right="218" w:firstLine="0"/>
                                <w:rPr>
                                  <w:sz w:val="18"/>
                                </w:rPr>
                              </w:pPr>
                              <w:r>
                                <w:rPr>
                                  <w:w w:val="120"/>
                                  <w:sz w:val="12"/>
                                </w:rPr>
                                <w:t xml:space="preserve">Regional: for linear works that can be carried out across several </w:t>
                              </w:r>
                              <w:r>
                                <w:rPr>
                                  <w:spacing w:val="-4"/>
                                  <w:w w:val="120"/>
                                  <w:sz w:val="12"/>
                                </w:rPr>
                                <w:t>local administrative units.</w:t>
                              </w:r>
                            </w:p>
                          </w:txbxContent>
                        </wps:txbx>
                        <wps:bodyPr wrap="square" lIns="0" tIns="0" rIns="0" bIns="0" rtlCol="0"/>
                      </wps:wsp>
                    </wpg:wgp>
                  </a:graphicData>
                </a:graphic>
              </wp:anchor>
            </w:drawing>
          </mc:Choice>
          <mc:Fallback>
            <w:pict>
              <v:group w14:anchorId="725AF088" id="Group 250" o:spid="_x0000_s1119" style="position:absolute;margin-left:63.8pt;margin-top:109.5pt;width:464.9pt;height:92.5pt;z-index:-251554816;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">
                <v:shape id="Graphic 251" o:spid="_x0000_s1120"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" path="m5786755,l117424,,71719,9229,34394,34401,9228,71741,,117475r,939418l9228,1102554r25166,37302l71719,1165014r45705,9227l5786755,1174241r45733,-9227l5869828,1139856r25172,-37302l5904230,1056893r,-939418l5895000,71741,5869828,34401,5832488,9229,5786755,xe" fillcolor="#bcd6ed" stroked="f">
                  <v:path arrowok="t"/>
                </v:shape>
                <v:shape id="Graphic 252" o:spid="_x0000_s1121" style="position:absolute;left:2276;top:2233;width:8998;height:6724;visibility:visible;mso-wrap-style:square;v-text-anchor:top" coordsize="899794,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" path="m133718,498817r-48616,l85102,542188r48616,l133718,498817xem133718,411911r-48616,l85102,455282r48616,l133718,411911xem133718,325196r-48616,l85102,368566r48616,l133718,325196xem230962,498817r-48616,l182346,542188r48616,l230962,498817xem230962,411911r-48616,l182346,455282r48616,l230962,411911xem230962,325196r-48616,l182346,368566r48616,l230962,325196xem267423,162788r-48628,l218795,206159r48628,l267423,162788xem267423,75882r-48628,l218795,119253r48628,l267423,75882xem364655,162788r-48616,l316039,206159r48616,l364655,162788xem364655,75882r-48616,l316039,119253r48616,l364655,75882xem425437,498817r-48616,l376821,542188r48616,l425437,498817xem425437,411911r-48616,l376821,455282r48616,l425437,411911xem522681,498817r-48616,l474065,542188r48616,l522681,498817xem522681,411911r-48616,l474065,455282r48616,l522681,411911xem717169,498817r-48629,l668540,542188r48629,l717169,498817xem717169,411911r-48629,l668540,455282r48629,l717169,411911xem717169,325196r-48629,l668540,368566r48629,l717169,325196xem717169,238671r-48629,l668540,282041r48629,l717169,238671xem717169,151752r-48629,l668540,195122r48629,l717169,151752xem814412,498817r-48628,l765784,542188r48628,l814412,498817xem814412,411911r-48628,l765784,455282r48628,l814412,411911xem814412,325196r-48628,l765784,368566r48628,l814412,325196xem814412,238671r-48628,l765784,282041r48628,l814412,238671xem814412,151752r-48628,l765784,195122r48628,l814412,151752xem899464,87985l875157,85280r,21844l875157,650392r-109373,l765784,585355r-48615,l717169,650392r-109398,l607771,357720r,-21678l607771,77317r267386,29807l875157,85280,803770,77317,583463,52755r,283287l583463,357720r,292672l474065,650392r,-65037l425437,585355r,65037l316039,650392r,-292672l583463,357720r,-21678l449745,336042r,-314364l449745,,425437,r,21678l425437,336042r-109398,l316039,270992r,-21679l291731,249313r,21679l291731,650392r-109398,l182333,585355r-48628,l133705,650392r-109398,l24307,270992r267424,l291731,249313r-133705,l158026,21678r267411,l425437,,133705,r,249313l,249313,,672071r899464,l899464,650392r,-562407xe" fillcolor="#bcc5e2" stroked="f">
                  <v:path arrowok="t"/>
                </v:shape>
                <v:shape id="Graphic 253" o:spid="_x0000_s1122" style="position:absolute;left:853;top:877;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" path="m,93852l7382,57328,27516,27495,57376,7377,93941,r992950,l1123489,7377r29871,20118l1173491,57328r7380,36524l1180871,845438r-7380,36525l1153360,911796r-29871,20118l1086891,939291r-992950,l57376,931914,27516,911796,7382,881963,,845438,,93852xe" filled="f" strokecolor="white" strokeweight="1pt">
                  <v:path arrowok="t"/>
                </v:shape>
                <v:shape id="Textbox 254" o:spid="_x0000_s1123"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5CA2F56E" w14:textId="77777777" w:rsidR="008715BE" w:rsidRDefault="008715BE">
                        <w:pPr>
                          <w:spacing w:before="139"/>
                          <w:rPr>
                            <w:sz w:val="18"/>
                          </w:rPr>
                        </w:pPr>
                      </w:p>
                      <w:p w14:paraId="72AE5573" w14:textId="77777777" w:rsidR="008715BE" w:rsidRDefault="00000000">
                        <w:pPr>
                          <w:spacing w:before="1"/>
                          <w:ind w:left="2099"/>
                          <w:rPr>
                            <w:b/>
                            <w:sz w:val="18"/>
                          </w:rPr>
                        </w:pPr>
                        <w:r>
                          <w:rPr>
                            <w:b/>
                            <w:w w:val="135"/>
                            <w:sz w:val="12"/>
                          </w:rPr>
                          <w:t xml:space="preserve">Extension </w:t>
                        </w:r>
                        <w:r>
                          <w:rPr>
                            <w:b/>
                            <w:spacing w:val="-2"/>
                            <w:w w:val="135"/>
                            <w:sz w:val="12"/>
                          </w:rPr>
                          <w:t>of the impact</w:t>
                        </w:r>
                      </w:p>
                      <w:p w14:paraId="25110A79" w14:textId="77777777" w:rsidR="008715BE" w:rsidRDefault="00000000">
                        <w:pPr>
                          <w:numPr>
                            <w:ilvl w:val="0"/>
                            <w:numId w:val="79"/>
                          </w:numPr>
                          <w:tabs>
                            <w:tab w:val="left" w:pos="2271"/>
                          </w:tabs>
                          <w:spacing w:before="18"/>
                          <w:ind w:left="2271" w:hanging="172"/>
                          <w:rPr>
                            <w:sz w:val="18"/>
                          </w:rPr>
                        </w:pPr>
                        <w:r>
                          <w:rPr>
                            <w:w w:val="120"/>
                            <w:sz w:val="12"/>
                          </w:rPr>
                          <w:t xml:space="preserve">Local: for specific works at the level of </w:t>
                        </w:r>
                        <w:r>
                          <w:rPr>
                            <w:spacing w:val="-5"/>
                            <w:w w:val="120"/>
                            <w:sz w:val="12"/>
                          </w:rPr>
                          <w:t>the local administrative unit</w:t>
                        </w:r>
                      </w:p>
                      <w:p w14:paraId="19CB9ACD" w14:textId="77777777" w:rsidR="008715BE" w:rsidRDefault="00000000">
                        <w:pPr>
                          <w:numPr>
                            <w:ilvl w:val="0"/>
                            <w:numId w:val="79"/>
                          </w:numPr>
                          <w:tabs>
                            <w:tab w:val="left" w:pos="2271"/>
                          </w:tabs>
                          <w:spacing w:before="35" w:line="216" w:lineRule="auto"/>
                          <w:ind w:right="218" w:firstLine="0"/>
                          <w:rPr>
                            <w:sz w:val="18"/>
                          </w:rPr>
                        </w:pPr>
                        <w:r>
                          <w:rPr>
                            <w:w w:val="120"/>
                            <w:sz w:val="12"/>
                          </w:rPr>
                          <w:t xml:space="preserve">Regional: for linear works that can be carried out across several </w:t>
                        </w:r>
                        <w:r>
                          <w:rPr>
                            <w:spacing w:val="-4"/>
                            <w:w w:val="120"/>
                            <w:sz w:val="12"/>
                          </w:rPr>
                          <w:t>local administrative units.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63712" behindDoc="1" locked="0" layoutInCell="1" allowOverlap="1" wp14:anchorId="63782B13" wp14:editId="141966F3">
                <wp:simplePos x="0" y="0"/>
                <wp:positionH relativeFrom="page">
                  <wp:posOffset>810259</wp:posOffset>
                </wp:positionH>
                <wp:positionV relativeFrom="paragraph">
                  <wp:posOffset>2682239</wp:posOffset>
                </wp:positionV>
                <wp:extent cx="5904230" cy="1330960"/>
                <wp:effectExtent l="0" t="0" r="0" b="0"/>
                <wp:wrapTopAndBottom/>
                <wp:docPr id="255" name="Group 255"/>
                <wp:cNvGraphicFramePr/>
                <a:graphic xmlns:a="http://schemas.openxmlformats.org/drawingml/2006/main">
                  <a:graphicData uri="http://schemas.microsoft.com/office/word/2010/wordprocessingGroup">
                    <wpg:wgp>
                      <wpg:cNvGrpSpPr/>
                      <wpg:grpSpPr>
                        <a:xfrm>
                          <a:off x="0" y="0"/>
                          <a:ext cx="5904230" cy="1330960"/>
                          <a:chOff x="0" y="0"/>
                          <a:chExt cx="5904230" cy="1330960"/>
                        </a:xfrm>
                      </wpg:grpSpPr>
                      <wps:wsp>
                        <wps:cNvPr id="256" name="Graphic 256"/>
                        <wps:cNvSpPr/>
                        <wps:spPr>
                          <a:xfrm>
                            <a:off x="0" y="0"/>
                            <a:ext cx="5904230" cy="1330960"/>
                          </a:xfrm>
                          <a:custGeom>
                            <a:avLst/>
                            <a:gdLst/>
                            <a:ahLst/>
                            <a:cxnLst/>
                            <a:rect l="l" t="t" r="r" b="b"/>
                            <a:pathLst>
                              <a:path w="5904230" h="1330960">
                                <a:moveTo>
                                  <a:pt x="5771134" y="0"/>
                                </a:moveTo>
                                <a:lnTo>
                                  <a:pt x="133070" y="0"/>
                                </a:lnTo>
                                <a:lnTo>
                                  <a:pt x="91009" y="6782"/>
                                </a:lnTo>
                                <a:lnTo>
                                  <a:pt x="54479" y="25672"/>
                                </a:lnTo>
                                <a:lnTo>
                                  <a:pt x="25674" y="54479"/>
                                </a:lnTo>
                                <a:lnTo>
                                  <a:pt x="6783" y="91017"/>
                                </a:lnTo>
                                <a:lnTo>
                                  <a:pt x="0" y="133096"/>
                                </a:lnTo>
                                <a:lnTo>
                                  <a:pt x="0" y="1197610"/>
                                </a:lnTo>
                                <a:lnTo>
                                  <a:pt x="6783" y="1239639"/>
                                </a:lnTo>
                                <a:lnTo>
                                  <a:pt x="25674" y="1276171"/>
                                </a:lnTo>
                                <a:lnTo>
                                  <a:pt x="54479" y="1304997"/>
                                </a:lnTo>
                                <a:lnTo>
                                  <a:pt x="91009" y="1323910"/>
                                </a:lnTo>
                                <a:lnTo>
                                  <a:pt x="133070" y="1330705"/>
                                </a:lnTo>
                                <a:lnTo>
                                  <a:pt x="5771134" y="1330705"/>
                                </a:lnTo>
                                <a:lnTo>
                                  <a:pt x="5813212" y="1323910"/>
                                </a:lnTo>
                                <a:lnTo>
                                  <a:pt x="5849750" y="1304997"/>
                                </a:lnTo>
                                <a:lnTo>
                                  <a:pt x="5878557" y="1276171"/>
                                </a:lnTo>
                                <a:lnTo>
                                  <a:pt x="5897447" y="1239639"/>
                                </a:lnTo>
                                <a:lnTo>
                                  <a:pt x="5904230" y="1197610"/>
                                </a:lnTo>
                                <a:lnTo>
                                  <a:pt x="5904230" y="133096"/>
                                </a:lnTo>
                                <a:lnTo>
                                  <a:pt x="5897447" y="91017"/>
                                </a:lnTo>
                                <a:lnTo>
                                  <a:pt x="5878557" y="54479"/>
                                </a:lnTo>
                                <a:lnTo>
                                  <a:pt x="5849750" y="25672"/>
                                </a:lnTo>
                                <a:lnTo>
                                  <a:pt x="5813212" y="6782"/>
                                </a:lnTo>
                                <a:lnTo>
                                  <a:pt x="5771134" y="0"/>
                                </a:lnTo>
                                <a:close/>
                              </a:path>
                            </a:pathLst>
                          </a:custGeom>
                          <a:solidFill>
                            <a:srgbClr val="D9D9D9"/>
                          </a:solidFill>
                        </wps:spPr>
                        <wps:bodyPr wrap="square" lIns="0" tIns="0" rIns="0" bIns="0" rtlCol="0">
                          <a:prstTxWarp prst="textNoShape">
                            <a:avLst/>
                          </a:prstTxWarp>
                        </wps:bodyPr>
                      </wps:wsp>
                      <wps:wsp>
                        <wps:cNvPr id="257" name="Graphic 257"/>
                        <wps:cNvSpPr/>
                        <wps:spPr>
                          <a:xfrm>
                            <a:off x="153898" y="238543"/>
                            <a:ext cx="1069975" cy="716280"/>
                          </a:xfrm>
                          <a:custGeom>
                            <a:avLst/>
                            <a:gdLst/>
                            <a:ahLst/>
                            <a:cxnLst/>
                            <a:rect l="l" t="t" r="r" b="b"/>
                            <a:pathLst>
                              <a:path w="1069975" h="716280">
                                <a:moveTo>
                                  <a:pt x="814412" y="342023"/>
                                </a:moveTo>
                                <a:lnTo>
                                  <a:pt x="790105" y="363702"/>
                                </a:lnTo>
                                <a:lnTo>
                                  <a:pt x="790105" y="694524"/>
                                </a:lnTo>
                                <a:lnTo>
                                  <a:pt x="72936" y="694524"/>
                                </a:lnTo>
                                <a:lnTo>
                                  <a:pt x="54013" y="691108"/>
                                </a:lnTo>
                                <a:lnTo>
                                  <a:pt x="38557" y="681824"/>
                                </a:lnTo>
                                <a:lnTo>
                                  <a:pt x="28130" y="668032"/>
                                </a:lnTo>
                                <a:lnTo>
                                  <a:pt x="24320" y="651154"/>
                                </a:lnTo>
                                <a:lnTo>
                                  <a:pt x="28130" y="634288"/>
                                </a:lnTo>
                                <a:lnTo>
                                  <a:pt x="38557" y="620496"/>
                                </a:lnTo>
                                <a:lnTo>
                                  <a:pt x="54013" y="611212"/>
                                </a:lnTo>
                                <a:lnTo>
                                  <a:pt x="72936" y="607796"/>
                                </a:lnTo>
                                <a:lnTo>
                                  <a:pt x="170180" y="607796"/>
                                </a:lnTo>
                                <a:lnTo>
                                  <a:pt x="170180" y="602729"/>
                                </a:lnTo>
                                <a:lnTo>
                                  <a:pt x="170180" y="152527"/>
                                </a:lnTo>
                                <a:lnTo>
                                  <a:pt x="770648" y="152527"/>
                                </a:lnTo>
                                <a:lnTo>
                                  <a:pt x="794969" y="130848"/>
                                </a:lnTo>
                                <a:lnTo>
                                  <a:pt x="170180" y="130848"/>
                                </a:lnTo>
                                <a:lnTo>
                                  <a:pt x="170180" y="44132"/>
                                </a:lnTo>
                                <a:lnTo>
                                  <a:pt x="170180" y="22453"/>
                                </a:lnTo>
                                <a:lnTo>
                                  <a:pt x="145872" y="22453"/>
                                </a:lnTo>
                                <a:lnTo>
                                  <a:pt x="145872" y="44132"/>
                                </a:lnTo>
                                <a:lnTo>
                                  <a:pt x="145872" y="586117"/>
                                </a:lnTo>
                                <a:lnTo>
                                  <a:pt x="72936" y="586117"/>
                                </a:lnTo>
                                <a:lnTo>
                                  <a:pt x="59639" y="587209"/>
                                </a:lnTo>
                                <a:lnTo>
                                  <a:pt x="46901" y="590410"/>
                                </a:lnTo>
                                <a:lnTo>
                                  <a:pt x="35013" y="595617"/>
                                </a:lnTo>
                                <a:lnTo>
                                  <a:pt x="24320" y="602729"/>
                                </a:lnTo>
                                <a:lnTo>
                                  <a:pt x="24320" y="87490"/>
                                </a:lnTo>
                                <a:lnTo>
                                  <a:pt x="28130" y="70612"/>
                                </a:lnTo>
                                <a:lnTo>
                                  <a:pt x="38557" y="56832"/>
                                </a:lnTo>
                                <a:lnTo>
                                  <a:pt x="54013" y="47536"/>
                                </a:lnTo>
                                <a:lnTo>
                                  <a:pt x="72936" y="44132"/>
                                </a:lnTo>
                                <a:lnTo>
                                  <a:pt x="145872" y="44132"/>
                                </a:lnTo>
                                <a:lnTo>
                                  <a:pt x="145872" y="22453"/>
                                </a:lnTo>
                                <a:lnTo>
                                  <a:pt x="72936" y="22453"/>
                                </a:lnTo>
                                <a:lnTo>
                                  <a:pt x="44564" y="27571"/>
                                </a:lnTo>
                                <a:lnTo>
                                  <a:pt x="21386" y="41516"/>
                                </a:lnTo>
                                <a:lnTo>
                                  <a:pt x="5753" y="62179"/>
                                </a:lnTo>
                                <a:lnTo>
                                  <a:pt x="0" y="87490"/>
                                </a:lnTo>
                                <a:lnTo>
                                  <a:pt x="0" y="651154"/>
                                </a:lnTo>
                                <a:lnTo>
                                  <a:pt x="5753" y="676465"/>
                                </a:lnTo>
                                <a:lnTo>
                                  <a:pt x="21386" y="697128"/>
                                </a:lnTo>
                                <a:lnTo>
                                  <a:pt x="44564" y="711060"/>
                                </a:lnTo>
                                <a:lnTo>
                                  <a:pt x="72936" y="716203"/>
                                </a:lnTo>
                                <a:lnTo>
                                  <a:pt x="814412" y="716203"/>
                                </a:lnTo>
                                <a:lnTo>
                                  <a:pt x="814412" y="694524"/>
                                </a:lnTo>
                                <a:lnTo>
                                  <a:pt x="814412" y="342023"/>
                                </a:lnTo>
                                <a:close/>
                              </a:path>
                              <a:path w="1069975" h="716280">
                                <a:moveTo>
                                  <a:pt x="1069555" y="60375"/>
                                </a:moveTo>
                                <a:lnTo>
                                  <a:pt x="1068463" y="52679"/>
                                </a:lnTo>
                                <a:lnTo>
                                  <a:pt x="1064006" y="45694"/>
                                </a:lnTo>
                                <a:lnTo>
                                  <a:pt x="1063002" y="44780"/>
                                </a:lnTo>
                                <a:lnTo>
                                  <a:pt x="1062494" y="44348"/>
                                </a:lnTo>
                                <a:lnTo>
                                  <a:pt x="1044562" y="28359"/>
                                </a:lnTo>
                                <a:lnTo>
                                  <a:pt x="1044562" y="59055"/>
                                </a:lnTo>
                                <a:lnTo>
                                  <a:pt x="1007186" y="92379"/>
                                </a:lnTo>
                                <a:lnTo>
                                  <a:pt x="990473" y="77470"/>
                                </a:lnTo>
                                <a:lnTo>
                                  <a:pt x="990473" y="108077"/>
                                </a:lnTo>
                                <a:lnTo>
                                  <a:pt x="986218" y="112153"/>
                                </a:lnTo>
                                <a:lnTo>
                                  <a:pt x="772007" y="303199"/>
                                </a:lnTo>
                                <a:lnTo>
                                  <a:pt x="766406" y="290004"/>
                                </a:lnTo>
                                <a:lnTo>
                                  <a:pt x="763358" y="286410"/>
                                </a:lnTo>
                                <a:lnTo>
                                  <a:pt x="757034" y="278968"/>
                                </a:lnTo>
                                <a:lnTo>
                                  <a:pt x="748919" y="273583"/>
                                </a:lnTo>
                                <a:lnTo>
                                  <a:pt x="748919" y="310807"/>
                                </a:lnTo>
                                <a:lnTo>
                                  <a:pt x="748169" y="319849"/>
                                </a:lnTo>
                                <a:lnTo>
                                  <a:pt x="743851" y="328358"/>
                                </a:lnTo>
                                <a:lnTo>
                                  <a:pt x="739559" y="332168"/>
                                </a:lnTo>
                                <a:lnTo>
                                  <a:pt x="688797" y="347116"/>
                                </a:lnTo>
                                <a:lnTo>
                                  <a:pt x="680542" y="339750"/>
                                </a:lnTo>
                                <a:lnTo>
                                  <a:pt x="697204" y="294932"/>
                                </a:lnTo>
                                <a:lnTo>
                                  <a:pt x="702183" y="290487"/>
                                </a:lnTo>
                                <a:lnTo>
                                  <a:pt x="707085" y="287832"/>
                                </a:lnTo>
                                <a:lnTo>
                                  <a:pt x="712685" y="286410"/>
                                </a:lnTo>
                                <a:lnTo>
                                  <a:pt x="726617" y="286410"/>
                                </a:lnTo>
                                <a:lnTo>
                                  <a:pt x="734364" y="289306"/>
                                </a:lnTo>
                                <a:lnTo>
                                  <a:pt x="740079" y="294487"/>
                                </a:lnTo>
                                <a:lnTo>
                                  <a:pt x="746188" y="302056"/>
                                </a:lnTo>
                                <a:lnTo>
                                  <a:pt x="748919" y="310807"/>
                                </a:lnTo>
                                <a:lnTo>
                                  <a:pt x="748919" y="273583"/>
                                </a:lnTo>
                                <a:lnTo>
                                  <a:pt x="744575" y="270700"/>
                                </a:lnTo>
                                <a:lnTo>
                                  <a:pt x="729729" y="265823"/>
                                </a:lnTo>
                                <a:lnTo>
                                  <a:pt x="948232" y="70472"/>
                                </a:lnTo>
                                <a:lnTo>
                                  <a:pt x="990473" y="108077"/>
                                </a:lnTo>
                                <a:lnTo>
                                  <a:pt x="990473" y="77470"/>
                                </a:lnTo>
                                <a:lnTo>
                                  <a:pt x="982637" y="70472"/>
                                </a:lnTo>
                                <a:lnTo>
                                  <a:pt x="965454" y="55143"/>
                                </a:lnTo>
                                <a:lnTo>
                                  <a:pt x="1002830" y="21818"/>
                                </a:lnTo>
                                <a:lnTo>
                                  <a:pt x="1044562" y="59055"/>
                                </a:lnTo>
                                <a:lnTo>
                                  <a:pt x="1044562" y="28359"/>
                                </a:lnTo>
                                <a:lnTo>
                                  <a:pt x="1037234" y="21818"/>
                                </a:lnTo>
                                <a:lnTo>
                                  <a:pt x="1019949" y="6400"/>
                                </a:lnTo>
                                <a:lnTo>
                                  <a:pt x="1012101" y="1638"/>
                                </a:lnTo>
                                <a:lnTo>
                                  <a:pt x="1003109" y="0"/>
                                </a:lnTo>
                                <a:lnTo>
                                  <a:pt x="994079" y="1473"/>
                                </a:lnTo>
                                <a:lnTo>
                                  <a:pt x="986116" y="6083"/>
                                </a:lnTo>
                                <a:lnTo>
                                  <a:pt x="985786" y="6400"/>
                                </a:lnTo>
                                <a:lnTo>
                                  <a:pt x="675436" y="283692"/>
                                </a:lnTo>
                                <a:lnTo>
                                  <a:pt x="673785" y="287134"/>
                                </a:lnTo>
                                <a:lnTo>
                                  <a:pt x="647344" y="359981"/>
                                </a:lnTo>
                                <a:lnTo>
                                  <a:pt x="519379" y="251244"/>
                                </a:lnTo>
                                <a:lnTo>
                                  <a:pt x="484187" y="221335"/>
                                </a:lnTo>
                                <a:lnTo>
                                  <a:pt x="250507" y="418947"/>
                                </a:lnTo>
                                <a:lnTo>
                                  <a:pt x="304355" y="466966"/>
                                </a:lnTo>
                                <a:lnTo>
                                  <a:pt x="304355" y="607796"/>
                                </a:lnTo>
                                <a:lnTo>
                                  <a:pt x="462368" y="607796"/>
                                </a:lnTo>
                                <a:lnTo>
                                  <a:pt x="462368" y="586117"/>
                                </a:lnTo>
                                <a:lnTo>
                                  <a:pt x="462368" y="483590"/>
                                </a:lnTo>
                                <a:lnTo>
                                  <a:pt x="504913" y="483590"/>
                                </a:lnTo>
                                <a:lnTo>
                                  <a:pt x="504913" y="607796"/>
                                </a:lnTo>
                                <a:lnTo>
                                  <a:pt x="662940" y="607796"/>
                                </a:lnTo>
                                <a:lnTo>
                                  <a:pt x="662940" y="586117"/>
                                </a:lnTo>
                                <a:lnTo>
                                  <a:pt x="662940" y="444576"/>
                                </a:lnTo>
                                <a:lnTo>
                                  <a:pt x="638619" y="423976"/>
                                </a:lnTo>
                                <a:lnTo>
                                  <a:pt x="638619" y="453872"/>
                                </a:lnTo>
                                <a:lnTo>
                                  <a:pt x="638619" y="586117"/>
                                </a:lnTo>
                                <a:lnTo>
                                  <a:pt x="529221" y="586117"/>
                                </a:lnTo>
                                <a:lnTo>
                                  <a:pt x="529221" y="483590"/>
                                </a:lnTo>
                                <a:lnTo>
                                  <a:pt x="529221" y="461911"/>
                                </a:lnTo>
                                <a:lnTo>
                                  <a:pt x="438061" y="461911"/>
                                </a:lnTo>
                                <a:lnTo>
                                  <a:pt x="438061" y="586117"/>
                                </a:lnTo>
                                <a:lnTo>
                                  <a:pt x="328663" y="586117"/>
                                </a:lnTo>
                                <a:lnTo>
                                  <a:pt x="328663" y="453872"/>
                                </a:lnTo>
                                <a:lnTo>
                                  <a:pt x="344385" y="440550"/>
                                </a:lnTo>
                                <a:lnTo>
                                  <a:pt x="483641" y="322580"/>
                                </a:lnTo>
                                <a:lnTo>
                                  <a:pt x="638619" y="453872"/>
                                </a:lnTo>
                                <a:lnTo>
                                  <a:pt x="638619" y="423976"/>
                                </a:lnTo>
                                <a:lnTo>
                                  <a:pt x="518934" y="322580"/>
                                </a:lnTo>
                                <a:lnTo>
                                  <a:pt x="483641" y="292684"/>
                                </a:lnTo>
                                <a:lnTo>
                                  <a:pt x="309118" y="440550"/>
                                </a:lnTo>
                                <a:lnTo>
                                  <a:pt x="285356" y="419354"/>
                                </a:lnTo>
                                <a:lnTo>
                                  <a:pt x="484136" y="251244"/>
                                </a:lnTo>
                                <a:lnTo>
                                  <a:pt x="640524" y="384136"/>
                                </a:lnTo>
                                <a:lnTo>
                                  <a:pt x="723722" y="359981"/>
                                </a:lnTo>
                                <a:lnTo>
                                  <a:pt x="747674" y="353021"/>
                                </a:lnTo>
                                <a:lnTo>
                                  <a:pt x="752665" y="351142"/>
                                </a:lnTo>
                                <a:lnTo>
                                  <a:pt x="757161" y="347116"/>
                                </a:lnTo>
                                <a:lnTo>
                                  <a:pt x="806208" y="303199"/>
                                </a:lnTo>
                                <a:lnTo>
                                  <a:pt x="1041666" y="92379"/>
                                </a:lnTo>
                                <a:lnTo>
                                  <a:pt x="1061885" y="74282"/>
                                </a:lnTo>
                                <a:lnTo>
                                  <a:pt x="1067346" y="67881"/>
                                </a:lnTo>
                                <a:lnTo>
                                  <a:pt x="1069555" y="60375"/>
                                </a:lnTo>
                                <a:close/>
                              </a:path>
                            </a:pathLst>
                          </a:custGeom>
                          <a:solidFill>
                            <a:srgbClr val="BBC5E1"/>
                          </a:solidFill>
                        </wps:spPr>
                        <wps:bodyPr wrap="square" lIns="0" tIns="0" rIns="0" bIns="0" rtlCol="0">
                          <a:prstTxWarp prst="textNoShape">
                            <a:avLst/>
                          </a:prstTxWarp>
                        </wps:bodyPr>
                      </wps:wsp>
                      <wps:wsp>
                        <wps:cNvPr id="258" name="Graphic 258"/>
                        <wps:cNvSpPr/>
                        <wps:spPr>
                          <a:xfrm>
                            <a:off x="72275" y="136144"/>
                            <a:ext cx="1181100" cy="939800"/>
                          </a:xfrm>
                          <a:custGeom>
                            <a:avLst/>
                            <a:gdLst/>
                            <a:ahLst/>
                            <a:cxnLst/>
                            <a:rect l="l" t="t" r="r" b="b"/>
                            <a:pathLst>
                              <a:path w="1181100" h="939800">
                                <a:moveTo>
                                  <a:pt x="0" y="93980"/>
                                </a:moveTo>
                                <a:lnTo>
                                  <a:pt x="7380" y="57382"/>
                                </a:lnTo>
                                <a:lnTo>
                                  <a:pt x="27509" y="27511"/>
                                </a:lnTo>
                                <a:lnTo>
                                  <a:pt x="57366" y="7379"/>
                                </a:lnTo>
                                <a:lnTo>
                                  <a:pt x="93929" y="0"/>
                                </a:lnTo>
                                <a:lnTo>
                                  <a:pt x="1086853" y="0"/>
                                </a:lnTo>
                                <a:lnTo>
                                  <a:pt x="1123451" y="7379"/>
                                </a:lnTo>
                                <a:lnTo>
                                  <a:pt x="1153321" y="27511"/>
                                </a:lnTo>
                                <a:lnTo>
                                  <a:pt x="1173453" y="57382"/>
                                </a:lnTo>
                                <a:lnTo>
                                  <a:pt x="1180833" y="93980"/>
                                </a:lnTo>
                                <a:lnTo>
                                  <a:pt x="1180833" y="845439"/>
                                </a:lnTo>
                                <a:lnTo>
                                  <a:pt x="1173453" y="882036"/>
                                </a:lnTo>
                                <a:lnTo>
                                  <a:pt x="1153321" y="911907"/>
                                </a:lnTo>
                                <a:lnTo>
                                  <a:pt x="1123451" y="932039"/>
                                </a:lnTo>
                                <a:lnTo>
                                  <a:pt x="1086853" y="939419"/>
                                </a:lnTo>
                                <a:lnTo>
                                  <a:pt x="93929" y="939419"/>
                                </a:lnTo>
                                <a:lnTo>
                                  <a:pt x="57366" y="932039"/>
                                </a:lnTo>
                                <a:lnTo>
                                  <a:pt x="27509" y="911907"/>
                                </a:lnTo>
                                <a:lnTo>
                                  <a:pt x="7380" y="882036"/>
                                </a:lnTo>
                                <a:lnTo>
                                  <a:pt x="0" y="845439"/>
                                </a:lnTo>
                                <a:lnTo>
                                  <a:pt x="0" y="93980"/>
                                </a:lnTo>
                                <a:close/>
                              </a:path>
                            </a:pathLst>
                          </a:custGeom>
                          <a:ln w="12700">
                            <a:solidFill>
                              <a:srgbClr val="FFFFFF"/>
                            </a:solidFill>
                            <a:prstDash val="solid"/>
                          </a:ln>
                        </wps:spPr>
                        <wps:bodyPr wrap="square" lIns="0" tIns="0" rIns="0" bIns="0" rtlCol="0">
                          <a:prstTxWarp prst="textNoShape">
                            <a:avLst/>
                          </a:prstTxWarp>
                        </wps:bodyPr>
                      </wps:wsp>
                      <wps:wsp>
                        <wps:cNvPr id="259" name="Textbox 259"/>
                        <wps:cNvSpPr txBox="1"/>
                        <wps:spPr>
                          <a:xfrm>
                            <a:off x="0" y="0"/>
                            <a:ext cx="5904230" cy="1330960"/>
                          </a:xfrm>
                          <a:prstGeom prst="rect">
                            <a:avLst/>
                          </a:prstGeom>
                        </wps:spPr>
                        <wps:txbx>
                          <w:txbxContent>
                            <w:p w14:paraId="6666826B" w14:textId="77777777" w:rsidR="008715BE" w:rsidRDefault="00000000">
                              <w:pPr>
                                <w:spacing w:before="130"/>
                                <w:ind w:left="2099"/>
                                <w:rPr>
                                  <w:b/>
                                  <w:sz w:val="18"/>
                                </w:rPr>
                              </w:pPr>
                              <w:r>
                                <w:rPr>
                                  <w:b/>
                                  <w:w w:val="135"/>
                                  <w:sz w:val="12"/>
                                </w:rPr>
                                <w:t xml:space="preserve">Frequency of occurrence of </w:t>
                              </w:r>
                              <w:r>
                                <w:rPr>
                                  <w:b/>
                                  <w:spacing w:val="-2"/>
                                  <w:w w:val="135"/>
                                  <w:sz w:val="12"/>
                                </w:rPr>
                                <w:t>effects</w:t>
                              </w:r>
                            </w:p>
                            <w:p w14:paraId="05A6287A" w14:textId="77777777" w:rsidR="008715BE" w:rsidRDefault="00000000">
                              <w:pPr>
                                <w:numPr>
                                  <w:ilvl w:val="0"/>
                                  <w:numId w:val="78"/>
                                </w:numPr>
                                <w:tabs>
                                  <w:tab w:val="left" w:pos="2271"/>
                                </w:tabs>
                                <w:spacing w:before="35" w:line="216" w:lineRule="auto"/>
                                <w:ind w:right="557" w:firstLine="0"/>
                                <w:rPr>
                                  <w:sz w:val="18"/>
                                </w:rPr>
                              </w:pPr>
                              <w:r>
                                <w:rPr>
                                  <w:w w:val="120"/>
                                  <w:sz w:val="12"/>
                                </w:rPr>
                                <w:t>Temporary/one-time – The impact occurs only once during one of the project stages. Most often associated with a short duration.</w:t>
                              </w:r>
                            </w:p>
                            <w:p w14:paraId="526B8F7C" w14:textId="77777777" w:rsidR="008715BE" w:rsidRDefault="00000000">
                              <w:pPr>
                                <w:numPr>
                                  <w:ilvl w:val="0"/>
                                  <w:numId w:val="78"/>
                                </w:numPr>
                                <w:tabs>
                                  <w:tab w:val="left" w:pos="2271"/>
                                </w:tabs>
                                <w:spacing w:before="20" w:line="209" w:lineRule="exact"/>
                                <w:ind w:left="2271" w:hanging="172"/>
                                <w:rPr>
                                  <w:sz w:val="18"/>
                                </w:rPr>
                              </w:pPr>
                              <w:r>
                                <w:rPr>
                                  <w:w w:val="120"/>
                                  <w:sz w:val="12"/>
                                </w:rPr>
                                <w:t xml:space="preserve">permanent – The impact occurs continuously after the moment </w:t>
                              </w:r>
                              <w:r>
                                <w:rPr>
                                  <w:spacing w:val="-2"/>
                                  <w:w w:val="120"/>
                                  <w:sz w:val="12"/>
                                </w:rPr>
                                <w:t>of occurrence</w:t>
                              </w:r>
                            </w:p>
                            <w:p w14:paraId="036C669C" w14:textId="77777777" w:rsidR="008715BE" w:rsidRDefault="00000000">
                              <w:pPr>
                                <w:numPr>
                                  <w:ilvl w:val="0"/>
                                  <w:numId w:val="78"/>
                                </w:numPr>
                                <w:tabs>
                                  <w:tab w:val="left" w:pos="2271"/>
                                </w:tabs>
                                <w:spacing w:before="7" w:line="216" w:lineRule="auto"/>
                                <w:ind w:right="624" w:firstLine="0"/>
                                <w:rPr>
                                  <w:sz w:val="18"/>
                                </w:rPr>
                              </w:pPr>
                              <w:r>
                                <w:rPr>
                                  <w:w w:val="120"/>
                                  <w:sz w:val="12"/>
                                </w:rPr>
                                <w:t xml:space="preserve">discontinuous – for emissions of pollutants into the atmosphere, odors, noise levels, the impact occurs repeatedly/discontinuously, with an </w:t>
                              </w:r>
                              <w:r>
                                <w:rPr>
                                  <w:spacing w:val="-2"/>
                                  <w:w w:val="120"/>
                                  <w:sz w:val="12"/>
                                </w:rPr>
                                <w:t>unknown</w:t>
                              </w:r>
                              <w:r>
                                <w:rPr>
                                  <w:w w:val="120"/>
                                  <w:sz w:val="12"/>
                                </w:rPr>
                                <w:t xml:space="preserve"> frequency</w:t>
                              </w:r>
                            </w:p>
                            <w:p w14:paraId="70A92AFD" w14:textId="77777777" w:rsidR="008715BE" w:rsidRDefault="00000000">
                              <w:pPr>
                                <w:numPr>
                                  <w:ilvl w:val="0"/>
                                  <w:numId w:val="78"/>
                                </w:numPr>
                                <w:tabs>
                                  <w:tab w:val="left" w:pos="2271"/>
                                </w:tabs>
                                <w:spacing w:line="200" w:lineRule="exact"/>
                                <w:ind w:left="2271" w:hanging="172"/>
                                <w:rPr>
                                  <w:sz w:val="18"/>
                                </w:rPr>
                              </w:pPr>
                              <w:r>
                                <w:rPr>
                                  <w:spacing w:val="-2"/>
                                  <w:w w:val="125"/>
                                  <w:sz w:val="12"/>
                                </w:rPr>
                                <w:t>Accidental – for accidental spills of hazardous chemicals</w:t>
                              </w:r>
                            </w:p>
                          </w:txbxContent>
                        </wps:txbx>
                        <wps:bodyPr wrap="square" lIns="0" tIns="0" rIns="0" bIns="0" rtlCol="0"/>
                      </wps:wsp>
                    </wpg:wgp>
                  </a:graphicData>
                </a:graphic>
              </wp:anchor>
            </w:drawing>
          </mc:Choice>
          <mc:Fallback>
            <w:pict>
              <v:group w14:anchorId="63782B13" id="Group 255" o:spid="_x0000_s1124" style="position:absolute;margin-left:63.8pt;margin-top:211.2pt;width:464.9pt;height:104.8pt;z-index:-251552768;mso-wrap-distance-left:0;mso-wrap-distance-right:0;mso-position-horizontal-relative:page;mso-position-vertical-relative:text" coordsize="59042,13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">
                <v:shape id="Graphic 256" o:spid="_x0000_s1125" style="position:absolute;width:59042;height:13309;visibility:visible;mso-wrap-style:square;v-text-anchor:top" coordsize="5904230,133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" path="m5771134,l133070,,91009,6782,54479,25672,25674,54479,6783,91017,,133096,,1197610r6783,42029l25674,1276171r28805,28826l91009,1323910r42061,6795l5771134,1330705r42078,-6795l5849750,1304997r28807,-28826l5897447,1239639r6783,-42029l5904230,133096r-6783,-42079l5878557,54479,5849750,25672,5813212,6782,5771134,xe" fillcolor="#d9d9d9" stroked="f">
                  <v:path arrowok="t"/>
                </v:shape>
                <v:shape id="Graphic 257" o:spid="_x0000_s1126" style="position:absolute;left:1538;top:2385;width:10700;height:7163;visibility:visible;mso-wrap-style:square;v-text-anchor:top" coordsize="1069975,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" path="m814412,342023r-24307,21679l790105,694524r-717169,l54013,691108,38557,681824,28130,668032,24320,651154r3810,-16866l38557,620496r15456,-9284l72936,607796r97244,l170180,602729r,-450202l770648,152527r24321,-21679l170180,130848r,-86716l170180,22453r-24308,l145872,44132r,541985l72936,586117r-13297,1092l46901,590410r-11888,5207l24320,602729r,-515239l28130,70612,38557,56832,54013,47536,72936,44132r72936,l145872,22453r-72936,l44564,27571,21386,41516,5753,62179,,87490,,651154r5753,25311l21386,697128r23178,13932l72936,716203r741476,l814412,694524r,-352501xem1069555,60375r-1092,-7696l1064006,45694r-1004,-914l1062494,44348,1044562,28359r,30696l1007186,92379,990473,77470r,30607l986218,112153,772007,303199r-5601,-13195l763358,286410r-6324,-7442l748919,273583r,37224l748169,319849r-4318,8509l739559,332168r-50762,14948l680542,339750r16662,-44818l702183,290487r4902,-2655l712685,286410r13932,l734364,289306r5715,5181l746188,302056r2731,8751l748919,273583r-4344,-2883l729729,265823,948232,70472r42241,37605l990473,77470r-7836,-6998l965454,55143r37376,-33325l1044562,59055r,-30696l1037234,21818,1019949,6400r-7848,-4762l1003109,r-9030,1473l986116,6083r-330,317l675436,283692r-1651,3442l647344,359981,519379,251244,484187,221335,250507,418947r53848,48019l304355,607796r158013,l462368,586117r,-102527l504913,483590r,124206l662940,607796r,-21679l662940,444576,638619,423976r,29896l638619,586117r-109398,l529221,483590r,-21679l438061,461911r,124206l328663,586117r,-132245l344385,440550,483641,322580,638619,453872r,-29896l518934,322580,483641,292684,309118,440550,285356,419354,484136,251244,640524,384136r83198,-24155l747674,353021r4991,-1879l757161,347116r49047,-43917l1041666,92379r20219,-18097l1067346,67881r2209,-7506xe" fillcolor="#bbc5e1" stroked="f">
                  <v:path arrowok="t"/>
                </v:shape>
                <v:shape id="Graphic 258" o:spid="_x0000_s1127" style="position:absolute;left:722;top:1361;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" path="m,93980l7380,57382,27509,27511,57366,7379,93929,r992924,l1123451,7379r29870,20132l1173453,57382r7380,36598l1180833,845439r-7380,36597l1153321,911907r-29870,20132l1086853,939419r-992924,l57366,932039,27509,911907,7380,882036,,845439,,93980xe" filled="f" strokecolor="white" strokeweight="1pt">
                  <v:path arrowok="t"/>
                </v:shape>
                <v:shape id="Textbox 259" o:spid="_x0000_s1128" type="#_x0000_t202" style="position:absolute;width:59042;height:1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6666826B" w14:textId="77777777" w:rsidR="008715BE" w:rsidRDefault="00000000">
                        <w:pPr>
                          <w:spacing w:before="130"/>
                          <w:ind w:left="2099"/>
                          <w:rPr>
                            <w:b/>
                            <w:sz w:val="18"/>
                          </w:rPr>
                        </w:pPr>
                        <w:r>
                          <w:rPr>
                            <w:b/>
                            <w:w w:val="135"/>
                            <w:sz w:val="12"/>
                          </w:rPr>
                          <w:t xml:space="preserve">Frequency of occurrence of </w:t>
                        </w:r>
                        <w:r>
                          <w:rPr>
                            <w:b/>
                            <w:spacing w:val="-2"/>
                            <w:w w:val="135"/>
                            <w:sz w:val="12"/>
                          </w:rPr>
                          <w:t>effects</w:t>
                        </w:r>
                      </w:p>
                      <w:p w14:paraId="05A6287A" w14:textId="77777777" w:rsidR="008715BE" w:rsidRDefault="00000000">
                        <w:pPr>
                          <w:numPr>
                            <w:ilvl w:val="0"/>
                            <w:numId w:val="78"/>
                          </w:numPr>
                          <w:tabs>
                            <w:tab w:val="left" w:pos="2271"/>
                          </w:tabs>
                          <w:spacing w:before="35" w:line="216" w:lineRule="auto"/>
                          <w:ind w:right="557" w:firstLine="0"/>
                          <w:rPr>
                            <w:sz w:val="18"/>
                          </w:rPr>
                        </w:pPr>
                        <w:r>
                          <w:rPr>
                            <w:w w:val="120"/>
                            <w:sz w:val="12"/>
                          </w:rPr>
                          <w:t>Temporary/one-time – The impact occurs only once during one of the project stages. Most often associated with a short duration.</w:t>
                        </w:r>
                      </w:p>
                      <w:p w14:paraId="526B8F7C" w14:textId="77777777" w:rsidR="008715BE" w:rsidRDefault="00000000">
                        <w:pPr>
                          <w:numPr>
                            <w:ilvl w:val="0"/>
                            <w:numId w:val="78"/>
                          </w:numPr>
                          <w:tabs>
                            <w:tab w:val="left" w:pos="2271"/>
                          </w:tabs>
                          <w:spacing w:before="20" w:line="209" w:lineRule="exact"/>
                          <w:ind w:left="2271" w:hanging="172"/>
                          <w:rPr>
                            <w:sz w:val="18"/>
                          </w:rPr>
                        </w:pPr>
                        <w:r>
                          <w:rPr>
                            <w:w w:val="120"/>
                            <w:sz w:val="12"/>
                          </w:rPr>
                          <w:t xml:space="preserve">permanent – The impact occurs continuously after the moment </w:t>
                        </w:r>
                        <w:r>
                          <w:rPr>
                            <w:spacing w:val="-2"/>
                            <w:w w:val="120"/>
                            <w:sz w:val="12"/>
                          </w:rPr>
                          <w:t>of occurrence</w:t>
                        </w:r>
                      </w:p>
                      <w:p w14:paraId="036C669C" w14:textId="77777777" w:rsidR="008715BE" w:rsidRDefault="00000000">
                        <w:pPr>
                          <w:numPr>
                            <w:ilvl w:val="0"/>
                            <w:numId w:val="78"/>
                          </w:numPr>
                          <w:tabs>
                            <w:tab w:val="left" w:pos="2271"/>
                          </w:tabs>
                          <w:spacing w:before="7" w:line="216" w:lineRule="auto"/>
                          <w:ind w:right="624" w:firstLine="0"/>
                          <w:rPr>
                            <w:sz w:val="18"/>
                          </w:rPr>
                        </w:pPr>
                        <w:r>
                          <w:rPr>
                            <w:w w:val="120"/>
                            <w:sz w:val="12"/>
                          </w:rPr>
                          <w:t xml:space="preserve">discontinuous – for emissions of pollutants into the atmosphere, odors, noise levels, the impact occurs repeatedly/discontinuously, with an </w:t>
                        </w:r>
                        <w:r>
                          <w:rPr>
                            <w:spacing w:val="-2"/>
                            <w:w w:val="120"/>
                            <w:sz w:val="12"/>
                          </w:rPr>
                          <w:t>unknown</w:t>
                        </w:r>
                        <w:r>
                          <w:rPr>
                            <w:w w:val="120"/>
                            <w:sz w:val="12"/>
                          </w:rPr>
                          <w:t xml:space="preserve"> frequency</w:t>
                        </w:r>
                      </w:p>
                      <w:p w14:paraId="70A92AFD" w14:textId="77777777" w:rsidR="008715BE" w:rsidRDefault="00000000">
                        <w:pPr>
                          <w:numPr>
                            <w:ilvl w:val="0"/>
                            <w:numId w:val="78"/>
                          </w:numPr>
                          <w:tabs>
                            <w:tab w:val="left" w:pos="2271"/>
                          </w:tabs>
                          <w:spacing w:line="200" w:lineRule="exact"/>
                          <w:ind w:left="2271" w:hanging="172"/>
                          <w:rPr>
                            <w:sz w:val="18"/>
                          </w:rPr>
                        </w:pPr>
                        <w:r>
                          <w:rPr>
                            <w:spacing w:val="-2"/>
                            <w:w w:val="125"/>
                            <w:sz w:val="12"/>
                          </w:rPr>
                          <w:t>Accidental – for accidental spills of hazardous chemicals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65760" behindDoc="1" locked="0" layoutInCell="1" allowOverlap="1" wp14:anchorId="2D8F3319" wp14:editId="69A8101C">
                <wp:simplePos x="0" y="0"/>
                <wp:positionH relativeFrom="page">
                  <wp:posOffset>810259</wp:posOffset>
                </wp:positionH>
                <wp:positionV relativeFrom="paragraph">
                  <wp:posOffset>4130294</wp:posOffset>
                </wp:positionV>
                <wp:extent cx="5904230" cy="1174750"/>
                <wp:effectExtent l="0" t="0" r="0" b="0"/>
                <wp:wrapTopAndBottom/>
                <wp:docPr id="260" name="Group 260"/>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61" name="Graphic 261"/>
                        <wps:cNvSpPr/>
                        <wps:spPr>
                          <a:xfrm>
                            <a:off x="0" y="0"/>
                            <a:ext cx="5904230" cy="1174750"/>
                          </a:xfrm>
                          <a:custGeom>
                            <a:avLst/>
                            <a:gdLst/>
                            <a:ahLst/>
                            <a:cxnLst/>
                            <a:rect l="l" t="t" r="r" b="b"/>
                            <a:pathLst>
                              <a:path w="5904230" h="1174750">
                                <a:moveTo>
                                  <a:pt x="5786755" y="0"/>
                                </a:moveTo>
                                <a:lnTo>
                                  <a:pt x="117424" y="0"/>
                                </a:lnTo>
                                <a:lnTo>
                                  <a:pt x="71719" y="9229"/>
                                </a:lnTo>
                                <a:lnTo>
                                  <a:pt x="34394" y="34401"/>
                                </a:lnTo>
                                <a:lnTo>
                                  <a:pt x="9228" y="71741"/>
                                </a:lnTo>
                                <a:lnTo>
                                  <a:pt x="0" y="117474"/>
                                </a:lnTo>
                                <a:lnTo>
                                  <a:pt x="0" y="1056893"/>
                                </a:lnTo>
                                <a:lnTo>
                                  <a:pt x="9228" y="1102554"/>
                                </a:lnTo>
                                <a:lnTo>
                                  <a:pt x="34394" y="1139856"/>
                                </a:lnTo>
                                <a:lnTo>
                                  <a:pt x="71719" y="1165014"/>
                                </a:lnTo>
                                <a:lnTo>
                                  <a:pt x="117424" y="1174241"/>
                                </a:lnTo>
                                <a:lnTo>
                                  <a:pt x="5786755" y="1174241"/>
                                </a:lnTo>
                                <a:lnTo>
                                  <a:pt x="5832488" y="1165014"/>
                                </a:lnTo>
                                <a:lnTo>
                                  <a:pt x="5869828" y="1139856"/>
                                </a:lnTo>
                                <a:lnTo>
                                  <a:pt x="5895000" y="1102554"/>
                                </a:lnTo>
                                <a:lnTo>
                                  <a:pt x="5904230" y="1056893"/>
                                </a:lnTo>
                                <a:lnTo>
                                  <a:pt x="5904230" y="117474"/>
                                </a:lnTo>
                                <a:lnTo>
                                  <a:pt x="5895000" y="71741"/>
                                </a:lnTo>
                                <a:lnTo>
                                  <a:pt x="5869828" y="34401"/>
                                </a:lnTo>
                                <a:lnTo>
                                  <a:pt x="5832488" y="9229"/>
                                </a:lnTo>
                                <a:lnTo>
                                  <a:pt x="5786755" y="0"/>
                                </a:lnTo>
                                <a:close/>
                              </a:path>
                            </a:pathLst>
                          </a:custGeom>
                          <a:solidFill>
                            <a:srgbClr val="E1EFD9"/>
                          </a:solidFill>
                        </wps:spPr>
                        <wps:bodyPr wrap="square" lIns="0" tIns="0" rIns="0" bIns="0" rtlCol="0">
                          <a:prstTxWarp prst="textNoShape">
                            <a:avLst/>
                          </a:prstTxWarp>
                        </wps:bodyPr>
                      </wps:wsp>
                      <wps:wsp>
                        <wps:cNvPr id="262" name="Graphic 262"/>
                        <wps:cNvSpPr/>
                        <wps:spPr>
                          <a:xfrm>
                            <a:off x="266728" y="136708"/>
                            <a:ext cx="753745" cy="866140"/>
                          </a:xfrm>
                          <a:custGeom>
                            <a:avLst/>
                            <a:gdLst/>
                            <a:ahLst/>
                            <a:cxnLst/>
                            <a:rect l="l" t="t" r="r" b="b"/>
                            <a:pathLst>
                              <a:path w="753745" h="866140">
                                <a:moveTo>
                                  <a:pt x="692854" y="0"/>
                                </a:moveTo>
                                <a:lnTo>
                                  <a:pt x="60776" y="0"/>
                                </a:lnTo>
                                <a:lnTo>
                                  <a:pt x="17815" y="15239"/>
                                </a:lnTo>
                                <a:lnTo>
                                  <a:pt x="0" y="53339"/>
                                </a:lnTo>
                                <a:lnTo>
                                  <a:pt x="0" y="812799"/>
                                </a:lnTo>
                                <a:lnTo>
                                  <a:pt x="17815" y="850899"/>
                                </a:lnTo>
                                <a:lnTo>
                                  <a:pt x="60776" y="866140"/>
                                </a:lnTo>
                                <a:lnTo>
                                  <a:pt x="692854" y="866140"/>
                                </a:lnTo>
                                <a:lnTo>
                                  <a:pt x="716498" y="862330"/>
                                </a:lnTo>
                                <a:lnTo>
                                  <a:pt x="735808" y="850900"/>
                                </a:lnTo>
                                <a:lnTo>
                                  <a:pt x="740460" y="844550"/>
                                </a:lnTo>
                                <a:lnTo>
                                  <a:pt x="60776" y="844550"/>
                                </a:lnTo>
                                <a:lnTo>
                                  <a:pt x="46579" y="842010"/>
                                </a:lnTo>
                                <a:lnTo>
                                  <a:pt x="34988" y="835660"/>
                                </a:lnTo>
                                <a:lnTo>
                                  <a:pt x="27175" y="825500"/>
                                </a:lnTo>
                                <a:lnTo>
                                  <a:pt x="24310" y="812800"/>
                                </a:lnTo>
                                <a:lnTo>
                                  <a:pt x="24310" y="703579"/>
                                </a:lnTo>
                                <a:lnTo>
                                  <a:pt x="158019" y="703580"/>
                                </a:lnTo>
                                <a:lnTo>
                                  <a:pt x="158019" y="681990"/>
                                </a:lnTo>
                                <a:lnTo>
                                  <a:pt x="24310" y="681989"/>
                                </a:lnTo>
                                <a:lnTo>
                                  <a:pt x="24310" y="530859"/>
                                </a:lnTo>
                                <a:lnTo>
                                  <a:pt x="158019" y="530860"/>
                                </a:lnTo>
                                <a:lnTo>
                                  <a:pt x="158019" y="509270"/>
                                </a:lnTo>
                                <a:lnTo>
                                  <a:pt x="24310" y="509269"/>
                                </a:lnTo>
                                <a:lnTo>
                                  <a:pt x="24310" y="356869"/>
                                </a:lnTo>
                                <a:lnTo>
                                  <a:pt x="303883" y="356870"/>
                                </a:lnTo>
                                <a:lnTo>
                                  <a:pt x="303883" y="335280"/>
                                </a:lnTo>
                                <a:lnTo>
                                  <a:pt x="24310" y="335279"/>
                                </a:lnTo>
                                <a:lnTo>
                                  <a:pt x="24310" y="184149"/>
                                </a:lnTo>
                                <a:lnTo>
                                  <a:pt x="158019" y="184150"/>
                                </a:lnTo>
                                <a:lnTo>
                                  <a:pt x="158019" y="162560"/>
                                </a:lnTo>
                                <a:lnTo>
                                  <a:pt x="24310" y="162559"/>
                                </a:lnTo>
                                <a:lnTo>
                                  <a:pt x="24310" y="53339"/>
                                </a:lnTo>
                                <a:lnTo>
                                  <a:pt x="27175" y="40639"/>
                                </a:lnTo>
                                <a:lnTo>
                                  <a:pt x="34988" y="30479"/>
                                </a:lnTo>
                                <a:lnTo>
                                  <a:pt x="46579" y="24129"/>
                                </a:lnTo>
                                <a:lnTo>
                                  <a:pt x="60776" y="21590"/>
                                </a:lnTo>
                                <a:lnTo>
                                  <a:pt x="740460" y="21590"/>
                                </a:lnTo>
                                <a:lnTo>
                                  <a:pt x="735808" y="15240"/>
                                </a:lnTo>
                                <a:lnTo>
                                  <a:pt x="716498" y="3810"/>
                                </a:lnTo>
                                <a:lnTo>
                                  <a:pt x="692854" y="0"/>
                                </a:lnTo>
                                <a:close/>
                              </a:path>
                              <a:path w="753745" h="866140">
                                <a:moveTo>
                                  <a:pt x="753631" y="703580"/>
                                </a:moveTo>
                                <a:lnTo>
                                  <a:pt x="729320" y="703580"/>
                                </a:lnTo>
                                <a:lnTo>
                                  <a:pt x="729320" y="812800"/>
                                </a:lnTo>
                                <a:lnTo>
                                  <a:pt x="726454" y="825500"/>
                                </a:lnTo>
                                <a:lnTo>
                                  <a:pt x="718638" y="835660"/>
                                </a:lnTo>
                                <a:lnTo>
                                  <a:pt x="707047" y="842010"/>
                                </a:lnTo>
                                <a:lnTo>
                                  <a:pt x="692854" y="844550"/>
                                </a:lnTo>
                                <a:lnTo>
                                  <a:pt x="740460" y="844550"/>
                                </a:lnTo>
                                <a:lnTo>
                                  <a:pt x="748835" y="833120"/>
                                </a:lnTo>
                                <a:lnTo>
                                  <a:pt x="753631" y="812800"/>
                                </a:lnTo>
                                <a:lnTo>
                                  <a:pt x="753631" y="703580"/>
                                </a:lnTo>
                                <a:close/>
                              </a:path>
                              <a:path w="753745" h="866140">
                                <a:moveTo>
                                  <a:pt x="158019" y="703580"/>
                                </a:moveTo>
                                <a:lnTo>
                                  <a:pt x="133708" y="703580"/>
                                </a:lnTo>
                                <a:lnTo>
                                  <a:pt x="133708" y="715010"/>
                                </a:lnTo>
                                <a:lnTo>
                                  <a:pt x="137529" y="731520"/>
                                </a:lnTo>
                                <a:lnTo>
                                  <a:pt x="147949" y="745490"/>
                                </a:lnTo>
                                <a:lnTo>
                                  <a:pt x="163404" y="754380"/>
                                </a:lnTo>
                                <a:lnTo>
                                  <a:pt x="182330" y="758190"/>
                                </a:lnTo>
                                <a:lnTo>
                                  <a:pt x="201251" y="754380"/>
                                </a:lnTo>
                                <a:lnTo>
                                  <a:pt x="216706" y="745490"/>
                                </a:lnTo>
                                <a:lnTo>
                                  <a:pt x="223339" y="736600"/>
                                </a:lnTo>
                                <a:lnTo>
                                  <a:pt x="182330" y="736600"/>
                                </a:lnTo>
                                <a:lnTo>
                                  <a:pt x="172865" y="735330"/>
                                </a:lnTo>
                                <a:lnTo>
                                  <a:pt x="165137" y="730250"/>
                                </a:lnTo>
                                <a:lnTo>
                                  <a:pt x="159929" y="723900"/>
                                </a:lnTo>
                                <a:lnTo>
                                  <a:pt x="158019" y="715010"/>
                                </a:lnTo>
                                <a:lnTo>
                                  <a:pt x="158019" y="703580"/>
                                </a:lnTo>
                                <a:close/>
                              </a:path>
                              <a:path w="753745" h="866140">
                                <a:moveTo>
                                  <a:pt x="425436" y="703580"/>
                                </a:moveTo>
                                <a:lnTo>
                                  <a:pt x="401126" y="703580"/>
                                </a:lnTo>
                                <a:lnTo>
                                  <a:pt x="401126" y="715010"/>
                                </a:lnTo>
                                <a:lnTo>
                                  <a:pt x="404947" y="731520"/>
                                </a:lnTo>
                                <a:lnTo>
                                  <a:pt x="415366" y="745490"/>
                                </a:lnTo>
                                <a:lnTo>
                                  <a:pt x="430821" y="754380"/>
                                </a:lnTo>
                                <a:lnTo>
                                  <a:pt x="449747" y="758190"/>
                                </a:lnTo>
                                <a:lnTo>
                                  <a:pt x="468669" y="754380"/>
                                </a:lnTo>
                                <a:lnTo>
                                  <a:pt x="484124" y="745490"/>
                                </a:lnTo>
                                <a:lnTo>
                                  <a:pt x="490756" y="736600"/>
                                </a:lnTo>
                                <a:lnTo>
                                  <a:pt x="449747" y="736600"/>
                                </a:lnTo>
                                <a:lnTo>
                                  <a:pt x="440282" y="735330"/>
                                </a:lnTo>
                                <a:lnTo>
                                  <a:pt x="432555" y="730250"/>
                                </a:lnTo>
                                <a:lnTo>
                                  <a:pt x="427346" y="723900"/>
                                </a:lnTo>
                                <a:lnTo>
                                  <a:pt x="425436" y="715010"/>
                                </a:lnTo>
                                <a:lnTo>
                                  <a:pt x="425436" y="703580"/>
                                </a:lnTo>
                                <a:close/>
                              </a:path>
                              <a:path w="753745" h="866140">
                                <a:moveTo>
                                  <a:pt x="546990" y="703580"/>
                                </a:moveTo>
                                <a:lnTo>
                                  <a:pt x="522679" y="703580"/>
                                </a:lnTo>
                                <a:lnTo>
                                  <a:pt x="522679" y="715010"/>
                                </a:lnTo>
                                <a:lnTo>
                                  <a:pt x="526500" y="731520"/>
                                </a:lnTo>
                                <a:lnTo>
                                  <a:pt x="536920" y="745490"/>
                                </a:lnTo>
                                <a:lnTo>
                                  <a:pt x="552375" y="754380"/>
                                </a:lnTo>
                                <a:lnTo>
                                  <a:pt x="571301" y="758190"/>
                                </a:lnTo>
                                <a:lnTo>
                                  <a:pt x="590222" y="754380"/>
                                </a:lnTo>
                                <a:lnTo>
                                  <a:pt x="605677" y="745490"/>
                                </a:lnTo>
                                <a:lnTo>
                                  <a:pt x="612310" y="736600"/>
                                </a:lnTo>
                                <a:lnTo>
                                  <a:pt x="571300" y="736600"/>
                                </a:lnTo>
                                <a:lnTo>
                                  <a:pt x="561835" y="735330"/>
                                </a:lnTo>
                                <a:lnTo>
                                  <a:pt x="554108" y="730250"/>
                                </a:lnTo>
                                <a:lnTo>
                                  <a:pt x="548900" y="723900"/>
                                </a:lnTo>
                                <a:lnTo>
                                  <a:pt x="546990" y="715010"/>
                                </a:lnTo>
                                <a:lnTo>
                                  <a:pt x="546990" y="703580"/>
                                </a:lnTo>
                                <a:close/>
                              </a:path>
                              <a:path w="753745" h="866140">
                                <a:moveTo>
                                  <a:pt x="223339" y="650240"/>
                                </a:moveTo>
                                <a:lnTo>
                                  <a:pt x="182330" y="650240"/>
                                </a:lnTo>
                                <a:lnTo>
                                  <a:pt x="191790" y="651510"/>
                                </a:lnTo>
                                <a:lnTo>
                                  <a:pt x="199518" y="656590"/>
                                </a:lnTo>
                                <a:lnTo>
                                  <a:pt x="204729" y="662940"/>
                                </a:lnTo>
                                <a:lnTo>
                                  <a:pt x="206640" y="671830"/>
                                </a:lnTo>
                                <a:lnTo>
                                  <a:pt x="206640" y="715010"/>
                                </a:lnTo>
                                <a:lnTo>
                                  <a:pt x="204729" y="723900"/>
                                </a:lnTo>
                                <a:lnTo>
                                  <a:pt x="199518" y="730250"/>
                                </a:lnTo>
                                <a:lnTo>
                                  <a:pt x="191790" y="735330"/>
                                </a:lnTo>
                                <a:lnTo>
                                  <a:pt x="182330" y="736600"/>
                                </a:lnTo>
                                <a:lnTo>
                                  <a:pt x="223339" y="736600"/>
                                </a:lnTo>
                                <a:lnTo>
                                  <a:pt x="227129" y="731520"/>
                                </a:lnTo>
                                <a:lnTo>
                                  <a:pt x="230951" y="715010"/>
                                </a:lnTo>
                                <a:lnTo>
                                  <a:pt x="230951" y="703580"/>
                                </a:lnTo>
                                <a:lnTo>
                                  <a:pt x="425436" y="703580"/>
                                </a:lnTo>
                                <a:lnTo>
                                  <a:pt x="425436" y="681990"/>
                                </a:lnTo>
                                <a:lnTo>
                                  <a:pt x="230951" y="681990"/>
                                </a:lnTo>
                                <a:lnTo>
                                  <a:pt x="230951" y="671830"/>
                                </a:lnTo>
                                <a:lnTo>
                                  <a:pt x="227129" y="655320"/>
                                </a:lnTo>
                                <a:lnTo>
                                  <a:pt x="223339" y="650240"/>
                                </a:lnTo>
                                <a:close/>
                              </a:path>
                              <a:path w="753745" h="866140">
                                <a:moveTo>
                                  <a:pt x="490756" y="650240"/>
                                </a:moveTo>
                                <a:lnTo>
                                  <a:pt x="449747" y="650240"/>
                                </a:lnTo>
                                <a:lnTo>
                                  <a:pt x="459208" y="651510"/>
                                </a:lnTo>
                                <a:lnTo>
                                  <a:pt x="466936" y="656590"/>
                                </a:lnTo>
                                <a:lnTo>
                                  <a:pt x="472147" y="662940"/>
                                </a:lnTo>
                                <a:lnTo>
                                  <a:pt x="474058" y="671830"/>
                                </a:lnTo>
                                <a:lnTo>
                                  <a:pt x="474058" y="715010"/>
                                </a:lnTo>
                                <a:lnTo>
                                  <a:pt x="472147" y="723900"/>
                                </a:lnTo>
                                <a:lnTo>
                                  <a:pt x="466936" y="730250"/>
                                </a:lnTo>
                                <a:lnTo>
                                  <a:pt x="459208" y="735330"/>
                                </a:lnTo>
                                <a:lnTo>
                                  <a:pt x="449747" y="736600"/>
                                </a:lnTo>
                                <a:lnTo>
                                  <a:pt x="490756" y="736600"/>
                                </a:lnTo>
                                <a:lnTo>
                                  <a:pt x="494546" y="731520"/>
                                </a:lnTo>
                                <a:lnTo>
                                  <a:pt x="498368" y="715010"/>
                                </a:lnTo>
                                <a:lnTo>
                                  <a:pt x="498368" y="703580"/>
                                </a:lnTo>
                                <a:lnTo>
                                  <a:pt x="546990" y="703580"/>
                                </a:lnTo>
                                <a:lnTo>
                                  <a:pt x="546990" y="681990"/>
                                </a:lnTo>
                                <a:lnTo>
                                  <a:pt x="498368" y="681990"/>
                                </a:lnTo>
                                <a:lnTo>
                                  <a:pt x="498368" y="671830"/>
                                </a:lnTo>
                                <a:lnTo>
                                  <a:pt x="494546" y="655320"/>
                                </a:lnTo>
                                <a:lnTo>
                                  <a:pt x="490756" y="650240"/>
                                </a:lnTo>
                                <a:close/>
                              </a:path>
                              <a:path w="753745" h="866140">
                                <a:moveTo>
                                  <a:pt x="612310" y="650240"/>
                                </a:moveTo>
                                <a:lnTo>
                                  <a:pt x="571300" y="650240"/>
                                </a:lnTo>
                                <a:lnTo>
                                  <a:pt x="580761" y="651510"/>
                                </a:lnTo>
                                <a:lnTo>
                                  <a:pt x="588489" y="656590"/>
                                </a:lnTo>
                                <a:lnTo>
                                  <a:pt x="593700" y="662940"/>
                                </a:lnTo>
                                <a:lnTo>
                                  <a:pt x="595611" y="671830"/>
                                </a:lnTo>
                                <a:lnTo>
                                  <a:pt x="595611" y="715010"/>
                                </a:lnTo>
                                <a:lnTo>
                                  <a:pt x="593700" y="723900"/>
                                </a:lnTo>
                                <a:lnTo>
                                  <a:pt x="588489" y="730250"/>
                                </a:lnTo>
                                <a:lnTo>
                                  <a:pt x="580761" y="735330"/>
                                </a:lnTo>
                                <a:lnTo>
                                  <a:pt x="571300" y="736600"/>
                                </a:lnTo>
                                <a:lnTo>
                                  <a:pt x="612310" y="736600"/>
                                </a:lnTo>
                                <a:lnTo>
                                  <a:pt x="616100" y="731520"/>
                                </a:lnTo>
                                <a:lnTo>
                                  <a:pt x="619922" y="715010"/>
                                </a:lnTo>
                                <a:lnTo>
                                  <a:pt x="619922" y="703580"/>
                                </a:lnTo>
                                <a:lnTo>
                                  <a:pt x="753631" y="703580"/>
                                </a:lnTo>
                                <a:lnTo>
                                  <a:pt x="753631" y="681990"/>
                                </a:lnTo>
                                <a:lnTo>
                                  <a:pt x="619922" y="681990"/>
                                </a:lnTo>
                                <a:lnTo>
                                  <a:pt x="619922" y="671830"/>
                                </a:lnTo>
                                <a:lnTo>
                                  <a:pt x="616100" y="655320"/>
                                </a:lnTo>
                                <a:lnTo>
                                  <a:pt x="612310" y="650240"/>
                                </a:lnTo>
                                <a:close/>
                              </a:path>
                              <a:path w="753745" h="866140">
                                <a:moveTo>
                                  <a:pt x="182330" y="628650"/>
                                </a:moveTo>
                                <a:lnTo>
                                  <a:pt x="163404" y="631190"/>
                                </a:lnTo>
                                <a:lnTo>
                                  <a:pt x="147949" y="641350"/>
                                </a:lnTo>
                                <a:lnTo>
                                  <a:pt x="137529" y="655320"/>
                                </a:lnTo>
                                <a:lnTo>
                                  <a:pt x="133708" y="671830"/>
                                </a:lnTo>
                                <a:lnTo>
                                  <a:pt x="133708" y="681990"/>
                                </a:lnTo>
                                <a:lnTo>
                                  <a:pt x="158019" y="681990"/>
                                </a:lnTo>
                                <a:lnTo>
                                  <a:pt x="158019" y="671830"/>
                                </a:lnTo>
                                <a:lnTo>
                                  <a:pt x="159929" y="662940"/>
                                </a:lnTo>
                                <a:lnTo>
                                  <a:pt x="165137" y="656590"/>
                                </a:lnTo>
                                <a:lnTo>
                                  <a:pt x="172865" y="651510"/>
                                </a:lnTo>
                                <a:lnTo>
                                  <a:pt x="182330" y="650240"/>
                                </a:lnTo>
                                <a:lnTo>
                                  <a:pt x="223339" y="650240"/>
                                </a:lnTo>
                                <a:lnTo>
                                  <a:pt x="216706" y="641350"/>
                                </a:lnTo>
                                <a:lnTo>
                                  <a:pt x="201251" y="631190"/>
                                </a:lnTo>
                                <a:lnTo>
                                  <a:pt x="182330" y="628650"/>
                                </a:lnTo>
                                <a:close/>
                              </a:path>
                              <a:path w="753745" h="866140">
                                <a:moveTo>
                                  <a:pt x="449747" y="628650"/>
                                </a:moveTo>
                                <a:lnTo>
                                  <a:pt x="430821" y="631190"/>
                                </a:lnTo>
                                <a:lnTo>
                                  <a:pt x="415366" y="641350"/>
                                </a:lnTo>
                                <a:lnTo>
                                  <a:pt x="404947" y="655320"/>
                                </a:lnTo>
                                <a:lnTo>
                                  <a:pt x="401126" y="671830"/>
                                </a:lnTo>
                                <a:lnTo>
                                  <a:pt x="401126" y="681990"/>
                                </a:lnTo>
                                <a:lnTo>
                                  <a:pt x="425436" y="681990"/>
                                </a:lnTo>
                                <a:lnTo>
                                  <a:pt x="425436" y="671830"/>
                                </a:lnTo>
                                <a:lnTo>
                                  <a:pt x="427346" y="662940"/>
                                </a:lnTo>
                                <a:lnTo>
                                  <a:pt x="432555" y="656590"/>
                                </a:lnTo>
                                <a:lnTo>
                                  <a:pt x="440282" y="651510"/>
                                </a:lnTo>
                                <a:lnTo>
                                  <a:pt x="449747" y="650240"/>
                                </a:lnTo>
                                <a:lnTo>
                                  <a:pt x="490756" y="650240"/>
                                </a:lnTo>
                                <a:lnTo>
                                  <a:pt x="484124" y="641350"/>
                                </a:lnTo>
                                <a:lnTo>
                                  <a:pt x="468669" y="631190"/>
                                </a:lnTo>
                                <a:lnTo>
                                  <a:pt x="449747" y="628650"/>
                                </a:lnTo>
                                <a:close/>
                              </a:path>
                              <a:path w="753745" h="866140">
                                <a:moveTo>
                                  <a:pt x="571300" y="628650"/>
                                </a:moveTo>
                                <a:lnTo>
                                  <a:pt x="552375" y="631190"/>
                                </a:lnTo>
                                <a:lnTo>
                                  <a:pt x="536920" y="641350"/>
                                </a:lnTo>
                                <a:lnTo>
                                  <a:pt x="526500" y="655320"/>
                                </a:lnTo>
                                <a:lnTo>
                                  <a:pt x="522679" y="671830"/>
                                </a:lnTo>
                                <a:lnTo>
                                  <a:pt x="522679" y="681990"/>
                                </a:lnTo>
                                <a:lnTo>
                                  <a:pt x="546990" y="681990"/>
                                </a:lnTo>
                                <a:lnTo>
                                  <a:pt x="546990" y="671830"/>
                                </a:lnTo>
                                <a:lnTo>
                                  <a:pt x="548900" y="662940"/>
                                </a:lnTo>
                                <a:lnTo>
                                  <a:pt x="554108" y="656590"/>
                                </a:lnTo>
                                <a:lnTo>
                                  <a:pt x="561835" y="651510"/>
                                </a:lnTo>
                                <a:lnTo>
                                  <a:pt x="571300" y="650240"/>
                                </a:lnTo>
                                <a:lnTo>
                                  <a:pt x="612310" y="650240"/>
                                </a:lnTo>
                                <a:lnTo>
                                  <a:pt x="605677" y="641350"/>
                                </a:lnTo>
                                <a:lnTo>
                                  <a:pt x="590222" y="631190"/>
                                </a:lnTo>
                                <a:lnTo>
                                  <a:pt x="571300" y="628650"/>
                                </a:lnTo>
                                <a:close/>
                              </a:path>
                              <a:path w="753745" h="866140">
                                <a:moveTo>
                                  <a:pt x="753631" y="530860"/>
                                </a:moveTo>
                                <a:lnTo>
                                  <a:pt x="729320" y="530860"/>
                                </a:lnTo>
                                <a:lnTo>
                                  <a:pt x="729320" y="681990"/>
                                </a:lnTo>
                                <a:lnTo>
                                  <a:pt x="753631" y="681990"/>
                                </a:lnTo>
                                <a:lnTo>
                                  <a:pt x="753631" y="530860"/>
                                </a:lnTo>
                                <a:close/>
                              </a:path>
                              <a:path w="753745" h="866140">
                                <a:moveTo>
                                  <a:pt x="158019" y="530860"/>
                                </a:moveTo>
                                <a:lnTo>
                                  <a:pt x="133708" y="530860"/>
                                </a:lnTo>
                                <a:lnTo>
                                  <a:pt x="133708" y="541020"/>
                                </a:lnTo>
                                <a:lnTo>
                                  <a:pt x="137529" y="558800"/>
                                </a:lnTo>
                                <a:lnTo>
                                  <a:pt x="147949" y="572770"/>
                                </a:lnTo>
                                <a:lnTo>
                                  <a:pt x="163404" y="581660"/>
                                </a:lnTo>
                                <a:lnTo>
                                  <a:pt x="182330" y="585470"/>
                                </a:lnTo>
                                <a:lnTo>
                                  <a:pt x="201251" y="581660"/>
                                </a:lnTo>
                                <a:lnTo>
                                  <a:pt x="216706" y="572770"/>
                                </a:lnTo>
                                <a:lnTo>
                                  <a:pt x="223339" y="563880"/>
                                </a:lnTo>
                                <a:lnTo>
                                  <a:pt x="182330" y="563880"/>
                                </a:lnTo>
                                <a:lnTo>
                                  <a:pt x="172865" y="561340"/>
                                </a:lnTo>
                                <a:lnTo>
                                  <a:pt x="165137" y="557530"/>
                                </a:lnTo>
                                <a:lnTo>
                                  <a:pt x="159929" y="549910"/>
                                </a:lnTo>
                                <a:lnTo>
                                  <a:pt x="158019" y="541020"/>
                                </a:lnTo>
                                <a:lnTo>
                                  <a:pt x="158019" y="530860"/>
                                </a:lnTo>
                                <a:close/>
                              </a:path>
                              <a:path w="753745" h="866140">
                                <a:moveTo>
                                  <a:pt x="279572" y="530860"/>
                                </a:moveTo>
                                <a:lnTo>
                                  <a:pt x="255262" y="530860"/>
                                </a:lnTo>
                                <a:lnTo>
                                  <a:pt x="255262" y="541020"/>
                                </a:lnTo>
                                <a:lnTo>
                                  <a:pt x="259083" y="558800"/>
                                </a:lnTo>
                                <a:lnTo>
                                  <a:pt x="269502" y="572770"/>
                                </a:lnTo>
                                <a:lnTo>
                                  <a:pt x="284957" y="581660"/>
                                </a:lnTo>
                                <a:lnTo>
                                  <a:pt x="303883" y="585470"/>
                                </a:lnTo>
                                <a:lnTo>
                                  <a:pt x="322805" y="581660"/>
                                </a:lnTo>
                                <a:lnTo>
                                  <a:pt x="338260" y="572770"/>
                                </a:lnTo>
                                <a:lnTo>
                                  <a:pt x="344892" y="563880"/>
                                </a:lnTo>
                                <a:lnTo>
                                  <a:pt x="303883" y="563880"/>
                                </a:lnTo>
                                <a:lnTo>
                                  <a:pt x="294418" y="561340"/>
                                </a:lnTo>
                                <a:lnTo>
                                  <a:pt x="286691" y="557530"/>
                                </a:lnTo>
                                <a:lnTo>
                                  <a:pt x="281482" y="549910"/>
                                </a:lnTo>
                                <a:lnTo>
                                  <a:pt x="279572" y="541020"/>
                                </a:lnTo>
                                <a:lnTo>
                                  <a:pt x="279572" y="530860"/>
                                </a:lnTo>
                                <a:close/>
                              </a:path>
                              <a:path w="753745" h="866140">
                                <a:moveTo>
                                  <a:pt x="546990" y="530860"/>
                                </a:moveTo>
                                <a:lnTo>
                                  <a:pt x="522679" y="530860"/>
                                </a:lnTo>
                                <a:lnTo>
                                  <a:pt x="522679" y="541020"/>
                                </a:lnTo>
                                <a:lnTo>
                                  <a:pt x="526500" y="558800"/>
                                </a:lnTo>
                                <a:lnTo>
                                  <a:pt x="536920" y="572770"/>
                                </a:lnTo>
                                <a:lnTo>
                                  <a:pt x="552375" y="581660"/>
                                </a:lnTo>
                                <a:lnTo>
                                  <a:pt x="571300" y="585470"/>
                                </a:lnTo>
                                <a:lnTo>
                                  <a:pt x="590222" y="581660"/>
                                </a:lnTo>
                                <a:lnTo>
                                  <a:pt x="605677" y="572770"/>
                                </a:lnTo>
                                <a:lnTo>
                                  <a:pt x="612310" y="563880"/>
                                </a:lnTo>
                                <a:lnTo>
                                  <a:pt x="571300" y="563880"/>
                                </a:lnTo>
                                <a:lnTo>
                                  <a:pt x="561835" y="561340"/>
                                </a:lnTo>
                                <a:lnTo>
                                  <a:pt x="554108" y="557530"/>
                                </a:lnTo>
                                <a:lnTo>
                                  <a:pt x="548900" y="549910"/>
                                </a:lnTo>
                                <a:lnTo>
                                  <a:pt x="546990" y="541020"/>
                                </a:lnTo>
                                <a:lnTo>
                                  <a:pt x="546990" y="530860"/>
                                </a:lnTo>
                                <a:close/>
                              </a:path>
                              <a:path w="753745" h="866140">
                                <a:moveTo>
                                  <a:pt x="223339" y="476250"/>
                                </a:moveTo>
                                <a:lnTo>
                                  <a:pt x="182330" y="476250"/>
                                </a:lnTo>
                                <a:lnTo>
                                  <a:pt x="191790" y="478790"/>
                                </a:lnTo>
                                <a:lnTo>
                                  <a:pt x="199518" y="482600"/>
                                </a:lnTo>
                                <a:lnTo>
                                  <a:pt x="204729" y="490220"/>
                                </a:lnTo>
                                <a:lnTo>
                                  <a:pt x="206640" y="497840"/>
                                </a:lnTo>
                                <a:lnTo>
                                  <a:pt x="206640" y="541020"/>
                                </a:lnTo>
                                <a:lnTo>
                                  <a:pt x="204729" y="549910"/>
                                </a:lnTo>
                                <a:lnTo>
                                  <a:pt x="199518" y="557530"/>
                                </a:lnTo>
                                <a:lnTo>
                                  <a:pt x="191790" y="561340"/>
                                </a:lnTo>
                                <a:lnTo>
                                  <a:pt x="182330" y="563880"/>
                                </a:lnTo>
                                <a:lnTo>
                                  <a:pt x="223339" y="563880"/>
                                </a:lnTo>
                                <a:lnTo>
                                  <a:pt x="227129" y="558800"/>
                                </a:lnTo>
                                <a:lnTo>
                                  <a:pt x="230951" y="541020"/>
                                </a:lnTo>
                                <a:lnTo>
                                  <a:pt x="230951" y="530860"/>
                                </a:lnTo>
                                <a:lnTo>
                                  <a:pt x="279572" y="530860"/>
                                </a:lnTo>
                                <a:lnTo>
                                  <a:pt x="279572" y="509270"/>
                                </a:lnTo>
                                <a:lnTo>
                                  <a:pt x="230951" y="509270"/>
                                </a:lnTo>
                                <a:lnTo>
                                  <a:pt x="230951" y="497840"/>
                                </a:lnTo>
                                <a:lnTo>
                                  <a:pt x="227129" y="481330"/>
                                </a:lnTo>
                                <a:lnTo>
                                  <a:pt x="223339" y="476250"/>
                                </a:lnTo>
                                <a:close/>
                              </a:path>
                              <a:path w="753745" h="866140">
                                <a:moveTo>
                                  <a:pt x="344892" y="476250"/>
                                </a:moveTo>
                                <a:lnTo>
                                  <a:pt x="303883" y="476250"/>
                                </a:lnTo>
                                <a:lnTo>
                                  <a:pt x="313344" y="478790"/>
                                </a:lnTo>
                                <a:lnTo>
                                  <a:pt x="321071" y="482600"/>
                                </a:lnTo>
                                <a:lnTo>
                                  <a:pt x="326283" y="490220"/>
                                </a:lnTo>
                                <a:lnTo>
                                  <a:pt x="328194" y="497840"/>
                                </a:lnTo>
                                <a:lnTo>
                                  <a:pt x="328194" y="541020"/>
                                </a:lnTo>
                                <a:lnTo>
                                  <a:pt x="326283" y="549910"/>
                                </a:lnTo>
                                <a:lnTo>
                                  <a:pt x="321071" y="557530"/>
                                </a:lnTo>
                                <a:lnTo>
                                  <a:pt x="313344" y="561340"/>
                                </a:lnTo>
                                <a:lnTo>
                                  <a:pt x="303883" y="563880"/>
                                </a:lnTo>
                                <a:lnTo>
                                  <a:pt x="344892" y="563880"/>
                                </a:lnTo>
                                <a:lnTo>
                                  <a:pt x="348682" y="558800"/>
                                </a:lnTo>
                                <a:lnTo>
                                  <a:pt x="352504" y="541020"/>
                                </a:lnTo>
                                <a:lnTo>
                                  <a:pt x="352504" y="530860"/>
                                </a:lnTo>
                                <a:lnTo>
                                  <a:pt x="546990" y="530860"/>
                                </a:lnTo>
                                <a:lnTo>
                                  <a:pt x="546990" y="509270"/>
                                </a:lnTo>
                                <a:lnTo>
                                  <a:pt x="352504" y="509270"/>
                                </a:lnTo>
                                <a:lnTo>
                                  <a:pt x="352504" y="497840"/>
                                </a:lnTo>
                                <a:lnTo>
                                  <a:pt x="348682" y="481330"/>
                                </a:lnTo>
                                <a:lnTo>
                                  <a:pt x="344892" y="476250"/>
                                </a:lnTo>
                                <a:close/>
                              </a:path>
                              <a:path w="753745" h="866140">
                                <a:moveTo>
                                  <a:pt x="612310" y="476250"/>
                                </a:moveTo>
                                <a:lnTo>
                                  <a:pt x="571300" y="476250"/>
                                </a:lnTo>
                                <a:lnTo>
                                  <a:pt x="580761" y="478790"/>
                                </a:lnTo>
                                <a:lnTo>
                                  <a:pt x="588489" y="482600"/>
                                </a:lnTo>
                                <a:lnTo>
                                  <a:pt x="593700" y="490220"/>
                                </a:lnTo>
                                <a:lnTo>
                                  <a:pt x="595611" y="497840"/>
                                </a:lnTo>
                                <a:lnTo>
                                  <a:pt x="595611" y="541020"/>
                                </a:lnTo>
                                <a:lnTo>
                                  <a:pt x="593700" y="549910"/>
                                </a:lnTo>
                                <a:lnTo>
                                  <a:pt x="588489" y="557530"/>
                                </a:lnTo>
                                <a:lnTo>
                                  <a:pt x="580761" y="561340"/>
                                </a:lnTo>
                                <a:lnTo>
                                  <a:pt x="571300" y="563880"/>
                                </a:lnTo>
                                <a:lnTo>
                                  <a:pt x="612310" y="563880"/>
                                </a:lnTo>
                                <a:lnTo>
                                  <a:pt x="616100" y="558800"/>
                                </a:lnTo>
                                <a:lnTo>
                                  <a:pt x="619922" y="541020"/>
                                </a:lnTo>
                                <a:lnTo>
                                  <a:pt x="619922" y="530860"/>
                                </a:lnTo>
                                <a:lnTo>
                                  <a:pt x="753631" y="530860"/>
                                </a:lnTo>
                                <a:lnTo>
                                  <a:pt x="753631" y="509270"/>
                                </a:lnTo>
                                <a:lnTo>
                                  <a:pt x="619922" y="509270"/>
                                </a:lnTo>
                                <a:lnTo>
                                  <a:pt x="619922" y="497840"/>
                                </a:lnTo>
                                <a:lnTo>
                                  <a:pt x="616100" y="481330"/>
                                </a:lnTo>
                                <a:lnTo>
                                  <a:pt x="612310" y="476250"/>
                                </a:lnTo>
                                <a:close/>
                              </a:path>
                              <a:path w="753745" h="866140">
                                <a:moveTo>
                                  <a:pt x="182330" y="454660"/>
                                </a:moveTo>
                                <a:lnTo>
                                  <a:pt x="163404" y="458470"/>
                                </a:lnTo>
                                <a:lnTo>
                                  <a:pt x="147949" y="467360"/>
                                </a:lnTo>
                                <a:lnTo>
                                  <a:pt x="137529" y="481330"/>
                                </a:lnTo>
                                <a:lnTo>
                                  <a:pt x="133708" y="497840"/>
                                </a:lnTo>
                                <a:lnTo>
                                  <a:pt x="133708" y="509270"/>
                                </a:lnTo>
                                <a:lnTo>
                                  <a:pt x="158019" y="509270"/>
                                </a:lnTo>
                                <a:lnTo>
                                  <a:pt x="158019" y="497840"/>
                                </a:lnTo>
                                <a:lnTo>
                                  <a:pt x="159929" y="490220"/>
                                </a:lnTo>
                                <a:lnTo>
                                  <a:pt x="165137" y="482600"/>
                                </a:lnTo>
                                <a:lnTo>
                                  <a:pt x="172865" y="478790"/>
                                </a:lnTo>
                                <a:lnTo>
                                  <a:pt x="182330" y="476250"/>
                                </a:lnTo>
                                <a:lnTo>
                                  <a:pt x="223339" y="476250"/>
                                </a:lnTo>
                                <a:lnTo>
                                  <a:pt x="216706" y="467360"/>
                                </a:lnTo>
                                <a:lnTo>
                                  <a:pt x="201251" y="458470"/>
                                </a:lnTo>
                                <a:lnTo>
                                  <a:pt x="182330" y="454660"/>
                                </a:lnTo>
                                <a:close/>
                              </a:path>
                              <a:path w="753745" h="866140">
                                <a:moveTo>
                                  <a:pt x="303883" y="454660"/>
                                </a:moveTo>
                                <a:lnTo>
                                  <a:pt x="284957" y="458470"/>
                                </a:lnTo>
                                <a:lnTo>
                                  <a:pt x="269502" y="467360"/>
                                </a:lnTo>
                                <a:lnTo>
                                  <a:pt x="259083" y="481330"/>
                                </a:lnTo>
                                <a:lnTo>
                                  <a:pt x="255262" y="497840"/>
                                </a:lnTo>
                                <a:lnTo>
                                  <a:pt x="255262" y="509270"/>
                                </a:lnTo>
                                <a:lnTo>
                                  <a:pt x="279572" y="509270"/>
                                </a:lnTo>
                                <a:lnTo>
                                  <a:pt x="279572" y="497840"/>
                                </a:lnTo>
                                <a:lnTo>
                                  <a:pt x="281482" y="490220"/>
                                </a:lnTo>
                                <a:lnTo>
                                  <a:pt x="286691" y="482600"/>
                                </a:lnTo>
                                <a:lnTo>
                                  <a:pt x="294418" y="478790"/>
                                </a:lnTo>
                                <a:lnTo>
                                  <a:pt x="303883" y="476250"/>
                                </a:lnTo>
                                <a:lnTo>
                                  <a:pt x="344892" y="476250"/>
                                </a:lnTo>
                                <a:lnTo>
                                  <a:pt x="338260" y="467360"/>
                                </a:lnTo>
                                <a:lnTo>
                                  <a:pt x="322805" y="458470"/>
                                </a:lnTo>
                                <a:lnTo>
                                  <a:pt x="303883" y="454660"/>
                                </a:lnTo>
                                <a:close/>
                              </a:path>
                              <a:path w="753745" h="866140">
                                <a:moveTo>
                                  <a:pt x="571300" y="454660"/>
                                </a:moveTo>
                                <a:lnTo>
                                  <a:pt x="552375" y="458470"/>
                                </a:lnTo>
                                <a:lnTo>
                                  <a:pt x="536920" y="467360"/>
                                </a:lnTo>
                                <a:lnTo>
                                  <a:pt x="526500" y="481330"/>
                                </a:lnTo>
                                <a:lnTo>
                                  <a:pt x="522679" y="497840"/>
                                </a:lnTo>
                                <a:lnTo>
                                  <a:pt x="522679" y="509270"/>
                                </a:lnTo>
                                <a:lnTo>
                                  <a:pt x="546990" y="509270"/>
                                </a:lnTo>
                                <a:lnTo>
                                  <a:pt x="546990" y="497840"/>
                                </a:lnTo>
                                <a:lnTo>
                                  <a:pt x="548900" y="490220"/>
                                </a:lnTo>
                                <a:lnTo>
                                  <a:pt x="554108" y="482600"/>
                                </a:lnTo>
                                <a:lnTo>
                                  <a:pt x="561835" y="478790"/>
                                </a:lnTo>
                                <a:lnTo>
                                  <a:pt x="571300" y="476250"/>
                                </a:lnTo>
                                <a:lnTo>
                                  <a:pt x="612310" y="476250"/>
                                </a:lnTo>
                                <a:lnTo>
                                  <a:pt x="605677" y="467360"/>
                                </a:lnTo>
                                <a:lnTo>
                                  <a:pt x="590222" y="458470"/>
                                </a:lnTo>
                                <a:lnTo>
                                  <a:pt x="571300" y="454660"/>
                                </a:lnTo>
                                <a:close/>
                              </a:path>
                              <a:path w="753745" h="866140">
                                <a:moveTo>
                                  <a:pt x="753631" y="356870"/>
                                </a:moveTo>
                                <a:lnTo>
                                  <a:pt x="729320" y="356870"/>
                                </a:lnTo>
                                <a:lnTo>
                                  <a:pt x="729320" y="509270"/>
                                </a:lnTo>
                                <a:lnTo>
                                  <a:pt x="753631" y="509270"/>
                                </a:lnTo>
                                <a:lnTo>
                                  <a:pt x="753631" y="356870"/>
                                </a:lnTo>
                                <a:close/>
                              </a:path>
                              <a:path w="753745" h="866140">
                                <a:moveTo>
                                  <a:pt x="303883" y="356870"/>
                                </a:moveTo>
                                <a:lnTo>
                                  <a:pt x="279572" y="356870"/>
                                </a:lnTo>
                                <a:lnTo>
                                  <a:pt x="279572" y="368300"/>
                                </a:lnTo>
                                <a:lnTo>
                                  <a:pt x="283393" y="384810"/>
                                </a:lnTo>
                                <a:lnTo>
                                  <a:pt x="293813" y="398780"/>
                                </a:lnTo>
                                <a:lnTo>
                                  <a:pt x="309268" y="407670"/>
                                </a:lnTo>
                                <a:lnTo>
                                  <a:pt x="328194" y="411480"/>
                                </a:lnTo>
                                <a:lnTo>
                                  <a:pt x="347115" y="407670"/>
                                </a:lnTo>
                                <a:lnTo>
                                  <a:pt x="362571" y="398780"/>
                                </a:lnTo>
                                <a:lnTo>
                                  <a:pt x="369203" y="389890"/>
                                </a:lnTo>
                                <a:lnTo>
                                  <a:pt x="328194" y="389890"/>
                                </a:lnTo>
                                <a:lnTo>
                                  <a:pt x="318729" y="388620"/>
                                </a:lnTo>
                                <a:lnTo>
                                  <a:pt x="311001" y="383540"/>
                                </a:lnTo>
                                <a:lnTo>
                                  <a:pt x="305793" y="377190"/>
                                </a:lnTo>
                                <a:lnTo>
                                  <a:pt x="303883" y="368300"/>
                                </a:lnTo>
                                <a:lnTo>
                                  <a:pt x="303883" y="356870"/>
                                </a:lnTo>
                                <a:close/>
                              </a:path>
                              <a:path w="753745" h="866140">
                                <a:moveTo>
                                  <a:pt x="425436" y="356870"/>
                                </a:moveTo>
                                <a:lnTo>
                                  <a:pt x="401126" y="356870"/>
                                </a:lnTo>
                                <a:lnTo>
                                  <a:pt x="401126" y="368300"/>
                                </a:lnTo>
                                <a:lnTo>
                                  <a:pt x="404947" y="384810"/>
                                </a:lnTo>
                                <a:lnTo>
                                  <a:pt x="415366" y="398780"/>
                                </a:lnTo>
                                <a:lnTo>
                                  <a:pt x="430821" y="407670"/>
                                </a:lnTo>
                                <a:lnTo>
                                  <a:pt x="449747" y="411480"/>
                                </a:lnTo>
                                <a:lnTo>
                                  <a:pt x="468669" y="407670"/>
                                </a:lnTo>
                                <a:lnTo>
                                  <a:pt x="484124" y="398780"/>
                                </a:lnTo>
                                <a:lnTo>
                                  <a:pt x="490756" y="389890"/>
                                </a:lnTo>
                                <a:lnTo>
                                  <a:pt x="449747" y="389890"/>
                                </a:lnTo>
                                <a:lnTo>
                                  <a:pt x="440282" y="388620"/>
                                </a:lnTo>
                                <a:lnTo>
                                  <a:pt x="432555" y="383540"/>
                                </a:lnTo>
                                <a:lnTo>
                                  <a:pt x="427346" y="377190"/>
                                </a:lnTo>
                                <a:lnTo>
                                  <a:pt x="425436" y="368300"/>
                                </a:lnTo>
                                <a:lnTo>
                                  <a:pt x="425436" y="356870"/>
                                </a:lnTo>
                                <a:close/>
                              </a:path>
                              <a:path w="753745" h="866140">
                                <a:moveTo>
                                  <a:pt x="546990" y="356870"/>
                                </a:moveTo>
                                <a:lnTo>
                                  <a:pt x="522679" y="356870"/>
                                </a:lnTo>
                                <a:lnTo>
                                  <a:pt x="522679" y="368300"/>
                                </a:lnTo>
                                <a:lnTo>
                                  <a:pt x="526500" y="384810"/>
                                </a:lnTo>
                                <a:lnTo>
                                  <a:pt x="536920" y="398780"/>
                                </a:lnTo>
                                <a:lnTo>
                                  <a:pt x="552375" y="407670"/>
                                </a:lnTo>
                                <a:lnTo>
                                  <a:pt x="571300" y="411480"/>
                                </a:lnTo>
                                <a:lnTo>
                                  <a:pt x="590222" y="407670"/>
                                </a:lnTo>
                                <a:lnTo>
                                  <a:pt x="605677" y="398780"/>
                                </a:lnTo>
                                <a:lnTo>
                                  <a:pt x="612310" y="389890"/>
                                </a:lnTo>
                                <a:lnTo>
                                  <a:pt x="571300" y="389890"/>
                                </a:lnTo>
                                <a:lnTo>
                                  <a:pt x="561835" y="388620"/>
                                </a:lnTo>
                                <a:lnTo>
                                  <a:pt x="554108" y="383540"/>
                                </a:lnTo>
                                <a:lnTo>
                                  <a:pt x="548900" y="377190"/>
                                </a:lnTo>
                                <a:lnTo>
                                  <a:pt x="546990" y="368300"/>
                                </a:lnTo>
                                <a:lnTo>
                                  <a:pt x="546990" y="356870"/>
                                </a:lnTo>
                                <a:close/>
                              </a:path>
                              <a:path w="753745" h="866140">
                                <a:moveTo>
                                  <a:pt x="369866" y="303530"/>
                                </a:moveTo>
                                <a:lnTo>
                                  <a:pt x="328194" y="303530"/>
                                </a:lnTo>
                                <a:lnTo>
                                  <a:pt x="337654" y="304800"/>
                                </a:lnTo>
                                <a:lnTo>
                                  <a:pt x="345382" y="309880"/>
                                </a:lnTo>
                                <a:lnTo>
                                  <a:pt x="350593" y="316230"/>
                                </a:lnTo>
                                <a:lnTo>
                                  <a:pt x="352504" y="325120"/>
                                </a:lnTo>
                                <a:lnTo>
                                  <a:pt x="352504" y="368300"/>
                                </a:lnTo>
                                <a:lnTo>
                                  <a:pt x="350593" y="377190"/>
                                </a:lnTo>
                                <a:lnTo>
                                  <a:pt x="345382" y="383540"/>
                                </a:lnTo>
                                <a:lnTo>
                                  <a:pt x="337654" y="388620"/>
                                </a:lnTo>
                                <a:lnTo>
                                  <a:pt x="328194" y="389890"/>
                                </a:lnTo>
                                <a:lnTo>
                                  <a:pt x="369203" y="389890"/>
                                </a:lnTo>
                                <a:lnTo>
                                  <a:pt x="372993" y="384810"/>
                                </a:lnTo>
                                <a:lnTo>
                                  <a:pt x="376815" y="368300"/>
                                </a:lnTo>
                                <a:lnTo>
                                  <a:pt x="376815" y="356870"/>
                                </a:lnTo>
                                <a:lnTo>
                                  <a:pt x="425436" y="356870"/>
                                </a:lnTo>
                                <a:lnTo>
                                  <a:pt x="425436" y="335280"/>
                                </a:lnTo>
                                <a:lnTo>
                                  <a:pt x="376815" y="335280"/>
                                </a:lnTo>
                                <a:lnTo>
                                  <a:pt x="376815" y="325120"/>
                                </a:lnTo>
                                <a:lnTo>
                                  <a:pt x="372993" y="307340"/>
                                </a:lnTo>
                                <a:lnTo>
                                  <a:pt x="369866" y="303530"/>
                                </a:lnTo>
                                <a:close/>
                              </a:path>
                              <a:path w="753745" h="866140">
                                <a:moveTo>
                                  <a:pt x="491419" y="303530"/>
                                </a:moveTo>
                                <a:lnTo>
                                  <a:pt x="449747" y="303530"/>
                                </a:lnTo>
                                <a:lnTo>
                                  <a:pt x="459208" y="304800"/>
                                </a:lnTo>
                                <a:lnTo>
                                  <a:pt x="466935" y="309880"/>
                                </a:lnTo>
                                <a:lnTo>
                                  <a:pt x="472147" y="316230"/>
                                </a:lnTo>
                                <a:lnTo>
                                  <a:pt x="474058" y="325120"/>
                                </a:lnTo>
                                <a:lnTo>
                                  <a:pt x="474058" y="368300"/>
                                </a:lnTo>
                                <a:lnTo>
                                  <a:pt x="472147" y="377190"/>
                                </a:lnTo>
                                <a:lnTo>
                                  <a:pt x="466935" y="383540"/>
                                </a:lnTo>
                                <a:lnTo>
                                  <a:pt x="459208" y="388620"/>
                                </a:lnTo>
                                <a:lnTo>
                                  <a:pt x="449747" y="389890"/>
                                </a:lnTo>
                                <a:lnTo>
                                  <a:pt x="490756" y="389890"/>
                                </a:lnTo>
                                <a:lnTo>
                                  <a:pt x="494546" y="384810"/>
                                </a:lnTo>
                                <a:lnTo>
                                  <a:pt x="498368" y="368300"/>
                                </a:lnTo>
                                <a:lnTo>
                                  <a:pt x="498368" y="356870"/>
                                </a:lnTo>
                                <a:lnTo>
                                  <a:pt x="546990" y="356870"/>
                                </a:lnTo>
                                <a:lnTo>
                                  <a:pt x="546990" y="335280"/>
                                </a:lnTo>
                                <a:lnTo>
                                  <a:pt x="498368" y="335280"/>
                                </a:lnTo>
                                <a:lnTo>
                                  <a:pt x="498368" y="325120"/>
                                </a:lnTo>
                                <a:lnTo>
                                  <a:pt x="494546" y="307340"/>
                                </a:lnTo>
                                <a:lnTo>
                                  <a:pt x="491419" y="303530"/>
                                </a:lnTo>
                                <a:close/>
                              </a:path>
                              <a:path w="753745" h="866140">
                                <a:moveTo>
                                  <a:pt x="612973" y="303530"/>
                                </a:moveTo>
                                <a:lnTo>
                                  <a:pt x="571300" y="303530"/>
                                </a:lnTo>
                                <a:lnTo>
                                  <a:pt x="580761" y="304800"/>
                                </a:lnTo>
                                <a:lnTo>
                                  <a:pt x="588489" y="309880"/>
                                </a:lnTo>
                                <a:lnTo>
                                  <a:pt x="593700" y="316230"/>
                                </a:lnTo>
                                <a:lnTo>
                                  <a:pt x="595611" y="325120"/>
                                </a:lnTo>
                                <a:lnTo>
                                  <a:pt x="595611" y="368300"/>
                                </a:lnTo>
                                <a:lnTo>
                                  <a:pt x="593700" y="377190"/>
                                </a:lnTo>
                                <a:lnTo>
                                  <a:pt x="588489" y="383540"/>
                                </a:lnTo>
                                <a:lnTo>
                                  <a:pt x="580761" y="388620"/>
                                </a:lnTo>
                                <a:lnTo>
                                  <a:pt x="571300" y="389890"/>
                                </a:lnTo>
                                <a:lnTo>
                                  <a:pt x="612310" y="389890"/>
                                </a:lnTo>
                                <a:lnTo>
                                  <a:pt x="616100" y="384810"/>
                                </a:lnTo>
                                <a:lnTo>
                                  <a:pt x="619922" y="368300"/>
                                </a:lnTo>
                                <a:lnTo>
                                  <a:pt x="619922" y="356870"/>
                                </a:lnTo>
                                <a:lnTo>
                                  <a:pt x="753631" y="356870"/>
                                </a:lnTo>
                                <a:lnTo>
                                  <a:pt x="753631" y="335280"/>
                                </a:lnTo>
                                <a:lnTo>
                                  <a:pt x="619922" y="335280"/>
                                </a:lnTo>
                                <a:lnTo>
                                  <a:pt x="619922" y="325120"/>
                                </a:lnTo>
                                <a:lnTo>
                                  <a:pt x="616100" y="307340"/>
                                </a:lnTo>
                                <a:lnTo>
                                  <a:pt x="612973" y="303530"/>
                                </a:lnTo>
                                <a:close/>
                              </a:path>
                              <a:path w="753745" h="866140">
                                <a:moveTo>
                                  <a:pt x="328194" y="281940"/>
                                </a:moveTo>
                                <a:lnTo>
                                  <a:pt x="309268" y="284480"/>
                                </a:lnTo>
                                <a:lnTo>
                                  <a:pt x="293813" y="294640"/>
                                </a:lnTo>
                                <a:lnTo>
                                  <a:pt x="283393" y="307340"/>
                                </a:lnTo>
                                <a:lnTo>
                                  <a:pt x="279572" y="325120"/>
                                </a:lnTo>
                                <a:lnTo>
                                  <a:pt x="279572" y="335280"/>
                                </a:lnTo>
                                <a:lnTo>
                                  <a:pt x="303883" y="335280"/>
                                </a:lnTo>
                                <a:lnTo>
                                  <a:pt x="303883" y="325120"/>
                                </a:lnTo>
                                <a:lnTo>
                                  <a:pt x="305793" y="316230"/>
                                </a:lnTo>
                                <a:lnTo>
                                  <a:pt x="311001" y="309880"/>
                                </a:lnTo>
                                <a:lnTo>
                                  <a:pt x="318729" y="304800"/>
                                </a:lnTo>
                                <a:lnTo>
                                  <a:pt x="328194" y="303530"/>
                                </a:lnTo>
                                <a:lnTo>
                                  <a:pt x="369866" y="303530"/>
                                </a:lnTo>
                                <a:lnTo>
                                  <a:pt x="362570" y="294640"/>
                                </a:lnTo>
                                <a:lnTo>
                                  <a:pt x="347115" y="284480"/>
                                </a:lnTo>
                                <a:lnTo>
                                  <a:pt x="328194" y="281940"/>
                                </a:lnTo>
                                <a:close/>
                              </a:path>
                              <a:path w="753745" h="866140">
                                <a:moveTo>
                                  <a:pt x="449747" y="281940"/>
                                </a:moveTo>
                                <a:lnTo>
                                  <a:pt x="430821" y="284480"/>
                                </a:lnTo>
                                <a:lnTo>
                                  <a:pt x="415366" y="294640"/>
                                </a:lnTo>
                                <a:lnTo>
                                  <a:pt x="404947" y="307340"/>
                                </a:lnTo>
                                <a:lnTo>
                                  <a:pt x="401126" y="325120"/>
                                </a:lnTo>
                                <a:lnTo>
                                  <a:pt x="401126" y="335280"/>
                                </a:lnTo>
                                <a:lnTo>
                                  <a:pt x="425436" y="335280"/>
                                </a:lnTo>
                                <a:lnTo>
                                  <a:pt x="425436" y="325120"/>
                                </a:lnTo>
                                <a:lnTo>
                                  <a:pt x="427346" y="316230"/>
                                </a:lnTo>
                                <a:lnTo>
                                  <a:pt x="432555" y="309880"/>
                                </a:lnTo>
                                <a:lnTo>
                                  <a:pt x="440282" y="304800"/>
                                </a:lnTo>
                                <a:lnTo>
                                  <a:pt x="449747" y="303530"/>
                                </a:lnTo>
                                <a:lnTo>
                                  <a:pt x="491419" y="303530"/>
                                </a:lnTo>
                                <a:lnTo>
                                  <a:pt x="484124" y="294640"/>
                                </a:lnTo>
                                <a:lnTo>
                                  <a:pt x="468669" y="284480"/>
                                </a:lnTo>
                                <a:lnTo>
                                  <a:pt x="449747" y="281940"/>
                                </a:lnTo>
                                <a:close/>
                              </a:path>
                              <a:path w="753745" h="866140">
                                <a:moveTo>
                                  <a:pt x="571300" y="281940"/>
                                </a:moveTo>
                                <a:lnTo>
                                  <a:pt x="552375" y="284480"/>
                                </a:lnTo>
                                <a:lnTo>
                                  <a:pt x="536920" y="294640"/>
                                </a:lnTo>
                                <a:lnTo>
                                  <a:pt x="526500" y="307340"/>
                                </a:lnTo>
                                <a:lnTo>
                                  <a:pt x="522679" y="325120"/>
                                </a:lnTo>
                                <a:lnTo>
                                  <a:pt x="522679" y="335280"/>
                                </a:lnTo>
                                <a:lnTo>
                                  <a:pt x="546990" y="335280"/>
                                </a:lnTo>
                                <a:lnTo>
                                  <a:pt x="546990" y="325120"/>
                                </a:lnTo>
                                <a:lnTo>
                                  <a:pt x="548900" y="316230"/>
                                </a:lnTo>
                                <a:lnTo>
                                  <a:pt x="554108" y="309880"/>
                                </a:lnTo>
                                <a:lnTo>
                                  <a:pt x="561835" y="304800"/>
                                </a:lnTo>
                                <a:lnTo>
                                  <a:pt x="571300" y="303530"/>
                                </a:lnTo>
                                <a:lnTo>
                                  <a:pt x="612973" y="303530"/>
                                </a:lnTo>
                                <a:lnTo>
                                  <a:pt x="605677" y="294640"/>
                                </a:lnTo>
                                <a:lnTo>
                                  <a:pt x="590222" y="284480"/>
                                </a:lnTo>
                                <a:lnTo>
                                  <a:pt x="571300" y="281940"/>
                                </a:lnTo>
                                <a:close/>
                              </a:path>
                              <a:path w="753745" h="866140">
                                <a:moveTo>
                                  <a:pt x="753631" y="184150"/>
                                </a:moveTo>
                                <a:lnTo>
                                  <a:pt x="729320" y="184150"/>
                                </a:lnTo>
                                <a:lnTo>
                                  <a:pt x="729320" y="335280"/>
                                </a:lnTo>
                                <a:lnTo>
                                  <a:pt x="753631" y="335280"/>
                                </a:lnTo>
                                <a:lnTo>
                                  <a:pt x="753631" y="184150"/>
                                </a:lnTo>
                                <a:close/>
                              </a:path>
                              <a:path w="753745" h="866140">
                                <a:moveTo>
                                  <a:pt x="158019" y="184150"/>
                                </a:moveTo>
                                <a:lnTo>
                                  <a:pt x="133708" y="184150"/>
                                </a:lnTo>
                                <a:lnTo>
                                  <a:pt x="133708" y="194310"/>
                                </a:lnTo>
                                <a:lnTo>
                                  <a:pt x="137529" y="212090"/>
                                </a:lnTo>
                                <a:lnTo>
                                  <a:pt x="147949" y="224790"/>
                                </a:lnTo>
                                <a:lnTo>
                                  <a:pt x="163404" y="234950"/>
                                </a:lnTo>
                                <a:lnTo>
                                  <a:pt x="182330" y="237490"/>
                                </a:lnTo>
                                <a:lnTo>
                                  <a:pt x="201251" y="234950"/>
                                </a:lnTo>
                                <a:lnTo>
                                  <a:pt x="216706" y="224790"/>
                                </a:lnTo>
                                <a:lnTo>
                                  <a:pt x="224002" y="215900"/>
                                </a:lnTo>
                                <a:lnTo>
                                  <a:pt x="182330" y="215900"/>
                                </a:lnTo>
                                <a:lnTo>
                                  <a:pt x="172865" y="214630"/>
                                </a:lnTo>
                                <a:lnTo>
                                  <a:pt x="165137" y="209550"/>
                                </a:lnTo>
                                <a:lnTo>
                                  <a:pt x="159929" y="203200"/>
                                </a:lnTo>
                                <a:lnTo>
                                  <a:pt x="158019" y="194310"/>
                                </a:lnTo>
                                <a:lnTo>
                                  <a:pt x="158019" y="184150"/>
                                </a:lnTo>
                                <a:close/>
                              </a:path>
                              <a:path w="753745" h="866140">
                                <a:moveTo>
                                  <a:pt x="425436" y="184150"/>
                                </a:moveTo>
                                <a:lnTo>
                                  <a:pt x="401126" y="184150"/>
                                </a:lnTo>
                                <a:lnTo>
                                  <a:pt x="401126" y="194310"/>
                                </a:lnTo>
                                <a:lnTo>
                                  <a:pt x="404947" y="212090"/>
                                </a:lnTo>
                                <a:lnTo>
                                  <a:pt x="415366" y="224790"/>
                                </a:lnTo>
                                <a:lnTo>
                                  <a:pt x="430821" y="234950"/>
                                </a:lnTo>
                                <a:lnTo>
                                  <a:pt x="449747" y="237490"/>
                                </a:lnTo>
                                <a:lnTo>
                                  <a:pt x="468669" y="234950"/>
                                </a:lnTo>
                                <a:lnTo>
                                  <a:pt x="484124" y="224790"/>
                                </a:lnTo>
                                <a:lnTo>
                                  <a:pt x="491419" y="215900"/>
                                </a:lnTo>
                                <a:lnTo>
                                  <a:pt x="449747" y="215900"/>
                                </a:lnTo>
                                <a:lnTo>
                                  <a:pt x="440282" y="214630"/>
                                </a:lnTo>
                                <a:lnTo>
                                  <a:pt x="432555" y="209550"/>
                                </a:lnTo>
                                <a:lnTo>
                                  <a:pt x="427346" y="203200"/>
                                </a:lnTo>
                                <a:lnTo>
                                  <a:pt x="425436" y="194310"/>
                                </a:lnTo>
                                <a:lnTo>
                                  <a:pt x="425436" y="184150"/>
                                </a:lnTo>
                                <a:close/>
                              </a:path>
                              <a:path w="753745" h="866140">
                                <a:moveTo>
                                  <a:pt x="546990" y="184150"/>
                                </a:moveTo>
                                <a:lnTo>
                                  <a:pt x="522679" y="184150"/>
                                </a:lnTo>
                                <a:lnTo>
                                  <a:pt x="522679" y="194310"/>
                                </a:lnTo>
                                <a:lnTo>
                                  <a:pt x="526500" y="212090"/>
                                </a:lnTo>
                                <a:lnTo>
                                  <a:pt x="536920" y="224790"/>
                                </a:lnTo>
                                <a:lnTo>
                                  <a:pt x="552375" y="234950"/>
                                </a:lnTo>
                                <a:lnTo>
                                  <a:pt x="571300" y="237490"/>
                                </a:lnTo>
                                <a:lnTo>
                                  <a:pt x="590222" y="234950"/>
                                </a:lnTo>
                                <a:lnTo>
                                  <a:pt x="605677" y="224790"/>
                                </a:lnTo>
                                <a:lnTo>
                                  <a:pt x="612973" y="215900"/>
                                </a:lnTo>
                                <a:lnTo>
                                  <a:pt x="571300" y="215900"/>
                                </a:lnTo>
                                <a:lnTo>
                                  <a:pt x="561835" y="214630"/>
                                </a:lnTo>
                                <a:lnTo>
                                  <a:pt x="554108" y="209550"/>
                                </a:lnTo>
                                <a:lnTo>
                                  <a:pt x="548899" y="203200"/>
                                </a:lnTo>
                                <a:lnTo>
                                  <a:pt x="546990" y="194310"/>
                                </a:lnTo>
                                <a:lnTo>
                                  <a:pt x="546990" y="184150"/>
                                </a:lnTo>
                                <a:close/>
                              </a:path>
                              <a:path w="753745" h="866140">
                                <a:moveTo>
                                  <a:pt x="223339" y="129540"/>
                                </a:moveTo>
                                <a:lnTo>
                                  <a:pt x="182330" y="129540"/>
                                </a:lnTo>
                                <a:lnTo>
                                  <a:pt x="191790" y="130810"/>
                                </a:lnTo>
                                <a:lnTo>
                                  <a:pt x="199518" y="135890"/>
                                </a:lnTo>
                                <a:lnTo>
                                  <a:pt x="204729" y="143510"/>
                                </a:lnTo>
                                <a:lnTo>
                                  <a:pt x="206640" y="151130"/>
                                </a:lnTo>
                                <a:lnTo>
                                  <a:pt x="206640" y="194310"/>
                                </a:lnTo>
                                <a:lnTo>
                                  <a:pt x="204729" y="203200"/>
                                </a:lnTo>
                                <a:lnTo>
                                  <a:pt x="199518" y="209550"/>
                                </a:lnTo>
                                <a:lnTo>
                                  <a:pt x="191790" y="214630"/>
                                </a:lnTo>
                                <a:lnTo>
                                  <a:pt x="182330" y="215900"/>
                                </a:lnTo>
                                <a:lnTo>
                                  <a:pt x="224002" y="215900"/>
                                </a:lnTo>
                                <a:lnTo>
                                  <a:pt x="227129" y="212090"/>
                                </a:lnTo>
                                <a:lnTo>
                                  <a:pt x="230951" y="194310"/>
                                </a:lnTo>
                                <a:lnTo>
                                  <a:pt x="230951" y="184150"/>
                                </a:lnTo>
                                <a:lnTo>
                                  <a:pt x="425436" y="184150"/>
                                </a:lnTo>
                                <a:lnTo>
                                  <a:pt x="425436" y="162560"/>
                                </a:lnTo>
                                <a:lnTo>
                                  <a:pt x="230951" y="162560"/>
                                </a:lnTo>
                                <a:lnTo>
                                  <a:pt x="230951" y="151130"/>
                                </a:lnTo>
                                <a:lnTo>
                                  <a:pt x="227129" y="134620"/>
                                </a:lnTo>
                                <a:lnTo>
                                  <a:pt x="223339" y="129540"/>
                                </a:lnTo>
                                <a:close/>
                              </a:path>
                              <a:path w="753745" h="866140">
                                <a:moveTo>
                                  <a:pt x="490756" y="129540"/>
                                </a:moveTo>
                                <a:lnTo>
                                  <a:pt x="449747" y="129540"/>
                                </a:lnTo>
                                <a:lnTo>
                                  <a:pt x="459208" y="130810"/>
                                </a:lnTo>
                                <a:lnTo>
                                  <a:pt x="466935" y="135890"/>
                                </a:lnTo>
                                <a:lnTo>
                                  <a:pt x="472147" y="143510"/>
                                </a:lnTo>
                                <a:lnTo>
                                  <a:pt x="474058" y="151130"/>
                                </a:lnTo>
                                <a:lnTo>
                                  <a:pt x="474058" y="194310"/>
                                </a:lnTo>
                                <a:lnTo>
                                  <a:pt x="472147" y="203200"/>
                                </a:lnTo>
                                <a:lnTo>
                                  <a:pt x="466935" y="209550"/>
                                </a:lnTo>
                                <a:lnTo>
                                  <a:pt x="459208" y="214630"/>
                                </a:lnTo>
                                <a:lnTo>
                                  <a:pt x="449747" y="215900"/>
                                </a:lnTo>
                                <a:lnTo>
                                  <a:pt x="491419" y="215900"/>
                                </a:lnTo>
                                <a:lnTo>
                                  <a:pt x="494546" y="212090"/>
                                </a:lnTo>
                                <a:lnTo>
                                  <a:pt x="498368" y="194310"/>
                                </a:lnTo>
                                <a:lnTo>
                                  <a:pt x="498368" y="184150"/>
                                </a:lnTo>
                                <a:lnTo>
                                  <a:pt x="546990" y="184150"/>
                                </a:lnTo>
                                <a:lnTo>
                                  <a:pt x="546990" y="162560"/>
                                </a:lnTo>
                                <a:lnTo>
                                  <a:pt x="498368" y="162560"/>
                                </a:lnTo>
                                <a:lnTo>
                                  <a:pt x="498368" y="151130"/>
                                </a:lnTo>
                                <a:lnTo>
                                  <a:pt x="494546" y="134620"/>
                                </a:lnTo>
                                <a:lnTo>
                                  <a:pt x="490756" y="129540"/>
                                </a:lnTo>
                                <a:close/>
                              </a:path>
                              <a:path w="753745" h="866140">
                                <a:moveTo>
                                  <a:pt x="612310" y="129540"/>
                                </a:moveTo>
                                <a:lnTo>
                                  <a:pt x="571300" y="129540"/>
                                </a:lnTo>
                                <a:lnTo>
                                  <a:pt x="580761" y="130810"/>
                                </a:lnTo>
                                <a:lnTo>
                                  <a:pt x="588489" y="135890"/>
                                </a:lnTo>
                                <a:lnTo>
                                  <a:pt x="593700" y="143510"/>
                                </a:lnTo>
                                <a:lnTo>
                                  <a:pt x="595611" y="151130"/>
                                </a:lnTo>
                                <a:lnTo>
                                  <a:pt x="595611" y="194310"/>
                                </a:lnTo>
                                <a:lnTo>
                                  <a:pt x="593700" y="203200"/>
                                </a:lnTo>
                                <a:lnTo>
                                  <a:pt x="588489" y="209550"/>
                                </a:lnTo>
                                <a:lnTo>
                                  <a:pt x="580761" y="214630"/>
                                </a:lnTo>
                                <a:lnTo>
                                  <a:pt x="571300" y="215900"/>
                                </a:lnTo>
                                <a:lnTo>
                                  <a:pt x="612973" y="215900"/>
                                </a:lnTo>
                                <a:lnTo>
                                  <a:pt x="616100" y="212090"/>
                                </a:lnTo>
                                <a:lnTo>
                                  <a:pt x="619922" y="194310"/>
                                </a:lnTo>
                                <a:lnTo>
                                  <a:pt x="619922" y="184150"/>
                                </a:lnTo>
                                <a:lnTo>
                                  <a:pt x="753631" y="184150"/>
                                </a:lnTo>
                                <a:lnTo>
                                  <a:pt x="753631" y="162560"/>
                                </a:lnTo>
                                <a:lnTo>
                                  <a:pt x="619922" y="162560"/>
                                </a:lnTo>
                                <a:lnTo>
                                  <a:pt x="619922" y="151130"/>
                                </a:lnTo>
                                <a:lnTo>
                                  <a:pt x="616100" y="134620"/>
                                </a:lnTo>
                                <a:lnTo>
                                  <a:pt x="612310" y="129540"/>
                                </a:lnTo>
                                <a:close/>
                              </a:path>
                              <a:path w="753745" h="866140">
                                <a:moveTo>
                                  <a:pt x="182330" y="107950"/>
                                </a:moveTo>
                                <a:lnTo>
                                  <a:pt x="163404" y="111760"/>
                                </a:lnTo>
                                <a:lnTo>
                                  <a:pt x="147949" y="120650"/>
                                </a:lnTo>
                                <a:lnTo>
                                  <a:pt x="137529" y="134620"/>
                                </a:lnTo>
                                <a:lnTo>
                                  <a:pt x="133708" y="151130"/>
                                </a:lnTo>
                                <a:lnTo>
                                  <a:pt x="133708" y="162560"/>
                                </a:lnTo>
                                <a:lnTo>
                                  <a:pt x="158019" y="162560"/>
                                </a:lnTo>
                                <a:lnTo>
                                  <a:pt x="158019" y="151130"/>
                                </a:lnTo>
                                <a:lnTo>
                                  <a:pt x="159929" y="143510"/>
                                </a:lnTo>
                                <a:lnTo>
                                  <a:pt x="165137" y="135890"/>
                                </a:lnTo>
                                <a:lnTo>
                                  <a:pt x="172865" y="130810"/>
                                </a:lnTo>
                                <a:lnTo>
                                  <a:pt x="182330" y="129540"/>
                                </a:lnTo>
                                <a:lnTo>
                                  <a:pt x="223339" y="129540"/>
                                </a:lnTo>
                                <a:lnTo>
                                  <a:pt x="216706" y="120650"/>
                                </a:lnTo>
                                <a:lnTo>
                                  <a:pt x="201251" y="111760"/>
                                </a:lnTo>
                                <a:lnTo>
                                  <a:pt x="182330" y="107950"/>
                                </a:lnTo>
                                <a:close/>
                              </a:path>
                              <a:path w="753745" h="866140">
                                <a:moveTo>
                                  <a:pt x="449747" y="107950"/>
                                </a:moveTo>
                                <a:lnTo>
                                  <a:pt x="430821" y="111760"/>
                                </a:lnTo>
                                <a:lnTo>
                                  <a:pt x="415366" y="120650"/>
                                </a:lnTo>
                                <a:lnTo>
                                  <a:pt x="404947" y="134620"/>
                                </a:lnTo>
                                <a:lnTo>
                                  <a:pt x="401126" y="151130"/>
                                </a:lnTo>
                                <a:lnTo>
                                  <a:pt x="401126" y="162560"/>
                                </a:lnTo>
                                <a:lnTo>
                                  <a:pt x="425436" y="162560"/>
                                </a:lnTo>
                                <a:lnTo>
                                  <a:pt x="425436" y="151130"/>
                                </a:lnTo>
                                <a:lnTo>
                                  <a:pt x="427346" y="143510"/>
                                </a:lnTo>
                                <a:lnTo>
                                  <a:pt x="432555" y="135890"/>
                                </a:lnTo>
                                <a:lnTo>
                                  <a:pt x="440282" y="130810"/>
                                </a:lnTo>
                                <a:lnTo>
                                  <a:pt x="449747" y="129540"/>
                                </a:lnTo>
                                <a:lnTo>
                                  <a:pt x="490756" y="129540"/>
                                </a:lnTo>
                                <a:lnTo>
                                  <a:pt x="484124" y="120650"/>
                                </a:lnTo>
                                <a:lnTo>
                                  <a:pt x="468669" y="111760"/>
                                </a:lnTo>
                                <a:lnTo>
                                  <a:pt x="449747" y="107950"/>
                                </a:lnTo>
                                <a:close/>
                              </a:path>
                              <a:path w="753745" h="866140">
                                <a:moveTo>
                                  <a:pt x="571300" y="107950"/>
                                </a:moveTo>
                                <a:lnTo>
                                  <a:pt x="552375" y="111760"/>
                                </a:lnTo>
                                <a:lnTo>
                                  <a:pt x="536920" y="120650"/>
                                </a:lnTo>
                                <a:lnTo>
                                  <a:pt x="526500" y="134620"/>
                                </a:lnTo>
                                <a:lnTo>
                                  <a:pt x="522679" y="151130"/>
                                </a:lnTo>
                                <a:lnTo>
                                  <a:pt x="522679" y="162560"/>
                                </a:lnTo>
                                <a:lnTo>
                                  <a:pt x="546990" y="162560"/>
                                </a:lnTo>
                                <a:lnTo>
                                  <a:pt x="546990" y="151130"/>
                                </a:lnTo>
                                <a:lnTo>
                                  <a:pt x="548899" y="143510"/>
                                </a:lnTo>
                                <a:lnTo>
                                  <a:pt x="554108" y="135890"/>
                                </a:lnTo>
                                <a:lnTo>
                                  <a:pt x="561835" y="130810"/>
                                </a:lnTo>
                                <a:lnTo>
                                  <a:pt x="571300" y="129540"/>
                                </a:lnTo>
                                <a:lnTo>
                                  <a:pt x="612310" y="129540"/>
                                </a:lnTo>
                                <a:lnTo>
                                  <a:pt x="605677" y="120650"/>
                                </a:lnTo>
                                <a:lnTo>
                                  <a:pt x="590222" y="111760"/>
                                </a:lnTo>
                                <a:lnTo>
                                  <a:pt x="571300" y="107950"/>
                                </a:lnTo>
                                <a:close/>
                              </a:path>
                              <a:path w="753745" h="866140">
                                <a:moveTo>
                                  <a:pt x="740460" y="21590"/>
                                </a:moveTo>
                                <a:lnTo>
                                  <a:pt x="692854" y="21590"/>
                                </a:lnTo>
                                <a:lnTo>
                                  <a:pt x="707047" y="24130"/>
                                </a:lnTo>
                                <a:lnTo>
                                  <a:pt x="718638" y="30480"/>
                                </a:lnTo>
                                <a:lnTo>
                                  <a:pt x="726454" y="40640"/>
                                </a:lnTo>
                                <a:lnTo>
                                  <a:pt x="729320" y="53340"/>
                                </a:lnTo>
                                <a:lnTo>
                                  <a:pt x="729320" y="162560"/>
                                </a:lnTo>
                                <a:lnTo>
                                  <a:pt x="753631" y="162560"/>
                                </a:lnTo>
                                <a:lnTo>
                                  <a:pt x="753631" y="53340"/>
                                </a:lnTo>
                                <a:lnTo>
                                  <a:pt x="748835" y="33020"/>
                                </a:lnTo>
                                <a:lnTo>
                                  <a:pt x="740460" y="21590"/>
                                </a:lnTo>
                                <a:close/>
                              </a:path>
                            </a:pathLst>
                          </a:custGeom>
                          <a:solidFill>
                            <a:srgbClr val="B9C4E1"/>
                          </a:solidFill>
                        </wps:spPr>
                        <wps:bodyPr wrap="square" lIns="0" tIns="0" rIns="0" bIns="0" rtlCol="0">
                          <a:prstTxWarp prst="textNoShape">
                            <a:avLst/>
                          </a:prstTxWarp>
                        </wps:bodyPr>
                      </wps:wsp>
                      <wps:wsp>
                        <wps:cNvPr id="263" name="Graphic 263"/>
                        <wps:cNvSpPr/>
                        <wps:spPr>
                          <a:xfrm>
                            <a:off x="51447" y="97663"/>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53" y="0"/>
                                </a:lnTo>
                                <a:lnTo>
                                  <a:pt x="1123451" y="7377"/>
                                </a:lnTo>
                                <a:lnTo>
                                  <a:pt x="1153321" y="27495"/>
                                </a:lnTo>
                                <a:lnTo>
                                  <a:pt x="1173453" y="57328"/>
                                </a:lnTo>
                                <a:lnTo>
                                  <a:pt x="1180833" y="93852"/>
                                </a:lnTo>
                                <a:lnTo>
                                  <a:pt x="1180833" y="845439"/>
                                </a:lnTo>
                                <a:lnTo>
                                  <a:pt x="1173453" y="881963"/>
                                </a:lnTo>
                                <a:lnTo>
                                  <a:pt x="1153321" y="911796"/>
                                </a:lnTo>
                                <a:lnTo>
                                  <a:pt x="1123451" y="931914"/>
                                </a:lnTo>
                                <a:lnTo>
                                  <a:pt x="1086853" y="939292"/>
                                </a:lnTo>
                                <a:lnTo>
                                  <a:pt x="93941" y="939292"/>
                                </a:lnTo>
                                <a:lnTo>
                                  <a:pt x="57376" y="931914"/>
                                </a:lnTo>
                                <a:lnTo>
                                  <a:pt x="27516" y="911796"/>
                                </a:lnTo>
                                <a:lnTo>
                                  <a:pt x="7382" y="881963"/>
                                </a:lnTo>
                                <a:lnTo>
                                  <a:pt x="0" y="845439"/>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64" name="Textbox 264"/>
                        <wps:cNvSpPr txBox="1"/>
                        <wps:spPr>
                          <a:xfrm>
                            <a:off x="0" y="0"/>
                            <a:ext cx="5904230" cy="1174750"/>
                          </a:xfrm>
                          <a:prstGeom prst="rect">
                            <a:avLst/>
                          </a:prstGeom>
                        </wps:spPr>
                        <wps:txbx>
                          <w:txbxContent>
                            <w:p w14:paraId="35A539CF" w14:textId="77777777" w:rsidR="008715BE" w:rsidRDefault="00000000">
                              <w:pPr>
                                <w:spacing w:before="42"/>
                                <w:ind w:left="2099"/>
                                <w:rPr>
                                  <w:b/>
                                  <w:sz w:val="18"/>
                                </w:rPr>
                              </w:pPr>
                              <w:r>
                                <w:rPr>
                                  <w:b/>
                                  <w:w w:val="135"/>
                                  <w:sz w:val="12"/>
                                </w:rPr>
                                <w:t xml:space="preserve">Probability of </w:t>
                              </w:r>
                              <w:r>
                                <w:rPr>
                                  <w:b/>
                                  <w:spacing w:val="-2"/>
                                  <w:w w:val="135"/>
                                  <w:sz w:val="12"/>
                                </w:rPr>
                                <w:t>occurrence</w:t>
                              </w:r>
                            </w:p>
                            <w:p w14:paraId="1EA78E45" w14:textId="77777777" w:rsidR="008715BE" w:rsidRDefault="00000000">
                              <w:pPr>
                                <w:numPr>
                                  <w:ilvl w:val="0"/>
                                  <w:numId w:val="77"/>
                                </w:numPr>
                                <w:tabs>
                                  <w:tab w:val="left" w:pos="2190"/>
                                  <w:tab w:val="left" w:pos="2258"/>
                                </w:tabs>
                                <w:spacing w:before="35" w:line="216" w:lineRule="auto"/>
                                <w:ind w:right="1394" w:hanging="92"/>
                                <w:rPr>
                                  <w:sz w:val="18"/>
                                </w:rPr>
                              </w:pPr>
                              <w:r>
                                <w:rPr>
                                  <w:w w:val="120"/>
                                  <w:sz w:val="12"/>
                                </w:rPr>
                                <w:t>Probable – for situations encountered in practice and from the consultant's experience, for all interventions carried out</w:t>
                              </w:r>
                            </w:p>
                            <w:p w14:paraId="1D09BF44" w14:textId="77777777" w:rsidR="008715BE" w:rsidRDefault="00000000">
                              <w:pPr>
                                <w:numPr>
                                  <w:ilvl w:val="0"/>
                                  <w:numId w:val="77"/>
                                </w:numPr>
                                <w:tabs>
                                  <w:tab w:val="left" w:pos="2190"/>
                                  <w:tab w:val="left" w:pos="2196"/>
                                </w:tabs>
                                <w:spacing w:before="39" w:line="216" w:lineRule="auto"/>
                                <w:ind w:right="163" w:hanging="92"/>
                                <w:rPr>
                                  <w:sz w:val="18"/>
                                </w:rPr>
                              </w:pPr>
                              <w:r>
                                <w:rPr>
                                  <w:w w:val="120"/>
                                  <w:sz w:val="12"/>
                                </w:rPr>
                                <w:t>Unlikely or unlikely – for effects occurring when certain polluting substances are emitted, causing material losses and affecting quality of life</w:t>
                              </w:r>
                            </w:p>
                          </w:txbxContent>
                        </wps:txbx>
                        <wps:bodyPr wrap="square" lIns="0" tIns="0" rIns="0" bIns="0" rtlCol="0"/>
                      </wps:wsp>
                    </wpg:wgp>
                  </a:graphicData>
                </a:graphic>
              </wp:anchor>
            </w:drawing>
          </mc:Choice>
          <mc:Fallback>
            <w:pict>
              <v:group w14:anchorId="2D8F3319" id="Group 260" o:spid="_x0000_s1129" style="position:absolute;margin-left:63.8pt;margin-top:325.2pt;width:464.9pt;height:92.5pt;z-index:-251550720;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">
                <v:shape id="Graphic 261" o:spid="_x0000_s1130"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" path="m5786755,l117424,,71719,9229,34394,34401,9228,71741,,117474r,939419l9228,1102554r25166,37302l71719,1165014r45705,9227l5786755,1174241r45733,-9227l5869828,1139856r25172,-37302l5904230,1056893r,-939419l5895000,71741,5869828,34401,5832488,9229,5786755,xe" fillcolor="#e1efd9" stroked="f">
                  <v:path arrowok="t"/>
                </v:shape>
                <v:shape id="Graphic 262" o:spid="_x0000_s1131" style="position:absolute;left:2667;top:1367;width:7537;height:8661;visibility:visible;mso-wrap-style:square;v-text-anchor:top" coordsize="75374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" path="m692854,l60776,,17815,15239,,53339,,812799r17815,38100l60776,866140r632078,l716498,862330r19310,-11430l740460,844550r-679684,l46579,842010,34988,835660,27175,825500,24310,812800r,-109221l158019,703580r,-21590l24310,681989r,-151130l158019,530860r,-21590l24310,509269r,-152400l303883,356870r,-21590l24310,335279r,-151130l158019,184150r,-21590l24310,162559r,-109220l27175,40639,34988,30479,46579,24129,60776,21590r679684,l735808,15240,716498,3810,692854,xem753631,703580r-24311,l729320,812800r-2866,12700l718638,835660r-11591,6350l692854,844550r47606,l748835,833120r4796,-20320l753631,703580xem158019,703580r-24311,l133708,715010r3821,16510l147949,745490r15455,8890l182330,758190r18921,-3810l216706,745490r6633,-8890l182330,736600r-9465,-1270l165137,730250r-5208,-6350l158019,715010r,-11430xem425436,703580r-24310,l401126,715010r3821,16510l415366,745490r15455,8890l449747,758190r18922,-3810l484124,745490r6632,-8890l449747,736600r-9465,-1270l432555,730250r-5209,-6350l425436,715010r,-11430xem546990,703580r-24311,l522679,715010r3821,16510l536920,745490r15455,8890l571301,758190r18921,-3810l605677,745490r6633,-8890l571300,736600r-9465,-1270l554108,730250r-5208,-6350l546990,715010r,-11430xem223339,650240r-41009,l191790,651510r7728,5080l204729,662940r1911,8890l206640,715010r-1911,8890l199518,730250r-7728,5080l182330,736600r41009,l227129,731520r3822,-16510l230951,703580r194485,l425436,681990r-194485,l230951,671830r-3822,-16510l223339,650240xem490756,650240r-41009,l459208,651510r7728,5080l472147,662940r1911,8890l474058,715010r-1911,8890l466936,730250r-7728,5080l449747,736600r41009,l494546,731520r3822,-16510l498368,703580r48622,l546990,681990r-48622,l498368,671830r-3822,-16510l490756,650240xem612310,650240r-41010,l580761,651510r7728,5080l593700,662940r1911,8890l595611,715010r-1911,8890l588489,730250r-7728,5080l571300,736600r41010,l616100,731520r3822,-16510l619922,703580r133709,l753631,681990r-133709,l619922,671830r-3822,-16510l612310,650240xem182330,628650r-18926,2540l147949,641350r-10420,13970l133708,671830r,10160l158019,681990r,-10160l159929,662940r5208,-6350l172865,651510r9465,-1270l223339,650240r-6633,-8890l201251,631190r-18921,-2540xem449747,628650r-18926,2540l415366,641350r-10419,13970l401126,671830r,10160l425436,681990r,-10160l427346,662940r5209,-6350l440282,651510r9465,-1270l490756,650240r-6632,-8890l468669,631190r-18922,-2540xem571300,628650r-18925,2540l536920,641350r-10420,13970l522679,671830r,10160l546990,681990r,-10160l548900,662940r5208,-6350l561835,651510r9465,-1270l612310,650240r-6633,-8890l590222,631190r-18922,-2540xem753631,530860r-24311,l729320,681990r24311,l753631,530860xem158019,530860r-24311,l133708,541020r3821,17780l147949,572770r15455,8890l182330,585470r18921,-3810l216706,572770r6633,-8890l182330,563880r-9465,-2540l165137,557530r-5208,-7620l158019,541020r,-10160xem279572,530860r-24310,l255262,541020r3821,17780l269502,572770r15455,8890l303883,585470r18922,-3810l338260,572770r6632,-8890l303883,563880r-9465,-2540l286691,557530r-5209,-7620l279572,541020r,-10160xem546990,530860r-24311,l522679,541020r3821,17780l536920,572770r15455,8890l571300,585470r18922,-3810l605677,572770r6633,-8890l571300,563880r-9465,-2540l554108,557530r-5208,-7620l546990,541020r,-10160xem223339,476250r-41009,l191790,478790r7728,3810l204729,490220r1911,7620l206640,541020r-1911,8890l199518,557530r-7728,3810l182330,563880r41009,l227129,558800r3822,-17780l230951,530860r48621,l279572,509270r-48621,l230951,497840r-3822,-16510l223339,476250xem344892,476250r-41009,l313344,478790r7727,3810l326283,490220r1911,7620l328194,541020r-1911,8890l321071,557530r-7727,3810l303883,563880r41009,l348682,558800r3822,-17780l352504,530860r194486,l546990,509270r-194486,l352504,497840r-3822,-16510l344892,476250xem612310,476250r-41010,l580761,478790r7728,3810l593700,490220r1911,7620l595611,541020r-1911,8890l588489,557530r-7728,3810l571300,563880r41010,l616100,558800r3822,-17780l619922,530860r133709,l753631,509270r-133709,l619922,497840r-3822,-16510l612310,476250xem182330,454660r-18926,3810l147949,467360r-10420,13970l133708,497840r,11430l158019,509270r,-11430l159929,490220r5208,-7620l172865,478790r9465,-2540l223339,476250r-6633,-8890l201251,458470r-18921,-3810xem303883,454660r-18926,3810l269502,467360r-10419,13970l255262,497840r,11430l279572,509270r,-11430l281482,490220r5209,-7620l294418,478790r9465,-2540l344892,476250r-6632,-8890l322805,458470r-18922,-3810xem571300,454660r-18925,3810l536920,467360r-10420,13970l522679,497840r,11430l546990,509270r,-11430l548900,490220r5208,-7620l561835,478790r9465,-2540l612310,476250r-6633,-8890l590222,458470r-18922,-3810xem753631,356870r-24311,l729320,509270r24311,l753631,356870xem303883,356870r-24311,l279572,368300r3821,16510l293813,398780r15455,8890l328194,411480r18921,-3810l362571,398780r6632,-8890l328194,389890r-9465,-1270l311001,383540r-5208,-6350l303883,368300r,-11430xem425436,356870r-24310,l401126,368300r3821,16510l415366,398780r15455,8890l449747,411480r18922,-3810l484124,398780r6632,-8890l449747,389890r-9465,-1270l432555,383540r-5209,-6350l425436,368300r,-11430xem546990,356870r-24311,l522679,368300r3821,16510l536920,398780r15455,8890l571300,411480r18922,-3810l605677,398780r6633,-8890l571300,389890r-9465,-1270l554108,383540r-5208,-6350l546990,368300r,-11430xem369866,303530r-41672,l337654,304800r7728,5080l350593,316230r1911,8890l352504,368300r-1911,8890l345382,383540r-7728,5080l328194,389890r41009,l372993,384810r3822,-16510l376815,356870r48621,l425436,335280r-48621,l376815,325120r-3822,-17780l369866,303530xem491419,303530r-41672,l459208,304800r7727,5080l472147,316230r1911,8890l474058,368300r-1911,8890l466935,383540r-7727,5080l449747,389890r41009,l494546,384810r3822,-16510l498368,356870r48622,l546990,335280r-48622,l498368,325120r-3822,-17780l491419,303530xem612973,303530r-41673,l580761,304800r7728,5080l593700,316230r1911,8890l595611,368300r-1911,8890l588489,383540r-7728,5080l571300,389890r41010,l616100,384810r3822,-16510l619922,356870r133709,l753631,335280r-133709,l619922,325120r-3822,-17780l612973,303530xem328194,281940r-18926,2540l293813,294640r-10420,12700l279572,325120r,10160l303883,335280r,-10160l305793,316230r5208,-6350l318729,304800r9465,-1270l369866,303530r-7296,-8890l347115,284480r-18921,-2540xem449747,281940r-18926,2540l415366,294640r-10419,12700l401126,325120r,10160l425436,335280r,-10160l427346,316230r5209,-6350l440282,304800r9465,-1270l491419,303530r-7295,-8890l468669,284480r-18922,-2540xem571300,281940r-18925,2540l536920,294640r-10420,12700l522679,325120r,10160l546990,335280r,-10160l548900,316230r5208,-6350l561835,304800r9465,-1270l612973,303530r-7296,-8890l590222,284480r-18922,-2540xem753631,184150r-24311,l729320,335280r24311,l753631,184150xem158019,184150r-24311,l133708,194310r3821,17780l147949,224790r15455,10160l182330,237490r18921,-2540l216706,224790r7296,-8890l182330,215900r-9465,-1270l165137,209550r-5208,-6350l158019,194310r,-10160xem425436,184150r-24310,l401126,194310r3821,17780l415366,224790r15455,10160l449747,237490r18922,-2540l484124,224790r7295,-8890l449747,215900r-9465,-1270l432555,209550r-5209,-6350l425436,194310r,-10160xem546990,184150r-24311,l522679,194310r3821,17780l536920,224790r15455,10160l571300,237490r18922,-2540l605677,224790r7296,-8890l571300,215900r-9465,-1270l554108,209550r-5209,-6350l546990,194310r,-10160xem223339,129540r-41009,l191790,130810r7728,5080l204729,143510r1911,7620l206640,194310r-1911,8890l199518,209550r-7728,5080l182330,215900r41672,l227129,212090r3822,-17780l230951,184150r194485,l425436,162560r-194485,l230951,151130r-3822,-16510l223339,129540xem490756,129540r-41009,l459208,130810r7727,5080l472147,143510r1911,7620l474058,194310r-1911,8890l466935,209550r-7727,5080l449747,215900r41672,l494546,212090r3822,-17780l498368,184150r48622,l546990,162560r-48622,l498368,151130r-3822,-16510l490756,129540xem612310,129540r-41010,l580761,130810r7728,5080l593700,143510r1911,7620l595611,194310r-1911,8890l588489,209550r-7728,5080l571300,215900r41673,l616100,212090r3822,-17780l619922,184150r133709,l753631,162560r-133709,l619922,151130r-3822,-16510l612310,129540xem182330,107950r-18926,3810l147949,120650r-10420,13970l133708,151130r,11430l158019,162560r,-11430l159929,143510r5208,-7620l172865,130810r9465,-1270l223339,129540r-6633,-8890l201251,111760r-18921,-3810xem449747,107950r-18926,3810l415366,120650r-10419,13970l401126,151130r,11430l425436,162560r,-11430l427346,143510r5209,-7620l440282,130810r9465,-1270l490756,129540r-6632,-8890l468669,111760r-18922,-3810xem571300,107950r-18925,3810l536920,120650r-10420,13970l522679,151130r,11430l546990,162560r,-11430l548899,143510r5209,-7620l561835,130810r9465,-1270l612310,129540r-6633,-8890l590222,111760r-18922,-3810xem740460,21590r-47606,l707047,24130r11591,6350l726454,40640r2866,12700l729320,162560r24311,l753631,53340,748835,33020,740460,21590xe" fillcolor="#b9c4e1" stroked="f">
                  <v:path arrowok="t"/>
                </v:shape>
                <v:shape id="Graphic 263" o:spid="_x0000_s1132" style="position:absolute;left:514;top:976;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" path="m,93852l7382,57328,27516,27495,57376,7377,93941,r992912,l1123451,7377r29870,20118l1173453,57328r7380,36524l1180833,845439r-7380,36524l1153321,911796r-29870,20118l1086853,939292r-992912,l57376,931914,27516,911796,7382,881963,,845439,,93852xe" filled="f" strokecolor="white" strokeweight="1pt">
                  <v:path arrowok="t"/>
                </v:shape>
                <v:shape id="Textbox 264" o:spid="_x0000_s1133"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35A539CF" w14:textId="77777777" w:rsidR="008715BE" w:rsidRDefault="00000000">
                        <w:pPr>
                          <w:spacing w:before="42"/>
                          <w:ind w:left="2099"/>
                          <w:rPr>
                            <w:b/>
                            <w:sz w:val="18"/>
                          </w:rPr>
                        </w:pPr>
                        <w:r>
                          <w:rPr>
                            <w:b/>
                            <w:w w:val="135"/>
                            <w:sz w:val="12"/>
                          </w:rPr>
                          <w:t xml:space="preserve">Probability of </w:t>
                        </w:r>
                        <w:r>
                          <w:rPr>
                            <w:b/>
                            <w:spacing w:val="-2"/>
                            <w:w w:val="135"/>
                            <w:sz w:val="12"/>
                          </w:rPr>
                          <w:t>occurrence</w:t>
                        </w:r>
                      </w:p>
                      <w:p w14:paraId="1EA78E45" w14:textId="77777777" w:rsidR="008715BE" w:rsidRDefault="00000000">
                        <w:pPr>
                          <w:numPr>
                            <w:ilvl w:val="0"/>
                            <w:numId w:val="77"/>
                          </w:numPr>
                          <w:tabs>
                            <w:tab w:val="left" w:pos="2190"/>
                            <w:tab w:val="left" w:pos="2258"/>
                          </w:tabs>
                          <w:spacing w:before="35" w:line="216" w:lineRule="auto"/>
                          <w:ind w:right="1394" w:hanging="92"/>
                          <w:rPr>
                            <w:sz w:val="18"/>
                          </w:rPr>
                        </w:pPr>
                        <w:r>
                          <w:rPr>
                            <w:w w:val="120"/>
                            <w:sz w:val="12"/>
                          </w:rPr>
                          <w:t>Probable – for situations encountered in practice and from the consultant's experience, for all interventions carried out</w:t>
                        </w:r>
                      </w:p>
                      <w:p w14:paraId="1D09BF44" w14:textId="77777777" w:rsidR="008715BE" w:rsidRDefault="00000000">
                        <w:pPr>
                          <w:numPr>
                            <w:ilvl w:val="0"/>
                            <w:numId w:val="77"/>
                          </w:numPr>
                          <w:tabs>
                            <w:tab w:val="left" w:pos="2190"/>
                            <w:tab w:val="left" w:pos="2196"/>
                          </w:tabs>
                          <w:spacing w:before="39" w:line="216" w:lineRule="auto"/>
                          <w:ind w:right="163" w:hanging="92"/>
                          <w:rPr>
                            <w:sz w:val="18"/>
                          </w:rPr>
                        </w:pPr>
                        <w:r>
                          <w:rPr>
                            <w:w w:val="120"/>
                            <w:sz w:val="12"/>
                          </w:rPr>
                          <w:t>Unlikely or unlikely – for effects occurring when certain polluting substances are emitted, causing material losses and affecting quality of life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66784" behindDoc="1" locked="0" layoutInCell="1" allowOverlap="1" wp14:anchorId="6F7EEDB1" wp14:editId="7371923D">
                <wp:simplePos x="0" y="0"/>
                <wp:positionH relativeFrom="page">
                  <wp:posOffset>810259</wp:posOffset>
                </wp:positionH>
                <wp:positionV relativeFrom="paragraph">
                  <wp:posOffset>5422010</wp:posOffset>
                </wp:positionV>
                <wp:extent cx="5904230" cy="1174750"/>
                <wp:effectExtent l="0" t="0" r="0" b="0"/>
                <wp:wrapTopAndBottom/>
                <wp:docPr id="265" name="Group 265"/>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66" name="Graphic 266"/>
                        <wps:cNvSpPr/>
                        <wps:spPr>
                          <a:xfrm>
                            <a:off x="0" y="0"/>
                            <a:ext cx="5904230" cy="1174750"/>
                          </a:xfrm>
                          <a:custGeom>
                            <a:avLst/>
                            <a:gdLst/>
                            <a:ahLst/>
                            <a:cxnLst/>
                            <a:rect l="l" t="t" r="r" b="b"/>
                            <a:pathLst>
                              <a:path w="5904230" h="1174750">
                                <a:moveTo>
                                  <a:pt x="5786755" y="0"/>
                                </a:moveTo>
                                <a:lnTo>
                                  <a:pt x="117424" y="0"/>
                                </a:lnTo>
                                <a:lnTo>
                                  <a:pt x="71719" y="9227"/>
                                </a:lnTo>
                                <a:lnTo>
                                  <a:pt x="34394" y="34385"/>
                                </a:lnTo>
                                <a:lnTo>
                                  <a:pt x="9228" y="71687"/>
                                </a:lnTo>
                                <a:lnTo>
                                  <a:pt x="0" y="117348"/>
                                </a:lnTo>
                                <a:lnTo>
                                  <a:pt x="0" y="1056767"/>
                                </a:lnTo>
                                <a:lnTo>
                                  <a:pt x="9228" y="1102500"/>
                                </a:lnTo>
                                <a:lnTo>
                                  <a:pt x="34394" y="1139840"/>
                                </a:lnTo>
                                <a:lnTo>
                                  <a:pt x="71719" y="1165012"/>
                                </a:lnTo>
                                <a:lnTo>
                                  <a:pt x="117424" y="1174242"/>
                                </a:lnTo>
                                <a:lnTo>
                                  <a:pt x="5786755" y="1174242"/>
                                </a:lnTo>
                                <a:lnTo>
                                  <a:pt x="5832488" y="1165012"/>
                                </a:lnTo>
                                <a:lnTo>
                                  <a:pt x="5869828" y="1139840"/>
                                </a:lnTo>
                                <a:lnTo>
                                  <a:pt x="5895000" y="1102500"/>
                                </a:lnTo>
                                <a:lnTo>
                                  <a:pt x="5904230" y="1056767"/>
                                </a:lnTo>
                                <a:lnTo>
                                  <a:pt x="5904230" y="117348"/>
                                </a:lnTo>
                                <a:lnTo>
                                  <a:pt x="5895000" y="71687"/>
                                </a:lnTo>
                                <a:lnTo>
                                  <a:pt x="5869828" y="34385"/>
                                </a:lnTo>
                                <a:lnTo>
                                  <a:pt x="5832488" y="9227"/>
                                </a:lnTo>
                                <a:lnTo>
                                  <a:pt x="5786755" y="0"/>
                                </a:lnTo>
                                <a:close/>
                              </a:path>
                            </a:pathLst>
                          </a:custGeom>
                          <a:solidFill>
                            <a:srgbClr val="D9D9D9"/>
                          </a:solidFill>
                        </wps:spPr>
                        <wps:bodyPr wrap="square" lIns="0" tIns="0" rIns="0" bIns="0" rtlCol="0">
                          <a:prstTxWarp prst="textNoShape">
                            <a:avLst/>
                          </a:prstTxWarp>
                        </wps:bodyPr>
                      </wps:wsp>
                      <wps:wsp>
                        <wps:cNvPr id="267" name="Graphic 267"/>
                        <wps:cNvSpPr/>
                        <wps:spPr>
                          <a:xfrm>
                            <a:off x="217233" y="152120"/>
                            <a:ext cx="893444" cy="784225"/>
                          </a:xfrm>
                          <a:custGeom>
                            <a:avLst/>
                            <a:gdLst/>
                            <a:ahLst/>
                            <a:cxnLst/>
                            <a:rect l="l" t="t" r="r" b="b"/>
                            <a:pathLst>
                              <a:path w="893444" h="784225">
                                <a:moveTo>
                                  <a:pt x="875157" y="371906"/>
                                </a:moveTo>
                                <a:lnTo>
                                  <a:pt x="850874" y="371906"/>
                                </a:lnTo>
                                <a:lnTo>
                                  <a:pt x="850874" y="393585"/>
                                </a:lnTo>
                                <a:lnTo>
                                  <a:pt x="850874" y="501992"/>
                                </a:lnTo>
                                <a:lnTo>
                                  <a:pt x="850874" y="523671"/>
                                </a:lnTo>
                                <a:lnTo>
                                  <a:pt x="850874" y="632066"/>
                                </a:lnTo>
                                <a:lnTo>
                                  <a:pt x="850874" y="653745"/>
                                </a:lnTo>
                                <a:lnTo>
                                  <a:pt x="850874" y="762152"/>
                                </a:lnTo>
                                <a:lnTo>
                                  <a:pt x="741476" y="762152"/>
                                </a:lnTo>
                                <a:lnTo>
                                  <a:pt x="741476" y="653745"/>
                                </a:lnTo>
                                <a:lnTo>
                                  <a:pt x="850874" y="653745"/>
                                </a:lnTo>
                                <a:lnTo>
                                  <a:pt x="850874" y="632066"/>
                                </a:lnTo>
                                <a:lnTo>
                                  <a:pt x="717169" y="632066"/>
                                </a:lnTo>
                                <a:lnTo>
                                  <a:pt x="717169" y="653745"/>
                                </a:lnTo>
                                <a:lnTo>
                                  <a:pt x="717169" y="762152"/>
                                </a:lnTo>
                                <a:lnTo>
                                  <a:pt x="449745" y="762152"/>
                                </a:lnTo>
                                <a:lnTo>
                                  <a:pt x="449745" y="653745"/>
                                </a:lnTo>
                                <a:lnTo>
                                  <a:pt x="717169" y="653745"/>
                                </a:lnTo>
                                <a:lnTo>
                                  <a:pt x="717169" y="632066"/>
                                </a:lnTo>
                                <a:lnTo>
                                  <a:pt x="595617" y="632066"/>
                                </a:lnTo>
                                <a:lnTo>
                                  <a:pt x="595617" y="523671"/>
                                </a:lnTo>
                                <a:lnTo>
                                  <a:pt x="850874" y="523671"/>
                                </a:lnTo>
                                <a:lnTo>
                                  <a:pt x="850874" y="501992"/>
                                </a:lnTo>
                                <a:lnTo>
                                  <a:pt x="741476" y="501992"/>
                                </a:lnTo>
                                <a:lnTo>
                                  <a:pt x="741476" y="393585"/>
                                </a:lnTo>
                                <a:lnTo>
                                  <a:pt x="850874" y="393585"/>
                                </a:lnTo>
                                <a:lnTo>
                                  <a:pt x="850874" y="371906"/>
                                </a:lnTo>
                                <a:lnTo>
                                  <a:pt x="717169" y="371906"/>
                                </a:lnTo>
                                <a:lnTo>
                                  <a:pt x="717169" y="393585"/>
                                </a:lnTo>
                                <a:lnTo>
                                  <a:pt x="717169" y="501992"/>
                                </a:lnTo>
                                <a:lnTo>
                                  <a:pt x="571309" y="501992"/>
                                </a:lnTo>
                                <a:lnTo>
                                  <a:pt x="571309" y="523671"/>
                                </a:lnTo>
                                <a:lnTo>
                                  <a:pt x="571309" y="632066"/>
                                </a:lnTo>
                                <a:lnTo>
                                  <a:pt x="425437" y="632066"/>
                                </a:lnTo>
                                <a:lnTo>
                                  <a:pt x="425437" y="653745"/>
                                </a:lnTo>
                                <a:lnTo>
                                  <a:pt x="425437" y="762152"/>
                                </a:lnTo>
                                <a:lnTo>
                                  <a:pt x="158026" y="762152"/>
                                </a:lnTo>
                                <a:lnTo>
                                  <a:pt x="158026" y="653745"/>
                                </a:lnTo>
                                <a:lnTo>
                                  <a:pt x="425437" y="653745"/>
                                </a:lnTo>
                                <a:lnTo>
                                  <a:pt x="425437" y="632066"/>
                                </a:lnTo>
                                <a:lnTo>
                                  <a:pt x="303885" y="632066"/>
                                </a:lnTo>
                                <a:lnTo>
                                  <a:pt x="303885" y="523671"/>
                                </a:lnTo>
                                <a:lnTo>
                                  <a:pt x="571309" y="523671"/>
                                </a:lnTo>
                                <a:lnTo>
                                  <a:pt x="571309" y="501992"/>
                                </a:lnTo>
                                <a:lnTo>
                                  <a:pt x="449745" y="501992"/>
                                </a:lnTo>
                                <a:lnTo>
                                  <a:pt x="449745" y="393585"/>
                                </a:lnTo>
                                <a:lnTo>
                                  <a:pt x="717169" y="393585"/>
                                </a:lnTo>
                                <a:lnTo>
                                  <a:pt x="717169" y="371906"/>
                                </a:lnTo>
                                <a:lnTo>
                                  <a:pt x="595617" y="371906"/>
                                </a:lnTo>
                                <a:lnTo>
                                  <a:pt x="595617" y="263512"/>
                                </a:lnTo>
                                <a:lnTo>
                                  <a:pt x="595617" y="241833"/>
                                </a:lnTo>
                                <a:lnTo>
                                  <a:pt x="571309" y="241833"/>
                                </a:lnTo>
                                <a:lnTo>
                                  <a:pt x="571309" y="263512"/>
                                </a:lnTo>
                                <a:lnTo>
                                  <a:pt x="571309" y="371906"/>
                                </a:lnTo>
                                <a:lnTo>
                                  <a:pt x="425437" y="371906"/>
                                </a:lnTo>
                                <a:lnTo>
                                  <a:pt x="425437" y="393585"/>
                                </a:lnTo>
                                <a:lnTo>
                                  <a:pt x="425437" y="501992"/>
                                </a:lnTo>
                                <a:lnTo>
                                  <a:pt x="279577" y="501992"/>
                                </a:lnTo>
                                <a:lnTo>
                                  <a:pt x="279577" y="523671"/>
                                </a:lnTo>
                                <a:lnTo>
                                  <a:pt x="279577" y="632066"/>
                                </a:lnTo>
                                <a:lnTo>
                                  <a:pt x="133705" y="632066"/>
                                </a:lnTo>
                                <a:lnTo>
                                  <a:pt x="133705" y="653745"/>
                                </a:lnTo>
                                <a:lnTo>
                                  <a:pt x="133705" y="762152"/>
                                </a:lnTo>
                                <a:lnTo>
                                  <a:pt x="24307" y="762152"/>
                                </a:lnTo>
                                <a:lnTo>
                                  <a:pt x="24307" y="653745"/>
                                </a:lnTo>
                                <a:lnTo>
                                  <a:pt x="133705" y="653745"/>
                                </a:lnTo>
                                <a:lnTo>
                                  <a:pt x="133705" y="632066"/>
                                </a:lnTo>
                                <a:lnTo>
                                  <a:pt x="24307" y="632066"/>
                                </a:lnTo>
                                <a:lnTo>
                                  <a:pt x="24307" y="523671"/>
                                </a:lnTo>
                                <a:lnTo>
                                  <a:pt x="279577" y="523671"/>
                                </a:lnTo>
                                <a:lnTo>
                                  <a:pt x="279577" y="501992"/>
                                </a:lnTo>
                                <a:lnTo>
                                  <a:pt x="158026" y="501992"/>
                                </a:lnTo>
                                <a:lnTo>
                                  <a:pt x="158026" y="393585"/>
                                </a:lnTo>
                                <a:lnTo>
                                  <a:pt x="425437" y="393585"/>
                                </a:lnTo>
                                <a:lnTo>
                                  <a:pt x="425437" y="371906"/>
                                </a:lnTo>
                                <a:lnTo>
                                  <a:pt x="303885" y="371906"/>
                                </a:lnTo>
                                <a:lnTo>
                                  <a:pt x="303885" y="263512"/>
                                </a:lnTo>
                                <a:lnTo>
                                  <a:pt x="571309" y="263512"/>
                                </a:lnTo>
                                <a:lnTo>
                                  <a:pt x="571309" y="241833"/>
                                </a:lnTo>
                                <a:lnTo>
                                  <a:pt x="279577" y="241833"/>
                                </a:lnTo>
                                <a:lnTo>
                                  <a:pt x="279577" y="263512"/>
                                </a:lnTo>
                                <a:lnTo>
                                  <a:pt x="279577" y="371906"/>
                                </a:lnTo>
                                <a:lnTo>
                                  <a:pt x="133705" y="371906"/>
                                </a:lnTo>
                                <a:lnTo>
                                  <a:pt x="133705" y="393585"/>
                                </a:lnTo>
                                <a:lnTo>
                                  <a:pt x="133705" y="501992"/>
                                </a:lnTo>
                                <a:lnTo>
                                  <a:pt x="24307" y="501992"/>
                                </a:lnTo>
                                <a:lnTo>
                                  <a:pt x="24307" y="393585"/>
                                </a:lnTo>
                                <a:lnTo>
                                  <a:pt x="133705" y="393585"/>
                                </a:lnTo>
                                <a:lnTo>
                                  <a:pt x="133705" y="371906"/>
                                </a:lnTo>
                                <a:lnTo>
                                  <a:pt x="24307" y="371906"/>
                                </a:lnTo>
                                <a:lnTo>
                                  <a:pt x="24307" y="263512"/>
                                </a:lnTo>
                                <a:lnTo>
                                  <a:pt x="279577" y="263512"/>
                                </a:lnTo>
                                <a:lnTo>
                                  <a:pt x="279577" y="241833"/>
                                </a:lnTo>
                                <a:lnTo>
                                  <a:pt x="0" y="241833"/>
                                </a:lnTo>
                                <a:lnTo>
                                  <a:pt x="0" y="783831"/>
                                </a:lnTo>
                                <a:lnTo>
                                  <a:pt x="875157" y="783831"/>
                                </a:lnTo>
                                <a:lnTo>
                                  <a:pt x="875157" y="762152"/>
                                </a:lnTo>
                                <a:lnTo>
                                  <a:pt x="875157" y="653745"/>
                                </a:lnTo>
                                <a:lnTo>
                                  <a:pt x="875157" y="632066"/>
                                </a:lnTo>
                                <a:lnTo>
                                  <a:pt x="875157" y="523671"/>
                                </a:lnTo>
                                <a:lnTo>
                                  <a:pt x="875157" y="501992"/>
                                </a:lnTo>
                                <a:lnTo>
                                  <a:pt x="875157" y="393585"/>
                                </a:lnTo>
                                <a:lnTo>
                                  <a:pt x="875157" y="371906"/>
                                </a:lnTo>
                                <a:close/>
                              </a:path>
                              <a:path w="893444" h="784225">
                                <a:moveTo>
                                  <a:pt x="892987" y="119849"/>
                                </a:moveTo>
                                <a:lnTo>
                                  <a:pt x="861174" y="52527"/>
                                </a:lnTo>
                                <a:lnTo>
                                  <a:pt x="861174" y="108305"/>
                                </a:lnTo>
                                <a:lnTo>
                                  <a:pt x="637159" y="192519"/>
                                </a:lnTo>
                                <a:lnTo>
                                  <a:pt x="599376" y="112623"/>
                                </a:lnTo>
                                <a:lnTo>
                                  <a:pt x="823379" y="28359"/>
                                </a:lnTo>
                                <a:lnTo>
                                  <a:pt x="861174" y="108305"/>
                                </a:lnTo>
                                <a:lnTo>
                                  <a:pt x="861174" y="52527"/>
                                </a:lnTo>
                                <a:lnTo>
                                  <a:pt x="849757" y="28359"/>
                                </a:lnTo>
                                <a:lnTo>
                                  <a:pt x="836345" y="0"/>
                                </a:lnTo>
                                <a:lnTo>
                                  <a:pt x="567537" y="101053"/>
                                </a:lnTo>
                                <a:lnTo>
                                  <a:pt x="624205" y="220916"/>
                                </a:lnTo>
                                <a:lnTo>
                                  <a:pt x="699719" y="192519"/>
                                </a:lnTo>
                                <a:lnTo>
                                  <a:pt x="892987" y="119849"/>
                                </a:lnTo>
                                <a:close/>
                              </a:path>
                            </a:pathLst>
                          </a:custGeom>
                          <a:solidFill>
                            <a:srgbClr val="B8C2E0"/>
                          </a:solidFill>
                        </wps:spPr>
                        <wps:bodyPr wrap="square" lIns="0" tIns="0" rIns="0" bIns="0" rtlCol="0">
                          <a:prstTxWarp prst="textNoShape">
                            <a:avLst/>
                          </a:prstTxWarp>
                        </wps:bodyPr>
                      </wps:wsp>
                      <wps:wsp>
                        <wps:cNvPr id="268" name="Graphic 268"/>
                        <wps:cNvSpPr/>
                        <wps:spPr>
                          <a:xfrm>
                            <a:off x="62738" y="117347"/>
                            <a:ext cx="1181100" cy="939800"/>
                          </a:xfrm>
                          <a:custGeom>
                            <a:avLst/>
                            <a:gdLst/>
                            <a:ahLst/>
                            <a:cxnLst/>
                            <a:rect l="l" t="t" r="r" b="b"/>
                            <a:pathLst>
                              <a:path w="1181100" h="939800">
                                <a:moveTo>
                                  <a:pt x="0" y="93980"/>
                                </a:moveTo>
                                <a:lnTo>
                                  <a:pt x="7382" y="57435"/>
                                </a:lnTo>
                                <a:lnTo>
                                  <a:pt x="27516" y="27559"/>
                                </a:lnTo>
                                <a:lnTo>
                                  <a:pt x="57376" y="7397"/>
                                </a:lnTo>
                                <a:lnTo>
                                  <a:pt x="93941" y="0"/>
                                </a:lnTo>
                                <a:lnTo>
                                  <a:pt x="1086866" y="0"/>
                                </a:lnTo>
                                <a:lnTo>
                                  <a:pt x="1123463" y="7397"/>
                                </a:lnTo>
                                <a:lnTo>
                                  <a:pt x="1153334" y="27559"/>
                                </a:lnTo>
                                <a:lnTo>
                                  <a:pt x="1173466" y="57435"/>
                                </a:lnTo>
                                <a:lnTo>
                                  <a:pt x="1180846" y="93980"/>
                                </a:lnTo>
                                <a:lnTo>
                                  <a:pt x="1180846" y="845566"/>
                                </a:lnTo>
                                <a:lnTo>
                                  <a:pt x="1173466" y="882090"/>
                                </a:lnTo>
                                <a:lnTo>
                                  <a:pt x="1153334" y="911923"/>
                                </a:lnTo>
                                <a:lnTo>
                                  <a:pt x="1123463" y="932041"/>
                                </a:lnTo>
                                <a:lnTo>
                                  <a:pt x="1086866" y="939419"/>
                                </a:lnTo>
                                <a:lnTo>
                                  <a:pt x="93941" y="939419"/>
                                </a:lnTo>
                                <a:lnTo>
                                  <a:pt x="57376" y="932041"/>
                                </a:lnTo>
                                <a:lnTo>
                                  <a:pt x="27516" y="911923"/>
                                </a:lnTo>
                                <a:lnTo>
                                  <a:pt x="7382" y="882090"/>
                                </a:lnTo>
                                <a:lnTo>
                                  <a:pt x="0" y="845566"/>
                                </a:lnTo>
                                <a:lnTo>
                                  <a:pt x="0" y="93980"/>
                                </a:lnTo>
                                <a:close/>
                              </a:path>
                            </a:pathLst>
                          </a:custGeom>
                          <a:ln w="12700">
                            <a:solidFill>
                              <a:srgbClr val="FFFFFF"/>
                            </a:solidFill>
                            <a:prstDash val="solid"/>
                          </a:ln>
                        </wps:spPr>
                        <wps:bodyPr wrap="square" lIns="0" tIns="0" rIns="0" bIns="0" rtlCol="0">
                          <a:prstTxWarp prst="textNoShape">
                            <a:avLst/>
                          </a:prstTxWarp>
                        </wps:bodyPr>
                      </wps:wsp>
                      <wps:wsp>
                        <wps:cNvPr id="269" name="Textbox 269"/>
                        <wps:cNvSpPr txBox="1"/>
                        <wps:spPr>
                          <a:xfrm>
                            <a:off x="0" y="0"/>
                            <a:ext cx="5904230" cy="1174750"/>
                          </a:xfrm>
                          <a:prstGeom prst="rect">
                            <a:avLst/>
                          </a:prstGeom>
                        </wps:spPr>
                        <wps:txbx>
                          <w:txbxContent>
                            <w:p w14:paraId="5964D02E" w14:textId="77777777" w:rsidR="008715BE" w:rsidRDefault="008715BE">
                              <w:pPr>
                                <w:spacing w:before="178"/>
                                <w:rPr>
                                  <w:sz w:val="18"/>
                                </w:rPr>
                              </w:pPr>
                            </w:p>
                            <w:p w14:paraId="0B936974" w14:textId="77777777" w:rsidR="008715BE" w:rsidRDefault="00000000">
                              <w:pPr>
                                <w:spacing w:line="216" w:lineRule="auto"/>
                                <w:ind w:left="2099"/>
                                <w:rPr>
                                  <w:sz w:val="18"/>
                                </w:rPr>
                              </w:pPr>
                              <w:r>
                                <w:rPr>
                                  <w:b/>
                                  <w:w w:val="120"/>
                                  <w:sz w:val="12"/>
                                </w:rPr>
                                <w:t xml:space="preserve">Irreversibility: </w:t>
                              </w:r>
                              <w:r>
                                <w:rPr>
                                  <w:w w:val="120"/>
                                  <w:sz w:val="12"/>
                                </w:rPr>
                                <w:t>The impact does not allow a return to the initial conditions of the affected environmental component.</w:t>
                              </w:r>
                            </w:p>
                            <w:p w14:paraId="31413A78" w14:textId="77777777" w:rsidR="008715BE" w:rsidRDefault="00000000">
                              <w:pPr>
                                <w:spacing w:before="39" w:line="216" w:lineRule="auto"/>
                                <w:ind w:left="2099" w:right="135"/>
                                <w:rPr>
                                  <w:sz w:val="18"/>
                                </w:rPr>
                              </w:pPr>
                              <w:r>
                                <w:rPr>
                                  <w:b/>
                                  <w:w w:val="125"/>
                                  <w:sz w:val="12"/>
                                </w:rPr>
                                <w:t xml:space="preserve">Reversible: </w:t>
                              </w:r>
                              <w:r>
                                <w:rPr>
                                  <w:w w:val="125"/>
                                  <w:sz w:val="12"/>
                                </w:rPr>
                                <w:t>After the impact disappears, the affected component can return to its initial conditions.</w:t>
                              </w:r>
                            </w:p>
                          </w:txbxContent>
                        </wps:txbx>
                        <wps:bodyPr wrap="square" lIns="0" tIns="0" rIns="0" bIns="0" rtlCol="0"/>
                      </wps:wsp>
                    </wpg:wgp>
                  </a:graphicData>
                </a:graphic>
              </wp:anchor>
            </w:drawing>
          </mc:Choice>
          <mc:Fallback>
            <w:pict>
              <v:group w14:anchorId="6F7EEDB1" id="Group 265" o:spid="_x0000_s1134" style="position:absolute;margin-left:63.8pt;margin-top:426.95pt;width:464.9pt;height:92.5pt;z-index:-251549696;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">
                <v:shape id="Graphic 266" o:spid="_x0000_s1135"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" path="m5786755,l117424,,71719,9227,34394,34385,9228,71687,,117348r,939419l9228,1102500r25166,37340l71719,1165012r45705,9230l5786755,1174242r45733,-9230l5869828,1139840r25172,-37340l5904230,1056767r,-939419l5895000,71687,5869828,34385,5832488,9227,5786755,xe" fillcolor="#d9d9d9" stroked="f">
                  <v:path arrowok="t"/>
                </v:shape>
                <v:shape id="Graphic 267" o:spid="_x0000_s1136" style="position:absolute;left:2172;top:1521;width:8934;height:7842;visibility:visible;mso-wrap-style:square;v-text-anchor:top" coordsize="893444,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" path="m875157,371906r-24283,l850874,393585r,108407l850874,523671r,108395l850874,653745r,108407l741476,762152r,-108407l850874,653745r,-21679l717169,632066r,21679l717169,762152r-267424,l449745,653745r267424,l717169,632066r-121552,l595617,523671r255257,l850874,501992r-109398,l741476,393585r109398,l850874,371906r-133705,l717169,393585r,108407l571309,501992r,21679l571309,632066r-145872,l425437,653745r,108407l158026,762152r,-108407l425437,653745r,-21679l303885,632066r,-108395l571309,523671r,-21679l449745,501992r,-108407l717169,393585r,-21679l595617,371906r,-108394l595617,241833r-24308,l571309,263512r,108394l425437,371906r,21679l425437,501992r-145860,l279577,523671r,108395l133705,632066r,21679l133705,762152r-109398,l24307,653745r109398,l133705,632066r-109398,l24307,523671r255270,l279577,501992r-121551,l158026,393585r267411,l425437,371906r-121552,l303885,263512r267424,l571309,241833r-291732,l279577,263512r,108394l133705,371906r,21679l133705,501992r-109398,l24307,393585r109398,l133705,371906r-109398,l24307,263512r255270,l279577,241833,,241833,,783831r875157,l875157,762152r,-108407l875157,632066r,-108395l875157,501992r,-108407l875157,371906xem892987,119849l861174,52527r,55778l637159,192519,599376,112623,823379,28359r37795,79946l861174,52527,849757,28359,836345,,567537,101053r56668,119863l699719,192519,892987,119849xe" fillcolor="#b8c2e0" stroked="f">
                  <v:path arrowok="t"/>
                </v:shape>
                <v:shape id="Graphic 268" o:spid="_x0000_s1137" style="position:absolute;left:627;top:1173;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" path="m,93980l7382,57435,27516,27559,57376,7397,93941,r992925,l1123463,7397r29871,20162l1173466,57435r7380,36545l1180846,845566r-7380,36524l1153334,911923r-29871,20118l1086866,939419r-992925,l57376,932041,27516,911923,7382,882090,,845566,,93980xe" filled="f" strokecolor="white" strokeweight="1pt">
                  <v:path arrowok="t"/>
                </v:shape>
                <v:shape id="Textbox 269" o:spid="_x0000_s1138"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5964D02E" w14:textId="77777777" w:rsidR="008715BE" w:rsidRDefault="008715BE">
                        <w:pPr>
                          <w:spacing w:before="178"/>
                          <w:rPr>
                            <w:sz w:val="18"/>
                          </w:rPr>
                        </w:pPr>
                      </w:p>
                      <w:p w14:paraId="0B936974" w14:textId="77777777" w:rsidR="008715BE" w:rsidRDefault="00000000">
                        <w:pPr>
                          <w:spacing w:line="216" w:lineRule="auto"/>
                          <w:ind w:left="2099"/>
                          <w:rPr>
                            <w:sz w:val="18"/>
                          </w:rPr>
                        </w:pPr>
                        <w:r>
                          <w:rPr>
                            <w:b/>
                            <w:w w:val="120"/>
                            <w:sz w:val="12"/>
                          </w:rPr>
                          <w:t xml:space="preserve">Irreversibility: </w:t>
                        </w:r>
                        <w:r>
                          <w:rPr>
                            <w:w w:val="120"/>
                            <w:sz w:val="12"/>
                          </w:rPr>
                          <w:t>The impact does not allow a return to the initial conditions of the affected environmental component.</w:t>
                        </w:r>
                      </w:p>
                      <w:p w14:paraId="31413A78" w14:textId="77777777" w:rsidR="008715BE" w:rsidRDefault="00000000">
                        <w:pPr>
                          <w:spacing w:before="39" w:line="216" w:lineRule="auto"/>
                          <w:ind w:left="2099" w:right="135"/>
                          <w:rPr>
                            <w:sz w:val="18"/>
                          </w:rPr>
                        </w:pPr>
                        <w:r>
                          <w:rPr>
                            <w:b/>
                            <w:w w:val="125"/>
                            <w:sz w:val="12"/>
                          </w:rPr>
                          <w:t xml:space="preserve">Reversible: </w:t>
                        </w:r>
                        <w:r>
                          <w:rPr>
                            <w:w w:val="125"/>
                            <w:sz w:val="12"/>
                          </w:rPr>
                          <w:t>After the impact disappears, the affected component can return to its initial conditions.</w:t>
                        </w:r>
                      </w:p>
                    </w:txbxContent>
                  </v:textbox>
                </v:shape>
                <w10:wrap type="topAndBottom" anchorx="page"/>
              </v:group>
            </w:pict>
          </mc:Fallback>
        </mc:AlternateContent>
      </w:r>
    </w:p>
    <w:p w14:paraId="3F836290" w14:textId="77777777" w:rsidR="008715BE" w:rsidRPr="00EC75B7" w:rsidRDefault="008715BE">
      <w:pPr>
        <w:pStyle w:val="BodyText"/>
        <w:spacing w:before="2"/>
        <w:rPr>
          <w:rFonts w:ascii="Verdana" w:hAnsi="Verdana"/>
        </w:rPr>
      </w:pPr>
    </w:p>
    <w:p w14:paraId="2E6900A9" w14:textId="77777777" w:rsidR="008715BE" w:rsidRPr="00EC75B7" w:rsidRDefault="008715BE">
      <w:pPr>
        <w:pStyle w:val="BodyText"/>
        <w:spacing w:before="2"/>
        <w:rPr>
          <w:rFonts w:ascii="Verdana" w:hAnsi="Verdana"/>
        </w:rPr>
      </w:pPr>
    </w:p>
    <w:p w14:paraId="0D4B1EC7" w14:textId="77777777" w:rsidR="008715BE" w:rsidRPr="00EC75B7" w:rsidRDefault="00000000">
      <w:pPr>
        <w:pStyle w:val="BodyText"/>
        <w:spacing w:before="141" w:line="360" w:lineRule="auto"/>
        <w:ind w:left="198"/>
        <w:rPr>
          <w:rFonts w:ascii="Verdana" w:hAnsi="Verdana"/>
        </w:rPr>
      </w:pPr>
      <w:r w:rsidRPr="00EC75B7">
        <w:rPr>
          <w:rFonts w:ascii="Verdana" w:hAnsi="Verdana"/>
        </w:rPr>
        <w:t>The following tables present the matrix for assessing the impact on the social and economic environment, including on public health, for the implementation and operation phases.</w:t>
      </w:r>
    </w:p>
    <w:p w14:paraId="15E8616E" w14:textId="77777777" w:rsidR="008715BE" w:rsidRPr="00EC75B7" w:rsidRDefault="008715BE">
      <w:pPr>
        <w:pStyle w:val="BodyText"/>
        <w:spacing w:line="360" w:lineRule="auto"/>
        <w:rPr>
          <w:rFonts w:ascii="Verdana" w:hAnsi="Verdana"/>
        </w:rPr>
        <w:sectPr w:rsidR="008715BE" w:rsidRPr="00EC75B7">
          <w:pgSz w:w="11910" w:h="16840"/>
          <w:pgMar w:top="1320" w:right="850" w:bottom="1020" w:left="992" w:header="766" w:footer="824" w:gutter="0"/>
          <w:cols w:space="708"/>
        </w:sectPr>
      </w:pPr>
    </w:p>
    <w:p w14:paraId="0EEE8817"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25 Assessment of the project's impact on the socio-economic environment, including public health (overall assessment,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949"/>
        <w:gridCol w:w="2302"/>
        <w:gridCol w:w="1822"/>
        <w:gridCol w:w="924"/>
        <w:gridCol w:w="840"/>
        <w:gridCol w:w="437"/>
        <w:gridCol w:w="875"/>
        <w:gridCol w:w="1093"/>
        <w:gridCol w:w="722"/>
        <w:gridCol w:w="1075"/>
        <w:gridCol w:w="996"/>
        <w:gridCol w:w="1540"/>
        <w:gridCol w:w="5810"/>
      </w:tblGrid>
      <w:tr w:rsidR="008715BE" w:rsidRPr="00EC75B7" w14:paraId="2F24FFBD" w14:textId="77777777" w:rsidTr="00C96230">
        <w:trPr>
          <w:trHeight w:val="1135"/>
        </w:trPr>
        <w:tc>
          <w:tcPr>
            <w:tcW w:w="725" w:type="dxa"/>
            <w:shd w:val="clear" w:color="auto" w:fill="00AFEF"/>
          </w:tcPr>
          <w:p w14:paraId="6FE786A3" w14:textId="77777777" w:rsidR="008715BE" w:rsidRPr="00EC75B7" w:rsidRDefault="008715BE">
            <w:pPr>
              <w:pStyle w:val="TableParagraph"/>
              <w:rPr>
                <w:rFonts w:ascii="Verdana" w:hAnsi="Verdana"/>
                <w:b/>
                <w:sz w:val="18"/>
                <w:szCs w:val="18"/>
              </w:rPr>
            </w:pPr>
          </w:p>
          <w:p w14:paraId="20250278" w14:textId="77777777" w:rsidR="008715BE" w:rsidRPr="00EC75B7" w:rsidRDefault="008715BE">
            <w:pPr>
              <w:pStyle w:val="TableParagraph"/>
              <w:spacing w:before="79"/>
              <w:rPr>
                <w:rFonts w:ascii="Verdana" w:hAnsi="Verdana"/>
                <w:b/>
                <w:sz w:val="18"/>
                <w:szCs w:val="18"/>
              </w:rPr>
            </w:pPr>
          </w:p>
          <w:p w14:paraId="46DC74C2"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4"/>
                <w:sz w:val="18"/>
                <w:szCs w:val="18"/>
              </w:rPr>
              <w:t>Stage</w:t>
            </w:r>
          </w:p>
        </w:tc>
        <w:tc>
          <w:tcPr>
            <w:tcW w:w="2949" w:type="dxa"/>
            <w:shd w:val="clear" w:color="auto" w:fill="00AFEF"/>
          </w:tcPr>
          <w:p w14:paraId="1278150A" w14:textId="77777777" w:rsidR="008715BE" w:rsidRPr="00EC75B7" w:rsidRDefault="008715BE">
            <w:pPr>
              <w:pStyle w:val="TableParagraph"/>
              <w:rPr>
                <w:rFonts w:ascii="Verdana" w:hAnsi="Verdana"/>
                <w:b/>
                <w:sz w:val="18"/>
                <w:szCs w:val="18"/>
              </w:rPr>
            </w:pPr>
          </w:p>
          <w:p w14:paraId="23CBDCF4" w14:textId="77777777" w:rsidR="008715BE" w:rsidRPr="00EC75B7" w:rsidRDefault="008715BE">
            <w:pPr>
              <w:pStyle w:val="TableParagraph"/>
              <w:spacing w:before="79"/>
              <w:rPr>
                <w:rFonts w:ascii="Verdana" w:hAnsi="Verdana"/>
                <w:b/>
                <w:sz w:val="18"/>
                <w:szCs w:val="18"/>
              </w:rPr>
            </w:pPr>
          </w:p>
          <w:p w14:paraId="5EE83895" w14:textId="77777777" w:rsidR="008715BE" w:rsidRPr="00EC75B7" w:rsidRDefault="00000000">
            <w:pPr>
              <w:pStyle w:val="TableParagraph"/>
              <w:ind w:left="595"/>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302" w:type="dxa"/>
            <w:shd w:val="clear" w:color="auto" w:fill="00AFEF"/>
          </w:tcPr>
          <w:p w14:paraId="0DCF91F6" w14:textId="77777777" w:rsidR="008715BE" w:rsidRPr="00EC75B7" w:rsidRDefault="008715BE">
            <w:pPr>
              <w:pStyle w:val="TableParagraph"/>
              <w:rPr>
                <w:rFonts w:ascii="Verdana" w:hAnsi="Verdana"/>
                <w:b/>
                <w:sz w:val="18"/>
                <w:szCs w:val="18"/>
              </w:rPr>
            </w:pPr>
          </w:p>
          <w:p w14:paraId="6F1F3812" w14:textId="77777777" w:rsidR="008715BE" w:rsidRPr="00EC75B7" w:rsidRDefault="008715BE">
            <w:pPr>
              <w:pStyle w:val="TableParagraph"/>
              <w:spacing w:before="79"/>
              <w:rPr>
                <w:rFonts w:ascii="Verdana" w:hAnsi="Verdana"/>
                <w:b/>
                <w:sz w:val="18"/>
                <w:szCs w:val="18"/>
              </w:rPr>
            </w:pPr>
          </w:p>
          <w:p w14:paraId="1BB7031A" w14:textId="77777777" w:rsidR="008715BE" w:rsidRPr="00EC75B7" w:rsidRDefault="00000000">
            <w:pPr>
              <w:pStyle w:val="TableParagraph"/>
              <w:ind w:left="8"/>
              <w:jc w:val="center"/>
              <w:rPr>
                <w:rFonts w:ascii="Verdana" w:hAnsi="Verdana"/>
                <w:b/>
                <w:sz w:val="18"/>
                <w:szCs w:val="18"/>
              </w:rPr>
            </w:pPr>
            <w:r w:rsidRPr="00EC75B7">
              <w:rPr>
                <w:rFonts w:ascii="Verdana" w:hAnsi="Verdana"/>
                <w:b/>
                <w:color w:val="FFFFFF"/>
                <w:spacing w:val="-2"/>
                <w:sz w:val="18"/>
                <w:szCs w:val="18"/>
              </w:rPr>
              <w:t>Effects</w:t>
            </w:r>
          </w:p>
        </w:tc>
        <w:tc>
          <w:tcPr>
            <w:tcW w:w="1822" w:type="dxa"/>
            <w:shd w:val="clear" w:color="auto" w:fill="00AFEF"/>
          </w:tcPr>
          <w:p w14:paraId="56FEB9F6" w14:textId="77777777" w:rsidR="008715BE" w:rsidRPr="00EC75B7" w:rsidRDefault="008715BE">
            <w:pPr>
              <w:pStyle w:val="TableParagraph"/>
              <w:rPr>
                <w:rFonts w:ascii="Verdana" w:hAnsi="Verdana"/>
                <w:b/>
                <w:sz w:val="18"/>
                <w:szCs w:val="18"/>
              </w:rPr>
            </w:pPr>
          </w:p>
          <w:p w14:paraId="0530F115" w14:textId="77777777" w:rsidR="008715BE" w:rsidRPr="00EC75B7" w:rsidRDefault="008715BE">
            <w:pPr>
              <w:pStyle w:val="TableParagraph"/>
              <w:spacing w:before="79"/>
              <w:rPr>
                <w:rFonts w:ascii="Verdana" w:hAnsi="Verdana"/>
                <w:b/>
                <w:sz w:val="18"/>
                <w:szCs w:val="18"/>
              </w:rPr>
            </w:pPr>
          </w:p>
          <w:p w14:paraId="419D5685" w14:textId="77777777" w:rsidR="008715BE" w:rsidRPr="00EC75B7" w:rsidRDefault="00000000">
            <w:pPr>
              <w:pStyle w:val="TableParagraph"/>
              <w:ind w:left="5" w:right="1"/>
              <w:jc w:val="center"/>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4C0D0661" w14:textId="77777777" w:rsidR="008715BE" w:rsidRPr="00EC75B7" w:rsidRDefault="00000000">
            <w:pPr>
              <w:pStyle w:val="TableParagraph"/>
              <w:spacing w:before="117" w:line="244" w:lineRule="auto"/>
              <w:ind w:left="121" w:right="159"/>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840" w:type="dxa"/>
            <w:shd w:val="clear" w:color="auto" w:fill="00AFEF"/>
            <w:textDirection w:val="btLr"/>
          </w:tcPr>
          <w:p w14:paraId="2ABA9DD1" w14:textId="77777777" w:rsidR="008715BE" w:rsidRPr="00EC75B7" w:rsidRDefault="00000000">
            <w:pPr>
              <w:pStyle w:val="TableParagraph"/>
              <w:spacing w:before="117" w:line="244" w:lineRule="auto"/>
              <w:ind w:left="121" w:right="110"/>
              <w:rPr>
                <w:rFonts w:ascii="Verdana" w:hAnsi="Verdana"/>
                <w:b/>
                <w:sz w:val="18"/>
                <w:szCs w:val="18"/>
              </w:rPr>
            </w:pPr>
            <w:r w:rsidRPr="00EC75B7">
              <w:rPr>
                <w:rFonts w:ascii="Verdana" w:hAnsi="Verdana"/>
                <w:b/>
                <w:color w:val="FFFFFF"/>
                <w:spacing w:val="-2"/>
                <w:sz w:val="18"/>
                <w:szCs w:val="18"/>
              </w:rPr>
              <w:t xml:space="preserve">Nature </w:t>
            </w:r>
            <w:r w:rsidRPr="00EC75B7">
              <w:rPr>
                <w:rFonts w:ascii="Verdana" w:hAnsi="Verdana"/>
                <w:b/>
                <w:color w:val="FFFFFF"/>
                <w:spacing w:val="-10"/>
                <w:sz w:val="18"/>
                <w:szCs w:val="18"/>
              </w:rPr>
              <w:t>of</w:t>
            </w:r>
            <w:r w:rsidRPr="00EC75B7">
              <w:rPr>
                <w:rFonts w:ascii="Verdana" w:hAnsi="Verdana"/>
                <w:b/>
                <w:color w:val="FFFFFF"/>
                <w:spacing w:val="-2"/>
                <w:sz w:val="18"/>
                <w:szCs w:val="18"/>
              </w:rPr>
              <w:t xml:space="preserve"> impact</w:t>
            </w:r>
          </w:p>
        </w:tc>
        <w:tc>
          <w:tcPr>
            <w:tcW w:w="437" w:type="dxa"/>
            <w:shd w:val="clear" w:color="auto" w:fill="00AFEF"/>
            <w:textDirection w:val="btLr"/>
          </w:tcPr>
          <w:p w14:paraId="544527F3" w14:textId="77777777" w:rsidR="008715BE" w:rsidRPr="00EC75B7" w:rsidRDefault="00000000">
            <w:pPr>
              <w:pStyle w:val="TableParagraph"/>
              <w:spacing w:before="117"/>
              <w:ind w:left="121"/>
              <w:rPr>
                <w:rFonts w:ascii="Verdana" w:hAnsi="Verdana"/>
                <w:b/>
                <w:sz w:val="18"/>
                <w:szCs w:val="18"/>
              </w:rPr>
            </w:pPr>
            <w:r w:rsidRPr="00EC75B7">
              <w:rPr>
                <w:rFonts w:ascii="Verdana" w:hAnsi="Verdana"/>
                <w:b/>
                <w:color w:val="FFFFFF"/>
                <w:spacing w:val="-2"/>
                <w:sz w:val="18"/>
                <w:szCs w:val="18"/>
              </w:rPr>
              <w:t>Potential</w:t>
            </w:r>
          </w:p>
          <w:p w14:paraId="7C1A8AFD" w14:textId="77777777" w:rsidR="008715BE" w:rsidRPr="00EC75B7" w:rsidRDefault="00000000">
            <w:pPr>
              <w:pStyle w:val="TableParagraph"/>
              <w:spacing w:before="3" w:line="91" w:lineRule="exact"/>
              <w:ind w:left="121"/>
              <w:rPr>
                <w:rFonts w:ascii="Verdana" w:hAnsi="Verdana"/>
                <w:b/>
                <w:sz w:val="18"/>
                <w:szCs w:val="18"/>
              </w:rPr>
            </w:pPr>
            <w:r w:rsidRPr="00EC75B7">
              <w:rPr>
                <w:rFonts w:ascii="Verdana" w:hAnsi="Verdana"/>
                <w:b/>
                <w:color w:val="FFFFFF"/>
                <w:spacing w:val="-5"/>
                <w:sz w:val="18"/>
                <w:szCs w:val="18"/>
              </w:rPr>
              <w:t>Duration</w:t>
            </w:r>
          </w:p>
        </w:tc>
        <w:tc>
          <w:tcPr>
            <w:tcW w:w="875" w:type="dxa"/>
            <w:shd w:val="clear" w:color="auto" w:fill="00AFEF"/>
            <w:textDirection w:val="btLr"/>
          </w:tcPr>
          <w:p w14:paraId="2152F377" w14:textId="77777777" w:rsidR="008715BE" w:rsidRPr="00EC75B7" w:rsidRDefault="00000000">
            <w:pPr>
              <w:pStyle w:val="TableParagraph"/>
              <w:spacing w:before="114"/>
              <w:ind w:left="121"/>
              <w:rPr>
                <w:rFonts w:ascii="Verdana" w:hAnsi="Verdana"/>
                <w:b/>
                <w:sz w:val="18"/>
                <w:szCs w:val="18"/>
              </w:rPr>
            </w:pPr>
            <w:r w:rsidRPr="00EC75B7">
              <w:rPr>
                <w:rFonts w:ascii="Verdana" w:hAnsi="Verdana"/>
                <w:b/>
                <w:color w:val="FFFFFF"/>
                <w:spacing w:val="-2"/>
                <w:sz w:val="18"/>
                <w:szCs w:val="18"/>
              </w:rPr>
              <w:t>Duration</w:t>
            </w:r>
          </w:p>
        </w:tc>
        <w:tc>
          <w:tcPr>
            <w:tcW w:w="1093" w:type="dxa"/>
            <w:shd w:val="clear" w:color="auto" w:fill="00AFEF"/>
            <w:textDirection w:val="btLr"/>
          </w:tcPr>
          <w:p w14:paraId="0652D0E9" w14:textId="77777777" w:rsidR="008715BE" w:rsidRPr="00EC75B7" w:rsidRDefault="00000000">
            <w:pPr>
              <w:pStyle w:val="TableParagraph"/>
              <w:spacing w:before="117" w:line="244" w:lineRule="auto"/>
              <w:ind w:left="121" w:right="122"/>
              <w:rPr>
                <w:rFonts w:ascii="Verdana" w:hAnsi="Verdana"/>
                <w:b/>
                <w:sz w:val="18"/>
                <w:szCs w:val="18"/>
              </w:rPr>
            </w:pPr>
            <w:r w:rsidRPr="00EC75B7">
              <w:rPr>
                <w:rFonts w:ascii="Verdana" w:hAnsi="Verdana"/>
                <w:b/>
                <w:color w:val="FFFFFF"/>
                <w:spacing w:val="-2"/>
                <w:sz w:val="18"/>
                <w:szCs w:val="18"/>
              </w:rPr>
              <w:t xml:space="preserve">Frequency </w:t>
            </w:r>
            <w:r w:rsidRPr="00EC75B7">
              <w:rPr>
                <w:rFonts w:ascii="Verdana" w:hAnsi="Verdana"/>
                <w:b/>
                <w:color w:val="FFFFFF"/>
                <w:spacing w:val="-6"/>
                <w:sz w:val="18"/>
                <w:szCs w:val="18"/>
              </w:rPr>
              <w:t xml:space="preserve">of </w:t>
            </w:r>
            <w:r w:rsidRPr="00EC75B7">
              <w:rPr>
                <w:rFonts w:ascii="Verdana" w:hAnsi="Verdana"/>
                <w:b/>
                <w:color w:val="FFFFFF"/>
                <w:spacing w:val="-2"/>
                <w:sz w:val="18"/>
                <w:szCs w:val="18"/>
              </w:rPr>
              <w:t>occurrence</w:t>
            </w:r>
          </w:p>
        </w:tc>
        <w:tc>
          <w:tcPr>
            <w:tcW w:w="722" w:type="dxa"/>
            <w:shd w:val="clear" w:color="auto" w:fill="00AFEF"/>
            <w:textDirection w:val="btLr"/>
          </w:tcPr>
          <w:p w14:paraId="3225225C" w14:textId="77777777" w:rsidR="008715BE" w:rsidRPr="00EC75B7" w:rsidRDefault="00000000">
            <w:pPr>
              <w:pStyle w:val="TableParagraph"/>
              <w:spacing w:before="114" w:line="244" w:lineRule="auto"/>
              <w:ind w:left="121" w:right="110"/>
              <w:rPr>
                <w:rFonts w:ascii="Verdana" w:hAnsi="Verdana"/>
                <w:b/>
                <w:sz w:val="18"/>
                <w:szCs w:val="18"/>
              </w:rPr>
            </w:pPr>
            <w:r w:rsidRPr="00EC75B7">
              <w:rPr>
                <w:rFonts w:ascii="Verdana" w:hAnsi="Verdana"/>
                <w:b/>
                <w:color w:val="FFFFFF"/>
                <w:spacing w:val="-2"/>
                <w:sz w:val="18"/>
                <w:szCs w:val="18"/>
              </w:rPr>
              <w:t xml:space="preserve">Extension </w:t>
            </w:r>
            <w:r w:rsidRPr="00EC75B7">
              <w:rPr>
                <w:rFonts w:ascii="Verdana" w:hAnsi="Verdana"/>
                <w:b/>
                <w:color w:val="FFFFFF"/>
                <w:spacing w:val="-10"/>
                <w:sz w:val="18"/>
                <w:szCs w:val="18"/>
              </w:rPr>
              <w:t>of</w:t>
            </w:r>
          </w:p>
        </w:tc>
        <w:tc>
          <w:tcPr>
            <w:tcW w:w="1075" w:type="dxa"/>
            <w:shd w:val="clear" w:color="auto" w:fill="00AFEF"/>
            <w:textDirection w:val="btLr"/>
          </w:tcPr>
          <w:p w14:paraId="55A3E13D" w14:textId="77777777" w:rsidR="008715BE" w:rsidRPr="00EC75B7" w:rsidRDefault="00000000">
            <w:pPr>
              <w:pStyle w:val="TableParagraph"/>
              <w:spacing w:before="115" w:line="244" w:lineRule="auto"/>
              <w:ind w:left="121" w:right="133"/>
              <w:rPr>
                <w:rFonts w:ascii="Verdana" w:hAnsi="Verdana"/>
                <w:b/>
                <w:sz w:val="18"/>
                <w:szCs w:val="18"/>
              </w:rPr>
            </w:pPr>
            <w:r w:rsidRPr="00EC75B7">
              <w:rPr>
                <w:rFonts w:ascii="Verdana" w:hAnsi="Verdana"/>
                <w:b/>
                <w:color w:val="FFFFFF"/>
                <w:spacing w:val="-2"/>
                <w:sz w:val="18"/>
                <w:szCs w:val="18"/>
              </w:rPr>
              <w:t>Prob</w:t>
            </w:r>
            <w:r w:rsidRPr="00EC75B7">
              <w:rPr>
                <w:rFonts w:ascii="Verdana" w:hAnsi="Verdana"/>
                <w:b/>
                <w:color w:val="FFFFFF"/>
                <w:spacing w:val="-4"/>
                <w:sz w:val="18"/>
                <w:szCs w:val="18"/>
              </w:rPr>
              <w:t>ability</w:t>
            </w:r>
          </w:p>
        </w:tc>
        <w:tc>
          <w:tcPr>
            <w:tcW w:w="996" w:type="dxa"/>
            <w:shd w:val="clear" w:color="auto" w:fill="00AFEF"/>
            <w:textDirection w:val="btLr"/>
          </w:tcPr>
          <w:p w14:paraId="0B04B562" w14:textId="77777777" w:rsidR="008715BE" w:rsidRPr="00EC75B7" w:rsidRDefault="00000000">
            <w:pPr>
              <w:pStyle w:val="TableParagraph"/>
              <w:spacing w:before="117" w:line="244" w:lineRule="auto"/>
              <w:ind w:left="121" w:right="110"/>
              <w:rPr>
                <w:rFonts w:ascii="Verdana" w:hAnsi="Verdana"/>
                <w:b/>
                <w:sz w:val="18"/>
                <w:szCs w:val="18"/>
              </w:rPr>
            </w:pPr>
            <w:r w:rsidRPr="00EC75B7">
              <w:rPr>
                <w:rFonts w:ascii="Verdana" w:hAnsi="Verdana"/>
                <w:b/>
                <w:color w:val="FFFFFF"/>
                <w:spacing w:val="-2"/>
                <w:sz w:val="18"/>
                <w:szCs w:val="18"/>
              </w:rPr>
              <w:t>Reversibility</w:t>
            </w:r>
          </w:p>
        </w:tc>
        <w:tc>
          <w:tcPr>
            <w:tcW w:w="1540" w:type="dxa"/>
            <w:shd w:val="clear" w:color="auto" w:fill="00AFEF"/>
          </w:tcPr>
          <w:p w14:paraId="4EAF2A5F" w14:textId="77777777" w:rsidR="008715BE" w:rsidRPr="00EC75B7" w:rsidRDefault="008715BE">
            <w:pPr>
              <w:pStyle w:val="TableParagraph"/>
              <w:spacing w:before="80"/>
              <w:rPr>
                <w:rFonts w:ascii="Verdana" w:hAnsi="Verdana"/>
                <w:b/>
                <w:sz w:val="18"/>
                <w:szCs w:val="18"/>
              </w:rPr>
            </w:pPr>
          </w:p>
          <w:p w14:paraId="30F95A13" w14:textId="77777777" w:rsidR="008715BE" w:rsidRPr="00EC75B7" w:rsidRDefault="00000000">
            <w:pPr>
              <w:pStyle w:val="TableParagraph"/>
              <w:ind w:left="191" w:right="183"/>
              <w:jc w:val="center"/>
              <w:rPr>
                <w:rFonts w:ascii="Verdana" w:hAnsi="Verdana"/>
                <w:b/>
                <w:sz w:val="18"/>
                <w:szCs w:val="18"/>
              </w:rPr>
            </w:pPr>
            <w:r w:rsidRPr="00EC75B7">
              <w:rPr>
                <w:rFonts w:ascii="Verdana" w:hAnsi="Verdana"/>
                <w:b/>
                <w:color w:val="FFFFFF"/>
                <w:spacing w:val="-2"/>
                <w:sz w:val="18"/>
                <w:szCs w:val="18"/>
              </w:rPr>
              <w:t>Assessment of impact significance</w:t>
            </w:r>
          </w:p>
        </w:tc>
        <w:tc>
          <w:tcPr>
            <w:tcW w:w="5810" w:type="dxa"/>
            <w:shd w:val="clear" w:color="auto" w:fill="00AFEF"/>
          </w:tcPr>
          <w:p w14:paraId="69016364" w14:textId="77777777" w:rsidR="008715BE" w:rsidRPr="00EC75B7" w:rsidRDefault="008715BE">
            <w:pPr>
              <w:pStyle w:val="TableParagraph"/>
              <w:rPr>
                <w:rFonts w:ascii="Verdana" w:hAnsi="Verdana"/>
                <w:b/>
                <w:sz w:val="18"/>
                <w:szCs w:val="18"/>
              </w:rPr>
            </w:pPr>
          </w:p>
          <w:p w14:paraId="754EE105" w14:textId="77777777" w:rsidR="008715BE" w:rsidRPr="00EC75B7" w:rsidRDefault="008715BE">
            <w:pPr>
              <w:pStyle w:val="TableParagraph"/>
              <w:spacing w:before="79"/>
              <w:rPr>
                <w:rFonts w:ascii="Verdana" w:hAnsi="Verdana"/>
                <w:b/>
                <w:sz w:val="18"/>
                <w:szCs w:val="18"/>
              </w:rPr>
            </w:pPr>
          </w:p>
          <w:p w14:paraId="6E1B7A05" w14:textId="77777777" w:rsidR="008715BE" w:rsidRPr="00EC75B7" w:rsidRDefault="00000000">
            <w:pPr>
              <w:pStyle w:val="TableParagraph"/>
              <w:ind w:left="10" w:right="4"/>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58CF201C" w14:textId="77777777" w:rsidTr="00C96230">
        <w:trPr>
          <w:trHeight w:val="1749"/>
        </w:trPr>
        <w:tc>
          <w:tcPr>
            <w:tcW w:w="725" w:type="dxa"/>
            <w:vMerge w:val="restart"/>
            <w:textDirection w:val="btLr"/>
          </w:tcPr>
          <w:p w14:paraId="3973BB1F" w14:textId="77777777" w:rsidR="008715BE" w:rsidRPr="00EC75B7" w:rsidRDefault="00000000">
            <w:pPr>
              <w:pStyle w:val="TableParagraph"/>
              <w:spacing w:before="118"/>
              <w:ind w:left="21"/>
              <w:jc w:val="center"/>
              <w:rPr>
                <w:rFonts w:ascii="Verdana" w:hAnsi="Verdana"/>
                <w:b/>
                <w:sz w:val="18"/>
                <w:szCs w:val="18"/>
              </w:rPr>
            </w:pPr>
            <w:r w:rsidRPr="00EC75B7">
              <w:rPr>
                <w:rFonts w:ascii="Verdana" w:hAnsi="Verdana"/>
                <w:b/>
                <w:spacing w:val="-2"/>
                <w:sz w:val="18"/>
                <w:szCs w:val="18"/>
              </w:rPr>
              <w:t>Execution</w:t>
            </w:r>
          </w:p>
        </w:tc>
        <w:tc>
          <w:tcPr>
            <w:tcW w:w="2949" w:type="dxa"/>
          </w:tcPr>
          <w:p w14:paraId="27DE565A" w14:textId="77777777" w:rsidR="008715BE" w:rsidRPr="00EC75B7" w:rsidRDefault="00000000">
            <w:pPr>
              <w:pStyle w:val="TableParagraph"/>
              <w:ind w:left="105" w:right="223"/>
              <w:rPr>
                <w:rFonts w:ascii="Verdana" w:hAnsi="Verdana"/>
                <w:sz w:val="18"/>
                <w:szCs w:val="18"/>
              </w:rPr>
            </w:pPr>
            <w:r w:rsidRPr="00EC75B7">
              <w:rPr>
                <w:rFonts w:ascii="Verdana" w:hAnsi="Verdana"/>
                <w:sz w:val="18"/>
                <w:szCs w:val="18"/>
              </w:rPr>
              <w:t xml:space="preserve">Site organization and operation (land preparation, </w:t>
            </w:r>
            <w:r w:rsidRPr="00EC75B7">
              <w:rPr>
                <w:rFonts w:ascii="Verdana" w:hAnsi="Verdana"/>
                <w:spacing w:val="-2"/>
                <w:sz w:val="18"/>
                <w:szCs w:val="18"/>
              </w:rPr>
              <w:t>temporary</w:t>
            </w:r>
            <w:r w:rsidRPr="00EC75B7">
              <w:rPr>
                <w:rFonts w:ascii="Verdana" w:hAnsi="Verdana"/>
                <w:sz w:val="18"/>
                <w:szCs w:val="18"/>
              </w:rPr>
              <w:t xml:space="preserve"> platforms</w:t>
            </w:r>
            <w:r w:rsidRPr="00EC75B7">
              <w:rPr>
                <w:rFonts w:ascii="Verdana" w:hAnsi="Verdana"/>
                <w:spacing w:val="-2"/>
                <w:sz w:val="18"/>
                <w:szCs w:val="18"/>
              </w:rPr>
              <w:t>)</w:t>
            </w:r>
          </w:p>
        </w:tc>
        <w:tc>
          <w:tcPr>
            <w:tcW w:w="2302" w:type="dxa"/>
          </w:tcPr>
          <w:p w14:paraId="17A3761E" w14:textId="378E1AB6" w:rsidR="008715BE" w:rsidRPr="00EC75B7" w:rsidRDefault="00000000" w:rsidP="00C96230">
            <w:pPr>
              <w:pStyle w:val="TableParagraph"/>
              <w:tabs>
                <w:tab w:val="left" w:pos="1261"/>
              </w:tabs>
              <w:ind w:left="107" w:right="95"/>
              <w:jc w:val="both"/>
              <w:rPr>
                <w:rFonts w:ascii="Verdana" w:hAnsi="Verdana"/>
                <w:sz w:val="18"/>
                <w:szCs w:val="18"/>
              </w:rPr>
            </w:pPr>
            <w:r w:rsidRPr="00EC75B7">
              <w:rPr>
                <w:rFonts w:ascii="Verdana" w:hAnsi="Verdana"/>
                <w:sz w:val="18"/>
                <w:szCs w:val="18"/>
              </w:rPr>
              <w:t>Temporary</w:t>
            </w:r>
            <w:r w:rsidR="00C96230">
              <w:rPr>
                <w:rFonts w:ascii="Verdana" w:hAnsi="Verdana"/>
                <w:sz w:val="18"/>
                <w:szCs w:val="18"/>
              </w:rPr>
              <w:t xml:space="preserve"> </w:t>
            </w:r>
            <w:r w:rsidRPr="00EC75B7">
              <w:rPr>
                <w:rFonts w:ascii="Verdana" w:hAnsi="Verdana"/>
                <w:sz w:val="18"/>
                <w:szCs w:val="18"/>
              </w:rPr>
              <w:t xml:space="preserve">occupation of </w:t>
            </w:r>
            <w:r w:rsidRPr="00EC75B7">
              <w:rPr>
                <w:rFonts w:ascii="Verdana" w:hAnsi="Verdana"/>
                <w:spacing w:val="-2"/>
                <w:sz w:val="18"/>
                <w:szCs w:val="18"/>
              </w:rPr>
              <w:t>land,</w:t>
            </w:r>
            <w:r w:rsidR="00C96230">
              <w:rPr>
                <w:rFonts w:ascii="Verdana" w:hAnsi="Verdana"/>
                <w:spacing w:val="-2"/>
                <w:sz w:val="18"/>
                <w:szCs w:val="18"/>
              </w:rPr>
              <w:t xml:space="preserve"> </w:t>
            </w:r>
            <w:r w:rsidRPr="00EC75B7">
              <w:rPr>
                <w:rFonts w:ascii="Verdana" w:hAnsi="Verdana"/>
                <w:spacing w:val="-4"/>
                <w:sz w:val="18"/>
                <w:szCs w:val="18"/>
              </w:rPr>
              <w:t xml:space="preserve">presence </w:t>
            </w:r>
            <w:r w:rsidRPr="00EC75B7">
              <w:rPr>
                <w:rFonts w:ascii="Verdana" w:hAnsi="Verdana"/>
                <w:spacing w:val="-2"/>
                <w:sz w:val="18"/>
                <w:szCs w:val="18"/>
              </w:rPr>
              <w:t>of machinery</w:t>
            </w:r>
          </w:p>
        </w:tc>
        <w:tc>
          <w:tcPr>
            <w:tcW w:w="1822" w:type="dxa"/>
          </w:tcPr>
          <w:p w14:paraId="74F711F2"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Temporary</w:t>
            </w:r>
            <w:r w:rsidRPr="00EC75B7">
              <w:rPr>
                <w:rFonts w:ascii="Verdana" w:hAnsi="Verdana"/>
                <w:sz w:val="18"/>
                <w:szCs w:val="18"/>
              </w:rPr>
              <w:t xml:space="preserve"> inconvenience</w:t>
            </w:r>
          </w:p>
          <w:p w14:paraId="457861D5"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z w:val="18"/>
                <w:szCs w:val="18"/>
              </w:rPr>
              <w:t xml:space="preserve">for </w:t>
            </w:r>
            <w:r w:rsidRPr="00EC75B7">
              <w:rPr>
                <w:rFonts w:ascii="Verdana" w:hAnsi="Verdana"/>
                <w:spacing w:val="-2"/>
                <w:sz w:val="18"/>
                <w:szCs w:val="18"/>
              </w:rPr>
              <w:t>the population</w:t>
            </w:r>
          </w:p>
        </w:tc>
        <w:tc>
          <w:tcPr>
            <w:tcW w:w="924" w:type="dxa"/>
          </w:tcPr>
          <w:p w14:paraId="364DF807" w14:textId="77777777" w:rsidR="008715BE" w:rsidRPr="00EC75B7" w:rsidRDefault="00000000">
            <w:pPr>
              <w:pStyle w:val="TableParagraph"/>
              <w:spacing w:line="195" w:lineRule="exact"/>
              <w:ind w:left="8"/>
              <w:jc w:val="center"/>
              <w:rPr>
                <w:rFonts w:ascii="Verdana" w:hAnsi="Verdana"/>
                <w:sz w:val="18"/>
                <w:szCs w:val="18"/>
              </w:rPr>
            </w:pPr>
            <w:r w:rsidRPr="00EC75B7">
              <w:rPr>
                <w:rFonts w:ascii="Verdana" w:hAnsi="Verdana"/>
                <w:spacing w:val="-2"/>
                <w:sz w:val="18"/>
                <w:szCs w:val="18"/>
              </w:rPr>
              <w:t>Negative</w:t>
            </w:r>
          </w:p>
        </w:tc>
        <w:tc>
          <w:tcPr>
            <w:tcW w:w="840" w:type="dxa"/>
          </w:tcPr>
          <w:p w14:paraId="6831019A" w14:textId="77777777" w:rsidR="008715BE" w:rsidRPr="00EC75B7" w:rsidRDefault="00000000">
            <w:pPr>
              <w:pStyle w:val="TableParagraph"/>
              <w:spacing w:line="195" w:lineRule="exact"/>
              <w:ind w:left="6" w:right="141"/>
              <w:jc w:val="center"/>
              <w:rPr>
                <w:rFonts w:ascii="Verdana" w:hAnsi="Verdana"/>
                <w:sz w:val="18"/>
                <w:szCs w:val="18"/>
              </w:rPr>
            </w:pPr>
            <w:r w:rsidRPr="00EC75B7">
              <w:rPr>
                <w:rFonts w:ascii="Verdana" w:hAnsi="Verdana"/>
                <w:spacing w:val="-2"/>
                <w:sz w:val="18"/>
                <w:szCs w:val="18"/>
              </w:rPr>
              <w:t>Direct</w:t>
            </w:r>
          </w:p>
        </w:tc>
        <w:tc>
          <w:tcPr>
            <w:tcW w:w="437" w:type="dxa"/>
          </w:tcPr>
          <w:p w14:paraId="3B1761B7"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0B0C6B1F" w14:textId="77777777" w:rsidR="008715BE" w:rsidRPr="00EC75B7" w:rsidRDefault="00000000">
            <w:pPr>
              <w:pStyle w:val="TableParagraph"/>
              <w:spacing w:line="195" w:lineRule="exact"/>
              <w:ind w:left="51" w:right="47"/>
              <w:jc w:val="center"/>
              <w:rPr>
                <w:rFonts w:ascii="Verdana" w:hAnsi="Verdana"/>
                <w:sz w:val="18"/>
                <w:szCs w:val="18"/>
              </w:rPr>
            </w:pPr>
            <w:r w:rsidRPr="00EC75B7">
              <w:rPr>
                <w:rFonts w:ascii="Verdana" w:hAnsi="Verdana"/>
                <w:spacing w:val="-2"/>
                <w:sz w:val="18"/>
                <w:szCs w:val="18"/>
              </w:rPr>
              <w:t>Short</w:t>
            </w:r>
          </w:p>
        </w:tc>
        <w:tc>
          <w:tcPr>
            <w:tcW w:w="1093" w:type="dxa"/>
          </w:tcPr>
          <w:p w14:paraId="76763C3B"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Temporary</w:t>
            </w:r>
          </w:p>
        </w:tc>
        <w:tc>
          <w:tcPr>
            <w:tcW w:w="722" w:type="dxa"/>
          </w:tcPr>
          <w:p w14:paraId="30F19793"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3F50AADC" w14:textId="77777777" w:rsidR="008715BE" w:rsidRPr="00EC75B7" w:rsidRDefault="00000000">
            <w:pPr>
              <w:pStyle w:val="TableParagraph"/>
              <w:spacing w:line="195" w:lineRule="exact"/>
              <w:ind w:right="112"/>
              <w:jc w:val="center"/>
              <w:rPr>
                <w:rFonts w:ascii="Verdana" w:hAnsi="Verdana"/>
                <w:sz w:val="18"/>
                <w:szCs w:val="18"/>
              </w:rPr>
            </w:pPr>
            <w:r w:rsidRPr="00EC75B7">
              <w:rPr>
                <w:rFonts w:ascii="Verdana" w:hAnsi="Verdana"/>
                <w:spacing w:val="-2"/>
                <w:sz w:val="18"/>
                <w:szCs w:val="18"/>
              </w:rPr>
              <w:t>Probable</w:t>
            </w:r>
          </w:p>
        </w:tc>
        <w:tc>
          <w:tcPr>
            <w:tcW w:w="996" w:type="dxa"/>
          </w:tcPr>
          <w:p w14:paraId="14B78634"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5FA428EB"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37C2A9C5" w14:textId="2F6AFEA9" w:rsidR="008715BE" w:rsidRPr="00EC75B7" w:rsidRDefault="00000000" w:rsidP="00692EED">
            <w:pPr>
              <w:pStyle w:val="TableParagraph"/>
              <w:ind w:left="105" w:right="96"/>
              <w:jc w:val="both"/>
              <w:rPr>
                <w:rFonts w:ascii="Verdana" w:hAnsi="Verdana"/>
                <w:sz w:val="18"/>
                <w:szCs w:val="18"/>
              </w:rPr>
            </w:pPr>
            <w:r w:rsidRPr="00EC75B7">
              <w:rPr>
                <w:rFonts w:ascii="Verdana" w:hAnsi="Verdana"/>
                <w:spacing w:val="24"/>
                <w:sz w:val="18"/>
                <w:szCs w:val="18"/>
              </w:rPr>
              <w:t xml:space="preserve">  </w:t>
            </w:r>
            <w:r w:rsidRPr="00EC75B7">
              <w:rPr>
                <w:rFonts w:ascii="Verdana" w:hAnsi="Verdana"/>
                <w:sz w:val="18"/>
                <w:szCs w:val="18"/>
              </w:rPr>
              <w:t>Three temporary construction sites are planned for the investments, located within the project perimeter, on plots that have already been demarcated and will be used exclusively for the duration of the works. Land occupation is limited in terms of area and duration, without affecting neighboring uses or material assets. The activities carried out within the construction sites (temporary facilities, machinery traffic, waste management, lighting) may cause minor local discomfort,</w:t>
            </w:r>
            <w:r w:rsidRPr="00EC75B7">
              <w:rPr>
                <w:rFonts w:ascii="Verdana" w:hAnsi="Verdana"/>
                <w:spacing w:val="23"/>
                <w:sz w:val="18"/>
                <w:szCs w:val="18"/>
              </w:rPr>
              <w:t xml:space="preserve">  </w:t>
            </w:r>
            <w:r w:rsidRPr="00EC75B7">
              <w:rPr>
                <w:rFonts w:ascii="Verdana" w:hAnsi="Verdana"/>
                <w:sz w:val="18"/>
                <w:szCs w:val="18"/>
              </w:rPr>
              <w:t xml:space="preserve"> temporary, reversible</w:t>
            </w:r>
            <w:r w:rsidRPr="00EC75B7">
              <w:rPr>
                <w:rFonts w:ascii="Verdana" w:hAnsi="Verdana"/>
                <w:spacing w:val="25"/>
                <w:sz w:val="18"/>
                <w:szCs w:val="18"/>
              </w:rPr>
              <w:t xml:space="preserve"> </w:t>
            </w:r>
            <w:r w:rsidRPr="00EC75B7">
              <w:rPr>
                <w:rFonts w:ascii="Verdana" w:hAnsi="Verdana"/>
                <w:sz w:val="18"/>
                <w:szCs w:val="18"/>
              </w:rPr>
              <w:t>and</w:t>
            </w:r>
            <w:r w:rsidRPr="00EC75B7">
              <w:rPr>
                <w:rFonts w:ascii="Verdana" w:hAnsi="Verdana"/>
                <w:spacing w:val="24"/>
                <w:sz w:val="18"/>
                <w:szCs w:val="18"/>
              </w:rPr>
              <w:t xml:space="preserve"> </w:t>
            </w:r>
            <w:r w:rsidRPr="00EC75B7">
              <w:rPr>
                <w:rFonts w:ascii="Verdana" w:hAnsi="Verdana"/>
                <w:sz w:val="18"/>
                <w:szCs w:val="18"/>
              </w:rPr>
              <w:t>without</w:t>
            </w:r>
            <w:r w:rsidRPr="00EC75B7">
              <w:rPr>
                <w:rFonts w:ascii="Verdana" w:hAnsi="Verdana"/>
                <w:spacing w:val="24"/>
                <w:sz w:val="18"/>
                <w:szCs w:val="18"/>
              </w:rPr>
              <w:t xml:space="preserve">  </w:t>
            </w:r>
            <w:r w:rsidRPr="00EC75B7">
              <w:rPr>
                <w:rFonts w:ascii="Verdana" w:hAnsi="Verdana"/>
                <w:spacing w:val="-2"/>
                <w:sz w:val="18"/>
                <w:szCs w:val="18"/>
              </w:rPr>
              <w:t xml:space="preserve"> extending</w:t>
            </w:r>
          </w:p>
          <w:p w14:paraId="41F7C1B5" w14:textId="77777777" w:rsidR="008715BE" w:rsidRPr="00EC75B7" w:rsidRDefault="00000000" w:rsidP="00692EED">
            <w:pPr>
              <w:pStyle w:val="TableParagraph"/>
              <w:spacing w:line="167" w:lineRule="exact"/>
              <w:ind w:left="105"/>
              <w:jc w:val="both"/>
              <w:rPr>
                <w:rFonts w:ascii="Verdana" w:hAnsi="Verdana"/>
                <w:sz w:val="18"/>
                <w:szCs w:val="18"/>
              </w:rPr>
            </w:pPr>
            <w:r w:rsidRPr="00EC75B7">
              <w:rPr>
                <w:rFonts w:ascii="Verdana" w:hAnsi="Verdana"/>
                <w:sz w:val="18"/>
                <w:szCs w:val="18"/>
              </w:rPr>
              <w:t xml:space="preserve">impact outside the </w:t>
            </w:r>
            <w:r w:rsidRPr="00EC75B7">
              <w:rPr>
                <w:rFonts w:ascii="Verdana" w:hAnsi="Verdana"/>
                <w:spacing w:val="-2"/>
                <w:sz w:val="18"/>
                <w:szCs w:val="18"/>
              </w:rPr>
              <w:t xml:space="preserve">site </w:t>
            </w:r>
            <w:r w:rsidRPr="00EC75B7">
              <w:rPr>
                <w:rFonts w:ascii="Verdana" w:hAnsi="Verdana"/>
                <w:sz w:val="18"/>
                <w:szCs w:val="18"/>
              </w:rPr>
              <w:t>area</w:t>
            </w:r>
            <w:r w:rsidRPr="00EC75B7">
              <w:rPr>
                <w:rFonts w:ascii="Verdana" w:hAnsi="Verdana"/>
                <w:spacing w:val="-2"/>
                <w:sz w:val="18"/>
                <w:szCs w:val="18"/>
              </w:rPr>
              <w:t>.</w:t>
            </w:r>
          </w:p>
        </w:tc>
      </w:tr>
      <w:tr w:rsidR="008715BE" w:rsidRPr="00EC75B7" w14:paraId="15393B03" w14:textId="77777777" w:rsidTr="00C96230">
        <w:trPr>
          <w:trHeight w:val="779"/>
        </w:trPr>
        <w:tc>
          <w:tcPr>
            <w:tcW w:w="725" w:type="dxa"/>
            <w:vMerge/>
            <w:tcBorders>
              <w:top w:val="nil"/>
            </w:tcBorders>
            <w:textDirection w:val="btLr"/>
          </w:tcPr>
          <w:p w14:paraId="1D0FA678" w14:textId="77777777" w:rsidR="008715BE" w:rsidRPr="00EC75B7" w:rsidRDefault="008715BE">
            <w:pPr>
              <w:rPr>
                <w:rFonts w:ascii="Verdana" w:hAnsi="Verdana"/>
                <w:sz w:val="18"/>
                <w:szCs w:val="18"/>
              </w:rPr>
            </w:pPr>
          </w:p>
        </w:tc>
        <w:tc>
          <w:tcPr>
            <w:tcW w:w="2949" w:type="dxa"/>
          </w:tcPr>
          <w:p w14:paraId="7C720A54" w14:textId="77777777" w:rsidR="008715BE" w:rsidRPr="00EC75B7" w:rsidRDefault="00000000">
            <w:pPr>
              <w:pStyle w:val="TableParagraph"/>
              <w:ind w:left="105" w:right="245"/>
              <w:rPr>
                <w:rFonts w:ascii="Verdana" w:hAnsi="Verdana"/>
                <w:sz w:val="18"/>
                <w:szCs w:val="18"/>
              </w:rPr>
            </w:pPr>
            <w:r w:rsidRPr="00EC75B7">
              <w:rPr>
                <w:rFonts w:ascii="Verdana" w:hAnsi="Verdana"/>
                <w:sz w:val="18"/>
                <w:szCs w:val="18"/>
              </w:rPr>
              <w:t>Construction site traffic (equipment, materials, components)</w:t>
            </w:r>
          </w:p>
        </w:tc>
        <w:tc>
          <w:tcPr>
            <w:tcW w:w="2302" w:type="dxa"/>
          </w:tcPr>
          <w:p w14:paraId="3E033652" w14:textId="77777777" w:rsidR="008715BE" w:rsidRPr="00EC75B7" w:rsidRDefault="00000000">
            <w:pPr>
              <w:pStyle w:val="TableParagraph"/>
              <w:ind w:left="107" w:right="98"/>
              <w:jc w:val="both"/>
              <w:rPr>
                <w:rFonts w:ascii="Verdana" w:hAnsi="Verdana"/>
                <w:sz w:val="18"/>
                <w:szCs w:val="18"/>
              </w:rPr>
            </w:pPr>
            <w:r w:rsidRPr="00EC75B7">
              <w:rPr>
                <w:rFonts w:ascii="Verdana" w:hAnsi="Verdana"/>
                <w:sz w:val="18"/>
                <w:szCs w:val="18"/>
              </w:rPr>
              <w:t xml:space="preserve">Increased traffic, dust and </w:t>
            </w:r>
            <w:r w:rsidRPr="00EC75B7">
              <w:rPr>
                <w:rFonts w:ascii="Verdana" w:hAnsi="Verdana"/>
                <w:spacing w:val="-2"/>
                <w:sz w:val="18"/>
                <w:szCs w:val="18"/>
              </w:rPr>
              <w:t xml:space="preserve">noise </w:t>
            </w:r>
            <w:r w:rsidRPr="00EC75B7">
              <w:rPr>
                <w:rFonts w:ascii="Verdana" w:hAnsi="Verdana"/>
                <w:sz w:val="18"/>
                <w:szCs w:val="18"/>
              </w:rPr>
              <w:t>emissions</w:t>
            </w:r>
          </w:p>
        </w:tc>
        <w:tc>
          <w:tcPr>
            <w:tcW w:w="1822" w:type="dxa"/>
          </w:tcPr>
          <w:p w14:paraId="1C47C0BB" w14:textId="77777777" w:rsidR="008715BE" w:rsidRPr="00EC75B7" w:rsidRDefault="00000000">
            <w:pPr>
              <w:pStyle w:val="TableParagraph"/>
              <w:tabs>
                <w:tab w:val="left" w:pos="1617"/>
              </w:tabs>
              <w:ind w:left="106" w:right="95"/>
              <w:rPr>
                <w:rFonts w:ascii="Verdana" w:hAnsi="Verdana"/>
                <w:sz w:val="18"/>
                <w:szCs w:val="18"/>
              </w:rPr>
            </w:pPr>
            <w:r w:rsidRPr="00EC75B7">
              <w:rPr>
                <w:rFonts w:ascii="Verdana" w:hAnsi="Verdana"/>
                <w:spacing w:val="-2"/>
                <w:sz w:val="18"/>
                <w:szCs w:val="18"/>
              </w:rPr>
              <w:t>Temporary impact</w:t>
            </w:r>
            <w:r w:rsidRPr="00EC75B7">
              <w:rPr>
                <w:rFonts w:ascii="Verdana" w:hAnsi="Verdana"/>
                <w:sz w:val="18"/>
                <w:szCs w:val="18"/>
              </w:rPr>
              <w:tab/>
            </w:r>
            <w:r w:rsidRPr="00EC75B7">
              <w:rPr>
                <w:rFonts w:ascii="Verdana" w:hAnsi="Verdana"/>
                <w:spacing w:val="-10"/>
                <w:sz w:val="18"/>
                <w:szCs w:val="18"/>
              </w:rPr>
              <w:t xml:space="preserve">of </w:t>
            </w:r>
            <w:r w:rsidRPr="00EC75B7">
              <w:rPr>
                <w:rFonts w:ascii="Verdana" w:hAnsi="Verdana"/>
                <w:spacing w:val="-2"/>
                <w:sz w:val="18"/>
                <w:szCs w:val="18"/>
              </w:rPr>
              <w:t>the comfort</w:t>
            </w:r>
          </w:p>
          <w:p w14:paraId="07B990B7"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of the population</w:t>
            </w:r>
          </w:p>
        </w:tc>
        <w:tc>
          <w:tcPr>
            <w:tcW w:w="924" w:type="dxa"/>
          </w:tcPr>
          <w:p w14:paraId="74F17A98" w14:textId="77777777" w:rsidR="008715BE" w:rsidRPr="00EC75B7" w:rsidRDefault="00000000">
            <w:pPr>
              <w:pStyle w:val="TableParagraph"/>
              <w:spacing w:line="195" w:lineRule="exact"/>
              <w:ind w:left="8"/>
              <w:jc w:val="center"/>
              <w:rPr>
                <w:rFonts w:ascii="Verdana" w:hAnsi="Verdana"/>
                <w:sz w:val="18"/>
                <w:szCs w:val="18"/>
              </w:rPr>
            </w:pPr>
            <w:r w:rsidRPr="00EC75B7">
              <w:rPr>
                <w:rFonts w:ascii="Verdana" w:hAnsi="Verdana"/>
                <w:spacing w:val="-2"/>
                <w:sz w:val="18"/>
                <w:szCs w:val="18"/>
              </w:rPr>
              <w:t>Negative</w:t>
            </w:r>
          </w:p>
        </w:tc>
        <w:tc>
          <w:tcPr>
            <w:tcW w:w="840" w:type="dxa"/>
          </w:tcPr>
          <w:p w14:paraId="6EF9094F" w14:textId="77777777" w:rsidR="008715BE" w:rsidRPr="00EC75B7" w:rsidRDefault="00000000">
            <w:pPr>
              <w:pStyle w:val="TableParagraph"/>
              <w:spacing w:line="195" w:lineRule="exact"/>
              <w:ind w:left="6" w:right="141"/>
              <w:jc w:val="center"/>
              <w:rPr>
                <w:rFonts w:ascii="Verdana" w:hAnsi="Verdana"/>
                <w:sz w:val="18"/>
                <w:szCs w:val="18"/>
              </w:rPr>
            </w:pPr>
            <w:r w:rsidRPr="00EC75B7">
              <w:rPr>
                <w:rFonts w:ascii="Verdana" w:hAnsi="Verdana"/>
                <w:spacing w:val="-2"/>
                <w:sz w:val="18"/>
                <w:szCs w:val="18"/>
              </w:rPr>
              <w:t>Direct</w:t>
            </w:r>
          </w:p>
        </w:tc>
        <w:tc>
          <w:tcPr>
            <w:tcW w:w="437" w:type="dxa"/>
          </w:tcPr>
          <w:p w14:paraId="62E711B6"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559F5041" w14:textId="77777777" w:rsidR="008715BE" w:rsidRPr="00EC75B7" w:rsidRDefault="00000000">
            <w:pPr>
              <w:pStyle w:val="TableParagraph"/>
              <w:spacing w:line="195" w:lineRule="exact"/>
              <w:ind w:left="7" w:right="54"/>
              <w:jc w:val="center"/>
              <w:rPr>
                <w:rFonts w:ascii="Verdana" w:hAnsi="Verdana"/>
                <w:sz w:val="18"/>
                <w:szCs w:val="18"/>
              </w:rPr>
            </w:pPr>
            <w:r w:rsidRPr="00EC75B7">
              <w:rPr>
                <w:rFonts w:ascii="Verdana" w:hAnsi="Verdana"/>
                <w:spacing w:val="-2"/>
                <w:sz w:val="18"/>
                <w:szCs w:val="18"/>
              </w:rPr>
              <w:t>Average</w:t>
            </w:r>
          </w:p>
        </w:tc>
        <w:tc>
          <w:tcPr>
            <w:tcW w:w="1093" w:type="dxa"/>
          </w:tcPr>
          <w:p w14:paraId="5BD69EFC"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Intermittent</w:t>
            </w:r>
          </w:p>
        </w:tc>
        <w:tc>
          <w:tcPr>
            <w:tcW w:w="722" w:type="dxa"/>
          </w:tcPr>
          <w:p w14:paraId="539E0D6D"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7175ED4E" w14:textId="77777777" w:rsidR="008715BE" w:rsidRPr="00EC75B7" w:rsidRDefault="00000000">
            <w:pPr>
              <w:pStyle w:val="TableParagraph"/>
              <w:spacing w:line="195" w:lineRule="exact"/>
              <w:ind w:right="112"/>
              <w:jc w:val="center"/>
              <w:rPr>
                <w:rFonts w:ascii="Verdana" w:hAnsi="Verdana"/>
                <w:sz w:val="18"/>
                <w:szCs w:val="18"/>
              </w:rPr>
            </w:pPr>
            <w:r w:rsidRPr="00EC75B7">
              <w:rPr>
                <w:rFonts w:ascii="Verdana" w:hAnsi="Verdana"/>
                <w:spacing w:val="-2"/>
                <w:sz w:val="18"/>
                <w:szCs w:val="18"/>
              </w:rPr>
              <w:t>Probable</w:t>
            </w:r>
          </w:p>
        </w:tc>
        <w:tc>
          <w:tcPr>
            <w:tcW w:w="996" w:type="dxa"/>
          </w:tcPr>
          <w:p w14:paraId="541DB9F4"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13739FC8"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55C582D6" w14:textId="77777777" w:rsidR="008715BE" w:rsidRPr="00EC75B7" w:rsidRDefault="00000000" w:rsidP="00692EED">
            <w:pPr>
              <w:pStyle w:val="TableParagraph"/>
              <w:ind w:left="105" w:right="98"/>
              <w:jc w:val="both"/>
              <w:rPr>
                <w:rFonts w:ascii="Verdana" w:hAnsi="Verdana"/>
                <w:sz w:val="18"/>
                <w:szCs w:val="18"/>
              </w:rPr>
            </w:pPr>
            <w:r w:rsidRPr="00EC75B7">
              <w:rPr>
                <w:rFonts w:ascii="Verdana" w:hAnsi="Verdana"/>
                <w:sz w:val="18"/>
                <w:szCs w:val="18"/>
              </w:rPr>
              <w:t>Traffic associated with the execution may lead to temporary increases in noise and atmospheric emissions, with local and short-term effects, without exceeding the limits allowed in inhabited areas.</w:t>
            </w:r>
          </w:p>
        </w:tc>
      </w:tr>
      <w:tr w:rsidR="008715BE" w:rsidRPr="00EC75B7" w14:paraId="7FD097BC" w14:textId="77777777" w:rsidTr="00C96230">
        <w:trPr>
          <w:trHeight w:val="388"/>
        </w:trPr>
        <w:tc>
          <w:tcPr>
            <w:tcW w:w="725" w:type="dxa"/>
            <w:vMerge/>
            <w:tcBorders>
              <w:top w:val="nil"/>
            </w:tcBorders>
            <w:textDirection w:val="btLr"/>
          </w:tcPr>
          <w:p w14:paraId="4F99B1D0" w14:textId="77777777" w:rsidR="008715BE" w:rsidRPr="00EC75B7" w:rsidRDefault="008715BE">
            <w:pPr>
              <w:rPr>
                <w:rFonts w:ascii="Verdana" w:hAnsi="Verdana"/>
                <w:sz w:val="18"/>
                <w:szCs w:val="18"/>
              </w:rPr>
            </w:pPr>
          </w:p>
        </w:tc>
        <w:tc>
          <w:tcPr>
            <w:tcW w:w="2949" w:type="dxa"/>
          </w:tcPr>
          <w:p w14:paraId="56475C9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Exc</w:t>
            </w:r>
            <w:r w:rsidRPr="00EC75B7">
              <w:rPr>
                <w:rFonts w:ascii="Verdana" w:hAnsi="Verdana"/>
                <w:sz w:val="18"/>
                <w:szCs w:val="18"/>
              </w:rPr>
              <w:t xml:space="preserve">avation, foundation, </w:t>
            </w:r>
            <w:r w:rsidRPr="00EC75B7">
              <w:rPr>
                <w:rFonts w:ascii="Verdana" w:hAnsi="Verdana"/>
                <w:spacing w:val="-5"/>
                <w:sz w:val="18"/>
                <w:szCs w:val="18"/>
              </w:rPr>
              <w:t>and</w:t>
            </w:r>
          </w:p>
          <w:p w14:paraId="0AB7F981"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 xml:space="preserve">technological </w:t>
            </w:r>
            <w:r w:rsidRPr="00EC75B7">
              <w:rPr>
                <w:rFonts w:ascii="Verdana" w:hAnsi="Verdana"/>
                <w:sz w:val="18"/>
                <w:szCs w:val="18"/>
              </w:rPr>
              <w:t>platforms</w:t>
            </w:r>
          </w:p>
        </w:tc>
        <w:tc>
          <w:tcPr>
            <w:tcW w:w="2302" w:type="dxa"/>
          </w:tcPr>
          <w:p w14:paraId="4EEB8BE0"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Noise, vibrations, dust </w:t>
            </w:r>
            <w:r w:rsidRPr="00EC75B7">
              <w:rPr>
                <w:rFonts w:ascii="Verdana" w:hAnsi="Verdana"/>
                <w:spacing w:val="-2"/>
                <w:sz w:val="18"/>
                <w:szCs w:val="18"/>
              </w:rPr>
              <w:t>emissions</w:t>
            </w:r>
          </w:p>
          <w:p w14:paraId="3D61EB30"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pacing w:val="-4"/>
                <w:sz w:val="18"/>
                <w:szCs w:val="18"/>
              </w:rPr>
              <w:t>d</w:t>
            </w:r>
            <w:r w:rsidRPr="00EC75B7">
              <w:rPr>
                <w:rFonts w:ascii="Verdana" w:hAnsi="Verdana"/>
                <w:sz w:val="18"/>
                <w:szCs w:val="18"/>
              </w:rPr>
              <w:t>ust</w:t>
            </w:r>
          </w:p>
        </w:tc>
        <w:tc>
          <w:tcPr>
            <w:tcW w:w="1822" w:type="dxa"/>
          </w:tcPr>
          <w:p w14:paraId="70886FF8" w14:textId="77777777" w:rsidR="008715BE" w:rsidRPr="00EC75B7" w:rsidRDefault="00000000">
            <w:pPr>
              <w:pStyle w:val="TableParagraph"/>
              <w:spacing w:line="195" w:lineRule="exact"/>
              <w:ind w:left="5"/>
              <w:jc w:val="center"/>
              <w:rPr>
                <w:rFonts w:ascii="Verdana" w:hAnsi="Verdana"/>
                <w:sz w:val="18"/>
                <w:szCs w:val="18"/>
              </w:rPr>
            </w:pPr>
            <w:r w:rsidRPr="00EC75B7">
              <w:rPr>
                <w:rFonts w:ascii="Verdana" w:hAnsi="Verdana"/>
                <w:sz w:val="18"/>
                <w:szCs w:val="18"/>
              </w:rPr>
              <w:t xml:space="preserve">Discomfort to the </w:t>
            </w:r>
            <w:r w:rsidRPr="00EC75B7">
              <w:rPr>
                <w:rFonts w:ascii="Verdana" w:hAnsi="Verdana"/>
                <w:spacing w:val="-2"/>
                <w:sz w:val="18"/>
                <w:szCs w:val="18"/>
              </w:rPr>
              <w:t>population</w:t>
            </w:r>
          </w:p>
        </w:tc>
        <w:tc>
          <w:tcPr>
            <w:tcW w:w="924" w:type="dxa"/>
          </w:tcPr>
          <w:p w14:paraId="3D3C6DA3" w14:textId="77777777" w:rsidR="008715BE" w:rsidRPr="00EC75B7" w:rsidRDefault="00000000">
            <w:pPr>
              <w:pStyle w:val="TableParagraph"/>
              <w:spacing w:line="195" w:lineRule="exact"/>
              <w:ind w:left="8"/>
              <w:jc w:val="center"/>
              <w:rPr>
                <w:rFonts w:ascii="Verdana" w:hAnsi="Verdana"/>
                <w:sz w:val="18"/>
                <w:szCs w:val="18"/>
              </w:rPr>
            </w:pPr>
            <w:r w:rsidRPr="00EC75B7">
              <w:rPr>
                <w:rFonts w:ascii="Verdana" w:hAnsi="Verdana"/>
                <w:spacing w:val="-2"/>
                <w:sz w:val="18"/>
                <w:szCs w:val="18"/>
              </w:rPr>
              <w:t>Negative</w:t>
            </w:r>
          </w:p>
        </w:tc>
        <w:tc>
          <w:tcPr>
            <w:tcW w:w="840" w:type="dxa"/>
          </w:tcPr>
          <w:p w14:paraId="5246D976" w14:textId="77777777" w:rsidR="008715BE" w:rsidRPr="00EC75B7" w:rsidRDefault="00000000">
            <w:pPr>
              <w:pStyle w:val="TableParagraph"/>
              <w:spacing w:line="195" w:lineRule="exact"/>
              <w:ind w:left="6" w:right="141"/>
              <w:jc w:val="center"/>
              <w:rPr>
                <w:rFonts w:ascii="Verdana" w:hAnsi="Verdana"/>
                <w:sz w:val="18"/>
                <w:szCs w:val="18"/>
              </w:rPr>
            </w:pPr>
            <w:r w:rsidRPr="00EC75B7">
              <w:rPr>
                <w:rFonts w:ascii="Verdana" w:hAnsi="Verdana"/>
                <w:spacing w:val="-2"/>
                <w:sz w:val="18"/>
                <w:szCs w:val="18"/>
              </w:rPr>
              <w:t>Direct</w:t>
            </w:r>
          </w:p>
        </w:tc>
        <w:tc>
          <w:tcPr>
            <w:tcW w:w="437" w:type="dxa"/>
          </w:tcPr>
          <w:p w14:paraId="03115624"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4B22677D" w14:textId="77777777" w:rsidR="008715BE" w:rsidRPr="00EC75B7" w:rsidRDefault="00000000">
            <w:pPr>
              <w:pStyle w:val="TableParagraph"/>
              <w:spacing w:line="195" w:lineRule="exact"/>
              <w:ind w:left="7" w:right="54"/>
              <w:jc w:val="center"/>
              <w:rPr>
                <w:rFonts w:ascii="Verdana" w:hAnsi="Verdana"/>
                <w:sz w:val="18"/>
                <w:szCs w:val="18"/>
              </w:rPr>
            </w:pPr>
            <w:r w:rsidRPr="00EC75B7">
              <w:rPr>
                <w:rFonts w:ascii="Verdana" w:hAnsi="Verdana"/>
                <w:spacing w:val="-2"/>
                <w:sz w:val="18"/>
                <w:szCs w:val="18"/>
              </w:rPr>
              <w:t>Average</w:t>
            </w:r>
          </w:p>
        </w:tc>
        <w:tc>
          <w:tcPr>
            <w:tcW w:w="1093" w:type="dxa"/>
          </w:tcPr>
          <w:p w14:paraId="01E8FA09"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Intermittent</w:t>
            </w:r>
          </w:p>
        </w:tc>
        <w:tc>
          <w:tcPr>
            <w:tcW w:w="722" w:type="dxa"/>
          </w:tcPr>
          <w:p w14:paraId="61CCEAA8"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0D532280" w14:textId="77777777" w:rsidR="008715BE" w:rsidRPr="00EC75B7" w:rsidRDefault="00000000">
            <w:pPr>
              <w:pStyle w:val="TableParagraph"/>
              <w:spacing w:line="195" w:lineRule="exact"/>
              <w:ind w:right="112"/>
              <w:jc w:val="center"/>
              <w:rPr>
                <w:rFonts w:ascii="Verdana" w:hAnsi="Verdana"/>
                <w:sz w:val="18"/>
                <w:szCs w:val="18"/>
              </w:rPr>
            </w:pPr>
            <w:r w:rsidRPr="00EC75B7">
              <w:rPr>
                <w:rFonts w:ascii="Verdana" w:hAnsi="Verdana"/>
                <w:spacing w:val="-2"/>
                <w:sz w:val="18"/>
                <w:szCs w:val="18"/>
              </w:rPr>
              <w:t>Probable</w:t>
            </w:r>
          </w:p>
        </w:tc>
        <w:tc>
          <w:tcPr>
            <w:tcW w:w="996" w:type="dxa"/>
          </w:tcPr>
          <w:p w14:paraId="495F4F75"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687815DE"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2C742C34" w14:textId="5DA810C7" w:rsidR="008715BE" w:rsidRPr="00EC75B7" w:rsidRDefault="00000000" w:rsidP="00692EED">
            <w:pPr>
              <w:pStyle w:val="TableParagraph"/>
              <w:spacing w:line="194" w:lineRule="exact"/>
              <w:ind w:left="105"/>
              <w:jc w:val="both"/>
              <w:rPr>
                <w:rFonts w:ascii="Verdana" w:hAnsi="Verdana"/>
                <w:sz w:val="18"/>
                <w:szCs w:val="18"/>
              </w:rPr>
            </w:pPr>
            <w:r w:rsidRPr="00EC75B7">
              <w:rPr>
                <w:rFonts w:ascii="Verdana" w:hAnsi="Verdana"/>
                <w:sz w:val="18"/>
                <w:szCs w:val="18"/>
              </w:rPr>
              <w:t xml:space="preserve">The impact is specific to construction works, temporary and </w:t>
            </w:r>
            <w:r w:rsidRPr="00EC75B7">
              <w:rPr>
                <w:rFonts w:ascii="Verdana" w:hAnsi="Verdana"/>
                <w:spacing w:val="-2"/>
                <w:sz w:val="18"/>
                <w:szCs w:val="18"/>
              </w:rPr>
              <w:t>localized,</w:t>
            </w:r>
            <w:r w:rsidR="00692EED">
              <w:rPr>
                <w:rFonts w:ascii="Verdana" w:hAnsi="Verdana"/>
                <w:spacing w:val="-2"/>
                <w:sz w:val="18"/>
                <w:szCs w:val="18"/>
              </w:rPr>
              <w:t xml:space="preserve"> </w:t>
            </w:r>
            <w:r w:rsidRPr="00EC75B7">
              <w:rPr>
                <w:rFonts w:ascii="Verdana" w:hAnsi="Verdana"/>
                <w:sz w:val="18"/>
                <w:szCs w:val="18"/>
              </w:rPr>
              <w:t xml:space="preserve">with no significant effects on </w:t>
            </w:r>
            <w:r w:rsidRPr="00EC75B7">
              <w:rPr>
                <w:rFonts w:ascii="Verdana" w:hAnsi="Verdana"/>
                <w:spacing w:val="-2"/>
                <w:sz w:val="18"/>
                <w:szCs w:val="18"/>
              </w:rPr>
              <w:t xml:space="preserve">public </w:t>
            </w:r>
            <w:r w:rsidRPr="00EC75B7">
              <w:rPr>
                <w:rFonts w:ascii="Verdana" w:hAnsi="Verdana"/>
                <w:sz w:val="18"/>
                <w:szCs w:val="18"/>
              </w:rPr>
              <w:t>health</w:t>
            </w:r>
            <w:r w:rsidRPr="00EC75B7">
              <w:rPr>
                <w:rFonts w:ascii="Verdana" w:hAnsi="Verdana"/>
                <w:spacing w:val="-2"/>
                <w:sz w:val="18"/>
                <w:szCs w:val="18"/>
              </w:rPr>
              <w:t>.</w:t>
            </w:r>
          </w:p>
        </w:tc>
      </w:tr>
      <w:tr w:rsidR="008715BE" w:rsidRPr="00EC75B7" w14:paraId="29CCD9BD" w14:textId="77777777" w:rsidTr="00C96230">
        <w:trPr>
          <w:trHeight w:val="582"/>
        </w:trPr>
        <w:tc>
          <w:tcPr>
            <w:tcW w:w="725" w:type="dxa"/>
            <w:vMerge/>
            <w:tcBorders>
              <w:top w:val="nil"/>
            </w:tcBorders>
            <w:textDirection w:val="btLr"/>
          </w:tcPr>
          <w:p w14:paraId="005A0721" w14:textId="77777777" w:rsidR="008715BE" w:rsidRPr="00EC75B7" w:rsidRDefault="008715BE">
            <w:pPr>
              <w:rPr>
                <w:rFonts w:ascii="Verdana" w:hAnsi="Verdana"/>
                <w:sz w:val="18"/>
                <w:szCs w:val="18"/>
              </w:rPr>
            </w:pPr>
          </w:p>
        </w:tc>
        <w:tc>
          <w:tcPr>
            <w:tcW w:w="2949" w:type="dxa"/>
          </w:tcPr>
          <w:p w14:paraId="18D02BF9"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Use of </w:t>
            </w:r>
            <w:r w:rsidRPr="00EC75B7">
              <w:rPr>
                <w:rFonts w:ascii="Verdana" w:hAnsi="Verdana"/>
                <w:spacing w:val="-2"/>
                <w:sz w:val="18"/>
                <w:szCs w:val="18"/>
              </w:rPr>
              <w:t xml:space="preserve">existing </w:t>
            </w:r>
            <w:r w:rsidRPr="00EC75B7">
              <w:rPr>
                <w:rFonts w:ascii="Verdana" w:hAnsi="Verdana"/>
                <w:sz w:val="18"/>
                <w:szCs w:val="18"/>
              </w:rPr>
              <w:t>roads</w:t>
            </w:r>
          </w:p>
        </w:tc>
        <w:tc>
          <w:tcPr>
            <w:tcW w:w="2302" w:type="dxa"/>
          </w:tcPr>
          <w:p w14:paraId="05339EAB"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Temporary increase in infrastructure use</w:t>
            </w:r>
          </w:p>
        </w:tc>
        <w:tc>
          <w:tcPr>
            <w:tcW w:w="1822" w:type="dxa"/>
          </w:tcPr>
          <w:p w14:paraId="285AB23D"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Temporary disruption</w:t>
            </w:r>
          </w:p>
          <w:p w14:paraId="3A7488F6" w14:textId="77777777" w:rsidR="008715BE" w:rsidRPr="00EC75B7" w:rsidRDefault="00000000">
            <w:pPr>
              <w:pStyle w:val="TableParagraph"/>
              <w:tabs>
                <w:tab w:val="left" w:pos="1617"/>
              </w:tabs>
              <w:spacing w:line="194" w:lineRule="exact"/>
              <w:ind w:left="106"/>
              <w:rPr>
                <w:rFonts w:ascii="Verdana" w:hAnsi="Verdana"/>
                <w:sz w:val="18"/>
                <w:szCs w:val="18"/>
              </w:rPr>
            </w:pP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10"/>
                <w:sz w:val="18"/>
                <w:szCs w:val="18"/>
              </w:rPr>
              <w:t>of</w:t>
            </w:r>
          </w:p>
          <w:p w14:paraId="23B71744" w14:textId="77777777" w:rsidR="008715BE" w:rsidRPr="00EC75B7" w:rsidRDefault="00000000">
            <w:pPr>
              <w:pStyle w:val="TableParagraph"/>
              <w:spacing w:line="174" w:lineRule="exact"/>
              <w:ind w:left="106"/>
              <w:rPr>
                <w:rFonts w:ascii="Verdana" w:hAnsi="Verdana"/>
                <w:sz w:val="18"/>
                <w:szCs w:val="18"/>
              </w:rPr>
            </w:pPr>
            <w:r w:rsidRPr="00EC75B7">
              <w:rPr>
                <w:rFonts w:ascii="Verdana" w:hAnsi="Verdana"/>
                <w:spacing w:val="-2"/>
                <w:sz w:val="18"/>
                <w:szCs w:val="18"/>
              </w:rPr>
              <w:t xml:space="preserve">local </w:t>
            </w:r>
            <w:r w:rsidRPr="00EC75B7">
              <w:rPr>
                <w:rFonts w:ascii="Verdana" w:hAnsi="Verdana"/>
                <w:sz w:val="18"/>
                <w:szCs w:val="18"/>
              </w:rPr>
              <w:t>traffic</w:t>
            </w:r>
          </w:p>
        </w:tc>
        <w:tc>
          <w:tcPr>
            <w:tcW w:w="924" w:type="dxa"/>
          </w:tcPr>
          <w:p w14:paraId="420453A2" w14:textId="77777777" w:rsidR="008715BE" w:rsidRPr="00EC75B7" w:rsidRDefault="00000000">
            <w:pPr>
              <w:pStyle w:val="TableParagraph"/>
              <w:spacing w:line="195" w:lineRule="exact"/>
              <w:ind w:left="8"/>
              <w:jc w:val="center"/>
              <w:rPr>
                <w:rFonts w:ascii="Verdana" w:hAnsi="Verdana"/>
                <w:sz w:val="18"/>
                <w:szCs w:val="18"/>
              </w:rPr>
            </w:pPr>
            <w:r w:rsidRPr="00EC75B7">
              <w:rPr>
                <w:rFonts w:ascii="Verdana" w:hAnsi="Verdana"/>
                <w:spacing w:val="-2"/>
                <w:sz w:val="18"/>
                <w:szCs w:val="18"/>
              </w:rPr>
              <w:t>Negative</w:t>
            </w:r>
          </w:p>
        </w:tc>
        <w:tc>
          <w:tcPr>
            <w:tcW w:w="840" w:type="dxa"/>
          </w:tcPr>
          <w:p w14:paraId="3B095614" w14:textId="77777777" w:rsidR="008715BE" w:rsidRPr="00EC75B7" w:rsidRDefault="00000000">
            <w:pPr>
              <w:pStyle w:val="TableParagraph"/>
              <w:spacing w:line="195" w:lineRule="exact"/>
              <w:ind w:left="6"/>
              <w:jc w:val="center"/>
              <w:rPr>
                <w:rFonts w:ascii="Verdana" w:hAnsi="Verdana"/>
                <w:sz w:val="18"/>
                <w:szCs w:val="18"/>
              </w:rPr>
            </w:pPr>
            <w:r w:rsidRPr="00EC75B7">
              <w:rPr>
                <w:rFonts w:ascii="Verdana" w:hAnsi="Verdana"/>
                <w:spacing w:val="-2"/>
                <w:sz w:val="18"/>
                <w:szCs w:val="18"/>
              </w:rPr>
              <w:t>Indirect</w:t>
            </w:r>
          </w:p>
        </w:tc>
        <w:tc>
          <w:tcPr>
            <w:tcW w:w="437" w:type="dxa"/>
          </w:tcPr>
          <w:p w14:paraId="70380A24"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30E9EEDB" w14:textId="77777777" w:rsidR="008715BE" w:rsidRPr="00EC75B7" w:rsidRDefault="00000000">
            <w:pPr>
              <w:pStyle w:val="TableParagraph"/>
              <w:spacing w:line="195" w:lineRule="exact"/>
              <w:ind w:left="51" w:right="47"/>
              <w:jc w:val="center"/>
              <w:rPr>
                <w:rFonts w:ascii="Verdana" w:hAnsi="Verdana"/>
                <w:sz w:val="18"/>
                <w:szCs w:val="18"/>
              </w:rPr>
            </w:pPr>
            <w:r w:rsidRPr="00EC75B7">
              <w:rPr>
                <w:rFonts w:ascii="Verdana" w:hAnsi="Verdana"/>
                <w:spacing w:val="-2"/>
                <w:sz w:val="18"/>
                <w:szCs w:val="18"/>
              </w:rPr>
              <w:t>Short</w:t>
            </w:r>
          </w:p>
        </w:tc>
        <w:tc>
          <w:tcPr>
            <w:tcW w:w="1093" w:type="dxa"/>
          </w:tcPr>
          <w:p w14:paraId="197D1111"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Occasional</w:t>
            </w:r>
          </w:p>
        </w:tc>
        <w:tc>
          <w:tcPr>
            <w:tcW w:w="722" w:type="dxa"/>
          </w:tcPr>
          <w:p w14:paraId="6E0473EB"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3BDFE7CC" w14:textId="77777777" w:rsidR="008715BE" w:rsidRPr="00EC75B7" w:rsidRDefault="00000000">
            <w:pPr>
              <w:pStyle w:val="TableParagraph"/>
              <w:ind w:left="104"/>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996" w:type="dxa"/>
          </w:tcPr>
          <w:p w14:paraId="17CC4678"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12B81667"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3B4038B9" w14:textId="5D6024B1" w:rsidR="008715BE" w:rsidRPr="00EC75B7" w:rsidRDefault="00000000" w:rsidP="00692EED">
            <w:pPr>
              <w:pStyle w:val="TableParagraph"/>
              <w:ind w:left="105"/>
              <w:jc w:val="both"/>
              <w:rPr>
                <w:rFonts w:ascii="Verdana" w:hAnsi="Verdana"/>
                <w:sz w:val="18"/>
                <w:szCs w:val="18"/>
              </w:rPr>
            </w:pPr>
            <w:r w:rsidRPr="00EC75B7">
              <w:rPr>
                <w:rFonts w:ascii="Verdana" w:hAnsi="Verdana"/>
                <w:sz w:val="18"/>
                <w:szCs w:val="18"/>
              </w:rPr>
              <w:t>Existing municipal and agricultural roads will be used without structural changes; any disruptions are temporary and</w:t>
            </w:r>
            <w:r w:rsidR="00692EED">
              <w:rPr>
                <w:rFonts w:ascii="Verdana" w:hAnsi="Verdana"/>
                <w:sz w:val="18"/>
                <w:szCs w:val="18"/>
              </w:rPr>
              <w:t xml:space="preserve"> </w:t>
            </w:r>
            <w:r w:rsidRPr="00EC75B7">
              <w:rPr>
                <w:rFonts w:ascii="Verdana" w:hAnsi="Verdana"/>
                <w:sz w:val="18"/>
                <w:szCs w:val="18"/>
              </w:rPr>
              <w:t>limited.</w:t>
            </w:r>
          </w:p>
        </w:tc>
      </w:tr>
      <w:tr w:rsidR="008715BE" w:rsidRPr="00EC75B7" w14:paraId="3A3A1971" w14:textId="77777777" w:rsidTr="00C96230">
        <w:trPr>
          <w:trHeight w:val="777"/>
        </w:trPr>
        <w:tc>
          <w:tcPr>
            <w:tcW w:w="725" w:type="dxa"/>
            <w:vMerge/>
            <w:tcBorders>
              <w:top w:val="nil"/>
            </w:tcBorders>
            <w:textDirection w:val="btLr"/>
          </w:tcPr>
          <w:p w14:paraId="32C9FAE8" w14:textId="77777777" w:rsidR="008715BE" w:rsidRPr="00EC75B7" w:rsidRDefault="008715BE">
            <w:pPr>
              <w:rPr>
                <w:rFonts w:ascii="Verdana" w:hAnsi="Verdana"/>
                <w:sz w:val="18"/>
                <w:szCs w:val="18"/>
              </w:rPr>
            </w:pPr>
          </w:p>
        </w:tc>
        <w:tc>
          <w:tcPr>
            <w:tcW w:w="2949" w:type="dxa"/>
          </w:tcPr>
          <w:p w14:paraId="09AB688E" w14:textId="77777777" w:rsidR="008715BE" w:rsidRPr="00EC75B7" w:rsidRDefault="00000000">
            <w:pPr>
              <w:pStyle w:val="TableParagraph"/>
              <w:ind w:left="105" w:right="74"/>
              <w:rPr>
                <w:rFonts w:ascii="Verdana" w:hAnsi="Verdana"/>
                <w:sz w:val="18"/>
                <w:szCs w:val="18"/>
              </w:rPr>
            </w:pPr>
            <w:r w:rsidRPr="00EC75B7">
              <w:rPr>
                <w:rFonts w:ascii="Verdana" w:hAnsi="Verdana"/>
                <w:spacing w:val="-2"/>
                <w:sz w:val="18"/>
                <w:szCs w:val="18"/>
              </w:rPr>
              <w:t xml:space="preserve">Generation and management </w:t>
            </w:r>
            <w:r w:rsidRPr="00EC75B7">
              <w:rPr>
                <w:rFonts w:ascii="Verdana" w:hAnsi="Verdana"/>
                <w:sz w:val="18"/>
                <w:szCs w:val="18"/>
              </w:rPr>
              <w:t>of construction</w:t>
            </w:r>
            <w:r w:rsidRPr="00EC75B7">
              <w:rPr>
                <w:rFonts w:ascii="Verdana" w:hAnsi="Verdana"/>
                <w:spacing w:val="-2"/>
                <w:sz w:val="18"/>
                <w:szCs w:val="18"/>
              </w:rPr>
              <w:t xml:space="preserve"> waste </w:t>
            </w:r>
            <w:r w:rsidRPr="00EC75B7">
              <w:rPr>
                <w:rFonts w:ascii="Verdana" w:hAnsi="Verdana"/>
                <w:sz w:val="18"/>
                <w:szCs w:val="18"/>
              </w:rPr>
              <w:t>(non-hazardous waste, packaging, household waste)</w:t>
            </w:r>
          </w:p>
          <w:p w14:paraId="0FD6D400" w14:textId="77777777" w:rsidR="008715BE" w:rsidRPr="00EC75B7" w:rsidRDefault="00000000">
            <w:pPr>
              <w:pStyle w:val="TableParagraph"/>
              <w:spacing w:line="172" w:lineRule="exact"/>
              <w:ind w:left="105"/>
              <w:rPr>
                <w:rFonts w:ascii="Verdana" w:hAnsi="Verdana"/>
                <w:sz w:val="18"/>
                <w:szCs w:val="18"/>
              </w:rPr>
            </w:pPr>
            <w:r w:rsidRPr="00EC75B7">
              <w:rPr>
                <w:rFonts w:ascii="Verdana" w:hAnsi="Verdana"/>
                <w:spacing w:val="-2"/>
                <w:sz w:val="18"/>
                <w:szCs w:val="18"/>
              </w:rPr>
              <w:t>household waste)</w:t>
            </w:r>
          </w:p>
        </w:tc>
        <w:tc>
          <w:tcPr>
            <w:tcW w:w="2302" w:type="dxa"/>
          </w:tcPr>
          <w:p w14:paraId="3F8FB142" w14:textId="77777777" w:rsidR="008715BE" w:rsidRPr="00EC75B7" w:rsidRDefault="00000000">
            <w:pPr>
              <w:pStyle w:val="TableParagraph"/>
              <w:tabs>
                <w:tab w:val="left" w:pos="1321"/>
              </w:tabs>
              <w:ind w:left="107" w:right="95"/>
              <w:rPr>
                <w:rFonts w:ascii="Verdana" w:hAnsi="Verdana"/>
                <w:sz w:val="18"/>
                <w:szCs w:val="18"/>
              </w:rPr>
            </w:pPr>
            <w:r w:rsidRPr="00EC75B7">
              <w:rPr>
                <w:rFonts w:ascii="Verdana" w:hAnsi="Verdana"/>
                <w:spacing w:val="-2"/>
                <w:sz w:val="18"/>
                <w:szCs w:val="18"/>
              </w:rPr>
              <w:t>Waste generation</w:t>
            </w:r>
            <w:r w:rsidRPr="00EC75B7">
              <w:rPr>
                <w:rFonts w:ascii="Verdana" w:hAnsi="Verdana"/>
                <w:sz w:val="18"/>
                <w:szCs w:val="18"/>
              </w:rPr>
              <w:tab/>
            </w:r>
            <w:r w:rsidRPr="00EC75B7">
              <w:rPr>
                <w:rFonts w:ascii="Verdana" w:hAnsi="Verdana"/>
                <w:spacing w:val="-2"/>
                <w:sz w:val="18"/>
                <w:szCs w:val="18"/>
              </w:rPr>
              <w:t xml:space="preserve">Waste generation, </w:t>
            </w:r>
            <w:r w:rsidRPr="00EC75B7">
              <w:rPr>
                <w:rFonts w:ascii="Verdana" w:hAnsi="Verdana"/>
                <w:sz w:val="18"/>
                <w:szCs w:val="18"/>
              </w:rPr>
              <w:t>temporary storage</w:t>
            </w:r>
          </w:p>
        </w:tc>
        <w:tc>
          <w:tcPr>
            <w:tcW w:w="1822" w:type="dxa"/>
          </w:tcPr>
          <w:p w14:paraId="068FFFBB" w14:textId="77777777" w:rsidR="008715BE" w:rsidRPr="00EC75B7" w:rsidRDefault="00000000">
            <w:pPr>
              <w:pStyle w:val="TableParagraph"/>
              <w:ind w:left="106" w:right="96"/>
              <w:jc w:val="both"/>
              <w:rPr>
                <w:rFonts w:ascii="Verdana" w:hAnsi="Verdana"/>
                <w:sz w:val="18"/>
                <w:szCs w:val="18"/>
              </w:rPr>
            </w:pPr>
            <w:r w:rsidRPr="00EC75B7">
              <w:rPr>
                <w:rFonts w:ascii="Verdana" w:hAnsi="Verdana"/>
                <w:sz w:val="18"/>
                <w:szCs w:val="18"/>
              </w:rPr>
              <w:t xml:space="preserve">Local discomfort / potential </w:t>
            </w:r>
            <w:r w:rsidRPr="00EC75B7">
              <w:rPr>
                <w:rFonts w:ascii="Verdana" w:hAnsi="Verdana"/>
                <w:spacing w:val="-2"/>
                <w:sz w:val="18"/>
                <w:szCs w:val="18"/>
              </w:rPr>
              <w:t xml:space="preserve">pollution </w:t>
            </w:r>
            <w:r w:rsidRPr="00EC75B7">
              <w:rPr>
                <w:rFonts w:ascii="Verdana" w:hAnsi="Verdana"/>
                <w:sz w:val="18"/>
                <w:szCs w:val="18"/>
              </w:rPr>
              <w:t>risk</w:t>
            </w:r>
          </w:p>
        </w:tc>
        <w:tc>
          <w:tcPr>
            <w:tcW w:w="924" w:type="dxa"/>
          </w:tcPr>
          <w:p w14:paraId="5D5258BD" w14:textId="77777777" w:rsidR="008715BE" w:rsidRPr="00EC75B7" w:rsidRDefault="00000000">
            <w:pPr>
              <w:pStyle w:val="TableParagraph"/>
              <w:spacing w:line="195" w:lineRule="exact"/>
              <w:ind w:left="8"/>
              <w:jc w:val="center"/>
              <w:rPr>
                <w:rFonts w:ascii="Verdana" w:hAnsi="Verdana"/>
                <w:sz w:val="18"/>
                <w:szCs w:val="18"/>
              </w:rPr>
            </w:pPr>
            <w:r w:rsidRPr="00EC75B7">
              <w:rPr>
                <w:rFonts w:ascii="Verdana" w:hAnsi="Verdana"/>
                <w:spacing w:val="-2"/>
                <w:sz w:val="18"/>
                <w:szCs w:val="18"/>
              </w:rPr>
              <w:t>Negative</w:t>
            </w:r>
          </w:p>
        </w:tc>
        <w:tc>
          <w:tcPr>
            <w:tcW w:w="840" w:type="dxa"/>
          </w:tcPr>
          <w:p w14:paraId="3B232027" w14:textId="77777777" w:rsidR="008715BE" w:rsidRPr="00EC75B7" w:rsidRDefault="00000000">
            <w:pPr>
              <w:pStyle w:val="TableParagraph"/>
              <w:spacing w:line="195" w:lineRule="exact"/>
              <w:ind w:left="6"/>
              <w:jc w:val="center"/>
              <w:rPr>
                <w:rFonts w:ascii="Verdana" w:hAnsi="Verdana"/>
                <w:sz w:val="18"/>
                <w:szCs w:val="18"/>
              </w:rPr>
            </w:pPr>
            <w:r w:rsidRPr="00EC75B7">
              <w:rPr>
                <w:rFonts w:ascii="Verdana" w:hAnsi="Verdana"/>
                <w:spacing w:val="-2"/>
                <w:sz w:val="18"/>
                <w:szCs w:val="18"/>
              </w:rPr>
              <w:t>Indirect</w:t>
            </w:r>
          </w:p>
        </w:tc>
        <w:tc>
          <w:tcPr>
            <w:tcW w:w="437" w:type="dxa"/>
          </w:tcPr>
          <w:p w14:paraId="4D955BAC"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75EAB7B6" w14:textId="77777777" w:rsidR="008715BE" w:rsidRPr="00EC75B7" w:rsidRDefault="00000000">
            <w:pPr>
              <w:pStyle w:val="TableParagraph"/>
              <w:spacing w:line="195" w:lineRule="exact"/>
              <w:ind w:left="51" w:right="47"/>
              <w:jc w:val="center"/>
              <w:rPr>
                <w:rFonts w:ascii="Verdana" w:hAnsi="Verdana"/>
                <w:sz w:val="18"/>
                <w:szCs w:val="18"/>
              </w:rPr>
            </w:pPr>
            <w:r w:rsidRPr="00EC75B7">
              <w:rPr>
                <w:rFonts w:ascii="Verdana" w:hAnsi="Verdana"/>
                <w:spacing w:val="-2"/>
                <w:sz w:val="18"/>
                <w:szCs w:val="18"/>
              </w:rPr>
              <w:t>Short</w:t>
            </w:r>
          </w:p>
        </w:tc>
        <w:tc>
          <w:tcPr>
            <w:tcW w:w="1093" w:type="dxa"/>
          </w:tcPr>
          <w:p w14:paraId="4896C657"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Intermittent</w:t>
            </w:r>
          </w:p>
        </w:tc>
        <w:tc>
          <w:tcPr>
            <w:tcW w:w="722" w:type="dxa"/>
          </w:tcPr>
          <w:p w14:paraId="5B43CFF2"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538D56AC" w14:textId="77777777" w:rsidR="008715BE" w:rsidRPr="00EC75B7" w:rsidRDefault="00000000">
            <w:pPr>
              <w:pStyle w:val="TableParagraph"/>
              <w:ind w:left="104"/>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996" w:type="dxa"/>
          </w:tcPr>
          <w:p w14:paraId="7042E391"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51211EC5"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4E73596A" w14:textId="7B1A336E" w:rsidR="008715BE" w:rsidRPr="00EC75B7" w:rsidRDefault="00000000" w:rsidP="00692EED">
            <w:pPr>
              <w:pStyle w:val="TableParagraph"/>
              <w:ind w:left="105" w:right="97"/>
              <w:jc w:val="both"/>
              <w:rPr>
                <w:rFonts w:ascii="Verdana" w:hAnsi="Verdana"/>
                <w:sz w:val="18"/>
                <w:szCs w:val="18"/>
              </w:rPr>
            </w:pPr>
            <w:r w:rsidRPr="00EC75B7">
              <w:rPr>
                <w:rFonts w:ascii="Verdana" w:hAnsi="Verdana"/>
                <w:sz w:val="18"/>
                <w:szCs w:val="18"/>
              </w:rPr>
              <w:t xml:space="preserve">The waste generated during the execution phase is predominantly non-hazardous and will be selectively collected, temporarily stored in designated areas, and disposed of by authorized operators in accordance with the legislation </w:t>
            </w:r>
            <w:r w:rsidRPr="00EC75B7">
              <w:rPr>
                <w:rFonts w:ascii="Verdana" w:hAnsi="Verdana"/>
                <w:spacing w:val="-5"/>
                <w:sz w:val="18"/>
                <w:szCs w:val="18"/>
              </w:rPr>
              <w:t>in force</w:t>
            </w:r>
            <w:r w:rsidRPr="00EC75B7">
              <w:rPr>
                <w:rFonts w:ascii="Verdana" w:hAnsi="Verdana"/>
                <w:sz w:val="18"/>
                <w:szCs w:val="18"/>
              </w:rPr>
              <w:t>.</w:t>
            </w:r>
          </w:p>
        </w:tc>
      </w:tr>
      <w:tr w:rsidR="008715BE" w:rsidRPr="00EC75B7" w14:paraId="3FB168EB" w14:textId="77777777" w:rsidTr="00C96230">
        <w:trPr>
          <w:trHeight w:val="390"/>
        </w:trPr>
        <w:tc>
          <w:tcPr>
            <w:tcW w:w="725" w:type="dxa"/>
            <w:vMerge/>
            <w:tcBorders>
              <w:top w:val="nil"/>
            </w:tcBorders>
            <w:textDirection w:val="btLr"/>
          </w:tcPr>
          <w:p w14:paraId="61EEC709" w14:textId="77777777" w:rsidR="008715BE" w:rsidRPr="00EC75B7" w:rsidRDefault="008715BE">
            <w:pPr>
              <w:rPr>
                <w:rFonts w:ascii="Verdana" w:hAnsi="Verdana"/>
                <w:sz w:val="18"/>
                <w:szCs w:val="18"/>
              </w:rPr>
            </w:pPr>
          </w:p>
        </w:tc>
        <w:tc>
          <w:tcPr>
            <w:tcW w:w="2949" w:type="dxa"/>
          </w:tcPr>
          <w:p w14:paraId="20568CF2"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Construction and </w:t>
            </w:r>
            <w:r w:rsidRPr="00EC75B7">
              <w:rPr>
                <w:rFonts w:ascii="Verdana" w:hAnsi="Verdana"/>
                <w:spacing w:val="-2"/>
                <w:sz w:val="18"/>
                <w:szCs w:val="18"/>
              </w:rPr>
              <w:t xml:space="preserve">assembly </w:t>
            </w:r>
            <w:r w:rsidRPr="00EC75B7">
              <w:rPr>
                <w:rFonts w:ascii="Verdana" w:hAnsi="Verdana"/>
                <w:sz w:val="18"/>
                <w:szCs w:val="18"/>
              </w:rPr>
              <w:t>activities</w:t>
            </w:r>
          </w:p>
        </w:tc>
        <w:tc>
          <w:tcPr>
            <w:tcW w:w="2302" w:type="dxa"/>
          </w:tcPr>
          <w:p w14:paraId="3369F03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Creation of</w:t>
            </w:r>
            <w:r w:rsidRPr="00EC75B7">
              <w:rPr>
                <w:rFonts w:ascii="Verdana" w:hAnsi="Verdana"/>
                <w:spacing w:val="23"/>
                <w:sz w:val="18"/>
                <w:szCs w:val="18"/>
              </w:rPr>
              <w:t xml:space="preserve">  </w:t>
            </w:r>
            <w:r w:rsidRPr="00EC75B7">
              <w:rPr>
                <w:rFonts w:ascii="Verdana" w:hAnsi="Verdana"/>
                <w:sz w:val="18"/>
                <w:szCs w:val="18"/>
              </w:rPr>
              <w:t xml:space="preserve"> </w:t>
            </w:r>
            <w:r w:rsidRPr="00EC75B7">
              <w:rPr>
                <w:rFonts w:ascii="Verdana" w:hAnsi="Verdana"/>
                <w:spacing w:val="25"/>
                <w:sz w:val="18"/>
                <w:szCs w:val="18"/>
              </w:rPr>
              <w:t xml:space="preserve">  </w:t>
            </w:r>
            <w:r w:rsidRPr="00EC75B7">
              <w:rPr>
                <w:rFonts w:ascii="Verdana" w:hAnsi="Verdana"/>
                <w:sz w:val="18"/>
                <w:szCs w:val="18"/>
              </w:rPr>
              <w:t xml:space="preserve"> </w:t>
            </w:r>
            <w:r w:rsidRPr="00EC75B7">
              <w:rPr>
                <w:rFonts w:ascii="Verdana" w:hAnsi="Verdana"/>
                <w:spacing w:val="-5"/>
                <w:sz w:val="18"/>
                <w:szCs w:val="18"/>
              </w:rPr>
              <w:t xml:space="preserve">temporary </w:t>
            </w:r>
            <w:r w:rsidRPr="00EC75B7">
              <w:rPr>
                <w:rFonts w:ascii="Verdana" w:hAnsi="Verdana"/>
                <w:sz w:val="18"/>
                <w:szCs w:val="18"/>
              </w:rPr>
              <w:t>workplaces</w:t>
            </w:r>
            <w:r w:rsidRPr="00EC75B7">
              <w:rPr>
                <w:rFonts w:ascii="Verdana" w:hAnsi="Verdana"/>
                <w:spacing w:val="25"/>
                <w:sz w:val="18"/>
                <w:szCs w:val="18"/>
              </w:rPr>
              <w:t xml:space="preserve">  </w:t>
            </w:r>
            <w:r w:rsidRPr="00EC75B7">
              <w:rPr>
                <w:rFonts w:ascii="Verdana" w:hAnsi="Verdana"/>
                <w:spacing w:val="-5"/>
                <w:sz w:val="18"/>
                <w:szCs w:val="18"/>
              </w:rPr>
              <w:t xml:space="preserve"> </w:t>
            </w:r>
          </w:p>
          <w:p w14:paraId="02322337" w14:textId="77777777" w:rsidR="008715BE" w:rsidRPr="00EC75B7" w:rsidRDefault="00000000">
            <w:pPr>
              <w:pStyle w:val="TableParagraph"/>
              <w:spacing w:line="177" w:lineRule="exact"/>
              <w:ind w:left="107"/>
              <w:rPr>
                <w:rFonts w:ascii="Verdana" w:hAnsi="Verdana"/>
                <w:sz w:val="18"/>
                <w:szCs w:val="18"/>
              </w:rPr>
            </w:pPr>
            <w:r w:rsidRPr="00EC75B7">
              <w:rPr>
                <w:rFonts w:ascii="Verdana" w:hAnsi="Verdana"/>
                <w:sz w:val="18"/>
                <w:szCs w:val="18"/>
              </w:rPr>
              <w:t>xml-ph-0002@deepl</w:t>
            </w:r>
            <w:r w:rsidRPr="00EC75B7">
              <w:rPr>
                <w:rFonts w:ascii="Verdana" w:hAnsi="Verdana"/>
                <w:spacing w:val="-2"/>
                <w:sz w:val="18"/>
                <w:szCs w:val="18"/>
              </w:rPr>
              <w:t>.internal</w:t>
            </w:r>
          </w:p>
        </w:tc>
        <w:tc>
          <w:tcPr>
            <w:tcW w:w="1822" w:type="dxa"/>
          </w:tcPr>
          <w:p w14:paraId="587D9A4B" w14:textId="77777777" w:rsidR="008715BE" w:rsidRPr="00EC75B7" w:rsidRDefault="00000000">
            <w:pPr>
              <w:pStyle w:val="TableParagraph"/>
              <w:tabs>
                <w:tab w:val="left" w:pos="1235"/>
              </w:tabs>
              <w:spacing w:line="194" w:lineRule="exact"/>
              <w:ind w:left="106"/>
              <w:rPr>
                <w:rFonts w:ascii="Verdana" w:hAnsi="Verdana"/>
                <w:sz w:val="18"/>
                <w:szCs w:val="18"/>
              </w:rPr>
            </w:pPr>
            <w:r w:rsidRPr="00EC75B7">
              <w:rPr>
                <w:rFonts w:ascii="Verdana" w:hAnsi="Verdana"/>
                <w:spacing w:val="-2"/>
                <w:sz w:val="18"/>
                <w:szCs w:val="18"/>
              </w:rPr>
              <w:t>Benefits</w:t>
            </w:r>
            <w:r w:rsidRPr="00EC75B7">
              <w:rPr>
                <w:rFonts w:ascii="Verdana" w:hAnsi="Verdana"/>
                <w:sz w:val="18"/>
                <w:szCs w:val="18"/>
              </w:rPr>
              <w:tab/>
              <w:t>socio-</w:t>
            </w:r>
          </w:p>
          <w:p w14:paraId="65951A9E" w14:textId="77777777" w:rsidR="008715BE" w:rsidRPr="00EC75B7" w:rsidRDefault="00000000">
            <w:pPr>
              <w:pStyle w:val="TableParagraph"/>
              <w:spacing w:line="177" w:lineRule="exact"/>
              <w:ind w:left="106"/>
              <w:rPr>
                <w:rFonts w:ascii="Verdana" w:hAnsi="Verdana"/>
                <w:sz w:val="18"/>
                <w:szCs w:val="18"/>
              </w:rPr>
            </w:pPr>
            <w:r w:rsidRPr="00EC75B7">
              <w:rPr>
                <w:rFonts w:ascii="Verdana" w:hAnsi="Verdana"/>
                <w:spacing w:val="-2"/>
                <w:sz w:val="18"/>
                <w:szCs w:val="18"/>
              </w:rPr>
              <w:t>economic</w:t>
            </w:r>
          </w:p>
        </w:tc>
        <w:tc>
          <w:tcPr>
            <w:tcW w:w="924" w:type="dxa"/>
          </w:tcPr>
          <w:p w14:paraId="242B1B68" w14:textId="77777777" w:rsidR="008715BE" w:rsidRPr="00EC75B7" w:rsidRDefault="00000000">
            <w:pPr>
              <w:pStyle w:val="TableParagraph"/>
              <w:spacing w:line="195" w:lineRule="exact"/>
              <w:ind w:right="80"/>
              <w:jc w:val="center"/>
              <w:rPr>
                <w:rFonts w:ascii="Verdana" w:hAnsi="Verdana"/>
                <w:sz w:val="18"/>
                <w:szCs w:val="18"/>
              </w:rPr>
            </w:pPr>
            <w:r w:rsidRPr="00EC75B7">
              <w:rPr>
                <w:rFonts w:ascii="Verdana" w:hAnsi="Verdana"/>
                <w:spacing w:val="-2"/>
                <w:sz w:val="18"/>
                <w:szCs w:val="18"/>
              </w:rPr>
              <w:t>Positive</w:t>
            </w:r>
          </w:p>
        </w:tc>
        <w:tc>
          <w:tcPr>
            <w:tcW w:w="840" w:type="dxa"/>
          </w:tcPr>
          <w:p w14:paraId="24C72FDD" w14:textId="77777777" w:rsidR="008715BE" w:rsidRPr="00EC75B7" w:rsidRDefault="00000000">
            <w:pPr>
              <w:pStyle w:val="TableParagraph"/>
              <w:spacing w:line="195" w:lineRule="exact"/>
              <w:ind w:left="6" w:right="141"/>
              <w:jc w:val="center"/>
              <w:rPr>
                <w:rFonts w:ascii="Verdana" w:hAnsi="Verdana"/>
                <w:sz w:val="18"/>
                <w:szCs w:val="18"/>
              </w:rPr>
            </w:pPr>
            <w:r w:rsidRPr="00EC75B7">
              <w:rPr>
                <w:rFonts w:ascii="Verdana" w:hAnsi="Verdana"/>
                <w:spacing w:val="-2"/>
                <w:sz w:val="18"/>
                <w:szCs w:val="18"/>
              </w:rPr>
              <w:t>Direct</w:t>
            </w:r>
          </w:p>
        </w:tc>
        <w:tc>
          <w:tcPr>
            <w:tcW w:w="437" w:type="dxa"/>
          </w:tcPr>
          <w:p w14:paraId="0883E4EA" w14:textId="77777777" w:rsidR="008715BE" w:rsidRPr="00EC75B7" w:rsidRDefault="00000000">
            <w:pPr>
              <w:pStyle w:val="TableParagraph"/>
              <w:spacing w:line="195" w:lineRule="exact"/>
              <w:ind w:left="8" w:right="1"/>
              <w:jc w:val="center"/>
              <w:rPr>
                <w:rFonts w:ascii="Verdana" w:hAnsi="Verdana"/>
                <w:sz w:val="18"/>
                <w:szCs w:val="18"/>
              </w:rPr>
            </w:pPr>
            <w:r w:rsidRPr="00EC75B7">
              <w:rPr>
                <w:rFonts w:ascii="Verdana" w:hAnsi="Verdana"/>
                <w:spacing w:val="-5"/>
                <w:sz w:val="18"/>
                <w:szCs w:val="18"/>
              </w:rPr>
              <w:t>Yes</w:t>
            </w:r>
          </w:p>
        </w:tc>
        <w:tc>
          <w:tcPr>
            <w:tcW w:w="875" w:type="dxa"/>
          </w:tcPr>
          <w:p w14:paraId="46F19E41" w14:textId="77777777" w:rsidR="008715BE" w:rsidRPr="00EC75B7" w:rsidRDefault="00000000">
            <w:pPr>
              <w:pStyle w:val="TableParagraph"/>
              <w:spacing w:line="195" w:lineRule="exact"/>
              <w:ind w:left="51" w:right="47"/>
              <w:jc w:val="center"/>
              <w:rPr>
                <w:rFonts w:ascii="Verdana" w:hAnsi="Verdana"/>
                <w:sz w:val="18"/>
                <w:szCs w:val="18"/>
              </w:rPr>
            </w:pPr>
            <w:r w:rsidRPr="00EC75B7">
              <w:rPr>
                <w:rFonts w:ascii="Verdana" w:hAnsi="Verdana"/>
                <w:spacing w:val="-2"/>
                <w:sz w:val="18"/>
                <w:szCs w:val="18"/>
              </w:rPr>
              <w:t>Short</w:t>
            </w:r>
          </w:p>
        </w:tc>
        <w:tc>
          <w:tcPr>
            <w:tcW w:w="1093" w:type="dxa"/>
          </w:tcPr>
          <w:p w14:paraId="3E50F4C3"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Temporary</w:t>
            </w:r>
          </w:p>
        </w:tc>
        <w:tc>
          <w:tcPr>
            <w:tcW w:w="722" w:type="dxa"/>
          </w:tcPr>
          <w:p w14:paraId="42CAABD0" w14:textId="77777777" w:rsidR="008715BE" w:rsidRPr="00EC75B7" w:rsidRDefault="00000000">
            <w:pPr>
              <w:pStyle w:val="TableParagraph"/>
              <w:spacing w:line="195" w:lineRule="exact"/>
              <w:ind w:left="16" w:right="15"/>
              <w:jc w:val="center"/>
              <w:rPr>
                <w:rFonts w:ascii="Verdana" w:hAnsi="Verdana"/>
                <w:sz w:val="18"/>
                <w:szCs w:val="18"/>
              </w:rPr>
            </w:pPr>
            <w:r w:rsidRPr="00EC75B7">
              <w:rPr>
                <w:rFonts w:ascii="Verdana" w:hAnsi="Verdana"/>
                <w:spacing w:val="-2"/>
                <w:sz w:val="18"/>
                <w:szCs w:val="18"/>
              </w:rPr>
              <w:t>Local</w:t>
            </w:r>
          </w:p>
        </w:tc>
        <w:tc>
          <w:tcPr>
            <w:tcW w:w="1075" w:type="dxa"/>
          </w:tcPr>
          <w:p w14:paraId="742E35A2" w14:textId="77777777" w:rsidR="008715BE" w:rsidRPr="00EC75B7" w:rsidRDefault="00000000">
            <w:pPr>
              <w:pStyle w:val="TableParagraph"/>
              <w:spacing w:line="195" w:lineRule="exact"/>
              <w:ind w:right="112"/>
              <w:jc w:val="center"/>
              <w:rPr>
                <w:rFonts w:ascii="Verdana" w:hAnsi="Verdana"/>
                <w:sz w:val="18"/>
                <w:szCs w:val="18"/>
              </w:rPr>
            </w:pPr>
            <w:r w:rsidRPr="00EC75B7">
              <w:rPr>
                <w:rFonts w:ascii="Verdana" w:hAnsi="Verdana"/>
                <w:spacing w:val="-2"/>
                <w:sz w:val="18"/>
                <w:szCs w:val="18"/>
              </w:rPr>
              <w:t>Probable</w:t>
            </w:r>
          </w:p>
        </w:tc>
        <w:tc>
          <w:tcPr>
            <w:tcW w:w="996" w:type="dxa"/>
          </w:tcPr>
          <w:p w14:paraId="2BCC7759" w14:textId="77777777" w:rsidR="008715BE" w:rsidRPr="00EC75B7" w:rsidRDefault="00000000">
            <w:pPr>
              <w:pStyle w:val="TableParagraph"/>
              <w:spacing w:line="195" w:lineRule="exact"/>
              <w:ind w:left="17" w:right="10"/>
              <w:jc w:val="center"/>
              <w:rPr>
                <w:rFonts w:ascii="Verdana" w:hAnsi="Verdana"/>
                <w:sz w:val="18"/>
                <w:szCs w:val="18"/>
              </w:rPr>
            </w:pPr>
            <w:r w:rsidRPr="00EC75B7">
              <w:rPr>
                <w:rFonts w:ascii="Verdana" w:hAnsi="Verdana"/>
                <w:spacing w:val="-2"/>
                <w:sz w:val="18"/>
                <w:szCs w:val="18"/>
              </w:rPr>
              <w:t>Reversible</w:t>
            </w:r>
          </w:p>
        </w:tc>
        <w:tc>
          <w:tcPr>
            <w:tcW w:w="1540" w:type="dxa"/>
          </w:tcPr>
          <w:p w14:paraId="5E0B4F99" w14:textId="77777777" w:rsidR="008715BE" w:rsidRPr="00EC75B7" w:rsidRDefault="00000000">
            <w:pPr>
              <w:pStyle w:val="TableParagraph"/>
              <w:spacing w:line="195" w:lineRule="exact"/>
              <w:ind w:left="12" w:right="147"/>
              <w:jc w:val="center"/>
              <w:rPr>
                <w:rFonts w:ascii="Verdana" w:hAnsi="Verdana"/>
                <w:sz w:val="18"/>
                <w:szCs w:val="18"/>
              </w:rPr>
            </w:pPr>
            <w:r w:rsidRPr="00EC75B7">
              <w:rPr>
                <w:rFonts w:ascii="Verdana" w:hAnsi="Verdana"/>
                <w:spacing w:val="-2"/>
                <w:sz w:val="18"/>
                <w:szCs w:val="18"/>
              </w:rPr>
              <w:t>Insignificant</w:t>
            </w:r>
          </w:p>
        </w:tc>
        <w:tc>
          <w:tcPr>
            <w:tcW w:w="5810" w:type="dxa"/>
          </w:tcPr>
          <w:p w14:paraId="6786F6A8" w14:textId="6352DE04" w:rsidR="008715BE" w:rsidRPr="00EC75B7" w:rsidRDefault="00000000" w:rsidP="00692EED">
            <w:pPr>
              <w:pStyle w:val="TableParagraph"/>
              <w:spacing w:line="194" w:lineRule="exact"/>
              <w:ind w:left="105"/>
              <w:jc w:val="both"/>
              <w:rPr>
                <w:rFonts w:ascii="Verdana" w:hAnsi="Verdana"/>
                <w:sz w:val="18"/>
                <w:szCs w:val="18"/>
              </w:rPr>
            </w:pPr>
            <w:r w:rsidRPr="00EC75B7">
              <w:rPr>
                <w:rFonts w:ascii="Verdana" w:hAnsi="Verdana"/>
                <w:sz w:val="18"/>
                <w:szCs w:val="18"/>
              </w:rPr>
              <w:t xml:space="preserve">The execution phase may generate an insignificant positive impact </w:t>
            </w:r>
            <w:r w:rsidRPr="00EC75B7">
              <w:rPr>
                <w:rFonts w:ascii="Verdana" w:hAnsi="Verdana"/>
                <w:spacing w:val="-4"/>
                <w:sz w:val="18"/>
                <w:szCs w:val="18"/>
              </w:rPr>
              <w:t>through</w:t>
            </w:r>
            <w:r w:rsidR="00692EED">
              <w:rPr>
                <w:rFonts w:ascii="Verdana" w:hAnsi="Verdana"/>
                <w:spacing w:val="-4"/>
                <w:sz w:val="18"/>
                <w:szCs w:val="18"/>
              </w:rPr>
              <w:t xml:space="preserve"> </w:t>
            </w:r>
            <w:r w:rsidRPr="00EC75B7">
              <w:rPr>
                <w:rFonts w:ascii="Verdana" w:hAnsi="Verdana"/>
                <w:sz w:val="18"/>
                <w:szCs w:val="18"/>
              </w:rPr>
              <w:t xml:space="preserve">the use of local labor and </w:t>
            </w:r>
            <w:r w:rsidRPr="00EC75B7">
              <w:rPr>
                <w:rFonts w:ascii="Verdana" w:hAnsi="Verdana"/>
                <w:spacing w:val="-2"/>
                <w:sz w:val="18"/>
                <w:szCs w:val="18"/>
              </w:rPr>
              <w:t xml:space="preserve">auxiliary </w:t>
            </w:r>
            <w:r w:rsidRPr="00EC75B7">
              <w:rPr>
                <w:rFonts w:ascii="Verdana" w:hAnsi="Verdana"/>
                <w:sz w:val="18"/>
                <w:szCs w:val="18"/>
              </w:rPr>
              <w:t>services</w:t>
            </w:r>
            <w:r w:rsidRPr="00EC75B7">
              <w:rPr>
                <w:rFonts w:ascii="Verdana" w:hAnsi="Verdana"/>
                <w:spacing w:val="-2"/>
                <w:sz w:val="18"/>
                <w:szCs w:val="18"/>
              </w:rPr>
              <w:t>.</w:t>
            </w:r>
          </w:p>
        </w:tc>
      </w:tr>
    </w:tbl>
    <w:p w14:paraId="1412C9B4" w14:textId="77777777" w:rsidR="008715BE" w:rsidRPr="00EC75B7" w:rsidRDefault="008715BE">
      <w:pPr>
        <w:pStyle w:val="BodyText"/>
        <w:spacing w:before="2"/>
        <w:rPr>
          <w:rFonts w:ascii="Verdana" w:hAnsi="Verdana"/>
          <w:b/>
        </w:rPr>
      </w:pPr>
    </w:p>
    <w:p w14:paraId="2FD0B910" w14:textId="77777777" w:rsidR="008715BE" w:rsidRPr="00EC75B7" w:rsidRDefault="00000000">
      <w:pPr>
        <w:ind w:left="2"/>
        <w:rPr>
          <w:rFonts w:ascii="Verdana" w:hAnsi="Verdana"/>
          <w:b/>
          <w:sz w:val="18"/>
          <w:szCs w:val="18"/>
        </w:rPr>
      </w:pPr>
      <w:r w:rsidRPr="00EC75B7">
        <w:rPr>
          <w:rFonts w:ascii="Verdana" w:hAnsi="Verdana"/>
          <w:b/>
          <w:color w:val="009DEF"/>
          <w:sz w:val="18"/>
          <w:szCs w:val="18"/>
        </w:rPr>
        <w:t xml:space="preserve">Conclusions regarding the impact on the socio-economic environment, including public health during the </w:t>
      </w:r>
      <w:r w:rsidRPr="00EC75B7">
        <w:rPr>
          <w:rFonts w:ascii="Verdana" w:hAnsi="Verdana"/>
          <w:b/>
          <w:color w:val="009DEF"/>
          <w:spacing w:val="-2"/>
          <w:sz w:val="18"/>
          <w:szCs w:val="18"/>
        </w:rPr>
        <w:t xml:space="preserve">execution </w:t>
      </w:r>
      <w:r w:rsidRPr="00EC75B7">
        <w:rPr>
          <w:rFonts w:ascii="Verdana" w:hAnsi="Verdana"/>
          <w:b/>
          <w:color w:val="009DEF"/>
          <w:sz w:val="18"/>
          <w:szCs w:val="18"/>
        </w:rPr>
        <w:t>phase</w:t>
      </w:r>
      <w:r w:rsidRPr="00EC75B7">
        <w:rPr>
          <w:rFonts w:ascii="Verdana" w:hAnsi="Verdana"/>
          <w:b/>
          <w:color w:val="009DEF"/>
          <w:spacing w:val="-2"/>
          <w:sz w:val="18"/>
          <w:szCs w:val="18"/>
        </w:rPr>
        <w:t>:</w:t>
      </w:r>
    </w:p>
    <w:p w14:paraId="755856E7" w14:textId="77777777" w:rsidR="008715BE" w:rsidRPr="00EC75B7" w:rsidRDefault="00000000">
      <w:pPr>
        <w:pStyle w:val="BodyText"/>
        <w:spacing w:before="106"/>
        <w:ind w:left="2"/>
        <w:rPr>
          <w:rFonts w:ascii="Verdana" w:hAnsi="Verdana"/>
          <w:b/>
        </w:rPr>
      </w:pPr>
      <w:r w:rsidRPr="00EC75B7">
        <w:rPr>
          <w:rFonts w:ascii="Verdana" w:hAnsi="Verdana"/>
        </w:rPr>
        <w:t xml:space="preserve">The impact generated by the project will be felt mainly at the local level, in the area where the turbines, technological platforms, and construction sites are located, and along the access roads used </w:t>
      </w:r>
      <w:r w:rsidRPr="00EC75B7">
        <w:rPr>
          <w:rFonts w:ascii="Verdana" w:hAnsi="Verdana"/>
          <w:b/>
        </w:rPr>
        <w:t xml:space="preserve">during </w:t>
      </w:r>
      <w:r w:rsidRPr="00EC75B7">
        <w:rPr>
          <w:rFonts w:ascii="Verdana" w:hAnsi="Verdana"/>
          <w:b/>
          <w:spacing w:val="-5"/>
        </w:rPr>
        <w:t xml:space="preserve">the construction </w:t>
      </w:r>
      <w:r w:rsidRPr="00EC75B7">
        <w:rPr>
          <w:rFonts w:ascii="Verdana" w:hAnsi="Verdana"/>
          <w:b/>
        </w:rPr>
        <w:t>period.</w:t>
      </w:r>
    </w:p>
    <w:p w14:paraId="590ACFAE" w14:textId="77777777" w:rsidR="008715BE" w:rsidRPr="00EC75B7" w:rsidRDefault="00000000">
      <w:pPr>
        <w:pStyle w:val="BodyText"/>
        <w:spacing w:before="109"/>
        <w:ind w:left="2"/>
        <w:rPr>
          <w:rFonts w:ascii="Verdana" w:hAnsi="Verdana"/>
        </w:rPr>
      </w:pPr>
      <w:r w:rsidRPr="00EC75B7">
        <w:rPr>
          <w:rFonts w:ascii="Verdana" w:hAnsi="Verdana"/>
          <w:b/>
        </w:rPr>
        <w:t>Execution</w:t>
      </w:r>
      <w:r w:rsidRPr="00EC75B7">
        <w:rPr>
          <w:rFonts w:ascii="Verdana" w:hAnsi="Verdana"/>
        </w:rPr>
        <w:t xml:space="preserve">. The proposed activities do not have the potential to affect existing uses or material assets in the vicinity, as there is no risk of the impact extending beyond the </w:t>
      </w:r>
      <w:r w:rsidRPr="00EC75B7">
        <w:rPr>
          <w:rFonts w:ascii="Verdana" w:hAnsi="Verdana"/>
          <w:spacing w:val="-2"/>
        </w:rPr>
        <w:t xml:space="preserve">project's </w:t>
      </w:r>
      <w:r w:rsidRPr="00EC75B7">
        <w:rPr>
          <w:rFonts w:ascii="Verdana" w:hAnsi="Verdana"/>
        </w:rPr>
        <w:t>area of influence</w:t>
      </w:r>
      <w:r w:rsidRPr="00EC75B7">
        <w:rPr>
          <w:rFonts w:ascii="Verdana" w:hAnsi="Verdana"/>
          <w:spacing w:val="-2"/>
        </w:rPr>
        <w:t>.</w:t>
      </w:r>
    </w:p>
    <w:p w14:paraId="0ECE387B" w14:textId="77777777" w:rsidR="008715BE" w:rsidRPr="00EC75B7" w:rsidRDefault="00000000">
      <w:pPr>
        <w:spacing w:before="110" w:line="357" w:lineRule="auto"/>
        <w:ind w:left="2" w:right="702"/>
        <w:jc w:val="both"/>
        <w:rPr>
          <w:rFonts w:ascii="Verdana" w:hAnsi="Verdana"/>
          <w:sz w:val="18"/>
          <w:szCs w:val="18"/>
        </w:rPr>
      </w:pPr>
      <w:r w:rsidRPr="00EC75B7">
        <w:rPr>
          <w:rFonts w:ascii="Verdana" w:hAnsi="Verdana"/>
          <w:b/>
          <w:sz w:val="18"/>
          <w:szCs w:val="18"/>
        </w:rPr>
        <w:t xml:space="preserve">The magnitude and complexity of the negative impact are reduced </w:t>
      </w:r>
      <w:r w:rsidRPr="00EC75B7">
        <w:rPr>
          <w:rFonts w:ascii="Verdana" w:hAnsi="Verdana"/>
          <w:sz w:val="18"/>
          <w:szCs w:val="18"/>
        </w:rPr>
        <w:t xml:space="preserve">and limited to the execution stage of the works, manifesting themselves </w:t>
      </w:r>
      <w:r w:rsidRPr="00EC75B7">
        <w:rPr>
          <w:rFonts w:ascii="Verdana" w:hAnsi="Verdana"/>
          <w:b/>
          <w:sz w:val="18"/>
          <w:szCs w:val="18"/>
        </w:rPr>
        <w:t>temporarily and sporadically in the areas targeted by the project or in their immediate vicinity</w:t>
      </w:r>
      <w:r w:rsidRPr="00EC75B7">
        <w:rPr>
          <w:rFonts w:ascii="Verdana" w:hAnsi="Verdana"/>
          <w:sz w:val="18"/>
          <w:szCs w:val="18"/>
        </w:rPr>
        <w:t>.</w:t>
      </w:r>
      <w:r w:rsidRPr="00EC75B7">
        <w:rPr>
          <w:rFonts w:ascii="Verdana" w:hAnsi="Verdana"/>
          <w:spacing w:val="28"/>
          <w:sz w:val="18"/>
          <w:szCs w:val="18"/>
        </w:rPr>
        <w:t xml:space="preserve"> </w:t>
      </w:r>
      <w:r w:rsidRPr="00EC75B7">
        <w:rPr>
          <w:rFonts w:ascii="Verdana" w:hAnsi="Verdana"/>
          <w:sz w:val="18"/>
          <w:szCs w:val="18"/>
        </w:rPr>
        <w:t>Through the technical solutions adopted, the proper organisation of the construction site and the application of prevention and control measures (waste management, use of existing roads, noise monitoring), the likelihood of significant negative effects on the population and human health is minimised.</w:t>
      </w:r>
    </w:p>
    <w:p w14:paraId="18597A3D" w14:textId="77777777" w:rsidR="008715BE" w:rsidRPr="00EC75B7" w:rsidRDefault="00000000">
      <w:pPr>
        <w:spacing w:before="2" w:line="360" w:lineRule="auto"/>
        <w:ind w:left="2" w:right="710"/>
        <w:jc w:val="both"/>
        <w:rPr>
          <w:rFonts w:ascii="Verdana" w:hAnsi="Verdana"/>
          <w:sz w:val="18"/>
          <w:szCs w:val="18"/>
        </w:rPr>
      </w:pPr>
      <w:r w:rsidRPr="00EC75B7">
        <w:rPr>
          <w:rFonts w:ascii="Verdana" w:hAnsi="Verdana"/>
          <w:b/>
          <w:sz w:val="18"/>
          <w:szCs w:val="18"/>
        </w:rPr>
        <w:t xml:space="preserve">During the execution period, the risk of negative impacts on land use and material assets </w:t>
      </w:r>
      <w:r w:rsidRPr="00EC75B7">
        <w:rPr>
          <w:rFonts w:ascii="Verdana" w:hAnsi="Verdana"/>
          <w:sz w:val="18"/>
          <w:szCs w:val="18"/>
        </w:rPr>
        <w:t>in the areas where the wind farm components are located is low, given the temporary and reversible nature of the interventions, as well as the restoration of the temporarily used areas after completion of the works.</w:t>
      </w:r>
    </w:p>
    <w:p w14:paraId="3BB32870" w14:textId="77777777" w:rsidR="008715BE" w:rsidRPr="00EC75B7" w:rsidRDefault="00000000">
      <w:pPr>
        <w:pStyle w:val="BodyText"/>
        <w:spacing w:line="360" w:lineRule="auto"/>
        <w:ind w:left="2" w:right="710"/>
        <w:jc w:val="both"/>
        <w:rPr>
          <w:rFonts w:ascii="Verdana" w:hAnsi="Verdana"/>
        </w:rPr>
      </w:pPr>
      <w:r w:rsidRPr="00EC75B7">
        <w:rPr>
          <w:rFonts w:ascii="Verdana" w:hAnsi="Verdana"/>
        </w:rPr>
        <w:t xml:space="preserve">Thanks to the measures provided for in the project, the specific works carried out for the wind farm will have an </w:t>
      </w:r>
      <w:r w:rsidRPr="00EC75B7">
        <w:rPr>
          <w:rFonts w:ascii="Verdana" w:hAnsi="Verdana"/>
          <w:b/>
        </w:rPr>
        <w:t>insignificant</w:t>
      </w:r>
      <w:r w:rsidRPr="00EC75B7">
        <w:rPr>
          <w:rFonts w:ascii="Verdana" w:hAnsi="Verdana"/>
        </w:rPr>
        <w:t xml:space="preserve">, local, and reversible negative impact on the health of the population, strictly limited to the period of </w:t>
      </w:r>
      <w:r w:rsidRPr="00EC75B7">
        <w:rPr>
          <w:rFonts w:ascii="Verdana" w:hAnsi="Verdana"/>
          <w:spacing w:val="-2"/>
        </w:rPr>
        <w:t>execution</w:t>
      </w:r>
      <w:r w:rsidRPr="00EC75B7">
        <w:rPr>
          <w:rFonts w:ascii="Verdana" w:hAnsi="Verdana"/>
        </w:rPr>
        <w:t xml:space="preserve"> of the activities</w:t>
      </w:r>
      <w:r w:rsidRPr="00EC75B7">
        <w:rPr>
          <w:rFonts w:ascii="Verdana" w:hAnsi="Verdana"/>
          <w:spacing w:val="-2"/>
        </w:rPr>
        <w:t>.</w:t>
      </w:r>
    </w:p>
    <w:p w14:paraId="632325F4" w14:textId="77777777" w:rsidR="008715BE" w:rsidRPr="00EC75B7" w:rsidRDefault="00000000">
      <w:pPr>
        <w:pStyle w:val="BodyText"/>
        <w:spacing w:line="218" w:lineRule="exact"/>
        <w:ind w:left="2"/>
        <w:jc w:val="both"/>
        <w:rPr>
          <w:rFonts w:ascii="Verdana" w:hAnsi="Verdana"/>
        </w:rPr>
      </w:pPr>
      <w:r w:rsidRPr="00EC75B7">
        <w:rPr>
          <w:rFonts w:ascii="Verdana" w:hAnsi="Verdana"/>
        </w:rPr>
        <w:t xml:space="preserve">Given the specific nature of the project and the type of work carried out, it is estimated that, during the </w:t>
      </w:r>
      <w:r w:rsidRPr="00EC75B7">
        <w:rPr>
          <w:rFonts w:ascii="Verdana" w:hAnsi="Verdana"/>
          <w:b/>
        </w:rPr>
        <w:t xml:space="preserve">decommissioning </w:t>
      </w:r>
      <w:r w:rsidRPr="00EC75B7">
        <w:rPr>
          <w:rFonts w:ascii="Verdana" w:hAnsi="Verdana"/>
        </w:rPr>
        <w:t xml:space="preserve">phase, the impact will be of the same nature, magnitude, extent, and significance as that estimated during the </w:t>
      </w:r>
      <w:r w:rsidRPr="00EC75B7">
        <w:rPr>
          <w:rFonts w:ascii="Verdana" w:hAnsi="Verdana"/>
          <w:spacing w:val="-2"/>
        </w:rPr>
        <w:t xml:space="preserve">execution </w:t>
      </w:r>
      <w:r w:rsidRPr="00EC75B7">
        <w:rPr>
          <w:rFonts w:ascii="Verdana" w:hAnsi="Verdana"/>
        </w:rPr>
        <w:t>phase</w:t>
      </w:r>
      <w:r w:rsidRPr="00EC75B7">
        <w:rPr>
          <w:rFonts w:ascii="Verdana" w:hAnsi="Verdana"/>
          <w:spacing w:val="-2"/>
        </w:rPr>
        <w:t>.</w:t>
      </w:r>
    </w:p>
    <w:p w14:paraId="5673F69A" w14:textId="77777777" w:rsidR="008715BE" w:rsidRPr="00EC75B7" w:rsidRDefault="008715BE">
      <w:pPr>
        <w:pStyle w:val="BodyText"/>
        <w:spacing w:line="218" w:lineRule="exact"/>
        <w:jc w:val="both"/>
        <w:rPr>
          <w:rFonts w:ascii="Verdana" w:hAnsi="Verdana"/>
        </w:rPr>
        <w:sectPr w:rsidR="008715BE" w:rsidRPr="00EC75B7">
          <w:headerReference w:type="default" r:id="rId190"/>
          <w:footerReference w:type="default" r:id="rId191"/>
          <w:pgSz w:w="23820" w:h="16840" w:orient="landscape"/>
          <w:pgMar w:top="1280" w:right="708" w:bottom="1020" w:left="850" w:header="766" w:footer="824" w:gutter="0"/>
          <w:cols w:space="708"/>
        </w:sectPr>
      </w:pPr>
    </w:p>
    <w:p w14:paraId="39C8608A"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26 Assessment of the project's impact on the socio-economic environment, including public health (overall assessment,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122"/>
        <w:gridCol w:w="2556"/>
        <w:gridCol w:w="2348"/>
        <w:gridCol w:w="927"/>
        <w:gridCol w:w="838"/>
        <w:gridCol w:w="437"/>
        <w:gridCol w:w="704"/>
        <w:gridCol w:w="1186"/>
        <w:gridCol w:w="723"/>
        <w:gridCol w:w="1177"/>
        <w:gridCol w:w="1022"/>
        <w:gridCol w:w="1542"/>
        <w:gridCol w:w="5812"/>
      </w:tblGrid>
      <w:tr w:rsidR="008715BE" w:rsidRPr="00EC75B7" w14:paraId="39930D31" w14:textId="77777777">
        <w:trPr>
          <w:trHeight w:val="1135"/>
        </w:trPr>
        <w:tc>
          <w:tcPr>
            <w:tcW w:w="725" w:type="dxa"/>
            <w:shd w:val="clear" w:color="auto" w:fill="00AFEF"/>
          </w:tcPr>
          <w:p w14:paraId="572C6BDE" w14:textId="77777777" w:rsidR="008715BE" w:rsidRPr="00EC75B7" w:rsidRDefault="008715BE">
            <w:pPr>
              <w:pStyle w:val="TableParagraph"/>
              <w:rPr>
                <w:rFonts w:ascii="Verdana" w:hAnsi="Verdana"/>
                <w:b/>
                <w:sz w:val="18"/>
                <w:szCs w:val="18"/>
              </w:rPr>
            </w:pPr>
          </w:p>
          <w:p w14:paraId="5E330667" w14:textId="77777777" w:rsidR="008715BE" w:rsidRPr="00EC75B7" w:rsidRDefault="008715BE">
            <w:pPr>
              <w:pStyle w:val="TableParagraph"/>
              <w:spacing w:before="79"/>
              <w:rPr>
                <w:rFonts w:ascii="Verdana" w:hAnsi="Verdana"/>
                <w:b/>
                <w:sz w:val="18"/>
                <w:szCs w:val="18"/>
              </w:rPr>
            </w:pPr>
          </w:p>
          <w:p w14:paraId="668986B1"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4"/>
                <w:sz w:val="18"/>
                <w:szCs w:val="18"/>
              </w:rPr>
              <w:t>Stage</w:t>
            </w:r>
          </w:p>
        </w:tc>
        <w:tc>
          <w:tcPr>
            <w:tcW w:w="2122" w:type="dxa"/>
            <w:shd w:val="clear" w:color="auto" w:fill="00AFEF"/>
          </w:tcPr>
          <w:p w14:paraId="45011602" w14:textId="77777777" w:rsidR="008715BE" w:rsidRPr="00EC75B7" w:rsidRDefault="008715BE">
            <w:pPr>
              <w:pStyle w:val="TableParagraph"/>
              <w:spacing w:before="178"/>
              <w:rPr>
                <w:rFonts w:ascii="Verdana" w:hAnsi="Verdana"/>
                <w:b/>
                <w:sz w:val="18"/>
                <w:szCs w:val="18"/>
              </w:rPr>
            </w:pPr>
          </w:p>
          <w:p w14:paraId="55B61F2B" w14:textId="77777777" w:rsidR="008715BE" w:rsidRPr="00EC75B7" w:rsidRDefault="00000000">
            <w:pPr>
              <w:pStyle w:val="TableParagraph"/>
              <w:ind w:left="662" w:hanging="171"/>
              <w:rPr>
                <w:rFonts w:ascii="Verdana" w:hAnsi="Verdana"/>
                <w:b/>
                <w:sz w:val="18"/>
                <w:szCs w:val="18"/>
              </w:rPr>
            </w:pPr>
            <w:r w:rsidRPr="00EC75B7">
              <w:rPr>
                <w:rFonts w:ascii="Verdana" w:hAnsi="Verdana"/>
                <w:b/>
                <w:color w:val="FFFFFF"/>
                <w:spacing w:val="-4"/>
                <w:sz w:val="18"/>
                <w:szCs w:val="18"/>
              </w:rPr>
              <w:t>Interventions/</w:t>
            </w:r>
            <w:r w:rsidRPr="00EC75B7">
              <w:rPr>
                <w:rFonts w:ascii="Verdana" w:hAnsi="Verdana"/>
                <w:b/>
                <w:color w:val="FFFFFF"/>
                <w:spacing w:val="-2"/>
                <w:sz w:val="18"/>
                <w:szCs w:val="18"/>
              </w:rPr>
              <w:t>activities</w:t>
            </w:r>
          </w:p>
        </w:tc>
        <w:tc>
          <w:tcPr>
            <w:tcW w:w="2556" w:type="dxa"/>
            <w:shd w:val="clear" w:color="auto" w:fill="00AFEF"/>
          </w:tcPr>
          <w:p w14:paraId="46D6A9A9" w14:textId="77777777" w:rsidR="008715BE" w:rsidRPr="00EC75B7" w:rsidRDefault="008715BE">
            <w:pPr>
              <w:pStyle w:val="TableParagraph"/>
              <w:rPr>
                <w:rFonts w:ascii="Verdana" w:hAnsi="Verdana"/>
                <w:b/>
                <w:sz w:val="18"/>
                <w:szCs w:val="18"/>
              </w:rPr>
            </w:pPr>
          </w:p>
          <w:p w14:paraId="34378798" w14:textId="77777777" w:rsidR="008715BE" w:rsidRPr="00EC75B7" w:rsidRDefault="008715BE">
            <w:pPr>
              <w:pStyle w:val="TableParagraph"/>
              <w:spacing w:before="79"/>
              <w:rPr>
                <w:rFonts w:ascii="Verdana" w:hAnsi="Verdana"/>
                <w:b/>
                <w:sz w:val="18"/>
                <w:szCs w:val="18"/>
              </w:rPr>
            </w:pPr>
          </w:p>
          <w:p w14:paraId="5159ABD5" w14:textId="77777777" w:rsidR="008715BE" w:rsidRPr="00EC75B7" w:rsidRDefault="00000000">
            <w:pPr>
              <w:pStyle w:val="TableParagraph"/>
              <w:ind w:left="7"/>
              <w:jc w:val="center"/>
              <w:rPr>
                <w:rFonts w:ascii="Verdana" w:hAnsi="Verdana"/>
                <w:b/>
                <w:sz w:val="18"/>
                <w:szCs w:val="18"/>
              </w:rPr>
            </w:pPr>
            <w:r w:rsidRPr="00EC75B7">
              <w:rPr>
                <w:rFonts w:ascii="Verdana" w:hAnsi="Verdana"/>
                <w:b/>
                <w:color w:val="FFFFFF"/>
                <w:spacing w:val="-2"/>
                <w:sz w:val="18"/>
                <w:szCs w:val="18"/>
              </w:rPr>
              <w:t>Effects</w:t>
            </w:r>
          </w:p>
        </w:tc>
        <w:tc>
          <w:tcPr>
            <w:tcW w:w="2348" w:type="dxa"/>
            <w:shd w:val="clear" w:color="auto" w:fill="00AFEF"/>
          </w:tcPr>
          <w:p w14:paraId="7821ED82" w14:textId="77777777" w:rsidR="008715BE" w:rsidRPr="00EC75B7" w:rsidRDefault="008715BE">
            <w:pPr>
              <w:pStyle w:val="TableParagraph"/>
              <w:rPr>
                <w:rFonts w:ascii="Verdana" w:hAnsi="Verdana"/>
                <w:b/>
                <w:sz w:val="18"/>
                <w:szCs w:val="18"/>
              </w:rPr>
            </w:pPr>
          </w:p>
          <w:p w14:paraId="48A179FB" w14:textId="77777777" w:rsidR="008715BE" w:rsidRPr="00EC75B7" w:rsidRDefault="008715BE">
            <w:pPr>
              <w:pStyle w:val="TableParagraph"/>
              <w:spacing w:before="79"/>
              <w:rPr>
                <w:rFonts w:ascii="Verdana" w:hAnsi="Verdana"/>
                <w:b/>
                <w:sz w:val="18"/>
                <w:szCs w:val="18"/>
              </w:rPr>
            </w:pPr>
          </w:p>
          <w:p w14:paraId="75D15F6F" w14:textId="77777777" w:rsidR="008715BE" w:rsidRPr="00EC75B7" w:rsidRDefault="00000000">
            <w:pPr>
              <w:pStyle w:val="TableParagraph"/>
              <w:ind w:left="10"/>
              <w:jc w:val="center"/>
              <w:rPr>
                <w:rFonts w:ascii="Verdana" w:hAnsi="Verdana"/>
                <w:b/>
                <w:sz w:val="18"/>
                <w:szCs w:val="18"/>
              </w:rPr>
            </w:pPr>
            <w:r w:rsidRPr="00EC75B7">
              <w:rPr>
                <w:rFonts w:ascii="Verdana" w:hAnsi="Verdana"/>
                <w:b/>
                <w:color w:val="FFFFFF"/>
                <w:spacing w:val="-2"/>
                <w:sz w:val="18"/>
                <w:szCs w:val="18"/>
              </w:rPr>
              <w:t>Impact</w:t>
            </w:r>
          </w:p>
        </w:tc>
        <w:tc>
          <w:tcPr>
            <w:tcW w:w="927" w:type="dxa"/>
            <w:shd w:val="clear" w:color="auto" w:fill="00AFEF"/>
            <w:textDirection w:val="btLr"/>
          </w:tcPr>
          <w:p w14:paraId="7C470993" w14:textId="77777777" w:rsidR="008715BE" w:rsidRPr="00EC75B7" w:rsidRDefault="00000000">
            <w:pPr>
              <w:pStyle w:val="TableParagraph"/>
              <w:spacing w:before="118" w:line="244" w:lineRule="auto"/>
              <w:ind w:left="121" w:right="159"/>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838" w:type="dxa"/>
            <w:shd w:val="clear" w:color="auto" w:fill="00AFEF"/>
            <w:textDirection w:val="btLr"/>
          </w:tcPr>
          <w:p w14:paraId="4C474E1A" w14:textId="77777777" w:rsidR="008715BE" w:rsidRPr="00EC75B7" w:rsidRDefault="00000000">
            <w:pPr>
              <w:pStyle w:val="TableParagraph"/>
              <w:spacing w:before="115" w:line="244" w:lineRule="auto"/>
              <w:ind w:left="121" w:right="110"/>
              <w:rPr>
                <w:rFonts w:ascii="Verdana" w:hAnsi="Verdana"/>
                <w:b/>
                <w:sz w:val="18"/>
                <w:szCs w:val="18"/>
              </w:rPr>
            </w:pPr>
            <w:r w:rsidRPr="00EC75B7">
              <w:rPr>
                <w:rFonts w:ascii="Verdana" w:hAnsi="Verdana"/>
                <w:b/>
                <w:color w:val="FFFFFF"/>
                <w:spacing w:val="-2"/>
                <w:sz w:val="18"/>
                <w:szCs w:val="18"/>
              </w:rPr>
              <w:t xml:space="preserve">Nature </w:t>
            </w:r>
            <w:r w:rsidRPr="00EC75B7">
              <w:rPr>
                <w:rFonts w:ascii="Verdana" w:hAnsi="Verdana"/>
                <w:b/>
                <w:color w:val="FFFFFF"/>
                <w:spacing w:val="-10"/>
                <w:sz w:val="18"/>
                <w:szCs w:val="18"/>
              </w:rPr>
              <w:t>of</w:t>
            </w:r>
            <w:r w:rsidRPr="00EC75B7">
              <w:rPr>
                <w:rFonts w:ascii="Verdana" w:hAnsi="Verdana"/>
                <w:b/>
                <w:color w:val="FFFFFF"/>
                <w:spacing w:val="-2"/>
                <w:sz w:val="18"/>
                <w:szCs w:val="18"/>
              </w:rPr>
              <w:t xml:space="preserve"> impact</w:t>
            </w:r>
          </w:p>
        </w:tc>
        <w:tc>
          <w:tcPr>
            <w:tcW w:w="437" w:type="dxa"/>
            <w:shd w:val="clear" w:color="auto" w:fill="00AFEF"/>
            <w:textDirection w:val="btLr"/>
          </w:tcPr>
          <w:p w14:paraId="668C2578" w14:textId="77777777" w:rsidR="008715BE" w:rsidRPr="00EC75B7" w:rsidRDefault="00000000">
            <w:pPr>
              <w:pStyle w:val="TableParagraph"/>
              <w:spacing w:before="117"/>
              <w:ind w:left="121"/>
              <w:rPr>
                <w:rFonts w:ascii="Verdana" w:hAnsi="Verdana"/>
                <w:b/>
                <w:sz w:val="18"/>
                <w:szCs w:val="18"/>
              </w:rPr>
            </w:pPr>
            <w:r w:rsidRPr="00EC75B7">
              <w:rPr>
                <w:rFonts w:ascii="Verdana" w:hAnsi="Verdana"/>
                <w:b/>
                <w:color w:val="FFFFFF"/>
                <w:spacing w:val="-2"/>
                <w:sz w:val="18"/>
                <w:szCs w:val="18"/>
              </w:rPr>
              <w:t>Potential</w:t>
            </w:r>
          </w:p>
          <w:p w14:paraId="29864742" w14:textId="77777777" w:rsidR="008715BE" w:rsidRPr="00EC75B7" w:rsidRDefault="00000000">
            <w:pPr>
              <w:pStyle w:val="TableParagraph"/>
              <w:spacing w:before="4" w:line="91" w:lineRule="exact"/>
              <w:ind w:left="121"/>
              <w:rPr>
                <w:rFonts w:ascii="Verdana" w:hAnsi="Verdana"/>
                <w:b/>
                <w:sz w:val="18"/>
                <w:szCs w:val="18"/>
              </w:rPr>
            </w:pPr>
            <w:r w:rsidRPr="00EC75B7">
              <w:rPr>
                <w:rFonts w:ascii="Verdana" w:hAnsi="Verdana"/>
                <w:b/>
                <w:color w:val="FFFFFF"/>
                <w:spacing w:val="-5"/>
                <w:sz w:val="18"/>
                <w:szCs w:val="18"/>
              </w:rPr>
              <w:t>Duration</w:t>
            </w:r>
          </w:p>
        </w:tc>
        <w:tc>
          <w:tcPr>
            <w:tcW w:w="704" w:type="dxa"/>
            <w:shd w:val="clear" w:color="auto" w:fill="00AFEF"/>
            <w:textDirection w:val="btLr"/>
          </w:tcPr>
          <w:p w14:paraId="1F688093" w14:textId="77777777" w:rsidR="008715BE" w:rsidRPr="00EC75B7" w:rsidRDefault="00000000">
            <w:pPr>
              <w:pStyle w:val="TableParagraph"/>
              <w:spacing w:before="115"/>
              <w:ind w:left="121"/>
              <w:rPr>
                <w:rFonts w:ascii="Verdana" w:hAnsi="Verdana"/>
                <w:b/>
                <w:sz w:val="18"/>
                <w:szCs w:val="18"/>
              </w:rPr>
            </w:pPr>
            <w:r w:rsidRPr="00EC75B7">
              <w:rPr>
                <w:rFonts w:ascii="Verdana" w:hAnsi="Verdana"/>
                <w:b/>
                <w:color w:val="FFFFFF"/>
                <w:spacing w:val="-2"/>
                <w:sz w:val="18"/>
                <w:szCs w:val="18"/>
              </w:rPr>
              <w:t>Duration</w:t>
            </w:r>
          </w:p>
        </w:tc>
        <w:tc>
          <w:tcPr>
            <w:tcW w:w="1186" w:type="dxa"/>
            <w:shd w:val="clear" w:color="auto" w:fill="00AFEF"/>
            <w:textDirection w:val="btLr"/>
          </w:tcPr>
          <w:p w14:paraId="071959D4" w14:textId="77777777" w:rsidR="008715BE" w:rsidRPr="00EC75B7" w:rsidRDefault="00000000">
            <w:pPr>
              <w:pStyle w:val="TableParagraph"/>
              <w:spacing w:before="116" w:line="244" w:lineRule="auto"/>
              <w:ind w:left="121" w:right="122"/>
              <w:rPr>
                <w:rFonts w:ascii="Verdana" w:hAnsi="Verdana"/>
                <w:b/>
                <w:sz w:val="18"/>
                <w:szCs w:val="18"/>
              </w:rPr>
            </w:pPr>
            <w:r w:rsidRPr="00EC75B7">
              <w:rPr>
                <w:rFonts w:ascii="Verdana" w:hAnsi="Verdana"/>
                <w:b/>
                <w:color w:val="FFFFFF"/>
                <w:spacing w:val="-2"/>
                <w:sz w:val="18"/>
                <w:szCs w:val="18"/>
              </w:rPr>
              <w:t xml:space="preserve">Frequency </w:t>
            </w:r>
            <w:r w:rsidRPr="00EC75B7">
              <w:rPr>
                <w:rFonts w:ascii="Verdana" w:hAnsi="Verdana"/>
                <w:b/>
                <w:color w:val="FFFFFF"/>
                <w:spacing w:val="-6"/>
                <w:sz w:val="18"/>
                <w:szCs w:val="18"/>
              </w:rPr>
              <w:t xml:space="preserve">of </w:t>
            </w:r>
            <w:r w:rsidRPr="00EC75B7">
              <w:rPr>
                <w:rFonts w:ascii="Verdana" w:hAnsi="Verdana"/>
                <w:b/>
                <w:color w:val="FFFFFF"/>
                <w:spacing w:val="-2"/>
                <w:sz w:val="18"/>
                <w:szCs w:val="18"/>
              </w:rPr>
              <w:t>occurrence</w:t>
            </w:r>
          </w:p>
        </w:tc>
        <w:tc>
          <w:tcPr>
            <w:tcW w:w="723" w:type="dxa"/>
            <w:shd w:val="clear" w:color="auto" w:fill="00AFEF"/>
            <w:textDirection w:val="btLr"/>
          </w:tcPr>
          <w:p w14:paraId="7297C5FF" w14:textId="77777777" w:rsidR="008715BE" w:rsidRPr="00EC75B7" w:rsidRDefault="00000000">
            <w:pPr>
              <w:pStyle w:val="TableParagraph"/>
              <w:spacing w:before="116" w:line="244" w:lineRule="auto"/>
              <w:ind w:left="121" w:right="110"/>
              <w:rPr>
                <w:rFonts w:ascii="Verdana" w:hAnsi="Verdana"/>
                <w:b/>
                <w:sz w:val="18"/>
                <w:szCs w:val="18"/>
              </w:rPr>
            </w:pPr>
            <w:r w:rsidRPr="00EC75B7">
              <w:rPr>
                <w:rFonts w:ascii="Verdana" w:hAnsi="Verdana"/>
                <w:b/>
                <w:color w:val="FFFFFF"/>
                <w:spacing w:val="-2"/>
                <w:sz w:val="18"/>
                <w:szCs w:val="18"/>
              </w:rPr>
              <w:t xml:space="preserve">Extension </w:t>
            </w:r>
            <w:r w:rsidRPr="00EC75B7">
              <w:rPr>
                <w:rFonts w:ascii="Verdana" w:hAnsi="Verdana"/>
                <w:b/>
                <w:color w:val="FFFFFF"/>
                <w:spacing w:val="-10"/>
                <w:sz w:val="18"/>
                <w:szCs w:val="18"/>
              </w:rPr>
              <w:t>of</w:t>
            </w:r>
          </w:p>
        </w:tc>
        <w:tc>
          <w:tcPr>
            <w:tcW w:w="1177" w:type="dxa"/>
            <w:shd w:val="clear" w:color="auto" w:fill="00AFEF"/>
            <w:textDirection w:val="btLr"/>
          </w:tcPr>
          <w:p w14:paraId="4393B961" w14:textId="77777777" w:rsidR="008715BE" w:rsidRPr="00EC75B7" w:rsidRDefault="00000000">
            <w:pPr>
              <w:pStyle w:val="TableParagraph"/>
              <w:spacing w:before="113" w:line="247" w:lineRule="auto"/>
              <w:ind w:left="121" w:right="133"/>
              <w:rPr>
                <w:rFonts w:ascii="Verdana" w:hAnsi="Verdana"/>
                <w:b/>
                <w:sz w:val="18"/>
                <w:szCs w:val="18"/>
              </w:rPr>
            </w:pPr>
            <w:r w:rsidRPr="00EC75B7">
              <w:rPr>
                <w:rFonts w:ascii="Verdana" w:hAnsi="Verdana"/>
                <w:b/>
                <w:color w:val="FFFFFF"/>
                <w:spacing w:val="-2"/>
                <w:sz w:val="18"/>
                <w:szCs w:val="18"/>
              </w:rPr>
              <w:t>Prob</w:t>
            </w:r>
            <w:r w:rsidRPr="00EC75B7">
              <w:rPr>
                <w:rFonts w:ascii="Verdana" w:hAnsi="Verdana"/>
                <w:b/>
                <w:color w:val="FFFFFF"/>
                <w:spacing w:val="-4"/>
                <w:sz w:val="18"/>
                <w:szCs w:val="18"/>
              </w:rPr>
              <w:t>ability</w:t>
            </w:r>
          </w:p>
        </w:tc>
        <w:tc>
          <w:tcPr>
            <w:tcW w:w="1022" w:type="dxa"/>
            <w:shd w:val="clear" w:color="auto" w:fill="00AFEF"/>
            <w:textDirection w:val="btLr"/>
          </w:tcPr>
          <w:p w14:paraId="153B8DE4" w14:textId="77777777" w:rsidR="008715BE" w:rsidRPr="00EC75B7" w:rsidRDefault="00000000">
            <w:pPr>
              <w:pStyle w:val="TableParagraph"/>
              <w:spacing w:before="114" w:line="244" w:lineRule="auto"/>
              <w:ind w:left="121" w:right="110"/>
              <w:rPr>
                <w:rFonts w:ascii="Verdana" w:hAnsi="Verdana"/>
                <w:b/>
                <w:sz w:val="18"/>
                <w:szCs w:val="18"/>
              </w:rPr>
            </w:pPr>
            <w:r w:rsidRPr="00EC75B7">
              <w:rPr>
                <w:rFonts w:ascii="Verdana" w:hAnsi="Verdana"/>
                <w:b/>
                <w:color w:val="FFFFFF"/>
                <w:spacing w:val="-2"/>
                <w:sz w:val="18"/>
                <w:szCs w:val="18"/>
              </w:rPr>
              <w:t>Reversibility</w:t>
            </w:r>
          </w:p>
        </w:tc>
        <w:tc>
          <w:tcPr>
            <w:tcW w:w="1542" w:type="dxa"/>
            <w:shd w:val="clear" w:color="auto" w:fill="00AFEF"/>
          </w:tcPr>
          <w:p w14:paraId="28BF1A87" w14:textId="77777777" w:rsidR="008715BE" w:rsidRPr="00EC75B7" w:rsidRDefault="008715BE">
            <w:pPr>
              <w:pStyle w:val="TableParagraph"/>
              <w:spacing w:before="80"/>
              <w:rPr>
                <w:rFonts w:ascii="Verdana" w:hAnsi="Verdana"/>
                <w:b/>
                <w:sz w:val="18"/>
                <w:szCs w:val="18"/>
              </w:rPr>
            </w:pPr>
          </w:p>
          <w:p w14:paraId="46697772" w14:textId="77777777" w:rsidR="008715BE" w:rsidRPr="00EC75B7" w:rsidRDefault="00000000">
            <w:pPr>
              <w:pStyle w:val="TableParagraph"/>
              <w:ind w:right="4"/>
              <w:jc w:val="center"/>
              <w:rPr>
                <w:rFonts w:ascii="Verdana" w:hAnsi="Verdana"/>
                <w:b/>
                <w:sz w:val="18"/>
                <w:szCs w:val="18"/>
              </w:rPr>
            </w:pPr>
            <w:r w:rsidRPr="00EC75B7">
              <w:rPr>
                <w:rFonts w:ascii="Verdana" w:hAnsi="Verdana"/>
                <w:b/>
                <w:color w:val="FFFFFF"/>
                <w:spacing w:val="-2"/>
                <w:sz w:val="18"/>
                <w:szCs w:val="18"/>
              </w:rPr>
              <w:t>Assessment of impact significance</w:t>
            </w:r>
          </w:p>
        </w:tc>
        <w:tc>
          <w:tcPr>
            <w:tcW w:w="5812" w:type="dxa"/>
            <w:shd w:val="clear" w:color="auto" w:fill="00AFEF"/>
          </w:tcPr>
          <w:p w14:paraId="5718386A" w14:textId="77777777" w:rsidR="008715BE" w:rsidRPr="00EC75B7" w:rsidRDefault="008715BE">
            <w:pPr>
              <w:pStyle w:val="TableParagraph"/>
              <w:rPr>
                <w:rFonts w:ascii="Verdana" w:hAnsi="Verdana"/>
                <w:b/>
                <w:sz w:val="18"/>
                <w:szCs w:val="18"/>
              </w:rPr>
            </w:pPr>
          </w:p>
          <w:p w14:paraId="573918D7" w14:textId="77777777" w:rsidR="008715BE" w:rsidRPr="00EC75B7" w:rsidRDefault="008715BE">
            <w:pPr>
              <w:pStyle w:val="TableParagraph"/>
              <w:spacing w:before="79"/>
              <w:rPr>
                <w:rFonts w:ascii="Verdana" w:hAnsi="Verdana"/>
                <w:b/>
                <w:sz w:val="18"/>
                <w:szCs w:val="18"/>
              </w:rPr>
            </w:pPr>
          </w:p>
          <w:p w14:paraId="447AE43F" w14:textId="77777777" w:rsidR="008715BE" w:rsidRPr="00EC75B7" w:rsidRDefault="00000000">
            <w:pPr>
              <w:pStyle w:val="TableParagraph"/>
              <w:ind w:right="7"/>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34A75CCD" w14:textId="77777777">
        <w:trPr>
          <w:trHeight w:val="777"/>
        </w:trPr>
        <w:tc>
          <w:tcPr>
            <w:tcW w:w="725" w:type="dxa"/>
            <w:vMerge w:val="restart"/>
            <w:textDirection w:val="btLr"/>
          </w:tcPr>
          <w:p w14:paraId="596DF581" w14:textId="77777777" w:rsidR="008715BE" w:rsidRPr="00EC75B7" w:rsidRDefault="00000000">
            <w:pPr>
              <w:pStyle w:val="TableParagraph"/>
              <w:spacing w:before="118"/>
              <w:ind w:left="19"/>
              <w:jc w:val="center"/>
              <w:rPr>
                <w:rFonts w:ascii="Verdana" w:hAnsi="Verdana"/>
                <w:b/>
                <w:sz w:val="18"/>
                <w:szCs w:val="18"/>
              </w:rPr>
            </w:pPr>
            <w:r w:rsidRPr="00EC75B7">
              <w:rPr>
                <w:rFonts w:ascii="Verdana" w:hAnsi="Verdana"/>
                <w:b/>
                <w:spacing w:val="-2"/>
                <w:sz w:val="18"/>
                <w:szCs w:val="18"/>
              </w:rPr>
              <w:t>Operation</w:t>
            </w:r>
          </w:p>
        </w:tc>
        <w:tc>
          <w:tcPr>
            <w:tcW w:w="2122" w:type="dxa"/>
            <w:vMerge w:val="restart"/>
          </w:tcPr>
          <w:p w14:paraId="6A70347F"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Operation of wind </w:t>
            </w:r>
            <w:r w:rsidRPr="00EC75B7">
              <w:rPr>
                <w:rFonts w:ascii="Verdana" w:hAnsi="Verdana"/>
                <w:spacing w:val="-2"/>
                <w:sz w:val="18"/>
                <w:szCs w:val="18"/>
              </w:rPr>
              <w:t>turbines</w:t>
            </w:r>
          </w:p>
          <w:p w14:paraId="6D9AD5C8"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wind turbines</w:t>
            </w:r>
          </w:p>
        </w:tc>
        <w:tc>
          <w:tcPr>
            <w:tcW w:w="2556" w:type="dxa"/>
          </w:tcPr>
          <w:p w14:paraId="68085E34"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53"/>
                <w:sz w:val="18"/>
                <w:szCs w:val="18"/>
              </w:rPr>
              <w:t xml:space="preserve">  </w:t>
            </w:r>
            <w:r w:rsidRPr="00EC75B7">
              <w:rPr>
                <w:rFonts w:ascii="Verdana" w:hAnsi="Verdana"/>
                <w:sz w:val="18"/>
                <w:szCs w:val="18"/>
              </w:rPr>
              <w:t xml:space="preserve"> noise</w:t>
            </w:r>
            <w:r w:rsidRPr="00EC75B7">
              <w:rPr>
                <w:rFonts w:ascii="Verdana" w:hAnsi="Verdana"/>
                <w:spacing w:val="54"/>
                <w:sz w:val="18"/>
                <w:szCs w:val="18"/>
              </w:rPr>
              <w:t xml:space="preserve">  </w:t>
            </w:r>
            <w:r w:rsidRPr="00EC75B7">
              <w:rPr>
                <w:rFonts w:ascii="Verdana" w:hAnsi="Verdana"/>
                <w:sz w:val="18"/>
                <w:szCs w:val="18"/>
              </w:rPr>
              <w:t xml:space="preserve"> background noise</w:t>
            </w:r>
            <w:r w:rsidRPr="00EC75B7">
              <w:rPr>
                <w:rFonts w:ascii="Verdana" w:hAnsi="Verdana"/>
                <w:spacing w:val="53"/>
                <w:sz w:val="18"/>
                <w:szCs w:val="18"/>
              </w:rPr>
              <w:t xml:space="preserve">  </w:t>
            </w:r>
            <w:r w:rsidRPr="00EC75B7">
              <w:rPr>
                <w:rFonts w:ascii="Verdana" w:hAnsi="Verdana"/>
                <w:spacing w:val="-2"/>
                <w:sz w:val="18"/>
                <w:szCs w:val="18"/>
              </w:rPr>
              <w:t xml:space="preserve"> specific</w:t>
            </w:r>
          </w:p>
          <w:p w14:paraId="2412D72B"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operation</w:t>
            </w:r>
          </w:p>
        </w:tc>
        <w:tc>
          <w:tcPr>
            <w:tcW w:w="2348" w:type="dxa"/>
          </w:tcPr>
          <w:p w14:paraId="01D56424" w14:textId="77777777" w:rsidR="008715BE" w:rsidRPr="00EC75B7" w:rsidRDefault="00000000">
            <w:pPr>
              <w:pStyle w:val="TableParagraph"/>
              <w:tabs>
                <w:tab w:val="left" w:pos="1685"/>
              </w:tabs>
              <w:spacing w:line="194" w:lineRule="exact"/>
              <w:ind w:left="107"/>
              <w:rPr>
                <w:rFonts w:ascii="Verdana" w:hAnsi="Verdana"/>
                <w:sz w:val="18"/>
                <w:szCs w:val="18"/>
              </w:rPr>
            </w:pPr>
            <w:r w:rsidRPr="00EC75B7">
              <w:rPr>
                <w:rFonts w:ascii="Verdana" w:hAnsi="Verdana"/>
                <w:spacing w:val="-2"/>
                <w:sz w:val="18"/>
                <w:szCs w:val="18"/>
              </w:rPr>
              <w:t>Acoustic discomfort</w:t>
            </w:r>
            <w:r w:rsidRPr="00EC75B7">
              <w:rPr>
                <w:rFonts w:ascii="Verdana" w:hAnsi="Verdana"/>
                <w:sz w:val="18"/>
                <w:szCs w:val="18"/>
              </w:rPr>
              <w:tab/>
            </w:r>
            <w:r w:rsidRPr="00EC75B7">
              <w:rPr>
                <w:rFonts w:ascii="Verdana" w:hAnsi="Verdana"/>
                <w:spacing w:val="-2"/>
                <w:sz w:val="18"/>
                <w:szCs w:val="18"/>
              </w:rPr>
              <w:t>acoustic</w:t>
            </w:r>
          </w:p>
          <w:p w14:paraId="726F728C"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Potential</w:t>
            </w:r>
          </w:p>
        </w:tc>
        <w:tc>
          <w:tcPr>
            <w:tcW w:w="927" w:type="dxa"/>
          </w:tcPr>
          <w:p w14:paraId="388A4AEA" w14:textId="77777777" w:rsidR="008715BE" w:rsidRPr="00EC75B7" w:rsidRDefault="00000000">
            <w:pPr>
              <w:pStyle w:val="TableParagraph"/>
              <w:spacing w:line="195" w:lineRule="exact"/>
              <w:ind w:left="89" w:right="81"/>
              <w:jc w:val="center"/>
              <w:rPr>
                <w:rFonts w:ascii="Verdana" w:hAnsi="Verdana"/>
                <w:sz w:val="18"/>
                <w:szCs w:val="18"/>
              </w:rPr>
            </w:pPr>
            <w:r w:rsidRPr="00EC75B7">
              <w:rPr>
                <w:rFonts w:ascii="Verdana" w:hAnsi="Verdana"/>
                <w:spacing w:val="-2"/>
                <w:sz w:val="18"/>
                <w:szCs w:val="18"/>
              </w:rPr>
              <w:t>Negative</w:t>
            </w:r>
          </w:p>
        </w:tc>
        <w:tc>
          <w:tcPr>
            <w:tcW w:w="838" w:type="dxa"/>
          </w:tcPr>
          <w:p w14:paraId="2C68CCB3" w14:textId="77777777" w:rsidR="008715BE" w:rsidRPr="00EC75B7" w:rsidRDefault="008715BE">
            <w:pPr>
              <w:pStyle w:val="TableParagraph"/>
              <w:spacing w:before="96"/>
              <w:rPr>
                <w:rFonts w:ascii="Verdana" w:hAnsi="Verdana"/>
                <w:b/>
                <w:sz w:val="18"/>
                <w:szCs w:val="18"/>
              </w:rPr>
            </w:pPr>
          </w:p>
          <w:p w14:paraId="4B81B2C3" w14:textId="77777777" w:rsidR="008715BE" w:rsidRPr="00EC75B7" w:rsidRDefault="00000000">
            <w:pPr>
              <w:pStyle w:val="TableParagraph"/>
              <w:ind w:left="104"/>
              <w:rPr>
                <w:rFonts w:ascii="Verdana" w:hAnsi="Verdana"/>
                <w:sz w:val="18"/>
                <w:szCs w:val="18"/>
              </w:rPr>
            </w:pPr>
            <w:r w:rsidRPr="00EC75B7">
              <w:rPr>
                <w:rFonts w:ascii="Verdana" w:hAnsi="Verdana"/>
                <w:spacing w:val="-2"/>
                <w:sz w:val="18"/>
                <w:szCs w:val="18"/>
              </w:rPr>
              <w:t>Direct</w:t>
            </w:r>
          </w:p>
        </w:tc>
        <w:tc>
          <w:tcPr>
            <w:tcW w:w="437" w:type="dxa"/>
          </w:tcPr>
          <w:p w14:paraId="49B3C479" w14:textId="77777777" w:rsidR="008715BE" w:rsidRPr="00EC75B7" w:rsidRDefault="008715BE">
            <w:pPr>
              <w:pStyle w:val="TableParagraph"/>
              <w:spacing w:before="96"/>
              <w:rPr>
                <w:rFonts w:ascii="Verdana" w:hAnsi="Verdana"/>
                <w:b/>
                <w:sz w:val="18"/>
                <w:szCs w:val="18"/>
              </w:rPr>
            </w:pPr>
          </w:p>
          <w:p w14:paraId="10852370" w14:textId="77777777" w:rsidR="008715BE" w:rsidRPr="00EC75B7" w:rsidRDefault="00000000">
            <w:pPr>
              <w:pStyle w:val="TableParagraph"/>
              <w:ind w:left="8"/>
              <w:jc w:val="center"/>
              <w:rPr>
                <w:rFonts w:ascii="Verdana" w:hAnsi="Verdana"/>
                <w:sz w:val="18"/>
                <w:szCs w:val="18"/>
              </w:rPr>
            </w:pPr>
            <w:r w:rsidRPr="00EC75B7">
              <w:rPr>
                <w:rFonts w:ascii="Verdana" w:hAnsi="Verdana"/>
                <w:spacing w:val="-5"/>
                <w:sz w:val="18"/>
                <w:szCs w:val="18"/>
              </w:rPr>
              <w:t>Yes</w:t>
            </w:r>
          </w:p>
        </w:tc>
        <w:tc>
          <w:tcPr>
            <w:tcW w:w="704" w:type="dxa"/>
          </w:tcPr>
          <w:p w14:paraId="5EAD2C1E" w14:textId="77777777" w:rsidR="008715BE" w:rsidRPr="00EC75B7" w:rsidRDefault="008715BE">
            <w:pPr>
              <w:pStyle w:val="TableParagraph"/>
              <w:spacing w:before="96"/>
              <w:rPr>
                <w:rFonts w:ascii="Verdana" w:hAnsi="Verdana"/>
                <w:b/>
                <w:sz w:val="18"/>
                <w:szCs w:val="18"/>
              </w:rPr>
            </w:pPr>
          </w:p>
          <w:p w14:paraId="34827016" w14:textId="77777777" w:rsidR="008715BE" w:rsidRPr="00EC75B7" w:rsidRDefault="00000000">
            <w:pPr>
              <w:pStyle w:val="TableParagraph"/>
              <w:ind w:left="1"/>
              <w:jc w:val="center"/>
              <w:rPr>
                <w:rFonts w:ascii="Verdana" w:hAnsi="Verdana"/>
                <w:sz w:val="18"/>
                <w:szCs w:val="18"/>
              </w:rPr>
            </w:pPr>
            <w:r w:rsidRPr="00EC75B7">
              <w:rPr>
                <w:rFonts w:ascii="Verdana" w:hAnsi="Verdana"/>
                <w:spacing w:val="-2"/>
                <w:sz w:val="18"/>
                <w:szCs w:val="18"/>
              </w:rPr>
              <w:t>Long</w:t>
            </w:r>
          </w:p>
        </w:tc>
        <w:tc>
          <w:tcPr>
            <w:tcW w:w="1186" w:type="dxa"/>
          </w:tcPr>
          <w:p w14:paraId="0B12D922" w14:textId="77777777" w:rsidR="008715BE" w:rsidRPr="00EC75B7" w:rsidRDefault="008715BE">
            <w:pPr>
              <w:pStyle w:val="TableParagraph"/>
              <w:spacing w:before="96"/>
              <w:rPr>
                <w:rFonts w:ascii="Verdana" w:hAnsi="Verdana"/>
                <w:b/>
                <w:sz w:val="18"/>
                <w:szCs w:val="18"/>
              </w:rPr>
            </w:pPr>
          </w:p>
          <w:p w14:paraId="6D20985C" w14:textId="77777777" w:rsidR="008715BE" w:rsidRPr="00EC75B7" w:rsidRDefault="00000000">
            <w:pPr>
              <w:pStyle w:val="TableParagraph"/>
              <w:ind w:left="105"/>
              <w:rPr>
                <w:rFonts w:ascii="Verdana" w:hAnsi="Verdana"/>
                <w:sz w:val="18"/>
                <w:szCs w:val="18"/>
              </w:rPr>
            </w:pPr>
            <w:r w:rsidRPr="00EC75B7">
              <w:rPr>
                <w:rFonts w:ascii="Verdana" w:hAnsi="Verdana"/>
                <w:spacing w:val="-2"/>
                <w:sz w:val="18"/>
                <w:szCs w:val="18"/>
              </w:rPr>
              <w:t>Continuous</w:t>
            </w:r>
          </w:p>
        </w:tc>
        <w:tc>
          <w:tcPr>
            <w:tcW w:w="723" w:type="dxa"/>
          </w:tcPr>
          <w:p w14:paraId="1681E54E" w14:textId="77777777" w:rsidR="008715BE" w:rsidRPr="00EC75B7" w:rsidRDefault="008715BE">
            <w:pPr>
              <w:pStyle w:val="TableParagraph"/>
              <w:spacing w:before="96"/>
              <w:rPr>
                <w:rFonts w:ascii="Verdana" w:hAnsi="Verdana"/>
                <w:b/>
                <w:sz w:val="18"/>
                <w:szCs w:val="18"/>
              </w:rPr>
            </w:pPr>
          </w:p>
          <w:p w14:paraId="104699C3" w14:textId="77777777" w:rsidR="008715BE" w:rsidRPr="00EC75B7" w:rsidRDefault="00000000">
            <w:pPr>
              <w:pStyle w:val="TableParagraph"/>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7F8578B2"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2" w:type="dxa"/>
          </w:tcPr>
          <w:p w14:paraId="3E7440F8" w14:textId="77777777" w:rsidR="008715BE" w:rsidRPr="00EC75B7" w:rsidRDefault="008715BE">
            <w:pPr>
              <w:pStyle w:val="TableParagraph"/>
              <w:spacing w:before="96"/>
              <w:rPr>
                <w:rFonts w:ascii="Verdana" w:hAnsi="Verdana"/>
                <w:b/>
                <w:sz w:val="18"/>
                <w:szCs w:val="18"/>
              </w:rPr>
            </w:pPr>
          </w:p>
          <w:p w14:paraId="0CED5120" w14:textId="77777777" w:rsidR="008715BE" w:rsidRPr="00EC75B7" w:rsidRDefault="00000000">
            <w:pPr>
              <w:pStyle w:val="TableParagraph"/>
              <w:ind w:right="22"/>
              <w:jc w:val="center"/>
              <w:rPr>
                <w:rFonts w:ascii="Verdana" w:hAnsi="Verdana"/>
                <w:sz w:val="18"/>
                <w:szCs w:val="18"/>
              </w:rPr>
            </w:pPr>
            <w:r w:rsidRPr="00EC75B7">
              <w:rPr>
                <w:rFonts w:ascii="Verdana" w:hAnsi="Verdana"/>
                <w:spacing w:val="-2"/>
                <w:sz w:val="18"/>
                <w:szCs w:val="18"/>
              </w:rPr>
              <w:t>Reversible</w:t>
            </w:r>
          </w:p>
        </w:tc>
        <w:tc>
          <w:tcPr>
            <w:tcW w:w="1542" w:type="dxa"/>
          </w:tcPr>
          <w:p w14:paraId="074DE2BD" w14:textId="77777777" w:rsidR="008715BE" w:rsidRPr="00EC75B7" w:rsidRDefault="008715BE">
            <w:pPr>
              <w:pStyle w:val="TableParagraph"/>
              <w:spacing w:before="96"/>
              <w:rPr>
                <w:rFonts w:ascii="Verdana" w:hAnsi="Verdana"/>
                <w:b/>
                <w:sz w:val="18"/>
                <w:szCs w:val="18"/>
              </w:rPr>
            </w:pPr>
          </w:p>
          <w:p w14:paraId="52002348" w14:textId="77777777" w:rsidR="008715BE" w:rsidRPr="00EC75B7" w:rsidRDefault="00000000">
            <w:pPr>
              <w:pStyle w:val="TableParagraph"/>
              <w:ind w:left="102"/>
              <w:rPr>
                <w:rFonts w:ascii="Verdana" w:hAnsi="Verdana"/>
                <w:sz w:val="18"/>
                <w:szCs w:val="18"/>
              </w:rPr>
            </w:pPr>
            <w:r w:rsidRPr="00EC75B7">
              <w:rPr>
                <w:rFonts w:ascii="Verdana" w:hAnsi="Verdana"/>
                <w:spacing w:val="-2"/>
                <w:sz w:val="18"/>
                <w:szCs w:val="18"/>
              </w:rPr>
              <w:t>Insignificant</w:t>
            </w:r>
          </w:p>
        </w:tc>
        <w:tc>
          <w:tcPr>
            <w:tcW w:w="5812" w:type="dxa"/>
          </w:tcPr>
          <w:p w14:paraId="6A566AF4" w14:textId="77777777" w:rsidR="008715BE" w:rsidRPr="00EC75B7" w:rsidRDefault="00000000">
            <w:pPr>
              <w:pStyle w:val="TableParagraph"/>
              <w:ind w:left="98" w:right="108"/>
              <w:jc w:val="both"/>
              <w:rPr>
                <w:rFonts w:ascii="Verdana" w:hAnsi="Verdana"/>
                <w:sz w:val="18"/>
                <w:szCs w:val="18"/>
              </w:rPr>
            </w:pPr>
            <w:r w:rsidRPr="00EC75B7">
              <w:rPr>
                <w:rFonts w:ascii="Verdana" w:hAnsi="Verdana"/>
                <w:sz w:val="18"/>
                <w:szCs w:val="18"/>
              </w:rPr>
              <w:t>The noise level generated during operation remains below the permissible limits in residential areas, given the distance from</w:t>
            </w:r>
            <w:r w:rsidRPr="00EC75B7">
              <w:rPr>
                <w:rFonts w:ascii="Verdana" w:hAnsi="Verdana"/>
                <w:spacing w:val="27"/>
                <w:sz w:val="18"/>
                <w:szCs w:val="18"/>
              </w:rPr>
              <w:t xml:space="preserve">  </w:t>
            </w:r>
            <w:r w:rsidRPr="00EC75B7">
              <w:rPr>
                <w:rFonts w:ascii="Verdana" w:hAnsi="Verdana"/>
                <w:sz w:val="18"/>
                <w:szCs w:val="18"/>
              </w:rPr>
              <w:t xml:space="preserve"> receptors</w:t>
            </w:r>
            <w:r w:rsidRPr="00EC75B7">
              <w:rPr>
                <w:rFonts w:ascii="Verdana" w:hAnsi="Verdana"/>
                <w:spacing w:val="27"/>
                <w:sz w:val="18"/>
                <w:szCs w:val="18"/>
              </w:rPr>
              <w:t xml:space="preserve">  </w:t>
            </w:r>
            <w:r w:rsidRPr="00EC75B7">
              <w:rPr>
                <w:rFonts w:ascii="Verdana" w:hAnsi="Verdana"/>
                <w:sz w:val="18"/>
                <w:szCs w:val="18"/>
              </w:rPr>
              <w:t xml:space="preserve"> sensitive</w:t>
            </w:r>
            <w:r w:rsidRPr="00EC75B7">
              <w:rPr>
                <w:rFonts w:ascii="Verdana" w:hAnsi="Verdana"/>
                <w:spacing w:val="28"/>
                <w:sz w:val="18"/>
                <w:szCs w:val="18"/>
              </w:rPr>
              <w:t xml:space="preserve">  </w:t>
            </w:r>
            <w:r w:rsidRPr="00EC75B7">
              <w:rPr>
                <w:rFonts w:ascii="Verdana" w:hAnsi="Verdana"/>
                <w:sz w:val="18"/>
                <w:szCs w:val="18"/>
              </w:rPr>
              <w:t xml:space="preserve"> and</w:t>
            </w:r>
            <w:r w:rsidRPr="00EC75B7">
              <w:rPr>
                <w:rFonts w:ascii="Verdana" w:hAnsi="Verdana"/>
                <w:spacing w:val="28"/>
                <w:sz w:val="18"/>
                <w:szCs w:val="18"/>
              </w:rPr>
              <w:t xml:space="preserve">  </w:t>
            </w:r>
            <w:r w:rsidRPr="00EC75B7">
              <w:rPr>
                <w:rFonts w:ascii="Verdana" w:hAnsi="Verdana"/>
                <w:sz w:val="18"/>
                <w:szCs w:val="18"/>
              </w:rPr>
              <w:t xml:space="preserve"> continuous monitoring</w:t>
            </w:r>
            <w:r w:rsidRPr="00EC75B7">
              <w:rPr>
                <w:rFonts w:ascii="Verdana" w:hAnsi="Verdana"/>
                <w:spacing w:val="26"/>
                <w:sz w:val="18"/>
                <w:szCs w:val="18"/>
              </w:rPr>
              <w:t xml:space="preserve">  </w:t>
            </w:r>
            <w:r w:rsidRPr="00EC75B7">
              <w:rPr>
                <w:rFonts w:ascii="Verdana" w:hAnsi="Verdana"/>
                <w:sz w:val="18"/>
                <w:szCs w:val="18"/>
              </w:rPr>
              <w:t xml:space="preserve"> </w:t>
            </w:r>
            <w:r w:rsidRPr="00EC75B7">
              <w:rPr>
                <w:rFonts w:ascii="Verdana" w:hAnsi="Verdana"/>
                <w:spacing w:val="28"/>
                <w:sz w:val="18"/>
                <w:szCs w:val="18"/>
              </w:rPr>
              <w:t xml:space="preserve">  </w:t>
            </w:r>
            <w:r w:rsidRPr="00EC75B7">
              <w:rPr>
                <w:rFonts w:ascii="Verdana" w:hAnsi="Verdana"/>
                <w:sz w:val="18"/>
                <w:szCs w:val="18"/>
              </w:rPr>
              <w:t xml:space="preserve"> of</w:t>
            </w:r>
            <w:r w:rsidRPr="00EC75B7">
              <w:rPr>
                <w:rFonts w:ascii="Verdana" w:hAnsi="Verdana"/>
                <w:spacing w:val="28"/>
                <w:sz w:val="18"/>
                <w:szCs w:val="18"/>
              </w:rPr>
              <w:t xml:space="preserve">  </w:t>
            </w:r>
            <w:r w:rsidRPr="00EC75B7">
              <w:rPr>
                <w:rFonts w:ascii="Verdana" w:hAnsi="Verdana"/>
                <w:spacing w:val="-2"/>
                <w:sz w:val="18"/>
                <w:szCs w:val="18"/>
              </w:rPr>
              <w:t xml:space="preserve"> acoustic parameters</w:t>
            </w:r>
          </w:p>
          <w:p w14:paraId="1051FEC4" w14:textId="77777777" w:rsidR="008715BE" w:rsidRPr="00EC75B7" w:rsidRDefault="00000000">
            <w:pPr>
              <w:pStyle w:val="TableParagraph"/>
              <w:spacing w:line="172" w:lineRule="exact"/>
              <w:ind w:left="98"/>
              <w:rPr>
                <w:rFonts w:ascii="Verdana" w:hAnsi="Verdana"/>
                <w:sz w:val="18"/>
                <w:szCs w:val="18"/>
              </w:rPr>
            </w:pPr>
            <w:r w:rsidRPr="00EC75B7">
              <w:rPr>
                <w:rFonts w:ascii="Verdana" w:hAnsi="Verdana"/>
                <w:spacing w:val="-2"/>
                <w:sz w:val="18"/>
                <w:szCs w:val="18"/>
              </w:rPr>
              <w:t>acoustic parameters.</w:t>
            </w:r>
          </w:p>
        </w:tc>
      </w:tr>
      <w:tr w:rsidR="008715BE" w:rsidRPr="00EC75B7" w14:paraId="79BFE265" w14:textId="77777777">
        <w:trPr>
          <w:trHeight w:val="582"/>
        </w:trPr>
        <w:tc>
          <w:tcPr>
            <w:tcW w:w="725" w:type="dxa"/>
            <w:vMerge/>
            <w:tcBorders>
              <w:top w:val="nil"/>
            </w:tcBorders>
            <w:textDirection w:val="btLr"/>
          </w:tcPr>
          <w:p w14:paraId="139FF5C6" w14:textId="77777777" w:rsidR="008715BE" w:rsidRPr="00EC75B7" w:rsidRDefault="008715BE">
            <w:pPr>
              <w:rPr>
                <w:rFonts w:ascii="Verdana" w:hAnsi="Verdana"/>
                <w:sz w:val="18"/>
                <w:szCs w:val="18"/>
              </w:rPr>
            </w:pPr>
          </w:p>
        </w:tc>
        <w:tc>
          <w:tcPr>
            <w:tcW w:w="2122" w:type="dxa"/>
            <w:vMerge/>
            <w:tcBorders>
              <w:top w:val="nil"/>
            </w:tcBorders>
          </w:tcPr>
          <w:p w14:paraId="7AA46379" w14:textId="77777777" w:rsidR="008715BE" w:rsidRPr="00EC75B7" w:rsidRDefault="008715BE">
            <w:pPr>
              <w:rPr>
                <w:rFonts w:ascii="Verdana" w:hAnsi="Verdana"/>
                <w:sz w:val="18"/>
                <w:szCs w:val="18"/>
              </w:rPr>
            </w:pPr>
          </w:p>
        </w:tc>
        <w:tc>
          <w:tcPr>
            <w:tcW w:w="2556" w:type="dxa"/>
          </w:tcPr>
          <w:p w14:paraId="0F892227" w14:textId="77777777" w:rsidR="008715BE" w:rsidRPr="00EC75B7" w:rsidRDefault="00000000">
            <w:pPr>
              <w:pStyle w:val="TableParagraph"/>
              <w:tabs>
                <w:tab w:val="left" w:pos="1064"/>
                <w:tab w:val="left" w:pos="1815"/>
              </w:tabs>
              <w:spacing w:line="194" w:lineRule="exact"/>
              <w:ind w:left="107"/>
              <w:rPr>
                <w:rFonts w:ascii="Verdana" w:hAnsi="Verdana"/>
                <w:sz w:val="18"/>
                <w:szCs w:val="18"/>
              </w:rPr>
            </w:pPr>
            <w:r w:rsidRPr="00EC75B7">
              <w:rPr>
                <w:rFonts w:ascii="Verdana" w:hAnsi="Verdana"/>
                <w:spacing w:val="-4"/>
                <w:sz w:val="18"/>
                <w:szCs w:val="18"/>
              </w:rPr>
              <w:t>Effect</w:t>
            </w:r>
            <w:r w:rsidRPr="00EC75B7">
              <w:rPr>
                <w:rFonts w:ascii="Verdana" w:hAnsi="Verdana"/>
                <w:sz w:val="18"/>
                <w:szCs w:val="18"/>
              </w:rPr>
              <w:tab/>
            </w:r>
            <w:r w:rsidRPr="00EC75B7">
              <w:rPr>
                <w:rFonts w:ascii="Verdana" w:hAnsi="Verdana"/>
                <w:spacing w:val="-5"/>
                <w:sz w:val="18"/>
                <w:szCs w:val="18"/>
              </w:rPr>
              <w:t>of</w:t>
            </w:r>
            <w:r w:rsidRPr="00EC75B7">
              <w:rPr>
                <w:rFonts w:ascii="Verdana" w:hAnsi="Verdana"/>
                <w:sz w:val="18"/>
                <w:szCs w:val="18"/>
              </w:rPr>
              <w:tab/>
            </w:r>
            <w:r w:rsidRPr="00EC75B7">
              <w:rPr>
                <w:rFonts w:ascii="Verdana" w:hAnsi="Verdana"/>
                <w:spacing w:val="-2"/>
                <w:sz w:val="18"/>
                <w:szCs w:val="18"/>
              </w:rPr>
              <w:t>shadow</w:t>
            </w:r>
          </w:p>
          <w:p w14:paraId="1AEFFC2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(shadow </w:t>
            </w:r>
            <w:r w:rsidRPr="00EC75B7">
              <w:rPr>
                <w:rFonts w:ascii="Verdana" w:hAnsi="Verdana"/>
                <w:spacing w:val="-2"/>
                <w:sz w:val="18"/>
                <w:szCs w:val="18"/>
              </w:rPr>
              <w:t>flicker)</w:t>
            </w:r>
          </w:p>
        </w:tc>
        <w:tc>
          <w:tcPr>
            <w:tcW w:w="2348" w:type="dxa"/>
          </w:tcPr>
          <w:p w14:paraId="03A815D2" w14:textId="77777777" w:rsidR="008715BE" w:rsidRPr="00EC75B7" w:rsidRDefault="00000000">
            <w:pPr>
              <w:pStyle w:val="TableParagraph"/>
              <w:tabs>
                <w:tab w:val="left" w:pos="1088"/>
                <w:tab w:val="left" w:pos="2143"/>
              </w:tabs>
              <w:spacing w:line="194" w:lineRule="exact"/>
              <w:ind w:left="107"/>
              <w:rPr>
                <w:rFonts w:ascii="Verdana" w:hAnsi="Verdana"/>
                <w:sz w:val="18"/>
                <w:szCs w:val="18"/>
              </w:rPr>
            </w:pP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10"/>
                <w:sz w:val="18"/>
                <w:szCs w:val="18"/>
              </w:rPr>
              <w:t>of</w:t>
            </w:r>
          </w:p>
          <w:p w14:paraId="6259C39F"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visual </w:t>
            </w:r>
            <w:r w:rsidRPr="00EC75B7">
              <w:rPr>
                <w:rFonts w:ascii="Verdana" w:hAnsi="Verdana"/>
                <w:sz w:val="18"/>
                <w:szCs w:val="18"/>
              </w:rPr>
              <w:t>comfort</w:t>
            </w:r>
          </w:p>
        </w:tc>
        <w:tc>
          <w:tcPr>
            <w:tcW w:w="927" w:type="dxa"/>
          </w:tcPr>
          <w:p w14:paraId="28B29CA8" w14:textId="77777777" w:rsidR="008715BE" w:rsidRPr="00EC75B7" w:rsidRDefault="00000000">
            <w:pPr>
              <w:pStyle w:val="TableParagraph"/>
              <w:spacing w:line="195" w:lineRule="exact"/>
              <w:ind w:left="89" w:right="81"/>
              <w:jc w:val="center"/>
              <w:rPr>
                <w:rFonts w:ascii="Verdana" w:hAnsi="Verdana"/>
                <w:sz w:val="18"/>
                <w:szCs w:val="18"/>
              </w:rPr>
            </w:pPr>
            <w:r w:rsidRPr="00EC75B7">
              <w:rPr>
                <w:rFonts w:ascii="Verdana" w:hAnsi="Verdana"/>
                <w:spacing w:val="-2"/>
                <w:sz w:val="18"/>
                <w:szCs w:val="18"/>
              </w:rPr>
              <w:t>Negative</w:t>
            </w:r>
          </w:p>
        </w:tc>
        <w:tc>
          <w:tcPr>
            <w:tcW w:w="838" w:type="dxa"/>
          </w:tcPr>
          <w:p w14:paraId="6730901A" w14:textId="77777777" w:rsidR="008715BE" w:rsidRPr="00EC75B7" w:rsidRDefault="00000000">
            <w:pPr>
              <w:pStyle w:val="TableParagraph"/>
              <w:spacing w:before="193"/>
              <w:ind w:left="104"/>
              <w:rPr>
                <w:rFonts w:ascii="Verdana" w:hAnsi="Verdana"/>
                <w:sz w:val="18"/>
                <w:szCs w:val="18"/>
              </w:rPr>
            </w:pPr>
            <w:r w:rsidRPr="00EC75B7">
              <w:rPr>
                <w:rFonts w:ascii="Verdana" w:hAnsi="Verdana"/>
                <w:spacing w:val="-2"/>
                <w:sz w:val="18"/>
                <w:szCs w:val="18"/>
              </w:rPr>
              <w:t>Direct</w:t>
            </w:r>
          </w:p>
        </w:tc>
        <w:tc>
          <w:tcPr>
            <w:tcW w:w="437" w:type="dxa"/>
          </w:tcPr>
          <w:p w14:paraId="4D1522B1" w14:textId="77777777" w:rsidR="008715BE" w:rsidRPr="00EC75B7" w:rsidRDefault="00000000">
            <w:pPr>
              <w:pStyle w:val="TableParagraph"/>
              <w:spacing w:before="193"/>
              <w:ind w:left="8"/>
              <w:jc w:val="center"/>
              <w:rPr>
                <w:rFonts w:ascii="Verdana" w:hAnsi="Verdana"/>
                <w:sz w:val="18"/>
                <w:szCs w:val="18"/>
              </w:rPr>
            </w:pPr>
            <w:r w:rsidRPr="00EC75B7">
              <w:rPr>
                <w:rFonts w:ascii="Verdana" w:hAnsi="Verdana"/>
                <w:spacing w:val="-5"/>
                <w:sz w:val="18"/>
                <w:szCs w:val="18"/>
              </w:rPr>
              <w:t>Yes</w:t>
            </w:r>
          </w:p>
        </w:tc>
        <w:tc>
          <w:tcPr>
            <w:tcW w:w="704" w:type="dxa"/>
          </w:tcPr>
          <w:p w14:paraId="3EE0B3B2" w14:textId="77777777" w:rsidR="008715BE" w:rsidRPr="00EC75B7" w:rsidRDefault="00000000">
            <w:pPr>
              <w:pStyle w:val="TableParagraph"/>
              <w:spacing w:before="193"/>
              <w:ind w:left="1"/>
              <w:jc w:val="center"/>
              <w:rPr>
                <w:rFonts w:ascii="Verdana" w:hAnsi="Verdana"/>
                <w:sz w:val="18"/>
                <w:szCs w:val="18"/>
              </w:rPr>
            </w:pPr>
            <w:r w:rsidRPr="00EC75B7">
              <w:rPr>
                <w:rFonts w:ascii="Verdana" w:hAnsi="Verdana"/>
                <w:spacing w:val="-2"/>
                <w:sz w:val="18"/>
                <w:szCs w:val="18"/>
              </w:rPr>
              <w:t>Long</w:t>
            </w:r>
          </w:p>
        </w:tc>
        <w:tc>
          <w:tcPr>
            <w:tcW w:w="1186" w:type="dxa"/>
          </w:tcPr>
          <w:p w14:paraId="4D5A93DF"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Occasional</w:t>
            </w:r>
          </w:p>
        </w:tc>
        <w:tc>
          <w:tcPr>
            <w:tcW w:w="723" w:type="dxa"/>
          </w:tcPr>
          <w:p w14:paraId="26E7B48B" w14:textId="77777777" w:rsidR="008715BE" w:rsidRPr="00EC75B7" w:rsidRDefault="00000000">
            <w:pPr>
              <w:pStyle w:val="TableParagraph"/>
              <w:spacing w:before="193"/>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22060CDE" w14:textId="77777777" w:rsidR="008715BE" w:rsidRPr="00EC75B7" w:rsidRDefault="00000000">
            <w:pPr>
              <w:pStyle w:val="TableParagraph"/>
              <w:spacing w:before="97"/>
              <w:ind w:left="102"/>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2" w:type="dxa"/>
          </w:tcPr>
          <w:p w14:paraId="5D28685A" w14:textId="77777777" w:rsidR="008715BE" w:rsidRPr="00EC75B7" w:rsidRDefault="00000000">
            <w:pPr>
              <w:pStyle w:val="TableParagraph"/>
              <w:spacing w:before="193"/>
              <w:ind w:right="22"/>
              <w:jc w:val="center"/>
              <w:rPr>
                <w:rFonts w:ascii="Verdana" w:hAnsi="Verdana"/>
                <w:sz w:val="18"/>
                <w:szCs w:val="18"/>
              </w:rPr>
            </w:pPr>
            <w:r w:rsidRPr="00EC75B7">
              <w:rPr>
                <w:rFonts w:ascii="Verdana" w:hAnsi="Verdana"/>
                <w:spacing w:val="-2"/>
                <w:sz w:val="18"/>
                <w:szCs w:val="18"/>
              </w:rPr>
              <w:t>Reversible</w:t>
            </w:r>
          </w:p>
        </w:tc>
        <w:tc>
          <w:tcPr>
            <w:tcW w:w="1542" w:type="dxa"/>
          </w:tcPr>
          <w:p w14:paraId="72383E60"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Insignificant</w:t>
            </w:r>
          </w:p>
        </w:tc>
        <w:tc>
          <w:tcPr>
            <w:tcW w:w="5812" w:type="dxa"/>
          </w:tcPr>
          <w:p w14:paraId="72BDE87A" w14:textId="77777777" w:rsidR="008715BE" w:rsidRPr="00EC75B7" w:rsidRDefault="00000000">
            <w:pPr>
              <w:pStyle w:val="TableParagraph"/>
              <w:ind w:left="98" w:right="14"/>
              <w:rPr>
                <w:rFonts w:ascii="Verdana" w:hAnsi="Verdana"/>
                <w:sz w:val="18"/>
                <w:szCs w:val="18"/>
              </w:rPr>
            </w:pPr>
            <w:r w:rsidRPr="00EC75B7">
              <w:rPr>
                <w:rFonts w:ascii="Verdana" w:hAnsi="Verdana"/>
                <w:sz w:val="18"/>
                <w:szCs w:val="18"/>
              </w:rPr>
              <w:t xml:space="preserve">The shadow effect is limited in duration and intensity, being controlled by operational management measures, with no </w:t>
            </w:r>
            <w:r w:rsidRPr="00EC75B7">
              <w:rPr>
                <w:rFonts w:ascii="Verdana" w:hAnsi="Verdana"/>
                <w:spacing w:val="-2"/>
                <w:sz w:val="18"/>
                <w:szCs w:val="18"/>
              </w:rPr>
              <w:t xml:space="preserve">significant </w:t>
            </w:r>
            <w:r w:rsidRPr="00EC75B7">
              <w:rPr>
                <w:rFonts w:ascii="Verdana" w:hAnsi="Verdana"/>
                <w:sz w:val="18"/>
                <w:szCs w:val="18"/>
              </w:rPr>
              <w:t>impact</w:t>
            </w:r>
          </w:p>
          <w:p w14:paraId="7A8C770B" w14:textId="77777777" w:rsidR="008715BE" w:rsidRPr="00EC75B7" w:rsidRDefault="00000000">
            <w:pPr>
              <w:pStyle w:val="TableParagraph"/>
              <w:spacing w:line="173" w:lineRule="exact"/>
              <w:ind w:left="98"/>
              <w:rPr>
                <w:rFonts w:ascii="Verdana" w:hAnsi="Verdana"/>
                <w:sz w:val="18"/>
                <w:szCs w:val="18"/>
              </w:rPr>
            </w:pPr>
            <w:r w:rsidRPr="00EC75B7">
              <w:rPr>
                <w:rFonts w:ascii="Verdana" w:hAnsi="Verdana"/>
                <w:sz w:val="18"/>
                <w:szCs w:val="18"/>
              </w:rPr>
              <w:t xml:space="preserve">on the quality of life of </w:t>
            </w:r>
            <w:r w:rsidRPr="00EC75B7">
              <w:rPr>
                <w:rFonts w:ascii="Verdana" w:hAnsi="Verdana"/>
                <w:spacing w:val="-2"/>
                <w:sz w:val="18"/>
                <w:szCs w:val="18"/>
              </w:rPr>
              <w:t>the population.</w:t>
            </w:r>
          </w:p>
        </w:tc>
      </w:tr>
      <w:tr w:rsidR="008715BE" w:rsidRPr="00EC75B7" w14:paraId="3DB7448E" w14:textId="77777777">
        <w:trPr>
          <w:trHeight w:val="585"/>
        </w:trPr>
        <w:tc>
          <w:tcPr>
            <w:tcW w:w="725" w:type="dxa"/>
            <w:vMerge/>
            <w:tcBorders>
              <w:top w:val="nil"/>
            </w:tcBorders>
            <w:textDirection w:val="btLr"/>
          </w:tcPr>
          <w:p w14:paraId="515D3134" w14:textId="77777777" w:rsidR="008715BE" w:rsidRPr="00EC75B7" w:rsidRDefault="008715BE">
            <w:pPr>
              <w:rPr>
                <w:rFonts w:ascii="Verdana" w:hAnsi="Verdana"/>
                <w:sz w:val="18"/>
                <w:szCs w:val="18"/>
              </w:rPr>
            </w:pPr>
          </w:p>
        </w:tc>
        <w:tc>
          <w:tcPr>
            <w:tcW w:w="2122" w:type="dxa"/>
          </w:tcPr>
          <w:p w14:paraId="7F35831C" w14:textId="05C68567" w:rsidR="008715BE" w:rsidRPr="00EC75B7" w:rsidRDefault="00C96230">
            <w:pPr>
              <w:pStyle w:val="TableParagraph"/>
              <w:spacing w:before="1" w:line="195" w:lineRule="exact"/>
              <w:ind w:left="105"/>
              <w:rPr>
                <w:rFonts w:ascii="Verdana" w:hAnsi="Verdana"/>
                <w:sz w:val="18"/>
                <w:szCs w:val="18"/>
              </w:rPr>
            </w:pPr>
            <w:r>
              <w:rPr>
                <w:rFonts w:ascii="Verdana" w:hAnsi="Verdana"/>
                <w:spacing w:val="30"/>
                <w:sz w:val="18"/>
                <w:szCs w:val="18"/>
              </w:rPr>
              <w:t>A</w:t>
            </w:r>
            <w:r w:rsidRPr="00EC75B7">
              <w:rPr>
                <w:rFonts w:ascii="Verdana" w:hAnsi="Verdana"/>
                <w:sz w:val="18"/>
                <w:szCs w:val="18"/>
              </w:rPr>
              <w:t>ctual activity</w:t>
            </w:r>
            <w:r w:rsidRPr="00EC75B7">
              <w:rPr>
                <w:rFonts w:ascii="Verdana" w:hAnsi="Verdana"/>
                <w:spacing w:val="30"/>
                <w:sz w:val="18"/>
                <w:szCs w:val="18"/>
              </w:rPr>
              <w:t xml:space="preserve">  </w:t>
            </w:r>
            <w:r w:rsidRPr="00EC75B7">
              <w:rPr>
                <w:rFonts w:ascii="Verdana" w:hAnsi="Verdana"/>
                <w:spacing w:val="-10"/>
                <w:sz w:val="18"/>
                <w:szCs w:val="18"/>
              </w:rPr>
              <w:t xml:space="preserve"> of the</w:t>
            </w:r>
          </w:p>
          <w:p w14:paraId="42F3C69A"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wind </w:t>
            </w:r>
            <w:r w:rsidRPr="00EC75B7">
              <w:rPr>
                <w:rFonts w:ascii="Verdana" w:hAnsi="Verdana"/>
                <w:sz w:val="18"/>
                <w:szCs w:val="18"/>
              </w:rPr>
              <w:t>farm</w:t>
            </w:r>
          </w:p>
        </w:tc>
        <w:tc>
          <w:tcPr>
            <w:tcW w:w="2556" w:type="dxa"/>
          </w:tcPr>
          <w:p w14:paraId="1D16DE7C"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 xml:space="preserve">Visual presence of </w:t>
            </w:r>
            <w:r w:rsidRPr="00EC75B7">
              <w:rPr>
                <w:rFonts w:ascii="Verdana" w:hAnsi="Verdana"/>
                <w:spacing w:val="-2"/>
                <w:sz w:val="18"/>
                <w:szCs w:val="18"/>
              </w:rPr>
              <w:t>turbines</w:t>
            </w:r>
          </w:p>
        </w:tc>
        <w:tc>
          <w:tcPr>
            <w:tcW w:w="2348" w:type="dxa"/>
          </w:tcPr>
          <w:p w14:paraId="1161FB0A"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 xml:space="preserve">Landscape </w:t>
            </w:r>
            <w:r w:rsidRPr="00EC75B7">
              <w:rPr>
                <w:rFonts w:ascii="Verdana" w:hAnsi="Verdana"/>
                <w:sz w:val="18"/>
                <w:szCs w:val="18"/>
              </w:rPr>
              <w:t>modification</w:t>
            </w:r>
          </w:p>
        </w:tc>
        <w:tc>
          <w:tcPr>
            <w:tcW w:w="927" w:type="dxa"/>
          </w:tcPr>
          <w:p w14:paraId="76E866C0" w14:textId="77777777" w:rsidR="008715BE" w:rsidRPr="00EC75B7" w:rsidRDefault="00000000">
            <w:pPr>
              <w:pStyle w:val="TableParagraph"/>
              <w:spacing w:before="1"/>
              <w:ind w:left="89" w:right="81"/>
              <w:jc w:val="center"/>
              <w:rPr>
                <w:rFonts w:ascii="Verdana" w:hAnsi="Verdana"/>
                <w:sz w:val="18"/>
                <w:szCs w:val="18"/>
              </w:rPr>
            </w:pPr>
            <w:r w:rsidRPr="00EC75B7">
              <w:rPr>
                <w:rFonts w:ascii="Verdana" w:hAnsi="Verdana"/>
                <w:spacing w:val="-2"/>
                <w:sz w:val="18"/>
                <w:szCs w:val="18"/>
              </w:rPr>
              <w:t>Negative</w:t>
            </w:r>
          </w:p>
        </w:tc>
        <w:tc>
          <w:tcPr>
            <w:tcW w:w="838" w:type="dxa"/>
          </w:tcPr>
          <w:p w14:paraId="4CBAD5D3" w14:textId="77777777" w:rsidR="008715BE" w:rsidRPr="00EC75B7" w:rsidRDefault="008715BE">
            <w:pPr>
              <w:pStyle w:val="TableParagraph"/>
              <w:rPr>
                <w:rFonts w:ascii="Verdana" w:hAnsi="Verdana"/>
                <w:b/>
                <w:sz w:val="18"/>
                <w:szCs w:val="18"/>
              </w:rPr>
            </w:pPr>
          </w:p>
          <w:p w14:paraId="36A9E615" w14:textId="77777777" w:rsidR="008715BE" w:rsidRPr="00EC75B7" w:rsidRDefault="00000000">
            <w:pPr>
              <w:pStyle w:val="TableParagraph"/>
              <w:ind w:left="104"/>
              <w:rPr>
                <w:rFonts w:ascii="Verdana" w:hAnsi="Verdana"/>
                <w:sz w:val="18"/>
                <w:szCs w:val="18"/>
              </w:rPr>
            </w:pPr>
            <w:r w:rsidRPr="00EC75B7">
              <w:rPr>
                <w:rFonts w:ascii="Verdana" w:hAnsi="Verdana"/>
                <w:spacing w:val="-2"/>
                <w:sz w:val="18"/>
                <w:szCs w:val="18"/>
              </w:rPr>
              <w:t>Indirect</w:t>
            </w:r>
          </w:p>
        </w:tc>
        <w:tc>
          <w:tcPr>
            <w:tcW w:w="437" w:type="dxa"/>
          </w:tcPr>
          <w:p w14:paraId="2EEC72B8" w14:textId="77777777" w:rsidR="008715BE" w:rsidRPr="00EC75B7" w:rsidRDefault="008715BE">
            <w:pPr>
              <w:pStyle w:val="TableParagraph"/>
              <w:rPr>
                <w:rFonts w:ascii="Verdana" w:hAnsi="Verdana"/>
                <w:b/>
                <w:sz w:val="18"/>
                <w:szCs w:val="18"/>
              </w:rPr>
            </w:pPr>
          </w:p>
          <w:p w14:paraId="3FF9D46F" w14:textId="77777777" w:rsidR="008715BE" w:rsidRPr="00EC75B7" w:rsidRDefault="00000000">
            <w:pPr>
              <w:pStyle w:val="TableParagraph"/>
              <w:ind w:left="8"/>
              <w:jc w:val="center"/>
              <w:rPr>
                <w:rFonts w:ascii="Verdana" w:hAnsi="Verdana"/>
                <w:sz w:val="18"/>
                <w:szCs w:val="18"/>
              </w:rPr>
            </w:pPr>
            <w:r w:rsidRPr="00EC75B7">
              <w:rPr>
                <w:rFonts w:ascii="Verdana" w:hAnsi="Verdana"/>
                <w:spacing w:val="-5"/>
                <w:sz w:val="18"/>
                <w:szCs w:val="18"/>
              </w:rPr>
              <w:t>Yes</w:t>
            </w:r>
          </w:p>
        </w:tc>
        <w:tc>
          <w:tcPr>
            <w:tcW w:w="704" w:type="dxa"/>
          </w:tcPr>
          <w:p w14:paraId="6E578D20" w14:textId="77777777" w:rsidR="008715BE" w:rsidRPr="00EC75B7" w:rsidRDefault="008715BE">
            <w:pPr>
              <w:pStyle w:val="TableParagraph"/>
              <w:rPr>
                <w:rFonts w:ascii="Verdana" w:hAnsi="Verdana"/>
                <w:b/>
                <w:sz w:val="18"/>
                <w:szCs w:val="18"/>
              </w:rPr>
            </w:pPr>
          </w:p>
          <w:p w14:paraId="2FCDE68F" w14:textId="77777777" w:rsidR="008715BE" w:rsidRPr="00EC75B7" w:rsidRDefault="00000000">
            <w:pPr>
              <w:pStyle w:val="TableParagraph"/>
              <w:ind w:left="1"/>
              <w:jc w:val="center"/>
              <w:rPr>
                <w:rFonts w:ascii="Verdana" w:hAnsi="Verdana"/>
                <w:sz w:val="18"/>
                <w:szCs w:val="18"/>
              </w:rPr>
            </w:pPr>
            <w:r w:rsidRPr="00EC75B7">
              <w:rPr>
                <w:rFonts w:ascii="Verdana" w:hAnsi="Verdana"/>
                <w:spacing w:val="-2"/>
                <w:sz w:val="18"/>
                <w:szCs w:val="18"/>
              </w:rPr>
              <w:t>Long</w:t>
            </w:r>
          </w:p>
        </w:tc>
        <w:tc>
          <w:tcPr>
            <w:tcW w:w="1186" w:type="dxa"/>
          </w:tcPr>
          <w:p w14:paraId="0912BF04" w14:textId="77777777" w:rsidR="008715BE" w:rsidRPr="00EC75B7" w:rsidRDefault="008715BE">
            <w:pPr>
              <w:pStyle w:val="TableParagraph"/>
              <w:rPr>
                <w:rFonts w:ascii="Verdana" w:hAnsi="Verdana"/>
                <w:b/>
                <w:sz w:val="18"/>
                <w:szCs w:val="18"/>
              </w:rPr>
            </w:pPr>
          </w:p>
          <w:p w14:paraId="2F369F5F" w14:textId="77777777" w:rsidR="008715BE" w:rsidRPr="00EC75B7" w:rsidRDefault="00000000">
            <w:pPr>
              <w:pStyle w:val="TableParagraph"/>
              <w:ind w:left="105"/>
              <w:rPr>
                <w:rFonts w:ascii="Verdana" w:hAnsi="Verdana"/>
                <w:sz w:val="18"/>
                <w:szCs w:val="18"/>
              </w:rPr>
            </w:pPr>
            <w:r w:rsidRPr="00EC75B7">
              <w:rPr>
                <w:rFonts w:ascii="Verdana" w:hAnsi="Verdana"/>
                <w:spacing w:val="-2"/>
                <w:sz w:val="18"/>
                <w:szCs w:val="18"/>
              </w:rPr>
              <w:t>Permanent</w:t>
            </w:r>
          </w:p>
        </w:tc>
        <w:tc>
          <w:tcPr>
            <w:tcW w:w="723" w:type="dxa"/>
          </w:tcPr>
          <w:p w14:paraId="5D8CCBB6" w14:textId="77777777" w:rsidR="008715BE" w:rsidRPr="00EC75B7" w:rsidRDefault="008715BE">
            <w:pPr>
              <w:pStyle w:val="TableParagraph"/>
              <w:rPr>
                <w:rFonts w:ascii="Verdana" w:hAnsi="Verdana"/>
                <w:b/>
                <w:sz w:val="18"/>
                <w:szCs w:val="18"/>
              </w:rPr>
            </w:pPr>
          </w:p>
          <w:p w14:paraId="7D6FFAE7" w14:textId="77777777" w:rsidR="008715BE" w:rsidRPr="00EC75B7" w:rsidRDefault="00000000">
            <w:pPr>
              <w:pStyle w:val="TableParagraph"/>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4BF95E70" w14:textId="77777777" w:rsidR="008715BE" w:rsidRPr="00EC75B7" w:rsidRDefault="008715BE">
            <w:pPr>
              <w:pStyle w:val="TableParagraph"/>
              <w:rPr>
                <w:rFonts w:ascii="Verdana" w:hAnsi="Verdana"/>
                <w:b/>
                <w:sz w:val="18"/>
                <w:szCs w:val="18"/>
              </w:rPr>
            </w:pPr>
          </w:p>
          <w:p w14:paraId="38A8C588" w14:textId="77777777" w:rsidR="008715BE" w:rsidRPr="00EC75B7" w:rsidRDefault="00000000">
            <w:pPr>
              <w:pStyle w:val="TableParagraph"/>
              <w:ind w:left="102"/>
              <w:rPr>
                <w:rFonts w:ascii="Verdana" w:hAnsi="Verdana"/>
                <w:sz w:val="18"/>
                <w:szCs w:val="18"/>
              </w:rPr>
            </w:pPr>
            <w:r w:rsidRPr="00EC75B7">
              <w:rPr>
                <w:rFonts w:ascii="Verdana" w:hAnsi="Verdana"/>
                <w:spacing w:val="-2"/>
                <w:sz w:val="18"/>
                <w:szCs w:val="18"/>
              </w:rPr>
              <w:t>Probable</w:t>
            </w:r>
          </w:p>
        </w:tc>
        <w:tc>
          <w:tcPr>
            <w:tcW w:w="1022" w:type="dxa"/>
          </w:tcPr>
          <w:p w14:paraId="3DAEB9E3" w14:textId="77777777" w:rsidR="008715BE" w:rsidRPr="00EC75B7" w:rsidRDefault="008715BE">
            <w:pPr>
              <w:pStyle w:val="TableParagraph"/>
              <w:rPr>
                <w:rFonts w:ascii="Verdana" w:hAnsi="Verdana"/>
                <w:b/>
                <w:sz w:val="18"/>
                <w:szCs w:val="18"/>
              </w:rPr>
            </w:pPr>
          </w:p>
          <w:p w14:paraId="731E1E3E" w14:textId="77777777" w:rsidR="008715BE" w:rsidRPr="00EC75B7" w:rsidRDefault="00000000">
            <w:pPr>
              <w:pStyle w:val="TableParagraph"/>
              <w:ind w:left="22" w:right="22"/>
              <w:jc w:val="center"/>
              <w:rPr>
                <w:rFonts w:ascii="Verdana" w:hAnsi="Verdana"/>
                <w:sz w:val="18"/>
                <w:szCs w:val="18"/>
              </w:rPr>
            </w:pPr>
            <w:r w:rsidRPr="00EC75B7">
              <w:rPr>
                <w:rFonts w:ascii="Verdana" w:hAnsi="Verdana"/>
                <w:spacing w:val="-2"/>
                <w:sz w:val="18"/>
                <w:szCs w:val="18"/>
              </w:rPr>
              <w:t>Irreversible</w:t>
            </w:r>
          </w:p>
        </w:tc>
        <w:tc>
          <w:tcPr>
            <w:tcW w:w="1542" w:type="dxa"/>
          </w:tcPr>
          <w:p w14:paraId="657B1620" w14:textId="77777777" w:rsidR="008715BE" w:rsidRPr="00EC75B7" w:rsidRDefault="008715BE">
            <w:pPr>
              <w:pStyle w:val="TableParagraph"/>
              <w:rPr>
                <w:rFonts w:ascii="Verdana" w:hAnsi="Verdana"/>
                <w:b/>
                <w:sz w:val="18"/>
                <w:szCs w:val="18"/>
              </w:rPr>
            </w:pPr>
          </w:p>
          <w:p w14:paraId="3E0CAF27" w14:textId="77777777" w:rsidR="008715BE" w:rsidRPr="00EC75B7" w:rsidRDefault="00000000">
            <w:pPr>
              <w:pStyle w:val="TableParagraph"/>
              <w:ind w:left="102"/>
              <w:rPr>
                <w:rFonts w:ascii="Verdana" w:hAnsi="Verdana"/>
                <w:sz w:val="18"/>
                <w:szCs w:val="18"/>
              </w:rPr>
            </w:pPr>
            <w:r w:rsidRPr="00EC75B7">
              <w:rPr>
                <w:rFonts w:ascii="Verdana" w:hAnsi="Verdana"/>
                <w:spacing w:val="-2"/>
                <w:sz w:val="18"/>
                <w:szCs w:val="18"/>
              </w:rPr>
              <w:t>Reduced</w:t>
            </w:r>
          </w:p>
        </w:tc>
        <w:tc>
          <w:tcPr>
            <w:tcW w:w="5812" w:type="dxa"/>
          </w:tcPr>
          <w:p w14:paraId="07A849BB" w14:textId="77777777" w:rsidR="008715BE" w:rsidRPr="00EC75B7" w:rsidRDefault="00000000">
            <w:pPr>
              <w:pStyle w:val="TableParagraph"/>
              <w:spacing w:before="1"/>
              <w:ind w:left="98"/>
              <w:rPr>
                <w:rFonts w:ascii="Verdana" w:hAnsi="Verdana"/>
                <w:sz w:val="18"/>
                <w:szCs w:val="18"/>
              </w:rPr>
            </w:pPr>
            <w:r w:rsidRPr="00EC75B7">
              <w:rPr>
                <w:rFonts w:ascii="Verdana" w:hAnsi="Verdana"/>
                <w:sz w:val="18"/>
                <w:szCs w:val="18"/>
              </w:rPr>
              <w:t>The visual impact is subjective and does not directly affect the health of the population</w:t>
            </w:r>
            <w:r w:rsidRPr="00EC75B7">
              <w:rPr>
                <w:rFonts w:ascii="Verdana" w:hAnsi="Verdana"/>
                <w:spacing w:val="36"/>
                <w:sz w:val="18"/>
                <w:szCs w:val="18"/>
              </w:rPr>
              <w:t xml:space="preserve">  </w:t>
            </w:r>
            <w:r w:rsidRPr="00EC75B7">
              <w:rPr>
                <w:rFonts w:ascii="Verdana" w:hAnsi="Verdana"/>
                <w:sz w:val="18"/>
                <w:szCs w:val="18"/>
              </w:rPr>
              <w:t xml:space="preserve"> or</w:t>
            </w:r>
            <w:r w:rsidRPr="00EC75B7">
              <w:rPr>
                <w:rFonts w:ascii="Verdana" w:hAnsi="Verdana"/>
                <w:spacing w:val="35"/>
                <w:sz w:val="18"/>
                <w:szCs w:val="18"/>
              </w:rPr>
              <w:t xml:space="preserve">  </w:t>
            </w:r>
            <w:r w:rsidRPr="00EC75B7">
              <w:rPr>
                <w:rFonts w:ascii="Verdana" w:hAnsi="Verdana"/>
                <w:sz w:val="18"/>
                <w:szCs w:val="18"/>
              </w:rPr>
              <w:t xml:space="preserve"> socio-economic activities</w:t>
            </w:r>
            <w:r w:rsidRPr="00EC75B7">
              <w:rPr>
                <w:rFonts w:ascii="Verdana" w:hAnsi="Verdana"/>
                <w:spacing w:val="37"/>
                <w:sz w:val="18"/>
                <w:szCs w:val="18"/>
              </w:rPr>
              <w:t xml:space="preserve">  </w:t>
            </w:r>
            <w:r w:rsidRPr="00EC75B7">
              <w:rPr>
                <w:rFonts w:ascii="Verdana" w:hAnsi="Verdana"/>
                <w:sz w:val="18"/>
                <w:szCs w:val="18"/>
              </w:rPr>
              <w:t xml:space="preserve"> ,</w:t>
            </w:r>
            <w:r w:rsidRPr="00EC75B7">
              <w:rPr>
                <w:rFonts w:ascii="Verdana" w:hAnsi="Verdana"/>
                <w:spacing w:val="35"/>
                <w:sz w:val="18"/>
                <w:szCs w:val="18"/>
              </w:rPr>
              <w:t xml:space="preserve">  </w:t>
            </w:r>
            <w:r w:rsidRPr="00EC75B7">
              <w:rPr>
                <w:rFonts w:ascii="Verdana" w:hAnsi="Verdana"/>
                <w:sz w:val="18"/>
                <w:szCs w:val="18"/>
              </w:rPr>
              <w:t xml:space="preserve"> being</w:t>
            </w:r>
            <w:r w:rsidRPr="00EC75B7">
              <w:rPr>
                <w:rFonts w:ascii="Verdana" w:hAnsi="Verdana"/>
                <w:spacing w:val="38"/>
                <w:sz w:val="18"/>
                <w:szCs w:val="18"/>
              </w:rPr>
              <w:t xml:space="preserve">  </w:t>
            </w:r>
            <w:r w:rsidRPr="00EC75B7">
              <w:rPr>
                <w:rFonts w:ascii="Verdana" w:hAnsi="Verdana"/>
                <w:spacing w:val="-5"/>
                <w:sz w:val="18"/>
                <w:szCs w:val="18"/>
              </w:rPr>
              <w:t xml:space="preserve"> </w:t>
            </w:r>
            <w:r w:rsidRPr="00EC75B7">
              <w:rPr>
                <w:rFonts w:ascii="Verdana" w:hAnsi="Verdana"/>
                <w:sz w:val="18"/>
                <w:szCs w:val="18"/>
              </w:rPr>
              <w:t>considered</w:t>
            </w:r>
            <w:r w:rsidRPr="00EC75B7">
              <w:rPr>
                <w:rFonts w:ascii="Verdana" w:hAnsi="Verdana"/>
                <w:spacing w:val="35"/>
                <w:sz w:val="18"/>
                <w:szCs w:val="18"/>
              </w:rPr>
              <w:t xml:space="preserve">  </w:t>
            </w:r>
            <w:r w:rsidRPr="00EC75B7">
              <w:rPr>
                <w:rFonts w:ascii="Verdana" w:hAnsi="Verdana"/>
                <w:spacing w:val="-5"/>
                <w:sz w:val="18"/>
                <w:szCs w:val="18"/>
              </w:rPr>
              <w:t xml:space="preserve"> of</w:t>
            </w:r>
          </w:p>
          <w:p w14:paraId="5E214740" w14:textId="77777777" w:rsidR="008715BE" w:rsidRPr="00EC75B7" w:rsidRDefault="00000000">
            <w:pPr>
              <w:pStyle w:val="TableParagraph"/>
              <w:spacing w:line="173" w:lineRule="exact"/>
              <w:ind w:left="98"/>
              <w:rPr>
                <w:rFonts w:ascii="Verdana" w:hAnsi="Verdana"/>
                <w:sz w:val="18"/>
                <w:szCs w:val="18"/>
              </w:rPr>
            </w:pPr>
            <w:r w:rsidRPr="00EC75B7">
              <w:rPr>
                <w:rFonts w:ascii="Verdana" w:hAnsi="Verdana"/>
                <w:spacing w:val="-2"/>
                <w:sz w:val="18"/>
                <w:szCs w:val="18"/>
              </w:rPr>
              <w:t xml:space="preserve">low </w:t>
            </w:r>
            <w:r w:rsidRPr="00EC75B7">
              <w:rPr>
                <w:rFonts w:ascii="Verdana" w:hAnsi="Verdana"/>
                <w:sz w:val="18"/>
                <w:szCs w:val="18"/>
              </w:rPr>
              <w:t>importance</w:t>
            </w:r>
            <w:r w:rsidRPr="00EC75B7">
              <w:rPr>
                <w:rFonts w:ascii="Verdana" w:hAnsi="Verdana"/>
                <w:spacing w:val="-2"/>
                <w:sz w:val="18"/>
                <w:szCs w:val="18"/>
              </w:rPr>
              <w:t>.</w:t>
            </w:r>
          </w:p>
        </w:tc>
      </w:tr>
      <w:tr w:rsidR="008715BE" w:rsidRPr="00EC75B7" w14:paraId="18BBAE80" w14:textId="77777777">
        <w:trPr>
          <w:trHeight w:val="582"/>
        </w:trPr>
        <w:tc>
          <w:tcPr>
            <w:tcW w:w="725" w:type="dxa"/>
            <w:vMerge/>
            <w:tcBorders>
              <w:top w:val="nil"/>
            </w:tcBorders>
            <w:textDirection w:val="btLr"/>
          </w:tcPr>
          <w:p w14:paraId="3ACDE16A" w14:textId="77777777" w:rsidR="008715BE" w:rsidRPr="00EC75B7" w:rsidRDefault="008715BE">
            <w:pPr>
              <w:rPr>
                <w:rFonts w:ascii="Verdana" w:hAnsi="Verdana"/>
                <w:sz w:val="18"/>
                <w:szCs w:val="18"/>
              </w:rPr>
            </w:pPr>
          </w:p>
        </w:tc>
        <w:tc>
          <w:tcPr>
            <w:tcW w:w="2122" w:type="dxa"/>
          </w:tcPr>
          <w:p w14:paraId="074D7395"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 xml:space="preserve">Traffic for operation and </w:t>
            </w:r>
            <w:r w:rsidRPr="00EC75B7">
              <w:rPr>
                <w:rFonts w:ascii="Verdana" w:hAnsi="Verdana"/>
                <w:spacing w:val="-2"/>
                <w:sz w:val="18"/>
                <w:szCs w:val="18"/>
              </w:rPr>
              <w:t>maintenance</w:t>
            </w:r>
          </w:p>
        </w:tc>
        <w:tc>
          <w:tcPr>
            <w:tcW w:w="2556" w:type="dxa"/>
          </w:tcPr>
          <w:p w14:paraId="4157C6F6"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Low </w:t>
            </w:r>
            <w:r w:rsidRPr="00EC75B7">
              <w:rPr>
                <w:rFonts w:ascii="Verdana" w:hAnsi="Verdana"/>
                <w:sz w:val="18"/>
                <w:szCs w:val="18"/>
              </w:rPr>
              <w:t>road traffic</w:t>
            </w:r>
          </w:p>
        </w:tc>
        <w:tc>
          <w:tcPr>
            <w:tcW w:w="2348" w:type="dxa"/>
          </w:tcPr>
          <w:p w14:paraId="5F78AF2C"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Minor </w:t>
            </w:r>
            <w:r w:rsidRPr="00EC75B7">
              <w:rPr>
                <w:rFonts w:ascii="Verdana" w:hAnsi="Verdana"/>
                <w:sz w:val="18"/>
                <w:szCs w:val="18"/>
              </w:rPr>
              <w:t>discomfort</w:t>
            </w:r>
          </w:p>
        </w:tc>
        <w:tc>
          <w:tcPr>
            <w:tcW w:w="927" w:type="dxa"/>
          </w:tcPr>
          <w:p w14:paraId="33E502BA" w14:textId="77777777" w:rsidR="008715BE" w:rsidRPr="00EC75B7" w:rsidRDefault="00000000">
            <w:pPr>
              <w:pStyle w:val="TableParagraph"/>
              <w:spacing w:line="195" w:lineRule="exact"/>
              <w:ind w:left="89" w:right="81"/>
              <w:jc w:val="center"/>
              <w:rPr>
                <w:rFonts w:ascii="Verdana" w:hAnsi="Verdana"/>
                <w:sz w:val="18"/>
                <w:szCs w:val="18"/>
              </w:rPr>
            </w:pPr>
            <w:r w:rsidRPr="00EC75B7">
              <w:rPr>
                <w:rFonts w:ascii="Verdana" w:hAnsi="Verdana"/>
                <w:spacing w:val="-2"/>
                <w:sz w:val="18"/>
                <w:szCs w:val="18"/>
              </w:rPr>
              <w:t>Negative</w:t>
            </w:r>
          </w:p>
        </w:tc>
        <w:tc>
          <w:tcPr>
            <w:tcW w:w="838" w:type="dxa"/>
          </w:tcPr>
          <w:p w14:paraId="73A667F1" w14:textId="77777777" w:rsidR="008715BE" w:rsidRPr="00EC75B7" w:rsidRDefault="00000000">
            <w:pPr>
              <w:pStyle w:val="TableParagraph"/>
              <w:spacing w:before="193"/>
              <w:ind w:left="104"/>
              <w:rPr>
                <w:rFonts w:ascii="Verdana" w:hAnsi="Verdana"/>
                <w:sz w:val="18"/>
                <w:szCs w:val="18"/>
              </w:rPr>
            </w:pPr>
            <w:r w:rsidRPr="00EC75B7">
              <w:rPr>
                <w:rFonts w:ascii="Verdana" w:hAnsi="Verdana"/>
                <w:spacing w:val="-2"/>
                <w:sz w:val="18"/>
                <w:szCs w:val="18"/>
              </w:rPr>
              <w:t>Indirect</w:t>
            </w:r>
          </w:p>
        </w:tc>
        <w:tc>
          <w:tcPr>
            <w:tcW w:w="437" w:type="dxa"/>
          </w:tcPr>
          <w:p w14:paraId="51EE889A" w14:textId="77777777" w:rsidR="008715BE" w:rsidRPr="00EC75B7" w:rsidRDefault="00000000">
            <w:pPr>
              <w:pStyle w:val="TableParagraph"/>
              <w:spacing w:before="193"/>
              <w:ind w:left="8"/>
              <w:jc w:val="center"/>
              <w:rPr>
                <w:rFonts w:ascii="Verdana" w:hAnsi="Verdana"/>
                <w:sz w:val="18"/>
                <w:szCs w:val="18"/>
              </w:rPr>
            </w:pPr>
            <w:r w:rsidRPr="00EC75B7">
              <w:rPr>
                <w:rFonts w:ascii="Verdana" w:hAnsi="Verdana"/>
                <w:spacing w:val="-5"/>
                <w:sz w:val="18"/>
                <w:szCs w:val="18"/>
              </w:rPr>
              <w:t>Yes</w:t>
            </w:r>
          </w:p>
        </w:tc>
        <w:tc>
          <w:tcPr>
            <w:tcW w:w="704" w:type="dxa"/>
          </w:tcPr>
          <w:p w14:paraId="46FB661E" w14:textId="77777777" w:rsidR="008715BE" w:rsidRPr="00EC75B7" w:rsidRDefault="00000000">
            <w:pPr>
              <w:pStyle w:val="TableParagraph"/>
              <w:spacing w:before="193"/>
              <w:ind w:left="1"/>
              <w:jc w:val="center"/>
              <w:rPr>
                <w:rFonts w:ascii="Verdana" w:hAnsi="Verdana"/>
                <w:sz w:val="18"/>
                <w:szCs w:val="18"/>
              </w:rPr>
            </w:pPr>
            <w:r w:rsidRPr="00EC75B7">
              <w:rPr>
                <w:rFonts w:ascii="Verdana" w:hAnsi="Verdana"/>
                <w:spacing w:val="-2"/>
                <w:sz w:val="18"/>
                <w:szCs w:val="18"/>
              </w:rPr>
              <w:t>Long</w:t>
            </w:r>
          </w:p>
        </w:tc>
        <w:tc>
          <w:tcPr>
            <w:tcW w:w="1186" w:type="dxa"/>
          </w:tcPr>
          <w:p w14:paraId="35897580"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Occasional</w:t>
            </w:r>
          </w:p>
        </w:tc>
        <w:tc>
          <w:tcPr>
            <w:tcW w:w="723" w:type="dxa"/>
          </w:tcPr>
          <w:p w14:paraId="756D78DA" w14:textId="77777777" w:rsidR="008715BE" w:rsidRPr="00EC75B7" w:rsidRDefault="00000000">
            <w:pPr>
              <w:pStyle w:val="TableParagraph"/>
              <w:spacing w:before="193"/>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03C23CBC" w14:textId="77777777" w:rsidR="008715BE" w:rsidRPr="00EC75B7" w:rsidRDefault="00000000">
            <w:pPr>
              <w:pStyle w:val="TableParagraph"/>
              <w:spacing w:before="95"/>
              <w:ind w:left="102"/>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2" w:type="dxa"/>
          </w:tcPr>
          <w:p w14:paraId="4DA09D63" w14:textId="77777777" w:rsidR="008715BE" w:rsidRPr="00EC75B7" w:rsidRDefault="00000000">
            <w:pPr>
              <w:pStyle w:val="TableParagraph"/>
              <w:spacing w:before="193"/>
              <w:ind w:right="22"/>
              <w:jc w:val="center"/>
              <w:rPr>
                <w:rFonts w:ascii="Verdana" w:hAnsi="Verdana"/>
                <w:sz w:val="18"/>
                <w:szCs w:val="18"/>
              </w:rPr>
            </w:pPr>
            <w:r w:rsidRPr="00EC75B7">
              <w:rPr>
                <w:rFonts w:ascii="Verdana" w:hAnsi="Verdana"/>
                <w:spacing w:val="-2"/>
                <w:sz w:val="18"/>
                <w:szCs w:val="18"/>
              </w:rPr>
              <w:t>Reversible</w:t>
            </w:r>
          </w:p>
        </w:tc>
        <w:tc>
          <w:tcPr>
            <w:tcW w:w="1542" w:type="dxa"/>
          </w:tcPr>
          <w:p w14:paraId="25C2B56F"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Insignificant</w:t>
            </w:r>
          </w:p>
        </w:tc>
        <w:tc>
          <w:tcPr>
            <w:tcW w:w="5812" w:type="dxa"/>
          </w:tcPr>
          <w:p w14:paraId="39B72E54" w14:textId="77777777" w:rsidR="008715BE" w:rsidRPr="00EC75B7" w:rsidRDefault="00000000">
            <w:pPr>
              <w:pStyle w:val="TableParagraph"/>
              <w:ind w:left="98"/>
              <w:rPr>
                <w:rFonts w:ascii="Verdana" w:hAnsi="Verdana"/>
                <w:sz w:val="18"/>
                <w:szCs w:val="18"/>
              </w:rPr>
            </w:pPr>
            <w:r w:rsidRPr="00EC75B7">
              <w:rPr>
                <w:rFonts w:ascii="Verdana" w:hAnsi="Verdana"/>
                <w:sz w:val="18"/>
                <w:szCs w:val="18"/>
              </w:rPr>
              <w:t xml:space="preserve">Maintenance-related traffic is low in intensity and frequency, using existing roads without significantly </w:t>
            </w:r>
            <w:r w:rsidRPr="00EC75B7">
              <w:rPr>
                <w:rFonts w:ascii="Verdana" w:hAnsi="Verdana"/>
                <w:spacing w:val="-10"/>
                <w:sz w:val="18"/>
                <w:szCs w:val="18"/>
              </w:rPr>
              <w:t>disrupt</w:t>
            </w:r>
            <w:r w:rsidRPr="00EC75B7">
              <w:rPr>
                <w:rFonts w:ascii="Verdana" w:hAnsi="Verdana"/>
                <w:sz w:val="18"/>
                <w:szCs w:val="18"/>
              </w:rPr>
              <w:t>ing</w:t>
            </w:r>
          </w:p>
          <w:p w14:paraId="43791F89" w14:textId="77777777" w:rsidR="008715BE" w:rsidRPr="00EC75B7" w:rsidRDefault="00000000">
            <w:pPr>
              <w:pStyle w:val="TableParagraph"/>
              <w:spacing w:line="173" w:lineRule="exact"/>
              <w:ind w:left="98"/>
              <w:rPr>
                <w:rFonts w:ascii="Verdana" w:hAnsi="Verdana"/>
                <w:sz w:val="18"/>
                <w:szCs w:val="18"/>
              </w:rPr>
            </w:pPr>
            <w:r w:rsidRPr="00EC75B7">
              <w:rPr>
                <w:rFonts w:ascii="Verdana" w:hAnsi="Verdana"/>
                <w:spacing w:val="-2"/>
                <w:sz w:val="18"/>
                <w:szCs w:val="18"/>
              </w:rPr>
              <w:t xml:space="preserve">local </w:t>
            </w:r>
            <w:r w:rsidRPr="00EC75B7">
              <w:rPr>
                <w:rFonts w:ascii="Verdana" w:hAnsi="Verdana"/>
                <w:sz w:val="18"/>
                <w:szCs w:val="18"/>
              </w:rPr>
              <w:t>traffic</w:t>
            </w:r>
            <w:r w:rsidRPr="00EC75B7">
              <w:rPr>
                <w:rFonts w:ascii="Verdana" w:hAnsi="Verdana"/>
                <w:spacing w:val="-2"/>
                <w:sz w:val="18"/>
                <w:szCs w:val="18"/>
              </w:rPr>
              <w:t>.</w:t>
            </w:r>
          </w:p>
        </w:tc>
      </w:tr>
      <w:tr w:rsidR="008715BE" w:rsidRPr="00EC75B7" w14:paraId="7E79EB45" w14:textId="77777777">
        <w:trPr>
          <w:trHeight w:val="389"/>
        </w:trPr>
        <w:tc>
          <w:tcPr>
            <w:tcW w:w="725" w:type="dxa"/>
            <w:vMerge/>
            <w:tcBorders>
              <w:top w:val="nil"/>
            </w:tcBorders>
            <w:textDirection w:val="btLr"/>
          </w:tcPr>
          <w:p w14:paraId="73223545" w14:textId="77777777" w:rsidR="008715BE" w:rsidRPr="00EC75B7" w:rsidRDefault="008715BE">
            <w:pPr>
              <w:rPr>
                <w:rFonts w:ascii="Verdana" w:hAnsi="Verdana"/>
                <w:sz w:val="18"/>
                <w:szCs w:val="18"/>
              </w:rPr>
            </w:pPr>
          </w:p>
        </w:tc>
        <w:tc>
          <w:tcPr>
            <w:tcW w:w="2122" w:type="dxa"/>
          </w:tcPr>
          <w:p w14:paraId="026290EE" w14:textId="77777777" w:rsidR="008715BE" w:rsidRPr="00EC75B7" w:rsidRDefault="00000000">
            <w:pPr>
              <w:pStyle w:val="TableParagraph"/>
              <w:tabs>
                <w:tab w:val="left" w:pos="1374"/>
              </w:tabs>
              <w:spacing w:line="194" w:lineRule="exact"/>
              <w:ind w:left="105"/>
              <w:rPr>
                <w:rFonts w:ascii="Verdana" w:hAnsi="Verdana"/>
                <w:sz w:val="18"/>
                <w:szCs w:val="18"/>
              </w:rPr>
            </w:pPr>
            <w:r w:rsidRPr="00EC75B7">
              <w:rPr>
                <w:rFonts w:ascii="Verdana" w:hAnsi="Verdana"/>
                <w:spacing w:val="-2"/>
                <w:sz w:val="18"/>
                <w:szCs w:val="18"/>
              </w:rPr>
              <w:t>Operation</w:t>
            </w:r>
            <w:r w:rsidRPr="00EC75B7">
              <w:rPr>
                <w:rFonts w:ascii="Verdana" w:hAnsi="Verdana"/>
                <w:sz w:val="18"/>
                <w:szCs w:val="18"/>
              </w:rPr>
              <w:tab/>
            </w:r>
            <w:r w:rsidRPr="00EC75B7">
              <w:rPr>
                <w:rFonts w:ascii="Verdana" w:hAnsi="Verdana"/>
                <w:spacing w:val="-2"/>
                <w:sz w:val="18"/>
                <w:szCs w:val="18"/>
              </w:rPr>
              <w:t>of the</w:t>
            </w:r>
          </w:p>
          <w:p w14:paraId="1A5EAD7D"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wind</w:t>
            </w:r>
          </w:p>
        </w:tc>
        <w:tc>
          <w:tcPr>
            <w:tcW w:w="2556" w:type="dxa"/>
          </w:tcPr>
          <w:p w14:paraId="3D3262A3" w14:textId="77777777" w:rsidR="008715BE" w:rsidRPr="00EC75B7" w:rsidRDefault="00000000">
            <w:pPr>
              <w:pStyle w:val="TableParagraph"/>
              <w:tabs>
                <w:tab w:val="left" w:pos="1304"/>
                <w:tab w:val="left" w:pos="2252"/>
              </w:tabs>
              <w:spacing w:line="194" w:lineRule="exact"/>
              <w:ind w:left="107"/>
              <w:rPr>
                <w:rFonts w:ascii="Verdana" w:hAnsi="Verdana"/>
                <w:sz w:val="18"/>
                <w:szCs w:val="18"/>
              </w:rPr>
            </w:pPr>
            <w:r w:rsidRPr="00EC75B7">
              <w:rPr>
                <w:rFonts w:ascii="Verdana" w:hAnsi="Verdana"/>
                <w:spacing w:val="-2"/>
                <w:sz w:val="18"/>
                <w:szCs w:val="18"/>
              </w:rPr>
              <w:t>Maintenance</w:t>
            </w:r>
            <w:r w:rsidRPr="00EC75B7">
              <w:rPr>
                <w:rFonts w:ascii="Verdana" w:hAnsi="Verdana"/>
                <w:sz w:val="18"/>
                <w:szCs w:val="18"/>
              </w:rPr>
              <w:tab/>
            </w:r>
            <w:r w:rsidRPr="00EC75B7">
              <w:rPr>
                <w:rFonts w:ascii="Verdana" w:hAnsi="Verdana"/>
                <w:spacing w:val="-2"/>
                <w:sz w:val="18"/>
                <w:szCs w:val="18"/>
              </w:rPr>
              <w:t>of</w:t>
            </w:r>
            <w:r w:rsidRPr="00EC75B7">
              <w:rPr>
                <w:rFonts w:ascii="Verdana" w:hAnsi="Verdana"/>
                <w:sz w:val="18"/>
                <w:szCs w:val="18"/>
              </w:rPr>
              <w:tab/>
            </w:r>
            <w:r w:rsidRPr="00EC75B7">
              <w:rPr>
                <w:rFonts w:ascii="Verdana" w:hAnsi="Verdana"/>
                <w:spacing w:val="-5"/>
                <w:sz w:val="18"/>
                <w:szCs w:val="18"/>
              </w:rPr>
              <w:t>jobs</w:t>
            </w:r>
          </w:p>
          <w:p w14:paraId="50FEE9F8"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pacing w:val="-2"/>
                <w:sz w:val="18"/>
                <w:szCs w:val="18"/>
              </w:rPr>
              <w:t>work</w:t>
            </w:r>
          </w:p>
        </w:tc>
        <w:tc>
          <w:tcPr>
            <w:tcW w:w="2348" w:type="dxa"/>
          </w:tcPr>
          <w:p w14:paraId="5E62B85E"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6"/>
                <w:sz w:val="18"/>
                <w:szCs w:val="18"/>
              </w:rPr>
              <w:t xml:space="preserve">  </w:t>
            </w:r>
            <w:r w:rsidRPr="00EC75B7">
              <w:rPr>
                <w:rFonts w:ascii="Verdana" w:hAnsi="Verdana"/>
                <w:sz w:val="18"/>
                <w:szCs w:val="18"/>
              </w:rPr>
              <w:t xml:space="preserve"> </w:t>
            </w:r>
            <w:r w:rsidRPr="00EC75B7">
              <w:rPr>
                <w:rFonts w:ascii="Verdana" w:hAnsi="Verdana"/>
                <w:spacing w:val="-2"/>
                <w:sz w:val="18"/>
                <w:szCs w:val="18"/>
              </w:rPr>
              <w:t xml:space="preserve">socio-economic </w:t>
            </w:r>
            <w:r w:rsidRPr="00EC75B7">
              <w:rPr>
                <w:rFonts w:ascii="Verdana" w:hAnsi="Verdana"/>
                <w:sz w:val="18"/>
                <w:szCs w:val="18"/>
              </w:rPr>
              <w:t>benefits</w:t>
            </w:r>
          </w:p>
          <w:p w14:paraId="0C47CFDC"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pacing w:val="-2"/>
                <w:sz w:val="18"/>
                <w:szCs w:val="18"/>
              </w:rPr>
              <w:t>Local</w:t>
            </w:r>
          </w:p>
        </w:tc>
        <w:tc>
          <w:tcPr>
            <w:tcW w:w="927" w:type="dxa"/>
          </w:tcPr>
          <w:p w14:paraId="39FDD901" w14:textId="77777777" w:rsidR="008715BE" w:rsidRPr="00EC75B7" w:rsidRDefault="00000000">
            <w:pPr>
              <w:pStyle w:val="TableParagraph"/>
              <w:spacing w:line="195" w:lineRule="exact"/>
              <w:ind w:right="81"/>
              <w:jc w:val="center"/>
              <w:rPr>
                <w:rFonts w:ascii="Verdana" w:hAnsi="Verdana"/>
                <w:sz w:val="18"/>
                <w:szCs w:val="18"/>
              </w:rPr>
            </w:pPr>
            <w:r w:rsidRPr="00EC75B7">
              <w:rPr>
                <w:rFonts w:ascii="Verdana" w:hAnsi="Verdana"/>
                <w:spacing w:val="-2"/>
                <w:sz w:val="18"/>
                <w:szCs w:val="18"/>
              </w:rPr>
              <w:t>Positive</w:t>
            </w:r>
          </w:p>
        </w:tc>
        <w:tc>
          <w:tcPr>
            <w:tcW w:w="838" w:type="dxa"/>
          </w:tcPr>
          <w:p w14:paraId="5A7ACA09" w14:textId="77777777" w:rsidR="008715BE" w:rsidRPr="00EC75B7" w:rsidRDefault="00000000">
            <w:pPr>
              <w:pStyle w:val="TableParagraph"/>
              <w:spacing w:before="98"/>
              <w:ind w:left="104"/>
              <w:rPr>
                <w:rFonts w:ascii="Verdana" w:hAnsi="Verdana"/>
                <w:sz w:val="18"/>
                <w:szCs w:val="18"/>
              </w:rPr>
            </w:pPr>
            <w:r w:rsidRPr="00EC75B7">
              <w:rPr>
                <w:rFonts w:ascii="Verdana" w:hAnsi="Verdana"/>
                <w:spacing w:val="-2"/>
                <w:sz w:val="18"/>
                <w:szCs w:val="18"/>
              </w:rPr>
              <w:t>Direct</w:t>
            </w:r>
          </w:p>
        </w:tc>
        <w:tc>
          <w:tcPr>
            <w:tcW w:w="437" w:type="dxa"/>
          </w:tcPr>
          <w:p w14:paraId="33A5B0D5" w14:textId="77777777" w:rsidR="008715BE" w:rsidRPr="00EC75B7" w:rsidRDefault="00000000">
            <w:pPr>
              <w:pStyle w:val="TableParagraph"/>
              <w:spacing w:before="98"/>
              <w:ind w:left="8"/>
              <w:jc w:val="center"/>
              <w:rPr>
                <w:rFonts w:ascii="Verdana" w:hAnsi="Verdana"/>
                <w:sz w:val="18"/>
                <w:szCs w:val="18"/>
              </w:rPr>
            </w:pPr>
            <w:r w:rsidRPr="00EC75B7">
              <w:rPr>
                <w:rFonts w:ascii="Verdana" w:hAnsi="Verdana"/>
                <w:spacing w:val="-5"/>
                <w:sz w:val="18"/>
                <w:szCs w:val="18"/>
              </w:rPr>
              <w:t>Yes</w:t>
            </w:r>
          </w:p>
        </w:tc>
        <w:tc>
          <w:tcPr>
            <w:tcW w:w="704" w:type="dxa"/>
          </w:tcPr>
          <w:p w14:paraId="767DB4FD" w14:textId="77777777" w:rsidR="008715BE" w:rsidRPr="00EC75B7" w:rsidRDefault="00000000">
            <w:pPr>
              <w:pStyle w:val="TableParagraph"/>
              <w:spacing w:before="98"/>
              <w:ind w:left="1"/>
              <w:jc w:val="center"/>
              <w:rPr>
                <w:rFonts w:ascii="Verdana" w:hAnsi="Verdana"/>
                <w:sz w:val="18"/>
                <w:szCs w:val="18"/>
              </w:rPr>
            </w:pPr>
            <w:r w:rsidRPr="00EC75B7">
              <w:rPr>
                <w:rFonts w:ascii="Verdana" w:hAnsi="Verdana"/>
                <w:spacing w:val="-2"/>
                <w:sz w:val="18"/>
                <w:szCs w:val="18"/>
              </w:rPr>
              <w:t>Long</w:t>
            </w:r>
          </w:p>
        </w:tc>
        <w:tc>
          <w:tcPr>
            <w:tcW w:w="1186" w:type="dxa"/>
          </w:tcPr>
          <w:p w14:paraId="4F955767" w14:textId="77777777" w:rsidR="008715BE" w:rsidRPr="00EC75B7" w:rsidRDefault="00000000">
            <w:pPr>
              <w:pStyle w:val="TableParagraph"/>
              <w:spacing w:before="98"/>
              <w:ind w:left="105"/>
              <w:rPr>
                <w:rFonts w:ascii="Verdana" w:hAnsi="Verdana"/>
                <w:sz w:val="18"/>
                <w:szCs w:val="18"/>
              </w:rPr>
            </w:pPr>
            <w:r w:rsidRPr="00EC75B7">
              <w:rPr>
                <w:rFonts w:ascii="Verdana" w:hAnsi="Verdana"/>
                <w:spacing w:val="-2"/>
                <w:sz w:val="18"/>
                <w:szCs w:val="18"/>
              </w:rPr>
              <w:t>Permanent</w:t>
            </w:r>
          </w:p>
        </w:tc>
        <w:tc>
          <w:tcPr>
            <w:tcW w:w="723" w:type="dxa"/>
          </w:tcPr>
          <w:p w14:paraId="2F46F03F" w14:textId="77777777" w:rsidR="008715BE" w:rsidRPr="00EC75B7" w:rsidRDefault="00000000">
            <w:pPr>
              <w:pStyle w:val="TableParagraph"/>
              <w:spacing w:before="98"/>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4F7B74F5" w14:textId="77777777" w:rsidR="008715BE" w:rsidRPr="00EC75B7" w:rsidRDefault="00000000">
            <w:pPr>
              <w:pStyle w:val="TableParagraph"/>
              <w:spacing w:before="98"/>
              <w:ind w:left="102"/>
              <w:rPr>
                <w:rFonts w:ascii="Verdana" w:hAnsi="Verdana"/>
                <w:sz w:val="18"/>
                <w:szCs w:val="18"/>
              </w:rPr>
            </w:pPr>
            <w:r w:rsidRPr="00EC75B7">
              <w:rPr>
                <w:rFonts w:ascii="Verdana" w:hAnsi="Verdana"/>
                <w:spacing w:val="-2"/>
                <w:sz w:val="18"/>
                <w:szCs w:val="18"/>
              </w:rPr>
              <w:t>Probable</w:t>
            </w:r>
          </w:p>
        </w:tc>
        <w:tc>
          <w:tcPr>
            <w:tcW w:w="1022" w:type="dxa"/>
          </w:tcPr>
          <w:p w14:paraId="4E42AD33" w14:textId="77777777" w:rsidR="008715BE" w:rsidRPr="00EC75B7" w:rsidRDefault="00000000">
            <w:pPr>
              <w:pStyle w:val="TableParagraph"/>
              <w:spacing w:before="98"/>
              <w:ind w:right="22"/>
              <w:jc w:val="center"/>
              <w:rPr>
                <w:rFonts w:ascii="Verdana" w:hAnsi="Verdana"/>
                <w:sz w:val="18"/>
                <w:szCs w:val="18"/>
              </w:rPr>
            </w:pPr>
            <w:r w:rsidRPr="00EC75B7">
              <w:rPr>
                <w:rFonts w:ascii="Verdana" w:hAnsi="Verdana"/>
                <w:spacing w:val="-2"/>
                <w:sz w:val="18"/>
                <w:szCs w:val="18"/>
              </w:rPr>
              <w:t>Reversible</w:t>
            </w:r>
          </w:p>
        </w:tc>
        <w:tc>
          <w:tcPr>
            <w:tcW w:w="1542" w:type="dxa"/>
          </w:tcPr>
          <w:p w14:paraId="6EFB6154" w14:textId="77777777" w:rsidR="008715BE" w:rsidRPr="00EC75B7" w:rsidRDefault="00000000">
            <w:pPr>
              <w:pStyle w:val="TableParagraph"/>
              <w:spacing w:before="98"/>
              <w:ind w:left="102"/>
              <w:rPr>
                <w:rFonts w:ascii="Verdana" w:hAnsi="Verdana"/>
                <w:sz w:val="18"/>
                <w:szCs w:val="18"/>
              </w:rPr>
            </w:pPr>
            <w:r w:rsidRPr="00EC75B7">
              <w:rPr>
                <w:rFonts w:ascii="Verdana" w:hAnsi="Verdana"/>
                <w:spacing w:val="-2"/>
                <w:sz w:val="18"/>
                <w:szCs w:val="18"/>
              </w:rPr>
              <w:t>Insignificant</w:t>
            </w:r>
          </w:p>
        </w:tc>
        <w:tc>
          <w:tcPr>
            <w:tcW w:w="5812" w:type="dxa"/>
          </w:tcPr>
          <w:p w14:paraId="3CD1D19F" w14:textId="77777777" w:rsidR="008715BE" w:rsidRPr="00EC75B7" w:rsidRDefault="00000000">
            <w:pPr>
              <w:pStyle w:val="TableParagraph"/>
              <w:spacing w:line="194" w:lineRule="exact"/>
              <w:ind w:left="98"/>
              <w:rPr>
                <w:rFonts w:ascii="Verdana" w:hAnsi="Verdana"/>
                <w:sz w:val="18"/>
                <w:szCs w:val="18"/>
              </w:rPr>
            </w:pPr>
            <w:r w:rsidRPr="00EC75B7">
              <w:rPr>
                <w:rFonts w:ascii="Verdana" w:hAnsi="Verdana"/>
                <w:spacing w:val="25"/>
                <w:sz w:val="18"/>
                <w:szCs w:val="18"/>
              </w:rPr>
              <w:t xml:space="preserve">  </w:t>
            </w:r>
            <w:r w:rsidRPr="00EC75B7">
              <w:rPr>
                <w:rFonts w:ascii="Verdana" w:hAnsi="Verdana"/>
                <w:sz w:val="18"/>
                <w:szCs w:val="18"/>
              </w:rPr>
              <w:t xml:space="preserve"> 's activity</w:t>
            </w:r>
            <w:r w:rsidRPr="00EC75B7">
              <w:rPr>
                <w:rFonts w:ascii="Verdana" w:hAnsi="Verdana"/>
                <w:spacing w:val="24"/>
                <w:sz w:val="18"/>
                <w:szCs w:val="18"/>
              </w:rPr>
              <w:t xml:space="preserve">  </w:t>
            </w:r>
            <w:r w:rsidRPr="00EC75B7">
              <w:rPr>
                <w:rFonts w:ascii="Verdana" w:hAnsi="Verdana"/>
                <w:sz w:val="18"/>
                <w:szCs w:val="18"/>
              </w:rPr>
              <w:t xml:space="preserve"> operation</w:t>
            </w:r>
            <w:r w:rsidRPr="00EC75B7">
              <w:rPr>
                <w:rFonts w:ascii="Verdana" w:hAnsi="Verdana"/>
                <w:spacing w:val="25"/>
                <w:sz w:val="18"/>
                <w:szCs w:val="18"/>
              </w:rPr>
              <w:t xml:space="preserve">  </w:t>
            </w:r>
            <w:r w:rsidRPr="00EC75B7">
              <w:rPr>
                <w:rFonts w:ascii="Verdana" w:hAnsi="Verdana"/>
                <w:sz w:val="18"/>
                <w:szCs w:val="18"/>
              </w:rPr>
              <w:t xml:space="preserve"> ensures</w:t>
            </w:r>
            <w:r w:rsidRPr="00EC75B7">
              <w:rPr>
                <w:rFonts w:ascii="Verdana" w:hAnsi="Verdana"/>
                <w:spacing w:val="25"/>
                <w:sz w:val="18"/>
                <w:szCs w:val="18"/>
              </w:rPr>
              <w:t xml:space="preserve">  </w:t>
            </w:r>
            <w:r w:rsidRPr="00EC75B7">
              <w:rPr>
                <w:rFonts w:ascii="Verdana" w:hAnsi="Verdana"/>
                <w:sz w:val="18"/>
                <w:szCs w:val="18"/>
              </w:rPr>
              <w:t xml:space="preserve"> places</w:t>
            </w:r>
            <w:r w:rsidRPr="00EC75B7">
              <w:rPr>
                <w:rFonts w:ascii="Verdana" w:hAnsi="Verdana"/>
                <w:spacing w:val="24"/>
                <w:sz w:val="18"/>
                <w:szCs w:val="18"/>
              </w:rPr>
              <w:t xml:space="preserve">  </w:t>
            </w:r>
            <w:r w:rsidRPr="00EC75B7">
              <w:rPr>
                <w:rFonts w:ascii="Verdana" w:hAnsi="Verdana"/>
                <w:sz w:val="18"/>
                <w:szCs w:val="18"/>
              </w:rPr>
              <w:t xml:space="preserve"> of</w:t>
            </w:r>
            <w:r w:rsidRPr="00EC75B7">
              <w:rPr>
                <w:rFonts w:ascii="Verdana" w:hAnsi="Verdana"/>
                <w:spacing w:val="25"/>
                <w:sz w:val="18"/>
                <w:szCs w:val="18"/>
              </w:rPr>
              <w:t xml:space="preserve">  </w:t>
            </w:r>
            <w:r w:rsidRPr="00EC75B7">
              <w:rPr>
                <w:rFonts w:ascii="Verdana" w:hAnsi="Verdana"/>
                <w:sz w:val="18"/>
                <w:szCs w:val="18"/>
              </w:rPr>
              <w:t xml:space="preserve"> work</w:t>
            </w:r>
            <w:r w:rsidRPr="00EC75B7">
              <w:rPr>
                <w:rFonts w:ascii="Verdana" w:hAnsi="Verdana"/>
                <w:spacing w:val="23"/>
                <w:sz w:val="18"/>
                <w:szCs w:val="18"/>
              </w:rPr>
              <w:t xml:space="preserve">  </w:t>
            </w:r>
            <w:r w:rsidRPr="00EC75B7">
              <w:rPr>
                <w:rFonts w:ascii="Verdana" w:hAnsi="Verdana"/>
                <w:spacing w:val="-5"/>
                <w:sz w:val="18"/>
                <w:szCs w:val="18"/>
              </w:rPr>
              <w:t xml:space="preserve"> </w:t>
            </w:r>
            <w:r w:rsidRPr="00EC75B7">
              <w:rPr>
                <w:rFonts w:ascii="Verdana" w:hAnsi="Verdana"/>
                <w:sz w:val="18"/>
                <w:szCs w:val="18"/>
              </w:rPr>
              <w:t>permanent</w:t>
            </w:r>
            <w:r w:rsidRPr="00EC75B7">
              <w:rPr>
                <w:rFonts w:ascii="Verdana" w:hAnsi="Verdana"/>
                <w:spacing w:val="25"/>
                <w:sz w:val="18"/>
                <w:szCs w:val="18"/>
              </w:rPr>
              <w:t xml:space="preserve">  </w:t>
            </w:r>
            <w:r w:rsidRPr="00EC75B7">
              <w:rPr>
                <w:rFonts w:ascii="Verdana" w:hAnsi="Verdana"/>
                <w:spacing w:val="-5"/>
                <w:sz w:val="18"/>
                <w:szCs w:val="18"/>
              </w:rPr>
              <w:t xml:space="preserve"> and</w:t>
            </w:r>
          </w:p>
          <w:p w14:paraId="58638F36" w14:textId="77777777" w:rsidR="008715BE" w:rsidRPr="00EC75B7" w:rsidRDefault="00000000">
            <w:pPr>
              <w:pStyle w:val="TableParagraph"/>
              <w:spacing w:line="175" w:lineRule="exact"/>
              <w:ind w:left="98"/>
              <w:rPr>
                <w:rFonts w:ascii="Verdana" w:hAnsi="Verdana"/>
                <w:sz w:val="18"/>
                <w:szCs w:val="18"/>
              </w:rPr>
            </w:pPr>
            <w:r w:rsidRPr="00EC75B7">
              <w:rPr>
                <w:rFonts w:ascii="Verdana" w:hAnsi="Verdana"/>
                <w:sz w:val="18"/>
                <w:szCs w:val="18"/>
              </w:rPr>
              <w:t xml:space="preserve">local economic contributions, with limited positive effects in terms of </w:t>
            </w:r>
            <w:r w:rsidRPr="00EC75B7">
              <w:rPr>
                <w:rFonts w:ascii="Verdana" w:hAnsi="Verdana"/>
                <w:spacing w:val="-2"/>
                <w:sz w:val="18"/>
                <w:szCs w:val="18"/>
              </w:rPr>
              <w:t>scale.</w:t>
            </w:r>
          </w:p>
        </w:tc>
      </w:tr>
      <w:tr w:rsidR="008715BE" w:rsidRPr="00EC75B7" w14:paraId="1AE9E674" w14:textId="77777777">
        <w:trPr>
          <w:trHeight w:val="582"/>
        </w:trPr>
        <w:tc>
          <w:tcPr>
            <w:tcW w:w="725" w:type="dxa"/>
            <w:vMerge/>
            <w:tcBorders>
              <w:top w:val="nil"/>
            </w:tcBorders>
            <w:textDirection w:val="btLr"/>
          </w:tcPr>
          <w:p w14:paraId="2643C269" w14:textId="77777777" w:rsidR="008715BE" w:rsidRPr="00EC75B7" w:rsidRDefault="008715BE">
            <w:pPr>
              <w:rPr>
                <w:rFonts w:ascii="Verdana" w:hAnsi="Verdana"/>
                <w:sz w:val="18"/>
                <w:szCs w:val="18"/>
              </w:rPr>
            </w:pPr>
          </w:p>
        </w:tc>
        <w:tc>
          <w:tcPr>
            <w:tcW w:w="2122" w:type="dxa"/>
          </w:tcPr>
          <w:p w14:paraId="1085F1DE" w14:textId="77777777" w:rsidR="008715BE" w:rsidRPr="00EC75B7" w:rsidRDefault="00000000">
            <w:pPr>
              <w:pStyle w:val="TableParagraph"/>
              <w:ind w:left="105" w:right="149"/>
              <w:rPr>
                <w:rFonts w:ascii="Verdana" w:hAnsi="Verdana"/>
                <w:sz w:val="18"/>
                <w:szCs w:val="18"/>
              </w:rPr>
            </w:pPr>
            <w:r w:rsidRPr="00EC75B7">
              <w:rPr>
                <w:rFonts w:ascii="Verdana" w:hAnsi="Verdana"/>
                <w:spacing w:val="-2"/>
                <w:sz w:val="18"/>
                <w:szCs w:val="18"/>
              </w:rPr>
              <w:t xml:space="preserve">Operation </w:t>
            </w:r>
            <w:r w:rsidRPr="00EC75B7">
              <w:rPr>
                <w:rFonts w:ascii="Verdana" w:hAnsi="Verdana"/>
                <w:sz w:val="18"/>
                <w:szCs w:val="18"/>
              </w:rPr>
              <w:t>of auxiliary facilities</w:t>
            </w:r>
          </w:p>
        </w:tc>
        <w:tc>
          <w:tcPr>
            <w:tcW w:w="2556" w:type="dxa"/>
          </w:tcPr>
          <w:p w14:paraId="7D9C7C34" w14:textId="77777777" w:rsidR="008715BE" w:rsidRPr="00EC75B7" w:rsidRDefault="00000000">
            <w:pPr>
              <w:pStyle w:val="TableParagraph"/>
              <w:tabs>
                <w:tab w:val="left" w:pos="1861"/>
              </w:tabs>
              <w:ind w:left="107" w:right="96"/>
              <w:rPr>
                <w:rFonts w:ascii="Verdana" w:hAnsi="Verdana"/>
                <w:sz w:val="18"/>
                <w:szCs w:val="18"/>
              </w:rPr>
            </w:pPr>
            <w:r w:rsidRPr="00EC75B7">
              <w:rPr>
                <w:rFonts w:ascii="Verdana" w:hAnsi="Verdana"/>
                <w:spacing w:val="-2"/>
                <w:sz w:val="18"/>
                <w:szCs w:val="18"/>
              </w:rPr>
              <w:t>Waste generation</w:t>
            </w:r>
            <w:r w:rsidRPr="00EC75B7">
              <w:rPr>
                <w:rFonts w:ascii="Verdana" w:hAnsi="Verdana"/>
                <w:sz w:val="18"/>
                <w:szCs w:val="18"/>
              </w:rPr>
              <w:tab/>
            </w:r>
            <w:r w:rsidRPr="00EC75B7">
              <w:rPr>
                <w:rFonts w:ascii="Verdana" w:hAnsi="Verdana"/>
                <w:spacing w:val="-4"/>
                <w:sz w:val="18"/>
                <w:szCs w:val="18"/>
              </w:rPr>
              <w:t xml:space="preserve">Waste </w:t>
            </w:r>
            <w:r w:rsidRPr="00EC75B7">
              <w:rPr>
                <w:rFonts w:ascii="Verdana" w:hAnsi="Verdana"/>
                <w:spacing w:val="-2"/>
                <w:sz w:val="18"/>
                <w:szCs w:val="18"/>
              </w:rPr>
              <w:t>(maintenance)</w:t>
            </w:r>
          </w:p>
        </w:tc>
        <w:tc>
          <w:tcPr>
            <w:tcW w:w="2348" w:type="dxa"/>
          </w:tcPr>
          <w:p w14:paraId="7755DDAF"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4"/>
                <w:sz w:val="18"/>
                <w:szCs w:val="18"/>
              </w:rPr>
              <w:t xml:space="preserve">  </w:t>
            </w:r>
            <w:r w:rsidRPr="00EC75B7">
              <w:rPr>
                <w:rFonts w:ascii="Verdana" w:hAnsi="Verdana"/>
                <w:sz w:val="18"/>
                <w:szCs w:val="18"/>
              </w:rPr>
              <w:t xml:space="preserve"> impact potential</w:t>
            </w:r>
            <w:r w:rsidRPr="00EC75B7">
              <w:rPr>
                <w:rFonts w:ascii="Verdana" w:hAnsi="Verdana"/>
                <w:spacing w:val="26"/>
                <w:sz w:val="18"/>
                <w:szCs w:val="18"/>
              </w:rPr>
              <w:t xml:space="preserve">  </w:t>
            </w:r>
            <w:r w:rsidRPr="00EC75B7">
              <w:rPr>
                <w:rFonts w:ascii="Verdana" w:hAnsi="Verdana"/>
                <w:spacing w:val="-2"/>
                <w:sz w:val="18"/>
                <w:szCs w:val="18"/>
              </w:rPr>
              <w:t xml:space="preserve"> on</w:t>
            </w:r>
          </w:p>
          <w:p w14:paraId="34267A16"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tangible </w:t>
            </w:r>
            <w:r w:rsidRPr="00EC75B7">
              <w:rPr>
                <w:rFonts w:ascii="Verdana" w:hAnsi="Verdana"/>
                <w:sz w:val="18"/>
                <w:szCs w:val="18"/>
              </w:rPr>
              <w:t>assets</w:t>
            </w:r>
          </w:p>
        </w:tc>
        <w:tc>
          <w:tcPr>
            <w:tcW w:w="927" w:type="dxa"/>
          </w:tcPr>
          <w:p w14:paraId="43266D0B" w14:textId="77777777" w:rsidR="008715BE" w:rsidRPr="00EC75B7" w:rsidRDefault="00000000">
            <w:pPr>
              <w:pStyle w:val="TableParagraph"/>
              <w:spacing w:line="195" w:lineRule="exact"/>
              <w:ind w:left="89" w:right="81"/>
              <w:jc w:val="center"/>
              <w:rPr>
                <w:rFonts w:ascii="Verdana" w:hAnsi="Verdana"/>
                <w:sz w:val="18"/>
                <w:szCs w:val="18"/>
              </w:rPr>
            </w:pPr>
            <w:r w:rsidRPr="00EC75B7">
              <w:rPr>
                <w:rFonts w:ascii="Verdana" w:hAnsi="Verdana"/>
                <w:spacing w:val="-2"/>
                <w:sz w:val="18"/>
                <w:szCs w:val="18"/>
              </w:rPr>
              <w:t>Negative</w:t>
            </w:r>
          </w:p>
        </w:tc>
        <w:tc>
          <w:tcPr>
            <w:tcW w:w="838" w:type="dxa"/>
          </w:tcPr>
          <w:p w14:paraId="34320AAD" w14:textId="77777777" w:rsidR="008715BE" w:rsidRPr="00EC75B7" w:rsidRDefault="00000000">
            <w:pPr>
              <w:pStyle w:val="TableParagraph"/>
              <w:spacing w:before="193"/>
              <w:ind w:left="104"/>
              <w:rPr>
                <w:rFonts w:ascii="Verdana" w:hAnsi="Verdana"/>
                <w:sz w:val="18"/>
                <w:szCs w:val="18"/>
              </w:rPr>
            </w:pPr>
            <w:r w:rsidRPr="00EC75B7">
              <w:rPr>
                <w:rFonts w:ascii="Verdana" w:hAnsi="Verdana"/>
                <w:spacing w:val="-2"/>
                <w:sz w:val="18"/>
                <w:szCs w:val="18"/>
              </w:rPr>
              <w:t>Indirect</w:t>
            </w:r>
          </w:p>
        </w:tc>
        <w:tc>
          <w:tcPr>
            <w:tcW w:w="437" w:type="dxa"/>
          </w:tcPr>
          <w:p w14:paraId="7ED053DA" w14:textId="77777777" w:rsidR="008715BE" w:rsidRPr="00EC75B7" w:rsidRDefault="00000000">
            <w:pPr>
              <w:pStyle w:val="TableParagraph"/>
              <w:spacing w:before="193"/>
              <w:ind w:left="8"/>
              <w:jc w:val="center"/>
              <w:rPr>
                <w:rFonts w:ascii="Verdana" w:hAnsi="Verdana"/>
                <w:sz w:val="18"/>
                <w:szCs w:val="18"/>
              </w:rPr>
            </w:pPr>
            <w:r w:rsidRPr="00EC75B7">
              <w:rPr>
                <w:rFonts w:ascii="Verdana" w:hAnsi="Verdana"/>
                <w:spacing w:val="-5"/>
                <w:sz w:val="18"/>
                <w:szCs w:val="18"/>
              </w:rPr>
              <w:t>Yes</w:t>
            </w:r>
          </w:p>
        </w:tc>
        <w:tc>
          <w:tcPr>
            <w:tcW w:w="704" w:type="dxa"/>
          </w:tcPr>
          <w:p w14:paraId="192DDD91" w14:textId="77777777" w:rsidR="008715BE" w:rsidRPr="00EC75B7" w:rsidRDefault="00000000">
            <w:pPr>
              <w:pStyle w:val="TableParagraph"/>
              <w:spacing w:before="193"/>
              <w:ind w:left="1"/>
              <w:jc w:val="center"/>
              <w:rPr>
                <w:rFonts w:ascii="Verdana" w:hAnsi="Verdana"/>
                <w:sz w:val="18"/>
                <w:szCs w:val="18"/>
              </w:rPr>
            </w:pPr>
            <w:r w:rsidRPr="00EC75B7">
              <w:rPr>
                <w:rFonts w:ascii="Verdana" w:hAnsi="Verdana"/>
                <w:spacing w:val="-2"/>
                <w:sz w:val="18"/>
                <w:szCs w:val="18"/>
              </w:rPr>
              <w:t>Long</w:t>
            </w:r>
          </w:p>
        </w:tc>
        <w:tc>
          <w:tcPr>
            <w:tcW w:w="1186" w:type="dxa"/>
          </w:tcPr>
          <w:p w14:paraId="0F99B176"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Occasional</w:t>
            </w:r>
          </w:p>
        </w:tc>
        <w:tc>
          <w:tcPr>
            <w:tcW w:w="723" w:type="dxa"/>
          </w:tcPr>
          <w:p w14:paraId="1639AEAC" w14:textId="77777777" w:rsidR="008715BE" w:rsidRPr="00EC75B7" w:rsidRDefault="00000000">
            <w:pPr>
              <w:pStyle w:val="TableParagraph"/>
              <w:spacing w:before="193"/>
              <w:ind w:left="4" w:right="1"/>
              <w:jc w:val="center"/>
              <w:rPr>
                <w:rFonts w:ascii="Verdana" w:hAnsi="Verdana"/>
                <w:sz w:val="18"/>
                <w:szCs w:val="18"/>
              </w:rPr>
            </w:pPr>
            <w:r w:rsidRPr="00EC75B7">
              <w:rPr>
                <w:rFonts w:ascii="Verdana" w:hAnsi="Verdana"/>
                <w:spacing w:val="-2"/>
                <w:sz w:val="18"/>
                <w:szCs w:val="18"/>
              </w:rPr>
              <w:t>Local</w:t>
            </w:r>
          </w:p>
        </w:tc>
        <w:tc>
          <w:tcPr>
            <w:tcW w:w="1177" w:type="dxa"/>
          </w:tcPr>
          <w:p w14:paraId="3DEEB5CE" w14:textId="77777777" w:rsidR="008715BE" w:rsidRPr="00EC75B7" w:rsidRDefault="00000000">
            <w:pPr>
              <w:pStyle w:val="TableParagraph"/>
              <w:spacing w:before="97"/>
              <w:ind w:left="102"/>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2" w:type="dxa"/>
          </w:tcPr>
          <w:p w14:paraId="09C177F5" w14:textId="77777777" w:rsidR="008715BE" w:rsidRPr="00EC75B7" w:rsidRDefault="00000000">
            <w:pPr>
              <w:pStyle w:val="TableParagraph"/>
              <w:spacing w:before="193"/>
              <w:ind w:right="22"/>
              <w:jc w:val="center"/>
              <w:rPr>
                <w:rFonts w:ascii="Verdana" w:hAnsi="Verdana"/>
                <w:sz w:val="18"/>
                <w:szCs w:val="18"/>
              </w:rPr>
            </w:pPr>
            <w:r w:rsidRPr="00EC75B7">
              <w:rPr>
                <w:rFonts w:ascii="Verdana" w:hAnsi="Verdana"/>
                <w:spacing w:val="-2"/>
                <w:sz w:val="18"/>
                <w:szCs w:val="18"/>
              </w:rPr>
              <w:t>Reversible</w:t>
            </w:r>
          </w:p>
        </w:tc>
        <w:tc>
          <w:tcPr>
            <w:tcW w:w="1542" w:type="dxa"/>
          </w:tcPr>
          <w:p w14:paraId="5E23967E"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Insignificant</w:t>
            </w:r>
          </w:p>
        </w:tc>
        <w:tc>
          <w:tcPr>
            <w:tcW w:w="5812" w:type="dxa"/>
          </w:tcPr>
          <w:p w14:paraId="16514B39" w14:textId="77777777" w:rsidR="008715BE" w:rsidRPr="00EC75B7" w:rsidRDefault="00000000">
            <w:pPr>
              <w:pStyle w:val="TableParagraph"/>
              <w:ind w:left="98"/>
              <w:rPr>
                <w:rFonts w:ascii="Verdana" w:hAnsi="Verdana"/>
                <w:sz w:val="18"/>
                <w:szCs w:val="18"/>
              </w:rPr>
            </w:pPr>
            <w:r w:rsidRPr="00EC75B7">
              <w:rPr>
                <w:rFonts w:ascii="Verdana" w:hAnsi="Verdana"/>
                <w:sz w:val="18"/>
                <w:szCs w:val="18"/>
              </w:rPr>
              <w:t xml:space="preserve">The waste generated during the operational phase is small in quantity and will be managed in accordance with the law, with no impact on the population </w:t>
            </w:r>
            <w:r w:rsidRPr="00EC75B7">
              <w:rPr>
                <w:rFonts w:ascii="Verdana" w:hAnsi="Verdana"/>
                <w:spacing w:val="-5"/>
                <w:sz w:val="18"/>
                <w:szCs w:val="18"/>
              </w:rPr>
              <w:t>or</w:t>
            </w:r>
          </w:p>
          <w:p w14:paraId="47BF8F51" w14:textId="77777777" w:rsidR="008715BE" w:rsidRPr="00EC75B7" w:rsidRDefault="00000000">
            <w:pPr>
              <w:pStyle w:val="TableParagraph"/>
              <w:spacing w:line="173" w:lineRule="exact"/>
              <w:ind w:left="98"/>
              <w:rPr>
                <w:rFonts w:ascii="Verdana" w:hAnsi="Verdana"/>
                <w:sz w:val="18"/>
                <w:szCs w:val="18"/>
              </w:rPr>
            </w:pPr>
            <w:r w:rsidRPr="00EC75B7">
              <w:rPr>
                <w:rFonts w:ascii="Verdana" w:hAnsi="Verdana"/>
                <w:spacing w:val="-2"/>
                <w:sz w:val="18"/>
                <w:szCs w:val="18"/>
              </w:rPr>
              <w:t xml:space="preserve">material </w:t>
            </w:r>
            <w:r w:rsidRPr="00EC75B7">
              <w:rPr>
                <w:rFonts w:ascii="Verdana" w:hAnsi="Verdana"/>
                <w:sz w:val="18"/>
                <w:szCs w:val="18"/>
              </w:rPr>
              <w:t>goods</w:t>
            </w:r>
            <w:r w:rsidRPr="00EC75B7">
              <w:rPr>
                <w:rFonts w:ascii="Verdana" w:hAnsi="Verdana"/>
                <w:spacing w:val="-2"/>
                <w:sz w:val="18"/>
                <w:szCs w:val="18"/>
              </w:rPr>
              <w:t>.</w:t>
            </w:r>
          </w:p>
        </w:tc>
      </w:tr>
    </w:tbl>
    <w:p w14:paraId="1A3AA352" w14:textId="77777777" w:rsidR="008715BE" w:rsidRPr="00EC75B7" w:rsidRDefault="008715BE">
      <w:pPr>
        <w:pStyle w:val="BodyText"/>
        <w:spacing w:before="135"/>
        <w:rPr>
          <w:rFonts w:ascii="Verdana" w:hAnsi="Verdana"/>
          <w:b/>
        </w:rPr>
      </w:pPr>
    </w:p>
    <w:p w14:paraId="56983696" w14:textId="77777777" w:rsidR="008715BE" w:rsidRPr="00EC75B7" w:rsidRDefault="00000000">
      <w:pPr>
        <w:ind w:left="2"/>
        <w:rPr>
          <w:rFonts w:ascii="Verdana" w:hAnsi="Verdana"/>
          <w:b/>
          <w:sz w:val="18"/>
          <w:szCs w:val="18"/>
        </w:rPr>
      </w:pPr>
      <w:r w:rsidRPr="00EC75B7">
        <w:rPr>
          <w:rFonts w:ascii="Verdana" w:hAnsi="Verdana"/>
          <w:b/>
          <w:color w:val="009DEF"/>
          <w:sz w:val="18"/>
          <w:szCs w:val="18"/>
        </w:rPr>
        <w:t xml:space="preserve">Conclusions on the impact on the socio-economic environment, including public health during the </w:t>
      </w:r>
      <w:r w:rsidRPr="00EC75B7">
        <w:rPr>
          <w:rFonts w:ascii="Verdana" w:hAnsi="Verdana"/>
          <w:b/>
          <w:color w:val="009DEF"/>
          <w:spacing w:val="-2"/>
          <w:sz w:val="18"/>
          <w:szCs w:val="18"/>
        </w:rPr>
        <w:t xml:space="preserve">operational </w:t>
      </w:r>
      <w:r w:rsidRPr="00EC75B7">
        <w:rPr>
          <w:rFonts w:ascii="Verdana" w:hAnsi="Verdana"/>
          <w:b/>
          <w:color w:val="009DEF"/>
          <w:sz w:val="18"/>
          <w:szCs w:val="18"/>
        </w:rPr>
        <w:t>phase</w:t>
      </w:r>
      <w:r w:rsidRPr="00EC75B7">
        <w:rPr>
          <w:rFonts w:ascii="Verdana" w:hAnsi="Verdana"/>
          <w:b/>
          <w:color w:val="009DEF"/>
          <w:spacing w:val="-2"/>
          <w:sz w:val="18"/>
          <w:szCs w:val="18"/>
        </w:rPr>
        <w:t>:</w:t>
      </w:r>
    </w:p>
    <w:p w14:paraId="2873025E" w14:textId="77777777" w:rsidR="008715BE" w:rsidRPr="00EC75B7" w:rsidRDefault="00000000">
      <w:pPr>
        <w:pStyle w:val="Heading5"/>
        <w:spacing w:before="109"/>
        <w:ind w:left="2"/>
        <w:jc w:val="left"/>
        <w:rPr>
          <w:rFonts w:ascii="Verdana" w:hAnsi="Verdana"/>
          <w:b w:val="0"/>
        </w:rPr>
      </w:pPr>
      <w:r w:rsidRPr="00EC75B7">
        <w:rPr>
          <w:rFonts w:ascii="Verdana" w:hAnsi="Verdana"/>
        </w:rPr>
        <w:t>The impact during the operational phase will be felt mainly locally, in the area of the wind farm site and its vicinity, without extending the area of influence to inhabited areas</w:t>
      </w:r>
      <w:r w:rsidRPr="00EC75B7">
        <w:rPr>
          <w:rFonts w:ascii="Verdana" w:hAnsi="Verdana"/>
          <w:b w:val="0"/>
        </w:rPr>
        <w:t xml:space="preserve">. Given </w:t>
      </w:r>
      <w:r w:rsidRPr="00EC75B7">
        <w:rPr>
          <w:rFonts w:ascii="Verdana" w:hAnsi="Verdana"/>
          <w:b w:val="0"/>
          <w:spacing w:val="-2"/>
        </w:rPr>
        <w:t>the location</w:t>
      </w:r>
    </w:p>
    <w:p w14:paraId="5F2E9CE0" w14:textId="77777777" w:rsidR="008715BE" w:rsidRPr="00EC75B7" w:rsidRDefault="00000000">
      <w:pPr>
        <w:pStyle w:val="BodyText"/>
        <w:spacing w:before="109"/>
        <w:ind w:left="2"/>
        <w:rPr>
          <w:rFonts w:ascii="Verdana" w:hAnsi="Verdana"/>
        </w:rPr>
      </w:pPr>
      <w:r w:rsidRPr="00EC75B7">
        <w:rPr>
          <w:rFonts w:ascii="Verdana" w:hAnsi="Verdana"/>
        </w:rPr>
        <w:t xml:space="preserve">of the project outside the built-up area and the distances to the nearest settlements (≥1 km), the operation of the turbines is not likely to cause significant changes to the quality of life and socio-economic opportunities of </w:t>
      </w:r>
      <w:r w:rsidRPr="00EC75B7">
        <w:rPr>
          <w:rFonts w:ascii="Verdana" w:hAnsi="Verdana"/>
          <w:spacing w:val="-2"/>
        </w:rPr>
        <w:t>the population.</w:t>
      </w:r>
    </w:p>
    <w:p w14:paraId="1A451737" w14:textId="77777777" w:rsidR="008715BE" w:rsidRPr="00EC75B7" w:rsidRDefault="00000000">
      <w:pPr>
        <w:pStyle w:val="BodyText"/>
        <w:spacing w:before="148" w:line="285" w:lineRule="auto"/>
        <w:ind w:left="2" w:right="706"/>
        <w:jc w:val="both"/>
        <w:rPr>
          <w:rFonts w:ascii="Verdana" w:hAnsi="Verdana"/>
        </w:rPr>
      </w:pPr>
      <w:r w:rsidRPr="00EC75B7">
        <w:rPr>
          <w:rFonts w:ascii="Verdana" w:hAnsi="Verdana"/>
        </w:rPr>
        <w:t>The potential relevant effect on human health during operation is mainly associated with the noise specific to turbine operation and, occasionally, possible visual discomfort.</w:t>
      </w:r>
      <w:r w:rsidRPr="00EC75B7">
        <w:rPr>
          <w:rFonts w:ascii="Verdana" w:hAnsi="Verdana"/>
          <w:spacing w:val="33"/>
        </w:rPr>
        <w:t xml:space="preserve"> </w:t>
      </w:r>
      <w:r w:rsidRPr="00EC75B7">
        <w:rPr>
          <w:rFonts w:ascii="Verdana" w:hAnsi="Verdana"/>
        </w:rPr>
        <w:t>During operation, in terms of noise levels, the maximum noise level is most likely to be recorded in the turbine area, without being able to propagate to sensitive receptors at levels above the permissible limit, both during the day and at night. Under these conditions, the impact on the health of the population is considered to be low, local, and controllable.</w:t>
      </w:r>
    </w:p>
    <w:p w14:paraId="67986AA6" w14:textId="77777777" w:rsidR="008715BE" w:rsidRPr="00EC75B7" w:rsidRDefault="00000000">
      <w:pPr>
        <w:spacing w:before="75" w:line="360" w:lineRule="auto"/>
        <w:ind w:left="2" w:right="701"/>
        <w:jc w:val="both"/>
        <w:rPr>
          <w:rFonts w:ascii="Verdana" w:hAnsi="Verdana"/>
          <w:b/>
          <w:sz w:val="18"/>
          <w:szCs w:val="18"/>
        </w:rPr>
      </w:pPr>
      <w:r w:rsidRPr="00EC75B7">
        <w:rPr>
          <w:rFonts w:ascii="Verdana" w:hAnsi="Verdana"/>
          <w:sz w:val="18"/>
          <w:szCs w:val="18"/>
        </w:rPr>
        <w:t>In terms of material assets, the operational phase does not involve interventions that affect the existing infrastructure or neighboring uses, and maintenance-related traffic is low and occasional.</w:t>
      </w:r>
      <w:r w:rsidRPr="00EC75B7">
        <w:rPr>
          <w:rFonts w:ascii="Verdana" w:hAnsi="Verdana"/>
          <w:spacing w:val="-2"/>
          <w:sz w:val="18"/>
          <w:szCs w:val="18"/>
        </w:rPr>
        <w:t xml:space="preserve"> </w:t>
      </w:r>
      <w:r w:rsidRPr="00EC75B7">
        <w:rPr>
          <w:rFonts w:ascii="Verdana" w:hAnsi="Verdana"/>
          <w:sz w:val="18"/>
          <w:szCs w:val="18"/>
        </w:rPr>
        <w:t xml:space="preserve">At the same time, the project may </w:t>
      </w:r>
      <w:r w:rsidRPr="00EC75B7">
        <w:rPr>
          <w:rFonts w:ascii="Verdana" w:hAnsi="Verdana"/>
          <w:b/>
          <w:sz w:val="18"/>
          <w:szCs w:val="18"/>
        </w:rPr>
        <w:t xml:space="preserve">generate positive local effects through economic contributions </w:t>
      </w:r>
      <w:r w:rsidRPr="00EC75B7">
        <w:rPr>
          <w:rFonts w:ascii="Verdana" w:hAnsi="Verdana"/>
          <w:sz w:val="18"/>
          <w:szCs w:val="18"/>
        </w:rPr>
        <w:t xml:space="preserve">(payments to landowners, taxes/duties) and the maintenance of a limited number of jobs for exploitation activities. Overall, the socio-economic impact, including on the health of the population, </w:t>
      </w:r>
      <w:r w:rsidRPr="00EC75B7">
        <w:rPr>
          <w:rFonts w:ascii="Verdana" w:hAnsi="Verdana"/>
          <w:b/>
          <w:sz w:val="18"/>
          <w:szCs w:val="18"/>
        </w:rPr>
        <w:t>during the operational phase is considered to be insignificant, local, and reversible.</w:t>
      </w:r>
    </w:p>
    <w:p w14:paraId="5D40620E" w14:textId="77777777" w:rsidR="008715BE" w:rsidRPr="00EC75B7" w:rsidRDefault="008715BE">
      <w:pPr>
        <w:spacing w:line="360" w:lineRule="auto"/>
        <w:jc w:val="both"/>
        <w:rPr>
          <w:rFonts w:ascii="Verdana" w:hAnsi="Verdana"/>
          <w:b/>
          <w:sz w:val="18"/>
          <w:szCs w:val="18"/>
        </w:rPr>
        <w:sectPr w:rsidR="008715BE" w:rsidRPr="00EC75B7">
          <w:pgSz w:w="23820" w:h="16840" w:orient="landscape"/>
          <w:pgMar w:top="1280" w:right="708" w:bottom="1020" w:left="850" w:header="766" w:footer="824" w:gutter="0"/>
          <w:cols w:space="708"/>
        </w:sectPr>
      </w:pPr>
    </w:p>
    <w:p w14:paraId="09FEA7AE" w14:textId="77777777" w:rsidR="008715BE" w:rsidRPr="00EC75B7" w:rsidRDefault="008715BE">
      <w:pPr>
        <w:pStyle w:val="BodyText"/>
        <w:spacing w:before="98"/>
        <w:rPr>
          <w:rFonts w:ascii="Verdana" w:hAnsi="Verdana"/>
          <w:b/>
        </w:rPr>
      </w:pPr>
    </w:p>
    <w:p w14:paraId="0973639B"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81" w:name="_bookmark82"/>
      <w:bookmarkEnd w:id="81"/>
      <w:r w:rsidRPr="00EC75B7">
        <w:rPr>
          <w:rFonts w:ascii="Verdana" w:hAnsi="Verdana"/>
          <w:color w:val="00AFEF"/>
          <w:sz w:val="18"/>
          <w:szCs w:val="18"/>
        </w:rPr>
        <w:t xml:space="preserve">Measures to avoid and reduce the </w:t>
      </w:r>
      <w:r w:rsidRPr="00EC75B7">
        <w:rPr>
          <w:rFonts w:ascii="Verdana" w:hAnsi="Verdana"/>
          <w:color w:val="00AFEF"/>
          <w:spacing w:val="-2"/>
          <w:sz w:val="18"/>
          <w:szCs w:val="18"/>
        </w:rPr>
        <w:t>impact</w:t>
      </w:r>
    </w:p>
    <w:p w14:paraId="2AC0D6ED" w14:textId="77777777" w:rsidR="008715BE" w:rsidRPr="00EC75B7" w:rsidRDefault="008715BE">
      <w:pPr>
        <w:pStyle w:val="BodyText"/>
        <w:spacing w:before="114"/>
        <w:rPr>
          <w:rFonts w:ascii="Verdana" w:hAnsi="Verdana"/>
          <w:b/>
        </w:rPr>
      </w:pPr>
    </w:p>
    <w:p w14:paraId="4301FC9E" w14:textId="77777777" w:rsidR="008715BE" w:rsidRPr="00EC75B7" w:rsidRDefault="00000000">
      <w:pPr>
        <w:pStyle w:val="BodyText"/>
        <w:spacing w:line="357" w:lineRule="auto"/>
        <w:ind w:left="57" w:right="575"/>
        <w:jc w:val="both"/>
        <w:rPr>
          <w:rFonts w:ascii="Verdana" w:hAnsi="Verdana"/>
        </w:rPr>
      </w:pPr>
      <w:r w:rsidRPr="00EC75B7">
        <w:rPr>
          <w:rFonts w:ascii="Verdana" w:hAnsi="Verdana"/>
          <w:b/>
        </w:rPr>
        <w:t xml:space="preserve">During the execution </w:t>
      </w:r>
      <w:r w:rsidRPr="00EC75B7">
        <w:rPr>
          <w:rFonts w:ascii="Verdana" w:hAnsi="Verdana"/>
        </w:rPr>
        <w:t>of the works, no additional measures are necessary to avoid or reduce the impact, given the temporary, local, and reversible nature of the interventions.</w:t>
      </w:r>
    </w:p>
    <w:p w14:paraId="3E450DEB" w14:textId="77777777" w:rsidR="008715BE" w:rsidRPr="00EC75B7" w:rsidRDefault="00000000">
      <w:pPr>
        <w:pStyle w:val="BodyText"/>
        <w:spacing w:before="120" w:line="357" w:lineRule="auto"/>
        <w:ind w:left="57" w:right="565"/>
        <w:jc w:val="both"/>
        <w:rPr>
          <w:rFonts w:ascii="Verdana" w:hAnsi="Verdana"/>
        </w:rPr>
      </w:pPr>
      <w:r w:rsidRPr="00EC75B7">
        <w:rPr>
          <w:rFonts w:ascii="Verdana" w:hAnsi="Verdana"/>
          <w:b/>
        </w:rPr>
        <w:t>During operation</w:t>
      </w:r>
      <w:r w:rsidRPr="00EC75B7">
        <w:rPr>
          <w:rFonts w:ascii="Verdana" w:hAnsi="Verdana"/>
        </w:rPr>
        <w:t xml:space="preserve">, preventive measures and best practices specific to </w:t>
      </w:r>
      <w:r w:rsidRPr="00EC75B7">
        <w:rPr>
          <w:rFonts w:ascii="Verdana" w:hAnsi="Verdana"/>
          <w:spacing w:val="-2"/>
        </w:rPr>
        <w:t>wind farm</w:t>
      </w:r>
      <w:r w:rsidRPr="00EC75B7">
        <w:rPr>
          <w:rFonts w:ascii="Verdana" w:hAnsi="Verdana"/>
        </w:rPr>
        <w:t xml:space="preserve"> operation will be applied to mitigate the potential impact on the social and economic environment, including on public health</w:t>
      </w:r>
      <w:r w:rsidRPr="00EC75B7">
        <w:rPr>
          <w:rFonts w:ascii="Verdana" w:hAnsi="Verdana"/>
          <w:spacing w:val="-2"/>
        </w:rPr>
        <w:t xml:space="preserve">. The facilities will be operated in accordance </w:t>
      </w:r>
      <w:r w:rsidRPr="00EC75B7">
        <w:rPr>
          <w:rFonts w:ascii="Verdana" w:hAnsi="Verdana"/>
        </w:rPr>
        <w:t>with</w:t>
      </w:r>
      <w:r w:rsidRPr="00EC75B7">
        <w:rPr>
          <w:rFonts w:ascii="Verdana" w:hAnsi="Verdana"/>
          <w:spacing w:val="-2"/>
        </w:rPr>
        <w:t xml:space="preserve"> the manufacturer's technical requirements </w:t>
      </w:r>
      <w:r w:rsidRPr="00EC75B7">
        <w:rPr>
          <w:rFonts w:ascii="Verdana" w:hAnsi="Verdana"/>
        </w:rPr>
        <w:t>and the provisions of the legislation in force, so that noise levels, vibrations, and other effects associated with operation are kept within the permitted limits.</w:t>
      </w:r>
      <w:r w:rsidRPr="00EC75B7">
        <w:rPr>
          <w:rFonts w:ascii="Verdana" w:hAnsi="Verdana"/>
          <w:spacing w:val="-13"/>
        </w:rPr>
        <w:t xml:space="preserve"> </w:t>
      </w:r>
      <w:r w:rsidRPr="00EC75B7">
        <w:rPr>
          <w:rFonts w:ascii="Verdana" w:hAnsi="Verdana"/>
        </w:rPr>
        <w:t>Operation and maintenance activities will be organised in such a way as to limit potential discomfort to the population, and the traffic associated with them will be reduced and used mainly on the existing road infrastructure. The operation of the equipment will be monitored periodically in order to prevent situations that could cause discomfort or risks to neighbouring communities.</w:t>
      </w:r>
    </w:p>
    <w:p w14:paraId="7A33C603" w14:textId="77777777" w:rsidR="008715BE" w:rsidRPr="00EC75B7" w:rsidRDefault="00000000">
      <w:pPr>
        <w:spacing w:before="129"/>
        <w:ind w:left="57"/>
        <w:jc w:val="both"/>
        <w:rPr>
          <w:rFonts w:ascii="Verdana" w:hAnsi="Verdana"/>
          <w:sz w:val="18"/>
          <w:szCs w:val="18"/>
        </w:rPr>
      </w:pPr>
      <w:r w:rsidRPr="00EC75B7">
        <w:rPr>
          <w:rFonts w:ascii="Verdana" w:hAnsi="Verdana"/>
          <w:sz w:val="18"/>
          <w:szCs w:val="18"/>
        </w:rPr>
        <w:t xml:space="preserve">The same measures will be implemented </w:t>
      </w:r>
      <w:r w:rsidRPr="00EC75B7">
        <w:rPr>
          <w:rFonts w:ascii="Verdana" w:hAnsi="Verdana"/>
          <w:b/>
          <w:sz w:val="18"/>
          <w:szCs w:val="18"/>
        </w:rPr>
        <w:t xml:space="preserve">during the decommissioning phase </w:t>
      </w:r>
      <w:r w:rsidRPr="00EC75B7">
        <w:rPr>
          <w:rFonts w:ascii="Verdana" w:hAnsi="Verdana"/>
          <w:sz w:val="18"/>
          <w:szCs w:val="18"/>
        </w:rPr>
        <w:t xml:space="preserve">as during the </w:t>
      </w:r>
      <w:r w:rsidRPr="00EC75B7">
        <w:rPr>
          <w:rFonts w:ascii="Verdana" w:hAnsi="Verdana"/>
          <w:spacing w:val="-2"/>
          <w:sz w:val="18"/>
          <w:szCs w:val="18"/>
        </w:rPr>
        <w:t xml:space="preserve">execution </w:t>
      </w:r>
      <w:r w:rsidRPr="00EC75B7">
        <w:rPr>
          <w:rFonts w:ascii="Verdana" w:hAnsi="Verdana"/>
          <w:sz w:val="18"/>
          <w:szCs w:val="18"/>
        </w:rPr>
        <w:t>phase</w:t>
      </w:r>
      <w:r w:rsidRPr="00EC75B7">
        <w:rPr>
          <w:rFonts w:ascii="Verdana" w:hAnsi="Verdana"/>
          <w:spacing w:val="-2"/>
          <w:sz w:val="18"/>
          <w:szCs w:val="18"/>
        </w:rPr>
        <w:t>.</w:t>
      </w:r>
    </w:p>
    <w:p w14:paraId="2F405288" w14:textId="77777777" w:rsidR="008715BE" w:rsidRPr="00EC75B7" w:rsidRDefault="008715BE">
      <w:pPr>
        <w:pStyle w:val="BodyText"/>
        <w:spacing w:before="129"/>
        <w:rPr>
          <w:rFonts w:ascii="Verdana" w:hAnsi="Verdana"/>
        </w:rPr>
      </w:pPr>
    </w:p>
    <w:p w14:paraId="51AB058B" w14:textId="77777777" w:rsidR="008715BE" w:rsidRPr="00EC75B7" w:rsidRDefault="00000000">
      <w:pPr>
        <w:pStyle w:val="Heading2"/>
        <w:numPr>
          <w:ilvl w:val="1"/>
          <w:numId w:val="110"/>
        </w:numPr>
        <w:tabs>
          <w:tab w:val="left" w:pos="1360"/>
        </w:tabs>
        <w:spacing w:before="1"/>
        <w:ind w:left="1360" w:hanging="1245"/>
        <w:jc w:val="left"/>
        <w:rPr>
          <w:rFonts w:ascii="Verdana" w:hAnsi="Verdana"/>
          <w:color w:val="00AFEF"/>
          <w:sz w:val="18"/>
          <w:szCs w:val="18"/>
        </w:rPr>
      </w:pPr>
      <w:bookmarkStart w:id="82" w:name="_bookmark83"/>
      <w:bookmarkEnd w:id="82"/>
      <w:r w:rsidRPr="00EC75B7">
        <w:rPr>
          <w:rFonts w:ascii="Verdana" w:hAnsi="Verdana"/>
          <w:color w:val="00AFEF"/>
          <w:spacing w:val="-2"/>
          <w:sz w:val="18"/>
          <w:szCs w:val="18"/>
        </w:rPr>
        <w:t>Biodiversity</w:t>
      </w:r>
    </w:p>
    <w:p w14:paraId="2900930B" w14:textId="77777777" w:rsidR="008715BE" w:rsidRPr="00EC75B7" w:rsidRDefault="008715BE">
      <w:pPr>
        <w:pStyle w:val="BodyText"/>
        <w:spacing w:before="103"/>
        <w:rPr>
          <w:rFonts w:ascii="Verdana" w:hAnsi="Verdana"/>
          <w:b/>
        </w:rPr>
      </w:pPr>
    </w:p>
    <w:p w14:paraId="1615D5E7" w14:textId="77777777" w:rsidR="008715BE" w:rsidRPr="00EC75B7" w:rsidRDefault="00000000">
      <w:pPr>
        <w:pStyle w:val="BodyText"/>
        <w:spacing w:line="357" w:lineRule="auto"/>
        <w:ind w:left="57" w:right="571"/>
        <w:jc w:val="both"/>
        <w:rPr>
          <w:rFonts w:ascii="Verdana" w:hAnsi="Verdana"/>
        </w:rPr>
      </w:pPr>
      <w:r w:rsidRPr="00EC75B7">
        <w:rPr>
          <w:rFonts w:ascii="Verdana" w:hAnsi="Verdana"/>
        </w:rPr>
        <w:t xml:space="preserve">The general methodological guidelines applied in the project assessment are presented in the methodological chapter of the documentation, and the specific elements of the biodiversity impact assessment are detailed in the sections dedicated to each component analysed (habitats, flora, invertebrates, herpetofauna, avifauna, mammals/chiroptera), including in the context of neighbouring Natura 2000 sites and the </w:t>
      </w:r>
      <w:r w:rsidRPr="00EC75B7">
        <w:rPr>
          <w:rFonts w:ascii="Verdana" w:hAnsi="Verdana"/>
          <w:spacing w:val="-2"/>
        </w:rPr>
        <w:t>cross-border</w:t>
      </w:r>
      <w:r w:rsidRPr="00EC75B7">
        <w:rPr>
          <w:rFonts w:ascii="Verdana" w:hAnsi="Verdana"/>
        </w:rPr>
        <w:t xml:space="preserve"> component</w:t>
      </w:r>
      <w:r w:rsidRPr="00EC75B7">
        <w:rPr>
          <w:rFonts w:ascii="Verdana" w:hAnsi="Verdana"/>
          <w:spacing w:val="-2"/>
        </w:rPr>
        <w:t>.</w:t>
      </w:r>
    </w:p>
    <w:p w14:paraId="5EBBCEA4" w14:textId="77777777" w:rsidR="008715BE" w:rsidRPr="00EC75B7" w:rsidRDefault="00000000">
      <w:pPr>
        <w:pStyle w:val="BodyText"/>
        <w:spacing w:before="122" w:line="357" w:lineRule="auto"/>
        <w:ind w:left="57" w:right="571"/>
        <w:jc w:val="both"/>
        <w:rPr>
          <w:rFonts w:ascii="Verdana" w:hAnsi="Verdana"/>
        </w:rPr>
      </w:pPr>
      <w:r w:rsidRPr="00EC75B7">
        <w:rPr>
          <w:rFonts w:ascii="Verdana" w:hAnsi="Verdana"/>
        </w:rPr>
        <w:t>The assessment of the significance of the impact was based on two main criteria: the sensitivity of the receptors (the value and vulnerability of habitats/species and protected areas in the study area and the area of influence) and the magnitude of the changes induced by the project (the type, extent, duration, frequency, and reversibility of the interventions related to the construction and operation phases).</w:t>
      </w:r>
    </w:p>
    <w:p w14:paraId="65F34D9B" w14:textId="77777777" w:rsidR="008715BE" w:rsidRPr="00EC75B7" w:rsidRDefault="008715BE">
      <w:pPr>
        <w:pStyle w:val="BodyText"/>
        <w:spacing w:before="26"/>
        <w:rPr>
          <w:rFonts w:ascii="Verdana" w:hAnsi="Verdana"/>
        </w:rPr>
      </w:pPr>
    </w:p>
    <w:p w14:paraId="73D7BC03" w14:textId="497236C8" w:rsidR="008715BE" w:rsidRPr="00692EED" w:rsidRDefault="00000000" w:rsidP="00692EED">
      <w:pPr>
        <w:pStyle w:val="ListParagraph"/>
        <w:numPr>
          <w:ilvl w:val="2"/>
          <w:numId w:val="110"/>
        </w:numPr>
        <w:tabs>
          <w:tab w:val="left" w:pos="2037"/>
        </w:tabs>
        <w:spacing w:before="1"/>
        <w:ind w:left="2037" w:hanging="986"/>
        <w:rPr>
          <w:rFonts w:ascii="Verdana" w:hAnsi="Verdana"/>
          <w:b/>
          <w:i/>
          <w:color w:val="00AFEF"/>
          <w:sz w:val="18"/>
          <w:szCs w:val="18"/>
        </w:rPr>
      </w:pPr>
      <w:bookmarkStart w:id="83" w:name="_bookmark84"/>
      <w:bookmarkEnd w:id="83"/>
      <w:r w:rsidRPr="00EC75B7">
        <w:rPr>
          <w:rFonts w:ascii="Verdana" w:hAnsi="Verdana"/>
          <w:b/>
          <w:color w:val="00AFEF"/>
          <w:sz w:val="18"/>
          <w:szCs w:val="18"/>
        </w:rPr>
        <w:t xml:space="preserve">Sensitivity classes and magnitude classes for </w:t>
      </w:r>
      <w:r w:rsidRPr="00EC75B7">
        <w:rPr>
          <w:rFonts w:ascii="Verdana" w:hAnsi="Verdana"/>
          <w:b/>
          <w:color w:val="00AFEF"/>
          <w:spacing w:val="-2"/>
          <w:sz w:val="18"/>
          <w:szCs w:val="18"/>
        </w:rPr>
        <w:t>assessing</w:t>
      </w:r>
      <w:r w:rsidR="00692EED">
        <w:rPr>
          <w:rFonts w:ascii="Verdana" w:hAnsi="Verdana"/>
          <w:b/>
          <w:color w:val="00AFEF"/>
          <w:spacing w:val="-2"/>
          <w:sz w:val="18"/>
          <w:szCs w:val="18"/>
        </w:rPr>
        <w:t xml:space="preserve"> n</w:t>
      </w:r>
      <w:r w:rsidRPr="00692EED">
        <w:rPr>
          <w:rFonts w:ascii="Verdana" w:hAnsi="Verdana"/>
          <w:b/>
          <w:color w:val="00AFEF"/>
          <w:sz w:val="18"/>
          <w:szCs w:val="18"/>
        </w:rPr>
        <w:t xml:space="preserve">impact on </w:t>
      </w:r>
      <w:r w:rsidRPr="00692EED">
        <w:rPr>
          <w:rFonts w:ascii="Verdana" w:hAnsi="Verdana"/>
          <w:b/>
          <w:color w:val="00AFEF"/>
          <w:spacing w:val="-2"/>
          <w:sz w:val="18"/>
          <w:szCs w:val="18"/>
        </w:rPr>
        <w:t>biodiversity</w:t>
      </w:r>
    </w:p>
    <w:p w14:paraId="3654C044" w14:textId="77777777" w:rsidR="008715BE" w:rsidRPr="00EC75B7" w:rsidRDefault="00000000">
      <w:pPr>
        <w:pStyle w:val="ListParagraph"/>
        <w:numPr>
          <w:ilvl w:val="0"/>
          <w:numId w:val="76"/>
        </w:numPr>
        <w:tabs>
          <w:tab w:val="left" w:pos="775"/>
        </w:tabs>
        <w:spacing w:before="121"/>
        <w:ind w:left="775" w:hanging="358"/>
        <w:rPr>
          <w:rFonts w:ascii="Verdana" w:hAnsi="Verdana"/>
          <w:b/>
          <w:sz w:val="18"/>
          <w:szCs w:val="18"/>
        </w:rPr>
      </w:pPr>
      <w:r w:rsidRPr="00EC75B7">
        <w:rPr>
          <w:rFonts w:ascii="Verdana" w:hAnsi="Verdana"/>
          <w:b/>
          <w:color w:val="00AFEF"/>
          <w:spacing w:val="-2"/>
          <w:sz w:val="18"/>
          <w:szCs w:val="18"/>
        </w:rPr>
        <w:t xml:space="preserve">Sensitivity </w:t>
      </w:r>
      <w:r w:rsidRPr="00EC75B7">
        <w:rPr>
          <w:rFonts w:ascii="Verdana" w:hAnsi="Verdana"/>
          <w:b/>
          <w:color w:val="00AFEF"/>
          <w:sz w:val="18"/>
          <w:szCs w:val="18"/>
        </w:rPr>
        <w:t>classes</w:t>
      </w:r>
    </w:p>
    <w:p w14:paraId="6C60D03C" w14:textId="77777777" w:rsidR="008715BE" w:rsidRPr="00EC75B7" w:rsidRDefault="00000000">
      <w:pPr>
        <w:pStyle w:val="BodyText"/>
        <w:spacing w:before="238" w:line="360" w:lineRule="auto"/>
        <w:ind w:left="57" w:right="577"/>
        <w:jc w:val="both"/>
        <w:rPr>
          <w:rFonts w:ascii="Verdana" w:hAnsi="Verdana"/>
        </w:rPr>
      </w:pPr>
      <w:r w:rsidRPr="00EC75B7">
        <w:rPr>
          <w:rFonts w:ascii="Verdana" w:hAnsi="Verdana"/>
        </w:rPr>
        <w:t>The sensitivity classes used to assess the significance of impacts on biodiversity components in the project assessment are summarized in the table below.</w:t>
      </w:r>
    </w:p>
    <w:p w14:paraId="59217E57" w14:textId="77777777" w:rsidR="008715BE" w:rsidRPr="00EC75B7" w:rsidRDefault="00000000">
      <w:pPr>
        <w:spacing w:before="166"/>
        <w:ind w:left="57"/>
        <w:jc w:val="both"/>
        <w:rPr>
          <w:rFonts w:ascii="Verdana" w:hAnsi="Verdana"/>
          <w:b/>
          <w:sz w:val="18"/>
          <w:szCs w:val="18"/>
        </w:rPr>
      </w:pPr>
      <w:r w:rsidRPr="00EC75B7">
        <w:rPr>
          <w:rFonts w:ascii="Verdana" w:hAnsi="Verdana"/>
          <w:b/>
          <w:color w:val="00AFEF"/>
          <w:sz w:val="18"/>
          <w:szCs w:val="18"/>
        </w:rPr>
        <w:t xml:space="preserve">Table 27 Sensitivity classes used in assessing the impact on </w:t>
      </w:r>
      <w:r w:rsidRPr="00EC75B7">
        <w:rPr>
          <w:rFonts w:ascii="Verdana" w:hAnsi="Verdana"/>
          <w:b/>
          <w:color w:val="00AFEF"/>
          <w:spacing w:val="-2"/>
          <w:sz w:val="18"/>
          <w:szCs w:val="18"/>
        </w:rPr>
        <w:t xml:space="preserve">biodiversity </w:t>
      </w:r>
      <w:r w:rsidRPr="00EC75B7">
        <w:rPr>
          <w:rFonts w:ascii="Verdana" w:hAnsi="Verdana"/>
          <w:b/>
          <w:color w:val="00AFEF"/>
          <w:sz w:val="18"/>
          <w:szCs w:val="18"/>
        </w:rPr>
        <w:t>components</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771"/>
        <w:gridCol w:w="4678"/>
        <w:gridCol w:w="142"/>
        <w:gridCol w:w="3583"/>
      </w:tblGrid>
      <w:tr w:rsidR="008715BE" w:rsidRPr="00EC75B7" w14:paraId="58065993" w14:textId="77777777" w:rsidTr="0053798D">
        <w:trPr>
          <w:trHeight w:val="388"/>
        </w:trPr>
        <w:tc>
          <w:tcPr>
            <w:tcW w:w="1771" w:type="dxa"/>
            <w:shd w:val="clear" w:color="auto" w:fill="00AFEF"/>
          </w:tcPr>
          <w:p w14:paraId="74F8A2D9"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color w:val="FFFFFF"/>
                <w:spacing w:val="-2"/>
                <w:sz w:val="18"/>
                <w:szCs w:val="18"/>
              </w:rPr>
              <w:t>Sensitivity</w:t>
            </w:r>
          </w:p>
        </w:tc>
        <w:tc>
          <w:tcPr>
            <w:tcW w:w="4820" w:type="dxa"/>
            <w:gridSpan w:val="2"/>
            <w:shd w:val="clear" w:color="auto" w:fill="00AFEF"/>
          </w:tcPr>
          <w:p w14:paraId="018C5779"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3583" w:type="dxa"/>
            <w:shd w:val="clear" w:color="auto" w:fill="00AFEF"/>
          </w:tcPr>
          <w:p w14:paraId="00045B28" w14:textId="293FC3B7" w:rsidR="008715BE" w:rsidRPr="00EC75B7" w:rsidRDefault="00C96230">
            <w:pPr>
              <w:pStyle w:val="TableParagraph"/>
              <w:spacing w:line="195" w:lineRule="exact"/>
              <w:ind w:left="109"/>
              <w:rPr>
                <w:rFonts w:ascii="Verdana" w:hAnsi="Verdana"/>
                <w:b/>
                <w:sz w:val="18"/>
                <w:szCs w:val="18"/>
              </w:rPr>
            </w:pPr>
            <w:r w:rsidRPr="00C96230">
              <w:rPr>
                <w:rFonts w:ascii="Verdana" w:hAnsi="Verdana"/>
                <w:b/>
                <w:color w:val="FFFFFF"/>
                <w:spacing w:val="-5"/>
                <w:sz w:val="18"/>
                <w:szCs w:val="18"/>
              </w:rPr>
              <w:t>Identif</w:t>
            </w:r>
            <w:r w:rsidRPr="00EC75B7">
              <w:rPr>
                <w:rFonts w:ascii="Verdana" w:hAnsi="Verdana"/>
                <w:b/>
                <w:color w:val="FFFFFF"/>
                <w:sz w:val="18"/>
                <w:szCs w:val="18"/>
              </w:rPr>
              <w:t>ied areas</w:t>
            </w:r>
            <w:r w:rsidRPr="00EC75B7">
              <w:rPr>
                <w:rFonts w:ascii="Verdana" w:hAnsi="Verdana"/>
                <w:b/>
                <w:color w:val="FFFFFF"/>
                <w:spacing w:val="33"/>
                <w:sz w:val="18"/>
                <w:szCs w:val="18"/>
              </w:rPr>
              <w:t xml:space="preserve"> </w:t>
            </w:r>
            <w:r w:rsidRPr="00EC75B7">
              <w:rPr>
                <w:rFonts w:ascii="Verdana" w:hAnsi="Verdana"/>
                <w:b/>
                <w:color w:val="FFFFFF"/>
                <w:sz w:val="18"/>
                <w:szCs w:val="18"/>
              </w:rPr>
              <w:t>in the</w:t>
            </w:r>
            <w:r>
              <w:rPr>
                <w:rFonts w:ascii="Verdana" w:hAnsi="Verdana"/>
                <w:b/>
                <w:color w:val="FFFFFF"/>
                <w:spacing w:val="31"/>
                <w:sz w:val="18"/>
                <w:szCs w:val="18"/>
              </w:rPr>
              <w:t xml:space="preserve"> </w:t>
            </w:r>
            <w:r w:rsidRPr="00EC75B7">
              <w:rPr>
                <w:rFonts w:ascii="Verdana" w:hAnsi="Verdana"/>
                <w:b/>
                <w:color w:val="FFFFFF"/>
                <w:spacing w:val="-5"/>
                <w:sz w:val="18"/>
                <w:szCs w:val="18"/>
              </w:rPr>
              <w:t xml:space="preserve">project implementation </w:t>
            </w:r>
            <w:r w:rsidRPr="00EC75B7">
              <w:rPr>
                <w:rFonts w:ascii="Verdana" w:hAnsi="Verdana"/>
                <w:b/>
                <w:color w:val="FFFFFF"/>
                <w:sz w:val="18"/>
                <w:szCs w:val="18"/>
              </w:rPr>
              <w:t>area</w:t>
            </w:r>
          </w:p>
          <w:p w14:paraId="4229C8BA" w14:textId="2BF876D1" w:rsidR="008715BE" w:rsidRPr="00EC75B7" w:rsidRDefault="008715BE">
            <w:pPr>
              <w:pStyle w:val="TableParagraph"/>
              <w:spacing w:line="174" w:lineRule="exact"/>
              <w:ind w:left="109"/>
              <w:rPr>
                <w:rFonts w:ascii="Verdana" w:hAnsi="Verdana"/>
                <w:b/>
                <w:sz w:val="18"/>
                <w:szCs w:val="18"/>
              </w:rPr>
            </w:pPr>
          </w:p>
        </w:tc>
      </w:tr>
      <w:tr w:rsidR="008715BE" w:rsidRPr="00EC75B7" w14:paraId="39552968" w14:textId="77777777" w:rsidTr="0053798D">
        <w:trPr>
          <w:trHeight w:val="1168"/>
        </w:trPr>
        <w:tc>
          <w:tcPr>
            <w:tcW w:w="1771" w:type="dxa"/>
            <w:shd w:val="clear" w:color="auto" w:fill="92D050"/>
          </w:tcPr>
          <w:p w14:paraId="06A753B1"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spacing w:val="-4"/>
                <w:sz w:val="18"/>
                <w:szCs w:val="18"/>
              </w:rPr>
              <w:t>Small</w:t>
            </w:r>
          </w:p>
        </w:tc>
        <w:tc>
          <w:tcPr>
            <w:tcW w:w="4678" w:type="dxa"/>
            <w:tcBorders>
              <w:top w:val="nil"/>
              <w:bottom w:val="nil"/>
            </w:tcBorders>
            <w:shd w:val="clear" w:color="auto" w:fill="D9D9D9"/>
          </w:tcPr>
          <w:p w14:paraId="5C42675E" w14:textId="77777777" w:rsidR="008715BE" w:rsidRPr="00EC75B7" w:rsidRDefault="00000000">
            <w:pPr>
              <w:pStyle w:val="TableParagraph"/>
              <w:spacing w:before="2"/>
              <w:ind w:left="108" w:right="94"/>
              <w:jc w:val="both"/>
              <w:rPr>
                <w:rFonts w:ascii="Verdana" w:hAnsi="Verdana"/>
                <w:sz w:val="18"/>
                <w:szCs w:val="18"/>
              </w:rPr>
            </w:pPr>
            <w:r w:rsidRPr="00EC75B7">
              <w:rPr>
                <w:rFonts w:ascii="Verdana" w:hAnsi="Verdana"/>
                <w:sz w:val="18"/>
                <w:szCs w:val="18"/>
              </w:rPr>
              <w:t>Anthropized habitats (e.g., plantations, agricultural crops, abandoned agricultural land, ruderal plant communities, etc.) without management objectives and without the presence of species of conservation interest.</w:t>
            </w:r>
          </w:p>
        </w:tc>
        <w:tc>
          <w:tcPr>
            <w:tcW w:w="3725" w:type="dxa"/>
            <w:gridSpan w:val="2"/>
            <w:tcBorders>
              <w:top w:val="nil"/>
              <w:bottom w:val="nil"/>
            </w:tcBorders>
            <w:shd w:val="clear" w:color="auto" w:fill="D9D9D9"/>
          </w:tcPr>
          <w:p w14:paraId="7A847895" w14:textId="77777777" w:rsidR="008715BE" w:rsidRPr="00EC75B7" w:rsidRDefault="00000000">
            <w:pPr>
              <w:pStyle w:val="TableParagraph"/>
              <w:spacing w:before="2"/>
              <w:ind w:left="109" w:right="95"/>
              <w:jc w:val="both"/>
              <w:rPr>
                <w:rFonts w:ascii="Verdana" w:hAnsi="Verdana"/>
                <w:sz w:val="18"/>
                <w:szCs w:val="18"/>
              </w:rPr>
            </w:pPr>
            <w:r w:rsidRPr="00EC75B7">
              <w:rPr>
                <w:rFonts w:ascii="Verdana" w:hAnsi="Verdana"/>
                <w:sz w:val="18"/>
                <w:szCs w:val="18"/>
              </w:rPr>
              <w:t xml:space="preserve">Non-irrigated agricultural/arable land (turbine location area), existing/modernized communal and farm roads, intensively used agricultural land </w:t>
            </w:r>
            <w:r w:rsidRPr="00EC75B7">
              <w:rPr>
                <w:rFonts w:ascii="Verdana" w:hAnsi="Verdana"/>
                <w:spacing w:val="-5"/>
                <w:sz w:val="18"/>
                <w:szCs w:val="18"/>
              </w:rPr>
              <w:t>in</w:t>
            </w:r>
          </w:p>
          <w:p w14:paraId="4712DA80" w14:textId="77777777" w:rsidR="008715BE" w:rsidRPr="00EC75B7" w:rsidRDefault="00000000">
            <w:pPr>
              <w:pStyle w:val="TableParagraph"/>
              <w:spacing w:line="170" w:lineRule="exact"/>
              <w:ind w:left="109"/>
              <w:rPr>
                <w:rFonts w:ascii="Verdana" w:hAnsi="Verdana"/>
                <w:sz w:val="18"/>
                <w:szCs w:val="18"/>
              </w:rPr>
            </w:pPr>
            <w:r w:rsidRPr="00EC75B7">
              <w:rPr>
                <w:rFonts w:ascii="Verdana" w:hAnsi="Verdana"/>
                <w:spacing w:val="-2"/>
                <w:sz w:val="18"/>
                <w:szCs w:val="18"/>
              </w:rPr>
              <w:t>outside built-up areas.</w:t>
            </w:r>
          </w:p>
        </w:tc>
      </w:tr>
      <w:tr w:rsidR="008715BE" w:rsidRPr="00EC75B7" w14:paraId="7F6DC7D5" w14:textId="77777777" w:rsidTr="0053798D">
        <w:trPr>
          <w:trHeight w:val="1165"/>
        </w:trPr>
        <w:tc>
          <w:tcPr>
            <w:tcW w:w="1771" w:type="dxa"/>
            <w:shd w:val="clear" w:color="auto" w:fill="FFFF00"/>
          </w:tcPr>
          <w:p w14:paraId="13224A82"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Moderate</w:t>
            </w:r>
          </w:p>
        </w:tc>
        <w:tc>
          <w:tcPr>
            <w:tcW w:w="4678" w:type="dxa"/>
          </w:tcPr>
          <w:p w14:paraId="25911AE5"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Sustainable development areas within protected natural areas of national interest;</w:t>
            </w:r>
          </w:p>
          <w:p w14:paraId="4AC18979"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Habitats favorable to species of Community and national interest, located outside protected natural areas</w:t>
            </w:r>
            <w:r w:rsidRPr="00EC75B7">
              <w:rPr>
                <w:rFonts w:ascii="Verdana" w:hAnsi="Verdana"/>
                <w:spacing w:val="58"/>
                <w:sz w:val="18"/>
                <w:szCs w:val="18"/>
              </w:rPr>
              <w:t xml:space="preserve">   </w:t>
            </w:r>
            <w:r w:rsidRPr="00EC75B7">
              <w:rPr>
                <w:rFonts w:ascii="Verdana" w:hAnsi="Verdana"/>
                <w:sz w:val="18"/>
                <w:szCs w:val="18"/>
              </w:rPr>
              <w:t xml:space="preserve"> (species</w:t>
            </w:r>
            <w:r w:rsidRPr="00EC75B7">
              <w:rPr>
                <w:rFonts w:ascii="Verdana" w:hAnsi="Verdana"/>
                <w:spacing w:val="60"/>
                <w:sz w:val="18"/>
                <w:szCs w:val="18"/>
              </w:rPr>
              <w:t xml:space="preserve">   </w:t>
            </w:r>
            <w:r w:rsidRPr="00EC75B7">
              <w:rPr>
                <w:rFonts w:ascii="Verdana" w:hAnsi="Verdana"/>
                <w:sz w:val="18"/>
                <w:szCs w:val="18"/>
              </w:rPr>
              <w:t xml:space="preserve"> are</w:t>
            </w:r>
            <w:r w:rsidRPr="00EC75B7">
              <w:rPr>
                <w:rFonts w:ascii="Verdana" w:hAnsi="Verdana"/>
                <w:spacing w:val="58"/>
                <w:sz w:val="18"/>
                <w:szCs w:val="18"/>
              </w:rPr>
              <w:t xml:space="preserve">   </w:t>
            </w:r>
            <w:r w:rsidRPr="00EC75B7">
              <w:rPr>
                <w:rFonts w:ascii="Verdana" w:hAnsi="Verdana"/>
                <w:sz w:val="18"/>
                <w:szCs w:val="18"/>
              </w:rPr>
              <w:t xml:space="preserve"> abundant/</w:t>
            </w:r>
            <w:r w:rsidRPr="00EC75B7">
              <w:rPr>
                <w:rFonts w:ascii="Verdana" w:hAnsi="Verdana"/>
                <w:spacing w:val="59"/>
                <w:sz w:val="18"/>
                <w:szCs w:val="18"/>
              </w:rPr>
              <w:t xml:space="preserve">   </w:t>
            </w:r>
            <w:r w:rsidRPr="00EC75B7">
              <w:rPr>
                <w:rFonts w:ascii="Verdana" w:hAnsi="Verdana"/>
                <w:spacing w:val="-5"/>
                <w:sz w:val="18"/>
                <w:szCs w:val="18"/>
              </w:rPr>
              <w:t xml:space="preserve"> new</w:t>
            </w:r>
          </w:p>
        </w:tc>
        <w:tc>
          <w:tcPr>
            <w:tcW w:w="3725" w:type="dxa"/>
            <w:gridSpan w:val="2"/>
          </w:tcPr>
          <w:p w14:paraId="7DC3CF54" w14:textId="77777777" w:rsidR="008715BE" w:rsidRPr="00EC75B7" w:rsidRDefault="00000000">
            <w:pPr>
              <w:pStyle w:val="TableParagraph"/>
              <w:tabs>
                <w:tab w:val="left" w:pos="1893"/>
              </w:tabs>
              <w:ind w:left="109" w:right="95"/>
              <w:jc w:val="both"/>
              <w:rPr>
                <w:rFonts w:ascii="Verdana" w:hAnsi="Verdana"/>
                <w:sz w:val="18"/>
                <w:szCs w:val="18"/>
              </w:rPr>
            </w:pPr>
            <w:r w:rsidRPr="00EC75B7">
              <w:rPr>
                <w:rFonts w:ascii="Verdana" w:hAnsi="Verdana"/>
                <w:sz w:val="18"/>
                <w:szCs w:val="18"/>
              </w:rPr>
              <w:t xml:space="preserve">Agricultural mosaic with significant areas of natural vegetation (strips/islands of ruderal grassland vegetation and sparse scrub at the edges </w:t>
            </w:r>
            <w:r w:rsidRPr="00EC75B7">
              <w:rPr>
                <w:rFonts w:ascii="Verdana" w:hAnsi="Verdana"/>
                <w:spacing w:val="-2"/>
                <w:sz w:val="18"/>
                <w:szCs w:val="18"/>
              </w:rPr>
              <w:t>of plots),</w:t>
            </w:r>
            <w:r w:rsidRPr="00EC75B7">
              <w:rPr>
                <w:rFonts w:ascii="Verdana" w:hAnsi="Verdana"/>
                <w:sz w:val="18"/>
                <w:szCs w:val="18"/>
              </w:rPr>
              <w:tab/>
            </w:r>
            <w:r w:rsidRPr="00EC75B7">
              <w:rPr>
                <w:rFonts w:ascii="Verdana" w:hAnsi="Verdana"/>
                <w:spacing w:val="-2"/>
                <w:sz w:val="18"/>
                <w:szCs w:val="18"/>
              </w:rPr>
              <w:t>meadows/pastures</w:t>
            </w:r>
          </w:p>
          <w:p w14:paraId="5BF5CAB1" w14:textId="77777777" w:rsidR="008715BE" w:rsidRPr="00EC75B7" w:rsidRDefault="00000000">
            <w:pPr>
              <w:pStyle w:val="TableParagraph"/>
              <w:spacing w:line="170" w:lineRule="exact"/>
              <w:ind w:left="109"/>
              <w:jc w:val="both"/>
              <w:rPr>
                <w:rFonts w:ascii="Verdana" w:hAnsi="Verdana"/>
                <w:sz w:val="18"/>
                <w:szCs w:val="18"/>
              </w:rPr>
            </w:pPr>
            <w:r w:rsidRPr="00EC75B7">
              <w:rPr>
                <w:rFonts w:ascii="Verdana" w:hAnsi="Verdana"/>
                <w:sz w:val="18"/>
                <w:szCs w:val="18"/>
              </w:rPr>
              <w:t xml:space="preserve">degraded/overgrazed at </w:t>
            </w:r>
            <w:r w:rsidRPr="00EC75B7">
              <w:rPr>
                <w:rFonts w:ascii="Verdana" w:hAnsi="Verdana"/>
                <w:spacing w:val="-2"/>
                <w:sz w:val="18"/>
                <w:szCs w:val="18"/>
              </w:rPr>
              <w:t>the level</w:t>
            </w:r>
          </w:p>
        </w:tc>
      </w:tr>
    </w:tbl>
    <w:p w14:paraId="319826EC" w14:textId="77777777" w:rsidR="008715BE" w:rsidRPr="00EC75B7" w:rsidRDefault="008715BE">
      <w:pPr>
        <w:pStyle w:val="TableParagraph"/>
        <w:spacing w:line="170" w:lineRule="exact"/>
        <w:jc w:val="both"/>
        <w:rPr>
          <w:rFonts w:ascii="Verdana" w:hAnsi="Verdana"/>
          <w:sz w:val="18"/>
          <w:szCs w:val="18"/>
        </w:rPr>
        <w:sectPr w:rsidR="008715BE" w:rsidRPr="00EC75B7">
          <w:headerReference w:type="default" r:id="rId192"/>
          <w:footerReference w:type="default" r:id="rId193"/>
          <w:pgSz w:w="11910" w:h="16840"/>
          <w:pgMar w:top="1320" w:right="425" w:bottom="1020" w:left="1133" w:header="766" w:footer="824" w:gutter="0"/>
          <w:cols w:space="708"/>
        </w:sectPr>
      </w:pPr>
    </w:p>
    <w:p w14:paraId="3519FEFB"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96"/>
        <w:gridCol w:w="4393"/>
        <w:gridCol w:w="3085"/>
      </w:tblGrid>
      <w:tr w:rsidR="008715BE" w:rsidRPr="00EC75B7" w14:paraId="6F66F83C" w14:textId="77777777">
        <w:trPr>
          <w:trHeight w:val="388"/>
        </w:trPr>
        <w:tc>
          <w:tcPr>
            <w:tcW w:w="2696" w:type="dxa"/>
            <w:shd w:val="clear" w:color="auto" w:fill="00AFEF"/>
          </w:tcPr>
          <w:p w14:paraId="4157B575"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4393" w:type="dxa"/>
            <w:shd w:val="clear" w:color="auto" w:fill="00AFEF"/>
          </w:tcPr>
          <w:p w14:paraId="5CD90DE9"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3085" w:type="dxa"/>
            <w:shd w:val="clear" w:color="auto" w:fill="00AFEF"/>
          </w:tcPr>
          <w:p w14:paraId="0DF79DA2" w14:textId="77777777" w:rsidR="008715BE" w:rsidRPr="00EC75B7" w:rsidRDefault="00000000">
            <w:pPr>
              <w:pStyle w:val="TableParagraph"/>
              <w:spacing w:line="194" w:lineRule="exact"/>
              <w:ind w:left="109"/>
              <w:rPr>
                <w:rFonts w:ascii="Verdana" w:hAnsi="Verdana"/>
                <w:b/>
                <w:sz w:val="18"/>
                <w:szCs w:val="18"/>
              </w:rPr>
            </w:pPr>
            <w:r w:rsidRPr="00EC75B7">
              <w:rPr>
                <w:rFonts w:ascii="Verdana" w:hAnsi="Verdana"/>
                <w:b/>
                <w:color w:val="FFFFFF"/>
                <w:sz w:val="18"/>
                <w:szCs w:val="18"/>
              </w:rPr>
              <w:t>Areas identified in the project implementation area</w:t>
            </w:r>
          </w:p>
        </w:tc>
      </w:tr>
      <w:tr w:rsidR="008715BE" w:rsidRPr="00EC75B7" w14:paraId="20BDDAC8" w14:textId="77777777">
        <w:trPr>
          <w:trHeight w:val="1749"/>
        </w:trPr>
        <w:tc>
          <w:tcPr>
            <w:tcW w:w="2696" w:type="dxa"/>
            <w:shd w:val="clear" w:color="auto" w:fill="FFFF00"/>
          </w:tcPr>
          <w:p w14:paraId="5C4E1254" w14:textId="77777777" w:rsidR="008715BE" w:rsidRPr="00EC75B7" w:rsidRDefault="008715BE">
            <w:pPr>
              <w:pStyle w:val="TableParagraph"/>
              <w:rPr>
                <w:rFonts w:ascii="Verdana" w:hAnsi="Verdana"/>
                <w:sz w:val="18"/>
                <w:szCs w:val="18"/>
              </w:rPr>
            </w:pPr>
          </w:p>
        </w:tc>
        <w:tc>
          <w:tcPr>
            <w:tcW w:w="4393" w:type="dxa"/>
          </w:tcPr>
          <w:p w14:paraId="3A21F629" w14:textId="77777777" w:rsidR="008715BE" w:rsidRPr="00EC75B7" w:rsidRDefault="00000000">
            <w:pPr>
              <w:pStyle w:val="TableParagraph"/>
              <w:spacing w:before="8"/>
              <w:ind w:left="108" w:right="95"/>
              <w:jc w:val="both"/>
              <w:rPr>
                <w:rFonts w:ascii="Verdana" w:hAnsi="Verdana"/>
                <w:sz w:val="18"/>
                <w:szCs w:val="18"/>
              </w:rPr>
            </w:pPr>
            <w:r w:rsidRPr="00EC75B7">
              <w:rPr>
                <w:rFonts w:ascii="Verdana" w:hAnsi="Verdana"/>
                <w:sz w:val="18"/>
                <w:szCs w:val="18"/>
              </w:rPr>
              <w:t xml:space="preserve">recorded; main </w:t>
            </w:r>
            <w:r w:rsidRPr="00EC75B7">
              <w:rPr>
                <w:rFonts w:ascii="Verdana" w:hAnsi="Verdana"/>
                <w:spacing w:val="-2"/>
                <w:sz w:val="18"/>
                <w:szCs w:val="18"/>
              </w:rPr>
              <w:t xml:space="preserve">migration </w:t>
            </w:r>
            <w:r w:rsidRPr="00EC75B7">
              <w:rPr>
                <w:rFonts w:ascii="Verdana" w:hAnsi="Verdana"/>
                <w:sz w:val="18"/>
                <w:szCs w:val="18"/>
              </w:rPr>
              <w:t>routes identified</w:t>
            </w:r>
            <w:r w:rsidRPr="00EC75B7">
              <w:rPr>
                <w:rFonts w:ascii="Verdana" w:hAnsi="Verdana"/>
                <w:spacing w:val="-2"/>
                <w:sz w:val="18"/>
                <w:szCs w:val="18"/>
              </w:rPr>
              <w:t>);</w:t>
            </w:r>
          </w:p>
          <w:p w14:paraId="43ED4DF9" w14:textId="77777777" w:rsidR="008715BE" w:rsidRPr="00EC75B7" w:rsidRDefault="00000000">
            <w:pPr>
              <w:pStyle w:val="TableParagraph"/>
              <w:ind w:left="108" w:right="95"/>
              <w:jc w:val="both"/>
              <w:rPr>
                <w:rFonts w:ascii="Verdana" w:hAnsi="Verdana"/>
                <w:sz w:val="18"/>
                <w:szCs w:val="18"/>
              </w:rPr>
            </w:pPr>
            <w:r w:rsidRPr="00EC75B7">
              <w:rPr>
                <w:rFonts w:ascii="Verdana" w:hAnsi="Verdana"/>
                <w:sz w:val="18"/>
                <w:szCs w:val="18"/>
              </w:rPr>
              <w:t>High nature value (HNV) grasslands, grasslands important for birds, grasslands important for butterflies, traditional orchards with hay meadows in hilly and mountainous areas;</w:t>
            </w:r>
          </w:p>
          <w:p w14:paraId="01D52373" w14:textId="77777777" w:rsidR="008715BE" w:rsidRPr="00EC75B7" w:rsidRDefault="00000000">
            <w:pPr>
              <w:pStyle w:val="TableParagraph"/>
              <w:spacing w:line="191" w:lineRule="exact"/>
              <w:ind w:left="108"/>
              <w:rPr>
                <w:rFonts w:ascii="Verdana" w:hAnsi="Verdana"/>
                <w:sz w:val="18"/>
                <w:szCs w:val="18"/>
              </w:rPr>
            </w:pPr>
            <w:r w:rsidRPr="00EC75B7">
              <w:rPr>
                <w:rFonts w:ascii="Verdana" w:hAnsi="Verdana"/>
                <w:spacing w:val="22"/>
                <w:sz w:val="18"/>
                <w:szCs w:val="18"/>
              </w:rPr>
              <w:t xml:space="preserve">  </w:t>
            </w:r>
            <w:r w:rsidRPr="00EC75B7">
              <w:rPr>
                <w:rFonts w:ascii="Verdana" w:hAnsi="Verdana"/>
                <w:sz w:val="18"/>
                <w:szCs w:val="18"/>
              </w:rPr>
              <w:t xml:space="preserve"> Semi-natural ecosystems</w:t>
            </w:r>
            <w:r w:rsidRPr="00EC75B7">
              <w:rPr>
                <w:rFonts w:ascii="Verdana" w:hAnsi="Verdana"/>
                <w:spacing w:val="24"/>
                <w:sz w:val="18"/>
                <w:szCs w:val="18"/>
              </w:rPr>
              <w:t xml:space="preserve">  </w:t>
            </w:r>
            <w:r w:rsidRPr="00EC75B7">
              <w:rPr>
                <w:rFonts w:ascii="Verdana" w:hAnsi="Verdana"/>
                <w:sz w:val="18"/>
                <w:szCs w:val="18"/>
              </w:rPr>
              <w:t xml:space="preserve"> which</w:t>
            </w:r>
            <w:r w:rsidRPr="00EC75B7">
              <w:rPr>
                <w:rFonts w:ascii="Verdana" w:hAnsi="Verdana"/>
                <w:spacing w:val="23"/>
                <w:sz w:val="18"/>
                <w:szCs w:val="18"/>
              </w:rPr>
              <w:t xml:space="preserve">  </w:t>
            </w:r>
            <w:r w:rsidRPr="00EC75B7">
              <w:rPr>
                <w:rFonts w:ascii="Verdana" w:hAnsi="Verdana"/>
                <w:sz w:val="18"/>
                <w:szCs w:val="18"/>
              </w:rPr>
              <w:t xml:space="preserve"> are not</w:t>
            </w:r>
            <w:r w:rsidRPr="00EC75B7">
              <w:rPr>
                <w:rFonts w:ascii="Verdana" w:hAnsi="Verdana"/>
                <w:spacing w:val="22"/>
                <w:sz w:val="18"/>
                <w:szCs w:val="18"/>
              </w:rPr>
              <w:t xml:space="preserve">  </w:t>
            </w:r>
            <w:r w:rsidRPr="00EC75B7">
              <w:rPr>
                <w:rFonts w:ascii="Verdana" w:hAnsi="Verdana"/>
                <w:spacing w:val="-2"/>
                <w:sz w:val="18"/>
                <w:szCs w:val="18"/>
              </w:rPr>
              <w:t xml:space="preserve"> subject to</w:t>
            </w:r>
            <w:r w:rsidRPr="00EC75B7">
              <w:rPr>
                <w:rFonts w:ascii="Verdana" w:hAnsi="Verdana"/>
                <w:spacing w:val="23"/>
                <w:sz w:val="18"/>
                <w:szCs w:val="18"/>
              </w:rPr>
              <w:t xml:space="preserve">  </w:t>
            </w:r>
            <w:r w:rsidRPr="00EC75B7">
              <w:rPr>
                <w:rFonts w:ascii="Verdana" w:hAnsi="Verdana"/>
                <w:spacing w:val="-2"/>
                <w:sz w:val="18"/>
                <w:szCs w:val="18"/>
              </w:rPr>
              <w:t xml:space="preserve"> conservation (e.g.: reserves xml-ph-0002@deepl.com)</w:t>
            </w:r>
          </w:p>
          <w:p w14:paraId="68BDAC05"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conservation</w:t>
            </w:r>
            <w:r w:rsidRPr="00EC75B7">
              <w:rPr>
                <w:rFonts w:ascii="Verdana" w:hAnsi="Verdana"/>
                <w:spacing w:val="42"/>
                <w:sz w:val="18"/>
                <w:szCs w:val="18"/>
              </w:rPr>
              <w:t xml:space="preserve">  </w:t>
            </w:r>
            <w:r w:rsidRPr="00EC75B7">
              <w:rPr>
                <w:rFonts w:ascii="Verdana" w:hAnsi="Verdana"/>
                <w:sz w:val="18"/>
                <w:szCs w:val="18"/>
              </w:rPr>
              <w:t xml:space="preserve"> (e.g.,</w:t>
            </w:r>
            <w:r w:rsidRPr="00EC75B7">
              <w:rPr>
                <w:rFonts w:ascii="Verdana" w:hAnsi="Verdana"/>
                <w:spacing w:val="41"/>
                <w:sz w:val="18"/>
                <w:szCs w:val="18"/>
              </w:rPr>
              <w:t xml:space="preserve">  </w:t>
            </w:r>
            <w:r w:rsidRPr="00EC75B7">
              <w:rPr>
                <w:rFonts w:ascii="Verdana" w:hAnsi="Verdana"/>
                <w:sz w:val="18"/>
                <w:szCs w:val="18"/>
              </w:rPr>
              <w:t xml:space="preserve"> seed reserves,</w:t>
            </w:r>
            <w:r w:rsidRPr="00EC75B7">
              <w:rPr>
                <w:rFonts w:ascii="Verdana" w:hAnsi="Verdana"/>
                <w:spacing w:val="42"/>
                <w:sz w:val="18"/>
                <w:szCs w:val="18"/>
              </w:rPr>
              <w:t xml:space="preserve">  </w:t>
            </w:r>
            <w:r w:rsidRPr="00EC75B7">
              <w:rPr>
                <w:rFonts w:ascii="Verdana" w:hAnsi="Verdana"/>
                <w:spacing w:val="-2"/>
                <w:sz w:val="18"/>
                <w:szCs w:val="18"/>
              </w:rPr>
              <w:t xml:space="preserve"> </w:t>
            </w:r>
            <w:r w:rsidRPr="00EC75B7">
              <w:rPr>
                <w:rFonts w:ascii="Verdana" w:hAnsi="Verdana"/>
                <w:spacing w:val="41"/>
                <w:sz w:val="18"/>
                <w:szCs w:val="18"/>
              </w:rPr>
              <w:t xml:space="preserve">  </w:t>
            </w:r>
            <w:r w:rsidRPr="00EC75B7">
              <w:rPr>
                <w:rFonts w:ascii="Verdana" w:hAnsi="Verdana"/>
                <w:spacing w:val="-2"/>
                <w:sz w:val="18"/>
                <w:szCs w:val="18"/>
              </w:rPr>
              <w:t xml:space="preserve"> parks</w:t>
            </w:r>
          </w:p>
          <w:p w14:paraId="4F7D3354"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z w:val="18"/>
                <w:szCs w:val="18"/>
              </w:rPr>
              <w:t xml:space="preserve">dendrological parks, urban parks and gardens, </w:t>
            </w:r>
            <w:r w:rsidRPr="00EC75B7">
              <w:rPr>
                <w:rFonts w:ascii="Verdana" w:hAnsi="Verdana"/>
                <w:spacing w:val="-2"/>
                <w:sz w:val="18"/>
                <w:szCs w:val="18"/>
              </w:rPr>
              <w:t>etc.).</w:t>
            </w:r>
          </w:p>
        </w:tc>
        <w:tc>
          <w:tcPr>
            <w:tcW w:w="3085" w:type="dxa"/>
          </w:tcPr>
          <w:p w14:paraId="1127037F" w14:textId="77777777" w:rsidR="008715BE" w:rsidRPr="00EC75B7" w:rsidRDefault="00000000">
            <w:pPr>
              <w:pStyle w:val="TableParagraph"/>
              <w:spacing w:before="8"/>
              <w:ind w:left="109" w:right="92"/>
              <w:jc w:val="both"/>
              <w:rPr>
                <w:rFonts w:ascii="Verdana" w:hAnsi="Verdana"/>
                <w:sz w:val="18"/>
                <w:szCs w:val="18"/>
              </w:rPr>
            </w:pPr>
            <w:r w:rsidRPr="00EC75B7">
              <w:rPr>
                <w:rFonts w:ascii="Verdana" w:hAnsi="Verdana"/>
                <w:sz w:val="18"/>
                <w:szCs w:val="18"/>
              </w:rPr>
              <w:t>local (there are grasslands in the UAT, but the turbines are located in areas used for agriculture), linear elements with ecological potential: irrigation canals and local valleys/watercourses in the area.</w:t>
            </w:r>
          </w:p>
        </w:tc>
      </w:tr>
      <w:tr w:rsidR="008715BE" w:rsidRPr="00EC75B7" w14:paraId="0B24A95E" w14:textId="77777777">
        <w:trPr>
          <w:trHeight w:val="3113"/>
        </w:trPr>
        <w:tc>
          <w:tcPr>
            <w:tcW w:w="2696" w:type="dxa"/>
            <w:shd w:val="clear" w:color="auto" w:fill="FAE3D4"/>
          </w:tcPr>
          <w:p w14:paraId="2E7EF49D" w14:textId="77777777" w:rsidR="008715BE" w:rsidRPr="00EC75B7" w:rsidRDefault="00000000">
            <w:pPr>
              <w:pStyle w:val="TableParagraph"/>
              <w:spacing w:before="10"/>
              <w:ind w:left="108"/>
              <w:rPr>
                <w:rFonts w:ascii="Verdana" w:hAnsi="Verdana"/>
                <w:b/>
                <w:sz w:val="18"/>
                <w:szCs w:val="18"/>
              </w:rPr>
            </w:pPr>
            <w:r w:rsidRPr="00EC75B7">
              <w:rPr>
                <w:rFonts w:ascii="Verdana" w:hAnsi="Verdana"/>
                <w:b/>
                <w:spacing w:val="-4"/>
                <w:sz w:val="18"/>
                <w:szCs w:val="18"/>
              </w:rPr>
              <w:t>Large</w:t>
            </w:r>
          </w:p>
        </w:tc>
        <w:tc>
          <w:tcPr>
            <w:tcW w:w="4393" w:type="dxa"/>
            <w:shd w:val="clear" w:color="auto" w:fill="F1F1F1"/>
          </w:tcPr>
          <w:p w14:paraId="577AE939" w14:textId="77777777" w:rsidR="008715BE" w:rsidRPr="00EC75B7" w:rsidRDefault="00000000">
            <w:pPr>
              <w:pStyle w:val="TableParagraph"/>
              <w:spacing w:before="10"/>
              <w:ind w:left="108" w:right="92"/>
              <w:jc w:val="both"/>
              <w:rPr>
                <w:rFonts w:ascii="Verdana" w:hAnsi="Verdana"/>
                <w:sz w:val="18"/>
                <w:szCs w:val="18"/>
              </w:rPr>
            </w:pPr>
            <w:r w:rsidRPr="00EC75B7">
              <w:rPr>
                <w:rFonts w:ascii="Verdana" w:hAnsi="Verdana"/>
                <w:spacing w:val="-2"/>
                <w:sz w:val="18"/>
                <w:szCs w:val="18"/>
              </w:rPr>
              <w:t>Natura 2000 habitats and habitats of Natura</w:t>
            </w:r>
            <w:r w:rsidRPr="00EC75B7">
              <w:rPr>
                <w:rFonts w:ascii="Verdana" w:hAnsi="Verdana"/>
                <w:sz w:val="18"/>
                <w:szCs w:val="18"/>
              </w:rPr>
              <w:t xml:space="preserve"> 2000 </w:t>
            </w:r>
            <w:r w:rsidRPr="00EC75B7">
              <w:rPr>
                <w:rFonts w:ascii="Verdana" w:hAnsi="Verdana"/>
                <w:spacing w:val="-2"/>
                <w:sz w:val="18"/>
                <w:szCs w:val="18"/>
              </w:rPr>
              <w:t xml:space="preserve">species </w:t>
            </w:r>
            <w:r w:rsidRPr="00EC75B7">
              <w:rPr>
                <w:rFonts w:ascii="Verdana" w:hAnsi="Verdana"/>
                <w:sz w:val="18"/>
                <w:szCs w:val="18"/>
              </w:rPr>
              <w:t>within the boundaries of Natura</w:t>
            </w:r>
            <w:r w:rsidRPr="00EC75B7">
              <w:rPr>
                <w:rFonts w:ascii="Verdana" w:hAnsi="Verdana"/>
                <w:spacing w:val="-2"/>
                <w:sz w:val="18"/>
                <w:szCs w:val="18"/>
              </w:rPr>
              <w:t xml:space="preserve"> 2000 </w:t>
            </w:r>
            <w:r w:rsidRPr="00EC75B7">
              <w:rPr>
                <w:rFonts w:ascii="Verdana" w:hAnsi="Verdana"/>
                <w:sz w:val="18"/>
                <w:szCs w:val="18"/>
              </w:rPr>
              <w:t>sites</w:t>
            </w:r>
            <w:r w:rsidRPr="00EC75B7">
              <w:rPr>
                <w:rFonts w:ascii="Verdana" w:hAnsi="Verdana"/>
                <w:spacing w:val="-2"/>
                <w:sz w:val="18"/>
                <w:szCs w:val="18"/>
              </w:rPr>
              <w:t>;</w:t>
            </w:r>
          </w:p>
          <w:p w14:paraId="215226C5" w14:textId="77777777" w:rsidR="008715BE" w:rsidRPr="00EC75B7" w:rsidRDefault="00000000">
            <w:pPr>
              <w:pStyle w:val="TableParagraph"/>
              <w:spacing w:line="192" w:lineRule="exact"/>
              <w:ind w:left="108"/>
              <w:jc w:val="both"/>
              <w:rPr>
                <w:rFonts w:ascii="Verdana" w:hAnsi="Verdana"/>
                <w:sz w:val="18"/>
                <w:szCs w:val="18"/>
              </w:rPr>
            </w:pPr>
            <w:r w:rsidRPr="00EC75B7">
              <w:rPr>
                <w:rFonts w:ascii="Verdana" w:hAnsi="Verdana"/>
                <w:spacing w:val="-2"/>
                <w:sz w:val="18"/>
                <w:szCs w:val="18"/>
              </w:rPr>
              <w:t xml:space="preserve">Nature </w:t>
            </w:r>
            <w:r w:rsidRPr="00EC75B7">
              <w:rPr>
                <w:rFonts w:ascii="Verdana" w:hAnsi="Verdana"/>
                <w:sz w:val="18"/>
                <w:szCs w:val="18"/>
              </w:rPr>
              <w:t>reserves</w:t>
            </w:r>
            <w:r w:rsidRPr="00EC75B7">
              <w:rPr>
                <w:rFonts w:ascii="Verdana" w:hAnsi="Verdana"/>
                <w:spacing w:val="-2"/>
                <w:sz w:val="18"/>
                <w:szCs w:val="18"/>
              </w:rPr>
              <w:t>;</w:t>
            </w:r>
          </w:p>
          <w:p w14:paraId="67A61F18" w14:textId="77777777" w:rsidR="008715BE" w:rsidRPr="00EC75B7" w:rsidRDefault="00000000">
            <w:pPr>
              <w:pStyle w:val="TableParagraph"/>
              <w:spacing w:line="194" w:lineRule="exact"/>
              <w:ind w:left="108"/>
              <w:jc w:val="both"/>
              <w:rPr>
                <w:rFonts w:ascii="Verdana" w:hAnsi="Verdana"/>
                <w:sz w:val="18"/>
                <w:szCs w:val="18"/>
              </w:rPr>
            </w:pPr>
            <w:r w:rsidRPr="00EC75B7">
              <w:rPr>
                <w:rFonts w:ascii="Verdana" w:hAnsi="Verdana"/>
                <w:spacing w:val="-2"/>
                <w:sz w:val="18"/>
                <w:szCs w:val="18"/>
              </w:rPr>
              <w:t xml:space="preserve">Natural </w:t>
            </w:r>
            <w:r w:rsidRPr="00EC75B7">
              <w:rPr>
                <w:rFonts w:ascii="Verdana" w:hAnsi="Verdana"/>
                <w:sz w:val="18"/>
                <w:szCs w:val="18"/>
              </w:rPr>
              <w:t>monuments</w:t>
            </w:r>
            <w:r w:rsidRPr="00EC75B7">
              <w:rPr>
                <w:rFonts w:ascii="Verdana" w:hAnsi="Verdana"/>
                <w:spacing w:val="-2"/>
                <w:sz w:val="18"/>
                <w:szCs w:val="18"/>
              </w:rPr>
              <w:t>;</w:t>
            </w:r>
          </w:p>
          <w:p w14:paraId="6B03B927"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Protected natural areas of county and local interest; Buffer zones (sustainable conservation areas, sustainable management areas) within protected natural areas of national interest;</w:t>
            </w:r>
          </w:p>
          <w:p w14:paraId="08E2FA6B" w14:textId="77777777" w:rsidR="008715BE" w:rsidRPr="00EC75B7" w:rsidRDefault="00000000">
            <w:pPr>
              <w:pStyle w:val="TableParagraph"/>
              <w:ind w:left="108" w:right="495"/>
              <w:rPr>
                <w:rFonts w:ascii="Verdana" w:hAnsi="Verdana"/>
                <w:sz w:val="18"/>
                <w:szCs w:val="18"/>
              </w:rPr>
            </w:pPr>
            <w:r w:rsidRPr="00EC75B7">
              <w:rPr>
                <w:rFonts w:ascii="Verdana" w:hAnsi="Verdana"/>
                <w:spacing w:val="-2"/>
                <w:sz w:val="18"/>
                <w:szCs w:val="18"/>
              </w:rPr>
              <w:t xml:space="preserve">Wetlands of international importance; </w:t>
            </w:r>
            <w:r w:rsidRPr="00EC75B7">
              <w:rPr>
                <w:rFonts w:ascii="Verdana" w:hAnsi="Verdana"/>
                <w:sz w:val="18"/>
                <w:szCs w:val="18"/>
              </w:rPr>
              <w:t>Important bird areas (IBA); Ecological corridors;</w:t>
            </w:r>
          </w:p>
          <w:p w14:paraId="06AD880F"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Critical habitats of species of Community and </w:t>
            </w:r>
            <w:r w:rsidRPr="00EC75B7">
              <w:rPr>
                <w:rFonts w:ascii="Verdana" w:hAnsi="Verdana"/>
                <w:spacing w:val="-2"/>
                <w:sz w:val="18"/>
                <w:szCs w:val="18"/>
              </w:rPr>
              <w:t xml:space="preserve">national </w:t>
            </w:r>
            <w:r w:rsidRPr="00EC75B7">
              <w:rPr>
                <w:rFonts w:ascii="Verdana" w:hAnsi="Verdana"/>
                <w:sz w:val="18"/>
                <w:szCs w:val="18"/>
              </w:rPr>
              <w:t>interest</w:t>
            </w:r>
            <w:r w:rsidRPr="00EC75B7">
              <w:rPr>
                <w:rFonts w:ascii="Verdana" w:hAnsi="Verdana"/>
                <w:spacing w:val="-2"/>
                <w:sz w:val="18"/>
                <w:szCs w:val="18"/>
              </w:rPr>
              <w:t>;</w:t>
            </w:r>
          </w:p>
          <w:p w14:paraId="4A4948DE"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z w:val="18"/>
                <w:szCs w:val="18"/>
              </w:rPr>
              <w:t xml:space="preserve">Critical habitats of vulnerable and </w:t>
            </w:r>
            <w:r w:rsidRPr="00EC75B7">
              <w:rPr>
                <w:rFonts w:ascii="Verdana" w:hAnsi="Verdana"/>
                <w:spacing w:val="-2"/>
                <w:sz w:val="18"/>
                <w:szCs w:val="18"/>
              </w:rPr>
              <w:t xml:space="preserve">near-threatened </w:t>
            </w:r>
            <w:r w:rsidRPr="00EC75B7">
              <w:rPr>
                <w:rFonts w:ascii="Verdana" w:hAnsi="Verdana"/>
                <w:sz w:val="18"/>
                <w:szCs w:val="18"/>
              </w:rPr>
              <w:t>species</w:t>
            </w:r>
          </w:p>
          <w:p w14:paraId="787D46EF"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pacing w:val="-2"/>
                <w:sz w:val="18"/>
                <w:szCs w:val="18"/>
              </w:rPr>
              <w:t>threatened species.</w:t>
            </w:r>
          </w:p>
        </w:tc>
        <w:tc>
          <w:tcPr>
            <w:tcW w:w="3085" w:type="dxa"/>
            <w:shd w:val="clear" w:color="auto" w:fill="F1F1F1"/>
          </w:tcPr>
          <w:p w14:paraId="79173A4E" w14:textId="77777777" w:rsidR="008715BE" w:rsidRPr="00EC75B7" w:rsidRDefault="00000000">
            <w:pPr>
              <w:pStyle w:val="TableParagraph"/>
              <w:tabs>
                <w:tab w:val="left" w:pos="1689"/>
                <w:tab w:val="left" w:pos="2776"/>
              </w:tabs>
              <w:spacing w:before="10"/>
              <w:ind w:left="109" w:right="93"/>
              <w:jc w:val="both"/>
              <w:rPr>
                <w:rFonts w:ascii="Verdana" w:hAnsi="Verdana"/>
                <w:sz w:val="18"/>
                <w:szCs w:val="18"/>
              </w:rPr>
            </w:pPr>
            <w:r w:rsidRPr="00EC75B7">
              <w:rPr>
                <w:rFonts w:ascii="Verdana" w:hAnsi="Verdana"/>
                <w:sz w:val="18"/>
                <w:szCs w:val="18"/>
              </w:rPr>
              <w:t xml:space="preserve">Not identified in the </w:t>
            </w:r>
            <w:r w:rsidRPr="00EC75B7">
              <w:rPr>
                <w:rFonts w:ascii="Verdana" w:hAnsi="Verdana"/>
                <w:spacing w:val="-2"/>
                <w:sz w:val="18"/>
                <w:szCs w:val="18"/>
              </w:rPr>
              <w:t>implementation</w:t>
            </w:r>
            <w:r w:rsidRPr="00EC75B7">
              <w:rPr>
                <w:rFonts w:ascii="Verdana" w:hAnsi="Verdana"/>
                <w:sz w:val="18"/>
                <w:szCs w:val="18"/>
              </w:rPr>
              <w:t xml:space="preserve"> area</w:t>
            </w:r>
            <w:r w:rsidRPr="00EC75B7">
              <w:rPr>
                <w:rFonts w:ascii="Verdana" w:hAnsi="Verdana"/>
                <w:spacing w:val="-2"/>
                <w:sz w:val="18"/>
                <w:szCs w:val="18"/>
              </w:rPr>
              <w:t>:</w:t>
            </w:r>
            <w:r w:rsidRPr="00EC75B7">
              <w:rPr>
                <w:rFonts w:ascii="Verdana" w:hAnsi="Verdana"/>
                <w:sz w:val="18"/>
                <w:szCs w:val="18"/>
              </w:rPr>
              <w:tab/>
            </w:r>
            <w:r w:rsidRPr="00EC75B7">
              <w:rPr>
                <w:rFonts w:ascii="Verdana" w:hAnsi="Verdana"/>
                <w:spacing w:val="-2"/>
                <w:sz w:val="18"/>
                <w:szCs w:val="18"/>
              </w:rPr>
              <w:t>the project</w:t>
            </w:r>
            <w:r w:rsidRPr="00EC75B7">
              <w:rPr>
                <w:rFonts w:ascii="Verdana" w:hAnsi="Verdana"/>
                <w:sz w:val="18"/>
                <w:szCs w:val="18"/>
              </w:rPr>
              <w:tab/>
            </w:r>
            <w:r w:rsidRPr="00EC75B7">
              <w:rPr>
                <w:rFonts w:ascii="Verdana" w:hAnsi="Verdana"/>
                <w:spacing w:val="-6"/>
                <w:sz w:val="18"/>
                <w:szCs w:val="18"/>
              </w:rPr>
              <w:t xml:space="preserve">does not </w:t>
            </w:r>
            <w:r w:rsidRPr="00EC75B7">
              <w:rPr>
                <w:rFonts w:ascii="Verdana" w:hAnsi="Verdana"/>
                <w:sz w:val="18"/>
                <w:szCs w:val="18"/>
              </w:rPr>
              <w:t>intersect with Natura 2000 sites, nature reserves/monuments or other protected areas.</w:t>
            </w:r>
          </w:p>
        </w:tc>
      </w:tr>
      <w:tr w:rsidR="008715BE" w:rsidRPr="00EC75B7" w14:paraId="1D6F5DCF" w14:textId="77777777">
        <w:trPr>
          <w:trHeight w:val="1749"/>
        </w:trPr>
        <w:tc>
          <w:tcPr>
            <w:tcW w:w="2696" w:type="dxa"/>
            <w:shd w:val="clear" w:color="auto" w:fill="FF0000"/>
          </w:tcPr>
          <w:p w14:paraId="1882255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4393" w:type="dxa"/>
          </w:tcPr>
          <w:p w14:paraId="53DF11D5" w14:textId="77777777" w:rsidR="008715BE" w:rsidRPr="00EC75B7" w:rsidRDefault="00000000">
            <w:pPr>
              <w:pStyle w:val="TableParagraph"/>
              <w:spacing w:before="8" w:line="195" w:lineRule="exact"/>
              <w:ind w:left="108"/>
              <w:jc w:val="both"/>
              <w:rPr>
                <w:rFonts w:ascii="Verdana" w:hAnsi="Verdana"/>
                <w:sz w:val="18"/>
                <w:szCs w:val="18"/>
              </w:rPr>
            </w:pPr>
            <w:r w:rsidRPr="00EC75B7">
              <w:rPr>
                <w:rFonts w:ascii="Verdana" w:hAnsi="Verdana"/>
                <w:spacing w:val="-2"/>
                <w:sz w:val="18"/>
                <w:szCs w:val="18"/>
              </w:rPr>
              <w:t xml:space="preserve">Scientific </w:t>
            </w:r>
            <w:r w:rsidRPr="00EC75B7">
              <w:rPr>
                <w:rFonts w:ascii="Verdana" w:hAnsi="Verdana"/>
                <w:sz w:val="18"/>
                <w:szCs w:val="18"/>
              </w:rPr>
              <w:t>reserves</w:t>
            </w:r>
            <w:r w:rsidRPr="00EC75B7">
              <w:rPr>
                <w:rFonts w:ascii="Verdana" w:hAnsi="Verdana"/>
                <w:spacing w:val="-2"/>
                <w:sz w:val="18"/>
                <w:szCs w:val="18"/>
              </w:rPr>
              <w:t>;</w:t>
            </w:r>
          </w:p>
          <w:p w14:paraId="2FBBFE0F"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Strict protection zones and integral protection zones within protected natural areas of national interest;</w:t>
            </w:r>
          </w:p>
          <w:p w14:paraId="5A0E4B95" w14:textId="77777777" w:rsidR="008715BE" w:rsidRPr="00EC75B7" w:rsidRDefault="00000000">
            <w:pPr>
              <w:pStyle w:val="TableParagraph"/>
              <w:ind w:left="108" w:right="2718"/>
              <w:rPr>
                <w:rFonts w:ascii="Verdana" w:hAnsi="Verdana"/>
                <w:sz w:val="18"/>
                <w:szCs w:val="18"/>
              </w:rPr>
            </w:pPr>
            <w:r w:rsidRPr="00EC75B7">
              <w:rPr>
                <w:rFonts w:ascii="Verdana" w:hAnsi="Verdana"/>
                <w:sz w:val="18"/>
                <w:szCs w:val="18"/>
              </w:rPr>
              <w:t xml:space="preserve">Virgin forests; Wilderness areas; </w:t>
            </w:r>
            <w:r w:rsidRPr="00EC75B7">
              <w:rPr>
                <w:rFonts w:ascii="Verdana" w:hAnsi="Verdana"/>
                <w:spacing w:val="-2"/>
                <w:sz w:val="18"/>
                <w:szCs w:val="18"/>
              </w:rPr>
              <w:t xml:space="preserve">Priority </w:t>
            </w:r>
            <w:r w:rsidRPr="00EC75B7">
              <w:rPr>
                <w:rFonts w:ascii="Verdana" w:hAnsi="Verdana"/>
                <w:sz w:val="18"/>
                <w:szCs w:val="18"/>
              </w:rPr>
              <w:t>habitats</w:t>
            </w:r>
            <w:r w:rsidRPr="00EC75B7">
              <w:rPr>
                <w:rFonts w:ascii="Verdana" w:hAnsi="Verdana"/>
                <w:spacing w:val="-2"/>
                <w:sz w:val="18"/>
                <w:szCs w:val="18"/>
              </w:rPr>
              <w:t>;</w:t>
            </w:r>
          </w:p>
          <w:p w14:paraId="71766D91" w14:textId="77777777" w:rsidR="008715BE" w:rsidRPr="00EC75B7" w:rsidRDefault="00000000">
            <w:pPr>
              <w:pStyle w:val="TableParagraph"/>
              <w:spacing w:line="192" w:lineRule="exact"/>
              <w:ind w:left="108"/>
              <w:rPr>
                <w:rFonts w:ascii="Verdana" w:hAnsi="Verdana"/>
                <w:sz w:val="18"/>
                <w:szCs w:val="18"/>
              </w:rPr>
            </w:pPr>
            <w:r w:rsidRPr="00EC75B7">
              <w:rPr>
                <w:rFonts w:ascii="Verdana" w:hAnsi="Verdana"/>
                <w:sz w:val="18"/>
                <w:szCs w:val="18"/>
              </w:rPr>
              <w:t xml:space="preserve">Habitats of priority, endangered, </w:t>
            </w:r>
            <w:r w:rsidRPr="00EC75B7">
              <w:rPr>
                <w:rFonts w:ascii="Verdana" w:hAnsi="Verdana"/>
                <w:spacing w:val="-2"/>
                <w:sz w:val="18"/>
                <w:szCs w:val="18"/>
              </w:rPr>
              <w:t xml:space="preserve">critically endangered </w:t>
            </w:r>
            <w:r w:rsidRPr="00EC75B7">
              <w:rPr>
                <w:rFonts w:ascii="Verdana" w:hAnsi="Verdana"/>
                <w:sz w:val="18"/>
                <w:szCs w:val="18"/>
              </w:rPr>
              <w:t>species</w:t>
            </w:r>
          </w:p>
          <w:p w14:paraId="675636BB"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pacing w:val="-2"/>
                <w:sz w:val="18"/>
                <w:szCs w:val="18"/>
              </w:rPr>
              <w:t>endangered</w:t>
            </w:r>
          </w:p>
        </w:tc>
        <w:tc>
          <w:tcPr>
            <w:tcW w:w="3085" w:type="dxa"/>
          </w:tcPr>
          <w:p w14:paraId="717E82DD" w14:textId="77777777" w:rsidR="008715BE" w:rsidRPr="00EC75B7" w:rsidRDefault="00000000">
            <w:pPr>
              <w:pStyle w:val="TableParagraph"/>
              <w:spacing w:before="8"/>
              <w:ind w:left="109" w:right="93"/>
              <w:jc w:val="both"/>
              <w:rPr>
                <w:rFonts w:ascii="Verdana" w:hAnsi="Verdana"/>
                <w:sz w:val="18"/>
                <w:szCs w:val="18"/>
              </w:rPr>
            </w:pPr>
            <w:r w:rsidRPr="00EC75B7">
              <w:rPr>
                <w:rFonts w:ascii="Verdana" w:hAnsi="Verdana"/>
                <w:sz w:val="18"/>
                <w:szCs w:val="18"/>
              </w:rPr>
              <w:t>Not identified in the implementation area: there are no scientific reserves, strictly protected/integrally protected areas, virgin forests, or priority habitats within protected areas.</w:t>
            </w:r>
          </w:p>
        </w:tc>
      </w:tr>
      <w:tr w:rsidR="008715BE" w:rsidRPr="00EC75B7" w14:paraId="6600E9D2" w14:textId="77777777">
        <w:trPr>
          <w:trHeight w:val="1946"/>
        </w:trPr>
        <w:tc>
          <w:tcPr>
            <w:tcW w:w="2696" w:type="dxa"/>
            <w:shd w:val="clear" w:color="auto" w:fill="D0CECE"/>
          </w:tcPr>
          <w:p w14:paraId="546E9C0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 xml:space="preserve">No </w:t>
            </w:r>
            <w:r w:rsidRPr="00EC75B7">
              <w:rPr>
                <w:rFonts w:ascii="Verdana" w:hAnsi="Verdana"/>
                <w:b/>
                <w:sz w:val="18"/>
                <w:szCs w:val="18"/>
              </w:rPr>
              <w:t xml:space="preserve">sensitivity/Very low </w:t>
            </w:r>
            <w:r w:rsidRPr="00EC75B7">
              <w:rPr>
                <w:rFonts w:ascii="Verdana" w:hAnsi="Verdana"/>
                <w:b/>
                <w:spacing w:val="-2"/>
                <w:sz w:val="18"/>
                <w:szCs w:val="18"/>
              </w:rPr>
              <w:t>sensitivity</w:t>
            </w:r>
          </w:p>
        </w:tc>
        <w:tc>
          <w:tcPr>
            <w:tcW w:w="4393" w:type="dxa"/>
            <w:shd w:val="clear" w:color="auto" w:fill="F1F1F1"/>
          </w:tcPr>
          <w:p w14:paraId="32656DFF" w14:textId="77777777" w:rsidR="008715BE" w:rsidRPr="00EC75B7" w:rsidRDefault="00000000">
            <w:pPr>
              <w:pStyle w:val="TableParagraph"/>
              <w:spacing w:before="8"/>
              <w:ind w:left="108" w:right="95"/>
              <w:jc w:val="both"/>
              <w:rPr>
                <w:rFonts w:ascii="Verdana" w:hAnsi="Verdana"/>
                <w:sz w:val="18"/>
                <w:szCs w:val="18"/>
              </w:rPr>
            </w:pPr>
            <w:r w:rsidRPr="00EC75B7">
              <w:rPr>
                <w:rFonts w:ascii="Verdana" w:hAnsi="Verdana"/>
                <w:sz w:val="18"/>
                <w:szCs w:val="18"/>
              </w:rPr>
              <w:t>Habitats located within human communities, strongly influenced by their activities (e.g., lawns, vacant lots, etc.).</w:t>
            </w:r>
          </w:p>
        </w:tc>
        <w:tc>
          <w:tcPr>
            <w:tcW w:w="3085" w:type="dxa"/>
            <w:shd w:val="clear" w:color="auto" w:fill="F1F1F1"/>
          </w:tcPr>
          <w:p w14:paraId="7839B037" w14:textId="77777777" w:rsidR="008715BE" w:rsidRPr="00EC75B7" w:rsidRDefault="00000000">
            <w:pPr>
              <w:pStyle w:val="TableParagraph"/>
              <w:tabs>
                <w:tab w:val="left" w:pos="1189"/>
                <w:tab w:val="left" w:pos="1863"/>
                <w:tab w:val="left" w:pos="2063"/>
                <w:tab w:val="left" w:pos="2202"/>
                <w:tab w:val="left" w:pos="2782"/>
              </w:tabs>
              <w:spacing w:before="8"/>
              <w:ind w:left="109" w:right="91"/>
              <w:jc w:val="both"/>
              <w:rPr>
                <w:rFonts w:ascii="Verdana" w:hAnsi="Verdana"/>
                <w:sz w:val="18"/>
                <w:szCs w:val="18"/>
              </w:rPr>
            </w:pPr>
            <w:r w:rsidRPr="00EC75B7">
              <w:rPr>
                <w:rFonts w:ascii="Verdana" w:hAnsi="Verdana"/>
                <w:sz w:val="18"/>
                <w:szCs w:val="18"/>
              </w:rPr>
              <w:t xml:space="preserve">Technical/anthropized surfaces and areas heavily influenced by human </w:t>
            </w:r>
            <w:r w:rsidRPr="00EC75B7">
              <w:rPr>
                <w:rFonts w:ascii="Verdana" w:hAnsi="Verdana"/>
                <w:spacing w:val="-2"/>
                <w:sz w:val="18"/>
                <w:szCs w:val="18"/>
              </w:rPr>
              <w:t>activities</w:t>
            </w:r>
            <w:r w:rsidRPr="00EC75B7">
              <w:rPr>
                <w:rFonts w:ascii="Verdana" w:hAnsi="Verdana"/>
                <w:sz w:val="18"/>
                <w:szCs w:val="18"/>
              </w:rPr>
              <w:tab/>
            </w:r>
            <w:r w:rsidRPr="00EC75B7">
              <w:rPr>
                <w:rFonts w:ascii="Verdana" w:hAnsi="Verdana"/>
                <w:spacing w:val="-2"/>
                <w:sz w:val="18"/>
                <w:szCs w:val="18"/>
              </w:rPr>
              <w:t>:</w:t>
            </w:r>
            <w:r w:rsidRPr="00EC75B7">
              <w:rPr>
                <w:rFonts w:ascii="Verdana" w:hAnsi="Verdana"/>
                <w:sz w:val="18"/>
                <w:szCs w:val="18"/>
              </w:rPr>
              <w:tab/>
            </w:r>
            <w:r w:rsidRPr="00EC75B7">
              <w:rPr>
                <w:rFonts w:ascii="Verdana" w:hAnsi="Verdana"/>
                <w:sz w:val="18"/>
                <w:szCs w:val="18"/>
              </w:rPr>
              <w:tab/>
            </w:r>
            <w:r w:rsidRPr="00EC75B7">
              <w:rPr>
                <w:rFonts w:ascii="Verdana" w:hAnsi="Verdana"/>
                <w:sz w:val="18"/>
                <w:szCs w:val="18"/>
              </w:rPr>
              <w:tab/>
              <w:t>technological</w:t>
            </w:r>
            <w:r w:rsidRPr="00EC75B7">
              <w:rPr>
                <w:rFonts w:ascii="Verdana" w:hAnsi="Verdana"/>
                <w:spacing w:val="-2"/>
                <w:sz w:val="18"/>
                <w:szCs w:val="18"/>
              </w:rPr>
              <w:t xml:space="preserve"> platforms </w:t>
            </w:r>
            <w:r w:rsidRPr="00EC75B7">
              <w:rPr>
                <w:rFonts w:ascii="Verdana" w:hAnsi="Verdana"/>
                <w:sz w:val="18"/>
                <w:szCs w:val="18"/>
              </w:rPr>
              <w:t xml:space="preserve">and turbine foundations </w:t>
            </w:r>
            <w:r w:rsidRPr="00EC75B7">
              <w:rPr>
                <w:rFonts w:ascii="Verdana" w:hAnsi="Verdana"/>
                <w:spacing w:val="-2"/>
                <w:sz w:val="18"/>
                <w:szCs w:val="18"/>
              </w:rPr>
              <w:t>(</w:t>
            </w:r>
            <w:r w:rsidRPr="00EC75B7">
              <w:rPr>
                <w:rFonts w:ascii="Verdana" w:hAnsi="Verdana"/>
                <w:sz w:val="18"/>
                <w:szCs w:val="18"/>
              </w:rPr>
              <w:tab/>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 platforms/areas</w:t>
            </w:r>
            <w:r w:rsidRPr="00EC75B7">
              <w:rPr>
                <w:rFonts w:ascii="Verdana" w:hAnsi="Verdana"/>
                <w:sz w:val="18"/>
                <w:szCs w:val="18"/>
              </w:rPr>
              <w:tab/>
            </w:r>
            <w:r w:rsidRPr="00EC75B7">
              <w:rPr>
                <w:rFonts w:ascii="Verdana" w:hAnsi="Verdana"/>
                <w:spacing w:val="-2"/>
                <w:sz w:val="18"/>
                <w:szCs w:val="18"/>
              </w:rPr>
              <w:t>stations</w:t>
            </w:r>
            <w:r w:rsidRPr="00EC75B7">
              <w:rPr>
                <w:rFonts w:ascii="Verdana" w:hAnsi="Verdana"/>
                <w:sz w:val="18"/>
                <w:szCs w:val="18"/>
              </w:rPr>
              <w:tab/>
              <w:t xml:space="preserve">, site organization, paved roads and LES routes in the technical corridor </w:t>
            </w:r>
            <w:r w:rsidRPr="00EC75B7">
              <w:rPr>
                <w:rFonts w:ascii="Verdana" w:hAnsi="Verdana"/>
                <w:spacing w:val="-2"/>
                <w:sz w:val="18"/>
                <w:szCs w:val="18"/>
              </w:rPr>
              <w:t>(linear works</w:t>
            </w:r>
          </w:p>
          <w:p w14:paraId="582A335A" w14:textId="77777777" w:rsidR="008715BE" w:rsidRPr="00EC75B7" w:rsidRDefault="00000000">
            <w:pPr>
              <w:pStyle w:val="TableParagraph"/>
              <w:spacing w:line="160" w:lineRule="exact"/>
              <w:ind w:left="109"/>
              <w:rPr>
                <w:rFonts w:ascii="Verdana" w:hAnsi="Verdana"/>
                <w:sz w:val="18"/>
                <w:szCs w:val="18"/>
              </w:rPr>
            </w:pPr>
            <w:r w:rsidRPr="00EC75B7">
              <w:rPr>
                <w:rFonts w:ascii="Verdana" w:hAnsi="Verdana"/>
                <w:spacing w:val="-2"/>
                <w:sz w:val="18"/>
                <w:szCs w:val="18"/>
              </w:rPr>
              <w:t>).</w:t>
            </w:r>
          </w:p>
        </w:tc>
      </w:tr>
    </w:tbl>
    <w:p w14:paraId="4C170D3B" w14:textId="77777777" w:rsidR="008715BE" w:rsidRPr="00EC75B7" w:rsidRDefault="008715BE">
      <w:pPr>
        <w:pStyle w:val="BodyText"/>
        <w:rPr>
          <w:rFonts w:ascii="Verdana" w:hAnsi="Verdana"/>
          <w:b/>
        </w:rPr>
      </w:pPr>
    </w:p>
    <w:p w14:paraId="2B637883" w14:textId="77777777" w:rsidR="008715BE" w:rsidRPr="00EC75B7" w:rsidRDefault="008715BE">
      <w:pPr>
        <w:pStyle w:val="BodyText"/>
        <w:spacing w:before="19"/>
        <w:rPr>
          <w:rFonts w:ascii="Verdana" w:hAnsi="Verdana"/>
          <w:b/>
        </w:rPr>
      </w:pPr>
    </w:p>
    <w:p w14:paraId="2212F888" w14:textId="77777777" w:rsidR="008715BE" w:rsidRPr="00EC75B7" w:rsidRDefault="00000000">
      <w:pPr>
        <w:pStyle w:val="BodyText"/>
        <w:spacing w:line="357" w:lineRule="auto"/>
        <w:ind w:left="57" w:right="573"/>
        <w:jc w:val="both"/>
        <w:rPr>
          <w:rFonts w:ascii="Verdana" w:hAnsi="Verdana"/>
        </w:rPr>
      </w:pPr>
      <w:r w:rsidRPr="00EC75B7">
        <w:rPr>
          <w:rFonts w:ascii="Verdana" w:hAnsi="Verdana"/>
        </w:rPr>
        <w:t>The sensitivity analysis of biodiversity components in the project implementation area indicates that the site is dominated by predominantly agricultural and anthropized land, where the conservation value of habitats is generally low. Most of the areas related to the location of turbines, platforms, access roads, and technical corridors for electrical networks fall into the low sensitivity class, due to their association with arable land and existing/modernized infrastructure, with simplified vegetation structures and constant anthropogenic pressure.</w:t>
      </w:r>
    </w:p>
    <w:p w14:paraId="4CD5430F" w14:textId="77777777" w:rsidR="008715BE" w:rsidRPr="00EC75B7" w:rsidRDefault="00000000">
      <w:pPr>
        <w:pStyle w:val="BodyText"/>
        <w:spacing w:before="124" w:line="357" w:lineRule="auto"/>
        <w:ind w:left="57" w:right="567"/>
        <w:jc w:val="both"/>
        <w:rPr>
          <w:rFonts w:ascii="Verdana" w:hAnsi="Verdana"/>
        </w:rPr>
      </w:pPr>
      <w:r w:rsidRPr="00EC75B7">
        <w:rPr>
          <w:rFonts w:ascii="Verdana" w:hAnsi="Verdana"/>
        </w:rPr>
        <w:t xml:space="preserve">Areas classified as moderately sensitive are limited and occur sporadically in the form of an agricultural </w:t>
      </w:r>
      <w:r w:rsidRPr="00EC75B7">
        <w:rPr>
          <w:rFonts w:ascii="Verdana" w:hAnsi="Verdana"/>
        </w:rPr>
        <w:lastRenderedPageBreak/>
        <w:t>mosaic with semi-natural elements (strips of ruderal grassland vegetation, field margins, sparse scrub) and linear elements with potential ecological value (canals, local valleys/watercourses in the area). These can function as microhabitats or local corridors for some fauna groups, but they have limited continuity and are influenced by agricultural activities and traffic, which diminishes their ecological function and capacity to support sensitive species.</w:t>
      </w:r>
    </w:p>
    <w:p w14:paraId="2C7A857F" w14:textId="77777777" w:rsidR="008715BE" w:rsidRPr="00EC75B7" w:rsidRDefault="00000000">
      <w:pPr>
        <w:pStyle w:val="BodyText"/>
        <w:spacing w:before="124"/>
        <w:ind w:left="57"/>
        <w:jc w:val="both"/>
        <w:rPr>
          <w:rFonts w:ascii="Verdana" w:hAnsi="Verdana"/>
        </w:rPr>
      </w:pPr>
      <w:r w:rsidRPr="00EC75B7">
        <w:rPr>
          <w:rFonts w:ascii="Verdana" w:hAnsi="Verdana"/>
        </w:rPr>
        <w:t xml:space="preserve">No areas of high or very high sensitivity have been identified in the implementation area, as </w:t>
      </w:r>
      <w:r w:rsidRPr="00EC75B7">
        <w:rPr>
          <w:rFonts w:ascii="Verdana" w:hAnsi="Verdana"/>
          <w:spacing w:val="-2"/>
        </w:rPr>
        <w:t>the project</w:t>
      </w:r>
    </w:p>
    <w:p w14:paraId="736013F4" w14:textId="77777777" w:rsidR="008715BE" w:rsidRPr="00EC75B7" w:rsidRDefault="00000000">
      <w:pPr>
        <w:pStyle w:val="BodyText"/>
        <w:spacing w:before="109"/>
        <w:ind w:left="57"/>
        <w:jc w:val="both"/>
        <w:rPr>
          <w:rFonts w:ascii="Verdana" w:hAnsi="Verdana"/>
        </w:rPr>
      </w:pPr>
      <w:r w:rsidRPr="00EC75B7">
        <w:rPr>
          <w:rFonts w:ascii="Verdana" w:hAnsi="Verdana"/>
        </w:rPr>
        <w:t xml:space="preserve">does not overlap with Natura 2000 sites or other protected natural areas and does not involve </w:t>
      </w:r>
      <w:r w:rsidRPr="00EC75B7">
        <w:rPr>
          <w:rFonts w:ascii="Verdana" w:hAnsi="Verdana"/>
          <w:spacing w:val="-2"/>
        </w:rPr>
        <w:t xml:space="preserve">priority </w:t>
      </w:r>
      <w:r w:rsidRPr="00EC75B7">
        <w:rPr>
          <w:rFonts w:ascii="Verdana" w:hAnsi="Verdana"/>
        </w:rPr>
        <w:t>habitats</w:t>
      </w:r>
      <w:r w:rsidRPr="00EC75B7">
        <w:rPr>
          <w:rFonts w:ascii="Verdana" w:hAnsi="Verdana"/>
          <w:spacing w:val="-2"/>
        </w:rPr>
        <w:t>,</w:t>
      </w:r>
    </w:p>
    <w:p w14:paraId="06A5E66F" w14:textId="77777777" w:rsidR="008715BE" w:rsidRPr="00EC75B7" w:rsidRDefault="00000000">
      <w:pPr>
        <w:pStyle w:val="BodyText"/>
        <w:spacing w:before="99" w:line="357" w:lineRule="auto"/>
        <w:ind w:left="57" w:right="575"/>
        <w:jc w:val="both"/>
        <w:rPr>
          <w:rFonts w:ascii="Verdana" w:hAnsi="Verdana"/>
        </w:rPr>
      </w:pPr>
      <w:r w:rsidRPr="00EC75B7">
        <w:rPr>
          <w:rFonts w:ascii="Verdana" w:hAnsi="Verdana"/>
        </w:rPr>
        <w:t>strict/integral protection areas, scientific reserves, or virgin forests. Consequently, from the perspective of the habitat structure at the site, the project does not directly affect receptors with high conservation value.</w:t>
      </w:r>
    </w:p>
    <w:p w14:paraId="2585D68A" w14:textId="77777777" w:rsidR="008715BE" w:rsidRPr="00EC75B7" w:rsidRDefault="00000000">
      <w:pPr>
        <w:pStyle w:val="BodyText"/>
        <w:spacing w:before="123" w:line="357" w:lineRule="auto"/>
        <w:ind w:left="57" w:right="573"/>
        <w:jc w:val="both"/>
        <w:rPr>
          <w:rFonts w:ascii="Verdana" w:hAnsi="Verdana"/>
        </w:rPr>
      </w:pPr>
      <w:r w:rsidRPr="00EC75B7">
        <w:rPr>
          <w:rFonts w:ascii="Verdana" w:hAnsi="Verdana"/>
        </w:rPr>
        <w:t>The areas classified as very low sensitivity/no sensitivity correspond to technical areas created or used by the project (technological platforms, foundations, station areas, site organization, paved roads, and the LES corridor), where anthropogenic pressure is highest and biodiversity is already low or heavily dependent on the use regime.</w:t>
      </w:r>
    </w:p>
    <w:p w14:paraId="1A84380A" w14:textId="77777777" w:rsidR="008715BE" w:rsidRPr="00EC75B7" w:rsidRDefault="00000000">
      <w:pPr>
        <w:pStyle w:val="BodyText"/>
        <w:spacing w:before="123" w:line="357" w:lineRule="auto"/>
        <w:ind w:left="57" w:right="563"/>
        <w:jc w:val="both"/>
        <w:rPr>
          <w:rFonts w:ascii="Verdana" w:hAnsi="Verdana"/>
        </w:rPr>
      </w:pPr>
      <w:r w:rsidRPr="00EC75B7">
        <w:rPr>
          <w:rFonts w:ascii="Verdana" w:hAnsi="Verdana"/>
        </w:rPr>
        <w:t>Overall, the distribution of sensitivity classes supports the conclusion that the potential effects on biodiversity at the site habitat level are predominantly local, isolated, and manageable through standard avoidance/mitigation measures (limiting temporarily occupied areas, restoring land after works, managing traffic and accidental pollution). However, although the sensitivity of the habitats at the site is low, it remains relevant to assess the indirect effects associated with the operation of the turbines on flying fauna (birds and bats) and, where appropriate, local connectivity, particularly in relation to nearby Natura 2000 sites and the cross-border component.</w:t>
      </w:r>
    </w:p>
    <w:p w14:paraId="5D668B2F" w14:textId="77777777" w:rsidR="008715BE" w:rsidRPr="00EC75B7" w:rsidRDefault="00000000">
      <w:pPr>
        <w:pStyle w:val="Heading3"/>
        <w:numPr>
          <w:ilvl w:val="0"/>
          <w:numId w:val="76"/>
        </w:numPr>
        <w:tabs>
          <w:tab w:val="left" w:pos="776"/>
        </w:tabs>
        <w:spacing w:before="128"/>
        <w:ind w:left="776" w:hanging="359"/>
        <w:jc w:val="both"/>
        <w:rPr>
          <w:rFonts w:ascii="Verdana" w:hAnsi="Verdana"/>
          <w:sz w:val="18"/>
          <w:szCs w:val="18"/>
        </w:rPr>
      </w:pPr>
      <w:r w:rsidRPr="00EC75B7">
        <w:rPr>
          <w:rFonts w:ascii="Verdana" w:hAnsi="Verdana"/>
          <w:color w:val="00AFEF"/>
          <w:sz w:val="18"/>
          <w:szCs w:val="18"/>
        </w:rPr>
        <w:t xml:space="preserve">Magnitude of the </w:t>
      </w:r>
      <w:r w:rsidRPr="00EC75B7">
        <w:rPr>
          <w:rFonts w:ascii="Verdana" w:hAnsi="Verdana"/>
          <w:color w:val="00AFEF"/>
          <w:spacing w:val="-2"/>
          <w:sz w:val="18"/>
          <w:szCs w:val="18"/>
        </w:rPr>
        <w:t xml:space="preserve">proposed </w:t>
      </w:r>
      <w:r w:rsidRPr="00EC75B7">
        <w:rPr>
          <w:rFonts w:ascii="Verdana" w:hAnsi="Verdana"/>
          <w:color w:val="00AFEF"/>
          <w:sz w:val="18"/>
          <w:szCs w:val="18"/>
        </w:rPr>
        <w:t>changes</w:t>
      </w:r>
    </w:p>
    <w:p w14:paraId="41F662B7" w14:textId="77777777" w:rsidR="008715BE" w:rsidRPr="00EC75B7" w:rsidRDefault="00000000">
      <w:pPr>
        <w:pStyle w:val="BodyText"/>
        <w:spacing w:before="238" w:line="357" w:lineRule="auto"/>
        <w:ind w:left="57" w:right="563"/>
        <w:jc w:val="both"/>
        <w:rPr>
          <w:rFonts w:ascii="Verdana" w:hAnsi="Verdana"/>
        </w:rPr>
      </w:pPr>
      <w:r w:rsidRPr="00EC75B7">
        <w:rPr>
          <w:rFonts w:ascii="Verdana" w:hAnsi="Verdana"/>
        </w:rPr>
        <w:t>In order to assess the impact on biodiversity, sensitive elements potentially exposed to the effects of the project (receptors and spatially delimited areas) were identified and analysed, by reporting on the magnitude of the changes induced by the proposed interventions, both negative and positive, for the biodiversity components considered relevant. The analysis covered, as appropriate, Natura 2000 sites in the area of influence, habitats and species of Community interest, habitats and species of national interest, as well as other relevant biological/landscape elements (including dendrological components, where present).</w:t>
      </w:r>
    </w:p>
    <w:p w14:paraId="2435DBC0" w14:textId="77777777" w:rsidR="008715BE" w:rsidRPr="00EC75B7" w:rsidRDefault="00000000">
      <w:pPr>
        <w:pStyle w:val="BodyText"/>
        <w:spacing w:before="124" w:line="357" w:lineRule="auto"/>
        <w:ind w:left="57" w:right="567"/>
        <w:jc w:val="both"/>
        <w:rPr>
          <w:rFonts w:ascii="Verdana" w:hAnsi="Verdana"/>
        </w:rPr>
      </w:pPr>
      <w:r w:rsidRPr="00EC75B7">
        <w:rPr>
          <w:rFonts w:ascii="Verdana" w:hAnsi="Verdana"/>
        </w:rPr>
        <w:t>The magnitude of the changes directly expresses the potential for generating the impact associated with a type of intervention or activity (e.g., land occupation, construction works, traffic, turbine operation) and is used as a basic parameter in determining the significance of the impact.</w:t>
      </w:r>
      <w:r w:rsidRPr="00EC75B7">
        <w:rPr>
          <w:rFonts w:ascii="Verdana" w:hAnsi="Verdana"/>
          <w:spacing w:val="29"/>
        </w:rPr>
        <w:t xml:space="preserve"> </w:t>
      </w:r>
      <w:r w:rsidRPr="00EC75B7">
        <w:rPr>
          <w:rFonts w:ascii="Verdana" w:hAnsi="Verdana"/>
        </w:rPr>
        <w:t>The following table presents the magnitude classes, differentiated into five levels for negative effects and five levels for positive effects, also providing for the situation where the intervention/activity does not cause changes to the analyzed biodiversity component.</w:t>
      </w:r>
    </w:p>
    <w:p w14:paraId="413C235A" w14:textId="77777777" w:rsidR="008715BE" w:rsidRPr="00EC75B7" w:rsidRDefault="00000000">
      <w:pPr>
        <w:spacing w:before="174"/>
        <w:ind w:left="57"/>
        <w:jc w:val="both"/>
        <w:rPr>
          <w:rFonts w:ascii="Verdana" w:hAnsi="Verdana"/>
          <w:b/>
          <w:sz w:val="18"/>
          <w:szCs w:val="18"/>
        </w:rPr>
      </w:pPr>
      <w:r w:rsidRPr="00EC75B7">
        <w:rPr>
          <w:rFonts w:ascii="Verdana" w:hAnsi="Verdana"/>
          <w:b/>
          <w:color w:val="00AFEF"/>
          <w:sz w:val="18"/>
          <w:szCs w:val="18"/>
        </w:rPr>
        <w:t xml:space="preserve">Table 28 Magnitude classes used in assessing the impact on </w:t>
      </w:r>
      <w:r w:rsidRPr="00EC75B7">
        <w:rPr>
          <w:rFonts w:ascii="Verdana" w:hAnsi="Verdana"/>
          <w:b/>
          <w:color w:val="00AFEF"/>
          <w:spacing w:val="-2"/>
          <w:sz w:val="18"/>
          <w:szCs w:val="18"/>
        </w:rPr>
        <w:t xml:space="preserve">biodiversity </w:t>
      </w:r>
      <w:r w:rsidRPr="00EC75B7">
        <w:rPr>
          <w:rFonts w:ascii="Verdana" w:hAnsi="Verdana"/>
          <w:b/>
          <w:color w:val="00AFEF"/>
          <w:sz w:val="18"/>
          <w:szCs w:val="18"/>
        </w:rPr>
        <w:t>components</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3894"/>
        <w:gridCol w:w="4682"/>
      </w:tblGrid>
      <w:tr w:rsidR="008715BE" w:rsidRPr="00EC75B7" w14:paraId="0A00C6D6" w14:textId="77777777">
        <w:trPr>
          <w:trHeight w:val="390"/>
        </w:trPr>
        <w:tc>
          <w:tcPr>
            <w:tcW w:w="1347" w:type="dxa"/>
            <w:shd w:val="clear" w:color="auto" w:fill="00AFEF"/>
          </w:tcPr>
          <w:p w14:paraId="3B24FBED" w14:textId="77777777" w:rsidR="008715BE" w:rsidRPr="00EC75B7" w:rsidRDefault="00000000">
            <w:pPr>
              <w:pStyle w:val="TableParagraph"/>
              <w:spacing w:before="1" w:line="195" w:lineRule="exact"/>
              <w:ind w:left="108"/>
              <w:rPr>
                <w:rFonts w:ascii="Verdana" w:hAnsi="Verdana"/>
                <w:b/>
                <w:sz w:val="18"/>
                <w:szCs w:val="18"/>
              </w:rPr>
            </w:pPr>
            <w:r w:rsidRPr="00EC75B7">
              <w:rPr>
                <w:rFonts w:ascii="Verdana" w:hAnsi="Verdana"/>
                <w:b/>
                <w:color w:val="FFFFFF"/>
                <w:spacing w:val="-4"/>
                <w:sz w:val="18"/>
                <w:szCs w:val="18"/>
              </w:rPr>
              <w:t>Class</w:t>
            </w:r>
          </w:p>
          <w:p w14:paraId="14E190D6"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3894" w:type="dxa"/>
            <w:shd w:val="clear" w:color="auto" w:fill="00AFEF"/>
          </w:tcPr>
          <w:p w14:paraId="2C7E1E23" w14:textId="77777777" w:rsidR="008715BE" w:rsidRPr="00EC75B7" w:rsidRDefault="00000000">
            <w:pPr>
              <w:pStyle w:val="TableParagraph"/>
              <w:spacing w:before="1"/>
              <w:ind w:left="110"/>
              <w:rPr>
                <w:rFonts w:ascii="Verdana" w:hAnsi="Verdana"/>
                <w:b/>
                <w:sz w:val="18"/>
                <w:szCs w:val="18"/>
              </w:rPr>
            </w:pPr>
            <w:r w:rsidRPr="00EC75B7">
              <w:rPr>
                <w:rFonts w:ascii="Verdana" w:hAnsi="Verdana"/>
                <w:b/>
                <w:color w:val="FFFFFF"/>
                <w:spacing w:val="-2"/>
                <w:sz w:val="18"/>
                <w:szCs w:val="18"/>
              </w:rPr>
              <w:t>Description</w:t>
            </w:r>
          </w:p>
        </w:tc>
        <w:tc>
          <w:tcPr>
            <w:tcW w:w="4682" w:type="dxa"/>
            <w:shd w:val="clear" w:color="auto" w:fill="00AFEF"/>
          </w:tcPr>
          <w:p w14:paraId="7D56E79F" w14:textId="77777777" w:rsidR="008715BE" w:rsidRPr="00EC75B7" w:rsidRDefault="00000000">
            <w:pPr>
              <w:pStyle w:val="TableParagraph"/>
              <w:spacing w:before="1"/>
              <w:ind w:left="109"/>
              <w:rPr>
                <w:rFonts w:ascii="Verdana" w:hAnsi="Verdana"/>
                <w:b/>
                <w:sz w:val="18"/>
                <w:szCs w:val="18"/>
              </w:rPr>
            </w:pPr>
            <w:r w:rsidRPr="00EC75B7">
              <w:rPr>
                <w:rFonts w:ascii="Verdana" w:hAnsi="Verdana"/>
                <w:b/>
                <w:color w:val="FFFFFF"/>
                <w:sz w:val="18"/>
                <w:szCs w:val="18"/>
              </w:rPr>
              <w:t xml:space="preserve">Magnitude identified for the </w:t>
            </w:r>
            <w:r w:rsidRPr="00EC75B7">
              <w:rPr>
                <w:rFonts w:ascii="Verdana" w:hAnsi="Verdana"/>
                <w:b/>
                <w:color w:val="FFFFFF"/>
                <w:spacing w:val="-2"/>
                <w:sz w:val="18"/>
                <w:szCs w:val="18"/>
              </w:rPr>
              <w:t>project</w:t>
            </w:r>
          </w:p>
        </w:tc>
      </w:tr>
      <w:tr w:rsidR="008715BE" w:rsidRPr="00EC75B7" w14:paraId="45914654" w14:textId="77777777">
        <w:trPr>
          <w:trHeight w:val="333"/>
        </w:trPr>
        <w:tc>
          <w:tcPr>
            <w:tcW w:w="9923" w:type="dxa"/>
            <w:gridSpan w:val="3"/>
            <w:shd w:val="clear" w:color="auto" w:fill="ADAAAA"/>
          </w:tcPr>
          <w:p w14:paraId="5AD8ADD2"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3ADBFD98" w14:textId="77777777">
        <w:trPr>
          <w:trHeight w:val="1752"/>
        </w:trPr>
        <w:tc>
          <w:tcPr>
            <w:tcW w:w="1347" w:type="dxa"/>
            <w:shd w:val="clear" w:color="auto" w:fill="F1F1F1"/>
          </w:tcPr>
          <w:p w14:paraId="7143D3B6"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spacing w:val="-4"/>
                <w:sz w:val="18"/>
                <w:szCs w:val="18"/>
              </w:rPr>
              <w:t>Low</w:t>
            </w:r>
          </w:p>
        </w:tc>
        <w:tc>
          <w:tcPr>
            <w:tcW w:w="3894" w:type="dxa"/>
            <w:shd w:val="clear" w:color="auto" w:fill="F1F1F1"/>
          </w:tcPr>
          <w:p w14:paraId="521DED18" w14:textId="77777777" w:rsidR="008715BE" w:rsidRPr="00EC75B7" w:rsidRDefault="00000000">
            <w:pPr>
              <w:pStyle w:val="TableParagraph"/>
              <w:spacing w:before="1"/>
              <w:ind w:left="110" w:right="93"/>
              <w:jc w:val="both"/>
              <w:rPr>
                <w:rFonts w:ascii="Verdana" w:hAnsi="Verdana"/>
                <w:sz w:val="18"/>
                <w:szCs w:val="18"/>
              </w:rPr>
            </w:pPr>
            <w:r w:rsidRPr="00EC75B7">
              <w:rPr>
                <w:rFonts w:ascii="Verdana" w:hAnsi="Verdana"/>
                <w:sz w:val="18"/>
                <w:szCs w:val="18"/>
              </w:rPr>
              <w:t>Actions which, together with other pressures and threats, lead to the biological component being affected by 10-25% of the threshold value established for maintaining good conservation status (in the absence of thresholds, 2.5-5% of the biological component is affected)</w:t>
            </w:r>
          </w:p>
        </w:tc>
        <w:tc>
          <w:tcPr>
            <w:tcW w:w="4682" w:type="dxa"/>
            <w:shd w:val="clear" w:color="auto" w:fill="F1F1F1"/>
          </w:tcPr>
          <w:p w14:paraId="611D94D9" w14:textId="77777777" w:rsidR="008715BE" w:rsidRPr="00EC75B7" w:rsidRDefault="00000000">
            <w:pPr>
              <w:pStyle w:val="TableParagraph"/>
              <w:tabs>
                <w:tab w:val="left" w:pos="1762"/>
                <w:tab w:val="left" w:pos="2825"/>
                <w:tab w:val="left" w:pos="4255"/>
              </w:tabs>
              <w:spacing w:before="1"/>
              <w:ind w:left="109" w:right="96"/>
              <w:jc w:val="both"/>
              <w:rPr>
                <w:rFonts w:ascii="Verdana" w:hAnsi="Verdana"/>
                <w:sz w:val="18"/>
                <w:szCs w:val="18"/>
              </w:rPr>
            </w:pPr>
            <w:r w:rsidRPr="00EC75B7">
              <w:rPr>
                <w:rFonts w:ascii="Verdana" w:hAnsi="Verdana"/>
                <w:sz w:val="18"/>
                <w:szCs w:val="18"/>
              </w:rPr>
              <w:t xml:space="preserve">Applicable (dominant) for biodiversity components at the site: </w:t>
            </w:r>
            <w:r w:rsidRPr="00EC75B7">
              <w:rPr>
                <w:rFonts w:ascii="Verdana" w:hAnsi="Verdana"/>
                <w:spacing w:val="-2"/>
                <w:sz w:val="18"/>
                <w:szCs w:val="18"/>
              </w:rPr>
              <w:t>isolated</w:t>
            </w:r>
            <w:r w:rsidRPr="00EC75B7">
              <w:rPr>
                <w:rFonts w:ascii="Verdana" w:hAnsi="Verdana"/>
                <w:sz w:val="18"/>
                <w:szCs w:val="18"/>
              </w:rPr>
              <w:t xml:space="preserve"> losses/alterations</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2"/>
                <w:sz w:val="18"/>
                <w:szCs w:val="18"/>
              </w:rPr>
              <w:t>habitat</w:t>
            </w:r>
            <w:r w:rsidRPr="00EC75B7">
              <w:rPr>
                <w:rFonts w:ascii="Verdana" w:hAnsi="Verdana"/>
                <w:sz w:val="18"/>
                <w:szCs w:val="18"/>
              </w:rPr>
              <w:tab/>
            </w:r>
            <w:r w:rsidRPr="00EC75B7">
              <w:rPr>
                <w:rFonts w:ascii="Verdana" w:hAnsi="Verdana"/>
                <w:spacing w:val="-4"/>
                <w:sz w:val="18"/>
                <w:szCs w:val="18"/>
              </w:rPr>
              <w:t xml:space="preserve">by </w:t>
            </w:r>
            <w:r w:rsidRPr="00EC75B7">
              <w:rPr>
                <w:rFonts w:ascii="Verdana" w:hAnsi="Verdana"/>
                <w:sz w:val="18"/>
                <w:szCs w:val="18"/>
              </w:rPr>
              <w:t xml:space="preserve">platforms/foundations/roads/ditches LES, temporary disturbances by human presence, noise and traffic during construction, and local effects during operation (noise, maintenance). No changes are anticipated that would affect the </w:t>
            </w:r>
            <w:r w:rsidRPr="00EC75B7">
              <w:rPr>
                <w:rFonts w:ascii="Verdana" w:hAnsi="Verdana"/>
                <w:sz w:val="18"/>
                <w:szCs w:val="18"/>
              </w:rPr>
              <w:lastRenderedPageBreak/>
              <w:t xml:space="preserve">conservation status of receptors at </w:t>
            </w:r>
            <w:r w:rsidRPr="00EC75B7">
              <w:rPr>
                <w:rFonts w:ascii="Verdana" w:hAnsi="Verdana"/>
                <w:spacing w:val="-2"/>
                <w:sz w:val="18"/>
                <w:szCs w:val="18"/>
              </w:rPr>
              <w:t>the</w:t>
            </w:r>
          </w:p>
          <w:p w14:paraId="46E42E96" w14:textId="77777777" w:rsidR="008715BE" w:rsidRPr="00EC75B7" w:rsidRDefault="00000000">
            <w:pPr>
              <w:pStyle w:val="TableParagraph"/>
              <w:spacing w:line="168" w:lineRule="exact"/>
              <w:ind w:left="109"/>
              <w:jc w:val="both"/>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level</w:t>
            </w:r>
            <w:r w:rsidRPr="00EC75B7">
              <w:rPr>
                <w:rFonts w:ascii="Verdana" w:hAnsi="Verdana"/>
                <w:spacing w:val="-2"/>
                <w:sz w:val="18"/>
                <w:szCs w:val="18"/>
              </w:rPr>
              <w:t>.</w:t>
            </w:r>
          </w:p>
        </w:tc>
      </w:tr>
      <w:tr w:rsidR="008715BE" w:rsidRPr="00EC75B7" w14:paraId="79858399" w14:textId="77777777">
        <w:trPr>
          <w:trHeight w:val="1554"/>
        </w:trPr>
        <w:tc>
          <w:tcPr>
            <w:tcW w:w="1347" w:type="dxa"/>
          </w:tcPr>
          <w:p w14:paraId="249C868A"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3894" w:type="dxa"/>
          </w:tcPr>
          <w:p w14:paraId="23E21934" w14:textId="77777777" w:rsidR="008715BE" w:rsidRPr="00EC75B7" w:rsidRDefault="00000000">
            <w:pPr>
              <w:pStyle w:val="TableParagraph"/>
              <w:ind w:left="110" w:right="91"/>
              <w:jc w:val="both"/>
              <w:rPr>
                <w:rFonts w:ascii="Verdana" w:hAnsi="Verdana"/>
                <w:sz w:val="18"/>
                <w:szCs w:val="18"/>
              </w:rPr>
            </w:pPr>
            <w:r w:rsidRPr="00EC75B7">
              <w:rPr>
                <w:rFonts w:ascii="Verdana" w:hAnsi="Verdana"/>
                <w:sz w:val="18"/>
                <w:szCs w:val="18"/>
              </w:rPr>
              <w:t>Actions which, together with other pressures and threats, lead to damage to the biological component of 25-50% of the threshold value set for maintaining good conservation status (in the absence of thresholds, damage to 5-10% of the biological component)</w:t>
            </w:r>
          </w:p>
        </w:tc>
        <w:tc>
          <w:tcPr>
            <w:tcW w:w="4682" w:type="dxa"/>
          </w:tcPr>
          <w:p w14:paraId="33ED94CB" w14:textId="77777777" w:rsidR="008715BE" w:rsidRPr="00EC75B7" w:rsidRDefault="00000000">
            <w:pPr>
              <w:pStyle w:val="TableParagraph"/>
              <w:ind w:left="109" w:right="94"/>
              <w:jc w:val="both"/>
              <w:rPr>
                <w:rFonts w:ascii="Verdana" w:hAnsi="Verdana"/>
                <w:sz w:val="18"/>
                <w:szCs w:val="18"/>
              </w:rPr>
            </w:pPr>
            <w:r w:rsidRPr="00EC75B7">
              <w:rPr>
                <w:rFonts w:ascii="Verdana" w:hAnsi="Verdana"/>
                <w:sz w:val="18"/>
                <w:szCs w:val="18"/>
              </w:rPr>
              <w:t>Applicable on a case-by-case basis, especially as a potential for birds and bats during the operational phase (risk of collision/barotrauma and avoidance/barrier effect), during certain sensitive periods (migration, dispersal, nocturnal activity) and under favorable weather conditions. The magnitude remains controllable through operational measures</w:t>
            </w:r>
            <w:r w:rsidRPr="00EC75B7">
              <w:rPr>
                <w:rFonts w:ascii="Verdana" w:hAnsi="Verdana"/>
                <w:spacing w:val="63"/>
                <w:sz w:val="18"/>
                <w:szCs w:val="18"/>
              </w:rPr>
              <w:t xml:space="preserve">  </w:t>
            </w:r>
            <w:r w:rsidRPr="00EC75B7">
              <w:rPr>
                <w:rFonts w:ascii="Verdana" w:hAnsi="Verdana"/>
                <w:sz w:val="18"/>
                <w:szCs w:val="18"/>
              </w:rPr>
              <w:t xml:space="preserve"> and</w:t>
            </w:r>
            <w:r w:rsidRPr="00EC75B7">
              <w:rPr>
                <w:rFonts w:ascii="Verdana" w:hAnsi="Verdana"/>
                <w:spacing w:val="64"/>
                <w:sz w:val="18"/>
                <w:szCs w:val="18"/>
              </w:rPr>
              <w:t xml:space="preserve">  </w:t>
            </w:r>
            <w:r w:rsidRPr="00EC75B7">
              <w:rPr>
                <w:rFonts w:ascii="Verdana" w:hAnsi="Verdana"/>
                <w:sz w:val="18"/>
                <w:szCs w:val="18"/>
              </w:rPr>
              <w:t xml:space="preserve"> monitoring,</w:t>
            </w:r>
            <w:r w:rsidRPr="00EC75B7">
              <w:rPr>
                <w:rFonts w:ascii="Verdana" w:hAnsi="Verdana"/>
                <w:spacing w:val="63"/>
                <w:sz w:val="18"/>
                <w:szCs w:val="18"/>
              </w:rPr>
              <w:t xml:space="preserve">  </w:t>
            </w:r>
            <w:r w:rsidRPr="00EC75B7">
              <w:rPr>
                <w:rFonts w:ascii="Verdana" w:hAnsi="Verdana"/>
                <w:sz w:val="18"/>
                <w:szCs w:val="18"/>
              </w:rPr>
              <w:t xml:space="preserve"> being</w:t>
            </w:r>
            <w:r w:rsidRPr="00EC75B7">
              <w:rPr>
                <w:rFonts w:ascii="Verdana" w:hAnsi="Verdana"/>
                <w:spacing w:val="64"/>
                <w:sz w:val="18"/>
                <w:szCs w:val="18"/>
              </w:rPr>
              <w:t xml:space="preserve">  </w:t>
            </w:r>
            <w:r w:rsidRPr="00EC75B7">
              <w:rPr>
                <w:rFonts w:ascii="Verdana" w:hAnsi="Verdana"/>
                <w:spacing w:val="-7"/>
                <w:sz w:val="18"/>
                <w:szCs w:val="18"/>
              </w:rPr>
              <w:t xml:space="preserve"> </w:t>
            </w:r>
            <w:r w:rsidRPr="00EC75B7">
              <w:rPr>
                <w:rFonts w:ascii="Verdana" w:hAnsi="Verdana"/>
                <w:sz w:val="18"/>
                <w:szCs w:val="18"/>
              </w:rPr>
              <w:t>assessed</w:t>
            </w:r>
            <w:r w:rsidRPr="00EC75B7">
              <w:rPr>
                <w:rFonts w:ascii="Verdana" w:hAnsi="Verdana"/>
                <w:spacing w:val="63"/>
                <w:sz w:val="18"/>
                <w:szCs w:val="18"/>
              </w:rPr>
              <w:t xml:space="preserve">  </w:t>
            </w:r>
            <w:r w:rsidRPr="00EC75B7">
              <w:rPr>
                <w:rFonts w:ascii="Verdana" w:hAnsi="Verdana"/>
                <w:spacing w:val="-7"/>
                <w:sz w:val="18"/>
                <w:szCs w:val="18"/>
              </w:rPr>
              <w:t xml:space="preserve"> as</w:t>
            </w:r>
          </w:p>
          <w:p w14:paraId="3C71EC5D" w14:textId="77777777" w:rsidR="008715BE" w:rsidRPr="00EC75B7" w:rsidRDefault="00000000">
            <w:pPr>
              <w:pStyle w:val="TableParagraph"/>
              <w:spacing w:line="168" w:lineRule="exact"/>
              <w:ind w:left="109"/>
              <w:jc w:val="both"/>
              <w:rPr>
                <w:rFonts w:ascii="Verdana" w:hAnsi="Verdana"/>
                <w:sz w:val="18"/>
                <w:szCs w:val="18"/>
              </w:rPr>
            </w:pPr>
            <w:r w:rsidRPr="00EC75B7">
              <w:rPr>
                <w:rFonts w:ascii="Verdana" w:hAnsi="Verdana"/>
                <w:sz w:val="18"/>
                <w:szCs w:val="18"/>
              </w:rPr>
              <w:t xml:space="preserve">not reaching critical thresholds at the </w:t>
            </w:r>
            <w:r w:rsidRPr="00EC75B7">
              <w:rPr>
                <w:rFonts w:ascii="Verdana" w:hAnsi="Verdana"/>
                <w:spacing w:val="-2"/>
                <w:sz w:val="18"/>
                <w:szCs w:val="18"/>
              </w:rPr>
              <w:t xml:space="preserve">population </w:t>
            </w:r>
            <w:r w:rsidRPr="00EC75B7">
              <w:rPr>
                <w:rFonts w:ascii="Verdana" w:hAnsi="Verdana"/>
                <w:sz w:val="18"/>
                <w:szCs w:val="18"/>
              </w:rPr>
              <w:t>level</w:t>
            </w:r>
            <w:r w:rsidRPr="00EC75B7">
              <w:rPr>
                <w:rFonts w:ascii="Verdana" w:hAnsi="Verdana"/>
                <w:spacing w:val="-2"/>
                <w:sz w:val="18"/>
                <w:szCs w:val="18"/>
              </w:rPr>
              <w:t>.</w:t>
            </w:r>
          </w:p>
        </w:tc>
      </w:tr>
    </w:tbl>
    <w:p w14:paraId="1216804B" w14:textId="77777777" w:rsidR="008715BE" w:rsidRPr="00EC75B7" w:rsidRDefault="008715BE">
      <w:pPr>
        <w:pStyle w:val="TableParagraph"/>
        <w:spacing w:line="168" w:lineRule="exact"/>
        <w:jc w:val="both"/>
        <w:rPr>
          <w:rFonts w:ascii="Verdana" w:hAnsi="Verdana"/>
          <w:sz w:val="18"/>
          <w:szCs w:val="18"/>
        </w:rPr>
        <w:sectPr w:rsidR="008715BE" w:rsidRPr="00EC75B7">
          <w:pgSz w:w="11910" w:h="16840"/>
          <w:pgMar w:top="1320" w:right="425" w:bottom="1020" w:left="1133" w:header="766" w:footer="824" w:gutter="0"/>
          <w:cols w:space="708"/>
        </w:sectPr>
      </w:pPr>
    </w:p>
    <w:p w14:paraId="04446C88"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3894"/>
        <w:gridCol w:w="4682"/>
      </w:tblGrid>
      <w:tr w:rsidR="008715BE" w:rsidRPr="00EC75B7" w14:paraId="7DFFA811" w14:textId="77777777">
        <w:trPr>
          <w:trHeight w:val="388"/>
        </w:trPr>
        <w:tc>
          <w:tcPr>
            <w:tcW w:w="1347" w:type="dxa"/>
            <w:shd w:val="clear" w:color="auto" w:fill="00AFEF"/>
          </w:tcPr>
          <w:p w14:paraId="5004421F" w14:textId="77777777" w:rsidR="008715BE" w:rsidRPr="00EC75B7" w:rsidRDefault="00000000">
            <w:pPr>
              <w:pStyle w:val="TableParagraph"/>
              <w:spacing w:line="194" w:lineRule="exact"/>
              <w:ind w:left="108" w:right="92"/>
              <w:rPr>
                <w:rFonts w:ascii="Verdana" w:hAnsi="Verdana"/>
                <w:b/>
                <w:sz w:val="18"/>
                <w:szCs w:val="18"/>
              </w:rPr>
            </w:pPr>
            <w:r w:rsidRPr="00EC75B7">
              <w:rPr>
                <w:rFonts w:ascii="Verdana" w:hAnsi="Verdana"/>
                <w:b/>
                <w:color w:val="FFFFFF"/>
                <w:spacing w:val="-2"/>
                <w:sz w:val="18"/>
                <w:szCs w:val="18"/>
              </w:rPr>
              <w:t>Magnitude class</w:t>
            </w:r>
          </w:p>
        </w:tc>
        <w:tc>
          <w:tcPr>
            <w:tcW w:w="3894" w:type="dxa"/>
            <w:shd w:val="clear" w:color="auto" w:fill="00AFEF"/>
          </w:tcPr>
          <w:p w14:paraId="4E697940"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color w:val="FFFFFF"/>
                <w:spacing w:val="-2"/>
                <w:sz w:val="18"/>
                <w:szCs w:val="18"/>
              </w:rPr>
              <w:t>Description</w:t>
            </w:r>
          </w:p>
        </w:tc>
        <w:tc>
          <w:tcPr>
            <w:tcW w:w="4682" w:type="dxa"/>
            <w:shd w:val="clear" w:color="auto" w:fill="00AFEF"/>
          </w:tcPr>
          <w:p w14:paraId="3F5D6BDC" w14:textId="77777777" w:rsidR="008715BE" w:rsidRPr="00EC75B7" w:rsidRDefault="00000000">
            <w:pPr>
              <w:pStyle w:val="TableParagraph"/>
              <w:spacing w:before="8"/>
              <w:ind w:left="109"/>
              <w:rPr>
                <w:rFonts w:ascii="Verdana" w:hAnsi="Verdana"/>
                <w:b/>
                <w:sz w:val="18"/>
                <w:szCs w:val="18"/>
              </w:rPr>
            </w:pPr>
            <w:r w:rsidRPr="00EC75B7">
              <w:rPr>
                <w:rFonts w:ascii="Verdana" w:hAnsi="Verdana"/>
                <w:b/>
                <w:color w:val="FFFFFF"/>
                <w:sz w:val="18"/>
                <w:szCs w:val="18"/>
              </w:rPr>
              <w:t xml:space="preserve">Magnitude identified in the case </w:t>
            </w:r>
            <w:r w:rsidRPr="00EC75B7">
              <w:rPr>
                <w:rFonts w:ascii="Verdana" w:hAnsi="Verdana"/>
                <w:b/>
                <w:color w:val="FFFFFF"/>
                <w:spacing w:val="-2"/>
                <w:sz w:val="18"/>
                <w:szCs w:val="18"/>
              </w:rPr>
              <w:t>of the project</w:t>
            </w:r>
          </w:p>
        </w:tc>
      </w:tr>
      <w:tr w:rsidR="008715BE" w:rsidRPr="00EC75B7" w14:paraId="7BBD4FDF" w14:textId="77777777">
        <w:trPr>
          <w:trHeight w:val="1166"/>
        </w:trPr>
        <w:tc>
          <w:tcPr>
            <w:tcW w:w="1347" w:type="dxa"/>
            <w:shd w:val="clear" w:color="auto" w:fill="F1F1F1"/>
          </w:tcPr>
          <w:p w14:paraId="53DF898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3894" w:type="dxa"/>
            <w:shd w:val="clear" w:color="auto" w:fill="F1F1F1"/>
          </w:tcPr>
          <w:p w14:paraId="41AB51D0" w14:textId="77777777" w:rsidR="008715BE" w:rsidRPr="00EC75B7" w:rsidRDefault="00000000">
            <w:pPr>
              <w:pStyle w:val="TableParagraph"/>
              <w:spacing w:line="194" w:lineRule="exact"/>
              <w:ind w:left="110" w:right="93"/>
              <w:jc w:val="both"/>
              <w:rPr>
                <w:rFonts w:ascii="Verdana" w:hAnsi="Verdana"/>
                <w:sz w:val="18"/>
                <w:szCs w:val="18"/>
              </w:rPr>
            </w:pPr>
            <w:r w:rsidRPr="00EC75B7">
              <w:rPr>
                <w:rFonts w:ascii="Verdana" w:hAnsi="Verdana"/>
                <w:sz w:val="18"/>
                <w:szCs w:val="18"/>
              </w:rPr>
              <w:t>Actions which, together with other pressures and threats, lead to damage to the biological component exceeding 50% of the threshold value set for maintaining good conservation status (in the absence of thresholds, damage to 10-20% of the biological component)</w:t>
            </w:r>
          </w:p>
        </w:tc>
        <w:tc>
          <w:tcPr>
            <w:tcW w:w="4682" w:type="dxa"/>
            <w:shd w:val="clear" w:color="auto" w:fill="F1F1F1"/>
          </w:tcPr>
          <w:p w14:paraId="646E6FA1" w14:textId="77777777" w:rsidR="008715BE" w:rsidRPr="00EC75B7" w:rsidRDefault="00000000">
            <w:pPr>
              <w:pStyle w:val="TableParagraph"/>
              <w:spacing w:line="194" w:lineRule="exact"/>
              <w:ind w:left="109" w:right="96"/>
              <w:jc w:val="both"/>
              <w:rPr>
                <w:rFonts w:ascii="Verdana" w:hAnsi="Verdana"/>
                <w:sz w:val="18"/>
                <w:szCs w:val="18"/>
              </w:rPr>
            </w:pPr>
            <w:r w:rsidRPr="00EC75B7">
              <w:rPr>
                <w:rFonts w:ascii="Verdana" w:hAnsi="Verdana"/>
                <w:sz w:val="18"/>
                <w:szCs w:val="18"/>
              </w:rPr>
              <w:t>Not applicable: the project does not intersect Natura 2000 sites/protected areas and does not involve extensive transformations of habitats of high conservation value; no damage &gt;50% of relevant biological components is anticipated, nor are there any regional mechanisms that would lead to the degradation of the conservation status.</w:t>
            </w:r>
          </w:p>
        </w:tc>
      </w:tr>
      <w:tr w:rsidR="008715BE" w:rsidRPr="00EC75B7" w14:paraId="3A93581C" w14:textId="77777777">
        <w:trPr>
          <w:trHeight w:val="196"/>
        </w:trPr>
        <w:tc>
          <w:tcPr>
            <w:tcW w:w="9923" w:type="dxa"/>
            <w:gridSpan w:val="3"/>
            <w:shd w:val="clear" w:color="auto" w:fill="BEBEBE"/>
          </w:tcPr>
          <w:p w14:paraId="28AE1CCB"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05895AB4" w14:textId="77777777">
        <w:trPr>
          <w:trHeight w:val="1166"/>
        </w:trPr>
        <w:tc>
          <w:tcPr>
            <w:tcW w:w="1347" w:type="dxa"/>
            <w:shd w:val="clear" w:color="auto" w:fill="F1F1F1"/>
          </w:tcPr>
          <w:p w14:paraId="41A8052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3894" w:type="dxa"/>
            <w:shd w:val="clear" w:color="auto" w:fill="F1F1F1"/>
          </w:tcPr>
          <w:p w14:paraId="65D9D6D2" w14:textId="77777777" w:rsidR="008715BE" w:rsidRPr="00EC75B7" w:rsidRDefault="00000000">
            <w:pPr>
              <w:pStyle w:val="TableParagraph"/>
              <w:spacing w:line="194" w:lineRule="exact"/>
              <w:ind w:left="110" w:right="91"/>
              <w:jc w:val="both"/>
              <w:rPr>
                <w:rFonts w:ascii="Verdana" w:hAnsi="Verdana"/>
                <w:sz w:val="18"/>
                <w:szCs w:val="18"/>
              </w:rPr>
            </w:pPr>
            <w:r w:rsidRPr="00EC75B7">
              <w:rPr>
                <w:rFonts w:ascii="Verdana" w:hAnsi="Verdana"/>
                <w:sz w:val="18"/>
                <w:szCs w:val="18"/>
              </w:rPr>
              <w:t xml:space="preserve">Actions leading to an improvement in the biological component of 10-25% of the threshold value set for maintaining good conservation status (in the absence of thresholds, an improvement of 2.5-5% of the </w:t>
            </w:r>
            <w:r w:rsidRPr="00EC75B7">
              <w:rPr>
                <w:rFonts w:ascii="Verdana" w:hAnsi="Verdana"/>
                <w:spacing w:val="-2"/>
                <w:sz w:val="18"/>
                <w:szCs w:val="18"/>
              </w:rPr>
              <w:t>biological</w:t>
            </w:r>
            <w:r w:rsidRPr="00EC75B7">
              <w:rPr>
                <w:rFonts w:ascii="Verdana" w:hAnsi="Verdana"/>
                <w:sz w:val="18"/>
                <w:szCs w:val="18"/>
              </w:rPr>
              <w:t xml:space="preserve"> component</w:t>
            </w:r>
            <w:r w:rsidRPr="00EC75B7">
              <w:rPr>
                <w:rFonts w:ascii="Verdana" w:hAnsi="Verdana"/>
                <w:spacing w:val="-2"/>
                <w:sz w:val="18"/>
                <w:szCs w:val="18"/>
              </w:rPr>
              <w:t>)</w:t>
            </w:r>
          </w:p>
        </w:tc>
        <w:tc>
          <w:tcPr>
            <w:tcW w:w="4682" w:type="dxa"/>
            <w:shd w:val="clear" w:color="auto" w:fill="F1F1F1"/>
          </w:tcPr>
          <w:p w14:paraId="71131E96" w14:textId="77777777" w:rsidR="008715BE" w:rsidRPr="00EC75B7" w:rsidRDefault="00000000">
            <w:pPr>
              <w:pStyle w:val="TableParagraph"/>
              <w:spacing w:line="194" w:lineRule="exact"/>
              <w:ind w:left="109" w:right="93"/>
              <w:jc w:val="both"/>
              <w:rPr>
                <w:rFonts w:ascii="Verdana" w:hAnsi="Verdana"/>
                <w:sz w:val="18"/>
                <w:szCs w:val="18"/>
              </w:rPr>
            </w:pPr>
            <w:r w:rsidRPr="00EC75B7">
              <w:rPr>
                <w:rFonts w:ascii="Verdana" w:hAnsi="Verdana"/>
                <w:sz w:val="18"/>
                <w:szCs w:val="18"/>
              </w:rPr>
              <w:t xml:space="preserve">Applicable to a limited extent/indirectly, through land restoration measures after execution (reprofiling, restoring the topsoil layer, local grass planting where appropriate) and by reducing specific pressures </w:t>
            </w:r>
            <w:r w:rsidRPr="00EC75B7">
              <w:rPr>
                <w:rFonts w:ascii="Verdana" w:hAnsi="Verdana"/>
                <w:spacing w:val="-2"/>
                <w:sz w:val="18"/>
                <w:szCs w:val="18"/>
              </w:rPr>
              <w:t xml:space="preserve">(waste management, dust control) – local effects, without </w:t>
            </w:r>
            <w:r w:rsidRPr="00EC75B7">
              <w:rPr>
                <w:rFonts w:ascii="Verdana" w:hAnsi="Verdana"/>
                <w:sz w:val="18"/>
                <w:szCs w:val="18"/>
              </w:rPr>
              <w:t>significant increases in conservation value.</w:t>
            </w:r>
          </w:p>
        </w:tc>
      </w:tr>
      <w:tr w:rsidR="008715BE" w:rsidRPr="00EC75B7" w14:paraId="7BACEC29" w14:textId="77777777">
        <w:trPr>
          <w:trHeight w:val="1166"/>
        </w:trPr>
        <w:tc>
          <w:tcPr>
            <w:tcW w:w="1347" w:type="dxa"/>
          </w:tcPr>
          <w:p w14:paraId="016968C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3894" w:type="dxa"/>
          </w:tcPr>
          <w:p w14:paraId="43E4AB40" w14:textId="77777777" w:rsidR="008715BE" w:rsidRPr="00EC75B7" w:rsidRDefault="00000000">
            <w:pPr>
              <w:pStyle w:val="TableParagraph"/>
              <w:spacing w:line="194" w:lineRule="exact"/>
              <w:ind w:left="110" w:right="91"/>
              <w:jc w:val="both"/>
              <w:rPr>
                <w:rFonts w:ascii="Verdana" w:hAnsi="Verdana"/>
                <w:sz w:val="18"/>
                <w:szCs w:val="18"/>
              </w:rPr>
            </w:pPr>
            <w:r w:rsidRPr="00EC75B7">
              <w:rPr>
                <w:rFonts w:ascii="Verdana" w:hAnsi="Verdana"/>
                <w:sz w:val="18"/>
                <w:szCs w:val="18"/>
              </w:rPr>
              <w:t xml:space="preserve">Actions leading to an improvement in the biological component of 25-50% of the threshold value set for maintaining good conservation status (in the absence of thresholds, an improvement of 5-10% in the </w:t>
            </w:r>
            <w:r w:rsidRPr="00EC75B7">
              <w:rPr>
                <w:rFonts w:ascii="Verdana" w:hAnsi="Verdana"/>
                <w:spacing w:val="-2"/>
                <w:sz w:val="18"/>
                <w:szCs w:val="18"/>
              </w:rPr>
              <w:t>biological</w:t>
            </w:r>
            <w:r w:rsidRPr="00EC75B7">
              <w:rPr>
                <w:rFonts w:ascii="Verdana" w:hAnsi="Verdana"/>
                <w:sz w:val="18"/>
                <w:szCs w:val="18"/>
              </w:rPr>
              <w:t xml:space="preserve"> component</w:t>
            </w:r>
            <w:r w:rsidRPr="00EC75B7">
              <w:rPr>
                <w:rFonts w:ascii="Verdana" w:hAnsi="Verdana"/>
                <w:spacing w:val="-2"/>
                <w:sz w:val="18"/>
                <w:szCs w:val="18"/>
              </w:rPr>
              <w:t>)</w:t>
            </w:r>
          </w:p>
        </w:tc>
        <w:tc>
          <w:tcPr>
            <w:tcW w:w="4682" w:type="dxa"/>
          </w:tcPr>
          <w:p w14:paraId="368A88C0" w14:textId="77777777" w:rsidR="008715BE" w:rsidRPr="00EC75B7" w:rsidRDefault="00000000">
            <w:pPr>
              <w:pStyle w:val="TableParagraph"/>
              <w:spacing w:before="8"/>
              <w:ind w:left="109" w:right="96"/>
              <w:jc w:val="both"/>
              <w:rPr>
                <w:rFonts w:ascii="Verdana" w:hAnsi="Verdana"/>
                <w:sz w:val="18"/>
                <w:szCs w:val="18"/>
              </w:rPr>
            </w:pPr>
            <w:r w:rsidRPr="00EC75B7">
              <w:rPr>
                <w:rFonts w:ascii="Verdana" w:hAnsi="Verdana"/>
                <w:sz w:val="18"/>
                <w:szCs w:val="18"/>
              </w:rPr>
              <w:t>Not applicable: the project does not include ecological improvement measures on a relevant scale (habitat restoration, ecological reconstruction, corridor expansion, renaturation works) that would produce a visible improvement in biological components.</w:t>
            </w:r>
          </w:p>
        </w:tc>
      </w:tr>
      <w:tr w:rsidR="008715BE" w:rsidRPr="00EC75B7" w14:paraId="231158ED" w14:textId="77777777">
        <w:trPr>
          <w:trHeight w:val="1166"/>
        </w:trPr>
        <w:tc>
          <w:tcPr>
            <w:tcW w:w="1347" w:type="dxa"/>
            <w:shd w:val="clear" w:color="auto" w:fill="F1F1F1"/>
          </w:tcPr>
          <w:p w14:paraId="33ECECDD"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3894" w:type="dxa"/>
            <w:shd w:val="clear" w:color="auto" w:fill="F1F1F1"/>
          </w:tcPr>
          <w:p w14:paraId="23479974" w14:textId="77777777" w:rsidR="008715BE" w:rsidRPr="00EC75B7" w:rsidRDefault="00000000">
            <w:pPr>
              <w:pStyle w:val="TableParagraph"/>
              <w:spacing w:line="194" w:lineRule="exact"/>
              <w:ind w:left="110" w:right="92"/>
              <w:jc w:val="both"/>
              <w:rPr>
                <w:rFonts w:ascii="Verdana" w:hAnsi="Verdana"/>
                <w:sz w:val="18"/>
                <w:szCs w:val="18"/>
              </w:rPr>
            </w:pPr>
            <w:r w:rsidRPr="00EC75B7">
              <w:rPr>
                <w:rFonts w:ascii="Verdana" w:hAnsi="Verdana"/>
                <w:sz w:val="18"/>
                <w:szCs w:val="18"/>
              </w:rPr>
              <w:t xml:space="preserve">Actions leading to an improvement in the biological component of ≥50% of the threshold value set for maintaining good conservation status (in the absence of thresholds, improvement of 10-20% of the </w:t>
            </w:r>
            <w:r w:rsidRPr="00EC75B7">
              <w:rPr>
                <w:rFonts w:ascii="Verdana" w:hAnsi="Verdana"/>
                <w:spacing w:val="-2"/>
                <w:sz w:val="18"/>
                <w:szCs w:val="18"/>
              </w:rPr>
              <w:t>biological</w:t>
            </w:r>
            <w:r w:rsidRPr="00EC75B7">
              <w:rPr>
                <w:rFonts w:ascii="Verdana" w:hAnsi="Verdana"/>
                <w:sz w:val="18"/>
                <w:szCs w:val="18"/>
              </w:rPr>
              <w:t xml:space="preserve"> component</w:t>
            </w:r>
            <w:r w:rsidRPr="00EC75B7">
              <w:rPr>
                <w:rFonts w:ascii="Verdana" w:hAnsi="Verdana"/>
                <w:spacing w:val="-2"/>
                <w:sz w:val="18"/>
                <w:szCs w:val="18"/>
              </w:rPr>
              <w:t>)</w:t>
            </w:r>
          </w:p>
        </w:tc>
        <w:tc>
          <w:tcPr>
            <w:tcW w:w="4682" w:type="dxa"/>
            <w:shd w:val="clear" w:color="auto" w:fill="F1F1F1"/>
          </w:tcPr>
          <w:p w14:paraId="0CD6AF57" w14:textId="77777777" w:rsidR="008715BE" w:rsidRPr="00EC75B7" w:rsidRDefault="00000000">
            <w:pPr>
              <w:pStyle w:val="TableParagraph"/>
              <w:spacing w:before="8"/>
              <w:ind w:left="109" w:right="97"/>
              <w:jc w:val="both"/>
              <w:rPr>
                <w:rFonts w:ascii="Verdana" w:hAnsi="Verdana"/>
                <w:sz w:val="18"/>
                <w:szCs w:val="18"/>
              </w:rPr>
            </w:pPr>
            <w:r w:rsidRPr="00EC75B7">
              <w:rPr>
                <w:rFonts w:ascii="Verdana" w:hAnsi="Verdana"/>
                <w:sz w:val="18"/>
                <w:szCs w:val="18"/>
              </w:rPr>
              <w:t>Not applicable: no interventions with a major positive effect on biodiversity are planned (extensive restoration/creation of priority habitats, significant increases in populations/habitat structure).</w:t>
            </w:r>
          </w:p>
        </w:tc>
      </w:tr>
      <w:tr w:rsidR="008715BE" w:rsidRPr="00EC75B7" w14:paraId="23ABBD76" w14:textId="77777777">
        <w:trPr>
          <w:trHeight w:val="196"/>
        </w:trPr>
        <w:tc>
          <w:tcPr>
            <w:tcW w:w="9923" w:type="dxa"/>
            <w:gridSpan w:val="3"/>
            <w:shd w:val="clear" w:color="auto" w:fill="ADAAAA"/>
          </w:tcPr>
          <w:p w14:paraId="6B8D380A"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3F5ACCBA" w14:textId="77777777">
        <w:trPr>
          <w:trHeight w:val="971"/>
        </w:trPr>
        <w:tc>
          <w:tcPr>
            <w:tcW w:w="1347" w:type="dxa"/>
            <w:shd w:val="clear" w:color="auto" w:fill="F1F1F1"/>
          </w:tcPr>
          <w:p w14:paraId="0E902C04" w14:textId="77777777" w:rsidR="008715BE" w:rsidRPr="00EC75B7" w:rsidRDefault="008715BE">
            <w:pPr>
              <w:pStyle w:val="TableParagraph"/>
              <w:rPr>
                <w:rFonts w:ascii="Verdana" w:hAnsi="Verdana"/>
                <w:sz w:val="18"/>
                <w:szCs w:val="18"/>
              </w:rPr>
            </w:pPr>
          </w:p>
        </w:tc>
        <w:tc>
          <w:tcPr>
            <w:tcW w:w="3894" w:type="dxa"/>
            <w:shd w:val="clear" w:color="auto" w:fill="F1F1F1"/>
          </w:tcPr>
          <w:p w14:paraId="4BF54841" w14:textId="77777777" w:rsidR="008715BE" w:rsidRPr="00EC75B7" w:rsidRDefault="00000000">
            <w:pPr>
              <w:pStyle w:val="TableParagraph"/>
              <w:spacing w:before="8"/>
              <w:ind w:left="110" w:right="93"/>
              <w:jc w:val="both"/>
              <w:rPr>
                <w:rFonts w:ascii="Verdana" w:hAnsi="Verdana"/>
                <w:sz w:val="18"/>
                <w:szCs w:val="18"/>
              </w:rPr>
            </w:pPr>
            <w:r w:rsidRPr="00EC75B7">
              <w:rPr>
                <w:rFonts w:ascii="Verdana" w:hAnsi="Verdana"/>
                <w:sz w:val="18"/>
                <w:szCs w:val="18"/>
              </w:rPr>
              <w:t>Actions that do not influence biodiversity components or changes are not detectable.</w:t>
            </w:r>
          </w:p>
        </w:tc>
        <w:tc>
          <w:tcPr>
            <w:tcW w:w="4682" w:type="dxa"/>
            <w:shd w:val="clear" w:color="auto" w:fill="F1F1F1"/>
          </w:tcPr>
          <w:p w14:paraId="1BE1C54D" w14:textId="77777777" w:rsidR="008715BE" w:rsidRPr="00EC75B7" w:rsidRDefault="00000000">
            <w:pPr>
              <w:pStyle w:val="TableParagraph"/>
              <w:spacing w:line="194" w:lineRule="exact"/>
              <w:ind w:left="109" w:right="96"/>
              <w:jc w:val="both"/>
              <w:rPr>
                <w:rFonts w:ascii="Verdana" w:hAnsi="Verdana"/>
                <w:sz w:val="18"/>
                <w:szCs w:val="18"/>
              </w:rPr>
            </w:pPr>
            <w:r w:rsidRPr="00EC75B7">
              <w:rPr>
                <w:rFonts w:ascii="Verdana" w:hAnsi="Verdana"/>
                <w:sz w:val="18"/>
                <w:szCs w:val="18"/>
              </w:rPr>
              <w:t>Applicable to components on which interventions do not produce detectable changes or there is no causal relationship (e.g., biological elements not present/conditions at the site, or receptors located outside the relevant area of influence).</w:t>
            </w:r>
          </w:p>
        </w:tc>
      </w:tr>
    </w:tbl>
    <w:p w14:paraId="7D0508AE" w14:textId="77777777" w:rsidR="008715BE" w:rsidRPr="00EC75B7" w:rsidRDefault="008715BE">
      <w:pPr>
        <w:pStyle w:val="BodyText"/>
        <w:spacing w:before="20"/>
        <w:rPr>
          <w:rFonts w:ascii="Verdana" w:hAnsi="Verdana"/>
          <w:b/>
        </w:rPr>
      </w:pPr>
    </w:p>
    <w:p w14:paraId="452AE72F" w14:textId="77777777" w:rsidR="008715BE" w:rsidRPr="00EC75B7" w:rsidRDefault="00000000">
      <w:pPr>
        <w:pStyle w:val="BodyText"/>
        <w:spacing w:line="357" w:lineRule="auto"/>
        <w:ind w:left="57" w:right="568"/>
        <w:jc w:val="both"/>
        <w:rPr>
          <w:rFonts w:ascii="Verdana" w:hAnsi="Verdana"/>
        </w:rPr>
      </w:pPr>
      <w:r w:rsidRPr="00EC75B7">
        <w:rPr>
          <w:rFonts w:ascii="Verdana" w:hAnsi="Verdana"/>
        </w:rPr>
        <w:t>The classification by magnitude class shows that, for the proposed project, the magnitude of negative changes is, overall, low, and the anticipated effects are predominantly local, isolated, and manageable, especially since the site is characterized by agricultural use and the intervention does not cause extensive transformations of habitats with high conservation value or overlaps with protected natural areas.</w:t>
      </w:r>
      <w:r w:rsidRPr="00EC75B7">
        <w:rPr>
          <w:rFonts w:ascii="Verdana" w:hAnsi="Verdana"/>
          <w:spacing w:val="40"/>
        </w:rPr>
        <w:t xml:space="preserve"> </w:t>
      </w:r>
      <w:r w:rsidRPr="00EC75B7">
        <w:rPr>
          <w:rFonts w:ascii="Verdana" w:hAnsi="Verdana"/>
        </w:rPr>
        <w:t>In this logic, the low negative magnitude class is considered dominant and best describes the effects associated with the physical footprint of the infrastructure (platforms, foundations, roads, stations, LES corridors), as well as temporary disturbances during the execution phase (noise, vibrations, traffic, human presence), which occur for limited periods and over relatively small areas.</w:t>
      </w:r>
    </w:p>
    <w:p w14:paraId="19F3C62D" w14:textId="77777777" w:rsidR="008715BE" w:rsidRPr="00EC75B7" w:rsidRDefault="00000000">
      <w:pPr>
        <w:pStyle w:val="BodyText"/>
        <w:spacing w:before="127" w:line="357" w:lineRule="auto"/>
        <w:ind w:left="57" w:right="565"/>
        <w:jc w:val="both"/>
        <w:rPr>
          <w:rFonts w:ascii="Verdana" w:hAnsi="Verdana"/>
        </w:rPr>
      </w:pPr>
      <w:r w:rsidRPr="00EC75B7">
        <w:rPr>
          <w:rFonts w:ascii="Verdana" w:hAnsi="Verdana"/>
        </w:rPr>
        <w:t>At the same time, the table highlights that the moderate negative magnitude is applicable on a case-by-case basis, mainly for highly mobile biological receptors, namely birds and bats, during the operational phase, through mechanisms specific to wind farms (collision risk, barotrauma, and avoidance/barrier behavioral effects). This classification reflects the fact that, although the intervention does not cause major structural degradation of the habitats on the site, the potential effects on flying fauna may become relevant during certain biologically sensitive periods (migration, dispersal, nocturnal activity), requiring appropriate operational management and monitoring to keep the effects within acceptable limits.</w:t>
      </w:r>
    </w:p>
    <w:p w14:paraId="3806667E" w14:textId="77777777" w:rsidR="008715BE" w:rsidRPr="00EC75B7" w:rsidRDefault="00000000">
      <w:pPr>
        <w:pStyle w:val="BodyText"/>
        <w:spacing w:before="126" w:line="357" w:lineRule="auto"/>
        <w:ind w:left="57" w:right="563"/>
        <w:jc w:val="both"/>
        <w:rPr>
          <w:rFonts w:ascii="Verdana" w:hAnsi="Verdana"/>
        </w:rPr>
      </w:pPr>
      <w:r w:rsidRPr="00EC75B7">
        <w:rPr>
          <w:rFonts w:ascii="Verdana" w:hAnsi="Verdana"/>
        </w:rPr>
        <w:t>High negative magnitude classes are considered inapplicable in the context of the project, as there are no identified premises for large-scale impacts (such as exceeding population thresholds or extensive habitat transformations) or mechanisms that would lead to deterioration of the conservation status at regional level.</w:t>
      </w:r>
      <w:r w:rsidRPr="00EC75B7">
        <w:rPr>
          <w:rFonts w:ascii="Verdana" w:hAnsi="Verdana"/>
          <w:spacing w:val="18"/>
        </w:rPr>
        <w:t xml:space="preserve"> </w:t>
      </w:r>
      <w:r w:rsidRPr="00EC75B7">
        <w:rPr>
          <w:rFonts w:ascii="Verdana" w:hAnsi="Verdana"/>
        </w:rPr>
        <w:t xml:space="preserve">This result is consistent with the location context and with the fact that the assessment referred to nearby Natura 2000 sites, without identifying any overlaps or direct losses of </w:t>
      </w:r>
      <w:r w:rsidRPr="00EC75B7">
        <w:rPr>
          <w:rFonts w:ascii="Verdana" w:hAnsi="Verdana"/>
          <w:spacing w:val="-2"/>
        </w:rPr>
        <w:t>protected</w:t>
      </w:r>
      <w:r w:rsidRPr="00EC75B7">
        <w:rPr>
          <w:rFonts w:ascii="Verdana" w:hAnsi="Verdana"/>
        </w:rPr>
        <w:t xml:space="preserve"> areas</w:t>
      </w:r>
      <w:r w:rsidRPr="00EC75B7">
        <w:rPr>
          <w:rFonts w:ascii="Verdana" w:hAnsi="Verdana"/>
          <w:spacing w:val="-2"/>
        </w:rPr>
        <w:t>.</w:t>
      </w:r>
    </w:p>
    <w:p w14:paraId="6896C7D0"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1133" w:header="766" w:footer="824" w:gutter="0"/>
          <w:cols w:space="708"/>
        </w:sectPr>
      </w:pPr>
    </w:p>
    <w:p w14:paraId="7B7C60CF" w14:textId="77777777" w:rsidR="008715BE" w:rsidRPr="00EC75B7" w:rsidRDefault="00000000">
      <w:pPr>
        <w:pStyle w:val="BodyText"/>
        <w:spacing w:before="99" w:line="357" w:lineRule="auto"/>
        <w:ind w:left="57" w:right="571"/>
        <w:jc w:val="both"/>
        <w:rPr>
          <w:rFonts w:ascii="Verdana" w:hAnsi="Verdana"/>
        </w:rPr>
      </w:pPr>
      <w:r w:rsidRPr="00EC75B7">
        <w:rPr>
          <w:rFonts w:ascii="Verdana" w:hAnsi="Verdana"/>
        </w:rPr>
        <w:lastRenderedPageBreak/>
        <w:t>In terms of positive magnitude, the results indicate the existence of at most a small positive magnitude, local and indirect in nature, associated mainly with the restoration of temporarily affected areas after execution (return of land to use, re-profiling, restoration of topsoil where appropriate) and the application of good practice measures (dust emission control, waste management, and prevention of accidental pollution). The moderate/high positive magnitude classes are considered inapplicable, as the project does not include ecological restoration interventions or habitat improvement measures on a significant scale.</w:t>
      </w:r>
    </w:p>
    <w:p w14:paraId="6D9AD4C4" w14:textId="77777777" w:rsidR="008715BE" w:rsidRPr="00EC75B7" w:rsidRDefault="00000000">
      <w:pPr>
        <w:pStyle w:val="BodyText"/>
        <w:spacing w:before="126" w:line="357" w:lineRule="auto"/>
        <w:ind w:left="57" w:right="569"/>
        <w:jc w:val="both"/>
        <w:rPr>
          <w:rFonts w:ascii="Verdana" w:hAnsi="Verdana"/>
        </w:rPr>
      </w:pPr>
      <w:r w:rsidRPr="00EC75B7">
        <w:rPr>
          <w:rFonts w:ascii="Verdana" w:hAnsi="Verdana"/>
        </w:rPr>
        <w:t>Overall, the conclusion derived from the table is that the project has a predominantly low potential impact, with moderate specific risks concentrated on flying fauna in exploitation, and the significance of the impact depends mainly on how avoidance/mitigation measures are implemented and on the post-implementation monitoring program, so that the effects remain within limits compatible with maintaining the conservation status of the relevant receptors in the area of influence.</w:t>
      </w:r>
    </w:p>
    <w:p w14:paraId="67E14EDF" w14:textId="77777777" w:rsidR="008715BE" w:rsidRPr="00EC75B7" w:rsidRDefault="008715BE">
      <w:pPr>
        <w:pStyle w:val="BodyText"/>
        <w:spacing w:before="28"/>
        <w:rPr>
          <w:rFonts w:ascii="Verdana" w:hAnsi="Verdana"/>
        </w:rPr>
      </w:pPr>
    </w:p>
    <w:p w14:paraId="499BC1F7"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84" w:name="_bookmark85"/>
      <w:bookmarkEnd w:id="84"/>
      <w:r w:rsidRPr="00EC75B7">
        <w:rPr>
          <w:rFonts w:ascii="Verdana" w:hAnsi="Verdana"/>
          <w:color w:val="00AFEF"/>
          <w:sz w:val="18"/>
          <w:szCs w:val="18"/>
        </w:rPr>
        <w:t xml:space="preserve">Conclusions of the </w:t>
      </w:r>
      <w:r w:rsidRPr="00EC75B7">
        <w:rPr>
          <w:rFonts w:ascii="Verdana" w:hAnsi="Verdana"/>
          <w:color w:val="00AFEF"/>
          <w:spacing w:val="-2"/>
          <w:sz w:val="18"/>
          <w:szCs w:val="18"/>
        </w:rPr>
        <w:t xml:space="preserve">Appropriate </w:t>
      </w:r>
      <w:r w:rsidRPr="00EC75B7">
        <w:rPr>
          <w:rFonts w:ascii="Verdana" w:hAnsi="Verdana"/>
          <w:color w:val="00AFEF"/>
          <w:sz w:val="18"/>
          <w:szCs w:val="18"/>
        </w:rPr>
        <w:t>Assessment Study</w:t>
      </w:r>
    </w:p>
    <w:p w14:paraId="776CEB5B" w14:textId="77777777" w:rsidR="008715BE" w:rsidRPr="00EC75B7" w:rsidRDefault="008715BE">
      <w:pPr>
        <w:pStyle w:val="BodyText"/>
        <w:spacing w:before="111"/>
        <w:rPr>
          <w:rFonts w:ascii="Verdana" w:hAnsi="Verdana"/>
          <w:b/>
        </w:rPr>
      </w:pPr>
    </w:p>
    <w:p w14:paraId="288DFEF7" w14:textId="77777777" w:rsidR="008715BE" w:rsidRPr="00EC75B7" w:rsidRDefault="00000000">
      <w:pPr>
        <w:pStyle w:val="BodyText"/>
        <w:spacing w:line="357" w:lineRule="auto"/>
        <w:ind w:left="57" w:right="563"/>
        <w:jc w:val="both"/>
        <w:rPr>
          <w:rFonts w:ascii="Verdana" w:hAnsi="Verdana"/>
        </w:rPr>
      </w:pPr>
      <w:r w:rsidRPr="00EC75B7">
        <w:rPr>
          <w:rFonts w:ascii="Verdana" w:hAnsi="Verdana"/>
        </w:rPr>
        <w:t>In the Adequacy Assessment Study prepared at the PUZ stage for the "Zonal Urban Plan – Wind Farm 48 (46) wind turbines approx. 316.8 MW (303.6 MW),</w:t>
      </w:r>
      <w:r w:rsidRPr="00EC75B7">
        <w:rPr>
          <w:rFonts w:ascii="Verdana" w:hAnsi="Verdana"/>
          <w:spacing w:val="-13"/>
        </w:rPr>
        <w:t xml:space="preserve"> </w:t>
      </w:r>
      <w:r w:rsidRPr="00EC75B7">
        <w:rPr>
          <w:rFonts w:ascii="Verdana" w:hAnsi="Verdana"/>
        </w:rPr>
        <w:t>transformer stations, electrical connection networks, construction and modernization of communication and access routes," located outside the town of Cerchezu, Constanța County, the potential effects that the implementation of the plan may have on protected natural areas of community interest in the area of influence (including in a cross-border context) were analyzed.</w:t>
      </w:r>
    </w:p>
    <w:p w14:paraId="6A7B1BC6" w14:textId="77777777" w:rsidR="008715BE" w:rsidRPr="00EC75B7" w:rsidRDefault="00000000">
      <w:pPr>
        <w:pStyle w:val="BodyText"/>
        <w:spacing w:before="125" w:line="360" w:lineRule="auto"/>
        <w:ind w:left="57" w:right="568"/>
        <w:jc w:val="both"/>
        <w:rPr>
          <w:rFonts w:ascii="Verdana" w:hAnsi="Verdana"/>
        </w:rPr>
      </w:pPr>
      <w:r w:rsidRPr="00EC75B7">
        <w:rPr>
          <w:rFonts w:ascii="Verdana" w:hAnsi="Verdana"/>
        </w:rPr>
        <w:t>The study was developed with a view to completing the environmental procedure for the PUZ and integrating the conclusions into the Environmental Report, in compliance with the requirements of the methodological guidelines applicable to the appropriate assessment (including Order No. 1682/2023, as amended,</w:t>
      </w:r>
      <w:r w:rsidRPr="00EC75B7">
        <w:rPr>
          <w:rFonts w:ascii="Verdana" w:hAnsi="Verdana"/>
          <w:spacing w:val="19"/>
        </w:rPr>
        <w:t xml:space="preserve"> </w:t>
      </w:r>
      <w:r w:rsidRPr="00EC75B7">
        <w:rPr>
          <w:rFonts w:ascii="Verdana" w:hAnsi="Verdana"/>
        </w:rPr>
        <w:t>and the specific guide for the field of "Energy Production").</w:t>
      </w:r>
    </w:p>
    <w:p w14:paraId="0FE5772A" w14:textId="77777777" w:rsidR="008715BE" w:rsidRPr="00EC75B7" w:rsidRDefault="00000000">
      <w:pPr>
        <w:pStyle w:val="BodyText"/>
        <w:spacing w:before="116" w:line="357" w:lineRule="auto"/>
        <w:ind w:left="57" w:right="566"/>
        <w:jc w:val="both"/>
        <w:rPr>
          <w:rFonts w:ascii="Verdana" w:hAnsi="Verdana"/>
        </w:rPr>
      </w:pPr>
      <w:r w:rsidRPr="00EC75B7">
        <w:rPr>
          <w:rFonts w:ascii="Verdana" w:hAnsi="Verdana"/>
        </w:rPr>
        <w:t>During the scoping stage, the competent authority established the need for an environmental assessment, an appropriate assessment, and a transboundary assessment, given the proximity of the plan to protected areas in Bulgaria (≈410 m from BG0000569 Kardam and ≈3.64 km from BG0000570 Izvorovo–Kraishte) and the requirement for a detailed analysis of the potential impact on their conservation objectives; in this regard, correspondence was also conducted with the Bulgarian environmental authorities to complete the data necessary for the assessment</w:t>
      </w:r>
    </w:p>
    <w:p w14:paraId="71193FE0" w14:textId="77777777" w:rsidR="008715BE" w:rsidRPr="00EC75B7" w:rsidRDefault="00000000">
      <w:pPr>
        <w:pStyle w:val="BodyText"/>
        <w:spacing w:before="124" w:line="357" w:lineRule="auto"/>
        <w:ind w:left="57" w:right="565"/>
        <w:jc w:val="both"/>
        <w:rPr>
          <w:rFonts w:ascii="Verdana" w:hAnsi="Verdana"/>
        </w:rPr>
      </w:pPr>
      <w:r w:rsidRPr="00EC75B7">
        <w:rPr>
          <w:rFonts w:ascii="Verdana" w:hAnsi="Verdana"/>
        </w:rPr>
        <w:t>From the perspective of the relationship with the Natura 2000 network, the study notes that the plan does not overlap with the boundaries of Natura 2000 sites, but includes in the analysis the relevant sites in the area of influence: ROSCI0071/ROSAC0071 Dumbrăveni – Valea Urluia – Lacul Vederoasa, ROSCI0157/ROSAC0157 Pădurea Hagieni – Cotul Văii, ROSPA0036 Dumbrăveni,</w:t>
      </w:r>
      <w:r w:rsidRPr="00EC75B7">
        <w:rPr>
          <w:rFonts w:ascii="Verdana" w:hAnsi="Verdana"/>
          <w:spacing w:val="-2"/>
        </w:rPr>
        <w:t xml:space="preserve"> </w:t>
      </w:r>
      <w:r w:rsidRPr="00EC75B7">
        <w:rPr>
          <w:rFonts w:ascii="Verdana" w:hAnsi="Verdana"/>
        </w:rPr>
        <w:t>ROSPA0166 Plopeni–Chirnogeni, ROSPA0094 Hagieni Forest, as well as the Bulgarian sites BG0000569 Kardam and BG0000570 Izvorovo–Kraishte.</w:t>
      </w:r>
    </w:p>
    <w:p w14:paraId="70B4685D" w14:textId="77777777" w:rsidR="008715BE" w:rsidRPr="00EC75B7" w:rsidRDefault="00000000">
      <w:pPr>
        <w:pStyle w:val="BodyText"/>
        <w:spacing w:before="123" w:line="360" w:lineRule="auto"/>
        <w:ind w:left="57" w:right="572"/>
        <w:jc w:val="both"/>
        <w:rPr>
          <w:rFonts w:ascii="Verdana" w:hAnsi="Verdana"/>
        </w:rPr>
      </w:pPr>
      <w:r w:rsidRPr="00EC75B7">
        <w:rPr>
          <w:rFonts w:ascii="Verdana" w:hAnsi="Verdana"/>
        </w:rPr>
        <w:t>The assessment of the impact on potentially affected Natura 2000 sites was carried out by reference to specific conservation objectives and quantitative and qualitative significance parameters (including conservation status, location of the impact, ecological functions/connectivity, type and duration of impact), taking into account cumulative impacts (in relation to other pressures/activities and similar projects in the area).</w:t>
      </w:r>
    </w:p>
    <w:p w14:paraId="712EF14F" w14:textId="0A0FE1CC" w:rsidR="008715BE" w:rsidRPr="00EC75B7" w:rsidRDefault="00000000" w:rsidP="0053798D">
      <w:pPr>
        <w:pStyle w:val="BodyText"/>
        <w:spacing w:before="115" w:line="357" w:lineRule="auto"/>
        <w:ind w:left="57" w:right="564"/>
        <w:jc w:val="both"/>
        <w:rPr>
          <w:rFonts w:ascii="Verdana" w:hAnsi="Verdana"/>
        </w:rPr>
      </w:pPr>
      <w:r w:rsidRPr="00EC75B7">
        <w:rPr>
          <w:rFonts w:ascii="Verdana" w:hAnsi="Verdana"/>
        </w:rPr>
        <w:t xml:space="preserve">With regard to the main forms of impact, the study highlights as particularly relevant the effects on birds and bats during the operational phase (risk of collision and, for bats, barotrauma and avoidance behavior), </w:t>
      </w:r>
      <w:r w:rsidRPr="00EC75B7">
        <w:rPr>
          <w:rFonts w:ascii="Verdana" w:hAnsi="Verdana"/>
        </w:rPr>
        <w:lastRenderedPageBreak/>
        <w:t>as well as temporary effects during the construction phase (disturbance from noise, traffic, human presence;</w:t>
      </w:r>
      <w:r w:rsidRPr="00EC75B7">
        <w:rPr>
          <w:rFonts w:ascii="Verdana" w:hAnsi="Verdana"/>
          <w:spacing w:val="40"/>
        </w:rPr>
        <w:t xml:space="preserve"> </w:t>
      </w:r>
      <w:r w:rsidRPr="00EC75B7">
        <w:rPr>
          <w:rFonts w:ascii="Verdana" w:hAnsi="Verdana"/>
        </w:rPr>
        <w:t>isolated habitat loss/alteration and accidental risks). To reduce the risk of mortality and residual impact, operational and technical measures are planned</w:t>
      </w:r>
      <w:r w:rsidR="0053798D">
        <w:rPr>
          <w:rFonts w:ascii="Verdana" w:hAnsi="Verdana"/>
        </w:rPr>
        <w:t xml:space="preserve"> </w:t>
      </w:r>
      <w:r w:rsidRPr="00EC75B7">
        <w:rPr>
          <w:rFonts w:ascii="Verdana" w:hAnsi="Verdana"/>
        </w:rPr>
        <w:t>from the first year of operation, such as limiting the entry into production of certain turbines by increasing the start-up/cut-in speed (e.g., 6.5 m/s during sensitive periods, at night), the use of acoustic deterrent systems for bats, as well as shutdown-on-demand systems, video cameras/radar for collision detection and prevention.</w:t>
      </w:r>
    </w:p>
    <w:p w14:paraId="30EC5046" w14:textId="77777777" w:rsidR="008715BE" w:rsidRPr="00EC75B7" w:rsidRDefault="00000000">
      <w:pPr>
        <w:pStyle w:val="BodyText"/>
        <w:spacing w:before="124" w:line="357" w:lineRule="auto"/>
        <w:ind w:left="57" w:right="570"/>
        <w:jc w:val="both"/>
        <w:rPr>
          <w:rFonts w:ascii="Verdana" w:hAnsi="Verdana"/>
        </w:rPr>
      </w:pPr>
      <w:r w:rsidRPr="00EC75B7">
        <w:rPr>
          <w:rFonts w:ascii="Verdana" w:hAnsi="Verdana"/>
        </w:rPr>
        <w:t>Following risk quantification (including through the use of risk zones and specific calculations for residual impact assessment) and considering the set of proposed measures, the study concludes that no significant residual impact is identified for the species analyzed in the protected natural areas potentially affected by the implementation of the PUZ, and the integrity of the analyzed Natura 2000 sites can be maintained under the conditions of implementation of the measures and the associated monitoring program.</w:t>
      </w:r>
    </w:p>
    <w:p w14:paraId="74D0488C" w14:textId="77777777" w:rsidR="008715BE" w:rsidRPr="00EC75B7" w:rsidRDefault="008715BE">
      <w:pPr>
        <w:pStyle w:val="BodyText"/>
        <w:spacing w:before="25"/>
        <w:rPr>
          <w:rFonts w:ascii="Verdana" w:hAnsi="Verdana"/>
        </w:rPr>
      </w:pPr>
    </w:p>
    <w:p w14:paraId="757C08C2"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85" w:name="_bookmark86"/>
      <w:bookmarkEnd w:id="85"/>
      <w:r w:rsidRPr="00EC75B7">
        <w:rPr>
          <w:rFonts w:ascii="Verdana" w:hAnsi="Verdana"/>
          <w:color w:val="00AFEF"/>
          <w:spacing w:val="-2"/>
          <w:sz w:val="18"/>
          <w:szCs w:val="18"/>
        </w:rPr>
        <w:t xml:space="preserve">Impact </w:t>
      </w:r>
      <w:r w:rsidRPr="00EC75B7">
        <w:rPr>
          <w:rFonts w:ascii="Verdana" w:hAnsi="Verdana"/>
          <w:color w:val="00AFEF"/>
          <w:sz w:val="18"/>
          <w:szCs w:val="18"/>
        </w:rPr>
        <w:t>forecasting</w:t>
      </w:r>
    </w:p>
    <w:p w14:paraId="3268FBE1" w14:textId="77777777" w:rsidR="008715BE" w:rsidRPr="00EC75B7" w:rsidRDefault="008715BE">
      <w:pPr>
        <w:pStyle w:val="BodyText"/>
        <w:spacing w:before="114"/>
        <w:rPr>
          <w:rFonts w:ascii="Verdana" w:hAnsi="Verdana"/>
          <w:b/>
        </w:rPr>
      </w:pPr>
    </w:p>
    <w:p w14:paraId="0093B4E5" w14:textId="77777777" w:rsidR="008715BE" w:rsidRPr="00EC75B7" w:rsidRDefault="00000000">
      <w:pPr>
        <w:pStyle w:val="BodyText"/>
        <w:spacing w:line="357" w:lineRule="auto"/>
        <w:ind w:left="57" w:right="569"/>
        <w:jc w:val="both"/>
        <w:rPr>
          <w:rFonts w:ascii="Verdana" w:hAnsi="Verdana"/>
        </w:rPr>
      </w:pPr>
      <w:r w:rsidRPr="00EC75B7">
        <w:rPr>
          <w:rFonts w:ascii="Verdana" w:hAnsi="Verdana"/>
        </w:rPr>
        <w:t>This chapter presents the forecast of the potential impact of the implementation and operation of the project on environmental factors, achieved by correlating the technical characteristics and the execution/operation stages with the sensitive receptors identified in the study area and in the area of influence, including in relation to the relevant protected natural areas.</w:t>
      </w:r>
    </w:p>
    <w:p w14:paraId="3D8F539D"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1133" w:header="766" w:footer="824" w:gutter="0"/>
          <w:cols w:space="708"/>
        </w:sectPr>
      </w:pPr>
    </w:p>
    <w:p w14:paraId="3E877E23" w14:textId="77777777" w:rsidR="008715BE" w:rsidRPr="00EC75B7" w:rsidRDefault="00000000">
      <w:pPr>
        <w:spacing w:before="99"/>
        <w:ind w:left="286"/>
        <w:rPr>
          <w:rFonts w:ascii="Verdana" w:hAnsi="Verdana"/>
          <w:b/>
          <w:sz w:val="18"/>
          <w:szCs w:val="18"/>
        </w:rPr>
      </w:pPr>
      <w:r w:rsidRPr="00EC75B7">
        <w:rPr>
          <w:rFonts w:ascii="Verdana" w:hAnsi="Verdana"/>
          <w:b/>
          <w:color w:val="00AFEF"/>
          <w:spacing w:val="-2"/>
          <w:sz w:val="18"/>
          <w:szCs w:val="18"/>
        </w:rPr>
        <w:lastRenderedPageBreak/>
        <w:t>Table 29 Identification and quantification of impacts</w:t>
      </w:r>
    </w:p>
    <w:p w14:paraId="6EFECA52" w14:textId="77777777" w:rsidR="008715BE" w:rsidRPr="00EC75B7" w:rsidRDefault="008715BE">
      <w:pPr>
        <w:pStyle w:val="BodyText"/>
        <w:spacing w:before="1" w:after="1"/>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793"/>
        <w:gridCol w:w="408"/>
        <w:gridCol w:w="1737"/>
        <w:gridCol w:w="1898"/>
        <w:gridCol w:w="3861"/>
        <w:gridCol w:w="1890"/>
      </w:tblGrid>
      <w:tr w:rsidR="008715BE" w:rsidRPr="00C96230" w14:paraId="6A1B744F" w14:textId="77777777">
        <w:trPr>
          <w:trHeight w:val="840"/>
        </w:trPr>
        <w:tc>
          <w:tcPr>
            <w:tcW w:w="2846" w:type="dxa"/>
            <w:gridSpan w:val="2"/>
            <w:shd w:val="clear" w:color="auto" w:fill="00A1E8"/>
          </w:tcPr>
          <w:p w14:paraId="3FA4A22D" w14:textId="77777777" w:rsidR="008715BE" w:rsidRPr="00C96230" w:rsidRDefault="008715BE">
            <w:pPr>
              <w:pStyle w:val="TableParagraph"/>
              <w:spacing w:before="137"/>
              <w:rPr>
                <w:rFonts w:ascii="Verdana" w:hAnsi="Verdana"/>
                <w:b/>
                <w:sz w:val="18"/>
                <w:szCs w:val="18"/>
              </w:rPr>
            </w:pPr>
          </w:p>
          <w:p w14:paraId="29EE71E3" w14:textId="77777777" w:rsidR="008715BE" w:rsidRPr="00C96230" w:rsidRDefault="00000000">
            <w:pPr>
              <w:pStyle w:val="TableParagraph"/>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3B93EDA1" w14:textId="77777777" w:rsidR="008715BE" w:rsidRPr="00C96230" w:rsidRDefault="008715BE">
            <w:pPr>
              <w:pStyle w:val="TableParagraph"/>
              <w:spacing w:before="137"/>
              <w:rPr>
                <w:rFonts w:ascii="Verdana" w:hAnsi="Verdana"/>
                <w:b/>
                <w:sz w:val="18"/>
                <w:szCs w:val="18"/>
              </w:rPr>
            </w:pPr>
          </w:p>
          <w:p w14:paraId="350FFD00" w14:textId="77777777" w:rsidR="008715BE" w:rsidRPr="00C96230" w:rsidRDefault="00000000">
            <w:pPr>
              <w:pStyle w:val="TableParagraph"/>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4169B5BA" w14:textId="77777777" w:rsidR="008715BE" w:rsidRPr="00C96230" w:rsidRDefault="008715BE">
            <w:pPr>
              <w:pStyle w:val="TableParagraph"/>
              <w:spacing w:before="38"/>
              <w:rPr>
                <w:rFonts w:ascii="Verdana" w:hAnsi="Verdana"/>
                <w:b/>
                <w:sz w:val="18"/>
                <w:szCs w:val="18"/>
              </w:rPr>
            </w:pPr>
          </w:p>
          <w:p w14:paraId="0F6D7A6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75FDDFD0" w14:textId="77777777" w:rsidR="008715BE" w:rsidRPr="00C96230" w:rsidRDefault="008715BE">
            <w:pPr>
              <w:pStyle w:val="TableParagraph"/>
              <w:spacing w:before="38"/>
              <w:rPr>
                <w:rFonts w:ascii="Verdana" w:hAnsi="Verdana"/>
                <w:b/>
                <w:sz w:val="18"/>
                <w:szCs w:val="18"/>
              </w:rPr>
            </w:pPr>
          </w:p>
          <w:p w14:paraId="27802E51"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7B7DA7B9" w14:textId="77777777" w:rsidR="008715BE" w:rsidRPr="00C96230" w:rsidRDefault="008715BE">
            <w:pPr>
              <w:pStyle w:val="TableParagraph"/>
              <w:spacing w:before="38"/>
              <w:rPr>
                <w:rFonts w:ascii="Verdana" w:hAnsi="Verdana"/>
                <w:b/>
                <w:sz w:val="18"/>
                <w:szCs w:val="18"/>
              </w:rPr>
            </w:pPr>
          </w:p>
          <w:p w14:paraId="1E985D4B"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563FCE1A" w14:textId="77777777" w:rsidR="008715BE" w:rsidRPr="00C96230" w:rsidRDefault="008715BE">
            <w:pPr>
              <w:pStyle w:val="TableParagraph"/>
              <w:spacing w:before="38"/>
              <w:rPr>
                <w:rFonts w:ascii="Verdana" w:hAnsi="Verdana"/>
                <w:b/>
                <w:sz w:val="18"/>
                <w:szCs w:val="18"/>
              </w:rPr>
            </w:pPr>
          </w:p>
          <w:p w14:paraId="68D29CB3"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gridSpan w:val="2"/>
            <w:shd w:val="clear" w:color="auto" w:fill="00A1E8"/>
          </w:tcPr>
          <w:p w14:paraId="72D27663" w14:textId="77777777" w:rsidR="008715BE" w:rsidRPr="00C96230" w:rsidRDefault="00000000">
            <w:pPr>
              <w:pStyle w:val="TableParagraph"/>
              <w:spacing w:before="38"/>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7" w:type="dxa"/>
            <w:shd w:val="clear" w:color="auto" w:fill="00A1E8"/>
          </w:tcPr>
          <w:p w14:paraId="0F149B5F" w14:textId="77777777" w:rsidR="008715BE" w:rsidRPr="00C96230" w:rsidRDefault="008715BE">
            <w:pPr>
              <w:pStyle w:val="TableParagraph"/>
              <w:spacing w:before="137"/>
              <w:rPr>
                <w:rFonts w:ascii="Verdana" w:hAnsi="Verdana"/>
                <w:b/>
                <w:sz w:val="18"/>
                <w:szCs w:val="18"/>
              </w:rPr>
            </w:pPr>
          </w:p>
          <w:p w14:paraId="2499321A" w14:textId="77777777" w:rsidR="008715BE" w:rsidRPr="00C96230" w:rsidRDefault="00000000">
            <w:pPr>
              <w:pStyle w:val="TableParagraph"/>
              <w:ind w:left="202"/>
              <w:rPr>
                <w:rFonts w:ascii="Verdana" w:hAnsi="Verdana"/>
                <w:b/>
                <w:sz w:val="18"/>
                <w:szCs w:val="18"/>
              </w:rPr>
            </w:pPr>
            <w:r w:rsidRPr="00C96230">
              <w:rPr>
                <w:rFonts w:ascii="Verdana" w:hAnsi="Verdana"/>
                <w:b/>
                <w:color w:val="FFFFFF"/>
                <w:spacing w:val="-2"/>
                <w:sz w:val="18"/>
                <w:szCs w:val="18"/>
              </w:rPr>
              <w:t>Species/habitat</w:t>
            </w:r>
          </w:p>
        </w:tc>
        <w:tc>
          <w:tcPr>
            <w:tcW w:w="1898" w:type="dxa"/>
            <w:shd w:val="clear" w:color="auto" w:fill="00A1E8"/>
          </w:tcPr>
          <w:p w14:paraId="2423D7D4" w14:textId="77777777" w:rsidR="008715BE" w:rsidRPr="00C96230" w:rsidRDefault="008715BE">
            <w:pPr>
              <w:pStyle w:val="TableParagraph"/>
              <w:spacing w:before="38"/>
              <w:rPr>
                <w:rFonts w:ascii="Verdana" w:hAnsi="Verdana"/>
                <w:b/>
                <w:sz w:val="18"/>
                <w:szCs w:val="18"/>
              </w:rPr>
            </w:pPr>
          </w:p>
          <w:p w14:paraId="0E1BA554" w14:textId="77777777" w:rsidR="008715BE" w:rsidRPr="00C96230" w:rsidRDefault="00000000">
            <w:pPr>
              <w:pStyle w:val="TableParagraph"/>
              <w:spacing w:before="1" w:line="195" w:lineRule="exact"/>
              <w:ind w:left="395"/>
              <w:rPr>
                <w:rFonts w:ascii="Verdana" w:hAnsi="Verdana"/>
                <w:b/>
                <w:sz w:val="18"/>
                <w:szCs w:val="18"/>
              </w:rPr>
            </w:pPr>
            <w:r w:rsidRPr="00C96230">
              <w:rPr>
                <w:rFonts w:ascii="Verdana" w:hAnsi="Verdana"/>
                <w:b/>
                <w:color w:val="FFFFFF"/>
                <w:sz w:val="18"/>
                <w:szCs w:val="18"/>
              </w:rPr>
              <w:t xml:space="preserve">Parameter </w:t>
            </w:r>
            <w:r w:rsidRPr="00C96230">
              <w:rPr>
                <w:rFonts w:ascii="Verdana" w:hAnsi="Verdana"/>
                <w:b/>
                <w:color w:val="FFFFFF"/>
                <w:spacing w:val="-10"/>
                <w:sz w:val="18"/>
                <w:szCs w:val="18"/>
              </w:rPr>
              <w:t>/</w:t>
            </w:r>
          </w:p>
          <w:p w14:paraId="55A23BAA" w14:textId="77777777" w:rsidR="008715BE" w:rsidRPr="00C96230" w:rsidRDefault="00000000">
            <w:pPr>
              <w:pStyle w:val="TableParagraph"/>
              <w:spacing w:line="195" w:lineRule="exact"/>
              <w:ind w:left="349"/>
              <w:rPr>
                <w:rFonts w:ascii="Verdana" w:hAnsi="Verdana"/>
                <w:b/>
                <w:sz w:val="18"/>
                <w:szCs w:val="18"/>
              </w:rPr>
            </w:pPr>
            <w:r w:rsidRPr="00C96230">
              <w:rPr>
                <w:rFonts w:ascii="Verdana" w:hAnsi="Verdana"/>
                <w:b/>
                <w:color w:val="FFFFFF"/>
                <w:sz w:val="18"/>
                <w:szCs w:val="18"/>
              </w:rPr>
              <w:t xml:space="preserve">target </w:t>
            </w:r>
            <w:r w:rsidRPr="00C96230">
              <w:rPr>
                <w:rFonts w:ascii="Verdana" w:hAnsi="Verdana"/>
                <w:b/>
                <w:color w:val="FFFFFF"/>
                <w:spacing w:val="-2"/>
                <w:sz w:val="18"/>
                <w:szCs w:val="18"/>
              </w:rPr>
              <w:t>affected</w:t>
            </w:r>
          </w:p>
        </w:tc>
        <w:tc>
          <w:tcPr>
            <w:tcW w:w="3861" w:type="dxa"/>
            <w:shd w:val="clear" w:color="auto" w:fill="00A1E8"/>
          </w:tcPr>
          <w:p w14:paraId="4BD7D2C8" w14:textId="77777777" w:rsidR="008715BE" w:rsidRPr="00C96230" w:rsidRDefault="008715BE">
            <w:pPr>
              <w:pStyle w:val="TableParagraph"/>
              <w:spacing w:before="38"/>
              <w:rPr>
                <w:rFonts w:ascii="Verdana" w:hAnsi="Verdana"/>
                <w:b/>
                <w:sz w:val="18"/>
                <w:szCs w:val="18"/>
              </w:rPr>
            </w:pPr>
          </w:p>
          <w:p w14:paraId="31BE1D52" w14:textId="77777777" w:rsidR="008715BE" w:rsidRPr="00C96230" w:rsidRDefault="00000000">
            <w:pPr>
              <w:pStyle w:val="TableParagraph"/>
              <w:spacing w:before="1"/>
              <w:ind w:left="1124" w:right="1101"/>
              <w:jc w:val="center"/>
              <w:rPr>
                <w:rFonts w:ascii="Verdana" w:hAnsi="Verdana"/>
                <w:b/>
                <w:sz w:val="18"/>
                <w:szCs w:val="18"/>
              </w:rPr>
            </w:pPr>
            <w:r w:rsidRPr="00C96230">
              <w:rPr>
                <w:rFonts w:ascii="Verdana" w:hAnsi="Verdana"/>
                <w:b/>
                <w:color w:val="FFFFFF"/>
                <w:spacing w:val="-2"/>
                <w:sz w:val="18"/>
                <w:szCs w:val="18"/>
              </w:rPr>
              <w:t>Impact quantification</w:t>
            </w:r>
          </w:p>
        </w:tc>
        <w:tc>
          <w:tcPr>
            <w:tcW w:w="1890" w:type="dxa"/>
            <w:shd w:val="clear" w:color="auto" w:fill="00A1E8"/>
          </w:tcPr>
          <w:p w14:paraId="6577A462" w14:textId="77777777" w:rsidR="008715BE" w:rsidRPr="00C96230" w:rsidRDefault="008715BE">
            <w:pPr>
              <w:pStyle w:val="TableParagraph"/>
              <w:spacing w:before="38"/>
              <w:rPr>
                <w:rFonts w:ascii="Verdana" w:hAnsi="Verdana"/>
                <w:b/>
                <w:sz w:val="18"/>
                <w:szCs w:val="18"/>
              </w:rPr>
            </w:pPr>
          </w:p>
          <w:p w14:paraId="39EA3C63" w14:textId="77777777" w:rsidR="008715BE" w:rsidRPr="00C96230" w:rsidRDefault="00000000">
            <w:pPr>
              <w:pStyle w:val="TableParagraph"/>
              <w:spacing w:before="1"/>
              <w:ind w:left="418" w:right="86"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41007A8D" w14:textId="77777777">
        <w:trPr>
          <w:trHeight w:val="210"/>
        </w:trPr>
        <w:tc>
          <w:tcPr>
            <w:tcW w:w="21396" w:type="dxa"/>
            <w:gridSpan w:val="13"/>
          </w:tcPr>
          <w:p w14:paraId="3A49EC71" w14:textId="77777777" w:rsidR="008715BE" w:rsidRPr="00C96230" w:rsidRDefault="00000000">
            <w:pPr>
              <w:pStyle w:val="TableParagraph"/>
              <w:spacing w:before="18" w:line="173" w:lineRule="exact"/>
              <w:ind w:left="18"/>
              <w:jc w:val="center"/>
              <w:rPr>
                <w:rFonts w:ascii="Verdana" w:hAnsi="Verdana"/>
                <w:b/>
                <w:sz w:val="18"/>
                <w:szCs w:val="18"/>
              </w:rPr>
            </w:pPr>
            <w:r w:rsidRPr="00C96230">
              <w:rPr>
                <w:rFonts w:ascii="Verdana" w:hAnsi="Verdana"/>
                <w:b/>
                <w:spacing w:val="-2"/>
                <w:sz w:val="18"/>
                <w:szCs w:val="18"/>
              </w:rPr>
              <w:t>ROSCI0071/ROSAC0071 Dumbrăveni - Valea Urluia - Lacul Vederoasa</w:t>
            </w:r>
          </w:p>
        </w:tc>
      </w:tr>
      <w:tr w:rsidR="008715BE" w:rsidRPr="00C96230" w14:paraId="7135ACC4" w14:textId="77777777">
        <w:trPr>
          <w:trHeight w:val="1063"/>
        </w:trPr>
        <w:tc>
          <w:tcPr>
            <w:tcW w:w="523" w:type="dxa"/>
            <w:vMerge w:val="restart"/>
            <w:textDirection w:val="btLr"/>
          </w:tcPr>
          <w:p w14:paraId="4A6A4259" w14:textId="77777777" w:rsidR="008715BE" w:rsidRPr="00C96230" w:rsidRDefault="00000000">
            <w:pPr>
              <w:pStyle w:val="TableParagraph"/>
              <w:spacing w:before="171"/>
              <w:ind w:left="1"/>
              <w:jc w:val="center"/>
              <w:rPr>
                <w:rFonts w:ascii="Verdana" w:hAnsi="Verdana"/>
                <w:sz w:val="18"/>
                <w:szCs w:val="18"/>
              </w:rPr>
            </w:pPr>
            <w:r w:rsidRPr="00C96230">
              <w:rPr>
                <w:rFonts w:ascii="Verdana" w:hAnsi="Verdana"/>
                <w:spacing w:val="-2"/>
                <w:sz w:val="18"/>
                <w:szCs w:val="18"/>
              </w:rPr>
              <w:t>Construction</w:t>
            </w:r>
          </w:p>
        </w:tc>
        <w:tc>
          <w:tcPr>
            <w:tcW w:w="2323" w:type="dxa"/>
            <w:vMerge w:val="restart"/>
          </w:tcPr>
          <w:p w14:paraId="698022FA" w14:textId="77777777" w:rsidR="008715BE" w:rsidRPr="00C96230" w:rsidRDefault="00000000">
            <w:pPr>
              <w:pStyle w:val="TableParagraph"/>
              <w:tabs>
                <w:tab w:val="left" w:pos="2087"/>
              </w:tabs>
              <w:spacing w:before="8"/>
              <w:ind w:left="105" w:right="95"/>
              <w:jc w:val="both"/>
              <w:rPr>
                <w:rFonts w:ascii="Verdana" w:hAnsi="Verdana"/>
                <w:sz w:val="18"/>
                <w:szCs w:val="18"/>
              </w:rPr>
            </w:pPr>
            <w:r w:rsidRPr="00C96230">
              <w:rPr>
                <w:rFonts w:ascii="Verdana" w:hAnsi="Verdana"/>
                <w:spacing w:val="-2"/>
                <w:sz w:val="18"/>
                <w:szCs w:val="18"/>
              </w:rPr>
              <w:t>Organisation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construction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Borders>
              <w:bottom w:val="nil"/>
            </w:tcBorders>
          </w:tcPr>
          <w:p w14:paraId="73CAB812"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Removal of topsoil and vegetation</w:t>
            </w:r>
          </w:p>
        </w:tc>
        <w:tc>
          <w:tcPr>
            <w:tcW w:w="1106" w:type="dxa"/>
            <w:tcBorders>
              <w:bottom w:val="nil"/>
            </w:tcBorders>
          </w:tcPr>
          <w:p w14:paraId="43046FEB"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4"/>
                <w:sz w:val="18"/>
                <w:szCs w:val="18"/>
              </w:rPr>
              <w:t>AH/PH</w:t>
            </w:r>
          </w:p>
        </w:tc>
        <w:tc>
          <w:tcPr>
            <w:tcW w:w="1108" w:type="dxa"/>
            <w:tcBorders>
              <w:bottom w:val="nil"/>
            </w:tcBorders>
          </w:tcPr>
          <w:p w14:paraId="1C465B12"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Borders>
              <w:bottom w:val="nil"/>
            </w:tcBorders>
          </w:tcPr>
          <w:p w14:paraId="52208D11"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vMerge w:val="restart"/>
          </w:tcPr>
          <w:p w14:paraId="45D0A29D"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793" w:type="dxa"/>
            <w:tcBorders>
              <w:bottom w:val="nil"/>
              <w:right w:val="nil"/>
            </w:tcBorders>
          </w:tcPr>
          <w:p w14:paraId="6FFB27EA" w14:textId="77777777" w:rsidR="008715BE" w:rsidRPr="00C96230" w:rsidRDefault="00000000">
            <w:pPr>
              <w:pStyle w:val="TableParagraph"/>
              <w:spacing w:before="8"/>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bottom w:val="nil"/>
            </w:tcBorders>
          </w:tcPr>
          <w:p w14:paraId="113735C5" w14:textId="77777777" w:rsidR="008715BE" w:rsidRPr="00C96230" w:rsidRDefault="008715BE">
            <w:pPr>
              <w:pStyle w:val="TableParagraph"/>
              <w:spacing w:before="7"/>
              <w:rPr>
                <w:rFonts w:ascii="Verdana" w:hAnsi="Verdana"/>
                <w:b/>
                <w:sz w:val="18"/>
                <w:szCs w:val="18"/>
              </w:rPr>
            </w:pPr>
          </w:p>
          <w:p w14:paraId="0E16807D"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tcBorders>
              <w:bottom w:val="nil"/>
            </w:tcBorders>
          </w:tcPr>
          <w:p w14:paraId="104BFE8D" w14:textId="77777777" w:rsidR="008715BE" w:rsidRPr="00C96230" w:rsidRDefault="00000000">
            <w:pPr>
              <w:pStyle w:val="TableParagraph"/>
              <w:spacing w:before="8"/>
              <w:ind w:left="111" w:right="15"/>
              <w:rPr>
                <w:rFonts w:ascii="Verdana" w:hAnsi="Verdana"/>
                <w:i/>
                <w:sz w:val="18"/>
                <w:szCs w:val="18"/>
              </w:rPr>
            </w:pPr>
            <w:r w:rsidRPr="00C96230">
              <w:rPr>
                <w:rFonts w:ascii="Verdana" w:hAnsi="Verdana"/>
                <w:i/>
                <w:spacing w:val="-2"/>
                <w:sz w:val="18"/>
                <w:szCs w:val="18"/>
              </w:rPr>
              <w:t>Spermophilus citellus</w:t>
            </w:r>
          </w:p>
        </w:tc>
        <w:tc>
          <w:tcPr>
            <w:tcW w:w="1898" w:type="dxa"/>
            <w:tcBorders>
              <w:bottom w:val="nil"/>
            </w:tcBorders>
          </w:tcPr>
          <w:p w14:paraId="4E71111B" w14:textId="77777777" w:rsidR="008715BE" w:rsidRPr="00C96230" w:rsidRDefault="00000000">
            <w:pPr>
              <w:pStyle w:val="TableParagraph"/>
              <w:spacing w:before="8" w:line="195" w:lineRule="exact"/>
              <w:ind w:left="114"/>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62AA2740" w14:textId="77777777" w:rsidR="008715BE" w:rsidRPr="00C96230" w:rsidRDefault="00000000">
            <w:pPr>
              <w:pStyle w:val="TableParagraph"/>
              <w:spacing w:line="195" w:lineRule="exact"/>
              <w:ind w:left="114"/>
              <w:rPr>
                <w:rFonts w:ascii="Verdana" w:hAnsi="Verdana"/>
                <w:sz w:val="18"/>
                <w:szCs w:val="18"/>
              </w:rPr>
            </w:pPr>
            <w:r w:rsidRPr="00C96230">
              <w:rPr>
                <w:rFonts w:ascii="Verdana" w:hAnsi="Verdana"/>
                <w:spacing w:val="-2"/>
                <w:sz w:val="18"/>
                <w:szCs w:val="18"/>
              </w:rPr>
              <w:t>of the species</w:t>
            </w:r>
          </w:p>
        </w:tc>
        <w:tc>
          <w:tcPr>
            <w:tcW w:w="3861" w:type="dxa"/>
            <w:tcBorders>
              <w:bottom w:val="nil"/>
            </w:tcBorders>
          </w:tcPr>
          <w:p w14:paraId="34B0B86A" w14:textId="77777777" w:rsidR="008715BE" w:rsidRPr="00C96230" w:rsidRDefault="00000000">
            <w:pPr>
              <w:pStyle w:val="TableParagraph"/>
              <w:spacing w:before="8"/>
              <w:ind w:left="115"/>
              <w:jc w:val="both"/>
              <w:rPr>
                <w:rFonts w:ascii="Verdana" w:hAnsi="Verdana"/>
                <w:sz w:val="18"/>
                <w:szCs w:val="18"/>
              </w:rPr>
            </w:pPr>
            <w:r w:rsidRPr="00C96230">
              <w:rPr>
                <w:rFonts w:ascii="Verdana" w:hAnsi="Verdana"/>
                <w:sz w:val="18"/>
                <w:szCs w:val="18"/>
              </w:rPr>
              <w:t xml:space="preserve">0 ha of </w:t>
            </w:r>
            <w:r w:rsidRPr="00C96230">
              <w:rPr>
                <w:rFonts w:ascii="Verdana" w:hAnsi="Verdana"/>
                <w:spacing w:val="-2"/>
                <w:sz w:val="18"/>
                <w:szCs w:val="18"/>
              </w:rPr>
              <w:t xml:space="preserve">protected </w:t>
            </w:r>
            <w:r w:rsidRPr="00C96230">
              <w:rPr>
                <w:rFonts w:ascii="Verdana" w:hAnsi="Verdana"/>
                <w:sz w:val="18"/>
                <w:szCs w:val="18"/>
              </w:rPr>
              <w:t>area</w:t>
            </w:r>
          </w:p>
          <w:p w14:paraId="7A9F7F24" w14:textId="77777777" w:rsidR="008715BE" w:rsidRPr="00C96230" w:rsidRDefault="00000000">
            <w:pPr>
              <w:pStyle w:val="TableParagraph"/>
              <w:spacing w:before="193"/>
              <w:ind w:left="115" w:right="89"/>
              <w:jc w:val="both"/>
              <w:rPr>
                <w:rFonts w:ascii="Verdana" w:hAnsi="Verdana"/>
                <w:sz w:val="18"/>
                <w:szCs w:val="18"/>
              </w:rPr>
            </w:pPr>
            <w:r w:rsidRPr="00C96230">
              <w:rPr>
                <w:rFonts w:ascii="Verdana" w:hAnsi="Verdana"/>
                <w:sz w:val="18"/>
                <w:szCs w:val="18"/>
              </w:rPr>
              <w:t>Areas temporarily occupied by the project outside the boundaries of protected areas where the presence of the species has been reported:</w:t>
            </w:r>
          </w:p>
        </w:tc>
        <w:tc>
          <w:tcPr>
            <w:tcW w:w="1890" w:type="dxa"/>
            <w:tcBorders>
              <w:bottom w:val="nil"/>
            </w:tcBorders>
          </w:tcPr>
          <w:p w14:paraId="53DD709A" w14:textId="77777777" w:rsidR="008715BE" w:rsidRPr="00C96230" w:rsidRDefault="00000000">
            <w:pPr>
              <w:pStyle w:val="TableParagraph"/>
              <w:tabs>
                <w:tab w:val="left" w:pos="1545"/>
              </w:tabs>
              <w:spacing w:before="8"/>
              <w:ind w:left="116" w:right="86"/>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783B481A" w14:textId="77777777">
        <w:trPr>
          <w:trHeight w:val="2526"/>
        </w:trPr>
        <w:tc>
          <w:tcPr>
            <w:tcW w:w="523" w:type="dxa"/>
            <w:vMerge/>
            <w:tcBorders>
              <w:top w:val="nil"/>
            </w:tcBorders>
            <w:textDirection w:val="btLr"/>
          </w:tcPr>
          <w:p w14:paraId="3331DFD4" w14:textId="77777777" w:rsidR="008715BE" w:rsidRPr="00C96230" w:rsidRDefault="008715BE">
            <w:pPr>
              <w:rPr>
                <w:rFonts w:ascii="Verdana" w:hAnsi="Verdana"/>
                <w:sz w:val="18"/>
                <w:szCs w:val="18"/>
              </w:rPr>
            </w:pPr>
          </w:p>
        </w:tc>
        <w:tc>
          <w:tcPr>
            <w:tcW w:w="2323" w:type="dxa"/>
            <w:vMerge/>
            <w:tcBorders>
              <w:top w:val="nil"/>
            </w:tcBorders>
          </w:tcPr>
          <w:p w14:paraId="1B648EFA" w14:textId="77777777" w:rsidR="008715BE" w:rsidRPr="00C96230" w:rsidRDefault="008715BE">
            <w:pPr>
              <w:rPr>
                <w:rFonts w:ascii="Verdana" w:hAnsi="Verdana"/>
                <w:sz w:val="18"/>
                <w:szCs w:val="18"/>
              </w:rPr>
            </w:pPr>
          </w:p>
        </w:tc>
        <w:tc>
          <w:tcPr>
            <w:tcW w:w="3149" w:type="dxa"/>
            <w:tcBorders>
              <w:top w:val="nil"/>
            </w:tcBorders>
          </w:tcPr>
          <w:p w14:paraId="7BCDC0D1" w14:textId="77777777" w:rsidR="008715BE" w:rsidRPr="00C96230" w:rsidRDefault="008715BE">
            <w:pPr>
              <w:pStyle w:val="TableParagraph"/>
              <w:rPr>
                <w:rFonts w:ascii="Verdana" w:hAnsi="Verdana"/>
                <w:sz w:val="18"/>
                <w:szCs w:val="18"/>
              </w:rPr>
            </w:pPr>
          </w:p>
        </w:tc>
        <w:tc>
          <w:tcPr>
            <w:tcW w:w="1106" w:type="dxa"/>
            <w:tcBorders>
              <w:top w:val="nil"/>
            </w:tcBorders>
          </w:tcPr>
          <w:p w14:paraId="1F6B1461" w14:textId="77777777" w:rsidR="008715BE" w:rsidRPr="00C96230" w:rsidRDefault="008715BE">
            <w:pPr>
              <w:pStyle w:val="TableParagraph"/>
              <w:rPr>
                <w:rFonts w:ascii="Verdana" w:hAnsi="Verdana"/>
                <w:sz w:val="18"/>
                <w:szCs w:val="18"/>
              </w:rPr>
            </w:pPr>
          </w:p>
        </w:tc>
        <w:tc>
          <w:tcPr>
            <w:tcW w:w="1108" w:type="dxa"/>
            <w:tcBorders>
              <w:top w:val="nil"/>
            </w:tcBorders>
          </w:tcPr>
          <w:p w14:paraId="69F989DA" w14:textId="77777777" w:rsidR="008715BE" w:rsidRPr="00C96230" w:rsidRDefault="008715BE">
            <w:pPr>
              <w:pStyle w:val="TableParagraph"/>
              <w:rPr>
                <w:rFonts w:ascii="Verdana" w:hAnsi="Verdana"/>
                <w:sz w:val="18"/>
                <w:szCs w:val="18"/>
              </w:rPr>
            </w:pPr>
          </w:p>
        </w:tc>
        <w:tc>
          <w:tcPr>
            <w:tcW w:w="1211" w:type="dxa"/>
            <w:tcBorders>
              <w:top w:val="nil"/>
            </w:tcBorders>
          </w:tcPr>
          <w:p w14:paraId="252A6E60" w14:textId="77777777" w:rsidR="008715BE" w:rsidRPr="00C96230" w:rsidRDefault="008715BE">
            <w:pPr>
              <w:pStyle w:val="TableParagraph"/>
              <w:rPr>
                <w:rFonts w:ascii="Verdana" w:hAnsi="Verdana"/>
                <w:sz w:val="18"/>
                <w:szCs w:val="18"/>
              </w:rPr>
            </w:pPr>
          </w:p>
        </w:tc>
        <w:tc>
          <w:tcPr>
            <w:tcW w:w="1389" w:type="dxa"/>
            <w:vMerge/>
            <w:tcBorders>
              <w:top w:val="nil"/>
            </w:tcBorders>
          </w:tcPr>
          <w:p w14:paraId="67D92E37" w14:textId="77777777" w:rsidR="008715BE" w:rsidRPr="00C96230" w:rsidRDefault="008715BE">
            <w:pPr>
              <w:rPr>
                <w:rFonts w:ascii="Verdana" w:hAnsi="Verdana"/>
                <w:sz w:val="18"/>
                <w:szCs w:val="18"/>
              </w:rPr>
            </w:pPr>
          </w:p>
        </w:tc>
        <w:tc>
          <w:tcPr>
            <w:tcW w:w="793" w:type="dxa"/>
            <w:tcBorders>
              <w:top w:val="nil"/>
              <w:right w:val="nil"/>
            </w:tcBorders>
          </w:tcPr>
          <w:p w14:paraId="11CEEFEA" w14:textId="77777777" w:rsidR="008715BE" w:rsidRPr="00C96230" w:rsidRDefault="008715BE">
            <w:pPr>
              <w:pStyle w:val="TableParagraph"/>
              <w:rPr>
                <w:rFonts w:ascii="Verdana" w:hAnsi="Verdana"/>
                <w:sz w:val="18"/>
                <w:szCs w:val="18"/>
              </w:rPr>
            </w:pPr>
          </w:p>
        </w:tc>
        <w:tc>
          <w:tcPr>
            <w:tcW w:w="408" w:type="dxa"/>
            <w:tcBorders>
              <w:top w:val="nil"/>
              <w:left w:val="nil"/>
            </w:tcBorders>
          </w:tcPr>
          <w:p w14:paraId="4AD6A81E" w14:textId="77777777" w:rsidR="008715BE" w:rsidRPr="00C96230" w:rsidRDefault="008715BE">
            <w:pPr>
              <w:pStyle w:val="TableParagraph"/>
              <w:rPr>
                <w:rFonts w:ascii="Verdana" w:hAnsi="Verdana"/>
                <w:sz w:val="18"/>
                <w:szCs w:val="18"/>
              </w:rPr>
            </w:pPr>
          </w:p>
        </w:tc>
        <w:tc>
          <w:tcPr>
            <w:tcW w:w="1737" w:type="dxa"/>
            <w:tcBorders>
              <w:top w:val="nil"/>
              <w:bottom w:val="nil"/>
            </w:tcBorders>
          </w:tcPr>
          <w:p w14:paraId="27FC6503" w14:textId="77777777" w:rsidR="008715BE" w:rsidRPr="00C96230" w:rsidRDefault="008715BE">
            <w:pPr>
              <w:pStyle w:val="TableParagraph"/>
              <w:rPr>
                <w:rFonts w:ascii="Verdana" w:hAnsi="Verdana"/>
                <w:sz w:val="18"/>
                <w:szCs w:val="18"/>
              </w:rPr>
            </w:pPr>
          </w:p>
        </w:tc>
        <w:tc>
          <w:tcPr>
            <w:tcW w:w="1898" w:type="dxa"/>
            <w:tcBorders>
              <w:top w:val="nil"/>
            </w:tcBorders>
          </w:tcPr>
          <w:p w14:paraId="18BBDCF7" w14:textId="77777777" w:rsidR="008715BE" w:rsidRPr="00C96230" w:rsidRDefault="008715BE">
            <w:pPr>
              <w:pStyle w:val="TableParagraph"/>
              <w:rPr>
                <w:rFonts w:ascii="Verdana" w:hAnsi="Verdana"/>
                <w:sz w:val="18"/>
                <w:szCs w:val="18"/>
              </w:rPr>
            </w:pPr>
          </w:p>
        </w:tc>
        <w:tc>
          <w:tcPr>
            <w:tcW w:w="3861" w:type="dxa"/>
            <w:tcBorders>
              <w:top w:val="nil"/>
              <w:bottom w:val="nil"/>
            </w:tcBorders>
          </w:tcPr>
          <w:p w14:paraId="7A189E08" w14:textId="77777777" w:rsidR="008715BE" w:rsidRPr="00C96230" w:rsidRDefault="00000000">
            <w:pPr>
              <w:pStyle w:val="TableParagraph"/>
              <w:spacing w:before="101"/>
              <w:ind w:left="115" w:right="87"/>
              <w:jc w:val="both"/>
              <w:rPr>
                <w:rFonts w:ascii="Verdana" w:hAnsi="Verdana"/>
                <w:sz w:val="18"/>
                <w:szCs w:val="18"/>
              </w:rPr>
            </w:pPr>
            <w:r w:rsidRPr="00C96230">
              <w:rPr>
                <w:rFonts w:ascii="Verdana" w:hAnsi="Verdana"/>
                <w:sz w:val="18"/>
                <w:szCs w:val="18"/>
              </w:rPr>
              <w:t xml:space="preserve">0.9 ha temporarily occupied by the construction site + area temporarily occupied by trenches for cable installation 309.24 ha of areas permanently occupied by the structural elements of the </w:t>
            </w:r>
            <w:r w:rsidRPr="00C96230">
              <w:rPr>
                <w:rFonts w:ascii="Verdana" w:hAnsi="Verdana"/>
                <w:spacing w:val="-2"/>
                <w:sz w:val="18"/>
                <w:szCs w:val="18"/>
              </w:rPr>
              <w:t xml:space="preserve">energy </w:t>
            </w:r>
            <w:r w:rsidRPr="00C96230">
              <w:rPr>
                <w:rFonts w:ascii="Verdana" w:hAnsi="Verdana"/>
                <w:sz w:val="18"/>
                <w:szCs w:val="18"/>
              </w:rPr>
              <w:t>park</w:t>
            </w:r>
          </w:p>
        </w:tc>
        <w:tc>
          <w:tcPr>
            <w:tcW w:w="1890" w:type="dxa"/>
            <w:tcBorders>
              <w:top w:val="nil"/>
              <w:bottom w:val="nil"/>
            </w:tcBorders>
          </w:tcPr>
          <w:p w14:paraId="1D73A2DA" w14:textId="77777777" w:rsidR="008715BE" w:rsidRPr="00C96230" w:rsidRDefault="008715BE">
            <w:pPr>
              <w:pStyle w:val="TableParagraph"/>
              <w:rPr>
                <w:rFonts w:ascii="Verdana" w:hAnsi="Verdana"/>
                <w:sz w:val="18"/>
                <w:szCs w:val="18"/>
              </w:rPr>
            </w:pPr>
          </w:p>
        </w:tc>
      </w:tr>
      <w:tr w:rsidR="008715BE" w:rsidRPr="00C96230" w14:paraId="2CD98D35" w14:textId="77777777">
        <w:trPr>
          <w:trHeight w:val="777"/>
        </w:trPr>
        <w:tc>
          <w:tcPr>
            <w:tcW w:w="523" w:type="dxa"/>
            <w:vMerge/>
            <w:tcBorders>
              <w:top w:val="nil"/>
            </w:tcBorders>
            <w:textDirection w:val="btLr"/>
          </w:tcPr>
          <w:p w14:paraId="154A1585" w14:textId="77777777" w:rsidR="008715BE" w:rsidRPr="00C96230" w:rsidRDefault="008715BE">
            <w:pPr>
              <w:rPr>
                <w:rFonts w:ascii="Verdana" w:hAnsi="Verdana"/>
                <w:sz w:val="18"/>
                <w:szCs w:val="18"/>
              </w:rPr>
            </w:pPr>
          </w:p>
        </w:tc>
        <w:tc>
          <w:tcPr>
            <w:tcW w:w="2323" w:type="dxa"/>
          </w:tcPr>
          <w:p w14:paraId="56283D65"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Construction of </w:t>
            </w:r>
            <w:r w:rsidRPr="00C96230">
              <w:rPr>
                <w:rFonts w:ascii="Verdana" w:hAnsi="Verdana"/>
                <w:spacing w:val="-4"/>
                <w:sz w:val="18"/>
                <w:szCs w:val="18"/>
              </w:rPr>
              <w:t xml:space="preserve">access </w:t>
            </w:r>
            <w:r w:rsidRPr="00C96230">
              <w:rPr>
                <w:rFonts w:ascii="Verdana" w:hAnsi="Verdana"/>
                <w:sz w:val="18"/>
                <w:szCs w:val="18"/>
              </w:rPr>
              <w:t>roads</w:t>
            </w:r>
          </w:p>
        </w:tc>
        <w:tc>
          <w:tcPr>
            <w:tcW w:w="3149" w:type="dxa"/>
          </w:tcPr>
          <w:p w14:paraId="60C840BA" w14:textId="77777777" w:rsidR="008715BE" w:rsidRPr="00C96230" w:rsidRDefault="00000000">
            <w:pPr>
              <w:pStyle w:val="TableParagraph"/>
              <w:spacing w:before="8" w:line="195" w:lineRule="exact"/>
              <w:ind w:left="108"/>
              <w:rPr>
                <w:rFonts w:ascii="Verdana" w:hAnsi="Verdana"/>
                <w:sz w:val="18"/>
                <w:szCs w:val="18"/>
              </w:rPr>
            </w:pPr>
            <w:r w:rsidRPr="00C96230">
              <w:rPr>
                <w:rFonts w:ascii="Verdana" w:hAnsi="Verdana"/>
                <w:spacing w:val="-2"/>
                <w:sz w:val="18"/>
                <w:szCs w:val="18"/>
              </w:rPr>
              <w:t>Temporary/permanent occupation</w:t>
            </w:r>
            <w:r w:rsidRPr="00C96230">
              <w:rPr>
                <w:rFonts w:ascii="Verdana" w:hAnsi="Verdana"/>
                <w:spacing w:val="33"/>
                <w:sz w:val="18"/>
                <w:szCs w:val="18"/>
              </w:rPr>
              <w:t xml:space="preserve">  </w:t>
            </w:r>
            <w:r w:rsidRPr="00C96230">
              <w:rPr>
                <w:rFonts w:ascii="Verdana" w:hAnsi="Verdana"/>
                <w:spacing w:val="-10"/>
                <w:sz w:val="18"/>
                <w:szCs w:val="18"/>
              </w:rPr>
              <w:t xml:space="preserve"> of</w:t>
            </w:r>
          </w:p>
          <w:p w14:paraId="7D681521" w14:textId="77777777" w:rsidR="008715BE" w:rsidRPr="00C96230" w:rsidRDefault="00000000">
            <w:pPr>
              <w:pStyle w:val="TableParagraph"/>
              <w:spacing w:line="195" w:lineRule="exact"/>
              <w:ind w:left="108"/>
              <w:rPr>
                <w:rFonts w:ascii="Verdana" w:hAnsi="Verdana"/>
                <w:sz w:val="18"/>
                <w:szCs w:val="18"/>
              </w:rPr>
            </w:pPr>
            <w:r w:rsidRPr="00C96230">
              <w:rPr>
                <w:rFonts w:ascii="Verdana" w:hAnsi="Verdana"/>
                <w:sz w:val="18"/>
                <w:szCs w:val="18"/>
              </w:rPr>
              <w:t xml:space="preserve">of </w:t>
            </w:r>
            <w:r w:rsidRPr="00C96230">
              <w:rPr>
                <w:rFonts w:ascii="Verdana" w:hAnsi="Verdana"/>
                <w:spacing w:val="-2"/>
                <w:sz w:val="18"/>
                <w:szCs w:val="18"/>
              </w:rPr>
              <w:t xml:space="preserve">land </w:t>
            </w:r>
            <w:r w:rsidRPr="00C96230">
              <w:rPr>
                <w:rFonts w:ascii="Verdana" w:hAnsi="Verdana"/>
                <w:sz w:val="18"/>
                <w:szCs w:val="18"/>
              </w:rPr>
              <w:t>areas</w:t>
            </w:r>
          </w:p>
        </w:tc>
        <w:tc>
          <w:tcPr>
            <w:tcW w:w="1106" w:type="dxa"/>
          </w:tcPr>
          <w:p w14:paraId="1CFF92F8"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13B5F0DD"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45E60DAD"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5A772F3"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793" w:type="dxa"/>
            <w:tcBorders>
              <w:right w:val="nil"/>
            </w:tcBorders>
          </w:tcPr>
          <w:p w14:paraId="23F1AA99" w14:textId="77777777" w:rsidR="008715BE" w:rsidRPr="00C96230" w:rsidRDefault="00000000">
            <w:pPr>
              <w:pStyle w:val="TableParagraph"/>
              <w:spacing w:line="194" w:lineRule="exact"/>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tcBorders>
          </w:tcPr>
          <w:p w14:paraId="092A6CA7" w14:textId="77777777" w:rsidR="008715BE" w:rsidRPr="00C96230" w:rsidRDefault="008715BE">
            <w:pPr>
              <w:pStyle w:val="TableParagraph"/>
              <w:spacing w:before="7"/>
              <w:rPr>
                <w:rFonts w:ascii="Verdana" w:hAnsi="Verdana"/>
                <w:b/>
                <w:sz w:val="18"/>
                <w:szCs w:val="18"/>
              </w:rPr>
            </w:pPr>
          </w:p>
          <w:p w14:paraId="3B96F791"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vMerge w:val="restart"/>
            <w:tcBorders>
              <w:top w:val="nil"/>
              <w:bottom w:val="nil"/>
            </w:tcBorders>
          </w:tcPr>
          <w:p w14:paraId="29A458A8" w14:textId="77777777" w:rsidR="008715BE" w:rsidRPr="00C96230" w:rsidRDefault="008715BE">
            <w:pPr>
              <w:pStyle w:val="TableParagraph"/>
              <w:rPr>
                <w:rFonts w:ascii="Verdana" w:hAnsi="Verdana"/>
                <w:sz w:val="18"/>
                <w:szCs w:val="18"/>
              </w:rPr>
            </w:pPr>
          </w:p>
        </w:tc>
        <w:tc>
          <w:tcPr>
            <w:tcW w:w="1898" w:type="dxa"/>
          </w:tcPr>
          <w:p w14:paraId="20E9FCD9" w14:textId="77777777" w:rsidR="008715BE" w:rsidRPr="00C96230" w:rsidRDefault="00000000">
            <w:pPr>
              <w:pStyle w:val="TableParagraph"/>
              <w:spacing w:before="8" w:line="195" w:lineRule="exact"/>
              <w:ind w:left="114"/>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4B95E62D" w14:textId="77777777" w:rsidR="008715BE" w:rsidRPr="00C96230" w:rsidRDefault="00000000">
            <w:pPr>
              <w:pStyle w:val="TableParagraph"/>
              <w:spacing w:line="195" w:lineRule="exact"/>
              <w:ind w:left="114"/>
              <w:rPr>
                <w:rFonts w:ascii="Verdana" w:hAnsi="Verdana"/>
                <w:sz w:val="18"/>
                <w:szCs w:val="18"/>
              </w:rPr>
            </w:pPr>
            <w:r w:rsidRPr="00C96230">
              <w:rPr>
                <w:rFonts w:ascii="Verdana" w:hAnsi="Verdana"/>
                <w:spacing w:val="-2"/>
                <w:sz w:val="18"/>
                <w:szCs w:val="18"/>
              </w:rPr>
              <w:t>of the species</w:t>
            </w:r>
          </w:p>
        </w:tc>
        <w:tc>
          <w:tcPr>
            <w:tcW w:w="3861" w:type="dxa"/>
            <w:vMerge w:val="restart"/>
            <w:tcBorders>
              <w:top w:val="nil"/>
              <w:bottom w:val="nil"/>
            </w:tcBorders>
          </w:tcPr>
          <w:p w14:paraId="50AC21EA" w14:textId="77777777" w:rsidR="008715BE" w:rsidRPr="00C96230" w:rsidRDefault="008715BE">
            <w:pPr>
              <w:pStyle w:val="TableParagraph"/>
              <w:rPr>
                <w:rFonts w:ascii="Verdana" w:hAnsi="Verdana"/>
                <w:b/>
                <w:sz w:val="18"/>
                <w:szCs w:val="18"/>
              </w:rPr>
            </w:pPr>
          </w:p>
          <w:p w14:paraId="769DF87A" w14:textId="77777777" w:rsidR="008715BE" w:rsidRPr="00C96230" w:rsidRDefault="008715BE">
            <w:pPr>
              <w:pStyle w:val="TableParagraph"/>
              <w:rPr>
                <w:rFonts w:ascii="Verdana" w:hAnsi="Verdana"/>
                <w:b/>
                <w:sz w:val="18"/>
                <w:szCs w:val="18"/>
              </w:rPr>
            </w:pPr>
          </w:p>
          <w:p w14:paraId="255264CC" w14:textId="77777777" w:rsidR="008715BE" w:rsidRPr="00C96230" w:rsidRDefault="008715BE">
            <w:pPr>
              <w:pStyle w:val="TableParagraph"/>
              <w:spacing w:before="89"/>
              <w:rPr>
                <w:rFonts w:ascii="Verdana" w:hAnsi="Verdana"/>
                <w:b/>
                <w:sz w:val="18"/>
                <w:szCs w:val="18"/>
              </w:rPr>
            </w:pPr>
          </w:p>
          <w:p w14:paraId="64F19EFA" w14:textId="77777777" w:rsidR="008715BE" w:rsidRPr="00C96230" w:rsidRDefault="00000000">
            <w:pPr>
              <w:pStyle w:val="TableParagraph"/>
              <w:ind w:left="115" w:right="88"/>
              <w:jc w:val="both"/>
              <w:rPr>
                <w:rFonts w:ascii="Verdana" w:hAnsi="Verdana"/>
                <w:sz w:val="18"/>
                <w:szCs w:val="18"/>
              </w:rPr>
            </w:pPr>
            <w:r w:rsidRPr="00C96230">
              <w:rPr>
                <w:rFonts w:ascii="Verdana" w:hAnsi="Verdana"/>
                <w:sz w:val="18"/>
                <w:szCs w:val="18"/>
              </w:rPr>
              <w:t>Possible disturbance of the activity of a maximum of 2 to 3 individuals</w:t>
            </w:r>
          </w:p>
          <w:p w14:paraId="246CD7DB" w14:textId="77777777" w:rsidR="008715BE" w:rsidRPr="00C96230" w:rsidRDefault="00000000">
            <w:pPr>
              <w:pStyle w:val="TableParagraph"/>
              <w:ind w:left="115" w:right="86"/>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7EA1A9C6" w14:textId="77777777" w:rsidR="008715BE" w:rsidRPr="00C96230" w:rsidRDefault="00000000">
            <w:pPr>
              <w:pStyle w:val="TableParagraph"/>
              <w:ind w:left="115" w:right="88"/>
              <w:jc w:val="both"/>
              <w:rPr>
                <w:rFonts w:ascii="Verdana" w:hAnsi="Verdana"/>
                <w:sz w:val="18"/>
                <w:szCs w:val="18"/>
              </w:rPr>
            </w:pPr>
            <w:r w:rsidRPr="00C96230">
              <w:rPr>
                <w:rFonts w:ascii="Verdana" w:hAnsi="Verdana"/>
                <w:sz w:val="18"/>
                <w:szCs w:val="18"/>
              </w:rPr>
              <w:t>The 30 dB noise contour will be felt at distances of up to 1.5 km around the work area</w:t>
            </w:r>
          </w:p>
        </w:tc>
        <w:tc>
          <w:tcPr>
            <w:tcW w:w="1890" w:type="dxa"/>
            <w:vMerge w:val="restart"/>
            <w:tcBorders>
              <w:top w:val="nil"/>
              <w:bottom w:val="nil"/>
            </w:tcBorders>
          </w:tcPr>
          <w:p w14:paraId="1AFAFA22" w14:textId="77777777" w:rsidR="008715BE" w:rsidRPr="00C96230" w:rsidRDefault="008715BE">
            <w:pPr>
              <w:pStyle w:val="TableParagraph"/>
              <w:rPr>
                <w:rFonts w:ascii="Verdana" w:hAnsi="Verdana"/>
                <w:b/>
                <w:sz w:val="18"/>
                <w:szCs w:val="18"/>
              </w:rPr>
            </w:pPr>
          </w:p>
          <w:p w14:paraId="295A9EBA" w14:textId="77777777" w:rsidR="008715BE" w:rsidRPr="00C96230" w:rsidRDefault="008715BE">
            <w:pPr>
              <w:pStyle w:val="TableParagraph"/>
              <w:rPr>
                <w:rFonts w:ascii="Verdana" w:hAnsi="Verdana"/>
                <w:b/>
                <w:sz w:val="18"/>
                <w:szCs w:val="18"/>
              </w:rPr>
            </w:pPr>
          </w:p>
          <w:p w14:paraId="14881E23" w14:textId="77777777" w:rsidR="008715BE" w:rsidRPr="00C96230" w:rsidRDefault="008715BE">
            <w:pPr>
              <w:pStyle w:val="TableParagraph"/>
              <w:spacing w:before="89"/>
              <w:rPr>
                <w:rFonts w:ascii="Verdana" w:hAnsi="Verdana"/>
                <w:b/>
                <w:sz w:val="18"/>
                <w:szCs w:val="18"/>
              </w:rPr>
            </w:pPr>
          </w:p>
          <w:p w14:paraId="44F8F304" w14:textId="77777777" w:rsidR="008715BE" w:rsidRPr="00C96230" w:rsidRDefault="00000000">
            <w:pPr>
              <w:pStyle w:val="TableParagraph"/>
              <w:tabs>
                <w:tab w:val="left" w:pos="1411"/>
              </w:tabs>
              <w:spacing w:line="195" w:lineRule="exact"/>
              <w:ind w:left="116"/>
              <w:rPr>
                <w:rFonts w:ascii="Verdana" w:hAnsi="Verdana"/>
                <w:sz w:val="18"/>
                <w:szCs w:val="18"/>
              </w:rPr>
            </w:pPr>
            <w:r w:rsidRPr="00C96230">
              <w:rPr>
                <w:rFonts w:ascii="Verdana" w:hAnsi="Verdana"/>
                <w:spacing w:val="-2"/>
                <w:sz w:val="18"/>
                <w:szCs w:val="18"/>
              </w:rPr>
              <w:t>Estimates</w:t>
            </w:r>
            <w:r w:rsidRPr="00C96230">
              <w:rPr>
                <w:rFonts w:ascii="Verdana" w:hAnsi="Verdana"/>
                <w:sz w:val="18"/>
                <w:szCs w:val="18"/>
              </w:rPr>
              <w:tab/>
            </w:r>
            <w:r w:rsidRPr="00C96230">
              <w:rPr>
                <w:rFonts w:ascii="Verdana" w:hAnsi="Verdana"/>
                <w:spacing w:val="-4"/>
                <w:sz w:val="18"/>
                <w:szCs w:val="18"/>
              </w:rPr>
              <w:t>level</w:t>
            </w:r>
          </w:p>
          <w:p w14:paraId="1D8FB32D" w14:textId="77777777" w:rsidR="008715BE" w:rsidRPr="00C96230" w:rsidRDefault="00000000">
            <w:pPr>
              <w:pStyle w:val="TableParagraph"/>
              <w:spacing w:line="195" w:lineRule="exact"/>
              <w:ind w:left="116"/>
              <w:rPr>
                <w:rFonts w:ascii="Verdana" w:hAnsi="Verdana"/>
                <w:sz w:val="18"/>
                <w:szCs w:val="18"/>
              </w:rPr>
            </w:pPr>
            <w:r w:rsidRPr="00C96230">
              <w:rPr>
                <w:rFonts w:ascii="Verdana" w:hAnsi="Verdana"/>
                <w:spacing w:val="-2"/>
                <w:sz w:val="18"/>
                <w:szCs w:val="18"/>
              </w:rPr>
              <w:t>noise</w:t>
            </w:r>
          </w:p>
        </w:tc>
      </w:tr>
      <w:tr w:rsidR="008715BE" w:rsidRPr="00C96230" w14:paraId="642245C9" w14:textId="77777777">
        <w:trPr>
          <w:trHeight w:val="1626"/>
        </w:trPr>
        <w:tc>
          <w:tcPr>
            <w:tcW w:w="523" w:type="dxa"/>
            <w:vMerge/>
            <w:tcBorders>
              <w:top w:val="nil"/>
            </w:tcBorders>
            <w:textDirection w:val="btLr"/>
          </w:tcPr>
          <w:p w14:paraId="310AE526" w14:textId="77777777" w:rsidR="008715BE" w:rsidRPr="00C96230" w:rsidRDefault="008715BE">
            <w:pPr>
              <w:rPr>
                <w:rFonts w:ascii="Verdana" w:hAnsi="Verdana"/>
                <w:sz w:val="18"/>
                <w:szCs w:val="18"/>
              </w:rPr>
            </w:pPr>
          </w:p>
        </w:tc>
        <w:tc>
          <w:tcPr>
            <w:tcW w:w="2323" w:type="dxa"/>
            <w:vMerge w:val="restart"/>
          </w:tcPr>
          <w:p w14:paraId="0A05B3CE" w14:textId="77777777" w:rsidR="008715BE" w:rsidRPr="00C96230" w:rsidRDefault="00000000">
            <w:pPr>
              <w:pStyle w:val="TableParagraph"/>
              <w:spacing w:before="8" w:line="195" w:lineRule="exact"/>
              <w:ind w:left="105"/>
              <w:rPr>
                <w:rFonts w:ascii="Verdana" w:hAnsi="Verdana"/>
                <w:sz w:val="18"/>
                <w:szCs w:val="18"/>
              </w:rPr>
            </w:pPr>
            <w:r w:rsidRPr="00C96230">
              <w:rPr>
                <w:rFonts w:ascii="Verdana" w:hAnsi="Verdana"/>
                <w:spacing w:val="46"/>
                <w:sz w:val="18"/>
                <w:szCs w:val="18"/>
              </w:rPr>
              <w:t xml:space="preserve">  </w:t>
            </w:r>
            <w:r w:rsidRPr="00C96230">
              <w:rPr>
                <w:rFonts w:ascii="Verdana" w:hAnsi="Verdana"/>
                <w:spacing w:val="-2"/>
                <w:sz w:val="18"/>
                <w:szCs w:val="18"/>
              </w:rPr>
              <w:t xml:space="preserve"> </w:t>
            </w:r>
            <w:r w:rsidRPr="00C96230">
              <w:rPr>
                <w:rFonts w:ascii="Verdana" w:hAnsi="Verdana"/>
                <w:sz w:val="18"/>
                <w:szCs w:val="18"/>
              </w:rPr>
              <w:t>works</w:t>
            </w:r>
            <w:r w:rsidRPr="00C96230">
              <w:rPr>
                <w:rFonts w:ascii="Verdana" w:hAnsi="Verdana"/>
                <w:spacing w:val="48"/>
                <w:sz w:val="18"/>
                <w:szCs w:val="18"/>
              </w:rPr>
              <w:t xml:space="preserve">  </w:t>
            </w:r>
            <w:r w:rsidRPr="00C96230">
              <w:rPr>
                <w:rFonts w:ascii="Verdana" w:hAnsi="Verdana"/>
                <w:spacing w:val="-2"/>
                <w:sz w:val="18"/>
                <w:szCs w:val="18"/>
              </w:rPr>
              <w:t xml:space="preserve"> earthworks</w:t>
            </w:r>
          </w:p>
          <w:p w14:paraId="17CFA6E0" w14:textId="77777777" w:rsidR="008715BE" w:rsidRPr="00C96230" w:rsidRDefault="00000000">
            <w:pPr>
              <w:pStyle w:val="TableParagraph"/>
              <w:tabs>
                <w:tab w:val="left" w:pos="1444"/>
              </w:tabs>
              <w:spacing w:line="194" w:lineRule="exact"/>
              <w:ind w:left="105"/>
              <w:rPr>
                <w:rFonts w:ascii="Verdana" w:hAnsi="Verdana"/>
                <w:sz w:val="18"/>
                <w:szCs w:val="18"/>
              </w:rPr>
            </w:pPr>
            <w:r w:rsidRPr="00C96230">
              <w:rPr>
                <w:rFonts w:ascii="Verdana" w:hAnsi="Verdana"/>
                <w:spacing w:val="-2"/>
                <w:sz w:val="18"/>
                <w:szCs w:val="18"/>
              </w:rPr>
              <w:t>(leveling</w:t>
            </w:r>
            <w:r w:rsidRPr="00C96230">
              <w:rPr>
                <w:rFonts w:ascii="Verdana" w:hAnsi="Verdana"/>
                <w:sz w:val="18"/>
                <w:szCs w:val="18"/>
              </w:rPr>
              <w:tab/>
            </w:r>
            <w:r w:rsidRPr="00C96230">
              <w:rPr>
                <w:rFonts w:ascii="Verdana" w:hAnsi="Verdana"/>
                <w:spacing w:val="-2"/>
                <w:sz w:val="18"/>
                <w:szCs w:val="18"/>
              </w:rPr>
              <w:t>of the terrain,</w:t>
            </w:r>
          </w:p>
          <w:p w14:paraId="1441AC54" w14:textId="77777777" w:rsidR="008715BE" w:rsidRPr="00C96230" w:rsidRDefault="00000000">
            <w:pPr>
              <w:pStyle w:val="TableParagraph"/>
              <w:tabs>
                <w:tab w:val="left" w:pos="1446"/>
              </w:tabs>
              <w:spacing w:line="194" w:lineRule="exact"/>
              <w:ind w:left="105"/>
              <w:rPr>
                <w:rFonts w:ascii="Verdana" w:hAnsi="Verdana"/>
                <w:sz w:val="18"/>
                <w:szCs w:val="18"/>
              </w:rPr>
            </w:pPr>
            <w:r w:rsidRPr="00C96230">
              <w:rPr>
                <w:rFonts w:ascii="Verdana" w:hAnsi="Verdana"/>
                <w:spacing w:val="-2"/>
                <w:sz w:val="18"/>
                <w:szCs w:val="18"/>
              </w:rPr>
              <w:t>excavations,</w:t>
            </w:r>
            <w:r w:rsidRPr="00C96230">
              <w:rPr>
                <w:rFonts w:ascii="Verdana" w:hAnsi="Verdana"/>
                <w:sz w:val="18"/>
                <w:szCs w:val="18"/>
              </w:rPr>
              <w:tab/>
            </w:r>
            <w:r w:rsidRPr="00C96230">
              <w:rPr>
                <w:rFonts w:ascii="Verdana" w:hAnsi="Verdana"/>
                <w:spacing w:val="-2"/>
                <w:sz w:val="18"/>
                <w:szCs w:val="18"/>
              </w:rPr>
              <w:t>excavations,</w:t>
            </w:r>
          </w:p>
          <w:p w14:paraId="367CDAE6" w14:textId="77777777" w:rsidR="008715BE" w:rsidRPr="00C96230" w:rsidRDefault="00000000">
            <w:pPr>
              <w:pStyle w:val="TableParagraph"/>
              <w:spacing w:line="195" w:lineRule="exact"/>
              <w:ind w:left="105"/>
              <w:rPr>
                <w:rFonts w:ascii="Verdana" w:hAnsi="Verdana"/>
                <w:sz w:val="18"/>
                <w:szCs w:val="18"/>
              </w:rPr>
            </w:pPr>
            <w:r w:rsidRPr="00C96230">
              <w:rPr>
                <w:rFonts w:ascii="Verdana" w:hAnsi="Verdana"/>
                <w:spacing w:val="-2"/>
                <w:sz w:val="18"/>
                <w:szCs w:val="18"/>
              </w:rPr>
              <w:t>backfilling)</w:t>
            </w:r>
          </w:p>
        </w:tc>
        <w:tc>
          <w:tcPr>
            <w:tcW w:w="3149" w:type="dxa"/>
            <w:tcBorders>
              <w:bottom w:val="nil"/>
            </w:tcBorders>
          </w:tcPr>
          <w:p w14:paraId="6EE66EDC"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Borders>
              <w:bottom w:val="nil"/>
            </w:tcBorders>
          </w:tcPr>
          <w:p w14:paraId="1937EECD"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Borders>
              <w:bottom w:val="nil"/>
            </w:tcBorders>
          </w:tcPr>
          <w:p w14:paraId="11D0F223"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Borders>
              <w:bottom w:val="nil"/>
            </w:tcBorders>
          </w:tcPr>
          <w:p w14:paraId="17E5DD0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vMerge w:val="restart"/>
          </w:tcPr>
          <w:p w14:paraId="685CB40C"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793" w:type="dxa"/>
            <w:tcBorders>
              <w:bottom w:val="nil"/>
              <w:right w:val="nil"/>
            </w:tcBorders>
          </w:tcPr>
          <w:p w14:paraId="47742925" w14:textId="77777777" w:rsidR="008715BE" w:rsidRPr="00C96230" w:rsidRDefault="00000000">
            <w:pPr>
              <w:pStyle w:val="TableParagraph"/>
              <w:spacing w:before="8"/>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bottom w:val="nil"/>
            </w:tcBorders>
          </w:tcPr>
          <w:p w14:paraId="4E5B42C9" w14:textId="77777777" w:rsidR="008715BE" w:rsidRPr="00C96230" w:rsidRDefault="008715BE">
            <w:pPr>
              <w:pStyle w:val="TableParagraph"/>
              <w:spacing w:before="7"/>
              <w:rPr>
                <w:rFonts w:ascii="Verdana" w:hAnsi="Verdana"/>
                <w:b/>
                <w:sz w:val="18"/>
                <w:szCs w:val="18"/>
              </w:rPr>
            </w:pPr>
          </w:p>
          <w:p w14:paraId="1E1E0AC3"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vMerge/>
            <w:tcBorders>
              <w:top w:val="nil"/>
              <w:bottom w:val="nil"/>
            </w:tcBorders>
          </w:tcPr>
          <w:p w14:paraId="018FAA58" w14:textId="77777777" w:rsidR="008715BE" w:rsidRPr="00C96230" w:rsidRDefault="008715BE">
            <w:pPr>
              <w:rPr>
                <w:rFonts w:ascii="Verdana" w:hAnsi="Verdana"/>
                <w:sz w:val="18"/>
                <w:szCs w:val="18"/>
              </w:rPr>
            </w:pPr>
          </w:p>
        </w:tc>
        <w:tc>
          <w:tcPr>
            <w:tcW w:w="1898" w:type="dxa"/>
            <w:tcBorders>
              <w:bottom w:val="nil"/>
            </w:tcBorders>
          </w:tcPr>
          <w:p w14:paraId="7F869ABA" w14:textId="77777777" w:rsidR="008715BE" w:rsidRPr="00C96230" w:rsidRDefault="00000000">
            <w:pPr>
              <w:pStyle w:val="TableParagraph"/>
              <w:spacing w:before="8"/>
              <w:ind w:left="114"/>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1" w:type="dxa"/>
            <w:vMerge/>
            <w:tcBorders>
              <w:top w:val="nil"/>
              <w:bottom w:val="nil"/>
            </w:tcBorders>
          </w:tcPr>
          <w:p w14:paraId="69EACA94" w14:textId="77777777" w:rsidR="008715BE" w:rsidRPr="00C96230" w:rsidRDefault="008715BE">
            <w:pPr>
              <w:rPr>
                <w:rFonts w:ascii="Verdana" w:hAnsi="Verdana"/>
                <w:sz w:val="18"/>
                <w:szCs w:val="18"/>
              </w:rPr>
            </w:pPr>
          </w:p>
        </w:tc>
        <w:tc>
          <w:tcPr>
            <w:tcW w:w="1890" w:type="dxa"/>
            <w:vMerge/>
            <w:tcBorders>
              <w:top w:val="nil"/>
              <w:bottom w:val="nil"/>
            </w:tcBorders>
          </w:tcPr>
          <w:p w14:paraId="6F6A82A1" w14:textId="77777777" w:rsidR="008715BE" w:rsidRPr="00C96230" w:rsidRDefault="008715BE">
            <w:pPr>
              <w:rPr>
                <w:rFonts w:ascii="Verdana" w:hAnsi="Verdana"/>
                <w:sz w:val="18"/>
                <w:szCs w:val="18"/>
              </w:rPr>
            </w:pPr>
          </w:p>
        </w:tc>
      </w:tr>
      <w:tr w:rsidR="008715BE" w:rsidRPr="00C96230" w14:paraId="5DFE6D93" w14:textId="77777777">
        <w:trPr>
          <w:trHeight w:val="967"/>
        </w:trPr>
        <w:tc>
          <w:tcPr>
            <w:tcW w:w="523" w:type="dxa"/>
            <w:vMerge/>
            <w:tcBorders>
              <w:top w:val="nil"/>
            </w:tcBorders>
            <w:textDirection w:val="btLr"/>
          </w:tcPr>
          <w:p w14:paraId="11DC0E0F" w14:textId="77777777" w:rsidR="008715BE" w:rsidRPr="00C96230" w:rsidRDefault="008715BE">
            <w:pPr>
              <w:rPr>
                <w:rFonts w:ascii="Verdana" w:hAnsi="Verdana"/>
                <w:sz w:val="18"/>
                <w:szCs w:val="18"/>
              </w:rPr>
            </w:pPr>
          </w:p>
        </w:tc>
        <w:tc>
          <w:tcPr>
            <w:tcW w:w="2323" w:type="dxa"/>
            <w:vMerge/>
            <w:tcBorders>
              <w:top w:val="nil"/>
            </w:tcBorders>
          </w:tcPr>
          <w:p w14:paraId="4214075A" w14:textId="77777777" w:rsidR="008715BE" w:rsidRPr="00C96230" w:rsidRDefault="008715BE">
            <w:pPr>
              <w:rPr>
                <w:rFonts w:ascii="Verdana" w:hAnsi="Verdana"/>
                <w:sz w:val="18"/>
                <w:szCs w:val="18"/>
              </w:rPr>
            </w:pPr>
          </w:p>
        </w:tc>
        <w:tc>
          <w:tcPr>
            <w:tcW w:w="3149" w:type="dxa"/>
            <w:tcBorders>
              <w:top w:val="nil"/>
            </w:tcBorders>
          </w:tcPr>
          <w:p w14:paraId="156AE07D" w14:textId="77777777" w:rsidR="008715BE" w:rsidRPr="00C96230" w:rsidRDefault="008715BE">
            <w:pPr>
              <w:pStyle w:val="TableParagraph"/>
              <w:rPr>
                <w:rFonts w:ascii="Verdana" w:hAnsi="Verdana"/>
                <w:sz w:val="18"/>
                <w:szCs w:val="18"/>
              </w:rPr>
            </w:pPr>
          </w:p>
        </w:tc>
        <w:tc>
          <w:tcPr>
            <w:tcW w:w="1106" w:type="dxa"/>
            <w:tcBorders>
              <w:top w:val="nil"/>
            </w:tcBorders>
          </w:tcPr>
          <w:p w14:paraId="4032D841" w14:textId="77777777" w:rsidR="008715BE" w:rsidRPr="00C96230" w:rsidRDefault="008715BE">
            <w:pPr>
              <w:pStyle w:val="TableParagraph"/>
              <w:rPr>
                <w:rFonts w:ascii="Verdana" w:hAnsi="Verdana"/>
                <w:sz w:val="18"/>
                <w:szCs w:val="18"/>
              </w:rPr>
            </w:pPr>
          </w:p>
        </w:tc>
        <w:tc>
          <w:tcPr>
            <w:tcW w:w="1108" w:type="dxa"/>
            <w:tcBorders>
              <w:top w:val="nil"/>
            </w:tcBorders>
          </w:tcPr>
          <w:p w14:paraId="799EFBF8" w14:textId="77777777" w:rsidR="008715BE" w:rsidRPr="00C96230" w:rsidRDefault="008715BE">
            <w:pPr>
              <w:pStyle w:val="TableParagraph"/>
              <w:rPr>
                <w:rFonts w:ascii="Verdana" w:hAnsi="Verdana"/>
                <w:sz w:val="18"/>
                <w:szCs w:val="18"/>
              </w:rPr>
            </w:pPr>
          </w:p>
        </w:tc>
        <w:tc>
          <w:tcPr>
            <w:tcW w:w="1211" w:type="dxa"/>
            <w:tcBorders>
              <w:top w:val="nil"/>
            </w:tcBorders>
          </w:tcPr>
          <w:p w14:paraId="6335486F" w14:textId="77777777" w:rsidR="008715BE" w:rsidRPr="00C96230" w:rsidRDefault="008715BE">
            <w:pPr>
              <w:pStyle w:val="TableParagraph"/>
              <w:rPr>
                <w:rFonts w:ascii="Verdana" w:hAnsi="Verdana"/>
                <w:sz w:val="18"/>
                <w:szCs w:val="18"/>
              </w:rPr>
            </w:pPr>
          </w:p>
        </w:tc>
        <w:tc>
          <w:tcPr>
            <w:tcW w:w="1389" w:type="dxa"/>
            <w:vMerge/>
            <w:tcBorders>
              <w:top w:val="nil"/>
            </w:tcBorders>
          </w:tcPr>
          <w:p w14:paraId="0E28C788" w14:textId="77777777" w:rsidR="008715BE" w:rsidRPr="00C96230" w:rsidRDefault="008715BE">
            <w:pPr>
              <w:rPr>
                <w:rFonts w:ascii="Verdana" w:hAnsi="Verdana"/>
                <w:sz w:val="18"/>
                <w:szCs w:val="18"/>
              </w:rPr>
            </w:pPr>
          </w:p>
        </w:tc>
        <w:tc>
          <w:tcPr>
            <w:tcW w:w="793" w:type="dxa"/>
            <w:tcBorders>
              <w:top w:val="nil"/>
              <w:right w:val="nil"/>
            </w:tcBorders>
          </w:tcPr>
          <w:p w14:paraId="4D7B73E3" w14:textId="77777777" w:rsidR="008715BE" w:rsidRPr="00C96230" w:rsidRDefault="008715BE">
            <w:pPr>
              <w:pStyle w:val="TableParagraph"/>
              <w:rPr>
                <w:rFonts w:ascii="Verdana" w:hAnsi="Verdana"/>
                <w:sz w:val="18"/>
                <w:szCs w:val="18"/>
              </w:rPr>
            </w:pPr>
          </w:p>
        </w:tc>
        <w:tc>
          <w:tcPr>
            <w:tcW w:w="408" w:type="dxa"/>
            <w:tcBorders>
              <w:top w:val="nil"/>
              <w:left w:val="nil"/>
            </w:tcBorders>
          </w:tcPr>
          <w:p w14:paraId="1419B03F" w14:textId="77777777" w:rsidR="008715BE" w:rsidRPr="00C96230" w:rsidRDefault="008715BE">
            <w:pPr>
              <w:pStyle w:val="TableParagraph"/>
              <w:rPr>
                <w:rFonts w:ascii="Verdana" w:hAnsi="Verdana"/>
                <w:sz w:val="18"/>
                <w:szCs w:val="18"/>
              </w:rPr>
            </w:pPr>
          </w:p>
        </w:tc>
        <w:tc>
          <w:tcPr>
            <w:tcW w:w="1737" w:type="dxa"/>
            <w:tcBorders>
              <w:top w:val="nil"/>
              <w:bottom w:val="nil"/>
            </w:tcBorders>
          </w:tcPr>
          <w:p w14:paraId="388B2021" w14:textId="77777777" w:rsidR="008715BE" w:rsidRPr="00C96230" w:rsidRDefault="008715BE">
            <w:pPr>
              <w:pStyle w:val="TableParagraph"/>
              <w:rPr>
                <w:rFonts w:ascii="Verdana" w:hAnsi="Verdana"/>
                <w:sz w:val="18"/>
                <w:szCs w:val="18"/>
              </w:rPr>
            </w:pPr>
          </w:p>
        </w:tc>
        <w:tc>
          <w:tcPr>
            <w:tcW w:w="1898" w:type="dxa"/>
            <w:tcBorders>
              <w:top w:val="nil"/>
            </w:tcBorders>
          </w:tcPr>
          <w:p w14:paraId="4C5C5127" w14:textId="77777777" w:rsidR="008715BE" w:rsidRPr="00C96230" w:rsidRDefault="008715BE">
            <w:pPr>
              <w:pStyle w:val="TableParagraph"/>
              <w:rPr>
                <w:rFonts w:ascii="Verdana" w:hAnsi="Verdana"/>
                <w:sz w:val="18"/>
                <w:szCs w:val="18"/>
              </w:rPr>
            </w:pPr>
          </w:p>
        </w:tc>
        <w:tc>
          <w:tcPr>
            <w:tcW w:w="3861" w:type="dxa"/>
            <w:tcBorders>
              <w:top w:val="nil"/>
            </w:tcBorders>
          </w:tcPr>
          <w:p w14:paraId="0CA223BB" w14:textId="77777777" w:rsidR="008715BE" w:rsidRPr="00C96230" w:rsidRDefault="008715BE">
            <w:pPr>
              <w:pStyle w:val="TableParagraph"/>
              <w:spacing w:before="2"/>
              <w:rPr>
                <w:rFonts w:ascii="Verdana" w:hAnsi="Verdana"/>
                <w:b/>
                <w:sz w:val="18"/>
                <w:szCs w:val="18"/>
              </w:rPr>
            </w:pPr>
          </w:p>
          <w:p w14:paraId="43417940" w14:textId="77777777" w:rsidR="008715BE" w:rsidRPr="00C96230" w:rsidRDefault="00000000">
            <w:pPr>
              <w:pStyle w:val="TableParagraph"/>
              <w:spacing w:before="1"/>
              <w:ind w:left="115" w:right="87"/>
              <w:jc w:val="both"/>
              <w:rPr>
                <w:rFonts w:ascii="Verdana" w:hAnsi="Verdana"/>
                <w:sz w:val="18"/>
                <w:szCs w:val="18"/>
              </w:rPr>
            </w:pPr>
            <w:r w:rsidRPr="00C96230">
              <w:rPr>
                <w:rFonts w:ascii="Verdana" w:hAnsi="Verdana"/>
                <w:sz w:val="18"/>
                <w:szCs w:val="18"/>
              </w:rPr>
              <w:t>The impact will be felt outside the protected area, within the boundaries of the wind farm, within the boundaries/vicinity of the work front</w:t>
            </w:r>
          </w:p>
          <w:p w14:paraId="41D56E8E" w14:textId="77777777" w:rsidR="008715BE" w:rsidRPr="00C96230" w:rsidRDefault="00000000">
            <w:pPr>
              <w:pStyle w:val="TableParagraph"/>
              <w:spacing w:line="163" w:lineRule="exact"/>
              <w:ind w:left="115"/>
              <w:jc w:val="both"/>
              <w:rPr>
                <w:rFonts w:ascii="Verdana" w:hAnsi="Verdana"/>
                <w:sz w:val="18"/>
                <w:szCs w:val="18"/>
              </w:rPr>
            </w:pPr>
            <w:r w:rsidRPr="00C96230">
              <w:rPr>
                <w:rFonts w:ascii="Verdana" w:hAnsi="Verdana"/>
                <w:sz w:val="18"/>
                <w:szCs w:val="18"/>
              </w:rPr>
              <w:t xml:space="preserve">Results of </w:t>
            </w:r>
            <w:r w:rsidRPr="00C96230">
              <w:rPr>
                <w:rFonts w:ascii="Verdana" w:hAnsi="Verdana"/>
                <w:spacing w:val="-2"/>
                <w:sz w:val="18"/>
                <w:szCs w:val="18"/>
              </w:rPr>
              <w:t xml:space="preserve">noise </w:t>
            </w:r>
            <w:r w:rsidRPr="00C96230">
              <w:rPr>
                <w:rFonts w:ascii="Verdana" w:hAnsi="Verdana"/>
                <w:sz w:val="18"/>
                <w:szCs w:val="18"/>
              </w:rPr>
              <w:t>level modelling study</w:t>
            </w:r>
          </w:p>
        </w:tc>
        <w:tc>
          <w:tcPr>
            <w:tcW w:w="1890" w:type="dxa"/>
            <w:tcBorders>
              <w:top w:val="nil"/>
            </w:tcBorders>
          </w:tcPr>
          <w:p w14:paraId="33FF236A" w14:textId="77777777" w:rsidR="008715BE" w:rsidRPr="00C96230" w:rsidRDefault="008715BE">
            <w:pPr>
              <w:pStyle w:val="TableParagraph"/>
              <w:rPr>
                <w:rFonts w:ascii="Verdana" w:hAnsi="Verdana"/>
                <w:sz w:val="18"/>
                <w:szCs w:val="18"/>
              </w:rPr>
            </w:pPr>
          </w:p>
        </w:tc>
      </w:tr>
      <w:tr w:rsidR="008715BE" w:rsidRPr="00C96230" w14:paraId="43E98413" w14:textId="77777777">
        <w:trPr>
          <w:trHeight w:val="777"/>
        </w:trPr>
        <w:tc>
          <w:tcPr>
            <w:tcW w:w="523" w:type="dxa"/>
            <w:vMerge/>
            <w:tcBorders>
              <w:top w:val="nil"/>
            </w:tcBorders>
            <w:textDirection w:val="btLr"/>
          </w:tcPr>
          <w:p w14:paraId="04BE98F7" w14:textId="77777777" w:rsidR="008715BE" w:rsidRPr="00C96230" w:rsidRDefault="008715BE">
            <w:pPr>
              <w:rPr>
                <w:rFonts w:ascii="Verdana" w:hAnsi="Verdana"/>
                <w:sz w:val="18"/>
                <w:szCs w:val="18"/>
              </w:rPr>
            </w:pPr>
          </w:p>
        </w:tc>
        <w:tc>
          <w:tcPr>
            <w:tcW w:w="2323" w:type="dxa"/>
          </w:tcPr>
          <w:p w14:paraId="1EFEF92D" w14:textId="77777777" w:rsidR="008715BE" w:rsidRPr="00C96230" w:rsidRDefault="00000000">
            <w:pPr>
              <w:pStyle w:val="TableParagraph"/>
              <w:spacing w:before="8"/>
              <w:ind w:left="105"/>
              <w:rPr>
                <w:rFonts w:ascii="Verdana" w:hAnsi="Verdana"/>
                <w:sz w:val="18"/>
                <w:szCs w:val="18"/>
              </w:rPr>
            </w:pPr>
            <w:r w:rsidRPr="00C96230">
              <w:rPr>
                <w:rFonts w:ascii="Verdana" w:hAnsi="Verdana"/>
                <w:spacing w:val="-2"/>
                <w:sz w:val="18"/>
                <w:szCs w:val="18"/>
              </w:rPr>
              <w:t xml:space="preserve">Foundation </w:t>
            </w:r>
            <w:r w:rsidRPr="00C96230">
              <w:rPr>
                <w:rFonts w:ascii="Verdana" w:hAnsi="Verdana"/>
                <w:sz w:val="18"/>
                <w:szCs w:val="18"/>
              </w:rPr>
              <w:t>construction works</w:t>
            </w:r>
          </w:p>
        </w:tc>
        <w:tc>
          <w:tcPr>
            <w:tcW w:w="3149" w:type="dxa"/>
          </w:tcPr>
          <w:p w14:paraId="36A9E4BA" w14:textId="77777777" w:rsidR="008715BE" w:rsidRPr="00C96230" w:rsidRDefault="00000000">
            <w:pPr>
              <w:pStyle w:val="TableParagraph"/>
              <w:spacing w:line="194" w:lineRule="exact"/>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 xml:space="preserve">work </w:t>
            </w:r>
            <w:r w:rsidRPr="00C96230">
              <w:rPr>
                <w:rFonts w:ascii="Verdana" w:hAnsi="Verdana"/>
                <w:sz w:val="18"/>
                <w:szCs w:val="18"/>
              </w:rPr>
              <w:t>front area</w:t>
            </w:r>
          </w:p>
        </w:tc>
        <w:tc>
          <w:tcPr>
            <w:tcW w:w="1106" w:type="dxa"/>
          </w:tcPr>
          <w:p w14:paraId="2EB881F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775DFA9A"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6B63D00B"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F3117A0"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793" w:type="dxa"/>
            <w:tcBorders>
              <w:right w:val="nil"/>
            </w:tcBorders>
          </w:tcPr>
          <w:p w14:paraId="4964490A" w14:textId="77777777" w:rsidR="008715BE" w:rsidRPr="00C96230" w:rsidRDefault="00000000">
            <w:pPr>
              <w:pStyle w:val="TableParagraph"/>
              <w:spacing w:line="194" w:lineRule="exact"/>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tcBorders>
          </w:tcPr>
          <w:p w14:paraId="2752DE79" w14:textId="77777777" w:rsidR="008715BE" w:rsidRPr="00C96230" w:rsidRDefault="008715BE">
            <w:pPr>
              <w:pStyle w:val="TableParagraph"/>
              <w:spacing w:before="7"/>
              <w:rPr>
                <w:rFonts w:ascii="Verdana" w:hAnsi="Verdana"/>
                <w:b/>
                <w:sz w:val="18"/>
                <w:szCs w:val="18"/>
              </w:rPr>
            </w:pPr>
          </w:p>
          <w:p w14:paraId="312D99A1"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tcBorders>
              <w:top w:val="nil"/>
            </w:tcBorders>
          </w:tcPr>
          <w:p w14:paraId="3D6B8EE1" w14:textId="77777777" w:rsidR="008715BE" w:rsidRPr="00C96230" w:rsidRDefault="008715BE">
            <w:pPr>
              <w:pStyle w:val="TableParagraph"/>
              <w:rPr>
                <w:rFonts w:ascii="Verdana" w:hAnsi="Verdana"/>
                <w:sz w:val="18"/>
                <w:szCs w:val="18"/>
              </w:rPr>
            </w:pPr>
          </w:p>
        </w:tc>
        <w:tc>
          <w:tcPr>
            <w:tcW w:w="1898" w:type="dxa"/>
          </w:tcPr>
          <w:p w14:paraId="62551BF6" w14:textId="77777777" w:rsidR="008715BE" w:rsidRPr="00C96230" w:rsidRDefault="00000000">
            <w:pPr>
              <w:pStyle w:val="TableParagraph"/>
              <w:spacing w:before="8"/>
              <w:ind w:left="114"/>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1" w:type="dxa"/>
          </w:tcPr>
          <w:p w14:paraId="761E9E7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1/individual (accidental)</w:t>
            </w:r>
          </w:p>
          <w:p w14:paraId="0FB2C707" w14:textId="77777777" w:rsidR="008715BE" w:rsidRPr="00C96230" w:rsidRDefault="00000000">
            <w:pPr>
              <w:pStyle w:val="TableParagraph"/>
              <w:ind w:left="115"/>
              <w:rPr>
                <w:rFonts w:ascii="Verdana" w:hAnsi="Verdana"/>
                <w:sz w:val="18"/>
                <w:szCs w:val="18"/>
              </w:rPr>
            </w:pPr>
            <w:r w:rsidRPr="00C96230">
              <w:rPr>
                <w:rFonts w:ascii="Verdana" w:hAnsi="Verdana"/>
                <w:sz w:val="18"/>
                <w:szCs w:val="18"/>
              </w:rPr>
              <w:t>(outside the protected area, within the wind farm)</w:t>
            </w:r>
          </w:p>
        </w:tc>
        <w:tc>
          <w:tcPr>
            <w:tcW w:w="1890" w:type="dxa"/>
          </w:tcPr>
          <w:p w14:paraId="588A1236" w14:textId="77777777" w:rsidR="008715BE" w:rsidRPr="00C96230" w:rsidRDefault="00000000">
            <w:pPr>
              <w:pStyle w:val="TableParagraph"/>
              <w:tabs>
                <w:tab w:val="left" w:pos="1220"/>
              </w:tabs>
              <w:spacing w:before="8"/>
              <w:ind w:left="116" w:right="86"/>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w:t>
            </w:r>
            <w:r w:rsidRPr="00C96230">
              <w:rPr>
                <w:rFonts w:ascii="Verdana" w:hAnsi="Verdana"/>
                <w:spacing w:val="-2"/>
                <w:sz w:val="18"/>
                <w:szCs w:val="18"/>
              </w:rPr>
              <w:t xml:space="preserve">species </w:t>
            </w:r>
            <w:r w:rsidRPr="00C96230">
              <w:rPr>
                <w:rFonts w:ascii="Verdana" w:hAnsi="Verdana"/>
                <w:sz w:val="18"/>
                <w:szCs w:val="18"/>
              </w:rPr>
              <w:t xml:space="preserve">mortality </w:t>
            </w:r>
            <w:r w:rsidRPr="00C96230">
              <w:rPr>
                <w:rFonts w:ascii="Verdana" w:hAnsi="Verdana"/>
                <w:spacing w:val="-2"/>
                <w:sz w:val="18"/>
                <w:szCs w:val="18"/>
              </w:rPr>
              <w:t>risk</w:t>
            </w:r>
          </w:p>
        </w:tc>
      </w:tr>
      <w:tr w:rsidR="008715BE" w:rsidRPr="00C96230" w14:paraId="32B2772F" w14:textId="77777777">
        <w:trPr>
          <w:trHeight w:val="1063"/>
        </w:trPr>
        <w:tc>
          <w:tcPr>
            <w:tcW w:w="523" w:type="dxa"/>
            <w:vMerge/>
            <w:tcBorders>
              <w:top w:val="nil"/>
            </w:tcBorders>
            <w:textDirection w:val="btLr"/>
          </w:tcPr>
          <w:p w14:paraId="707C9A4D" w14:textId="77777777" w:rsidR="008715BE" w:rsidRPr="00C96230" w:rsidRDefault="008715BE">
            <w:pPr>
              <w:rPr>
                <w:rFonts w:ascii="Verdana" w:hAnsi="Verdana"/>
                <w:sz w:val="18"/>
                <w:szCs w:val="18"/>
              </w:rPr>
            </w:pPr>
          </w:p>
        </w:tc>
        <w:tc>
          <w:tcPr>
            <w:tcW w:w="2323" w:type="dxa"/>
            <w:tcBorders>
              <w:bottom w:val="nil"/>
            </w:tcBorders>
          </w:tcPr>
          <w:p w14:paraId="77386E29" w14:textId="77777777" w:rsidR="008715BE" w:rsidRPr="00C96230" w:rsidRDefault="00000000">
            <w:pPr>
              <w:pStyle w:val="TableParagraph"/>
              <w:tabs>
                <w:tab w:val="left" w:pos="1053"/>
                <w:tab w:val="left" w:pos="1645"/>
              </w:tabs>
              <w:spacing w:before="8"/>
              <w:ind w:left="105" w:right="96"/>
              <w:rPr>
                <w:rFonts w:ascii="Verdana" w:hAnsi="Verdana"/>
                <w:sz w:val="18"/>
                <w:szCs w:val="18"/>
              </w:rPr>
            </w:pPr>
            <w:r w:rsidRPr="00C96230">
              <w:rPr>
                <w:rFonts w:ascii="Verdana" w:hAnsi="Verdana"/>
                <w:spacing w:val="-2"/>
                <w:sz w:val="18"/>
                <w:szCs w:val="18"/>
              </w:rPr>
              <w:t>Works</w:t>
            </w:r>
            <w:r w:rsidRPr="00C96230">
              <w:rPr>
                <w:rFonts w:ascii="Verdana" w:hAnsi="Verdana"/>
                <w:sz w:val="18"/>
                <w:szCs w:val="18"/>
              </w:rPr>
              <w:tab/>
            </w:r>
            <w:r w:rsidRPr="00C96230">
              <w:rPr>
                <w:rFonts w:ascii="Verdana" w:hAnsi="Verdana"/>
                <w:spacing w:val="-6"/>
                <w:sz w:val="18"/>
                <w:szCs w:val="18"/>
              </w:rPr>
              <w:t>Installation</w:t>
            </w:r>
            <w:r w:rsidRPr="00C96230">
              <w:rPr>
                <w:rFonts w:ascii="Verdana" w:hAnsi="Verdana"/>
                <w:sz w:val="18"/>
                <w:szCs w:val="18"/>
              </w:rPr>
              <w:tab/>
            </w:r>
            <w:r w:rsidRPr="00C96230">
              <w:rPr>
                <w:rFonts w:ascii="Verdana" w:hAnsi="Verdana"/>
                <w:spacing w:val="-2"/>
                <w:sz w:val="18"/>
                <w:szCs w:val="18"/>
              </w:rPr>
              <w:t xml:space="preserve">Installation </w:t>
            </w:r>
            <w:r w:rsidRPr="00C96230">
              <w:rPr>
                <w:rFonts w:ascii="Verdana" w:hAnsi="Verdana"/>
                <w:sz w:val="18"/>
                <w:szCs w:val="18"/>
              </w:rPr>
              <w:t>of facilities/equipment</w:t>
            </w:r>
          </w:p>
        </w:tc>
        <w:tc>
          <w:tcPr>
            <w:tcW w:w="3149" w:type="dxa"/>
            <w:vMerge w:val="restart"/>
          </w:tcPr>
          <w:p w14:paraId="4AE71434" w14:textId="77777777" w:rsidR="008715BE" w:rsidRPr="00C96230" w:rsidRDefault="00000000">
            <w:pPr>
              <w:pStyle w:val="TableParagraph"/>
              <w:tabs>
                <w:tab w:val="left" w:pos="1615"/>
                <w:tab w:val="left" w:pos="2916"/>
              </w:tabs>
              <w:spacing w:before="8"/>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 of</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Borders>
              <w:bottom w:val="nil"/>
            </w:tcBorders>
          </w:tcPr>
          <w:p w14:paraId="1DFEEBBB"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Borders>
              <w:bottom w:val="nil"/>
            </w:tcBorders>
          </w:tcPr>
          <w:p w14:paraId="57A61A6E"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Borders>
              <w:bottom w:val="nil"/>
            </w:tcBorders>
          </w:tcPr>
          <w:p w14:paraId="1A50E25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vMerge w:val="restart"/>
          </w:tcPr>
          <w:p w14:paraId="2C07675D"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793" w:type="dxa"/>
            <w:tcBorders>
              <w:bottom w:val="nil"/>
              <w:right w:val="nil"/>
            </w:tcBorders>
          </w:tcPr>
          <w:p w14:paraId="33153320" w14:textId="77777777" w:rsidR="008715BE" w:rsidRPr="00C96230" w:rsidRDefault="00000000">
            <w:pPr>
              <w:pStyle w:val="TableParagraph"/>
              <w:spacing w:before="8"/>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bottom w:val="nil"/>
            </w:tcBorders>
          </w:tcPr>
          <w:p w14:paraId="4F573262" w14:textId="77777777" w:rsidR="008715BE" w:rsidRPr="00C96230" w:rsidRDefault="008715BE">
            <w:pPr>
              <w:pStyle w:val="TableParagraph"/>
              <w:spacing w:before="7"/>
              <w:rPr>
                <w:rFonts w:ascii="Verdana" w:hAnsi="Verdana"/>
                <w:b/>
                <w:sz w:val="18"/>
                <w:szCs w:val="18"/>
              </w:rPr>
            </w:pPr>
          </w:p>
          <w:p w14:paraId="5F34B8AF"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vMerge w:val="restart"/>
          </w:tcPr>
          <w:p w14:paraId="049DFEAC" w14:textId="77777777" w:rsidR="008715BE" w:rsidRPr="00C96230" w:rsidRDefault="00000000">
            <w:pPr>
              <w:pStyle w:val="TableParagraph"/>
              <w:spacing w:before="8"/>
              <w:ind w:left="111" w:right="90"/>
              <w:jc w:val="both"/>
              <w:rPr>
                <w:rFonts w:ascii="Verdana" w:hAnsi="Verdana"/>
                <w:sz w:val="18"/>
                <w:szCs w:val="18"/>
              </w:rPr>
            </w:pPr>
            <w:r w:rsidRPr="00C96230">
              <w:rPr>
                <w:rFonts w:ascii="Verdana" w:hAnsi="Verdana"/>
                <w:sz w:val="18"/>
                <w:szCs w:val="18"/>
              </w:rPr>
              <w:t>Agricultural land outside the protected natural area</w:t>
            </w:r>
          </w:p>
        </w:tc>
        <w:tc>
          <w:tcPr>
            <w:tcW w:w="1898" w:type="dxa"/>
            <w:tcBorders>
              <w:bottom w:val="nil"/>
            </w:tcBorders>
          </w:tcPr>
          <w:p w14:paraId="3C3FD1F2" w14:textId="77777777" w:rsidR="008715BE" w:rsidRPr="00C96230" w:rsidRDefault="00000000">
            <w:pPr>
              <w:pStyle w:val="TableParagraph"/>
              <w:spacing w:before="8" w:line="195" w:lineRule="exact"/>
              <w:ind w:left="114"/>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7765F2FF" w14:textId="77777777" w:rsidR="008715BE" w:rsidRPr="00C96230" w:rsidRDefault="00000000">
            <w:pPr>
              <w:pStyle w:val="TableParagraph"/>
              <w:spacing w:line="195" w:lineRule="exact"/>
              <w:ind w:left="114"/>
              <w:rPr>
                <w:rFonts w:ascii="Verdana" w:hAnsi="Verdana"/>
                <w:sz w:val="18"/>
                <w:szCs w:val="18"/>
              </w:rPr>
            </w:pPr>
            <w:r w:rsidRPr="00C96230">
              <w:rPr>
                <w:rFonts w:ascii="Verdana" w:hAnsi="Verdana"/>
                <w:spacing w:val="-2"/>
                <w:sz w:val="18"/>
                <w:szCs w:val="18"/>
              </w:rPr>
              <w:t>of the species</w:t>
            </w:r>
          </w:p>
        </w:tc>
        <w:tc>
          <w:tcPr>
            <w:tcW w:w="3861" w:type="dxa"/>
            <w:tcBorders>
              <w:bottom w:val="nil"/>
            </w:tcBorders>
          </w:tcPr>
          <w:p w14:paraId="1D2828C9" w14:textId="77777777" w:rsidR="008715BE" w:rsidRPr="00C96230" w:rsidRDefault="00000000">
            <w:pPr>
              <w:pStyle w:val="TableParagraph"/>
              <w:spacing w:before="8"/>
              <w:ind w:left="115"/>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28B15C25" w14:textId="77777777" w:rsidR="008715BE" w:rsidRPr="00C96230" w:rsidRDefault="00000000">
            <w:pPr>
              <w:pStyle w:val="TableParagraph"/>
              <w:spacing w:before="193"/>
              <w:ind w:left="115" w:right="87"/>
              <w:jc w:val="both"/>
              <w:rPr>
                <w:rFonts w:ascii="Verdana" w:hAnsi="Verdana"/>
                <w:sz w:val="18"/>
                <w:szCs w:val="18"/>
              </w:rPr>
            </w:pPr>
            <w:r w:rsidRPr="00C96230">
              <w:rPr>
                <w:rFonts w:ascii="Verdana" w:hAnsi="Verdana"/>
                <w:sz w:val="18"/>
                <w:szCs w:val="18"/>
              </w:rPr>
              <w:t>Areas temporarily occupied by the project outside the boundaries of protected areas where the presence of the species has been reported:</w:t>
            </w:r>
          </w:p>
        </w:tc>
        <w:tc>
          <w:tcPr>
            <w:tcW w:w="1890" w:type="dxa"/>
            <w:tcBorders>
              <w:bottom w:val="nil"/>
            </w:tcBorders>
          </w:tcPr>
          <w:p w14:paraId="3728C8F7" w14:textId="77777777" w:rsidR="008715BE" w:rsidRPr="00C96230" w:rsidRDefault="00000000">
            <w:pPr>
              <w:pStyle w:val="TableParagraph"/>
              <w:tabs>
                <w:tab w:val="left" w:pos="1545"/>
              </w:tabs>
              <w:spacing w:before="8"/>
              <w:ind w:left="116" w:right="86"/>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4EC700E2" w14:textId="77777777">
        <w:trPr>
          <w:trHeight w:val="1064"/>
        </w:trPr>
        <w:tc>
          <w:tcPr>
            <w:tcW w:w="523" w:type="dxa"/>
            <w:vMerge/>
            <w:tcBorders>
              <w:top w:val="nil"/>
            </w:tcBorders>
            <w:textDirection w:val="btLr"/>
          </w:tcPr>
          <w:p w14:paraId="03931C8C" w14:textId="77777777" w:rsidR="008715BE" w:rsidRPr="00C96230" w:rsidRDefault="008715BE">
            <w:pPr>
              <w:rPr>
                <w:rFonts w:ascii="Verdana" w:hAnsi="Verdana"/>
                <w:sz w:val="18"/>
                <w:szCs w:val="18"/>
              </w:rPr>
            </w:pPr>
          </w:p>
        </w:tc>
        <w:tc>
          <w:tcPr>
            <w:tcW w:w="2323" w:type="dxa"/>
            <w:tcBorders>
              <w:top w:val="nil"/>
            </w:tcBorders>
          </w:tcPr>
          <w:p w14:paraId="3DBACB80" w14:textId="77777777" w:rsidR="008715BE" w:rsidRPr="00C96230" w:rsidRDefault="008715BE">
            <w:pPr>
              <w:pStyle w:val="TableParagraph"/>
              <w:rPr>
                <w:rFonts w:ascii="Verdana" w:hAnsi="Verdana"/>
                <w:sz w:val="18"/>
                <w:szCs w:val="18"/>
              </w:rPr>
            </w:pPr>
          </w:p>
        </w:tc>
        <w:tc>
          <w:tcPr>
            <w:tcW w:w="3149" w:type="dxa"/>
            <w:vMerge/>
            <w:tcBorders>
              <w:top w:val="nil"/>
            </w:tcBorders>
          </w:tcPr>
          <w:p w14:paraId="421DC085" w14:textId="77777777" w:rsidR="008715BE" w:rsidRPr="00C96230" w:rsidRDefault="008715BE">
            <w:pPr>
              <w:rPr>
                <w:rFonts w:ascii="Verdana" w:hAnsi="Verdana"/>
                <w:sz w:val="18"/>
                <w:szCs w:val="18"/>
              </w:rPr>
            </w:pPr>
          </w:p>
        </w:tc>
        <w:tc>
          <w:tcPr>
            <w:tcW w:w="1106" w:type="dxa"/>
            <w:tcBorders>
              <w:top w:val="nil"/>
            </w:tcBorders>
          </w:tcPr>
          <w:p w14:paraId="0A6F920D" w14:textId="77777777" w:rsidR="008715BE" w:rsidRPr="00C96230" w:rsidRDefault="008715BE">
            <w:pPr>
              <w:pStyle w:val="TableParagraph"/>
              <w:rPr>
                <w:rFonts w:ascii="Verdana" w:hAnsi="Verdana"/>
                <w:sz w:val="18"/>
                <w:szCs w:val="18"/>
              </w:rPr>
            </w:pPr>
          </w:p>
        </w:tc>
        <w:tc>
          <w:tcPr>
            <w:tcW w:w="1108" w:type="dxa"/>
            <w:tcBorders>
              <w:top w:val="nil"/>
            </w:tcBorders>
          </w:tcPr>
          <w:p w14:paraId="7542A721" w14:textId="77777777" w:rsidR="008715BE" w:rsidRPr="00C96230" w:rsidRDefault="008715BE">
            <w:pPr>
              <w:pStyle w:val="TableParagraph"/>
              <w:rPr>
                <w:rFonts w:ascii="Verdana" w:hAnsi="Verdana"/>
                <w:sz w:val="18"/>
                <w:szCs w:val="18"/>
              </w:rPr>
            </w:pPr>
          </w:p>
        </w:tc>
        <w:tc>
          <w:tcPr>
            <w:tcW w:w="1211" w:type="dxa"/>
            <w:tcBorders>
              <w:top w:val="nil"/>
            </w:tcBorders>
          </w:tcPr>
          <w:p w14:paraId="191295DA" w14:textId="77777777" w:rsidR="008715BE" w:rsidRPr="00C96230" w:rsidRDefault="008715BE">
            <w:pPr>
              <w:pStyle w:val="TableParagraph"/>
              <w:rPr>
                <w:rFonts w:ascii="Verdana" w:hAnsi="Verdana"/>
                <w:sz w:val="18"/>
                <w:szCs w:val="18"/>
              </w:rPr>
            </w:pPr>
          </w:p>
        </w:tc>
        <w:tc>
          <w:tcPr>
            <w:tcW w:w="1389" w:type="dxa"/>
            <w:vMerge/>
            <w:tcBorders>
              <w:top w:val="nil"/>
            </w:tcBorders>
          </w:tcPr>
          <w:p w14:paraId="790B7F38" w14:textId="77777777" w:rsidR="008715BE" w:rsidRPr="00C96230" w:rsidRDefault="008715BE">
            <w:pPr>
              <w:rPr>
                <w:rFonts w:ascii="Verdana" w:hAnsi="Verdana"/>
                <w:sz w:val="18"/>
                <w:szCs w:val="18"/>
              </w:rPr>
            </w:pPr>
          </w:p>
        </w:tc>
        <w:tc>
          <w:tcPr>
            <w:tcW w:w="793" w:type="dxa"/>
            <w:tcBorders>
              <w:top w:val="nil"/>
              <w:right w:val="nil"/>
            </w:tcBorders>
          </w:tcPr>
          <w:p w14:paraId="491C7BEF" w14:textId="77777777" w:rsidR="008715BE" w:rsidRPr="00C96230" w:rsidRDefault="008715BE">
            <w:pPr>
              <w:pStyle w:val="TableParagraph"/>
              <w:rPr>
                <w:rFonts w:ascii="Verdana" w:hAnsi="Verdana"/>
                <w:sz w:val="18"/>
                <w:szCs w:val="18"/>
              </w:rPr>
            </w:pPr>
          </w:p>
        </w:tc>
        <w:tc>
          <w:tcPr>
            <w:tcW w:w="408" w:type="dxa"/>
            <w:tcBorders>
              <w:top w:val="nil"/>
              <w:left w:val="nil"/>
            </w:tcBorders>
          </w:tcPr>
          <w:p w14:paraId="64CB4B93" w14:textId="77777777" w:rsidR="008715BE" w:rsidRPr="00C96230" w:rsidRDefault="008715BE">
            <w:pPr>
              <w:pStyle w:val="TableParagraph"/>
              <w:rPr>
                <w:rFonts w:ascii="Verdana" w:hAnsi="Verdana"/>
                <w:sz w:val="18"/>
                <w:szCs w:val="18"/>
              </w:rPr>
            </w:pPr>
          </w:p>
        </w:tc>
        <w:tc>
          <w:tcPr>
            <w:tcW w:w="1737" w:type="dxa"/>
            <w:vMerge/>
            <w:tcBorders>
              <w:top w:val="nil"/>
            </w:tcBorders>
          </w:tcPr>
          <w:p w14:paraId="661F38BE" w14:textId="77777777" w:rsidR="008715BE" w:rsidRPr="00C96230" w:rsidRDefault="008715BE">
            <w:pPr>
              <w:rPr>
                <w:rFonts w:ascii="Verdana" w:hAnsi="Verdana"/>
                <w:sz w:val="18"/>
                <w:szCs w:val="18"/>
              </w:rPr>
            </w:pPr>
          </w:p>
        </w:tc>
        <w:tc>
          <w:tcPr>
            <w:tcW w:w="1898" w:type="dxa"/>
            <w:tcBorders>
              <w:top w:val="nil"/>
            </w:tcBorders>
          </w:tcPr>
          <w:p w14:paraId="56D0B1E8" w14:textId="77777777" w:rsidR="008715BE" w:rsidRPr="00C96230" w:rsidRDefault="008715BE">
            <w:pPr>
              <w:pStyle w:val="TableParagraph"/>
              <w:rPr>
                <w:rFonts w:ascii="Verdana" w:hAnsi="Verdana"/>
                <w:sz w:val="18"/>
                <w:szCs w:val="18"/>
              </w:rPr>
            </w:pPr>
          </w:p>
        </w:tc>
        <w:tc>
          <w:tcPr>
            <w:tcW w:w="3861" w:type="dxa"/>
            <w:tcBorders>
              <w:top w:val="nil"/>
            </w:tcBorders>
          </w:tcPr>
          <w:p w14:paraId="1F45E5CD" w14:textId="77777777" w:rsidR="008715BE" w:rsidRPr="00C96230" w:rsidRDefault="00000000">
            <w:pPr>
              <w:pStyle w:val="TableParagraph"/>
              <w:spacing w:before="101"/>
              <w:ind w:left="115" w:right="88"/>
              <w:jc w:val="both"/>
              <w:rPr>
                <w:rFonts w:ascii="Verdana" w:hAnsi="Verdana"/>
                <w:sz w:val="18"/>
                <w:szCs w:val="18"/>
              </w:rPr>
            </w:pPr>
            <w:r w:rsidRPr="00C96230">
              <w:rPr>
                <w:rFonts w:ascii="Verdana" w:hAnsi="Verdana"/>
                <w:sz w:val="18"/>
                <w:szCs w:val="18"/>
              </w:rPr>
              <w:t>0.9 ha temporarily occupied by the construction site + area temporarily occupied by trenches for cable installation</w:t>
            </w:r>
          </w:p>
          <w:p w14:paraId="578DBF1D" w14:textId="77777777" w:rsidR="008715BE" w:rsidRPr="00C96230" w:rsidRDefault="00000000">
            <w:pPr>
              <w:pStyle w:val="TableParagraph"/>
              <w:spacing w:line="192" w:lineRule="exact"/>
              <w:ind w:left="115"/>
              <w:jc w:val="both"/>
              <w:rPr>
                <w:rFonts w:ascii="Verdana" w:hAnsi="Verdana"/>
                <w:sz w:val="18"/>
                <w:szCs w:val="18"/>
              </w:rPr>
            </w:pPr>
            <w:r w:rsidRPr="00C96230">
              <w:rPr>
                <w:rFonts w:ascii="Verdana" w:hAnsi="Verdana"/>
                <w:sz w:val="18"/>
                <w:szCs w:val="18"/>
              </w:rPr>
              <w:t xml:space="preserve">309.24 ha </w:t>
            </w:r>
            <w:r w:rsidRPr="00C96230">
              <w:rPr>
                <w:rFonts w:ascii="Verdana" w:hAnsi="Verdana"/>
                <w:spacing w:val="-5"/>
                <w:sz w:val="18"/>
                <w:szCs w:val="18"/>
              </w:rPr>
              <w:t xml:space="preserve">of </w:t>
            </w:r>
            <w:r w:rsidRPr="00C96230">
              <w:rPr>
                <w:rFonts w:ascii="Verdana" w:hAnsi="Verdana"/>
                <w:sz w:val="18"/>
                <w:szCs w:val="18"/>
              </w:rPr>
              <w:t xml:space="preserve">areas permanently occupied </w:t>
            </w:r>
            <w:r w:rsidRPr="00C96230">
              <w:rPr>
                <w:rFonts w:ascii="Verdana" w:hAnsi="Verdana"/>
                <w:spacing w:val="-5"/>
                <w:sz w:val="18"/>
                <w:szCs w:val="18"/>
              </w:rPr>
              <w:t>by</w:t>
            </w:r>
          </w:p>
          <w:p w14:paraId="73E9ACF9" w14:textId="77777777" w:rsidR="008715BE" w:rsidRPr="00C96230" w:rsidRDefault="00000000">
            <w:pPr>
              <w:pStyle w:val="TableParagraph"/>
              <w:spacing w:line="165" w:lineRule="exact"/>
              <w:ind w:left="115"/>
              <w:jc w:val="both"/>
              <w:rPr>
                <w:rFonts w:ascii="Verdana" w:hAnsi="Verdana"/>
                <w:sz w:val="18"/>
                <w:szCs w:val="18"/>
              </w:rPr>
            </w:pPr>
            <w:r w:rsidRPr="00C96230">
              <w:rPr>
                <w:rFonts w:ascii="Verdana" w:hAnsi="Verdana"/>
                <w:sz w:val="18"/>
                <w:szCs w:val="18"/>
              </w:rPr>
              <w:t xml:space="preserve">the construction elements of the </w:t>
            </w:r>
            <w:r w:rsidRPr="00C96230">
              <w:rPr>
                <w:rFonts w:ascii="Verdana" w:hAnsi="Verdana"/>
                <w:spacing w:val="-2"/>
                <w:sz w:val="18"/>
                <w:szCs w:val="18"/>
              </w:rPr>
              <w:t xml:space="preserve">energy </w:t>
            </w:r>
            <w:r w:rsidRPr="00C96230">
              <w:rPr>
                <w:rFonts w:ascii="Verdana" w:hAnsi="Verdana"/>
                <w:sz w:val="18"/>
                <w:szCs w:val="18"/>
              </w:rPr>
              <w:t>park</w:t>
            </w:r>
          </w:p>
        </w:tc>
        <w:tc>
          <w:tcPr>
            <w:tcW w:w="1890" w:type="dxa"/>
            <w:tcBorders>
              <w:top w:val="nil"/>
            </w:tcBorders>
          </w:tcPr>
          <w:p w14:paraId="669DCCCF" w14:textId="77777777" w:rsidR="008715BE" w:rsidRPr="00C96230" w:rsidRDefault="008715BE">
            <w:pPr>
              <w:pStyle w:val="TableParagraph"/>
              <w:rPr>
                <w:rFonts w:ascii="Verdana" w:hAnsi="Verdana"/>
                <w:sz w:val="18"/>
                <w:szCs w:val="18"/>
              </w:rPr>
            </w:pPr>
          </w:p>
        </w:tc>
      </w:tr>
      <w:tr w:rsidR="008715BE" w:rsidRPr="00C96230" w14:paraId="1E2AC556" w14:textId="77777777">
        <w:trPr>
          <w:trHeight w:val="1752"/>
        </w:trPr>
        <w:tc>
          <w:tcPr>
            <w:tcW w:w="523" w:type="dxa"/>
            <w:vMerge/>
            <w:tcBorders>
              <w:top w:val="nil"/>
            </w:tcBorders>
            <w:textDirection w:val="btLr"/>
          </w:tcPr>
          <w:p w14:paraId="4379B638" w14:textId="77777777" w:rsidR="008715BE" w:rsidRPr="00C96230" w:rsidRDefault="008715BE">
            <w:pPr>
              <w:rPr>
                <w:rFonts w:ascii="Verdana" w:hAnsi="Verdana"/>
                <w:sz w:val="18"/>
                <w:szCs w:val="18"/>
              </w:rPr>
            </w:pPr>
          </w:p>
        </w:tc>
        <w:tc>
          <w:tcPr>
            <w:tcW w:w="2323" w:type="dxa"/>
          </w:tcPr>
          <w:p w14:paraId="2F504D33" w14:textId="77777777" w:rsidR="008715BE" w:rsidRPr="00C96230" w:rsidRDefault="00000000">
            <w:pPr>
              <w:pStyle w:val="TableParagraph"/>
              <w:tabs>
                <w:tab w:val="left" w:pos="1708"/>
              </w:tabs>
              <w:spacing w:before="10"/>
              <w:ind w:left="105" w:right="96"/>
              <w:jc w:val="both"/>
              <w:rPr>
                <w:rFonts w:ascii="Verdana" w:hAnsi="Verdana"/>
                <w:sz w:val="18"/>
                <w:szCs w:val="18"/>
              </w:rPr>
            </w:pPr>
            <w:r w:rsidRPr="00C96230">
              <w:rPr>
                <w:rFonts w:ascii="Verdana" w:hAnsi="Verdana"/>
                <w:spacing w:val="-2"/>
                <w:sz w:val="18"/>
                <w:szCs w:val="18"/>
              </w:rPr>
              <w:t>Construction</w:t>
            </w:r>
            <w:r w:rsidRPr="00C96230">
              <w:rPr>
                <w:rFonts w:ascii="Verdana" w:hAnsi="Verdana"/>
                <w:sz w:val="18"/>
                <w:szCs w:val="18"/>
              </w:rPr>
              <w:tab/>
            </w:r>
            <w:r w:rsidRPr="00C96230">
              <w:rPr>
                <w:rFonts w:ascii="Verdana" w:hAnsi="Verdana"/>
                <w:spacing w:val="-2"/>
                <w:sz w:val="18"/>
                <w:szCs w:val="18"/>
              </w:rPr>
              <w:t xml:space="preserve">of the </w:t>
            </w:r>
            <w:r w:rsidRPr="00C96230">
              <w:rPr>
                <w:rFonts w:ascii="Verdana" w:hAnsi="Verdana"/>
                <w:sz w:val="18"/>
                <w:szCs w:val="18"/>
              </w:rPr>
              <w:t>electrical</w:t>
            </w:r>
            <w:r w:rsidRPr="00C96230">
              <w:rPr>
                <w:rFonts w:ascii="Verdana" w:hAnsi="Verdana"/>
                <w:spacing w:val="-2"/>
                <w:sz w:val="18"/>
                <w:szCs w:val="18"/>
              </w:rPr>
              <w:t xml:space="preserve"> network </w:t>
            </w:r>
            <w:r w:rsidRPr="00C96230">
              <w:rPr>
                <w:rFonts w:ascii="Verdana" w:hAnsi="Verdana"/>
                <w:sz w:val="18"/>
                <w:szCs w:val="18"/>
              </w:rPr>
              <w:t xml:space="preserve">for discharging the energy produced by </w:t>
            </w:r>
            <w:r w:rsidRPr="00C96230">
              <w:rPr>
                <w:rFonts w:ascii="Verdana" w:hAnsi="Verdana"/>
                <w:spacing w:val="-2"/>
                <w:sz w:val="18"/>
                <w:szCs w:val="18"/>
              </w:rPr>
              <w:t>the</w:t>
            </w:r>
          </w:p>
          <w:p w14:paraId="36AE629D" w14:textId="77777777" w:rsidR="008715BE" w:rsidRPr="00C96230" w:rsidRDefault="00000000">
            <w:pPr>
              <w:pStyle w:val="TableParagraph"/>
              <w:ind w:left="105" w:right="96" w:firstLine="57"/>
              <w:jc w:val="both"/>
              <w:rPr>
                <w:rFonts w:ascii="Verdana" w:hAnsi="Verdana"/>
                <w:sz w:val="18"/>
                <w:szCs w:val="18"/>
              </w:rPr>
            </w:pPr>
            <w:r w:rsidRPr="00C96230">
              <w:rPr>
                <w:rFonts w:ascii="Verdana" w:hAnsi="Verdana"/>
                <w:sz w:val="18"/>
                <w:szCs w:val="18"/>
              </w:rPr>
              <w:t>to the transformer station and the telecommunications network (fiber optics),</w:t>
            </w:r>
            <w:r w:rsidRPr="00C96230">
              <w:rPr>
                <w:rFonts w:ascii="Verdana" w:hAnsi="Verdana"/>
                <w:spacing w:val="72"/>
                <w:sz w:val="18"/>
                <w:szCs w:val="18"/>
              </w:rPr>
              <w:t xml:space="preserve">  </w:t>
            </w:r>
            <w:r w:rsidRPr="00C96230">
              <w:rPr>
                <w:rFonts w:ascii="Verdana" w:hAnsi="Verdana"/>
                <w:sz w:val="18"/>
                <w:szCs w:val="18"/>
              </w:rPr>
              <w:t xml:space="preserve"> </w:t>
            </w:r>
            <w:r w:rsidRPr="00C96230">
              <w:rPr>
                <w:rFonts w:ascii="Verdana" w:hAnsi="Verdana"/>
                <w:spacing w:val="-5"/>
                <w:sz w:val="18"/>
                <w:szCs w:val="18"/>
              </w:rPr>
              <w:t xml:space="preserve">transformer </w:t>
            </w:r>
            <w:r w:rsidRPr="00C96230">
              <w:rPr>
                <w:rFonts w:ascii="Verdana" w:hAnsi="Verdana"/>
                <w:sz w:val="18"/>
                <w:szCs w:val="18"/>
              </w:rPr>
              <w:t>stations</w:t>
            </w:r>
          </w:p>
          <w:p w14:paraId="5B09E6A4" w14:textId="77777777" w:rsidR="008715BE" w:rsidRPr="00C96230" w:rsidRDefault="00000000">
            <w:pPr>
              <w:pStyle w:val="TableParagraph"/>
              <w:spacing w:line="162" w:lineRule="exact"/>
              <w:ind w:left="105"/>
              <w:rPr>
                <w:rFonts w:ascii="Verdana" w:hAnsi="Verdana"/>
                <w:sz w:val="18"/>
                <w:szCs w:val="18"/>
              </w:rPr>
            </w:pPr>
            <w:r w:rsidRPr="00C96230">
              <w:rPr>
                <w:rFonts w:ascii="Verdana" w:hAnsi="Verdana"/>
                <w:spacing w:val="-2"/>
                <w:sz w:val="18"/>
                <w:szCs w:val="18"/>
              </w:rPr>
              <w:t>Transformers</w:t>
            </w:r>
          </w:p>
        </w:tc>
        <w:tc>
          <w:tcPr>
            <w:tcW w:w="3149" w:type="dxa"/>
          </w:tcPr>
          <w:p w14:paraId="25E217F7" w14:textId="77777777" w:rsidR="008715BE" w:rsidRPr="00C96230" w:rsidRDefault="00000000">
            <w:pPr>
              <w:pStyle w:val="TableParagraph"/>
              <w:spacing w:before="10"/>
              <w:ind w:left="108" w:right="93"/>
              <w:jc w:val="both"/>
              <w:rPr>
                <w:rFonts w:ascii="Verdana" w:hAnsi="Verdana"/>
                <w:sz w:val="18"/>
                <w:szCs w:val="18"/>
              </w:rPr>
            </w:pPr>
            <w:r w:rsidRPr="00C96230">
              <w:rPr>
                <w:rFonts w:ascii="Verdana" w:hAnsi="Verdana"/>
                <w:sz w:val="18"/>
                <w:szCs w:val="18"/>
              </w:rPr>
              <w:t>Accidental spills of petroleum products from equipment—penetration of pollutants into the soil</w:t>
            </w:r>
          </w:p>
        </w:tc>
        <w:tc>
          <w:tcPr>
            <w:tcW w:w="1106" w:type="dxa"/>
          </w:tcPr>
          <w:p w14:paraId="6DBE3844"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AH</w:t>
            </w:r>
          </w:p>
        </w:tc>
        <w:tc>
          <w:tcPr>
            <w:tcW w:w="1108" w:type="dxa"/>
          </w:tcPr>
          <w:p w14:paraId="35818B3B"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45C71A18"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0240E563"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793" w:type="dxa"/>
            <w:tcBorders>
              <w:right w:val="nil"/>
            </w:tcBorders>
          </w:tcPr>
          <w:p w14:paraId="0EACB234" w14:textId="77777777" w:rsidR="008715BE" w:rsidRPr="00C96230" w:rsidRDefault="00000000">
            <w:pPr>
              <w:pStyle w:val="TableParagraph"/>
              <w:spacing w:before="10"/>
              <w:ind w:left="109"/>
              <w:rPr>
                <w:rFonts w:ascii="Verdana" w:hAnsi="Verdana"/>
                <w:sz w:val="18"/>
                <w:szCs w:val="18"/>
              </w:rPr>
            </w:pPr>
            <w:r w:rsidRPr="00C96230">
              <w:rPr>
                <w:rFonts w:ascii="Verdana" w:hAnsi="Verdana"/>
                <w:spacing w:val="-2"/>
                <w:sz w:val="18"/>
                <w:szCs w:val="18"/>
              </w:rPr>
              <w:t>Direct impact Short term</w:t>
            </w:r>
          </w:p>
        </w:tc>
        <w:tc>
          <w:tcPr>
            <w:tcW w:w="408" w:type="dxa"/>
            <w:tcBorders>
              <w:left w:val="nil"/>
            </w:tcBorders>
          </w:tcPr>
          <w:p w14:paraId="123D20F4" w14:textId="77777777" w:rsidR="008715BE" w:rsidRPr="00C96230" w:rsidRDefault="008715BE">
            <w:pPr>
              <w:pStyle w:val="TableParagraph"/>
              <w:spacing w:before="9"/>
              <w:rPr>
                <w:rFonts w:ascii="Verdana" w:hAnsi="Verdana"/>
                <w:b/>
                <w:sz w:val="18"/>
                <w:szCs w:val="18"/>
              </w:rPr>
            </w:pPr>
          </w:p>
          <w:p w14:paraId="4E25F3A0"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tcPr>
          <w:p w14:paraId="210029CD" w14:textId="77777777" w:rsidR="008715BE" w:rsidRPr="00C96230" w:rsidRDefault="00000000">
            <w:pPr>
              <w:pStyle w:val="TableParagraph"/>
              <w:spacing w:before="10"/>
              <w:ind w:left="111" w:right="90"/>
              <w:jc w:val="both"/>
              <w:rPr>
                <w:rFonts w:ascii="Verdana" w:hAnsi="Verdana"/>
                <w:sz w:val="18"/>
                <w:szCs w:val="18"/>
              </w:rPr>
            </w:pPr>
            <w:r w:rsidRPr="00C96230">
              <w:rPr>
                <w:rFonts w:ascii="Verdana" w:hAnsi="Verdana"/>
                <w:sz w:val="18"/>
                <w:szCs w:val="18"/>
              </w:rPr>
              <w:t>Agricultural land outside the protected natural area</w:t>
            </w:r>
          </w:p>
        </w:tc>
        <w:tc>
          <w:tcPr>
            <w:tcW w:w="1898" w:type="dxa"/>
          </w:tcPr>
          <w:p w14:paraId="1E506DCC" w14:textId="77777777" w:rsidR="008715BE" w:rsidRPr="00C96230" w:rsidRDefault="00000000">
            <w:pPr>
              <w:pStyle w:val="TableParagraph"/>
              <w:spacing w:before="10" w:line="195" w:lineRule="exact"/>
              <w:ind w:left="114"/>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0E90FA29" w14:textId="77777777" w:rsidR="008715BE" w:rsidRPr="00C96230" w:rsidRDefault="00000000">
            <w:pPr>
              <w:pStyle w:val="TableParagraph"/>
              <w:spacing w:line="195" w:lineRule="exact"/>
              <w:ind w:left="114"/>
              <w:rPr>
                <w:rFonts w:ascii="Verdana" w:hAnsi="Verdana"/>
                <w:sz w:val="18"/>
                <w:szCs w:val="18"/>
              </w:rPr>
            </w:pPr>
            <w:r w:rsidRPr="00C96230">
              <w:rPr>
                <w:rFonts w:ascii="Verdana" w:hAnsi="Verdana"/>
                <w:spacing w:val="-2"/>
                <w:sz w:val="18"/>
                <w:szCs w:val="18"/>
              </w:rPr>
              <w:t>of the species</w:t>
            </w:r>
          </w:p>
        </w:tc>
        <w:tc>
          <w:tcPr>
            <w:tcW w:w="3861" w:type="dxa"/>
          </w:tcPr>
          <w:p w14:paraId="6AD9C292" w14:textId="77777777" w:rsidR="008715BE" w:rsidRPr="00C96230" w:rsidRDefault="00000000">
            <w:pPr>
              <w:pStyle w:val="TableParagraph"/>
              <w:spacing w:before="10"/>
              <w:ind w:left="115"/>
              <w:rPr>
                <w:rFonts w:ascii="Verdana" w:hAnsi="Verdana"/>
                <w:sz w:val="18"/>
                <w:szCs w:val="18"/>
              </w:rPr>
            </w:pPr>
            <w:r w:rsidRPr="00C96230">
              <w:rPr>
                <w:rFonts w:ascii="Verdana" w:hAnsi="Verdana"/>
                <w:sz w:val="18"/>
                <w:szCs w:val="18"/>
              </w:rPr>
              <w:t xml:space="preserve">0 ha of the </w:t>
            </w:r>
            <w:r w:rsidRPr="00C96230">
              <w:rPr>
                <w:rFonts w:ascii="Verdana" w:hAnsi="Verdana"/>
                <w:spacing w:val="-2"/>
                <w:sz w:val="18"/>
                <w:szCs w:val="18"/>
              </w:rPr>
              <w:t xml:space="preserve">protected </w:t>
            </w:r>
            <w:r w:rsidRPr="00C96230">
              <w:rPr>
                <w:rFonts w:ascii="Verdana" w:hAnsi="Verdana"/>
                <w:sz w:val="18"/>
                <w:szCs w:val="18"/>
              </w:rPr>
              <w:t>area</w:t>
            </w:r>
          </w:p>
          <w:p w14:paraId="3F0A4669" w14:textId="77777777" w:rsidR="008715BE" w:rsidRPr="00C96230" w:rsidRDefault="008715BE">
            <w:pPr>
              <w:pStyle w:val="TableParagraph"/>
              <w:spacing w:before="193"/>
              <w:rPr>
                <w:rFonts w:ascii="Verdana" w:hAnsi="Verdana"/>
                <w:b/>
                <w:sz w:val="18"/>
                <w:szCs w:val="18"/>
              </w:rPr>
            </w:pPr>
          </w:p>
          <w:p w14:paraId="083C0F3A" w14:textId="77777777" w:rsidR="008715BE" w:rsidRPr="00C96230" w:rsidRDefault="00000000">
            <w:pPr>
              <w:pStyle w:val="TableParagraph"/>
              <w:spacing w:before="1"/>
              <w:ind w:left="115"/>
              <w:rPr>
                <w:rFonts w:ascii="Verdana" w:hAnsi="Verdana"/>
                <w:sz w:val="18"/>
                <w:szCs w:val="18"/>
              </w:rPr>
            </w:pPr>
            <w:r w:rsidRPr="00C96230">
              <w:rPr>
                <w:rFonts w:ascii="Verdana" w:hAnsi="Verdana"/>
                <w:sz w:val="18"/>
                <w:szCs w:val="18"/>
              </w:rPr>
              <w:t>30-40 sq m in the working area, land outside the protected area (agricultural land).</w:t>
            </w:r>
          </w:p>
        </w:tc>
        <w:tc>
          <w:tcPr>
            <w:tcW w:w="1890" w:type="dxa"/>
          </w:tcPr>
          <w:p w14:paraId="0320D8D3" w14:textId="77777777" w:rsidR="008715BE" w:rsidRPr="00C96230" w:rsidRDefault="00000000">
            <w:pPr>
              <w:pStyle w:val="TableParagraph"/>
              <w:tabs>
                <w:tab w:val="left" w:pos="1545"/>
              </w:tabs>
              <w:spacing w:before="10"/>
              <w:ind w:left="116" w:right="86"/>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43DA9361" w14:textId="77777777">
        <w:trPr>
          <w:trHeight w:val="1165"/>
        </w:trPr>
        <w:tc>
          <w:tcPr>
            <w:tcW w:w="523" w:type="dxa"/>
            <w:vMerge/>
            <w:tcBorders>
              <w:top w:val="nil"/>
            </w:tcBorders>
            <w:textDirection w:val="btLr"/>
          </w:tcPr>
          <w:p w14:paraId="69E12DF0" w14:textId="77777777" w:rsidR="008715BE" w:rsidRPr="00C96230" w:rsidRDefault="008715BE">
            <w:pPr>
              <w:rPr>
                <w:rFonts w:ascii="Verdana" w:hAnsi="Verdana"/>
                <w:sz w:val="18"/>
                <w:szCs w:val="18"/>
              </w:rPr>
            </w:pPr>
          </w:p>
        </w:tc>
        <w:tc>
          <w:tcPr>
            <w:tcW w:w="2323" w:type="dxa"/>
          </w:tcPr>
          <w:p w14:paraId="7EAC3BC8"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Land rehabilitation works upon completion </w:t>
            </w:r>
            <w:r w:rsidRPr="00C96230">
              <w:rPr>
                <w:rFonts w:ascii="Verdana" w:hAnsi="Verdana"/>
                <w:spacing w:val="-2"/>
                <w:sz w:val="18"/>
                <w:szCs w:val="18"/>
              </w:rPr>
              <w:t>of construction</w:t>
            </w:r>
          </w:p>
        </w:tc>
        <w:tc>
          <w:tcPr>
            <w:tcW w:w="3149" w:type="dxa"/>
          </w:tcPr>
          <w:p w14:paraId="307E619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7B71BF87"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55CDA5AA"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4D593BE8"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35C0241"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793" w:type="dxa"/>
            <w:tcBorders>
              <w:right w:val="nil"/>
            </w:tcBorders>
          </w:tcPr>
          <w:p w14:paraId="2BCF62B0" w14:textId="77777777" w:rsidR="008715BE" w:rsidRPr="00C96230" w:rsidRDefault="00000000">
            <w:pPr>
              <w:pStyle w:val="TableParagraph"/>
              <w:spacing w:before="8"/>
              <w:ind w:left="109"/>
              <w:rPr>
                <w:rFonts w:ascii="Verdana" w:hAnsi="Verdana"/>
                <w:sz w:val="18"/>
                <w:szCs w:val="18"/>
              </w:rPr>
            </w:pPr>
            <w:r w:rsidRPr="00C96230">
              <w:rPr>
                <w:rFonts w:ascii="Verdana" w:hAnsi="Verdana"/>
                <w:spacing w:val="-2"/>
                <w:sz w:val="18"/>
                <w:szCs w:val="18"/>
              </w:rPr>
              <w:t xml:space="preserve">Direct impact </w:t>
            </w:r>
            <w:r w:rsidRPr="00C96230">
              <w:rPr>
                <w:rFonts w:ascii="Verdana" w:hAnsi="Verdana"/>
                <w:spacing w:val="-4"/>
                <w:sz w:val="18"/>
                <w:szCs w:val="18"/>
              </w:rPr>
              <w:t>Long</w:t>
            </w:r>
            <w:r w:rsidRPr="00C96230">
              <w:rPr>
                <w:rFonts w:ascii="Verdana" w:hAnsi="Verdana"/>
                <w:spacing w:val="-2"/>
                <w:sz w:val="18"/>
                <w:szCs w:val="18"/>
              </w:rPr>
              <w:t xml:space="preserve"> term</w:t>
            </w:r>
          </w:p>
        </w:tc>
        <w:tc>
          <w:tcPr>
            <w:tcW w:w="408" w:type="dxa"/>
            <w:tcBorders>
              <w:left w:val="nil"/>
            </w:tcBorders>
          </w:tcPr>
          <w:p w14:paraId="4E09C324" w14:textId="77777777" w:rsidR="008715BE" w:rsidRPr="00C96230" w:rsidRDefault="008715BE">
            <w:pPr>
              <w:pStyle w:val="TableParagraph"/>
              <w:spacing w:before="7"/>
              <w:rPr>
                <w:rFonts w:ascii="Verdana" w:hAnsi="Verdana"/>
                <w:b/>
                <w:sz w:val="18"/>
                <w:szCs w:val="18"/>
              </w:rPr>
            </w:pPr>
          </w:p>
          <w:p w14:paraId="679027AC" w14:textId="77777777" w:rsidR="008715BE" w:rsidRPr="00C96230" w:rsidRDefault="00000000">
            <w:pPr>
              <w:pStyle w:val="TableParagraph"/>
              <w:ind w:left="22"/>
              <w:jc w:val="center"/>
              <w:rPr>
                <w:rFonts w:ascii="Verdana" w:hAnsi="Verdana"/>
                <w:sz w:val="18"/>
                <w:szCs w:val="18"/>
              </w:rPr>
            </w:pPr>
            <w:r w:rsidRPr="00C96230">
              <w:rPr>
                <w:rFonts w:ascii="Verdana" w:hAnsi="Verdana"/>
                <w:spacing w:val="-5"/>
                <w:sz w:val="18"/>
                <w:szCs w:val="18"/>
              </w:rPr>
              <w:t>on</w:t>
            </w:r>
          </w:p>
        </w:tc>
        <w:tc>
          <w:tcPr>
            <w:tcW w:w="1737" w:type="dxa"/>
          </w:tcPr>
          <w:p w14:paraId="204EEB65" w14:textId="77777777" w:rsidR="008715BE" w:rsidRPr="00C96230" w:rsidRDefault="00000000">
            <w:pPr>
              <w:pStyle w:val="TableParagraph"/>
              <w:spacing w:before="8"/>
              <w:ind w:left="111" w:right="90"/>
              <w:jc w:val="both"/>
              <w:rPr>
                <w:rFonts w:ascii="Verdana" w:hAnsi="Verdana"/>
                <w:sz w:val="18"/>
                <w:szCs w:val="18"/>
              </w:rPr>
            </w:pPr>
            <w:r w:rsidRPr="00C96230">
              <w:rPr>
                <w:rFonts w:ascii="Verdana" w:hAnsi="Verdana"/>
                <w:sz w:val="18"/>
                <w:szCs w:val="18"/>
              </w:rPr>
              <w:t>Agricultural land outside the protected natural area</w:t>
            </w:r>
          </w:p>
        </w:tc>
        <w:tc>
          <w:tcPr>
            <w:tcW w:w="1898" w:type="dxa"/>
          </w:tcPr>
          <w:p w14:paraId="0EA9497A" w14:textId="77777777" w:rsidR="008715BE" w:rsidRPr="00C96230" w:rsidRDefault="00000000">
            <w:pPr>
              <w:pStyle w:val="TableParagraph"/>
              <w:spacing w:before="8" w:line="195" w:lineRule="exact"/>
              <w:ind w:left="114"/>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0F748140" w14:textId="77777777" w:rsidR="008715BE" w:rsidRPr="00C96230" w:rsidRDefault="00000000">
            <w:pPr>
              <w:pStyle w:val="TableParagraph"/>
              <w:spacing w:line="195" w:lineRule="exact"/>
              <w:ind w:left="114"/>
              <w:rPr>
                <w:rFonts w:ascii="Verdana" w:hAnsi="Verdana"/>
                <w:sz w:val="18"/>
                <w:szCs w:val="18"/>
              </w:rPr>
            </w:pPr>
            <w:r w:rsidRPr="00C96230">
              <w:rPr>
                <w:rFonts w:ascii="Verdana" w:hAnsi="Verdana"/>
                <w:spacing w:val="-2"/>
                <w:sz w:val="18"/>
                <w:szCs w:val="18"/>
              </w:rPr>
              <w:t>of the species</w:t>
            </w:r>
          </w:p>
        </w:tc>
        <w:tc>
          <w:tcPr>
            <w:tcW w:w="3861" w:type="dxa"/>
          </w:tcPr>
          <w:p w14:paraId="038F2302"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253EC464" w14:textId="77777777" w:rsidR="008715BE" w:rsidRPr="00C96230" w:rsidRDefault="00000000">
            <w:pPr>
              <w:pStyle w:val="TableParagraph"/>
              <w:ind w:left="115"/>
              <w:rPr>
                <w:rFonts w:ascii="Verdana" w:hAnsi="Verdana"/>
                <w:sz w:val="18"/>
                <w:szCs w:val="18"/>
              </w:rPr>
            </w:pPr>
            <w:r w:rsidRPr="00C96230">
              <w:rPr>
                <w:rFonts w:ascii="Verdana" w:hAnsi="Verdana"/>
                <w:sz w:val="18"/>
                <w:szCs w:val="18"/>
              </w:rPr>
              <w:t xml:space="preserve">Maximum 500 m from the working front boundary. The distance over which the effects are felt is between 5 m (in the case of rhizomes/root fragments) and 200-500 m (in the case </w:t>
            </w:r>
            <w:r w:rsidRPr="00C96230">
              <w:rPr>
                <w:rFonts w:ascii="Verdana" w:hAnsi="Verdana"/>
                <w:spacing w:val="-2"/>
                <w:sz w:val="18"/>
                <w:szCs w:val="18"/>
              </w:rPr>
              <w:t>of seeds).</w:t>
            </w:r>
          </w:p>
          <w:p w14:paraId="740100CC" w14:textId="77777777" w:rsidR="008715BE" w:rsidRPr="00C96230" w:rsidRDefault="00000000">
            <w:pPr>
              <w:pStyle w:val="TableParagraph"/>
              <w:spacing w:line="162" w:lineRule="exact"/>
              <w:ind w:left="115"/>
              <w:rPr>
                <w:rFonts w:ascii="Verdana" w:hAnsi="Verdana"/>
                <w:sz w:val="18"/>
                <w:szCs w:val="18"/>
              </w:rPr>
            </w:pPr>
            <w:r w:rsidRPr="00C96230">
              <w:rPr>
                <w:rFonts w:ascii="Verdana" w:hAnsi="Verdana"/>
                <w:sz w:val="18"/>
                <w:szCs w:val="18"/>
              </w:rPr>
              <w:t>the habitat</w:t>
            </w:r>
            <w:r w:rsidRPr="00C96230">
              <w:rPr>
                <w:rFonts w:ascii="Verdana" w:hAnsi="Verdana"/>
                <w:spacing w:val="58"/>
                <w:sz w:val="18"/>
                <w:szCs w:val="18"/>
              </w:rPr>
              <w:t xml:space="preserve">  </w:t>
            </w:r>
            <w:r w:rsidRPr="00C96230">
              <w:rPr>
                <w:rFonts w:ascii="Verdana" w:hAnsi="Verdana"/>
                <w:sz w:val="18"/>
                <w:szCs w:val="18"/>
              </w:rPr>
              <w:t xml:space="preserve"> is located at</w:t>
            </w:r>
            <w:r w:rsidRPr="00C96230">
              <w:rPr>
                <w:rFonts w:ascii="Verdana" w:hAnsi="Verdana"/>
                <w:spacing w:val="56"/>
                <w:sz w:val="18"/>
                <w:szCs w:val="18"/>
              </w:rPr>
              <w:t xml:space="preserve">  </w:t>
            </w:r>
            <w:r w:rsidRPr="00C96230">
              <w:rPr>
                <w:rFonts w:ascii="Verdana" w:hAnsi="Verdana"/>
                <w:sz w:val="18"/>
                <w:szCs w:val="18"/>
              </w:rPr>
              <w:t xml:space="preserve"> 200-700 m from </w:t>
            </w:r>
            <w:r w:rsidRPr="00C96230">
              <w:rPr>
                <w:rFonts w:ascii="Verdana" w:hAnsi="Verdana"/>
                <w:spacing w:val="-2"/>
                <w:sz w:val="18"/>
                <w:szCs w:val="18"/>
              </w:rPr>
              <w:t>the area</w:t>
            </w:r>
          </w:p>
        </w:tc>
        <w:tc>
          <w:tcPr>
            <w:tcW w:w="1890" w:type="dxa"/>
          </w:tcPr>
          <w:p w14:paraId="65889575" w14:textId="77777777" w:rsidR="008715BE" w:rsidRPr="00C96230" w:rsidRDefault="00000000">
            <w:pPr>
              <w:pStyle w:val="TableParagraph"/>
              <w:tabs>
                <w:tab w:val="left" w:pos="1545"/>
              </w:tabs>
              <w:spacing w:before="8"/>
              <w:ind w:left="116" w:right="86"/>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the results of the field inventories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bl>
    <w:p w14:paraId="3354BCF7" w14:textId="77777777" w:rsidR="008715BE" w:rsidRPr="00C96230" w:rsidRDefault="008715BE">
      <w:pPr>
        <w:pStyle w:val="TableParagraph"/>
        <w:rPr>
          <w:rFonts w:ascii="Verdana" w:hAnsi="Verdana"/>
          <w:sz w:val="18"/>
          <w:szCs w:val="18"/>
        </w:rPr>
        <w:sectPr w:rsidR="008715BE" w:rsidRPr="00C96230">
          <w:headerReference w:type="default" r:id="rId194"/>
          <w:footerReference w:type="default" r:id="rId195"/>
          <w:pgSz w:w="23820" w:h="16840" w:orient="landscape"/>
          <w:pgMar w:top="1120" w:right="850" w:bottom="1000" w:left="566" w:header="766" w:footer="810" w:gutter="0"/>
          <w:cols w:space="708"/>
        </w:sectPr>
      </w:pPr>
    </w:p>
    <w:p w14:paraId="54E22992"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619"/>
        <w:gridCol w:w="971"/>
        <w:gridCol w:w="1736"/>
        <w:gridCol w:w="1897"/>
        <w:gridCol w:w="3860"/>
        <w:gridCol w:w="1889"/>
      </w:tblGrid>
      <w:tr w:rsidR="008715BE" w:rsidRPr="00C96230" w14:paraId="440F4AD5" w14:textId="77777777" w:rsidTr="0053798D">
        <w:trPr>
          <w:trHeight w:val="842"/>
        </w:trPr>
        <w:tc>
          <w:tcPr>
            <w:tcW w:w="2846" w:type="dxa"/>
            <w:gridSpan w:val="2"/>
            <w:shd w:val="clear" w:color="auto" w:fill="00A1E8"/>
          </w:tcPr>
          <w:p w14:paraId="036197B7" w14:textId="77777777" w:rsidR="008715BE" w:rsidRPr="00C96230" w:rsidRDefault="008715BE">
            <w:pPr>
              <w:pStyle w:val="TableParagraph"/>
              <w:spacing w:before="136"/>
              <w:rPr>
                <w:rFonts w:ascii="Verdana" w:hAnsi="Verdana"/>
                <w:b/>
                <w:sz w:val="18"/>
                <w:szCs w:val="18"/>
              </w:rPr>
            </w:pPr>
          </w:p>
          <w:p w14:paraId="5205FA82"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4A681B74" w14:textId="77777777" w:rsidR="008715BE" w:rsidRPr="00C96230" w:rsidRDefault="008715BE">
            <w:pPr>
              <w:pStyle w:val="TableParagraph"/>
              <w:spacing w:before="136"/>
              <w:rPr>
                <w:rFonts w:ascii="Verdana" w:hAnsi="Verdana"/>
                <w:b/>
                <w:sz w:val="18"/>
                <w:szCs w:val="18"/>
              </w:rPr>
            </w:pPr>
          </w:p>
          <w:p w14:paraId="16F1FCE5"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5C7FA92B" w14:textId="77777777" w:rsidR="008715BE" w:rsidRPr="00C96230" w:rsidRDefault="008715BE">
            <w:pPr>
              <w:pStyle w:val="TableParagraph"/>
              <w:spacing w:before="40"/>
              <w:rPr>
                <w:rFonts w:ascii="Verdana" w:hAnsi="Verdana"/>
                <w:b/>
                <w:sz w:val="18"/>
                <w:szCs w:val="18"/>
              </w:rPr>
            </w:pPr>
          </w:p>
          <w:p w14:paraId="2889B781"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4651A462" w14:textId="77777777" w:rsidR="008715BE" w:rsidRPr="00C96230" w:rsidRDefault="008715BE">
            <w:pPr>
              <w:pStyle w:val="TableParagraph"/>
              <w:spacing w:before="40"/>
              <w:rPr>
                <w:rFonts w:ascii="Verdana" w:hAnsi="Verdana"/>
                <w:b/>
                <w:sz w:val="18"/>
                <w:szCs w:val="18"/>
              </w:rPr>
            </w:pPr>
          </w:p>
          <w:p w14:paraId="451C193F"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620150F7" w14:textId="77777777" w:rsidR="008715BE" w:rsidRPr="00C96230" w:rsidRDefault="008715BE">
            <w:pPr>
              <w:pStyle w:val="TableParagraph"/>
              <w:spacing w:before="40"/>
              <w:rPr>
                <w:rFonts w:ascii="Verdana" w:hAnsi="Verdana"/>
                <w:b/>
                <w:sz w:val="18"/>
                <w:szCs w:val="18"/>
              </w:rPr>
            </w:pPr>
          </w:p>
          <w:p w14:paraId="678BEDB8"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619" w:type="dxa"/>
            <w:shd w:val="clear" w:color="auto" w:fill="00A1E8"/>
          </w:tcPr>
          <w:p w14:paraId="7E2B8B73" w14:textId="77777777" w:rsidR="008715BE" w:rsidRPr="00C96230" w:rsidRDefault="008715BE">
            <w:pPr>
              <w:pStyle w:val="TableParagraph"/>
              <w:spacing w:before="40"/>
              <w:rPr>
                <w:rFonts w:ascii="Verdana" w:hAnsi="Verdana"/>
                <w:b/>
                <w:sz w:val="18"/>
                <w:szCs w:val="18"/>
              </w:rPr>
            </w:pPr>
          </w:p>
          <w:p w14:paraId="6791B249"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971" w:type="dxa"/>
            <w:shd w:val="clear" w:color="auto" w:fill="00A1E8"/>
          </w:tcPr>
          <w:p w14:paraId="5B718FEE"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2EAB8F81" w14:textId="77777777" w:rsidR="008715BE" w:rsidRPr="00C96230" w:rsidRDefault="008715BE">
            <w:pPr>
              <w:pStyle w:val="TableParagraph"/>
              <w:spacing w:before="136"/>
              <w:rPr>
                <w:rFonts w:ascii="Verdana" w:hAnsi="Verdana"/>
                <w:b/>
                <w:sz w:val="18"/>
                <w:szCs w:val="18"/>
              </w:rPr>
            </w:pPr>
          </w:p>
          <w:p w14:paraId="06AD0CE0"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37D3AC04" w14:textId="77777777" w:rsidR="008715BE" w:rsidRPr="00C96230" w:rsidRDefault="008715BE">
            <w:pPr>
              <w:pStyle w:val="TableParagraph"/>
              <w:spacing w:before="40"/>
              <w:rPr>
                <w:rFonts w:ascii="Verdana" w:hAnsi="Verdana"/>
                <w:b/>
                <w:sz w:val="18"/>
                <w:szCs w:val="18"/>
              </w:rPr>
            </w:pPr>
          </w:p>
          <w:p w14:paraId="4E7AE999"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pacing w:val="-10"/>
                <w:sz w:val="18"/>
                <w:szCs w:val="18"/>
              </w:rPr>
              <w:t>Target parameter/</w:t>
            </w:r>
          </w:p>
          <w:p w14:paraId="5C606BBF"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7A125E11" w14:textId="77777777" w:rsidR="008715BE" w:rsidRPr="00C96230" w:rsidRDefault="008715BE">
            <w:pPr>
              <w:pStyle w:val="TableParagraph"/>
              <w:spacing w:before="40"/>
              <w:rPr>
                <w:rFonts w:ascii="Verdana" w:hAnsi="Verdana"/>
                <w:b/>
                <w:sz w:val="18"/>
                <w:szCs w:val="18"/>
              </w:rPr>
            </w:pPr>
          </w:p>
          <w:p w14:paraId="2DAFB0A8"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4818E7E2" w14:textId="77777777" w:rsidR="008715BE" w:rsidRPr="00C96230" w:rsidRDefault="008715BE">
            <w:pPr>
              <w:pStyle w:val="TableParagraph"/>
              <w:spacing w:before="40"/>
              <w:rPr>
                <w:rFonts w:ascii="Verdana" w:hAnsi="Verdana"/>
                <w:b/>
                <w:sz w:val="18"/>
                <w:szCs w:val="18"/>
              </w:rPr>
            </w:pPr>
          </w:p>
          <w:p w14:paraId="7E84B48C"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2FFE0D33" w14:textId="77777777" w:rsidTr="0053798D">
        <w:trPr>
          <w:trHeight w:val="777"/>
        </w:trPr>
        <w:tc>
          <w:tcPr>
            <w:tcW w:w="523" w:type="dxa"/>
          </w:tcPr>
          <w:p w14:paraId="19B69D7B" w14:textId="77777777" w:rsidR="008715BE" w:rsidRPr="00C96230" w:rsidRDefault="008715BE">
            <w:pPr>
              <w:pStyle w:val="TableParagraph"/>
              <w:rPr>
                <w:rFonts w:ascii="Verdana" w:hAnsi="Verdana"/>
                <w:sz w:val="18"/>
                <w:szCs w:val="18"/>
              </w:rPr>
            </w:pPr>
          </w:p>
        </w:tc>
        <w:tc>
          <w:tcPr>
            <w:tcW w:w="2323" w:type="dxa"/>
          </w:tcPr>
          <w:p w14:paraId="0DC431D5" w14:textId="77777777" w:rsidR="008715BE" w:rsidRPr="00C96230" w:rsidRDefault="008715BE">
            <w:pPr>
              <w:pStyle w:val="TableParagraph"/>
              <w:rPr>
                <w:rFonts w:ascii="Verdana" w:hAnsi="Verdana"/>
                <w:sz w:val="18"/>
                <w:szCs w:val="18"/>
              </w:rPr>
            </w:pPr>
          </w:p>
        </w:tc>
        <w:tc>
          <w:tcPr>
            <w:tcW w:w="3149" w:type="dxa"/>
          </w:tcPr>
          <w:p w14:paraId="3AB86A0F" w14:textId="77777777" w:rsidR="008715BE" w:rsidRPr="00C96230" w:rsidRDefault="008715BE">
            <w:pPr>
              <w:pStyle w:val="TableParagraph"/>
              <w:rPr>
                <w:rFonts w:ascii="Verdana" w:hAnsi="Verdana"/>
                <w:sz w:val="18"/>
                <w:szCs w:val="18"/>
              </w:rPr>
            </w:pPr>
          </w:p>
        </w:tc>
        <w:tc>
          <w:tcPr>
            <w:tcW w:w="1106" w:type="dxa"/>
          </w:tcPr>
          <w:p w14:paraId="4FC98555" w14:textId="77777777" w:rsidR="008715BE" w:rsidRPr="00C96230" w:rsidRDefault="008715BE">
            <w:pPr>
              <w:pStyle w:val="TableParagraph"/>
              <w:rPr>
                <w:rFonts w:ascii="Verdana" w:hAnsi="Verdana"/>
                <w:sz w:val="18"/>
                <w:szCs w:val="18"/>
              </w:rPr>
            </w:pPr>
          </w:p>
        </w:tc>
        <w:tc>
          <w:tcPr>
            <w:tcW w:w="1108" w:type="dxa"/>
          </w:tcPr>
          <w:p w14:paraId="010CFD74" w14:textId="77777777" w:rsidR="008715BE" w:rsidRPr="00C96230" w:rsidRDefault="008715BE">
            <w:pPr>
              <w:pStyle w:val="TableParagraph"/>
              <w:rPr>
                <w:rFonts w:ascii="Verdana" w:hAnsi="Verdana"/>
                <w:sz w:val="18"/>
                <w:szCs w:val="18"/>
              </w:rPr>
            </w:pPr>
          </w:p>
        </w:tc>
        <w:tc>
          <w:tcPr>
            <w:tcW w:w="1211" w:type="dxa"/>
          </w:tcPr>
          <w:p w14:paraId="6A63EA02" w14:textId="77777777" w:rsidR="008715BE" w:rsidRPr="00C96230" w:rsidRDefault="008715BE">
            <w:pPr>
              <w:pStyle w:val="TableParagraph"/>
              <w:rPr>
                <w:rFonts w:ascii="Verdana" w:hAnsi="Verdana"/>
                <w:sz w:val="18"/>
                <w:szCs w:val="18"/>
              </w:rPr>
            </w:pPr>
          </w:p>
        </w:tc>
        <w:tc>
          <w:tcPr>
            <w:tcW w:w="1619" w:type="dxa"/>
          </w:tcPr>
          <w:p w14:paraId="161548A4" w14:textId="77777777" w:rsidR="008715BE" w:rsidRPr="00C96230" w:rsidRDefault="008715BE">
            <w:pPr>
              <w:pStyle w:val="TableParagraph"/>
              <w:rPr>
                <w:rFonts w:ascii="Verdana" w:hAnsi="Verdana"/>
                <w:sz w:val="18"/>
                <w:szCs w:val="18"/>
              </w:rPr>
            </w:pPr>
          </w:p>
        </w:tc>
        <w:tc>
          <w:tcPr>
            <w:tcW w:w="971" w:type="dxa"/>
          </w:tcPr>
          <w:p w14:paraId="49906876" w14:textId="77777777" w:rsidR="008715BE" w:rsidRPr="00C96230" w:rsidRDefault="008715BE">
            <w:pPr>
              <w:pStyle w:val="TableParagraph"/>
              <w:rPr>
                <w:rFonts w:ascii="Verdana" w:hAnsi="Verdana"/>
                <w:sz w:val="18"/>
                <w:szCs w:val="18"/>
              </w:rPr>
            </w:pPr>
          </w:p>
        </w:tc>
        <w:tc>
          <w:tcPr>
            <w:tcW w:w="1736" w:type="dxa"/>
          </w:tcPr>
          <w:p w14:paraId="44044923" w14:textId="77777777" w:rsidR="008715BE" w:rsidRPr="00C96230" w:rsidRDefault="008715BE">
            <w:pPr>
              <w:pStyle w:val="TableParagraph"/>
              <w:rPr>
                <w:rFonts w:ascii="Verdana" w:hAnsi="Verdana"/>
                <w:sz w:val="18"/>
                <w:szCs w:val="18"/>
              </w:rPr>
            </w:pPr>
          </w:p>
        </w:tc>
        <w:tc>
          <w:tcPr>
            <w:tcW w:w="1897" w:type="dxa"/>
          </w:tcPr>
          <w:p w14:paraId="7376AE7C" w14:textId="77777777" w:rsidR="008715BE" w:rsidRPr="00C96230" w:rsidRDefault="008715BE">
            <w:pPr>
              <w:pStyle w:val="TableParagraph"/>
              <w:rPr>
                <w:rFonts w:ascii="Verdana" w:hAnsi="Verdana"/>
                <w:sz w:val="18"/>
                <w:szCs w:val="18"/>
              </w:rPr>
            </w:pPr>
          </w:p>
        </w:tc>
        <w:tc>
          <w:tcPr>
            <w:tcW w:w="3860" w:type="dxa"/>
          </w:tcPr>
          <w:p w14:paraId="2B10C508" w14:textId="77777777" w:rsidR="008715BE" w:rsidRPr="00C96230" w:rsidRDefault="00000000">
            <w:pPr>
              <w:pStyle w:val="TableParagraph"/>
              <w:spacing w:line="194" w:lineRule="exact"/>
              <w:ind w:left="117" w:right="81"/>
              <w:jc w:val="both"/>
              <w:rPr>
                <w:rFonts w:ascii="Verdana" w:hAnsi="Verdana"/>
                <w:sz w:val="18"/>
                <w:szCs w:val="18"/>
              </w:rPr>
            </w:pPr>
            <w:r w:rsidRPr="00C96230">
              <w:rPr>
                <w:rFonts w:ascii="Verdana" w:hAnsi="Verdana"/>
                <w:sz w:val="18"/>
                <w:szCs w:val="18"/>
              </w:rPr>
              <w:t>where excavation work is carried out. Taking into account the precautionary principle, it was considered that this could generate a potential impact</w:t>
            </w:r>
          </w:p>
        </w:tc>
        <w:tc>
          <w:tcPr>
            <w:tcW w:w="1889" w:type="dxa"/>
          </w:tcPr>
          <w:p w14:paraId="3D6392A8" w14:textId="77777777" w:rsidR="008715BE" w:rsidRPr="00C96230" w:rsidRDefault="008715BE">
            <w:pPr>
              <w:pStyle w:val="TableParagraph"/>
              <w:rPr>
                <w:rFonts w:ascii="Verdana" w:hAnsi="Verdana"/>
                <w:sz w:val="18"/>
                <w:szCs w:val="18"/>
              </w:rPr>
            </w:pPr>
          </w:p>
        </w:tc>
      </w:tr>
      <w:tr w:rsidR="008715BE" w:rsidRPr="00C96230" w14:paraId="6E4B8FCD" w14:textId="77777777" w:rsidTr="0053798D">
        <w:trPr>
          <w:trHeight w:val="2137"/>
        </w:trPr>
        <w:tc>
          <w:tcPr>
            <w:tcW w:w="523" w:type="dxa"/>
            <w:vMerge w:val="restart"/>
            <w:textDirection w:val="btLr"/>
          </w:tcPr>
          <w:p w14:paraId="404D3305" w14:textId="77777777" w:rsidR="008715BE" w:rsidRPr="00C96230" w:rsidRDefault="00000000">
            <w:pPr>
              <w:pStyle w:val="TableParagraph"/>
              <w:spacing w:before="171"/>
              <w:ind w:left="-1" w:right="1"/>
              <w:jc w:val="center"/>
              <w:rPr>
                <w:rFonts w:ascii="Verdana" w:hAnsi="Verdana"/>
                <w:sz w:val="18"/>
                <w:szCs w:val="18"/>
              </w:rPr>
            </w:pPr>
            <w:r w:rsidRPr="00C96230">
              <w:rPr>
                <w:rFonts w:ascii="Verdana" w:hAnsi="Verdana"/>
                <w:spacing w:val="-2"/>
                <w:sz w:val="18"/>
                <w:szCs w:val="18"/>
              </w:rPr>
              <w:t>Operation</w:t>
            </w:r>
          </w:p>
        </w:tc>
        <w:tc>
          <w:tcPr>
            <w:tcW w:w="2323" w:type="dxa"/>
            <w:vMerge w:val="restart"/>
          </w:tcPr>
          <w:p w14:paraId="6CAB2A52"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Carrying out energy production activities</w:t>
            </w:r>
          </w:p>
        </w:tc>
        <w:tc>
          <w:tcPr>
            <w:tcW w:w="3149" w:type="dxa"/>
          </w:tcPr>
          <w:p w14:paraId="7D836E04"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362094C0"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1AF768FD"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0836038"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619" w:type="dxa"/>
          </w:tcPr>
          <w:p w14:paraId="6B0F018F"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971" w:type="dxa"/>
          </w:tcPr>
          <w:p w14:paraId="39BBB426"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70FAF08A"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65EADD0F" w14:textId="77777777" w:rsidR="008715BE" w:rsidRPr="00C96230" w:rsidRDefault="00000000">
            <w:pPr>
              <w:pStyle w:val="TableParagraph"/>
              <w:tabs>
                <w:tab w:val="left" w:pos="1014"/>
              </w:tabs>
              <w:spacing w:before="8" w:line="195" w:lineRule="exact"/>
              <w:ind w:left="115"/>
              <w:rPr>
                <w:rFonts w:ascii="Verdana" w:hAnsi="Verdana"/>
                <w:sz w:val="18"/>
                <w:szCs w:val="18"/>
              </w:rPr>
            </w:pPr>
            <w:r w:rsidRPr="00C96230">
              <w:rPr>
                <w:rFonts w:ascii="Verdana" w:hAnsi="Verdana"/>
                <w:spacing w:val="-2"/>
                <w:sz w:val="18"/>
                <w:szCs w:val="18"/>
              </w:rPr>
              <w:t>The size</w:t>
            </w:r>
            <w:r w:rsidRPr="00C96230">
              <w:rPr>
                <w:rFonts w:ascii="Verdana" w:hAnsi="Verdana"/>
                <w:sz w:val="18"/>
                <w:szCs w:val="18"/>
              </w:rPr>
              <w:tab/>
            </w:r>
            <w:r w:rsidRPr="00C96230">
              <w:rPr>
                <w:rFonts w:ascii="Verdana" w:hAnsi="Verdana"/>
                <w:spacing w:val="-2"/>
                <w:sz w:val="18"/>
                <w:szCs w:val="18"/>
              </w:rPr>
              <w:t>population</w:t>
            </w:r>
          </w:p>
          <w:p w14:paraId="7E2F7D42"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z w:val="18"/>
                <w:szCs w:val="18"/>
              </w:rPr>
              <w:t>(</w:t>
            </w:r>
            <w:r w:rsidRPr="00C96230">
              <w:rPr>
                <w:rFonts w:ascii="Verdana" w:hAnsi="Verdana"/>
                <w:spacing w:val="-2"/>
                <w:sz w:val="18"/>
                <w:szCs w:val="18"/>
              </w:rPr>
              <w:t xml:space="preserve">distribution </w:t>
            </w:r>
            <w:r w:rsidRPr="00C96230">
              <w:rPr>
                <w:rFonts w:ascii="Verdana" w:hAnsi="Verdana"/>
                <w:sz w:val="18"/>
                <w:szCs w:val="18"/>
              </w:rPr>
              <w:t>pattern</w:t>
            </w:r>
            <w:r w:rsidRPr="00C96230">
              <w:rPr>
                <w:rFonts w:ascii="Verdana" w:hAnsi="Verdana"/>
                <w:spacing w:val="-2"/>
                <w:sz w:val="18"/>
                <w:szCs w:val="18"/>
              </w:rPr>
              <w:t>)</w:t>
            </w:r>
          </w:p>
        </w:tc>
        <w:tc>
          <w:tcPr>
            <w:tcW w:w="3860" w:type="dxa"/>
          </w:tcPr>
          <w:p w14:paraId="7EE553FE" w14:textId="77777777" w:rsidR="008715BE" w:rsidRPr="00C96230" w:rsidRDefault="00000000">
            <w:pPr>
              <w:pStyle w:val="TableParagraph"/>
              <w:spacing w:before="8"/>
              <w:ind w:left="117" w:right="86"/>
              <w:jc w:val="both"/>
              <w:rPr>
                <w:rFonts w:ascii="Verdana" w:hAnsi="Verdana"/>
                <w:sz w:val="18"/>
                <w:szCs w:val="18"/>
              </w:rPr>
            </w:pPr>
            <w:r w:rsidRPr="00C96230">
              <w:rPr>
                <w:rFonts w:ascii="Verdana" w:hAnsi="Verdana"/>
                <w:sz w:val="18"/>
                <w:szCs w:val="18"/>
              </w:rPr>
              <w:t>Possible disruption of the activity of a maximum of 2 to 3 individuals</w:t>
            </w:r>
          </w:p>
          <w:p w14:paraId="3ED443C4"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70387FDB"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contour will be felt at distances of up to 1.5 km around the work area</w:t>
            </w:r>
          </w:p>
          <w:p w14:paraId="428DE39A"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The impact will be felt outside the protected area boundary</w:t>
            </w:r>
            <w:r w:rsidRPr="00C96230">
              <w:rPr>
                <w:rFonts w:ascii="Verdana" w:hAnsi="Verdana"/>
                <w:spacing w:val="66"/>
                <w:sz w:val="18"/>
                <w:szCs w:val="18"/>
              </w:rPr>
              <w:t xml:space="preserve">  </w:t>
            </w:r>
            <w:r w:rsidRPr="00C96230">
              <w:rPr>
                <w:rFonts w:ascii="Verdana" w:hAnsi="Verdana"/>
                <w:sz w:val="18"/>
                <w:szCs w:val="18"/>
              </w:rPr>
              <w:t xml:space="preserve"> wind farm</w:t>
            </w:r>
            <w:r w:rsidRPr="00C96230">
              <w:rPr>
                <w:rFonts w:ascii="Verdana" w:hAnsi="Verdana"/>
                <w:spacing w:val="66"/>
                <w:sz w:val="18"/>
                <w:szCs w:val="18"/>
              </w:rPr>
              <w:t xml:space="preserve">  </w:t>
            </w:r>
            <w:r w:rsidRPr="00C96230">
              <w:rPr>
                <w:rFonts w:ascii="Verdana" w:hAnsi="Verdana"/>
                <w:sz w:val="18"/>
                <w:szCs w:val="18"/>
              </w:rPr>
              <w:t xml:space="preserve"> </w:t>
            </w:r>
            <w:r w:rsidRPr="00C96230">
              <w:rPr>
                <w:rFonts w:ascii="Verdana" w:hAnsi="Verdana"/>
                <w:spacing w:val="66"/>
                <w:sz w:val="18"/>
                <w:szCs w:val="18"/>
              </w:rPr>
              <w:t xml:space="preserve">  </w:t>
            </w:r>
            <w:r w:rsidRPr="00C96230">
              <w:rPr>
                <w:rFonts w:ascii="Verdana" w:hAnsi="Verdana"/>
                <w:spacing w:val="-2"/>
                <w:sz w:val="18"/>
                <w:szCs w:val="18"/>
              </w:rPr>
              <w:t xml:space="preserve"> </w:t>
            </w:r>
            <w:r w:rsidRPr="00C96230">
              <w:rPr>
                <w:rFonts w:ascii="Verdana" w:hAnsi="Verdana"/>
                <w:spacing w:val="66"/>
                <w:sz w:val="18"/>
                <w:szCs w:val="18"/>
              </w:rPr>
              <w:t xml:space="preserve">  </w:t>
            </w:r>
            <w:r w:rsidRPr="00C96230">
              <w:rPr>
                <w:rFonts w:ascii="Verdana" w:hAnsi="Verdana"/>
                <w:spacing w:val="-2"/>
                <w:sz w:val="18"/>
                <w:szCs w:val="18"/>
              </w:rPr>
              <w:t xml:space="preserve"> vicinity</w:t>
            </w:r>
          </w:p>
          <w:p w14:paraId="58616C47" w14:textId="77777777" w:rsidR="008715BE" w:rsidRPr="00C96230" w:rsidRDefault="00000000">
            <w:pPr>
              <w:pStyle w:val="TableParagraph"/>
              <w:spacing w:line="164" w:lineRule="exact"/>
              <w:ind w:left="117"/>
              <w:jc w:val="both"/>
              <w:rPr>
                <w:rFonts w:ascii="Verdana" w:hAnsi="Verdana"/>
                <w:sz w:val="18"/>
                <w:szCs w:val="18"/>
              </w:rPr>
            </w:pPr>
            <w:r w:rsidRPr="00C96230">
              <w:rPr>
                <w:rFonts w:ascii="Verdana" w:hAnsi="Verdana"/>
                <w:spacing w:val="-2"/>
                <w:sz w:val="18"/>
                <w:szCs w:val="18"/>
              </w:rPr>
              <w:t xml:space="preserve">wind </w:t>
            </w:r>
            <w:r w:rsidRPr="00C96230">
              <w:rPr>
                <w:rFonts w:ascii="Verdana" w:hAnsi="Verdana"/>
                <w:sz w:val="18"/>
                <w:szCs w:val="18"/>
              </w:rPr>
              <w:t>turbines</w:t>
            </w:r>
          </w:p>
        </w:tc>
        <w:tc>
          <w:tcPr>
            <w:tcW w:w="1889" w:type="dxa"/>
          </w:tcPr>
          <w:p w14:paraId="2C83B7C3" w14:textId="77777777" w:rsidR="008715BE" w:rsidRPr="00C96230" w:rsidRDefault="00000000">
            <w:pPr>
              <w:pStyle w:val="TableParagraph"/>
              <w:tabs>
                <w:tab w:val="left" w:pos="1414"/>
              </w:tabs>
              <w:spacing w:before="8" w:line="195" w:lineRule="exact"/>
              <w:ind w:left="119"/>
              <w:rPr>
                <w:rFonts w:ascii="Verdana" w:hAnsi="Verdana"/>
                <w:sz w:val="18"/>
                <w:szCs w:val="18"/>
              </w:rPr>
            </w:pPr>
            <w:r w:rsidRPr="00C96230">
              <w:rPr>
                <w:rFonts w:ascii="Verdana" w:hAnsi="Verdana"/>
                <w:spacing w:val="-2"/>
                <w:sz w:val="18"/>
                <w:szCs w:val="18"/>
              </w:rPr>
              <w:t>Estimates</w:t>
            </w:r>
            <w:r w:rsidRPr="00C96230">
              <w:rPr>
                <w:rFonts w:ascii="Verdana" w:hAnsi="Verdana"/>
                <w:sz w:val="18"/>
                <w:szCs w:val="18"/>
              </w:rPr>
              <w:tab/>
            </w:r>
            <w:r w:rsidRPr="00C96230">
              <w:rPr>
                <w:rFonts w:ascii="Verdana" w:hAnsi="Verdana"/>
                <w:spacing w:val="-4"/>
                <w:sz w:val="18"/>
                <w:szCs w:val="18"/>
              </w:rPr>
              <w:t>level</w:t>
            </w:r>
          </w:p>
          <w:p w14:paraId="542D70C1" w14:textId="77777777" w:rsidR="008715BE" w:rsidRPr="00C96230" w:rsidRDefault="00000000">
            <w:pPr>
              <w:pStyle w:val="TableParagraph"/>
              <w:spacing w:line="195" w:lineRule="exact"/>
              <w:ind w:left="119"/>
              <w:rPr>
                <w:rFonts w:ascii="Verdana" w:hAnsi="Verdana"/>
                <w:sz w:val="18"/>
                <w:szCs w:val="18"/>
              </w:rPr>
            </w:pPr>
            <w:r w:rsidRPr="00C96230">
              <w:rPr>
                <w:rFonts w:ascii="Verdana" w:hAnsi="Verdana"/>
                <w:spacing w:val="-2"/>
                <w:sz w:val="18"/>
                <w:szCs w:val="18"/>
              </w:rPr>
              <w:t>noise</w:t>
            </w:r>
          </w:p>
        </w:tc>
      </w:tr>
      <w:tr w:rsidR="008715BE" w:rsidRPr="00C96230" w14:paraId="04DE872E" w14:textId="77777777" w:rsidTr="0053798D">
        <w:trPr>
          <w:trHeight w:val="777"/>
        </w:trPr>
        <w:tc>
          <w:tcPr>
            <w:tcW w:w="523" w:type="dxa"/>
            <w:vMerge/>
            <w:tcBorders>
              <w:top w:val="nil"/>
            </w:tcBorders>
            <w:textDirection w:val="btLr"/>
          </w:tcPr>
          <w:p w14:paraId="63D896B1" w14:textId="77777777" w:rsidR="008715BE" w:rsidRPr="00C96230" w:rsidRDefault="008715BE">
            <w:pPr>
              <w:rPr>
                <w:rFonts w:ascii="Verdana" w:hAnsi="Verdana"/>
                <w:sz w:val="18"/>
                <w:szCs w:val="18"/>
              </w:rPr>
            </w:pPr>
          </w:p>
        </w:tc>
        <w:tc>
          <w:tcPr>
            <w:tcW w:w="2323" w:type="dxa"/>
            <w:vMerge/>
            <w:tcBorders>
              <w:top w:val="nil"/>
            </w:tcBorders>
          </w:tcPr>
          <w:p w14:paraId="071A01CF" w14:textId="77777777" w:rsidR="008715BE" w:rsidRPr="00C96230" w:rsidRDefault="008715BE">
            <w:pPr>
              <w:rPr>
                <w:rFonts w:ascii="Verdana" w:hAnsi="Verdana"/>
                <w:sz w:val="18"/>
                <w:szCs w:val="18"/>
              </w:rPr>
            </w:pPr>
          </w:p>
        </w:tc>
        <w:tc>
          <w:tcPr>
            <w:tcW w:w="3149" w:type="dxa"/>
          </w:tcPr>
          <w:p w14:paraId="0BC41F3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Night-time </w:t>
            </w:r>
            <w:r w:rsidRPr="00C96230">
              <w:rPr>
                <w:rFonts w:ascii="Verdana" w:hAnsi="Verdana"/>
                <w:sz w:val="18"/>
                <w:szCs w:val="18"/>
              </w:rPr>
              <w:t>lighting</w:t>
            </w:r>
          </w:p>
        </w:tc>
        <w:tc>
          <w:tcPr>
            <w:tcW w:w="1106" w:type="dxa"/>
          </w:tcPr>
          <w:p w14:paraId="7DED6F17"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PAS/PH</w:t>
            </w:r>
          </w:p>
        </w:tc>
        <w:tc>
          <w:tcPr>
            <w:tcW w:w="1108" w:type="dxa"/>
          </w:tcPr>
          <w:p w14:paraId="18CBD2D3" w14:textId="77777777" w:rsidR="008715BE" w:rsidRPr="00C96230" w:rsidRDefault="00000000">
            <w:pPr>
              <w:pStyle w:val="TableParagraph"/>
              <w:spacing w:before="8"/>
              <w:ind w:left="109" w:right="93"/>
              <w:jc w:val="both"/>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impacts identified</w:t>
            </w:r>
          </w:p>
          <w:p w14:paraId="5E6399BB" w14:textId="77777777" w:rsidR="008715BE" w:rsidRPr="00C96230" w:rsidRDefault="00000000">
            <w:pPr>
              <w:pStyle w:val="TableParagraph"/>
              <w:spacing w:line="164"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2E0D73CD"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secondary </w:t>
            </w:r>
            <w:r w:rsidRPr="00C96230">
              <w:rPr>
                <w:rFonts w:ascii="Verdana" w:hAnsi="Verdana"/>
                <w:spacing w:val="-2"/>
                <w:sz w:val="18"/>
                <w:szCs w:val="18"/>
              </w:rPr>
              <w:t>impacts identified</w:t>
            </w:r>
          </w:p>
          <w:p w14:paraId="55204348" w14:textId="77777777" w:rsidR="008715BE" w:rsidRPr="00C96230" w:rsidRDefault="00000000">
            <w:pPr>
              <w:pStyle w:val="TableParagraph"/>
              <w:spacing w:line="164" w:lineRule="exact"/>
              <w:ind w:left="107"/>
              <w:rPr>
                <w:rFonts w:ascii="Verdana" w:hAnsi="Verdana"/>
                <w:sz w:val="18"/>
                <w:szCs w:val="18"/>
              </w:rPr>
            </w:pPr>
            <w:r w:rsidRPr="00C96230">
              <w:rPr>
                <w:rFonts w:ascii="Verdana" w:hAnsi="Verdana"/>
                <w:spacing w:val="-2"/>
                <w:sz w:val="18"/>
                <w:szCs w:val="18"/>
              </w:rPr>
              <w:t>secondary</w:t>
            </w:r>
          </w:p>
        </w:tc>
        <w:tc>
          <w:tcPr>
            <w:tcW w:w="1619" w:type="dxa"/>
          </w:tcPr>
          <w:p w14:paraId="51C209C1"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1BFD20D5"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Cumulative</w:t>
            </w:r>
          </w:p>
        </w:tc>
        <w:tc>
          <w:tcPr>
            <w:tcW w:w="971" w:type="dxa"/>
          </w:tcPr>
          <w:p w14:paraId="58E15E8C" w14:textId="77777777" w:rsidR="008715BE" w:rsidRPr="00C96230" w:rsidRDefault="00000000">
            <w:pPr>
              <w:pStyle w:val="TableParagraph"/>
              <w:spacing w:before="8"/>
              <w:ind w:left="109"/>
              <w:rPr>
                <w:rFonts w:ascii="Verdana" w:hAnsi="Verdana"/>
                <w:sz w:val="18"/>
                <w:szCs w:val="18"/>
              </w:rPr>
            </w:pPr>
            <w:r w:rsidRPr="00C96230">
              <w:rPr>
                <w:rFonts w:ascii="Verdana" w:hAnsi="Verdana"/>
                <w:spacing w:val="-2"/>
                <w:sz w:val="18"/>
                <w:szCs w:val="18"/>
              </w:rPr>
              <w:t>No</w:t>
            </w:r>
          </w:p>
        </w:tc>
        <w:tc>
          <w:tcPr>
            <w:tcW w:w="1736" w:type="dxa"/>
          </w:tcPr>
          <w:p w14:paraId="58F51286" w14:textId="77777777" w:rsidR="008715BE" w:rsidRPr="00C96230" w:rsidRDefault="00000000">
            <w:pPr>
              <w:pStyle w:val="TableParagraph"/>
              <w:tabs>
                <w:tab w:val="left" w:pos="734"/>
                <w:tab w:val="left" w:pos="1334"/>
              </w:tabs>
              <w:spacing w:before="8"/>
              <w:ind w:left="111" w:right="88"/>
              <w:jc w:val="both"/>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6"/>
                <w:sz w:val="18"/>
                <w:szCs w:val="18"/>
              </w:rPr>
              <w:t>have</w:t>
            </w:r>
            <w:r w:rsidRPr="00C96230">
              <w:rPr>
                <w:rFonts w:ascii="Verdana" w:hAnsi="Verdana"/>
                <w:sz w:val="18"/>
                <w:szCs w:val="18"/>
              </w:rPr>
              <w:tab/>
            </w:r>
            <w:r w:rsidRPr="00C96230">
              <w:rPr>
                <w:rFonts w:ascii="Verdana" w:hAnsi="Verdana"/>
                <w:spacing w:val="-4"/>
                <w:sz w:val="18"/>
                <w:szCs w:val="18"/>
              </w:rPr>
              <w:t xml:space="preserve">No </w:t>
            </w:r>
            <w:r w:rsidRPr="00C96230">
              <w:rPr>
                <w:rFonts w:ascii="Verdana" w:hAnsi="Verdana"/>
                <w:sz w:val="18"/>
                <w:szCs w:val="18"/>
              </w:rPr>
              <w:t xml:space="preserve">potentially affected species </w:t>
            </w:r>
            <w:r w:rsidRPr="00C96230">
              <w:rPr>
                <w:rFonts w:ascii="Verdana" w:hAnsi="Verdana"/>
                <w:spacing w:val="-4"/>
                <w:sz w:val="18"/>
                <w:szCs w:val="18"/>
              </w:rPr>
              <w:t xml:space="preserve">have been </w:t>
            </w:r>
            <w:r w:rsidRPr="00C96230">
              <w:rPr>
                <w:rFonts w:ascii="Verdana" w:hAnsi="Verdana"/>
                <w:sz w:val="18"/>
                <w:szCs w:val="18"/>
              </w:rPr>
              <w:t>identified</w:t>
            </w:r>
          </w:p>
        </w:tc>
        <w:tc>
          <w:tcPr>
            <w:tcW w:w="1897" w:type="dxa"/>
          </w:tcPr>
          <w:p w14:paraId="4CD48D93"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14813A7"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15269994"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EF89AB7" w14:textId="77777777" w:rsidTr="0053798D">
        <w:trPr>
          <w:trHeight w:val="779"/>
        </w:trPr>
        <w:tc>
          <w:tcPr>
            <w:tcW w:w="523" w:type="dxa"/>
            <w:vMerge/>
            <w:tcBorders>
              <w:top w:val="nil"/>
            </w:tcBorders>
            <w:textDirection w:val="btLr"/>
          </w:tcPr>
          <w:p w14:paraId="67F49CF7" w14:textId="77777777" w:rsidR="008715BE" w:rsidRPr="00C96230" w:rsidRDefault="008715BE">
            <w:pPr>
              <w:rPr>
                <w:rFonts w:ascii="Verdana" w:hAnsi="Verdana"/>
                <w:sz w:val="18"/>
                <w:szCs w:val="18"/>
              </w:rPr>
            </w:pPr>
          </w:p>
        </w:tc>
        <w:tc>
          <w:tcPr>
            <w:tcW w:w="2323" w:type="dxa"/>
            <w:vMerge/>
            <w:tcBorders>
              <w:top w:val="nil"/>
            </w:tcBorders>
          </w:tcPr>
          <w:p w14:paraId="2E36A4D8" w14:textId="77777777" w:rsidR="008715BE" w:rsidRPr="00C96230" w:rsidRDefault="008715BE">
            <w:pPr>
              <w:rPr>
                <w:rFonts w:ascii="Verdana" w:hAnsi="Verdana"/>
                <w:sz w:val="18"/>
                <w:szCs w:val="18"/>
              </w:rPr>
            </w:pPr>
          </w:p>
        </w:tc>
        <w:tc>
          <w:tcPr>
            <w:tcW w:w="3149" w:type="dxa"/>
          </w:tcPr>
          <w:p w14:paraId="015EC8A4"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2"/>
                <w:sz w:val="18"/>
                <w:szCs w:val="18"/>
              </w:rPr>
              <w:t xml:space="preserve">Waste </w:t>
            </w:r>
            <w:r w:rsidRPr="00C96230">
              <w:rPr>
                <w:rFonts w:ascii="Verdana" w:hAnsi="Verdana"/>
                <w:sz w:val="18"/>
                <w:szCs w:val="18"/>
              </w:rPr>
              <w:t>generation</w:t>
            </w:r>
          </w:p>
        </w:tc>
        <w:tc>
          <w:tcPr>
            <w:tcW w:w="1106" w:type="dxa"/>
          </w:tcPr>
          <w:p w14:paraId="2C43EAB6"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2"/>
                <w:sz w:val="18"/>
                <w:szCs w:val="18"/>
              </w:rPr>
              <w:t>AH/PAS</w:t>
            </w:r>
          </w:p>
        </w:tc>
        <w:tc>
          <w:tcPr>
            <w:tcW w:w="1108" w:type="dxa"/>
          </w:tcPr>
          <w:p w14:paraId="44900543"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6426A2B5"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619" w:type="dxa"/>
          </w:tcPr>
          <w:p w14:paraId="393CE74D"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971" w:type="dxa"/>
          </w:tcPr>
          <w:p w14:paraId="70823DE0" w14:textId="77777777" w:rsidR="008715BE" w:rsidRPr="00C96230" w:rsidRDefault="00000000">
            <w:pPr>
              <w:pStyle w:val="TableParagraph"/>
              <w:spacing w:before="10"/>
              <w:ind w:left="109" w:right="91"/>
              <w:rPr>
                <w:rFonts w:ascii="Verdana" w:hAnsi="Verdana"/>
                <w:sz w:val="18"/>
                <w:szCs w:val="18"/>
              </w:rPr>
            </w:pPr>
            <w:r w:rsidRPr="00C96230">
              <w:rPr>
                <w:rFonts w:ascii="Verdana" w:hAnsi="Verdana"/>
                <w:sz w:val="18"/>
                <w:szCs w:val="18"/>
              </w:rPr>
              <w:t xml:space="preserve">None </w:t>
            </w:r>
            <w:r w:rsidRPr="00C96230">
              <w:rPr>
                <w:rFonts w:ascii="Verdana" w:hAnsi="Verdana"/>
                <w:spacing w:val="-2"/>
                <w:sz w:val="18"/>
                <w:szCs w:val="18"/>
              </w:rPr>
              <w:t>identified</w:t>
            </w:r>
          </w:p>
        </w:tc>
        <w:tc>
          <w:tcPr>
            <w:tcW w:w="1736" w:type="dxa"/>
          </w:tcPr>
          <w:p w14:paraId="4F8CB076" w14:textId="77777777" w:rsidR="008715BE" w:rsidRPr="00C96230" w:rsidRDefault="00000000">
            <w:pPr>
              <w:pStyle w:val="TableParagraph"/>
              <w:tabs>
                <w:tab w:val="left" w:pos="734"/>
                <w:tab w:val="left" w:pos="1334"/>
              </w:tabs>
              <w:spacing w:before="10"/>
              <w:ind w:left="111" w:right="88"/>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6"/>
                <w:sz w:val="18"/>
                <w:szCs w:val="18"/>
              </w:rPr>
              <w:t>have</w:t>
            </w:r>
            <w:r w:rsidRPr="00C96230">
              <w:rPr>
                <w:rFonts w:ascii="Verdana" w:hAnsi="Verdana"/>
                <w:sz w:val="18"/>
                <w:szCs w:val="18"/>
              </w:rPr>
              <w:tab/>
            </w:r>
            <w:r w:rsidRPr="00C96230">
              <w:rPr>
                <w:rFonts w:ascii="Verdana" w:hAnsi="Verdana"/>
                <w:spacing w:val="-2"/>
                <w:sz w:val="18"/>
                <w:szCs w:val="18"/>
              </w:rPr>
              <w:t>identified</w:t>
            </w:r>
          </w:p>
        </w:tc>
        <w:tc>
          <w:tcPr>
            <w:tcW w:w="1897" w:type="dxa"/>
          </w:tcPr>
          <w:p w14:paraId="635A82E5" w14:textId="77777777" w:rsidR="008715BE" w:rsidRPr="00C96230" w:rsidRDefault="00000000">
            <w:pPr>
              <w:pStyle w:val="TableParagraph"/>
              <w:spacing w:before="10"/>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225C77D7" w14:textId="77777777" w:rsidR="008715BE" w:rsidRPr="00C96230" w:rsidRDefault="00000000">
            <w:pPr>
              <w:pStyle w:val="TableParagraph"/>
              <w:spacing w:before="10"/>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506E351E" w14:textId="77777777" w:rsidR="008715BE" w:rsidRPr="00C96230" w:rsidRDefault="00000000">
            <w:pPr>
              <w:pStyle w:val="TableParagraph"/>
              <w:spacing w:before="10"/>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0A922AD0" w14:textId="77777777" w:rsidTr="0053798D">
        <w:trPr>
          <w:trHeight w:val="1033"/>
        </w:trPr>
        <w:tc>
          <w:tcPr>
            <w:tcW w:w="523" w:type="dxa"/>
            <w:vMerge/>
            <w:tcBorders>
              <w:top w:val="nil"/>
            </w:tcBorders>
            <w:textDirection w:val="btLr"/>
          </w:tcPr>
          <w:p w14:paraId="125417A7" w14:textId="77777777" w:rsidR="008715BE" w:rsidRPr="00C96230" w:rsidRDefault="008715BE">
            <w:pPr>
              <w:rPr>
                <w:rFonts w:ascii="Verdana" w:hAnsi="Verdana"/>
                <w:sz w:val="18"/>
                <w:szCs w:val="18"/>
              </w:rPr>
            </w:pPr>
          </w:p>
        </w:tc>
        <w:tc>
          <w:tcPr>
            <w:tcW w:w="2323" w:type="dxa"/>
            <w:vMerge w:val="restart"/>
          </w:tcPr>
          <w:p w14:paraId="3F1C2BD9"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Maintenance and </w:t>
            </w:r>
            <w:r w:rsidRPr="00C96230">
              <w:rPr>
                <w:rFonts w:ascii="Verdana" w:hAnsi="Verdana"/>
                <w:spacing w:val="-2"/>
                <w:sz w:val="18"/>
                <w:szCs w:val="18"/>
              </w:rPr>
              <w:t xml:space="preserve">repair </w:t>
            </w:r>
            <w:r w:rsidRPr="00C96230">
              <w:rPr>
                <w:rFonts w:ascii="Verdana" w:hAnsi="Verdana"/>
                <w:sz w:val="18"/>
                <w:szCs w:val="18"/>
              </w:rPr>
              <w:t>work</w:t>
            </w:r>
          </w:p>
        </w:tc>
        <w:tc>
          <w:tcPr>
            <w:tcW w:w="3149" w:type="dxa"/>
          </w:tcPr>
          <w:p w14:paraId="36CAF6EE"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 xml:space="preserve">repair </w:t>
            </w:r>
            <w:r w:rsidRPr="00C96230">
              <w:rPr>
                <w:rFonts w:ascii="Verdana" w:hAnsi="Verdana"/>
                <w:sz w:val="18"/>
                <w:szCs w:val="18"/>
              </w:rPr>
              <w:t>front area</w:t>
            </w:r>
          </w:p>
        </w:tc>
        <w:tc>
          <w:tcPr>
            <w:tcW w:w="1106" w:type="dxa"/>
          </w:tcPr>
          <w:p w14:paraId="236FCCCC"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13107AC4"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7A425DB5"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619" w:type="dxa"/>
          </w:tcPr>
          <w:p w14:paraId="5F11E4E9"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971" w:type="dxa"/>
          </w:tcPr>
          <w:p w14:paraId="4C8797BC"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08D4E004"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69A2AF53"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212CF3FF"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pacing w:val="-2"/>
                <w:sz w:val="18"/>
                <w:szCs w:val="18"/>
              </w:rPr>
              <w:t>1/individual (accidental)</w:t>
            </w:r>
          </w:p>
          <w:p w14:paraId="5499463E"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(outside the protected area, within the wind farm)</w:t>
            </w:r>
          </w:p>
        </w:tc>
        <w:tc>
          <w:tcPr>
            <w:tcW w:w="1889" w:type="dxa"/>
          </w:tcPr>
          <w:p w14:paraId="172892BD" w14:textId="77777777" w:rsidR="008715BE" w:rsidRPr="00C96230" w:rsidRDefault="00000000">
            <w:pPr>
              <w:pStyle w:val="TableParagraph"/>
              <w:tabs>
                <w:tab w:val="left" w:pos="1223"/>
              </w:tabs>
              <w:spacing w:before="8"/>
              <w:ind w:left="119" w:right="82"/>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mortality </w:t>
            </w:r>
            <w:r w:rsidRPr="00C96230">
              <w:rPr>
                <w:rFonts w:ascii="Verdana" w:hAnsi="Verdana"/>
                <w:spacing w:val="-2"/>
                <w:sz w:val="18"/>
                <w:szCs w:val="18"/>
              </w:rPr>
              <w:t xml:space="preserve">risk </w:t>
            </w:r>
            <w:r w:rsidRPr="00C96230">
              <w:rPr>
                <w:rFonts w:ascii="Verdana" w:hAnsi="Verdana"/>
                <w:sz w:val="18"/>
                <w:szCs w:val="18"/>
              </w:rPr>
              <w:t xml:space="preserve">for </w:t>
            </w:r>
            <w:r w:rsidRPr="00C96230">
              <w:rPr>
                <w:rFonts w:ascii="Verdana" w:hAnsi="Verdana"/>
                <w:spacing w:val="-2"/>
                <w:sz w:val="18"/>
                <w:szCs w:val="18"/>
              </w:rPr>
              <w:t>the species</w:t>
            </w:r>
          </w:p>
        </w:tc>
      </w:tr>
      <w:tr w:rsidR="008715BE" w:rsidRPr="00C96230" w14:paraId="12C5D2FC" w14:textId="77777777" w:rsidTr="0053798D">
        <w:trPr>
          <w:trHeight w:val="7973"/>
        </w:trPr>
        <w:tc>
          <w:tcPr>
            <w:tcW w:w="523" w:type="dxa"/>
            <w:vMerge/>
            <w:tcBorders>
              <w:top w:val="nil"/>
            </w:tcBorders>
            <w:textDirection w:val="btLr"/>
          </w:tcPr>
          <w:p w14:paraId="24813259" w14:textId="77777777" w:rsidR="008715BE" w:rsidRPr="00C96230" w:rsidRDefault="008715BE">
            <w:pPr>
              <w:rPr>
                <w:rFonts w:ascii="Verdana" w:hAnsi="Verdana"/>
                <w:sz w:val="18"/>
                <w:szCs w:val="18"/>
              </w:rPr>
            </w:pPr>
          </w:p>
        </w:tc>
        <w:tc>
          <w:tcPr>
            <w:tcW w:w="2323" w:type="dxa"/>
            <w:vMerge/>
            <w:tcBorders>
              <w:top w:val="nil"/>
            </w:tcBorders>
          </w:tcPr>
          <w:p w14:paraId="0B75506F" w14:textId="77777777" w:rsidR="008715BE" w:rsidRPr="00C96230" w:rsidRDefault="008715BE">
            <w:pPr>
              <w:rPr>
                <w:rFonts w:ascii="Verdana" w:hAnsi="Verdana"/>
                <w:sz w:val="18"/>
                <w:szCs w:val="18"/>
              </w:rPr>
            </w:pPr>
          </w:p>
        </w:tc>
        <w:tc>
          <w:tcPr>
            <w:tcW w:w="3149" w:type="dxa"/>
          </w:tcPr>
          <w:p w14:paraId="2E9B6C78"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Collision with </w:t>
            </w:r>
            <w:r w:rsidRPr="00C96230">
              <w:rPr>
                <w:rFonts w:ascii="Verdana" w:hAnsi="Verdana"/>
                <w:spacing w:val="-2"/>
                <w:sz w:val="18"/>
                <w:szCs w:val="18"/>
              </w:rPr>
              <w:t xml:space="preserve">turbine </w:t>
            </w:r>
            <w:r w:rsidRPr="00C96230">
              <w:rPr>
                <w:rFonts w:ascii="Verdana" w:hAnsi="Verdana"/>
                <w:sz w:val="18"/>
                <w:szCs w:val="18"/>
              </w:rPr>
              <w:t>blades</w:t>
            </w:r>
          </w:p>
        </w:tc>
        <w:tc>
          <w:tcPr>
            <w:tcW w:w="1106" w:type="dxa"/>
          </w:tcPr>
          <w:p w14:paraId="1B9D0FA3"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736DA419"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503D42A6"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619" w:type="dxa"/>
          </w:tcPr>
          <w:p w14:paraId="5932C5FA"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w:t>
            </w:r>
            <w:r w:rsidRPr="00C96230">
              <w:rPr>
                <w:rFonts w:ascii="Verdana" w:hAnsi="Verdana"/>
                <w:spacing w:val="-4"/>
                <w:sz w:val="18"/>
                <w:szCs w:val="18"/>
              </w:rPr>
              <w:t xml:space="preserve">impact </w:t>
            </w:r>
            <w:r w:rsidRPr="00C96230">
              <w:rPr>
                <w:rFonts w:ascii="Verdana" w:hAnsi="Verdana"/>
                <w:sz w:val="18"/>
                <w:szCs w:val="18"/>
              </w:rPr>
              <w:t>with:</w:t>
            </w:r>
            <w:r w:rsidRPr="00C96230">
              <w:rPr>
                <w:rFonts w:ascii="Verdana" w:hAnsi="Verdana"/>
                <w:sz w:val="18"/>
                <w:szCs w:val="18"/>
              </w:rPr>
              <w:tab/>
            </w:r>
            <w:r w:rsidRPr="00C96230">
              <w:rPr>
                <w:rFonts w:ascii="Verdana" w:hAnsi="Verdana"/>
                <w:spacing w:val="-2"/>
                <w:sz w:val="18"/>
                <w:szCs w:val="18"/>
              </w:rPr>
              <w:t xml:space="preserve">Chirnogeni </w:t>
            </w:r>
            <w:r w:rsidRPr="00C96230">
              <w:rPr>
                <w:rFonts w:ascii="Verdana" w:hAnsi="Verdana"/>
                <w:spacing w:val="-6"/>
                <w:sz w:val="18"/>
                <w:szCs w:val="18"/>
              </w:rPr>
              <w:t xml:space="preserve">Wind </w:t>
            </w:r>
            <w:r w:rsidRPr="00C96230">
              <w:rPr>
                <w:rFonts w:ascii="Verdana" w:hAnsi="Verdana"/>
                <w:sz w:val="18"/>
                <w:szCs w:val="18"/>
              </w:rPr>
              <w:t xml:space="preserve">Farm </w:t>
            </w:r>
            <w:r w:rsidRPr="00C96230">
              <w:rPr>
                <w:rFonts w:ascii="Verdana" w:hAnsi="Verdana"/>
                <w:spacing w:val="-2"/>
                <w:sz w:val="18"/>
                <w:szCs w:val="18"/>
              </w:rPr>
              <w:t>(existing)</w:t>
            </w:r>
            <w:r w:rsidRPr="00C96230">
              <w:rPr>
                <w:rFonts w:ascii="Verdana" w:hAnsi="Verdana"/>
                <w:sz w:val="18"/>
                <w:szCs w:val="18"/>
              </w:rPr>
              <w:t xml:space="preserve"> 14 </w:t>
            </w:r>
            <w:r w:rsidRPr="00C96230">
              <w:rPr>
                <w:rFonts w:ascii="Verdana" w:hAnsi="Verdana"/>
                <w:spacing w:val="-5"/>
                <w:sz w:val="18"/>
                <w:szCs w:val="18"/>
              </w:rPr>
              <w:t>CE-</w:t>
            </w:r>
          </w:p>
          <w:p w14:paraId="0BE1E256" w14:textId="77777777" w:rsidR="008715BE" w:rsidRPr="00C96230" w:rsidRDefault="00000000">
            <w:pPr>
              <w:pStyle w:val="TableParagraph"/>
              <w:tabs>
                <w:tab w:val="left" w:pos="931"/>
              </w:tabs>
              <w:spacing w:line="189"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73B4C0E6" w14:textId="77777777" w:rsidR="008715BE" w:rsidRPr="00C96230" w:rsidRDefault="00000000">
            <w:pPr>
              <w:pStyle w:val="TableParagraph"/>
              <w:tabs>
                <w:tab w:val="left" w:pos="1086"/>
              </w:tabs>
              <w:spacing w:before="2"/>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and</w:t>
            </w:r>
          </w:p>
          <w:p w14:paraId="78593894"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1DC7DE1"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52D5DACF"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built-up area of Fântana Mare, </w:t>
            </w:r>
            <w:r w:rsidRPr="00C96230">
              <w:rPr>
                <w:rFonts w:ascii="Verdana" w:hAnsi="Verdana"/>
                <w:spacing w:val="-4"/>
                <w:sz w:val="18"/>
                <w:szCs w:val="18"/>
              </w:rPr>
              <w:t>com.</w:t>
            </w:r>
          </w:p>
          <w:p w14:paraId="71380845"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0DA22D70"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21B5EA98"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5AF598F1"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1AF93995"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6622CF69"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607BD785"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0A07E422" w14:textId="77777777" w:rsidR="008715BE" w:rsidRPr="00C96230" w:rsidRDefault="00000000">
            <w:pPr>
              <w:pStyle w:val="TableParagraph"/>
              <w:spacing w:line="193" w:lineRule="exact"/>
              <w:ind w:left="108"/>
              <w:rPr>
                <w:rFonts w:ascii="Verdana" w:hAnsi="Verdana"/>
                <w:sz w:val="18"/>
                <w:szCs w:val="18"/>
              </w:rPr>
            </w:pPr>
            <w:r w:rsidRPr="00C96230">
              <w:rPr>
                <w:rFonts w:ascii="Verdana" w:hAnsi="Verdana"/>
                <w:spacing w:val="-2"/>
                <w:sz w:val="18"/>
                <w:szCs w:val="18"/>
              </w:rPr>
              <w:t>Independența</w:t>
            </w:r>
          </w:p>
          <w:p w14:paraId="6BC7A585" w14:textId="77777777" w:rsidR="008715BE" w:rsidRPr="00C96230" w:rsidRDefault="00000000">
            <w:pPr>
              <w:pStyle w:val="TableParagraph"/>
              <w:tabs>
                <w:tab w:val="left" w:pos="888"/>
              </w:tabs>
              <w:spacing w:line="165" w:lineRule="exact"/>
              <w:ind w:left="108"/>
              <w:rPr>
                <w:rFonts w:ascii="Verdana" w:hAnsi="Verdana"/>
                <w:sz w:val="18"/>
                <w:szCs w:val="18"/>
              </w:rPr>
            </w:pP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commune</w:t>
            </w:r>
          </w:p>
        </w:tc>
        <w:tc>
          <w:tcPr>
            <w:tcW w:w="971" w:type="dxa"/>
          </w:tcPr>
          <w:p w14:paraId="6525CFDB"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76A3FE2A"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Miniopterus schreibersii Rhinolophus mehelyi</w:t>
            </w:r>
          </w:p>
        </w:tc>
        <w:tc>
          <w:tcPr>
            <w:tcW w:w="1897" w:type="dxa"/>
          </w:tcPr>
          <w:p w14:paraId="0C5A89E5"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0868DAC1" w14:textId="77777777" w:rsidR="008715BE" w:rsidRPr="00C96230" w:rsidRDefault="00000000">
            <w:pPr>
              <w:pStyle w:val="TableParagraph"/>
              <w:tabs>
                <w:tab w:val="left" w:pos="2852"/>
              </w:tabs>
              <w:spacing w:before="8" w:line="195" w:lineRule="exact"/>
              <w:ind w:left="117"/>
              <w:rPr>
                <w:rFonts w:ascii="Verdana" w:hAnsi="Verdana"/>
                <w:i/>
                <w:sz w:val="18"/>
                <w:szCs w:val="18"/>
              </w:rPr>
            </w:pPr>
            <w:r w:rsidRPr="00C96230">
              <w:rPr>
                <w:rFonts w:ascii="Verdana" w:hAnsi="Verdana"/>
                <w:i/>
                <w:spacing w:val="-2"/>
                <w:sz w:val="18"/>
                <w:szCs w:val="18"/>
              </w:rPr>
              <w:t>Miniopterus</w:t>
            </w:r>
            <w:r w:rsidRPr="00C96230">
              <w:rPr>
                <w:rFonts w:ascii="Verdana" w:hAnsi="Verdana"/>
                <w:i/>
                <w:sz w:val="18"/>
                <w:szCs w:val="18"/>
              </w:rPr>
              <w:tab/>
            </w:r>
            <w:r w:rsidRPr="00C96230">
              <w:rPr>
                <w:rFonts w:ascii="Verdana" w:hAnsi="Verdana"/>
                <w:i/>
                <w:spacing w:val="-2"/>
                <w:sz w:val="18"/>
                <w:szCs w:val="18"/>
              </w:rPr>
              <w:t>schreibersii</w:t>
            </w:r>
          </w:p>
          <w:p w14:paraId="399CD94F" w14:textId="77777777" w:rsidR="008715BE" w:rsidRPr="00C96230" w:rsidRDefault="00000000">
            <w:pPr>
              <w:pStyle w:val="TableParagraph"/>
              <w:spacing w:line="195" w:lineRule="exact"/>
              <w:ind w:left="117"/>
              <w:rPr>
                <w:rFonts w:ascii="Verdana" w:hAnsi="Verdana"/>
                <w:sz w:val="18"/>
                <w:szCs w:val="18"/>
              </w:rPr>
            </w:pPr>
            <w:r w:rsidRPr="00C96230">
              <w:rPr>
                <w:rFonts w:ascii="Verdana" w:hAnsi="Verdana"/>
                <w:sz w:val="18"/>
                <w:szCs w:val="18"/>
              </w:rPr>
              <w:t xml:space="preserve">- maximum one individual every 5 </w:t>
            </w:r>
            <w:r w:rsidRPr="00C96230">
              <w:rPr>
                <w:rFonts w:ascii="Verdana" w:hAnsi="Verdana"/>
                <w:spacing w:val="-5"/>
                <w:sz w:val="18"/>
                <w:szCs w:val="18"/>
              </w:rPr>
              <w:t>years</w:t>
            </w:r>
          </w:p>
        </w:tc>
        <w:tc>
          <w:tcPr>
            <w:tcW w:w="1889" w:type="dxa"/>
          </w:tcPr>
          <w:p w14:paraId="51497235" w14:textId="77777777" w:rsidR="008715BE" w:rsidRPr="00C96230" w:rsidRDefault="00000000">
            <w:pPr>
              <w:pStyle w:val="TableParagraph"/>
              <w:tabs>
                <w:tab w:val="left" w:pos="663"/>
                <w:tab w:val="left" w:pos="1549"/>
              </w:tabs>
              <w:spacing w:before="8"/>
              <w:ind w:left="119" w:right="82"/>
              <w:rPr>
                <w:rFonts w:ascii="Verdana" w:hAnsi="Verdana"/>
                <w:sz w:val="18"/>
                <w:szCs w:val="18"/>
              </w:rPr>
            </w:pPr>
            <w:r w:rsidRPr="00C96230">
              <w:rPr>
                <w:rFonts w:ascii="Verdana" w:hAnsi="Verdana"/>
                <w:sz w:val="18"/>
                <w:szCs w:val="18"/>
              </w:rPr>
              <w:t xml:space="preserve">The precautionary principle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2"/>
                <w:sz w:val="18"/>
                <w:szCs w:val="18"/>
              </w:rPr>
              <w:t>data</w:t>
            </w:r>
            <w:r w:rsidRPr="00C96230">
              <w:rPr>
                <w:rFonts w:ascii="Verdana" w:hAnsi="Verdana"/>
                <w:sz w:val="18"/>
                <w:szCs w:val="18"/>
              </w:rPr>
              <w:tab/>
            </w:r>
            <w:r w:rsidRPr="00C96230">
              <w:rPr>
                <w:rFonts w:ascii="Verdana" w:hAnsi="Verdana"/>
                <w:spacing w:val="-5"/>
                <w:sz w:val="18"/>
                <w:szCs w:val="18"/>
              </w:rPr>
              <w:t>from</w:t>
            </w:r>
          </w:p>
          <w:p w14:paraId="09AF322D" w14:textId="77777777" w:rsidR="008715BE" w:rsidRPr="00C96230" w:rsidRDefault="00000000">
            <w:pPr>
              <w:pStyle w:val="TableParagraph"/>
              <w:tabs>
                <w:tab w:val="left" w:pos="1599"/>
              </w:tabs>
              <w:ind w:left="119" w:right="80"/>
              <w:rPr>
                <w:rFonts w:ascii="Verdana" w:hAnsi="Verdana"/>
                <w:sz w:val="18"/>
                <w:szCs w:val="18"/>
              </w:rPr>
            </w:pPr>
            <w:r w:rsidRPr="00C96230">
              <w:rPr>
                <w:rFonts w:ascii="Verdana" w:hAnsi="Verdana"/>
                <w:spacing w:val="-2"/>
                <w:sz w:val="18"/>
                <w:szCs w:val="18"/>
              </w:rPr>
              <w:t>literature</w:t>
            </w:r>
            <w:r w:rsidRPr="00C96230">
              <w:rPr>
                <w:rFonts w:ascii="Verdana" w:hAnsi="Verdana"/>
                <w:sz w:val="18"/>
                <w:szCs w:val="18"/>
              </w:rPr>
              <w:tab/>
            </w:r>
            <w:r w:rsidRPr="00C96230">
              <w:rPr>
                <w:rFonts w:ascii="Verdana" w:hAnsi="Verdana"/>
                <w:spacing w:val="-2"/>
                <w:sz w:val="18"/>
                <w:szCs w:val="18"/>
              </w:rPr>
              <w:t>and</w:t>
            </w:r>
          </w:p>
          <w:p w14:paraId="21249070" w14:textId="77777777" w:rsidR="008715BE" w:rsidRPr="00C96230" w:rsidRDefault="00000000">
            <w:pPr>
              <w:pStyle w:val="TableParagraph"/>
              <w:tabs>
                <w:tab w:val="left" w:pos="1085"/>
              </w:tabs>
              <w:ind w:left="119" w:right="81"/>
              <w:rPr>
                <w:rFonts w:ascii="Verdana" w:hAnsi="Verdana"/>
                <w:sz w:val="18"/>
                <w:szCs w:val="18"/>
              </w:rPr>
            </w:pPr>
            <w:r w:rsidRPr="00C96230">
              <w:rPr>
                <w:rFonts w:ascii="Verdana" w:hAnsi="Verdana"/>
                <w:spacing w:val="-2"/>
                <w:sz w:val="18"/>
                <w:szCs w:val="18"/>
              </w:rPr>
              <w:t>Eurobats</w:t>
            </w:r>
            <w:r w:rsidRPr="00C96230">
              <w:rPr>
                <w:rFonts w:ascii="Verdana" w:hAnsi="Verdana"/>
                <w:sz w:val="18"/>
                <w:szCs w:val="18"/>
              </w:rPr>
              <w:tab/>
            </w:r>
            <w:r w:rsidRPr="00C96230">
              <w:rPr>
                <w:rFonts w:ascii="Verdana" w:hAnsi="Verdana"/>
                <w:spacing w:val="-4"/>
                <w:sz w:val="18"/>
                <w:szCs w:val="18"/>
              </w:rPr>
              <w:t>Eurobats 2023</w:t>
            </w:r>
          </w:p>
        </w:tc>
      </w:tr>
    </w:tbl>
    <w:p w14:paraId="4A3BCD29"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733A7FE6"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761"/>
        <w:gridCol w:w="829"/>
        <w:gridCol w:w="1736"/>
        <w:gridCol w:w="1897"/>
        <w:gridCol w:w="3860"/>
        <w:gridCol w:w="1889"/>
      </w:tblGrid>
      <w:tr w:rsidR="008715BE" w:rsidRPr="00C96230" w14:paraId="48D629D1" w14:textId="77777777" w:rsidTr="0053798D">
        <w:trPr>
          <w:trHeight w:val="842"/>
        </w:trPr>
        <w:tc>
          <w:tcPr>
            <w:tcW w:w="2846" w:type="dxa"/>
            <w:gridSpan w:val="2"/>
            <w:shd w:val="clear" w:color="auto" w:fill="00A1E8"/>
          </w:tcPr>
          <w:p w14:paraId="26498AE0" w14:textId="77777777" w:rsidR="008715BE" w:rsidRPr="00C96230" w:rsidRDefault="008715BE">
            <w:pPr>
              <w:pStyle w:val="TableParagraph"/>
              <w:spacing w:before="136"/>
              <w:rPr>
                <w:rFonts w:ascii="Verdana" w:hAnsi="Verdana"/>
                <w:b/>
                <w:sz w:val="18"/>
                <w:szCs w:val="18"/>
              </w:rPr>
            </w:pPr>
          </w:p>
          <w:p w14:paraId="6E6171A3"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2B51783F" w14:textId="77777777" w:rsidR="008715BE" w:rsidRPr="00C96230" w:rsidRDefault="008715BE">
            <w:pPr>
              <w:pStyle w:val="TableParagraph"/>
              <w:spacing w:before="136"/>
              <w:rPr>
                <w:rFonts w:ascii="Verdana" w:hAnsi="Verdana"/>
                <w:b/>
                <w:sz w:val="18"/>
                <w:szCs w:val="18"/>
              </w:rPr>
            </w:pPr>
          </w:p>
          <w:p w14:paraId="6F7ED071"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6F0F6ACC" w14:textId="77777777" w:rsidR="008715BE" w:rsidRPr="00C96230" w:rsidRDefault="008715BE">
            <w:pPr>
              <w:pStyle w:val="TableParagraph"/>
              <w:spacing w:before="40"/>
              <w:rPr>
                <w:rFonts w:ascii="Verdana" w:hAnsi="Verdana"/>
                <w:b/>
                <w:sz w:val="18"/>
                <w:szCs w:val="18"/>
              </w:rPr>
            </w:pPr>
          </w:p>
          <w:p w14:paraId="3D80F5BE"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17604794" w14:textId="77777777" w:rsidR="008715BE" w:rsidRPr="00C96230" w:rsidRDefault="008715BE">
            <w:pPr>
              <w:pStyle w:val="TableParagraph"/>
              <w:spacing w:before="40"/>
              <w:rPr>
                <w:rFonts w:ascii="Verdana" w:hAnsi="Verdana"/>
                <w:b/>
                <w:sz w:val="18"/>
                <w:szCs w:val="18"/>
              </w:rPr>
            </w:pPr>
          </w:p>
          <w:p w14:paraId="63A6AC2A"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0C27B854" w14:textId="77777777" w:rsidR="008715BE" w:rsidRPr="00C96230" w:rsidRDefault="008715BE">
            <w:pPr>
              <w:pStyle w:val="TableParagraph"/>
              <w:spacing w:before="40"/>
              <w:rPr>
                <w:rFonts w:ascii="Verdana" w:hAnsi="Verdana"/>
                <w:b/>
                <w:sz w:val="18"/>
                <w:szCs w:val="18"/>
              </w:rPr>
            </w:pPr>
          </w:p>
          <w:p w14:paraId="6AD725A9"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761" w:type="dxa"/>
            <w:shd w:val="clear" w:color="auto" w:fill="00A1E8"/>
          </w:tcPr>
          <w:p w14:paraId="5ACCB89B" w14:textId="77777777" w:rsidR="008715BE" w:rsidRPr="00C96230" w:rsidRDefault="008715BE">
            <w:pPr>
              <w:pStyle w:val="TableParagraph"/>
              <w:spacing w:before="40"/>
              <w:rPr>
                <w:rFonts w:ascii="Verdana" w:hAnsi="Verdana"/>
                <w:b/>
                <w:sz w:val="18"/>
                <w:szCs w:val="18"/>
              </w:rPr>
            </w:pPr>
          </w:p>
          <w:p w14:paraId="7AD30805"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829" w:type="dxa"/>
            <w:shd w:val="clear" w:color="auto" w:fill="00A1E8"/>
          </w:tcPr>
          <w:p w14:paraId="0CE78F5F"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2A73E430" w14:textId="77777777" w:rsidR="008715BE" w:rsidRPr="00C96230" w:rsidRDefault="008715BE">
            <w:pPr>
              <w:pStyle w:val="TableParagraph"/>
              <w:spacing w:before="136"/>
              <w:rPr>
                <w:rFonts w:ascii="Verdana" w:hAnsi="Verdana"/>
                <w:b/>
                <w:sz w:val="18"/>
                <w:szCs w:val="18"/>
              </w:rPr>
            </w:pPr>
          </w:p>
          <w:p w14:paraId="3B05D383"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69902CC4" w14:textId="77777777" w:rsidR="008715BE" w:rsidRPr="00C96230" w:rsidRDefault="008715BE">
            <w:pPr>
              <w:pStyle w:val="TableParagraph"/>
              <w:spacing w:before="40"/>
              <w:rPr>
                <w:rFonts w:ascii="Verdana" w:hAnsi="Verdana"/>
                <w:b/>
                <w:sz w:val="18"/>
                <w:szCs w:val="18"/>
              </w:rPr>
            </w:pPr>
          </w:p>
          <w:p w14:paraId="5B1255C9"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pacing w:val="-10"/>
                <w:sz w:val="18"/>
                <w:szCs w:val="18"/>
              </w:rPr>
              <w:t>Target parameter/</w:t>
            </w:r>
          </w:p>
          <w:p w14:paraId="6971E026"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50B113BB" w14:textId="77777777" w:rsidR="008715BE" w:rsidRPr="00C96230" w:rsidRDefault="008715BE">
            <w:pPr>
              <w:pStyle w:val="TableParagraph"/>
              <w:spacing w:before="40"/>
              <w:rPr>
                <w:rFonts w:ascii="Verdana" w:hAnsi="Verdana"/>
                <w:b/>
                <w:sz w:val="18"/>
                <w:szCs w:val="18"/>
              </w:rPr>
            </w:pPr>
          </w:p>
          <w:p w14:paraId="344EC56D"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4CF8ADEE" w14:textId="77777777" w:rsidR="008715BE" w:rsidRPr="00C96230" w:rsidRDefault="008715BE">
            <w:pPr>
              <w:pStyle w:val="TableParagraph"/>
              <w:spacing w:before="40"/>
              <w:rPr>
                <w:rFonts w:ascii="Verdana" w:hAnsi="Verdana"/>
                <w:b/>
                <w:sz w:val="18"/>
                <w:szCs w:val="18"/>
              </w:rPr>
            </w:pPr>
          </w:p>
          <w:p w14:paraId="7B355A4D"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451CFB51" w14:textId="77777777" w:rsidTr="0053798D">
        <w:trPr>
          <w:trHeight w:val="2721"/>
        </w:trPr>
        <w:tc>
          <w:tcPr>
            <w:tcW w:w="523" w:type="dxa"/>
            <w:vMerge w:val="restart"/>
          </w:tcPr>
          <w:p w14:paraId="5B0F1BDA" w14:textId="77777777" w:rsidR="008715BE" w:rsidRPr="00C96230" w:rsidRDefault="008715BE">
            <w:pPr>
              <w:pStyle w:val="TableParagraph"/>
              <w:rPr>
                <w:rFonts w:ascii="Verdana" w:hAnsi="Verdana"/>
                <w:sz w:val="18"/>
                <w:szCs w:val="18"/>
              </w:rPr>
            </w:pPr>
          </w:p>
        </w:tc>
        <w:tc>
          <w:tcPr>
            <w:tcW w:w="2323" w:type="dxa"/>
            <w:vMerge w:val="restart"/>
          </w:tcPr>
          <w:p w14:paraId="6DAC6DBB" w14:textId="77777777" w:rsidR="008715BE" w:rsidRPr="00C96230" w:rsidRDefault="008715BE">
            <w:pPr>
              <w:pStyle w:val="TableParagraph"/>
              <w:rPr>
                <w:rFonts w:ascii="Verdana" w:hAnsi="Verdana"/>
                <w:sz w:val="18"/>
                <w:szCs w:val="18"/>
              </w:rPr>
            </w:pPr>
          </w:p>
        </w:tc>
        <w:tc>
          <w:tcPr>
            <w:tcW w:w="3149" w:type="dxa"/>
          </w:tcPr>
          <w:p w14:paraId="0AFAA296" w14:textId="77777777" w:rsidR="008715BE" w:rsidRPr="00C96230" w:rsidRDefault="008715BE">
            <w:pPr>
              <w:pStyle w:val="TableParagraph"/>
              <w:rPr>
                <w:rFonts w:ascii="Verdana" w:hAnsi="Verdana"/>
                <w:sz w:val="18"/>
                <w:szCs w:val="18"/>
              </w:rPr>
            </w:pPr>
          </w:p>
        </w:tc>
        <w:tc>
          <w:tcPr>
            <w:tcW w:w="1106" w:type="dxa"/>
          </w:tcPr>
          <w:p w14:paraId="4C3C0D83" w14:textId="77777777" w:rsidR="008715BE" w:rsidRPr="00C96230" w:rsidRDefault="008715BE">
            <w:pPr>
              <w:pStyle w:val="TableParagraph"/>
              <w:rPr>
                <w:rFonts w:ascii="Verdana" w:hAnsi="Verdana"/>
                <w:sz w:val="18"/>
                <w:szCs w:val="18"/>
              </w:rPr>
            </w:pPr>
          </w:p>
        </w:tc>
        <w:tc>
          <w:tcPr>
            <w:tcW w:w="1108" w:type="dxa"/>
          </w:tcPr>
          <w:p w14:paraId="36DF3D32" w14:textId="77777777" w:rsidR="008715BE" w:rsidRPr="00C96230" w:rsidRDefault="008715BE">
            <w:pPr>
              <w:pStyle w:val="TableParagraph"/>
              <w:rPr>
                <w:rFonts w:ascii="Verdana" w:hAnsi="Verdana"/>
                <w:sz w:val="18"/>
                <w:szCs w:val="18"/>
              </w:rPr>
            </w:pPr>
          </w:p>
        </w:tc>
        <w:tc>
          <w:tcPr>
            <w:tcW w:w="1211" w:type="dxa"/>
          </w:tcPr>
          <w:p w14:paraId="2D3B8281" w14:textId="77777777" w:rsidR="008715BE" w:rsidRPr="00C96230" w:rsidRDefault="008715BE">
            <w:pPr>
              <w:pStyle w:val="TableParagraph"/>
              <w:rPr>
                <w:rFonts w:ascii="Verdana" w:hAnsi="Verdana"/>
                <w:sz w:val="18"/>
                <w:szCs w:val="18"/>
              </w:rPr>
            </w:pPr>
          </w:p>
        </w:tc>
        <w:tc>
          <w:tcPr>
            <w:tcW w:w="1761" w:type="dxa"/>
          </w:tcPr>
          <w:p w14:paraId="5F0A5272" w14:textId="77777777" w:rsidR="008715BE" w:rsidRPr="00C96230" w:rsidRDefault="00000000">
            <w:pPr>
              <w:pStyle w:val="TableParagraph"/>
              <w:tabs>
                <w:tab w:val="left" w:pos="1213"/>
              </w:tabs>
              <w:spacing w:before="8"/>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Tătaru </w:t>
            </w:r>
            <w:r w:rsidRPr="00C96230">
              <w:rPr>
                <w:rFonts w:ascii="Verdana" w:hAnsi="Verdana"/>
                <w:sz w:val="18"/>
                <w:szCs w:val="18"/>
              </w:rPr>
              <w:t>built-up area</w:t>
            </w:r>
          </w:p>
          <w:p w14:paraId="2A09D979"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56E8CCAD"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Wind</w:t>
            </w:r>
            <w:r w:rsidRPr="00C96230">
              <w:rPr>
                <w:rFonts w:ascii="Verdana" w:hAnsi="Verdana"/>
                <w:sz w:val="18"/>
                <w:szCs w:val="18"/>
              </w:rPr>
              <w:tab/>
            </w:r>
            <w:r w:rsidRPr="00C96230">
              <w:rPr>
                <w:rFonts w:ascii="Verdana" w:hAnsi="Verdana"/>
                <w:spacing w:val="-2"/>
                <w:sz w:val="18"/>
                <w:szCs w:val="18"/>
              </w:rPr>
              <w:t>Karnobat</w:t>
            </w:r>
          </w:p>
          <w:p w14:paraId="3C00DAE5"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(existing)</w:t>
            </w:r>
          </w:p>
        </w:tc>
        <w:tc>
          <w:tcPr>
            <w:tcW w:w="829" w:type="dxa"/>
          </w:tcPr>
          <w:p w14:paraId="07DA5910" w14:textId="77777777" w:rsidR="008715BE" w:rsidRPr="00C96230" w:rsidRDefault="008715BE">
            <w:pPr>
              <w:pStyle w:val="TableParagraph"/>
              <w:rPr>
                <w:rFonts w:ascii="Verdana" w:hAnsi="Verdana"/>
                <w:sz w:val="18"/>
                <w:szCs w:val="18"/>
              </w:rPr>
            </w:pPr>
          </w:p>
        </w:tc>
        <w:tc>
          <w:tcPr>
            <w:tcW w:w="1736" w:type="dxa"/>
          </w:tcPr>
          <w:p w14:paraId="5E97746E" w14:textId="77777777" w:rsidR="008715BE" w:rsidRPr="00C96230" w:rsidRDefault="008715BE">
            <w:pPr>
              <w:pStyle w:val="TableParagraph"/>
              <w:rPr>
                <w:rFonts w:ascii="Verdana" w:hAnsi="Verdana"/>
                <w:sz w:val="18"/>
                <w:szCs w:val="18"/>
              </w:rPr>
            </w:pPr>
          </w:p>
        </w:tc>
        <w:tc>
          <w:tcPr>
            <w:tcW w:w="1897" w:type="dxa"/>
          </w:tcPr>
          <w:p w14:paraId="735A93F2" w14:textId="77777777" w:rsidR="008715BE" w:rsidRPr="00C96230" w:rsidRDefault="008715BE">
            <w:pPr>
              <w:pStyle w:val="TableParagraph"/>
              <w:rPr>
                <w:rFonts w:ascii="Verdana" w:hAnsi="Verdana"/>
                <w:sz w:val="18"/>
                <w:szCs w:val="18"/>
              </w:rPr>
            </w:pPr>
          </w:p>
        </w:tc>
        <w:tc>
          <w:tcPr>
            <w:tcW w:w="3860" w:type="dxa"/>
          </w:tcPr>
          <w:p w14:paraId="74EAB202" w14:textId="77777777" w:rsidR="008715BE" w:rsidRPr="00C96230" w:rsidRDefault="008715BE">
            <w:pPr>
              <w:pStyle w:val="TableParagraph"/>
              <w:rPr>
                <w:rFonts w:ascii="Verdana" w:hAnsi="Verdana"/>
                <w:sz w:val="18"/>
                <w:szCs w:val="18"/>
              </w:rPr>
            </w:pPr>
          </w:p>
        </w:tc>
        <w:tc>
          <w:tcPr>
            <w:tcW w:w="1889" w:type="dxa"/>
          </w:tcPr>
          <w:p w14:paraId="6ABBE3BF" w14:textId="77777777" w:rsidR="008715BE" w:rsidRPr="00C96230" w:rsidRDefault="008715BE">
            <w:pPr>
              <w:pStyle w:val="TableParagraph"/>
              <w:rPr>
                <w:rFonts w:ascii="Verdana" w:hAnsi="Verdana"/>
                <w:sz w:val="18"/>
                <w:szCs w:val="18"/>
              </w:rPr>
            </w:pPr>
          </w:p>
        </w:tc>
      </w:tr>
      <w:tr w:rsidR="008715BE" w:rsidRPr="00C96230" w14:paraId="7A14B268" w14:textId="77777777" w:rsidTr="0053798D">
        <w:trPr>
          <w:trHeight w:val="10697"/>
        </w:trPr>
        <w:tc>
          <w:tcPr>
            <w:tcW w:w="523" w:type="dxa"/>
            <w:vMerge/>
            <w:tcBorders>
              <w:top w:val="nil"/>
            </w:tcBorders>
          </w:tcPr>
          <w:p w14:paraId="03E21F9B" w14:textId="77777777" w:rsidR="008715BE" w:rsidRPr="00C96230" w:rsidRDefault="008715BE">
            <w:pPr>
              <w:rPr>
                <w:rFonts w:ascii="Verdana" w:hAnsi="Verdana"/>
                <w:sz w:val="18"/>
                <w:szCs w:val="18"/>
              </w:rPr>
            </w:pPr>
          </w:p>
        </w:tc>
        <w:tc>
          <w:tcPr>
            <w:tcW w:w="2323" w:type="dxa"/>
            <w:vMerge/>
            <w:tcBorders>
              <w:top w:val="nil"/>
            </w:tcBorders>
          </w:tcPr>
          <w:p w14:paraId="14E3343C" w14:textId="77777777" w:rsidR="008715BE" w:rsidRPr="00C96230" w:rsidRDefault="008715BE">
            <w:pPr>
              <w:rPr>
                <w:rFonts w:ascii="Verdana" w:hAnsi="Verdana"/>
                <w:sz w:val="18"/>
                <w:szCs w:val="18"/>
              </w:rPr>
            </w:pPr>
          </w:p>
        </w:tc>
        <w:tc>
          <w:tcPr>
            <w:tcW w:w="3149" w:type="dxa"/>
          </w:tcPr>
          <w:p w14:paraId="6B579ABD"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Sudden change in pressure within the range of the turbine blades, but also below this (approx. 5 m) - </w:t>
            </w:r>
            <w:r w:rsidRPr="00C96230">
              <w:rPr>
                <w:rFonts w:ascii="Verdana" w:hAnsi="Verdana"/>
                <w:spacing w:val="-2"/>
                <w:sz w:val="18"/>
                <w:szCs w:val="18"/>
              </w:rPr>
              <w:t>barotrauma</w:t>
            </w:r>
          </w:p>
        </w:tc>
        <w:tc>
          <w:tcPr>
            <w:tcW w:w="1106" w:type="dxa"/>
          </w:tcPr>
          <w:p w14:paraId="1AD846AA"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761BA0ED"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1CF994A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761" w:type="dxa"/>
          </w:tcPr>
          <w:p w14:paraId="2DC82AD3"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impact </w:t>
            </w:r>
            <w:r w:rsidRPr="00C96230">
              <w:rPr>
                <w:rFonts w:ascii="Verdana" w:hAnsi="Verdana"/>
                <w:sz w:val="18"/>
                <w:szCs w:val="18"/>
              </w:rPr>
              <w:t xml:space="preserve">with: </w:t>
            </w:r>
            <w:r w:rsidRPr="00C96230">
              <w:rPr>
                <w:rFonts w:ascii="Verdana" w:hAnsi="Verdana"/>
                <w:spacing w:val="-4"/>
                <w:sz w:val="18"/>
                <w:szCs w:val="18"/>
              </w:rPr>
              <w:t>Wind farm</w:t>
            </w:r>
            <w:r w:rsidRPr="00C96230">
              <w:rPr>
                <w:rFonts w:ascii="Verdana" w:hAnsi="Verdana"/>
                <w:sz w:val="18"/>
                <w:szCs w:val="18"/>
              </w:rPr>
              <w:tab/>
            </w:r>
            <w:r w:rsidRPr="00C96230">
              <w:rPr>
                <w:rFonts w:ascii="Verdana" w:hAnsi="Verdana"/>
                <w:spacing w:val="-2"/>
                <w:sz w:val="18"/>
                <w:szCs w:val="18"/>
              </w:rPr>
              <w:t xml:space="preserve">Chirnogeni (existing) </w:t>
            </w:r>
            <w:r w:rsidRPr="00C96230">
              <w:rPr>
                <w:rFonts w:ascii="Verdana" w:hAnsi="Verdana"/>
                <w:sz w:val="18"/>
                <w:szCs w:val="18"/>
              </w:rPr>
              <w:t xml:space="preserve">Wind </w:t>
            </w:r>
            <w:r w:rsidRPr="00C96230">
              <w:rPr>
                <w:rFonts w:ascii="Verdana" w:hAnsi="Verdana"/>
                <w:spacing w:val="-2"/>
                <w:sz w:val="18"/>
                <w:szCs w:val="18"/>
              </w:rPr>
              <w:t>farm</w:t>
            </w:r>
            <w:r w:rsidRPr="00C96230">
              <w:rPr>
                <w:rFonts w:ascii="Verdana" w:hAnsi="Verdana"/>
                <w:sz w:val="18"/>
                <w:szCs w:val="18"/>
              </w:rPr>
              <w:t xml:space="preserve"> 14 </w:t>
            </w:r>
            <w:r w:rsidRPr="00C96230">
              <w:rPr>
                <w:rFonts w:ascii="Verdana" w:hAnsi="Verdana"/>
                <w:spacing w:val="-5"/>
                <w:sz w:val="18"/>
                <w:szCs w:val="18"/>
              </w:rPr>
              <w:t>CE-</w:t>
            </w:r>
          </w:p>
          <w:p w14:paraId="731FB2EC" w14:textId="77777777" w:rsidR="008715BE" w:rsidRPr="00C96230" w:rsidRDefault="00000000">
            <w:pPr>
              <w:pStyle w:val="TableParagraph"/>
              <w:tabs>
                <w:tab w:val="left" w:pos="931"/>
              </w:tabs>
              <w:spacing w:line="189"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221FF282"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3EA738EC" w14:textId="77777777" w:rsidR="008715BE" w:rsidRPr="00C96230" w:rsidRDefault="00000000">
            <w:pPr>
              <w:pStyle w:val="TableParagraph"/>
              <w:spacing w:line="190" w:lineRule="exact"/>
              <w:ind w:left="108"/>
              <w:rPr>
                <w:rFonts w:ascii="Verdana" w:hAnsi="Verdana"/>
                <w:sz w:val="18"/>
                <w:szCs w:val="18"/>
              </w:rPr>
            </w:pPr>
            <w:r w:rsidRPr="00C96230">
              <w:rPr>
                <w:rFonts w:ascii="Verdana" w:hAnsi="Verdana"/>
                <w:sz w:val="18"/>
                <w:szCs w:val="18"/>
              </w:rPr>
              <w:t xml:space="preserve">communication </w:t>
            </w:r>
            <w:r w:rsidRPr="00C96230">
              <w:rPr>
                <w:rFonts w:ascii="Verdana" w:hAnsi="Verdana"/>
                <w:spacing w:val="-5"/>
                <w:sz w:val="18"/>
                <w:szCs w:val="18"/>
              </w:rPr>
              <w:t>and</w:t>
            </w:r>
          </w:p>
          <w:p w14:paraId="303F8B74"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10D5B331"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built-up area of Fântana Mare, </w:t>
            </w:r>
            <w:r w:rsidRPr="00C96230">
              <w:rPr>
                <w:rFonts w:ascii="Verdana" w:hAnsi="Verdana"/>
                <w:spacing w:val="-4"/>
                <w:sz w:val="18"/>
                <w:szCs w:val="18"/>
              </w:rPr>
              <w:t>commune of</w:t>
            </w:r>
          </w:p>
          <w:p w14:paraId="71480E4D"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7459A651"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2E4E657E"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10985430"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3EE27EDE"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229E4CA"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6C3AE090"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29C5E395" w14:textId="77777777" w:rsidR="008715BE" w:rsidRPr="00C96230" w:rsidRDefault="00000000">
            <w:pPr>
              <w:pStyle w:val="TableParagraph"/>
              <w:tabs>
                <w:tab w:val="left" w:pos="888"/>
              </w:tabs>
              <w:ind w:left="108" w:right="91"/>
              <w:rPr>
                <w:rFonts w:ascii="Verdana" w:hAnsi="Verdana"/>
                <w:sz w:val="18"/>
                <w:szCs w:val="18"/>
              </w:rPr>
            </w:pPr>
            <w:r w:rsidRPr="00C96230">
              <w:rPr>
                <w:rFonts w:ascii="Verdana" w:hAnsi="Verdana"/>
                <w:spacing w:val="-2"/>
                <w:sz w:val="18"/>
                <w:szCs w:val="18"/>
              </w:rPr>
              <w:t xml:space="preserve">Independența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municipality</w:t>
            </w:r>
          </w:p>
          <w:p w14:paraId="27B89AEE" w14:textId="77777777" w:rsidR="008715BE" w:rsidRPr="00C96230" w:rsidRDefault="00000000">
            <w:pPr>
              <w:pStyle w:val="TableParagraph"/>
              <w:tabs>
                <w:tab w:val="left" w:pos="1213"/>
              </w:tabs>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w:t>
            </w:r>
            <w:r w:rsidRPr="00C96230">
              <w:rPr>
                <w:rFonts w:ascii="Verdana" w:hAnsi="Verdana"/>
                <w:sz w:val="18"/>
                <w:szCs w:val="18"/>
              </w:rPr>
              <w:t xml:space="preserve">built-up area of </w:t>
            </w:r>
            <w:r w:rsidRPr="00C96230">
              <w:rPr>
                <w:rFonts w:ascii="Verdana" w:hAnsi="Verdana"/>
                <w:spacing w:val="-2"/>
                <w:sz w:val="18"/>
                <w:szCs w:val="18"/>
              </w:rPr>
              <w:t>Tătaru</w:t>
            </w:r>
          </w:p>
          <w:p w14:paraId="701C6118"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0BC5BE3F"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Wind</w:t>
            </w:r>
            <w:r w:rsidRPr="00C96230">
              <w:rPr>
                <w:rFonts w:ascii="Verdana" w:hAnsi="Verdana"/>
                <w:sz w:val="18"/>
                <w:szCs w:val="18"/>
              </w:rPr>
              <w:tab/>
            </w:r>
            <w:r w:rsidRPr="00C96230">
              <w:rPr>
                <w:rFonts w:ascii="Verdana" w:hAnsi="Verdana"/>
                <w:spacing w:val="-2"/>
                <w:sz w:val="18"/>
                <w:szCs w:val="18"/>
              </w:rPr>
              <w:t>Karnobat</w:t>
            </w:r>
          </w:p>
          <w:p w14:paraId="3C203959" w14:textId="77777777" w:rsidR="008715BE" w:rsidRPr="00C96230" w:rsidRDefault="00000000">
            <w:pPr>
              <w:pStyle w:val="TableParagraph"/>
              <w:spacing w:line="166" w:lineRule="exact"/>
              <w:ind w:left="108"/>
              <w:rPr>
                <w:rFonts w:ascii="Verdana" w:hAnsi="Verdana"/>
                <w:sz w:val="18"/>
                <w:szCs w:val="18"/>
              </w:rPr>
            </w:pPr>
            <w:r w:rsidRPr="00C96230">
              <w:rPr>
                <w:rFonts w:ascii="Verdana" w:hAnsi="Verdana"/>
                <w:spacing w:val="-2"/>
                <w:sz w:val="18"/>
                <w:szCs w:val="18"/>
              </w:rPr>
              <w:t>(existing</w:t>
            </w:r>
          </w:p>
        </w:tc>
        <w:tc>
          <w:tcPr>
            <w:tcW w:w="829" w:type="dxa"/>
          </w:tcPr>
          <w:p w14:paraId="3B44E998"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5DC23306" w14:textId="77777777" w:rsidR="008715BE" w:rsidRPr="00C96230" w:rsidRDefault="00000000">
            <w:pPr>
              <w:pStyle w:val="TableParagraph"/>
              <w:spacing w:before="8"/>
              <w:ind w:left="111"/>
              <w:rPr>
                <w:rFonts w:ascii="Verdana" w:hAnsi="Verdana"/>
                <w:i/>
                <w:sz w:val="18"/>
                <w:szCs w:val="18"/>
              </w:rPr>
            </w:pPr>
            <w:r w:rsidRPr="00C96230">
              <w:rPr>
                <w:rFonts w:ascii="Verdana" w:hAnsi="Verdana"/>
                <w:i/>
                <w:spacing w:val="-2"/>
                <w:sz w:val="18"/>
                <w:szCs w:val="18"/>
              </w:rPr>
              <w:t>Miniopterus schreibersii</w:t>
            </w:r>
          </w:p>
        </w:tc>
        <w:tc>
          <w:tcPr>
            <w:tcW w:w="1897" w:type="dxa"/>
          </w:tcPr>
          <w:p w14:paraId="7E2C5FF7"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076A916D" w14:textId="77777777" w:rsidR="008715BE" w:rsidRPr="00C96230" w:rsidRDefault="00000000">
            <w:pPr>
              <w:pStyle w:val="TableParagraph"/>
              <w:tabs>
                <w:tab w:val="left" w:pos="2852"/>
              </w:tabs>
              <w:spacing w:before="8" w:line="195" w:lineRule="exact"/>
              <w:ind w:left="117"/>
              <w:rPr>
                <w:rFonts w:ascii="Verdana" w:hAnsi="Verdana"/>
                <w:i/>
                <w:sz w:val="18"/>
                <w:szCs w:val="18"/>
              </w:rPr>
            </w:pPr>
            <w:r w:rsidRPr="00C96230">
              <w:rPr>
                <w:rFonts w:ascii="Verdana" w:hAnsi="Verdana"/>
                <w:i/>
                <w:spacing w:val="-2"/>
                <w:sz w:val="18"/>
                <w:szCs w:val="18"/>
              </w:rPr>
              <w:t>Miniopterus</w:t>
            </w:r>
            <w:r w:rsidRPr="00C96230">
              <w:rPr>
                <w:rFonts w:ascii="Verdana" w:hAnsi="Verdana"/>
                <w:i/>
                <w:sz w:val="18"/>
                <w:szCs w:val="18"/>
              </w:rPr>
              <w:tab/>
            </w:r>
            <w:r w:rsidRPr="00C96230">
              <w:rPr>
                <w:rFonts w:ascii="Verdana" w:hAnsi="Verdana"/>
                <w:i/>
                <w:spacing w:val="-2"/>
                <w:sz w:val="18"/>
                <w:szCs w:val="18"/>
              </w:rPr>
              <w:t>schreibersii</w:t>
            </w:r>
          </w:p>
          <w:p w14:paraId="1E59BE78" w14:textId="77777777" w:rsidR="008715BE" w:rsidRPr="00C96230" w:rsidRDefault="00000000">
            <w:pPr>
              <w:pStyle w:val="TableParagraph"/>
              <w:spacing w:line="195" w:lineRule="exact"/>
              <w:ind w:left="117"/>
              <w:rPr>
                <w:rFonts w:ascii="Verdana" w:hAnsi="Verdana"/>
                <w:sz w:val="18"/>
                <w:szCs w:val="18"/>
              </w:rPr>
            </w:pPr>
            <w:r w:rsidRPr="00C96230">
              <w:rPr>
                <w:rFonts w:ascii="Verdana" w:hAnsi="Verdana"/>
                <w:sz w:val="18"/>
                <w:szCs w:val="18"/>
              </w:rPr>
              <w:t xml:space="preserve">- maximum one individual every 5 </w:t>
            </w:r>
            <w:r w:rsidRPr="00C96230">
              <w:rPr>
                <w:rFonts w:ascii="Verdana" w:hAnsi="Verdana"/>
                <w:spacing w:val="-5"/>
                <w:sz w:val="18"/>
                <w:szCs w:val="18"/>
              </w:rPr>
              <w:t>years</w:t>
            </w:r>
          </w:p>
        </w:tc>
        <w:tc>
          <w:tcPr>
            <w:tcW w:w="1889" w:type="dxa"/>
          </w:tcPr>
          <w:p w14:paraId="73ECBA16" w14:textId="77777777" w:rsidR="008715BE" w:rsidRPr="00C96230" w:rsidRDefault="00000000">
            <w:pPr>
              <w:pStyle w:val="TableParagraph"/>
              <w:tabs>
                <w:tab w:val="left" w:pos="663"/>
                <w:tab w:val="left" w:pos="1549"/>
              </w:tabs>
              <w:spacing w:before="8"/>
              <w:ind w:left="119" w:right="82"/>
              <w:rPr>
                <w:rFonts w:ascii="Verdana" w:hAnsi="Verdana"/>
                <w:sz w:val="18"/>
                <w:szCs w:val="18"/>
              </w:rPr>
            </w:pPr>
            <w:r w:rsidRPr="00C96230">
              <w:rPr>
                <w:rFonts w:ascii="Verdana" w:hAnsi="Verdana"/>
                <w:sz w:val="18"/>
                <w:szCs w:val="18"/>
              </w:rPr>
              <w:t xml:space="preserve">Precautionary principle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2"/>
                <w:sz w:val="18"/>
                <w:szCs w:val="18"/>
              </w:rPr>
              <w:t>data</w:t>
            </w:r>
            <w:r w:rsidRPr="00C96230">
              <w:rPr>
                <w:rFonts w:ascii="Verdana" w:hAnsi="Verdana"/>
                <w:sz w:val="18"/>
                <w:szCs w:val="18"/>
              </w:rPr>
              <w:tab/>
            </w:r>
            <w:r w:rsidRPr="00C96230">
              <w:rPr>
                <w:rFonts w:ascii="Verdana" w:hAnsi="Verdana"/>
                <w:spacing w:val="-5"/>
                <w:sz w:val="18"/>
                <w:szCs w:val="18"/>
              </w:rPr>
              <w:t>from</w:t>
            </w:r>
          </w:p>
          <w:p w14:paraId="5BABDC8B" w14:textId="77777777" w:rsidR="008715BE" w:rsidRPr="00C96230" w:rsidRDefault="00000000">
            <w:pPr>
              <w:pStyle w:val="TableParagraph"/>
              <w:tabs>
                <w:tab w:val="left" w:pos="1599"/>
              </w:tabs>
              <w:ind w:left="119" w:right="80"/>
              <w:rPr>
                <w:rFonts w:ascii="Verdana" w:hAnsi="Verdana"/>
                <w:sz w:val="18"/>
                <w:szCs w:val="18"/>
              </w:rPr>
            </w:pPr>
            <w:r w:rsidRPr="00C96230">
              <w:rPr>
                <w:rFonts w:ascii="Verdana" w:hAnsi="Verdana"/>
                <w:spacing w:val="-2"/>
                <w:sz w:val="18"/>
                <w:szCs w:val="18"/>
              </w:rPr>
              <w:t>literature</w:t>
            </w:r>
            <w:r w:rsidRPr="00C96230">
              <w:rPr>
                <w:rFonts w:ascii="Verdana" w:hAnsi="Verdana"/>
                <w:sz w:val="18"/>
                <w:szCs w:val="18"/>
              </w:rPr>
              <w:tab/>
            </w:r>
            <w:r w:rsidRPr="00C96230">
              <w:rPr>
                <w:rFonts w:ascii="Verdana" w:hAnsi="Verdana"/>
                <w:spacing w:val="-2"/>
                <w:sz w:val="18"/>
                <w:szCs w:val="18"/>
              </w:rPr>
              <w:t>specialist</w:t>
            </w:r>
          </w:p>
          <w:p w14:paraId="6B38B8C1" w14:textId="77777777" w:rsidR="008715BE" w:rsidRPr="00C96230" w:rsidRDefault="00000000">
            <w:pPr>
              <w:pStyle w:val="TableParagraph"/>
              <w:tabs>
                <w:tab w:val="left" w:pos="1085"/>
              </w:tabs>
              <w:ind w:left="119" w:right="81"/>
              <w:rPr>
                <w:rFonts w:ascii="Verdana" w:hAnsi="Verdana"/>
                <w:sz w:val="18"/>
                <w:szCs w:val="18"/>
              </w:rPr>
            </w:pPr>
            <w:r w:rsidRPr="00C96230">
              <w:rPr>
                <w:rFonts w:ascii="Verdana" w:hAnsi="Verdana"/>
                <w:spacing w:val="-2"/>
                <w:sz w:val="18"/>
                <w:szCs w:val="18"/>
              </w:rPr>
              <w:t>Eurobats</w:t>
            </w:r>
            <w:r w:rsidRPr="00C96230">
              <w:rPr>
                <w:rFonts w:ascii="Verdana" w:hAnsi="Verdana"/>
                <w:sz w:val="18"/>
                <w:szCs w:val="18"/>
              </w:rPr>
              <w:tab/>
            </w:r>
            <w:r w:rsidRPr="00C96230">
              <w:rPr>
                <w:rFonts w:ascii="Verdana" w:hAnsi="Verdana"/>
                <w:spacing w:val="-4"/>
                <w:sz w:val="18"/>
                <w:szCs w:val="18"/>
              </w:rPr>
              <w:t>Eurobats 2023</w:t>
            </w:r>
          </w:p>
        </w:tc>
      </w:tr>
    </w:tbl>
    <w:p w14:paraId="070D2803"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1EC4A1AE"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1D3D7437" w14:textId="77777777">
        <w:trPr>
          <w:trHeight w:val="842"/>
        </w:trPr>
        <w:tc>
          <w:tcPr>
            <w:tcW w:w="2846" w:type="dxa"/>
            <w:gridSpan w:val="2"/>
            <w:shd w:val="clear" w:color="auto" w:fill="00A1E8"/>
          </w:tcPr>
          <w:p w14:paraId="787B5897" w14:textId="77777777" w:rsidR="008715BE" w:rsidRPr="00C96230" w:rsidRDefault="008715BE">
            <w:pPr>
              <w:pStyle w:val="TableParagraph"/>
              <w:spacing w:before="136"/>
              <w:rPr>
                <w:rFonts w:ascii="Verdana" w:hAnsi="Verdana"/>
                <w:b/>
                <w:sz w:val="18"/>
                <w:szCs w:val="18"/>
              </w:rPr>
            </w:pPr>
          </w:p>
          <w:p w14:paraId="2F028487"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0EA309A2" w14:textId="77777777" w:rsidR="008715BE" w:rsidRPr="00C96230" w:rsidRDefault="008715BE">
            <w:pPr>
              <w:pStyle w:val="TableParagraph"/>
              <w:spacing w:before="136"/>
              <w:rPr>
                <w:rFonts w:ascii="Verdana" w:hAnsi="Verdana"/>
                <w:b/>
                <w:sz w:val="18"/>
                <w:szCs w:val="18"/>
              </w:rPr>
            </w:pPr>
          </w:p>
          <w:p w14:paraId="1FB5567C"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0AC3833B" w14:textId="77777777" w:rsidR="008715BE" w:rsidRPr="00C96230" w:rsidRDefault="008715BE">
            <w:pPr>
              <w:pStyle w:val="TableParagraph"/>
              <w:spacing w:before="40"/>
              <w:rPr>
                <w:rFonts w:ascii="Verdana" w:hAnsi="Verdana"/>
                <w:b/>
                <w:sz w:val="18"/>
                <w:szCs w:val="18"/>
              </w:rPr>
            </w:pPr>
          </w:p>
          <w:p w14:paraId="098E1A0C"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2B89E6E6" w14:textId="77777777" w:rsidR="008715BE" w:rsidRPr="00C96230" w:rsidRDefault="008715BE">
            <w:pPr>
              <w:pStyle w:val="TableParagraph"/>
              <w:spacing w:before="40"/>
              <w:rPr>
                <w:rFonts w:ascii="Verdana" w:hAnsi="Verdana"/>
                <w:b/>
                <w:sz w:val="18"/>
                <w:szCs w:val="18"/>
              </w:rPr>
            </w:pPr>
          </w:p>
          <w:p w14:paraId="646BC34B"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153007DD" w14:textId="77777777" w:rsidR="008715BE" w:rsidRPr="00C96230" w:rsidRDefault="008715BE">
            <w:pPr>
              <w:pStyle w:val="TableParagraph"/>
              <w:spacing w:before="40"/>
              <w:rPr>
                <w:rFonts w:ascii="Verdana" w:hAnsi="Verdana"/>
                <w:b/>
                <w:sz w:val="18"/>
                <w:szCs w:val="18"/>
              </w:rPr>
            </w:pPr>
          </w:p>
          <w:p w14:paraId="6EAA672C"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1A45048A" w14:textId="77777777" w:rsidR="008715BE" w:rsidRPr="00C96230" w:rsidRDefault="008715BE">
            <w:pPr>
              <w:pStyle w:val="TableParagraph"/>
              <w:spacing w:before="40"/>
              <w:rPr>
                <w:rFonts w:ascii="Verdana" w:hAnsi="Verdana"/>
                <w:b/>
                <w:sz w:val="18"/>
                <w:szCs w:val="18"/>
              </w:rPr>
            </w:pPr>
          </w:p>
          <w:p w14:paraId="64CBD7DB"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7B24CF76"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4E37D914" w14:textId="77777777" w:rsidR="008715BE" w:rsidRPr="00C96230" w:rsidRDefault="008715BE">
            <w:pPr>
              <w:pStyle w:val="TableParagraph"/>
              <w:spacing w:before="136"/>
              <w:rPr>
                <w:rFonts w:ascii="Verdana" w:hAnsi="Verdana"/>
                <w:b/>
                <w:sz w:val="18"/>
                <w:szCs w:val="18"/>
              </w:rPr>
            </w:pPr>
          </w:p>
          <w:p w14:paraId="4F8FADCE"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560B93FF" w14:textId="77777777" w:rsidR="008715BE" w:rsidRPr="00C96230" w:rsidRDefault="008715BE">
            <w:pPr>
              <w:pStyle w:val="TableParagraph"/>
              <w:spacing w:before="40"/>
              <w:rPr>
                <w:rFonts w:ascii="Verdana" w:hAnsi="Verdana"/>
                <w:b/>
                <w:sz w:val="18"/>
                <w:szCs w:val="18"/>
              </w:rPr>
            </w:pPr>
          </w:p>
          <w:p w14:paraId="15398783"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5B107951"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220AF244" w14:textId="77777777" w:rsidR="008715BE" w:rsidRPr="00C96230" w:rsidRDefault="008715BE">
            <w:pPr>
              <w:pStyle w:val="TableParagraph"/>
              <w:spacing w:before="40"/>
              <w:rPr>
                <w:rFonts w:ascii="Verdana" w:hAnsi="Verdana"/>
                <w:b/>
                <w:sz w:val="18"/>
                <w:szCs w:val="18"/>
              </w:rPr>
            </w:pPr>
          </w:p>
          <w:p w14:paraId="18FCEC61"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3A04F844" w14:textId="77777777" w:rsidR="008715BE" w:rsidRPr="00C96230" w:rsidRDefault="008715BE">
            <w:pPr>
              <w:pStyle w:val="TableParagraph"/>
              <w:spacing w:before="40"/>
              <w:rPr>
                <w:rFonts w:ascii="Verdana" w:hAnsi="Verdana"/>
                <w:b/>
                <w:sz w:val="18"/>
                <w:szCs w:val="18"/>
              </w:rPr>
            </w:pPr>
          </w:p>
          <w:p w14:paraId="6BB516ED"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z w:val="18"/>
                <w:szCs w:val="18"/>
              </w:rPr>
              <w:t xml:space="preserve">Method of </w:t>
            </w:r>
            <w:r w:rsidRPr="00C96230">
              <w:rPr>
                <w:rFonts w:ascii="Verdana" w:hAnsi="Verdana"/>
                <w:b/>
                <w:color w:val="FFFFFF"/>
                <w:spacing w:val="-2"/>
                <w:sz w:val="18"/>
                <w:szCs w:val="18"/>
              </w:rPr>
              <w:t>quantification</w:t>
            </w:r>
          </w:p>
        </w:tc>
      </w:tr>
      <w:tr w:rsidR="008715BE" w:rsidRPr="00C96230" w14:paraId="24590EB6" w14:textId="77777777">
        <w:trPr>
          <w:trHeight w:val="702"/>
        </w:trPr>
        <w:tc>
          <w:tcPr>
            <w:tcW w:w="523" w:type="dxa"/>
          </w:tcPr>
          <w:p w14:paraId="59A02E08" w14:textId="77777777" w:rsidR="008715BE" w:rsidRPr="00C96230" w:rsidRDefault="008715BE">
            <w:pPr>
              <w:pStyle w:val="TableParagraph"/>
              <w:rPr>
                <w:rFonts w:ascii="Verdana" w:hAnsi="Verdana"/>
                <w:sz w:val="18"/>
                <w:szCs w:val="18"/>
              </w:rPr>
            </w:pPr>
          </w:p>
        </w:tc>
        <w:tc>
          <w:tcPr>
            <w:tcW w:w="2323" w:type="dxa"/>
          </w:tcPr>
          <w:p w14:paraId="7112D0C1" w14:textId="77777777" w:rsidR="008715BE" w:rsidRPr="00C96230" w:rsidRDefault="008715BE">
            <w:pPr>
              <w:pStyle w:val="TableParagraph"/>
              <w:rPr>
                <w:rFonts w:ascii="Verdana" w:hAnsi="Verdana"/>
                <w:sz w:val="18"/>
                <w:szCs w:val="18"/>
              </w:rPr>
            </w:pPr>
          </w:p>
        </w:tc>
        <w:tc>
          <w:tcPr>
            <w:tcW w:w="3149" w:type="dxa"/>
          </w:tcPr>
          <w:p w14:paraId="79DF72DF"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0C46D17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13DEB732"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211" w:type="dxa"/>
          </w:tcPr>
          <w:p w14:paraId="6226C165"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389" w:type="dxa"/>
          </w:tcPr>
          <w:p w14:paraId="03D61D6E"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201" w:type="dxa"/>
          </w:tcPr>
          <w:p w14:paraId="4833C15A"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048D82F9"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43E645CD"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74109DEA"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3C870F0C"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0DBCD5B6" w14:textId="77777777">
        <w:trPr>
          <w:trHeight w:val="3064"/>
        </w:trPr>
        <w:tc>
          <w:tcPr>
            <w:tcW w:w="523" w:type="dxa"/>
            <w:vMerge w:val="restart"/>
            <w:textDirection w:val="btLr"/>
          </w:tcPr>
          <w:p w14:paraId="07961D4F" w14:textId="77777777" w:rsidR="008715BE" w:rsidRPr="00C96230" w:rsidRDefault="00000000">
            <w:pPr>
              <w:pStyle w:val="TableParagraph"/>
              <w:spacing w:before="171"/>
              <w:ind w:left="-1" w:right="1"/>
              <w:jc w:val="center"/>
              <w:rPr>
                <w:rFonts w:ascii="Verdana" w:hAnsi="Verdana"/>
                <w:sz w:val="18"/>
                <w:szCs w:val="18"/>
              </w:rPr>
            </w:pPr>
            <w:r w:rsidRPr="00C96230">
              <w:rPr>
                <w:rFonts w:ascii="Verdana" w:hAnsi="Verdana"/>
                <w:spacing w:val="-2"/>
                <w:sz w:val="18"/>
                <w:szCs w:val="18"/>
              </w:rPr>
              <w:t>Decommissioning</w:t>
            </w:r>
          </w:p>
        </w:tc>
        <w:tc>
          <w:tcPr>
            <w:tcW w:w="2323" w:type="dxa"/>
            <w:vMerge w:val="restart"/>
          </w:tcPr>
          <w:p w14:paraId="24EF143A" w14:textId="77777777" w:rsidR="008715BE" w:rsidRPr="00C96230" w:rsidRDefault="00000000">
            <w:pPr>
              <w:pStyle w:val="TableParagraph"/>
              <w:tabs>
                <w:tab w:val="left" w:pos="2087"/>
              </w:tabs>
              <w:spacing w:before="10"/>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02E7B537" w14:textId="77777777" w:rsidR="008715BE" w:rsidRPr="00C96230" w:rsidRDefault="00000000">
            <w:pPr>
              <w:pStyle w:val="TableParagraph"/>
              <w:spacing w:before="10"/>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0E1F9EAE"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4"/>
                <w:sz w:val="18"/>
                <w:szCs w:val="18"/>
              </w:rPr>
              <w:t>AH/PH</w:t>
            </w:r>
          </w:p>
        </w:tc>
        <w:tc>
          <w:tcPr>
            <w:tcW w:w="1108" w:type="dxa"/>
          </w:tcPr>
          <w:p w14:paraId="6E172651"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0925EF9C"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0F65E2A8"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52B4F63C"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03574646" w14:textId="77777777" w:rsidR="008715BE" w:rsidRPr="00C96230" w:rsidRDefault="00000000">
            <w:pPr>
              <w:pStyle w:val="TableParagraph"/>
              <w:spacing w:before="10"/>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462FA32D" w14:textId="77777777" w:rsidR="008715BE" w:rsidRPr="00C96230" w:rsidRDefault="00000000">
            <w:pPr>
              <w:pStyle w:val="TableParagraph"/>
              <w:spacing w:before="10"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2C93D495"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val="restart"/>
          </w:tcPr>
          <w:p w14:paraId="3E4F2CCC" w14:textId="77777777" w:rsidR="008715BE" w:rsidRPr="00C96230" w:rsidRDefault="00000000">
            <w:pPr>
              <w:pStyle w:val="TableParagraph"/>
              <w:spacing w:before="10"/>
              <w:ind w:left="117"/>
              <w:jc w:val="both"/>
              <w:rPr>
                <w:rFonts w:ascii="Verdana" w:hAnsi="Verdana"/>
                <w:sz w:val="18"/>
                <w:szCs w:val="18"/>
              </w:rPr>
            </w:pPr>
            <w:r w:rsidRPr="00C96230">
              <w:rPr>
                <w:rFonts w:ascii="Verdana" w:hAnsi="Verdana"/>
                <w:sz w:val="18"/>
                <w:szCs w:val="18"/>
              </w:rPr>
              <w:t xml:space="preserve">0 ha of </w:t>
            </w:r>
            <w:r w:rsidRPr="00C96230">
              <w:rPr>
                <w:rFonts w:ascii="Verdana" w:hAnsi="Verdana"/>
                <w:spacing w:val="-2"/>
                <w:sz w:val="18"/>
                <w:szCs w:val="18"/>
              </w:rPr>
              <w:t xml:space="preserve">protected </w:t>
            </w:r>
            <w:r w:rsidRPr="00C96230">
              <w:rPr>
                <w:rFonts w:ascii="Verdana" w:hAnsi="Verdana"/>
                <w:sz w:val="18"/>
                <w:szCs w:val="18"/>
              </w:rPr>
              <w:t>area</w:t>
            </w:r>
          </w:p>
          <w:p w14:paraId="7E7671B0" w14:textId="77777777" w:rsidR="008715BE" w:rsidRPr="00C96230" w:rsidRDefault="00000000">
            <w:pPr>
              <w:pStyle w:val="TableParagraph"/>
              <w:spacing w:before="194"/>
              <w:ind w:left="117" w:right="83"/>
              <w:jc w:val="both"/>
              <w:rPr>
                <w:rFonts w:ascii="Verdana" w:hAnsi="Verdana"/>
                <w:sz w:val="18"/>
                <w:szCs w:val="18"/>
              </w:rPr>
            </w:pPr>
            <w:r w:rsidRPr="00C96230">
              <w:rPr>
                <w:rFonts w:ascii="Verdana" w:hAnsi="Verdana"/>
                <w:sz w:val="18"/>
                <w:szCs w:val="18"/>
              </w:rPr>
              <w:t xml:space="preserve">Areas occupied outside the protected area where presence was reported following </w:t>
            </w:r>
            <w:r w:rsidRPr="00C96230">
              <w:rPr>
                <w:rFonts w:ascii="Verdana" w:hAnsi="Verdana"/>
                <w:spacing w:val="-2"/>
                <w:sz w:val="18"/>
                <w:szCs w:val="18"/>
              </w:rPr>
              <w:t>monitoring:</w:t>
            </w:r>
          </w:p>
          <w:p w14:paraId="20F45624" w14:textId="77777777" w:rsidR="008715BE" w:rsidRPr="00C96230" w:rsidRDefault="00000000">
            <w:pPr>
              <w:pStyle w:val="TableParagraph"/>
              <w:ind w:left="117" w:right="85"/>
              <w:jc w:val="both"/>
              <w:rPr>
                <w:rFonts w:ascii="Verdana" w:hAnsi="Verdana"/>
                <w:sz w:val="18"/>
                <w:szCs w:val="18"/>
              </w:rPr>
            </w:pPr>
            <w:r w:rsidRPr="00C96230">
              <w:rPr>
                <w:rFonts w:ascii="Verdana" w:hAnsi="Verdana"/>
                <w:sz w:val="18"/>
                <w:szCs w:val="18"/>
              </w:rPr>
              <w:t>0.9 ha temporarily occupied, area used for construction site organization</w:t>
            </w:r>
          </w:p>
        </w:tc>
        <w:tc>
          <w:tcPr>
            <w:tcW w:w="1889" w:type="dxa"/>
            <w:vMerge w:val="restart"/>
          </w:tcPr>
          <w:p w14:paraId="58995774" w14:textId="77777777" w:rsidR="008715BE" w:rsidRPr="00C96230" w:rsidRDefault="00000000">
            <w:pPr>
              <w:pStyle w:val="TableParagraph"/>
              <w:spacing w:before="10"/>
              <w:ind w:left="119" w:right="83"/>
              <w:jc w:val="both"/>
              <w:rPr>
                <w:rFonts w:ascii="Verdana" w:hAnsi="Verdana"/>
                <w:sz w:val="18"/>
                <w:szCs w:val="18"/>
              </w:rPr>
            </w:pPr>
            <w:r w:rsidRPr="00C96230">
              <w:rPr>
                <w:rFonts w:ascii="Verdana" w:hAnsi="Verdana"/>
                <w:sz w:val="18"/>
                <w:szCs w:val="18"/>
              </w:rPr>
              <w:t xml:space="preserve">Spatial analysis and data received from </w:t>
            </w:r>
            <w:r w:rsidRPr="00C96230">
              <w:rPr>
                <w:rFonts w:ascii="Verdana" w:hAnsi="Verdana"/>
                <w:spacing w:val="-2"/>
                <w:sz w:val="18"/>
                <w:szCs w:val="18"/>
              </w:rPr>
              <w:t>the beneficiary</w:t>
            </w:r>
          </w:p>
        </w:tc>
      </w:tr>
      <w:tr w:rsidR="008715BE" w:rsidRPr="00C96230" w14:paraId="70429A19" w14:textId="77777777">
        <w:trPr>
          <w:trHeight w:val="1050"/>
        </w:trPr>
        <w:tc>
          <w:tcPr>
            <w:tcW w:w="523" w:type="dxa"/>
            <w:vMerge/>
            <w:tcBorders>
              <w:top w:val="nil"/>
            </w:tcBorders>
            <w:textDirection w:val="btLr"/>
          </w:tcPr>
          <w:p w14:paraId="205F4F0E" w14:textId="77777777" w:rsidR="008715BE" w:rsidRPr="00C96230" w:rsidRDefault="008715BE">
            <w:pPr>
              <w:rPr>
                <w:rFonts w:ascii="Verdana" w:hAnsi="Verdana"/>
                <w:sz w:val="18"/>
                <w:szCs w:val="18"/>
              </w:rPr>
            </w:pPr>
          </w:p>
        </w:tc>
        <w:tc>
          <w:tcPr>
            <w:tcW w:w="2323" w:type="dxa"/>
            <w:vMerge/>
            <w:tcBorders>
              <w:top w:val="nil"/>
            </w:tcBorders>
          </w:tcPr>
          <w:p w14:paraId="03689ED0" w14:textId="77777777" w:rsidR="008715BE" w:rsidRPr="00C96230" w:rsidRDefault="008715BE">
            <w:pPr>
              <w:rPr>
                <w:rFonts w:ascii="Verdana" w:hAnsi="Verdana"/>
                <w:sz w:val="18"/>
                <w:szCs w:val="18"/>
              </w:rPr>
            </w:pPr>
          </w:p>
        </w:tc>
        <w:tc>
          <w:tcPr>
            <w:tcW w:w="3149" w:type="dxa"/>
          </w:tcPr>
          <w:p w14:paraId="5FA1330E"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Temporary occupation of land areas</w:t>
            </w:r>
          </w:p>
        </w:tc>
        <w:tc>
          <w:tcPr>
            <w:tcW w:w="1106" w:type="dxa"/>
          </w:tcPr>
          <w:p w14:paraId="46308158"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4DDEDDF7"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79F63421"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53AC94D"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6B497DCA"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D6BA118"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25101985"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75AFCA45"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tcBorders>
              <w:top w:val="nil"/>
            </w:tcBorders>
          </w:tcPr>
          <w:p w14:paraId="73EFB9CA" w14:textId="77777777" w:rsidR="008715BE" w:rsidRPr="00C96230" w:rsidRDefault="008715BE">
            <w:pPr>
              <w:rPr>
                <w:rFonts w:ascii="Verdana" w:hAnsi="Verdana"/>
                <w:sz w:val="18"/>
                <w:szCs w:val="18"/>
              </w:rPr>
            </w:pPr>
          </w:p>
        </w:tc>
        <w:tc>
          <w:tcPr>
            <w:tcW w:w="1889" w:type="dxa"/>
            <w:vMerge/>
            <w:tcBorders>
              <w:top w:val="nil"/>
            </w:tcBorders>
          </w:tcPr>
          <w:p w14:paraId="4EB77CFB" w14:textId="77777777" w:rsidR="008715BE" w:rsidRPr="00C96230" w:rsidRDefault="008715BE">
            <w:pPr>
              <w:rPr>
                <w:rFonts w:ascii="Verdana" w:hAnsi="Verdana"/>
                <w:sz w:val="18"/>
                <w:szCs w:val="18"/>
              </w:rPr>
            </w:pPr>
          </w:p>
        </w:tc>
      </w:tr>
      <w:tr w:rsidR="008715BE" w:rsidRPr="00C96230" w14:paraId="6F7F9682" w14:textId="77777777">
        <w:trPr>
          <w:trHeight w:val="2332"/>
        </w:trPr>
        <w:tc>
          <w:tcPr>
            <w:tcW w:w="523" w:type="dxa"/>
            <w:vMerge/>
            <w:tcBorders>
              <w:top w:val="nil"/>
            </w:tcBorders>
            <w:textDirection w:val="btLr"/>
          </w:tcPr>
          <w:p w14:paraId="461EA705" w14:textId="77777777" w:rsidR="008715BE" w:rsidRPr="00C96230" w:rsidRDefault="008715BE">
            <w:pPr>
              <w:rPr>
                <w:rFonts w:ascii="Verdana" w:hAnsi="Verdana"/>
                <w:sz w:val="18"/>
                <w:szCs w:val="18"/>
              </w:rPr>
            </w:pPr>
          </w:p>
        </w:tc>
        <w:tc>
          <w:tcPr>
            <w:tcW w:w="2323" w:type="dxa"/>
            <w:vMerge/>
            <w:tcBorders>
              <w:top w:val="nil"/>
            </w:tcBorders>
          </w:tcPr>
          <w:p w14:paraId="20FA4110" w14:textId="77777777" w:rsidR="008715BE" w:rsidRPr="00C96230" w:rsidRDefault="008715BE">
            <w:pPr>
              <w:rPr>
                <w:rFonts w:ascii="Verdana" w:hAnsi="Verdana"/>
                <w:sz w:val="18"/>
                <w:szCs w:val="18"/>
              </w:rPr>
            </w:pPr>
          </w:p>
        </w:tc>
        <w:tc>
          <w:tcPr>
            <w:tcW w:w="3149" w:type="dxa"/>
          </w:tcPr>
          <w:p w14:paraId="3B9EB8E9"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 in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5328A207"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58DCC926"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291D9225"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E7C5906"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3370353D"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2B73AF3"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7A5D7BA7" w14:textId="77777777" w:rsidR="008715BE" w:rsidRPr="00C96230" w:rsidRDefault="00000000">
            <w:pPr>
              <w:pStyle w:val="TableParagraph"/>
              <w:tabs>
                <w:tab w:val="left" w:pos="1014"/>
              </w:tabs>
              <w:spacing w:before="8" w:line="195" w:lineRule="exact"/>
              <w:ind w:left="115"/>
              <w:rPr>
                <w:rFonts w:ascii="Verdana" w:hAnsi="Verdana"/>
                <w:sz w:val="18"/>
                <w:szCs w:val="18"/>
              </w:rPr>
            </w:pPr>
            <w:r w:rsidRPr="00C96230">
              <w:rPr>
                <w:rFonts w:ascii="Verdana" w:hAnsi="Verdana"/>
                <w:spacing w:val="-2"/>
                <w:sz w:val="18"/>
                <w:szCs w:val="18"/>
              </w:rPr>
              <w:t>Size</w:t>
            </w:r>
            <w:r w:rsidRPr="00C96230">
              <w:rPr>
                <w:rFonts w:ascii="Verdana" w:hAnsi="Verdana"/>
                <w:sz w:val="18"/>
                <w:szCs w:val="18"/>
              </w:rPr>
              <w:tab/>
            </w:r>
            <w:r w:rsidRPr="00C96230">
              <w:rPr>
                <w:rFonts w:ascii="Verdana" w:hAnsi="Verdana"/>
                <w:spacing w:val="-2"/>
                <w:sz w:val="18"/>
                <w:szCs w:val="18"/>
              </w:rPr>
              <w:t>of the population</w:t>
            </w:r>
          </w:p>
          <w:p w14:paraId="6F5DADC7" w14:textId="77777777" w:rsidR="008715BE" w:rsidRPr="00C96230" w:rsidRDefault="00000000">
            <w:pPr>
              <w:pStyle w:val="TableParagraph"/>
              <w:tabs>
                <w:tab w:val="left" w:pos="1602"/>
              </w:tabs>
              <w:spacing w:line="194" w:lineRule="exact"/>
              <w:ind w:left="115"/>
              <w:rPr>
                <w:rFonts w:ascii="Verdana" w:hAnsi="Verdana"/>
                <w:sz w:val="18"/>
                <w:szCs w:val="18"/>
              </w:rPr>
            </w:pPr>
            <w:r w:rsidRPr="00C96230">
              <w:rPr>
                <w:rFonts w:ascii="Verdana" w:hAnsi="Verdana"/>
                <w:spacing w:val="-2"/>
                <w:sz w:val="18"/>
                <w:szCs w:val="18"/>
              </w:rPr>
              <w:t>(pattern</w:t>
            </w:r>
            <w:r w:rsidRPr="00C96230">
              <w:rPr>
                <w:rFonts w:ascii="Verdana" w:hAnsi="Verdana"/>
                <w:sz w:val="18"/>
                <w:szCs w:val="18"/>
              </w:rPr>
              <w:tab/>
            </w:r>
            <w:r w:rsidRPr="00C96230">
              <w:rPr>
                <w:rFonts w:ascii="Verdana" w:hAnsi="Verdana"/>
                <w:spacing w:val="-5"/>
                <w:sz w:val="18"/>
                <w:szCs w:val="18"/>
              </w:rPr>
              <w:t>of</w:t>
            </w:r>
          </w:p>
          <w:p w14:paraId="77E08BB9"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distribution)</w:t>
            </w:r>
          </w:p>
        </w:tc>
        <w:tc>
          <w:tcPr>
            <w:tcW w:w="3860" w:type="dxa"/>
          </w:tcPr>
          <w:p w14:paraId="7C5D2FB7" w14:textId="77777777" w:rsidR="008715BE" w:rsidRPr="00C96230" w:rsidRDefault="00000000">
            <w:pPr>
              <w:pStyle w:val="TableParagraph"/>
              <w:spacing w:before="8"/>
              <w:ind w:left="117" w:right="86"/>
              <w:jc w:val="both"/>
              <w:rPr>
                <w:rFonts w:ascii="Verdana" w:hAnsi="Verdana"/>
                <w:sz w:val="18"/>
                <w:szCs w:val="18"/>
              </w:rPr>
            </w:pPr>
            <w:r w:rsidRPr="00C96230">
              <w:rPr>
                <w:rFonts w:ascii="Verdana" w:hAnsi="Verdana"/>
                <w:sz w:val="18"/>
                <w:szCs w:val="18"/>
              </w:rPr>
              <w:t>Possible disruption of the activity of a maximum of 2 to 3 individuals</w:t>
            </w:r>
          </w:p>
          <w:p w14:paraId="1DFC74E5"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capable of affecting sensitive receptors in the area</w:t>
            </w:r>
          </w:p>
          <w:p w14:paraId="791D40F1"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contour will be felt at distances of up to 1.5 km around the work area</w:t>
            </w:r>
          </w:p>
          <w:p w14:paraId="72514FE3" w14:textId="77777777" w:rsidR="008715BE" w:rsidRPr="00C96230" w:rsidRDefault="00000000">
            <w:pPr>
              <w:pStyle w:val="TableParagraph"/>
              <w:spacing w:before="160" w:line="194" w:lineRule="exact"/>
              <w:ind w:left="117" w:right="84"/>
              <w:jc w:val="both"/>
              <w:rPr>
                <w:rFonts w:ascii="Verdana" w:hAnsi="Verdana"/>
                <w:sz w:val="18"/>
                <w:szCs w:val="18"/>
              </w:rPr>
            </w:pPr>
            <w:r w:rsidRPr="00C96230">
              <w:rPr>
                <w:rFonts w:ascii="Verdana" w:hAnsi="Verdana"/>
                <w:sz w:val="18"/>
                <w:szCs w:val="18"/>
              </w:rPr>
              <w:t>The impact will be felt outside the protected area of the wind farm, in the vicinity of the wind turbines</w:t>
            </w:r>
          </w:p>
        </w:tc>
        <w:tc>
          <w:tcPr>
            <w:tcW w:w="1889" w:type="dxa"/>
          </w:tcPr>
          <w:p w14:paraId="3472BEDC" w14:textId="77777777" w:rsidR="008715BE" w:rsidRPr="00C96230" w:rsidRDefault="00000000">
            <w:pPr>
              <w:pStyle w:val="TableParagraph"/>
              <w:tabs>
                <w:tab w:val="left" w:pos="1302"/>
              </w:tabs>
              <w:spacing w:before="8" w:line="195" w:lineRule="exact"/>
              <w:ind w:left="119"/>
              <w:rPr>
                <w:rFonts w:ascii="Verdana" w:hAnsi="Verdana"/>
                <w:sz w:val="18"/>
                <w:szCs w:val="18"/>
              </w:rPr>
            </w:pPr>
            <w:r w:rsidRPr="00C96230">
              <w:rPr>
                <w:rFonts w:ascii="Verdana" w:hAnsi="Verdana"/>
                <w:spacing w:val="-2"/>
                <w:sz w:val="18"/>
                <w:szCs w:val="18"/>
              </w:rPr>
              <w:t>Results</w:t>
            </w:r>
            <w:r w:rsidRPr="00C96230">
              <w:rPr>
                <w:rFonts w:ascii="Verdana" w:hAnsi="Verdana"/>
                <w:sz w:val="18"/>
                <w:szCs w:val="18"/>
              </w:rPr>
              <w:tab/>
            </w:r>
            <w:r w:rsidRPr="00C96230">
              <w:rPr>
                <w:rFonts w:ascii="Verdana" w:hAnsi="Verdana"/>
                <w:spacing w:val="-2"/>
                <w:sz w:val="18"/>
                <w:szCs w:val="18"/>
              </w:rPr>
              <w:t>study</w:t>
            </w:r>
          </w:p>
          <w:p w14:paraId="3110E074" w14:textId="77777777" w:rsidR="008715BE" w:rsidRPr="00C96230" w:rsidRDefault="00000000">
            <w:pPr>
              <w:pStyle w:val="TableParagraph"/>
              <w:tabs>
                <w:tab w:val="left" w:pos="1417"/>
              </w:tabs>
              <w:ind w:left="119" w:right="82"/>
              <w:rPr>
                <w:rFonts w:ascii="Verdana" w:hAnsi="Verdana"/>
                <w:sz w:val="18"/>
                <w:szCs w:val="18"/>
              </w:rPr>
            </w:pPr>
            <w:r w:rsidRPr="00C96230">
              <w:rPr>
                <w:rFonts w:ascii="Verdana" w:hAnsi="Verdana"/>
                <w:spacing w:val="-2"/>
                <w:sz w:val="18"/>
                <w:szCs w:val="18"/>
              </w:rPr>
              <w:t>modeling</w:t>
            </w:r>
            <w:r w:rsidRPr="00C96230">
              <w:rPr>
                <w:rFonts w:ascii="Verdana" w:hAnsi="Verdana"/>
                <w:sz w:val="18"/>
                <w:szCs w:val="18"/>
              </w:rPr>
              <w:tab/>
            </w:r>
            <w:r w:rsidRPr="00C96230">
              <w:rPr>
                <w:rFonts w:ascii="Verdana" w:hAnsi="Verdana"/>
                <w:spacing w:val="-2"/>
                <w:sz w:val="18"/>
                <w:szCs w:val="18"/>
              </w:rPr>
              <w:t xml:space="preserve">noise </w:t>
            </w:r>
            <w:r w:rsidRPr="00C96230">
              <w:rPr>
                <w:rFonts w:ascii="Verdana" w:hAnsi="Verdana"/>
                <w:spacing w:val="-4"/>
                <w:sz w:val="18"/>
                <w:szCs w:val="18"/>
              </w:rPr>
              <w:t>level</w:t>
            </w:r>
          </w:p>
        </w:tc>
      </w:tr>
      <w:tr w:rsidR="008715BE" w:rsidRPr="00C96230" w14:paraId="2040063D" w14:textId="77777777">
        <w:trPr>
          <w:trHeight w:val="777"/>
        </w:trPr>
        <w:tc>
          <w:tcPr>
            <w:tcW w:w="523" w:type="dxa"/>
            <w:vMerge/>
            <w:tcBorders>
              <w:top w:val="nil"/>
            </w:tcBorders>
            <w:textDirection w:val="btLr"/>
          </w:tcPr>
          <w:p w14:paraId="0CBDE74D" w14:textId="77777777" w:rsidR="008715BE" w:rsidRPr="00C96230" w:rsidRDefault="008715BE">
            <w:pPr>
              <w:rPr>
                <w:rFonts w:ascii="Verdana" w:hAnsi="Verdana"/>
                <w:sz w:val="18"/>
                <w:szCs w:val="18"/>
              </w:rPr>
            </w:pPr>
          </w:p>
        </w:tc>
        <w:tc>
          <w:tcPr>
            <w:tcW w:w="2323" w:type="dxa"/>
            <w:vMerge w:val="restart"/>
          </w:tcPr>
          <w:p w14:paraId="6C5F2201"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Decommissioning/demolition works Land restoration/rehabilitation works at the end of </w:t>
            </w:r>
            <w:r w:rsidRPr="00C96230">
              <w:rPr>
                <w:rFonts w:ascii="Verdana" w:hAnsi="Verdana"/>
                <w:spacing w:val="-2"/>
                <w:sz w:val="18"/>
                <w:szCs w:val="18"/>
              </w:rPr>
              <w:t xml:space="preserve">the project's </w:t>
            </w:r>
            <w:r w:rsidRPr="00C96230">
              <w:rPr>
                <w:rFonts w:ascii="Verdana" w:hAnsi="Verdana"/>
                <w:sz w:val="18"/>
                <w:szCs w:val="18"/>
              </w:rPr>
              <w:t>life cycle</w:t>
            </w:r>
          </w:p>
        </w:tc>
        <w:tc>
          <w:tcPr>
            <w:tcW w:w="3149" w:type="dxa"/>
          </w:tcPr>
          <w:p w14:paraId="18A86093" w14:textId="77777777" w:rsidR="008715BE" w:rsidRPr="00C96230" w:rsidRDefault="00000000">
            <w:pPr>
              <w:pStyle w:val="TableParagraph"/>
              <w:spacing w:line="194" w:lineRule="exact"/>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work</w:t>
            </w:r>
            <w:r w:rsidRPr="00C96230">
              <w:rPr>
                <w:rFonts w:ascii="Verdana" w:hAnsi="Verdana"/>
                <w:sz w:val="18"/>
                <w:szCs w:val="18"/>
              </w:rPr>
              <w:t xml:space="preserve"> area</w:t>
            </w:r>
          </w:p>
        </w:tc>
        <w:tc>
          <w:tcPr>
            <w:tcW w:w="1106" w:type="dxa"/>
          </w:tcPr>
          <w:p w14:paraId="0E8DA393"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6AC8EC68"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9223FDA"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1F86196"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60C4BE10"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6BC4E57"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w:t>
            </w:r>
          </w:p>
        </w:tc>
        <w:tc>
          <w:tcPr>
            <w:tcW w:w="1897" w:type="dxa"/>
          </w:tcPr>
          <w:p w14:paraId="31165A57"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41948376"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pacing w:val="-2"/>
                <w:sz w:val="18"/>
                <w:szCs w:val="18"/>
              </w:rPr>
              <w:t>1/individual (accidental)</w:t>
            </w:r>
          </w:p>
          <w:p w14:paraId="7984271F"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outside the protected area, within the wind farm)</w:t>
            </w:r>
          </w:p>
        </w:tc>
        <w:tc>
          <w:tcPr>
            <w:tcW w:w="1889" w:type="dxa"/>
          </w:tcPr>
          <w:p w14:paraId="5DDDC79F" w14:textId="77777777" w:rsidR="008715BE" w:rsidRPr="00C96230" w:rsidRDefault="00000000">
            <w:pPr>
              <w:pStyle w:val="TableParagraph"/>
              <w:tabs>
                <w:tab w:val="left" w:pos="1223"/>
              </w:tabs>
              <w:spacing w:before="8"/>
              <w:ind w:left="119" w:right="82"/>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mortality </w:t>
            </w:r>
            <w:r w:rsidRPr="00C96230">
              <w:rPr>
                <w:rFonts w:ascii="Verdana" w:hAnsi="Verdana"/>
                <w:spacing w:val="-2"/>
                <w:sz w:val="18"/>
                <w:szCs w:val="18"/>
              </w:rPr>
              <w:t xml:space="preserve">risk </w:t>
            </w:r>
            <w:r w:rsidRPr="00C96230">
              <w:rPr>
                <w:rFonts w:ascii="Verdana" w:hAnsi="Verdana"/>
                <w:sz w:val="18"/>
                <w:szCs w:val="18"/>
              </w:rPr>
              <w:t xml:space="preserve">for </w:t>
            </w:r>
            <w:r w:rsidRPr="00C96230">
              <w:rPr>
                <w:rFonts w:ascii="Verdana" w:hAnsi="Verdana"/>
                <w:spacing w:val="-2"/>
                <w:sz w:val="18"/>
                <w:szCs w:val="18"/>
              </w:rPr>
              <w:t>the species</w:t>
            </w:r>
          </w:p>
        </w:tc>
      </w:tr>
      <w:tr w:rsidR="008715BE" w:rsidRPr="00C96230" w14:paraId="1FCF65C6" w14:textId="77777777">
        <w:trPr>
          <w:trHeight w:val="2723"/>
        </w:trPr>
        <w:tc>
          <w:tcPr>
            <w:tcW w:w="523" w:type="dxa"/>
            <w:vMerge/>
            <w:tcBorders>
              <w:top w:val="nil"/>
            </w:tcBorders>
            <w:textDirection w:val="btLr"/>
          </w:tcPr>
          <w:p w14:paraId="533C2614" w14:textId="77777777" w:rsidR="008715BE" w:rsidRPr="00C96230" w:rsidRDefault="008715BE">
            <w:pPr>
              <w:rPr>
                <w:rFonts w:ascii="Verdana" w:hAnsi="Verdana"/>
                <w:sz w:val="18"/>
                <w:szCs w:val="18"/>
              </w:rPr>
            </w:pPr>
          </w:p>
        </w:tc>
        <w:tc>
          <w:tcPr>
            <w:tcW w:w="2323" w:type="dxa"/>
            <w:vMerge/>
            <w:tcBorders>
              <w:top w:val="nil"/>
            </w:tcBorders>
          </w:tcPr>
          <w:p w14:paraId="458DB7E3" w14:textId="77777777" w:rsidR="008715BE" w:rsidRPr="00C96230" w:rsidRDefault="008715BE">
            <w:pPr>
              <w:rPr>
                <w:rFonts w:ascii="Verdana" w:hAnsi="Verdana"/>
                <w:sz w:val="18"/>
                <w:szCs w:val="18"/>
              </w:rPr>
            </w:pPr>
          </w:p>
        </w:tc>
        <w:tc>
          <w:tcPr>
            <w:tcW w:w="3149" w:type="dxa"/>
          </w:tcPr>
          <w:p w14:paraId="68D46B82" w14:textId="77777777" w:rsidR="008715BE" w:rsidRPr="00C96230" w:rsidRDefault="00000000">
            <w:pPr>
              <w:pStyle w:val="TableParagraph"/>
              <w:tabs>
                <w:tab w:val="left" w:pos="1615"/>
                <w:tab w:val="left" w:pos="2916"/>
              </w:tabs>
              <w:spacing w:before="8"/>
              <w:ind w:left="108" w:right="93"/>
              <w:jc w:val="both"/>
              <w:rPr>
                <w:rFonts w:ascii="Verdana" w:hAnsi="Verdana"/>
                <w:sz w:val="18"/>
                <w:szCs w:val="18"/>
              </w:rPr>
            </w:pPr>
            <w:r w:rsidRPr="00C96230">
              <w:rPr>
                <w:rFonts w:ascii="Verdana" w:hAnsi="Verdana"/>
                <w:sz w:val="18"/>
                <w:szCs w:val="18"/>
              </w:rPr>
              <w:t xml:space="preserve">Pollutant emissions into the atmosphere </w:t>
            </w:r>
            <w:r w:rsidRPr="00C96230">
              <w:rPr>
                <w:rFonts w:ascii="Verdana" w:hAnsi="Verdana"/>
                <w:spacing w:val="-2"/>
                <w:sz w:val="18"/>
                <w:szCs w:val="18"/>
              </w:rPr>
              <w:t>(vehicle operation)</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382D5795"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3E85C48C"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2CD20B66"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10C080C"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159D6C7C"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53578665"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5FCBB71E"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253CDF5A"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2B51574A" w14:textId="77777777" w:rsidR="008715BE" w:rsidRPr="00C96230" w:rsidRDefault="00000000">
            <w:pPr>
              <w:pStyle w:val="TableParagraph"/>
              <w:spacing w:before="8"/>
              <w:ind w:left="117"/>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6A8E7252" w14:textId="77777777" w:rsidR="008715BE" w:rsidRPr="00C96230" w:rsidRDefault="00000000">
            <w:pPr>
              <w:pStyle w:val="TableParagraph"/>
              <w:spacing w:before="193"/>
              <w:ind w:left="117" w:right="86"/>
              <w:jc w:val="both"/>
              <w:rPr>
                <w:rFonts w:ascii="Verdana" w:hAnsi="Verdana"/>
                <w:sz w:val="18"/>
                <w:szCs w:val="18"/>
              </w:rPr>
            </w:pPr>
            <w:r w:rsidRPr="00C96230">
              <w:rPr>
                <w:rFonts w:ascii="Verdana" w:hAnsi="Verdana"/>
                <w:sz w:val="18"/>
                <w:szCs w:val="18"/>
              </w:rPr>
              <w:t>Areas temporarily occupied by the project outside the boundaries of protected areas where the presence of the species has been reported:</w:t>
            </w:r>
          </w:p>
          <w:p w14:paraId="75C495B8" w14:textId="77777777" w:rsidR="008715BE" w:rsidRPr="00C96230" w:rsidRDefault="00000000">
            <w:pPr>
              <w:pStyle w:val="TableParagraph"/>
              <w:spacing w:before="195"/>
              <w:ind w:left="117" w:right="85"/>
              <w:jc w:val="both"/>
              <w:rPr>
                <w:rFonts w:ascii="Verdana" w:hAnsi="Verdana"/>
                <w:sz w:val="18"/>
                <w:szCs w:val="18"/>
              </w:rPr>
            </w:pPr>
            <w:r w:rsidRPr="00C96230">
              <w:rPr>
                <w:rFonts w:ascii="Verdana" w:hAnsi="Verdana"/>
                <w:sz w:val="18"/>
                <w:szCs w:val="18"/>
              </w:rPr>
              <w:t>0.9 ha temporarily occupied by the construction site + area temporarily occupied by trenches for cable installation</w:t>
            </w:r>
          </w:p>
          <w:p w14:paraId="11B09D32"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 xml:space="preserve">309.24 ha of areas permanently occupied by the construction elements of the energy park The impact will be felt outside the protected area, within the limits/vicinity of the wind farm, within </w:t>
            </w:r>
            <w:r w:rsidRPr="00C96230">
              <w:rPr>
                <w:rFonts w:ascii="Verdana" w:hAnsi="Verdana"/>
                <w:spacing w:val="-2"/>
                <w:sz w:val="18"/>
                <w:szCs w:val="18"/>
              </w:rPr>
              <w:t xml:space="preserve">the limits/vicinity </w:t>
            </w:r>
            <w:r w:rsidRPr="00C96230">
              <w:rPr>
                <w:rFonts w:ascii="Verdana" w:hAnsi="Verdana"/>
                <w:sz w:val="18"/>
                <w:szCs w:val="18"/>
              </w:rPr>
              <w:t xml:space="preserve">of </w:t>
            </w:r>
            <w:r w:rsidRPr="00C96230">
              <w:rPr>
                <w:rFonts w:ascii="Verdana" w:hAnsi="Verdana"/>
                <w:spacing w:val="-2"/>
                <w:sz w:val="18"/>
                <w:szCs w:val="18"/>
              </w:rPr>
              <w:t>the</w:t>
            </w:r>
          </w:p>
          <w:p w14:paraId="3F8B49A0" w14:textId="77777777" w:rsidR="008715BE" w:rsidRPr="00C96230" w:rsidRDefault="00000000">
            <w:pPr>
              <w:pStyle w:val="TableParagraph"/>
              <w:spacing w:line="162" w:lineRule="exact"/>
              <w:ind w:left="117"/>
              <w:jc w:val="both"/>
              <w:rPr>
                <w:rFonts w:ascii="Verdana" w:hAnsi="Verdana"/>
                <w:sz w:val="18"/>
                <w:szCs w:val="18"/>
              </w:rPr>
            </w:pPr>
            <w:r w:rsidRPr="00C96230">
              <w:rPr>
                <w:rFonts w:ascii="Verdana" w:hAnsi="Verdana"/>
                <w:sz w:val="18"/>
                <w:szCs w:val="18"/>
              </w:rPr>
              <w:t xml:space="preserve">the </w:t>
            </w:r>
            <w:r w:rsidRPr="00C96230">
              <w:rPr>
                <w:rFonts w:ascii="Verdana" w:hAnsi="Verdana"/>
                <w:spacing w:val="-2"/>
                <w:sz w:val="18"/>
                <w:szCs w:val="18"/>
              </w:rPr>
              <w:t xml:space="preserve">work </w:t>
            </w:r>
            <w:r w:rsidRPr="00C96230">
              <w:rPr>
                <w:rFonts w:ascii="Verdana" w:hAnsi="Verdana"/>
                <w:sz w:val="18"/>
                <w:szCs w:val="18"/>
              </w:rPr>
              <w:t>front</w:t>
            </w:r>
          </w:p>
        </w:tc>
        <w:tc>
          <w:tcPr>
            <w:tcW w:w="1889" w:type="dxa"/>
          </w:tcPr>
          <w:p w14:paraId="5D945D62"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the results of the field inventories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0E6FCE17" w14:textId="77777777">
        <w:trPr>
          <w:trHeight w:val="777"/>
        </w:trPr>
        <w:tc>
          <w:tcPr>
            <w:tcW w:w="523" w:type="dxa"/>
            <w:vMerge/>
            <w:tcBorders>
              <w:top w:val="nil"/>
            </w:tcBorders>
            <w:textDirection w:val="btLr"/>
          </w:tcPr>
          <w:p w14:paraId="7280295B" w14:textId="77777777" w:rsidR="008715BE" w:rsidRPr="00C96230" w:rsidRDefault="008715BE">
            <w:pPr>
              <w:rPr>
                <w:rFonts w:ascii="Verdana" w:hAnsi="Verdana"/>
                <w:sz w:val="18"/>
                <w:szCs w:val="18"/>
              </w:rPr>
            </w:pPr>
          </w:p>
        </w:tc>
        <w:tc>
          <w:tcPr>
            <w:tcW w:w="2323" w:type="dxa"/>
            <w:vMerge/>
            <w:tcBorders>
              <w:top w:val="nil"/>
            </w:tcBorders>
          </w:tcPr>
          <w:p w14:paraId="39BF6C63" w14:textId="77777777" w:rsidR="008715BE" w:rsidRPr="00C96230" w:rsidRDefault="008715BE">
            <w:pPr>
              <w:rPr>
                <w:rFonts w:ascii="Verdana" w:hAnsi="Verdana"/>
                <w:sz w:val="18"/>
                <w:szCs w:val="18"/>
              </w:rPr>
            </w:pPr>
          </w:p>
        </w:tc>
        <w:tc>
          <w:tcPr>
            <w:tcW w:w="3149" w:type="dxa"/>
          </w:tcPr>
          <w:p w14:paraId="7FADF431"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machinery—penetration of pollutants into the soil</w:t>
            </w:r>
          </w:p>
        </w:tc>
        <w:tc>
          <w:tcPr>
            <w:tcW w:w="1106" w:type="dxa"/>
          </w:tcPr>
          <w:p w14:paraId="4F7E010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2FFA1B85" w14:textId="77777777" w:rsidR="008715BE" w:rsidRPr="00C96230" w:rsidRDefault="00000000">
            <w:pPr>
              <w:pStyle w:val="TableParagraph"/>
              <w:spacing w:before="8"/>
              <w:ind w:left="109" w:right="93"/>
              <w:jc w:val="both"/>
              <w:rPr>
                <w:rFonts w:ascii="Verdana" w:hAnsi="Verdana"/>
                <w:sz w:val="18"/>
                <w:szCs w:val="18"/>
              </w:rPr>
            </w:pPr>
            <w:r w:rsidRPr="00C96230">
              <w:rPr>
                <w:rFonts w:ascii="Verdana" w:hAnsi="Verdana"/>
                <w:sz w:val="18"/>
                <w:szCs w:val="18"/>
              </w:rPr>
              <w:t xml:space="preserve">No indirect </w:t>
            </w:r>
            <w:r w:rsidRPr="00C96230">
              <w:rPr>
                <w:rFonts w:ascii="Verdana" w:hAnsi="Verdana"/>
                <w:spacing w:val="-2"/>
                <w:sz w:val="18"/>
                <w:szCs w:val="18"/>
              </w:rPr>
              <w:t>impacts identified</w:t>
            </w:r>
          </w:p>
          <w:p w14:paraId="28FE9D14" w14:textId="77777777" w:rsidR="008715BE" w:rsidRPr="00C96230" w:rsidRDefault="00000000">
            <w:pPr>
              <w:pStyle w:val="TableParagraph"/>
              <w:spacing w:line="164"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4ADCC0FC"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secondary </w:t>
            </w:r>
            <w:r w:rsidRPr="00C96230">
              <w:rPr>
                <w:rFonts w:ascii="Verdana" w:hAnsi="Verdana"/>
                <w:spacing w:val="-2"/>
                <w:sz w:val="18"/>
                <w:szCs w:val="18"/>
              </w:rPr>
              <w:t>impacts identified</w:t>
            </w:r>
          </w:p>
          <w:p w14:paraId="11E470A5" w14:textId="77777777" w:rsidR="008715BE" w:rsidRPr="00C96230" w:rsidRDefault="00000000">
            <w:pPr>
              <w:pStyle w:val="TableParagraph"/>
              <w:spacing w:line="164" w:lineRule="exact"/>
              <w:ind w:left="107"/>
              <w:rPr>
                <w:rFonts w:ascii="Verdana" w:hAnsi="Verdana"/>
                <w:sz w:val="18"/>
                <w:szCs w:val="18"/>
              </w:rPr>
            </w:pPr>
            <w:r w:rsidRPr="00C96230">
              <w:rPr>
                <w:rFonts w:ascii="Verdana" w:hAnsi="Verdana"/>
                <w:spacing w:val="-2"/>
                <w:sz w:val="18"/>
                <w:szCs w:val="18"/>
              </w:rPr>
              <w:t>secondary</w:t>
            </w:r>
          </w:p>
        </w:tc>
        <w:tc>
          <w:tcPr>
            <w:tcW w:w="1389" w:type="dxa"/>
          </w:tcPr>
          <w:p w14:paraId="03C22F67"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4BA14481"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Cumulative</w:t>
            </w:r>
          </w:p>
        </w:tc>
        <w:tc>
          <w:tcPr>
            <w:tcW w:w="1201" w:type="dxa"/>
          </w:tcPr>
          <w:p w14:paraId="04CDEAA6"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 xml:space="preserve">in </w:t>
            </w:r>
            <w:r w:rsidRPr="00C96230">
              <w:rPr>
                <w:rFonts w:ascii="Verdana" w:hAnsi="Verdana"/>
                <w:spacing w:val="-2"/>
                <w:sz w:val="18"/>
                <w:szCs w:val="18"/>
              </w:rPr>
              <w:t>the</w:t>
            </w:r>
          </w:p>
          <w:p w14:paraId="6AAF975A" w14:textId="77777777" w:rsidR="008715BE" w:rsidRPr="00C96230" w:rsidRDefault="00000000">
            <w:pPr>
              <w:pStyle w:val="TableParagraph"/>
              <w:spacing w:line="164" w:lineRule="exact"/>
              <w:ind w:left="109"/>
              <w:rPr>
                <w:rFonts w:ascii="Verdana" w:hAnsi="Verdana"/>
                <w:sz w:val="18"/>
                <w:szCs w:val="18"/>
              </w:rPr>
            </w:pPr>
            <w:r w:rsidRPr="00C96230">
              <w:rPr>
                <w:rFonts w:ascii="Verdana" w:hAnsi="Verdana"/>
                <w:spacing w:val="-2"/>
                <w:sz w:val="18"/>
                <w:szCs w:val="18"/>
              </w:rPr>
              <w:t>term</w:t>
            </w:r>
          </w:p>
        </w:tc>
        <w:tc>
          <w:tcPr>
            <w:tcW w:w="1736" w:type="dxa"/>
          </w:tcPr>
          <w:p w14:paraId="6D4E489C"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6F447E9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31B9FCEA" w14:textId="77777777" w:rsidR="008715BE" w:rsidRPr="00C96230" w:rsidRDefault="00000000">
            <w:pPr>
              <w:pStyle w:val="TableParagraph"/>
              <w:ind w:left="115"/>
              <w:rPr>
                <w:rFonts w:ascii="Verdana" w:hAnsi="Verdana"/>
                <w:sz w:val="18"/>
                <w:szCs w:val="18"/>
              </w:rPr>
            </w:pPr>
            <w:r w:rsidRPr="00C96230">
              <w:rPr>
                <w:rFonts w:ascii="Verdana" w:hAnsi="Verdana"/>
                <w:spacing w:val="-2"/>
                <w:sz w:val="18"/>
                <w:szCs w:val="18"/>
              </w:rPr>
              <w:t>of the species</w:t>
            </w:r>
          </w:p>
        </w:tc>
        <w:tc>
          <w:tcPr>
            <w:tcW w:w="3860" w:type="dxa"/>
          </w:tcPr>
          <w:p w14:paraId="4728798B"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76CBAFD8" w14:textId="77777777" w:rsidR="008715BE" w:rsidRPr="00C96230" w:rsidRDefault="00000000">
            <w:pPr>
              <w:pStyle w:val="TableParagraph"/>
              <w:spacing w:before="166" w:line="194" w:lineRule="exact"/>
              <w:ind w:left="117"/>
              <w:rPr>
                <w:rFonts w:ascii="Verdana" w:hAnsi="Verdana"/>
                <w:sz w:val="18"/>
                <w:szCs w:val="18"/>
              </w:rPr>
            </w:pPr>
            <w:r w:rsidRPr="00C96230">
              <w:rPr>
                <w:rFonts w:ascii="Verdana" w:hAnsi="Verdana"/>
                <w:sz w:val="18"/>
                <w:szCs w:val="18"/>
              </w:rPr>
              <w:t>30-40 sq m in the working area, agricultural land outside the protected area</w:t>
            </w:r>
          </w:p>
        </w:tc>
        <w:tc>
          <w:tcPr>
            <w:tcW w:w="1889" w:type="dxa"/>
          </w:tcPr>
          <w:p w14:paraId="7F25F650"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from</w:t>
            </w:r>
          </w:p>
          <w:p w14:paraId="6E675D36" w14:textId="77777777" w:rsidR="008715BE" w:rsidRPr="00C96230" w:rsidRDefault="00000000">
            <w:pPr>
              <w:pStyle w:val="TableParagraph"/>
              <w:spacing w:line="164" w:lineRule="exact"/>
              <w:ind w:left="119"/>
              <w:rPr>
                <w:rFonts w:ascii="Verdana" w:hAnsi="Verdana"/>
                <w:sz w:val="18"/>
                <w:szCs w:val="18"/>
              </w:rPr>
            </w:pPr>
            <w:r w:rsidRPr="00C96230">
              <w:rPr>
                <w:rFonts w:ascii="Verdana" w:hAnsi="Verdana"/>
                <w:spacing w:val="-2"/>
                <w:sz w:val="18"/>
                <w:szCs w:val="18"/>
              </w:rPr>
              <w:t>land</w:t>
            </w:r>
          </w:p>
        </w:tc>
      </w:tr>
      <w:tr w:rsidR="008715BE" w:rsidRPr="00C96230" w14:paraId="0E0E5110" w14:textId="77777777">
        <w:trPr>
          <w:trHeight w:val="1943"/>
        </w:trPr>
        <w:tc>
          <w:tcPr>
            <w:tcW w:w="523" w:type="dxa"/>
            <w:vMerge/>
            <w:tcBorders>
              <w:top w:val="nil"/>
            </w:tcBorders>
            <w:textDirection w:val="btLr"/>
          </w:tcPr>
          <w:p w14:paraId="72420A5D" w14:textId="77777777" w:rsidR="008715BE" w:rsidRPr="00C96230" w:rsidRDefault="008715BE">
            <w:pPr>
              <w:rPr>
                <w:rFonts w:ascii="Verdana" w:hAnsi="Verdana"/>
                <w:sz w:val="18"/>
                <w:szCs w:val="18"/>
              </w:rPr>
            </w:pPr>
          </w:p>
        </w:tc>
        <w:tc>
          <w:tcPr>
            <w:tcW w:w="2323" w:type="dxa"/>
            <w:vMerge/>
            <w:tcBorders>
              <w:top w:val="nil"/>
            </w:tcBorders>
          </w:tcPr>
          <w:p w14:paraId="6A9492F6" w14:textId="77777777" w:rsidR="008715BE" w:rsidRPr="00C96230" w:rsidRDefault="008715BE">
            <w:pPr>
              <w:rPr>
                <w:rFonts w:ascii="Verdana" w:hAnsi="Verdana"/>
                <w:sz w:val="18"/>
                <w:szCs w:val="18"/>
              </w:rPr>
            </w:pPr>
          </w:p>
        </w:tc>
        <w:tc>
          <w:tcPr>
            <w:tcW w:w="3149" w:type="dxa"/>
          </w:tcPr>
          <w:p w14:paraId="60D6C6E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2A99561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5788D02D"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6A7390C"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8444E03"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F719BF5"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44790229"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7154B7F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5A231743"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0F404194"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2F20953F"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Maximum 500 m from the edge of the work front. The distance over which the effects are felt is between 5 m (in the case of rhizomes/root fragments) and 200-500 m (in the case of seeds). The habitat</w:t>
            </w:r>
            <w:r w:rsidRPr="00C96230">
              <w:rPr>
                <w:rFonts w:ascii="Verdana" w:hAnsi="Verdana"/>
                <w:spacing w:val="40"/>
                <w:sz w:val="18"/>
                <w:szCs w:val="18"/>
              </w:rPr>
              <w:t xml:space="preserve">  </w:t>
            </w:r>
            <w:r w:rsidRPr="00C96230">
              <w:rPr>
                <w:rFonts w:ascii="Verdana" w:hAnsi="Verdana"/>
                <w:sz w:val="18"/>
                <w:szCs w:val="18"/>
              </w:rPr>
              <w:t xml:space="preserve"> is located 200-700 m from the area where the excavation works are carried out.</w:t>
            </w:r>
            <w:r w:rsidRPr="00C96230">
              <w:rPr>
                <w:rFonts w:ascii="Verdana" w:hAnsi="Verdana"/>
                <w:spacing w:val="80"/>
                <w:sz w:val="18"/>
                <w:szCs w:val="18"/>
              </w:rPr>
              <w:t xml:space="preserve"> </w:t>
            </w:r>
            <w:r w:rsidRPr="00C96230">
              <w:rPr>
                <w:rFonts w:ascii="Verdana" w:hAnsi="Verdana"/>
                <w:sz w:val="18"/>
                <w:szCs w:val="18"/>
              </w:rPr>
              <w:t xml:space="preserve">Taking into account the precautionary principle, it was considered that this could generate </w:t>
            </w:r>
            <w:r w:rsidRPr="00C96230">
              <w:rPr>
                <w:rFonts w:ascii="Verdana" w:hAnsi="Verdana"/>
                <w:spacing w:val="-5"/>
                <w:sz w:val="18"/>
                <w:szCs w:val="18"/>
              </w:rPr>
              <w:t>a</w:t>
            </w:r>
          </w:p>
          <w:p w14:paraId="100A5A7F" w14:textId="77777777" w:rsidR="008715BE" w:rsidRPr="00C96230" w:rsidRDefault="00000000">
            <w:pPr>
              <w:pStyle w:val="TableParagraph"/>
              <w:spacing w:line="158" w:lineRule="exact"/>
              <w:ind w:left="117"/>
              <w:rPr>
                <w:rFonts w:ascii="Verdana" w:hAnsi="Verdana"/>
                <w:sz w:val="18"/>
                <w:szCs w:val="18"/>
              </w:rPr>
            </w:pPr>
            <w:r w:rsidRPr="00C96230">
              <w:rPr>
                <w:rFonts w:ascii="Verdana" w:hAnsi="Verdana"/>
                <w:sz w:val="18"/>
                <w:szCs w:val="18"/>
              </w:rPr>
              <w:t xml:space="preserve">potential </w:t>
            </w:r>
            <w:r w:rsidRPr="00C96230">
              <w:rPr>
                <w:rFonts w:ascii="Verdana" w:hAnsi="Verdana"/>
                <w:spacing w:val="-2"/>
                <w:sz w:val="18"/>
                <w:szCs w:val="18"/>
              </w:rPr>
              <w:t>impact</w:t>
            </w:r>
          </w:p>
        </w:tc>
        <w:tc>
          <w:tcPr>
            <w:tcW w:w="1889" w:type="dxa"/>
          </w:tcPr>
          <w:p w14:paraId="783E6DFC"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39EF788D" w14:textId="77777777">
        <w:trPr>
          <w:trHeight w:val="210"/>
        </w:trPr>
        <w:tc>
          <w:tcPr>
            <w:tcW w:w="21392" w:type="dxa"/>
            <w:gridSpan w:val="12"/>
          </w:tcPr>
          <w:p w14:paraId="564897AC" w14:textId="77777777" w:rsidR="008715BE" w:rsidRPr="00C96230" w:rsidRDefault="00000000">
            <w:pPr>
              <w:pStyle w:val="TableParagraph"/>
              <w:spacing w:before="18" w:line="173" w:lineRule="exact"/>
              <w:ind w:left="24"/>
              <w:jc w:val="center"/>
              <w:rPr>
                <w:rFonts w:ascii="Verdana" w:hAnsi="Verdana"/>
                <w:b/>
                <w:sz w:val="18"/>
                <w:szCs w:val="18"/>
              </w:rPr>
            </w:pPr>
            <w:r w:rsidRPr="00C96230">
              <w:rPr>
                <w:rFonts w:ascii="Verdana" w:hAnsi="Verdana"/>
                <w:b/>
                <w:spacing w:val="-2"/>
                <w:sz w:val="18"/>
                <w:szCs w:val="18"/>
              </w:rPr>
              <w:t xml:space="preserve">ROSCI0157/ROSAC157 Hagieni Forest - Cotul </w:t>
            </w:r>
            <w:r w:rsidRPr="00C96230">
              <w:rPr>
                <w:rFonts w:ascii="Verdana" w:hAnsi="Verdana"/>
                <w:b/>
                <w:spacing w:val="-4"/>
                <w:sz w:val="18"/>
                <w:szCs w:val="18"/>
              </w:rPr>
              <w:t>Văii</w:t>
            </w:r>
          </w:p>
        </w:tc>
      </w:tr>
    </w:tbl>
    <w:p w14:paraId="32F0959C" w14:textId="77777777" w:rsidR="008715BE" w:rsidRPr="00C96230" w:rsidRDefault="008715BE">
      <w:pPr>
        <w:pStyle w:val="TableParagraph"/>
        <w:spacing w:line="173" w:lineRule="exact"/>
        <w:jc w:val="center"/>
        <w:rPr>
          <w:rFonts w:ascii="Verdana" w:hAnsi="Verdana"/>
          <w:b/>
          <w:sz w:val="18"/>
          <w:szCs w:val="18"/>
        </w:rPr>
        <w:sectPr w:rsidR="008715BE" w:rsidRPr="00C96230">
          <w:pgSz w:w="23820" w:h="16840" w:orient="landscape"/>
          <w:pgMar w:top="1120" w:right="850" w:bottom="1000" w:left="566" w:header="766" w:footer="810" w:gutter="0"/>
          <w:cols w:space="708"/>
        </w:sectPr>
      </w:pPr>
    </w:p>
    <w:p w14:paraId="52A85A16"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059E00A8" w14:textId="77777777">
        <w:trPr>
          <w:trHeight w:val="842"/>
        </w:trPr>
        <w:tc>
          <w:tcPr>
            <w:tcW w:w="2846" w:type="dxa"/>
            <w:gridSpan w:val="2"/>
            <w:shd w:val="clear" w:color="auto" w:fill="00A1E8"/>
          </w:tcPr>
          <w:p w14:paraId="1F94E4B9" w14:textId="77777777" w:rsidR="008715BE" w:rsidRPr="00C96230" w:rsidRDefault="008715BE">
            <w:pPr>
              <w:pStyle w:val="TableParagraph"/>
              <w:spacing w:before="136"/>
              <w:rPr>
                <w:rFonts w:ascii="Verdana" w:hAnsi="Verdana"/>
                <w:b/>
                <w:sz w:val="18"/>
                <w:szCs w:val="18"/>
              </w:rPr>
            </w:pPr>
          </w:p>
          <w:p w14:paraId="2E1741CF"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4D44694E" w14:textId="77777777" w:rsidR="008715BE" w:rsidRPr="00C96230" w:rsidRDefault="008715BE">
            <w:pPr>
              <w:pStyle w:val="TableParagraph"/>
              <w:spacing w:before="136"/>
              <w:rPr>
                <w:rFonts w:ascii="Verdana" w:hAnsi="Verdana"/>
                <w:b/>
                <w:sz w:val="18"/>
                <w:szCs w:val="18"/>
              </w:rPr>
            </w:pPr>
          </w:p>
          <w:p w14:paraId="5488BDA3"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1CDFEA10" w14:textId="77777777" w:rsidR="008715BE" w:rsidRPr="00C96230" w:rsidRDefault="008715BE">
            <w:pPr>
              <w:pStyle w:val="TableParagraph"/>
              <w:spacing w:before="40"/>
              <w:rPr>
                <w:rFonts w:ascii="Verdana" w:hAnsi="Verdana"/>
                <w:b/>
                <w:sz w:val="18"/>
                <w:szCs w:val="18"/>
              </w:rPr>
            </w:pPr>
          </w:p>
          <w:p w14:paraId="5523251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4053469D" w14:textId="77777777" w:rsidR="008715BE" w:rsidRPr="00C96230" w:rsidRDefault="008715BE">
            <w:pPr>
              <w:pStyle w:val="TableParagraph"/>
              <w:spacing w:before="40"/>
              <w:rPr>
                <w:rFonts w:ascii="Verdana" w:hAnsi="Verdana"/>
                <w:b/>
                <w:sz w:val="18"/>
                <w:szCs w:val="18"/>
              </w:rPr>
            </w:pPr>
          </w:p>
          <w:p w14:paraId="55C8CBA7"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13399E9C" w14:textId="77777777" w:rsidR="008715BE" w:rsidRPr="00C96230" w:rsidRDefault="008715BE">
            <w:pPr>
              <w:pStyle w:val="TableParagraph"/>
              <w:spacing w:before="40"/>
              <w:rPr>
                <w:rFonts w:ascii="Verdana" w:hAnsi="Verdana"/>
                <w:b/>
                <w:sz w:val="18"/>
                <w:szCs w:val="18"/>
              </w:rPr>
            </w:pPr>
          </w:p>
          <w:p w14:paraId="24869174"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5986CD41" w14:textId="77777777" w:rsidR="008715BE" w:rsidRPr="00C96230" w:rsidRDefault="008715BE">
            <w:pPr>
              <w:pStyle w:val="TableParagraph"/>
              <w:spacing w:before="40"/>
              <w:rPr>
                <w:rFonts w:ascii="Verdana" w:hAnsi="Verdana"/>
                <w:b/>
                <w:sz w:val="18"/>
                <w:szCs w:val="18"/>
              </w:rPr>
            </w:pPr>
          </w:p>
          <w:p w14:paraId="237D26B5"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1342BD68"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0268F57C" w14:textId="77777777" w:rsidR="008715BE" w:rsidRPr="00C96230" w:rsidRDefault="008715BE">
            <w:pPr>
              <w:pStyle w:val="TableParagraph"/>
              <w:spacing w:before="136"/>
              <w:rPr>
                <w:rFonts w:ascii="Verdana" w:hAnsi="Verdana"/>
                <w:b/>
                <w:sz w:val="18"/>
                <w:szCs w:val="18"/>
              </w:rPr>
            </w:pPr>
          </w:p>
          <w:p w14:paraId="0F9E3A17"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442745FF" w14:textId="77777777" w:rsidR="008715BE" w:rsidRPr="00C96230" w:rsidRDefault="008715BE">
            <w:pPr>
              <w:pStyle w:val="TableParagraph"/>
              <w:spacing w:before="40"/>
              <w:rPr>
                <w:rFonts w:ascii="Verdana" w:hAnsi="Verdana"/>
                <w:b/>
                <w:sz w:val="18"/>
                <w:szCs w:val="18"/>
              </w:rPr>
            </w:pPr>
          </w:p>
          <w:p w14:paraId="31B5169D"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pacing w:val="-10"/>
                <w:sz w:val="18"/>
                <w:szCs w:val="18"/>
              </w:rPr>
              <w:t>Target parameter/</w:t>
            </w:r>
          </w:p>
          <w:p w14:paraId="0B3149BF"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7CE6ED83" w14:textId="77777777" w:rsidR="008715BE" w:rsidRPr="00C96230" w:rsidRDefault="008715BE">
            <w:pPr>
              <w:pStyle w:val="TableParagraph"/>
              <w:spacing w:before="40"/>
              <w:rPr>
                <w:rFonts w:ascii="Verdana" w:hAnsi="Verdana"/>
                <w:b/>
                <w:sz w:val="18"/>
                <w:szCs w:val="18"/>
              </w:rPr>
            </w:pPr>
          </w:p>
          <w:p w14:paraId="4232C595"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30D2BCDF" w14:textId="77777777" w:rsidR="008715BE" w:rsidRPr="00C96230" w:rsidRDefault="008715BE">
            <w:pPr>
              <w:pStyle w:val="TableParagraph"/>
              <w:spacing w:before="40"/>
              <w:rPr>
                <w:rFonts w:ascii="Verdana" w:hAnsi="Verdana"/>
                <w:b/>
                <w:sz w:val="18"/>
                <w:szCs w:val="18"/>
              </w:rPr>
            </w:pPr>
          </w:p>
          <w:p w14:paraId="1FA48564"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4B3717B5" w14:textId="77777777">
        <w:trPr>
          <w:trHeight w:val="777"/>
        </w:trPr>
        <w:tc>
          <w:tcPr>
            <w:tcW w:w="523" w:type="dxa"/>
            <w:vMerge w:val="restart"/>
            <w:textDirection w:val="btLr"/>
          </w:tcPr>
          <w:p w14:paraId="198BF0C5" w14:textId="77777777" w:rsidR="008715BE" w:rsidRPr="00C96230" w:rsidRDefault="00000000">
            <w:pPr>
              <w:pStyle w:val="TableParagraph"/>
              <w:spacing w:before="171"/>
              <w:ind w:left="1"/>
              <w:jc w:val="center"/>
              <w:rPr>
                <w:rFonts w:ascii="Verdana" w:hAnsi="Verdana"/>
                <w:sz w:val="18"/>
                <w:szCs w:val="18"/>
              </w:rPr>
            </w:pPr>
            <w:r w:rsidRPr="00C96230">
              <w:rPr>
                <w:rFonts w:ascii="Verdana" w:hAnsi="Verdana"/>
                <w:spacing w:val="-2"/>
                <w:sz w:val="18"/>
                <w:szCs w:val="18"/>
              </w:rPr>
              <w:t>Construction</w:t>
            </w:r>
          </w:p>
        </w:tc>
        <w:tc>
          <w:tcPr>
            <w:tcW w:w="2323" w:type="dxa"/>
          </w:tcPr>
          <w:p w14:paraId="28A070D6" w14:textId="77777777" w:rsidR="008715BE" w:rsidRPr="00C96230" w:rsidRDefault="00000000">
            <w:pPr>
              <w:pStyle w:val="TableParagraph"/>
              <w:tabs>
                <w:tab w:val="left" w:pos="2087"/>
              </w:tabs>
              <w:spacing w:line="194" w:lineRule="exact"/>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2E158F38"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0C242A25"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4"/>
                <w:sz w:val="18"/>
                <w:szCs w:val="18"/>
              </w:rPr>
              <w:t>AH/PH</w:t>
            </w:r>
          </w:p>
        </w:tc>
        <w:tc>
          <w:tcPr>
            <w:tcW w:w="1108" w:type="dxa"/>
          </w:tcPr>
          <w:p w14:paraId="627175E7"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5C4FC0E"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1067675"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4FFB4A62"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val="restart"/>
          </w:tcPr>
          <w:p w14:paraId="7661704F"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tcPr>
          <w:p w14:paraId="131E7752"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12D43891"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val="restart"/>
          </w:tcPr>
          <w:p w14:paraId="728AD9DB" w14:textId="77777777" w:rsidR="008715BE" w:rsidRPr="00C96230" w:rsidRDefault="00000000">
            <w:pPr>
              <w:pStyle w:val="TableParagraph"/>
              <w:spacing w:before="8"/>
              <w:ind w:left="117"/>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53D495D4" w14:textId="77777777" w:rsidR="008715BE" w:rsidRPr="00C96230" w:rsidRDefault="00000000">
            <w:pPr>
              <w:pStyle w:val="TableParagraph"/>
              <w:spacing w:before="193"/>
              <w:ind w:left="117" w:right="83"/>
              <w:jc w:val="both"/>
              <w:rPr>
                <w:rFonts w:ascii="Verdana" w:hAnsi="Verdana"/>
                <w:sz w:val="18"/>
                <w:szCs w:val="18"/>
              </w:rPr>
            </w:pPr>
            <w:r w:rsidRPr="00C96230">
              <w:rPr>
                <w:rFonts w:ascii="Verdana" w:hAnsi="Verdana"/>
                <w:sz w:val="18"/>
                <w:szCs w:val="18"/>
              </w:rPr>
              <w:t xml:space="preserve">Areas occupied outside the protected area where the presence of the species was reported following </w:t>
            </w:r>
            <w:r w:rsidRPr="00C96230">
              <w:rPr>
                <w:rFonts w:ascii="Verdana" w:hAnsi="Verdana"/>
                <w:spacing w:val="-2"/>
                <w:sz w:val="18"/>
                <w:szCs w:val="18"/>
              </w:rPr>
              <w:t>monitoring:</w:t>
            </w:r>
          </w:p>
          <w:p w14:paraId="1D84B5D1"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 xml:space="preserve">0.9 ha temporarily occupied, area of the construction site + area temporarily occupied by trenches for </w:t>
            </w:r>
            <w:r w:rsidRPr="00C96230">
              <w:rPr>
                <w:rFonts w:ascii="Verdana" w:hAnsi="Verdana"/>
                <w:spacing w:val="-2"/>
                <w:sz w:val="18"/>
                <w:szCs w:val="18"/>
              </w:rPr>
              <w:t>cable</w:t>
            </w:r>
            <w:r w:rsidRPr="00C96230">
              <w:rPr>
                <w:rFonts w:ascii="Verdana" w:hAnsi="Verdana"/>
                <w:sz w:val="18"/>
                <w:szCs w:val="18"/>
              </w:rPr>
              <w:t xml:space="preserve"> installation</w:t>
            </w:r>
          </w:p>
          <w:p w14:paraId="073FD790"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 xml:space="preserve">309.24 ha of areas permanently occupied by the construction elements of the </w:t>
            </w:r>
            <w:r w:rsidRPr="00C96230">
              <w:rPr>
                <w:rFonts w:ascii="Verdana" w:hAnsi="Verdana"/>
                <w:spacing w:val="-2"/>
                <w:sz w:val="18"/>
                <w:szCs w:val="18"/>
              </w:rPr>
              <w:t>energy</w:t>
            </w:r>
            <w:r w:rsidRPr="00C96230">
              <w:rPr>
                <w:rFonts w:ascii="Verdana" w:hAnsi="Verdana"/>
                <w:sz w:val="18"/>
                <w:szCs w:val="18"/>
              </w:rPr>
              <w:t xml:space="preserve"> park</w:t>
            </w:r>
          </w:p>
        </w:tc>
        <w:tc>
          <w:tcPr>
            <w:tcW w:w="1889" w:type="dxa"/>
            <w:vMerge w:val="restart"/>
          </w:tcPr>
          <w:p w14:paraId="373D717A" w14:textId="77777777" w:rsidR="008715BE" w:rsidRPr="00C96230" w:rsidRDefault="00000000">
            <w:pPr>
              <w:pStyle w:val="TableParagraph"/>
              <w:spacing w:before="8"/>
              <w:ind w:left="119" w:right="83"/>
              <w:jc w:val="both"/>
              <w:rPr>
                <w:rFonts w:ascii="Verdana" w:hAnsi="Verdana"/>
                <w:sz w:val="18"/>
                <w:szCs w:val="18"/>
              </w:rPr>
            </w:pPr>
            <w:r w:rsidRPr="00C96230">
              <w:rPr>
                <w:rFonts w:ascii="Verdana" w:hAnsi="Verdana"/>
                <w:sz w:val="18"/>
                <w:szCs w:val="18"/>
              </w:rPr>
              <w:t xml:space="preserve">Spatial analysis and data received from </w:t>
            </w:r>
            <w:r w:rsidRPr="00C96230">
              <w:rPr>
                <w:rFonts w:ascii="Verdana" w:hAnsi="Verdana"/>
                <w:spacing w:val="-2"/>
                <w:sz w:val="18"/>
                <w:szCs w:val="18"/>
              </w:rPr>
              <w:t>the beneficiary</w:t>
            </w:r>
          </w:p>
        </w:tc>
      </w:tr>
      <w:tr w:rsidR="008715BE" w:rsidRPr="00C96230" w14:paraId="34AB0386" w14:textId="77777777">
        <w:trPr>
          <w:trHeight w:val="777"/>
        </w:trPr>
        <w:tc>
          <w:tcPr>
            <w:tcW w:w="523" w:type="dxa"/>
            <w:vMerge/>
            <w:tcBorders>
              <w:top w:val="nil"/>
            </w:tcBorders>
            <w:textDirection w:val="btLr"/>
          </w:tcPr>
          <w:p w14:paraId="1B95520C" w14:textId="77777777" w:rsidR="008715BE" w:rsidRPr="00C96230" w:rsidRDefault="008715BE">
            <w:pPr>
              <w:rPr>
                <w:rFonts w:ascii="Verdana" w:hAnsi="Verdana"/>
                <w:sz w:val="18"/>
                <w:szCs w:val="18"/>
              </w:rPr>
            </w:pPr>
          </w:p>
        </w:tc>
        <w:tc>
          <w:tcPr>
            <w:tcW w:w="2323" w:type="dxa"/>
          </w:tcPr>
          <w:p w14:paraId="4A79614A"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Construction of </w:t>
            </w:r>
            <w:r w:rsidRPr="00C96230">
              <w:rPr>
                <w:rFonts w:ascii="Verdana" w:hAnsi="Verdana"/>
                <w:spacing w:val="-4"/>
                <w:sz w:val="18"/>
                <w:szCs w:val="18"/>
              </w:rPr>
              <w:t xml:space="preserve">access </w:t>
            </w:r>
            <w:r w:rsidRPr="00C96230">
              <w:rPr>
                <w:rFonts w:ascii="Verdana" w:hAnsi="Verdana"/>
                <w:sz w:val="18"/>
                <w:szCs w:val="18"/>
              </w:rPr>
              <w:t>roads</w:t>
            </w:r>
          </w:p>
        </w:tc>
        <w:tc>
          <w:tcPr>
            <w:tcW w:w="3149" w:type="dxa"/>
          </w:tcPr>
          <w:p w14:paraId="2D961FF0" w14:textId="77777777" w:rsidR="008715BE" w:rsidRPr="00C96230" w:rsidRDefault="00000000">
            <w:pPr>
              <w:pStyle w:val="TableParagraph"/>
              <w:spacing w:before="8" w:line="195" w:lineRule="exact"/>
              <w:ind w:left="108"/>
              <w:rPr>
                <w:rFonts w:ascii="Verdana" w:hAnsi="Verdana"/>
                <w:sz w:val="18"/>
                <w:szCs w:val="18"/>
              </w:rPr>
            </w:pPr>
            <w:r w:rsidRPr="00C96230">
              <w:rPr>
                <w:rFonts w:ascii="Verdana" w:hAnsi="Verdana"/>
                <w:spacing w:val="33"/>
                <w:sz w:val="18"/>
                <w:szCs w:val="18"/>
              </w:rPr>
              <w:t xml:space="preserve">  </w:t>
            </w:r>
            <w:r w:rsidRPr="00C96230">
              <w:rPr>
                <w:rFonts w:ascii="Verdana" w:hAnsi="Verdana"/>
                <w:spacing w:val="-10"/>
                <w:sz w:val="18"/>
                <w:szCs w:val="18"/>
              </w:rPr>
              <w:t xml:space="preserve"> e </w:t>
            </w:r>
            <w:r w:rsidRPr="00C96230">
              <w:rPr>
                <w:rFonts w:ascii="Verdana" w:hAnsi="Verdana"/>
                <w:spacing w:val="-2"/>
                <w:sz w:val="18"/>
                <w:szCs w:val="18"/>
              </w:rPr>
              <w:t xml:space="preserve">temporary/permanent occupation </w:t>
            </w:r>
            <w:r w:rsidRPr="00C96230">
              <w:rPr>
                <w:rFonts w:ascii="Verdana" w:hAnsi="Verdana"/>
                <w:spacing w:val="-10"/>
                <w:sz w:val="18"/>
                <w:szCs w:val="18"/>
              </w:rPr>
              <w:t>of</w:t>
            </w:r>
          </w:p>
          <w:p w14:paraId="7353FBAC" w14:textId="77777777" w:rsidR="008715BE" w:rsidRPr="00C96230" w:rsidRDefault="00000000">
            <w:pPr>
              <w:pStyle w:val="TableParagraph"/>
              <w:spacing w:line="195" w:lineRule="exact"/>
              <w:ind w:left="108"/>
              <w:rPr>
                <w:rFonts w:ascii="Verdana" w:hAnsi="Verdana"/>
                <w:sz w:val="18"/>
                <w:szCs w:val="18"/>
              </w:rPr>
            </w:pPr>
            <w:r w:rsidRPr="00C96230">
              <w:rPr>
                <w:rFonts w:ascii="Verdana" w:hAnsi="Verdana"/>
                <w:sz w:val="18"/>
                <w:szCs w:val="18"/>
              </w:rPr>
              <w:t xml:space="preserve">of </w:t>
            </w:r>
            <w:r w:rsidRPr="00C96230">
              <w:rPr>
                <w:rFonts w:ascii="Verdana" w:hAnsi="Verdana"/>
                <w:spacing w:val="-2"/>
                <w:sz w:val="18"/>
                <w:szCs w:val="18"/>
              </w:rPr>
              <w:t xml:space="preserve">land </w:t>
            </w:r>
            <w:r w:rsidRPr="00C96230">
              <w:rPr>
                <w:rFonts w:ascii="Verdana" w:hAnsi="Verdana"/>
                <w:sz w:val="18"/>
                <w:szCs w:val="18"/>
              </w:rPr>
              <w:t>areas</w:t>
            </w:r>
          </w:p>
        </w:tc>
        <w:tc>
          <w:tcPr>
            <w:tcW w:w="1106" w:type="dxa"/>
          </w:tcPr>
          <w:p w14:paraId="77EAEC3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0A7602FC"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6C5D25C8"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C7F5840"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01" w:type="dxa"/>
          </w:tcPr>
          <w:p w14:paraId="4C696CFC"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0386E24E" w14:textId="77777777" w:rsidR="008715BE" w:rsidRPr="00C96230" w:rsidRDefault="008715BE">
            <w:pPr>
              <w:rPr>
                <w:rFonts w:ascii="Verdana" w:hAnsi="Verdana"/>
                <w:sz w:val="18"/>
                <w:szCs w:val="18"/>
              </w:rPr>
            </w:pPr>
          </w:p>
        </w:tc>
        <w:tc>
          <w:tcPr>
            <w:tcW w:w="1897" w:type="dxa"/>
          </w:tcPr>
          <w:p w14:paraId="68A48D3F"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0BCB8B99"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tcBorders>
              <w:top w:val="nil"/>
            </w:tcBorders>
          </w:tcPr>
          <w:p w14:paraId="1AB71AAA" w14:textId="77777777" w:rsidR="008715BE" w:rsidRPr="00C96230" w:rsidRDefault="008715BE">
            <w:pPr>
              <w:rPr>
                <w:rFonts w:ascii="Verdana" w:hAnsi="Verdana"/>
                <w:sz w:val="18"/>
                <w:szCs w:val="18"/>
              </w:rPr>
            </w:pPr>
          </w:p>
        </w:tc>
        <w:tc>
          <w:tcPr>
            <w:tcW w:w="1889" w:type="dxa"/>
            <w:vMerge/>
            <w:tcBorders>
              <w:top w:val="nil"/>
            </w:tcBorders>
          </w:tcPr>
          <w:p w14:paraId="7D86BA6E" w14:textId="77777777" w:rsidR="008715BE" w:rsidRPr="00C96230" w:rsidRDefault="008715BE">
            <w:pPr>
              <w:rPr>
                <w:rFonts w:ascii="Verdana" w:hAnsi="Verdana"/>
                <w:sz w:val="18"/>
                <w:szCs w:val="18"/>
              </w:rPr>
            </w:pPr>
          </w:p>
        </w:tc>
      </w:tr>
      <w:tr w:rsidR="008715BE" w:rsidRPr="00C96230" w14:paraId="5377FA24" w14:textId="77777777">
        <w:trPr>
          <w:trHeight w:val="1980"/>
        </w:trPr>
        <w:tc>
          <w:tcPr>
            <w:tcW w:w="523" w:type="dxa"/>
            <w:vMerge/>
            <w:tcBorders>
              <w:top w:val="nil"/>
            </w:tcBorders>
            <w:textDirection w:val="btLr"/>
          </w:tcPr>
          <w:p w14:paraId="1FB3055F" w14:textId="77777777" w:rsidR="008715BE" w:rsidRPr="00C96230" w:rsidRDefault="008715BE">
            <w:pPr>
              <w:rPr>
                <w:rFonts w:ascii="Verdana" w:hAnsi="Verdana"/>
                <w:sz w:val="18"/>
                <w:szCs w:val="18"/>
              </w:rPr>
            </w:pPr>
          </w:p>
        </w:tc>
        <w:tc>
          <w:tcPr>
            <w:tcW w:w="2323" w:type="dxa"/>
          </w:tcPr>
          <w:p w14:paraId="31E1D140" w14:textId="77777777" w:rsidR="008715BE" w:rsidRPr="00C96230" w:rsidRDefault="00000000">
            <w:pPr>
              <w:pStyle w:val="TableParagraph"/>
              <w:spacing w:before="8" w:line="195" w:lineRule="exact"/>
              <w:ind w:left="105"/>
              <w:rPr>
                <w:rFonts w:ascii="Verdana" w:hAnsi="Verdana"/>
                <w:sz w:val="18"/>
                <w:szCs w:val="18"/>
              </w:rPr>
            </w:pPr>
            <w:r w:rsidRPr="00C96230">
              <w:rPr>
                <w:rFonts w:ascii="Verdana" w:hAnsi="Verdana"/>
                <w:spacing w:val="46"/>
                <w:sz w:val="18"/>
                <w:szCs w:val="18"/>
              </w:rPr>
              <w:t xml:space="preserve">  </w:t>
            </w:r>
            <w:r w:rsidRPr="00C96230">
              <w:rPr>
                <w:rFonts w:ascii="Verdana" w:hAnsi="Verdana"/>
                <w:spacing w:val="-2"/>
                <w:sz w:val="18"/>
                <w:szCs w:val="18"/>
              </w:rPr>
              <w:t xml:space="preserve"> </w:t>
            </w:r>
            <w:r w:rsidRPr="00C96230">
              <w:rPr>
                <w:rFonts w:ascii="Verdana" w:hAnsi="Verdana"/>
                <w:sz w:val="18"/>
                <w:szCs w:val="18"/>
              </w:rPr>
              <w:t>works by</w:t>
            </w:r>
            <w:r w:rsidRPr="00C96230">
              <w:rPr>
                <w:rFonts w:ascii="Verdana" w:hAnsi="Verdana"/>
                <w:spacing w:val="48"/>
                <w:sz w:val="18"/>
                <w:szCs w:val="18"/>
              </w:rPr>
              <w:t xml:space="preserve">  </w:t>
            </w:r>
            <w:r w:rsidRPr="00C96230">
              <w:rPr>
                <w:rFonts w:ascii="Verdana" w:hAnsi="Verdana"/>
                <w:spacing w:val="-2"/>
                <w:sz w:val="18"/>
                <w:szCs w:val="18"/>
              </w:rPr>
              <w:t xml:space="preserve"> </w:t>
            </w:r>
          </w:p>
          <w:p w14:paraId="3F253F85" w14:textId="77777777" w:rsidR="008715BE" w:rsidRPr="00C96230" w:rsidRDefault="00000000">
            <w:pPr>
              <w:pStyle w:val="TableParagraph"/>
              <w:tabs>
                <w:tab w:val="left" w:pos="1444"/>
              </w:tabs>
              <w:spacing w:line="194" w:lineRule="exact"/>
              <w:ind w:left="105"/>
              <w:rPr>
                <w:rFonts w:ascii="Verdana" w:hAnsi="Verdana"/>
                <w:sz w:val="18"/>
                <w:szCs w:val="18"/>
              </w:rPr>
            </w:pPr>
            <w:r w:rsidRPr="00C96230">
              <w:rPr>
                <w:rFonts w:ascii="Verdana" w:hAnsi="Verdana"/>
                <w:spacing w:val="-2"/>
                <w:sz w:val="18"/>
                <w:szCs w:val="18"/>
              </w:rPr>
              <w:t>(land levelling</w:t>
            </w:r>
            <w:r w:rsidRPr="00C96230">
              <w:rPr>
                <w:rFonts w:ascii="Verdana" w:hAnsi="Verdana"/>
                <w:sz w:val="18"/>
                <w:szCs w:val="18"/>
              </w:rPr>
              <w:tab/>
            </w:r>
            <w:r w:rsidRPr="00C96230">
              <w:rPr>
                <w:rFonts w:ascii="Verdana" w:hAnsi="Verdana"/>
                <w:spacing w:val="-2"/>
                <w:sz w:val="18"/>
                <w:szCs w:val="18"/>
              </w:rPr>
              <w:t>of the terrain,</w:t>
            </w:r>
          </w:p>
          <w:p w14:paraId="13029ECC" w14:textId="77777777" w:rsidR="008715BE" w:rsidRPr="00C96230" w:rsidRDefault="00000000">
            <w:pPr>
              <w:pStyle w:val="TableParagraph"/>
              <w:tabs>
                <w:tab w:val="left" w:pos="1446"/>
              </w:tabs>
              <w:spacing w:line="194" w:lineRule="exact"/>
              <w:ind w:left="105"/>
              <w:rPr>
                <w:rFonts w:ascii="Verdana" w:hAnsi="Verdana"/>
                <w:sz w:val="18"/>
                <w:szCs w:val="18"/>
              </w:rPr>
            </w:pPr>
            <w:r w:rsidRPr="00C96230">
              <w:rPr>
                <w:rFonts w:ascii="Verdana" w:hAnsi="Verdana"/>
                <w:spacing w:val="-2"/>
                <w:sz w:val="18"/>
                <w:szCs w:val="18"/>
              </w:rPr>
              <w:t>excavations,</w:t>
            </w:r>
            <w:r w:rsidRPr="00C96230">
              <w:rPr>
                <w:rFonts w:ascii="Verdana" w:hAnsi="Verdana"/>
                <w:sz w:val="18"/>
                <w:szCs w:val="18"/>
              </w:rPr>
              <w:tab/>
            </w:r>
            <w:r w:rsidRPr="00C96230">
              <w:rPr>
                <w:rFonts w:ascii="Verdana" w:hAnsi="Verdana"/>
                <w:spacing w:val="-2"/>
                <w:sz w:val="18"/>
                <w:szCs w:val="18"/>
              </w:rPr>
              <w:t>excavations,</w:t>
            </w:r>
          </w:p>
          <w:p w14:paraId="6692A48A" w14:textId="77777777" w:rsidR="008715BE" w:rsidRPr="00C96230" w:rsidRDefault="00000000">
            <w:pPr>
              <w:pStyle w:val="TableParagraph"/>
              <w:spacing w:line="195" w:lineRule="exact"/>
              <w:ind w:left="105"/>
              <w:rPr>
                <w:rFonts w:ascii="Verdana" w:hAnsi="Verdana"/>
                <w:sz w:val="18"/>
                <w:szCs w:val="18"/>
              </w:rPr>
            </w:pPr>
            <w:r w:rsidRPr="00C96230">
              <w:rPr>
                <w:rFonts w:ascii="Verdana" w:hAnsi="Verdana"/>
                <w:spacing w:val="-2"/>
                <w:sz w:val="18"/>
                <w:szCs w:val="18"/>
              </w:rPr>
              <w:t>backfilling)</w:t>
            </w:r>
          </w:p>
        </w:tc>
        <w:tc>
          <w:tcPr>
            <w:tcW w:w="3149" w:type="dxa"/>
          </w:tcPr>
          <w:p w14:paraId="22BF3753"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1CBA21ED"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2BB45279"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3FCCA979"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98E65AB"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56DF1B60"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482A0BF0" w14:textId="77777777" w:rsidR="008715BE" w:rsidRPr="00C96230" w:rsidRDefault="008715BE">
            <w:pPr>
              <w:rPr>
                <w:rFonts w:ascii="Verdana" w:hAnsi="Verdana"/>
                <w:sz w:val="18"/>
                <w:szCs w:val="18"/>
              </w:rPr>
            </w:pPr>
          </w:p>
        </w:tc>
        <w:tc>
          <w:tcPr>
            <w:tcW w:w="1897" w:type="dxa"/>
          </w:tcPr>
          <w:p w14:paraId="1018DCC5"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24DA183B"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tcBorders>
              <w:top w:val="nil"/>
            </w:tcBorders>
          </w:tcPr>
          <w:p w14:paraId="5DE05EC8" w14:textId="77777777" w:rsidR="008715BE" w:rsidRPr="00C96230" w:rsidRDefault="008715BE">
            <w:pPr>
              <w:rPr>
                <w:rFonts w:ascii="Verdana" w:hAnsi="Verdana"/>
                <w:sz w:val="18"/>
                <w:szCs w:val="18"/>
              </w:rPr>
            </w:pPr>
          </w:p>
        </w:tc>
        <w:tc>
          <w:tcPr>
            <w:tcW w:w="1889" w:type="dxa"/>
            <w:vMerge/>
            <w:tcBorders>
              <w:top w:val="nil"/>
            </w:tcBorders>
          </w:tcPr>
          <w:p w14:paraId="03A10636" w14:textId="77777777" w:rsidR="008715BE" w:rsidRPr="00C96230" w:rsidRDefault="008715BE">
            <w:pPr>
              <w:rPr>
                <w:rFonts w:ascii="Verdana" w:hAnsi="Verdana"/>
                <w:sz w:val="18"/>
                <w:szCs w:val="18"/>
              </w:rPr>
            </w:pPr>
          </w:p>
        </w:tc>
      </w:tr>
      <w:tr w:rsidR="008715BE" w:rsidRPr="00C96230" w14:paraId="37484CD9" w14:textId="77777777">
        <w:trPr>
          <w:trHeight w:val="777"/>
        </w:trPr>
        <w:tc>
          <w:tcPr>
            <w:tcW w:w="523" w:type="dxa"/>
            <w:vMerge/>
            <w:tcBorders>
              <w:top w:val="nil"/>
            </w:tcBorders>
            <w:textDirection w:val="btLr"/>
          </w:tcPr>
          <w:p w14:paraId="3CC41D95" w14:textId="77777777" w:rsidR="008715BE" w:rsidRPr="00C96230" w:rsidRDefault="008715BE">
            <w:pPr>
              <w:rPr>
                <w:rFonts w:ascii="Verdana" w:hAnsi="Verdana"/>
                <w:sz w:val="18"/>
                <w:szCs w:val="18"/>
              </w:rPr>
            </w:pPr>
          </w:p>
        </w:tc>
        <w:tc>
          <w:tcPr>
            <w:tcW w:w="2323" w:type="dxa"/>
          </w:tcPr>
          <w:p w14:paraId="4AAFA330" w14:textId="77777777" w:rsidR="008715BE" w:rsidRPr="00C96230" w:rsidRDefault="00000000">
            <w:pPr>
              <w:pStyle w:val="TableParagraph"/>
              <w:spacing w:before="8"/>
              <w:ind w:left="105"/>
              <w:rPr>
                <w:rFonts w:ascii="Verdana" w:hAnsi="Verdana"/>
                <w:sz w:val="18"/>
                <w:szCs w:val="18"/>
              </w:rPr>
            </w:pPr>
            <w:r w:rsidRPr="00C96230">
              <w:rPr>
                <w:rFonts w:ascii="Verdana" w:hAnsi="Verdana"/>
                <w:spacing w:val="-2"/>
                <w:sz w:val="18"/>
                <w:szCs w:val="18"/>
              </w:rPr>
              <w:t xml:space="preserve">Foundation </w:t>
            </w:r>
            <w:r w:rsidRPr="00C96230">
              <w:rPr>
                <w:rFonts w:ascii="Verdana" w:hAnsi="Verdana"/>
                <w:sz w:val="18"/>
                <w:szCs w:val="18"/>
              </w:rPr>
              <w:t>construction works</w:t>
            </w:r>
          </w:p>
        </w:tc>
        <w:tc>
          <w:tcPr>
            <w:tcW w:w="3149" w:type="dxa"/>
          </w:tcPr>
          <w:p w14:paraId="4F143BE8" w14:textId="77777777" w:rsidR="008715BE" w:rsidRPr="00C96230" w:rsidRDefault="00000000">
            <w:pPr>
              <w:pStyle w:val="TableParagraph"/>
              <w:tabs>
                <w:tab w:val="left" w:pos="2846"/>
              </w:tabs>
              <w:spacing w:line="194" w:lineRule="exact"/>
              <w:ind w:left="108" w:right="94"/>
              <w:jc w:val="both"/>
              <w:rPr>
                <w:rFonts w:ascii="Verdana" w:hAnsi="Verdana"/>
                <w:sz w:val="18"/>
                <w:szCs w:val="18"/>
              </w:rPr>
            </w:pPr>
            <w:r w:rsidRPr="00C96230">
              <w:rPr>
                <w:rFonts w:ascii="Verdana" w:hAnsi="Verdana"/>
                <w:sz w:val="18"/>
                <w:szCs w:val="18"/>
              </w:rPr>
              <w:t>Collision of wildlife with vehicle traffic</w:t>
            </w:r>
            <w:r w:rsidRPr="00C96230">
              <w:rPr>
                <w:rFonts w:ascii="Verdana" w:hAnsi="Verdana"/>
                <w:spacing w:val="40"/>
                <w:sz w:val="18"/>
                <w:szCs w:val="18"/>
              </w:rPr>
              <w:t xml:space="preserve">  </w:t>
            </w:r>
            <w:r w:rsidRPr="00C96230">
              <w:rPr>
                <w:rFonts w:ascii="Verdana" w:hAnsi="Verdana"/>
                <w:sz w:val="18"/>
                <w:szCs w:val="18"/>
              </w:rPr>
              <w:t xml:space="preserve"> on</w:t>
            </w:r>
            <w:r w:rsidRPr="00C96230">
              <w:rPr>
                <w:rFonts w:ascii="Verdana" w:hAnsi="Verdana"/>
                <w:spacing w:val="40"/>
                <w:sz w:val="18"/>
                <w:szCs w:val="18"/>
              </w:rPr>
              <w:t xml:space="preserve">  </w:t>
            </w:r>
            <w:r w:rsidRPr="00C96230">
              <w:rPr>
                <w:rFonts w:ascii="Verdana" w:hAnsi="Verdana"/>
                <w:sz w:val="18"/>
                <w:szCs w:val="18"/>
              </w:rPr>
              <w:t xml:space="preserve"> access roads</w:t>
            </w:r>
            <w:r w:rsidRPr="00C96230">
              <w:rPr>
                <w:rFonts w:ascii="Verdana" w:hAnsi="Verdana"/>
                <w:sz w:val="18"/>
                <w:szCs w:val="18"/>
              </w:rPr>
              <w:tab/>
              <w:t xml:space="preserve">access roads/machinery in the </w:t>
            </w:r>
            <w:r w:rsidRPr="00C96230">
              <w:rPr>
                <w:rFonts w:ascii="Verdana" w:hAnsi="Verdana"/>
                <w:spacing w:val="-2"/>
                <w:sz w:val="18"/>
                <w:szCs w:val="18"/>
              </w:rPr>
              <w:t xml:space="preserve">work </w:t>
            </w:r>
            <w:r w:rsidRPr="00C96230">
              <w:rPr>
                <w:rFonts w:ascii="Verdana" w:hAnsi="Verdana"/>
                <w:sz w:val="18"/>
                <w:szCs w:val="18"/>
              </w:rPr>
              <w:t>area</w:t>
            </w:r>
          </w:p>
        </w:tc>
        <w:tc>
          <w:tcPr>
            <w:tcW w:w="1106" w:type="dxa"/>
          </w:tcPr>
          <w:p w14:paraId="564B1A75"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1A42D8EB"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11885DC1"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781794D"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D173DAF"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7FA6640C" w14:textId="77777777" w:rsidR="008715BE" w:rsidRPr="00C96230" w:rsidRDefault="008715BE">
            <w:pPr>
              <w:rPr>
                <w:rFonts w:ascii="Verdana" w:hAnsi="Verdana"/>
                <w:sz w:val="18"/>
                <w:szCs w:val="18"/>
              </w:rPr>
            </w:pPr>
          </w:p>
        </w:tc>
        <w:tc>
          <w:tcPr>
            <w:tcW w:w="1897" w:type="dxa"/>
          </w:tcPr>
          <w:p w14:paraId="2D591BC5"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4E8B0E56"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pacing w:val="-2"/>
                <w:sz w:val="18"/>
                <w:szCs w:val="18"/>
              </w:rPr>
              <w:t>1/individual (accidental)</w:t>
            </w:r>
          </w:p>
          <w:p w14:paraId="47B1D4CE"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(outside the protected area, within the wind farm)</w:t>
            </w:r>
          </w:p>
        </w:tc>
        <w:tc>
          <w:tcPr>
            <w:tcW w:w="1889" w:type="dxa"/>
          </w:tcPr>
          <w:p w14:paraId="0C3DBB54" w14:textId="77777777" w:rsidR="008715BE" w:rsidRPr="00C96230" w:rsidRDefault="00000000">
            <w:pPr>
              <w:pStyle w:val="TableParagraph"/>
              <w:tabs>
                <w:tab w:val="left" w:pos="1223"/>
              </w:tabs>
              <w:spacing w:before="8"/>
              <w:ind w:left="119" w:right="82"/>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mortality </w:t>
            </w:r>
            <w:r w:rsidRPr="00C96230">
              <w:rPr>
                <w:rFonts w:ascii="Verdana" w:hAnsi="Verdana"/>
                <w:spacing w:val="-2"/>
                <w:sz w:val="18"/>
                <w:szCs w:val="18"/>
              </w:rPr>
              <w:t xml:space="preserve">risk </w:t>
            </w:r>
            <w:r w:rsidRPr="00C96230">
              <w:rPr>
                <w:rFonts w:ascii="Verdana" w:hAnsi="Verdana"/>
                <w:sz w:val="18"/>
                <w:szCs w:val="18"/>
              </w:rPr>
              <w:t xml:space="preserve">for </w:t>
            </w:r>
            <w:r w:rsidRPr="00C96230">
              <w:rPr>
                <w:rFonts w:ascii="Verdana" w:hAnsi="Verdana"/>
                <w:spacing w:val="-2"/>
                <w:sz w:val="18"/>
                <w:szCs w:val="18"/>
              </w:rPr>
              <w:t>the species</w:t>
            </w:r>
          </w:p>
        </w:tc>
      </w:tr>
      <w:tr w:rsidR="008715BE" w:rsidRPr="00C96230" w14:paraId="4D1D70D9" w14:textId="77777777">
        <w:trPr>
          <w:trHeight w:val="2723"/>
        </w:trPr>
        <w:tc>
          <w:tcPr>
            <w:tcW w:w="523" w:type="dxa"/>
            <w:vMerge/>
            <w:tcBorders>
              <w:top w:val="nil"/>
            </w:tcBorders>
            <w:textDirection w:val="btLr"/>
          </w:tcPr>
          <w:p w14:paraId="6BB8F7AC" w14:textId="77777777" w:rsidR="008715BE" w:rsidRPr="00C96230" w:rsidRDefault="008715BE">
            <w:pPr>
              <w:rPr>
                <w:rFonts w:ascii="Verdana" w:hAnsi="Verdana"/>
                <w:sz w:val="18"/>
                <w:szCs w:val="18"/>
              </w:rPr>
            </w:pPr>
          </w:p>
        </w:tc>
        <w:tc>
          <w:tcPr>
            <w:tcW w:w="2323" w:type="dxa"/>
          </w:tcPr>
          <w:p w14:paraId="32026F55" w14:textId="77777777" w:rsidR="008715BE" w:rsidRPr="00C96230" w:rsidRDefault="00000000">
            <w:pPr>
              <w:pStyle w:val="TableParagraph"/>
              <w:tabs>
                <w:tab w:val="left" w:pos="1053"/>
                <w:tab w:val="left" w:pos="1645"/>
              </w:tabs>
              <w:spacing w:before="10"/>
              <w:ind w:left="105" w:right="96"/>
              <w:rPr>
                <w:rFonts w:ascii="Verdana" w:hAnsi="Verdana"/>
                <w:sz w:val="18"/>
                <w:szCs w:val="18"/>
              </w:rPr>
            </w:pPr>
            <w:r w:rsidRPr="00C96230">
              <w:rPr>
                <w:rFonts w:ascii="Verdana" w:hAnsi="Verdana"/>
                <w:spacing w:val="-2"/>
                <w:sz w:val="18"/>
                <w:szCs w:val="18"/>
              </w:rPr>
              <w:t>Works</w:t>
            </w:r>
            <w:r w:rsidRPr="00C96230">
              <w:rPr>
                <w:rFonts w:ascii="Verdana" w:hAnsi="Verdana"/>
                <w:sz w:val="18"/>
                <w:szCs w:val="18"/>
              </w:rPr>
              <w:tab/>
            </w:r>
            <w:r w:rsidRPr="00C96230">
              <w:rPr>
                <w:rFonts w:ascii="Verdana" w:hAnsi="Verdana"/>
                <w:spacing w:val="-6"/>
                <w:sz w:val="18"/>
                <w:szCs w:val="18"/>
              </w:rPr>
              <w:t>Installation</w:t>
            </w:r>
            <w:r w:rsidRPr="00C96230">
              <w:rPr>
                <w:rFonts w:ascii="Verdana" w:hAnsi="Verdana"/>
                <w:sz w:val="18"/>
                <w:szCs w:val="18"/>
              </w:rPr>
              <w:tab/>
            </w:r>
            <w:r w:rsidRPr="00C96230">
              <w:rPr>
                <w:rFonts w:ascii="Verdana" w:hAnsi="Verdana"/>
                <w:spacing w:val="-2"/>
                <w:sz w:val="18"/>
                <w:szCs w:val="18"/>
              </w:rPr>
              <w:t xml:space="preserve">Installation </w:t>
            </w:r>
            <w:r w:rsidRPr="00C96230">
              <w:rPr>
                <w:rFonts w:ascii="Verdana" w:hAnsi="Verdana"/>
                <w:sz w:val="18"/>
                <w:szCs w:val="18"/>
              </w:rPr>
              <w:t>of facilities/equipment</w:t>
            </w:r>
          </w:p>
        </w:tc>
        <w:tc>
          <w:tcPr>
            <w:tcW w:w="3149" w:type="dxa"/>
          </w:tcPr>
          <w:p w14:paraId="2275CE72" w14:textId="77777777" w:rsidR="008715BE" w:rsidRPr="00C96230" w:rsidRDefault="00000000">
            <w:pPr>
              <w:pStyle w:val="TableParagraph"/>
              <w:tabs>
                <w:tab w:val="left" w:pos="1615"/>
                <w:tab w:val="left" w:pos="2916"/>
              </w:tabs>
              <w:spacing w:before="10"/>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 of</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1C7DB898"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AH</w:t>
            </w:r>
          </w:p>
        </w:tc>
        <w:tc>
          <w:tcPr>
            <w:tcW w:w="1108" w:type="dxa"/>
          </w:tcPr>
          <w:p w14:paraId="1E1F5625"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33388263"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9EEEB9B"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DD15267"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625322FD" w14:textId="77777777" w:rsidR="008715BE" w:rsidRPr="00C96230" w:rsidRDefault="00000000">
            <w:pPr>
              <w:pStyle w:val="TableParagraph"/>
              <w:spacing w:before="10"/>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2A724191" w14:textId="77777777" w:rsidR="008715BE" w:rsidRPr="00C96230" w:rsidRDefault="00000000">
            <w:pPr>
              <w:pStyle w:val="TableParagraph"/>
              <w:spacing w:before="10"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7C4A229A"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431E605C" w14:textId="77777777" w:rsidR="008715BE" w:rsidRPr="00C96230" w:rsidRDefault="00000000">
            <w:pPr>
              <w:pStyle w:val="TableParagraph"/>
              <w:spacing w:before="10"/>
              <w:ind w:left="117"/>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7F639158" w14:textId="77777777" w:rsidR="008715BE" w:rsidRPr="00C96230" w:rsidRDefault="00000000">
            <w:pPr>
              <w:pStyle w:val="TableParagraph"/>
              <w:spacing w:before="194"/>
              <w:ind w:left="117" w:right="86"/>
              <w:jc w:val="both"/>
              <w:rPr>
                <w:rFonts w:ascii="Verdana" w:hAnsi="Verdana"/>
                <w:sz w:val="18"/>
                <w:szCs w:val="18"/>
              </w:rPr>
            </w:pPr>
            <w:r w:rsidRPr="00C96230">
              <w:rPr>
                <w:rFonts w:ascii="Verdana" w:hAnsi="Verdana"/>
                <w:sz w:val="18"/>
                <w:szCs w:val="18"/>
              </w:rPr>
              <w:t>Areas temporarily occupied by the project outside the boundaries of protected areas where the presence of the species has been reported:</w:t>
            </w:r>
          </w:p>
          <w:p w14:paraId="29CBDAB3" w14:textId="77777777" w:rsidR="008715BE" w:rsidRPr="00C96230" w:rsidRDefault="00000000">
            <w:pPr>
              <w:pStyle w:val="TableParagraph"/>
              <w:spacing w:before="192"/>
              <w:ind w:left="117" w:right="85"/>
              <w:jc w:val="both"/>
              <w:rPr>
                <w:rFonts w:ascii="Verdana" w:hAnsi="Verdana"/>
                <w:sz w:val="18"/>
                <w:szCs w:val="18"/>
              </w:rPr>
            </w:pPr>
            <w:r w:rsidRPr="00C96230">
              <w:rPr>
                <w:rFonts w:ascii="Verdana" w:hAnsi="Verdana"/>
                <w:sz w:val="18"/>
                <w:szCs w:val="18"/>
              </w:rPr>
              <w:t>0.9 ha temporarily occupied by the construction site + area temporarily occupied by trenches for cable installation</w:t>
            </w:r>
          </w:p>
          <w:p w14:paraId="0C91D714"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 xml:space="preserve">309.24 ha of areas permanently occupied by the construction elements of the energy park The impact will be felt outside the protected area, within </w:t>
            </w:r>
            <w:r w:rsidRPr="00C96230">
              <w:rPr>
                <w:rFonts w:ascii="Verdana" w:hAnsi="Verdana"/>
                <w:spacing w:val="-2"/>
                <w:sz w:val="18"/>
                <w:szCs w:val="18"/>
              </w:rPr>
              <w:t>the limits/vicinity</w:t>
            </w:r>
            <w:r w:rsidRPr="00C96230">
              <w:rPr>
                <w:rFonts w:ascii="Verdana" w:hAnsi="Verdana"/>
                <w:sz w:val="18"/>
                <w:szCs w:val="18"/>
              </w:rPr>
              <w:t xml:space="preserve"> of the wind farm</w:t>
            </w:r>
          </w:p>
          <w:p w14:paraId="51F4C9C5" w14:textId="77777777" w:rsidR="008715BE" w:rsidRPr="00C96230" w:rsidRDefault="00000000">
            <w:pPr>
              <w:pStyle w:val="TableParagraph"/>
              <w:spacing w:line="162" w:lineRule="exact"/>
              <w:ind w:left="117"/>
              <w:jc w:val="both"/>
              <w:rPr>
                <w:rFonts w:ascii="Verdana" w:hAnsi="Verdana"/>
                <w:sz w:val="18"/>
                <w:szCs w:val="18"/>
              </w:rPr>
            </w:pPr>
            <w:r w:rsidRPr="00C96230">
              <w:rPr>
                <w:rFonts w:ascii="Verdana" w:hAnsi="Verdana"/>
                <w:sz w:val="18"/>
                <w:szCs w:val="18"/>
              </w:rPr>
              <w:t xml:space="preserve">the </w:t>
            </w:r>
            <w:r w:rsidRPr="00C96230">
              <w:rPr>
                <w:rFonts w:ascii="Verdana" w:hAnsi="Verdana"/>
                <w:spacing w:val="-2"/>
                <w:sz w:val="18"/>
                <w:szCs w:val="18"/>
              </w:rPr>
              <w:t xml:space="preserve">work </w:t>
            </w:r>
            <w:r w:rsidRPr="00C96230">
              <w:rPr>
                <w:rFonts w:ascii="Verdana" w:hAnsi="Verdana"/>
                <w:sz w:val="18"/>
                <w:szCs w:val="18"/>
              </w:rPr>
              <w:t>front</w:t>
            </w:r>
          </w:p>
        </w:tc>
        <w:tc>
          <w:tcPr>
            <w:tcW w:w="1889" w:type="dxa"/>
          </w:tcPr>
          <w:p w14:paraId="36ED6A8D" w14:textId="77777777" w:rsidR="008715BE" w:rsidRPr="00C96230" w:rsidRDefault="00000000">
            <w:pPr>
              <w:pStyle w:val="TableParagraph"/>
              <w:tabs>
                <w:tab w:val="left" w:pos="1548"/>
              </w:tabs>
              <w:spacing w:before="10"/>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the results of the field inventories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6FAACD4D" w14:textId="77777777">
        <w:trPr>
          <w:trHeight w:val="1749"/>
        </w:trPr>
        <w:tc>
          <w:tcPr>
            <w:tcW w:w="523" w:type="dxa"/>
            <w:vMerge/>
            <w:tcBorders>
              <w:top w:val="nil"/>
            </w:tcBorders>
            <w:textDirection w:val="btLr"/>
          </w:tcPr>
          <w:p w14:paraId="7D7F1590" w14:textId="77777777" w:rsidR="008715BE" w:rsidRPr="00C96230" w:rsidRDefault="008715BE">
            <w:pPr>
              <w:rPr>
                <w:rFonts w:ascii="Verdana" w:hAnsi="Verdana"/>
                <w:sz w:val="18"/>
                <w:szCs w:val="18"/>
              </w:rPr>
            </w:pPr>
          </w:p>
        </w:tc>
        <w:tc>
          <w:tcPr>
            <w:tcW w:w="2323" w:type="dxa"/>
          </w:tcPr>
          <w:p w14:paraId="0F6B2243" w14:textId="77777777" w:rsidR="008715BE" w:rsidRPr="00C96230" w:rsidRDefault="00000000">
            <w:pPr>
              <w:pStyle w:val="TableParagraph"/>
              <w:tabs>
                <w:tab w:val="left" w:pos="1708"/>
              </w:tabs>
              <w:spacing w:before="8"/>
              <w:ind w:left="105" w:right="96"/>
              <w:jc w:val="both"/>
              <w:rPr>
                <w:rFonts w:ascii="Verdana" w:hAnsi="Verdana"/>
                <w:sz w:val="18"/>
                <w:szCs w:val="18"/>
              </w:rPr>
            </w:pPr>
            <w:r w:rsidRPr="00C96230">
              <w:rPr>
                <w:rFonts w:ascii="Verdana" w:hAnsi="Verdana"/>
                <w:spacing w:val="-2"/>
                <w:sz w:val="18"/>
                <w:szCs w:val="18"/>
              </w:rPr>
              <w:t>Construction</w:t>
            </w:r>
            <w:r w:rsidRPr="00C96230">
              <w:rPr>
                <w:rFonts w:ascii="Verdana" w:hAnsi="Verdana"/>
                <w:sz w:val="18"/>
                <w:szCs w:val="18"/>
              </w:rPr>
              <w:tab/>
            </w:r>
            <w:r w:rsidRPr="00C96230">
              <w:rPr>
                <w:rFonts w:ascii="Verdana" w:hAnsi="Verdana"/>
                <w:spacing w:val="-2"/>
                <w:sz w:val="18"/>
                <w:szCs w:val="18"/>
              </w:rPr>
              <w:t xml:space="preserve">of the </w:t>
            </w:r>
            <w:r w:rsidRPr="00C96230">
              <w:rPr>
                <w:rFonts w:ascii="Verdana" w:hAnsi="Verdana"/>
                <w:sz w:val="18"/>
                <w:szCs w:val="18"/>
              </w:rPr>
              <w:t>electrical</w:t>
            </w:r>
            <w:r w:rsidRPr="00C96230">
              <w:rPr>
                <w:rFonts w:ascii="Verdana" w:hAnsi="Verdana"/>
                <w:spacing w:val="-2"/>
                <w:sz w:val="18"/>
                <w:szCs w:val="18"/>
              </w:rPr>
              <w:t xml:space="preserve"> network </w:t>
            </w:r>
            <w:r w:rsidRPr="00C96230">
              <w:rPr>
                <w:rFonts w:ascii="Verdana" w:hAnsi="Verdana"/>
                <w:sz w:val="18"/>
                <w:szCs w:val="18"/>
              </w:rPr>
              <w:t xml:space="preserve">for discharging the energy produced by </w:t>
            </w:r>
            <w:r w:rsidRPr="00C96230">
              <w:rPr>
                <w:rFonts w:ascii="Verdana" w:hAnsi="Verdana"/>
                <w:spacing w:val="-2"/>
                <w:sz w:val="18"/>
                <w:szCs w:val="18"/>
              </w:rPr>
              <w:t>the</w:t>
            </w:r>
          </w:p>
          <w:p w14:paraId="1C0E1C04" w14:textId="77777777" w:rsidR="008715BE" w:rsidRPr="00C96230" w:rsidRDefault="00000000">
            <w:pPr>
              <w:pStyle w:val="TableParagraph"/>
              <w:ind w:left="105" w:right="96" w:firstLine="57"/>
              <w:jc w:val="both"/>
              <w:rPr>
                <w:rFonts w:ascii="Verdana" w:hAnsi="Verdana"/>
                <w:sz w:val="18"/>
                <w:szCs w:val="18"/>
              </w:rPr>
            </w:pPr>
            <w:r w:rsidRPr="00C96230">
              <w:rPr>
                <w:rFonts w:ascii="Verdana" w:hAnsi="Verdana"/>
                <w:sz w:val="18"/>
                <w:szCs w:val="18"/>
              </w:rPr>
              <w:t>to the transformer station and the telecommunications network (fiber optic),</w:t>
            </w:r>
            <w:r w:rsidRPr="00C96230">
              <w:rPr>
                <w:rFonts w:ascii="Verdana" w:hAnsi="Verdana"/>
                <w:spacing w:val="72"/>
                <w:sz w:val="18"/>
                <w:szCs w:val="18"/>
              </w:rPr>
              <w:t xml:space="preserve">  </w:t>
            </w:r>
            <w:r w:rsidRPr="00C96230">
              <w:rPr>
                <w:rFonts w:ascii="Verdana" w:hAnsi="Verdana"/>
                <w:sz w:val="18"/>
                <w:szCs w:val="18"/>
              </w:rPr>
              <w:t xml:space="preserve"> </w:t>
            </w:r>
            <w:r w:rsidRPr="00C96230">
              <w:rPr>
                <w:rFonts w:ascii="Verdana" w:hAnsi="Verdana"/>
                <w:spacing w:val="-5"/>
                <w:sz w:val="18"/>
                <w:szCs w:val="18"/>
              </w:rPr>
              <w:t xml:space="preserve">transformer </w:t>
            </w:r>
            <w:r w:rsidRPr="00C96230">
              <w:rPr>
                <w:rFonts w:ascii="Verdana" w:hAnsi="Verdana"/>
                <w:sz w:val="18"/>
                <w:szCs w:val="18"/>
              </w:rPr>
              <w:t>stations</w:t>
            </w:r>
          </w:p>
          <w:p w14:paraId="6455775A" w14:textId="77777777" w:rsidR="008715BE" w:rsidRPr="00C96230" w:rsidRDefault="00000000">
            <w:pPr>
              <w:pStyle w:val="TableParagraph"/>
              <w:spacing w:line="162" w:lineRule="exact"/>
              <w:ind w:left="105"/>
              <w:rPr>
                <w:rFonts w:ascii="Verdana" w:hAnsi="Verdana"/>
                <w:sz w:val="18"/>
                <w:szCs w:val="18"/>
              </w:rPr>
            </w:pPr>
            <w:r w:rsidRPr="00C96230">
              <w:rPr>
                <w:rFonts w:ascii="Verdana" w:hAnsi="Verdana"/>
                <w:spacing w:val="-2"/>
                <w:sz w:val="18"/>
                <w:szCs w:val="18"/>
              </w:rPr>
              <w:t>Transformers</w:t>
            </w:r>
          </w:p>
        </w:tc>
        <w:tc>
          <w:tcPr>
            <w:tcW w:w="3149" w:type="dxa"/>
          </w:tcPr>
          <w:p w14:paraId="3DD0B6D9"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equipment—penetration of pollutants into the soil</w:t>
            </w:r>
          </w:p>
        </w:tc>
        <w:tc>
          <w:tcPr>
            <w:tcW w:w="1106" w:type="dxa"/>
          </w:tcPr>
          <w:p w14:paraId="0B03860A"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2139F3FE"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47522041"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4AC344E"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4D5F743E"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61FB5B8B"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02F3C85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5D59EAE7"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5D958153"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4B8F4317" w14:textId="77777777" w:rsidR="008715BE" w:rsidRPr="00C96230" w:rsidRDefault="00000000">
            <w:pPr>
              <w:pStyle w:val="TableParagraph"/>
              <w:spacing w:before="194"/>
              <w:ind w:left="117"/>
              <w:rPr>
                <w:rFonts w:ascii="Verdana" w:hAnsi="Verdana"/>
                <w:sz w:val="18"/>
                <w:szCs w:val="18"/>
              </w:rPr>
            </w:pPr>
            <w:r w:rsidRPr="00C96230">
              <w:rPr>
                <w:rFonts w:ascii="Verdana" w:hAnsi="Verdana"/>
                <w:sz w:val="18"/>
                <w:szCs w:val="18"/>
              </w:rPr>
              <w:t>30-40 sq m in the working area, land outside the protected area (agricultural land).</w:t>
            </w:r>
          </w:p>
        </w:tc>
        <w:tc>
          <w:tcPr>
            <w:tcW w:w="1889" w:type="dxa"/>
          </w:tcPr>
          <w:p w14:paraId="520D9F73"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55F80400" w14:textId="77777777">
        <w:trPr>
          <w:trHeight w:val="1946"/>
        </w:trPr>
        <w:tc>
          <w:tcPr>
            <w:tcW w:w="523" w:type="dxa"/>
            <w:vMerge/>
            <w:tcBorders>
              <w:top w:val="nil"/>
            </w:tcBorders>
            <w:textDirection w:val="btLr"/>
          </w:tcPr>
          <w:p w14:paraId="0692EA9A" w14:textId="77777777" w:rsidR="008715BE" w:rsidRPr="00C96230" w:rsidRDefault="008715BE">
            <w:pPr>
              <w:rPr>
                <w:rFonts w:ascii="Verdana" w:hAnsi="Verdana"/>
                <w:sz w:val="18"/>
                <w:szCs w:val="18"/>
              </w:rPr>
            </w:pPr>
          </w:p>
        </w:tc>
        <w:tc>
          <w:tcPr>
            <w:tcW w:w="2323" w:type="dxa"/>
          </w:tcPr>
          <w:p w14:paraId="4D3ED183" w14:textId="77777777" w:rsidR="008715BE" w:rsidRPr="00C96230" w:rsidRDefault="00000000">
            <w:pPr>
              <w:pStyle w:val="TableParagraph"/>
              <w:spacing w:before="10"/>
              <w:ind w:left="105" w:right="96"/>
              <w:jc w:val="both"/>
              <w:rPr>
                <w:rFonts w:ascii="Verdana" w:hAnsi="Verdana"/>
                <w:sz w:val="18"/>
                <w:szCs w:val="18"/>
              </w:rPr>
            </w:pPr>
            <w:r w:rsidRPr="00C96230">
              <w:rPr>
                <w:rFonts w:ascii="Verdana" w:hAnsi="Verdana"/>
                <w:sz w:val="18"/>
                <w:szCs w:val="18"/>
              </w:rPr>
              <w:t xml:space="preserve">Land rehabilitation works upon completion </w:t>
            </w:r>
            <w:r w:rsidRPr="00C96230">
              <w:rPr>
                <w:rFonts w:ascii="Verdana" w:hAnsi="Verdana"/>
                <w:spacing w:val="-2"/>
                <w:sz w:val="18"/>
                <w:szCs w:val="18"/>
              </w:rPr>
              <w:t>of construction</w:t>
            </w:r>
          </w:p>
        </w:tc>
        <w:tc>
          <w:tcPr>
            <w:tcW w:w="3149" w:type="dxa"/>
          </w:tcPr>
          <w:p w14:paraId="7DF877F0"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401E1ADD"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AH</w:t>
            </w:r>
          </w:p>
        </w:tc>
        <w:tc>
          <w:tcPr>
            <w:tcW w:w="1108" w:type="dxa"/>
          </w:tcPr>
          <w:p w14:paraId="5DF960AF"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42FEEF98"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493A61C6"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5FC5D4AD"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 xml:space="preserve">in </w:t>
            </w:r>
            <w:r w:rsidRPr="00C96230">
              <w:rPr>
                <w:rFonts w:ascii="Verdana" w:hAnsi="Verdana"/>
                <w:spacing w:val="-2"/>
                <w:sz w:val="18"/>
                <w:szCs w:val="18"/>
              </w:rPr>
              <w:t xml:space="preserve">the </w:t>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437CD254" w14:textId="77777777" w:rsidR="008715BE" w:rsidRPr="00C96230" w:rsidRDefault="00000000">
            <w:pPr>
              <w:pStyle w:val="TableParagraph"/>
              <w:spacing w:before="10"/>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269DC66C" w14:textId="77777777" w:rsidR="008715BE" w:rsidRPr="00C96230" w:rsidRDefault="00000000">
            <w:pPr>
              <w:pStyle w:val="TableParagraph"/>
              <w:spacing w:before="10"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0DD1D1EA"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456EA5B8" w14:textId="77777777" w:rsidR="008715BE" w:rsidRPr="00C96230" w:rsidRDefault="00000000">
            <w:pPr>
              <w:pStyle w:val="TableParagraph"/>
              <w:spacing w:before="10" w:line="195" w:lineRule="exact"/>
              <w:ind w:left="117"/>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40D86806"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Maximum 500 m from the working front boundary. The distance over which the effects are felt is between 5 m (in the case of rhizomes/root fragments) and 200-500 m (in the case of seeds). The habitat</w:t>
            </w:r>
            <w:r w:rsidRPr="00C96230">
              <w:rPr>
                <w:rFonts w:ascii="Verdana" w:hAnsi="Verdana"/>
                <w:spacing w:val="40"/>
                <w:sz w:val="18"/>
                <w:szCs w:val="18"/>
              </w:rPr>
              <w:t xml:space="preserve">  </w:t>
            </w:r>
            <w:r w:rsidRPr="00C96230">
              <w:rPr>
                <w:rFonts w:ascii="Verdana" w:hAnsi="Verdana"/>
                <w:sz w:val="18"/>
                <w:szCs w:val="18"/>
              </w:rPr>
              <w:t xml:space="preserve"> is located 200-700 m from the area where the excavation works are carried out.</w:t>
            </w:r>
            <w:r w:rsidRPr="00C96230">
              <w:rPr>
                <w:rFonts w:ascii="Verdana" w:hAnsi="Verdana"/>
                <w:spacing w:val="80"/>
                <w:sz w:val="18"/>
                <w:szCs w:val="18"/>
              </w:rPr>
              <w:t xml:space="preserve"> </w:t>
            </w:r>
            <w:r w:rsidRPr="00C96230">
              <w:rPr>
                <w:rFonts w:ascii="Verdana" w:hAnsi="Verdana"/>
                <w:sz w:val="18"/>
                <w:szCs w:val="18"/>
              </w:rPr>
              <w:t xml:space="preserve">Taking into account the precautionary principle, it was considered that this could generate </w:t>
            </w:r>
            <w:r w:rsidRPr="00C96230">
              <w:rPr>
                <w:rFonts w:ascii="Verdana" w:hAnsi="Verdana"/>
                <w:spacing w:val="-5"/>
                <w:sz w:val="18"/>
                <w:szCs w:val="18"/>
              </w:rPr>
              <w:t>a</w:t>
            </w:r>
          </w:p>
          <w:p w14:paraId="491B8266" w14:textId="77777777" w:rsidR="008715BE" w:rsidRPr="00C96230" w:rsidRDefault="00000000">
            <w:pPr>
              <w:pStyle w:val="TableParagraph"/>
              <w:spacing w:line="158" w:lineRule="exact"/>
              <w:ind w:left="117"/>
              <w:rPr>
                <w:rFonts w:ascii="Verdana" w:hAnsi="Verdana"/>
                <w:sz w:val="18"/>
                <w:szCs w:val="18"/>
              </w:rPr>
            </w:pPr>
            <w:r w:rsidRPr="00C96230">
              <w:rPr>
                <w:rFonts w:ascii="Verdana" w:hAnsi="Verdana"/>
                <w:sz w:val="18"/>
                <w:szCs w:val="18"/>
              </w:rPr>
              <w:t xml:space="preserve">potential </w:t>
            </w:r>
            <w:r w:rsidRPr="00C96230">
              <w:rPr>
                <w:rFonts w:ascii="Verdana" w:hAnsi="Verdana"/>
                <w:spacing w:val="-2"/>
                <w:sz w:val="18"/>
                <w:szCs w:val="18"/>
              </w:rPr>
              <w:t>impact</w:t>
            </w:r>
          </w:p>
        </w:tc>
        <w:tc>
          <w:tcPr>
            <w:tcW w:w="1889" w:type="dxa"/>
          </w:tcPr>
          <w:p w14:paraId="3F666330" w14:textId="77777777" w:rsidR="008715BE" w:rsidRPr="00C96230" w:rsidRDefault="00000000">
            <w:pPr>
              <w:pStyle w:val="TableParagraph"/>
              <w:tabs>
                <w:tab w:val="left" w:pos="1548"/>
              </w:tabs>
              <w:spacing w:before="10"/>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73CF74A6" w14:textId="77777777">
        <w:trPr>
          <w:trHeight w:val="2138"/>
        </w:trPr>
        <w:tc>
          <w:tcPr>
            <w:tcW w:w="523" w:type="dxa"/>
            <w:vMerge w:val="restart"/>
            <w:textDirection w:val="btLr"/>
          </w:tcPr>
          <w:p w14:paraId="26BE4C7E" w14:textId="77777777" w:rsidR="008715BE" w:rsidRPr="00C96230" w:rsidRDefault="00000000">
            <w:pPr>
              <w:pStyle w:val="TableParagraph"/>
              <w:spacing w:before="171"/>
              <w:ind w:left="3"/>
              <w:jc w:val="center"/>
              <w:rPr>
                <w:rFonts w:ascii="Verdana" w:hAnsi="Verdana"/>
                <w:sz w:val="18"/>
                <w:szCs w:val="18"/>
              </w:rPr>
            </w:pPr>
            <w:r w:rsidRPr="00C96230">
              <w:rPr>
                <w:rFonts w:ascii="Verdana" w:hAnsi="Verdana"/>
                <w:spacing w:val="-2"/>
                <w:sz w:val="18"/>
                <w:szCs w:val="18"/>
              </w:rPr>
              <w:lastRenderedPageBreak/>
              <w:t>Operation</w:t>
            </w:r>
          </w:p>
        </w:tc>
        <w:tc>
          <w:tcPr>
            <w:tcW w:w="2323" w:type="dxa"/>
            <w:vMerge w:val="restart"/>
          </w:tcPr>
          <w:p w14:paraId="6D89451A"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Carrying out energy production activities</w:t>
            </w:r>
          </w:p>
        </w:tc>
        <w:tc>
          <w:tcPr>
            <w:tcW w:w="3149" w:type="dxa"/>
          </w:tcPr>
          <w:p w14:paraId="462CF3A7"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458C153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2A171775"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52EB9E9F"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4311FAA"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5B9897CB"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 xml:space="preserve">in </w:t>
            </w:r>
            <w:r w:rsidRPr="00C96230">
              <w:rPr>
                <w:rFonts w:ascii="Verdana" w:hAnsi="Verdana"/>
                <w:spacing w:val="-2"/>
                <w:sz w:val="18"/>
                <w:szCs w:val="18"/>
              </w:rPr>
              <w:t xml:space="preserve">the </w:t>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08043B30"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tcPr>
          <w:p w14:paraId="255F5E41"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56AFB7D5" w14:textId="77777777" w:rsidR="008715BE" w:rsidRPr="00C96230" w:rsidRDefault="00000000">
            <w:pPr>
              <w:pStyle w:val="TableParagraph"/>
              <w:spacing w:before="8"/>
              <w:ind w:left="117" w:right="86"/>
              <w:jc w:val="both"/>
              <w:rPr>
                <w:rFonts w:ascii="Verdana" w:hAnsi="Verdana"/>
                <w:sz w:val="18"/>
                <w:szCs w:val="18"/>
              </w:rPr>
            </w:pPr>
            <w:r w:rsidRPr="00C96230">
              <w:rPr>
                <w:rFonts w:ascii="Verdana" w:hAnsi="Verdana"/>
                <w:sz w:val="18"/>
                <w:szCs w:val="18"/>
              </w:rPr>
              <w:t>Possible disturbance of the activity of a maximum of 2 to 3 individuals</w:t>
            </w:r>
          </w:p>
          <w:p w14:paraId="2E2C4683"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7399EB26"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isoline will be felt at distances of up to 1.5 km around the work area.</w:t>
            </w:r>
          </w:p>
          <w:p w14:paraId="72DF0FA8" w14:textId="77777777" w:rsidR="008715BE" w:rsidRPr="00C96230" w:rsidRDefault="00000000">
            <w:pPr>
              <w:pStyle w:val="TableParagraph"/>
              <w:ind w:left="117" w:right="84"/>
              <w:jc w:val="both"/>
              <w:rPr>
                <w:rFonts w:ascii="Verdana" w:hAnsi="Verdana"/>
                <w:sz w:val="18"/>
                <w:szCs w:val="18"/>
              </w:rPr>
            </w:pPr>
            <w:r w:rsidRPr="00C96230">
              <w:rPr>
                <w:rFonts w:ascii="Verdana" w:hAnsi="Verdana"/>
                <w:spacing w:val="66"/>
                <w:sz w:val="18"/>
                <w:szCs w:val="18"/>
              </w:rPr>
              <w:t xml:space="preserve">  </w:t>
            </w:r>
            <w:r w:rsidRPr="00C96230">
              <w:rPr>
                <w:rFonts w:ascii="Verdana" w:hAnsi="Verdana"/>
                <w:sz w:val="18"/>
                <w:szCs w:val="18"/>
              </w:rPr>
              <w:t>The impact will be felt outside the protected area, within the boundaries of the</w:t>
            </w:r>
            <w:r w:rsidRPr="00C96230">
              <w:rPr>
                <w:rFonts w:ascii="Verdana" w:hAnsi="Verdana"/>
                <w:spacing w:val="66"/>
                <w:sz w:val="18"/>
                <w:szCs w:val="18"/>
              </w:rPr>
              <w:t xml:space="preserve">  </w:t>
            </w:r>
            <w:r w:rsidRPr="00C96230">
              <w:rPr>
                <w:rFonts w:ascii="Verdana" w:hAnsi="Verdana"/>
                <w:sz w:val="18"/>
                <w:szCs w:val="18"/>
              </w:rPr>
              <w:t xml:space="preserve"> wind farm,</w:t>
            </w:r>
            <w:r w:rsidRPr="00C96230">
              <w:rPr>
                <w:rFonts w:ascii="Verdana" w:hAnsi="Verdana"/>
                <w:spacing w:val="66"/>
                <w:sz w:val="18"/>
                <w:szCs w:val="18"/>
              </w:rPr>
              <w:t xml:space="preserve">  </w:t>
            </w:r>
            <w:r w:rsidRPr="00C96230">
              <w:rPr>
                <w:rFonts w:ascii="Verdana" w:hAnsi="Verdana"/>
                <w:sz w:val="18"/>
                <w:szCs w:val="18"/>
              </w:rPr>
              <w:t xml:space="preserve"> in</w:t>
            </w:r>
            <w:r w:rsidRPr="00C96230">
              <w:rPr>
                <w:rFonts w:ascii="Verdana" w:hAnsi="Verdana"/>
                <w:spacing w:val="66"/>
                <w:sz w:val="18"/>
                <w:szCs w:val="18"/>
              </w:rPr>
              <w:t xml:space="preserve">  </w:t>
            </w:r>
            <w:r w:rsidRPr="00C96230">
              <w:rPr>
                <w:rFonts w:ascii="Verdana" w:hAnsi="Verdana"/>
                <w:spacing w:val="-2"/>
                <w:sz w:val="18"/>
                <w:szCs w:val="18"/>
              </w:rPr>
              <w:t xml:space="preserve"> the vicinity of the</w:t>
            </w:r>
          </w:p>
          <w:p w14:paraId="72688DCC" w14:textId="77777777" w:rsidR="008715BE" w:rsidRPr="00C96230" w:rsidRDefault="00000000">
            <w:pPr>
              <w:pStyle w:val="TableParagraph"/>
              <w:spacing w:line="164" w:lineRule="exact"/>
              <w:ind w:left="117"/>
              <w:jc w:val="both"/>
              <w:rPr>
                <w:rFonts w:ascii="Verdana" w:hAnsi="Verdana"/>
                <w:sz w:val="18"/>
                <w:szCs w:val="18"/>
              </w:rPr>
            </w:pPr>
            <w:r w:rsidRPr="00C96230">
              <w:rPr>
                <w:rFonts w:ascii="Verdana" w:hAnsi="Verdana"/>
                <w:spacing w:val="-2"/>
                <w:sz w:val="18"/>
                <w:szCs w:val="18"/>
              </w:rPr>
              <w:t xml:space="preserve">wind </w:t>
            </w:r>
            <w:r w:rsidRPr="00C96230">
              <w:rPr>
                <w:rFonts w:ascii="Verdana" w:hAnsi="Verdana"/>
                <w:sz w:val="18"/>
                <w:szCs w:val="18"/>
              </w:rPr>
              <w:t>turbines</w:t>
            </w:r>
          </w:p>
        </w:tc>
        <w:tc>
          <w:tcPr>
            <w:tcW w:w="1889" w:type="dxa"/>
          </w:tcPr>
          <w:p w14:paraId="3014CF5C" w14:textId="77777777" w:rsidR="008715BE" w:rsidRPr="00C96230" w:rsidRDefault="00000000">
            <w:pPr>
              <w:pStyle w:val="TableParagraph"/>
              <w:tabs>
                <w:tab w:val="left" w:pos="1302"/>
              </w:tabs>
              <w:spacing w:before="8" w:line="195" w:lineRule="exact"/>
              <w:ind w:left="119"/>
              <w:rPr>
                <w:rFonts w:ascii="Verdana" w:hAnsi="Verdana"/>
                <w:sz w:val="18"/>
                <w:szCs w:val="18"/>
              </w:rPr>
            </w:pPr>
            <w:r w:rsidRPr="00C96230">
              <w:rPr>
                <w:rFonts w:ascii="Verdana" w:hAnsi="Verdana"/>
                <w:spacing w:val="-2"/>
                <w:sz w:val="18"/>
                <w:szCs w:val="18"/>
              </w:rPr>
              <w:t>Results</w:t>
            </w:r>
            <w:r w:rsidRPr="00C96230">
              <w:rPr>
                <w:rFonts w:ascii="Verdana" w:hAnsi="Verdana"/>
                <w:sz w:val="18"/>
                <w:szCs w:val="18"/>
              </w:rPr>
              <w:tab/>
            </w:r>
            <w:r w:rsidRPr="00C96230">
              <w:rPr>
                <w:rFonts w:ascii="Verdana" w:hAnsi="Verdana"/>
                <w:spacing w:val="-2"/>
                <w:sz w:val="18"/>
                <w:szCs w:val="18"/>
              </w:rPr>
              <w:t>study</w:t>
            </w:r>
          </w:p>
          <w:p w14:paraId="2963C6D4" w14:textId="77777777" w:rsidR="008715BE" w:rsidRPr="00C96230" w:rsidRDefault="00000000">
            <w:pPr>
              <w:pStyle w:val="TableParagraph"/>
              <w:tabs>
                <w:tab w:val="left" w:pos="1417"/>
              </w:tabs>
              <w:ind w:left="119" w:right="82"/>
              <w:rPr>
                <w:rFonts w:ascii="Verdana" w:hAnsi="Verdana"/>
                <w:sz w:val="18"/>
                <w:szCs w:val="18"/>
              </w:rPr>
            </w:pPr>
            <w:r w:rsidRPr="00C96230">
              <w:rPr>
                <w:rFonts w:ascii="Verdana" w:hAnsi="Verdana"/>
                <w:spacing w:val="-2"/>
                <w:sz w:val="18"/>
                <w:szCs w:val="18"/>
              </w:rPr>
              <w:t>modeling</w:t>
            </w:r>
            <w:r w:rsidRPr="00C96230">
              <w:rPr>
                <w:rFonts w:ascii="Verdana" w:hAnsi="Verdana"/>
                <w:sz w:val="18"/>
                <w:szCs w:val="18"/>
              </w:rPr>
              <w:tab/>
            </w:r>
            <w:r w:rsidRPr="00C96230">
              <w:rPr>
                <w:rFonts w:ascii="Verdana" w:hAnsi="Verdana"/>
                <w:spacing w:val="-2"/>
                <w:sz w:val="18"/>
                <w:szCs w:val="18"/>
              </w:rPr>
              <w:t xml:space="preserve">noise </w:t>
            </w:r>
            <w:r w:rsidRPr="00C96230">
              <w:rPr>
                <w:rFonts w:ascii="Verdana" w:hAnsi="Verdana"/>
                <w:spacing w:val="-4"/>
                <w:sz w:val="18"/>
                <w:szCs w:val="18"/>
              </w:rPr>
              <w:t>level</w:t>
            </w:r>
          </w:p>
        </w:tc>
      </w:tr>
      <w:tr w:rsidR="008715BE" w:rsidRPr="00C96230" w14:paraId="0AAD924C" w14:textId="77777777">
        <w:trPr>
          <w:trHeight w:val="585"/>
        </w:trPr>
        <w:tc>
          <w:tcPr>
            <w:tcW w:w="523" w:type="dxa"/>
            <w:vMerge/>
            <w:tcBorders>
              <w:top w:val="nil"/>
            </w:tcBorders>
            <w:textDirection w:val="btLr"/>
          </w:tcPr>
          <w:p w14:paraId="78BB0900" w14:textId="77777777" w:rsidR="008715BE" w:rsidRPr="00C96230" w:rsidRDefault="008715BE">
            <w:pPr>
              <w:rPr>
                <w:rFonts w:ascii="Verdana" w:hAnsi="Verdana"/>
                <w:sz w:val="18"/>
                <w:szCs w:val="18"/>
              </w:rPr>
            </w:pPr>
          </w:p>
        </w:tc>
        <w:tc>
          <w:tcPr>
            <w:tcW w:w="2323" w:type="dxa"/>
            <w:vMerge/>
            <w:tcBorders>
              <w:top w:val="nil"/>
            </w:tcBorders>
          </w:tcPr>
          <w:p w14:paraId="3A553937" w14:textId="77777777" w:rsidR="008715BE" w:rsidRPr="00C96230" w:rsidRDefault="008715BE">
            <w:pPr>
              <w:rPr>
                <w:rFonts w:ascii="Verdana" w:hAnsi="Verdana"/>
                <w:sz w:val="18"/>
                <w:szCs w:val="18"/>
              </w:rPr>
            </w:pPr>
          </w:p>
        </w:tc>
        <w:tc>
          <w:tcPr>
            <w:tcW w:w="3149" w:type="dxa"/>
          </w:tcPr>
          <w:p w14:paraId="7280C254"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Night-time </w:t>
            </w:r>
            <w:r w:rsidRPr="00C96230">
              <w:rPr>
                <w:rFonts w:ascii="Verdana" w:hAnsi="Verdana"/>
                <w:sz w:val="18"/>
                <w:szCs w:val="18"/>
              </w:rPr>
              <w:t>lighting</w:t>
            </w:r>
          </w:p>
        </w:tc>
        <w:tc>
          <w:tcPr>
            <w:tcW w:w="1106" w:type="dxa"/>
          </w:tcPr>
          <w:p w14:paraId="50ABF81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PAS/PH</w:t>
            </w:r>
          </w:p>
        </w:tc>
        <w:tc>
          <w:tcPr>
            <w:tcW w:w="1108" w:type="dxa"/>
          </w:tcPr>
          <w:p w14:paraId="70587F36"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None </w:t>
            </w:r>
            <w:r w:rsidRPr="00C96230">
              <w:rPr>
                <w:rFonts w:ascii="Verdana" w:hAnsi="Verdana"/>
                <w:spacing w:val="-2"/>
                <w:sz w:val="18"/>
                <w:szCs w:val="18"/>
              </w:rPr>
              <w:t>identified</w:t>
            </w:r>
          </w:p>
        </w:tc>
        <w:tc>
          <w:tcPr>
            <w:tcW w:w="1211" w:type="dxa"/>
          </w:tcPr>
          <w:p w14:paraId="0E152F0F"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identified</w:t>
            </w:r>
          </w:p>
        </w:tc>
        <w:tc>
          <w:tcPr>
            <w:tcW w:w="1389" w:type="dxa"/>
          </w:tcPr>
          <w:p w14:paraId="5DBB106A"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2"/>
                <w:sz w:val="18"/>
                <w:szCs w:val="18"/>
              </w:rPr>
              <w:t>identified</w:t>
            </w:r>
          </w:p>
        </w:tc>
        <w:tc>
          <w:tcPr>
            <w:tcW w:w="1201" w:type="dxa"/>
          </w:tcPr>
          <w:p w14:paraId="6C7194A9"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on</w:t>
            </w:r>
          </w:p>
        </w:tc>
        <w:tc>
          <w:tcPr>
            <w:tcW w:w="1736" w:type="dxa"/>
          </w:tcPr>
          <w:p w14:paraId="5C6115A6" w14:textId="77777777" w:rsidR="008715BE" w:rsidRPr="00C96230" w:rsidRDefault="00000000">
            <w:pPr>
              <w:pStyle w:val="TableParagraph"/>
              <w:tabs>
                <w:tab w:val="left" w:pos="734"/>
                <w:tab w:val="left" w:pos="1334"/>
              </w:tabs>
              <w:spacing w:line="194" w:lineRule="exact"/>
              <w:ind w:left="111" w:right="88"/>
              <w:jc w:val="both"/>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6"/>
                <w:sz w:val="18"/>
                <w:szCs w:val="18"/>
              </w:rPr>
              <w:t>have</w:t>
            </w:r>
            <w:r w:rsidRPr="00C96230">
              <w:rPr>
                <w:rFonts w:ascii="Verdana" w:hAnsi="Verdana"/>
                <w:sz w:val="18"/>
                <w:szCs w:val="18"/>
              </w:rPr>
              <w:tab/>
              <w:t>identified potentially affected species</w:t>
            </w:r>
          </w:p>
        </w:tc>
        <w:tc>
          <w:tcPr>
            <w:tcW w:w="1897" w:type="dxa"/>
          </w:tcPr>
          <w:p w14:paraId="13885DB2"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717F27B7"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36237E35"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bl>
    <w:p w14:paraId="3FD21552"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7988CEF7"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556BDD8F" w14:textId="77777777">
        <w:trPr>
          <w:trHeight w:val="842"/>
        </w:trPr>
        <w:tc>
          <w:tcPr>
            <w:tcW w:w="2846" w:type="dxa"/>
            <w:gridSpan w:val="2"/>
            <w:shd w:val="clear" w:color="auto" w:fill="00A1E8"/>
          </w:tcPr>
          <w:p w14:paraId="1078D451" w14:textId="77777777" w:rsidR="008715BE" w:rsidRPr="00C96230" w:rsidRDefault="008715BE">
            <w:pPr>
              <w:pStyle w:val="TableParagraph"/>
              <w:spacing w:before="136"/>
              <w:rPr>
                <w:rFonts w:ascii="Verdana" w:hAnsi="Verdana"/>
                <w:b/>
                <w:sz w:val="18"/>
                <w:szCs w:val="18"/>
              </w:rPr>
            </w:pPr>
          </w:p>
          <w:p w14:paraId="0675E133"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734D16B9" w14:textId="77777777" w:rsidR="008715BE" w:rsidRPr="00C96230" w:rsidRDefault="008715BE">
            <w:pPr>
              <w:pStyle w:val="TableParagraph"/>
              <w:spacing w:before="136"/>
              <w:rPr>
                <w:rFonts w:ascii="Verdana" w:hAnsi="Verdana"/>
                <w:b/>
                <w:sz w:val="18"/>
                <w:szCs w:val="18"/>
              </w:rPr>
            </w:pPr>
          </w:p>
          <w:p w14:paraId="6F6DB60F"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5EEE4B38" w14:textId="77777777" w:rsidR="008715BE" w:rsidRPr="00C96230" w:rsidRDefault="008715BE">
            <w:pPr>
              <w:pStyle w:val="TableParagraph"/>
              <w:spacing w:before="40"/>
              <w:rPr>
                <w:rFonts w:ascii="Verdana" w:hAnsi="Verdana"/>
                <w:b/>
                <w:sz w:val="18"/>
                <w:szCs w:val="18"/>
              </w:rPr>
            </w:pPr>
          </w:p>
          <w:p w14:paraId="76C8813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05127EC4" w14:textId="77777777" w:rsidR="008715BE" w:rsidRPr="00C96230" w:rsidRDefault="008715BE">
            <w:pPr>
              <w:pStyle w:val="TableParagraph"/>
              <w:spacing w:before="40"/>
              <w:rPr>
                <w:rFonts w:ascii="Verdana" w:hAnsi="Verdana"/>
                <w:b/>
                <w:sz w:val="18"/>
                <w:szCs w:val="18"/>
              </w:rPr>
            </w:pPr>
          </w:p>
          <w:p w14:paraId="3195DFE0"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5DBA5077" w14:textId="77777777" w:rsidR="008715BE" w:rsidRPr="00C96230" w:rsidRDefault="008715BE">
            <w:pPr>
              <w:pStyle w:val="TableParagraph"/>
              <w:spacing w:before="40"/>
              <w:rPr>
                <w:rFonts w:ascii="Verdana" w:hAnsi="Verdana"/>
                <w:b/>
                <w:sz w:val="18"/>
                <w:szCs w:val="18"/>
              </w:rPr>
            </w:pPr>
          </w:p>
          <w:p w14:paraId="4FADD8FE"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5B6A7A76" w14:textId="77777777" w:rsidR="008715BE" w:rsidRPr="00C96230" w:rsidRDefault="008715BE">
            <w:pPr>
              <w:pStyle w:val="TableParagraph"/>
              <w:spacing w:before="40"/>
              <w:rPr>
                <w:rFonts w:ascii="Verdana" w:hAnsi="Verdana"/>
                <w:b/>
                <w:sz w:val="18"/>
                <w:szCs w:val="18"/>
              </w:rPr>
            </w:pPr>
          </w:p>
          <w:p w14:paraId="1EE8FA2E"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6AD26D1B"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25B0A011" w14:textId="77777777" w:rsidR="008715BE" w:rsidRPr="00C96230" w:rsidRDefault="008715BE">
            <w:pPr>
              <w:pStyle w:val="TableParagraph"/>
              <w:spacing w:before="136"/>
              <w:rPr>
                <w:rFonts w:ascii="Verdana" w:hAnsi="Verdana"/>
                <w:b/>
                <w:sz w:val="18"/>
                <w:szCs w:val="18"/>
              </w:rPr>
            </w:pPr>
          </w:p>
          <w:p w14:paraId="03F97E60"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1571E652" w14:textId="77777777" w:rsidR="008715BE" w:rsidRPr="00C96230" w:rsidRDefault="008715BE">
            <w:pPr>
              <w:pStyle w:val="TableParagraph"/>
              <w:spacing w:before="40"/>
              <w:rPr>
                <w:rFonts w:ascii="Verdana" w:hAnsi="Verdana"/>
                <w:b/>
                <w:sz w:val="18"/>
                <w:szCs w:val="18"/>
              </w:rPr>
            </w:pPr>
          </w:p>
          <w:p w14:paraId="4D9D892B"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2FA404FF"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42608453" w14:textId="77777777" w:rsidR="008715BE" w:rsidRPr="00C96230" w:rsidRDefault="008715BE">
            <w:pPr>
              <w:pStyle w:val="TableParagraph"/>
              <w:spacing w:before="40"/>
              <w:rPr>
                <w:rFonts w:ascii="Verdana" w:hAnsi="Verdana"/>
                <w:b/>
                <w:sz w:val="18"/>
                <w:szCs w:val="18"/>
              </w:rPr>
            </w:pPr>
          </w:p>
          <w:p w14:paraId="0BC14E41"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11E3CEE2" w14:textId="77777777" w:rsidR="008715BE" w:rsidRPr="00C96230" w:rsidRDefault="008715BE">
            <w:pPr>
              <w:pStyle w:val="TableParagraph"/>
              <w:spacing w:before="40"/>
              <w:rPr>
                <w:rFonts w:ascii="Verdana" w:hAnsi="Verdana"/>
                <w:b/>
                <w:sz w:val="18"/>
                <w:szCs w:val="18"/>
              </w:rPr>
            </w:pPr>
          </w:p>
          <w:p w14:paraId="6B848193"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1315C8BB" w14:textId="77777777">
        <w:trPr>
          <w:trHeight w:val="388"/>
        </w:trPr>
        <w:tc>
          <w:tcPr>
            <w:tcW w:w="523" w:type="dxa"/>
            <w:vMerge w:val="restart"/>
          </w:tcPr>
          <w:p w14:paraId="261FAC37" w14:textId="77777777" w:rsidR="008715BE" w:rsidRPr="00C96230" w:rsidRDefault="008715BE">
            <w:pPr>
              <w:pStyle w:val="TableParagraph"/>
              <w:rPr>
                <w:rFonts w:ascii="Verdana" w:hAnsi="Verdana"/>
                <w:sz w:val="18"/>
                <w:szCs w:val="18"/>
              </w:rPr>
            </w:pPr>
          </w:p>
        </w:tc>
        <w:tc>
          <w:tcPr>
            <w:tcW w:w="2323" w:type="dxa"/>
            <w:vMerge w:val="restart"/>
          </w:tcPr>
          <w:p w14:paraId="281E77B9" w14:textId="77777777" w:rsidR="008715BE" w:rsidRPr="00C96230" w:rsidRDefault="008715BE">
            <w:pPr>
              <w:pStyle w:val="TableParagraph"/>
              <w:rPr>
                <w:rFonts w:ascii="Verdana" w:hAnsi="Verdana"/>
                <w:sz w:val="18"/>
                <w:szCs w:val="18"/>
              </w:rPr>
            </w:pPr>
          </w:p>
        </w:tc>
        <w:tc>
          <w:tcPr>
            <w:tcW w:w="3149" w:type="dxa"/>
          </w:tcPr>
          <w:p w14:paraId="33E3C176" w14:textId="77777777" w:rsidR="008715BE" w:rsidRPr="00C96230" w:rsidRDefault="008715BE">
            <w:pPr>
              <w:pStyle w:val="TableParagraph"/>
              <w:rPr>
                <w:rFonts w:ascii="Verdana" w:hAnsi="Verdana"/>
                <w:sz w:val="18"/>
                <w:szCs w:val="18"/>
              </w:rPr>
            </w:pPr>
          </w:p>
        </w:tc>
        <w:tc>
          <w:tcPr>
            <w:tcW w:w="1106" w:type="dxa"/>
          </w:tcPr>
          <w:p w14:paraId="438189C2" w14:textId="77777777" w:rsidR="008715BE" w:rsidRPr="00C96230" w:rsidRDefault="008715BE">
            <w:pPr>
              <w:pStyle w:val="TableParagraph"/>
              <w:rPr>
                <w:rFonts w:ascii="Verdana" w:hAnsi="Verdana"/>
                <w:sz w:val="18"/>
                <w:szCs w:val="18"/>
              </w:rPr>
            </w:pPr>
          </w:p>
        </w:tc>
        <w:tc>
          <w:tcPr>
            <w:tcW w:w="1108" w:type="dxa"/>
          </w:tcPr>
          <w:p w14:paraId="5B8EB2AA"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pacing w:val="-2"/>
                <w:sz w:val="18"/>
                <w:szCs w:val="18"/>
              </w:rPr>
              <w:t>indirect impacts</w:t>
            </w:r>
          </w:p>
        </w:tc>
        <w:tc>
          <w:tcPr>
            <w:tcW w:w="1211" w:type="dxa"/>
          </w:tcPr>
          <w:p w14:paraId="0C68FFC6"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pacing w:val="-2"/>
                <w:sz w:val="18"/>
                <w:szCs w:val="18"/>
              </w:rPr>
              <w:t>secondary impacts</w:t>
            </w:r>
          </w:p>
        </w:tc>
        <w:tc>
          <w:tcPr>
            <w:tcW w:w="1389" w:type="dxa"/>
          </w:tcPr>
          <w:p w14:paraId="33290481" w14:textId="77777777" w:rsidR="008715BE" w:rsidRPr="00C96230" w:rsidRDefault="00000000">
            <w:pPr>
              <w:pStyle w:val="TableParagraph"/>
              <w:spacing w:line="194" w:lineRule="exact"/>
              <w:ind w:left="108" w:right="182"/>
              <w:rPr>
                <w:rFonts w:ascii="Verdana" w:hAnsi="Verdana"/>
                <w:sz w:val="18"/>
                <w:szCs w:val="18"/>
              </w:rPr>
            </w:pPr>
            <w:r w:rsidRPr="00C96230">
              <w:rPr>
                <w:rFonts w:ascii="Verdana" w:hAnsi="Verdana"/>
                <w:spacing w:val="-2"/>
                <w:sz w:val="18"/>
                <w:szCs w:val="18"/>
              </w:rPr>
              <w:t>Cumulative impacts</w:t>
            </w:r>
          </w:p>
        </w:tc>
        <w:tc>
          <w:tcPr>
            <w:tcW w:w="1201" w:type="dxa"/>
          </w:tcPr>
          <w:p w14:paraId="479E9DD5" w14:textId="77777777" w:rsidR="008715BE" w:rsidRPr="00C96230" w:rsidRDefault="00000000">
            <w:pPr>
              <w:pStyle w:val="TableParagraph"/>
              <w:spacing w:line="194" w:lineRule="exact"/>
              <w:ind w:left="109" w:right="165"/>
              <w:rPr>
                <w:rFonts w:ascii="Verdana" w:hAnsi="Verdana"/>
                <w:sz w:val="18"/>
                <w:szCs w:val="18"/>
              </w:rPr>
            </w:pPr>
            <w:r w:rsidRPr="00C96230">
              <w:rPr>
                <w:rFonts w:ascii="Verdana" w:hAnsi="Verdana"/>
                <w:spacing w:val="-2"/>
                <w:sz w:val="18"/>
                <w:szCs w:val="18"/>
              </w:rPr>
              <w:t xml:space="preserve">Long </w:t>
            </w:r>
            <w:r w:rsidRPr="00C96230">
              <w:rPr>
                <w:rFonts w:ascii="Verdana" w:hAnsi="Verdana"/>
                <w:spacing w:val="-4"/>
                <w:sz w:val="18"/>
                <w:szCs w:val="18"/>
              </w:rPr>
              <w:t>term</w:t>
            </w:r>
          </w:p>
        </w:tc>
        <w:tc>
          <w:tcPr>
            <w:tcW w:w="1736" w:type="dxa"/>
          </w:tcPr>
          <w:p w14:paraId="2B19CD78" w14:textId="77777777" w:rsidR="008715BE" w:rsidRPr="00C96230" w:rsidRDefault="008715BE">
            <w:pPr>
              <w:pStyle w:val="TableParagraph"/>
              <w:rPr>
                <w:rFonts w:ascii="Verdana" w:hAnsi="Verdana"/>
                <w:sz w:val="18"/>
                <w:szCs w:val="18"/>
              </w:rPr>
            </w:pPr>
          </w:p>
        </w:tc>
        <w:tc>
          <w:tcPr>
            <w:tcW w:w="1897" w:type="dxa"/>
          </w:tcPr>
          <w:p w14:paraId="17EC4D50" w14:textId="77777777" w:rsidR="008715BE" w:rsidRPr="00C96230" w:rsidRDefault="008715BE">
            <w:pPr>
              <w:pStyle w:val="TableParagraph"/>
              <w:rPr>
                <w:rFonts w:ascii="Verdana" w:hAnsi="Verdana"/>
                <w:sz w:val="18"/>
                <w:szCs w:val="18"/>
              </w:rPr>
            </w:pPr>
          </w:p>
        </w:tc>
        <w:tc>
          <w:tcPr>
            <w:tcW w:w="3860" w:type="dxa"/>
          </w:tcPr>
          <w:p w14:paraId="5F5EABEF" w14:textId="77777777" w:rsidR="008715BE" w:rsidRPr="00C96230" w:rsidRDefault="008715BE">
            <w:pPr>
              <w:pStyle w:val="TableParagraph"/>
              <w:rPr>
                <w:rFonts w:ascii="Verdana" w:hAnsi="Verdana"/>
                <w:sz w:val="18"/>
                <w:szCs w:val="18"/>
              </w:rPr>
            </w:pPr>
          </w:p>
        </w:tc>
        <w:tc>
          <w:tcPr>
            <w:tcW w:w="1889" w:type="dxa"/>
          </w:tcPr>
          <w:p w14:paraId="4DF6E0AA" w14:textId="77777777" w:rsidR="008715BE" w:rsidRPr="00C96230" w:rsidRDefault="008715BE">
            <w:pPr>
              <w:pStyle w:val="TableParagraph"/>
              <w:rPr>
                <w:rFonts w:ascii="Verdana" w:hAnsi="Verdana"/>
                <w:sz w:val="18"/>
                <w:szCs w:val="18"/>
              </w:rPr>
            </w:pPr>
          </w:p>
        </w:tc>
      </w:tr>
      <w:tr w:rsidR="008715BE" w:rsidRPr="00C96230" w14:paraId="1680CB5C" w14:textId="77777777">
        <w:trPr>
          <w:trHeight w:val="777"/>
        </w:trPr>
        <w:tc>
          <w:tcPr>
            <w:tcW w:w="523" w:type="dxa"/>
            <w:vMerge/>
            <w:tcBorders>
              <w:top w:val="nil"/>
            </w:tcBorders>
          </w:tcPr>
          <w:p w14:paraId="45C261C9" w14:textId="77777777" w:rsidR="008715BE" w:rsidRPr="00C96230" w:rsidRDefault="008715BE">
            <w:pPr>
              <w:rPr>
                <w:rFonts w:ascii="Verdana" w:hAnsi="Verdana"/>
                <w:sz w:val="18"/>
                <w:szCs w:val="18"/>
              </w:rPr>
            </w:pPr>
          </w:p>
        </w:tc>
        <w:tc>
          <w:tcPr>
            <w:tcW w:w="2323" w:type="dxa"/>
            <w:vMerge/>
            <w:tcBorders>
              <w:top w:val="nil"/>
            </w:tcBorders>
          </w:tcPr>
          <w:p w14:paraId="4D2E2A2B" w14:textId="77777777" w:rsidR="008715BE" w:rsidRPr="00C96230" w:rsidRDefault="008715BE">
            <w:pPr>
              <w:rPr>
                <w:rFonts w:ascii="Verdana" w:hAnsi="Verdana"/>
                <w:sz w:val="18"/>
                <w:szCs w:val="18"/>
              </w:rPr>
            </w:pPr>
          </w:p>
        </w:tc>
        <w:tc>
          <w:tcPr>
            <w:tcW w:w="3149" w:type="dxa"/>
          </w:tcPr>
          <w:p w14:paraId="7F149EC4"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Waste </w:t>
            </w:r>
            <w:r w:rsidRPr="00C96230">
              <w:rPr>
                <w:rFonts w:ascii="Verdana" w:hAnsi="Verdana"/>
                <w:sz w:val="18"/>
                <w:szCs w:val="18"/>
              </w:rPr>
              <w:t>generation</w:t>
            </w:r>
          </w:p>
        </w:tc>
        <w:tc>
          <w:tcPr>
            <w:tcW w:w="1106" w:type="dxa"/>
          </w:tcPr>
          <w:p w14:paraId="551BBBAA"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AH/PAS</w:t>
            </w:r>
          </w:p>
        </w:tc>
        <w:tc>
          <w:tcPr>
            <w:tcW w:w="1108" w:type="dxa"/>
          </w:tcPr>
          <w:p w14:paraId="23FB4958"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7A396D9C"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082F062B"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0F0C42EA" w14:textId="77777777" w:rsidR="008715BE" w:rsidRPr="00C96230" w:rsidRDefault="00000000">
            <w:pPr>
              <w:pStyle w:val="TableParagraph"/>
              <w:spacing w:before="8"/>
              <w:ind w:left="109" w:right="91"/>
              <w:rPr>
                <w:rFonts w:ascii="Verdana" w:hAnsi="Verdana"/>
                <w:sz w:val="18"/>
                <w:szCs w:val="18"/>
              </w:rPr>
            </w:pPr>
            <w:r w:rsidRPr="00C96230">
              <w:rPr>
                <w:rFonts w:ascii="Verdana" w:hAnsi="Verdana"/>
                <w:sz w:val="18"/>
                <w:szCs w:val="18"/>
              </w:rPr>
              <w:t xml:space="preserve">None </w:t>
            </w:r>
            <w:r w:rsidRPr="00C96230">
              <w:rPr>
                <w:rFonts w:ascii="Verdana" w:hAnsi="Verdana"/>
                <w:spacing w:val="-2"/>
                <w:sz w:val="18"/>
                <w:szCs w:val="18"/>
              </w:rPr>
              <w:t>identified</w:t>
            </w:r>
          </w:p>
        </w:tc>
        <w:tc>
          <w:tcPr>
            <w:tcW w:w="1736" w:type="dxa"/>
          </w:tcPr>
          <w:p w14:paraId="646FD3B0" w14:textId="77777777" w:rsidR="008715BE" w:rsidRPr="00C96230" w:rsidRDefault="00000000">
            <w:pPr>
              <w:pStyle w:val="TableParagraph"/>
              <w:tabs>
                <w:tab w:val="left" w:pos="734"/>
                <w:tab w:val="left" w:pos="1334"/>
              </w:tabs>
              <w:spacing w:before="8"/>
              <w:ind w:left="111" w:right="88"/>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6"/>
                <w:sz w:val="18"/>
                <w:szCs w:val="18"/>
              </w:rPr>
              <w:t>have</w:t>
            </w:r>
            <w:r w:rsidRPr="00C96230">
              <w:rPr>
                <w:rFonts w:ascii="Verdana" w:hAnsi="Verdana"/>
                <w:sz w:val="18"/>
                <w:szCs w:val="18"/>
              </w:rPr>
              <w:tab/>
            </w:r>
            <w:r w:rsidRPr="00C96230">
              <w:rPr>
                <w:rFonts w:ascii="Verdana" w:hAnsi="Verdana"/>
                <w:spacing w:val="-2"/>
                <w:sz w:val="18"/>
                <w:szCs w:val="18"/>
              </w:rPr>
              <w:t>identified</w:t>
            </w:r>
          </w:p>
        </w:tc>
        <w:tc>
          <w:tcPr>
            <w:tcW w:w="1897" w:type="dxa"/>
          </w:tcPr>
          <w:p w14:paraId="3118E81F"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238DB74B"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EBD7D69"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461FEDAE" w14:textId="77777777">
        <w:trPr>
          <w:trHeight w:val="10695"/>
        </w:trPr>
        <w:tc>
          <w:tcPr>
            <w:tcW w:w="523" w:type="dxa"/>
            <w:vMerge/>
            <w:tcBorders>
              <w:top w:val="nil"/>
            </w:tcBorders>
          </w:tcPr>
          <w:p w14:paraId="66065452" w14:textId="77777777" w:rsidR="008715BE" w:rsidRPr="00C96230" w:rsidRDefault="008715BE">
            <w:pPr>
              <w:rPr>
                <w:rFonts w:ascii="Verdana" w:hAnsi="Verdana"/>
                <w:sz w:val="18"/>
                <w:szCs w:val="18"/>
              </w:rPr>
            </w:pPr>
          </w:p>
        </w:tc>
        <w:tc>
          <w:tcPr>
            <w:tcW w:w="2323" w:type="dxa"/>
            <w:vMerge/>
            <w:tcBorders>
              <w:top w:val="nil"/>
            </w:tcBorders>
          </w:tcPr>
          <w:p w14:paraId="1BDDCE12" w14:textId="77777777" w:rsidR="008715BE" w:rsidRPr="00C96230" w:rsidRDefault="008715BE">
            <w:pPr>
              <w:rPr>
                <w:rFonts w:ascii="Verdana" w:hAnsi="Verdana"/>
                <w:sz w:val="18"/>
                <w:szCs w:val="18"/>
              </w:rPr>
            </w:pPr>
          </w:p>
        </w:tc>
        <w:tc>
          <w:tcPr>
            <w:tcW w:w="3149" w:type="dxa"/>
          </w:tcPr>
          <w:p w14:paraId="27373AD1"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Collision with </w:t>
            </w:r>
            <w:r w:rsidRPr="00C96230">
              <w:rPr>
                <w:rFonts w:ascii="Verdana" w:hAnsi="Verdana"/>
                <w:spacing w:val="-2"/>
                <w:sz w:val="18"/>
                <w:szCs w:val="18"/>
              </w:rPr>
              <w:t xml:space="preserve">turbine </w:t>
            </w:r>
            <w:r w:rsidRPr="00C96230">
              <w:rPr>
                <w:rFonts w:ascii="Verdana" w:hAnsi="Verdana"/>
                <w:sz w:val="18"/>
                <w:szCs w:val="18"/>
              </w:rPr>
              <w:t>blades</w:t>
            </w:r>
          </w:p>
        </w:tc>
        <w:tc>
          <w:tcPr>
            <w:tcW w:w="1106" w:type="dxa"/>
          </w:tcPr>
          <w:p w14:paraId="0CD83933"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5E1701C3"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3AB846F"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5604740F"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w:t>
            </w:r>
            <w:r w:rsidRPr="00C96230">
              <w:rPr>
                <w:rFonts w:ascii="Verdana" w:hAnsi="Verdana"/>
                <w:spacing w:val="-4"/>
                <w:sz w:val="18"/>
                <w:szCs w:val="18"/>
              </w:rPr>
              <w:t xml:space="preserve">impact </w:t>
            </w:r>
            <w:r w:rsidRPr="00C96230">
              <w:rPr>
                <w:rFonts w:ascii="Verdana" w:hAnsi="Verdana"/>
                <w:sz w:val="18"/>
                <w:szCs w:val="18"/>
              </w:rPr>
              <w:t>with:</w:t>
            </w:r>
            <w:r w:rsidRPr="00C96230">
              <w:rPr>
                <w:rFonts w:ascii="Verdana" w:hAnsi="Verdana"/>
                <w:sz w:val="18"/>
                <w:szCs w:val="18"/>
              </w:rPr>
              <w:tab/>
            </w:r>
            <w:r w:rsidRPr="00C96230">
              <w:rPr>
                <w:rFonts w:ascii="Verdana" w:hAnsi="Verdana"/>
                <w:spacing w:val="-2"/>
                <w:sz w:val="18"/>
                <w:szCs w:val="18"/>
              </w:rPr>
              <w:t xml:space="preserve">Chirnogeni </w:t>
            </w:r>
            <w:r w:rsidRPr="00C96230">
              <w:rPr>
                <w:rFonts w:ascii="Verdana" w:hAnsi="Verdana"/>
                <w:spacing w:val="-6"/>
                <w:sz w:val="18"/>
                <w:szCs w:val="18"/>
              </w:rPr>
              <w:t xml:space="preserve">Wind </w:t>
            </w:r>
            <w:r w:rsidRPr="00C96230">
              <w:rPr>
                <w:rFonts w:ascii="Verdana" w:hAnsi="Verdana"/>
                <w:sz w:val="18"/>
                <w:szCs w:val="18"/>
              </w:rPr>
              <w:t xml:space="preserve">Farm </w:t>
            </w:r>
            <w:r w:rsidRPr="00C96230">
              <w:rPr>
                <w:rFonts w:ascii="Verdana" w:hAnsi="Verdana"/>
                <w:spacing w:val="-2"/>
                <w:sz w:val="18"/>
                <w:szCs w:val="18"/>
              </w:rPr>
              <w:t>(existing)</w:t>
            </w:r>
            <w:r w:rsidRPr="00C96230">
              <w:rPr>
                <w:rFonts w:ascii="Verdana" w:hAnsi="Verdana"/>
                <w:sz w:val="18"/>
                <w:szCs w:val="18"/>
              </w:rPr>
              <w:t xml:space="preserve"> 14 </w:t>
            </w:r>
            <w:r w:rsidRPr="00C96230">
              <w:rPr>
                <w:rFonts w:ascii="Verdana" w:hAnsi="Verdana"/>
                <w:spacing w:val="-5"/>
                <w:sz w:val="18"/>
                <w:szCs w:val="18"/>
              </w:rPr>
              <w:t>CE-</w:t>
            </w:r>
          </w:p>
          <w:p w14:paraId="03E54635" w14:textId="77777777" w:rsidR="008715BE" w:rsidRPr="00C96230" w:rsidRDefault="00000000">
            <w:pPr>
              <w:pStyle w:val="TableParagraph"/>
              <w:tabs>
                <w:tab w:val="left" w:pos="931"/>
              </w:tabs>
              <w:spacing w:line="188"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0DC3222B"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 xml:space="preserve">connection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modernization of</w:t>
            </w:r>
            <w:r w:rsidRPr="00C96230">
              <w:rPr>
                <w:rFonts w:ascii="Verdana" w:hAnsi="Verdana"/>
                <w:sz w:val="18"/>
                <w:szCs w:val="18"/>
              </w:rPr>
              <w:tab/>
            </w:r>
            <w:r w:rsidRPr="00C96230">
              <w:rPr>
                <w:rFonts w:ascii="Verdana" w:hAnsi="Verdana"/>
                <w:spacing w:val="-8"/>
                <w:sz w:val="18"/>
                <w:szCs w:val="18"/>
              </w:rPr>
              <w:t>and</w:t>
            </w:r>
          </w:p>
          <w:p w14:paraId="120286F8" w14:textId="77777777" w:rsidR="008715BE" w:rsidRPr="00C96230" w:rsidRDefault="00000000">
            <w:pPr>
              <w:pStyle w:val="TableParagraph"/>
              <w:spacing w:line="191" w:lineRule="exact"/>
              <w:ind w:left="108"/>
              <w:rPr>
                <w:rFonts w:ascii="Verdana" w:hAnsi="Verdana"/>
                <w:sz w:val="18"/>
                <w:szCs w:val="18"/>
              </w:rPr>
            </w:pPr>
            <w:r w:rsidRPr="00C96230">
              <w:rPr>
                <w:rFonts w:ascii="Verdana" w:hAnsi="Verdana"/>
                <w:spacing w:val="-5"/>
                <w:sz w:val="18"/>
                <w:szCs w:val="18"/>
              </w:rPr>
              <w:t>and</w:t>
            </w:r>
          </w:p>
          <w:p w14:paraId="0600862E"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5D283B05"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built-up area of Fântana Mare, </w:t>
            </w:r>
            <w:r w:rsidRPr="00C96230">
              <w:rPr>
                <w:rFonts w:ascii="Verdana" w:hAnsi="Verdana"/>
                <w:spacing w:val="-4"/>
                <w:sz w:val="18"/>
                <w:szCs w:val="18"/>
              </w:rPr>
              <w:t>com.</w:t>
            </w:r>
          </w:p>
          <w:p w14:paraId="6B6D2460"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551976DA"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4CF16C53"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64D591E7"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704B3E61"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1A50BEC"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03C719CE"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0835A8BD" w14:textId="77777777" w:rsidR="008715BE" w:rsidRPr="00C96230" w:rsidRDefault="00000000">
            <w:pPr>
              <w:pStyle w:val="TableParagraph"/>
              <w:tabs>
                <w:tab w:val="left" w:pos="888"/>
              </w:tabs>
              <w:ind w:left="108" w:right="91"/>
              <w:rPr>
                <w:rFonts w:ascii="Verdana" w:hAnsi="Verdana"/>
                <w:sz w:val="18"/>
                <w:szCs w:val="18"/>
              </w:rPr>
            </w:pPr>
            <w:r w:rsidRPr="00C96230">
              <w:rPr>
                <w:rFonts w:ascii="Verdana" w:hAnsi="Verdana"/>
                <w:spacing w:val="-2"/>
                <w:sz w:val="18"/>
                <w:szCs w:val="18"/>
              </w:rPr>
              <w:t xml:space="preserve">Independența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municipality</w:t>
            </w:r>
          </w:p>
          <w:p w14:paraId="0D971748" w14:textId="77777777" w:rsidR="008715BE" w:rsidRPr="00C96230" w:rsidRDefault="00000000">
            <w:pPr>
              <w:pStyle w:val="TableParagraph"/>
              <w:tabs>
                <w:tab w:val="left" w:pos="1213"/>
              </w:tabs>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lastRenderedPageBreak/>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w:t>
            </w:r>
            <w:r w:rsidRPr="00C96230">
              <w:rPr>
                <w:rFonts w:ascii="Verdana" w:hAnsi="Verdana"/>
                <w:sz w:val="18"/>
                <w:szCs w:val="18"/>
              </w:rPr>
              <w:t xml:space="preserve">built-up area of </w:t>
            </w:r>
            <w:r w:rsidRPr="00C96230">
              <w:rPr>
                <w:rFonts w:ascii="Verdana" w:hAnsi="Verdana"/>
                <w:spacing w:val="-2"/>
                <w:sz w:val="18"/>
                <w:szCs w:val="18"/>
              </w:rPr>
              <w:t>Tătaru</w:t>
            </w:r>
          </w:p>
          <w:p w14:paraId="7864D69B"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4F89F404"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Wind</w:t>
            </w:r>
            <w:r w:rsidRPr="00C96230">
              <w:rPr>
                <w:rFonts w:ascii="Verdana" w:hAnsi="Verdana"/>
                <w:sz w:val="18"/>
                <w:szCs w:val="18"/>
              </w:rPr>
              <w:tab/>
            </w:r>
            <w:r w:rsidRPr="00C96230">
              <w:rPr>
                <w:rFonts w:ascii="Verdana" w:hAnsi="Verdana"/>
                <w:spacing w:val="-2"/>
                <w:sz w:val="18"/>
                <w:szCs w:val="18"/>
              </w:rPr>
              <w:t>Karnobat</w:t>
            </w:r>
          </w:p>
          <w:p w14:paraId="7A631318"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(existing</w:t>
            </w:r>
          </w:p>
        </w:tc>
        <w:tc>
          <w:tcPr>
            <w:tcW w:w="1201" w:type="dxa"/>
          </w:tcPr>
          <w:p w14:paraId="45E07129"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lastRenderedPageBreak/>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4E620C08" w14:textId="77777777" w:rsidR="008715BE" w:rsidRPr="00C96230" w:rsidRDefault="00000000">
            <w:pPr>
              <w:pStyle w:val="TableParagraph"/>
              <w:spacing w:before="8"/>
              <w:ind w:left="111"/>
              <w:rPr>
                <w:rFonts w:ascii="Verdana" w:hAnsi="Verdana"/>
                <w:i/>
                <w:sz w:val="18"/>
                <w:szCs w:val="18"/>
              </w:rPr>
            </w:pPr>
            <w:r w:rsidRPr="00C96230">
              <w:rPr>
                <w:rFonts w:ascii="Verdana" w:hAnsi="Verdana"/>
                <w:i/>
                <w:spacing w:val="-2"/>
                <w:sz w:val="18"/>
                <w:szCs w:val="18"/>
              </w:rPr>
              <w:t>Miniopterus schreibersii, Rhinolophus ferrumequinum</w:t>
            </w:r>
          </w:p>
        </w:tc>
        <w:tc>
          <w:tcPr>
            <w:tcW w:w="1897" w:type="dxa"/>
          </w:tcPr>
          <w:p w14:paraId="22747C74"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69D7370B" w14:textId="77777777" w:rsidR="008715BE" w:rsidRPr="00C96230" w:rsidRDefault="00000000">
            <w:pPr>
              <w:pStyle w:val="TableParagraph"/>
              <w:spacing w:before="8"/>
              <w:ind w:left="117" w:right="519"/>
              <w:rPr>
                <w:rFonts w:ascii="Verdana" w:hAnsi="Verdana"/>
                <w:i/>
                <w:sz w:val="18"/>
                <w:szCs w:val="18"/>
              </w:rPr>
            </w:pPr>
            <w:r w:rsidRPr="00C96230">
              <w:rPr>
                <w:rFonts w:ascii="Verdana" w:hAnsi="Verdana"/>
                <w:i/>
                <w:spacing w:val="-2"/>
                <w:sz w:val="18"/>
                <w:szCs w:val="18"/>
              </w:rPr>
              <w:t xml:space="preserve">Rhinolophus ferrumequinum </w:t>
            </w:r>
            <w:r w:rsidRPr="00C96230">
              <w:rPr>
                <w:rFonts w:ascii="Verdana" w:hAnsi="Verdana"/>
                <w:i/>
                <w:sz w:val="18"/>
                <w:szCs w:val="18"/>
              </w:rPr>
              <w:t>Miniopterus schreibersii</w:t>
            </w:r>
          </w:p>
          <w:p w14:paraId="00679716" w14:textId="77777777" w:rsidR="008715BE" w:rsidRPr="00C96230" w:rsidRDefault="00000000">
            <w:pPr>
              <w:pStyle w:val="TableParagraph"/>
              <w:spacing w:line="193" w:lineRule="exact"/>
              <w:ind w:left="117"/>
              <w:rPr>
                <w:rFonts w:ascii="Verdana" w:hAnsi="Verdana"/>
                <w:i/>
                <w:sz w:val="18"/>
                <w:szCs w:val="18"/>
              </w:rPr>
            </w:pPr>
            <w:r w:rsidRPr="00C96230">
              <w:rPr>
                <w:rFonts w:ascii="Verdana" w:hAnsi="Verdana"/>
                <w:i/>
                <w:sz w:val="18"/>
                <w:szCs w:val="18"/>
              </w:rPr>
              <w:t xml:space="preserve">approx. 1-2 individuals/year </w:t>
            </w:r>
            <w:r w:rsidRPr="00C96230">
              <w:rPr>
                <w:rFonts w:ascii="Verdana" w:hAnsi="Verdana"/>
                <w:i/>
                <w:spacing w:val="-2"/>
                <w:sz w:val="18"/>
                <w:szCs w:val="18"/>
              </w:rPr>
              <w:t>(accidental)</w:t>
            </w:r>
          </w:p>
        </w:tc>
        <w:tc>
          <w:tcPr>
            <w:tcW w:w="1889" w:type="dxa"/>
          </w:tcPr>
          <w:p w14:paraId="211BE4A9" w14:textId="77777777" w:rsidR="008715BE" w:rsidRPr="00C96230" w:rsidRDefault="00000000">
            <w:pPr>
              <w:pStyle w:val="TableParagraph"/>
              <w:tabs>
                <w:tab w:val="left" w:pos="1085"/>
              </w:tabs>
              <w:spacing w:before="8"/>
              <w:ind w:left="119" w:right="80"/>
              <w:rPr>
                <w:rFonts w:ascii="Verdana" w:hAnsi="Verdana"/>
                <w:sz w:val="18"/>
                <w:szCs w:val="18"/>
              </w:rPr>
            </w:pPr>
            <w:r w:rsidRPr="00C96230">
              <w:rPr>
                <w:rFonts w:ascii="Verdana" w:hAnsi="Verdana"/>
                <w:sz w:val="18"/>
                <w:szCs w:val="18"/>
              </w:rPr>
              <w:t xml:space="preserve">Data from the literature </w:t>
            </w:r>
            <w:r w:rsidRPr="00C96230">
              <w:rPr>
                <w:rFonts w:ascii="Verdana" w:hAnsi="Verdana"/>
                <w:spacing w:val="-2"/>
                <w:sz w:val="18"/>
                <w:szCs w:val="18"/>
              </w:rPr>
              <w:t>Report</w:t>
            </w:r>
            <w:r w:rsidRPr="00C96230">
              <w:rPr>
                <w:rFonts w:ascii="Verdana" w:hAnsi="Verdana"/>
                <w:sz w:val="18"/>
                <w:szCs w:val="18"/>
              </w:rPr>
              <w:tab/>
            </w:r>
            <w:r w:rsidRPr="00C96230">
              <w:rPr>
                <w:rFonts w:ascii="Verdana" w:hAnsi="Verdana"/>
                <w:spacing w:val="-2"/>
                <w:sz w:val="18"/>
                <w:szCs w:val="18"/>
              </w:rPr>
              <w:t>Eurobats</w:t>
            </w:r>
            <w:r w:rsidRPr="00C96230">
              <w:rPr>
                <w:rFonts w:ascii="Verdana" w:hAnsi="Verdana"/>
                <w:spacing w:val="-4"/>
                <w:sz w:val="18"/>
                <w:szCs w:val="18"/>
              </w:rPr>
              <w:t xml:space="preserve"> 2023</w:t>
            </w:r>
          </w:p>
        </w:tc>
      </w:tr>
      <w:tr w:rsidR="008715BE" w:rsidRPr="00C96230" w14:paraId="581BA0F3" w14:textId="77777777">
        <w:trPr>
          <w:trHeight w:val="1751"/>
        </w:trPr>
        <w:tc>
          <w:tcPr>
            <w:tcW w:w="523" w:type="dxa"/>
            <w:vMerge/>
            <w:tcBorders>
              <w:top w:val="nil"/>
            </w:tcBorders>
          </w:tcPr>
          <w:p w14:paraId="51EDFC9C" w14:textId="77777777" w:rsidR="008715BE" w:rsidRPr="00C96230" w:rsidRDefault="008715BE">
            <w:pPr>
              <w:rPr>
                <w:rFonts w:ascii="Verdana" w:hAnsi="Verdana"/>
                <w:sz w:val="18"/>
                <w:szCs w:val="18"/>
              </w:rPr>
            </w:pPr>
          </w:p>
        </w:tc>
        <w:tc>
          <w:tcPr>
            <w:tcW w:w="2323" w:type="dxa"/>
            <w:vMerge/>
            <w:tcBorders>
              <w:top w:val="nil"/>
            </w:tcBorders>
          </w:tcPr>
          <w:p w14:paraId="3200C2B1" w14:textId="77777777" w:rsidR="008715BE" w:rsidRPr="00C96230" w:rsidRDefault="008715BE">
            <w:pPr>
              <w:rPr>
                <w:rFonts w:ascii="Verdana" w:hAnsi="Verdana"/>
                <w:sz w:val="18"/>
                <w:szCs w:val="18"/>
              </w:rPr>
            </w:pPr>
          </w:p>
        </w:tc>
        <w:tc>
          <w:tcPr>
            <w:tcW w:w="3149" w:type="dxa"/>
          </w:tcPr>
          <w:p w14:paraId="6239C7DB" w14:textId="77777777" w:rsidR="008715BE" w:rsidRPr="00C96230" w:rsidRDefault="00000000">
            <w:pPr>
              <w:pStyle w:val="TableParagraph"/>
              <w:spacing w:before="10"/>
              <w:ind w:left="108" w:right="93"/>
              <w:jc w:val="both"/>
              <w:rPr>
                <w:rFonts w:ascii="Verdana" w:hAnsi="Verdana"/>
                <w:sz w:val="18"/>
                <w:szCs w:val="18"/>
              </w:rPr>
            </w:pPr>
            <w:r w:rsidRPr="00C96230">
              <w:rPr>
                <w:rFonts w:ascii="Verdana" w:hAnsi="Verdana"/>
                <w:sz w:val="18"/>
                <w:szCs w:val="18"/>
              </w:rPr>
              <w:t xml:space="preserve">Sudden change in pressure within the range of the turbine blades, but also below it (approx. 5 m) - </w:t>
            </w:r>
            <w:r w:rsidRPr="00C96230">
              <w:rPr>
                <w:rFonts w:ascii="Verdana" w:hAnsi="Verdana"/>
                <w:spacing w:val="-2"/>
                <w:sz w:val="18"/>
                <w:szCs w:val="18"/>
              </w:rPr>
              <w:t>barotrauma</w:t>
            </w:r>
          </w:p>
        </w:tc>
        <w:tc>
          <w:tcPr>
            <w:tcW w:w="1106" w:type="dxa"/>
          </w:tcPr>
          <w:p w14:paraId="5DB5084E"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REP</w:t>
            </w:r>
          </w:p>
        </w:tc>
        <w:tc>
          <w:tcPr>
            <w:tcW w:w="1108" w:type="dxa"/>
          </w:tcPr>
          <w:p w14:paraId="050C79D2"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4AAA2CD4"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D869C0D" w14:textId="77777777" w:rsidR="008715BE" w:rsidRPr="00C96230" w:rsidRDefault="00000000">
            <w:pPr>
              <w:pStyle w:val="TableParagraph"/>
              <w:tabs>
                <w:tab w:val="left" w:pos="806"/>
              </w:tabs>
              <w:spacing w:before="10"/>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impact </w:t>
            </w:r>
            <w:r w:rsidRPr="00C96230">
              <w:rPr>
                <w:rFonts w:ascii="Verdana" w:hAnsi="Verdana"/>
                <w:sz w:val="18"/>
                <w:szCs w:val="18"/>
              </w:rPr>
              <w:t xml:space="preserve">with: </w:t>
            </w:r>
            <w:r w:rsidRPr="00C96230">
              <w:rPr>
                <w:rFonts w:ascii="Verdana" w:hAnsi="Verdana"/>
                <w:spacing w:val="-4"/>
                <w:sz w:val="18"/>
                <w:szCs w:val="18"/>
              </w:rPr>
              <w:t>Wind farm</w:t>
            </w:r>
            <w:r w:rsidRPr="00C96230">
              <w:rPr>
                <w:rFonts w:ascii="Verdana" w:hAnsi="Verdana"/>
                <w:sz w:val="18"/>
                <w:szCs w:val="18"/>
              </w:rPr>
              <w:tab/>
            </w:r>
            <w:r w:rsidRPr="00C96230">
              <w:rPr>
                <w:rFonts w:ascii="Verdana" w:hAnsi="Verdana"/>
                <w:spacing w:val="-2"/>
                <w:sz w:val="18"/>
                <w:szCs w:val="18"/>
              </w:rPr>
              <w:t xml:space="preserve">Chirnogeni (existing) </w:t>
            </w:r>
            <w:r w:rsidRPr="00C96230">
              <w:rPr>
                <w:rFonts w:ascii="Verdana" w:hAnsi="Verdana"/>
                <w:sz w:val="18"/>
                <w:szCs w:val="18"/>
              </w:rPr>
              <w:t xml:space="preserve">Wind </w:t>
            </w:r>
            <w:r w:rsidRPr="00C96230">
              <w:rPr>
                <w:rFonts w:ascii="Verdana" w:hAnsi="Verdana"/>
                <w:spacing w:val="-2"/>
                <w:sz w:val="18"/>
                <w:szCs w:val="18"/>
              </w:rPr>
              <w:t>farm</w:t>
            </w:r>
            <w:r w:rsidRPr="00C96230">
              <w:rPr>
                <w:rFonts w:ascii="Verdana" w:hAnsi="Verdana"/>
                <w:sz w:val="18"/>
                <w:szCs w:val="18"/>
              </w:rPr>
              <w:t xml:space="preserve"> 14 </w:t>
            </w:r>
            <w:r w:rsidRPr="00C96230">
              <w:rPr>
                <w:rFonts w:ascii="Verdana" w:hAnsi="Verdana"/>
                <w:spacing w:val="-5"/>
                <w:sz w:val="18"/>
                <w:szCs w:val="18"/>
              </w:rPr>
              <w:t>CE-</w:t>
            </w:r>
          </w:p>
          <w:p w14:paraId="301D932A" w14:textId="77777777" w:rsidR="008715BE" w:rsidRPr="00C96230" w:rsidRDefault="00000000">
            <w:pPr>
              <w:pStyle w:val="TableParagraph"/>
              <w:tabs>
                <w:tab w:val="left" w:pos="931"/>
              </w:tabs>
              <w:spacing w:line="188"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79A37038" w14:textId="77777777" w:rsidR="008715BE" w:rsidRPr="00C96230" w:rsidRDefault="00000000">
            <w:pPr>
              <w:pStyle w:val="TableParagraph"/>
              <w:spacing w:line="165" w:lineRule="exact"/>
              <w:ind w:left="108"/>
              <w:rPr>
                <w:rFonts w:ascii="Verdana" w:hAnsi="Verdana"/>
                <w:sz w:val="18"/>
                <w:szCs w:val="18"/>
              </w:rPr>
            </w:pPr>
            <w:r w:rsidRPr="00C96230">
              <w:rPr>
                <w:rFonts w:ascii="Verdana" w:hAnsi="Verdana"/>
                <w:spacing w:val="-5"/>
                <w:sz w:val="18"/>
                <w:szCs w:val="18"/>
              </w:rPr>
              <w:t xml:space="preserve">power </w:t>
            </w:r>
            <w:r w:rsidRPr="00C96230">
              <w:rPr>
                <w:rFonts w:ascii="Verdana" w:hAnsi="Verdana"/>
                <w:sz w:val="18"/>
                <w:szCs w:val="18"/>
              </w:rPr>
              <w:t>station</w:t>
            </w:r>
          </w:p>
        </w:tc>
        <w:tc>
          <w:tcPr>
            <w:tcW w:w="1201" w:type="dxa"/>
          </w:tcPr>
          <w:p w14:paraId="0E151CDE"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Long</w:t>
            </w:r>
            <w:r w:rsidRPr="00C96230">
              <w:rPr>
                <w:rFonts w:ascii="Verdana" w:hAnsi="Verdana"/>
                <w:spacing w:val="-2"/>
                <w:sz w:val="18"/>
                <w:szCs w:val="18"/>
              </w:rPr>
              <w:t>-term</w:t>
            </w:r>
          </w:p>
        </w:tc>
        <w:tc>
          <w:tcPr>
            <w:tcW w:w="1736" w:type="dxa"/>
          </w:tcPr>
          <w:p w14:paraId="5B012253" w14:textId="77777777" w:rsidR="008715BE" w:rsidRPr="00C96230" w:rsidRDefault="00000000">
            <w:pPr>
              <w:pStyle w:val="TableParagraph"/>
              <w:spacing w:before="10"/>
              <w:ind w:left="111"/>
              <w:rPr>
                <w:rFonts w:ascii="Verdana" w:hAnsi="Verdana"/>
                <w:i/>
                <w:sz w:val="18"/>
                <w:szCs w:val="18"/>
              </w:rPr>
            </w:pPr>
            <w:r w:rsidRPr="00C96230">
              <w:rPr>
                <w:rFonts w:ascii="Verdana" w:hAnsi="Verdana"/>
                <w:i/>
                <w:spacing w:val="-2"/>
                <w:sz w:val="18"/>
                <w:szCs w:val="18"/>
              </w:rPr>
              <w:t>Miniopterus schreibersii, Rhinolophus ferrumequinum</w:t>
            </w:r>
          </w:p>
        </w:tc>
        <w:tc>
          <w:tcPr>
            <w:tcW w:w="1897" w:type="dxa"/>
          </w:tcPr>
          <w:p w14:paraId="558EB466" w14:textId="77777777" w:rsidR="008715BE" w:rsidRPr="00C96230" w:rsidRDefault="00000000">
            <w:pPr>
              <w:pStyle w:val="TableParagraph"/>
              <w:spacing w:before="10"/>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5EAB9C9F" w14:textId="77777777" w:rsidR="008715BE" w:rsidRPr="00C96230" w:rsidRDefault="00000000">
            <w:pPr>
              <w:pStyle w:val="TableParagraph"/>
              <w:spacing w:before="10"/>
              <w:ind w:left="117" w:right="519"/>
              <w:rPr>
                <w:rFonts w:ascii="Verdana" w:hAnsi="Verdana"/>
                <w:i/>
                <w:sz w:val="18"/>
                <w:szCs w:val="18"/>
              </w:rPr>
            </w:pPr>
            <w:r w:rsidRPr="00C96230">
              <w:rPr>
                <w:rFonts w:ascii="Verdana" w:hAnsi="Verdana"/>
                <w:i/>
                <w:spacing w:val="-2"/>
                <w:sz w:val="18"/>
                <w:szCs w:val="18"/>
              </w:rPr>
              <w:t xml:space="preserve">Rhinolophus ferrumequinum </w:t>
            </w:r>
            <w:r w:rsidRPr="00C96230">
              <w:rPr>
                <w:rFonts w:ascii="Verdana" w:hAnsi="Verdana"/>
                <w:i/>
                <w:sz w:val="18"/>
                <w:szCs w:val="18"/>
              </w:rPr>
              <w:t>Miniopterus schreibersii</w:t>
            </w:r>
          </w:p>
          <w:p w14:paraId="78A46B5B" w14:textId="77777777" w:rsidR="008715BE" w:rsidRPr="00C96230" w:rsidRDefault="00000000">
            <w:pPr>
              <w:pStyle w:val="TableParagraph"/>
              <w:spacing w:line="193" w:lineRule="exact"/>
              <w:ind w:left="117"/>
              <w:rPr>
                <w:rFonts w:ascii="Verdana" w:hAnsi="Verdana"/>
                <w:sz w:val="18"/>
                <w:szCs w:val="18"/>
              </w:rPr>
            </w:pPr>
            <w:r w:rsidRPr="00C96230">
              <w:rPr>
                <w:rFonts w:ascii="Verdana" w:hAnsi="Verdana"/>
                <w:sz w:val="18"/>
                <w:szCs w:val="18"/>
              </w:rPr>
              <w:t xml:space="preserve">- maximum one individual every 5 </w:t>
            </w:r>
            <w:r w:rsidRPr="00C96230">
              <w:rPr>
                <w:rFonts w:ascii="Verdana" w:hAnsi="Verdana"/>
                <w:spacing w:val="-5"/>
                <w:sz w:val="18"/>
                <w:szCs w:val="18"/>
              </w:rPr>
              <w:t>years</w:t>
            </w:r>
          </w:p>
        </w:tc>
        <w:tc>
          <w:tcPr>
            <w:tcW w:w="1889" w:type="dxa"/>
          </w:tcPr>
          <w:p w14:paraId="56B77BF7" w14:textId="77777777" w:rsidR="008715BE" w:rsidRPr="00C96230" w:rsidRDefault="00000000">
            <w:pPr>
              <w:pStyle w:val="TableParagraph"/>
              <w:tabs>
                <w:tab w:val="left" w:pos="1085"/>
              </w:tabs>
              <w:spacing w:before="10"/>
              <w:ind w:left="119" w:right="80"/>
              <w:rPr>
                <w:rFonts w:ascii="Verdana" w:hAnsi="Verdana"/>
                <w:sz w:val="18"/>
                <w:szCs w:val="18"/>
              </w:rPr>
            </w:pPr>
            <w:r w:rsidRPr="00C96230">
              <w:rPr>
                <w:rFonts w:ascii="Verdana" w:hAnsi="Verdana"/>
                <w:sz w:val="18"/>
                <w:szCs w:val="18"/>
              </w:rPr>
              <w:t xml:space="preserve">Data from the literature </w:t>
            </w:r>
            <w:r w:rsidRPr="00C96230">
              <w:rPr>
                <w:rFonts w:ascii="Verdana" w:hAnsi="Verdana"/>
                <w:spacing w:val="-2"/>
                <w:sz w:val="18"/>
                <w:szCs w:val="18"/>
              </w:rPr>
              <w:t>Report</w:t>
            </w:r>
            <w:r w:rsidRPr="00C96230">
              <w:rPr>
                <w:rFonts w:ascii="Verdana" w:hAnsi="Verdana"/>
                <w:sz w:val="18"/>
                <w:szCs w:val="18"/>
              </w:rPr>
              <w:tab/>
            </w:r>
            <w:r w:rsidRPr="00C96230">
              <w:rPr>
                <w:rFonts w:ascii="Verdana" w:hAnsi="Verdana"/>
                <w:spacing w:val="-2"/>
                <w:sz w:val="18"/>
                <w:szCs w:val="18"/>
              </w:rPr>
              <w:t>Eurobats</w:t>
            </w:r>
            <w:r w:rsidRPr="00C96230">
              <w:rPr>
                <w:rFonts w:ascii="Verdana" w:hAnsi="Verdana"/>
                <w:spacing w:val="-4"/>
                <w:sz w:val="18"/>
                <w:szCs w:val="18"/>
              </w:rPr>
              <w:t xml:space="preserve"> 2023</w:t>
            </w:r>
          </w:p>
        </w:tc>
      </w:tr>
    </w:tbl>
    <w:p w14:paraId="36FA6B89"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3FFC37C4"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119CBC88" w14:textId="77777777">
        <w:trPr>
          <w:trHeight w:val="842"/>
        </w:trPr>
        <w:tc>
          <w:tcPr>
            <w:tcW w:w="2846" w:type="dxa"/>
            <w:gridSpan w:val="2"/>
            <w:shd w:val="clear" w:color="auto" w:fill="00A1E8"/>
          </w:tcPr>
          <w:p w14:paraId="49F4419B" w14:textId="77777777" w:rsidR="008715BE" w:rsidRPr="00C96230" w:rsidRDefault="008715BE">
            <w:pPr>
              <w:pStyle w:val="TableParagraph"/>
              <w:spacing w:before="136"/>
              <w:rPr>
                <w:rFonts w:ascii="Verdana" w:hAnsi="Verdana"/>
                <w:b/>
                <w:sz w:val="18"/>
                <w:szCs w:val="18"/>
              </w:rPr>
            </w:pPr>
          </w:p>
          <w:p w14:paraId="3A85A443"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33FB66B9" w14:textId="77777777" w:rsidR="008715BE" w:rsidRPr="00C96230" w:rsidRDefault="008715BE">
            <w:pPr>
              <w:pStyle w:val="TableParagraph"/>
              <w:spacing w:before="136"/>
              <w:rPr>
                <w:rFonts w:ascii="Verdana" w:hAnsi="Verdana"/>
                <w:b/>
                <w:sz w:val="18"/>
                <w:szCs w:val="18"/>
              </w:rPr>
            </w:pPr>
          </w:p>
          <w:p w14:paraId="4EA08C84"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003B7E79" w14:textId="77777777" w:rsidR="008715BE" w:rsidRPr="00C96230" w:rsidRDefault="008715BE">
            <w:pPr>
              <w:pStyle w:val="TableParagraph"/>
              <w:spacing w:before="40"/>
              <w:rPr>
                <w:rFonts w:ascii="Verdana" w:hAnsi="Verdana"/>
                <w:b/>
                <w:sz w:val="18"/>
                <w:szCs w:val="18"/>
              </w:rPr>
            </w:pPr>
          </w:p>
          <w:p w14:paraId="056F8542"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2257E948" w14:textId="77777777" w:rsidR="008715BE" w:rsidRPr="00C96230" w:rsidRDefault="008715BE">
            <w:pPr>
              <w:pStyle w:val="TableParagraph"/>
              <w:spacing w:before="40"/>
              <w:rPr>
                <w:rFonts w:ascii="Verdana" w:hAnsi="Verdana"/>
                <w:b/>
                <w:sz w:val="18"/>
                <w:szCs w:val="18"/>
              </w:rPr>
            </w:pPr>
          </w:p>
          <w:p w14:paraId="219D28C4"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25319DF1" w14:textId="77777777" w:rsidR="008715BE" w:rsidRPr="00C96230" w:rsidRDefault="008715BE">
            <w:pPr>
              <w:pStyle w:val="TableParagraph"/>
              <w:spacing w:before="40"/>
              <w:rPr>
                <w:rFonts w:ascii="Verdana" w:hAnsi="Verdana"/>
                <w:b/>
                <w:sz w:val="18"/>
                <w:szCs w:val="18"/>
              </w:rPr>
            </w:pPr>
          </w:p>
          <w:p w14:paraId="7B84E141"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33C273BC" w14:textId="77777777" w:rsidR="008715BE" w:rsidRPr="00C96230" w:rsidRDefault="008715BE">
            <w:pPr>
              <w:pStyle w:val="TableParagraph"/>
              <w:spacing w:before="40"/>
              <w:rPr>
                <w:rFonts w:ascii="Verdana" w:hAnsi="Verdana"/>
                <w:b/>
                <w:sz w:val="18"/>
                <w:szCs w:val="18"/>
              </w:rPr>
            </w:pPr>
          </w:p>
          <w:p w14:paraId="45DED1EE"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1028811D"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7CEDED5A" w14:textId="77777777" w:rsidR="008715BE" w:rsidRPr="00C96230" w:rsidRDefault="008715BE">
            <w:pPr>
              <w:pStyle w:val="TableParagraph"/>
              <w:spacing w:before="136"/>
              <w:rPr>
                <w:rFonts w:ascii="Verdana" w:hAnsi="Verdana"/>
                <w:b/>
                <w:sz w:val="18"/>
                <w:szCs w:val="18"/>
              </w:rPr>
            </w:pPr>
          </w:p>
          <w:p w14:paraId="4EB7A243"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75D8B4E3" w14:textId="77777777" w:rsidR="008715BE" w:rsidRPr="00C96230" w:rsidRDefault="008715BE">
            <w:pPr>
              <w:pStyle w:val="TableParagraph"/>
              <w:spacing w:before="40"/>
              <w:rPr>
                <w:rFonts w:ascii="Verdana" w:hAnsi="Verdana"/>
                <w:b/>
                <w:sz w:val="18"/>
                <w:szCs w:val="18"/>
              </w:rPr>
            </w:pPr>
          </w:p>
          <w:p w14:paraId="15A04C6C"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41A08AB3"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46F5C919" w14:textId="77777777" w:rsidR="008715BE" w:rsidRPr="00C96230" w:rsidRDefault="008715BE">
            <w:pPr>
              <w:pStyle w:val="TableParagraph"/>
              <w:spacing w:before="40"/>
              <w:rPr>
                <w:rFonts w:ascii="Verdana" w:hAnsi="Verdana"/>
                <w:b/>
                <w:sz w:val="18"/>
                <w:szCs w:val="18"/>
              </w:rPr>
            </w:pPr>
          </w:p>
          <w:p w14:paraId="5E309647"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0902059A" w14:textId="77777777" w:rsidR="008715BE" w:rsidRPr="00C96230" w:rsidRDefault="008715BE">
            <w:pPr>
              <w:pStyle w:val="TableParagraph"/>
              <w:spacing w:before="40"/>
              <w:rPr>
                <w:rFonts w:ascii="Verdana" w:hAnsi="Verdana"/>
                <w:b/>
                <w:sz w:val="18"/>
                <w:szCs w:val="18"/>
              </w:rPr>
            </w:pPr>
          </w:p>
          <w:p w14:paraId="2D9D9653"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178754B5" w14:textId="77777777">
        <w:trPr>
          <w:trHeight w:val="8945"/>
        </w:trPr>
        <w:tc>
          <w:tcPr>
            <w:tcW w:w="523" w:type="dxa"/>
            <w:vMerge w:val="restart"/>
          </w:tcPr>
          <w:p w14:paraId="44F960BB" w14:textId="77777777" w:rsidR="008715BE" w:rsidRPr="00C96230" w:rsidRDefault="008715BE">
            <w:pPr>
              <w:pStyle w:val="TableParagraph"/>
              <w:rPr>
                <w:rFonts w:ascii="Verdana" w:hAnsi="Verdana"/>
                <w:sz w:val="18"/>
                <w:szCs w:val="18"/>
              </w:rPr>
            </w:pPr>
          </w:p>
        </w:tc>
        <w:tc>
          <w:tcPr>
            <w:tcW w:w="2323" w:type="dxa"/>
          </w:tcPr>
          <w:p w14:paraId="2E00D009" w14:textId="77777777" w:rsidR="008715BE" w:rsidRPr="00C96230" w:rsidRDefault="008715BE">
            <w:pPr>
              <w:pStyle w:val="TableParagraph"/>
              <w:rPr>
                <w:rFonts w:ascii="Verdana" w:hAnsi="Verdana"/>
                <w:sz w:val="18"/>
                <w:szCs w:val="18"/>
              </w:rPr>
            </w:pPr>
          </w:p>
        </w:tc>
        <w:tc>
          <w:tcPr>
            <w:tcW w:w="3149" w:type="dxa"/>
          </w:tcPr>
          <w:p w14:paraId="7039A489" w14:textId="77777777" w:rsidR="008715BE" w:rsidRPr="00C96230" w:rsidRDefault="008715BE">
            <w:pPr>
              <w:pStyle w:val="TableParagraph"/>
              <w:rPr>
                <w:rFonts w:ascii="Verdana" w:hAnsi="Verdana"/>
                <w:sz w:val="18"/>
                <w:szCs w:val="18"/>
              </w:rPr>
            </w:pPr>
          </w:p>
        </w:tc>
        <w:tc>
          <w:tcPr>
            <w:tcW w:w="1106" w:type="dxa"/>
          </w:tcPr>
          <w:p w14:paraId="6E6A0F9B" w14:textId="77777777" w:rsidR="008715BE" w:rsidRPr="00C96230" w:rsidRDefault="008715BE">
            <w:pPr>
              <w:pStyle w:val="TableParagraph"/>
              <w:rPr>
                <w:rFonts w:ascii="Verdana" w:hAnsi="Verdana"/>
                <w:sz w:val="18"/>
                <w:szCs w:val="18"/>
              </w:rPr>
            </w:pPr>
          </w:p>
        </w:tc>
        <w:tc>
          <w:tcPr>
            <w:tcW w:w="1108" w:type="dxa"/>
          </w:tcPr>
          <w:p w14:paraId="75E5A69D" w14:textId="77777777" w:rsidR="008715BE" w:rsidRPr="00C96230" w:rsidRDefault="008715BE">
            <w:pPr>
              <w:pStyle w:val="TableParagraph"/>
              <w:rPr>
                <w:rFonts w:ascii="Verdana" w:hAnsi="Verdana"/>
                <w:sz w:val="18"/>
                <w:szCs w:val="18"/>
              </w:rPr>
            </w:pPr>
          </w:p>
        </w:tc>
        <w:tc>
          <w:tcPr>
            <w:tcW w:w="1211" w:type="dxa"/>
          </w:tcPr>
          <w:p w14:paraId="0635D83D" w14:textId="77777777" w:rsidR="008715BE" w:rsidRPr="00C96230" w:rsidRDefault="008715BE">
            <w:pPr>
              <w:pStyle w:val="TableParagraph"/>
              <w:rPr>
                <w:rFonts w:ascii="Verdana" w:hAnsi="Verdana"/>
                <w:sz w:val="18"/>
                <w:szCs w:val="18"/>
              </w:rPr>
            </w:pPr>
          </w:p>
        </w:tc>
        <w:tc>
          <w:tcPr>
            <w:tcW w:w="1389" w:type="dxa"/>
          </w:tcPr>
          <w:p w14:paraId="5AB551BC" w14:textId="77777777" w:rsidR="008715BE" w:rsidRPr="00C96230" w:rsidRDefault="00000000">
            <w:pPr>
              <w:pStyle w:val="TableParagraph"/>
              <w:tabs>
                <w:tab w:val="left" w:pos="1086"/>
              </w:tabs>
              <w:spacing w:before="8"/>
              <w:ind w:left="108" w:right="92"/>
              <w:rPr>
                <w:rFonts w:ascii="Verdana" w:hAnsi="Verdana"/>
                <w:sz w:val="18"/>
                <w:szCs w:val="18"/>
              </w:rPr>
            </w:pPr>
            <w:r w:rsidRPr="00C96230">
              <w:rPr>
                <w:rFonts w:ascii="Verdana" w:hAnsi="Verdana"/>
                <w:spacing w:val="-2"/>
                <w:sz w:val="18"/>
                <w:szCs w:val="18"/>
              </w:rPr>
              <w:t>transformation,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 xml:space="preserve">connection,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8"/>
                <w:sz w:val="18"/>
                <w:szCs w:val="18"/>
              </w:rPr>
              <w:t xml:space="preserve">of </w:t>
            </w:r>
            <w:r w:rsidRPr="00C96230">
              <w:rPr>
                <w:rFonts w:ascii="Verdana" w:hAnsi="Verdana"/>
                <w:spacing w:val="-5"/>
                <w:sz w:val="18"/>
                <w:szCs w:val="18"/>
              </w:rPr>
              <w:t>roads</w:t>
            </w:r>
            <w:r w:rsidRPr="00C96230">
              <w:rPr>
                <w:rFonts w:ascii="Verdana" w:hAnsi="Verdana"/>
                <w:sz w:val="18"/>
                <w:szCs w:val="18"/>
              </w:rPr>
              <w:tab/>
            </w:r>
            <w:r w:rsidRPr="00C96230">
              <w:rPr>
                <w:rFonts w:ascii="Verdana" w:hAnsi="Verdana"/>
                <w:spacing w:val="-8"/>
                <w:sz w:val="18"/>
                <w:szCs w:val="18"/>
              </w:rPr>
              <w:t>of</w:t>
            </w:r>
          </w:p>
          <w:p w14:paraId="790D6E43"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34BFFCC"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65A0E789"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built-up area of Fântana Mare, </w:t>
            </w:r>
            <w:r w:rsidRPr="00C96230">
              <w:rPr>
                <w:rFonts w:ascii="Verdana" w:hAnsi="Verdana"/>
                <w:spacing w:val="-4"/>
                <w:sz w:val="18"/>
                <w:szCs w:val="18"/>
              </w:rPr>
              <w:t>com.</w:t>
            </w:r>
          </w:p>
          <w:p w14:paraId="68DF55F9"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5AF21E2D"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157C93B2" w14:textId="77777777" w:rsidR="008715BE" w:rsidRPr="00C96230" w:rsidRDefault="00000000">
            <w:pPr>
              <w:pStyle w:val="TableParagraph"/>
              <w:spacing w:line="194"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673AC3FE"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547DC72E"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784F1CBA"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0E0E16CA"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4D8D09BD" w14:textId="77777777" w:rsidR="008715BE" w:rsidRPr="00C96230" w:rsidRDefault="00000000">
            <w:pPr>
              <w:pStyle w:val="TableParagraph"/>
              <w:tabs>
                <w:tab w:val="left" w:pos="888"/>
              </w:tabs>
              <w:ind w:left="108" w:right="91"/>
              <w:rPr>
                <w:rFonts w:ascii="Verdana" w:hAnsi="Verdana"/>
                <w:sz w:val="18"/>
                <w:szCs w:val="18"/>
              </w:rPr>
            </w:pPr>
            <w:r w:rsidRPr="00C96230">
              <w:rPr>
                <w:rFonts w:ascii="Verdana" w:hAnsi="Verdana"/>
                <w:spacing w:val="-2"/>
                <w:sz w:val="18"/>
                <w:szCs w:val="18"/>
              </w:rPr>
              <w:t xml:space="preserve">Independența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municipality</w:t>
            </w:r>
          </w:p>
          <w:p w14:paraId="36BB8701" w14:textId="77777777" w:rsidR="008715BE" w:rsidRPr="00C96230" w:rsidRDefault="00000000">
            <w:pPr>
              <w:pStyle w:val="TableParagraph"/>
              <w:tabs>
                <w:tab w:val="left" w:pos="1213"/>
              </w:tabs>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w:t>
            </w:r>
            <w:r w:rsidRPr="00C96230">
              <w:rPr>
                <w:rFonts w:ascii="Verdana" w:hAnsi="Verdana"/>
                <w:sz w:val="18"/>
                <w:szCs w:val="18"/>
              </w:rPr>
              <w:t xml:space="preserve">built-up area of </w:t>
            </w:r>
            <w:r w:rsidRPr="00C96230">
              <w:rPr>
                <w:rFonts w:ascii="Verdana" w:hAnsi="Verdana"/>
                <w:spacing w:val="-2"/>
                <w:sz w:val="18"/>
                <w:szCs w:val="18"/>
              </w:rPr>
              <w:t>Tătaru</w:t>
            </w:r>
          </w:p>
          <w:p w14:paraId="5337080E"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013CE100"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Wind</w:t>
            </w:r>
            <w:r w:rsidRPr="00C96230">
              <w:rPr>
                <w:rFonts w:ascii="Verdana" w:hAnsi="Verdana"/>
                <w:sz w:val="18"/>
                <w:szCs w:val="18"/>
              </w:rPr>
              <w:tab/>
            </w:r>
            <w:r w:rsidRPr="00C96230">
              <w:rPr>
                <w:rFonts w:ascii="Verdana" w:hAnsi="Verdana"/>
                <w:spacing w:val="-2"/>
                <w:sz w:val="18"/>
                <w:szCs w:val="18"/>
              </w:rPr>
              <w:t>Karnobat</w:t>
            </w:r>
          </w:p>
          <w:p w14:paraId="17905D4C"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(existing</w:t>
            </w:r>
          </w:p>
        </w:tc>
        <w:tc>
          <w:tcPr>
            <w:tcW w:w="1201" w:type="dxa"/>
          </w:tcPr>
          <w:p w14:paraId="1857EB1A" w14:textId="77777777" w:rsidR="008715BE" w:rsidRPr="00C96230" w:rsidRDefault="008715BE">
            <w:pPr>
              <w:pStyle w:val="TableParagraph"/>
              <w:rPr>
                <w:rFonts w:ascii="Verdana" w:hAnsi="Verdana"/>
                <w:sz w:val="18"/>
                <w:szCs w:val="18"/>
              </w:rPr>
            </w:pPr>
          </w:p>
        </w:tc>
        <w:tc>
          <w:tcPr>
            <w:tcW w:w="1736" w:type="dxa"/>
          </w:tcPr>
          <w:p w14:paraId="7FE31627" w14:textId="77777777" w:rsidR="008715BE" w:rsidRPr="00C96230" w:rsidRDefault="008715BE">
            <w:pPr>
              <w:pStyle w:val="TableParagraph"/>
              <w:rPr>
                <w:rFonts w:ascii="Verdana" w:hAnsi="Verdana"/>
                <w:sz w:val="18"/>
                <w:szCs w:val="18"/>
              </w:rPr>
            </w:pPr>
          </w:p>
        </w:tc>
        <w:tc>
          <w:tcPr>
            <w:tcW w:w="1897" w:type="dxa"/>
          </w:tcPr>
          <w:p w14:paraId="45D5C639" w14:textId="77777777" w:rsidR="008715BE" w:rsidRPr="00C96230" w:rsidRDefault="008715BE">
            <w:pPr>
              <w:pStyle w:val="TableParagraph"/>
              <w:rPr>
                <w:rFonts w:ascii="Verdana" w:hAnsi="Verdana"/>
                <w:sz w:val="18"/>
                <w:szCs w:val="18"/>
              </w:rPr>
            </w:pPr>
          </w:p>
        </w:tc>
        <w:tc>
          <w:tcPr>
            <w:tcW w:w="3860" w:type="dxa"/>
          </w:tcPr>
          <w:p w14:paraId="35225817" w14:textId="77777777" w:rsidR="008715BE" w:rsidRPr="00C96230" w:rsidRDefault="008715BE">
            <w:pPr>
              <w:pStyle w:val="TableParagraph"/>
              <w:rPr>
                <w:rFonts w:ascii="Verdana" w:hAnsi="Verdana"/>
                <w:sz w:val="18"/>
                <w:szCs w:val="18"/>
              </w:rPr>
            </w:pPr>
          </w:p>
        </w:tc>
        <w:tc>
          <w:tcPr>
            <w:tcW w:w="1889" w:type="dxa"/>
          </w:tcPr>
          <w:p w14:paraId="019A4CF7" w14:textId="77777777" w:rsidR="008715BE" w:rsidRPr="00C96230" w:rsidRDefault="008715BE">
            <w:pPr>
              <w:pStyle w:val="TableParagraph"/>
              <w:rPr>
                <w:rFonts w:ascii="Verdana" w:hAnsi="Verdana"/>
                <w:sz w:val="18"/>
                <w:szCs w:val="18"/>
              </w:rPr>
            </w:pPr>
          </w:p>
        </w:tc>
      </w:tr>
      <w:tr w:rsidR="008715BE" w:rsidRPr="00C96230" w14:paraId="7A5819E1" w14:textId="77777777">
        <w:trPr>
          <w:trHeight w:val="777"/>
        </w:trPr>
        <w:tc>
          <w:tcPr>
            <w:tcW w:w="523" w:type="dxa"/>
            <w:vMerge/>
            <w:tcBorders>
              <w:top w:val="nil"/>
            </w:tcBorders>
          </w:tcPr>
          <w:p w14:paraId="3DC96757" w14:textId="77777777" w:rsidR="008715BE" w:rsidRPr="00C96230" w:rsidRDefault="008715BE">
            <w:pPr>
              <w:rPr>
                <w:rFonts w:ascii="Verdana" w:hAnsi="Verdana"/>
                <w:sz w:val="18"/>
                <w:szCs w:val="18"/>
              </w:rPr>
            </w:pPr>
          </w:p>
        </w:tc>
        <w:tc>
          <w:tcPr>
            <w:tcW w:w="2323" w:type="dxa"/>
            <w:vMerge w:val="restart"/>
          </w:tcPr>
          <w:p w14:paraId="728E53CD"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Maintenance and </w:t>
            </w:r>
            <w:r w:rsidRPr="00C96230">
              <w:rPr>
                <w:rFonts w:ascii="Verdana" w:hAnsi="Verdana"/>
                <w:spacing w:val="-2"/>
                <w:sz w:val="18"/>
                <w:szCs w:val="18"/>
              </w:rPr>
              <w:t xml:space="preserve">repair </w:t>
            </w:r>
            <w:r w:rsidRPr="00C96230">
              <w:rPr>
                <w:rFonts w:ascii="Verdana" w:hAnsi="Verdana"/>
                <w:sz w:val="18"/>
                <w:szCs w:val="18"/>
              </w:rPr>
              <w:t>works</w:t>
            </w:r>
          </w:p>
        </w:tc>
        <w:tc>
          <w:tcPr>
            <w:tcW w:w="3149" w:type="dxa"/>
          </w:tcPr>
          <w:p w14:paraId="5931C3E0" w14:textId="77777777" w:rsidR="008715BE" w:rsidRPr="00C96230" w:rsidRDefault="00000000">
            <w:pPr>
              <w:pStyle w:val="TableParagraph"/>
              <w:spacing w:line="194" w:lineRule="exact"/>
              <w:ind w:left="108" w:right="92"/>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 xml:space="preserve">repair </w:t>
            </w:r>
            <w:r w:rsidRPr="00C96230">
              <w:rPr>
                <w:rFonts w:ascii="Verdana" w:hAnsi="Verdana"/>
                <w:sz w:val="18"/>
                <w:szCs w:val="18"/>
              </w:rPr>
              <w:t>front area</w:t>
            </w:r>
          </w:p>
        </w:tc>
        <w:tc>
          <w:tcPr>
            <w:tcW w:w="1106" w:type="dxa"/>
          </w:tcPr>
          <w:p w14:paraId="6534517F"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23276F46"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3AE486C1"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6C126809"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192E1DE1"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193CF6EA" w14:textId="77777777" w:rsidR="008715BE" w:rsidRPr="00C96230" w:rsidRDefault="00000000">
            <w:pPr>
              <w:pStyle w:val="TableParagraph"/>
              <w:spacing w:line="194" w:lineRule="exact"/>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tcPr>
          <w:p w14:paraId="52D92EFF"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70ECCB1E" w14:textId="77777777" w:rsidR="008715BE" w:rsidRPr="00C96230" w:rsidRDefault="00000000">
            <w:pPr>
              <w:pStyle w:val="TableParagraph"/>
              <w:spacing w:before="8"/>
              <w:ind w:left="117"/>
              <w:rPr>
                <w:rFonts w:ascii="Verdana" w:hAnsi="Verdana"/>
                <w:sz w:val="18"/>
                <w:szCs w:val="18"/>
              </w:rPr>
            </w:pPr>
            <w:r w:rsidRPr="00C96230">
              <w:rPr>
                <w:rFonts w:ascii="Verdana" w:hAnsi="Verdana"/>
                <w:spacing w:val="-2"/>
                <w:sz w:val="18"/>
                <w:szCs w:val="18"/>
              </w:rPr>
              <w:t>1/individual (accidental)</w:t>
            </w:r>
          </w:p>
        </w:tc>
        <w:tc>
          <w:tcPr>
            <w:tcW w:w="1889" w:type="dxa"/>
          </w:tcPr>
          <w:p w14:paraId="47393FF9" w14:textId="77777777" w:rsidR="008715BE" w:rsidRPr="00C96230" w:rsidRDefault="00000000">
            <w:pPr>
              <w:pStyle w:val="TableParagraph"/>
              <w:tabs>
                <w:tab w:val="left" w:pos="1223"/>
              </w:tabs>
              <w:spacing w:before="8"/>
              <w:ind w:left="119" w:right="82"/>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w:t>
            </w:r>
            <w:r w:rsidRPr="00C96230">
              <w:rPr>
                <w:rFonts w:ascii="Verdana" w:hAnsi="Verdana"/>
                <w:spacing w:val="-2"/>
                <w:sz w:val="18"/>
                <w:szCs w:val="18"/>
              </w:rPr>
              <w:t xml:space="preserve">species </w:t>
            </w:r>
            <w:r w:rsidRPr="00C96230">
              <w:rPr>
                <w:rFonts w:ascii="Verdana" w:hAnsi="Verdana"/>
                <w:sz w:val="18"/>
                <w:szCs w:val="18"/>
              </w:rPr>
              <w:t xml:space="preserve">mortality </w:t>
            </w:r>
            <w:r w:rsidRPr="00C96230">
              <w:rPr>
                <w:rFonts w:ascii="Verdana" w:hAnsi="Verdana"/>
                <w:spacing w:val="-2"/>
                <w:sz w:val="18"/>
                <w:szCs w:val="18"/>
              </w:rPr>
              <w:t>risk</w:t>
            </w:r>
          </w:p>
        </w:tc>
      </w:tr>
      <w:tr w:rsidR="008715BE" w:rsidRPr="00C96230" w14:paraId="14E58884" w14:textId="77777777">
        <w:trPr>
          <w:trHeight w:val="630"/>
        </w:trPr>
        <w:tc>
          <w:tcPr>
            <w:tcW w:w="523" w:type="dxa"/>
            <w:vMerge/>
            <w:tcBorders>
              <w:top w:val="nil"/>
            </w:tcBorders>
          </w:tcPr>
          <w:p w14:paraId="20E5D88F" w14:textId="77777777" w:rsidR="008715BE" w:rsidRPr="00C96230" w:rsidRDefault="008715BE">
            <w:pPr>
              <w:rPr>
                <w:rFonts w:ascii="Verdana" w:hAnsi="Verdana"/>
                <w:sz w:val="18"/>
                <w:szCs w:val="18"/>
              </w:rPr>
            </w:pPr>
          </w:p>
        </w:tc>
        <w:tc>
          <w:tcPr>
            <w:tcW w:w="2323" w:type="dxa"/>
            <w:vMerge/>
            <w:tcBorders>
              <w:top w:val="nil"/>
            </w:tcBorders>
          </w:tcPr>
          <w:p w14:paraId="2CB19754" w14:textId="77777777" w:rsidR="008715BE" w:rsidRPr="00C96230" w:rsidRDefault="008715BE">
            <w:pPr>
              <w:rPr>
                <w:rFonts w:ascii="Verdana" w:hAnsi="Verdana"/>
                <w:sz w:val="18"/>
                <w:szCs w:val="18"/>
              </w:rPr>
            </w:pPr>
          </w:p>
        </w:tc>
        <w:tc>
          <w:tcPr>
            <w:tcW w:w="3149" w:type="dxa"/>
          </w:tcPr>
          <w:p w14:paraId="34073FE4" w14:textId="77777777" w:rsidR="008715BE" w:rsidRPr="00C96230" w:rsidRDefault="008715BE">
            <w:pPr>
              <w:pStyle w:val="TableParagraph"/>
              <w:rPr>
                <w:rFonts w:ascii="Verdana" w:hAnsi="Verdana"/>
                <w:sz w:val="18"/>
                <w:szCs w:val="18"/>
              </w:rPr>
            </w:pPr>
          </w:p>
        </w:tc>
        <w:tc>
          <w:tcPr>
            <w:tcW w:w="1106" w:type="dxa"/>
          </w:tcPr>
          <w:p w14:paraId="152AE785" w14:textId="77777777" w:rsidR="008715BE" w:rsidRPr="00C96230" w:rsidRDefault="008715BE">
            <w:pPr>
              <w:pStyle w:val="TableParagraph"/>
              <w:rPr>
                <w:rFonts w:ascii="Verdana" w:hAnsi="Verdana"/>
                <w:sz w:val="18"/>
                <w:szCs w:val="18"/>
              </w:rPr>
            </w:pPr>
          </w:p>
        </w:tc>
        <w:tc>
          <w:tcPr>
            <w:tcW w:w="1108" w:type="dxa"/>
          </w:tcPr>
          <w:p w14:paraId="2A009D0E" w14:textId="77777777" w:rsidR="008715BE" w:rsidRPr="00C96230" w:rsidRDefault="008715BE">
            <w:pPr>
              <w:pStyle w:val="TableParagraph"/>
              <w:rPr>
                <w:rFonts w:ascii="Verdana" w:hAnsi="Verdana"/>
                <w:sz w:val="18"/>
                <w:szCs w:val="18"/>
              </w:rPr>
            </w:pPr>
          </w:p>
        </w:tc>
        <w:tc>
          <w:tcPr>
            <w:tcW w:w="1211" w:type="dxa"/>
          </w:tcPr>
          <w:p w14:paraId="7495DD5A" w14:textId="77777777" w:rsidR="008715BE" w:rsidRPr="00C96230" w:rsidRDefault="008715BE">
            <w:pPr>
              <w:pStyle w:val="TableParagraph"/>
              <w:rPr>
                <w:rFonts w:ascii="Verdana" w:hAnsi="Verdana"/>
                <w:sz w:val="18"/>
                <w:szCs w:val="18"/>
              </w:rPr>
            </w:pPr>
          </w:p>
        </w:tc>
        <w:tc>
          <w:tcPr>
            <w:tcW w:w="1389" w:type="dxa"/>
          </w:tcPr>
          <w:p w14:paraId="3459B989" w14:textId="77777777" w:rsidR="008715BE" w:rsidRPr="00C96230" w:rsidRDefault="008715BE">
            <w:pPr>
              <w:pStyle w:val="TableParagraph"/>
              <w:rPr>
                <w:rFonts w:ascii="Verdana" w:hAnsi="Verdana"/>
                <w:sz w:val="18"/>
                <w:szCs w:val="18"/>
              </w:rPr>
            </w:pPr>
          </w:p>
        </w:tc>
        <w:tc>
          <w:tcPr>
            <w:tcW w:w="1201" w:type="dxa"/>
          </w:tcPr>
          <w:p w14:paraId="712F8FB6" w14:textId="77777777" w:rsidR="008715BE" w:rsidRPr="00C96230" w:rsidRDefault="008715BE">
            <w:pPr>
              <w:pStyle w:val="TableParagraph"/>
              <w:rPr>
                <w:rFonts w:ascii="Verdana" w:hAnsi="Verdana"/>
                <w:sz w:val="18"/>
                <w:szCs w:val="18"/>
              </w:rPr>
            </w:pPr>
          </w:p>
        </w:tc>
        <w:tc>
          <w:tcPr>
            <w:tcW w:w="1736" w:type="dxa"/>
          </w:tcPr>
          <w:p w14:paraId="48A93C3E" w14:textId="77777777" w:rsidR="008715BE" w:rsidRPr="00C96230" w:rsidRDefault="008715BE">
            <w:pPr>
              <w:pStyle w:val="TableParagraph"/>
              <w:rPr>
                <w:rFonts w:ascii="Verdana" w:hAnsi="Verdana"/>
                <w:sz w:val="18"/>
                <w:szCs w:val="18"/>
              </w:rPr>
            </w:pPr>
          </w:p>
        </w:tc>
        <w:tc>
          <w:tcPr>
            <w:tcW w:w="1897" w:type="dxa"/>
          </w:tcPr>
          <w:p w14:paraId="1F78EB92" w14:textId="77777777" w:rsidR="008715BE" w:rsidRPr="00C96230" w:rsidRDefault="008715BE">
            <w:pPr>
              <w:pStyle w:val="TableParagraph"/>
              <w:rPr>
                <w:rFonts w:ascii="Verdana" w:hAnsi="Verdana"/>
                <w:sz w:val="18"/>
                <w:szCs w:val="18"/>
              </w:rPr>
            </w:pPr>
          </w:p>
        </w:tc>
        <w:tc>
          <w:tcPr>
            <w:tcW w:w="3860" w:type="dxa"/>
          </w:tcPr>
          <w:p w14:paraId="7CF1F9BB" w14:textId="77777777" w:rsidR="008715BE" w:rsidRPr="00C96230" w:rsidRDefault="008715BE">
            <w:pPr>
              <w:pStyle w:val="TableParagraph"/>
              <w:rPr>
                <w:rFonts w:ascii="Verdana" w:hAnsi="Verdana"/>
                <w:sz w:val="18"/>
                <w:szCs w:val="18"/>
              </w:rPr>
            </w:pPr>
          </w:p>
        </w:tc>
        <w:tc>
          <w:tcPr>
            <w:tcW w:w="1889" w:type="dxa"/>
          </w:tcPr>
          <w:p w14:paraId="6A0675E4" w14:textId="77777777" w:rsidR="008715BE" w:rsidRPr="00C96230" w:rsidRDefault="008715BE">
            <w:pPr>
              <w:pStyle w:val="TableParagraph"/>
              <w:rPr>
                <w:rFonts w:ascii="Verdana" w:hAnsi="Verdana"/>
                <w:sz w:val="18"/>
                <w:szCs w:val="18"/>
              </w:rPr>
            </w:pPr>
          </w:p>
        </w:tc>
      </w:tr>
      <w:tr w:rsidR="008715BE" w:rsidRPr="00C96230" w14:paraId="71630782" w14:textId="77777777">
        <w:trPr>
          <w:trHeight w:val="208"/>
        </w:trPr>
        <w:tc>
          <w:tcPr>
            <w:tcW w:w="523" w:type="dxa"/>
            <w:vMerge/>
            <w:tcBorders>
              <w:top w:val="nil"/>
            </w:tcBorders>
          </w:tcPr>
          <w:p w14:paraId="44B2FDE1" w14:textId="77777777" w:rsidR="008715BE" w:rsidRPr="00C96230" w:rsidRDefault="008715BE">
            <w:pPr>
              <w:rPr>
                <w:rFonts w:ascii="Verdana" w:hAnsi="Verdana"/>
                <w:sz w:val="18"/>
                <w:szCs w:val="18"/>
              </w:rPr>
            </w:pPr>
          </w:p>
        </w:tc>
        <w:tc>
          <w:tcPr>
            <w:tcW w:w="2323" w:type="dxa"/>
            <w:vMerge/>
            <w:tcBorders>
              <w:top w:val="nil"/>
            </w:tcBorders>
          </w:tcPr>
          <w:p w14:paraId="21C276FC" w14:textId="77777777" w:rsidR="008715BE" w:rsidRPr="00C96230" w:rsidRDefault="008715BE">
            <w:pPr>
              <w:rPr>
                <w:rFonts w:ascii="Verdana" w:hAnsi="Verdana"/>
                <w:sz w:val="18"/>
                <w:szCs w:val="18"/>
              </w:rPr>
            </w:pPr>
          </w:p>
        </w:tc>
        <w:tc>
          <w:tcPr>
            <w:tcW w:w="3149" w:type="dxa"/>
          </w:tcPr>
          <w:p w14:paraId="3C5B57A5" w14:textId="77777777" w:rsidR="008715BE" w:rsidRPr="00C96230" w:rsidRDefault="00000000">
            <w:pPr>
              <w:pStyle w:val="TableParagraph"/>
              <w:spacing w:before="8" w:line="180" w:lineRule="exact"/>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173E3454" w14:textId="77777777" w:rsidR="008715BE" w:rsidRPr="00C96230" w:rsidRDefault="00000000">
            <w:pPr>
              <w:pStyle w:val="TableParagraph"/>
              <w:spacing w:before="8" w:line="180" w:lineRule="exact"/>
              <w:ind w:left="108"/>
              <w:rPr>
                <w:rFonts w:ascii="Verdana" w:hAnsi="Verdana"/>
                <w:sz w:val="18"/>
                <w:szCs w:val="18"/>
              </w:rPr>
            </w:pPr>
            <w:r w:rsidRPr="00C96230">
              <w:rPr>
                <w:rFonts w:ascii="Verdana" w:hAnsi="Verdana"/>
                <w:spacing w:val="-5"/>
                <w:sz w:val="18"/>
                <w:szCs w:val="18"/>
              </w:rPr>
              <w:t>AH</w:t>
            </w:r>
          </w:p>
        </w:tc>
        <w:tc>
          <w:tcPr>
            <w:tcW w:w="1108" w:type="dxa"/>
          </w:tcPr>
          <w:p w14:paraId="486A36C2" w14:textId="77777777" w:rsidR="008715BE" w:rsidRPr="00C96230" w:rsidRDefault="00000000">
            <w:pPr>
              <w:pStyle w:val="TableParagraph"/>
              <w:spacing w:before="8" w:line="180" w:lineRule="exact"/>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211" w:type="dxa"/>
          </w:tcPr>
          <w:p w14:paraId="2DC38BD1" w14:textId="77777777" w:rsidR="008715BE" w:rsidRPr="00C96230" w:rsidRDefault="00000000">
            <w:pPr>
              <w:pStyle w:val="TableParagraph"/>
              <w:spacing w:before="8" w:line="180" w:lineRule="exact"/>
              <w:ind w:left="10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389" w:type="dxa"/>
          </w:tcPr>
          <w:p w14:paraId="41D79483" w14:textId="77777777" w:rsidR="008715BE" w:rsidRPr="00C96230" w:rsidRDefault="00000000">
            <w:pPr>
              <w:pStyle w:val="TableParagraph"/>
              <w:spacing w:before="8" w:line="180" w:lineRule="exact"/>
              <w:ind w:left="108"/>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201" w:type="dxa"/>
          </w:tcPr>
          <w:p w14:paraId="0669394A" w14:textId="77777777" w:rsidR="008715BE" w:rsidRPr="00C96230" w:rsidRDefault="00000000">
            <w:pPr>
              <w:pStyle w:val="TableParagraph"/>
              <w:spacing w:before="8" w:line="180" w:lineRule="exact"/>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0DC77B3E" w14:textId="77777777" w:rsidR="008715BE" w:rsidRPr="00C96230" w:rsidRDefault="00000000">
            <w:pPr>
              <w:pStyle w:val="TableParagraph"/>
              <w:spacing w:before="8" w:line="180" w:lineRule="exact"/>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38CFA535" w14:textId="77777777" w:rsidR="008715BE" w:rsidRPr="00C96230" w:rsidRDefault="00000000">
            <w:pPr>
              <w:pStyle w:val="TableParagraph"/>
              <w:spacing w:before="8" w:line="180" w:lineRule="exact"/>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101B820" w14:textId="77777777" w:rsidR="008715BE" w:rsidRPr="00C96230" w:rsidRDefault="00000000">
            <w:pPr>
              <w:pStyle w:val="TableParagraph"/>
              <w:spacing w:before="8" w:line="180" w:lineRule="exact"/>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A015D40" w14:textId="77777777" w:rsidR="008715BE" w:rsidRPr="00C96230" w:rsidRDefault="00000000">
            <w:pPr>
              <w:pStyle w:val="TableParagraph"/>
              <w:spacing w:before="8" w:line="180" w:lineRule="exact"/>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0A355C6A" w14:textId="77777777">
        <w:trPr>
          <w:trHeight w:val="1262"/>
        </w:trPr>
        <w:tc>
          <w:tcPr>
            <w:tcW w:w="523" w:type="dxa"/>
            <w:vMerge w:val="restart"/>
            <w:textDirection w:val="btLr"/>
          </w:tcPr>
          <w:p w14:paraId="7F240D52" w14:textId="77777777" w:rsidR="008715BE" w:rsidRPr="00C96230" w:rsidRDefault="00000000">
            <w:pPr>
              <w:pStyle w:val="TableParagraph"/>
              <w:spacing w:before="171"/>
              <w:ind w:right="1"/>
              <w:jc w:val="center"/>
              <w:rPr>
                <w:rFonts w:ascii="Verdana" w:hAnsi="Verdana"/>
                <w:sz w:val="18"/>
                <w:szCs w:val="18"/>
              </w:rPr>
            </w:pPr>
            <w:r w:rsidRPr="00C96230">
              <w:rPr>
                <w:rFonts w:ascii="Verdana" w:hAnsi="Verdana"/>
                <w:spacing w:val="-2"/>
                <w:sz w:val="18"/>
                <w:szCs w:val="18"/>
              </w:rPr>
              <w:t>Decommissioning</w:t>
            </w:r>
          </w:p>
        </w:tc>
        <w:tc>
          <w:tcPr>
            <w:tcW w:w="2323" w:type="dxa"/>
            <w:vMerge w:val="restart"/>
          </w:tcPr>
          <w:p w14:paraId="251FEFD0" w14:textId="77777777" w:rsidR="008715BE" w:rsidRPr="00C96230" w:rsidRDefault="00000000">
            <w:pPr>
              <w:pStyle w:val="TableParagraph"/>
              <w:tabs>
                <w:tab w:val="left" w:pos="2087"/>
              </w:tabs>
              <w:spacing w:before="10"/>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553FBD20" w14:textId="77777777" w:rsidR="008715BE" w:rsidRPr="00C96230" w:rsidRDefault="00000000">
            <w:pPr>
              <w:pStyle w:val="TableParagraph"/>
              <w:spacing w:before="10"/>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0947682B"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4"/>
                <w:sz w:val="18"/>
                <w:szCs w:val="18"/>
              </w:rPr>
              <w:t>AH/PH</w:t>
            </w:r>
          </w:p>
        </w:tc>
        <w:tc>
          <w:tcPr>
            <w:tcW w:w="1108" w:type="dxa"/>
          </w:tcPr>
          <w:p w14:paraId="1373F08C"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61DFE3CE"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5333179"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7FDCE6A"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5EE4A215" w14:textId="77777777" w:rsidR="008715BE" w:rsidRPr="00C96230" w:rsidRDefault="00000000">
            <w:pPr>
              <w:pStyle w:val="TableParagraph"/>
              <w:spacing w:before="10"/>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vMerge w:val="restart"/>
          </w:tcPr>
          <w:p w14:paraId="042AD6ED" w14:textId="77777777" w:rsidR="008715BE" w:rsidRPr="00C96230" w:rsidRDefault="00000000">
            <w:pPr>
              <w:pStyle w:val="TableParagraph"/>
              <w:spacing w:before="10"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7A83E6A9"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val="restart"/>
          </w:tcPr>
          <w:p w14:paraId="3134D3D0" w14:textId="77777777" w:rsidR="008715BE" w:rsidRPr="00C96230" w:rsidRDefault="00000000">
            <w:pPr>
              <w:pStyle w:val="TableParagraph"/>
              <w:spacing w:before="10"/>
              <w:ind w:left="117"/>
              <w:jc w:val="both"/>
              <w:rPr>
                <w:rFonts w:ascii="Verdana" w:hAnsi="Verdana"/>
                <w:sz w:val="18"/>
                <w:szCs w:val="18"/>
              </w:rPr>
            </w:pPr>
            <w:r w:rsidRPr="00C96230">
              <w:rPr>
                <w:rFonts w:ascii="Verdana" w:hAnsi="Verdana"/>
                <w:sz w:val="18"/>
                <w:szCs w:val="18"/>
              </w:rPr>
              <w:t xml:space="preserve">0 ha of the </w:t>
            </w:r>
            <w:r w:rsidRPr="00C96230">
              <w:rPr>
                <w:rFonts w:ascii="Verdana" w:hAnsi="Verdana"/>
                <w:spacing w:val="-2"/>
                <w:sz w:val="18"/>
                <w:szCs w:val="18"/>
              </w:rPr>
              <w:t xml:space="preserve">protected </w:t>
            </w:r>
            <w:r w:rsidRPr="00C96230">
              <w:rPr>
                <w:rFonts w:ascii="Verdana" w:hAnsi="Verdana"/>
                <w:sz w:val="18"/>
                <w:szCs w:val="18"/>
              </w:rPr>
              <w:t>area</w:t>
            </w:r>
          </w:p>
          <w:p w14:paraId="52AE9420" w14:textId="77777777" w:rsidR="008715BE" w:rsidRPr="00C96230" w:rsidRDefault="00000000">
            <w:pPr>
              <w:pStyle w:val="TableParagraph"/>
              <w:spacing w:before="194"/>
              <w:ind w:left="117" w:right="82"/>
              <w:jc w:val="both"/>
              <w:rPr>
                <w:rFonts w:ascii="Verdana" w:hAnsi="Verdana"/>
                <w:sz w:val="18"/>
                <w:szCs w:val="18"/>
              </w:rPr>
            </w:pPr>
            <w:r w:rsidRPr="00C96230">
              <w:rPr>
                <w:rFonts w:ascii="Verdana" w:hAnsi="Verdana"/>
                <w:sz w:val="18"/>
                <w:szCs w:val="18"/>
              </w:rPr>
              <w:t xml:space="preserve">Areas occupied outside the protected area where presence was reported following </w:t>
            </w:r>
            <w:r w:rsidRPr="00C96230">
              <w:rPr>
                <w:rFonts w:ascii="Verdana" w:hAnsi="Verdana"/>
                <w:spacing w:val="-2"/>
                <w:sz w:val="18"/>
                <w:szCs w:val="18"/>
              </w:rPr>
              <w:t>monitoring:</w:t>
            </w:r>
          </w:p>
          <w:p w14:paraId="0E7566FF"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 xml:space="preserve">0.9 ha temporarily occupied, area of the construction site + area temporarily occupied by trenches for </w:t>
            </w:r>
            <w:r w:rsidRPr="00C96230">
              <w:rPr>
                <w:rFonts w:ascii="Verdana" w:hAnsi="Verdana"/>
                <w:spacing w:val="-2"/>
                <w:sz w:val="18"/>
                <w:szCs w:val="18"/>
              </w:rPr>
              <w:t>cable</w:t>
            </w:r>
            <w:r w:rsidRPr="00C96230">
              <w:rPr>
                <w:rFonts w:ascii="Verdana" w:hAnsi="Verdana"/>
                <w:sz w:val="18"/>
                <w:szCs w:val="18"/>
              </w:rPr>
              <w:t xml:space="preserve"> installation</w:t>
            </w:r>
          </w:p>
          <w:p w14:paraId="48FCF02B" w14:textId="77777777" w:rsidR="008715BE" w:rsidRPr="00C96230" w:rsidRDefault="00000000">
            <w:pPr>
              <w:pStyle w:val="TableParagraph"/>
              <w:spacing w:line="191" w:lineRule="exact"/>
              <w:ind w:left="117"/>
              <w:rPr>
                <w:rFonts w:ascii="Verdana" w:hAnsi="Verdana"/>
                <w:sz w:val="18"/>
                <w:szCs w:val="18"/>
              </w:rPr>
            </w:pPr>
            <w:r w:rsidRPr="00C96230">
              <w:rPr>
                <w:rFonts w:ascii="Verdana" w:hAnsi="Verdana"/>
                <w:sz w:val="18"/>
                <w:szCs w:val="18"/>
              </w:rPr>
              <w:t xml:space="preserve">309.24 ha </w:t>
            </w:r>
            <w:r w:rsidRPr="00C96230">
              <w:rPr>
                <w:rFonts w:ascii="Verdana" w:hAnsi="Verdana"/>
                <w:spacing w:val="-5"/>
                <w:sz w:val="18"/>
                <w:szCs w:val="18"/>
              </w:rPr>
              <w:t xml:space="preserve">of </w:t>
            </w:r>
            <w:r w:rsidRPr="00C96230">
              <w:rPr>
                <w:rFonts w:ascii="Verdana" w:hAnsi="Verdana"/>
                <w:sz w:val="18"/>
                <w:szCs w:val="18"/>
              </w:rPr>
              <w:t xml:space="preserve">areas permanently occupied </w:t>
            </w:r>
            <w:r w:rsidRPr="00C96230">
              <w:rPr>
                <w:rFonts w:ascii="Verdana" w:hAnsi="Verdana"/>
                <w:spacing w:val="-5"/>
                <w:sz w:val="18"/>
                <w:szCs w:val="18"/>
              </w:rPr>
              <w:t>by</w:t>
            </w:r>
          </w:p>
          <w:p w14:paraId="2A968FEB" w14:textId="77777777" w:rsidR="008715BE" w:rsidRPr="00C96230" w:rsidRDefault="00000000">
            <w:pPr>
              <w:pStyle w:val="TableParagraph"/>
              <w:tabs>
                <w:tab w:val="left" w:pos="1308"/>
                <w:tab w:val="left" w:pos="2586"/>
                <w:tab w:val="left" w:pos="3124"/>
              </w:tabs>
              <w:spacing w:line="194" w:lineRule="exact"/>
              <w:ind w:left="117"/>
              <w:rPr>
                <w:rFonts w:ascii="Verdana" w:hAnsi="Verdana"/>
                <w:sz w:val="18"/>
                <w:szCs w:val="18"/>
              </w:rPr>
            </w:pPr>
            <w:r w:rsidRPr="00C96230">
              <w:rPr>
                <w:rFonts w:ascii="Verdana" w:hAnsi="Verdana"/>
                <w:spacing w:val="-2"/>
                <w:sz w:val="18"/>
                <w:szCs w:val="18"/>
              </w:rPr>
              <w:t>structural</w:t>
            </w:r>
            <w:r w:rsidRPr="00C96230">
              <w:rPr>
                <w:rFonts w:ascii="Verdana" w:hAnsi="Verdana"/>
                <w:sz w:val="18"/>
                <w:szCs w:val="18"/>
              </w:rPr>
              <w:tab/>
            </w:r>
            <w:r w:rsidRPr="00C96230">
              <w:rPr>
                <w:rFonts w:ascii="Verdana" w:hAnsi="Verdana"/>
                <w:spacing w:val="-2"/>
                <w:sz w:val="18"/>
                <w:szCs w:val="18"/>
              </w:rPr>
              <w:t>structural</w:t>
            </w:r>
            <w:r w:rsidRPr="00C96230">
              <w:rPr>
                <w:rFonts w:ascii="Verdana" w:hAnsi="Verdana"/>
                <w:sz w:val="18"/>
                <w:szCs w:val="18"/>
              </w:rPr>
              <w:tab/>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2"/>
                <w:sz w:val="18"/>
                <w:szCs w:val="18"/>
              </w:rPr>
              <w:t>the</w:t>
            </w:r>
          </w:p>
          <w:p w14:paraId="6D1BEC3B" w14:textId="77777777" w:rsidR="008715BE" w:rsidRPr="00C96230" w:rsidRDefault="00000000">
            <w:pPr>
              <w:pStyle w:val="TableParagraph"/>
              <w:spacing w:line="165" w:lineRule="exact"/>
              <w:ind w:left="117"/>
              <w:rPr>
                <w:rFonts w:ascii="Verdana" w:hAnsi="Verdana"/>
                <w:sz w:val="18"/>
                <w:szCs w:val="18"/>
              </w:rPr>
            </w:pPr>
            <w:r w:rsidRPr="00C96230">
              <w:rPr>
                <w:rFonts w:ascii="Verdana" w:hAnsi="Verdana"/>
                <w:spacing w:val="-2"/>
                <w:sz w:val="18"/>
                <w:szCs w:val="18"/>
              </w:rPr>
              <w:t>energy</w:t>
            </w:r>
          </w:p>
        </w:tc>
        <w:tc>
          <w:tcPr>
            <w:tcW w:w="1889" w:type="dxa"/>
            <w:vMerge w:val="restart"/>
          </w:tcPr>
          <w:p w14:paraId="634286AC" w14:textId="77777777" w:rsidR="008715BE" w:rsidRPr="00C96230" w:rsidRDefault="00000000">
            <w:pPr>
              <w:pStyle w:val="TableParagraph"/>
              <w:spacing w:before="10"/>
              <w:ind w:left="119" w:right="83"/>
              <w:jc w:val="both"/>
              <w:rPr>
                <w:rFonts w:ascii="Verdana" w:hAnsi="Verdana"/>
                <w:sz w:val="18"/>
                <w:szCs w:val="18"/>
              </w:rPr>
            </w:pPr>
            <w:r w:rsidRPr="00C96230">
              <w:rPr>
                <w:rFonts w:ascii="Verdana" w:hAnsi="Verdana"/>
                <w:sz w:val="18"/>
                <w:szCs w:val="18"/>
              </w:rPr>
              <w:t xml:space="preserve">Spatial analysis and data received from </w:t>
            </w:r>
            <w:r w:rsidRPr="00C96230">
              <w:rPr>
                <w:rFonts w:ascii="Verdana" w:hAnsi="Verdana"/>
                <w:spacing w:val="-2"/>
                <w:sz w:val="18"/>
                <w:szCs w:val="18"/>
              </w:rPr>
              <w:t>the beneficiary</w:t>
            </w:r>
          </w:p>
        </w:tc>
      </w:tr>
      <w:tr w:rsidR="008715BE" w:rsidRPr="00C96230" w14:paraId="5E8B2D5C" w14:textId="77777777">
        <w:trPr>
          <w:trHeight w:val="1062"/>
        </w:trPr>
        <w:tc>
          <w:tcPr>
            <w:tcW w:w="523" w:type="dxa"/>
            <w:vMerge/>
            <w:tcBorders>
              <w:top w:val="nil"/>
            </w:tcBorders>
            <w:textDirection w:val="btLr"/>
          </w:tcPr>
          <w:p w14:paraId="3C26FF83" w14:textId="77777777" w:rsidR="008715BE" w:rsidRPr="00C96230" w:rsidRDefault="008715BE">
            <w:pPr>
              <w:rPr>
                <w:rFonts w:ascii="Verdana" w:hAnsi="Verdana"/>
                <w:sz w:val="18"/>
                <w:szCs w:val="18"/>
              </w:rPr>
            </w:pPr>
          </w:p>
        </w:tc>
        <w:tc>
          <w:tcPr>
            <w:tcW w:w="2323" w:type="dxa"/>
            <w:vMerge/>
            <w:tcBorders>
              <w:top w:val="nil"/>
            </w:tcBorders>
          </w:tcPr>
          <w:p w14:paraId="3F25167D" w14:textId="77777777" w:rsidR="008715BE" w:rsidRPr="00C96230" w:rsidRDefault="008715BE">
            <w:pPr>
              <w:rPr>
                <w:rFonts w:ascii="Verdana" w:hAnsi="Verdana"/>
                <w:sz w:val="18"/>
                <w:szCs w:val="18"/>
              </w:rPr>
            </w:pPr>
          </w:p>
        </w:tc>
        <w:tc>
          <w:tcPr>
            <w:tcW w:w="3149" w:type="dxa"/>
          </w:tcPr>
          <w:p w14:paraId="0CDC8158"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Temporary occupation of land areas</w:t>
            </w:r>
          </w:p>
        </w:tc>
        <w:tc>
          <w:tcPr>
            <w:tcW w:w="1106" w:type="dxa"/>
          </w:tcPr>
          <w:p w14:paraId="025ACED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70BD8E41"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3073B6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77E4BC3"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032D48EB"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B530103"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vMerge/>
            <w:tcBorders>
              <w:top w:val="nil"/>
            </w:tcBorders>
          </w:tcPr>
          <w:p w14:paraId="3A5ABF49" w14:textId="77777777" w:rsidR="008715BE" w:rsidRPr="00C96230" w:rsidRDefault="008715BE">
            <w:pPr>
              <w:rPr>
                <w:rFonts w:ascii="Verdana" w:hAnsi="Verdana"/>
                <w:sz w:val="18"/>
                <w:szCs w:val="18"/>
              </w:rPr>
            </w:pPr>
          </w:p>
        </w:tc>
        <w:tc>
          <w:tcPr>
            <w:tcW w:w="3860" w:type="dxa"/>
            <w:vMerge/>
            <w:tcBorders>
              <w:top w:val="nil"/>
            </w:tcBorders>
          </w:tcPr>
          <w:p w14:paraId="4669335A" w14:textId="77777777" w:rsidR="008715BE" w:rsidRPr="00C96230" w:rsidRDefault="008715BE">
            <w:pPr>
              <w:rPr>
                <w:rFonts w:ascii="Verdana" w:hAnsi="Verdana"/>
                <w:sz w:val="18"/>
                <w:szCs w:val="18"/>
              </w:rPr>
            </w:pPr>
          </w:p>
        </w:tc>
        <w:tc>
          <w:tcPr>
            <w:tcW w:w="1889" w:type="dxa"/>
            <w:vMerge/>
            <w:tcBorders>
              <w:top w:val="nil"/>
            </w:tcBorders>
          </w:tcPr>
          <w:p w14:paraId="4CE3E9BF" w14:textId="77777777" w:rsidR="008715BE" w:rsidRPr="00C96230" w:rsidRDefault="008715BE">
            <w:pPr>
              <w:rPr>
                <w:rFonts w:ascii="Verdana" w:hAnsi="Verdana"/>
                <w:sz w:val="18"/>
                <w:szCs w:val="18"/>
              </w:rPr>
            </w:pPr>
          </w:p>
        </w:tc>
      </w:tr>
      <w:tr w:rsidR="008715BE" w:rsidRPr="00C96230" w14:paraId="28A138DC" w14:textId="77777777">
        <w:trPr>
          <w:trHeight w:val="582"/>
        </w:trPr>
        <w:tc>
          <w:tcPr>
            <w:tcW w:w="523" w:type="dxa"/>
            <w:vMerge/>
            <w:tcBorders>
              <w:top w:val="nil"/>
            </w:tcBorders>
            <w:textDirection w:val="btLr"/>
          </w:tcPr>
          <w:p w14:paraId="1C580E9F" w14:textId="77777777" w:rsidR="008715BE" w:rsidRPr="00C96230" w:rsidRDefault="008715BE">
            <w:pPr>
              <w:rPr>
                <w:rFonts w:ascii="Verdana" w:hAnsi="Verdana"/>
                <w:sz w:val="18"/>
                <w:szCs w:val="18"/>
              </w:rPr>
            </w:pPr>
          </w:p>
        </w:tc>
        <w:tc>
          <w:tcPr>
            <w:tcW w:w="2323" w:type="dxa"/>
            <w:vMerge/>
            <w:tcBorders>
              <w:top w:val="nil"/>
            </w:tcBorders>
          </w:tcPr>
          <w:p w14:paraId="7935A853" w14:textId="77777777" w:rsidR="008715BE" w:rsidRPr="00C96230" w:rsidRDefault="008715BE">
            <w:pPr>
              <w:rPr>
                <w:rFonts w:ascii="Verdana" w:hAnsi="Verdana"/>
                <w:sz w:val="18"/>
                <w:szCs w:val="18"/>
              </w:rPr>
            </w:pPr>
          </w:p>
        </w:tc>
        <w:tc>
          <w:tcPr>
            <w:tcW w:w="3149" w:type="dxa"/>
          </w:tcPr>
          <w:p w14:paraId="1A876BB2"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583B42BC"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747C138A"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None </w:t>
            </w:r>
            <w:r w:rsidRPr="00C96230">
              <w:rPr>
                <w:rFonts w:ascii="Verdana" w:hAnsi="Verdana"/>
                <w:spacing w:val="-2"/>
                <w:sz w:val="18"/>
                <w:szCs w:val="18"/>
              </w:rPr>
              <w:t>identified</w:t>
            </w:r>
          </w:p>
        </w:tc>
        <w:tc>
          <w:tcPr>
            <w:tcW w:w="1211" w:type="dxa"/>
          </w:tcPr>
          <w:p w14:paraId="57068EE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identified</w:t>
            </w:r>
          </w:p>
        </w:tc>
        <w:tc>
          <w:tcPr>
            <w:tcW w:w="1389" w:type="dxa"/>
          </w:tcPr>
          <w:p w14:paraId="31A4A11D"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r>
            <w:r w:rsidRPr="00C96230">
              <w:rPr>
                <w:rFonts w:ascii="Verdana" w:hAnsi="Verdana"/>
                <w:spacing w:val="-2"/>
                <w:sz w:val="18"/>
                <w:szCs w:val="18"/>
              </w:rPr>
              <w:t>identified</w:t>
            </w:r>
          </w:p>
        </w:tc>
        <w:tc>
          <w:tcPr>
            <w:tcW w:w="1201" w:type="dxa"/>
          </w:tcPr>
          <w:p w14:paraId="13C598AD"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on</w:t>
            </w:r>
          </w:p>
        </w:tc>
        <w:tc>
          <w:tcPr>
            <w:tcW w:w="1736" w:type="dxa"/>
          </w:tcPr>
          <w:p w14:paraId="1E7ECEBC" w14:textId="77777777" w:rsidR="008715BE" w:rsidRPr="00C96230" w:rsidRDefault="00000000">
            <w:pPr>
              <w:pStyle w:val="TableParagraph"/>
              <w:spacing w:before="8"/>
              <w:ind w:left="111"/>
              <w:rPr>
                <w:rFonts w:ascii="Verdana" w:hAnsi="Verdana"/>
                <w:i/>
                <w:sz w:val="18"/>
                <w:szCs w:val="18"/>
              </w:rPr>
            </w:pPr>
            <w:r w:rsidRPr="00C96230">
              <w:rPr>
                <w:rFonts w:ascii="Verdana" w:hAnsi="Verdana"/>
                <w:i/>
                <w:spacing w:val="-2"/>
                <w:sz w:val="18"/>
                <w:szCs w:val="18"/>
              </w:rPr>
              <w:t>Spermophilus citellus,</w:t>
            </w:r>
          </w:p>
        </w:tc>
        <w:tc>
          <w:tcPr>
            <w:tcW w:w="1897" w:type="dxa"/>
          </w:tcPr>
          <w:p w14:paraId="01CDCA62" w14:textId="77777777" w:rsidR="008715BE" w:rsidRPr="00C96230" w:rsidRDefault="00000000">
            <w:pPr>
              <w:pStyle w:val="TableParagraph"/>
              <w:tabs>
                <w:tab w:val="left" w:pos="1014"/>
              </w:tabs>
              <w:spacing w:before="8" w:line="195" w:lineRule="exact"/>
              <w:ind w:left="115"/>
              <w:rPr>
                <w:rFonts w:ascii="Verdana" w:hAnsi="Verdana"/>
                <w:sz w:val="18"/>
                <w:szCs w:val="18"/>
              </w:rPr>
            </w:pPr>
            <w:r w:rsidRPr="00C96230">
              <w:rPr>
                <w:rFonts w:ascii="Verdana" w:hAnsi="Verdana"/>
                <w:spacing w:val="-2"/>
                <w:sz w:val="18"/>
                <w:szCs w:val="18"/>
              </w:rPr>
              <w:t>Size</w:t>
            </w:r>
            <w:r w:rsidRPr="00C96230">
              <w:rPr>
                <w:rFonts w:ascii="Verdana" w:hAnsi="Verdana"/>
                <w:sz w:val="18"/>
                <w:szCs w:val="18"/>
              </w:rPr>
              <w:tab/>
            </w:r>
            <w:r w:rsidRPr="00C96230">
              <w:rPr>
                <w:rFonts w:ascii="Verdana" w:hAnsi="Verdana"/>
                <w:spacing w:val="-2"/>
                <w:sz w:val="18"/>
                <w:szCs w:val="18"/>
              </w:rPr>
              <w:t>population</w:t>
            </w:r>
          </w:p>
          <w:p w14:paraId="4ED9BB09" w14:textId="77777777" w:rsidR="008715BE" w:rsidRPr="00C96230" w:rsidRDefault="00000000">
            <w:pPr>
              <w:pStyle w:val="TableParagraph"/>
              <w:tabs>
                <w:tab w:val="left" w:pos="1605"/>
              </w:tabs>
              <w:spacing w:line="194" w:lineRule="exact"/>
              <w:ind w:left="115"/>
              <w:rPr>
                <w:rFonts w:ascii="Verdana" w:hAnsi="Verdana"/>
                <w:sz w:val="18"/>
                <w:szCs w:val="18"/>
              </w:rPr>
            </w:pPr>
            <w:r w:rsidRPr="00C96230">
              <w:rPr>
                <w:rFonts w:ascii="Verdana" w:hAnsi="Verdana"/>
                <w:spacing w:val="-2"/>
                <w:sz w:val="18"/>
                <w:szCs w:val="18"/>
              </w:rPr>
              <w:t>(pattern</w:t>
            </w:r>
            <w:r w:rsidRPr="00C96230">
              <w:rPr>
                <w:rFonts w:ascii="Verdana" w:hAnsi="Verdana"/>
                <w:sz w:val="18"/>
                <w:szCs w:val="18"/>
              </w:rPr>
              <w:tab/>
            </w:r>
            <w:r w:rsidRPr="00C96230">
              <w:rPr>
                <w:rFonts w:ascii="Verdana" w:hAnsi="Verdana"/>
                <w:spacing w:val="-5"/>
                <w:sz w:val="18"/>
                <w:szCs w:val="18"/>
              </w:rPr>
              <w:t>of</w:t>
            </w:r>
          </w:p>
          <w:p w14:paraId="11E93346" w14:textId="77777777" w:rsidR="008715BE" w:rsidRPr="00C96230" w:rsidRDefault="00000000">
            <w:pPr>
              <w:pStyle w:val="TableParagraph"/>
              <w:spacing w:line="165" w:lineRule="exact"/>
              <w:ind w:left="115"/>
              <w:rPr>
                <w:rFonts w:ascii="Verdana" w:hAnsi="Verdana"/>
                <w:sz w:val="18"/>
                <w:szCs w:val="18"/>
              </w:rPr>
            </w:pPr>
            <w:r w:rsidRPr="00C96230">
              <w:rPr>
                <w:rFonts w:ascii="Verdana" w:hAnsi="Verdana"/>
                <w:spacing w:val="-2"/>
                <w:sz w:val="18"/>
                <w:szCs w:val="18"/>
              </w:rPr>
              <w:t>distribution pattern)</w:t>
            </w:r>
          </w:p>
        </w:tc>
        <w:tc>
          <w:tcPr>
            <w:tcW w:w="3860" w:type="dxa"/>
          </w:tcPr>
          <w:p w14:paraId="3A60B73B"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Possible disruption of the activity of a maximum of 2 to 3 individuals</w:t>
            </w:r>
          </w:p>
        </w:tc>
        <w:tc>
          <w:tcPr>
            <w:tcW w:w="1889" w:type="dxa"/>
          </w:tcPr>
          <w:p w14:paraId="2B62321E" w14:textId="77777777" w:rsidR="008715BE" w:rsidRPr="00C96230" w:rsidRDefault="00000000">
            <w:pPr>
              <w:pStyle w:val="TableParagraph"/>
              <w:tabs>
                <w:tab w:val="left" w:pos="1302"/>
              </w:tabs>
              <w:spacing w:before="8" w:line="195" w:lineRule="exact"/>
              <w:ind w:left="119"/>
              <w:rPr>
                <w:rFonts w:ascii="Verdana" w:hAnsi="Verdana"/>
                <w:sz w:val="18"/>
                <w:szCs w:val="18"/>
              </w:rPr>
            </w:pPr>
            <w:r w:rsidRPr="00C96230">
              <w:rPr>
                <w:rFonts w:ascii="Verdana" w:hAnsi="Verdana"/>
                <w:spacing w:val="-2"/>
                <w:sz w:val="18"/>
                <w:szCs w:val="18"/>
              </w:rPr>
              <w:t>Results</w:t>
            </w:r>
            <w:r w:rsidRPr="00C96230">
              <w:rPr>
                <w:rFonts w:ascii="Verdana" w:hAnsi="Verdana"/>
                <w:sz w:val="18"/>
                <w:szCs w:val="18"/>
              </w:rPr>
              <w:tab/>
            </w:r>
            <w:r w:rsidRPr="00C96230">
              <w:rPr>
                <w:rFonts w:ascii="Verdana" w:hAnsi="Verdana"/>
                <w:spacing w:val="-2"/>
                <w:sz w:val="18"/>
                <w:szCs w:val="18"/>
              </w:rPr>
              <w:t>study</w:t>
            </w:r>
          </w:p>
          <w:p w14:paraId="71298103" w14:textId="77777777" w:rsidR="008715BE" w:rsidRPr="00C96230" w:rsidRDefault="00000000">
            <w:pPr>
              <w:pStyle w:val="TableParagraph"/>
              <w:tabs>
                <w:tab w:val="left" w:pos="1417"/>
              </w:tabs>
              <w:spacing w:line="194" w:lineRule="exact"/>
              <w:ind w:left="119"/>
              <w:rPr>
                <w:rFonts w:ascii="Verdana" w:hAnsi="Verdana"/>
                <w:sz w:val="18"/>
                <w:szCs w:val="18"/>
              </w:rPr>
            </w:pPr>
            <w:r w:rsidRPr="00C96230">
              <w:rPr>
                <w:rFonts w:ascii="Verdana" w:hAnsi="Verdana"/>
                <w:spacing w:val="-2"/>
                <w:sz w:val="18"/>
                <w:szCs w:val="18"/>
              </w:rPr>
              <w:t>Modeling</w:t>
            </w:r>
            <w:r w:rsidRPr="00C96230">
              <w:rPr>
                <w:rFonts w:ascii="Verdana" w:hAnsi="Verdana"/>
                <w:sz w:val="18"/>
                <w:szCs w:val="18"/>
              </w:rPr>
              <w:tab/>
            </w:r>
            <w:r w:rsidRPr="00C96230">
              <w:rPr>
                <w:rFonts w:ascii="Verdana" w:hAnsi="Verdana"/>
                <w:spacing w:val="-2"/>
                <w:sz w:val="18"/>
                <w:szCs w:val="18"/>
              </w:rPr>
              <w:t>level</w:t>
            </w:r>
          </w:p>
          <w:p w14:paraId="6047414E" w14:textId="77777777" w:rsidR="008715BE" w:rsidRPr="00C96230" w:rsidRDefault="00000000">
            <w:pPr>
              <w:pStyle w:val="TableParagraph"/>
              <w:spacing w:line="165" w:lineRule="exact"/>
              <w:ind w:left="119"/>
              <w:rPr>
                <w:rFonts w:ascii="Verdana" w:hAnsi="Verdana"/>
                <w:sz w:val="18"/>
                <w:szCs w:val="18"/>
              </w:rPr>
            </w:pPr>
            <w:r w:rsidRPr="00C96230">
              <w:rPr>
                <w:rFonts w:ascii="Verdana" w:hAnsi="Verdana"/>
                <w:spacing w:val="-2"/>
                <w:sz w:val="18"/>
                <w:szCs w:val="18"/>
              </w:rPr>
              <w:t>noise</w:t>
            </w:r>
          </w:p>
        </w:tc>
      </w:tr>
    </w:tbl>
    <w:p w14:paraId="4C0F1C80" w14:textId="77777777" w:rsidR="008715BE" w:rsidRPr="00C96230" w:rsidRDefault="008715BE">
      <w:pPr>
        <w:pStyle w:val="TableParagraph"/>
        <w:spacing w:line="165" w:lineRule="exact"/>
        <w:rPr>
          <w:rFonts w:ascii="Verdana" w:hAnsi="Verdana"/>
          <w:sz w:val="18"/>
          <w:szCs w:val="18"/>
        </w:rPr>
        <w:sectPr w:rsidR="008715BE" w:rsidRPr="00C96230">
          <w:pgSz w:w="23820" w:h="16840" w:orient="landscape"/>
          <w:pgMar w:top="1120" w:right="850" w:bottom="1020" w:left="566" w:header="766" w:footer="810" w:gutter="0"/>
          <w:cols w:space="708"/>
        </w:sectPr>
      </w:pPr>
    </w:p>
    <w:p w14:paraId="7AC52666"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753E639E" w14:textId="77777777">
        <w:trPr>
          <w:trHeight w:val="842"/>
        </w:trPr>
        <w:tc>
          <w:tcPr>
            <w:tcW w:w="2846" w:type="dxa"/>
            <w:gridSpan w:val="2"/>
            <w:shd w:val="clear" w:color="auto" w:fill="00A1E8"/>
          </w:tcPr>
          <w:p w14:paraId="785F1754" w14:textId="77777777" w:rsidR="008715BE" w:rsidRPr="00C96230" w:rsidRDefault="008715BE">
            <w:pPr>
              <w:pStyle w:val="TableParagraph"/>
              <w:spacing w:before="136"/>
              <w:rPr>
                <w:rFonts w:ascii="Verdana" w:hAnsi="Verdana"/>
                <w:b/>
                <w:sz w:val="18"/>
                <w:szCs w:val="18"/>
              </w:rPr>
            </w:pPr>
          </w:p>
          <w:p w14:paraId="730EF084"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1F2DF3A9" w14:textId="77777777" w:rsidR="008715BE" w:rsidRPr="00C96230" w:rsidRDefault="008715BE">
            <w:pPr>
              <w:pStyle w:val="TableParagraph"/>
              <w:spacing w:before="136"/>
              <w:rPr>
                <w:rFonts w:ascii="Verdana" w:hAnsi="Verdana"/>
                <w:b/>
                <w:sz w:val="18"/>
                <w:szCs w:val="18"/>
              </w:rPr>
            </w:pPr>
          </w:p>
          <w:p w14:paraId="40E9700A"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567BFAB6" w14:textId="77777777" w:rsidR="008715BE" w:rsidRPr="00C96230" w:rsidRDefault="008715BE">
            <w:pPr>
              <w:pStyle w:val="TableParagraph"/>
              <w:spacing w:before="40"/>
              <w:rPr>
                <w:rFonts w:ascii="Verdana" w:hAnsi="Verdana"/>
                <w:b/>
                <w:sz w:val="18"/>
                <w:szCs w:val="18"/>
              </w:rPr>
            </w:pPr>
          </w:p>
          <w:p w14:paraId="6D4DF21B"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624DD56A" w14:textId="77777777" w:rsidR="008715BE" w:rsidRPr="00C96230" w:rsidRDefault="008715BE">
            <w:pPr>
              <w:pStyle w:val="TableParagraph"/>
              <w:spacing w:before="40"/>
              <w:rPr>
                <w:rFonts w:ascii="Verdana" w:hAnsi="Verdana"/>
                <w:b/>
                <w:sz w:val="18"/>
                <w:szCs w:val="18"/>
              </w:rPr>
            </w:pPr>
          </w:p>
          <w:p w14:paraId="5F013B04"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4D41FDCA" w14:textId="77777777" w:rsidR="008715BE" w:rsidRPr="00C96230" w:rsidRDefault="008715BE">
            <w:pPr>
              <w:pStyle w:val="TableParagraph"/>
              <w:spacing w:before="40"/>
              <w:rPr>
                <w:rFonts w:ascii="Verdana" w:hAnsi="Verdana"/>
                <w:b/>
                <w:sz w:val="18"/>
                <w:szCs w:val="18"/>
              </w:rPr>
            </w:pPr>
          </w:p>
          <w:p w14:paraId="77B21974"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068766A3" w14:textId="77777777" w:rsidR="008715BE" w:rsidRPr="00C96230" w:rsidRDefault="008715BE">
            <w:pPr>
              <w:pStyle w:val="TableParagraph"/>
              <w:spacing w:before="40"/>
              <w:rPr>
                <w:rFonts w:ascii="Verdana" w:hAnsi="Verdana"/>
                <w:b/>
                <w:sz w:val="18"/>
                <w:szCs w:val="18"/>
              </w:rPr>
            </w:pPr>
          </w:p>
          <w:p w14:paraId="1379397C"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2C9EFB5A"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6A1D731A" w14:textId="77777777" w:rsidR="008715BE" w:rsidRPr="00C96230" w:rsidRDefault="008715BE">
            <w:pPr>
              <w:pStyle w:val="TableParagraph"/>
              <w:spacing w:before="136"/>
              <w:rPr>
                <w:rFonts w:ascii="Verdana" w:hAnsi="Verdana"/>
                <w:b/>
                <w:sz w:val="18"/>
                <w:szCs w:val="18"/>
              </w:rPr>
            </w:pPr>
          </w:p>
          <w:p w14:paraId="06D58A42"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4925C956" w14:textId="77777777" w:rsidR="008715BE" w:rsidRPr="00C96230" w:rsidRDefault="008715BE">
            <w:pPr>
              <w:pStyle w:val="TableParagraph"/>
              <w:spacing w:before="40"/>
              <w:rPr>
                <w:rFonts w:ascii="Verdana" w:hAnsi="Verdana"/>
                <w:b/>
                <w:sz w:val="18"/>
                <w:szCs w:val="18"/>
              </w:rPr>
            </w:pPr>
          </w:p>
          <w:p w14:paraId="49A9CD65"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12397DC7"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429AE5DA" w14:textId="77777777" w:rsidR="008715BE" w:rsidRPr="00C96230" w:rsidRDefault="008715BE">
            <w:pPr>
              <w:pStyle w:val="TableParagraph"/>
              <w:spacing w:before="40"/>
              <w:rPr>
                <w:rFonts w:ascii="Verdana" w:hAnsi="Verdana"/>
                <w:b/>
                <w:sz w:val="18"/>
                <w:szCs w:val="18"/>
              </w:rPr>
            </w:pPr>
          </w:p>
          <w:p w14:paraId="4B70BCA1"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3F013D90" w14:textId="77777777" w:rsidR="008715BE" w:rsidRPr="00C96230" w:rsidRDefault="008715BE">
            <w:pPr>
              <w:pStyle w:val="TableParagraph"/>
              <w:spacing w:before="40"/>
              <w:rPr>
                <w:rFonts w:ascii="Verdana" w:hAnsi="Verdana"/>
                <w:b/>
                <w:sz w:val="18"/>
                <w:szCs w:val="18"/>
              </w:rPr>
            </w:pPr>
          </w:p>
          <w:p w14:paraId="2DA38552"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13C7F832" w14:textId="77777777">
        <w:trPr>
          <w:trHeight w:val="1554"/>
        </w:trPr>
        <w:tc>
          <w:tcPr>
            <w:tcW w:w="523" w:type="dxa"/>
            <w:vMerge w:val="restart"/>
          </w:tcPr>
          <w:p w14:paraId="75809384" w14:textId="77777777" w:rsidR="008715BE" w:rsidRPr="00C96230" w:rsidRDefault="008715BE">
            <w:pPr>
              <w:pStyle w:val="TableParagraph"/>
              <w:rPr>
                <w:rFonts w:ascii="Verdana" w:hAnsi="Verdana"/>
                <w:sz w:val="18"/>
                <w:szCs w:val="18"/>
              </w:rPr>
            </w:pPr>
          </w:p>
        </w:tc>
        <w:tc>
          <w:tcPr>
            <w:tcW w:w="2323" w:type="dxa"/>
          </w:tcPr>
          <w:p w14:paraId="60A8172D" w14:textId="77777777" w:rsidR="008715BE" w:rsidRPr="00C96230" w:rsidRDefault="008715BE">
            <w:pPr>
              <w:pStyle w:val="TableParagraph"/>
              <w:rPr>
                <w:rFonts w:ascii="Verdana" w:hAnsi="Verdana"/>
                <w:sz w:val="18"/>
                <w:szCs w:val="18"/>
              </w:rPr>
            </w:pPr>
          </w:p>
        </w:tc>
        <w:tc>
          <w:tcPr>
            <w:tcW w:w="3149" w:type="dxa"/>
          </w:tcPr>
          <w:p w14:paraId="2B8E0CAA" w14:textId="77777777" w:rsidR="008715BE" w:rsidRPr="00C96230" w:rsidRDefault="008715BE">
            <w:pPr>
              <w:pStyle w:val="TableParagraph"/>
              <w:rPr>
                <w:rFonts w:ascii="Verdana" w:hAnsi="Verdana"/>
                <w:sz w:val="18"/>
                <w:szCs w:val="18"/>
              </w:rPr>
            </w:pPr>
          </w:p>
        </w:tc>
        <w:tc>
          <w:tcPr>
            <w:tcW w:w="1106" w:type="dxa"/>
          </w:tcPr>
          <w:p w14:paraId="03889E24" w14:textId="77777777" w:rsidR="008715BE" w:rsidRPr="00C96230" w:rsidRDefault="008715BE">
            <w:pPr>
              <w:pStyle w:val="TableParagraph"/>
              <w:rPr>
                <w:rFonts w:ascii="Verdana" w:hAnsi="Verdana"/>
                <w:sz w:val="18"/>
                <w:szCs w:val="18"/>
              </w:rPr>
            </w:pPr>
          </w:p>
        </w:tc>
        <w:tc>
          <w:tcPr>
            <w:tcW w:w="1108" w:type="dxa"/>
          </w:tcPr>
          <w:p w14:paraId="2B279063"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pacing w:val="-2"/>
                <w:sz w:val="18"/>
                <w:szCs w:val="18"/>
              </w:rPr>
              <w:t>indirect impacts</w:t>
            </w:r>
          </w:p>
        </w:tc>
        <w:tc>
          <w:tcPr>
            <w:tcW w:w="1211" w:type="dxa"/>
          </w:tcPr>
          <w:p w14:paraId="27DB007B" w14:textId="77777777" w:rsidR="008715BE" w:rsidRPr="00C96230" w:rsidRDefault="00000000">
            <w:pPr>
              <w:pStyle w:val="TableParagraph"/>
              <w:spacing w:before="8"/>
              <w:ind w:left="107"/>
              <w:rPr>
                <w:rFonts w:ascii="Verdana" w:hAnsi="Verdana"/>
                <w:sz w:val="18"/>
                <w:szCs w:val="18"/>
              </w:rPr>
            </w:pPr>
            <w:r w:rsidRPr="00C96230">
              <w:rPr>
                <w:rFonts w:ascii="Verdana" w:hAnsi="Verdana"/>
                <w:spacing w:val="-2"/>
                <w:sz w:val="18"/>
                <w:szCs w:val="18"/>
              </w:rPr>
              <w:t>secondary impacts</w:t>
            </w:r>
          </w:p>
        </w:tc>
        <w:tc>
          <w:tcPr>
            <w:tcW w:w="1389" w:type="dxa"/>
          </w:tcPr>
          <w:p w14:paraId="17AE3259" w14:textId="77777777" w:rsidR="008715BE" w:rsidRPr="00C96230" w:rsidRDefault="00000000">
            <w:pPr>
              <w:pStyle w:val="TableParagraph"/>
              <w:spacing w:before="8"/>
              <w:ind w:left="108" w:right="182"/>
              <w:rPr>
                <w:rFonts w:ascii="Verdana" w:hAnsi="Verdana"/>
                <w:sz w:val="18"/>
                <w:szCs w:val="18"/>
              </w:rPr>
            </w:pPr>
            <w:r w:rsidRPr="00C96230">
              <w:rPr>
                <w:rFonts w:ascii="Verdana" w:hAnsi="Verdana"/>
                <w:spacing w:val="-2"/>
                <w:sz w:val="18"/>
                <w:szCs w:val="18"/>
              </w:rPr>
              <w:t>Cumulative impacts</w:t>
            </w:r>
          </w:p>
        </w:tc>
        <w:tc>
          <w:tcPr>
            <w:tcW w:w="1201" w:type="dxa"/>
          </w:tcPr>
          <w:p w14:paraId="10CE34A3" w14:textId="77777777" w:rsidR="008715BE" w:rsidRPr="00C96230" w:rsidRDefault="00000000">
            <w:pPr>
              <w:pStyle w:val="TableParagraph"/>
              <w:spacing w:before="8"/>
              <w:ind w:left="109" w:right="165"/>
              <w:rPr>
                <w:rFonts w:ascii="Verdana" w:hAnsi="Verdana"/>
                <w:sz w:val="18"/>
                <w:szCs w:val="18"/>
              </w:rPr>
            </w:pPr>
            <w:r w:rsidRPr="00C96230">
              <w:rPr>
                <w:rFonts w:ascii="Verdana" w:hAnsi="Verdana"/>
                <w:spacing w:val="-2"/>
                <w:sz w:val="18"/>
                <w:szCs w:val="18"/>
              </w:rPr>
              <w:t>Short term</w:t>
            </w:r>
          </w:p>
        </w:tc>
        <w:tc>
          <w:tcPr>
            <w:tcW w:w="1736" w:type="dxa"/>
          </w:tcPr>
          <w:p w14:paraId="51C5FC73"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Mustela eversmanii</w:t>
            </w:r>
          </w:p>
        </w:tc>
        <w:tc>
          <w:tcPr>
            <w:tcW w:w="1897" w:type="dxa"/>
          </w:tcPr>
          <w:p w14:paraId="33729A33" w14:textId="77777777" w:rsidR="008715BE" w:rsidRPr="00C96230" w:rsidRDefault="008715BE">
            <w:pPr>
              <w:pStyle w:val="TableParagraph"/>
              <w:rPr>
                <w:rFonts w:ascii="Verdana" w:hAnsi="Verdana"/>
                <w:sz w:val="18"/>
                <w:szCs w:val="18"/>
              </w:rPr>
            </w:pPr>
          </w:p>
        </w:tc>
        <w:tc>
          <w:tcPr>
            <w:tcW w:w="3860" w:type="dxa"/>
            <w:vMerge w:val="restart"/>
          </w:tcPr>
          <w:p w14:paraId="4E9268DF" w14:textId="77777777" w:rsidR="008715BE" w:rsidRPr="00C96230" w:rsidRDefault="00000000">
            <w:pPr>
              <w:pStyle w:val="TableParagraph"/>
              <w:spacing w:before="8"/>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61CE24C0"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isoline will be felt at distances of up to 1.5 km around the work area</w:t>
            </w:r>
          </w:p>
          <w:p w14:paraId="3C64CF9D" w14:textId="77777777" w:rsidR="008715BE" w:rsidRPr="00C96230" w:rsidRDefault="00000000">
            <w:pPr>
              <w:pStyle w:val="TableParagraph"/>
              <w:spacing w:before="189"/>
              <w:ind w:left="117" w:right="84"/>
              <w:jc w:val="both"/>
              <w:rPr>
                <w:rFonts w:ascii="Verdana" w:hAnsi="Verdana"/>
                <w:sz w:val="18"/>
                <w:szCs w:val="18"/>
              </w:rPr>
            </w:pPr>
            <w:r w:rsidRPr="00C96230">
              <w:rPr>
                <w:rFonts w:ascii="Verdana" w:hAnsi="Verdana"/>
                <w:sz w:val="18"/>
                <w:szCs w:val="18"/>
              </w:rPr>
              <w:t>The impact will be felt outside the protected area of the wind farm, in the vicinity of the wind turbines</w:t>
            </w:r>
          </w:p>
          <w:p w14:paraId="027D892A" w14:textId="77777777" w:rsidR="008715BE" w:rsidRPr="00C96230" w:rsidRDefault="008715BE">
            <w:pPr>
              <w:pStyle w:val="TableParagraph"/>
              <w:spacing w:before="190"/>
              <w:rPr>
                <w:rFonts w:ascii="Verdana" w:hAnsi="Verdana"/>
                <w:b/>
                <w:sz w:val="18"/>
                <w:szCs w:val="18"/>
              </w:rPr>
            </w:pPr>
          </w:p>
          <w:p w14:paraId="2503BC8B" w14:textId="77777777" w:rsidR="008715BE" w:rsidRPr="00C96230" w:rsidRDefault="00000000">
            <w:pPr>
              <w:pStyle w:val="TableParagraph"/>
              <w:spacing w:before="1" w:line="195" w:lineRule="exact"/>
              <w:ind w:left="117"/>
              <w:rPr>
                <w:rFonts w:ascii="Verdana" w:hAnsi="Verdana"/>
                <w:sz w:val="18"/>
                <w:szCs w:val="18"/>
              </w:rPr>
            </w:pPr>
            <w:r w:rsidRPr="00C96230">
              <w:rPr>
                <w:rFonts w:ascii="Verdana" w:hAnsi="Verdana"/>
                <w:spacing w:val="-2"/>
                <w:sz w:val="18"/>
                <w:szCs w:val="18"/>
              </w:rPr>
              <w:t>1/individual (accidental)</w:t>
            </w:r>
          </w:p>
          <w:p w14:paraId="1B64E164" w14:textId="77777777" w:rsidR="008715BE" w:rsidRPr="00C96230" w:rsidRDefault="00000000">
            <w:pPr>
              <w:pStyle w:val="TableParagraph"/>
              <w:spacing w:line="194" w:lineRule="exact"/>
              <w:ind w:left="117"/>
              <w:rPr>
                <w:rFonts w:ascii="Verdana" w:hAnsi="Verdana"/>
                <w:sz w:val="18"/>
                <w:szCs w:val="18"/>
              </w:rPr>
            </w:pPr>
            <w:r w:rsidRPr="00C96230">
              <w:rPr>
                <w:rFonts w:ascii="Verdana" w:hAnsi="Verdana"/>
                <w:sz w:val="18"/>
                <w:szCs w:val="18"/>
              </w:rPr>
              <w:t xml:space="preserve">(outside the protected area, within </w:t>
            </w:r>
            <w:r w:rsidRPr="00C96230">
              <w:rPr>
                <w:rFonts w:ascii="Verdana" w:hAnsi="Verdana"/>
                <w:spacing w:val="-2"/>
                <w:sz w:val="18"/>
                <w:szCs w:val="18"/>
              </w:rPr>
              <w:t>the</w:t>
            </w:r>
          </w:p>
          <w:p w14:paraId="082768FC" w14:textId="77777777" w:rsidR="008715BE" w:rsidRPr="00C96230" w:rsidRDefault="00000000">
            <w:pPr>
              <w:pStyle w:val="TableParagraph"/>
              <w:spacing w:line="165" w:lineRule="exact"/>
              <w:ind w:left="117"/>
              <w:rPr>
                <w:rFonts w:ascii="Verdana" w:hAnsi="Verdana"/>
                <w:sz w:val="18"/>
                <w:szCs w:val="18"/>
              </w:rPr>
            </w:pPr>
            <w:r w:rsidRPr="00C96230">
              <w:rPr>
                <w:rFonts w:ascii="Verdana" w:hAnsi="Verdana"/>
                <w:spacing w:val="-2"/>
                <w:sz w:val="18"/>
                <w:szCs w:val="18"/>
              </w:rPr>
              <w:t>wind farm)</w:t>
            </w:r>
          </w:p>
        </w:tc>
        <w:tc>
          <w:tcPr>
            <w:tcW w:w="1889" w:type="dxa"/>
          </w:tcPr>
          <w:p w14:paraId="6AF3531A" w14:textId="77777777" w:rsidR="008715BE" w:rsidRPr="00C96230" w:rsidRDefault="008715BE">
            <w:pPr>
              <w:pStyle w:val="TableParagraph"/>
              <w:rPr>
                <w:rFonts w:ascii="Verdana" w:hAnsi="Verdana"/>
                <w:sz w:val="18"/>
                <w:szCs w:val="18"/>
              </w:rPr>
            </w:pPr>
          </w:p>
        </w:tc>
      </w:tr>
      <w:tr w:rsidR="008715BE" w:rsidRPr="00C96230" w14:paraId="14DD0D16" w14:textId="77777777">
        <w:trPr>
          <w:trHeight w:val="1350"/>
        </w:trPr>
        <w:tc>
          <w:tcPr>
            <w:tcW w:w="523" w:type="dxa"/>
            <w:vMerge/>
            <w:tcBorders>
              <w:top w:val="nil"/>
            </w:tcBorders>
          </w:tcPr>
          <w:p w14:paraId="7989516E" w14:textId="77777777" w:rsidR="008715BE" w:rsidRPr="00C96230" w:rsidRDefault="008715BE">
            <w:pPr>
              <w:rPr>
                <w:rFonts w:ascii="Verdana" w:hAnsi="Verdana"/>
                <w:sz w:val="18"/>
                <w:szCs w:val="18"/>
              </w:rPr>
            </w:pPr>
          </w:p>
        </w:tc>
        <w:tc>
          <w:tcPr>
            <w:tcW w:w="2323" w:type="dxa"/>
            <w:vMerge w:val="restart"/>
          </w:tcPr>
          <w:p w14:paraId="2405DCCD"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Decommissioning/demolition works Land restoration/rehabilitation works at the end of </w:t>
            </w:r>
            <w:r w:rsidRPr="00C96230">
              <w:rPr>
                <w:rFonts w:ascii="Verdana" w:hAnsi="Verdana"/>
                <w:spacing w:val="-2"/>
                <w:sz w:val="18"/>
                <w:szCs w:val="18"/>
              </w:rPr>
              <w:t xml:space="preserve">the project's </w:t>
            </w:r>
            <w:r w:rsidRPr="00C96230">
              <w:rPr>
                <w:rFonts w:ascii="Verdana" w:hAnsi="Verdana"/>
                <w:sz w:val="18"/>
                <w:szCs w:val="18"/>
              </w:rPr>
              <w:t>life cycle</w:t>
            </w:r>
          </w:p>
        </w:tc>
        <w:tc>
          <w:tcPr>
            <w:tcW w:w="3149" w:type="dxa"/>
          </w:tcPr>
          <w:p w14:paraId="0FF4776C"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work</w:t>
            </w:r>
            <w:r w:rsidRPr="00C96230">
              <w:rPr>
                <w:rFonts w:ascii="Verdana" w:hAnsi="Verdana"/>
                <w:sz w:val="18"/>
                <w:szCs w:val="18"/>
              </w:rPr>
              <w:t xml:space="preserve"> area</w:t>
            </w:r>
          </w:p>
        </w:tc>
        <w:tc>
          <w:tcPr>
            <w:tcW w:w="1106" w:type="dxa"/>
          </w:tcPr>
          <w:p w14:paraId="309620A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0A6EBBC0"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55256082"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5F43811"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551799AC"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056F4FDA"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Mustela eversmanii</w:t>
            </w:r>
          </w:p>
        </w:tc>
        <w:tc>
          <w:tcPr>
            <w:tcW w:w="1897" w:type="dxa"/>
          </w:tcPr>
          <w:p w14:paraId="1A57150C"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vMerge/>
            <w:tcBorders>
              <w:top w:val="nil"/>
            </w:tcBorders>
          </w:tcPr>
          <w:p w14:paraId="19CF1F57" w14:textId="77777777" w:rsidR="008715BE" w:rsidRPr="00C96230" w:rsidRDefault="008715BE">
            <w:pPr>
              <w:rPr>
                <w:rFonts w:ascii="Verdana" w:hAnsi="Verdana"/>
                <w:sz w:val="18"/>
                <w:szCs w:val="18"/>
              </w:rPr>
            </w:pPr>
          </w:p>
        </w:tc>
        <w:tc>
          <w:tcPr>
            <w:tcW w:w="1889" w:type="dxa"/>
          </w:tcPr>
          <w:p w14:paraId="39F20600" w14:textId="77777777" w:rsidR="008715BE" w:rsidRPr="00C96230" w:rsidRDefault="00000000">
            <w:pPr>
              <w:pStyle w:val="TableParagraph"/>
              <w:tabs>
                <w:tab w:val="left" w:pos="1223"/>
              </w:tabs>
              <w:spacing w:before="8"/>
              <w:ind w:left="119" w:right="82"/>
              <w:jc w:val="both"/>
              <w:rPr>
                <w:rFonts w:ascii="Verdana" w:hAnsi="Verdana"/>
                <w:sz w:val="18"/>
                <w:szCs w:val="18"/>
              </w:rPr>
            </w:pPr>
            <w:r w:rsidRPr="00C96230">
              <w:rPr>
                <w:rFonts w:ascii="Verdana" w:hAnsi="Verdana"/>
                <w:spacing w:val="-2"/>
                <w:sz w:val="18"/>
                <w:szCs w:val="18"/>
              </w:rPr>
              <w:t>Analysis</w:t>
            </w:r>
            <w:r w:rsidRPr="00C96230">
              <w:rPr>
                <w:rFonts w:ascii="Verdana" w:hAnsi="Verdana"/>
                <w:sz w:val="18"/>
                <w:szCs w:val="18"/>
              </w:rPr>
              <w:tab/>
              <w:t xml:space="preserve">of </w:t>
            </w:r>
            <w:r w:rsidRPr="00C96230">
              <w:rPr>
                <w:rFonts w:ascii="Verdana" w:hAnsi="Verdana"/>
                <w:spacing w:val="-2"/>
                <w:sz w:val="18"/>
                <w:szCs w:val="18"/>
              </w:rPr>
              <w:t xml:space="preserve">species </w:t>
            </w:r>
            <w:r w:rsidRPr="00C96230">
              <w:rPr>
                <w:rFonts w:ascii="Verdana" w:hAnsi="Verdana"/>
                <w:sz w:val="18"/>
                <w:szCs w:val="18"/>
              </w:rPr>
              <w:t xml:space="preserve">mortality </w:t>
            </w:r>
            <w:r w:rsidRPr="00C96230">
              <w:rPr>
                <w:rFonts w:ascii="Verdana" w:hAnsi="Verdana"/>
                <w:spacing w:val="-2"/>
                <w:sz w:val="18"/>
                <w:szCs w:val="18"/>
              </w:rPr>
              <w:t>risk</w:t>
            </w:r>
          </w:p>
        </w:tc>
      </w:tr>
      <w:tr w:rsidR="008715BE" w:rsidRPr="00C96230" w14:paraId="5B053A4A" w14:textId="77777777">
        <w:trPr>
          <w:trHeight w:val="2724"/>
        </w:trPr>
        <w:tc>
          <w:tcPr>
            <w:tcW w:w="523" w:type="dxa"/>
            <w:vMerge/>
            <w:tcBorders>
              <w:top w:val="nil"/>
            </w:tcBorders>
          </w:tcPr>
          <w:p w14:paraId="7F4BCBB9" w14:textId="77777777" w:rsidR="008715BE" w:rsidRPr="00C96230" w:rsidRDefault="008715BE">
            <w:pPr>
              <w:rPr>
                <w:rFonts w:ascii="Verdana" w:hAnsi="Verdana"/>
                <w:sz w:val="18"/>
                <w:szCs w:val="18"/>
              </w:rPr>
            </w:pPr>
          </w:p>
        </w:tc>
        <w:tc>
          <w:tcPr>
            <w:tcW w:w="2323" w:type="dxa"/>
            <w:vMerge/>
            <w:tcBorders>
              <w:top w:val="nil"/>
            </w:tcBorders>
          </w:tcPr>
          <w:p w14:paraId="19D36408" w14:textId="77777777" w:rsidR="008715BE" w:rsidRPr="00C96230" w:rsidRDefault="008715BE">
            <w:pPr>
              <w:rPr>
                <w:rFonts w:ascii="Verdana" w:hAnsi="Verdana"/>
                <w:sz w:val="18"/>
                <w:szCs w:val="18"/>
              </w:rPr>
            </w:pPr>
          </w:p>
        </w:tc>
        <w:tc>
          <w:tcPr>
            <w:tcW w:w="3149" w:type="dxa"/>
          </w:tcPr>
          <w:p w14:paraId="5DB14911" w14:textId="77777777" w:rsidR="008715BE" w:rsidRPr="00C96230" w:rsidRDefault="00000000">
            <w:pPr>
              <w:pStyle w:val="TableParagraph"/>
              <w:tabs>
                <w:tab w:val="left" w:pos="1615"/>
                <w:tab w:val="left" w:pos="2916"/>
              </w:tabs>
              <w:spacing w:before="8"/>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 of</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754CF9EC"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251CD064"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5D73575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CEA2AE7"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E7C9D49"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DAACA4A"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1C1F71BF"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7D5B5F69"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356833BC" w14:textId="77777777" w:rsidR="008715BE" w:rsidRPr="00C96230" w:rsidRDefault="00000000">
            <w:pPr>
              <w:pStyle w:val="TableParagraph"/>
              <w:spacing w:before="8"/>
              <w:ind w:left="117"/>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79957F0C" w14:textId="77777777" w:rsidR="008715BE" w:rsidRPr="00C96230" w:rsidRDefault="00000000">
            <w:pPr>
              <w:pStyle w:val="TableParagraph"/>
              <w:spacing w:before="194"/>
              <w:ind w:left="117" w:right="86"/>
              <w:jc w:val="both"/>
              <w:rPr>
                <w:rFonts w:ascii="Verdana" w:hAnsi="Verdana"/>
                <w:sz w:val="18"/>
                <w:szCs w:val="18"/>
              </w:rPr>
            </w:pPr>
            <w:r w:rsidRPr="00C96230">
              <w:rPr>
                <w:rFonts w:ascii="Verdana" w:hAnsi="Verdana"/>
                <w:sz w:val="18"/>
                <w:szCs w:val="18"/>
              </w:rPr>
              <w:t>Areas temporarily occupied by the project outside the boundaries of protected areas where the presence of the species has been reported:</w:t>
            </w:r>
          </w:p>
          <w:p w14:paraId="7737E1B2" w14:textId="77777777" w:rsidR="008715BE" w:rsidRPr="00C96230" w:rsidRDefault="00000000">
            <w:pPr>
              <w:pStyle w:val="TableParagraph"/>
              <w:spacing w:before="192"/>
              <w:ind w:left="117" w:right="85"/>
              <w:jc w:val="both"/>
              <w:rPr>
                <w:rFonts w:ascii="Verdana" w:hAnsi="Verdana"/>
                <w:sz w:val="18"/>
                <w:szCs w:val="18"/>
              </w:rPr>
            </w:pPr>
            <w:r w:rsidRPr="00C96230">
              <w:rPr>
                <w:rFonts w:ascii="Verdana" w:hAnsi="Verdana"/>
                <w:sz w:val="18"/>
                <w:szCs w:val="18"/>
              </w:rPr>
              <w:t>0.9 ha temporarily occupied by the construction site + area temporarily occupied by trenches for cable installation</w:t>
            </w:r>
          </w:p>
          <w:p w14:paraId="35DA710F"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 xml:space="preserve">309.24 ha of areas permanently occupied by the construction elements of the energy park The impact will be felt outside the protected area of the wind farm, within </w:t>
            </w:r>
            <w:r w:rsidRPr="00C96230">
              <w:rPr>
                <w:rFonts w:ascii="Verdana" w:hAnsi="Verdana"/>
                <w:spacing w:val="-2"/>
                <w:sz w:val="18"/>
                <w:szCs w:val="18"/>
              </w:rPr>
              <w:t>the limits/vicinity of the</w:t>
            </w:r>
          </w:p>
          <w:p w14:paraId="18302EFC" w14:textId="77777777" w:rsidR="008715BE" w:rsidRPr="00C96230" w:rsidRDefault="00000000">
            <w:pPr>
              <w:pStyle w:val="TableParagraph"/>
              <w:spacing w:line="164" w:lineRule="exact"/>
              <w:ind w:left="117"/>
              <w:jc w:val="both"/>
              <w:rPr>
                <w:rFonts w:ascii="Verdana" w:hAnsi="Verdana"/>
                <w:sz w:val="18"/>
                <w:szCs w:val="18"/>
              </w:rPr>
            </w:pPr>
            <w:r w:rsidRPr="00C96230">
              <w:rPr>
                <w:rFonts w:ascii="Verdana" w:hAnsi="Verdana"/>
                <w:sz w:val="18"/>
                <w:szCs w:val="18"/>
              </w:rPr>
              <w:t xml:space="preserve">the </w:t>
            </w:r>
            <w:r w:rsidRPr="00C96230">
              <w:rPr>
                <w:rFonts w:ascii="Verdana" w:hAnsi="Verdana"/>
                <w:spacing w:val="-2"/>
                <w:sz w:val="18"/>
                <w:szCs w:val="18"/>
              </w:rPr>
              <w:t xml:space="preserve">work </w:t>
            </w:r>
            <w:r w:rsidRPr="00C96230">
              <w:rPr>
                <w:rFonts w:ascii="Verdana" w:hAnsi="Verdana"/>
                <w:sz w:val="18"/>
                <w:szCs w:val="18"/>
              </w:rPr>
              <w:t>front</w:t>
            </w:r>
          </w:p>
        </w:tc>
        <w:tc>
          <w:tcPr>
            <w:tcW w:w="1889" w:type="dxa"/>
          </w:tcPr>
          <w:p w14:paraId="0B87278E"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the results of the field inventories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62A3B32B" w14:textId="77777777">
        <w:trPr>
          <w:trHeight w:val="777"/>
        </w:trPr>
        <w:tc>
          <w:tcPr>
            <w:tcW w:w="523" w:type="dxa"/>
            <w:vMerge/>
            <w:tcBorders>
              <w:top w:val="nil"/>
            </w:tcBorders>
          </w:tcPr>
          <w:p w14:paraId="729A2290" w14:textId="77777777" w:rsidR="008715BE" w:rsidRPr="00C96230" w:rsidRDefault="008715BE">
            <w:pPr>
              <w:rPr>
                <w:rFonts w:ascii="Verdana" w:hAnsi="Verdana"/>
                <w:sz w:val="18"/>
                <w:szCs w:val="18"/>
              </w:rPr>
            </w:pPr>
          </w:p>
        </w:tc>
        <w:tc>
          <w:tcPr>
            <w:tcW w:w="2323" w:type="dxa"/>
            <w:vMerge/>
            <w:tcBorders>
              <w:top w:val="nil"/>
            </w:tcBorders>
          </w:tcPr>
          <w:p w14:paraId="1E2CEDEB" w14:textId="77777777" w:rsidR="008715BE" w:rsidRPr="00C96230" w:rsidRDefault="008715BE">
            <w:pPr>
              <w:rPr>
                <w:rFonts w:ascii="Verdana" w:hAnsi="Verdana"/>
                <w:sz w:val="18"/>
                <w:szCs w:val="18"/>
              </w:rPr>
            </w:pPr>
          </w:p>
        </w:tc>
        <w:tc>
          <w:tcPr>
            <w:tcW w:w="3149" w:type="dxa"/>
          </w:tcPr>
          <w:p w14:paraId="3CB010BC"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machinery - penetration of pollutants into the soil</w:t>
            </w:r>
          </w:p>
        </w:tc>
        <w:tc>
          <w:tcPr>
            <w:tcW w:w="1106" w:type="dxa"/>
          </w:tcPr>
          <w:p w14:paraId="497ED74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2214EC73"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17BFB9B8"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1447554"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A55D4CF" w14:textId="77777777" w:rsidR="008715BE" w:rsidRPr="00C96230" w:rsidRDefault="00000000">
            <w:pPr>
              <w:pStyle w:val="TableParagraph"/>
              <w:tabs>
                <w:tab w:val="left" w:pos="903"/>
              </w:tabs>
              <w:spacing w:line="194" w:lineRule="exact"/>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39D1D301"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4198A3F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17D7AD20"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48196F67"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12D3A6E6" w14:textId="77777777" w:rsidR="008715BE" w:rsidRPr="00C96230" w:rsidRDefault="00000000">
            <w:pPr>
              <w:pStyle w:val="TableParagraph"/>
              <w:spacing w:before="166" w:line="194" w:lineRule="exact"/>
              <w:ind w:left="117"/>
              <w:rPr>
                <w:rFonts w:ascii="Verdana" w:hAnsi="Verdana"/>
                <w:sz w:val="18"/>
                <w:szCs w:val="18"/>
              </w:rPr>
            </w:pPr>
            <w:r w:rsidRPr="00C96230">
              <w:rPr>
                <w:rFonts w:ascii="Verdana" w:hAnsi="Verdana"/>
                <w:sz w:val="18"/>
                <w:szCs w:val="18"/>
              </w:rPr>
              <w:t>30-40 m² in the working area, agricultural land outside the protected area</w:t>
            </w:r>
          </w:p>
        </w:tc>
        <w:tc>
          <w:tcPr>
            <w:tcW w:w="1889" w:type="dxa"/>
          </w:tcPr>
          <w:p w14:paraId="5CB68F48" w14:textId="77777777" w:rsidR="008715BE" w:rsidRPr="00C96230" w:rsidRDefault="00000000">
            <w:pPr>
              <w:pStyle w:val="TableParagraph"/>
              <w:tabs>
                <w:tab w:val="left" w:pos="1548"/>
              </w:tabs>
              <w:spacing w:line="194" w:lineRule="exact"/>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79BB1FD8" w14:textId="77777777">
        <w:trPr>
          <w:trHeight w:val="1944"/>
        </w:trPr>
        <w:tc>
          <w:tcPr>
            <w:tcW w:w="523" w:type="dxa"/>
            <w:vMerge/>
            <w:tcBorders>
              <w:top w:val="nil"/>
            </w:tcBorders>
          </w:tcPr>
          <w:p w14:paraId="3D1D55AF" w14:textId="77777777" w:rsidR="008715BE" w:rsidRPr="00C96230" w:rsidRDefault="008715BE">
            <w:pPr>
              <w:rPr>
                <w:rFonts w:ascii="Verdana" w:hAnsi="Verdana"/>
                <w:sz w:val="18"/>
                <w:szCs w:val="18"/>
              </w:rPr>
            </w:pPr>
          </w:p>
        </w:tc>
        <w:tc>
          <w:tcPr>
            <w:tcW w:w="2323" w:type="dxa"/>
            <w:vMerge/>
            <w:tcBorders>
              <w:top w:val="nil"/>
            </w:tcBorders>
          </w:tcPr>
          <w:p w14:paraId="296CE4FB" w14:textId="77777777" w:rsidR="008715BE" w:rsidRPr="00C96230" w:rsidRDefault="008715BE">
            <w:pPr>
              <w:rPr>
                <w:rFonts w:ascii="Verdana" w:hAnsi="Verdana"/>
                <w:sz w:val="18"/>
                <w:szCs w:val="18"/>
              </w:rPr>
            </w:pPr>
          </w:p>
        </w:tc>
        <w:tc>
          <w:tcPr>
            <w:tcW w:w="3149" w:type="dxa"/>
          </w:tcPr>
          <w:p w14:paraId="519932D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7D3F809F"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083647E8"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5713160"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027FFC28"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02F93A90"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2E486A5A"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2B24C679"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3CDEE29A"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4DA81532"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z w:val="18"/>
                <w:szCs w:val="18"/>
              </w:rPr>
              <w:t xml:space="preserve">0 ha of the </w:t>
            </w:r>
            <w:r w:rsidRPr="00C96230">
              <w:rPr>
                <w:rFonts w:ascii="Verdana" w:hAnsi="Verdana"/>
                <w:spacing w:val="-2"/>
                <w:sz w:val="18"/>
                <w:szCs w:val="18"/>
              </w:rPr>
              <w:t xml:space="preserve">protected </w:t>
            </w:r>
            <w:r w:rsidRPr="00C96230">
              <w:rPr>
                <w:rFonts w:ascii="Verdana" w:hAnsi="Verdana"/>
                <w:sz w:val="18"/>
                <w:szCs w:val="18"/>
              </w:rPr>
              <w:t>area</w:t>
            </w:r>
          </w:p>
          <w:p w14:paraId="4442048B"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Maximum 500 m from the working front boundary. The distance over which the effects are felt is between 5 m (in the case of rhizomes/root fragments) and 200-500 m (in the case of seeds). The habitat</w:t>
            </w:r>
            <w:r w:rsidRPr="00C96230">
              <w:rPr>
                <w:rFonts w:ascii="Verdana" w:hAnsi="Verdana"/>
                <w:spacing w:val="40"/>
                <w:sz w:val="18"/>
                <w:szCs w:val="18"/>
              </w:rPr>
              <w:t xml:space="preserve">  </w:t>
            </w:r>
            <w:r w:rsidRPr="00C96230">
              <w:rPr>
                <w:rFonts w:ascii="Verdana" w:hAnsi="Verdana"/>
                <w:sz w:val="18"/>
                <w:szCs w:val="18"/>
              </w:rPr>
              <w:t xml:space="preserve"> is located 200-700 m from the area where the excavation works are carried out.</w:t>
            </w:r>
            <w:r w:rsidRPr="00C96230">
              <w:rPr>
                <w:rFonts w:ascii="Verdana" w:hAnsi="Verdana"/>
                <w:spacing w:val="80"/>
                <w:sz w:val="18"/>
                <w:szCs w:val="18"/>
              </w:rPr>
              <w:t xml:space="preserve"> </w:t>
            </w:r>
            <w:r w:rsidRPr="00C96230">
              <w:rPr>
                <w:rFonts w:ascii="Verdana" w:hAnsi="Verdana"/>
                <w:sz w:val="18"/>
                <w:szCs w:val="18"/>
              </w:rPr>
              <w:t xml:space="preserve">Taking into account the precautionary principle, it was considered that this could generate </w:t>
            </w:r>
            <w:r w:rsidRPr="00C96230">
              <w:rPr>
                <w:rFonts w:ascii="Verdana" w:hAnsi="Verdana"/>
                <w:spacing w:val="-5"/>
                <w:sz w:val="18"/>
                <w:szCs w:val="18"/>
              </w:rPr>
              <w:t>a</w:t>
            </w:r>
          </w:p>
          <w:p w14:paraId="33B5191F" w14:textId="77777777" w:rsidR="008715BE" w:rsidRPr="00C96230" w:rsidRDefault="00000000">
            <w:pPr>
              <w:pStyle w:val="TableParagraph"/>
              <w:spacing w:line="159" w:lineRule="exact"/>
              <w:ind w:left="117"/>
              <w:rPr>
                <w:rFonts w:ascii="Verdana" w:hAnsi="Verdana"/>
                <w:sz w:val="18"/>
                <w:szCs w:val="18"/>
              </w:rPr>
            </w:pPr>
            <w:r w:rsidRPr="00C96230">
              <w:rPr>
                <w:rFonts w:ascii="Verdana" w:hAnsi="Verdana"/>
                <w:sz w:val="18"/>
                <w:szCs w:val="18"/>
              </w:rPr>
              <w:t xml:space="preserve">potential </w:t>
            </w:r>
            <w:r w:rsidRPr="00C96230">
              <w:rPr>
                <w:rFonts w:ascii="Verdana" w:hAnsi="Verdana"/>
                <w:spacing w:val="-2"/>
                <w:sz w:val="18"/>
                <w:szCs w:val="18"/>
              </w:rPr>
              <w:t>impact</w:t>
            </w:r>
          </w:p>
        </w:tc>
        <w:tc>
          <w:tcPr>
            <w:tcW w:w="1889" w:type="dxa"/>
          </w:tcPr>
          <w:p w14:paraId="45917ED2"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r w:rsidR="008715BE" w:rsidRPr="00C96230" w14:paraId="0E7E769A" w14:textId="77777777">
        <w:trPr>
          <w:trHeight w:val="210"/>
        </w:trPr>
        <w:tc>
          <w:tcPr>
            <w:tcW w:w="21392" w:type="dxa"/>
            <w:gridSpan w:val="12"/>
          </w:tcPr>
          <w:p w14:paraId="1AC18E58" w14:textId="77777777" w:rsidR="008715BE" w:rsidRPr="00C96230" w:rsidRDefault="00000000">
            <w:pPr>
              <w:pStyle w:val="TableParagraph"/>
              <w:spacing w:before="18" w:line="173" w:lineRule="exact"/>
              <w:ind w:left="24" w:right="2"/>
              <w:jc w:val="center"/>
              <w:rPr>
                <w:rFonts w:ascii="Verdana" w:hAnsi="Verdana"/>
                <w:b/>
                <w:sz w:val="18"/>
                <w:szCs w:val="18"/>
              </w:rPr>
            </w:pPr>
            <w:r w:rsidRPr="00C96230">
              <w:rPr>
                <w:rFonts w:ascii="Verdana" w:hAnsi="Verdana"/>
                <w:b/>
                <w:spacing w:val="-2"/>
                <w:sz w:val="18"/>
                <w:szCs w:val="18"/>
              </w:rPr>
              <w:t>ROSPA0166 Plopeni - Chirnogeni</w:t>
            </w:r>
          </w:p>
        </w:tc>
      </w:tr>
      <w:tr w:rsidR="008715BE" w:rsidRPr="00C96230" w14:paraId="3FA8EBD6" w14:textId="77777777">
        <w:trPr>
          <w:trHeight w:val="1749"/>
        </w:trPr>
        <w:tc>
          <w:tcPr>
            <w:tcW w:w="523" w:type="dxa"/>
            <w:vMerge w:val="restart"/>
            <w:textDirection w:val="btLr"/>
          </w:tcPr>
          <w:p w14:paraId="2498A101" w14:textId="77777777" w:rsidR="008715BE" w:rsidRPr="00C96230" w:rsidRDefault="00000000">
            <w:pPr>
              <w:pStyle w:val="TableParagraph"/>
              <w:spacing w:before="171"/>
              <w:jc w:val="center"/>
              <w:rPr>
                <w:rFonts w:ascii="Verdana" w:hAnsi="Verdana"/>
                <w:sz w:val="18"/>
                <w:szCs w:val="18"/>
              </w:rPr>
            </w:pPr>
            <w:r w:rsidRPr="00C96230">
              <w:rPr>
                <w:rFonts w:ascii="Verdana" w:hAnsi="Verdana"/>
                <w:spacing w:val="-2"/>
                <w:sz w:val="18"/>
                <w:szCs w:val="18"/>
              </w:rPr>
              <w:t>Construction</w:t>
            </w:r>
          </w:p>
        </w:tc>
        <w:tc>
          <w:tcPr>
            <w:tcW w:w="2323" w:type="dxa"/>
          </w:tcPr>
          <w:p w14:paraId="0E65598A" w14:textId="77777777" w:rsidR="008715BE" w:rsidRPr="00C96230" w:rsidRDefault="00000000">
            <w:pPr>
              <w:pStyle w:val="TableParagraph"/>
              <w:tabs>
                <w:tab w:val="left" w:pos="2087"/>
              </w:tabs>
              <w:spacing w:before="8"/>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6128C31F"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73D25AB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4"/>
                <w:sz w:val="18"/>
                <w:szCs w:val="18"/>
              </w:rPr>
              <w:t>AH/PH</w:t>
            </w:r>
          </w:p>
        </w:tc>
        <w:tc>
          <w:tcPr>
            <w:tcW w:w="1108" w:type="dxa"/>
          </w:tcPr>
          <w:p w14:paraId="67F02D19"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03FEFE83"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876A6AD"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AE538CE"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val="restart"/>
          </w:tcPr>
          <w:p w14:paraId="36C0F746"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23DB1A5D"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 xml:space="preserve">Circus cyaneus Falco columbarius Falco vespertinus </w:t>
            </w:r>
            <w:r w:rsidRPr="00C96230">
              <w:rPr>
                <w:rFonts w:ascii="Verdana" w:hAnsi="Verdana"/>
                <w:i/>
                <w:sz w:val="18"/>
                <w:szCs w:val="18"/>
              </w:rPr>
              <w:lastRenderedPageBreak/>
              <w:t>Lanius minor</w:t>
            </w:r>
          </w:p>
        </w:tc>
        <w:tc>
          <w:tcPr>
            <w:tcW w:w="1897" w:type="dxa"/>
          </w:tcPr>
          <w:p w14:paraId="278F24C6"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lastRenderedPageBreak/>
              <w:t>Trend</w:t>
            </w:r>
            <w:r w:rsidRPr="00C96230">
              <w:rPr>
                <w:rFonts w:ascii="Verdana" w:hAnsi="Verdana"/>
                <w:sz w:val="18"/>
                <w:szCs w:val="18"/>
              </w:rPr>
              <w:tab/>
            </w:r>
            <w:r w:rsidRPr="00C96230">
              <w:rPr>
                <w:rFonts w:ascii="Verdana" w:hAnsi="Verdana"/>
                <w:spacing w:val="-2"/>
                <w:sz w:val="18"/>
                <w:szCs w:val="18"/>
              </w:rPr>
              <w:t>of population size</w:t>
            </w:r>
          </w:p>
          <w:p w14:paraId="3982823E" w14:textId="77777777" w:rsidR="008715BE" w:rsidRPr="00C96230" w:rsidRDefault="00000000">
            <w:pPr>
              <w:pStyle w:val="TableParagraph"/>
              <w:spacing w:line="193" w:lineRule="exact"/>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5ECB54D8" w14:textId="77777777" w:rsidR="008715BE" w:rsidRPr="00C96230" w:rsidRDefault="00000000">
            <w:pPr>
              <w:pStyle w:val="TableParagraph"/>
              <w:spacing w:before="8" w:line="195" w:lineRule="exact"/>
              <w:ind w:left="117"/>
              <w:jc w:val="both"/>
              <w:rPr>
                <w:rFonts w:ascii="Verdana" w:hAnsi="Verdana"/>
                <w:sz w:val="18"/>
                <w:szCs w:val="18"/>
              </w:rPr>
            </w:pPr>
            <w:r w:rsidRPr="00C96230">
              <w:rPr>
                <w:rFonts w:ascii="Verdana" w:hAnsi="Verdana"/>
                <w:sz w:val="18"/>
                <w:szCs w:val="18"/>
              </w:rPr>
              <w:t xml:space="preserve">0 </w:t>
            </w:r>
            <w:r w:rsidRPr="00C96230">
              <w:rPr>
                <w:rFonts w:ascii="Verdana" w:hAnsi="Verdana"/>
                <w:spacing w:val="-2"/>
                <w:sz w:val="18"/>
                <w:szCs w:val="18"/>
              </w:rPr>
              <w:t>individuals</w:t>
            </w:r>
          </w:p>
          <w:p w14:paraId="3982D7E2" w14:textId="77777777" w:rsidR="008715BE" w:rsidRPr="00C96230" w:rsidRDefault="00000000">
            <w:pPr>
              <w:pStyle w:val="TableParagraph"/>
              <w:ind w:left="117" w:right="82"/>
              <w:jc w:val="both"/>
              <w:rPr>
                <w:rFonts w:ascii="Verdana" w:hAnsi="Verdana"/>
                <w:sz w:val="18"/>
                <w:szCs w:val="18"/>
              </w:rPr>
            </w:pPr>
            <w:r w:rsidRPr="00C96230">
              <w:rPr>
                <w:rFonts w:ascii="Verdana" w:hAnsi="Verdana"/>
                <w:sz w:val="18"/>
                <w:szCs w:val="18"/>
              </w:rPr>
              <w:t xml:space="preserve">The impact will be felt outside the protected area, in the work front area, resulting in the temporary removal of specimens that use these areas for feeding/resting, with the species moving to neighboring areas with similar conditions. The effect will be insignificant </w:t>
            </w:r>
            <w:r w:rsidRPr="00C96230">
              <w:rPr>
                <w:rFonts w:ascii="Verdana" w:hAnsi="Verdana"/>
                <w:spacing w:val="-5"/>
                <w:sz w:val="18"/>
                <w:szCs w:val="18"/>
              </w:rPr>
              <w:t>and</w:t>
            </w:r>
          </w:p>
          <w:p w14:paraId="6BA0C4C7" w14:textId="77777777" w:rsidR="008715BE" w:rsidRPr="00C96230" w:rsidRDefault="00000000">
            <w:pPr>
              <w:pStyle w:val="TableParagraph"/>
              <w:spacing w:line="159" w:lineRule="exact"/>
              <w:ind w:left="117"/>
              <w:jc w:val="both"/>
              <w:rPr>
                <w:rFonts w:ascii="Verdana" w:hAnsi="Verdana"/>
                <w:sz w:val="18"/>
                <w:szCs w:val="18"/>
              </w:rPr>
            </w:pPr>
            <w:r w:rsidRPr="00C96230">
              <w:rPr>
                <w:rFonts w:ascii="Verdana" w:hAnsi="Verdana"/>
                <w:sz w:val="18"/>
                <w:szCs w:val="18"/>
              </w:rPr>
              <w:t xml:space="preserve">temporary, as the work will be carried out </w:t>
            </w:r>
            <w:r w:rsidRPr="00C96230">
              <w:rPr>
                <w:rFonts w:ascii="Verdana" w:hAnsi="Verdana"/>
                <w:spacing w:val="-2"/>
                <w:sz w:val="18"/>
                <w:szCs w:val="18"/>
              </w:rPr>
              <w:t>in stages.</w:t>
            </w:r>
          </w:p>
        </w:tc>
        <w:tc>
          <w:tcPr>
            <w:tcW w:w="1889" w:type="dxa"/>
          </w:tcPr>
          <w:p w14:paraId="11A9F1AB" w14:textId="77777777" w:rsidR="008715BE" w:rsidRPr="00C96230" w:rsidRDefault="00000000">
            <w:pPr>
              <w:pStyle w:val="TableParagraph"/>
              <w:tabs>
                <w:tab w:val="left" w:pos="944"/>
                <w:tab w:val="left" w:pos="1417"/>
                <w:tab w:val="left" w:pos="1666"/>
              </w:tabs>
              <w:spacing w:before="8"/>
              <w:ind w:left="119" w:right="81"/>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z w:val="18"/>
                <w:szCs w:val="18"/>
              </w:rPr>
              <w:t xml:space="preserve">carried out in the field </w:t>
            </w:r>
            <w:r w:rsidRPr="00C96230">
              <w:rPr>
                <w:rFonts w:ascii="Verdana" w:hAnsi="Verdana"/>
                <w:spacing w:val="-4"/>
                <w:sz w:val="18"/>
                <w:szCs w:val="18"/>
              </w:rPr>
              <w:t>with</w:t>
            </w:r>
            <w:r w:rsidRPr="00C96230">
              <w:rPr>
                <w:rFonts w:ascii="Verdana" w:hAnsi="Verdana"/>
                <w:sz w:val="18"/>
                <w:szCs w:val="18"/>
              </w:rPr>
              <w:tab/>
            </w:r>
            <w:r w:rsidRPr="00C96230">
              <w:rPr>
                <w:rFonts w:ascii="Verdana" w:hAnsi="Verdana"/>
                <w:spacing w:val="-6"/>
                <w:sz w:val="18"/>
                <w:szCs w:val="18"/>
              </w:rPr>
              <w:t>the</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pacing w:val="-4"/>
                <w:sz w:val="18"/>
                <w:szCs w:val="18"/>
              </w:rPr>
              <w:t xml:space="preserve">of </w:t>
            </w:r>
            <w:r w:rsidRPr="00C96230">
              <w:rPr>
                <w:rFonts w:ascii="Verdana" w:hAnsi="Verdana"/>
                <w:sz w:val="18"/>
                <w:szCs w:val="18"/>
              </w:rPr>
              <w:t>the observed species. GIS analysis</w:t>
            </w:r>
          </w:p>
        </w:tc>
      </w:tr>
      <w:tr w:rsidR="008715BE" w:rsidRPr="00C96230" w14:paraId="08349334" w14:textId="77777777">
        <w:trPr>
          <w:trHeight w:val="1557"/>
        </w:trPr>
        <w:tc>
          <w:tcPr>
            <w:tcW w:w="523" w:type="dxa"/>
            <w:vMerge/>
            <w:tcBorders>
              <w:top w:val="nil"/>
            </w:tcBorders>
            <w:textDirection w:val="btLr"/>
          </w:tcPr>
          <w:p w14:paraId="4E6C4BDB" w14:textId="77777777" w:rsidR="008715BE" w:rsidRPr="00C96230" w:rsidRDefault="008715BE">
            <w:pPr>
              <w:rPr>
                <w:rFonts w:ascii="Verdana" w:hAnsi="Verdana"/>
                <w:sz w:val="18"/>
                <w:szCs w:val="18"/>
              </w:rPr>
            </w:pPr>
          </w:p>
        </w:tc>
        <w:tc>
          <w:tcPr>
            <w:tcW w:w="2323" w:type="dxa"/>
          </w:tcPr>
          <w:p w14:paraId="2BA6E59B"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Construction of </w:t>
            </w:r>
            <w:r w:rsidRPr="00C96230">
              <w:rPr>
                <w:rFonts w:ascii="Verdana" w:hAnsi="Verdana"/>
                <w:spacing w:val="-4"/>
                <w:sz w:val="18"/>
                <w:szCs w:val="18"/>
              </w:rPr>
              <w:t xml:space="preserve">access </w:t>
            </w:r>
            <w:r w:rsidRPr="00C96230">
              <w:rPr>
                <w:rFonts w:ascii="Verdana" w:hAnsi="Verdana"/>
                <w:sz w:val="18"/>
                <w:szCs w:val="18"/>
              </w:rPr>
              <w:t>roads</w:t>
            </w:r>
          </w:p>
        </w:tc>
        <w:tc>
          <w:tcPr>
            <w:tcW w:w="3149" w:type="dxa"/>
          </w:tcPr>
          <w:p w14:paraId="3CC32501" w14:textId="77777777" w:rsidR="008715BE" w:rsidRPr="00C96230" w:rsidRDefault="00000000">
            <w:pPr>
              <w:pStyle w:val="TableParagraph"/>
              <w:spacing w:before="8" w:line="195" w:lineRule="exact"/>
              <w:ind w:left="108"/>
              <w:rPr>
                <w:rFonts w:ascii="Verdana" w:hAnsi="Verdana"/>
                <w:sz w:val="18"/>
                <w:szCs w:val="18"/>
              </w:rPr>
            </w:pPr>
            <w:r w:rsidRPr="00C96230">
              <w:rPr>
                <w:rFonts w:ascii="Verdana" w:hAnsi="Verdana"/>
                <w:spacing w:val="33"/>
                <w:sz w:val="18"/>
                <w:szCs w:val="18"/>
              </w:rPr>
              <w:t xml:space="preserve">  </w:t>
            </w:r>
            <w:r w:rsidRPr="00C96230">
              <w:rPr>
                <w:rFonts w:ascii="Verdana" w:hAnsi="Verdana"/>
                <w:spacing w:val="-10"/>
                <w:sz w:val="18"/>
                <w:szCs w:val="18"/>
              </w:rPr>
              <w:t xml:space="preserve"> e </w:t>
            </w:r>
            <w:r w:rsidRPr="00C96230">
              <w:rPr>
                <w:rFonts w:ascii="Verdana" w:hAnsi="Verdana"/>
                <w:spacing w:val="-2"/>
                <w:sz w:val="18"/>
                <w:szCs w:val="18"/>
              </w:rPr>
              <w:t xml:space="preserve">temporary/permanent occupation </w:t>
            </w:r>
            <w:r w:rsidRPr="00C96230">
              <w:rPr>
                <w:rFonts w:ascii="Verdana" w:hAnsi="Verdana"/>
                <w:spacing w:val="-10"/>
                <w:sz w:val="18"/>
                <w:szCs w:val="18"/>
              </w:rPr>
              <w:t>of</w:t>
            </w:r>
          </w:p>
          <w:p w14:paraId="256F6BF6" w14:textId="77777777" w:rsidR="008715BE" w:rsidRPr="00C96230" w:rsidRDefault="00000000">
            <w:pPr>
              <w:pStyle w:val="TableParagraph"/>
              <w:spacing w:line="195" w:lineRule="exact"/>
              <w:ind w:left="108"/>
              <w:rPr>
                <w:rFonts w:ascii="Verdana" w:hAnsi="Verdana"/>
                <w:sz w:val="18"/>
                <w:szCs w:val="18"/>
              </w:rPr>
            </w:pPr>
            <w:r w:rsidRPr="00C96230">
              <w:rPr>
                <w:rFonts w:ascii="Verdana" w:hAnsi="Verdana"/>
                <w:sz w:val="18"/>
                <w:szCs w:val="18"/>
              </w:rPr>
              <w:t xml:space="preserve">of </w:t>
            </w:r>
            <w:r w:rsidRPr="00C96230">
              <w:rPr>
                <w:rFonts w:ascii="Verdana" w:hAnsi="Verdana"/>
                <w:spacing w:val="-2"/>
                <w:sz w:val="18"/>
                <w:szCs w:val="18"/>
              </w:rPr>
              <w:t xml:space="preserve">land </w:t>
            </w:r>
            <w:r w:rsidRPr="00C96230">
              <w:rPr>
                <w:rFonts w:ascii="Verdana" w:hAnsi="Verdana"/>
                <w:sz w:val="18"/>
                <w:szCs w:val="18"/>
              </w:rPr>
              <w:t>areas</w:t>
            </w:r>
          </w:p>
        </w:tc>
        <w:tc>
          <w:tcPr>
            <w:tcW w:w="1106" w:type="dxa"/>
          </w:tcPr>
          <w:p w14:paraId="3E8D729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5372DE5B"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78C9236B"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5760C252"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360BA6C5"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7809AB61" w14:textId="77777777" w:rsidR="008715BE" w:rsidRPr="00C96230" w:rsidRDefault="008715BE">
            <w:pPr>
              <w:rPr>
                <w:rFonts w:ascii="Verdana" w:hAnsi="Verdana"/>
                <w:sz w:val="18"/>
                <w:szCs w:val="18"/>
              </w:rPr>
            </w:pPr>
          </w:p>
        </w:tc>
        <w:tc>
          <w:tcPr>
            <w:tcW w:w="1897" w:type="dxa"/>
          </w:tcPr>
          <w:p w14:paraId="2600A3F2"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p w14:paraId="019E5090" w14:textId="77777777" w:rsidR="008715BE" w:rsidRPr="00C96230" w:rsidRDefault="00000000">
            <w:pPr>
              <w:pStyle w:val="TableParagraph"/>
              <w:spacing w:line="193" w:lineRule="exact"/>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31854907" w14:textId="77777777" w:rsidR="008715BE" w:rsidRPr="00C96230" w:rsidRDefault="00000000">
            <w:pPr>
              <w:pStyle w:val="TableParagraph"/>
              <w:spacing w:before="8"/>
              <w:ind w:left="117" w:right="82"/>
              <w:jc w:val="both"/>
              <w:rPr>
                <w:rFonts w:ascii="Verdana" w:hAnsi="Verdana"/>
                <w:sz w:val="18"/>
                <w:szCs w:val="18"/>
              </w:rPr>
            </w:pPr>
            <w:r w:rsidRPr="00C96230">
              <w:rPr>
                <w:rFonts w:ascii="Verdana" w:hAnsi="Verdana"/>
                <w:sz w:val="18"/>
                <w:szCs w:val="18"/>
              </w:rPr>
              <w:t xml:space="preserve">The impact will be felt outside the protected area, in the work front area, resulting in the temporary removal of specimens that use these areas for feeding/resting, with the species moving to neighboring areas with similar conditions. The effect will be insignificant </w:t>
            </w:r>
            <w:r w:rsidRPr="00C96230">
              <w:rPr>
                <w:rFonts w:ascii="Verdana" w:hAnsi="Verdana"/>
                <w:spacing w:val="-5"/>
                <w:sz w:val="18"/>
                <w:szCs w:val="18"/>
              </w:rPr>
              <w:t>and</w:t>
            </w:r>
          </w:p>
          <w:p w14:paraId="614F6B88" w14:textId="77777777" w:rsidR="008715BE" w:rsidRPr="00C96230" w:rsidRDefault="00000000">
            <w:pPr>
              <w:pStyle w:val="TableParagraph"/>
              <w:spacing w:line="162" w:lineRule="exact"/>
              <w:ind w:left="117"/>
              <w:jc w:val="both"/>
              <w:rPr>
                <w:rFonts w:ascii="Verdana" w:hAnsi="Verdana"/>
                <w:sz w:val="18"/>
                <w:szCs w:val="18"/>
              </w:rPr>
            </w:pPr>
            <w:r w:rsidRPr="00C96230">
              <w:rPr>
                <w:rFonts w:ascii="Verdana" w:hAnsi="Verdana"/>
                <w:sz w:val="18"/>
                <w:szCs w:val="18"/>
              </w:rPr>
              <w:t xml:space="preserve">temporary, as the work will be carried out </w:t>
            </w:r>
            <w:r w:rsidRPr="00C96230">
              <w:rPr>
                <w:rFonts w:ascii="Verdana" w:hAnsi="Verdana"/>
                <w:spacing w:val="-2"/>
                <w:sz w:val="18"/>
                <w:szCs w:val="18"/>
              </w:rPr>
              <w:t>in stages.</w:t>
            </w:r>
          </w:p>
        </w:tc>
        <w:tc>
          <w:tcPr>
            <w:tcW w:w="1889" w:type="dxa"/>
          </w:tcPr>
          <w:p w14:paraId="3EDD2B84" w14:textId="77777777" w:rsidR="008715BE" w:rsidRPr="00C96230" w:rsidRDefault="00000000">
            <w:pPr>
              <w:pStyle w:val="TableParagraph"/>
              <w:tabs>
                <w:tab w:val="left" w:pos="944"/>
                <w:tab w:val="left" w:pos="1417"/>
                <w:tab w:val="left" w:pos="1666"/>
              </w:tabs>
              <w:spacing w:before="8"/>
              <w:ind w:left="119" w:right="81"/>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z w:val="18"/>
                <w:szCs w:val="18"/>
              </w:rPr>
              <w:t xml:space="preserve">carried out in the field </w:t>
            </w:r>
            <w:r w:rsidRPr="00C96230">
              <w:rPr>
                <w:rFonts w:ascii="Verdana" w:hAnsi="Verdana"/>
                <w:spacing w:val="-4"/>
                <w:sz w:val="18"/>
                <w:szCs w:val="18"/>
              </w:rPr>
              <w:t>with</w:t>
            </w:r>
            <w:r w:rsidRPr="00C96230">
              <w:rPr>
                <w:rFonts w:ascii="Verdana" w:hAnsi="Verdana"/>
                <w:sz w:val="18"/>
                <w:szCs w:val="18"/>
              </w:rPr>
              <w:tab/>
            </w:r>
            <w:r w:rsidRPr="00C96230">
              <w:rPr>
                <w:rFonts w:ascii="Verdana" w:hAnsi="Verdana"/>
                <w:spacing w:val="-6"/>
                <w:sz w:val="18"/>
                <w:szCs w:val="18"/>
              </w:rPr>
              <w:t>the</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pacing w:val="-4"/>
                <w:sz w:val="18"/>
                <w:szCs w:val="18"/>
              </w:rPr>
              <w:t xml:space="preserve">of </w:t>
            </w:r>
            <w:r w:rsidRPr="00C96230">
              <w:rPr>
                <w:rFonts w:ascii="Verdana" w:hAnsi="Verdana"/>
                <w:sz w:val="18"/>
                <w:szCs w:val="18"/>
              </w:rPr>
              <w:t>the observed species.</w:t>
            </w:r>
          </w:p>
          <w:p w14:paraId="45DB46B6" w14:textId="77777777" w:rsidR="008715BE" w:rsidRPr="00C96230" w:rsidRDefault="00000000">
            <w:pPr>
              <w:pStyle w:val="TableParagraph"/>
              <w:spacing w:line="162" w:lineRule="exact"/>
              <w:ind w:left="119"/>
              <w:rPr>
                <w:rFonts w:ascii="Verdana" w:hAnsi="Verdana"/>
                <w:sz w:val="18"/>
                <w:szCs w:val="18"/>
              </w:rPr>
            </w:pPr>
            <w:r w:rsidRPr="00C96230">
              <w:rPr>
                <w:rFonts w:ascii="Verdana" w:hAnsi="Verdana"/>
                <w:spacing w:val="-5"/>
                <w:sz w:val="18"/>
                <w:szCs w:val="18"/>
              </w:rPr>
              <w:t xml:space="preserve">GIS </w:t>
            </w:r>
            <w:r w:rsidRPr="00C96230">
              <w:rPr>
                <w:rFonts w:ascii="Verdana" w:hAnsi="Verdana"/>
                <w:sz w:val="18"/>
                <w:szCs w:val="18"/>
              </w:rPr>
              <w:t>analysis</w:t>
            </w:r>
          </w:p>
        </w:tc>
      </w:tr>
      <w:tr w:rsidR="008715BE" w:rsidRPr="00C96230" w14:paraId="066B9CA5" w14:textId="77777777">
        <w:trPr>
          <w:trHeight w:val="1554"/>
        </w:trPr>
        <w:tc>
          <w:tcPr>
            <w:tcW w:w="523" w:type="dxa"/>
            <w:vMerge/>
            <w:tcBorders>
              <w:top w:val="nil"/>
            </w:tcBorders>
            <w:textDirection w:val="btLr"/>
          </w:tcPr>
          <w:p w14:paraId="63FFF89F" w14:textId="77777777" w:rsidR="008715BE" w:rsidRPr="00C96230" w:rsidRDefault="008715BE">
            <w:pPr>
              <w:rPr>
                <w:rFonts w:ascii="Verdana" w:hAnsi="Verdana"/>
                <w:sz w:val="18"/>
                <w:szCs w:val="18"/>
              </w:rPr>
            </w:pPr>
          </w:p>
        </w:tc>
        <w:tc>
          <w:tcPr>
            <w:tcW w:w="2323" w:type="dxa"/>
          </w:tcPr>
          <w:p w14:paraId="6DF1D795" w14:textId="77777777" w:rsidR="008715BE" w:rsidRPr="00C96230" w:rsidRDefault="00000000">
            <w:pPr>
              <w:pStyle w:val="TableParagraph"/>
              <w:spacing w:before="8" w:line="195" w:lineRule="exact"/>
              <w:ind w:left="105"/>
              <w:rPr>
                <w:rFonts w:ascii="Verdana" w:hAnsi="Verdana"/>
                <w:sz w:val="18"/>
                <w:szCs w:val="18"/>
              </w:rPr>
            </w:pPr>
            <w:r w:rsidRPr="00C96230">
              <w:rPr>
                <w:rFonts w:ascii="Verdana" w:hAnsi="Verdana"/>
                <w:spacing w:val="46"/>
                <w:sz w:val="18"/>
                <w:szCs w:val="18"/>
              </w:rPr>
              <w:t xml:space="preserve">  </w:t>
            </w:r>
            <w:r w:rsidRPr="00C96230">
              <w:rPr>
                <w:rFonts w:ascii="Verdana" w:hAnsi="Verdana"/>
                <w:sz w:val="18"/>
                <w:szCs w:val="18"/>
              </w:rPr>
              <w:t xml:space="preserve"> works by</w:t>
            </w:r>
            <w:r w:rsidRPr="00C96230">
              <w:rPr>
                <w:rFonts w:ascii="Verdana" w:hAnsi="Verdana"/>
                <w:spacing w:val="48"/>
                <w:sz w:val="18"/>
                <w:szCs w:val="18"/>
              </w:rPr>
              <w:t xml:space="preserve">  </w:t>
            </w:r>
            <w:r w:rsidRPr="00C96230">
              <w:rPr>
                <w:rFonts w:ascii="Verdana" w:hAnsi="Verdana"/>
                <w:spacing w:val="-2"/>
                <w:sz w:val="18"/>
                <w:szCs w:val="18"/>
              </w:rPr>
              <w:t xml:space="preserve"> earthworks</w:t>
            </w:r>
          </w:p>
          <w:p w14:paraId="71E85794" w14:textId="77777777" w:rsidR="008715BE" w:rsidRPr="00C96230" w:rsidRDefault="00000000">
            <w:pPr>
              <w:pStyle w:val="TableParagraph"/>
              <w:tabs>
                <w:tab w:val="left" w:pos="1444"/>
              </w:tabs>
              <w:spacing w:line="194" w:lineRule="exact"/>
              <w:ind w:left="105"/>
              <w:rPr>
                <w:rFonts w:ascii="Verdana" w:hAnsi="Verdana"/>
                <w:sz w:val="18"/>
                <w:szCs w:val="18"/>
              </w:rPr>
            </w:pPr>
            <w:r w:rsidRPr="00C96230">
              <w:rPr>
                <w:rFonts w:ascii="Verdana" w:hAnsi="Verdana"/>
                <w:spacing w:val="-2"/>
                <w:sz w:val="18"/>
                <w:szCs w:val="18"/>
              </w:rPr>
              <w:t>(leveling</w:t>
            </w:r>
            <w:r w:rsidRPr="00C96230">
              <w:rPr>
                <w:rFonts w:ascii="Verdana" w:hAnsi="Verdana"/>
                <w:sz w:val="18"/>
                <w:szCs w:val="18"/>
              </w:rPr>
              <w:tab/>
            </w:r>
            <w:r w:rsidRPr="00C96230">
              <w:rPr>
                <w:rFonts w:ascii="Verdana" w:hAnsi="Verdana"/>
                <w:spacing w:val="-2"/>
                <w:sz w:val="18"/>
                <w:szCs w:val="18"/>
              </w:rPr>
              <w:t>of the terrain,</w:t>
            </w:r>
          </w:p>
          <w:p w14:paraId="7974AAB2" w14:textId="77777777" w:rsidR="008715BE" w:rsidRPr="00C96230" w:rsidRDefault="00000000">
            <w:pPr>
              <w:pStyle w:val="TableParagraph"/>
              <w:tabs>
                <w:tab w:val="left" w:pos="1446"/>
              </w:tabs>
              <w:spacing w:line="194" w:lineRule="exact"/>
              <w:ind w:left="105"/>
              <w:rPr>
                <w:rFonts w:ascii="Verdana" w:hAnsi="Verdana"/>
                <w:sz w:val="18"/>
                <w:szCs w:val="18"/>
              </w:rPr>
            </w:pPr>
            <w:r w:rsidRPr="00C96230">
              <w:rPr>
                <w:rFonts w:ascii="Verdana" w:hAnsi="Verdana"/>
                <w:spacing w:val="-2"/>
                <w:sz w:val="18"/>
                <w:szCs w:val="18"/>
              </w:rPr>
              <w:t>excavations,</w:t>
            </w:r>
            <w:r w:rsidRPr="00C96230">
              <w:rPr>
                <w:rFonts w:ascii="Verdana" w:hAnsi="Verdana"/>
                <w:sz w:val="18"/>
                <w:szCs w:val="18"/>
              </w:rPr>
              <w:tab/>
            </w:r>
            <w:r w:rsidRPr="00C96230">
              <w:rPr>
                <w:rFonts w:ascii="Verdana" w:hAnsi="Verdana"/>
                <w:spacing w:val="-2"/>
                <w:sz w:val="18"/>
                <w:szCs w:val="18"/>
              </w:rPr>
              <w:t>excavations,</w:t>
            </w:r>
          </w:p>
          <w:p w14:paraId="0BC55817" w14:textId="77777777" w:rsidR="008715BE" w:rsidRPr="00C96230" w:rsidRDefault="00000000">
            <w:pPr>
              <w:pStyle w:val="TableParagraph"/>
              <w:spacing w:line="195" w:lineRule="exact"/>
              <w:ind w:left="105"/>
              <w:rPr>
                <w:rFonts w:ascii="Verdana" w:hAnsi="Verdana"/>
                <w:sz w:val="18"/>
                <w:szCs w:val="18"/>
              </w:rPr>
            </w:pPr>
            <w:r w:rsidRPr="00C96230">
              <w:rPr>
                <w:rFonts w:ascii="Verdana" w:hAnsi="Verdana"/>
                <w:spacing w:val="-2"/>
                <w:sz w:val="18"/>
                <w:szCs w:val="18"/>
              </w:rPr>
              <w:t>backfilling)</w:t>
            </w:r>
          </w:p>
        </w:tc>
        <w:tc>
          <w:tcPr>
            <w:tcW w:w="3149" w:type="dxa"/>
          </w:tcPr>
          <w:p w14:paraId="2CD133B6"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70B9A04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1C470230"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6B2BB40A"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06A6E437"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4B8DB9C4"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171C7F5A" w14:textId="77777777" w:rsidR="008715BE" w:rsidRPr="00C96230" w:rsidRDefault="008715BE">
            <w:pPr>
              <w:rPr>
                <w:rFonts w:ascii="Verdana" w:hAnsi="Verdana"/>
                <w:sz w:val="18"/>
                <w:szCs w:val="18"/>
              </w:rPr>
            </w:pPr>
          </w:p>
        </w:tc>
        <w:tc>
          <w:tcPr>
            <w:tcW w:w="1897" w:type="dxa"/>
          </w:tcPr>
          <w:p w14:paraId="3B4E6FCB"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p w14:paraId="4B239F41" w14:textId="77777777" w:rsidR="008715BE" w:rsidRPr="00C96230" w:rsidRDefault="00000000">
            <w:pPr>
              <w:pStyle w:val="TableParagraph"/>
              <w:spacing w:line="193" w:lineRule="exact"/>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30A158A8" w14:textId="77777777" w:rsidR="008715BE" w:rsidRPr="00C96230" w:rsidRDefault="00000000">
            <w:pPr>
              <w:pStyle w:val="TableParagraph"/>
              <w:spacing w:before="8"/>
              <w:ind w:left="117" w:right="86"/>
              <w:jc w:val="both"/>
              <w:rPr>
                <w:rFonts w:ascii="Verdana" w:hAnsi="Verdana"/>
                <w:sz w:val="18"/>
                <w:szCs w:val="18"/>
              </w:rPr>
            </w:pPr>
            <w:r w:rsidRPr="00C96230">
              <w:rPr>
                <w:rFonts w:ascii="Verdana" w:hAnsi="Verdana"/>
                <w:sz w:val="18"/>
                <w:szCs w:val="18"/>
              </w:rPr>
              <w:t>Possible disruption of the activity of a maximum of 2 to 3 individuals</w:t>
            </w:r>
          </w:p>
          <w:p w14:paraId="38D2E8EB"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0E3E4894"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 xml:space="preserve">The 30 dB noise contour will be felt at distances of up to 1.5 km around </w:t>
            </w:r>
            <w:r w:rsidRPr="00C96230">
              <w:rPr>
                <w:rFonts w:ascii="Verdana" w:hAnsi="Verdana"/>
                <w:spacing w:val="-4"/>
                <w:sz w:val="18"/>
                <w:szCs w:val="18"/>
              </w:rPr>
              <w:t>the work area</w:t>
            </w:r>
          </w:p>
          <w:p w14:paraId="06731B01" w14:textId="77777777" w:rsidR="008715BE" w:rsidRPr="00C96230" w:rsidRDefault="00000000">
            <w:pPr>
              <w:pStyle w:val="TableParagraph"/>
              <w:spacing w:line="164" w:lineRule="exact"/>
              <w:ind w:left="117"/>
              <w:jc w:val="both"/>
              <w:rPr>
                <w:rFonts w:ascii="Verdana" w:hAnsi="Verdana"/>
                <w:sz w:val="18"/>
                <w:szCs w:val="18"/>
              </w:rPr>
            </w:pPr>
            <w:r w:rsidRPr="00C96230">
              <w:rPr>
                <w:rFonts w:ascii="Verdana" w:hAnsi="Verdana"/>
                <w:spacing w:val="-2"/>
                <w:sz w:val="18"/>
                <w:szCs w:val="18"/>
              </w:rPr>
              <w:t>work area</w:t>
            </w:r>
          </w:p>
        </w:tc>
        <w:tc>
          <w:tcPr>
            <w:tcW w:w="1889" w:type="dxa"/>
          </w:tcPr>
          <w:p w14:paraId="08DFA28C" w14:textId="77777777" w:rsidR="008715BE" w:rsidRPr="00C96230" w:rsidRDefault="00000000">
            <w:pPr>
              <w:pStyle w:val="TableParagraph"/>
              <w:tabs>
                <w:tab w:val="left" w:pos="944"/>
                <w:tab w:val="left" w:pos="1417"/>
                <w:tab w:val="left" w:pos="1666"/>
              </w:tabs>
              <w:spacing w:line="194" w:lineRule="exact"/>
              <w:ind w:left="119" w:right="81"/>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z w:val="18"/>
                <w:szCs w:val="18"/>
              </w:rPr>
              <w:t xml:space="preserve">carried out in the field </w:t>
            </w:r>
            <w:r w:rsidRPr="00C96230">
              <w:rPr>
                <w:rFonts w:ascii="Verdana" w:hAnsi="Verdana"/>
                <w:spacing w:val="-4"/>
                <w:sz w:val="18"/>
                <w:szCs w:val="18"/>
              </w:rPr>
              <w:t>with</w:t>
            </w:r>
            <w:r w:rsidRPr="00C96230">
              <w:rPr>
                <w:rFonts w:ascii="Verdana" w:hAnsi="Verdana"/>
                <w:sz w:val="18"/>
                <w:szCs w:val="18"/>
              </w:rPr>
              <w:tab/>
            </w:r>
            <w:r w:rsidRPr="00C96230">
              <w:rPr>
                <w:rFonts w:ascii="Verdana" w:hAnsi="Verdana"/>
                <w:spacing w:val="-6"/>
                <w:sz w:val="18"/>
                <w:szCs w:val="18"/>
              </w:rPr>
              <w:t>the</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pacing w:val="-4"/>
                <w:sz w:val="18"/>
                <w:szCs w:val="18"/>
              </w:rPr>
              <w:t xml:space="preserve">of </w:t>
            </w:r>
            <w:r w:rsidRPr="00C96230">
              <w:rPr>
                <w:rFonts w:ascii="Verdana" w:hAnsi="Verdana"/>
                <w:sz w:val="18"/>
                <w:szCs w:val="18"/>
              </w:rPr>
              <w:t>the observed species. GIS analysis</w:t>
            </w:r>
          </w:p>
        </w:tc>
      </w:tr>
    </w:tbl>
    <w:p w14:paraId="696519DD" w14:textId="77777777" w:rsidR="008715BE" w:rsidRPr="00C96230" w:rsidRDefault="008715BE">
      <w:pPr>
        <w:pStyle w:val="TableParagraph"/>
        <w:spacing w:line="194" w:lineRule="exact"/>
        <w:rPr>
          <w:rFonts w:ascii="Verdana" w:hAnsi="Verdana"/>
          <w:sz w:val="18"/>
          <w:szCs w:val="18"/>
        </w:rPr>
        <w:sectPr w:rsidR="008715BE" w:rsidRPr="00C96230">
          <w:pgSz w:w="23820" w:h="16840" w:orient="landscape"/>
          <w:pgMar w:top="1120" w:right="850" w:bottom="1020" w:left="566" w:header="766" w:footer="810" w:gutter="0"/>
          <w:cols w:space="708"/>
        </w:sectPr>
      </w:pPr>
    </w:p>
    <w:p w14:paraId="669E2EC4"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550279B3" w14:textId="77777777">
        <w:trPr>
          <w:trHeight w:val="842"/>
        </w:trPr>
        <w:tc>
          <w:tcPr>
            <w:tcW w:w="2846" w:type="dxa"/>
            <w:gridSpan w:val="2"/>
            <w:shd w:val="clear" w:color="auto" w:fill="00A1E8"/>
          </w:tcPr>
          <w:p w14:paraId="5D74FC3A" w14:textId="77777777" w:rsidR="008715BE" w:rsidRPr="00C96230" w:rsidRDefault="008715BE">
            <w:pPr>
              <w:pStyle w:val="TableParagraph"/>
              <w:spacing w:before="136"/>
              <w:rPr>
                <w:rFonts w:ascii="Verdana" w:hAnsi="Verdana"/>
                <w:b/>
                <w:sz w:val="18"/>
                <w:szCs w:val="18"/>
              </w:rPr>
            </w:pPr>
          </w:p>
          <w:p w14:paraId="6BFD33E7"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6BBD2844" w14:textId="77777777" w:rsidR="008715BE" w:rsidRPr="00C96230" w:rsidRDefault="008715BE">
            <w:pPr>
              <w:pStyle w:val="TableParagraph"/>
              <w:spacing w:before="136"/>
              <w:rPr>
                <w:rFonts w:ascii="Verdana" w:hAnsi="Verdana"/>
                <w:b/>
                <w:sz w:val="18"/>
                <w:szCs w:val="18"/>
              </w:rPr>
            </w:pPr>
          </w:p>
          <w:p w14:paraId="52BEA293"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766FD490" w14:textId="77777777" w:rsidR="008715BE" w:rsidRPr="00C96230" w:rsidRDefault="008715BE">
            <w:pPr>
              <w:pStyle w:val="TableParagraph"/>
              <w:spacing w:before="40"/>
              <w:rPr>
                <w:rFonts w:ascii="Verdana" w:hAnsi="Verdana"/>
                <w:b/>
                <w:sz w:val="18"/>
                <w:szCs w:val="18"/>
              </w:rPr>
            </w:pPr>
          </w:p>
          <w:p w14:paraId="3B3A9F7C"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53052599" w14:textId="77777777" w:rsidR="008715BE" w:rsidRPr="00C96230" w:rsidRDefault="008715BE">
            <w:pPr>
              <w:pStyle w:val="TableParagraph"/>
              <w:spacing w:before="40"/>
              <w:rPr>
                <w:rFonts w:ascii="Verdana" w:hAnsi="Verdana"/>
                <w:b/>
                <w:sz w:val="18"/>
                <w:szCs w:val="18"/>
              </w:rPr>
            </w:pPr>
          </w:p>
          <w:p w14:paraId="0780385A"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5CFE7909" w14:textId="77777777" w:rsidR="008715BE" w:rsidRPr="00C96230" w:rsidRDefault="008715BE">
            <w:pPr>
              <w:pStyle w:val="TableParagraph"/>
              <w:spacing w:before="40"/>
              <w:rPr>
                <w:rFonts w:ascii="Verdana" w:hAnsi="Verdana"/>
                <w:b/>
                <w:sz w:val="18"/>
                <w:szCs w:val="18"/>
              </w:rPr>
            </w:pPr>
          </w:p>
          <w:p w14:paraId="29762BC8"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357A6582" w14:textId="77777777" w:rsidR="008715BE" w:rsidRPr="00C96230" w:rsidRDefault="008715BE">
            <w:pPr>
              <w:pStyle w:val="TableParagraph"/>
              <w:spacing w:before="40"/>
              <w:rPr>
                <w:rFonts w:ascii="Verdana" w:hAnsi="Verdana"/>
                <w:b/>
                <w:sz w:val="18"/>
                <w:szCs w:val="18"/>
              </w:rPr>
            </w:pPr>
          </w:p>
          <w:p w14:paraId="3394FB80"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75813E14"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7A378AA2" w14:textId="77777777" w:rsidR="008715BE" w:rsidRPr="00C96230" w:rsidRDefault="008715BE">
            <w:pPr>
              <w:pStyle w:val="TableParagraph"/>
              <w:spacing w:before="136"/>
              <w:rPr>
                <w:rFonts w:ascii="Verdana" w:hAnsi="Verdana"/>
                <w:b/>
                <w:sz w:val="18"/>
                <w:szCs w:val="18"/>
              </w:rPr>
            </w:pPr>
          </w:p>
          <w:p w14:paraId="3FCE7558"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6E787A9F" w14:textId="77777777" w:rsidR="008715BE" w:rsidRPr="00C96230" w:rsidRDefault="008715BE">
            <w:pPr>
              <w:pStyle w:val="TableParagraph"/>
              <w:spacing w:before="40"/>
              <w:rPr>
                <w:rFonts w:ascii="Verdana" w:hAnsi="Verdana"/>
                <w:b/>
                <w:sz w:val="18"/>
                <w:szCs w:val="18"/>
              </w:rPr>
            </w:pPr>
          </w:p>
          <w:p w14:paraId="1F0514CF"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pacing w:val="-10"/>
                <w:sz w:val="18"/>
                <w:szCs w:val="18"/>
              </w:rPr>
              <w:t>Target parameter/</w:t>
            </w:r>
          </w:p>
          <w:p w14:paraId="20FC042C"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7F38BD95" w14:textId="77777777" w:rsidR="008715BE" w:rsidRPr="00C96230" w:rsidRDefault="008715BE">
            <w:pPr>
              <w:pStyle w:val="TableParagraph"/>
              <w:spacing w:before="40"/>
              <w:rPr>
                <w:rFonts w:ascii="Verdana" w:hAnsi="Verdana"/>
                <w:b/>
                <w:sz w:val="18"/>
                <w:szCs w:val="18"/>
              </w:rPr>
            </w:pPr>
          </w:p>
          <w:p w14:paraId="3ECE06C6"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00E6A756" w14:textId="77777777" w:rsidR="008715BE" w:rsidRPr="00C96230" w:rsidRDefault="008715BE">
            <w:pPr>
              <w:pStyle w:val="TableParagraph"/>
              <w:spacing w:before="40"/>
              <w:rPr>
                <w:rFonts w:ascii="Verdana" w:hAnsi="Verdana"/>
                <w:b/>
                <w:sz w:val="18"/>
                <w:szCs w:val="18"/>
              </w:rPr>
            </w:pPr>
          </w:p>
          <w:p w14:paraId="2BAE33B5"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z w:val="18"/>
                <w:szCs w:val="18"/>
              </w:rPr>
              <w:t xml:space="preserve">Method of </w:t>
            </w:r>
            <w:r w:rsidRPr="00C96230">
              <w:rPr>
                <w:rFonts w:ascii="Verdana" w:hAnsi="Verdana"/>
                <w:b/>
                <w:color w:val="FFFFFF"/>
                <w:spacing w:val="-2"/>
                <w:sz w:val="18"/>
                <w:szCs w:val="18"/>
              </w:rPr>
              <w:t>quantification</w:t>
            </w:r>
          </w:p>
        </w:tc>
      </w:tr>
      <w:tr w:rsidR="008715BE" w:rsidRPr="00C96230" w14:paraId="590AE39F" w14:textId="77777777">
        <w:trPr>
          <w:trHeight w:val="1468"/>
        </w:trPr>
        <w:tc>
          <w:tcPr>
            <w:tcW w:w="523" w:type="dxa"/>
            <w:vMerge w:val="restart"/>
          </w:tcPr>
          <w:p w14:paraId="5B03B04A" w14:textId="77777777" w:rsidR="008715BE" w:rsidRPr="00C96230" w:rsidRDefault="008715BE">
            <w:pPr>
              <w:pStyle w:val="TableParagraph"/>
              <w:rPr>
                <w:rFonts w:ascii="Verdana" w:hAnsi="Verdana"/>
                <w:sz w:val="18"/>
                <w:szCs w:val="18"/>
              </w:rPr>
            </w:pPr>
          </w:p>
        </w:tc>
        <w:tc>
          <w:tcPr>
            <w:tcW w:w="2323" w:type="dxa"/>
          </w:tcPr>
          <w:p w14:paraId="378EEA63" w14:textId="77777777" w:rsidR="008715BE" w:rsidRPr="00C96230" w:rsidRDefault="008715BE">
            <w:pPr>
              <w:pStyle w:val="TableParagraph"/>
              <w:rPr>
                <w:rFonts w:ascii="Verdana" w:hAnsi="Verdana"/>
                <w:sz w:val="18"/>
                <w:szCs w:val="18"/>
              </w:rPr>
            </w:pPr>
          </w:p>
        </w:tc>
        <w:tc>
          <w:tcPr>
            <w:tcW w:w="3149" w:type="dxa"/>
          </w:tcPr>
          <w:p w14:paraId="00C2BA33" w14:textId="77777777" w:rsidR="008715BE" w:rsidRPr="00C96230" w:rsidRDefault="008715BE">
            <w:pPr>
              <w:pStyle w:val="TableParagraph"/>
              <w:rPr>
                <w:rFonts w:ascii="Verdana" w:hAnsi="Verdana"/>
                <w:sz w:val="18"/>
                <w:szCs w:val="18"/>
              </w:rPr>
            </w:pPr>
          </w:p>
        </w:tc>
        <w:tc>
          <w:tcPr>
            <w:tcW w:w="1106" w:type="dxa"/>
          </w:tcPr>
          <w:p w14:paraId="496DEF06" w14:textId="77777777" w:rsidR="008715BE" w:rsidRPr="00C96230" w:rsidRDefault="008715BE">
            <w:pPr>
              <w:pStyle w:val="TableParagraph"/>
              <w:rPr>
                <w:rFonts w:ascii="Verdana" w:hAnsi="Verdana"/>
                <w:sz w:val="18"/>
                <w:szCs w:val="18"/>
              </w:rPr>
            </w:pPr>
          </w:p>
        </w:tc>
        <w:tc>
          <w:tcPr>
            <w:tcW w:w="1108" w:type="dxa"/>
          </w:tcPr>
          <w:p w14:paraId="19779160" w14:textId="77777777" w:rsidR="008715BE" w:rsidRPr="00C96230" w:rsidRDefault="008715BE">
            <w:pPr>
              <w:pStyle w:val="TableParagraph"/>
              <w:rPr>
                <w:rFonts w:ascii="Verdana" w:hAnsi="Verdana"/>
                <w:sz w:val="18"/>
                <w:szCs w:val="18"/>
              </w:rPr>
            </w:pPr>
          </w:p>
        </w:tc>
        <w:tc>
          <w:tcPr>
            <w:tcW w:w="1211" w:type="dxa"/>
          </w:tcPr>
          <w:p w14:paraId="1B10C6CD" w14:textId="77777777" w:rsidR="008715BE" w:rsidRPr="00C96230" w:rsidRDefault="008715BE">
            <w:pPr>
              <w:pStyle w:val="TableParagraph"/>
              <w:rPr>
                <w:rFonts w:ascii="Verdana" w:hAnsi="Verdana"/>
                <w:sz w:val="18"/>
                <w:szCs w:val="18"/>
              </w:rPr>
            </w:pPr>
          </w:p>
        </w:tc>
        <w:tc>
          <w:tcPr>
            <w:tcW w:w="1389" w:type="dxa"/>
          </w:tcPr>
          <w:p w14:paraId="6DA75F6A" w14:textId="77777777" w:rsidR="008715BE" w:rsidRPr="00C96230" w:rsidRDefault="008715BE">
            <w:pPr>
              <w:pStyle w:val="TableParagraph"/>
              <w:rPr>
                <w:rFonts w:ascii="Verdana" w:hAnsi="Verdana"/>
                <w:sz w:val="18"/>
                <w:szCs w:val="18"/>
              </w:rPr>
            </w:pPr>
          </w:p>
        </w:tc>
        <w:tc>
          <w:tcPr>
            <w:tcW w:w="1201" w:type="dxa"/>
          </w:tcPr>
          <w:p w14:paraId="49046782" w14:textId="77777777" w:rsidR="008715BE" w:rsidRPr="00C96230" w:rsidRDefault="008715BE">
            <w:pPr>
              <w:pStyle w:val="TableParagraph"/>
              <w:rPr>
                <w:rFonts w:ascii="Verdana" w:hAnsi="Verdana"/>
                <w:sz w:val="18"/>
                <w:szCs w:val="18"/>
              </w:rPr>
            </w:pPr>
          </w:p>
        </w:tc>
        <w:tc>
          <w:tcPr>
            <w:tcW w:w="1736" w:type="dxa"/>
          </w:tcPr>
          <w:p w14:paraId="4903C5C3" w14:textId="77777777" w:rsidR="008715BE" w:rsidRPr="00C96230" w:rsidRDefault="008715BE">
            <w:pPr>
              <w:pStyle w:val="TableParagraph"/>
              <w:rPr>
                <w:rFonts w:ascii="Verdana" w:hAnsi="Verdana"/>
                <w:sz w:val="18"/>
                <w:szCs w:val="18"/>
              </w:rPr>
            </w:pPr>
          </w:p>
        </w:tc>
        <w:tc>
          <w:tcPr>
            <w:tcW w:w="1897" w:type="dxa"/>
          </w:tcPr>
          <w:p w14:paraId="30C69405" w14:textId="77777777" w:rsidR="008715BE" w:rsidRPr="00C96230" w:rsidRDefault="008715BE">
            <w:pPr>
              <w:pStyle w:val="TableParagraph"/>
              <w:rPr>
                <w:rFonts w:ascii="Verdana" w:hAnsi="Verdana"/>
                <w:sz w:val="18"/>
                <w:szCs w:val="18"/>
              </w:rPr>
            </w:pPr>
          </w:p>
        </w:tc>
        <w:tc>
          <w:tcPr>
            <w:tcW w:w="3860" w:type="dxa"/>
          </w:tcPr>
          <w:p w14:paraId="4D2956E9"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The impact occurs outside the boundaries of the </w:t>
            </w:r>
            <w:r w:rsidRPr="00C96230">
              <w:rPr>
                <w:rFonts w:ascii="Verdana" w:hAnsi="Verdana"/>
                <w:spacing w:val="-2"/>
                <w:sz w:val="18"/>
                <w:szCs w:val="18"/>
              </w:rPr>
              <w:t>protected</w:t>
            </w:r>
            <w:r w:rsidRPr="00C96230">
              <w:rPr>
                <w:rFonts w:ascii="Verdana" w:hAnsi="Verdana"/>
                <w:sz w:val="18"/>
                <w:szCs w:val="18"/>
              </w:rPr>
              <w:t xml:space="preserve"> area</w:t>
            </w:r>
          </w:p>
        </w:tc>
        <w:tc>
          <w:tcPr>
            <w:tcW w:w="1889" w:type="dxa"/>
          </w:tcPr>
          <w:p w14:paraId="45F81358" w14:textId="77777777" w:rsidR="008715BE" w:rsidRPr="00C96230" w:rsidRDefault="00000000">
            <w:pPr>
              <w:pStyle w:val="TableParagraph"/>
              <w:tabs>
                <w:tab w:val="left" w:pos="1417"/>
              </w:tabs>
              <w:spacing w:before="8"/>
              <w:ind w:left="119" w:right="82"/>
              <w:rPr>
                <w:rFonts w:ascii="Verdana" w:hAnsi="Verdana"/>
                <w:sz w:val="18"/>
                <w:szCs w:val="18"/>
              </w:rPr>
            </w:pPr>
            <w:r w:rsidRPr="00C96230">
              <w:rPr>
                <w:rFonts w:ascii="Verdana" w:hAnsi="Verdana"/>
                <w:spacing w:val="-2"/>
                <w:sz w:val="18"/>
                <w:szCs w:val="18"/>
              </w:rPr>
              <w:t>Modeling</w:t>
            </w:r>
            <w:r w:rsidRPr="00C96230">
              <w:rPr>
                <w:rFonts w:ascii="Verdana" w:hAnsi="Verdana"/>
                <w:sz w:val="18"/>
                <w:szCs w:val="18"/>
              </w:rPr>
              <w:tab/>
            </w:r>
            <w:r w:rsidRPr="00C96230">
              <w:rPr>
                <w:rFonts w:ascii="Verdana" w:hAnsi="Verdana"/>
                <w:spacing w:val="-2"/>
                <w:sz w:val="18"/>
                <w:szCs w:val="18"/>
              </w:rPr>
              <w:t xml:space="preserve">Noise </w:t>
            </w:r>
            <w:r w:rsidRPr="00C96230">
              <w:rPr>
                <w:rFonts w:ascii="Verdana" w:hAnsi="Verdana"/>
                <w:spacing w:val="-4"/>
                <w:sz w:val="18"/>
                <w:szCs w:val="18"/>
              </w:rPr>
              <w:t>level</w:t>
            </w:r>
          </w:p>
        </w:tc>
      </w:tr>
      <w:tr w:rsidR="008715BE" w:rsidRPr="00C96230" w14:paraId="35C460AD" w14:textId="77777777">
        <w:trPr>
          <w:trHeight w:val="777"/>
        </w:trPr>
        <w:tc>
          <w:tcPr>
            <w:tcW w:w="523" w:type="dxa"/>
            <w:vMerge/>
            <w:tcBorders>
              <w:top w:val="nil"/>
            </w:tcBorders>
          </w:tcPr>
          <w:p w14:paraId="11CB1DA3" w14:textId="77777777" w:rsidR="008715BE" w:rsidRPr="00C96230" w:rsidRDefault="008715BE">
            <w:pPr>
              <w:rPr>
                <w:rFonts w:ascii="Verdana" w:hAnsi="Verdana"/>
                <w:sz w:val="18"/>
                <w:szCs w:val="18"/>
              </w:rPr>
            </w:pPr>
          </w:p>
        </w:tc>
        <w:tc>
          <w:tcPr>
            <w:tcW w:w="2323" w:type="dxa"/>
          </w:tcPr>
          <w:p w14:paraId="383CA5A5" w14:textId="77777777" w:rsidR="008715BE" w:rsidRPr="00C96230" w:rsidRDefault="00000000">
            <w:pPr>
              <w:pStyle w:val="TableParagraph"/>
              <w:spacing w:before="8" w:line="195" w:lineRule="exact"/>
              <w:ind w:left="105"/>
              <w:rPr>
                <w:rFonts w:ascii="Verdana" w:hAnsi="Verdana"/>
                <w:sz w:val="18"/>
                <w:szCs w:val="18"/>
              </w:rPr>
            </w:pPr>
            <w:r w:rsidRPr="00C96230">
              <w:rPr>
                <w:rFonts w:ascii="Verdana" w:hAnsi="Verdana"/>
                <w:spacing w:val="44"/>
                <w:sz w:val="18"/>
                <w:szCs w:val="18"/>
              </w:rPr>
              <w:t xml:space="preserve">  </w:t>
            </w:r>
            <w:r w:rsidRPr="00C96230">
              <w:rPr>
                <w:rFonts w:ascii="Verdana" w:hAnsi="Verdana"/>
                <w:sz w:val="18"/>
                <w:szCs w:val="18"/>
              </w:rPr>
              <w:t xml:space="preserve"> works by</w:t>
            </w:r>
            <w:r w:rsidRPr="00C96230">
              <w:rPr>
                <w:rFonts w:ascii="Verdana" w:hAnsi="Verdana"/>
                <w:spacing w:val="45"/>
                <w:sz w:val="18"/>
                <w:szCs w:val="18"/>
              </w:rPr>
              <w:t xml:space="preserve">  </w:t>
            </w:r>
            <w:r w:rsidRPr="00C96230">
              <w:rPr>
                <w:rFonts w:ascii="Verdana" w:hAnsi="Verdana"/>
                <w:sz w:val="18"/>
                <w:szCs w:val="18"/>
              </w:rPr>
              <w:t xml:space="preserve"> completion</w:t>
            </w:r>
            <w:r w:rsidRPr="00C96230">
              <w:rPr>
                <w:rFonts w:ascii="Verdana" w:hAnsi="Verdana"/>
                <w:spacing w:val="45"/>
                <w:sz w:val="18"/>
                <w:szCs w:val="18"/>
              </w:rPr>
              <w:t xml:space="preserve">  </w:t>
            </w:r>
            <w:r w:rsidRPr="00C96230">
              <w:rPr>
                <w:rFonts w:ascii="Verdana" w:hAnsi="Verdana"/>
                <w:spacing w:val="-10"/>
                <w:sz w:val="18"/>
                <w:szCs w:val="18"/>
              </w:rPr>
              <w:t xml:space="preserve"> of</w:t>
            </w:r>
          </w:p>
          <w:p w14:paraId="09AB83F6" w14:textId="77777777" w:rsidR="008715BE" w:rsidRPr="00C96230" w:rsidRDefault="00000000">
            <w:pPr>
              <w:pStyle w:val="TableParagraph"/>
              <w:spacing w:line="195" w:lineRule="exact"/>
              <w:ind w:left="105"/>
              <w:rPr>
                <w:rFonts w:ascii="Verdana" w:hAnsi="Verdana"/>
                <w:sz w:val="18"/>
                <w:szCs w:val="18"/>
              </w:rPr>
            </w:pPr>
            <w:r w:rsidRPr="00C96230">
              <w:rPr>
                <w:rFonts w:ascii="Verdana" w:hAnsi="Verdana"/>
                <w:spacing w:val="-2"/>
                <w:sz w:val="18"/>
                <w:szCs w:val="18"/>
              </w:rPr>
              <w:t>foundations</w:t>
            </w:r>
          </w:p>
        </w:tc>
        <w:tc>
          <w:tcPr>
            <w:tcW w:w="3149" w:type="dxa"/>
          </w:tcPr>
          <w:p w14:paraId="13F21FC1" w14:textId="77777777" w:rsidR="008715BE" w:rsidRPr="00C96230" w:rsidRDefault="00000000">
            <w:pPr>
              <w:pStyle w:val="TableParagraph"/>
              <w:tabs>
                <w:tab w:val="left" w:pos="2846"/>
              </w:tabs>
              <w:spacing w:line="194" w:lineRule="exact"/>
              <w:ind w:left="108" w:right="94"/>
              <w:jc w:val="both"/>
              <w:rPr>
                <w:rFonts w:ascii="Verdana" w:hAnsi="Verdana"/>
                <w:sz w:val="18"/>
                <w:szCs w:val="18"/>
              </w:rPr>
            </w:pPr>
            <w:r w:rsidRPr="00C96230">
              <w:rPr>
                <w:rFonts w:ascii="Verdana" w:hAnsi="Verdana"/>
                <w:sz w:val="18"/>
                <w:szCs w:val="18"/>
              </w:rPr>
              <w:t>Collision of wildlife with vehicle traffic</w:t>
            </w:r>
            <w:r w:rsidRPr="00C96230">
              <w:rPr>
                <w:rFonts w:ascii="Verdana" w:hAnsi="Verdana"/>
                <w:spacing w:val="40"/>
                <w:sz w:val="18"/>
                <w:szCs w:val="18"/>
              </w:rPr>
              <w:t xml:space="preserve">  </w:t>
            </w:r>
            <w:r w:rsidRPr="00C96230">
              <w:rPr>
                <w:rFonts w:ascii="Verdana" w:hAnsi="Verdana"/>
                <w:sz w:val="18"/>
                <w:szCs w:val="18"/>
              </w:rPr>
              <w:t xml:space="preserve"> on</w:t>
            </w:r>
            <w:r w:rsidRPr="00C96230">
              <w:rPr>
                <w:rFonts w:ascii="Verdana" w:hAnsi="Verdana"/>
                <w:spacing w:val="40"/>
                <w:sz w:val="18"/>
                <w:szCs w:val="18"/>
              </w:rPr>
              <w:t xml:space="preserve">  </w:t>
            </w:r>
            <w:r w:rsidRPr="00C96230">
              <w:rPr>
                <w:rFonts w:ascii="Verdana" w:hAnsi="Verdana"/>
                <w:sz w:val="18"/>
                <w:szCs w:val="18"/>
              </w:rPr>
              <w:t xml:space="preserve"> access roads</w:t>
            </w:r>
            <w:r w:rsidRPr="00C96230">
              <w:rPr>
                <w:rFonts w:ascii="Verdana" w:hAnsi="Verdana"/>
                <w:sz w:val="18"/>
                <w:szCs w:val="18"/>
              </w:rPr>
              <w:tab/>
              <w:t xml:space="preserve">access roads/machinery in the </w:t>
            </w:r>
            <w:r w:rsidRPr="00C96230">
              <w:rPr>
                <w:rFonts w:ascii="Verdana" w:hAnsi="Verdana"/>
                <w:spacing w:val="-2"/>
                <w:sz w:val="18"/>
                <w:szCs w:val="18"/>
              </w:rPr>
              <w:t xml:space="preserve">work </w:t>
            </w:r>
            <w:r w:rsidRPr="00C96230">
              <w:rPr>
                <w:rFonts w:ascii="Verdana" w:hAnsi="Verdana"/>
                <w:sz w:val="18"/>
                <w:szCs w:val="18"/>
              </w:rPr>
              <w:t>area</w:t>
            </w:r>
          </w:p>
        </w:tc>
        <w:tc>
          <w:tcPr>
            <w:tcW w:w="1106" w:type="dxa"/>
          </w:tcPr>
          <w:p w14:paraId="4AB8E91C"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32D3A147"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7BDEECEB"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233E231"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0B793E28"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45523B87"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7EC29051"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0927714F"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49329D2B"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166C43F4" w14:textId="77777777">
        <w:trPr>
          <w:trHeight w:val="779"/>
        </w:trPr>
        <w:tc>
          <w:tcPr>
            <w:tcW w:w="523" w:type="dxa"/>
            <w:vMerge/>
            <w:tcBorders>
              <w:top w:val="nil"/>
            </w:tcBorders>
          </w:tcPr>
          <w:p w14:paraId="49BD8F75" w14:textId="77777777" w:rsidR="008715BE" w:rsidRPr="00C96230" w:rsidRDefault="008715BE">
            <w:pPr>
              <w:rPr>
                <w:rFonts w:ascii="Verdana" w:hAnsi="Verdana"/>
                <w:sz w:val="18"/>
                <w:szCs w:val="18"/>
              </w:rPr>
            </w:pPr>
          </w:p>
        </w:tc>
        <w:tc>
          <w:tcPr>
            <w:tcW w:w="2323" w:type="dxa"/>
          </w:tcPr>
          <w:p w14:paraId="083567B4" w14:textId="77777777" w:rsidR="008715BE" w:rsidRPr="00C96230" w:rsidRDefault="00000000">
            <w:pPr>
              <w:pStyle w:val="TableParagraph"/>
              <w:tabs>
                <w:tab w:val="left" w:pos="1053"/>
                <w:tab w:val="left" w:pos="1645"/>
              </w:tabs>
              <w:spacing w:before="10"/>
              <w:ind w:left="105" w:right="96"/>
              <w:rPr>
                <w:rFonts w:ascii="Verdana" w:hAnsi="Verdana"/>
                <w:sz w:val="18"/>
                <w:szCs w:val="18"/>
              </w:rPr>
            </w:pPr>
            <w:r w:rsidRPr="00C96230">
              <w:rPr>
                <w:rFonts w:ascii="Verdana" w:hAnsi="Verdana"/>
                <w:spacing w:val="-2"/>
                <w:sz w:val="18"/>
                <w:szCs w:val="18"/>
              </w:rPr>
              <w:t>Works</w:t>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pacing w:val="-2"/>
                <w:sz w:val="18"/>
                <w:szCs w:val="18"/>
              </w:rPr>
              <w:t xml:space="preserve">installation </w:t>
            </w:r>
            <w:r w:rsidRPr="00C96230">
              <w:rPr>
                <w:rFonts w:ascii="Verdana" w:hAnsi="Verdana"/>
                <w:sz w:val="18"/>
                <w:szCs w:val="18"/>
              </w:rPr>
              <w:t>of facilities/equipment</w:t>
            </w:r>
          </w:p>
        </w:tc>
        <w:tc>
          <w:tcPr>
            <w:tcW w:w="3149" w:type="dxa"/>
          </w:tcPr>
          <w:p w14:paraId="03D822F6" w14:textId="77777777" w:rsidR="008715BE" w:rsidRPr="00C96230" w:rsidRDefault="00000000">
            <w:pPr>
              <w:pStyle w:val="TableParagraph"/>
              <w:tabs>
                <w:tab w:val="left" w:pos="1615"/>
                <w:tab w:val="left" w:pos="2916"/>
              </w:tabs>
              <w:spacing w:before="10"/>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15C1DE2F"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AH</w:t>
            </w:r>
          </w:p>
        </w:tc>
        <w:tc>
          <w:tcPr>
            <w:tcW w:w="1108" w:type="dxa"/>
          </w:tcPr>
          <w:p w14:paraId="497567FF"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82380F2"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45169F8D"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0FF3C3AF" w14:textId="77777777" w:rsidR="008715BE" w:rsidRPr="00C96230" w:rsidRDefault="00000000">
            <w:pPr>
              <w:pStyle w:val="TableParagraph"/>
              <w:spacing w:before="10"/>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15A6D3CA" w14:textId="77777777" w:rsidR="008715BE" w:rsidRPr="00C96230" w:rsidRDefault="00000000">
            <w:pPr>
              <w:pStyle w:val="TableParagraph"/>
              <w:spacing w:before="10"/>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3C179D3D" w14:textId="77777777" w:rsidR="008715BE" w:rsidRPr="00C96230" w:rsidRDefault="00000000">
            <w:pPr>
              <w:pStyle w:val="TableParagraph"/>
              <w:spacing w:before="10"/>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70F7F11E" w14:textId="77777777" w:rsidR="008715BE" w:rsidRPr="00C96230" w:rsidRDefault="00000000">
            <w:pPr>
              <w:pStyle w:val="TableParagraph"/>
              <w:spacing w:before="10"/>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72EA026F" w14:textId="77777777" w:rsidR="008715BE" w:rsidRPr="00C96230" w:rsidRDefault="00000000">
            <w:pPr>
              <w:pStyle w:val="TableParagraph"/>
              <w:spacing w:before="10"/>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7846BA50" w14:textId="77777777">
        <w:trPr>
          <w:trHeight w:val="1749"/>
        </w:trPr>
        <w:tc>
          <w:tcPr>
            <w:tcW w:w="523" w:type="dxa"/>
            <w:vMerge/>
            <w:tcBorders>
              <w:top w:val="nil"/>
            </w:tcBorders>
          </w:tcPr>
          <w:p w14:paraId="5277A335" w14:textId="77777777" w:rsidR="008715BE" w:rsidRPr="00C96230" w:rsidRDefault="008715BE">
            <w:pPr>
              <w:rPr>
                <w:rFonts w:ascii="Verdana" w:hAnsi="Verdana"/>
                <w:sz w:val="18"/>
                <w:szCs w:val="18"/>
              </w:rPr>
            </w:pPr>
          </w:p>
        </w:tc>
        <w:tc>
          <w:tcPr>
            <w:tcW w:w="2323" w:type="dxa"/>
          </w:tcPr>
          <w:p w14:paraId="52BD119A" w14:textId="77777777" w:rsidR="008715BE" w:rsidRPr="00C96230" w:rsidRDefault="00000000">
            <w:pPr>
              <w:pStyle w:val="TableParagraph"/>
              <w:tabs>
                <w:tab w:val="left" w:pos="1708"/>
              </w:tabs>
              <w:spacing w:before="8"/>
              <w:ind w:left="105" w:right="96"/>
              <w:jc w:val="both"/>
              <w:rPr>
                <w:rFonts w:ascii="Verdana" w:hAnsi="Verdana"/>
                <w:sz w:val="18"/>
                <w:szCs w:val="18"/>
              </w:rPr>
            </w:pPr>
            <w:r w:rsidRPr="00C96230">
              <w:rPr>
                <w:rFonts w:ascii="Verdana" w:hAnsi="Verdana"/>
                <w:spacing w:val="-2"/>
                <w:sz w:val="18"/>
                <w:szCs w:val="18"/>
              </w:rPr>
              <w:t>Construction</w:t>
            </w:r>
            <w:r w:rsidRPr="00C96230">
              <w:rPr>
                <w:rFonts w:ascii="Verdana" w:hAnsi="Verdana"/>
                <w:sz w:val="18"/>
                <w:szCs w:val="18"/>
              </w:rPr>
              <w:tab/>
            </w:r>
            <w:r w:rsidRPr="00C96230">
              <w:rPr>
                <w:rFonts w:ascii="Verdana" w:hAnsi="Verdana"/>
                <w:spacing w:val="-2"/>
                <w:sz w:val="18"/>
                <w:szCs w:val="18"/>
              </w:rPr>
              <w:t xml:space="preserve">of the </w:t>
            </w:r>
            <w:r w:rsidRPr="00C96230">
              <w:rPr>
                <w:rFonts w:ascii="Verdana" w:hAnsi="Verdana"/>
                <w:sz w:val="18"/>
                <w:szCs w:val="18"/>
              </w:rPr>
              <w:t>electrical</w:t>
            </w:r>
            <w:r w:rsidRPr="00C96230">
              <w:rPr>
                <w:rFonts w:ascii="Verdana" w:hAnsi="Verdana"/>
                <w:spacing w:val="-2"/>
                <w:sz w:val="18"/>
                <w:szCs w:val="18"/>
              </w:rPr>
              <w:t xml:space="preserve"> network </w:t>
            </w:r>
            <w:r w:rsidRPr="00C96230">
              <w:rPr>
                <w:rFonts w:ascii="Verdana" w:hAnsi="Verdana"/>
                <w:sz w:val="18"/>
                <w:szCs w:val="18"/>
              </w:rPr>
              <w:t xml:space="preserve">for discharging the energy produced by </w:t>
            </w:r>
            <w:r w:rsidRPr="00C96230">
              <w:rPr>
                <w:rFonts w:ascii="Verdana" w:hAnsi="Verdana"/>
                <w:spacing w:val="-2"/>
                <w:sz w:val="18"/>
                <w:szCs w:val="18"/>
              </w:rPr>
              <w:t>the</w:t>
            </w:r>
          </w:p>
          <w:p w14:paraId="3A59299F" w14:textId="77777777" w:rsidR="008715BE" w:rsidRPr="00C96230" w:rsidRDefault="00000000">
            <w:pPr>
              <w:pStyle w:val="TableParagraph"/>
              <w:ind w:left="105" w:right="96" w:firstLine="57"/>
              <w:jc w:val="both"/>
              <w:rPr>
                <w:rFonts w:ascii="Verdana" w:hAnsi="Verdana"/>
                <w:sz w:val="18"/>
                <w:szCs w:val="18"/>
              </w:rPr>
            </w:pPr>
            <w:r w:rsidRPr="00C96230">
              <w:rPr>
                <w:rFonts w:ascii="Verdana" w:hAnsi="Verdana"/>
                <w:sz w:val="18"/>
                <w:szCs w:val="18"/>
              </w:rPr>
              <w:t>wind power plant to the transformer station and the telecommunications network (fiber optics),</w:t>
            </w:r>
            <w:r w:rsidRPr="00C96230">
              <w:rPr>
                <w:rFonts w:ascii="Verdana" w:hAnsi="Verdana"/>
                <w:spacing w:val="72"/>
                <w:sz w:val="18"/>
                <w:szCs w:val="18"/>
              </w:rPr>
              <w:t xml:space="preserve">  </w:t>
            </w:r>
            <w:r w:rsidRPr="00C96230">
              <w:rPr>
                <w:rFonts w:ascii="Verdana" w:hAnsi="Verdana"/>
                <w:sz w:val="18"/>
                <w:szCs w:val="18"/>
              </w:rPr>
              <w:t xml:space="preserve"> </w:t>
            </w:r>
            <w:r w:rsidRPr="00C96230">
              <w:rPr>
                <w:rFonts w:ascii="Verdana" w:hAnsi="Verdana"/>
                <w:spacing w:val="-5"/>
                <w:sz w:val="18"/>
                <w:szCs w:val="18"/>
              </w:rPr>
              <w:t xml:space="preserve">transformer </w:t>
            </w:r>
            <w:r w:rsidRPr="00C96230">
              <w:rPr>
                <w:rFonts w:ascii="Verdana" w:hAnsi="Verdana"/>
                <w:sz w:val="18"/>
                <w:szCs w:val="18"/>
              </w:rPr>
              <w:t>stations</w:t>
            </w:r>
          </w:p>
          <w:p w14:paraId="099E8917" w14:textId="77777777" w:rsidR="008715BE" w:rsidRPr="00C96230" w:rsidRDefault="00000000">
            <w:pPr>
              <w:pStyle w:val="TableParagraph"/>
              <w:spacing w:line="162" w:lineRule="exact"/>
              <w:ind w:left="105"/>
              <w:rPr>
                <w:rFonts w:ascii="Verdana" w:hAnsi="Verdana"/>
                <w:sz w:val="18"/>
                <w:szCs w:val="18"/>
              </w:rPr>
            </w:pPr>
            <w:r w:rsidRPr="00C96230">
              <w:rPr>
                <w:rFonts w:ascii="Verdana" w:hAnsi="Verdana"/>
                <w:spacing w:val="-2"/>
                <w:sz w:val="18"/>
                <w:szCs w:val="18"/>
              </w:rPr>
              <w:t>Transformers</w:t>
            </w:r>
          </w:p>
        </w:tc>
        <w:tc>
          <w:tcPr>
            <w:tcW w:w="3149" w:type="dxa"/>
          </w:tcPr>
          <w:p w14:paraId="21FDE00B"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equipment—penetration of pollutants into the soil</w:t>
            </w:r>
          </w:p>
        </w:tc>
        <w:tc>
          <w:tcPr>
            <w:tcW w:w="1106" w:type="dxa"/>
          </w:tcPr>
          <w:p w14:paraId="2388D1AD"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52E09EDB"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0E3B1C91"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0CC39476"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462325AB"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4D68F0CE"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4DEAE6F3"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47AAE97E"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2CC723A"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62E2F898" w14:textId="77777777">
        <w:trPr>
          <w:trHeight w:val="777"/>
        </w:trPr>
        <w:tc>
          <w:tcPr>
            <w:tcW w:w="523" w:type="dxa"/>
            <w:vMerge/>
            <w:tcBorders>
              <w:top w:val="nil"/>
            </w:tcBorders>
          </w:tcPr>
          <w:p w14:paraId="4C668573" w14:textId="77777777" w:rsidR="008715BE" w:rsidRPr="00C96230" w:rsidRDefault="008715BE">
            <w:pPr>
              <w:rPr>
                <w:rFonts w:ascii="Verdana" w:hAnsi="Verdana"/>
                <w:sz w:val="18"/>
                <w:szCs w:val="18"/>
              </w:rPr>
            </w:pPr>
          </w:p>
        </w:tc>
        <w:tc>
          <w:tcPr>
            <w:tcW w:w="2323" w:type="dxa"/>
          </w:tcPr>
          <w:p w14:paraId="141A7D66"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Land rehabilitation works upon completion </w:t>
            </w:r>
            <w:r w:rsidRPr="00C96230">
              <w:rPr>
                <w:rFonts w:ascii="Verdana" w:hAnsi="Verdana"/>
                <w:spacing w:val="-2"/>
                <w:sz w:val="18"/>
                <w:szCs w:val="18"/>
              </w:rPr>
              <w:t>of construction</w:t>
            </w:r>
          </w:p>
        </w:tc>
        <w:tc>
          <w:tcPr>
            <w:tcW w:w="3149" w:type="dxa"/>
          </w:tcPr>
          <w:p w14:paraId="574965C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35D183B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41B5EA54"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7AEB67DD"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3FC70D6"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6819CC7"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656872BB"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73065443"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54DB707F"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177902E"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1866505" w14:textId="77777777">
        <w:trPr>
          <w:trHeight w:val="2335"/>
        </w:trPr>
        <w:tc>
          <w:tcPr>
            <w:tcW w:w="523" w:type="dxa"/>
            <w:vMerge w:val="restart"/>
            <w:textDirection w:val="btLr"/>
          </w:tcPr>
          <w:p w14:paraId="3867CECA" w14:textId="77777777" w:rsidR="008715BE" w:rsidRPr="00C96230" w:rsidRDefault="00000000">
            <w:pPr>
              <w:pStyle w:val="TableParagraph"/>
              <w:spacing w:before="171"/>
              <w:jc w:val="center"/>
              <w:rPr>
                <w:rFonts w:ascii="Verdana" w:hAnsi="Verdana"/>
                <w:sz w:val="18"/>
                <w:szCs w:val="18"/>
              </w:rPr>
            </w:pPr>
            <w:r w:rsidRPr="00C96230">
              <w:rPr>
                <w:rFonts w:ascii="Verdana" w:hAnsi="Verdana"/>
                <w:spacing w:val="-2"/>
                <w:sz w:val="18"/>
                <w:szCs w:val="18"/>
              </w:rPr>
              <w:t>Operation</w:t>
            </w:r>
          </w:p>
        </w:tc>
        <w:tc>
          <w:tcPr>
            <w:tcW w:w="2323" w:type="dxa"/>
            <w:vMerge w:val="restart"/>
          </w:tcPr>
          <w:p w14:paraId="0174EC16" w14:textId="77777777" w:rsidR="008715BE" w:rsidRPr="00C96230" w:rsidRDefault="00000000">
            <w:pPr>
              <w:pStyle w:val="TableParagraph"/>
              <w:spacing w:before="10"/>
              <w:ind w:left="105"/>
              <w:rPr>
                <w:rFonts w:ascii="Verdana" w:hAnsi="Verdana"/>
                <w:sz w:val="18"/>
                <w:szCs w:val="18"/>
              </w:rPr>
            </w:pPr>
            <w:r w:rsidRPr="00C96230">
              <w:rPr>
                <w:rFonts w:ascii="Verdana" w:hAnsi="Verdana"/>
                <w:sz w:val="18"/>
                <w:szCs w:val="18"/>
              </w:rPr>
              <w:t>Carrying out energy production activities</w:t>
            </w:r>
          </w:p>
        </w:tc>
        <w:tc>
          <w:tcPr>
            <w:tcW w:w="3149" w:type="dxa"/>
          </w:tcPr>
          <w:p w14:paraId="7D91AD27" w14:textId="77777777" w:rsidR="008715BE" w:rsidRPr="00C96230" w:rsidRDefault="00000000">
            <w:pPr>
              <w:pStyle w:val="TableParagraph"/>
              <w:spacing w:before="10"/>
              <w:ind w:left="108"/>
              <w:rPr>
                <w:rFonts w:ascii="Verdana" w:hAnsi="Verdana"/>
                <w:sz w:val="18"/>
                <w:szCs w:val="18"/>
              </w:rPr>
            </w:pPr>
            <w:r w:rsidRPr="00C96230">
              <w:rPr>
                <w:rFonts w:ascii="Verdana" w:hAnsi="Verdana"/>
                <w:sz w:val="18"/>
                <w:szCs w:val="18"/>
              </w:rPr>
              <w:t xml:space="preserve">Increase in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58ACB4F8"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PAS</w:t>
            </w:r>
          </w:p>
        </w:tc>
        <w:tc>
          <w:tcPr>
            <w:tcW w:w="1108" w:type="dxa"/>
          </w:tcPr>
          <w:p w14:paraId="74A76096" w14:textId="77777777" w:rsidR="008715BE" w:rsidRPr="00C96230" w:rsidRDefault="00000000">
            <w:pPr>
              <w:pStyle w:val="TableParagraph"/>
              <w:spacing w:before="10"/>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54315A2B"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045D113F"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016B4767" w14:textId="77777777" w:rsidR="008715BE" w:rsidRPr="00C96230" w:rsidRDefault="00000000">
            <w:pPr>
              <w:pStyle w:val="TableParagraph"/>
              <w:tabs>
                <w:tab w:val="left" w:pos="903"/>
              </w:tabs>
              <w:spacing w:before="10"/>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Long</w:t>
            </w:r>
            <w:r w:rsidRPr="00C96230">
              <w:rPr>
                <w:rFonts w:ascii="Verdana" w:hAnsi="Verdana"/>
                <w:spacing w:val="-2"/>
                <w:sz w:val="18"/>
                <w:szCs w:val="18"/>
              </w:rPr>
              <w:t>-term</w:t>
            </w:r>
          </w:p>
        </w:tc>
        <w:tc>
          <w:tcPr>
            <w:tcW w:w="1736" w:type="dxa"/>
          </w:tcPr>
          <w:p w14:paraId="0B9EDFA9" w14:textId="77777777" w:rsidR="008715BE" w:rsidRPr="00C96230" w:rsidRDefault="00000000">
            <w:pPr>
              <w:pStyle w:val="TableParagraph"/>
              <w:tabs>
                <w:tab w:val="left" w:pos="1077"/>
              </w:tabs>
              <w:spacing w:before="10"/>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68F7146F"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69D7DAF3" w14:textId="77777777" w:rsidR="008715BE" w:rsidRPr="00C96230" w:rsidRDefault="00000000">
            <w:pPr>
              <w:pStyle w:val="TableParagraph"/>
              <w:tabs>
                <w:tab w:val="left" w:pos="1190"/>
              </w:tabs>
              <w:spacing w:before="10"/>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tc>
        <w:tc>
          <w:tcPr>
            <w:tcW w:w="3860" w:type="dxa"/>
          </w:tcPr>
          <w:p w14:paraId="18F77EBC" w14:textId="77777777" w:rsidR="008715BE" w:rsidRPr="00C96230" w:rsidRDefault="00000000">
            <w:pPr>
              <w:pStyle w:val="TableParagraph"/>
              <w:spacing w:before="10"/>
              <w:ind w:left="117" w:right="83"/>
              <w:jc w:val="both"/>
              <w:rPr>
                <w:rFonts w:ascii="Verdana" w:hAnsi="Verdana"/>
                <w:sz w:val="18"/>
                <w:szCs w:val="18"/>
              </w:rPr>
            </w:pPr>
            <w:r w:rsidRPr="00C96230">
              <w:rPr>
                <w:rFonts w:ascii="Verdana" w:hAnsi="Verdana"/>
                <w:sz w:val="18"/>
                <w:szCs w:val="18"/>
              </w:rPr>
              <w:t>Possible disturbance of the activity of a maximum of 2 to 3 individuals</w:t>
            </w:r>
          </w:p>
          <w:p w14:paraId="69C5BFB2"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capable of affecting sensitive receptors in the area</w:t>
            </w:r>
          </w:p>
          <w:p w14:paraId="625801DA"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contour will be felt at distances of up to 1.5 km around the work area</w:t>
            </w:r>
          </w:p>
          <w:p w14:paraId="654C0181" w14:textId="77777777" w:rsidR="008715BE" w:rsidRPr="00C96230" w:rsidRDefault="00000000">
            <w:pPr>
              <w:pStyle w:val="TableParagraph"/>
              <w:spacing w:before="160" w:line="194" w:lineRule="exact"/>
              <w:ind w:left="117" w:right="82"/>
              <w:jc w:val="both"/>
              <w:rPr>
                <w:rFonts w:ascii="Verdana" w:hAnsi="Verdana"/>
                <w:sz w:val="18"/>
                <w:szCs w:val="18"/>
              </w:rPr>
            </w:pPr>
            <w:r w:rsidRPr="00C96230">
              <w:rPr>
                <w:rFonts w:ascii="Verdana" w:hAnsi="Verdana"/>
                <w:sz w:val="18"/>
                <w:szCs w:val="18"/>
              </w:rPr>
              <w:t>The impact will be felt outside the protected area, within the wind farm, in the vicinity of the wind turbines</w:t>
            </w:r>
          </w:p>
        </w:tc>
        <w:tc>
          <w:tcPr>
            <w:tcW w:w="1889" w:type="dxa"/>
          </w:tcPr>
          <w:p w14:paraId="2FE28EA0" w14:textId="77777777" w:rsidR="008715BE" w:rsidRPr="00C96230" w:rsidRDefault="00000000">
            <w:pPr>
              <w:pStyle w:val="TableParagraph"/>
              <w:tabs>
                <w:tab w:val="left" w:pos="1042"/>
              </w:tabs>
              <w:spacing w:before="10"/>
              <w:ind w:left="119" w:right="80"/>
              <w:rPr>
                <w:rFonts w:ascii="Verdana" w:hAnsi="Verdana"/>
                <w:sz w:val="18"/>
                <w:szCs w:val="18"/>
              </w:rPr>
            </w:pPr>
            <w:r w:rsidRPr="00C96230">
              <w:rPr>
                <w:rFonts w:ascii="Verdana" w:hAnsi="Verdana"/>
                <w:spacing w:val="-2"/>
                <w:sz w:val="18"/>
                <w:szCs w:val="18"/>
              </w:rPr>
              <w:t>Study</w:t>
            </w:r>
            <w:r w:rsidRPr="00C96230">
              <w:rPr>
                <w:rFonts w:ascii="Verdana" w:hAnsi="Verdana"/>
                <w:sz w:val="18"/>
                <w:szCs w:val="18"/>
              </w:rPr>
              <w:tab/>
              <w:t>Noise level</w:t>
            </w:r>
            <w:r w:rsidRPr="00C96230">
              <w:rPr>
                <w:rFonts w:ascii="Verdana" w:hAnsi="Verdana"/>
                <w:spacing w:val="-2"/>
                <w:sz w:val="18"/>
                <w:szCs w:val="18"/>
              </w:rPr>
              <w:t xml:space="preserve"> modeling</w:t>
            </w:r>
          </w:p>
        </w:tc>
      </w:tr>
      <w:tr w:rsidR="008715BE" w:rsidRPr="00C96230" w14:paraId="7A57F50D" w14:textId="77777777">
        <w:trPr>
          <w:trHeight w:val="777"/>
        </w:trPr>
        <w:tc>
          <w:tcPr>
            <w:tcW w:w="523" w:type="dxa"/>
            <w:vMerge/>
            <w:tcBorders>
              <w:top w:val="nil"/>
            </w:tcBorders>
            <w:textDirection w:val="btLr"/>
          </w:tcPr>
          <w:p w14:paraId="3BDE42F0" w14:textId="77777777" w:rsidR="008715BE" w:rsidRPr="00C96230" w:rsidRDefault="008715BE">
            <w:pPr>
              <w:rPr>
                <w:rFonts w:ascii="Verdana" w:hAnsi="Verdana"/>
                <w:sz w:val="18"/>
                <w:szCs w:val="18"/>
              </w:rPr>
            </w:pPr>
          </w:p>
        </w:tc>
        <w:tc>
          <w:tcPr>
            <w:tcW w:w="2323" w:type="dxa"/>
            <w:vMerge/>
            <w:tcBorders>
              <w:top w:val="nil"/>
            </w:tcBorders>
          </w:tcPr>
          <w:p w14:paraId="58BACE06" w14:textId="77777777" w:rsidR="008715BE" w:rsidRPr="00C96230" w:rsidRDefault="008715BE">
            <w:pPr>
              <w:rPr>
                <w:rFonts w:ascii="Verdana" w:hAnsi="Verdana"/>
                <w:sz w:val="18"/>
                <w:szCs w:val="18"/>
              </w:rPr>
            </w:pPr>
          </w:p>
        </w:tc>
        <w:tc>
          <w:tcPr>
            <w:tcW w:w="3149" w:type="dxa"/>
          </w:tcPr>
          <w:p w14:paraId="117E980C"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Night-time </w:t>
            </w:r>
            <w:r w:rsidRPr="00C96230">
              <w:rPr>
                <w:rFonts w:ascii="Verdana" w:hAnsi="Verdana"/>
                <w:sz w:val="18"/>
                <w:szCs w:val="18"/>
              </w:rPr>
              <w:t>lighting</w:t>
            </w:r>
          </w:p>
        </w:tc>
        <w:tc>
          <w:tcPr>
            <w:tcW w:w="1106" w:type="dxa"/>
          </w:tcPr>
          <w:p w14:paraId="409BABFF"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PAS/PH</w:t>
            </w:r>
          </w:p>
        </w:tc>
        <w:tc>
          <w:tcPr>
            <w:tcW w:w="1108" w:type="dxa"/>
          </w:tcPr>
          <w:p w14:paraId="2F2232D9"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4E05872C"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51F82BE"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64E7921B"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22DD02E8"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13C543BE"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1C4921D"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3D261DF4"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3941C5FD" w14:textId="77777777">
        <w:trPr>
          <w:trHeight w:val="777"/>
        </w:trPr>
        <w:tc>
          <w:tcPr>
            <w:tcW w:w="523" w:type="dxa"/>
            <w:vMerge/>
            <w:tcBorders>
              <w:top w:val="nil"/>
            </w:tcBorders>
            <w:textDirection w:val="btLr"/>
          </w:tcPr>
          <w:p w14:paraId="1B60E4A4" w14:textId="77777777" w:rsidR="008715BE" w:rsidRPr="00C96230" w:rsidRDefault="008715BE">
            <w:pPr>
              <w:rPr>
                <w:rFonts w:ascii="Verdana" w:hAnsi="Verdana"/>
                <w:sz w:val="18"/>
                <w:szCs w:val="18"/>
              </w:rPr>
            </w:pPr>
          </w:p>
        </w:tc>
        <w:tc>
          <w:tcPr>
            <w:tcW w:w="2323" w:type="dxa"/>
            <w:vMerge/>
            <w:tcBorders>
              <w:top w:val="nil"/>
            </w:tcBorders>
          </w:tcPr>
          <w:p w14:paraId="6F303739" w14:textId="77777777" w:rsidR="008715BE" w:rsidRPr="00C96230" w:rsidRDefault="008715BE">
            <w:pPr>
              <w:rPr>
                <w:rFonts w:ascii="Verdana" w:hAnsi="Verdana"/>
                <w:sz w:val="18"/>
                <w:szCs w:val="18"/>
              </w:rPr>
            </w:pPr>
          </w:p>
        </w:tc>
        <w:tc>
          <w:tcPr>
            <w:tcW w:w="3149" w:type="dxa"/>
          </w:tcPr>
          <w:p w14:paraId="27C3892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Waste </w:t>
            </w:r>
            <w:r w:rsidRPr="00C96230">
              <w:rPr>
                <w:rFonts w:ascii="Verdana" w:hAnsi="Verdana"/>
                <w:sz w:val="18"/>
                <w:szCs w:val="18"/>
              </w:rPr>
              <w:t>generation</w:t>
            </w:r>
          </w:p>
        </w:tc>
        <w:tc>
          <w:tcPr>
            <w:tcW w:w="1106" w:type="dxa"/>
          </w:tcPr>
          <w:p w14:paraId="1370A7E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AH/PAS</w:t>
            </w:r>
          </w:p>
        </w:tc>
        <w:tc>
          <w:tcPr>
            <w:tcW w:w="1108" w:type="dxa"/>
          </w:tcPr>
          <w:p w14:paraId="63E63EDA"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13062DA7"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6F122E31"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782F56E"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660E3887"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4A9B7C64"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49FFF101"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7ACD83AF"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6B6CC47" w14:textId="77777777">
        <w:trPr>
          <w:trHeight w:val="4084"/>
        </w:trPr>
        <w:tc>
          <w:tcPr>
            <w:tcW w:w="523" w:type="dxa"/>
            <w:vMerge/>
            <w:tcBorders>
              <w:top w:val="nil"/>
            </w:tcBorders>
            <w:textDirection w:val="btLr"/>
          </w:tcPr>
          <w:p w14:paraId="2B5546AA" w14:textId="77777777" w:rsidR="008715BE" w:rsidRPr="00C96230" w:rsidRDefault="008715BE">
            <w:pPr>
              <w:rPr>
                <w:rFonts w:ascii="Verdana" w:hAnsi="Verdana"/>
                <w:sz w:val="18"/>
                <w:szCs w:val="18"/>
              </w:rPr>
            </w:pPr>
          </w:p>
        </w:tc>
        <w:tc>
          <w:tcPr>
            <w:tcW w:w="2323" w:type="dxa"/>
            <w:vMerge/>
            <w:tcBorders>
              <w:top w:val="nil"/>
            </w:tcBorders>
          </w:tcPr>
          <w:p w14:paraId="0184B3BD" w14:textId="77777777" w:rsidR="008715BE" w:rsidRPr="00C96230" w:rsidRDefault="008715BE">
            <w:pPr>
              <w:rPr>
                <w:rFonts w:ascii="Verdana" w:hAnsi="Verdana"/>
                <w:sz w:val="18"/>
                <w:szCs w:val="18"/>
              </w:rPr>
            </w:pPr>
          </w:p>
        </w:tc>
        <w:tc>
          <w:tcPr>
            <w:tcW w:w="3149" w:type="dxa"/>
          </w:tcPr>
          <w:p w14:paraId="5AF0142E"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Collision with </w:t>
            </w:r>
            <w:r w:rsidRPr="00C96230">
              <w:rPr>
                <w:rFonts w:ascii="Verdana" w:hAnsi="Verdana"/>
                <w:spacing w:val="-2"/>
                <w:sz w:val="18"/>
                <w:szCs w:val="18"/>
              </w:rPr>
              <w:t xml:space="preserve">turbine </w:t>
            </w:r>
            <w:r w:rsidRPr="00C96230">
              <w:rPr>
                <w:rFonts w:ascii="Verdana" w:hAnsi="Verdana"/>
                <w:sz w:val="18"/>
                <w:szCs w:val="18"/>
              </w:rPr>
              <w:t>blades</w:t>
            </w:r>
          </w:p>
        </w:tc>
        <w:tc>
          <w:tcPr>
            <w:tcW w:w="1106" w:type="dxa"/>
          </w:tcPr>
          <w:p w14:paraId="4742FD3B"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6FF9A18A"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56B7148E"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89C7B4E"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w:t>
            </w:r>
            <w:r w:rsidRPr="00C96230">
              <w:rPr>
                <w:rFonts w:ascii="Verdana" w:hAnsi="Verdana"/>
                <w:spacing w:val="-4"/>
                <w:sz w:val="18"/>
                <w:szCs w:val="18"/>
              </w:rPr>
              <w:t xml:space="preserve">impact </w:t>
            </w:r>
            <w:r w:rsidRPr="00C96230">
              <w:rPr>
                <w:rFonts w:ascii="Verdana" w:hAnsi="Verdana"/>
                <w:sz w:val="18"/>
                <w:szCs w:val="18"/>
              </w:rPr>
              <w:t>with:</w:t>
            </w:r>
            <w:r w:rsidRPr="00C96230">
              <w:rPr>
                <w:rFonts w:ascii="Verdana" w:hAnsi="Verdana"/>
                <w:sz w:val="18"/>
                <w:szCs w:val="18"/>
              </w:rPr>
              <w:tab/>
            </w:r>
            <w:r w:rsidRPr="00C96230">
              <w:rPr>
                <w:rFonts w:ascii="Verdana" w:hAnsi="Verdana"/>
                <w:spacing w:val="-2"/>
                <w:sz w:val="18"/>
                <w:szCs w:val="18"/>
              </w:rPr>
              <w:t xml:space="preserve">Chirnogeni (existing) </w:t>
            </w:r>
            <w:r w:rsidRPr="00C96230">
              <w:rPr>
                <w:rFonts w:ascii="Verdana" w:hAnsi="Verdana"/>
                <w:sz w:val="18"/>
                <w:szCs w:val="18"/>
              </w:rPr>
              <w:t xml:space="preserve">Wind </w:t>
            </w:r>
            <w:r w:rsidRPr="00C96230">
              <w:rPr>
                <w:rFonts w:ascii="Verdana" w:hAnsi="Verdana"/>
                <w:spacing w:val="-2"/>
                <w:sz w:val="18"/>
                <w:szCs w:val="18"/>
              </w:rPr>
              <w:t>farm</w:t>
            </w:r>
            <w:r w:rsidRPr="00C96230">
              <w:rPr>
                <w:rFonts w:ascii="Verdana" w:hAnsi="Verdana"/>
                <w:sz w:val="18"/>
                <w:szCs w:val="18"/>
              </w:rPr>
              <w:t xml:space="preserve"> 14 </w:t>
            </w:r>
            <w:r w:rsidRPr="00C96230">
              <w:rPr>
                <w:rFonts w:ascii="Verdana" w:hAnsi="Verdana"/>
                <w:spacing w:val="-5"/>
                <w:sz w:val="18"/>
                <w:szCs w:val="18"/>
              </w:rPr>
              <w:t>CE-</w:t>
            </w:r>
          </w:p>
          <w:p w14:paraId="36333282" w14:textId="77777777" w:rsidR="008715BE" w:rsidRPr="00C96230" w:rsidRDefault="00000000">
            <w:pPr>
              <w:pStyle w:val="TableParagraph"/>
              <w:tabs>
                <w:tab w:val="left" w:pos="931"/>
              </w:tabs>
              <w:spacing w:line="191"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65257087"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and</w:t>
            </w:r>
          </w:p>
          <w:p w14:paraId="685AD9EF" w14:textId="77777777" w:rsidR="008715BE" w:rsidRPr="00C96230" w:rsidRDefault="00000000">
            <w:pPr>
              <w:pStyle w:val="TableParagraph"/>
              <w:spacing w:line="187" w:lineRule="exact"/>
              <w:ind w:left="108"/>
              <w:rPr>
                <w:rFonts w:ascii="Verdana" w:hAnsi="Verdana"/>
                <w:sz w:val="18"/>
                <w:szCs w:val="18"/>
              </w:rPr>
            </w:pPr>
            <w:r w:rsidRPr="00C96230">
              <w:rPr>
                <w:rFonts w:ascii="Verdana" w:hAnsi="Verdana"/>
                <w:spacing w:val="-5"/>
                <w:sz w:val="18"/>
                <w:szCs w:val="18"/>
              </w:rPr>
              <w:t>and</w:t>
            </w:r>
          </w:p>
          <w:p w14:paraId="00679F70"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225C3799"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outside the built-up area of Fântana Mare,</w:t>
            </w:r>
          </w:p>
          <w:p w14:paraId="46CDACFE"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4"/>
                <w:sz w:val="18"/>
                <w:szCs w:val="18"/>
              </w:rPr>
              <w:t>com.</w:t>
            </w:r>
          </w:p>
        </w:tc>
        <w:tc>
          <w:tcPr>
            <w:tcW w:w="1201" w:type="dxa"/>
          </w:tcPr>
          <w:p w14:paraId="5B726E47"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4FFD8A1C"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4CA838BA" w14:textId="77777777" w:rsidR="008715BE" w:rsidRPr="00C96230" w:rsidRDefault="00000000">
            <w:pPr>
              <w:pStyle w:val="TableParagraph"/>
              <w:spacing w:before="1"/>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6C950844"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2C6B0A98" w14:textId="77777777" w:rsidR="008715BE" w:rsidRPr="00C96230" w:rsidRDefault="00000000">
            <w:pPr>
              <w:pStyle w:val="TableParagraph"/>
              <w:tabs>
                <w:tab w:val="left" w:pos="1081"/>
                <w:tab w:val="left" w:pos="1959"/>
                <w:tab w:val="left" w:pos="2420"/>
                <w:tab w:val="left" w:pos="3390"/>
                <w:tab w:val="left" w:pos="3449"/>
              </w:tabs>
              <w:spacing w:before="8"/>
              <w:ind w:left="117" w:right="83"/>
              <w:jc w:val="both"/>
              <w:rPr>
                <w:rFonts w:ascii="Verdana" w:hAnsi="Verdana"/>
                <w:sz w:val="18"/>
                <w:szCs w:val="18"/>
              </w:rPr>
            </w:pPr>
            <w:r w:rsidRPr="00C96230">
              <w:rPr>
                <w:rFonts w:ascii="Verdana" w:hAnsi="Verdana"/>
                <w:i/>
                <w:sz w:val="18"/>
                <w:szCs w:val="18"/>
              </w:rPr>
              <w:t xml:space="preserve">Anthus campestris - </w:t>
            </w:r>
            <w:r w:rsidRPr="00C96230">
              <w:rPr>
                <w:rFonts w:ascii="Verdana" w:hAnsi="Verdana"/>
                <w:sz w:val="18"/>
                <w:szCs w:val="18"/>
              </w:rPr>
              <w:t xml:space="preserve">insignificant </w:t>
            </w:r>
            <w:r w:rsidRPr="00C96230">
              <w:rPr>
                <w:rFonts w:ascii="Verdana" w:hAnsi="Verdana"/>
                <w:i/>
                <w:sz w:val="18"/>
                <w:szCs w:val="18"/>
              </w:rPr>
              <w:t>Buteo rufinus -</w:t>
            </w:r>
            <w:r w:rsidRPr="00C96230">
              <w:rPr>
                <w:rFonts w:ascii="Verdana" w:hAnsi="Verdana"/>
                <w:sz w:val="18"/>
                <w:szCs w:val="18"/>
              </w:rPr>
              <w:t xml:space="preserve"> 0.193 individuals/year (1 individual at </w:t>
            </w:r>
            <w:r w:rsidRPr="00C96230">
              <w:rPr>
                <w:rFonts w:ascii="Verdana" w:hAnsi="Verdana"/>
                <w:spacing w:val="-2"/>
                <w:sz w:val="18"/>
                <w:szCs w:val="18"/>
              </w:rPr>
              <w:t>approx.</w:t>
            </w:r>
            <w:r w:rsidRPr="00C96230">
              <w:rPr>
                <w:rFonts w:ascii="Verdana" w:hAnsi="Verdana"/>
                <w:sz w:val="18"/>
                <w:szCs w:val="18"/>
              </w:rPr>
              <w:tab/>
            </w:r>
            <w:r w:rsidRPr="00C96230">
              <w:rPr>
                <w:rFonts w:ascii="Verdana" w:hAnsi="Verdana"/>
                <w:sz w:val="18"/>
                <w:szCs w:val="18"/>
              </w:rPr>
              <w:tab/>
            </w:r>
            <w:r w:rsidRPr="00C96230">
              <w:rPr>
                <w:rFonts w:ascii="Verdana" w:hAnsi="Verdana"/>
                <w:spacing w:val="-10"/>
                <w:sz w:val="18"/>
                <w:szCs w:val="18"/>
              </w:rPr>
              <w:t>5</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Circus cyaneus -</w:t>
            </w:r>
            <w:r w:rsidRPr="00C96230">
              <w:rPr>
                <w:rFonts w:ascii="Verdana" w:hAnsi="Verdana"/>
                <w:sz w:val="18"/>
                <w:szCs w:val="18"/>
              </w:rPr>
              <w:t xml:space="preserve"> 0.012 individuals/year (1 individual </w:t>
            </w:r>
            <w:r w:rsidRPr="00C96230">
              <w:rPr>
                <w:rFonts w:ascii="Verdana" w:hAnsi="Verdana"/>
                <w:spacing w:val="-6"/>
                <w:sz w:val="18"/>
                <w:szCs w:val="18"/>
              </w:rPr>
              <w:t>approx.</w:t>
            </w:r>
            <w:r w:rsidRPr="00C96230">
              <w:rPr>
                <w:rFonts w:ascii="Verdana" w:hAnsi="Verdana"/>
                <w:sz w:val="18"/>
                <w:szCs w:val="18"/>
              </w:rPr>
              <w:tab/>
            </w:r>
            <w:r w:rsidRPr="00C96230">
              <w:rPr>
                <w:rFonts w:ascii="Verdana" w:hAnsi="Verdana"/>
                <w:spacing w:val="-2"/>
                <w:sz w:val="18"/>
                <w:szCs w:val="18"/>
              </w:rPr>
              <w:t>approx.</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83</w:t>
            </w:r>
            <w:r w:rsidRPr="00C96230">
              <w:rPr>
                <w:rFonts w:ascii="Verdana" w:hAnsi="Verdana"/>
                <w:sz w:val="18"/>
                <w:szCs w:val="18"/>
              </w:rPr>
              <w:tab/>
            </w:r>
            <w:r w:rsidRPr="00C96230">
              <w:rPr>
                <w:rFonts w:ascii="Verdana" w:hAnsi="Verdana"/>
                <w:sz w:val="18"/>
                <w:szCs w:val="18"/>
              </w:rPr>
              <w:tab/>
            </w:r>
            <w:r w:rsidRPr="00C96230">
              <w:rPr>
                <w:rFonts w:ascii="Verdana" w:hAnsi="Verdana"/>
                <w:i/>
                <w:sz w:val="18"/>
                <w:szCs w:val="18"/>
              </w:rPr>
              <w:t>years</w:t>
            </w:r>
            <w:r w:rsidRPr="00C96230">
              <w:rPr>
                <w:rFonts w:ascii="Verdana" w:hAnsi="Verdana"/>
                <w:spacing w:val="-4"/>
                <w:sz w:val="18"/>
                <w:szCs w:val="18"/>
              </w:rPr>
              <w:t xml:space="preserve">) </w:t>
            </w:r>
            <w:r w:rsidRPr="00C96230">
              <w:rPr>
                <w:rFonts w:ascii="Verdana" w:hAnsi="Verdana"/>
                <w:i/>
                <w:sz w:val="18"/>
                <w:szCs w:val="18"/>
              </w:rPr>
              <w:t>Falco</w:t>
            </w:r>
            <w:r w:rsidRPr="00C96230">
              <w:rPr>
                <w:rFonts w:ascii="Verdana" w:hAnsi="Verdana"/>
                <w:i/>
                <w:spacing w:val="40"/>
                <w:sz w:val="18"/>
                <w:szCs w:val="18"/>
              </w:rPr>
              <w:t xml:space="preserve">  </w:t>
            </w:r>
            <w:r w:rsidRPr="00C96230">
              <w:rPr>
                <w:rFonts w:ascii="Verdana" w:hAnsi="Verdana"/>
                <w:i/>
                <w:sz w:val="18"/>
                <w:szCs w:val="18"/>
              </w:rPr>
              <w:t xml:space="preserve"> columbarius </w:t>
            </w:r>
            <w:r w:rsidRPr="00C96230">
              <w:rPr>
                <w:rFonts w:ascii="Verdana" w:hAnsi="Verdana"/>
                <w:i/>
                <w:spacing w:val="40"/>
                <w:sz w:val="18"/>
                <w:szCs w:val="18"/>
              </w:rPr>
              <w:t xml:space="preserve">    </w:t>
            </w:r>
            <w:r w:rsidRPr="00C96230">
              <w:rPr>
                <w:rFonts w:ascii="Verdana" w:hAnsi="Verdana"/>
                <w:sz w:val="18"/>
                <w:szCs w:val="18"/>
              </w:rPr>
              <w:t xml:space="preserve"> insignificant </w:t>
            </w:r>
            <w:r w:rsidRPr="00C96230">
              <w:rPr>
                <w:rFonts w:ascii="Verdana" w:hAnsi="Verdana"/>
                <w:i/>
                <w:sz w:val="18"/>
                <w:szCs w:val="18"/>
              </w:rPr>
              <w:t>Falco</w:t>
            </w:r>
            <w:r w:rsidRPr="00C96230">
              <w:rPr>
                <w:rFonts w:ascii="Verdana" w:hAnsi="Verdana"/>
                <w:i/>
                <w:spacing w:val="40"/>
                <w:sz w:val="18"/>
                <w:szCs w:val="18"/>
              </w:rPr>
              <w:t xml:space="preserve">  </w:t>
            </w:r>
            <w:r w:rsidRPr="00C96230">
              <w:rPr>
                <w:rFonts w:ascii="Verdana" w:hAnsi="Verdana"/>
                <w:i/>
                <w:sz w:val="18"/>
                <w:szCs w:val="18"/>
              </w:rPr>
              <w:t xml:space="preserve"> vespertinus</w:t>
            </w:r>
            <w:r w:rsidRPr="00C96230">
              <w:rPr>
                <w:rFonts w:ascii="Verdana" w:hAnsi="Verdana"/>
                <w:i/>
                <w:spacing w:val="40"/>
                <w:sz w:val="18"/>
                <w:szCs w:val="18"/>
              </w:rPr>
              <w:t xml:space="preserve">  </w:t>
            </w:r>
            <w:r w:rsidRPr="00C96230">
              <w:rPr>
                <w:rFonts w:ascii="Verdana" w:hAnsi="Verdana"/>
                <w:sz w:val="18"/>
                <w:szCs w:val="18"/>
              </w:rPr>
              <w:t xml:space="preserve"> </w:t>
            </w:r>
            <w:r w:rsidRPr="00C96230">
              <w:rPr>
                <w:rFonts w:ascii="Verdana" w:hAnsi="Verdana"/>
                <w:i/>
                <w:spacing w:val="40"/>
                <w:sz w:val="18"/>
                <w:szCs w:val="18"/>
              </w:rPr>
              <w:t xml:space="preserve">  </w:t>
            </w:r>
            <w:r w:rsidRPr="00C96230">
              <w:rPr>
                <w:rFonts w:ascii="Verdana" w:hAnsi="Verdana"/>
                <w:sz w:val="18"/>
                <w:szCs w:val="18"/>
              </w:rPr>
              <w:t xml:space="preserve"> insignificant </w:t>
            </w:r>
            <w:r w:rsidRPr="00C96230">
              <w:rPr>
                <w:rFonts w:ascii="Verdana" w:hAnsi="Verdana"/>
                <w:i/>
                <w:sz w:val="18"/>
                <w:szCs w:val="18"/>
              </w:rPr>
              <w:t xml:space="preserve">Lanius minor – </w:t>
            </w:r>
            <w:r w:rsidRPr="00C96230">
              <w:rPr>
                <w:rFonts w:ascii="Verdana" w:hAnsi="Verdana"/>
                <w:sz w:val="18"/>
                <w:szCs w:val="18"/>
              </w:rPr>
              <w:t>insignificant, it is a small species,</w:t>
            </w:r>
          </w:p>
          <w:p w14:paraId="218246A8" w14:textId="77777777" w:rsidR="008715BE" w:rsidRPr="00C96230" w:rsidRDefault="00000000">
            <w:pPr>
              <w:pStyle w:val="TableParagraph"/>
              <w:ind w:left="117" w:right="125"/>
              <w:rPr>
                <w:rFonts w:ascii="Verdana" w:hAnsi="Verdana"/>
                <w:sz w:val="18"/>
                <w:szCs w:val="18"/>
              </w:rPr>
            </w:pPr>
            <w:r w:rsidRPr="00C96230">
              <w:rPr>
                <w:rFonts w:ascii="Verdana" w:hAnsi="Verdana"/>
                <w:sz w:val="18"/>
                <w:szCs w:val="18"/>
              </w:rPr>
              <w:t>the effects on these species are considered to be rarely significant at the population level</w:t>
            </w:r>
          </w:p>
          <w:p w14:paraId="1DDD61EA"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due to (in most cases) relatively large populations</w:t>
            </w:r>
          </w:p>
          <w:p w14:paraId="51022167" w14:textId="77777777" w:rsidR="008715BE" w:rsidRPr="00C96230" w:rsidRDefault="00000000">
            <w:pPr>
              <w:pStyle w:val="TableParagraph"/>
              <w:spacing w:line="193" w:lineRule="exact"/>
              <w:ind w:left="117"/>
              <w:rPr>
                <w:rFonts w:ascii="Verdana" w:hAnsi="Verdana"/>
                <w:sz w:val="18"/>
                <w:szCs w:val="18"/>
              </w:rPr>
            </w:pPr>
            <w:r w:rsidRPr="00C96230">
              <w:rPr>
                <w:rFonts w:ascii="Verdana" w:hAnsi="Verdana"/>
                <w:spacing w:val="-2"/>
                <w:sz w:val="18"/>
                <w:szCs w:val="18"/>
              </w:rPr>
              <w:t>size</w:t>
            </w:r>
          </w:p>
        </w:tc>
        <w:tc>
          <w:tcPr>
            <w:tcW w:w="1889" w:type="dxa"/>
          </w:tcPr>
          <w:p w14:paraId="59C84CA0" w14:textId="77777777" w:rsidR="008715BE" w:rsidRPr="00C96230" w:rsidRDefault="00000000">
            <w:pPr>
              <w:pStyle w:val="TableParagraph"/>
              <w:spacing w:before="8"/>
              <w:ind w:left="119" w:right="82"/>
              <w:jc w:val="both"/>
              <w:rPr>
                <w:rFonts w:ascii="Verdana" w:hAnsi="Verdana"/>
                <w:sz w:val="18"/>
                <w:szCs w:val="18"/>
              </w:rPr>
            </w:pPr>
            <w:r w:rsidRPr="00C96230">
              <w:rPr>
                <w:rFonts w:ascii="Verdana" w:hAnsi="Verdana"/>
                <w:sz w:val="18"/>
                <w:szCs w:val="18"/>
              </w:rPr>
              <w:t xml:space="preserve">Scottish National </w:t>
            </w:r>
            <w:r w:rsidRPr="00C96230">
              <w:rPr>
                <w:rFonts w:ascii="Verdana" w:hAnsi="Verdana"/>
                <w:spacing w:val="-2"/>
                <w:sz w:val="18"/>
                <w:szCs w:val="18"/>
              </w:rPr>
              <w:t>Heritage</w:t>
            </w:r>
          </w:p>
          <w:p w14:paraId="743078A7" w14:textId="77777777" w:rsidR="008715BE" w:rsidRPr="00C96230" w:rsidRDefault="00000000">
            <w:pPr>
              <w:pStyle w:val="TableParagraph"/>
              <w:tabs>
                <w:tab w:val="left" w:pos="1316"/>
              </w:tabs>
              <w:spacing w:before="1"/>
              <w:ind w:left="119" w:right="81"/>
              <w:jc w:val="both"/>
              <w:rPr>
                <w:rFonts w:ascii="Verdana" w:hAnsi="Verdana"/>
                <w:sz w:val="18"/>
                <w:szCs w:val="18"/>
              </w:rPr>
            </w:pPr>
            <w:r w:rsidRPr="00C96230">
              <w:rPr>
                <w:rFonts w:ascii="Verdana" w:hAnsi="Verdana"/>
                <w:sz w:val="18"/>
                <w:szCs w:val="18"/>
              </w:rPr>
              <w:t xml:space="preserve">guide: "Wind farms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2"/>
                <w:sz w:val="18"/>
                <w:szCs w:val="18"/>
              </w:rPr>
              <w:t>Birds:</w:t>
            </w:r>
          </w:p>
          <w:p w14:paraId="02919968" w14:textId="77777777" w:rsidR="008715BE" w:rsidRPr="00C96230" w:rsidRDefault="00000000">
            <w:pPr>
              <w:pStyle w:val="TableParagraph"/>
              <w:tabs>
                <w:tab w:val="left" w:pos="1697"/>
              </w:tabs>
              <w:ind w:left="119" w:right="82"/>
              <w:jc w:val="both"/>
              <w:rPr>
                <w:rFonts w:ascii="Verdana" w:hAnsi="Verdana"/>
                <w:sz w:val="18"/>
                <w:szCs w:val="18"/>
              </w:rPr>
            </w:pPr>
            <w:r w:rsidRPr="00C96230">
              <w:rPr>
                <w:rFonts w:ascii="Verdana" w:hAnsi="Verdana"/>
                <w:spacing w:val="-2"/>
                <w:sz w:val="18"/>
                <w:szCs w:val="18"/>
              </w:rPr>
              <w:t>Calculating</w:t>
            </w:r>
            <w:r w:rsidRPr="00C96230">
              <w:rPr>
                <w:rFonts w:ascii="Verdana" w:hAnsi="Verdana"/>
                <w:sz w:val="18"/>
                <w:szCs w:val="18"/>
              </w:rPr>
              <w:tab/>
            </w:r>
            <w:r w:rsidRPr="00C96230">
              <w:rPr>
                <w:rFonts w:ascii="Verdana" w:hAnsi="Verdana"/>
                <w:spacing w:val="-10"/>
                <w:sz w:val="18"/>
                <w:szCs w:val="18"/>
              </w:rPr>
              <w:t xml:space="preserve">a </w:t>
            </w:r>
            <w:r w:rsidRPr="00C96230">
              <w:rPr>
                <w:rFonts w:ascii="Verdana" w:hAnsi="Verdana"/>
                <w:sz w:val="18"/>
                <w:szCs w:val="18"/>
              </w:rPr>
              <w:t>theoretical collision risk assuming no avoiding action"</w:t>
            </w:r>
          </w:p>
        </w:tc>
      </w:tr>
    </w:tbl>
    <w:p w14:paraId="4DC77AB0" w14:textId="77777777" w:rsidR="008715BE" w:rsidRPr="00C96230" w:rsidRDefault="008715BE">
      <w:pPr>
        <w:pStyle w:val="TableParagraph"/>
        <w:jc w:val="both"/>
        <w:rPr>
          <w:rFonts w:ascii="Verdana" w:hAnsi="Verdana"/>
          <w:sz w:val="18"/>
          <w:szCs w:val="18"/>
        </w:rPr>
        <w:sectPr w:rsidR="008715BE" w:rsidRPr="00C96230">
          <w:pgSz w:w="23820" w:h="16840" w:orient="landscape"/>
          <w:pgMar w:top="1120" w:right="850" w:bottom="1020" w:left="566" w:header="766" w:footer="810" w:gutter="0"/>
          <w:cols w:space="708"/>
        </w:sectPr>
      </w:pPr>
    </w:p>
    <w:p w14:paraId="78BA99EF"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62E6E83F" w14:textId="77777777">
        <w:trPr>
          <w:trHeight w:val="842"/>
        </w:trPr>
        <w:tc>
          <w:tcPr>
            <w:tcW w:w="2846" w:type="dxa"/>
            <w:gridSpan w:val="2"/>
            <w:shd w:val="clear" w:color="auto" w:fill="00A1E8"/>
          </w:tcPr>
          <w:p w14:paraId="29B06A86" w14:textId="77777777" w:rsidR="008715BE" w:rsidRPr="00C96230" w:rsidRDefault="008715BE">
            <w:pPr>
              <w:pStyle w:val="TableParagraph"/>
              <w:spacing w:before="136"/>
              <w:rPr>
                <w:rFonts w:ascii="Verdana" w:hAnsi="Verdana"/>
                <w:b/>
                <w:sz w:val="18"/>
                <w:szCs w:val="18"/>
              </w:rPr>
            </w:pPr>
          </w:p>
          <w:p w14:paraId="6FF36487"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676484AE" w14:textId="77777777" w:rsidR="008715BE" w:rsidRPr="00C96230" w:rsidRDefault="008715BE">
            <w:pPr>
              <w:pStyle w:val="TableParagraph"/>
              <w:spacing w:before="136"/>
              <w:rPr>
                <w:rFonts w:ascii="Verdana" w:hAnsi="Verdana"/>
                <w:b/>
                <w:sz w:val="18"/>
                <w:szCs w:val="18"/>
              </w:rPr>
            </w:pPr>
          </w:p>
          <w:p w14:paraId="1642E7F2"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1FC8F580" w14:textId="77777777" w:rsidR="008715BE" w:rsidRPr="00C96230" w:rsidRDefault="008715BE">
            <w:pPr>
              <w:pStyle w:val="TableParagraph"/>
              <w:spacing w:before="40"/>
              <w:rPr>
                <w:rFonts w:ascii="Verdana" w:hAnsi="Verdana"/>
                <w:b/>
                <w:sz w:val="18"/>
                <w:szCs w:val="18"/>
              </w:rPr>
            </w:pPr>
          </w:p>
          <w:p w14:paraId="7B7EE705"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4E719B82" w14:textId="77777777" w:rsidR="008715BE" w:rsidRPr="00C96230" w:rsidRDefault="008715BE">
            <w:pPr>
              <w:pStyle w:val="TableParagraph"/>
              <w:spacing w:before="40"/>
              <w:rPr>
                <w:rFonts w:ascii="Verdana" w:hAnsi="Verdana"/>
                <w:b/>
                <w:sz w:val="18"/>
                <w:szCs w:val="18"/>
              </w:rPr>
            </w:pPr>
          </w:p>
          <w:p w14:paraId="7767AB41"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5F21E56E" w14:textId="77777777" w:rsidR="008715BE" w:rsidRPr="00C96230" w:rsidRDefault="008715BE">
            <w:pPr>
              <w:pStyle w:val="TableParagraph"/>
              <w:spacing w:before="40"/>
              <w:rPr>
                <w:rFonts w:ascii="Verdana" w:hAnsi="Verdana"/>
                <w:b/>
                <w:sz w:val="18"/>
                <w:szCs w:val="18"/>
              </w:rPr>
            </w:pPr>
          </w:p>
          <w:p w14:paraId="326BA0E0"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66078B23" w14:textId="77777777" w:rsidR="008715BE" w:rsidRPr="00C96230" w:rsidRDefault="008715BE">
            <w:pPr>
              <w:pStyle w:val="TableParagraph"/>
              <w:spacing w:before="40"/>
              <w:rPr>
                <w:rFonts w:ascii="Verdana" w:hAnsi="Verdana"/>
                <w:b/>
                <w:sz w:val="18"/>
                <w:szCs w:val="18"/>
              </w:rPr>
            </w:pPr>
          </w:p>
          <w:p w14:paraId="4A71AEC8"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064B0C2C"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081E9B7A" w14:textId="77777777" w:rsidR="008715BE" w:rsidRPr="00C96230" w:rsidRDefault="008715BE">
            <w:pPr>
              <w:pStyle w:val="TableParagraph"/>
              <w:spacing w:before="136"/>
              <w:rPr>
                <w:rFonts w:ascii="Verdana" w:hAnsi="Verdana"/>
                <w:b/>
                <w:sz w:val="18"/>
                <w:szCs w:val="18"/>
              </w:rPr>
            </w:pPr>
          </w:p>
          <w:p w14:paraId="193F403C"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2A8FF805" w14:textId="77777777" w:rsidR="008715BE" w:rsidRPr="00C96230" w:rsidRDefault="008715BE">
            <w:pPr>
              <w:pStyle w:val="TableParagraph"/>
              <w:spacing w:before="40"/>
              <w:rPr>
                <w:rFonts w:ascii="Verdana" w:hAnsi="Verdana"/>
                <w:b/>
                <w:sz w:val="18"/>
                <w:szCs w:val="18"/>
              </w:rPr>
            </w:pPr>
          </w:p>
          <w:p w14:paraId="702A9076"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2BF4E4FF"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6D01D44A" w14:textId="77777777" w:rsidR="008715BE" w:rsidRPr="00C96230" w:rsidRDefault="008715BE">
            <w:pPr>
              <w:pStyle w:val="TableParagraph"/>
              <w:spacing w:before="40"/>
              <w:rPr>
                <w:rFonts w:ascii="Verdana" w:hAnsi="Verdana"/>
                <w:b/>
                <w:sz w:val="18"/>
                <w:szCs w:val="18"/>
              </w:rPr>
            </w:pPr>
          </w:p>
          <w:p w14:paraId="7A3A09EC"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1F9BAA6F" w14:textId="77777777" w:rsidR="008715BE" w:rsidRPr="00C96230" w:rsidRDefault="008715BE">
            <w:pPr>
              <w:pStyle w:val="TableParagraph"/>
              <w:spacing w:before="40"/>
              <w:rPr>
                <w:rFonts w:ascii="Verdana" w:hAnsi="Verdana"/>
                <w:b/>
                <w:sz w:val="18"/>
                <w:szCs w:val="18"/>
              </w:rPr>
            </w:pPr>
          </w:p>
          <w:p w14:paraId="31E61601"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4C51AF4F" w14:textId="77777777">
        <w:trPr>
          <w:trHeight w:val="6609"/>
        </w:trPr>
        <w:tc>
          <w:tcPr>
            <w:tcW w:w="523" w:type="dxa"/>
            <w:vMerge w:val="restart"/>
          </w:tcPr>
          <w:p w14:paraId="4F68A874" w14:textId="77777777" w:rsidR="008715BE" w:rsidRPr="00C96230" w:rsidRDefault="008715BE">
            <w:pPr>
              <w:pStyle w:val="TableParagraph"/>
              <w:rPr>
                <w:rFonts w:ascii="Verdana" w:hAnsi="Verdana"/>
                <w:sz w:val="18"/>
                <w:szCs w:val="18"/>
              </w:rPr>
            </w:pPr>
          </w:p>
        </w:tc>
        <w:tc>
          <w:tcPr>
            <w:tcW w:w="2323" w:type="dxa"/>
            <w:vMerge w:val="restart"/>
          </w:tcPr>
          <w:p w14:paraId="7D1355BC" w14:textId="77777777" w:rsidR="008715BE" w:rsidRPr="00C96230" w:rsidRDefault="008715BE">
            <w:pPr>
              <w:pStyle w:val="TableParagraph"/>
              <w:rPr>
                <w:rFonts w:ascii="Verdana" w:hAnsi="Verdana"/>
                <w:sz w:val="18"/>
                <w:szCs w:val="18"/>
              </w:rPr>
            </w:pPr>
          </w:p>
        </w:tc>
        <w:tc>
          <w:tcPr>
            <w:tcW w:w="3149" w:type="dxa"/>
          </w:tcPr>
          <w:p w14:paraId="69CD0734" w14:textId="77777777" w:rsidR="008715BE" w:rsidRPr="00C96230" w:rsidRDefault="008715BE">
            <w:pPr>
              <w:pStyle w:val="TableParagraph"/>
              <w:rPr>
                <w:rFonts w:ascii="Verdana" w:hAnsi="Verdana"/>
                <w:sz w:val="18"/>
                <w:szCs w:val="18"/>
              </w:rPr>
            </w:pPr>
          </w:p>
        </w:tc>
        <w:tc>
          <w:tcPr>
            <w:tcW w:w="1106" w:type="dxa"/>
          </w:tcPr>
          <w:p w14:paraId="799A441B" w14:textId="77777777" w:rsidR="008715BE" w:rsidRPr="00C96230" w:rsidRDefault="008715BE">
            <w:pPr>
              <w:pStyle w:val="TableParagraph"/>
              <w:rPr>
                <w:rFonts w:ascii="Verdana" w:hAnsi="Verdana"/>
                <w:sz w:val="18"/>
                <w:szCs w:val="18"/>
              </w:rPr>
            </w:pPr>
          </w:p>
        </w:tc>
        <w:tc>
          <w:tcPr>
            <w:tcW w:w="1108" w:type="dxa"/>
          </w:tcPr>
          <w:p w14:paraId="2E33C76E" w14:textId="77777777" w:rsidR="008715BE" w:rsidRPr="00C96230" w:rsidRDefault="008715BE">
            <w:pPr>
              <w:pStyle w:val="TableParagraph"/>
              <w:rPr>
                <w:rFonts w:ascii="Verdana" w:hAnsi="Verdana"/>
                <w:sz w:val="18"/>
                <w:szCs w:val="18"/>
              </w:rPr>
            </w:pPr>
          </w:p>
        </w:tc>
        <w:tc>
          <w:tcPr>
            <w:tcW w:w="1211" w:type="dxa"/>
          </w:tcPr>
          <w:p w14:paraId="1376981C" w14:textId="77777777" w:rsidR="008715BE" w:rsidRPr="00C96230" w:rsidRDefault="008715BE">
            <w:pPr>
              <w:pStyle w:val="TableParagraph"/>
              <w:rPr>
                <w:rFonts w:ascii="Verdana" w:hAnsi="Verdana"/>
                <w:sz w:val="18"/>
                <w:szCs w:val="18"/>
              </w:rPr>
            </w:pPr>
          </w:p>
        </w:tc>
        <w:tc>
          <w:tcPr>
            <w:tcW w:w="1389" w:type="dxa"/>
          </w:tcPr>
          <w:p w14:paraId="47B63925" w14:textId="77777777" w:rsidR="008715BE" w:rsidRPr="00C96230" w:rsidRDefault="00000000">
            <w:pPr>
              <w:pStyle w:val="TableParagraph"/>
              <w:spacing w:before="8"/>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34BB2B84"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0B813016"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761E7A41"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and</w:t>
            </w:r>
          </w:p>
          <w:p w14:paraId="0A450DA5"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6293A80"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46B605E2"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500C9095" w14:textId="77777777" w:rsidR="008715BE" w:rsidRPr="00C96230" w:rsidRDefault="00000000">
            <w:pPr>
              <w:pStyle w:val="TableParagraph"/>
              <w:tabs>
                <w:tab w:val="left" w:pos="888"/>
              </w:tabs>
              <w:ind w:left="108" w:right="91"/>
              <w:rPr>
                <w:rFonts w:ascii="Verdana" w:hAnsi="Verdana"/>
                <w:sz w:val="18"/>
                <w:szCs w:val="18"/>
              </w:rPr>
            </w:pPr>
            <w:r w:rsidRPr="00C96230">
              <w:rPr>
                <w:rFonts w:ascii="Verdana" w:hAnsi="Verdana"/>
                <w:spacing w:val="-2"/>
                <w:sz w:val="18"/>
                <w:szCs w:val="18"/>
              </w:rPr>
              <w:t xml:space="preserve">Independența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municipality</w:t>
            </w:r>
          </w:p>
          <w:p w14:paraId="0D138A09" w14:textId="77777777" w:rsidR="008715BE" w:rsidRPr="00C96230" w:rsidRDefault="00000000">
            <w:pPr>
              <w:pStyle w:val="TableParagraph"/>
              <w:tabs>
                <w:tab w:val="left" w:pos="1213"/>
              </w:tabs>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w:t>
            </w:r>
            <w:r w:rsidRPr="00C96230">
              <w:rPr>
                <w:rFonts w:ascii="Verdana" w:hAnsi="Verdana"/>
                <w:sz w:val="18"/>
                <w:szCs w:val="18"/>
              </w:rPr>
              <w:t xml:space="preserve">built-up area of </w:t>
            </w:r>
            <w:r w:rsidRPr="00C96230">
              <w:rPr>
                <w:rFonts w:ascii="Verdana" w:hAnsi="Verdana"/>
                <w:spacing w:val="-2"/>
                <w:sz w:val="18"/>
                <w:szCs w:val="18"/>
              </w:rPr>
              <w:t>Tătaru</w:t>
            </w:r>
          </w:p>
          <w:p w14:paraId="41A32FF2"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2C7324FE"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Wind</w:t>
            </w:r>
            <w:r w:rsidRPr="00C96230">
              <w:rPr>
                <w:rFonts w:ascii="Verdana" w:hAnsi="Verdana"/>
                <w:sz w:val="18"/>
                <w:szCs w:val="18"/>
              </w:rPr>
              <w:tab/>
            </w:r>
            <w:r w:rsidRPr="00C96230">
              <w:rPr>
                <w:rFonts w:ascii="Verdana" w:hAnsi="Verdana"/>
                <w:spacing w:val="-2"/>
                <w:sz w:val="18"/>
                <w:szCs w:val="18"/>
              </w:rPr>
              <w:t>Karnobat</w:t>
            </w:r>
          </w:p>
          <w:p w14:paraId="585EE217"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(existing</w:t>
            </w:r>
          </w:p>
        </w:tc>
        <w:tc>
          <w:tcPr>
            <w:tcW w:w="1201" w:type="dxa"/>
          </w:tcPr>
          <w:p w14:paraId="4B146093" w14:textId="77777777" w:rsidR="008715BE" w:rsidRPr="00C96230" w:rsidRDefault="008715BE">
            <w:pPr>
              <w:pStyle w:val="TableParagraph"/>
              <w:rPr>
                <w:rFonts w:ascii="Verdana" w:hAnsi="Verdana"/>
                <w:sz w:val="18"/>
                <w:szCs w:val="18"/>
              </w:rPr>
            </w:pPr>
          </w:p>
        </w:tc>
        <w:tc>
          <w:tcPr>
            <w:tcW w:w="1736" w:type="dxa"/>
          </w:tcPr>
          <w:p w14:paraId="67C9C789" w14:textId="77777777" w:rsidR="008715BE" w:rsidRPr="00C96230" w:rsidRDefault="008715BE">
            <w:pPr>
              <w:pStyle w:val="TableParagraph"/>
              <w:rPr>
                <w:rFonts w:ascii="Verdana" w:hAnsi="Verdana"/>
                <w:sz w:val="18"/>
                <w:szCs w:val="18"/>
              </w:rPr>
            </w:pPr>
          </w:p>
        </w:tc>
        <w:tc>
          <w:tcPr>
            <w:tcW w:w="1897" w:type="dxa"/>
          </w:tcPr>
          <w:p w14:paraId="42F8AE55" w14:textId="77777777" w:rsidR="008715BE" w:rsidRPr="00C96230" w:rsidRDefault="008715BE">
            <w:pPr>
              <w:pStyle w:val="TableParagraph"/>
              <w:rPr>
                <w:rFonts w:ascii="Verdana" w:hAnsi="Verdana"/>
                <w:sz w:val="18"/>
                <w:szCs w:val="18"/>
              </w:rPr>
            </w:pPr>
          </w:p>
        </w:tc>
        <w:tc>
          <w:tcPr>
            <w:tcW w:w="3860" w:type="dxa"/>
          </w:tcPr>
          <w:p w14:paraId="5944CB5E" w14:textId="77777777" w:rsidR="008715BE" w:rsidRPr="00C96230" w:rsidRDefault="008715BE">
            <w:pPr>
              <w:pStyle w:val="TableParagraph"/>
              <w:rPr>
                <w:rFonts w:ascii="Verdana" w:hAnsi="Verdana"/>
                <w:sz w:val="18"/>
                <w:szCs w:val="18"/>
              </w:rPr>
            </w:pPr>
          </w:p>
        </w:tc>
        <w:tc>
          <w:tcPr>
            <w:tcW w:w="1889" w:type="dxa"/>
          </w:tcPr>
          <w:p w14:paraId="3F3AC2D8" w14:textId="77777777" w:rsidR="008715BE" w:rsidRPr="00C96230" w:rsidRDefault="008715BE">
            <w:pPr>
              <w:pStyle w:val="TableParagraph"/>
              <w:rPr>
                <w:rFonts w:ascii="Verdana" w:hAnsi="Verdana"/>
                <w:sz w:val="18"/>
                <w:szCs w:val="18"/>
              </w:rPr>
            </w:pPr>
          </w:p>
        </w:tc>
      </w:tr>
      <w:tr w:rsidR="008715BE" w:rsidRPr="00C96230" w14:paraId="58B1048D" w14:textId="77777777">
        <w:trPr>
          <w:trHeight w:val="780"/>
        </w:trPr>
        <w:tc>
          <w:tcPr>
            <w:tcW w:w="523" w:type="dxa"/>
            <w:vMerge/>
            <w:tcBorders>
              <w:top w:val="nil"/>
            </w:tcBorders>
          </w:tcPr>
          <w:p w14:paraId="74BF578B" w14:textId="77777777" w:rsidR="008715BE" w:rsidRPr="00C96230" w:rsidRDefault="008715BE">
            <w:pPr>
              <w:rPr>
                <w:rFonts w:ascii="Verdana" w:hAnsi="Verdana"/>
                <w:sz w:val="18"/>
                <w:szCs w:val="18"/>
              </w:rPr>
            </w:pPr>
          </w:p>
        </w:tc>
        <w:tc>
          <w:tcPr>
            <w:tcW w:w="2323" w:type="dxa"/>
            <w:vMerge/>
            <w:tcBorders>
              <w:top w:val="nil"/>
            </w:tcBorders>
          </w:tcPr>
          <w:p w14:paraId="6B8E5446" w14:textId="77777777" w:rsidR="008715BE" w:rsidRPr="00C96230" w:rsidRDefault="008715BE">
            <w:pPr>
              <w:rPr>
                <w:rFonts w:ascii="Verdana" w:hAnsi="Verdana"/>
                <w:sz w:val="18"/>
                <w:szCs w:val="18"/>
              </w:rPr>
            </w:pPr>
          </w:p>
        </w:tc>
        <w:tc>
          <w:tcPr>
            <w:tcW w:w="3149" w:type="dxa"/>
          </w:tcPr>
          <w:p w14:paraId="4E43E71B" w14:textId="77777777" w:rsidR="008715BE" w:rsidRPr="00C96230" w:rsidRDefault="00000000">
            <w:pPr>
              <w:pStyle w:val="TableParagraph"/>
              <w:spacing w:before="10"/>
              <w:ind w:left="108" w:right="93"/>
              <w:jc w:val="both"/>
              <w:rPr>
                <w:rFonts w:ascii="Verdana" w:hAnsi="Verdana"/>
                <w:sz w:val="18"/>
                <w:szCs w:val="18"/>
              </w:rPr>
            </w:pPr>
            <w:r w:rsidRPr="00C96230">
              <w:rPr>
                <w:rFonts w:ascii="Verdana" w:hAnsi="Verdana"/>
                <w:sz w:val="18"/>
                <w:szCs w:val="18"/>
              </w:rPr>
              <w:t xml:space="preserve">Sudden change in pressure within the range of the turbine blades, but also below this (approx. 5 m) </w:t>
            </w:r>
            <w:r w:rsidRPr="00C96230">
              <w:rPr>
                <w:rFonts w:ascii="Verdana" w:hAnsi="Verdana"/>
                <w:spacing w:val="-10"/>
                <w:sz w:val="18"/>
                <w:szCs w:val="18"/>
              </w:rPr>
              <w:t>-</w:t>
            </w:r>
          </w:p>
          <w:p w14:paraId="1E05E362" w14:textId="77777777" w:rsidR="008715BE" w:rsidRPr="00C96230" w:rsidRDefault="00000000">
            <w:pPr>
              <w:pStyle w:val="TableParagraph"/>
              <w:spacing w:line="163" w:lineRule="exact"/>
              <w:ind w:left="108"/>
              <w:rPr>
                <w:rFonts w:ascii="Verdana" w:hAnsi="Verdana"/>
                <w:sz w:val="18"/>
                <w:szCs w:val="18"/>
              </w:rPr>
            </w:pPr>
            <w:r w:rsidRPr="00C96230">
              <w:rPr>
                <w:rFonts w:ascii="Verdana" w:hAnsi="Verdana"/>
                <w:spacing w:val="-2"/>
                <w:sz w:val="18"/>
                <w:szCs w:val="18"/>
              </w:rPr>
              <w:t>barotrauma</w:t>
            </w:r>
          </w:p>
        </w:tc>
        <w:tc>
          <w:tcPr>
            <w:tcW w:w="1106" w:type="dxa"/>
          </w:tcPr>
          <w:p w14:paraId="62F0E1A5"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REP</w:t>
            </w:r>
          </w:p>
        </w:tc>
        <w:tc>
          <w:tcPr>
            <w:tcW w:w="1108" w:type="dxa"/>
          </w:tcPr>
          <w:p w14:paraId="4E0D55E0" w14:textId="77777777" w:rsidR="008715BE" w:rsidRPr="00C96230" w:rsidRDefault="00000000">
            <w:pPr>
              <w:pStyle w:val="TableParagraph"/>
              <w:spacing w:before="10"/>
              <w:ind w:left="109" w:right="93"/>
              <w:jc w:val="both"/>
              <w:rPr>
                <w:rFonts w:ascii="Verdana" w:hAnsi="Verdana"/>
                <w:sz w:val="18"/>
                <w:szCs w:val="18"/>
              </w:rPr>
            </w:pPr>
            <w:r w:rsidRPr="00C96230">
              <w:rPr>
                <w:rFonts w:ascii="Verdana" w:hAnsi="Verdana"/>
                <w:sz w:val="18"/>
                <w:szCs w:val="18"/>
              </w:rPr>
              <w:t xml:space="preserve">No indirect </w:t>
            </w:r>
            <w:r w:rsidRPr="00C96230">
              <w:rPr>
                <w:rFonts w:ascii="Verdana" w:hAnsi="Verdana"/>
                <w:spacing w:val="-2"/>
                <w:sz w:val="18"/>
                <w:szCs w:val="18"/>
              </w:rPr>
              <w:t xml:space="preserve">impacts </w:t>
            </w:r>
            <w:r w:rsidRPr="00C96230">
              <w:rPr>
                <w:rFonts w:ascii="Verdana" w:hAnsi="Verdana"/>
                <w:sz w:val="18"/>
                <w:szCs w:val="18"/>
              </w:rPr>
              <w:t xml:space="preserve">were </w:t>
            </w:r>
            <w:r w:rsidRPr="00C96230">
              <w:rPr>
                <w:rFonts w:ascii="Verdana" w:hAnsi="Verdana"/>
                <w:spacing w:val="-2"/>
                <w:sz w:val="18"/>
                <w:szCs w:val="18"/>
              </w:rPr>
              <w:t>identified</w:t>
            </w:r>
          </w:p>
          <w:p w14:paraId="70A45188" w14:textId="77777777" w:rsidR="008715BE" w:rsidRPr="00C96230" w:rsidRDefault="00000000">
            <w:pPr>
              <w:pStyle w:val="TableParagraph"/>
              <w:spacing w:line="163"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6AD8C278" w14:textId="77777777" w:rsidR="008715BE" w:rsidRPr="00C96230" w:rsidRDefault="00000000">
            <w:pPr>
              <w:pStyle w:val="TableParagraph"/>
              <w:spacing w:before="10"/>
              <w:ind w:left="107"/>
              <w:rPr>
                <w:rFonts w:ascii="Verdana" w:hAnsi="Verdana"/>
                <w:sz w:val="18"/>
                <w:szCs w:val="18"/>
              </w:rPr>
            </w:pPr>
            <w:r w:rsidRPr="00C96230">
              <w:rPr>
                <w:rFonts w:ascii="Verdana" w:hAnsi="Verdana"/>
                <w:sz w:val="18"/>
                <w:szCs w:val="18"/>
              </w:rPr>
              <w:t xml:space="preserve">No secondary </w:t>
            </w:r>
            <w:r w:rsidRPr="00C96230">
              <w:rPr>
                <w:rFonts w:ascii="Verdana" w:hAnsi="Verdana"/>
                <w:spacing w:val="-2"/>
                <w:sz w:val="18"/>
                <w:szCs w:val="18"/>
              </w:rPr>
              <w:t xml:space="preserve">impacts </w:t>
            </w:r>
            <w:r w:rsidRPr="00C96230">
              <w:rPr>
                <w:rFonts w:ascii="Verdana" w:hAnsi="Verdana"/>
                <w:sz w:val="18"/>
                <w:szCs w:val="18"/>
              </w:rPr>
              <w:t xml:space="preserve">were </w:t>
            </w:r>
            <w:r w:rsidRPr="00C96230">
              <w:rPr>
                <w:rFonts w:ascii="Verdana" w:hAnsi="Verdana"/>
                <w:spacing w:val="-2"/>
                <w:sz w:val="18"/>
                <w:szCs w:val="18"/>
              </w:rPr>
              <w:t>identified</w:t>
            </w:r>
          </w:p>
          <w:p w14:paraId="18A95D5F" w14:textId="77777777" w:rsidR="008715BE" w:rsidRPr="00C96230" w:rsidRDefault="00000000">
            <w:pPr>
              <w:pStyle w:val="TableParagraph"/>
              <w:spacing w:line="163" w:lineRule="exact"/>
              <w:ind w:left="107"/>
              <w:rPr>
                <w:rFonts w:ascii="Verdana" w:hAnsi="Verdana"/>
                <w:sz w:val="18"/>
                <w:szCs w:val="18"/>
              </w:rPr>
            </w:pPr>
            <w:r w:rsidRPr="00C96230">
              <w:rPr>
                <w:rFonts w:ascii="Verdana" w:hAnsi="Verdana"/>
                <w:spacing w:val="-2"/>
                <w:sz w:val="18"/>
                <w:szCs w:val="18"/>
              </w:rPr>
              <w:t>secondary</w:t>
            </w:r>
          </w:p>
        </w:tc>
        <w:tc>
          <w:tcPr>
            <w:tcW w:w="1389" w:type="dxa"/>
          </w:tcPr>
          <w:p w14:paraId="346FCF04" w14:textId="77777777" w:rsidR="008715BE" w:rsidRPr="00C96230" w:rsidRDefault="00000000">
            <w:pPr>
              <w:pStyle w:val="TableParagraph"/>
              <w:tabs>
                <w:tab w:val="left" w:pos="588"/>
              </w:tabs>
              <w:spacing w:before="10"/>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4065AD8F" w14:textId="77777777" w:rsidR="008715BE" w:rsidRPr="00C96230" w:rsidRDefault="00000000">
            <w:pPr>
              <w:pStyle w:val="TableParagraph"/>
              <w:spacing w:line="163" w:lineRule="exact"/>
              <w:ind w:left="108"/>
              <w:rPr>
                <w:rFonts w:ascii="Verdana" w:hAnsi="Verdana"/>
                <w:sz w:val="18"/>
                <w:szCs w:val="18"/>
              </w:rPr>
            </w:pPr>
            <w:r w:rsidRPr="00C96230">
              <w:rPr>
                <w:rFonts w:ascii="Verdana" w:hAnsi="Verdana"/>
                <w:spacing w:val="-2"/>
                <w:sz w:val="18"/>
                <w:szCs w:val="18"/>
              </w:rPr>
              <w:t>Cumulative</w:t>
            </w:r>
          </w:p>
        </w:tc>
        <w:tc>
          <w:tcPr>
            <w:tcW w:w="1201" w:type="dxa"/>
          </w:tcPr>
          <w:p w14:paraId="17C03060" w14:textId="77777777" w:rsidR="008715BE" w:rsidRPr="00C96230" w:rsidRDefault="00000000">
            <w:pPr>
              <w:pStyle w:val="TableParagraph"/>
              <w:spacing w:before="10"/>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430C9C28" w14:textId="77777777" w:rsidR="008715BE" w:rsidRPr="00C96230" w:rsidRDefault="00000000">
            <w:pPr>
              <w:pStyle w:val="TableParagraph"/>
              <w:spacing w:before="10"/>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55CF76BB" w14:textId="77777777" w:rsidR="008715BE" w:rsidRPr="00C96230" w:rsidRDefault="00000000">
            <w:pPr>
              <w:pStyle w:val="TableParagraph"/>
              <w:spacing w:before="10"/>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30AD9B9" w14:textId="77777777" w:rsidR="008715BE" w:rsidRPr="00C96230" w:rsidRDefault="00000000">
            <w:pPr>
              <w:pStyle w:val="TableParagraph"/>
              <w:spacing w:before="10"/>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224F565D" w14:textId="77777777" w:rsidR="008715BE" w:rsidRPr="00C96230" w:rsidRDefault="00000000">
            <w:pPr>
              <w:pStyle w:val="TableParagraph"/>
              <w:spacing w:before="10"/>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00013329" w14:textId="77777777">
        <w:trPr>
          <w:trHeight w:val="777"/>
        </w:trPr>
        <w:tc>
          <w:tcPr>
            <w:tcW w:w="523" w:type="dxa"/>
            <w:vMerge/>
            <w:tcBorders>
              <w:top w:val="nil"/>
            </w:tcBorders>
          </w:tcPr>
          <w:p w14:paraId="1A087C1A" w14:textId="77777777" w:rsidR="008715BE" w:rsidRPr="00C96230" w:rsidRDefault="008715BE">
            <w:pPr>
              <w:rPr>
                <w:rFonts w:ascii="Verdana" w:hAnsi="Verdana"/>
                <w:sz w:val="18"/>
                <w:szCs w:val="18"/>
              </w:rPr>
            </w:pPr>
          </w:p>
        </w:tc>
        <w:tc>
          <w:tcPr>
            <w:tcW w:w="2323" w:type="dxa"/>
            <w:vMerge w:val="restart"/>
          </w:tcPr>
          <w:p w14:paraId="528DB3FB"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Maintenance and </w:t>
            </w:r>
            <w:r w:rsidRPr="00C96230">
              <w:rPr>
                <w:rFonts w:ascii="Verdana" w:hAnsi="Verdana"/>
                <w:spacing w:val="-2"/>
                <w:sz w:val="18"/>
                <w:szCs w:val="18"/>
              </w:rPr>
              <w:t>servicing</w:t>
            </w:r>
          </w:p>
        </w:tc>
        <w:tc>
          <w:tcPr>
            <w:tcW w:w="3149" w:type="dxa"/>
          </w:tcPr>
          <w:p w14:paraId="213E896A" w14:textId="77777777" w:rsidR="008715BE" w:rsidRPr="00C96230" w:rsidRDefault="00000000">
            <w:pPr>
              <w:pStyle w:val="TableParagraph"/>
              <w:spacing w:line="194" w:lineRule="exact"/>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 xml:space="preserve">repair </w:t>
            </w:r>
            <w:r w:rsidRPr="00C96230">
              <w:rPr>
                <w:rFonts w:ascii="Verdana" w:hAnsi="Verdana"/>
                <w:sz w:val="18"/>
                <w:szCs w:val="18"/>
              </w:rPr>
              <w:t>front area</w:t>
            </w:r>
          </w:p>
        </w:tc>
        <w:tc>
          <w:tcPr>
            <w:tcW w:w="1106" w:type="dxa"/>
          </w:tcPr>
          <w:p w14:paraId="772A6A3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3138CCF8"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6B1C009C"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C505B8E"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1D52C3B"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0A0E9E84"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6DE3E194"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5A51CA5F"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ECD9607"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5EA7922D" w14:textId="77777777">
        <w:trPr>
          <w:trHeight w:val="777"/>
        </w:trPr>
        <w:tc>
          <w:tcPr>
            <w:tcW w:w="523" w:type="dxa"/>
            <w:vMerge/>
            <w:tcBorders>
              <w:top w:val="nil"/>
            </w:tcBorders>
          </w:tcPr>
          <w:p w14:paraId="49144A3E" w14:textId="77777777" w:rsidR="008715BE" w:rsidRPr="00C96230" w:rsidRDefault="008715BE">
            <w:pPr>
              <w:rPr>
                <w:rFonts w:ascii="Verdana" w:hAnsi="Verdana"/>
                <w:sz w:val="18"/>
                <w:szCs w:val="18"/>
              </w:rPr>
            </w:pPr>
          </w:p>
        </w:tc>
        <w:tc>
          <w:tcPr>
            <w:tcW w:w="2323" w:type="dxa"/>
            <w:vMerge/>
            <w:tcBorders>
              <w:top w:val="nil"/>
            </w:tcBorders>
          </w:tcPr>
          <w:p w14:paraId="2A70F5A8" w14:textId="77777777" w:rsidR="008715BE" w:rsidRPr="00C96230" w:rsidRDefault="008715BE">
            <w:pPr>
              <w:rPr>
                <w:rFonts w:ascii="Verdana" w:hAnsi="Verdana"/>
                <w:sz w:val="18"/>
                <w:szCs w:val="18"/>
              </w:rPr>
            </w:pPr>
          </w:p>
        </w:tc>
        <w:tc>
          <w:tcPr>
            <w:tcW w:w="3149" w:type="dxa"/>
          </w:tcPr>
          <w:p w14:paraId="4A8CFA28"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1D65BF5A"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636AABF8"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w:t>
            </w:r>
            <w:r w:rsidRPr="00C96230">
              <w:rPr>
                <w:rFonts w:ascii="Verdana" w:hAnsi="Verdana"/>
                <w:sz w:val="18"/>
                <w:szCs w:val="18"/>
              </w:rPr>
              <w:lastRenderedPageBreak/>
              <w:t xml:space="preserve">been </w:t>
            </w:r>
            <w:r w:rsidRPr="00C96230">
              <w:rPr>
                <w:rFonts w:ascii="Verdana" w:hAnsi="Verdana"/>
                <w:spacing w:val="-2"/>
                <w:sz w:val="18"/>
                <w:szCs w:val="18"/>
              </w:rPr>
              <w:t>identified</w:t>
            </w:r>
          </w:p>
        </w:tc>
        <w:tc>
          <w:tcPr>
            <w:tcW w:w="1211" w:type="dxa"/>
          </w:tcPr>
          <w:p w14:paraId="0E5445DA"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lastRenderedPageBreak/>
              <w:t xml:space="preserve">No </w:t>
            </w:r>
            <w:r w:rsidRPr="00C96230">
              <w:rPr>
                <w:rFonts w:ascii="Verdana" w:hAnsi="Verdana"/>
                <w:spacing w:val="-2"/>
                <w:sz w:val="18"/>
                <w:szCs w:val="18"/>
              </w:rPr>
              <w:t>secondary impacts identified</w:t>
            </w:r>
          </w:p>
        </w:tc>
        <w:tc>
          <w:tcPr>
            <w:tcW w:w="1389" w:type="dxa"/>
          </w:tcPr>
          <w:p w14:paraId="5208803B"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B2C2E94"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5903A0C2"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7B3B06C5"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227F9AAB"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145D6991"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7524880D" w14:textId="77777777">
        <w:trPr>
          <w:trHeight w:val="4668"/>
        </w:trPr>
        <w:tc>
          <w:tcPr>
            <w:tcW w:w="523" w:type="dxa"/>
            <w:textDirection w:val="btLr"/>
          </w:tcPr>
          <w:p w14:paraId="5D9FB285" w14:textId="77777777" w:rsidR="008715BE" w:rsidRPr="00C96230" w:rsidRDefault="00000000">
            <w:pPr>
              <w:pStyle w:val="TableParagraph"/>
              <w:spacing w:before="171"/>
              <w:ind w:left="1"/>
              <w:jc w:val="center"/>
              <w:rPr>
                <w:rFonts w:ascii="Verdana" w:hAnsi="Verdana"/>
                <w:sz w:val="18"/>
                <w:szCs w:val="18"/>
              </w:rPr>
            </w:pPr>
            <w:r w:rsidRPr="00C96230">
              <w:rPr>
                <w:rFonts w:ascii="Verdana" w:hAnsi="Verdana"/>
                <w:spacing w:val="-2"/>
                <w:sz w:val="18"/>
                <w:szCs w:val="18"/>
              </w:rPr>
              <w:t>Decommissioning</w:t>
            </w:r>
          </w:p>
        </w:tc>
        <w:tc>
          <w:tcPr>
            <w:tcW w:w="2323" w:type="dxa"/>
          </w:tcPr>
          <w:p w14:paraId="529080EA" w14:textId="77777777" w:rsidR="008715BE" w:rsidRPr="00C96230" w:rsidRDefault="00000000">
            <w:pPr>
              <w:pStyle w:val="TableParagraph"/>
              <w:tabs>
                <w:tab w:val="left" w:pos="2087"/>
              </w:tabs>
              <w:spacing w:before="8"/>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0CAE80BB"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1D8D32B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4"/>
                <w:sz w:val="18"/>
                <w:szCs w:val="18"/>
              </w:rPr>
              <w:t>AH/PH</w:t>
            </w:r>
          </w:p>
        </w:tc>
        <w:tc>
          <w:tcPr>
            <w:tcW w:w="1108" w:type="dxa"/>
          </w:tcPr>
          <w:p w14:paraId="4CE06E53"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58F5550C"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389" w:type="dxa"/>
          </w:tcPr>
          <w:p w14:paraId="56CC809B"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7E6E8C94"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213F489"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029925D5"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484D0BCF"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tc>
        <w:tc>
          <w:tcPr>
            <w:tcW w:w="3860" w:type="dxa"/>
          </w:tcPr>
          <w:p w14:paraId="4ECADD37" w14:textId="77777777" w:rsidR="008715BE" w:rsidRPr="00C96230" w:rsidRDefault="00000000">
            <w:pPr>
              <w:pStyle w:val="TableParagraph"/>
              <w:spacing w:before="8"/>
              <w:ind w:left="117" w:right="83"/>
              <w:jc w:val="both"/>
              <w:rPr>
                <w:rFonts w:ascii="Verdana" w:hAnsi="Verdana"/>
                <w:sz w:val="18"/>
                <w:szCs w:val="18"/>
              </w:rPr>
            </w:pPr>
            <w:r w:rsidRPr="00C96230">
              <w:rPr>
                <w:rFonts w:ascii="Verdana" w:hAnsi="Verdana"/>
                <w:sz w:val="18"/>
                <w:szCs w:val="18"/>
              </w:rPr>
              <w:t xml:space="preserve">Insignificant. The impact will be felt outside the protected area, in the work front areas, resulting in the temporary removal of fauna specimens that use these areas for feeding or resting. These species will move to neighboring areas with similar habitat conditions. The effect will be temporary and insignificant, concentrated on specific work periods. The works will be carried out in stages, and impact monitoring and prevention measures will be implemented to ensure the protection of fauna in these areas. The works will also comply with the prohibition periods for interventions during sensitive periods for </w:t>
            </w:r>
            <w:r w:rsidRPr="00C96230">
              <w:rPr>
                <w:rFonts w:ascii="Verdana" w:hAnsi="Verdana"/>
                <w:spacing w:val="-2"/>
                <w:sz w:val="18"/>
                <w:szCs w:val="18"/>
              </w:rPr>
              <w:t>vulnerable</w:t>
            </w:r>
            <w:r w:rsidRPr="00C96230">
              <w:rPr>
                <w:rFonts w:ascii="Verdana" w:hAnsi="Verdana"/>
                <w:sz w:val="18"/>
                <w:szCs w:val="18"/>
              </w:rPr>
              <w:t xml:space="preserve"> species</w:t>
            </w:r>
            <w:r w:rsidRPr="00C96230">
              <w:rPr>
                <w:rFonts w:ascii="Verdana" w:hAnsi="Verdana"/>
                <w:spacing w:val="-2"/>
                <w:sz w:val="18"/>
                <w:szCs w:val="18"/>
              </w:rPr>
              <w:t>.</w:t>
            </w:r>
          </w:p>
          <w:p w14:paraId="57956FBB" w14:textId="77777777" w:rsidR="008715BE" w:rsidRPr="00C96230" w:rsidRDefault="00000000">
            <w:pPr>
              <w:pStyle w:val="TableParagraph"/>
              <w:spacing w:before="182"/>
              <w:ind w:left="117"/>
              <w:jc w:val="both"/>
              <w:rPr>
                <w:rFonts w:ascii="Verdana" w:hAnsi="Verdana"/>
                <w:sz w:val="18"/>
                <w:szCs w:val="18"/>
              </w:rPr>
            </w:pPr>
            <w:r w:rsidRPr="00C96230">
              <w:rPr>
                <w:rFonts w:ascii="Verdana" w:hAnsi="Verdana"/>
                <w:sz w:val="18"/>
                <w:szCs w:val="18"/>
              </w:rPr>
              <w:t xml:space="preserve">0 ha of the </w:t>
            </w:r>
            <w:r w:rsidRPr="00C96230">
              <w:rPr>
                <w:rFonts w:ascii="Verdana" w:hAnsi="Verdana"/>
                <w:spacing w:val="-2"/>
                <w:sz w:val="18"/>
                <w:szCs w:val="18"/>
              </w:rPr>
              <w:t xml:space="preserve">protected </w:t>
            </w:r>
            <w:r w:rsidRPr="00C96230">
              <w:rPr>
                <w:rFonts w:ascii="Verdana" w:hAnsi="Verdana"/>
                <w:sz w:val="18"/>
                <w:szCs w:val="18"/>
              </w:rPr>
              <w:t>area</w:t>
            </w:r>
          </w:p>
          <w:p w14:paraId="1AEC303A" w14:textId="77777777" w:rsidR="008715BE" w:rsidRPr="00C96230" w:rsidRDefault="00000000">
            <w:pPr>
              <w:pStyle w:val="TableParagraph"/>
              <w:spacing w:before="166" w:line="194" w:lineRule="exact"/>
              <w:ind w:left="117" w:right="76"/>
              <w:rPr>
                <w:rFonts w:ascii="Verdana" w:hAnsi="Verdana"/>
                <w:sz w:val="18"/>
                <w:szCs w:val="18"/>
              </w:rPr>
            </w:pPr>
            <w:r w:rsidRPr="00C96230">
              <w:rPr>
                <w:rFonts w:ascii="Verdana" w:hAnsi="Verdana"/>
                <w:sz w:val="18"/>
                <w:szCs w:val="18"/>
              </w:rPr>
              <w:t xml:space="preserve">Areas outside the protected area that could constitute feeding habitats: 0.9 ha temporarily occupied, site organization area + </w:t>
            </w:r>
            <w:r w:rsidRPr="00C96230">
              <w:rPr>
                <w:rFonts w:ascii="Verdana" w:hAnsi="Verdana"/>
                <w:spacing w:val="-2"/>
                <w:sz w:val="18"/>
                <w:szCs w:val="18"/>
              </w:rPr>
              <w:t xml:space="preserve">occupied </w:t>
            </w:r>
            <w:r w:rsidRPr="00C96230">
              <w:rPr>
                <w:rFonts w:ascii="Verdana" w:hAnsi="Verdana"/>
                <w:sz w:val="18"/>
                <w:szCs w:val="18"/>
              </w:rPr>
              <w:t>area</w:t>
            </w:r>
          </w:p>
        </w:tc>
        <w:tc>
          <w:tcPr>
            <w:tcW w:w="1889" w:type="dxa"/>
          </w:tcPr>
          <w:p w14:paraId="7202EBFF" w14:textId="77777777" w:rsidR="008715BE" w:rsidRPr="00C96230" w:rsidRDefault="00000000">
            <w:pPr>
              <w:pStyle w:val="TableParagraph"/>
              <w:tabs>
                <w:tab w:val="left" w:pos="944"/>
                <w:tab w:val="left" w:pos="1417"/>
                <w:tab w:val="left" w:pos="1666"/>
              </w:tabs>
              <w:spacing w:before="8"/>
              <w:ind w:left="119" w:right="81"/>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z w:val="18"/>
                <w:szCs w:val="18"/>
              </w:rPr>
              <w:t xml:space="preserve">carried out in the field </w:t>
            </w:r>
            <w:r w:rsidRPr="00C96230">
              <w:rPr>
                <w:rFonts w:ascii="Verdana" w:hAnsi="Verdana"/>
                <w:spacing w:val="-4"/>
                <w:sz w:val="18"/>
                <w:szCs w:val="18"/>
              </w:rPr>
              <w:t>with</w:t>
            </w:r>
            <w:r w:rsidRPr="00C96230">
              <w:rPr>
                <w:rFonts w:ascii="Verdana" w:hAnsi="Verdana"/>
                <w:sz w:val="18"/>
                <w:szCs w:val="18"/>
              </w:rPr>
              <w:tab/>
            </w:r>
            <w:r w:rsidRPr="00C96230">
              <w:rPr>
                <w:rFonts w:ascii="Verdana" w:hAnsi="Verdana"/>
                <w:spacing w:val="-6"/>
                <w:sz w:val="18"/>
                <w:szCs w:val="18"/>
              </w:rPr>
              <w:t>based</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pacing w:val="-4"/>
                <w:sz w:val="18"/>
                <w:szCs w:val="18"/>
              </w:rPr>
              <w:t xml:space="preserve">of </w:t>
            </w:r>
            <w:r w:rsidRPr="00C96230">
              <w:rPr>
                <w:rFonts w:ascii="Verdana" w:hAnsi="Verdana"/>
                <w:sz w:val="18"/>
                <w:szCs w:val="18"/>
              </w:rPr>
              <w:t>the observed species GIS analysis.</w:t>
            </w:r>
          </w:p>
        </w:tc>
      </w:tr>
    </w:tbl>
    <w:p w14:paraId="158442A7"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0DFDB1C0"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498097D9" w14:textId="77777777">
        <w:trPr>
          <w:trHeight w:val="842"/>
        </w:trPr>
        <w:tc>
          <w:tcPr>
            <w:tcW w:w="2846" w:type="dxa"/>
            <w:gridSpan w:val="2"/>
            <w:shd w:val="clear" w:color="auto" w:fill="00A1E8"/>
          </w:tcPr>
          <w:p w14:paraId="5898C540" w14:textId="77777777" w:rsidR="008715BE" w:rsidRPr="00C96230" w:rsidRDefault="008715BE">
            <w:pPr>
              <w:pStyle w:val="TableParagraph"/>
              <w:spacing w:before="136"/>
              <w:rPr>
                <w:rFonts w:ascii="Verdana" w:hAnsi="Verdana"/>
                <w:b/>
                <w:sz w:val="18"/>
                <w:szCs w:val="18"/>
              </w:rPr>
            </w:pPr>
          </w:p>
          <w:p w14:paraId="77D4126C"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1DD3A1D6" w14:textId="77777777" w:rsidR="008715BE" w:rsidRPr="00C96230" w:rsidRDefault="008715BE">
            <w:pPr>
              <w:pStyle w:val="TableParagraph"/>
              <w:spacing w:before="136"/>
              <w:rPr>
                <w:rFonts w:ascii="Verdana" w:hAnsi="Verdana"/>
                <w:b/>
                <w:sz w:val="18"/>
                <w:szCs w:val="18"/>
              </w:rPr>
            </w:pPr>
          </w:p>
          <w:p w14:paraId="5AF45818"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6AE48A40" w14:textId="77777777" w:rsidR="008715BE" w:rsidRPr="00C96230" w:rsidRDefault="008715BE">
            <w:pPr>
              <w:pStyle w:val="TableParagraph"/>
              <w:spacing w:before="40"/>
              <w:rPr>
                <w:rFonts w:ascii="Verdana" w:hAnsi="Verdana"/>
                <w:b/>
                <w:sz w:val="18"/>
                <w:szCs w:val="18"/>
              </w:rPr>
            </w:pPr>
          </w:p>
          <w:p w14:paraId="5C98AAE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67E1C1F9" w14:textId="77777777" w:rsidR="008715BE" w:rsidRPr="00C96230" w:rsidRDefault="008715BE">
            <w:pPr>
              <w:pStyle w:val="TableParagraph"/>
              <w:spacing w:before="40"/>
              <w:rPr>
                <w:rFonts w:ascii="Verdana" w:hAnsi="Verdana"/>
                <w:b/>
                <w:sz w:val="18"/>
                <w:szCs w:val="18"/>
              </w:rPr>
            </w:pPr>
          </w:p>
          <w:p w14:paraId="5ADB6E08"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2F191D6C" w14:textId="77777777" w:rsidR="008715BE" w:rsidRPr="00C96230" w:rsidRDefault="008715BE">
            <w:pPr>
              <w:pStyle w:val="TableParagraph"/>
              <w:spacing w:before="40"/>
              <w:rPr>
                <w:rFonts w:ascii="Verdana" w:hAnsi="Verdana"/>
                <w:b/>
                <w:sz w:val="18"/>
                <w:szCs w:val="18"/>
              </w:rPr>
            </w:pPr>
          </w:p>
          <w:p w14:paraId="718A7D04"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68EAF8EA" w14:textId="77777777" w:rsidR="008715BE" w:rsidRPr="00C96230" w:rsidRDefault="008715BE">
            <w:pPr>
              <w:pStyle w:val="TableParagraph"/>
              <w:spacing w:before="40"/>
              <w:rPr>
                <w:rFonts w:ascii="Verdana" w:hAnsi="Verdana"/>
                <w:b/>
                <w:sz w:val="18"/>
                <w:szCs w:val="18"/>
              </w:rPr>
            </w:pPr>
          </w:p>
          <w:p w14:paraId="195C0998"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7AE8C4DC"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4ED53869" w14:textId="77777777" w:rsidR="008715BE" w:rsidRPr="00C96230" w:rsidRDefault="008715BE">
            <w:pPr>
              <w:pStyle w:val="TableParagraph"/>
              <w:spacing w:before="136"/>
              <w:rPr>
                <w:rFonts w:ascii="Verdana" w:hAnsi="Verdana"/>
                <w:b/>
                <w:sz w:val="18"/>
                <w:szCs w:val="18"/>
              </w:rPr>
            </w:pPr>
          </w:p>
          <w:p w14:paraId="64E20429"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4DC687F0" w14:textId="77777777" w:rsidR="008715BE" w:rsidRPr="00C96230" w:rsidRDefault="008715BE">
            <w:pPr>
              <w:pStyle w:val="TableParagraph"/>
              <w:spacing w:before="40"/>
              <w:rPr>
                <w:rFonts w:ascii="Verdana" w:hAnsi="Verdana"/>
                <w:b/>
                <w:sz w:val="18"/>
                <w:szCs w:val="18"/>
              </w:rPr>
            </w:pPr>
          </w:p>
          <w:p w14:paraId="5459E35E"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17747D8B"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6B0102A7" w14:textId="77777777" w:rsidR="008715BE" w:rsidRPr="00C96230" w:rsidRDefault="008715BE">
            <w:pPr>
              <w:pStyle w:val="TableParagraph"/>
              <w:spacing w:before="40"/>
              <w:rPr>
                <w:rFonts w:ascii="Verdana" w:hAnsi="Verdana"/>
                <w:b/>
                <w:sz w:val="18"/>
                <w:szCs w:val="18"/>
              </w:rPr>
            </w:pPr>
          </w:p>
          <w:p w14:paraId="20CFB39C"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5B2A33B9" w14:textId="77777777" w:rsidR="008715BE" w:rsidRPr="00C96230" w:rsidRDefault="008715BE">
            <w:pPr>
              <w:pStyle w:val="TableParagraph"/>
              <w:spacing w:before="40"/>
              <w:rPr>
                <w:rFonts w:ascii="Verdana" w:hAnsi="Verdana"/>
                <w:b/>
                <w:sz w:val="18"/>
                <w:szCs w:val="18"/>
              </w:rPr>
            </w:pPr>
          </w:p>
          <w:p w14:paraId="7D0F280E"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z w:val="18"/>
                <w:szCs w:val="18"/>
              </w:rPr>
              <w:t xml:space="preserve">Method of </w:t>
            </w:r>
            <w:r w:rsidRPr="00C96230">
              <w:rPr>
                <w:rFonts w:ascii="Verdana" w:hAnsi="Verdana"/>
                <w:b/>
                <w:color w:val="FFFFFF"/>
                <w:spacing w:val="-2"/>
                <w:sz w:val="18"/>
                <w:szCs w:val="18"/>
              </w:rPr>
              <w:t>quantification</w:t>
            </w:r>
          </w:p>
        </w:tc>
      </w:tr>
      <w:tr w:rsidR="008715BE" w:rsidRPr="00C96230" w14:paraId="7CD31715" w14:textId="77777777">
        <w:trPr>
          <w:trHeight w:val="1259"/>
        </w:trPr>
        <w:tc>
          <w:tcPr>
            <w:tcW w:w="523" w:type="dxa"/>
            <w:vMerge w:val="restart"/>
          </w:tcPr>
          <w:p w14:paraId="654E35EC" w14:textId="77777777" w:rsidR="008715BE" w:rsidRPr="00C96230" w:rsidRDefault="008715BE">
            <w:pPr>
              <w:pStyle w:val="TableParagraph"/>
              <w:rPr>
                <w:rFonts w:ascii="Verdana" w:hAnsi="Verdana"/>
                <w:sz w:val="18"/>
                <w:szCs w:val="18"/>
              </w:rPr>
            </w:pPr>
          </w:p>
        </w:tc>
        <w:tc>
          <w:tcPr>
            <w:tcW w:w="2323" w:type="dxa"/>
            <w:vMerge w:val="restart"/>
          </w:tcPr>
          <w:p w14:paraId="047793A0" w14:textId="77777777" w:rsidR="008715BE" w:rsidRPr="00C96230" w:rsidRDefault="008715BE">
            <w:pPr>
              <w:pStyle w:val="TableParagraph"/>
              <w:rPr>
                <w:rFonts w:ascii="Verdana" w:hAnsi="Verdana"/>
                <w:sz w:val="18"/>
                <w:szCs w:val="18"/>
              </w:rPr>
            </w:pPr>
          </w:p>
        </w:tc>
        <w:tc>
          <w:tcPr>
            <w:tcW w:w="3149" w:type="dxa"/>
          </w:tcPr>
          <w:p w14:paraId="7A672262" w14:textId="77777777" w:rsidR="008715BE" w:rsidRPr="00C96230" w:rsidRDefault="008715BE">
            <w:pPr>
              <w:pStyle w:val="TableParagraph"/>
              <w:rPr>
                <w:rFonts w:ascii="Verdana" w:hAnsi="Verdana"/>
                <w:sz w:val="18"/>
                <w:szCs w:val="18"/>
              </w:rPr>
            </w:pPr>
          </w:p>
        </w:tc>
        <w:tc>
          <w:tcPr>
            <w:tcW w:w="1106" w:type="dxa"/>
          </w:tcPr>
          <w:p w14:paraId="619F11D2" w14:textId="77777777" w:rsidR="008715BE" w:rsidRPr="00C96230" w:rsidRDefault="008715BE">
            <w:pPr>
              <w:pStyle w:val="TableParagraph"/>
              <w:rPr>
                <w:rFonts w:ascii="Verdana" w:hAnsi="Verdana"/>
                <w:sz w:val="18"/>
                <w:szCs w:val="18"/>
              </w:rPr>
            </w:pPr>
          </w:p>
        </w:tc>
        <w:tc>
          <w:tcPr>
            <w:tcW w:w="1108" w:type="dxa"/>
          </w:tcPr>
          <w:p w14:paraId="2E7B87D2" w14:textId="77777777" w:rsidR="008715BE" w:rsidRPr="00C96230" w:rsidRDefault="008715BE">
            <w:pPr>
              <w:pStyle w:val="TableParagraph"/>
              <w:rPr>
                <w:rFonts w:ascii="Verdana" w:hAnsi="Verdana"/>
                <w:sz w:val="18"/>
                <w:szCs w:val="18"/>
              </w:rPr>
            </w:pPr>
          </w:p>
        </w:tc>
        <w:tc>
          <w:tcPr>
            <w:tcW w:w="1211" w:type="dxa"/>
          </w:tcPr>
          <w:p w14:paraId="541657A8" w14:textId="77777777" w:rsidR="008715BE" w:rsidRPr="00C96230" w:rsidRDefault="008715BE">
            <w:pPr>
              <w:pStyle w:val="TableParagraph"/>
              <w:rPr>
                <w:rFonts w:ascii="Verdana" w:hAnsi="Verdana"/>
                <w:sz w:val="18"/>
                <w:szCs w:val="18"/>
              </w:rPr>
            </w:pPr>
          </w:p>
        </w:tc>
        <w:tc>
          <w:tcPr>
            <w:tcW w:w="1389" w:type="dxa"/>
          </w:tcPr>
          <w:p w14:paraId="782DB619" w14:textId="77777777" w:rsidR="008715BE" w:rsidRPr="00C96230" w:rsidRDefault="008715BE">
            <w:pPr>
              <w:pStyle w:val="TableParagraph"/>
              <w:rPr>
                <w:rFonts w:ascii="Verdana" w:hAnsi="Verdana"/>
                <w:sz w:val="18"/>
                <w:szCs w:val="18"/>
              </w:rPr>
            </w:pPr>
          </w:p>
        </w:tc>
        <w:tc>
          <w:tcPr>
            <w:tcW w:w="1201" w:type="dxa"/>
          </w:tcPr>
          <w:p w14:paraId="0CAFD6C5" w14:textId="77777777" w:rsidR="008715BE" w:rsidRPr="00C96230" w:rsidRDefault="008715BE">
            <w:pPr>
              <w:pStyle w:val="TableParagraph"/>
              <w:rPr>
                <w:rFonts w:ascii="Verdana" w:hAnsi="Verdana"/>
                <w:sz w:val="18"/>
                <w:szCs w:val="18"/>
              </w:rPr>
            </w:pPr>
          </w:p>
        </w:tc>
        <w:tc>
          <w:tcPr>
            <w:tcW w:w="1736" w:type="dxa"/>
          </w:tcPr>
          <w:p w14:paraId="50CEF671" w14:textId="77777777" w:rsidR="008715BE" w:rsidRPr="00C96230" w:rsidRDefault="008715BE">
            <w:pPr>
              <w:pStyle w:val="TableParagraph"/>
              <w:rPr>
                <w:rFonts w:ascii="Verdana" w:hAnsi="Verdana"/>
                <w:sz w:val="18"/>
                <w:szCs w:val="18"/>
              </w:rPr>
            </w:pPr>
          </w:p>
        </w:tc>
        <w:tc>
          <w:tcPr>
            <w:tcW w:w="1897" w:type="dxa"/>
          </w:tcPr>
          <w:p w14:paraId="2ED133B4" w14:textId="77777777" w:rsidR="008715BE" w:rsidRPr="00C96230" w:rsidRDefault="008715BE">
            <w:pPr>
              <w:pStyle w:val="TableParagraph"/>
              <w:rPr>
                <w:rFonts w:ascii="Verdana" w:hAnsi="Verdana"/>
                <w:sz w:val="18"/>
                <w:szCs w:val="18"/>
              </w:rPr>
            </w:pPr>
          </w:p>
        </w:tc>
        <w:tc>
          <w:tcPr>
            <w:tcW w:w="3860" w:type="dxa"/>
          </w:tcPr>
          <w:p w14:paraId="2AB95463"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pacing w:val="44"/>
                <w:sz w:val="18"/>
                <w:szCs w:val="18"/>
              </w:rPr>
              <w:t xml:space="preserve">  </w:t>
            </w:r>
            <w:r w:rsidRPr="00C96230">
              <w:rPr>
                <w:rFonts w:ascii="Verdana" w:hAnsi="Verdana"/>
                <w:sz w:val="18"/>
                <w:szCs w:val="18"/>
              </w:rPr>
              <w:t xml:space="preserve">  </w:t>
            </w:r>
            <w:r w:rsidRPr="00C96230">
              <w:rPr>
                <w:rFonts w:ascii="Verdana" w:hAnsi="Verdana"/>
                <w:spacing w:val="44"/>
                <w:sz w:val="18"/>
                <w:szCs w:val="18"/>
              </w:rPr>
              <w:t xml:space="preserve">  </w:t>
            </w:r>
            <w:r w:rsidRPr="00C96230">
              <w:rPr>
                <w:rFonts w:ascii="Verdana" w:hAnsi="Verdana"/>
                <w:spacing w:val="45"/>
                <w:sz w:val="18"/>
                <w:szCs w:val="18"/>
              </w:rPr>
              <w:t xml:space="preserve">  </w:t>
            </w:r>
            <w:r w:rsidRPr="00C96230">
              <w:rPr>
                <w:rFonts w:ascii="Verdana" w:hAnsi="Verdana"/>
                <w:sz w:val="18"/>
                <w:szCs w:val="18"/>
              </w:rPr>
              <w:t xml:space="preserve"> </w:t>
            </w:r>
            <w:r w:rsidRPr="00C96230">
              <w:rPr>
                <w:rFonts w:ascii="Verdana" w:hAnsi="Verdana"/>
                <w:spacing w:val="45"/>
                <w:sz w:val="18"/>
                <w:szCs w:val="18"/>
              </w:rPr>
              <w:t xml:space="preserve">  </w:t>
            </w:r>
            <w:r w:rsidRPr="00C96230">
              <w:rPr>
                <w:rFonts w:ascii="Verdana" w:hAnsi="Verdana"/>
                <w:spacing w:val="-2"/>
                <w:sz w:val="18"/>
                <w:szCs w:val="18"/>
              </w:rPr>
              <w:t xml:space="preserve"> </w:t>
            </w:r>
          </w:p>
          <w:p w14:paraId="22E72532" w14:textId="77777777" w:rsidR="008715BE" w:rsidRPr="00C96230" w:rsidRDefault="00000000">
            <w:pPr>
              <w:pStyle w:val="TableParagraph"/>
              <w:spacing w:line="194" w:lineRule="exact"/>
              <w:ind w:left="117"/>
              <w:rPr>
                <w:rFonts w:ascii="Verdana" w:hAnsi="Verdana"/>
                <w:sz w:val="18"/>
                <w:szCs w:val="18"/>
              </w:rPr>
            </w:pPr>
            <w:r w:rsidRPr="00C96230">
              <w:rPr>
                <w:rFonts w:ascii="Verdana" w:hAnsi="Verdana"/>
                <w:spacing w:val="-2"/>
                <w:sz w:val="18"/>
                <w:szCs w:val="18"/>
              </w:rPr>
              <w:t>cables</w:t>
            </w:r>
          </w:p>
          <w:p w14:paraId="188AB0BB" w14:textId="77777777" w:rsidR="008715BE" w:rsidRPr="00C96230" w:rsidRDefault="00000000">
            <w:pPr>
              <w:pStyle w:val="TableParagraph"/>
              <w:ind w:left="117" w:right="84"/>
              <w:jc w:val="both"/>
              <w:rPr>
                <w:rFonts w:ascii="Verdana" w:hAnsi="Verdana"/>
                <w:sz w:val="18"/>
                <w:szCs w:val="18"/>
              </w:rPr>
            </w:pPr>
            <w:r w:rsidRPr="00C96230">
              <w:rPr>
                <w:rFonts w:ascii="Verdana" w:hAnsi="Verdana"/>
                <w:sz w:val="18"/>
                <w:szCs w:val="18"/>
              </w:rPr>
              <w:t xml:space="preserve">309.24 ha of land permanently occupied by the construction elements of the </w:t>
            </w:r>
            <w:r w:rsidRPr="00C96230">
              <w:rPr>
                <w:rFonts w:ascii="Verdana" w:hAnsi="Verdana"/>
                <w:spacing w:val="-2"/>
                <w:sz w:val="18"/>
                <w:szCs w:val="18"/>
              </w:rPr>
              <w:t>energy</w:t>
            </w:r>
            <w:r w:rsidRPr="00C96230">
              <w:rPr>
                <w:rFonts w:ascii="Verdana" w:hAnsi="Verdana"/>
                <w:sz w:val="18"/>
                <w:szCs w:val="18"/>
              </w:rPr>
              <w:t xml:space="preserve"> park</w:t>
            </w:r>
          </w:p>
        </w:tc>
        <w:tc>
          <w:tcPr>
            <w:tcW w:w="1889" w:type="dxa"/>
          </w:tcPr>
          <w:p w14:paraId="1BAAA6F0" w14:textId="77777777" w:rsidR="008715BE" w:rsidRPr="00C96230" w:rsidRDefault="008715BE">
            <w:pPr>
              <w:pStyle w:val="TableParagraph"/>
              <w:rPr>
                <w:rFonts w:ascii="Verdana" w:hAnsi="Verdana"/>
                <w:sz w:val="18"/>
                <w:szCs w:val="18"/>
              </w:rPr>
            </w:pPr>
          </w:p>
        </w:tc>
      </w:tr>
      <w:tr w:rsidR="008715BE" w:rsidRPr="00C96230" w14:paraId="173A33B3" w14:textId="77777777">
        <w:trPr>
          <w:trHeight w:val="3304"/>
        </w:trPr>
        <w:tc>
          <w:tcPr>
            <w:tcW w:w="523" w:type="dxa"/>
            <w:vMerge/>
            <w:tcBorders>
              <w:top w:val="nil"/>
            </w:tcBorders>
          </w:tcPr>
          <w:p w14:paraId="49296EEC" w14:textId="77777777" w:rsidR="008715BE" w:rsidRPr="00C96230" w:rsidRDefault="008715BE">
            <w:pPr>
              <w:rPr>
                <w:rFonts w:ascii="Verdana" w:hAnsi="Verdana"/>
                <w:sz w:val="18"/>
                <w:szCs w:val="18"/>
              </w:rPr>
            </w:pPr>
          </w:p>
        </w:tc>
        <w:tc>
          <w:tcPr>
            <w:tcW w:w="2323" w:type="dxa"/>
            <w:vMerge/>
            <w:tcBorders>
              <w:top w:val="nil"/>
            </w:tcBorders>
          </w:tcPr>
          <w:p w14:paraId="55913BF5" w14:textId="77777777" w:rsidR="008715BE" w:rsidRPr="00C96230" w:rsidRDefault="008715BE">
            <w:pPr>
              <w:rPr>
                <w:rFonts w:ascii="Verdana" w:hAnsi="Verdana"/>
                <w:sz w:val="18"/>
                <w:szCs w:val="18"/>
              </w:rPr>
            </w:pPr>
          </w:p>
        </w:tc>
        <w:tc>
          <w:tcPr>
            <w:tcW w:w="3149" w:type="dxa"/>
          </w:tcPr>
          <w:p w14:paraId="3FB6193E"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Temporary occupation of land areas</w:t>
            </w:r>
          </w:p>
        </w:tc>
        <w:tc>
          <w:tcPr>
            <w:tcW w:w="1106" w:type="dxa"/>
          </w:tcPr>
          <w:p w14:paraId="47F3474D"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5B031E67"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1B22F8F"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BD74821"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1CF70942"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4C2AF8B3"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2793CF0F"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6C7B38BB"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tc>
        <w:tc>
          <w:tcPr>
            <w:tcW w:w="3860" w:type="dxa"/>
          </w:tcPr>
          <w:p w14:paraId="4E3C464F" w14:textId="77777777" w:rsidR="008715BE" w:rsidRPr="00C96230" w:rsidRDefault="00000000">
            <w:pPr>
              <w:pStyle w:val="TableParagraph"/>
              <w:spacing w:before="8"/>
              <w:ind w:left="117" w:right="77"/>
              <w:rPr>
                <w:rFonts w:ascii="Verdana" w:hAnsi="Verdana"/>
                <w:sz w:val="18"/>
                <w:szCs w:val="18"/>
              </w:rPr>
            </w:pPr>
            <w:r w:rsidRPr="00C96230">
              <w:rPr>
                <w:rFonts w:ascii="Verdana" w:hAnsi="Verdana"/>
                <w:sz w:val="18"/>
                <w:szCs w:val="18"/>
              </w:rPr>
              <w:t>Insignificant. The impact will be felt outside the protected area in the work front zone, resulting in the temporary removal of specimens that use these areas for feeding/resting, with the species moving to neighboring areas with similar conditions. The effect will be insignificant and temporary, as the works will be carried out in stages. 0 ha of the protected area</w:t>
            </w:r>
          </w:p>
          <w:p w14:paraId="79621F96" w14:textId="77777777" w:rsidR="008715BE" w:rsidRPr="00C96230" w:rsidRDefault="00000000">
            <w:pPr>
              <w:pStyle w:val="TableParagraph"/>
              <w:spacing w:before="186"/>
              <w:ind w:left="117" w:right="76"/>
              <w:rPr>
                <w:rFonts w:ascii="Verdana" w:hAnsi="Verdana"/>
                <w:sz w:val="18"/>
                <w:szCs w:val="18"/>
              </w:rPr>
            </w:pPr>
            <w:r w:rsidRPr="00C96230">
              <w:rPr>
                <w:rFonts w:ascii="Verdana" w:hAnsi="Verdana"/>
                <w:sz w:val="18"/>
                <w:szCs w:val="18"/>
              </w:rPr>
              <w:t xml:space="preserve">Areas outside the protected area that could constitute feeding habitats: 0.9 ha temporarily occupied, the area of the construction site + the area temporarily occupied by the trenches for </w:t>
            </w:r>
            <w:r w:rsidRPr="00C96230">
              <w:rPr>
                <w:rFonts w:ascii="Verdana" w:hAnsi="Verdana"/>
                <w:spacing w:val="-2"/>
                <w:sz w:val="18"/>
                <w:szCs w:val="18"/>
              </w:rPr>
              <w:t>cable</w:t>
            </w:r>
            <w:r w:rsidRPr="00C96230">
              <w:rPr>
                <w:rFonts w:ascii="Verdana" w:hAnsi="Verdana"/>
                <w:sz w:val="18"/>
                <w:szCs w:val="18"/>
              </w:rPr>
              <w:t xml:space="preserve"> installation</w:t>
            </w:r>
          </w:p>
        </w:tc>
        <w:tc>
          <w:tcPr>
            <w:tcW w:w="1889" w:type="dxa"/>
          </w:tcPr>
          <w:p w14:paraId="4462A3FF" w14:textId="77777777" w:rsidR="008715BE" w:rsidRPr="00C96230" w:rsidRDefault="00000000">
            <w:pPr>
              <w:pStyle w:val="TableParagraph"/>
              <w:tabs>
                <w:tab w:val="left" w:pos="944"/>
                <w:tab w:val="left" w:pos="1417"/>
                <w:tab w:val="left" w:pos="1666"/>
              </w:tabs>
              <w:spacing w:before="8"/>
              <w:ind w:left="119" w:right="81" w:firstLine="57"/>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z w:val="18"/>
                <w:szCs w:val="18"/>
              </w:rPr>
              <w:t xml:space="preserve">carried out in the field </w:t>
            </w:r>
            <w:r w:rsidRPr="00C96230">
              <w:rPr>
                <w:rFonts w:ascii="Verdana" w:hAnsi="Verdana"/>
                <w:spacing w:val="-4"/>
                <w:sz w:val="18"/>
                <w:szCs w:val="18"/>
              </w:rPr>
              <w:t>with</w:t>
            </w:r>
            <w:r w:rsidRPr="00C96230">
              <w:rPr>
                <w:rFonts w:ascii="Verdana" w:hAnsi="Verdana"/>
                <w:sz w:val="18"/>
                <w:szCs w:val="18"/>
              </w:rPr>
              <w:tab/>
            </w:r>
            <w:r w:rsidRPr="00C96230">
              <w:rPr>
                <w:rFonts w:ascii="Verdana" w:hAnsi="Verdana"/>
                <w:spacing w:val="-6"/>
                <w:sz w:val="18"/>
                <w:szCs w:val="18"/>
              </w:rPr>
              <w:t>based on</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pacing w:val="-4"/>
                <w:sz w:val="18"/>
                <w:szCs w:val="18"/>
              </w:rPr>
              <w:t xml:space="preserve">of </w:t>
            </w:r>
            <w:r w:rsidRPr="00C96230">
              <w:rPr>
                <w:rFonts w:ascii="Verdana" w:hAnsi="Verdana"/>
                <w:sz w:val="18"/>
                <w:szCs w:val="18"/>
              </w:rPr>
              <w:t>the observed species GIS analysis.</w:t>
            </w:r>
          </w:p>
        </w:tc>
      </w:tr>
      <w:tr w:rsidR="008715BE" w:rsidRPr="00C96230" w14:paraId="7AE9089F" w14:textId="77777777">
        <w:trPr>
          <w:trHeight w:val="1946"/>
        </w:trPr>
        <w:tc>
          <w:tcPr>
            <w:tcW w:w="523" w:type="dxa"/>
            <w:vMerge/>
            <w:tcBorders>
              <w:top w:val="nil"/>
            </w:tcBorders>
          </w:tcPr>
          <w:p w14:paraId="2EDE0723" w14:textId="77777777" w:rsidR="008715BE" w:rsidRPr="00C96230" w:rsidRDefault="008715BE">
            <w:pPr>
              <w:rPr>
                <w:rFonts w:ascii="Verdana" w:hAnsi="Verdana"/>
                <w:sz w:val="18"/>
                <w:szCs w:val="18"/>
              </w:rPr>
            </w:pPr>
          </w:p>
        </w:tc>
        <w:tc>
          <w:tcPr>
            <w:tcW w:w="2323" w:type="dxa"/>
            <w:vMerge/>
            <w:tcBorders>
              <w:top w:val="nil"/>
            </w:tcBorders>
          </w:tcPr>
          <w:p w14:paraId="16C48A88" w14:textId="77777777" w:rsidR="008715BE" w:rsidRPr="00C96230" w:rsidRDefault="008715BE">
            <w:pPr>
              <w:rPr>
                <w:rFonts w:ascii="Verdana" w:hAnsi="Verdana"/>
                <w:sz w:val="18"/>
                <w:szCs w:val="18"/>
              </w:rPr>
            </w:pPr>
          </w:p>
        </w:tc>
        <w:tc>
          <w:tcPr>
            <w:tcW w:w="3149" w:type="dxa"/>
          </w:tcPr>
          <w:p w14:paraId="0D033B75"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 in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500CA5E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1044B9A7"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792FA62"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C9C5CB8"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359DAD86"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7D16CDBC"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6EDFA040"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1413BA4D"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tc>
        <w:tc>
          <w:tcPr>
            <w:tcW w:w="3860" w:type="dxa"/>
          </w:tcPr>
          <w:p w14:paraId="53DEE9F9" w14:textId="77777777" w:rsidR="008715BE" w:rsidRPr="00C96230" w:rsidRDefault="00000000">
            <w:pPr>
              <w:pStyle w:val="TableParagraph"/>
              <w:spacing w:before="8"/>
              <w:ind w:left="117" w:right="83"/>
              <w:jc w:val="both"/>
              <w:rPr>
                <w:rFonts w:ascii="Verdana" w:hAnsi="Verdana"/>
                <w:sz w:val="18"/>
                <w:szCs w:val="18"/>
              </w:rPr>
            </w:pPr>
            <w:r w:rsidRPr="00C96230">
              <w:rPr>
                <w:rFonts w:ascii="Verdana" w:hAnsi="Verdana"/>
                <w:sz w:val="18"/>
                <w:szCs w:val="18"/>
              </w:rPr>
              <w:t xml:space="preserve">Insignificant, given the results of estimates regarding the possible noise level recorded in the work area, within the park's boundaries, during the construction period, which will be similar during the </w:t>
            </w:r>
            <w:r w:rsidRPr="00C96230">
              <w:rPr>
                <w:rFonts w:ascii="Verdana" w:hAnsi="Verdana"/>
                <w:spacing w:val="-2"/>
                <w:sz w:val="18"/>
                <w:szCs w:val="18"/>
              </w:rPr>
              <w:t>decommissioning</w:t>
            </w:r>
            <w:r w:rsidRPr="00C96230">
              <w:rPr>
                <w:rFonts w:ascii="Verdana" w:hAnsi="Verdana"/>
                <w:sz w:val="18"/>
                <w:szCs w:val="18"/>
              </w:rPr>
              <w:t xml:space="preserve"> period</w:t>
            </w:r>
          </w:p>
          <w:p w14:paraId="29C2D2AB" w14:textId="77777777" w:rsidR="008715BE" w:rsidRPr="00C96230" w:rsidRDefault="00000000">
            <w:pPr>
              <w:pStyle w:val="TableParagraph"/>
              <w:spacing w:before="164" w:line="194" w:lineRule="exact"/>
              <w:ind w:left="117" w:right="82"/>
              <w:jc w:val="both"/>
              <w:rPr>
                <w:rFonts w:ascii="Verdana" w:hAnsi="Verdana"/>
                <w:sz w:val="18"/>
                <w:szCs w:val="18"/>
              </w:rPr>
            </w:pPr>
            <w:r w:rsidRPr="00C96230">
              <w:rPr>
                <w:rFonts w:ascii="Verdana" w:hAnsi="Verdana"/>
                <w:sz w:val="18"/>
                <w:szCs w:val="18"/>
              </w:rPr>
              <w:t>The impact will be felt outside the protected area, within the wind farm, in the vicinity of the wind turbines</w:t>
            </w:r>
          </w:p>
        </w:tc>
        <w:tc>
          <w:tcPr>
            <w:tcW w:w="1889" w:type="dxa"/>
          </w:tcPr>
          <w:p w14:paraId="3218C276" w14:textId="77777777" w:rsidR="008715BE" w:rsidRPr="00C96230" w:rsidRDefault="00000000">
            <w:pPr>
              <w:pStyle w:val="TableParagraph"/>
              <w:tabs>
                <w:tab w:val="left" w:pos="1417"/>
              </w:tabs>
              <w:spacing w:before="8"/>
              <w:ind w:left="119" w:right="82"/>
              <w:rPr>
                <w:rFonts w:ascii="Verdana" w:hAnsi="Verdana"/>
                <w:sz w:val="18"/>
                <w:szCs w:val="18"/>
              </w:rPr>
            </w:pPr>
            <w:r w:rsidRPr="00C96230">
              <w:rPr>
                <w:rFonts w:ascii="Verdana" w:hAnsi="Verdana"/>
                <w:spacing w:val="-2"/>
                <w:sz w:val="18"/>
                <w:szCs w:val="18"/>
              </w:rPr>
              <w:t>Modeling results</w:t>
            </w:r>
            <w:r w:rsidRPr="00C96230">
              <w:rPr>
                <w:rFonts w:ascii="Verdana" w:hAnsi="Verdana"/>
                <w:sz w:val="18"/>
                <w:szCs w:val="18"/>
              </w:rPr>
              <w:tab/>
            </w:r>
            <w:r w:rsidRPr="00C96230">
              <w:rPr>
                <w:rFonts w:ascii="Verdana" w:hAnsi="Verdana"/>
                <w:spacing w:val="-2"/>
                <w:sz w:val="18"/>
                <w:szCs w:val="18"/>
              </w:rPr>
              <w:t xml:space="preserve">Noise </w:t>
            </w:r>
            <w:r w:rsidRPr="00C96230">
              <w:rPr>
                <w:rFonts w:ascii="Verdana" w:hAnsi="Verdana"/>
                <w:spacing w:val="-4"/>
                <w:sz w:val="18"/>
                <w:szCs w:val="18"/>
              </w:rPr>
              <w:t>level</w:t>
            </w:r>
          </w:p>
        </w:tc>
      </w:tr>
      <w:tr w:rsidR="008715BE" w:rsidRPr="00C96230" w14:paraId="2AF56C5A" w14:textId="77777777">
        <w:trPr>
          <w:trHeight w:val="2138"/>
        </w:trPr>
        <w:tc>
          <w:tcPr>
            <w:tcW w:w="523" w:type="dxa"/>
            <w:vMerge/>
            <w:tcBorders>
              <w:top w:val="nil"/>
            </w:tcBorders>
          </w:tcPr>
          <w:p w14:paraId="58FCC135" w14:textId="77777777" w:rsidR="008715BE" w:rsidRPr="00C96230" w:rsidRDefault="008715BE">
            <w:pPr>
              <w:rPr>
                <w:rFonts w:ascii="Verdana" w:hAnsi="Verdana"/>
                <w:sz w:val="18"/>
                <w:szCs w:val="18"/>
              </w:rPr>
            </w:pPr>
          </w:p>
        </w:tc>
        <w:tc>
          <w:tcPr>
            <w:tcW w:w="2323" w:type="dxa"/>
            <w:vMerge w:val="restart"/>
          </w:tcPr>
          <w:p w14:paraId="738CFB6C"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Decommissioning/demolition works Land restoration/rehabilitation works at the end of </w:t>
            </w:r>
            <w:r w:rsidRPr="00C96230">
              <w:rPr>
                <w:rFonts w:ascii="Verdana" w:hAnsi="Verdana"/>
                <w:spacing w:val="-2"/>
                <w:sz w:val="18"/>
                <w:szCs w:val="18"/>
              </w:rPr>
              <w:t xml:space="preserve">the project's </w:t>
            </w:r>
            <w:r w:rsidRPr="00C96230">
              <w:rPr>
                <w:rFonts w:ascii="Verdana" w:hAnsi="Verdana"/>
                <w:sz w:val="18"/>
                <w:szCs w:val="18"/>
              </w:rPr>
              <w:t>life cycle</w:t>
            </w:r>
          </w:p>
        </w:tc>
        <w:tc>
          <w:tcPr>
            <w:tcW w:w="3149" w:type="dxa"/>
          </w:tcPr>
          <w:p w14:paraId="02965107"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work</w:t>
            </w:r>
            <w:r w:rsidRPr="00C96230">
              <w:rPr>
                <w:rFonts w:ascii="Verdana" w:hAnsi="Verdana"/>
                <w:sz w:val="18"/>
                <w:szCs w:val="18"/>
              </w:rPr>
              <w:t xml:space="preserve"> area</w:t>
            </w:r>
          </w:p>
        </w:tc>
        <w:tc>
          <w:tcPr>
            <w:tcW w:w="1106" w:type="dxa"/>
          </w:tcPr>
          <w:p w14:paraId="5BAF3782"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6BF15862"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4D8967F"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4125962"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6EFBD6DF"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4E6F13C9" w14:textId="77777777" w:rsidR="008715BE" w:rsidRPr="00C96230" w:rsidRDefault="00000000">
            <w:pPr>
              <w:pStyle w:val="TableParagraph"/>
              <w:tabs>
                <w:tab w:val="left" w:pos="1077"/>
              </w:tabs>
              <w:spacing w:before="8"/>
              <w:ind w:left="111" w:right="89"/>
              <w:jc w:val="both"/>
              <w:rPr>
                <w:rFonts w:ascii="Verdana" w:hAnsi="Verdana"/>
                <w:i/>
                <w:sz w:val="18"/>
                <w:szCs w:val="18"/>
              </w:rPr>
            </w:pPr>
            <w:r w:rsidRPr="00C96230">
              <w:rPr>
                <w:rFonts w:ascii="Verdana" w:hAnsi="Verdana"/>
                <w:i/>
                <w:sz w:val="18"/>
                <w:szCs w:val="18"/>
              </w:rPr>
              <w:t xml:space="preserve">Anthus campestris </w:t>
            </w:r>
            <w:r w:rsidRPr="00C96230">
              <w:rPr>
                <w:rFonts w:ascii="Verdana" w:hAnsi="Verdana"/>
                <w:i/>
                <w:spacing w:val="-2"/>
                <w:sz w:val="18"/>
                <w:szCs w:val="18"/>
              </w:rPr>
              <w:t>Buteo</w:t>
            </w:r>
            <w:r w:rsidRPr="00C96230">
              <w:rPr>
                <w:rFonts w:ascii="Verdana" w:hAnsi="Verdana"/>
                <w:i/>
                <w:sz w:val="18"/>
                <w:szCs w:val="18"/>
              </w:rPr>
              <w:tab/>
            </w:r>
            <w:r w:rsidRPr="00C96230">
              <w:rPr>
                <w:rFonts w:ascii="Verdana" w:hAnsi="Verdana"/>
                <w:i/>
                <w:spacing w:val="-2"/>
                <w:sz w:val="18"/>
                <w:szCs w:val="18"/>
              </w:rPr>
              <w:t>rufinus</w:t>
            </w:r>
          </w:p>
          <w:p w14:paraId="1656D9B8" w14:textId="77777777" w:rsidR="008715BE" w:rsidRPr="00C96230" w:rsidRDefault="00000000">
            <w:pPr>
              <w:pStyle w:val="TableParagraph"/>
              <w:ind w:left="111" w:right="89"/>
              <w:jc w:val="both"/>
              <w:rPr>
                <w:rFonts w:ascii="Verdana" w:hAnsi="Verdana"/>
                <w:i/>
                <w:sz w:val="18"/>
                <w:szCs w:val="18"/>
              </w:rPr>
            </w:pPr>
            <w:r w:rsidRPr="00C96230">
              <w:rPr>
                <w:rFonts w:ascii="Verdana" w:hAnsi="Verdana"/>
                <w:i/>
                <w:sz w:val="18"/>
                <w:szCs w:val="18"/>
              </w:rPr>
              <w:t>Circus cyaneus Falco columbarius Falco vespertinus Lanius minor</w:t>
            </w:r>
          </w:p>
        </w:tc>
        <w:tc>
          <w:tcPr>
            <w:tcW w:w="1897" w:type="dxa"/>
          </w:tcPr>
          <w:p w14:paraId="1CEB1733" w14:textId="77777777" w:rsidR="008715BE" w:rsidRPr="00C96230" w:rsidRDefault="00000000">
            <w:pPr>
              <w:pStyle w:val="TableParagraph"/>
              <w:tabs>
                <w:tab w:val="left" w:pos="1190"/>
              </w:tabs>
              <w:spacing w:before="8"/>
              <w:ind w:left="115" w:right="87"/>
              <w:rPr>
                <w:rFonts w:ascii="Verdana" w:hAnsi="Verdana"/>
                <w:sz w:val="18"/>
                <w:szCs w:val="18"/>
              </w:rPr>
            </w:pPr>
            <w:r w:rsidRPr="00C96230">
              <w:rPr>
                <w:rFonts w:ascii="Verdana" w:hAnsi="Verdana"/>
                <w:spacing w:val="-2"/>
                <w:sz w:val="18"/>
                <w:szCs w:val="18"/>
              </w:rPr>
              <w:t>Trend</w:t>
            </w:r>
            <w:r w:rsidRPr="00C96230">
              <w:rPr>
                <w:rFonts w:ascii="Verdana" w:hAnsi="Verdana"/>
                <w:sz w:val="18"/>
                <w:szCs w:val="18"/>
              </w:rPr>
              <w:tab/>
            </w:r>
            <w:r w:rsidRPr="00C96230">
              <w:rPr>
                <w:rFonts w:ascii="Verdana" w:hAnsi="Verdana"/>
                <w:spacing w:val="-2"/>
                <w:sz w:val="18"/>
                <w:szCs w:val="18"/>
              </w:rPr>
              <w:t>of population size</w:t>
            </w:r>
          </w:p>
        </w:tc>
        <w:tc>
          <w:tcPr>
            <w:tcW w:w="3860" w:type="dxa"/>
          </w:tcPr>
          <w:p w14:paraId="01E5D194" w14:textId="77777777" w:rsidR="008715BE" w:rsidRPr="00C96230" w:rsidRDefault="00000000">
            <w:pPr>
              <w:pStyle w:val="TableParagraph"/>
              <w:spacing w:before="8"/>
              <w:ind w:left="117" w:right="82"/>
              <w:jc w:val="both"/>
              <w:rPr>
                <w:rFonts w:ascii="Verdana" w:hAnsi="Verdana"/>
                <w:sz w:val="18"/>
                <w:szCs w:val="18"/>
              </w:rPr>
            </w:pPr>
            <w:r w:rsidRPr="00C96230">
              <w:rPr>
                <w:rFonts w:ascii="Verdana" w:hAnsi="Verdana"/>
                <w:sz w:val="18"/>
                <w:szCs w:val="18"/>
              </w:rPr>
              <w:t>Insignificant. The impact will be felt outside the protected area, in the work front zone, resulting in the temporary removal of specimens that use these areas for feeding/resting, with the species moving to neighboring areas with similar conditions. The effect will be insignificant and temporary, as the work will be carried out in stages.</w:t>
            </w:r>
          </w:p>
          <w:p w14:paraId="68A5CA45" w14:textId="77777777" w:rsidR="008715BE" w:rsidRPr="00C96230" w:rsidRDefault="00000000">
            <w:pPr>
              <w:pStyle w:val="TableParagraph"/>
              <w:spacing w:before="160" w:line="194" w:lineRule="exact"/>
              <w:ind w:left="117" w:right="83"/>
              <w:jc w:val="both"/>
              <w:rPr>
                <w:rFonts w:ascii="Verdana" w:hAnsi="Verdana"/>
                <w:sz w:val="18"/>
                <w:szCs w:val="18"/>
              </w:rPr>
            </w:pPr>
            <w:r w:rsidRPr="00C96230">
              <w:rPr>
                <w:rFonts w:ascii="Verdana" w:hAnsi="Verdana"/>
                <w:sz w:val="18"/>
                <w:szCs w:val="18"/>
              </w:rPr>
              <w:t xml:space="preserve">Maximum 1 individual of the species </w:t>
            </w:r>
            <w:r w:rsidRPr="00C96230">
              <w:rPr>
                <w:rFonts w:ascii="Verdana" w:hAnsi="Verdana"/>
                <w:i/>
                <w:sz w:val="18"/>
                <w:szCs w:val="18"/>
              </w:rPr>
              <w:t xml:space="preserve">Anthus campestris </w:t>
            </w:r>
            <w:r w:rsidRPr="00C96230">
              <w:rPr>
                <w:rFonts w:ascii="Verdana" w:hAnsi="Verdana"/>
                <w:sz w:val="18"/>
                <w:szCs w:val="18"/>
              </w:rPr>
              <w:t>at this stage</w:t>
            </w:r>
          </w:p>
        </w:tc>
        <w:tc>
          <w:tcPr>
            <w:tcW w:w="1889" w:type="dxa"/>
          </w:tcPr>
          <w:p w14:paraId="3B4D990D" w14:textId="77777777" w:rsidR="008715BE" w:rsidRPr="00C96230" w:rsidRDefault="00000000">
            <w:pPr>
              <w:pStyle w:val="TableParagraph"/>
              <w:tabs>
                <w:tab w:val="left" w:pos="944"/>
                <w:tab w:val="left" w:pos="1417"/>
                <w:tab w:val="left" w:pos="1666"/>
              </w:tabs>
              <w:spacing w:before="8"/>
              <w:ind w:left="119" w:right="81"/>
              <w:rPr>
                <w:rFonts w:ascii="Verdana" w:hAnsi="Verdana"/>
                <w:sz w:val="18"/>
                <w:szCs w:val="18"/>
              </w:rPr>
            </w:pPr>
            <w:r w:rsidRPr="00C96230">
              <w:rPr>
                <w:rFonts w:ascii="Verdana" w:hAnsi="Verdana"/>
                <w:spacing w:val="-2"/>
                <w:sz w:val="18"/>
                <w:szCs w:val="18"/>
              </w:rPr>
              <w:t>Analysis of inventories</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 xml:space="preserve">monitoring </w:t>
            </w:r>
            <w:r w:rsidRPr="00C96230">
              <w:rPr>
                <w:rFonts w:ascii="Verdana" w:hAnsi="Verdana"/>
                <w:spacing w:val="-4"/>
                <w:sz w:val="18"/>
                <w:szCs w:val="18"/>
              </w:rPr>
              <w:t xml:space="preserve">carried out </w:t>
            </w:r>
            <w:r w:rsidRPr="00C96230">
              <w:rPr>
                <w:rFonts w:ascii="Verdana" w:hAnsi="Verdana"/>
                <w:sz w:val="18"/>
                <w:szCs w:val="18"/>
              </w:rPr>
              <w:t>in the field</w:t>
            </w:r>
            <w:r w:rsidRPr="00C96230">
              <w:rPr>
                <w:rFonts w:ascii="Verdana" w:hAnsi="Verdana"/>
                <w:sz w:val="18"/>
                <w:szCs w:val="18"/>
              </w:rPr>
              <w:tab/>
            </w:r>
            <w:r w:rsidRPr="00C96230">
              <w:rPr>
                <w:rFonts w:ascii="Verdana" w:hAnsi="Verdana"/>
                <w:spacing w:val="-6"/>
                <w:sz w:val="18"/>
                <w:szCs w:val="18"/>
              </w:rPr>
              <w:t>based</w:t>
            </w:r>
            <w:r w:rsidRPr="00C96230">
              <w:rPr>
                <w:rFonts w:ascii="Verdana" w:hAnsi="Verdana"/>
                <w:sz w:val="18"/>
                <w:szCs w:val="18"/>
              </w:rPr>
              <w:tab/>
            </w:r>
            <w:r w:rsidRPr="00C96230">
              <w:rPr>
                <w:rFonts w:ascii="Verdana" w:hAnsi="Verdana"/>
                <w:spacing w:val="-2"/>
                <w:sz w:val="18"/>
                <w:szCs w:val="18"/>
              </w:rPr>
              <w:t xml:space="preserve">the behavior </w:t>
            </w:r>
            <w:r w:rsidRPr="00C96230">
              <w:rPr>
                <w:rFonts w:ascii="Verdana" w:hAnsi="Verdana"/>
                <w:sz w:val="18"/>
                <w:szCs w:val="18"/>
              </w:rPr>
              <w:t>of the species observed GIS analysis.</w:t>
            </w:r>
          </w:p>
        </w:tc>
      </w:tr>
      <w:tr w:rsidR="008715BE" w:rsidRPr="00C96230" w14:paraId="3E2B8395" w14:textId="77777777">
        <w:trPr>
          <w:trHeight w:val="777"/>
        </w:trPr>
        <w:tc>
          <w:tcPr>
            <w:tcW w:w="523" w:type="dxa"/>
            <w:vMerge/>
            <w:tcBorders>
              <w:top w:val="nil"/>
            </w:tcBorders>
          </w:tcPr>
          <w:p w14:paraId="244A905D" w14:textId="77777777" w:rsidR="008715BE" w:rsidRPr="00C96230" w:rsidRDefault="008715BE">
            <w:pPr>
              <w:rPr>
                <w:rFonts w:ascii="Verdana" w:hAnsi="Verdana"/>
                <w:sz w:val="18"/>
                <w:szCs w:val="18"/>
              </w:rPr>
            </w:pPr>
          </w:p>
        </w:tc>
        <w:tc>
          <w:tcPr>
            <w:tcW w:w="2323" w:type="dxa"/>
            <w:vMerge/>
            <w:tcBorders>
              <w:top w:val="nil"/>
            </w:tcBorders>
          </w:tcPr>
          <w:p w14:paraId="5B910731" w14:textId="77777777" w:rsidR="008715BE" w:rsidRPr="00C96230" w:rsidRDefault="008715BE">
            <w:pPr>
              <w:rPr>
                <w:rFonts w:ascii="Verdana" w:hAnsi="Verdana"/>
                <w:sz w:val="18"/>
                <w:szCs w:val="18"/>
              </w:rPr>
            </w:pPr>
          </w:p>
        </w:tc>
        <w:tc>
          <w:tcPr>
            <w:tcW w:w="3149" w:type="dxa"/>
          </w:tcPr>
          <w:p w14:paraId="65CDC09C" w14:textId="77777777" w:rsidR="008715BE" w:rsidRPr="00C96230" w:rsidRDefault="00000000">
            <w:pPr>
              <w:pStyle w:val="TableParagraph"/>
              <w:tabs>
                <w:tab w:val="left" w:pos="1615"/>
                <w:tab w:val="left" w:pos="2916"/>
              </w:tabs>
              <w:spacing w:before="8"/>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 of</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21630A6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6F92A9D8"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688AA58C"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9FDE339"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0C02C2C0"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60F5E656"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54925FFC"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0E793239"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5A8868DB"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CDAA635" w14:textId="77777777">
        <w:trPr>
          <w:trHeight w:val="779"/>
        </w:trPr>
        <w:tc>
          <w:tcPr>
            <w:tcW w:w="523" w:type="dxa"/>
            <w:vMerge/>
            <w:tcBorders>
              <w:top w:val="nil"/>
            </w:tcBorders>
          </w:tcPr>
          <w:p w14:paraId="2663C5CB" w14:textId="77777777" w:rsidR="008715BE" w:rsidRPr="00C96230" w:rsidRDefault="008715BE">
            <w:pPr>
              <w:rPr>
                <w:rFonts w:ascii="Verdana" w:hAnsi="Verdana"/>
                <w:sz w:val="18"/>
                <w:szCs w:val="18"/>
              </w:rPr>
            </w:pPr>
          </w:p>
        </w:tc>
        <w:tc>
          <w:tcPr>
            <w:tcW w:w="2323" w:type="dxa"/>
            <w:vMerge/>
            <w:tcBorders>
              <w:top w:val="nil"/>
            </w:tcBorders>
          </w:tcPr>
          <w:p w14:paraId="5CA7CE57" w14:textId="77777777" w:rsidR="008715BE" w:rsidRPr="00C96230" w:rsidRDefault="008715BE">
            <w:pPr>
              <w:rPr>
                <w:rFonts w:ascii="Verdana" w:hAnsi="Verdana"/>
                <w:sz w:val="18"/>
                <w:szCs w:val="18"/>
              </w:rPr>
            </w:pPr>
          </w:p>
        </w:tc>
        <w:tc>
          <w:tcPr>
            <w:tcW w:w="3149" w:type="dxa"/>
          </w:tcPr>
          <w:p w14:paraId="2CA3D864"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machinery—penetration of pollutants into the soil</w:t>
            </w:r>
          </w:p>
        </w:tc>
        <w:tc>
          <w:tcPr>
            <w:tcW w:w="1106" w:type="dxa"/>
          </w:tcPr>
          <w:p w14:paraId="24B146AD"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3FF1263A" w14:textId="77777777" w:rsidR="008715BE" w:rsidRPr="00C96230" w:rsidRDefault="00000000">
            <w:pPr>
              <w:pStyle w:val="TableParagraph"/>
              <w:spacing w:before="8"/>
              <w:ind w:left="109" w:right="93"/>
              <w:jc w:val="both"/>
              <w:rPr>
                <w:rFonts w:ascii="Verdana" w:hAnsi="Verdana"/>
                <w:sz w:val="18"/>
                <w:szCs w:val="18"/>
              </w:rPr>
            </w:pPr>
            <w:r w:rsidRPr="00C96230">
              <w:rPr>
                <w:rFonts w:ascii="Verdana" w:hAnsi="Verdana"/>
                <w:sz w:val="18"/>
                <w:szCs w:val="18"/>
              </w:rPr>
              <w:t xml:space="preserve">No indirect </w:t>
            </w:r>
            <w:r w:rsidRPr="00C96230">
              <w:rPr>
                <w:rFonts w:ascii="Verdana" w:hAnsi="Verdana"/>
                <w:spacing w:val="-2"/>
                <w:sz w:val="18"/>
                <w:szCs w:val="18"/>
              </w:rPr>
              <w:t>impacts identified</w:t>
            </w:r>
          </w:p>
          <w:p w14:paraId="21544E92" w14:textId="77777777" w:rsidR="008715BE" w:rsidRPr="00C96230" w:rsidRDefault="00000000">
            <w:pPr>
              <w:pStyle w:val="TableParagraph"/>
              <w:spacing w:line="165"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3A57062A"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secondary </w:t>
            </w:r>
            <w:r w:rsidRPr="00C96230">
              <w:rPr>
                <w:rFonts w:ascii="Verdana" w:hAnsi="Verdana"/>
                <w:spacing w:val="-2"/>
                <w:sz w:val="18"/>
                <w:szCs w:val="18"/>
              </w:rPr>
              <w:t>impacts identified</w:t>
            </w:r>
          </w:p>
          <w:p w14:paraId="37944BE8" w14:textId="77777777" w:rsidR="008715BE" w:rsidRPr="00C96230" w:rsidRDefault="00000000">
            <w:pPr>
              <w:pStyle w:val="TableParagraph"/>
              <w:spacing w:line="165" w:lineRule="exact"/>
              <w:ind w:left="107"/>
              <w:rPr>
                <w:rFonts w:ascii="Verdana" w:hAnsi="Verdana"/>
                <w:sz w:val="18"/>
                <w:szCs w:val="18"/>
              </w:rPr>
            </w:pPr>
            <w:r w:rsidRPr="00C96230">
              <w:rPr>
                <w:rFonts w:ascii="Verdana" w:hAnsi="Verdana"/>
                <w:spacing w:val="-2"/>
                <w:sz w:val="18"/>
                <w:szCs w:val="18"/>
              </w:rPr>
              <w:t>secondary</w:t>
            </w:r>
          </w:p>
        </w:tc>
        <w:tc>
          <w:tcPr>
            <w:tcW w:w="1389" w:type="dxa"/>
          </w:tcPr>
          <w:p w14:paraId="4F30C42B"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1CE28B00" w14:textId="77777777" w:rsidR="008715BE" w:rsidRPr="00C96230" w:rsidRDefault="00000000">
            <w:pPr>
              <w:pStyle w:val="TableParagraph"/>
              <w:spacing w:line="165" w:lineRule="exact"/>
              <w:ind w:left="108"/>
              <w:rPr>
                <w:rFonts w:ascii="Verdana" w:hAnsi="Verdana"/>
                <w:sz w:val="18"/>
                <w:szCs w:val="18"/>
              </w:rPr>
            </w:pPr>
            <w:r w:rsidRPr="00C96230">
              <w:rPr>
                <w:rFonts w:ascii="Verdana" w:hAnsi="Verdana"/>
                <w:spacing w:val="-2"/>
                <w:sz w:val="18"/>
                <w:szCs w:val="18"/>
              </w:rPr>
              <w:t>Cumulative</w:t>
            </w:r>
          </w:p>
        </w:tc>
        <w:tc>
          <w:tcPr>
            <w:tcW w:w="1201" w:type="dxa"/>
          </w:tcPr>
          <w:p w14:paraId="39FB4FA0"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792A71AE"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6C582821"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0D086703"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16649CA8"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12C6820B" w14:textId="77777777">
        <w:trPr>
          <w:trHeight w:val="777"/>
        </w:trPr>
        <w:tc>
          <w:tcPr>
            <w:tcW w:w="523" w:type="dxa"/>
            <w:vMerge/>
            <w:tcBorders>
              <w:top w:val="nil"/>
            </w:tcBorders>
          </w:tcPr>
          <w:p w14:paraId="5B271C8A" w14:textId="77777777" w:rsidR="008715BE" w:rsidRPr="00C96230" w:rsidRDefault="008715BE">
            <w:pPr>
              <w:rPr>
                <w:rFonts w:ascii="Verdana" w:hAnsi="Verdana"/>
                <w:sz w:val="18"/>
                <w:szCs w:val="18"/>
              </w:rPr>
            </w:pPr>
          </w:p>
        </w:tc>
        <w:tc>
          <w:tcPr>
            <w:tcW w:w="2323" w:type="dxa"/>
            <w:vMerge/>
            <w:tcBorders>
              <w:top w:val="nil"/>
            </w:tcBorders>
          </w:tcPr>
          <w:p w14:paraId="067EB972" w14:textId="77777777" w:rsidR="008715BE" w:rsidRPr="00C96230" w:rsidRDefault="008715BE">
            <w:pPr>
              <w:rPr>
                <w:rFonts w:ascii="Verdana" w:hAnsi="Verdana"/>
                <w:sz w:val="18"/>
                <w:szCs w:val="18"/>
              </w:rPr>
            </w:pPr>
          </w:p>
        </w:tc>
        <w:tc>
          <w:tcPr>
            <w:tcW w:w="3149" w:type="dxa"/>
          </w:tcPr>
          <w:p w14:paraId="469CFFB0"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1009E26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663F2643" w14:textId="77777777" w:rsidR="008715BE" w:rsidRPr="00C96230" w:rsidRDefault="00000000">
            <w:pPr>
              <w:pStyle w:val="TableParagraph"/>
              <w:spacing w:before="8"/>
              <w:ind w:left="109" w:right="93"/>
              <w:jc w:val="both"/>
              <w:rPr>
                <w:rFonts w:ascii="Verdana" w:hAnsi="Verdana"/>
                <w:sz w:val="18"/>
                <w:szCs w:val="18"/>
              </w:rPr>
            </w:pPr>
            <w:r w:rsidRPr="00C96230">
              <w:rPr>
                <w:rFonts w:ascii="Verdana" w:hAnsi="Verdana"/>
                <w:sz w:val="18"/>
                <w:szCs w:val="18"/>
              </w:rPr>
              <w:t xml:space="preserve">No indirect </w:t>
            </w:r>
            <w:r w:rsidRPr="00C96230">
              <w:rPr>
                <w:rFonts w:ascii="Verdana" w:hAnsi="Verdana"/>
                <w:spacing w:val="-2"/>
                <w:sz w:val="18"/>
                <w:szCs w:val="18"/>
              </w:rPr>
              <w:t xml:space="preserve">impacts </w:t>
            </w:r>
            <w:r w:rsidRPr="00C96230">
              <w:rPr>
                <w:rFonts w:ascii="Verdana" w:hAnsi="Verdana"/>
                <w:sz w:val="18"/>
                <w:szCs w:val="18"/>
              </w:rPr>
              <w:t xml:space="preserve">have been </w:t>
            </w:r>
            <w:r w:rsidRPr="00C96230">
              <w:rPr>
                <w:rFonts w:ascii="Verdana" w:hAnsi="Verdana"/>
                <w:spacing w:val="-2"/>
                <w:sz w:val="18"/>
                <w:szCs w:val="18"/>
              </w:rPr>
              <w:lastRenderedPageBreak/>
              <w:t>identified</w:t>
            </w:r>
          </w:p>
          <w:p w14:paraId="1FABD5EC" w14:textId="77777777" w:rsidR="008715BE" w:rsidRPr="00C96230" w:rsidRDefault="00000000">
            <w:pPr>
              <w:pStyle w:val="TableParagraph"/>
              <w:spacing w:line="164"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1E3A82B2"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lastRenderedPageBreak/>
              <w:t xml:space="preserve">No </w:t>
            </w:r>
            <w:r w:rsidRPr="00C96230">
              <w:rPr>
                <w:rFonts w:ascii="Verdana" w:hAnsi="Verdana"/>
                <w:spacing w:val="-2"/>
                <w:sz w:val="18"/>
                <w:szCs w:val="18"/>
              </w:rPr>
              <w:t>impacts identified</w:t>
            </w:r>
          </w:p>
          <w:p w14:paraId="45B4B6D6" w14:textId="77777777" w:rsidR="008715BE" w:rsidRPr="00C96230" w:rsidRDefault="00000000">
            <w:pPr>
              <w:pStyle w:val="TableParagraph"/>
              <w:spacing w:line="164" w:lineRule="exact"/>
              <w:ind w:left="107"/>
              <w:rPr>
                <w:rFonts w:ascii="Verdana" w:hAnsi="Verdana"/>
                <w:sz w:val="18"/>
                <w:szCs w:val="18"/>
              </w:rPr>
            </w:pPr>
            <w:r w:rsidRPr="00C96230">
              <w:rPr>
                <w:rFonts w:ascii="Verdana" w:hAnsi="Verdana"/>
                <w:spacing w:val="-2"/>
                <w:sz w:val="18"/>
                <w:szCs w:val="18"/>
              </w:rPr>
              <w:t>secondary</w:t>
            </w:r>
          </w:p>
        </w:tc>
        <w:tc>
          <w:tcPr>
            <w:tcW w:w="1389" w:type="dxa"/>
          </w:tcPr>
          <w:p w14:paraId="40D71738"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16A29344" w14:textId="77777777" w:rsidR="008715BE" w:rsidRPr="00C96230" w:rsidRDefault="00000000">
            <w:pPr>
              <w:pStyle w:val="TableParagraph"/>
              <w:spacing w:line="164" w:lineRule="exact"/>
              <w:ind w:left="108"/>
              <w:rPr>
                <w:rFonts w:ascii="Verdana" w:hAnsi="Verdana"/>
                <w:sz w:val="18"/>
                <w:szCs w:val="18"/>
              </w:rPr>
            </w:pPr>
            <w:r w:rsidRPr="00C96230">
              <w:rPr>
                <w:rFonts w:ascii="Verdana" w:hAnsi="Verdana"/>
                <w:spacing w:val="-2"/>
                <w:sz w:val="18"/>
                <w:szCs w:val="18"/>
              </w:rPr>
              <w:t>No</w:t>
            </w:r>
          </w:p>
        </w:tc>
        <w:tc>
          <w:tcPr>
            <w:tcW w:w="1201" w:type="dxa"/>
          </w:tcPr>
          <w:p w14:paraId="75F85BF6"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53ECD86A"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403731A6"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207890A9"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4C5277B0"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5A055EC4" w14:textId="77777777">
        <w:trPr>
          <w:trHeight w:val="299"/>
        </w:trPr>
        <w:tc>
          <w:tcPr>
            <w:tcW w:w="21392" w:type="dxa"/>
            <w:gridSpan w:val="12"/>
          </w:tcPr>
          <w:p w14:paraId="64779112" w14:textId="77777777" w:rsidR="008715BE" w:rsidRPr="00C96230" w:rsidRDefault="00000000">
            <w:pPr>
              <w:pStyle w:val="TableParagraph"/>
              <w:spacing w:before="61"/>
              <w:ind w:left="24" w:right="1"/>
              <w:jc w:val="center"/>
              <w:rPr>
                <w:rFonts w:ascii="Verdana" w:hAnsi="Verdana"/>
                <w:b/>
                <w:sz w:val="18"/>
                <w:szCs w:val="18"/>
              </w:rPr>
            </w:pPr>
            <w:r w:rsidRPr="00C96230">
              <w:rPr>
                <w:rFonts w:ascii="Verdana" w:hAnsi="Verdana"/>
                <w:b/>
                <w:sz w:val="18"/>
                <w:szCs w:val="18"/>
              </w:rPr>
              <w:t xml:space="preserve">BG0000569 </w:t>
            </w:r>
            <w:r w:rsidRPr="00C96230">
              <w:rPr>
                <w:rFonts w:ascii="Verdana" w:hAnsi="Verdana"/>
                <w:b/>
                <w:spacing w:val="-2"/>
                <w:sz w:val="18"/>
                <w:szCs w:val="18"/>
              </w:rPr>
              <w:t>Kardam</w:t>
            </w:r>
          </w:p>
        </w:tc>
      </w:tr>
      <w:tr w:rsidR="008715BE" w:rsidRPr="00C96230" w14:paraId="20FFAD15" w14:textId="77777777">
        <w:trPr>
          <w:trHeight w:val="885"/>
        </w:trPr>
        <w:tc>
          <w:tcPr>
            <w:tcW w:w="523" w:type="dxa"/>
            <w:vMerge w:val="restart"/>
            <w:textDirection w:val="btLr"/>
          </w:tcPr>
          <w:p w14:paraId="1B116F61" w14:textId="77777777" w:rsidR="008715BE" w:rsidRPr="00C96230" w:rsidRDefault="00000000">
            <w:pPr>
              <w:pStyle w:val="TableParagraph"/>
              <w:spacing w:before="171"/>
              <w:ind w:left="671"/>
              <w:rPr>
                <w:rFonts w:ascii="Verdana" w:hAnsi="Verdana"/>
                <w:sz w:val="18"/>
                <w:szCs w:val="18"/>
              </w:rPr>
            </w:pPr>
            <w:r w:rsidRPr="00C96230">
              <w:rPr>
                <w:rFonts w:ascii="Verdana" w:hAnsi="Verdana"/>
                <w:spacing w:val="-2"/>
                <w:sz w:val="18"/>
                <w:szCs w:val="18"/>
              </w:rPr>
              <w:t>Construction</w:t>
            </w:r>
          </w:p>
        </w:tc>
        <w:tc>
          <w:tcPr>
            <w:tcW w:w="2323" w:type="dxa"/>
          </w:tcPr>
          <w:p w14:paraId="06EA9E7B" w14:textId="77777777" w:rsidR="008715BE" w:rsidRPr="00C96230" w:rsidRDefault="00000000">
            <w:pPr>
              <w:pStyle w:val="TableParagraph"/>
              <w:tabs>
                <w:tab w:val="left" w:pos="2087"/>
              </w:tabs>
              <w:spacing w:before="8"/>
              <w:ind w:left="105" w:right="95"/>
              <w:jc w:val="both"/>
              <w:rPr>
                <w:rFonts w:ascii="Verdana" w:hAnsi="Verdana"/>
                <w:sz w:val="18"/>
                <w:szCs w:val="18"/>
              </w:rPr>
            </w:pPr>
            <w:r w:rsidRPr="00C96230">
              <w:rPr>
                <w:rFonts w:ascii="Verdana" w:hAnsi="Verdana"/>
                <w:spacing w:val="-2"/>
                <w:sz w:val="18"/>
                <w:szCs w:val="18"/>
              </w:rPr>
              <w:t>Organization</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z w:val="18"/>
                <w:szCs w:val="18"/>
              </w:rPr>
              <w:t xml:space="preserve">operation of the construction site (including </w:t>
            </w:r>
            <w:r w:rsidRPr="00C96230">
              <w:rPr>
                <w:rFonts w:ascii="Verdana" w:hAnsi="Verdana"/>
                <w:spacing w:val="-2"/>
                <w:sz w:val="18"/>
                <w:szCs w:val="18"/>
              </w:rPr>
              <w:t xml:space="preserve">site </w:t>
            </w:r>
            <w:r w:rsidRPr="00C96230">
              <w:rPr>
                <w:rFonts w:ascii="Verdana" w:hAnsi="Verdana"/>
                <w:sz w:val="18"/>
                <w:szCs w:val="18"/>
              </w:rPr>
              <w:t>traffic</w:t>
            </w:r>
            <w:r w:rsidRPr="00C96230">
              <w:rPr>
                <w:rFonts w:ascii="Verdana" w:hAnsi="Verdana"/>
                <w:spacing w:val="-2"/>
                <w:sz w:val="18"/>
                <w:szCs w:val="18"/>
              </w:rPr>
              <w:t>)</w:t>
            </w:r>
          </w:p>
        </w:tc>
        <w:tc>
          <w:tcPr>
            <w:tcW w:w="3149" w:type="dxa"/>
          </w:tcPr>
          <w:p w14:paraId="71CE77AC" w14:textId="77777777" w:rsidR="008715BE" w:rsidRPr="00C96230" w:rsidRDefault="00000000">
            <w:pPr>
              <w:pStyle w:val="TableParagraph"/>
              <w:spacing w:before="8"/>
              <w:ind w:left="108" w:right="93"/>
              <w:rPr>
                <w:rFonts w:ascii="Verdana" w:hAnsi="Verdana"/>
                <w:sz w:val="18"/>
                <w:szCs w:val="18"/>
              </w:rPr>
            </w:pPr>
            <w:r w:rsidRPr="00C96230">
              <w:rPr>
                <w:rFonts w:ascii="Verdana" w:hAnsi="Verdana"/>
                <w:sz w:val="18"/>
                <w:szCs w:val="18"/>
              </w:rPr>
              <w:t>Removal of topsoil and vegetation</w:t>
            </w:r>
          </w:p>
        </w:tc>
        <w:tc>
          <w:tcPr>
            <w:tcW w:w="1106" w:type="dxa"/>
          </w:tcPr>
          <w:p w14:paraId="18D1FB05"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4"/>
                <w:sz w:val="18"/>
                <w:szCs w:val="18"/>
              </w:rPr>
              <w:t>AH/PH</w:t>
            </w:r>
          </w:p>
        </w:tc>
        <w:tc>
          <w:tcPr>
            <w:tcW w:w="1108" w:type="dxa"/>
          </w:tcPr>
          <w:p w14:paraId="4A97BA45"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39D1BF89"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EADB5C6"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29233FF4"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val="restart"/>
          </w:tcPr>
          <w:p w14:paraId="48593102"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Mesocricetus newtoni, Mustela eversmanii, Vormela peregusna</w:t>
            </w:r>
          </w:p>
          <w:p w14:paraId="20B9EA80" w14:textId="77777777" w:rsidR="008715BE" w:rsidRPr="00C96230" w:rsidRDefault="00000000">
            <w:pPr>
              <w:pStyle w:val="TableParagraph"/>
              <w:ind w:left="111" w:right="88"/>
              <w:jc w:val="both"/>
              <w:rPr>
                <w:rFonts w:ascii="Verdana" w:hAnsi="Verdana"/>
                <w:i/>
                <w:sz w:val="18"/>
                <w:szCs w:val="18"/>
              </w:rPr>
            </w:pPr>
            <w:r w:rsidRPr="00C96230">
              <w:rPr>
                <w:rFonts w:ascii="Verdana" w:hAnsi="Verdana"/>
                <w:i/>
                <w:sz w:val="18"/>
                <w:szCs w:val="18"/>
              </w:rPr>
              <w:t xml:space="preserve">Lynx lynx (only if </w:t>
            </w:r>
            <w:r w:rsidRPr="00C96230">
              <w:rPr>
                <w:rFonts w:ascii="Verdana" w:hAnsi="Verdana"/>
                <w:i/>
                <w:spacing w:val="-2"/>
                <w:sz w:val="18"/>
                <w:szCs w:val="18"/>
              </w:rPr>
              <w:t xml:space="preserve">presence </w:t>
            </w:r>
            <w:r w:rsidRPr="00C96230">
              <w:rPr>
                <w:rFonts w:ascii="Verdana" w:hAnsi="Verdana"/>
                <w:i/>
                <w:sz w:val="18"/>
                <w:szCs w:val="18"/>
              </w:rPr>
              <w:t>is confirmed</w:t>
            </w:r>
            <w:r w:rsidRPr="00C96230">
              <w:rPr>
                <w:rFonts w:ascii="Verdana" w:hAnsi="Verdana"/>
                <w:i/>
                <w:spacing w:val="-2"/>
                <w:sz w:val="18"/>
                <w:szCs w:val="18"/>
              </w:rPr>
              <w:t>)</w:t>
            </w:r>
          </w:p>
        </w:tc>
        <w:tc>
          <w:tcPr>
            <w:tcW w:w="1897" w:type="dxa"/>
          </w:tcPr>
          <w:p w14:paraId="17660300"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3F8DC9F4"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val="restart"/>
          </w:tcPr>
          <w:p w14:paraId="3D895CE6" w14:textId="77777777" w:rsidR="008715BE" w:rsidRPr="00C96230" w:rsidRDefault="00000000">
            <w:pPr>
              <w:pStyle w:val="TableParagraph"/>
              <w:spacing w:before="8"/>
              <w:ind w:left="117"/>
              <w:jc w:val="both"/>
              <w:rPr>
                <w:rFonts w:ascii="Verdana" w:hAnsi="Verdana"/>
                <w:sz w:val="18"/>
                <w:szCs w:val="18"/>
              </w:rPr>
            </w:pPr>
            <w:r w:rsidRPr="00C96230">
              <w:rPr>
                <w:rFonts w:ascii="Verdana" w:hAnsi="Verdana"/>
                <w:sz w:val="18"/>
                <w:szCs w:val="18"/>
              </w:rPr>
              <w:t xml:space="preserve">0 ha within the </w:t>
            </w:r>
            <w:r w:rsidRPr="00C96230">
              <w:rPr>
                <w:rFonts w:ascii="Verdana" w:hAnsi="Verdana"/>
                <w:spacing w:val="-2"/>
                <w:sz w:val="18"/>
                <w:szCs w:val="18"/>
              </w:rPr>
              <w:t xml:space="preserve">protected </w:t>
            </w:r>
            <w:r w:rsidRPr="00C96230">
              <w:rPr>
                <w:rFonts w:ascii="Verdana" w:hAnsi="Verdana"/>
                <w:sz w:val="18"/>
                <w:szCs w:val="18"/>
              </w:rPr>
              <w:t>area</w:t>
            </w:r>
          </w:p>
          <w:p w14:paraId="59BDB36D" w14:textId="77777777" w:rsidR="008715BE" w:rsidRPr="00C96230" w:rsidRDefault="00000000">
            <w:pPr>
              <w:pStyle w:val="TableParagraph"/>
              <w:spacing w:before="193"/>
              <w:ind w:left="117" w:right="83"/>
              <w:jc w:val="both"/>
              <w:rPr>
                <w:rFonts w:ascii="Verdana" w:hAnsi="Verdana"/>
                <w:sz w:val="18"/>
                <w:szCs w:val="18"/>
              </w:rPr>
            </w:pPr>
            <w:r w:rsidRPr="00C96230">
              <w:rPr>
                <w:rFonts w:ascii="Verdana" w:hAnsi="Verdana"/>
                <w:sz w:val="18"/>
                <w:szCs w:val="18"/>
              </w:rPr>
              <w:t>Areas occupied outside the protected area where presence has been reported following monitoring:</w:t>
            </w:r>
          </w:p>
          <w:p w14:paraId="5D994E90" w14:textId="77777777" w:rsidR="008715BE" w:rsidRPr="00C96230" w:rsidRDefault="00000000">
            <w:pPr>
              <w:pStyle w:val="TableParagraph"/>
              <w:spacing w:before="192"/>
              <w:ind w:left="117" w:right="84"/>
              <w:jc w:val="both"/>
              <w:rPr>
                <w:rFonts w:ascii="Verdana" w:hAnsi="Verdana"/>
                <w:sz w:val="18"/>
                <w:szCs w:val="18"/>
              </w:rPr>
            </w:pPr>
            <w:r w:rsidRPr="00C96230">
              <w:rPr>
                <w:rFonts w:ascii="Verdana" w:hAnsi="Verdana"/>
                <w:sz w:val="18"/>
                <w:szCs w:val="18"/>
              </w:rPr>
              <w:t xml:space="preserve">0.9 ha temporarily occupied by the construction site + area temporarily occupied by trenches for cable installation 309.24 ha permanently occupied </w:t>
            </w:r>
            <w:r w:rsidRPr="00C96230">
              <w:rPr>
                <w:rFonts w:ascii="Verdana" w:hAnsi="Verdana"/>
                <w:spacing w:val="-5"/>
                <w:sz w:val="18"/>
                <w:szCs w:val="18"/>
              </w:rPr>
              <w:t>by</w:t>
            </w:r>
          </w:p>
        </w:tc>
        <w:tc>
          <w:tcPr>
            <w:tcW w:w="1889" w:type="dxa"/>
            <w:vMerge w:val="restart"/>
          </w:tcPr>
          <w:p w14:paraId="5D67CEB7" w14:textId="77777777" w:rsidR="008715BE" w:rsidRPr="00C96230" w:rsidRDefault="00000000">
            <w:pPr>
              <w:pStyle w:val="TableParagraph"/>
              <w:tabs>
                <w:tab w:val="left" w:pos="1654"/>
              </w:tabs>
              <w:spacing w:before="8"/>
              <w:ind w:left="119" w:right="81"/>
              <w:jc w:val="both"/>
              <w:rPr>
                <w:rFonts w:ascii="Verdana" w:hAnsi="Verdana"/>
                <w:sz w:val="18"/>
                <w:szCs w:val="18"/>
              </w:rPr>
            </w:pPr>
            <w:r w:rsidRPr="00C96230">
              <w:rPr>
                <w:rFonts w:ascii="Verdana" w:hAnsi="Verdana"/>
                <w:sz w:val="18"/>
                <w:szCs w:val="18"/>
              </w:rPr>
              <w:t xml:space="preserve">Spatial analysis and data provided by the </w:t>
            </w:r>
            <w:r w:rsidRPr="00C96230">
              <w:rPr>
                <w:rFonts w:ascii="Verdana" w:hAnsi="Verdana"/>
                <w:spacing w:val="-2"/>
                <w:sz w:val="18"/>
                <w:szCs w:val="18"/>
              </w:rPr>
              <w:t xml:space="preserve">Bulgarian </w:t>
            </w:r>
            <w:r w:rsidRPr="00C96230">
              <w:rPr>
                <w:rFonts w:ascii="Verdana" w:hAnsi="Verdana"/>
                <w:sz w:val="18"/>
                <w:szCs w:val="18"/>
              </w:rPr>
              <w:t>Ministry of Environment</w:t>
            </w:r>
            <w:r w:rsidRPr="00C96230">
              <w:rPr>
                <w:rFonts w:ascii="Verdana" w:hAnsi="Verdana"/>
                <w:sz w:val="18"/>
                <w:szCs w:val="18"/>
              </w:rPr>
              <w:tab/>
            </w:r>
            <w:r w:rsidRPr="00C96230">
              <w:rPr>
                <w:rFonts w:ascii="Verdana" w:hAnsi="Verdana"/>
                <w:spacing w:val="-5"/>
                <w:sz w:val="18"/>
                <w:szCs w:val="18"/>
              </w:rPr>
              <w:t>to</w:t>
            </w:r>
          </w:p>
          <w:p w14:paraId="72722B9A" w14:textId="77777777" w:rsidR="008715BE" w:rsidRPr="00C96230" w:rsidRDefault="00000000">
            <w:pPr>
              <w:pStyle w:val="TableParagraph"/>
              <w:ind w:left="119"/>
              <w:rPr>
                <w:rFonts w:ascii="Verdana" w:hAnsi="Verdana"/>
                <w:sz w:val="18"/>
                <w:szCs w:val="18"/>
              </w:rPr>
            </w:pPr>
            <w:r w:rsidRPr="00C96230">
              <w:rPr>
                <w:rFonts w:ascii="Verdana" w:hAnsi="Verdana"/>
                <w:spacing w:val="-2"/>
                <w:sz w:val="18"/>
                <w:szCs w:val="18"/>
              </w:rPr>
              <w:t>the request of the beneficiary</w:t>
            </w:r>
          </w:p>
        </w:tc>
      </w:tr>
      <w:tr w:rsidR="008715BE" w:rsidRPr="00C96230" w14:paraId="31EE4F06" w14:textId="77777777">
        <w:trPr>
          <w:trHeight w:val="1360"/>
        </w:trPr>
        <w:tc>
          <w:tcPr>
            <w:tcW w:w="523" w:type="dxa"/>
            <w:vMerge/>
            <w:tcBorders>
              <w:top w:val="nil"/>
            </w:tcBorders>
            <w:textDirection w:val="btLr"/>
          </w:tcPr>
          <w:p w14:paraId="0B9FB51B" w14:textId="77777777" w:rsidR="008715BE" w:rsidRPr="00C96230" w:rsidRDefault="008715BE">
            <w:pPr>
              <w:rPr>
                <w:rFonts w:ascii="Verdana" w:hAnsi="Verdana"/>
                <w:sz w:val="18"/>
                <w:szCs w:val="18"/>
              </w:rPr>
            </w:pPr>
          </w:p>
        </w:tc>
        <w:tc>
          <w:tcPr>
            <w:tcW w:w="2323" w:type="dxa"/>
          </w:tcPr>
          <w:p w14:paraId="08F38250"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Construction of </w:t>
            </w:r>
            <w:r w:rsidRPr="00C96230">
              <w:rPr>
                <w:rFonts w:ascii="Verdana" w:hAnsi="Verdana"/>
                <w:spacing w:val="-4"/>
                <w:sz w:val="18"/>
                <w:szCs w:val="18"/>
              </w:rPr>
              <w:t xml:space="preserve">access </w:t>
            </w:r>
            <w:r w:rsidRPr="00C96230">
              <w:rPr>
                <w:rFonts w:ascii="Verdana" w:hAnsi="Verdana"/>
                <w:sz w:val="18"/>
                <w:szCs w:val="18"/>
              </w:rPr>
              <w:t>roads</w:t>
            </w:r>
          </w:p>
        </w:tc>
        <w:tc>
          <w:tcPr>
            <w:tcW w:w="3149" w:type="dxa"/>
          </w:tcPr>
          <w:p w14:paraId="00DADEB4" w14:textId="77777777" w:rsidR="008715BE" w:rsidRPr="00C96230" w:rsidRDefault="00000000">
            <w:pPr>
              <w:pStyle w:val="TableParagraph"/>
              <w:spacing w:before="8" w:line="195" w:lineRule="exact"/>
              <w:ind w:left="108"/>
              <w:rPr>
                <w:rFonts w:ascii="Verdana" w:hAnsi="Verdana"/>
                <w:sz w:val="18"/>
                <w:szCs w:val="18"/>
              </w:rPr>
            </w:pPr>
            <w:r w:rsidRPr="00C96230">
              <w:rPr>
                <w:rFonts w:ascii="Verdana" w:hAnsi="Verdana"/>
                <w:spacing w:val="33"/>
                <w:sz w:val="18"/>
                <w:szCs w:val="18"/>
              </w:rPr>
              <w:t xml:space="preserve">  </w:t>
            </w:r>
            <w:r w:rsidRPr="00C96230">
              <w:rPr>
                <w:rFonts w:ascii="Verdana" w:hAnsi="Verdana"/>
                <w:spacing w:val="-10"/>
                <w:sz w:val="18"/>
                <w:szCs w:val="18"/>
              </w:rPr>
              <w:t xml:space="preserve"> e </w:t>
            </w:r>
            <w:r w:rsidRPr="00C96230">
              <w:rPr>
                <w:rFonts w:ascii="Verdana" w:hAnsi="Verdana"/>
                <w:spacing w:val="-2"/>
                <w:sz w:val="18"/>
                <w:szCs w:val="18"/>
              </w:rPr>
              <w:t xml:space="preserve">temporary/permanent occupation </w:t>
            </w:r>
            <w:r w:rsidRPr="00C96230">
              <w:rPr>
                <w:rFonts w:ascii="Verdana" w:hAnsi="Verdana"/>
                <w:spacing w:val="-10"/>
                <w:sz w:val="18"/>
                <w:szCs w:val="18"/>
              </w:rPr>
              <w:t>of</w:t>
            </w:r>
          </w:p>
          <w:p w14:paraId="679E563C" w14:textId="77777777" w:rsidR="008715BE" w:rsidRPr="00C96230" w:rsidRDefault="00000000">
            <w:pPr>
              <w:pStyle w:val="TableParagraph"/>
              <w:spacing w:line="195" w:lineRule="exact"/>
              <w:ind w:left="108"/>
              <w:rPr>
                <w:rFonts w:ascii="Verdana" w:hAnsi="Verdana"/>
                <w:sz w:val="18"/>
                <w:szCs w:val="18"/>
              </w:rPr>
            </w:pPr>
            <w:r w:rsidRPr="00C96230">
              <w:rPr>
                <w:rFonts w:ascii="Verdana" w:hAnsi="Verdana"/>
                <w:sz w:val="18"/>
                <w:szCs w:val="18"/>
              </w:rPr>
              <w:t xml:space="preserve">of </w:t>
            </w:r>
            <w:r w:rsidRPr="00C96230">
              <w:rPr>
                <w:rFonts w:ascii="Verdana" w:hAnsi="Verdana"/>
                <w:spacing w:val="-2"/>
                <w:sz w:val="18"/>
                <w:szCs w:val="18"/>
              </w:rPr>
              <w:t xml:space="preserve">land </w:t>
            </w:r>
            <w:r w:rsidRPr="00C96230">
              <w:rPr>
                <w:rFonts w:ascii="Verdana" w:hAnsi="Verdana"/>
                <w:sz w:val="18"/>
                <w:szCs w:val="18"/>
              </w:rPr>
              <w:t>areas</w:t>
            </w:r>
          </w:p>
        </w:tc>
        <w:tc>
          <w:tcPr>
            <w:tcW w:w="1106" w:type="dxa"/>
          </w:tcPr>
          <w:p w14:paraId="405F3A8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FH</w:t>
            </w:r>
          </w:p>
        </w:tc>
        <w:tc>
          <w:tcPr>
            <w:tcW w:w="1108" w:type="dxa"/>
          </w:tcPr>
          <w:p w14:paraId="20542BBA"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581E2F46"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9086CD2"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01" w:type="dxa"/>
          </w:tcPr>
          <w:p w14:paraId="73436657"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7BB9FE54" w14:textId="77777777" w:rsidR="008715BE" w:rsidRPr="00C96230" w:rsidRDefault="008715BE">
            <w:pPr>
              <w:rPr>
                <w:rFonts w:ascii="Verdana" w:hAnsi="Verdana"/>
                <w:sz w:val="18"/>
                <w:szCs w:val="18"/>
              </w:rPr>
            </w:pPr>
          </w:p>
        </w:tc>
        <w:tc>
          <w:tcPr>
            <w:tcW w:w="1897" w:type="dxa"/>
          </w:tcPr>
          <w:p w14:paraId="295EDDEB"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37744E86"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vMerge/>
            <w:tcBorders>
              <w:top w:val="nil"/>
            </w:tcBorders>
          </w:tcPr>
          <w:p w14:paraId="03F52F78" w14:textId="77777777" w:rsidR="008715BE" w:rsidRPr="00C96230" w:rsidRDefault="008715BE">
            <w:pPr>
              <w:rPr>
                <w:rFonts w:ascii="Verdana" w:hAnsi="Verdana"/>
                <w:sz w:val="18"/>
                <w:szCs w:val="18"/>
              </w:rPr>
            </w:pPr>
          </w:p>
        </w:tc>
        <w:tc>
          <w:tcPr>
            <w:tcW w:w="1889" w:type="dxa"/>
            <w:vMerge/>
            <w:tcBorders>
              <w:top w:val="nil"/>
            </w:tcBorders>
          </w:tcPr>
          <w:p w14:paraId="702AB854" w14:textId="77777777" w:rsidR="008715BE" w:rsidRPr="00C96230" w:rsidRDefault="008715BE">
            <w:pPr>
              <w:rPr>
                <w:rFonts w:ascii="Verdana" w:hAnsi="Verdana"/>
                <w:sz w:val="18"/>
                <w:szCs w:val="18"/>
              </w:rPr>
            </w:pPr>
          </w:p>
        </w:tc>
      </w:tr>
    </w:tbl>
    <w:p w14:paraId="1E5A7139" w14:textId="77777777" w:rsidR="008715BE" w:rsidRPr="00C96230" w:rsidRDefault="008715BE">
      <w:pPr>
        <w:rPr>
          <w:rFonts w:ascii="Verdana" w:hAnsi="Verdana"/>
          <w:sz w:val="18"/>
          <w:szCs w:val="18"/>
        </w:rPr>
        <w:sectPr w:rsidR="008715BE" w:rsidRPr="00C96230">
          <w:pgSz w:w="23820" w:h="16840" w:orient="landscape"/>
          <w:pgMar w:top="1120" w:right="850" w:bottom="1020" w:left="566" w:header="766" w:footer="810" w:gutter="0"/>
          <w:cols w:space="708"/>
        </w:sectPr>
      </w:pPr>
    </w:p>
    <w:p w14:paraId="0EB65B98"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13D9EE6D" w14:textId="77777777">
        <w:trPr>
          <w:trHeight w:val="842"/>
        </w:trPr>
        <w:tc>
          <w:tcPr>
            <w:tcW w:w="2846" w:type="dxa"/>
            <w:gridSpan w:val="2"/>
            <w:shd w:val="clear" w:color="auto" w:fill="00A1E8"/>
          </w:tcPr>
          <w:p w14:paraId="04E49F6D" w14:textId="77777777" w:rsidR="008715BE" w:rsidRPr="00C96230" w:rsidRDefault="008715BE">
            <w:pPr>
              <w:pStyle w:val="TableParagraph"/>
              <w:spacing w:before="136"/>
              <w:rPr>
                <w:rFonts w:ascii="Verdana" w:hAnsi="Verdana"/>
                <w:b/>
                <w:sz w:val="18"/>
                <w:szCs w:val="18"/>
              </w:rPr>
            </w:pPr>
          </w:p>
          <w:p w14:paraId="51C4DDD5"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087F07ED" w14:textId="77777777" w:rsidR="008715BE" w:rsidRPr="00C96230" w:rsidRDefault="008715BE">
            <w:pPr>
              <w:pStyle w:val="TableParagraph"/>
              <w:spacing w:before="136"/>
              <w:rPr>
                <w:rFonts w:ascii="Verdana" w:hAnsi="Verdana"/>
                <w:b/>
                <w:sz w:val="18"/>
                <w:szCs w:val="18"/>
              </w:rPr>
            </w:pPr>
          </w:p>
          <w:p w14:paraId="0C5FD6E2"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53C35007" w14:textId="77777777" w:rsidR="008715BE" w:rsidRPr="00C96230" w:rsidRDefault="008715BE">
            <w:pPr>
              <w:pStyle w:val="TableParagraph"/>
              <w:spacing w:before="40"/>
              <w:rPr>
                <w:rFonts w:ascii="Verdana" w:hAnsi="Verdana"/>
                <w:b/>
                <w:sz w:val="18"/>
                <w:szCs w:val="18"/>
              </w:rPr>
            </w:pPr>
          </w:p>
          <w:p w14:paraId="06E1F1A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2500C76C" w14:textId="77777777" w:rsidR="008715BE" w:rsidRPr="00C96230" w:rsidRDefault="008715BE">
            <w:pPr>
              <w:pStyle w:val="TableParagraph"/>
              <w:spacing w:before="40"/>
              <w:rPr>
                <w:rFonts w:ascii="Verdana" w:hAnsi="Verdana"/>
                <w:b/>
                <w:sz w:val="18"/>
                <w:szCs w:val="18"/>
              </w:rPr>
            </w:pPr>
          </w:p>
          <w:p w14:paraId="29EF4AB6"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5C11DEBD" w14:textId="77777777" w:rsidR="008715BE" w:rsidRPr="00C96230" w:rsidRDefault="008715BE">
            <w:pPr>
              <w:pStyle w:val="TableParagraph"/>
              <w:spacing w:before="40"/>
              <w:rPr>
                <w:rFonts w:ascii="Verdana" w:hAnsi="Verdana"/>
                <w:b/>
                <w:sz w:val="18"/>
                <w:szCs w:val="18"/>
              </w:rPr>
            </w:pPr>
          </w:p>
          <w:p w14:paraId="349AE276"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34EE8EA0" w14:textId="77777777" w:rsidR="008715BE" w:rsidRPr="00C96230" w:rsidRDefault="008715BE">
            <w:pPr>
              <w:pStyle w:val="TableParagraph"/>
              <w:spacing w:before="40"/>
              <w:rPr>
                <w:rFonts w:ascii="Verdana" w:hAnsi="Verdana"/>
                <w:b/>
                <w:sz w:val="18"/>
                <w:szCs w:val="18"/>
              </w:rPr>
            </w:pPr>
          </w:p>
          <w:p w14:paraId="3EE26E16"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0FA6134B"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713EDACB" w14:textId="77777777" w:rsidR="008715BE" w:rsidRPr="00C96230" w:rsidRDefault="008715BE">
            <w:pPr>
              <w:pStyle w:val="TableParagraph"/>
              <w:spacing w:before="136"/>
              <w:rPr>
                <w:rFonts w:ascii="Verdana" w:hAnsi="Verdana"/>
                <w:b/>
                <w:sz w:val="18"/>
                <w:szCs w:val="18"/>
              </w:rPr>
            </w:pPr>
          </w:p>
          <w:p w14:paraId="135C8094"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5EBD77B8" w14:textId="77777777" w:rsidR="008715BE" w:rsidRPr="00C96230" w:rsidRDefault="008715BE">
            <w:pPr>
              <w:pStyle w:val="TableParagraph"/>
              <w:spacing w:before="40"/>
              <w:rPr>
                <w:rFonts w:ascii="Verdana" w:hAnsi="Verdana"/>
                <w:b/>
                <w:sz w:val="18"/>
                <w:szCs w:val="18"/>
              </w:rPr>
            </w:pPr>
          </w:p>
          <w:p w14:paraId="25A6B266"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0716C3C2"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0F608EA5" w14:textId="77777777" w:rsidR="008715BE" w:rsidRPr="00C96230" w:rsidRDefault="008715BE">
            <w:pPr>
              <w:pStyle w:val="TableParagraph"/>
              <w:spacing w:before="40"/>
              <w:rPr>
                <w:rFonts w:ascii="Verdana" w:hAnsi="Verdana"/>
                <w:b/>
                <w:sz w:val="18"/>
                <w:szCs w:val="18"/>
              </w:rPr>
            </w:pPr>
          </w:p>
          <w:p w14:paraId="064D0704"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5412EB56" w14:textId="77777777" w:rsidR="008715BE" w:rsidRPr="00C96230" w:rsidRDefault="008715BE">
            <w:pPr>
              <w:pStyle w:val="TableParagraph"/>
              <w:spacing w:before="40"/>
              <w:rPr>
                <w:rFonts w:ascii="Verdana" w:hAnsi="Verdana"/>
                <w:b/>
                <w:sz w:val="18"/>
                <w:szCs w:val="18"/>
              </w:rPr>
            </w:pPr>
          </w:p>
          <w:p w14:paraId="74DB15A2"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221D5E12" w14:textId="77777777">
        <w:trPr>
          <w:trHeight w:val="734"/>
        </w:trPr>
        <w:tc>
          <w:tcPr>
            <w:tcW w:w="523" w:type="dxa"/>
            <w:vMerge w:val="restart"/>
          </w:tcPr>
          <w:p w14:paraId="2A9C87C4" w14:textId="77777777" w:rsidR="008715BE" w:rsidRPr="00C96230" w:rsidRDefault="008715BE">
            <w:pPr>
              <w:pStyle w:val="TableParagraph"/>
              <w:rPr>
                <w:rFonts w:ascii="Verdana" w:hAnsi="Verdana"/>
                <w:sz w:val="18"/>
                <w:szCs w:val="18"/>
              </w:rPr>
            </w:pPr>
          </w:p>
        </w:tc>
        <w:tc>
          <w:tcPr>
            <w:tcW w:w="2323" w:type="dxa"/>
          </w:tcPr>
          <w:p w14:paraId="52113E92" w14:textId="77777777" w:rsidR="008715BE" w:rsidRPr="00C96230" w:rsidRDefault="008715BE">
            <w:pPr>
              <w:pStyle w:val="TableParagraph"/>
              <w:rPr>
                <w:rFonts w:ascii="Verdana" w:hAnsi="Verdana"/>
                <w:sz w:val="18"/>
                <w:szCs w:val="18"/>
              </w:rPr>
            </w:pPr>
          </w:p>
        </w:tc>
        <w:tc>
          <w:tcPr>
            <w:tcW w:w="3149" w:type="dxa"/>
          </w:tcPr>
          <w:p w14:paraId="7A9A551B" w14:textId="77777777" w:rsidR="008715BE" w:rsidRPr="00C96230" w:rsidRDefault="008715BE">
            <w:pPr>
              <w:pStyle w:val="TableParagraph"/>
              <w:rPr>
                <w:rFonts w:ascii="Verdana" w:hAnsi="Verdana"/>
                <w:sz w:val="18"/>
                <w:szCs w:val="18"/>
              </w:rPr>
            </w:pPr>
          </w:p>
        </w:tc>
        <w:tc>
          <w:tcPr>
            <w:tcW w:w="1106" w:type="dxa"/>
          </w:tcPr>
          <w:p w14:paraId="0DBFE67F" w14:textId="77777777" w:rsidR="008715BE" w:rsidRPr="00C96230" w:rsidRDefault="008715BE">
            <w:pPr>
              <w:pStyle w:val="TableParagraph"/>
              <w:rPr>
                <w:rFonts w:ascii="Verdana" w:hAnsi="Verdana"/>
                <w:sz w:val="18"/>
                <w:szCs w:val="18"/>
              </w:rPr>
            </w:pPr>
          </w:p>
        </w:tc>
        <w:tc>
          <w:tcPr>
            <w:tcW w:w="1108" w:type="dxa"/>
          </w:tcPr>
          <w:p w14:paraId="15FA4904" w14:textId="77777777" w:rsidR="008715BE" w:rsidRPr="00C96230" w:rsidRDefault="008715BE">
            <w:pPr>
              <w:pStyle w:val="TableParagraph"/>
              <w:rPr>
                <w:rFonts w:ascii="Verdana" w:hAnsi="Verdana"/>
                <w:sz w:val="18"/>
                <w:szCs w:val="18"/>
              </w:rPr>
            </w:pPr>
          </w:p>
        </w:tc>
        <w:tc>
          <w:tcPr>
            <w:tcW w:w="1211" w:type="dxa"/>
          </w:tcPr>
          <w:p w14:paraId="3DCFDEBE" w14:textId="77777777" w:rsidR="008715BE" w:rsidRPr="00C96230" w:rsidRDefault="008715BE">
            <w:pPr>
              <w:pStyle w:val="TableParagraph"/>
              <w:rPr>
                <w:rFonts w:ascii="Verdana" w:hAnsi="Verdana"/>
                <w:sz w:val="18"/>
                <w:szCs w:val="18"/>
              </w:rPr>
            </w:pPr>
          </w:p>
        </w:tc>
        <w:tc>
          <w:tcPr>
            <w:tcW w:w="1389" w:type="dxa"/>
          </w:tcPr>
          <w:p w14:paraId="6AA0F304" w14:textId="77777777" w:rsidR="008715BE" w:rsidRPr="00C96230" w:rsidRDefault="008715BE">
            <w:pPr>
              <w:pStyle w:val="TableParagraph"/>
              <w:rPr>
                <w:rFonts w:ascii="Verdana" w:hAnsi="Verdana"/>
                <w:sz w:val="18"/>
                <w:szCs w:val="18"/>
              </w:rPr>
            </w:pPr>
          </w:p>
        </w:tc>
        <w:tc>
          <w:tcPr>
            <w:tcW w:w="1201" w:type="dxa"/>
          </w:tcPr>
          <w:p w14:paraId="3B97D20C" w14:textId="77777777" w:rsidR="008715BE" w:rsidRPr="00C96230" w:rsidRDefault="008715BE">
            <w:pPr>
              <w:pStyle w:val="TableParagraph"/>
              <w:rPr>
                <w:rFonts w:ascii="Verdana" w:hAnsi="Verdana"/>
                <w:sz w:val="18"/>
                <w:szCs w:val="18"/>
              </w:rPr>
            </w:pPr>
          </w:p>
        </w:tc>
        <w:tc>
          <w:tcPr>
            <w:tcW w:w="1736" w:type="dxa"/>
            <w:vMerge w:val="restart"/>
          </w:tcPr>
          <w:p w14:paraId="4A61D7EC" w14:textId="77777777" w:rsidR="008715BE" w:rsidRPr="00C96230" w:rsidRDefault="008715BE">
            <w:pPr>
              <w:pStyle w:val="TableParagraph"/>
              <w:rPr>
                <w:rFonts w:ascii="Verdana" w:hAnsi="Verdana"/>
                <w:sz w:val="18"/>
                <w:szCs w:val="18"/>
              </w:rPr>
            </w:pPr>
          </w:p>
        </w:tc>
        <w:tc>
          <w:tcPr>
            <w:tcW w:w="1897" w:type="dxa"/>
          </w:tcPr>
          <w:p w14:paraId="26A5501A" w14:textId="77777777" w:rsidR="008715BE" w:rsidRPr="00C96230" w:rsidRDefault="008715BE">
            <w:pPr>
              <w:pStyle w:val="TableParagraph"/>
              <w:rPr>
                <w:rFonts w:ascii="Verdana" w:hAnsi="Verdana"/>
                <w:sz w:val="18"/>
                <w:szCs w:val="18"/>
              </w:rPr>
            </w:pPr>
          </w:p>
        </w:tc>
        <w:tc>
          <w:tcPr>
            <w:tcW w:w="3860" w:type="dxa"/>
            <w:vMerge w:val="restart"/>
          </w:tcPr>
          <w:p w14:paraId="2EFEC758" w14:textId="77777777" w:rsidR="008715BE" w:rsidRPr="00C96230" w:rsidRDefault="00000000">
            <w:pPr>
              <w:pStyle w:val="TableParagraph"/>
              <w:spacing w:before="8"/>
              <w:ind w:left="117" w:right="84"/>
              <w:jc w:val="both"/>
              <w:rPr>
                <w:rFonts w:ascii="Verdana" w:hAnsi="Verdana"/>
                <w:sz w:val="18"/>
                <w:szCs w:val="18"/>
              </w:rPr>
            </w:pPr>
            <w:r w:rsidRPr="00C96230">
              <w:rPr>
                <w:rFonts w:ascii="Verdana" w:hAnsi="Verdana"/>
                <w:sz w:val="18"/>
                <w:szCs w:val="18"/>
              </w:rPr>
              <w:t xml:space="preserve">structural elements of the </w:t>
            </w:r>
            <w:r w:rsidRPr="00C96230">
              <w:rPr>
                <w:rFonts w:ascii="Verdana" w:hAnsi="Verdana"/>
                <w:spacing w:val="-2"/>
                <w:sz w:val="18"/>
                <w:szCs w:val="18"/>
              </w:rPr>
              <w:t>energy</w:t>
            </w:r>
            <w:r w:rsidRPr="00C96230">
              <w:rPr>
                <w:rFonts w:ascii="Verdana" w:hAnsi="Verdana"/>
                <w:sz w:val="18"/>
                <w:szCs w:val="18"/>
              </w:rPr>
              <w:t xml:space="preserve"> park</w:t>
            </w:r>
          </w:p>
          <w:p w14:paraId="7F3242E5" w14:textId="77777777" w:rsidR="008715BE" w:rsidRPr="00C96230" w:rsidRDefault="00000000">
            <w:pPr>
              <w:pStyle w:val="TableParagraph"/>
              <w:spacing w:before="193"/>
              <w:ind w:left="117" w:right="86"/>
              <w:jc w:val="both"/>
              <w:rPr>
                <w:rFonts w:ascii="Verdana" w:hAnsi="Verdana"/>
                <w:sz w:val="18"/>
                <w:szCs w:val="18"/>
              </w:rPr>
            </w:pPr>
            <w:r w:rsidRPr="00C96230">
              <w:rPr>
                <w:rFonts w:ascii="Verdana" w:hAnsi="Verdana"/>
                <w:sz w:val="18"/>
                <w:szCs w:val="18"/>
              </w:rPr>
              <w:t>Possible disruption of the activity of a maximum of 2 to 3 individuals</w:t>
            </w:r>
          </w:p>
          <w:p w14:paraId="463D59C8"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3AAA1A9C"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isoline will be felt at distances of up to 1.5 km around the work area</w:t>
            </w:r>
          </w:p>
          <w:p w14:paraId="2ACB9B0E" w14:textId="77777777" w:rsidR="008715BE" w:rsidRPr="00C96230" w:rsidRDefault="00000000">
            <w:pPr>
              <w:pStyle w:val="TableParagraph"/>
              <w:spacing w:before="159" w:line="194" w:lineRule="exact"/>
              <w:ind w:left="117" w:right="84"/>
              <w:jc w:val="both"/>
              <w:rPr>
                <w:rFonts w:ascii="Verdana" w:hAnsi="Verdana"/>
                <w:sz w:val="18"/>
                <w:szCs w:val="18"/>
              </w:rPr>
            </w:pPr>
            <w:r w:rsidRPr="00C96230">
              <w:rPr>
                <w:rFonts w:ascii="Verdana" w:hAnsi="Verdana"/>
                <w:sz w:val="18"/>
                <w:szCs w:val="18"/>
              </w:rPr>
              <w:t>The impact will be felt outside the protected area of the wind farm, in the vicinity of the wind turbines</w:t>
            </w:r>
          </w:p>
        </w:tc>
        <w:tc>
          <w:tcPr>
            <w:tcW w:w="1889" w:type="dxa"/>
            <w:vMerge w:val="restart"/>
          </w:tcPr>
          <w:p w14:paraId="60082D65" w14:textId="77777777" w:rsidR="008715BE" w:rsidRPr="00C96230" w:rsidRDefault="008715BE">
            <w:pPr>
              <w:pStyle w:val="TableParagraph"/>
              <w:rPr>
                <w:rFonts w:ascii="Verdana" w:hAnsi="Verdana"/>
                <w:b/>
                <w:sz w:val="18"/>
                <w:szCs w:val="18"/>
              </w:rPr>
            </w:pPr>
          </w:p>
          <w:p w14:paraId="34C25635" w14:textId="77777777" w:rsidR="008715BE" w:rsidRPr="00C96230" w:rsidRDefault="008715BE">
            <w:pPr>
              <w:pStyle w:val="TableParagraph"/>
              <w:rPr>
                <w:rFonts w:ascii="Verdana" w:hAnsi="Verdana"/>
                <w:b/>
                <w:sz w:val="18"/>
                <w:szCs w:val="18"/>
              </w:rPr>
            </w:pPr>
          </w:p>
          <w:p w14:paraId="1E71F2EB" w14:textId="77777777" w:rsidR="008715BE" w:rsidRPr="00C96230" w:rsidRDefault="008715BE">
            <w:pPr>
              <w:pStyle w:val="TableParagraph"/>
              <w:rPr>
                <w:rFonts w:ascii="Verdana" w:hAnsi="Verdana"/>
                <w:b/>
                <w:sz w:val="18"/>
                <w:szCs w:val="18"/>
              </w:rPr>
            </w:pPr>
          </w:p>
          <w:p w14:paraId="1480D5AD" w14:textId="77777777" w:rsidR="008715BE" w:rsidRPr="00C96230" w:rsidRDefault="008715BE">
            <w:pPr>
              <w:pStyle w:val="TableParagraph"/>
              <w:spacing w:before="4"/>
              <w:rPr>
                <w:rFonts w:ascii="Verdana" w:hAnsi="Verdana"/>
                <w:b/>
                <w:sz w:val="18"/>
                <w:szCs w:val="18"/>
              </w:rPr>
            </w:pPr>
          </w:p>
          <w:p w14:paraId="2D91F915" w14:textId="77777777" w:rsidR="008715BE" w:rsidRPr="00C96230" w:rsidRDefault="00000000">
            <w:pPr>
              <w:pStyle w:val="TableParagraph"/>
              <w:tabs>
                <w:tab w:val="left" w:pos="1414"/>
              </w:tabs>
              <w:spacing w:line="195" w:lineRule="exact"/>
              <w:ind w:left="119"/>
              <w:rPr>
                <w:rFonts w:ascii="Verdana" w:hAnsi="Verdana"/>
                <w:sz w:val="18"/>
                <w:szCs w:val="18"/>
              </w:rPr>
            </w:pPr>
            <w:r w:rsidRPr="00C96230">
              <w:rPr>
                <w:rFonts w:ascii="Verdana" w:hAnsi="Verdana"/>
                <w:spacing w:val="-2"/>
                <w:sz w:val="18"/>
                <w:szCs w:val="18"/>
              </w:rPr>
              <w:t>Estimates</w:t>
            </w:r>
            <w:r w:rsidRPr="00C96230">
              <w:rPr>
                <w:rFonts w:ascii="Verdana" w:hAnsi="Verdana"/>
                <w:sz w:val="18"/>
                <w:szCs w:val="18"/>
              </w:rPr>
              <w:tab/>
            </w:r>
            <w:r w:rsidRPr="00C96230">
              <w:rPr>
                <w:rFonts w:ascii="Verdana" w:hAnsi="Verdana"/>
                <w:spacing w:val="-4"/>
                <w:sz w:val="18"/>
                <w:szCs w:val="18"/>
              </w:rPr>
              <w:t>level</w:t>
            </w:r>
          </w:p>
          <w:p w14:paraId="540D6D0D" w14:textId="77777777" w:rsidR="008715BE" w:rsidRPr="00C96230" w:rsidRDefault="00000000">
            <w:pPr>
              <w:pStyle w:val="TableParagraph"/>
              <w:spacing w:line="195" w:lineRule="exact"/>
              <w:ind w:left="119"/>
              <w:rPr>
                <w:rFonts w:ascii="Verdana" w:hAnsi="Verdana"/>
                <w:sz w:val="18"/>
                <w:szCs w:val="18"/>
              </w:rPr>
            </w:pPr>
            <w:r w:rsidRPr="00C96230">
              <w:rPr>
                <w:rFonts w:ascii="Verdana" w:hAnsi="Verdana"/>
                <w:spacing w:val="-2"/>
                <w:sz w:val="18"/>
                <w:szCs w:val="18"/>
              </w:rPr>
              <w:t>noise</w:t>
            </w:r>
          </w:p>
        </w:tc>
      </w:tr>
      <w:tr w:rsidR="008715BE" w:rsidRPr="00C96230" w14:paraId="12572957" w14:textId="77777777">
        <w:trPr>
          <w:trHeight w:val="2171"/>
        </w:trPr>
        <w:tc>
          <w:tcPr>
            <w:tcW w:w="523" w:type="dxa"/>
            <w:vMerge/>
            <w:tcBorders>
              <w:top w:val="nil"/>
            </w:tcBorders>
          </w:tcPr>
          <w:p w14:paraId="5BAEA3EA" w14:textId="77777777" w:rsidR="008715BE" w:rsidRPr="00C96230" w:rsidRDefault="008715BE">
            <w:pPr>
              <w:rPr>
                <w:rFonts w:ascii="Verdana" w:hAnsi="Verdana"/>
                <w:sz w:val="18"/>
                <w:szCs w:val="18"/>
              </w:rPr>
            </w:pPr>
          </w:p>
        </w:tc>
        <w:tc>
          <w:tcPr>
            <w:tcW w:w="2323" w:type="dxa"/>
          </w:tcPr>
          <w:p w14:paraId="55D33DDE" w14:textId="77777777" w:rsidR="008715BE" w:rsidRPr="00C96230" w:rsidRDefault="00000000">
            <w:pPr>
              <w:pStyle w:val="TableParagraph"/>
              <w:spacing w:before="8" w:line="195" w:lineRule="exact"/>
              <w:ind w:left="105"/>
              <w:rPr>
                <w:rFonts w:ascii="Verdana" w:hAnsi="Verdana"/>
                <w:sz w:val="18"/>
                <w:szCs w:val="18"/>
              </w:rPr>
            </w:pPr>
            <w:r w:rsidRPr="00C96230">
              <w:rPr>
                <w:rFonts w:ascii="Verdana" w:hAnsi="Verdana"/>
                <w:spacing w:val="46"/>
                <w:sz w:val="18"/>
                <w:szCs w:val="18"/>
              </w:rPr>
              <w:t xml:space="preserve">  </w:t>
            </w:r>
            <w:r w:rsidRPr="00C96230">
              <w:rPr>
                <w:rFonts w:ascii="Verdana" w:hAnsi="Verdana"/>
                <w:spacing w:val="-2"/>
                <w:sz w:val="18"/>
                <w:szCs w:val="18"/>
              </w:rPr>
              <w:t xml:space="preserve"> </w:t>
            </w:r>
            <w:r w:rsidRPr="00C96230">
              <w:rPr>
                <w:rFonts w:ascii="Verdana" w:hAnsi="Verdana"/>
                <w:sz w:val="18"/>
                <w:szCs w:val="18"/>
              </w:rPr>
              <w:t>works</w:t>
            </w:r>
            <w:r w:rsidRPr="00C96230">
              <w:rPr>
                <w:rFonts w:ascii="Verdana" w:hAnsi="Verdana"/>
                <w:spacing w:val="48"/>
                <w:sz w:val="18"/>
                <w:szCs w:val="18"/>
              </w:rPr>
              <w:t xml:space="preserve">  </w:t>
            </w:r>
            <w:r w:rsidRPr="00C96230">
              <w:rPr>
                <w:rFonts w:ascii="Verdana" w:hAnsi="Verdana"/>
                <w:spacing w:val="-2"/>
                <w:sz w:val="18"/>
                <w:szCs w:val="18"/>
              </w:rPr>
              <w:t xml:space="preserve"> earthworks</w:t>
            </w:r>
          </w:p>
          <w:p w14:paraId="23F96323" w14:textId="77777777" w:rsidR="008715BE" w:rsidRPr="00C96230" w:rsidRDefault="00000000">
            <w:pPr>
              <w:pStyle w:val="TableParagraph"/>
              <w:tabs>
                <w:tab w:val="left" w:pos="1444"/>
              </w:tabs>
              <w:spacing w:line="194" w:lineRule="exact"/>
              <w:ind w:left="105"/>
              <w:rPr>
                <w:rFonts w:ascii="Verdana" w:hAnsi="Verdana"/>
                <w:sz w:val="18"/>
                <w:szCs w:val="18"/>
              </w:rPr>
            </w:pPr>
            <w:r w:rsidRPr="00C96230">
              <w:rPr>
                <w:rFonts w:ascii="Verdana" w:hAnsi="Verdana"/>
                <w:spacing w:val="-2"/>
                <w:sz w:val="18"/>
                <w:szCs w:val="18"/>
              </w:rPr>
              <w:t>(leveling</w:t>
            </w:r>
            <w:r w:rsidRPr="00C96230">
              <w:rPr>
                <w:rFonts w:ascii="Verdana" w:hAnsi="Verdana"/>
                <w:sz w:val="18"/>
                <w:szCs w:val="18"/>
              </w:rPr>
              <w:tab/>
            </w:r>
            <w:r w:rsidRPr="00C96230">
              <w:rPr>
                <w:rFonts w:ascii="Verdana" w:hAnsi="Verdana"/>
                <w:spacing w:val="-2"/>
                <w:sz w:val="18"/>
                <w:szCs w:val="18"/>
              </w:rPr>
              <w:t>of the terrain,</w:t>
            </w:r>
          </w:p>
          <w:p w14:paraId="315D085D" w14:textId="77777777" w:rsidR="008715BE" w:rsidRPr="00C96230" w:rsidRDefault="00000000">
            <w:pPr>
              <w:pStyle w:val="TableParagraph"/>
              <w:tabs>
                <w:tab w:val="left" w:pos="1446"/>
              </w:tabs>
              <w:spacing w:line="194" w:lineRule="exact"/>
              <w:ind w:left="105"/>
              <w:rPr>
                <w:rFonts w:ascii="Verdana" w:hAnsi="Verdana"/>
                <w:sz w:val="18"/>
                <w:szCs w:val="18"/>
              </w:rPr>
            </w:pPr>
            <w:r w:rsidRPr="00C96230">
              <w:rPr>
                <w:rFonts w:ascii="Verdana" w:hAnsi="Verdana"/>
                <w:spacing w:val="-2"/>
                <w:sz w:val="18"/>
                <w:szCs w:val="18"/>
              </w:rPr>
              <w:t>excavations,</w:t>
            </w:r>
            <w:r w:rsidRPr="00C96230">
              <w:rPr>
                <w:rFonts w:ascii="Verdana" w:hAnsi="Verdana"/>
                <w:sz w:val="18"/>
                <w:szCs w:val="18"/>
              </w:rPr>
              <w:tab/>
            </w:r>
            <w:r w:rsidRPr="00C96230">
              <w:rPr>
                <w:rFonts w:ascii="Verdana" w:hAnsi="Verdana"/>
                <w:spacing w:val="-2"/>
                <w:sz w:val="18"/>
                <w:szCs w:val="18"/>
              </w:rPr>
              <w:t>excavations,</w:t>
            </w:r>
          </w:p>
          <w:p w14:paraId="591698AC" w14:textId="77777777" w:rsidR="008715BE" w:rsidRPr="00C96230" w:rsidRDefault="00000000">
            <w:pPr>
              <w:pStyle w:val="TableParagraph"/>
              <w:spacing w:line="195" w:lineRule="exact"/>
              <w:ind w:left="105"/>
              <w:rPr>
                <w:rFonts w:ascii="Verdana" w:hAnsi="Verdana"/>
                <w:sz w:val="18"/>
                <w:szCs w:val="18"/>
              </w:rPr>
            </w:pPr>
            <w:r w:rsidRPr="00C96230">
              <w:rPr>
                <w:rFonts w:ascii="Verdana" w:hAnsi="Verdana"/>
                <w:spacing w:val="-2"/>
                <w:sz w:val="18"/>
                <w:szCs w:val="18"/>
              </w:rPr>
              <w:t>backfilling)</w:t>
            </w:r>
          </w:p>
        </w:tc>
        <w:tc>
          <w:tcPr>
            <w:tcW w:w="3149" w:type="dxa"/>
          </w:tcPr>
          <w:p w14:paraId="52EBE3DD"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Increased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3E9165E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6AFF6034"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621A8C72"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2F8ADE70"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D842D2D"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52C603EB" w14:textId="77777777" w:rsidR="008715BE" w:rsidRPr="00C96230" w:rsidRDefault="008715BE">
            <w:pPr>
              <w:rPr>
                <w:rFonts w:ascii="Verdana" w:hAnsi="Verdana"/>
                <w:sz w:val="18"/>
                <w:szCs w:val="18"/>
              </w:rPr>
            </w:pPr>
          </w:p>
        </w:tc>
        <w:tc>
          <w:tcPr>
            <w:tcW w:w="1897" w:type="dxa"/>
          </w:tcPr>
          <w:p w14:paraId="11912FDB" w14:textId="77777777" w:rsidR="008715BE" w:rsidRPr="00C96230" w:rsidRDefault="00000000">
            <w:pPr>
              <w:pStyle w:val="TableParagraph"/>
              <w:tabs>
                <w:tab w:val="left" w:pos="1014"/>
              </w:tabs>
              <w:spacing w:before="8"/>
              <w:ind w:left="115" w:right="87"/>
              <w:rPr>
                <w:rFonts w:ascii="Verdana" w:hAnsi="Verdana"/>
                <w:sz w:val="18"/>
                <w:szCs w:val="18"/>
              </w:rPr>
            </w:pPr>
            <w:r w:rsidRPr="00C96230">
              <w:rPr>
                <w:rFonts w:ascii="Verdana" w:hAnsi="Verdana"/>
                <w:spacing w:val="-2"/>
                <w:sz w:val="18"/>
                <w:szCs w:val="18"/>
              </w:rPr>
              <w:t>Size</w:t>
            </w:r>
            <w:r w:rsidRPr="00C96230">
              <w:rPr>
                <w:rFonts w:ascii="Verdana" w:hAnsi="Verdana"/>
                <w:sz w:val="18"/>
                <w:szCs w:val="18"/>
              </w:rPr>
              <w:tab/>
            </w:r>
            <w:r w:rsidRPr="00C96230">
              <w:rPr>
                <w:rFonts w:ascii="Verdana" w:hAnsi="Verdana"/>
                <w:spacing w:val="-2"/>
                <w:sz w:val="18"/>
                <w:szCs w:val="18"/>
              </w:rPr>
              <w:t xml:space="preserve">population </w:t>
            </w:r>
            <w:r w:rsidRPr="00C96230">
              <w:rPr>
                <w:rFonts w:ascii="Verdana" w:hAnsi="Verdana"/>
                <w:sz w:val="18"/>
                <w:szCs w:val="18"/>
              </w:rPr>
              <w:t>(type of distribution)</w:t>
            </w:r>
          </w:p>
        </w:tc>
        <w:tc>
          <w:tcPr>
            <w:tcW w:w="3860" w:type="dxa"/>
            <w:vMerge/>
            <w:tcBorders>
              <w:top w:val="nil"/>
            </w:tcBorders>
          </w:tcPr>
          <w:p w14:paraId="09E5A41A" w14:textId="77777777" w:rsidR="008715BE" w:rsidRPr="00C96230" w:rsidRDefault="008715BE">
            <w:pPr>
              <w:rPr>
                <w:rFonts w:ascii="Verdana" w:hAnsi="Verdana"/>
                <w:sz w:val="18"/>
                <w:szCs w:val="18"/>
              </w:rPr>
            </w:pPr>
          </w:p>
        </w:tc>
        <w:tc>
          <w:tcPr>
            <w:tcW w:w="1889" w:type="dxa"/>
            <w:vMerge/>
            <w:tcBorders>
              <w:top w:val="nil"/>
            </w:tcBorders>
          </w:tcPr>
          <w:p w14:paraId="49D52E1F" w14:textId="77777777" w:rsidR="008715BE" w:rsidRPr="00C96230" w:rsidRDefault="008715BE">
            <w:pPr>
              <w:rPr>
                <w:rFonts w:ascii="Verdana" w:hAnsi="Verdana"/>
                <w:sz w:val="18"/>
                <w:szCs w:val="18"/>
              </w:rPr>
            </w:pPr>
          </w:p>
        </w:tc>
      </w:tr>
      <w:tr w:rsidR="008715BE" w:rsidRPr="00C96230" w14:paraId="392062EE" w14:textId="77777777">
        <w:trPr>
          <w:trHeight w:val="1166"/>
        </w:trPr>
        <w:tc>
          <w:tcPr>
            <w:tcW w:w="523" w:type="dxa"/>
            <w:vMerge/>
            <w:tcBorders>
              <w:top w:val="nil"/>
            </w:tcBorders>
          </w:tcPr>
          <w:p w14:paraId="34D9AC6C" w14:textId="77777777" w:rsidR="008715BE" w:rsidRPr="00C96230" w:rsidRDefault="008715BE">
            <w:pPr>
              <w:rPr>
                <w:rFonts w:ascii="Verdana" w:hAnsi="Verdana"/>
                <w:sz w:val="18"/>
                <w:szCs w:val="18"/>
              </w:rPr>
            </w:pPr>
          </w:p>
        </w:tc>
        <w:tc>
          <w:tcPr>
            <w:tcW w:w="2323" w:type="dxa"/>
          </w:tcPr>
          <w:p w14:paraId="1DB87F75" w14:textId="77777777" w:rsidR="008715BE" w:rsidRPr="00C96230" w:rsidRDefault="00000000">
            <w:pPr>
              <w:pStyle w:val="TableParagraph"/>
              <w:spacing w:before="8"/>
              <w:ind w:left="105"/>
              <w:rPr>
                <w:rFonts w:ascii="Verdana" w:hAnsi="Verdana"/>
                <w:sz w:val="18"/>
                <w:szCs w:val="18"/>
              </w:rPr>
            </w:pPr>
            <w:r w:rsidRPr="00C96230">
              <w:rPr>
                <w:rFonts w:ascii="Verdana" w:hAnsi="Verdana"/>
                <w:spacing w:val="-2"/>
                <w:sz w:val="18"/>
                <w:szCs w:val="18"/>
              </w:rPr>
              <w:t xml:space="preserve">Foundation </w:t>
            </w:r>
            <w:r w:rsidRPr="00C96230">
              <w:rPr>
                <w:rFonts w:ascii="Verdana" w:hAnsi="Verdana"/>
                <w:sz w:val="18"/>
                <w:szCs w:val="18"/>
              </w:rPr>
              <w:t>construction works</w:t>
            </w:r>
          </w:p>
        </w:tc>
        <w:tc>
          <w:tcPr>
            <w:tcW w:w="3149" w:type="dxa"/>
          </w:tcPr>
          <w:p w14:paraId="49FE6546" w14:textId="77777777" w:rsidR="008715BE" w:rsidRPr="00C96230" w:rsidRDefault="00000000">
            <w:pPr>
              <w:pStyle w:val="TableParagraph"/>
              <w:tabs>
                <w:tab w:val="left" w:pos="2846"/>
              </w:tabs>
              <w:spacing w:before="8"/>
              <w:ind w:left="108" w:right="94"/>
              <w:jc w:val="both"/>
              <w:rPr>
                <w:rFonts w:ascii="Verdana" w:hAnsi="Verdana"/>
                <w:sz w:val="18"/>
                <w:szCs w:val="18"/>
              </w:rPr>
            </w:pPr>
            <w:r w:rsidRPr="00C96230">
              <w:rPr>
                <w:rFonts w:ascii="Verdana" w:hAnsi="Verdana"/>
                <w:sz w:val="18"/>
                <w:szCs w:val="18"/>
              </w:rPr>
              <w:t>Wildlife collisions with vehicles</w:t>
            </w:r>
            <w:r w:rsidRPr="00C96230">
              <w:rPr>
                <w:rFonts w:ascii="Verdana" w:hAnsi="Verdana"/>
                <w:spacing w:val="40"/>
                <w:sz w:val="18"/>
                <w:szCs w:val="18"/>
              </w:rPr>
              <w:t xml:space="preserve">  </w:t>
            </w:r>
            <w:r w:rsidRPr="00C96230">
              <w:rPr>
                <w:rFonts w:ascii="Verdana" w:hAnsi="Verdana"/>
                <w:sz w:val="18"/>
                <w:szCs w:val="18"/>
              </w:rPr>
              <w:t xml:space="preserve"> on</w:t>
            </w:r>
            <w:r w:rsidRPr="00C96230">
              <w:rPr>
                <w:rFonts w:ascii="Verdana" w:hAnsi="Verdana"/>
                <w:spacing w:val="40"/>
                <w:sz w:val="18"/>
                <w:szCs w:val="18"/>
              </w:rPr>
              <w:t xml:space="preserve">  </w:t>
            </w:r>
            <w:r w:rsidRPr="00C96230">
              <w:rPr>
                <w:rFonts w:ascii="Verdana" w:hAnsi="Verdana"/>
                <w:sz w:val="18"/>
                <w:szCs w:val="18"/>
              </w:rPr>
              <w:t xml:space="preserve"> access roads/machinery in the work area</w:t>
            </w:r>
            <w:r w:rsidRPr="00C96230">
              <w:rPr>
                <w:rFonts w:ascii="Verdana" w:hAnsi="Verdana"/>
                <w:sz w:val="18"/>
                <w:szCs w:val="18"/>
              </w:rPr>
              <w:tab/>
              <w:t xml:space="preserve">access roads/machinery in the </w:t>
            </w:r>
            <w:r w:rsidRPr="00C96230">
              <w:rPr>
                <w:rFonts w:ascii="Verdana" w:hAnsi="Verdana"/>
                <w:spacing w:val="-2"/>
                <w:sz w:val="18"/>
                <w:szCs w:val="18"/>
              </w:rPr>
              <w:t xml:space="preserve">work </w:t>
            </w:r>
            <w:r w:rsidRPr="00C96230">
              <w:rPr>
                <w:rFonts w:ascii="Verdana" w:hAnsi="Verdana"/>
                <w:sz w:val="18"/>
                <w:szCs w:val="18"/>
              </w:rPr>
              <w:t>area</w:t>
            </w:r>
          </w:p>
        </w:tc>
        <w:tc>
          <w:tcPr>
            <w:tcW w:w="1106" w:type="dxa"/>
          </w:tcPr>
          <w:p w14:paraId="3F8009F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2E0C2DC4"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4447F89"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2DD819C"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36C22B85"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vMerge/>
            <w:tcBorders>
              <w:top w:val="nil"/>
            </w:tcBorders>
          </w:tcPr>
          <w:p w14:paraId="520C4BE1" w14:textId="77777777" w:rsidR="008715BE" w:rsidRPr="00C96230" w:rsidRDefault="008715BE">
            <w:pPr>
              <w:rPr>
                <w:rFonts w:ascii="Verdana" w:hAnsi="Verdana"/>
                <w:sz w:val="18"/>
                <w:szCs w:val="18"/>
              </w:rPr>
            </w:pPr>
          </w:p>
        </w:tc>
        <w:tc>
          <w:tcPr>
            <w:tcW w:w="1897" w:type="dxa"/>
          </w:tcPr>
          <w:p w14:paraId="3CC7EA47"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5C738314" w14:textId="77777777" w:rsidR="008715BE" w:rsidRPr="00C96230" w:rsidRDefault="00000000">
            <w:pPr>
              <w:pStyle w:val="TableParagraph"/>
              <w:spacing w:before="8" w:line="195" w:lineRule="exact"/>
              <w:ind w:left="117"/>
              <w:rPr>
                <w:rFonts w:ascii="Verdana" w:hAnsi="Verdana"/>
                <w:sz w:val="18"/>
                <w:szCs w:val="18"/>
              </w:rPr>
            </w:pPr>
            <w:r w:rsidRPr="00C96230">
              <w:rPr>
                <w:rFonts w:ascii="Verdana" w:hAnsi="Verdana"/>
                <w:sz w:val="18"/>
                <w:szCs w:val="18"/>
              </w:rPr>
              <w:t xml:space="preserve">1 individual </w:t>
            </w:r>
            <w:r w:rsidRPr="00C96230">
              <w:rPr>
                <w:rFonts w:ascii="Verdana" w:hAnsi="Verdana"/>
                <w:spacing w:val="-2"/>
                <w:sz w:val="18"/>
                <w:szCs w:val="18"/>
              </w:rPr>
              <w:t>(accidental)</w:t>
            </w:r>
          </w:p>
          <w:p w14:paraId="56787593"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(outside the protected area, within the wind farm)</w:t>
            </w:r>
          </w:p>
        </w:tc>
        <w:tc>
          <w:tcPr>
            <w:tcW w:w="1889" w:type="dxa"/>
          </w:tcPr>
          <w:p w14:paraId="6643640A" w14:textId="77777777" w:rsidR="008715BE" w:rsidRPr="00C96230" w:rsidRDefault="00000000">
            <w:pPr>
              <w:pStyle w:val="TableParagraph"/>
              <w:tabs>
                <w:tab w:val="left" w:pos="565"/>
                <w:tab w:val="left" w:pos="1223"/>
                <w:tab w:val="left" w:pos="1697"/>
              </w:tabs>
              <w:spacing w:before="8"/>
              <w:ind w:left="119" w:right="79"/>
              <w:rPr>
                <w:rFonts w:ascii="Verdana" w:hAnsi="Verdana"/>
                <w:sz w:val="18"/>
                <w:szCs w:val="18"/>
              </w:rPr>
            </w:pPr>
            <w:r w:rsidRPr="00C96230">
              <w:rPr>
                <w:rFonts w:ascii="Verdana" w:hAnsi="Verdana"/>
                <w:sz w:val="18"/>
                <w:szCs w:val="18"/>
              </w:rPr>
              <w:t xml:space="preserve">Data from the literature Precautionary principle Risk </w:t>
            </w:r>
            <w:r w:rsidRPr="00C96230">
              <w:rPr>
                <w:rFonts w:ascii="Verdana" w:hAnsi="Verdana"/>
                <w:spacing w:val="-2"/>
                <w:sz w:val="18"/>
                <w:szCs w:val="18"/>
              </w:rPr>
              <w:t>analysis</w:t>
            </w:r>
            <w:r w:rsidRPr="00C96230">
              <w:rPr>
                <w:rFonts w:ascii="Verdana" w:hAnsi="Verdana"/>
                <w:sz w:val="18"/>
                <w:szCs w:val="18"/>
              </w:rPr>
              <w:tab/>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2"/>
                <w:sz w:val="18"/>
                <w:szCs w:val="18"/>
              </w:rPr>
              <w:t>mortality</w:t>
            </w:r>
            <w:r w:rsidRPr="00C96230">
              <w:rPr>
                <w:rFonts w:ascii="Verdana" w:hAnsi="Verdana"/>
                <w:sz w:val="18"/>
                <w:szCs w:val="18"/>
              </w:rPr>
              <w:tab/>
            </w:r>
            <w:r w:rsidRPr="00C96230">
              <w:rPr>
                <w:rFonts w:ascii="Verdana" w:hAnsi="Verdana"/>
                <w:spacing w:val="-10"/>
                <w:sz w:val="18"/>
                <w:szCs w:val="18"/>
              </w:rPr>
              <w:t>of</w:t>
            </w:r>
          </w:p>
          <w:p w14:paraId="4261B317" w14:textId="77777777" w:rsidR="008715BE" w:rsidRPr="00C96230" w:rsidRDefault="00000000">
            <w:pPr>
              <w:pStyle w:val="TableParagraph"/>
              <w:spacing w:line="162" w:lineRule="exact"/>
              <w:ind w:left="119"/>
              <w:rPr>
                <w:rFonts w:ascii="Verdana" w:hAnsi="Verdana"/>
                <w:sz w:val="18"/>
                <w:szCs w:val="18"/>
              </w:rPr>
            </w:pPr>
            <w:r w:rsidRPr="00C96230">
              <w:rPr>
                <w:rFonts w:ascii="Verdana" w:hAnsi="Verdana"/>
                <w:spacing w:val="-2"/>
                <w:sz w:val="18"/>
                <w:szCs w:val="18"/>
              </w:rPr>
              <w:t>species</w:t>
            </w:r>
          </w:p>
        </w:tc>
      </w:tr>
      <w:tr w:rsidR="008715BE" w:rsidRPr="00C96230" w14:paraId="5ED46796" w14:textId="77777777">
        <w:trPr>
          <w:trHeight w:val="779"/>
        </w:trPr>
        <w:tc>
          <w:tcPr>
            <w:tcW w:w="523" w:type="dxa"/>
            <w:vMerge/>
            <w:tcBorders>
              <w:top w:val="nil"/>
            </w:tcBorders>
          </w:tcPr>
          <w:p w14:paraId="2A801BAE" w14:textId="77777777" w:rsidR="008715BE" w:rsidRPr="00C96230" w:rsidRDefault="008715BE">
            <w:pPr>
              <w:rPr>
                <w:rFonts w:ascii="Verdana" w:hAnsi="Verdana"/>
                <w:sz w:val="18"/>
                <w:szCs w:val="18"/>
              </w:rPr>
            </w:pPr>
          </w:p>
        </w:tc>
        <w:tc>
          <w:tcPr>
            <w:tcW w:w="2323" w:type="dxa"/>
          </w:tcPr>
          <w:p w14:paraId="0FB2A62D" w14:textId="77777777" w:rsidR="008715BE" w:rsidRPr="00C96230" w:rsidRDefault="00000000">
            <w:pPr>
              <w:pStyle w:val="TableParagraph"/>
              <w:tabs>
                <w:tab w:val="left" w:pos="1053"/>
                <w:tab w:val="left" w:pos="1645"/>
              </w:tabs>
              <w:spacing w:before="10"/>
              <w:ind w:left="105" w:right="96"/>
              <w:rPr>
                <w:rFonts w:ascii="Verdana" w:hAnsi="Verdana"/>
                <w:sz w:val="18"/>
                <w:szCs w:val="18"/>
              </w:rPr>
            </w:pPr>
            <w:r w:rsidRPr="00C96230">
              <w:rPr>
                <w:rFonts w:ascii="Verdana" w:hAnsi="Verdana"/>
                <w:spacing w:val="-2"/>
                <w:sz w:val="18"/>
                <w:szCs w:val="18"/>
              </w:rPr>
              <w:t>Works</w:t>
            </w:r>
            <w:r w:rsidRPr="00C96230">
              <w:rPr>
                <w:rFonts w:ascii="Verdana" w:hAnsi="Verdana"/>
                <w:sz w:val="18"/>
                <w:szCs w:val="18"/>
              </w:rPr>
              <w:tab/>
            </w:r>
            <w:r w:rsidRPr="00C96230">
              <w:rPr>
                <w:rFonts w:ascii="Verdana" w:hAnsi="Verdana"/>
                <w:spacing w:val="-6"/>
                <w:sz w:val="18"/>
                <w:szCs w:val="18"/>
              </w:rPr>
              <w:t>Installation</w:t>
            </w:r>
            <w:r w:rsidRPr="00C96230">
              <w:rPr>
                <w:rFonts w:ascii="Verdana" w:hAnsi="Verdana"/>
                <w:sz w:val="18"/>
                <w:szCs w:val="18"/>
              </w:rPr>
              <w:tab/>
            </w:r>
            <w:r w:rsidRPr="00C96230">
              <w:rPr>
                <w:rFonts w:ascii="Verdana" w:hAnsi="Verdana"/>
                <w:spacing w:val="-2"/>
                <w:sz w:val="18"/>
                <w:szCs w:val="18"/>
              </w:rPr>
              <w:t xml:space="preserve">installation </w:t>
            </w:r>
            <w:r w:rsidRPr="00C96230">
              <w:rPr>
                <w:rFonts w:ascii="Verdana" w:hAnsi="Verdana"/>
                <w:sz w:val="18"/>
                <w:szCs w:val="18"/>
              </w:rPr>
              <w:t>of facilities/equipment</w:t>
            </w:r>
          </w:p>
        </w:tc>
        <w:tc>
          <w:tcPr>
            <w:tcW w:w="3149" w:type="dxa"/>
          </w:tcPr>
          <w:p w14:paraId="539DB628" w14:textId="77777777" w:rsidR="008715BE" w:rsidRPr="00C96230" w:rsidRDefault="00000000">
            <w:pPr>
              <w:pStyle w:val="TableParagraph"/>
              <w:tabs>
                <w:tab w:val="left" w:pos="1615"/>
                <w:tab w:val="left" w:pos="2916"/>
              </w:tabs>
              <w:spacing w:before="10"/>
              <w:ind w:left="108" w:right="93"/>
              <w:jc w:val="both"/>
              <w:rPr>
                <w:rFonts w:ascii="Verdana" w:hAnsi="Verdana"/>
                <w:sz w:val="18"/>
                <w:szCs w:val="18"/>
              </w:rPr>
            </w:pPr>
            <w:r w:rsidRPr="00C96230">
              <w:rPr>
                <w:rFonts w:ascii="Verdana" w:hAnsi="Verdana"/>
                <w:sz w:val="18"/>
                <w:szCs w:val="18"/>
              </w:rPr>
              <w:t xml:space="preserve">Emissions of pollutants into the atmosphere </w:t>
            </w:r>
            <w:r w:rsidRPr="00C96230">
              <w:rPr>
                <w:rFonts w:ascii="Verdana" w:hAnsi="Verdana"/>
                <w:spacing w:val="-2"/>
                <w:sz w:val="18"/>
                <w:szCs w:val="18"/>
              </w:rPr>
              <w:t>(operation</w:t>
            </w:r>
            <w:r w:rsidRPr="00C96230">
              <w:rPr>
                <w:rFonts w:ascii="Verdana" w:hAnsi="Verdana"/>
                <w:sz w:val="18"/>
                <w:szCs w:val="18"/>
              </w:rPr>
              <w:tab/>
            </w:r>
            <w:r w:rsidRPr="00C96230">
              <w:rPr>
                <w:rFonts w:ascii="Verdana" w:hAnsi="Verdana"/>
                <w:spacing w:val="-2"/>
                <w:sz w:val="18"/>
                <w:szCs w:val="18"/>
              </w:rPr>
              <w:t>vehicles</w:t>
            </w:r>
            <w:r w:rsidRPr="00C96230">
              <w:rPr>
                <w:rFonts w:ascii="Verdana" w:hAnsi="Verdana"/>
                <w:sz w:val="18"/>
                <w:szCs w:val="18"/>
              </w:rPr>
              <w:tab/>
            </w:r>
            <w:r w:rsidRPr="00C96230">
              <w:rPr>
                <w:rFonts w:ascii="Verdana" w:hAnsi="Verdana"/>
                <w:spacing w:val="-6"/>
                <w:sz w:val="18"/>
                <w:szCs w:val="18"/>
              </w:rPr>
              <w:t xml:space="preserve">and </w:t>
            </w:r>
            <w:r w:rsidRPr="00C96230">
              <w:rPr>
                <w:rFonts w:ascii="Verdana" w:hAnsi="Verdana"/>
                <w:spacing w:val="-2"/>
                <w:sz w:val="18"/>
                <w:szCs w:val="18"/>
              </w:rPr>
              <w:t>machinery)</w:t>
            </w:r>
          </w:p>
        </w:tc>
        <w:tc>
          <w:tcPr>
            <w:tcW w:w="1106" w:type="dxa"/>
          </w:tcPr>
          <w:p w14:paraId="64620401" w14:textId="77777777" w:rsidR="008715BE" w:rsidRPr="00C96230" w:rsidRDefault="00000000">
            <w:pPr>
              <w:pStyle w:val="TableParagraph"/>
              <w:spacing w:before="10"/>
              <w:ind w:left="108"/>
              <w:rPr>
                <w:rFonts w:ascii="Verdana" w:hAnsi="Verdana"/>
                <w:sz w:val="18"/>
                <w:szCs w:val="18"/>
              </w:rPr>
            </w:pPr>
            <w:r w:rsidRPr="00C96230">
              <w:rPr>
                <w:rFonts w:ascii="Verdana" w:hAnsi="Verdana"/>
                <w:spacing w:val="-5"/>
                <w:sz w:val="18"/>
                <w:szCs w:val="18"/>
              </w:rPr>
              <w:t>AH</w:t>
            </w:r>
          </w:p>
        </w:tc>
        <w:tc>
          <w:tcPr>
            <w:tcW w:w="1108" w:type="dxa"/>
          </w:tcPr>
          <w:p w14:paraId="1F4094A6"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0B936891"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11F485C"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1827C86B" w14:textId="77777777" w:rsidR="008715BE" w:rsidRPr="00C96230" w:rsidRDefault="00000000">
            <w:pPr>
              <w:pStyle w:val="TableParagraph"/>
              <w:spacing w:before="10"/>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49405FED" w14:textId="77777777" w:rsidR="008715BE" w:rsidRPr="00C96230" w:rsidRDefault="00000000">
            <w:pPr>
              <w:pStyle w:val="TableParagraph"/>
              <w:spacing w:before="10"/>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45ACE3A2" w14:textId="77777777" w:rsidR="008715BE" w:rsidRPr="00C96230" w:rsidRDefault="00000000">
            <w:pPr>
              <w:pStyle w:val="TableParagraph"/>
              <w:spacing w:before="10"/>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4A5A435" w14:textId="77777777" w:rsidR="008715BE" w:rsidRPr="00C96230" w:rsidRDefault="00000000">
            <w:pPr>
              <w:pStyle w:val="TableParagraph"/>
              <w:spacing w:before="10"/>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31993D60" w14:textId="77777777" w:rsidR="008715BE" w:rsidRPr="00C96230" w:rsidRDefault="00000000">
            <w:pPr>
              <w:pStyle w:val="TableParagraph"/>
              <w:spacing w:before="10"/>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951436B" w14:textId="77777777">
        <w:trPr>
          <w:trHeight w:val="1749"/>
        </w:trPr>
        <w:tc>
          <w:tcPr>
            <w:tcW w:w="523" w:type="dxa"/>
            <w:vMerge/>
            <w:tcBorders>
              <w:top w:val="nil"/>
            </w:tcBorders>
          </w:tcPr>
          <w:p w14:paraId="1596CBEC" w14:textId="77777777" w:rsidR="008715BE" w:rsidRPr="00C96230" w:rsidRDefault="008715BE">
            <w:pPr>
              <w:rPr>
                <w:rFonts w:ascii="Verdana" w:hAnsi="Verdana"/>
                <w:sz w:val="18"/>
                <w:szCs w:val="18"/>
              </w:rPr>
            </w:pPr>
          </w:p>
        </w:tc>
        <w:tc>
          <w:tcPr>
            <w:tcW w:w="2323" w:type="dxa"/>
          </w:tcPr>
          <w:p w14:paraId="5519DBD3" w14:textId="77777777" w:rsidR="008715BE" w:rsidRPr="00C96230" w:rsidRDefault="00000000">
            <w:pPr>
              <w:pStyle w:val="TableParagraph"/>
              <w:tabs>
                <w:tab w:val="left" w:pos="1708"/>
              </w:tabs>
              <w:spacing w:before="8"/>
              <w:ind w:left="105" w:right="96"/>
              <w:jc w:val="both"/>
              <w:rPr>
                <w:rFonts w:ascii="Verdana" w:hAnsi="Verdana"/>
                <w:sz w:val="18"/>
                <w:szCs w:val="18"/>
              </w:rPr>
            </w:pPr>
            <w:r w:rsidRPr="00C96230">
              <w:rPr>
                <w:rFonts w:ascii="Verdana" w:hAnsi="Verdana"/>
                <w:spacing w:val="-2"/>
                <w:sz w:val="18"/>
                <w:szCs w:val="18"/>
              </w:rPr>
              <w:t>Construction</w:t>
            </w:r>
            <w:r w:rsidRPr="00C96230">
              <w:rPr>
                <w:rFonts w:ascii="Verdana" w:hAnsi="Verdana"/>
                <w:sz w:val="18"/>
                <w:szCs w:val="18"/>
              </w:rPr>
              <w:tab/>
            </w:r>
            <w:r w:rsidRPr="00C96230">
              <w:rPr>
                <w:rFonts w:ascii="Verdana" w:hAnsi="Verdana"/>
                <w:spacing w:val="-2"/>
                <w:sz w:val="18"/>
                <w:szCs w:val="18"/>
              </w:rPr>
              <w:t xml:space="preserve">of the </w:t>
            </w:r>
            <w:r w:rsidRPr="00C96230">
              <w:rPr>
                <w:rFonts w:ascii="Verdana" w:hAnsi="Verdana"/>
                <w:sz w:val="18"/>
                <w:szCs w:val="18"/>
              </w:rPr>
              <w:t>electrical</w:t>
            </w:r>
            <w:r w:rsidRPr="00C96230">
              <w:rPr>
                <w:rFonts w:ascii="Verdana" w:hAnsi="Verdana"/>
                <w:spacing w:val="-2"/>
                <w:sz w:val="18"/>
                <w:szCs w:val="18"/>
              </w:rPr>
              <w:t xml:space="preserve"> network </w:t>
            </w:r>
            <w:r w:rsidRPr="00C96230">
              <w:rPr>
                <w:rFonts w:ascii="Verdana" w:hAnsi="Verdana"/>
                <w:sz w:val="18"/>
                <w:szCs w:val="18"/>
              </w:rPr>
              <w:t xml:space="preserve">for discharging the energy produced by </w:t>
            </w:r>
            <w:r w:rsidRPr="00C96230">
              <w:rPr>
                <w:rFonts w:ascii="Verdana" w:hAnsi="Verdana"/>
                <w:spacing w:val="-2"/>
                <w:sz w:val="18"/>
                <w:szCs w:val="18"/>
              </w:rPr>
              <w:t>the</w:t>
            </w:r>
          </w:p>
          <w:p w14:paraId="5C13053E" w14:textId="77777777" w:rsidR="008715BE" w:rsidRPr="00C96230" w:rsidRDefault="00000000">
            <w:pPr>
              <w:pStyle w:val="TableParagraph"/>
              <w:ind w:left="105" w:right="96" w:firstLine="57"/>
              <w:jc w:val="both"/>
              <w:rPr>
                <w:rFonts w:ascii="Verdana" w:hAnsi="Verdana"/>
                <w:sz w:val="18"/>
                <w:szCs w:val="18"/>
              </w:rPr>
            </w:pPr>
            <w:r w:rsidRPr="00C96230">
              <w:rPr>
                <w:rFonts w:ascii="Verdana" w:hAnsi="Verdana"/>
                <w:sz w:val="18"/>
                <w:szCs w:val="18"/>
              </w:rPr>
              <w:t>to the transformer station and the telecommunications network (fiber optics),</w:t>
            </w:r>
            <w:r w:rsidRPr="00C96230">
              <w:rPr>
                <w:rFonts w:ascii="Verdana" w:hAnsi="Verdana"/>
                <w:spacing w:val="72"/>
                <w:sz w:val="18"/>
                <w:szCs w:val="18"/>
              </w:rPr>
              <w:t xml:space="preserve">  </w:t>
            </w:r>
            <w:r w:rsidRPr="00C96230">
              <w:rPr>
                <w:rFonts w:ascii="Verdana" w:hAnsi="Verdana"/>
                <w:sz w:val="18"/>
                <w:szCs w:val="18"/>
              </w:rPr>
              <w:t xml:space="preserve"> </w:t>
            </w:r>
            <w:r w:rsidRPr="00C96230">
              <w:rPr>
                <w:rFonts w:ascii="Verdana" w:hAnsi="Verdana"/>
                <w:spacing w:val="-5"/>
                <w:sz w:val="18"/>
                <w:szCs w:val="18"/>
              </w:rPr>
              <w:t xml:space="preserve">transformer </w:t>
            </w:r>
            <w:r w:rsidRPr="00C96230">
              <w:rPr>
                <w:rFonts w:ascii="Verdana" w:hAnsi="Verdana"/>
                <w:sz w:val="18"/>
                <w:szCs w:val="18"/>
              </w:rPr>
              <w:t>stations</w:t>
            </w:r>
          </w:p>
          <w:p w14:paraId="60BD0253" w14:textId="77777777" w:rsidR="008715BE" w:rsidRPr="00C96230" w:rsidRDefault="00000000">
            <w:pPr>
              <w:pStyle w:val="TableParagraph"/>
              <w:spacing w:line="162" w:lineRule="exact"/>
              <w:ind w:left="105"/>
              <w:rPr>
                <w:rFonts w:ascii="Verdana" w:hAnsi="Verdana"/>
                <w:sz w:val="18"/>
                <w:szCs w:val="18"/>
              </w:rPr>
            </w:pPr>
            <w:r w:rsidRPr="00C96230">
              <w:rPr>
                <w:rFonts w:ascii="Verdana" w:hAnsi="Verdana"/>
                <w:spacing w:val="-2"/>
                <w:sz w:val="18"/>
                <w:szCs w:val="18"/>
              </w:rPr>
              <w:t>Transformers</w:t>
            </w:r>
          </w:p>
        </w:tc>
        <w:tc>
          <w:tcPr>
            <w:tcW w:w="3149" w:type="dxa"/>
          </w:tcPr>
          <w:p w14:paraId="4E0F0C15"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Accidental spills of petroleum products from equipment—penetration of pollutants into the soil</w:t>
            </w:r>
          </w:p>
        </w:tc>
        <w:tc>
          <w:tcPr>
            <w:tcW w:w="1106" w:type="dxa"/>
          </w:tcPr>
          <w:p w14:paraId="324F6AFB"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2BC7E17F"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were </w:t>
            </w:r>
            <w:r w:rsidRPr="00C96230">
              <w:rPr>
                <w:rFonts w:ascii="Verdana" w:hAnsi="Verdana"/>
                <w:spacing w:val="-2"/>
                <w:sz w:val="18"/>
                <w:szCs w:val="18"/>
              </w:rPr>
              <w:t>identified</w:t>
            </w:r>
          </w:p>
        </w:tc>
        <w:tc>
          <w:tcPr>
            <w:tcW w:w="1211" w:type="dxa"/>
          </w:tcPr>
          <w:p w14:paraId="2E229576"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7FCC9EEA"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67F9690C"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663FDCE1"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3B0996AE"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79E65D1C"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158EFB74"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333952F" w14:textId="77777777">
        <w:trPr>
          <w:trHeight w:val="6223"/>
        </w:trPr>
        <w:tc>
          <w:tcPr>
            <w:tcW w:w="523" w:type="dxa"/>
            <w:vMerge/>
            <w:tcBorders>
              <w:top w:val="nil"/>
            </w:tcBorders>
          </w:tcPr>
          <w:p w14:paraId="2D943524" w14:textId="77777777" w:rsidR="008715BE" w:rsidRPr="00C96230" w:rsidRDefault="008715BE">
            <w:pPr>
              <w:rPr>
                <w:rFonts w:ascii="Verdana" w:hAnsi="Verdana"/>
                <w:sz w:val="18"/>
                <w:szCs w:val="18"/>
              </w:rPr>
            </w:pPr>
          </w:p>
        </w:tc>
        <w:tc>
          <w:tcPr>
            <w:tcW w:w="2323" w:type="dxa"/>
          </w:tcPr>
          <w:p w14:paraId="29C774AE" w14:textId="77777777" w:rsidR="008715BE" w:rsidRPr="00C96230" w:rsidRDefault="00000000">
            <w:pPr>
              <w:pStyle w:val="TableParagraph"/>
              <w:spacing w:before="8"/>
              <w:ind w:left="105" w:right="96"/>
              <w:jc w:val="both"/>
              <w:rPr>
                <w:rFonts w:ascii="Verdana" w:hAnsi="Verdana"/>
                <w:sz w:val="18"/>
                <w:szCs w:val="18"/>
              </w:rPr>
            </w:pPr>
            <w:r w:rsidRPr="00C96230">
              <w:rPr>
                <w:rFonts w:ascii="Verdana" w:hAnsi="Verdana"/>
                <w:sz w:val="18"/>
                <w:szCs w:val="18"/>
              </w:rPr>
              <w:t xml:space="preserve">Land restoration works upon completion </w:t>
            </w:r>
            <w:r w:rsidRPr="00C96230">
              <w:rPr>
                <w:rFonts w:ascii="Verdana" w:hAnsi="Verdana"/>
                <w:spacing w:val="-2"/>
                <w:sz w:val="18"/>
                <w:szCs w:val="18"/>
              </w:rPr>
              <w:t>of construction</w:t>
            </w:r>
          </w:p>
        </w:tc>
        <w:tc>
          <w:tcPr>
            <w:tcW w:w="3149" w:type="dxa"/>
          </w:tcPr>
          <w:p w14:paraId="63D3FF71"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Introduction of invasive species</w:t>
            </w:r>
          </w:p>
        </w:tc>
        <w:tc>
          <w:tcPr>
            <w:tcW w:w="1106" w:type="dxa"/>
          </w:tcPr>
          <w:p w14:paraId="56FB6FC9"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AH</w:t>
            </w:r>
          </w:p>
        </w:tc>
        <w:tc>
          <w:tcPr>
            <w:tcW w:w="1108" w:type="dxa"/>
          </w:tcPr>
          <w:p w14:paraId="06FC54C7"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194D1935"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DCCC199"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32BDF06"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 xml:space="preserve">in </w:t>
            </w:r>
            <w:r w:rsidRPr="00C96230">
              <w:rPr>
                <w:rFonts w:ascii="Verdana" w:hAnsi="Verdana"/>
                <w:spacing w:val="-2"/>
                <w:sz w:val="18"/>
                <w:szCs w:val="18"/>
              </w:rPr>
              <w:t xml:space="preserve">the </w:t>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7517DE37" w14:textId="77777777" w:rsidR="008715BE" w:rsidRPr="00C96230" w:rsidRDefault="00000000">
            <w:pPr>
              <w:pStyle w:val="TableParagraph"/>
              <w:spacing w:before="8"/>
              <w:ind w:left="111" w:right="89"/>
              <w:jc w:val="both"/>
              <w:rPr>
                <w:rFonts w:ascii="Verdana" w:hAnsi="Verdana"/>
                <w:sz w:val="18"/>
                <w:szCs w:val="18"/>
              </w:rPr>
            </w:pPr>
            <w:r w:rsidRPr="00C96230">
              <w:rPr>
                <w:rFonts w:ascii="Verdana" w:hAnsi="Verdana"/>
                <w:sz w:val="18"/>
                <w:szCs w:val="18"/>
              </w:rPr>
              <w:t>Agricultural land outside the protected natural area</w:t>
            </w:r>
          </w:p>
        </w:tc>
        <w:tc>
          <w:tcPr>
            <w:tcW w:w="1897" w:type="dxa"/>
          </w:tcPr>
          <w:p w14:paraId="2FB4D9B2" w14:textId="77777777" w:rsidR="008715BE" w:rsidRPr="00C96230" w:rsidRDefault="00000000">
            <w:pPr>
              <w:pStyle w:val="TableParagraph"/>
              <w:spacing w:before="8" w:line="195" w:lineRule="exact"/>
              <w:ind w:left="115"/>
              <w:rPr>
                <w:rFonts w:ascii="Verdana" w:hAnsi="Verdana"/>
                <w:sz w:val="18"/>
                <w:szCs w:val="18"/>
              </w:rPr>
            </w:pPr>
            <w:r w:rsidRPr="00C96230">
              <w:rPr>
                <w:rFonts w:ascii="Verdana" w:hAnsi="Verdana"/>
                <w:spacing w:val="-2"/>
                <w:sz w:val="18"/>
                <w:szCs w:val="18"/>
              </w:rPr>
              <w:t xml:space="preserve">Habitat </w:t>
            </w:r>
            <w:r w:rsidRPr="00C96230">
              <w:rPr>
                <w:rFonts w:ascii="Verdana" w:hAnsi="Verdana"/>
                <w:sz w:val="18"/>
                <w:szCs w:val="18"/>
              </w:rPr>
              <w:t>area</w:t>
            </w:r>
          </w:p>
          <w:p w14:paraId="481042ED" w14:textId="77777777" w:rsidR="008715BE" w:rsidRPr="00C96230" w:rsidRDefault="00000000">
            <w:pPr>
              <w:pStyle w:val="TableParagraph"/>
              <w:spacing w:line="195" w:lineRule="exact"/>
              <w:ind w:left="115"/>
              <w:rPr>
                <w:rFonts w:ascii="Verdana" w:hAnsi="Verdana"/>
                <w:sz w:val="18"/>
                <w:szCs w:val="18"/>
              </w:rPr>
            </w:pPr>
            <w:r w:rsidRPr="00C96230">
              <w:rPr>
                <w:rFonts w:ascii="Verdana" w:hAnsi="Verdana"/>
                <w:spacing w:val="-2"/>
                <w:sz w:val="18"/>
                <w:szCs w:val="18"/>
              </w:rPr>
              <w:t>of the species</w:t>
            </w:r>
          </w:p>
        </w:tc>
        <w:tc>
          <w:tcPr>
            <w:tcW w:w="3860" w:type="dxa"/>
          </w:tcPr>
          <w:p w14:paraId="32E45FF5" w14:textId="77777777" w:rsidR="008715BE" w:rsidRPr="00C96230" w:rsidRDefault="00000000">
            <w:pPr>
              <w:pStyle w:val="TableParagraph"/>
              <w:spacing w:before="8"/>
              <w:ind w:left="117" w:right="81"/>
              <w:jc w:val="both"/>
              <w:rPr>
                <w:rFonts w:ascii="Verdana" w:hAnsi="Verdana"/>
                <w:sz w:val="18"/>
                <w:szCs w:val="18"/>
              </w:rPr>
            </w:pPr>
            <w:r w:rsidRPr="00C96230">
              <w:rPr>
                <w:rFonts w:ascii="Verdana" w:hAnsi="Verdana"/>
                <w:sz w:val="18"/>
                <w:szCs w:val="18"/>
              </w:rPr>
              <w:t>During the construction phase of the project, a potential risk of damage was identified due to the introduction of invasive plant species (</w:t>
            </w:r>
            <w:r w:rsidRPr="00C96230">
              <w:rPr>
                <w:rFonts w:ascii="Verdana" w:hAnsi="Verdana"/>
                <w:i/>
                <w:sz w:val="18"/>
                <w:szCs w:val="18"/>
              </w:rPr>
              <w:t xml:space="preserve">Ailanthus altissima, Ambrosia artemisiifolia, Xanthium orientale, Conyza canadensis </w:t>
            </w:r>
            <w:r w:rsidRPr="00C96230">
              <w:rPr>
                <w:rFonts w:ascii="Verdana" w:hAnsi="Verdana"/>
                <w:sz w:val="18"/>
                <w:szCs w:val="18"/>
              </w:rPr>
              <w:t>may be present in the vicinity of roads) into the habitat, mainly by wind dispersal, during the construction phase (during excavation works through the excavated soil and through transport activities - on construction machinery or vehicles).</w:t>
            </w:r>
          </w:p>
          <w:p w14:paraId="7E41F605" w14:textId="77777777" w:rsidR="008715BE" w:rsidRPr="00C96230" w:rsidRDefault="00000000">
            <w:pPr>
              <w:pStyle w:val="TableParagraph"/>
              <w:tabs>
                <w:tab w:val="left" w:pos="978"/>
                <w:tab w:val="left" w:pos="1280"/>
                <w:tab w:val="left" w:pos="2092"/>
                <w:tab w:val="left" w:pos="2659"/>
                <w:tab w:val="left" w:pos="3004"/>
              </w:tabs>
              <w:ind w:left="117" w:right="83"/>
              <w:rPr>
                <w:rFonts w:ascii="Verdana" w:hAnsi="Verdana"/>
                <w:sz w:val="18"/>
                <w:szCs w:val="18"/>
              </w:rPr>
            </w:pPr>
            <w:r w:rsidRPr="00C96230">
              <w:rPr>
                <w:rFonts w:ascii="Verdana" w:hAnsi="Verdana"/>
                <w:sz w:val="18"/>
                <w:szCs w:val="18"/>
              </w:rPr>
              <w:t xml:space="preserve">Given that the project does not involve any work on the site itself, but only in its vicinity, the spread of </w:t>
            </w:r>
            <w:r w:rsidRPr="00C96230">
              <w:rPr>
                <w:rFonts w:ascii="Verdana" w:hAnsi="Verdana"/>
                <w:spacing w:val="-2"/>
                <w:sz w:val="18"/>
                <w:szCs w:val="18"/>
              </w:rPr>
              <w:t>invasive</w:t>
            </w:r>
            <w:r w:rsidRPr="00C96230">
              <w:rPr>
                <w:rFonts w:ascii="Verdana" w:hAnsi="Verdana"/>
                <w:sz w:val="18"/>
                <w:szCs w:val="18"/>
              </w:rPr>
              <w:t xml:space="preserve"> species</w:t>
            </w:r>
            <w:r w:rsidRPr="00C96230">
              <w:rPr>
                <w:rFonts w:ascii="Verdana" w:hAnsi="Verdana"/>
                <w:sz w:val="18"/>
                <w:szCs w:val="18"/>
              </w:rPr>
              <w:tab/>
            </w:r>
            <w:r w:rsidRPr="00C96230">
              <w:rPr>
                <w:rFonts w:ascii="Verdana" w:hAnsi="Verdana"/>
                <w:spacing w:val="-10"/>
                <w:sz w:val="18"/>
                <w:szCs w:val="18"/>
              </w:rPr>
              <w:t>is</w:t>
            </w:r>
            <w:r w:rsidRPr="00C96230">
              <w:rPr>
                <w:rFonts w:ascii="Verdana" w:hAnsi="Verdana"/>
                <w:sz w:val="18"/>
                <w:szCs w:val="18"/>
              </w:rPr>
              <w:tab/>
            </w:r>
            <w:r w:rsidRPr="00C96230">
              <w:rPr>
                <w:rFonts w:ascii="Verdana" w:hAnsi="Verdana"/>
                <w:spacing w:val="-2"/>
                <w:sz w:val="18"/>
                <w:szCs w:val="18"/>
              </w:rPr>
              <w:t>possible</w:t>
            </w:r>
            <w:r w:rsidRPr="00C96230">
              <w:rPr>
                <w:rFonts w:ascii="Verdana" w:hAnsi="Verdana"/>
                <w:sz w:val="18"/>
                <w:szCs w:val="18"/>
              </w:rPr>
              <w:tab/>
            </w:r>
            <w:r w:rsidRPr="00C96230">
              <w:rPr>
                <w:rFonts w:ascii="Verdana" w:hAnsi="Verdana"/>
                <w:spacing w:val="-4"/>
                <w:sz w:val="18"/>
                <w:szCs w:val="18"/>
              </w:rPr>
              <w:t>only</w:t>
            </w:r>
            <w:r w:rsidRPr="00C96230">
              <w:rPr>
                <w:rFonts w:ascii="Verdana" w:hAnsi="Verdana"/>
                <w:sz w:val="18"/>
                <w:szCs w:val="18"/>
              </w:rPr>
              <w:tab/>
            </w:r>
            <w:r w:rsidRPr="00C96230">
              <w:rPr>
                <w:rFonts w:ascii="Verdana" w:hAnsi="Verdana"/>
                <w:spacing w:val="-6"/>
                <w:sz w:val="18"/>
                <w:szCs w:val="18"/>
              </w:rPr>
              <w:t>at</w:t>
            </w:r>
            <w:r w:rsidRPr="00C96230">
              <w:rPr>
                <w:rFonts w:ascii="Verdana" w:hAnsi="Verdana"/>
                <w:sz w:val="18"/>
                <w:szCs w:val="18"/>
              </w:rPr>
              <w:tab/>
            </w:r>
            <w:r w:rsidRPr="00C96230">
              <w:rPr>
                <w:rFonts w:ascii="Verdana" w:hAnsi="Verdana"/>
                <w:spacing w:val="-2"/>
                <w:sz w:val="18"/>
                <w:szCs w:val="18"/>
              </w:rPr>
              <w:t xml:space="preserve">the edge of the habitat. According to the results of </w:t>
            </w:r>
            <w:r w:rsidRPr="00C96230">
              <w:rPr>
                <w:rFonts w:ascii="Verdana" w:hAnsi="Verdana"/>
                <w:sz w:val="18"/>
                <w:szCs w:val="18"/>
              </w:rPr>
              <w:t xml:space="preserve">specialized studies (Management of invasive species in Romania, beneficiary: Ministry </w:t>
            </w:r>
            <w:r w:rsidRPr="00C96230">
              <w:rPr>
                <w:rFonts w:ascii="Verdana" w:hAnsi="Verdana"/>
                <w:spacing w:val="-2"/>
                <w:sz w:val="18"/>
                <w:szCs w:val="18"/>
              </w:rPr>
              <w:t xml:space="preserve">of the Environment), the abundance of invasive species in the </w:t>
            </w:r>
            <w:r w:rsidRPr="00C96230">
              <w:rPr>
                <w:rFonts w:ascii="Verdana" w:hAnsi="Verdana"/>
                <w:sz w:val="18"/>
                <w:szCs w:val="18"/>
              </w:rPr>
              <w:t xml:space="preserve">project </w:t>
            </w:r>
            <w:r w:rsidRPr="00C96230">
              <w:rPr>
                <w:rFonts w:ascii="Verdana" w:hAnsi="Verdana"/>
                <w:spacing w:val="-2"/>
                <w:sz w:val="18"/>
                <w:szCs w:val="18"/>
              </w:rPr>
              <w:t xml:space="preserve">area </w:t>
            </w:r>
            <w:r w:rsidRPr="00C96230">
              <w:rPr>
                <w:rFonts w:ascii="Verdana" w:hAnsi="Verdana"/>
                <w:sz w:val="18"/>
                <w:szCs w:val="18"/>
              </w:rPr>
              <w:t>is very low (1-3 species), and the hotspots of invasive species distribution are insignificant. 0 ha of the protected area</w:t>
            </w:r>
          </w:p>
          <w:p w14:paraId="43880A9D" w14:textId="77777777" w:rsidR="008715BE" w:rsidRPr="00C96230" w:rsidRDefault="00000000">
            <w:pPr>
              <w:pStyle w:val="TableParagraph"/>
              <w:ind w:left="117"/>
              <w:rPr>
                <w:rFonts w:ascii="Verdana" w:hAnsi="Verdana"/>
                <w:sz w:val="18"/>
                <w:szCs w:val="18"/>
              </w:rPr>
            </w:pPr>
            <w:r w:rsidRPr="00C96230">
              <w:rPr>
                <w:rFonts w:ascii="Verdana" w:hAnsi="Verdana"/>
                <w:sz w:val="18"/>
                <w:szCs w:val="18"/>
              </w:rPr>
              <w:t>Maximum 500 m from the working front boundary. The distance over which the effects are felt is between 5 m (in the case of rhizomes/root fragments) and 200-500 m (in the case of seeds), the habitat</w:t>
            </w:r>
            <w:r w:rsidRPr="00C96230">
              <w:rPr>
                <w:rFonts w:ascii="Verdana" w:hAnsi="Verdana"/>
                <w:spacing w:val="40"/>
                <w:sz w:val="18"/>
                <w:szCs w:val="18"/>
              </w:rPr>
              <w:t xml:space="preserve">  </w:t>
            </w:r>
            <w:r w:rsidRPr="00C96230">
              <w:rPr>
                <w:rFonts w:ascii="Verdana" w:hAnsi="Verdana"/>
                <w:sz w:val="18"/>
                <w:szCs w:val="18"/>
              </w:rPr>
              <w:t xml:space="preserve"> is located 200-700 m from the area where the excavation works are carried out.</w:t>
            </w:r>
            <w:r w:rsidRPr="00C96230">
              <w:rPr>
                <w:rFonts w:ascii="Verdana" w:hAnsi="Verdana"/>
                <w:spacing w:val="80"/>
                <w:sz w:val="18"/>
                <w:szCs w:val="18"/>
              </w:rPr>
              <w:t xml:space="preserve"> </w:t>
            </w:r>
            <w:r w:rsidRPr="00C96230">
              <w:rPr>
                <w:rFonts w:ascii="Verdana" w:hAnsi="Verdana"/>
                <w:sz w:val="18"/>
                <w:szCs w:val="18"/>
              </w:rPr>
              <w:t xml:space="preserve">Taking into account the precautionary principle, it was considered that this could generate </w:t>
            </w:r>
            <w:r w:rsidRPr="00C96230">
              <w:rPr>
                <w:rFonts w:ascii="Verdana" w:hAnsi="Verdana"/>
                <w:spacing w:val="-5"/>
                <w:sz w:val="18"/>
                <w:szCs w:val="18"/>
              </w:rPr>
              <w:t>a</w:t>
            </w:r>
          </w:p>
          <w:p w14:paraId="550BF8FC" w14:textId="77777777" w:rsidR="008715BE" w:rsidRPr="00C96230" w:rsidRDefault="00000000">
            <w:pPr>
              <w:pStyle w:val="TableParagraph"/>
              <w:spacing w:line="158" w:lineRule="exact"/>
              <w:ind w:left="117"/>
              <w:rPr>
                <w:rFonts w:ascii="Verdana" w:hAnsi="Verdana"/>
                <w:sz w:val="18"/>
                <w:szCs w:val="18"/>
              </w:rPr>
            </w:pPr>
            <w:r w:rsidRPr="00C96230">
              <w:rPr>
                <w:rFonts w:ascii="Verdana" w:hAnsi="Verdana"/>
                <w:sz w:val="18"/>
                <w:szCs w:val="18"/>
              </w:rPr>
              <w:t xml:space="preserve">potential </w:t>
            </w:r>
            <w:r w:rsidRPr="00C96230">
              <w:rPr>
                <w:rFonts w:ascii="Verdana" w:hAnsi="Verdana"/>
                <w:spacing w:val="-2"/>
                <w:sz w:val="18"/>
                <w:szCs w:val="18"/>
              </w:rPr>
              <w:t>impact</w:t>
            </w:r>
          </w:p>
        </w:tc>
        <w:tc>
          <w:tcPr>
            <w:tcW w:w="1889" w:type="dxa"/>
          </w:tcPr>
          <w:p w14:paraId="475BAE1E" w14:textId="77777777" w:rsidR="008715BE" w:rsidRPr="00C96230" w:rsidRDefault="00000000">
            <w:pPr>
              <w:pStyle w:val="TableParagraph"/>
              <w:tabs>
                <w:tab w:val="left" w:pos="1548"/>
              </w:tabs>
              <w:spacing w:before="8"/>
              <w:ind w:left="119" w:right="82"/>
              <w:rPr>
                <w:rFonts w:ascii="Verdana" w:hAnsi="Verdana"/>
                <w:sz w:val="18"/>
                <w:szCs w:val="18"/>
              </w:rPr>
            </w:pPr>
            <w:r w:rsidRPr="00C96230">
              <w:rPr>
                <w:rFonts w:ascii="Verdana" w:hAnsi="Verdana"/>
                <w:sz w:val="18"/>
                <w:szCs w:val="18"/>
              </w:rPr>
              <w:t xml:space="preserve">Spatial analysis of </w:t>
            </w:r>
            <w:r w:rsidRPr="00C96230">
              <w:rPr>
                <w:rFonts w:ascii="Verdana" w:hAnsi="Verdana"/>
                <w:spacing w:val="-2"/>
                <w:sz w:val="18"/>
                <w:szCs w:val="18"/>
              </w:rPr>
              <w:t>inventory results</w:t>
            </w:r>
            <w:r w:rsidRPr="00C96230">
              <w:rPr>
                <w:rFonts w:ascii="Verdana" w:hAnsi="Verdana"/>
                <w:sz w:val="18"/>
                <w:szCs w:val="18"/>
              </w:rPr>
              <w:tab/>
            </w:r>
            <w:r w:rsidRPr="00C96230">
              <w:rPr>
                <w:rFonts w:ascii="Verdana" w:hAnsi="Verdana"/>
                <w:spacing w:val="-4"/>
                <w:sz w:val="18"/>
                <w:szCs w:val="18"/>
              </w:rPr>
              <w:t xml:space="preserve">in </w:t>
            </w:r>
            <w:r w:rsidRPr="00C96230">
              <w:rPr>
                <w:rFonts w:ascii="Verdana" w:hAnsi="Verdana"/>
                <w:spacing w:val="-2"/>
                <w:sz w:val="18"/>
                <w:szCs w:val="18"/>
              </w:rPr>
              <w:t>the field</w:t>
            </w:r>
          </w:p>
        </w:tc>
      </w:tr>
    </w:tbl>
    <w:p w14:paraId="0CEEEF37"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455BBADE"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70068F31" w14:textId="77777777">
        <w:trPr>
          <w:trHeight w:val="842"/>
        </w:trPr>
        <w:tc>
          <w:tcPr>
            <w:tcW w:w="2846" w:type="dxa"/>
            <w:gridSpan w:val="2"/>
            <w:shd w:val="clear" w:color="auto" w:fill="00A1E8"/>
          </w:tcPr>
          <w:p w14:paraId="6B1C9EBA" w14:textId="77777777" w:rsidR="008715BE" w:rsidRPr="00C96230" w:rsidRDefault="008715BE">
            <w:pPr>
              <w:pStyle w:val="TableParagraph"/>
              <w:spacing w:before="136"/>
              <w:rPr>
                <w:rFonts w:ascii="Verdana" w:hAnsi="Verdana"/>
                <w:b/>
                <w:sz w:val="18"/>
                <w:szCs w:val="18"/>
              </w:rPr>
            </w:pPr>
          </w:p>
          <w:p w14:paraId="44023BBB"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24BA6002" w14:textId="77777777" w:rsidR="008715BE" w:rsidRPr="00C96230" w:rsidRDefault="008715BE">
            <w:pPr>
              <w:pStyle w:val="TableParagraph"/>
              <w:spacing w:before="136"/>
              <w:rPr>
                <w:rFonts w:ascii="Verdana" w:hAnsi="Verdana"/>
                <w:b/>
                <w:sz w:val="18"/>
                <w:szCs w:val="18"/>
              </w:rPr>
            </w:pPr>
          </w:p>
          <w:p w14:paraId="1D01F5DC"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6F41B72F" w14:textId="77777777" w:rsidR="008715BE" w:rsidRPr="00C96230" w:rsidRDefault="008715BE">
            <w:pPr>
              <w:pStyle w:val="TableParagraph"/>
              <w:spacing w:before="40"/>
              <w:rPr>
                <w:rFonts w:ascii="Verdana" w:hAnsi="Verdana"/>
                <w:b/>
                <w:sz w:val="18"/>
                <w:szCs w:val="18"/>
              </w:rPr>
            </w:pPr>
          </w:p>
          <w:p w14:paraId="471D841A"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5261C75D" w14:textId="77777777" w:rsidR="008715BE" w:rsidRPr="00C96230" w:rsidRDefault="008715BE">
            <w:pPr>
              <w:pStyle w:val="TableParagraph"/>
              <w:spacing w:before="40"/>
              <w:rPr>
                <w:rFonts w:ascii="Verdana" w:hAnsi="Verdana"/>
                <w:b/>
                <w:sz w:val="18"/>
                <w:szCs w:val="18"/>
              </w:rPr>
            </w:pPr>
          </w:p>
          <w:p w14:paraId="0C2A2689"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481510E3" w14:textId="77777777" w:rsidR="008715BE" w:rsidRPr="00C96230" w:rsidRDefault="008715BE">
            <w:pPr>
              <w:pStyle w:val="TableParagraph"/>
              <w:spacing w:before="40"/>
              <w:rPr>
                <w:rFonts w:ascii="Verdana" w:hAnsi="Verdana"/>
                <w:b/>
                <w:sz w:val="18"/>
                <w:szCs w:val="18"/>
              </w:rPr>
            </w:pPr>
          </w:p>
          <w:p w14:paraId="6B35BA5D"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073B8331" w14:textId="77777777" w:rsidR="008715BE" w:rsidRPr="00C96230" w:rsidRDefault="008715BE">
            <w:pPr>
              <w:pStyle w:val="TableParagraph"/>
              <w:spacing w:before="40"/>
              <w:rPr>
                <w:rFonts w:ascii="Verdana" w:hAnsi="Verdana"/>
                <w:b/>
                <w:sz w:val="18"/>
                <w:szCs w:val="18"/>
              </w:rPr>
            </w:pPr>
          </w:p>
          <w:p w14:paraId="11249697"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43B1E3A4"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1A76DAAE" w14:textId="77777777" w:rsidR="008715BE" w:rsidRPr="00C96230" w:rsidRDefault="008715BE">
            <w:pPr>
              <w:pStyle w:val="TableParagraph"/>
              <w:spacing w:before="136"/>
              <w:rPr>
                <w:rFonts w:ascii="Verdana" w:hAnsi="Verdana"/>
                <w:b/>
                <w:sz w:val="18"/>
                <w:szCs w:val="18"/>
              </w:rPr>
            </w:pPr>
          </w:p>
          <w:p w14:paraId="5CAFFF5B"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66E41E19" w14:textId="77777777" w:rsidR="008715BE" w:rsidRPr="00C96230" w:rsidRDefault="008715BE">
            <w:pPr>
              <w:pStyle w:val="TableParagraph"/>
              <w:spacing w:before="40"/>
              <w:rPr>
                <w:rFonts w:ascii="Verdana" w:hAnsi="Verdana"/>
                <w:b/>
                <w:sz w:val="18"/>
                <w:szCs w:val="18"/>
              </w:rPr>
            </w:pPr>
          </w:p>
          <w:p w14:paraId="58638F54"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pacing w:val="-10"/>
                <w:sz w:val="18"/>
                <w:szCs w:val="18"/>
              </w:rPr>
              <w:t>Target parameter/</w:t>
            </w:r>
          </w:p>
          <w:p w14:paraId="7E7E7915"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54F8063A" w14:textId="77777777" w:rsidR="008715BE" w:rsidRPr="00C96230" w:rsidRDefault="008715BE">
            <w:pPr>
              <w:pStyle w:val="TableParagraph"/>
              <w:spacing w:before="40"/>
              <w:rPr>
                <w:rFonts w:ascii="Verdana" w:hAnsi="Verdana"/>
                <w:b/>
                <w:sz w:val="18"/>
                <w:szCs w:val="18"/>
              </w:rPr>
            </w:pPr>
          </w:p>
          <w:p w14:paraId="4A13B29D"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70B81F2D" w14:textId="77777777" w:rsidR="008715BE" w:rsidRPr="00C96230" w:rsidRDefault="008715BE">
            <w:pPr>
              <w:pStyle w:val="TableParagraph"/>
              <w:spacing w:before="40"/>
              <w:rPr>
                <w:rFonts w:ascii="Verdana" w:hAnsi="Verdana"/>
                <w:b/>
                <w:sz w:val="18"/>
                <w:szCs w:val="18"/>
              </w:rPr>
            </w:pPr>
          </w:p>
          <w:p w14:paraId="629101FF"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z w:val="18"/>
                <w:szCs w:val="18"/>
              </w:rPr>
              <w:t xml:space="preserve">Method of </w:t>
            </w:r>
            <w:r w:rsidRPr="00C96230">
              <w:rPr>
                <w:rFonts w:ascii="Verdana" w:hAnsi="Verdana"/>
                <w:b/>
                <w:color w:val="FFFFFF"/>
                <w:spacing w:val="-2"/>
                <w:sz w:val="18"/>
                <w:szCs w:val="18"/>
              </w:rPr>
              <w:t>quantification</w:t>
            </w:r>
          </w:p>
        </w:tc>
      </w:tr>
      <w:tr w:rsidR="008715BE" w:rsidRPr="00C96230" w14:paraId="6DA54B07" w14:textId="77777777">
        <w:trPr>
          <w:trHeight w:val="2332"/>
        </w:trPr>
        <w:tc>
          <w:tcPr>
            <w:tcW w:w="523" w:type="dxa"/>
            <w:vMerge w:val="restart"/>
            <w:textDirection w:val="btLr"/>
          </w:tcPr>
          <w:p w14:paraId="46B038CC" w14:textId="77777777" w:rsidR="008715BE" w:rsidRPr="00C96230" w:rsidRDefault="00000000">
            <w:pPr>
              <w:pStyle w:val="TableParagraph"/>
              <w:spacing w:before="171"/>
              <w:ind w:left="-1"/>
              <w:jc w:val="center"/>
              <w:rPr>
                <w:rFonts w:ascii="Verdana" w:hAnsi="Verdana"/>
                <w:sz w:val="18"/>
                <w:szCs w:val="18"/>
              </w:rPr>
            </w:pPr>
            <w:r w:rsidRPr="00C96230">
              <w:rPr>
                <w:rFonts w:ascii="Verdana" w:hAnsi="Verdana"/>
                <w:spacing w:val="-2"/>
                <w:sz w:val="18"/>
                <w:szCs w:val="18"/>
              </w:rPr>
              <w:t>Operation</w:t>
            </w:r>
          </w:p>
        </w:tc>
        <w:tc>
          <w:tcPr>
            <w:tcW w:w="2323" w:type="dxa"/>
            <w:vMerge w:val="restart"/>
          </w:tcPr>
          <w:p w14:paraId="717FB675"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Carrying out energy production activities</w:t>
            </w:r>
          </w:p>
        </w:tc>
        <w:tc>
          <w:tcPr>
            <w:tcW w:w="3149" w:type="dxa"/>
          </w:tcPr>
          <w:p w14:paraId="4B87AA3A"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Increase in </w:t>
            </w:r>
            <w:r w:rsidRPr="00C96230">
              <w:rPr>
                <w:rFonts w:ascii="Verdana" w:hAnsi="Verdana"/>
                <w:spacing w:val="-2"/>
                <w:sz w:val="18"/>
                <w:szCs w:val="18"/>
              </w:rPr>
              <w:t xml:space="preserve">noise </w:t>
            </w:r>
            <w:r w:rsidRPr="00C96230">
              <w:rPr>
                <w:rFonts w:ascii="Verdana" w:hAnsi="Verdana"/>
                <w:sz w:val="18"/>
                <w:szCs w:val="18"/>
              </w:rPr>
              <w:t>levels</w:t>
            </w:r>
          </w:p>
        </w:tc>
        <w:tc>
          <w:tcPr>
            <w:tcW w:w="1106" w:type="dxa"/>
          </w:tcPr>
          <w:p w14:paraId="2E9A5980"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PAS</w:t>
            </w:r>
          </w:p>
        </w:tc>
        <w:tc>
          <w:tcPr>
            <w:tcW w:w="1108" w:type="dxa"/>
          </w:tcPr>
          <w:p w14:paraId="72684296"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24CF7273"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4566664A"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 xml:space="preserve">cumulative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01" w:type="dxa"/>
          </w:tcPr>
          <w:p w14:paraId="046F0DC9"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6"/>
                <w:sz w:val="18"/>
                <w:szCs w:val="18"/>
              </w:rPr>
              <w:t xml:space="preserve">in </w:t>
            </w:r>
            <w:r w:rsidRPr="00C96230">
              <w:rPr>
                <w:rFonts w:ascii="Verdana" w:hAnsi="Verdana"/>
                <w:spacing w:val="-2"/>
                <w:sz w:val="18"/>
                <w:szCs w:val="18"/>
              </w:rPr>
              <w:t xml:space="preserve">the </w:t>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337096E3" w14:textId="77777777" w:rsidR="008715BE" w:rsidRPr="00C96230" w:rsidRDefault="00000000">
            <w:pPr>
              <w:pStyle w:val="TableParagraph"/>
              <w:spacing w:before="8"/>
              <w:ind w:left="111" w:right="390"/>
              <w:rPr>
                <w:rFonts w:ascii="Verdana" w:hAnsi="Verdana"/>
                <w:i/>
                <w:sz w:val="18"/>
                <w:szCs w:val="18"/>
              </w:rPr>
            </w:pPr>
            <w:r w:rsidRPr="00C96230">
              <w:rPr>
                <w:rFonts w:ascii="Verdana" w:hAnsi="Verdana"/>
                <w:i/>
                <w:spacing w:val="-2"/>
                <w:sz w:val="18"/>
                <w:szCs w:val="18"/>
              </w:rPr>
              <w:t>Spermophilus citellus, Mesocricetus newtoni, Mustela eversmanii, Vormela peregusna</w:t>
            </w:r>
          </w:p>
        </w:tc>
        <w:tc>
          <w:tcPr>
            <w:tcW w:w="1897" w:type="dxa"/>
          </w:tcPr>
          <w:p w14:paraId="01594528"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58BEB5F8" w14:textId="77777777" w:rsidR="008715BE" w:rsidRPr="00C96230" w:rsidRDefault="00000000">
            <w:pPr>
              <w:pStyle w:val="TableParagraph"/>
              <w:spacing w:before="8"/>
              <w:ind w:left="117" w:right="86"/>
              <w:jc w:val="both"/>
              <w:rPr>
                <w:rFonts w:ascii="Verdana" w:hAnsi="Verdana"/>
                <w:sz w:val="18"/>
                <w:szCs w:val="18"/>
              </w:rPr>
            </w:pPr>
            <w:r w:rsidRPr="00C96230">
              <w:rPr>
                <w:rFonts w:ascii="Verdana" w:hAnsi="Verdana"/>
                <w:sz w:val="18"/>
                <w:szCs w:val="18"/>
              </w:rPr>
              <w:t>Possible disturbance of the activity of a maximum of 2 to 3 individuals</w:t>
            </w:r>
          </w:p>
          <w:p w14:paraId="2757CBE7" w14:textId="77777777" w:rsidR="008715BE" w:rsidRPr="00C96230" w:rsidRDefault="00000000">
            <w:pPr>
              <w:pStyle w:val="TableParagraph"/>
              <w:ind w:left="117" w:right="83"/>
              <w:jc w:val="both"/>
              <w:rPr>
                <w:rFonts w:ascii="Verdana" w:hAnsi="Verdana"/>
                <w:sz w:val="18"/>
                <w:szCs w:val="18"/>
              </w:rPr>
            </w:pPr>
            <w:r w:rsidRPr="00C96230">
              <w:rPr>
                <w:rFonts w:ascii="Verdana" w:hAnsi="Verdana"/>
                <w:sz w:val="18"/>
                <w:szCs w:val="18"/>
              </w:rPr>
              <w:t>The effects will be felt locally, at distances that are not likely to affect sensitive receptors in the area</w:t>
            </w:r>
          </w:p>
          <w:p w14:paraId="6E3635EE" w14:textId="77777777" w:rsidR="008715BE" w:rsidRPr="00C96230" w:rsidRDefault="00000000">
            <w:pPr>
              <w:pStyle w:val="TableParagraph"/>
              <w:ind w:left="117" w:right="86"/>
              <w:jc w:val="both"/>
              <w:rPr>
                <w:rFonts w:ascii="Verdana" w:hAnsi="Verdana"/>
                <w:sz w:val="18"/>
                <w:szCs w:val="18"/>
              </w:rPr>
            </w:pPr>
            <w:r w:rsidRPr="00C96230">
              <w:rPr>
                <w:rFonts w:ascii="Verdana" w:hAnsi="Verdana"/>
                <w:sz w:val="18"/>
                <w:szCs w:val="18"/>
              </w:rPr>
              <w:t>The 30 dB noise isoline will be felt at distances of up to 1.5 km around the work area</w:t>
            </w:r>
          </w:p>
          <w:p w14:paraId="30BFE392" w14:textId="77777777" w:rsidR="008715BE" w:rsidRPr="00C96230" w:rsidRDefault="00000000">
            <w:pPr>
              <w:pStyle w:val="TableParagraph"/>
              <w:spacing w:before="160" w:line="194" w:lineRule="exact"/>
              <w:ind w:left="117" w:right="84"/>
              <w:jc w:val="both"/>
              <w:rPr>
                <w:rFonts w:ascii="Verdana" w:hAnsi="Verdana"/>
                <w:sz w:val="18"/>
                <w:szCs w:val="18"/>
              </w:rPr>
            </w:pPr>
            <w:r w:rsidRPr="00C96230">
              <w:rPr>
                <w:rFonts w:ascii="Verdana" w:hAnsi="Verdana"/>
                <w:sz w:val="18"/>
                <w:szCs w:val="18"/>
              </w:rPr>
              <w:t>The impact will be felt outside the protected area of the wind farm, in the vicinity of the wind turbines</w:t>
            </w:r>
          </w:p>
        </w:tc>
        <w:tc>
          <w:tcPr>
            <w:tcW w:w="1889" w:type="dxa"/>
          </w:tcPr>
          <w:p w14:paraId="4C8A3879" w14:textId="77777777" w:rsidR="008715BE" w:rsidRPr="00C96230" w:rsidRDefault="00000000">
            <w:pPr>
              <w:pStyle w:val="TableParagraph"/>
              <w:spacing w:before="8"/>
              <w:ind w:left="119"/>
              <w:rPr>
                <w:rFonts w:ascii="Verdana" w:hAnsi="Verdana"/>
                <w:sz w:val="18"/>
                <w:szCs w:val="18"/>
              </w:rPr>
            </w:pPr>
            <w:r w:rsidRPr="00C96230">
              <w:rPr>
                <w:rFonts w:ascii="Verdana" w:hAnsi="Verdana"/>
                <w:spacing w:val="-2"/>
                <w:sz w:val="18"/>
                <w:szCs w:val="18"/>
              </w:rPr>
              <w:t xml:space="preserve">Noise </w:t>
            </w:r>
            <w:r w:rsidRPr="00C96230">
              <w:rPr>
                <w:rFonts w:ascii="Verdana" w:hAnsi="Verdana"/>
                <w:sz w:val="18"/>
                <w:szCs w:val="18"/>
              </w:rPr>
              <w:t>modeling</w:t>
            </w:r>
          </w:p>
        </w:tc>
      </w:tr>
      <w:tr w:rsidR="008715BE" w:rsidRPr="00C96230" w14:paraId="1B4A8805" w14:textId="77777777">
        <w:trPr>
          <w:trHeight w:val="777"/>
        </w:trPr>
        <w:tc>
          <w:tcPr>
            <w:tcW w:w="523" w:type="dxa"/>
            <w:vMerge/>
            <w:tcBorders>
              <w:top w:val="nil"/>
            </w:tcBorders>
            <w:textDirection w:val="btLr"/>
          </w:tcPr>
          <w:p w14:paraId="793C39E9" w14:textId="77777777" w:rsidR="008715BE" w:rsidRPr="00C96230" w:rsidRDefault="008715BE">
            <w:pPr>
              <w:rPr>
                <w:rFonts w:ascii="Verdana" w:hAnsi="Verdana"/>
                <w:sz w:val="18"/>
                <w:szCs w:val="18"/>
              </w:rPr>
            </w:pPr>
          </w:p>
        </w:tc>
        <w:tc>
          <w:tcPr>
            <w:tcW w:w="2323" w:type="dxa"/>
            <w:vMerge/>
            <w:tcBorders>
              <w:top w:val="nil"/>
            </w:tcBorders>
          </w:tcPr>
          <w:p w14:paraId="16868EEA" w14:textId="77777777" w:rsidR="008715BE" w:rsidRPr="00C96230" w:rsidRDefault="008715BE">
            <w:pPr>
              <w:rPr>
                <w:rFonts w:ascii="Verdana" w:hAnsi="Verdana"/>
                <w:sz w:val="18"/>
                <w:szCs w:val="18"/>
              </w:rPr>
            </w:pPr>
          </w:p>
        </w:tc>
        <w:tc>
          <w:tcPr>
            <w:tcW w:w="3149" w:type="dxa"/>
          </w:tcPr>
          <w:p w14:paraId="432576C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Night-time </w:t>
            </w:r>
            <w:r w:rsidRPr="00C96230">
              <w:rPr>
                <w:rFonts w:ascii="Verdana" w:hAnsi="Verdana"/>
                <w:sz w:val="18"/>
                <w:szCs w:val="18"/>
              </w:rPr>
              <w:t>lighting</w:t>
            </w:r>
          </w:p>
        </w:tc>
        <w:tc>
          <w:tcPr>
            <w:tcW w:w="1106" w:type="dxa"/>
          </w:tcPr>
          <w:p w14:paraId="0F4BA7D6"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PAS/PH</w:t>
            </w:r>
          </w:p>
        </w:tc>
        <w:tc>
          <w:tcPr>
            <w:tcW w:w="1108" w:type="dxa"/>
          </w:tcPr>
          <w:p w14:paraId="64727EE7" w14:textId="77777777" w:rsidR="008715BE" w:rsidRPr="00C96230" w:rsidRDefault="00000000">
            <w:pPr>
              <w:pStyle w:val="TableParagraph"/>
              <w:spacing w:line="194" w:lineRule="exact"/>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indirect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211" w:type="dxa"/>
          </w:tcPr>
          <w:p w14:paraId="177B4CAC" w14:textId="77777777" w:rsidR="008715BE" w:rsidRPr="00C96230" w:rsidRDefault="00000000">
            <w:pPr>
              <w:pStyle w:val="TableParagraph"/>
              <w:spacing w:line="194" w:lineRule="exact"/>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 xml:space="preserve">secondary impacts </w:t>
            </w:r>
            <w:r w:rsidRPr="00C96230">
              <w:rPr>
                <w:rFonts w:ascii="Verdana" w:hAnsi="Verdana"/>
                <w:sz w:val="18"/>
                <w:szCs w:val="18"/>
              </w:rPr>
              <w:t xml:space="preserve">have been </w:t>
            </w:r>
            <w:r w:rsidRPr="00C96230">
              <w:rPr>
                <w:rFonts w:ascii="Verdana" w:hAnsi="Verdana"/>
                <w:spacing w:val="-2"/>
                <w:sz w:val="18"/>
                <w:szCs w:val="18"/>
              </w:rPr>
              <w:t>identified</w:t>
            </w:r>
          </w:p>
        </w:tc>
        <w:tc>
          <w:tcPr>
            <w:tcW w:w="1389" w:type="dxa"/>
          </w:tcPr>
          <w:p w14:paraId="70391369" w14:textId="77777777" w:rsidR="008715BE" w:rsidRPr="00C96230" w:rsidRDefault="00000000">
            <w:pPr>
              <w:pStyle w:val="TableParagraph"/>
              <w:tabs>
                <w:tab w:val="left" w:pos="588"/>
              </w:tabs>
              <w:spacing w:line="194" w:lineRule="exact"/>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58AA946F"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230D58BE"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52123283"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1F289BFD"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73F50EED"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2BBABC02" w14:textId="77777777">
        <w:trPr>
          <w:trHeight w:val="780"/>
        </w:trPr>
        <w:tc>
          <w:tcPr>
            <w:tcW w:w="523" w:type="dxa"/>
            <w:vMerge/>
            <w:tcBorders>
              <w:top w:val="nil"/>
            </w:tcBorders>
            <w:textDirection w:val="btLr"/>
          </w:tcPr>
          <w:p w14:paraId="1550ED47" w14:textId="77777777" w:rsidR="008715BE" w:rsidRPr="00C96230" w:rsidRDefault="008715BE">
            <w:pPr>
              <w:rPr>
                <w:rFonts w:ascii="Verdana" w:hAnsi="Verdana"/>
                <w:sz w:val="18"/>
                <w:szCs w:val="18"/>
              </w:rPr>
            </w:pPr>
          </w:p>
        </w:tc>
        <w:tc>
          <w:tcPr>
            <w:tcW w:w="2323" w:type="dxa"/>
            <w:vMerge/>
            <w:tcBorders>
              <w:top w:val="nil"/>
            </w:tcBorders>
          </w:tcPr>
          <w:p w14:paraId="5CAB7EE1" w14:textId="77777777" w:rsidR="008715BE" w:rsidRPr="00C96230" w:rsidRDefault="008715BE">
            <w:pPr>
              <w:rPr>
                <w:rFonts w:ascii="Verdana" w:hAnsi="Verdana"/>
                <w:sz w:val="18"/>
                <w:szCs w:val="18"/>
              </w:rPr>
            </w:pPr>
          </w:p>
        </w:tc>
        <w:tc>
          <w:tcPr>
            <w:tcW w:w="3149" w:type="dxa"/>
          </w:tcPr>
          <w:p w14:paraId="3A2F5F85"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 xml:space="preserve">Waste </w:t>
            </w:r>
            <w:r w:rsidRPr="00C96230">
              <w:rPr>
                <w:rFonts w:ascii="Verdana" w:hAnsi="Verdana"/>
                <w:sz w:val="18"/>
                <w:szCs w:val="18"/>
              </w:rPr>
              <w:t>generation</w:t>
            </w:r>
          </w:p>
        </w:tc>
        <w:tc>
          <w:tcPr>
            <w:tcW w:w="1106" w:type="dxa"/>
          </w:tcPr>
          <w:p w14:paraId="46704CBB"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2"/>
                <w:sz w:val="18"/>
                <w:szCs w:val="18"/>
              </w:rPr>
              <w:t>AH/PAS</w:t>
            </w:r>
          </w:p>
        </w:tc>
        <w:tc>
          <w:tcPr>
            <w:tcW w:w="1108" w:type="dxa"/>
          </w:tcPr>
          <w:p w14:paraId="5D3C6C7C" w14:textId="77777777" w:rsidR="008715BE" w:rsidRPr="00C96230" w:rsidRDefault="00000000">
            <w:pPr>
              <w:pStyle w:val="TableParagraph"/>
              <w:spacing w:before="8"/>
              <w:ind w:left="109" w:right="93"/>
              <w:jc w:val="both"/>
              <w:rPr>
                <w:rFonts w:ascii="Verdana" w:hAnsi="Verdana"/>
                <w:sz w:val="18"/>
                <w:szCs w:val="18"/>
              </w:rPr>
            </w:pPr>
            <w:r w:rsidRPr="00C96230">
              <w:rPr>
                <w:rFonts w:ascii="Verdana" w:hAnsi="Verdana"/>
                <w:sz w:val="18"/>
                <w:szCs w:val="18"/>
              </w:rPr>
              <w:t xml:space="preserve">No indirect </w:t>
            </w:r>
            <w:r w:rsidRPr="00C96230">
              <w:rPr>
                <w:rFonts w:ascii="Verdana" w:hAnsi="Verdana"/>
                <w:spacing w:val="-2"/>
                <w:sz w:val="18"/>
                <w:szCs w:val="18"/>
              </w:rPr>
              <w:t xml:space="preserve">impacts </w:t>
            </w:r>
            <w:r w:rsidRPr="00C96230">
              <w:rPr>
                <w:rFonts w:ascii="Verdana" w:hAnsi="Verdana"/>
                <w:sz w:val="18"/>
                <w:szCs w:val="18"/>
              </w:rPr>
              <w:t xml:space="preserve">have been </w:t>
            </w:r>
            <w:r w:rsidRPr="00C96230">
              <w:rPr>
                <w:rFonts w:ascii="Verdana" w:hAnsi="Verdana"/>
                <w:spacing w:val="-2"/>
                <w:sz w:val="18"/>
                <w:szCs w:val="18"/>
              </w:rPr>
              <w:t>identified</w:t>
            </w:r>
          </w:p>
          <w:p w14:paraId="721AC6FB" w14:textId="77777777" w:rsidR="008715BE" w:rsidRPr="00C96230" w:rsidRDefault="00000000">
            <w:pPr>
              <w:pStyle w:val="TableParagraph"/>
              <w:spacing w:line="166" w:lineRule="exact"/>
              <w:ind w:left="109"/>
              <w:rPr>
                <w:rFonts w:ascii="Verdana" w:hAnsi="Verdana"/>
                <w:sz w:val="18"/>
                <w:szCs w:val="18"/>
              </w:rPr>
            </w:pPr>
            <w:r w:rsidRPr="00C96230">
              <w:rPr>
                <w:rFonts w:ascii="Verdana" w:hAnsi="Verdana"/>
                <w:spacing w:val="-2"/>
                <w:sz w:val="18"/>
                <w:szCs w:val="18"/>
              </w:rPr>
              <w:t>Indirect</w:t>
            </w:r>
          </w:p>
        </w:tc>
        <w:tc>
          <w:tcPr>
            <w:tcW w:w="1211" w:type="dxa"/>
          </w:tcPr>
          <w:p w14:paraId="085087A5"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secondary </w:t>
            </w:r>
            <w:r w:rsidRPr="00C96230">
              <w:rPr>
                <w:rFonts w:ascii="Verdana" w:hAnsi="Verdana"/>
                <w:spacing w:val="-2"/>
                <w:sz w:val="18"/>
                <w:szCs w:val="18"/>
              </w:rPr>
              <w:t>impacts identified</w:t>
            </w:r>
          </w:p>
          <w:p w14:paraId="14706D2E" w14:textId="77777777" w:rsidR="008715BE" w:rsidRPr="00C96230" w:rsidRDefault="00000000">
            <w:pPr>
              <w:pStyle w:val="TableParagraph"/>
              <w:spacing w:line="166" w:lineRule="exact"/>
              <w:ind w:left="107"/>
              <w:rPr>
                <w:rFonts w:ascii="Verdana" w:hAnsi="Verdana"/>
                <w:sz w:val="18"/>
                <w:szCs w:val="18"/>
              </w:rPr>
            </w:pPr>
            <w:r w:rsidRPr="00C96230">
              <w:rPr>
                <w:rFonts w:ascii="Verdana" w:hAnsi="Verdana"/>
                <w:spacing w:val="-2"/>
                <w:sz w:val="18"/>
                <w:szCs w:val="18"/>
              </w:rPr>
              <w:t>secondary</w:t>
            </w:r>
          </w:p>
        </w:tc>
        <w:tc>
          <w:tcPr>
            <w:tcW w:w="1389" w:type="dxa"/>
          </w:tcPr>
          <w:p w14:paraId="381945F1"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w:t>
            </w:r>
          </w:p>
          <w:p w14:paraId="3C9D0C49" w14:textId="77777777" w:rsidR="008715BE" w:rsidRPr="00C96230" w:rsidRDefault="00000000">
            <w:pPr>
              <w:pStyle w:val="TableParagraph"/>
              <w:spacing w:line="166" w:lineRule="exact"/>
              <w:ind w:left="108"/>
              <w:rPr>
                <w:rFonts w:ascii="Verdana" w:hAnsi="Verdana"/>
                <w:sz w:val="18"/>
                <w:szCs w:val="18"/>
              </w:rPr>
            </w:pPr>
            <w:r w:rsidRPr="00C96230">
              <w:rPr>
                <w:rFonts w:ascii="Verdana" w:hAnsi="Verdana"/>
                <w:spacing w:val="-2"/>
                <w:sz w:val="18"/>
                <w:szCs w:val="18"/>
              </w:rPr>
              <w:t>Cumulative</w:t>
            </w:r>
          </w:p>
        </w:tc>
        <w:tc>
          <w:tcPr>
            <w:tcW w:w="1201" w:type="dxa"/>
          </w:tcPr>
          <w:p w14:paraId="6FED2F46" w14:textId="77777777" w:rsidR="008715BE" w:rsidRPr="00C96230" w:rsidRDefault="00000000">
            <w:pPr>
              <w:pStyle w:val="TableParagraph"/>
              <w:spacing w:before="8"/>
              <w:ind w:left="10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736" w:type="dxa"/>
          </w:tcPr>
          <w:p w14:paraId="793B79B3" w14:textId="77777777" w:rsidR="008715BE" w:rsidRPr="00C96230" w:rsidRDefault="00000000">
            <w:pPr>
              <w:pStyle w:val="TableParagraph"/>
              <w:spacing w:before="8"/>
              <w:ind w:left="111"/>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97" w:type="dxa"/>
          </w:tcPr>
          <w:p w14:paraId="79B8D02B" w14:textId="77777777" w:rsidR="008715BE" w:rsidRPr="00C96230" w:rsidRDefault="00000000">
            <w:pPr>
              <w:pStyle w:val="TableParagraph"/>
              <w:spacing w:before="8"/>
              <w:ind w:left="115"/>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3860" w:type="dxa"/>
          </w:tcPr>
          <w:p w14:paraId="42170379"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c>
          <w:tcPr>
            <w:tcW w:w="1889" w:type="dxa"/>
          </w:tcPr>
          <w:p w14:paraId="07ED0A8F"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 xml:space="preserve">Not </w:t>
            </w:r>
            <w:r w:rsidRPr="00C96230">
              <w:rPr>
                <w:rFonts w:ascii="Verdana" w:hAnsi="Verdana"/>
                <w:spacing w:val="-2"/>
                <w:sz w:val="18"/>
                <w:szCs w:val="18"/>
              </w:rPr>
              <w:t>applicable</w:t>
            </w:r>
          </w:p>
        </w:tc>
      </w:tr>
      <w:tr w:rsidR="008715BE" w:rsidRPr="00C96230" w14:paraId="7B38DAB2" w14:textId="77777777">
        <w:trPr>
          <w:trHeight w:val="1554"/>
        </w:trPr>
        <w:tc>
          <w:tcPr>
            <w:tcW w:w="523" w:type="dxa"/>
            <w:vMerge/>
            <w:tcBorders>
              <w:top w:val="nil"/>
            </w:tcBorders>
            <w:textDirection w:val="btLr"/>
          </w:tcPr>
          <w:p w14:paraId="35CB6B13" w14:textId="77777777" w:rsidR="008715BE" w:rsidRPr="00C96230" w:rsidRDefault="008715BE">
            <w:pPr>
              <w:rPr>
                <w:rFonts w:ascii="Verdana" w:hAnsi="Verdana"/>
                <w:sz w:val="18"/>
                <w:szCs w:val="18"/>
              </w:rPr>
            </w:pPr>
          </w:p>
        </w:tc>
        <w:tc>
          <w:tcPr>
            <w:tcW w:w="2323" w:type="dxa"/>
            <w:vMerge w:val="restart"/>
          </w:tcPr>
          <w:p w14:paraId="57D78347" w14:textId="77777777" w:rsidR="008715BE" w:rsidRPr="00C96230" w:rsidRDefault="00000000">
            <w:pPr>
              <w:pStyle w:val="TableParagraph"/>
              <w:spacing w:before="8"/>
              <w:ind w:left="105"/>
              <w:rPr>
                <w:rFonts w:ascii="Verdana" w:hAnsi="Verdana"/>
                <w:sz w:val="18"/>
                <w:szCs w:val="18"/>
              </w:rPr>
            </w:pPr>
            <w:r w:rsidRPr="00C96230">
              <w:rPr>
                <w:rFonts w:ascii="Verdana" w:hAnsi="Verdana"/>
                <w:sz w:val="18"/>
                <w:szCs w:val="18"/>
              </w:rPr>
              <w:t xml:space="preserve">Maintenance and </w:t>
            </w:r>
            <w:r w:rsidRPr="00C96230">
              <w:rPr>
                <w:rFonts w:ascii="Verdana" w:hAnsi="Verdana"/>
                <w:spacing w:val="-2"/>
                <w:sz w:val="18"/>
                <w:szCs w:val="18"/>
              </w:rPr>
              <w:t xml:space="preserve">repair </w:t>
            </w:r>
            <w:r w:rsidRPr="00C96230">
              <w:rPr>
                <w:rFonts w:ascii="Verdana" w:hAnsi="Verdana"/>
                <w:sz w:val="18"/>
                <w:szCs w:val="18"/>
              </w:rPr>
              <w:t>work</w:t>
            </w:r>
          </w:p>
        </w:tc>
        <w:tc>
          <w:tcPr>
            <w:tcW w:w="3149" w:type="dxa"/>
          </w:tcPr>
          <w:p w14:paraId="01D430A9"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Collision of wildlife with vehicle traffic on access roads/machinery in the </w:t>
            </w:r>
            <w:r w:rsidRPr="00C96230">
              <w:rPr>
                <w:rFonts w:ascii="Verdana" w:hAnsi="Verdana"/>
                <w:spacing w:val="-2"/>
                <w:sz w:val="18"/>
                <w:szCs w:val="18"/>
              </w:rPr>
              <w:t xml:space="preserve">repair </w:t>
            </w:r>
            <w:r w:rsidRPr="00C96230">
              <w:rPr>
                <w:rFonts w:ascii="Verdana" w:hAnsi="Verdana"/>
                <w:sz w:val="18"/>
                <w:szCs w:val="18"/>
              </w:rPr>
              <w:t>front area</w:t>
            </w:r>
          </w:p>
        </w:tc>
        <w:tc>
          <w:tcPr>
            <w:tcW w:w="1106" w:type="dxa"/>
          </w:tcPr>
          <w:p w14:paraId="445B6C28"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02510D2F"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7A737599"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A737143" w14:textId="77777777" w:rsidR="008715BE" w:rsidRPr="00C96230" w:rsidRDefault="00000000">
            <w:pPr>
              <w:pStyle w:val="TableParagraph"/>
              <w:tabs>
                <w:tab w:val="left" w:pos="588"/>
              </w:tabs>
              <w:spacing w:before="8"/>
              <w:ind w:left="108" w:right="92" w:firstLine="57"/>
              <w:rPr>
                <w:rFonts w:ascii="Verdana" w:hAnsi="Verdana"/>
                <w:sz w:val="18"/>
                <w:szCs w:val="18"/>
              </w:rPr>
            </w:pPr>
            <w:r w:rsidRPr="00C96230">
              <w:rPr>
                <w:rFonts w:ascii="Verdana" w:hAnsi="Verdana"/>
                <w:spacing w:val="-6"/>
                <w:sz w:val="18"/>
                <w:szCs w:val="18"/>
              </w:rPr>
              <w:t>No</w:t>
            </w:r>
            <w:r w:rsidRPr="00C96230">
              <w:rPr>
                <w:rFonts w:ascii="Verdana" w:hAnsi="Verdana"/>
                <w:sz w:val="18"/>
                <w:szCs w:val="18"/>
              </w:rPr>
              <w:tab/>
              <w:t xml:space="preserve">No </w:t>
            </w:r>
            <w:r w:rsidRPr="00C96230">
              <w:rPr>
                <w:rFonts w:ascii="Verdana" w:hAnsi="Verdana"/>
                <w:spacing w:val="-2"/>
                <w:sz w:val="18"/>
                <w:szCs w:val="18"/>
              </w:rPr>
              <w:t>cumulative impacts identified</w:t>
            </w:r>
          </w:p>
        </w:tc>
        <w:tc>
          <w:tcPr>
            <w:tcW w:w="1201" w:type="dxa"/>
          </w:tcPr>
          <w:p w14:paraId="79CCD980"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2"/>
                <w:sz w:val="18"/>
                <w:szCs w:val="18"/>
              </w:rPr>
              <w:t>Short term</w:t>
            </w:r>
          </w:p>
        </w:tc>
        <w:tc>
          <w:tcPr>
            <w:tcW w:w="1736" w:type="dxa"/>
          </w:tcPr>
          <w:p w14:paraId="42C0EC40" w14:textId="77777777" w:rsidR="008715BE" w:rsidRPr="00C96230" w:rsidRDefault="00000000">
            <w:pPr>
              <w:pStyle w:val="TableParagraph"/>
              <w:spacing w:line="194" w:lineRule="exact"/>
              <w:ind w:left="111" w:right="390"/>
              <w:rPr>
                <w:rFonts w:ascii="Verdana" w:hAnsi="Verdana"/>
                <w:i/>
                <w:sz w:val="18"/>
                <w:szCs w:val="18"/>
              </w:rPr>
            </w:pPr>
            <w:r w:rsidRPr="00C96230">
              <w:rPr>
                <w:rFonts w:ascii="Verdana" w:hAnsi="Verdana"/>
                <w:i/>
                <w:spacing w:val="-2"/>
                <w:sz w:val="18"/>
                <w:szCs w:val="18"/>
              </w:rPr>
              <w:t>Spermophilus citellus, Mesocricetus newtoni, Mustela eversmanii, Vormela peregusna</w:t>
            </w:r>
          </w:p>
        </w:tc>
        <w:tc>
          <w:tcPr>
            <w:tcW w:w="1897" w:type="dxa"/>
          </w:tcPr>
          <w:p w14:paraId="7E342AB0"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3256A12B" w14:textId="77777777" w:rsidR="008715BE" w:rsidRPr="00C96230" w:rsidRDefault="00000000">
            <w:pPr>
              <w:pStyle w:val="TableParagraph"/>
              <w:spacing w:before="8"/>
              <w:ind w:left="117"/>
              <w:rPr>
                <w:rFonts w:ascii="Verdana" w:hAnsi="Verdana"/>
                <w:sz w:val="18"/>
                <w:szCs w:val="18"/>
              </w:rPr>
            </w:pPr>
            <w:r w:rsidRPr="00C96230">
              <w:rPr>
                <w:rFonts w:ascii="Verdana" w:hAnsi="Verdana"/>
                <w:sz w:val="18"/>
                <w:szCs w:val="18"/>
              </w:rPr>
              <w:t xml:space="preserve">1 individual </w:t>
            </w:r>
            <w:r w:rsidRPr="00C96230">
              <w:rPr>
                <w:rFonts w:ascii="Verdana" w:hAnsi="Verdana"/>
                <w:spacing w:val="-2"/>
                <w:sz w:val="18"/>
                <w:szCs w:val="18"/>
              </w:rPr>
              <w:t>(accidental)</w:t>
            </w:r>
          </w:p>
          <w:p w14:paraId="4071B295" w14:textId="77777777" w:rsidR="008715BE" w:rsidRPr="00C96230" w:rsidRDefault="00000000">
            <w:pPr>
              <w:pStyle w:val="TableParagraph"/>
              <w:spacing w:before="193"/>
              <w:ind w:left="117"/>
              <w:rPr>
                <w:rFonts w:ascii="Verdana" w:hAnsi="Verdana"/>
                <w:sz w:val="18"/>
                <w:szCs w:val="18"/>
              </w:rPr>
            </w:pPr>
            <w:r w:rsidRPr="00C96230">
              <w:rPr>
                <w:rFonts w:ascii="Verdana" w:hAnsi="Verdana"/>
                <w:sz w:val="18"/>
                <w:szCs w:val="18"/>
              </w:rPr>
              <w:t>(outside the protected area, within the wind farm)</w:t>
            </w:r>
          </w:p>
        </w:tc>
        <w:tc>
          <w:tcPr>
            <w:tcW w:w="1889" w:type="dxa"/>
          </w:tcPr>
          <w:p w14:paraId="64DCCE4D" w14:textId="77777777" w:rsidR="008715BE" w:rsidRPr="00C96230" w:rsidRDefault="00000000">
            <w:pPr>
              <w:pStyle w:val="TableParagraph"/>
              <w:spacing w:before="8"/>
              <w:ind w:left="119" w:right="81"/>
              <w:jc w:val="both"/>
              <w:rPr>
                <w:rFonts w:ascii="Verdana" w:hAnsi="Verdana"/>
                <w:sz w:val="18"/>
                <w:szCs w:val="18"/>
              </w:rPr>
            </w:pPr>
            <w:r w:rsidRPr="00C96230">
              <w:rPr>
                <w:rFonts w:ascii="Verdana" w:hAnsi="Verdana"/>
                <w:sz w:val="18"/>
                <w:szCs w:val="18"/>
              </w:rPr>
              <w:t xml:space="preserve">Specialized literature data </w:t>
            </w:r>
            <w:r w:rsidRPr="00C96230">
              <w:rPr>
                <w:rFonts w:ascii="Verdana" w:hAnsi="Verdana"/>
                <w:spacing w:val="-2"/>
                <w:sz w:val="18"/>
                <w:szCs w:val="18"/>
              </w:rPr>
              <w:t>Risk</w:t>
            </w:r>
            <w:r w:rsidRPr="00C96230">
              <w:rPr>
                <w:rFonts w:ascii="Verdana" w:hAnsi="Verdana"/>
                <w:sz w:val="18"/>
                <w:szCs w:val="18"/>
              </w:rPr>
              <w:t xml:space="preserve"> analysis</w:t>
            </w:r>
          </w:p>
          <w:p w14:paraId="05E34774" w14:textId="77777777" w:rsidR="008715BE" w:rsidRPr="00C96230" w:rsidRDefault="00000000">
            <w:pPr>
              <w:pStyle w:val="TableParagraph"/>
              <w:ind w:left="119" w:right="82"/>
              <w:jc w:val="both"/>
              <w:rPr>
                <w:rFonts w:ascii="Verdana" w:hAnsi="Verdana"/>
                <w:sz w:val="18"/>
                <w:szCs w:val="18"/>
              </w:rPr>
            </w:pPr>
            <w:r w:rsidRPr="00C96230">
              <w:rPr>
                <w:rFonts w:ascii="Verdana" w:hAnsi="Verdana"/>
                <w:spacing w:val="-2"/>
                <w:sz w:val="18"/>
                <w:szCs w:val="18"/>
              </w:rPr>
              <w:t xml:space="preserve">species </w:t>
            </w:r>
            <w:r w:rsidRPr="00C96230">
              <w:rPr>
                <w:rFonts w:ascii="Verdana" w:hAnsi="Verdana"/>
                <w:sz w:val="18"/>
                <w:szCs w:val="18"/>
              </w:rPr>
              <w:t>mortality</w:t>
            </w:r>
          </w:p>
        </w:tc>
      </w:tr>
      <w:tr w:rsidR="008715BE" w:rsidRPr="00C96230" w14:paraId="3D2A7FF8" w14:textId="77777777">
        <w:trPr>
          <w:trHeight w:val="7973"/>
        </w:trPr>
        <w:tc>
          <w:tcPr>
            <w:tcW w:w="523" w:type="dxa"/>
            <w:vMerge/>
            <w:tcBorders>
              <w:top w:val="nil"/>
            </w:tcBorders>
            <w:textDirection w:val="btLr"/>
          </w:tcPr>
          <w:p w14:paraId="4F2AC949" w14:textId="77777777" w:rsidR="008715BE" w:rsidRPr="00C96230" w:rsidRDefault="008715BE">
            <w:pPr>
              <w:rPr>
                <w:rFonts w:ascii="Verdana" w:hAnsi="Verdana"/>
                <w:sz w:val="18"/>
                <w:szCs w:val="18"/>
              </w:rPr>
            </w:pPr>
          </w:p>
        </w:tc>
        <w:tc>
          <w:tcPr>
            <w:tcW w:w="2323" w:type="dxa"/>
            <w:vMerge/>
            <w:tcBorders>
              <w:top w:val="nil"/>
            </w:tcBorders>
          </w:tcPr>
          <w:p w14:paraId="3778E1A4" w14:textId="77777777" w:rsidR="008715BE" w:rsidRPr="00C96230" w:rsidRDefault="008715BE">
            <w:pPr>
              <w:rPr>
                <w:rFonts w:ascii="Verdana" w:hAnsi="Verdana"/>
                <w:sz w:val="18"/>
                <w:szCs w:val="18"/>
              </w:rPr>
            </w:pPr>
          </w:p>
        </w:tc>
        <w:tc>
          <w:tcPr>
            <w:tcW w:w="3149" w:type="dxa"/>
          </w:tcPr>
          <w:p w14:paraId="33752E8A" w14:textId="77777777" w:rsidR="008715BE" w:rsidRPr="00C96230" w:rsidRDefault="00000000">
            <w:pPr>
              <w:pStyle w:val="TableParagraph"/>
              <w:spacing w:before="8"/>
              <w:ind w:left="108"/>
              <w:rPr>
                <w:rFonts w:ascii="Verdana" w:hAnsi="Verdana"/>
                <w:sz w:val="18"/>
                <w:szCs w:val="18"/>
              </w:rPr>
            </w:pPr>
            <w:r w:rsidRPr="00C96230">
              <w:rPr>
                <w:rFonts w:ascii="Verdana" w:hAnsi="Verdana"/>
                <w:sz w:val="18"/>
                <w:szCs w:val="18"/>
              </w:rPr>
              <w:t xml:space="preserve">Collision with </w:t>
            </w:r>
            <w:r w:rsidRPr="00C96230">
              <w:rPr>
                <w:rFonts w:ascii="Verdana" w:hAnsi="Verdana"/>
                <w:spacing w:val="-2"/>
                <w:sz w:val="18"/>
                <w:szCs w:val="18"/>
              </w:rPr>
              <w:t xml:space="preserve">turbine </w:t>
            </w:r>
            <w:r w:rsidRPr="00C96230">
              <w:rPr>
                <w:rFonts w:ascii="Verdana" w:hAnsi="Verdana"/>
                <w:sz w:val="18"/>
                <w:szCs w:val="18"/>
              </w:rPr>
              <w:t>blades</w:t>
            </w:r>
          </w:p>
        </w:tc>
        <w:tc>
          <w:tcPr>
            <w:tcW w:w="1106" w:type="dxa"/>
          </w:tcPr>
          <w:p w14:paraId="3187356E"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2B1999E0"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1030E2D8"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3E7B4259"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impact </w:t>
            </w:r>
            <w:r w:rsidRPr="00C96230">
              <w:rPr>
                <w:rFonts w:ascii="Verdana" w:hAnsi="Verdana"/>
                <w:sz w:val="18"/>
                <w:szCs w:val="18"/>
              </w:rPr>
              <w:t xml:space="preserve">with: </w:t>
            </w:r>
            <w:r w:rsidRPr="00C96230">
              <w:rPr>
                <w:rFonts w:ascii="Verdana" w:hAnsi="Verdana"/>
                <w:spacing w:val="-4"/>
                <w:sz w:val="18"/>
                <w:szCs w:val="18"/>
              </w:rPr>
              <w:t>Wind farm</w:t>
            </w:r>
            <w:r w:rsidRPr="00C96230">
              <w:rPr>
                <w:rFonts w:ascii="Verdana" w:hAnsi="Verdana"/>
                <w:sz w:val="18"/>
                <w:szCs w:val="18"/>
              </w:rPr>
              <w:tab/>
            </w:r>
            <w:r w:rsidRPr="00C96230">
              <w:rPr>
                <w:rFonts w:ascii="Verdana" w:hAnsi="Verdana"/>
                <w:spacing w:val="-2"/>
                <w:sz w:val="18"/>
                <w:szCs w:val="18"/>
              </w:rPr>
              <w:t xml:space="preserve">Chirnogeni (existing) </w:t>
            </w:r>
            <w:r w:rsidRPr="00C96230">
              <w:rPr>
                <w:rFonts w:ascii="Verdana" w:hAnsi="Verdana"/>
                <w:sz w:val="18"/>
                <w:szCs w:val="18"/>
              </w:rPr>
              <w:t xml:space="preserve">Wind </w:t>
            </w:r>
            <w:r w:rsidRPr="00C96230">
              <w:rPr>
                <w:rFonts w:ascii="Verdana" w:hAnsi="Verdana"/>
                <w:spacing w:val="-2"/>
                <w:sz w:val="18"/>
                <w:szCs w:val="18"/>
              </w:rPr>
              <w:t>farm</w:t>
            </w:r>
            <w:r w:rsidRPr="00C96230">
              <w:rPr>
                <w:rFonts w:ascii="Verdana" w:hAnsi="Verdana"/>
                <w:sz w:val="18"/>
                <w:szCs w:val="18"/>
              </w:rPr>
              <w:t xml:space="preserve"> 14 </w:t>
            </w:r>
            <w:r w:rsidRPr="00C96230">
              <w:rPr>
                <w:rFonts w:ascii="Verdana" w:hAnsi="Verdana"/>
                <w:spacing w:val="-5"/>
                <w:sz w:val="18"/>
                <w:szCs w:val="18"/>
              </w:rPr>
              <w:t>CE-</w:t>
            </w:r>
          </w:p>
          <w:p w14:paraId="19AD2DEC" w14:textId="77777777" w:rsidR="008715BE" w:rsidRPr="00C96230" w:rsidRDefault="00000000">
            <w:pPr>
              <w:pStyle w:val="TableParagraph"/>
              <w:tabs>
                <w:tab w:val="left" w:pos="931"/>
              </w:tabs>
              <w:spacing w:line="188"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23C76531"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modernization of</w:t>
            </w:r>
            <w:r w:rsidRPr="00C96230">
              <w:rPr>
                <w:rFonts w:ascii="Verdana" w:hAnsi="Verdana"/>
                <w:sz w:val="18"/>
                <w:szCs w:val="18"/>
              </w:rPr>
              <w:tab/>
            </w:r>
            <w:r w:rsidRPr="00C96230">
              <w:rPr>
                <w:rFonts w:ascii="Verdana" w:hAnsi="Verdana"/>
                <w:spacing w:val="-8"/>
                <w:sz w:val="18"/>
                <w:szCs w:val="18"/>
              </w:rPr>
              <w:t>and</w:t>
            </w:r>
          </w:p>
          <w:p w14:paraId="3381D3F4"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16AD189A"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09958113"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built-up area of Fântana Mare, </w:t>
            </w:r>
            <w:r w:rsidRPr="00C96230">
              <w:rPr>
                <w:rFonts w:ascii="Verdana" w:hAnsi="Verdana"/>
                <w:spacing w:val="-4"/>
                <w:sz w:val="18"/>
                <w:szCs w:val="18"/>
              </w:rPr>
              <w:t>com.</w:t>
            </w:r>
          </w:p>
          <w:p w14:paraId="47856110"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Independența, Constanța County (proposed)</w:t>
            </w:r>
          </w:p>
          <w:p w14:paraId="62E96E43"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3037FD2C"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6EF84BFC"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of</w:t>
            </w:r>
          </w:p>
          <w:p w14:paraId="4687FBEE"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69D8BD30"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3ADED193"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111AC6E7" w14:textId="77777777" w:rsidR="008715BE" w:rsidRPr="00C96230" w:rsidRDefault="00000000">
            <w:pPr>
              <w:pStyle w:val="TableParagraph"/>
              <w:spacing w:line="193" w:lineRule="exact"/>
              <w:ind w:left="108"/>
              <w:rPr>
                <w:rFonts w:ascii="Verdana" w:hAnsi="Verdana"/>
                <w:sz w:val="18"/>
                <w:szCs w:val="18"/>
              </w:rPr>
            </w:pPr>
            <w:r w:rsidRPr="00C96230">
              <w:rPr>
                <w:rFonts w:ascii="Verdana" w:hAnsi="Verdana"/>
                <w:spacing w:val="-2"/>
                <w:sz w:val="18"/>
                <w:szCs w:val="18"/>
              </w:rPr>
              <w:t>Independența</w:t>
            </w:r>
          </w:p>
          <w:p w14:paraId="4B4D3EDE" w14:textId="77777777" w:rsidR="008715BE" w:rsidRPr="00C96230" w:rsidRDefault="00000000">
            <w:pPr>
              <w:pStyle w:val="TableParagraph"/>
              <w:tabs>
                <w:tab w:val="left" w:pos="888"/>
              </w:tabs>
              <w:spacing w:line="165" w:lineRule="exact"/>
              <w:ind w:left="108"/>
              <w:rPr>
                <w:rFonts w:ascii="Verdana" w:hAnsi="Verdana"/>
                <w:sz w:val="18"/>
                <w:szCs w:val="18"/>
              </w:rPr>
            </w:pP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commune</w:t>
            </w:r>
          </w:p>
        </w:tc>
        <w:tc>
          <w:tcPr>
            <w:tcW w:w="1201" w:type="dxa"/>
          </w:tcPr>
          <w:p w14:paraId="6D71B844" w14:textId="77777777" w:rsidR="008715BE" w:rsidRPr="00C96230" w:rsidRDefault="00000000">
            <w:pPr>
              <w:pStyle w:val="TableParagraph"/>
              <w:tabs>
                <w:tab w:val="left" w:pos="903"/>
              </w:tabs>
              <w:spacing w:before="8"/>
              <w:ind w:left="109" w:right="91"/>
              <w:rPr>
                <w:rFonts w:ascii="Verdana" w:hAnsi="Verdana"/>
                <w:sz w:val="18"/>
                <w:szCs w:val="18"/>
              </w:rPr>
            </w:pPr>
            <w:r w:rsidRPr="00C96230">
              <w:rPr>
                <w:rFonts w:ascii="Verdana" w:hAnsi="Verdana"/>
                <w:spacing w:val="-2"/>
                <w:sz w:val="18"/>
                <w:szCs w:val="18"/>
              </w:rPr>
              <w:t>Direct impact</w:t>
            </w:r>
            <w:r w:rsidRPr="00C96230">
              <w:rPr>
                <w:rFonts w:ascii="Verdana" w:hAnsi="Verdana"/>
                <w:sz w:val="18"/>
                <w:szCs w:val="18"/>
              </w:rPr>
              <w:tab/>
            </w:r>
            <w:r w:rsidRPr="00C96230">
              <w:rPr>
                <w:rFonts w:ascii="Verdana" w:hAnsi="Verdana"/>
                <w:spacing w:val="-4"/>
                <w:sz w:val="18"/>
                <w:szCs w:val="18"/>
              </w:rPr>
              <w:t xml:space="preserve">Long </w:t>
            </w:r>
            <w:r w:rsidRPr="00C96230">
              <w:rPr>
                <w:rFonts w:ascii="Verdana" w:hAnsi="Verdana"/>
                <w:spacing w:val="-2"/>
                <w:sz w:val="18"/>
                <w:szCs w:val="18"/>
              </w:rPr>
              <w:t>term</w:t>
            </w:r>
          </w:p>
        </w:tc>
        <w:tc>
          <w:tcPr>
            <w:tcW w:w="1736" w:type="dxa"/>
          </w:tcPr>
          <w:p w14:paraId="3EB6FEF1" w14:textId="77777777" w:rsidR="008715BE" w:rsidRPr="00C96230" w:rsidRDefault="00000000">
            <w:pPr>
              <w:pStyle w:val="TableParagraph"/>
              <w:spacing w:before="8"/>
              <w:ind w:left="111" w:right="72"/>
              <w:rPr>
                <w:rFonts w:ascii="Verdana" w:hAnsi="Verdana"/>
                <w:i/>
                <w:sz w:val="18"/>
                <w:szCs w:val="18"/>
              </w:rPr>
            </w:pPr>
            <w:r w:rsidRPr="00C96230">
              <w:rPr>
                <w:rFonts w:ascii="Verdana" w:hAnsi="Verdana"/>
                <w:i/>
                <w:spacing w:val="-2"/>
                <w:sz w:val="18"/>
                <w:szCs w:val="18"/>
              </w:rPr>
              <w:t xml:space="preserve">Rhinolophus mehelyi Rhinolophus hipposideros Rhinolophus ferrumequinum Rhinolophus euryale </w:t>
            </w:r>
            <w:r w:rsidRPr="00C96230">
              <w:rPr>
                <w:rFonts w:ascii="Verdana" w:hAnsi="Verdana"/>
                <w:i/>
                <w:sz w:val="18"/>
                <w:szCs w:val="18"/>
              </w:rPr>
              <w:t xml:space="preserve">Rhinolophus blasii </w:t>
            </w:r>
            <w:r w:rsidRPr="00C96230">
              <w:rPr>
                <w:rFonts w:ascii="Verdana" w:hAnsi="Verdana"/>
                <w:i/>
                <w:spacing w:val="-2"/>
                <w:sz w:val="18"/>
                <w:szCs w:val="18"/>
              </w:rPr>
              <w:t>Miniopterus schreibersii</w:t>
            </w:r>
          </w:p>
          <w:p w14:paraId="0D5F2F4F" w14:textId="77777777" w:rsidR="008715BE" w:rsidRPr="00C96230" w:rsidRDefault="00000000">
            <w:pPr>
              <w:pStyle w:val="TableParagraph"/>
              <w:tabs>
                <w:tab w:val="left" w:pos="859"/>
                <w:tab w:val="left" w:pos="1097"/>
                <w:tab w:val="left" w:pos="1142"/>
              </w:tabs>
              <w:ind w:left="111" w:right="89"/>
              <w:rPr>
                <w:rFonts w:ascii="Verdana" w:hAnsi="Verdana"/>
                <w:i/>
                <w:sz w:val="18"/>
                <w:szCs w:val="18"/>
              </w:rPr>
            </w:pPr>
            <w:r w:rsidRPr="00C96230">
              <w:rPr>
                <w:rFonts w:ascii="Verdana" w:hAnsi="Verdana"/>
                <w:i/>
                <w:spacing w:val="-2"/>
                <w:sz w:val="18"/>
                <w:szCs w:val="18"/>
              </w:rPr>
              <w:t>Myotis</w:t>
            </w:r>
            <w:r w:rsidRPr="00C96230">
              <w:rPr>
                <w:rFonts w:ascii="Verdana" w:hAnsi="Verdana"/>
                <w:i/>
                <w:sz w:val="18"/>
                <w:szCs w:val="18"/>
              </w:rPr>
              <w:tab/>
            </w:r>
            <w:r w:rsidRPr="00C96230">
              <w:rPr>
                <w:rFonts w:ascii="Verdana" w:hAnsi="Verdana"/>
                <w:i/>
                <w:sz w:val="18"/>
                <w:szCs w:val="18"/>
              </w:rPr>
              <w:tab/>
            </w:r>
            <w:r w:rsidRPr="00C96230">
              <w:rPr>
                <w:rFonts w:ascii="Verdana" w:hAnsi="Verdana"/>
                <w:i/>
                <w:spacing w:val="-2"/>
                <w:sz w:val="18"/>
                <w:szCs w:val="18"/>
              </w:rPr>
              <w:t>myotis Myotis emarginatus Myotis</w:t>
            </w:r>
            <w:r w:rsidRPr="00C96230">
              <w:rPr>
                <w:rFonts w:ascii="Verdana" w:hAnsi="Verdana"/>
                <w:i/>
                <w:sz w:val="18"/>
                <w:szCs w:val="18"/>
              </w:rPr>
              <w:tab/>
            </w:r>
            <w:r w:rsidRPr="00C96230">
              <w:rPr>
                <w:rFonts w:ascii="Verdana" w:hAnsi="Verdana"/>
                <w:i/>
                <w:spacing w:val="-2"/>
                <w:sz w:val="18"/>
                <w:szCs w:val="18"/>
              </w:rPr>
              <w:t>capaccinii Myotis</w:t>
            </w:r>
            <w:r w:rsidRPr="00C96230">
              <w:rPr>
                <w:rFonts w:ascii="Verdana" w:hAnsi="Verdana"/>
                <w:i/>
                <w:sz w:val="18"/>
                <w:szCs w:val="18"/>
              </w:rPr>
              <w:tab/>
            </w:r>
            <w:r w:rsidRPr="00C96230">
              <w:rPr>
                <w:rFonts w:ascii="Verdana" w:hAnsi="Verdana"/>
                <w:i/>
                <w:sz w:val="18"/>
                <w:szCs w:val="18"/>
              </w:rPr>
              <w:tab/>
            </w:r>
            <w:r w:rsidRPr="00C96230">
              <w:rPr>
                <w:rFonts w:ascii="Verdana" w:hAnsi="Verdana"/>
                <w:i/>
                <w:sz w:val="18"/>
                <w:szCs w:val="18"/>
              </w:rPr>
              <w:tab/>
            </w:r>
            <w:r w:rsidRPr="00C96230">
              <w:rPr>
                <w:rFonts w:ascii="Verdana" w:hAnsi="Verdana"/>
                <w:i/>
                <w:spacing w:val="-2"/>
                <w:sz w:val="18"/>
                <w:szCs w:val="18"/>
              </w:rPr>
              <w:t xml:space="preserve">blythii </w:t>
            </w:r>
            <w:r w:rsidRPr="00C96230">
              <w:rPr>
                <w:rFonts w:ascii="Verdana" w:hAnsi="Verdana"/>
                <w:i/>
                <w:sz w:val="18"/>
                <w:szCs w:val="18"/>
              </w:rPr>
              <w:t xml:space="preserve">Myotis bechsteinii </w:t>
            </w:r>
            <w:r w:rsidRPr="00C96230">
              <w:rPr>
                <w:rFonts w:ascii="Verdana" w:hAnsi="Verdana"/>
                <w:i/>
                <w:spacing w:val="-2"/>
                <w:sz w:val="18"/>
                <w:szCs w:val="18"/>
              </w:rPr>
              <w:t>Barbastella barbastellus</w:t>
            </w:r>
          </w:p>
        </w:tc>
        <w:tc>
          <w:tcPr>
            <w:tcW w:w="1897" w:type="dxa"/>
          </w:tcPr>
          <w:p w14:paraId="17A68F51"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6BD4D0F1" w14:textId="77777777" w:rsidR="008715BE" w:rsidRPr="00C9623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C96230">
              <w:rPr>
                <w:rFonts w:ascii="Verdana" w:hAnsi="Verdana"/>
                <w:i/>
                <w:sz w:val="18"/>
                <w:szCs w:val="18"/>
              </w:rPr>
              <w:t xml:space="preserve">Rhinolophus mehelyi - </w:t>
            </w:r>
            <w:r w:rsidRPr="00C96230">
              <w:rPr>
                <w:rFonts w:ascii="Verdana" w:hAnsi="Verdana"/>
                <w:sz w:val="18"/>
                <w:szCs w:val="18"/>
              </w:rPr>
              <w:t xml:space="preserve">maximum one individual at a </w:t>
            </w:r>
            <w:r w:rsidRPr="00C96230">
              <w:rPr>
                <w:rFonts w:ascii="Verdana" w:hAnsi="Verdana"/>
                <w:spacing w:val="-2"/>
                <w:sz w:val="18"/>
                <w:szCs w:val="18"/>
              </w:rPr>
              <w:t>time</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Rhinolophus hipposideros - </w:t>
            </w:r>
            <w:r w:rsidRPr="00C96230">
              <w:rPr>
                <w:rFonts w:ascii="Verdana" w:hAnsi="Verdana"/>
                <w:sz w:val="18"/>
                <w:szCs w:val="18"/>
              </w:rPr>
              <w:t xml:space="preserve">maximum one individual </w:t>
            </w:r>
            <w:r w:rsidRPr="00C96230">
              <w:rPr>
                <w:rFonts w:ascii="Verdana" w:hAnsi="Verdana"/>
                <w:spacing w:val="-6"/>
                <w:sz w:val="18"/>
                <w:szCs w:val="18"/>
              </w:rPr>
              <w:t>per</w:t>
            </w:r>
            <w:r w:rsidRPr="00C96230">
              <w:rPr>
                <w:rFonts w:ascii="Verdana" w:hAnsi="Verdana"/>
                <w:sz w:val="18"/>
                <w:szCs w:val="18"/>
              </w:rPr>
              <w:tab/>
            </w:r>
            <w:r w:rsidRPr="00C96230">
              <w:rPr>
                <w:rFonts w:ascii="Verdana" w:hAnsi="Verdana"/>
                <w:spacing w:val="-6"/>
                <w:sz w:val="18"/>
                <w:szCs w:val="18"/>
              </w:rPr>
              <w:t>one</w:t>
            </w:r>
            <w:r w:rsidRPr="00C96230">
              <w:rPr>
                <w:rFonts w:ascii="Verdana" w:hAnsi="Verdana"/>
                <w:sz w:val="18"/>
                <w:szCs w:val="18"/>
              </w:rPr>
              <w:tab/>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pacing w:val="-10"/>
                <w:sz w:val="18"/>
                <w:szCs w:val="18"/>
              </w:rPr>
              <w:t xml:space="preserve"> years </w:t>
            </w:r>
            <w:r w:rsidRPr="00C96230">
              <w:rPr>
                <w:rFonts w:ascii="Verdana" w:hAnsi="Verdana"/>
                <w:i/>
                <w:sz w:val="18"/>
                <w:szCs w:val="18"/>
              </w:rPr>
              <w:t xml:space="preserve">Rhinolophus ferrumequinum - </w:t>
            </w:r>
            <w:r w:rsidRPr="00C96230">
              <w:rPr>
                <w:rFonts w:ascii="Verdana" w:hAnsi="Verdana"/>
                <w:sz w:val="18"/>
                <w:szCs w:val="18"/>
              </w:rPr>
              <w:t xml:space="preserve">maximum two individuals at an interval of 10 years </w:t>
            </w:r>
            <w:r w:rsidRPr="00C96230">
              <w:rPr>
                <w:rFonts w:ascii="Verdana" w:hAnsi="Verdana"/>
                <w:i/>
                <w:sz w:val="18"/>
                <w:szCs w:val="18"/>
              </w:rPr>
              <w:t xml:space="preserve">Rhinolophus euryale </w:t>
            </w:r>
            <w:r w:rsidRPr="00C96230">
              <w:rPr>
                <w:rFonts w:ascii="Verdana" w:hAnsi="Verdana"/>
                <w:sz w:val="18"/>
                <w:szCs w:val="18"/>
              </w:rPr>
              <w:t xml:space="preserve">- maximum one individual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Rhinolophus blasii </w:t>
            </w:r>
            <w:r w:rsidRPr="00C96230">
              <w:rPr>
                <w:rFonts w:ascii="Verdana" w:hAnsi="Verdana"/>
                <w:sz w:val="18"/>
                <w:szCs w:val="18"/>
              </w:rPr>
              <w:t xml:space="preserve">- 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Miniopterus schreibersii </w:t>
            </w:r>
            <w:r w:rsidRPr="00C96230">
              <w:rPr>
                <w:rFonts w:ascii="Verdana" w:hAnsi="Verdana"/>
                <w:sz w:val="18"/>
                <w:szCs w:val="18"/>
              </w:rPr>
              <w:t xml:space="preserve">- maximum two individuals </w:t>
            </w:r>
            <w:r w:rsidRPr="00C96230">
              <w:rPr>
                <w:rFonts w:ascii="Verdana" w:hAnsi="Verdana"/>
                <w:spacing w:val="-6"/>
                <w:sz w:val="18"/>
                <w:szCs w:val="18"/>
              </w:rPr>
              <w:t>at</w:t>
            </w:r>
            <w:r w:rsidRPr="00C96230">
              <w:rPr>
                <w:rFonts w:ascii="Verdana" w:hAnsi="Verdana"/>
                <w:sz w:val="18"/>
                <w:szCs w:val="18"/>
              </w:rPr>
              <w:tab/>
            </w:r>
            <w:r w:rsidRPr="00C96230">
              <w:rPr>
                <w:rFonts w:ascii="Verdana" w:hAnsi="Verdana"/>
                <w:spacing w:val="-6"/>
                <w:sz w:val="18"/>
                <w:szCs w:val="18"/>
              </w:rPr>
              <w:t>one</w:t>
            </w:r>
            <w:r w:rsidRPr="00C96230">
              <w:rPr>
                <w:rFonts w:ascii="Verdana" w:hAnsi="Verdana"/>
                <w:sz w:val="18"/>
                <w:szCs w:val="18"/>
              </w:rPr>
              <w:tab/>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pacing w:val="-10"/>
                <w:sz w:val="18"/>
                <w:szCs w:val="18"/>
              </w:rPr>
              <w:t xml:space="preserve"> years </w:t>
            </w:r>
            <w:r w:rsidRPr="00C96230">
              <w:rPr>
                <w:rFonts w:ascii="Verdana" w:hAnsi="Verdana"/>
                <w:i/>
                <w:sz w:val="18"/>
                <w:szCs w:val="18"/>
              </w:rPr>
              <w:t xml:space="preserve">Myotis myotis - </w:t>
            </w:r>
            <w:r w:rsidRPr="00C96230">
              <w:rPr>
                <w:rFonts w:ascii="Verdana" w:hAnsi="Verdana"/>
                <w:sz w:val="18"/>
                <w:szCs w:val="18"/>
              </w:rPr>
              <w:t xml:space="preserve">maximum two individuals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emarginatus </w:t>
            </w:r>
            <w:r w:rsidRPr="00C96230">
              <w:rPr>
                <w:rFonts w:ascii="Verdana" w:hAnsi="Verdana"/>
                <w:sz w:val="18"/>
                <w:szCs w:val="18"/>
              </w:rPr>
              <w:t xml:space="preserve">- 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capaccinii - </w:t>
            </w:r>
            <w:r w:rsidRPr="00C96230">
              <w:rPr>
                <w:rFonts w:ascii="Verdana" w:hAnsi="Verdana"/>
                <w:sz w:val="18"/>
                <w:szCs w:val="18"/>
              </w:rPr>
              <w:t xml:space="preserve">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blythii - </w:t>
            </w:r>
            <w:r w:rsidRPr="00C96230">
              <w:rPr>
                <w:rFonts w:ascii="Verdana" w:hAnsi="Verdana"/>
                <w:sz w:val="18"/>
                <w:szCs w:val="18"/>
              </w:rPr>
              <w:t xml:space="preserve">maximum two individuals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bechsteinii - </w:t>
            </w:r>
            <w:r w:rsidRPr="00C96230">
              <w:rPr>
                <w:rFonts w:ascii="Verdana" w:hAnsi="Verdana"/>
                <w:sz w:val="18"/>
                <w:szCs w:val="18"/>
              </w:rPr>
              <w:t xml:space="preserve">maximum one individual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80"/>
                <w:sz w:val="18"/>
                <w:szCs w:val="18"/>
              </w:rPr>
              <w:t xml:space="preserve">   </w:t>
            </w:r>
            <w:r w:rsidRPr="00C96230">
              <w:rPr>
                <w:rFonts w:ascii="Verdana" w:hAnsi="Verdana"/>
                <w:sz w:val="18"/>
                <w:szCs w:val="18"/>
              </w:rPr>
              <w:t xml:space="preserve"> 10</w:t>
            </w:r>
            <w:r w:rsidRPr="00C96230">
              <w:rPr>
                <w:rFonts w:ascii="Verdana" w:hAnsi="Verdana"/>
                <w:spacing w:val="80"/>
                <w:sz w:val="18"/>
                <w:szCs w:val="18"/>
              </w:rPr>
              <w:t xml:space="preserve">   </w:t>
            </w:r>
            <w:r w:rsidRPr="00C96230">
              <w:rPr>
                <w:rFonts w:ascii="Verdana" w:hAnsi="Verdana"/>
                <w:sz w:val="18"/>
                <w:szCs w:val="18"/>
              </w:rPr>
              <w:t xml:space="preserve"> years </w:t>
            </w:r>
            <w:r w:rsidRPr="00C96230">
              <w:rPr>
                <w:rFonts w:ascii="Verdana" w:hAnsi="Verdana"/>
                <w:i/>
                <w:sz w:val="18"/>
                <w:szCs w:val="18"/>
              </w:rPr>
              <w:t xml:space="preserve">Barbastella barbastellus </w:t>
            </w:r>
            <w:r w:rsidRPr="00C96230">
              <w:rPr>
                <w:rFonts w:ascii="Verdana" w:hAnsi="Verdana"/>
                <w:sz w:val="18"/>
                <w:szCs w:val="18"/>
              </w:rPr>
              <w:t>- maximum two individuals at an interval of 10 years</w:t>
            </w:r>
          </w:p>
        </w:tc>
        <w:tc>
          <w:tcPr>
            <w:tcW w:w="1889" w:type="dxa"/>
          </w:tcPr>
          <w:p w14:paraId="5E60A86F"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data from the literature</w:t>
            </w:r>
          </w:p>
        </w:tc>
      </w:tr>
    </w:tbl>
    <w:p w14:paraId="227C182D" w14:textId="77777777" w:rsidR="008715BE" w:rsidRPr="00C96230" w:rsidRDefault="008715BE">
      <w:pPr>
        <w:pStyle w:val="TableParagraph"/>
        <w:rPr>
          <w:rFonts w:ascii="Verdana" w:hAnsi="Verdana"/>
          <w:sz w:val="18"/>
          <w:szCs w:val="18"/>
        </w:rPr>
        <w:sectPr w:rsidR="008715BE" w:rsidRPr="00C96230">
          <w:pgSz w:w="23820" w:h="16840" w:orient="landscape"/>
          <w:pgMar w:top="1120" w:right="850" w:bottom="1020" w:left="566" w:header="766" w:footer="810" w:gutter="0"/>
          <w:cols w:space="708"/>
        </w:sectPr>
      </w:pPr>
    </w:p>
    <w:p w14:paraId="0DB829FA" w14:textId="77777777" w:rsidR="008715BE" w:rsidRPr="00C96230"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C96230" w14:paraId="6155D988" w14:textId="77777777">
        <w:trPr>
          <w:trHeight w:val="842"/>
        </w:trPr>
        <w:tc>
          <w:tcPr>
            <w:tcW w:w="2846" w:type="dxa"/>
            <w:gridSpan w:val="2"/>
            <w:shd w:val="clear" w:color="auto" w:fill="00A1E8"/>
          </w:tcPr>
          <w:p w14:paraId="6D2F1510" w14:textId="77777777" w:rsidR="008715BE" w:rsidRPr="00C96230" w:rsidRDefault="008715BE">
            <w:pPr>
              <w:pStyle w:val="TableParagraph"/>
              <w:spacing w:before="136"/>
              <w:rPr>
                <w:rFonts w:ascii="Verdana" w:hAnsi="Verdana"/>
                <w:b/>
                <w:sz w:val="18"/>
                <w:szCs w:val="18"/>
              </w:rPr>
            </w:pPr>
          </w:p>
          <w:p w14:paraId="4247FE53" w14:textId="77777777" w:rsidR="008715BE" w:rsidRPr="00C96230" w:rsidRDefault="00000000">
            <w:pPr>
              <w:pStyle w:val="TableParagraph"/>
              <w:spacing w:before="1"/>
              <w:ind w:left="914"/>
              <w:rPr>
                <w:rFonts w:ascii="Verdana" w:hAnsi="Verdana"/>
                <w:b/>
                <w:sz w:val="18"/>
                <w:szCs w:val="18"/>
              </w:rPr>
            </w:pPr>
            <w:r w:rsidRPr="00C96230">
              <w:rPr>
                <w:rFonts w:ascii="Verdana" w:hAnsi="Verdana"/>
                <w:b/>
                <w:color w:val="FFFFFF"/>
                <w:spacing w:val="-2"/>
                <w:sz w:val="18"/>
                <w:szCs w:val="18"/>
              </w:rPr>
              <w:t>Intervention</w:t>
            </w:r>
          </w:p>
        </w:tc>
        <w:tc>
          <w:tcPr>
            <w:tcW w:w="3149" w:type="dxa"/>
            <w:shd w:val="clear" w:color="auto" w:fill="00A1E8"/>
          </w:tcPr>
          <w:p w14:paraId="5EF48533" w14:textId="77777777" w:rsidR="008715BE" w:rsidRPr="00C96230" w:rsidRDefault="008715BE">
            <w:pPr>
              <w:pStyle w:val="TableParagraph"/>
              <w:spacing w:before="136"/>
              <w:rPr>
                <w:rFonts w:ascii="Verdana" w:hAnsi="Verdana"/>
                <w:b/>
                <w:sz w:val="18"/>
                <w:szCs w:val="18"/>
              </w:rPr>
            </w:pPr>
          </w:p>
          <w:p w14:paraId="65A6E791" w14:textId="77777777" w:rsidR="008715BE" w:rsidRPr="00C96230" w:rsidRDefault="00000000">
            <w:pPr>
              <w:pStyle w:val="TableParagraph"/>
              <w:spacing w:before="1"/>
              <w:ind w:left="12"/>
              <w:jc w:val="center"/>
              <w:rPr>
                <w:rFonts w:ascii="Verdana" w:hAnsi="Verdana"/>
                <w:b/>
                <w:sz w:val="18"/>
                <w:szCs w:val="18"/>
              </w:rPr>
            </w:pPr>
            <w:r w:rsidRPr="00C96230">
              <w:rPr>
                <w:rFonts w:ascii="Verdana" w:hAnsi="Verdana"/>
                <w:b/>
                <w:color w:val="FFFFFF"/>
                <w:spacing w:val="-2"/>
                <w:sz w:val="18"/>
                <w:szCs w:val="18"/>
              </w:rPr>
              <w:t>Effects</w:t>
            </w:r>
          </w:p>
        </w:tc>
        <w:tc>
          <w:tcPr>
            <w:tcW w:w="1106" w:type="dxa"/>
            <w:shd w:val="clear" w:color="auto" w:fill="00A1E8"/>
          </w:tcPr>
          <w:p w14:paraId="4F0E910C" w14:textId="77777777" w:rsidR="008715BE" w:rsidRPr="00C96230" w:rsidRDefault="008715BE">
            <w:pPr>
              <w:pStyle w:val="TableParagraph"/>
              <w:spacing w:before="40"/>
              <w:rPr>
                <w:rFonts w:ascii="Verdana" w:hAnsi="Verdana"/>
                <w:b/>
                <w:sz w:val="18"/>
                <w:szCs w:val="18"/>
              </w:rPr>
            </w:pPr>
          </w:p>
          <w:p w14:paraId="7CDF5E5C" w14:textId="77777777" w:rsidR="008715BE" w:rsidRPr="00C96230" w:rsidRDefault="00000000">
            <w:pPr>
              <w:pStyle w:val="TableParagraph"/>
              <w:spacing w:before="1"/>
              <w:ind w:left="240" w:right="87" w:hanging="132"/>
              <w:rPr>
                <w:rFonts w:ascii="Verdana" w:hAnsi="Verdana"/>
                <w:b/>
                <w:sz w:val="18"/>
                <w:szCs w:val="18"/>
              </w:rPr>
            </w:pPr>
            <w:r w:rsidRPr="00C96230">
              <w:rPr>
                <w:rFonts w:ascii="Verdana" w:hAnsi="Verdana"/>
                <w:b/>
                <w:color w:val="FFFFFF"/>
                <w:spacing w:val="-2"/>
                <w:sz w:val="18"/>
                <w:szCs w:val="18"/>
              </w:rPr>
              <w:t>Direct impacts</w:t>
            </w:r>
          </w:p>
        </w:tc>
        <w:tc>
          <w:tcPr>
            <w:tcW w:w="1108" w:type="dxa"/>
            <w:shd w:val="clear" w:color="auto" w:fill="00A1E8"/>
          </w:tcPr>
          <w:p w14:paraId="2033E9EF" w14:textId="77777777" w:rsidR="008715BE" w:rsidRPr="00C96230" w:rsidRDefault="008715BE">
            <w:pPr>
              <w:pStyle w:val="TableParagraph"/>
              <w:spacing w:before="40"/>
              <w:rPr>
                <w:rFonts w:ascii="Verdana" w:hAnsi="Verdana"/>
                <w:b/>
                <w:sz w:val="18"/>
                <w:szCs w:val="18"/>
              </w:rPr>
            </w:pPr>
          </w:p>
          <w:p w14:paraId="02A228B4" w14:textId="77777777" w:rsidR="008715BE" w:rsidRPr="00C96230" w:rsidRDefault="00000000">
            <w:pPr>
              <w:pStyle w:val="TableParagraph"/>
              <w:spacing w:before="1"/>
              <w:ind w:left="157" w:right="88" w:hanging="48"/>
              <w:rPr>
                <w:rFonts w:ascii="Verdana" w:hAnsi="Verdana"/>
                <w:b/>
                <w:sz w:val="18"/>
                <w:szCs w:val="18"/>
              </w:rPr>
            </w:pPr>
            <w:r w:rsidRPr="00C96230">
              <w:rPr>
                <w:rFonts w:ascii="Verdana" w:hAnsi="Verdana"/>
                <w:b/>
                <w:color w:val="FFFFFF"/>
                <w:spacing w:val="-2"/>
                <w:sz w:val="18"/>
                <w:szCs w:val="18"/>
              </w:rPr>
              <w:t>Indirect impacts</w:t>
            </w:r>
          </w:p>
        </w:tc>
        <w:tc>
          <w:tcPr>
            <w:tcW w:w="1211" w:type="dxa"/>
            <w:shd w:val="clear" w:color="auto" w:fill="00A1E8"/>
          </w:tcPr>
          <w:p w14:paraId="220041AE" w14:textId="77777777" w:rsidR="008715BE" w:rsidRPr="00C96230" w:rsidRDefault="008715BE">
            <w:pPr>
              <w:pStyle w:val="TableParagraph"/>
              <w:spacing w:before="40"/>
              <w:rPr>
                <w:rFonts w:ascii="Verdana" w:hAnsi="Verdana"/>
                <w:b/>
                <w:sz w:val="18"/>
                <w:szCs w:val="18"/>
              </w:rPr>
            </w:pPr>
          </w:p>
          <w:p w14:paraId="7EE48434" w14:textId="77777777" w:rsidR="008715BE" w:rsidRPr="00C96230" w:rsidRDefault="00000000">
            <w:pPr>
              <w:pStyle w:val="TableParagraph"/>
              <w:spacing w:before="1"/>
              <w:ind w:left="141" w:firstLine="16"/>
              <w:rPr>
                <w:rFonts w:ascii="Verdana" w:hAnsi="Verdana"/>
                <w:b/>
                <w:sz w:val="18"/>
                <w:szCs w:val="18"/>
              </w:rPr>
            </w:pPr>
            <w:r w:rsidRPr="00C96230">
              <w:rPr>
                <w:rFonts w:ascii="Verdana" w:hAnsi="Verdana"/>
                <w:b/>
                <w:color w:val="FFFFFF"/>
                <w:spacing w:val="-2"/>
                <w:sz w:val="18"/>
                <w:szCs w:val="18"/>
              </w:rPr>
              <w:t>Secondary impacts</w:t>
            </w:r>
          </w:p>
        </w:tc>
        <w:tc>
          <w:tcPr>
            <w:tcW w:w="1389" w:type="dxa"/>
            <w:shd w:val="clear" w:color="auto" w:fill="00A1E8"/>
          </w:tcPr>
          <w:p w14:paraId="1FB0C77D" w14:textId="77777777" w:rsidR="008715BE" w:rsidRPr="00C96230" w:rsidRDefault="008715BE">
            <w:pPr>
              <w:pStyle w:val="TableParagraph"/>
              <w:spacing w:before="40"/>
              <w:rPr>
                <w:rFonts w:ascii="Verdana" w:hAnsi="Verdana"/>
                <w:b/>
                <w:sz w:val="18"/>
                <w:szCs w:val="18"/>
              </w:rPr>
            </w:pPr>
          </w:p>
          <w:p w14:paraId="5BE1BEFB" w14:textId="77777777" w:rsidR="008715BE" w:rsidRPr="00C96230" w:rsidRDefault="00000000">
            <w:pPr>
              <w:pStyle w:val="TableParagraph"/>
              <w:spacing w:before="1"/>
              <w:ind w:left="200" w:right="182" w:firstLine="48"/>
              <w:rPr>
                <w:rFonts w:ascii="Verdana" w:hAnsi="Verdana"/>
                <w:b/>
                <w:sz w:val="18"/>
                <w:szCs w:val="18"/>
              </w:rPr>
            </w:pPr>
            <w:r w:rsidRPr="00C96230">
              <w:rPr>
                <w:rFonts w:ascii="Verdana" w:hAnsi="Verdana"/>
                <w:b/>
                <w:color w:val="FFFFFF"/>
                <w:spacing w:val="-2"/>
                <w:sz w:val="18"/>
                <w:szCs w:val="18"/>
              </w:rPr>
              <w:t>Cumulative impacts</w:t>
            </w:r>
          </w:p>
        </w:tc>
        <w:tc>
          <w:tcPr>
            <w:tcW w:w="1201" w:type="dxa"/>
            <w:shd w:val="clear" w:color="auto" w:fill="00A1E8"/>
          </w:tcPr>
          <w:p w14:paraId="7E688257" w14:textId="77777777" w:rsidR="008715BE" w:rsidRPr="00C96230" w:rsidRDefault="00000000">
            <w:pPr>
              <w:pStyle w:val="TableParagraph"/>
              <w:spacing w:before="41"/>
              <w:ind w:left="157" w:right="95" w:hanging="44"/>
              <w:jc w:val="center"/>
              <w:rPr>
                <w:rFonts w:ascii="Verdana" w:hAnsi="Verdana"/>
                <w:b/>
                <w:sz w:val="18"/>
                <w:szCs w:val="18"/>
              </w:rPr>
            </w:pPr>
            <w:r w:rsidRPr="00C96230">
              <w:rPr>
                <w:rFonts w:ascii="Verdana" w:hAnsi="Verdana"/>
                <w:b/>
                <w:color w:val="FFFFFF"/>
                <w:sz w:val="18"/>
                <w:szCs w:val="18"/>
              </w:rPr>
              <w:t xml:space="preserve">Short- and </w:t>
            </w:r>
            <w:r w:rsidRPr="00C96230">
              <w:rPr>
                <w:rFonts w:ascii="Verdana" w:hAnsi="Verdana"/>
                <w:b/>
                <w:color w:val="FFFFFF"/>
                <w:spacing w:val="-4"/>
                <w:sz w:val="18"/>
                <w:szCs w:val="18"/>
              </w:rPr>
              <w:t>long</w:t>
            </w:r>
            <w:r w:rsidRPr="00C96230">
              <w:rPr>
                <w:rFonts w:ascii="Verdana" w:hAnsi="Verdana"/>
                <w:b/>
                <w:color w:val="FFFFFF"/>
                <w:sz w:val="18"/>
                <w:szCs w:val="18"/>
              </w:rPr>
              <w:t>-term</w:t>
            </w:r>
            <w:r w:rsidRPr="00C96230">
              <w:rPr>
                <w:rFonts w:ascii="Verdana" w:hAnsi="Verdana"/>
                <w:b/>
                <w:color w:val="FFFFFF"/>
                <w:spacing w:val="-2"/>
                <w:sz w:val="18"/>
                <w:szCs w:val="18"/>
              </w:rPr>
              <w:t xml:space="preserve"> impacts</w:t>
            </w:r>
          </w:p>
        </w:tc>
        <w:tc>
          <w:tcPr>
            <w:tcW w:w="1736" w:type="dxa"/>
            <w:shd w:val="clear" w:color="auto" w:fill="00A1E8"/>
          </w:tcPr>
          <w:p w14:paraId="0A5D37AC" w14:textId="77777777" w:rsidR="008715BE" w:rsidRPr="00C96230" w:rsidRDefault="008715BE">
            <w:pPr>
              <w:pStyle w:val="TableParagraph"/>
              <w:spacing w:before="136"/>
              <w:rPr>
                <w:rFonts w:ascii="Verdana" w:hAnsi="Verdana"/>
                <w:b/>
                <w:sz w:val="18"/>
                <w:szCs w:val="18"/>
              </w:rPr>
            </w:pPr>
          </w:p>
          <w:p w14:paraId="352D82E6" w14:textId="77777777" w:rsidR="008715BE" w:rsidRPr="00C96230" w:rsidRDefault="00000000">
            <w:pPr>
              <w:pStyle w:val="TableParagraph"/>
              <w:spacing w:before="1"/>
              <w:ind w:left="202"/>
              <w:rPr>
                <w:rFonts w:ascii="Verdana" w:hAnsi="Verdana"/>
                <w:b/>
                <w:sz w:val="18"/>
                <w:szCs w:val="18"/>
              </w:rPr>
            </w:pPr>
            <w:r w:rsidRPr="00C96230">
              <w:rPr>
                <w:rFonts w:ascii="Verdana" w:hAnsi="Verdana"/>
                <w:b/>
                <w:color w:val="FFFFFF"/>
                <w:spacing w:val="-2"/>
                <w:sz w:val="18"/>
                <w:szCs w:val="18"/>
              </w:rPr>
              <w:t>Species/habitat</w:t>
            </w:r>
          </w:p>
        </w:tc>
        <w:tc>
          <w:tcPr>
            <w:tcW w:w="1897" w:type="dxa"/>
            <w:shd w:val="clear" w:color="auto" w:fill="00A1E8"/>
          </w:tcPr>
          <w:p w14:paraId="2E037AFC" w14:textId="77777777" w:rsidR="008715BE" w:rsidRPr="00C96230" w:rsidRDefault="008715BE">
            <w:pPr>
              <w:pStyle w:val="TableParagraph"/>
              <w:spacing w:before="40"/>
              <w:rPr>
                <w:rFonts w:ascii="Verdana" w:hAnsi="Verdana"/>
                <w:b/>
                <w:sz w:val="18"/>
                <w:szCs w:val="18"/>
              </w:rPr>
            </w:pPr>
          </w:p>
          <w:p w14:paraId="5691EFAF" w14:textId="77777777" w:rsidR="008715BE" w:rsidRPr="00C96230" w:rsidRDefault="00000000">
            <w:pPr>
              <w:pStyle w:val="TableParagraph"/>
              <w:spacing w:before="1" w:line="195" w:lineRule="exact"/>
              <w:ind w:left="396"/>
              <w:rPr>
                <w:rFonts w:ascii="Verdana" w:hAnsi="Verdana"/>
                <w:b/>
                <w:sz w:val="18"/>
                <w:szCs w:val="18"/>
              </w:rPr>
            </w:pPr>
            <w:r w:rsidRPr="00C96230">
              <w:rPr>
                <w:rFonts w:ascii="Verdana" w:hAnsi="Verdana"/>
                <w:b/>
                <w:color w:val="FFFFFF"/>
                <w:sz w:val="18"/>
                <w:szCs w:val="18"/>
              </w:rPr>
              <w:t>Param</w:t>
            </w:r>
            <w:r w:rsidRPr="00C96230">
              <w:rPr>
                <w:rFonts w:ascii="Verdana" w:hAnsi="Verdana"/>
                <w:b/>
                <w:color w:val="FFFFFF"/>
                <w:spacing w:val="-10"/>
                <w:sz w:val="18"/>
                <w:szCs w:val="18"/>
              </w:rPr>
              <w:t>eter</w:t>
            </w:r>
            <w:r w:rsidRPr="00C96230">
              <w:rPr>
                <w:rFonts w:ascii="Verdana" w:hAnsi="Verdana"/>
                <w:b/>
                <w:color w:val="FFFFFF"/>
                <w:sz w:val="18"/>
                <w:szCs w:val="18"/>
              </w:rPr>
              <w:t>/</w:t>
            </w:r>
          </w:p>
          <w:p w14:paraId="37A4FA1F" w14:textId="77777777" w:rsidR="008715BE" w:rsidRPr="00C96230" w:rsidRDefault="00000000">
            <w:pPr>
              <w:pStyle w:val="TableParagraph"/>
              <w:spacing w:line="195" w:lineRule="exact"/>
              <w:ind w:left="350"/>
              <w:rPr>
                <w:rFonts w:ascii="Verdana" w:hAnsi="Verdana"/>
                <w:b/>
                <w:sz w:val="18"/>
                <w:szCs w:val="18"/>
              </w:rPr>
            </w:pPr>
            <w:r w:rsidRPr="00C96230">
              <w:rPr>
                <w:rFonts w:ascii="Verdana" w:hAnsi="Verdana"/>
                <w:b/>
                <w:color w:val="FFFFFF"/>
                <w:spacing w:val="-2"/>
                <w:sz w:val="18"/>
                <w:szCs w:val="18"/>
              </w:rPr>
              <w:t>affected</w:t>
            </w:r>
            <w:r w:rsidRPr="00C96230">
              <w:rPr>
                <w:rFonts w:ascii="Verdana" w:hAnsi="Verdana"/>
                <w:b/>
                <w:color w:val="FFFFFF"/>
                <w:sz w:val="18"/>
                <w:szCs w:val="18"/>
              </w:rPr>
              <w:t xml:space="preserve"> target</w:t>
            </w:r>
          </w:p>
        </w:tc>
        <w:tc>
          <w:tcPr>
            <w:tcW w:w="3860" w:type="dxa"/>
            <w:shd w:val="clear" w:color="auto" w:fill="00A1E8"/>
          </w:tcPr>
          <w:p w14:paraId="4F1C402B" w14:textId="77777777" w:rsidR="008715BE" w:rsidRPr="00C96230" w:rsidRDefault="008715BE">
            <w:pPr>
              <w:pStyle w:val="TableParagraph"/>
              <w:spacing w:before="40"/>
              <w:rPr>
                <w:rFonts w:ascii="Verdana" w:hAnsi="Verdana"/>
                <w:b/>
                <w:sz w:val="18"/>
                <w:szCs w:val="18"/>
              </w:rPr>
            </w:pPr>
          </w:p>
          <w:p w14:paraId="09D68159" w14:textId="77777777" w:rsidR="008715BE" w:rsidRPr="00C96230" w:rsidRDefault="00000000">
            <w:pPr>
              <w:pStyle w:val="TableParagraph"/>
              <w:spacing w:before="1"/>
              <w:ind w:left="1126" w:right="1098"/>
              <w:jc w:val="center"/>
              <w:rPr>
                <w:rFonts w:ascii="Verdana" w:hAnsi="Verdana"/>
                <w:b/>
                <w:sz w:val="18"/>
                <w:szCs w:val="18"/>
              </w:rPr>
            </w:pPr>
            <w:r w:rsidRPr="00C96230">
              <w:rPr>
                <w:rFonts w:ascii="Verdana" w:hAnsi="Verdana"/>
                <w:b/>
                <w:color w:val="FFFFFF"/>
                <w:spacing w:val="-2"/>
                <w:sz w:val="18"/>
                <w:szCs w:val="18"/>
              </w:rPr>
              <w:t>Impact quantification</w:t>
            </w:r>
          </w:p>
        </w:tc>
        <w:tc>
          <w:tcPr>
            <w:tcW w:w="1889" w:type="dxa"/>
            <w:shd w:val="clear" w:color="auto" w:fill="00A1E8"/>
          </w:tcPr>
          <w:p w14:paraId="052CF100" w14:textId="77777777" w:rsidR="008715BE" w:rsidRPr="00C96230" w:rsidRDefault="008715BE">
            <w:pPr>
              <w:pStyle w:val="TableParagraph"/>
              <w:spacing w:before="40"/>
              <w:rPr>
                <w:rFonts w:ascii="Verdana" w:hAnsi="Verdana"/>
                <w:b/>
                <w:sz w:val="18"/>
                <w:szCs w:val="18"/>
              </w:rPr>
            </w:pPr>
          </w:p>
          <w:p w14:paraId="28265349" w14:textId="77777777" w:rsidR="008715BE" w:rsidRPr="00C96230" w:rsidRDefault="00000000">
            <w:pPr>
              <w:pStyle w:val="TableParagraph"/>
              <w:spacing w:before="1"/>
              <w:ind w:left="421" w:firstLine="208"/>
              <w:rPr>
                <w:rFonts w:ascii="Verdana" w:hAnsi="Verdana"/>
                <w:b/>
                <w:sz w:val="18"/>
                <w:szCs w:val="18"/>
              </w:rPr>
            </w:pPr>
            <w:r w:rsidRPr="00C96230">
              <w:rPr>
                <w:rFonts w:ascii="Verdana" w:hAnsi="Verdana"/>
                <w:b/>
                <w:color w:val="FFFFFF"/>
                <w:spacing w:val="-2"/>
                <w:sz w:val="18"/>
                <w:szCs w:val="18"/>
              </w:rPr>
              <w:t>Quantification</w:t>
            </w:r>
            <w:r w:rsidRPr="00C96230">
              <w:rPr>
                <w:rFonts w:ascii="Verdana" w:hAnsi="Verdana"/>
                <w:b/>
                <w:color w:val="FFFFFF"/>
                <w:sz w:val="18"/>
                <w:szCs w:val="18"/>
              </w:rPr>
              <w:t xml:space="preserve"> method</w:t>
            </w:r>
          </w:p>
        </w:tc>
      </w:tr>
      <w:tr w:rsidR="008715BE" w:rsidRPr="00C96230" w14:paraId="04227C9B" w14:textId="77777777">
        <w:trPr>
          <w:trHeight w:val="5040"/>
        </w:trPr>
        <w:tc>
          <w:tcPr>
            <w:tcW w:w="523" w:type="dxa"/>
            <w:vMerge w:val="restart"/>
          </w:tcPr>
          <w:p w14:paraId="35871138" w14:textId="77777777" w:rsidR="008715BE" w:rsidRPr="00C96230" w:rsidRDefault="008715BE">
            <w:pPr>
              <w:pStyle w:val="TableParagraph"/>
              <w:rPr>
                <w:rFonts w:ascii="Verdana" w:hAnsi="Verdana"/>
                <w:sz w:val="18"/>
                <w:szCs w:val="18"/>
              </w:rPr>
            </w:pPr>
          </w:p>
        </w:tc>
        <w:tc>
          <w:tcPr>
            <w:tcW w:w="2323" w:type="dxa"/>
            <w:vMerge w:val="restart"/>
          </w:tcPr>
          <w:p w14:paraId="19AC70E1" w14:textId="77777777" w:rsidR="008715BE" w:rsidRPr="00C96230" w:rsidRDefault="008715BE">
            <w:pPr>
              <w:pStyle w:val="TableParagraph"/>
              <w:rPr>
                <w:rFonts w:ascii="Verdana" w:hAnsi="Verdana"/>
                <w:sz w:val="18"/>
                <w:szCs w:val="18"/>
              </w:rPr>
            </w:pPr>
          </w:p>
        </w:tc>
        <w:tc>
          <w:tcPr>
            <w:tcW w:w="3149" w:type="dxa"/>
          </w:tcPr>
          <w:p w14:paraId="077331EC" w14:textId="77777777" w:rsidR="008715BE" w:rsidRPr="00C96230" w:rsidRDefault="008715BE">
            <w:pPr>
              <w:pStyle w:val="TableParagraph"/>
              <w:rPr>
                <w:rFonts w:ascii="Verdana" w:hAnsi="Verdana"/>
                <w:sz w:val="18"/>
                <w:szCs w:val="18"/>
              </w:rPr>
            </w:pPr>
          </w:p>
        </w:tc>
        <w:tc>
          <w:tcPr>
            <w:tcW w:w="1106" w:type="dxa"/>
          </w:tcPr>
          <w:p w14:paraId="694ED777" w14:textId="77777777" w:rsidR="008715BE" w:rsidRPr="00C96230" w:rsidRDefault="008715BE">
            <w:pPr>
              <w:pStyle w:val="TableParagraph"/>
              <w:rPr>
                <w:rFonts w:ascii="Verdana" w:hAnsi="Verdana"/>
                <w:sz w:val="18"/>
                <w:szCs w:val="18"/>
              </w:rPr>
            </w:pPr>
          </w:p>
        </w:tc>
        <w:tc>
          <w:tcPr>
            <w:tcW w:w="1108" w:type="dxa"/>
          </w:tcPr>
          <w:p w14:paraId="10ACDAEE" w14:textId="77777777" w:rsidR="008715BE" w:rsidRPr="00C96230" w:rsidRDefault="008715BE">
            <w:pPr>
              <w:pStyle w:val="TableParagraph"/>
              <w:rPr>
                <w:rFonts w:ascii="Verdana" w:hAnsi="Verdana"/>
                <w:sz w:val="18"/>
                <w:szCs w:val="18"/>
              </w:rPr>
            </w:pPr>
          </w:p>
        </w:tc>
        <w:tc>
          <w:tcPr>
            <w:tcW w:w="1211" w:type="dxa"/>
          </w:tcPr>
          <w:p w14:paraId="5257A91D" w14:textId="77777777" w:rsidR="008715BE" w:rsidRPr="00C96230" w:rsidRDefault="008715BE">
            <w:pPr>
              <w:pStyle w:val="TableParagraph"/>
              <w:rPr>
                <w:rFonts w:ascii="Verdana" w:hAnsi="Verdana"/>
                <w:sz w:val="18"/>
                <w:szCs w:val="18"/>
              </w:rPr>
            </w:pPr>
          </w:p>
        </w:tc>
        <w:tc>
          <w:tcPr>
            <w:tcW w:w="1389" w:type="dxa"/>
          </w:tcPr>
          <w:p w14:paraId="07FF9069" w14:textId="77777777" w:rsidR="008715BE" w:rsidRPr="00C96230" w:rsidRDefault="00000000">
            <w:pPr>
              <w:pStyle w:val="TableParagraph"/>
              <w:tabs>
                <w:tab w:val="left" w:pos="1213"/>
              </w:tabs>
              <w:spacing w:before="8"/>
              <w:ind w:left="108" w:right="90"/>
              <w:rPr>
                <w:rFonts w:ascii="Verdana" w:hAnsi="Verdana"/>
                <w:sz w:val="18"/>
                <w:szCs w:val="18"/>
              </w:rPr>
            </w:pPr>
            <w:r w:rsidRPr="00C96230">
              <w:rPr>
                <w:rFonts w:ascii="Verdana" w:hAnsi="Verdana"/>
                <w:sz w:val="18"/>
                <w:szCs w:val="18"/>
              </w:rPr>
              <w:t xml:space="preserve">Cerchezu, </w:t>
            </w:r>
            <w:r w:rsidRPr="00C96230">
              <w:rPr>
                <w:rFonts w:ascii="Verdana" w:hAnsi="Verdana"/>
                <w:spacing w:val="-2"/>
                <w:sz w:val="18"/>
                <w:szCs w:val="18"/>
              </w:rPr>
              <w:t>Constanța</w:t>
            </w:r>
            <w:r w:rsidRPr="00C96230">
              <w:rPr>
                <w:rFonts w:ascii="Verdana" w:hAnsi="Verdana"/>
                <w:sz w:val="18"/>
                <w:szCs w:val="18"/>
              </w:rPr>
              <w:t xml:space="preserve"> County (proposed) </w:t>
            </w:r>
            <w:r w:rsidRPr="00C96230">
              <w:rPr>
                <w:rFonts w:ascii="Verdana" w:hAnsi="Verdana"/>
                <w:spacing w:val="-2"/>
                <w:sz w:val="18"/>
                <w:szCs w:val="18"/>
              </w:rPr>
              <w:t>Comana Wind</w:t>
            </w:r>
            <w:r w:rsidRPr="00C96230">
              <w:rPr>
                <w:rFonts w:ascii="Verdana" w:hAnsi="Verdana"/>
                <w:sz w:val="18"/>
                <w:szCs w:val="18"/>
              </w:rPr>
              <w:t xml:space="preserve"> Farm</w:t>
            </w:r>
            <w:r w:rsidRPr="00C96230">
              <w:rPr>
                <w:rFonts w:ascii="Verdana" w:hAnsi="Verdana"/>
                <w:sz w:val="18"/>
                <w:szCs w:val="18"/>
              </w:rPr>
              <w:tab/>
              <w:t xml:space="preserve">- </w:t>
            </w:r>
            <w:r w:rsidRPr="00C96230">
              <w:rPr>
                <w:rFonts w:ascii="Verdana" w:hAnsi="Verdana"/>
                <w:spacing w:val="-2"/>
                <w:sz w:val="18"/>
                <w:szCs w:val="18"/>
              </w:rPr>
              <w:t xml:space="preserve">Pecineaga, Tătaru </w:t>
            </w:r>
            <w:r w:rsidRPr="00C96230">
              <w:rPr>
                <w:rFonts w:ascii="Verdana" w:hAnsi="Verdana"/>
                <w:sz w:val="18"/>
                <w:szCs w:val="18"/>
              </w:rPr>
              <w:t>built-up area</w:t>
            </w:r>
          </w:p>
          <w:p w14:paraId="7253BB92" w14:textId="77777777" w:rsidR="008715BE" w:rsidRPr="00C96230" w:rsidRDefault="00000000">
            <w:pPr>
              <w:pStyle w:val="TableParagraph"/>
              <w:tabs>
                <w:tab w:val="left" w:pos="487"/>
              </w:tabs>
              <w:ind w:left="108" w:right="94"/>
              <w:rPr>
                <w:rFonts w:ascii="Verdana" w:hAnsi="Verdana"/>
                <w:sz w:val="18"/>
                <w:szCs w:val="18"/>
              </w:rPr>
            </w:pPr>
            <w:r w:rsidRPr="00C96230">
              <w:rPr>
                <w:rFonts w:ascii="Verdana" w:hAnsi="Verdana"/>
                <w:spacing w:val="-6"/>
                <w:sz w:val="18"/>
                <w:szCs w:val="18"/>
              </w:rPr>
              <w:t>and</w:t>
            </w:r>
            <w:r w:rsidRPr="00C96230">
              <w:rPr>
                <w:rFonts w:ascii="Verdana" w:hAnsi="Verdana"/>
                <w:sz w:val="18"/>
                <w:szCs w:val="18"/>
              </w:rPr>
              <w:tab/>
            </w:r>
            <w:r w:rsidRPr="00C96230">
              <w:rPr>
                <w:rFonts w:ascii="Verdana" w:hAnsi="Verdana"/>
                <w:spacing w:val="-2"/>
                <w:sz w:val="18"/>
                <w:szCs w:val="18"/>
              </w:rPr>
              <w:t>outside the built-up area of Comana (proposed</w:t>
            </w:r>
          </w:p>
          <w:p w14:paraId="114FCF6C" w14:textId="77777777" w:rsidR="008715BE" w:rsidRPr="00C96230" w:rsidRDefault="00000000">
            <w:pPr>
              <w:pStyle w:val="TableParagraph"/>
              <w:tabs>
                <w:tab w:val="left" w:pos="806"/>
              </w:tabs>
              <w:ind w:left="108" w:right="94"/>
              <w:rPr>
                <w:rFonts w:ascii="Verdana" w:hAnsi="Verdana"/>
                <w:sz w:val="18"/>
                <w:szCs w:val="18"/>
              </w:rPr>
            </w:pPr>
            <w:r w:rsidRPr="00C96230">
              <w:rPr>
                <w:rFonts w:ascii="Verdana" w:hAnsi="Verdana"/>
                <w:spacing w:val="-4"/>
                <w:sz w:val="18"/>
                <w:szCs w:val="18"/>
              </w:rPr>
              <w:t>Karnobat Wind Farm</w:t>
            </w:r>
            <w:r w:rsidRPr="00C96230">
              <w:rPr>
                <w:rFonts w:ascii="Verdana" w:hAnsi="Verdana"/>
                <w:sz w:val="18"/>
                <w:szCs w:val="18"/>
              </w:rPr>
              <w:tab/>
            </w:r>
            <w:r w:rsidRPr="00C96230">
              <w:rPr>
                <w:rFonts w:ascii="Verdana" w:hAnsi="Verdana"/>
                <w:spacing w:val="-2"/>
                <w:sz w:val="18"/>
                <w:szCs w:val="18"/>
              </w:rPr>
              <w:t xml:space="preserve">Karnobat </w:t>
            </w:r>
            <w:r w:rsidRPr="00C96230">
              <w:rPr>
                <w:rFonts w:ascii="Verdana" w:hAnsi="Verdana"/>
                <w:spacing w:val="-6"/>
                <w:sz w:val="18"/>
                <w:szCs w:val="18"/>
              </w:rPr>
              <w:t xml:space="preserve">Wind Farm </w:t>
            </w:r>
            <w:r w:rsidRPr="00C96230">
              <w:rPr>
                <w:rFonts w:ascii="Verdana" w:hAnsi="Verdana"/>
                <w:spacing w:val="-2"/>
                <w:sz w:val="18"/>
                <w:szCs w:val="18"/>
              </w:rPr>
              <w:t>(existing</w:t>
            </w:r>
          </w:p>
        </w:tc>
        <w:tc>
          <w:tcPr>
            <w:tcW w:w="1201" w:type="dxa"/>
          </w:tcPr>
          <w:p w14:paraId="3DD50D9E" w14:textId="77777777" w:rsidR="008715BE" w:rsidRPr="00C96230" w:rsidRDefault="008715BE">
            <w:pPr>
              <w:pStyle w:val="TableParagraph"/>
              <w:rPr>
                <w:rFonts w:ascii="Verdana" w:hAnsi="Verdana"/>
                <w:sz w:val="18"/>
                <w:szCs w:val="18"/>
              </w:rPr>
            </w:pPr>
          </w:p>
        </w:tc>
        <w:tc>
          <w:tcPr>
            <w:tcW w:w="1736" w:type="dxa"/>
          </w:tcPr>
          <w:p w14:paraId="317846C2" w14:textId="77777777" w:rsidR="008715BE" w:rsidRPr="00C96230" w:rsidRDefault="008715BE">
            <w:pPr>
              <w:pStyle w:val="TableParagraph"/>
              <w:rPr>
                <w:rFonts w:ascii="Verdana" w:hAnsi="Verdana"/>
                <w:sz w:val="18"/>
                <w:szCs w:val="18"/>
              </w:rPr>
            </w:pPr>
          </w:p>
        </w:tc>
        <w:tc>
          <w:tcPr>
            <w:tcW w:w="1897" w:type="dxa"/>
          </w:tcPr>
          <w:p w14:paraId="6E3F4A94" w14:textId="77777777" w:rsidR="008715BE" w:rsidRPr="00C96230" w:rsidRDefault="008715BE">
            <w:pPr>
              <w:pStyle w:val="TableParagraph"/>
              <w:rPr>
                <w:rFonts w:ascii="Verdana" w:hAnsi="Verdana"/>
                <w:sz w:val="18"/>
                <w:szCs w:val="18"/>
              </w:rPr>
            </w:pPr>
          </w:p>
        </w:tc>
        <w:tc>
          <w:tcPr>
            <w:tcW w:w="3860" w:type="dxa"/>
          </w:tcPr>
          <w:p w14:paraId="0D1D0242" w14:textId="77777777" w:rsidR="008715BE" w:rsidRPr="00C96230" w:rsidRDefault="008715BE">
            <w:pPr>
              <w:pStyle w:val="TableParagraph"/>
              <w:rPr>
                <w:rFonts w:ascii="Verdana" w:hAnsi="Verdana"/>
                <w:sz w:val="18"/>
                <w:szCs w:val="18"/>
              </w:rPr>
            </w:pPr>
          </w:p>
        </w:tc>
        <w:tc>
          <w:tcPr>
            <w:tcW w:w="1889" w:type="dxa"/>
          </w:tcPr>
          <w:p w14:paraId="2CEC666F" w14:textId="77777777" w:rsidR="008715BE" w:rsidRPr="00C96230" w:rsidRDefault="008715BE">
            <w:pPr>
              <w:pStyle w:val="TableParagraph"/>
              <w:rPr>
                <w:rFonts w:ascii="Verdana" w:hAnsi="Verdana"/>
                <w:sz w:val="18"/>
                <w:szCs w:val="18"/>
              </w:rPr>
            </w:pPr>
          </w:p>
        </w:tc>
      </w:tr>
      <w:tr w:rsidR="008715BE" w:rsidRPr="00C96230" w14:paraId="6976E930" w14:textId="77777777">
        <w:trPr>
          <w:trHeight w:val="8362"/>
        </w:trPr>
        <w:tc>
          <w:tcPr>
            <w:tcW w:w="523" w:type="dxa"/>
            <w:vMerge/>
            <w:tcBorders>
              <w:top w:val="nil"/>
            </w:tcBorders>
          </w:tcPr>
          <w:p w14:paraId="3A12F657" w14:textId="77777777" w:rsidR="008715BE" w:rsidRPr="00C96230" w:rsidRDefault="008715BE">
            <w:pPr>
              <w:rPr>
                <w:rFonts w:ascii="Verdana" w:hAnsi="Verdana"/>
                <w:sz w:val="18"/>
                <w:szCs w:val="18"/>
              </w:rPr>
            </w:pPr>
          </w:p>
        </w:tc>
        <w:tc>
          <w:tcPr>
            <w:tcW w:w="2323" w:type="dxa"/>
            <w:vMerge/>
            <w:tcBorders>
              <w:top w:val="nil"/>
            </w:tcBorders>
          </w:tcPr>
          <w:p w14:paraId="04812BA5" w14:textId="77777777" w:rsidR="008715BE" w:rsidRPr="00C96230" w:rsidRDefault="008715BE">
            <w:pPr>
              <w:rPr>
                <w:rFonts w:ascii="Verdana" w:hAnsi="Verdana"/>
                <w:sz w:val="18"/>
                <w:szCs w:val="18"/>
              </w:rPr>
            </w:pPr>
          </w:p>
        </w:tc>
        <w:tc>
          <w:tcPr>
            <w:tcW w:w="3149" w:type="dxa"/>
          </w:tcPr>
          <w:p w14:paraId="6A7409B8" w14:textId="77777777" w:rsidR="008715BE" w:rsidRPr="00C96230" w:rsidRDefault="00000000">
            <w:pPr>
              <w:pStyle w:val="TableParagraph"/>
              <w:spacing w:before="8"/>
              <w:ind w:left="108" w:right="93"/>
              <w:jc w:val="both"/>
              <w:rPr>
                <w:rFonts w:ascii="Verdana" w:hAnsi="Verdana"/>
                <w:sz w:val="18"/>
                <w:szCs w:val="18"/>
              </w:rPr>
            </w:pPr>
            <w:r w:rsidRPr="00C96230">
              <w:rPr>
                <w:rFonts w:ascii="Verdana" w:hAnsi="Verdana"/>
                <w:sz w:val="18"/>
                <w:szCs w:val="18"/>
              </w:rPr>
              <w:t xml:space="preserve">Sudden change in pressure within the range of the turbine blades, but also below this (approx. 5 m) - </w:t>
            </w:r>
            <w:r w:rsidRPr="00C96230">
              <w:rPr>
                <w:rFonts w:ascii="Verdana" w:hAnsi="Verdana"/>
                <w:spacing w:val="-2"/>
                <w:sz w:val="18"/>
                <w:szCs w:val="18"/>
              </w:rPr>
              <w:t>barotrauma</w:t>
            </w:r>
          </w:p>
        </w:tc>
        <w:tc>
          <w:tcPr>
            <w:tcW w:w="1106" w:type="dxa"/>
          </w:tcPr>
          <w:p w14:paraId="00A5BB34" w14:textId="77777777" w:rsidR="008715BE" w:rsidRPr="00C96230" w:rsidRDefault="00000000">
            <w:pPr>
              <w:pStyle w:val="TableParagraph"/>
              <w:spacing w:before="8"/>
              <w:ind w:left="108"/>
              <w:rPr>
                <w:rFonts w:ascii="Verdana" w:hAnsi="Verdana"/>
                <w:sz w:val="18"/>
                <w:szCs w:val="18"/>
              </w:rPr>
            </w:pPr>
            <w:r w:rsidRPr="00C96230">
              <w:rPr>
                <w:rFonts w:ascii="Verdana" w:hAnsi="Verdana"/>
                <w:spacing w:val="-5"/>
                <w:sz w:val="18"/>
                <w:szCs w:val="18"/>
              </w:rPr>
              <w:t>REP</w:t>
            </w:r>
          </w:p>
        </w:tc>
        <w:tc>
          <w:tcPr>
            <w:tcW w:w="1108" w:type="dxa"/>
          </w:tcPr>
          <w:p w14:paraId="710B67D2" w14:textId="77777777" w:rsidR="008715BE" w:rsidRPr="00C96230" w:rsidRDefault="00000000">
            <w:pPr>
              <w:pStyle w:val="TableParagraph"/>
              <w:spacing w:before="8"/>
              <w:ind w:left="109" w:right="88"/>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indirect impacts identified</w:t>
            </w:r>
          </w:p>
        </w:tc>
        <w:tc>
          <w:tcPr>
            <w:tcW w:w="1211" w:type="dxa"/>
          </w:tcPr>
          <w:p w14:paraId="5D9ACA64" w14:textId="77777777" w:rsidR="008715BE" w:rsidRPr="00C96230" w:rsidRDefault="00000000">
            <w:pPr>
              <w:pStyle w:val="TableParagraph"/>
              <w:spacing w:before="8"/>
              <w:ind w:left="107"/>
              <w:rPr>
                <w:rFonts w:ascii="Verdana" w:hAnsi="Verdana"/>
                <w:sz w:val="18"/>
                <w:szCs w:val="18"/>
              </w:rPr>
            </w:pPr>
            <w:r w:rsidRPr="00C96230">
              <w:rPr>
                <w:rFonts w:ascii="Verdana" w:hAnsi="Verdana"/>
                <w:sz w:val="18"/>
                <w:szCs w:val="18"/>
              </w:rPr>
              <w:t xml:space="preserve">No </w:t>
            </w:r>
            <w:r w:rsidRPr="00C96230">
              <w:rPr>
                <w:rFonts w:ascii="Verdana" w:hAnsi="Verdana"/>
                <w:spacing w:val="-2"/>
                <w:sz w:val="18"/>
                <w:szCs w:val="18"/>
              </w:rPr>
              <w:t>secondary impacts identified</w:t>
            </w:r>
          </w:p>
        </w:tc>
        <w:tc>
          <w:tcPr>
            <w:tcW w:w="1389" w:type="dxa"/>
          </w:tcPr>
          <w:p w14:paraId="16534150" w14:textId="77777777" w:rsidR="008715BE" w:rsidRPr="00C96230" w:rsidRDefault="00000000">
            <w:pPr>
              <w:pStyle w:val="TableParagraph"/>
              <w:tabs>
                <w:tab w:val="left" w:pos="806"/>
              </w:tabs>
              <w:spacing w:before="8"/>
              <w:ind w:left="108" w:right="90" w:firstLine="57"/>
              <w:rPr>
                <w:rFonts w:ascii="Verdana" w:hAnsi="Verdana"/>
                <w:sz w:val="18"/>
                <w:szCs w:val="18"/>
              </w:rPr>
            </w:pPr>
            <w:r w:rsidRPr="00C96230">
              <w:rPr>
                <w:rFonts w:ascii="Verdana" w:hAnsi="Verdana"/>
                <w:sz w:val="18"/>
                <w:szCs w:val="18"/>
              </w:rPr>
              <w:t>Cumulative</w:t>
            </w:r>
            <w:r w:rsidRPr="00C96230">
              <w:rPr>
                <w:rFonts w:ascii="Verdana" w:hAnsi="Verdana"/>
                <w:spacing w:val="-2"/>
                <w:sz w:val="18"/>
                <w:szCs w:val="18"/>
              </w:rPr>
              <w:t xml:space="preserve"> </w:t>
            </w:r>
            <w:r w:rsidRPr="00C96230">
              <w:rPr>
                <w:rFonts w:ascii="Verdana" w:hAnsi="Verdana"/>
                <w:spacing w:val="-4"/>
                <w:sz w:val="18"/>
                <w:szCs w:val="18"/>
              </w:rPr>
              <w:t xml:space="preserve">impact </w:t>
            </w:r>
            <w:r w:rsidRPr="00C96230">
              <w:rPr>
                <w:rFonts w:ascii="Verdana" w:hAnsi="Verdana"/>
                <w:sz w:val="18"/>
                <w:szCs w:val="18"/>
              </w:rPr>
              <w:t>with:</w:t>
            </w:r>
            <w:r w:rsidRPr="00C96230">
              <w:rPr>
                <w:rFonts w:ascii="Verdana" w:hAnsi="Verdana"/>
                <w:sz w:val="18"/>
                <w:szCs w:val="18"/>
              </w:rPr>
              <w:tab/>
            </w:r>
            <w:r w:rsidRPr="00C96230">
              <w:rPr>
                <w:rFonts w:ascii="Verdana" w:hAnsi="Verdana"/>
                <w:spacing w:val="-2"/>
                <w:sz w:val="18"/>
                <w:szCs w:val="18"/>
              </w:rPr>
              <w:t xml:space="preserve">Chirnogeni (existing) </w:t>
            </w:r>
            <w:r w:rsidRPr="00C96230">
              <w:rPr>
                <w:rFonts w:ascii="Verdana" w:hAnsi="Verdana"/>
                <w:sz w:val="18"/>
                <w:szCs w:val="18"/>
              </w:rPr>
              <w:t xml:space="preserve">Wind </w:t>
            </w:r>
            <w:r w:rsidRPr="00C96230">
              <w:rPr>
                <w:rFonts w:ascii="Verdana" w:hAnsi="Verdana"/>
                <w:spacing w:val="-2"/>
                <w:sz w:val="18"/>
                <w:szCs w:val="18"/>
              </w:rPr>
              <w:t>farm</w:t>
            </w:r>
            <w:r w:rsidRPr="00C96230">
              <w:rPr>
                <w:rFonts w:ascii="Verdana" w:hAnsi="Verdana"/>
                <w:sz w:val="18"/>
                <w:szCs w:val="18"/>
              </w:rPr>
              <w:t xml:space="preserve"> 14 </w:t>
            </w:r>
            <w:r w:rsidRPr="00C96230">
              <w:rPr>
                <w:rFonts w:ascii="Verdana" w:hAnsi="Verdana"/>
                <w:spacing w:val="-5"/>
                <w:sz w:val="18"/>
                <w:szCs w:val="18"/>
              </w:rPr>
              <w:t>CE-</w:t>
            </w:r>
          </w:p>
          <w:p w14:paraId="12FD4B85" w14:textId="77777777" w:rsidR="008715BE" w:rsidRPr="00C96230" w:rsidRDefault="00000000">
            <w:pPr>
              <w:pStyle w:val="TableParagraph"/>
              <w:tabs>
                <w:tab w:val="left" w:pos="931"/>
              </w:tabs>
              <w:spacing w:line="188" w:lineRule="exact"/>
              <w:ind w:left="108"/>
              <w:rPr>
                <w:rFonts w:ascii="Verdana" w:hAnsi="Verdana"/>
                <w:sz w:val="18"/>
                <w:szCs w:val="18"/>
              </w:rPr>
            </w:pPr>
            <w:r w:rsidRPr="00C96230">
              <w:rPr>
                <w:rFonts w:ascii="Verdana" w:hAnsi="Verdana"/>
                <w:spacing w:val="-4"/>
                <w:sz w:val="18"/>
                <w:szCs w:val="18"/>
              </w:rPr>
              <w:t>92.4</w:t>
            </w:r>
            <w:r w:rsidRPr="00C96230">
              <w:rPr>
                <w:rFonts w:ascii="Verdana" w:hAnsi="Verdana"/>
                <w:sz w:val="18"/>
                <w:szCs w:val="18"/>
              </w:rPr>
              <w:tab/>
            </w:r>
            <w:r w:rsidRPr="00C96230">
              <w:rPr>
                <w:rFonts w:ascii="Verdana" w:hAnsi="Verdana"/>
                <w:spacing w:val="-5"/>
                <w:sz w:val="18"/>
                <w:szCs w:val="18"/>
              </w:rPr>
              <w:t>MW,</w:t>
            </w:r>
          </w:p>
          <w:p w14:paraId="1A46DC4D"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 xml:space="preserve">modernization </w:t>
            </w:r>
            <w:r w:rsidRPr="00C96230">
              <w:rPr>
                <w:rFonts w:ascii="Verdana" w:hAnsi="Verdana"/>
                <w:spacing w:val="-5"/>
                <w:sz w:val="18"/>
                <w:szCs w:val="18"/>
              </w:rPr>
              <w:t>of</w:t>
            </w:r>
            <w:r w:rsidRPr="00C96230">
              <w:rPr>
                <w:rFonts w:ascii="Verdana" w:hAnsi="Verdana"/>
                <w:sz w:val="18"/>
                <w:szCs w:val="18"/>
              </w:rPr>
              <w:tab/>
            </w:r>
            <w:r w:rsidRPr="00C96230">
              <w:rPr>
                <w:rFonts w:ascii="Verdana" w:hAnsi="Verdana"/>
                <w:spacing w:val="-8"/>
                <w:sz w:val="18"/>
                <w:szCs w:val="18"/>
              </w:rPr>
              <w:t>and</w:t>
            </w:r>
          </w:p>
          <w:p w14:paraId="2B7E252E" w14:textId="77777777" w:rsidR="008715BE" w:rsidRPr="00C96230" w:rsidRDefault="00000000">
            <w:pPr>
              <w:pStyle w:val="TableParagraph"/>
              <w:spacing w:line="188" w:lineRule="exact"/>
              <w:ind w:left="108"/>
              <w:rPr>
                <w:rFonts w:ascii="Verdana" w:hAnsi="Verdana"/>
                <w:sz w:val="18"/>
                <w:szCs w:val="18"/>
              </w:rPr>
            </w:pPr>
            <w:r w:rsidRPr="00C96230">
              <w:rPr>
                <w:rFonts w:ascii="Verdana" w:hAnsi="Verdana"/>
                <w:spacing w:val="-5"/>
                <w:sz w:val="18"/>
                <w:szCs w:val="18"/>
              </w:rPr>
              <w:t>and</w:t>
            </w:r>
          </w:p>
          <w:p w14:paraId="216519D3"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3E9C6B66" w14:textId="77777777" w:rsidR="008715BE" w:rsidRPr="00C96230" w:rsidRDefault="00000000">
            <w:pPr>
              <w:pStyle w:val="TableParagraph"/>
              <w:ind w:left="108" w:right="84"/>
              <w:rPr>
                <w:rFonts w:ascii="Verdana" w:hAnsi="Verdana"/>
                <w:sz w:val="18"/>
                <w:szCs w:val="18"/>
              </w:rPr>
            </w:pPr>
            <w:r w:rsidRPr="00C96230">
              <w:rPr>
                <w:rFonts w:ascii="Verdana" w:hAnsi="Verdana"/>
                <w:spacing w:val="-2"/>
                <w:sz w:val="18"/>
                <w:szCs w:val="18"/>
              </w:rPr>
              <w:t xml:space="preserve">outside the town limits of Fântana Mare, </w:t>
            </w:r>
            <w:r w:rsidRPr="00C96230">
              <w:rPr>
                <w:rFonts w:ascii="Verdana" w:hAnsi="Verdana"/>
                <w:spacing w:val="-4"/>
                <w:sz w:val="18"/>
                <w:szCs w:val="18"/>
              </w:rPr>
              <w:t>commune of</w:t>
            </w:r>
          </w:p>
          <w:p w14:paraId="11D1074B" w14:textId="77777777" w:rsidR="008715BE" w:rsidRPr="00C96230" w:rsidRDefault="00000000">
            <w:pPr>
              <w:pStyle w:val="TableParagraph"/>
              <w:ind w:left="108" w:right="94"/>
              <w:jc w:val="both"/>
              <w:rPr>
                <w:rFonts w:ascii="Verdana" w:hAnsi="Verdana"/>
                <w:sz w:val="18"/>
                <w:szCs w:val="18"/>
              </w:rPr>
            </w:pPr>
            <w:r w:rsidRPr="00C96230">
              <w:rPr>
                <w:rFonts w:ascii="Verdana" w:hAnsi="Verdana"/>
                <w:spacing w:val="-2"/>
                <w:sz w:val="18"/>
                <w:szCs w:val="18"/>
              </w:rPr>
              <w:t>Constanța County (proposed) Wind farm 17 CE-1100, Constanța County</w:t>
            </w:r>
          </w:p>
          <w:p w14:paraId="1B11768E" w14:textId="77777777" w:rsidR="008715BE" w:rsidRPr="00C96230" w:rsidRDefault="00000000">
            <w:pPr>
              <w:pStyle w:val="TableParagraph"/>
              <w:ind w:left="108" w:right="90"/>
              <w:jc w:val="both"/>
              <w:rPr>
                <w:rFonts w:ascii="Verdana" w:hAnsi="Verdana"/>
                <w:sz w:val="18"/>
                <w:szCs w:val="18"/>
              </w:rPr>
            </w:pPr>
            <w:r w:rsidRPr="00C96230">
              <w:rPr>
                <w:rFonts w:ascii="Verdana" w:hAnsi="Verdana"/>
                <w:sz w:val="18"/>
                <w:szCs w:val="18"/>
              </w:rPr>
              <w:t xml:space="preserve">Wind </w:t>
            </w:r>
            <w:r w:rsidRPr="00C96230">
              <w:rPr>
                <w:rFonts w:ascii="Verdana" w:hAnsi="Verdana"/>
                <w:spacing w:val="-12"/>
                <w:sz w:val="18"/>
                <w:szCs w:val="18"/>
              </w:rPr>
              <w:t>farm</w:t>
            </w:r>
            <w:r w:rsidRPr="00C96230">
              <w:rPr>
                <w:rFonts w:ascii="Verdana" w:hAnsi="Verdana"/>
                <w:sz w:val="18"/>
                <w:szCs w:val="18"/>
              </w:rPr>
              <w:t xml:space="preserve"> 17 </w:t>
            </w:r>
            <w:r w:rsidRPr="00C96230">
              <w:rPr>
                <w:rFonts w:ascii="Verdana" w:hAnsi="Verdana"/>
                <w:spacing w:val="-5"/>
                <w:sz w:val="18"/>
                <w:szCs w:val="18"/>
              </w:rPr>
              <w:t>CE-</w:t>
            </w:r>
          </w:p>
          <w:p w14:paraId="07FDE2CE" w14:textId="77777777" w:rsidR="008715BE" w:rsidRPr="00C96230" w:rsidRDefault="00000000">
            <w:pPr>
              <w:pStyle w:val="TableParagraph"/>
              <w:spacing w:line="193" w:lineRule="exact"/>
              <w:ind w:left="108"/>
              <w:jc w:val="both"/>
              <w:rPr>
                <w:rFonts w:ascii="Verdana" w:hAnsi="Verdana"/>
                <w:sz w:val="18"/>
                <w:szCs w:val="18"/>
              </w:rPr>
            </w:pPr>
            <w:r w:rsidRPr="00C96230">
              <w:rPr>
                <w:rFonts w:ascii="Verdana" w:hAnsi="Verdana"/>
                <w:sz w:val="18"/>
                <w:szCs w:val="18"/>
              </w:rPr>
              <w:t>112.2</w:t>
            </w:r>
            <w:r w:rsidRPr="00C96230">
              <w:rPr>
                <w:rFonts w:ascii="Verdana" w:hAnsi="Verdana"/>
                <w:spacing w:val="76"/>
                <w:sz w:val="18"/>
                <w:szCs w:val="18"/>
              </w:rPr>
              <w:t xml:space="preserve">   </w:t>
            </w:r>
            <w:r w:rsidRPr="00C96230">
              <w:rPr>
                <w:rFonts w:ascii="Verdana" w:hAnsi="Verdana"/>
                <w:spacing w:val="-5"/>
                <w:sz w:val="18"/>
                <w:szCs w:val="18"/>
              </w:rPr>
              <w:t xml:space="preserve"> MW,</w:t>
            </w:r>
          </w:p>
          <w:p w14:paraId="31F2BBAC" w14:textId="77777777" w:rsidR="008715BE" w:rsidRPr="00C96230" w:rsidRDefault="00000000">
            <w:pPr>
              <w:pStyle w:val="TableParagraph"/>
              <w:tabs>
                <w:tab w:val="left" w:pos="1086"/>
              </w:tabs>
              <w:ind w:left="108" w:right="92"/>
              <w:rPr>
                <w:rFonts w:ascii="Verdana" w:hAnsi="Verdana"/>
                <w:sz w:val="18"/>
                <w:szCs w:val="18"/>
              </w:rPr>
            </w:pPr>
            <w:r w:rsidRPr="00C96230">
              <w:rPr>
                <w:rFonts w:ascii="Verdana" w:hAnsi="Verdana"/>
                <w:spacing w:val="-2"/>
                <w:sz w:val="18"/>
                <w:szCs w:val="18"/>
              </w:rPr>
              <w:t xml:space="preserve">transformer </w:t>
            </w:r>
            <w:r w:rsidRPr="00C96230">
              <w:rPr>
                <w:rFonts w:ascii="Verdana" w:hAnsi="Verdana"/>
                <w:sz w:val="18"/>
                <w:szCs w:val="18"/>
              </w:rPr>
              <w:t>station</w:t>
            </w:r>
            <w:r w:rsidRPr="00C96230">
              <w:rPr>
                <w:rFonts w:ascii="Verdana" w:hAnsi="Verdana"/>
                <w:spacing w:val="-2"/>
                <w:sz w:val="18"/>
                <w:szCs w:val="18"/>
              </w:rPr>
              <w:t>, electrical networks</w:t>
            </w:r>
            <w:r w:rsidRPr="00C96230">
              <w:rPr>
                <w:rFonts w:ascii="Verdana" w:hAnsi="Verdana"/>
                <w:sz w:val="18"/>
                <w:szCs w:val="18"/>
              </w:rPr>
              <w:tab/>
            </w:r>
            <w:r w:rsidRPr="00C96230">
              <w:rPr>
                <w:rFonts w:ascii="Verdana" w:hAnsi="Verdana"/>
                <w:spacing w:val="-36"/>
                <w:sz w:val="18"/>
                <w:szCs w:val="18"/>
              </w:rPr>
              <w:t xml:space="preserve"> </w:t>
            </w:r>
            <w:r w:rsidRPr="00C96230">
              <w:rPr>
                <w:rFonts w:ascii="Verdana" w:hAnsi="Verdana"/>
                <w:spacing w:val="-2"/>
                <w:sz w:val="18"/>
                <w:szCs w:val="18"/>
              </w:rPr>
              <w:t>connection</w:t>
            </w:r>
            <w:r w:rsidRPr="00C96230">
              <w:rPr>
                <w:rFonts w:ascii="Verdana" w:hAnsi="Verdana"/>
                <w:spacing w:val="-8"/>
                <w:sz w:val="18"/>
                <w:szCs w:val="18"/>
              </w:rPr>
              <w:t xml:space="preserve"> </w:t>
            </w:r>
            <w:r w:rsidRPr="00C96230">
              <w:rPr>
                <w:rFonts w:ascii="Verdana" w:hAnsi="Verdana"/>
                <w:spacing w:val="-5"/>
                <w:sz w:val="18"/>
                <w:szCs w:val="18"/>
              </w:rPr>
              <w:t>networks</w:t>
            </w:r>
            <w:r w:rsidRPr="00C96230">
              <w:rPr>
                <w:rFonts w:ascii="Verdana" w:hAnsi="Verdana"/>
                <w:spacing w:val="-2"/>
                <w:sz w:val="18"/>
                <w:szCs w:val="18"/>
              </w:rPr>
              <w:t xml:space="preserve">, </w:t>
            </w:r>
            <w:r w:rsidRPr="00C96230">
              <w:rPr>
                <w:rFonts w:ascii="Verdana" w:hAnsi="Verdana"/>
                <w:sz w:val="18"/>
                <w:szCs w:val="18"/>
              </w:rPr>
              <w:t xml:space="preserve">construction and </w:t>
            </w:r>
            <w:r w:rsidRPr="00C96230">
              <w:rPr>
                <w:rFonts w:ascii="Verdana" w:hAnsi="Verdana"/>
                <w:spacing w:val="-2"/>
                <w:sz w:val="18"/>
                <w:szCs w:val="18"/>
              </w:rPr>
              <w:t>modernization of</w:t>
            </w:r>
            <w:r w:rsidRPr="00C96230">
              <w:rPr>
                <w:rFonts w:ascii="Verdana" w:hAnsi="Verdana"/>
                <w:sz w:val="18"/>
                <w:szCs w:val="18"/>
              </w:rPr>
              <w:tab/>
            </w:r>
            <w:r w:rsidRPr="00C96230">
              <w:rPr>
                <w:rFonts w:ascii="Verdana" w:hAnsi="Verdana"/>
                <w:spacing w:val="-8"/>
                <w:sz w:val="18"/>
                <w:szCs w:val="18"/>
              </w:rPr>
              <w:t>of</w:t>
            </w:r>
          </w:p>
          <w:p w14:paraId="48169039" w14:textId="77777777" w:rsidR="008715BE" w:rsidRPr="00C96230" w:rsidRDefault="00000000">
            <w:pPr>
              <w:pStyle w:val="TableParagraph"/>
              <w:spacing w:line="191" w:lineRule="exact"/>
              <w:ind w:left="108"/>
              <w:rPr>
                <w:rFonts w:ascii="Verdana" w:hAnsi="Verdana"/>
                <w:sz w:val="18"/>
                <w:szCs w:val="18"/>
              </w:rPr>
            </w:pPr>
            <w:r w:rsidRPr="00C96230">
              <w:rPr>
                <w:rFonts w:ascii="Verdana" w:hAnsi="Verdana"/>
                <w:spacing w:val="-5"/>
                <w:sz w:val="18"/>
                <w:szCs w:val="18"/>
              </w:rPr>
              <w:t>and</w:t>
            </w:r>
          </w:p>
          <w:p w14:paraId="24A7B346" w14:textId="77777777" w:rsidR="008715BE" w:rsidRPr="00C96230" w:rsidRDefault="00000000">
            <w:pPr>
              <w:pStyle w:val="TableParagraph"/>
              <w:tabs>
                <w:tab w:val="left" w:pos="1213"/>
              </w:tabs>
              <w:spacing w:line="194" w:lineRule="exact"/>
              <w:ind w:left="108"/>
              <w:rPr>
                <w:rFonts w:ascii="Verdana" w:hAnsi="Verdana"/>
                <w:sz w:val="18"/>
                <w:szCs w:val="18"/>
              </w:rPr>
            </w:pPr>
            <w:r w:rsidRPr="00C96230">
              <w:rPr>
                <w:rFonts w:ascii="Verdana" w:hAnsi="Verdana"/>
                <w:spacing w:val="-2"/>
                <w:sz w:val="18"/>
                <w:szCs w:val="18"/>
              </w:rPr>
              <w:t>access</w:t>
            </w:r>
            <w:r w:rsidRPr="00C96230">
              <w:rPr>
                <w:rFonts w:ascii="Verdana" w:hAnsi="Verdana"/>
                <w:sz w:val="18"/>
                <w:szCs w:val="18"/>
              </w:rPr>
              <w:tab/>
              <w:t>-</w:t>
            </w:r>
          </w:p>
          <w:p w14:paraId="509552BB" w14:textId="77777777" w:rsidR="008715BE" w:rsidRPr="00C96230" w:rsidRDefault="00000000">
            <w:pPr>
              <w:pStyle w:val="TableParagraph"/>
              <w:ind w:left="108" w:right="469"/>
              <w:rPr>
                <w:rFonts w:ascii="Verdana" w:hAnsi="Verdana"/>
                <w:sz w:val="18"/>
                <w:szCs w:val="18"/>
              </w:rPr>
            </w:pPr>
            <w:r w:rsidRPr="00C96230">
              <w:rPr>
                <w:rFonts w:ascii="Verdana" w:hAnsi="Verdana"/>
                <w:spacing w:val="-2"/>
                <w:sz w:val="18"/>
                <w:szCs w:val="18"/>
              </w:rPr>
              <w:t xml:space="preserve">outside </w:t>
            </w:r>
            <w:r w:rsidRPr="00C96230">
              <w:rPr>
                <w:rFonts w:ascii="Verdana" w:hAnsi="Verdana"/>
                <w:spacing w:val="-4"/>
                <w:sz w:val="18"/>
                <w:szCs w:val="18"/>
              </w:rPr>
              <w:t>the built-up area of</w:t>
            </w:r>
          </w:p>
          <w:p w14:paraId="0B93A2A8" w14:textId="77777777" w:rsidR="008715BE" w:rsidRPr="00C96230" w:rsidRDefault="00000000">
            <w:pPr>
              <w:pStyle w:val="TableParagraph"/>
              <w:tabs>
                <w:tab w:val="left" w:pos="888"/>
              </w:tabs>
              <w:ind w:left="108" w:right="91"/>
              <w:rPr>
                <w:rFonts w:ascii="Verdana" w:hAnsi="Verdana"/>
                <w:sz w:val="18"/>
                <w:szCs w:val="18"/>
              </w:rPr>
            </w:pPr>
            <w:r w:rsidRPr="00C96230">
              <w:rPr>
                <w:rFonts w:ascii="Verdana" w:hAnsi="Verdana"/>
                <w:spacing w:val="-2"/>
                <w:sz w:val="18"/>
                <w:szCs w:val="18"/>
              </w:rPr>
              <w:t xml:space="preserve">Independența </w:t>
            </w:r>
            <w:r w:rsidRPr="00C96230">
              <w:rPr>
                <w:rFonts w:ascii="Verdana" w:hAnsi="Verdana"/>
                <w:spacing w:val="-5"/>
                <w:sz w:val="18"/>
                <w:szCs w:val="18"/>
              </w:rPr>
              <w:t>and</w:t>
            </w:r>
            <w:r w:rsidRPr="00C96230">
              <w:rPr>
                <w:rFonts w:ascii="Verdana" w:hAnsi="Verdana"/>
                <w:sz w:val="18"/>
                <w:szCs w:val="18"/>
              </w:rPr>
              <w:tab/>
            </w:r>
            <w:r w:rsidRPr="00C96230">
              <w:rPr>
                <w:rFonts w:ascii="Verdana" w:hAnsi="Verdana"/>
                <w:spacing w:val="-4"/>
                <w:sz w:val="18"/>
                <w:szCs w:val="18"/>
              </w:rPr>
              <w:t>commune</w:t>
            </w:r>
          </w:p>
          <w:p w14:paraId="39D3CEE3" w14:textId="77777777" w:rsidR="008715BE" w:rsidRPr="00C96230" w:rsidRDefault="00000000">
            <w:pPr>
              <w:pStyle w:val="TableParagraph"/>
              <w:spacing w:line="193" w:lineRule="exact"/>
              <w:ind w:left="108"/>
              <w:rPr>
                <w:rFonts w:ascii="Verdana" w:hAnsi="Verdana"/>
                <w:sz w:val="18"/>
                <w:szCs w:val="18"/>
              </w:rPr>
            </w:pPr>
            <w:r w:rsidRPr="00C96230">
              <w:rPr>
                <w:rFonts w:ascii="Verdana" w:hAnsi="Verdana"/>
                <w:sz w:val="18"/>
                <w:szCs w:val="18"/>
              </w:rPr>
              <w:t xml:space="preserve">Cerchezu </w:t>
            </w:r>
            <w:r w:rsidRPr="00C96230">
              <w:rPr>
                <w:rFonts w:ascii="Verdana" w:hAnsi="Verdana"/>
                <w:spacing w:val="-4"/>
                <w:sz w:val="18"/>
                <w:szCs w:val="18"/>
              </w:rPr>
              <w:t>county</w:t>
            </w:r>
          </w:p>
          <w:p w14:paraId="0DB4BBBA" w14:textId="77777777" w:rsidR="008715BE" w:rsidRPr="00C96230" w:rsidRDefault="00000000">
            <w:pPr>
              <w:pStyle w:val="TableParagraph"/>
              <w:spacing w:line="165" w:lineRule="exact"/>
              <w:ind w:left="108"/>
              <w:rPr>
                <w:rFonts w:ascii="Verdana" w:hAnsi="Verdana"/>
                <w:sz w:val="18"/>
                <w:szCs w:val="18"/>
              </w:rPr>
            </w:pPr>
            <w:r w:rsidRPr="00C96230">
              <w:rPr>
                <w:rFonts w:ascii="Verdana" w:hAnsi="Verdana"/>
                <w:spacing w:val="-2"/>
                <w:sz w:val="18"/>
                <w:szCs w:val="18"/>
              </w:rPr>
              <w:t>Constanța</w:t>
            </w:r>
          </w:p>
        </w:tc>
        <w:tc>
          <w:tcPr>
            <w:tcW w:w="1201" w:type="dxa"/>
          </w:tcPr>
          <w:p w14:paraId="69927934" w14:textId="77777777" w:rsidR="008715BE" w:rsidRPr="00C96230" w:rsidRDefault="008715BE">
            <w:pPr>
              <w:pStyle w:val="TableParagraph"/>
              <w:rPr>
                <w:rFonts w:ascii="Verdana" w:hAnsi="Verdana"/>
                <w:sz w:val="18"/>
                <w:szCs w:val="18"/>
              </w:rPr>
            </w:pPr>
          </w:p>
        </w:tc>
        <w:tc>
          <w:tcPr>
            <w:tcW w:w="1736" w:type="dxa"/>
          </w:tcPr>
          <w:p w14:paraId="3340A74B" w14:textId="77777777" w:rsidR="008715BE" w:rsidRPr="00C96230" w:rsidRDefault="00000000">
            <w:pPr>
              <w:pStyle w:val="TableParagraph"/>
              <w:spacing w:before="8"/>
              <w:ind w:left="111" w:right="72"/>
              <w:rPr>
                <w:rFonts w:ascii="Verdana" w:hAnsi="Verdana"/>
                <w:i/>
                <w:sz w:val="18"/>
                <w:szCs w:val="18"/>
              </w:rPr>
            </w:pPr>
            <w:r w:rsidRPr="00C96230">
              <w:rPr>
                <w:rFonts w:ascii="Verdana" w:hAnsi="Verdana"/>
                <w:i/>
                <w:spacing w:val="-2"/>
                <w:sz w:val="18"/>
                <w:szCs w:val="18"/>
              </w:rPr>
              <w:t xml:space="preserve">Rhinolophus mehelyi Rhinolophus hipposideros Rhinolophus ferrumequinum Rhinolophus euryale </w:t>
            </w:r>
            <w:r w:rsidRPr="00C96230">
              <w:rPr>
                <w:rFonts w:ascii="Verdana" w:hAnsi="Verdana"/>
                <w:i/>
                <w:sz w:val="18"/>
                <w:szCs w:val="18"/>
              </w:rPr>
              <w:t xml:space="preserve">Rhinolophus blasii </w:t>
            </w:r>
            <w:r w:rsidRPr="00C96230">
              <w:rPr>
                <w:rFonts w:ascii="Verdana" w:hAnsi="Verdana"/>
                <w:i/>
                <w:spacing w:val="-2"/>
                <w:sz w:val="18"/>
                <w:szCs w:val="18"/>
              </w:rPr>
              <w:t>Miniopterus schreibersii</w:t>
            </w:r>
          </w:p>
          <w:p w14:paraId="525EB532" w14:textId="77777777" w:rsidR="008715BE" w:rsidRPr="00C96230" w:rsidRDefault="00000000">
            <w:pPr>
              <w:pStyle w:val="TableParagraph"/>
              <w:tabs>
                <w:tab w:val="left" w:pos="859"/>
                <w:tab w:val="left" w:pos="1097"/>
                <w:tab w:val="left" w:pos="1142"/>
              </w:tabs>
              <w:ind w:left="111" w:right="89"/>
              <w:rPr>
                <w:rFonts w:ascii="Verdana" w:hAnsi="Verdana"/>
                <w:i/>
                <w:sz w:val="18"/>
                <w:szCs w:val="18"/>
              </w:rPr>
            </w:pPr>
            <w:r w:rsidRPr="00C96230">
              <w:rPr>
                <w:rFonts w:ascii="Verdana" w:hAnsi="Verdana"/>
                <w:i/>
                <w:spacing w:val="-2"/>
                <w:sz w:val="18"/>
                <w:szCs w:val="18"/>
              </w:rPr>
              <w:t>Myotis</w:t>
            </w:r>
            <w:r w:rsidRPr="00C96230">
              <w:rPr>
                <w:rFonts w:ascii="Verdana" w:hAnsi="Verdana"/>
                <w:i/>
                <w:sz w:val="18"/>
                <w:szCs w:val="18"/>
              </w:rPr>
              <w:tab/>
            </w:r>
            <w:r w:rsidRPr="00C96230">
              <w:rPr>
                <w:rFonts w:ascii="Verdana" w:hAnsi="Verdana"/>
                <w:i/>
                <w:sz w:val="18"/>
                <w:szCs w:val="18"/>
              </w:rPr>
              <w:tab/>
            </w:r>
            <w:r w:rsidRPr="00C96230">
              <w:rPr>
                <w:rFonts w:ascii="Verdana" w:hAnsi="Verdana"/>
                <w:i/>
                <w:spacing w:val="-2"/>
                <w:sz w:val="18"/>
                <w:szCs w:val="18"/>
              </w:rPr>
              <w:t>Myotis Myotis emarginatus Myotis</w:t>
            </w:r>
            <w:r w:rsidRPr="00C96230">
              <w:rPr>
                <w:rFonts w:ascii="Verdana" w:hAnsi="Verdana"/>
                <w:i/>
                <w:sz w:val="18"/>
                <w:szCs w:val="18"/>
              </w:rPr>
              <w:tab/>
            </w:r>
            <w:r w:rsidRPr="00C96230">
              <w:rPr>
                <w:rFonts w:ascii="Verdana" w:hAnsi="Verdana"/>
                <w:i/>
                <w:spacing w:val="-2"/>
                <w:sz w:val="18"/>
                <w:szCs w:val="18"/>
              </w:rPr>
              <w:t>capaccinii Myotis</w:t>
            </w:r>
            <w:r w:rsidRPr="00C96230">
              <w:rPr>
                <w:rFonts w:ascii="Verdana" w:hAnsi="Verdana"/>
                <w:i/>
                <w:sz w:val="18"/>
                <w:szCs w:val="18"/>
              </w:rPr>
              <w:tab/>
            </w:r>
            <w:r w:rsidRPr="00C96230">
              <w:rPr>
                <w:rFonts w:ascii="Verdana" w:hAnsi="Verdana"/>
                <w:i/>
                <w:sz w:val="18"/>
                <w:szCs w:val="18"/>
              </w:rPr>
              <w:tab/>
            </w:r>
            <w:r w:rsidRPr="00C96230">
              <w:rPr>
                <w:rFonts w:ascii="Verdana" w:hAnsi="Verdana"/>
                <w:i/>
                <w:sz w:val="18"/>
                <w:szCs w:val="18"/>
              </w:rPr>
              <w:tab/>
            </w:r>
            <w:r w:rsidRPr="00C96230">
              <w:rPr>
                <w:rFonts w:ascii="Verdana" w:hAnsi="Verdana"/>
                <w:i/>
                <w:spacing w:val="-2"/>
                <w:sz w:val="18"/>
                <w:szCs w:val="18"/>
              </w:rPr>
              <w:t xml:space="preserve">blythii </w:t>
            </w:r>
            <w:r w:rsidRPr="00C96230">
              <w:rPr>
                <w:rFonts w:ascii="Verdana" w:hAnsi="Verdana"/>
                <w:i/>
                <w:sz w:val="18"/>
                <w:szCs w:val="18"/>
              </w:rPr>
              <w:t xml:space="preserve">Myotis bechsteinii </w:t>
            </w:r>
            <w:r w:rsidRPr="00C96230">
              <w:rPr>
                <w:rFonts w:ascii="Verdana" w:hAnsi="Verdana"/>
                <w:i/>
                <w:spacing w:val="-2"/>
                <w:sz w:val="18"/>
                <w:szCs w:val="18"/>
              </w:rPr>
              <w:t>Barbastella barbastellus</w:t>
            </w:r>
          </w:p>
        </w:tc>
        <w:tc>
          <w:tcPr>
            <w:tcW w:w="1897" w:type="dxa"/>
          </w:tcPr>
          <w:p w14:paraId="165A2DE9" w14:textId="77777777" w:rsidR="008715BE" w:rsidRPr="00C96230" w:rsidRDefault="00000000">
            <w:pPr>
              <w:pStyle w:val="TableParagraph"/>
              <w:spacing w:before="8"/>
              <w:ind w:left="115"/>
              <w:rPr>
                <w:rFonts w:ascii="Verdana" w:hAnsi="Verdana"/>
                <w:sz w:val="18"/>
                <w:szCs w:val="18"/>
              </w:rPr>
            </w:pPr>
            <w:r w:rsidRPr="00C96230">
              <w:rPr>
                <w:rFonts w:ascii="Verdana" w:hAnsi="Verdana"/>
                <w:spacing w:val="-2"/>
                <w:sz w:val="18"/>
                <w:szCs w:val="18"/>
              </w:rPr>
              <w:t xml:space="preserve">Population </w:t>
            </w:r>
            <w:r w:rsidRPr="00C96230">
              <w:rPr>
                <w:rFonts w:ascii="Verdana" w:hAnsi="Verdana"/>
                <w:sz w:val="18"/>
                <w:szCs w:val="18"/>
              </w:rPr>
              <w:t>size</w:t>
            </w:r>
          </w:p>
        </w:tc>
        <w:tc>
          <w:tcPr>
            <w:tcW w:w="3860" w:type="dxa"/>
          </w:tcPr>
          <w:p w14:paraId="1CA008F5" w14:textId="77777777" w:rsidR="008715BE" w:rsidRPr="00C9623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C96230">
              <w:rPr>
                <w:rFonts w:ascii="Verdana" w:hAnsi="Verdana"/>
                <w:i/>
                <w:sz w:val="18"/>
                <w:szCs w:val="18"/>
              </w:rPr>
              <w:t xml:space="preserve">Rhinolophus mehelyi - </w:t>
            </w:r>
            <w:r w:rsidRPr="00C96230">
              <w:rPr>
                <w:rFonts w:ascii="Verdana" w:hAnsi="Verdana"/>
                <w:sz w:val="18"/>
                <w:szCs w:val="18"/>
              </w:rPr>
              <w:t xml:space="preserve">maximum one individual at a </w:t>
            </w:r>
            <w:r w:rsidRPr="00C96230">
              <w:rPr>
                <w:rFonts w:ascii="Verdana" w:hAnsi="Verdana"/>
                <w:spacing w:val="-2"/>
                <w:sz w:val="18"/>
                <w:szCs w:val="18"/>
              </w:rPr>
              <w:t>time</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Rhinolophus hipposideros - </w:t>
            </w:r>
            <w:r w:rsidRPr="00C96230">
              <w:rPr>
                <w:rFonts w:ascii="Verdana" w:hAnsi="Verdana"/>
                <w:sz w:val="18"/>
                <w:szCs w:val="18"/>
              </w:rPr>
              <w:t xml:space="preserve">maximum one individual </w:t>
            </w:r>
            <w:r w:rsidRPr="00C96230">
              <w:rPr>
                <w:rFonts w:ascii="Verdana" w:hAnsi="Verdana"/>
                <w:spacing w:val="-6"/>
                <w:sz w:val="18"/>
                <w:szCs w:val="18"/>
              </w:rPr>
              <w:t>per</w:t>
            </w:r>
            <w:r w:rsidRPr="00C96230">
              <w:rPr>
                <w:rFonts w:ascii="Verdana" w:hAnsi="Verdana"/>
                <w:sz w:val="18"/>
                <w:szCs w:val="18"/>
              </w:rPr>
              <w:tab/>
            </w:r>
            <w:r w:rsidRPr="00C96230">
              <w:rPr>
                <w:rFonts w:ascii="Verdana" w:hAnsi="Verdana"/>
                <w:spacing w:val="-6"/>
                <w:sz w:val="18"/>
                <w:szCs w:val="18"/>
              </w:rPr>
              <w:t>one</w:t>
            </w:r>
            <w:r w:rsidRPr="00C96230">
              <w:rPr>
                <w:rFonts w:ascii="Verdana" w:hAnsi="Verdana"/>
                <w:sz w:val="18"/>
                <w:szCs w:val="18"/>
              </w:rPr>
              <w:tab/>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pacing w:val="-10"/>
                <w:sz w:val="18"/>
                <w:szCs w:val="18"/>
              </w:rPr>
              <w:t xml:space="preserve"> years </w:t>
            </w:r>
            <w:r w:rsidRPr="00C96230">
              <w:rPr>
                <w:rFonts w:ascii="Verdana" w:hAnsi="Verdana"/>
                <w:i/>
                <w:sz w:val="18"/>
                <w:szCs w:val="18"/>
              </w:rPr>
              <w:t xml:space="preserve">Rhinolophus ferrumequinum - </w:t>
            </w:r>
            <w:r w:rsidRPr="00C96230">
              <w:rPr>
                <w:rFonts w:ascii="Verdana" w:hAnsi="Verdana"/>
                <w:sz w:val="18"/>
                <w:szCs w:val="18"/>
              </w:rPr>
              <w:t xml:space="preserve">maximum two individuals at an interval of 10 years </w:t>
            </w:r>
            <w:r w:rsidRPr="00C96230">
              <w:rPr>
                <w:rFonts w:ascii="Verdana" w:hAnsi="Verdana"/>
                <w:i/>
                <w:sz w:val="18"/>
                <w:szCs w:val="18"/>
              </w:rPr>
              <w:t xml:space="preserve">Rhinolophus euryale </w:t>
            </w:r>
            <w:r w:rsidRPr="00C96230">
              <w:rPr>
                <w:rFonts w:ascii="Verdana" w:hAnsi="Verdana"/>
                <w:sz w:val="18"/>
                <w:szCs w:val="18"/>
              </w:rPr>
              <w:t xml:space="preserve">- maximum one individual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Rhinolophus blasii </w:t>
            </w:r>
            <w:r w:rsidRPr="00C96230">
              <w:rPr>
                <w:rFonts w:ascii="Verdana" w:hAnsi="Verdana"/>
                <w:sz w:val="18"/>
                <w:szCs w:val="18"/>
              </w:rPr>
              <w:t xml:space="preserve">- 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Miniopterus schreibersii </w:t>
            </w:r>
            <w:r w:rsidRPr="00C96230">
              <w:rPr>
                <w:rFonts w:ascii="Verdana" w:hAnsi="Verdana"/>
                <w:sz w:val="18"/>
                <w:szCs w:val="18"/>
              </w:rPr>
              <w:t xml:space="preserve">- maximum two individuals </w:t>
            </w:r>
            <w:r w:rsidRPr="00C96230">
              <w:rPr>
                <w:rFonts w:ascii="Verdana" w:hAnsi="Verdana"/>
                <w:spacing w:val="-6"/>
                <w:sz w:val="18"/>
                <w:szCs w:val="18"/>
              </w:rPr>
              <w:t>at</w:t>
            </w:r>
            <w:r w:rsidRPr="00C96230">
              <w:rPr>
                <w:rFonts w:ascii="Verdana" w:hAnsi="Verdana"/>
                <w:sz w:val="18"/>
                <w:szCs w:val="18"/>
              </w:rPr>
              <w:tab/>
            </w:r>
            <w:r w:rsidRPr="00C96230">
              <w:rPr>
                <w:rFonts w:ascii="Verdana" w:hAnsi="Verdana"/>
                <w:spacing w:val="-6"/>
                <w:sz w:val="18"/>
                <w:szCs w:val="18"/>
              </w:rPr>
              <w:t>one</w:t>
            </w:r>
            <w:r w:rsidRPr="00C96230">
              <w:rPr>
                <w:rFonts w:ascii="Verdana" w:hAnsi="Verdana"/>
                <w:sz w:val="18"/>
                <w:szCs w:val="18"/>
              </w:rPr>
              <w:tab/>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pacing w:val="-10"/>
                <w:sz w:val="18"/>
                <w:szCs w:val="18"/>
              </w:rPr>
              <w:t xml:space="preserve"> years </w:t>
            </w:r>
            <w:r w:rsidRPr="00C96230">
              <w:rPr>
                <w:rFonts w:ascii="Verdana" w:hAnsi="Verdana"/>
                <w:i/>
                <w:sz w:val="18"/>
                <w:szCs w:val="18"/>
              </w:rPr>
              <w:t xml:space="preserve">Myotis myotis - </w:t>
            </w:r>
            <w:r w:rsidRPr="00C96230">
              <w:rPr>
                <w:rFonts w:ascii="Verdana" w:hAnsi="Verdana"/>
                <w:sz w:val="18"/>
                <w:szCs w:val="18"/>
              </w:rPr>
              <w:t xml:space="preserve">maximum two individuals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emarginatus </w:t>
            </w:r>
            <w:r w:rsidRPr="00C96230">
              <w:rPr>
                <w:rFonts w:ascii="Verdana" w:hAnsi="Verdana"/>
                <w:sz w:val="18"/>
                <w:szCs w:val="18"/>
              </w:rPr>
              <w:t xml:space="preserve">- 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capaccinii - </w:t>
            </w:r>
            <w:r w:rsidRPr="00C96230">
              <w:rPr>
                <w:rFonts w:ascii="Verdana" w:hAnsi="Verdana"/>
                <w:sz w:val="18"/>
                <w:szCs w:val="18"/>
              </w:rPr>
              <w:t xml:space="preserve">maximum one individual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4"/>
                <w:sz w:val="18"/>
                <w:szCs w:val="18"/>
              </w:rPr>
              <w:t xml:space="preserve">years </w:t>
            </w:r>
            <w:r w:rsidRPr="00C96230">
              <w:rPr>
                <w:rFonts w:ascii="Verdana" w:hAnsi="Verdana"/>
                <w:i/>
                <w:sz w:val="18"/>
                <w:szCs w:val="18"/>
              </w:rPr>
              <w:t xml:space="preserve">Myotis blythii - </w:t>
            </w:r>
            <w:r w:rsidRPr="00C96230">
              <w:rPr>
                <w:rFonts w:ascii="Verdana" w:hAnsi="Verdana"/>
                <w:sz w:val="18"/>
                <w:szCs w:val="18"/>
              </w:rPr>
              <w:t xml:space="preserve">maximum two individuals at an </w:t>
            </w:r>
            <w:r w:rsidRPr="00C96230">
              <w:rPr>
                <w:rFonts w:ascii="Verdana" w:hAnsi="Verdana"/>
                <w:spacing w:val="-2"/>
                <w:sz w:val="18"/>
                <w:szCs w:val="18"/>
              </w:rPr>
              <w:t>interval 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of</w:t>
            </w:r>
            <w:r w:rsidRPr="00C96230">
              <w:rPr>
                <w:rFonts w:ascii="Verdana" w:hAnsi="Verdana"/>
                <w:sz w:val="18"/>
                <w:szCs w:val="18"/>
              </w:rPr>
              <w:tab/>
            </w:r>
            <w:r w:rsidRPr="00C96230">
              <w:rPr>
                <w:rFonts w:ascii="Verdana" w:hAnsi="Verdana"/>
                <w:sz w:val="18"/>
                <w:szCs w:val="18"/>
              </w:rPr>
              <w:tab/>
            </w:r>
            <w:r w:rsidRPr="00C96230">
              <w:rPr>
                <w:rFonts w:ascii="Verdana" w:hAnsi="Verdana"/>
                <w:spacing w:val="-6"/>
                <w:sz w:val="18"/>
                <w:szCs w:val="18"/>
              </w:rPr>
              <w:t>10</w:t>
            </w:r>
            <w:r w:rsidRPr="00C96230">
              <w:rPr>
                <w:rFonts w:ascii="Verdana" w:hAnsi="Verdana"/>
                <w:sz w:val="18"/>
                <w:szCs w:val="18"/>
              </w:rPr>
              <w:tab/>
            </w:r>
            <w:r w:rsidRPr="00C96230">
              <w:rPr>
                <w:rFonts w:ascii="Verdana" w:hAnsi="Verdana"/>
                <w:sz w:val="18"/>
                <w:szCs w:val="18"/>
              </w:rPr>
              <w:tab/>
            </w:r>
            <w:r w:rsidRPr="00C96230">
              <w:rPr>
                <w:rFonts w:ascii="Verdana" w:hAnsi="Verdana"/>
                <w:spacing w:val="-10"/>
                <w:sz w:val="18"/>
                <w:szCs w:val="18"/>
              </w:rPr>
              <w:t xml:space="preserve"> years </w:t>
            </w:r>
            <w:r w:rsidRPr="00C96230">
              <w:rPr>
                <w:rFonts w:ascii="Verdana" w:hAnsi="Verdana"/>
                <w:i/>
                <w:sz w:val="18"/>
                <w:szCs w:val="18"/>
              </w:rPr>
              <w:t xml:space="preserve">Myotis bechsteinii - </w:t>
            </w:r>
            <w:r w:rsidRPr="00C96230">
              <w:rPr>
                <w:rFonts w:ascii="Verdana" w:hAnsi="Verdana"/>
                <w:sz w:val="18"/>
                <w:szCs w:val="18"/>
              </w:rPr>
              <w:t xml:space="preserve">maximum one individual at an </w:t>
            </w:r>
            <w:r w:rsidRPr="00C96230">
              <w:rPr>
                <w:rFonts w:ascii="Verdana" w:hAnsi="Verdana"/>
                <w:spacing w:val="-2"/>
                <w:sz w:val="18"/>
                <w:szCs w:val="18"/>
              </w:rPr>
              <w:t>interval</w:t>
            </w:r>
            <w:r w:rsidRPr="00C96230">
              <w:rPr>
                <w:rFonts w:ascii="Verdana" w:hAnsi="Verdana"/>
                <w:sz w:val="18"/>
                <w:szCs w:val="18"/>
              </w:rPr>
              <w:tab/>
            </w:r>
            <w:r w:rsidRPr="00C96230">
              <w:rPr>
                <w:rFonts w:ascii="Verdana" w:hAnsi="Verdana"/>
                <w:sz w:val="18"/>
                <w:szCs w:val="18"/>
              </w:rPr>
              <w:tab/>
            </w:r>
            <w:r w:rsidRPr="00C96230">
              <w:rPr>
                <w:rFonts w:ascii="Verdana" w:hAnsi="Verdana"/>
                <w:spacing w:val="80"/>
                <w:sz w:val="18"/>
                <w:szCs w:val="18"/>
              </w:rPr>
              <w:t xml:space="preserve">   </w:t>
            </w:r>
            <w:r w:rsidRPr="00C96230">
              <w:rPr>
                <w:rFonts w:ascii="Verdana" w:hAnsi="Verdana"/>
                <w:sz w:val="18"/>
                <w:szCs w:val="18"/>
              </w:rPr>
              <w:t xml:space="preserve"> 10</w:t>
            </w:r>
            <w:r w:rsidRPr="00C96230">
              <w:rPr>
                <w:rFonts w:ascii="Verdana" w:hAnsi="Verdana"/>
                <w:spacing w:val="80"/>
                <w:sz w:val="18"/>
                <w:szCs w:val="18"/>
              </w:rPr>
              <w:t xml:space="preserve">   </w:t>
            </w:r>
            <w:r w:rsidRPr="00C96230">
              <w:rPr>
                <w:rFonts w:ascii="Verdana" w:hAnsi="Verdana"/>
                <w:sz w:val="18"/>
                <w:szCs w:val="18"/>
              </w:rPr>
              <w:t xml:space="preserve"> years </w:t>
            </w:r>
            <w:r w:rsidRPr="00C96230">
              <w:rPr>
                <w:rFonts w:ascii="Verdana" w:hAnsi="Verdana"/>
                <w:i/>
                <w:sz w:val="18"/>
                <w:szCs w:val="18"/>
              </w:rPr>
              <w:t xml:space="preserve">Barbastella barbastellus </w:t>
            </w:r>
            <w:r w:rsidRPr="00C96230">
              <w:rPr>
                <w:rFonts w:ascii="Verdana" w:hAnsi="Verdana"/>
                <w:sz w:val="18"/>
                <w:szCs w:val="18"/>
              </w:rPr>
              <w:t>- maximum two individuals at an interval of 10 years</w:t>
            </w:r>
          </w:p>
        </w:tc>
        <w:tc>
          <w:tcPr>
            <w:tcW w:w="1889" w:type="dxa"/>
          </w:tcPr>
          <w:p w14:paraId="42845327" w14:textId="77777777" w:rsidR="008715BE" w:rsidRPr="00C96230" w:rsidRDefault="00000000">
            <w:pPr>
              <w:pStyle w:val="TableParagraph"/>
              <w:spacing w:before="8"/>
              <w:ind w:left="119"/>
              <w:rPr>
                <w:rFonts w:ascii="Verdana" w:hAnsi="Verdana"/>
                <w:sz w:val="18"/>
                <w:szCs w:val="18"/>
              </w:rPr>
            </w:pPr>
            <w:r w:rsidRPr="00C96230">
              <w:rPr>
                <w:rFonts w:ascii="Verdana" w:hAnsi="Verdana"/>
                <w:sz w:val="18"/>
                <w:szCs w:val="18"/>
              </w:rPr>
              <w:t>data from the literature</w:t>
            </w:r>
          </w:p>
        </w:tc>
      </w:tr>
    </w:tbl>
    <w:p w14:paraId="11DCD778"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6042C1D3" w14:textId="77777777" w:rsidR="008715BE" w:rsidRPr="00EC75B7"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EC75B7" w14:paraId="24A16795" w14:textId="77777777">
        <w:trPr>
          <w:trHeight w:val="842"/>
        </w:trPr>
        <w:tc>
          <w:tcPr>
            <w:tcW w:w="2846" w:type="dxa"/>
            <w:gridSpan w:val="2"/>
            <w:shd w:val="clear" w:color="auto" w:fill="00A1E8"/>
          </w:tcPr>
          <w:p w14:paraId="7C12B46F" w14:textId="77777777" w:rsidR="008715BE" w:rsidRPr="00EC75B7" w:rsidRDefault="008715BE">
            <w:pPr>
              <w:pStyle w:val="TableParagraph"/>
              <w:spacing w:before="136"/>
              <w:rPr>
                <w:rFonts w:ascii="Verdana" w:hAnsi="Verdana"/>
                <w:b/>
                <w:sz w:val="18"/>
                <w:szCs w:val="18"/>
              </w:rPr>
            </w:pPr>
          </w:p>
          <w:p w14:paraId="74A0FF08" w14:textId="77777777" w:rsidR="008715BE" w:rsidRPr="00EC75B7" w:rsidRDefault="00000000">
            <w:pPr>
              <w:pStyle w:val="TableParagraph"/>
              <w:spacing w:before="1"/>
              <w:ind w:left="914"/>
              <w:rPr>
                <w:rFonts w:ascii="Verdana" w:hAnsi="Verdana"/>
                <w:b/>
                <w:sz w:val="18"/>
                <w:szCs w:val="18"/>
              </w:rPr>
            </w:pPr>
            <w:r w:rsidRPr="00EC75B7">
              <w:rPr>
                <w:rFonts w:ascii="Verdana" w:hAnsi="Verdana"/>
                <w:b/>
                <w:color w:val="FFFFFF"/>
                <w:spacing w:val="-2"/>
                <w:sz w:val="18"/>
                <w:szCs w:val="18"/>
              </w:rPr>
              <w:t>Intervention</w:t>
            </w:r>
          </w:p>
        </w:tc>
        <w:tc>
          <w:tcPr>
            <w:tcW w:w="3149" w:type="dxa"/>
            <w:shd w:val="clear" w:color="auto" w:fill="00A1E8"/>
          </w:tcPr>
          <w:p w14:paraId="5F64C7B9" w14:textId="77777777" w:rsidR="008715BE" w:rsidRPr="00EC75B7" w:rsidRDefault="008715BE">
            <w:pPr>
              <w:pStyle w:val="TableParagraph"/>
              <w:spacing w:before="136"/>
              <w:rPr>
                <w:rFonts w:ascii="Verdana" w:hAnsi="Verdana"/>
                <w:b/>
                <w:sz w:val="18"/>
                <w:szCs w:val="18"/>
              </w:rPr>
            </w:pPr>
          </w:p>
          <w:p w14:paraId="384EDAC0"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Effects</w:t>
            </w:r>
          </w:p>
        </w:tc>
        <w:tc>
          <w:tcPr>
            <w:tcW w:w="1106" w:type="dxa"/>
            <w:shd w:val="clear" w:color="auto" w:fill="00A1E8"/>
          </w:tcPr>
          <w:p w14:paraId="442AC9B9" w14:textId="77777777" w:rsidR="008715BE" w:rsidRPr="00EC75B7" w:rsidRDefault="008715BE">
            <w:pPr>
              <w:pStyle w:val="TableParagraph"/>
              <w:spacing w:before="40"/>
              <w:rPr>
                <w:rFonts w:ascii="Verdana" w:hAnsi="Verdana"/>
                <w:b/>
                <w:sz w:val="18"/>
                <w:szCs w:val="18"/>
              </w:rPr>
            </w:pPr>
          </w:p>
          <w:p w14:paraId="38898D1B" w14:textId="77777777" w:rsidR="008715BE" w:rsidRPr="00EC75B7" w:rsidRDefault="00000000">
            <w:pPr>
              <w:pStyle w:val="TableParagraph"/>
              <w:spacing w:before="1"/>
              <w:ind w:left="240" w:right="87" w:hanging="132"/>
              <w:rPr>
                <w:rFonts w:ascii="Verdana" w:hAnsi="Verdana"/>
                <w:b/>
                <w:sz w:val="18"/>
                <w:szCs w:val="18"/>
              </w:rPr>
            </w:pPr>
            <w:r w:rsidRPr="00EC75B7">
              <w:rPr>
                <w:rFonts w:ascii="Verdana" w:hAnsi="Verdana"/>
                <w:b/>
                <w:color w:val="FFFFFF"/>
                <w:spacing w:val="-2"/>
                <w:sz w:val="18"/>
                <w:szCs w:val="18"/>
              </w:rPr>
              <w:t>Direct impacts</w:t>
            </w:r>
          </w:p>
        </w:tc>
        <w:tc>
          <w:tcPr>
            <w:tcW w:w="1108" w:type="dxa"/>
            <w:shd w:val="clear" w:color="auto" w:fill="00A1E8"/>
          </w:tcPr>
          <w:p w14:paraId="0FF728EB" w14:textId="77777777" w:rsidR="008715BE" w:rsidRPr="00EC75B7" w:rsidRDefault="008715BE">
            <w:pPr>
              <w:pStyle w:val="TableParagraph"/>
              <w:spacing w:before="40"/>
              <w:rPr>
                <w:rFonts w:ascii="Verdana" w:hAnsi="Verdana"/>
                <w:b/>
                <w:sz w:val="18"/>
                <w:szCs w:val="18"/>
              </w:rPr>
            </w:pPr>
          </w:p>
          <w:p w14:paraId="17E96643" w14:textId="77777777" w:rsidR="008715BE" w:rsidRPr="00EC75B7" w:rsidRDefault="00000000">
            <w:pPr>
              <w:pStyle w:val="TableParagraph"/>
              <w:spacing w:before="1"/>
              <w:ind w:left="157" w:right="88" w:hanging="48"/>
              <w:rPr>
                <w:rFonts w:ascii="Verdana" w:hAnsi="Verdana"/>
                <w:b/>
                <w:sz w:val="18"/>
                <w:szCs w:val="18"/>
              </w:rPr>
            </w:pPr>
            <w:r w:rsidRPr="00EC75B7">
              <w:rPr>
                <w:rFonts w:ascii="Verdana" w:hAnsi="Verdana"/>
                <w:b/>
                <w:color w:val="FFFFFF"/>
                <w:spacing w:val="-2"/>
                <w:sz w:val="18"/>
                <w:szCs w:val="18"/>
              </w:rPr>
              <w:t>Indirect impacts</w:t>
            </w:r>
          </w:p>
        </w:tc>
        <w:tc>
          <w:tcPr>
            <w:tcW w:w="1211" w:type="dxa"/>
            <w:shd w:val="clear" w:color="auto" w:fill="00A1E8"/>
          </w:tcPr>
          <w:p w14:paraId="7004D63A" w14:textId="77777777" w:rsidR="008715BE" w:rsidRPr="00EC75B7" w:rsidRDefault="008715BE">
            <w:pPr>
              <w:pStyle w:val="TableParagraph"/>
              <w:spacing w:before="40"/>
              <w:rPr>
                <w:rFonts w:ascii="Verdana" w:hAnsi="Verdana"/>
                <w:b/>
                <w:sz w:val="18"/>
                <w:szCs w:val="18"/>
              </w:rPr>
            </w:pPr>
          </w:p>
          <w:p w14:paraId="049B70A0" w14:textId="77777777" w:rsidR="008715BE" w:rsidRPr="00EC75B7" w:rsidRDefault="00000000">
            <w:pPr>
              <w:pStyle w:val="TableParagraph"/>
              <w:spacing w:before="1"/>
              <w:ind w:left="141" w:firstLine="16"/>
              <w:rPr>
                <w:rFonts w:ascii="Verdana" w:hAnsi="Verdana"/>
                <w:b/>
                <w:sz w:val="18"/>
                <w:szCs w:val="18"/>
              </w:rPr>
            </w:pPr>
            <w:r w:rsidRPr="00EC75B7">
              <w:rPr>
                <w:rFonts w:ascii="Verdana" w:hAnsi="Verdana"/>
                <w:b/>
                <w:color w:val="FFFFFF"/>
                <w:spacing w:val="-2"/>
                <w:sz w:val="18"/>
                <w:szCs w:val="18"/>
              </w:rPr>
              <w:t>Secondary impacts</w:t>
            </w:r>
          </w:p>
        </w:tc>
        <w:tc>
          <w:tcPr>
            <w:tcW w:w="1389" w:type="dxa"/>
            <w:shd w:val="clear" w:color="auto" w:fill="00A1E8"/>
          </w:tcPr>
          <w:p w14:paraId="5A3C5FD9" w14:textId="77777777" w:rsidR="008715BE" w:rsidRPr="00EC75B7" w:rsidRDefault="008715BE">
            <w:pPr>
              <w:pStyle w:val="TableParagraph"/>
              <w:spacing w:before="40"/>
              <w:rPr>
                <w:rFonts w:ascii="Verdana" w:hAnsi="Verdana"/>
                <w:b/>
                <w:sz w:val="18"/>
                <w:szCs w:val="18"/>
              </w:rPr>
            </w:pPr>
          </w:p>
          <w:p w14:paraId="5935EABC" w14:textId="77777777" w:rsidR="008715BE" w:rsidRPr="00EC75B7" w:rsidRDefault="00000000">
            <w:pPr>
              <w:pStyle w:val="TableParagraph"/>
              <w:spacing w:before="1"/>
              <w:ind w:left="200" w:right="182" w:firstLine="48"/>
              <w:rPr>
                <w:rFonts w:ascii="Verdana" w:hAnsi="Verdana"/>
                <w:b/>
                <w:sz w:val="18"/>
                <w:szCs w:val="18"/>
              </w:rPr>
            </w:pPr>
            <w:r w:rsidRPr="00EC75B7">
              <w:rPr>
                <w:rFonts w:ascii="Verdana" w:hAnsi="Verdana"/>
                <w:b/>
                <w:color w:val="FFFFFF"/>
                <w:spacing w:val="-2"/>
                <w:sz w:val="18"/>
                <w:szCs w:val="18"/>
              </w:rPr>
              <w:t>Cumulative impacts</w:t>
            </w:r>
          </w:p>
        </w:tc>
        <w:tc>
          <w:tcPr>
            <w:tcW w:w="1201" w:type="dxa"/>
            <w:shd w:val="clear" w:color="auto" w:fill="00A1E8"/>
          </w:tcPr>
          <w:p w14:paraId="047B2583" w14:textId="77777777" w:rsidR="008715BE" w:rsidRPr="00EC75B7" w:rsidRDefault="00000000">
            <w:pPr>
              <w:pStyle w:val="TableParagraph"/>
              <w:spacing w:before="41"/>
              <w:ind w:left="157" w:right="95" w:hanging="44"/>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736" w:type="dxa"/>
            <w:shd w:val="clear" w:color="auto" w:fill="00A1E8"/>
          </w:tcPr>
          <w:p w14:paraId="035AC5B2" w14:textId="77777777" w:rsidR="008715BE" w:rsidRPr="00EC75B7" w:rsidRDefault="008715BE">
            <w:pPr>
              <w:pStyle w:val="TableParagraph"/>
              <w:spacing w:before="136"/>
              <w:rPr>
                <w:rFonts w:ascii="Verdana" w:hAnsi="Verdana"/>
                <w:b/>
                <w:sz w:val="18"/>
                <w:szCs w:val="18"/>
              </w:rPr>
            </w:pPr>
          </w:p>
          <w:p w14:paraId="4C5EEC7E" w14:textId="77777777" w:rsidR="008715BE" w:rsidRPr="00EC75B7" w:rsidRDefault="00000000">
            <w:pPr>
              <w:pStyle w:val="TableParagraph"/>
              <w:spacing w:before="1"/>
              <w:ind w:left="202"/>
              <w:rPr>
                <w:rFonts w:ascii="Verdana" w:hAnsi="Verdana"/>
                <w:b/>
                <w:sz w:val="18"/>
                <w:szCs w:val="18"/>
              </w:rPr>
            </w:pPr>
            <w:r w:rsidRPr="00EC75B7">
              <w:rPr>
                <w:rFonts w:ascii="Verdana" w:hAnsi="Verdana"/>
                <w:b/>
                <w:color w:val="FFFFFF"/>
                <w:spacing w:val="-2"/>
                <w:sz w:val="18"/>
                <w:szCs w:val="18"/>
              </w:rPr>
              <w:t>Species/habitat</w:t>
            </w:r>
          </w:p>
        </w:tc>
        <w:tc>
          <w:tcPr>
            <w:tcW w:w="1897" w:type="dxa"/>
            <w:shd w:val="clear" w:color="auto" w:fill="00A1E8"/>
          </w:tcPr>
          <w:p w14:paraId="70A38BC4" w14:textId="77777777" w:rsidR="008715BE" w:rsidRPr="00EC75B7" w:rsidRDefault="008715BE">
            <w:pPr>
              <w:pStyle w:val="TableParagraph"/>
              <w:spacing w:before="40"/>
              <w:rPr>
                <w:rFonts w:ascii="Verdana" w:hAnsi="Verdana"/>
                <w:b/>
                <w:sz w:val="18"/>
                <w:szCs w:val="18"/>
              </w:rPr>
            </w:pPr>
          </w:p>
          <w:p w14:paraId="4D35D0EB" w14:textId="77777777" w:rsidR="008715BE" w:rsidRPr="00EC75B7" w:rsidRDefault="00000000">
            <w:pPr>
              <w:pStyle w:val="TableParagraph"/>
              <w:spacing w:before="1" w:line="195" w:lineRule="exact"/>
              <w:ind w:left="396"/>
              <w:rPr>
                <w:rFonts w:ascii="Verdana" w:hAnsi="Verdana"/>
                <w:b/>
                <w:sz w:val="18"/>
                <w:szCs w:val="18"/>
              </w:rPr>
            </w:pPr>
            <w:r w:rsidRPr="00EC75B7">
              <w:rPr>
                <w:rFonts w:ascii="Verdana" w:hAnsi="Verdana"/>
                <w:b/>
                <w:color w:val="FFFFFF"/>
                <w:sz w:val="18"/>
                <w:szCs w:val="18"/>
              </w:rPr>
              <w:t>Param</w:t>
            </w:r>
            <w:r w:rsidRPr="00EC75B7">
              <w:rPr>
                <w:rFonts w:ascii="Verdana" w:hAnsi="Verdana"/>
                <w:b/>
                <w:color w:val="FFFFFF"/>
                <w:spacing w:val="-10"/>
                <w:sz w:val="18"/>
                <w:szCs w:val="18"/>
              </w:rPr>
              <w:t>eter</w:t>
            </w:r>
            <w:r w:rsidRPr="00EC75B7">
              <w:rPr>
                <w:rFonts w:ascii="Verdana" w:hAnsi="Verdana"/>
                <w:b/>
                <w:color w:val="FFFFFF"/>
                <w:sz w:val="18"/>
                <w:szCs w:val="18"/>
              </w:rPr>
              <w:t>/</w:t>
            </w:r>
          </w:p>
          <w:p w14:paraId="249CA4CF" w14:textId="77777777" w:rsidR="008715BE" w:rsidRPr="00EC75B7" w:rsidRDefault="00000000">
            <w:pPr>
              <w:pStyle w:val="TableParagraph"/>
              <w:spacing w:line="195" w:lineRule="exact"/>
              <w:ind w:left="350"/>
              <w:rPr>
                <w:rFonts w:ascii="Verdana" w:hAnsi="Verdana"/>
                <w:b/>
                <w:sz w:val="18"/>
                <w:szCs w:val="18"/>
              </w:rPr>
            </w:pPr>
            <w:r w:rsidRPr="00EC75B7">
              <w:rPr>
                <w:rFonts w:ascii="Verdana" w:hAnsi="Verdana"/>
                <w:b/>
                <w:color w:val="FFFFFF"/>
                <w:spacing w:val="-2"/>
                <w:sz w:val="18"/>
                <w:szCs w:val="18"/>
              </w:rPr>
              <w:t>affected</w:t>
            </w:r>
            <w:r w:rsidRPr="00EC75B7">
              <w:rPr>
                <w:rFonts w:ascii="Verdana" w:hAnsi="Verdana"/>
                <w:b/>
                <w:color w:val="FFFFFF"/>
                <w:sz w:val="18"/>
                <w:szCs w:val="18"/>
              </w:rPr>
              <w:t xml:space="preserve"> target</w:t>
            </w:r>
          </w:p>
        </w:tc>
        <w:tc>
          <w:tcPr>
            <w:tcW w:w="3860" w:type="dxa"/>
            <w:shd w:val="clear" w:color="auto" w:fill="00A1E8"/>
          </w:tcPr>
          <w:p w14:paraId="286B6015" w14:textId="77777777" w:rsidR="008715BE" w:rsidRPr="00EC75B7" w:rsidRDefault="008715BE">
            <w:pPr>
              <w:pStyle w:val="TableParagraph"/>
              <w:spacing w:before="40"/>
              <w:rPr>
                <w:rFonts w:ascii="Verdana" w:hAnsi="Verdana"/>
                <w:b/>
                <w:sz w:val="18"/>
                <w:szCs w:val="18"/>
              </w:rPr>
            </w:pPr>
          </w:p>
          <w:p w14:paraId="3A51D906" w14:textId="77777777" w:rsidR="008715BE" w:rsidRPr="00EC75B7" w:rsidRDefault="00000000">
            <w:pPr>
              <w:pStyle w:val="TableParagraph"/>
              <w:spacing w:before="1"/>
              <w:ind w:left="1126" w:right="1098"/>
              <w:jc w:val="center"/>
              <w:rPr>
                <w:rFonts w:ascii="Verdana" w:hAnsi="Verdana"/>
                <w:b/>
                <w:sz w:val="18"/>
                <w:szCs w:val="18"/>
              </w:rPr>
            </w:pPr>
            <w:r w:rsidRPr="00EC75B7">
              <w:rPr>
                <w:rFonts w:ascii="Verdana" w:hAnsi="Verdana"/>
                <w:b/>
                <w:color w:val="FFFFFF"/>
                <w:spacing w:val="-2"/>
                <w:sz w:val="18"/>
                <w:szCs w:val="18"/>
              </w:rPr>
              <w:t>Impact quantification</w:t>
            </w:r>
          </w:p>
        </w:tc>
        <w:tc>
          <w:tcPr>
            <w:tcW w:w="1889" w:type="dxa"/>
            <w:shd w:val="clear" w:color="auto" w:fill="00A1E8"/>
          </w:tcPr>
          <w:p w14:paraId="70FF9B63" w14:textId="77777777" w:rsidR="008715BE" w:rsidRPr="00EC75B7" w:rsidRDefault="008715BE">
            <w:pPr>
              <w:pStyle w:val="TableParagraph"/>
              <w:spacing w:before="40"/>
              <w:rPr>
                <w:rFonts w:ascii="Verdana" w:hAnsi="Verdana"/>
                <w:b/>
                <w:sz w:val="18"/>
                <w:szCs w:val="18"/>
              </w:rPr>
            </w:pPr>
          </w:p>
          <w:p w14:paraId="18F90780" w14:textId="77777777" w:rsidR="008715BE" w:rsidRPr="00EC75B7" w:rsidRDefault="00000000">
            <w:pPr>
              <w:pStyle w:val="TableParagraph"/>
              <w:spacing w:before="1"/>
              <w:ind w:left="421" w:firstLine="208"/>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method</w:t>
            </w:r>
          </w:p>
        </w:tc>
      </w:tr>
      <w:tr w:rsidR="008715BE" w:rsidRPr="00EC75B7" w14:paraId="7B23C60F" w14:textId="77777777">
        <w:trPr>
          <w:trHeight w:val="5040"/>
        </w:trPr>
        <w:tc>
          <w:tcPr>
            <w:tcW w:w="523" w:type="dxa"/>
            <w:vMerge w:val="restart"/>
          </w:tcPr>
          <w:p w14:paraId="5F0F8DCD" w14:textId="77777777" w:rsidR="008715BE" w:rsidRPr="00EC75B7" w:rsidRDefault="008715BE">
            <w:pPr>
              <w:pStyle w:val="TableParagraph"/>
              <w:rPr>
                <w:rFonts w:ascii="Verdana" w:hAnsi="Verdana"/>
                <w:sz w:val="18"/>
                <w:szCs w:val="18"/>
              </w:rPr>
            </w:pPr>
          </w:p>
        </w:tc>
        <w:tc>
          <w:tcPr>
            <w:tcW w:w="2323" w:type="dxa"/>
            <w:vMerge w:val="restart"/>
          </w:tcPr>
          <w:p w14:paraId="72BFE708" w14:textId="77777777" w:rsidR="008715BE" w:rsidRPr="00EC75B7" w:rsidRDefault="008715BE">
            <w:pPr>
              <w:pStyle w:val="TableParagraph"/>
              <w:rPr>
                <w:rFonts w:ascii="Verdana" w:hAnsi="Verdana"/>
                <w:sz w:val="18"/>
                <w:szCs w:val="18"/>
              </w:rPr>
            </w:pPr>
          </w:p>
        </w:tc>
        <w:tc>
          <w:tcPr>
            <w:tcW w:w="3149" w:type="dxa"/>
          </w:tcPr>
          <w:p w14:paraId="470F1DE2" w14:textId="77777777" w:rsidR="008715BE" w:rsidRPr="00EC75B7" w:rsidRDefault="008715BE">
            <w:pPr>
              <w:pStyle w:val="TableParagraph"/>
              <w:rPr>
                <w:rFonts w:ascii="Verdana" w:hAnsi="Verdana"/>
                <w:sz w:val="18"/>
                <w:szCs w:val="18"/>
              </w:rPr>
            </w:pPr>
          </w:p>
        </w:tc>
        <w:tc>
          <w:tcPr>
            <w:tcW w:w="1106" w:type="dxa"/>
          </w:tcPr>
          <w:p w14:paraId="29FA4A3C" w14:textId="77777777" w:rsidR="008715BE" w:rsidRPr="00EC75B7" w:rsidRDefault="008715BE">
            <w:pPr>
              <w:pStyle w:val="TableParagraph"/>
              <w:rPr>
                <w:rFonts w:ascii="Verdana" w:hAnsi="Verdana"/>
                <w:sz w:val="18"/>
                <w:szCs w:val="18"/>
              </w:rPr>
            </w:pPr>
          </w:p>
        </w:tc>
        <w:tc>
          <w:tcPr>
            <w:tcW w:w="1108" w:type="dxa"/>
          </w:tcPr>
          <w:p w14:paraId="01FE9F31" w14:textId="77777777" w:rsidR="008715BE" w:rsidRPr="00EC75B7" w:rsidRDefault="008715BE">
            <w:pPr>
              <w:pStyle w:val="TableParagraph"/>
              <w:rPr>
                <w:rFonts w:ascii="Verdana" w:hAnsi="Verdana"/>
                <w:sz w:val="18"/>
                <w:szCs w:val="18"/>
              </w:rPr>
            </w:pPr>
          </w:p>
        </w:tc>
        <w:tc>
          <w:tcPr>
            <w:tcW w:w="1211" w:type="dxa"/>
          </w:tcPr>
          <w:p w14:paraId="202DC18A" w14:textId="77777777" w:rsidR="008715BE" w:rsidRPr="00EC75B7" w:rsidRDefault="008715BE">
            <w:pPr>
              <w:pStyle w:val="TableParagraph"/>
              <w:rPr>
                <w:rFonts w:ascii="Verdana" w:hAnsi="Verdana"/>
                <w:sz w:val="18"/>
                <w:szCs w:val="18"/>
              </w:rPr>
            </w:pPr>
          </w:p>
        </w:tc>
        <w:tc>
          <w:tcPr>
            <w:tcW w:w="1389" w:type="dxa"/>
          </w:tcPr>
          <w:p w14:paraId="1666A175" w14:textId="77777777" w:rsidR="008715BE" w:rsidRPr="00EC75B7" w:rsidRDefault="00000000">
            <w:pPr>
              <w:pStyle w:val="TableParagraph"/>
              <w:tabs>
                <w:tab w:val="left" w:pos="1213"/>
              </w:tabs>
              <w:spacing w:before="8"/>
              <w:ind w:left="108" w:right="90"/>
              <w:rPr>
                <w:rFonts w:ascii="Verdana" w:hAnsi="Verdana"/>
                <w:sz w:val="18"/>
                <w:szCs w:val="18"/>
              </w:rPr>
            </w:pPr>
            <w:r w:rsidRPr="00EC75B7">
              <w:rPr>
                <w:rFonts w:ascii="Verdana" w:hAnsi="Verdana"/>
                <w:sz w:val="18"/>
                <w:szCs w:val="18"/>
              </w:rPr>
              <w:t xml:space="preserve">(proposed) </w:t>
            </w:r>
            <w:r w:rsidRPr="00EC75B7">
              <w:rPr>
                <w:rFonts w:ascii="Verdana" w:hAnsi="Verdana"/>
                <w:spacing w:val="-2"/>
                <w:sz w:val="18"/>
                <w:szCs w:val="18"/>
              </w:rPr>
              <w:t>Comana Wind</w:t>
            </w:r>
            <w:r w:rsidRPr="00EC75B7">
              <w:rPr>
                <w:rFonts w:ascii="Verdana" w:hAnsi="Verdana"/>
                <w:sz w:val="18"/>
                <w:szCs w:val="18"/>
              </w:rPr>
              <w:t xml:space="preserve"> Farm</w:t>
            </w:r>
            <w:r w:rsidRPr="00EC75B7">
              <w:rPr>
                <w:rFonts w:ascii="Verdana" w:hAnsi="Verdana"/>
                <w:sz w:val="18"/>
                <w:szCs w:val="18"/>
              </w:rPr>
              <w:tab/>
              <w:t xml:space="preserve">- </w:t>
            </w:r>
            <w:r w:rsidRPr="00EC75B7">
              <w:rPr>
                <w:rFonts w:ascii="Verdana" w:hAnsi="Verdana"/>
                <w:spacing w:val="-2"/>
                <w:sz w:val="18"/>
                <w:szCs w:val="18"/>
              </w:rPr>
              <w:t xml:space="preserve">Pecineaga, Tătaru </w:t>
            </w:r>
            <w:r w:rsidRPr="00EC75B7">
              <w:rPr>
                <w:rFonts w:ascii="Verdana" w:hAnsi="Verdana"/>
                <w:sz w:val="18"/>
                <w:szCs w:val="18"/>
              </w:rPr>
              <w:t>built-up area</w:t>
            </w:r>
          </w:p>
          <w:p w14:paraId="7A4CB335" w14:textId="77777777" w:rsidR="008715BE" w:rsidRPr="00EC75B7" w:rsidRDefault="00000000">
            <w:pPr>
              <w:pStyle w:val="TableParagraph"/>
              <w:tabs>
                <w:tab w:val="left" w:pos="487"/>
              </w:tabs>
              <w:ind w:left="108" w:right="94"/>
              <w:rPr>
                <w:rFonts w:ascii="Verdana" w:hAnsi="Verdana"/>
                <w:sz w:val="18"/>
                <w:szCs w:val="18"/>
              </w:rPr>
            </w:pPr>
            <w:r w:rsidRPr="00EC75B7">
              <w:rPr>
                <w:rFonts w:ascii="Verdana" w:hAnsi="Verdana"/>
                <w:spacing w:val="-6"/>
                <w:sz w:val="18"/>
                <w:szCs w:val="18"/>
              </w:rPr>
              <w:t>and</w:t>
            </w:r>
            <w:r w:rsidRPr="00EC75B7">
              <w:rPr>
                <w:rFonts w:ascii="Verdana" w:hAnsi="Verdana"/>
                <w:sz w:val="18"/>
                <w:szCs w:val="18"/>
              </w:rPr>
              <w:tab/>
            </w:r>
            <w:r w:rsidRPr="00EC75B7">
              <w:rPr>
                <w:rFonts w:ascii="Verdana" w:hAnsi="Verdana"/>
                <w:spacing w:val="-2"/>
                <w:sz w:val="18"/>
                <w:szCs w:val="18"/>
              </w:rPr>
              <w:t>outside the built-up area of Comana (proposed</w:t>
            </w:r>
          </w:p>
          <w:p w14:paraId="6B83F0D0" w14:textId="77777777" w:rsidR="008715BE" w:rsidRPr="00EC75B7" w:rsidRDefault="00000000">
            <w:pPr>
              <w:pStyle w:val="TableParagraph"/>
              <w:tabs>
                <w:tab w:val="left" w:pos="806"/>
              </w:tabs>
              <w:ind w:left="108" w:right="94"/>
              <w:rPr>
                <w:rFonts w:ascii="Verdana" w:hAnsi="Verdana"/>
                <w:sz w:val="18"/>
                <w:szCs w:val="18"/>
              </w:rPr>
            </w:pPr>
            <w:r w:rsidRPr="00EC75B7">
              <w:rPr>
                <w:rFonts w:ascii="Verdana" w:hAnsi="Verdana"/>
                <w:spacing w:val="-4"/>
                <w:sz w:val="18"/>
                <w:szCs w:val="18"/>
              </w:rPr>
              <w:t>Karnobat Wind Farm</w:t>
            </w:r>
            <w:r w:rsidRPr="00EC75B7">
              <w:rPr>
                <w:rFonts w:ascii="Verdana" w:hAnsi="Verdana"/>
                <w:sz w:val="18"/>
                <w:szCs w:val="18"/>
              </w:rPr>
              <w:tab/>
            </w:r>
            <w:r w:rsidRPr="00EC75B7">
              <w:rPr>
                <w:rFonts w:ascii="Verdana" w:hAnsi="Verdana"/>
                <w:spacing w:val="-2"/>
                <w:sz w:val="18"/>
                <w:szCs w:val="18"/>
              </w:rPr>
              <w:t xml:space="preserve">Karnobat </w:t>
            </w:r>
            <w:r w:rsidRPr="00EC75B7">
              <w:rPr>
                <w:rFonts w:ascii="Verdana" w:hAnsi="Verdana"/>
                <w:spacing w:val="-6"/>
                <w:sz w:val="18"/>
                <w:szCs w:val="18"/>
              </w:rPr>
              <w:t xml:space="preserve">Wind Farm </w:t>
            </w:r>
            <w:r w:rsidRPr="00EC75B7">
              <w:rPr>
                <w:rFonts w:ascii="Verdana" w:hAnsi="Verdana"/>
                <w:spacing w:val="-2"/>
                <w:sz w:val="18"/>
                <w:szCs w:val="18"/>
              </w:rPr>
              <w:t>(existing</w:t>
            </w:r>
          </w:p>
        </w:tc>
        <w:tc>
          <w:tcPr>
            <w:tcW w:w="1201" w:type="dxa"/>
          </w:tcPr>
          <w:p w14:paraId="3FBA3F71" w14:textId="77777777" w:rsidR="008715BE" w:rsidRPr="00EC75B7" w:rsidRDefault="008715BE">
            <w:pPr>
              <w:pStyle w:val="TableParagraph"/>
              <w:rPr>
                <w:rFonts w:ascii="Verdana" w:hAnsi="Verdana"/>
                <w:sz w:val="18"/>
                <w:szCs w:val="18"/>
              </w:rPr>
            </w:pPr>
          </w:p>
        </w:tc>
        <w:tc>
          <w:tcPr>
            <w:tcW w:w="1736" w:type="dxa"/>
          </w:tcPr>
          <w:p w14:paraId="6720B0D5" w14:textId="77777777" w:rsidR="008715BE" w:rsidRPr="00EC75B7" w:rsidRDefault="008715BE">
            <w:pPr>
              <w:pStyle w:val="TableParagraph"/>
              <w:rPr>
                <w:rFonts w:ascii="Verdana" w:hAnsi="Verdana"/>
                <w:sz w:val="18"/>
                <w:szCs w:val="18"/>
              </w:rPr>
            </w:pPr>
          </w:p>
        </w:tc>
        <w:tc>
          <w:tcPr>
            <w:tcW w:w="1897" w:type="dxa"/>
          </w:tcPr>
          <w:p w14:paraId="6C2CD2F6" w14:textId="77777777" w:rsidR="008715BE" w:rsidRPr="00EC75B7" w:rsidRDefault="008715BE">
            <w:pPr>
              <w:pStyle w:val="TableParagraph"/>
              <w:rPr>
                <w:rFonts w:ascii="Verdana" w:hAnsi="Verdana"/>
                <w:sz w:val="18"/>
                <w:szCs w:val="18"/>
              </w:rPr>
            </w:pPr>
          </w:p>
        </w:tc>
        <w:tc>
          <w:tcPr>
            <w:tcW w:w="3860" w:type="dxa"/>
          </w:tcPr>
          <w:p w14:paraId="0EA623AD" w14:textId="77777777" w:rsidR="008715BE" w:rsidRPr="00EC75B7" w:rsidRDefault="008715BE">
            <w:pPr>
              <w:pStyle w:val="TableParagraph"/>
              <w:rPr>
                <w:rFonts w:ascii="Verdana" w:hAnsi="Verdana"/>
                <w:sz w:val="18"/>
                <w:szCs w:val="18"/>
              </w:rPr>
            </w:pPr>
          </w:p>
        </w:tc>
        <w:tc>
          <w:tcPr>
            <w:tcW w:w="1889" w:type="dxa"/>
          </w:tcPr>
          <w:p w14:paraId="16B36483" w14:textId="77777777" w:rsidR="008715BE" w:rsidRPr="00EC75B7" w:rsidRDefault="008715BE">
            <w:pPr>
              <w:pStyle w:val="TableParagraph"/>
              <w:rPr>
                <w:rFonts w:ascii="Verdana" w:hAnsi="Verdana"/>
                <w:sz w:val="18"/>
                <w:szCs w:val="18"/>
              </w:rPr>
            </w:pPr>
          </w:p>
        </w:tc>
      </w:tr>
      <w:tr w:rsidR="008715BE" w:rsidRPr="00EC75B7" w14:paraId="129AC7BD" w14:textId="77777777">
        <w:trPr>
          <w:trHeight w:val="777"/>
        </w:trPr>
        <w:tc>
          <w:tcPr>
            <w:tcW w:w="523" w:type="dxa"/>
            <w:vMerge/>
            <w:tcBorders>
              <w:top w:val="nil"/>
            </w:tcBorders>
          </w:tcPr>
          <w:p w14:paraId="267230CD" w14:textId="77777777" w:rsidR="008715BE" w:rsidRPr="00EC75B7" w:rsidRDefault="008715BE">
            <w:pPr>
              <w:rPr>
                <w:rFonts w:ascii="Verdana" w:hAnsi="Verdana"/>
                <w:sz w:val="18"/>
                <w:szCs w:val="18"/>
              </w:rPr>
            </w:pPr>
          </w:p>
        </w:tc>
        <w:tc>
          <w:tcPr>
            <w:tcW w:w="2323" w:type="dxa"/>
            <w:vMerge/>
            <w:tcBorders>
              <w:top w:val="nil"/>
            </w:tcBorders>
          </w:tcPr>
          <w:p w14:paraId="05C6EBFD" w14:textId="77777777" w:rsidR="008715BE" w:rsidRPr="00EC75B7" w:rsidRDefault="008715BE">
            <w:pPr>
              <w:rPr>
                <w:rFonts w:ascii="Verdana" w:hAnsi="Verdana"/>
                <w:sz w:val="18"/>
                <w:szCs w:val="18"/>
              </w:rPr>
            </w:pPr>
          </w:p>
        </w:tc>
        <w:tc>
          <w:tcPr>
            <w:tcW w:w="3149" w:type="dxa"/>
          </w:tcPr>
          <w:p w14:paraId="3B57EF46"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Introduction of invasive species</w:t>
            </w:r>
          </w:p>
        </w:tc>
        <w:tc>
          <w:tcPr>
            <w:tcW w:w="1106" w:type="dxa"/>
          </w:tcPr>
          <w:p w14:paraId="37832A45"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3DF96ABD" w14:textId="77777777" w:rsidR="008715BE" w:rsidRPr="00EC75B7" w:rsidRDefault="00000000">
            <w:pPr>
              <w:pStyle w:val="TableParagraph"/>
              <w:spacing w:line="194" w:lineRule="exact"/>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2480AE0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77A1F6F2" w14:textId="77777777" w:rsidR="008715BE" w:rsidRPr="00EC75B7" w:rsidRDefault="00000000">
            <w:pPr>
              <w:pStyle w:val="TableParagraph"/>
              <w:tabs>
                <w:tab w:val="left" w:pos="588"/>
              </w:tabs>
              <w:spacing w:line="194" w:lineRule="exact"/>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B8B9408"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736" w:type="dxa"/>
          </w:tcPr>
          <w:p w14:paraId="54BAC2F5"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97" w:type="dxa"/>
          </w:tcPr>
          <w:p w14:paraId="1BD618DB" w14:textId="77777777" w:rsidR="008715BE" w:rsidRPr="00EC75B7" w:rsidRDefault="00000000">
            <w:pPr>
              <w:pStyle w:val="TableParagraph"/>
              <w:spacing w:before="8"/>
              <w:ind w:left="11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3860" w:type="dxa"/>
          </w:tcPr>
          <w:p w14:paraId="7F8459F4" w14:textId="77777777" w:rsidR="008715BE" w:rsidRPr="00EC75B7" w:rsidRDefault="00000000">
            <w:pPr>
              <w:pStyle w:val="TableParagraph"/>
              <w:spacing w:before="8"/>
              <w:ind w:left="117"/>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89" w:type="dxa"/>
          </w:tcPr>
          <w:p w14:paraId="137BE206" w14:textId="77777777" w:rsidR="008715BE" w:rsidRPr="00EC75B7" w:rsidRDefault="00000000">
            <w:pPr>
              <w:pStyle w:val="TableParagraph"/>
              <w:spacing w:before="8"/>
              <w:ind w:left="11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6D6671E8" w14:textId="77777777">
        <w:trPr>
          <w:trHeight w:val="2332"/>
        </w:trPr>
        <w:tc>
          <w:tcPr>
            <w:tcW w:w="523" w:type="dxa"/>
            <w:vMerge w:val="restart"/>
            <w:textDirection w:val="btLr"/>
          </w:tcPr>
          <w:p w14:paraId="56ED630B" w14:textId="77777777" w:rsidR="008715BE" w:rsidRPr="00EC75B7" w:rsidRDefault="00000000">
            <w:pPr>
              <w:pStyle w:val="TableParagraph"/>
              <w:spacing w:before="171"/>
              <w:jc w:val="center"/>
              <w:rPr>
                <w:rFonts w:ascii="Verdana" w:hAnsi="Verdana"/>
                <w:sz w:val="18"/>
                <w:szCs w:val="18"/>
              </w:rPr>
            </w:pPr>
            <w:r w:rsidRPr="00EC75B7">
              <w:rPr>
                <w:rFonts w:ascii="Verdana" w:hAnsi="Verdana"/>
                <w:spacing w:val="-2"/>
                <w:sz w:val="18"/>
                <w:szCs w:val="18"/>
              </w:rPr>
              <w:t>Decommissioning</w:t>
            </w:r>
          </w:p>
        </w:tc>
        <w:tc>
          <w:tcPr>
            <w:tcW w:w="2323" w:type="dxa"/>
            <w:vMerge w:val="restart"/>
          </w:tcPr>
          <w:p w14:paraId="6BFD7E7A" w14:textId="77777777" w:rsidR="008715BE" w:rsidRPr="00EC75B7" w:rsidRDefault="00000000">
            <w:pPr>
              <w:pStyle w:val="TableParagraph"/>
              <w:tabs>
                <w:tab w:val="left" w:pos="2087"/>
              </w:tabs>
              <w:spacing w:before="8"/>
              <w:ind w:left="105" w:right="95"/>
              <w:jc w:val="both"/>
              <w:rPr>
                <w:rFonts w:ascii="Verdana" w:hAnsi="Verdana"/>
                <w:sz w:val="18"/>
                <w:szCs w:val="18"/>
              </w:rPr>
            </w:pPr>
            <w:r w:rsidRPr="00EC75B7">
              <w:rPr>
                <w:rFonts w:ascii="Verdana" w:hAnsi="Verdana"/>
                <w:spacing w:val="-2"/>
                <w:sz w:val="18"/>
                <w:szCs w:val="18"/>
              </w:rPr>
              <w:t>Organization</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z w:val="18"/>
                <w:szCs w:val="18"/>
              </w:rPr>
              <w:t xml:space="preserve">operation of the construction site (including </w:t>
            </w:r>
            <w:r w:rsidRPr="00EC75B7">
              <w:rPr>
                <w:rFonts w:ascii="Verdana" w:hAnsi="Verdana"/>
                <w:spacing w:val="-2"/>
                <w:sz w:val="18"/>
                <w:szCs w:val="18"/>
              </w:rPr>
              <w:t xml:space="preserve">site </w:t>
            </w:r>
            <w:r w:rsidRPr="00EC75B7">
              <w:rPr>
                <w:rFonts w:ascii="Verdana" w:hAnsi="Verdana"/>
                <w:sz w:val="18"/>
                <w:szCs w:val="18"/>
              </w:rPr>
              <w:t>traffic</w:t>
            </w:r>
            <w:r w:rsidRPr="00EC75B7">
              <w:rPr>
                <w:rFonts w:ascii="Verdana" w:hAnsi="Verdana"/>
                <w:spacing w:val="-2"/>
                <w:sz w:val="18"/>
                <w:szCs w:val="18"/>
              </w:rPr>
              <w:t>)</w:t>
            </w:r>
          </w:p>
        </w:tc>
        <w:tc>
          <w:tcPr>
            <w:tcW w:w="3149" w:type="dxa"/>
          </w:tcPr>
          <w:p w14:paraId="76E9F438" w14:textId="77777777" w:rsidR="008715BE" w:rsidRPr="00EC75B7" w:rsidRDefault="00000000">
            <w:pPr>
              <w:pStyle w:val="TableParagraph"/>
              <w:spacing w:before="8"/>
              <w:ind w:left="108" w:right="93"/>
              <w:rPr>
                <w:rFonts w:ascii="Verdana" w:hAnsi="Verdana"/>
                <w:sz w:val="18"/>
                <w:szCs w:val="18"/>
              </w:rPr>
            </w:pPr>
            <w:r w:rsidRPr="00EC75B7">
              <w:rPr>
                <w:rFonts w:ascii="Verdana" w:hAnsi="Verdana"/>
                <w:sz w:val="18"/>
                <w:szCs w:val="18"/>
              </w:rPr>
              <w:t>Removal of topsoil and vegetation</w:t>
            </w:r>
          </w:p>
        </w:tc>
        <w:tc>
          <w:tcPr>
            <w:tcW w:w="1106" w:type="dxa"/>
          </w:tcPr>
          <w:p w14:paraId="084B09C0"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4"/>
                <w:sz w:val="18"/>
                <w:szCs w:val="18"/>
              </w:rPr>
              <w:t>AH/PH</w:t>
            </w:r>
          </w:p>
        </w:tc>
        <w:tc>
          <w:tcPr>
            <w:tcW w:w="1108" w:type="dxa"/>
          </w:tcPr>
          <w:p w14:paraId="41C1B28A"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3EEB1CE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89" w:type="dxa"/>
          </w:tcPr>
          <w:p w14:paraId="5CC13378"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01" w:type="dxa"/>
          </w:tcPr>
          <w:p w14:paraId="7AE06319"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D46B47D"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6C86E35E"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if </w:t>
            </w: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0DCD83B0"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2041B834"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14445E63"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1DE5B7FC" w14:textId="77777777" w:rsidR="008715BE" w:rsidRPr="00EC75B7" w:rsidRDefault="00000000">
            <w:pPr>
              <w:pStyle w:val="TableParagraph"/>
              <w:spacing w:before="193"/>
              <w:ind w:left="117" w:right="83"/>
              <w:jc w:val="both"/>
              <w:rPr>
                <w:rFonts w:ascii="Verdana" w:hAnsi="Verdana"/>
                <w:sz w:val="18"/>
                <w:szCs w:val="18"/>
              </w:rPr>
            </w:pPr>
            <w:r w:rsidRPr="00EC75B7">
              <w:rPr>
                <w:rFonts w:ascii="Verdana" w:hAnsi="Verdana"/>
                <w:sz w:val="18"/>
                <w:szCs w:val="18"/>
              </w:rPr>
              <w:t xml:space="preserve">Areas occupied outside the protected area where presence was reported following </w:t>
            </w:r>
            <w:r w:rsidRPr="00EC75B7">
              <w:rPr>
                <w:rFonts w:ascii="Verdana" w:hAnsi="Verdana"/>
                <w:spacing w:val="-2"/>
                <w:sz w:val="18"/>
                <w:szCs w:val="18"/>
              </w:rPr>
              <w:t>monitoring:</w:t>
            </w:r>
          </w:p>
          <w:p w14:paraId="10D004FC"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175BE123" w14:textId="77777777" w:rsidR="008715BE" w:rsidRPr="00EC75B7" w:rsidRDefault="00000000">
            <w:pPr>
              <w:pStyle w:val="TableParagraph"/>
              <w:spacing w:line="193" w:lineRule="exact"/>
              <w:ind w:left="117"/>
              <w:rPr>
                <w:rFonts w:ascii="Verdana" w:hAnsi="Verdana"/>
                <w:sz w:val="18"/>
                <w:szCs w:val="18"/>
              </w:rPr>
            </w:pPr>
            <w:r w:rsidRPr="00EC75B7">
              <w:rPr>
                <w:rFonts w:ascii="Verdana" w:hAnsi="Verdana"/>
                <w:sz w:val="18"/>
                <w:szCs w:val="18"/>
              </w:rPr>
              <w:t xml:space="preserve">309.24 ha </w:t>
            </w:r>
            <w:r w:rsidRPr="00EC75B7">
              <w:rPr>
                <w:rFonts w:ascii="Verdana" w:hAnsi="Verdana"/>
                <w:spacing w:val="-5"/>
                <w:sz w:val="18"/>
                <w:szCs w:val="18"/>
              </w:rPr>
              <w:t xml:space="preserve">of </w:t>
            </w:r>
            <w:r w:rsidRPr="00EC75B7">
              <w:rPr>
                <w:rFonts w:ascii="Verdana" w:hAnsi="Verdana"/>
                <w:sz w:val="18"/>
                <w:szCs w:val="18"/>
              </w:rPr>
              <w:t xml:space="preserve">areas permanently occupied </w:t>
            </w:r>
            <w:r w:rsidRPr="00EC75B7">
              <w:rPr>
                <w:rFonts w:ascii="Verdana" w:hAnsi="Verdana"/>
                <w:spacing w:val="-5"/>
                <w:sz w:val="18"/>
                <w:szCs w:val="18"/>
              </w:rPr>
              <w:t>by</w:t>
            </w:r>
          </w:p>
          <w:p w14:paraId="3AD8A7EC" w14:textId="77777777" w:rsidR="008715BE" w:rsidRPr="00EC75B7" w:rsidRDefault="00000000">
            <w:pPr>
              <w:pStyle w:val="TableParagraph"/>
              <w:tabs>
                <w:tab w:val="left" w:pos="1308"/>
                <w:tab w:val="left" w:pos="2586"/>
                <w:tab w:val="left" w:pos="3124"/>
              </w:tabs>
              <w:spacing w:line="194" w:lineRule="exact"/>
              <w:ind w:left="117"/>
              <w:rPr>
                <w:rFonts w:ascii="Verdana" w:hAnsi="Verdana"/>
                <w:sz w:val="18"/>
                <w:szCs w:val="18"/>
              </w:rPr>
            </w:pPr>
            <w:r w:rsidRPr="00EC75B7">
              <w:rPr>
                <w:rFonts w:ascii="Verdana" w:hAnsi="Verdana"/>
                <w:spacing w:val="-2"/>
                <w:sz w:val="18"/>
                <w:szCs w:val="18"/>
              </w:rPr>
              <w:t>structural</w:t>
            </w:r>
            <w:r w:rsidRPr="00EC75B7">
              <w:rPr>
                <w:rFonts w:ascii="Verdana" w:hAnsi="Verdana"/>
                <w:sz w:val="18"/>
                <w:szCs w:val="18"/>
              </w:rPr>
              <w:tab/>
            </w:r>
            <w:r w:rsidRPr="00EC75B7">
              <w:rPr>
                <w:rFonts w:ascii="Verdana" w:hAnsi="Verdana"/>
                <w:spacing w:val="-2"/>
                <w:sz w:val="18"/>
                <w:szCs w:val="18"/>
              </w:rPr>
              <w:t>structural</w:t>
            </w:r>
            <w:r w:rsidRPr="00EC75B7">
              <w:rPr>
                <w:rFonts w:ascii="Verdana" w:hAnsi="Verdana"/>
                <w:sz w:val="18"/>
                <w:szCs w:val="18"/>
              </w:rPr>
              <w:tab/>
            </w:r>
            <w:r w:rsidRPr="00EC75B7">
              <w:rPr>
                <w:rFonts w:ascii="Verdana" w:hAnsi="Verdana"/>
                <w:spacing w:val="-5"/>
                <w:sz w:val="18"/>
                <w:szCs w:val="18"/>
              </w:rPr>
              <w:t>of</w:t>
            </w:r>
            <w:r w:rsidRPr="00EC75B7">
              <w:rPr>
                <w:rFonts w:ascii="Verdana" w:hAnsi="Verdana"/>
                <w:sz w:val="18"/>
                <w:szCs w:val="18"/>
              </w:rPr>
              <w:tab/>
            </w:r>
            <w:r w:rsidRPr="00EC75B7">
              <w:rPr>
                <w:rFonts w:ascii="Verdana" w:hAnsi="Verdana"/>
                <w:spacing w:val="-2"/>
                <w:sz w:val="18"/>
                <w:szCs w:val="18"/>
              </w:rPr>
              <w:t>the</w:t>
            </w:r>
          </w:p>
          <w:p w14:paraId="24AEE905" w14:textId="77777777" w:rsidR="008715BE" w:rsidRPr="00EC75B7" w:rsidRDefault="00000000">
            <w:pPr>
              <w:pStyle w:val="TableParagraph"/>
              <w:spacing w:line="165" w:lineRule="exact"/>
              <w:ind w:left="117"/>
              <w:rPr>
                <w:rFonts w:ascii="Verdana" w:hAnsi="Verdana"/>
                <w:sz w:val="18"/>
                <w:szCs w:val="18"/>
              </w:rPr>
            </w:pPr>
            <w:r w:rsidRPr="00EC75B7">
              <w:rPr>
                <w:rFonts w:ascii="Verdana" w:hAnsi="Verdana"/>
                <w:spacing w:val="-2"/>
                <w:sz w:val="18"/>
                <w:szCs w:val="18"/>
              </w:rPr>
              <w:t>energy</w:t>
            </w:r>
          </w:p>
        </w:tc>
        <w:tc>
          <w:tcPr>
            <w:tcW w:w="1889" w:type="dxa"/>
          </w:tcPr>
          <w:p w14:paraId="652E27F3" w14:textId="77777777" w:rsidR="008715BE" w:rsidRPr="00EC75B7" w:rsidRDefault="00000000">
            <w:pPr>
              <w:pStyle w:val="TableParagraph"/>
              <w:tabs>
                <w:tab w:val="left" w:pos="1598"/>
                <w:tab w:val="left" w:pos="1654"/>
              </w:tabs>
              <w:spacing w:before="8"/>
              <w:ind w:left="119" w:right="81"/>
              <w:jc w:val="both"/>
              <w:rPr>
                <w:rFonts w:ascii="Verdana" w:hAnsi="Verdana"/>
                <w:sz w:val="18"/>
                <w:szCs w:val="18"/>
              </w:rPr>
            </w:pPr>
            <w:r w:rsidRPr="00EC75B7">
              <w:rPr>
                <w:rFonts w:ascii="Verdana" w:hAnsi="Verdana"/>
                <w:sz w:val="18"/>
                <w:szCs w:val="18"/>
              </w:rPr>
              <w:t xml:space="preserve">Spatial analysis and data received from the beneficiary Spatial analysis and data </w:t>
            </w:r>
            <w:r w:rsidRPr="00EC75B7">
              <w:rPr>
                <w:rFonts w:ascii="Verdana" w:hAnsi="Verdana"/>
                <w:spacing w:val="-2"/>
                <w:sz w:val="18"/>
                <w:szCs w:val="18"/>
              </w:rPr>
              <w:t>transmitted</w:t>
            </w:r>
            <w:r w:rsidRPr="00EC75B7">
              <w:rPr>
                <w:rFonts w:ascii="Verdana" w:hAnsi="Verdana"/>
                <w:sz w:val="18"/>
                <w:szCs w:val="18"/>
              </w:rPr>
              <w:tab/>
            </w:r>
            <w:r w:rsidRPr="00EC75B7">
              <w:rPr>
                <w:rFonts w:ascii="Verdana" w:hAnsi="Verdana"/>
                <w:spacing w:val="-6"/>
                <w:sz w:val="18"/>
                <w:szCs w:val="18"/>
              </w:rPr>
              <w:t xml:space="preserve">by </w:t>
            </w:r>
            <w:r w:rsidRPr="00EC75B7">
              <w:rPr>
                <w:rFonts w:ascii="Verdana" w:hAnsi="Verdana"/>
                <w:sz w:val="18"/>
                <w:szCs w:val="18"/>
              </w:rPr>
              <w:t xml:space="preserve">the </w:t>
            </w:r>
            <w:r w:rsidRPr="00EC75B7">
              <w:rPr>
                <w:rFonts w:ascii="Verdana" w:hAnsi="Verdana"/>
                <w:spacing w:val="-2"/>
                <w:sz w:val="18"/>
                <w:szCs w:val="18"/>
              </w:rPr>
              <w:t xml:space="preserve">Bulgarian </w:t>
            </w:r>
            <w:r w:rsidRPr="00EC75B7">
              <w:rPr>
                <w:rFonts w:ascii="Verdana" w:hAnsi="Verdana"/>
                <w:sz w:val="18"/>
                <w:szCs w:val="18"/>
              </w:rPr>
              <w:t>Ministry of Environment</w:t>
            </w:r>
            <w:r w:rsidRPr="00EC75B7">
              <w:rPr>
                <w:rFonts w:ascii="Verdana" w:hAnsi="Verdana"/>
                <w:sz w:val="18"/>
                <w:szCs w:val="18"/>
              </w:rPr>
              <w:tab/>
            </w:r>
            <w:r w:rsidRPr="00EC75B7">
              <w:rPr>
                <w:rFonts w:ascii="Verdana" w:hAnsi="Verdana"/>
                <w:sz w:val="18"/>
                <w:szCs w:val="18"/>
              </w:rPr>
              <w:tab/>
            </w:r>
            <w:r w:rsidRPr="00EC75B7">
              <w:rPr>
                <w:rFonts w:ascii="Verdana" w:hAnsi="Verdana"/>
                <w:spacing w:val="-5"/>
                <w:sz w:val="18"/>
                <w:szCs w:val="18"/>
              </w:rPr>
              <w:t>to</w:t>
            </w:r>
          </w:p>
          <w:p w14:paraId="36BF8BE4" w14:textId="77777777" w:rsidR="008715BE" w:rsidRPr="00EC75B7" w:rsidRDefault="00000000">
            <w:pPr>
              <w:pStyle w:val="TableParagraph"/>
              <w:ind w:left="119"/>
              <w:rPr>
                <w:rFonts w:ascii="Verdana" w:hAnsi="Verdana"/>
                <w:sz w:val="18"/>
                <w:szCs w:val="18"/>
              </w:rPr>
            </w:pPr>
            <w:r w:rsidRPr="00EC75B7">
              <w:rPr>
                <w:rFonts w:ascii="Verdana" w:hAnsi="Verdana"/>
                <w:spacing w:val="-2"/>
                <w:sz w:val="18"/>
                <w:szCs w:val="18"/>
              </w:rPr>
              <w:t>the beneficiary's request</w:t>
            </w:r>
          </w:p>
        </w:tc>
      </w:tr>
      <w:tr w:rsidR="008715BE" w:rsidRPr="00EC75B7" w14:paraId="54655F9F" w14:textId="77777777">
        <w:trPr>
          <w:trHeight w:val="2334"/>
        </w:trPr>
        <w:tc>
          <w:tcPr>
            <w:tcW w:w="523" w:type="dxa"/>
            <w:vMerge/>
            <w:tcBorders>
              <w:top w:val="nil"/>
            </w:tcBorders>
            <w:textDirection w:val="btLr"/>
          </w:tcPr>
          <w:p w14:paraId="0E2CC772" w14:textId="77777777" w:rsidR="008715BE" w:rsidRPr="00EC75B7" w:rsidRDefault="008715BE">
            <w:pPr>
              <w:rPr>
                <w:rFonts w:ascii="Verdana" w:hAnsi="Verdana"/>
                <w:sz w:val="18"/>
                <w:szCs w:val="18"/>
              </w:rPr>
            </w:pPr>
          </w:p>
        </w:tc>
        <w:tc>
          <w:tcPr>
            <w:tcW w:w="2323" w:type="dxa"/>
            <w:vMerge/>
            <w:tcBorders>
              <w:top w:val="nil"/>
            </w:tcBorders>
          </w:tcPr>
          <w:p w14:paraId="66EC251F" w14:textId="77777777" w:rsidR="008715BE" w:rsidRPr="00EC75B7" w:rsidRDefault="008715BE">
            <w:pPr>
              <w:rPr>
                <w:rFonts w:ascii="Verdana" w:hAnsi="Verdana"/>
                <w:sz w:val="18"/>
                <w:szCs w:val="18"/>
              </w:rPr>
            </w:pPr>
          </w:p>
        </w:tc>
        <w:tc>
          <w:tcPr>
            <w:tcW w:w="3149" w:type="dxa"/>
          </w:tcPr>
          <w:p w14:paraId="0C5905C2" w14:textId="77777777" w:rsidR="008715BE" w:rsidRPr="00EC75B7" w:rsidRDefault="00000000">
            <w:pPr>
              <w:pStyle w:val="TableParagraph"/>
              <w:spacing w:before="10"/>
              <w:ind w:left="108" w:right="93"/>
              <w:rPr>
                <w:rFonts w:ascii="Verdana" w:hAnsi="Verdana"/>
                <w:sz w:val="18"/>
                <w:szCs w:val="18"/>
              </w:rPr>
            </w:pPr>
            <w:r w:rsidRPr="00EC75B7">
              <w:rPr>
                <w:rFonts w:ascii="Verdana" w:hAnsi="Verdana"/>
                <w:sz w:val="18"/>
                <w:szCs w:val="18"/>
              </w:rPr>
              <w:t>Temporary occupation of land areas</w:t>
            </w:r>
          </w:p>
        </w:tc>
        <w:tc>
          <w:tcPr>
            <w:tcW w:w="1106" w:type="dxa"/>
          </w:tcPr>
          <w:p w14:paraId="4E3EA1BE" w14:textId="77777777" w:rsidR="008715BE" w:rsidRPr="00EC75B7" w:rsidRDefault="00000000">
            <w:pPr>
              <w:pStyle w:val="TableParagraph"/>
              <w:spacing w:before="10"/>
              <w:ind w:left="108"/>
              <w:rPr>
                <w:rFonts w:ascii="Verdana" w:hAnsi="Verdana"/>
                <w:sz w:val="18"/>
                <w:szCs w:val="18"/>
              </w:rPr>
            </w:pPr>
            <w:r w:rsidRPr="00EC75B7">
              <w:rPr>
                <w:rFonts w:ascii="Verdana" w:hAnsi="Verdana"/>
                <w:spacing w:val="-5"/>
                <w:sz w:val="18"/>
                <w:szCs w:val="18"/>
              </w:rPr>
              <w:t>FH</w:t>
            </w:r>
          </w:p>
        </w:tc>
        <w:tc>
          <w:tcPr>
            <w:tcW w:w="1108" w:type="dxa"/>
          </w:tcPr>
          <w:p w14:paraId="53CFCDB0" w14:textId="77777777" w:rsidR="008715BE" w:rsidRPr="00EC75B7" w:rsidRDefault="00000000">
            <w:pPr>
              <w:pStyle w:val="TableParagraph"/>
              <w:spacing w:before="10"/>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6612C6B5"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795DEB90" w14:textId="77777777" w:rsidR="008715BE" w:rsidRPr="00EC75B7" w:rsidRDefault="00000000">
            <w:pPr>
              <w:pStyle w:val="TableParagraph"/>
              <w:tabs>
                <w:tab w:val="left" w:pos="588"/>
              </w:tabs>
              <w:spacing w:before="10"/>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2322DD0A" w14:textId="77777777" w:rsidR="008715BE" w:rsidRPr="00EC75B7" w:rsidRDefault="00000000">
            <w:pPr>
              <w:pStyle w:val="TableParagraph"/>
              <w:tabs>
                <w:tab w:val="left" w:pos="903"/>
              </w:tabs>
              <w:spacing w:before="10"/>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B868780" w14:textId="77777777" w:rsidR="008715BE" w:rsidRPr="00EC75B7" w:rsidRDefault="00000000">
            <w:pPr>
              <w:pStyle w:val="TableParagraph"/>
              <w:spacing w:before="10"/>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4308FC30"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if </w:t>
            </w: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4ABF8A3D" w14:textId="77777777" w:rsidR="008715BE" w:rsidRPr="00EC75B7" w:rsidRDefault="00000000">
            <w:pPr>
              <w:pStyle w:val="TableParagraph"/>
              <w:spacing w:before="10"/>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312726F8" w14:textId="77777777" w:rsidR="008715BE" w:rsidRPr="00EC75B7" w:rsidRDefault="00000000">
            <w:pPr>
              <w:pStyle w:val="TableParagraph"/>
              <w:spacing w:before="10"/>
              <w:ind w:left="117"/>
              <w:jc w:val="both"/>
              <w:rPr>
                <w:rFonts w:ascii="Verdana" w:hAnsi="Verdana"/>
                <w:sz w:val="18"/>
                <w:szCs w:val="18"/>
              </w:rPr>
            </w:pPr>
            <w:r w:rsidRPr="00EC75B7">
              <w:rPr>
                <w:rFonts w:ascii="Verdana" w:hAnsi="Verdana"/>
                <w:sz w:val="18"/>
                <w:szCs w:val="18"/>
              </w:rPr>
              <w:t xml:space="preserve">0 ha fragmented habitats in the </w:t>
            </w:r>
            <w:r w:rsidRPr="00EC75B7">
              <w:rPr>
                <w:rFonts w:ascii="Verdana" w:hAnsi="Verdana"/>
                <w:spacing w:val="-2"/>
                <w:sz w:val="18"/>
                <w:szCs w:val="18"/>
              </w:rPr>
              <w:t xml:space="preserve">protected </w:t>
            </w:r>
            <w:r w:rsidRPr="00EC75B7">
              <w:rPr>
                <w:rFonts w:ascii="Verdana" w:hAnsi="Verdana"/>
                <w:sz w:val="18"/>
                <w:szCs w:val="18"/>
              </w:rPr>
              <w:t>area</w:t>
            </w:r>
          </w:p>
          <w:p w14:paraId="460EC5A5" w14:textId="77777777" w:rsidR="008715BE" w:rsidRPr="00EC75B7" w:rsidRDefault="00000000">
            <w:pPr>
              <w:pStyle w:val="TableParagraph"/>
              <w:spacing w:before="194"/>
              <w:ind w:left="117" w:right="83"/>
              <w:jc w:val="both"/>
              <w:rPr>
                <w:rFonts w:ascii="Verdana" w:hAnsi="Verdana"/>
                <w:sz w:val="18"/>
                <w:szCs w:val="18"/>
              </w:rPr>
            </w:pPr>
            <w:r w:rsidRPr="00EC75B7">
              <w:rPr>
                <w:rFonts w:ascii="Verdana" w:hAnsi="Verdana"/>
                <w:sz w:val="18"/>
                <w:szCs w:val="18"/>
              </w:rPr>
              <w:t xml:space="preserve">Areas occupied outside the protected area where presence has been reported following </w:t>
            </w:r>
            <w:r w:rsidRPr="00EC75B7">
              <w:rPr>
                <w:rFonts w:ascii="Verdana" w:hAnsi="Verdana"/>
                <w:spacing w:val="-2"/>
                <w:sz w:val="18"/>
                <w:szCs w:val="18"/>
              </w:rPr>
              <w:t>monitoring:</w:t>
            </w:r>
          </w:p>
          <w:p w14:paraId="3FC124B5"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6FA9FE74" w14:textId="77777777" w:rsidR="008715BE" w:rsidRPr="00EC75B7" w:rsidRDefault="00000000">
            <w:pPr>
              <w:pStyle w:val="TableParagraph"/>
              <w:spacing w:line="192" w:lineRule="exact"/>
              <w:ind w:left="117"/>
              <w:rPr>
                <w:rFonts w:ascii="Verdana" w:hAnsi="Verdana"/>
                <w:sz w:val="18"/>
                <w:szCs w:val="18"/>
              </w:rPr>
            </w:pPr>
            <w:r w:rsidRPr="00EC75B7">
              <w:rPr>
                <w:rFonts w:ascii="Verdana" w:hAnsi="Verdana"/>
                <w:sz w:val="18"/>
                <w:szCs w:val="18"/>
              </w:rPr>
              <w:t xml:space="preserve">309.24 ha </w:t>
            </w:r>
            <w:r w:rsidRPr="00EC75B7">
              <w:rPr>
                <w:rFonts w:ascii="Verdana" w:hAnsi="Verdana"/>
                <w:spacing w:val="-5"/>
                <w:sz w:val="18"/>
                <w:szCs w:val="18"/>
              </w:rPr>
              <w:t xml:space="preserve">of </w:t>
            </w:r>
            <w:r w:rsidRPr="00EC75B7">
              <w:rPr>
                <w:rFonts w:ascii="Verdana" w:hAnsi="Verdana"/>
                <w:sz w:val="18"/>
                <w:szCs w:val="18"/>
              </w:rPr>
              <w:t xml:space="preserve">areas permanently occupied </w:t>
            </w:r>
            <w:r w:rsidRPr="00EC75B7">
              <w:rPr>
                <w:rFonts w:ascii="Verdana" w:hAnsi="Verdana"/>
                <w:spacing w:val="-5"/>
                <w:sz w:val="18"/>
                <w:szCs w:val="18"/>
              </w:rPr>
              <w:t>by</w:t>
            </w:r>
          </w:p>
          <w:p w14:paraId="6793AC03" w14:textId="77777777" w:rsidR="008715BE" w:rsidRPr="00EC75B7" w:rsidRDefault="00000000">
            <w:pPr>
              <w:pStyle w:val="TableParagraph"/>
              <w:tabs>
                <w:tab w:val="left" w:pos="1308"/>
                <w:tab w:val="left" w:pos="2586"/>
                <w:tab w:val="left" w:pos="3124"/>
              </w:tabs>
              <w:spacing w:line="194" w:lineRule="exact"/>
              <w:ind w:left="117"/>
              <w:rPr>
                <w:rFonts w:ascii="Verdana" w:hAnsi="Verdana"/>
                <w:sz w:val="18"/>
                <w:szCs w:val="18"/>
              </w:rPr>
            </w:pPr>
            <w:r w:rsidRPr="00EC75B7">
              <w:rPr>
                <w:rFonts w:ascii="Verdana" w:hAnsi="Verdana"/>
                <w:spacing w:val="-2"/>
                <w:sz w:val="18"/>
                <w:szCs w:val="18"/>
              </w:rPr>
              <w:t>structural</w:t>
            </w:r>
            <w:r w:rsidRPr="00EC75B7">
              <w:rPr>
                <w:rFonts w:ascii="Verdana" w:hAnsi="Verdana"/>
                <w:sz w:val="18"/>
                <w:szCs w:val="18"/>
              </w:rPr>
              <w:tab/>
            </w:r>
            <w:r w:rsidRPr="00EC75B7">
              <w:rPr>
                <w:rFonts w:ascii="Verdana" w:hAnsi="Verdana"/>
                <w:spacing w:val="-2"/>
                <w:sz w:val="18"/>
                <w:szCs w:val="18"/>
              </w:rPr>
              <w:t>structural</w:t>
            </w:r>
            <w:r w:rsidRPr="00EC75B7">
              <w:rPr>
                <w:rFonts w:ascii="Verdana" w:hAnsi="Verdana"/>
                <w:sz w:val="18"/>
                <w:szCs w:val="18"/>
              </w:rPr>
              <w:tab/>
            </w:r>
            <w:r w:rsidRPr="00EC75B7">
              <w:rPr>
                <w:rFonts w:ascii="Verdana" w:hAnsi="Verdana"/>
                <w:spacing w:val="-5"/>
                <w:sz w:val="18"/>
                <w:szCs w:val="18"/>
              </w:rPr>
              <w:t>of</w:t>
            </w:r>
            <w:r w:rsidRPr="00EC75B7">
              <w:rPr>
                <w:rFonts w:ascii="Verdana" w:hAnsi="Verdana"/>
                <w:sz w:val="18"/>
                <w:szCs w:val="18"/>
              </w:rPr>
              <w:tab/>
            </w:r>
            <w:r w:rsidRPr="00EC75B7">
              <w:rPr>
                <w:rFonts w:ascii="Verdana" w:hAnsi="Verdana"/>
                <w:spacing w:val="-2"/>
                <w:sz w:val="18"/>
                <w:szCs w:val="18"/>
              </w:rPr>
              <w:t>the</w:t>
            </w:r>
          </w:p>
          <w:p w14:paraId="273AE34E" w14:textId="77777777" w:rsidR="008715BE" w:rsidRPr="00EC75B7" w:rsidRDefault="00000000">
            <w:pPr>
              <w:pStyle w:val="TableParagraph"/>
              <w:spacing w:line="165" w:lineRule="exact"/>
              <w:ind w:left="117"/>
              <w:rPr>
                <w:rFonts w:ascii="Verdana" w:hAnsi="Verdana"/>
                <w:sz w:val="18"/>
                <w:szCs w:val="18"/>
              </w:rPr>
            </w:pPr>
            <w:r w:rsidRPr="00EC75B7">
              <w:rPr>
                <w:rFonts w:ascii="Verdana" w:hAnsi="Verdana"/>
                <w:spacing w:val="-2"/>
                <w:sz w:val="18"/>
                <w:szCs w:val="18"/>
              </w:rPr>
              <w:t>energy</w:t>
            </w:r>
          </w:p>
        </w:tc>
        <w:tc>
          <w:tcPr>
            <w:tcW w:w="1889" w:type="dxa"/>
          </w:tcPr>
          <w:p w14:paraId="192EF69D" w14:textId="77777777" w:rsidR="008715BE" w:rsidRPr="00EC75B7" w:rsidRDefault="00000000">
            <w:pPr>
              <w:pStyle w:val="TableParagraph"/>
              <w:tabs>
                <w:tab w:val="left" w:pos="1598"/>
                <w:tab w:val="left" w:pos="1654"/>
              </w:tabs>
              <w:spacing w:before="10"/>
              <w:ind w:left="119" w:right="81"/>
              <w:jc w:val="both"/>
              <w:rPr>
                <w:rFonts w:ascii="Verdana" w:hAnsi="Verdana"/>
                <w:sz w:val="18"/>
                <w:szCs w:val="18"/>
              </w:rPr>
            </w:pPr>
            <w:r w:rsidRPr="00EC75B7">
              <w:rPr>
                <w:rFonts w:ascii="Verdana" w:hAnsi="Verdana"/>
                <w:sz w:val="18"/>
                <w:szCs w:val="18"/>
              </w:rPr>
              <w:t xml:space="preserve">Spatial analysis and data received from the beneficiary Spatial analysis and data </w:t>
            </w:r>
            <w:r w:rsidRPr="00EC75B7">
              <w:rPr>
                <w:rFonts w:ascii="Verdana" w:hAnsi="Verdana"/>
                <w:spacing w:val="-2"/>
                <w:sz w:val="18"/>
                <w:szCs w:val="18"/>
              </w:rPr>
              <w:t>transmitted</w:t>
            </w:r>
            <w:r w:rsidRPr="00EC75B7">
              <w:rPr>
                <w:rFonts w:ascii="Verdana" w:hAnsi="Verdana"/>
                <w:sz w:val="18"/>
                <w:szCs w:val="18"/>
              </w:rPr>
              <w:tab/>
            </w:r>
            <w:r w:rsidRPr="00EC75B7">
              <w:rPr>
                <w:rFonts w:ascii="Verdana" w:hAnsi="Verdana"/>
                <w:spacing w:val="-6"/>
                <w:sz w:val="18"/>
                <w:szCs w:val="18"/>
              </w:rPr>
              <w:t xml:space="preserve">by </w:t>
            </w:r>
            <w:r w:rsidRPr="00EC75B7">
              <w:rPr>
                <w:rFonts w:ascii="Verdana" w:hAnsi="Verdana"/>
                <w:sz w:val="18"/>
                <w:szCs w:val="18"/>
              </w:rPr>
              <w:t xml:space="preserve">the </w:t>
            </w:r>
            <w:r w:rsidRPr="00EC75B7">
              <w:rPr>
                <w:rFonts w:ascii="Verdana" w:hAnsi="Verdana"/>
                <w:spacing w:val="-2"/>
                <w:sz w:val="18"/>
                <w:szCs w:val="18"/>
              </w:rPr>
              <w:t xml:space="preserve">Bulgarian </w:t>
            </w:r>
            <w:r w:rsidRPr="00EC75B7">
              <w:rPr>
                <w:rFonts w:ascii="Verdana" w:hAnsi="Verdana"/>
                <w:sz w:val="18"/>
                <w:szCs w:val="18"/>
              </w:rPr>
              <w:t>Ministry of Environment</w:t>
            </w:r>
            <w:r w:rsidRPr="00EC75B7">
              <w:rPr>
                <w:rFonts w:ascii="Verdana" w:hAnsi="Verdana"/>
                <w:sz w:val="18"/>
                <w:szCs w:val="18"/>
              </w:rPr>
              <w:tab/>
            </w:r>
            <w:r w:rsidRPr="00EC75B7">
              <w:rPr>
                <w:rFonts w:ascii="Verdana" w:hAnsi="Verdana"/>
                <w:sz w:val="18"/>
                <w:szCs w:val="18"/>
              </w:rPr>
              <w:tab/>
            </w:r>
            <w:r w:rsidRPr="00EC75B7">
              <w:rPr>
                <w:rFonts w:ascii="Verdana" w:hAnsi="Verdana"/>
                <w:spacing w:val="-5"/>
                <w:sz w:val="18"/>
                <w:szCs w:val="18"/>
              </w:rPr>
              <w:t>to</w:t>
            </w:r>
          </w:p>
          <w:p w14:paraId="39B79F41" w14:textId="77777777" w:rsidR="008715BE" w:rsidRPr="00EC75B7" w:rsidRDefault="00000000">
            <w:pPr>
              <w:pStyle w:val="TableParagraph"/>
              <w:ind w:left="119"/>
              <w:rPr>
                <w:rFonts w:ascii="Verdana" w:hAnsi="Verdana"/>
                <w:sz w:val="18"/>
                <w:szCs w:val="18"/>
              </w:rPr>
            </w:pPr>
            <w:r w:rsidRPr="00EC75B7">
              <w:rPr>
                <w:rFonts w:ascii="Verdana" w:hAnsi="Verdana"/>
                <w:spacing w:val="-2"/>
                <w:sz w:val="18"/>
                <w:szCs w:val="18"/>
              </w:rPr>
              <w:t>the beneficiary's request</w:t>
            </w:r>
          </w:p>
        </w:tc>
      </w:tr>
      <w:tr w:rsidR="008715BE" w:rsidRPr="00EC75B7" w14:paraId="055997BB" w14:textId="77777777">
        <w:trPr>
          <w:trHeight w:val="2138"/>
        </w:trPr>
        <w:tc>
          <w:tcPr>
            <w:tcW w:w="523" w:type="dxa"/>
            <w:vMerge/>
            <w:tcBorders>
              <w:top w:val="nil"/>
            </w:tcBorders>
            <w:textDirection w:val="btLr"/>
          </w:tcPr>
          <w:p w14:paraId="50123CE3" w14:textId="77777777" w:rsidR="008715BE" w:rsidRPr="00EC75B7" w:rsidRDefault="008715BE">
            <w:pPr>
              <w:rPr>
                <w:rFonts w:ascii="Verdana" w:hAnsi="Verdana"/>
                <w:sz w:val="18"/>
                <w:szCs w:val="18"/>
              </w:rPr>
            </w:pPr>
          </w:p>
        </w:tc>
        <w:tc>
          <w:tcPr>
            <w:tcW w:w="2323" w:type="dxa"/>
            <w:vMerge/>
            <w:tcBorders>
              <w:top w:val="nil"/>
            </w:tcBorders>
          </w:tcPr>
          <w:p w14:paraId="66B6C068" w14:textId="77777777" w:rsidR="008715BE" w:rsidRPr="00EC75B7" w:rsidRDefault="008715BE">
            <w:pPr>
              <w:rPr>
                <w:rFonts w:ascii="Verdana" w:hAnsi="Verdana"/>
                <w:sz w:val="18"/>
                <w:szCs w:val="18"/>
              </w:rPr>
            </w:pPr>
          </w:p>
        </w:tc>
        <w:tc>
          <w:tcPr>
            <w:tcW w:w="3149" w:type="dxa"/>
          </w:tcPr>
          <w:p w14:paraId="0C003DDC"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Increase in </w:t>
            </w:r>
            <w:r w:rsidRPr="00EC75B7">
              <w:rPr>
                <w:rFonts w:ascii="Verdana" w:hAnsi="Verdana"/>
                <w:spacing w:val="-2"/>
                <w:sz w:val="18"/>
                <w:szCs w:val="18"/>
              </w:rPr>
              <w:t xml:space="preserve">noise </w:t>
            </w:r>
            <w:r w:rsidRPr="00EC75B7">
              <w:rPr>
                <w:rFonts w:ascii="Verdana" w:hAnsi="Verdana"/>
                <w:sz w:val="18"/>
                <w:szCs w:val="18"/>
              </w:rPr>
              <w:t>levels</w:t>
            </w:r>
          </w:p>
        </w:tc>
        <w:tc>
          <w:tcPr>
            <w:tcW w:w="1106" w:type="dxa"/>
          </w:tcPr>
          <w:p w14:paraId="0051DFDE"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PAS</w:t>
            </w:r>
          </w:p>
        </w:tc>
        <w:tc>
          <w:tcPr>
            <w:tcW w:w="1108" w:type="dxa"/>
          </w:tcPr>
          <w:p w14:paraId="6005EAF0"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5E12E83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16640F01"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7A05E9A"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7E59E720"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5A04A4C5" w14:textId="77777777" w:rsidR="008715BE" w:rsidRPr="00EC75B7" w:rsidRDefault="00000000">
            <w:pPr>
              <w:pStyle w:val="TableParagraph"/>
              <w:ind w:left="111"/>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7F31F400" w14:textId="77777777" w:rsidR="008715BE" w:rsidRPr="00EC75B7" w:rsidRDefault="00000000">
            <w:pPr>
              <w:pStyle w:val="TableParagraph"/>
              <w:spacing w:line="164" w:lineRule="exact"/>
              <w:ind w:left="111"/>
              <w:rPr>
                <w:rFonts w:ascii="Verdana" w:hAnsi="Verdana"/>
                <w:i/>
                <w:sz w:val="18"/>
                <w:szCs w:val="18"/>
              </w:rPr>
            </w:pP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3A6AAD6B" w14:textId="77777777" w:rsidR="008715BE" w:rsidRPr="00EC75B7" w:rsidRDefault="00000000">
            <w:pPr>
              <w:pStyle w:val="TableParagraph"/>
              <w:tabs>
                <w:tab w:val="left" w:pos="1014"/>
              </w:tabs>
              <w:spacing w:before="8"/>
              <w:ind w:left="115" w:right="87"/>
              <w:rPr>
                <w:rFonts w:ascii="Verdana" w:hAnsi="Verdana"/>
                <w:sz w:val="18"/>
                <w:szCs w:val="18"/>
              </w:rPr>
            </w:pPr>
            <w:r w:rsidRPr="00EC75B7">
              <w:rPr>
                <w:rFonts w:ascii="Verdana" w:hAnsi="Verdana"/>
                <w:spacing w:val="-2"/>
                <w:sz w:val="18"/>
                <w:szCs w:val="18"/>
              </w:rPr>
              <w:t>Population size</w:t>
            </w:r>
            <w:r w:rsidRPr="00EC75B7">
              <w:rPr>
                <w:rFonts w:ascii="Verdana" w:hAnsi="Verdana"/>
                <w:sz w:val="18"/>
                <w:szCs w:val="18"/>
              </w:rPr>
              <w:tab/>
              <w:t>(distribution pattern)</w:t>
            </w:r>
          </w:p>
        </w:tc>
        <w:tc>
          <w:tcPr>
            <w:tcW w:w="3860" w:type="dxa"/>
          </w:tcPr>
          <w:p w14:paraId="298BC0CF" w14:textId="77777777" w:rsidR="008715BE" w:rsidRPr="00EC75B7" w:rsidRDefault="00000000">
            <w:pPr>
              <w:pStyle w:val="TableParagraph"/>
              <w:spacing w:before="8"/>
              <w:ind w:left="117" w:right="86"/>
              <w:jc w:val="both"/>
              <w:rPr>
                <w:rFonts w:ascii="Verdana" w:hAnsi="Verdana"/>
                <w:sz w:val="18"/>
                <w:szCs w:val="18"/>
              </w:rPr>
            </w:pPr>
            <w:r w:rsidRPr="00EC75B7">
              <w:rPr>
                <w:rFonts w:ascii="Verdana" w:hAnsi="Verdana"/>
                <w:sz w:val="18"/>
                <w:szCs w:val="18"/>
              </w:rPr>
              <w:t>Possible disturbance of the activity of a maximum of 2 to 3 individuals</w:t>
            </w:r>
          </w:p>
          <w:p w14:paraId="71707DFE" w14:textId="77777777" w:rsidR="008715BE" w:rsidRPr="00EC75B7" w:rsidRDefault="00000000">
            <w:pPr>
              <w:pStyle w:val="TableParagraph"/>
              <w:ind w:left="117" w:right="83"/>
              <w:jc w:val="both"/>
              <w:rPr>
                <w:rFonts w:ascii="Verdana" w:hAnsi="Verdana"/>
                <w:sz w:val="18"/>
                <w:szCs w:val="18"/>
              </w:rPr>
            </w:pPr>
            <w:r w:rsidRPr="00EC75B7">
              <w:rPr>
                <w:rFonts w:ascii="Verdana" w:hAnsi="Verdana"/>
                <w:sz w:val="18"/>
                <w:szCs w:val="18"/>
              </w:rPr>
              <w:t>The effects will be felt locally, at distances that are not likely to affect sensitive receptors in the area</w:t>
            </w:r>
          </w:p>
          <w:p w14:paraId="039E6D57" w14:textId="77777777" w:rsidR="008715BE" w:rsidRPr="00EC75B7" w:rsidRDefault="00000000">
            <w:pPr>
              <w:pStyle w:val="TableParagraph"/>
              <w:ind w:left="117" w:right="86"/>
              <w:jc w:val="both"/>
              <w:rPr>
                <w:rFonts w:ascii="Verdana" w:hAnsi="Verdana"/>
                <w:sz w:val="18"/>
                <w:szCs w:val="18"/>
              </w:rPr>
            </w:pPr>
            <w:r w:rsidRPr="00EC75B7">
              <w:rPr>
                <w:rFonts w:ascii="Verdana" w:hAnsi="Verdana"/>
                <w:sz w:val="18"/>
                <w:szCs w:val="18"/>
              </w:rPr>
              <w:t>The 30 dB noise isoline will be felt at distances of up to 1.5 km around the work area</w:t>
            </w:r>
          </w:p>
        </w:tc>
        <w:tc>
          <w:tcPr>
            <w:tcW w:w="1889" w:type="dxa"/>
          </w:tcPr>
          <w:p w14:paraId="6FD56404" w14:textId="77777777" w:rsidR="008715BE" w:rsidRPr="00EC75B7" w:rsidRDefault="00000000">
            <w:pPr>
              <w:pStyle w:val="TableParagraph"/>
              <w:tabs>
                <w:tab w:val="left" w:pos="1598"/>
                <w:tab w:val="left" w:pos="1654"/>
              </w:tabs>
              <w:spacing w:before="8"/>
              <w:ind w:left="119" w:right="81"/>
              <w:jc w:val="both"/>
              <w:rPr>
                <w:rFonts w:ascii="Verdana" w:hAnsi="Verdana"/>
                <w:sz w:val="18"/>
                <w:szCs w:val="18"/>
              </w:rPr>
            </w:pPr>
            <w:r w:rsidRPr="00EC75B7">
              <w:rPr>
                <w:rFonts w:ascii="Verdana" w:hAnsi="Verdana"/>
                <w:sz w:val="18"/>
                <w:szCs w:val="18"/>
              </w:rPr>
              <w:t xml:space="preserve">Spatial analysis and data received from the beneficiary Spatial analysis and data </w:t>
            </w:r>
            <w:r w:rsidRPr="00EC75B7">
              <w:rPr>
                <w:rFonts w:ascii="Verdana" w:hAnsi="Verdana"/>
                <w:spacing w:val="-2"/>
                <w:sz w:val="18"/>
                <w:szCs w:val="18"/>
              </w:rPr>
              <w:t>transmitted</w:t>
            </w:r>
            <w:r w:rsidRPr="00EC75B7">
              <w:rPr>
                <w:rFonts w:ascii="Verdana" w:hAnsi="Verdana"/>
                <w:sz w:val="18"/>
                <w:szCs w:val="18"/>
              </w:rPr>
              <w:tab/>
            </w:r>
            <w:r w:rsidRPr="00EC75B7">
              <w:rPr>
                <w:rFonts w:ascii="Verdana" w:hAnsi="Verdana"/>
                <w:spacing w:val="-6"/>
                <w:sz w:val="18"/>
                <w:szCs w:val="18"/>
              </w:rPr>
              <w:t xml:space="preserve">by </w:t>
            </w:r>
            <w:r w:rsidRPr="00EC75B7">
              <w:rPr>
                <w:rFonts w:ascii="Verdana" w:hAnsi="Verdana"/>
                <w:sz w:val="18"/>
                <w:szCs w:val="18"/>
              </w:rPr>
              <w:t xml:space="preserve">the </w:t>
            </w:r>
            <w:r w:rsidRPr="00EC75B7">
              <w:rPr>
                <w:rFonts w:ascii="Verdana" w:hAnsi="Verdana"/>
                <w:spacing w:val="-2"/>
                <w:sz w:val="18"/>
                <w:szCs w:val="18"/>
              </w:rPr>
              <w:t xml:space="preserve">Bulgarian </w:t>
            </w:r>
            <w:r w:rsidRPr="00EC75B7">
              <w:rPr>
                <w:rFonts w:ascii="Verdana" w:hAnsi="Verdana"/>
                <w:sz w:val="18"/>
                <w:szCs w:val="18"/>
              </w:rPr>
              <w:t>Ministry of the Environment</w:t>
            </w:r>
            <w:r w:rsidRPr="00EC75B7">
              <w:rPr>
                <w:rFonts w:ascii="Verdana" w:hAnsi="Verdana"/>
                <w:sz w:val="18"/>
                <w:szCs w:val="18"/>
              </w:rPr>
              <w:tab/>
            </w:r>
            <w:r w:rsidRPr="00EC75B7">
              <w:rPr>
                <w:rFonts w:ascii="Verdana" w:hAnsi="Verdana"/>
                <w:sz w:val="18"/>
                <w:szCs w:val="18"/>
              </w:rPr>
              <w:tab/>
            </w:r>
            <w:r w:rsidRPr="00EC75B7">
              <w:rPr>
                <w:rFonts w:ascii="Verdana" w:hAnsi="Verdana"/>
                <w:spacing w:val="-5"/>
                <w:sz w:val="18"/>
                <w:szCs w:val="18"/>
              </w:rPr>
              <w:t>to</w:t>
            </w:r>
          </w:p>
          <w:p w14:paraId="686ADD3E" w14:textId="77777777" w:rsidR="008715BE" w:rsidRPr="00EC75B7" w:rsidRDefault="00000000">
            <w:pPr>
              <w:pStyle w:val="TableParagraph"/>
              <w:tabs>
                <w:tab w:val="left" w:pos="1417"/>
              </w:tabs>
              <w:ind w:left="119" w:right="83"/>
              <w:rPr>
                <w:rFonts w:ascii="Verdana" w:hAnsi="Verdana"/>
                <w:sz w:val="18"/>
                <w:szCs w:val="18"/>
              </w:rPr>
            </w:pPr>
            <w:r w:rsidRPr="00EC75B7">
              <w:rPr>
                <w:rFonts w:ascii="Verdana" w:hAnsi="Verdana"/>
                <w:spacing w:val="-2"/>
                <w:sz w:val="18"/>
                <w:szCs w:val="18"/>
              </w:rPr>
              <w:t>the beneficiary's request Estimates</w:t>
            </w:r>
            <w:r w:rsidRPr="00EC75B7">
              <w:rPr>
                <w:rFonts w:ascii="Verdana" w:hAnsi="Verdana"/>
                <w:sz w:val="18"/>
                <w:szCs w:val="18"/>
              </w:rPr>
              <w:tab/>
            </w:r>
            <w:r w:rsidRPr="00EC75B7">
              <w:rPr>
                <w:rFonts w:ascii="Verdana" w:hAnsi="Verdana"/>
                <w:spacing w:val="-4"/>
                <w:sz w:val="18"/>
                <w:szCs w:val="18"/>
              </w:rPr>
              <w:t>level</w:t>
            </w:r>
          </w:p>
          <w:p w14:paraId="66B69406" w14:textId="77777777" w:rsidR="008715BE" w:rsidRPr="00EC75B7" w:rsidRDefault="00000000">
            <w:pPr>
              <w:pStyle w:val="TableParagraph"/>
              <w:spacing w:line="163" w:lineRule="exact"/>
              <w:ind w:left="119"/>
              <w:rPr>
                <w:rFonts w:ascii="Verdana" w:hAnsi="Verdana"/>
                <w:sz w:val="18"/>
                <w:szCs w:val="18"/>
              </w:rPr>
            </w:pPr>
            <w:r w:rsidRPr="00EC75B7">
              <w:rPr>
                <w:rFonts w:ascii="Verdana" w:hAnsi="Verdana"/>
                <w:spacing w:val="-2"/>
                <w:sz w:val="18"/>
                <w:szCs w:val="18"/>
              </w:rPr>
              <w:t>level</w:t>
            </w:r>
          </w:p>
        </w:tc>
      </w:tr>
    </w:tbl>
    <w:p w14:paraId="591E8379" w14:textId="77777777" w:rsidR="008715BE" w:rsidRPr="00EC75B7" w:rsidRDefault="008715BE">
      <w:pPr>
        <w:pStyle w:val="TableParagraph"/>
        <w:spacing w:line="163" w:lineRule="exact"/>
        <w:rPr>
          <w:rFonts w:ascii="Verdana" w:hAnsi="Verdana"/>
          <w:sz w:val="18"/>
          <w:szCs w:val="18"/>
        </w:rPr>
        <w:sectPr w:rsidR="008715BE" w:rsidRPr="00EC75B7">
          <w:pgSz w:w="23820" w:h="16840" w:orient="landscape"/>
          <w:pgMar w:top="1120" w:right="850" w:bottom="1020" w:left="566" w:header="766" w:footer="810" w:gutter="0"/>
          <w:cols w:space="708"/>
        </w:sectPr>
      </w:pPr>
    </w:p>
    <w:p w14:paraId="02A6AF0C" w14:textId="77777777" w:rsidR="008715BE" w:rsidRPr="00EC75B7"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EC75B7" w14:paraId="61F8E6CA" w14:textId="77777777">
        <w:trPr>
          <w:trHeight w:val="842"/>
        </w:trPr>
        <w:tc>
          <w:tcPr>
            <w:tcW w:w="2846" w:type="dxa"/>
            <w:gridSpan w:val="2"/>
            <w:shd w:val="clear" w:color="auto" w:fill="00A1E8"/>
          </w:tcPr>
          <w:p w14:paraId="4F961D06" w14:textId="77777777" w:rsidR="008715BE" w:rsidRPr="00EC75B7" w:rsidRDefault="008715BE">
            <w:pPr>
              <w:pStyle w:val="TableParagraph"/>
              <w:spacing w:before="136"/>
              <w:rPr>
                <w:rFonts w:ascii="Verdana" w:hAnsi="Verdana"/>
                <w:b/>
                <w:sz w:val="18"/>
                <w:szCs w:val="18"/>
              </w:rPr>
            </w:pPr>
          </w:p>
          <w:p w14:paraId="4CE45BD4" w14:textId="77777777" w:rsidR="008715BE" w:rsidRPr="00EC75B7" w:rsidRDefault="00000000">
            <w:pPr>
              <w:pStyle w:val="TableParagraph"/>
              <w:spacing w:before="1"/>
              <w:ind w:left="914"/>
              <w:rPr>
                <w:rFonts w:ascii="Verdana" w:hAnsi="Verdana"/>
                <w:b/>
                <w:sz w:val="18"/>
                <w:szCs w:val="18"/>
              </w:rPr>
            </w:pPr>
            <w:r w:rsidRPr="00EC75B7">
              <w:rPr>
                <w:rFonts w:ascii="Verdana" w:hAnsi="Verdana"/>
                <w:b/>
                <w:color w:val="FFFFFF"/>
                <w:spacing w:val="-2"/>
                <w:sz w:val="18"/>
                <w:szCs w:val="18"/>
              </w:rPr>
              <w:t>Intervention</w:t>
            </w:r>
          </w:p>
        </w:tc>
        <w:tc>
          <w:tcPr>
            <w:tcW w:w="3149" w:type="dxa"/>
            <w:shd w:val="clear" w:color="auto" w:fill="00A1E8"/>
          </w:tcPr>
          <w:p w14:paraId="6FA3AD07" w14:textId="77777777" w:rsidR="008715BE" w:rsidRPr="00EC75B7" w:rsidRDefault="008715BE">
            <w:pPr>
              <w:pStyle w:val="TableParagraph"/>
              <w:spacing w:before="136"/>
              <w:rPr>
                <w:rFonts w:ascii="Verdana" w:hAnsi="Verdana"/>
                <w:b/>
                <w:sz w:val="18"/>
                <w:szCs w:val="18"/>
              </w:rPr>
            </w:pPr>
          </w:p>
          <w:p w14:paraId="7531DDA6"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Effects</w:t>
            </w:r>
          </w:p>
        </w:tc>
        <w:tc>
          <w:tcPr>
            <w:tcW w:w="1106" w:type="dxa"/>
            <w:shd w:val="clear" w:color="auto" w:fill="00A1E8"/>
          </w:tcPr>
          <w:p w14:paraId="1511301B" w14:textId="77777777" w:rsidR="008715BE" w:rsidRPr="00EC75B7" w:rsidRDefault="008715BE">
            <w:pPr>
              <w:pStyle w:val="TableParagraph"/>
              <w:spacing w:before="40"/>
              <w:rPr>
                <w:rFonts w:ascii="Verdana" w:hAnsi="Verdana"/>
                <w:b/>
                <w:sz w:val="18"/>
                <w:szCs w:val="18"/>
              </w:rPr>
            </w:pPr>
          </w:p>
          <w:p w14:paraId="4F6F2698" w14:textId="77777777" w:rsidR="008715BE" w:rsidRPr="00EC75B7" w:rsidRDefault="00000000">
            <w:pPr>
              <w:pStyle w:val="TableParagraph"/>
              <w:spacing w:before="1"/>
              <w:ind w:left="240" w:right="87" w:hanging="132"/>
              <w:rPr>
                <w:rFonts w:ascii="Verdana" w:hAnsi="Verdana"/>
                <w:b/>
                <w:sz w:val="18"/>
                <w:szCs w:val="18"/>
              </w:rPr>
            </w:pPr>
            <w:r w:rsidRPr="00EC75B7">
              <w:rPr>
                <w:rFonts w:ascii="Verdana" w:hAnsi="Verdana"/>
                <w:b/>
                <w:color w:val="FFFFFF"/>
                <w:spacing w:val="-2"/>
                <w:sz w:val="18"/>
                <w:szCs w:val="18"/>
              </w:rPr>
              <w:t>Direct impacts</w:t>
            </w:r>
          </w:p>
        </w:tc>
        <w:tc>
          <w:tcPr>
            <w:tcW w:w="1108" w:type="dxa"/>
            <w:shd w:val="clear" w:color="auto" w:fill="00A1E8"/>
          </w:tcPr>
          <w:p w14:paraId="76286431" w14:textId="77777777" w:rsidR="008715BE" w:rsidRPr="00EC75B7" w:rsidRDefault="008715BE">
            <w:pPr>
              <w:pStyle w:val="TableParagraph"/>
              <w:spacing w:before="40"/>
              <w:rPr>
                <w:rFonts w:ascii="Verdana" w:hAnsi="Verdana"/>
                <w:b/>
                <w:sz w:val="18"/>
                <w:szCs w:val="18"/>
              </w:rPr>
            </w:pPr>
          </w:p>
          <w:p w14:paraId="069896E1" w14:textId="77777777" w:rsidR="008715BE" w:rsidRPr="00EC75B7" w:rsidRDefault="00000000">
            <w:pPr>
              <w:pStyle w:val="TableParagraph"/>
              <w:spacing w:before="1"/>
              <w:ind w:left="157" w:right="88" w:hanging="48"/>
              <w:rPr>
                <w:rFonts w:ascii="Verdana" w:hAnsi="Verdana"/>
                <w:b/>
                <w:sz w:val="18"/>
                <w:szCs w:val="18"/>
              </w:rPr>
            </w:pPr>
            <w:r w:rsidRPr="00EC75B7">
              <w:rPr>
                <w:rFonts w:ascii="Verdana" w:hAnsi="Verdana"/>
                <w:b/>
                <w:color w:val="FFFFFF"/>
                <w:spacing w:val="-2"/>
                <w:sz w:val="18"/>
                <w:szCs w:val="18"/>
              </w:rPr>
              <w:t>Indirect impacts</w:t>
            </w:r>
          </w:p>
        </w:tc>
        <w:tc>
          <w:tcPr>
            <w:tcW w:w="1211" w:type="dxa"/>
            <w:shd w:val="clear" w:color="auto" w:fill="00A1E8"/>
          </w:tcPr>
          <w:p w14:paraId="26E0D895" w14:textId="77777777" w:rsidR="008715BE" w:rsidRPr="00EC75B7" w:rsidRDefault="008715BE">
            <w:pPr>
              <w:pStyle w:val="TableParagraph"/>
              <w:spacing w:before="40"/>
              <w:rPr>
                <w:rFonts w:ascii="Verdana" w:hAnsi="Verdana"/>
                <w:b/>
                <w:sz w:val="18"/>
                <w:szCs w:val="18"/>
              </w:rPr>
            </w:pPr>
          </w:p>
          <w:p w14:paraId="1AE1915E" w14:textId="77777777" w:rsidR="008715BE" w:rsidRPr="00EC75B7" w:rsidRDefault="00000000">
            <w:pPr>
              <w:pStyle w:val="TableParagraph"/>
              <w:spacing w:before="1"/>
              <w:ind w:left="141" w:firstLine="16"/>
              <w:rPr>
                <w:rFonts w:ascii="Verdana" w:hAnsi="Verdana"/>
                <w:b/>
                <w:sz w:val="18"/>
                <w:szCs w:val="18"/>
              </w:rPr>
            </w:pPr>
            <w:r w:rsidRPr="00EC75B7">
              <w:rPr>
                <w:rFonts w:ascii="Verdana" w:hAnsi="Verdana"/>
                <w:b/>
                <w:color w:val="FFFFFF"/>
                <w:spacing w:val="-2"/>
                <w:sz w:val="18"/>
                <w:szCs w:val="18"/>
              </w:rPr>
              <w:t>Secondary impacts</w:t>
            </w:r>
          </w:p>
        </w:tc>
        <w:tc>
          <w:tcPr>
            <w:tcW w:w="1389" w:type="dxa"/>
            <w:shd w:val="clear" w:color="auto" w:fill="00A1E8"/>
          </w:tcPr>
          <w:p w14:paraId="5A927054" w14:textId="77777777" w:rsidR="008715BE" w:rsidRPr="00EC75B7" w:rsidRDefault="008715BE">
            <w:pPr>
              <w:pStyle w:val="TableParagraph"/>
              <w:spacing w:before="40"/>
              <w:rPr>
                <w:rFonts w:ascii="Verdana" w:hAnsi="Verdana"/>
                <w:b/>
                <w:sz w:val="18"/>
                <w:szCs w:val="18"/>
              </w:rPr>
            </w:pPr>
          </w:p>
          <w:p w14:paraId="3EEC34A9" w14:textId="77777777" w:rsidR="008715BE" w:rsidRPr="00EC75B7" w:rsidRDefault="00000000">
            <w:pPr>
              <w:pStyle w:val="TableParagraph"/>
              <w:spacing w:before="1"/>
              <w:ind w:left="200" w:right="182" w:firstLine="48"/>
              <w:rPr>
                <w:rFonts w:ascii="Verdana" w:hAnsi="Verdana"/>
                <w:b/>
                <w:sz w:val="18"/>
                <w:szCs w:val="18"/>
              </w:rPr>
            </w:pPr>
            <w:r w:rsidRPr="00EC75B7">
              <w:rPr>
                <w:rFonts w:ascii="Verdana" w:hAnsi="Verdana"/>
                <w:b/>
                <w:color w:val="FFFFFF"/>
                <w:spacing w:val="-2"/>
                <w:sz w:val="18"/>
                <w:szCs w:val="18"/>
              </w:rPr>
              <w:t>Cumulative impacts</w:t>
            </w:r>
          </w:p>
        </w:tc>
        <w:tc>
          <w:tcPr>
            <w:tcW w:w="1201" w:type="dxa"/>
            <w:shd w:val="clear" w:color="auto" w:fill="00A1E8"/>
          </w:tcPr>
          <w:p w14:paraId="06AD11B0" w14:textId="77777777" w:rsidR="008715BE" w:rsidRPr="00EC75B7" w:rsidRDefault="00000000">
            <w:pPr>
              <w:pStyle w:val="TableParagraph"/>
              <w:spacing w:before="41"/>
              <w:ind w:left="157" w:right="95" w:hanging="44"/>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736" w:type="dxa"/>
            <w:shd w:val="clear" w:color="auto" w:fill="00A1E8"/>
          </w:tcPr>
          <w:p w14:paraId="388C3BB2" w14:textId="77777777" w:rsidR="008715BE" w:rsidRPr="00EC75B7" w:rsidRDefault="008715BE">
            <w:pPr>
              <w:pStyle w:val="TableParagraph"/>
              <w:spacing w:before="136"/>
              <w:rPr>
                <w:rFonts w:ascii="Verdana" w:hAnsi="Verdana"/>
                <w:b/>
                <w:sz w:val="18"/>
                <w:szCs w:val="18"/>
              </w:rPr>
            </w:pPr>
          </w:p>
          <w:p w14:paraId="76DADC53" w14:textId="77777777" w:rsidR="008715BE" w:rsidRPr="00EC75B7" w:rsidRDefault="00000000">
            <w:pPr>
              <w:pStyle w:val="TableParagraph"/>
              <w:spacing w:before="1"/>
              <w:ind w:left="202"/>
              <w:rPr>
                <w:rFonts w:ascii="Verdana" w:hAnsi="Verdana"/>
                <w:b/>
                <w:sz w:val="18"/>
                <w:szCs w:val="18"/>
              </w:rPr>
            </w:pPr>
            <w:r w:rsidRPr="00EC75B7">
              <w:rPr>
                <w:rFonts w:ascii="Verdana" w:hAnsi="Verdana"/>
                <w:b/>
                <w:color w:val="FFFFFF"/>
                <w:spacing w:val="-2"/>
                <w:sz w:val="18"/>
                <w:szCs w:val="18"/>
              </w:rPr>
              <w:t>Species/habitat</w:t>
            </w:r>
          </w:p>
        </w:tc>
        <w:tc>
          <w:tcPr>
            <w:tcW w:w="1897" w:type="dxa"/>
            <w:shd w:val="clear" w:color="auto" w:fill="00A1E8"/>
          </w:tcPr>
          <w:p w14:paraId="454352FD" w14:textId="77777777" w:rsidR="008715BE" w:rsidRPr="00EC75B7" w:rsidRDefault="008715BE">
            <w:pPr>
              <w:pStyle w:val="TableParagraph"/>
              <w:spacing w:before="40"/>
              <w:rPr>
                <w:rFonts w:ascii="Verdana" w:hAnsi="Verdana"/>
                <w:b/>
                <w:sz w:val="18"/>
                <w:szCs w:val="18"/>
              </w:rPr>
            </w:pPr>
          </w:p>
          <w:p w14:paraId="42D3910C" w14:textId="77777777" w:rsidR="008715BE" w:rsidRPr="00EC75B7" w:rsidRDefault="00000000">
            <w:pPr>
              <w:pStyle w:val="TableParagraph"/>
              <w:spacing w:before="1" w:line="195" w:lineRule="exact"/>
              <w:ind w:left="396"/>
              <w:rPr>
                <w:rFonts w:ascii="Verdana" w:hAnsi="Verdana"/>
                <w:b/>
                <w:sz w:val="18"/>
                <w:szCs w:val="18"/>
              </w:rPr>
            </w:pPr>
            <w:r w:rsidRPr="00EC75B7">
              <w:rPr>
                <w:rFonts w:ascii="Verdana" w:hAnsi="Verdana"/>
                <w:b/>
                <w:color w:val="FFFFFF"/>
                <w:sz w:val="18"/>
                <w:szCs w:val="18"/>
              </w:rPr>
              <w:t>Param</w:t>
            </w:r>
            <w:r w:rsidRPr="00EC75B7">
              <w:rPr>
                <w:rFonts w:ascii="Verdana" w:hAnsi="Verdana"/>
                <w:b/>
                <w:color w:val="FFFFFF"/>
                <w:spacing w:val="-10"/>
                <w:sz w:val="18"/>
                <w:szCs w:val="18"/>
              </w:rPr>
              <w:t>eter</w:t>
            </w:r>
            <w:r w:rsidRPr="00EC75B7">
              <w:rPr>
                <w:rFonts w:ascii="Verdana" w:hAnsi="Verdana"/>
                <w:b/>
                <w:color w:val="FFFFFF"/>
                <w:sz w:val="18"/>
                <w:szCs w:val="18"/>
              </w:rPr>
              <w:t>/</w:t>
            </w:r>
          </w:p>
          <w:p w14:paraId="49704ABB" w14:textId="77777777" w:rsidR="008715BE" w:rsidRPr="00EC75B7" w:rsidRDefault="00000000">
            <w:pPr>
              <w:pStyle w:val="TableParagraph"/>
              <w:spacing w:line="195" w:lineRule="exact"/>
              <w:ind w:left="350"/>
              <w:rPr>
                <w:rFonts w:ascii="Verdana" w:hAnsi="Verdana"/>
                <w:b/>
                <w:sz w:val="18"/>
                <w:szCs w:val="18"/>
              </w:rPr>
            </w:pPr>
            <w:r w:rsidRPr="00EC75B7">
              <w:rPr>
                <w:rFonts w:ascii="Verdana" w:hAnsi="Verdana"/>
                <w:b/>
                <w:color w:val="FFFFFF"/>
                <w:spacing w:val="-2"/>
                <w:sz w:val="18"/>
                <w:szCs w:val="18"/>
              </w:rPr>
              <w:t>affected</w:t>
            </w:r>
            <w:r w:rsidRPr="00EC75B7">
              <w:rPr>
                <w:rFonts w:ascii="Verdana" w:hAnsi="Verdana"/>
                <w:b/>
                <w:color w:val="FFFFFF"/>
                <w:sz w:val="18"/>
                <w:szCs w:val="18"/>
              </w:rPr>
              <w:t xml:space="preserve"> target</w:t>
            </w:r>
          </w:p>
        </w:tc>
        <w:tc>
          <w:tcPr>
            <w:tcW w:w="3860" w:type="dxa"/>
            <w:shd w:val="clear" w:color="auto" w:fill="00A1E8"/>
          </w:tcPr>
          <w:p w14:paraId="73EFCBCF" w14:textId="77777777" w:rsidR="008715BE" w:rsidRPr="00EC75B7" w:rsidRDefault="008715BE">
            <w:pPr>
              <w:pStyle w:val="TableParagraph"/>
              <w:spacing w:before="40"/>
              <w:rPr>
                <w:rFonts w:ascii="Verdana" w:hAnsi="Verdana"/>
                <w:b/>
                <w:sz w:val="18"/>
                <w:szCs w:val="18"/>
              </w:rPr>
            </w:pPr>
          </w:p>
          <w:p w14:paraId="516AC945" w14:textId="77777777" w:rsidR="008715BE" w:rsidRPr="00EC75B7" w:rsidRDefault="00000000">
            <w:pPr>
              <w:pStyle w:val="TableParagraph"/>
              <w:spacing w:before="1"/>
              <w:ind w:left="1126" w:right="1098"/>
              <w:jc w:val="center"/>
              <w:rPr>
                <w:rFonts w:ascii="Verdana" w:hAnsi="Verdana"/>
                <w:b/>
                <w:sz w:val="18"/>
                <w:szCs w:val="18"/>
              </w:rPr>
            </w:pPr>
            <w:r w:rsidRPr="00EC75B7">
              <w:rPr>
                <w:rFonts w:ascii="Verdana" w:hAnsi="Verdana"/>
                <w:b/>
                <w:color w:val="FFFFFF"/>
                <w:spacing w:val="-2"/>
                <w:sz w:val="18"/>
                <w:szCs w:val="18"/>
              </w:rPr>
              <w:t>Impact quantification</w:t>
            </w:r>
          </w:p>
        </w:tc>
        <w:tc>
          <w:tcPr>
            <w:tcW w:w="1889" w:type="dxa"/>
            <w:shd w:val="clear" w:color="auto" w:fill="00A1E8"/>
          </w:tcPr>
          <w:p w14:paraId="08B84CB0" w14:textId="77777777" w:rsidR="008715BE" w:rsidRPr="00EC75B7" w:rsidRDefault="008715BE">
            <w:pPr>
              <w:pStyle w:val="TableParagraph"/>
              <w:spacing w:before="40"/>
              <w:rPr>
                <w:rFonts w:ascii="Verdana" w:hAnsi="Verdana"/>
                <w:b/>
                <w:sz w:val="18"/>
                <w:szCs w:val="18"/>
              </w:rPr>
            </w:pPr>
          </w:p>
          <w:p w14:paraId="2162AFA4" w14:textId="77777777" w:rsidR="008715BE" w:rsidRPr="00EC75B7" w:rsidRDefault="00000000">
            <w:pPr>
              <w:pStyle w:val="TableParagraph"/>
              <w:spacing w:before="1"/>
              <w:ind w:left="421" w:firstLine="208"/>
              <w:rPr>
                <w:rFonts w:ascii="Verdana" w:hAnsi="Verdana"/>
                <w:b/>
                <w:sz w:val="18"/>
                <w:szCs w:val="18"/>
              </w:rPr>
            </w:pPr>
            <w:r w:rsidRPr="00EC75B7">
              <w:rPr>
                <w:rFonts w:ascii="Verdana" w:hAnsi="Verdana"/>
                <w:b/>
                <w:color w:val="FFFFFF"/>
                <w:sz w:val="18"/>
                <w:szCs w:val="18"/>
              </w:rPr>
              <w:t xml:space="preserve">Method of </w:t>
            </w:r>
            <w:r w:rsidRPr="00EC75B7">
              <w:rPr>
                <w:rFonts w:ascii="Verdana" w:hAnsi="Verdana"/>
                <w:b/>
                <w:color w:val="FFFFFF"/>
                <w:spacing w:val="-2"/>
                <w:sz w:val="18"/>
                <w:szCs w:val="18"/>
              </w:rPr>
              <w:t>quantification</w:t>
            </w:r>
          </w:p>
        </w:tc>
      </w:tr>
      <w:tr w:rsidR="008715BE" w:rsidRPr="00EC75B7" w14:paraId="31CBE119" w14:textId="77777777">
        <w:trPr>
          <w:trHeight w:val="2137"/>
        </w:trPr>
        <w:tc>
          <w:tcPr>
            <w:tcW w:w="523" w:type="dxa"/>
            <w:vMerge w:val="restart"/>
          </w:tcPr>
          <w:p w14:paraId="24BAC6C6" w14:textId="77777777" w:rsidR="008715BE" w:rsidRPr="00EC75B7" w:rsidRDefault="008715BE">
            <w:pPr>
              <w:pStyle w:val="TableParagraph"/>
              <w:rPr>
                <w:rFonts w:ascii="Verdana" w:hAnsi="Verdana"/>
                <w:sz w:val="18"/>
                <w:szCs w:val="18"/>
              </w:rPr>
            </w:pPr>
          </w:p>
        </w:tc>
        <w:tc>
          <w:tcPr>
            <w:tcW w:w="2323" w:type="dxa"/>
            <w:vMerge w:val="restart"/>
          </w:tcPr>
          <w:p w14:paraId="2C686948" w14:textId="77777777" w:rsidR="008715BE" w:rsidRPr="00EC75B7" w:rsidRDefault="00000000">
            <w:pPr>
              <w:pStyle w:val="TableParagraph"/>
              <w:spacing w:before="8"/>
              <w:ind w:left="105" w:right="96"/>
              <w:jc w:val="both"/>
              <w:rPr>
                <w:rFonts w:ascii="Verdana" w:hAnsi="Verdana"/>
                <w:sz w:val="18"/>
                <w:szCs w:val="18"/>
              </w:rPr>
            </w:pPr>
            <w:r w:rsidRPr="00EC75B7">
              <w:rPr>
                <w:rFonts w:ascii="Verdana" w:hAnsi="Verdana"/>
                <w:sz w:val="18"/>
                <w:szCs w:val="18"/>
              </w:rPr>
              <w:t xml:space="preserve">Decommissioning/demolition works Land restoration/rehabilitation works at the end of </w:t>
            </w:r>
            <w:r w:rsidRPr="00EC75B7">
              <w:rPr>
                <w:rFonts w:ascii="Verdana" w:hAnsi="Verdana"/>
                <w:spacing w:val="-2"/>
                <w:sz w:val="18"/>
                <w:szCs w:val="18"/>
              </w:rPr>
              <w:t xml:space="preserve">the project's </w:t>
            </w:r>
            <w:r w:rsidRPr="00EC75B7">
              <w:rPr>
                <w:rFonts w:ascii="Verdana" w:hAnsi="Verdana"/>
                <w:sz w:val="18"/>
                <w:szCs w:val="18"/>
              </w:rPr>
              <w:t>life cycle</w:t>
            </w:r>
          </w:p>
        </w:tc>
        <w:tc>
          <w:tcPr>
            <w:tcW w:w="3149" w:type="dxa"/>
          </w:tcPr>
          <w:p w14:paraId="3C9BB058" w14:textId="77777777" w:rsidR="008715BE" w:rsidRPr="00EC75B7" w:rsidRDefault="00000000">
            <w:pPr>
              <w:pStyle w:val="TableParagraph"/>
              <w:spacing w:before="8"/>
              <w:ind w:left="108" w:right="93"/>
              <w:jc w:val="both"/>
              <w:rPr>
                <w:rFonts w:ascii="Verdana" w:hAnsi="Verdana"/>
                <w:sz w:val="18"/>
                <w:szCs w:val="18"/>
              </w:rPr>
            </w:pPr>
            <w:r w:rsidRPr="00EC75B7">
              <w:rPr>
                <w:rFonts w:ascii="Verdana" w:hAnsi="Verdana"/>
                <w:sz w:val="18"/>
                <w:szCs w:val="18"/>
              </w:rPr>
              <w:t xml:space="preserve">Collision of wildlife with vehicle traffic on access roads/machinery in the </w:t>
            </w:r>
            <w:r w:rsidRPr="00EC75B7">
              <w:rPr>
                <w:rFonts w:ascii="Verdana" w:hAnsi="Verdana"/>
                <w:spacing w:val="-2"/>
                <w:sz w:val="18"/>
                <w:szCs w:val="18"/>
              </w:rPr>
              <w:t>work</w:t>
            </w:r>
            <w:r w:rsidRPr="00EC75B7">
              <w:rPr>
                <w:rFonts w:ascii="Verdana" w:hAnsi="Verdana"/>
                <w:sz w:val="18"/>
                <w:szCs w:val="18"/>
              </w:rPr>
              <w:t xml:space="preserve"> area</w:t>
            </w:r>
          </w:p>
        </w:tc>
        <w:tc>
          <w:tcPr>
            <w:tcW w:w="1106" w:type="dxa"/>
          </w:tcPr>
          <w:p w14:paraId="3BC8FADB"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REP</w:t>
            </w:r>
          </w:p>
        </w:tc>
        <w:tc>
          <w:tcPr>
            <w:tcW w:w="1108" w:type="dxa"/>
          </w:tcPr>
          <w:p w14:paraId="284C8A10"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1B594DDF"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4C0D377B"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321650DC"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1D28E655"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45191F9F" w14:textId="77777777" w:rsidR="008715BE" w:rsidRPr="00EC75B7" w:rsidRDefault="00000000">
            <w:pPr>
              <w:pStyle w:val="TableParagraph"/>
              <w:ind w:left="111"/>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6FDF014F" w14:textId="77777777" w:rsidR="008715BE" w:rsidRPr="00EC75B7" w:rsidRDefault="00000000">
            <w:pPr>
              <w:pStyle w:val="TableParagraph"/>
              <w:spacing w:line="164" w:lineRule="exact"/>
              <w:ind w:left="111"/>
              <w:rPr>
                <w:rFonts w:ascii="Verdana" w:hAnsi="Verdana"/>
                <w:i/>
                <w:sz w:val="18"/>
                <w:szCs w:val="18"/>
              </w:rPr>
            </w:pP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594218C7"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57BD657B" w14:textId="77777777" w:rsidR="008715BE" w:rsidRPr="00EC75B7" w:rsidRDefault="00000000">
            <w:pPr>
              <w:pStyle w:val="TableParagraph"/>
              <w:spacing w:before="8" w:line="195" w:lineRule="exact"/>
              <w:ind w:left="117"/>
              <w:rPr>
                <w:rFonts w:ascii="Verdana" w:hAnsi="Verdana"/>
                <w:sz w:val="18"/>
                <w:szCs w:val="18"/>
              </w:rPr>
            </w:pPr>
            <w:r w:rsidRPr="00EC75B7">
              <w:rPr>
                <w:rFonts w:ascii="Verdana" w:hAnsi="Verdana"/>
                <w:spacing w:val="-2"/>
                <w:sz w:val="18"/>
                <w:szCs w:val="18"/>
              </w:rPr>
              <w:t>1/individual (accidental)</w:t>
            </w:r>
          </w:p>
          <w:p w14:paraId="17EAFBB3"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(outside the protected area, within the wind farm)</w:t>
            </w:r>
          </w:p>
        </w:tc>
        <w:tc>
          <w:tcPr>
            <w:tcW w:w="1889" w:type="dxa"/>
          </w:tcPr>
          <w:p w14:paraId="2CC6B79A" w14:textId="77777777" w:rsidR="008715BE" w:rsidRPr="00EC75B7" w:rsidRDefault="00000000">
            <w:pPr>
              <w:pStyle w:val="TableParagraph"/>
              <w:tabs>
                <w:tab w:val="left" w:pos="613"/>
                <w:tab w:val="left" w:pos="1599"/>
              </w:tabs>
              <w:spacing w:before="8"/>
              <w:ind w:left="119" w:right="80"/>
              <w:rPr>
                <w:rFonts w:ascii="Verdana" w:hAnsi="Verdana"/>
                <w:sz w:val="18"/>
                <w:szCs w:val="18"/>
              </w:rPr>
            </w:pPr>
            <w:r w:rsidRPr="00EC75B7">
              <w:rPr>
                <w:rFonts w:ascii="Verdana" w:hAnsi="Verdana"/>
                <w:sz w:val="18"/>
                <w:szCs w:val="18"/>
              </w:rPr>
              <w:t xml:space="preserve">Precautionary </w:t>
            </w:r>
            <w:r w:rsidRPr="00EC75B7">
              <w:rPr>
                <w:rFonts w:ascii="Verdana" w:hAnsi="Verdana"/>
                <w:spacing w:val="-2"/>
                <w:sz w:val="18"/>
                <w:szCs w:val="18"/>
              </w:rPr>
              <w:t xml:space="preserve">principle </w:t>
            </w:r>
            <w:r w:rsidRPr="00EC75B7">
              <w:rPr>
                <w:rFonts w:ascii="Verdana" w:hAnsi="Verdana"/>
                <w:sz w:val="18"/>
                <w:szCs w:val="18"/>
              </w:rPr>
              <w:t xml:space="preserve">and data </w:t>
            </w: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specialist</w:t>
            </w:r>
            <w:r w:rsidRPr="00EC75B7">
              <w:rPr>
                <w:rFonts w:ascii="Verdana" w:hAnsi="Verdana"/>
                <w:sz w:val="18"/>
                <w:szCs w:val="18"/>
              </w:rPr>
              <w:tab/>
            </w:r>
            <w:r w:rsidRPr="00EC75B7">
              <w:rPr>
                <w:rFonts w:ascii="Verdana" w:hAnsi="Verdana"/>
                <w:spacing w:val="-2"/>
                <w:sz w:val="18"/>
                <w:szCs w:val="18"/>
              </w:rPr>
              <w:t>liter</w:t>
            </w:r>
            <w:r w:rsidRPr="00EC75B7">
              <w:rPr>
                <w:rFonts w:ascii="Verdana" w:hAnsi="Verdana"/>
                <w:spacing w:val="-6"/>
                <w:sz w:val="18"/>
                <w:szCs w:val="18"/>
              </w:rPr>
              <w:t>ature</w:t>
            </w:r>
          </w:p>
          <w:p w14:paraId="5E7E63EA" w14:textId="77777777" w:rsidR="008715BE" w:rsidRPr="00EC75B7" w:rsidRDefault="00000000">
            <w:pPr>
              <w:pStyle w:val="TableParagraph"/>
              <w:tabs>
                <w:tab w:val="left" w:pos="1223"/>
              </w:tabs>
              <w:ind w:left="119" w:right="82"/>
              <w:jc w:val="both"/>
              <w:rPr>
                <w:rFonts w:ascii="Verdana" w:hAnsi="Verdana"/>
                <w:sz w:val="18"/>
                <w:szCs w:val="18"/>
              </w:rPr>
            </w:pPr>
            <w:r w:rsidRPr="00EC75B7">
              <w:rPr>
                <w:rFonts w:ascii="Verdana" w:hAnsi="Verdana"/>
                <w:spacing w:val="-2"/>
                <w:sz w:val="18"/>
                <w:szCs w:val="18"/>
              </w:rPr>
              <w:t>Analysis</w:t>
            </w:r>
            <w:r w:rsidRPr="00EC75B7">
              <w:rPr>
                <w:rFonts w:ascii="Verdana" w:hAnsi="Verdana"/>
                <w:sz w:val="18"/>
                <w:szCs w:val="18"/>
              </w:rPr>
              <w:tab/>
              <w:t xml:space="preserve">of </w:t>
            </w:r>
            <w:r w:rsidRPr="00EC75B7">
              <w:rPr>
                <w:rFonts w:ascii="Verdana" w:hAnsi="Verdana"/>
                <w:spacing w:val="-2"/>
                <w:sz w:val="18"/>
                <w:szCs w:val="18"/>
              </w:rPr>
              <w:t>the species</w:t>
            </w:r>
            <w:r w:rsidRPr="00EC75B7">
              <w:rPr>
                <w:rFonts w:ascii="Verdana" w:hAnsi="Verdana"/>
                <w:sz w:val="18"/>
                <w:szCs w:val="18"/>
              </w:rPr>
              <w:t xml:space="preserve">' mortality </w:t>
            </w:r>
            <w:r w:rsidRPr="00EC75B7">
              <w:rPr>
                <w:rFonts w:ascii="Verdana" w:hAnsi="Verdana"/>
                <w:spacing w:val="-2"/>
                <w:sz w:val="18"/>
                <w:szCs w:val="18"/>
              </w:rPr>
              <w:t>risk</w:t>
            </w:r>
          </w:p>
        </w:tc>
      </w:tr>
      <w:tr w:rsidR="008715BE" w:rsidRPr="00EC75B7" w14:paraId="49A4A6C5" w14:textId="77777777">
        <w:trPr>
          <w:trHeight w:val="1944"/>
        </w:trPr>
        <w:tc>
          <w:tcPr>
            <w:tcW w:w="523" w:type="dxa"/>
            <w:vMerge/>
            <w:tcBorders>
              <w:top w:val="nil"/>
            </w:tcBorders>
          </w:tcPr>
          <w:p w14:paraId="758754CB" w14:textId="77777777" w:rsidR="008715BE" w:rsidRPr="00EC75B7" w:rsidRDefault="008715BE">
            <w:pPr>
              <w:rPr>
                <w:rFonts w:ascii="Verdana" w:hAnsi="Verdana"/>
                <w:sz w:val="18"/>
                <w:szCs w:val="18"/>
              </w:rPr>
            </w:pPr>
          </w:p>
        </w:tc>
        <w:tc>
          <w:tcPr>
            <w:tcW w:w="2323" w:type="dxa"/>
            <w:vMerge/>
            <w:tcBorders>
              <w:top w:val="nil"/>
            </w:tcBorders>
          </w:tcPr>
          <w:p w14:paraId="63CCF258" w14:textId="77777777" w:rsidR="008715BE" w:rsidRPr="00EC75B7" w:rsidRDefault="008715BE">
            <w:pPr>
              <w:rPr>
                <w:rFonts w:ascii="Verdana" w:hAnsi="Verdana"/>
                <w:sz w:val="18"/>
                <w:szCs w:val="18"/>
              </w:rPr>
            </w:pPr>
          </w:p>
        </w:tc>
        <w:tc>
          <w:tcPr>
            <w:tcW w:w="3149" w:type="dxa"/>
          </w:tcPr>
          <w:p w14:paraId="487A0AE3" w14:textId="77777777" w:rsidR="008715BE" w:rsidRPr="00EC75B7" w:rsidRDefault="00000000">
            <w:pPr>
              <w:pStyle w:val="TableParagraph"/>
              <w:tabs>
                <w:tab w:val="left" w:pos="1615"/>
                <w:tab w:val="left" w:pos="2916"/>
              </w:tabs>
              <w:spacing w:before="8"/>
              <w:ind w:left="108" w:right="93"/>
              <w:jc w:val="both"/>
              <w:rPr>
                <w:rFonts w:ascii="Verdana" w:hAnsi="Verdana"/>
                <w:sz w:val="18"/>
                <w:szCs w:val="18"/>
              </w:rPr>
            </w:pPr>
            <w:r w:rsidRPr="00EC75B7">
              <w:rPr>
                <w:rFonts w:ascii="Verdana" w:hAnsi="Verdana"/>
                <w:sz w:val="18"/>
                <w:szCs w:val="18"/>
              </w:rPr>
              <w:t xml:space="preserve">Pollutant emissions into the atmosphere </w:t>
            </w:r>
            <w:r w:rsidRPr="00EC75B7">
              <w:rPr>
                <w:rFonts w:ascii="Verdana" w:hAnsi="Verdana"/>
                <w:spacing w:val="-2"/>
                <w:sz w:val="18"/>
                <w:szCs w:val="18"/>
              </w:rPr>
              <w:t>(operation of</w:t>
            </w:r>
            <w:r w:rsidRPr="00EC75B7">
              <w:rPr>
                <w:rFonts w:ascii="Verdana" w:hAnsi="Verdana"/>
                <w:sz w:val="18"/>
                <w:szCs w:val="18"/>
              </w:rPr>
              <w:tab/>
            </w:r>
            <w:r w:rsidRPr="00EC75B7">
              <w:rPr>
                <w:rFonts w:ascii="Verdana" w:hAnsi="Verdana"/>
                <w:spacing w:val="-2"/>
                <w:sz w:val="18"/>
                <w:szCs w:val="18"/>
              </w:rPr>
              <w:t>vehicles</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pacing w:val="-2"/>
                <w:sz w:val="18"/>
                <w:szCs w:val="18"/>
              </w:rPr>
              <w:t>machinery)</w:t>
            </w:r>
          </w:p>
        </w:tc>
        <w:tc>
          <w:tcPr>
            <w:tcW w:w="1106" w:type="dxa"/>
          </w:tcPr>
          <w:p w14:paraId="0D00760B"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65BD33B9"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11" w:type="dxa"/>
          </w:tcPr>
          <w:p w14:paraId="26763519"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1FDFC159"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66092ED3"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9563709"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4B8A1AB4"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0C2F3B58"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0B044B2E"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3EC4DDA2" w14:textId="77777777" w:rsidR="008715BE" w:rsidRPr="00EC75B7" w:rsidRDefault="00000000">
            <w:pPr>
              <w:pStyle w:val="TableParagraph"/>
              <w:spacing w:before="193"/>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217752FD" w14:textId="77777777" w:rsidR="008715BE" w:rsidRPr="00EC75B7" w:rsidRDefault="00000000">
            <w:pPr>
              <w:pStyle w:val="TableParagraph"/>
              <w:ind w:left="117" w:right="84"/>
              <w:jc w:val="both"/>
              <w:rPr>
                <w:rFonts w:ascii="Verdana" w:hAnsi="Verdana"/>
                <w:sz w:val="18"/>
                <w:szCs w:val="18"/>
              </w:rPr>
            </w:pPr>
            <w:r w:rsidRPr="00EC75B7">
              <w:rPr>
                <w:rFonts w:ascii="Verdana" w:hAnsi="Verdana"/>
                <w:sz w:val="18"/>
                <w:szCs w:val="18"/>
              </w:rPr>
              <w:t xml:space="preserve">309.24 ha of areas permanently occupied by the construction elements of the energy park The impact will be felt outside the protected area at the edge of the wind farm, within </w:t>
            </w:r>
            <w:r w:rsidRPr="00EC75B7">
              <w:rPr>
                <w:rFonts w:ascii="Verdana" w:hAnsi="Verdana"/>
                <w:spacing w:val="-2"/>
                <w:sz w:val="18"/>
                <w:szCs w:val="18"/>
              </w:rPr>
              <w:t>the limits/vicinity of the</w:t>
            </w:r>
          </w:p>
          <w:p w14:paraId="79B78428" w14:textId="77777777" w:rsidR="008715BE" w:rsidRPr="00EC75B7" w:rsidRDefault="00000000">
            <w:pPr>
              <w:pStyle w:val="TableParagraph"/>
              <w:spacing w:line="163" w:lineRule="exact"/>
              <w:ind w:left="117"/>
              <w:jc w:val="both"/>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work </w:t>
            </w:r>
            <w:r w:rsidRPr="00EC75B7">
              <w:rPr>
                <w:rFonts w:ascii="Verdana" w:hAnsi="Verdana"/>
                <w:sz w:val="18"/>
                <w:szCs w:val="18"/>
              </w:rPr>
              <w:t>front</w:t>
            </w:r>
          </w:p>
        </w:tc>
        <w:tc>
          <w:tcPr>
            <w:tcW w:w="1889" w:type="dxa"/>
          </w:tcPr>
          <w:p w14:paraId="1055E0FB"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the results of the field inventories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696FFD43" w14:textId="77777777">
        <w:trPr>
          <w:trHeight w:val="779"/>
        </w:trPr>
        <w:tc>
          <w:tcPr>
            <w:tcW w:w="523" w:type="dxa"/>
            <w:vMerge/>
            <w:tcBorders>
              <w:top w:val="nil"/>
            </w:tcBorders>
          </w:tcPr>
          <w:p w14:paraId="4C9EA623" w14:textId="77777777" w:rsidR="008715BE" w:rsidRPr="00EC75B7" w:rsidRDefault="008715BE">
            <w:pPr>
              <w:rPr>
                <w:rFonts w:ascii="Verdana" w:hAnsi="Verdana"/>
                <w:sz w:val="18"/>
                <w:szCs w:val="18"/>
              </w:rPr>
            </w:pPr>
          </w:p>
        </w:tc>
        <w:tc>
          <w:tcPr>
            <w:tcW w:w="2323" w:type="dxa"/>
            <w:vMerge/>
            <w:tcBorders>
              <w:top w:val="nil"/>
            </w:tcBorders>
          </w:tcPr>
          <w:p w14:paraId="7D586CFF" w14:textId="77777777" w:rsidR="008715BE" w:rsidRPr="00EC75B7" w:rsidRDefault="008715BE">
            <w:pPr>
              <w:rPr>
                <w:rFonts w:ascii="Verdana" w:hAnsi="Verdana"/>
                <w:sz w:val="18"/>
                <w:szCs w:val="18"/>
              </w:rPr>
            </w:pPr>
          </w:p>
        </w:tc>
        <w:tc>
          <w:tcPr>
            <w:tcW w:w="3149" w:type="dxa"/>
          </w:tcPr>
          <w:p w14:paraId="445A5C23" w14:textId="77777777" w:rsidR="008715BE" w:rsidRPr="00EC75B7" w:rsidRDefault="00000000">
            <w:pPr>
              <w:pStyle w:val="TableParagraph"/>
              <w:spacing w:before="10"/>
              <w:ind w:left="108" w:right="93"/>
              <w:jc w:val="both"/>
              <w:rPr>
                <w:rFonts w:ascii="Verdana" w:hAnsi="Verdana"/>
                <w:sz w:val="18"/>
                <w:szCs w:val="18"/>
              </w:rPr>
            </w:pPr>
            <w:r w:rsidRPr="00EC75B7">
              <w:rPr>
                <w:rFonts w:ascii="Verdana" w:hAnsi="Verdana"/>
                <w:sz w:val="18"/>
                <w:szCs w:val="18"/>
              </w:rPr>
              <w:t>Accidental spills of petroleum products from machinery - penetration of pollutants into the soil</w:t>
            </w:r>
          </w:p>
        </w:tc>
        <w:tc>
          <w:tcPr>
            <w:tcW w:w="1106" w:type="dxa"/>
          </w:tcPr>
          <w:p w14:paraId="598D7AF6" w14:textId="77777777" w:rsidR="008715BE" w:rsidRPr="00EC75B7" w:rsidRDefault="00000000">
            <w:pPr>
              <w:pStyle w:val="TableParagraph"/>
              <w:spacing w:before="10"/>
              <w:ind w:left="108"/>
              <w:rPr>
                <w:rFonts w:ascii="Verdana" w:hAnsi="Verdana"/>
                <w:sz w:val="18"/>
                <w:szCs w:val="18"/>
              </w:rPr>
            </w:pPr>
            <w:r w:rsidRPr="00EC75B7">
              <w:rPr>
                <w:rFonts w:ascii="Verdana" w:hAnsi="Verdana"/>
                <w:spacing w:val="-5"/>
                <w:sz w:val="18"/>
                <w:szCs w:val="18"/>
              </w:rPr>
              <w:t>AH</w:t>
            </w:r>
          </w:p>
        </w:tc>
        <w:tc>
          <w:tcPr>
            <w:tcW w:w="1108" w:type="dxa"/>
          </w:tcPr>
          <w:p w14:paraId="23B31DD0" w14:textId="77777777" w:rsidR="008715BE" w:rsidRPr="00EC75B7" w:rsidRDefault="00000000">
            <w:pPr>
              <w:pStyle w:val="TableParagraph"/>
              <w:spacing w:line="194" w:lineRule="exact"/>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298B845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6861A86B" w14:textId="77777777" w:rsidR="008715BE" w:rsidRPr="00EC75B7" w:rsidRDefault="00000000">
            <w:pPr>
              <w:pStyle w:val="TableParagraph"/>
              <w:tabs>
                <w:tab w:val="left" w:pos="588"/>
              </w:tabs>
              <w:spacing w:line="194" w:lineRule="exact"/>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0586F966" w14:textId="77777777" w:rsidR="008715BE" w:rsidRPr="00EC75B7" w:rsidRDefault="00000000">
            <w:pPr>
              <w:pStyle w:val="TableParagraph"/>
              <w:tabs>
                <w:tab w:val="left" w:pos="903"/>
              </w:tabs>
              <w:spacing w:line="194" w:lineRule="exact"/>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the short term</w:t>
            </w:r>
          </w:p>
        </w:tc>
        <w:tc>
          <w:tcPr>
            <w:tcW w:w="1736" w:type="dxa"/>
          </w:tcPr>
          <w:p w14:paraId="261A8071" w14:textId="77777777" w:rsidR="008715BE" w:rsidRPr="00EC75B7" w:rsidRDefault="00000000">
            <w:pPr>
              <w:pStyle w:val="TableParagraph"/>
              <w:spacing w:before="10"/>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61BE4657" w14:textId="77777777" w:rsidR="008715BE" w:rsidRPr="00EC75B7" w:rsidRDefault="00000000">
            <w:pPr>
              <w:pStyle w:val="TableParagraph"/>
              <w:spacing w:before="10"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5B9D68E5"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40CE0B9B" w14:textId="77777777" w:rsidR="008715BE" w:rsidRPr="00EC75B7" w:rsidRDefault="00000000">
            <w:pPr>
              <w:pStyle w:val="TableParagraph"/>
              <w:spacing w:before="10"/>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3BA02129" w14:textId="77777777" w:rsidR="008715BE" w:rsidRPr="00EC75B7" w:rsidRDefault="00000000">
            <w:pPr>
              <w:pStyle w:val="TableParagraph"/>
              <w:spacing w:before="166" w:line="194" w:lineRule="exact"/>
              <w:ind w:left="117"/>
              <w:rPr>
                <w:rFonts w:ascii="Verdana" w:hAnsi="Verdana"/>
                <w:sz w:val="18"/>
                <w:szCs w:val="18"/>
              </w:rPr>
            </w:pPr>
            <w:r w:rsidRPr="00EC75B7">
              <w:rPr>
                <w:rFonts w:ascii="Verdana" w:hAnsi="Verdana"/>
                <w:sz w:val="18"/>
                <w:szCs w:val="18"/>
              </w:rPr>
              <w:t>30-40 square meters in the working area, agricultural land outside the protected area</w:t>
            </w:r>
          </w:p>
        </w:tc>
        <w:tc>
          <w:tcPr>
            <w:tcW w:w="1889" w:type="dxa"/>
          </w:tcPr>
          <w:p w14:paraId="0924F24C" w14:textId="77777777" w:rsidR="008715BE" w:rsidRPr="00EC75B7" w:rsidRDefault="00000000">
            <w:pPr>
              <w:pStyle w:val="TableParagraph"/>
              <w:tabs>
                <w:tab w:val="left" w:pos="1548"/>
              </w:tabs>
              <w:spacing w:line="194" w:lineRule="exact"/>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584CDF81" w14:textId="77777777">
        <w:trPr>
          <w:trHeight w:val="1943"/>
        </w:trPr>
        <w:tc>
          <w:tcPr>
            <w:tcW w:w="523" w:type="dxa"/>
            <w:vMerge/>
            <w:tcBorders>
              <w:top w:val="nil"/>
            </w:tcBorders>
          </w:tcPr>
          <w:p w14:paraId="0853E143" w14:textId="77777777" w:rsidR="008715BE" w:rsidRPr="00EC75B7" w:rsidRDefault="008715BE">
            <w:pPr>
              <w:rPr>
                <w:rFonts w:ascii="Verdana" w:hAnsi="Verdana"/>
                <w:sz w:val="18"/>
                <w:szCs w:val="18"/>
              </w:rPr>
            </w:pPr>
          </w:p>
        </w:tc>
        <w:tc>
          <w:tcPr>
            <w:tcW w:w="2323" w:type="dxa"/>
            <w:vMerge/>
            <w:tcBorders>
              <w:top w:val="nil"/>
            </w:tcBorders>
          </w:tcPr>
          <w:p w14:paraId="14F58CBA" w14:textId="77777777" w:rsidR="008715BE" w:rsidRPr="00EC75B7" w:rsidRDefault="008715BE">
            <w:pPr>
              <w:rPr>
                <w:rFonts w:ascii="Verdana" w:hAnsi="Verdana"/>
                <w:sz w:val="18"/>
                <w:szCs w:val="18"/>
              </w:rPr>
            </w:pPr>
          </w:p>
        </w:tc>
        <w:tc>
          <w:tcPr>
            <w:tcW w:w="3149" w:type="dxa"/>
          </w:tcPr>
          <w:p w14:paraId="2B2476B1"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Introduction of invasive species</w:t>
            </w:r>
          </w:p>
        </w:tc>
        <w:tc>
          <w:tcPr>
            <w:tcW w:w="1106" w:type="dxa"/>
          </w:tcPr>
          <w:p w14:paraId="30EA23D7"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216DCA25"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0BF0BB85"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2D569B22"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6E8A3B92"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481C302C"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7C70E39E" w14:textId="77777777" w:rsidR="008715BE" w:rsidRPr="00EC75B7" w:rsidRDefault="00000000">
            <w:pPr>
              <w:pStyle w:val="TableParagraph"/>
              <w:spacing w:before="8"/>
              <w:ind w:left="115" w:right="85"/>
              <w:rPr>
                <w:rFonts w:ascii="Verdana" w:hAnsi="Verdana"/>
                <w:sz w:val="18"/>
                <w:szCs w:val="18"/>
              </w:rPr>
            </w:pPr>
            <w:r w:rsidRPr="00EC75B7">
              <w:rPr>
                <w:rFonts w:ascii="Verdana" w:hAnsi="Verdana"/>
                <w:spacing w:val="-2"/>
                <w:sz w:val="18"/>
                <w:szCs w:val="18"/>
              </w:rPr>
              <w:t>Habitat area of the species</w:t>
            </w:r>
          </w:p>
        </w:tc>
        <w:tc>
          <w:tcPr>
            <w:tcW w:w="3860" w:type="dxa"/>
          </w:tcPr>
          <w:p w14:paraId="11D92A39" w14:textId="77777777" w:rsidR="008715BE" w:rsidRPr="00EC75B7" w:rsidRDefault="00000000">
            <w:pPr>
              <w:pStyle w:val="TableParagraph"/>
              <w:spacing w:before="8" w:line="195" w:lineRule="exact"/>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53359011"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Maximum 500 m from the working front boundary. The distance over which the effects are felt is between 5 m (in the case of rhizomes/root fragments) and 200-500 m (in the case of seeds), the habitat</w:t>
            </w:r>
            <w:r w:rsidRPr="00EC75B7">
              <w:rPr>
                <w:rFonts w:ascii="Verdana" w:hAnsi="Verdana"/>
                <w:spacing w:val="40"/>
                <w:sz w:val="18"/>
                <w:szCs w:val="18"/>
              </w:rPr>
              <w:t xml:space="preserve">  </w:t>
            </w:r>
            <w:r w:rsidRPr="00EC75B7">
              <w:rPr>
                <w:rFonts w:ascii="Verdana" w:hAnsi="Verdana"/>
                <w:sz w:val="18"/>
                <w:szCs w:val="18"/>
              </w:rPr>
              <w:t xml:space="preserve"> is located 200-700 m from the area where the excavation works are carried out.</w:t>
            </w:r>
            <w:r w:rsidRPr="00EC75B7">
              <w:rPr>
                <w:rFonts w:ascii="Verdana" w:hAnsi="Verdana"/>
                <w:spacing w:val="80"/>
                <w:sz w:val="18"/>
                <w:szCs w:val="18"/>
              </w:rPr>
              <w:t xml:space="preserve"> </w:t>
            </w:r>
            <w:r w:rsidRPr="00EC75B7">
              <w:rPr>
                <w:rFonts w:ascii="Verdana" w:hAnsi="Verdana"/>
                <w:sz w:val="18"/>
                <w:szCs w:val="18"/>
              </w:rPr>
              <w:t xml:space="preserve">Taking into account the precautionary principle, it was considered that this could generate </w:t>
            </w:r>
            <w:r w:rsidRPr="00EC75B7">
              <w:rPr>
                <w:rFonts w:ascii="Verdana" w:hAnsi="Verdana"/>
                <w:spacing w:val="-5"/>
                <w:sz w:val="18"/>
                <w:szCs w:val="18"/>
              </w:rPr>
              <w:t>a</w:t>
            </w:r>
          </w:p>
          <w:p w14:paraId="48E4C154" w14:textId="77777777" w:rsidR="008715BE" w:rsidRPr="00EC75B7" w:rsidRDefault="00000000">
            <w:pPr>
              <w:pStyle w:val="TableParagraph"/>
              <w:spacing w:line="158" w:lineRule="exact"/>
              <w:ind w:left="117"/>
              <w:rPr>
                <w:rFonts w:ascii="Verdana" w:hAnsi="Verdana"/>
                <w:sz w:val="18"/>
                <w:szCs w:val="18"/>
              </w:rPr>
            </w:pPr>
            <w:r w:rsidRPr="00EC75B7">
              <w:rPr>
                <w:rFonts w:ascii="Verdana" w:hAnsi="Verdana"/>
                <w:sz w:val="18"/>
                <w:szCs w:val="18"/>
              </w:rPr>
              <w:t xml:space="preserve">potential </w:t>
            </w:r>
            <w:r w:rsidRPr="00EC75B7">
              <w:rPr>
                <w:rFonts w:ascii="Verdana" w:hAnsi="Verdana"/>
                <w:spacing w:val="-2"/>
                <w:sz w:val="18"/>
                <w:szCs w:val="18"/>
              </w:rPr>
              <w:t>impact</w:t>
            </w:r>
          </w:p>
        </w:tc>
        <w:tc>
          <w:tcPr>
            <w:tcW w:w="1889" w:type="dxa"/>
          </w:tcPr>
          <w:p w14:paraId="0AD9959A"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33A78CAF" w14:textId="77777777">
        <w:trPr>
          <w:trHeight w:val="210"/>
        </w:trPr>
        <w:tc>
          <w:tcPr>
            <w:tcW w:w="21392" w:type="dxa"/>
            <w:gridSpan w:val="12"/>
          </w:tcPr>
          <w:p w14:paraId="1827384C" w14:textId="77777777" w:rsidR="008715BE" w:rsidRPr="00EC75B7" w:rsidRDefault="00000000">
            <w:pPr>
              <w:pStyle w:val="TableParagraph"/>
              <w:spacing w:before="15" w:line="175" w:lineRule="exact"/>
              <w:ind w:left="24" w:right="1"/>
              <w:jc w:val="center"/>
              <w:rPr>
                <w:rFonts w:ascii="Verdana" w:hAnsi="Verdana"/>
                <w:b/>
                <w:sz w:val="18"/>
                <w:szCs w:val="18"/>
              </w:rPr>
            </w:pPr>
            <w:r w:rsidRPr="00EC75B7">
              <w:rPr>
                <w:rFonts w:ascii="Verdana" w:hAnsi="Verdana"/>
                <w:b/>
                <w:sz w:val="18"/>
                <w:szCs w:val="18"/>
              </w:rPr>
              <w:t xml:space="preserve">BG0000570 Izvorovo - </w:t>
            </w:r>
            <w:r w:rsidRPr="00EC75B7">
              <w:rPr>
                <w:rFonts w:ascii="Verdana" w:hAnsi="Verdana"/>
                <w:b/>
                <w:spacing w:val="-2"/>
                <w:sz w:val="18"/>
                <w:szCs w:val="18"/>
              </w:rPr>
              <w:t>Kraishte</w:t>
            </w:r>
          </w:p>
        </w:tc>
      </w:tr>
      <w:tr w:rsidR="008715BE" w:rsidRPr="00EC75B7" w14:paraId="3734A854" w14:textId="77777777">
        <w:trPr>
          <w:trHeight w:val="1034"/>
        </w:trPr>
        <w:tc>
          <w:tcPr>
            <w:tcW w:w="523" w:type="dxa"/>
            <w:vMerge w:val="restart"/>
            <w:textDirection w:val="btLr"/>
          </w:tcPr>
          <w:p w14:paraId="3DCCDD95" w14:textId="77777777" w:rsidR="008715BE" w:rsidRPr="00EC75B7" w:rsidRDefault="00000000">
            <w:pPr>
              <w:pStyle w:val="TableParagraph"/>
              <w:spacing w:before="171"/>
              <w:ind w:left="-1"/>
              <w:jc w:val="center"/>
              <w:rPr>
                <w:rFonts w:ascii="Verdana" w:hAnsi="Verdana"/>
                <w:sz w:val="18"/>
                <w:szCs w:val="18"/>
              </w:rPr>
            </w:pPr>
            <w:r w:rsidRPr="00EC75B7">
              <w:rPr>
                <w:rFonts w:ascii="Verdana" w:hAnsi="Verdana"/>
                <w:spacing w:val="-2"/>
                <w:sz w:val="18"/>
                <w:szCs w:val="18"/>
              </w:rPr>
              <w:t>Construction</w:t>
            </w:r>
          </w:p>
        </w:tc>
        <w:tc>
          <w:tcPr>
            <w:tcW w:w="2323" w:type="dxa"/>
          </w:tcPr>
          <w:p w14:paraId="775D65F5" w14:textId="77777777" w:rsidR="008715BE" w:rsidRPr="00EC75B7" w:rsidRDefault="00000000">
            <w:pPr>
              <w:pStyle w:val="TableParagraph"/>
              <w:tabs>
                <w:tab w:val="left" w:pos="2087"/>
              </w:tabs>
              <w:spacing w:before="8"/>
              <w:ind w:left="105" w:right="95"/>
              <w:jc w:val="both"/>
              <w:rPr>
                <w:rFonts w:ascii="Verdana" w:hAnsi="Verdana"/>
                <w:sz w:val="18"/>
                <w:szCs w:val="18"/>
              </w:rPr>
            </w:pPr>
            <w:r w:rsidRPr="00EC75B7">
              <w:rPr>
                <w:rFonts w:ascii="Verdana" w:hAnsi="Verdana"/>
                <w:spacing w:val="-2"/>
                <w:sz w:val="18"/>
                <w:szCs w:val="18"/>
              </w:rPr>
              <w:t>Organisation</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z w:val="18"/>
                <w:szCs w:val="18"/>
              </w:rPr>
              <w:t xml:space="preserve">operation of the construction site (including </w:t>
            </w:r>
            <w:r w:rsidRPr="00EC75B7">
              <w:rPr>
                <w:rFonts w:ascii="Verdana" w:hAnsi="Verdana"/>
                <w:spacing w:val="-2"/>
                <w:sz w:val="18"/>
                <w:szCs w:val="18"/>
              </w:rPr>
              <w:t xml:space="preserve">site </w:t>
            </w:r>
            <w:r w:rsidRPr="00EC75B7">
              <w:rPr>
                <w:rFonts w:ascii="Verdana" w:hAnsi="Verdana"/>
                <w:sz w:val="18"/>
                <w:szCs w:val="18"/>
              </w:rPr>
              <w:t>traffic</w:t>
            </w:r>
            <w:r w:rsidRPr="00EC75B7">
              <w:rPr>
                <w:rFonts w:ascii="Verdana" w:hAnsi="Verdana"/>
                <w:spacing w:val="-2"/>
                <w:sz w:val="18"/>
                <w:szCs w:val="18"/>
              </w:rPr>
              <w:t>)</w:t>
            </w:r>
          </w:p>
        </w:tc>
        <w:tc>
          <w:tcPr>
            <w:tcW w:w="3149" w:type="dxa"/>
          </w:tcPr>
          <w:p w14:paraId="551D571F" w14:textId="77777777" w:rsidR="008715BE" w:rsidRPr="00EC75B7" w:rsidRDefault="00000000">
            <w:pPr>
              <w:pStyle w:val="TableParagraph"/>
              <w:spacing w:before="8"/>
              <w:ind w:left="108" w:right="93"/>
              <w:rPr>
                <w:rFonts w:ascii="Verdana" w:hAnsi="Verdana"/>
                <w:sz w:val="18"/>
                <w:szCs w:val="18"/>
              </w:rPr>
            </w:pPr>
            <w:r w:rsidRPr="00EC75B7">
              <w:rPr>
                <w:rFonts w:ascii="Verdana" w:hAnsi="Verdana"/>
                <w:sz w:val="18"/>
                <w:szCs w:val="18"/>
              </w:rPr>
              <w:t>Removal of topsoil and vegetation</w:t>
            </w:r>
          </w:p>
        </w:tc>
        <w:tc>
          <w:tcPr>
            <w:tcW w:w="1106" w:type="dxa"/>
          </w:tcPr>
          <w:p w14:paraId="61A4287C"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4"/>
                <w:sz w:val="18"/>
                <w:szCs w:val="18"/>
              </w:rPr>
              <w:t>AH/PH</w:t>
            </w:r>
          </w:p>
        </w:tc>
        <w:tc>
          <w:tcPr>
            <w:tcW w:w="1108" w:type="dxa"/>
          </w:tcPr>
          <w:p w14:paraId="71B21049"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5727A84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2770351E"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6B27AA5"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vMerge w:val="restart"/>
          </w:tcPr>
          <w:p w14:paraId="5817CF00"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246D22A5"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09D6E026"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if </w:t>
            </w: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1361BADE"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274A9ECE"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vMerge w:val="restart"/>
          </w:tcPr>
          <w:p w14:paraId="74BB1B9A"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491EC9D2" w14:textId="77777777" w:rsidR="008715BE" w:rsidRPr="00EC75B7" w:rsidRDefault="00000000">
            <w:pPr>
              <w:pStyle w:val="TableParagraph"/>
              <w:spacing w:before="194"/>
              <w:ind w:left="117" w:right="83"/>
              <w:jc w:val="both"/>
              <w:rPr>
                <w:rFonts w:ascii="Verdana" w:hAnsi="Verdana"/>
                <w:sz w:val="18"/>
                <w:szCs w:val="18"/>
              </w:rPr>
            </w:pPr>
            <w:r w:rsidRPr="00EC75B7">
              <w:rPr>
                <w:rFonts w:ascii="Verdana" w:hAnsi="Verdana"/>
                <w:sz w:val="18"/>
                <w:szCs w:val="18"/>
              </w:rPr>
              <w:t xml:space="preserve">Areas occupied outside the protected area where presence was reported following </w:t>
            </w:r>
            <w:r w:rsidRPr="00EC75B7">
              <w:rPr>
                <w:rFonts w:ascii="Verdana" w:hAnsi="Verdana"/>
                <w:spacing w:val="-2"/>
                <w:sz w:val="18"/>
                <w:szCs w:val="18"/>
              </w:rPr>
              <w:t>monitoring:</w:t>
            </w:r>
          </w:p>
          <w:p w14:paraId="3D316644"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2B2D048A" w14:textId="77777777" w:rsidR="008715BE" w:rsidRPr="00EC75B7" w:rsidRDefault="00000000">
            <w:pPr>
              <w:pStyle w:val="TableParagraph"/>
              <w:ind w:left="117" w:right="84"/>
              <w:jc w:val="both"/>
              <w:rPr>
                <w:rFonts w:ascii="Verdana" w:hAnsi="Verdana"/>
                <w:sz w:val="18"/>
                <w:szCs w:val="18"/>
              </w:rPr>
            </w:pPr>
            <w:r w:rsidRPr="00EC75B7">
              <w:rPr>
                <w:rFonts w:ascii="Verdana" w:hAnsi="Verdana"/>
                <w:sz w:val="18"/>
                <w:szCs w:val="18"/>
              </w:rPr>
              <w:t xml:space="preserve">309.24 ha of areas permanently occupied by the construction elements of the </w:t>
            </w:r>
            <w:r w:rsidRPr="00EC75B7">
              <w:rPr>
                <w:rFonts w:ascii="Verdana" w:hAnsi="Verdana"/>
                <w:spacing w:val="-2"/>
                <w:sz w:val="18"/>
                <w:szCs w:val="18"/>
              </w:rPr>
              <w:t>energy</w:t>
            </w:r>
            <w:r w:rsidRPr="00EC75B7">
              <w:rPr>
                <w:rFonts w:ascii="Verdana" w:hAnsi="Verdana"/>
                <w:sz w:val="18"/>
                <w:szCs w:val="18"/>
              </w:rPr>
              <w:t xml:space="preserve"> park</w:t>
            </w:r>
          </w:p>
        </w:tc>
        <w:tc>
          <w:tcPr>
            <w:tcW w:w="1889" w:type="dxa"/>
            <w:vMerge w:val="restart"/>
          </w:tcPr>
          <w:p w14:paraId="7913E0B2" w14:textId="77777777" w:rsidR="008715BE" w:rsidRPr="00EC75B7" w:rsidRDefault="00000000">
            <w:pPr>
              <w:pStyle w:val="TableParagraph"/>
              <w:tabs>
                <w:tab w:val="left" w:pos="1598"/>
                <w:tab w:val="left" w:pos="1654"/>
              </w:tabs>
              <w:spacing w:before="8"/>
              <w:ind w:left="119" w:right="81"/>
              <w:jc w:val="both"/>
              <w:rPr>
                <w:rFonts w:ascii="Verdana" w:hAnsi="Verdana"/>
                <w:sz w:val="18"/>
                <w:szCs w:val="18"/>
              </w:rPr>
            </w:pPr>
            <w:r w:rsidRPr="00EC75B7">
              <w:rPr>
                <w:rFonts w:ascii="Verdana" w:hAnsi="Verdana"/>
                <w:sz w:val="18"/>
                <w:szCs w:val="18"/>
              </w:rPr>
              <w:t xml:space="preserve">Spatial analysis and data received from the beneficiary Spatial analysis and data </w:t>
            </w:r>
            <w:r w:rsidRPr="00EC75B7">
              <w:rPr>
                <w:rFonts w:ascii="Verdana" w:hAnsi="Verdana"/>
                <w:spacing w:val="-2"/>
                <w:sz w:val="18"/>
                <w:szCs w:val="18"/>
              </w:rPr>
              <w:t>transmitted</w:t>
            </w:r>
            <w:r w:rsidRPr="00EC75B7">
              <w:rPr>
                <w:rFonts w:ascii="Verdana" w:hAnsi="Verdana"/>
                <w:sz w:val="18"/>
                <w:szCs w:val="18"/>
              </w:rPr>
              <w:tab/>
            </w:r>
            <w:r w:rsidRPr="00EC75B7">
              <w:rPr>
                <w:rFonts w:ascii="Verdana" w:hAnsi="Verdana"/>
                <w:spacing w:val="-6"/>
                <w:sz w:val="18"/>
                <w:szCs w:val="18"/>
              </w:rPr>
              <w:t xml:space="preserve">by </w:t>
            </w:r>
            <w:r w:rsidRPr="00EC75B7">
              <w:rPr>
                <w:rFonts w:ascii="Verdana" w:hAnsi="Verdana"/>
                <w:sz w:val="18"/>
                <w:szCs w:val="18"/>
              </w:rPr>
              <w:t xml:space="preserve">the </w:t>
            </w:r>
            <w:r w:rsidRPr="00EC75B7">
              <w:rPr>
                <w:rFonts w:ascii="Verdana" w:hAnsi="Verdana"/>
                <w:spacing w:val="-2"/>
                <w:sz w:val="18"/>
                <w:szCs w:val="18"/>
              </w:rPr>
              <w:t xml:space="preserve">Bulgarian </w:t>
            </w:r>
            <w:r w:rsidRPr="00EC75B7">
              <w:rPr>
                <w:rFonts w:ascii="Verdana" w:hAnsi="Verdana"/>
                <w:sz w:val="18"/>
                <w:szCs w:val="18"/>
              </w:rPr>
              <w:t>Ministry of Environment</w:t>
            </w:r>
            <w:r w:rsidRPr="00EC75B7">
              <w:rPr>
                <w:rFonts w:ascii="Verdana" w:hAnsi="Verdana"/>
                <w:sz w:val="18"/>
                <w:szCs w:val="18"/>
              </w:rPr>
              <w:tab/>
            </w:r>
            <w:r w:rsidRPr="00EC75B7">
              <w:rPr>
                <w:rFonts w:ascii="Verdana" w:hAnsi="Verdana"/>
                <w:sz w:val="18"/>
                <w:szCs w:val="18"/>
              </w:rPr>
              <w:tab/>
            </w:r>
            <w:r w:rsidRPr="00EC75B7">
              <w:rPr>
                <w:rFonts w:ascii="Verdana" w:hAnsi="Verdana"/>
                <w:spacing w:val="-5"/>
                <w:sz w:val="18"/>
                <w:szCs w:val="18"/>
              </w:rPr>
              <w:t>to</w:t>
            </w:r>
          </w:p>
          <w:p w14:paraId="0AA00035" w14:textId="77777777" w:rsidR="008715BE" w:rsidRPr="00EC75B7" w:rsidRDefault="00000000">
            <w:pPr>
              <w:pStyle w:val="TableParagraph"/>
              <w:ind w:left="119"/>
              <w:rPr>
                <w:rFonts w:ascii="Verdana" w:hAnsi="Verdana"/>
                <w:sz w:val="18"/>
                <w:szCs w:val="18"/>
              </w:rPr>
            </w:pPr>
            <w:r w:rsidRPr="00EC75B7">
              <w:rPr>
                <w:rFonts w:ascii="Verdana" w:hAnsi="Verdana"/>
                <w:spacing w:val="-2"/>
                <w:sz w:val="18"/>
                <w:szCs w:val="18"/>
              </w:rPr>
              <w:t>the beneficiary's request</w:t>
            </w:r>
          </w:p>
        </w:tc>
      </w:tr>
      <w:tr w:rsidR="008715BE" w:rsidRPr="00EC75B7" w14:paraId="35D1A13A" w14:textId="77777777">
        <w:trPr>
          <w:trHeight w:val="1036"/>
        </w:trPr>
        <w:tc>
          <w:tcPr>
            <w:tcW w:w="523" w:type="dxa"/>
            <w:vMerge/>
            <w:tcBorders>
              <w:top w:val="nil"/>
            </w:tcBorders>
            <w:textDirection w:val="btLr"/>
          </w:tcPr>
          <w:p w14:paraId="7A2A6565" w14:textId="77777777" w:rsidR="008715BE" w:rsidRPr="00EC75B7" w:rsidRDefault="008715BE">
            <w:pPr>
              <w:rPr>
                <w:rFonts w:ascii="Verdana" w:hAnsi="Verdana"/>
                <w:sz w:val="18"/>
                <w:szCs w:val="18"/>
              </w:rPr>
            </w:pPr>
          </w:p>
        </w:tc>
        <w:tc>
          <w:tcPr>
            <w:tcW w:w="2323" w:type="dxa"/>
          </w:tcPr>
          <w:p w14:paraId="4780CD73" w14:textId="77777777" w:rsidR="008715BE" w:rsidRPr="00EC75B7" w:rsidRDefault="00000000">
            <w:pPr>
              <w:pStyle w:val="TableParagraph"/>
              <w:spacing w:before="8"/>
              <w:ind w:left="105"/>
              <w:rPr>
                <w:rFonts w:ascii="Verdana" w:hAnsi="Verdana"/>
                <w:sz w:val="18"/>
                <w:szCs w:val="18"/>
              </w:rPr>
            </w:pPr>
            <w:r w:rsidRPr="00EC75B7">
              <w:rPr>
                <w:rFonts w:ascii="Verdana" w:hAnsi="Verdana"/>
                <w:sz w:val="18"/>
                <w:szCs w:val="18"/>
              </w:rPr>
              <w:t xml:space="preserve">Construction of </w:t>
            </w:r>
            <w:r w:rsidRPr="00EC75B7">
              <w:rPr>
                <w:rFonts w:ascii="Verdana" w:hAnsi="Verdana"/>
                <w:spacing w:val="-4"/>
                <w:sz w:val="18"/>
                <w:szCs w:val="18"/>
              </w:rPr>
              <w:t xml:space="preserve">access </w:t>
            </w:r>
            <w:r w:rsidRPr="00EC75B7">
              <w:rPr>
                <w:rFonts w:ascii="Verdana" w:hAnsi="Verdana"/>
                <w:sz w:val="18"/>
                <w:szCs w:val="18"/>
              </w:rPr>
              <w:t>roads</w:t>
            </w:r>
          </w:p>
        </w:tc>
        <w:tc>
          <w:tcPr>
            <w:tcW w:w="3149" w:type="dxa"/>
          </w:tcPr>
          <w:p w14:paraId="33569510"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pacing w:val="33"/>
                <w:sz w:val="18"/>
                <w:szCs w:val="18"/>
              </w:rPr>
              <w:t xml:space="preserve">  </w:t>
            </w:r>
            <w:r w:rsidRPr="00EC75B7">
              <w:rPr>
                <w:rFonts w:ascii="Verdana" w:hAnsi="Verdana"/>
                <w:spacing w:val="-10"/>
                <w:sz w:val="18"/>
                <w:szCs w:val="18"/>
              </w:rPr>
              <w:t xml:space="preserve"> e </w:t>
            </w:r>
            <w:r w:rsidRPr="00EC75B7">
              <w:rPr>
                <w:rFonts w:ascii="Verdana" w:hAnsi="Verdana"/>
                <w:spacing w:val="-2"/>
                <w:sz w:val="18"/>
                <w:szCs w:val="18"/>
              </w:rPr>
              <w:t xml:space="preserve">temporary/permanent occupation </w:t>
            </w:r>
            <w:r w:rsidRPr="00EC75B7">
              <w:rPr>
                <w:rFonts w:ascii="Verdana" w:hAnsi="Verdana"/>
                <w:spacing w:val="-10"/>
                <w:sz w:val="18"/>
                <w:szCs w:val="18"/>
              </w:rPr>
              <w:t>of</w:t>
            </w:r>
          </w:p>
          <w:p w14:paraId="1BA149F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 xml:space="preserve">land </w:t>
            </w:r>
            <w:r w:rsidRPr="00EC75B7">
              <w:rPr>
                <w:rFonts w:ascii="Verdana" w:hAnsi="Verdana"/>
                <w:sz w:val="18"/>
                <w:szCs w:val="18"/>
              </w:rPr>
              <w:t>areas</w:t>
            </w:r>
          </w:p>
        </w:tc>
        <w:tc>
          <w:tcPr>
            <w:tcW w:w="1106" w:type="dxa"/>
          </w:tcPr>
          <w:p w14:paraId="159EBF87"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FH</w:t>
            </w:r>
          </w:p>
        </w:tc>
        <w:tc>
          <w:tcPr>
            <w:tcW w:w="1108" w:type="dxa"/>
          </w:tcPr>
          <w:p w14:paraId="06266621"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0A28A96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54F87F3B"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5C35E2F5"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vMerge/>
            <w:tcBorders>
              <w:top w:val="nil"/>
            </w:tcBorders>
          </w:tcPr>
          <w:p w14:paraId="1A50B9C2" w14:textId="77777777" w:rsidR="008715BE" w:rsidRPr="00EC75B7" w:rsidRDefault="008715BE">
            <w:pPr>
              <w:rPr>
                <w:rFonts w:ascii="Verdana" w:hAnsi="Verdana"/>
                <w:sz w:val="18"/>
                <w:szCs w:val="18"/>
              </w:rPr>
            </w:pPr>
          </w:p>
        </w:tc>
        <w:tc>
          <w:tcPr>
            <w:tcW w:w="1897" w:type="dxa"/>
          </w:tcPr>
          <w:p w14:paraId="25F2F868"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753078B5"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vMerge/>
            <w:tcBorders>
              <w:top w:val="nil"/>
            </w:tcBorders>
          </w:tcPr>
          <w:p w14:paraId="5F93AA2B" w14:textId="77777777" w:rsidR="008715BE" w:rsidRPr="00EC75B7" w:rsidRDefault="008715BE">
            <w:pPr>
              <w:rPr>
                <w:rFonts w:ascii="Verdana" w:hAnsi="Verdana"/>
                <w:sz w:val="18"/>
                <w:szCs w:val="18"/>
              </w:rPr>
            </w:pPr>
          </w:p>
        </w:tc>
        <w:tc>
          <w:tcPr>
            <w:tcW w:w="1889" w:type="dxa"/>
            <w:vMerge/>
            <w:tcBorders>
              <w:top w:val="nil"/>
            </w:tcBorders>
          </w:tcPr>
          <w:p w14:paraId="3EF41B8C" w14:textId="77777777" w:rsidR="008715BE" w:rsidRPr="00EC75B7" w:rsidRDefault="008715BE">
            <w:pPr>
              <w:rPr>
                <w:rFonts w:ascii="Verdana" w:hAnsi="Verdana"/>
                <w:sz w:val="18"/>
                <w:szCs w:val="18"/>
              </w:rPr>
            </w:pPr>
          </w:p>
        </w:tc>
      </w:tr>
      <w:tr w:rsidR="008715BE" w:rsidRPr="00EC75B7" w14:paraId="6E86B297" w14:textId="77777777">
        <w:trPr>
          <w:trHeight w:val="942"/>
        </w:trPr>
        <w:tc>
          <w:tcPr>
            <w:tcW w:w="523" w:type="dxa"/>
            <w:vMerge/>
            <w:tcBorders>
              <w:top w:val="nil"/>
            </w:tcBorders>
            <w:textDirection w:val="btLr"/>
          </w:tcPr>
          <w:p w14:paraId="4622FFF8" w14:textId="77777777" w:rsidR="008715BE" w:rsidRPr="00EC75B7" w:rsidRDefault="008715BE">
            <w:pPr>
              <w:rPr>
                <w:rFonts w:ascii="Verdana" w:hAnsi="Verdana"/>
                <w:sz w:val="18"/>
                <w:szCs w:val="18"/>
              </w:rPr>
            </w:pPr>
          </w:p>
        </w:tc>
        <w:tc>
          <w:tcPr>
            <w:tcW w:w="2323" w:type="dxa"/>
          </w:tcPr>
          <w:p w14:paraId="47C29506" w14:textId="77777777" w:rsidR="008715BE" w:rsidRPr="00EC75B7" w:rsidRDefault="00000000">
            <w:pPr>
              <w:pStyle w:val="TableParagraph"/>
              <w:spacing w:before="8" w:line="195" w:lineRule="exact"/>
              <w:ind w:left="105"/>
              <w:rPr>
                <w:rFonts w:ascii="Verdana" w:hAnsi="Verdana"/>
                <w:sz w:val="18"/>
                <w:szCs w:val="18"/>
              </w:rPr>
            </w:pPr>
            <w:r w:rsidRPr="00EC75B7">
              <w:rPr>
                <w:rFonts w:ascii="Verdana" w:hAnsi="Verdana"/>
                <w:spacing w:val="46"/>
                <w:sz w:val="18"/>
                <w:szCs w:val="18"/>
              </w:rPr>
              <w:t xml:space="preserve">  </w:t>
            </w:r>
            <w:r w:rsidRPr="00EC75B7">
              <w:rPr>
                <w:rFonts w:ascii="Verdana" w:hAnsi="Verdana"/>
                <w:spacing w:val="-2"/>
                <w:sz w:val="18"/>
                <w:szCs w:val="18"/>
              </w:rPr>
              <w:t xml:space="preserve"> </w:t>
            </w:r>
            <w:r w:rsidRPr="00EC75B7">
              <w:rPr>
                <w:rFonts w:ascii="Verdana" w:hAnsi="Verdana"/>
                <w:sz w:val="18"/>
                <w:szCs w:val="18"/>
              </w:rPr>
              <w:t>works by</w:t>
            </w:r>
            <w:r w:rsidRPr="00EC75B7">
              <w:rPr>
                <w:rFonts w:ascii="Verdana" w:hAnsi="Verdana"/>
                <w:spacing w:val="48"/>
                <w:sz w:val="18"/>
                <w:szCs w:val="18"/>
              </w:rPr>
              <w:t xml:space="preserve">  </w:t>
            </w:r>
            <w:r w:rsidRPr="00EC75B7">
              <w:rPr>
                <w:rFonts w:ascii="Verdana" w:hAnsi="Verdana"/>
                <w:spacing w:val="-2"/>
                <w:sz w:val="18"/>
                <w:szCs w:val="18"/>
              </w:rPr>
              <w:t xml:space="preserve"> </w:t>
            </w:r>
          </w:p>
          <w:p w14:paraId="0EDBEF69" w14:textId="77777777" w:rsidR="008715BE" w:rsidRPr="00EC75B7" w:rsidRDefault="00000000">
            <w:pPr>
              <w:pStyle w:val="TableParagraph"/>
              <w:tabs>
                <w:tab w:val="left" w:pos="1444"/>
              </w:tabs>
              <w:spacing w:line="194" w:lineRule="exact"/>
              <w:ind w:left="105"/>
              <w:rPr>
                <w:rFonts w:ascii="Verdana" w:hAnsi="Verdana"/>
                <w:sz w:val="18"/>
                <w:szCs w:val="18"/>
              </w:rPr>
            </w:pPr>
            <w:r w:rsidRPr="00EC75B7">
              <w:rPr>
                <w:rFonts w:ascii="Verdana" w:hAnsi="Verdana"/>
                <w:spacing w:val="-2"/>
                <w:sz w:val="18"/>
                <w:szCs w:val="18"/>
              </w:rPr>
              <w:t>(land levelling</w:t>
            </w:r>
            <w:r w:rsidRPr="00EC75B7">
              <w:rPr>
                <w:rFonts w:ascii="Verdana" w:hAnsi="Verdana"/>
                <w:sz w:val="18"/>
                <w:szCs w:val="18"/>
              </w:rPr>
              <w:tab/>
            </w:r>
            <w:r w:rsidRPr="00EC75B7">
              <w:rPr>
                <w:rFonts w:ascii="Verdana" w:hAnsi="Verdana"/>
                <w:spacing w:val="-2"/>
                <w:sz w:val="18"/>
                <w:szCs w:val="18"/>
              </w:rPr>
              <w:t>of the terrain,</w:t>
            </w:r>
          </w:p>
          <w:p w14:paraId="267C35A9" w14:textId="77777777" w:rsidR="008715BE" w:rsidRPr="00EC75B7" w:rsidRDefault="00000000">
            <w:pPr>
              <w:pStyle w:val="TableParagraph"/>
              <w:tabs>
                <w:tab w:val="left" w:pos="1446"/>
              </w:tabs>
              <w:spacing w:line="194" w:lineRule="exact"/>
              <w:ind w:left="105"/>
              <w:rPr>
                <w:rFonts w:ascii="Verdana" w:hAnsi="Verdana"/>
                <w:sz w:val="18"/>
                <w:szCs w:val="18"/>
              </w:rPr>
            </w:pPr>
            <w:r w:rsidRPr="00EC75B7">
              <w:rPr>
                <w:rFonts w:ascii="Verdana" w:hAnsi="Verdana"/>
                <w:spacing w:val="-2"/>
                <w:sz w:val="18"/>
                <w:szCs w:val="18"/>
              </w:rPr>
              <w:t>excavations,</w:t>
            </w:r>
            <w:r w:rsidRPr="00EC75B7">
              <w:rPr>
                <w:rFonts w:ascii="Verdana" w:hAnsi="Verdana"/>
                <w:sz w:val="18"/>
                <w:szCs w:val="18"/>
              </w:rPr>
              <w:tab/>
            </w:r>
            <w:r w:rsidRPr="00EC75B7">
              <w:rPr>
                <w:rFonts w:ascii="Verdana" w:hAnsi="Verdana"/>
                <w:spacing w:val="-2"/>
                <w:sz w:val="18"/>
                <w:szCs w:val="18"/>
              </w:rPr>
              <w:t>excavations,</w:t>
            </w:r>
          </w:p>
          <w:p w14:paraId="062355D0"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backfilling)</w:t>
            </w:r>
          </w:p>
        </w:tc>
        <w:tc>
          <w:tcPr>
            <w:tcW w:w="3149" w:type="dxa"/>
          </w:tcPr>
          <w:p w14:paraId="149FAFA2"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Increased </w:t>
            </w:r>
            <w:r w:rsidRPr="00EC75B7">
              <w:rPr>
                <w:rFonts w:ascii="Verdana" w:hAnsi="Verdana"/>
                <w:spacing w:val="-2"/>
                <w:sz w:val="18"/>
                <w:szCs w:val="18"/>
              </w:rPr>
              <w:t xml:space="preserve">noise </w:t>
            </w:r>
            <w:r w:rsidRPr="00EC75B7">
              <w:rPr>
                <w:rFonts w:ascii="Verdana" w:hAnsi="Verdana"/>
                <w:sz w:val="18"/>
                <w:szCs w:val="18"/>
              </w:rPr>
              <w:t>levels</w:t>
            </w:r>
          </w:p>
        </w:tc>
        <w:tc>
          <w:tcPr>
            <w:tcW w:w="1106" w:type="dxa"/>
          </w:tcPr>
          <w:p w14:paraId="4D218DA0"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PAS</w:t>
            </w:r>
          </w:p>
        </w:tc>
        <w:tc>
          <w:tcPr>
            <w:tcW w:w="1108" w:type="dxa"/>
          </w:tcPr>
          <w:p w14:paraId="1B4320AC"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79492F6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07ABDF0E"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6798D9C0"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vMerge/>
            <w:tcBorders>
              <w:top w:val="nil"/>
            </w:tcBorders>
          </w:tcPr>
          <w:p w14:paraId="6DE68765" w14:textId="77777777" w:rsidR="008715BE" w:rsidRPr="00EC75B7" w:rsidRDefault="008715BE">
            <w:pPr>
              <w:rPr>
                <w:rFonts w:ascii="Verdana" w:hAnsi="Verdana"/>
                <w:sz w:val="18"/>
                <w:szCs w:val="18"/>
              </w:rPr>
            </w:pPr>
          </w:p>
        </w:tc>
        <w:tc>
          <w:tcPr>
            <w:tcW w:w="1897" w:type="dxa"/>
          </w:tcPr>
          <w:p w14:paraId="3FE51611"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528C6510"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vMerge/>
            <w:tcBorders>
              <w:top w:val="nil"/>
            </w:tcBorders>
          </w:tcPr>
          <w:p w14:paraId="6F0DFD50" w14:textId="77777777" w:rsidR="008715BE" w:rsidRPr="00EC75B7" w:rsidRDefault="008715BE">
            <w:pPr>
              <w:rPr>
                <w:rFonts w:ascii="Verdana" w:hAnsi="Verdana"/>
                <w:sz w:val="18"/>
                <w:szCs w:val="18"/>
              </w:rPr>
            </w:pPr>
          </w:p>
        </w:tc>
        <w:tc>
          <w:tcPr>
            <w:tcW w:w="1889" w:type="dxa"/>
            <w:vMerge/>
            <w:tcBorders>
              <w:top w:val="nil"/>
            </w:tcBorders>
          </w:tcPr>
          <w:p w14:paraId="06BBD27D" w14:textId="77777777" w:rsidR="008715BE" w:rsidRPr="00EC75B7" w:rsidRDefault="008715BE">
            <w:pPr>
              <w:rPr>
                <w:rFonts w:ascii="Verdana" w:hAnsi="Verdana"/>
                <w:sz w:val="18"/>
                <w:szCs w:val="18"/>
              </w:rPr>
            </w:pPr>
          </w:p>
        </w:tc>
      </w:tr>
      <w:tr w:rsidR="008715BE" w:rsidRPr="00EC75B7" w14:paraId="3AC40D83" w14:textId="77777777">
        <w:trPr>
          <w:trHeight w:val="1363"/>
        </w:trPr>
        <w:tc>
          <w:tcPr>
            <w:tcW w:w="523" w:type="dxa"/>
            <w:vMerge/>
            <w:tcBorders>
              <w:top w:val="nil"/>
            </w:tcBorders>
            <w:textDirection w:val="btLr"/>
          </w:tcPr>
          <w:p w14:paraId="407E3900" w14:textId="77777777" w:rsidR="008715BE" w:rsidRPr="00EC75B7" w:rsidRDefault="008715BE">
            <w:pPr>
              <w:rPr>
                <w:rFonts w:ascii="Verdana" w:hAnsi="Verdana"/>
                <w:sz w:val="18"/>
                <w:szCs w:val="18"/>
              </w:rPr>
            </w:pPr>
          </w:p>
        </w:tc>
        <w:tc>
          <w:tcPr>
            <w:tcW w:w="2323" w:type="dxa"/>
          </w:tcPr>
          <w:p w14:paraId="455D8F70"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2"/>
                <w:sz w:val="18"/>
                <w:szCs w:val="18"/>
              </w:rPr>
              <w:t xml:space="preserve">Foundation </w:t>
            </w:r>
            <w:r w:rsidRPr="00EC75B7">
              <w:rPr>
                <w:rFonts w:ascii="Verdana" w:hAnsi="Verdana"/>
                <w:sz w:val="18"/>
                <w:szCs w:val="18"/>
              </w:rPr>
              <w:t>construction works</w:t>
            </w:r>
          </w:p>
        </w:tc>
        <w:tc>
          <w:tcPr>
            <w:tcW w:w="3149" w:type="dxa"/>
          </w:tcPr>
          <w:p w14:paraId="31549EBE" w14:textId="77777777" w:rsidR="008715BE" w:rsidRPr="00EC75B7" w:rsidRDefault="00000000">
            <w:pPr>
              <w:pStyle w:val="TableParagraph"/>
              <w:tabs>
                <w:tab w:val="left" w:pos="2846"/>
              </w:tabs>
              <w:spacing w:before="10"/>
              <w:ind w:left="108" w:right="94"/>
              <w:jc w:val="both"/>
              <w:rPr>
                <w:rFonts w:ascii="Verdana" w:hAnsi="Verdana"/>
                <w:sz w:val="18"/>
                <w:szCs w:val="18"/>
              </w:rPr>
            </w:pPr>
            <w:r w:rsidRPr="00EC75B7">
              <w:rPr>
                <w:rFonts w:ascii="Verdana" w:hAnsi="Verdana"/>
                <w:sz w:val="18"/>
                <w:szCs w:val="18"/>
              </w:rPr>
              <w:t>Collision of wildlife with vehicle traffic</w:t>
            </w:r>
            <w:r w:rsidRPr="00EC75B7">
              <w:rPr>
                <w:rFonts w:ascii="Verdana" w:hAnsi="Verdana"/>
                <w:spacing w:val="40"/>
                <w:sz w:val="18"/>
                <w:szCs w:val="18"/>
              </w:rPr>
              <w:t xml:space="preserve">  </w:t>
            </w:r>
            <w:r w:rsidRPr="00EC75B7">
              <w:rPr>
                <w:rFonts w:ascii="Verdana" w:hAnsi="Verdana"/>
                <w:sz w:val="18"/>
                <w:szCs w:val="18"/>
              </w:rPr>
              <w:t xml:space="preserve"> on</w:t>
            </w:r>
            <w:r w:rsidRPr="00EC75B7">
              <w:rPr>
                <w:rFonts w:ascii="Verdana" w:hAnsi="Verdana"/>
                <w:spacing w:val="40"/>
                <w:sz w:val="18"/>
                <w:szCs w:val="18"/>
              </w:rPr>
              <w:t xml:space="preserve">  </w:t>
            </w:r>
            <w:r w:rsidRPr="00EC75B7">
              <w:rPr>
                <w:rFonts w:ascii="Verdana" w:hAnsi="Verdana"/>
                <w:sz w:val="18"/>
                <w:szCs w:val="18"/>
              </w:rPr>
              <w:t xml:space="preserve"> access roads</w:t>
            </w:r>
            <w:r w:rsidRPr="00EC75B7">
              <w:rPr>
                <w:rFonts w:ascii="Verdana" w:hAnsi="Verdana"/>
                <w:sz w:val="18"/>
                <w:szCs w:val="18"/>
              </w:rPr>
              <w:tab/>
              <w:t xml:space="preserve">access roads/machinery in the </w:t>
            </w:r>
            <w:r w:rsidRPr="00EC75B7">
              <w:rPr>
                <w:rFonts w:ascii="Verdana" w:hAnsi="Verdana"/>
                <w:spacing w:val="-2"/>
                <w:sz w:val="18"/>
                <w:szCs w:val="18"/>
              </w:rPr>
              <w:t xml:space="preserve">work </w:t>
            </w:r>
            <w:r w:rsidRPr="00EC75B7">
              <w:rPr>
                <w:rFonts w:ascii="Verdana" w:hAnsi="Verdana"/>
                <w:sz w:val="18"/>
                <w:szCs w:val="18"/>
              </w:rPr>
              <w:t>area</w:t>
            </w:r>
          </w:p>
        </w:tc>
        <w:tc>
          <w:tcPr>
            <w:tcW w:w="1106" w:type="dxa"/>
          </w:tcPr>
          <w:p w14:paraId="165ABDD0" w14:textId="77777777" w:rsidR="008715BE" w:rsidRPr="00EC75B7" w:rsidRDefault="00000000">
            <w:pPr>
              <w:pStyle w:val="TableParagraph"/>
              <w:spacing w:before="10"/>
              <w:ind w:left="108"/>
              <w:rPr>
                <w:rFonts w:ascii="Verdana" w:hAnsi="Verdana"/>
                <w:sz w:val="18"/>
                <w:szCs w:val="18"/>
              </w:rPr>
            </w:pPr>
            <w:r w:rsidRPr="00EC75B7">
              <w:rPr>
                <w:rFonts w:ascii="Verdana" w:hAnsi="Verdana"/>
                <w:spacing w:val="-5"/>
                <w:sz w:val="18"/>
                <w:szCs w:val="18"/>
              </w:rPr>
              <w:t>REP</w:t>
            </w:r>
          </w:p>
        </w:tc>
        <w:tc>
          <w:tcPr>
            <w:tcW w:w="1108" w:type="dxa"/>
          </w:tcPr>
          <w:p w14:paraId="32307F6C" w14:textId="77777777" w:rsidR="008715BE" w:rsidRPr="00EC75B7" w:rsidRDefault="00000000">
            <w:pPr>
              <w:pStyle w:val="TableParagraph"/>
              <w:spacing w:before="10"/>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0995282E"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3A332D4D" w14:textId="77777777" w:rsidR="008715BE" w:rsidRPr="00EC75B7" w:rsidRDefault="00000000">
            <w:pPr>
              <w:pStyle w:val="TableParagraph"/>
              <w:tabs>
                <w:tab w:val="left" w:pos="588"/>
              </w:tabs>
              <w:spacing w:before="10"/>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585DAC7A" w14:textId="77777777" w:rsidR="008715BE" w:rsidRPr="00EC75B7" w:rsidRDefault="00000000">
            <w:pPr>
              <w:pStyle w:val="TableParagraph"/>
              <w:tabs>
                <w:tab w:val="left" w:pos="903"/>
              </w:tabs>
              <w:spacing w:before="10"/>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vMerge/>
            <w:tcBorders>
              <w:top w:val="nil"/>
            </w:tcBorders>
          </w:tcPr>
          <w:p w14:paraId="1CAEA56E" w14:textId="77777777" w:rsidR="008715BE" w:rsidRPr="00EC75B7" w:rsidRDefault="008715BE">
            <w:pPr>
              <w:rPr>
                <w:rFonts w:ascii="Verdana" w:hAnsi="Verdana"/>
                <w:sz w:val="18"/>
                <w:szCs w:val="18"/>
              </w:rPr>
            </w:pPr>
          </w:p>
        </w:tc>
        <w:tc>
          <w:tcPr>
            <w:tcW w:w="1897" w:type="dxa"/>
          </w:tcPr>
          <w:p w14:paraId="730D3005" w14:textId="77777777" w:rsidR="008715BE" w:rsidRPr="00EC75B7" w:rsidRDefault="00000000">
            <w:pPr>
              <w:pStyle w:val="TableParagraph"/>
              <w:spacing w:before="10"/>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5BF81F75" w14:textId="77777777" w:rsidR="008715BE" w:rsidRPr="00EC75B7" w:rsidRDefault="00000000">
            <w:pPr>
              <w:pStyle w:val="TableParagraph"/>
              <w:spacing w:before="10" w:line="195" w:lineRule="exact"/>
              <w:ind w:left="117"/>
              <w:rPr>
                <w:rFonts w:ascii="Verdana" w:hAnsi="Verdana"/>
                <w:sz w:val="18"/>
                <w:szCs w:val="18"/>
              </w:rPr>
            </w:pPr>
            <w:r w:rsidRPr="00EC75B7">
              <w:rPr>
                <w:rFonts w:ascii="Verdana" w:hAnsi="Verdana"/>
                <w:spacing w:val="-2"/>
                <w:sz w:val="18"/>
                <w:szCs w:val="18"/>
              </w:rPr>
              <w:t>1/individual (accidental)</w:t>
            </w:r>
          </w:p>
          <w:p w14:paraId="58DBBE38"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(outside the protected area, within the wind farm)</w:t>
            </w:r>
          </w:p>
        </w:tc>
        <w:tc>
          <w:tcPr>
            <w:tcW w:w="1889" w:type="dxa"/>
          </w:tcPr>
          <w:p w14:paraId="011D47B5" w14:textId="77777777" w:rsidR="008715BE" w:rsidRPr="00EC75B7" w:rsidRDefault="00000000">
            <w:pPr>
              <w:pStyle w:val="TableParagraph"/>
              <w:tabs>
                <w:tab w:val="left" w:pos="613"/>
                <w:tab w:val="left" w:pos="1599"/>
              </w:tabs>
              <w:spacing w:before="10"/>
              <w:ind w:left="119" w:right="80"/>
              <w:rPr>
                <w:rFonts w:ascii="Verdana" w:hAnsi="Verdana"/>
                <w:sz w:val="18"/>
                <w:szCs w:val="18"/>
              </w:rPr>
            </w:pPr>
            <w:r w:rsidRPr="00EC75B7">
              <w:rPr>
                <w:rFonts w:ascii="Verdana" w:hAnsi="Verdana"/>
                <w:spacing w:val="-2"/>
                <w:sz w:val="18"/>
                <w:szCs w:val="18"/>
              </w:rPr>
              <w:t xml:space="preserve">The </w:t>
            </w:r>
            <w:r w:rsidRPr="00EC75B7">
              <w:rPr>
                <w:rFonts w:ascii="Verdana" w:hAnsi="Verdana"/>
                <w:sz w:val="18"/>
                <w:szCs w:val="18"/>
              </w:rPr>
              <w:t xml:space="preserve">precautionary </w:t>
            </w:r>
            <w:r w:rsidRPr="00EC75B7">
              <w:rPr>
                <w:rFonts w:ascii="Verdana" w:hAnsi="Verdana"/>
                <w:spacing w:val="-2"/>
                <w:sz w:val="18"/>
                <w:szCs w:val="18"/>
              </w:rPr>
              <w:t xml:space="preserve">principle </w:t>
            </w:r>
            <w:r w:rsidRPr="00EC75B7">
              <w:rPr>
                <w:rFonts w:ascii="Verdana" w:hAnsi="Verdana"/>
                <w:sz w:val="18"/>
                <w:szCs w:val="18"/>
              </w:rPr>
              <w:t xml:space="preserve">and data </w:t>
            </w: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literature</w:t>
            </w:r>
            <w:r w:rsidRPr="00EC75B7">
              <w:rPr>
                <w:rFonts w:ascii="Verdana" w:hAnsi="Verdana"/>
                <w:sz w:val="18"/>
                <w:szCs w:val="18"/>
              </w:rPr>
              <w:tab/>
            </w:r>
            <w:r w:rsidRPr="00EC75B7">
              <w:rPr>
                <w:rFonts w:ascii="Verdana" w:hAnsi="Verdana"/>
                <w:spacing w:val="-2"/>
                <w:sz w:val="18"/>
                <w:szCs w:val="18"/>
              </w:rPr>
              <w:t>liter</w:t>
            </w:r>
            <w:r w:rsidRPr="00EC75B7">
              <w:rPr>
                <w:rFonts w:ascii="Verdana" w:hAnsi="Verdana"/>
                <w:spacing w:val="-6"/>
                <w:sz w:val="18"/>
                <w:szCs w:val="18"/>
              </w:rPr>
              <w:t>ature</w:t>
            </w:r>
          </w:p>
          <w:p w14:paraId="5B54AAAB" w14:textId="77777777" w:rsidR="008715BE" w:rsidRPr="00EC75B7" w:rsidRDefault="00000000">
            <w:pPr>
              <w:pStyle w:val="TableParagraph"/>
              <w:tabs>
                <w:tab w:val="left" w:pos="565"/>
                <w:tab w:val="left" w:pos="1223"/>
                <w:tab w:val="left" w:pos="1697"/>
              </w:tabs>
              <w:ind w:left="119" w:right="82"/>
              <w:rPr>
                <w:rFonts w:ascii="Verdana" w:hAnsi="Verdana"/>
                <w:sz w:val="18"/>
                <w:szCs w:val="18"/>
              </w:rPr>
            </w:pPr>
            <w:r w:rsidRPr="00EC75B7">
              <w:rPr>
                <w:rFonts w:ascii="Verdana" w:hAnsi="Verdana"/>
                <w:spacing w:val="-2"/>
                <w:sz w:val="18"/>
                <w:szCs w:val="18"/>
              </w:rPr>
              <w:t>Risk analysis</w:t>
            </w:r>
            <w:r w:rsidRPr="00EC75B7">
              <w:rPr>
                <w:rFonts w:ascii="Verdana" w:hAnsi="Verdana"/>
                <w:sz w:val="18"/>
                <w:szCs w:val="18"/>
              </w:rPr>
              <w:tab/>
            </w:r>
            <w:r w:rsidRPr="00EC75B7">
              <w:rPr>
                <w:rFonts w:ascii="Verdana" w:hAnsi="Verdana"/>
                <w:spacing w:val="-2"/>
                <w:sz w:val="18"/>
                <w:szCs w:val="18"/>
              </w:rPr>
              <w:t xml:space="preserve">risk </w:t>
            </w:r>
            <w:r w:rsidRPr="00EC75B7">
              <w:rPr>
                <w:rFonts w:ascii="Verdana" w:hAnsi="Verdana"/>
                <w:spacing w:val="-5"/>
                <w:sz w:val="18"/>
                <w:szCs w:val="18"/>
              </w:rPr>
              <w:t>of</w:t>
            </w:r>
            <w:r w:rsidRPr="00EC75B7">
              <w:rPr>
                <w:rFonts w:ascii="Verdana" w:hAnsi="Verdana"/>
                <w:sz w:val="18"/>
                <w:szCs w:val="18"/>
              </w:rPr>
              <w:tab/>
            </w:r>
            <w:r w:rsidRPr="00EC75B7">
              <w:rPr>
                <w:rFonts w:ascii="Verdana" w:hAnsi="Verdana"/>
                <w:spacing w:val="-2"/>
                <w:sz w:val="18"/>
                <w:szCs w:val="18"/>
              </w:rPr>
              <w:t>mortality</w:t>
            </w:r>
            <w:r w:rsidRPr="00EC75B7">
              <w:rPr>
                <w:rFonts w:ascii="Verdana" w:hAnsi="Verdana"/>
                <w:sz w:val="18"/>
                <w:szCs w:val="18"/>
              </w:rPr>
              <w:tab/>
            </w:r>
            <w:r w:rsidRPr="00EC75B7">
              <w:rPr>
                <w:rFonts w:ascii="Verdana" w:hAnsi="Verdana"/>
                <w:spacing w:val="-10"/>
                <w:sz w:val="18"/>
                <w:szCs w:val="18"/>
              </w:rPr>
              <w:t>of</w:t>
            </w:r>
          </w:p>
          <w:p w14:paraId="5A2439A3" w14:textId="77777777" w:rsidR="008715BE" w:rsidRPr="00EC75B7" w:rsidRDefault="00000000">
            <w:pPr>
              <w:pStyle w:val="TableParagraph"/>
              <w:spacing w:line="164" w:lineRule="exact"/>
              <w:ind w:left="119"/>
              <w:rPr>
                <w:rFonts w:ascii="Verdana" w:hAnsi="Verdana"/>
                <w:sz w:val="18"/>
                <w:szCs w:val="18"/>
              </w:rPr>
            </w:pPr>
            <w:r w:rsidRPr="00EC75B7">
              <w:rPr>
                <w:rFonts w:ascii="Verdana" w:hAnsi="Verdana"/>
                <w:spacing w:val="-2"/>
                <w:sz w:val="18"/>
                <w:szCs w:val="18"/>
              </w:rPr>
              <w:t>species</w:t>
            </w:r>
          </w:p>
        </w:tc>
      </w:tr>
      <w:tr w:rsidR="008715BE" w:rsidRPr="00EC75B7" w14:paraId="4090914E" w14:textId="77777777">
        <w:trPr>
          <w:trHeight w:val="2137"/>
        </w:trPr>
        <w:tc>
          <w:tcPr>
            <w:tcW w:w="523" w:type="dxa"/>
            <w:vMerge/>
            <w:tcBorders>
              <w:top w:val="nil"/>
            </w:tcBorders>
            <w:textDirection w:val="btLr"/>
          </w:tcPr>
          <w:p w14:paraId="0E4738A1" w14:textId="77777777" w:rsidR="008715BE" w:rsidRPr="00EC75B7" w:rsidRDefault="008715BE">
            <w:pPr>
              <w:rPr>
                <w:rFonts w:ascii="Verdana" w:hAnsi="Verdana"/>
                <w:sz w:val="18"/>
                <w:szCs w:val="18"/>
              </w:rPr>
            </w:pPr>
          </w:p>
        </w:tc>
        <w:tc>
          <w:tcPr>
            <w:tcW w:w="2323" w:type="dxa"/>
          </w:tcPr>
          <w:p w14:paraId="5D542A64" w14:textId="77777777" w:rsidR="008715BE" w:rsidRPr="00EC75B7" w:rsidRDefault="00000000">
            <w:pPr>
              <w:pStyle w:val="TableParagraph"/>
              <w:tabs>
                <w:tab w:val="left" w:pos="1053"/>
                <w:tab w:val="left" w:pos="1645"/>
              </w:tabs>
              <w:spacing w:before="8"/>
              <w:ind w:left="105" w:right="96"/>
              <w:rPr>
                <w:rFonts w:ascii="Verdana" w:hAnsi="Verdana"/>
                <w:sz w:val="18"/>
                <w:szCs w:val="18"/>
              </w:rPr>
            </w:pPr>
            <w:r w:rsidRPr="00EC75B7">
              <w:rPr>
                <w:rFonts w:ascii="Verdana" w:hAnsi="Verdana"/>
                <w:spacing w:val="-2"/>
                <w:sz w:val="18"/>
                <w:szCs w:val="18"/>
              </w:rPr>
              <w:t>Works</w:t>
            </w:r>
            <w:r w:rsidRPr="00EC75B7">
              <w:rPr>
                <w:rFonts w:ascii="Verdana" w:hAnsi="Verdana"/>
                <w:sz w:val="18"/>
                <w:szCs w:val="18"/>
              </w:rPr>
              <w:tab/>
            </w:r>
            <w:r w:rsidRPr="00EC75B7">
              <w:rPr>
                <w:rFonts w:ascii="Verdana" w:hAnsi="Verdana"/>
                <w:spacing w:val="-6"/>
                <w:sz w:val="18"/>
                <w:szCs w:val="18"/>
              </w:rPr>
              <w:t>Installation</w:t>
            </w:r>
            <w:r w:rsidRPr="00EC75B7">
              <w:rPr>
                <w:rFonts w:ascii="Verdana" w:hAnsi="Verdana"/>
                <w:sz w:val="18"/>
                <w:szCs w:val="18"/>
              </w:rPr>
              <w:tab/>
            </w:r>
            <w:r w:rsidRPr="00EC75B7">
              <w:rPr>
                <w:rFonts w:ascii="Verdana" w:hAnsi="Verdana"/>
                <w:spacing w:val="-2"/>
                <w:sz w:val="18"/>
                <w:szCs w:val="18"/>
              </w:rPr>
              <w:t xml:space="preserve">installation </w:t>
            </w:r>
            <w:r w:rsidRPr="00EC75B7">
              <w:rPr>
                <w:rFonts w:ascii="Verdana" w:hAnsi="Verdana"/>
                <w:sz w:val="18"/>
                <w:szCs w:val="18"/>
              </w:rPr>
              <w:t>of facilities/equipment</w:t>
            </w:r>
          </w:p>
        </w:tc>
        <w:tc>
          <w:tcPr>
            <w:tcW w:w="3149" w:type="dxa"/>
          </w:tcPr>
          <w:p w14:paraId="00EB171F" w14:textId="77777777" w:rsidR="008715BE" w:rsidRPr="00EC75B7" w:rsidRDefault="00000000">
            <w:pPr>
              <w:pStyle w:val="TableParagraph"/>
              <w:tabs>
                <w:tab w:val="left" w:pos="1615"/>
                <w:tab w:val="left" w:pos="2916"/>
              </w:tabs>
              <w:spacing w:before="8"/>
              <w:ind w:left="108" w:right="93"/>
              <w:jc w:val="both"/>
              <w:rPr>
                <w:rFonts w:ascii="Verdana" w:hAnsi="Verdana"/>
                <w:sz w:val="18"/>
                <w:szCs w:val="18"/>
              </w:rPr>
            </w:pPr>
            <w:r w:rsidRPr="00EC75B7">
              <w:rPr>
                <w:rFonts w:ascii="Verdana" w:hAnsi="Verdana"/>
                <w:sz w:val="18"/>
                <w:szCs w:val="18"/>
              </w:rPr>
              <w:t xml:space="preserve">Emissions of pollutants into the atmosphere </w:t>
            </w:r>
            <w:r w:rsidRPr="00EC75B7">
              <w:rPr>
                <w:rFonts w:ascii="Verdana" w:hAnsi="Verdana"/>
                <w:spacing w:val="-2"/>
                <w:sz w:val="18"/>
                <w:szCs w:val="18"/>
              </w:rPr>
              <w:t>(operation</w:t>
            </w:r>
            <w:r w:rsidRPr="00EC75B7">
              <w:rPr>
                <w:rFonts w:ascii="Verdana" w:hAnsi="Verdana"/>
                <w:sz w:val="18"/>
                <w:szCs w:val="18"/>
              </w:rPr>
              <w:tab/>
            </w:r>
            <w:r w:rsidRPr="00EC75B7">
              <w:rPr>
                <w:rFonts w:ascii="Verdana" w:hAnsi="Verdana"/>
                <w:spacing w:val="-2"/>
                <w:sz w:val="18"/>
                <w:szCs w:val="18"/>
              </w:rPr>
              <w:t>vehicles</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pacing w:val="-2"/>
                <w:sz w:val="18"/>
                <w:szCs w:val="18"/>
              </w:rPr>
              <w:t>machinery)</w:t>
            </w:r>
          </w:p>
        </w:tc>
        <w:tc>
          <w:tcPr>
            <w:tcW w:w="1106" w:type="dxa"/>
          </w:tcPr>
          <w:p w14:paraId="55E2BD1A"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767D7B2A"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11" w:type="dxa"/>
          </w:tcPr>
          <w:p w14:paraId="46EAF511"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3EC85BED"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277B6944"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44822B32"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50C000AB" w14:textId="77777777" w:rsidR="008715BE" w:rsidRPr="00EC75B7" w:rsidRDefault="00000000">
            <w:pPr>
              <w:pStyle w:val="TableParagraph"/>
              <w:spacing w:before="8"/>
              <w:ind w:left="115" w:right="85"/>
              <w:rPr>
                <w:rFonts w:ascii="Verdana" w:hAnsi="Verdana"/>
                <w:sz w:val="18"/>
                <w:szCs w:val="18"/>
              </w:rPr>
            </w:pPr>
            <w:r w:rsidRPr="00EC75B7">
              <w:rPr>
                <w:rFonts w:ascii="Verdana" w:hAnsi="Verdana"/>
                <w:spacing w:val="-2"/>
                <w:sz w:val="18"/>
                <w:szCs w:val="18"/>
              </w:rPr>
              <w:t>Habitat area of the species</w:t>
            </w:r>
          </w:p>
        </w:tc>
        <w:tc>
          <w:tcPr>
            <w:tcW w:w="3860" w:type="dxa"/>
          </w:tcPr>
          <w:p w14:paraId="70E68259"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5623958E" w14:textId="77777777" w:rsidR="008715BE" w:rsidRPr="00EC75B7" w:rsidRDefault="00000000">
            <w:pPr>
              <w:pStyle w:val="TableParagraph"/>
              <w:spacing w:before="193"/>
              <w:ind w:left="117" w:right="86"/>
              <w:jc w:val="both"/>
              <w:rPr>
                <w:rFonts w:ascii="Verdana" w:hAnsi="Verdana"/>
                <w:sz w:val="18"/>
                <w:szCs w:val="18"/>
              </w:rPr>
            </w:pPr>
            <w:r w:rsidRPr="00EC75B7">
              <w:rPr>
                <w:rFonts w:ascii="Verdana" w:hAnsi="Verdana"/>
                <w:sz w:val="18"/>
                <w:szCs w:val="18"/>
              </w:rPr>
              <w:t>Areas temporarily occupied by the project outside the boundaries of protected areas where the presence of the species has been reported:</w:t>
            </w:r>
          </w:p>
          <w:p w14:paraId="2E2D40EE"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1920A3DC" w14:textId="77777777" w:rsidR="008715BE" w:rsidRPr="00EC75B7" w:rsidRDefault="00000000">
            <w:pPr>
              <w:pStyle w:val="TableParagraph"/>
              <w:spacing w:line="192" w:lineRule="exact"/>
              <w:ind w:left="117"/>
              <w:jc w:val="both"/>
              <w:rPr>
                <w:rFonts w:ascii="Verdana" w:hAnsi="Verdana"/>
                <w:sz w:val="18"/>
                <w:szCs w:val="18"/>
              </w:rPr>
            </w:pPr>
            <w:r w:rsidRPr="00EC75B7">
              <w:rPr>
                <w:rFonts w:ascii="Verdana" w:hAnsi="Verdana"/>
                <w:sz w:val="18"/>
                <w:szCs w:val="18"/>
              </w:rPr>
              <w:t xml:space="preserve">309.24 ha </w:t>
            </w:r>
            <w:r w:rsidRPr="00EC75B7">
              <w:rPr>
                <w:rFonts w:ascii="Verdana" w:hAnsi="Verdana"/>
                <w:spacing w:val="-5"/>
                <w:sz w:val="18"/>
                <w:szCs w:val="18"/>
              </w:rPr>
              <w:t xml:space="preserve">of </w:t>
            </w:r>
            <w:r w:rsidRPr="00EC75B7">
              <w:rPr>
                <w:rFonts w:ascii="Verdana" w:hAnsi="Verdana"/>
                <w:sz w:val="18"/>
                <w:szCs w:val="18"/>
              </w:rPr>
              <w:t xml:space="preserve">areas permanently occupied </w:t>
            </w:r>
            <w:r w:rsidRPr="00EC75B7">
              <w:rPr>
                <w:rFonts w:ascii="Verdana" w:hAnsi="Verdana"/>
                <w:spacing w:val="-5"/>
                <w:sz w:val="18"/>
                <w:szCs w:val="18"/>
              </w:rPr>
              <w:t>by</w:t>
            </w:r>
          </w:p>
          <w:p w14:paraId="143AE7A5" w14:textId="77777777" w:rsidR="008715BE" w:rsidRPr="00EC75B7" w:rsidRDefault="00000000">
            <w:pPr>
              <w:pStyle w:val="TableParagraph"/>
              <w:spacing w:line="165" w:lineRule="exact"/>
              <w:ind w:left="117"/>
              <w:jc w:val="both"/>
              <w:rPr>
                <w:rFonts w:ascii="Verdana" w:hAnsi="Verdana"/>
                <w:sz w:val="18"/>
                <w:szCs w:val="18"/>
              </w:rPr>
            </w:pPr>
            <w:r w:rsidRPr="00EC75B7">
              <w:rPr>
                <w:rFonts w:ascii="Verdana" w:hAnsi="Verdana"/>
                <w:sz w:val="18"/>
                <w:szCs w:val="18"/>
              </w:rPr>
              <w:t xml:space="preserve">the construction elements of the </w:t>
            </w:r>
            <w:r w:rsidRPr="00EC75B7">
              <w:rPr>
                <w:rFonts w:ascii="Verdana" w:hAnsi="Verdana"/>
                <w:spacing w:val="-2"/>
                <w:sz w:val="18"/>
                <w:szCs w:val="18"/>
              </w:rPr>
              <w:t xml:space="preserve">energy </w:t>
            </w:r>
            <w:r w:rsidRPr="00EC75B7">
              <w:rPr>
                <w:rFonts w:ascii="Verdana" w:hAnsi="Verdana"/>
                <w:sz w:val="18"/>
                <w:szCs w:val="18"/>
              </w:rPr>
              <w:t>park</w:t>
            </w:r>
          </w:p>
        </w:tc>
        <w:tc>
          <w:tcPr>
            <w:tcW w:w="1889" w:type="dxa"/>
          </w:tcPr>
          <w:p w14:paraId="32D56BAD"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bl>
    <w:p w14:paraId="052345CA"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353911CD" w14:textId="77777777" w:rsidR="008715BE" w:rsidRPr="00EC75B7"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EC75B7" w14:paraId="7AB46058" w14:textId="77777777">
        <w:trPr>
          <w:trHeight w:val="842"/>
        </w:trPr>
        <w:tc>
          <w:tcPr>
            <w:tcW w:w="2846" w:type="dxa"/>
            <w:gridSpan w:val="2"/>
            <w:shd w:val="clear" w:color="auto" w:fill="00A1E8"/>
          </w:tcPr>
          <w:p w14:paraId="696CC0E2" w14:textId="77777777" w:rsidR="008715BE" w:rsidRPr="00EC75B7" w:rsidRDefault="008715BE">
            <w:pPr>
              <w:pStyle w:val="TableParagraph"/>
              <w:spacing w:before="136"/>
              <w:rPr>
                <w:rFonts w:ascii="Verdana" w:hAnsi="Verdana"/>
                <w:b/>
                <w:sz w:val="18"/>
                <w:szCs w:val="18"/>
              </w:rPr>
            </w:pPr>
          </w:p>
          <w:p w14:paraId="0C308F06" w14:textId="77777777" w:rsidR="008715BE" w:rsidRPr="00EC75B7" w:rsidRDefault="00000000">
            <w:pPr>
              <w:pStyle w:val="TableParagraph"/>
              <w:spacing w:before="1"/>
              <w:ind w:left="914"/>
              <w:rPr>
                <w:rFonts w:ascii="Verdana" w:hAnsi="Verdana"/>
                <w:b/>
                <w:sz w:val="18"/>
                <w:szCs w:val="18"/>
              </w:rPr>
            </w:pPr>
            <w:r w:rsidRPr="00EC75B7">
              <w:rPr>
                <w:rFonts w:ascii="Verdana" w:hAnsi="Verdana"/>
                <w:b/>
                <w:color w:val="FFFFFF"/>
                <w:spacing w:val="-2"/>
                <w:sz w:val="18"/>
                <w:szCs w:val="18"/>
              </w:rPr>
              <w:t>Intervention</w:t>
            </w:r>
          </w:p>
        </w:tc>
        <w:tc>
          <w:tcPr>
            <w:tcW w:w="3149" w:type="dxa"/>
            <w:shd w:val="clear" w:color="auto" w:fill="00A1E8"/>
          </w:tcPr>
          <w:p w14:paraId="3DEB8264" w14:textId="77777777" w:rsidR="008715BE" w:rsidRPr="00EC75B7" w:rsidRDefault="008715BE">
            <w:pPr>
              <w:pStyle w:val="TableParagraph"/>
              <w:spacing w:before="136"/>
              <w:rPr>
                <w:rFonts w:ascii="Verdana" w:hAnsi="Verdana"/>
                <w:b/>
                <w:sz w:val="18"/>
                <w:szCs w:val="18"/>
              </w:rPr>
            </w:pPr>
          </w:p>
          <w:p w14:paraId="0EF60C6D"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Effects</w:t>
            </w:r>
          </w:p>
        </w:tc>
        <w:tc>
          <w:tcPr>
            <w:tcW w:w="1106" w:type="dxa"/>
            <w:shd w:val="clear" w:color="auto" w:fill="00A1E8"/>
          </w:tcPr>
          <w:p w14:paraId="104759C3" w14:textId="77777777" w:rsidR="008715BE" w:rsidRPr="00EC75B7" w:rsidRDefault="008715BE">
            <w:pPr>
              <w:pStyle w:val="TableParagraph"/>
              <w:spacing w:before="40"/>
              <w:rPr>
                <w:rFonts w:ascii="Verdana" w:hAnsi="Verdana"/>
                <w:b/>
                <w:sz w:val="18"/>
                <w:szCs w:val="18"/>
              </w:rPr>
            </w:pPr>
          </w:p>
          <w:p w14:paraId="1C4B4F1B" w14:textId="77777777" w:rsidR="008715BE" w:rsidRPr="00EC75B7" w:rsidRDefault="00000000">
            <w:pPr>
              <w:pStyle w:val="TableParagraph"/>
              <w:spacing w:before="1"/>
              <w:ind w:left="240" w:right="87" w:hanging="132"/>
              <w:rPr>
                <w:rFonts w:ascii="Verdana" w:hAnsi="Verdana"/>
                <w:b/>
                <w:sz w:val="18"/>
                <w:szCs w:val="18"/>
              </w:rPr>
            </w:pPr>
            <w:r w:rsidRPr="00EC75B7">
              <w:rPr>
                <w:rFonts w:ascii="Verdana" w:hAnsi="Verdana"/>
                <w:b/>
                <w:color w:val="FFFFFF"/>
                <w:spacing w:val="-2"/>
                <w:sz w:val="18"/>
                <w:szCs w:val="18"/>
              </w:rPr>
              <w:t>Direct impacts</w:t>
            </w:r>
          </w:p>
        </w:tc>
        <w:tc>
          <w:tcPr>
            <w:tcW w:w="1108" w:type="dxa"/>
            <w:shd w:val="clear" w:color="auto" w:fill="00A1E8"/>
          </w:tcPr>
          <w:p w14:paraId="10267A4E" w14:textId="77777777" w:rsidR="008715BE" w:rsidRPr="00EC75B7" w:rsidRDefault="008715BE">
            <w:pPr>
              <w:pStyle w:val="TableParagraph"/>
              <w:spacing w:before="40"/>
              <w:rPr>
                <w:rFonts w:ascii="Verdana" w:hAnsi="Verdana"/>
                <w:b/>
                <w:sz w:val="18"/>
                <w:szCs w:val="18"/>
              </w:rPr>
            </w:pPr>
          </w:p>
          <w:p w14:paraId="2F2EBE5B" w14:textId="77777777" w:rsidR="008715BE" w:rsidRPr="00EC75B7" w:rsidRDefault="00000000">
            <w:pPr>
              <w:pStyle w:val="TableParagraph"/>
              <w:spacing w:before="1"/>
              <w:ind w:left="157" w:right="88" w:hanging="48"/>
              <w:rPr>
                <w:rFonts w:ascii="Verdana" w:hAnsi="Verdana"/>
                <w:b/>
                <w:sz w:val="18"/>
                <w:szCs w:val="18"/>
              </w:rPr>
            </w:pPr>
            <w:r w:rsidRPr="00EC75B7">
              <w:rPr>
                <w:rFonts w:ascii="Verdana" w:hAnsi="Verdana"/>
                <w:b/>
                <w:color w:val="FFFFFF"/>
                <w:spacing w:val="-2"/>
                <w:sz w:val="18"/>
                <w:szCs w:val="18"/>
              </w:rPr>
              <w:t>Indirect impacts</w:t>
            </w:r>
          </w:p>
        </w:tc>
        <w:tc>
          <w:tcPr>
            <w:tcW w:w="1211" w:type="dxa"/>
            <w:shd w:val="clear" w:color="auto" w:fill="00A1E8"/>
          </w:tcPr>
          <w:p w14:paraId="2F496F7E" w14:textId="77777777" w:rsidR="008715BE" w:rsidRPr="00EC75B7" w:rsidRDefault="008715BE">
            <w:pPr>
              <w:pStyle w:val="TableParagraph"/>
              <w:spacing w:before="40"/>
              <w:rPr>
                <w:rFonts w:ascii="Verdana" w:hAnsi="Verdana"/>
                <w:b/>
                <w:sz w:val="18"/>
                <w:szCs w:val="18"/>
              </w:rPr>
            </w:pPr>
          </w:p>
          <w:p w14:paraId="2F4704B9" w14:textId="77777777" w:rsidR="008715BE" w:rsidRPr="00EC75B7" w:rsidRDefault="00000000">
            <w:pPr>
              <w:pStyle w:val="TableParagraph"/>
              <w:spacing w:before="1"/>
              <w:ind w:left="141" w:firstLine="16"/>
              <w:rPr>
                <w:rFonts w:ascii="Verdana" w:hAnsi="Verdana"/>
                <w:b/>
                <w:sz w:val="18"/>
                <w:szCs w:val="18"/>
              </w:rPr>
            </w:pPr>
            <w:r w:rsidRPr="00EC75B7">
              <w:rPr>
                <w:rFonts w:ascii="Verdana" w:hAnsi="Verdana"/>
                <w:b/>
                <w:color w:val="FFFFFF"/>
                <w:spacing w:val="-2"/>
                <w:sz w:val="18"/>
                <w:szCs w:val="18"/>
              </w:rPr>
              <w:t>Secondary impacts</w:t>
            </w:r>
          </w:p>
        </w:tc>
        <w:tc>
          <w:tcPr>
            <w:tcW w:w="1389" w:type="dxa"/>
            <w:shd w:val="clear" w:color="auto" w:fill="00A1E8"/>
          </w:tcPr>
          <w:p w14:paraId="528CFFC7" w14:textId="77777777" w:rsidR="008715BE" w:rsidRPr="00EC75B7" w:rsidRDefault="008715BE">
            <w:pPr>
              <w:pStyle w:val="TableParagraph"/>
              <w:spacing w:before="40"/>
              <w:rPr>
                <w:rFonts w:ascii="Verdana" w:hAnsi="Verdana"/>
                <w:b/>
                <w:sz w:val="18"/>
                <w:szCs w:val="18"/>
              </w:rPr>
            </w:pPr>
          </w:p>
          <w:p w14:paraId="063D5594" w14:textId="77777777" w:rsidR="008715BE" w:rsidRPr="00EC75B7" w:rsidRDefault="00000000">
            <w:pPr>
              <w:pStyle w:val="TableParagraph"/>
              <w:spacing w:before="1"/>
              <w:ind w:left="200" w:right="182" w:firstLine="48"/>
              <w:rPr>
                <w:rFonts w:ascii="Verdana" w:hAnsi="Verdana"/>
                <w:b/>
                <w:sz w:val="18"/>
                <w:szCs w:val="18"/>
              </w:rPr>
            </w:pPr>
            <w:r w:rsidRPr="00EC75B7">
              <w:rPr>
                <w:rFonts w:ascii="Verdana" w:hAnsi="Verdana"/>
                <w:b/>
                <w:color w:val="FFFFFF"/>
                <w:spacing w:val="-2"/>
                <w:sz w:val="18"/>
                <w:szCs w:val="18"/>
              </w:rPr>
              <w:t>Cumulative impacts</w:t>
            </w:r>
          </w:p>
        </w:tc>
        <w:tc>
          <w:tcPr>
            <w:tcW w:w="1201" w:type="dxa"/>
            <w:shd w:val="clear" w:color="auto" w:fill="00A1E8"/>
          </w:tcPr>
          <w:p w14:paraId="7A08D1E6" w14:textId="77777777" w:rsidR="008715BE" w:rsidRPr="00EC75B7" w:rsidRDefault="00000000">
            <w:pPr>
              <w:pStyle w:val="TableParagraph"/>
              <w:spacing w:before="41"/>
              <w:ind w:left="157" w:right="95" w:hanging="44"/>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736" w:type="dxa"/>
            <w:shd w:val="clear" w:color="auto" w:fill="00A1E8"/>
          </w:tcPr>
          <w:p w14:paraId="3F695B2B" w14:textId="77777777" w:rsidR="008715BE" w:rsidRPr="00EC75B7" w:rsidRDefault="008715BE">
            <w:pPr>
              <w:pStyle w:val="TableParagraph"/>
              <w:spacing w:before="136"/>
              <w:rPr>
                <w:rFonts w:ascii="Verdana" w:hAnsi="Verdana"/>
                <w:b/>
                <w:sz w:val="18"/>
                <w:szCs w:val="18"/>
              </w:rPr>
            </w:pPr>
          </w:p>
          <w:p w14:paraId="47DB48C7" w14:textId="77777777" w:rsidR="008715BE" w:rsidRPr="00EC75B7" w:rsidRDefault="00000000">
            <w:pPr>
              <w:pStyle w:val="TableParagraph"/>
              <w:spacing w:before="1"/>
              <w:ind w:left="202"/>
              <w:rPr>
                <w:rFonts w:ascii="Verdana" w:hAnsi="Verdana"/>
                <w:b/>
                <w:sz w:val="18"/>
                <w:szCs w:val="18"/>
              </w:rPr>
            </w:pPr>
            <w:r w:rsidRPr="00EC75B7">
              <w:rPr>
                <w:rFonts w:ascii="Verdana" w:hAnsi="Verdana"/>
                <w:b/>
                <w:color w:val="FFFFFF"/>
                <w:spacing w:val="-2"/>
                <w:sz w:val="18"/>
                <w:szCs w:val="18"/>
              </w:rPr>
              <w:t>Species/habitat</w:t>
            </w:r>
          </w:p>
        </w:tc>
        <w:tc>
          <w:tcPr>
            <w:tcW w:w="1897" w:type="dxa"/>
            <w:shd w:val="clear" w:color="auto" w:fill="00A1E8"/>
          </w:tcPr>
          <w:p w14:paraId="4283D10F" w14:textId="77777777" w:rsidR="008715BE" w:rsidRPr="00EC75B7" w:rsidRDefault="008715BE">
            <w:pPr>
              <w:pStyle w:val="TableParagraph"/>
              <w:spacing w:before="40"/>
              <w:rPr>
                <w:rFonts w:ascii="Verdana" w:hAnsi="Verdana"/>
                <w:b/>
                <w:sz w:val="18"/>
                <w:szCs w:val="18"/>
              </w:rPr>
            </w:pPr>
          </w:p>
          <w:p w14:paraId="55F81353" w14:textId="77777777" w:rsidR="008715BE" w:rsidRPr="00EC75B7" w:rsidRDefault="00000000">
            <w:pPr>
              <w:pStyle w:val="TableParagraph"/>
              <w:spacing w:before="1" w:line="195" w:lineRule="exact"/>
              <w:ind w:left="396"/>
              <w:rPr>
                <w:rFonts w:ascii="Verdana" w:hAnsi="Verdana"/>
                <w:b/>
                <w:sz w:val="18"/>
                <w:szCs w:val="18"/>
              </w:rPr>
            </w:pPr>
            <w:r w:rsidRPr="00EC75B7">
              <w:rPr>
                <w:rFonts w:ascii="Verdana" w:hAnsi="Verdana"/>
                <w:b/>
                <w:color w:val="FFFFFF"/>
                <w:spacing w:val="-10"/>
                <w:sz w:val="18"/>
                <w:szCs w:val="18"/>
              </w:rPr>
              <w:t>Target parameter/</w:t>
            </w:r>
          </w:p>
          <w:p w14:paraId="290A400E" w14:textId="77777777" w:rsidR="008715BE" w:rsidRPr="00EC75B7" w:rsidRDefault="00000000">
            <w:pPr>
              <w:pStyle w:val="TableParagraph"/>
              <w:spacing w:line="195" w:lineRule="exact"/>
              <w:ind w:left="350"/>
              <w:rPr>
                <w:rFonts w:ascii="Verdana" w:hAnsi="Verdana"/>
                <w:b/>
                <w:sz w:val="18"/>
                <w:szCs w:val="18"/>
              </w:rPr>
            </w:pPr>
            <w:r w:rsidRPr="00EC75B7">
              <w:rPr>
                <w:rFonts w:ascii="Verdana" w:hAnsi="Verdana"/>
                <w:b/>
                <w:color w:val="FFFFFF"/>
                <w:spacing w:val="-2"/>
                <w:sz w:val="18"/>
                <w:szCs w:val="18"/>
              </w:rPr>
              <w:t>affected</w:t>
            </w:r>
            <w:r w:rsidRPr="00EC75B7">
              <w:rPr>
                <w:rFonts w:ascii="Verdana" w:hAnsi="Verdana"/>
                <w:b/>
                <w:color w:val="FFFFFF"/>
                <w:sz w:val="18"/>
                <w:szCs w:val="18"/>
              </w:rPr>
              <w:t xml:space="preserve"> target</w:t>
            </w:r>
          </w:p>
        </w:tc>
        <w:tc>
          <w:tcPr>
            <w:tcW w:w="3860" w:type="dxa"/>
            <w:shd w:val="clear" w:color="auto" w:fill="00A1E8"/>
          </w:tcPr>
          <w:p w14:paraId="094817F4" w14:textId="77777777" w:rsidR="008715BE" w:rsidRPr="00EC75B7" w:rsidRDefault="008715BE">
            <w:pPr>
              <w:pStyle w:val="TableParagraph"/>
              <w:spacing w:before="40"/>
              <w:rPr>
                <w:rFonts w:ascii="Verdana" w:hAnsi="Verdana"/>
                <w:b/>
                <w:sz w:val="18"/>
                <w:szCs w:val="18"/>
              </w:rPr>
            </w:pPr>
          </w:p>
          <w:p w14:paraId="2DCBAE54" w14:textId="77777777" w:rsidR="008715BE" w:rsidRPr="00EC75B7" w:rsidRDefault="00000000">
            <w:pPr>
              <w:pStyle w:val="TableParagraph"/>
              <w:spacing w:before="1"/>
              <w:ind w:left="1126" w:right="1098"/>
              <w:jc w:val="center"/>
              <w:rPr>
                <w:rFonts w:ascii="Verdana" w:hAnsi="Verdana"/>
                <w:b/>
                <w:sz w:val="18"/>
                <w:szCs w:val="18"/>
              </w:rPr>
            </w:pPr>
            <w:r w:rsidRPr="00EC75B7">
              <w:rPr>
                <w:rFonts w:ascii="Verdana" w:hAnsi="Verdana"/>
                <w:b/>
                <w:color w:val="FFFFFF"/>
                <w:spacing w:val="-2"/>
                <w:sz w:val="18"/>
                <w:szCs w:val="18"/>
              </w:rPr>
              <w:t>Impact quantification</w:t>
            </w:r>
          </w:p>
        </w:tc>
        <w:tc>
          <w:tcPr>
            <w:tcW w:w="1889" w:type="dxa"/>
            <w:shd w:val="clear" w:color="auto" w:fill="00A1E8"/>
          </w:tcPr>
          <w:p w14:paraId="79EB9950" w14:textId="77777777" w:rsidR="008715BE" w:rsidRPr="00EC75B7" w:rsidRDefault="008715BE">
            <w:pPr>
              <w:pStyle w:val="TableParagraph"/>
              <w:spacing w:before="40"/>
              <w:rPr>
                <w:rFonts w:ascii="Verdana" w:hAnsi="Verdana"/>
                <w:b/>
                <w:sz w:val="18"/>
                <w:szCs w:val="18"/>
              </w:rPr>
            </w:pPr>
          </w:p>
          <w:p w14:paraId="5E65993B" w14:textId="77777777" w:rsidR="008715BE" w:rsidRPr="00EC75B7" w:rsidRDefault="00000000">
            <w:pPr>
              <w:pStyle w:val="TableParagraph"/>
              <w:spacing w:before="1"/>
              <w:ind w:left="421" w:firstLine="208"/>
              <w:rPr>
                <w:rFonts w:ascii="Verdana" w:hAnsi="Verdana"/>
                <w:b/>
                <w:sz w:val="18"/>
                <w:szCs w:val="18"/>
              </w:rPr>
            </w:pPr>
            <w:r w:rsidRPr="00EC75B7">
              <w:rPr>
                <w:rFonts w:ascii="Verdana" w:hAnsi="Verdana"/>
                <w:b/>
                <w:color w:val="FFFFFF"/>
                <w:sz w:val="18"/>
                <w:szCs w:val="18"/>
              </w:rPr>
              <w:t xml:space="preserve">Method of </w:t>
            </w:r>
            <w:r w:rsidRPr="00EC75B7">
              <w:rPr>
                <w:rFonts w:ascii="Verdana" w:hAnsi="Verdana"/>
                <w:b/>
                <w:color w:val="FFFFFF"/>
                <w:spacing w:val="-2"/>
                <w:sz w:val="18"/>
                <w:szCs w:val="18"/>
              </w:rPr>
              <w:t>quantification</w:t>
            </w:r>
          </w:p>
        </w:tc>
      </w:tr>
      <w:tr w:rsidR="008715BE" w:rsidRPr="00EC75B7" w14:paraId="040FF7D5" w14:textId="77777777">
        <w:trPr>
          <w:trHeight w:val="1749"/>
        </w:trPr>
        <w:tc>
          <w:tcPr>
            <w:tcW w:w="523" w:type="dxa"/>
            <w:vMerge w:val="restart"/>
          </w:tcPr>
          <w:p w14:paraId="74E11018" w14:textId="77777777" w:rsidR="008715BE" w:rsidRPr="00EC75B7" w:rsidRDefault="008715BE">
            <w:pPr>
              <w:pStyle w:val="TableParagraph"/>
              <w:rPr>
                <w:rFonts w:ascii="Verdana" w:hAnsi="Verdana"/>
                <w:sz w:val="18"/>
                <w:szCs w:val="18"/>
              </w:rPr>
            </w:pPr>
          </w:p>
        </w:tc>
        <w:tc>
          <w:tcPr>
            <w:tcW w:w="2323" w:type="dxa"/>
          </w:tcPr>
          <w:p w14:paraId="793359EF" w14:textId="77777777" w:rsidR="008715BE" w:rsidRPr="00EC75B7" w:rsidRDefault="00000000">
            <w:pPr>
              <w:pStyle w:val="TableParagraph"/>
              <w:tabs>
                <w:tab w:val="left" w:pos="1708"/>
              </w:tabs>
              <w:spacing w:before="8"/>
              <w:ind w:left="105" w:right="96"/>
              <w:jc w:val="both"/>
              <w:rPr>
                <w:rFonts w:ascii="Verdana" w:hAnsi="Verdana"/>
                <w:sz w:val="18"/>
                <w:szCs w:val="18"/>
              </w:rPr>
            </w:pPr>
            <w:r w:rsidRPr="00EC75B7">
              <w:rPr>
                <w:rFonts w:ascii="Verdana" w:hAnsi="Verdana"/>
                <w:spacing w:val="-2"/>
                <w:sz w:val="18"/>
                <w:szCs w:val="18"/>
              </w:rPr>
              <w:t>Construction</w:t>
            </w:r>
            <w:r w:rsidRPr="00EC75B7">
              <w:rPr>
                <w:rFonts w:ascii="Verdana" w:hAnsi="Verdana"/>
                <w:sz w:val="18"/>
                <w:szCs w:val="18"/>
              </w:rPr>
              <w:tab/>
            </w:r>
            <w:r w:rsidRPr="00EC75B7">
              <w:rPr>
                <w:rFonts w:ascii="Verdana" w:hAnsi="Verdana"/>
                <w:spacing w:val="-2"/>
                <w:sz w:val="18"/>
                <w:szCs w:val="18"/>
              </w:rPr>
              <w:t xml:space="preserve">of the </w:t>
            </w:r>
            <w:r w:rsidRPr="00EC75B7">
              <w:rPr>
                <w:rFonts w:ascii="Verdana" w:hAnsi="Verdana"/>
                <w:sz w:val="18"/>
                <w:szCs w:val="18"/>
              </w:rPr>
              <w:t>electrical</w:t>
            </w:r>
            <w:r w:rsidRPr="00EC75B7">
              <w:rPr>
                <w:rFonts w:ascii="Verdana" w:hAnsi="Verdana"/>
                <w:spacing w:val="-2"/>
                <w:sz w:val="18"/>
                <w:szCs w:val="18"/>
              </w:rPr>
              <w:t xml:space="preserve"> network </w:t>
            </w:r>
            <w:r w:rsidRPr="00EC75B7">
              <w:rPr>
                <w:rFonts w:ascii="Verdana" w:hAnsi="Verdana"/>
                <w:sz w:val="18"/>
                <w:szCs w:val="18"/>
              </w:rPr>
              <w:t xml:space="preserve">for discharging the energy produced by </w:t>
            </w:r>
            <w:r w:rsidRPr="00EC75B7">
              <w:rPr>
                <w:rFonts w:ascii="Verdana" w:hAnsi="Verdana"/>
                <w:spacing w:val="-2"/>
                <w:sz w:val="18"/>
                <w:szCs w:val="18"/>
              </w:rPr>
              <w:t>the</w:t>
            </w:r>
          </w:p>
          <w:p w14:paraId="420E1159" w14:textId="77777777" w:rsidR="008715BE" w:rsidRPr="00EC75B7" w:rsidRDefault="00000000">
            <w:pPr>
              <w:pStyle w:val="TableParagraph"/>
              <w:ind w:left="105" w:right="96" w:firstLine="57"/>
              <w:jc w:val="both"/>
              <w:rPr>
                <w:rFonts w:ascii="Verdana" w:hAnsi="Verdana"/>
                <w:sz w:val="18"/>
                <w:szCs w:val="18"/>
              </w:rPr>
            </w:pPr>
            <w:r w:rsidRPr="00EC75B7">
              <w:rPr>
                <w:rFonts w:ascii="Verdana" w:hAnsi="Verdana"/>
                <w:sz w:val="18"/>
                <w:szCs w:val="18"/>
              </w:rPr>
              <w:t>wind power plant to the transformer station and the telecommunications network (fiber optics),</w:t>
            </w:r>
            <w:r w:rsidRPr="00EC75B7">
              <w:rPr>
                <w:rFonts w:ascii="Verdana" w:hAnsi="Verdana"/>
                <w:spacing w:val="72"/>
                <w:sz w:val="18"/>
                <w:szCs w:val="18"/>
              </w:rPr>
              <w:t xml:space="preserve">  </w:t>
            </w:r>
            <w:r w:rsidRPr="00EC75B7">
              <w:rPr>
                <w:rFonts w:ascii="Verdana" w:hAnsi="Verdana"/>
                <w:sz w:val="18"/>
                <w:szCs w:val="18"/>
              </w:rPr>
              <w:t xml:space="preserve"> </w:t>
            </w:r>
            <w:r w:rsidRPr="00EC75B7">
              <w:rPr>
                <w:rFonts w:ascii="Verdana" w:hAnsi="Verdana"/>
                <w:spacing w:val="-5"/>
                <w:sz w:val="18"/>
                <w:szCs w:val="18"/>
              </w:rPr>
              <w:t xml:space="preserve">transformer </w:t>
            </w:r>
            <w:r w:rsidRPr="00EC75B7">
              <w:rPr>
                <w:rFonts w:ascii="Verdana" w:hAnsi="Verdana"/>
                <w:sz w:val="18"/>
                <w:szCs w:val="18"/>
              </w:rPr>
              <w:t>stations</w:t>
            </w:r>
          </w:p>
          <w:p w14:paraId="30BC4FFC" w14:textId="77777777" w:rsidR="008715BE" w:rsidRPr="00EC75B7" w:rsidRDefault="00000000">
            <w:pPr>
              <w:pStyle w:val="TableParagraph"/>
              <w:spacing w:line="162" w:lineRule="exact"/>
              <w:ind w:left="105"/>
              <w:rPr>
                <w:rFonts w:ascii="Verdana" w:hAnsi="Verdana"/>
                <w:sz w:val="18"/>
                <w:szCs w:val="18"/>
              </w:rPr>
            </w:pPr>
            <w:r w:rsidRPr="00EC75B7">
              <w:rPr>
                <w:rFonts w:ascii="Verdana" w:hAnsi="Verdana"/>
                <w:spacing w:val="-2"/>
                <w:sz w:val="18"/>
                <w:szCs w:val="18"/>
              </w:rPr>
              <w:t>Transformers</w:t>
            </w:r>
          </w:p>
        </w:tc>
        <w:tc>
          <w:tcPr>
            <w:tcW w:w="3149" w:type="dxa"/>
          </w:tcPr>
          <w:p w14:paraId="4355496B" w14:textId="77777777" w:rsidR="008715BE" w:rsidRPr="00EC75B7" w:rsidRDefault="00000000">
            <w:pPr>
              <w:pStyle w:val="TableParagraph"/>
              <w:spacing w:before="8"/>
              <w:ind w:left="108" w:right="93"/>
              <w:jc w:val="both"/>
              <w:rPr>
                <w:rFonts w:ascii="Verdana" w:hAnsi="Verdana"/>
                <w:sz w:val="18"/>
                <w:szCs w:val="18"/>
              </w:rPr>
            </w:pPr>
            <w:r w:rsidRPr="00EC75B7">
              <w:rPr>
                <w:rFonts w:ascii="Verdana" w:hAnsi="Verdana"/>
                <w:sz w:val="18"/>
                <w:szCs w:val="18"/>
              </w:rPr>
              <w:t>Accidental spills of petroleum products from equipment—penetration of pollutants into the soil</w:t>
            </w:r>
          </w:p>
        </w:tc>
        <w:tc>
          <w:tcPr>
            <w:tcW w:w="1106" w:type="dxa"/>
          </w:tcPr>
          <w:p w14:paraId="39EE63AA"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097249C7"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008502AE"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09C48736"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5383C65C"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15D8F0E"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7D45BCC9"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77686DC4"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7C480298" w14:textId="77777777" w:rsidR="008715BE" w:rsidRPr="00EC75B7" w:rsidRDefault="00000000">
            <w:pPr>
              <w:pStyle w:val="TableParagraph"/>
              <w:spacing w:before="8"/>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71986DF0" w14:textId="77777777" w:rsidR="008715BE" w:rsidRPr="00EC75B7" w:rsidRDefault="008715BE">
            <w:pPr>
              <w:pStyle w:val="TableParagraph"/>
              <w:spacing w:before="192"/>
              <w:rPr>
                <w:rFonts w:ascii="Verdana" w:hAnsi="Verdana"/>
                <w:b/>
                <w:sz w:val="18"/>
                <w:szCs w:val="18"/>
              </w:rPr>
            </w:pPr>
          </w:p>
          <w:p w14:paraId="7FBE7F9A" w14:textId="77777777" w:rsidR="008715BE" w:rsidRPr="00EC75B7" w:rsidRDefault="00000000">
            <w:pPr>
              <w:pStyle w:val="TableParagraph"/>
              <w:spacing w:before="1"/>
              <w:ind w:left="117"/>
              <w:rPr>
                <w:rFonts w:ascii="Verdana" w:hAnsi="Verdana"/>
                <w:sz w:val="18"/>
                <w:szCs w:val="18"/>
              </w:rPr>
            </w:pPr>
            <w:r w:rsidRPr="00EC75B7">
              <w:rPr>
                <w:rFonts w:ascii="Verdana" w:hAnsi="Verdana"/>
                <w:sz w:val="18"/>
                <w:szCs w:val="18"/>
              </w:rPr>
              <w:t>30-40 square meters in the work area, land outside the protected area (agricultural land).</w:t>
            </w:r>
          </w:p>
        </w:tc>
        <w:tc>
          <w:tcPr>
            <w:tcW w:w="1889" w:type="dxa"/>
          </w:tcPr>
          <w:p w14:paraId="4A323B0B"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2BDEC87A" w14:textId="77777777">
        <w:trPr>
          <w:trHeight w:val="1944"/>
        </w:trPr>
        <w:tc>
          <w:tcPr>
            <w:tcW w:w="523" w:type="dxa"/>
            <w:vMerge/>
            <w:tcBorders>
              <w:top w:val="nil"/>
            </w:tcBorders>
          </w:tcPr>
          <w:p w14:paraId="73A349E4" w14:textId="77777777" w:rsidR="008715BE" w:rsidRPr="00EC75B7" w:rsidRDefault="008715BE">
            <w:pPr>
              <w:rPr>
                <w:rFonts w:ascii="Verdana" w:hAnsi="Verdana"/>
                <w:sz w:val="18"/>
                <w:szCs w:val="18"/>
              </w:rPr>
            </w:pPr>
          </w:p>
        </w:tc>
        <w:tc>
          <w:tcPr>
            <w:tcW w:w="2323" w:type="dxa"/>
          </w:tcPr>
          <w:p w14:paraId="5A56B3C7" w14:textId="77777777" w:rsidR="008715BE" w:rsidRPr="00EC75B7" w:rsidRDefault="00000000">
            <w:pPr>
              <w:pStyle w:val="TableParagraph"/>
              <w:spacing w:before="8"/>
              <w:ind w:left="105" w:right="96"/>
              <w:jc w:val="both"/>
              <w:rPr>
                <w:rFonts w:ascii="Verdana" w:hAnsi="Verdana"/>
                <w:sz w:val="18"/>
                <w:szCs w:val="18"/>
              </w:rPr>
            </w:pPr>
            <w:r w:rsidRPr="00EC75B7">
              <w:rPr>
                <w:rFonts w:ascii="Verdana" w:hAnsi="Verdana"/>
                <w:sz w:val="18"/>
                <w:szCs w:val="18"/>
              </w:rPr>
              <w:t xml:space="preserve">Land rehabilitation works upon completion </w:t>
            </w:r>
            <w:r w:rsidRPr="00EC75B7">
              <w:rPr>
                <w:rFonts w:ascii="Verdana" w:hAnsi="Verdana"/>
                <w:spacing w:val="-2"/>
                <w:sz w:val="18"/>
                <w:szCs w:val="18"/>
              </w:rPr>
              <w:t>of construction</w:t>
            </w:r>
          </w:p>
        </w:tc>
        <w:tc>
          <w:tcPr>
            <w:tcW w:w="3149" w:type="dxa"/>
          </w:tcPr>
          <w:p w14:paraId="4B3BAE30"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Introduction of invasive species</w:t>
            </w:r>
          </w:p>
        </w:tc>
        <w:tc>
          <w:tcPr>
            <w:tcW w:w="1106" w:type="dxa"/>
          </w:tcPr>
          <w:p w14:paraId="4B96398F"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5D2AFFC9"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55A39DE1"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00ECB51B"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3EC83A9"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 xml:space="preserve">the </w:t>
            </w:r>
            <w:r w:rsidRPr="00EC75B7">
              <w:rPr>
                <w:rFonts w:ascii="Verdana" w:hAnsi="Verdana"/>
                <w:spacing w:val="-4"/>
                <w:sz w:val="18"/>
                <w:szCs w:val="18"/>
              </w:rPr>
              <w:t xml:space="preserve">long </w:t>
            </w:r>
            <w:r w:rsidRPr="00EC75B7">
              <w:rPr>
                <w:rFonts w:ascii="Verdana" w:hAnsi="Verdana"/>
                <w:spacing w:val="-2"/>
                <w:sz w:val="18"/>
                <w:szCs w:val="18"/>
              </w:rPr>
              <w:t>term</w:t>
            </w:r>
          </w:p>
        </w:tc>
        <w:tc>
          <w:tcPr>
            <w:tcW w:w="1736" w:type="dxa"/>
          </w:tcPr>
          <w:p w14:paraId="73839C5F"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1B12D3C6"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3C531A56"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5B26330D" w14:textId="77777777" w:rsidR="008715BE" w:rsidRPr="00EC75B7" w:rsidRDefault="00000000">
            <w:pPr>
              <w:pStyle w:val="TableParagraph"/>
              <w:spacing w:before="8" w:line="195" w:lineRule="exact"/>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63816372"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Maximum 500 m from the working front boundary. The distance over which the effects are felt is between 5 m (in the case of rhizomes/root fragments) and 200-500 m (in the case of seeds), the habitat</w:t>
            </w:r>
            <w:r w:rsidRPr="00EC75B7">
              <w:rPr>
                <w:rFonts w:ascii="Verdana" w:hAnsi="Verdana"/>
                <w:spacing w:val="40"/>
                <w:sz w:val="18"/>
                <w:szCs w:val="18"/>
              </w:rPr>
              <w:t xml:space="preserve">  </w:t>
            </w:r>
            <w:r w:rsidRPr="00EC75B7">
              <w:rPr>
                <w:rFonts w:ascii="Verdana" w:hAnsi="Verdana"/>
                <w:sz w:val="18"/>
                <w:szCs w:val="18"/>
              </w:rPr>
              <w:t xml:space="preserve"> is located 200-700 m from the area where the excavation works are carried out.</w:t>
            </w:r>
            <w:r w:rsidRPr="00EC75B7">
              <w:rPr>
                <w:rFonts w:ascii="Verdana" w:hAnsi="Verdana"/>
                <w:spacing w:val="80"/>
                <w:sz w:val="18"/>
                <w:szCs w:val="18"/>
              </w:rPr>
              <w:t xml:space="preserve"> </w:t>
            </w:r>
            <w:r w:rsidRPr="00EC75B7">
              <w:rPr>
                <w:rFonts w:ascii="Verdana" w:hAnsi="Verdana"/>
                <w:sz w:val="18"/>
                <w:szCs w:val="18"/>
              </w:rPr>
              <w:t xml:space="preserve">Taking into account the precautionary principle, it was considered that this could generate </w:t>
            </w:r>
            <w:r w:rsidRPr="00EC75B7">
              <w:rPr>
                <w:rFonts w:ascii="Verdana" w:hAnsi="Verdana"/>
                <w:spacing w:val="-5"/>
                <w:sz w:val="18"/>
                <w:szCs w:val="18"/>
              </w:rPr>
              <w:t>a</w:t>
            </w:r>
          </w:p>
          <w:p w14:paraId="75D0F190" w14:textId="77777777" w:rsidR="008715BE" w:rsidRPr="00EC75B7" w:rsidRDefault="00000000">
            <w:pPr>
              <w:pStyle w:val="TableParagraph"/>
              <w:spacing w:line="159" w:lineRule="exact"/>
              <w:ind w:left="117"/>
              <w:rPr>
                <w:rFonts w:ascii="Verdana" w:hAnsi="Verdana"/>
                <w:sz w:val="18"/>
                <w:szCs w:val="18"/>
              </w:rPr>
            </w:pPr>
            <w:r w:rsidRPr="00EC75B7">
              <w:rPr>
                <w:rFonts w:ascii="Verdana" w:hAnsi="Verdana"/>
                <w:sz w:val="18"/>
                <w:szCs w:val="18"/>
              </w:rPr>
              <w:t xml:space="preserve">potential </w:t>
            </w:r>
            <w:r w:rsidRPr="00EC75B7">
              <w:rPr>
                <w:rFonts w:ascii="Verdana" w:hAnsi="Verdana"/>
                <w:spacing w:val="-2"/>
                <w:sz w:val="18"/>
                <w:szCs w:val="18"/>
              </w:rPr>
              <w:t>impact</w:t>
            </w:r>
          </w:p>
        </w:tc>
        <w:tc>
          <w:tcPr>
            <w:tcW w:w="1889" w:type="dxa"/>
          </w:tcPr>
          <w:p w14:paraId="6BD029C1"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58BA033D" w14:textId="77777777">
        <w:trPr>
          <w:trHeight w:val="2918"/>
        </w:trPr>
        <w:tc>
          <w:tcPr>
            <w:tcW w:w="523" w:type="dxa"/>
            <w:vMerge w:val="restart"/>
            <w:textDirection w:val="btLr"/>
          </w:tcPr>
          <w:p w14:paraId="1CBDB16F" w14:textId="77777777" w:rsidR="008715BE" w:rsidRPr="00EC75B7" w:rsidRDefault="00000000">
            <w:pPr>
              <w:pStyle w:val="TableParagraph"/>
              <w:spacing w:before="171"/>
              <w:ind w:left="1"/>
              <w:jc w:val="center"/>
              <w:rPr>
                <w:rFonts w:ascii="Verdana" w:hAnsi="Verdana"/>
                <w:sz w:val="18"/>
                <w:szCs w:val="18"/>
              </w:rPr>
            </w:pPr>
            <w:r w:rsidRPr="00EC75B7">
              <w:rPr>
                <w:rFonts w:ascii="Verdana" w:hAnsi="Verdana"/>
                <w:spacing w:val="-2"/>
                <w:sz w:val="18"/>
                <w:szCs w:val="18"/>
              </w:rPr>
              <w:t>Operation</w:t>
            </w:r>
          </w:p>
        </w:tc>
        <w:tc>
          <w:tcPr>
            <w:tcW w:w="2323" w:type="dxa"/>
            <w:vMerge w:val="restart"/>
          </w:tcPr>
          <w:p w14:paraId="344CC33F" w14:textId="77777777" w:rsidR="008715BE" w:rsidRPr="00EC75B7" w:rsidRDefault="00000000">
            <w:pPr>
              <w:pStyle w:val="TableParagraph"/>
              <w:spacing w:before="8"/>
              <w:ind w:left="105"/>
              <w:rPr>
                <w:rFonts w:ascii="Verdana" w:hAnsi="Verdana"/>
                <w:sz w:val="18"/>
                <w:szCs w:val="18"/>
              </w:rPr>
            </w:pPr>
            <w:r w:rsidRPr="00EC75B7">
              <w:rPr>
                <w:rFonts w:ascii="Verdana" w:hAnsi="Verdana"/>
                <w:sz w:val="18"/>
                <w:szCs w:val="18"/>
              </w:rPr>
              <w:t>Carrying out energy production activities</w:t>
            </w:r>
          </w:p>
        </w:tc>
        <w:tc>
          <w:tcPr>
            <w:tcW w:w="3149" w:type="dxa"/>
          </w:tcPr>
          <w:p w14:paraId="7FEB0C25"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Increased </w:t>
            </w:r>
            <w:r w:rsidRPr="00EC75B7">
              <w:rPr>
                <w:rFonts w:ascii="Verdana" w:hAnsi="Verdana"/>
                <w:spacing w:val="-2"/>
                <w:sz w:val="18"/>
                <w:szCs w:val="18"/>
              </w:rPr>
              <w:t xml:space="preserve">noise </w:t>
            </w:r>
            <w:r w:rsidRPr="00EC75B7">
              <w:rPr>
                <w:rFonts w:ascii="Verdana" w:hAnsi="Verdana"/>
                <w:sz w:val="18"/>
                <w:szCs w:val="18"/>
              </w:rPr>
              <w:t>levels</w:t>
            </w:r>
          </w:p>
        </w:tc>
        <w:tc>
          <w:tcPr>
            <w:tcW w:w="1106" w:type="dxa"/>
          </w:tcPr>
          <w:p w14:paraId="773DD37C"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PAS</w:t>
            </w:r>
          </w:p>
        </w:tc>
        <w:tc>
          <w:tcPr>
            <w:tcW w:w="1108" w:type="dxa"/>
          </w:tcPr>
          <w:p w14:paraId="19E7398E"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11" w:type="dxa"/>
          </w:tcPr>
          <w:p w14:paraId="5697B9A7"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15BA16EF"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F0E8B72"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 xml:space="preserve">the </w:t>
            </w:r>
            <w:r w:rsidRPr="00EC75B7">
              <w:rPr>
                <w:rFonts w:ascii="Verdana" w:hAnsi="Verdana"/>
                <w:spacing w:val="-4"/>
                <w:sz w:val="18"/>
                <w:szCs w:val="18"/>
              </w:rPr>
              <w:t xml:space="preserve">long </w:t>
            </w:r>
            <w:r w:rsidRPr="00EC75B7">
              <w:rPr>
                <w:rFonts w:ascii="Verdana" w:hAnsi="Verdana"/>
                <w:spacing w:val="-2"/>
                <w:sz w:val="18"/>
                <w:szCs w:val="18"/>
              </w:rPr>
              <w:t>term</w:t>
            </w:r>
          </w:p>
        </w:tc>
        <w:tc>
          <w:tcPr>
            <w:tcW w:w="1736" w:type="dxa"/>
          </w:tcPr>
          <w:p w14:paraId="0C0845DF"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346D2AFE"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5B1727D7"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22604D95" w14:textId="77777777" w:rsidR="008715BE" w:rsidRPr="00EC75B7" w:rsidRDefault="00000000">
            <w:pPr>
              <w:pStyle w:val="TableParagraph"/>
              <w:spacing w:line="164" w:lineRule="exact"/>
              <w:ind w:left="111"/>
              <w:jc w:val="both"/>
              <w:rPr>
                <w:rFonts w:ascii="Verdana" w:hAnsi="Verdana"/>
                <w:i/>
                <w:sz w:val="18"/>
                <w:szCs w:val="18"/>
              </w:rPr>
            </w:pP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638D04E0" w14:textId="77777777" w:rsidR="008715BE" w:rsidRPr="00EC75B7" w:rsidRDefault="00000000">
            <w:pPr>
              <w:pStyle w:val="TableParagraph"/>
              <w:tabs>
                <w:tab w:val="left" w:pos="1014"/>
              </w:tabs>
              <w:spacing w:before="8"/>
              <w:ind w:left="115"/>
              <w:rPr>
                <w:rFonts w:ascii="Verdana" w:hAnsi="Verdana"/>
                <w:sz w:val="18"/>
                <w:szCs w:val="18"/>
              </w:rPr>
            </w:pPr>
            <w:r w:rsidRPr="00EC75B7">
              <w:rPr>
                <w:rFonts w:ascii="Verdana" w:hAnsi="Verdana"/>
                <w:spacing w:val="-2"/>
                <w:sz w:val="18"/>
                <w:szCs w:val="18"/>
              </w:rPr>
              <w:t>Population size</w:t>
            </w:r>
            <w:r w:rsidRPr="00EC75B7">
              <w:rPr>
                <w:rFonts w:ascii="Verdana" w:hAnsi="Verdana"/>
                <w:sz w:val="18"/>
                <w:szCs w:val="18"/>
              </w:rPr>
              <w:tab/>
            </w:r>
            <w:r w:rsidRPr="00EC75B7">
              <w:rPr>
                <w:rFonts w:ascii="Verdana" w:hAnsi="Verdana"/>
                <w:spacing w:val="-2"/>
                <w:sz w:val="18"/>
                <w:szCs w:val="18"/>
              </w:rPr>
              <w:t>(distribution pattern)</w:t>
            </w:r>
          </w:p>
          <w:p w14:paraId="3400E49C" w14:textId="77777777" w:rsidR="008715BE" w:rsidRPr="00EC75B7" w:rsidRDefault="00000000">
            <w:pPr>
              <w:pStyle w:val="TableParagraph"/>
              <w:spacing w:before="1"/>
              <w:ind w:left="115"/>
              <w:rPr>
                <w:rFonts w:ascii="Verdana" w:hAnsi="Verdana"/>
                <w:sz w:val="18"/>
                <w:szCs w:val="18"/>
              </w:rPr>
            </w:pPr>
            <w:r w:rsidRPr="00EC75B7">
              <w:rPr>
                <w:rFonts w:ascii="Verdana" w:hAnsi="Verdana"/>
                <w:sz w:val="18"/>
                <w:szCs w:val="18"/>
              </w:rPr>
              <w:t>(</w:t>
            </w:r>
            <w:r w:rsidRPr="00EC75B7">
              <w:rPr>
                <w:rFonts w:ascii="Verdana" w:hAnsi="Verdana"/>
                <w:spacing w:val="-2"/>
                <w:sz w:val="18"/>
                <w:szCs w:val="18"/>
              </w:rPr>
              <w:t xml:space="preserve">distribution </w:t>
            </w:r>
            <w:r w:rsidRPr="00EC75B7">
              <w:rPr>
                <w:rFonts w:ascii="Verdana" w:hAnsi="Verdana"/>
                <w:sz w:val="18"/>
                <w:szCs w:val="18"/>
              </w:rPr>
              <w:t>pattern</w:t>
            </w:r>
            <w:r w:rsidRPr="00EC75B7">
              <w:rPr>
                <w:rFonts w:ascii="Verdana" w:hAnsi="Verdana"/>
                <w:spacing w:val="-2"/>
                <w:sz w:val="18"/>
                <w:szCs w:val="18"/>
              </w:rPr>
              <w:t>)</w:t>
            </w:r>
          </w:p>
        </w:tc>
        <w:tc>
          <w:tcPr>
            <w:tcW w:w="3860" w:type="dxa"/>
          </w:tcPr>
          <w:p w14:paraId="214F0958" w14:textId="77777777" w:rsidR="008715BE" w:rsidRPr="00EC75B7" w:rsidRDefault="00000000">
            <w:pPr>
              <w:pStyle w:val="TableParagraph"/>
              <w:spacing w:before="8"/>
              <w:ind w:left="117" w:right="86"/>
              <w:jc w:val="both"/>
              <w:rPr>
                <w:rFonts w:ascii="Verdana" w:hAnsi="Verdana"/>
                <w:sz w:val="18"/>
                <w:szCs w:val="18"/>
              </w:rPr>
            </w:pPr>
            <w:r w:rsidRPr="00EC75B7">
              <w:rPr>
                <w:rFonts w:ascii="Verdana" w:hAnsi="Verdana"/>
                <w:sz w:val="18"/>
                <w:szCs w:val="18"/>
              </w:rPr>
              <w:t>Possible disturbance of the activity of a maximum of 2 to 3 individuals</w:t>
            </w:r>
          </w:p>
          <w:p w14:paraId="7026322F" w14:textId="77777777" w:rsidR="008715BE" w:rsidRPr="00EC75B7" w:rsidRDefault="00000000">
            <w:pPr>
              <w:pStyle w:val="TableParagraph"/>
              <w:spacing w:before="1"/>
              <w:ind w:left="117" w:right="83"/>
              <w:jc w:val="both"/>
              <w:rPr>
                <w:rFonts w:ascii="Verdana" w:hAnsi="Verdana"/>
                <w:sz w:val="18"/>
                <w:szCs w:val="18"/>
              </w:rPr>
            </w:pPr>
            <w:r w:rsidRPr="00EC75B7">
              <w:rPr>
                <w:rFonts w:ascii="Verdana" w:hAnsi="Verdana"/>
                <w:sz w:val="18"/>
                <w:szCs w:val="18"/>
              </w:rPr>
              <w:t>The effects will be felt locally, at distances that are not likely to affect sensitive receptors in the area</w:t>
            </w:r>
          </w:p>
          <w:p w14:paraId="04601E47" w14:textId="77777777" w:rsidR="008715BE" w:rsidRPr="00EC75B7" w:rsidRDefault="00000000">
            <w:pPr>
              <w:pStyle w:val="TableParagraph"/>
              <w:ind w:left="117" w:right="86"/>
              <w:jc w:val="both"/>
              <w:rPr>
                <w:rFonts w:ascii="Verdana" w:hAnsi="Verdana"/>
                <w:sz w:val="18"/>
                <w:szCs w:val="18"/>
              </w:rPr>
            </w:pPr>
            <w:r w:rsidRPr="00EC75B7">
              <w:rPr>
                <w:rFonts w:ascii="Verdana" w:hAnsi="Verdana"/>
                <w:sz w:val="18"/>
                <w:szCs w:val="18"/>
              </w:rPr>
              <w:t>The 30 dB noise isoline will be felt at distances of up to 1.5 km around the work area</w:t>
            </w:r>
          </w:p>
          <w:p w14:paraId="76763E2A" w14:textId="77777777" w:rsidR="008715BE" w:rsidRPr="00EC75B7" w:rsidRDefault="00000000">
            <w:pPr>
              <w:pStyle w:val="TableParagraph"/>
              <w:spacing w:before="188"/>
              <w:ind w:left="117" w:right="84"/>
              <w:jc w:val="both"/>
              <w:rPr>
                <w:rFonts w:ascii="Verdana" w:hAnsi="Verdana"/>
                <w:sz w:val="18"/>
                <w:szCs w:val="18"/>
              </w:rPr>
            </w:pPr>
            <w:r w:rsidRPr="00EC75B7">
              <w:rPr>
                <w:rFonts w:ascii="Verdana" w:hAnsi="Verdana"/>
                <w:sz w:val="18"/>
                <w:szCs w:val="18"/>
              </w:rPr>
              <w:t>The impact will be felt outside the protected area of the wind farm, in the vicinity of the wind turbines</w:t>
            </w:r>
          </w:p>
        </w:tc>
        <w:tc>
          <w:tcPr>
            <w:tcW w:w="1889" w:type="dxa"/>
          </w:tcPr>
          <w:p w14:paraId="313BD030" w14:textId="77777777" w:rsidR="008715BE" w:rsidRPr="00EC75B7" w:rsidRDefault="00000000">
            <w:pPr>
              <w:pStyle w:val="TableParagraph"/>
              <w:tabs>
                <w:tab w:val="left" w:pos="1598"/>
                <w:tab w:val="left" w:pos="1654"/>
              </w:tabs>
              <w:spacing w:before="8"/>
              <w:ind w:left="119" w:right="81"/>
              <w:jc w:val="both"/>
              <w:rPr>
                <w:rFonts w:ascii="Verdana" w:hAnsi="Verdana"/>
                <w:sz w:val="18"/>
                <w:szCs w:val="18"/>
              </w:rPr>
            </w:pPr>
            <w:r w:rsidRPr="00EC75B7">
              <w:rPr>
                <w:rFonts w:ascii="Verdana" w:hAnsi="Verdana"/>
                <w:sz w:val="18"/>
                <w:szCs w:val="18"/>
              </w:rPr>
              <w:t xml:space="preserve">Spatial analysis and data received from the beneficiary Spatial analysis and data </w:t>
            </w:r>
            <w:r w:rsidRPr="00EC75B7">
              <w:rPr>
                <w:rFonts w:ascii="Verdana" w:hAnsi="Verdana"/>
                <w:spacing w:val="-2"/>
                <w:sz w:val="18"/>
                <w:szCs w:val="18"/>
              </w:rPr>
              <w:t>transmitted</w:t>
            </w:r>
            <w:r w:rsidRPr="00EC75B7">
              <w:rPr>
                <w:rFonts w:ascii="Verdana" w:hAnsi="Verdana"/>
                <w:sz w:val="18"/>
                <w:szCs w:val="18"/>
              </w:rPr>
              <w:tab/>
            </w:r>
            <w:r w:rsidRPr="00EC75B7">
              <w:rPr>
                <w:rFonts w:ascii="Verdana" w:hAnsi="Verdana"/>
                <w:spacing w:val="-6"/>
                <w:sz w:val="18"/>
                <w:szCs w:val="18"/>
              </w:rPr>
              <w:t xml:space="preserve">by </w:t>
            </w:r>
            <w:r w:rsidRPr="00EC75B7">
              <w:rPr>
                <w:rFonts w:ascii="Verdana" w:hAnsi="Verdana"/>
                <w:sz w:val="18"/>
                <w:szCs w:val="18"/>
              </w:rPr>
              <w:t xml:space="preserve">the </w:t>
            </w:r>
            <w:r w:rsidRPr="00EC75B7">
              <w:rPr>
                <w:rFonts w:ascii="Verdana" w:hAnsi="Verdana"/>
                <w:spacing w:val="-2"/>
                <w:sz w:val="18"/>
                <w:szCs w:val="18"/>
              </w:rPr>
              <w:t xml:space="preserve">Bulgarian </w:t>
            </w:r>
            <w:r w:rsidRPr="00EC75B7">
              <w:rPr>
                <w:rFonts w:ascii="Verdana" w:hAnsi="Verdana"/>
                <w:sz w:val="18"/>
                <w:szCs w:val="18"/>
              </w:rPr>
              <w:t>Ministry of the Environment</w:t>
            </w:r>
            <w:r w:rsidRPr="00EC75B7">
              <w:rPr>
                <w:rFonts w:ascii="Verdana" w:hAnsi="Verdana"/>
                <w:sz w:val="18"/>
                <w:szCs w:val="18"/>
              </w:rPr>
              <w:tab/>
            </w:r>
            <w:r w:rsidRPr="00EC75B7">
              <w:rPr>
                <w:rFonts w:ascii="Verdana" w:hAnsi="Verdana"/>
                <w:sz w:val="18"/>
                <w:szCs w:val="18"/>
              </w:rPr>
              <w:tab/>
            </w:r>
            <w:r w:rsidRPr="00EC75B7">
              <w:rPr>
                <w:rFonts w:ascii="Verdana" w:hAnsi="Verdana"/>
                <w:spacing w:val="-5"/>
                <w:sz w:val="18"/>
                <w:szCs w:val="18"/>
              </w:rPr>
              <w:t>to</w:t>
            </w:r>
          </w:p>
          <w:p w14:paraId="5EAE8FE3" w14:textId="77777777" w:rsidR="008715BE" w:rsidRPr="00EC75B7" w:rsidRDefault="00000000">
            <w:pPr>
              <w:pStyle w:val="TableParagraph"/>
              <w:ind w:left="119"/>
              <w:rPr>
                <w:rFonts w:ascii="Verdana" w:hAnsi="Verdana"/>
                <w:sz w:val="18"/>
                <w:szCs w:val="18"/>
              </w:rPr>
            </w:pPr>
            <w:r w:rsidRPr="00EC75B7">
              <w:rPr>
                <w:rFonts w:ascii="Verdana" w:hAnsi="Verdana"/>
                <w:spacing w:val="-2"/>
                <w:sz w:val="18"/>
                <w:szCs w:val="18"/>
              </w:rPr>
              <w:t>the beneficiary's request</w:t>
            </w:r>
          </w:p>
          <w:p w14:paraId="69D2D81F" w14:textId="77777777" w:rsidR="008715BE" w:rsidRPr="00EC75B7" w:rsidRDefault="00000000">
            <w:pPr>
              <w:pStyle w:val="TableParagraph"/>
              <w:tabs>
                <w:tab w:val="left" w:pos="1417"/>
              </w:tabs>
              <w:spacing w:before="189"/>
              <w:ind w:left="119" w:right="82"/>
              <w:jc w:val="both"/>
              <w:rPr>
                <w:rFonts w:ascii="Verdana" w:hAnsi="Verdana"/>
                <w:sz w:val="18"/>
                <w:szCs w:val="18"/>
              </w:rPr>
            </w:pPr>
            <w:r w:rsidRPr="00EC75B7">
              <w:rPr>
                <w:rFonts w:ascii="Verdana" w:hAnsi="Verdana"/>
                <w:spacing w:val="-2"/>
                <w:sz w:val="18"/>
                <w:szCs w:val="18"/>
              </w:rPr>
              <w:t>Modeling</w:t>
            </w:r>
            <w:r w:rsidRPr="00EC75B7">
              <w:rPr>
                <w:rFonts w:ascii="Verdana" w:hAnsi="Verdana"/>
                <w:sz w:val="18"/>
                <w:szCs w:val="18"/>
              </w:rPr>
              <w:tab/>
              <w:t xml:space="preserve">wind farm noise </w:t>
            </w:r>
            <w:r w:rsidRPr="00EC75B7">
              <w:rPr>
                <w:rFonts w:ascii="Verdana" w:hAnsi="Verdana"/>
                <w:spacing w:val="-4"/>
                <w:sz w:val="18"/>
                <w:szCs w:val="18"/>
              </w:rPr>
              <w:t>level</w:t>
            </w:r>
          </w:p>
        </w:tc>
      </w:tr>
      <w:tr w:rsidR="008715BE" w:rsidRPr="00EC75B7" w14:paraId="1225AD3C" w14:textId="77777777">
        <w:trPr>
          <w:trHeight w:val="777"/>
        </w:trPr>
        <w:tc>
          <w:tcPr>
            <w:tcW w:w="523" w:type="dxa"/>
            <w:vMerge/>
            <w:tcBorders>
              <w:top w:val="nil"/>
            </w:tcBorders>
            <w:textDirection w:val="btLr"/>
          </w:tcPr>
          <w:p w14:paraId="731B1D2A" w14:textId="77777777" w:rsidR="008715BE" w:rsidRPr="00EC75B7" w:rsidRDefault="008715BE">
            <w:pPr>
              <w:rPr>
                <w:rFonts w:ascii="Verdana" w:hAnsi="Verdana"/>
                <w:sz w:val="18"/>
                <w:szCs w:val="18"/>
              </w:rPr>
            </w:pPr>
          </w:p>
        </w:tc>
        <w:tc>
          <w:tcPr>
            <w:tcW w:w="2323" w:type="dxa"/>
            <w:vMerge/>
            <w:tcBorders>
              <w:top w:val="nil"/>
            </w:tcBorders>
          </w:tcPr>
          <w:p w14:paraId="723AC493" w14:textId="77777777" w:rsidR="008715BE" w:rsidRPr="00EC75B7" w:rsidRDefault="008715BE">
            <w:pPr>
              <w:rPr>
                <w:rFonts w:ascii="Verdana" w:hAnsi="Verdana"/>
                <w:sz w:val="18"/>
                <w:szCs w:val="18"/>
              </w:rPr>
            </w:pPr>
          </w:p>
        </w:tc>
        <w:tc>
          <w:tcPr>
            <w:tcW w:w="3149" w:type="dxa"/>
          </w:tcPr>
          <w:p w14:paraId="53942008"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 xml:space="preserve">Night-time </w:t>
            </w:r>
            <w:r w:rsidRPr="00EC75B7">
              <w:rPr>
                <w:rFonts w:ascii="Verdana" w:hAnsi="Verdana"/>
                <w:sz w:val="18"/>
                <w:szCs w:val="18"/>
              </w:rPr>
              <w:t>lighting</w:t>
            </w:r>
          </w:p>
        </w:tc>
        <w:tc>
          <w:tcPr>
            <w:tcW w:w="1106" w:type="dxa"/>
          </w:tcPr>
          <w:p w14:paraId="749DAAA5"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PAS/PH</w:t>
            </w:r>
          </w:p>
        </w:tc>
        <w:tc>
          <w:tcPr>
            <w:tcW w:w="1108" w:type="dxa"/>
          </w:tcPr>
          <w:p w14:paraId="5FA870AE" w14:textId="77777777" w:rsidR="008715BE" w:rsidRPr="00EC75B7" w:rsidRDefault="00000000">
            <w:pPr>
              <w:pStyle w:val="TableParagraph"/>
              <w:spacing w:before="8"/>
              <w:ind w:left="109" w:right="93"/>
              <w:jc w:val="both"/>
              <w:rPr>
                <w:rFonts w:ascii="Verdana" w:hAnsi="Verdana"/>
                <w:sz w:val="18"/>
                <w:szCs w:val="18"/>
              </w:rPr>
            </w:pPr>
            <w:r w:rsidRPr="00EC75B7">
              <w:rPr>
                <w:rFonts w:ascii="Verdana" w:hAnsi="Verdana"/>
                <w:sz w:val="18"/>
                <w:szCs w:val="18"/>
              </w:rPr>
              <w:t xml:space="preserve">No indirect </w:t>
            </w:r>
            <w:r w:rsidRPr="00EC75B7">
              <w:rPr>
                <w:rFonts w:ascii="Verdana" w:hAnsi="Verdana"/>
                <w:spacing w:val="-2"/>
                <w:sz w:val="18"/>
                <w:szCs w:val="18"/>
              </w:rPr>
              <w:t xml:space="preserve">impacts </w:t>
            </w:r>
            <w:r w:rsidRPr="00EC75B7">
              <w:rPr>
                <w:rFonts w:ascii="Verdana" w:hAnsi="Verdana"/>
                <w:sz w:val="18"/>
                <w:szCs w:val="18"/>
              </w:rPr>
              <w:t xml:space="preserve">were </w:t>
            </w:r>
            <w:r w:rsidRPr="00EC75B7">
              <w:rPr>
                <w:rFonts w:ascii="Verdana" w:hAnsi="Verdana"/>
                <w:spacing w:val="-2"/>
                <w:sz w:val="18"/>
                <w:szCs w:val="18"/>
              </w:rPr>
              <w:t>identified</w:t>
            </w:r>
          </w:p>
          <w:p w14:paraId="5BF79D0C" w14:textId="77777777" w:rsidR="008715BE" w:rsidRPr="00EC75B7" w:rsidRDefault="00000000">
            <w:pPr>
              <w:pStyle w:val="TableParagraph"/>
              <w:spacing w:line="163" w:lineRule="exact"/>
              <w:ind w:left="109"/>
              <w:rPr>
                <w:rFonts w:ascii="Verdana" w:hAnsi="Verdana"/>
                <w:sz w:val="18"/>
                <w:szCs w:val="18"/>
              </w:rPr>
            </w:pPr>
            <w:r w:rsidRPr="00EC75B7">
              <w:rPr>
                <w:rFonts w:ascii="Verdana" w:hAnsi="Verdana"/>
                <w:spacing w:val="-2"/>
                <w:sz w:val="18"/>
                <w:szCs w:val="18"/>
              </w:rPr>
              <w:t>indirect</w:t>
            </w:r>
          </w:p>
        </w:tc>
        <w:tc>
          <w:tcPr>
            <w:tcW w:w="1211" w:type="dxa"/>
          </w:tcPr>
          <w:p w14:paraId="4550CD65"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secondary </w:t>
            </w:r>
            <w:r w:rsidRPr="00EC75B7">
              <w:rPr>
                <w:rFonts w:ascii="Verdana" w:hAnsi="Verdana"/>
                <w:spacing w:val="-2"/>
                <w:sz w:val="18"/>
                <w:szCs w:val="18"/>
              </w:rPr>
              <w:t xml:space="preserve">impacts </w:t>
            </w:r>
            <w:r w:rsidRPr="00EC75B7">
              <w:rPr>
                <w:rFonts w:ascii="Verdana" w:hAnsi="Verdana"/>
                <w:sz w:val="18"/>
                <w:szCs w:val="18"/>
              </w:rPr>
              <w:t xml:space="preserve">were </w:t>
            </w:r>
            <w:r w:rsidRPr="00EC75B7">
              <w:rPr>
                <w:rFonts w:ascii="Verdana" w:hAnsi="Verdana"/>
                <w:spacing w:val="-2"/>
                <w:sz w:val="18"/>
                <w:szCs w:val="18"/>
              </w:rPr>
              <w:t>identified</w:t>
            </w:r>
          </w:p>
          <w:p w14:paraId="47E47515" w14:textId="77777777" w:rsidR="008715BE" w:rsidRPr="00EC75B7" w:rsidRDefault="00000000">
            <w:pPr>
              <w:pStyle w:val="TableParagraph"/>
              <w:spacing w:line="163" w:lineRule="exact"/>
              <w:ind w:left="107"/>
              <w:rPr>
                <w:rFonts w:ascii="Verdana" w:hAnsi="Verdana"/>
                <w:sz w:val="18"/>
                <w:szCs w:val="18"/>
              </w:rPr>
            </w:pPr>
            <w:r w:rsidRPr="00EC75B7">
              <w:rPr>
                <w:rFonts w:ascii="Verdana" w:hAnsi="Verdana"/>
                <w:spacing w:val="-2"/>
                <w:sz w:val="18"/>
                <w:szCs w:val="18"/>
              </w:rPr>
              <w:t>secondary</w:t>
            </w:r>
          </w:p>
        </w:tc>
        <w:tc>
          <w:tcPr>
            <w:tcW w:w="1389" w:type="dxa"/>
          </w:tcPr>
          <w:p w14:paraId="226C74DB"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w:t>
            </w:r>
          </w:p>
          <w:p w14:paraId="35CBC150" w14:textId="77777777" w:rsidR="008715BE" w:rsidRPr="00EC75B7" w:rsidRDefault="00000000">
            <w:pPr>
              <w:pStyle w:val="TableParagraph"/>
              <w:spacing w:line="163" w:lineRule="exact"/>
              <w:ind w:left="108"/>
              <w:rPr>
                <w:rFonts w:ascii="Verdana" w:hAnsi="Verdana"/>
                <w:sz w:val="18"/>
                <w:szCs w:val="18"/>
              </w:rPr>
            </w:pPr>
            <w:r w:rsidRPr="00EC75B7">
              <w:rPr>
                <w:rFonts w:ascii="Verdana" w:hAnsi="Verdana"/>
                <w:spacing w:val="-2"/>
                <w:sz w:val="18"/>
                <w:szCs w:val="18"/>
              </w:rPr>
              <w:t>cumulative</w:t>
            </w:r>
          </w:p>
        </w:tc>
        <w:tc>
          <w:tcPr>
            <w:tcW w:w="1201" w:type="dxa"/>
          </w:tcPr>
          <w:p w14:paraId="64C3E60A"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term</w:t>
            </w:r>
          </w:p>
          <w:p w14:paraId="4A5CEE84" w14:textId="77777777" w:rsidR="008715BE" w:rsidRPr="00EC75B7" w:rsidRDefault="00000000">
            <w:pPr>
              <w:pStyle w:val="TableParagraph"/>
              <w:spacing w:line="163" w:lineRule="exact"/>
              <w:ind w:left="109"/>
              <w:rPr>
                <w:rFonts w:ascii="Verdana" w:hAnsi="Verdana"/>
                <w:sz w:val="18"/>
                <w:szCs w:val="18"/>
              </w:rPr>
            </w:pPr>
            <w:r w:rsidRPr="00EC75B7">
              <w:rPr>
                <w:rFonts w:ascii="Verdana" w:hAnsi="Verdana"/>
                <w:spacing w:val="-4"/>
                <w:sz w:val="18"/>
                <w:szCs w:val="18"/>
              </w:rPr>
              <w:t>term</w:t>
            </w:r>
          </w:p>
        </w:tc>
        <w:tc>
          <w:tcPr>
            <w:tcW w:w="1736" w:type="dxa"/>
          </w:tcPr>
          <w:p w14:paraId="6A371278" w14:textId="77777777" w:rsidR="008715BE" w:rsidRPr="00EC75B7" w:rsidRDefault="00000000">
            <w:pPr>
              <w:pStyle w:val="TableParagraph"/>
              <w:tabs>
                <w:tab w:val="left" w:pos="734"/>
                <w:tab w:val="left" w:pos="1334"/>
              </w:tabs>
              <w:spacing w:before="8"/>
              <w:ind w:left="111" w:right="88"/>
              <w:jc w:val="both"/>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r>
            <w:r w:rsidRPr="00EC75B7">
              <w:rPr>
                <w:rFonts w:ascii="Verdana" w:hAnsi="Verdana"/>
                <w:spacing w:val="-6"/>
                <w:sz w:val="18"/>
                <w:szCs w:val="18"/>
              </w:rPr>
              <w:t>have</w:t>
            </w:r>
            <w:r w:rsidRPr="00EC75B7">
              <w:rPr>
                <w:rFonts w:ascii="Verdana" w:hAnsi="Verdana"/>
                <w:sz w:val="18"/>
                <w:szCs w:val="18"/>
              </w:rPr>
              <w:tab/>
            </w:r>
            <w:r w:rsidRPr="00EC75B7">
              <w:rPr>
                <w:rFonts w:ascii="Verdana" w:hAnsi="Verdana"/>
                <w:spacing w:val="-4"/>
                <w:sz w:val="18"/>
                <w:szCs w:val="18"/>
              </w:rPr>
              <w:t xml:space="preserve">No </w:t>
            </w:r>
            <w:r w:rsidRPr="00EC75B7">
              <w:rPr>
                <w:rFonts w:ascii="Verdana" w:hAnsi="Verdana"/>
                <w:sz w:val="18"/>
                <w:szCs w:val="18"/>
              </w:rPr>
              <w:t>potentially affected species identified</w:t>
            </w:r>
          </w:p>
        </w:tc>
        <w:tc>
          <w:tcPr>
            <w:tcW w:w="1897" w:type="dxa"/>
          </w:tcPr>
          <w:p w14:paraId="5DCC8199" w14:textId="77777777" w:rsidR="008715BE" w:rsidRPr="00EC75B7" w:rsidRDefault="00000000">
            <w:pPr>
              <w:pStyle w:val="TableParagraph"/>
              <w:spacing w:before="8"/>
              <w:ind w:left="11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3860" w:type="dxa"/>
          </w:tcPr>
          <w:p w14:paraId="0994BC07" w14:textId="77777777" w:rsidR="008715BE" w:rsidRPr="00EC75B7" w:rsidRDefault="00000000">
            <w:pPr>
              <w:pStyle w:val="TableParagraph"/>
              <w:spacing w:before="8"/>
              <w:ind w:left="117"/>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89" w:type="dxa"/>
          </w:tcPr>
          <w:p w14:paraId="29FE0C2C" w14:textId="77777777" w:rsidR="008715BE" w:rsidRPr="00EC75B7" w:rsidRDefault="00000000">
            <w:pPr>
              <w:pStyle w:val="TableParagraph"/>
              <w:spacing w:before="8"/>
              <w:ind w:left="11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1BF55279" w14:textId="77777777">
        <w:trPr>
          <w:trHeight w:val="777"/>
        </w:trPr>
        <w:tc>
          <w:tcPr>
            <w:tcW w:w="523" w:type="dxa"/>
            <w:vMerge/>
            <w:tcBorders>
              <w:top w:val="nil"/>
            </w:tcBorders>
            <w:textDirection w:val="btLr"/>
          </w:tcPr>
          <w:p w14:paraId="4A738195" w14:textId="77777777" w:rsidR="008715BE" w:rsidRPr="00EC75B7" w:rsidRDefault="008715BE">
            <w:pPr>
              <w:rPr>
                <w:rFonts w:ascii="Verdana" w:hAnsi="Verdana"/>
                <w:sz w:val="18"/>
                <w:szCs w:val="18"/>
              </w:rPr>
            </w:pPr>
          </w:p>
        </w:tc>
        <w:tc>
          <w:tcPr>
            <w:tcW w:w="2323" w:type="dxa"/>
            <w:vMerge/>
            <w:tcBorders>
              <w:top w:val="nil"/>
            </w:tcBorders>
          </w:tcPr>
          <w:p w14:paraId="4C3F001A" w14:textId="77777777" w:rsidR="008715BE" w:rsidRPr="00EC75B7" w:rsidRDefault="008715BE">
            <w:pPr>
              <w:rPr>
                <w:rFonts w:ascii="Verdana" w:hAnsi="Verdana"/>
                <w:sz w:val="18"/>
                <w:szCs w:val="18"/>
              </w:rPr>
            </w:pPr>
          </w:p>
        </w:tc>
        <w:tc>
          <w:tcPr>
            <w:tcW w:w="3149" w:type="dxa"/>
          </w:tcPr>
          <w:p w14:paraId="27F3D085"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 xml:space="preserve">Waste </w:t>
            </w:r>
            <w:r w:rsidRPr="00EC75B7">
              <w:rPr>
                <w:rFonts w:ascii="Verdana" w:hAnsi="Verdana"/>
                <w:sz w:val="18"/>
                <w:szCs w:val="18"/>
              </w:rPr>
              <w:t>generation</w:t>
            </w:r>
          </w:p>
        </w:tc>
        <w:tc>
          <w:tcPr>
            <w:tcW w:w="1106" w:type="dxa"/>
          </w:tcPr>
          <w:p w14:paraId="4F934772"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AH/PAS</w:t>
            </w:r>
          </w:p>
        </w:tc>
        <w:tc>
          <w:tcPr>
            <w:tcW w:w="1108" w:type="dxa"/>
          </w:tcPr>
          <w:p w14:paraId="6028C50B" w14:textId="77777777" w:rsidR="008715BE" w:rsidRPr="00EC75B7" w:rsidRDefault="00000000">
            <w:pPr>
              <w:pStyle w:val="TableParagraph"/>
              <w:spacing w:line="194" w:lineRule="exact"/>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171C0EA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2A6B572B" w14:textId="77777777" w:rsidR="008715BE" w:rsidRPr="00EC75B7" w:rsidRDefault="00000000">
            <w:pPr>
              <w:pStyle w:val="TableParagraph"/>
              <w:tabs>
                <w:tab w:val="left" w:pos="588"/>
              </w:tabs>
              <w:spacing w:line="194" w:lineRule="exact"/>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72FBC411" w14:textId="77777777" w:rsidR="008715BE" w:rsidRPr="00EC75B7" w:rsidRDefault="00000000">
            <w:pPr>
              <w:pStyle w:val="TableParagraph"/>
              <w:spacing w:before="8"/>
              <w:ind w:left="109" w:right="91"/>
              <w:rPr>
                <w:rFonts w:ascii="Verdana" w:hAnsi="Verdana"/>
                <w:sz w:val="18"/>
                <w:szCs w:val="18"/>
              </w:rPr>
            </w:pPr>
            <w:r w:rsidRPr="00EC75B7">
              <w:rPr>
                <w:rFonts w:ascii="Verdana" w:hAnsi="Verdana"/>
                <w:sz w:val="18"/>
                <w:szCs w:val="18"/>
              </w:rPr>
              <w:t xml:space="preserve">None </w:t>
            </w:r>
            <w:r w:rsidRPr="00EC75B7">
              <w:rPr>
                <w:rFonts w:ascii="Verdana" w:hAnsi="Verdana"/>
                <w:spacing w:val="-2"/>
                <w:sz w:val="18"/>
                <w:szCs w:val="18"/>
              </w:rPr>
              <w:t>identified</w:t>
            </w:r>
          </w:p>
        </w:tc>
        <w:tc>
          <w:tcPr>
            <w:tcW w:w="1736" w:type="dxa"/>
          </w:tcPr>
          <w:p w14:paraId="3F9DA9E6" w14:textId="77777777" w:rsidR="008715BE" w:rsidRPr="00EC75B7" w:rsidRDefault="00000000">
            <w:pPr>
              <w:pStyle w:val="TableParagraph"/>
              <w:tabs>
                <w:tab w:val="left" w:pos="734"/>
                <w:tab w:val="left" w:pos="1334"/>
              </w:tabs>
              <w:spacing w:before="8"/>
              <w:ind w:left="111" w:right="88"/>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r>
            <w:r w:rsidRPr="00EC75B7">
              <w:rPr>
                <w:rFonts w:ascii="Verdana" w:hAnsi="Verdana"/>
                <w:spacing w:val="-6"/>
                <w:sz w:val="18"/>
                <w:szCs w:val="18"/>
              </w:rPr>
              <w:t>have</w:t>
            </w:r>
            <w:r w:rsidRPr="00EC75B7">
              <w:rPr>
                <w:rFonts w:ascii="Verdana" w:hAnsi="Verdana"/>
                <w:sz w:val="18"/>
                <w:szCs w:val="18"/>
              </w:rPr>
              <w:tab/>
            </w:r>
            <w:r w:rsidRPr="00EC75B7">
              <w:rPr>
                <w:rFonts w:ascii="Verdana" w:hAnsi="Verdana"/>
                <w:spacing w:val="-2"/>
                <w:sz w:val="18"/>
                <w:szCs w:val="18"/>
              </w:rPr>
              <w:t>identified</w:t>
            </w:r>
          </w:p>
        </w:tc>
        <w:tc>
          <w:tcPr>
            <w:tcW w:w="1897" w:type="dxa"/>
          </w:tcPr>
          <w:p w14:paraId="1E8BC1C9" w14:textId="77777777" w:rsidR="008715BE" w:rsidRPr="00EC75B7" w:rsidRDefault="00000000">
            <w:pPr>
              <w:pStyle w:val="TableParagraph"/>
              <w:spacing w:before="8"/>
              <w:ind w:left="11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3860" w:type="dxa"/>
          </w:tcPr>
          <w:p w14:paraId="7295FEB4" w14:textId="77777777" w:rsidR="008715BE" w:rsidRPr="00EC75B7" w:rsidRDefault="00000000">
            <w:pPr>
              <w:pStyle w:val="TableParagraph"/>
              <w:spacing w:before="8"/>
              <w:ind w:left="117"/>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89" w:type="dxa"/>
          </w:tcPr>
          <w:p w14:paraId="7F59328D" w14:textId="77777777" w:rsidR="008715BE" w:rsidRPr="00EC75B7" w:rsidRDefault="00000000">
            <w:pPr>
              <w:pStyle w:val="TableParagraph"/>
              <w:spacing w:before="8"/>
              <w:ind w:left="11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425B7B11" w14:textId="77777777">
        <w:trPr>
          <w:trHeight w:val="4668"/>
        </w:trPr>
        <w:tc>
          <w:tcPr>
            <w:tcW w:w="523" w:type="dxa"/>
            <w:vMerge/>
            <w:tcBorders>
              <w:top w:val="nil"/>
            </w:tcBorders>
            <w:textDirection w:val="btLr"/>
          </w:tcPr>
          <w:p w14:paraId="2D699A30" w14:textId="77777777" w:rsidR="008715BE" w:rsidRPr="00EC75B7" w:rsidRDefault="008715BE">
            <w:pPr>
              <w:rPr>
                <w:rFonts w:ascii="Verdana" w:hAnsi="Verdana"/>
                <w:sz w:val="18"/>
                <w:szCs w:val="18"/>
              </w:rPr>
            </w:pPr>
          </w:p>
        </w:tc>
        <w:tc>
          <w:tcPr>
            <w:tcW w:w="2323" w:type="dxa"/>
            <w:vMerge/>
            <w:tcBorders>
              <w:top w:val="nil"/>
            </w:tcBorders>
          </w:tcPr>
          <w:p w14:paraId="474D000C" w14:textId="77777777" w:rsidR="008715BE" w:rsidRPr="00EC75B7" w:rsidRDefault="008715BE">
            <w:pPr>
              <w:rPr>
                <w:rFonts w:ascii="Verdana" w:hAnsi="Verdana"/>
                <w:sz w:val="18"/>
                <w:szCs w:val="18"/>
              </w:rPr>
            </w:pPr>
          </w:p>
        </w:tc>
        <w:tc>
          <w:tcPr>
            <w:tcW w:w="3149" w:type="dxa"/>
          </w:tcPr>
          <w:p w14:paraId="7007B9AD"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Collision with </w:t>
            </w:r>
            <w:r w:rsidRPr="00EC75B7">
              <w:rPr>
                <w:rFonts w:ascii="Verdana" w:hAnsi="Verdana"/>
                <w:spacing w:val="-2"/>
                <w:sz w:val="18"/>
                <w:szCs w:val="18"/>
              </w:rPr>
              <w:t xml:space="preserve">turbine </w:t>
            </w:r>
            <w:r w:rsidRPr="00EC75B7">
              <w:rPr>
                <w:rFonts w:ascii="Verdana" w:hAnsi="Verdana"/>
                <w:sz w:val="18"/>
                <w:szCs w:val="18"/>
              </w:rPr>
              <w:t>blades</w:t>
            </w:r>
          </w:p>
        </w:tc>
        <w:tc>
          <w:tcPr>
            <w:tcW w:w="1106" w:type="dxa"/>
          </w:tcPr>
          <w:p w14:paraId="736B2292"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REP</w:t>
            </w:r>
          </w:p>
        </w:tc>
        <w:tc>
          <w:tcPr>
            <w:tcW w:w="1108" w:type="dxa"/>
          </w:tcPr>
          <w:p w14:paraId="701A3DA3"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39BB8722"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6A3BF300"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18E62410"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 xml:space="preserve">the </w:t>
            </w:r>
            <w:r w:rsidRPr="00EC75B7">
              <w:rPr>
                <w:rFonts w:ascii="Verdana" w:hAnsi="Verdana"/>
                <w:spacing w:val="-4"/>
                <w:sz w:val="18"/>
                <w:szCs w:val="18"/>
              </w:rPr>
              <w:t xml:space="preserve">long </w:t>
            </w:r>
            <w:r w:rsidRPr="00EC75B7">
              <w:rPr>
                <w:rFonts w:ascii="Verdana" w:hAnsi="Verdana"/>
                <w:spacing w:val="-2"/>
                <w:sz w:val="18"/>
                <w:szCs w:val="18"/>
              </w:rPr>
              <w:t>term</w:t>
            </w:r>
          </w:p>
        </w:tc>
        <w:tc>
          <w:tcPr>
            <w:tcW w:w="1736" w:type="dxa"/>
          </w:tcPr>
          <w:p w14:paraId="50024437" w14:textId="77777777" w:rsidR="008715BE" w:rsidRPr="00EC75B7" w:rsidRDefault="00000000">
            <w:pPr>
              <w:pStyle w:val="TableParagraph"/>
              <w:spacing w:before="8"/>
              <w:ind w:left="111" w:right="72"/>
              <w:rPr>
                <w:rFonts w:ascii="Verdana" w:hAnsi="Verdana"/>
                <w:i/>
                <w:sz w:val="18"/>
                <w:szCs w:val="18"/>
              </w:rPr>
            </w:pPr>
            <w:r w:rsidRPr="00EC75B7">
              <w:rPr>
                <w:rFonts w:ascii="Verdana" w:hAnsi="Verdana"/>
                <w:i/>
                <w:spacing w:val="-2"/>
                <w:sz w:val="18"/>
                <w:szCs w:val="18"/>
              </w:rPr>
              <w:t xml:space="preserve">Rhinolophus mehelyi Rhinolophus hipposideros Rhinolophus ferrumequinum Rhinolophus euryale </w:t>
            </w:r>
            <w:r w:rsidRPr="00EC75B7">
              <w:rPr>
                <w:rFonts w:ascii="Verdana" w:hAnsi="Verdana"/>
                <w:i/>
                <w:sz w:val="18"/>
                <w:szCs w:val="18"/>
              </w:rPr>
              <w:t xml:space="preserve">Rhinolophus blasii </w:t>
            </w:r>
            <w:r w:rsidRPr="00EC75B7">
              <w:rPr>
                <w:rFonts w:ascii="Verdana" w:hAnsi="Verdana"/>
                <w:i/>
                <w:spacing w:val="-2"/>
                <w:sz w:val="18"/>
                <w:szCs w:val="18"/>
              </w:rPr>
              <w:t>Miniopterus schreibersii</w:t>
            </w:r>
          </w:p>
          <w:p w14:paraId="01FFD9FC" w14:textId="77777777" w:rsidR="008715BE" w:rsidRPr="00EC75B7" w:rsidRDefault="00000000">
            <w:pPr>
              <w:pStyle w:val="TableParagraph"/>
              <w:tabs>
                <w:tab w:val="left" w:pos="859"/>
                <w:tab w:val="left" w:pos="1097"/>
                <w:tab w:val="left" w:pos="1142"/>
              </w:tabs>
              <w:ind w:left="111" w:right="89"/>
              <w:rPr>
                <w:rFonts w:ascii="Verdana" w:hAnsi="Verdana"/>
                <w:i/>
                <w:sz w:val="18"/>
                <w:szCs w:val="18"/>
              </w:rPr>
            </w:pPr>
            <w:r w:rsidRPr="00EC75B7">
              <w:rPr>
                <w:rFonts w:ascii="Verdana" w:hAnsi="Verdana"/>
                <w:i/>
                <w:spacing w:val="-2"/>
                <w:sz w:val="18"/>
                <w:szCs w:val="18"/>
              </w:rPr>
              <w:t>Myotis</w:t>
            </w:r>
            <w:r w:rsidRPr="00EC75B7">
              <w:rPr>
                <w:rFonts w:ascii="Verdana" w:hAnsi="Verdana"/>
                <w:i/>
                <w:sz w:val="18"/>
                <w:szCs w:val="18"/>
              </w:rPr>
              <w:tab/>
            </w:r>
            <w:r w:rsidRPr="00EC75B7">
              <w:rPr>
                <w:rFonts w:ascii="Verdana" w:hAnsi="Verdana"/>
                <w:i/>
                <w:sz w:val="18"/>
                <w:szCs w:val="18"/>
              </w:rPr>
              <w:tab/>
            </w:r>
            <w:r w:rsidRPr="00EC75B7">
              <w:rPr>
                <w:rFonts w:ascii="Verdana" w:hAnsi="Verdana"/>
                <w:i/>
                <w:spacing w:val="-2"/>
                <w:sz w:val="18"/>
                <w:szCs w:val="18"/>
              </w:rPr>
              <w:t>myotis Myotis emarginatus Myotis</w:t>
            </w:r>
            <w:r w:rsidRPr="00EC75B7">
              <w:rPr>
                <w:rFonts w:ascii="Verdana" w:hAnsi="Verdana"/>
                <w:i/>
                <w:sz w:val="18"/>
                <w:szCs w:val="18"/>
              </w:rPr>
              <w:tab/>
            </w:r>
            <w:r w:rsidRPr="00EC75B7">
              <w:rPr>
                <w:rFonts w:ascii="Verdana" w:hAnsi="Verdana"/>
                <w:i/>
                <w:spacing w:val="-2"/>
                <w:sz w:val="18"/>
                <w:szCs w:val="18"/>
              </w:rPr>
              <w:t>capaccinii Myotis</w:t>
            </w:r>
            <w:r w:rsidRPr="00EC75B7">
              <w:rPr>
                <w:rFonts w:ascii="Verdana" w:hAnsi="Verdana"/>
                <w:i/>
                <w:sz w:val="18"/>
                <w:szCs w:val="18"/>
              </w:rPr>
              <w:tab/>
            </w:r>
            <w:r w:rsidRPr="00EC75B7">
              <w:rPr>
                <w:rFonts w:ascii="Verdana" w:hAnsi="Verdana"/>
                <w:i/>
                <w:sz w:val="18"/>
                <w:szCs w:val="18"/>
              </w:rPr>
              <w:tab/>
            </w:r>
            <w:r w:rsidRPr="00EC75B7">
              <w:rPr>
                <w:rFonts w:ascii="Verdana" w:hAnsi="Verdana"/>
                <w:i/>
                <w:sz w:val="18"/>
                <w:szCs w:val="18"/>
              </w:rPr>
              <w:tab/>
            </w:r>
            <w:r w:rsidRPr="00EC75B7">
              <w:rPr>
                <w:rFonts w:ascii="Verdana" w:hAnsi="Verdana"/>
                <w:i/>
                <w:spacing w:val="-2"/>
                <w:sz w:val="18"/>
                <w:szCs w:val="18"/>
              </w:rPr>
              <w:t xml:space="preserve">blythii </w:t>
            </w:r>
            <w:r w:rsidRPr="00EC75B7">
              <w:rPr>
                <w:rFonts w:ascii="Verdana" w:hAnsi="Verdana"/>
                <w:i/>
                <w:sz w:val="18"/>
                <w:szCs w:val="18"/>
              </w:rPr>
              <w:t xml:space="preserve">Myotis bechsteinii </w:t>
            </w:r>
            <w:r w:rsidRPr="00EC75B7">
              <w:rPr>
                <w:rFonts w:ascii="Verdana" w:hAnsi="Verdana"/>
                <w:i/>
                <w:spacing w:val="-2"/>
                <w:sz w:val="18"/>
                <w:szCs w:val="18"/>
              </w:rPr>
              <w:t>Barbastella barbastellus</w:t>
            </w:r>
          </w:p>
        </w:tc>
        <w:tc>
          <w:tcPr>
            <w:tcW w:w="1897" w:type="dxa"/>
          </w:tcPr>
          <w:p w14:paraId="4F5A5085"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56CFCC18" w14:textId="77777777" w:rsidR="008715BE" w:rsidRPr="00EC75B7"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EC75B7">
              <w:rPr>
                <w:rFonts w:ascii="Verdana" w:hAnsi="Verdana"/>
                <w:i/>
                <w:sz w:val="18"/>
                <w:szCs w:val="18"/>
              </w:rPr>
              <w:t xml:space="preserve">Rhinolophus mehelyi - </w:t>
            </w:r>
            <w:r w:rsidRPr="00EC75B7">
              <w:rPr>
                <w:rFonts w:ascii="Verdana" w:hAnsi="Verdana"/>
                <w:sz w:val="18"/>
                <w:szCs w:val="18"/>
              </w:rPr>
              <w:t xml:space="preserve">maximum one individual at a </w:t>
            </w:r>
            <w:r w:rsidRPr="00EC75B7">
              <w:rPr>
                <w:rFonts w:ascii="Verdana" w:hAnsi="Verdana"/>
                <w:spacing w:val="-2"/>
                <w:sz w:val="18"/>
                <w:szCs w:val="18"/>
              </w:rPr>
              <w:t>time</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Rhinolophus hipposideros - </w:t>
            </w:r>
            <w:r w:rsidRPr="00EC75B7">
              <w:rPr>
                <w:rFonts w:ascii="Verdana" w:hAnsi="Verdana"/>
                <w:sz w:val="18"/>
                <w:szCs w:val="18"/>
              </w:rPr>
              <w:t xml:space="preserve">maximum one individual </w:t>
            </w:r>
            <w:r w:rsidRPr="00EC75B7">
              <w:rPr>
                <w:rFonts w:ascii="Verdana" w:hAnsi="Verdana"/>
                <w:spacing w:val="-6"/>
                <w:sz w:val="18"/>
                <w:szCs w:val="18"/>
              </w:rPr>
              <w:t>per</w:t>
            </w:r>
            <w:r w:rsidRPr="00EC75B7">
              <w:rPr>
                <w:rFonts w:ascii="Verdana" w:hAnsi="Verdana"/>
                <w:sz w:val="18"/>
                <w:szCs w:val="18"/>
              </w:rPr>
              <w:tab/>
            </w:r>
            <w:r w:rsidRPr="00EC75B7">
              <w:rPr>
                <w:rFonts w:ascii="Verdana" w:hAnsi="Verdana"/>
                <w:spacing w:val="-6"/>
                <w:sz w:val="18"/>
                <w:szCs w:val="18"/>
              </w:rPr>
              <w:t>one</w:t>
            </w:r>
            <w:r w:rsidRPr="00EC75B7">
              <w:rPr>
                <w:rFonts w:ascii="Verdana" w:hAnsi="Verdana"/>
                <w:sz w:val="18"/>
                <w:szCs w:val="18"/>
              </w:rPr>
              <w:tab/>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pacing w:val="-10"/>
                <w:sz w:val="18"/>
                <w:szCs w:val="18"/>
              </w:rPr>
              <w:t xml:space="preserve"> years </w:t>
            </w:r>
            <w:r w:rsidRPr="00EC75B7">
              <w:rPr>
                <w:rFonts w:ascii="Verdana" w:hAnsi="Verdana"/>
                <w:i/>
                <w:sz w:val="18"/>
                <w:szCs w:val="18"/>
              </w:rPr>
              <w:t xml:space="preserve">Rhinolophus ferrumequinum - </w:t>
            </w:r>
            <w:r w:rsidRPr="00EC75B7">
              <w:rPr>
                <w:rFonts w:ascii="Verdana" w:hAnsi="Verdana"/>
                <w:sz w:val="18"/>
                <w:szCs w:val="18"/>
              </w:rPr>
              <w:t xml:space="preserve">maximum two individuals at an interval of 10 years </w:t>
            </w:r>
            <w:r w:rsidRPr="00EC75B7">
              <w:rPr>
                <w:rFonts w:ascii="Verdana" w:hAnsi="Verdana"/>
                <w:i/>
                <w:sz w:val="18"/>
                <w:szCs w:val="18"/>
              </w:rPr>
              <w:t xml:space="preserve">Rhinolophus euryale </w:t>
            </w:r>
            <w:r w:rsidRPr="00EC75B7">
              <w:rPr>
                <w:rFonts w:ascii="Verdana" w:hAnsi="Verdana"/>
                <w:sz w:val="18"/>
                <w:szCs w:val="18"/>
              </w:rPr>
              <w:t xml:space="preserve">- maximum one individual at an </w:t>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Rhinolophus blasii </w:t>
            </w:r>
            <w:r w:rsidRPr="00EC75B7">
              <w:rPr>
                <w:rFonts w:ascii="Verdana" w:hAnsi="Verdana"/>
                <w:sz w:val="18"/>
                <w:szCs w:val="18"/>
              </w:rPr>
              <w:t xml:space="preserve">- 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Miniopterus schreibersii </w:t>
            </w:r>
            <w:r w:rsidRPr="00EC75B7">
              <w:rPr>
                <w:rFonts w:ascii="Verdana" w:hAnsi="Verdana"/>
                <w:sz w:val="18"/>
                <w:szCs w:val="18"/>
              </w:rPr>
              <w:t xml:space="preserve">- maximum two individuals </w:t>
            </w:r>
            <w:r w:rsidRPr="00EC75B7">
              <w:rPr>
                <w:rFonts w:ascii="Verdana" w:hAnsi="Verdana"/>
                <w:spacing w:val="-6"/>
                <w:sz w:val="18"/>
                <w:szCs w:val="18"/>
              </w:rPr>
              <w:t>at</w:t>
            </w:r>
            <w:r w:rsidRPr="00EC75B7">
              <w:rPr>
                <w:rFonts w:ascii="Verdana" w:hAnsi="Verdana"/>
                <w:sz w:val="18"/>
                <w:szCs w:val="18"/>
              </w:rPr>
              <w:tab/>
            </w:r>
            <w:r w:rsidRPr="00EC75B7">
              <w:rPr>
                <w:rFonts w:ascii="Verdana" w:hAnsi="Verdana"/>
                <w:spacing w:val="-6"/>
                <w:sz w:val="18"/>
                <w:szCs w:val="18"/>
              </w:rPr>
              <w:t>one</w:t>
            </w:r>
            <w:r w:rsidRPr="00EC75B7">
              <w:rPr>
                <w:rFonts w:ascii="Verdana" w:hAnsi="Verdana"/>
                <w:sz w:val="18"/>
                <w:szCs w:val="18"/>
              </w:rPr>
              <w:tab/>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pacing w:val="-10"/>
                <w:sz w:val="18"/>
                <w:szCs w:val="18"/>
              </w:rPr>
              <w:t xml:space="preserve"> years </w:t>
            </w:r>
            <w:r w:rsidRPr="00EC75B7">
              <w:rPr>
                <w:rFonts w:ascii="Verdana" w:hAnsi="Verdana"/>
                <w:i/>
                <w:sz w:val="18"/>
                <w:szCs w:val="18"/>
              </w:rPr>
              <w:t xml:space="preserve">Myotis myotis - </w:t>
            </w:r>
            <w:r w:rsidRPr="00EC75B7">
              <w:rPr>
                <w:rFonts w:ascii="Verdana" w:hAnsi="Verdana"/>
                <w:sz w:val="18"/>
                <w:szCs w:val="18"/>
              </w:rPr>
              <w:t xml:space="preserve">maximum two individuals at an </w:t>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emarginatus </w:t>
            </w:r>
            <w:r w:rsidRPr="00EC75B7">
              <w:rPr>
                <w:rFonts w:ascii="Verdana" w:hAnsi="Verdana"/>
                <w:sz w:val="18"/>
                <w:szCs w:val="18"/>
              </w:rPr>
              <w:t xml:space="preserve">- 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capaccinii - </w:t>
            </w:r>
            <w:r w:rsidRPr="00EC75B7">
              <w:rPr>
                <w:rFonts w:ascii="Verdana" w:hAnsi="Verdana"/>
                <w:sz w:val="18"/>
                <w:szCs w:val="18"/>
              </w:rPr>
              <w:t xml:space="preserve">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blythii - </w:t>
            </w:r>
            <w:r w:rsidRPr="00EC75B7">
              <w:rPr>
                <w:rFonts w:ascii="Verdana" w:hAnsi="Verdana"/>
                <w:sz w:val="18"/>
                <w:szCs w:val="18"/>
              </w:rPr>
              <w:t xml:space="preserve">maximum two individuals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10"/>
                <w:sz w:val="18"/>
                <w:szCs w:val="18"/>
              </w:rPr>
              <w:t xml:space="preserve"> years </w:t>
            </w:r>
            <w:r w:rsidRPr="00EC75B7">
              <w:rPr>
                <w:rFonts w:ascii="Verdana" w:hAnsi="Verdana"/>
                <w:i/>
                <w:sz w:val="18"/>
                <w:szCs w:val="18"/>
              </w:rPr>
              <w:t xml:space="preserve">Myotis bechsteinii - </w:t>
            </w:r>
            <w:r w:rsidRPr="00EC75B7">
              <w:rPr>
                <w:rFonts w:ascii="Verdana" w:hAnsi="Verdana"/>
                <w:sz w:val="18"/>
                <w:szCs w:val="18"/>
              </w:rPr>
              <w:t xml:space="preserve">maximum one individual at an </w:t>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z w:val="18"/>
                <w:szCs w:val="18"/>
              </w:rPr>
              <w:tab/>
            </w:r>
            <w:r w:rsidRPr="00EC75B7">
              <w:rPr>
                <w:rFonts w:ascii="Verdana" w:hAnsi="Verdana"/>
                <w:spacing w:val="80"/>
                <w:sz w:val="18"/>
                <w:szCs w:val="18"/>
              </w:rPr>
              <w:t xml:space="preserve">   </w:t>
            </w:r>
            <w:r w:rsidRPr="00EC75B7">
              <w:rPr>
                <w:rFonts w:ascii="Verdana" w:hAnsi="Verdana"/>
                <w:sz w:val="18"/>
                <w:szCs w:val="18"/>
              </w:rPr>
              <w:t xml:space="preserve"> 10</w:t>
            </w:r>
            <w:r w:rsidRPr="00EC75B7">
              <w:rPr>
                <w:rFonts w:ascii="Verdana" w:hAnsi="Verdana"/>
                <w:spacing w:val="80"/>
                <w:sz w:val="18"/>
                <w:szCs w:val="18"/>
              </w:rPr>
              <w:t xml:space="preserve">   </w:t>
            </w:r>
            <w:r w:rsidRPr="00EC75B7">
              <w:rPr>
                <w:rFonts w:ascii="Verdana" w:hAnsi="Verdana"/>
                <w:sz w:val="18"/>
                <w:szCs w:val="18"/>
              </w:rPr>
              <w:t xml:space="preserve"> years </w:t>
            </w:r>
            <w:r w:rsidRPr="00EC75B7">
              <w:rPr>
                <w:rFonts w:ascii="Verdana" w:hAnsi="Verdana"/>
                <w:i/>
                <w:sz w:val="18"/>
                <w:szCs w:val="18"/>
              </w:rPr>
              <w:t xml:space="preserve">Barbastella barbastellus </w:t>
            </w:r>
            <w:r w:rsidRPr="00EC75B7">
              <w:rPr>
                <w:rFonts w:ascii="Verdana" w:hAnsi="Verdana"/>
                <w:sz w:val="18"/>
                <w:szCs w:val="18"/>
              </w:rPr>
              <w:t xml:space="preserve">- maximum two </w:t>
            </w:r>
            <w:r w:rsidRPr="00EC75B7">
              <w:rPr>
                <w:rFonts w:ascii="Verdana" w:hAnsi="Verdana"/>
                <w:spacing w:val="-2"/>
                <w:sz w:val="18"/>
                <w:szCs w:val="18"/>
              </w:rPr>
              <w:t>individuals</w:t>
            </w:r>
          </w:p>
          <w:p w14:paraId="7CD59406" w14:textId="77777777" w:rsidR="008715BE" w:rsidRPr="00EC75B7" w:rsidRDefault="00000000">
            <w:pPr>
              <w:pStyle w:val="TableParagraph"/>
              <w:spacing w:line="148" w:lineRule="exact"/>
              <w:ind w:left="117"/>
              <w:jc w:val="both"/>
              <w:rPr>
                <w:rFonts w:ascii="Verdana" w:hAnsi="Verdana"/>
                <w:sz w:val="18"/>
                <w:szCs w:val="18"/>
              </w:rPr>
            </w:pPr>
            <w:r w:rsidRPr="00EC75B7">
              <w:rPr>
                <w:rFonts w:ascii="Verdana" w:hAnsi="Verdana"/>
                <w:sz w:val="18"/>
                <w:szCs w:val="18"/>
              </w:rPr>
              <w:t>at</w:t>
            </w:r>
            <w:r w:rsidRPr="00EC75B7">
              <w:rPr>
                <w:rFonts w:ascii="Verdana" w:hAnsi="Verdana"/>
                <w:spacing w:val="-5"/>
                <w:sz w:val="18"/>
                <w:szCs w:val="18"/>
              </w:rPr>
              <w:t xml:space="preserve"> 10-year </w:t>
            </w:r>
            <w:r w:rsidRPr="00EC75B7">
              <w:rPr>
                <w:rFonts w:ascii="Verdana" w:hAnsi="Verdana"/>
                <w:sz w:val="18"/>
                <w:szCs w:val="18"/>
              </w:rPr>
              <w:t>intervals</w:t>
            </w:r>
          </w:p>
        </w:tc>
        <w:tc>
          <w:tcPr>
            <w:tcW w:w="1889" w:type="dxa"/>
          </w:tcPr>
          <w:p w14:paraId="289CAC2F" w14:textId="77777777" w:rsidR="008715BE" w:rsidRPr="00EC75B7" w:rsidRDefault="00000000">
            <w:pPr>
              <w:pStyle w:val="TableParagraph"/>
              <w:tabs>
                <w:tab w:val="left" w:pos="613"/>
                <w:tab w:val="left" w:pos="1599"/>
              </w:tabs>
              <w:spacing w:before="8"/>
              <w:ind w:left="119" w:right="80"/>
              <w:rPr>
                <w:rFonts w:ascii="Verdana" w:hAnsi="Verdana"/>
                <w:sz w:val="18"/>
                <w:szCs w:val="18"/>
              </w:rPr>
            </w:pPr>
            <w:r w:rsidRPr="00EC75B7">
              <w:rPr>
                <w:rFonts w:ascii="Verdana" w:hAnsi="Verdana"/>
                <w:spacing w:val="-2"/>
                <w:sz w:val="18"/>
                <w:szCs w:val="18"/>
              </w:rPr>
              <w:t xml:space="preserve">The </w:t>
            </w:r>
            <w:r w:rsidRPr="00EC75B7">
              <w:rPr>
                <w:rFonts w:ascii="Verdana" w:hAnsi="Verdana"/>
                <w:sz w:val="18"/>
                <w:szCs w:val="18"/>
              </w:rPr>
              <w:t xml:space="preserve">precautionary </w:t>
            </w:r>
            <w:r w:rsidRPr="00EC75B7">
              <w:rPr>
                <w:rFonts w:ascii="Verdana" w:hAnsi="Verdana"/>
                <w:spacing w:val="-2"/>
                <w:sz w:val="18"/>
                <w:szCs w:val="18"/>
              </w:rPr>
              <w:t xml:space="preserve">principle </w:t>
            </w:r>
            <w:r w:rsidRPr="00EC75B7">
              <w:rPr>
                <w:rFonts w:ascii="Verdana" w:hAnsi="Verdana"/>
                <w:sz w:val="18"/>
                <w:szCs w:val="18"/>
              </w:rPr>
              <w:t xml:space="preserve">and data </w:t>
            </w: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specialist literature</w:t>
            </w:r>
            <w:r w:rsidRPr="00EC75B7">
              <w:rPr>
                <w:rFonts w:ascii="Verdana" w:hAnsi="Verdana"/>
                <w:sz w:val="18"/>
                <w:szCs w:val="18"/>
              </w:rPr>
              <w:tab/>
            </w:r>
            <w:r w:rsidRPr="00EC75B7">
              <w:rPr>
                <w:rFonts w:ascii="Verdana" w:hAnsi="Verdana"/>
                <w:spacing w:val="-2"/>
                <w:sz w:val="18"/>
                <w:szCs w:val="18"/>
              </w:rPr>
              <w:t>specialist</w:t>
            </w:r>
            <w:r w:rsidRPr="00EC75B7">
              <w:rPr>
                <w:rFonts w:ascii="Verdana" w:hAnsi="Verdana"/>
                <w:spacing w:val="-6"/>
                <w:sz w:val="18"/>
                <w:szCs w:val="18"/>
              </w:rPr>
              <w:t xml:space="preserve"> literature</w:t>
            </w:r>
          </w:p>
          <w:p w14:paraId="1D86403F" w14:textId="77777777" w:rsidR="008715BE" w:rsidRPr="00EC75B7" w:rsidRDefault="00000000">
            <w:pPr>
              <w:pStyle w:val="TableParagraph"/>
              <w:tabs>
                <w:tab w:val="left" w:pos="1085"/>
              </w:tabs>
              <w:ind w:left="119" w:right="81"/>
              <w:rPr>
                <w:rFonts w:ascii="Verdana" w:hAnsi="Verdana"/>
                <w:sz w:val="18"/>
                <w:szCs w:val="18"/>
              </w:rPr>
            </w:pPr>
            <w:r w:rsidRPr="00EC75B7">
              <w:rPr>
                <w:rFonts w:ascii="Verdana" w:hAnsi="Verdana"/>
                <w:spacing w:val="-2"/>
                <w:sz w:val="18"/>
                <w:szCs w:val="18"/>
              </w:rPr>
              <w:t>Eurobats</w:t>
            </w:r>
            <w:r w:rsidRPr="00EC75B7">
              <w:rPr>
                <w:rFonts w:ascii="Verdana" w:hAnsi="Verdana"/>
                <w:sz w:val="18"/>
                <w:szCs w:val="18"/>
              </w:rPr>
              <w:tab/>
            </w:r>
            <w:r w:rsidRPr="00EC75B7">
              <w:rPr>
                <w:rFonts w:ascii="Verdana" w:hAnsi="Verdana"/>
                <w:spacing w:val="-4"/>
                <w:sz w:val="18"/>
                <w:szCs w:val="18"/>
              </w:rPr>
              <w:t>Eurobats 2023</w:t>
            </w:r>
          </w:p>
        </w:tc>
      </w:tr>
      <w:tr w:rsidR="008715BE" w:rsidRPr="00EC75B7" w14:paraId="241FB22E" w14:textId="77777777">
        <w:trPr>
          <w:trHeight w:val="582"/>
        </w:trPr>
        <w:tc>
          <w:tcPr>
            <w:tcW w:w="523" w:type="dxa"/>
            <w:vMerge/>
            <w:tcBorders>
              <w:top w:val="nil"/>
            </w:tcBorders>
            <w:textDirection w:val="btLr"/>
          </w:tcPr>
          <w:p w14:paraId="4A8D0E45" w14:textId="77777777" w:rsidR="008715BE" w:rsidRPr="00EC75B7" w:rsidRDefault="008715BE">
            <w:pPr>
              <w:rPr>
                <w:rFonts w:ascii="Verdana" w:hAnsi="Verdana"/>
                <w:sz w:val="18"/>
                <w:szCs w:val="18"/>
              </w:rPr>
            </w:pPr>
          </w:p>
        </w:tc>
        <w:tc>
          <w:tcPr>
            <w:tcW w:w="2323" w:type="dxa"/>
            <w:vMerge/>
            <w:tcBorders>
              <w:top w:val="nil"/>
            </w:tcBorders>
          </w:tcPr>
          <w:p w14:paraId="206957C4" w14:textId="77777777" w:rsidR="008715BE" w:rsidRPr="00EC75B7" w:rsidRDefault="008715BE">
            <w:pPr>
              <w:rPr>
                <w:rFonts w:ascii="Verdana" w:hAnsi="Verdana"/>
                <w:sz w:val="18"/>
                <w:szCs w:val="18"/>
              </w:rPr>
            </w:pPr>
          </w:p>
        </w:tc>
        <w:tc>
          <w:tcPr>
            <w:tcW w:w="3149" w:type="dxa"/>
          </w:tcPr>
          <w:p w14:paraId="0458C6DC"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Sudden change</w:t>
            </w:r>
            <w:r w:rsidRPr="00EC75B7">
              <w:rPr>
                <w:rFonts w:ascii="Verdana" w:hAnsi="Verdana"/>
                <w:spacing w:val="25"/>
                <w:sz w:val="18"/>
                <w:szCs w:val="18"/>
              </w:rPr>
              <w:t xml:space="preserve">  </w:t>
            </w:r>
            <w:r w:rsidRPr="00EC75B7">
              <w:rPr>
                <w:rFonts w:ascii="Verdana" w:hAnsi="Verdana"/>
                <w:sz w:val="18"/>
                <w:szCs w:val="18"/>
              </w:rPr>
              <w:t xml:space="preserve"> bruscă</w:t>
            </w:r>
            <w:r w:rsidRPr="00EC75B7">
              <w:rPr>
                <w:rFonts w:ascii="Verdana" w:hAnsi="Verdana"/>
                <w:spacing w:val="26"/>
                <w:sz w:val="18"/>
                <w:szCs w:val="18"/>
              </w:rPr>
              <w:t xml:space="preserve">  </w:t>
            </w:r>
            <w:r w:rsidRPr="00EC75B7">
              <w:rPr>
                <w:rFonts w:ascii="Verdana" w:hAnsi="Verdana"/>
                <w:sz w:val="18"/>
                <w:szCs w:val="18"/>
              </w:rPr>
              <w:t xml:space="preserve"> de</w:t>
            </w:r>
            <w:r w:rsidRPr="00EC75B7">
              <w:rPr>
                <w:rFonts w:ascii="Verdana" w:hAnsi="Verdana"/>
                <w:spacing w:val="26"/>
                <w:sz w:val="18"/>
                <w:szCs w:val="18"/>
              </w:rPr>
              <w:t xml:space="preserve">  </w:t>
            </w:r>
            <w:r w:rsidRPr="00EC75B7">
              <w:rPr>
                <w:rFonts w:ascii="Verdana" w:hAnsi="Verdana"/>
                <w:sz w:val="18"/>
                <w:szCs w:val="18"/>
              </w:rPr>
              <w:t xml:space="preserve"> pressure</w:t>
            </w:r>
            <w:r w:rsidRPr="00EC75B7">
              <w:rPr>
                <w:rFonts w:ascii="Verdana" w:hAnsi="Verdana"/>
                <w:spacing w:val="27"/>
                <w:sz w:val="18"/>
                <w:szCs w:val="18"/>
              </w:rPr>
              <w:t xml:space="preserve">  </w:t>
            </w:r>
            <w:r w:rsidRPr="00EC75B7">
              <w:rPr>
                <w:rFonts w:ascii="Verdana" w:hAnsi="Verdana"/>
                <w:spacing w:val="-5"/>
                <w:sz w:val="18"/>
                <w:szCs w:val="18"/>
              </w:rPr>
              <w:t xml:space="preserve"> in</w:t>
            </w:r>
          </w:p>
          <w:p w14:paraId="5CD1926E"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turbine </w:t>
            </w:r>
            <w:r w:rsidRPr="00EC75B7">
              <w:rPr>
                <w:rFonts w:ascii="Verdana" w:hAnsi="Verdana"/>
                <w:sz w:val="18"/>
                <w:szCs w:val="18"/>
              </w:rPr>
              <w:t>blade range</w:t>
            </w:r>
            <w:r w:rsidRPr="00EC75B7">
              <w:rPr>
                <w:rFonts w:ascii="Verdana" w:hAnsi="Verdana"/>
                <w:spacing w:val="-2"/>
                <w:sz w:val="18"/>
                <w:szCs w:val="18"/>
              </w:rPr>
              <w:t>,</w:t>
            </w:r>
          </w:p>
        </w:tc>
        <w:tc>
          <w:tcPr>
            <w:tcW w:w="1106" w:type="dxa"/>
          </w:tcPr>
          <w:p w14:paraId="6EEB5BC0"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REP</w:t>
            </w:r>
          </w:p>
        </w:tc>
        <w:tc>
          <w:tcPr>
            <w:tcW w:w="1108" w:type="dxa"/>
          </w:tcPr>
          <w:p w14:paraId="562BD421"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None </w:t>
            </w:r>
            <w:r w:rsidRPr="00EC75B7">
              <w:rPr>
                <w:rFonts w:ascii="Verdana" w:hAnsi="Verdana"/>
                <w:spacing w:val="-2"/>
                <w:sz w:val="18"/>
                <w:szCs w:val="18"/>
              </w:rPr>
              <w:t>identified</w:t>
            </w:r>
          </w:p>
        </w:tc>
        <w:tc>
          <w:tcPr>
            <w:tcW w:w="1211" w:type="dxa"/>
          </w:tcPr>
          <w:p w14:paraId="6A75C7BC"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None </w:t>
            </w:r>
            <w:r w:rsidRPr="00EC75B7">
              <w:rPr>
                <w:rFonts w:ascii="Verdana" w:hAnsi="Verdana"/>
                <w:spacing w:val="-2"/>
                <w:sz w:val="18"/>
                <w:szCs w:val="18"/>
              </w:rPr>
              <w:t>identified</w:t>
            </w:r>
          </w:p>
        </w:tc>
        <w:tc>
          <w:tcPr>
            <w:tcW w:w="1389" w:type="dxa"/>
          </w:tcPr>
          <w:p w14:paraId="437C57A8"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were </w:t>
            </w:r>
            <w:r w:rsidRPr="00EC75B7">
              <w:rPr>
                <w:rFonts w:ascii="Verdana" w:hAnsi="Verdana"/>
                <w:spacing w:val="-2"/>
                <w:sz w:val="18"/>
                <w:szCs w:val="18"/>
              </w:rPr>
              <w:t>identified</w:t>
            </w:r>
          </w:p>
        </w:tc>
        <w:tc>
          <w:tcPr>
            <w:tcW w:w="1201" w:type="dxa"/>
          </w:tcPr>
          <w:p w14:paraId="143B9223"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on</w:t>
            </w:r>
          </w:p>
        </w:tc>
        <w:tc>
          <w:tcPr>
            <w:tcW w:w="1736" w:type="dxa"/>
          </w:tcPr>
          <w:p w14:paraId="4C6214D7" w14:textId="77777777" w:rsidR="008715BE" w:rsidRPr="00EC75B7" w:rsidRDefault="00000000">
            <w:pPr>
              <w:pStyle w:val="TableParagraph"/>
              <w:spacing w:line="194" w:lineRule="exact"/>
              <w:ind w:left="111" w:right="390"/>
              <w:rPr>
                <w:rFonts w:ascii="Verdana" w:hAnsi="Verdana"/>
                <w:i/>
                <w:sz w:val="18"/>
                <w:szCs w:val="18"/>
              </w:rPr>
            </w:pPr>
            <w:r w:rsidRPr="00EC75B7">
              <w:rPr>
                <w:rFonts w:ascii="Verdana" w:hAnsi="Verdana"/>
                <w:i/>
                <w:spacing w:val="-2"/>
                <w:sz w:val="18"/>
                <w:szCs w:val="18"/>
              </w:rPr>
              <w:t>Rhinolophus mehelyi Rhinolophus</w:t>
            </w:r>
          </w:p>
        </w:tc>
        <w:tc>
          <w:tcPr>
            <w:tcW w:w="1897" w:type="dxa"/>
          </w:tcPr>
          <w:p w14:paraId="69C66AEC"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7C00D25F" w14:textId="77777777" w:rsidR="008715BE" w:rsidRPr="00EC75B7" w:rsidRDefault="00000000">
            <w:pPr>
              <w:pStyle w:val="TableParagraph"/>
              <w:tabs>
                <w:tab w:val="left" w:pos="1523"/>
                <w:tab w:val="left" w:pos="2516"/>
                <w:tab w:val="left" w:pos="3521"/>
              </w:tabs>
              <w:spacing w:line="194" w:lineRule="exact"/>
              <w:ind w:left="117" w:right="82"/>
              <w:jc w:val="both"/>
              <w:rPr>
                <w:rFonts w:ascii="Verdana" w:hAnsi="Verdana"/>
                <w:sz w:val="18"/>
                <w:szCs w:val="18"/>
              </w:rPr>
            </w:pPr>
            <w:r w:rsidRPr="00EC75B7">
              <w:rPr>
                <w:rFonts w:ascii="Verdana" w:hAnsi="Verdana"/>
                <w:i/>
                <w:sz w:val="18"/>
                <w:szCs w:val="18"/>
              </w:rPr>
              <w:t xml:space="preserve">Rhinolophus mehelyi - </w:t>
            </w:r>
            <w:r w:rsidRPr="00EC75B7">
              <w:rPr>
                <w:rFonts w:ascii="Verdana" w:hAnsi="Verdana"/>
                <w:sz w:val="18"/>
                <w:szCs w:val="18"/>
              </w:rPr>
              <w:t xml:space="preserve">maximum one individual at a </w:t>
            </w:r>
            <w:r w:rsidRPr="00EC75B7">
              <w:rPr>
                <w:rFonts w:ascii="Verdana" w:hAnsi="Verdana"/>
                <w:spacing w:val="-2"/>
                <w:sz w:val="18"/>
                <w:szCs w:val="18"/>
              </w:rPr>
              <w:t>time</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Rhinolophus hipposideros - </w:t>
            </w:r>
            <w:r w:rsidRPr="00EC75B7">
              <w:rPr>
                <w:rFonts w:ascii="Verdana" w:hAnsi="Verdana"/>
                <w:sz w:val="18"/>
                <w:szCs w:val="18"/>
              </w:rPr>
              <w:t xml:space="preserve">maximum one </w:t>
            </w:r>
            <w:r w:rsidRPr="00EC75B7">
              <w:rPr>
                <w:rFonts w:ascii="Verdana" w:hAnsi="Verdana"/>
                <w:spacing w:val="-2"/>
                <w:sz w:val="18"/>
                <w:szCs w:val="18"/>
              </w:rPr>
              <w:t>individual</w:t>
            </w:r>
          </w:p>
        </w:tc>
        <w:tc>
          <w:tcPr>
            <w:tcW w:w="1889" w:type="dxa"/>
          </w:tcPr>
          <w:p w14:paraId="46938344" w14:textId="77777777" w:rsidR="008715BE" w:rsidRPr="00EC75B7" w:rsidRDefault="00000000">
            <w:pPr>
              <w:pStyle w:val="TableParagraph"/>
              <w:spacing w:before="8"/>
              <w:ind w:left="119" w:right="95"/>
              <w:rPr>
                <w:rFonts w:ascii="Verdana" w:hAnsi="Verdana"/>
                <w:sz w:val="18"/>
                <w:szCs w:val="18"/>
              </w:rPr>
            </w:pPr>
            <w:r w:rsidRPr="00EC75B7">
              <w:rPr>
                <w:rFonts w:ascii="Verdana" w:hAnsi="Verdana"/>
                <w:sz w:val="18"/>
                <w:szCs w:val="18"/>
              </w:rPr>
              <w:t xml:space="preserve">Precautionary </w:t>
            </w:r>
            <w:r w:rsidRPr="00EC75B7">
              <w:rPr>
                <w:rFonts w:ascii="Verdana" w:hAnsi="Verdana"/>
                <w:spacing w:val="-2"/>
                <w:sz w:val="18"/>
                <w:szCs w:val="18"/>
              </w:rPr>
              <w:t xml:space="preserve">principle </w:t>
            </w:r>
            <w:r w:rsidRPr="00EC75B7">
              <w:rPr>
                <w:rFonts w:ascii="Verdana" w:hAnsi="Verdana"/>
                <w:sz w:val="18"/>
                <w:szCs w:val="18"/>
              </w:rPr>
              <w:t>and data</w:t>
            </w:r>
          </w:p>
        </w:tc>
      </w:tr>
    </w:tbl>
    <w:p w14:paraId="6F034674"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6BB2D5BC" w14:textId="77777777" w:rsidR="008715BE" w:rsidRPr="00EC75B7"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EC75B7" w14:paraId="57AF3D16" w14:textId="77777777">
        <w:trPr>
          <w:trHeight w:val="842"/>
        </w:trPr>
        <w:tc>
          <w:tcPr>
            <w:tcW w:w="2846" w:type="dxa"/>
            <w:gridSpan w:val="2"/>
            <w:shd w:val="clear" w:color="auto" w:fill="00A1E8"/>
          </w:tcPr>
          <w:p w14:paraId="46BE8867" w14:textId="77777777" w:rsidR="008715BE" w:rsidRPr="00EC75B7" w:rsidRDefault="008715BE">
            <w:pPr>
              <w:pStyle w:val="TableParagraph"/>
              <w:spacing w:before="136"/>
              <w:rPr>
                <w:rFonts w:ascii="Verdana" w:hAnsi="Verdana"/>
                <w:b/>
                <w:sz w:val="18"/>
                <w:szCs w:val="18"/>
              </w:rPr>
            </w:pPr>
          </w:p>
          <w:p w14:paraId="1683C20B" w14:textId="77777777" w:rsidR="008715BE" w:rsidRPr="00EC75B7" w:rsidRDefault="00000000">
            <w:pPr>
              <w:pStyle w:val="TableParagraph"/>
              <w:spacing w:before="1"/>
              <w:ind w:left="914"/>
              <w:rPr>
                <w:rFonts w:ascii="Verdana" w:hAnsi="Verdana"/>
                <w:b/>
                <w:sz w:val="18"/>
                <w:szCs w:val="18"/>
              </w:rPr>
            </w:pPr>
            <w:r w:rsidRPr="00EC75B7">
              <w:rPr>
                <w:rFonts w:ascii="Verdana" w:hAnsi="Verdana"/>
                <w:b/>
                <w:color w:val="FFFFFF"/>
                <w:spacing w:val="-2"/>
                <w:sz w:val="18"/>
                <w:szCs w:val="18"/>
              </w:rPr>
              <w:t>Intervention</w:t>
            </w:r>
          </w:p>
        </w:tc>
        <w:tc>
          <w:tcPr>
            <w:tcW w:w="3149" w:type="dxa"/>
            <w:shd w:val="clear" w:color="auto" w:fill="00A1E8"/>
          </w:tcPr>
          <w:p w14:paraId="57B7E5AE" w14:textId="77777777" w:rsidR="008715BE" w:rsidRPr="00EC75B7" w:rsidRDefault="008715BE">
            <w:pPr>
              <w:pStyle w:val="TableParagraph"/>
              <w:spacing w:before="136"/>
              <w:rPr>
                <w:rFonts w:ascii="Verdana" w:hAnsi="Verdana"/>
                <w:b/>
                <w:sz w:val="18"/>
                <w:szCs w:val="18"/>
              </w:rPr>
            </w:pPr>
          </w:p>
          <w:p w14:paraId="44F31B34"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Effects</w:t>
            </w:r>
          </w:p>
        </w:tc>
        <w:tc>
          <w:tcPr>
            <w:tcW w:w="1106" w:type="dxa"/>
            <w:shd w:val="clear" w:color="auto" w:fill="00A1E8"/>
          </w:tcPr>
          <w:p w14:paraId="3D676F4F" w14:textId="77777777" w:rsidR="008715BE" w:rsidRPr="00EC75B7" w:rsidRDefault="008715BE">
            <w:pPr>
              <w:pStyle w:val="TableParagraph"/>
              <w:spacing w:before="40"/>
              <w:rPr>
                <w:rFonts w:ascii="Verdana" w:hAnsi="Verdana"/>
                <w:b/>
                <w:sz w:val="18"/>
                <w:szCs w:val="18"/>
              </w:rPr>
            </w:pPr>
          </w:p>
          <w:p w14:paraId="4426063C" w14:textId="77777777" w:rsidR="008715BE" w:rsidRPr="00EC75B7" w:rsidRDefault="00000000">
            <w:pPr>
              <w:pStyle w:val="TableParagraph"/>
              <w:spacing w:before="1"/>
              <w:ind w:left="240" w:right="87" w:hanging="132"/>
              <w:rPr>
                <w:rFonts w:ascii="Verdana" w:hAnsi="Verdana"/>
                <w:b/>
                <w:sz w:val="18"/>
                <w:szCs w:val="18"/>
              </w:rPr>
            </w:pPr>
            <w:r w:rsidRPr="00EC75B7">
              <w:rPr>
                <w:rFonts w:ascii="Verdana" w:hAnsi="Verdana"/>
                <w:b/>
                <w:color w:val="FFFFFF"/>
                <w:spacing w:val="-2"/>
                <w:sz w:val="18"/>
                <w:szCs w:val="18"/>
              </w:rPr>
              <w:t>Direct impacts</w:t>
            </w:r>
          </w:p>
        </w:tc>
        <w:tc>
          <w:tcPr>
            <w:tcW w:w="1108" w:type="dxa"/>
            <w:shd w:val="clear" w:color="auto" w:fill="00A1E8"/>
          </w:tcPr>
          <w:p w14:paraId="01CA1227" w14:textId="77777777" w:rsidR="008715BE" w:rsidRPr="00EC75B7" w:rsidRDefault="008715BE">
            <w:pPr>
              <w:pStyle w:val="TableParagraph"/>
              <w:spacing w:before="40"/>
              <w:rPr>
                <w:rFonts w:ascii="Verdana" w:hAnsi="Verdana"/>
                <w:b/>
                <w:sz w:val="18"/>
                <w:szCs w:val="18"/>
              </w:rPr>
            </w:pPr>
          </w:p>
          <w:p w14:paraId="40271A4A" w14:textId="77777777" w:rsidR="008715BE" w:rsidRPr="00EC75B7" w:rsidRDefault="00000000">
            <w:pPr>
              <w:pStyle w:val="TableParagraph"/>
              <w:spacing w:before="1"/>
              <w:ind w:left="157" w:right="88" w:hanging="48"/>
              <w:rPr>
                <w:rFonts w:ascii="Verdana" w:hAnsi="Verdana"/>
                <w:b/>
                <w:sz w:val="18"/>
                <w:szCs w:val="18"/>
              </w:rPr>
            </w:pPr>
            <w:r w:rsidRPr="00EC75B7">
              <w:rPr>
                <w:rFonts w:ascii="Verdana" w:hAnsi="Verdana"/>
                <w:b/>
                <w:color w:val="FFFFFF"/>
                <w:spacing w:val="-2"/>
                <w:sz w:val="18"/>
                <w:szCs w:val="18"/>
              </w:rPr>
              <w:t>Indirect impacts</w:t>
            </w:r>
          </w:p>
        </w:tc>
        <w:tc>
          <w:tcPr>
            <w:tcW w:w="1211" w:type="dxa"/>
            <w:shd w:val="clear" w:color="auto" w:fill="00A1E8"/>
          </w:tcPr>
          <w:p w14:paraId="37286499" w14:textId="77777777" w:rsidR="008715BE" w:rsidRPr="00EC75B7" w:rsidRDefault="008715BE">
            <w:pPr>
              <w:pStyle w:val="TableParagraph"/>
              <w:spacing w:before="40"/>
              <w:rPr>
                <w:rFonts w:ascii="Verdana" w:hAnsi="Verdana"/>
                <w:b/>
                <w:sz w:val="18"/>
                <w:szCs w:val="18"/>
              </w:rPr>
            </w:pPr>
          </w:p>
          <w:p w14:paraId="23A818A7" w14:textId="77777777" w:rsidR="008715BE" w:rsidRPr="00EC75B7" w:rsidRDefault="00000000">
            <w:pPr>
              <w:pStyle w:val="TableParagraph"/>
              <w:spacing w:before="1"/>
              <w:ind w:left="141" w:firstLine="16"/>
              <w:rPr>
                <w:rFonts w:ascii="Verdana" w:hAnsi="Verdana"/>
                <w:b/>
                <w:sz w:val="18"/>
                <w:szCs w:val="18"/>
              </w:rPr>
            </w:pPr>
            <w:r w:rsidRPr="00EC75B7">
              <w:rPr>
                <w:rFonts w:ascii="Verdana" w:hAnsi="Verdana"/>
                <w:b/>
                <w:color w:val="FFFFFF"/>
                <w:spacing w:val="-2"/>
                <w:sz w:val="18"/>
                <w:szCs w:val="18"/>
              </w:rPr>
              <w:t>Secondary impacts</w:t>
            </w:r>
          </w:p>
        </w:tc>
        <w:tc>
          <w:tcPr>
            <w:tcW w:w="1389" w:type="dxa"/>
            <w:shd w:val="clear" w:color="auto" w:fill="00A1E8"/>
          </w:tcPr>
          <w:p w14:paraId="02C674B2" w14:textId="77777777" w:rsidR="008715BE" w:rsidRPr="00EC75B7" w:rsidRDefault="008715BE">
            <w:pPr>
              <w:pStyle w:val="TableParagraph"/>
              <w:spacing w:before="40"/>
              <w:rPr>
                <w:rFonts w:ascii="Verdana" w:hAnsi="Verdana"/>
                <w:b/>
                <w:sz w:val="18"/>
                <w:szCs w:val="18"/>
              </w:rPr>
            </w:pPr>
          </w:p>
          <w:p w14:paraId="127782B8" w14:textId="77777777" w:rsidR="008715BE" w:rsidRPr="00EC75B7" w:rsidRDefault="00000000">
            <w:pPr>
              <w:pStyle w:val="TableParagraph"/>
              <w:spacing w:before="1"/>
              <w:ind w:left="200" w:right="182" w:firstLine="48"/>
              <w:rPr>
                <w:rFonts w:ascii="Verdana" w:hAnsi="Verdana"/>
                <w:b/>
                <w:sz w:val="18"/>
                <w:szCs w:val="18"/>
              </w:rPr>
            </w:pPr>
            <w:r w:rsidRPr="00EC75B7">
              <w:rPr>
                <w:rFonts w:ascii="Verdana" w:hAnsi="Verdana"/>
                <w:b/>
                <w:color w:val="FFFFFF"/>
                <w:spacing w:val="-2"/>
                <w:sz w:val="18"/>
                <w:szCs w:val="18"/>
              </w:rPr>
              <w:t>Cumulative impacts</w:t>
            </w:r>
          </w:p>
        </w:tc>
        <w:tc>
          <w:tcPr>
            <w:tcW w:w="1201" w:type="dxa"/>
            <w:shd w:val="clear" w:color="auto" w:fill="00A1E8"/>
          </w:tcPr>
          <w:p w14:paraId="0DDE8D36" w14:textId="77777777" w:rsidR="008715BE" w:rsidRPr="00EC75B7" w:rsidRDefault="00000000">
            <w:pPr>
              <w:pStyle w:val="TableParagraph"/>
              <w:spacing w:before="41"/>
              <w:ind w:left="157" w:right="95" w:hanging="44"/>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736" w:type="dxa"/>
            <w:shd w:val="clear" w:color="auto" w:fill="00A1E8"/>
          </w:tcPr>
          <w:p w14:paraId="2DDC1C39" w14:textId="77777777" w:rsidR="008715BE" w:rsidRPr="00EC75B7" w:rsidRDefault="008715BE">
            <w:pPr>
              <w:pStyle w:val="TableParagraph"/>
              <w:spacing w:before="136"/>
              <w:rPr>
                <w:rFonts w:ascii="Verdana" w:hAnsi="Verdana"/>
                <w:b/>
                <w:sz w:val="18"/>
                <w:szCs w:val="18"/>
              </w:rPr>
            </w:pPr>
          </w:p>
          <w:p w14:paraId="703374BF" w14:textId="77777777" w:rsidR="008715BE" w:rsidRPr="00EC75B7" w:rsidRDefault="00000000">
            <w:pPr>
              <w:pStyle w:val="TableParagraph"/>
              <w:spacing w:before="1"/>
              <w:ind w:left="202"/>
              <w:rPr>
                <w:rFonts w:ascii="Verdana" w:hAnsi="Verdana"/>
                <w:b/>
                <w:sz w:val="18"/>
                <w:szCs w:val="18"/>
              </w:rPr>
            </w:pPr>
            <w:r w:rsidRPr="00EC75B7">
              <w:rPr>
                <w:rFonts w:ascii="Verdana" w:hAnsi="Verdana"/>
                <w:b/>
                <w:color w:val="FFFFFF"/>
                <w:spacing w:val="-2"/>
                <w:sz w:val="18"/>
                <w:szCs w:val="18"/>
              </w:rPr>
              <w:t>Species/habitat</w:t>
            </w:r>
          </w:p>
        </w:tc>
        <w:tc>
          <w:tcPr>
            <w:tcW w:w="1897" w:type="dxa"/>
            <w:shd w:val="clear" w:color="auto" w:fill="00A1E8"/>
          </w:tcPr>
          <w:p w14:paraId="0112AC84" w14:textId="77777777" w:rsidR="008715BE" w:rsidRPr="00EC75B7" w:rsidRDefault="008715BE">
            <w:pPr>
              <w:pStyle w:val="TableParagraph"/>
              <w:spacing w:before="40"/>
              <w:rPr>
                <w:rFonts w:ascii="Verdana" w:hAnsi="Verdana"/>
                <w:b/>
                <w:sz w:val="18"/>
                <w:szCs w:val="18"/>
              </w:rPr>
            </w:pPr>
          </w:p>
          <w:p w14:paraId="4470F16F" w14:textId="77777777" w:rsidR="008715BE" w:rsidRPr="00EC75B7" w:rsidRDefault="00000000">
            <w:pPr>
              <w:pStyle w:val="TableParagraph"/>
              <w:spacing w:before="1" w:line="195" w:lineRule="exact"/>
              <w:ind w:left="396"/>
              <w:rPr>
                <w:rFonts w:ascii="Verdana" w:hAnsi="Verdana"/>
                <w:b/>
                <w:sz w:val="18"/>
                <w:szCs w:val="18"/>
              </w:rPr>
            </w:pPr>
            <w:r w:rsidRPr="00EC75B7">
              <w:rPr>
                <w:rFonts w:ascii="Verdana" w:hAnsi="Verdana"/>
                <w:b/>
                <w:color w:val="FFFFFF"/>
                <w:sz w:val="18"/>
                <w:szCs w:val="18"/>
              </w:rPr>
              <w:t>Param</w:t>
            </w:r>
            <w:r w:rsidRPr="00EC75B7">
              <w:rPr>
                <w:rFonts w:ascii="Verdana" w:hAnsi="Verdana"/>
                <w:b/>
                <w:color w:val="FFFFFF"/>
                <w:spacing w:val="-10"/>
                <w:sz w:val="18"/>
                <w:szCs w:val="18"/>
              </w:rPr>
              <w:t>eter</w:t>
            </w:r>
            <w:r w:rsidRPr="00EC75B7">
              <w:rPr>
                <w:rFonts w:ascii="Verdana" w:hAnsi="Verdana"/>
                <w:b/>
                <w:color w:val="FFFFFF"/>
                <w:sz w:val="18"/>
                <w:szCs w:val="18"/>
              </w:rPr>
              <w:t>/</w:t>
            </w:r>
          </w:p>
          <w:p w14:paraId="3BEB12FB" w14:textId="77777777" w:rsidR="008715BE" w:rsidRPr="00EC75B7" w:rsidRDefault="00000000">
            <w:pPr>
              <w:pStyle w:val="TableParagraph"/>
              <w:spacing w:line="195" w:lineRule="exact"/>
              <w:ind w:left="350"/>
              <w:rPr>
                <w:rFonts w:ascii="Verdana" w:hAnsi="Verdana"/>
                <w:b/>
                <w:sz w:val="18"/>
                <w:szCs w:val="18"/>
              </w:rPr>
            </w:pPr>
            <w:r w:rsidRPr="00EC75B7">
              <w:rPr>
                <w:rFonts w:ascii="Verdana" w:hAnsi="Verdana"/>
                <w:b/>
                <w:color w:val="FFFFFF"/>
                <w:spacing w:val="-2"/>
                <w:sz w:val="18"/>
                <w:szCs w:val="18"/>
              </w:rPr>
              <w:t>affected</w:t>
            </w:r>
            <w:r w:rsidRPr="00EC75B7">
              <w:rPr>
                <w:rFonts w:ascii="Verdana" w:hAnsi="Verdana"/>
                <w:b/>
                <w:color w:val="FFFFFF"/>
                <w:sz w:val="18"/>
                <w:szCs w:val="18"/>
              </w:rPr>
              <w:t xml:space="preserve"> target</w:t>
            </w:r>
          </w:p>
        </w:tc>
        <w:tc>
          <w:tcPr>
            <w:tcW w:w="3860" w:type="dxa"/>
            <w:shd w:val="clear" w:color="auto" w:fill="00A1E8"/>
          </w:tcPr>
          <w:p w14:paraId="4443FC74" w14:textId="77777777" w:rsidR="008715BE" w:rsidRPr="00EC75B7" w:rsidRDefault="008715BE">
            <w:pPr>
              <w:pStyle w:val="TableParagraph"/>
              <w:spacing w:before="40"/>
              <w:rPr>
                <w:rFonts w:ascii="Verdana" w:hAnsi="Verdana"/>
                <w:b/>
                <w:sz w:val="18"/>
                <w:szCs w:val="18"/>
              </w:rPr>
            </w:pPr>
          </w:p>
          <w:p w14:paraId="7F38BCBD" w14:textId="77777777" w:rsidR="008715BE" w:rsidRPr="00EC75B7" w:rsidRDefault="00000000">
            <w:pPr>
              <w:pStyle w:val="TableParagraph"/>
              <w:spacing w:before="1"/>
              <w:ind w:left="1126" w:right="1098"/>
              <w:jc w:val="center"/>
              <w:rPr>
                <w:rFonts w:ascii="Verdana" w:hAnsi="Verdana"/>
                <w:b/>
                <w:sz w:val="18"/>
                <w:szCs w:val="18"/>
              </w:rPr>
            </w:pPr>
            <w:r w:rsidRPr="00EC75B7">
              <w:rPr>
                <w:rFonts w:ascii="Verdana" w:hAnsi="Verdana"/>
                <w:b/>
                <w:color w:val="FFFFFF"/>
                <w:spacing w:val="-2"/>
                <w:sz w:val="18"/>
                <w:szCs w:val="18"/>
              </w:rPr>
              <w:t>Impact quantification</w:t>
            </w:r>
          </w:p>
        </w:tc>
        <w:tc>
          <w:tcPr>
            <w:tcW w:w="1889" w:type="dxa"/>
            <w:shd w:val="clear" w:color="auto" w:fill="00A1E8"/>
          </w:tcPr>
          <w:p w14:paraId="3EAD8D41" w14:textId="77777777" w:rsidR="008715BE" w:rsidRPr="00EC75B7" w:rsidRDefault="008715BE">
            <w:pPr>
              <w:pStyle w:val="TableParagraph"/>
              <w:spacing w:before="40"/>
              <w:rPr>
                <w:rFonts w:ascii="Verdana" w:hAnsi="Verdana"/>
                <w:b/>
                <w:sz w:val="18"/>
                <w:szCs w:val="18"/>
              </w:rPr>
            </w:pPr>
          </w:p>
          <w:p w14:paraId="2310D45A" w14:textId="77777777" w:rsidR="008715BE" w:rsidRPr="00EC75B7" w:rsidRDefault="00000000">
            <w:pPr>
              <w:pStyle w:val="TableParagraph"/>
              <w:spacing w:before="1"/>
              <w:ind w:left="421" w:firstLine="208"/>
              <w:rPr>
                <w:rFonts w:ascii="Verdana" w:hAnsi="Verdana"/>
                <w:b/>
                <w:sz w:val="18"/>
                <w:szCs w:val="18"/>
              </w:rPr>
            </w:pPr>
            <w:r w:rsidRPr="00EC75B7">
              <w:rPr>
                <w:rFonts w:ascii="Verdana" w:hAnsi="Verdana"/>
                <w:b/>
                <w:color w:val="FFFFFF"/>
                <w:sz w:val="18"/>
                <w:szCs w:val="18"/>
              </w:rPr>
              <w:t xml:space="preserve">Method of </w:t>
            </w:r>
            <w:r w:rsidRPr="00EC75B7">
              <w:rPr>
                <w:rFonts w:ascii="Verdana" w:hAnsi="Verdana"/>
                <w:b/>
                <w:color w:val="FFFFFF"/>
                <w:spacing w:val="-2"/>
                <w:sz w:val="18"/>
                <w:szCs w:val="18"/>
              </w:rPr>
              <w:t>quantification</w:t>
            </w:r>
          </w:p>
        </w:tc>
      </w:tr>
      <w:tr w:rsidR="008715BE" w:rsidRPr="00EC75B7" w14:paraId="1A8C3234" w14:textId="77777777">
        <w:trPr>
          <w:trHeight w:val="4082"/>
        </w:trPr>
        <w:tc>
          <w:tcPr>
            <w:tcW w:w="523" w:type="dxa"/>
            <w:vMerge w:val="restart"/>
          </w:tcPr>
          <w:p w14:paraId="78C75E43" w14:textId="77777777" w:rsidR="008715BE" w:rsidRPr="00EC75B7" w:rsidRDefault="008715BE">
            <w:pPr>
              <w:pStyle w:val="TableParagraph"/>
              <w:rPr>
                <w:rFonts w:ascii="Verdana" w:hAnsi="Verdana"/>
                <w:sz w:val="18"/>
                <w:szCs w:val="18"/>
              </w:rPr>
            </w:pPr>
          </w:p>
        </w:tc>
        <w:tc>
          <w:tcPr>
            <w:tcW w:w="2323" w:type="dxa"/>
          </w:tcPr>
          <w:p w14:paraId="1378386A" w14:textId="77777777" w:rsidR="008715BE" w:rsidRPr="00EC75B7" w:rsidRDefault="008715BE">
            <w:pPr>
              <w:pStyle w:val="TableParagraph"/>
              <w:rPr>
                <w:rFonts w:ascii="Verdana" w:hAnsi="Verdana"/>
                <w:sz w:val="18"/>
                <w:szCs w:val="18"/>
              </w:rPr>
            </w:pPr>
          </w:p>
        </w:tc>
        <w:tc>
          <w:tcPr>
            <w:tcW w:w="3149" w:type="dxa"/>
          </w:tcPr>
          <w:p w14:paraId="0618E898" w14:textId="77777777" w:rsidR="008715BE" w:rsidRPr="00EC75B7" w:rsidRDefault="00000000">
            <w:pPr>
              <w:pStyle w:val="TableParagraph"/>
              <w:spacing w:before="8"/>
              <w:ind w:left="108" w:right="93"/>
              <w:rPr>
                <w:rFonts w:ascii="Verdana" w:hAnsi="Verdana"/>
                <w:sz w:val="18"/>
                <w:szCs w:val="18"/>
              </w:rPr>
            </w:pPr>
            <w:r w:rsidRPr="00EC75B7">
              <w:rPr>
                <w:rFonts w:ascii="Verdana" w:hAnsi="Verdana"/>
                <w:sz w:val="18"/>
                <w:szCs w:val="18"/>
              </w:rPr>
              <w:t xml:space="preserve">but also below this (approx. 5 m) - </w:t>
            </w:r>
            <w:r w:rsidRPr="00EC75B7">
              <w:rPr>
                <w:rFonts w:ascii="Verdana" w:hAnsi="Verdana"/>
                <w:spacing w:val="-2"/>
                <w:sz w:val="18"/>
                <w:szCs w:val="18"/>
              </w:rPr>
              <w:t>barotrauma</w:t>
            </w:r>
          </w:p>
        </w:tc>
        <w:tc>
          <w:tcPr>
            <w:tcW w:w="1106" w:type="dxa"/>
          </w:tcPr>
          <w:p w14:paraId="049FB789" w14:textId="77777777" w:rsidR="008715BE" w:rsidRPr="00EC75B7" w:rsidRDefault="008715BE">
            <w:pPr>
              <w:pStyle w:val="TableParagraph"/>
              <w:rPr>
                <w:rFonts w:ascii="Verdana" w:hAnsi="Verdana"/>
                <w:sz w:val="18"/>
                <w:szCs w:val="18"/>
              </w:rPr>
            </w:pPr>
          </w:p>
        </w:tc>
        <w:tc>
          <w:tcPr>
            <w:tcW w:w="1108" w:type="dxa"/>
          </w:tcPr>
          <w:p w14:paraId="7E50AB9A"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pacing w:val="-2"/>
                <w:sz w:val="18"/>
                <w:szCs w:val="18"/>
              </w:rPr>
              <w:t>indirect impacts</w:t>
            </w:r>
          </w:p>
        </w:tc>
        <w:tc>
          <w:tcPr>
            <w:tcW w:w="1211" w:type="dxa"/>
          </w:tcPr>
          <w:p w14:paraId="77D432EB"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secondary impacts</w:t>
            </w:r>
          </w:p>
        </w:tc>
        <w:tc>
          <w:tcPr>
            <w:tcW w:w="1389" w:type="dxa"/>
          </w:tcPr>
          <w:p w14:paraId="22B26ADE" w14:textId="77777777" w:rsidR="008715BE" w:rsidRPr="00EC75B7" w:rsidRDefault="00000000">
            <w:pPr>
              <w:pStyle w:val="TableParagraph"/>
              <w:spacing w:before="8"/>
              <w:ind w:left="108" w:right="182"/>
              <w:rPr>
                <w:rFonts w:ascii="Verdana" w:hAnsi="Verdana"/>
                <w:sz w:val="18"/>
                <w:szCs w:val="18"/>
              </w:rPr>
            </w:pPr>
            <w:r w:rsidRPr="00EC75B7">
              <w:rPr>
                <w:rFonts w:ascii="Verdana" w:hAnsi="Verdana"/>
                <w:spacing w:val="-2"/>
                <w:sz w:val="18"/>
                <w:szCs w:val="18"/>
              </w:rPr>
              <w:t>cumulative impacts</w:t>
            </w:r>
          </w:p>
        </w:tc>
        <w:tc>
          <w:tcPr>
            <w:tcW w:w="1201" w:type="dxa"/>
          </w:tcPr>
          <w:p w14:paraId="31BA861D" w14:textId="77777777" w:rsidR="008715BE" w:rsidRPr="00EC75B7" w:rsidRDefault="00000000">
            <w:pPr>
              <w:pStyle w:val="TableParagraph"/>
              <w:spacing w:before="8"/>
              <w:ind w:left="109" w:right="165"/>
              <w:rPr>
                <w:rFonts w:ascii="Verdana" w:hAnsi="Verdana"/>
                <w:sz w:val="18"/>
                <w:szCs w:val="18"/>
              </w:rPr>
            </w:pPr>
            <w:r w:rsidRPr="00EC75B7">
              <w:rPr>
                <w:rFonts w:ascii="Verdana" w:hAnsi="Verdana"/>
                <w:spacing w:val="-2"/>
                <w:sz w:val="18"/>
                <w:szCs w:val="18"/>
              </w:rPr>
              <w:t xml:space="preserve">long </w:t>
            </w:r>
            <w:r w:rsidRPr="00EC75B7">
              <w:rPr>
                <w:rFonts w:ascii="Verdana" w:hAnsi="Verdana"/>
                <w:spacing w:val="-4"/>
                <w:sz w:val="18"/>
                <w:szCs w:val="18"/>
              </w:rPr>
              <w:t>term</w:t>
            </w:r>
          </w:p>
        </w:tc>
        <w:tc>
          <w:tcPr>
            <w:tcW w:w="1736" w:type="dxa"/>
          </w:tcPr>
          <w:p w14:paraId="5BB7DA9A" w14:textId="77777777" w:rsidR="008715BE" w:rsidRPr="00EC75B7" w:rsidRDefault="00000000">
            <w:pPr>
              <w:pStyle w:val="TableParagraph"/>
              <w:spacing w:before="8"/>
              <w:ind w:left="111" w:right="72"/>
              <w:rPr>
                <w:rFonts w:ascii="Verdana" w:hAnsi="Verdana"/>
                <w:i/>
                <w:sz w:val="18"/>
                <w:szCs w:val="18"/>
              </w:rPr>
            </w:pPr>
            <w:r w:rsidRPr="00EC75B7">
              <w:rPr>
                <w:rFonts w:ascii="Verdana" w:hAnsi="Verdana"/>
                <w:i/>
                <w:spacing w:val="-2"/>
                <w:sz w:val="18"/>
                <w:szCs w:val="18"/>
              </w:rPr>
              <w:t xml:space="preserve">hipposideros Rhinolophus ferrumequinum Rhinolophus euryale </w:t>
            </w:r>
            <w:r w:rsidRPr="00EC75B7">
              <w:rPr>
                <w:rFonts w:ascii="Verdana" w:hAnsi="Verdana"/>
                <w:i/>
                <w:sz w:val="18"/>
                <w:szCs w:val="18"/>
              </w:rPr>
              <w:t xml:space="preserve">Rhinolophus blasii </w:t>
            </w:r>
            <w:r w:rsidRPr="00EC75B7">
              <w:rPr>
                <w:rFonts w:ascii="Verdana" w:hAnsi="Verdana"/>
                <w:i/>
                <w:spacing w:val="-2"/>
                <w:sz w:val="18"/>
                <w:szCs w:val="18"/>
              </w:rPr>
              <w:t>Miniopterus schreibersii</w:t>
            </w:r>
          </w:p>
          <w:p w14:paraId="374A3E81" w14:textId="77777777" w:rsidR="008715BE" w:rsidRPr="00EC75B7" w:rsidRDefault="00000000">
            <w:pPr>
              <w:pStyle w:val="TableParagraph"/>
              <w:tabs>
                <w:tab w:val="left" w:pos="859"/>
                <w:tab w:val="left" w:pos="1097"/>
                <w:tab w:val="left" w:pos="1142"/>
              </w:tabs>
              <w:ind w:left="111" w:right="89"/>
              <w:rPr>
                <w:rFonts w:ascii="Verdana" w:hAnsi="Verdana"/>
                <w:i/>
                <w:sz w:val="18"/>
                <w:szCs w:val="18"/>
              </w:rPr>
            </w:pPr>
            <w:r w:rsidRPr="00EC75B7">
              <w:rPr>
                <w:rFonts w:ascii="Verdana" w:hAnsi="Verdana"/>
                <w:i/>
                <w:spacing w:val="-2"/>
                <w:sz w:val="18"/>
                <w:szCs w:val="18"/>
              </w:rPr>
              <w:t>Myotis</w:t>
            </w:r>
            <w:r w:rsidRPr="00EC75B7">
              <w:rPr>
                <w:rFonts w:ascii="Verdana" w:hAnsi="Verdana"/>
                <w:i/>
                <w:sz w:val="18"/>
                <w:szCs w:val="18"/>
              </w:rPr>
              <w:tab/>
            </w:r>
            <w:r w:rsidRPr="00EC75B7">
              <w:rPr>
                <w:rFonts w:ascii="Verdana" w:hAnsi="Verdana"/>
                <w:i/>
                <w:sz w:val="18"/>
                <w:szCs w:val="18"/>
              </w:rPr>
              <w:tab/>
            </w:r>
            <w:r w:rsidRPr="00EC75B7">
              <w:rPr>
                <w:rFonts w:ascii="Verdana" w:hAnsi="Verdana"/>
                <w:i/>
                <w:spacing w:val="-2"/>
                <w:sz w:val="18"/>
                <w:szCs w:val="18"/>
              </w:rPr>
              <w:t>myotis Myotis emarginatus Myotis</w:t>
            </w:r>
            <w:r w:rsidRPr="00EC75B7">
              <w:rPr>
                <w:rFonts w:ascii="Verdana" w:hAnsi="Verdana"/>
                <w:i/>
                <w:sz w:val="18"/>
                <w:szCs w:val="18"/>
              </w:rPr>
              <w:tab/>
            </w:r>
            <w:r w:rsidRPr="00EC75B7">
              <w:rPr>
                <w:rFonts w:ascii="Verdana" w:hAnsi="Verdana"/>
                <w:i/>
                <w:spacing w:val="-2"/>
                <w:sz w:val="18"/>
                <w:szCs w:val="18"/>
              </w:rPr>
              <w:t>capaccinii Myotis</w:t>
            </w:r>
            <w:r w:rsidRPr="00EC75B7">
              <w:rPr>
                <w:rFonts w:ascii="Verdana" w:hAnsi="Verdana"/>
                <w:i/>
                <w:sz w:val="18"/>
                <w:szCs w:val="18"/>
              </w:rPr>
              <w:tab/>
            </w:r>
            <w:r w:rsidRPr="00EC75B7">
              <w:rPr>
                <w:rFonts w:ascii="Verdana" w:hAnsi="Verdana"/>
                <w:i/>
                <w:sz w:val="18"/>
                <w:szCs w:val="18"/>
              </w:rPr>
              <w:tab/>
            </w:r>
            <w:r w:rsidRPr="00EC75B7">
              <w:rPr>
                <w:rFonts w:ascii="Verdana" w:hAnsi="Verdana"/>
                <w:i/>
                <w:sz w:val="18"/>
                <w:szCs w:val="18"/>
              </w:rPr>
              <w:tab/>
            </w:r>
            <w:r w:rsidRPr="00EC75B7">
              <w:rPr>
                <w:rFonts w:ascii="Verdana" w:hAnsi="Verdana"/>
                <w:i/>
                <w:spacing w:val="-2"/>
                <w:sz w:val="18"/>
                <w:szCs w:val="18"/>
              </w:rPr>
              <w:t xml:space="preserve">blythii </w:t>
            </w:r>
            <w:r w:rsidRPr="00EC75B7">
              <w:rPr>
                <w:rFonts w:ascii="Verdana" w:hAnsi="Verdana"/>
                <w:i/>
                <w:sz w:val="18"/>
                <w:szCs w:val="18"/>
              </w:rPr>
              <w:t xml:space="preserve">Myotis bechsteinii </w:t>
            </w:r>
            <w:r w:rsidRPr="00EC75B7">
              <w:rPr>
                <w:rFonts w:ascii="Verdana" w:hAnsi="Verdana"/>
                <w:i/>
                <w:spacing w:val="-2"/>
                <w:sz w:val="18"/>
                <w:szCs w:val="18"/>
              </w:rPr>
              <w:t>Barbastella barbastellus</w:t>
            </w:r>
          </w:p>
        </w:tc>
        <w:tc>
          <w:tcPr>
            <w:tcW w:w="1897" w:type="dxa"/>
          </w:tcPr>
          <w:p w14:paraId="364CBEAB" w14:textId="77777777" w:rsidR="008715BE" w:rsidRPr="00EC75B7" w:rsidRDefault="008715BE">
            <w:pPr>
              <w:pStyle w:val="TableParagraph"/>
              <w:rPr>
                <w:rFonts w:ascii="Verdana" w:hAnsi="Verdana"/>
                <w:sz w:val="18"/>
                <w:szCs w:val="18"/>
              </w:rPr>
            </w:pPr>
          </w:p>
        </w:tc>
        <w:tc>
          <w:tcPr>
            <w:tcW w:w="3860" w:type="dxa"/>
          </w:tcPr>
          <w:p w14:paraId="393B7DDD" w14:textId="77777777" w:rsidR="008715BE" w:rsidRPr="00EC75B7"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EC75B7">
              <w:rPr>
                <w:rFonts w:ascii="Verdana" w:hAnsi="Verdana"/>
                <w:spacing w:val="-6"/>
                <w:sz w:val="18"/>
                <w:szCs w:val="18"/>
              </w:rPr>
              <w:t>at</w:t>
            </w:r>
            <w:r w:rsidRPr="00EC75B7">
              <w:rPr>
                <w:rFonts w:ascii="Verdana" w:hAnsi="Verdana"/>
                <w:sz w:val="18"/>
                <w:szCs w:val="18"/>
              </w:rPr>
              <w:tab/>
            </w:r>
            <w:r w:rsidRPr="00EC75B7">
              <w:rPr>
                <w:rFonts w:ascii="Verdana" w:hAnsi="Verdana"/>
                <w:spacing w:val="-6"/>
                <w:sz w:val="18"/>
                <w:szCs w:val="18"/>
              </w:rPr>
              <w:t>one</w:t>
            </w:r>
            <w:r w:rsidRPr="00EC75B7">
              <w:rPr>
                <w:rFonts w:ascii="Verdana" w:hAnsi="Verdana"/>
                <w:sz w:val="18"/>
                <w:szCs w:val="18"/>
              </w:rPr>
              <w:tab/>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pacing w:val="-10"/>
                <w:sz w:val="18"/>
                <w:szCs w:val="18"/>
              </w:rPr>
              <w:t xml:space="preserve"> years </w:t>
            </w:r>
            <w:r w:rsidRPr="00EC75B7">
              <w:rPr>
                <w:rFonts w:ascii="Verdana" w:hAnsi="Verdana"/>
                <w:i/>
                <w:sz w:val="18"/>
                <w:szCs w:val="18"/>
              </w:rPr>
              <w:t xml:space="preserve">Rhinolophus ferrumequinum - </w:t>
            </w:r>
            <w:r w:rsidRPr="00EC75B7">
              <w:rPr>
                <w:rFonts w:ascii="Verdana" w:hAnsi="Verdana"/>
                <w:sz w:val="18"/>
                <w:szCs w:val="18"/>
              </w:rPr>
              <w:t xml:space="preserve">maximum two individuals at an interval of 10 years </w:t>
            </w:r>
            <w:r w:rsidRPr="00EC75B7">
              <w:rPr>
                <w:rFonts w:ascii="Verdana" w:hAnsi="Verdana"/>
                <w:i/>
                <w:sz w:val="18"/>
                <w:szCs w:val="18"/>
              </w:rPr>
              <w:t xml:space="preserve">Rhinolophus euryale </w:t>
            </w:r>
            <w:r w:rsidRPr="00EC75B7">
              <w:rPr>
                <w:rFonts w:ascii="Verdana" w:hAnsi="Verdana"/>
                <w:sz w:val="18"/>
                <w:szCs w:val="18"/>
              </w:rPr>
              <w:t xml:space="preserve">- maximum one individual at an </w:t>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Rhinolophus blasii </w:t>
            </w:r>
            <w:r w:rsidRPr="00EC75B7">
              <w:rPr>
                <w:rFonts w:ascii="Verdana" w:hAnsi="Verdana"/>
                <w:sz w:val="18"/>
                <w:szCs w:val="18"/>
              </w:rPr>
              <w:t xml:space="preserve">- 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Miniopterus schreibersii </w:t>
            </w:r>
            <w:r w:rsidRPr="00EC75B7">
              <w:rPr>
                <w:rFonts w:ascii="Verdana" w:hAnsi="Verdana"/>
                <w:sz w:val="18"/>
                <w:szCs w:val="18"/>
              </w:rPr>
              <w:t xml:space="preserve">- maximum two individuals </w:t>
            </w:r>
            <w:r w:rsidRPr="00EC75B7">
              <w:rPr>
                <w:rFonts w:ascii="Verdana" w:hAnsi="Verdana"/>
                <w:spacing w:val="-6"/>
                <w:sz w:val="18"/>
                <w:szCs w:val="18"/>
              </w:rPr>
              <w:t>at</w:t>
            </w:r>
            <w:r w:rsidRPr="00EC75B7">
              <w:rPr>
                <w:rFonts w:ascii="Verdana" w:hAnsi="Verdana"/>
                <w:sz w:val="18"/>
                <w:szCs w:val="18"/>
              </w:rPr>
              <w:tab/>
            </w:r>
            <w:r w:rsidRPr="00EC75B7">
              <w:rPr>
                <w:rFonts w:ascii="Verdana" w:hAnsi="Verdana"/>
                <w:spacing w:val="-6"/>
                <w:sz w:val="18"/>
                <w:szCs w:val="18"/>
              </w:rPr>
              <w:t>one</w:t>
            </w:r>
            <w:r w:rsidRPr="00EC75B7">
              <w:rPr>
                <w:rFonts w:ascii="Verdana" w:hAnsi="Verdana"/>
                <w:sz w:val="18"/>
                <w:szCs w:val="18"/>
              </w:rPr>
              <w:tab/>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pacing w:val="-10"/>
                <w:sz w:val="18"/>
                <w:szCs w:val="18"/>
              </w:rPr>
              <w:t xml:space="preserve"> years </w:t>
            </w:r>
            <w:r w:rsidRPr="00EC75B7">
              <w:rPr>
                <w:rFonts w:ascii="Verdana" w:hAnsi="Verdana"/>
                <w:i/>
                <w:sz w:val="18"/>
                <w:szCs w:val="18"/>
              </w:rPr>
              <w:t xml:space="preserve">Myotis myotis - </w:t>
            </w:r>
            <w:r w:rsidRPr="00EC75B7">
              <w:rPr>
                <w:rFonts w:ascii="Verdana" w:hAnsi="Verdana"/>
                <w:sz w:val="18"/>
                <w:szCs w:val="18"/>
              </w:rPr>
              <w:t xml:space="preserve">maximum two individuals at an </w:t>
            </w:r>
            <w:r w:rsidRPr="00EC75B7">
              <w:rPr>
                <w:rFonts w:ascii="Verdana" w:hAnsi="Verdana"/>
                <w:spacing w:val="-2"/>
                <w:sz w:val="18"/>
                <w:szCs w:val="18"/>
              </w:rPr>
              <w:t>interval</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emarginatus </w:t>
            </w:r>
            <w:r w:rsidRPr="00EC75B7">
              <w:rPr>
                <w:rFonts w:ascii="Verdana" w:hAnsi="Verdana"/>
                <w:sz w:val="18"/>
                <w:szCs w:val="18"/>
              </w:rPr>
              <w:t xml:space="preserve">- 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capaccinii - </w:t>
            </w:r>
            <w:r w:rsidRPr="00EC75B7">
              <w:rPr>
                <w:rFonts w:ascii="Verdana" w:hAnsi="Verdana"/>
                <w:sz w:val="18"/>
                <w:szCs w:val="18"/>
              </w:rPr>
              <w:t xml:space="preserve">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blythii - </w:t>
            </w:r>
            <w:r w:rsidRPr="00EC75B7">
              <w:rPr>
                <w:rFonts w:ascii="Verdana" w:hAnsi="Verdana"/>
                <w:sz w:val="18"/>
                <w:szCs w:val="18"/>
              </w:rPr>
              <w:t xml:space="preserve">maximum two individuals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Myotis bechsteinii - </w:t>
            </w:r>
            <w:r w:rsidRPr="00EC75B7">
              <w:rPr>
                <w:rFonts w:ascii="Verdana" w:hAnsi="Verdana"/>
                <w:sz w:val="18"/>
                <w:szCs w:val="18"/>
              </w:rPr>
              <w:t xml:space="preserve">maximum one individual at an </w:t>
            </w:r>
            <w:r w:rsidRPr="00EC75B7">
              <w:rPr>
                <w:rFonts w:ascii="Verdana" w:hAnsi="Verdana"/>
                <w:spacing w:val="-2"/>
                <w:sz w:val="18"/>
                <w:szCs w:val="18"/>
              </w:rPr>
              <w:t>interval 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10</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years </w:t>
            </w:r>
            <w:r w:rsidRPr="00EC75B7">
              <w:rPr>
                <w:rFonts w:ascii="Verdana" w:hAnsi="Verdana"/>
                <w:i/>
                <w:sz w:val="18"/>
                <w:szCs w:val="18"/>
              </w:rPr>
              <w:t xml:space="preserve">Barbastella barbastellus </w:t>
            </w:r>
            <w:r w:rsidRPr="00EC75B7">
              <w:rPr>
                <w:rFonts w:ascii="Verdana" w:hAnsi="Verdana"/>
                <w:sz w:val="18"/>
                <w:szCs w:val="18"/>
              </w:rPr>
              <w:t xml:space="preserve">- maximum two </w:t>
            </w:r>
            <w:r w:rsidRPr="00EC75B7">
              <w:rPr>
                <w:rFonts w:ascii="Verdana" w:hAnsi="Verdana"/>
                <w:spacing w:val="-2"/>
                <w:sz w:val="18"/>
                <w:szCs w:val="18"/>
              </w:rPr>
              <w:t>individuals</w:t>
            </w:r>
          </w:p>
          <w:p w14:paraId="3A5855A9" w14:textId="77777777" w:rsidR="008715BE" w:rsidRPr="00EC75B7" w:rsidRDefault="00000000">
            <w:pPr>
              <w:pStyle w:val="TableParagraph"/>
              <w:spacing w:line="148" w:lineRule="exact"/>
              <w:ind w:left="117"/>
              <w:jc w:val="both"/>
              <w:rPr>
                <w:rFonts w:ascii="Verdana" w:hAnsi="Verdana"/>
                <w:sz w:val="18"/>
                <w:szCs w:val="18"/>
              </w:rPr>
            </w:pPr>
            <w:r w:rsidRPr="00EC75B7">
              <w:rPr>
                <w:rFonts w:ascii="Verdana" w:hAnsi="Verdana"/>
                <w:sz w:val="18"/>
                <w:szCs w:val="18"/>
              </w:rPr>
              <w:t>at</w:t>
            </w:r>
            <w:r w:rsidRPr="00EC75B7">
              <w:rPr>
                <w:rFonts w:ascii="Verdana" w:hAnsi="Verdana"/>
                <w:spacing w:val="-5"/>
                <w:sz w:val="18"/>
                <w:szCs w:val="18"/>
              </w:rPr>
              <w:t xml:space="preserve"> 10-year </w:t>
            </w:r>
            <w:r w:rsidRPr="00EC75B7">
              <w:rPr>
                <w:rFonts w:ascii="Verdana" w:hAnsi="Verdana"/>
                <w:sz w:val="18"/>
                <w:szCs w:val="18"/>
              </w:rPr>
              <w:t>intervals</w:t>
            </w:r>
          </w:p>
        </w:tc>
        <w:tc>
          <w:tcPr>
            <w:tcW w:w="1889" w:type="dxa"/>
          </w:tcPr>
          <w:p w14:paraId="69DB0E15" w14:textId="77777777" w:rsidR="008715BE" w:rsidRPr="00EC75B7" w:rsidRDefault="00000000">
            <w:pPr>
              <w:pStyle w:val="TableParagraph"/>
              <w:tabs>
                <w:tab w:val="left" w:pos="613"/>
                <w:tab w:val="left" w:pos="1599"/>
              </w:tabs>
              <w:spacing w:before="8"/>
              <w:ind w:left="119" w:right="81"/>
              <w:rPr>
                <w:rFonts w:ascii="Verdana" w:hAnsi="Verdana"/>
                <w:sz w:val="18"/>
                <w:szCs w:val="18"/>
              </w:rPr>
            </w:pP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specialized</w:t>
            </w:r>
            <w:r w:rsidRPr="00EC75B7">
              <w:rPr>
                <w:rFonts w:ascii="Verdana" w:hAnsi="Verdana"/>
                <w:sz w:val="18"/>
                <w:szCs w:val="18"/>
              </w:rPr>
              <w:tab/>
            </w:r>
            <w:r w:rsidRPr="00EC75B7">
              <w:rPr>
                <w:rFonts w:ascii="Verdana" w:hAnsi="Verdana"/>
                <w:spacing w:val="-2"/>
                <w:sz w:val="18"/>
                <w:szCs w:val="18"/>
              </w:rPr>
              <w:t>of</w:t>
            </w:r>
          </w:p>
          <w:p w14:paraId="13B825BB" w14:textId="77777777" w:rsidR="008715BE" w:rsidRPr="00EC75B7" w:rsidRDefault="00000000">
            <w:pPr>
              <w:pStyle w:val="TableParagraph"/>
              <w:tabs>
                <w:tab w:val="left" w:pos="1085"/>
              </w:tabs>
              <w:ind w:left="119" w:right="81"/>
              <w:rPr>
                <w:rFonts w:ascii="Verdana" w:hAnsi="Verdana"/>
                <w:sz w:val="18"/>
                <w:szCs w:val="18"/>
              </w:rPr>
            </w:pPr>
            <w:r w:rsidRPr="00EC75B7">
              <w:rPr>
                <w:rFonts w:ascii="Verdana" w:hAnsi="Verdana"/>
                <w:spacing w:val="-2"/>
                <w:sz w:val="18"/>
                <w:szCs w:val="18"/>
              </w:rPr>
              <w:t>Eurobats</w:t>
            </w:r>
            <w:r w:rsidRPr="00EC75B7">
              <w:rPr>
                <w:rFonts w:ascii="Verdana" w:hAnsi="Verdana"/>
                <w:sz w:val="18"/>
                <w:szCs w:val="18"/>
              </w:rPr>
              <w:tab/>
            </w:r>
            <w:r w:rsidRPr="00EC75B7">
              <w:rPr>
                <w:rFonts w:ascii="Verdana" w:hAnsi="Verdana"/>
                <w:spacing w:val="-4"/>
                <w:sz w:val="18"/>
                <w:szCs w:val="18"/>
              </w:rPr>
              <w:t>Eurobats 2023</w:t>
            </w:r>
          </w:p>
        </w:tc>
      </w:tr>
      <w:tr w:rsidR="008715BE" w:rsidRPr="00EC75B7" w14:paraId="2A5C52B0" w14:textId="77777777">
        <w:trPr>
          <w:trHeight w:val="2917"/>
        </w:trPr>
        <w:tc>
          <w:tcPr>
            <w:tcW w:w="523" w:type="dxa"/>
            <w:vMerge/>
            <w:tcBorders>
              <w:top w:val="nil"/>
            </w:tcBorders>
          </w:tcPr>
          <w:p w14:paraId="0F6EC25F" w14:textId="77777777" w:rsidR="008715BE" w:rsidRPr="00EC75B7" w:rsidRDefault="008715BE">
            <w:pPr>
              <w:rPr>
                <w:rFonts w:ascii="Verdana" w:hAnsi="Verdana"/>
                <w:sz w:val="18"/>
                <w:szCs w:val="18"/>
              </w:rPr>
            </w:pPr>
          </w:p>
        </w:tc>
        <w:tc>
          <w:tcPr>
            <w:tcW w:w="2323" w:type="dxa"/>
            <w:vMerge w:val="restart"/>
          </w:tcPr>
          <w:p w14:paraId="272362F2" w14:textId="77777777" w:rsidR="008715BE" w:rsidRPr="00EC75B7" w:rsidRDefault="00000000">
            <w:pPr>
              <w:pStyle w:val="TableParagraph"/>
              <w:spacing w:before="8"/>
              <w:ind w:left="105"/>
              <w:rPr>
                <w:rFonts w:ascii="Verdana" w:hAnsi="Verdana"/>
                <w:sz w:val="18"/>
                <w:szCs w:val="18"/>
              </w:rPr>
            </w:pPr>
            <w:r w:rsidRPr="00EC75B7">
              <w:rPr>
                <w:rFonts w:ascii="Verdana" w:hAnsi="Verdana"/>
                <w:sz w:val="18"/>
                <w:szCs w:val="18"/>
              </w:rPr>
              <w:t xml:space="preserve">Maintenance and </w:t>
            </w:r>
            <w:r w:rsidRPr="00EC75B7">
              <w:rPr>
                <w:rFonts w:ascii="Verdana" w:hAnsi="Verdana"/>
                <w:spacing w:val="-2"/>
                <w:sz w:val="18"/>
                <w:szCs w:val="18"/>
              </w:rPr>
              <w:t xml:space="preserve">repair </w:t>
            </w:r>
            <w:r w:rsidRPr="00EC75B7">
              <w:rPr>
                <w:rFonts w:ascii="Verdana" w:hAnsi="Verdana"/>
                <w:sz w:val="18"/>
                <w:szCs w:val="18"/>
              </w:rPr>
              <w:t>works</w:t>
            </w:r>
          </w:p>
        </w:tc>
        <w:tc>
          <w:tcPr>
            <w:tcW w:w="3149" w:type="dxa"/>
          </w:tcPr>
          <w:p w14:paraId="1397ACBE" w14:textId="77777777" w:rsidR="008715BE" w:rsidRPr="00EC75B7" w:rsidRDefault="00000000">
            <w:pPr>
              <w:pStyle w:val="TableParagraph"/>
              <w:spacing w:before="8"/>
              <w:ind w:left="108" w:right="93"/>
              <w:jc w:val="both"/>
              <w:rPr>
                <w:rFonts w:ascii="Verdana" w:hAnsi="Verdana"/>
                <w:sz w:val="18"/>
                <w:szCs w:val="18"/>
              </w:rPr>
            </w:pPr>
            <w:r w:rsidRPr="00EC75B7">
              <w:rPr>
                <w:rFonts w:ascii="Verdana" w:hAnsi="Verdana"/>
                <w:sz w:val="18"/>
                <w:szCs w:val="18"/>
              </w:rPr>
              <w:t xml:space="preserve">Collision of wildlife with vehicle traffic on access roads/machinery in the </w:t>
            </w:r>
            <w:r w:rsidRPr="00EC75B7">
              <w:rPr>
                <w:rFonts w:ascii="Verdana" w:hAnsi="Verdana"/>
                <w:spacing w:val="-2"/>
                <w:sz w:val="18"/>
                <w:szCs w:val="18"/>
              </w:rPr>
              <w:t xml:space="preserve">repair </w:t>
            </w:r>
            <w:r w:rsidRPr="00EC75B7">
              <w:rPr>
                <w:rFonts w:ascii="Verdana" w:hAnsi="Verdana"/>
                <w:sz w:val="18"/>
                <w:szCs w:val="18"/>
              </w:rPr>
              <w:t>front area</w:t>
            </w:r>
          </w:p>
        </w:tc>
        <w:tc>
          <w:tcPr>
            <w:tcW w:w="1106" w:type="dxa"/>
          </w:tcPr>
          <w:p w14:paraId="3CCAABCC"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REP</w:t>
            </w:r>
          </w:p>
        </w:tc>
        <w:tc>
          <w:tcPr>
            <w:tcW w:w="1108" w:type="dxa"/>
          </w:tcPr>
          <w:p w14:paraId="462D827B"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5AF38C9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4C644F05"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3F38636F"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714B7363"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7696838A"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0741389A"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6C251BF9" w14:textId="77777777" w:rsidR="008715BE" w:rsidRPr="00EC75B7" w:rsidRDefault="00000000">
            <w:pPr>
              <w:pStyle w:val="TableParagraph"/>
              <w:spacing w:line="164" w:lineRule="exact"/>
              <w:ind w:left="111"/>
              <w:jc w:val="both"/>
              <w:rPr>
                <w:rFonts w:ascii="Verdana" w:hAnsi="Verdana"/>
                <w:i/>
                <w:sz w:val="18"/>
                <w:szCs w:val="18"/>
              </w:rPr>
            </w:pPr>
            <w:r w:rsidRPr="00EC75B7">
              <w:rPr>
                <w:rFonts w:ascii="Verdana" w:hAnsi="Verdana"/>
                <w:i/>
                <w:spacing w:val="1"/>
                <w:sz w:val="18"/>
                <w:szCs w:val="18"/>
              </w:rPr>
              <w:t>conf</w:t>
            </w:r>
            <w:r w:rsidRPr="00EC75B7">
              <w:rPr>
                <w:rFonts w:ascii="Verdana" w:hAnsi="Verdana"/>
                <w:i/>
                <w:sz w:val="18"/>
                <w:szCs w:val="18"/>
              </w:rPr>
              <w:t>irmed</w:t>
            </w:r>
            <w:r w:rsidRPr="00EC75B7">
              <w:rPr>
                <w:rFonts w:ascii="Verdana" w:hAnsi="Verdana"/>
                <w:i/>
                <w:spacing w:val="-2"/>
                <w:sz w:val="18"/>
                <w:szCs w:val="18"/>
              </w:rPr>
              <w:t>)</w:t>
            </w:r>
          </w:p>
        </w:tc>
        <w:tc>
          <w:tcPr>
            <w:tcW w:w="1897" w:type="dxa"/>
          </w:tcPr>
          <w:p w14:paraId="66AF09DA"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6419EDB3" w14:textId="77777777" w:rsidR="008715BE" w:rsidRPr="00EC75B7" w:rsidRDefault="00000000">
            <w:pPr>
              <w:pStyle w:val="TableParagraph"/>
              <w:spacing w:before="8" w:line="195" w:lineRule="exact"/>
              <w:ind w:left="117"/>
              <w:rPr>
                <w:rFonts w:ascii="Verdana" w:hAnsi="Verdana"/>
                <w:sz w:val="18"/>
                <w:szCs w:val="18"/>
              </w:rPr>
            </w:pPr>
            <w:r w:rsidRPr="00EC75B7">
              <w:rPr>
                <w:rFonts w:ascii="Verdana" w:hAnsi="Verdana"/>
                <w:spacing w:val="-2"/>
                <w:sz w:val="18"/>
                <w:szCs w:val="18"/>
              </w:rPr>
              <w:t>1/individual (accidental)</w:t>
            </w:r>
          </w:p>
          <w:p w14:paraId="51C0CF62"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(outside the protected area, within the wind farm)</w:t>
            </w:r>
          </w:p>
        </w:tc>
        <w:tc>
          <w:tcPr>
            <w:tcW w:w="1889" w:type="dxa"/>
          </w:tcPr>
          <w:p w14:paraId="6CE0B6E5" w14:textId="77777777" w:rsidR="008715BE" w:rsidRPr="00EC75B7" w:rsidRDefault="00000000">
            <w:pPr>
              <w:pStyle w:val="TableParagraph"/>
              <w:tabs>
                <w:tab w:val="left" w:pos="613"/>
                <w:tab w:val="left" w:pos="1599"/>
              </w:tabs>
              <w:spacing w:before="8"/>
              <w:ind w:left="119" w:right="80"/>
              <w:rPr>
                <w:rFonts w:ascii="Verdana" w:hAnsi="Verdana"/>
                <w:sz w:val="18"/>
                <w:szCs w:val="18"/>
              </w:rPr>
            </w:pPr>
            <w:r w:rsidRPr="00EC75B7">
              <w:rPr>
                <w:rFonts w:ascii="Verdana" w:hAnsi="Verdana"/>
                <w:sz w:val="18"/>
                <w:szCs w:val="18"/>
              </w:rPr>
              <w:t xml:space="preserve">Precautionary </w:t>
            </w:r>
            <w:r w:rsidRPr="00EC75B7">
              <w:rPr>
                <w:rFonts w:ascii="Verdana" w:hAnsi="Verdana"/>
                <w:spacing w:val="-2"/>
                <w:sz w:val="18"/>
                <w:szCs w:val="18"/>
              </w:rPr>
              <w:t xml:space="preserve">principle </w:t>
            </w:r>
            <w:r w:rsidRPr="00EC75B7">
              <w:rPr>
                <w:rFonts w:ascii="Verdana" w:hAnsi="Verdana"/>
                <w:sz w:val="18"/>
                <w:szCs w:val="18"/>
              </w:rPr>
              <w:t xml:space="preserve">and data </w:t>
            </w: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specialist</w:t>
            </w:r>
            <w:r w:rsidRPr="00EC75B7">
              <w:rPr>
                <w:rFonts w:ascii="Verdana" w:hAnsi="Verdana"/>
                <w:sz w:val="18"/>
                <w:szCs w:val="18"/>
              </w:rPr>
              <w:tab/>
            </w:r>
            <w:r w:rsidRPr="00EC75B7">
              <w:rPr>
                <w:rFonts w:ascii="Verdana" w:hAnsi="Verdana"/>
                <w:spacing w:val="-2"/>
                <w:sz w:val="18"/>
                <w:szCs w:val="18"/>
              </w:rPr>
              <w:t>liter</w:t>
            </w:r>
            <w:r w:rsidRPr="00EC75B7">
              <w:rPr>
                <w:rFonts w:ascii="Verdana" w:hAnsi="Verdana"/>
                <w:spacing w:val="-6"/>
                <w:sz w:val="18"/>
                <w:szCs w:val="18"/>
              </w:rPr>
              <w:t>ature</w:t>
            </w:r>
          </w:p>
          <w:p w14:paraId="03D5564C" w14:textId="77777777" w:rsidR="008715BE" w:rsidRPr="00EC75B7" w:rsidRDefault="00000000">
            <w:pPr>
              <w:pStyle w:val="TableParagraph"/>
              <w:tabs>
                <w:tab w:val="left" w:pos="1223"/>
              </w:tabs>
              <w:ind w:left="119" w:right="82"/>
              <w:jc w:val="both"/>
              <w:rPr>
                <w:rFonts w:ascii="Verdana" w:hAnsi="Verdana"/>
                <w:sz w:val="18"/>
                <w:szCs w:val="18"/>
              </w:rPr>
            </w:pPr>
            <w:r w:rsidRPr="00EC75B7">
              <w:rPr>
                <w:rFonts w:ascii="Verdana" w:hAnsi="Verdana"/>
                <w:spacing w:val="-2"/>
                <w:sz w:val="18"/>
                <w:szCs w:val="18"/>
              </w:rPr>
              <w:t>Analysis</w:t>
            </w:r>
            <w:r w:rsidRPr="00EC75B7">
              <w:rPr>
                <w:rFonts w:ascii="Verdana" w:hAnsi="Verdana"/>
                <w:sz w:val="18"/>
                <w:szCs w:val="18"/>
              </w:rPr>
              <w:tab/>
              <w:t xml:space="preserve">of mortality </w:t>
            </w:r>
            <w:r w:rsidRPr="00EC75B7">
              <w:rPr>
                <w:rFonts w:ascii="Verdana" w:hAnsi="Verdana"/>
                <w:spacing w:val="-2"/>
                <w:sz w:val="18"/>
                <w:szCs w:val="18"/>
              </w:rPr>
              <w:t xml:space="preserve">risk </w:t>
            </w:r>
            <w:r w:rsidRPr="00EC75B7">
              <w:rPr>
                <w:rFonts w:ascii="Verdana" w:hAnsi="Verdana"/>
                <w:sz w:val="18"/>
                <w:szCs w:val="18"/>
              </w:rPr>
              <w:t xml:space="preserve">for </w:t>
            </w:r>
            <w:r w:rsidRPr="00EC75B7">
              <w:rPr>
                <w:rFonts w:ascii="Verdana" w:hAnsi="Verdana"/>
                <w:spacing w:val="-2"/>
                <w:sz w:val="18"/>
                <w:szCs w:val="18"/>
              </w:rPr>
              <w:t>the species</w:t>
            </w:r>
          </w:p>
        </w:tc>
      </w:tr>
      <w:tr w:rsidR="008715BE" w:rsidRPr="00EC75B7" w14:paraId="6CDE3144" w14:textId="77777777">
        <w:trPr>
          <w:trHeight w:val="208"/>
        </w:trPr>
        <w:tc>
          <w:tcPr>
            <w:tcW w:w="523" w:type="dxa"/>
            <w:vMerge/>
            <w:tcBorders>
              <w:top w:val="nil"/>
            </w:tcBorders>
          </w:tcPr>
          <w:p w14:paraId="32DD02CE" w14:textId="77777777" w:rsidR="008715BE" w:rsidRPr="00EC75B7" w:rsidRDefault="008715BE">
            <w:pPr>
              <w:rPr>
                <w:rFonts w:ascii="Verdana" w:hAnsi="Verdana"/>
                <w:sz w:val="18"/>
                <w:szCs w:val="18"/>
              </w:rPr>
            </w:pPr>
          </w:p>
        </w:tc>
        <w:tc>
          <w:tcPr>
            <w:tcW w:w="2323" w:type="dxa"/>
            <w:vMerge/>
            <w:tcBorders>
              <w:top w:val="nil"/>
            </w:tcBorders>
          </w:tcPr>
          <w:p w14:paraId="63C15CA5" w14:textId="77777777" w:rsidR="008715BE" w:rsidRPr="00EC75B7" w:rsidRDefault="008715BE">
            <w:pPr>
              <w:rPr>
                <w:rFonts w:ascii="Verdana" w:hAnsi="Verdana"/>
                <w:sz w:val="18"/>
                <w:szCs w:val="18"/>
              </w:rPr>
            </w:pPr>
          </w:p>
        </w:tc>
        <w:tc>
          <w:tcPr>
            <w:tcW w:w="3149" w:type="dxa"/>
          </w:tcPr>
          <w:p w14:paraId="0C0C0E8B" w14:textId="77777777" w:rsidR="008715BE" w:rsidRPr="00EC75B7" w:rsidRDefault="00000000">
            <w:pPr>
              <w:pStyle w:val="TableParagraph"/>
              <w:spacing w:before="8" w:line="180" w:lineRule="exact"/>
              <w:ind w:left="108"/>
              <w:rPr>
                <w:rFonts w:ascii="Verdana" w:hAnsi="Verdana"/>
                <w:sz w:val="18"/>
                <w:szCs w:val="18"/>
              </w:rPr>
            </w:pPr>
            <w:r w:rsidRPr="00EC75B7">
              <w:rPr>
                <w:rFonts w:ascii="Verdana" w:hAnsi="Verdana"/>
                <w:spacing w:val="-2"/>
                <w:sz w:val="18"/>
                <w:szCs w:val="18"/>
              </w:rPr>
              <w:t>Introduction of invasive species</w:t>
            </w:r>
          </w:p>
        </w:tc>
        <w:tc>
          <w:tcPr>
            <w:tcW w:w="1106" w:type="dxa"/>
          </w:tcPr>
          <w:p w14:paraId="4596B3DA" w14:textId="77777777" w:rsidR="008715BE" w:rsidRPr="00EC75B7" w:rsidRDefault="00000000">
            <w:pPr>
              <w:pStyle w:val="TableParagraph"/>
              <w:spacing w:before="8" w:line="180" w:lineRule="exact"/>
              <w:ind w:left="108"/>
              <w:rPr>
                <w:rFonts w:ascii="Verdana" w:hAnsi="Verdana"/>
                <w:sz w:val="18"/>
                <w:szCs w:val="18"/>
              </w:rPr>
            </w:pPr>
            <w:r w:rsidRPr="00EC75B7">
              <w:rPr>
                <w:rFonts w:ascii="Verdana" w:hAnsi="Verdana"/>
                <w:spacing w:val="-5"/>
                <w:sz w:val="18"/>
                <w:szCs w:val="18"/>
              </w:rPr>
              <w:t>AH</w:t>
            </w:r>
          </w:p>
        </w:tc>
        <w:tc>
          <w:tcPr>
            <w:tcW w:w="1108" w:type="dxa"/>
          </w:tcPr>
          <w:p w14:paraId="417E855E" w14:textId="77777777" w:rsidR="008715BE" w:rsidRPr="00EC75B7" w:rsidRDefault="00000000">
            <w:pPr>
              <w:pStyle w:val="TableParagraph"/>
              <w:spacing w:before="8" w:line="180" w:lineRule="exact"/>
              <w:ind w:left="10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11" w:type="dxa"/>
          </w:tcPr>
          <w:p w14:paraId="2DCF3274" w14:textId="77777777" w:rsidR="008715BE" w:rsidRPr="00EC75B7" w:rsidRDefault="00000000">
            <w:pPr>
              <w:pStyle w:val="TableParagraph"/>
              <w:spacing w:before="8" w:line="180" w:lineRule="exact"/>
              <w:ind w:left="107"/>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389" w:type="dxa"/>
          </w:tcPr>
          <w:p w14:paraId="00CF54AD" w14:textId="77777777" w:rsidR="008715BE" w:rsidRPr="00EC75B7" w:rsidRDefault="00000000">
            <w:pPr>
              <w:pStyle w:val="TableParagraph"/>
              <w:spacing w:before="8" w:line="180" w:lineRule="exact"/>
              <w:ind w:left="10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01" w:type="dxa"/>
          </w:tcPr>
          <w:p w14:paraId="2CF01DBB" w14:textId="77777777" w:rsidR="008715BE" w:rsidRPr="00EC75B7" w:rsidRDefault="00000000">
            <w:pPr>
              <w:pStyle w:val="TableParagraph"/>
              <w:spacing w:before="8" w:line="180" w:lineRule="exact"/>
              <w:ind w:left="10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736" w:type="dxa"/>
          </w:tcPr>
          <w:p w14:paraId="12B16136" w14:textId="77777777" w:rsidR="008715BE" w:rsidRPr="00EC75B7" w:rsidRDefault="00000000">
            <w:pPr>
              <w:pStyle w:val="TableParagraph"/>
              <w:spacing w:before="8" w:line="180" w:lineRule="exact"/>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97" w:type="dxa"/>
          </w:tcPr>
          <w:p w14:paraId="39EAFE2A" w14:textId="77777777" w:rsidR="008715BE" w:rsidRPr="00EC75B7" w:rsidRDefault="00000000">
            <w:pPr>
              <w:pStyle w:val="TableParagraph"/>
              <w:spacing w:before="8" w:line="180" w:lineRule="exact"/>
              <w:ind w:left="11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3860" w:type="dxa"/>
          </w:tcPr>
          <w:p w14:paraId="07257388" w14:textId="77777777" w:rsidR="008715BE" w:rsidRPr="00EC75B7" w:rsidRDefault="00000000">
            <w:pPr>
              <w:pStyle w:val="TableParagraph"/>
              <w:spacing w:before="8" w:line="180" w:lineRule="exact"/>
              <w:ind w:left="117"/>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889" w:type="dxa"/>
          </w:tcPr>
          <w:p w14:paraId="42CDD12B" w14:textId="77777777" w:rsidR="008715BE" w:rsidRPr="00EC75B7" w:rsidRDefault="00000000">
            <w:pPr>
              <w:pStyle w:val="TableParagraph"/>
              <w:spacing w:before="8" w:line="180" w:lineRule="exact"/>
              <w:ind w:left="11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2772F36F" w14:textId="77777777">
        <w:trPr>
          <w:trHeight w:val="2918"/>
        </w:trPr>
        <w:tc>
          <w:tcPr>
            <w:tcW w:w="523" w:type="dxa"/>
            <w:vMerge w:val="restart"/>
            <w:textDirection w:val="btLr"/>
          </w:tcPr>
          <w:p w14:paraId="2314E4F5" w14:textId="77777777" w:rsidR="008715BE" w:rsidRPr="00EC75B7" w:rsidRDefault="00000000">
            <w:pPr>
              <w:pStyle w:val="TableParagraph"/>
              <w:spacing w:before="171"/>
              <w:ind w:left="4"/>
              <w:jc w:val="center"/>
              <w:rPr>
                <w:rFonts w:ascii="Verdana" w:hAnsi="Verdana"/>
                <w:sz w:val="18"/>
                <w:szCs w:val="18"/>
              </w:rPr>
            </w:pPr>
            <w:r w:rsidRPr="00EC75B7">
              <w:rPr>
                <w:rFonts w:ascii="Verdana" w:hAnsi="Verdana"/>
                <w:spacing w:val="-2"/>
                <w:sz w:val="18"/>
                <w:szCs w:val="18"/>
              </w:rPr>
              <w:t>Decommissioning</w:t>
            </w:r>
          </w:p>
        </w:tc>
        <w:tc>
          <w:tcPr>
            <w:tcW w:w="2323" w:type="dxa"/>
            <w:vMerge w:val="restart"/>
          </w:tcPr>
          <w:p w14:paraId="73A04A2A" w14:textId="77777777" w:rsidR="008715BE" w:rsidRPr="00EC75B7" w:rsidRDefault="00000000">
            <w:pPr>
              <w:pStyle w:val="TableParagraph"/>
              <w:tabs>
                <w:tab w:val="left" w:pos="2087"/>
              </w:tabs>
              <w:spacing w:before="11"/>
              <w:ind w:left="105" w:right="95"/>
              <w:jc w:val="both"/>
              <w:rPr>
                <w:rFonts w:ascii="Verdana" w:hAnsi="Verdana"/>
                <w:sz w:val="18"/>
                <w:szCs w:val="18"/>
              </w:rPr>
            </w:pPr>
            <w:r w:rsidRPr="00EC75B7">
              <w:rPr>
                <w:rFonts w:ascii="Verdana" w:hAnsi="Verdana"/>
                <w:spacing w:val="-2"/>
                <w:sz w:val="18"/>
                <w:szCs w:val="18"/>
              </w:rPr>
              <w:t>Organization</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z w:val="18"/>
                <w:szCs w:val="18"/>
              </w:rPr>
              <w:t xml:space="preserve">operation of the construction site (including </w:t>
            </w:r>
            <w:r w:rsidRPr="00EC75B7">
              <w:rPr>
                <w:rFonts w:ascii="Verdana" w:hAnsi="Verdana"/>
                <w:spacing w:val="-2"/>
                <w:sz w:val="18"/>
                <w:szCs w:val="18"/>
              </w:rPr>
              <w:t xml:space="preserve">site </w:t>
            </w:r>
            <w:r w:rsidRPr="00EC75B7">
              <w:rPr>
                <w:rFonts w:ascii="Verdana" w:hAnsi="Verdana"/>
                <w:sz w:val="18"/>
                <w:szCs w:val="18"/>
              </w:rPr>
              <w:t>traffic</w:t>
            </w:r>
            <w:r w:rsidRPr="00EC75B7">
              <w:rPr>
                <w:rFonts w:ascii="Verdana" w:hAnsi="Verdana"/>
                <w:spacing w:val="-2"/>
                <w:sz w:val="18"/>
                <w:szCs w:val="18"/>
              </w:rPr>
              <w:t>)</w:t>
            </w:r>
          </w:p>
        </w:tc>
        <w:tc>
          <w:tcPr>
            <w:tcW w:w="3149" w:type="dxa"/>
          </w:tcPr>
          <w:p w14:paraId="674A322E" w14:textId="77777777" w:rsidR="008715BE" w:rsidRPr="00EC75B7" w:rsidRDefault="00000000">
            <w:pPr>
              <w:pStyle w:val="TableParagraph"/>
              <w:spacing w:before="11"/>
              <w:ind w:left="108" w:right="93"/>
              <w:rPr>
                <w:rFonts w:ascii="Verdana" w:hAnsi="Verdana"/>
                <w:sz w:val="18"/>
                <w:szCs w:val="18"/>
              </w:rPr>
            </w:pPr>
            <w:r w:rsidRPr="00EC75B7">
              <w:rPr>
                <w:rFonts w:ascii="Verdana" w:hAnsi="Verdana"/>
                <w:sz w:val="18"/>
                <w:szCs w:val="18"/>
              </w:rPr>
              <w:t>Removal of topsoil and vegetation</w:t>
            </w:r>
          </w:p>
        </w:tc>
        <w:tc>
          <w:tcPr>
            <w:tcW w:w="1106" w:type="dxa"/>
          </w:tcPr>
          <w:p w14:paraId="2473F18B" w14:textId="77777777" w:rsidR="008715BE" w:rsidRPr="00EC75B7" w:rsidRDefault="00000000">
            <w:pPr>
              <w:pStyle w:val="TableParagraph"/>
              <w:spacing w:before="11"/>
              <w:ind w:left="108"/>
              <w:rPr>
                <w:rFonts w:ascii="Verdana" w:hAnsi="Verdana"/>
                <w:sz w:val="18"/>
                <w:szCs w:val="18"/>
              </w:rPr>
            </w:pPr>
            <w:r w:rsidRPr="00EC75B7">
              <w:rPr>
                <w:rFonts w:ascii="Verdana" w:hAnsi="Verdana"/>
                <w:spacing w:val="-4"/>
                <w:sz w:val="18"/>
                <w:szCs w:val="18"/>
              </w:rPr>
              <w:t>AH/PH</w:t>
            </w:r>
          </w:p>
        </w:tc>
        <w:tc>
          <w:tcPr>
            <w:tcW w:w="1108" w:type="dxa"/>
          </w:tcPr>
          <w:p w14:paraId="0F062B61" w14:textId="77777777" w:rsidR="008715BE" w:rsidRPr="00EC75B7" w:rsidRDefault="00000000">
            <w:pPr>
              <w:pStyle w:val="TableParagraph"/>
              <w:spacing w:before="11"/>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7ABADF75" w14:textId="77777777" w:rsidR="008715BE" w:rsidRPr="00EC75B7" w:rsidRDefault="00000000">
            <w:pPr>
              <w:pStyle w:val="TableParagraph"/>
              <w:spacing w:before="11"/>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6E1B86AF" w14:textId="77777777" w:rsidR="008715BE" w:rsidRPr="00EC75B7" w:rsidRDefault="00000000">
            <w:pPr>
              <w:pStyle w:val="TableParagraph"/>
              <w:tabs>
                <w:tab w:val="left" w:pos="588"/>
              </w:tabs>
              <w:spacing w:before="11"/>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310AD918" w14:textId="77777777" w:rsidR="008715BE" w:rsidRPr="00EC75B7" w:rsidRDefault="00000000">
            <w:pPr>
              <w:pStyle w:val="TableParagraph"/>
              <w:tabs>
                <w:tab w:val="left" w:pos="903"/>
              </w:tabs>
              <w:spacing w:before="11"/>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8372864" w14:textId="77777777" w:rsidR="008715BE" w:rsidRPr="00EC75B7" w:rsidRDefault="00000000">
            <w:pPr>
              <w:pStyle w:val="TableParagraph"/>
              <w:spacing w:before="11"/>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4715406C"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15553CA3"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0204050C" w14:textId="77777777" w:rsidR="008715BE" w:rsidRPr="00EC75B7" w:rsidRDefault="00000000">
            <w:pPr>
              <w:pStyle w:val="TableParagraph"/>
              <w:spacing w:line="164" w:lineRule="exact"/>
              <w:ind w:left="111"/>
              <w:jc w:val="both"/>
              <w:rPr>
                <w:rFonts w:ascii="Verdana" w:hAnsi="Verdana"/>
                <w:i/>
                <w:sz w:val="18"/>
                <w:szCs w:val="18"/>
              </w:rPr>
            </w:pPr>
            <w:r w:rsidRPr="00EC75B7">
              <w:rPr>
                <w:rFonts w:ascii="Verdana" w:hAnsi="Verdana"/>
                <w:i/>
                <w:spacing w:val="1"/>
                <w:sz w:val="18"/>
                <w:szCs w:val="18"/>
              </w:rPr>
              <w:t>conf</w:t>
            </w:r>
            <w:r w:rsidRPr="00EC75B7">
              <w:rPr>
                <w:rFonts w:ascii="Verdana" w:hAnsi="Verdana"/>
                <w:i/>
                <w:sz w:val="18"/>
                <w:szCs w:val="18"/>
              </w:rPr>
              <w:t>irmed</w:t>
            </w:r>
            <w:r w:rsidRPr="00EC75B7">
              <w:rPr>
                <w:rFonts w:ascii="Verdana" w:hAnsi="Verdana"/>
                <w:i/>
                <w:spacing w:val="-2"/>
                <w:sz w:val="18"/>
                <w:szCs w:val="18"/>
              </w:rPr>
              <w:t>)</w:t>
            </w:r>
          </w:p>
        </w:tc>
        <w:tc>
          <w:tcPr>
            <w:tcW w:w="1897" w:type="dxa"/>
          </w:tcPr>
          <w:p w14:paraId="6F4249F0" w14:textId="77777777" w:rsidR="008715BE" w:rsidRPr="00EC75B7" w:rsidRDefault="00000000">
            <w:pPr>
              <w:pStyle w:val="TableParagraph"/>
              <w:spacing w:before="11"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5D1B7F50"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02F00C0A" w14:textId="77777777" w:rsidR="008715BE" w:rsidRPr="00EC75B7" w:rsidRDefault="00000000">
            <w:pPr>
              <w:pStyle w:val="TableParagraph"/>
              <w:spacing w:before="11"/>
              <w:ind w:left="117"/>
              <w:jc w:val="both"/>
              <w:rPr>
                <w:rFonts w:ascii="Verdana" w:hAnsi="Verdana"/>
                <w:sz w:val="18"/>
                <w:szCs w:val="18"/>
              </w:rPr>
            </w:pPr>
            <w:r w:rsidRPr="00EC75B7">
              <w:rPr>
                <w:rFonts w:ascii="Verdana" w:hAnsi="Verdana"/>
                <w:sz w:val="18"/>
                <w:szCs w:val="18"/>
              </w:rPr>
              <w:t xml:space="preserve">0 ha in the </w:t>
            </w:r>
            <w:r w:rsidRPr="00EC75B7">
              <w:rPr>
                <w:rFonts w:ascii="Verdana" w:hAnsi="Verdana"/>
                <w:spacing w:val="-2"/>
                <w:sz w:val="18"/>
                <w:szCs w:val="18"/>
              </w:rPr>
              <w:t xml:space="preserve">protected </w:t>
            </w:r>
            <w:r w:rsidRPr="00EC75B7">
              <w:rPr>
                <w:rFonts w:ascii="Verdana" w:hAnsi="Verdana"/>
                <w:sz w:val="18"/>
                <w:szCs w:val="18"/>
              </w:rPr>
              <w:t>area</w:t>
            </w:r>
          </w:p>
          <w:p w14:paraId="4E0A854B" w14:textId="77777777" w:rsidR="008715BE" w:rsidRPr="00EC75B7" w:rsidRDefault="00000000">
            <w:pPr>
              <w:pStyle w:val="TableParagraph"/>
              <w:spacing w:before="193"/>
              <w:ind w:left="117" w:right="83"/>
              <w:jc w:val="both"/>
              <w:rPr>
                <w:rFonts w:ascii="Verdana" w:hAnsi="Verdana"/>
                <w:sz w:val="18"/>
                <w:szCs w:val="18"/>
              </w:rPr>
            </w:pPr>
            <w:r w:rsidRPr="00EC75B7">
              <w:rPr>
                <w:rFonts w:ascii="Verdana" w:hAnsi="Verdana"/>
                <w:sz w:val="18"/>
                <w:szCs w:val="18"/>
              </w:rPr>
              <w:t xml:space="preserve">Areas occupied outside the protected area where presence was reported following </w:t>
            </w:r>
            <w:r w:rsidRPr="00EC75B7">
              <w:rPr>
                <w:rFonts w:ascii="Verdana" w:hAnsi="Verdana"/>
                <w:spacing w:val="-2"/>
                <w:sz w:val="18"/>
                <w:szCs w:val="18"/>
              </w:rPr>
              <w:t>monitoring:</w:t>
            </w:r>
          </w:p>
          <w:p w14:paraId="04A867CB"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4BA27D2F" w14:textId="77777777" w:rsidR="008715BE" w:rsidRPr="00EC75B7" w:rsidRDefault="00000000">
            <w:pPr>
              <w:pStyle w:val="TableParagraph"/>
              <w:ind w:left="117" w:right="84"/>
              <w:jc w:val="both"/>
              <w:rPr>
                <w:rFonts w:ascii="Verdana" w:hAnsi="Verdana"/>
                <w:sz w:val="18"/>
                <w:szCs w:val="18"/>
              </w:rPr>
            </w:pPr>
            <w:r w:rsidRPr="00EC75B7">
              <w:rPr>
                <w:rFonts w:ascii="Verdana" w:hAnsi="Verdana"/>
                <w:sz w:val="18"/>
                <w:szCs w:val="18"/>
              </w:rPr>
              <w:t xml:space="preserve">309.24 ha permanently occupied by the structural elements of the </w:t>
            </w:r>
            <w:r w:rsidRPr="00EC75B7">
              <w:rPr>
                <w:rFonts w:ascii="Verdana" w:hAnsi="Verdana"/>
                <w:spacing w:val="-2"/>
                <w:sz w:val="18"/>
                <w:szCs w:val="18"/>
              </w:rPr>
              <w:t>energy</w:t>
            </w:r>
            <w:r w:rsidRPr="00EC75B7">
              <w:rPr>
                <w:rFonts w:ascii="Verdana" w:hAnsi="Verdana"/>
                <w:sz w:val="18"/>
                <w:szCs w:val="18"/>
              </w:rPr>
              <w:t xml:space="preserve"> park</w:t>
            </w:r>
          </w:p>
        </w:tc>
        <w:tc>
          <w:tcPr>
            <w:tcW w:w="1889" w:type="dxa"/>
          </w:tcPr>
          <w:p w14:paraId="33A954E2" w14:textId="77777777" w:rsidR="008715BE" w:rsidRPr="00EC75B7" w:rsidRDefault="00000000">
            <w:pPr>
              <w:pStyle w:val="TableParagraph"/>
              <w:tabs>
                <w:tab w:val="left" w:pos="1129"/>
              </w:tabs>
              <w:spacing w:before="11"/>
              <w:ind w:left="119" w:right="80"/>
              <w:rPr>
                <w:rFonts w:ascii="Verdana" w:hAnsi="Verdana"/>
                <w:sz w:val="18"/>
                <w:szCs w:val="18"/>
              </w:rPr>
            </w:pPr>
            <w:r w:rsidRPr="00EC75B7">
              <w:rPr>
                <w:rFonts w:ascii="Verdana" w:hAnsi="Verdana"/>
                <w:sz w:val="18"/>
                <w:szCs w:val="18"/>
              </w:rPr>
              <w:t xml:space="preserve">Spatial analysis and data provided by </w:t>
            </w:r>
            <w:r w:rsidRPr="00EC75B7">
              <w:rPr>
                <w:rFonts w:ascii="Verdana" w:hAnsi="Verdana"/>
                <w:spacing w:val="-2"/>
                <w:sz w:val="18"/>
                <w:szCs w:val="18"/>
              </w:rPr>
              <w:t>the Bulgarian Ministry of Environment</w:t>
            </w:r>
            <w:r w:rsidRPr="00EC75B7">
              <w:rPr>
                <w:rFonts w:ascii="Verdana" w:hAnsi="Verdana"/>
                <w:sz w:val="18"/>
                <w:szCs w:val="18"/>
              </w:rPr>
              <w:tab/>
              <w:t xml:space="preserve">at the request of </w:t>
            </w:r>
            <w:r w:rsidRPr="00EC75B7">
              <w:rPr>
                <w:rFonts w:ascii="Verdana" w:hAnsi="Verdana"/>
                <w:spacing w:val="-2"/>
                <w:sz w:val="18"/>
                <w:szCs w:val="18"/>
              </w:rPr>
              <w:t>the project beneficiary</w:t>
            </w:r>
          </w:p>
          <w:p w14:paraId="022A2FA8" w14:textId="77777777" w:rsidR="008715BE" w:rsidRPr="00EC75B7" w:rsidRDefault="00000000">
            <w:pPr>
              <w:pStyle w:val="TableParagraph"/>
              <w:tabs>
                <w:tab w:val="left" w:pos="915"/>
                <w:tab w:val="left" w:pos="1441"/>
              </w:tabs>
              <w:ind w:left="119" w:right="80"/>
              <w:rPr>
                <w:rFonts w:ascii="Verdana" w:hAnsi="Verdana"/>
                <w:sz w:val="18"/>
                <w:szCs w:val="18"/>
              </w:rPr>
            </w:pPr>
            <w:r w:rsidRPr="00EC75B7">
              <w:rPr>
                <w:rFonts w:ascii="Verdana" w:hAnsi="Verdana"/>
                <w:spacing w:val="-2"/>
                <w:sz w:val="18"/>
                <w:szCs w:val="18"/>
              </w:rPr>
              <w:t>GIS</w:t>
            </w:r>
            <w:r w:rsidRPr="00EC75B7">
              <w:rPr>
                <w:rFonts w:ascii="Verdana" w:hAnsi="Verdana"/>
                <w:sz w:val="18"/>
                <w:szCs w:val="18"/>
              </w:rPr>
              <w:tab/>
            </w:r>
            <w:r w:rsidRPr="00EC75B7">
              <w:rPr>
                <w:rFonts w:ascii="Verdana" w:hAnsi="Verdana"/>
                <w:spacing w:val="-4"/>
                <w:sz w:val="18"/>
                <w:szCs w:val="18"/>
              </w:rPr>
              <w:t>GIS</w:t>
            </w:r>
            <w:r w:rsidRPr="00EC75B7">
              <w:rPr>
                <w:rFonts w:ascii="Verdana" w:hAnsi="Verdana"/>
                <w:sz w:val="18"/>
                <w:szCs w:val="18"/>
              </w:rPr>
              <w:tab/>
            </w:r>
            <w:r w:rsidRPr="00EC75B7">
              <w:rPr>
                <w:rFonts w:ascii="Verdana" w:hAnsi="Verdana"/>
                <w:spacing w:val="-4"/>
                <w:sz w:val="18"/>
                <w:szCs w:val="18"/>
              </w:rPr>
              <w:t xml:space="preserve">land </w:t>
            </w:r>
            <w:r w:rsidRPr="00EC75B7">
              <w:rPr>
                <w:rFonts w:ascii="Verdana" w:hAnsi="Verdana"/>
                <w:spacing w:val="-6"/>
                <w:sz w:val="18"/>
                <w:szCs w:val="18"/>
              </w:rPr>
              <w:t>data</w:t>
            </w:r>
          </w:p>
        </w:tc>
      </w:tr>
      <w:tr w:rsidR="008715BE" w:rsidRPr="00EC75B7" w14:paraId="1B326C9A" w14:textId="77777777">
        <w:trPr>
          <w:trHeight w:val="2918"/>
        </w:trPr>
        <w:tc>
          <w:tcPr>
            <w:tcW w:w="523" w:type="dxa"/>
            <w:vMerge/>
            <w:tcBorders>
              <w:top w:val="nil"/>
            </w:tcBorders>
            <w:textDirection w:val="btLr"/>
          </w:tcPr>
          <w:p w14:paraId="7FF1B407" w14:textId="77777777" w:rsidR="008715BE" w:rsidRPr="00EC75B7" w:rsidRDefault="008715BE">
            <w:pPr>
              <w:rPr>
                <w:rFonts w:ascii="Verdana" w:hAnsi="Verdana"/>
                <w:sz w:val="18"/>
                <w:szCs w:val="18"/>
              </w:rPr>
            </w:pPr>
          </w:p>
        </w:tc>
        <w:tc>
          <w:tcPr>
            <w:tcW w:w="2323" w:type="dxa"/>
            <w:vMerge/>
            <w:tcBorders>
              <w:top w:val="nil"/>
            </w:tcBorders>
          </w:tcPr>
          <w:p w14:paraId="7694650E" w14:textId="77777777" w:rsidR="008715BE" w:rsidRPr="00EC75B7" w:rsidRDefault="008715BE">
            <w:pPr>
              <w:rPr>
                <w:rFonts w:ascii="Verdana" w:hAnsi="Verdana"/>
                <w:sz w:val="18"/>
                <w:szCs w:val="18"/>
              </w:rPr>
            </w:pPr>
          </w:p>
        </w:tc>
        <w:tc>
          <w:tcPr>
            <w:tcW w:w="3149" w:type="dxa"/>
          </w:tcPr>
          <w:p w14:paraId="35F5B54F" w14:textId="77777777" w:rsidR="008715BE" w:rsidRPr="00EC75B7" w:rsidRDefault="00000000">
            <w:pPr>
              <w:pStyle w:val="TableParagraph"/>
              <w:spacing w:before="8"/>
              <w:ind w:left="108" w:right="93"/>
              <w:rPr>
                <w:rFonts w:ascii="Verdana" w:hAnsi="Verdana"/>
                <w:sz w:val="18"/>
                <w:szCs w:val="18"/>
              </w:rPr>
            </w:pPr>
            <w:r w:rsidRPr="00EC75B7">
              <w:rPr>
                <w:rFonts w:ascii="Verdana" w:hAnsi="Verdana"/>
                <w:sz w:val="18"/>
                <w:szCs w:val="18"/>
              </w:rPr>
              <w:t>Temporary occupation of land areas</w:t>
            </w:r>
          </w:p>
        </w:tc>
        <w:tc>
          <w:tcPr>
            <w:tcW w:w="1106" w:type="dxa"/>
          </w:tcPr>
          <w:p w14:paraId="2E396ED8"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FH</w:t>
            </w:r>
          </w:p>
        </w:tc>
        <w:tc>
          <w:tcPr>
            <w:tcW w:w="1108" w:type="dxa"/>
          </w:tcPr>
          <w:p w14:paraId="6C5E1175"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6FD0B029"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3402FC12"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718D1D05"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4D9F4AE4"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7308F341"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3968EA11" w14:textId="77777777" w:rsidR="008715BE" w:rsidRPr="00EC75B7" w:rsidRDefault="00000000">
            <w:pPr>
              <w:pStyle w:val="TableParagraph"/>
              <w:spacing w:line="237" w:lineRule="auto"/>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08E865EC" w14:textId="77777777" w:rsidR="008715BE" w:rsidRPr="00EC75B7" w:rsidRDefault="00000000">
            <w:pPr>
              <w:pStyle w:val="TableParagraph"/>
              <w:spacing w:line="168" w:lineRule="exact"/>
              <w:ind w:left="111"/>
              <w:jc w:val="both"/>
              <w:rPr>
                <w:rFonts w:ascii="Verdana" w:hAnsi="Verdana"/>
                <w:i/>
                <w:sz w:val="18"/>
                <w:szCs w:val="18"/>
              </w:rPr>
            </w:pPr>
            <w:r w:rsidRPr="00EC75B7">
              <w:rPr>
                <w:rFonts w:ascii="Verdana" w:hAnsi="Verdana"/>
                <w:i/>
                <w:spacing w:val="1"/>
                <w:sz w:val="18"/>
                <w:szCs w:val="18"/>
              </w:rPr>
              <w:t>conf</w:t>
            </w:r>
            <w:r w:rsidRPr="00EC75B7">
              <w:rPr>
                <w:rFonts w:ascii="Verdana" w:hAnsi="Verdana"/>
                <w:i/>
                <w:sz w:val="18"/>
                <w:szCs w:val="18"/>
              </w:rPr>
              <w:t>irmed</w:t>
            </w:r>
            <w:r w:rsidRPr="00EC75B7">
              <w:rPr>
                <w:rFonts w:ascii="Verdana" w:hAnsi="Verdana"/>
                <w:i/>
                <w:spacing w:val="-2"/>
                <w:sz w:val="18"/>
                <w:szCs w:val="18"/>
              </w:rPr>
              <w:t>)</w:t>
            </w:r>
          </w:p>
        </w:tc>
        <w:tc>
          <w:tcPr>
            <w:tcW w:w="1897" w:type="dxa"/>
          </w:tcPr>
          <w:p w14:paraId="569AB6BF"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08619714"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fragmented habitats in the </w:t>
            </w:r>
            <w:r w:rsidRPr="00EC75B7">
              <w:rPr>
                <w:rFonts w:ascii="Verdana" w:hAnsi="Verdana"/>
                <w:spacing w:val="-2"/>
                <w:sz w:val="18"/>
                <w:szCs w:val="18"/>
              </w:rPr>
              <w:t xml:space="preserve">protected </w:t>
            </w:r>
            <w:r w:rsidRPr="00EC75B7">
              <w:rPr>
                <w:rFonts w:ascii="Verdana" w:hAnsi="Verdana"/>
                <w:sz w:val="18"/>
                <w:szCs w:val="18"/>
              </w:rPr>
              <w:t>area</w:t>
            </w:r>
          </w:p>
          <w:p w14:paraId="22ED9E01" w14:textId="77777777" w:rsidR="008715BE" w:rsidRPr="00EC75B7" w:rsidRDefault="00000000">
            <w:pPr>
              <w:pStyle w:val="TableParagraph"/>
              <w:spacing w:before="193"/>
              <w:ind w:left="117" w:right="83"/>
              <w:jc w:val="both"/>
              <w:rPr>
                <w:rFonts w:ascii="Verdana" w:hAnsi="Verdana"/>
                <w:sz w:val="18"/>
                <w:szCs w:val="18"/>
              </w:rPr>
            </w:pPr>
            <w:r w:rsidRPr="00EC75B7">
              <w:rPr>
                <w:rFonts w:ascii="Verdana" w:hAnsi="Verdana"/>
                <w:sz w:val="18"/>
                <w:szCs w:val="18"/>
              </w:rPr>
              <w:t xml:space="preserve">Areas occupied outside the protected area where presence was reported following </w:t>
            </w:r>
            <w:r w:rsidRPr="00EC75B7">
              <w:rPr>
                <w:rFonts w:ascii="Verdana" w:hAnsi="Verdana"/>
                <w:spacing w:val="-2"/>
                <w:sz w:val="18"/>
                <w:szCs w:val="18"/>
              </w:rPr>
              <w:t>monitoring:</w:t>
            </w:r>
          </w:p>
          <w:p w14:paraId="10D347A3" w14:textId="77777777" w:rsidR="008715BE" w:rsidRPr="00EC75B7" w:rsidRDefault="00000000">
            <w:pPr>
              <w:pStyle w:val="TableParagraph"/>
              <w:spacing w:before="193"/>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146FDF55" w14:textId="77777777" w:rsidR="008715BE" w:rsidRPr="00EC75B7" w:rsidRDefault="00000000">
            <w:pPr>
              <w:pStyle w:val="TableParagraph"/>
              <w:ind w:left="117" w:right="84"/>
              <w:jc w:val="both"/>
              <w:rPr>
                <w:rFonts w:ascii="Verdana" w:hAnsi="Verdana"/>
                <w:sz w:val="18"/>
                <w:szCs w:val="18"/>
              </w:rPr>
            </w:pPr>
            <w:r w:rsidRPr="00EC75B7">
              <w:rPr>
                <w:rFonts w:ascii="Verdana" w:hAnsi="Verdana"/>
                <w:sz w:val="18"/>
                <w:szCs w:val="18"/>
              </w:rPr>
              <w:t xml:space="preserve">309.24 ha permanently occupied by the structural elements of the </w:t>
            </w:r>
            <w:r w:rsidRPr="00EC75B7">
              <w:rPr>
                <w:rFonts w:ascii="Verdana" w:hAnsi="Verdana"/>
                <w:spacing w:val="-2"/>
                <w:sz w:val="18"/>
                <w:szCs w:val="18"/>
              </w:rPr>
              <w:t>energy</w:t>
            </w:r>
            <w:r w:rsidRPr="00EC75B7">
              <w:rPr>
                <w:rFonts w:ascii="Verdana" w:hAnsi="Verdana"/>
                <w:sz w:val="18"/>
                <w:szCs w:val="18"/>
              </w:rPr>
              <w:t xml:space="preserve"> park</w:t>
            </w:r>
          </w:p>
        </w:tc>
        <w:tc>
          <w:tcPr>
            <w:tcW w:w="1889" w:type="dxa"/>
          </w:tcPr>
          <w:p w14:paraId="22D76C50" w14:textId="77777777" w:rsidR="008715BE" w:rsidRPr="00EC75B7" w:rsidRDefault="00000000">
            <w:pPr>
              <w:pStyle w:val="TableParagraph"/>
              <w:tabs>
                <w:tab w:val="left" w:pos="1129"/>
              </w:tabs>
              <w:spacing w:before="8"/>
              <w:ind w:left="119" w:right="80"/>
              <w:rPr>
                <w:rFonts w:ascii="Verdana" w:hAnsi="Verdana"/>
                <w:sz w:val="18"/>
                <w:szCs w:val="18"/>
              </w:rPr>
            </w:pPr>
            <w:r w:rsidRPr="00EC75B7">
              <w:rPr>
                <w:rFonts w:ascii="Verdana" w:hAnsi="Verdana"/>
                <w:sz w:val="18"/>
                <w:szCs w:val="18"/>
              </w:rPr>
              <w:t xml:space="preserve">Spatial analysis and data provided by </w:t>
            </w:r>
            <w:r w:rsidRPr="00EC75B7">
              <w:rPr>
                <w:rFonts w:ascii="Verdana" w:hAnsi="Verdana"/>
                <w:spacing w:val="-2"/>
                <w:sz w:val="18"/>
                <w:szCs w:val="18"/>
              </w:rPr>
              <w:t>the Bulgarian Ministry of Environment</w:t>
            </w:r>
            <w:r w:rsidRPr="00EC75B7">
              <w:rPr>
                <w:rFonts w:ascii="Verdana" w:hAnsi="Verdana"/>
                <w:sz w:val="18"/>
                <w:szCs w:val="18"/>
              </w:rPr>
              <w:tab/>
              <w:t xml:space="preserve">at the request of </w:t>
            </w:r>
            <w:r w:rsidRPr="00EC75B7">
              <w:rPr>
                <w:rFonts w:ascii="Verdana" w:hAnsi="Verdana"/>
                <w:spacing w:val="-2"/>
                <w:sz w:val="18"/>
                <w:szCs w:val="18"/>
              </w:rPr>
              <w:t>the project beneficiary</w:t>
            </w:r>
          </w:p>
          <w:p w14:paraId="3D6307E3" w14:textId="77777777" w:rsidR="008715BE" w:rsidRPr="00EC75B7" w:rsidRDefault="00000000">
            <w:pPr>
              <w:pStyle w:val="TableParagraph"/>
              <w:tabs>
                <w:tab w:val="left" w:pos="915"/>
                <w:tab w:val="left" w:pos="1441"/>
              </w:tabs>
              <w:ind w:left="119" w:right="80"/>
              <w:rPr>
                <w:rFonts w:ascii="Verdana" w:hAnsi="Verdana"/>
                <w:sz w:val="18"/>
                <w:szCs w:val="18"/>
              </w:rPr>
            </w:pPr>
            <w:r w:rsidRPr="00EC75B7">
              <w:rPr>
                <w:rFonts w:ascii="Verdana" w:hAnsi="Verdana"/>
                <w:spacing w:val="-2"/>
                <w:sz w:val="18"/>
                <w:szCs w:val="18"/>
              </w:rPr>
              <w:t>GIS</w:t>
            </w:r>
            <w:r w:rsidRPr="00EC75B7">
              <w:rPr>
                <w:rFonts w:ascii="Verdana" w:hAnsi="Verdana"/>
                <w:sz w:val="18"/>
                <w:szCs w:val="18"/>
              </w:rPr>
              <w:tab/>
            </w:r>
            <w:r w:rsidRPr="00EC75B7">
              <w:rPr>
                <w:rFonts w:ascii="Verdana" w:hAnsi="Verdana"/>
                <w:spacing w:val="-4"/>
                <w:sz w:val="18"/>
                <w:szCs w:val="18"/>
              </w:rPr>
              <w:t>GIS</w:t>
            </w:r>
            <w:r w:rsidRPr="00EC75B7">
              <w:rPr>
                <w:rFonts w:ascii="Verdana" w:hAnsi="Verdana"/>
                <w:sz w:val="18"/>
                <w:szCs w:val="18"/>
              </w:rPr>
              <w:tab/>
            </w:r>
            <w:r w:rsidRPr="00EC75B7">
              <w:rPr>
                <w:rFonts w:ascii="Verdana" w:hAnsi="Verdana"/>
                <w:spacing w:val="-4"/>
                <w:sz w:val="18"/>
                <w:szCs w:val="18"/>
              </w:rPr>
              <w:t xml:space="preserve">land </w:t>
            </w:r>
            <w:r w:rsidRPr="00EC75B7">
              <w:rPr>
                <w:rFonts w:ascii="Verdana" w:hAnsi="Verdana"/>
                <w:spacing w:val="-6"/>
                <w:sz w:val="18"/>
                <w:szCs w:val="18"/>
              </w:rPr>
              <w:t>data</w:t>
            </w:r>
          </w:p>
        </w:tc>
      </w:tr>
    </w:tbl>
    <w:p w14:paraId="787D2150"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7374044D" w14:textId="77777777" w:rsidR="008715BE" w:rsidRPr="00EC75B7" w:rsidRDefault="008715BE">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8715BE" w:rsidRPr="00EC75B7" w14:paraId="53585C2F" w14:textId="77777777">
        <w:trPr>
          <w:trHeight w:val="842"/>
        </w:trPr>
        <w:tc>
          <w:tcPr>
            <w:tcW w:w="2846" w:type="dxa"/>
            <w:gridSpan w:val="2"/>
            <w:shd w:val="clear" w:color="auto" w:fill="00A1E8"/>
          </w:tcPr>
          <w:p w14:paraId="44D6031F" w14:textId="77777777" w:rsidR="008715BE" w:rsidRPr="00EC75B7" w:rsidRDefault="008715BE">
            <w:pPr>
              <w:pStyle w:val="TableParagraph"/>
              <w:spacing w:before="136"/>
              <w:rPr>
                <w:rFonts w:ascii="Verdana" w:hAnsi="Verdana"/>
                <w:b/>
                <w:sz w:val="18"/>
                <w:szCs w:val="18"/>
              </w:rPr>
            </w:pPr>
          </w:p>
          <w:p w14:paraId="61428D8F" w14:textId="77777777" w:rsidR="008715BE" w:rsidRPr="00EC75B7" w:rsidRDefault="00000000">
            <w:pPr>
              <w:pStyle w:val="TableParagraph"/>
              <w:spacing w:before="1"/>
              <w:ind w:left="914"/>
              <w:rPr>
                <w:rFonts w:ascii="Verdana" w:hAnsi="Verdana"/>
                <w:b/>
                <w:sz w:val="18"/>
                <w:szCs w:val="18"/>
              </w:rPr>
            </w:pPr>
            <w:r w:rsidRPr="00EC75B7">
              <w:rPr>
                <w:rFonts w:ascii="Verdana" w:hAnsi="Verdana"/>
                <w:b/>
                <w:color w:val="FFFFFF"/>
                <w:spacing w:val="-2"/>
                <w:sz w:val="18"/>
                <w:szCs w:val="18"/>
              </w:rPr>
              <w:t>Intervention</w:t>
            </w:r>
          </w:p>
        </w:tc>
        <w:tc>
          <w:tcPr>
            <w:tcW w:w="3149" w:type="dxa"/>
            <w:shd w:val="clear" w:color="auto" w:fill="00A1E8"/>
          </w:tcPr>
          <w:p w14:paraId="513D83DC" w14:textId="77777777" w:rsidR="008715BE" w:rsidRPr="00EC75B7" w:rsidRDefault="008715BE">
            <w:pPr>
              <w:pStyle w:val="TableParagraph"/>
              <w:spacing w:before="136"/>
              <w:rPr>
                <w:rFonts w:ascii="Verdana" w:hAnsi="Verdana"/>
                <w:b/>
                <w:sz w:val="18"/>
                <w:szCs w:val="18"/>
              </w:rPr>
            </w:pPr>
          </w:p>
          <w:p w14:paraId="3FF871C1"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Effects</w:t>
            </w:r>
          </w:p>
        </w:tc>
        <w:tc>
          <w:tcPr>
            <w:tcW w:w="1106" w:type="dxa"/>
            <w:shd w:val="clear" w:color="auto" w:fill="00A1E8"/>
          </w:tcPr>
          <w:p w14:paraId="3930C2FE" w14:textId="77777777" w:rsidR="008715BE" w:rsidRPr="00EC75B7" w:rsidRDefault="008715BE">
            <w:pPr>
              <w:pStyle w:val="TableParagraph"/>
              <w:spacing w:before="40"/>
              <w:rPr>
                <w:rFonts w:ascii="Verdana" w:hAnsi="Verdana"/>
                <w:b/>
                <w:sz w:val="18"/>
                <w:szCs w:val="18"/>
              </w:rPr>
            </w:pPr>
          </w:p>
          <w:p w14:paraId="1EB567DC" w14:textId="77777777" w:rsidR="008715BE" w:rsidRPr="00EC75B7" w:rsidRDefault="00000000">
            <w:pPr>
              <w:pStyle w:val="TableParagraph"/>
              <w:spacing w:before="1"/>
              <w:ind w:left="240" w:right="87" w:hanging="132"/>
              <w:rPr>
                <w:rFonts w:ascii="Verdana" w:hAnsi="Verdana"/>
                <w:b/>
                <w:sz w:val="18"/>
                <w:szCs w:val="18"/>
              </w:rPr>
            </w:pPr>
            <w:r w:rsidRPr="00EC75B7">
              <w:rPr>
                <w:rFonts w:ascii="Verdana" w:hAnsi="Verdana"/>
                <w:b/>
                <w:color w:val="FFFFFF"/>
                <w:spacing w:val="-2"/>
                <w:sz w:val="18"/>
                <w:szCs w:val="18"/>
              </w:rPr>
              <w:t>Direct impacts</w:t>
            </w:r>
          </w:p>
        </w:tc>
        <w:tc>
          <w:tcPr>
            <w:tcW w:w="1108" w:type="dxa"/>
            <w:shd w:val="clear" w:color="auto" w:fill="00A1E8"/>
          </w:tcPr>
          <w:p w14:paraId="305E37BE" w14:textId="77777777" w:rsidR="008715BE" w:rsidRPr="00EC75B7" w:rsidRDefault="008715BE">
            <w:pPr>
              <w:pStyle w:val="TableParagraph"/>
              <w:spacing w:before="40"/>
              <w:rPr>
                <w:rFonts w:ascii="Verdana" w:hAnsi="Verdana"/>
                <w:b/>
                <w:sz w:val="18"/>
                <w:szCs w:val="18"/>
              </w:rPr>
            </w:pPr>
          </w:p>
          <w:p w14:paraId="298D3F2E" w14:textId="77777777" w:rsidR="008715BE" w:rsidRPr="00EC75B7" w:rsidRDefault="00000000">
            <w:pPr>
              <w:pStyle w:val="TableParagraph"/>
              <w:spacing w:before="1"/>
              <w:ind w:left="157" w:right="88" w:hanging="48"/>
              <w:rPr>
                <w:rFonts w:ascii="Verdana" w:hAnsi="Verdana"/>
                <w:b/>
                <w:sz w:val="18"/>
                <w:szCs w:val="18"/>
              </w:rPr>
            </w:pPr>
            <w:r w:rsidRPr="00EC75B7">
              <w:rPr>
                <w:rFonts w:ascii="Verdana" w:hAnsi="Verdana"/>
                <w:b/>
                <w:color w:val="FFFFFF"/>
                <w:spacing w:val="-2"/>
                <w:sz w:val="18"/>
                <w:szCs w:val="18"/>
              </w:rPr>
              <w:t>Indirect impacts</w:t>
            </w:r>
          </w:p>
        </w:tc>
        <w:tc>
          <w:tcPr>
            <w:tcW w:w="1211" w:type="dxa"/>
            <w:shd w:val="clear" w:color="auto" w:fill="00A1E8"/>
          </w:tcPr>
          <w:p w14:paraId="2ABD824E" w14:textId="77777777" w:rsidR="008715BE" w:rsidRPr="00EC75B7" w:rsidRDefault="008715BE">
            <w:pPr>
              <w:pStyle w:val="TableParagraph"/>
              <w:spacing w:before="40"/>
              <w:rPr>
                <w:rFonts w:ascii="Verdana" w:hAnsi="Verdana"/>
                <w:b/>
                <w:sz w:val="18"/>
                <w:szCs w:val="18"/>
              </w:rPr>
            </w:pPr>
          </w:p>
          <w:p w14:paraId="433CC5D3" w14:textId="77777777" w:rsidR="008715BE" w:rsidRPr="00EC75B7" w:rsidRDefault="00000000">
            <w:pPr>
              <w:pStyle w:val="TableParagraph"/>
              <w:spacing w:before="1"/>
              <w:ind w:left="141" w:firstLine="16"/>
              <w:rPr>
                <w:rFonts w:ascii="Verdana" w:hAnsi="Verdana"/>
                <w:b/>
                <w:sz w:val="18"/>
                <w:szCs w:val="18"/>
              </w:rPr>
            </w:pPr>
            <w:r w:rsidRPr="00EC75B7">
              <w:rPr>
                <w:rFonts w:ascii="Verdana" w:hAnsi="Verdana"/>
                <w:b/>
                <w:color w:val="FFFFFF"/>
                <w:spacing w:val="-2"/>
                <w:sz w:val="18"/>
                <w:szCs w:val="18"/>
              </w:rPr>
              <w:t>Secondary impacts</w:t>
            </w:r>
          </w:p>
        </w:tc>
        <w:tc>
          <w:tcPr>
            <w:tcW w:w="1389" w:type="dxa"/>
            <w:shd w:val="clear" w:color="auto" w:fill="00A1E8"/>
          </w:tcPr>
          <w:p w14:paraId="0D7E012E" w14:textId="77777777" w:rsidR="008715BE" w:rsidRPr="00EC75B7" w:rsidRDefault="008715BE">
            <w:pPr>
              <w:pStyle w:val="TableParagraph"/>
              <w:spacing w:before="40"/>
              <w:rPr>
                <w:rFonts w:ascii="Verdana" w:hAnsi="Verdana"/>
                <w:b/>
                <w:sz w:val="18"/>
                <w:szCs w:val="18"/>
              </w:rPr>
            </w:pPr>
          </w:p>
          <w:p w14:paraId="35FFE6CD" w14:textId="77777777" w:rsidR="008715BE" w:rsidRPr="00EC75B7" w:rsidRDefault="00000000">
            <w:pPr>
              <w:pStyle w:val="TableParagraph"/>
              <w:spacing w:before="1"/>
              <w:ind w:left="200" w:right="182" w:firstLine="48"/>
              <w:rPr>
                <w:rFonts w:ascii="Verdana" w:hAnsi="Verdana"/>
                <w:b/>
                <w:sz w:val="18"/>
                <w:szCs w:val="18"/>
              </w:rPr>
            </w:pPr>
            <w:r w:rsidRPr="00EC75B7">
              <w:rPr>
                <w:rFonts w:ascii="Verdana" w:hAnsi="Verdana"/>
                <w:b/>
                <w:color w:val="FFFFFF"/>
                <w:spacing w:val="-2"/>
                <w:sz w:val="18"/>
                <w:szCs w:val="18"/>
              </w:rPr>
              <w:t>Cumulative impacts</w:t>
            </w:r>
          </w:p>
        </w:tc>
        <w:tc>
          <w:tcPr>
            <w:tcW w:w="1201" w:type="dxa"/>
            <w:shd w:val="clear" w:color="auto" w:fill="00A1E8"/>
          </w:tcPr>
          <w:p w14:paraId="35461CF1" w14:textId="77777777" w:rsidR="008715BE" w:rsidRPr="00EC75B7" w:rsidRDefault="00000000">
            <w:pPr>
              <w:pStyle w:val="TableParagraph"/>
              <w:spacing w:before="41"/>
              <w:ind w:left="157" w:right="95" w:hanging="44"/>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736" w:type="dxa"/>
            <w:shd w:val="clear" w:color="auto" w:fill="00A1E8"/>
          </w:tcPr>
          <w:p w14:paraId="5DD1148D" w14:textId="77777777" w:rsidR="008715BE" w:rsidRPr="00EC75B7" w:rsidRDefault="008715BE">
            <w:pPr>
              <w:pStyle w:val="TableParagraph"/>
              <w:spacing w:before="136"/>
              <w:rPr>
                <w:rFonts w:ascii="Verdana" w:hAnsi="Verdana"/>
                <w:b/>
                <w:sz w:val="18"/>
                <w:szCs w:val="18"/>
              </w:rPr>
            </w:pPr>
          </w:p>
          <w:p w14:paraId="390E5E9B" w14:textId="77777777" w:rsidR="008715BE" w:rsidRPr="00EC75B7" w:rsidRDefault="00000000">
            <w:pPr>
              <w:pStyle w:val="TableParagraph"/>
              <w:spacing w:before="1"/>
              <w:ind w:left="202"/>
              <w:rPr>
                <w:rFonts w:ascii="Verdana" w:hAnsi="Verdana"/>
                <w:b/>
                <w:sz w:val="18"/>
                <w:szCs w:val="18"/>
              </w:rPr>
            </w:pPr>
            <w:r w:rsidRPr="00EC75B7">
              <w:rPr>
                <w:rFonts w:ascii="Verdana" w:hAnsi="Verdana"/>
                <w:b/>
                <w:color w:val="FFFFFF"/>
                <w:spacing w:val="-2"/>
                <w:sz w:val="18"/>
                <w:szCs w:val="18"/>
              </w:rPr>
              <w:t>Species/habitat</w:t>
            </w:r>
          </w:p>
        </w:tc>
        <w:tc>
          <w:tcPr>
            <w:tcW w:w="1897" w:type="dxa"/>
            <w:shd w:val="clear" w:color="auto" w:fill="00A1E8"/>
          </w:tcPr>
          <w:p w14:paraId="77504409" w14:textId="77777777" w:rsidR="008715BE" w:rsidRPr="00EC75B7" w:rsidRDefault="008715BE">
            <w:pPr>
              <w:pStyle w:val="TableParagraph"/>
              <w:spacing w:before="40"/>
              <w:rPr>
                <w:rFonts w:ascii="Verdana" w:hAnsi="Verdana"/>
                <w:b/>
                <w:sz w:val="18"/>
                <w:szCs w:val="18"/>
              </w:rPr>
            </w:pPr>
          </w:p>
          <w:p w14:paraId="5D4F0467" w14:textId="77777777" w:rsidR="008715BE" w:rsidRPr="00EC75B7" w:rsidRDefault="00000000">
            <w:pPr>
              <w:pStyle w:val="TableParagraph"/>
              <w:spacing w:before="1" w:line="195" w:lineRule="exact"/>
              <w:ind w:left="396"/>
              <w:rPr>
                <w:rFonts w:ascii="Verdana" w:hAnsi="Verdana"/>
                <w:b/>
                <w:sz w:val="18"/>
                <w:szCs w:val="18"/>
              </w:rPr>
            </w:pPr>
            <w:r w:rsidRPr="00EC75B7">
              <w:rPr>
                <w:rFonts w:ascii="Verdana" w:hAnsi="Verdana"/>
                <w:b/>
                <w:color w:val="FFFFFF"/>
                <w:sz w:val="18"/>
                <w:szCs w:val="18"/>
              </w:rPr>
              <w:t>Param</w:t>
            </w:r>
            <w:r w:rsidRPr="00EC75B7">
              <w:rPr>
                <w:rFonts w:ascii="Verdana" w:hAnsi="Verdana"/>
                <w:b/>
                <w:color w:val="FFFFFF"/>
                <w:spacing w:val="-10"/>
                <w:sz w:val="18"/>
                <w:szCs w:val="18"/>
              </w:rPr>
              <w:t>eter</w:t>
            </w:r>
            <w:r w:rsidRPr="00EC75B7">
              <w:rPr>
                <w:rFonts w:ascii="Verdana" w:hAnsi="Verdana"/>
                <w:b/>
                <w:color w:val="FFFFFF"/>
                <w:sz w:val="18"/>
                <w:szCs w:val="18"/>
              </w:rPr>
              <w:t>/</w:t>
            </w:r>
          </w:p>
          <w:p w14:paraId="3B68DC6E" w14:textId="77777777" w:rsidR="008715BE" w:rsidRPr="00EC75B7" w:rsidRDefault="00000000">
            <w:pPr>
              <w:pStyle w:val="TableParagraph"/>
              <w:spacing w:line="195" w:lineRule="exact"/>
              <w:ind w:left="350"/>
              <w:rPr>
                <w:rFonts w:ascii="Verdana" w:hAnsi="Verdana"/>
                <w:b/>
                <w:sz w:val="18"/>
                <w:szCs w:val="18"/>
              </w:rPr>
            </w:pPr>
            <w:r w:rsidRPr="00EC75B7">
              <w:rPr>
                <w:rFonts w:ascii="Verdana" w:hAnsi="Verdana"/>
                <w:b/>
                <w:color w:val="FFFFFF"/>
                <w:spacing w:val="-2"/>
                <w:sz w:val="18"/>
                <w:szCs w:val="18"/>
              </w:rPr>
              <w:t>affected</w:t>
            </w:r>
            <w:r w:rsidRPr="00EC75B7">
              <w:rPr>
                <w:rFonts w:ascii="Verdana" w:hAnsi="Verdana"/>
                <w:b/>
                <w:color w:val="FFFFFF"/>
                <w:sz w:val="18"/>
                <w:szCs w:val="18"/>
              </w:rPr>
              <w:t xml:space="preserve"> target</w:t>
            </w:r>
          </w:p>
        </w:tc>
        <w:tc>
          <w:tcPr>
            <w:tcW w:w="3860" w:type="dxa"/>
            <w:shd w:val="clear" w:color="auto" w:fill="00A1E8"/>
          </w:tcPr>
          <w:p w14:paraId="40DD28D9" w14:textId="77777777" w:rsidR="008715BE" w:rsidRPr="00EC75B7" w:rsidRDefault="008715BE">
            <w:pPr>
              <w:pStyle w:val="TableParagraph"/>
              <w:spacing w:before="40"/>
              <w:rPr>
                <w:rFonts w:ascii="Verdana" w:hAnsi="Verdana"/>
                <w:b/>
                <w:sz w:val="18"/>
                <w:szCs w:val="18"/>
              </w:rPr>
            </w:pPr>
          </w:p>
          <w:p w14:paraId="7F74F235" w14:textId="77777777" w:rsidR="008715BE" w:rsidRPr="00EC75B7" w:rsidRDefault="00000000">
            <w:pPr>
              <w:pStyle w:val="TableParagraph"/>
              <w:spacing w:before="1"/>
              <w:ind w:left="1126" w:right="1098"/>
              <w:jc w:val="center"/>
              <w:rPr>
                <w:rFonts w:ascii="Verdana" w:hAnsi="Verdana"/>
                <w:b/>
                <w:sz w:val="18"/>
                <w:szCs w:val="18"/>
              </w:rPr>
            </w:pPr>
            <w:r w:rsidRPr="00EC75B7">
              <w:rPr>
                <w:rFonts w:ascii="Verdana" w:hAnsi="Verdana"/>
                <w:b/>
                <w:color w:val="FFFFFF"/>
                <w:spacing w:val="-2"/>
                <w:sz w:val="18"/>
                <w:szCs w:val="18"/>
              </w:rPr>
              <w:t>Impact quantification</w:t>
            </w:r>
          </w:p>
        </w:tc>
        <w:tc>
          <w:tcPr>
            <w:tcW w:w="1889" w:type="dxa"/>
            <w:shd w:val="clear" w:color="auto" w:fill="00A1E8"/>
          </w:tcPr>
          <w:p w14:paraId="447CD23D" w14:textId="77777777" w:rsidR="008715BE" w:rsidRPr="00EC75B7" w:rsidRDefault="008715BE">
            <w:pPr>
              <w:pStyle w:val="TableParagraph"/>
              <w:spacing w:before="40"/>
              <w:rPr>
                <w:rFonts w:ascii="Verdana" w:hAnsi="Verdana"/>
                <w:b/>
                <w:sz w:val="18"/>
                <w:szCs w:val="18"/>
              </w:rPr>
            </w:pPr>
          </w:p>
          <w:p w14:paraId="039A5916" w14:textId="77777777" w:rsidR="008715BE" w:rsidRPr="00EC75B7" w:rsidRDefault="00000000">
            <w:pPr>
              <w:pStyle w:val="TableParagraph"/>
              <w:spacing w:before="1"/>
              <w:ind w:left="421" w:firstLine="208"/>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method</w:t>
            </w:r>
          </w:p>
        </w:tc>
      </w:tr>
      <w:tr w:rsidR="008715BE" w:rsidRPr="00EC75B7" w14:paraId="113C3295" w14:textId="77777777">
        <w:trPr>
          <w:trHeight w:val="2915"/>
        </w:trPr>
        <w:tc>
          <w:tcPr>
            <w:tcW w:w="523" w:type="dxa"/>
            <w:vMerge w:val="restart"/>
          </w:tcPr>
          <w:p w14:paraId="7FD563F1" w14:textId="77777777" w:rsidR="008715BE" w:rsidRPr="00EC75B7" w:rsidRDefault="008715BE">
            <w:pPr>
              <w:pStyle w:val="TableParagraph"/>
              <w:rPr>
                <w:rFonts w:ascii="Verdana" w:hAnsi="Verdana"/>
                <w:sz w:val="18"/>
                <w:szCs w:val="18"/>
              </w:rPr>
            </w:pPr>
          </w:p>
        </w:tc>
        <w:tc>
          <w:tcPr>
            <w:tcW w:w="2323" w:type="dxa"/>
          </w:tcPr>
          <w:p w14:paraId="386811D5" w14:textId="77777777" w:rsidR="008715BE" w:rsidRPr="00EC75B7" w:rsidRDefault="008715BE">
            <w:pPr>
              <w:pStyle w:val="TableParagraph"/>
              <w:rPr>
                <w:rFonts w:ascii="Verdana" w:hAnsi="Verdana"/>
                <w:sz w:val="18"/>
                <w:szCs w:val="18"/>
              </w:rPr>
            </w:pPr>
          </w:p>
        </w:tc>
        <w:tc>
          <w:tcPr>
            <w:tcW w:w="3149" w:type="dxa"/>
          </w:tcPr>
          <w:p w14:paraId="0B80E6D5"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Increase in </w:t>
            </w:r>
            <w:r w:rsidRPr="00EC75B7">
              <w:rPr>
                <w:rFonts w:ascii="Verdana" w:hAnsi="Verdana"/>
                <w:spacing w:val="-2"/>
                <w:sz w:val="18"/>
                <w:szCs w:val="18"/>
              </w:rPr>
              <w:t xml:space="preserve">noise </w:t>
            </w:r>
            <w:r w:rsidRPr="00EC75B7">
              <w:rPr>
                <w:rFonts w:ascii="Verdana" w:hAnsi="Verdana"/>
                <w:sz w:val="18"/>
                <w:szCs w:val="18"/>
              </w:rPr>
              <w:t>level</w:t>
            </w:r>
          </w:p>
        </w:tc>
        <w:tc>
          <w:tcPr>
            <w:tcW w:w="1106" w:type="dxa"/>
          </w:tcPr>
          <w:p w14:paraId="6B2433AC"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PAS</w:t>
            </w:r>
          </w:p>
        </w:tc>
        <w:tc>
          <w:tcPr>
            <w:tcW w:w="1108" w:type="dxa"/>
          </w:tcPr>
          <w:p w14:paraId="66DF3376"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1BC617F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19919634"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013C02F7"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764A6870"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1F957F0F"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453836E5" w14:textId="77777777" w:rsidR="008715BE" w:rsidRPr="00EC75B7" w:rsidRDefault="00000000">
            <w:pPr>
              <w:pStyle w:val="TableParagraph"/>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189EBDDE" w14:textId="77777777" w:rsidR="008715BE" w:rsidRPr="00EC75B7" w:rsidRDefault="00000000">
            <w:pPr>
              <w:pStyle w:val="TableParagraph"/>
              <w:spacing w:line="164" w:lineRule="exact"/>
              <w:ind w:left="111"/>
              <w:jc w:val="both"/>
              <w:rPr>
                <w:rFonts w:ascii="Verdana" w:hAnsi="Verdana"/>
                <w:i/>
                <w:sz w:val="18"/>
                <w:szCs w:val="18"/>
              </w:rPr>
            </w:pPr>
            <w:r w:rsidRPr="00EC75B7">
              <w:rPr>
                <w:rFonts w:ascii="Verdana" w:hAnsi="Verdana"/>
                <w:i/>
                <w:spacing w:val="-2"/>
                <w:sz w:val="18"/>
                <w:szCs w:val="18"/>
              </w:rPr>
              <w:t xml:space="preserve">presence </w:t>
            </w:r>
            <w:r w:rsidRPr="00EC75B7">
              <w:rPr>
                <w:rFonts w:ascii="Verdana" w:hAnsi="Verdana"/>
                <w:i/>
                <w:sz w:val="18"/>
                <w:szCs w:val="18"/>
              </w:rPr>
              <w:t>is confirmed</w:t>
            </w:r>
            <w:r w:rsidRPr="00EC75B7">
              <w:rPr>
                <w:rFonts w:ascii="Verdana" w:hAnsi="Verdana"/>
                <w:i/>
                <w:spacing w:val="-2"/>
                <w:sz w:val="18"/>
                <w:szCs w:val="18"/>
              </w:rPr>
              <w:t>)</w:t>
            </w:r>
          </w:p>
        </w:tc>
        <w:tc>
          <w:tcPr>
            <w:tcW w:w="1897" w:type="dxa"/>
          </w:tcPr>
          <w:p w14:paraId="1CE6BCDA"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5AE7AA72" w14:textId="77777777" w:rsidR="008715BE" w:rsidRPr="00EC75B7" w:rsidRDefault="00000000">
            <w:pPr>
              <w:pStyle w:val="TableParagraph"/>
              <w:spacing w:before="8"/>
              <w:ind w:left="117" w:right="86"/>
              <w:jc w:val="both"/>
              <w:rPr>
                <w:rFonts w:ascii="Verdana" w:hAnsi="Verdana"/>
                <w:sz w:val="18"/>
                <w:szCs w:val="18"/>
              </w:rPr>
            </w:pPr>
            <w:r w:rsidRPr="00EC75B7">
              <w:rPr>
                <w:rFonts w:ascii="Verdana" w:hAnsi="Verdana"/>
                <w:sz w:val="18"/>
                <w:szCs w:val="18"/>
              </w:rPr>
              <w:t>Possible disturbance of the activity of a maximum of 2 to 3 individuals</w:t>
            </w:r>
          </w:p>
          <w:p w14:paraId="0482BA8C" w14:textId="77777777" w:rsidR="008715BE" w:rsidRPr="00EC75B7" w:rsidRDefault="00000000">
            <w:pPr>
              <w:pStyle w:val="TableParagraph"/>
              <w:ind w:left="117" w:right="83"/>
              <w:jc w:val="both"/>
              <w:rPr>
                <w:rFonts w:ascii="Verdana" w:hAnsi="Verdana"/>
                <w:sz w:val="18"/>
                <w:szCs w:val="18"/>
              </w:rPr>
            </w:pPr>
            <w:r w:rsidRPr="00EC75B7">
              <w:rPr>
                <w:rFonts w:ascii="Verdana" w:hAnsi="Verdana"/>
                <w:sz w:val="18"/>
                <w:szCs w:val="18"/>
              </w:rPr>
              <w:t>The effects will be felt locally, at distances that are not likely to affect sensitive receptors in the area</w:t>
            </w:r>
          </w:p>
          <w:p w14:paraId="263B4C40" w14:textId="77777777" w:rsidR="008715BE" w:rsidRPr="00EC75B7" w:rsidRDefault="00000000">
            <w:pPr>
              <w:pStyle w:val="TableParagraph"/>
              <w:ind w:left="117" w:right="86"/>
              <w:jc w:val="both"/>
              <w:rPr>
                <w:rFonts w:ascii="Verdana" w:hAnsi="Verdana"/>
                <w:sz w:val="18"/>
                <w:szCs w:val="18"/>
              </w:rPr>
            </w:pPr>
            <w:r w:rsidRPr="00EC75B7">
              <w:rPr>
                <w:rFonts w:ascii="Verdana" w:hAnsi="Verdana"/>
                <w:sz w:val="18"/>
                <w:szCs w:val="18"/>
              </w:rPr>
              <w:t>The 30 dB noise isoline will be felt at distances of up to 1.5 km around the work area</w:t>
            </w:r>
          </w:p>
        </w:tc>
        <w:tc>
          <w:tcPr>
            <w:tcW w:w="1889" w:type="dxa"/>
          </w:tcPr>
          <w:p w14:paraId="4BE9005A" w14:textId="77777777" w:rsidR="008715BE" w:rsidRPr="00EC75B7" w:rsidRDefault="00000000">
            <w:pPr>
              <w:pStyle w:val="TableParagraph"/>
              <w:tabs>
                <w:tab w:val="left" w:pos="1129"/>
              </w:tabs>
              <w:spacing w:before="8"/>
              <w:ind w:left="119" w:right="80"/>
              <w:rPr>
                <w:rFonts w:ascii="Verdana" w:hAnsi="Verdana"/>
                <w:sz w:val="18"/>
                <w:szCs w:val="18"/>
              </w:rPr>
            </w:pPr>
            <w:r w:rsidRPr="00EC75B7">
              <w:rPr>
                <w:rFonts w:ascii="Verdana" w:hAnsi="Verdana"/>
                <w:sz w:val="18"/>
                <w:szCs w:val="18"/>
              </w:rPr>
              <w:t xml:space="preserve">Spatial analysis and data provided by </w:t>
            </w:r>
            <w:r w:rsidRPr="00EC75B7">
              <w:rPr>
                <w:rFonts w:ascii="Verdana" w:hAnsi="Verdana"/>
                <w:spacing w:val="-2"/>
                <w:sz w:val="18"/>
                <w:szCs w:val="18"/>
              </w:rPr>
              <w:t>the Bulgarian Ministry of Environment</w:t>
            </w:r>
            <w:r w:rsidRPr="00EC75B7">
              <w:rPr>
                <w:rFonts w:ascii="Verdana" w:hAnsi="Verdana"/>
                <w:sz w:val="18"/>
                <w:szCs w:val="18"/>
              </w:rPr>
              <w:tab/>
              <w:t xml:space="preserve">at the request of </w:t>
            </w:r>
            <w:r w:rsidRPr="00EC75B7">
              <w:rPr>
                <w:rFonts w:ascii="Verdana" w:hAnsi="Verdana"/>
                <w:spacing w:val="-2"/>
                <w:sz w:val="18"/>
                <w:szCs w:val="18"/>
              </w:rPr>
              <w:t>the project beneficiary</w:t>
            </w:r>
          </w:p>
          <w:p w14:paraId="44BF5303" w14:textId="77777777" w:rsidR="008715BE" w:rsidRPr="00EC75B7" w:rsidRDefault="00000000">
            <w:pPr>
              <w:pStyle w:val="TableParagraph"/>
              <w:tabs>
                <w:tab w:val="left" w:pos="915"/>
                <w:tab w:val="left" w:pos="1441"/>
              </w:tabs>
              <w:ind w:left="119" w:right="80"/>
              <w:rPr>
                <w:rFonts w:ascii="Verdana" w:hAnsi="Verdana"/>
                <w:sz w:val="18"/>
                <w:szCs w:val="18"/>
              </w:rPr>
            </w:pPr>
            <w:r w:rsidRPr="00EC75B7">
              <w:rPr>
                <w:rFonts w:ascii="Verdana" w:hAnsi="Verdana"/>
                <w:spacing w:val="-2"/>
                <w:sz w:val="18"/>
                <w:szCs w:val="18"/>
              </w:rPr>
              <w:t>Analysis</w:t>
            </w:r>
            <w:r w:rsidRPr="00EC75B7">
              <w:rPr>
                <w:rFonts w:ascii="Verdana" w:hAnsi="Verdana"/>
                <w:sz w:val="18"/>
                <w:szCs w:val="18"/>
              </w:rPr>
              <w:tab/>
            </w:r>
            <w:r w:rsidRPr="00EC75B7">
              <w:rPr>
                <w:rFonts w:ascii="Verdana" w:hAnsi="Verdana"/>
                <w:spacing w:val="-4"/>
                <w:sz w:val="18"/>
                <w:szCs w:val="18"/>
              </w:rPr>
              <w:t>GIS</w:t>
            </w:r>
            <w:r w:rsidRPr="00EC75B7">
              <w:rPr>
                <w:rFonts w:ascii="Verdana" w:hAnsi="Verdana"/>
                <w:sz w:val="18"/>
                <w:szCs w:val="18"/>
              </w:rPr>
              <w:tab/>
            </w:r>
            <w:r w:rsidRPr="00EC75B7">
              <w:rPr>
                <w:rFonts w:ascii="Verdana" w:hAnsi="Verdana"/>
                <w:spacing w:val="-4"/>
                <w:sz w:val="18"/>
                <w:szCs w:val="18"/>
              </w:rPr>
              <w:t xml:space="preserve">of land </w:t>
            </w:r>
            <w:r w:rsidRPr="00EC75B7">
              <w:rPr>
                <w:rFonts w:ascii="Verdana" w:hAnsi="Verdana"/>
                <w:spacing w:val="-6"/>
                <w:sz w:val="18"/>
                <w:szCs w:val="18"/>
              </w:rPr>
              <w:t>data</w:t>
            </w:r>
          </w:p>
          <w:p w14:paraId="7AE07D84" w14:textId="77777777" w:rsidR="008715BE" w:rsidRPr="00EC75B7" w:rsidRDefault="00000000">
            <w:pPr>
              <w:pStyle w:val="TableParagraph"/>
              <w:tabs>
                <w:tab w:val="left" w:pos="1417"/>
              </w:tabs>
              <w:ind w:left="119" w:right="82"/>
              <w:rPr>
                <w:rFonts w:ascii="Verdana" w:hAnsi="Verdana"/>
                <w:sz w:val="18"/>
                <w:szCs w:val="18"/>
              </w:rPr>
            </w:pPr>
            <w:r w:rsidRPr="00EC75B7">
              <w:rPr>
                <w:rFonts w:ascii="Verdana" w:hAnsi="Verdana"/>
                <w:spacing w:val="-2"/>
                <w:sz w:val="18"/>
                <w:szCs w:val="18"/>
              </w:rPr>
              <w:t>Modeling</w:t>
            </w:r>
            <w:r w:rsidRPr="00EC75B7">
              <w:rPr>
                <w:rFonts w:ascii="Verdana" w:hAnsi="Verdana"/>
                <w:sz w:val="18"/>
                <w:szCs w:val="18"/>
              </w:rPr>
              <w:tab/>
            </w:r>
            <w:r w:rsidRPr="00EC75B7">
              <w:rPr>
                <w:rFonts w:ascii="Verdana" w:hAnsi="Verdana"/>
                <w:spacing w:val="-2"/>
                <w:sz w:val="18"/>
                <w:szCs w:val="18"/>
              </w:rPr>
              <w:t xml:space="preserve">Noise </w:t>
            </w:r>
            <w:r w:rsidRPr="00EC75B7">
              <w:rPr>
                <w:rFonts w:ascii="Verdana" w:hAnsi="Verdana"/>
                <w:spacing w:val="-4"/>
                <w:sz w:val="18"/>
                <w:szCs w:val="18"/>
              </w:rPr>
              <w:t>level</w:t>
            </w:r>
          </w:p>
        </w:tc>
      </w:tr>
      <w:tr w:rsidR="008715BE" w:rsidRPr="00EC75B7" w14:paraId="7F013AE2" w14:textId="77777777">
        <w:trPr>
          <w:trHeight w:val="2918"/>
        </w:trPr>
        <w:tc>
          <w:tcPr>
            <w:tcW w:w="523" w:type="dxa"/>
            <w:vMerge/>
            <w:tcBorders>
              <w:top w:val="nil"/>
            </w:tcBorders>
          </w:tcPr>
          <w:p w14:paraId="4D6D3AE5" w14:textId="77777777" w:rsidR="008715BE" w:rsidRPr="00EC75B7" w:rsidRDefault="008715BE">
            <w:pPr>
              <w:rPr>
                <w:rFonts w:ascii="Verdana" w:hAnsi="Verdana"/>
                <w:sz w:val="18"/>
                <w:szCs w:val="18"/>
              </w:rPr>
            </w:pPr>
          </w:p>
        </w:tc>
        <w:tc>
          <w:tcPr>
            <w:tcW w:w="2323" w:type="dxa"/>
            <w:vMerge w:val="restart"/>
          </w:tcPr>
          <w:p w14:paraId="727948F1" w14:textId="77777777" w:rsidR="008715BE" w:rsidRPr="00EC75B7" w:rsidRDefault="00000000">
            <w:pPr>
              <w:pStyle w:val="TableParagraph"/>
              <w:spacing w:before="8"/>
              <w:ind w:left="105" w:right="96"/>
              <w:jc w:val="both"/>
              <w:rPr>
                <w:rFonts w:ascii="Verdana" w:hAnsi="Verdana"/>
                <w:sz w:val="18"/>
                <w:szCs w:val="18"/>
              </w:rPr>
            </w:pPr>
            <w:r w:rsidRPr="00EC75B7">
              <w:rPr>
                <w:rFonts w:ascii="Verdana" w:hAnsi="Verdana"/>
                <w:sz w:val="18"/>
                <w:szCs w:val="18"/>
              </w:rPr>
              <w:t xml:space="preserve">Decommissioning/demolition works Land restoration/rehabilitation works at the end of </w:t>
            </w:r>
            <w:r w:rsidRPr="00EC75B7">
              <w:rPr>
                <w:rFonts w:ascii="Verdana" w:hAnsi="Verdana"/>
                <w:spacing w:val="-2"/>
                <w:sz w:val="18"/>
                <w:szCs w:val="18"/>
              </w:rPr>
              <w:t xml:space="preserve">the project's </w:t>
            </w:r>
            <w:r w:rsidRPr="00EC75B7">
              <w:rPr>
                <w:rFonts w:ascii="Verdana" w:hAnsi="Verdana"/>
                <w:sz w:val="18"/>
                <w:szCs w:val="18"/>
              </w:rPr>
              <w:t>life cycle</w:t>
            </w:r>
          </w:p>
        </w:tc>
        <w:tc>
          <w:tcPr>
            <w:tcW w:w="3149" w:type="dxa"/>
          </w:tcPr>
          <w:p w14:paraId="31F03904" w14:textId="77777777" w:rsidR="008715BE" w:rsidRPr="00EC75B7" w:rsidRDefault="00000000">
            <w:pPr>
              <w:pStyle w:val="TableParagraph"/>
              <w:spacing w:before="8"/>
              <w:ind w:left="108" w:right="93"/>
              <w:jc w:val="both"/>
              <w:rPr>
                <w:rFonts w:ascii="Verdana" w:hAnsi="Verdana"/>
                <w:sz w:val="18"/>
                <w:szCs w:val="18"/>
              </w:rPr>
            </w:pPr>
            <w:r w:rsidRPr="00EC75B7">
              <w:rPr>
                <w:rFonts w:ascii="Verdana" w:hAnsi="Verdana"/>
                <w:sz w:val="18"/>
                <w:szCs w:val="18"/>
              </w:rPr>
              <w:t xml:space="preserve">Collision of wildlife with vehicle traffic on access roads/machinery in the </w:t>
            </w:r>
            <w:r w:rsidRPr="00EC75B7">
              <w:rPr>
                <w:rFonts w:ascii="Verdana" w:hAnsi="Verdana"/>
                <w:spacing w:val="-2"/>
                <w:sz w:val="18"/>
                <w:szCs w:val="18"/>
              </w:rPr>
              <w:t>work</w:t>
            </w:r>
            <w:r w:rsidRPr="00EC75B7">
              <w:rPr>
                <w:rFonts w:ascii="Verdana" w:hAnsi="Verdana"/>
                <w:sz w:val="18"/>
                <w:szCs w:val="18"/>
              </w:rPr>
              <w:t xml:space="preserve"> area</w:t>
            </w:r>
          </w:p>
        </w:tc>
        <w:tc>
          <w:tcPr>
            <w:tcW w:w="1106" w:type="dxa"/>
          </w:tcPr>
          <w:p w14:paraId="67C824D8"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REP</w:t>
            </w:r>
          </w:p>
        </w:tc>
        <w:tc>
          <w:tcPr>
            <w:tcW w:w="1108" w:type="dxa"/>
          </w:tcPr>
          <w:p w14:paraId="043A5CDF"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4E0987CA"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5EAB33BC"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01" w:type="dxa"/>
          </w:tcPr>
          <w:p w14:paraId="68ECADF4"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the short term</w:t>
            </w:r>
          </w:p>
        </w:tc>
        <w:tc>
          <w:tcPr>
            <w:tcW w:w="1736" w:type="dxa"/>
          </w:tcPr>
          <w:p w14:paraId="5ADA50BE" w14:textId="77777777" w:rsidR="008715BE" w:rsidRPr="00EC75B7" w:rsidRDefault="00000000">
            <w:pPr>
              <w:pStyle w:val="TableParagraph"/>
              <w:spacing w:before="8"/>
              <w:ind w:left="111" w:right="390"/>
              <w:rPr>
                <w:rFonts w:ascii="Verdana" w:hAnsi="Verdana"/>
                <w:i/>
                <w:sz w:val="18"/>
                <w:szCs w:val="18"/>
              </w:rPr>
            </w:pPr>
            <w:r w:rsidRPr="00EC75B7">
              <w:rPr>
                <w:rFonts w:ascii="Verdana" w:hAnsi="Verdana"/>
                <w:i/>
                <w:spacing w:val="-2"/>
                <w:sz w:val="18"/>
                <w:szCs w:val="18"/>
              </w:rPr>
              <w:t>Spermophilus citellus, Mesocricetus newtoni, Mustela eversmanii, Vormela peregusna</w:t>
            </w:r>
          </w:p>
          <w:p w14:paraId="04586078" w14:textId="77777777" w:rsidR="008715BE" w:rsidRPr="00EC75B7" w:rsidRDefault="00000000">
            <w:pPr>
              <w:pStyle w:val="TableParagraph"/>
              <w:tabs>
                <w:tab w:val="left" w:pos="931"/>
              </w:tabs>
              <w:ind w:left="111" w:right="88"/>
              <w:jc w:val="both"/>
              <w:rPr>
                <w:rFonts w:ascii="Verdana" w:hAnsi="Verdana"/>
                <w:i/>
                <w:sz w:val="18"/>
                <w:szCs w:val="18"/>
              </w:rPr>
            </w:pPr>
            <w:r w:rsidRPr="00EC75B7">
              <w:rPr>
                <w:rFonts w:ascii="Verdana" w:hAnsi="Verdana"/>
                <w:i/>
                <w:sz w:val="18"/>
                <w:szCs w:val="18"/>
              </w:rPr>
              <w:t xml:space="preserve">Canis lupus (only </w:t>
            </w:r>
            <w:r w:rsidRPr="00EC75B7">
              <w:rPr>
                <w:rFonts w:ascii="Verdana" w:hAnsi="Verdana"/>
                <w:i/>
                <w:spacing w:val="-6"/>
                <w:sz w:val="18"/>
                <w:szCs w:val="18"/>
              </w:rPr>
              <w:t>if</w:t>
            </w:r>
            <w:r w:rsidRPr="00EC75B7">
              <w:rPr>
                <w:rFonts w:ascii="Verdana" w:hAnsi="Verdana"/>
                <w:i/>
                <w:sz w:val="18"/>
                <w:szCs w:val="18"/>
              </w:rPr>
              <w:tab/>
            </w:r>
            <w:r w:rsidRPr="00EC75B7">
              <w:rPr>
                <w:rFonts w:ascii="Verdana" w:hAnsi="Verdana"/>
                <w:i/>
                <w:spacing w:val="-2"/>
                <w:sz w:val="18"/>
                <w:szCs w:val="18"/>
              </w:rPr>
              <w:t>presence</w:t>
            </w:r>
            <w:r w:rsidRPr="00EC75B7">
              <w:rPr>
                <w:rFonts w:ascii="Verdana" w:hAnsi="Verdana"/>
                <w:i/>
                <w:spacing w:val="-4"/>
                <w:sz w:val="18"/>
                <w:szCs w:val="18"/>
              </w:rPr>
              <w:t xml:space="preserve"> is confirmed</w:t>
            </w:r>
            <w:r w:rsidRPr="00EC75B7">
              <w:rPr>
                <w:rFonts w:ascii="Verdana" w:hAnsi="Verdana"/>
                <w:i/>
                <w:spacing w:val="-2"/>
                <w:sz w:val="18"/>
                <w:szCs w:val="18"/>
              </w:rPr>
              <w:t>)</w:t>
            </w:r>
          </w:p>
          <w:p w14:paraId="4D798E18" w14:textId="77777777" w:rsidR="008715BE" w:rsidRPr="00EC75B7" w:rsidRDefault="00000000">
            <w:pPr>
              <w:pStyle w:val="TableParagraph"/>
              <w:spacing w:line="242" w:lineRule="auto"/>
              <w:ind w:left="111" w:right="88"/>
              <w:jc w:val="both"/>
              <w:rPr>
                <w:rFonts w:ascii="Verdana" w:hAnsi="Verdana"/>
                <w:i/>
                <w:sz w:val="18"/>
                <w:szCs w:val="18"/>
              </w:rPr>
            </w:pPr>
            <w:r w:rsidRPr="00EC75B7">
              <w:rPr>
                <w:rFonts w:ascii="Verdana" w:hAnsi="Verdana"/>
                <w:i/>
                <w:sz w:val="18"/>
                <w:szCs w:val="18"/>
              </w:rPr>
              <w:t xml:space="preserve">Lynx lynx (only </w:t>
            </w:r>
            <w:r w:rsidRPr="00EC75B7">
              <w:rPr>
                <w:rFonts w:ascii="Verdana" w:hAnsi="Verdana"/>
                <w:i/>
                <w:spacing w:val="-5"/>
                <w:sz w:val="18"/>
                <w:szCs w:val="18"/>
              </w:rPr>
              <w:t>if</w:t>
            </w:r>
          </w:p>
          <w:p w14:paraId="4B4D18E4" w14:textId="77777777" w:rsidR="008715BE" w:rsidRPr="00EC75B7" w:rsidRDefault="00000000">
            <w:pPr>
              <w:pStyle w:val="TableParagraph"/>
              <w:spacing w:line="162" w:lineRule="exact"/>
              <w:ind w:left="111"/>
              <w:jc w:val="both"/>
              <w:rPr>
                <w:rFonts w:ascii="Verdana" w:hAnsi="Verdana"/>
                <w:i/>
                <w:sz w:val="18"/>
                <w:szCs w:val="18"/>
              </w:rPr>
            </w:pPr>
            <w:r w:rsidRPr="00EC75B7">
              <w:rPr>
                <w:rFonts w:ascii="Verdana" w:hAnsi="Verdana"/>
                <w:i/>
                <w:spacing w:val="1"/>
                <w:sz w:val="18"/>
                <w:szCs w:val="18"/>
              </w:rPr>
              <w:t>conf</w:t>
            </w:r>
            <w:r w:rsidRPr="00EC75B7">
              <w:rPr>
                <w:rFonts w:ascii="Verdana" w:hAnsi="Verdana"/>
                <w:i/>
                <w:sz w:val="18"/>
                <w:szCs w:val="18"/>
              </w:rPr>
              <w:t>irmed</w:t>
            </w:r>
            <w:r w:rsidRPr="00EC75B7">
              <w:rPr>
                <w:rFonts w:ascii="Verdana" w:hAnsi="Verdana"/>
                <w:i/>
                <w:spacing w:val="-2"/>
                <w:sz w:val="18"/>
                <w:szCs w:val="18"/>
              </w:rPr>
              <w:t>)</w:t>
            </w:r>
          </w:p>
        </w:tc>
        <w:tc>
          <w:tcPr>
            <w:tcW w:w="1897" w:type="dxa"/>
          </w:tcPr>
          <w:p w14:paraId="67C0CB6D" w14:textId="77777777" w:rsidR="008715BE" w:rsidRPr="00EC75B7" w:rsidRDefault="00000000">
            <w:pPr>
              <w:pStyle w:val="TableParagraph"/>
              <w:spacing w:before="8"/>
              <w:ind w:left="115"/>
              <w:rPr>
                <w:rFonts w:ascii="Verdana" w:hAnsi="Verdana"/>
                <w:sz w:val="18"/>
                <w:szCs w:val="18"/>
              </w:rPr>
            </w:pPr>
            <w:r w:rsidRPr="00EC75B7">
              <w:rPr>
                <w:rFonts w:ascii="Verdana" w:hAnsi="Verdana"/>
                <w:spacing w:val="-2"/>
                <w:sz w:val="18"/>
                <w:szCs w:val="18"/>
              </w:rPr>
              <w:t xml:space="preserve">Population </w:t>
            </w:r>
            <w:r w:rsidRPr="00EC75B7">
              <w:rPr>
                <w:rFonts w:ascii="Verdana" w:hAnsi="Verdana"/>
                <w:sz w:val="18"/>
                <w:szCs w:val="18"/>
              </w:rPr>
              <w:t>size</w:t>
            </w:r>
          </w:p>
        </w:tc>
        <w:tc>
          <w:tcPr>
            <w:tcW w:w="3860" w:type="dxa"/>
          </w:tcPr>
          <w:p w14:paraId="6A490450" w14:textId="77777777" w:rsidR="008715BE" w:rsidRPr="00EC75B7" w:rsidRDefault="00000000">
            <w:pPr>
              <w:pStyle w:val="TableParagraph"/>
              <w:spacing w:before="8"/>
              <w:ind w:left="117"/>
              <w:rPr>
                <w:rFonts w:ascii="Verdana" w:hAnsi="Verdana"/>
                <w:sz w:val="18"/>
                <w:szCs w:val="18"/>
              </w:rPr>
            </w:pPr>
            <w:r w:rsidRPr="00EC75B7">
              <w:rPr>
                <w:rFonts w:ascii="Verdana" w:hAnsi="Verdana"/>
                <w:spacing w:val="-2"/>
                <w:sz w:val="18"/>
                <w:szCs w:val="18"/>
              </w:rPr>
              <w:t>1/individual (accidental)</w:t>
            </w:r>
          </w:p>
        </w:tc>
        <w:tc>
          <w:tcPr>
            <w:tcW w:w="1889" w:type="dxa"/>
          </w:tcPr>
          <w:p w14:paraId="0E376A99" w14:textId="77777777" w:rsidR="008715BE" w:rsidRPr="00EC75B7" w:rsidRDefault="00000000">
            <w:pPr>
              <w:pStyle w:val="TableParagraph"/>
              <w:tabs>
                <w:tab w:val="left" w:pos="1223"/>
              </w:tabs>
              <w:spacing w:before="8"/>
              <w:ind w:left="119" w:right="82"/>
              <w:jc w:val="both"/>
              <w:rPr>
                <w:rFonts w:ascii="Verdana" w:hAnsi="Verdana"/>
                <w:sz w:val="18"/>
                <w:szCs w:val="18"/>
              </w:rPr>
            </w:pPr>
            <w:r w:rsidRPr="00EC75B7">
              <w:rPr>
                <w:rFonts w:ascii="Verdana" w:hAnsi="Verdana"/>
                <w:spacing w:val="-2"/>
                <w:sz w:val="18"/>
                <w:szCs w:val="18"/>
              </w:rPr>
              <w:t>Analysis</w:t>
            </w:r>
            <w:r w:rsidRPr="00EC75B7">
              <w:rPr>
                <w:rFonts w:ascii="Verdana" w:hAnsi="Verdana"/>
                <w:sz w:val="18"/>
                <w:szCs w:val="18"/>
              </w:rPr>
              <w:tab/>
              <w:t xml:space="preserve">of </w:t>
            </w:r>
            <w:r w:rsidRPr="00EC75B7">
              <w:rPr>
                <w:rFonts w:ascii="Verdana" w:hAnsi="Verdana"/>
                <w:spacing w:val="-2"/>
                <w:sz w:val="18"/>
                <w:szCs w:val="18"/>
              </w:rPr>
              <w:t xml:space="preserve">species </w:t>
            </w:r>
            <w:r w:rsidRPr="00EC75B7">
              <w:rPr>
                <w:rFonts w:ascii="Verdana" w:hAnsi="Verdana"/>
                <w:sz w:val="18"/>
                <w:szCs w:val="18"/>
              </w:rPr>
              <w:t xml:space="preserve">mortality </w:t>
            </w:r>
            <w:r w:rsidRPr="00EC75B7">
              <w:rPr>
                <w:rFonts w:ascii="Verdana" w:hAnsi="Verdana"/>
                <w:spacing w:val="-2"/>
                <w:sz w:val="18"/>
                <w:szCs w:val="18"/>
              </w:rPr>
              <w:t>risk</w:t>
            </w:r>
          </w:p>
        </w:tc>
      </w:tr>
      <w:tr w:rsidR="008715BE" w:rsidRPr="00EC75B7" w14:paraId="2BEA4A93" w14:textId="77777777">
        <w:trPr>
          <w:trHeight w:val="2721"/>
        </w:trPr>
        <w:tc>
          <w:tcPr>
            <w:tcW w:w="523" w:type="dxa"/>
            <w:vMerge/>
            <w:tcBorders>
              <w:top w:val="nil"/>
            </w:tcBorders>
          </w:tcPr>
          <w:p w14:paraId="6D3CDEFE" w14:textId="77777777" w:rsidR="008715BE" w:rsidRPr="00EC75B7" w:rsidRDefault="008715BE">
            <w:pPr>
              <w:rPr>
                <w:rFonts w:ascii="Verdana" w:hAnsi="Verdana"/>
                <w:sz w:val="18"/>
                <w:szCs w:val="18"/>
              </w:rPr>
            </w:pPr>
          </w:p>
        </w:tc>
        <w:tc>
          <w:tcPr>
            <w:tcW w:w="2323" w:type="dxa"/>
            <w:vMerge/>
            <w:tcBorders>
              <w:top w:val="nil"/>
            </w:tcBorders>
          </w:tcPr>
          <w:p w14:paraId="5343AFE2" w14:textId="77777777" w:rsidR="008715BE" w:rsidRPr="00EC75B7" w:rsidRDefault="008715BE">
            <w:pPr>
              <w:rPr>
                <w:rFonts w:ascii="Verdana" w:hAnsi="Verdana"/>
                <w:sz w:val="18"/>
                <w:szCs w:val="18"/>
              </w:rPr>
            </w:pPr>
          </w:p>
        </w:tc>
        <w:tc>
          <w:tcPr>
            <w:tcW w:w="3149" w:type="dxa"/>
          </w:tcPr>
          <w:p w14:paraId="66BF4372" w14:textId="77777777" w:rsidR="008715BE" w:rsidRPr="00EC75B7" w:rsidRDefault="00000000">
            <w:pPr>
              <w:pStyle w:val="TableParagraph"/>
              <w:tabs>
                <w:tab w:val="left" w:pos="1615"/>
                <w:tab w:val="left" w:pos="2916"/>
              </w:tabs>
              <w:spacing w:before="8"/>
              <w:ind w:left="108" w:right="93"/>
              <w:jc w:val="both"/>
              <w:rPr>
                <w:rFonts w:ascii="Verdana" w:hAnsi="Verdana"/>
                <w:sz w:val="18"/>
                <w:szCs w:val="18"/>
              </w:rPr>
            </w:pPr>
            <w:r w:rsidRPr="00EC75B7">
              <w:rPr>
                <w:rFonts w:ascii="Verdana" w:hAnsi="Verdana"/>
                <w:sz w:val="18"/>
                <w:szCs w:val="18"/>
              </w:rPr>
              <w:t xml:space="preserve">Pollutant emissions into the atmosphere </w:t>
            </w:r>
            <w:r w:rsidRPr="00EC75B7">
              <w:rPr>
                <w:rFonts w:ascii="Verdana" w:hAnsi="Verdana"/>
                <w:spacing w:val="-2"/>
                <w:sz w:val="18"/>
                <w:szCs w:val="18"/>
              </w:rPr>
              <w:t>(operation of</w:t>
            </w:r>
            <w:r w:rsidRPr="00EC75B7">
              <w:rPr>
                <w:rFonts w:ascii="Verdana" w:hAnsi="Verdana"/>
                <w:sz w:val="18"/>
                <w:szCs w:val="18"/>
              </w:rPr>
              <w:tab/>
            </w:r>
            <w:r w:rsidRPr="00EC75B7">
              <w:rPr>
                <w:rFonts w:ascii="Verdana" w:hAnsi="Verdana"/>
                <w:spacing w:val="-2"/>
                <w:sz w:val="18"/>
                <w:szCs w:val="18"/>
              </w:rPr>
              <w:t>vehicles</w:t>
            </w:r>
            <w:r w:rsidRPr="00EC75B7">
              <w:rPr>
                <w:rFonts w:ascii="Verdana" w:hAnsi="Verdana"/>
                <w:sz w:val="18"/>
                <w:szCs w:val="18"/>
              </w:rPr>
              <w:tab/>
            </w:r>
            <w:r w:rsidRPr="00EC75B7">
              <w:rPr>
                <w:rFonts w:ascii="Verdana" w:hAnsi="Verdana"/>
                <w:spacing w:val="-6"/>
                <w:sz w:val="18"/>
                <w:szCs w:val="18"/>
              </w:rPr>
              <w:t xml:space="preserve">and </w:t>
            </w:r>
            <w:r w:rsidRPr="00EC75B7">
              <w:rPr>
                <w:rFonts w:ascii="Verdana" w:hAnsi="Verdana"/>
                <w:spacing w:val="-2"/>
                <w:sz w:val="18"/>
                <w:szCs w:val="18"/>
              </w:rPr>
              <w:t>machinery)</w:t>
            </w:r>
          </w:p>
        </w:tc>
        <w:tc>
          <w:tcPr>
            <w:tcW w:w="1106" w:type="dxa"/>
          </w:tcPr>
          <w:p w14:paraId="528B5E28"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47A7F408"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11" w:type="dxa"/>
          </w:tcPr>
          <w:p w14:paraId="1149A609"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5173538D"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50592F79"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2"/>
                <w:sz w:val="18"/>
                <w:szCs w:val="18"/>
              </w:rPr>
              <w:t>Short term</w:t>
            </w:r>
          </w:p>
        </w:tc>
        <w:tc>
          <w:tcPr>
            <w:tcW w:w="1736" w:type="dxa"/>
          </w:tcPr>
          <w:p w14:paraId="087F1A57"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0F2225DE" w14:textId="77777777" w:rsidR="008715BE" w:rsidRPr="00EC75B7" w:rsidRDefault="00000000">
            <w:pPr>
              <w:pStyle w:val="TableParagraph"/>
              <w:spacing w:before="8"/>
              <w:ind w:left="115" w:right="85"/>
              <w:rPr>
                <w:rFonts w:ascii="Verdana" w:hAnsi="Verdana"/>
                <w:sz w:val="18"/>
                <w:szCs w:val="18"/>
              </w:rPr>
            </w:pPr>
            <w:r w:rsidRPr="00EC75B7">
              <w:rPr>
                <w:rFonts w:ascii="Verdana" w:hAnsi="Verdana"/>
                <w:spacing w:val="-2"/>
                <w:sz w:val="18"/>
                <w:szCs w:val="18"/>
              </w:rPr>
              <w:t>Habitat area of the species</w:t>
            </w:r>
          </w:p>
        </w:tc>
        <w:tc>
          <w:tcPr>
            <w:tcW w:w="3860" w:type="dxa"/>
          </w:tcPr>
          <w:p w14:paraId="2C137A36" w14:textId="77777777" w:rsidR="008715BE" w:rsidRPr="00EC75B7" w:rsidRDefault="00000000">
            <w:pPr>
              <w:pStyle w:val="TableParagraph"/>
              <w:spacing w:before="8"/>
              <w:ind w:left="117"/>
              <w:jc w:val="both"/>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024424D1" w14:textId="77777777" w:rsidR="008715BE" w:rsidRPr="00EC75B7" w:rsidRDefault="00000000">
            <w:pPr>
              <w:pStyle w:val="TableParagraph"/>
              <w:spacing w:before="193"/>
              <w:ind w:left="117" w:right="86"/>
              <w:jc w:val="both"/>
              <w:rPr>
                <w:rFonts w:ascii="Verdana" w:hAnsi="Verdana"/>
                <w:sz w:val="18"/>
                <w:szCs w:val="18"/>
              </w:rPr>
            </w:pPr>
            <w:r w:rsidRPr="00EC75B7">
              <w:rPr>
                <w:rFonts w:ascii="Verdana" w:hAnsi="Verdana"/>
                <w:sz w:val="18"/>
                <w:szCs w:val="18"/>
              </w:rPr>
              <w:t>Areas temporarily occupied by the project outside the boundaries of protected areas where the presence of the species has been reported:</w:t>
            </w:r>
          </w:p>
          <w:p w14:paraId="0B450613" w14:textId="77777777" w:rsidR="008715BE" w:rsidRPr="00EC75B7" w:rsidRDefault="00000000">
            <w:pPr>
              <w:pStyle w:val="TableParagraph"/>
              <w:spacing w:before="192"/>
              <w:ind w:left="117" w:right="85"/>
              <w:jc w:val="both"/>
              <w:rPr>
                <w:rFonts w:ascii="Verdana" w:hAnsi="Verdana"/>
                <w:sz w:val="18"/>
                <w:szCs w:val="18"/>
              </w:rPr>
            </w:pPr>
            <w:r w:rsidRPr="00EC75B7">
              <w:rPr>
                <w:rFonts w:ascii="Verdana" w:hAnsi="Verdana"/>
                <w:sz w:val="18"/>
                <w:szCs w:val="18"/>
              </w:rPr>
              <w:t>0.9 ha temporarily occupied by the construction site + area temporarily occupied by trenches for cable installation</w:t>
            </w:r>
          </w:p>
          <w:p w14:paraId="7206B775" w14:textId="77777777" w:rsidR="008715BE" w:rsidRPr="00EC75B7" w:rsidRDefault="00000000">
            <w:pPr>
              <w:pStyle w:val="TableParagraph"/>
              <w:ind w:left="117" w:right="84"/>
              <w:jc w:val="both"/>
              <w:rPr>
                <w:rFonts w:ascii="Verdana" w:hAnsi="Verdana"/>
                <w:sz w:val="18"/>
                <w:szCs w:val="18"/>
              </w:rPr>
            </w:pPr>
            <w:r w:rsidRPr="00EC75B7">
              <w:rPr>
                <w:rFonts w:ascii="Verdana" w:hAnsi="Verdana"/>
                <w:sz w:val="18"/>
                <w:szCs w:val="18"/>
              </w:rPr>
              <w:t xml:space="preserve">309.24 ha of land permanently occupied by the structural elements of the energy park The impact will be felt outside the protected area of the wind farm, within </w:t>
            </w:r>
            <w:r w:rsidRPr="00EC75B7">
              <w:rPr>
                <w:rFonts w:ascii="Verdana" w:hAnsi="Verdana"/>
                <w:spacing w:val="-2"/>
                <w:sz w:val="18"/>
                <w:szCs w:val="18"/>
              </w:rPr>
              <w:t xml:space="preserve">the limits/vicinity </w:t>
            </w:r>
            <w:r w:rsidRPr="00EC75B7">
              <w:rPr>
                <w:rFonts w:ascii="Verdana" w:hAnsi="Verdana"/>
                <w:sz w:val="18"/>
                <w:szCs w:val="18"/>
              </w:rPr>
              <w:t>of the</w:t>
            </w:r>
          </w:p>
          <w:p w14:paraId="06B8E8F4" w14:textId="77777777" w:rsidR="008715BE" w:rsidRPr="00EC75B7" w:rsidRDefault="00000000">
            <w:pPr>
              <w:pStyle w:val="TableParagraph"/>
              <w:spacing w:line="162" w:lineRule="exact"/>
              <w:ind w:left="117"/>
              <w:jc w:val="both"/>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work </w:t>
            </w:r>
            <w:r w:rsidRPr="00EC75B7">
              <w:rPr>
                <w:rFonts w:ascii="Verdana" w:hAnsi="Verdana"/>
                <w:sz w:val="18"/>
                <w:szCs w:val="18"/>
              </w:rPr>
              <w:t>front</w:t>
            </w:r>
          </w:p>
        </w:tc>
        <w:tc>
          <w:tcPr>
            <w:tcW w:w="1889" w:type="dxa"/>
          </w:tcPr>
          <w:p w14:paraId="7ECD7ABB"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the results of the field inventories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6307A36A" w14:textId="77777777">
        <w:trPr>
          <w:trHeight w:val="777"/>
        </w:trPr>
        <w:tc>
          <w:tcPr>
            <w:tcW w:w="523" w:type="dxa"/>
            <w:vMerge/>
            <w:tcBorders>
              <w:top w:val="nil"/>
            </w:tcBorders>
          </w:tcPr>
          <w:p w14:paraId="563BBFF2" w14:textId="77777777" w:rsidR="008715BE" w:rsidRPr="00EC75B7" w:rsidRDefault="008715BE">
            <w:pPr>
              <w:rPr>
                <w:rFonts w:ascii="Verdana" w:hAnsi="Verdana"/>
                <w:sz w:val="18"/>
                <w:szCs w:val="18"/>
              </w:rPr>
            </w:pPr>
          </w:p>
        </w:tc>
        <w:tc>
          <w:tcPr>
            <w:tcW w:w="2323" w:type="dxa"/>
            <w:vMerge/>
            <w:tcBorders>
              <w:top w:val="nil"/>
            </w:tcBorders>
          </w:tcPr>
          <w:p w14:paraId="4D3F78E3" w14:textId="77777777" w:rsidR="008715BE" w:rsidRPr="00EC75B7" w:rsidRDefault="008715BE">
            <w:pPr>
              <w:rPr>
                <w:rFonts w:ascii="Verdana" w:hAnsi="Verdana"/>
                <w:sz w:val="18"/>
                <w:szCs w:val="18"/>
              </w:rPr>
            </w:pPr>
          </w:p>
        </w:tc>
        <w:tc>
          <w:tcPr>
            <w:tcW w:w="3149" w:type="dxa"/>
          </w:tcPr>
          <w:p w14:paraId="170D6B5E" w14:textId="77777777" w:rsidR="008715BE" w:rsidRPr="00EC75B7" w:rsidRDefault="00000000">
            <w:pPr>
              <w:pStyle w:val="TableParagraph"/>
              <w:spacing w:before="8"/>
              <w:ind w:left="108" w:right="93"/>
              <w:jc w:val="both"/>
              <w:rPr>
                <w:rFonts w:ascii="Verdana" w:hAnsi="Verdana"/>
                <w:sz w:val="18"/>
                <w:szCs w:val="18"/>
              </w:rPr>
            </w:pPr>
            <w:r w:rsidRPr="00EC75B7">
              <w:rPr>
                <w:rFonts w:ascii="Verdana" w:hAnsi="Verdana"/>
                <w:sz w:val="18"/>
                <w:szCs w:val="18"/>
              </w:rPr>
              <w:t>Accidental spills of petroleum products from machinery - penetration of pollutants into the soil</w:t>
            </w:r>
          </w:p>
        </w:tc>
        <w:tc>
          <w:tcPr>
            <w:tcW w:w="1106" w:type="dxa"/>
          </w:tcPr>
          <w:p w14:paraId="78DCB2E3"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45C7A214" w14:textId="77777777" w:rsidR="008715BE" w:rsidRPr="00EC75B7" w:rsidRDefault="00000000">
            <w:pPr>
              <w:pStyle w:val="TableParagraph"/>
              <w:spacing w:line="194" w:lineRule="exact"/>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11" w:type="dxa"/>
          </w:tcPr>
          <w:p w14:paraId="16A1BD99"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55F35260" w14:textId="77777777" w:rsidR="008715BE" w:rsidRPr="00EC75B7" w:rsidRDefault="00000000">
            <w:pPr>
              <w:pStyle w:val="TableParagraph"/>
              <w:tabs>
                <w:tab w:val="left" w:pos="588"/>
              </w:tabs>
              <w:spacing w:line="194" w:lineRule="exact"/>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cumulative impacts identified</w:t>
            </w:r>
          </w:p>
        </w:tc>
        <w:tc>
          <w:tcPr>
            <w:tcW w:w="1201" w:type="dxa"/>
          </w:tcPr>
          <w:p w14:paraId="72AC04C3" w14:textId="77777777" w:rsidR="008715BE" w:rsidRPr="00EC75B7" w:rsidRDefault="00000000">
            <w:pPr>
              <w:pStyle w:val="TableParagraph"/>
              <w:tabs>
                <w:tab w:val="left" w:pos="903"/>
              </w:tabs>
              <w:spacing w:line="194" w:lineRule="exact"/>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the short term</w:t>
            </w:r>
          </w:p>
        </w:tc>
        <w:tc>
          <w:tcPr>
            <w:tcW w:w="1736" w:type="dxa"/>
          </w:tcPr>
          <w:p w14:paraId="4C3FAF84"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423D2C66"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3FDD2FE7"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23838B82" w14:textId="77777777" w:rsidR="008715BE" w:rsidRPr="00EC75B7" w:rsidRDefault="00000000">
            <w:pPr>
              <w:pStyle w:val="TableParagraph"/>
              <w:spacing w:before="8"/>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088BC4DC" w14:textId="77777777" w:rsidR="008715BE" w:rsidRPr="00EC75B7" w:rsidRDefault="00000000">
            <w:pPr>
              <w:pStyle w:val="TableParagraph"/>
              <w:spacing w:before="166" w:line="194" w:lineRule="exact"/>
              <w:ind w:left="117"/>
              <w:rPr>
                <w:rFonts w:ascii="Verdana" w:hAnsi="Verdana"/>
                <w:sz w:val="18"/>
                <w:szCs w:val="18"/>
              </w:rPr>
            </w:pPr>
            <w:r w:rsidRPr="00EC75B7">
              <w:rPr>
                <w:rFonts w:ascii="Verdana" w:hAnsi="Verdana"/>
                <w:sz w:val="18"/>
                <w:szCs w:val="18"/>
              </w:rPr>
              <w:t>30-40 sq m in the working area, agricultural land outside the protected area</w:t>
            </w:r>
          </w:p>
        </w:tc>
        <w:tc>
          <w:tcPr>
            <w:tcW w:w="1889" w:type="dxa"/>
          </w:tcPr>
          <w:p w14:paraId="750BDC19" w14:textId="77777777" w:rsidR="008715BE" w:rsidRPr="00EC75B7" w:rsidRDefault="00000000">
            <w:pPr>
              <w:pStyle w:val="TableParagraph"/>
              <w:tabs>
                <w:tab w:val="left" w:pos="1548"/>
              </w:tabs>
              <w:spacing w:line="194" w:lineRule="exact"/>
              <w:ind w:left="119" w:right="82"/>
              <w:rPr>
                <w:rFonts w:ascii="Verdana" w:hAnsi="Verdana"/>
                <w:sz w:val="18"/>
                <w:szCs w:val="18"/>
              </w:rPr>
            </w:pPr>
            <w:r w:rsidRPr="00EC75B7">
              <w:rPr>
                <w:rFonts w:ascii="Verdana" w:hAnsi="Verdana"/>
                <w:sz w:val="18"/>
                <w:szCs w:val="18"/>
              </w:rPr>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r w:rsidR="008715BE" w:rsidRPr="00EC75B7" w14:paraId="5A41F3B0" w14:textId="77777777">
        <w:trPr>
          <w:trHeight w:val="1946"/>
        </w:trPr>
        <w:tc>
          <w:tcPr>
            <w:tcW w:w="523" w:type="dxa"/>
            <w:vMerge/>
            <w:tcBorders>
              <w:top w:val="nil"/>
            </w:tcBorders>
          </w:tcPr>
          <w:p w14:paraId="37150EEC" w14:textId="77777777" w:rsidR="008715BE" w:rsidRPr="00EC75B7" w:rsidRDefault="008715BE">
            <w:pPr>
              <w:rPr>
                <w:rFonts w:ascii="Verdana" w:hAnsi="Verdana"/>
                <w:sz w:val="18"/>
                <w:szCs w:val="18"/>
              </w:rPr>
            </w:pPr>
          </w:p>
        </w:tc>
        <w:tc>
          <w:tcPr>
            <w:tcW w:w="2323" w:type="dxa"/>
            <w:vMerge/>
            <w:tcBorders>
              <w:top w:val="nil"/>
            </w:tcBorders>
          </w:tcPr>
          <w:p w14:paraId="3DEA3F6A" w14:textId="77777777" w:rsidR="008715BE" w:rsidRPr="00EC75B7" w:rsidRDefault="008715BE">
            <w:pPr>
              <w:rPr>
                <w:rFonts w:ascii="Verdana" w:hAnsi="Verdana"/>
                <w:sz w:val="18"/>
                <w:szCs w:val="18"/>
              </w:rPr>
            </w:pPr>
          </w:p>
        </w:tc>
        <w:tc>
          <w:tcPr>
            <w:tcW w:w="3149" w:type="dxa"/>
          </w:tcPr>
          <w:p w14:paraId="5E8F8A84"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Introduction of invasive species</w:t>
            </w:r>
          </w:p>
        </w:tc>
        <w:tc>
          <w:tcPr>
            <w:tcW w:w="1106" w:type="dxa"/>
          </w:tcPr>
          <w:p w14:paraId="43C1CEF5"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5"/>
                <w:sz w:val="18"/>
                <w:szCs w:val="18"/>
              </w:rPr>
              <w:t>AH</w:t>
            </w:r>
          </w:p>
        </w:tc>
        <w:tc>
          <w:tcPr>
            <w:tcW w:w="1108" w:type="dxa"/>
          </w:tcPr>
          <w:p w14:paraId="7D2D6125" w14:textId="77777777" w:rsidR="008715BE" w:rsidRPr="00EC75B7" w:rsidRDefault="00000000">
            <w:pPr>
              <w:pStyle w:val="TableParagraph"/>
              <w:spacing w:before="8"/>
              <w:ind w:left="109" w:right="8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1211" w:type="dxa"/>
          </w:tcPr>
          <w:p w14:paraId="50F4C7F8"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89" w:type="dxa"/>
          </w:tcPr>
          <w:p w14:paraId="59A854ED" w14:textId="77777777" w:rsidR="008715BE" w:rsidRPr="00EC75B7" w:rsidRDefault="00000000">
            <w:pPr>
              <w:pStyle w:val="TableParagraph"/>
              <w:tabs>
                <w:tab w:val="left" w:pos="588"/>
              </w:tabs>
              <w:spacing w:before="8"/>
              <w:ind w:left="108" w:right="92" w:firstLine="57"/>
              <w:rPr>
                <w:rFonts w:ascii="Verdana" w:hAnsi="Verdana"/>
                <w:sz w:val="18"/>
                <w:szCs w:val="18"/>
              </w:rPr>
            </w:pPr>
            <w:r w:rsidRPr="00EC75B7">
              <w:rPr>
                <w:rFonts w:ascii="Verdana" w:hAnsi="Verdana"/>
                <w:spacing w:val="-6"/>
                <w:sz w:val="18"/>
                <w:szCs w:val="18"/>
              </w:rPr>
              <w:t>No</w:t>
            </w:r>
            <w:r w:rsidRPr="00EC75B7">
              <w:rPr>
                <w:rFonts w:ascii="Verdana" w:hAnsi="Verdana"/>
                <w:sz w:val="18"/>
                <w:szCs w:val="18"/>
              </w:rPr>
              <w:tab/>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01" w:type="dxa"/>
          </w:tcPr>
          <w:p w14:paraId="29CEEE27" w14:textId="77777777" w:rsidR="008715BE" w:rsidRPr="00EC75B7" w:rsidRDefault="00000000">
            <w:pPr>
              <w:pStyle w:val="TableParagraph"/>
              <w:tabs>
                <w:tab w:val="left" w:pos="903"/>
              </w:tabs>
              <w:spacing w:before="8"/>
              <w:ind w:left="109" w:right="91"/>
              <w:rPr>
                <w:rFonts w:ascii="Verdana" w:hAnsi="Verdana"/>
                <w:sz w:val="18"/>
                <w:szCs w:val="18"/>
              </w:rPr>
            </w:pPr>
            <w:r w:rsidRPr="00EC75B7">
              <w:rPr>
                <w:rFonts w:ascii="Verdana" w:hAnsi="Verdana"/>
                <w:spacing w:val="-2"/>
                <w:sz w:val="18"/>
                <w:szCs w:val="18"/>
              </w:rPr>
              <w:t>Direct impact</w:t>
            </w:r>
            <w:r w:rsidRPr="00EC75B7">
              <w:rPr>
                <w:rFonts w:ascii="Verdana" w:hAnsi="Verdana"/>
                <w:sz w:val="18"/>
                <w:szCs w:val="18"/>
              </w:rPr>
              <w:tab/>
            </w:r>
            <w:r w:rsidRPr="00EC75B7">
              <w:rPr>
                <w:rFonts w:ascii="Verdana" w:hAnsi="Verdana"/>
                <w:spacing w:val="-6"/>
                <w:sz w:val="18"/>
                <w:szCs w:val="18"/>
              </w:rPr>
              <w:t xml:space="preserve">in </w:t>
            </w:r>
            <w:r w:rsidRPr="00EC75B7">
              <w:rPr>
                <w:rFonts w:ascii="Verdana" w:hAnsi="Verdana"/>
                <w:spacing w:val="-2"/>
                <w:sz w:val="18"/>
                <w:szCs w:val="18"/>
              </w:rPr>
              <w:t>the short term</w:t>
            </w:r>
          </w:p>
        </w:tc>
        <w:tc>
          <w:tcPr>
            <w:tcW w:w="1736" w:type="dxa"/>
          </w:tcPr>
          <w:p w14:paraId="029310C9" w14:textId="77777777" w:rsidR="008715BE" w:rsidRPr="00EC75B7" w:rsidRDefault="00000000">
            <w:pPr>
              <w:pStyle w:val="TableParagraph"/>
              <w:spacing w:before="8"/>
              <w:ind w:left="111" w:right="89"/>
              <w:jc w:val="both"/>
              <w:rPr>
                <w:rFonts w:ascii="Verdana" w:hAnsi="Verdana"/>
                <w:sz w:val="18"/>
                <w:szCs w:val="18"/>
              </w:rPr>
            </w:pPr>
            <w:r w:rsidRPr="00EC75B7">
              <w:rPr>
                <w:rFonts w:ascii="Verdana" w:hAnsi="Verdana"/>
                <w:sz w:val="18"/>
                <w:szCs w:val="18"/>
              </w:rPr>
              <w:t>Agricultural land outside the protected natural area</w:t>
            </w:r>
          </w:p>
        </w:tc>
        <w:tc>
          <w:tcPr>
            <w:tcW w:w="1897" w:type="dxa"/>
          </w:tcPr>
          <w:p w14:paraId="5EF78E7D" w14:textId="77777777" w:rsidR="008715BE" w:rsidRPr="00EC75B7" w:rsidRDefault="00000000">
            <w:pPr>
              <w:pStyle w:val="TableParagraph"/>
              <w:spacing w:before="8" w:line="195" w:lineRule="exact"/>
              <w:ind w:left="115"/>
              <w:rPr>
                <w:rFonts w:ascii="Verdana" w:hAnsi="Verdana"/>
                <w:sz w:val="18"/>
                <w:szCs w:val="18"/>
              </w:rPr>
            </w:pPr>
            <w:r w:rsidRPr="00EC75B7">
              <w:rPr>
                <w:rFonts w:ascii="Verdana" w:hAnsi="Verdana"/>
                <w:spacing w:val="-2"/>
                <w:sz w:val="18"/>
                <w:szCs w:val="18"/>
              </w:rPr>
              <w:t xml:space="preserve">Habitat </w:t>
            </w:r>
            <w:r w:rsidRPr="00EC75B7">
              <w:rPr>
                <w:rFonts w:ascii="Verdana" w:hAnsi="Verdana"/>
                <w:sz w:val="18"/>
                <w:szCs w:val="18"/>
              </w:rPr>
              <w:t>area</w:t>
            </w:r>
          </w:p>
          <w:p w14:paraId="5A223657"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of the species</w:t>
            </w:r>
          </w:p>
        </w:tc>
        <w:tc>
          <w:tcPr>
            <w:tcW w:w="3860" w:type="dxa"/>
          </w:tcPr>
          <w:p w14:paraId="6D8B8BC8" w14:textId="77777777" w:rsidR="008715BE" w:rsidRPr="00EC75B7" w:rsidRDefault="00000000">
            <w:pPr>
              <w:pStyle w:val="TableParagraph"/>
              <w:spacing w:before="8" w:line="195" w:lineRule="exact"/>
              <w:ind w:left="117"/>
              <w:rPr>
                <w:rFonts w:ascii="Verdana" w:hAnsi="Verdana"/>
                <w:sz w:val="18"/>
                <w:szCs w:val="18"/>
              </w:rPr>
            </w:pPr>
            <w:r w:rsidRPr="00EC75B7">
              <w:rPr>
                <w:rFonts w:ascii="Verdana" w:hAnsi="Verdana"/>
                <w:sz w:val="18"/>
                <w:szCs w:val="18"/>
              </w:rPr>
              <w:t xml:space="preserve">0 ha within the </w:t>
            </w:r>
            <w:r w:rsidRPr="00EC75B7">
              <w:rPr>
                <w:rFonts w:ascii="Verdana" w:hAnsi="Verdana"/>
                <w:spacing w:val="-2"/>
                <w:sz w:val="18"/>
                <w:szCs w:val="18"/>
              </w:rPr>
              <w:t xml:space="preserve">protected </w:t>
            </w:r>
            <w:r w:rsidRPr="00EC75B7">
              <w:rPr>
                <w:rFonts w:ascii="Verdana" w:hAnsi="Verdana"/>
                <w:sz w:val="18"/>
                <w:szCs w:val="18"/>
              </w:rPr>
              <w:t>area</w:t>
            </w:r>
          </w:p>
          <w:p w14:paraId="1D7E723E" w14:textId="77777777" w:rsidR="008715BE" w:rsidRPr="00EC75B7" w:rsidRDefault="00000000">
            <w:pPr>
              <w:pStyle w:val="TableParagraph"/>
              <w:ind w:left="117"/>
              <w:rPr>
                <w:rFonts w:ascii="Verdana" w:hAnsi="Verdana"/>
                <w:sz w:val="18"/>
                <w:szCs w:val="18"/>
              </w:rPr>
            </w:pPr>
            <w:r w:rsidRPr="00EC75B7">
              <w:rPr>
                <w:rFonts w:ascii="Verdana" w:hAnsi="Verdana"/>
                <w:sz w:val="18"/>
                <w:szCs w:val="18"/>
              </w:rPr>
              <w:t>Maximum 500 m from the work front boundary. The distance over which the effects are felt is between 5 m (in the case of rhizomes/root fragments) and 200-500 m (in the case of seeds). The habitat</w:t>
            </w:r>
            <w:r w:rsidRPr="00EC75B7">
              <w:rPr>
                <w:rFonts w:ascii="Verdana" w:hAnsi="Verdana"/>
                <w:spacing w:val="40"/>
                <w:sz w:val="18"/>
                <w:szCs w:val="18"/>
              </w:rPr>
              <w:t xml:space="preserve">  </w:t>
            </w:r>
            <w:r w:rsidRPr="00EC75B7">
              <w:rPr>
                <w:rFonts w:ascii="Verdana" w:hAnsi="Verdana"/>
                <w:sz w:val="18"/>
                <w:szCs w:val="18"/>
              </w:rPr>
              <w:t xml:space="preserve"> is located 200-700 m from the area where the excavation works are carried out.</w:t>
            </w:r>
            <w:r w:rsidRPr="00EC75B7">
              <w:rPr>
                <w:rFonts w:ascii="Verdana" w:hAnsi="Verdana"/>
                <w:spacing w:val="80"/>
                <w:sz w:val="18"/>
                <w:szCs w:val="18"/>
              </w:rPr>
              <w:t xml:space="preserve"> </w:t>
            </w:r>
            <w:r w:rsidRPr="00EC75B7">
              <w:rPr>
                <w:rFonts w:ascii="Verdana" w:hAnsi="Verdana"/>
                <w:sz w:val="18"/>
                <w:szCs w:val="18"/>
              </w:rPr>
              <w:t xml:space="preserve">Taking into account the precautionary principle, it was considered that this could generate </w:t>
            </w:r>
            <w:r w:rsidRPr="00EC75B7">
              <w:rPr>
                <w:rFonts w:ascii="Verdana" w:hAnsi="Verdana"/>
                <w:spacing w:val="-5"/>
                <w:sz w:val="18"/>
                <w:szCs w:val="18"/>
              </w:rPr>
              <w:t>a</w:t>
            </w:r>
          </w:p>
          <w:p w14:paraId="16F16E4C" w14:textId="77777777" w:rsidR="008715BE" w:rsidRPr="00EC75B7" w:rsidRDefault="00000000">
            <w:pPr>
              <w:pStyle w:val="TableParagraph"/>
              <w:spacing w:line="161" w:lineRule="exact"/>
              <w:ind w:left="117"/>
              <w:rPr>
                <w:rFonts w:ascii="Verdana" w:hAnsi="Verdana"/>
                <w:sz w:val="18"/>
                <w:szCs w:val="18"/>
              </w:rPr>
            </w:pPr>
            <w:r w:rsidRPr="00EC75B7">
              <w:rPr>
                <w:rFonts w:ascii="Verdana" w:hAnsi="Verdana"/>
                <w:sz w:val="18"/>
                <w:szCs w:val="18"/>
              </w:rPr>
              <w:lastRenderedPageBreak/>
              <w:t xml:space="preserve">potential </w:t>
            </w:r>
            <w:r w:rsidRPr="00EC75B7">
              <w:rPr>
                <w:rFonts w:ascii="Verdana" w:hAnsi="Verdana"/>
                <w:spacing w:val="-2"/>
                <w:sz w:val="18"/>
                <w:szCs w:val="18"/>
              </w:rPr>
              <w:t>impact</w:t>
            </w:r>
          </w:p>
        </w:tc>
        <w:tc>
          <w:tcPr>
            <w:tcW w:w="1889" w:type="dxa"/>
          </w:tcPr>
          <w:p w14:paraId="47210ECF" w14:textId="77777777" w:rsidR="008715BE" w:rsidRPr="00EC75B7" w:rsidRDefault="00000000">
            <w:pPr>
              <w:pStyle w:val="TableParagraph"/>
              <w:tabs>
                <w:tab w:val="left" w:pos="1548"/>
              </w:tabs>
              <w:spacing w:before="8"/>
              <w:ind w:left="119" w:right="82"/>
              <w:rPr>
                <w:rFonts w:ascii="Verdana" w:hAnsi="Verdana"/>
                <w:sz w:val="18"/>
                <w:szCs w:val="18"/>
              </w:rPr>
            </w:pPr>
            <w:r w:rsidRPr="00EC75B7">
              <w:rPr>
                <w:rFonts w:ascii="Verdana" w:hAnsi="Verdana"/>
                <w:sz w:val="18"/>
                <w:szCs w:val="18"/>
              </w:rPr>
              <w:lastRenderedPageBreak/>
              <w:t xml:space="preserve">Spatial analysis of </w:t>
            </w:r>
            <w:r w:rsidRPr="00EC75B7">
              <w:rPr>
                <w:rFonts w:ascii="Verdana" w:hAnsi="Verdana"/>
                <w:spacing w:val="-2"/>
                <w:sz w:val="18"/>
                <w:szCs w:val="18"/>
              </w:rPr>
              <w:t>inventory results</w:t>
            </w:r>
            <w:r w:rsidRPr="00EC75B7">
              <w:rPr>
                <w:rFonts w:ascii="Verdana" w:hAnsi="Verdana"/>
                <w:sz w:val="18"/>
                <w:szCs w:val="18"/>
              </w:rPr>
              <w:tab/>
            </w:r>
            <w:r w:rsidRPr="00EC75B7">
              <w:rPr>
                <w:rFonts w:ascii="Verdana" w:hAnsi="Verdana"/>
                <w:spacing w:val="-4"/>
                <w:sz w:val="18"/>
                <w:szCs w:val="18"/>
              </w:rPr>
              <w:t xml:space="preserve">in </w:t>
            </w:r>
            <w:r w:rsidRPr="00EC75B7">
              <w:rPr>
                <w:rFonts w:ascii="Verdana" w:hAnsi="Verdana"/>
                <w:spacing w:val="-2"/>
                <w:sz w:val="18"/>
                <w:szCs w:val="18"/>
              </w:rPr>
              <w:t>the field</w:t>
            </w:r>
          </w:p>
        </w:tc>
      </w:tr>
    </w:tbl>
    <w:p w14:paraId="2F2E94A2"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2908E1B2" w14:textId="77777777" w:rsidR="008715BE" w:rsidRPr="00EC75B7" w:rsidRDefault="00000000">
      <w:pPr>
        <w:spacing w:before="99"/>
        <w:ind w:left="286"/>
        <w:rPr>
          <w:rFonts w:ascii="Verdana" w:hAnsi="Verdana"/>
          <w:b/>
          <w:sz w:val="18"/>
          <w:szCs w:val="18"/>
        </w:rPr>
      </w:pPr>
      <w:r w:rsidRPr="00EC75B7">
        <w:rPr>
          <w:rFonts w:ascii="Verdana" w:hAnsi="Verdana"/>
          <w:b/>
          <w:color w:val="00AFEF"/>
          <w:sz w:val="18"/>
          <w:szCs w:val="18"/>
        </w:rPr>
        <w:lastRenderedPageBreak/>
        <w:t xml:space="preserve">Table 30 Identification and quantification of impacts </w:t>
      </w:r>
      <w:r w:rsidRPr="00EC75B7">
        <w:rPr>
          <w:rFonts w:ascii="Verdana" w:hAnsi="Verdana"/>
          <w:b/>
          <w:color w:val="00AFEF"/>
          <w:spacing w:val="-2"/>
          <w:sz w:val="18"/>
          <w:szCs w:val="18"/>
        </w:rPr>
        <w:t>(continued)</w:t>
      </w:r>
    </w:p>
    <w:p w14:paraId="54C73125" w14:textId="77777777" w:rsidR="008715BE" w:rsidRPr="00EC75B7" w:rsidRDefault="008715BE">
      <w:pPr>
        <w:pStyle w:val="BodyText"/>
        <w:spacing w:before="1" w:after="1"/>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8715BE" w:rsidRPr="00EC75B7" w14:paraId="3416C2DA" w14:textId="77777777">
        <w:trPr>
          <w:trHeight w:val="840"/>
        </w:trPr>
        <w:tc>
          <w:tcPr>
            <w:tcW w:w="2254" w:type="dxa"/>
            <w:gridSpan w:val="2"/>
            <w:shd w:val="clear" w:color="auto" w:fill="00A1E8"/>
          </w:tcPr>
          <w:p w14:paraId="78B53D38" w14:textId="77777777" w:rsidR="008715BE" w:rsidRPr="00EC75B7" w:rsidRDefault="008715BE">
            <w:pPr>
              <w:pStyle w:val="TableParagraph"/>
              <w:spacing w:before="137"/>
              <w:rPr>
                <w:rFonts w:ascii="Verdana" w:hAnsi="Verdana"/>
                <w:b/>
                <w:sz w:val="18"/>
                <w:szCs w:val="18"/>
              </w:rPr>
            </w:pPr>
          </w:p>
          <w:p w14:paraId="5BFA72F2" w14:textId="77777777" w:rsidR="008715BE" w:rsidRPr="00EC75B7" w:rsidRDefault="00000000">
            <w:pPr>
              <w:pStyle w:val="TableParagraph"/>
              <w:ind w:left="616"/>
              <w:rPr>
                <w:rFonts w:ascii="Verdana" w:hAnsi="Verdana"/>
                <w:b/>
                <w:sz w:val="18"/>
                <w:szCs w:val="18"/>
              </w:rPr>
            </w:pPr>
            <w:r w:rsidRPr="00EC75B7">
              <w:rPr>
                <w:rFonts w:ascii="Verdana" w:hAnsi="Verdana"/>
                <w:b/>
                <w:color w:val="FFFFFF"/>
                <w:spacing w:val="-2"/>
                <w:sz w:val="18"/>
                <w:szCs w:val="18"/>
              </w:rPr>
              <w:t>Intervention</w:t>
            </w:r>
          </w:p>
        </w:tc>
        <w:tc>
          <w:tcPr>
            <w:tcW w:w="1277" w:type="dxa"/>
            <w:shd w:val="clear" w:color="auto" w:fill="00A1E8"/>
          </w:tcPr>
          <w:p w14:paraId="32189371" w14:textId="77777777" w:rsidR="008715BE" w:rsidRPr="00EC75B7" w:rsidRDefault="008715BE">
            <w:pPr>
              <w:pStyle w:val="TableParagraph"/>
              <w:spacing w:before="137"/>
              <w:rPr>
                <w:rFonts w:ascii="Verdana" w:hAnsi="Verdana"/>
                <w:b/>
                <w:sz w:val="18"/>
                <w:szCs w:val="18"/>
              </w:rPr>
            </w:pPr>
          </w:p>
          <w:p w14:paraId="73DD349C" w14:textId="77777777" w:rsidR="008715BE" w:rsidRPr="00EC75B7" w:rsidRDefault="00000000">
            <w:pPr>
              <w:pStyle w:val="TableParagraph"/>
              <w:ind w:left="357"/>
              <w:rPr>
                <w:rFonts w:ascii="Verdana" w:hAnsi="Verdana"/>
                <w:b/>
                <w:sz w:val="18"/>
                <w:szCs w:val="18"/>
              </w:rPr>
            </w:pPr>
            <w:r w:rsidRPr="00EC75B7">
              <w:rPr>
                <w:rFonts w:ascii="Verdana" w:hAnsi="Verdana"/>
                <w:b/>
                <w:color w:val="FFFFFF"/>
                <w:spacing w:val="-2"/>
                <w:sz w:val="18"/>
                <w:szCs w:val="18"/>
              </w:rPr>
              <w:t>Effects</w:t>
            </w:r>
          </w:p>
        </w:tc>
        <w:tc>
          <w:tcPr>
            <w:tcW w:w="1275" w:type="dxa"/>
            <w:shd w:val="clear" w:color="auto" w:fill="00A1E8"/>
          </w:tcPr>
          <w:p w14:paraId="0838275B" w14:textId="77777777" w:rsidR="008715BE" w:rsidRPr="00EC75B7" w:rsidRDefault="008715BE">
            <w:pPr>
              <w:pStyle w:val="TableParagraph"/>
              <w:spacing w:before="38"/>
              <w:rPr>
                <w:rFonts w:ascii="Verdana" w:hAnsi="Verdana"/>
                <w:b/>
                <w:sz w:val="18"/>
                <w:szCs w:val="18"/>
              </w:rPr>
            </w:pPr>
          </w:p>
          <w:p w14:paraId="6D4A8A13" w14:textId="77777777" w:rsidR="008715BE" w:rsidRPr="00EC75B7" w:rsidRDefault="00000000">
            <w:pPr>
              <w:pStyle w:val="TableParagraph"/>
              <w:spacing w:before="1"/>
              <w:ind w:left="321" w:right="178" w:hanging="135"/>
              <w:rPr>
                <w:rFonts w:ascii="Verdana" w:hAnsi="Verdana"/>
                <w:b/>
                <w:sz w:val="18"/>
                <w:szCs w:val="18"/>
              </w:rPr>
            </w:pPr>
            <w:r w:rsidRPr="00EC75B7">
              <w:rPr>
                <w:rFonts w:ascii="Verdana" w:hAnsi="Verdana"/>
                <w:b/>
                <w:color w:val="FFFFFF"/>
                <w:spacing w:val="-2"/>
                <w:sz w:val="18"/>
                <w:szCs w:val="18"/>
              </w:rPr>
              <w:t>Direct impacts</w:t>
            </w:r>
          </w:p>
        </w:tc>
        <w:tc>
          <w:tcPr>
            <w:tcW w:w="850" w:type="dxa"/>
            <w:shd w:val="clear" w:color="auto" w:fill="00A1E8"/>
          </w:tcPr>
          <w:p w14:paraId="5F9FE7B2" w14:textId="77777777" w:rsidR="008715BE" w:rsidRPr="00EC75B7" w:rsidRDefault="00000000">
            <w:pPr>
              <w:pStyle w:val="TableParagraph"/>
              <w:spacing w:before="38"/>
              <w:ind w:left="114" w:right="106" w:firstLine="2"/>
              <w:jc w:val="center"/>
              <w:rPr>
                <w:rFonts w:ascii="Verdana" w:hAnsi="Verdana"/>
                <w:b/>
                <w:sz w:val="18"/>
                <w:szCs w:val="18"/>
              </w:rPr>
            </w:pPr>
            <w:r w:rsidRPr="00EC75B7">
              <w:rPr>
                <w:rFonts w:ascii="Verdana" w:hAnsi="Verdana"/>
                <w:b/>
                <w:color w:val="FFFFFF"/>
                <w:spacing w:val="-6"/>
                <w:sz w:val="18"/>
                <w:szCs w:val="18"/>
              </w:rPr>
              <w:t>Indirect</w:t>
            </w:r>
            <w:r w:rsidRPr="00EC75B7">
              <w:rPr>
                <w:rFonts w:ascii="Verdana" w:hAnsi="Verdana"/>
                <w:b/>
                <w:color w:val="FFFFFF"/>
                <w:spacing w:val="-4"/>
                <w:sz w:val="18"/>
                <w:szCs w:val="18"/>
              </w:rPr>
              <w:t xml:space="preserve"> impacts</w:t>
            </w:r>
          </w:p>
        </w:tc>
        <w:tc>
          <w:tcPr>
            <w:tcW w:w="1261" w:type="dxa"/>
            <w:shd w:val="clear" w:color="auto" w:fill="00A1E8"/>
          </w:tcPr>
          <w:p w14:paraId="14888DFB" w14:textId="77777777" w:rsidR="008715BE" w:rsidRPr="00EC75B7" w:rsidRDefault="008715BE">
            <w:pPr>
              <w:pStyle w:val="TableParagraph"/>
              <w:spacing w:before="38"/>
              <w:rPr>
                <w:rFonts w:ascii="Verdana" w:hAnsi="Verdana"/>
                <w:b/>
                <w:sz w:val="18"/>
                <w:szCs w:val="18"/>
              </w:rPr>
            </w:pPr>
          </w:p>
          <w:p w14:paraId="55BB8264" w14:textId="77777777" w:rsidR="008715BE" w:rsidRPr="00EC75B7" w:rsidRDefault="00000000">
            <w:pPr>
              <w:pStyle w:val="TableParagraph"/>
              <w:spacing w:before="1"/>
              <w:ind w:left="164" w:firstLine="16"/>
              <w:rPr>
                <w:rFonts w:ascii="Verdana" w:hAnsi="Verdana"/>
                <w:b/>
                <w:sz w:val="18"/>
                <w:szCs w:val="18"/>
              </w:rPr>
            </w:pPr>
            <w:r w:rsidRPr="00EC75B7">
              <w:rPr>
                <w:rFonts w:ascii="Verdana" w:hAnsi="Verdana"/>
                <w:b/>
                <w:color w:val="FFFFFF"/>
                <w:spacing w:val="-2"/>
                <w:sz w:val="18"/>
                <w:szCs w:val="18"/>
              </w:rPr>
              <w:t>Secondary impacts</w:t>
            </w:r>
          </w:p>
        </w:tc>
        <w:tc>
          <w:tcPr>
            <w:tcW w:w="1352" w:type="dxa"/>
            <w:shd w:val="clear" w:color="auto" w:fill="00A1E8"/>
          </w:tcPr>
          <w:p w14:paraId="1586169D" w14:textId="77777777" w:rsidR="008715BE" w:rsidRPr="00EC75B7" w:rsidRDefault="008715BE">
            <w:pPr>
              <w:pStyle w:val="TableParagraph"/>
              <w:spacing w:before="38"/>
              <w:rPr>
                <w:rFonts w:ascii="Verdana" w:hAnsi="Verdana"/>
                <w:b/>
                <w:sz w:val="18"/>
                <w:szCs w:val="18"/>
              </w:rPr>
            </w:pPr>
          </w:p>
          <w:p w14:paraId="541E482C" w14:textId="77777777" w:rsidR="008715BE" w:rsidRPr="00EC75B7" w:rsidRDefault="00000000">
            <w:pPr>
              <w:pStyle w:val="TableParagraph"/>
              <w:spacing w:before="1"/>
              <w:ind w:left="175" w:right="170" w:firstLine="50"/>
              <w:rPr>
                <w:rFonts w:ascii="Verdana" w:hAnsi="Verdana"/>
                <w:b/>
                <w:sz w:val="18"/>
                <w:szCs w:val="18"/>
              </w:rPr>
            </w:pPr>
            <w:r w:rsidRPr="00EC75B7">
              <w:rPr>
                <w:rFonts w:ascii="Verdana" w:hAnsi="Verdana"/>
                <w:b/>
                <w:color w:val="FFFFFF"/>
                <w:spacing w:val="-2"/>
                <w:sz w:val="18"/>
                <w:szCs w:val="18"/>
              </w:rPr>
              <w:t>Cumulative impacts</w:t>
            </w:r>
          </w:p>
        </w:tc>
        <w:tc>
          <w:tcPr>
            <w:tcW w:w="1261" w:type="dxa"/>
            <w:shd w:val="clear" w:color="auto" w:fill="00A1E8"/>
          </w:tcPr>
          <w:p w14:paraId="28C3903C" w14:textId="77777777" w:rsidR="008715BE" w:rsidRPr="00EC75B7" w:rsidRDefault="00000000">
            <w:pPr>
              <w:pStyle w:val="TableParagraph"/>
              <w:spacing w:before="38"/>
              <w:ind w:left="163" w:right="162" w:hanging="3"/>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pacing w:val="-2"/>
                <w:sz w:val="18"/>
                <w:szCs w:val="18"/>
              </w:rPr>
              <w:t>-term impacts</w:t>
            </w:r>
          </w:p>
        </w:tc>
        <w:tc>
          <w:tcPr>
            <w:tcW w:w="6669" w:type="dxa"/>
            <w:gridSpan w:val="5"/>
            <w:shd w:val="clear" w:color="auto" w:fill="00A1E8"/>
          </w:tcPr>
          <w:p w14:paraId="718115E0" w14:textId="77777777" w:rsidR="008715BE" w:rsidRPr="00EC75B7" w:rsidRDefault="008715BE">
            <w:pPr>
              <w:pStyle w:val="TableParagraph"/>
              <w:spacing w:before="137"/>
              <w:rPr>
                <w:rFonts w:ascii="Verdana" w:hAnsi="Verdana"/>
                <w:b/>
                <w:sz w:val="18"/>
                <w:szCs w:val="18"/>
              </w:rPr>
            </w:pPr>
          </w:p>
          <w:p w14:paraId="0031288B" w14:textId="77777777" w:rsidR="008715BE" w:rsidRPr="00EC75B7" w:rsidRDefault="00000000">
            <w:pPr>
              <w:pStyle w:val="TableParagraph"/>
              <w:ind w:right="6"/>
              <w:jc w:val="center"/>
              <w:rPr>
                <w:rFonts w:ascii="Verdana" w:hAnsi="Verdana"/>
                <w:b/>
                <w:sz w:val="18"/>
                <w:szCs w:val="18"/>
              </w:rPr>
            </w:pPr>
            <w:r w:rsidRPr="00EC75B7">
              <w:rPr>
                <w:rFonts w:ascii="Verdana" w:hAnsi="Verdana"/>
                <w:b/>
                <w:color w:val="FFFFFF"/>
                <w:spacing w:val="-2"/>
                <w:sz w:val="18"/>
                <w:szCs w:val="18"/>
              </w:rPr>
              <w:t>Species</w:t>
            </w:r>
          </w:p>
        </w:tc>
        <w:tc>
          <w:tcPr>
            <w:tcW w:w="1115" w:type="dxa"/>
            <w:shd w:val="clear" w:color="auto" w:fill="00A1E8"/>
          </w:tcPr>
          <w:p w14:paraId="78ECFAD7" w14:textId="77777777" w:rsidR="008715BE" w:rsidRPr="00EC75B7" w:rsidRDefault="00000000">
            <w:pPr>
              <w:pStyle w:val="TableParagraph"/>
              <w:spacing w:before="40"/>
              <w:ind w:left="336" w:right="132" w:hanging="209"/>
              <w:rPr>
                <w:rFonts w:ascii="Verdana" w:hAnsi="Verdana"/>
                <w:b/>
                <w:sz w:val="18"/>
                <w:szCs w:val="18"/>
              </w:rPr>
            </w:pPr>
            <w:r w:rsidRPr="00EC75B7">
              <w:rPr>
                <w:rFonts w:ascii="Verdana" w:hAnsi="Verdana"/>
                <w:b/>
                <w:color w:val="FFFFFF"/>
                <w:spacing w:val="-2"/>
                <w:sz w:val="18"/>
                <w:szCs w:val="18"/>
              </w:rPr>
              <w:t>Parameter</w:t>
            </w:r>
            <w:r w:rsidRPr="00EC75B7">
              <w:rPr>
                <w:rFonts w:ascii="Verdana" w:hAnsi="Verdana"/>
                <w:b/>
                <w:color w:val="FFFFFF"/>
                <w:sz w:val="18"/>
                <w:szCs w:val="18"/>
              </w:rPr>
              <w:t>/</w:t>
            </w:r>
            <w:r w:rsidRPr="00EC75B7">
              <w:rPr>
                <w:rFonts w:ascii="Verdana" w:hAnsi="Verdana"/>
                <w:b/>
                <w:color w:val="FFFFFF"/>
                <w:spacing w:val="-2"/>
                <w:sz w:val="18"/>
                <w:szCs w:val="18"/>
              </w:rPr>
              <w:t>target</w:t>
            </w:r>
          </w:p>
          <w:p w14:paraId="365FF99A" w14:textId="77777777" w:rsidR="008715BE" w:rsidRPr="00EC75B7" w:rsidRDefault="00000000">
            <w:pPr>
              <w:pStyle w:val="TableParagraph"/>
              <w:spacing w:line="193" w:lineRule="exact"/>
              <w:ind w:left="180"/>
              <w:rPr>
                <w:rFonts w:ascii="Verdana" w:hAnsi="Verdana"/>
                <w:b/>
                <w:sz w:val="18"/>
                <w:szCs w:val="18"/>
              </w:rPr>
            </w:pPr>
            <w:r w:rsidRPr="00EC75B7">
              <w:rPr>
                <w:rFonts w:ascii="Verdana" w:hAnsi="Verdana"/>
                <w:b/>
                <w:color w:val="FFFFFF"/>
                <w:spacing w:val="-2"/>
                <w:sz w:val="18"/>
                <w:szCs w:val="18"/>
              </w:rPr>
              <w:t>affected</w:t>
            </w:r>
          </w:p>
        </w:tc>
        <w:tc>
          <w:tcPr>
            <w:tcW w:w="2534" w:type="dxa"/>
            <w:shd w:val="clear" w:color="auto" w:fill="00A1E8"/>
          </w:tcPr>
          <w:p w14:paraId="1AF75599" w14:textId="77777777" w:rsidR="008715BE" w:rsidRPr="00EC75B7" w:rsidRDefault="008715BE">
            <w:pPr>
              <w:pStyle w:val="TableParagraph"/>
              <w:spacing w:before="38"/>
              <w:rPr>
                <w:rFonts w:ascii="Verdana" w:hAnsi="Verdana"/>
                <w:b/>
                <w:sz w:val="18"/>
                <w:szCs w:val="18"/>
              </w:rPr>
            </w:pPr>
          </w:p>
          <w:p w14:paraId="1D9BA175" w14:textId="77777777" w:rsidR="008715BE" w:rsidRPr="00EC75B7" w:rsidRDefault="00000000">
            <w:pPr>
              <w:pStyle w:val="TableParagraph"/>
              <w:spacing w:before="1"/>
              <w:ind w:left="947" w:right="171" w:hanging="240"/>
              <w:rPr>
                <w:rFonts w:ascii="Verdana" w:hAnsi="Verdana"/>
                <w:b/>
                <w:sz w:val="18"/>
                <w:szCs w:val="18"/>
              </w:rPr>
            </w:pPr>
            <w:r w:rsidRPr="00EC75B7">
              <w:rPr>
                <w:rFonts w:ascii="Verdana" w:hAnsi="Verdana"/>
                <w:b/>
                <w:color w:val="FFFFFF"/>
                <w:spacing w:val="-2"/>
                <w:sz w:val="18"/>
                <w:szCs w:val="18"/>
              </w:rPr>
              <w:t>Impact quantification</w:t>
            </w:r>
          </w:p>
        </w:tc>
        <w:tc>
          <w:tcPr>
            <w:tcW w:w="1530" w:type="dxa"/>
            <w:shd w:val="clear" w:color="auto" w:fill="00A1E8"/>
          </w:tcPr>
          <w:p w14:paraId="768DB4EE" w14:textId="77777777" w:rsidR="008715BE" w:rsidRPr="00EC75B7" w:rsidRDefault="008715BE">
            <w:pPr>
              <w:pStyle w:val="TableParagraph"/>
              <w:spacing w:before="38"/>
              <w:rPr>
                <w:rFonts w:ascii="Verdana" w:hAnsi="Verdana"/>
                <w:b/>
                <w:sz w:val="18"/>
                <w:szCs w:val="18"/>
              </w:rPr>
            </w:pPr>
          </w:p>
          <w:p w14:paraId="35630DD7" w14:textId="77777777" w:rsidR="008715BE" w:rsidRPr="00EC75B7" w:rsidRDefault="00000000">
            <w:pPr>
              <w:pStyle w:val="TableParagraph"/>
              <w:spacing w:before="1"/>
              <w:ind w:left="215" w:firstLine="208"/>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method</w:t>
            </w:r>
          </w:p>
        </w:tc>
      </w:tr>
      <w:tr w:rsidR="008715BE" w:rsidRPr="00EC75B7" w14:paraId="2E67E2B1" w14:textId="77777777">
        <w:trPr>
          <w:trHeight w:val="330"/>
        </w:trPr>
        <w:tc>
          <w:tcPr>
            <w:tcW w:w="21378" w:type="dxa"/>
            <w:gridSpan w:val="16"/>
          </w:tcPr>
          <w:p w14:paraId="683E058D" w14:textId="77777777" w:rsidR="008715BE" w:rsidRPr="00EC75B7" w:rsidRDefault="00000000">
            <w:pPr>
              <w:pStyle w:val="TableParagraph"/>
              <w:spacing w:before="78"/>
              <w:ind w:left="25"/>
              <w:jc w:val="center"/>
              <w:rPr>
                <w:rFonts w:ascii="Verdana" w:hAnsi="Verdana"/>
                <w:b/>
                <w:sz w:val="18"/>
                <w:szCs w:val="18"/>
              </w:rPr>
            </w:pPr>
            <w:r w:rsidRPr="00EC75B7">
              <w:rPr>
                <w:rFonts w:ascii="Verdana" w:hAnsi="Verdana"/>
                <w:b/>
                <w:sz w:val="18"/>
                <w:szCs w:val="18"/>
              </w:rPr>
              <w:t xml:space="preserve">ROSPA0036 </w:t>
            </w:r>
            <w:r w:rsidRPr="00EC75B7">
              <w:rPr>
                <w:rFonts w:ascii="Verdana" w:hAnsi="Verdana"/>
                <w:b/>
                <w:spacing w:val="-2"/>
                <w:sz w:val="18"/>
                <w:szCs w:val="18"/>
              </w:rPr>
              <w:t>Dumbrăveni</w:t>
            </w:r>
          </w:p>
        </w:tc>
      </w:tr>
      <w:tr w:rsidR="008715BE" w:rsidRPr="00EC75B7" w14:paraId="6D17FA6A" w14:textId="77777777">
        <w:trPr>
          <w:trHeight w:val="6266"/>
        </w:trPr>
        <w:tc>
          <w:tcPr>
            <w:tcW w:w="605" w:type="dxa"/>
            <w:vMerge w:val="restart"/>
            <w:textDirection w:val="btLr"/>
          </w:tcPr>
          <w:p w14:paraId="62706C6D" w14:textId="77777777" w:rsidR="008715BE" w:rsidRPr="00EC75B7" w:rsidRDefault="008715BE">
            <w:pPr>
              <w:pStyle w:val="TableParagraph"/>
              <w:spacing w:before="16"/>
              <w:rPr>
                <w:rFonts w:ascii="Verdana" w:hAnsi="Verdana"/>
                <w:b/>
                <w:sz w:val="18"/>
                <w:szCs w:val="18"/>
              </w:rPr>
            </w:pPr>
          </w:p>
          <w:p w14:paraId="0DFC806C" w14:textId="77777777" w:rsidR="008715BE" w:rsidRPr="00EC75B7" w:rsidRDefault="00000000">
            <w:pPr>
              <w:pStyle w:val="TableParagraph"/>
              <w:spacing w:before="1"/>
              <w:ind w:left="1"/>
              <w:jc w:val="center"/>
              <w:rPr>
                <w:rFonts w:ascii="Verdana" w:hAnsi="Verdana"/>
                <w:sz w:val="18"/>
                <w:szCs w:val="18"/>
              </w:rPr>
            </w:pPr>
            <w:r w:rsidRPr="00EC75B7">
              <w:rPr>
                <w:rFonts w:ascii="Verdana" w:hAnsi="Verdana"/>
                <w:spacing w:val="-2"/>
                <w:sz w:val="18"/>
                <w:szCs w:val="18"/>
              </w:rPr>
              <w:t>Construction</w:t>
            </w:r>
          </w:p>
        </w:tc>
        <w:tc>
          <w:tcPr>
            <w:tcW w:w="1649" w:type="dxa"/>
          </w:tcPr>
          <w:p w14:paraId="2AD75526" w14:textId="77777777" w:rsidR="008715BE" w:rsidRPr="00EC75B7" w:rsidRDefault="00000000">
            <w:pPr>
              <w:pStyle w:val="TableParagraph"/>
              <w:spacing w:before="8"/>
              <w:ind w:left="105" w:right="241"/>
              <w:rPr>
                <w:rFonts w:ascii="Verdana" w:hAnsi="Verdana"/>
                <w:sz w:val="18"/>
                <w:szCs w:val="18"/>
              </w:rPr>
            </w:pPr>
            <w:r w:rsidRPr="00EC75B7">
              <w:rPr>
                <w:rFonts w:ascii="Verdana" w:hAnsi="Verdana"/>
                <w:sz w:val="18"/>
                <w:szCs w:val="18"/>
              </w:rPr>
              <w:t xml:space="preserve">Organization and </w:t>
            </w:r>
            <w:r w:rsidRPr="00EC75B7">
              <w:rPr>
                <w:rFonts w:ascii="Verdana" w:hAnsi="Verdana"/>
                <w:spacing w:val="-2"/>
                <w:sz w:val="18"/>
                <w:szCs w:val="18"/>
              </w:rPr>
              <w:t xml:space="preserve">operation of the construction site </w:t>
            </w:r>
            <w:r w:rsidRPr="00EC75B7">
              <w:rPr>
                <w:rFonts w:ascii="Verdana" w:hAnsi="Verdana"/>
                <w:sz w:val="18"/>
                <w:szCs w:val="18"/>
              </w:rPr>
              <w:t>(including site traffic)</w:t>
            </w:r>
          </w:p>
        </w:tc>
        <w:tc>
          <w:tcPr>
            <w:tcW w:w="1277" w:type="dxa"/>
          </w:tcPr>
          <w:p w14:paraId="21EA6933" w14:textId="77777777" w:rsidR="008715BE" w:rsidRPr="00EC75B7" w:rsidRDefault="00000000">
            <w:pPr>
              <w:pStyle w:val="TableParagraph"/>
              <w:spacing w:before="8"/>
              <w:ind w:left="107" w:right="76"/>
              <w:rPr>
                <w:rFonts w:ascii="Verdana" w:hAnsi="Verdana"/>
                <w:sz w:val="18"/>
                <w:szCs w:val="18"/>
              </w:rPr>
            </w:pPr>
            <w:r w:rsidRPr="00EC75B7">
              <w:rPr>
                <w:rFonts w:ascii="Verdana" w:hAnsi="Verdana"/>
                <w:spacing w:val="-2"/>
                <w:sz w:val="18"/>
                <w:szCs w:val="18"/>
              </w:rPr>
              <w:t xml:space="preserve">Removal </w:t>
            </w:r>
            <w:r w:rsidRPr="00EC75B7">
              <w:rPr>
                <w:rFonts w:ascii="Verdana" w:hAnsi="Verdana"/>
                <w:sz w:val="18"/>
                <w:szCs w:val="18"/>
              </w:rPr>
              <w:t>of topsoil and vegetation</w:t>
            </w:r>
          </w:p>
        </w:tc>
        <w:tc>
          <w:tcPr>
            <w:tcW w:w="1275" w:type="dxa"/>
          </w:tcPr>
          <w:p w14:paraId="38D28D90"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4"/>
                <w:sz w:val="18"/>
                <w:szCs w:val="18"/>
              </w:rPr>
              <w:t>AH/PH</w:t>
            </w:r>
          </w:p>
        </w:tc>
        <w:tc>
          <w:tcPr>
            <w:tcW w:w="850" w:type="dxa"/>
          </w:tcPr>
          <w:p w14:paraId="008DA475"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54EAD97F"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50A6B16E"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25F1BB87"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6" w:type="dxa"/>
            <w:vMerge w:val="restart"/>
          </w:tcPr>
          <w:p w14:paraId="45B3F978" w14:textId="77777777" w:rsidR="008715BE" w:rsidRPr="00EC75B7" w:rsidRDefault="00000000">
            <w:pPr>
              <w:pStyle w:val="TableParagraph"/>
              <w:spacing w:before="8"/>
              <w:ind w:left="101" w:right="134"/>
              <w:rPr>
                <w:rFonts w:ascii="Verdana" w:hAnsi="Verdana"/>
                <w:i/>
                <w:sz w:val="18"/>
                <w:szCs w:val="18"/>
              </w:rPr>
            </w:pPr>
            <w:r w:rsidRPr="00EC75B7">
              <w:rPr>
                <w:rFonts w:ascii="Verdana" w:hAnsi="Verdana"/>
                <w:i/>
                <w:spacing w:val="-2"/>
                <w:sz w:val="18"/>
                <w:szCs w:val="18"/>
              </w:rPr>
              <w:t xml:space="preserve">Accipiter brevipes, Anthus campestris, Aquila pomarina, </w:t>
            </w:r>
            <w:r w:rsidRPr="00EC75B7">
              <w:rPr>
                <w:rFonts w:ascii="Verdana" w:hAnsi="Verdana"/>
                <w:i/>
                <w:sz w:val="18"/>
                <w:szCs w:val="18"/>
              </w:rPr>
              <w:t xml:space="preserve">Bubo bubo, Buteo rufinus, </w:t>
            </w:r>
            <w:r w:rsidRPr="00EC75B7">
              <w:rPr>
                <w:rFonts w:ascii="Verdana" w:hAnsi="Verdana"/>
                <w:i/>
                <w:spacing w:val="-2"/>
                <w:sz w:val="18"/>
                <w:szCs w:val="18"/>
              </w:rPr>
              <w:t xml:space="preserve">Caprimulgus europaeus, Circus cyaneus, Circus macrourus, Circus pygargus, Coracias garrulus, Falco peregrinus, Hieraaetus pennatus, Lanius collurio, </w:t>
            </w:r>
            <w:r w:rsidRPr="00EC75B7">
              <w:rPr>
                <w:rFonts w:ascii="Verdana" w:hAnsi="Verdana"/>
                <w:i/>
                <w:sz w:val="18"/>
                <w:szCs w:val="18"/>
              </w:rPr>
              <w:t xml:space="preserve">Lanius minor, </w:t>
            </w:r>
            <w:r w:rsidRPr="00EC75B7">
              <w:rPr>
                <w:rFonts w:ascii="Verdana" w:hAnsi="Verdana"/>
                <w:i/>
                <w:spacing w:val="-2"/>
                <w:sz w:val="18"/>
                <w:szCs w:val="18"/>
              </w:rPr>
              <w:t xml:space="preserve">Melanocorypha </w:t>
            </w:r>
            <w:r w:rsidRPr="00EC75B7">
              <w:rPr>
                <w:rFonts w:ascii="Verdana" w:hAnsi="Verdana"/>
                <w:i/>
                <w:sz w:val="18"/>
                <w:szCs w:val="18"/>
              </w:rPr>
              <w:t xml:space="preserve">calandra, </w:t>
            </w:r>
            <w:r w:rsidRPr="00EC75B7">
              <w:rPr>
                <w:rFonts w:ascii="Verdana" w:hAnsi="Verdana"/>
                <w:i/>
                <w:spacing w:val="-2"/>
                <w:sz w:val="18"/>
                <w:szCs w:val="18"/>
              </w:rPr>
              <w:t>Milvus migrans, Pernis apivorus</w:t>
            </w:r>
          </w:p>
        </w:tc>
        <w:tc>
          <w:tcPr>
            <w:tcW w:w="1410" w:type="dxa"/>
            <w:vMerge w:val="restart"/>
          </w:tcPr>
          <w:p w14:paraId="247638C0" w14:textId="77777777" w:rsidR="008715BE" w:rsidRPr="00EC75B7" w:rsidRDefault="00000000">
            <w:pPr>
              <w:pStyle w:val="TableParagraph"/>
              <w:spacing w:before="8"/>
              <w:ind w:left="103" w:right="129"/>
              <w:rPr>
                <w:rFonts w:ascii="Verdana" w:hAnsi="Verdana"/>
                <w:i/>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w:t>
            </w:r>
            <w:r w:rsidRPr="00EC75B7">
              <w:rPr>
                <w:rFonts w:ascii="Verdana" w:hAnsi="Verdana"/>
                <w:b/>
                <w:sz w:val="18"/>
                <w:szCs w:val="18"/>
              </w:rPr>
              <w:t xml:space="preserve">migration/Species associated with </w:t>
            </w:r>
            <w:r w:rsidRPr="00EC75B7">
              <w:rPr>
                <w:rFonts w:ascii="Verdana" w:hAnsi="Verdana"/>
                <w:b/>
                <w:spacing w:val="-2"/>
                <w:sz w:val="18"/>
                <w:szCs w:val="18"/>
              </w:rPr>
              <w:t>extensively used agricultural</w:t>
            </w:r>
            <w:r w:rsidRPr="00EC75B7">
              <w:rPr>
                <w:rFonts w:ascii="Verdana" w:hAnsi="Verdana"/>
                <w:b/>
                <w:sz w:val="18"/>
                <w:szCs w:val="18"/>
              </w:rPr>
              <w:t xml:space="preserve"> land </w:t>
            </w:r>
            <w:r w:rsidRPr="00EC75B7">
              <w:rPr>
                <w:rFonts w:ascii="Verdana" w:hAnsi="Verdana"/>
                <w:i/>
                <w:spacing w:val="-2"/>
                <w:sz w:val="18"/>
                <w:szCs w:val="18"/>
              </w:rPr>
              <w:t xml:space="preserve">Alauda arvensis, Carduelis cannabina, Carduelis carduelis, Coturnix coturnix, Emberiza melanocephal </w:t>
            </w:r>
            <w:r w:rsidRPr="00EC75B7">
              <w:rPr>
                <w:rFonts w:ascii="Verdana" w:hAnsi="Verdana"/>
                <w:i/>
                <w:sz w:val="18"/>
                <w:szCs w:val="18"/>
              </w:rPr>
              <w:t xml:space="preserve">a, Falco </w:t>
            </w:r>
            <w:r w:rsidRPr="00EC75B7">
              <w:rPr>
                <w:rFonts w:ascii="Verdana" w:hAnsi="Verdana"/>
                <w:i/>
                <w:spacing w:val="-2"/>
                <w:sz w:val="18"/>
                <w:szCs w:val="18"/>
              </w:rPr>
              <w:t xml:space="preserve">tinnunculus, Fringilla montifringilla, Galerida cristata, Lanius excubitor, Lanius senator, Merops apiaster, Miliaria calandra, Motacilla alba, Motacilla flava, Oenanthe isabellina, Oenanthe oenanthe, Saxicola torquata, Streptopelia turtur, Sturnus roseus (alternative name Pastor roseus), </w:t>
            </w:r>
            <w:r w:rsidRPr="00EC75B7">
              <w:rPr>
                <w:rFonts w:ascii="Verdana" w:hAnsi="Verdana"/>
                <w:i/>
                <w:sz w:val="18"/>
                <w:szCs w:val="18"/>
              </w:rPr>
              <w:t>Turdus iliacus, Upupa epops</w:t>
            </w:r>
          </w:p>
        </w:tc>
        <w:tc>
          <w:tcPr>
            <w:tcW w:w="1261" w:type="dxa"/>
            <w:vMerge w:val="restart"/>
          </w:tcPr>
          <w:p w14:paraId="666BF484" w14:textId="77777777" w:rsidR="008715BE" w:rsidRPr="00EC75B7" w:rsidRDefault="00000000">
            <w:pPr>
              <w:pStyle w:val="TableParagraph"/>
              <w:spacing w:before="8"/>
              <w:ind w:left="100" w:right="153"/>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forest</w:t>
            </w:r>
            <w:r w:rsidRPr="00EC75B7">
              <w:rPr>
                <w:rFonts w:ascii="Verdana" w:hAnsi="Verdana"/>
                <w:b/>
                <w:sz w:val="18"/>
                <w:szCs w:val="18"/>
              </w:rPr>
              <w:t xml:space="preserve"> habitats </w:t>
            </w:r>
            <w:r w:rsidRPr="00EC75B7">
              <w:rPr>
                <w:rFonts w:ascii="Verdana" w:hAnsi="Verdana"/>
                <w:i/>
                <w:spacing w:val="-2"/>
                <w:sz w:val="18"/>
                <w:szCs w:val="18"/>
              </w:rPr>
              <w:t xml:space="preserve">Carduelis chloris, Carduelis spinus, Coccothraustes </w:t>
            </w:r>
            <w:r w:rsidRPr="00EC75B7">
              <w:rPr>
                <w:rFonts w:ascii="Verdana" w:hAnsi="Verdana"/>
                <w:i/>
                <w:sz w:val="18"/>
                <w:szCs w:val="18"/>
              </w:rPr>
              <w:t xml:space="preserve">coccothraustes,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 atricapilla, Sylvia curruca, Turdus merula, Turdus philomelos, Turdus pilaris, Turdus viscivorus</w:t>
            </w:r>
          </w:p>
        </w:tc>
        <w:tc>
          <w:tcPr>
            <w:tcW w:w="1442" w:type="dxa"/>
            <w:vMerge w:val="restart"/>
          </w:tcPr>
          <w:p w14:paraId="569052D4" w14:textId="77777777" w:rsidR="008715BE" w:rsidRPr="00EC75B7" w:rsidRDefault="00000000">
            <w:pPr>
              <w:pStyle w:val="TableParagraph"/>
              <w:spacing w:before="8"/>
              <w:ind w:left="99" w:right="146"/>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reedbed</w:t>
            </w:r>
            <w:r w:rsidRPr="00EC75B7">
              <w:rPr>
                <w:rFonts w:ascii="Verdana" w:hAnsi="Verdana"/>
                <w:b/>
                <w:sz w:val="18"/>
                <w:szCs w:val="18"/>
              </w:rPr>
              <w:t xml:space="preserve"> habitats </w:t>
            </w:r>
            <w:r w:rsidRPr="00EC75B7">
              <w:rPr>
                <w:rFonts w:ascii="Verdana" w:hAnsi="Verdana"/>
                <w:i/>
                <w:spacing w:val="-2"/>
                <w:sz w:val="18"/>
                <w:szCs w:val="18"/>
              </w:rPr>
              <w:t xml:space="preserve">Acrocephalus arundinaceus, Acrocephalus palustris, Acrocephalus </w:t>
            </w:r>
            <w:r w:rsidRPr="00EC75B7">
              <w:rPr>
                <w:rFonts w:ascii="Verdana" w:hAnsi="Verdana"/>
                <w:i/>
                <w:spacing w:val="-6"/>
                <w:sz w:val="18"/>
                <w:szCs w:val="18"/>
              </w:rPr>
              <w:t xml:space="preserve">schoenobaenus, </w:t>
            </w:r>
            <w:r w:rsidRPr="00EC75B7">
              <w:rPr>
                <w:rFonts w:ascii="Verdana" w:hAnsi="Verdana"/>
                <w:i/>
                <w:spacing w:val="-2"/>
                <w:sz w:val="18"/>
                <w:szCs w:val="18"/>
              </w:rPr>
              <w:t>Acrocephalus scirpaceus, Locustella fluviatilis, Locustella luscinioides, Riparia riparia</w:t>
            </w:r>
          </w:p>
        </w:tc>
        <w:tc>
          <w:tcPr>
            <w:tcW w:w="1170" w:type="dxa"/>
            <w:vMerge w:val="restart"/>
          </w:tcPr>
          <w:p w14:paraId="79C677E9" w14:textId="77777777" w:rsidR="008715BE" w:rsidRPr="00EC75B7" w:rsidRDefault="00000000">
            <w:pPr>
              <w:pStyle w:val="TableParagraph"/>
              <w:spacing w:before="8"/>
              <w:ind w:left="97" w:right="231"/>
              <w:rPr>
                <w:rFonts w:ascii="Verdana" w:hAnsi="Verdana"/>
                <w:i/>
                <w:sz w:val="18"/>
                <w:szCs w:val="18"/>
              </w:rPr>
            </w:pPr>
            <w:r w:rsidRPr="00EC75B7">
              <w:rPr>
                <w:rFonts w:ascii="Verdana" w:hAnsi="Verdana"/>
                <w:b/>
                <w:spacing w:val="-2"/>
                <w:sz w:val="18"/>
                <w:szCs w:val="18"/>
              </w:rPr>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rocky habitats </w:t>
            </w:r>
            <w:r w:rsidRPr="00EC75B7">
              <w:rPr>
                <w:rFonts w:ascii="Verdana" w:hAnsi="Verdana"/>
                <w:b/>
                <w:sz w:val="18"/>
                <w:szCs w:val="18"/>
              </w:rPr>
              <w:t xml:space="preserve">and </w:t>
            </w:r>
            <w:r w:rsidRPr="00EC75B7">
              <w:rPr>
                <w:rFonts w:ascii="Verdana" w:hAnsi="Verdana"/>
                <w:b/>
                <w:spacing w:val="-2"/>
                <w:sz w:val="18"/>
                <w:szCs w:val="18"/>
              </w:rPr>
              <w:t>urban</w:t>
            </w:r>
            <w:r w:rsidRPr="00EC75B7">
              <w:rPr>
                <w:rFonts w:ascii="Verdana" w:hAnsi="Verdana"/>
                <w:b/>
                <w:sz w:val="18"/>
                <w:szCs w:val="18"/>
              </w:rPr>
              <w:t xml:space="preserve"> areas </w:t>
            </w:r>
            <w:r w:rsidRPr="00EC75B7">
              <w:rPr>
                <w:rFonts w:ascii="Verdana" w:hAnsi="Verdana"/>
                <w:i/>
                <w:spacing w:val="-2"/>
                <w:sz w:val="18"/>
                <w:szCs w:val="18"/>
              </w:rPr>
              <w:t>Monticola saxatilis, Hirundo daurica, Hirundo rustica</w:t>
            </w:r>
          </w:p>
        </w:tc>
        <w:tc>
          <w:tcPr>
            <w:tcW w:w="1115" w:type="dxa"/>
          </w:tcPr>
          <w:p w14:paraId="4DF3313C"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05B4B3ED"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00673882" w14:textId="77777777" w:rsidR="008715BE" w:rsidRPr="00EC75B7" w:rsidRDefault="00000000">
            <w:pPr>
              <w:pStyle w:val="TableParagraph"/>
              <w:spacing w:before="193"/>
              <w:ind w:left="95" w:right="198"/>
              <w:rPr>
                <w:rFonts w:ascii="Verdana" w:hAnsi="Verdana"/>
                <w:sz w:val="18"/>
                <w:szCs w:val="18"/>
              </w:rPr>
            </w:pPr>
            <w:r w:rsidRPr="00EC75B7">
              <w:rPr>
                <w:rFonts w:ascii="Verdana" w:hAnsi="Verdana"/>
                <w:sz w:val="18"/>
                <w:szCs w:val="18"/>
              </w:rPr>
              <w:t xml:space="preserve">Areas outside the protected area that could constitute </w:t>
            </w:r>
            <w:r w:rsidRPr="00EC75B7">
              <w:rPr>
                <w:rFonts w:ascii="Verdana" w:hAnsi="Verdana"/>
                <w:spacing w:val="-2"/>
                <w:sz w:val="18"/>
                <w:szCs w:val="18"/>
              </w:rPr>
              <w:t xml:space="preserve">feeding </w:t>
            </w:r>
            <w:r w:rsidRPr="00EC75B7">
              <w:rPr>
                <w:rFonts w:ascii="Verdana" w:hAnsi="Verdana"/>
                <w:sz w:val="18"/>
                <w:szCs w:val="18"/>
              </w:rPr>
              <w:t>habitats</w:t>
            </w:r>
            <w:r w:rsidRPr="00EC75B7">
              <w:rPr>
                <w:rFonts w:ascii="Verdana" w:hAnsi="Verdana"/>
                <w:spacing w:val="-2"/>
                <w:sz w:val="18"/>
                <w:szCs w:val="18"/>
              </w:rPr>
              <w:t>:</w:t>
            </w:r>
          </w:p>
          <w:p w14:paraId="12EF898D" w14:textId="77777777" w:rsidR="008715BE" w:rsidRPr="00EC75B7" w:rsidRDefault="00000000">
            <w:pPr>
              <w:pStyle w:val="TableParagraph"/>
              <w:ind w:left="95" w:right="209"/>
              <w:rPr>
                <w:rFonts w:ascii="Verdana" w:hAnsi="Verdana"/>
                <w:sz w:val="18"/>
                <w:szCs w:val="18"/>
              </w:rPr>
            </w:pPr>
            <w:r w:rsidRPr="00EC75B7">
              <w:rPr>
                <w:rFonts w:ascii="Verdana" w:hAnsi="Verdana"/>
                <w:sz w:val="18"/>
                <w:szCs w:val="18"/>
              </w:rPr>
              <w:t>0.9 ha temporarily occupied, construction site area + area temporarily occupied by trenches for cable installation 309.24 ha permanently occupied by the structural elements of the energy park</w:t>
            </w:r>
          </w:p>
        </w:tc>
        <w:tc>
          <w:tcPr>
            <w:tcW w:w="1530" w:type="dxa"/>
          </w:tcPr>
          <w:p w14:paraId="0A7CB427"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r w:rsidR="008715BE" w:rsidRPr="00EC75B7" w14:paraId="127991BB" w14:textId="77777777">
        <w:trPr>
          <w:trHeight w:val="2140"/>
        </w:trPr>
        <w:tc>
          <w:tcPr>
            <w:tcW w:w="605" w:type="dxa"/>
            <w:vMerge/>
            <w:tcBorders>
              <w:top w:val="nil"/>
            </w:tcBorders>
            <w:textDirection w:val="btLr"/>
          </w:tcPr>
          <w:p w14:paraId="4BEE9406" w14:textId="77777777" w:rsidR="008715BE" w:rsidRPr="00EC75B7" w:rsidRDefault="008715BE">
            <w:pPr>
              <w:rPr>
                <w:rFonts w:ascii="Verdana" w:hAnsi="Verdana"/>
                <w:sz w:val="18"/>
                <w:szCs w:val="18"/>
              </w:rPr>
            </w:pPr>
          </w:p>
        </w:tc>
        <w:tc>
          <w:tcPr>
            <w:tcW w:w="1649" w:type="dxa"/>
          </w:tcPr>
          <w:p w14:paraId="1AB17C3B" w14:textId="77777777" w:rsidR="008715BE" w:rsidRPr="00EC75B7" w:rsidRDefault="00000000">
            <w:pPr>
              <w:pStyle w:val="TableParagraph"/>
              <w:spacing w:before="8"/>
              <w:ind w:left="105" w:right="241"/>
              <w:rPr>
                <w:rFonts w:ascii="Verdana" w:hAnsi="Verdana"/>
                <w:sz w:val="18"/>
                <w:szCs w:val="18"/>
              </w:rPr>
            </w:pPr>
            <w:r w:rsidRPr="00EC75B7">
              <w:rPr>
                <w:rFonts w:ascii="Verdana" w:hAnsi="Verdana"/>
                <w:spacing w:val="-2"/>
                <w:sz w:val="18"/>
                <w:szCs w:val="18"/>
              </w:rPr>
              <w:t xml:space="preserve">Construction </w:t>
            </w:r>
            <w:r w:rsidRPr="00EC75B7">
              <w:rPr>
                <w:rFonts w:ascii="Verdana" w:hAnsi="Verdana"/>
                <w:sz w:val="18"/>
                <w:szCs w:val="18"/>
              </w:rPr>
              <w:t xml:space="preserve">of </w:t>
            </w:r>
            <w:r w:rsidRPr="00EC75B7">
              <w:rPr>
                <w:rFonts w:ascii="Verdana" w:hAnsi="Verdana"/>
                <w:spacing w:val="-4"/>
                <w:sz w:val="18"/>
                <w:szCs w:val="18"/>
              </w:rPr>
              <w:t xml:space="preserve">access </w:t>
            </w:r>
            <w:r w:rsidRPr="00EC75B7">
              <w:rPr>
                <w:rFonts w:ascii="Verdana" w:hAnsi="Verdana"/>
                <w:sz w:val="18"/>
                <w:szCs w:val="18"/>
              </w:rPr>
              <w:t>roads</w:t>
            </w:r>
          </w:p>
        </w:tc>
        <w:tc>
          <w:tcPr>
            <w:tcW w:w="1277" w:type="dxa"/>
          </w:tcPr>
          <w:p w14:paraId="25F792F1" w14:textId="77777777" w:rsidR="008715BE" w:rsidRPr="00EC75B7" w:rsidRDefault="00000000">
            <w:pPr>
              <w:pStyle w:val="TableParagraph"/>
              <w:spacing w:before="8"/>
              <w:ind w:left="107" w:right="153"/>
              <w:rPr>
                <w:rFonts w:ascii="Verdana" w:hAnsi="Verdana"/>
                <w:sz w:val="18"/>
                <w:szCs w:val="18"/>
              </w:rPr>
            </w:pPr>
            <w:r w:rsidRPr="00EC75B7">
              <w:rPr>
                <w:rFonts w:ascii="Verdana" w:hAnsi="Verdana"/>
                <w:spacing w:val="-2"/>
                <w:sz w:val="18"/>
                <w:szCs w:val="18"/>
              </w:rPr>
              <w:t xml:space="preserve">Temporary/permanent occupation </w:t>
            </w:r>
            <w:r w:rsidRPr="00EC75B7">
              <w:rPr>
                <w:rFonts w:ascii="Verdana" w:hAnsi="Verdana"/>
                <w:sz w:val="18"/>
                <w:szCs w:val="18"/>
              </w:rPr>
              <w:t xml:space="preserve">of </w:t>
            </w:r>
            <w:r w:rsidRPr="00EC75B7">
              <w:rPr>
                <w:rFonts w:ascii="Verdana" w:hAnsi="Verdana"/>
                <w:spacing w:val="-2"/>
                <w:sz w:val="18"/>
                <w:szCs w:val="18"/>
              </w:rPr>
              <w:t xml:space="preserve">land </w:t>
            </w:r>
            <w:r w:rsidRPr="00EC75B7">
              <w:rPr>
                <w:rFonts w:ascii="Verdana" w:hAnsi="Verdana"/>
                <w:sz w:val="18"/>
                <w:szCs w:val="18"/>
              </w:rPr>
              <w:t>areas</w:t>
            </w:r>
          </w:p>
        </w:tc>
        <w:tc>
          <w:tcPr>
            <w:tcW w:w="1275" w:type="dxa"/>
          </w:tcPr>
          <w:p w14:paraId="25CCE12C"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FH</w:t>
            </w:r>
          </w:p>
        </w:tc>
        <w:tc>
          <w:tcPr>
            <w:tcW w:w="850" w:type="dxa"/>
          </w:tcPr>
          <w:p w14:paraId="3FE7229C"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21279B68"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0781AB5E"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1497ECAC"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6" w:type="dxa"/>
            <w:vMerge/>
            <w:tcBorders>
              <w:top w:val="nil"/>
            </w:tcBorders>
          </w:tcPr>
          <w:p w14:paraId="235F4CD1" w14:textId="77777777" w:rsidR="008715BE" w:rsidRPr="00EC75B7" w:rsidRDefault="008715BE">
            <w:pPr>
              <w:rPr>
                <w:rFonts w:ascii="Verdana" w:hAnsi="Verdana"/>
                <w:sz w:val="18"/>
                <w:szCs w:val="18"/>
              </w:rPr>
            </w:pPr>
          </w:p>
        </w:tc>
        <w:tc>
          <w:tcPr>
            <w:tcW w:w="1410" w:type="dxa"/>
            <w:vMerge/>
            <w:tcBorders>
              <w:top w:val="nil"/>
            </w:tcBorders>
          </w:tcPr>
          <w:p w14:paraId="1A12A899" w14:textId="77777777" w:rsidR="008715BE" w:rsidRPr="00EC75B7" w:rsidRDefault="008715BE">
            <w:pPr>
              <w:rPr>
                <w:rFonts w:ascii="Verdana" w:hAnsi="Verdana"/>
                <w:sz w:val="18"/>
                <w:szCs w:val="18"/>
              </w:rPr>
            </w:pPr>
          </w:p>
        </w:tc>
        <w:tc>
          <w:tcPr>
            <w:tcW w:w="1261" w:type="dxa"/>
            <w:vMerge/>
            <w:tcBorders>
              <w:top w:val="nil"/>
            </w:tcBorders>
          </w:tcPr>
          <w:p w14:paraId="58DAB1AC" w14:textId="77777777" w:rsidR="008715BE" w:rsidRPr="00EC75B7" w:rsidRDefault="008715BE">
            <w:pPr>
              <w:rPr>
                <w:rFonts w:ascii="Verdana" w:hAnsi="Verdana"/>
                <w:sz w:val="18"/>
                <w:szCs w:val="18"/>
              </w:rPr>
            </w:pPr>
          </w:p>
        </w:tc>
        <w:tc>
          <w:tcPr>
            <w:tcW w:w="1442" w:type="dxa"/>
            <w:vMerge/>
            <w:tcBorders>
              <w:top w:val="nil"/>
            </w:tcBorders>
          </w:tcPr>
          <w:p w14:paraId="58DF073F" w14:textId="77777777" w:rsidR="008715BE" w:rsidRPr="00EC75B7" w:rsidRDefault="008715BE">
            <w:pPr>
              <w:rPr>
                <w:rFonts w:ascii="Verdana" w:hAnsi="Verdana"/>
                <w:sz w:val="18"/>
                <w:szCs w:val="18"/>
              </w:rPr>
            </w:pPr>
          </w:p>
        </w:tc>
        <w:tc>
          <w:tcPr>
            <w:tcW w:w="1170" w:type="dxa"/>
            <w:vMerge/>
            <w:tcBorders>
              <w:top w:val="nil"/>
            </w:tcBorders>
          </w:tcPr>
          <w:p w14:paraId="7F25EE13" w14:textId="77777777" w:rsidR="008715BE" w:rsidRPr="00EC75B7" w:rsidRDefault="008715BE">
            <w:pPr>
              <w:rPr>
                <w:rFonts w:ascii="Verdana" w:hAnsi="Verdana"/>
                <w:sz w:val="18"/>
                <w:szCs w:val="18"/>
              </w:rPr>
            </w:pPr>
          </w:p>
        </w:tc>
        <w:tc>
          <w:tcPr>
            <w:tcW w:w="1115" w:type="dxa"/>
          </w:tcPr>
          <w:p w14:paraId="6D2B4835"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307E1C74"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0 ha of </w:t>
            </w:r>
            <w:r w:rsidRPr="00EC75B7">
              <w:rPr>
                <w:rFonts w:ascii="Verdana" w:hAnsi="Verdana"/>
                <w:spacing w:val="-2"/>
                <w:sz w:val="18"/>
                <w:szCs w:val="18"/>
              </w:rPr>
              <w:t xml:space="preserve">protected </w:t>
            </w:r>
            <w:r w:rsidRPr="00EC75B7">
              <w:rPr>
                <w:rFonts w:ascii="Verdana" w:hAnsi="Verdana"/>
                <w:sz w:val="18"/>
                <w:szCs w:val="18"/>
              </w:rPr>
              <w:t>area</w:t>
            </w:r>
          </w:p>
          <w:p w14:paraId="71166A13" w14:textId="77777777" w:rsidR="008715BE" w:rsidRPr="00EC75B7" w:rsidRDefault="00000000">
            <w:pPr>
              <w:pStyle w:val="TableParagraph"/>
              <w:spacing w:before="194"/>
              <w:ind w:left="95" w:right="198"/>
              <w:rPr>
                <w:rFonts w:ascii="Verdana" w:hAnsi="Verdana"/>
                <w:sz w:val="18"/>
                <w:szCs w:val="18"/>
              </w:rPr>
            </w:pPr>
            <w:r w:rsidRPr="00EC75B7">
              <w:rPr>
                <w:rFonts w:ascii="Verdana" w:hAnsi="Verdana"/>
                <w:sz w:val="18"/>
                <w:szCs w:val="18"/>
              </w:rPr>
              <w:t xml:space="preserve">Areas outside the protected area that could constitute </w:t>
            </w:r>
            <w:r w:rsidRPr="00EC75B7">
              <w:rPr>
                <w:rFonts w:ascii="Verdana" w:hAnsi="Verdana"/>
                <w:spacing w:val="-2"/>
                <w:sz w:val="18"/>
                <w:szCs w:val="18"/>
              </w:rPr>
              <w:t xml:space="preserve">feeding </w:t>
            </w:r>
            <w:r w:rsidRPr="00EC75B7">
              <w:rPr>
                <w:rFonts w:ascii="Verdana" w:hAnsi="Verdana"/>
                <w:sz w:val="18"/>
                <w:szCs w:val="18"/>
              </w:rPr>
              <w:t>habitats</w:t>
            </w:r>
            <w:r w:rsidRPr="00EC75B7">
              <w:rPr>
                <w:rFonts w:ascii="Verdana" w:hAnsi="Verdana"/>
                <w:spacing w:val="-2"/>
                <w:sz w:val="18"/>
                <w:szCs w:val="18"/>
              </w:rPr>
              <w:t>:</w:t>
            </w:r>
          </w:p>
          <w:p w14:paraId="03F0563D" w14:textId="77777777" w:rsidR="008715BE" w:rsidRPr="00EC75B7" w:rsidRDefault="00000000">
            <w:pPr>
              <w:pStyle w:val="TableParagraph"/>
              <w:ind w:left="95"/>
              <w:rPr>
                <w:rFonts w:ascii="Verdana" w:hAnsi="Verdana"/>
                <w:sz w:val="18"/>
                <w:szCs w:val="18"/>
              </w:rPr>
            </w:pPr>
            <w:r w:rsidRPr="00EC75B7">
              <w:rPr>
                <w:rFonts w:ascii="Verdana" w:hAnsi="Verdana"/>
                <w:sz w:val="18"/>
                <w:szCs w:val="18"/>
              </w:rPr>
              <w:t>0.9 ha temporarily occupied, site organization area + area temporarily occupied by trenches</w:t>
            </w:r>
          </w:p>
          <w:p w14:paraId="3629150A" w14:textId="77777777" w:rsidR="008715BE" w:rsidRPr="00EC75B7" w:rsidRDefault="00000000">
            <w:pPr>
              <w:pStyle w:val="TableParagraph"/>
              <w:spacing w:line="164" w:lineRule="exact"/>
              <w:ind w:left="95"/>
              <w:rPr>
                <w:rFonts w:ascii="Verdana" w:hAnsi="Verdana"/>
                <w:sz w:val="18"/>
                <w:szCs w:val="18"/>
              </w:rPr>
            </w:pPr>
            <w:r w:rsidRPr="00EC75B7">
              <w:rPr>
                <w:rFonts w:ascii="Verdana" w:hAnsi="Verdana"/>
                <w:sz w:val="18"/>
                <w:szCs w:val="18"/>
              </w:rPr>
              <w:t xml:space="preserve">for </w:t>
            </w:r>
            <w:r w:rsidRPr="00EC75B7">
              <w:rPr>
                <w:rFonts w:ascii="Verdana" w:hAnsi="Verdana"/>
                <w:spacing w:val="-2"/>
                <w:sz w:val="18"/>
                <w:szCs w:val="18"/>
              </w:rPr>
              <w:t xml:space="preserve">cable </w:t>
            </w:r>
            <w:r w:rsidRPr="00EC75B7">
              <w:rPr>
                <w:rFonts w:ascii="Verdana" w:hAnsi="Verdana"/>
                <w:sz w:val="18"/>
                <w:szCs w:val="18"/>
              </w:rPr>
              <w:t>installation</w:t>
            </w:r>
          </w:p>
        </w:tc>
        <w:tc>
          <w:tcPr>
            <w:tcW w:w="1530" w:type="dxa"/>
          </w:tcPr>
          <w:p w14:paraId="6118E0EB"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r w:rsidR="008715BE" w:rsidRPr="00EC75B7" w14:paraId="33FC75FD" w14:textId="77777777">
        <w:trPr>
          <w:trHeight w:val="2138"/>
        </w:trPr>
        <w:tc>
          <w:tcPr>
            <w:tcW w:w="605" w:type="dxa"/>
            <w:vMerge/>
            <w:tcBorders>
              <w:top w:val="nil"/>
            </w:tcBorders>
            <w:textDirection w:val="btLr"/>
          </w:tcPr>
          <w:p w14:paraId="5CD87E29" w14:textId="77777777" w:rsidR="008715BE" w:rsidRPr="00EC75B7" w:rsidRDefault="008715BE">
            <w:pPr>
              <w:rPr>
                <w:rFonts w:ascii="Verdana" w:hAnsi="Verdana"/>
                <w:sz w:val="18"/>
                <w:szCs w:val="18"/>
              </w:rPr>
            </w:pPr>
          </w:p>
        </w:tc>
        <w:tc>
          <w:tcPr>
            <w:tcW w:w="1649" w:type="dxa"/>
          </w:tcPr>
          <w:p w14:paraId="786CD2D1" w14:textId="77777777" w:rsidR="008715BE" w:rsidRPr="00EC75B7" w:rsidRDefault="00000000">
            <w:pPr>
              <w:pStyle w:val="TableParagraph"/>
              <w:spacing w:before="8"/>
              <w:ind w:left="105" w:right="241"/>
              <w:rPr>
                <w:rFonts w:ascii="Verdana" w:hAnsi="Verdana"/>
                <w:sz w:val="18"/>
                <w:szCs w:val="18"/>
              </w:rPr>
            </w:pPr>
            <w:r w:rsidRPr="00EC75B7">
              <w:rPr>
                <w:rFonts w:ascii="Verdana" w:hAnsi="Verdana"/>
                <w:spacing w:val="-2"/>
                <w:sz w:val="18"/>
                <w:szCs w:val="18"/>
              </w:rPr>
              <w:t>Earthworks (land levelling, digging, excavation, filling)</w:t>
            </w:r>
          </w:p>
        </w:tc>
        <w:tc>
          <w:tcPr>
            <w:tcW w:w="1277" w:type="dxa"/>
          </w:tcPr>
          <w:p w14:paraId="01E099A9"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levels</w:t>
            </w:r>
          </w:p>
        </w:tc>
        <w:tc>
          <w:tcPr>
            <w:tcW w:w="1275" w:type="dxa"/>
          </w:tcPr>
          <w:p w14:paraId="20739414"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PAS</w:t>
            </w:r>
          </w:p>
        </w:tc>
        <w:tc>
          <w:tcPr>
            <w:tcW w:w="850" w:type="dxa"/>
          </w:tcPr>
          <w:p w14:paraId="0D049924"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0473A457"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6374622A"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02E6C6D2"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6" w:type="dxa"/>
            <w:vMerge/>
            <w:tcBorders>
              <w:top w:val="nil"/>
            </w:tcBorders>
          </w:tcPr>
          <w:p w14:paraId="6A66066E" w14:textId="77777777" w:rsidR="008715BE" w:rsidRPr="00EC75B7" w:rsidRDefault="008715BE">
            <w:pPr>
              <w:rPr>
                <w:rFonts w:ascii="Verdana" w:hAnsi="Verdana"/>
                <w:sz w:val="18"/>
                <w:szCs w:val="18"/>
              </w:rPr>
            </w:pPr>
          </w:p>
        </w:tc>
        <w:tc>
          <w:tcPr>
            <w:tcW w:w="1410" w:type="dxa"/>
            <w:vMerge/>
            <w:tcBorders>
              <w:top w:val="nil"/>
            </w:tcBorders>
          </w:tcPr>
          <w:p w14:paraId="6711A73E" w14:textId="77777777" w:rsidR="008715BE" w:rsidRPr="00EC75B7" w:rsidRDefault="008715BE">
            <w:pPr>
              <w:rPr>
                <w:rFonts w:ascii="Verdana" w:hAnsi="Verdana"/>
                <w:sz w:val="18"/>
                <w:szCs w:val="18"/>
              </w:rPr>
            </w:pPr>
          </w:p>
        </w:tc>
        <w:tc>
          <w:tcPr>
            <w:tcW w:w="1261" w:type="dxa"/>
            <w:vMerge/>
            <w:tcBorders>
              <w:top w:val="nil"/>
            </w:tcBorders>
          </w:tcPr>
          <w:p w14:paraId="2B49DAFA" w14:textId="77777777" w:rsidR="008715BE" w:rsidRPr="00EC75B7" w:rsidRDefault="008715BE">
            <w:pPr>
              <w:rPr>
                <w:rFonts w:ascii="Verdana" w:hAnsi="Verdana"/>
                <w:sz w:val="18"/>
                <w:szCs w:val="18"/>
              </w:rPr>
            </w:pPr>
          </w:p>
        </w:tc>
        <w:tc>
          <w:tcPr>
            <w:tcW w:w="1442" w:type="dxa"/>
            <w:vMerge/>
            <w:tcBorders>
              <w:top w:val="nil"/>
            </w:tcBorders>
          </w:tcPr>
          <w:p w14:paraId="4B628069" w14:textId="77777777" w:rsidR="008715BE" w:rsidRPr="00EC75B7" w:rsidRDefault="008715BE">
            <w:pPr>
              <w:rPr>
                <w:rFonts w:ascii="Verdana" w:hAnsi="Verdana"/>
                <w:sz w:val="18"/>
                <w:szCs w:val="18"/>
              </w:rPr>
            </w:pPr>
          </w:p>
        </w:tc>
        <w:tc>
          <w:tcPr>
            <w:tcW w:w="1170" w:type="dxa"/>
            <w:vMerge/>
            <w:tcBorders>
              <w:top w:val="nil"/>
            </w:tcBorders>
          </w:tcPr>
          <w:p w14:paraId="1CE522F3" w14:textId="77777777" w:rsidR="008715BE" w:rsidRPr="00EC75B7" w:rsidRDefault="008715BE">
            <w:pPr>
              <w:rPr>
                <w:rFonts w:ascii="Verdana" w:hAnsi="Verdana"/>
                <w:sz w:val="18"/>
                <w:szCs w:val="18"/>
              </w:rPr>
            </w:pPr>
          </w:p>
        </w:tc>
        <w:tc>
          <w:tcPr>
            <w:tcW w:w="1115" w:type="dxa"/>
          </w:tcPr>
          <w:p w14:paraId="1D7A7FD9"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7F876AD0" w14:textId="77777777" w:rsidR="008715BE" w:rsidRPr="00EC75B7" w:rsidRDefault="00000000">
            <w:pPr>
              <w:pStyle w:val="TableParagraph"/>
              <w:spacing w:before="8"/>
              <w:ind w:left="95" w:right="175"/>
              <w:rPr>
                <w:rFonts w:ascii="Verdana" w:hAnsi="Verdana"/>
                <w:sz w:val="18"/>
                <w:szCs w:val="18"/>
              </w:rPr>
            </w:pPr>
            <w:r w:rsidRPr="00EC75B7">
              <w:rPr>
                <w:rFonts w:ascii="Verdana" w:hAnsi="Verdana"/>
                <w:sz w:val="18"/>
                <w:szCs w:val="18"/>
              </w:rPr>
              <w:t>Possible disruption of the activity of a maximum of 2 to 3 individuals The effects will be felt locally, at distances that are not likely to affect sensitive receptors in the area The 30 dB noise contour will be felt at distances of up to 1.5 km around</w:t>
            </w:r>
          </w:p>
          <w:p w14:paraId="0919BC9B" w14:textId="77777777" w:rsidR="008715BE" w:rsidRPr="00EC75B7" w:rsidRDefault="00000000">
            <w:pPr>
              <w:pStyle w:val="TableParagraph"/>
              <w:spacing w:line="157" w:lineRule="exact"/>
              <w:ind w:left="95"/>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work </w:t>
            </w:r>
            <w:r w:rsidRPr="00EC75B7">
              <w:rPr>
                <w:rFonts w:ascii="Verdana" w:hAnsi="Verdana"/>
                <w:sz w:val="18"/>
                <w:szCs w:val="18"/>
              </w:rPr>
              <w:t>area</w:t>
            </w:r>
          </w:p>
        </w:tc>
        <w:tc>
          <w:tcPr>
            <w:tcW w:w="1530" w:type="dxa"/>
          </w:tcPr>
          <w:p w14:paraId="3B653058"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of inventories and field</w:t>
            </w:r>
            <w:r w:rsidRPr="00EC75B7">
              <w:rPr>
                <w:rFonts w:ascii="Verdana" w:hAnsi="Verdana"/>
                <w:spacing w:val="-2"/>
                <w:sz w:val="18"/>
                <w:szCs w:val="18"/>
              </w:rPr>
              <w:t xml:space="preserve"> monitoring </w:t>
            </w:r>
            <w:r w:rsidRPr="00EC75B7">
              <w:rPr>
                <w:rFonts w:ascii="Verdana" w:hAnsi="Verdana"/>
                <w:sz w:val="18"/>
                <w:szCs w:val="18"/>
              </w:rPr>
              <w:t xml:space="preserve">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w:t>
            </w:r>
            <w:r w:rsidRPr="00EC75B7">
              <w:rPr>
                <w:rFonts w:ascii="Verdana" w:hAnsi="Verdana"/>
                <w:spacing w:val="-2"/>
                <w:sz w:val="18"/>
                <w:szCs w:val="18"/>
              </w:rPr>
              <w:t>observed</w:t>
            </w:r>
            <w:r w:rsidRPr="00EC75B7">
              <w:rPr>
                <w:rFonts w:ascii="Verdana" w:hAnsi="Verdana"/>
                <w:sz w:val="18"/>
                <w:szCs w:val="18"/>
              </w:rPr>
              <w:t xml:space="preserve"> species GIS analysis.</w:t>
            </w:r>
          </w:p>
        </w:tc>
      </w:tr>
      <w:tr w:rsidR="008715BE" w:rsidRPr="00EC75B7" w14:paraId="08096639" w14:textId="77777777">
        <w:trPr>
          <w:trHeight w:val="2140"/>
        </w:trPr>
        <w:tc>
          <w:tcPr>
            <w:tcW w:w="605" w:type="dxa"/>
            <w:vMerge/>
            <w:tcBorders>
              <w:top w:val="nil"/>
            </w:tcBorders>
            <w:textDirection w:val="btLr"/>
          </w:tcPr>
          <w:p w14:paraId="77473277" w14:textId="77777777" w:rsidR="008715BE" w:rsidRPr="00EC75B7" w:rsidRDefault="008715BE">
            <w:pPr>
              <w:rPr>
                <w:rFonts w:ascii="Verdana" w:hAnsi="Verdana"/>
                <w:sz w:val="18"/>
                <w:szCs w:val="18"/>
              </w:rPr>
            </w:pPr>
          </w:p>
        </w:tc>
        <w:tc>
          <w:tcPr>
            <w:tcW w:w="1649" w:type="dxa"/>
          </w:tcPr>
          <w:p w14:paraId="0167EAFB" w14:textId="77777777" w:rsidR="008715BE" w:rsidRPr="00EC75B7" w:rsidRDefault="00000000">
            <w:pPr>
              <w:pStyle w:val="TableParagraph"/>
              <w:spacing w:before="8"/>
              <w:ind w:left="105" w:right="687"/>
              <w:jc w:val="both"/>
              <w:rPr>
                <w:rFonts w:ascii="Verdana" w:hAnsi="Verdana"/>
                <w:sz w:val="18"/>
                <w:szCs w:val="18"/>
              </w:rPr>
            </w:pPr>
            <w:r w:rsidRPr="00EC75B7">
              <w:rPr>
                <w:rFonts w:ascii="Verdana" w:hAnsi="Verdana"/>
                <w:spacing w:val="-2"/>
                <w:sz w:val="18"/>
                <w:szCs w:val="18"/>
              </w:rPr>
              <w:t xml:space="preserve">Foundation </w:t>
            </w:r>
            <w:r w:rsidRPr="00EC75B7">
              <w:rPr>
                <w:rFonts w:ascii="Verdana" w:hAnsi="Verdana"/>
                <w:sz w:val="18"/>
                <w:szCs w:val="18"/>
              </w:rPr>
              <w:t>construction works</w:t>
            </w:r>
          </w:p>
        </w:tc>
        <w:tc>
          <w:tcPr>
            <w:tcW w:w="1277" w:type="dxa"/>
          </w:tcPr>
          <w:p w14:paraId="0AAE5A75" w14:textId="77777777" w:rsidR="008715BE" w:rsidRPr="00EC75B7" w:rsidRDefault="00000000">
            <w:pPr>
              <w:pStyle w:val="TableParagraph"/>
              <w:spacing w:line="194" w:lineRule="exact"/>
              <w:ind w:left="107" w:right="106"/>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of wildlife with </w:t>
            </w:r>
            <w:r w:rsidRPr="00EC75B7">
              <w:rPr>
                <w:rFonts w:ascii="Verdana" w:hAnsi="Verdana"/>
                <w:spacing w:val="-2"/>
                <w:sz w:val="18"/>
                <w:szCs w:val="18"/>
              </w:rPr>
              <w:t xml:space="preserve">vehicle traffic </w:t>
            </w:r>
            <w:r w:rsidRPr="00EC75B7">
              <w:rPr>
                <w:rFonts w:ascii="Verdana" w:hAnsi="Verdana"/>
                <w:sz w:val="18"/>
                <w:szCs w:val="18"/>
              </w:rPr>
              <w:t xml:space="preserve">on </w:t>
            </w:r>
            <w:r w:rsidRPr="00EC75B7">
              <w:rPr>
                <w:rFonts w:ascii="Verdana" w:hAnsi="Verdana"/>
                <w:spacing w:val="-2"/>
                <w:sz w:val="18"/>
                <w:szCs w:val="18"/>
              </w:rPr>
              <w:t xml:space="preserve">access roads/machinery </w:t>
            </w:r>
            <w:r w:rsidRPr="00EC75B7">
              <w:rPr>
                <w:rFonts w:ascii="Verdana" w:hAnsi="Verdana"/>
                <w:sz w:val="18"/>
                <w:szCs w:val="18"/>
              </w:rPr>
              <w:t xml:space="preserve">in the </w:t>
            </w:r>
            <w:r w:rsidRPr="00EC75B7">
              <w:rPr>
                <w:rFonts w:ascii="Verdana" w:hAnsi="Verdana"/>
                <w:spacing w:val="-2"/>
                <w:sz w:val="18"/>
                <w:szCs w:val="18"/>
              </w:rPr>
              <w:t>work</w:t>
            </w:r>
            <w:r w:rsidRPr="00EC75B7">
              <w:rPr>
                <w:rFonts w:ascii="Verdana" w:hAnsi="Verdana"/>
                <w:sz w:val="18"/>
                <w:szCs w:val="18"/>
              </w:rPr>
              <w:t xml:space="preserve"> area</w:t>
            </w:r>
          </w:p>
        </w:tc>
        <w:tc>
          <w:tcPr>
            <w:tcW w:w="1275" w:type="dxa"/>
          </w:tcPr>
          <w:p w14:paraId="5DD0E19E"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REP</w:t>
            </w:r>
          </w:p>
        </w:tc>
        <w:tc>
          <w:tcPr>
            <w:tcW w:w="850" w:type="dxa"/>
          </w:tcPr>
          <w:p w14:paraId="316C48B2"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222DB22D"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4E193633"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384111CD"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3354C60E"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563EE618"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460E0CD9"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240FAA6A"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6BA357A5"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746644F5"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8715BE" w:rsidRPr="00EC75B7" w14:paraId="048AB50F" w14:textId="77777777">
        <w:trPr>
          <w:trHeight w:val="842"/>
        </w:trPr>
        <w:tc>
          <w:tcPr>
            <w:tcW w:w="2254" w:type="dxa"/>
            <w:gridSpan w:val="2"/>
            <w:shd w:val="clear" w:color="auto" w:fill="00A1E8"/>
          </w:tcPr>
          <w:p w14:paraId="12705A20" w14:textId="77777777" w:rsidR="008715BE" w:rsidRPr="00EC75B7" w:rsidRDefault="008715BE">
            <w:pPr>
              <w:pStyle w:val="TableParagraph"/>
              <w:spacing w:before="136"/>
              <w:rPr>
                <w:rFonts w:ascii="Verdana" w:hAnsi="Verdana"/>
                <w:b/>
                <w:sz w:val="18"/>
                <w:szCs w:val="18"/>
              </w:rPr>
            </w:pPr>
          </w:p>
          <w:p w14:paraId="7B3E3F7C" w14:textId="77777777" w:rsidR="008715BE" w:rsidRPr="00EC75B7" w:rsidRDefault="00000000">
            <w:pPr>
              <w:pStyle w:val="TableParagraph"/>
              <w:spacing w:before="1"/>
              <w:ind w:left="616"/>
              <w:rPr>
                <w:rFonts w:ascii="Verdana" w:hAnsi="Verdana"/>
                <w:b/>
                <w:sz w:val="18"/>
                <w:szCs w:val="18"/>
              </w:rPr>
            </w:pPr>
            <w:r w:rsidRPr="00EC75B7">
              <w:rPr>
                <w:rFonts w:ascii="Verdana" w:hAnsi="Verdana"/>
                <w:b/>
                <w:color w:val="FFFFFF"/>
                <w:spacing w:val="-2"/>
                <w:sz w:val="18"/>
                <w:szCs w:val="18"/>
              </w:rPr>
              <w:t>Intervention</w:t>
            </w:r>
          </w:p>
        </w:tc>
        <w:tc>
          <w:tcPr>
            <w:tcW w:w="1277" w:type="dxa"/>
            <w:shd w:val="clear" w:color="auto" w:fill="00A1E8"/>
          </w:tcPr>
          <w:p w14:paraId="1E166B4A" w14:textId="77777777" w:rsidR="008715BE" w:rsidRPr="00EC75B7" w:rsidRDefault="008715BE">
            <w:pPr>
              <w:pStyle w:val="TableParagraph"/>
              <w:spacing w:before="136"/>
              <w:rPr>
                <w:rFonts w:ascii="Verdana" w:hAnsi="Verdana"/>
                <w:b/>
                <w:sz w:val="18"/>
                <w:szCs w:val="18"/>
              </w:rPr>
            </w:pPr>
          </w:p>
          <w:p w14:paraId="5D1EB772" w14:textId="77777777" w:rsidR="008715BE" w:rsidRPr="00EC75B7" w:rsidRDefault="00000000">
            <w:pPr>
              <w:pStyle w:val="TableParagraph"/>
              <w:spacing w:before="1"/>
              <w:ind w:left="357"/>
              <w:rPr>
                <w:rFonts w:ascii="Verdana" w:hAnsi="Verdana"/>
                <w:b/>
                <w:sz w:val="18"/>
                <w:szCs w:val="18"/>
              </w:rPr>
            </w:pPr>
            <w:r w:rsidRPr="00EC75B7">
              <w:rPr>
                <w:rFonts w:ascii="Verdana" w:hAnsi="Verdana"/>
                <w:b/>
                <w:color w:val="FFFFFF"/>
                <w:spacing w:val="-2"/>
                <w:sz w:val="18"/>
                <w:szCs w:val="18"/>
              </w:rPr>
              <w:t>Effects</w:t>
            </w:r>
          </w:p>
        </w:tc>
        <w:tc>
          <w:tcPr>
            <w:tcW w:w="1275" w:type="dxa"/>
            <w:shd w:val="clear" w:color="auto" w:fill="00A1E8"/>
          </w:tcPr>
          <w:p w14:paraId="7E7067C7" w14:textId="77777777" w:rsidR="008715BE" w:rsidRPr="00EC75B7" w:rsidRDefault="008715BE">
            <w:pPr>
              <w:pStyle w:val="TableParagraph"/>
              <w:spacing w:before="40"/>
              <w:rPr>
                <w:rFonts w:ascii="Verdana" w:hAnsi="Verdana"/>
                <w:b/>
                <w:sz w:val="18"/>
                <w:szCs w:val="18"/>
              </w:rPr>
            </w:pPr>
          </w:p>
          <w:p w14:paraId="394A358E" w14:textId="77777777" w:rsidR="008715BE" w:rsidRPr="00EC75B7" w:rsidRDefault="00000000">
            <w:pPr>
              <w:pStyle w:val="TableParagraph"/>
              <w:spacing w:before="1"/>
              <w:ind w:left="321" w:right="178" w:hanging="135"/>
              <w:rPr>
                <w:rFonts w:ascii="Verdana" w:hAnsi="Verdana"/>
                <w:b/>
                <w:sz w:val="18"/>
                <w:szCs w:val="18"/>
              </w:rPr>
            </w:pPr>
            <w:r w:rsidRPr="00EC75B7">
              <w:rPr>
                <w:rFonts w:ascii="Verdana" w:hAnsi="Verdana"/>
                <w:b/>
                <w:color w:val="FFFFFF"/>
                <w:spacing w:val="-2"/>
                <w:sz w:val="18"/>
                <w:szCs w:val="18"/>
              </w:rPr>
              <w:t>Direct impacts</w:t>
            </w:r>
          </w:p>
        </w:tc>
        <w:tc>
          <w:tcPr>
            <w:tcW w:w="850" w:type="dxa"/>
            <w:shd w:val="clear" w:color="auto" w:fill="00A1E8"/>
          </w:tcPr>
          <w:p w14:paraId="6EF55097" w14:textId="77777777" w:rsidR="008715BE" w:rsidRPr="00EC75B7" w:rsidRDefault="00000000">
            <w:pPr>
              <w:pStyle w:val="TableParagraph"/>
              <w:spacing w:before="41"/>
              <w:ind w:left="114" w:right="106" w:firstLine="2"/>
              <w:jc w:val="center"/>
              <w:rPr>
                <w:rFonts w:ascii="Verdana" w:hAnsi="Verdana"/>
                <w:b/>
                <w:sz w:val="18"/>
                <w:szCs w:val="18"/>
              </w:rPr>
            </w:pPr>
            <w:r w:rsidRPr="00EC75B7">
              <w:rPr>
                <w:rFonts w:ascii="Verdana" w:hAnsi="Verdana"/>
                <w:b/>
                <w:color w:val="FFFFFF"/>
                <w:spacing w:val="-6"/>
                <w:sz w:val="18"/>
                <w:szCs w:val="18"/>
              </w:rPr>
              <w:t>Indirect</w:t>
            </w:r>
            <w:r w:rsidRPr="00EC75B7">
              <w:rPr>
                <w:rFonts w:ascii="Verdana" w:hAnsi="Verdana"/>
                <w:b/>
                <w:color w:val="FFFFFF"/>
                <w:spacing w:val="-4"/>
                <w:sz w:val="18"/>
                <w:szCs w:val="18"/>
              </w:rPr>
              <w:t xml:space="preserve"> impacts</w:t>
            </w:r>
          </w:p>
        </w:tc>
        <w:tc>
          <w:tcPr>
            <w:tcW w:w="1261" w:type="dxa"/>
            <w:shd w:val="clear" w:color="auto" w:fill="00A1E8"/>
          </w:tcPr>
          <w:p w14:paraId="5421A00C" w14:textId="77777777" w:rsidR="008715BE" w:rsidRPr="00EC75B7" w:rsidRDefault="008715BE">
            <w:pPr>
              <w:pStyle w:val="TableParagraph"/>
              <w:spacing w:before="40"/>
              <w:rPr>
                <w:rFonts w:ascii="Verdana" w:hAnsi="Verdana"/>
                <w:b/>
                <w:sz w:val="18"/>
                <w:szCs w:val="18"/>
              </w:rPr>
            </w:pPr>
          </w:p>
          <w:p w14:paraId="2905DB7B" w14:textId="77777777" w:rsidR="008715BE" w:rsidRPr="00EC75B7" w:rsidRDefault="00000000">
            <w:pPr>
              <w:pStyle w:val="TableParagraph"/>
              <w:spacing w:before="1"/>
              <w:ind w:left="164" w:firstLine="16"/>
              <w:rPr>
                <w:rFonts w:ascii="Verdana" w:hAnsi="Verdana"/>
                <w:b/>
                <w:sz w:val="18"/>
                <w:szCs w:val="18"/>
              </w:rPr>
            </w:pPr>
            <w:r w:rsidRPr="00EC75B7">
              <w:rPr>
                <w:rFonts w:ascii="Verdana" w:hAnsi="Verdana"/>
                <w:b/>
                <w:color w:val="FFFFFF"/>
                <w:spacing w:val="-2"/>
                <w:sz w:val="18"/>
                <w:szCs w:val="18"/>
              </w:rPr>
              <w:t>Secondary impacts</w:t>
            </w:r>
          </w:p>
        </w:tc>
        <w:tc>
          <w:tcPr>
            <w:tcW w:w="1352" w:type="dxa"/>
            <w:shd w:val="clear" w:color="auto" w:fill="00A1E8"/>
          </w:tcPr>
          <w:p w14:paraId="60C1BF78" w14:textId="77777777" w:rsidR="008715BE" w:rsidRPr="00EC75B7" w:rsidRDefault="008715BE">
            <w:pPr>
              <w:pStyle w:val="TableParagraph"/>
              <w:spacing w:before="40"/>
              <w:rPr>
                <w:rFonts w:ascii="Verdana" w:hAnsi="Verdana"/>
                <w:b/>
                <w:sz w:val="18"/>
                <w:szCs w:val="18"/>
              </w:rPr>
            </w:pPr>
          </w:p>
          <w:p w14:paraId="03DB4ADE" w14:textId="77777777" w:rsidR="008715BE" w:rsidRPr="00EC75B7" w:rsidRDefault="00000000">
            <w:pPr>
              <w:pStyle w:val="TableParagraph"/>
              <w:spacing w:before="1"/>
              <w:ind w:left="175" w:right="170" w:firstLine="50"/>
              <w:rPr>
                <w:rFonts w:ascii="Verdana" w:hAnsi="Verdana"/>
                <w:b/>
                <w:sz w:val="18"/>
                <w:szCs w:val="18"/>
              </w:rPr>
            </w:pPr>
            <w:r w:rsidRPr="00EC75B7">
              <w:rPr>
                <w:rFonts w:ascii="Verdana" w:hAnsi="Verdana"/>
                <w:b/>
                <w:color w:val="FFFFFF"/>
                <w:spacing w:val="-2"/>
                <w:sz w:val="18"/>
                <w:szCs w:val="18"/>
              </w:rPr>
              <w:t>Cumulative impacts</w:t>
            </w:r>
          </w:p>
        </w:tc>
        <w:tc>
          <w:tcPr>
            <w:tcW w:w="1261" w:type="dxa"/>
            <w:shd w:val="clear" w:color="auto" w:fill="00A1E8"/>
          </w:tcPr>
          <w:p w14:paraId="0ED3EC2F" w14:textId="77777777" w:rsidR="008715BE" w:rsidRPr="00EC75B7" w:rsidRDefault="00000000">
            <w:pPr>
              <w:pStyle w:val="TableParagraph"/>
              <w:spacing w:before="41"/>
              <w:ind w:left="163" w:right="162" w:hanging="3"/>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pacing w:val="-2"/>
                <w:sz w:val="18"/>
                <w:szCs w:val="18"/>
              </w:rPr>
              <w:t>-term impacts</w:t>
            </w:r>
          </w:p>
        </w:tc>
        <w:tc>
          <w:tcPr>
            <w:tcW w:w="6669" w:type="dxa"/>
            <w:gridSpan w:val="5"/>
            <w:shd w:val="clear" w:color="auto" w:fill="00A1E8"/>
          </w:tcPr>
          <w:p w14:paraId="73189020" w14:textId="77777777" w:rsidR="008715BE" w:rsidRPr="00EC75B7" w:rsidRDefault="008715BE">
            <w:pPr>
              <w:pStyle w:val="TableParagraph"/>
              <w:spacing w:before="136"/>
              <w:rPr>
                <w:rFonts w:ascii="Verdana" w:hAnsi="Verdana"/>
                <w:b/>
                <w:sz w:val="18"/>
                <w:szCs w:val="18"/>
              </w:rPr>
            </w:pPr>
          </w:p>
          <w:p w14:paraId="105E1FA7" w14:textId="77777777" w:rsidR="008715BE" w:rsidRPr="00EC75B7" w:rsidRDefault="00000000">
            <w:pPr>
              <w:pStyle w:val="TableParagraph"/>
              <w:spacing w:before="1"/>
              <w:ind w:right="6"/>
              <w:jc w:val="center"/>
              <w:rPr>
                <w:rFonts w:ascii="Verdana" w:hAnsi="Verdana"/>
                <w:b/>
                <w:sz w:val="18"/>
                <w:szCs w:val="18"/>
              </w:rPr>
            </w:pPr>
            <w:r w:rsidRPr="00EC75B7">
              <w:rPr>
                <w:rFonts w:ascii="Verdana" w:hAnsi="Verdana"/>
                <w:b/>
                <w:color w:val="FFFFFF"/>
                <w:spacing w:val="-2"/>
                <w:sz w:val="18"/>
                <w:szCs w:val="18"/>
              </w:rPr>
              <w:t>Species</w:t>
            </w:r>
          </w:p>
        </w:tc>
        <w:tc>
          <w:tcPr>
            <w:tcW w:w="1115" w:type="dxa"/>
            <w:shd w:val="clear" w:color="auto" w:fill="00A1E8"/>
          </w:tcPr>
          <w:p w14:paraId="05F0FF3F" w14:textId="77777777" w:rsidR="008715BE" w:rsidRPr="00EC75B7" w:rsidRDefault="00000000">
            <w:pPr>
              <w:pStyle w:val="TableParagraph"/>
              <w:spacing w:before="42"/>
              <w:ind w:left="336" w:right="132" w:hanging="209"/>
              <w:rPr>
                <w:rFonts w:ascii="Verdana" w:hAnsi="Verdana"/>
                <w:b/>
                <w:sz w:val="18"/>
                <w:szCs w:val="18"/>
              </w:rPr>
            </w:pPr>
            <w:r w:rsidRPr="00EC75B7">
              <w:rPr>
                <w:rFonts w:ascii="Verdana" w:hAnsi="Verdana"/>
                <w:b/>
                <w:color w:val="FFFFFF"/>
                <w:spacing w:val="-2"/>
                <w:sz w:val="18"/>
                <w:szCs w:val="18"/>
              </w:rPr>
              <w:t xml:space="preserve">Target </w:t>
            </w:r>
            <w:r w:rsidRPr="00EC75B7">
              <w:rPr>
                <w:rFonts w:ascii="Verdana" w:hAnsi="Verdana"/>
                <w:b/>
                <w:color w:val="FFFFFF"/>
                <w:sz w:val="18"/>
                <w:szCs w:val="18"/>
              </w:rPr>
              <w:t>parameter</w:t>
            </w:r>
          </w:p>
          <w:p w14:paraId="097CC27F" w14:textId="77777777" w:rsidR="008715BE" w:rsidRPr="00EC75B7" w:rsidRDefault="00000000">
            <w:pPr>
              <w:pStyle w:val="TableParagraph"/>
              <w:spacing w:line="193" w:lineRule="exact"/>
              <w:ind w:left="180"/>
              <w:rPr>
                <w:rFonts w:ascii="Verdana" w:hAnsi="Verdana"/>
                <w:b/>
                <w:sz w:val="18"/>
                <w:szCs w:val="18"/>
              </w:rPr>
            </w:pPr>
            <w:r w:rsidRPr="00EC75B7">
              <w:rPr>
                <w:rFonts w:ascii="Verdana" w:hAnsi="Verdana"/>
                <w:b/>
                <w:color w:val="FFFFFF"/>
                <w:spacing w:val="-2"/>
                <w:sz w:val="18"/>
                <w:szCs w:val="18"/>
              </w:rPr>
              <w:t>affected</w:t>
            </w:r>
          </w:p>
        </w:tc>
        <w:tc>
          <w:tcPr>
            <w:tcW w:w="2534" w:type="dxa"/>
            <w:shd w:val="clear" w:color="auto" w:fill="00A1E8"/>
          </w:tcPr>
          <w:p w14:paraId="123E34DE" w14:textId="77777777" w:rsidR="008715BE" w:rsidRPr="00EC75B7" w:rsidRDefault="008715BE">
            <w:pPr>
              <w:pStyle w:val="TableParagraph"/>
              <w:spacing w:before="40"/>
              <w:rPr>
                <w:rFonts w:ascii="Verdana" w:hAnsi="Verdana"/>
                <w:b/>
                <w:sz w:val="18"/>
                <w:szCs w:val="18"/>
              </w:rPr>
            </w:pPr>
          </w:p>
          <w:p w14:paraId="777EDAFF" w14:textId="77777777" w:rsidR="008715BE" w:rsidRPr="00EC75B7" w:rsidRDefault="00000000">
            <w:pPr>
              <w:pStyle w:val="TableParagraph"/>
              <w:spacing w:before="1"/>
              <w:ind w:left="947" w:right="171" w:hanging="240"/>
              <w:rPr>
                <w:rFonts w:ascii="Verdana" w:hAnsi="Verdana"/>
                <w:b/>
                <w:sz w:val="18"/>
                <w:szCs w:val="18"/>
              </w:rPr>
            </w:pPr>
            <w:r w:rsidRPr="00EC75B7">
              <w:rPr>
                <w:rFonts w:ascii="Verdana" w:hAnsi="Verdana"/>
                <w:b/>
                <w:color w:val="FFFFFF"/>
                <w:spacing w:val="-2"/>
                <w:sz w:val="18"/>
                <w:szCs w:val="18"/>
              </w:rPr>
              <w:t>Impact quantification</w:t>
            </w:r>
          </w:p>
        </w:tc>
        <w:tc>
          <w:tcPr>
            <w:tcW w:w="1530" w:type="dxa"/>
            <w:shd w:val="clear" w:color="auto" w:fill="00A1E8"/>
          </w:tcPr>
          <w:p w14:paraId="58A46B3C" w14:textId="77777777" w:rsidR="008715BE" w:rsidRPr="00EC75B7" w:rsidRDefault="008715BE">
            <w:pPr>
              <w:pStyle w:val="TableParagraph"/>
              <w:spacing w:before="40"/>
              <w:rPr>
                <w:rFonts w:ascii="Verdana" w:hAnsi="Verdana"/>
                <w:b/>
                <w:sz w:val="18"/>
                <w:szCs w:val="18"/>
              </w:rPr>
            </w:pPr>
          </w:p>
          <w:p w14:paraId="36B2CDB7" w14:textId="77777777" w:rsidR="008715BE" w:rsidRPr="00EC75B7" w:rsidRDefault="00000000">
            <w:pPr>
              <w:pStyle w:val="TableParagraph"/>
              <w:spacing w:before="1"/>
              <w:ind w:left="215" w:firstLine="208"/>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method</w:t>
            </w:r>
          </w:p>
        </w:tc>
      </w:tr>
      <w:tr w:rsidR="008715BE" w:rsidRPr="00EC75B7" w14:paraId="74E7FDD2" w14:textId="77777777">
        <w:trPr>
          <w:trHeight w:val="1554"/>
        </w:trPr>
        <w:tc>
          <w:tcPr>
            <w:tcW w:w="605" w:type="dxa"/>
            <w:vMerge w:val="restart"/>
          </w:tcPr>
          <w:p w14:paraId="5850B02D" w14:textId="77777777" w:rsidR="008715BE" w:rsidRPr="00EC75B7" w:rsidRDefault="008715BE">
            <w:pPr>
              <w:pStyle w:val="TableParagraph"/>
              <w:rPr>
                <w:rFonts w:ascii="Verdana" w:hAnsi="Verdana"/>
                <w:sz w:val="18"/>
                <w:szCs w:val="18"/>
              </w:rPr>
            </w:pPr>
          </w:p>
        </w:tc>
        <w:tc>
          <w:tcPr>
            <w:tcW w:w="1649" w:type="dxa"/>
          </w:tcPr>
          <w:p w14:paraId="2A83A33D" w14:textId="77777777" w:rsidR="008715BE" w:rsidRPr="00EC75B7" w:rsidRDefault="00000000">
            <w:pPr>
              <w:pStyle w:val="TableParagraph"/>
              <w:spacing w:before="8"/>
              <w:ind w:left="105"/>
              <w:rPr>
                <w:rFonts w:ascii="Verdana" w:hAnsi="Verdana"/>
                <w:sz w:val="18"/>
                <w:szCs w:val="18"/>
              </w:rPr>
            </w:pPr>
            <w:r w:rsidRPr="00EC75B7">
              <w:rPr>
                <w:rFonts w:ascii="Verdana" w:hAnsi="Verdana"/>
                <w:sz w:val="18"/>
                <w:szCs w:val="18"/>
              </w:rPr>
              <w:t xml:space="preserve">Installation of </w:t>
            </w:r>
            <w:r w:rsidRPr="00EC75B7">
              <w:rPr>
                <w:rFonts w:ascii="Verdana" w:hAnsi="Verdana"/>
                <w:spacing w:val="-2"/>
                <w:sz w:val="18"/>
                <w:szCs w:val="18"/>
              </w:rPr>
              <w:t>facilities/equipment</w:t>
            </w:r>
          </w:p>
        </w:tc>
        <w:tc>
          <w:tcPr>
            <w:tcW w:w="1277" w:type="dxa"/>
          </w:tcPr>
          <w:p w14:paraId="171A1C6D" w14:textId="77777777" w:rsidR="008715BE" w:rsidRPr="00EC75B7" w:rsidRDefault="00000000">
            <w:pPr>
              <w:pStyle w:val="TableParagraph"/>
              <w:spacing w:before="8"/>
              <w:ind w:left="107" w:right="133"/>
              <w:rPr>
                <w:rFonts w:ascii="Verdana" w:hAnsi="Verdana"/>
                <w:sz w:val="18"/>
                <w:szCs w:val="18"/>
              </w:rPr>
            </w:pPr>
            <w:r w:rsidRPr="00EC75B7">
              <w:rPr>
                <w:rFonts w:ascii="Verdana" w:hAnsi="Verdana"/>
                <w:sz w:val="18"/>
                <w:szCs w:val="18"/>
              </w:rPr>
              <w:t xml:space="preserve">Emissions of pollutants into </w:t>
            </w:r>
            <w:r w:rsidRPr="00EC75B7">
              <w:rPr>
                <w:rFonts w:ascii="Verdana" w:hAnsi="Verdana"/>
                <w:spacing w:val="-2"/>
                <w:sz w:val="18"/>
                <w:szCs w:val="18"/>
              </w:rPr>
              <w:t xml:space="preserve">the atmosphere (operation of vehicles </w:t>
            </w:r>
            <w:r w:rsidRPr="00EC75B7">
              <w:rPr>
                <w:rFonts w:ascii="Verdana" w:hAnsi="Verdana"/>
                <w:sz w:val="18"/>
                <w:szCs w:val="18"/>
              </w:rPr>
              <w:t>and machinery)</w:t>
            </w:r>
          </w:p>
        </w:tc>
        <w:tc>
          <w:tcPr>
            <w:tcW w:w="1275" w:type="dxa"/>
          </w:tcPr>
          <w:p w14:paraId="5FC13D17"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13517DBD" w14:textId="77777777" w:rsidR="008715BE" w:rsidRPr="00EC75B7" w:rsidRDefault="00000000">
            <w:pPr>
              <w:pStyle w:val="TableParagraph"/>
              <w:spacing w:line="194" w:lineRule="exact"/>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38518218"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29F8A2AB"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61" w:type="dxa"/>
          </w:tcPr>
          <w:p w14:paraId="42854CB1"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0EDC0296"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295BF7A1"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4837ABBC"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1AC439BE"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3EF80B70" w14:textId="77777777">
        <w:trPr>
          <w:trHeight w:val="2527"/>
        </w:trPr>
        <w:tc>
          <w:tcPr>
            <w:tcW w:w="605" w:type="dxa"/>
            <w:vMerge/>
            <w:tcBorders>
              <w:top w:val="nil"/>
            </w:tcBorders>
          </w:tcPr>
          <w:p w14:paraId="03014C4A" w14:textId="77777777" w:rsidR="008715BE" w:rsidRPr="00EC75B7" w:rsidRDefault="008715BE">
            <w:pPr>
              <w:rPr>
                <w:rFonts w:ascii="Verdana" w:hAnsi="Verdana"/>
                <w:sz w:val="18"/>
                <w:szCs w:val="18"/>
              </w:rPr>
            </w:pPr>
          </w:p>
        </w:tc>
        <w:tc>
          <w:tcPr>
            <w:tcW w:w="1649" w:type="dxa"/>
          </w:tcPr>
          <w:p w14:paraId="63D8750B" w14:textId="77777777" w:rsidR="008715BE" w:rsidRPr="00EC75B7" w:rsidRDefault="00000000">
            <w:pPr>
              <w:pStyle w:val="TableParagraph"/>
              <w:spacing w:before="8"/>
              <w:ind w:left="105" w:right="145"/>
              <w:rPr>
                <w:rFonts w:ascii="Verdana" w:hAnsi="Verdana"/>
                <w:sz w:val="18"/>
                <w:szCs w:val="18"/>
              </w:rPr>
            </w:pPr>
            <w:r w:rsidRPr="00EC75B7">
              <w:rPr>
                <w:rFonts w:ascii="Verdana" w:hAnsi="Verdana"/>
                <w:spacing w:val="-2"/>
                <w:sz w:val="18"/>
                <w:szCs w:val="18"/>
              </w:rPr>
              <w:t xml:space="preserve">Construction </w:t>
            </w:r>
            <w:r w:rsidRPr="00EC75B7">
              <w:rPr>
                <w:rFonts w:ascii="Verdana" w:hAnsi="Verdana"/>
                <w:sz w:val="18"/>
                <w:szCs w:val="18"/>
              </w:rPr>
              <w:t xml:space="preserve">of the electrical network for discharging the energy produced by the wind power plant at the transformer station and the </w:t>
            </w:r>
            <w:r w:rsidRPr="00EC75B7">
              <w:rPr>
                <w:rFonts w:ascii="Verdana" w:hAnsi="Verdana"/>
                <w:spacing w:val="-2"/>
                <w:sz w:val="18"/>
                <w:szCs w:val="18"/>
              </w:rPr>
              <w:t>telecommunications</w:t>
            </w:r>
            <w:r w:rsidRPr="00EC75B7">
              <w:rPr>
                <w:rFonts w:ascii="Verdana" w:hAnsi="Verdana"/>
                <w:sz w:val="18"/>
                <w:szCs w:val="18"/>
              </w:rPr>
              <w:t xml:space="preserve"> network (fiber optics), transformer stations</w:t>
            </w:r>
          </w:p>
          <w:p w14:paraId="020F0FC1" w14:textId="77777777" w:rsidR="008715BE" w:rsidRPr="00EC75B7" w:rsidRDefault="00000000">
            <w:pPr>
              <w:pStyle w:val="TableParagraph"/>
              <w:spacing w:line="155" w:lineRule="exact"/>
              <w:ind w:left="105"/>
              <w:rPr>
                <w:rFonts w:ascii="Verdana" w:hAnsi="Verdana"/>
                <w:sz w:val="18"/>
                <w:szCs w:val="18"/>
              </w:rPr>
            </w:pPr>
            <w:r w:rsidRPr="00EC75B7">
              <w:rPr>
                <w:rFonts w:ascii="Verdana" w:hAnsi="Verdana"/>
                <w:spacing w:val="-2"/>
                <w:sz w:val="18"/>
                <w:szCs w:val="18"/>
              </w:rPr>
              <w:t>Transformers</w:t>
            </w:r>
          </w:p>
        </w:tc>
        <w:tc>
          <w:tcPr>
            <w:tcW w:w="1277" w:type="dxa"/>
          </w:tcPr>
          <w:p w14:paraId="16DC00AF" w14:textId="77777777" w:rsidR="008715BE" w:rsidRPr="00EC75B7" w:rsidRDefault="00000000">
            <w:pPr>
              <w:pStyle w:val="TableParagraph"/>
              <w:spacing w:before="8"/>
              <w:ind w:left="107" w:right="133"/>
              <w:rPr>
                <w:rFonts w:ascii="Verdana" w:hAnsi="Verdana"/>
                <w:sz w:val="18"/>
                <w:szCs w:val="18"/>
              </w:rPr>
            </w:pPr>
            <w:r w:rsidRPr="00EC75B7">
              <w:rPr>
                <w:rFonts w:ascii="Verdana" w:hAnsi="Verdana"/>
                <w:spacing w:val="-2"/>
                <w:sz w:val="18"/>
                <w:szCs w:val="18"/>
              </w:rPr>
              <w:t xml:space="preserve">Accidental spills </w:t>
            </w:r>
            <w:r w:rsidRPr="00EC75B7">
              <w:rPr>
                <w:rFonts w:ascii="Verdana" w:hAnsi="Verdana"/>
                <w:sz w:val="18"/>
                <w:szCs w:val="18"/>
              </w:rPr>
              <w:t>of petroleum products from equipment—</w:t>
            </w:r>
            <w:r w:rsidRPr="00EC75B7">
              <w:rPr>
                <w:rFonts w:ascii="Verdana" w:hAnsi="Verdana"/>
                <w:spacing w:val="-2"/>
                <w:sz w:val="18"/>
                <w:szCs w:val="18"/>
              </w:rPr>
              <w:t xml:space="preserve">penetration </w:t>
            </w:r>
            <w:r w:rsidRPr="00EC75B7">
              <w:rPr>
                <w:rFonts w:ascii="Verdana" w:hAnsi="Verdana"/>
                <w:sz w:val="18"/>
                <w:szCs w:val="18"/>
              </w:rPr>
              <w:t>of pollutants into the soil</w:t>
            </w:r>
          </w:p>
        </w:tc>
        <w:tc>
          <w:tcPr>
            <w:tcW w:w="1275" w:type="dxa"/>
          </w:tcPr>
          <w:p w14:paraId="1112FB71"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2044DB92"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0CA82863"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2A222838"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7B6DC667"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3D616A5C"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5D3A1886"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18CBA300"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5738F411"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0561F58B" w14:textId="77777777">
        <w:trPr>
          <w:trHeight w:val="1557"/>
        </w:trPr>
        <w:tc>
          <w:tcPr>
            <w:tcW w:w="605" w:type="dxa"/>
            <w:vMerge/>
            <w:tcBorders>
              <w:top w:val="nil"/>
            </w:tcBorders>
          </w:tcPr>
          <w:p w14:paraId="4CDBAAAB" w14:textId="77777777" w:rsidR="008715BE" w:rsidRPr="00EC75B7" w:rsidRDefault="008715BE">
            <w:pPr>
              <w:rPr>
                <w:rFonts w:ascii="Verdana" w:hAnsi="Verdana"/>
                <w:sz w:val="18"/>
                <w:szCs w:val="18"/>
              </w:rPr>
            </w:pPr>
          </w:p>
        </w:tc>
        <w:tc>
          <w:tcPr>
            <w:tcW w:w="1649" w:type="dxa"/>
          </w:tcPr>
          <w:p w14:paraId="222F39F0" w14:textId="77777777" w:rsidR="008715BE" w:rsidRPr="00EC75B7" w:rsidRDefault="00000000">
            <w:pPr>
              <w:pStyle w:val="TableParagraph"/>
              <w:spacing w:before="10"/>
              <w:ind w:left="105" w:right="241"/>
              <w:rPr>
                <w:rFonts w:ascii="Verdana" w:hAnsi="Verdana"/>
                <w:sz w:val="18"/>
                <w:szCs w:val="18"/>
              </w:rPr>
            </w:pPr>
            <w:r w:rsidRPr="00EC75B7">
              <w:rPr>
                <w:rFonts w:ascii="Verdana" w:hAnsi="Verdana"/>
                <w:sz w:val="18"/>
                <w:szCs w:val="18"/>
              </w:rPr>
              <w:t xml:space="preserve">Land rehabilitation works upon </w:t>
            </w:r>
            <w:r w:rsidRPr="00EC75B7">
              <w:rPr>
                <w:rFonts w:ascii="Verdana" w:hAnsi="Verdana"/>
                <w:spacing w:val="-2"/>
                <w:sz w:val="18"/>
                <w:szCs w:val="18"/>
              </w:rPr>
              <w:t>completion of construction</w:t>
            </w:r>
          </w:p>
        </w:tc>
        <w:tc>
          <w:tcPr>
            <w:tcW w:w="1277" w:type="dxa"/>
          </w:tcPr>
          <w:p w14:paraId="08CE8189" w14:textId="77777777" w:rsidR="008715BE" w:rsidRPr="00EC75B7" w:rsidRDefault="00000000">
            <w:pPr>
              <w:pStyle w:val="TableParagraph"/>
              <w:spacing w:before="10"/>
              <w:ind w:left="107"/>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w:t>
            </w:r>
            <w:r w:rsidRPr="00EC75B7">
              <w:rPr>
                <w:rFonts w:ascii="Verdana" w:hAnsi="Verdana"/>
                <w:sz w:val="18"/>
                <w:szCs w:val="18"/>
              </w:rPr>
              <w:t xml:space="preserve"> species</w:t>
            </w:r>
          </w:p>
        </w:tc>
        <w:tc>
          <w:tcPr>
            <w:tcW w:w="1275" w:type="dxa"/>
          </w:tcPr>
          <w:p w14:paraId="754C13F9"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5"/>
                <w:sz w:val="18"/>
                <w:szCs w:val="18"/>
              </w:rPr>
              <w:t>AH</w:t>
            </w:r>
          </w:p>
        </w:tc>
        <w:tc>
          <w:tcPr>
            <w:tcW w:w="850" w:type="dxa"/>
          </w:tcPr>
          <w:p w14:paraId="02A721EF" w14:textId="77777777" w:rsidR="008715BE" w:rsidRPr="00EC75B7" w:rsidRDefault="00000000">
            <w:pPr>
              <w:pStyle w:val="TableParagraph"/>
              <w:spacing w:line="194" w:lineRule="exact"/>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60CD85A5" w14:textId="77777777" w:rsidR="008715BE" w:rsidRPr="00EC75B7" w:rsidRDefault="00000000">
            <w:pPr>
              <w:pStyle w:val="TableParagraph"/>
              <w:spacing w:before="10"/>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478CF125" w14:textId="77777777" w:rsidR="008715BE" w:rsidRPr="00EC75B7" w:rsidRDefault="00000000">
            <w:pPr>
              <w:pStyle w:val="TableParagraph"/>
              <w:spacing w:before="10"/>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61" w:type="dxa"/>
          </w:tcPr>
          <w:p w14:paraId="050BFFFF" w14:textId="77777777" w:rsidR="008715BE" w:rsidRPr="00EC75B7" w:rsidRDefault="00000000">
            <w:pPr>
              <w:pStyle w:val="TableParagraph"/>
              <w:spacing w:before="10"/>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38688E2A" w14:textId="77777777" w:rsidR="008715BE" w:rsidRPr="00EC75B7" w:rsidRDefault="00000000">
            <w:pPr>
              <w:pStyle w:val="TableParagraph"/>
              <w:spacing w:before="10"/>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1E22A166" w14:textId="77777777" w:rsidR="008715BE" w:rsidRPr="00EC75B7" w:rsidRDefault="00000000">
            <w:pPr>
              <w:pStyle w:val="TableParagraph"/>
              <w:spacing w:before="10"/>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31968C1D" w14:textId="77777777" w:rsidR="008715BE" w:rsidRPr="00EC75B7" w:rsidRDefault="00000000">
            <w:pPr>
              <w:pStyle w:val="TableParagraph"/>
              <w:spacing w:before="10"/>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778A0801" w14:textId="77777777" w:rsidR="008715BE" w:rsidRPr="00EC75B7" w:rsidRDefault="00000000">
            <w:pPr>
              <w:pStyle w:val="TableParagraph"/>
              <w:spacing w:before="10"/>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7BDAD46B" w14:textId="77777777">
        <w:trPr>
          <w:trHeight w:val="7973"/>
        </w:trPr>
        <w:tc>
          <w:tcPr>
            <w:tcW w:w="605" w:type="dxa"/>
            <w:textDirection w:val="btLr"/>
          </w:tcPr>
          <w:p w14:paraId="1A158D9F" w14:textId="77777777" w:rsidR="008715BE" w:rsidRPr="00EC75B7" w:rsidRDefault="00000000">
            <w:pPr>
              <w:pStyle w:val="TableParagraph"/>
              <w:spacing w:before="118"/>
              <w:ind w:left="1"/>
              <w:jc w:val="center"/>
              <w:rPr>
                <w:rFonts w:ascii="Verdana" w:hAnsi="Verdana"/>
                <w:sz w:val="18"/>
                <w:szCs w:val="18"/>
              </w:rPr>
            </w:pPr>
            <w:r w:rsidRPr="00EC75B7">
              <w:rPr>
                <w:rFonts w:ascii="Verdana" w:hAnsi="Verdana"/>
                <w:spacing w:val="-2"/>
                <w:sz w:val="18"/>
                <w:szCs w:val="18"/>
              </w:rPr>
              <w:lastRenderedPageBreak/>
              <w:t>Operation</w:t>
            </w:r>
          </w:p>
        </w:tc>
        <w:tc>
          <w:tcPr>
            <w:tcW w:w="1649" w:type="dxa"/>
          </w:tcPr>
          <w:p w14:paraId="47E6C21C"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2"/>
                <w:sz w:val="18"/>
                <w:szCs w:val="18"/>
              </w:rPr>
              <w:t xml:space="preserve">Conducting </w:t>
            </w:r>
            <w:r w:rsidRPr="00EC75B7">
              <w:rPr>
                <w:rFonts w:ascii="Verdana" w:hAnsi="Verdana"/>
                <w:sz w:val="18"/>
                <w:szCs w:val="18"/>
              </w:rPr>
              <w:t>energy production activities</w:t>
            </w:r>
          </w:p>
        </w:tc>
        <w:tc>
          <w:tcPr>
            <w:tcW w:w="1277" w:type="dxa"/>
          </w:tcPr>
          <w:p w14:paraId="7AB19298"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levels</w:t>
            </w:r>
          </w:p>
        </w:tc>
        <w:tc>
          <w:tcPr>
            <w:tcW w:w="1275" w:type="dxa"/>
          </w:tcPr>
          <w:p w14:paraId="0951DD0A"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PAS</w:t>
            </w:r>
          </w:p>
        </w:tc>
        <w:tc>
          <w:tcPr>
            <w:tcW w:w="850" w:type="dxa"/>
          </w:tcPr>
          <w:p w14:paraId="24997A03"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 xml:space="preserve">impacts </w:t>
            </w:r>
            <w:r w:rsidRPr="00EC75B7">
              <w:rPr>
                <w:rFonts w:ascii="Verdana" w:hAnsi="Verdana"/>
                <w:sz w:val="18"/>
                <w:szCs w:val="18"/>
              </w:rPr>
              <w:t xml:space="preserve">have </w:t>
            </w:r>
            <w:r w:rsidRPr="00EC75B7">
              <w:rPr>
                <w:rFonts w:ascii="Verdana" w:hAnsi="Verdana"/>
                <w:spacing w:val="-4"/>
                <w:sz w:val="18"/>
                <w:szCs w:val="18"/>
              </w:rPr>
              <w:t>been identified</w:t>
            </w:r>
          </w:p>
        </w:tc>
        <w:tc>
          <w:tcPr>
            <w:tcW w:w="1261" w:type="dxa"/>
          </w:tcPr>
          <w:p w14:paraId="2EEA9377"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782815EB"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34DDC278" w14:textId="77777777" w:rsidR="008715BE" w:rsidRPr="00EC75B7" w:rsidRDefault="00000000">
            <w:pPr>
              <w:pStyle w:val="TableParagraph"/>
              <w:spacing w:before="8"/>
              <w:ind w:left="102" w:right="117"/>
              <w:rPr>
                <w:rFonts w:ascii="Verdana" w:hAnsi="Verdana"/>
                <w:sz w:val="18"/>
                <w:szCs w:val="18"/>
              </w:rPr>
            </w:pPr>
            <w:r w:rsidRPr="00EC75B7">
              <w:rPr>
                <w:rFonts w:ascii="Verdana" w:hAnsi="Verdana"/>
                <w:sz w:val="18"/>
                <w:szCs w:val="18"/>
              </w:rPr>
              <w:t xml:space="preserve">Long-term direct </w:t>
            </w:r>
            <w:r w:rsidRPr="00EC75B7">
              <w:rPr>
                <w:rFonts w:ascii="Verdana" w:hAnsi="Verdana"/>
                <w:spacing w:val="-2"/>
                <w:sz w:val="18"/>
                <w:szCs w:val="18"/>
              </w:rPr>
              <w:t>impact</w:t>
            </w:r>
          </w:p>
        </w:tc>
        <w:tc>
          <w:tcPr>
            <w:tcW w:w="1386" w:type="dxa"/>
          </w:tcPr>
          <w:p w14:paraId="3A7A573A" w14:textId="77777777" w:rsidR="008715BE" w:rsidRPr="00EC75B7" w:rsidRDefault="00000000">
            <w:pPr>
              <w:pStyle w:val="TableParagraph"/>
              <w:spacing w:before="8"/>
              <w:ind w:left="101" w:right="134"/>
              <w:rPr>
                <w:rFonts w:ascii="Verdana" w:hAnsi="Verdana"/>
                <w:i/>
                <w:sz w:val="18"/>
                <w:szCs w:val="18"/>
              </w:rPr>
            </w:pPr>
            <w:r w:rsidRPr="00EC75B7">
              <w:rPr>
                <w:rFonts w:ascii="Verdana" w:hAnsi="Verdana"/>
                <w:i/>
                <w:spacing w:val="-2"/>
                <w:sz w:val="18"/>
                <w:szCs w:val="18"/>
              </w:rPr>
              <w:t xml:space="preserve">Accipiter brevipes, Anthus campestris, Aquila pomarina, </w:t>
            </w:r>
            <w:r w:rsidRPr="00EC75B7">
              <w:rPr>
                <w:rFonts w:ascii="Verdana" w:hAnsi="Verdana"/>
                <w:i/>
                <w:sz w:val="18"/>
                <w:szCs w:val="18"/>
              </w:rPr>
              <w:t xml:space="preserve">Bubo bubo, Buteo rufinus, </w:t>
            </w:r>
            <w:r w:rsidRPr="00EC75B7">
              <w:rPr>
                <w:rFonts w:ascii="Verdana" w:hAnsi="Verdana"/>
                <w:i/>
                <w:spacing w:val="-2"/>
                <w:sz w:val="18"/>
                <w:szCs w:val="18"/>
              </w:rPr>
              <w:t xml:space="preserve">Caprimulgus europaeus, Circus cyaneus, Circus macrourus, Circus pygargus, Coracias garrulus, Falco peregrinus, Hieraaetus pennatus, Lanius collurio, </w:t>
            </w:r>
            <w:r w:rsidRPr="00EC75B7">
              <w:rPr>
                <w:rFonts w:ascii="Verdana" w:hAnsi="Verdana"/>
                <w:i/>
                <w:sz w:val="18"/>
                <w:szCs w:val="18"/>
              </w:rPr>
              <w:t xml:space="preserve">Lanius minor, </w:t>
            </w:r>
            <w:r w:rsidRPr="00EC75B7">
              <w:rPr>
                <w:rFonts w:ascii="Verdana" w:hAnsi="Verdana"/>
                <w:i/>
                <w:spacing w:val="-2"/>
                <w:sz w:val="18"/>
                <w:szCs w:val="18"/>
              </w:rPr>
              <w:t xml:space="preserve">Melanocorypha </w:t>
            </w:r>
            <w:r w:rsidRPr="00EC75B7">
              <w:rPr>
                <w:rFonts w:ascii="Verdana" w:hAnsi="Verdana"/>
                <w:i/>
                <w:sz w:val="18"/>
                <w:szCs w:val="18"/>
              </w:rPr>
              <w:t xml:space="preserve">calandra, </w:t>
            </w:r>
            <w:r w:rsidRPr="00EC75B7">
              <w:rPr>
                <w:rFonts w:ascii="Verdana" w:hAnsi="Verdana"/>
                <w:i/>
                <w:spacing w:val="-2"/>
                <w:sz w:val="18"/>
                <w:szCs w:val="18"/>
              </w:rPr>
              <w:t>Milvus migrans, Pernis apivorus</w:t>
            </w:r>
          </w:p>
        </w:tc>
        <w:tc>
          <w:tcPr>
            <w:tcW w:w="1410" w:type="dxa"/>
          </w:tcPr>
          <w:p w14:paraId="0271198D" w14:textId="77777777" w:rsidR="008715BE" w:rsidRPr="00EC75B7" w:rsidRDefault="00000000">
            <w:pPr>
              <w:pStyle w:val="TableParagraph"/>
              <w:spacing w:before="8"/>
              <w:ind w:left="103" w:right="139"/>
              <w:rPr>
                <w:rFonts w:ascii="Verdana" w:hAnsi="Verdana"/>
                <w:i/>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w:t>
            </w:r>
            <w:r w:rsidRPr="00EC75B7">
              <w:rPr>
                <w:rFonts w:ascii="Verdana" w:hAnsi="Verdana"/>
                <w:b/>
                <w:sz w:val="18"/>
                <w:szCs w:val="18"/>
              </w:rPr>
              <w:t xml:space="preserve">migration/Species associated with </w:t>
            </w:r>
            <w:r w:rsidRPr="00EC75B7">
              <w:rPr>
                <w:rFonts w:ascii="Verdana" w:hAnsi="Verdana"/>
                <w:b/>
                <w:spacing w:val="-2"/>
                <w:sz w:val="18"/>
                <w:szCs w:val="18"/>
              </w:rPr>
              <w:t>extensively used agricultural</w:t>
            </w:r>
            <w:r w:rsidRPr="00EC75B7">
              <w:rPr>
                <w:rFonts w:ascii="Verdana" w:hAnsi="Verdana"/>
                <w:b/>
                <w:sz w:val="18"/>
                <w:szCs w:val="18"/>
              </w:rPr>
              <w:t xml:space="preserve"> land </w:t>
            </w:r>
            <w:r w:rsidRPr="00EC75B7">
              <w:rPr>
                <w:rFonts w:ascii="Verdana" w:hAnsi="Verdana"/>
                <w:i/>
                <w:spacing w:val="-2"/>
                <w:sz w:val="18"/>
                <w:szCs w:val="18"/>
              </w:rPr>
              <w:t xml:space="preserve">Alauda arvensis, Carduelis cannabina, Carduelis carduelis, Coturnix coturnix, Emberiza melanocephal </w:t>
            </w:r>
            <w:r w:rsidRPr="00EC75B7">
              <w:rPr>
                <w:rFonts w:ascii="Verdana" w:hAnsi="Verdana"/>
                <w:i/>
                <w:sz w:val="18"/>
                <w:szCs w:val="18"/>
              </w:rPr>
              <w:t xml:space="preserve">a, Falco </w:t>
            </w:r>
            <w:r w:rsidRPr="00EC75B7">
              <w:rPr>
                <w:rFonts w:ascii="Verdana" w:hAnsi="Verdana"/>
                <w:i/>
                <w:spacing w:val="-2"/>
                <w:sz w:val="18"/>
                <w:szCs w:val="18"/>
              </w:rPr>
              <w:t>tinnunculus, Fringilla montifringilla, Galerida cristata, Lanius excubitor, Lanius senator, Merops apiaster, Miliaria calandra, Motacilla alba, Motacilla flava, Oenanthe isabellina, Oenanthe oenanthe, Saxicola</w:t>
            </w:r>
          </w:p>
          <w:p w14:paraId="47EDE2A8" w14:textId="77777777" w:rsidR="008715BE" w:rsidRPr="00EC75B7" w:rsidRDefault="00000000">
            <w:pPr>
              <w:pStyle w:val="TableParagraph"/>
              <w:spacing w:line="133" w:lineRule="exact"/>
              <w:ind w:left="103"/>
              <w:rPr>
                <w:rFonts w:ascii="Verdana" w:hAnsi="Verdana"/>
                <w:i/>
                <w:sz w:val="18"/>
                <w:szCs w:val="18"/>
              </w:rPr>
            </w:pPr>
            <w:r w:rsidRPr="00EC75B7">
              <w:rPr>
                <w:rFonts w:ascii="Verdana" w:hAnsi="Verdana"/>
                <w:i/>
                <w:spacing w:val="-2"/>
                <w:sz w:val="18"/>
                <w:szCs w:val="18"/>
              </w:rPr>
              <w:t>torquata,</w:t>
            </w:r>
          </w:p>
        </w:tc>
        <w:tc>
          <w:tcPr>
            <w:tcW w:w="1261" w:type="dxa"/>
          </w:tcPr>
          <w:p w14:paraId="0C1D15DD" w14:textId="77777777" w:rsidR="008715BE" w:rsidRPr="00EC75B7" w:rsidRDefault="00000000">
            <w:pPr>
              <w:pStyle w:val="TableParagraph"/>
              <w:spacing w:before="8"/>
              <w:ind w:left="100" w:right="153"/>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forest</w:t>
            </w:r>
            <w:r w:rsidRPr="00EC75B7">
              <w:rPr>
                <w:rFonts w:ascii="Verdana" w:hAnsi="Verdana"/>
                <w:b/>
                <w:sz w:val="18"/>
                <w:szCs w:val="18"/>
              </w:rPr>
              <w:t xml:space="preserve"> habitats </w:t>
            </w:r>
            <w:r w:rsidRPr="00EC75B7">
              <w:rPr>
                <w:rFonts w:ascii="Verdana" w:hAnsi="Verdana"/>
                <w:i/>
                <w:spacing w:val="-2"/>
                <w:sz w:val="18"/>
                <w:szCs w:val="18"/>
              </w:rPr>
              <w:t xml:space="preserve">Carduelis chloris, Carduelis spinus, Coccothraustes </w:t>
            </w:r>
            <w:r w:rsidRPr="00EC75B7">
              <w:rPr>
                <w:rFonts w:ascii="Verdana" w:hAnsi="Verdana"/>
                <w:i/>
                <w:sz w:val="18"/>
                <w:szCs w:val="18"/>
              </w:rPr>
              <w:t xml:space="preserve">coccothraustes,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w:t>
            </w:r>
          </w:p>
          <w:p w14:paraId="52DC66B2" w14:textId="77777777" w:rsidR="008715BE" w:rsidRPr="00EC75B7" w:rsidRDefault="00000000">
            <w:pPr>
              <w:pStyle w:val="TableParagraph"/>
              <w:spacing w:line="133" w:lineRule="exact"/>
              <w:ind w:left="100"/>
              <w:rPr>
                <w:rFonts w:ascii="Verdana" w:hAnsi="Verdana"/>
                <w:i/>
                <w:sz w:val="18"/>
                <w:szCs w:val="18"/>
              </w:rPr>
            </w:pPr>
            <w:r w:rsidRPr="00EC75B7">
              <w:rPr>
                <w:rFonts w:ascii="Verdana" w:hAnsi="Verdana"/>
                <w:i/>
                <w:spacing w:val="-2"/>
                <w:sz w:val="18"/>
                <w:szCs w:val="18"/>
              </w:rPr>
              <w:t>atricapilla,</w:t>
            </w:r>
          </w:p>
        </w:tc>
        <w:tc>
          <w:tcPr>
            <w:tcW w:w="1442" w:type="dxa"/>
          </w:tcPr>
          <w:p w14:paraId="6C5CA955" w14:textId="77777777" w:rsidR="008715BE" w:rsidRPr="00EC75B7" w:rsidRDefault="00000000">
            <w:pPr>
              <w:pStyle w:val="TableParagraph"/>
              <w:spacing w:before="8"/>
              <w:ind w:left="99" w:right="146"/>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reedbed</w:t>
            </w:r>
            <w:r w:rsidRPr="00EC75B7">
              <w:rPr>
                <w:rFonts w:ascii="Verdana" w:hAnsi="Verdana"/>
                <w:b/>
                <w:sz w:val="18"/>
                <w:szCs w:val="18"/>
              </w:rPr>
              <w:t xml:space="preserve"> habitats </w:t>
            </w:r>
            <w:r w:rsidRPr="00EC75B7">
              <w:rPr>
                <w:rFonts w:ascii="Verdana" w:hAnsi="Verdana"/>
                <w:i/>
                <w:spacing w:val="-2"/>
                <w:sz w:val="18"/>
                <w:szCs w:val="18"/>
              </w:rPr>
              <w:t xml:space="preserve">Acrocephalus arundinaceus, Acrocephalus palustris, Acrocephalus </w:t>
            </w:r>
            <w:r w:rsidRPr="00EC75B7">
              <w:rPr>
                <w:rFonts w:ascii="Verdana" w:hAnsi="Verdana"/>
                <w:i/>
                <w:spacing w:val="-6"/>
                <w:sz w:val="18"/>
                <w:szCs w:val="18"/>
              </w:rPr>
              <w:t xml:space="preserve">schoenobaenus, </w:t>
            </w:r>
            <w:r w:rsidRPr="00EC75B7">
              <w:rPr>
                <w:rFonts w:ascii="Verdana" w:hAnsi="Verdana"/>
                <w:i/>
                <w:spacing w:val="-2"/>
                <w:sz w:val="18"/>
                <w:szCs w:val="18"/>
              </w:rPr>
              <w:t>Acrocephalus scirpaceus, Locustella fluviatilis, Locustella luscinioides, Riparia riparia</w:t>
            </w:r>
          </w:p>
        </w:tc>
        <w:tc>
          <w:tcPr>
            <w:tcW w:w="1170" w:type="dxa"/>
          </w:tcPr>
          <w:p w14:paraId="39D90695" w14:textId="77777777" w:rsidR="008715BE" w:rsidRPr="00EC75B7" w:rsidRDefault="00000000">
            <w:pPr>
              <w:pStyle w:val="TableParagraph"/>
              <w:spacing w:before="8"/>
              <w:ind w:left="97" w:right="231"/>
              <w:rPr>
                <w:rFonts w:ascii="Verdana" w:hAnsi="Verdana"/>
                <w:i/>
                <w:sz w:val="18"/>
                <w:szCs w:val="18"/>
              </w:rPr>
            </w:pPr>
            <w:r w:rsidRPr="00EC75B7">
              <w:rPr>
                <w:rFonts w:ascii="Verdana" w:hAnsi="Verdana"/>
                <w:b/>
                <w:spacing w:val="-2"/>
                <w:sz w:val="18"/>
                <w:szCs w:val="18"/>
              </w:rPr>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rocky habitats </w:t>
            </w:r>
            <w:r w:rsidRPr="00EC75B7">
              <w:rPr>
                <w:rFonts w:ascii="Verdana" w:hAnsi="Verdana"/>
                <w:b/>
                <w:sz w:val="18"/>
                <w:szCs w:val="18"/>
              </w:rPr>
              <w:t xml:space="preserve">and </w:t>
            </w:r>
            <w:r w:rsidRPr="00EC75B7">
              <w:rPr>
                <w:rFonts w:ascii="Verdana" w:hAnsi="Verdana"/>
                <w:b/>
                <w:spacing w:val="-2"/>
                <w:sz w:val="18"/>
                <w:szCs w:val="18"/>
              </w:rPr>
              <w:t>urban</w:t>
            </w:r>
            <w:r w:rsidRPr="00EC75B7">
              <w:rPr>
                <w:rFonts w:ascii="Verdana" w:hAnsi="Verdana"/>
                <w:b/>
                <w:sz w:val="18"/>
                <w:szCs w:val="18"/>
              </w:rPr>
              <w:t xml:space="preserve"> areas </w:t>
            </w:r>
            <w:r w:rsidRPr="00EC75B7">
              <w:rPr>
                <w:rFonts w:ascii="Verdana" w:hAnsi="Verdana"/>
                <w:i/>
                <w:spacing w:val="-2"/>
                <w:sz w:val="18"/>
                <w:szCs w:val="18"/>
              </w:rPr>
              <w:t>Monticola saxatilis, Hirundo daurica, Hirundo rustica</w:t>
            </w:r>
          </w:p>
        </w:tc>
        <w:tc>
          <w:tcPr>
            <w:tcW w:w="1115" w:type="dxa"/>
          </w:tcPr>
          <w:p w14:paraId="55DE60C3"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4F33027D" w14:textId="77777777" w:rsidR="008715BE" w:rsidRPr="00EC75B7" w:rsidRDefault="00000000">
            <w:pPr>
              <w:pStyle w:val="TableParagraph"/>
              <w:spacing w:before="8"/>
              <w:ind w:left="95" w:right="175"/>
              <w:rPr>
                <w:rFonts w:ascii="Verdana" w:hAnsi="Verdana"/>
                <w:sz w:val="18"/>
                <w:szCs w:val="18"/>
              </w:rPr>
            </w:pPr>
            <w:r w:rsidRPr="00EC75B7">
              <w:rPr>
                <w:rFonts w:ascii="Verdana" w:hAnsi="Verdana"/>
                <w:sz w:val="18"/>
                <w:szCs w:val="18"/>
              </w:rPr>
              <w:t>Possible disturbance of the activity of a maximum of 2 to 3 individuals The effects will be felt locally, at distances that are not likely to affect sensitive receptors in the area The 30 dB noise contour will be felt at distances of up to 1.5 km around the work area</w:t>
            </w:r>
          </w:p>
        </w:tc>
        <w:tc>
          <w:tcPr>
            <w:tcW w:w="1530" w:type="dxa"/>
          </w:tcPr>
          <w:p w14:paraId="72F35398"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bl>
    <w:p w14:paraId="151403C9"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3BE1F3B0"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0"/>
        <w:gridCol w:w="1408"/>
        <w:gridCol w:w="1259"/>
        <w:gridCol w:w="1449"/>
        <w:gridCol w:w="1169"/>
        <w:gridCol w:w="1114"/>
        <w:gridCol w:w="2533"/>
        <w:gridCol w:w="1529"/>
      </w:tblGrid>
      <w:tr w:rsidR="008715BE" w:rsidRPr="00EC75B7" w14:paraId="14713D08" w14:textId="77777777">
        <w:trPr>
          <w:trHeight w:val="842"/>
        </w:trPr>
        <w:tc>
          <w:tcPr>
            <w:tcW w:w="2254" w:type="dxa"/>
            <w:gridSpan w:val="2"/>
            <w:shd w:val="clear" w:color="auto" w:fill="00A1E8"/>
          </w:tcPr>
          <w:p w14:paraId="664E6D38" w14:textId="77777777" w:rsidR="008715BE" w:rsidRPr="00EC75B7" w:rsidRDefault="008715BE">
            <w:pPr>
              <w:pStyle w:val="TableParagraph"/>
              <w:spacing w:before="136"/>
              <w:rPr>
                <w:rFonts w:ascii="Verdana" w:hAnsi="Verdana"/>
                <w:b/>
                <w:sz w:val="18"/>
                <w:szCs w:val="18"/>
              </w:rPr>
            </w:pPr>
          </w:p>
          <w:p w14:paraId="69C0E5B7" w14:textId="77777777" w:rsidR="008715BE" w:rsidRPr="00EC75B7" w:rsidRDefault="00000000">
            <w:pPr>
              <w:pStyle w:val="TableParagraph"/>
              <w:spacing w:before="1"/>
              <w:ind w:left="616"/>
              <w:rPr>
                <w:rFonts w:ascii="Verdana" w:hAnsi="Verdana"/>
                <w:b/>
                <w:sz w:val="18"/>
                <w:szCs w:val="18"/>
              </w:rPr>
            </w:pPr>
            <w:r w:rsidRPr="00EC75B7">
              <w:rPr>
                <w:rFonts w:ascii="Verdana" w:hAnsi="Verdana"/>
                <w:b/>
                <w:color w:val="FFFFFF"/>
                <w:spacing w:val="-2"/>
                <w:sz w:val="18"/>
                <w:szCs w:val="18"/>
              </w:rPr>
              <w:t>Intervention</w:t>
            </w:r>
          </w:p>
        </w:tc>
        <w:tc>
          <w:tcPr>
            <w:tcW w:w="1277" w:type="dxa"/>
            <w:shd w:val="clear" w:color="auto" w:fill="00A1E8"/>
          </w:tcPr>
          <w:p w14:paraId="28399EA9" w14:textId="77777777" w:rsidR="008715BE" w:rsidRPr="00EC75B7" w:rsidRDefault="008715BE">
            <w:pPr>
              <w:pStyle w:val="TableParagraph"/>
              <w:spacing w:before="136"/>
              <w:rPr>
                <w:rFonts w:ascii="Verdana" w:hAnsi="Verdana"/>
                <w:b/>
                <w:sz w:val="18"/>
                <w:szCs w:val="18"/>
              </w:rPr>
            </w:pPr>
          </w:p>
          <w:p w14:paraId="45887291" w14:textId="77777777" w:rsidR="008715BE" w:rsidRPr="00EC75B7" w:rsidRDefault="00000000">
            <w:pPr>
              <w:pStyle w:val="TableParagraph"/>
              <w:spacing w:before="1"/>
              <w:ind w:left="357"/>
              <w:rPr>
                <w:rFonts w:ascii="Verdana" w:hAnsi="Verdana"/>
                <w:b/>
                <w:sz w:val="18"/>
                <w:szCs w:val="18"/>
              </w:rPr>
            </w:pPr>
            <w:r w:rsidRPr="00EC75B7">
              <w:rPr>
                <w:rFonts w:ascii="Verdana" w:hAnsi="Verdana"/>
                <w:b/>
                <w:color w:val="FFFFFF"/>
                <w:spacing w:val="-2"/>
                <w:sz w:val="18"/>
                <w:szCs w:val="18"/>
              </w:rPr>
              <w:t>Effects</w:t>
            </w:r>
          </w:p>
        </w:tc>
        <w:tc>
          <w:tcPr>
            <w:tcW w:w="1275" w:type="dxa"/>
            <w:shd w:val="clear" w:color="auto" w:fill="00A1E8"/>
          </w:tcPr>
          <w:p w14:paraId="1E9FEEDB" w14:textId="77777777" w:rsidR="008715BE" w:rsidRPr="00EC75B7" w:rsidRDefault="008715BE">
            <w:pPr>
              <w:pStyle w:val="TableParagraph"/>
              <w:spacing w:before="40"/>
              <w:rPr>
                <w:rFonts w:ascii="Verdana" w:hAnsi="Verdana"/>
                <w:b/>
                <w:sz w:val="18"/>
                <w:szCs w:val="18"/>
              </w:rPr>
            </w:pPr>
          </w:p>
          <w:p w14:paraId="789B1AA7" w14:textId="77777777" w:rsidR="008715BE" w:rsidRPr="00EC75B7" w:rsidRDefault="00000000">
            <w:pPr>
              <w:pStyle w:val="TableParagraph"/>
              <w:spacing w:before="1"/>
              <w:ind w:left="321" w:right="178" w:hanging="135"/>
              <w:rPr>
                <w:rFonts w:ascii="Verdana" w:hAnsi="Verdana"/>
                <w:b/>
                <w:sz w:val="18"/>
                <w:szCs w:val="18"/>
              </w:rPr>
            </w:pPr>
            <w:r w:rsidRPr="00EC75B7">
              <w:rPr>
                <w:rFonts w:ascii="Verdana" w:hAnsi="Verdana"/>
                <w:b/>
                <w:color w:val="FFFFFF"/>
                <w:spacing w:val="-2"/>
                <w:sz w:val="18"/>
                <w:szCs w:val="18"/>
              </w:rPr>
              <w:t>Direct impacts</w:t>
            </w:r>
          </w:p>
        </w:tc>
        <w:tc>
          <w:tcPr>
            <w:tcW w:w="850" w:type="dxa"/>
            <w:shd w:val="clear" w:color="auto" w:fill="00A1E8"/>
          </w:tcPr>
          <w:p w14:paraId="715A635D" w14:textId="77777777" w:rsidR="008715BE" w:rsidRPr="00EC75B7" w:rsidRDefault="00000000">
            <w:pPr>
              <w:pStyle w:val="TableParagraph"/>
              <w:spacing w:before="41"/>
              <w:ind w:left="114" w:right="106" w:firstLine="2"/>
              <w:jc w:val="center"/>
              <w:rPr>
                <w:rFonts w:ascii="Verdana" w:hAnsi="Verdana"/>
                <w:b/>
                <w:sz w:val="18"/>
                <w:szCs w:val="18"/>
              </w:rPr>
            </w:pPr>
            <w:r w:rsidRPr="00EC75B7">
              <w:rPr>
                <w:rFonts w:ascii="Verdana" w:hAnsi="Verdana"/>
                <w:b/>
                <w:color w:val="FFFFFF"/>
                <w:spacing w:val="-6"/>
                <w:sz w:val="18"/>
                <w:szCs w:val="18"/>
              </w:rPr>
              <w:t>Indirect</w:t>
            </w:r>
            <w:r w:rsidRPr="00EC75B7">
              <w:rPr>
                <w:rFonts w:ascii="Verdana" w:hAnsi="Verdana"/>
                <w:b/>
                <w:color w:val="FFFFFF"/>
                <w:spacing w:val="-4"/>
                <w:sz w:val="18"/>
                <w:szCs w:val="18"/>
              </w:rPr>
              <w:t xml:space="preserve"> impacts</w:t>
            </w:r>
          </w:p>
        </w:tc>
        <w:tc>
          <w:tcPr>
            <w:tcW w:w="1261" w:type="dxa"/>
            <w:shd w:val="clear" w:color="auto" w:fill="00A1E8"/>
          </w:tcPr>
          <w:p w14:paraId="33A2D9CD" w14:textId="77777777" w:rsidR="008715BE" w:rsidRPr="00EC75B7" w:rsidRDefault="008715BE">
            <w:pPr>
              <w:pStyle w:val="TableParagraph"/>
              <w:spacing w:before="40"/>
              <w:rPr>
                <w:rFonts w:ascii="Verdana" w:hAnsi="Verdana"/>
                <w:b/>
                <w:sz w:val="18"/>
                <w:szCs w:val="18"/>
              </w:rPr>
            </w:pPr>
          </w:p>
          <w:p w14:paraId="098A606C" w14:textId="77777777" w:rsidR="008715BE" w:rsidRPr="00EC75B7" w:rsidRDefault="00000000">
            <w:pPr>
              <w:pStyle w:val="TableParagraph"/>
              <w:spacing w:before="1"/>
              <w:ind w:left="164" w:firstLine="16"/>
              <w:rPr>
                <w:rFonts w:ascii="Verdana" w:hAnsi="Verdana"/>
                <w:b/>
                <w:sz w:val="18"/>
                <w:szCs w:val="18"/>
              </w:rPr>
            </w:pPr>
            <w:r w:rsidRPr="00EC75B7">
              <w:rPr>
                <w:rFonts w:ascii="Verdana" w:hAnsi="Verdana"/>
                <w:b/>
                <w:color w:val="FFFFFF"/>
                <w:spacing w:val="-2"/>
                <w:sz w:val="18"/>
                <w:szCs w:val="18"/>
              </w:rPr>
              <w:t>Secondary impacts</w:t>
            </w:r>
          </w:p>
        </w:tc>
        <w:tc>
          <w:tcPr>
            <w:tcW w:w="1352" w:type="dxa"/>
            <w:shd w:val="clear" w:color="auto" w:fill="00A1E8"/>
          </w:tcPr>
          <w:p w14:paraId="1CA1C5A3" w14:textId="77777777" w:rsidR="008715BE" w:rsidRPr="00EC75B7" w:rsidRDefault="008715BE">
            <w:pPr>
              <w:pStyle w:val="TableParagraph"/>
              <w:spacing w:before="40"/>
              <w:rPr>
                <w:rFonts w:ascii="Verdana" w:hAnsi="Verdana"/>
                <w:b/>
                <w:sz w:val="18"/>
                <w:szCs w:val="18"/>
              </w:rPr>
            </w:pPr>
          </w:p>
          <w:p w14:paraId="0527ACC0" w14:textId="77777777" w:rsidR="008715BE" w:rsidRPr="00EC75B7" w:rsidRDefault="00000000">
            <w:pPr>
              <w:pStyle w:val="TableParagraph"/>
              <w:spacing w:before="1"/>
              <w:ind w:left="175" w:right="170" w:firstLine="50"/>
              <w:rPr>
                <w:rFonts w:ascii="Verdana" w:hAnsi="Verdana"/>
                <w:b/>
                <w:sz w:val="18"/>
                <w:szCs w:val="18"/>
              </w:rPr>
            </w:pPr>
            <w:r w:rsidRPr="00EC75B7">
              <w:rPr>
                <w:rFonts w:ascii="Verdana" w:hAnsi="Verdana"/>
                <w:b/>
                <w:color w:val="FFFFFF"/>
                <w:spacing w:val="-2"/>
                <w:sz w:val="18"/>
                <w:szCs w:val="18"/>
              </w:rPr>
              <w:t>Cumulative impacts</w:t>
            </w:r>
          </w:p>
        </w:tc>
        <w:tc>
          <w:tcPr>
            <w:tcW w:w="1261" w:type="dxa"/>
            <w:shd w:val="clear" w:color="auto" w:fill="00A1E8"/>
          </w:tcPr>
          <w:p w14:paraId="5E1AED82" w14:textId="77777777" w:rsidR="008715BE" w:rsidRPr="00EC75B7" w:rsidRDefault="00000000">
            <w:pPr>
              <w:pStyle w:val="TableParagraph"/>
              <w:spacing w:before="41"/>
              <w:ind w:left="163" w:right="162" w:hanging="3"/>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pacing w:val="-2"/>
                <w:sz w:val="18"/>
                <w:szCs w:val="18"/>
              </w:rPr>
              <w:t>-term impacts</w:t>
            </w:r>
          </w:p>
        </w:tc>
        <w:tc>
          <w:tcPr>
            <w:tcW w:w="6665" w:type="dxa"/>
            <w:gridSpan w:val="5"/>
            <w:shd w:val="clear" w:color="auto" w:fill="00A1E8"/>
          </w:tcPr>
          <w:p w14:paraId="4A167110" w14:textId="77777777" w:rsidR="008715BE" w:rsidRPr="00EC75B7" w:rsidRDefault="008715BE">
            <w:pPr>
              <w:pStyle w:val="TableParagraph"/>
              <w:spacing w:before="136"/>
              <w:rPr>
                <w:rFonts w:ascii="Verdana" w:hAnsi="Verdana"/>
                <w:b/>
                <w:sz w:val="18"/>
                <w:szCs w:val="18"/>
              </w:rPr>
            </w:pPr>
          </w:p>
          <w:p w14:paraId="59FC4EAC" w14:textId="77777777" w:rsidR="008715BE" w:rsidRPr="00EC75B7" w:rsidRDefault="00000000">
            <w:pPr>
              <w:pStyle w:val="TableParagraph"/>
              <w:spacing w:before="1"/>
              <w:ind w:right="2"/>
              <w:jc w:val="center"/>
              <w:rPr>
                <w:rFonts w:ascii="Verdana" w:hAnsi="Verdana"/>
                <w:b/>
                <w:sz w:val="18"/>
                <w:szCs w:val="18"/>
              </w:rPr>
            </w:pPr>
            <w:r w:rsidRPr="00EC75B7">
              <w:rPr>
                <w:rFonts w:ascii="Verdana" w:hAnsi="Verdana"/>
                <w:b/>
                <w:color w:val="FFFFFF"/>
                <w:spacing w:val="-2"/>
                <w:sz w:val="18"/>
                <w:szCs w:val="18"/>
              </w:rPr>
              <w:t>Species</w:t>
            </w:r>
          </w:p>
        </w:tc>
        <w:tc>
          <w:tcPr>
            <w:tcW w:w="1114" w:type="dxa"/>
            <w:shd w:val="clear" w:color="auto" w:fill="00A1E8"/>
          </w:tcPr>
          <w:p w14:paraId="3F6310D9" w14:textId="77777777" w:rsidR="008715BE" w:rsidRPr="00EC75B7" w:rsidRDefault="00000000">
            <w:pPr>
              <w:pStyle w:val="TableParagraph"/>
              <w:spacing w:before="42"/>
              <w:ind w:left="340" w:right="127" w:hanging="209"/>
              <w:rPr>
                <w:rFonts w:ascii="Verdana" w:hAnsi="Verdana"/>
                <w:b/>
                <w:sz w:val="18"/>
                <w:szCs w:val="18"/>
              </w:rPr>
            </w:pPr>
            <w:r w:rsidRPr="00EC75B7">
              <w:rPr>
                <w:rFonts w:ascii="Verdana" w:hAnsi="Verdana"/>
                <w:b/>
                <w:color w:val="FFFFFF"/>
                <w:spacing w:val="-2"/>
                <w:sz w:val="18"/>
                <w:szCs w:val="18"/>
              </w:rPr>
              <w:t xml:space="preserve">Target </w:t>
            </w:r>
            <w:r w:rsidRPr="00EC75B7">
              <w:rPr>
                <w:rFonts w:ascii="Verdana" w:hAnsi="Verdana"/>
                <w:b/>
                <w:color w:val="FFFFFF"/>
                <w:sz w:val="18"/>
                <w:szCs w:val="18"/>
              </w:rPr>
              <w:t>parameter</w:t>
            </w:r>
          </w:p>
          <w:p w14:paraId="568A320B" w14:textId="77777777" w:rsidR="008715BE" w:rsidRPr="00EC75B7" w:rsidRDefault="00000000">
            <w:pPr>
              <w:pStyle w:val="TableParagraph"/>
              <w:spacing w:line="193" w:lineRule="exact"/>
              <w:ind w:left="184"/>
              <w:rPr>
                <w:rFonts w:ascii="Verdana" w:hAnsi="Verdana"/>
                <w:b/>
                <w:sz w:val="18"/>
                <w:szCs w:val="18"/>
              </w:rPr>
            </w:pPr>
            <w:r w:rsidRPr="00EC75B7">
              <w:rPr>
                <w:rFonts w:ascii="Verdana" w:hAnsi="Verdana"/>
                <w:b/>
                <w:color w:val="FFFFFF"/>
                <w:spacing w:val="-2"/>
                <w:sz w:val="18"/>
                <w:szCs w:val="18"/>
              </w:rPr>
              <w:t>affected</w:t>
            </w:r>
          </w:p>
        </w:tc>
        <w:tc>
          <w:tcPr>
            <w:tcW w:w="2533" w:type="dxa"/>
            <w:shd w:val="clear" w:color="auto" w:fill="00A1E8"/>
          </w:tcPr>
          <w:p w14:paraId="0EAEA857" w14:textId="77777777" w:rsidR="008715BE" w:rsidRPr="00EC75B7" w:rsidRDefault="008715BE">
            <w:pPr>
              <w:pStyle w:val="TableParagraph"/>
              <w:spacing w:before="40"/>
              <w:rPr>
                <w:rFonts w:ascii="Verdana" w:hAnsi="Verdana"/>
                <w:b/>
                <w:sz w:val="18"/>
                <w:szCs w:val="18"/>
              </w:rPr>
            </w:pPr>
          </w:p>
          <w:p w14:paraId="5D7CCB00" w14:textId="77777777" w:rsidR="008715BE" w:rsidRPr="00EC75B7" w:rsidRDefault="00000000">
            <w:pPr>
              <w:pStyle w:val="TableParagraph"/>
              <w:spacing w:before="1"/>
              <w:ind w:left="951" w:right="203" w:hanging="240"/>
              <w:rPr>
                <w:rFonts w:ascii="Verdana" w:hAnsi="Verdana"/>
                <w:b/>
                <w:sz w:val="18"/>
                <w:szCs w:val="18"/>
              </w:rPr>
            </w:pPr>
            <w:r w:rsidRPr="00EC75B7">
              <w:rPr>
                <w:rFonts w:ascii="Verdana" w:hAnsi="Verdana"/>
                <w:b/>
                <w:color w:val="FFFFFF"/>
                <w:spacing w:val="-2"/>
                <w:sz w:val="18"/>
                <w:szCs w:val="18"/>
              </w:rPr>
              <w:t>Impact quantification</w:t>
            </w:r>
          </w:p>
        </w:tc>
        <w:tc>
          <w:tcPr>
            <w:tcW w:w="1529" w:type="dxa"/>
            <w:shd w:val="clear" w:color="auto" w:fill="00A1E8"/>
          </w:tcPr>
          <w:p w14:paraId="17849E16" w14:textId="77777777" w:rsidR="008715BE" w:rsidRPr="00EC75B7" w:rsidRDefault="008715BE">
            <w:pPr>
              <w:pStyle w:val="TableParagraph"/>
              <w:spacing w:before="40"/>
              <w:rPr>
                <w:rFonts w:ascii="Verdana" w:hAnsi="Verdana"/>
                <w:b/>
                <w:sz w:val="18"/>
                <w:szCs w:val="18"/>
              </w:rPr>
            </w:pPr>
          </w:p>
          <w:p w14:paraId="55B178B9" w14:textId="77777777" w:rsidR="008715BE" w:rsidRPr="00EC75B7" w:rsidRDefault="00000000">
            <w:pPr>
              <w:pStyle w:val="TableParagraph"/>
              <w:spacing w:before="1"/>
              <w:ind w:left="221" w:firstLine="208"/>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method</w:t>
            </w:r>
          </w:p>
        </w:tc>
      </w:tr>
      <w:tr w:rsidR="008715BE" w:rsidRPr="00EC75B7" w14:paraId="40538729" w14:textId="77777777">
        <w:trPr>
          <w:trHeight w:val="1943"/>
        </w:trPr>
        <w:tc>
          <w:tcPr>
            <w:tcW w:w="605" w:type="dxa"/>
            <w:vMerge w:val="restart"/>
          </w:tcPr>
          <w:p w14:paraId="573F1DFE" w14:textId="77777777" w:rsidR="008715BE" w:rsidRPr="00EC75B7" w:rsidRDefault="008715BE">
            <w:pPr>
              <w:pStyle w:val="TableParagraph"/>
              <w:rPr>
                <w:rFonts w:ascii="Verdana" w:hAnsi="Verdana"/>
                <w:sz w:val="18"/>
                <w:szCs w:val="18"/>
              </w:rPr>
            </w:pPr>
          </w:p>
        </w:tc>
        <w:tc>
          <w:tcPr>
            <w:tcW w:w="1649" w:type="dxa"/>
            <w:vMerge w:val="restart"/>
          </w:tcPr>
          <w:p w14:paraId="2B6E7B0E" w14:textId="77777777" w:rsidR="008715BE" w:rsidRPr="00EC75B7" w:rsidRDefault="008715BE">
            <w:pPr>
              <w:pStyle w:val="TableParagraph"/>
              <w:rPr>
                <w:rFonts w:ascii="Verdana" w:hAnsi="Verdana"/>
                <w:sz w:val="18"/>
                <w:szCs w:val="18"/>
              </w:rPr>
            </w:pPr>
          </w:p>
        </w:tc>
        <w:tc>
          <w:tcPr>
            <w:tcW w:w="1277" w:type="dxa"/>
          </w:tcPr>
          <w:p w14:paraId="4873A380" w14:textId="77777777" w:rsidR="008715BE" w:rsidRPr="00EC75B7" w:rsidRDefault="008715BE">
            <w:pPr>
              <w:pStyle w:val="TableParagraph"/>
              <w:rPr>
                <w:rFonts w:ascii="Verdana" w:hAnsi="Verdana"/>
                <w:sz w:val="18"/>
                <w:szCs w:val="18"/>
              </w:rPr>
            </w:pPr>
          </w:p>
        </w:tc>
        <w:tc>
          <w:tcPr>
            <w:tcW w:w="1275" w:type="dxa"/>
          </w:tcPr>
          <w:p w14:paraId="1754300E" w14:textId="77777777" w:rsidR="008715BE" w:rsidRPr="00EC75B7" w:rsidRDefault="008715BE">
            <w:pPr>
              <w:pStyle w:val="TableParagraph"/>
              <w:rPr>
                <w:rFonts w:ascii="Verdana" w:hAnsi="Verdana"/>
                <w:sz w:val="18"/>
                <w:szCs w:val="18"/>
              </w:rPr>
            </w:pPr>
          </w:p>
        </w:tc>
        <w:tc>
          <w:tcPr>
            <w:tcW w:w="850" w:type="dxa"/>
          </w:tcPr>
          <w:p w14:paraId="13C458AA" w14:textId="77777777" w:rsidR="008715BE" w:rsidRPr="00EC75B7" w:rsidRDefault="008715BE">
            <w:pPr>
              <w:pStyle w:val="TableParagraph"/>
              <w:rPr>
                <w:rFonts w:ascii="Verdana" w:hAnsi="Verdana"/>
                <w:sz w:val="18"/>
                <w:szCs w:val="18"/>
              </w:rPr>
            </w:pPr>
          </w:p>
        </w:tc>
        <w:tc>
          <w:tcPr>
            <w:tcW w:w="1261" w:type="dxa"/>
          </w:tcPr>
          <w:p w14:paraId="6E8A217C" w14:textId="77777777" w:rsidR="008715BE" w:rsidRPr="00EC75B7" w:rsidRDefault="008715BE">
            <w:pPr>
              <w:pStyle w:val="TableParagraph"/>
              <w:rPr>
                <w:rFonts w:ascii="Verdana" w:hAnsi="Verdana"/>
                <w:sz w:val="18"/>
                <w:szCs w:val="18"/>
              </w:rPr>
            </w:pPr>
          </w:p>
        </w:tc>
        <w:tc>
          <w:tcPr>
            <w:tcW w:w="1352" w:type="dxa"/>
          </w:tcPr>
          <w:p w14:paraId="443386EF" w14:textId="77777777" w:rsidR="008715BE" w:rsidRPr="00EC75B7" w:rsidRDefault="008715BE">
            <w:pPr>
              <w:pStyle w:val="TableParagraph"/>
              <w:rPr>
                <w:rFonts w:ascii="Verdana" w:hAnsi="Verdana"/>
                <w:sz w:val="18"/>
                <w:szCs w:val="18"/>
              </w:rPr>
            </w:pPr>
          </w:p>
        </w:tc>
        <w:tc>
          <w:tcPr>
            <w:tcW w:w="1261" w:type="dxa"/>
          </w:tcPr>
          <w:p w14:paraId="07CC6674" w14:textId="77777777" w:rsidR="008715BE" w:rsidRPr="00EC75B7" w:rsidRDefault="008715BE">
            <w:pPr>
              <w:pStyle w:val="TableParagraph"/>
              <w:rPr>
                <w:rFonts w:ascii="Verdana" w:hAnsi="Verdana"/>
                <w:sz w:val="18"/>
                <w:szCs w:val="18"/>
              </w:rPr>
            </w:pPr>
          </w:p>
        </w:tc>
        <w:tc>
          <w:tcPr>
            <w:tcW w:w="1380" w:type="dxa"/>
          </w:tcPr>
          <w:p w14:paraId="47832BA2" w14:textId="77777777" w:rsidR="008715BE" w:rsidRPr="00EC75B7" w:rsidRDefault="008715BE">
            <w:pPr>
              <w:pStyle w:val="TableParagraph"/>
              <w:rPr>
                <w:rFonts w:ascii="Verdana" w:hAnsi="Verdana"/>
                <w:sz w:val="18"/>
                <w:szCs w:val="18"/>
              </w:rPr>
            </w:pPr>
          </w:p>
        </w:tc>
        <w:tc>
          <w:tcPr>
            <w:tcW w:w="1408" w:type="dxa"/>
          </w:tcPr>
          <w:p w14:paraId="0E2DC83C" w14:textId="77777777" w:rsidR="008715BE" w:rsidRPr="00EC75B7" w:rsidRDefault="00000000">
            <w:pPr>
              <w:pStyle w:val="TableParagraph"/>
              <w:spacing w:line="194" w:lineRule="exact"/>
              <w:ind w:left="109" w:right="121"/>
              <w:rPr>
                <w:rFonts w:ascii="Verdana" w:hAnsi="Verdana"/>
                <w:i/>
                <w:sz w:val="18"/>
                <w:szCs w:val="18"/>
              </w:rPr>
            </w:pPr>
            <w:r w:rsidRPr="00EC75B7">
              <w:rPr>
                <w:rFonts w:ascii="Verdana" w:hAnsi="Verdana"/>
                <w:i/>
                <w:spacing w:val="-2"/>
                <w:sz w:val="18"/>
                <w:szCs w:val="18"/>
              </w:rPr>
              <w:t xml:space="preserve">Streptopelia turtur, Sturnus roseus (alternative name Pastor roseus), </w:t>
            </w:r>
            <w:r w:rsidRPr="00EC75B7">
              <w:rPr>
                <w:rFonts w:ascii="Verdana" w:hAnsi="Verdana"/>
                <w:i/>
                <w:sz w:val="18"/>
                <w:szCs w:val="18"/>
              </w:rPr>
              <w:t>Turdus iliacus, Upupa epops</w:t>
            </w:r>
          </w:p>
        </w:tc>
        <w:tc>
          <w:tcPr>
            <w:tcW w:w="1259" w:type="dxa"/>
          </w:tcPr>
          <w:p w14:paraId="0D676C3C" w14:textId="77777777" w:rsidR="008715BE" w:rsidRPr="00EC75B7" w:rsidRDefault="00000000">
            <w:pPr>
              <w:pStyle w:val="TableParagraph"/>
              <w:spacing w:line="194" w:lineRule="exact"/>
              <w:ind w:left="108" w:right="212"/>
              <w:rPr>
                <w:rFonts w:ascii="Verdana" w:hAnsi="Verdana"/>
                <w:i/>
                <w:sz w:val="18"/>
                <w:szCs w:val="18"/>
              </w:rPr>
            </w:pPr>
            <w:r w:rsidRPr="00EC75B7">
              <w:rPr>
                <w:rFonts w:ascii="Verdana" w:hAnsi="Verdana"/>
                <w:i/>
                <w:spacing w:val="-2"/>
                <w:sz w:val="18"/>
                <w:szCs w:val="18"/>
              </w:rPr>
              <w:t>Sylvia curruca, Turdus merula, Turdus philomelos, Turdus pilaris, Turdus viscivorus</w:t>
            </w:r>
          </w:p>
        </w:tc>
        <w:tc>
          <w:tcPr>
            <w:tcW w:w="1449" w:type="dxa"/>
          </w:tcPr>
          <w:p w14:paraId="53AFE362" w14:textId="77777777" w:rsidR="008715BE" w:rsidRPr="00EC75B7" w:rsidRDefault="008715BE">
            <w:pPr>
              <w:pStyle w:val="TableParagraph"/>
              <w:rPr>
                <w:rFonts w:ascii="Verdana" w:hAnsi="Verdana"/>
                <w:sz w:val="18"/>
                <w:szCs w:val="18"/>
              </w:rPr>
            </w:pPr>
          </w:p>
        </w:tc>
        <w:tc>
          <w:tcPr>
            <w:tcW w:w="1169" w:type="dxa"/>
          </w:tcPr>
          <w:p w14:paraId="1DB2F92D" w14:textId="77777777" w:rsidR="008715BE" w:rsidRPr="00EC75B7" w:rsidRDefault="008715BE">
            <w:pPr>
              <w:pStyle w:val="TableParagraph"/>
              <w:rPr>
                <w:rFonts w:ascii="Verdana" w:hAnsi="Verdana"/>
                <w:sz w:val="18"/>
                <w:szCs w:val="18"/>
              </w:rPr>
            </w:pPr>
          </w:p>
        </w:tc>
        <w:tc>
          <w:tcPr>
            <w:tcW w:w="1114" w:type="dxa"/>
          </w:tcPr>
          <w:p w14:paraId="760DED44" w14:textId="77777777" w:rsidR="008715BE" w:rsidRPr="00EC75B7" w:rsidRDefault="008715BE">
            <w:pPr>
              <w:pStyle w:val="TableParagraph"/>
              <w:rPr>
                <w:rFonts w:ascii="Verdana" w:hAnsi="Verdana"/>
                <w:sz w:val="18"/>
                <w:szCs w:val="18"/>
              </w:rPr>
            </w:pPr>
          </w:p>
        </w:tc>
        <w:tc>
          <w:tcPr>
            <w:tcW w:w="2533" w:type="dxa"/>
          </w:tcPr>
          <w:p w14:paraId="0F543335" w14:textId="77777777" w:rsidR="008715BE" w:rsidRPr="00EC75B7" w:rsidRDefault="008715BE">
            <w:pPr>
              <w:pStyle w:val="TableParagraph"/>
              <w:rPr>
                <w:rFonts w:ascii="Verdana" w:hAnsi="Verdana"/>
                <w:sz w:val="18"/>
                <w:szCs w:val="18"/>
              </w:rPr>
            </w:pPr>
          </w:p>
        </w:tc>
        <w:tc>
          <w:tcPr>
            <w:tcW w:w="1529" w:type="dxa"/>
          </w:tcPr>
          <w:p w14:paraId="2C3D2224" w14:textId="77777777" w:rsidR="008715BE" w:rsidRPr="00EC75B7" w:rsidRDefault="008715BE">
            <w:pPr>
              <w:pStyle w:val="TableParagraph"/>
              <w:rPr>
                <w:rFonts w:ascii="Verdana" w:hAnsi="Verdana"/>
                <w:sz w:val="18"/>
                <w:szCs w:val="18"/>
              </w:rPr>
            </w:pPr>
          </w:p>
        </w:tc>
      </w:tr>
      <w:tr w:rsidR="008715BE" w:rsidRPr="00EC75B7" w14:paraId="5700FB86" w14:textId="77777777">
        <w:trPr>
          <w:trHeight w:val="1555"/>
        </w:trPr>
        <w:tc>
          <w:tcPr>
            <w:tcW w:w="605" w:type="dxa"/>
            <w:vMerge/>
            <w:tcBorders>
              <w:top w:val="nil"/>
            </w:tcBorders>
          </w:tcPr>
          <w:p w14:paraId="5F74FFB1" w14:textId="77777777" w:rsidR="008715BE" w:rsidRPr="00EC75B7" w:rsidRDefault="008715BE">
            <w:pPr>
              <w:rPr>
                <w:rFonts w:ascii="Verdana" w:hAnsi="Verdana"/>
                <w:sz w:val="18"/>
                <w:szCs w:val="18"/>
              </w:rPr>
            </w:pPr>
          </w:p>
        </w:tc>
        <w:tc>
          <w:tcPr>
            <w:tcW w:w="1649" w:type="dxa"/>
            <w:vMerge/>
            <w:tcBorders>
              <w:top w:val="nil"/>
            </w:tcBorders>
          </w:tcPr>
          <w:p w14:paraId="2682144D" w14:textId="77777777" w:rsidR="008715BE" w:rsidRPr="00EC75B7" w:rsidRDefault="008715BE">
            <w:pPr>
              <w:rPr>
                <w:rFonts w:ascii="Verdana" w:hAnsi="Verdana"/>
                <w:sz w:val="18"/>
                <w:szCs w:val="18"/>
              </w:rPr>
            </w:pPr>
          </w:p>
        </w:tc>
        <w:tc>
          <w:tcPr>
            <w:tcW w:w="1277" w:type="dxa"/>
          </w:tcPr>
          <w:p w14:paraId="67519022" w14:textId="77777777" w:rsidR="008715BE" w:rsidRPr="00EC75B7" w:rsidRDefault="00000000">
            <w:pPr>
              <w:pStyle w:val="TableParagraph"/>
              <w:spacing w:before="8"/>
              <w:ind w:left="107" w:right="288"/>
              <w:jc w:val="both"/>
              <w:rPr>
                <w:rFonts w:ascii="Verdana" w:hAnsi="Verdana"/>
                <w:sz w:val="18"/>
                <w:szCs w:val="18"/>
              </w:rPr>
            </w:pPr>
            <w:r w:rsidRPr="00EC75B7">
              <w:rPr>
                <w:rFonts w:ascii="Verdana" w:hAnsi="Verdana"/>
                <w:spacing w:val="-2"/>
                <w:sz w:val="18"/>
                <w:szCs w:val="18"/>
              </w:rPr>
              <w:t>Night lighting</w:t>
            </w:r>
          </w:p>
        </w:tc>
        <w:tc>
          <w:tcPr>
            <w:tcW w:w="1275" w:type="dxa"/>
          </w:tcPr>
          <w:p w14:paraId="3F13511A"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2"/>
                <w:sz w:val="18"/>
                <w:szCs w:val="18"/>
              </w:rPr>
              <w:t>PAS/PH</w:t>
            </w:r>
          </w:p>
        </w:tc>
        <w:tc>
          <w:tcPr>
            <w:tcW w:w="850" w:type="dxa"/>
          </w:tcPr>
          <w:p w14:paraId="631B29BC"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w:t>
            </w:r>
            <w:r w:rsidRPr="00EC75B7">
              <w:rPr>
                <w:rFonts w:ascii="Verdana" w:hAnsi="Verdana"/>
                <w:spacing w:val="-4"/>
                <w:sz w:val="18"/>
                <w:szCs w:val="18"/>
              </w:rPr>
              <w:t>impacts were identified</w:t>
            </w:r>
          </w:p>
          <w:p w14:paraId="241D0297" w14:textId="77777777" w:rsidR="008715BE" w:rsidRPr="00EC75B7" w:rsidRDefault="00000000">
            <w:pPr>
              <w:pStyle w:val="TableParagraph"/>
              <w:spacing w:line="160" w:lineRule="exact"/>
              <w:ind w:left="104"/>
              <w:rPr>
                <w:rFonts w:ascii="Verdana" w:hAnsi="Verdana"/>
                <w:sz w:val="18"/>
                <w:szCs w:val="18"/>
              </w:rPr>
            </w:pPr>
            <w:r w:rsidRPr="00EC75B7">
              <w:rPr>
                <w:rFonts w:ascii="Verdana" w:hAnsi="Verdana"/>
                <w:spacing w:val="-10"/>
                <w:sz w:val="18"/>
                <w:szCs w:val="18"/>
              </w:rPr>
              <w:t>e</w:t>
            </w:r>
          </w:p>
        </w:tc>
        <w:tc>
          <w:tcPr>
            <w:tcW w:w="1261" w:type="dxa"/>
          </w:tcPr>
          <w:p w14:paraId="07F926E9"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7C567A21"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61" w:type="dxa"/>
          </w:tcPr>
          <w:p w14:paraId="1C983AC1"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5" w:type="dxa"/>
            <w:gridSpan w:val="5"/>
          </w:tcPr>
          <w:p w14:paraId="1712ADD8"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4" w:type="dxa"/>
          </w:tcPr>
          <w:p w14:paraId="42A405FE"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3" w:type="dxa"/>
          </w:tcPr>
          <w:p w14:paraId="2986C8E7"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29" w:type="dxa"/>
          </w:tcPr>
          <w:p w14:paraId="32D6016A"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5092FA75" w14:textId="77777777">
        <w:trPr>
          <w:trHeight w:val="1557"/>
        </w:trPr>
        <w:tc>
          <w:tcPr>
            <w:tcW w:w="605" w:type="dxa"/>
            <w:vMerge/>
            <w:tcBorders>
              <w:top w:val="nil"/>
            </w:tcBorders>
          </w:tcPr>
          <w:p w14:paraId="5BBE3079" w14:textId="77777777" w:rsidR="008715BE" w:rsidRPr="00EC75B7" w:rsidRDefault="008715BE">
            <w:pPr>
              <w:rPr>
                <w:rFonts w:ascii="Verdana" w:hAnsi="Verdana"/>
                <w:sz w:val="18"/>
                <w:szCs w:val="18"/>
              </w:rPr>
            </w:pPr>
          </w:p>
        </w:tc>
        <w:tc>
          <w:tcPr>
            <w:tcW w:w="1649" w:type="dxa"/>
            <w:vMerge/>
            <w:tcBorders>
              <w:top w:val="nil"/>
            </w:tcBorders>
          </w:tcPr>
          <w:p w14:paraId="2A568845" w14:textId="77777777" w:rsidR="008715BE" w:rsidRPr="00EC75B7" w:rsidRDefault="008715BE">
            <w:pPr>
              <w:rPr>
                <w:rFonts w:ascii="Verdana" w:hAnsi="Verdana"/>
                <w:sz w:val="18"/>
                <w:szCs w:val="18"/>
              </w:rPr>
            </w:pPr>
          </w:p>
        </w:tc>
        <w:tc>
          <w:tcPr>
            <w:tcW w:w="1277" w:type="dxa"/>
          </w:tcPr>
          <w:p w14:paraId="54B691A3"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pacing w:val="-2"/>
                <w:sz w:val="18"/>
                <w:szCs w:val="18"/>
              </w:rPr>
              <w:t>Generation</w:t>
            </w:r>
          </w:p>
          <w:p w14:paraId="7AFDFA7F"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of waste</w:t>
            </w:r>
          </w:p>
        </w:tc>
        <w:tc>
          <w:tcPr>
            <w:tcW w:w="1275" w:type="dxa"/>
          </w:tcPr>
          <w:p w14:paraId="7C7FC3A2"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2"/>
                <w:sz w:val="18"/>
                <w:szCs w:val="18"/>
              </w:rPr>
              <w:t>AH/PAS</w:t>
            </w:r>
          </w:p>
        </w:tc>
        <w:tc>
          <w:tcPr>
            <w:tcW w:w="850" w:type="dxa"/>
          </w:tcPr>
          <w:p w14:paraId="4C811476"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w:t>
            </w:r>
            <w:r w:rsidRPr="00EC75B7">
              <w:rPr>
                <w:rFonts w:ascii="Verdana" w:hAnsi="Verdana"/>
                <w:spacing w:val="-4"/>
                <w:sz w:val="18"/>
                <w:szCs w:val="18"/>
              </w:rPr>
              <w:t>impacts were identified</w:t>
            </w:r>
          </w:p>
          <w:p w14:paraId="0EFAE164" w14:textId="77777777" w:rsidR="008715BE" w:rsidRPr="00EC75B7" w:rsidRDefault="00000000">
            <w:pPr>
              <w:pStyle w:val="TableParagraph"/>
              <w:spacing w:line="162" w:lineRule="exact"/>
              <w:ind w:left="104"/>
              <w:rPr>
                <w:rFonts w:ascii="Verdana" w:hAnsi="Verdana"/>
                <w:sz w:val="18"/>
                <w:szCs w:val="18"/>
              </w:rPr>
            </w:pPr>
            <w:r w:rsidRPr="00EC75B7">
              <w:rPr>
                <w:rFonts w:ascii="Verdana" w:hAnsi="Verdana"/>
                <w:spacing w:val="-10"/>
                <w:sz w:val="18"/>
                <w:szCs w:val="18"/>
              </w:rPr>
              <w:t>e</w:t>
            </w:r>
          </w:p>
        </w:tc>
        <w:tc>
          <w:tcPr>
            <w:tcW w:w="1261" w:type="dxa"/>
          </w:tcPr>
          <w:p w14:paraId="49A569BB"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69D611CF"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61" w:type="dxa"/>
          </w:tcPr>
          <w:p w14:paraId="54761B19"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5" w:type="dxa"/>
            <w:gridSpan w:val="5"/>
          </w:tcPr>
          <w:p w14:paraId="51FA734F"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4" w:type="dxa"/>
          </w:tcPr>
          <w:p w14:paraId="102686C0"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3" w:type="dxa"/>
          </w:tcPr>
          <w:p w14:paraId="310C408E"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29" w:type="dxa"/>
          </w:tcPr>
          <w:p w14:paraId="3E154208"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3CF0A21A" w14:textId="77777777">
        <w:trPr>
          <w:trHeight w:val="8556"/>
        </w:trPr>
        <w:tc>
          <w:tcPr>
            <w:tcW w:w="605" w:type="dxa"/>
            <w:vMerge/>
            <w:tcBorders>
              <w:top w:val="nil"/>
            </w:tcBorders>
          </w:tcPr>
          <w:p w14:paraId="319F3445" w14:textId="77777777" w:rsidR="008715BE" w:rsidRPr="00EC75B7" w:rsidRDefault="008715BE">
            <w:pPr>
              <w:rPr>
                <w:rFonts w:ascii="Verdana" w:hAnsi="Verdana"/>
                <w:sz w:val="18"/>
                <w:szCs w:val="18"/>
              </w:rPr>
            </w:pPr>
          </w:p>
        </w:tc>
        <w:tc>
          <w:tcPr>
            <w:tcW w:w="1649" w:type="dxa"/>
            <w:vMerge/>
            <w:tcBorders>
              <w:top w:val="nil"/>
            </w:tcBorders>
          </w:tcPr>
          <w:p w14:paraId="43A505C5" w14:textId="77777777" w:rsidR="008715BE" w:rsidRPr="00EC75B7" w:rsidRDefault="008715BE">
            <w:pPr>
              <w:rPr>
                <w:rFonts w:ascii="Verdana" w:hAnsi="Verdana"/>
                <w:sz w:val="18"/>
                <w:szCs w:val="18"/>
              </w:rPr>
            </w:pPr>
          </w:p>
        </w:tc>
        <w:tc>
          <w:tcPr>
            <w:tcW w:w="1277" w:type="dxa"/>
          </w:tcPr>
          <w:p w14:paraId="2CDB3414" w14:textId="77777777" w:rsidR="008715BE" w:rsidRPr="00EC75B7" w:rsidRDefault="00000000">
            <w:pPr>
              <w:pStyle w:val="TableParagraph"/>
              <w:spacing w:before="8"/>
              <w:ind w:left="107" w:right="217"/>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with </w:t>
            </w:r>
            <w:r w:rsidRPr="00EC75B7">
              <w:rPr>
                <w:rFonts w:ascii="Verdana" w:hAnsi="Verdana"/>
                <w:spacing w:val="-2"/>
                <w:sz w:val="18"/>
                <w:szCs w:val="18"/>
              </w:rPr>
              <w:t>turbine</w:t>
            </w:r>
            <w:r w:rsidRPr="00EC75B7">
              <w:rPr>
                <w:rFonts w:ascii="Verdana" w:hAnsi="Verdana"/>
                <w:sz w:val="18"/>
                <w:szCs w:val="18"/>
              </w:rPr>
              <w:t xml:space="preserve"> blades</w:t>
            </w:r>
          </w:p>
        </w:tc>
        <w:tc>
          <w:tcPr>
            <w:tcW w:w="1275" w:type="dxa"/>
          </w:tcPr>
          <w:p w14:paraId="7069B11D"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REP</w:t>
            </w:r>
          </w:p>
        </w:tc>
        <w:tc>
          <w:tcPr>
            <w:tcW w:w="850" w:type="dxa"/>
          </w:tcPr>
          <w:p w14:paraId="21BC9B2D"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5B99C7B7"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358FA46D" w14:textId="77777777" w:rsidR="008715BE" w:rsidRPr="00EC75B7" w:rsidRDefault="00000000">
            <w:pPr>
              <w:pStyle w:val="TableParagraph"/>
              <w:spacing w:before="8"/>
              <w:ind w:left="106" w:right="170"/>
              <w:rPr>
                <w:rFonts w:ascii="Verdana" w:hAnsi="Verdana"/>
                <w:sz w:val="18"/>
                <w:szCs w:val="18"/>
              </w:rPr>
            </w:pPr>
            <w:r w:rsidRPr="00EC75B7">
              <w:rPr>
                <w:rFonts w:ascii="Verdana" w:hAnsi="Verdana"/>
                <w:spacing w:val="-2"/>
                <w:sz w:val="18"/>
                <w:szCs w:val="18"/>
              </w:rPr>
              <w:t>Cumulative impact with</w:t>
            </w:r>
          </w:p>
          <w:p w14:paraId="62A3C77B" w14:textId="77777777" w:rsidR="008715BE" w:rsidRPr="00EC75B7" w:rsidRDefault="00000000">
            <w:pPr>
              <w:pStyle w:val="TableParagraph"/>
              <w:spacing w:line="193" w:lineRule="exact"/>
              <w:ind w:left="106"/>
              <w:rPr>
                <w:rFonts w:ascii="Verdana" w:hAnsi="Verdana"/>
                <w:sz w:val="18"/>
                <w:szCs w:val="18"/>
              </w:rPr>
            </w:pPr>
            <w:r w:rsidRPr="00EC75B7">
              <w:rPr>
                <w:rFonts w:ascii="Verdana" w:hAnsi="Verdana"/>
                <w:spacing w:val="-10"/>
                <w:sz w:val="18"/>
                <w:szCs w:val="18"/>
              </w:rPr>
              <w:t>:</w:t>
            </w:r>
          </w:p>
          <w:p w14:paraId="4028AA60" w14:textId="77777777" w:rsidR="008715BE" w:rsidRPr="00EC75B7" w:rsidRDefault="00000000">
            <w:pPr>
              <w:pStyle w:val="TableParagraph"/>
              <w:ind w:left="106" w:right="152"/>
              <w:rPr>
                <w:rFonts w:ascii="Verdana" w:hAnsi="Verdana"/>
                <w:sz w:val="18"/>
                <w:szCs w:val="18"/>
              </w:rPr>
            </w:pPr>
            <w:r w:rsidRPr="00EC75B7">
              <w:rPr>
                <w:rFonts w:ascii="Verdana" w:hAnsi="Verdana"/>
                <w:spacing w:val="-2"/>
                <w:sz w:val="18"/>
                <w:szCs w:val="18"/>
              </w:rPr>
              <w:t>Chirnogeni</w:t>
            </w:r>
            <w:r w:rsidRPr="00EC75B7">
              <w:rPr>
                <w:rFonts w:ascii="Verdana" w:hAnsi="Verdana"/>
                <w:sz w:val="18"/>
                <w:szCs w:val="18"/>
              </w:rPr>
              <w:t xml:space="preserve"> wind farm </w:t>
            </w:r>
            <w:r w:rsidRPr="00EC75B7">
              <w:rPr>
                <w:rFonts w:ascii="Verdana" w:hAnsi="Verdana"/>
                <w:spacing w:val="-2"/>
                <w:sz w:val="18"/>
                <w:szCs w:val="18"/>
              </w:rPr>
              <w:t>(existing)</w:t>
            </w:r>
            <w:r w:rsidRPr="00EC75B7">
              <w:rPr>
                <w:rFonts w:ascii="Verdana" w:hAnsi="Verdana"/>
                <w:sz w:val="18"/>
                <w:szCs w:val="18"/>
              </w:rPr>
              <w:t xml:space="preserve"> 14 CE-</w:t>
            </w:r>
          </w:p>
          <w:p w14:paraId="731D05E8" w14:textId="77777777" w:rsidR="008715BE" w:rsidRPr="00EC75B7" w:rsidRDefault="00000000">
            <w:pPr>
              <w:pStyle w:val="TableParagraph"/>
              <w:spacing w:line="189" w:lineRule="exact"/>
              <w:ind w:left="106"/>
              <w:rPr>
                <w:rFonts w:ascii="Verdana" w:hAnsi="Verdana"/>
                <w:sz w:val="18"/>
                <w:szCs w:val="18"/>
              </w:rPr>
            </w:pPr>
            <w:r w:rsidRPr="00EC75B7">
              <w:rPr>
                <w:rFonts w:ascii="Verdana" w:hAnsi="Verdana"/>
                <w:sz w:val="18"/>
                <w:szCs w:val="18"/>
              </w:rPr>
              <w:t xml:space="preserve">92.4 </w:t>
            </w:r>
            <w:r w:rsidRPr="00EC75B7">
              <w:rPr>
                <w:rFonts w:ascii="Verdana" w:hAnsi="Verdana"/>
                <w:spacing w:val="-5"/>
                <w:sz w:val="18"/>
                <w:szCs w:val="18"/>
              </w:rPr>
              <w:t>MW,</w:t>
            </w:r>
          </w:p>
          <w:p w14:paraId="3B7877BD" w14:textId="77777777" w:rsidR="008715BE" w:rsidRPr="00EC75B7" w:rsidRDefault="00000000">
            <w:pPr>
              <w:pStyle w:val="TableParagraph"/>
              <w:ind w:left="106" w:right="124"/>
              <w:rPr>
                <w:rFonts w:ascii="Verdana" w:hAnsi="Verdana"/>
                <w:sz w:val="18"/>
                <w:szCs w:val="18"/>
              </w:rPr>
            </w:pPr>
            <w:r w:rsidRPr="00EC75B7">
              <w:rPr>
                <w:rFonts w:ascii="Verdana" w:hAnsi="Verdana"/>
                <w:spacing w:val="-2"/>
                <w:sz w:val="18"/>
                <w:szCs w:val="18"/>
              </w:rPr>
              <w:t xml:space="preserve">Transformer </w:t>
            </w:r>
            <w:r w:rsidRPr="00EC75B7">
              <w:rPr>
                <w:rFonts w:ascii="Verdana" w:hAnsi="Verdana"/>
                <w:sz w:val="18"/>
                <w:szCs w:val="18"/>
              </w:rPr>
              <w:t>station</w:t>
            </w:r>
            <w:r w:rsidRPr="00EC75B7">
              <w:rPr>
                <w:rFonts w:ascii="Verdana" w:hAnsi="Verdana"/>
                <w:spacing w:val="-2"/>
                <w:sz w:val="18"/>
                <w:szCs w:val="18"/>
              </w:rPr>
              <w:t xml:space="preserve">, </w:t>
            </w:r>
            <w:r w:rsidRPr="00EC75B7">
              <w:rPr>
                <w:rFonts w:ascii="Verdana" w:hAnsi="Verdana"/>
                <w:sz w:val="18"/>
                <w:szCs w:val="18"/>
              </w:rPr>
              <w:t xml:space="preserve">electrical </w:t>
            </w:r>
            <w:r w:rsidRPr="00EC75B7">
              <w:rPr>
                <w:rFonts w:ascii="Verdana" w:hAnsi="Verdana"/>
                <w:spacing w:val="-2"/>
                <w:sz w:val="18"/>
                <w:szCs w:val="18"/>
              </w:rPr>
              <w:t xml:space="preserve">connection networks, </w:t>
            </w:r>
            <w:r w:rsidRPr="00EC75B7">
              <w:rPr>
                <w:rFonts w:ascii="Verdana" w:hAnsi="Verdana"/>
                <w:sz w:val="18"/>
                <w:szCs w:val="18"/>
              </w:rPr>
              <w:t xml:space="preserve">construction and </w:t>
            </w:r>
            <w:r w:rsidRPr="00EC75B7">
              <w:rPr>
                <w:rFonts w:ascii="Verdana" w:hAnsi="Verdana"/>
                <w:spacing w:val="-2"/>
                <w:sz w:val="18"/>
                <w:szCs w:val="18"/>
              </w:rPr>
              <w:t xml:space="preserve">modernization </w:t>
            </w:r>
            <w:r w:rsidRPr="00EC75B7">
              <w:rPr>
                <w:rFonts w:ascii="Verdana" w:hAnsi="Verdana"/>
                <w:sz w:val="18"/>
                <w:szCs w:val="18"/>
              </w:rPr>
              <w:t xml:space="preserve">of </w:t>
            </w:r>
            <w:r w:rsidRPr="00EC75B7">
              <w:rPr>
                <w:rFonts w:ascii="Verdana" w:hAnsi="Verdana"/>
                <w:spacing w:val="-2"/>
                <w:sz w:val="18"/>
                <w:szCs w:val="18"/>
              </w:rPr>
              <w:t xml:space="preserve">communication </w:t>
            </w:r>
            <w:r w:rsidRPr="00EC75B7">
              <w:rPr>
                <w:rFonts w:ascii="Verdana" w:hAnsi="Verdana"/>
                <w:sz w:val="18"/>
                <w:szCs w:val="18"/>
              </w:rPr>
              <w:t xml:space="preserve">and access routes - </w:t>
            </w:r>
            <w:r w:rsidRPr="00EC75B7">
              <w:rPr>
                <w:rFonts w:ascii="Verdana" w:hAnsi="Verdana"/>
                <w:spacing w:val="-2"/>
                <w:sz w:val="18"/>
                <w:szCs w:val="18"/>
              </w:rPr>
              <w:t xml:space="preserve">outside the town of Fântana </w:t>
            </w:r>
            <w:r w:rsidRPr="00EC75B7">
              <w:rPr>
                <w:rFonts w:ascii="Verdana" w:hAnsi="Verdana"/>
                <w:sz w:val="18"/>
                <w:szCs w:val="18"/>
              </w:rPr>
              <w:t>Mare, commune of Independența.</w:t>
            </w:r>
          </w:p>
          <w:p w14:paraId="17965B37" w14:textId="77777777" w:rsidR="008715BE" w:rsidRPr="00EC75B7" w:rsidRDefault="00000000">
            <w:pPr>
              <w:pStyle w:val="TableParagraph"/>
              <w:spacing w:line="183" w:lineRule="exact"/>
              <w:ind w:left="106"/>
              <w:rPr>
                <w:rFonts w:ascii="Verdana" w:hAnsi="Verdana"/>
                <w:sz w:val="18"/>
                <w:szCs w:val="18"/>
              </w:rPr>
            </w:pPr>
            <w:r w:rsidRPr="00EC75B7">
              <w:rPr>
                <w:rFonts w:ascii="Verdana" w:hAnsi="Verdana"/>
                <w:spacing w:val="-2"/>
                <w:sz w:val="18"/>
                <w:szCs w:val="18"/>
              </w:rPr>
              <w:t>Independența</w:t>
            </w:r>
          </w:p>
          <w:p w14:paraId="7E360061" w14:textId="77777777" w:rsidR="008715BE" w:rsidRPr="00EC75B7" w:rsidRDefault="00000000">
            <w:pPr>
              <w:pStyle w:val="TableParagraph"/>
              <w:ind w:left="106" w:right="152"/>
              <w:rPr>
                <w:rFonts w:ascii="Verdana" w:hAnsi="Verdana"/>
                <w:sz w:val="18"/>
                <w:szCs w:val="18"/>
              </w:rPr>
            </w:pPr>
            <w:r w:rsidRPr="00EC75B7">
              <w:rPr>
                <w:rFonts w:ascii="Verdana" w:hAnsi="Verdana"/>
                <w:sz w:val="18"/>
                <w:szCs w:val="18"/>
              </w:rPr>
              <w:t xml:space="preserve">, </w:t>
            </w:r>
            <w:r w:rsidRPr="00EC75B7">
              <w:rPr>
                <w:rFonts w:ascii="Verdana" w:hAnsi="Verdana"/>
                <w:spacing w:val="-2"/>
                <w:sz w:val="18"/>
                <w:szCs w:val="18"/>
              </w:rPr>
              <w:t>Constanța</w:t>
            </w:r>
            <w:r w:rsidRPr="00EC75B7">
              <w:rPr>
                <w:rFonts w:ascii="Verdana" w:hAnsi="Verdana"/>
                <w:sz w:val="18"/>
                <w:szCs w:val="18"/>
              </w:rPr>
              <w:t xml:space="preserve"> County </w:t>
            </w:r>
            <w:r w:rsidRPr="00EC75B7">
              <w:rPr>
                <w:rFonts w:ascii="Verdana" w:hAnsi="Verdana"/>
                <w:spacing w:val="-2"/>
                <w:sz w:val="18"/>
                <w:szCs w:val="18"/>
              </w:rPr>
              <w:t>(proposed) 17 CE-112.2 MW wind</w:t>
            </w:r>
            <w:r w:rsidRPr="00EC75B7">
              <w:rPr>
                <w:rFonts w:ascii="Verdana" w:hAnsi="Verdana"/>
                <w:spacing w:val="-4"/>
                <w:sz w:val="18"/>
                <w:szCs w:val="18"/>
              </w:rPr>
              <w:t xml:space="preserve"> farm</w:t>
            </w:r>
          </w:p>
          <w:p w14:paraId="78B97A4D" w14:textId="77777777" w:rsidR="008715BE" w:rsidRPr="00EC75B7" w:rsidRDefault="00000000">
            <w:pPr>
              <w:pStyle w:val="TableParagraph"/>
              <w:spacing w:line="190" w:lineRule="exact"/>
              <w:ind w:left="106"/>
              <w:rPr>
                <w:rFonts w:ascii="Verdana" w:hAnsi="Verdana"/>
                <w:sz w:val="18"/>
                <w:szCs w:val="18"/>
              </w:rPr>
            </w:pPr>
            <w:r w:rsidRPr="00EC75B7">
              <w:rPr>
                <w:rFonts w:ascii="Verdana" w:hAnsi="Verdana"/>
                <w:sz w:val="18"/>
                <w:szCs w:val="18"/>
              </w:rPr>
              <w:t xml:space="preserve">112.2 </w:t>
            </w:r>
            <w:r w:rsidRPr="00EC75B7">
              <w:rPr>
                <w:rFonts w:ascii="Verdana" w:hAnsi="Verdana"/>
                <w:spacing w:val="-5"/>
                <w:sz w:val="18"/>
                <w:szCs w:val="18"/>
              </w:rPr>
              <w:t>MW,</w:t>
            </w:r>
          </w:p>
          <w:p w14:paraId="7E95DFEB" w14:textId="77777777" w:rsidR="008715BE" w:rsidRPr="00EC75B7" w:rsidRDefault="00000000">
            <w:pPr>
              <w:pStyle w:val="TableParagraph"/>
              <w:ind w:left="106" w:right="124"/>
              <w:rPr>
                <w:rFonts w:ascii="Verdana" w:hAnsi="Verdana"/>
                <w:sz w:val="18"/>
                <w:szCs w:val="18"/>
              </w:rPr>
            </w:pPr>
            <w:r w:rsidRPr="00EC75B7">
              <w:rPr>
                <w:rFonts w:ascii="Verdana" w:hAnsi="Verdana"/>
                <w:spacing w:val="-2"/>
                <w:sz w:val="18"/>
                <w:szCs w:val="18"/>
              </w:rPr>
              <w:t xml:space="preserve">transformer </w:t>
            </w:r>
            <w:r w:rsidRPr="00EC75B7">
              <w:rPr>
                <w:rFonts w:ascii="Verdana" w:hAnsi="Verdana"/>
                <w:sz w:val="18"/>
                <w:szCs w:val="18"/>
              </w:rPr>
              <w:t>station</w:t>
            </w:r>
            <w:r w:rsidRPr="00EC75B7">
              <w:rPr>
                <w:rFonts w:ascii="Verdana" w:hAnsi="Verdana"/>
                <w:spacing w:val="-2"/>
                <w:sz w:val="18"/>
                <w:szCs w:val="18"/>
              </w:rPr>
              <w:t xml:space="preserve">, </w:t>
            </w:r>
            <w:r w:rsidRPr="00EC75B7">
              <w:rPr>
                <w:rFonts w:ascii="Verdana" w:hAnsi="Verdana"/>
                <w:sz w:val="18"/>
                <w:szCs w:val="18"/>
              </w:rPr>
              <w:t xml:space="preserve">electrical </w:t>
            </w:r>
            <w:r w:rsidRPr="00EC75B7">
              <w:rPr>
                <w:rFonts w:ascii="Verdana" w:hAnsi="Verdana"/>
                <w:spacing w:val="-2"/>
                <w:sz w:val="18"/>
                <w:szCs w:val="18"/>
              </w:rPr>
              <w:t xml:space="preserve">connection networks, </w:t>
            </w:r>
            <w:r w:rsidRPr="00EC75B7">
              <w:rPr>
                <w:rFonts w:ascii="Verdana" w:hAnsi="Verdana"/>
                <w:sz w:val="18"/>
                <w:szCs w:val="18"/>
              </w:rPr>
              <w:t xml:space="preserve">construction and </w:t>
            </w:r>
            <w:r w:rsidRPr="00EC75B7">
              <w:rPr>
                <w:rFonts w:ascii="Verdana" w:hAnsi="Verdana"/>
                <w:spacing w:val="-2"/>
                <w:sz w:val="18"/>
                <w:szCs w:val="18"/>
              </w:rPr>
              <w:t xml:space="preserve">modernisation </w:t>
            </w:r>
            <w:r w:rsidRPr="00EC75B7">
              <w:rPr>
                <w:rFonts w:ascii="Verdana" w:hAnsi="Verdana"/>
                <w:sz w:val="18"/>
                <w:szCs w:val="18"/>
              </w:rPr>
              <w:t xml:space="preserve">of </w:t>
            </w:r>
            <w:r w:rsidRPr="00EC75B7">
              <w:rPr>
                <w:rFonts w:ascii="Verdana" w:hAnsi="Verdana"/>
                <w:spacing w:val="-2"/>
                <w:sz w:val="18"/>
                <w:szCs w:val="18"/>
              </w:rPr>
              <w:t xml:space="preserve">communication </w:t>
            </w:r>
            <w:r w:rsidRPr="00EC75B7">
              <w:rPr>
                <w:rFonts w:ascii="Verdana" w:hAnsi="Verdana"/>
                <w:sz w:val="18"/>
                <w:szCs w:val="18"/>
              </w:rPr>
              <w:t xml:space="preserve">and access routes - </w:t>
            </w:r>
            <w:r w:rsidRPr="00EC75B7">
              <w:rPr>
                <w:rFonts w:ascii="Verdana" w:hAnsi="Verdana"/>
                <w:spacing w:val="-2"/>
                <w:sz w:val="18"/>
                <w:szCs w:val="18"/>
              </w:rPr>
              <w:t xml:space="preserve">outside the built-up area </w:t>
            </w:r>
            <w:r w:rsidRPr="00EC75B7">
              <w:rPr>
                <w:rFonts w:ascii="Verdana" w:hAnsi="Verdana"/>
                <w:spacing w:val="-4"/>
                <w:sz w:val="18"/>
                <w:szCs w:val="18"/>
              </w:rPr>
              <w:t>of Independența commune</w:t>
            </w:r>
          </w:p>
          <w:p w14:paraId="56BC35A1" w14:textId="77777777" w:rsidR="008715BE" w:rsidRPr="00EC75B7" w:rsidRDefault="00000000">
            <w:pPr>
              <w:pStyle w:val="TableParagraph"/>
              <w:spacing w:line="157" w:lineRule="exact"/>
              <w:ind w:left="106"/>
              <w:rPr>
                <w:rFonts w:ascii="Verdana" w:hAnsi="Verdana"/>
                <w:sz w:val="18"/>
                <w:szCs w:val="18"/>
              </w:rPr>
            </w:pPr>
            <w:r w:rsidRPr="00EC75B7">
              <w:rPr>
                <w:rFonts w:ascii="Verdana" w:hAnsi="Verdana"/>
                <w:spacing w:val="-2"/>
                <w:sz w:val="18"/>
                <w:szCs w:val="18"/>
              </w:rPr>
              <w:t>Independența</w:t>
            </w:r>
          </w:p>
        </w:tc>
        <w:tc>
          <w:tcPr>
            <w:tcW w:w="1261" w:type="dxa"/>
          </w:tcPr>
          <w:p w14:paraId="0D6233B0" w14:textId="77777777" w:rsidR="008715BE" w:rsidRPr="00EC75B7" w:rsidRDefault="00000000">
            <w:pPr>
              <w:pStyle w:val="TableParagraph"/>
              <w:spacing w:before="8"/>
              <w:ind w:left="102" w:right="117"/>
              <w:rPr>
                <w:rFonts w:ascii="Verdana" w:hAnsi="Verdana"/>
                <w:sz w:val="18"/>
                <w:szCs w:val="18"/>
              </w:rPr>
            </w:pPr>
            <w:r w:rsidRPr="00EC75B7">
              <w:rPr>
                <w:rFonts w:ascii="Verdana" w:hAnsi="Verdana"/>
                <w:sz w:val="18"/>
                <w:szCs w:val="18"/>
              </w:rPr>
              <w:t xml:space="preserve">Long-term direct </w:t>
            </w:r>
            <w:r w:rsidRPr="00EC75B7">
              <w:rPr>
                <w:rFonts w:ascii="Verdana" w:hAnsi="Verdana"/>
                <w:spacing w:val="-2"/>
                <w:sz w:val="18"/>
                <w:szCs w:val="18"/>
              </w:rPr>
              <w:t>impact</w:t>
            </w:r>
          </w:p>
        </w:tc>
        <w:tc>
          <w:tcPr>
            <w:tcW w:w="1380" w:type="dxa"/>
          </w:tcPr>
          <w:p w14:paraId="0B65A462" w14:textId="77777777" w:rsidR="008715BE" w:rsidRPr="00EC75B7" w:rsidRDefault="00000000">
            <w:pPr>
              <w:pStyle w:val="TableParagraph"/>
              <w:spacing w:before="8"/>
              <w:ind w:left="101" w:right="128"/>
              <w:rPr>
                <w:rFonts w:ascii="Verdana" w:hAnsi="Verdana"/>
                <w:i/>
                <w:sz w:val="18"/>
                <w:szCs w:val="18"/>
              </w:rPr>
            </w:pPr>
            <w:r w:rsidRPr="00EC75B7">
              <w:rPr>
                <w:rFonts w:ascii="Verdana" w:hAnsi="Verdana"/>
                <w:i/>
                <w:spacing w:val="-2"/>
                <w:sz w:val="18"/>
                <w:szCs w:val="18"/>
              </w:rPr>
              <w:t xml:space="preserve">Accipiter brevipes, Anthus campestris, Aquila pomarina, </w:t>
            </w:r>
            <w:r w:rsidRPr="00EC75B7">
              <w:rPr>
                <w:rFonts w:ascii="Verdana" w:hAnsi="Verdana"/>
                <w:i/>
                <w:sz w:val="18"/>
                <w:szCs w:val="18"/>
              </w:rPr>
              <w:t xml:space="preserve">Bubo bubo, Buteo rufinus, </w:t>
            </w:r>
            <w:r w:rsidRPr="00EC75B7">
              <w:rPr>
                <w:rFonts w:ascii="Verdana" w:hAnsi="Verdana"/>
                <w:i/>
                <w:spacing w:val="-2"/>
                <w:sz w:val="18"/>
                <w:szCs w:val="18"/>
              </w:rPr>
              <w:t xml:space="preserve">Caprimulgus europaeus, Circus cyaneus, Circus macrourus, Circus pygargus, Coracias garrulus, Falco peregrinus, Hieraaetus pennatus, Lanius collurio, </w:t>
            </w:r>
            <w:r w:rsidRPr="00EC75B7">
              <w:rPr>
                <w:rFonts w:ascii="Verdana" w:hAnsi="Verdana"/>
                <w:i/>
                <w:sz w:val="18"/>
                <w:szCs w:val="18"/>
              </w:rPr>
              <w:t xml:space="preserve">Lanius minor, </w:t>
            </w:r>
            <w:r w:rsidRPr="00EC75B7">
              <w:rPr>
                <w:rFonts w:ascii="Verdana" w:hAnsi="Verdana"/>
                <w:i/>
                <w:spacing w:val="-2"/>
                <w:sz w:val="18"/>
                <w:szCs w:val="18"/>
              </w:rPr>
              <w:t xml:space="preserve">Melanocorypha </w:t>
            </w:r>
            <w:r w:rsidRPr="00EC75B7">
              <w:rPr>
                <w:rFonts w:ascii="Verdana" w:hAnsi="Verdana"/>
                <w:i/>
                <w:sz w:val="18"/>
                <w:szCs w:val="18"/>
              </w:rPr>
              <w:t xml:space="preserve">calandra, </w:t>
            </w:r>
            <w:r w:rsidRPr="00EC75B7">
              <w:rPr>
                <w:rFonts w:ascii="Verdana" w:hAnsi="Verdana"/>
                <w:i/>
                <w:spacing w:val="-2"/>
                <w:sz w:val="18"/>
                <w:szCs w:val="18"/>
              </w:rPr>
              <w:t>Milvus migrans, Pernis apivorus</w:t>
            </w:r>
          </w:p>
        </w:tc>
        <w:tc>
          <w:tcPr>
            <w:tcW w:w="1408" w:type="dxa"/>
          </w:tcPr>
          <w:p w14:paraId="555FF4FA" w14:textId="77777777" w:rsidR="008715BE" w:rsidRPr="00EC75B7" w:rsidRDefault="00000000">
            <w:pPr>
              <w:pStyle w:val="TableParagraph"/>
              <w:spacing w:before="8"/>
              <w:ind w:left="97" w:right="143"/>
              <w:rPr>
                <w:rFonts w:ascii="Verdana" w:hAnsi="Verdana"/>
                <w:i/>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w:t>
            </w:r>
            <w:r w:rsidRPr="00EC75B7">
              <w:rPr>
                <w:rFonts w:ascii="Verdana" w:hAnsi="Verdana"/>
                <w:b/>
                <w:sz w:val="18"/>
                <w:szCs w:val="18"/>
              </w:rPr>
              <w:t xml:space="preserve">migration/Species associated with </w:t>
            </w:r>
            <w:r w:rsidRPr="00EC75B7">
              <w:rPr>
                <w:rFonts w:ascii="Verdana" w:hAnsi="Verdana"/>
                <w:b/>
                <w:spacing w:val="-2"/>
                <w:sz w:val="18"/>
                <w:szCs w:val="18"/>
              </w:rPr>
              <w:t>extensively used agricultural</w:t>
            </w:r>
            <w:r w:rsidRPr="00EC75B7">
              <w:rPr>
                <w:rFonts w:ascii="Verdana" w:hAnsi="Verdana"/>
                <w:b/>
                <w:sz w:val="18"/>
                <w:szCs w:val="18"/>
              </w:rPr>
              <w:t xml:space="preserve"> land </w:t>
            </w:r>
            <w:r w:rsidRPr="00EC75B7">
              <w:rPr>
                <w:rFonts w:ascii="Verdana" w:hAnsi="Verdana"/>
                <w:i/>
                <w:spacing w:val="-2"/>
                <w:sz w:val="18"/>
                <w:szCs w:val="18"/>
              </w:rPr>
              <w:t xml:space="preserve">Alauda arvensis, Carduelis cannabina, Carduelis carduelis, Coturnix coturnix, Emberiza melanocephal </w:t>
            </w:r>
            <w:r w:rsidRPr="00EC75B7">
              <w:rPr>
                <w:rFonts w:ascii="Verdana" w:hAnsi="Verdana"/>
                <w:i/>
                <w:sz w:val="18"/>
                <w:szCs w:val="18"/>
              </w:rPr>
              <w:t xml:space="preserve">a, Falco </w:t>
            </w:r>
            <w:r w:rsidRPr="00EC75B7">
              <w:rPr>
                <w:rFonts w:ascii="Verdana" w:hAnsi="Verdana"/>
                <w:i/>
                <w:spacing w:val="-2"/>
                <w:sz w:val="18"/>
                <w:szCs w:val="18"/>
              </w:rPr>
              <w:t>tinnunculus, Fringilla montifringilla, Galerida cristata, Lanius excubitor, Lanius senator, Merops apiaster, Miliaria calandra, Motacilla alba, Motacilla flava, Oenanthe isabellina, Oenanthe oenanthe, Saxicola torquata, Streptopelia turtur,</w:t>
            </w:r>
          </w:p>
          <w:p w14:paraId="5D460F8F" w14:textId="77777777" w:rsidR="008715BE" w:rsidRPr="00EC75B7" w:rsidRDefault="00000000">
            <w:pPr>
              <w:pStyle w:val="TableParagraph"/>
              <w:spacing w:line="130" w:lineRule="exact"/>
              <w:ind w:left="97"/>
              <w:rPr>
                <w:rFonts w:ascii="Verdana" w:hAnsi="Verdana"/>
                <w:i/>
                <w:sz w:val="18"/>
                <w:szCs w:val="18"/>
              </w:rPr>
            </w:pPr>
            <w:r w:rsidRPr="00EC75B7">
              <w:rPr>
                <w:rFonts w:ascii="Verdana" w:hAnsi="Verdana"/>
                <w:i/>
                <w:spacing w:val="-2"/>
                <w:sz w:val="18"/>
                <w:szCs w:val="18"/>
              </w:rPr>
              <w:t>Sturnus</w:t>
            </w:r>
          </w:p>
        </w:tc>
        <w:tc>
          <w:tcPr>
            <w:tcW w:w="1259" w:type="dxa"/>
          </w:tcPr>
          <w:p w14:paraId="63CFBAA3" w14:textId="77777777" w:rsidR="008715BE" w:rsidRPr="00EC75B7" w:rsidRDefault="00000000">
            <w:pPr>
              <w:pStyle w:val="TableParagraph"/>
              <w:spacing w:before="8"/>
              <w:ind w:left="96" w:right="155"/>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forest</w:t>
            </w:r>
            <w:r w:rsidRPr="00EC75B7">
              <w:rPr>
                <w:rFonts w:ascii="Verdana" w:hAnsi="Verdana"/>
                <w:b/>
                <w:sz w:val="18"/>
                <w:szCs w:val="18"/>
              </w:rPr>
              <w:t xml:space="preserve"> habitats </w:t>
            </w:r>
            <w:r w:rsidRPr="00EC75B7">
              <w:rPr>
                <w:rFonts w:ascii="Verdana" w:hAnsi="Verdana"/>
                <w:i/>
                <w:spacing w:val="-2"/>
                <w:sz w:val="18"/>
                <w:szCs w:val="18"/>
              </w:rPr>
              <w:t xml:space="preserve">Carduelis chloris, Carduelis spinus, Coccothraustes </w:t>
            </w:r>
            <w:r w:rsidRPr="00EC75B7">
              <w:rPr>
                <w:rFonts w:ascii="Verdana" w:hAnsi="Verdana"/>
                <w:i/>
                <w:sz w:val="18"/>
                <w:szCs w:val="18"/>
              </w:rPr>
              <w:t xml:space="preserve">coccothraustes,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 atricapilla, Sylvia curruca,</w:t>
            </w:r>
          </w:p>
          <w:p w14:paraId="3337E950" w14:textId="77777777" w:rsidR="008715BE" w:rsidRPr="00EC75B7" w:rsidRDefault="00000000">
            <w:pPr>
              <w:pStyle w:val="TableParagraph"/>
              <w:spacing w:line="130" w:lineRule="exact"/>
              <w:ind w:left="96"/>
              <w:rPr>
                <w:rFonts w:ascii="Verdana" w:hAnsi="Verdana"/>
                <w:i/>
                <w:sz w:val="18"/>
                <w:szCs w:val="18"/>
              </w:rPr>
            </w:pPr>
            <w:r w:rsidRPr="00EC75B7">
              <w:rPr>
                <w:rFonts w:ascii="Verdana" w:hAnsi="Verdana"/>
                <w:i/>
                <w:spacing w:val="-2"/>
                <w:sz w:val="18"/>
                <w:szCs w:val="18"/>
              </w:rPr>
              <w:t>Turdus</w:t>
            </w:r>
          </w:p>
        </w:tc>
        <w:tc>
          <w:tcPr>
            <w:tcW w:w="1449" w:type="dxa"/>
          </w:tcPr>
          <w:p w14:paraId="02FE83B3" w14:textId="77777777" w:rsidR="008715BE" w:rsidRPr="00EC75B7" w:rsidRDefault="00000000">
            <w:pPr>
              <w:pStyle w:val="TableParagraph"/>
              <w:spacing w:before="8"/>
              <w:ind w:left="92" w:right="130"/>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reedbed</w:t>
            </w:r>
            <w:r w:rsidRPr="00EC75B7">
              <w:rPr>
                <w:rFonts w:ascii="Verdana" w:hAnsi="Verdana"/>
                <w:b/>
                <w:sz w:val="18"/>
                <w:szCs w:val="18"/>
              </w:rPr>
              <w:t xml:space="preserve"> habitats </w:t>
            </w:r>
            <w:r w:rsidRPr="00EC75B7">
              <w:rPr>
                <w:rFonts w:ascii="Verdana" w:hAnsi="Verdana"/>
                <w:i/>
                <w:spacing w:val="-2"/>
                <w:sz w:val="18"/>
                <w:szCs w:val="18"/>
              </w:rPr>
              <w:t>Acrocephalus arundinaceus, Acrocephalus palustris, Acrocephalus schoenobaenus</w:t>
            </w:r>
          </w:p>
          <w:p w14:paraId="790F1123" w14:textId="77777777" w:rsidR="008715BE" w:rsidRPr="00EC75B7" w:rsidRDefault="00000000">
            <w:pPr>
              <w:pStyle w:val="TableParagraph"/>
              <w:ind w:left="92" w:right="143"/>
              <w:rPr>
                <w:rFonts w:ascii="Verdana" w:hAnsi="Verdana"/>
                <w:i/>
                <w:sz w:val="18"/>
                <w:szCs w:val="18"/>
              </w:rPr>
            </w:pPr>
            <w:r w:rsidRPr="00EC75B7">
              <w:rPr>
                <w:rFonts w:ascii="Verdana" w:hAnsi="Verdana"/>
                <w:i/>
                <w:spacing w:val="-2"/>
                <w:sz w:val="18"/>
                <w:szCs w:val="18"/>
              </w:rPr>
              <w:t xml:space="preserve">, Acrocephalus scirpaceus, Locustella fluviatilis, Locustella luscinioides, </w:t>
            </w:r>
            <w:r w:rsidRPr="00EC75B7">
              <w:rPr>
                <w:rFonts w:ascii="Verdana" w:hAnsi="Verdana"/>
                <w:i/>
                <w:sz w:val="18"/>
                <w:szCs w:val="18"/>
              </w:rPr>
              <w:t>Riparia riparia</w:t>
            </w:r>
          </w:p>
        </w:tc>
        <w:tc>
          <w:tcPr>
            <w:tcW w:w="1169" w:type="dxa"/>
          </w:tcPr>
          <w:p w14:paraId="521164E0" w14:textId="77777777" w:rsidR="008715BE" w:rsidRPr="00EC75B7" w:rsidRDefault="00000000">
            <w:pPr>
              <w:pStyle w:val="TableParagraph"/>
              <w:spacing w:before="8"/>
              <w:ind w:left="100" w:right="227"/>
              <w:rPr>
                <w:rFonts w:ascii="Verdana" w:hAnsi="Verdana"/>
                <w:i/>
                <w:sz w:val="18"/>
                <w:szCs w:val="18"/>
              </w:rPr>
            </w:pPr>
            <w:r w:rsidRPr="00EC75B7">
              <w:rPr>
                <w:rFonts w:ascii="Verdana" w:hAnsi="Verdana"/>
                <w:b/>
                <w:spacing w:val="-2"/>
                <w:sz w:val="18"/>
                <w:szCs w:val="18"/>
              </w:rPr>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rocky habitats </w:t>
            </w:r>
            <w:r w:rsidRPr="00EC75B7">
              <w:rPr>
                <w:rFonts w:ascii="Verdana" w:hAnsi="Verdana"/>
                <w:b/>
                <w:sz w:val="18"/>
                <w:szCs w:val="18"/>
              </w:rPr>
              <w:t xml:space="preserve">and </w:t>
            </w:r>
            <w:r w:rsidRPr="00EC75B7">
              <w:rPr>
                <w:rFonts w:ascii="Verdana" w:hAnsi="Verdana"/>
                <w:b/>
                <w:spacing w:val="-2"/>
                <w:sz w:val="18"/>
                <w:szCs w:val="18"/>
              </w:rPr>
              <w:t>urban</w:t>
            </w:r>
            <w:r w:rsidRPr="00EC75B7">
              <w:rPr>
                <w:rFonts w:ascii="Verdana" w:hAnsi="Verdana"/>
                <w:b/>
                <w:sz w:val="18"/>
                <w:szCs w:val="18"/>
              </w:rPr>
              <w:t xml:space="preserve"> areas </w:t>
            </w:r>
            <w:r w:rsidRPr="00EC75B7">
              <w:rPr>
                <w:rFonts w:ascii="Verdana" w:hAnsi="Verdana"/>
                <w:i/>
                <w:spacing w:val="-2"/>
                <w:sz w:val="18"/>
                <w:szCs w:val="18"/>
              </w:rPr>
              <w:t>Monticola saxatilis, Hirundo daurica, Hirundo rustica</w:t>
            </w:r>
          </w:p>
        </w:tc>
        <w:tc>
          <w:tcPr>
            <w:tcW w:w="1114" w:type="dxa"/>
          </w:tcPr>
          <w:p w14:paraId="0057CB35" w14:textId="77777777" w:rsidR="008715BE" w:rsidRPr="00EC75B7" w:rsidRDefault="00000000">
            <w:pPr>
              <w:pStyle w:val="TableParagraph"/>
              <w:spacing w:before="8"/>
              <w:ind w:left="102"/>
              <w:rPr>
                <w:rFonts w:ascii="Verdana" w:hAnsi="Verdana"/>
                <w:sz w:val="18"/>
                <w:szCs w:val="18"/>
              </w:rPr>
            </w:pPr>
            <w:r w:rsidRPr="00EC75B7">
              <w:rPr>
                <w:rFonts w:ascii="Verdana" w:hAnsi="Verdana"/>
                <w:spacing w:val="-2"/>
                <w:sz w:val="18"/>
                <w:szCs w:val="18"/>
              </w:rPr>
              <w:t>Population size</w:t>
            </w:r>
          </w:p>
        </w:tc>
        <w:tc>
          <w:tcPr>
            <w:tcW w:w="2533" w:type="dxa"/>
          </w:tcPr>
          <w:p w14:paraId="431B5DF6" w14:textId="77777777" w:rsidR="008715BE" w:rsidRPr="00EC75B7" w:rsidRDefault="00000000">
            <w:pPr>
              <w:pStyle w:val="TableParagraph"/>
              <w:spacing w:before="8"/>
              <w:ind w:left="99" w:right="499"/>
              <w:jc w:val="both"/>
              <w:rPr>
                <w:rFonts w:ascii="Verdana" w:hAnsi="Verdana"/>
                <w:sz w:val="18"/>
                <w:szCs w:val="18"/>
              </w:rPr>
            </w:pPr>
            <w:r w:rsidRPr="00EC75B7">
              <w:rPr>
                <w:rFonts w:ascii="Verdana" w:hAnsi="Verdana"/>
                <w:i/>
                <w:sz w:val="18"/>
                <w:szCs w:val="18"/>
              </w:rPr>
              <w:t xml:space="preserve">Alauda arvensis </w:t>
            </w:r>
            <w:r w:rsidRPr="00EC75B7">
              <w:rPr>
                <w:rFonts w:ascii="Verdana" w:hAnsi="Verdana"/>
                <w:sz w:val="18"/>
                <w:szCs w:val="18"/>
              </w:rPr>
              <w:t>- 0.083 individuals/year (1 individual approx. every 12 years)</w:t>
            </w:r>
          </w:p>
          <w:p w14:paraId="0BF07892" w14:textId="77777777" w:rsidR="008715BE" w:rsidRPr="00EC75B7" w:rsidRDefault="00000000">
            <w:pPr>
              <w:pStyle w:val="TableParagraph"/>
              <w:ind w:left="99" w:right="203"/>
              <w:rPr>
                <w:rFonts w:ascii="Verdana" w:hAnsi="Verdana"/>
                <w:sz w:val="18"/>
                <w:szCs w:val="18"/>
              </w:rPr>
            </w:pPr>
            <w:r w:rsidRPr="00EC75B7">
              <w:rPr>
                <w:rFonts w:ascii="Verdana" w:hAnsi="Verdana"/>
                <w:i/>
                <w:sz w:val="18"/>
                <w:szCs w:val="18"/>
              </w:rPr>
              <w:t>Buteo rufinus -</w:t>
            </w:r>
            <w:r w:rsidRPr="00EC75B7">
              <w:rPr>
                <w:rFonts w:ascii="Verdana" w:hAnsi="Verdana"/>
                <w:sz w:val="18"/>
                <w:szCs w:val="18"/>
              </w:rPr>
              <w:t xml:space="preserve"> 0.193 </w:t>
            </w:r>
            <w:r w:rsidRPr="00EC75B7">
              <w:rPr>
                <w:rFonts w:ascii="Verdana" w:hAnsi="Verdana"/>
                <w:spacing w:val="-2"/>
                <w:sz w:val="18"/>
                <w:szCs w:val="18"/>
              </w:rPr>
              <w:t xml:space="preserve">individuals/year (1 individual </w:t>
            </w:r>
            <w:r w:rsidRPr="00EC75B7">
              <w:rPr>
                <w:rFonts w:ascii="Verdana" w:hAnsi="Verdana"/>
                <w:sz w:val="18"/>
                <w:szCs w:val="18"/>
              </w:rPr>
              <w:t>approx. every 5 years)</w:t>
            </w:r>
          </w:p>
          <w:p w14:paraId="234E1E81" w14:textId="77777777" w:rsidR="008715BE" w:rsidRPr="00EC75B7" w:rsidRDefault="00000000">
            <w:pPr>
              <w:pStyle w:val="TableParagraph"/>
              <w:ind w:left="99" w:right="528"/>
              <w:jc w:val="both"/>
              <w:rPr>
                <w:rFonts w:ascii="Verdana" w:hAnsi="Verdana"/>
                <w:sz w:val="18"/>
                <w:szCs w:val="18"/>
              </w:rPr>
            </w:pPr>
            <w:r w:rsidRPr="00EC75B7">
              <w:rPr>
                <w:rFonts w:ascii="Verdana" w:hAnsi="Verdana"/>
                <w:i/>
                <w:sz w:val="18"/>
                <w:szCs w:val="18"/>
              </w:rPr>
              <w:t xml:space="preserve">Circus cyaneus </w:t>
            </w:r>
            <w:r w:rsidRPr="00EC75B7">
              <w:rPr>
                <w:rFonts w:ascii="Verdana" w:hAnsi="Verdana"/>
                <w:sz w:val="18"/>
                <w:szCs w:val="18"/>
              </w:rPr>
              <w:t>- 0.012 individuals/year (1 individual approx. every 83 years)</w:t>
            </w:r>
          </w:p>
          <w:p w14:paraId="06F50DD0" w14:textId="77777777" w:rsidR="008715BE" w:rsidRPr="00EC75B7" w:rsidRDefault="00000000">
            <w:pPr>
              <w:pStyle w:val="TableParagraph"/>
              <w:ind w:left="99" w:right="203"/>
              <w:rPr>
                <w:rFonts w:ascii="Verdana" w:hAnsi="Verdana"/>
                <w:sz w:val="18"/>
                <w:szCs w:val="18"/>
              </w:rPr>
            </w:pPr>
            <w:r w:rsidRPr="00EC75B7">
              <w:rPr>
                <w:rFonts w:ascii="Verdana" w:hAnsi="Verdana"/>
                <w:i/>
                <w:spacing w:val="-2"/>
                <w:sz w:val="18"/>
                <w:szCs w:val="18"/>
              </w:rPr>
              <w:t xml:space="preserve">Coracias garrulus </w:t>
            </w:r>
            <w:r w:rsidRPr="00EC75B7">
              <w:rPr>
                <w:rFonts w:ascii="Verdana" w:hAnsi="Verdana"/>
                <w:spacing w:val="-2"/>
                <w:sz w:val="18"/>
                <w:szCs w:val="18"/>
              </w:rPr>
              <w:t xml:space="preserve">- 0.009 </w:t>
            </w:r>
            <w:r w:rsidRPr="00EC75B7">
              <w:rPr>
                <w:rFonts w:ascii="Verdana" w:hAnsi="Verdana"/>
                <w:sz w:val="18"/>
                <w:szCs w:val="18"/>
              </w:rPr>
              <w:t>individuals/year (1 individual approx. every 111 years)</w:t>
            </w:r>
          </w:p>
          <w:p w14:paraId="021F9AF7" w14:textId="77777777" w:rsidR="008715BE" w:rsidRPr="00EC75B7" w:rsidRDefault="00000000">
            <w:pPr>
              <w:pStyle w:val="TableParagraph"/>
              <w:ind w:left="99" w:right="203"/>
              <w:rPr>
                <w:rFonts w:ascii="Verdana" w:hAnsi="Verdana"/>
                <w:sz w:val="18"/>
                <w:szCs w:val="18"/>
              </w:rPr>
            </w:pPr>
            <w:r w:rsidRPr="00EC75B7">
              <w:rPr>
                <w:rFonts w:ascii="Verdana" w:hAnsi="Verdana"/>
                <w:i/>
                <w:spacing w:val="-2"/>
                <w:sz w:val="18"/>
                <w:szCs w:val="18"/>
              </w:rPr>
              <w:t xml:space="preserve">Falco </w:t>
            </w:r>
            <w:r w:rsidRPr="00EC75B7">
              <w:rPr>
                <w:rFonts w:ascii="Verdana" w:hAnsi="Verdana"/>
                <w:spacing w:val="-2"/>
                <w:sz w:val="18"/>
                <w:szCs w:val="18"/>
              </w:rPr>
              <w:t xml:space="preserve">tinnunculus - 0.964 </w:t>
            </w:r>
            <w:r w:rsidRPr="00EC75B7">
              <w:rPr>
                <w:rFonts w:ascii="Verdana" w:hAnsi="Verdana"/>
                <w:sz w:val="18"/>
                <w:szCs w:val="18"/>
              </w:rPr>
              <w:t>individuals/year (1 individual approx. every 1 year)</w:t>
            </w:r>
          </w:p>
          <w:p w14:paraId="1188A444" w14:textId="77777777" w:rsidR="008715BE" w:rsidRPr="00EC75B7" w:rsidRDefault="00000000">
            <w:pPr>
              <w:pStyle w:val="TableParagraph"/>
              <w:ind w:left="99" w:right="528"/>
              <w:jc w:val="both"/>
              <w:rPr>
                <w:rFonts w:ascii="Verdana" w:hAnsi="Verdana"/>
                <w:sz w:val="18"/>
                <w:szCs w:val="18"/>
              </w:rPr>
            </w:pPr>
            <w:r w:rsidRPr="00EC75B7">
              <w:rPr>
                <w:rFonts w:ascii="Verdana" w:hAnsi="Verdana"/>
                <w:i/>
                <w:sz w:val="18"/>
                <w:szCs w:val="18"/>
              </w:rPr>
              <w:t xml:space="preserve">Falco subbuteo </w:t>
            </w:r>
            <w:r w:rsidRPr="00EC75B7">
              <w:rPr>
                <w:rFonts w:ascii="Verdana" w:hAnsi="Verdana"/>
                <w:sz w:val="18"/>
                <w:szCs w:val="18"/>
              </w:rPr>
              <w:t xml:space="preserve">- 0.154 </w:t>
            </w:r>
            <w:r w:rsidRPr="00EC75B7">
              <w:rPr>
                <w:rFonts w:ascii="Verdana" w:hAnsi="Verdana"/>
                <w:spacing w:val="-2"/>
                <w:sz w:val="18"/>
                <w:szCs w:val="18"/>
              </w:rPr>
              <w:t xml:space="preserve">individuals/year (1 individual in </w:t>
            </w:r>
            <w:r w:rsidRPr="00EC75B7">
              <w:rPr>
                <w:rFonts w:ascii="Verdana" w:hAnsi="Verdana"/>
                <w:sz w:val="18"/>
                <w:szCs w:val="18"/>
              </w:rPr>
              <w:t>approx. 7 years)</w:t>
            </w:r>
          </w:p>
          <w:p w14:paraId="42127077" w14:textId="77777777" w:rsidR="008715BE" w:rsidRPr="00EC75B7" w:rsidRDefault="00000000">
            <w:pPr>
              <w:pStyle w:val="TableParagraph"/>
              <w:ind w:left="99" w:right="203"/>
              <w:rPr>
                <w:rFonts w:ascii="Verdana" w:hAnsi="Verdana"/>
                <w:sz w:val="18"/>
                <w:szCs w:val="18"/>
              </w:rPr>
            </w:pPr>
            <w:r w:rsidRPr="00EC75B7">
              <w:rPr>
                <w:rFonts w:ascii="Verdana" w:hAnsi="Verdana"/>
                <w:i/>
                <w:sz w:val="18"/>
                <w:szCs w:val="18"/>
              </w:rPr>
              <w:t xml:space="preserve">Galerida cristata </w:t>
            </w:r>
            <w:r w:rsidRPr="00EC75B7">
              <w:rPr>
                <w:rFonts w:ascii="Verdana" w:hAnsi="Verdana"/>
                <w:sz w:val="18"/>
                <w:szCs w:val="18"/>
              </w:rPr>
              <w:t>- 0.006 individuals/year (1 individual in approx. 167 years)</w:t>
            </w:r>
          </w:p>
          <w:p w14:paraId="587152B5" w14:textId="77777777" w:rsidR="008715BE" w:rsidRPr="00EC75B7" w:rsidRDefault="00000000">
            <w:pPr>
              <w:pStyle w:val="TableParagraph"/>
              <w:ind w:left="99" w:right="203"/>
              <w:rPr>
                <w:rFonts w:ascii="Verdana" w:hAnsi="Verdana"/>
                <w:sz w:val="18"/>
                <w:szCs w:val="18"/>
              </w:rPr>
            </w:pPr>
            <w:r w:rsidRPr="00EC75B7">
              <w:rPr>
                <w:rFonts w:ascii="Verdana" w:hAnsi="Verdana"/>
                <w:i/>
                <w:sz w:val="18"/>
                <w:szCs w:val="18"/>
              </w:rPr>
              <w:t xml:space="preserve">Hirundo </w:t>
            </w:r>
            <w:r w:rsidRPr="00EC75B7">
              <w:rPr>
                <w:rFonts w:ascii="Verdana" w:hAnsi="Verdana"/>
                <w:sz w:val="18"/>
                <w:szCs w:val="18"/>
              </w:rPr>
              <w:t xml:space="preserve">rustica - 0.019 individuals/year (1 individual in approx. 53 years) </w:t>
            </w:r>
            <w:r w:rsidRPr="00EC75B7">
              <w:rPr>
                <w:rFonts w:ascii="Verdana" w:hAnsi="Verdana"/>
                <w:i/>
                <w:sz w:val="18"/>
                <w:szCs w:val="18"/>
              </w:rPr>
              <w:t xml:space="preserve">Melanocorypha calandra </w:t>
            </w:r>
            <w:r w:rsidRPr="00EC75B7">
              <w:rPr>
                <w:rFonts w:ascii="Verdana" w:hAnsi="Verdana"/>
                <w:sz w:val="18"/>
                <w:szCs w:val="18"/>
              </w:rPr>
              <w:t>- 0.005 individuals/year (1 individual in approx. 200 years)</w:t>
            </w:r>
          </w:p>
          <w:p w14:paraId="0E7EBC8E" w14:textId="77777777" w:rsidR="008715BE" w:rsidRPr="00EC75B7" w:rsidRDefault="00000000">
            <w:pPr>
              <w:pStyle w:val="TableParagraph"/>
              <w:ind w:left="99" w:right="487"/>
              <w:jc w:val="both"/>
              <w:rPr>
                <w:rFonts w:ascii="Verdana" w:hAnsi="Verdana"/>
                <w:sz w:val="18"/>
                <w:szCs w:val="18"/>
              </w:rPr>
            </w:pPr>
            <w:r w:rsidRPr="00EC75B7">
              <w:rPr>
                <w:rFonts w:ascii="Verdana" w:hAnsi="Verdana"/>
                <w:i/>
                <w:sz w:val="18"/>
                <w:szCs w:val="18"/>
              </w:rPr>
              <w:t xml:space="preserve">Merops apiaster </w:t>
            </w:r>
            <w:r w:rsidRPr="00EC75B7">
              <w:rPr>
                <w:rFonts w:ascii="Verdana" w:hAnsi="Verdana"/>
                <w:sz w:val="18"/>
                <w:szCs w:val="18"/>
              </w:rPr>
              <w:t>- 0.019 individuals/year (1 individual approx. every 53 years)</w:t>
            </w:r>
          </w:p>
          <w:p w14:paraId="2F143C0C" w14:textId="77777777" w:rsidR="008715BE" w:rsidRPr="00EC75B7" w:rsidRDefault="00000000">
            <w:pPr>
              <w:pStyle w:val="TableParagraph"/>
              <w:ind w:left="99" w:right="203"/>
              <w:rPr>
                <w:rFonts w:ascii="Verdana" w:hAnsi="Verdana"/>
                <w:sz w:val="18"/>
                <w:szCs w:val="18"/>
              </w:rPr>
            </w:pPr>
            <w:r w:rsidRPr="00EC75B7">
              <w:rPr>
                <w:rFonts w:ascii="Verdana" w:hAnsi="Verdana"/>
                <w:i/>
                <w:spacing w:val="-2"/>
                <w:sz w:val="18"/>
                <w:szCs w:val="18"/>
              </w:rPr>
              <w:t xml:space="preserve">Miliaria calandra </w:t>
            </w:r>
            <w:r w:rsidRPr="00EC75B7">
              <w:rPr>
                <w:rFonts w:ascii="Verdana" w:hAnsi="Verdana"/>
                <w:spacing w:val="-2"/>
                <w:sz w:val="18"/>
                <w:szCs w:val="18"/>
              </w:rPr>
              <w:t xml:space="preserve">- 0.014 </w:t>
            </w:r>
            <w:r w:rsidRPr="00EC75B7">
              <w:rPr>
                <w:rFonts w:ascii="Verdana" w:hAnsi="Verdana"/>
                <w:sz w:val="18"/>
                <w:szCs w:val="18"/>
              </w:rPr>
              <w:t>individuals/year (1 individual approx. every 71 years)</w:t>
            </w:r>
          </w:p>
          <w:p w14:paraId="3650757F" w14:textId="77777777" w:rsidR="008715BE" w:rsidRPr="00EC75B7" w:rsidRDefault="00000000">
            <w:pPr>
              <w:pStyle w:val="TableParagraph"/>
              <w:ind w:left="99" w:right="461"/>
              <w:rPr>
                <w:rFonts w:ascii="Verdana" w:hAnsi="Verdana"/>
                <w:sz w:val="18"/>
                <w:szCs w:val="18"/>
              </w:rPr>
            </w:pPr>
            <w:r w:rsidRPr="00EC75B7">
              <w:rPr>
                <w:rFonts w:ascii="Verdana" w:hAnsi="Verdana"/>
                <w:i/>
                <w:sz w:val="18"/>
                <w:szCs w:val="18"/>
              </w:rPr>
              <w:t xml:space="preserve">Motacilla alba </w:t>
            </w:r>
            <w:r w:rsidRPr="00EC75B7">
              <w:rPr>
                <w:rFonts w:ascii="Verdana" w:hAnsi="Verdana"/>
                <w:sz w:val="18"/>
                <w:szCs w:val="18"/>
              </w:rPr>
              <w:t xml:space="preserve">- 0.006 individuals/year (1 individual approx. every 167 years) </w:t>
            </w:r>
            <w:r w:rsidRPr="00EC75B7">
              <w:rPr>
                <w:rFonts w:ascii="Verdana" w:hAnsi="Verdana"/>
                <w:i/>
                <w:sz w:val="18"/>
                <w:szCs w:val="18"/>
              </w:rPr>
              <w:t xml:space="preserve">Motacilla flava </w:t>
            </w:r>
            <w:r w:rsidRPr="00EC75B7">
              <w:rPr>
                <w:rFonts w:ascii="Verdana" w:hAnsi="Verdana"/>
                <w:sz w:val="18"/>
                <w:szCs w:val="18"/>
              </w:rPr>
              <w:t>- 0.003 individuals/year (1 individual approx. every 333 years)</w:t>
            </w:r>
          </w:p>
          <w:p w14:paraId="47B85A82" w14:textId="77777777" w:rsidR="008715BE" w:rsidRPr="00EC75B7" w:rsidRDefault="00000000">
            <w:pPr>
              <w:pStyle w:val="TableParagraph"/>
              <w:ind w:left="99" w:right="274"/>
              <w:rPr>
                <w:rFonts w:ascii="Verdana" w:hAnsi="Verdana"/>
                <w:sz w:val="18"/>
                <w:szCs w:val="18"/>
              </w:rPr>
            </w:pPr>
            <w:r w:rsidRPr="00EC75B7">
              <w:rPr>
                <w:rFonts w:ascii="Verdana" w:hAnsi="Verdana"/>
                <w:i/>
                <w:sz w:val="18"/>
                <w:szCs w:val="18"/>
              </w:rPr>
              <w:t xml:space="preserve">Pernis apivorus </w:t>
            </w:r>
            <w:r w:rsidRPr="00EC75B7">
              <w:rPr>
                <w:rFonts w:ascii="Verdana" w:hAnsi="Verdana"/>
                <w:sz w:val="18"/>
                <w:szCs w:val="18"/>
              </w:rPr>
              <w:t xml:space="preserve">- 0.028 individuals/year (1 individual in approx. 36 years) </w:t>
            </w:r>
            <w:r w:rsidRPr="00EC75B7">
              <w:rPr>
                <w:rFonts w:ascii="Verdana" w:hAnsi="Verdana"/>
                <w:i/>
                <w:spacing w:val="-2"/>
                <w:sz w:val="18"/>
                <w:szCs w:val="18"/>
              </w:rPr>
              <w:t xml:space="preserve">Streptopelia turtur </w:t>
            </w:r>
            <w:r w:rsidRPr="00EC75B7">
              <w:rPr>
                <w:rFonts w:ascii="Verdana" w:hAnsi="Verdana"/>
                <w:spacing w:val="-2"/>
                <w:sz w:val="18"/>
                <w:szCs w:val="18"/>
              </w:rPr>
              <w:t>- 0.004</w:t>
            </w:r>
          </w:p>
          <w:p w14:paraId="0675111C" w14:textId="77777777" w:rsidR="008715BE" w:rsidRPr="00EC75B7" w:rsidRDefault="00000000">
            <w:pPr>
              <w:pStyle w:val="TableParagraph"/>
              <w:spacing w:line="162" w:lineRule="exact"/>
              <w:ind w:left="99"/>
              <w:rPr>
                <w:rFonts w:ascii="Verdana" w:hAnsi="Verdana"/>
                <w:sz w:val="18"/>
                <w:szCs w:val="18"/>
              </w:rPr>
            </w:pPr>
            <w:r w:rsidRPr="00EC75B7">
              <w:rPr>
                <w:rFonts w:ascii="Verdana" w:hAnsi="Verdana"/>
                <w:sz w:val="18"/>
                <w:szCs w:val="18"/>
              </w:rPr>
              <w:t xml:space="preserve">individuals/year (1 individual </w:t>
            </w:r>
            <w:r w:rsidRPr="00EC75B7">
              <w:rPr>
                <w:rFonts w:ascii="Verdana" w:hAnsi="Verdana"/>
                <w:spacing w:val="-5"/>
                <w:sz w:val="18"/>
                <w:szCs w:val="18"/>
              </w:rPr>
              <w:t>in</w:t>
            </w:r>
          </w:p>
        </w:tc>
        <w:tc>
          <w:tcPr>
            <w:tcW w:w="1529" w:type="dxa"/>
          </w:tcPr>
          <w:p w14:paraId="541E1784" w14:textId="77777777" w:rsidR="008715BE" w:rsidRPr="00EC75B7" w:rsidRDefault="00000000">
            <w:pPr>
              <w:pStyle w:val="TableParagraph"/>
              <w:spacing w:before="8"/>
              <w:ind w:left="99" w:right="368"/>
              <w:rPr>
                <w:rFonts w:ascii="Verdana" w:hAnsi="Verdana"/>
                <w:sz w:val="18"/>
                <w:szCs w:val="18"/>
              </w:rPr>
            </w:pPr>
            <w:r w:rsidRPr="00EC75B7">
              <w:rPr>
                <w:rFonts w:ascii="Verdana" w:hAnsi="Verdana"/>
                <w:spacing w:val="-2"/>
                <w:sz w:val="18"/>
                <w:szCs w:val="18"/>
              </w:rPr>
              <w:t xml:space="preserve">Scottish National Heritage guide: "Wind </w:t>
            </w:r>
            <w:r w:rsidRPr="00EC75B7">
              <w:rPr>
                <w:rFonts w:ascii="Verdana" w:hAnsi="Verdana"/>
                <w:sz w:val="18"/>
                <w:szCs w:val="18"/>
              </w:rPr>
              <w:t xml:space="preserve">farms and </w:t>
            </w:r>
            <w:r w:rsidRPr="00EC75B7">
              <w:rPr>
                <w:rFonts w:ascii="Verdana" w:hAnsi="Verdana"/>
                <w:spacing w:val="-2"/>
                <w:sz w:val="18"/>
                <w:szCs w:val="18"/>
              </w:rPr>
              <w:t xml:space="preserve">Birds: </w:t>
            </w:r>
            <w:r w:rsidRPr="00EC75B7">
              <w:rPr>
                <w:rFonts w:ascii="Verdana" w:hAnsi="Verdana"/>
                <w:sz w:val="18"/>
                <w:szCs w:val="18"/>
              </w:rPr>
              <w:t xml:space="preserve">Calculating a </w:t>
            </w:r>
            <w:r w:rsidRPr="00EC75B7">
              <w:rPr>
                <w:rFonts w:ascii="Verdana" w:hAnsi="Verdana"/>
                <w:spacing w:val="-2"/>
                <w:sz w:val="18"/>
                <w:szCs w:val="18"/>
              </w:rPr>
              <w:t xml:space="preserve">theoretical </w:t>
            </w:r>
            <w:r w:rsidRPr="00EC75B7">
              <w:rPr>
                <w:rFonts w:ascii="Verdana" w:hAnsi="Verdana"/>
                <w:sz w:val="18"/>
                <w:szCs w:val="18"/>
              </w:rPr>
              <w:t xml:space="preserve">collision risk assuming </w:t>
            </w:r>
            <w:r w:rsidRPr="00EC75B7">
              <w:rPr>
                <w:rFonts w:ascii="Verdana" w:hAnsi="Verdana"/>
                <w:spacing w:val="-5"/>
                <w:sz w:val="18"/>
                <w:szCs w:val="18"/>
              </w:rPr>
              <w:t>no</w:t>
            </w:r>
          </w:p>
          <w:p w14:paraId="21791393" w14:textId="77777777" w:rsidR="008715BE" w:rsidRPr="00EC75B7" w:rsidRDefault="00000000">
            <w:pPr>
              <w:pStyle w:val="TableParagraph"/>
              <w:spacing w:line="186" w:lineRule="exact"/>
              <w:ind w:left="99"/>
              <w:rPr>
                <w:rFonts w:ascii="Verdana" w:hAnsi="Verdana"/>
                <w:sz w:val="18"/>
                <w:szCs w:val="18"/>
              </w:rPr>
            </w:pPr>
            <w:r w:rsidRPr="00EC75B7">
              <w:rPr>
                <w:rFonts w:ascii="Verdana" w:hAnsi="Verdana"/>
                <w:sz w:val="18"/>
                <w:szCs w:val="18"/>
              </w:rPr>
              <w:t xml:space="preserve">avoiding </w:t>
            </w:r>
            <w:r w:rsidRPr="00EC75B7">
              <w:rPr>
                <w:rFonts w:ascii="Verdana" w:hAnsi="Verdana"/>
                <w:spacing w:val="-2"/>
                <w:sz w:val="18"/>
                <w:szCs w:val="18"/>
              </w:rPr>
              <w:t>action"</w:t>
            </w:r>
          </w:p>
        </w:tc>
      </w:tr>
    </w:tbl>
    <w:p w14:paraId="7687A605" w14:textId="77777777" w:rsidR="008715BE" w:rsidRPr="00EC75B7" w:rsidRDefault="008715BE">
      <w:pPr>
        <w:pStyle w:val="TableParagraph"/>
        <w:spacing w:line="186" w:lineRule="exact"/>
        <w:rPr>
          <w:rFonts w:ascii="Verdana" w:hAnsi="Verdana"/>
          <w:sz w:val="18"/>
          <w:szCs w:val="18"/>
        </w:rPr>
        <w:sectPr w:rsidR="008715BE" w:rsidRPr="00EC75B7">
          <w:pgSz w:w="23820" w:h="16840" w:orient="landscape"/>
          <w:pgMar w:top="1120" w:right="850" w:bottom="1020" w:left="566" w:header="766" w:footer="810" w:gutter="0"/>
          <w:cols w:space="708"/>
        </w:sectPr>
      </w:pPr>
    </w:p>
    <w:p w14:paraId="4CF90135"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0"/>
        <w:gridCol w:w="1408"/>
        <w:gridCol w:w="1259"/>
        <w:gridCol w:w="1449"/>
        <w:gridCol w:w="1169"/>
        <w:gridCol w:w="1114"/>
        <w:gridCol w:w="2533"/>
        <w:gridCol w:w="1529"/>
      </w:tblGrid>
      <w:tr w:rsidR="008715BE" w:rsidRPr="00EC75B7" w14:paraId="23F4EF0F" w14:textId="77777777">
        <w:trPr>
          <w:trHeight w:val="842"/>
        </w:trPr>
        <w:tc>
          <w:tcPr>
            <w:tcW w:w="2254" w:type="dxa"/>
            <w:gridSpan w:val="2"/>
            <w:shd w:val="clear" w:color="auto" w:fill="00A1E8"/>
          </w:tcPr>
          <w:p w14:paraId="07B01D9B" w14:textId="77777777" w:rsidR="008715BE" w:rsidRPr="00EC75B7" w:rsidRDefault="008715BE">
            <w:pPr>
              <w:pStyle w:val="TableParagraph"/>
              <w:spacing w:before="136"/>
              <w:rPr>
                <w:rFonts w:ascii="Verdana" w:hAnsi="Verdana"/>
                <w:b/>
                <w:sz w:val="18"/>
                <w:szCs w:val="18"/>
              </w:rPr>
            </w:pPr>
          </w:p>
          <w:p w14:paraId="0A6C8480" w14:textId="77777777" w:rsidR="008715BE" w:rsidRPr="00EC75B7" w:rsidRDefault="00000000">
            <w:pPr>
              <w:pStyle w:val="TableParagraph"/>
              <w:spacing w:before="1"/>
              <w:ind w:left="616"/>
              <w:rPr>
                <w:rFonts w:ascii="Verdana" w:hAnsi="Verdana"/>
                <w:b/>
                <w:sz w:val="18"/>
                <w:szCs w:val="18"/>
              </w:rPr>
            </w:pPr>
            <w:r w:rsidRPr="00EC75B7">
              <w:rPr>
                <w:rFonts w:ascii="Verdana" w:hAnsi="Verdana"/>
                <w:b/>
                <w:color w:val="FFFFFF"/>
                <w:spacing w:val="-2"/>
                <w:sz w:val="18"/>
                <w:szCs w:val="18"/>
              </w:rPr>
              <w:t>Intervention</w:t>
            </w:r>
          </w:p>
        </w:tc>
        <w:tc>
          <w:tcPr>
            <w:tcW w:w="1277" w:type="dxa"/>
            <w:shd w:val="clear" w:color="auto" w:fill="00A1E8"/>
          </w:tcPr>
          <w:p w14:paraId="0023D707" w14:textId="77777777" w:rsidR="008715BE" w:rsidRPr="00EC75B7" w:rsidRDefault="008715BE">
            <w:pPr>
              <w:pStyle w:val="TableParagraph"/>
              <w:spacing w:before="136"/>
              <w:rPr>
                <w:rFonts w:ascii="Verdana" w:hAnsi="Verdana"/>
                <w:b/>
                <w:sz w:val="18"/>
                <w:szCs w:val="18"/>
              </w:rPr>
            </w:pPr>
          </w:p>
          <w:p w14:paraId="79FCE7AE" w14:textId="77777777" w:rsidR="008715BE" w:rsidRPr="00EC75B7" w:rsidRDefault="00000000">
            <w:pPr>
              <w:pStyle w:val="TableParagraph"/>
              <w:spacing w:before="1"/>
              <w:ind w:left="357"/>
              <w:rPr>
                <w:rFonts w:ascii="Verdana" w:hAnsi="Verdana"/>
                <w:b/>
                <w:sz w:val="18"/>
                <w:szCs w:val="18"/>
              </w:rPr>
            </w:pPr>
            <w:r w:rsidRPr="00EC75B7">
              <w:rPr>
                <w:rFonts w:ascii="Verdana" w:hAnsi="Verdana"/>
                <w:b/>
                <w:color w:val="FFFFFF"/>
                <w:spacing w:val="-2"/>
                <w:sz w:val="18"/>
                <w:szCs w:val="18"/>
              </w:rPr>
              <w:t>Effects</w:t>
            </w:r>
          </w:p>
        </w:tc>
        <w:tc>
          <w:tcPr>
            <w:tcW w:w="1275" w:type="dxa"/>
            <w:shd w:val="clear" w:color="auto" w:fill="00A1E8"/>
          </w:tcPr>
          <w:p w14:paraId="7650EAA1" w14:textId="77777777" w:rsidR="008715BE" w:rsidRPr="00EC75B7" w:rsidRDefault="008715BE">
            <w:pPr>
              <w:pStyle w:val="TableParagraph"/>
              <w:spacing w:before="40"/>
              <w:rPr>
                <w:rFonts w:ascii="Verdana" w:hAnsi="Verdana"/>
                <w:b/>
                <w:sz w:val="18"/>
                <w:szCs w:val="18"/>
              </w:rPr>
            </w:pPr>
          </w:p>
          <w:p w14:paraId="19462AC9" w14:textId="77777777" w:rsidR="008715BE" w:rsidRPr="00EC75B7" w:rsidRDefault="00000000">
            <w:pPr>
              <w:pStyle w:val="TableParagraph"/>
              <w:spacing w:before="1"/>
              <w:ind w:left="321" w:right="178" w:hanging="135"/>
              <w:rPr>
                <w:rFonts w:ascii="Verdana" w:hAnsi="Verdana"/>
                <w:b/>
                <w:sz w:val="18"/>
                <w:szCs w:val="18"/>
              </w:rPr>
            </w:pPr>
            <w:r w:rsidRPr="00EC75B7">
              <w:rPr>
                <w:rFonts w:ascii="Verdana" w:hAnsi="Verdana"/>
                <w:b/>
                <w:color w:val="FFFFFF"/>
                <w:spacing w:val="-2"/>
                <w:sz w:val="18"/>
                <w:szCs w:val="18"/>
              </w:rPr>
              <w:t>Direct impacts</w:t>
            </w:r>
          </w:p>
        </w:tc>
        <w:tc>
          <w:tcPr>
            <w:tcW w:w="850" w:type="dxa"/>
            <w:shd w:val="clear" w:color="auto" w:fill="00A1E8"/>
          </w:tcPr>
          <w:p w14:paraId="33E42415" w14:textId="77777777" w:rsidR="008715BE" w:rsidRPr="00EC75B7" w:rsidRDefault="00000000">
            <w:pPr>
              <w:pStyle w:val="TableParagraph"/>
              <w:spacing w:before="41"/>
              <w:ind w:left="114" w:right="106" w:firstLine="2"/>
              <w:jc w:val="center"/>
              <w:rPr>
                <w:rFonts w:ascii="Verdana" w:hAnsi="Verdana"/>
                <w:b/>
                <w:sz w:val="18"/>
                <w:szCs w:val="18"/>
              </w:rPr>
            </w:pPr>
            <w:r w:rsidRPr="00EC75B7">
              <w:rPr>
                <w:rFonts w:ascii="Verdana" w:hAnsi="Verdana"/>
                <w:b/>
                <w:color w:val="FFFFFF"/>
                <w:spacing w:val="-6"/>
                <w:sz w:val="18"/>
                <w:szCs w:val="18"/>
              </w:rPr>
              <w:t>Indirect</w:t>
            </w:r>
            <w:r w:rsidRPr="00EC75B7">
              <w:rPr>
                <w:rFonts w:ascii="Verdana" w:hAnsi="Verdana"/>
                <w:b/>
                <w:color w:val="FFFFFF"/>
                <w:spacing w:val="-4"/>
                <w:sz w:val="18"/>
                <w:szCs w:val="18"/>
              </w:rPr>
              <w:t xml:space="preserve"> impacts</w:t>
            </w:r>
          </w:p>
        </w:tc>
        <w:tc>
          <w:tcPr>
            <w:tcW w:w="1261" w:type="dxa"/>
            <w:shd w:val="clear" w:color="auto" w:fill="00A1E8"/>
          </w:tcPr>
          <w:p w14:paraId="524902E8" w14:textId="77777777" w:rsidR="008715BE" w:rsidRPr="00EC75B7" w:rsidRDefault="008715BE">
            <w:pPr>
              <w:pStyle w:val="TableParagraph"/>
              <w:spacing w:before="40"/>
              <w:rPr>
                <w:rFonts w:ascii="Verdana" w:hAnsi="Verdana"/>
                <w:b/>
                <w:sz w:val="18"/>
                <w:szCs w:val="18"/>
              </w:rPr>
            </w:pPr>
          </w:p>
          <w:p w14:paraId="560170D8" w14:textId="77777777" w:rsidR="008715BE" w:rsidRPr="00EC75B7" w:rsidRDefault="00000000">
            <w:pPr>
              <w:pStyle w:val="TableParagraph"/>
              <w:spacing w:before="1"/>
              <w:ind w:left="164" w:firstLine="16"/>
              <w:rPr>
                <w:rFonts w:ascii="Verdana" w:hAnsi="Verdana"/>
                <w:b/>
                <w:sz w:val="18"/>
                <w:szCs w:val="18"/>
              </w:rPr>
            </w:pPr>
            <w:r w:rsidRPr="00EC75B7">
              <w:rPr>
                <w:rFonts w:ascii="Verdana" w:hAnsi="Verdana"/>
                <w:b/>
                <w:color w:val="FFFFFF"/>
                <w:spacing w:val="-2"/>
                <w:sz w:val="18"/>
                <w:szCs w:val="18"/>
              </w:rPr>
              <w:t>Secondary impacts</w:t>
            </w:r>
          </w:p>
        </w:tc>
        <w:tc>
          <w:tcPr>
            <w:tcW w:w="1352" w:type="dxa"/>
            <w:shd w:val="clear" w:color="auto" w:fill="00A1E8"/>
          </w:tcPr>
          <w:p w14:paraId="10530442" w14:textId="77777777" w:rsidR="008715BE" w:rsidRPr="00EC75B7" w:rsidRDefault="008715BE">
            <w:pPr>
              <w:pStyle w:val="TableParagraph"/>
              <w:spacing w:before="40"/>
              <w:rPr>
                <w:rFonts w:ascii="Verdana" w:hAnsi="Verdana"/>
                <w:b/>
                <w:sz w:val="18"/>
                <w:szCs w:val="18"/>
              </w:rPr>
            </w:pPr>
          </w:p>
          <w:p w14:paraId="5BD72022" w14:textId="77777777" w:rsidR="008715BE" w:rsidRPr="00EC75B7" w:rsidRDefault="00000000">
            <w:pPr>
              <w:pStyle w:val="TableParagraph"/>
              <w:spacing w:before="1"/>
              <w:ind w:left="175" w:right="170" w:firstLine="50"/>
              <w:rPr>
                <w:rFonts w:ascii="Verdana" w:hAnsi="Verdana"/>
                <w:b/>
                <w:sz w:val="18"/>
                <w:szCs w:val="18"/>
              </w:rPr>
            </w:pPr>
            <w:r w:rsidRPr="00EC75B7">
              <w:rPr>
                <w:rFonts w:ascii="Verdana" w:hAnsi="Verdana"/>
                <w:b/>
                <w:color w:val="FFFFFF"/>
                <w:spacing w:val="-2"/>
                <w:sz w:val="18"/>
                <w:szCs w:val="18"/>
              </w:rPr>
              <w:t>Cumulative impacts</w:t>
            </w:r>
          </w:p>
        </w:tc>
        <w:tc>
          <w:tcPr>
            <w:tcW w:w="1261" w:type="dxa"/>
            <w:shd w:val="clear" w:color="auto" w:fill="00A1E8"/>
          </w:tcPr>
          <w:p w14:paraId="66F88F1E" w14:textId="77777777" w:rsidR="008715BE" w:rsidRPr="00EC75B7" w:rsidRDefault="00000000">
            <w:pPr>
              <w:pStyle w:val="TableParagraph"/>
              <w:spacing w:before="41"/>
              <w:ind w:left="163" w:right="162" w:hanging="3"/>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pacing w:val="-2"/>
                <w:sz w:val="18"/>
                <w:szCs w:val="18"/>
              </w:rPr>
              <w:t>-term impacts</w:t>
            </w:r>
          </w:p>
        </w:tc>
        <w:tc>
          <w:tcPr>
            <w:tcW w:w="6665" w:type="dxa"/>
            <w:gridSpan w:val="5"/>
            <w:shd w:val="clear" w:color="auto" w:fill="00A1E8"/>
          </w:tcPr>
          <w:p w14:paraId="689758C6" w14:textId="77777777" w:rsidR="008715BE" w:rsidRPr="00EC75B7" w:rsidRDefault="008715BE">
            <w:pPr>
              <w:pStyle w:val="TableParagraph"/>
              <w:spacing w:before="136"/>
              <w:rPr>
                <w:rFonts w:ascii="Verdana" w:hAnsi="Verdana"/>
                <w:b/>
                <w:sz w:val="18"/>
                <w:szCs w:val="18"/>
              </w:rPr>
            </w:pPr>
          </w:p>
          <w:p w14:paraId="11358CD5" w14:textId="77777777" w:rsidR="008715BE" w:rsidRPr="00EC75B7" w:rsidRDefault="00000000">
            <w:pPr>
              <w:pStyle w:val="TableParagraph"/>
              <w:spacing w:before="1"/>
              <w:ind w:right="2"/>
              <w:jc w:val="center"/>
              <w:rPr>
                <w:rFonts w:ascii="Verdana" w:hAnsi="Verdana"/>
                <w:b/>
                <w:sz w:val="18"/>
                <w:szCs w:val="18"/>
              </w:rPr>
            </w:pPr>
            <w:r w:rsidRPr="00EC75B7">
              <w:rPr>
                <w:rFonts w:ascii="Verdana" w:hAnsi="Verdana"/>
                <w:b/>
                <w:color w:val="FFFFFF"/>
                <w:spacing w:val="-2"/>
                <w:sz w:val="18"/>
                <w:szCs w:val="18"/>
              </w:rPr>
              <w:t>Species</w:t>
            </w:r>
          </w:p>
        </w:tc>
        <w:tc>
          <w:tcPr>
            <w:tcW w:w="1114" w:type="dxa"/>
            <w:shd w:val="clear" w:color="auto" w:fill="00A1E8"/>
          </w:tcPr>
          <w:p w14:paraId="4E68863E" w14:textId="77777777" w:rsidR="008715BE" w:rsidRPr="00EC75B7" w:rsidRDefault="00000000">
            <w:pPr>
              <w:pStyle w:val="TableParagraph"/>
              <w:spacing w:before="42"/>
              <w:ind w:left="340" w:right="127" w:hanging="209"/>
              <w:rPr>
                <w:rFonts w:ascii="Verdana" w:hAnsi="Verdana"/>
                <w:b/>
                <w:sz w:val="18"/>
                <w:szCs w:val="18"/>
              </w:rPr>
            </w:pPr>
            <w:r w:rsidRPr="00EC75B7">
              <w:rPr>
                <w:rFonts w:ascii="Verdana" w:hAnsi="Verdana"/>
                <w:b/>
                <w:color w:val="FFFFFF"/>
                <w:spacing w:val="-2"/>
                <w:sz w:val="18"/>
                <w:szCs w:val="18"/>
              </w:rPr>
              <w:t>Target parameter</w:t>
            </w:r>
          </w:p>
          <w:p w14:paraId="1AF2E193" w14:textId="77777777" w:rsidR="008715BE" w:rsidRPr="00EC75B7" w:rsidRDefault="00000000">
            <w:pPr>
              <w:pStyle w:val="TableParagraph"/>
              <w:spacing w:line="193" w:lineRule="exact"/>
              <w:ind w:left="184"/>
              <w:rPr>
                <w:rFonts w:ascii="Verdana" w:hAnsi="Verdana"/>
                <w:b/>
                <w:sz w:val="18"/>
                <w:szCs w:val="18"/>
              </w:rPr>
            </w:pPr>
            <w:r w:rsidRPr="00EC75B7">
              <w:rPr>
                <w:rFonts w:ascii="Verdana" w:hAnsi="Verdana"/>
                <w:b/>
                <w:color w:val="FFFFFF"/>
                <w:spacing w:val="-2"/>
                <w:sz w:val="18"/>
                <w:szCs w:val="18"/>
              </w:rPr>
              <w:t>affected</w:t>
            </w:r>
          </w:p>
        </w:tc>
        <w:tc>
          <w:tcPr>
            <w:tcW w:w="2533" w:type="dxa"/>
            <w:shd w:val="clear" w:color="auto" w:fill="00A1E8"/>
          </w:tcPr>
          <w:p w14:paraId="72C49133" w14:textId="77777777" w:rsidR="008715BE" w:rsidRPr="00EC75B7" w:rsidRDefault="008715BE">
            <w:pPr>
              <w:pStyle w:val="TableParagraph"/>
              <w:spacing w:before="40"/>
              <w:rPr>
                <w:rFonts w:ascii="Verdana" w:hAnsi="Verdana"/>
                <w:b/>
                <w:sz w:val="18"/>
                <w:szCs w:val="18"/>
              </w:rPr>
            </w:pPr>
          </w:p>
          <w:p w14:paraId="7A0358B2" w14:textId="77777777" w:rsidR="008715BE" w:rsidRPr="00EC75B7" w:rsidRDefault="00000000">
            <w:pPr>
              <w:pStyle w:val="TableParagraph"/>
              <w:spacing w:before="1"/>
              <w:ind w:left="951" w:right="203" w:hanging="240"/>
              <w:rPr>
                <w:rFonts w:ascii="Verdana" w:hAnsi="Verdana"/>
                <w:b/>
                <w:sz w:val="18"/>
                <w:szCs w:val="18"/>
              </w:rPr>
            </w:pPr>
            <w:r w:rsidRPr="00EC75B7">
              <w:rPr>
                <w:rFonts w:ascii="Verdana" w:hAnsi="Verdana"/>
                <w:b/>
                <w:color w:val="FFFFFF"/>
                <w:spacing w:val="-2"/>
                <w:sz w:val="18"/>
                <w:szCs w:val="18"/>
              </w:rPr>
              <w:t>Impact quantification</w:t>
            </w:r>
          </w:p>
        </w:tc>
        <w:tc>
          <w:tcPr>
            <w:tcW w:w="1529" w:type="dxa"/>
            <w:shd w:val="clear" w:color="auto" w:fill="00A1E8"/>
          </w:tcPr>
          <w:p w14:paraId="6D6E9893" w14:textId="77777777" w:rsidR="008715BE" w:rsidRPr="00EC75B7" w:rsidRDefault="008715BE">
            <w:pPr>
              <w:pStyle w:val="TableParagraph"/>
              <w:spacing w:before="40"/>
              <w:rPr>
                <w:rFonts w:ascii="Verdana" w:hAnsi="Verdana"/>
                <w:b/>
                <w:sz w:val="18"/>
                <w:szCs w:val="18"/>
              </w:rPr>
            </w:pPr>
          </w:p>
          <w:p w14:paraId="46E03F9B" w14:textId="77777777" w:rsidR="008715BE" w:rsidRPr="00EC75B7" w:rsidRDefault="00000000">
            <w:pPr>
              <w:pStyle w:val="TableParagraph"/>
              <w:spacing w:before="1"/>
              <w:ind w:left="221" w:firstLine="208"/>
              <w:rPr>
                <w:rFonts w:ascii="Verdana" w:hAnsi="Verdana"/>
                <w:b/>
                <w:sz w:val="18"/>
                <w:szCs w:val="18"/>
              </w:rPr>
            </w:pPr>
            <w:r w:rsidRPr="00EC75B7">
              <w:rPr>
                <w:rFonts w:ascii="Verdana" w:hAnsi="Verdana"/>
                <w:b/>
                <w:color w:val="FFFFFF"/>
                <w:sz w:val="18"/>
                <w:szCs w:val="18"/>
              </w:rPr>
              <w:t xml:space="preserve">Method of </w:t>
            </w:r>
            <w:r w:rsidRPr="00EC75B7">
              <w:rPr>
                <w:rFonts w:ascii="Verdana" w:hAnsi="Verdana"/>
                <w:b/>
                <w:color w:val="FFFFFF"/>
                <w:spacing w:val="-2"/>
                <w:sz w:val="18"/>
                <w:szCs w:val="18"/>
              </w:rPr>
              <w:t>quantification</w:t>
            </w:r>
          </w:p>
        </w:tc>
      </w:tr>
      <w:tr w:rsidR="008715BE" w:rsidRPr="00EC75B7" w14:paraId="6A09533B" w14:textId="77777777">
        <w:trPr>
          <w:trHeight w:val="2915"/>
        </w:trPr>
        <w:tc>
          <w:tcPr>
            <w:tcW w:w="605" w:type="dxa"/>
            <w:vMerge w:val="restart"/>
          </w:tcPr>
          <w:p w14:paraId="0683CC73" w14:textId="77777777" w:rsidR="008715BE" w:rsidRPr="00EC75B7" w:rsidRDefault="008715BE">
            <w:pPr>
              <w:pStyle w:val="TableParagraph"/>
              <w:rPr>
                <w:rFonts w:ascii="Verdana" w:hAnsi="Verdana"/>
                <w:sz w:val="18"/>
                <w:szCs w:val="18"/>
              </w:rPr>
            </w:pPr>
          </w:p>
        </w:tc>
        <w:tc>
          <w:tcPr>
            <w:tcW w:w="1649" w:type="dxa"/>
            <w:vMerge w:val="restart"/>
          </w:tcPr>
          <w:p w14:paraId="0946FB86" w14:textId="77777777" w:rsidR="008715BE" w:rsidRPr="00EC75B7" w:rsidRDefault="008715BE">
            <w:pPr>
              <w:pStyle w:val="TableParagraph"/>
              <w:rPr>
                <w:rFonts w:ascii="Verdana" w:hAnsi="Verdana"/>
                <w:sz w:val="18"/>
                <w:szCs w:val="18"/>
              </w:rPr>
            </w:pPr>
          </w:p>
        </w:tc>
        <w:tc>
          <w:tcPr>
            <w:tcW w:w="1277" w:type="dxa"/>
          </w:tcPr>
          <w:p w14:paraId="032BE973" w14:textId="77777777" w:rsidR="008715BE" w:rsidRPr="00EC75B7" w:rsidRDefault="008715BE">
            <w:pPr>
              <w:pStyle w:val="TableParagraph"/>
              <w:rPr>
                <w:rFonts w:ascii="Verdana" w:hAnsi="Verdana"/>
                <w:sz w:val="18"/>
                <w:szCs w:val="18"/>
              </w:rPr>
            </w:pPr>
          </w:p>
        </w:tc>
        <w:tc>
          <w:tcPr>
            <w:tcW w:w="1275" w:type="dxa"/>
          </w:tcPr>
          <w:p w14:paraId="46A782DF" w14:textId="77777777" w:rsidR="008715BE" w:rsidRPr="00EC75B7" w:rsidRDefault="008715BE">
            <w:pPr>
              <w:pStyle w:val="TableParagraph"/>
              <w:rPr>
                <w:rFonts w:ascii="Verdana" w:hAnsi="Verdana"/>
                <w:sz w:val="18"/>
                <w:szCs w:val="18"/>
              </w:rPr>
            </w:pPr>
          </w:p>
        </w:tc>
        <w:tc>
          <w:tcPr>
            <w:tcW w:w="850" w:type="dxa"/>
          </w:tcPr>
          <w:p w14:paraId="2354714B" w14:textId="77777777" w:rsidR="008715BE" w:rsidRPr="00EC75B7" w:rsidRDefault="008715BE">
            <w:pPr>
              <w:pStyle w:val="TableParagraph"/>
              <w:rPr>
                <w:rFonts w:ascii="Verdana" w:hAnsi="Verdana"/>
                <w:sz w:val="18"/>
                <w:szCs w:val="18"/>
              </w:rPr>
            </w:pPr>
          </w:p>
        </w:tc>
        <w:tc>
          <w:tcPr>
            <w:tcW w:w="1261" w:type="dxa"/>
          </w:tcPr>
          <w:p w14:paraId="798B1146" w14:textId="77777777" w:rsidR="008715BE" w:rsidRPr="00EC75B7" w:rsidRDefault="008715BE">
            <w:pPr>
              <w:pStyle w:val="TableParagraph"/>
              <w:rPr>
                <w:rFonts w:ascii="Verdana" w:hAnsi="Verdana"/>
                <w:sz w:val="18"/>
                <w:szCs w:val="18"/>
              </w:rPr>
            </w:pPr>
          </w:p>
        </w:tc>
        <w:tc>
          <w:tcPr>
            <w:tcW w:w="1352" w:type="dxa"/>
          </w:tcPr>
          <w:p w14:paraId="6722B21F" w14:textId="77777777" w:rsidR="008715BE" w:rsidRPr="00EC75B7" w:rsidRDefault="00000000">
            <w:pPr>
              <w:pStyle w:val="TableParagraph"/>
              <w:spacing w:before="8"/>
              <w:ind w:left="106" w:right="119"/>
              <w:rPr>
                <w:rFonts w:ascii="Verdana" w:hAnsi="Verdana"/>
                <w:sz w:val="18"/>
                <w:szCs w:val="18"/>
              </w:rPr>
            </w:pPr>
            <w:r w:rsidRPr="00EC75B7">
              <w:rPr>
                <w:rFonts w:ascii="Verdana" w:hAnsi="Verdana"/>
                <w:sz w:val="18"/>
                <w:szCs w:val="18"/>
              </w:rPr>
              <w:t xml:space="preserve">and Cerchezu commune, </w:t>
            </w:r>
            <w:r w:rsidRPr="00EC75B7">
              <w:rPr>
                <w:rFonts w:ascii="Verdana" w:hAnsi="Verdana"/>
                <w:spacing w:val="-2"/>
                <w:sz w:val="18"/>
                <w:szCs w:val="18"/>
              </w:rPr>
              <w:t>Constanța</w:t>
            </w:r>
            <w:r w:rsidRPr="00EC75B7">
              <w:rPr>
                <w:rFonts w:ascii="Verdana" w:hAnsi="Verdana"/>
                <w:sz w:val="18"/>
                <w:szCs w:val="18"/>
              </w:rPr>
              <w:t xml:space="preserve"> county (proposed) Comana - </w:t>
            </w:r>
            <w:r w:rsidRPr="00EC75B7">
              <w:rPr>
                <w:rFonts w:ascii="Verdana" w:hAnsi="Verdana"/>
                <w:spacing w:val="-2"/>
                <w:sz w:val="18"/>
                <w:szCs w:val="18"/>
              </w:rPr>
              <w:t>Pecineaga Wind</w:t>
            </w:r>
            <w:r w:rsidRPr="00EC75B7">
              <w:rPr>
                <w:rFonts w:ascii="Verdana" w:hAnsi="Verdana"/>
                <w:sz w:val="18"/>
                <w:szCs w:val="18"/>
              </w:rPr>
              <w:t xml:space="preserve"> Farm</w:t>
            </w:r>
            <w:r w:rsidRPr="00EC75B7">
              <w:rPr>
                <w:rFonts w:ascii="Verdana" w:hAnsi="Verdana"/>
                <w:spacing w:val="-2"/>
                <w:sz w:val="18"/>
                <w:szCs w:val="18"/>
              </w:rPr>
              <w:t xml:space="preserve">, Tătaru </w:t>
            </w:r>
            <w:r w:rsidRPr="00EC75B7">
              <w:rPr>
                <w:rFonts w:ascii="Verdana" w:hAnsi="Verdana"/>
                <w:sz w:val="18"/>
                <w:szCs w:val="18"/>
              </w:rPr>
              <w:t>built-up area</w:t>
            </w:r>
          </w:p>
          <w:p w14:paraId="39184DAB" w14:textId="77777777" w:rsidR="008715BE" w:rsidRPr="00EC75B7" w:rsidRDefault="00000000">
            <w:pPr>
              <w:pStyle w:val="TableParagraph"/>
              <w:ind w:left="106" w:right="251"/>
              <w:rPr>
                <w:rFonts w:ascii="Verdana" w:hAnsi="Verdana"/>
                <w:sz w:val="18"/>
                <w:szCs w:val="18"/>
              </w:rPr>
            </w:pPr>
            <w:r w:rsidRPr="00EC75B7">
              <w:rPr>
                <w:rFonts w:ascii="Verdana" w:hAnsi="Verdana"/>
                <w:sz w:val="18"/>
                <w:szCs w:val="18"/>
              </w:rPr>
              <w:t xml:space="preserve">and outside the built-up area of </w:t>
            </w:r>
            <w:r w:rsidRPr="00EC75B7">
              <w:rPr>
                <w:rFonts w:ascii="Verdana" w:hAnsi="Verdana"/>
                <w:spacing w:val="-2"/>
                <w:sz w:val="18"/>
                <w:szCs w:val="18"/>
              </w:rPr>
              <w:t>Comana (proposed Karnobat</w:t>
            </w:r>
            <w:r w:rsidRPr="00EC75B7">
              <w:rPr>
                <w:rFonts w:ascii="Verdana" w:hAnsi="Verdana"/>
                <w:sz w:val="18"/>
                <w:szCs w:val="18"/>
              </w:rPr>
              <w:t xml:space="preserve"> Wind Farm</w:t>
            </w:r>
          </w:p>
          <w:p w14:paraId="74685D01" w14:textId="77777777" w:rsidR="008715BE" w:rsidRPr="00EC75B7" w:rsidRDefault="00000000">
            <w:pPr>
              <w:pStyle w:val="TableParagraph"/>
              <w:spacing w:line="161" w:lineRule="exact"/>
              <w:ind w:left="106"/>
              <w:rPr>
                <w:rFonts w:ascii="Verdana" w:hAnsi="Verdana"/>
                <w:sz w:val="18"/>
                <w:szCs w:val="18"/>
              </w:rPr>
            </w:pPr>
            <w:r w:rsidRPr="00EC75B7">
              <w:rPr>
                <w:rFonts w:ascii="Verdana" w:hAnsi="Verdana"/>
                <w:spacing w:val="-2"/>
                <w:sz w:val="18"/>
                <w:szCs w:val="18"/>
              </w:rPr>
              <w:t>(existing</w:t>
            </w:r>
          </w:p>
        </w:tc>
        <w:tc>
          <w:tcPr>
            <w:tcW w:w="1261" w:type="dxa"/>
          </w:tcPr>
          <w:p w14:paraId="62C4DEEE" w14:textId="77777777" w:rsidR="008715BE" w:rsidRPr="00EC75B7" w:rsidRDefault="008715BE">
            <w:pPr>
              <w:pStyle w:val="TableParagraph"/>
              <w:rPr>
                <w:rFonts w:ascii="Verdana" w:hAnsi="Verdana"/>
                <w:sz w:val="18"/>
                <w:szCs w:val="18"/>
              </w:rPr>
            </w:pPr>
          </w:p>
        </w:tc>
        <w:tc>
          <w:tcPr>
            <w:tcW w:w="1380" w:type="dxa"/>
          </w:tcPr>
          <w:p w14:paraId="35A93C22" w14:textId="77777777" w:rsidR="008715BE" w:rsidRPr="00EC75B7" w:rsidRDefault="008715BE">
            <w:pPr>
              <w:pStyle w:val="TableParagraph"/>
              <w:rPr>
                <w:rFonts w:ascii="Verdana" w:hAnsi="Verdana"/>
                <w:sz w:val="18"/>
                <w:szCs w:val="18"/>
              </w:rPr>
            </w:pPr>
          </w:p>
        </w:tc>
        <w:tc>
          <w:tcPr>
            <w:tcW w:w="1408" w:type="dxa"/>
          </w:tcPr>
          <w:p w14:paraId="3874BEDE" w14:textId="77777777" w:rsidR="008715BE" w:rsidRPr="00EC75B7" w:rsidRDefault="00000000">
            <w:pPr>
              <w:pStyle w:val="TableParagraph"/>
              <w:spacing w:before="8"/>
              <w:ind w:left="97" w:right="133"/>
              <w:rPr>
                <w:rFonts w:ascii="Verdana" w:hAnsi="Verdana"/>
                <w:i/>
                <w:sz w:val="18"/>
                <w:szCs w:val="18"/>
              </w:rPr>
            </w:pPr>
            <w:r w:rsidRPr="00EC75B7">
              <w:rPr>
                <w:rFonts w:ascii="Verdana" w:hAnsi="Verdana"/>
                <w:i/>
                <w:spacing w:val="-2"/>
                <w:sz w:val="18"/>
                <w:szCs w:val="18"/>
              </w:rPr>
              <w:t xml:space="preserve">roseus (alternative name Pastor roseus), </w:t>
            </w:r>
            <w:r w:rsidRPr="00EC75B7">
              <w:rPr>
                <w:rFonts w:ascii="Verdana" w:hAnsi="Verdana"/>
                <w:i/>
                <w:sz w:val="18"/>
                <w:szCs w:val="18"/>
              </w:rPr>
              <w:t>Turdus iliacus, Upupa epops</w:t>
            </w:r>
          </w:p>
        </w:tc>
        <w:tc>
          <w:tcPr>
            <w:tcW w:w="1259" w:type="dxa"/>
          </w:tcPr>
          <w:p w14:paraId="71CB0E4E" w14:textId="77777777" w:rsidR="008715BE" w:rsidRPr="00EC75B7" w:rsidRDefault="00000000">
            <w:pPr>
              <w:pStyle w:val="TableParagraph"/>
              <w:spacing w:before="8"/>
              <w:ind w:left="96" w:right="224"/>
              <w:rPr>
                <w:rFonts w:ascii="Verdana" w:hAnsi="Verdana"/>
                <w:i/>
                <w:sz w:val="18"/>
                <w:szCs w:val="18"/>
              </w:rPr>
            </w:pPr>
            <w:r w:rsidRPr="00EC75B7">
              <w:rPr>
                <w:rFonts w:ascii="Verdana" w:hAnsi="Verdana"/>
                <w:i/>
                <w:spacing w:val="-2"/>
                <w:sz w:val="18"/>
                <w:szCs w:val="18"/>
              </w:rPr>
              <w:t>merula, Turdus philomelos, Turdus pilaris, Turdus viscivorus</w:t>
            </w:r>
          </w:p>
        </w:tc>
        <w:tc>
          <w:tcPr>
            <w:tcW w:w="1449" w:type="dxa"/>
          </w:tcPr>
          <w:p w14:paraId="15F0C75E" w14:textId="77777777" w:rsidR="008715BE" w:rsidRPr="00EC75B7" w:rsidRDefault="008715BE">
            <w:pPr>
              <w:pStyle w:val="TableParagraph"/>
              <w:rPr>
                <w:rFonts w:ascii="Verdana" w:hAnsi="Verdana"/>
                <w:sz w:val="18"/>
                <w:szCs w:val="18"/>
              </w:rPr>
            </w:pPr>
          </w:p>
        </w:tc>
        <w:tc>
          <w:tcPr>
            <w:tcW w:w="1169" w:type="dxa"/>
          </w:tcPr>
          <w:p w14:paraId="511D0C88" w14:textId="77777777" w:rsidR="008715BE" w:rsidRPr="00EC75B7" w:rsidRDefault="008715BE">
            <w:pPr>
              <w:pStyle w:val="TableParagraph"/>
              <w:rPr>
                <w:rFonts w:ascii="Verdana" w:hAnsi="Verdana"/>
                <w:sz w:val="18"/>
                <w:szCs w:val="18"/>
              </w:rPr>
            </w:pPr>
          </w:p>
        </w:tc>
        <w:tc>
          <w:tcPr>
            <w:tcW w:w="1114" w:type="dxa"/>
          </w:tcPr>
          <w:p w14:paraId="62769DC3" w14:textId="77777777" w:rsidR="008715BE" w:rsidRPr="00EC75B7" w:rsidRDefault="008715BE">
            <w:pPr>
              <w:pStyle w:val="TableParagraph"/>
              <w:rPr>
                <w:rFonts w:ascii="Verdana" w:hAnsi="Verdana"/>
                <w:sz w:val="18"/>
                <w:szCs w:val="18"/>
              </w:rPr>
            </w:pPr>
          </w:p>
        </w:tc>
        <w:tc>
          <w:tcPr>
            <w:tcW w:w="2533" w:type="dxa"/>
          </w:tcPr>
          <w:p w14:paraId="7B8F324E" w14:textId="77777777" w:rsidR="008715BE" w:rsidRPr="00EC75B7" w:rsidRDefault="00000000">
            <w:pPr>
              <w:pStyle w:val="TableParagraph"/>
              <w:spacing w:before="8" w:line="195" w:lineRule="exact"/>
              <w:ind w:left="99"/>
              <w:rPr>
                <w:rFonts w:ascii="Verdana" w:hAnsi="Verdana"/>
                <w:sz w:val="18"/>
                <w:szCs w:val="18"/>
              </w:rPr>
            </w:pPr>
            <w:r w:rsidRPr="00EC75B7">
              <w:rPr>
                <w:rFonts w:ascii="Verdana" w:hAnsi="Verdana"/>
                <w:sz w:val="18"/>
                <w:szCs w:val="18"/>
              </w:rPr>
              <w:t xml:space="preserve">approx. 250 </w:t>
            </w:r>
            <w:r w:rsidRPr="00EC75B7">
              <w:rPr>
                <w:rFonts w:ascii="Verdana" w:hAnsi="Verdana"/>
                <w:spacing w:val="-4"/>
                <w:sz w:val="18"/>
                <w:szCs w:val="18"/>
              </w:rPr>
              <w:t>years)</w:t>
            </w:r>
          </w:p>
          <w:p w14:paraId="3F89CCD4" w14:textId="77777777" w:rsidR="008715BE" w:rsidRPr="00EC75B7" w:rsidRDefault="00000000">
            <w:pPr>
              <w:pStyle w:val="TableParagraph"/>
              <w:ind w:left="99" w:right="203"/>
              <w:rPr>
                <w:rFonts w:ascii="Verdana" w:hAnsi="Verdana"/>
                <w:sz w:val="18"/>
                <w:szCs w:val="18"/>
              </w:rPr>
            </w:pPr>
            <w:r w:rsidRPr="00EC75B7">
              <w:rPr>
                <w:rFonts w:ascii="Verdana" w:hAnsi="Verdana"/>
                <w:i/>
                <w:sz w:val="18"/>
                <w:szCs w:val="18"/>
              </w:rPr>
              <w:t xml:space="preserve">Upupa epops </w:t>
            </w:r>
            <w:r w:rsidRPr="00EC75B7">
              <w:rPr>
                <w:rFonts w:ascii="Verdana" w:hAnsi="Verdana"/>
                <w:sz w:val="18"/>
                <w:szCs w:val="18"/>
              </w:rPr>
              <w:t>- 0.005 individuals/year (1 individual in approx. 20 years)</w:t>
            </w:r>
          </w:p>
        </w:tc>
        <w:tc>
          <w:tcPr>
            <w:tcW w:w="1529" w:type="dxa"/>
          </w:tcPr>
          <w:p w14:paraId="2483A979" w14:textId="77777777" w:rsidR="008715BE" w:rsidRPr="00EC75B7" w:rsidRDefault="008715BE">
            <w:pPr>
              <w:pStyle w:val="TableParagraph"/>
              <w:rPr>
                <w:rFonts w:ascii="Verdana" w:hAnsi="Verdana"/>
                <w:sz w:val="18"/>
                <w:szCs w:val="18"/>
              </w:rPr>
            </w:pPr>
          </w:p>
        </w:tc>
      </w:tr>
      <w:tr w:rsidR="008715BE" w:rsidRPr="00EC75B7" w14:paraId="40A56A22" w14:textId="77777777">
        <w:trPr>
          <w:trHeight w:val="2138"/>
        </w:trPr>
        <w:tc>
          <w:tcPr>
            <w:tcW w:w="605" w:type="dxa"/>
            <w:vMerge/>
            <w:tcBorders>
              <w:top w:val="nil"/>
            </w:tcBorders>
          </w:tcPr>
          <w:p w14:paraId="02CAFB31" w14:textId="77777777" w:rsidR="008715BE" w:rsidRPr="00EC75B7" w:rsidRDefault="008715BE">
            <w:pPr>
              <w:rPr>
                <w:rFonts w:ascii="Verdana" w:hAnsi="Verdana"/>
                <w:sz w:val="18"/>
                <w:szCs w:val="18"/>
              </w:rPr>
            </w:pPr>
          </w:p>
        </w:tc>
        <w:tc>
          <w:tcPr>
            <w:tcW w:w="1649" w:type="dxa"/>
            <w:vMerge/>
            <w:tcBorders>
              <w:top w:val="nil"/>
            </w:tcBorders>
          </w:tcPr>
          <w:p w14:paraId="40134AD6" w14:textId="77777777" w:rsidR="008715BE" w:rsidRPr="00EC75B7" w:rsidRDefault="008715BE">
            <w:pPr>
              <w:rPr>
                <w:rFonts w:ascii="Verdana" w:hAnsi="Verdana"/>
                <w:sz w:val="18"/>
                <w:szCs w:val="18"/>
              </w:rPr>
            </w:pPr>
          </w:p>
        </w:tc>
        <w:tc>
          <w:tcPr>
            <w:tcW w:w="1277" w:type="dxa"/>
          </w:tcPr>
          <w:p w14:paraId="3F2ACAE3" w14:textId="77777777" w:rsidR="008715BE" w:rsidRPr="00EC75B7" w:rsidRDefault="00000000">
            <w:pPr>
              <w:pStyle w:val="TableParagraph"/>
              <w:spacing w:before="8"/>
              <w:ind w:left="107" w:right="149"/>
              <w:rPr>
                <w:rFonts w:ascii="Verdana" w:hAnsi="Verdana"/>
                <w:sz w:val="18"/>
                <w:szCs w:val="18"/>
              </w:rPr>
            </w:pPr>
            <w:r w:rsidRPr="00EC75B7">
              <w:rPr>
                <w:rFonts w:ascii="Verdana" w:hAnsi="Verdana"/>
                <w:sz w:val="18"/>
                <w:szCs w:val="18"/>
              </w:rPr>
              <w:t xml:space="preserve">Sudden pressure </w:t>
            </w:r>
            <w:r w:rsidRPr="00EC75B7">
              <w:rPr>
                <w:rFonts w:ascii="Verdana" w:hAnsi="Verdana"/>
                <w:spacing w:val="-2"/>
                <w:sz w:val="18"/>
                <w:szCs w:val="18"/>
              </w:rPr>
              <w:t xml:space="preserve">change </w:t>
            </w:r>
            <w:r w:rsidRPr="00EC75B7">
              <w:rPr>
                <w:rFonts w:ascii="Verdana" w:hAnsi="Verdana"/>
                <w:sz w:val="18"/>
                <w:szCs w:val="18"/>
              </w:rPr>
              <w:t xml:space="preserve">within the range of </w:t>
            </w:r>
            <w:r w:rsidRPr="00EC75B7">
              <w:rPr>
                <w:rFonts w:ascii="Verdana" w:hAnsi="Verdana"/>
                <w:spacing w:val="-2"/>
                <w:sz w:val="18"/>
                <w:szCs w:val="18"/>
              </w:rPr>
              <w:t xml:space="preserve">the </w:t>
            </w:r>
            <w:r w:rsidRPr="00EC75B7">
              <w:rPr>
                <w:rFonts w:ascii="Verdana" w:hAnsi="Verdana"/>
                <w:sz w:val="18"/>
                <w:szCs w:val="18"/>
              </w:rPr>
              <w:t>turbine</w:t>
            </w:r>
            <w:r w:rsidRPr="00EC75B7">
              <w:rPr>
                <w:rFonts w:ascii="Verdana" w:hAnsi="Verdana"/>
                <w:spacing w:val="-2"/>
                <w:sz w:val="18"/>
                <w:szCs w:val="18"/>
              </w:rPr>
              <w:t xml:space="preserve"> blades</w:t>
            </w:r>
            <w:r w:rsidRPr="00EC75B7">
              <w:rPr>
                <w:rFonts w:ascii="Verdana" w:hAnsi="Verdana"/>
                <w:sz w:val="18"/>
                <w:szCs w:val="18"/>
              </w:rPr>
              <w:t>, but also below it (approx. 5 m) -</w:t>
            </w:r>
          </w:p>
          <w:p w14:paraId="67B63A75" w14:textId="77777777" w:rsidR="008715BE" w:rsidRPr="00EC75B7" w:rsidRDefault="00000000">
            <w:pPr>
              <w:pStyle w:val="TableParagraph"/>
              <w:spacing w:line="157" w:lineRule="exact"/>
              <w:ind w:left="107"/>
              <w:rPr>
                <w:rFonts w:ascii="Verdana" w:hAnsi="Verdana"/>
                <w:sz w:val="18"/>
                <w:szCs w:val="18"/>
              </w:rPr>
            </w:pPr>
            <w:r w:rsidRPr="00EC75B7">
              <w:rPr>
                <w:rFonts w:ascii="Verdana" w:hAnsi="Verdana"/>
                <w:spacing w:val="-2"/>
                <w:sz w:val="18"/>
                <w:szCs w:val="18"/>
              </w:rPr>
              <w:t>barotrauma</w:t>
            </w:r>
          </w:p>
        </w:tc>
        <w:tc>
          <w:tcPr>
            <w:tcW w:w="1275" w:type="dxa"/>
          </w:tcPr>
          <w:p w14:paraId="54ED8C18"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REP</w:t>
            </w:r>
          </w:p>
        </w:tc>
        <w:tc>
          <w:tcPr>
            <w:tcW w:w="850" w:type="dxa"/>
          </w:tcPr>
          <w:p w14:paraId="38245CA5"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6602FD4E"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1BBC9199"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61" w:type="dxa"/>
          </w:tcPr>
          <w:p w14:paraId="2C2A6284"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5" w:type="dxa"/>
            <w:gridSpan w:val="5"/>
          </w:tcPr>
          <w:p w14:paraId="711223D0"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4" w:type="dxa"/>
          </w:tcPr>
          <w:p w14:paraId="5FF4D5CD"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3" w:type="dxa"/>
          </w:tcPr>
          <w:p w14:paraId="4EBB0166"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29" w:type="dxa"/>
          </w:tcPr>
          <w:p w14:paraId="77317D6B"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0DA09C05" w14:textId="77777777">
        <w:trPr>
          <w:trHeight w:val="2140"/>
        </w:trPr>
        <w:tc>
          <w:tcPr>
            <w:tcW w:w="605" w:type="dxa"/>
            <w:vMerge/>
            <w:tcBorders>
              <w:top w:val="nil"/>
            </w:tcBorders>
          </w:tcPr>
          <w:p w14:paraId="24E5625C" w14:textId="77777777" w:rsidR="008715BE" w:rsidRPr="00EC75B7" w:rsidRDefault="008715BE">
            <w:pPr>
              <w:rPr>
                <w:rFonts w:ascii="Verdana" w:hAnsi="Verdana"/>
                <w:sz w:val="18"/>
                <w:szCs w:val="18"/>
              </w:rPr>
            </w:pPr>
          </w:p>
        </w:tc>
        <w:tc>
          <w:tcPr>
            <w:tcW w:w="1649" w:type="dxa"/>
            <w:vMerge w:val="restart"/>
          </w:tcPr>
          <w:p w14:paraId="0EFB2C41" w14:textId="77777777" w:rsidR="008715BE" w:rsidRPr="00EC75B7" w:rsidRDefault="00000000">
            <w:pPr>
              <w:pStyle w:val="TableParagraph"/>
              <w:spacing w:before="10"/>
              <w:ind w:left="105" w:right="241"/>
              <w:rPr>
                <w:rFonts w:ascii="Verdana" w:hAnsi="Verdana"/>
                <w:sz w:val="18"/>
                <w:szCs w:val="18"/>
              </w:rPr>
            </w:pPr>
            <w:r w:rsidRPr="00EC75B7">
              <w:rPr>
                <w:rFonts w:ascii="Verdana" w:hAnsi="Verdana"/>
                <w:sz w:val="18"/>
                <w:szCs w:val="18"/>
              </w:rPr>
              <w:t xml:space="preserve">Maintenance and </w:t>
            </w:r>
            <w:r w:rsidRPr="00EC75B7">
              <w:rPr>
                <w:rFonts w:ascii="Verdana" w:hAnsi="Verdana"/>
                <w:spacing w:val="-2"/>
                <w:sz w:val="18"/>
                <w:szCs w:val="18"/>
              </w:rPr>
              <w:t xml:space="preserve">repair </w:t>
            </w:r>
            <w:r w:rsidRPr="00EC75B7">
              <w:rPr>
                <w:rFonts w:ascii="Verdana" w:hAnsi="Verdana"/>
                <w:sz w:val="18"/>
                <w:szCs w:val="18"/>
              </w:rPr>
              <w:t>work</w:t>
            </w:r>
          </w:p>
        </w:tc>
        <w:tc>
          <w:tcPr>
            <w:tcW w:w="1277" w:type="dxa"/>
          </w:tcPr>
          <w:p w14:paraId="54DD825E" w14:textId="77777777" w:rsidR="008715BE" w:rsidRPr="00EC75B7" w:rsidRDefault="00000000">
            <w:pPr>
              <w:pStyle w:val="TableParagraph"/>
              <w:spacing w:line="194" w:lineRule="exact"/>
              <w:ind w:left="107" w:right="106"/>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of wildlife with </w:t>
            </w:r>
            <w:r w:rsidRPr="00EC75B7">
              <w:rPr>
                <w:rFonts w:ascii="Verdana" w:hAnsi="Verdana"/>
                <w:spacing w:val="-2"/>
                <w:sz w:val="18"/>
                <w:szCs w:val="18"/>
              </w:rPr>
              <w:t xml:space="preserve">vehicle traffic </w:t>
            </w:r>
            <w:r w:rsidRPr="00EC75B7">
              <w:rPr>
                <w:rFonts w:ascii="Verdana" w:hAnsi="Verdana"/>
                <w:sz w:val="18"/>
                <w:szCs w:val="18"/>
              </w:rPr>
              <w:t xml:space="preserve">on </w:t>
            </w:r>
            <w:r w:rsidRPr="00EC75B7">
              <w:rPr>
                <w:rFonts w:ascii="Verdana" w:hAnsi="Verdana"/>
                <w:spacing w:val="-2"/>
                <w:sz w:val="18"/>
                <w:szCs w:val="18"/>
              </w:rPr>
              <w:t xml:space="preserve">access roads/machinery </w:t>
            </w:r>
            <w:r w:rsidRPr="00EC75B7">
              <w:rPr>
                <w:rFonts w:ascii="Verdana" w:hAnsi="Verdana"/>
                <w:sz w:val="18"/>
                <w:szCs w:val="18"/>
              </w:rPr>
              <w:t xml:space="preserve">in the </w:t>
            </w:r>
            <w:r w:rsidRPr="00EC75B7">
              <w:rPr>
                <w:rFonts w:ascii="Verdana" w:hAnsi="Verdana"/>
                <w:spacing w:val="-2"/>
                <w:sz w:val="18"/>
                <w:szCs w:val="18"/>
              </w:rPr>
              <w:t xml:space="preserve">repair </w:t>
            </w:r>
            <w:r w:rsidRPr="00EC75B7">
              <w:rPr>
                <w:rFonts w:ascii="Verdana" w:hAnsi="Verdana"/>
                <w:sz w:val="18"/>
                <w:szCs w:val="18"/>
              </w:rPr>
              <w:t>front area</w:t>
            </w:r>
          </w:p>
        </w:tc>
        <w:tc>
          <w:tcPr>
            <w:tcW w:w="1275" w:type="dxa"/>
          </w:tcPr>
          <w:p w14:paraId="50DF384C"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5"/>
                <w:sz w:val="18"/>
                <w:szCs w:val="18"/>
              </w:rPr>
              <w:t>REP</w:t>
            </w:r>
          </w:p>
        </w:tc>
        <w:tc>
          <w:tcPr>
            <w:tcW w:w="850" w:type="dxa"/>
          </w:tcPr>
          <w:p w14:paraId="1E7FA7E2" w14:textId="77777777" w:rsidR="008715BE" w:rsidRPr="00EC75B7" w:rsidRDefault="00000000">
            <w:pPr>
              <w:pStyle w:val="TableParagraph"/>
              <w:spacing w:before="10"/>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22584EA3" w14:textId="77777777" w:rsidR="008715BE" w:rsidRPr="00EC75B7" w:rsidRDefault="00000000">
            <w:pPr>
              <w:pStyle w:val="TableParagraph"/>
              <w:spacing w:before="10"/>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30CD8C45" w14:textId="77777777" w:rsidR="008715BE" w:rsidRPr="00EC75B7" w:rsidRDefault="00000000">
            <w:pPr>
              <w:pStyle w:val="TableParagraph"/>
              <w:spacing w:before="10"/>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61" w:type="dxa"/>
          </w:tcPr>
          <w:p w14:paraId="588B10BA" w14:textId="77777777" w:rsidR="008715BE" w:rsidRPr="00EC75B7" w:rsidRDefault="00000000">
            <w:pPr>
              <w:pStyle w:val="TableParagraph"/>
              <w:spacing w:before="10"/>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5" w:type="dxa"/>
            <w:gridSpan w:val="5"/>
          </w:tcPr>
          <w:p w14:paraId="6A0D8B5B" w14:textId="77777777" w:rsidR="008715BE" w:rsidRPr="00EC75B7" w:rsidRDefault="00000000">
            <w:pPr>
              <w:pStyle w:val="TableParagraph"/>
              <w:spacing w:before="10"/>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4" w:type="dxa"/>
          </w:tcPr>
          <w:p w14:paraId="24A80F75" w14:textId="77777777" w:rsidR="008715BE" w:rsidRPr="00EC75B7" w:rsidRDefault="00000000">
            <w:pPr>
              <w:pStyle w:val="TableParagraph"/>
              <w:spacing w:before="10"/>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3" w:type="dxa"/>
          </w:tcPr>
          <w:p w14:paraId="5E65B679" w14:textId="77777777" w:rsidR="008715BE" w:rsidRPr="00EC75B7" w:rsidRDefault="00000000">
            <w:pPr>
              <w:pStyle w:val="TableParagraph"/>
              <w:spacing w:before="10"/>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29" w:type="dxa"/>
          </w:tcPr>
          <w:p w14:paraId="7F1617EB" w14:textId="77777777" w:rsidR="008715BE" w:rsidRPr="00EC75B7" w:rsidRDefault="00000000">
            <w:pPr>
              <w:pStyle w:val="TableParagraph"/>
              <w:spacing w:before="10"/>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62E5D30A" w14:textId="77777777">
        <w:trPr>
          <w:trHeight w:val="1555"/>
        </w:trPr>
        <w:tc>
          <w:tcPr>
            <w:tcW w:w="605" w:type="dxa"/>
            <w:vMerge/>
            <w:tcBorders>
              <w:top w:val="nil"/>
            </w:tcBorders>
          </w:tcPr>
          <w:p w14:paraId="658E12DA" w14:textId="77777777" w:rsidR="008715BE" w:rsidRPr="00EC75B7" w:rsidRDefault="008715BE">
            <w:pPr>
              <w:rPr>
                <w:rFonts w:ascii="Verdana" w:hAnsi="Verdana"/>
                <w:sz w:val="18"/>
                <w:szCs w:val="18"/>
              </w:rPr>
            </w:pPr>
          </w:p>
        </w:tc>
        <w:tc>
          <w:tcPr>
            <w:tcW w:w="1649" w:type="dxa"/>
            <w:vMerge/>
            <w:tcBorders>
              <w:top w:val="nil"/>
            </w:tcBorders>
          </w:tcPr>
          <w:p w14:paraId="16762764" w14:textId="77777777" w:rsidR="008715BE" w:rsidRPr="00EC75B7" w:rsidRDefault="008715BE">
            <w:pPr>
              <w:rPr>
                <w:rFonts w:ascii="Verdana" w:hAnsi="Verdana"/>
                <w:sz w:val="18"/>
                <w:szCs w:val="18"/>
              </w:rPr>
            </w:pPr>
          </w:p>
        </w:tc>
        <w:tc>
          <w:tcPr>
            <w:tcW w:w="1277" w:type="dxa"/>
          </w:tcPr>
          <w:p w14:paraId="4DD1D3E9"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w:t>
            </w:r>
            <w:r w:rsidRPr="00EC75B7">
              <w:rPr>
                <w:rFonts w:ascii="Verdana" w:hAnsi="Verdana"/>
                <w:sz w:val="18"/>
                <w:szCs w:val="18"/>
              </w:rPr>
              <w:t xml:space="preserve"> species</w:t>
            </w:r>
          </w:p>
        </w:tc>
        <w:tc>
          <w:tcPr>
            <w:tcW w:w="1275" w:type="dxa"/>
          </w:tcPr>
          <w:p w14:paraId="05BB6E69"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028760AE" w14:textId="77777777" w:rsidR="008715BE" w:rsidRPr="00EC75B7" w:rsidRDefault="00000000">
            <w:pPr>
              <w:pStyle w:val="TableParagraph"/>
              <w:spacing w:line="194" w:lineRule="exact"/>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1E949EF9"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46A36CEF"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0696D954"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5" w:type="dxa"/>
            <w:gridSpan w:val="5"/>
          </w:tcPr>
          <w:p w14:paraId="641C3073"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4" w:type="dxa"/>
          </w:tcPr>
          <w:p w14:paraId="287B89D0"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3" w:type="dxa"/>
          </w:tcPr>
          <w:p w14:paraId="2662C8D4"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29" w:type="dxa"/>
          </w:tcPr>
          <w:p w14:paraId="36BF45CE"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2B1C7D3E" w14:textId="77777777">
        <w:trPr>
          <w:trHeight w:val="2918"/>
        </w:trPr>
        <w:tc>
          <w:tcPr>
            <w:tcW w:w="605" w:type="dxa"/>
            <w:vMerge w:val="restart"/>
            <w:textDirection w:val="btLr"/>
          </w:tcPr>
          <w:p w14:paraId="25DE135B" w14:textId="77777777" w:rsidR="008715BE" w:rsidRPr="00EC75B7" w:rsidRDefault="008715BE">
            <w:pPr>
              <w:pStyle w:val="TableParagraph"/>
              <w:spacing w:before="16"/>
              <w:rPr>
                <w:rFonts w:ascii="Verdana" w:hAnsi="Verdana"/>
                <w:b/>
                <w:sz w:val="18"/>
                <w:szCs w:val="18"/>
              </w:rPr>
            </w:pPr>
          </w:p>
          <w:p w14:paraId="5399530A" w14:textId="77777777" w:rsidR="008715BE" w:rsidRPr="00EC75B7" w:rsidRDefault="00000000">
            <w:pPr>
              <w:pStyle w:val="TableParagraph"/>
              <w:spacing w:before="1"/>
              <w:ind w:left="-1" w:right="1"/>
              <w:jc w:val="center"/>
              <w:rPr>
                <w:rFonts w:ascii="Verdana" w:hAnsi="Verdana"/>
                <w:sz w:val="18"/>
                <w:szCs w:val="18"/>
              </w:rPr>
            </w:pPr>
            <w:r w:rsidRPr="00EC75B7">
              <w:rPr>
                <w:rFonts w:ascii="Verdana" w:hAnsi="Verdana"/>
                <w:spacing w:val="-2"/>
                <w:sz w:val="18"/>
                <w:szCs w:val="18"/>
              </w:rPr>
              <w:t>Decommissioning</w:t>
            </w:r>
          </w:p>
        </w:tc>
        <w:tc>
          <w:tcPr>
            <w:tcW w:w="1649" w:type="dxa"/>
            <w:vMerge w:val="restart"/>
          </w:tcPr>
          <w:p w14:paraId="3C137D53" w14:textId="77777777" w:rsidR="008715BE" w:rsidRPr="00EC75B7" w:rsidRDefault="00000000">
            <w:pPr>
              <w:pStyle w:val="TableParagraph"/>
              <w:spacing w:before="8"/>
              <w:ind w:left="105" w:right="241"/>
              <w:rPr>
                <w:rFonts w:ascii="Verdana" w:hAnsi="Verdana"/>
                <w:sz w:val="18"/>
                <w:szCs w:val="18"/>
              </w:rPr>
            </w:pPr>
            <w:r w:rsidRPr="00EC75B7">
              <w:rPr>
                <w:rFonts w:ascii="Verdana" w:hAnsi="Verdana"/>
                <w:sz w:val="18"/>
                <w:szCs w:val="18"/>
              </w:rPr>
              <w:t xml:space="preserve">Organization and </w:t>
            </w:r>
            <w:r w:rsidRPr="00EC75B7">
              <w:rPr>
                <w:rFonts w:ascii="Verdana" w:hAnsi="Verdana"/>
                <w:spacing w:val="-2"/>
                <w:sz w:val="18"/>
                <w:szCs w:val="18"/>
              </w:rPr>
              <w:t xml:space="preserve">operation of the construction site </w:t>
            </w:r>
            <w:r w:rsidRPr="00EC75B7">
              <w:rPr>
                <w:rFonts w:ascii="Verdana" w:hAnsi="Verdana"/>
                <w:sz w:val="18"/>
                <w:szCs w:val="18"/>
              </w:rPr>
              <w:t>(including site traffic)</w:t>
            </w:r>
          </w:p>
        </w:tc>
        <w:tc>
          <w:tcPr>
            <w:tcW w:w="1277" w:type="dxa"/>
          </w:tcPr>
          <w:p w14:paraId="52BBB90F" w14:textId="77777777" w:rsidR="008715BE" w:rsidRPr="00EC75B7" w:rsidRDefault="00000000">
            <w:pPr>
              <w:pStyle w:val="TableParagraph"/>
              <w:spacing w:before="8"/>
              <w:ind w:left="107" w:right="76"/>
              <w:rPr>
                <w:rFonts w:ascii="Verdana" w:hAnsi="Verdana"/>
                <w:sz w:val="18"/>
                <w:szCs w:val="18"/>
              </w:rPr>
            </w:pPr>
            <w:r w:rsidRPr="00EC75B7">
              <w:rPr>
                <w:rFonts w:ascii="Verdana" w:hAnsi="Verdana"/>
                <w:spacing w:val="-2"/>
                <w:sz w:val="18"/>
                <w:szCs w:val="18"/>
              </w:rPr>
              <w:t xml:space="preserve">Removal </w:t>
            </w:r>
            <w:r w:rsidRPr="00EC75B7">
              <w:rPr>
                <w:rFonts w:ascii="Verdana" w:hAnsi="Verdana"/>
                <w:sz w:val="18"/>
                <w:szCs w:val="18"/>
              </w:rPr>
              <w:t>of topsoil and vegetation</w:t>
            </w:r>
          </w:p>
        </w:tc>
        <w:tc>
          <w:tcPr>
            <w:tcW w:w="1275" w:type="dxa"/>
          </w:tcPr>
          <w:p w14:paraId="06B76179"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4"/>
                <w:sz w:val="18"/>
                <w:szCs w:val="18"/>
              </w:rPr>
              <w:t>AH/PH</w:t>
            </w:r>
          </w:p>
        </w:tc>
        <w:tc>
          <w:tcPr>
            <w:tcW w:w="850" w:type="dxa"/>
          </w:tcPr>
          <w:p w14:paraId="44231D73"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122D8AFD"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7839C6F3"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5B925D93"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0" w:type="dxa"/>
            <w:vMerge w:val="restart"/>
          </w:tcPr>
          <w:p w14:paraId="191CAFA4" w14:textId="77777777" w:rsidR="008715BE" w:rsidRPr="00EC75B7" w:rsidRDefault="00000000">
            <w:pPr>
              <w:pStyle w:val="TableParagraph"/>
              <w:spacing w:before="8"/>
              <w:ind w:left="101" w:right="128"/>
              <w:rPr>
                <w:rFonts w:ascii="Verdana" w:hAnsi="Verdana"/>
                <w:i/>
                <w:sz w:val="18"/>
                <w:szCs w:val="18"/>
              </w:rPr>
            </w:pPr>
            <w:r w:rsidRPr="00EC75B7">
              <w:rPr>
                <w:rFonts w:ascii="Verdana" w:hAnsi="Verdana"/>
                <w:i/>
                <w:spacing w:val="-2"/>
                <w:sz w:val="18"/>
                <w:szCs w:val="18"/>
              </w:rPr>
              <w:t xml:space="preserve">Accipiter brevipes, Anthus campestris, Aquila pomarina, </w:t>
            </w:r>
            <w:r w:rsidRPr="00EC75B7">
              <w:rPr>
                <w:rFonts w:ascii="Verdana" w:hAnsi="Verdana"/>
                <w:i/>
                <w:sz w:val="18"/>
                <w:szCs w:val="18"/>
              </w:rPr>
              <w:t xml:space="preserve">Bubo bubo, Buteo rufinus, </w:t>
            </w:r>
            <w:r w:rsidRPr="00EC75B7">
              <w:rPr>
                <w:rFonts w:ascii="Verdana" w:hAnsi="Verdana"/>
                <w:i/>
                <w:spacing w:val="-2"/>
                <w:sz w:val="18"/>
                <w:szCs w:val="18"/>
              </w:rPr>
              <w:t xml:space="preserve">Caprimulgus europaeus, Circus cyaneus, </w:t>
            </w:r>
            <w:r w:rsidRPr="00EC75B7">
              <w:rPr>
                <w:rFonts w:ascii="Verdana" w:hAnsi="Verdana"/>
                <w:i/>
                <w:spacing w:val="-2"/>
                <w:sz w:val="18"/>
                <w:szCs w:val="18"/>
              </w:rPr>
              <w:lastRenderedPageBreak/>
              <w:t>Circus macrourus, Circus pygargus, Coracias garrulus, Falco peregrinus, Hieraaetus pennatus, Lanius collurio,</w:t>
            </w:r>
          </w:p>
          <w:p w14:paraId="7C8AD4E1" w14:textId="77777777" w:rsidR="008715BE" w:rsidRPr="00EC75B7" w:rsidRDefault="00000000">
            <w:pPr>
              <w:pStyle w:val="TableParagraph"/>
              <w:spacing w:line="156" w:lineRule="exact"/>
              <w:ind w:left="101"/>
              <w:rPr>
                <w:rFonts w:ascii="Verdana" w:hAnsi="Verdana"/>
                <w:i/>
                <w:sz w:val="18"/>
                <w:szCs w:val="18"/>
              </w:rPr>
            </w:pPr>
            <w:r w:rsidRPr="00EC75B7">
              <w:rPr>
                <w:rFonts w:ascii="Verdana" w:hAnsi="Verdana"/>
                <w:i/>
                <w:sz w:val="18"/>
                <w:szCs w:val="18"/>
              </w:rPr>
              <w:t xml:space="preserve">Lanius </w:t>
            </w:r>
            <w:r w:rsidRPr="00EC75B7">
              <w:rPr>
                <w:rFonts w:ascii="Verdana" w:hAnsi="Verdana"/>
                <w:i/>
                <w:spacing w:val="-2"/>
                <w:sz w:val="18"/>
                <w:szCs w:val="18"/>
              </w:rPr>
              <w:t>minor,</w:t>
            </w:r>
          </w:p>
        </w:tc>
        <w:tc>
          <w:tcPr>
            <w:tcW w:w="1408" w:type="dxa"/>
            <w:vMerge w:val="restart"/>
          </w:tcPr>
          <w:p w14:paraId="7515C5AE" w14:textId="77777777" w:rsidR="008715BE" w:rsidRPr="00EC75B7" w:rsidRDefault="00000000">
            <w:pPr>
              <w:pStyle w:val="TableParagraph"/>
              <w:spacing w:before="8"/>
              <w:ind w:left="109" w:right="78"/>
              <w:rPr>
                <w:rFonts w:ascii="Verdana" w:hAnsi="Verdana"/>
                <w:i/>
                <w:sz w:val="18"/>
                <w:szCs w:val="18"/>
              </w:rPr>
            </w:pPr>
            <w:r w:rsidRPr="00EC75B7">
              <w:rPr>
                <w:rFonts w:ascii="Verdana" w:hAnsi="Verdana"/>
                <w:b/>
                <w:sz w:val="18"/>
                <w:szCs w:val="18"/>
              </w:rPr>
              <w:lastRenderedPageBreak/>
              <w:t xml:space="preserve">Species with </w:t>
            </w:r>
            <w:r w:rsidRPr="00EC75B7">
              <w:rPr>
                <w:rFonts w:ascii="Verdana" w:hAnsi="Verdana"/>
                <w:b/>
                <w:spacing w:val="-2"/>
                <w:sz w:val="18"/>
                <w:szCs w:val="18"/>
              </w:rPr>
              <w:t xml:space="preserve">regular </w:t>
            </w:r>
            <w:r w:rsidRPr="00EC75B7">
              <w:rPr>
                <w:rFonts w:ascii="Verdana" w:hAnsi="Verdana"/>
                <w:b/>
                <w:sz w:val="18"/>
                <w:szCs w:val="18"/>
              </w:rPr>
              <w:t xml:space="preserve">migration/Species associated with </w:t>
            </w:r>
            <w:r w:rsidRPr="00EC75B7">
              <w:rPr>
                <w:rFonts w:ascii="Verdana" w:hAnsi="Verdana"/>
                <w:b/>
                <w:spacing w:val="-2"/>
                <w:sz w:val="18"/>
                <w:szCs w:val="18"/>
              </w:rPr>
              <w:t>extensively used agricultural</w:t>
            </w:r>
            <w:r w:rsidRPr="00EC75B7">
              <w:rPr>
                <w:rFonts w:ascii="Verdana" w:hAnsi="Verdana"/>
                <w:b/>
                <w:sz w:val="18"/>
                <w:szCs w:val="18"/>
              </w:rPr>
              <w:t xml:space="preserve"> land </w:t>
            </w:r>
            <w:r w:rsidRPr="00EC75B7">
              <w:rPr>
                <w:rFonts w:ascii="Verdana" w:hAnsi="Verdana"/>
                <w:i/>
                <w:spacing w:val="-2"/>
                <w:sz w:val="18"/>
                <w:szCs w:val="18"/>
              </w:rPr>
              <w:t xml:space="preserve">Alauda arvensis, Carduelis </w:t>
            </w:r>
            <w:r w:rsidRPr="00EC75B7">
              <w:rPr>
                <w:rFonts w:ascii="Verdana" w:hAnsi="Verdana"/>
                <w:i/>
                <w:spacing w:val="-2"/>
                <w:sz w:val="18"/>
                <w:szCs w:val="18"/>
              </w:rPr>
              <w:lastRenderedPageBreak/>
              <w:t xml:space="preserve">cannabina, Carduelis carduelis, Coturnix coturnix, Emberiza melanocephal </w:t>
            </w:r>
            <w:r w:rsidRPr="00EC75B7">
              <w:rPr>
                <w:rFonts w:ascii="Verdana" w:hAnsi="Verdana"/>
                <w:i/>
                <w:sz w:val="18"/>
                <w:szCs w:val="18"/>
              </w:rPr>
              <w:t xml:space="preserve">a, Falco </w:t>
            </w:r>
            <w:r w:rsidRPr="00EC75B7">
              <w:rPr>
                <w:rFonts w:ascii="Verdana" w:hAnsi="Verdana"/>
                <w:i/>
                <w:spacing w:val="-2"/>
                <w:sz w:val="18"/>
                <w:szCs w:val="18"/>
              </w:rPr>
              <w:t>tinnunculus, Fringilla montifringilla, Galerida cristata,</w:t>
            </w:r>
          </w:p>
          <w:p w14:paraId="5F4D8D7C" w14:textId="77777777" w:rsidR="008715BE" w:rsidRPr="00EC75B7" w:rsidRDefault="00000000">
            <w:pPr>
              <w:pStyle w:val="TableParagraph"/>
              <w:spacing w:line="156" w:lineRule="exact"/>
              <w:ind w:left="109"/>
              <w:rPr>
                <w:rFonts w:ascii="Verdana" w:hAnsi="Verdana"/>
                <w:i/>
                <w:sz w:val="18"/>
                <w:szCs w:val="18"/>
              </w:rPr>
            </w:pPr>
            <w:r w:rsidRPr="00EC75B7">
              <w:rPr>
                <w:rFonts w:ascii="Verdana" w:hAnsi="Verdana"/>
                <w:i/>
                <w:spacing w:val="-2"/>
                <w:sz w:val="18"/>
                <w:szCs w:val="18"/>
              </w:rPr>
              <w:t>Lanius</w:t>
            </w:r>
          </w:p>
        </w:tc>
        <w:tc>
          <w:tcPr>
            <w:tcW w:w="1259" w:type="dxa"/>
            <w:vMerge w:val="restart"/>
          </w:tcPr>
          <w:p w14:paraId="3D39AFD4" w14:textId="77777777" w:rsidR="008715BE" w:rsidRPr="00EC75B7" w:rsidRDefault="00000000">
            <w:pPr>
              <w:pStyle w:val="TableParagraph"/>
              <w:spacing w:before="8"/>
              <w:ind w:left="108" w:right="143"/>
              <w:rPr>
                <w:rFonts w:ascii="Verdana" w:hAnsi="Verdana"/>
                <w:i/>
                <w:sz w:val="18"/>
                <w:szCs w:val="18"/>
              </w:rPr>
            </w:pPr>
            <w:r w:rsidRPr="00EC75B7">
              <w:rPr>
                <w:rFonts w:ascii="Verdana" w:hAnsi="Verdana"/>
                <w:b/>
                <w:spacing w:val="-2"/>
                <w:sz w:val="18"/>
                <w:szCs w:val="18"/>
              </w:rPr>
              <w:lastRenderedPageBreak/>
              <w:t xml:space="preserve">Species </w:t>
            </w:r>
            <w:r w:rsidRPr="00EC75B7">
              <w:rPr>
                <w:rFonts w:ascii="Verdana" w:hAnsi="Verdana"/>
                <w:b/>
                <w:sz w:val="18"/>
                <w:szCs w:val="18"/>
              </w:rPr>
              <w:t xml:space="preserve">associated with </w:t>
            </w:r>
            <w:r w:rsidRPr="00EC75B7">
              <w:rPr>
                <w:rFonts w:ascii="Verdana" w:hAnsi="Verdana"/>
                <w:b/>
                <w:spacing w:val="-2"/>
                <w:sz w:val="18"/>
                <w:szCs w:val="18"/>
              </w:rPr>
              <w:t>forest</w:t>
            </w:r>
            <w:r w:rsidRPr="00EC75B7">
              <w:rPr>
                <w:rFonts w:ascii="Verdana" w:hAnsi="Verdana"/>
                <w:b/>
                <w:sz w:val="18"/>
                <w:szCs w:val="18"/>
              </w:rPr>
              <w:t xml:space="preserve"> habitats </w:t>
            </w:r>
            <w:r w:rsidRPr="00EC75B7">
              <w:rPr>
                <w:rFonts w:ascii="Verdana" w:hAnsi="Verdana"/>
                <w:i/>
                <w:spacing w:val="-2"/>
                <w:sz w:val="18"/>
                <w:szCs w:val="18"/>
              </w:rPr>
              <w:t xml:space="preserve">Carduelis chloris, Carduelis spinus, Coccothraustes </w:t>
            </w:r>
            <w:r w:rsidRPr="00EC75B7">
              <w:rPr>
                <w:rFonts w:ascii="Verdana" w:hAnsi="Verdana"/>
                <w:i/>
                <w:sz w:val="18"/>
                <w:szCs w:val="18"/>
              </w:rPr>
              <w:t xml:space="preserve">coccothraustes, Falco </w:t>
            </w:r>
            <w:r w:rsidRPr="00EC75B7">
              <w:rPr>
                <w:rFonts w:ascii="Verdana" w:hAnsi="Verdana"/>
                <w:i/>
                <w:spacing w:val="-2"/>
                <w:sz w:val="18"/>
                <w:szCs w:val="18"/>
              </w:rPr>
              <w:lastRenderedPageBreak/>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torquilla, Muscicapa striata, Oriolus oriolus, Phylloscopus</w:t>
            </w:r>
          </w:p>
          <w:p w14:paraId="691B336D" w14:textId="77777777" w:rsidR="008715BE" w:rsidRPr="00EC75B7" w:rsidRDefault="00000000">
            <w:pPr>
              <w:pStyle w:val="TableParagraph"/>
              <w:spacing w:line="156" w:lineRule="exact"/>
              <w:ind w:left="108"/>
              <w:rPr>
                <w:rFonts w:ascii="Verdana" w:hAnsi="Verdana"/>
                <w:i/>
                <w:sz w:val="18"/>
                <w:szCs w:val="18"/>
              </w:rPr>
            </w:pPr>
            <w:r w:rsidRPr="00EC75B7">
              <w:rPr>
                <w:rFonts w:ascii="Verdana" w:hAnsi="Verdana"/>
                <w:i/>
                <w:spacing w:val="-2"/>
                <w:sz w:val="18"/>
                <w:szCs w:val="18"/>
              </w:rPr>
              <w:t>collybita,</w:t>
            </w:r>
          </w:p>
        </w:tc>
        <w:tc>
          <w:tcPr>
            <w:tcW w:w="1449" w:type="dxa"/>
            <w:vMerge w:val="restart"/>
          </w:tcPr>
          <w:p w14:paraId="5390CD84" w14:textId="77777777" w:rsidR="008715BE" w:rsidRPr="00EC75B7" w:rsidRDefault="00000000">
            <w:pPr>
              <w:pStyle w:val="TableParagraph"/>
              <w:spacing w:before="8"/>
              <w:ind w:left="109" w:right="143"/>
              <w:rPr>
                <w:rFonts w:ascii="Verdana" w:hAnsi="Verdana"/>
                <w:i/>
                <w:sz w:val="18"/>
                <w:szCs w:val="18"/>
              </w:rPr>
            </w:pPr>
            <w:r w:rsidRPr="00EC75B7">
              <w:rPr>
                <w:rFonts w:ascii="Verdana" w:hAnsi="Verdana"/>
                <w:b/>
                <w:spacing w:val="-2"/>
                <w:sz w:val="18"/>
                <w:szCs w:val="18"/>
              </w:rPr>
              <w:lastRenderedPageBreak/>
              <w:t xml:space="preserve">Species </w:t>
            </w:r>
            <w:r w:rsidRPr="00EC75B7">
              <w:rPr>
                <w:rFonts w:ascii="Verdana" w:hAnsi="Verdana"/>
                <w:b/>
                <w:sz w:val="18"/>
                <w:szCs w:val="18"/>
              </w:rPr>
              <w:t xml:space="preserve">associated with </w:t>
            </w:r>
            <w:r w:rsidRPr="00EC75B7">
              <w:rPr>
                <w:rFonts w:ascii="Verdana" w:hAnsi="Verdana"/>
                <w:b/>
                <w:spacing w:val="-2"/>
                <w:sz w:val="18"/>
                <w:szCs w:val="18"/>
              </w:rPr>
              <w:t>reedbed</w:t>
            </w:r>
            <w:r w:rsidRPr="00EC75B7">
              <w:rPr>
                <w:rFonts w:ascii="Verdana" w:hAnsi="Verdana"/>
                <w:b/>
                <w:sz w:val="18"/>
                <w:szCs w:val="18"/>
              </w:rPr>
              <w:t xml:space="preserve"> habitats </w:t>
            </w:r>
            <w:r w:rsidRPr="00EC75B7">
              <w:rPr>
                <w:rFonts w:ascii="Verdana" w:hAnsi="Verdana"/>
                <w:i/>
                <w:spacing w:val="-2"/>
                <w:sz w:val="18"/>
                <w:szCs w:val="18"/>
              </w:rPr>
              <w:t xml:space="preserve">Acrocephalus arundinaceus, Acrocephalus palustris, Acrocephalus schoenobaenu </w:t>
            </w:r>
            <w:r w:rsidRPr="00EC75B7">
              <w:rPr>
                <w:rFonts w:ascii="Verdana" w:hAnsi="Verdana"/>
                <w:i/>
                <w:spacing w:val="-6"/>
                <w:sz w:val="18"/>
                <w:szCs w:val="18"/>
              </w:rPr>
              <w:t xml:space="preserve">s, </w:t>
            </w:r>
            <w:r w:rsidRPr="00EC75B7">
              <w:rPr>
                <w:rFonts w:ascii="Verdana" w:hAnsi="Verdana"/>
                <w:i/>
                <w:spacing w:val="-2"/>
                <w:sz w:val="18"/>
                <w:szCs w:val="18"/>
              </w:rPr>
              <w:lastRenderedPageBreak/>
              <w:t>Acrocephalus scirpaceus, Locustella fluviatilis, Locustella luscinioides, Riparia riparia</w:t>
            </w:r>
          </w:p>
        </w:tc>
        <w:tc>
          <w:tcPr>
            <w:tcW w:w="1169" w:type="dxa"/>
            <w:vMerge w:val="restart"/>
          </w:tcPr>
          <w:p w14:paraId="75291086" w14:textId="77777777" w:rsidR="008715BE" w:rsidRPr="00EC75B7" w:rsidRDefault="00000000">
            <w:pPr>
              <w:pStyle w:val="TableParagraph"/>
              <w:spacing w:before="8"/>
              <w:ind w:left="100" w:right="227"/>
              <w:rPr>
                <w:rFonts w:ascii="Verdana" w:hAnsi="Verdana"/>
                <w:i/>
                <w:sz w:val="18"/>
                <w:szCs w:val="18"/>
              </w:rPr>
            </w:pPr>
            <w:r w:rsidRPr="00EC75B7">
              <w:rPr>
                <w:rFonts w:ascii="Verdana" w:hAnsi="Verdana"/>
                <w:b/>
                <w:spacing w:val="-2"/>
                <w:sz w:val="18"/>
                <w:szCs w:val="18"/>
              </w:rPr>
              <w:lastRenderedPageBreak/>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rocky habitats </w:t>
            </w:r>
            <w:r w:rsidRPr="00EC75B7">
              <w:rPr>
                <w:rFonts w:ascii="Verdana" w:hAnsi="Verdana"/>
                <w:b/>
                <w:sz w:val="18"/>
                <w:szCs w:val="18"/>
              </w:rPr>
              <w:t xml:space="preserve">and </w:t>
            </w:r>
            <w:r w:rsidRPr="00EC75B7">
              <w:rPr>
                <w:rFonts w:ascii="Verdana" w:hAnsi="Verdana"/>
                <w:b/>
                <w:spacing w:val="-2"/>
                <w:sz w:val="18"/>
                <w:szCs w:val="18"/>
              </w:rPr>
              <w:t>urban</w:t>
            </w:r>
            <w:r w:rsidRPr="00EC75B7">
              <w:rPr>
                <w:rFonts w:ascii="Verdana" w:hAnsi="Verdana"/>
                <w:b/>
                <w:sz w:val="18"/>
                <w:szCs w:val="18"/>
              </w:rPr>
              <w:t xml:space="preserve"> areas </w:t>
            </w:r>
            <w:r w:rsidRPr="00EC75B7">
              <w:rPr>
                <w:rFonts w:ascii="Verdana" w:hAnsi="Verdana"/>
                <w:i/>
                <w:spacing w:val="-2"/>
                <w:sz w:val="18"/>
                <w:szCs w:val="18"/>
              </w:rPr>
              <w:t xml:space="preserve">Monticola saxatilis, Hirundo daurica, </w:t>
            </w:r>
            <w:r w:rsidRPr="00EC75B7">
              <w:rPr>
                <w:rFonts w:ascii="Verdana" w:hAnsi="Verdana"/>
                <w:i/>
                <w:spacing w:val="-2"/>
                <w:sz w:val="18"/>
                <w:szCs w:val="18"/>
              </w:rPr>
              <w:lastRenderedPageBreak/>
              <w:t>Hirundo rustica</w:t>
            </w:r>
          </w:p>
        </w:tc>
        <w:tc>
          <w:tcPr>
            <w:tcW w:w="1114" w:type="dxa"/>
          </w:tcPr>
          <w:p w14:paraId="436BE123" w14:textId="77777777" w:rsidR="008715BE" w:rsidRPr="00EC75B7" w:rsidRDefault="00000000">
            <w:pPr>
              <w:pStyle w:val="TableParagraph"/>
              <w:spacing w:before="8"/>
              <w:ind w:left="102"/>
              <w:rPr>
                <w:rFonts w:ascii="Verdana" w:hAnsi="Verdana"/>
                <w:sz w:val="18"/>
                <w:szCs w:val="18"/>
              </w:rPr>
            </w:pPr>
            <w:r w:rsidRPr="00EC75B7">
              <w:rPr>
                <w:rFonts w:ascii="Verdana" w:hAnsi="Verdana"/>
                <w:spacing w:val="-2"/>
                <w:sz w:val="18"/>
                <w:szCs w:val="18"/>
              </w:rPr>
              <w:lastRenderedPageBreak/>
              <w:t>Population size trend</w:t>
            </w:r>
          </w:p>
        </w:tc>
        <w:tc>
          <w:tcPr>
            <w:tcW w:w="2533" w:type="dxa"/>
          </w:tcPr>
          <w:p w14:paraId="1CA8CA51"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12664DA9" w14:textId="77777777" w:rsidR="008715BE" w:rsidRPr="00EC75B7" w:rsidRDefault="00000000">
            <w:pPr>
              <w:pStyle w:val="TableParagraph"/>
              <w:spacing w:before="193"/>
              <w:ind w:left="99" w:right="193"/>
              <w:rPr>
                <w:rFonts w:ascii="Verdana" w:hAnsi="Verdana"/>
                <w:sz w:val="18"/>
                <w:szCs w:val="18"/>
              </w:rPr>
            </w:pPr>
            <w:r w:rsidRPr="00EC75B7">
              <w:rPr>
                <w:rFonts w:ascii="Verdana" w:hAnsi="Verdana"/>
                <w:sz w:val="18"/>
                <w:szCs w:val="18"/>
              </w:rPr>
              <w:t xml:space="preserve">Areas outside the protected area that could constitute </w:t>
            </w:r>
            <w:r w:rsidRPr="00EC75B7">
              <w:rPr>
                <w:rFonts w:ascii="Verdana" w:hAnsi="Verdana"/>
                <w:spacing w:val="-2"/>
                <w:sz w:val="18"/>
                <w:szCs w:val="18"/>
              </w:rPr>
              <w:t xml:space="preserve">feeding </w:t>
            </w:r>
            <w:r w:rsidRPr="00EC75B7">
              <w:rPr>
                <w:rFonts w:ascii="Verdana" w:hAnsi="Verdana"/>
                <w:sz w:val="18"/>
                <w:szCs w:val="18"/>
              </w:rPr>
              <w:t>habitats</w:t>
            </w:r>
            <w:r w:rsidRPr="00EC75B7">
              <w:rPr>
                <w:rFonts w:ascii="Verdana" w:hAnsi="Verdana"/>
                <w:spacing w:val="-2"/>
                <w:sz w:val="18"/>
                <w:szCs w:val="18"/>
              </w:rPr>
              <w:t>:</w:t>
            </w:r>
          </w:p>
          <w:p w14:paraId="79BE03C3" w14:textId="77777777" w:rsidR="008715BE" w:rsidRPr="00EC75B7" w:rsidRDefault="00000000">
            <w:pPr>
              <w:pStyle w:val="TableParagraph"/>
              <w:ind w:left="99" w:right="204"/>
              <w:rPr>
                <w:rFonts w:ascii="Verdana" w:hAnsi="Verdana"/>
                <w:sz w:val="18"/>
                <w:szCs w:val="18"/>
              </w:rPr>
            </w:pPr>
            <w:r w:rsidRPr="00EC75B7">
              <w:rPr>
                <w:rFonts w:ascii="Verdana" w:hAnsi="Verdana"/>
                <w:sz w:val="18"/>
                <w:szCs w:val="18"/>
              </w:rPr>
              <w:t xml:space="preserve">0.9 ha temporarily occupied, area of the construction site + area temporarily occupied by trenches for cable installation 309.24 ha permanently occupied </w:t>
            </w:r>
            <w:r w:rsidRPr="00EC75B7">
              <w:rPr>
                <w:rFonts w:ascii="Verdana" w:hAnsi="Verdana"/>
                <w:sz w:val="18"/>
                <w:szCs w:val="18"/>
              </w:rPr>
              <w:lastRenderedPageBreak/>
              <w:t>by the structural elements of the</w:t>
            </w:r>
          </w:p>
          <w:p w14:paraId="09A358F6" w14:textId="77777777" w:rsidR="008715BE" w:rsidRPr="00EC75B7" w:rsidRDefault="00000000">
            <w:pPr>
              <w:pStyle w:val="TableParagraph"/>
              <w:spacing w:line="159" w:lineRule="exact"/>
              <w:ind w:left="99"/>
              <w:rPr>
                <w:rFonts w:ascii="Verdana" w:hAnsi="Verdana"/>
                <w:sz w:val="18"/>
                <w:szCs w:val="18"/>
              </w:rPr>
            </w:pPr>
            <w:r w:rsidRPr="00EC75B7">
              <w:rPr>
                <w:rFonts w:ascii="Verdana" w:hAnsi="Verdana"/>
                <w:spacing w:val="-2"/>
                <w:sz w:val="18"/>
                <w:szCs w:val="18"/>
              </w:rPr>
              <w:t xml:space="preserve">energy </w:t>
            </w:r>
            <w:r w:rsidRPr="00EC75B7">
              <w:rPr>
                <w:rFonts w:ascii="Verdana" w:hAnsi="Verdana"/>
                <w:sz w:val="18"/>
                <w:szCs w:val="18"/>
              </w:rPr>
              <w:t>park</w:t>
            </w:r>
          </w:p>
        </w:tc>
        <w:tc>
          <w:tcPr>
            <w:tcW w:w="1529" w:type="dxa"/>
          </w:tcPr>
          <w:p w14:paraId="5A98986D" w14:textId="77777777" w:rsidR="008715BE" w:rsidRPr="00EC75B7" w:rsidRDefault="00000000">
            <w:pPr>
              <w:pStyle w:val="TableParagraph"/>
              <w:spacing w:before="8"/>
              <w:ind w:left="99" w:right="107"/>
              <w:rPr>
                <w:rFonts w:ascii="Verdana" w:hAnsi="Verdana"/>
                <w:sz w:val="18"/>
                <w:szCs w:val="18"/>
              </w:rPr>
            </w:pPr>
            <w:r w:rsidRPr="00EC75B7">
              <w:rPr>
                <w:rFonts w:ascii="Verdana" w:hAnsi="Verdana"/>
                <w:spacing w:val="-2"/>
                <w:sz w:val="18"/>
                <w:szCs w:val="18"/>
              </w:rPr>
              <w:lastRenderedPageBreak/>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r w:rsidR="008715BE" w:rsidRPr="00EC75B7" w14:paraId="7C2B9764" w14:textId="77777777">
        <w:trPr>
          <w:trHeight w:val="1943"/>
        </w:trPr>
        <w:tc>
          <w:tcPr>
            <w:tcW w:w="605" w:type="dxa"/>
            <w:vMerge/>
            <w:tcBorders>
              <w:top w:val="nil"/>
            </w:tcBorders>
            <w:textDirection w:val="btLr"/>
          </w:tcPr>
          <w:p w14:paraId="7EFD7FB9" w14:textId="77777777" w:rsidR="008715BE" w:rsidRPr="00EC75B7" w:rsidRDefault="008715BE">
            <w:pPr>
              <w:rPr>
                <w:rFonts w:ascii="Verdana" w:hAnsi="Verdana"/>
                <w:sz w:val="18"/>
                <w:szCs w:val="18"/>
              </w:rPr>
            </w:pPr>
          </w:p>
        </w:tc>
        <w:tc>
          <w:tcPr>
            <w:tcW w:w="1649" w:type="dxa"/>
            <w:vMerge/>
            <w:tcBorders>
              <w:top w:val="nil"/>
            </w:tcBorders>
          </w:tcPr>
          <w:p w14:paraId="5E19D1FE" w14:textId="77777777" w:rsidR="008715BE" w:rsidRPr="00EC75B7" w:rsidRDefault="008715BE">
            <w:pPr>
              <w:rPr>
                <w:rFonts w:ascii="Verdana" w:hAnsi="Verdana"/>
                <w:sz w:val="18"/>
                <w:szCs w:val="18"/>
              </w:rPr>
            </w:pPr>
          </w:p>
        </w:tc>
        <w:tc>
          <w:tcPr>
            <w:tcW w:w="1277" w:type="dxa"/>
          </w:tcPr>
          <w:p w14:paraId="1F99EBCC" w14:textId="77777777" w:rsidR="008715BE" w:rsidRPr="00EC75B7" w:rsidRDefault="00000000">
            <w:pPr>
              <w:pStyle w:val="TableParagraph"/>
              <w:spacing w:before="8"/>
              <w:ind w:left="107" w:right="76"/>
              <w:rPr>
                <w:rFonts w:ascii="Verdana" w:hAnsi="Verdana"/>
                <w:sz w:val="18"/>
                <w:szCs w:val="18"/>
              </w:rPr>
            </w:pPr>
            <w:r w:rsidRPr="00EC75B7">
              <w:rPr>
                <w:rFonts w:ascii="Verdana" w:hAnsi="Verdana"/>
                <w:sz w:val="18"/>
                <w:szCs w:val="18"/>
              </w:rPr>
              <w:t>Temporary</w:t>
            </w:r>
            <w:r w:rsidRPr="00EC75B7">
              <w:rPr>
                <w:rFonts w:ascii="Verdana" w:hAnsi="Verdana"/>
                <w:spacing w:val="-2"/>
                <w:sz w:val="18"/>
                <w:szCs w:val="18"/>
              </w:rPr>
              <w:t xml:space="preserve"> occupation </w:t>
            </w:r>
            <w:r w:rsidRPr="00EC75B7">
              <w:rPr>
                <w:rFonts w:ascii="Verdana" w:hAnsi="Verdana"/>
                <w:sz w:val="18"/>
                <w:szCs w:val="18"/>
              </w:rPr>
              <w:t xml:space="preserve">of </w:t>
            </w:r>
            <w:r w:rsidRPr="00EC75B7">
              <w:rPr>
                <w:rFonts w:ascii="Verdana" w:hAnsi="Verdana"/>
                <w:spacing w:val="-2"/>
                <w:sz w:val="18"/>
                <w:szCs w:val="18"/>
              </w:rPr>
              <w:t xml:space="preserve">land </w:t>
            </w:r>
            <w:r w:rsidRPr="00EC75B7">
              <w:rPr>
                <w:rFonts w:ascii="Verdana" w:hAnsi="Verdana"/>
                <w:sz w:val="18"/>
                <w:szCs w:val="18"/>
              </w:rPr>
              <w:t>areas</w:t>
            </w:r>
          </w:p>
        </w:tc>
        <w:tc>
          <w:tcPr>
            <w:tcW w:w="1275" w:type="dxa"/>
          </w:tcPr>
          <w:p w14:paraId="6EF7A183"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FH</w:t>
            </w:r>
          </w:p>
        </w:tc>
        <w:tc>
          <w:tcPr>
            <w:tcW w:w="850" w:type="dxa"/>
          </w:tcPr>
          <w:p w14:paraId="2CFC0578"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5B6A8F34"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2204AA17"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27FDF2EC"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0" w:type="dxa"/>
            <w:vMerge/>
            <w:tcBorders>
              <w:top w:val="nil"/>
            </w:tcBorders>
          </w:tcPr>
          <w:p w14:paraId="545D14E9" w14:textId="77777777" w:rsidR="008715BE" w:rsidRPr="00EC75B7" w:rsidRDefault="008715BE">
            <w:pPr>
              <w:rPr>
                <w:rFonts w:ascii="Verdana" w:hAnsi="Verdana"/>
                <w:sz w:val="18"/>
                <w:szCs w:val="18"/>
              </w:rPr>
            </w:pPr>
          </w:p>
        </w:tc>
        <w:tc>
          <w:tcPr>
            <w:tcW w:w="1408" w:type="dxa"/>
            <w:vMerge/>
            <w:tcBorders>
              <w:top w:val="nil"/>
            </w:tcBorders>
          </w:tcPr>
          <w:p w14:paraId="11F80BEF" w14:textId="77777777" w:rsidR="008715BE" w:rsidRPr="00EC75B7" w:rsidRDefault="008715BE">
            <w:pPr>
              <w:rPr>
                <w:rFonts w:ascii="Verdana" w:hAnsi="Verdana"/>
                <w:sz w:val="18"/>
                <w:szCs w:val="18"/>
              </w:rPr>
            </w:pPr>
          </w:p>
        </w:tc>
        <w:tc>
          <w:tcPr>
            <w:tcW w:w="1259" w:type="dxa"/>
            <w:vMerge/>
            <w:tcBorders>
              <w:top w:val="nil"/>
            </w:tcBorders>
          </w:tcPr>
          <w:p w14:paraId="73EE88C4" w14:textId="77777777" w:rsidR="008715BE" w:rsidRPr="00EC75B7" w:rsidRDefault="008715BE">
            <w:pPr>
              <w:rPr>
                <w:rFonts w:ascii="Verdana" w:hAnsi="Verdana"/>
                <w:sz w:val="18"/>
                <w:szCs w:val="18"/>
              </w:rPr>
            </w:pPr>
          </w:p>
        </w:tc>
        <w:tc>
          <w:tcPr>
            <w:tcW w:w="1449" w:type="dxa"/>
            <w:vMerge/>
            <w:tcBorders>
              <w:top w:val="nil"/>
            </w:tcBorders>
          </w:tcPr>
          <w:p w14:paraId="2101C935" w14:textId="77777777" w:rsidR="008715BE" w:rsidRPr="00EC75B7" w:rsidRDefault="008715BE">
            <w:pPr>
              <w:rPr>
                <w:rFonts w:ascii="Verdana" w:hAnsi="Verdana"/>
                <w:sz w:val="18"/>
                <w:szCs w:val="18"/>
              </w:rPr>
            </w:pPr>
          </w:p>
        </w:tc>
        <w:tc>
          <w:tcPr>
            <w:tcW w:w="1169" w:type="dxa"/>
            <w:vMerge/>
            <w:tcBorders>
              <w:top w:val="nil"/>
            </w:tcBorders>
          </w:tcPr>
          <w:p w14:paraId="5C90AF6C" w14:textId="77777777" w:rsidR="008715BE" w:rsidRPr="00EC75B7" w:rsidRDefault="008715BE">
            <w:pPr>
              <w:rPr>
                <w:rFonts w:ascii="Verdana" w:hAnsi="Verdana"/>
                <w:sz w:val="18"/>
                <w:szCs w:val="18"/>
              </w:rPr>
            </w:pPr>
          </w:p>
        </w:tc>
        <w:tc>
          <w:tcPr>
            <w:tcW w:w="1114" w:type="dxa"/>
          </w:tcPr>
          <w:p w14:paraId="35A6B2C7" w14:textId="77777777" w:rsidR="008715BE" w:rsidRPr="00EC75B7" w:rsidRDefault="00000000">
            <w:pPr>
              <w:pStyle w:val="TableParagraph"/>
              <w:spacing w:before="8"/>
              <w:ind w:left="102"/>
              <w:rPr>
                <w:rFonts w:ascii="Verdana" w:hAnsi="Verdana"/>
                <w:sz w:val="18"/>
                <w:szCs w:val="18"/>
              </w:rPr>
            </w:pPr>
            <w:r w:rsidRPr="00EC75B7">
              <w:rPr>
                <w:rFonts w:ascii="Verdana" w:hAnsi="Verdana"/>
                <w:spacing w:val="-2"/>
                <w:sz w:val="18"/>
                <w:szCs w:val="18"/>
              </w:rPr>
              <w:t>Population size trend</w:t>
            </w:r>
          </w:p>
        </w:tc>
        <w:tc>
          <w:tcPr>
            <w:tcW w:w="2533" w:type="dxa"/>
          </w:tcPr>
          <w:p w14:paraId="57254F63" w14:textId="77777777" w:rsidR="008715BE" w:rsidRPr="00EC75B7" w:rsidRDefault="00000000">
            <w:pPr>
              <w:pStyle w:val="TableParagraph"/>
              <w:spacing w:before="8"/>
              <w:ind w:left="99"/>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4D6373AA" w14:textId="77777777" w:rsidR="008715BE" w:rsidRPr="00EC75B7" w:rsidRDefault="00000000">
            <w:pPr>
              <w:pStyle w:val="TableParagraph"/>
              <w:spacing w:before="193"/>
              <w:ind w:left="99" w:right="193"/>
              <w:rPr>
                <w:rFonts w:ascii="Verdana" w:hAnsi="Verdana"/>
                <w:sz w:val="18"/>
                <w:szCs w:val="18"/>
              </w:rPr>
            </w:pPr>
            <w:r w:rsidRPr="00EC75B7">
              <w:rPr>
                <w:rFonts w:ascii="Verdana" w:hAnsi="Verdana"/>
                <w:sz w:val="18"/>
                <w:szCs w:val="18"/>
              </w:rPr>
              <w:t xml:space="preserve">Areas outside the protected area that could constitute </w:t>
            </w:r>
            <w:r w:rsidRPr="00EC75B7">
              <w:rPr>
                <w:rFonts w:ascii="Verdana" w:hAnsi="Verdana"/>
                <w:spacing w:val="-2"/>
                <w:sz w:val="18"/>
                <w:szCs w:val="18"/>
              </w:rPr>
              <w:t xml:space="preserve">feeding </w:t>
            </w:r>
            <w:r w:rsidRPr="00EC75B7">
              <w:rPr>
                <w:rFonts w:ascii="Verdana" w:hAnsi="Verdana"/>
                <w:sz w:val="18"/>
                <w:szCs w:val="18"/>
              </w:rPr>
              <w:t>habitats</w:t>
            </w:r>
            <w:r w:rsidRPr="00EC75B7">
              <w:rPr>
                <w:rFonts w:ascii="Verdana" w:hAnsi="Verdana"/>
                <w:spacing w:val="-2"/>
                <w:sz w:val="18"/>
                <w:szCs w:val="18"/>
              </w:rPr>
              <w:t>:</w:t>
            </w:r>
          </w:p>
          <w:p w14:paraId="7B590D68" w14:textId="77777777" w:rsidR="008715BE" w:rsidRPr="00EC75B7" w:rsidRDefault="00000000">
            <w:pPr>
              <w:pStyle w:val="TableParagraph"/>
              <w:ind w:left="99"/>
              <w:rPr>
                <w:rFonts w:ascii="Verdana" w:hAnsi="Verdana"/>
                <w:sz w:val="18"/>
                <w:szCs w:val="18"/>
              </w:rPr>
            </w:pPr>
            <w:r w:rsidRPr="00EC75B7">
              <w:rPr>
                <w:rFonts w:ascii="Verdana" w:hAnsi="Verdana"/>
                <w:sz w:val="18"/>
                <w:szCs w:val="18"/>
              </w:rPr>
              <w:t>0.9 ha temporarily occupied, site organization area + occupied area</w:t>
            </w:r>
          </w:p>
        </w:tc>
        <w:tc>
          <w:tcPr>
            <w:tcW w:w="1529" w:type="dxa"/>
          </w:tcPr>
          <w:p w14:paraId="22644804" w14:textId="77777777" w:rsidR="008715BE" w:rsidRPr="00EC75B7" w:rsidRDefault="00000000">
            <w:pPr>
              <w:pStyle w:val="TableParagraph"/>
              <w:spacing w:line="194" w:lineRule="exact"/>
              <w:ind w:left="99" w:right="107"/>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field inventories and </w:t>
            </w:r>
            <w:r w:rsidRPr="00EC75B7">
              <w:rPr>
                <w:rFonts w:ascii="Verdana" w:hAnsi="Verdana"/>
                <w:spacing w:val="-2"/>
                <w:sz w:val="18"/>
                <w:szCs w:val="18"/>
              </w:rPr>
              <w:t xml:space="preserve">monitoring </w:t>
            </w:r>
            <w:r w:rsidRPr="00EC75B7">
              <w:rPr>
                <w:rFonts w:ascii="Verdana" w:hAnsi="Verdana"/>
                <w:sz w:val="18"/>
                <w:szCs w:val="18"/>
              </w:rPr>
              <w:t xml:space="preserve">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bl>
    <w:p w14:paraId="2F5BE4A5" w14:textId="77777777" w:rsidR="008715BE" w:rsidRPr="00EC75B7" w:rsidRDefault="008715BE">
      <w:pPr>
        <w:pStyle w:val="TableParagraph"/>
        <w:spacing w:line="194" w:lineRule="exact"/>
        <w:rPr>
          <w:rFonts w:ascii="Verdana" w:hAnsi="Verdana"/>
          <w:sz w:val="18"/>
          <w:szCs w:val="18"/>
        </w:rPr>
        <w:sectPr w:rsidR="008715BE" w:rsidRPr="00EC75B7">
          <w:pgSz w:w="23820" w:h="16840" w:orient="landscape"/>
          <w:pgMar w:top="1120" w:right="850" w:bottom="1000" w:left="566" w:header="766" w:footer="810" w:gutter="0"/>
          <w:cols w:space="708"/>
        </w:sectPr>
      </w:pPr>
    </w:p>
    <w:p w14:paraId="735F5798"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8715BE" w:rsidRPr="00EC75B7" w14:paraId="707DAF61" w14:textId="77777777">
        <w:trPr>
          <w:trHeight w:val="842"/>
        </w:trPr>
        <w:tc>
          <w:tcPr>
            <w:tcW w:w="2254" w:type="dxa"/>
            <w:gridSpan w:val="2"/>
            <w:shd w:val="clear" w:color="auto" w:fill="00A1E8"/>
          </w:tcPr>
          <w:p w14:paraId="2BB05144" w14:textId="77777777" w:rsidR="008715BE" w:rsidRPr="00EC75B7" w:rsidRDefault="008715BE">
            <w:pPr>
              <w:pStyle w:val="TableParagraph"/>
              <w:spacing w:before="136"/>
              <w:rPr>
                <w:rFonts w:ascii="Verdana" w:hAnsi="Verdana"/>
                <w:b/>
                <w:sz w:val="18"/>
                <w:szCs w:val="18"/>
              </w:rPr>
            </w:pPr>
          </w:p>
          <w:p w14:paraId="262A58AC" w14:textId="77777777" w:rsidR="008715BE" w:rsidRPr="00EC75B7" w:rsidRDefault="00000000">
            <w:pPr>
              <w:pStyle w:val="TableParagraph"/>
              <w:spacing w:before="1"/>
              <w:ind w:left="616"/>
              <w:rPr>
                <w:rFonts w:ascii="Verdana" w:hAnsi="Verdana"/>
                <w:b/>
                <w:sz w:val="18"/>
                <w:szCs w:val="18"/>
              </w:rPr>
            </w:pPr>
            <w:r w:rsidRPr="00EC75B7">
              <w:rPr>
                <w:rFonts w:ascii="Verdana" w:hAnsi="Verdana"/>
                <w:b/>
                <w:color w:val="FFFFFF"/>
                <w:spacing w:val="-2"/>
                <w:sz w:val="18"/>
                <w:szCs w:val="18"/>
              </w:rPr>
              <w:t>Intervention</w:t>
            </w:r>
          </w:p>
        </w:tc>
        <w:tc>
          <w:tcPr>
            <w:tcW w:w="1277" w:type="dxa"/>
            <w:shd w:val="clear" w:color="auto" w:fill="00A1E8"/>
          </w:tcPr>
          <w:p w14:paraId="41989673" w14:textId="77777777" w:rsidR="008715BE" w:rsidRPr="00EC75B7" w:rsidRDefault="008715BE">
            <w:pPr>
              <w:pStyle w:val="TableParagraph"/>
              <w:spacing w:before="136"/>
              <w:rPr>
                <w:rFonts w:ascii="Verdana" w:hAnsi="Verdana"/>
                <w:b/>
                <w:sz w:val="18"/>
                <w:szCs w:val="18"/>
              </w:rPr>
            </w:pPr>
          </w:p>
          <w:p w14:paraId="15D09D0F" w14:textId="77777777" w:rsidR="008715BE" w:rsidRPr="00EC75B7" w:rsidRDefault="00000000">
            <w:pPr>
              <w:pStyle w:val="TableParagraph"/>
              <w:spacing w:before="1"/>
              <w:ind w:left="357"/>
              <w:rPr>
                <w:rFonts w:ascii="Verdana" w:hAnsi="Verdana"/>
                <w:b/>
                <w:sz w:val="18"/>
                <w:szCs w:val="18"/>
              </w:rPr>
            </w:pPr>
            <w:r w:rsidRPr="00EC75B7">
              <w:rPr>
                <w:rFonts w:ascii="Verdana" w:hAnsi="Verdana"/>
                <w:b/>
                <w:color w:val="FFFFFF"/>
                <w:spacing w:val="-2"/>
                <w:sz w:val="18"/>
                <w:szCs w:val="18"/>
              </w:rPr>
              <w:t>Effects</w:t>
            </w:r>
          </w:p>
        </w:tc>
        <w:tc>
          <w:tcPr>
            <w:tcW w:w="1275" w:type="dxa"/>
            <w:shd w:val="clear" w:color="auto" w:fill="00A1E8"/>
          </w:tcPr>
          <w:p w14:paraId="7F2615C6" w14:textId="77777777" w:rsidR="008715BE" w:rsidRPr="00EC75B7" w:rsidRDefault="008715BE">
            <w:pPr>
              <w:pStyle w:val="TableParagraph"/>
              <w:spacing w:before="40"/>
              <w:rPr>
                <w:rFonts w:ascii="Verdana" w:hAnsi="Verdana"/>
                <w:b/>
                <w:sz w:val="18"/>
                <w:szCs w:val="18"/>
              </w:rPr>
            </w:pPr>
          </w:p>
          <w:p w14:paraId="731E3826" w14:textId="77777777" w:rsidR="008715BE" w:rsidRPr="00EC75B7" w:rsidRDefault="00000000">
            <w:pPr>
              <w:pStyle w:val="TableParagraph"/>
              <w:spacing w:before="1"/>
              <w:ind w:left="321" w:right="178" w:hanging="135"/>
              <w:rPr>
                <w:rFonts w:ascii="Verdana" w:hAnsi="Verdana"/>
                <w:b/>
                <w:sz w:val="18"/>
                <w:szCs w:val="18"/>
              </w:rPr>
            </w:pPr>
            <w:r w:rsidRPr="00EC75B7">
              <w:rPr>
                <w:rFonts w:ascii="Verdana" w:hAnsi="Verdana"/>
                <w:b/>
                <w:color w:val="FFFFFF"/>
                <w:spacing w:val="-2"/>
                <w:sz w:val="18"/>
                <w:szCs w:val="18"/>
              </w:rPr>
              <w:t>Direct impacts</w:t>
            </w:r>
          </w:p>
        </w:tc>
        <w:tc>
          <w:tcPr>
            <w:tcW w:w="850" w:type="dxa"/>
            <w:shd w:val="clear" w:color="auto" w:fill="00A1E8"/>
          </w:tcPr>
          <w:p w14:paraId="695D074F" w14:textId="77777777" w:rsidR="008715BE" w:rsidRPr="00EC75B7" w:rsidRDefault="00000000">
            <w:pPr>
              <w:pStyle w:val="TableParagraph"/>
              <w:spacing w:before="41"/>
              <w:ind w:left="114" w:right="106" w:firstLine="2"/>
              <w:jc w:val="center"/>
              <w:rPr>
                <w:rFonts w:ascii="Verdana" w:hAnsi="Verdana"/>
                <w:b/>
                <w:sz w:val="18"/>
                <w:szCs w:val="18"/>
              </w:rPr>
            </w:pPr>
            <w:r w:rsidRPr="00EC75B7">
              <w:rPr>
                <w:rFonts w:ascii="Verdana" w:hAnsi="Verdana"/>
                <w:b/>
                <w:color w:val="FFFFFF"/>
                <w:spacing w:val="-6"/>
                <w:sz w:val="18"/>
                <w:szCs w:val="18"/>
              </w:rPr>
              <w:t>Indirect</w:t>
            </w:r>
            <w:r w:rsidRPr="00EC75B7">
              <w:rPr>
                <w:rFonts w:ascii="Verdana" w:hAnsi="Verdana"/>
                <w:b/>
                <w:color w:val="FFFFFF"/>
                <w:spacing w:val="-4"/>
                <w:sz w:val="18"/>
                <w:szCs w:val="18"/>
              </w:rPr>
              <w:t xml:space="preserve"> impacts</w:t>
            </w:r>
          </w:p>
        </w:tc>
        <w:tc>
          <w:tcPr>
            <w:tcW w:w="1261" w:type="dxa"/>
            <w:shd w:val="clear" w:color="auto" w:fill="00A1E8"/>
          </w:tcPr>
          <w:p w14:paraId="30EE4521" w14:textId="77777777" w:rsidR="008715BE" w:rsidRPr="00EC75B7" w:rsidRDefault="008715BE">
            <w:pPr>
              <w:pStyle w:val="TableParagraph"/>
              <w:spacing w:before="40"/>
              <w:rPr>
                <w:rFonts w:ascii="Verdana" w:hAnsi="Verdana"/>
                <w:b/>
                <w:sz w:val="18"/>
                <w:szCs w:val="18"/>
              </w:rPr>
            </w:pPr>
          </w:p>
          <w:p w14:paraId="3FDEDE40" w14:textId="77777777" w:rsidR="008715BE" w:rsidRPr="00EC75B7" w:rsidRDefault="00000000">
            <w:pPr>
              <w:pStyle w:val="TableParagraph"/>
              <w:spacing w:before="1"/>
              <w:ind w:left="164" w:firstLine="16"/>
              <w:rPr>
                <w:rFonts w:ascii="Verdana" w:hAnsi="Verdana"/>
                <w:b/>
                <w:sz w:val="18"/>
                <w:szCs w:val="18"/>
              </w:rPr>
            </w:pPr>
            <w:r w:rsidRPr="00EC75B7">
              <w:rPr>
                <w:rFonts w:ascii="Verdana" w:hAnsi="Verdana"/>
                <w:b/>
                <w:color w:val="FFFFFF"/>
                <w:spacing w:val="-2"/>
                <w:sz w:val="18"/>
                <w:szCs w:val="18"/>
              </w:rPr>
              <w:t>Secondary impacts</w:t>
            </w:r>
          </w:p>
        </w:tc>
        <w:tc>
          <w:tcPr>
            <w:tcW w:w="1352" w:type="dxa"/>
            <w:shd w:val="clear" w:color="auto" w:fill="00A1E8"/>
          </w:tcPr>
          <w:p w14:paraId="6401203A" w14:textId="77777777" w:rsidR="008715BE" w:rsidRPr="00EC75B7" w:rsidRDefault="008715BE">
            <w:pPr>
              <w:pStyle w:val="TableParagraph"/>
              <w:spacing w:before="40"/>
              <w:rPr>
                <w:rFonts w:ascii="Verdana" w:hAnsi="Verdana"/>
                <w:b/>
                <w:sz w:val="18"/>
                <w:szCs w:val="18"/>
              </w:rPr>
            </w:pPr>
          </w:p>
          <w:p w14:paraId="1A3E4F41" w14:textId="77777777" w:rsidR="008715BE" w:rsidRPr="00EC75B7" w:rsidRDefault="00000000">
            <w:pPr>
              <w:pStyle w:val="TableParagraph"/>
              <w:spacing w:before="1"/>
              <w:ind w:left="175" w:right="170" w:firstLine="50"/>
              <w:rPr>
                <w:rFonts w:ascii="Verdana" w:hAnsi="Verdana"/>
                <w:b/>
                <w:sz w:val="18"/>
                <w:szCs w:val="18"/>
              </w:rPr>
            </w:pPr>
            <w:r w:rsidRPr="00EC75B7">
              <w:rPr>
                <w:rFonts w:ascii="Verdana" w:hAnsi="Verdana"/>
                <w:b/>
                <w:color w:val="FFFFFF"/>
                <w:spacing w:val="-2"/>
                <w:sz w:val="18"/>
                <w:szCs w:val="18"/>
              </w:rPr>
              <w:t>Cumulative impacts</w:t>
            </w:r>
          </w:p>
        </w:tc>
        <w:tc>
          <w:tcPr>
            <w:tcW w:w="1261" w:type="dxa"/>
            <w:shd w:val="clear" w:color="auto" w:fill="00A1E8"/>
          </w:tcPr>
          <w:p w14:paraId="63731F97" w14:textId="77777777" w:rsidR="008715BE" w:rsidRPr="00EC75B7" w:rsidRDefault="00000000">
            <w:pPr>
              <w:pStyle w:val="TableParagraph"/>
              <w:spacing w:before="41"/>
              <w:ind w:left="163" w:right="162" w:hanging="3"/>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pacing w:val="-2"/>
                <w:sz w:val="18"/>
                <w:szCs w:val="18"/>
              </w:rPr>
              <w:t>-term impacts</w:t>
            </w:r>
          </w:p>
        </w:tc>
        <w:tc>
          <w:tcPr>
            <w:tcW w:w="6669" w:type="dxa"/>
            <w:gridSpan w:val="5"/>
            <w:shd w:val="clear" w:color="auto" w:fill="00A1E8"/>
          </w:tcPr>
          <w:p w14:paraId="528FDFC9" w14:textId="77777777" w:rsidR="008715BE" w:rsidRPr="00EC75B7" w:rsidRDefault="008715BE">
            <w:pPr>
              <w:pStyle w:val="TableParagraph"/>
              <w:spacing w:before="136"/>
              <w:rPr>
                <w:rFonts w:ascii="Verdana" w:hAnsi="Verdana"/>
                <w:b/>
                <w:sz w:val="18"/>
                <w:szCs w:val="18"/>
              </w:rPr>
            </w:pPr>
          </w:p>
          <w:p w14:paraId="74890C7D" w14:textId="77777777" w:rsidR="008715BE" w:rsidRPr="00EC75B7" w:rsidRDefault="00000000">
            <w:pPr>
              <w:pStyle w:val="TableParagraph"/>
              <w:spacing w:before="1"/>
              <w:ind w:right="6"/>
              <w:jc w:val="center"/>
              <w:rPr>
                <w:rFonts w:ascii="Verdana" w:hAnsi="Verdana"/>
                <w:b/>
                <w:sz w:val="18"/>
                <w:szCs w:val="18"/>
              </w:rPr>
            </w:pPr>
            <w:r w:rsidRPr="00EC75B7">
              <w:rPr>
                <w:rFonts w:ascii="Verdana" w:hAnsi="Verdana"/>
                <w:b/>
                <w:color w:val="FFFFFF"/>
                <w:spacing w:val="-2"/>
                <w:sz w:val="18"/>
                <w:szCs w:val="18"/>
              </w:rPr>
              <w:t>Species</w:t>
            </w:r>
          </w:p>
        </w:tc>
        <w:tc>
          <w:tcPr>
            <w:tcW w:w="1115" w:type="dxa"/>
            <w:shd w:val="clear" w:color="auto" w:fill="00A1E8"/>
          </w:tcPr>
          <w:p w14:paraId="48B11BE2" w14:textId="77777777" w:rsidR="008715BE" w:rsidRPr="00EC75B7" w:rsidRDefault="00000000">
            <w:pPr>
              <w:pStyle w:val="TableParagraph"/>
              <w:spacing w:before="42"/>
              <w:ind w:left="336" w:right="132" w:hanging="209"/>
              <w:rPr>
                <w:rFonts w:ascii="Verdana" w:hAnsi="Verdana"/>
                <w:b/>
                <w:sz w:val="18"/>
                <w:szCs w:val="18"/>
              </w:rPr>
            </w:pPr>
            <w:r w:rsidRPr="00EC75B7">
              <w:rPr>
                <w:rFonts w:ascii="Verdana" w:hAnsi="Verdana"/>
                <w:b/>
                <w:color w:val="FFFFFF"/>
                <w:spacing w:val="-2"/>
                <w:sz w:val="18"/>
                <w:szCs w:val="18"/>
              </w:rPr>
              <w:t xml:space="preserve">Target </w:t>
            </w:r>
            <w:r w:rsidRPr="00EC75B7">
              <w:rPr>
                <w:rFonts w:ascii="Verdana" w:hAnsi="Verdana"/>
                <w:b/>
                <w:color w:val="FFFFFF"/>
                <w:sz w:val="18"/>
                <w:szCs w:val="18"/>
              </w:rPr>
              <w:t>parameter</w:t>
            </w:r>
          </w:p>
          <w:p w14:paraId="4D878C56" w14:textId="77777777" w:rsidR="008715BE" w:rsidRPr="00EC75B7" w:rsidRDefault="00000000">
            <w:pPr>
              <w:pStyle w:val="TableParagraph"/>
              <w:spacing w:line="193" w:lineRule="exact"/>
              <w:ind w:left="180"/>
              <w:rPr>
                <w:rFonts w:ascii="Verdana" w:hAnsi="Verdana"/>
                <w:b/>
                <w:sz w:val="18"/>
                <w:szCs w:val="18"/>
              </w:rPr>
            </w:pPr>
            <w:r w:rsidRPr="00EC75B7">
              <w:rPr>
                <w:rFonts w:ascii="Verdana" w:hAnsi="Verdana"/>
                <w:b/>
                <w:color w:val="FFFFFF"/>
                <w:spacing w:val="-2"/>
                <w:sz w:val="18"/>
                <w:szCs w:val="18"/>
              </w:rPr>
              <w:t>affected</w:t>
            </w:r>
          </w:p>
        </w:tc>
        <w:tc>
          <w:tcPr>
            <w:tcW w:w="2534" w:type="dxa"/>
            <w:shd w:val="clear" w:color="auto" w:fill="00A1E8"/>
          </w:tcPr>
          <w:p w14:paraId="641F93E9" w14:textId="77777777" w:rsidR="008715BE" w:rsidRPr="00EC75B7" w:rsidRDefault="008715BE">
            <w:pPr>
              <w:pStyle w:val="TableParagraph"/>
              <w:spacing w:before="40"/>
              <w:rPr>
                <w:rFonts w:ascii="Verdana" w:hAnsi="Verdana"/>
                <w:b/>
                <w:sz w:val="18"/>
                <w:szCs w:val="18"/>
              </w:rPr>
            </w:pPr>
          </w:p>
          <w:p w14:paraId="2A7A353A" w14:textId="77777777" w:rsidR="008715BE" w:rsidRPr="00EC75B7" w:rsidRDefault="00000000">
            <w:pPr>
              <w:pStyle w:val="TableParagraph"/>
              <w:spacing w:before="1"/>
              <w:ind w:left="947" w:right="171" w:hanging="240"/>
              <w:rPr>
                <w:rFonts w:ascii="Verdana" w:hAnsi="Verdana"/>
                <w:b/>
                <w:sz w:val="18"/>
                <w:szCs w:val="18"/>
              </w:rPr>
            </w:pPr>
            <w:r w:rsidRPr="00EC75B7">
              <w:rPr>
                <w:rFonts w:ascii="Verdana" w:hAnsi="Verdana"/>
                <w:b/>
                <w:color w:val="FFFFFF"/>
                <w:spacing w:val="-2"/>
                <w:sz w:val="18"/>
                <w:szCs w:val="18"/>
              </w:rPr>
              <w:t>Impact quantification</w:t>
            </w:r>
          </w:p>
        </w:tc>
        <w:tc>
          <w:tcPr>
            <w:tcW w:w="1530" w:type="dxa"/>
            <w:shd w:val="clear" w:color="auto" w:fill="00A1E8"/>
          </w:tcPr>
          <w:p w14:paraId="2D58B4E8" w14:textId="77777777" w:rsidR="008715BE" w:rsidRPr="00EC75B7" w:rsidRDefault="008715BE">
            <w:pPr>
              <w:pStyle w:val="TableParagraph"/>
              <w:spacing w:before="40"/>
              <w:rPr>
                <w:rFonts w:ascii="Verdana" w:hAnsi="Verdana"/>
                <w:b/>
                <w:sz w:val="18"/>
                <w:szCs w:val="18"/>
              </w:rPr>
            </w:pPr>
          </w:p>
          <w:p w14:paraId="3F210305" w14:textId="77777777" w:rsidR="008715BE" w:rsidRPr="00EC75B7" w:rsidRDefault="00000000">
            <w:pPr>
              <w:pStyle w:val="TableParagraph"/>
              <w:spacing w:before="1"/>
              <w:ind w:left="215" w:firstLine="208"/>
              <w:rPr>
                <w:rFonts w:ascii="Verdana" w:hAnsi="Verdana"/>
                <w:b/>
                <w:sz w:val="18"/>
                <w:szCs w:val="18"/>
              </w:rPr>
            </w:pPr>
            <w:r w:rsidRPr="00EC75B7">
              <w:rPr>
                <w:rFonts w:ascii="Verdana" w:hAnsi="Verdana"/>
                <w:b/>
                <w:color w:val="FFFFFF"/>
                <w:sz w:val="18"/>
                <w:szCs w:val="18"/>
              </w:rPr>
              <w:t xml:space="preserve">Method of </w:t>
            </w:r>
            <w:r w:rsidRPr="00EC75B7">
              <w:rPr>
                <w:rFonts w:ascii="Verdana" w:hAnsi="Verdana"/>
                <w:b/>
                <w:color w:val="FFFFFF"/>
                <w:spacing w:val="-2"/>
                <w:sz w:val="18"/>
                <w:szCs w:val="18"/>
              </w:rPr>
              <w:t>quantification</w:t>
            </w:r>
          </w:p>
        </w:tc>
      </w:tr>
      <w:tr w:rsidR="008715BE" w:rsidRPr="00EC75B7" w14:paraId="035059EA" w14:textId="77777777">
        <w:trPr>
          <w:trHeight w:val="628"/>
        </w:trPr>
        <w:tc>
          <w:tcPr>
            <w:tcW w:w="605" w:type="dxa"/>
            <w:vMerge w:val="restart"/>
          </w:tcPr>
          <w:p w14:paraId="20BE10E7" w14:textId="77777777" w:rsidR="008715BE" w:rsidRPr="00EC75B7" w:rsidRDefault="008715BE">
            <w:pPr>
              <w:pStyle w:val="TableParagraph"/>
              <w:rPr>
                <w:rFonts w:ascii="Verdana" w:hAnsi="Verdana"/>
                <w:sz w:val="18"/>
                <w:szCs w:val="18"/>
              </w:rPr>
            </w:pPr>
          </w:p>
        </w:tc>
        <w:tc>
          <w:tcPr>
            <w:tcW w:w="1649" w:type="dxa"/>
            <w:vMerge w:val="restart"/>
          </w:tcPr>
          <w:p w14:paraId="369B40B7" w14:textId="77777777" w:rsidR="008715BE" w:rsidRPr="00EC75B7" w:rsidRDefault="008715BE">
            <w:pPr>
              <w:pStyle w:val="TableParagraph"/>
              <w:rPr>
                <w:rFonts w:ascii="Verdana" w:hAnsi="Verdana"/>
                <w:sz w:val="18"/>
                <w:szCs w:val="18"/>
              </w:rPr>
            </w:pPr>
          </w:p>
        </w:tc>
        <w:tc>
          <w:tcPr>
            <w:tcW w:w="1277" w:type="dxa"/>
          </w:tcPr>
          <w:p w14:paraId="7D0E7B4D" w14:textId="77777777" w:rsidR="008715BE" w:rsidRPr="00EC75B7" w:rsidRDefault="008715BE">
            <w:pPr>
              <w:pStyle w:val="TableParagraph"/>
              <w:rPr>
                <w:rFonts w:ascii="Verdana" w:hAnsi="Verdana"/>
                <w:sz w:val="18"/>
                <w:szCs w:val="18"/>
              </w:rPr>
            </w:pPr>
          </w:p>
        </w:tc>
        <w:tc>
          <w:tcPr>
            <w:tcW w:w="1275" w:type="dxa"/>
          </w:tcPr>
          <w:p w14:paraId="2F9D3C79" w14:textId="77777777" w:rsidR="008715BE" w:rsidRPr="00EC75B7" w:rsidRDefault="008715BE">
            <w:pPr>
              <w:pStyle w:val="TableParagraph"/>
              <w:rPr>
                <w:rFonts w:ascii="Verdana" w:hAnsi="Verdana"/>
                <w:sz w:val="18"/>
                <w:szCs w:val="18"/>
              </w:rPr>
            </w:pPr>
          </w:p>
        </w:tc>
        <w:tc>
          <w:tcPr>
            <w:tcW w:w="850" w:type="dxa"/>
          </w:tcPr>
          <w:p w14:paraId="3E25BF68" w14:textId="77777777" w:rsidR="008715BE" w:rsidRPr="00EC75B7" w:rsidRDefault="008715BE">
            <w:pPr>
              <w:pStyle w:val="TableParagraph"/>
              <w:rPr>
                <w:rFonts w:ascii="Verdana" w:hAnsi="Verdana"/>
                <w:sz w:val="18"/>
                <w:szCs w:val="18"/>
              </w:rPr>
            </w:pPr>
          </w:p>
        </w:tc>
        <w:tc>
          <w:tcPr>
            <w:tcW w:w="1261" w:type="dxa"/>
          </w:tcPr>
          <w:p w14:paraId="492CBD44" w14:textId="77777777" w:rsidR="008715BE" w:rsidRPr="00EC75B7" w:rsidRDefault="008715BE">
            <w:pPr>
              <w:pStyle w:val="TableParagraph"/>
              <w:rPr>
                <w:rFonts w:ascii="Verdana" w:hAnsi="Verdana"/>
                <w:sz w:val="18"/>
                <w:szCs w:val="18"/>
              </w:rPr>
            </w:pPr>
          </w:p>
        </w:tc>
        <w:tc>
          <w:tcPr>
            <w:tcW w:w="1352" w:type="dxa"/>
          </w:tcPr>
          <w:p w14:paraId="5465B44A" w14:textId="77777777" w:rsidR="008715BE" w:rsidRPr="00EC75B7" w:rsidRDefault="008715BE">
            <w:pPr>
              <w:pStyle w:val="TableParagraph"/>
              <w:rPr>
                <w:rFonts w:ascii="Verdana" w:hAnsi="Verdana"/>
                <w:sz w:val="18"/>
                <w:szCs w:val="18"/>
              </w:rPr>
            </w:pPr>
          </w:p>
        </w:tc>
        <w:tc>
          <w:tcPr>
            <w:tcW w:w="1261" w:type="dxa"/>
          </w:tcPr>
          <w:p w14:paraId="5CC26BE0" w14:textId="77777777" w:rsidR="008715BE" w:rsidRPr="00EC75B7" w:rsidRDefault="008715BE">
            <w:pPr>
              <w:pStyle w:val="TableParagraph"/>
              <w:rPr>
                <w:rFonts w:ascii="Verdana" w:hAnsi="Verdana"/>
                <w:sz w:val="18"/>
                <w:szCs w:val="18"/>
              </w:rPr>
            </w:pPr>
          </w:p>
        </w:tc>
        <w:tc>
          <w:tcPr>
            <w:tcW w:w="1386" w:type="dxa"/>
            <w:vMerge w:val="restart"/>
          </w:tcPr>
          <w:p w14:paraId="29B146EB" w14:textId="77777777" w:rsidR="008715BE" w:rsidRPr="00EC75B7" w:rsidRDefault="00000000">
            <w:pPr>
              <w:pStyle w:val="TableParagraph"/>
              <w:spacing w:before="8"/>
              <w:ind w:left="101" w:right="158"/>
              <w:rPr>
                <w:rFonts w:ascii="Verdana" w:hAnsi="Verdana"/>
                <w:i/>
                <w:sz w:val="18"/>
                <w:szCs w:val="18"/>
              </w:rPr>
            </w:pPr>
            <w:r w:rsidRPr="00EC75B7">
              <w:rPr>
                <w:rFonts w:ascii="Verdana" w:hAnsi="Verdana"/>
                <w:i/>
                <w:spacing w:val="-2"/>
                <w:sz w:val="18"/>
                <w:szCs w:val="18"/>
              </w:rPr>
              <w:t xml:space="preserve">Melanocorypha </w:t>
            </w:r>
            <w:r w:rsidRPr="00EC75B7">
              <w:rPr>
                <w:rFonts w:ascii="Verdana" w:hAnsi="Verdana"/>
                <w:i/>
                <w:sz w:val="18"/>
                <w:szCs w:val="18"/>
              </w:rPr>
              <w:t xml:space="preserve">calandra, </w:t>
            </w:r>
            <w:r w:rsidRPr="00EC75B7">
              <w:rPr>
                <w:rFonts w:ascii="Verdana" w:hAnsi="Verdana"/>
                <w:i/>
                <w:spacing w:val="-2"/>
                <w:sz w:val="18"/>
                <w:szCs w:val="18"/>
              </w:rPr>
              <w:t>Milvus migrans, Pernis apivorus</w:t>
            </w:r>
          </w:p>
        </w:tc>
        <w:tc>
          <w:tcPr>
            <w:tcW w:w="1410" w:type="dxa"/>
            <w:vMerge w:val="restart"/>
          </w:tcPr>
          <w:p w14:paraId="10FA7759" w14:textId="77777777" w:rsidR="008715BE" w:rsidRPr="00EC75B7" w:rsidRDefault="00000000">
            <w:pPr>
              <w:pStyle w:val="TableParagraph"/>
              <w:spacing w:before="8"/>
              <w:ind w:left="103" w:right="129"/>
              <w:rPr>
                <w:rFonts w:ascii="Verdana" w:hAnsi="Verdana"/>
                <w:i/>
                <w:sz w:val="18"/>
                <w:szCs w:val="18"/>
              </w:rPr>
            </w:pPr>
            <w:r w:rsidRPr="00EC75B7">
              <w:rPr>
                <w:rFonts w:ascii="Verdana" w:hAnsi="Verdana"/>
                <w:i/>
                <w:spacing w:val="-2"/>
                <w:sz w:val="18"/>
                <w:szCs w:val="18"/>
              </w:rPr>
              <w:t>Great Grey Shrike, Lanius senator, European Bee-eater, Merops apiaster, Corn Bunting, Calandra Lark, Miliaria calandra, White Wagtail, Motacilla alba, Yellow Wagtail, Motacilla flava, Isabelline Wheatear, Oenanthe isabellina, Black Wheatear, Oenanthe oenanthe, Stonechat, Saxicola torquata, Turtle Dove, Streptopelia turtur, Rosy Starling (alternative name Pastor roseus)</w:t>
            </w:r>
            <w:r w:rsidRPr="00EC75B7">
              <w:rPr>
                <w:rFonts w:ascii="Verdana" w:hAnsi="Verdana"/>
                <w:i/>
                <w:sz w:val="18"/>
                <w:szCs w:val="18"/>
              </w:rPr>
              <w:t>,</w:t>
            </w:r>
            <w:r w:rsidRPr="00EC75B7">
              <w:rPr>
                <w:rFonts w:ascii="Verdana" w:hAnsi="Verdana"/>
                <w:i/>
                <w:spacing w:val="-2"/>
                <w:sz w:val="18"/>
                <w:szCs w:val="18"/>
              </w:rPr>
              <w:t xml:space="preserve"> </w:t>
            </w:r>
            <w:r w:rsidRPr="00EC75B7">
              <w:rPr>
                <w:rFonts w:ascii="Verdana" w:hAnsi="Verdana"/>
                <w:i/>
                <w:sz w:val="18"/>
                <w:szCs w:val="18"/>
              </w:rPr>
              <w:t>Redwing,</w:t>
            </w:r>
            <w:r w:rsidRPr="00EC75B7">
              <w:rPr>
                <w:rFonts w:ascii="Verdana" w:hAnsi="Verdana"/>
                <w:i/>
                <w:spacing w:val="-2"/>
                <w:sz w:val="18"/>
                <w:szCs w:val="18"/>
              </w:rPr>
              <w:t xml:space="preserve"> </w:t>
            </w:r>
            <w:r w:rsidRPr="00EC75B7">
              <w:rPr>
                <w:rFonts w:ascii="Verdana" w:hAnsi="Verdana"/>
                <w:i/>
                <w:sz w:val="18"/>
                <w:szCs w:val="18"/>
              </w:rPr>
              <w:t>Turdus iliacus, Hoopoe, Upupa epops</w:t>
            </w:r>
          </w:p>
        </w:tc>
        <w:tc>
          <w:tcPr>
            <w:tcW w:w="1261" w:type="dxa"/>
            <w:vMerge w:val="restart"/>
          </w:tcPr>
          <w:p w14:paraId="73C139DE" w14:textId="77777777" w:rsidR="008715BE" w:rsidRPr="00EC75B7" w:rsidRDefault="00000000">
            <w:pPr>
              <w:pStyle w:val="TableParagraph"/>
              <w:spacing w:before="8"/>
              <w:ind w:left="100" w:right="107"/>
              <w:rPr>
                <w:rFonts w:ascii="Verdana" w:hAnsi="Verdana"/>
                <w:i/>
                <w:sz w:val="18"/>
                <w:szCs w:val="18"/>
              </w:rPr>
            </w:pPr>
            <w:r w:rsidRPr="00EC75B7">
              <w:rPr>
                <w:rFonts w:ascii="Verdana" w:hAnsi="Verdana"/>
                <w:i/>
                <w:spacing w:val="-2"/>
                <w:sz w:val="18"/>
                <w:szCs w:val="18"/>
              </w:rPr>
              <w:t>Phylloscopus sibilatrix, Phylloscopus trochilus, Pyrrhula pyrrhula, Regulus ignicapillus, Regulus regulus, Serinus serinus, Sturnus vulgaris, Sylvia atricapilla, Sylvia curruca, Turdus merula, Turdus philomelos, Turdus pilaris, Turdus viscivorus</w:t>
            </w:r>
          </w:p>
        </w:tc>
        <w:tc>
          <w:tcPr>
            <w:tcW w:w="1442" w:type="dxa"/>
            <w:vMerge w:val="restart"/>
          </w:tcPr>
          <w:p w14:paraId="56D5DDC0" w14:textId="77777777" w:rsidR="008715BE" w:rsidRPr="00EC75B7" w:rsidRDefault="008715BE">
            <w:pPr>
              <w:pStyle w:val="TableParagraph"/>
              <w:rPr>
                <w:rFonts w:ascii="Verdana" w:hAnsi="Verdana"/>
                <w:sz w:val="18"/>
                <w:szCs w:val="18"/>
              </w:rPr>
            </w:pPr>
          </w:p>
        </w:tc>
        <w:tc>
          <w:tcPr>
            <w:tcW w:w="1170" w:type="dxa"/>
            <w:vMerge w:val="restart"/>
          </w:tcPr>
          <w:p w14:paraId="65A9025D" w14:textId="77777777" w:rsidR="008715BE" w:rsidRPr="00EC75B7" w:rsidRDefault="008715BE">
            <w:pPr>
              <w:pStyle w:val="TableParagraph"/>
              <w:rPr>
                <w:rFonts w:ascii="Verdana" w:hAnsi="Verdana"/>
                <w:sz w:val="18"/>
                <w:szCs w:val="18"/>
              </w:rPr>
            </w:pPr>
          </w:p>
        </w:tc>
        <w:tc>
          <w:tcPr>
            <w:tcW w:w="1115" w:type="dxa"/>
          </w:tcPr>
          <w:p w14:paraId="1FCC8E0B" w14:textId="77777777" w:rsidR="008715BE" w:rsidRPr="00EC75B7" w:rsidRDefault="008715BE">
            <w:pPr>
              <w:pStyle w:val="TableParagraph"/>
              <w:rPr>
                <w:rFonts w:ascii="Verdana" w:hAnsi="Verdana"/>
                <w:sz w:val="18"/>
                <w:szCs w:val="18"/>
              </w:rPr>
            </w:pPr>
          </w:p>
        </w:tc>
        <w:tc>
          <w:tcPr>
            <w:tcW w:w="2534" w:type="dxa"/>
          </w:tcPr>
          <w:p w14:paraId="0571F0D3" w14:textId="77777777" w:rsidR="008715BE" w:rsidRPr="00EC75B7" w:rsidRDefault="00000000">
            <w:pPr>
              <w:pStyle w:val="TableParagraph"/>
              <w:spacing w:before="8"/>
              <w:ind w:left="95" w:right="211"/>
              <w:rPr>
                <w:rFonts w:ascii="Verdana" w:hAnsi="Verdana"/>
                <w:sz w:val="18"/>
                <w:szCs w:val="18"/>
              </w:rPr>
            </w:pPr>
            <w:r w:rsidRPr="00EC75B7">
              <w:rPr>
                <w:rFonts w:ascii="Verdana" w:hAnsi="Verdana"/>
                <w:sz w:val="18"/>
                <w:szCs w:val="18"/>
              </w:rPr>
              <w:t>temporary ditches for cable installation</w:t>
            </w:r>
          </w:p>
        </w:tc>
        <w:tc>
          <w:tcPr>
            <w:tcW w:w="1530" w:type="dxa"/>
          </w:tcPr>
          <w:p w14:paraId="7F30844C" w14:textId="77777777" w:rsidR="008715BE" w:rsidRPr="00EC75B7" w:rsidRDefault="008715BE">
            <w:pPr>
              <w:pStyle w:val="TableParagraph"/>
              <w:rPr>
                <w:rFonts w:ascii="Verdana" w:hAnsi="Verdana"/>
                <w:sz w:val="18"/>
                <w:szCs w:val="18"/>
              </w:rPr>
            </w:pPr>
          </w:p>
        </w:tc>
      </w:tr>
      <w:tr w:rsidR="008715BE" w:rsidRPr="00EC75B7" w14:paraId="7450C639" w14:textId="77777777">
        <w:trPr>
          <w:trHeight w:val="2334"/>
        </w:trPr>
        <w:tc>
          <w:tcPr>
            <w:tcW w:w="605" w:type="dxa"/>
            <w:vMerge/>
            <w:tcBorders>
              <w:top w:val="nil"/>
            </w:tcBorders>
          </w:tcPr>
          <w:p w14:paraId="3C9614B0" w14:textId="77777777" w:rsidR="008715BE" w:rsidRPr="00EC75B7" w:rsidRDefault="008715BE">
            <w:pPr>
              <w:rPr>
                <w:rFonts w:ascii="Verdana" w:hAnsi="Verdana"/>
                <w:sz w:val="18"/>
                <w:szCs w:val="18"/>
              </w:rPr>
            </w:pPr>
          </w:p>
        </w:tc>
        <w:tc>
          <w:tcPr>
            <w:tcW w:w="1649" w:type="dxa"/>
            <w:vMerge/>
            <w:tcBorders>
              <w:top w:val="nil"/>
            </w:tcBorders>
          </w:tcPr>
          <w:p w14:paraId="64A483FF" w14:textId="77777777" w:rsidR="008715BE" w:rsidRPr="00EC75B7" w:rsidRDefault="008715BE">
            <w:pPr>
              <w:rPr>
                <w:rFonts w:ascii="Verdana" w:hAnsi="Verdana"/>
                <w:sz w:val="18"/>
                <w:szCs w:val="18"/>
              </w:rPr>
            </w:pPr>
          </w:p>
        </w:tc>
        <w:tc>
          <w:tcPr>
            <w:tcW w:w="1277" w:type="dxa"/>
          </w:tcPr>
          <w:p w14:paraId="1668B93D"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levels</w:t>
            </w:r>
          </w:p>
        </w:tc>
        <w:tc>
          <w:tcPr>
            <w:tcW w:w="1275" w:type="dxa"/>
          </w:tcPr>
          <w:p w14:paraId="4A970657"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PAS</w:t>
            </w:r>
          </w:p>
        </w:tc>
        <w:tc>
          <w:tcPr>
            <w:tcW w:w="850" w:type="dxa"/>
          </w:tcPr>
          <w:p w14:paraId="1EDB25C1"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5844110A"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464E81C0"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4CD489C7"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6" w:type="dxa"/>
            <w:vMerge/>
            <w:tcBorders>
              <w:top w:val="nil"/>
            </w:tcBorders>
          </w:tcPr>
          <w:p w14:paraId="10B667C5" w14:textId="77777777" w:rsidR="008715BE" w:rsidRPr="00EC75B7" w:rsidRDefault="008715BE">
            <w:pPr>
              <w:rPr>
                <w:rFonts w:ascii="Verdana" w:hAnsi="Verdana"/>
                <w:sz w:val="18"/>
                <w:szCs w:val="18"/>
              </w:rPr>
            </w:pPr>
          </w:p>
        </w:tc>
        <w:tc>
          <w:tcPr>
            <w:tcW w:w="1410" w:type="dxa"/>
            <w:vMerge/>
            <w:tcBorders>
              <w:top w:val="nil"/>
            </w:tcBorders>
          </w:tcPr>
          <w:p w14:paraId="40B7A730" w14:textId="77777777" w:rsidR="008715BE" w:rsidRPr="00EC75B7" w:rsidRDefault="008715BE">
            <w:pPr>
              <w:rPr>
                <w:rFonts w:ascii="Verdana" w:hAnsi="Verdana"/>
                <w:sz w:val="18"/>
                <w:szCs w:val="18"/>
              </w:rPr>
            </w:pPr>
          </w:p>
        </w:tc>
        <w:tc>
          <w:tcPr>
            <w:tcW w:w="1261" w:type="dxa"/>
            <w:vMerge/>
            <w:tcBorders>
              <w:top w:val="nil"/>
            </w:tcBorders>
          </w:tcPr>
          <w:p w14:paraId="6095C63C" w14:textId="77777777" w:rsidR="008715BE" w:rsidRPr="00EC75B7" w:rsidRDefault="008715BE">
            <w:pPr>
              <w:rPr>
                <w:rFonts w:ascii="Verdana" w:hAnsi="Verdana"/>
                <w:sz w:val="18"/>
                <w:szCs w:val="18"/>
              </w:rPr>
            </w:pPr>
          </w:p>
        </w:tc>
        <w:tc>
          <w:tcPr>
            <w:tcW w:w="1442" w:type="dxa"/>
            <w:vMerge/>
            <w:tcBorders>
              <w:top w:val="nil"/>
            </w:tcBorders>
          </w:tcPr>
          <w:p w14:paraId="6CE2D7EA" w14:textId="77777777" w:rsidR="008715BE" w:rsidRPr="00EC75B7" w:rsidRDefault="008715BE">
            <w:pPr>
              <w:rPr>
                <w:rFonts w:ascii="Verdana" w:hAnsi="Verdana"/>
                <w:sz w:val="18"/>
                <w:szCs w:val="18"/>
              </w:rPr>
            </w:pPr>
          </w:p>
        </w:tc>
        <w:tc>
          <w:tcPr>
            <w:tcW w:w="1170" w:type="dxa"/>
            <w:vMerge/>
            <w:tcBorders>
              <w:top w:val="nil"/>
            </w:tcBorders>
          </w:tcPr>
          <w:p w14:paraId="55823055" w14:textId="77777777" w:rsidR="008715BE" w:rsidRPr="00EC75B7" w:rsidRDefault="008715BE">
            <w:pPr>
              <w:rPr>
                <w:rFonts w:ascii="Verdana" w:hAnsi="Verdana"/>
                <w:sz w:val="18"/>
                <w:szCs w:val="18"/>
              </w:rPr>
            </w:pPr>
          </w:p>
        </w:tc>
        <w:tc>
          <w:tcPr>
            <w:tcW w:w="1115" w:type="dxa"/>
          </w:tcPr>
          <w:p w14:paraId="7E84FE53"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4F1DA100" w14:textId="77777777" w:rsidR="008715BE" w:rsidRPr="00EC75B7" w:rsidRDefault="00000000">
            <w:pPr>
              <w:pStyle w:val="TableParagraph"/>
              <w:spacing w:before="8"/>
              <w:ind w:left="95" w:right="175"/>
              <w:rPr>
                <w:rFonts w:ascii="Verdana" w:hAnsi="Verdana"/>
                <w:sz w:val="18"/>
                <w:szCs w:val="18"/>
              </w:rPr>
            </w:pPr>
            <w:r w:rsidRPr="00EC75B7">
              <w:rPr>
                <w:rFonts w:ascii="Verdana" w:hAnsi="Verdana"/>
                <w:sz w:val="18"/>
                <w:szCs w:val="18"/>
              </w:rPr>
              <w:t>Possible disruption of the activity of a maximum of 2 to 3 individuals The effects will be felt locally, at distances that are not likely to affect sensitive receptors in the area The 30 dB noise contour will be felt at distances of up to 1.5 km around the work area</w:t>
            </w:r>
          </w:p>
        </w:tc>
        <w:tc>
          <w:tcPr>
            <w:tcW w:w="1530" w:type="dxa"/>
          </w:tcPr>
          <w:p w14:paraId="3EB657BD"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r w:rsidR="008715BE" w:rsidRPr="00EC75B7" w14:paraId="3F8E834C" w14:textId="77777777">
        <w:trPr>
          <w:trHeight w:val="2916"/>
        </w:trPr>
        <w:tc>
          <w:tcPr>
            <w:tcW w:w="605" w:type="dxa"/>
            <w:vMerge/>
            <w:tcBorders>
              <w:top w:val="nil"/>
            </w:tcBorders>
          </w:tcPr>
          <w:p w14:paraId="59D16D5E" w14:textId="77777777" w:rsidR="008715BE" w:rsidRPr="00EC75B7" w:rsidRDefault="008715BE">
            <w:pPr>
              <w:rPr>
                <w:rFonts w:ascii="Verdana" w:hAnsi="Verdana"/>
                <w:sz w:val="18"/>
                <w:szCs w:val="18"/>
              </w:rPr>
            </w:pPr>
          </w:p>
        </w:tc>
        <w:tc>
          <w:tcPr>
            <w:tcW w:w="1649" w:type="dxa"/>
            <w:vMerge w:val="restart"/>
          </w:tcPr>
          <w:p w14:paraId="525DA84F" w14:textId="77777777" w:rsidR="008715BE" w:rsidRPr="00EC75B7" w:rsidRDefault="00000000">
            <w:pPr>
              <w:pStyle w:val="TableParagraph"/>
              <w:spacing w:before="8"/>
              <w:ind w:left="105" w:right="145"/>
              <w:rPr>
                <w:rFonts w:ascii="Verdana" w:hAnsi="Verdana"/>
                <w:sz w:val="18"/>
                <w:szCs w:val="18"/>
              </w:rPr>
            </w:pPr>
            <w:r w:rsidRPr="00EC75B7">
              <w:rPr>
                <w:rFonts w:ascii="Verdana" w:hAnsi="Verdana"/>
                <w:sz w:val="18"/>
                <w:szCs w:val="18"/>
              </w:rPr>
              <w:t xml:space="preserve">Decommissioning/demolition works Land restoration/rehabilitation works at the end of </w:t>
            </w:r>
            <w:r w:rsidRPr="00EC75B7">
              <w:rPr>
                <w:rFonts w:ascii="Verdana" w:hAnsi="Verdana"/>
                <w:spacing w:val="-2"/>
                <w:sz w:val="18"/>
                <w:szCs w:val="18"/>
              </w:rPr>
              <w:t xml:space="preserve">the project's </w:t>
            </w:r>
            <w:r w:rsidRPr="00EC75B7">
              <w:rPr>
                <w:rFonts w:ascii="Verdana" w:hAnsi="Verdana"/>
                <w:sz w:val="18"/>
                <w:szCs w:val="18"/>
              </w:rPr>
              <w:t>life cycle</w:t>
            </w:r>
          </w:p>
        </w:tc>
        <w:tc>
          <w:tcPr>
            <w:tcW w:w="1277" w:type="dxa"/>
          </w:tcPr>
          <w:p w14:paraId="6E0EAD85" w14:textId="77777777" w:rsidR="008715BE" w:rsidRPr="00EC75B7" w:rsidRDefault="00000000">
            <w:pPr>
              <w:pStyle w:val="TableParagraph"/>
              <w:spacing w:before="8"/>
              <w:ind w:left="107" w:right="106"/>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of wildlife with </w:t>
            </w:r>
            <w:r w:rsidRPr="00EC75B7">
              <w:rPr>
                <w:rFonts w:ascii="Verdana" w:hAnsi="Verdana"/>
                <w:spacing w:val="-2"/>
                <w:sz w:val="18"/>
                <w:szCs w:val="18"/>
              </w:rPr>
              <w:t xml:space="preserve">vehicle traffic </w:t>
            </w:r>
            <w:r w:rsidRPr="00EC75B7">
              <w:rPr>
                <w:rFonts w:ascii="Verdana" w:hAnsi="Verdana"/>
                <w:sz w:val="18"/>
                <w:szCs w:val="18"/>
              </w:rPr>
              <w:t xml:space="preserve">on </w:t>
            </w:r>
            <w:r w:rsidRPr="00EC75B7">
              <w:rPr>
                <w:rFonts w:ascii="Verdana" w:hAnsi="Verdana"/>
                <w:spacing w:val="-2"/>
                <w:sz w:val="18"/>
                <w:szCs w:val="18"/>
              </w:rPr>
              <w:t xml:space="preserve">access roads/machinery </w:t>
            </w:r>
            <w:r w:rsidRPr="00EC75B7">
              <w:rPr>
                <w:rFonts w:ascii="Verdana" w:hAnsi="Verdana"/>
                <w:sz w:val="18"/>
                <w:szCs w:val="18"/>
              </w:rPr>
              <w:t xml:space="preserve">in the </w:t>
            </w:r>
            <w:r w:rsidRPr="00EC75B7">
              <w:rPr>
                <w:rFonts w:ascii="Verdana" w:hAnsi="Verdana"/>
                <w:spacing w:val="-2"/>
                <w:sz w:val="18"/>
                <w:szCs w:val="18"/>
              </w:rPr>
              <w:t>work</w:t>
            </w:r>
            <w:r w:rsidRPr="00EC75B7">
              <w:rPr>
                <w:rFonts w:ascii="Verdana" w:hAnsi="Verdana"/>
                <w:sz w:val="18"/>
                <w:szCs w:val="18"/>
              </w:rPr>
              <w:t xml:space="preserve"> area</w:t>
            </w:r>
          </w:p>
        </w:tc>
        <w:tc>
          <w:tcPr>
            <w:tcW w:w="1275" w:type="dxa"/>
          </w:tcPr>
          <w:p w14:paraId="4423CAD1"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REP</w:t>
            </w:r>
          </w:p>
        </w:tc>
        <w:tc>
          <w:tcPr>
            <w:tcW w:w="850" w:type="dxa"/>
          </w:tcPr>
          <w:p w14:paraId="2C288560"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2991785C"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4CC33C02"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78E209B7" w14:textId="77777777" w:rsidR="008715BE" w:rsidRPr="00EC75B7" w:rsidRDefault="00000000">
            <w:pPr>
              <w:pStyle w:val="TableParagraph"/>
              <w:spacing w:before="8"/>
              <w:ind w:left="102" w:right="317"/>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w:t>
            </w:r>
            <w:r w:rsidRPr="00EC75B7">
              <w:rPr>
                <w:rFonts w:ascii="Verdana" w:hAnsi="Verdana"/>
                <w:spacing w:val="-2"/>
                <w:sz w:val="18"/>
                <w:szCs w:val="18"/>
              </w:rPr>
              <w:t xml:space="preserve"> impact</w:t>
            </w:r>
          </w:p>
        </w:tc>
        <w:tc>
          <w:tcPr>
            <w:tcW w:w="1386" w:type="dxa"/>
            <w:vMerge/>
            <w:tcBorders>
              <w:top w:val="nil"/>
            </w:tcBorders>
          </w:tcPr>
          <w:p w14:paraId="129BAE64" w14:textId="77777777" w:rsidR="008715BE" w:rsidRPr="00EC75B7" w:rsidRDefault="008715BE">
            <w:pPr>
              <w:rPr>
                <w:rFonts w:ascii="Verdana" w:hAnsi="Verdana"/>
                <w:sz w:val="18"/>
                <w:szCs w:val="18"/>
              </w:rPr>
            </w:pPr>
          </w:p>
        </w:tc>
        <w:tc>
          <w:tcPr>
            <w:tcW w:w="1410" w:type="dxa"/>
            <w:vMerge/>
            <w:tcBorders>
              <w:top w:val="nil"/>
            </w:tcBorders>
          </w:tcPr>
          <w:p w14:paraId="797DDE02" w14:textId="77777777" w:rsidR="008715BE" w:rsidRPr="00EC75B7" w:rsidRDefault="008715BE">
            <w:pPr>
              <w:rPr>
                <w:rFonts w:ascii="Verdana" w:hAnsi="Verdana"/>
                <w:sz w:val="18"/>
                <w:szCs w:val="18"/>
              </w:rPr>
            </w:pPr>
          </w:p>
        </w:tc>
        <w:tc>
          <w:tcPr>
            <w:tcW w:w="1261" w:type="dxa"/>
            <w:vMerge/>
            <w:tcBorders>
              <w:top w:val="nil"/>
            </w:tcBorders>
          </w:tcPr>
          <w:p w14:paraId="6CBAEEF5" w14:textId="77777777" w:rsidR="008715BE" w:rsidRPr="00EC75B7" w:rsidRDefault="008715BE">
            <w:pPr>
              <w:rPr>
                <w:rFonts w:ascii="Verdana" w:hAnsi="Verdana"/>
                <w:sz w:val="18"/>
                <w:szCs w:val="18"/>
              </w:rPr>
            </w:pPr>
          </w:p>
        </w:tc>
        <w:tc>
          <w:tcPr>
            <w:tcW w:w="1442" w:type="dxa"/>
            <w:vMerge/>
            <w:tcBorders>
              <w:top w:val="nil"/>
            </w:tcBorders>
          </w:tcPr>
          <w:p w14:paraId="5A6E0D23" w14:textId="77777777" w:rsidR="008715BE" w:rsidRPr="00EC75B7" w:rsidRDefault="008715BE">
            <w:pPr>
              <w:rPr>
                <w:rFonts w:ascii="Verdana" w:hAnsi="Verdana"/>
                <w:sz w:val="18"/>
                <w:szCs w:val="18"/>
              </w:rPr>
            </w:pPr>
          </w:p>
        </w:tc>
        <w:tc>
          <w:tcPr>
            <w:tcW w:w="1170" w:type="dxa"/>
            <w:vMerge/>
            <w:tcBorders>
              <w:top w:val="nil"/>
            </w:tcBorders>
          </w:tcPr>
          <w:p w14:paraId="4AFAD35A" w14:textId="77777777" w:rsidR="008715BE" w:rsidRPr="00EC75B7" w:rsidRDefault="008715BE">
            <w:pPr>
              <w:rPr>
                <w:rFonts w:ascii="Verdana" w:hAnsi="Verdana"/>
                <w:sz w:val="18"/>
                <w:szCs w:val="18"/>
              </w:rPr>
            </w:pPr>
          </w:p>
        </w:tc>
        <w:tc>
          <w:tcPr>
            <w:tcW w:w="1115" w:type="dxa"/>
          </w:tcPr>
          <w:p w14:paraId="138B0328" w14:textId="77777777" w:rsidR="008715BE" w:rsidRPr="00EC75B7" w:rsidRDefault="00000000">
            <w:pPr>
              <w:pStyle w:val="TableParagraph"/>
              <w:spacing w:before="8"/>
              <w:ind w:left="98" w:right="132"/>
              <w:rPr>
                <w:rFonts w:ascii="Verdana" w:hAnsi="Verdana"/>
                <w:sz w:val="18"/>
                <w:szCs w:val="18"/>
              </w:rPr>
            </w:pPr>
            <w:r w:rsidRPr="00EC75B7">
              <w:rPr>
                <w:rFonts w:ascii="Verdana" w:hAnsi="Verdana"/>
                <w:spacing w:val="-2"/>
                <w:sz w:val="18"/>
                <w:szCs w:val="18"/>
              </w:rPr>
              <w:t>Population size trend</w:t>
            </w:r>
          </w:p>
        </w:tc>
        <w:tc>
          <w:tcPr>
            <w:tcW w:w="2534" w:type="dxa"/>
          </w:tcPr>
          <w:p w14:paraId="5704D8BE" w14:textId="77777777" w:rsidR="008715BE" w:rsidRPr="00EC75B7" w:rsidRDefault="00000000">
            <w:pPr>
              <w:pStyle w:val="TableParagraph"/>
              <w:spacing w:before="8"/>
              <w:ind w:left="95" w:right="128"/>
              <w:rPr>
                <w:rFonts w:ascii="Verdana" w:hAnsi="Verdana"/>
                <w:sz w:val="18"/>
                <w:szCs w:val="18"/>
              </w:rPr>
            </w:pPr>
            <w:r w:rsidRPr="00EC75B7">
              <w:rPr>
                <w:rFonts w:ascii="Verdana" w:hAnsi="Verdana"/>
                <w:sz w:val="18"/>
                <w:szCs w:val="18"/>
              </w:rPr>
              <w:t>The population trend will be stable, 0% change The impact will be felt in the work areas, resulting in the temporary removal of specimens that use these areas for feeding/resting, with the species moving to neighboring areas with similar conditions.</w:t>
            </w:r>
          </w:p>
          <w:p w14:paraId="6FFBC83D" w14:textId="77777777" w:rsidR="008715BE" w:rsidRPr="00EC75B7" w:rsidRDefault="00000000">
            <w:pPr>
              <w:pStyle w:val="TableParagraph"/>
              <w:ind w:left="95" w:right="175"/>
              <w:rPr>
                <w:rFonts w:ascii="Verdana" w:hAnsi="Verdana"/>
                <w:sz w:val="18"/>
                <w:szCs w:val="18"/>
              </w:rPr>
            </w:pPr>
            <w:r w:rsidRPr="00EC75B7">
              <w:rPr>
                <w:rFonts w:ascii="Verdana" w:hAnsi="Verdana"/>
                <w:sz w:val="18"/>
                <w:szCs w:val="18"/>
              </w:rPr>
              <w:t>The effect will be insignificant and temporary, as the work will be carried out in stages</w:t>
            </w:r>
          </w:p>
        </w:tc>
        <w:tc>
          <w:tcPr>
            <w:tcW w:w="1530" w:type="dxa"/>
          </w:tcPr>
          <w:p w14:paraId="293DB67C" w14:textId="77777777" w:rsidR="008715BE" w:rsidRPr="00EC75B7" w:rsidRDefault="00000000">
            <w:pPr>
              <w:pStyle w:val="TableParagraph"/>
              <w:spacing w:before="8"/>
              <w:ind w:left="93" w:right="114"/>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w:t>
            </w:r>
            <w:r w:rsidRPr="00EC75B7">
              <w:rPr>
                <w:rFonts w:ascii="Verdana" w:hAnsi="Verdana"/>
                <w:sz w:val="18"/>
                <w:szCs w:val="18"/>
              </w:rPr>
              <w:t xml:space="preserve">carried out 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w:t>
            </w:r>
            <w:r w:rsidRPr="00EC75B7">
              <w:rPr>
                <w:rFonts w:ascii="Verdana" w:hAnsi="Verdana"/>
                <w:sz w:val="18"/>
                <w:szCs w:val="18"/>
              </w:rPr>
              <w:t xml:space="preserve">of the species </w:t>
            </w:r>
            <w:r w:rsidRPr="00EC75B7">
              <w:rPr>
                <w:rFonts w:ascii="Verdana" w:hAnsi="Verdana"/>
                <w:spacing w:val="-2"/>
                <w:sz w:val="18"/>
                <w:szCs w:val="18"/>
              </w:rPr>
              <w:t xml:space="preserve">observed </w:t>
            </w:r>
            <w:r w:rsidRPr="00EC75B7">
              <w:rPr>
                <w:rFonts w:ascii="Verdana" w:hAnsi="Verdana"/>
                <w:sz w:val="18"/>
                <w:szCs w:val="18"/>
              </w:rPr>
              <w:t>GIS analysis.</w:t>
            </w:r>
          </w:p>
        </w:tc>
      </w:tr>
      <w:tr w:rsidR="008715BE" w:rsidRPr="00EC75B7" w14:paraId="2D602DDB" w14:textId="77777777">
        <w:trPr>
          <w:trHeight w:val="1557"/>
        </w:trPr>
        <w:tc>
          <w:tcPr>
            <w:tcW w:w="605" w:type="dxa"/>
            <w:vMerge/>
            <w:tcBorders>
              <w:top w:val="nil"/>
            </w:tcBorders>
          </w:tcPr>
          <w:p w14:paraId="594FC2B0" w14:textId="77777777" w:rsidR="008715BE" w:rsidRPr="00EC75B7" w:rsidRDefault="008715BE">
            <w:pPr>
              <w:rPr>
                <w:rFonts w:ascii="Verdana" w:hAnsi="Verdana"/>
                <w:sz w:val="18"/>
                <w:szCs w:val="18"/>
              </w:rPr>
            </w:pPr>
          </w:p>
        </w:tc>
        <w:tc>
          <w:tcPr>
            <w:tcW w:w="1649" w:type="dxa"/>
            <w:vMerge/>
            <w:tcBorders>
              <w:top w:val="nil"/>
            </w:tcBorders>
          </w:tcPr>
          <w:p w14:paraId="63ECD019" w14:textId="77777777" w:rsidR="008715BE" w:rsidRPr="00EC75B7" w:rsidRDefault="008715BE">
            <w:pPr>
              <w:rPr>
                <w:rFonts w:ascii="Verdana" w:hAnsi="Verdana"/>
                <w:sz w:val="18"/>
                <w:szCs w:val="18"/>
              </w:rPr>
            </w:pPr>
          </w:p>
        </w:tc>
        <w:tc>
          <w:tcPr>
            <w:tcW w:w="1277" w:type="dxa"/>
          </w:tcPr>
          <w:p w14:paraId="0EF83A15" w14:textId="77777777" w:rsidR="008715BE" w:rsidRPr="00EC75B7" w:rsidRDefault="00000000">
            <w:pPr>
              <w:pStyle w:val="TableParagraph"/>
              <w:spacing w:before="8"/>
              <w:ind w:left="107" w:right="133"/>
              <w:rPr>
                <w:rFonts w:ascii="Verdana" w:hAnsi="Verdana"/>
                <w:sz w:val="18"/>
                <w:szCs w:val="18"/>
              </w:rPr>
            </w:pPr>
            <w:r w:rsidRPr="00EC75B7">
              <w:rPr>
                <w:rFonts w:ascii="Verdana" w:hAnsi="Verdana"/>
                <w:sz w:val="18"/>
                <w:szCs w:val="18"/>
              </w:rPr>
              <w:t xml:space="preserve">Emissions of pollutants into </w:t>
            </w:r>
            <w:r w:rsidRPr="00EC75B7">
              <w:rPr>
                <w:rFonts w:ascii="Verdana" w:hAnsi="Verdana"/>
                <w:spacing w:val="-2"/>
                <w:sz w:val="18"/>
                <w:szCs w:val="18"/>
              </w:rPr>
              <w:t xml:space="preserve">the atmosphere (operation of vehicles </w:t>
            </w:r>
            <w:r w:rsidRPr="00EC75B7">
              <w:rPr>
                <w:rFonts w:ascii="Verdana" w:hAnsi="Verdana"/>
                <w:sz w:val="18"/>
                <w:szCs w:val="18"/>
              </w:rPr>
              <w:t>and machinery)</w:t>
            </w:r>
          </w:p>
        </w:tc>
        <w:tc>
          <w:tcPr>
            <w:tcW w:w="1275" w:type="dxa"/>
          </w:tcPr>
          <w:p w14:paraId="63D8F9CA"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15F3A323" w14:textId="77777777" w:rsidR="008715BE" w:rsidRPr="00EC75B7" w:rsidRDefault="00000000">
            <w:pPr>
              <w:pStyle w:val="TableParagraph"/>
              <w:spacing w:before="8"/>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w:t>
            </w:r>
            <w:r w:rsidRPr="00EC75B7">
              <w:rPr>
                <w:rFonts w:ascii="Verdana" w:hAnsi="Verdana"/>
                <w:spacing w:val="-4"/>
                <w:sz w:val="18"/>
                <w:szCs w:val="18"/>
              </w:rPr>
              <w:t xml:space="preserve">impacts </w:t>
            </w:r>
            <w:r w:rsidRPr="00EC75B7">
              <w:rPr>
                <w:rFonts w:ascii="Verdana" w:hAnsi="Verdana"/>
                <w:sz w:val="18"/>
                <w:szCs w:val="18"/>
              </w:rPr>
              <w:t xml:space="preserve">have </w:t>
            </w:r>
            <w:r w:rsidRPr="00EC75B7">
              <w:rPr>
                <w:rFonts w:ascii="Verdana" w:hAnsi="Verdana"/>
                <w:spacing w:val="-4"/>
                <w:sz w:val="18"/>
                <w:szCs w:val="18"/>
              </w:rPr>
              <w:t>been identified</w:t>
            </w:r>
          </w:p>
          <w:p w14:paraId="3EC626A5" w14:textId="77777777" w:rsidR="008715BE" w:rsidRPr="00EC75B7" w:rsidRDefault="00000000">
            <w:pPr>
              <w:pStyle w:val="TableParagraph"/>
              <w:spacing w:line="162" w:lineRule="exact"/>
              <w:ind w:left="104"/>
              <w:rPr>
                <w:rFonts w:ascii="Verdana" w:hAnsi="Verdana"/>
                <w:sz w:val="18"/>
                <w:szCs w:val="18"/>
              </w:rPr>
            </w:pPr>
            <w:r w:rsidRPr="00EC75B7">
              <w:rPr>
                <w:rFonts w:ascii="Verdana" w:hAnsi="Verdana"/>
                <w:spacing w:val="-10"/>
                <w:sz w:val="18"/>
                <w:szCs w:val="18"/>
              </w:rPr>
              <w:t>e</w:t>
            </w:r>
          </w:p>
        </w:tc>
        <w:tc>
          <w:tcPr>
            <w:tcW w:w="1261" w:type="dxa"/>
          </w:tcPr>
          <w:p w14:paraId="52C552DE"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352" w:type="dxa"/>
          </w:tcPr>
          <w:p w14:paraId="77090110"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1261" w:type="dxa"/>
          </w:tcPr>
          <w:p w14:paraId="2F7AAAAA"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0FF20C4F"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53CEF04A"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44E52C8F"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26EB5672"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0BBEA25B" w14:textId="77777777">
        <w:trPr>
          <w:trHeight w:val="1554"/>
        </w:trPr>
        <w:tc>
          <w:tcPr>
            <w:tcW w:w="605" w:type="dxa"/>
            <w:vMerge/>
            <w:tcBorders>
              <w:top w:val="nil"/>
            </w:tcBorders>
          </w:tcPr>
          <w:p w14:paraId="5DCBE740" w14:textId="77777777" w:rsidR="008715BE" w:rsidRPr="00EC75B7" w:rsidRDefault="008715BE">
            <w:pPr>
              <w:rPr>
                <w:rFonts w:ascii="Verdana" w:hAnsi="Verdana"/>
                <w:sz w:val="18"/>
                <w:szCs w:val="18"/>
              </w:rPr>
            </w:pPr>
          </w:p>
        </w:tc>
        <w:tc>
          <w:tcPr>
            <w:tcW w:w="1649" w:type="dxa"/>
            <w:vMerge/>
            <w:tcBorders>
              <w:top w:val="nil"/>
            </w:tcBorders>
          </w:tcPr>
          <w:p w14:paraId="72736108" w14:textId="77777777" w:rsidR="008715BE" w:rsidRPr="00EC75B7" w:rsidRDefault="008715BE">
            <w:pPr>
              <w:rPr>
                <w:rFonts w:ascii="Verdana" w:hAnsi="Verdana"/>
                <w:sz w:val="18"/>
                <w:szCs w:val="18"/>
              </w:rPr>
            </w:pPr>
          </w:p>
        </w:tc>
        <w:tc>
          <w:tcPr>
            <w:tcW w:w="1277" w:type="dxa"/>
          </w:tcPr>
          <w:p w14:paraId="4F5E677E" w14:textId="77777777" w:rsidR="008715BE" w:rsidRPr="00EC75B7" w:rsidRDefault="00000000">
            <w:pPr>
              <w:pStyle w:val="TableParagraph"/>
              <w:spacing w:line="194" w:lineRule="exact"/>
              <w:ind w:left="107" w:right="133"/>
              <w:rPr>
                <w:rFonts w:ascii="Verdana" w:hAnsi="Verdana"/>
                <w:sz w:val="18"/>
                <w:szCs w:val="18"/>
              </w:rPr>
            </w:pPr>
            <w:r w:rsidRPr="00EC75B7">
              <w:rPr>
                <w:rFonts w:ascii="Verdana" w:hAnsi="Verdana"/>
                <w:spacing w:val="-2"/>
                <w:sz w:val="18"/>
                <w:szCs w:val="18"/>
              </w:rPr>
              <w:t xml:space="preserve">Accidental spills </w:t>
            </w:r>
            <w:r w:rsidRPr="00EC75B7">
              <w:rPr>
                <w:rFonts w:ascii="Verdana" w:hAnsi="Verdana"/>
                <w:sz w:val="18"/>
                <w:szCs w:val="18"/>
              </w:rPr>
              <w:t>of petroleum products from machinery—</w:t>
            </w:r>
            <w:r w:rsidRPr="00EC75B7">
              <w:rPr>
                <w:rFonts w:ascii="Verdana" w:hAnsi="Verdana"/>
                <w:spacing w:val="-2"/>
                <w:sz w:val="18"/>
                <w:szCs w:val="18"/>
              </w:rPr>
              <w:t xml:space="preserve">penetration </w:t>
            </w:r>
            <w:r w:rsidRPr="00EC75B7">
              <w:rPr>
                <w:rFonts w:ascii="Verdana" w:hAnsi="Verdana"/>
                <w:sz w:val="18"/>
                <w:szCs w:val="18"/>
              </w:rPr>
              <w:t>of pollutants into the soil</w:t>
            </w:r>
          </w:p>
        </w:tc>
        <w:tc>
          <w:tcPr>
            <w:tcW w:w="1275" w:type="dxa"/>
          </w:tcPr>
          <w:p w14:paraId="73B522B7"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0701AD70" w14:textId="77777777" w:rsidR="008715BE" w:rsidRPr="00EC75B7" w:rsidRDefault="00000000">
            <w:pPr>
              <w:pStyle w:val="TableParagraph"/>
              <w:spacing w:line="194" w:lineRule="exact"/>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666744FA"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22CE19DE"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57C31477"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71F5099F"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607F0448"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03D4312D"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7E6F37DA"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5FE19A63" w14:textId="77777777">
        <w:trPr>
          <w:trHeight w:val="1554"/>
        </w:trPr>
        <w:tc>
          <w:tcPr>
            <w:tcW w:w="605" w:type="dxa"/>
            <w:vMerge/>
            <w:tcBorders>
              <w:top w:val="nil"/>
            </w:tcBorders>
          </w:tcPr>
          <w:p w14:paraId="2B672FC9" w14:textId="77777777" w:rsidR="008715BE" w:rsidRPr="00EC75B7" w:rsidRDefault="008715BE">
            <w:pPr>
              <w:rPr>
                <w:rFonts w:ascii="Verdana" w:hAnsi="Verdana"/>
                <w:sz w:val="18"/>
                <w:szCs w:val="18"/>
              </w:rPr>
            </w:pPr>
          </w:p>
        </w:tc>
        <w:tc>
          <w:tcPr>
            <w:tcW w:w="1649" w:type="dxa"/>
            <w:vMerge/>
            <w:tcBorders>
              <w:top w:val="nil"/>
            </w:tcBorders>
          </w:tcPr>
          <w:p w14:paraId="30A10ABC" w14:textId="77777777" w:rsidR="008715BE" w:rsidRPr="00EC75B7" w:rsidRDefault="008715BE">
            <w:pPr>
              <w:rPr>
                <w:rFonts w:ascii="Verdana" w:hAnsi="Verdana"/>
                <w:sz w:val="18"/>
                <w:szCs w:val="18"/>
              </w:rPr>
            </w:pPr>
          </w:p>
        </w:tc>
        <w:tc>
          <w:tcPr>
            <w:tcW w:w="1277" w:type="dxa"/>
          </w:tcPr>
          <w:p w14:paraId="2D25AA89"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w:t>
            </w:r>
            <w:r w:rsidRPr="00EC75B7">
              <w:rPr>
                <w:rFonts w:ascii="Verdana" w:hAnsi="Verdana"/>
                <w:sz w:val="18"/>
                <w:szCs w:val="18"/>
              </w:rPr>
              <w:t xml:space="preserve"> species</w:t>
            </w:r>
          </w:p>
        </w:tc>
        <w:tc>
          <w:tcPr>
            <w:tcW w:w="1275" w:type="dxa"/>
          </w:tcPr>
          <w:p w14:paraId="190C1440" w14:textId="77777777" w:rsidR="008715BE" w:rsidRPr="00EC75B7" w:rsidRDefault="00000000">
            <w:pPr>
              <w:pStyle w:val="TableParagraph"/>
              <w:spacing w:before="8"/>
              <w:ind w:left="105"/>
              <w:rPr>
                <w:rFonts w:ascii="Verdana" w:hAnsi="Verdana"/>
                <w:sz w:val="18"/>
                <w:szCs w:val="18"/>
              </w:rPr>
            </w:pPr>
            <w:r w:rsidRPr="00EC75B7">
              <w:rPr>
                <w:rFonts w:ascii="Verdana" w:hAnsi="Verdana"/>
                <w:spacing w:val="-5"/>
                <w:sz w:val="18"/>
                <w:szCs w:val="18"/>
              </w:rPr>
              <w:t>AH</w:t>
            </w:r>
          </w:p>
        </w:tc>
        <w:tc>
          <w:tcPr>
            <w:tcW w:w="850" w:type="dxa"/>
          </w:tcPr>
          <w:p w14:paraId="7F71A3DA" w14:textId="77777777" w:rsidR="008715BE" w:rsidRPr="00EC75B7" w:rsidRDefault="00000000">
            <w:pPr>
              <w:pStyle w:val="TableParagraph"/>
              <w:spacing w:line="194" w:lineRule="exact"/>
              <w:ind w:left="104" w:right="100"/>
              <w:rPr>
                <w:rFonts w:ascii="Verdana" w:hAnsi="Verdana"/>
                <w:sz w:val="18"/>
                <w:szCs w:val="18"/>
              </w:rPr>
            </w:pPr>
            <w:r w:rsidRPr="00EC75B7">
              <w:rPr>
                <w:rFonts w:ascii="Verdana" w:hAnsi="Verdana"/>
                <w:sz w:val="18"/>
                <w:szCs w:val="18"/>
              </w:rPr>
              <w:t xml:space="preserve">No </w:t>
            </w:r>
            <w:r w:rsidRPr="00EC75B7">
              <w:rPr>
                <w:rFonts w:ascii="Verdana" w:hAnsi="Verdana"/>
                <w:spacing w:val="-10"/>
                <w:sz w:val="18"/>
                <w:szCs w:val="18"/>
              </w:rPr>
              <w:t xml:space="preserve">indirect </w:t>
            </w:r>
            <w:r w:rsidRPr="00EC75B7">
              <w:rPr>
                <w:rFonts w:ascii="Verdana" w:hAnsi="Verdana"/>
                <w:spacing w:val="-4"/>
                <w:sz w:val="18"/>
                <w:szCs w:val="18"/>
              </w:rPr>
              <w:t>impacts were identified</w:t>
            </w:r>
          </w:p>
        </w:tc>
        <w:tc>
          <w:tcPr>
            <w:tcW w:w="1261" w:type="dxa"/>
          </w:tcPr>
          <w:p w14:paraId="45A7E2C6" w14:textId="77777777" w:rsidR="008715BE" w:rsidRPr="00EC75B7" w:rsidRDefault="00000000">
            <w:pPr>
              <w:pStyle w:val="TableParagraph"/>
              <w:spacing w:before="8"/>
              <w:ind w:left="106"/>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 impacts identified</w:t>
            </w:r>
          </w:p>
        </w:tc>
        <w:tc>
          <w:tcPr>
            <w:tcW w:w="1352" w:type="dxa"/>
          </w:tcPr>
          <w:p w14:paraId="54B39414" w14:textId="77777777" w:rsidR="008715BE" w:rsidRPr="00EC75B7" w:rsidRDefault="00000000">
            <w:pPr>
              <w:pStyle w:val="TableParagraph"/>
              <w:spacing w:before="8"/>
              <w:ind w:left="106" w:right="170" w:firstLine="57"/>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61" w:type="dxa"/>
          </w:tcPr>
          <w:p w14:paraId="0844AE6B" w14:textId="77777777" w:rsidR="008715BE" w:rsidRPr="00EC75B7" w:rsidRDefault="00000000">
            <w:pPr>
              <w:pStyle w:val="TableParagraph"/>
              <w:spacing w:before="8"/>
              <w:ind w:left="102"/>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6669" w:type="dxa"/>
            <w:gridSpan w:val="5"/>
          </w:tcPr>
          <w:p w14:paraId="4DE3E89B" w14:textId="77777777" w:rsidR="008715BE" w:rsidRPr="00EC75B7" w:rsidRDefault="00000000">
            <w:pPr>
              <w:pStyle w:val="TableParagraph"/>
              <w:spacing w:before="8"/>
              <w:ind w:left="10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115" w:type="dxa"/>
          </w:tcPr>
          <w:p w14:paraId="3B5F62D1" w14:textId="77777777" w:rsidR="008715BE" w:rsidRPr="00EC75B7" w:rsidRDefault="00000000">
            <w:pPr>
              <w:pStyle w:val="TableParagraph"/>
              <w:spacing w:before="8"/>
              <w:ind w:left="98"/>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2534" w:type="dxa"/>
          </w:tcPr>
          <w:p w14:paraId="555EC3F7" w14:textId="77777777" w:rsidR="008715BE" w:rsidRPr="00EC75B7" w:rsidRDefault="00000000">
            <w:pPr>
              <w:pStyle w:val="TableParagraph"/>
              <w:spacing w:before="8"/>
              <w:ind w:left="9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530" w:type="dxa"/>
          </w:tcPr>
          <w:p w14:paraId="2F90C4FB" w14:textId="77777777" w:rsidR="008715BE" w:rsidRPr="00EC75B7" w:rsidRDefault="00000000">
            <w:pPr>
              <w:pStyle w:val="TableParagraph"/>
              <w:spacing w:before="8"/>
              <w:ind w:left="93"/>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6CECB38F" w14:textId="77777777" w:rsidR="008715BE" w:rsidRPr="00EC75B7" w:rsidRDefault="008715BE">
      <w:pPr>
        <w:pStyle w:val="BodyText"/>
        <w:rPr>
          <w:rFonts w:ascii="Verdana" w:hAnsi="Verdana"/>
          <w:b/>
        </w:rPr>
      </w:pPr>
    </w:p>
    <w:p w14:paraId="4FB16EDB" w14:textId="77777777" w:rsidR="008715BE" w:rsidRPr="00EC75B7" w:rsidRDefault="008715BE">
      <w:pPr>
        <w:pStyle w:val="BodyText"/>
        <w:spacing w:before="70"/>
        <w:rPr>
          <w:rFonts w:ascii="Verdana" w:hAnsi="Verdana"/>
          <w:b/>
        </w:rPr>
      </w:pPr>
    </w:p>
    <w:p w14:paraId="64F6B5C7" w14:textId="77777777" w:rsidR="008715BE" w:rsidRPr="00EC75B7" w:rsidRDefault="00000000">
      <w:pPr>
        <w:spacing w:before="1"/>
        <w:ind w:left="286"/>
        <w:rPr>
          <w:rFonts w:ascii="Verdana" w:hAnsi="Verdana"/>
          <w:b/>
          <w:sz w:val="18"/>
          <w:szCs w:val="18"/>
        </w:rPr>
      </w:pPr>
      <w:r w:rsidRPr="00EC75B7">
        <w:rPr>
          <w:rFonts w:ascii="Verdana" w:hAnsi="Verdana"/>
          <w:b/>
          <w:color w:val="00AFEF"/>
          <w:sz w:val="18"/>
          <w:szCs w:val="18"/>
        </w:rPr>
        <w:t xml:space="preserve">Table 31 Identification and quantification of impacts </w:t>
      </w:r>
      <w:r w:rsidRPr="00EC75B7">
        <w:rPr>
          <w:rFonts w:ascii="Verdana" w:hAnsi="Verdana"/>
          <w:b/>
          <w:color w:val="00AFEF"/>
          <w:spacing w:val="-2"/>
          <w:sz w:val="18"/>
          <w:szCs w:val="18"/>
        </w:rPr>
        <w:t>(continued)</w:t>
      </w:r>
    </w:p>
    <w:p w14:paraId="67A8748C" w14:textId="77777777" w:rsidR="008715BE" w:rsidRPr="00EC75B7" w:rsidRDefault="008715BE">
      <w:pPr>
        <w:pStyle w:val="BodyText"/>
        <w:spacing w:before="1"/>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1080"/>
        <w:gridCol w:w="991"/>
        <w:gridCol w:w="1080"/>
        <w:gridCol w:w="989"/>
        <w:gridCol w:w="1081"/>
        <w:gridCol w:w="1261"/>
        <w:gridCol w:w="901"/>
      </w:tblGrid>
      <w:tr w:rsidR="008715BE" w:rsidRPr="00EC75B7" w14:paraId="34784245" w14:textId="77777777">
        <w:trPr>
          <w:trHeight w:val="839"/>
        </w:trPr>
        <w:tc>
          <w:tcPr>
            <w:tcW w:w="2342" w:type="dxa"/>
            <w:gridSpan w:val="2"/>
            <w:shd w:val="clear" w:color="auto" w:fill="00A1E8"/>
          </w:tcPr>
          <w:p w14:paraId="448C1638" w14:textId="77777777" w:rsidR="008715BE" w:rsidRPr="00EC75B7" w:rsidRDefault="008715BE">
            <w:pPr>
              <w:pStyle w:val="TableParagraph"/>
              <w:spacing w:before="170"/>
              <w:rPr>
                <w:rFonts w:ascii="Verdana" w:hAnsi="Verdana"/>
                <w:b/>
                <w:sz w:val="18"/>
                <w:szCs w:val="18"/>
              </w:rPr>
            </w:pPr>
          </w:p>
          <w:p w14:paraId="4D3D49BF" w14:textId="77777777" w:rsidR="008715BE" w:rsidRPr="00EC75B7" w:rsidRDefault="00000000">
            <w:pPr>
              <w:pStyle w:val="TableParagraph"/>
              <w:spacing w:before="1"/>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4342F157" w14:textId="77777777" w:rsidR="008715BE" w:rsidRPr="00EC75B7" w:rsidRDefault="008715BE">
            <w:pPr>
              <w:pStyle w:val="TableParagraph"/>
              <w:spacing w:before="170"/>
              <w:rPr>
                <w:rFonts w:ascii="Verdana" w:hAnsi="Verdana"/>
                <w:b/>
                <w:sz w:val="18"/>
                <w:szCs w:val="18"/>
              </w:rPr>
            </w:pPr>
          </w:p>
          <w:p w14:paraId="7A315EFC" w14:textId="77777777" w:rsidR="008715BE" w:rsidRPr="00EC75B7" w:rsidRDefault="00000000">
            <w:pPr>
              <w:pStyle w:val="TableParagraph"/>
              <w:spacing w:before="1"/>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5315D538" w14:textId="77777777" w:rsidR="008715BE" w:rsidRPr="00EC75B7" w:rsidRDefault="008715BE">
            <w:pPr>
              <w:pStyle w:val="TableParagraph"/>
              <w:spacing w:before="86"/>
              <w:rPr>
                <w:rFonts w:ascii="Verdana" w:hAnsi="Verdana"/>
                <w:b/>
                <w:sz w:val="18"/>
                <w:szCs w:val="18"/>
              </w:rPr>
            </w:pPr>
          </w:p>
          <w:p w14:paraId="07A19FF0" w14:textId="77777777" w:rsidR="008715BE" w:rsidRPr="00EC75B7" w:rsidRDefault="00000000">
            <w:pPr>
              <w:pStyle w:val="TableParagraph"/>
              <w:spacing w:before="1"/>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5E815E74" w14:textId="77777777" w:rsidR="008715BE" w:rsidRPr="00EC75B7" w:rsidRDefault="008715BE">
            <w:pPr>
              <w:pStyle w:val="TableParagraph"/>
              <w:rPr>
                <w:rFonts w:ascii="Verdana" w:hAnsi="Verdana"/>
                <w:b/>
                <w:sz w:val="18"/>
                <w:szCs w:val="18"/>
              </w:rPr>
            </w:pPr>
          </w:p>
          <w:p w14:paraId="24115EAF" w14:textId="77777777" w:rsidR="008715BE" w:rsidRPr="00EC75B7" w:rsidRDefault="00000000">
            <w:pPr>
              <w:pStyle w:val="TableParagraph"/>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496A318C" w14:textId="77777777" w:rsidR="008715BE" w:rsidRPr="00EC75B7" w:rsidRDefault="00000000">
            <w:pPr>
              <w:pStyle w:val="TableParagraph"/>
              <w:spacing w:before="87"/>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09FB96C3" w14:textId="77777777" w:rsidR="008715BE" w:rsidRPr="00EC75B7" w:rsidRDefault="00000000">
            <w:pPr>
              <w:pStyle w:val="TableParagraph"/>
              <w:spacing w:before="87"/>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13D37495" w14:textId="77777777" w:rsidR="008715BE" w:rsidRPr="00EC75B7" w:rsidRDefault="00000000">
            <w:pPr>
              <w:pStyle w:val="TableParagraph"/>
              <w:spacing w:before="87"/>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8"/>
            <w:shd w:val="clear" w:color="auto" w:fill="00A1E8"/>
          </w:tcPr>
          <w:p w14:paraId="322C4562" w14:textId="77777777" w:rsidR="008715BE" w:rsidRPr="00EC75B7" w:rsidRDefault="008715BE">
            <w:pPr>
              <w:pStyle w:val="TableParagraph"/>
              <w:spacing w:before="170"/>
              <w:rPr>
                <w:rFonts w:ascii="Verdana" w:hAnsi="Verdana"/>
                <w:b/>
                <w:sz w:val="18"/>
                <w:szCs w:val="18"/>
              </w:rPr>
            </w:pPr>
          </w:p>
          <w:p w14:paraId="676E7E7E" w14:textId="77777777" w:rsidR="008715BE" w:rsidRPr="00EC75B7" w:rsidRDefault="00000000">
            <w:pPr>
              <w:pStyle w:val="TableParagraph"/>
              <w:spacing w:before="1"/>
              <w:ind w:left="12"/>
              <w:jc w:val="center"/>
              <w:rPr>
                <w:rFonts w:ascii="Verdana" w:hAnsi="Verdana"/>
                <w:b/>
                <w:sz w:val="18"/>
                <w:szCs w:val="18"/>
              </w:rPr>
            </w:pPr>
            <w:r w:rsidRPr="00EC75B7">
              <w:rPr>
                <w:rFonts w:ascii="Verdana" w:hAnsi="Verdana"/>
                <w:b/>
                <w:color w:val="FFFFFF"/>
                <w:spacing w:val="-2"/>
                <w:sz w:val="18"/>
                <w:szCs w:val="18"/>
              </w:rPr>
              <w:t>Species</w:t>
            </w:r>
          </w:p>
        </w:tc>
        <w:tc>
          <w:tcPr>
            <w:tcW w:w="1081" w:type="dxa"/>
            <w:shd w:val="clear" w:color="auto" w:fill="00A1E8"/>
          </w:tcPr>
          <w:p w14:paraId="14F782F7" w14:textId="77777777" w:rsidR="008715BE" w:rsidRPr="00EC75B7" w:rsidRDefault="00000000">
            <w:pPr>
              <w:pStyle w:val="TableParagraph"/>
              <w:spacing w:before="87" w:line="171" w:lineRule="exact"/>
              <w:ind w:left="15" w:right="1"/>
              <w:jc w:val="center"/>
              <w:rPr>
                <w:rFonts w:ascii="Verdana" w:hAnsi="Verdana"/>
                <w:b/>
                <w:sz w:val="18"/>
                <w:szCs w:val="18"/>
              </w:rPr>
            </w:pPr>
            <w:r w:rsidRPr="00EC75B7">
              <w:rPr>
                <w:rFonts w:ascii="Verdana" w:hAnsi="Verdana"/>
                <w:b/>
                <w:color w:val="FFFFFF"/>
                <w:spacing w:val="-2"/>
                <w:sz w:val="18"/>
                <w:szCs w:val="18"/>
              </w:rPr>
              <w:t>Parameter</w:t>
            </w:r>
          </w:p>
          <w:p w14:paraId="7667F360" w14:textId="77777777" w:rsidR="008715BE" w:rsidRPr="00EC75B7" w:rsidRDefault="00000000">
            <w:pPr>
              <w:pStyle w:val="TableParagraph"/>
              <w:spacing w:line="170" w:lineRule="exact"/>
              <w:ind w:left="15"/>
              <w:jc w:val="center"/>
              <w:rPr>
                <w:rFonts w:ascii="Verdana" w:hAnsi="Verdana"/>
                <w:b/>
                <w:sz w:val="18"/>
                <w:szCs w:val="18"/>
              </w:rPr>
            </w:pPr>
            <w:r w:rsidRPr="00EC75B7">
              <w:rPr>
                <w:rFonts w:ascii="Verdana" w:hAnsi="Verdana"/>
                <w:b/>
                <w:color w:val="FFFFFF"/>
                <w:spacing w:val="-10"/>
                <w:sz w:val="18"/>
                <w:szCs w:val="18"/>
              </w:rPr>
              <w:t>/</w:t>
            </w:r>
          </w:p>
          <w:p w14:paraId="0CF0AC2E" w14:textId="77777777" w:rsidR="008715BE" w:rsidRPr="00EC75B7" w:rsidRDefault="00000000">
            <w:pPr>
              <w:pStyle w:val="TableParagraph"/>
              <w:ind w:left="221" w:right="208"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1" w:type="dxa"/>
            <w:shd w:val="clear" w:color="auto" w:fill="00A1E8"/>
          </w:tcPr>
          <w:p w14:paraId="080A0F65" w14:textId="77777777" w:rsidR="008715BE" w:rsidRPr="00EC75B7" w:rsidRDefault="008715BE">
            <w:pPr>
              <w:pStyle w:val="TableParagraph"/>
              <w:spacing w:before="86"/>
              <w:rPr>
                <w:rFonts w:ascii="Verdana" w:hAnsi="Verdana"/>
                <w:b/>
                <w:sz w:val="18"/>
                <w:szCs w:val="18"/>
              </w:rPr>
            </w:pPr>
          </w:p>
          <w:p w14:paraId="04FD4F64" w14:textId="77777777" w:rsidR="008715BE" w:rsidRPr="00EC75B7" w:rsidRDefault="00000000">
            <w:pPr>
              <w:pStyle w:val="TableParagraph"/>
              <w:spacing w:before="1"/>
              <w:ind w:left="364" w:hanging="209"/>
              <w:rPr>
                <w:rFonts w:ascii="Verdana" w:hAnsi="Verdana"/>
                <w:b/>
                <w:sz w:val="18"/>
                <w:szCs w:val="18"/>
              </w:rPr>
            </w:pPr>
            <w:r w:rsidRPr="00EC75B7">
              <w:rPr>
                <w:rFonts w:ascii="Verdana" w:hAnsi="Verdana"/>
                <w:b/>
                <w:color w:val="FFFFFF"/>
                <w:spacing w:val="-2"/>
                <w:sz w:val="18"/>
                <w:szCs w:val="18"/>
              </w:rPr>
              <w:t>Impact quantification</w:t>
            </w:r>
          </w:p>
        </w:tc>
        <w:tc>
          <w:tcPr>
            <w:tcW w:w="901" w:type="dxa"/>
            <w:shd w:val="clear" w:color="auto" w:fill="00A1E8"/>
          </w:tcPr>
          <w:p w14:paraId="04DB5D90" w14:textId="77777777" w:rsidR="008715BE" w:rsidRPr="00EC75B7" w:rsidRDefault="008715BE">
            <w:pPr>
              <w:pStyle w:val="TableParagraph"/>
              <w:rPr>
                <w:rFonts w:ascii="Verdana" w:hAnsi="Verdana"/>
                <w:b/>
                <w:sz w:val="18"/>
                <w:szCs w:val="18"/>
              </w:rPr>
            </w:pPr>
          </w:p>
          <w:p w14:paraId="6EA1138F" w14:textId="77777777" w:rsidR="008715BE" w:rsidRPr="00EC75B7" w:rsidRDefault="00000000">
            <w:pPr>
              <w:pStyle w:val="TableParagraph"/>
              <w:ind w:left="111" w:right="103" w:firstLine="1"/>
              <w:jc w:val="center"/>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w:t>
            </w:r>
            <w:r w:rsidRPr="00EC75B7">
              <w:rPr>
                <w:rFonts w:ascii="Verdana" w:hAnsi="Verdana"/>
                <w:b/>
                <w:color w:val="FFFFFF"/>
                <w:spacing w:val="-4"/>
                <w:sz w:val="18"/>
                <w:szCs w:val="18"/>
              </w:rPr>
              <w:t>method</w:t>
            </w:r>
          </w:p>
        </w:tc>
      </w:tr>
      <w:tr w:rsidR="008715BE" w:rsidRPr="00EC75B7" w14:paraId="1CF8D6EC" w14:textId="77777777">
        <w:trPr>
          <w:trHeight w:val="208"/>
        </w:trPr>
        <w:tc>
          <w:tcPr>
            <w:tcW w:w="22233" w:type="dxa"/>
            <w:gridSpan w:val="19"/>
          </w:tcPr>
          <w:p w14:paraId="04932B82" w14:textId="77777777" w:rsidR="008715BE" w:rsidRPr="00EC75B7" w:rsidRDefault="00000000">
            <w:pPr>
              <w:pStyle w:val="TableParagraph"/>
              <w:spacing w:before="27" w:line="161" w:lineRule="exact"/>
              <w:ind w:left="4"/>
              <w:jc w:val="center"/>
              <w:rPr>
                <w:rFonts w:ascii="Verdana" w:hAnsi="Verdana"/>
                <w:b/>
                <w:sz w:val="18"/>
                <w:szCs w:val="18"/>
              </w:rPr>
            </w:pPr>
            <w:r w:rsidRPr="00EC75B7">
              <w:rPr>
                <w:rFonts w:ascii="Verdana" w:hAnsi="Verdana"/>
                <w:b/>
                <w:sz w:val="18"/>
                <w:szCs w:val="18"/>
              </w:rPr>
              <w:t xml:space="preserve">ROSPA0094 </w:t>
            </w:r>
            <w:r w:rsidRPr="00EC75B7">
              <w:rPr>
                <w:rFonts w:ascii="Verdana" w:hAnsi="Verdana"/>
                <w:b/>
                <w:spacing w:val="-2"/>
                <w:sz w:val="18"/>
                <w:szCs w:val="18"/>
              </w:rPr>
              <w:t xml:space="preserve">Hagieni </w:t>
            </w:r>
            <w:r w:rsidRPr="00EC75B7">
              <w:rPr>
                <w:rFonts w:ascii="Verdana" w:hAnsi="Verdana"/>
                <w:b/>
                <w:sz w:val="18"/>
                <w:szCs w:val="18"/>
              </w:rPr>
              <w:t>Forest</w:t>
            </w:r>
          </w:p>
        </w:tc>
      </w:tr>
      <w:tr w:rsidR="008715BE" w:rsidRPr="00EC75B7" w14:paraId="06A2B821" w14:textId="77777777">
        <w:trPr>
          <w:trHeight w:val="1021"/>
        </w:trPr>
        <w:tc>
          <w:tcPr>
            <w:tcW w:w="542" w:type="dxa"/>
            <w:textDirection w:val="btLr"/>
          </w:tcPr>
          <w:p w14:paraId="1159D429" w14:textId="77777777" w:rsidR="008715BE" w:rsidRPr="00EC75B7" w:rsidRDefault="008715BE">
            <w:pPr>
              <w:pStyle w:val="TableParagraph"/>
              <w:spacing w:before="22"/>
              <w:rPr>
                <w:rFonts w:ascii="Verdana" w:hAnsi="Verdana"/>
                <w:b/>
                <w:sz w:val="18"/>
                <w:szCs w:val="18"/>
              </w:rPr>
            </w:pPr>
          </w:p>
          <w:p w14:paraId="3E2CD3C1" w14:textId="77777777" w:rsidR="008715BE" w:rsidRPr="00EC75B7" w:rsidRDefault="00000000">
            <w:pPr>
              <w:pStyle w:val="TableParagraph"/>
              <w:ind w:left="110"/>
              <w:rPr>
                <w:rFonts w:ascii="Verdana" w:hAnsi="Verdana"/>
                <w:sz w:val="18"/>
                <w:szCs w:val="18"/>
              </w:rPr>
            </w:pPr>
            <w:r w:rsidRPr="00EC75B7">
              <w:rPr>
                <w:rFonts w:ascii="Verdana" w:hAnsi="Verdana"/>
                <w:spacing w:val="-2"/>
                <w:sz w:val="18"/>
                <w:szCs w:val="18"/>
              </w:rPr>
              <w:t>Construction</w:t>
            </w:r>
          </w:p>
        </w:tc>
        <w:tc>
          <w:tcPr>
            <w:tcW w:w="1800" w:type="dxa"/>
          </w:tcPr>
          <w:p w14:paraId="58C4690E" w14:textId="77777777" w:rsidR="008715BE" w:rsidRPr="00EC75B7" w:rsidRDefault="00000000">
            <w:pPr>
              <w:pStyle w:val="TableParagraph"/>
              <w:spacing w:before="12" w:line="237" w:lineRule="auto"/>
              <w:ind w:left="105" w:right="155"/>
              <w:rPr>
                <w:rFonts w:ascii="Verdana" w:hAnsi="Verdana"/>
                <w:sz w:val="18"/>
                <w:szCs w:val="18"/>
              </w:rPr>
            </w:pPr>
            <w:r w:rsidRPr="00EC75B7">
              <w:rPr>
                <w:rFonts w:ascii="Verdana" w:hAnsi="Verdana"/>
                <w:sz w:val="18"/>
                <w:szCs w:val="18"/>
              </w:rPr>
              <w:t xml:space="preserve">Organization and </w:t>
            </w:r>
            <w:r w:rsidRPr="00EC75B7">
              <w:rPr>
                <w:rFonts w:ascii="Verdana" w:hAnsi="Verdana"/>
                <w:spacing w:val="-2"/>
                <w:sz w:val="18"/>
                <w:szCs w:val="18"/>
              </w:rPr>
              <w:t xml:space="preserve">operation </w:t>
            </w:r>
            <w:r w:rsidRPr="00EC75B7">
              <w:rPr>
                <w:rFonts w:ascii="Verdana" w:hAnsi="Verdana"/>
                <w:sz w:val="18"/>
                <w:szCs w:val="18"/>
              </w:rPr>
              <w:t>of the construction site (including site traffic)</w:t>
            </w:r>
          </w:p>
        </w:tc>
        <w:tc>
          <w:tcPr>
            <w:tcW w:w="1048" w:type="dxa"/>
          </w:tcPr>
          <w:p w14:paraId="01FF250B" w14:textId="77777777" w:rsidR="008715BE" w:rsidRPr="00EC75B7" w:rsidRDefault="00000000">
            <w:pPr>
              <w:pStyle w:val="TableParagraph"/>
              <w:spacing w:before="12" w:line="237" w:lineRule="auto"/>
              <w:ind w:left="106" w:right="132"/>
              <w:rPr>
                <w:rFonts w:ascii="Verdana" w:hAnsi="Verdana"/>
                <w:sz w:val="18"/>
                <w:szCs w:val="18"/>
              </w:rPr>
            </w:pPr>
            <w:r w:rsidRPr="00EC75B7">
              <w:rPr>
                <w:rFonts w:ascii="Verdana" w:hAnsi="Verdana"/>
                <w:spacing w:val="-2"/>
                <w:sz w:val="18"/>
                <w:szCs w:val="18"/>
              </w:rPr>
              <w:t xml:space="preserve">Removal </w:t>
            </w:r>
            <w:r w:rsidRPr="00EC75B7">
              <w:rPr>
                <w:rFonts w:ascii="Verdana" w:hAnsi="Verdana"/>
                <w:sz w:val="18"/>
                <w:szCs w:val="18"/>
              </w:rPr>
              <w:t xml:space="preserve">of topsoil and </w:t>
            </w:r>
            <w:r w:rsidRPr="00EC75B7">
              <w:rPr>
                <w:rFonts w:ascii="Verdana" w:hAnsi="Verdana"/>
                <w:spacing w:val="-2"/>
                <w:sz w:val="18"/>
                <w:szCs w:val="18"/>
              </w:rPr>
              <w:t>vegetation</w:t>
            </w:r>
          </w:p>
        </w:tc>
        <w:tc>
          <w:tcPr>
            <w:tcW w:w="1274" w:type="dxa"/>
          </w:tcPr>
          <w:p w14:paraId="343CBA23" w14:textId="77777777" w:rsidR="008715BE" w:rsidRPr="00EC75B7" w:rsidRDefault="00000000">
            <w:pPr>
              <w:pStyle w:val="TableParagraph"/>
              <w:spacing w:before="10"/>
              <w:ind w:left="106"/>
              <w:rPr>
                <w:rFonts w:ascii="Verdana" w:hAnsi="Verdana"/>
                <w:sz w:val="18"/>
                <w:szCs w:val="18"/>
              </w:rPr>
            </w:pPr>
            <w:r w:rsidRPr="00EC75B7">
              <w:rPr>
                <w:rFonts w:ascii="Verdana" w:hAnsi="Verdana"/>
                <w:spacing w:val="-2"/>
                <w:sz w:val="18"/>
                <w:szCs w:val="18"/>
              </w:rPr>
              <w:t>AH/PH</w:t>
            </w:r>
          </w:p>
        </w:tc>
        <w:tc>
          <w:tcPr>
            <w:tcW w:w="993" w:type="dxa"/>
          </w:tcPr>
          <w:p w14:paraId="18BDB1D4" w14:textId="77777777" w:rsidR="008715BE" w:rsidRPr="00EC75B7" w:rsidRDefault="00000000">
            <w:pPr>
              <w:pStyle w:val="TableParagraph"/>
              <w:spacing w:before="12"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405BC5B7" w14:textId="77777777" w:rsidR="008715BE" w:rsidRPr="00EC75B7" w:rsidRDefault="00000000">
            <w:pPr>
              <w:pStyle w:val="TableParagraph"/>
              <w:spacing w:before="12" w:line="237" w:lineRule="auto"/>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impacts </w:t>
            </w:r>
            <w:r w:rsidRPr="00EC75B7">
              <w:rPr>
                <w:rFonts w:ascii="Verdana" w:hAnsi="Verdana"/>
                <w:spacing w:val="-4"/>
                <w:sz w:val="18"/>
                <w:szCs w:val="18"/>
              </w:rPr>
              <w:t>identified</w:t>
            </w:r>
          </w:p>
          <w:p w14:paraId="1BBCE40F" w14:textId="77777777" w:rsidR="008715BE" w:rsidRPr="00EC75B7" w:rsidRDefault="00000000">
            <w:pPr>
              <w:pStyle w:val="TableParagraph"/>
              <w:spacing w:before="2" w:line="142" w:lineRule="exact"/>
              <w:ind w:left="108"/>
              <w:rPr>
                <w:rFonts w:ascii="Verdana" w:hAnsi="Verdana"/>
                <w:sz w:val="18"/>
                <w:szCs w:val="18"/>
              </w:rPr>
            </w:pPr>
            <w:r w:rsidRPr="00EC75B7">
              <w:rPr>
                <w:rFonts w:ascii="Verdana" w:hAnsi="Verdana"/>
                <w:spacing w:val="-5"/>
                <w:sz w:val="18"/>
                <w:szCs w:val="18"/>
              </w:rPr>
              <w:t>No cumulative impacts identified</w:t>
            </w:r>
          </w:p>
        </w:tc>
        <w:tc>
          <w:tcPr>
            <w:tcW w:w="991" w:type="dxa"/>
          </w:tcPr>
          <w:p w14:paraId="3885E07A" w14:textId="77777777" w:rsidR="008715BE" w:rsidRPr="00EC75B7" w:rsidRDefault="00000000">
            <w:pPr>
              <w:pStyle w:val="TableParagraph"/>
              <w:spacing w:before="12"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030177AC" w14:textId="77777777" w:rsidR="008715BE" w:rsidRPr="00EC75B7" w:rsidRDefault="00000000">
            <w:pPr>
              <w:pStyle w:val="TableParagraph"/>
              <w:spacing w:before="12" w:line="237" w:lineRule="auto"/>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tcPr>
          <w:p w14:paraId="6A58C2AB" w14:textId="77777777" w:rsidR="008715BE" w:rsidRPr="00EC75B7" w:rsidRDefault="00000000">
            <w:pPr>
              <w:pStyle w:val="TableParagraph"/>
              <w:spacing w:before="12" w:line="237" w:lineRule="auto"/>
              <w:ind w:left="111"/>
              <w:rPr>
                <w:rFonts w:ascii="Verdana" w:hAnsi="Verdana"/>
                <w:i/>
                <w:sz w:val="18"/>
                <w:szCs w:val="18"/>
              </w:rPr>
            </w:pPr>
            <w:r w:rsidRPr="00EC75B7">
              <w:rPr>
                <w:rFonts w:ascii="Verdana" w:hAnsi="Verdana"/>
                <w:i/>
                <w:sz w:val="18"/>
                <w:szCs w:val="18"/>
              </w:rPr>
              <w:t>Accipiter brevipes, Alcedo atthis, Anthus campestris, Aquila heliaca, Aquila pomarina, Burhinus oedicnemus, Buteo rufinus, Caprimulgus europaeus,</w:t>
            </w:r>
          </w:p>
          <w:p w14:paraId="6A311B5F" w14:textId="77777777" w:rsidR="008715BE" w:rsidRPr="00EC75B7" w:rsidRDefault="00000000">
            <w:pPr>
              <w:pStyle w:val="TableParagraph"/>
              <w:spacing w:before="2" w:line="142" w:lineRule="exact"/>
              <w:ind w:left="111"/>
              <w:rPr>
                <w:rFonts w:ascii="Verdana" w:hAnsi="Verdana"/>
                <w:i/>
                <w:sz w:val="18"/>
                <w:szCs w:val="18"/>
              </w:rPr>
            </w:pPr>
            <w:r w:rsidRPr="00EC75B7">
              <w:rPr>
                <w:rFonts w:ascii="Verdana" w:hAnsi="Verdana"/>
                <w:i/>
                <w:sz w:val="18"/>
                <w:szCs w:val="18"/>
              </w:rPr>
              <w:t xml:space="preserve">Calandrella brachydactyla, </w:t>
            </w:r>
            <w:r w:rsidRPr="00EC75B7">
              <w:rPr>
                <w:rFonts w:ascii="Verdana" w:hAnsi="Verdana"/>
                <w:i/>
                <w:spacing w:val="-2"/>
                <w:sz w:val="18"/>
                <w:szCs w:val="18"/>
              </w:rPr>
              <w:t>Ciconia</w:t>
            </w:r>
          </w:p>
        </w:tc>
        <w:tc>
          <w:tcPr>
            <w:tcW w:w="1440" w:type="dxa"/>
          </w:tcPr>
          <w:p w14:paraId="78F40903" w14:textId="77777777" w:rsidR="008715BE" w:rsidRPr="00EC75B7" w:rsidRDefault="00000000">
            <w:pPr>
              <w:pStyle w:val="TableParagraph"/>
              <w:spacing w:before="12" w:line="237" w:lineRule="auto"/>
              <w:ind w:left="108" w:right="152"/>
              <w:rPr>
                <w:rFonts w:ascii="Verdana" w:hAnsi="Verdana"/>
                <w:b/>
                <w:sz w:val="18"/>
                <w:szCs w:val="18"/>
              </w:rPr>
            </w:pPr>
            <w:r w:rsidRPr="00EC75B7">
              <w:rPr>
                <w:rFonts w:ascii="Verdana" w:hAnsi="Verdana"/>
                <w:b/>
                <w:spacing w:val="-2"/>
                <w:sz w:val="18"/>
                <w:szCs w:val="18"/>
              </w:rPr>
              <w:t xml:space="preserve">Regularly migrating </w:t>
            </w:r>
            <w:r w:rsidRPr="00EC75B7">
              <w:rPr>
                <w:rFonts w:ascii="Verdana" w:hAnsi="Verdana"/>
                <w:b/>
                <w:sz w:val="18"/>
                <w:szCs w:val="18"/>
              </w:rPr>
              <w:t>species Species associated with open land</w:t>
            </w:r>
          </w:p>
          <w:p w14:paraId="450AC1CF" w14:textId="77777777" w:rsidR="008715BE" w:rsidRPr="00EC75B7" w:rsidRDefault="00000000">
            <w:pPr>
              <w:pStyle w:val="TableParagraph"/>
              <w:spacing w:before="2" w:line="142" w:lineRule="exact"/>
              <w:ind w:left="108"/>
              <w:rPr>
                <w:rFonts w:ascii="Verdana" w:hAnsi="Verdana"/>
                <w:b/>
                <w:sz w:val="18"/>
                <w:szCs w:val="18"/>
              </w:rPr>
            </w:pPr>
            <w:r w:rsidRPr="00EC75B7">
              <w:rPr>
                <w:rFonts w:ascii="Verdana" w:hAnsi="Verdana"/>
                <w:b/>
                <w:spacing w:val="-2"/>
                <w:sz w:val="18"/>
                <w:szCs w:val="18"/>
              </w:rPr>
              <w:t>/</w:t>
            </w:r>
          </w:p>
        </w:tc>
        <w:tc>
          <w:tcPr>
            <w:tcW w:w="1080" w:type="dxa"/>
          </w:tcPr>
          <w:p w14:paraId="48B9F6A5" w14:textId="77777777" w:rsidR="008715BE" w:rsidRPr="00EC75B7" w:rsidRDefault="00000000">
            <w:pPr>
              <w:pStyle w:val="TableParagraph"/>
              <w:spacing w:before="12" w:line="237" w:lineRule="auto"/>
              <w:ind w:left="108"/>
              <w:rPr>
                <w:rFonts w:ascii="Verdana" w:hAnsi="Verdana"/>
                <w:b/>
                <w:sz w:val="18"/>
                <w:szCs w:val="18"/>
              </w:rPr>
            </w:pPr>
            <w:r w:rsidRPr="00EC75B7">
              <w:rPr>
                <w:rFonts w:ascii="Verdana" w:hAnsi="Verdana"/>
                <w:b/>
                <w:spacing w:val="-2"/>
                <w:sz w:val="18"/>
                <w:szCs w:val="18"/>
              </w:rPr>
              <w:t xml:space="preserve">Regularly migrating </w:t>
            </w:r>
            <w:r w:rsidRPr="00EC75B7">
              <w:rPr>
                <w:rFonts w:ascii="Verdana" w:hAnsi="Verdana"/>
                <w:b/>
                <w:sz w:val="18"/>
                <w:szCs w:val="18"/>
              </w:rPr>
              <w:t xml:space="preserve">species </w:t>
            </w:r>
            <w:r w:rsidRPr="00EC75B7">
              <w:rPr>
                <w:rFonts w:ascii="Verdana" w:hAnsi="Verdana"/>
                <w:b/>
                <w:spacing w:val="-2"/>
                <w:sz w:val="18"/>
                <w:szCs w:val="18"/>
              </w:rPr>
              <w:t>Species associated with</w:t>
            </w:r>
          </w:p>
          <w:p w14:paraId="2137E69E" w14:textId="77777777" w:rsidR="008715BE" w:rsidRPr="00EC75B7" w:rsidRDefault="00000000">
            <w:pPr>
              <w:pStyle w:val="TableParagraph"/>
              <w:spacing w:before="2" w:line="142" w:lineRule="exact"/>
              <w:ind w:left="108"/>
              <w:rPr>
                <w:rFonts w:ascii="Verdana" w:hAnsi="Verdana"/>
                <w:b/>
                <w:sz w:val="18"/>
                <w:szCs w:val="18"/>
              </w:rPr>
            </w:pPr>
            <w:r w:rsidRPr="00EC75B7">
              <w:rPr>
                <w:rFonts w:ascii="Verdana" w:hAnsi="Verdana"/>
                <w:b/>
                <w:spacing w:val="-5"/>
                <w:sz w:val="18"/>
                <w:szCs w:val="18"/>
              </w:rPr>
              <w:t>with</w:t>
            </w:r>
          </w:p>
        </w:tc>
        <w:tc>
          <w:tcPr>
            <w:tcW w:w="989" w:type="dxa"/>
          </w:tcPr>
          <w:p w14:paraId="78970A98" w14:textId="77777777" w:rsidR="008715BE" w:rsidRPr="00EC75B7" w:rsidRDefault="00000000">
            <w:pPr>
              <w:pStyle w:val="TableParagraph"/>
              <w:spacing w:before="12" w:line="237" w:lineRule="auto"/>
              <w:ind w:left="108"/>
              <w:rPr>
                <w:rFonts w:ascii="Verdana" w:hAnsi="Verdana"/>
                <w:b/>
                <w:sz w:val="18"/>
                <w:szCs w:val="18"/>
              </w:rPr>
            </w:pPr>
            <w:r w:rsidRPr="00EC75B7">
              <w:rPr>
                <w:rFonts w:ascii="Verdana" w:hAnsi="Verdana"/>
                <w:b/>
                <w:spacing w:val="-2"/>
                <w:sz w:val="18"/>
                <w:szCs w:val="18"/>
              </w:rPr>
              <w:t xml:space="preserve">Regularly migrating </w:t>
            </w:r>
            <w:r w:rsidRPr="00EC75B7">
              <w:rPr>
                <w:rFonts w:ascii="Verdana" w:hAnsi="Verdana"/>
                <w:b/>
                <w:sz w:val="18"/>
                <w:szCs w:val="18"/>
              </w:rPr>
              <w:t xml:space="preserve">species </w:t>
            </w:r>
            <w:r w:rsidRPr="00EC75B7">
              <w:rPr>
                <w:rFonts w:ascii="Verdana" w:hAnsi="Verdana"/>
                <w:b/>
                <w:spacing w:val="-2"/>
                <w:sz w:val="18"/>
                <w:szCs w:val="18"/>
              </w:rPr>
              <w:t>Species associated</w:t>
            </w:r>
          </w:p>
          <w:p w14:paraId="557E6932" w14:textId="77777777" w:rsidR="008715BE" w:rsidRPr="00EC75B7" w:rsidRDefault="00000000">
            <w:pPr>
              <w:pStyle w:val="TableParagraph"/>
              <w:spacing w:before="2" w:line="142" w:lineRule="exact"/>
              <w:ind w:left="108"/>
              <w:rPr>
                <w:rFonts w:ascii="Verdana" w:hAnsi="Verdana"/>
                <w:b/>
                <w:sz w:val="18"/>
                <w:szCs w:val="18"/>
              </w:rPr>
            </w:pPr>
            <w:r w:rsidRPr="00EC75B7">
              <w:rPr>
                <w:rFonts w:ascii="Verdana" w:hAnsi="Verdana"/>
                <w:b/>
                <w:spacing w:val="-5"/>
                <w:sz w:val="18"/>
                <w:szCs w:val="18"/>
              </w:rPr>
              <w:t>with</w:t>
            </w:r>
          </w:p>
        </w:tc>
        <w:tc>
          <w:tcPr>
            <w:tcW w:w="1080" w:type="dxa"/>
          </w:tcPr>
          <w:p w14:paraId="6D96864B" w14:textId="77777777" w:rsidR="008715BE" w:rsidRPr="00EC75B7" w:rsidRDefault="00000000">
            <w:pPr>
              <w:pStyle w:val="TableParagraph"/>
              <w:spacing w:before="12" w:line="237" w:lineRule="auto"/>
              <w:ind w:left="110"/>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regular migration Associated species</w:t>
            </w:r>
          </w:p>
          <w:p w14:paraId="42AAD100" w14:textId="77777777" w:rsidR="008715BE" w:rsidRPr="00EC75B7" w:rsidRDefault="00000000">
            <w:pPr>
              <w:pStyle w:val="TableParagraph"/>
              <w:spacing w:before="2" w:line="142" w:lineRule="exact"/>
              <w:ind w:left="110"/>
              <w:rPr>
                <w:rFonts w:ascii="Verdana" w:hAnsi="Verdana"/>
                <w:b/>
                <w:sz w:val="18"/>
                <w:szCs w:val="18"/>
              </w:rPr>
            </w:pPr>
            <w:r w:rsidRPr="00EC75B7">
              <w:rPr>
                <w:rFonts w:ascii="Verdana" w:hAnsi="Verdana"/>
                <w:b/>
                <w:spacing w:val="-5"/>
                <w:sz w:val="18"/>
                <w:szCs w:val="18"/>
              </w:rPr>
              <w:t>with</w:t>
            </w:r>
          </w:p>
        </w:tc>
        <w:tc>
          <w:tcPr>
            <w:tcW w:w="991" w:type="dxa"/>
          </w:tcPr>
          <w:p w14:paraId="2E20BA41" w14:textId="77777777" w:rsidR="008715BE" w:rsidRPr="00EC75B7" w:rsidRDefault="00000000">
            <w:pPr>
              <w:pStyle w:val="TableParagraph"/>
              <w:spacing w:before="12" w:line="237" w:lineRule="auto"/>
              <w:ind w:left="110"/>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regular migration Associated species</w:t>
            </w:r>
          </w:p>
          <w:p w14:paraId="38960D81" w14:textId="77777777" w:rsidR="008715BE" w:rsidRPr="00EC75B7" w:rsidRDefault="00000000">
            <w:pPr>
              <w:pStyle w:val="TableParagraph"/>
              <w:spacing w:before="2" w:line="142" w:lineRule="exact"/>
              <w:ind w:left="110"/>
              <w:rPr>
                <w:rFonts w:ascii="Verdana" w:hAnsi="Verdana"/>
                <w:b/>
                <w:sz w:val="18"/>
                <w:szCs w:val="18"/>
              </w:rPr>
            </w:pPr>
            <w:r w:rsidRPr="00EC75B7">
              <w:rPr>
                <w:rFonts w:ascii="Verdana" w:hAnsi="Verdana"/>
                <w:b/>
                <w:spacing w:val="-5"/>
                <w:sz w:val="18"/>
                <w:szCs w:val="18"/>
              </w:rPr>
              <w:t>with</w:t>
            </w:r>
          </w:p>
        </w:tc>
        <w:tc>
          <w:tcPr>
            <w:tcW w:w="1080" w:type="dxa"/>
          </w:tcPr>
          <w:p w14:paraId="6F90E90C" w14:textId="77777777" w:rsidR="008715BE" w:rsidRPr="00EC75B7" w:rsidRDefault="00000000">
            <w:pPr>
              <w:pStyle w:val="TableParagraph"/>
              <w:spacing w:before="12" w:line="237" w:lineRule="auto"/>
              <w:ind w:left="108"/>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regular migration Associated species</w:t>
            </w:r>
          </w:p>
          <w:p w14:paraId="254973BD" w14:textId="77777777" w:rsidR="008715BE" w:rsidRPr="00EC75B7" w:rsidRDefault="00000000">
            <w:pPr>
              <w:pStyle w:val="TableParagraph"/>
              <w:spacing w:before="2" w:line="142" w:lineRule="exact"/>
              <w:ind w:left="108"/>
              <w:rPr>
                <w:rFonts w:ascii="Verdana" w:hAnsi="Verdana"/>
                <w:b/>
                <w:sz w:val="18"/>
                <w:szCs w:val="18"/>
              </w:rPr>
            </w:pPr>
            <w:r w:rsidRPr="00EC75B7">
              <w:rPr>
                <w:rFonts w:ascii="Verdana" w:hAnsi="Verdana"/>
                <w:b/>
                <w:spacing w:val="-5"/>
                <w:sz w:val="18"/>
                <w:szCs w:val="18"/>
              </w:rPr>
              <w:t>with</w:t>
            </w:r>
          </w:p>
        </w:tc>
        <w:tc>
          <w:tcPr>
            <w:tcW w:w="989" w:type="dxa"/>
          </w:tcPr>
          <w:p w14:paraId="0DE9CF3D" w14:textId="77777777" w:rsidR="008715BE" w:rsidRPr="00EC75B7" w:rsidRDefault="00000000">
            <w:pPr>
              <w:pStyle w:val="TableParagraph"/>
              <w:spacing w:before="12" w:line="237" w:lineRule="auto"/>
              <w:ind w:left="108"/>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regular migration Associated species</w:t>
            </w:r>
          </w:p>
          <w:p w14:paraId="5DC005C4" w14:textId="77777777" w:rsidR="008715BE" w:rsidRPr="00EC75B7" w:rsidRDefault="00000000">
            <w:pPr>
              <w:pStyle w:val="TableParagraph"/>
              <w:spacing w:before="2" w:line="142" w:lineRule="exact"/>
              <w:ind w:left="108"/>
              <w:rPr>
                <w:rFonts w:ascii="Verdana" w:hAnsi="Verdana"/>
                <w:b/>
                <w:sz w:val="18"/>
                <w:szCs w:val="18"/>
              </w:rPr>
            </w:pPr>
            <w:r w:rsidRPr="00EC75B7">
              <w:rPr>
                <w:rFonts w:ascii="Verdana" w:hAnsi="Verdana"/>
                <w:b/>
                <w:spacing w:val="-5"/>
                <w:sz w:val="18"/>
                <w:szCs w:val="18"/>
              </w:rPr>
              <w:t>with</w:t>
            </w:r>
          </w:p>
        </w:tc>
        <w:tc>
          <w:tcPr>
            <w:tcW w:w="1081" w:type="dxa"/>
          </w:tcPr>
          <w:p w14:paraId="2AAA094B" w14:textId="77777777" w:rsidR="008715BE" w:rsidRPr="00EC75B7" w:rsidRDefault="00000000">
            <w:pPr>
              <w:pStyle w:val="TableParagraph"/>
              <w:spacing w:before="12" w:line="237" w:lineRule="auto"/>
              <w:ind w:left="110"/>
              <w:rPr>
                <w:rFonts w:ascii="Verdana" w:hAnsi="Verdana"/>
                <w:sz w:val="18"/>
                <w:szCs w:val="18"/>
              </w:rPr>
            </w:pPr>
            <w:r w:rsidRPr="00EC75B7">
              <w:rPr>
                <w:rFonts w:ascii="Verdana" w:hAnsi="Verdana"/>
                <w:spacing w:val="-2"/>
                <w:sz w:val="18"/>
                <w:szCs w:val="18"/>
              </w:rPr>
              <w:t>Population size trend</w:t>
            </w:r>
          </w:p>
        </w:tc>
        <w:tc>
          <w:tcPr>
            <w:tcW w:w="1261" w:type="dxa"/>
          </w:tcPr>
          <w:p w14:paraId="58335AF6" w14:textId="77777777" w:rsidR="008715BE" w:rsidRPr="00EC75B7" w:rsidRDefault="00000000">
            <w:pPr>
              <w:pStyle w:val="TableParagraph"/>
              <w:spacing w:before="13" w:line="235" w:lineRule="auto"/>
              <w:ind w:left="110"/>
              <w:rPr>
                <w:rFonts w:ascii="Verdana" w:hAnsi="Verdana"/>
                <w:sz w:val="18"/>
                <w:szCs w:val="18"/>
              </w:rPr>
            </w:pPr>
            <w:r w:rsidRPr="00EC75B7">
              <w:rPr>
                <w:rFonts w:ascii="Verdana" w:hAnsi="Verdana"/>
                <w:sz w:val="18"/>
                <w:szCs w:val="18"/>
              </w:rPr>
              <w:t xml:space="preserve">0 ha of </w:t>
            </w:r>
            <w:r w:rsidRPr="00EC75B7">
              <w:rPr>
                <w:rFonts w:ascii="Verdana" w:hAnsi="Verdana"/>
                <w:spacing w:val="-2"/>
                <w:sz w:val="18"/>
                <w:szCs w:val="18"/>
              </w:rPr>
              <w:t xml:space="preserve">protected </w:t>
            </w:r>
            <w:r w:rsidRPr="00EC75B7">
              <w:rPr>
                <w:rFonts w:ascii="Verdana" w:hAnsi="Verdana"/>
                <w:sz w:val="18"/>
                <w:szCs w:val="18"/>
              </w:rPr>
              <w:t>area</w:t>
            </w:r>
          </w:p>
          <w:p w14:paraId="45356B9B" w14:textId="77777777" w:rsidR="008715BE" w:rsidRPr="00EC75B7" w:rsidRDefault="00000000">
            <w:pPr>
              <w:pStyle w:val="TableParagraph"/>
              <w:spacing w:before="144" w:line="170" w:lineRule="exact"/>
              <w:ind w:left="110" w:right="317"/>
              <w:rPr>
                <w:rFonts w:ascii="Verdana" w:hAnsi="Verdana"/>
                <w:sz w:val="18"/>
                <w:szCs w:val="18"/>
              </w:rPr>
            </w:pPr>
            <w:r w:rsidRPr="00EC75B7">
              <w:rPr>
                <w:rFonts w:ascii="Verdana" w:hAnsi="Verdana"/>
                <w:spacing w:val="-2"/>
                <w:sz w:val="18"/>
                <w:szCs w:val="18"/>
              </w:rPr>
              <w:t xml:space="preserve">Areas </w:t>
            </w:r>
            <w:r w:rsidRPr="00EC75B7">
              <w:rPr>
                <w:rFonts w:ascii="Verdana" w:hAnsi="Verdana"/>
                <w:sz w:val="18"/>
                <w:szCs w:val="18"/>
              </w:rPr>
              <w:t>occupied outside the area</w:t>
            </w:r>
          </w:p>
        </w:tc>
        <w:tc>
          <w:tcPr>
            <w:tcW w:w="901" w:type="dxa"/>
          </w:tcPr>
          <w:p w14:paraId="2D6DE3CA" w14:textId="77777777" w:rsidR="008715BE" w:rsidRPr="00EC75B7" w:rsidRDefault="00000000">
            <w:pPr>
              <w:pStyle w:val="TableParagraph"/>
              <w:spacing w:before="12" w:line="237" w:lineRule="auto"/>
              <w:ind w:left="109" w:right="122"/>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monitoring</w:t>
            </w:r>
          </w:p>
          <w:p w14:paraId="6BC884FC" w14:textId="77777777" w:rsidR="008715BE" w:rsidRPr="00EC75B7" w:rsidRDefault="00000000">
            <w:pPr>
              <w:pStyle w:val="TableParagraph"/>
              <w:spacing w:before="2" w:line="142" w:lineRule="exact"/>
              <w:ind w:left="109"/>
              <w:rPr>
                <w:rFonts w:ascii="Verdana" w:hAnsi="Verdana"/>
                <w:sz w:val="18"/>
                <w:szCs w:val="18"/>
              </w:rPr>
            </w:pPr>
            <w:r w:rsidRPr="00EC75B7">
              <w:rPr>
                <w:rFonts w:ascii="Verdana" w:hAnsi="Verdana"/>
                <w:spacing w:val="-2"/>
                <w:sz w:val="18"/>
                <w:szCs w:val="18"/>
              </w:rPr>
              <w:t>carried out</w:t>
            </w:r>
          </w:p>
        </w:tc>
      </w:tr>
    </w:tbl>
    <w:p w14:paraId="2B7E71C7" w14:textId="77777777" w:rsidR="008715BE" w:rsidRPr="00EC75B7" w:rsidRDefault="008715BE">
      <w:pPr>
        <w:pStyle w:val="TableParagraph"/>
        <w:spacing w:line="142" w:lineRule="exact"/>
        <w:rPr>
          <w:rFonts w:ascii="Verdana" w:hAnsi="Verdana"/>
          <w:sz w:val="18"/>
          <w:szCs w:val="18"/>
        </w:rPr>
        <w:sectPr w:rsidR="008715BE" w:rsidRPr="00EC75B7">
          <w:pgSz w:w="23820" w:h="16840" w:orient="landscape"/>
          <w:pgMar w:top="1120" w:right="850" w:bottom="1020" w:left="566" w:header="766" w:footer="810" w:gutter="0"/>
          <w:cols w:space="708"/>
        </w:sectPr>
      </w:pPr>
    </w:p>
    <w:p w14:paraId="2CDFA414"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1080"/>
        <w:gridCol w:w="991"/>
        <w:gridCol w:w="1080"/>
        <w:gridCol w:w="989"/>
        <w:gridCol w:w="1081"/>
        <w:gridCol w:w="1261"/>
        <w:gridCol w:w="901"/>
      </w:tblGrid>
      <w:tr w:rsidR="008715BE" w:rsidRPr="00EC75B7" w14:paraId="5CB0AA56" w14:textId="77777777">
        <w:trPr>
          <w:trHeight w:val="842"/>
        </w:trPr>
        <w:tc>
          <w:tcPr>
            <w:tcW w:w="2342" w:type="dxa"/>
            <w:gridSpan w:val="2"/>
            <w:shd w:val="clear" w:color="auto" w:fill="00A1E8"/>
          </w:tcPr>
          <w:p w14:paraId="1AA6635E" w14:textId="77777777" w:rsidR="008715BE" w:rsidRPr="00EC75B7" w:rsidRDefault="008715BE">
            <w:pPr>
              <w:pStyle w:val="TableParagraph"/>
              <w:rPr>
                <w:rFonts w:ascii="Verdana" w:hAnsi="Verdana"/>
                <w:b/>
                <w:sz w:val="18"/>
                <w:szCs w:val="18"/>
              </w:rPr>
            </w:pPr>
          </w:p>
          <w:p w14:paraId="7C3EC74A" w14:textId="77777777" w:rsidR="008715BE" w:rsidRPr="00EC75B7" w:rsidRDefault="008715BE">
            <w:pPr>
              <w:pStyle w:val="TableParagraph"/>
              <w:spacing w:before="2"/>
              <w:rPr>
                <w:rFonts w:ascii="Verdana" w:hAnsi="Verdana"/>
                <w:b/>
                <w:sz w:val="18"/>
                <w:szCs w:val="18"/>
              </w:rPr>
            </w:pPr>
          </w:p>
          <w:p w14:paraId="0F70604A"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652ABAD7" w14:textId="77777777" w:rsidR="008715BE" w:rsidRPr="00EC75B7" w:rsidRDefault="008715BE">
            <w:pPr>
              <w:pStyle w:val="TableParagraph"/>
              <w:rPr>
                <w:rFonts w:ascii="Verdana" w:hAnsi="Verdana"/>
                <w:b/>
                <w:sz w:val="18"/>
                <w:szCs w:val="18"/>
              </w:rPr>
            </w:pPr>
          </w:p>
          <w:p w14:paraId="334EC0A5" w14:textId="77777777" w:rsidR="008715BE" w:rsidRPr="00EC75B7" w:rsidRDefault="008715BE">
            <w:pPr>
              <w:pStyle w:val="TableParagraph"/>
              <w:spacing w:before="2"/>
              <w:rPr>
                <w:rFonts w:ascii="Verdana" w:hAnsi="Verdana"/>
                <w:b/>
                <w:sz w:val="18"/>
                <w:szCs w:val="18"/>
              </w:rPr>
            </w:pPr>
          </w:p>
          <w:p w14:paraId="6F413B0D"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34835C02" w14:textId="77777777" w:rsidR="008715BE" w:rsidRPr="00EC75B7" w:rsidRDefault="008715BE">
            <w:pPr>
              <w:pStyle w:val="TableParagraph"/>
              <w:spacing w:before="90"/>
              <w:rPr>
                <w:rFonts w:ascii="Verdana" w:hAnsi="Verdana"/>
                <w:b/>
                <w:sz w:val="18"/>
                <w:szCs w:val="18"/>
              </w:rPr>
            </w:pPr>
          </w:p>
          <w:p w14:paraId="2E6D7CFD"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3960BB98" w14:textId="77777777" w:rsidR="008715BE" w:rsidRPr="00EC75B7" w:rsidRDefault="008715BE">
            <w:pPr>
              <w:pStyle w:val="TableParagraph"/>
              <w:spacing w:before="2"/>
              <w:rPr>
                <w:rFonts w:ascii="Verdana" w:hAnsi="Verdana"/>
                <w:b/>
                <w:sz w:val="18"/>
                <w:szCs w:val="18"/>
              </w:rPr>
            </w:pPr>
          </w:p>
          <w:p w14:paraId="4F098D36"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3C7B2609"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5B6F03CE"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4CF1DC30"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8"/>
            <w:shd w:val="clear" w:color="auto" w:fill="00A1E8"/>
          </w:tcPr>
          <w:p w14:paraId="7598FBEB" w14:textId="77777777" w:rsidR="008715BE" w:rsidRPr="00EC75B7" w:rsidRDefault="008715BE">
            <w:pPr>
              <w:pStyle w:val="TableParagraph"/>
              <w:rPr>
                <w:rFonts w:ascii="Verdana" w:hAnsi="Verdana"/>
                <w:b/>
                <w:sz w:val="18"/>
                <w:szCs w:val="18"/>
              </w:rPr>
            </w:pPr>
          </w:p>
          <w:p w14:paraId="09056873" w14:textId="77777777" w:rsidR="008715BE" w:rsidRPr="00EC75B7" w:rsidRDefault="008715BE">
            <w:pPr>
              <w:pStyle w:val="TableParagraph"/>
              <w:spacing w:before="2"/>
              <w:rPr>
                <w:rFonts w:ascii="Verdana" w:hAnsi="Verdana"/>
                <w:b/>
                <w:sz w:val="18"/>
                <w:szCs w:val="18"/>
              </w:rPr>
            </w:pPr>
          </w:p>
          <w:p w14:paraId="2F84C3D8"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Species</w:t>
            </w:r>
          </w:p>
        </w:tc>
        <w:tc>
          <w:tcPr>
            <w:tcW w:w="1081" w:type="dxa"/>
            <w:shd w:val="clear" w:color="auto" w:fill="00A1E8"/>
          </w:tcPr>
          <w:p w14:paraId="1359F490" w14:textId="77777777" w:rsidR="008715BE" w:rsidRPr="00EC75B7" w:rsidRDefault="00000000">
            <w:pPr>
              <w:pStyle w:val="TableParagraph"/>
              <w:spacing w:before="89" w:line="171" w:lineRule="exact"/>
              <w:ind w:left="15" w:right="1"/>
              <w:jc w:val="center"/>
              <w:rPr>
                <w:rFonts w:ascii="Verdana" w:hAnsi="Verdana"/>
                <w:b/>
                <w:sz w:val="18"/>
                <w:szCs w:val="18"/>
              </w:rPr>
            </w:pPr>
            <w:r w:rsidRPr="00EC75B7">
              <w:rPr>
                <w:rFonts w:ascii="Verdana" w:hAnsi="Verdana"/>
                <w:b/>
                <w:color w:val="FFFFFF"/>
                <w:spacing w:val="-2"/>
                <w:sz w:val="18"/>
                <w:szCs w:val="18"/>
              </w:rPr>
              <w:t>Parameter</w:t>
            </w:r>
          </w:p>
          <w:p w14:paraId="7D07E989" w14:textId="77777777" w:rsidR="008715BE" w:rsidRPr="00EC75B7" w:rsidRDefault="00000000">
            <w:pPr>
              <w:pStyle w:val="TableParagraph"/>
              <w:spacing w:line="169" w:lineRule="exact"/>
              <w:ind w:left="15"/>
              <w:jc w:val="center"/>
              <w:rPr>
                <w:rFonts w:ascii="Verdana" w:hAnsi="Verdana"/>
                <w:b/>
                <w:sz w:val="18"/>
                <w:szCs w:val="18"/>
              </w:rPr>
            </w:pPr>
            <w:r w:rsidRPr="00EC75B7">
              <w:rPr>
                <w:rFonts w:ascii="Verdana" w:hAnsi="Verdana"/>
                <w:b/>
                <w:color w:val="FFFFFF"/>
                <w:spacing w:val="-10"/>
                <w:sz w:val="18"/>
                <w:szCs w:val="18"/>
              </w:rPr>
              <w:t>/</w:t>
            </w:r>
          </w:p>
          <w:p w14:paraId="339739EF" w14:textId="77777777" w:rsidR="008715BE" w:rsidRPr="00EC75B7" w:rsidRDefault="00000000">
            <w:pPr>
              <w:pStyle w:val="TableParagraph"/>
              <w:ind w:left="221" w:right="208"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1" w:type="dxa"/>
            <w:shd w:val="clear" w:color="auto" w:fill="00A1E8"/>
          </w:tcPr>
          <w:p w14:paraId="4B9667C1" w14:textId="77777777" w:rsidR="008715BE" w:rsidRPr="00EC75B7" w:rsidRDefault="008715BE">
            <w:pPr>
              <w:pStyle w:val="TableParagraph"/>
              <w:spacing w:before="90"/>
              <w:rPr>
                <w:rFonts w:ascii="Verdana" w:hAnsi="Verdana"/>
                <w:b/>
                <w:sz w:val="18"/>
                <w:szCs w:val="18"/>
              </w:rPr>
            </w:pPr>
          </w:p>
          <w:p w14:paraId="64174076" w14:textId="77777777" w:rsidR="008715BE" w:rsidRPr="00EC75B7" w:rsidRDefault="00000000">
            <w:pPr>
              <w:pStyle w:val="TableParagraph"/>
              <w:spacing w:line="237" w:lineRule="auto"/>
              <w:ind w:left="364" w:hanging="209"/>
              <w:rPr>
                <w:rFonts w:ascii="Verdana" w:hAnsi="Verdana"/>
                <w:b/>
                <w:sz w:val="18"/>
                <w:szCs w:val="18"/>
              </w:rPr>
            </w:pPr>
            <w:r w:rsidRPr="00EC75B7">
              <w:rPr>
                <w:rFonts w:ascii="Verdana" w:hAnsi="Verdana"/>
                <w:b/>
                <w:color w:val="FFFFFF"/>
                <w:spacing w:val="-2"/>
                <w:sz w:val="18"/>
                <w:szCs w:val="18"/>
              </w:rPr>
              <w:t>Impact quantification</w:t>
            </w:r>
          </w:p>
        </w:tc>
        <w:tc>
          <w:tcPr>
            <w:tcW w:w="901" w:type="dxa"/>
            <w:shd w:val="clear" w:color="auto" w:fill="00A1E8"/>
          </w:tcPr>
          <w:p w14:paraId="6B10D78A" w14:textId="77777777" w:rsidR="008715BE" w:rsidRPr="00EC75B7" w:rsidRDefault="008715BE">
            <w:pPr>
              <w:pStyle w:val="TableParagraph"/>
              <w:spacing w:before="2"/>
              <w:rPr>
                <w:rFonts w:ascii="Verdana" w:hAnsi="Verdana"/>
                <w:b/>
                <w:sz w:val="18"/>
                <w:szCs w:val="18"/>
              </w:rPr>
            </w:pPr>
          </w:p>
          <w:p w14:paraId="0029BFD3" w14:textId="77777777" w:rsidR="008715BE" w:rsidRPr="00EC75B7" w:rsidRDefault="00000000">
            <w:pPr>
              <w:pStyle w:val="TableParagraph"/>
              <w:spacing w:before="1"/>
              <w:ind w:left="111" w:right="103" w:firstLine="1"/>
              <w:jc w:val="center"/>
              <w:rPr>
                <w:rFonts w:ascii="Verdana" w:hAnsi="Verdana"/>
                <w:b/>
                <w:sz w:val="18"/>
                <w:szCs w:val="18"/>
              </w:rPr>
            </w:pPr>
            <w:r w:rsidRPr="00EC75B7">
              <w:rPr>
                <w:rFonts w:ascii="Verdana" w:hAnsi="Verdana"/>
                <w:b/>
                <w:color w:val="FFFFFF"/>
                <w:spacing w:val="-4"/>
                <w:sz w:val="18"/>
                <w:szCs w:val="18"/>
              </w:rPr>
              <w:t xml:space="preserve">Method </w:t>
            </w:r>
            <w:r w:rsidRPr="00EC75B7">
              <w:rPr>
                <w:rFonts w:ascii="Verdana" w:hAnsi="Verdana"/>
                <w:b/>
                <w:color w:val="FFFFFF"/>
                <w:sz w:val="18"/>
                <w:szCs w:val="18"/>
              </w:rPr>
              <w:t xml:space="preserve">of </w:t>
            </w:r>
            <w:r w:rsidRPr="00EC75B7">
              <w:rPr>
                <w:rFonts w:ascii="Verdana" w:hAnsi="Verdana"/>
                <w:b/>
                <w:color w:val="FFFFFF"/>
                <w:spacing w:val="-2"/>
                <w:sz w:val="18"/>
                <w:szCs w:val="18"/>
              </w:rPr>
              <w:t>quantification</w:t>
            </w:r>
          </w:p>
        </w:tc>
      </w:tr>
      <w:tr w:rsidR="008715BE" w:rsidRPr="00EC75B7" w14:paraId="49530D5F" w14:textId="77777777">
        <w:trPr>
          <w:trHeight w:val="4423"/>
        </w:trPr>
        <w:tc>
          <w:tcPr>
            <w:tcW w:w="542" w:type="dxa"/>
            <w:vMerge w:val="restart"/>
          </w:tcPr>
          <w:p w14:paraId="0083974A" w14:textId="77777777" w:rsidR="008715BE" w:rsidRPr="00EC75B7" w:rsidRDefault="008715BE">
            <w:pPr>
              <w:pStyle w:val="TableParagraph"/>
              <w:rPr>
                <w:rFonts w:ascii="Verdana" w:hAnsi="Verdana"/>
                <w:sz w:val="18"/>
                <w:szCs w:val="18"/>
              </w:rPr>
            </w:pPr>
          </w:p>
        </w:tc>
        <w:tc>
          <w:tcPr>
            <w:tcW w:w="1800" w:type="dxa"/>
          </w:tcPr>
          <w:p w14:paraId="534F9EEA" w14:textId="77777777" w:rsidR="008715BE" w:rsidRPr="00EC75B7" w:rsidRDefault="008715BE">
            <w:pPr>
              <w:pStyle w:val="TableParagraph"/>
              <w:rPr>
                <w:rFonts w:ascii="Verdana" w:hAnsi="Verdana"/>
                <w:sz w:val="18"/>
                <w:szCs w:val="18"/>
              </w:rPr>
            </w:pPr>
          </w:p>
        </w:tc>
        <w:tc>
          <w:tcPr>
            <w:tcW w:w="1048" w:type="dxa"/>
          </w:tcPr>
          <w:p w14:paraId="30905738" w14:textId="77777777" w:rsidR="008715BE" w:rsidRPr="00EC75B7" w:rsidRDefault="008715BE">
            <w:pPr>
              <w:pStyle w:val="TableParagraph"/>
              <w:rPr>
                <w:rFonts w:ascii="Verdana" w:hAnsi="Verdana"/>
                <w:sz w:val="18"/>
                <w:szCs w:val="18"/>
              </w:rPr>
            </w:pPr>
          </w:p>
        </w:tc>
        <w:tc>
          <w:tcPr>
            <w:tcW w:w="1274" w:type="dxa"/>
          </w:tcPr>
          <w:p w14:paraId="2C6EC6FA" w14:textId="77777777" w:rsidR="008715BE" w:rsidRPr="00EC75B7" w:rsidRDefault="008715BE">
            <w:pPr>
              <w:pStyle w:val="TableParagraph"/>
              <w:rPr>
                <w:rFonts w:ascii="Verdana" w:hAnsi="Verdana"/>
                <w:sz w:val="18"/>
                <w:szCs w:val="18"/>
              </w:rPr>
            </w:pPr>
          </w:p>
        </w:tc>
        <w:tc>
          <w:tcPr>
            <w:tcW w:w="993" w:type="dxa"/>
          </w:tcPr>
          <w:p w14:paraId="30D4312C" w14:textId="77777777" w:rsidR="008715BE" w:rsidRPr="00EC75B7" w:rsidRDefault="008715BE">
            <w:pPr>
              <w:pStyle w:val="TableParagraph"/>
              <w:rPr>
                <w:rFonts w:ascii="Verdana" w:hAnsi="Verdana"/>
                <w:sz w:val="18"/>
                <w:szCs w:val="18"/>
              </w:rPr>
            </w:pPr>
          </w:p>
        </w:tc>
        <w:tc>
          <w:tcPr>
            <w:tcW w:w="708" w:type="dxa"/>
          </w:tcPr>
          <w:p w14:paraId="576F4258"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2"/>
                <w:sz w:val="18"/>
                <w:szCs w:val="18"/>
              </w:rPr>
              <w:t>secund</w:t>
            </w:r>
            <w:r w:rsidRPr="00EC75B7">
              <w:rPr>
                <w:rFonts w:ascii="Verdana" w:hAnsi="Verdana"/>
                <w:spacing w:val="-4"/>
                <w:sz w:val="18"/>
                <w:szCs w:val="18"/>
              </w:rPr>
              <w:t>ary</w:t>
            </w:r>
          </w:p>
        </w:tc>
        <w:tc>
          <w:tcPr>
            <w:tcW w:w="991" w:type="dxa"/>
          </w:tcPr>
          <w:p w14:paraId="6251103E" w14:textId="77777777" w:rsidR="008715BE" w:rsidRPr="00EC75B7" w:rsidRDefault="008715BE">
            <w:pPr>
              <w:pStyle w:val="TableParagraph"/>
              <w:rPr>
                <w:rFonts w:ascii="Verdana" w:hAnsi="Verdana"/>
                <w:sz w:val="18"/>
                <w:szCs w:val="18"/>
              </w:rPr>
            </w:pPr>
          </w:p>
        </w:tc>
        <w:tc>
          <w:tcPr>
            <w:tcW w:w="1277" w:type="dxa"/>
          </w:tcPr>
          <w:p w14:paraId="5AE91867" w14:textId="77777777" w:rsidR="008715BE" w:rsidRPr="00EC75B7" w:rsidRDefault="008715BE">
            <w:pPr>
              <w:pStyle w:val="TableParagraph"/>
              <w:rPr>
                <w:rFonts w:ascii="Verdana" w:hAnsi="Verdana"/>
                <w:sz w:val="18"/>
                <w:szCs w:val="18"/>
              </w:rPr>
            </w:pPr>
          </w:p>
        </w:tc>
        <w:tc>
          <w:tcPr>
            <w:tcW w:w="2708" w:type="dxa"/>
            <w:vMerge w:val="restart"/>
          </w:tcPr>
          <w:p w14:paraId="3B5A0740" w14:textId="77777777" w:rsidR="008715BE" w:rsidRPr="00EC75B7" w:rsidRDefault="00000000">
            <w:pPr>
              <w:pStyle w:val="TableParagraph"/>
              <w:spacing w:before="8"/>
              <w:ind w:left="111" w:right="155"/>
              <w:rPr>
                <w:rFonts w:ascii="Verdana" w:hAnsi="Verdana"/>
                <w:i/>
                <w:sz w:val="18"/>
                <w:szCs w:val="18"/>
              </w:rPr>
            </w:pPr>
            <w:r w:rsidRPr="00EC75B7">
              <w:rPr>
                <w:rFonts w:ascii="Verdana" w:hAnsi="Verdana"/>
                <w:i/>
                <w:sz w:val="18"/>
                <w:szCs w:val="18"/>
              </w:rPr>
              <w:t>Ciconia, Circaetus gallicus, Circus aeruginosus, Circus cyaneus, Circus macrourus, Circus pygargus, Coracias garrulus, Falco cherrug, Falco columbarius, Falco peregrinus, Falco vespertinus, Hieraaetus pennatus, Lanius collurio, Lanius minor, Larus melanocephalus, Larus minutus, Lullula arborea, Melanocorypha calandra, Milvus migrans, Nycticorax nycticorax, Oenanthe pleschanka, Pelecanus crispus, Pernis apivorus, Philomachus pugnax, Porzana porzana/Calidris pugnax, Recurvirostra avosetta, Tadorna ferruginea</w:t>
            </w:r>
          </w:p>
        </w:tc>
        <w:tc>
          <w:tcPr>
            <w:tcW w:w="1440" w:type="dxa"/>
            <w:vMerge w:val="restart"/>
          </w:tcPr>
          <w:p w14:paraId="07D5084E" w14:textId="77777777" w:rsidR="008715BE" w:rsidRPr="00EC75B7" w:rsidRDefault="00000000">
            <w:pPr>
              <w:pStyle w:val="TableParagraph"/>
              <w:spacing w:before="8" w:line="171" w:lineRule="exact"/>
              <w:ind w:left="108"/>
              <w:rPr>
                <w:rFonts w:ascii="Verdana" w:hAnsi="Verdana"/>
                <w:b/>
                <w:sz w:val="18"/>
                <w:szCs w:val="18"/>
              </w:rPr>
            </w:pPr>
            <w:r w:rsidRPr="00EC75B7">
              <w:rPr>
                <w:rFonts w:ascii="Verdana" w:hAnsi="Verdana"/>
                <w:b/>
                <w:spacing w:val="-2"/>
                <w:sz w:val="18"/>
                <w:szCs w:val="18"/>
              </w:rPr>
              <w:t>agricultural</w:t>
            </w:r>
          </w:p>
          <w:p w14:paraId="12AC5AF3" w14:textId="77777777" w:rsidR="008715BE" w:rsidRPr="00EC75B7" w:rsidRDefault="00000000">
            <w:pPr>
              <w:pStyle w:val="TableParagraph"/>
              <w:ind w:left="108" w:right="106"/>
              <w:rPr>
                <w:rFonts w:ascii="Verdana" w:hAnsi="Verdana"/>
                <w:i/>
                <w:sz w:val="18"/>
                <w:szCs w:val="18"/>
              </w:rPr>
            </w:pPr>
            <w:r w:rsidRPr="00EC75B7">
              <w:rPr>
                <w:rFonts w:ascii="Verdana" w:hAnsi="Verdana"/>
                <w:i/>
                <w:sz w:val="18"/>
                <w:szCs w:val="18"/>
              </w:rPr>
              <w:t xml:space="preserve">Alauda arvensis, Buteo lagopus, </w:t>
            </w:r>
            <w:r w:rsidRPr="00EC75B7">
              <w:rPr>
                <w:rFonts w:ascii="Verdana" w:hAnsi="Verdana"/>
                <w:i/>
                <w:spacing w:val="-2"/>
                <w:sz w:val="18"/>
                <w:szCs w:val="18"/>
              </w:rPr>
              <w:t xml:space="preserve">Emberiza melanocephala, </w:t>
            </w:r>
            <w:r w:rsidRPr="00EC75B7">
              <w:rPr>
                <w:rFonts w:ascii="Verdana" w:hAnsi="Verdana"/>
                <w:i/>
                <w:sz w:val="18"/>
                <w:szCs w:val="18"/>
              </w:rPr>
              <w:t xml:space="preserve">Lanius senator, Merops apiaster, Miliaria calandra, Motacilla alba, </w:t>
            </w:r>
            <w:r w:rsidRPr="00EC75B7">
              <w:rPr>
                <w:rFonts w:ascii="Verdana" w:hAnsi="Verdana"/>
                <w:i/>
                <w:spacing w:val="-2"/>
                <w:sz w:val="18"/>
                <w:szCs w:val="18"/>
              </w:rPr>
              <w:t xml:space="preserve">Oenanthe oenanthe, Streptopelia </w:t>
            </w:r>
            <w:r w:rsidRPr="00EC75B7">
              <w:rPr>
                <w:rFonts w:ascii="Verdana" w:hAnsi="Verdana"/>
                <w:i/>
                <w:sz w:val="18"/>
                <w:szCs w:val="18"/>
              </w:rPr>
              <w:t xml:space="preserve">turtur, Upupa epops, Falco </w:t>
            </w:r>
            <w:r w:rsidRPr="00EC75B7">
              <w:rPr>
                <w:rFonts w:ascii="Verdana" w:hAnsi="Verdana"/>
                <w:i/>
                <w:spacing w:val="-2"/>
                <w:sz w:val="18"/>
                <w:szCs w:val="18"/>
              </w:rPr>
              <w:t xml:space="preserve">tinnunculus </w:t>
            </w:r>
            <w:r w:rsidRPr="00EC75B7">
              <w:rPr>
                <w:rFonts w:ascii="Verdana" w:hAnsi="Verdana"/>
                <w:i/>
                <w:sz w:val="18"/>
                <w:szCs w:val="18"/>
              </w:rPr>
              <w:t xml:space="preserve">Anser albifrons, Galerida cristata, Coturnix </w:t>
            </w:r>
            <w:r w:rsidRPr="00EC75B7">
              <w:rPr>
                <w:rFonts w:ascii="Verdana" w:hAnsi="Verdana"/>
                <w:i/>
                <w:spacing w:val="-2"/>
                <w:sz w:val="18"/>
                <w:szCs w:val="18"/>
              </w:rPr>
              <w:t>coturnix</w:t>
            </w:r>
          </w:p>
        </w:tc>
        <w:tc>
          <w:tcPr>
            <w:tcW w:w="1080" w:type="dxa"/>
            <w:vMerge w:val="restart"/>
          </w:tcPr>
          <w:p w14:paraId="7929E21B" w14:textId="77777777" w:rsidR="008715BE" w:rsidRPr="00EC75B7" w:rsidRDefault="00000000">
            <w:pPr>
              <w:pStyle w:val="TableParagraph"/>
              <w:spacing w:before="9" w:line="237" w:lineRule="auto"/>
              <w:ind w:left="108" w:right="225"/>
              <w:rPr>
                <w:rFonts w:ascii="Verdana" w:hAnsi="Verdana"/>
                <w:i/>
                <w:sz w:val="18"/>
                <w:szCs w:val="18"/>
              </w:rPr>
            </w:pPr>
            <w:r w:rsidRPr="00EC75B7">
              <w:rPr>
                <w:rFonts w:ascii="Verdana" w:hAnsi="Verdana"/>
                <w:b/>
                <w:spacing w:val="-2"/>
                <w:sz w:val="18"/>
                <w:szCs w:val="18"/>
              </w:rPr>
              <w:t xml:space="preserve">riparian </w:t>
            </w:r>
            <w:r w:rsidRPr="00EC75B7">
              <w:rPr>
                <w:rFonts w:ascii="Verdana" w:hAnsi="Verdana"/>
                <w:b/>
                <w:sz w:val="18"/>
                <w:szCs w:val="18"/>
              </w:rPr>
              <w:t xml:space="preserve">and coastal </w:t>
            </w:r>
            <w:r w:rsidRPr="00EC75B7">
              <w:rPr>
                <w:rFonts w:ascii="Verdana" w:hAnsi="Verdana"/>
                <w:b/>
                <w:spacing w:val="-2"/>
                <w:sz w:val="18"/>
                <w:szCs w:val="18"/>
              </w:rPr>
              <w:t xml:space="preserve">habitats </w:t>
            </w:r>
            <w:r w:rsidRPr="00EC75B7">
              <w:rPr>
                <w:rFonts w:ascii="Verdana" w:hAnsi="Verdana"/>
                <w:i/>
                <w:spacing w:val="-2"/>
                <w:sz w:val="18"/>
                <w:szCs w:val="18"/>
              </w:rPr>
              <w:t>Gallinago gallinago, Hirundo rustica</w:t>
            </w:r>
          </w:p>
        </w:tc>
        <w:tc>
          <w:tcPr>
            <w:tcW w:w="989" w:type="dxa"/>
            <w:vMerge w:val="restart"/>
          </w:tcPr>
          <w:p w14:paraId="56D43119" w14:textId="77777777" w:rsidR="008715BE" w:rsidRPr="00EC75B7" w:rsidRDefault="00000000">
            <w:pPr>
              <w:pStyle w:val="TableParagraph"/>
              <w:spacing w:before="9" w:line="237" w:lineRule="auto"/>
              <w:ind w:left="108"/>
              <w:rPr>
                <w:rFonts w:ascii="Verdana" w:hAnsi="Verdana"/>
                <w:i/>
                <w:sz w:val="18"/>
                <w:szCs w:val="18"/>
              </w:rPr>
            </w:pPr>
            <w:r w:rsidRPr="00EC75B7">
              <w:rPr>
                <w:rFonts w:ascii="Verdana" w:hAnsi="Verdana"/>
                <w:b/>
                <w:spacing w:val="-2"/>
                <w:sz w:val="18"/>
                <w:szCs w:val="18"/>
              </w:rPr>
              <w:t xml:space="preserve">urban habitats </w:t>
            </w:r>
            <w:r w:rsidRPr="00EC75B7">
              <w:rPr>
                <w:rFonts w:ascii="Verdana" w:hAnsi="Verdana"/>
                <w:i/>
                <w:spacing w:val="-2"/>
                <w:sz w:val="18"/>
                <w:szCs w:val="18"/>
              </w:rPr>
              <w:t>Hirundo rustica</w:t>
            </w:r>
          </w:p>
        </w:tc>
        <w:tc>
          <w:tcPr>
            <w:tcW w:w="1080" w:type="dxa"/>
            <w:vMerge w:val="restart"/>
          </w:tcPr>
          <w:p w14:paraId="256C7FB3" w14:textId="77777777" w:rsidR="008715BE" w:rsidRPr="00EC75B7" w:rsidRDefault="00000000">
            <w:pPr>
              <w:pStyle w:val="TableParagraph"/>
              <w:spacing w:before="8"/>
              <w:ind w:left="110" w:right="99"/>
              <w:rPr>
                <w:rFonts w:ascii="Verdana" w:hAnsi="Verdana"/>
                <w:i/>
                <w:sz w:val="18"/>
                <w:szCs w:val="18"/>
              </w:rPr>
            </w:pPr>
            <w:r w:rsidRPr="00EC75B7">
              <w:rPr>
                <w:rFonts w:ascii="Verdana" w:hAnsi="Verdana"/>
                <w:b/>
                <w:spacing w:val="-4"/>
                <w:sz w:val="18"/>
                <w:szCs w:val="18"/>
              </w:rPr>
              <w:t xml:space="preserve">mixed </w:t>
            </w:r>
            <w:r w:rsidRPr="00EC75B7">
              <w:rPr>
                <w:rFonts w:ascii="Verdana" w:hAnsi="Verdana"/>
                <w:b/>
                <w:spacing w:val="-2"/>
                <w:sz w:val="18"/>
                <w:szCs w:val="18"/>
              </w:rPr>
              <w:t xml:space="preserve">terrestrial habitats </w:t>
            </w:r>
            <w:r w:rsidRPr="00EC75B7">
              <w:rPr>
                <w:rFonts w:ascii="Verdana" w:hAnsi="Verdana"/>
                <w:b/>
                <w:sz w:val="18"/>
                <w:szCs w:val="18"/>
              </w:rPr>
              <w:t xml:space="preserve">forests and </w:t>
            </w:r>
            <w:r w:rsidRPr="00EC75B7">
              <w:rPr>
                <w:rFonts w:ascii="Verdana" w:hAnsi="Verdana"/>
                <w:b/>
                <w:spacing w:val="-2"/>
                <w:sz w:val="18"/>
                <w:szCs w:val="18"/>
              </w:rPr>
              <w:t xml:space="preserve">open land </w:t>
            </w:r>
            <w:r w:rsidRPr="00EC75B7">
              <w:rPr>
                <w:rFonts w:ascii="Verdana" w:hAnsi="Verdana"/>
                <w:i/>
                <w:spacing w:val="-2"/>
                <w:sz w:val="18"/>
                <w:szCs w:val="18"/>
              </w:rPr>
              <w:t xml:space="preserve">Accipiter </w:t>
            </w:r>
            <w:r w:rsidRPr="00EC75B7">
              <w:rPr>
                <w:rFonts w:ascii="Verdana" w:hAnsi="Verdana"/>
                <w:i/>
                <w:sz w:val="18"/>
                <w:szCs w:val="18"/>
              </w:rPr>
              <w:t xml:space="preserve">nisus, Falco </w:t>
            </w:r>
            <w:r w:rsidRPr="00EC75B7">
              <w:rPr>
                <w:rFonts w:ascii="Verdana" w:hAnsi="Verdana"/>
                <w:i/>
                <w:spacing w:val="-2"/>
                <w:sz w:val="18"/>
                <w:szCs w:val="18"/>
              </w:rPr>
              <w:t>subbuteo, Buteo buteo</w:t>
            </w:r>
          </w:p>
        </w:tc>
        <w:tc>
          <w:tcPr>
            <w:tcW w:w="991" w:type="dxa"/>
            <w:vMerge w:val="restart"/>
          </w:tcPr>
          <w:p w14:paraId="4E6BB3EB" w14:textId="77777777" w:rsidR="008715BE" w:rsidRPr="00EC75B7" w:rsidRDefault="00000000">
            <w:pPr>
              <w:pStyle w:val="TableParagraph"/>
              <w:spacing w:before="9" w:line="237" w:lineRule="auto"/>
              <w:ind w:left="110" w:right="219"/>
              <w:rPr>
                <w:rFonts w:ascii="Verdana" w:hAnsi="Verdana"/>
                <w:i/>
                <w:sz w:val="18"/>
                <w:szCs w:val="18"/>
              </w:rPr>
            </w:pPr>
            <w:r w:rsidRPr="00EC75B7">
              <w:rPr>
                <w:rFonts w:ascii="Verdana" w:hAnsi="Verdana"/>
                <w:b/>
                <w:spacing w:val="-2"/>
                <w:sz w:val="18"/>
                <w:szCs w:val="18"/>
              </w:rPr>
              <w:t xml:space="preserve">reedbed habitats </w:t>
            </w:r>
            <w:r w:rsidRPr="00EC75B7">
              <w:rPr>
                <w:rFonts w:ascii="Verdana" w:hAnsi="Verdana"/>
                <w:i/>
                <w:spacing w:val="-2"/>
                <w:sz w:val="18"/>
                <w:szCs w:val="18"/>
              </w:rPr>
              <w:t>Motacilla flava</w:t>
            </w:r>
          </w:p>
        </w:tc>
        <w:tc>
          <w:tcPr>
            <w:tcW w:w="1080" w:type="dxa"/>
            <w:vMerge w:val="restart"/>
          </w:tcPr>
          <w:p w14:paraId="14E21990" w14:textId="77777777" w:rsidR="008715BE" w:rsidRPr="00EC75B7" w:rsidRDefault="00000000">
            <w:pPr>
              <w:pStyle w:val="TableParagraph"/>
              <w:spacing w:before="8"/>
              <w:ind w:left="108" w:right="165"/>
              <w:rPr>
                <w:rFonts w:ascii="Verdana" w:hAnsi="Verdana"/>
                <w:i/>
                <w:sz w:val="18"/>
                <w:szCs w:val="18"/>
              </w:rPr>
            </w:pPr>
            <w:r w:rsidRPr="00EC75B7">
              <w:rPr>
                <w:rFonts w:ascii="Verdana" w:hAnsi="Verdana"/>
                <w:b/>
                <w:spacing w:val="-2"/>
                <w:sz w:val="18"/>
                <w:szCs w:val="18"/>
              </w:rPr>
              <w:t xml:space="preserve">open aquatic habitats </w:t>
            </w:r>
            <w:r w:rsidRPr="00EC75B7">
              <w:rPr>
                <w:rFonts w:ascii="Verdana" w:hAnsi="Verdana"/>
                <w:i/>
                <w:spacing w:val="-2"/>
                <w:sz w:val="18"/>
                <w:szCs w:val="18"/>
              </w:rPr>
              <w:t xml:space="preserve">Anser albifrons, Anser anser, Cygnus </w:t>
            </w:r>
            <w:r w:rsidRPr="00EC75B7">
              <w:rPr>
                <w:rFonts w:ascii="Verdana" w:hAnsi="Verdana"/>
                <w:i/>
                <w:sz w:val="18"/>
                <w:szCs w:val="18"/>
              </w:rPr>
              <w:t xml:space="preserve">olor, Larus </w:t>
            </w:r>
            <w:r w:rsidRPr="00EC75B7">
              <w:rPr>
                <w:rFonts w:ascii="Verdana" w:hAnsi="Verdana"/>
                <w:i/>
                <w:spacing w:val="-2"/>
                <w:sz w:val="18"/>
                <w:szCs w:val="18"/>
              </w:rPr>
              <w:t>cachinnans</w:t>
            </w:r>
          </w:p>
        </w:tc>
        <w:tc>
          <w:tcPr>
            <w:tcW w:w="989" w:type="dxa"/>
            <w:vMerge w:val="restart"/>
          </w:tcPr>
          <w:p w14:paraId="40FB5EF6" w14:textId="77777777" w:rsidR="008715BE" w:rsidRPr="00EC75B7" w:rsidRDefault="00000000">
            <w:pPr>
              <w:pStyle w:val="TableParagraph"/>
              <w:spacing w:before="9" w:line="237" w:lineRule="auto"/>
              <w:ind w:left="108" w:right="104"/>
              <w:rPr>
                <w:rFonts w:ascii="Verdana" w:hAnsi="Verdana"/>
                <w:i/>
                <w:sz w:val="18"/>
                <w:szCs w:val="18"/>
              </w:rPr>
            </w:pPr>
            <w:r w:rsidRPr="00EC75B7">
              <w:rPr>
                <w:rFonts w:ascii="Verdana" w:hAnsi="Verdana"/>
                <w:sz w:val="18"/>
                <w:szCs w:val="18"/>
              </w:rPr>
              <w:t xml:space="preserve">forest </w:t>
            </w:r>
            <w:r w:rsidRPr="00EC75B7">
              <w:rPr>
                <w:rFonts w:ascii="Verdana" w:hAnsi="Verdana"/>
                <w:b/>
                <w:spacing w:val="-2"/>
                <w:sz w:val="18"/>
                <w:szCs w:val="18"/>
              </w:rPr>
              <w:t xml:space="preserve">habitats </w:t>
            </w:r>
            <w:r w:rsidRPr="00EC75B7">
              <w:rPr>
                <w:rFonts w:ascii="Verdana" w:hAnsi="Verdana"/>
                <w:i/>
                <w:spacing w:val="-2"/>
                <w:sz w:val="18"/>
                <w:szCs w:val="18"/>
              </w:rPr>
              <w:t>Sylvia atricapilla</w:t>
            </w:r>
          </w:p>
        </w:tc>
        <w:tc>
          <w:tcPr>
            <w:tcW w:w="1081" w:type="dxa"/>
          </w:tcPr>
          <w:p w14:paraId="0676DF4F" w14:textId="77777777" w:rsidR="008715BE" w:rsidRPr="00EC75B7" w:rsidRDefault="008715BE">
            <w:pPr>
              <w:pStyle w:val="TableParagraph"/>
              <w:rPr>
                <w:rFonts w:ascii="Verdana" w:hAnsi="Verdana"/>
                <w:sz w:val="18"/>
                <w:szCs w:val="18"/>
              </w:rPr>
            </w:pPr>
          </w:p>
        </w:tc>
        <w:tc>
          <w:tcPr>
            <w:tcW w:w="1261" w:type="dxa"/>
          </w:tcPr>
          <w:p w14:paraId="1961884F" w14:textId="77777777" w:rsidR="008715BE" w:rsidRPr="00EC75B7" w:rsidRDefault="00000000">
            <w:pPr>
              <w:pStyle w:val="TableParagraph"/>
              <w:spacing w:before="9" w:line="237" w:lineRule="auto"/>
              <w:ind w:left="110" w:right="117"/>
              <w:rPr>
                <w:rFonts w:ascii="Verdana" w:hAnsi="Verdana"/>
                <w:sz w:val="18"/>
                <w:szCs w:val="18"/>
              </w:rPr>
            </w:pPr>
            <w:r w:rsidRPr="00EC75B7">
              <w:rPr>
                <w:rFonts w:ascii="Verdana" w:hAnsi="Verdana"/>
                <w:sz w:val="18"/>
                <w:szCs w:val="18"/>
              </w:rPr>
              <w:t xml:space="preserve">protected areas that could </w:t>
            </w:r>
            <w:r w:rsidRPr="00EC75B7">
              <w:rPr>
                <w:rFonts w:ascii="Verdana" w:hAnsi="Verdana"/>
                <w:spacing w:val="-2"/>
                <w:sz w:val="18"/>
                <w:szCs w:val="18"/>
              </w:rPr>
              <w:t xml:space="preserve">constitute feeding </w:t>
            </w:r>
            <w:r w:rsidRPr="00EC75B7">
              <w:rPr>
                <w:rFonts w:ascii="Verdana" w:hAnsi="Verdana"/>
                <w:sz w:val="18"/>
                <w:szCs w:val="18"/>
              </w:rPr>
              <w:t>habitats</w:t>
            </w:r>
            <w:r w:rsidRPr="00EC75B7">
              <w:rPr>
                <w:rFonts w:ascii="Verdana" w:hAnsi="Verdana"/>
                <w:spacing w:val="-2"/>
                <w:sz w:val="18"/>
                <w:szCs w:val="18"/>
              </w:rPr>
              <w:t>:</w:t>
            </w:r>
          </w:p>
          <w:p w14:paraId="4DB6F16D" w14:textId="77777777" w:rsidR="008715BE" w:rsidRPr="00EC75B7" w:rsidRDefault="00000000">
            <w:pPr>
              <w:pStyle w:val="TableParagraph"/>
              <w:spacing w:before="2"/>
              <w:ind w:left="110" w:right="218"/>
              <w:rPr>
                <w:rFonts w:ascii="Verdana" w:hAnsi="Verdana"/>
                <w:sz w:val="18"/>
                <w:szCs w:val="18"/>
              </w:rPr>
            </w:pPr>
            <w:r w:rsidRPr="00EC75B7">
              <w:rPr>
                <w:rFonts w:ascii="Verdana" w:hAnsi="Verdana"/>
                <w:sz w:val="18"/>
                <w:szCs w:val="18"/>
              </w:rPr>
              <w:t xml:space="preserve">0.9 ha </w:t>
            </w:r>
            <w:r w:rsidRPr="00EC75B7">
              <w:rPr>
                <w:rFonts w:ascii="Verdana" w:hAnsi="Verdana"/>
                <w:spacing w:val="-2"/>
                <w:sz w:val="18"/>
                <w:szCs w:val="18"/>
              </w:rPr>
              <w:t xml:space="preserve">temporarily occupied, </w:t>
            </w:r>
            <w:r w:rsidRPr="00EC75B7">
              <w:rPr>
                <w:rFonts w:ascii="Verdana" w:hAnsi="Verdana"/>
                <w:sz w:val="18"/>
                <w:szCs w:val="18"/>
              </w:rPr>
              <w:t xml:space="preserve">site </w:t>
            </w:r>
            <w:r w:rsidRPr="00EC75B7">
              <w:rPr>
                <w:rFonts w:ascii="Verdana" w:hAnsi="Verdana"/>
                <w:spacing w:val="-2"/>
                <w:sz w:val="18"/>
                <w:szCs w:val="18"/>
              </w:rPr>
              <w:t>organization</w:t>
            </w:r>
            <w:r w:rsidRPr="00EC75B7">
              <w:rPr>
                <w:rFonts w:ascii="Verdana" w:hAnsi="Verdana"/>
                <w:sz w:val="18"/>
                <w:szCs w:val="18"/>
              </w:rPr>
              <w:t xml:space="preserve"> area</w:t>
            </w:r>
          </w:p>
          <w:p w14:paraId="7E58BB4F" w14:textId="77777777" w:rsidR="008715BE" w:rsidRPr="00EC75B7" w:rsidRDefault="00000000">
            <w:pPr>
              <w:pStyle w:val="TableParagraph"/>
              <w:ind w:left="110" w:right="268"/>
              <w:rPr>
                <w:rFonts w:ascii="Verdana" w:hAnsi="Verdana"/>
                <w:sz w:val="18"/>
                <w:szCs w:val="18"/>
              </w:rPr>
            </w:pPr>
            <w:r w:rsidRPr="00EC75B7">
              <w:rPr>
                <w:rFonts w:ascii="Verdana" w:hAnsi="Verdana"/>
                <w:spacing w:val="-2"/>
                <w:sz w:val="18"/>
                <w:szCs w:val="18"/>
              </w:rPr>
              <w:t xml:space="preserve">+area </w:t>
            </w:r>
            <w:r w:rsidRPr="00EC75B7">
              <w:rPr>
                <w:rFonts w:ascii="Verdana" w:hAnsi="Verdana"/>
                <w:sz w:val="18"/>
                <w:szCs w:val="18"/>
              </w:rPr>
              <w:t xml:space="preserve">temporarily </w:t>
            </w:r>
            <w:r w:rsidRPr="00EC75B7">
              <w:rPr>
                <w:rFonts w:ascii="Verdana" w:hAnsi="Verdana"/>
                <w:spacing w:val="-2"/>
                <w:sz w:val="18"/>
                <w:szCs w:val="18"/>
              </w:rPr>
              <w:t xml:space="preserve">occupied </w:t>
            </w:r>
            <w:r w:rsidRPr="00EC75B7">
              <w:rPr>
                <w:rFonts w:ascii="Verdana" w:hAnsi="Verdana"/>
                <w:sz w:val="18"/>
                <w:szCs w:val="18"/>
              </w:rPr>
              <w:t xml:space="preserve">by </w:t>
            </w:r>
            <w:r w:rsidRPr="00EC75B7">
              <w:rPr>
                <w:rFonts w:ascii="Verdana" w:hAnsi="Verdana"/>
                <w:spacing w:val="-2"/>
                <w:sz w:val="18"/>
                <w:szCs w:val="18"/>
              </w:rPr>
              <w:t>trenches for cable installation</w:t>
            </w:r>
            <w:r w:rsidRPr="00EC75B7">
              <w:rPr>
                <w:rFonts w:ascii="Verdana" w:hAnsi="Verdana"/>
                <w:sz w:val="18"/>
                <w:szCs w:val="18"/>
              </w:rPr>
              <w:t xml:space="preserve"> 309.24 ha</w:t>
            </w:r>
          </w:p>
          <w:p w14:paraId="2D16C84D" w14:textId="77777777" w:rsidR="008715BE" w:rsidRPr="00EC75B7" w:rsidRDefault="00000000">
            <w:pPr>
              <w:pStyle w:val="TableParagraph"/>
              <w:spacing w:line="237" w:lineRule="auto"/>
              <w:ind w:left="110"/>
              <w:rPr>
                <w:rFonts w:ascii="Verdana" w:hAnsi="Verdana"/>
                <w:sz w:val="18"/>
                <w:szCs w:val="18"/>
              </w:rPr>
            </w:pPr>
            <w:r w:rsidRPr="00EC75B7">
              <w:rPr>
                <w:rFonts w:ascii="Verdana" w:hAnsi="Verdana"/>
                <w:spacing w:val="-2"/>
                <w:sz w:val="18"/>
                <w:szCs w:val="18"/>
              </w:rPr>
              <w:t xml:space="preserve">areas </w:t>
            </w:r>
            <w:r w:rsidRPr="00EC75B7">
              <w:rPr>
                <w:rFonts w:ascii="Verdana" w:hAnsi="Verdana"/>
                <w:sz w:val="18"/>
                <w:szCs w:val="18"/>
              </w:rPr>
              <w:t xml:space="preserve">permanently </w:t>
            </w:r>
            <w:r w:rsidRPr="00EC75B7">
              <w:rPr>
                <w:rFonts w:ascii="Verdana" w:hAnsi="Verdana"/>
                <w:spacing w:val="-2"/>
                <w:sz w:val="18"/>
                <w:szCs w:val="18"/>
              </w:rPr>
              <w:t xml:space="preserve">occupied </w:t>
            </w:r>
            <w:r w:rsidRPr="00EC75B7">
              <w:rPr>
                <w:rFonts w:ascii="Verdana" w:hAnsi="Verdana"/>
                <w:sz w:val="18"/>
                <w:szCs w:val="18"/>
              </w:rPr>
              <w:t xml:space="preserve">by </w:t>
            </w:r>
            <w:r w:rsidRPr="00EC75B7">
              <w:rPr>
                <w:rFonts w:ascii="Verdana" w:hAnsi="Verdana"/>
                <w:spacing w:val="-2"/>
                <w:sz w:val="18"/>
                <w:szCs w:val="18"/>
              </w:rPr>
              <w:t>construction elements</w:t>
            </w:r>
          </w:p>
          <w:p w14:paraId="5E0EFC86" w14:textId="77777777" w:rsidR="008715BE" w:rsidRPr="00EC75B7" w:rsidRDefault="00000000">
            <w:pPr>
              <w:pStyle w:val="TableParagraph"/>
              <w:spacing w:line="170" w:lineRule="exact"/>
              <w:ind w:left="110"/>
              <w:rPr>
                <w:rFonts w:ascii="Verdana" w:hAnsi="Verdana"/>
                <w:sz w:val="18"/>
                <w:szCs w:val="18"/>
              </w:rPr>
            </w:pPr>
            <w:r w:rsidRPr="00EC75B7">
              <w:rPr>
                <w:rFonts w:ascii="Verdana" w:hAnsi="Verdana"/>
                <w:sz w:val="18"/>
                <w:szCs w:val="18"/>
              </w:rPr>
              <w:t xml:space="preserve">of the </w:t>
            </w:r>
            <w:r w:rsidRPr="00EC75B7">
              <w:rPr>
                <w:rFonts w:ascii="Verdana" w:hAnsi="Verdana"/>
                <w:spacing w:val="-2"/>
                <w:sz w:val="18"/>
                <w:szCs w:val="18"/>
              </w:rPr>
              <w:t xml:space="preserve">energy </w:t>
            </w:r>
            <w:r w:rsidRPr="00EC75B7">
              <w:rPr>
                <w:rFonts w:ascii="Verdana" w:hAnsi="Verdana"/>
                <w:sz w:val="18"/>
                <w:szCs w:val="18"/>
              </w:rPr>
              <w:t>park</w:t>
            </w:r>
          </w:p>
        </w:tc>
        <w:tc>
          <w:tcPr>
            <w:tcW w:w="901" w:type="dxa"/>
          </w:tcPr>
          <w:p w14:paraId="7FFA969D" w14:textId="77777777" w:rsidR="008715BE" w:rsidRPr="00EC75B7" w:rsidRDefault="00000000">
            <w:pPr>
              <w:pStyle w:val="TableParagraph"/>
              <w:spacing w:before="8"/>
              <w:ind w:left="109" w:right="119"/>
              <w:rPr>
                <w:rFonts w:ascii="Verdana" w:hAnsi="Verdana"/>
                <w:sz w:val="18"/>
                <w:szCs w:val="18"/>
              </w:rPr>
            </w:pPr>
            <w:r w:rsidRPr="00EC75B7">
              <w:rPr>
                <w:rFonts w:ascii="Verdana" w:hAnsi="Verdana"/>
                <w:sz w:val="18"/>
                <w:szCs w:val="18"/>
              </w:rPr>
              <w:t xml:space="preserve">in the field based on </w:t>
            </w:r>
            <w:r w:rsidRPr="00EC75B7">
              <w:rPr>
                <w:rFonts w:ascii="Verdana" w:hAnsi="Verdana"/>
                <w:spacing w:val="-2"/>
                <w:sz w:val="18"/>
                <w:szCs w:val="18"/>
              </w:rPr>
              <w:t xml:space="preserve">the observed behavior </w:t>
            </w:r>
            <w:r w:rsidRPr="00EC75B7">
              <w:rPr>
                <w:rFonts w:ascii="Verdana" w:hAnsi="Verdana"/>
                <w:spacing w:val="-10"/>
                <w:sz w:val="18"/>
                <w:szCs w:val="18"/>
              </w:rPr>
              <w:t>of</w:t>
            </w:r>
            <w:r w:rsidRPr="00EC75B7">
              <w:rPr>
                <w:rFonts w:ascii="Verdana" w:hAnsi="Verdana"/>
                <w:spacing w:val="-2"/>
                <w:sz w:val="18"/>
                <w:szCs w:val="18"/>
              </w:rPr>
              <w:t xml:space="preserve"> the species</w:t>
            </w:r>
          </w:p>
          <w:p w14:paraId="4B71017E" w14:textId="77777777" w:rsidR="008715BE" w:rsidRPr="00EC75B7" w:rsidRDefault="00000000">
            <w:pPr>
              <w:pStyle w:val="TableParagraph"/>
              <w:ind w:left="109" w:right="122" w:firstLine="48"/>
              <w:rPr>
                <w:rFonts w:ascii="Verdana" w:hAnsi="Verdana"/>
                <w:sz w:val="18"/>
                <w:szCs w:val="18"/>
              </w:rPr>
            </w:pPr>
            <w:r w:rsidRPr="00EC75B7">
              <w:rPr>
                <w:rFonts w:ascii="Verdana" w:hAnsi="Verdana"/>
                <w:spacing w:val="-4"/>
                <w:sz w:val="18"/>
                <w:szCs w:val="18"/>
              </w:rPr>
              <w:t xml:space="preserve">GIS </w:t>
            </w:r>
            <w:r w:rsidRPr="00EC75B7">
              <w:rPr>
                <w:rFonts w:ascii="Verdana" w:hAnsi="Verdana"/>
                <w:spacing w:val="-2"/>
                <w:sz w:val="18"/>
                <w:szCs w:val="18"/>
              </w:rPr>
              <w:t>analysis</w:t>
            </w:r>
            <w:r w:rsidRPr="00EC75B7">
              <w:rPr>
                <w:rFonts w:ascii="Verdana" w:hAnsi="Verdana"/>
                <w:spacing w:val="-4"/>
                <w:sz w:val="18"/>
                <w:szCs w:val="18"/>
              </w:rPr>
              <w:t>.</w:t>
            </w:r>
          </w:p>
        </w:tc>
      </w:tr>
      <w:tr w:rsidR="008715BE" w:rsidRPr="00EC75B7" w14:paraId="2D509681" w14:textId="77777777">
        <w:trPr>
          <w:trHeight w:val="4072"/>
        </w:trPr>
        <w:tc>
          <w:tcPr>
            <w:tcW w:w="542" w:type="dxa"/>
            <w:vMerge/>
            <w:tcBorders>
              <w:top w:val="nil"/>
            </w:tcBorders>
          </w:tcPr>
          <w:p w14:paraId="1234E41C" w14:textId="77777777" w:rsidR="008715BE" w:rsidRPr="00EC75B7" w:rsidRDefault="008715BE">
            <w:pPr>
              <w:rPr>
                <w:rFonts w:ascii="Verdana" w:hAnsi="Verdana"/>
                <w:sz w:val="18"/>
                <w:szCs w:val="18"/>
              </w:rPr>
            </w:pPr>
          </w:p>
        </w:tc>
        <w:tc>
          <w:tcPr>
            <w:tcW w:w="1800" w:type="dxa"/>
          </w:tcPr>
          <w:p w14:paraId="121FBD8C" w14:textId="77777777" w:rsidR="008715BE" w:rsidRPr="00EC75B7" w:rsidRDefault="00000000">
            <w:pPr>
              <w:pStyle w:val="TableParagraph"/>
              <w:ind w:left="105" w:right="155"/>
              <w:rPr>
                <w:rFonts w:ascii="Verdana" w:hAnsi="Verdana"/>
                <w:sz w:val="18"/>
                <w:szCs w:val="18"/>
              </w:rPr>
            </w:pPr>
            <w:r w:rsidRPr="00EC75B7">
              <w:rPr>
                <w:rFonts w:ascii="Verdana" w:hAnsi="Verdana"/>
                <w:sz w:val="18"/>
                <w:szCs w:val="18"/>
              </w:rPr>
              <w:t>Construction of access roads</w:t>
            </w:r>
          </w:p>
        </w:tc>
        <w:tc>
          <w:tcPr>
            <w:tcW w:w="1048" w:type="dxa"/>
          </w:tcPr>
          <w:p w14:paraId="66B76040" w14:textId="77777777" w:rsidR="008715BE" w:rsidRPr="00EC75B7" w:rsidRDefault="00000000">
            <w:pPr>
              <w:pStyle w:val="TableParagraph"/>
              <w:ind w:left="106" w:right="132"/>
              <w:rPr>
                <w:rFonts w:ascii="Verdana" w:hAnsi="Verdana"/>
                <w:sz w:val="18"/>
                <w:szCs w:val="18"/>
              </w:rPr>
            </w:pPr>
            <w:r w:rsidRPr="00EC75B7">
              <w:rPr>
                <w:rFonts w:ascii="Verdana" w:hAnsi="Verdana"/>
                <w:spacing w:val="-2"/>
                <w:sz w:val="18"/>
                <w:szCs w:val="18"/>
              </w:rPr>
              <w:t xml:space="preserve">Temporary/permanent occupation </w:t>
            </w:r>
            <w:r w:rsidRPr="00EC75B7">
              <w:rPr>
                <w:rFonts w:ascii="Verdana" w:hAnsi="Verdana"/>
                <w:sz w:val="18"/>
                <w:szCs w:val="18"/>
              </w:rPr>
              <w:t xml:space="preserve">of land </w:t>
            </w:r>
            <w:r w:rsidRPr="00EC75B7">
              <w:rPr>
                <w:rFonts w:ascii="Verdana" w:hAnsi="Verdana"/>
                <w:spacing w:val="-2"/>
                <w:sz w:val="18"/>
                <w:szCs w:val="18"/>
              </w:rPr>
              <w:t>areas</w:t>
            </w:r>
          </w:p>
        </w:tc>
        <w:tc>
          <w:tcPr>
            <w:tcW w:w="1274" w:type="dxa"/>
          </w:tcPr>
          <w:p w14:paraId="23F46087" w14:textId="77777777" w:rsidR="008715BE" w:rsidRPr="00EC75B7" w:rsidRDefault="00000000">
            <w:pPr>
              <w:pStyle w:val="TableParagraph"/>
              <w:spacing w:line="167" w:lineRule="exact"/>
              <w:ind w:left="106"/>
              <w:rPr>
                <w:rFonts w:ascii="Verdana" w:hAnsi="Verdana"/>
                <w:sz w:val="18"/>
                <w:szCs w:val="18"/>
              </w:rPr>
            </w:pPr>
            <w:r w:rsidRPr="00EC75B7">
              <w:rPr>
                <w:rFonts w:ascii="Verdana" w:hAnsi="Verdana"/>
                <w:spacing w:val="-5"/>
                <w:sz w:val="18"/>
                <w:szCs w:val="18"/>
              </w:rPr>
              <w:t>FH</w:t>
            </w:r>
          </w:p>
        </w:tc>
        <w:tc>
          <w:tcPr>
            <w:tcW w:w="993" w:type="dxa"/>
          </w:tcPr>
          <w:p w14:paraId="7127D662" w14:textId="77777777" w:rsidR="008715BE" w:rsidRPr="00EC75B7" w:rsidRDefault="00000000">
            <w:pPr>
              <w:pStyle w:val="TableParagraph"/>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20586869" w14:textId="77777777" w:rsidR="008715BE" w:rsidRPr="00EC75B7" w:rsidRDefault="00000000">
            <w:pPr>
              <w:pStyle w:val="TableParagraph"/>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7AAA52E4" w14:textId="77777777" w:rsidR="008715BE" w:rsidRPr="00EC75B7" w:rsidRDefault="00000000">
            <w:pPr>
              <w:pStyle w:val="TableParagraph"/>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733AF15B" w14:textId="77777777" w:rsidR="008715BE" w:rsidRPr="00EC75B7" w:rsidRDefault="00000000">
            <w:pPr>
              <w:pStyle w:val="TableParagraph"/>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vMerge/>
            <w:tcBorders>
              <w:top w:val="nil"/>
            </w:tcBorders>
          </w:tcPr>
          <w:p w14:paraId="374A2C11" w14:textId="77777777" w:rsidR="008715BE" w:rsidRPr="00EC75B7" w:rsidRDefault="008715BE">
            <w:pPr>
              <w:rPr>
                <w:rFonts w:ascii="Verdana" w:hAnsi="Verdana"/>
                <w:sz w:val="18"/>
                <w:szCs w:val="18"/>
              </w:rPr>
            </w:pPr>
          </w:p>
        </w:tc>
        <w:tc>
          <w:tcPr>
            <w:tcW w:w="1440" w:type="dxa"/>
            <w:vMerge/>
            <w:tcBorders>
              <w:top w:val="nil"/>
            </w:tcBorders>
          </w:tcPr>
          <w:p w14:paraId="33895354" w14:textId="77777777" w:rsidR="008715BE" w:rsidRPr="00EC75B7" w:rsidRDefault="008715BE">
            <w:pPr>
              <w:rPr>
                <w:rFonts w:ascii="Verdana" w:hAnsi="Verdana"/>
                <w:sz w:val="18"/>
                <w:szCs w:val="18"/>
              </w:rPr>
            </w:pPr>
          </w:p>
        </w:tc>
        <w:tc>
          <w:tcPr>
            <w:tcW w:w="1080" w:type="dxa"/>
            <w:vMerge/>
            <w:tcBorders>
              <w:top w:val="nil"/>
            </w:tcBorders>
          </w:tcPr>
          <w:p w14:paraId="364E9E79" w14:textId="77777777" w:rsidR="008715BE" w:rsidRPr="00EC75B7" w:rsidRDefault="008715BE">
            <w:pPr>
              <w:rPr>
                <w:rFonts w:ascii="Verdana" w:hAnsi="Verdana"/>
                <w:sz w:val="18"/>
                <w:szCs w:val="18"/>
              </w:rPr>
            </w:pPr>
          </w:p>
        </w:tc>
        <w:tc>
          <w:tcPr>
            <w:tcW w:w="989" w:type="dxa"/>
            <w:vMerge/>
            <w:tcBorders>
              <w:top w:val="nil"/>
            </w:tcBorders>
          </w:tcPr>
          <w:p w14:paraId="01226373" w14:textId="77777777" w:rsidR="008715BE" w:rsidRPr="00EC75B7" w:rsidRDefault="008715BE">
            <w:pPr>
              <w:rPr>
                <w:rFonts w:ascii="Verdana" w:hAnsi="Verdana"/>
                <w:sz w:val="18"/>
                <w:szCs w:val="18"/>
              </w:rPr>
            </w:pPr>
          </w:p>
        </w:tc>
        <w:tc>
          <w:tcPr>
            <w:tcW w:w="1080" w:type="dxa"/>
            <w:vMerge/>
            <w:tcBorders>
              <w:top w:val="nil"/>
            </w:tcBorders>
          </w:tcPr>
          <w:p w14:paraId="1F4DDDF0" w14:textId="77777777" w:rsidR="008715BE" w:rsidRPr="00EC75B7" w:rsidRDefault="008715BE">
            <w:pPr>
              <w:rPr>
                <w:rFonts w:ascii="Verdana" w:hAnsi="Verdana"/>
                <w:sz w:val="18"/>
                <w:szCs w:val="18"/>
              </w:rPr>
            </w:pPr>
          </w:p>
        </w:tc>
        <w:tc>
          <w:tcPr>
            <w:tcW w:w="991" w:type="dxa"/>
            <w:vMerge/>
            <w:tcBorders>
              <w:top w:val="nil"/>
            </w:tcBorders>
          </w:tcPr>
          <w:p w14:paraId="09480BA5" w14:textId="77777777" w:rsidR="008715BE" w:rsidRPr="00EC75B7" w:rsidRDefault="008715BE">
            <w:pPr>
              <w:rPr>
                <w:rFonts w:ascii="Verdana" w:hAnsi="Verdana"/>
                <w:sz w:val="18"/>
                <w:szCs w:val="18"/>
              </w:rPr>
            </w:pPr>
          </w:p>
        </w:tc>
        <w:tc>
          <w:tcPr>
            <w:tcW w:w="1080" w:type="dxa"/>
            <w:vMerge/>
            <w:tcBorders>
              <w:top w:val="nil"/>
            </w:tcBorders>
          </w:tcPr>
          <w:p w14:paraId="2BF3748C" w14:textId="77777777" w:rsidR="008715BE" w:rsidRPr="00EC75B7" w:rsidRDefault="008715BE">
            <w:pPr>
              <w:rPr>
                <w:rFonts w:ascii="Verdana" w:hAnsi="Verdana"/>
                <w:sz w:val="18"/>
                <w:szCs w:val="18"/>
              </w:rPr>
            </w:pPr>
          </w:p>
        </w:tc>
        <w:tc>
          <w:tcPr>
            <w:tcW w:w="989" w:type="dxa"/>
            <w:vMerge/>
            <w:tcBorders>
              <w:top w:val="nil"/>
            </w:tcBorders>
          </w:tcPr>
          <w:p w14:paraId="35CAF883" w14:textId="77777777" w:rsidR="008715BE" w:rsidRPr="00EC75B7" w:rsidRDefault="008715BE">
            <w:pPr>
              <w:rPr>
                <w:rFonts w:ascii="Verdana" w:hAnsi="Verdana"/>
                <w:sz w:val="18"/>
                <w:szCs w:val="18"/>
              </w:rPr>
            </w:pPr>
          </w:p>
        </w:tc>
        <w:tc>
          <w:tcPr>
            <w:tcW w:w="1081" w:type="dxa"/>
          </w:tcPr>
          <w:p w14:paraId="46AC8D06" w14:textId="77777777" w:rsidR="008715BE" w:rsidRPr="00EC75B7" w:rsidRDefault="00000000">
            <w:pPr>
              <w:pStyle w:val="TableParagraph"/>
              <w:ind w:left="110"/>
              <w:rPr>
                <w:rFonts w:ascii="Verdana" w:hAnsi="Verdana"/>
                <w:sz w:val="18"/>
                <w:szCs w:val="18"/>
              </w:rPr>
            </w:pPr>
            <w:r w:rsidRPr="00EC75B7">
              <w:rPr>
                <w:rFonts w:ascii="Verdana" w:hAnsi="Verdana"/>
                <w:spacing w:val="-2"/>
                <w:sz w:val="18"/>
                <w:szCs w:val="18"/>
              </w:rPr>
              <w:t>Population size trend</w:t>
            </w:r>
          </w:p>
        </w:tc>
        <w:tc>
          <w:tcPr>
            <w:tcW w:w="1261" w:type="dxa"/>
          </w:tcPr>
          <w:p w14:paraId="64AAEFA7"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0CB8B6A8" w14:textId="77777777" w:rsidR="008715BE" w:rsidRPr="00EC75B7" w:rsidRDefault="00000000">
            <w:pPr>
              <w:pStyle w:val="TableParagraph"/>
              <w:spacing w:before="165"/>
              <w:ind w:left="110" w:right="117"/>
              <w:rPr>
                <w:rFonts w:ascii="Verdana" w:hAnsi="Verdana"/>
                <w:sz w:val="18"/>
                <w:szCs w:val="18"/>
              </w:rPr>
            </w:pPr>
            <w:r w:rsidRPr="00EC75B7">
              <w:rPr>
                <w:rFonts w:ascii="Verdana" w:hAnsi="Verdana"/>
                <w:sz w:val="18"/>
                <w:szCs w:val="18"/>
              </w:rPr>
              <w:t xml:space="preserve">Areas outside the protected area that could </w:t>
            </w:r>
            <w:r w:rsidRPr="00EC75B7">
              <w:rPr>
                <w:rFonts w:ascii="Verdana" w:hAnsi="Verdana"/>
                <w:spacing w:val="-2"/>
                <w:sz w:val="18"/>
                <w:szCs w:val="18"/>
              </w:rPr>
              <w:t xml:space="preserve">constitute feeding </w:t>
            </w:r>
            <w:r w:rsidRPr="00EC75B7">
              <w:rPr>
                <w:rFonts w:ascii="Verdana" w:hAnsi="Verdana"/>
                <w:sz w:val="18"/>
                <w:szCs w:val="18"/>
              </w:rPr>
              <w:t>habitats</w:t>
            </w:r>
            <w:r w:rsidRPr="00EC75B7">
              <w:rPr>
                <w:rFonts w:ascii="Verdana" w:hAnsi="Verdana"/>
                <w:spacing w:val="-2"/>
                <w:sz w:val="18"/>
                <w:szCs w:val="18"/>
              </w:rPr>
              <w:t>:</w:t>
            </w:r>
          </w:p>
          <w:p w14:paraId="25440E78" w14:textId="77777777" w:rsidR="008715BE" w:rsidRPr="00EC75B7" w:rsidRDefault="00000000">
            <w:pPr>
              <w:pStyle w:val="TableParagraph"/>
              <w:spacing w:line="237" w:lineRule="auto"/>
              <w:ind w:left="110" w:right="218"/>
              <w:rPr>
                <w:rFonts w:ascii="Verdana" w:hAnsi="Verdana"/>
                <w:sz w:val="18"/>
                <w:szCs w:val="18"/>
              </w:rPr>
            </w:pPr>
            <w:r w:rsidRPr="00EC75B7">
              <w:rPr>
                <w:rFonts w:ascii="Verdana" w:hAnsi="Verdana"/>
                <w:sz w:val="18"/>
                <w:szCs w:val="18"/>
              </w:rPr>
              <w:t xml:space="preserve">0.9 ha </w:t>
            </w:r>
            <w:r w:rsidRPr="00EC75B7">
              <w:rPr>
                <w:rFonts w:ascii="Verdana" w:hAnsi="Verdana"/>
                <w:spacing w:val="-2"/>
                <w:sz w:val="18"/>
                <w:szCs w:val="18"/>
              </w:rPr>
              <w:t xml:space="preserve">temporarily occupied, </w:t>
            </w:r>
            <w:r w:rsidRPr="00EC75B7">
              <w:rPr>
                <w:rFonts w:ascii="Verdana" w:hAnsi="Verdana"/>
                <w:sz w:val="18"/>
                <w:szCs w:val="18"/>
              </w:rPr>
              <w:t xml:space="preserve">site </w:t>
            </w:r>
            <w:r w:rsidRPr="00EC75B7">
              <w:rPr>
                <w:rFonts w:ascii="Verdana" w:hAnsi="Verdana"/>
                <w:spacing w:val="-2"/>
                <w:sz w:val="18"/>
                <w:szCs w:val="18"/>
              </w:rPr>
              <w:t>organization</w:t>
            </w:r>
            <w:r w:rsidRPr="00EC75B7">
              <w:rPr>
                <w:rFonts w:ascii="Verdana" w:hAnsi="Verdana"/>
                <w:sz w:val="18"/>
                <w:szCs w:val="18"/>
              </w:rPr>
              <w:t xml:space="preserve"> area</w:t>
            </w:r>
          </w:p>
          <w:p w14:paraId="3EEBD75A" w14:textId="77777777" w:rsidR="008715BE" w:rsidRPr="00EC75B7" w:rsidRDefault="00000000">
            <w:pPr>
              <w:pStyle w:val="TableParagraph"/>
              <w:spacing w:line="170" w:lineRule="exact"/>
              <w:ind w:left="110" w:right="268"/>
              <w:rPr>
                <w:rFonts w:ascii="Verdana" w:hAnsi="Verdana"/>
                <w:sz w:val="18"/>
                <w:szCs w:val="18"/>
              </w:rPr>
            </w:pPr>
            <w:r w:rsidRPr="00EC75B7">
              <w:rPr>
                <w:rFonts w:ascii="Verdana" w:hAnsi="Verdana"/>
                <w:spacing w:val="-2"/>
                <w:sz w:val="18"/>
                <w:szCs w:val="18"/>
              </w:rPr>
              <w:t xml:space="preserve">+area </w:t>
            </w:r>
            <w:r w:rsidRPr="00EC75B7">
              <w:rPr>
                <w:rFonts w:ascii="Verdana" w:hAnsi="Verdana"/>
                <w:sz w:val="18"/>
                <w:szCs w:val="18"/>
              </w:rPr>
              <w:t xml:space="preserve">temporarily </w:t>
            </w:r>
            <w:r w:rsidRPr="00EC75B7">
              <w:rPr>
                <w:rFonts w:ascii="Verdana" w:hAnsi="Verdana"/>
                <w:spacing w:val="-2"/>
                <w:sz w:val="18"/>
                <w:szCs w:val="18"/>
              </w:rPr>
              <w:t xml:space="preserve">occupied </w:t>
            </w:r>
            <w:r w:rsidRPr="00EC75B7">
              <w:rPr>
                <w:rFonts w:ascii="Verdana" w:hAnsi="Verdana"/>
                <w:sz w:val="18"/>
                <w:szCs w:val="18"/>
              </w:rPr>
              <w:t xml:space="preserve">by </w:t>
            </w:r>
            <w:r w:rsidRPr="00EC75B7">
              <w:rPr>
                <w:rFonts w:ascii="Verdana" w:hAnsi="Verdana"/>
                <w:spacing w:val="-2"/>
                <w:sz w:val="18"/>
                <w:szCs w:val="18"/>
              </w:rPr>
              <w:t>trenches for cable installation</w:t>
            </w:r>
          </w:p>
        </w:tc>
        <w:tc>
          <w:tcPr>
            <w:tcW w:w="901" w:type="dxa"/>
          </w:tcPr>
          <w:p w14:paraId="78B175A7" w14:textId="77777777" w:rsidR="008715BE" w:rsidRPr="00EC75B7" w:rsidRDefault="00000000">
            <w:pPr>
              <w:pStyle w:val="TableParagraph"/>
              <w:ind w:left="109" w:right="118"/>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of the species </w:t>
            </w:r>
            <w:r w:rsidRPr="00EC75B7">
              <w:rPr>
                <w:rFonts w:ascii="Verdana" w:hAnsi="Verdana"/>
                <w:spacing w:val="-10"/>
                <w:sz w:val="18"/>
                <w:szCs w:val="18"/>
              </w:rPr>
              <w:t>observed</w:t>
            </w:r>
          </w:p>
          <w:p w14:paraId="4AFB7F54" w14:textId="77777777" w:rsidR="008715BE" w:rsidRPr="00EC75B7" w:rsidRDefault="00000000">
            <w:pPr>
              <w:pStyle w:val="TableParagraph"/>
              <w:spacing w:line="235" w:lineRule="auto"/>
              <w:ind w:left="109" w:right="122" w:firstLine="48"/>
              <w:rPr>
                <w:rFonts w:ascii="Verdana" w:hAnsi="Verdana"/>
                <w:sz w:val="18"/>
                <w:szCs w:val="18"/>
              </w:rPr>
            </w:pPr>
            <w:r w:rsidRPr="00EC75B7">
              <w:rPr>
                <w:rFonts w:ascii="Verdana" w:hAnsi="Verdana"/>
                <w:spacing w:val="-4"/>
                <w:sz w:val="18"/>
                <w:szCs w:val="18"/>
              </w:rPr>
              <w:t xml:space="preserve">GIS </w:t>
            </w:r>
            <w:r w:rsidRPr="00EC75B7">
              <w:rPr>
                <w:rFonts w:ascii="Verdana" w:hAnsi="Verdana"/>
                <w:spacing w:val="-2"/>
                <w:sz w:val="18"/>
                <w:szCs w:val="18"/>
              </w:rPr>
              <w:t>analysis</w:t>
            </w:r>
            <w:r w:rsidRPr="00EC75B7">
              <w:rPr>
                <w:rFonts w:ascii="Verdana" w:hAnsi="Verdana"/>
                <w:spacing w:val="-4"/>
                <w:sz w:val="18"/>
                <w:szCs w:val="18"/>
              </w:rPr>
              <w:t>.</w:t>
            </w:r>
          </w:p>
        </w:tc>
      </w:tr>
      <w:tr w:rsidR="008715BE" w:rsidRPr="00EC75B7" w14:paraId="2069B1BA" w14:textId="77777777">
        <w:trPr>
          <w:trHeight w:val="3906"/>
        </w:trPr>
        <w:tc>
          <w:tcPr>
            <w:tcW w:w="542" w:type="dxa"/>
            <w:vMerge/>
            <w:tcBorders>
              <w:top w:val="nil"/>
            </w:tcBorders>
          </w:tcPr>
          <w:p w14:paraId="07AA964D" w14:textId="77777777" w:rsidR="008715BE" w:rsidRPr="00EC75B7" w:rsidRDefault="008715BE">
            <w:pPr>
              <w:rPr>
                <w:rFonts w:ascii="Verdana" w:hAnsi="Verdana"/>
                <w:sz w:val="18"/>
                <w:szCs w:val="18"/>
              </w:rPr>
            </w:pPr>
          </w:p>
        </w:tc>
        <w:tc>
          <w:tcPr>
            <w:tcW w:w="1800" w:type="dxa"/>
          </w:tcPr>
          <w:p w14:paraId="3654CDBB" w14:textId="77777777" w:rsidR="008715BE" w:rsidRPr="00EC75B7" w:rsidRDefault="00000000">
            <w:pPr>
              <w:pStyle w:val="TableParagraph"/>
              <w:spacing w:before="3" w:line="237" w:lineRule="auto"/>
              <w:ind w:left="105" w:right="206"/>
              <w:rPr>
                <w:rFonts w:ascii="Verdana" w:hAnsi="Verdana"/>
                <w:sz w:val="18"/>
                <w:szCs w:val="18"/>
              </w:rPr>
            </w:pPr>
            <w:r w:rsidRPr="00EC75B7">
              <w:rPr>
                <w:rFonts w:ascii="Verdana" w:hAnsi="Verdana"/>
                <w:spacing w:val="-2"/>
                <w:sz w:val="18"/>
                <w:szCs w:val="18"/>
              </w:rPr>
              <w:t xml:space="preserve">Earthworks </w:t>
            </w:r>
            <w:r w:rsidRPr="00EC75B7">
              <w:rPr>
                <w:rFonts w:ascii="Verdana" w:hAnsi="Verdana"/>
                <w:sz w:val="18"/>
                <w:szCs w:val="18"/>
              </w:rPr>
              <w:t xml:space="preserve">(land levelling, digging, excavation, </w:t>
            </w:r>
            <w:r w:rsidRPr="00EC75B7">
              <w:rPr>
                <w:rFonts w:ascii="Verdana" w:hAnsi="Verdana"/>
                <w:spacing w:val="-2"/>
                <w:sz w:val="18"/>
                <w:szCs w:val="18"/>
              </w:rPr>
              <w:t>filling)</w:t>
            </w:r>
          </w:p>
        </w:tc>
        <w:tc>
          <w:tcPr>
            <w:tcW w:w="1048" w:type="dxa"/>
          </w:tcPr>
          <w:p w14:paraId="6E655CE4" w14:textId="77777777" w:rsidR="008715BE" w:rsidRPr="00EC75B7" w:rsidRDefault="00000000">
            <w:pPr>
              <w:pStyle w:val="TableParagraph"/>
              <w:spacing w:before="3" w:line="237" w:lineRule="auto"/>
              <w:ind w:left="106"/>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levels</w:t>
            </w:r>
          </w:p>
        </w:tc>
        <w:tc>
          <w:tcPr>
            <w:tcW w:w="1274" w:type="dxa"/>
          </w:tcPr>
          <w:p w14:paraId="41A98E7D" w14:textId="77777777" w:rsidR="008715BE" w:rsidRPr="00EC75B7" w:rsidRDefault="00000000">
            <w:pPr>
              <w:pStyle w:val="TableParagraph"/>
              <w:spacing w:before="1"/>
              <w:ind w:left="106"/>
              <w:rPr>
                <w:rFonts w:ascii="Verdana" w:hAnsi="Verdana"/>
                <w:sz w:val="18"/>
                <w:szCs w:val="18"/>
              </w:rPr>
            </w:pPr>
            <w:r w:rsidRPr="00EC75B7">
              <w:rPr>
                <w:rFonts w:ascii="Verdana" w:hAnsi="Verdana"/>
                <w:spacing w:val="-5"/>
                <w:sz w:val="18"/>
                <w:szCs w:val="18"/>
              </w:rPr>
              <w:t>PAS</w:t>
            </w:r>
          </w:p>
        </w:tc>
        <w:tc>
          <w:tcPr>
            <w:tcW w:w="993" w:type="dxa"/>
          </w:tcPr>
          <w:p w14:paraId="20CC2E66" w14:textId="77777777" w:rsidR="008715BE" w:rsidRPr="00EC75B7" w:rsidRDefault="00000000">
            <w:pPr>
              <w:pStyle w:val="TableParagraph"/>
              <w:spacing w:before="3"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541CC27D" w14:textId="77777777" w:rsidR="008715BE" w:rsidRPr="00EC75B7" w:rsidRDefault="00000000">
            <w:pPr>
              <w:pStyle w:val="TableParagraph"/>
              <w:spacing w:before="1"/>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6E5E2187" w14:textId="77777777" w:rsidR="008715BE" w:rsidRPr="00EC75B7" w:rsidRDefault="00000000">
            <w:pPr>
              <w:pStyle w:val="TableParagraph"/>
              <w:spacing w:before="3"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2C393C5E" w14:textId="77777777" w:rsidR="008715BE" w:rsidRPr="00EC75B7" w:rsidRDefault="00000000">
            <w:pPr>
              <w:pStyle w:val="TableParagraph"/>
              <w:spacing w:before="3" w:line="237" w:lineRule="auto"/>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vMerge/>
            <w:tcBorders>
              <w:top w:val="nil"/>
            </w:tcBorders>
          </w:tcPr>
          <w:p w14:paraId="2ACDB399" w14:textId="77777777" w:rsidR="008715BE" w:rsidRPr="00EC75B7" w:rsidRDefault="008715BE">
            <w:pPr>
              <w:rPr>
                <w:rFonts w:ascii="Verdana" w:hAnsi="Verdana"/>
                <w:sz w:val="18"/>
                <w:szCs w:val="18"/>
              </w:rPr>
            </w:pPr>
          </w:p>
        </w:tc>
        <w:tc>
          <w:tcPr>
            <w:tcW w:w="1440" w:type="dxa"/>
            <w:vMerge/>
            <w:tcBorders>
              <w:top w:val="nil"/>
            </w:tcBorders>
          </w:tcPr>
          <w:p w14:paraId="306FB911" w14:textId="77777777" w:rsidR="008715BE" w:rsidRPr="00EC75B7" w:rsidRDefault="008715BE">
            <w:pPr>
              <w:rPr>
                <w:rFonts w:ascii="Verdana" w:hAnsi="Verdana"/>
                <w:sz w:val="18"/>
                <w:szCs w:val="18"/>
              </w:rPr>
            </w:pPr>
          </w:p>
        </w:tc>
        <w:tc>
          <w:tcPr>
            <w:tcW w:w="1080" w:type="dxa"/>
            <w:vMerge/>
            <w:tcBorders>
              <w:top w:val="nil"/>
            </w:tcBorders>
          </w:tcPr>
          <w:p w14:paraId="491B9BC4" w14:textId="77777777" w:rsidR="008715BE" w:rsidRPr="00EC75B7" w:rsidRDefault="008715BE">
            <w:pPr>
              <w:rPr>
                <w:rFonts w:ascii="Verdana" w:hAnsi="Verdana"/>
                <w:sz w:val="18"/>
                <w:szCs w:val="18"/>
              </w:rPr>
            </w:pPr>
          </w:p>
        </w:tc>
        <w:tc>
          <w:tcPr>
            <w:tcW w:w="989" w:type="dxa"/>
            <w:vMerge/>
            <w:tcBorders>
              <w:top w:val="nil"/>
            </w:tcBorders>
          </w:tcPr>
          <w:p w14:paraId="433378D5" w14:textId="77777777" w:rsidR="008715BE" w:rsidRPr="00EC75B7" w:rsidRDefault="008715BE">
            <w:pPr>
              <w:rPr>
                <w:rFonts w:ascii="Verdana" w:hAnsi="Verdana"/>
                <w:sz w:val="18"/>
                <w:szCs w:val="18"/>
              </w:rPr>
            </w:pPr>
          </w:p>
        </w:tc>
        <w:tc>
          <w:tcPr>
            <w:tcW w:w="1080" w:type="dxa"/>
            <w:vMerge/>
            <w:tcBorders>
              <w:top w:val="nil"/>
            </w:tcBorders>
          </w:tcPr>
          <w:p w14:paraId="28AF59EC" w14:textId="77777777" w:rsidR="008715BE" w:rsidRPr="00EC75B7" w:rsidRDefault="008715BE">
            <w:pPr>
              <w:rPr>
                <w:rFonts w:ascii="Verdana" w:hAnsi="Verdana"/>
                <w:sz w:val="18"/>
                <w:szCs w:val="18"/>
              </w:rPr>
            </w:pPr>
          </w:p>
        </w:tc>
        <w:tc>
          <w:tcPr>
            <w:tcW w:w="991" w:type="dxa"/>
            <w:vMerge/>
            <w:tcBorders>
              <w:top w:val="nil"/>
            </w:tcBorders>
          </w:tcPr>
          <w:p w14:paraId="6A1984B4" w14:textId="77777777" w:rsidR="008715BE" w:rsidRPr="00EC75B7" w:rsidRDefault="008715BE">
            <w:pPr>
              <w:rPr>
                <w:rFonts w:ascii="Verdana" w:hAnsi="Verdana"/>
                <w:sz w:val="18"/>
                <w:szCs w:val="18"/>
              </w:rPr>
            </w:pPr>
          </w:p>
        </w:tc>
        <w:tc>
          <w:tcPr>
            <w:tcW w:w="1080" w:type="dxa"/>
            <w:vMerge/>
            <w:tcBorders>
              <w:top w:val="nil"/>
            </w:tcBorders>
          </w:tcPr>
          <w:p w14:paraId="7004E2A7" w14:textId="77777777" w:rsidR="008715BE" w:rsidRPr="00EC75B7" w:rsidRDefault="008715BE">
            <w:pPr>
              <w:rPr>
                <w:rFonts w:ascii="Verdana" w:hAnsi="Verdana"/>
                <w:sz w:val="18"/>
                <w:szCs w:val="18"/>
              </w:rPr>
            </w:pPr>
          </w:p>
        </w:tc>
        <w:tc>
          <w:tcPr>
            <w:tcW w:w="989" w:type="dxa"/>
            <w:vMerge/>
            <w:tcBorders>
              <w:top w:val="nil"/>
            </w:tcBorders>
          </w:tcPr>
          <w:p w14:paraId="067804C7" w14:textId="77777777" w:rsidR="008715BE" w:rsidRPr="00EC75B7" w:rsidRDefault="008715BE">
            <w:pPr>
              <w:rPr>
                <w:rFonts w:ascii="Verdana" w:hAnsi="Verdana"/>
                <w:sz w:val="18"/>
                <w:szCs w:val="18"/>
              </w:rPr>
            </w:pPr>
          </w:p>
        </w:tc>
        <w:tc>
          <w:tcPr>
            <w:tcW w:w="1081" w:type="dxa"/>
          </w:tcPr>
          <w:p w14:paraId="455BED2E" w14:textId="77777777" w:rsidR="008715BE" w:rsidRPr="00EC75B7" w:rsidRDefault="00000000">
            <w:pPr>
              <w:pStyle w:val="TableParagraph"/>
              <w:spacing w:before="3" w:line="237" w:lineRule="auto"/>
              <w:ind w:left="110"/>
              <w:rPr>
                <w:rFonts w:ascii="Verdana" w:hAnsi="Verdana"/>
                <w:sz w:val="18"/>
                <w:szCs w:val="18"/>
              </w:rPr>
            </w:pPr>
            <w:r w:rsidRPr="00EC75B7">
              <w:rPr>
                <w:rFonts w:ascii="Verdana" w:hAnsi="Verdana"/>
                <w:spacing w:val="-2"/>
                <w:sz w:val="18"/>
                <w:szCs w:val="18"/>
              </w:rPr>
              <w:t>Population size trend</w:t>
            </w:r>
          </w:p>
        </w:tc>
        <w:tc>
          <w:tcPr>
            <w:tcW w:w="1261" w:type="dxa"/>
          </w:tcPr>
          <w:p w14:paraId="72A6E1F6" w14:textId="77777777" w:rsidR="008715BE" w:rsidRPr="00EC75B7" w:rsidRDefault="00000000">
            <w:pPr>
              <w:pStyle w:val="TableParagraph"/>
              <w:spacing w:before="3" w:line="237" w:lineRule="auto"/>
              <w:ind w:left="110" w:right="108"/>
              <w:rPr>
                <w:rFonts w:ascii="Verdana" w:hAnsi="Verdana"/>
                <w:sz w:val="18"/>
                <w:szCs w:val="18"/>
              </w:rPr>
            </w:pPr>
            <w:r w:rsidRPr="00EC75B7">
              <w:rPr>
                <w:rFonts w:ascii="Verdana" w:hAnsi="Verdana"/>
                <w:spacing w:val="-2"/>
                <w:sz w:val="18"/>
                <w:szCs w:val="18"/>
              </w:rPr>
              <w:t xml:space="preserve">Possible </w:t>
            </w:r>
            <w:r w:rsidRPr="00EC75B7">
              <w:rPr>
                <w:rFonts w:ascii="Verdana" w:hAnsi="Verdana"/>
                <w:sz w:val="18"/>
                <w:szCs w:val="18"/>
              </w:rPr>
              <w:t xml:space="preserve">disruption of the activity of a maximum of 2 </w:t>
            </w:r>
            <w:r w:rsidRPr="00EC75B7">
              <w:rPr>
                <w:rFonts w:ascii="Verdana" w:hAnsi="Verdana"/>
                <w:spacing w:val="-4"/>
                <w:sz w:val="18"/>
                <w:szCs w:val="18"/>
              </w:rPr>
              <w:t>to</w:t>
            </w:r>
          </w:p>
          <w:p w14:paraId="07379BEC" w14:textId="77777777" w:rsidR="008715BE" w:rsidRPr="00EC75B7" w:rsidRDefault="00000000">
            <w:pPr>
              <w:pStyle w:val="TableParagraph"/>
              <w:spacing w:before="2"/>
              <w:ind w:left="110" w:right="126"/>
              <w:rPr>
                <w:rFonts w:ascii="Verdana" w:hAnsi="Verdana"/>
                <w:sz w:val="18"/>
                <w:szCs w:val="18"/>
              </w:rPr>
            </w:pPr>
            <w:r w:rsidRPr="00EC75B7">
              <w:rPr>
                <w:rFonts w:ascii="Verdana" w:hAnsi="Verdana"/>
                <w:sz w:val="18"/>
                <w:szCs w:val="18"/>
              </w:rPr>
              <w:t xml:space="preserve">to 3 individuals The effects will be felt locally, at distances that are not likely to </w:t>
            </w:r>
            <w:r w:rsidRPr="00EC75B7">
              <w:rPr>
                <w:rFonts w:ascii="Verdana" w:hAnsi="Verdana"/>
                <w:spacing w:val="-2"/>
                <w:sz w:val="18"/>
                <w:szCs w:val="18"/>
              </w:rPr>
              <w:t xml:space="preserve">affect </w:t>
            </w:r>
            <w:r w:rsidRPr="00EC75B7">
              <w:rPr>
                <w:rFonts w:ascii="Verdana" w:hAnsi="Verdana"/>
                <w:sz w:val="18"/>
                <w:szCs w:val="18"/>
              </w:rPr>
              <w:t xml:space="preserve">sensitive </w:t>
            </w:r>
            <w:r w:rsidRPr="00EC75B7">
              <w:rPr>
                <w:rFonts w:ascii="Verdana" w:hAnsi="Verdana"/>
                <w:spacing w:val="-2"/>
                <w:sz w:val="18"/>
                <w:szCs w:val="18"/>
              </w:rPr>
              <w:t xml:space="preserve">receptors </w:t>
            </w:r>
            <w:r w:rsidRPr="00EC75B7">
              <w:rPr>
                <w:rFonts w:ascii="Verdana" w:hAnsi="Verdana"/>
                <w:sz w:val="18"/>
                <w:szCs w:val="18"/>
              </w:rPr>
              <w:t xml:space="preserve">in </w:t>
            </w:r>
            <w:r w:rsidRPr="00EC75B7">
              <w:rPr>
                <w:rFonts w:ascii="Verdana" w:hAnsi="Verdana"/>
                <w:spacing w:val="-4"/>
                <w:sz w:val="18"/>
                <w:szCs w:val="18"/>
              </w:rPr>
              <w:t>the area</w:t>
            </w:r>
          </w:p>
          <w:p w14:paraId="7B656274" w14:textId="77777777" w:rsidR="008715BE" w:rsidRPr="00EC75B7" w:rsidRDefault="00000000">
            <w:pPr>
              <w:pStyle w:val="TableParagraph"/>
              <w:spacing w:line="237" w:lineRule="auto"/>
              <w:ind w:left="110" w:right="117"/>
              <w:rPr>
                <w:rFonts w:ascii="Verdana" w:hAnsi="Verdana"/>
                <w:sz w:val="18"/>
                <w:szCs w:val="18"/>
              </w:rPr>
            </w:pPr>
            <w:r w:rsidRPr="00EC75B7">
              <w:rPr>
                <w:rFonts w:ascii="Verdana" w:hAnsi="Verdana"/>
                <w:sz w:val="18"/>
                <w:szCs w:val="18"/>
              </w:rPr>
              <w:t>The 30 dB noise isoline will be felt at distances of up to 1.5 km around</w:t>
            </w:r>
          </w:p>
          <w:p w14:paraId="7B7F0568" w14:textId="77777777" w:rsidR="008715BE" w:rsidRPr="00EC75B7" w:rsidRDefault="00000000">
            <w:pPr>
              <w:pStyle w:val="TableParagraph"/>
              <w:spacing w:line="142" w:lineRule="exact"/>
              <w:ind w:left="110"/>
              <w:rPr>
                <w:rFonts w:ascii="Verdana" w:hAnsi="Verdana"/>
                <w:sz w:val="18"/>
                <w:szCs w:val="18"/>
              </w:rPr>
            </w:pPr>
            <w:r w:rsidRPr="00EC75B7">
              <w:rPr>
                <w:rFonts w:ascii="Verdana" w:hAnsi="Verdana"/>
                <w:sz w:val="18"/>
                <w:szCs w:val="18"/>
              </w:rPr>
              <w:t xml:space="preserve">the </w:t>
            </w:r>
            <w:r w:rsidRPr="00EC75B7">
              <w:rPr>
                <w:rFonts w:ascii="Verdana" w:hAnsi="Verdana"/>
                <w:spacing w:val="-4"/>
                <w:sz w:val="18"/>
                <w:szCs w:val="18"/>
              </w:rPr>
              <w:t xml:space="preserve">work </w:t>
            </w:r>
            <w:r w:rsidRPr="00EC75B7">
              <w:rPr>
                <w:rFonts w:ascii="Verdana" w:hAnsi="Verdana"/>
                <w:sz w:val="18"/>
                <w:szCs w:val="18"/>
              </w:rPr>
              <w:t>area</w:t>
            </w:r>
          </w:p>
        </w:tc>
        <w:tc>
          <w:tcPr>
            <w:tcW w:w="901" w:type="dxa"/>
          </w:tcPr>
          <w:p w14:paraId="52FF5DFE" w14:textId="77777777" w:rsidR="008715BE" w:rsidRPr="00EC75B7" w:rsidRDefault="00000000">
            <w:pPr>
              <w:pStyle w:val="TableParagraph"/>
              <w:spacing w:before="3" w:line="237" w:lineRule="auto"/>
              <w:ind w:left="109" w:right="118"/>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of the species </w:t>
            </w:r>
            <w:r w:rsidRPr="00EC75B7">
              <w:rPr>
                <w:rFonts w:ascii="Verdana" w:hAnsi="Verdana"/>
                <w:spacing w:val="-10"/>
                <w:sz w:val="18"/>
                <w:szCs w:val="18"/>
              </w:rPr>
              <w:t>observed</w:t>
            </w:r>
          </w:p>
          <w:p w14:paraId="29C5B2D0" w14:textId="77777777" w:rsidR="008715BE" w:rsidRPr="00EC75B7" w:rsidRDefault="00000000">
            <w:pPr>
              <w:pStyle w:val="TableParagraph"/>
              <w:spacing w:before="11"/>
              <w:ind w:left="109" w:right="122" w:firstLine="48"/>
              <w:rPr>
                <w:rFonts w:ascii="Verdana" w:hAnsi="Verdana"/>
                <w:sz w:val="18"/>
                <w:szCs w:val="18"/>
              </w:rPr>
            </w:pPr>
            <w:r w:rsidRPr="00EC75B7">
              <w:rPr>
                <w:rFonts w:ascii="Verdana" w:hAnsi="Verdana"/>
                <w:spacing w:val="-4"/>
                <w:sz w:val="18"/>
                <w:szCs w:val="18"/>
              </w:rPr>
              <w:t xml:space="preserve">GIS </w:t>
            </w:r>
            <w:r w:rsidRPr="00EC75B7">
              <w:rPr>
                <w:rFonts w:ascii="Verdana" w:hAnsi="Verdana"/>
                <w:spacing w:val="-2"/>
                <w:sz w:val="18"/>
                <w:szCs w:val="18"/>
              </w:rPr>
              <w:t>analysis</w:t>
            </w:r>
            <w:r w:rsidRPr="00EC75B7">
              <w:rPr>
                <w:rFonts w:ascii="Verdana" w:hAnsi="Verdana"/>
                <w:spacing w:val="-4"/>
                <w:sz w:val="18"/>
                <w:szCs w:val="18"/>
              </w:rPr>
              <w:t>.</w:t>
            </w:r>
          </w:p>
        </w:tc>
      </w:tr>
      <w:tr w:rsidR="008715BE" w:rsidRPr="00EC75B7" w14:paraId="6B32A10A" w14:textId="77777777">
        <w:trPr>
          <w:trHeight w:val="1192"/>
        </w:trPr>
        <w:tc>
          <w:tcPr>
            <w:tcW w:w="542" w:type="dxa"/>
            <w:vMerge/>
            <w:tcBorders>
              <w:top w:val="nil"/>
            </w:tcBorders>
          </w:tcPr>
          <w:p w14:paraId="11D3F015" w14:textId="77777777" w:rsidR="008715BE" w:rsidRPr="00EC75B7" w:rsidRDefault="008715BE">
            <w:pPr>
              <w:rPr>
                <w:rFonts w:ascii="Verdana" w:hAnsi="Verdana"/>
                <w:sz w:val="18"/>
                <w:szCs w:val="18"/>
              </w:rPr>
            </w:pPr>
          </w:p>
        </w:tc>
        <w:tc>
          <w:tcPr>
            <w:tcW w:w="1800" w:type="dxa"/>
          </w:tcPr>
          <w:p w14:paraId="0AAE225C" w14:textId="77777777" w:rsidR="008715BE" w:rsidRPr="00EC75B7" w:rsidRDefault="00000000">
            <w:pPr>
              <w:pStyle w:val="TableParagraph"/>
              <w:spacing w:before="8"/>
              <w:ind w:left="105" w:right="155"/>
              <w:rPr>
                <w:rFonts w:ascii="Verdana" w:hAnsi="Verdana"/>
                <w:sz w:val="18"/>
                <w:szCs w:val="18"/>
              </w:rPr>
            </w:pPr>
            <w:r w:rsidRPr="00EC75B7">
              <w:rPr>
                <w:rFonts w:ascii="Verdana" w:hAnsi="Verdana"/>
                <w:spacing w:val="-2"/>
                <w:sz w:val="18"/>
                <w:szCs w:val="18"/>
              </w:rPr>
              <w:t xml:space="preserve">Foundation </w:t>
            </w:r>
            <w:r w:rsidRPr="00EC75B7">
              <w:rPr>
                <w:rFonts w:ascii="Verdana" w:hAnsi="Verdana"/>
                <w:sz w:val="18"/>
                <w:szCs w:val="18"/>
              </w:rPr>
              <w:t>construction works</w:t>
            </w:r>
          </w:p>
        </w:tc>
        <w:tc>
          <w:tcPr>
            <w:tcW w:w="1048" w:type="dxa"/>
          </w:tcPr>
          <w:p w14:paraId="5568D6E6" w14:textId="77777777" w:rsidR="008715BE" w:rsidRPr="00EC75B7" w:rsidRDefault="00000000">
            <w:pPr>
              <w:pStyle w:val="TableParagraph"/>
              <w:spacing w:line="170" w:lineRule="exact"/>
              <w:ind w:left="106" w:right="107"/>
              <w:rPr>
                <w:rFonts w:ascii="Verdana" w:hAnsi="Verdana"/>
                <w:sz w:val="18"/>
                <w:szCs w:val="18"/>
              </w:rPr>
            </w:pPr>
            <w:r w:rsidRPr="00EC75B7">
              <w:rPr>
                <w:rFonts w:ascii="Verdana" w:hAnsi="Verdana"/>
                <w:spacing w:val="-2"/>
                <w:sz w:val="18"/>
                <w:szCs w:val="18"/>
              </w:rPr>
              <w:t xml:space="preserve">Collision of </w:t>
            </w:r>
            <w:r w:rsidRPr="00EC75B7">
              <w:rPr>
                <w:rFonts w:ascii="Verdana" w:hAnsi="Verdana"/>
                <w:sz w:val="18"/>
                <w:szCs w:val="18"/>
              </w:rPr>
              <w:t xml:space="preserve">wildlife with </w:t>
            </w:r>
            <w:r w:rsidRPr="00EC75B7">
              <w:rPr>
                <w:rFonts w:ascii="Verdana" w:hAnsi="Verdana"/>
                <w:spacing w:val="-2"/>
                <w:sz w:val="18"/>
                <w:szCs w:val="18"/>
              </w:rPr>
              <w:t xml:space="preserve">vehicle traffic </w:t>
            </w:r>
            <w:r w:rsidRPr="00EC75B7">
              <w:rPr>
                <w:rFonts w:ascii="Verdana" w:hAnsi="Verdana"/>
                <w:spacing w:val="-6"/>
                <w:sz w:val="18"/>
                <w:szCs w:val="18"/>
              </w:rPr>
              <w:t xml:space="preserve">on </w:t>
            </w:r>
            <w:r w:rsidRPr="00EC75B7">
              <w:rPr>
                <w:rFonts w:ascii="Verdana" w:hAnsi="Verdana"/>
                <w:spacing w:val="-2"/>
                <w:sz w:val="18"/>
                <w:szCs w:val="18"/>
              </w:rPr>
              <w:t>roads</w:t>
            </w:r>
          </w:p>
        </w:tc>
        <w:tc>
          <w:tcPr>
            <w:tcW w:w="1274" w:type="dxa"/>
          </w:tcPr>
          <w:p w14:paraId="3209073A"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REP</w:t>
            </w:r>
          </w:p>
        </w:tc>
        <w:tc>
          <w:tcPr>
            <w:tcW w:w="993" w:type="dxa"/>
          </w:tcPr>
          <w:p w14:paraId="1F671576"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50AF1E17"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impacts were identified</w:t>
            </w:r>
          </w:p>
        </w:tc>
        <w:tc>
          <w:tcPr>
            <w:tcW w:w="991" w:type="dxa"/>
          </w:tcPr>
          <w:p w14:paraId="69224A78"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77" w:type="dxa"/>
          </w:tcPr>
          <w:p w14:paraId="638FCFEF"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8"/>
          </w:tcPr>
          <w:p w14:paraId="1F28E4B5"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1" w:type="dxa"/>
          </w:tcPr>
          <w:p w14:paraId="7EDAC845"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1" w:type="dxa"/>
          </w:tcPr>
          <w:p w14:paraId="2A41FB13"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1" w:type="dxa"/>
          </w:tcPr>
          <w:p w14:paraId="4049D30E" w14:textId="77777777" w:rsidR="008715BE" w:rsidRPr="00EC75B7" w:rsidRDefault="00000000">
            <w:pPr>
              <w:pStyle w:val="TableParagraph"/>
              <w:spacing w:before="8"/>
              <w:ind w:left="109" w:right="15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1058FE7D"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4127ACA5"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8715BE" w:rsidRPr="00EC75B7" w14:paraId="36533740" w14:textId="77777777">
        <w:trPr>
          <w:trHeight w:val="842"/>
        </w:trPr>
        <w:tc>
          <w:tcPr>
            <w:tcW w:w="2342" w:type="dxa"/>
            <w:gridSpan w:val="2"/>
            <w:shd w:val="clear" w:color="auto" w:fill="00A1E8"/>
          </w:tcPr>
          <w:p w14:paraId="2A17085D" w14:textId="77777777" w:rsidR="008715BE" w:rsidRPr="00EC75B7" w:rsidRDefault="008715BE">
            <w:pPr>
              <w:pStyle w:val="TableParagraph"/>
              <w:rPr>
                <w:rFonts w:ascii="Verdana" w:hAnsi="Verdana"/>
                <w:b/>
                <w:sz w:val="18"/>
                <w:szCs w:val="18"/>
              </w:rPr>
            </w:pPr>
          </w:p>
          <w:p w14:paraId="50A8AA21" w14:textId="77777777" w:rsidR="008715BE" w:rsidRPr="00EC75B7" w:rsidRDefault="008715BE">
            <w:pPr>
              <w:pStyle w:val="TableParagraph"/>
              <w:spacing w:before="2"/>
              <w:rPr>
                <w:rFonts w:ascii="Verdana" w:hAnsi="Verdana"/>
                <w:b/>
                <w:sz w:val="18"/>
                <w:szCs w:val="18"/>
              </w:rPr>
            </w:pPr>
          </w:p>
          <w:p w14:paraId="7193A5BA"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4849C66F" w14:textId="77777777" w:rsidR="008715BE" w:rsidRPr="00EC75B7" w:rsidRDefault="008715BE">
            <w:pPr>
              <w:pStyle w:val="TableParagraph"/>
              <w:rPr>
                <w:rFonts w:ascii="Verdana" w:hAnsi="Verdana"/>
                <w:b/>
                <w:sz w:val="18"/>
                <w:szCs w:val="18"/>
              </w:rPr>
            </w:pPr>
          </w:p>
          <w:p w14:paraId="514E5F86" w14:textId="77777777" w:rsidR="008715BE" w:rsidRPr="00EC75B7" w:rsidRDefault="008715BE">
            <w:pPr>
              <w:pStyle w:val="TableParagraph"/>
              <w:spacing w:before="2"/>
              <w:rPr>
                <w:rFonts w:ascii="Verdana" w:hAnsi="Verdana"/>
                <w:b/>
                <w:sz w:val="18"/>
                <w:szCs w:val="18"/>
              </w:rPr>
            </w:pPr>
          </w:p>
          <w:p w14:paraId="46B3714B"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6D0E2D60" w14:textId="77777777" w:rsidR="008715BE" w:rsidRPr="00EC75B7" w:rsidRDefault="008715BE">
            <w:pPr>
              <w:pStyle w:val="TableParagraph"/>
              <w:spacing w:before="90"/>
              <w:rPr>
                <w:rFonts w:ascii="Verdana" w:hAnsi="Verdana"/>
                <w:b/>
                <w:sz w:val="18"/>
                <w:szCs w:val="18"/>
              </w:rPr>
            </w:pPr>
          </w:p>
          <w:p w14:paraId="53EFA1A0"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2B186ABE" w14:textId="77777777" w:rsidR="008715BE" w:rsidRPr="00EC75B7" w:rsidRDefault="008715BE">
            <w:pPr>
              <w:pStyle w:val="TableParagraph"/>
              <w:spacing w:before="2"/>
              <w:rPr>
                <w:rFonts w:ascii="Verdana" w:hAnsi="Verdana"/>
                <w:b/>
                <w:sz w:val="18"/>
                <w:szCs w:val="18"/>
              </w:rPr>
            </w:pPr>
          </w:p>
          <w:p w14:paraId="62C3B8EA"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0999C433"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6B088E2C"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42433049"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5"/>
            <w:shd w:val="clear" w:color="auto" w:fill="00A1E8"/>
          </w:tcPr>
          <w:p w14:paraId="26A03591" w14:textId="77777777" w:rsidR="008715BE" w:rsidRPr="00EC75B7" w:rsidRDefault="008715BE">
            <w:pPr>
              <w:pStyle w:val="TableParagraph"/>
              <w:rPr>
                <w:rFonts w:ascii="Verdana" w:hAnsi="Verdana"/>
                <w:b/>
                <w:sz w:val="18"/>
                <w:szCs w:val="18"/>
              </w:rPr>
            </w:pPr>
          </w:p>
          <w:p w14:paraId="6B33B55E" w14:textId="77777777" w:rsidR="008715BE" w:rsidRPr="00EC75B7" w:rsidRDefault="008715BE">
            <w:pPr>
              <w:pStyle w:val="TableParagraph"/>
              <w:spacing w:before="2"/>
              <w:rPr>
                <w:rFonts w:ascii="Verdana" w:hAnsi="Verdana"/>
                <w:b/>
                <w:sz w:val="18"/>
                <w:szCs w:val="18"/>
              </w:rPr>
            </w:pPr>
          </w:p>
          <w:p w14:paraId="39C1D21B"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Species</w:t>
            </w:r>
          </w:p>
        </w:tc>
        <w:tc>
          <w:tcPr>
            <w:tcW w:w="1080" w:type="dxa"/>
            <w:shd w:val="clear" w:color="auto" w:fill="00A1E8"/>
          </w:tcPr>
          <w:p w14:paraId="5BA6327E" w14:textId="77777777" w:rsidR="008715BE" w:rsidRPr="00EC75B7" w:rsidRDefault="00000000">
            <w:pPr>
              <w:pStyle w:val="TableParagraph"/>
              <w:spacing w:before="89" w:line="171" w:lineRule="exact"/>
              <w:ind w:left="110" w:right="95"/>
              <w:jc w:val="center"/>
              <w:rPr>
                <w:rFonts w:ascii="Verdana" w:hAnsi="Verdana"/>
                <w:b/>
                <w:sz w:val="18"/>
                <w:szCs w:val="18"/>
              </w:rPr>
            </w:pPr>
            <w:r w:rsidRPr="00EC75B7">
              <w:rPr>
                <w:rFonts w:ascii="Verdana" w:hAnsi="Verdana"/>
                <w:b/>
                <w:color w:val="FFFFFF"/>
                <w:spacing w:val="-2"/>
                <w:sz w:val="18"/>
                <w:szCs w:val="18"/>
              </w:rPr>
              <w:t>Parameter</w:t>
            </w:r>
          </w:p>
          <w:p w14:paraId="11EC0011" w14:textId="77777777" w:rsidR="008715BE" w:rsidRPr="00EC75B7" w:rsidRDefault="00000000">
            <w:pPr>
              <w:pStyle w:val="TableParagraph"/>
              <w:spacing w:line="169" w:lineRule="exact"/>
              <w:ind w:left="16"/>
              <w:jc w:val="center"/>
              <w:rPr>
                <w:rFonts w:ascii="Verdana" w:hAnsi="Verdana"/>
                <w:b/>
                <w:sz w:val="18"/>
                <w:szCs w:val="18"/>
              </w:rPr>
            </w:pPr>
            <w:r w:rsidRPr="00EC75B7">
              <w:rPr>
                <w:rFonts w:ascii="Verdana" w:hAnsi="Verdana"/>
                <w:b/>
                <w:color w:val="FFFFFF"/>
                <w:spacing w:val="-10"/>
                <w:sz w:val="18"/>
                <w:szCs w:val="18"/>
              </w:rPr>
              <w:t>/</w:t>
            </w:r>
          </w:p>
          <w:p w14:paraId="25CB3C0F" w14:textId="77777777" w:rsidR="008715BE" w:rsidRPr="00EC75B7" w:rsidRDefault="00000000">
            <w:pPr>
              <w:pStyle w:val="TableParagraph"/>
              <w:ind w:left="221" w:right="207"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0" w:type="dxa"/>
            <w:shd w:val="clear" w:color="auto" w:fill="00A1E8"/>
          </w:tcPr>
          <w:p w14:paraId="00CBC18D" w14:textId="77777777" w:rsidR="008715BE" w:rsidRPr="00EC75B7" w:rsidRDefault="008715BE">
            <w:pPr>
              <w:pStyle w:val="TableParagraph"/>
              <w:spacing w:before="90"/>
              <w:rPr>
                <w:rFonts w:ascii="Verdana" w:hAnsi="Verdana"/>
                <w:b/>
                <w:sz w:val="18"/>
                <w:szCs w:val="18"/>
              </w:rPr>
            </w:pPr>
          </w:p>
          <w:p w14:paraId="23CCF73F" w14:textId="77777777" w:rsidR="008715BE" w:rsidRPr="00EC75B7" w:rsidRDefault="00000000">
            <w:pPr>
              <w:pStyle w:val="TableParagraph"/>
              <w:spacing w:line="237" w:lineRule="auto"/>
              <w:ind w:left="365" w:hanging="209"/>
              <w:rPr>
                <w:rFonts w:ascii="Verdana" w:hAnsi="Verdana"/>
                <w:b/>
                <w:sz w:val="18"/>
                <w:szCs w:val="18"/>
              </w:rPr>
            </w:pPr>
            <w:r w:rsidRPr="00EC75B7">
              <w:rPr>
                <w:rFonts w:ascii="Verdana" w:hAnsi="Verdana"/>
                <w:b/>
                <w:color w:val="FFFFFF"/>
                <w:spacing w:val="-2"/>
                <w:sz w:val="18"/>
                <w:szCs w:val="18"/>
              </w:rPr>
              <w:t>Impact quantification</w:t>
            </w:r>
          </w:p>
        </w:tc>
        <w:tc>
          <w:tcPr>
            <w:tcW w:w="900" w:type="dxa"/>
            <w:shd w:val="clear" w:color="auto" w:fill="00A1E8"/>
          </w:tcPr>
          <w:p w14:paraId="0935E822" w14:textId="77777777" w:rsidR="008715BE" w:rsidRPr="00EC75B7" w:rsidRDefault="008715BE">
            <w:pPr>
              <w:pStyle w:val="TableParagraph"/>
              <w:spacing w:before="2"/>
              <w:rPr>
                <w:rFonts w:ascii="Verdana" w:hAnsi="Verdana"/>
                <w:b/>
                <w:sz w:val="18"/>
                <w:szCs w:val="18"/>
              </w:rPr>
            </w:pPr>
          </w:p>
          <w:p w14:paraId="741720D3" w14:textId="77777777" w:rsidR="008715BE" w:rsidRPr="00EC75B7" w:rsidRDefault="00000000">
            <w:pPr>
              <w:pStyle w:val="TableParagraph"/>
              <w:spacing w:before="1"/>
              <w:ind w:left="113" w:right="100" w:firstLine="1"/>
              <w:jc w:val="center"/>
              <w:rPr>
                <w:rFonts w:ascii="Verdana" w:hAnsi="Verdana"/>
                <w:b/>
                <w:sz w:val="18"/>
                <w:szCs w:val="18"/>
              </w:rPr>
            </w:pPr>
            <w:r w:rsidRPr="00EC75B7">
              <w:rPr>
                <w:rFonts w:ascii="Verdana" w:hAnsi="Verdana"/>
                <w:b/>
                <w:color w:val="FFFFFF"/>
                <w:spacing w:val="-4"/>
                <w:sz w:val="18"/>
                <w:szCs w:val="18"/>
              </w:rPr>
              <w:t xml:space="preserve">Method </w:t>
            </w:r>
            <w:r w:rsidRPr="00EC75B7">
              <w:rPr>
                <w:rFonts w:ascii="Verdana" w:hAnsi="Verdana"/>
                <w:b/>
                <w:color w:val="FFFFFF"/>
                <w:sz w:val="18"/>
                <w:szCs w:val="18"/>
              </w:rPr>
              <w:t xml:space="preserve">of </w:t>
            </w:r>
            <w:r w:rsidRPr="00EC75B7">
              <w:rPr>
                <w:rFonts w:ascii="Verdana" w:hAnsi="Verdana"/>
                <w:b/>
                <w:color w:val="FFFFFF"/>
                <w:spacing w:val="-2"/>
                <w:sz w:val="18"/>
                <w:szCs w:val="18"/>
              </w:rPr>
              <w:t>quantifying</w:t>
            </w:r>
          </w:p>
        </w:tc>
      </w:tr>
      <w:tr w:rsidR="008715BE" w:rsidRPr="00EC75B7" w14:paraId="1DCF3C0F" w14:textId="77777777">
        <w:trPr>
          <w:trHeight w:val="1019"/>
        </w:trPr>
        <w:tc>
          <w:tcPr>
            <w:tcW w:w="542" w:type="dxa"/>
            <w:vMerge w:val="restart"/>
          </w:tcPr>
          <w:p w14:paraId="317B6665" w14:textId="77777777" w:rsidR="008715BE" w:rsidRPr="00EC75B7" w:rsidRDefault="008715BE">
            <w:pPr>
              <w:pStyle w:val="TableParagraph"/>
              <w:rPr>
                <w:rFonts w:ascii="Verdana" w:hAnsi="Verdana"/>
                <w:sz w:val="18"/>
                <w:szCs w:val="18"/>
              </w:rPr>
            </w:pPr>
          </w:p>
        </w:tc>
        <w:tc>
          <w:tcPr>
            <w:tcW w:w="1800" w:type="dxa"/>
          </w:tcPr>
          <w:p w14:paraId="661409DB" w14:textId="77777777" w:rsidR="008715BE" w:rsidRPr="00EC75B7" w:rsidRDefault="008715BE">
            <w:pPr>
              <w:pStyle w:val="TableParagraph"/>
              <w:rPr>
                <w:rFonts w:ascii="Verdana" w:hAnsi="Verdana"/>
                <w:sz w:val="18"/>
                <w:szCs w:val="18"/>
              </w:rPr>
            </w:pPr>
          </w:p>
        </w:tc>
        <w:tc>
          <w:tcPr>
            <w:tcW w:w="1048" w:type="dxa"/>
          </w:tcPr>
          <w:p w14:paraId="29CAF63E" w14:textId="77777777" w:rsidR="008715BE" w:rsidRPr="00EC75B7" w:rsidRDefault="00000000">
            <w:pPr>
              <w:pStyle w:val="TableParagraph"/>
              <w:spacing w:before="9" w:line="237" w:lineRule="auto"/>
              <w:ind w:left="106" w:right="113"/>
              <w:rPr>
                <w:rFonts w:ascii="Verdana" w:hAnsi="Verdana"/>
                <w:sz w:val="18"/>
                <w:szCs w:val="18"/>
              </w:rPr>
            </w:pPr>
            <w:r w:rsidRPr="00EC75B7">
              <w:rPr>
                <w:rFonts w:ascii="Verdana" w:hAnsi="Verdana"/>
                <w:spacing w:val="-2"/>
                <w:sz w:val="18"/>
                <w:szCs w:val="18"/>
              </w:rPr>
              <w:t xml:space="preserve">access/equipment </w:t>
            </w:r>
            <w:r w:rsidRPr="00EC75B7">
              <w:rPr>
                <w:rFonts w:ascii="Verdana" w:hAnsi="Verdana"/>
                <w:sz w:val="18"/>
                <w:szCs w:val="18"/>
              </w:rPr>
              <w:t xml:space="preserve">in </w:t>
            </w:r>
            <w:r w:rsidRPr="00EC75B7">
              <w:rPr>
                <w:rFonts w:ascii="Verdana" w:hAnsi="Verdana"/>
                <w:spacing w:val="-4"/>
                <w:sz w:val="18"/>
                <w:szCs w:val="18"/>
              </w:rPr>
              <w:t xml:space="preserve">the </w:t>
            </w:r>
            <w:r w:rsidRPr="00EC75B7">
              <w:rPr>
                <w:rFonts w:ascii="Verdana" w:hAnsi="Verdana"/>
                <w:sz w:val="18"/>
                <w:szCs w:val="18"/>
              </w:rPr>
              <w:t xml:space="preserve">front line </w:t>
            </w:r>
            <w:r w:rsidRPr="00EC75B7">
              <w:rPr>
                <w:rFonts w:ascii="Verdana" w:hAnsi="Verdana"/>
                <w:spacing w:val="-4"/>
                <w:sz w:val="18"/>
                <w:szCs w:val="18"/>
              </w:rPr>
              <w:t>area</w:t>
            </w:r>
          </w:p>
          <w:p w14:paraId="6A5580A3" w14:textId="77777777" w:rsidR="008715BE" w:rsidRPr="00EC75B7" w:rsidRDefault="00000000">
            <w:pPr>
              <w:pStyle w:val="TableParagraph"/>
              <w:spacing w:before="2" w:line="142" w:lineRule="exact"/>
              <w:ind w:left="106"/>
              <w:rPr>
                <w:rFonts w:ascii="Verdana" w:hAnsi="Verdana"/>
                <w:sz w:val="18"/>
                <w:szCs w:val="18"/>
              </w:rPr>
            </w:pPr>
            <w:r w:rsidRPr="00EC75B7">
              <w:rPr>
                <w:rFonts w:ascii="Verdana" w:hAnsi="Verdana"/>
                <w:spacing w:val="-2"/>
                <w:sz w:val="18"/>
                <w:szCs w:val="18"/>
              </w:rPr>
              <w:t>work</w:t>
            </w:r>
          </w:p>
        </w:tc>
        <w:tc>
          <w:tcPr>
            <w:tcW w:w="1274" w:type="dxa"/>
          </w:tcPr>
          <w:p w14:paraId="6D34DE6E" w14:textId="77777777" w:rsidR="008715BE" w:rsidRPr="00EC75B7" w:rsidRDefault="008715BE">
            <w:pPr>
              <w:pStyle w:val="TableParagraph"/>
              <w:rPr>
                <w:rFonts w:ascii="Verdana" w:hAnsi="Verdana"/>
                <w:sz w:val="18"/>
                <w:szCs w:val="18"/>
              </w:rPr>
            </w:pPr>
          </w:p>
        </w:tc>
        <w:tc>
          <w:tcPr>
            <w:tcW w:w="993" w:type="dxa"/>
          </w:tcPr>
          <w:p w14:paraId="20460D69" w14:textId="77777777" w:rsidR="008715BE" w:rsidRPr="00EC75B7" w:rsidRDefault="008715BE">
            <w:pPr>
              <w:pStyle w:val="TableParagraph"/>
              <w:rPr>
                <w:rFonts w:ascii="Verdana" w:hAnsi="Verdana"/>
                <w:sz w:val="18"/>
                <w:szCs w:val="18"/>
              </w:rPr>
            </w:pPr>
          </w:p>
        </w:tc>
        <w:tc>
          <w:tcPr>
            <w:tcW w:w="708" w:type="dxa"/>
          </w:tcPr>
          <w:p w14:paraId="3A7D3AE7" w14:textId="77777777" w:rsidR="008715BE" w:rsidRPr="00EC75B7" w:rsidRDefault="00000000">
            <w:pPr>
              <w:pStyle w:val="TableParagraph"/>
              <w:spacing w:before="8"/>
              <w:ind w:left="108"/>
              <w:rPr>
                <w:rFonts w:ascii="Verdana" w:hAnsi="Verdana"/>
                <w:sz w:val="18"/>
                <w:szCs w:val="18"/>
              </w:rPr>
            </w:pPr>
            <w:r w:rsidRPr="00EC75B7">
              <w:rPr>
                <w:rFonts w:ascii="Verdana" w:hAnsi="Verdana"/>
                <w:spacing w:val="-4"/>
                <w:sz w:val="18"/>
                <w:szCs w:val="18"/>
              </w:rPr>
              <w:t>Secondary</w:t>
            </w:r>
          </w:p>
        </w:tc>
        <w:tc>
          <w:tcPr>
            <w:tcW w:w="991" w:type="dxa"/>
          </w:tcPr>
          <w:p w14:paraId="71498DE0" w14:textId="77777777" w:rsidR="008715BE" w:rsidRPr="00EC75B7" w:rsidRDefault="008715BE">
            <w:pPr>
              <w:pStyle w:val="TableParagraph"/>
              <w:rPr>
                <w:rFonts w:ascii="Verdana" w:hAnsi="Verdana"/>
                <w:sz w:val="18"/>
                <w:szCs w:val="18"/>
              </w:rPr>
            </w:pPr>
          </w:p>
        </w:tc>
        <w:tc>
          <w:tcPr>
            <w:tcW w:w="1277" w:type="dxa"/>
          </w:tcPr>
          <w:p w14:paraId="2DD4C209" w14:textId="77777777" w:rsidR="008715BE" w:rsidRPr="00EC75B7" w:rsidRDefault="008715BE">
            <w:pPr>
              <w:pStyle w:val="TableParagraph"/>
              <w:rPr>
                <w:rFonts w:ascii="Verdana" w:hAnsi="Verdana"/>
                <w:sz w:val="18"/>
                <w:szCs w:val="18"/>
              </w:rPr>
            </w:pPr>
          </w:p>
        </w:tc>
        <w:tc>
          <w:tcPr>
            <w:tcW w:w="10357" w:type="dxa"/>
            <w:gridSpan w:val="5"/>
          </w:tcPr>
          <w:p w14:paraId="5624B041" w14:textId="77777777" w:rsidR="008715BE" w:rsidRPr="00EC75B7" w:rsidRDefault="008715BE">
            <w:pPr>
              <w:pStyle w:val="TableParagraph"/>
              <w:rPr>
                <w:rFonts w:ascii="Verdana" w:hAnsi="Verdana"/>
                <w:sz w:val="18"/>
                <w:szCs w:val="18"/>
              </w:rPr>
            </w:pPr>
          </w:p>
        </w:tc>
        <w:tc>
          <w:tcPr>
            <w:tcW w:w="1080" w:type="dxa"/>
          </w:tcPr>
          <w:p w14:paraId="588A9769" w14:textId="77777777" w:rsidR="008715BE" w:rsidRPr="00EC75B7" w:rsidRDefault="008715BE">
            <w:pPr>
              <w:pStyle w:val="TableParagraph"/>
              <w:rPr>
                <w:rFonts w:ascii="Verdana" w:hAnsi="Verdana"/>
                <w:sz w:val="18"/>
                <w:szCs w:val="18"/>
              </w:rPr>
            </w:pPr>
          </w:p>
        </w:tc>
        <w:tc>
          <w:tcPr>
            <w:tcW w:w="1260" w:type="dxa"/>
          </w:tcPr>
          <w:p w14:paraId="57DF8344" w14:textId="77777777" w:rsidR="008715BE" w:rsidRPr="00EC75B7" w:rsidRDefault="008715BE">
            <w:pPr>
              <w:pStyle w:val="TableParagraph"/>
              <w:rPr>
                <w:rFonts w:ascii="Verdana" w:hAnsi="Verdana"/>
                <w:sz w:val="18"/>
                <w:szCs w:val="18"/>
              </w:rPr>
            </w:pPr>
          </w:p>
        </w:tc>
        <w:tc>
          <w:tcPr>
            <w:tcW w:w="900" w:type="dxa"/>
          </w:tcPr>
          <w:p w14:paraId="34BBA5AA" w14:textId="77777777" w:rsidR="008715BE" w:rsidRPr="00EC75B7" w:rsidRDefault="008715BE">
            <w:pPr>
              <w:pStyle w:val="TableParagraph"/>
              <w:rPr>
                <w:rFonts w:ascii="Verdana" w:hAnsi="Verdana"/>
                <w:sz w:val="18"/>
                <w:szCs w:val="18"/>
              </w:rPr>
            </w:pPr>
          </w:p>
        </w:tc>
      </w:tr>
      <w:tr w:rsidR="008715BE" w:rsidRPr="00EC75B7" w14:paraId="3261511B" w14:textId="77777777">
        <w:trPr>
          <w:trHeight w:val="1360"/>
        </w:trPr>
        <w:tc>
          <w:tcPr>
            <w:tcW w:w="542" w:type="dxa"/>
            <w:vMerge/>
            <w:tcBorders>
              <w:top w:val="nil"/>
            </w:tcBorders>
          </w:tcPr>
          <w:p w14:paraId="323FC200" w14:textId="77777777" w:rsidR="008715BE" w:rsidRPr="00EC75B7" w:rsidRDefault="008715BE">
            <w:pPr>
              <w:rPr>
                <w:rFonts w:ascii="Verdana" w:hAnsi="Verdana"/>
                <w:sz w:val="18"/>
                <w:szCs w:val="18"/>
              </w:rPr>
            </w:pPr>
          </w:p>
        </w:tc>
        <w:tc>
          <w:tcPr>
            <w:tcW w:w="1800" w:type="dxa"/>
          </w:tcPr>
          <w:p w14:paraId="53023677" w14:textId="77777777" w:rsidR="008715BE" w:rsidRPr="00EC75B7" w:rsidRDefault="00000000">
            <w:pPr>
              <w:pStyle w:val="TableParagraph"/>
              <w:spacing w:before="8"/>
              <w:ind w:left="105" w:right="206"/>
              <w:rPr>
                <w:rFonts w:ascii="Verdana" w:hAnsi="Verdana"/>
                <w:sz w:val="18"/>
                <w:szCs w:val="18"/>
              </w:rPr>
            </w:pPr>
            <w:r w:rsidRPr="00EC75B7">
              <w:rPr>
                <w:rFonts w:ascii="Verdana" w:hAnsi="Verdana"/>
                <w:spacing w:val="-2"/>
                <w:sz w:val="18"/>
                <w:szCs w:val="18"/>
              </w:rPr>
              <w:t xml:space="preserve">Installation/equipment </w:t>
            </w:r>
            <w:r w:rsidRPr="00EC75B7">
              <w:rPr>
                <w:rFonts w:ascii="Verdana" w:hAnsi="Verdana"/>
                <w:sz w:val="18"/>
                <w:szCs w:val="18"/>
              </w:rPr>
              <w:t>assembly works</w:t>
            </w:r>
          </w:p>
        </w:tc>
        <w:tc>
          <w:tcPr>
            <w:tcW w:w="1048" w:type="dxa"/>
          </w:tcPr>
          <w:p w14:paraId="16F0637A" w14:textId="77777777" w:rsidR="008715BE" w:rsidRPr="00EC75B7" w:rsidRDefault="00000000">
            <w:pPr>
              <w:pStyle w:val="TableParagraph"/>
              <w:spacing w:before="8"/>
              <w:ind w:left="106" w:right="132"/>
              <w:rPr>
                <w:rFonts w:ascii="Verdana" w:hAnsi="Verdana"/>
                <w:sz w:val="18"/>
                <w:szCs w:val="18"/>
              </w:rPr>
            </w:pPr>
            <w:r w:rsidRPr="00EC75B7">
              <w:rPr>
                <w:rFonts w:ascii="Verdana" w:hAnsi="Verdana"/>
                <w:sz w:val="18"/>
                <w:szCs w:val="18"/>
              </w:rPr>
              <w:t xml:space="preserve">Emissions of pollutants into </w:t>
            </w:r>
            <w:r w:rsidRPr="00EC75B7">
              <w:rPr>
                <w:rFonts w:ascii="Verdana" w:hAnsi="Verdana"/>
                <w:spacing w:val="-2"/>
                <w:sz w:val="18"/>
                <w:szCs w:val="18"/>
              </w:rPr>
              <w:t xml:space="preserve">the atmosphere (operation </w:t>
            </w:r>
            <w:r w:rsidRPr="00EC75B7">
              <w:rPr>
                <w:rFonts w:ascii="Verdana" w:hAnsi="Verdana"/>
                <w:spacing w:val="-6"/>
                <w:sz w:val="18"/>
                <w:szCs w:val="18"/>
              </w:rPr>
              <w:t xml:space="preserve">of </w:t>
            </w:r>
            <w:r w:rsidRPr="00EC75B7">
              <w:rPr>
                <w:rFonts w:ascii="Verdana" w:hAnsi="Verdana"/>
                <w:spacing w:val="-2"/>
                <w:sz w:val="18"/>
                <w:szCs w:val="18"/>
              </w:rPr>
              <w:t xml:space="preserve">vehicles </w:t>
            </w:r>
            <w:r w:rsidRPr="00EC75B7">
              <w:rPr>
                <w:rFonts w:ascii="Verdana" w:hAnsi="Verdana"/>
                <w:spacing w:val="-6"/>
                <w:sz w:val="18"/>
                <w:szCs w:val="18"/>
              </w:rPr>
              <w:t>and</w:t>
            </w:r>
          </w:p>
          <w:p w14:paraId="1F24F68B" w14:textId="77777777" w:rsidR="008715BE" w:rsidRPr="00EC75B7" w:rsidRDefault="00000000">
            <w:pPr>
              <w:pStyle w:val="TableParagraph"/>
              <w:spacing w:line="136" w:lineRule="exact"/>
              <w:ind w:left="106"/>
              <w:rPr>
                <w:rFonts w:ascii="Verdana" w:hAnsi="Verdana"/>
                <w:sz w:val="18"/>
                <w:szCs w:val="18"/>
              </w:rPr>
            </w:pPr>
            <w:r w:rsidRPr="00EC75B7">
              <w:rPr>
                <w:rFonts w:ascii="Verdana" w:hAnsi="Verdana"/>
                <w:spacing w:val="-2"/>
                <w:sz w:val="18"/>
                <w:szCs w:val="18"/>
              </w:rPr>
              <w:t>machinery)</w:t>
            </w:r>
          </w:p>
        </w:tc>
        <w:tc>
          <w:tcPr>
            <w:tcW w:w="1274" w:type="dxa"/>
          </w:tcPr>
          <w:p w14:paraId="68130750"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AH</w:t>
            </w:r>
          </w:p>
        </w:tc>
        <w:tc>
          <w:tcPr>
            <w:tcW w:w="993" w:type="dxa"/>
          </w:tcPr>
          <w:p w14:paraId="3D0C7994"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22A103BA"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w:t>
            </w:r>
            <w:r w:rsidRPr="00EC75B7">
              <w:rPr>
                <w:rFonts w:ascii="Verdana" w:hAnsi="Verdana"/>
                <w:spacing w:val="-4"/>
                <w:sz w:val="18"/>
                <w:szCs w:val="18"/>
              </w:rPr>
              <w:t>impacts were identified</w:t>
            </w:r>
          </w:p>
          <w:p w14:paraId="1618ABB3" w14:textId="77777777" w:rsidR="008715BE" w:rsidRPr="00EC75B7" w:rsidRDefault="00000000">
            <w:pPr>
              <w:pStyle w:val="TableParagraph"/>
              <w:spacing w:line="136" w:lineRule="exact"/>
              <w:ind w:left="108"/>
              <w:rPr>
                <w:rFonts w:ascii="Verdana" w:hAnsi="Verdana"/>
                <w:sz w:val="18"/>
                <w:szCs w:val="18"/>
              </w:rPr>
            </w:pPr>
            <w:r w:rsidRPr="00EC75B7">
              <w:rPr>
                <w:rFonts w:ascii="Verdana" w:hAnsi="Verdana"/>
                <w:spacing w:val="-4"/>
                <w:sz w:val="18"/>
                <w:szCs w:val="18"/>
              </w:rPr>
              <w:t>No cumulative impacts were identified</w:t>
            </w:r>
          </w:p>
        </w:tc>
        <w:tc>
          <w:tcPr>
            <w:tcW w:w="991" w:type="dxa"/>
          </w:tcPr>
          <w:p w14:paraId="4B7F9D30"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77" w:type="dxa"/>
          </w:tcPr>
          <w:p w14:paraId="79BE05E3"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09F4D24D"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103478C4"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4809B1CC"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36F6BA99" w14:textId="77777777" w:rsidR="008715BE" w:rsidRPr="00EC75B7" w:rsidRDefault="00000000">
            <w:pPr>
              <w:pStyle w:val="TableParagraph"/>
              <w:spacing w:before="8"/>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6D9ABD61" w14:textId="77777777">
        <w:trPr>
          <w:trHeight w:val="1704"/>
        </w:trPr>
        <w:tc>
          <w:tcPr>
            <w:tcW w:w="542" w:type="dxa"/>
            <w:vMerge/>
            <w:tcBorders>
              <w:top w:val="nil"/>
            </w:tcBorders>
          </w:tcPr>
          <w:p w14:paraId="5A714443" w14:textId="77777777" w:rsidR="008715BE" w:rsidRPr="00EC75B7" w:rsidRDefault="008715BE">
            <w:pPr>
              <w:rPr>
                <w:rFonts w:ascii="Verdana" w:hAnsi="Verdana"/>
                <w:sz w:val="18"/>
                <w:szCs w:val="18"/>
              </w:rPr>
            </w:pPr>
          </w:p>
        </w:tc>
        <w:tc>
          <w:tcPr>
            <w:tcW w:w="1800" w:type="dxa"/>
          </w:tcPr>
          <w:p w14:paraId="465494CF" w14:textId="77777777" w:rsidR="008715BE" w:rsidRPr="00EC75B7" w:rsidRDefault="00000000">
            <w:pPr>
              <w:pStyle w:val="TableParagraph"/>
              <w:spacing w:before="8"/>
              <w:ind w:left="105" w:right="129"/>
              <w:rPr>
                <w:rFonts w:ascii="Verdana" w:hAnsi="Verdana"/>
                <w:sz w:val="18"/>
                <w:szCs w:val="18"/>
              </w:rPr>
            </w:pPr>
            <w:r w:rsidRPr="00EC75B7">
              <w:rPr>
                <w:rFonts w:ascii="Verdana" w:hAnsi="Verdana"/>
                <w:sz w:val="18"/>
                <w:szCs w:val="18"/>
              </w:rPr>
              <w:t>Construction of the electrical network for discharging the energy produced by the wind power plant at the transformer station and the telecommunications network (fiber optics), transformer stations</w:t>
            </w:r>
          </w:p>
          <w:p w14:paraId="35DD9434" w14:textId="77777777" w:rsidR="008715BE" w:rsidRPr="00EC75B7" w:rsidRDefault="00000000">
            <w:pPr>
              <w:pStyle w:val="TableParagraph"/>
              <w:spacing w:line="138" w:lineRule="exact"/>
              <w:ind w:left="105"/>
              <w:rPr>
                <w:rFonts w:ascii="Verdana" w:hAnsi="Verdana"/>
                <w:sz w:val="18"/>
                <w:szCs w:val="18"/>
              </w:rPr>
            </w:pPr>
            <w:r w:rsidRPr="00EC75B7">
              <w:rPr>
                <w:rFonts w:ascii="Verdana" w:hAnsi="Verdana"/>
                <w:spacing w:val="-2"/>
                <w:sz w:val="18"/>
                <w:szCs w:val="18"/>
              </w:rPr>
              <w:t>Transformers</w:t>
            </w:r>
          </w:p>
        </w:tc>
        <w:tc>
          <w:tcPr>
            <w:tcW w:w="1048" w:type="dxa"/>
          </w:tcPr>
          <w:p w14:paraId="108B61EA" w14:textId="77777777" w:rsidR="008715BE" w:rsidRPr="00EC75B7" w:rsidRDefault="00000000">
            <w:pPr>
              <w:pStyle w:val="TableParagraph"/>
              <w:spacing w:before="8"/>
              <w:ind w:left="106" w:right="144"/>
              <w:rPr>
                <w:rFonts w:ascii="Verdana" w:hAnsi="Verdana"/>
                <w:sz w:val="18"/>
                <w:szCs w:val="18"/>
              </w:rPr>
            </w:pPr>
            <w:r w:rsidRPr="00EC75B7">
              <w:rPr>
                <w:rFonts w:ascii="Verdana" w:hAnsi="Verdana"/>
                <w:spacing w:val="-2"/>
                <w:sz w:val="18"/>
                <w:szCs w:val="18"/>
              </w:rPr>
              <w:t xml:space="preserve">Accidental spills </w:t>
            </w:r>
            <w:r w:rsidRPr="00EC75B7">
              <w:rPr>
                <w:rFonts w:ascii="Verdana" w:hAnsi="Verdana"/>
                <w:sz w:val="18"/>
                <w:szCs w:val="18"/>
              </w:rPr>
              <w:t xml:space="preserve">of </w:t>
            </w:r>
            <w:r w:rsidRPr="00EC75B7">
              <w:rPr>
                <w:rFonts w:ascii="Verdana" w:hAnsi="Verdana"/>
                <w:spacing w:val="-2"/>
                <w:sz w:val="18"/>
                <w:szCs w:val="18"/>
              </w:rPr>
              <w:t xml:space="preserve">petroleum </w:t>
            </w:r>
            <w:r w:rsidRPr="00EC75B7">
              <w:rPr>
                <w:rFonts w:ascii="Verdana" w:hAnsi="Verdana"/>
                <w:sz w:val="18"/>
                <w:szCs w:val="18"/>
              </w:rPr>
              <w:t>products from equipment—</w:t>
            </w:r>
            <w:r w:rsidRPr="00EC75B7">
              <w:rPr>
                <w:rFonts w:ascii="Verdana" w:hAnsi="Verdana"/>
                <w:spacing w:val="-2"/>
                <w:sz w:val="18"/>
                <w:szCs w:val="18"/>
              </w:rPr>
              <w:t xml:space="preserve">penetration </w:t>
            </w:r>
            <w:r w:rsidRPr="00EC75B7">
              <w:rPr>
                <w:rFonts w:ascii="Verdana" w:hAnsi="Verdana"/>
                <w:sz w:val="18"/>
                <w:szCs w:val="18"/>
              </w:rPr>
              <w:t>of pollutants into the soil</w:t>
            </w:r>
          </w:p>
        </w:tc>
        <w:tc>
          <w:tcPr>
            <w:tcW w:w="1274" w:type="dxa"/>
          </w:tcPr>
          <w:p w14:paraId="4E380B60"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AH</w:t>
            </w:r>
          </w:p>
        </w:tc>
        <w:tc>
          <w:tcPr>
            <w:tcW w:w="993" w:type="dxa"/>
          </w:tcPr>
          <w:p w14:paraId="571932A6"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708" w:type="dxa"/>
          </w:tcPr>
          <w:p w14:paraId="7CB8DCCC"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5AFB7DC9"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77" w:type="dxa"/>
          </w:tcPr>
          <w:p w14:paraId="7D1575A3"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3B4EE474"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5C9F01E4"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5B187A2B"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5513A481" w14:textId="77777777" w:rsidR="008715BE" w:rsidRPr="00EC75B7" w:rsidRDefault="00000000">
            <w:pPr>
              <w:pStyle w:val="TableParagraph"/>
              <w:spacing w:before="8"/>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2ACD98E7" w14:textId="77777777">
        <w:trPr>
          <w:trHeight w:val="1360"/>
        </w:trPr>
        <w:tc>
          <w:tcPr>
            <w:tcW w:w="542" w:type="dxa"/>
            <w:vMerge/>
            <w:tcBorders>
              <w:top w:val="nil"/>
            </w:tcBorders>
          </w:tcPr>
          <w:p w14:paraId="64602E3E" w14:textId="77777777" w:rsidR="008715BE" w:rsidRPr="00EC75B7" w:rsidRDefault="008715BE">
            <w:pPr>
              <w:rPr>
                <w:rFonts w:ascii="Verdana" w:hAnsi="Verdana"/>
                <w:sz w:val="18"/>
                <w:szCs w:val="18"/>
              </w:rPr>
            </w:pPr>
          </w:p>
        </w:tc>
        <w:tc>
          <w:tcPr>
            <w:tcW w:w="1800" w:type="dxa"/>
          </w:tcPr>
          <w:p w14:paraId="58DAF20A" w14:textId="77777777" w:rsidR="008715BE" w:rsidRPr="00EC75B7" w:rsidRDefault="00000000">
            <w:pPr>
              <w:pStyle w:val="TableParagraph"/>
              <w:spacing w:before="9" w:line="237" w:lineRule="auto"/>
              <w:ind w:left="105" w:right="104"/>
              <w:rPr>
                <w:rFonts w:ascii="Verdana" w:hAnsi="Verdana"/>
                <w:sz w:val="18"/>
                <w:szCs w:val="18"/>
              </w:rPr>
            </w:pPr>
            <w:r w:rsidRPr="00EC75B7">
              <w:rPr>
                <w:rFonts w:ascii="Verdana" w:hAnsi="Verdana"/>
                <w:sz w:val="18"/>
                <w:szCs w:val="18"/>
              </w:rPr>
              <w:t>Land rehabilitation works upon completion of construction</w:t>
            </w:r>
          </w:p>
        </w:tc>
        <w:tc>
          <w:tcPr>
            <w:tcW w:w="1048" w:type="dxa"/>
          </w:tcPr>
          <w:p w14:paraId="62844A97" w14:textId="77777777" w:rsidR="008715BE" w:rsidRPr="00EC75B7" w:rsidRDefault="00000000">
            <w:pPr>
              <w:pStyle w:val="TableParagraph"/>
              <w:spacing w:before="9" w:line="237" w:lineRule="auto"/>
              <w:ind w:left="106" w:right="108"/>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 species</w:t>
            </w:r>
          </w:p>
        </w:tc>
        <w:tc>
          <w:tcPr>
            <w:tcW w:w="1274" w:type="dxa"/>
          </w:tcPr>
          <w:p w14:paraId="082E5E59"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AH</w:t>
            </w:r>
          </w:p>
        </w:tc>
        <w:tc>
          <w:tcPr>
            <w:tcW w:w="993" w:type="dxa"/>
          </w:tcPr>
          <w:p w14:paraId="75E6277D" w14:textId="77777777" w:rsidR="008715BE" w:rsidRPr="00EC75B7" w:rsidRDefault="00000000">
            <w:pPr>
              <w:pStyle w:val="TableParagraph"/>
              <w:spacing w:before="9"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1985D83B" w14:textId="77777777" w:rsidR="008715BE" w:rsidRPr="00EC75B7" w:rsidRDefault="00000000">
            <w:pPr>
              <w:pStyle w:val="TableParagraph"/>
              <w:spacing w:before="9" w:line="237" w:lineRule="auto"/>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secondary</w:t>
            </w:r>
            <w:r w:rsidRPr="00EC75B7">
              <w:rPr>
                <w:rFonts w:ascii="Verdana" w:hAnsi="Verdana"/>
                <w:spacing w:val="-4"/>
                <w:sz w:val="18"/>
                <w:szCs w:val="18"/>
              </w:rPr>
              <w:t xml:space="preserve"> impacts identified</w:t>
            </w:r>
          </w:p>
          <w:p w14:paraId="3EC4FF9D" w14:textId="77777777" w:rsidR="008715BE" w:rsidRPr="00EC75B7" w:rsidRDefault="00000000">
            <w:pPr>
              <w:pStyle w:val="TableParagraph"/>
              <w:spacing w:before="5" w:line="142" w:lineRule="exact"/>
              <w:ind w:left="108"/>
              <w:rPr>
                <w:rFonts w:ascii="Verdana" w:hAnsi="Verdana"/>
                <w:sz w:val="18"/>
                <w:szCs w:val="18"/>
              </w:rPr>
            </w:pPr>
            <w:r w:rsidRPr="00EC75B7">
              <w:rPr>
                <w:rFonts w:ascii="Verdana" w:hAnsi="Verdana"/>
                <w:spacing w:val="-4"/>
                <w:sz w:val="18"/>
                <w:szCs w:val="18"/>
              </w:rPr>
              <w:t>No</w:t>
            </w:r>
          </w:p>
        </w:tc>
        <w:tc>
          <w:tcPr>
            <w:tcW w:w="991" w:type="dxa"/>
          </w:tcPr>
          <w:p w14:paraId="268EFC02" w14:textId="77777777" w:rsidR="008715BE" w:rsidRPr="00EC75B7" w:rsidRDefault="00000000">
            <w:pPr>
              <w:pStyle w:val="TableParagraph"/>
              <w:spacing w:before="9"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5666A7A0"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3B39893B"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295269B0"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59AD42D4"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66E99A34" w14:textId="77777777" w:rsidR="008715BE" w:rsidRPr="00EC75B7" w:rsidRDefault="00000000">
            <w:pPr>
              <w:pStyle w:val="TableParagraph"/>
              <w:spacing w:before="10" w:line="235" w:lineRule="auto"/>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7B2DBCC9" w14:textId="77777777">
        <w:trPr>
          <w:trHeight w:val="8167"/>
        </w:trPr>
        <w:tc>
          <w:tcPr>
            <w:tcW w:w="542" w:type="dxa"/>
            <w:textDirection w:val="btLr"/>
          </w:tcPr>
          <w:p w14:paraId="2C6FB1DB" w14:textId="77777777" w:rsidR="008715BE" w:rsidRPr="00EC75B7" w:rsidRDefault="008715BE">
            <w:pPr>
              <w:pStyle w:val="TableParagraph"/>
              <w:spacing w:before="22"/>
              <w:rPr>
                <w:rFonts w:ascii="Verdana" w:hAnsi="Verdana"/>
                <w:b/>
                <w:sz w:val="18"/>
                <w:szCs w:val="18"/>
              </w:rPr>
            </w:pPr>
          </w:p>
          <w:p w14:paraId="5406F387" w14:textId="77777777" w:rsidR="008715BE" w:rsidRPr="00EC75B7" w:rsidRDefault="00000000">
            <w:pPr>
              <w:pStyle w:val="TableParagraph"/>
              <w:ind w:left="-1" w:right="1"/>
              <w:jc w:val="center"/>
              <w:rPr>
                <w:rFonts w:ascii="Verdana" w:hAnsi="Verdana"/>
                <w:sz w:val="18"/>
                <w:szCs w:val="18"/>
              </w:rPr>
            </w:pPr>
            <w:r w:rsidRPr="00EC75B7">
              <w:rPr>
                <w:rFonts w:ascii="Verdana" w:hAnsi="Verdana"/>
                <w:spacing w:val="-2"/>
                <w:sz w:val="18"/>
                <w:szCs w:val="18"/>
              </w:rPr>
              <w:t>Operation</w:t>
            </w:r>
          </w:p>
        </w:tc>
        <w:tc>
          <w:tcPr>
            <w:tcW w:w="1800" w:type="dxa"/>
          </w:tcPr>
          <w:p w14:paraId="29B95B22" w14:textId="77777777" w:rsidR="008715BE" w:rsidRPr="00EC75B7" w:rsidRDefault="00000000">
            <w:pPr>
              <w:pStyle w:val="TableParagraph"/>
              <w:spacing w:before="8"/>
              <w:ind w:left="105" w:right="155"/>
              <w:rPr>
                <w:rFonts w:ascii="Verdana" w:hAnsi="Verdana"/>
                <w:sz w:val="18"/>
                <w:szCs w:val="18"/>
              </w:rPr>
            </w:pPr>
            <w:r w:rsidRPr="00EC75B7">
              <w:rPr>
                <w:rFonts w:ascii="Verdana" w:hAnsi="Verdana"/>
                <w:spacing w:val="-2"/>
                <w:sz w:val="18"/>
                <w:szCs w:val="18"/>
              </w:rPr>
              <w:t xml:space="preserve">Conducting </w:t>
            </w:r>
            <w:r w:rsidRPr="00EC75B7">
              <w:rPr>
                <w:rFonts w:ascii="Verdana" w:hAnsi="Verdana"/>
                <w:sz w:val="18"/>
                <w:szCs w:val="18"/>
              </w:rPr>
              <w:t>energy production activities</w:t>
            </w:r>
          </w:p>
        </w:tc>
        <w:tc>
          <w:tcPr>
            <w:tcW w:w="1048" w:type="dxa"/>
          </w:tcPr>
          <w:p w14:paraId="46EA0011"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levels</w:t>
            </w:r>
          </w:p>
        </w:tc>
        <w:tc>
          <w:tcPr>
            <w:tcW w:w="1274" w:type="dxa"/>
          </w:tcPr>
          <w:p w14:paraId="1A11686A"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PAS</w:t>
            </w:r>
          </w:p>
        </w:tc>
        <w:tc>
          <w:tcPr>
            <w:tcW w:w="993" w:type="dxa"/>
          </w:tcPr>
          <w:p w14:paraId="28DF74FD"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708" w:type="dxa"/>
          </w:tcPr>
          <w:p w14:paraId="1F97D685"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1F0D602B"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5F2F1FC5" w14:textId="77777777" w:rsidR="008715BE" w:rsidRPr="00EC75B7" w:rsidRDefault="00000000">
            <w:pPr>
              <w:pStyle w:val="TableParagraph"/>
              <w:spacing w:before="8"/>
              <w:ind w:left="111" w:right="151"/>
              <w:rPr>
                <w:rFonts w:ascii="Verdana" w:hAnsi="Verdana"/>
                <w:sz w:val="18"/>
                <w:szCs w:val="18"/>
              </w:rPr>
            </w:pPr>
            <w:r w:rsidRPr="00EC75B7">
              <w:rPr>
                <w:rFonts w:ascii="Verdana" w:hAnsi="Verdana"/>
                <w:sz w:val="18"/>
                <w:szCs w:val="18"/>
              </w:rPr>
              <w:t xml:space="preserve">Direct </w:t>
            </w:r>
            <w:r w:rsidRPr="00EC75B7">
              <w:rPr>
                <w:rFonts w:ascii="Verdana" w:hAnsi="Verdana"/>
                <w:spacing w:val="-4"/>
                <w:sz w:val="18"/>
                <w:szCs w:val="18"/>
              </w:rPr>
              <w:t xml:space="preserve">long-term </w:t>
            </w:r>
            <w:r w:rsidRPr="00EC75B7">
              <w:rPr>
                <w:rFonts w:ascii="Verdana" w:hAnsi="Verdana"/>
                <w:sz w:val="18"/>
                <w:szCs w:val="18"/>
              </w:rPr>
              <w:t>impact</w:t>
            </w:r>
          </w:p>
        </w:tc>
        <w:tc>
          <w:tcPr>
            <w:tcW w:w="2708" w:type="dxa"/>
          </w:tcPr>
          <w:p w14:paraId="2DE2B3B7" w14:textId="77777777" w:rsidR="008715BE" w:rsidRPr="00EC75B7" w:rsidRDefault="00000000">
            <w:pPr>
              <w:pStyle w:val="TableParagraph"/>
              <w:spacing w:before="9" w:line="237" w:lineRule="auto"/>
              <w:ind w:left="111" w:right="126"/>
              <w:rPr>
                <w:rFonts w:ascii="Verdana" w:hAnsi="Verdana"/>
                <w:i/>
                <w:sz w:val="18"/>
                <w:szCs w:val="18"/>
              </w:rPr>
            </w:pPr>
            <w:r w:rsidRPr="00EC75B7">
              <w:rPr>
                <w:rFonts w:ascii="Verdana" w:hAnsi="Verdana"/>
                <w:i/>
                <w:sz w:val="18"/>
                <w:szCs w:val="18"/>
              </w:rPr>
              <w:t>Accipiter brevipes, Anthus campestris, Aquila pomarina, Bubo bubo, Buteo rufinus, Caprimulgus europaeus, Circus cyaneus, Circus macrourus, Circus pygargus, Coracias garrulus,</w:t>
            </w:r>
          </w:p>
          <w:p w14:paraId="6D154394" w14:textId="77777777" w:rsidR="008715BE" w:rsidRPr="00EC75B7" w:rsidRDefault="00000000">
            <w:pPr>
              <w:pStyle w:val="TableParagraph"/>
              <w:spacing w:before="4"/>
              <w:ind w:left="111"/>
              <w:rPr>
                <w:rFonts w:ascii="Verdana" w:hAnsi="Verdana"/>
                <w:i/>
                <w:sz w:val="18"/>
                <w:szCs w:val="18"/>
              </w:rPr>
            </w:pPr>
            <w:r w:rsidRPr="00EC75B7">
              <w:rPr>
                <w:rFonts w:ascii="Verdana" w:hAnsi="Verdana"/>
                <w:i/>
                <w:sz w:val="18"/>
                <w:szCs w:val="18"/>
              </w:rPr>
              <w:t>Falco peregrinus, Hieraaetus pennatus, Lanius collurio, Lanius minor, Melanocorypha calandra, Milvus migrans, Pernis apivorus</w:t>
            </w:r>
          </w:p>
        </w:tc>
        <w:tc>
          <w:tcPr>
            <w:tcW w:w="1440" w:type="dxa"/>
          </w:tcPr>
          <w:p w14:paraId="63CE6545" w14:textId="77777777" w:rsidR="008715BE" w:rsidRPr="00EC75B7" w:rsidRDefault="00000000">
            <w:pPr>
              <w:pStyle w:val="TableParagraph"/>
              <w:spacing w:before="8"/>
              <w:ind w:left="108" w:right="115"/>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migration/Species </w:t>
            </w:r>
            <w:r w:rsidRPr="00EC75B7">
              <w:rPr>
                <w:rFonts w:ascii="Verdana" w:hAnsi="Verdana"/>
                <w:b/>
                <w:sz w:val="18"/>
                <w:szCs w:val="18"/>
              </w:rPr>
              <w:t xml:space="preserve">associated with </w:t>
            </w:r>
            <w:r w:rsidRPr="00EC75B7">
              <w:rPr>
                <w:rFonts w:ascii="Verdana" w:hAnsi="Verdana"/>
                <w:b/>
                <w:spacing w:val="-2"/>
                <w:sz w:val="18"/>
                <w:szCs w:val="18"/>
              </w:rPr>
              <w:t>extensively used agricultural land</w:t>
            </w:r>
          </w:p>
          <w:p w14:paraId="0010067A" w14:textId="77777777" w:rsidR="008715BE" w:rsidRPr="00EC75B7" w:rsidRDefault="00000000">
            <w:pPr>
              <w:pStyle w:val="TableParagraph"/>
              <w:ind w:left="108" w:right="115"/>
              <w:rPr>
                <w:rFonts w:ascii="Verdana" w:hAnsi="Verdana"/>
                <w:i/>
                <w:sz w:val="18"/>
                <w:szCs w:val="18"/>
              </w:rPr>
            </w:pPr>
            <w:r w:rsidRPr="00EC75B7">
              <w:rPr>
                <w:rFonts w:ascii="Verdana" w:hAnsi="Verdana"/>
                <w:i/>
                <w:sz w:val="18"/>
                <w:szCs w:val="18"/>
              </w:rPr>
              <w:t xml:space="preserve">Alauda arvensis, </w:t>
            </w:r>
            <w:r w:rsidRPr="00EC75B7">
              <w:rPr>
                <w:rFonts w:ascii="Verdana" w:hAnsi="Verdana"/>
                <w:i/>
                <w:spacing w:val="-2"/>
                <w:sz w:val="18"/>
                <w:szCs w:val="18"/>
              </w:rPr>
              <w:t>Carduelis cannabina, Carduelis carduelis, Coturnix coturnix, Emberiza melanocephala, Falco tinnunculus, Fringilla montifringilla,</w:t>
            </w:r>
            <w:r w:rsidRPr="00EC75B7">
              <w:rPr>
                <w:rFonts w:ascii="Verdana" w:hAnsi="Verdana"/>
                <w:i/>
                <w:spacing w:val="40"/>
                <w:sz w:val="18"/>
                <w:szCs w:val="18"/>
              </w:rPr>
              <w:t xml:space="preserve"> </w:t>
            </w:r>
            <w:r w:rsidRPr="00EC75B7">
              <w:rPr>
                <w:rFonts w:ascii="Verdana" w:hAnsi="Verdana"/>
                <w:i/>
                <w:sz w:val="18"/>
                <w:szCs w:val="18"/>
              </w:rPr>
              <w:t xml:space="preserve">Galerida cristata, Lanius excubitor, Lanius senator, Merops apiaster, </w:t>
            </w:r>
            <w:r w:rsidRPr="00EC75B7">
              <w:rPr>
                <w:rFonts w:ascii="Verdana" w:hAnsi="Verdana"/>
                <w:i/>
                <w:spacing w:val="-2"/>
                <w:sz w:val="18"/>
                <w:szCs w:val="18"/>
              </w:rPr>
              <w:t xml:space="preserve">Miliaria calandra, </w:t>
            </w:r>
            <w:r w:rsidRPr="00EC75B7">
              <w:rPr>
                <w:rFonts w:ascii="Verdana" w:hAnsi="Verdana"/>
                <w:i/>
                <w:sz w:val="18"/>
                <w:szCs w:val="18"/>
              </w:rPr>
              <w:t xml:space="preserve">Motacilla alba, Motacilla flava, </w:t>
            </w:r>
            <w:r w:rsidRPr="00EC75B7">
              <w:rPr>
                <w:rFonts w:ascii="Verdana" w:hAnsi="Verdana"/>
                <w:i/>
                <w:spacing w:val="-2"/>
                <w:sz w:val="18"/>
                <w:szCs w:val="18"/>
              </w:rPr>
              <w:t xml:space="preserve">Oenanthe isabellina, Oenanthe oenanthe, Saxicola torquata, Streptopelia </w:t>
            </w:r>
            <w:r w:rsidRPr="00EC75B7">
              <w:rPr>
                <w:rFonts w:ascii="Verdana" w:hAnsi="Verdana"/>
                <w:i/>
                <w:sz w:val="18"/>
                <w:szCs w:val="18"/>
              </w:rPr>
              <w:t xml:space="preserve">turtur, Sturnus </w:t>
            </w:r>
            <w:r w:rsidRPr="00EC75B7">
              <w:rPr>
                <w:rFonts w:ascii="Verdana" w:hAnsi="Verdana"/>
                <w:i/>
                <w:spacing w:val="-2"/>
                <w:sz w:val="18"/>
                <w:szCs w:val="18"/>
              </w:rPr>
              <w:t>roseus</w:t>
            </w:r>
            <w:r w:rsidRPr="00EC75B7">
              <w:rPr>
                <w:rFonts w:ascii="Verdana" w:hAnsi="Verdana"/>
                <w:i/>
                <w:spacing w:val="40"/>
                <w:sz w:val="18"/>
                <w:szCs w:val="18"/>
              </w:rPr>
              <w:t xml:space="preserve">  </w:t>
            </w:r>
            <w:r w:rsidRPr="00EC75B7">
              <w:rPr>
                <w:rFonts w:ascii="Verdana" w:hAnsi="Verdana"/>
                <w:i/>
                <w:spacing w:val="-2"/>
                <w:sz w:val="18"/>
                <w:szCs w:val="18"/>
              </w:rPr>
              <w:t xml:space="preserve"> (alternative name </w:t>
            </w:r>
            <w:r w:rsidRPr="00EC75B7">
              <w:rPr>
                <w:rFonts w:ascii="Verdana" w:hAnsi="Verdana"/>
                <w:i/>
                <w:sz w:val="18"/>
                <w:szCs w:val="18"/>
              </w:rPr>
              <w:t>Pastor roseus), Turdus iliacus, Upupa epops</w:t>
            </w:r>
          </w:p>
        </w:tc>
        <w:tc>
          <w:tcPr>
            <w:tcW w:w="1080" w:type="dxa"/>
          </w:tcPr>
          <w:p w14:paraId="01D513D9" w14:textId="77777777" w:rsidR="008715BE" w:rsidRPr="00EC75B7" w:rsidRDefault="00000000">
            <w:pPr>
              <w:pStyle w:val="TableParagraph"/>
              <w:spacing w:before="8"/>
              <w:ind w:left="108" w:right="100"/>
              <w:rPr>
                <w:rFonts w:ascii="Verdana" w:hAnsi="Verdana"/>
                <w:i/>
                <w:sz w:val="18"/>
                <w:szCs w:val="18"/>
              </w:rPr>
            </w:pPr>
            <w:r w:rsidRPr="00EC75B7">
              <w:rPr>
                <w:rFonts w:ascii="Verdana" w:hAnsi="Verdana"/>
                <w:b/>
                <w:spacing w:val="-2"/>
                <w:sz w:val="18"/>
                <w:szCs w:val="18"/>
              </w:rPr>
              <w:t>Associated species</w:t>
            </w:r>
            <w:r w:rsidRPr="00EC75B7">
              <w:rPr>
                <w:rFonts w:ascii="Verdana" w:hAnsi="Verdana"/>
                <w:b/>
                <w:spacing w:val="80"/>
                <w:sz w:val="18"/>
                <w:szCs w:val="18"/>
              </w:rPr>
              <w:t xml:space="preserve">  </w:t>
            </w:r>
            <w:r w:rsidRPr="00EC75B7">
              <w:rPr>
                <w:rFonts w:ascii="Verdana" w:hAnsi="Verdana"/>
                <w:b/>
                <w:spacing w:val="-2"/>
                <w:sz w:val="18"/>
                <w:szCs w:val="18"/>
              </w:rPr>
              <w:t xml:space="preserve"> </w:t>
            </w:r>
            <w:r w:rsidRPr="00EC75B7">
              <w:rPr>
                <w:rFonts w:ascii="Verdana" w:hAnsi="Verdana"/>
                <w:b/>
                <w:spacing w:val="40"/>
                <w:sz w:val="18"/>
                <w:szCs w:val="18"/>
              </w:rPr>
              <w:t xml:space="preserve">  </w:t>
            </w:r>
            <w:r w:rsidRPr="00EC75B7">
              <w:rPr>
                <w:rFonts w:ascii="Verdana" w:hAnsi="Verdana"/>
                <w:b/>
                <w:spacing w:val="-2"/>
                <w:sz w:val="18"/>
                <w:szCs w:val="18"/>
              </w:rPr>
              <w:t xml:space="preserve">  </w:t>
            </w:r>
            <w:r w:rsidRPr="00EC75B7">
              <w:rPr>
                <w:rFonts w:ascii="Verdana" w:hAnsi="Verdana"/>
                <w:b/>
                <w:sz w:val="18"/>
                <w:szCs w:val="18"/>
              </w:rPr>
              <w:t xml:space="preserve">forest </w:t>
            </w:r>
            <w:r w:rsidRPr="00EC75B7">
              <w:rPr>
                <w:rFonts w:ascii="Verdana" w:hAnsi="Verdana"/>
                <w:b/>
                <w:spacing w:val="-2"/>
                <w:sz w:val="18"/>
                <w:szCs w:val="18"/>
              </w:rPr>
              <w:t xml:space="preserve">habitats </w:t>
            </w:r>
            <w:r w:rsidRPr="00EC75B7">
              <w:rPr>
                <w:rFonts w:ascii="Verdana" w:hAnsi="Verdana"/>
                <w:i/>
                <w:spacing w:val="-2"/>
                <w:sz w:val="18"/>
                <w:szCs w:val="18"/>
              </w:rPr>
              <w:t xml:space="preserve">Carduelis chloris, Carduelis spinus, Coccothraus </w:t>
            </w:r>
            <w:r w:rsidRPr="00EC75B7">
              <w:rPr>
                <w:rFonts w:ascii="Verdana" w:hAnsi="Verdana"/>
                <w:i/>
                <w:spacing w:val="-4"/>
                <w:sz w:val="18"/>
                <w:szCs w:val="18"/>
              </w:rPr>
              <w:t xml:space="preserve">tes </w:t>
            </w:r>
            <w:r w:rsidRPr="00EC75B7">
              <w:rPr>
                <w:rFonts w:ascii="Verdana" w:hAnsi="Verdana"/>
                <w:i/>
                <w:spacing w:val="-2"/>
                <w:sz w:val="18"/>
                <w:szCs w:val="18"/>
              </w:rPr>
              <w:t xml:space="preserve">coccothraus </w:t>
            </w:r>
            <w:r w:rsidRPr="00EC75B7">
              <w:rPr>
                <w:rFonts w:ascii="Verdana" w:hAnsi="Verdana"/>
                <w:i/>
                <w:sz w:val="18"/>
                <w:szCs w:val="18"/>
              </w:rPr>
              <w:t xml:space="preserve">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 xml:space="preserve">torquilla, Muscicapa striata, Oriolus oriolus, Phylloscopu </w:t>
            </w:r>
            <w:r w:rsidRPr="00EC75B7">
              <w:rPr>
                <w:rFonts w:ascii="Verdana" w:hAnsi="Verdana"/>
                <w:i/>
                <w:sz w:val="18"/>
                <w:szCs w:val="18"/>
              </w:rPr>
              <w:t>s collybita,</w:t>
            </w:r>
            <w:r w:rsidRPr="00EC75B7">
              <w:rPr>
                <w:rFonts w:ascii="Verdana" w:hAnsi="Verdana"/>
                <w:i/>
                <w:spacing w:val="40"/>
                <w:sz w:val="18"/>
                <w:szCs w:val="18"/>
              </w:rPr>
              <w:t xml:space="preserve"> </w:t>
            </w:r>
            <w:r w:rsidRPr="00EC75B7">
              <w:rPr>
                <w:rFonts w:ascii="Verdana" w:hAnsi="Verdana"/>
                <w:i/>
                <w:spacing w:val="-2"/>
                <w:sz w:val="18"/>
                <w:szCs w:val="18"/>
              </w:rPr>
              <w:t xml:space="preserve">Phylloscopu </w:t>
            </w:r>
            <w:r w:rsidRPr="00EC75B7">
              <w:rPr>
                <w:rFonts w:ascii="Verdana" w:hAnsi="Verdana"/>
                <w:i/>
                <w:sz w:val="18"/>
                <w:szCs w:val="18"/>
              </w:rPr>
              <w:t xml:space="preserve">s sibilatrix, </w:t>
            </w:r>
            <w:r w:rsidRPr="00EC75B7">
              <w:rPr>
                <w:rFonts w:ascii="Verdana" w:hAnsi="Verdana"/>
                <w:i/>
                <w:spacing w:val="-2"/>
                <w:sz w:val="18"/>
                <w:szCs w:val="18"/>
              </w:rPr>
              <w:t xml:space="preserve">Phylloscopu </w:t>
            </w:r>
            <w:r w:rsidRPr="00EC75B7">
              <w:rPr>
                <w:rFonts w:ascii="Verdana" w:hAnsi="Verdana"/>
                <w:i/>
                <w:sz w:val="18"/>
                <w:szCs w:val="18"/>
              </w:rPr>
              <w:t xml:space="preserve">s trochilus, </w:t>
            </w:r>
            <w:r w:rsidRPr="00EC75B7">
              <w:rPr>
                <w:rFonts w:ascii="Verdana" w:hAnsi="Verdana"/>
                <w:i/>
                <w:spacing w:val="-2"/>
                <w:sz w:val="18"/>
                <w:szCs w:val="18"/>
              </w:rPr>
              <w:t>Pyrrhula pyrrhula, Regulus ignicapillus, Regulus regulus, Serinus serinus, Sturnus vulgaris, Sylvia atricapilla, Sylvia curruca, Turdus merula, Turdus</w:t>
            </w:r>
          </w:p>
          <w:p w14:paraId="66670EAC" w14:textId="77777777" w:rsidR="008715BE" w:rsidRPr="00EC75B7" w:rsidRDefault="00000000">
            <w:pPr>
              <w:pStyle w:val="TableParagraph"/>
              <w:spacing w:line="107" w:lineRule="exact"/>
              <w:ind w:left="108"/>
              <w:rPr>
                <w:rFonts w:ascii="Verdana" w:hAnsi="Verdana"/>
                <w:i/>
                <w:sz w:val="18"/>
                <w:szCs w:val="18"/>
              </w:rPr>
            </w:pPr>
            <w:r w:rsidRPr="00EC75B7">
              <w:rPr>
                <w:rFonts w:ascii="Verdana" w:hAnsi="Verdana"/>
                <w:i/>
                <w:spacing w:val="-2"/>
                <w:sz w:val="18"/>
                <w:szCs w:val="18"/>
              </w:rPr>
              <w:t>philomelos,</w:t>
            </w:r>
          </w:p>
        </w:tc>
        <w:tc>
          <w:tcPr>
            <w:tcW w:w="989" w:type="dxa"/>
          </w:tcPr>
          <w:p w14:paraId="1AAAD5BD" w14:textId="77777777" w:rsidR="008715BE" w:rsidRPr="00EC75B7" w:rsidRDefault="00000000">
            <w:pPr>
              <w:pStyle w:val="TableParagraph"/>
              <w:spacing w:before="8"/>
              <w:ind w:left="108" w:right="104"/>
              <w:rPr>
                <w:rFonts w:ascii="Verdana" w:hAnsi="Verdana"/>
                <w:i/>
                <w:sz w:val="18"/>
                <w:szCs w:val="18"/>
              </w:rPr>
            </w:pPr>
            <w:r w:rsidRPr="00EC75B7">
              <w:rPr>
                <w:rFonts w:ascii="Verdana" w:hAnsi="Verdana"/>
                <w:b/>
                <w:spacing w:val="-2"/>
                <w:sz w:val="18"/>
                <w:szCs w:val="18"/>
              </w:rPr>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reedbed habitats </w:t>
            </w:r>
            <w:r w:rsidRPr="00EC75B7">
              <w:rPr>
                <w:rFonts w:ascii="Verdana" w:hAnsi="Verdana"/>
                <w:i/>
                <w:spacing w:val="-2"/>
                <w:sz w:val="18"/>
                <w:szCs w:val="18"/>
              </w:rPr>
              <w:t>Acrocephal</w:t>
            </w:r>
            <w:r w:rsidRPr="00EC75B7">
              <w:rPr>
                <w:rFonts w:ascii="Verdana" w:hAnsi="Verdana"/>
                <w:i/>
                <w:spacing w:val="-6"/>
                <w:sz w:val="18"/>
                <w:szCs w:val="18"/>
              </w:rPr>
              <w:t xml:space="preserve">us </w:t>
            </w:r>
            <w:r w:rsidRPr="00EC75B7">
              <w:rPr>
                <w:rFonts w:ascii="Verdana" w:hAnsi="Verdana"/>
                <w:i/>
                <w:spacing w:val="-4"/>
                <w:sz w:val="18"/>
                <w:szCs w:val="18"/>
              </w:rPr>
              <w:t xml:space="preserve">arundinaceus, </w:t>
            </w:r>
            <w:r w:rsidRPr="00EC75B7">
              <w:rPr>
                <w:rFonts w:ascii="Verdana" w:hAnsi="Verdana"/>
                <w:i/>
                <w:spacing w:val="-6"/>
                <w:sz w:val="18"/>
                <w:szCs w:val="18"/>
              </w:rPr>
              <w:t xml:space="preserve">Acrocephalus </w:t>
            </w:r>
            <w:r w:rsidRPr="00EC75B7">
              <w:rPr>
                <w:rFonts w:ascii="Verdana" w:hAnsi="Verdana"/>
                <w:i/>
                <w:spacing w:val="-2"/>
                <w:sz w:val="18"/>
                <w:szCs w:val="18"/>
              </w:rPr>
              <w:t>palustris, Acrocephal</w:t>
            </w:r>
            <w:r w:rsidRPr="00EC75B7">
              <w:rPr>
                <w:rFonts w:ascii="Verdana" w:hAnsi="Verdana"/>
                <w:i/>
                <w:spacing w:val="-6"/>
                <w:sz w:val="18"/>
                <w:szCs w:val="18"/>
              </w:rPr>
              <w:t xml:space="preserve">us </w:t>
            </w:r>
            <w:r w:rsidRPr="00EC75B7">
              <w:rPr>
                <w:rFonts w:ascii="Verdana" w:hAnsi="Verdana"/>
                <w:i/>
                <w:spacing w:val="-4"/>
                <w:sz w:val="18"/>
                <w:szCs w:val="18"/>
              </w:rPr>
              <w:t xml:space="preserve">schoenobaneus, </w:t>
            </w:r>
            <w:r w:rsidRPr="00EC75B7">
              <w:rPr>
                <w:rFonts w:ascii="Verdana" w:hAnsi="Verdana"/>
                <w:i/>
                <w:spacing w:val="-6"/>
                <w:sz w:val="18"/>
                <w:szCs w:val="18"/>
              </w:rPr>
              <w:t xml:space="preserve">Acrocephalus </w:t>
            </w:r>
            <w:r w:rsidRPr="00EC75B7">
              <w:rPr>
                <w:rFonts w:ascii="Verdana" w:hAnsi="Verdana"/>
                <w:i/>
                <w:spacing w:val="-2"/>
                <w:sz w:val="18"/>
                <w:szCs w:val="18"/>
              </w:rPr>
              <w:t>scirpaceus</w:t>
            </w:r>
          </w:p>
          <w:p w14:paraId="26D68196" w14:textId="77777777" w:rsidR="008715BE" w:rsidRPr="00EC75B7" w:rsidRDefault="00000000">
            <w:pPr>
              <w:pStyle w:val="TableParagraph"/>
              <w:spacing w:line="156" w:lineRule="exact"/>
              <w:ind w:left="108"/>
              <w:rPr>
                <w:rFonts w:ascii="Verdana" w:hAnsi="Verdana"/>
                <w:i/>
                <w:sz w:val="18"/>
                <w:szCs w:val="18"/>
              </w:rPr>
            </w:pPr>
            <w:r w:rsidRPr="00EC75B7">
              <w:rPr>
                <w:rFonts w:ascii="Verdana" w:hAnsi="Verdana"/>
                <w:i/>
                <w:spacing w:val="-10"/>
                <w:sz w:val="18"/>
                <w:szCs w:val="18"/>
              </w:rPr>
              <w:t>,</w:t>
            </w:r>
          </w:p>
          <w:p w14:paraId="0E362DBD" w14:textId="77777777" w:rsidR="008715BE" w:rsidRPr="00EC75B7" w:rsidRDefault="00000000">
            <w:pPr>
              <w:pStyle w:val="TableParagraph"/>
              <w:spacing w:before="1" w:line="237" w:lineRule="auto"/>
              <w:ind w:left="108" w:right="104"/>
              <w:rPr>
                <w:rFonts w:ascii="Verdana" w:hAnsi="Verdana"/>
                <w:i/>
                <w:sz w:val="18"/>
                <w:szCs w:val="18"/>
              </w:rPr>
            </w:pPr>
            <w:r w:rsidRPr="00EC75B7">
              <w:rPr>
                <w:rFonts w:ascii="Verdana" w:hAnsi="Verdana"/>
                <w:i/>
                <w:spacing w:val="-2"/>
                <w:sz w:val="18"/>
                <w:szCs w:val="18"/>
              </w:rPr>
              <w:t xml:space="preserve">Locustella fluviatilis, Locustella </w:t>
            </w:r>
            <w:r w:rsidRPr="00EC75B7">
              <w:rPr>
                <w:rFonts w:ascii="Verdana" w:hAnsi="Verdana"/>
                <w:i/>
                <w:sz w:val="18"/>
                <w:szCs w:val="18"/>
              </w:rPr>
              <w:t xml:space="preserve">luscinioides, Riparia </w:t>
            </w:r>
            <w:r w:rsidRPr="00EC75B7">
              <w:rPr>
                <w:rFonts w:ascii="Verdana" w:hAnsi="Verdana"/>
                <w:i/>
                <w:spacing w:val="-2"/>
                <w:sz w:val="18"/>
                <w:szCs w:val="18"/>
              </w:rPr>
              <w:t>riparia</w:t>
            </w:r>
          </w:p>
        </w:tc>
        <w:tc>
          <w:tcPr>
            <w:tcW w:w="4140" w:type="dxa"/>
          </w:tcPr>
          <w:p w14:paraId="4F8561C2"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sz w:val="18"/>
                <w:szCs w:val="18"/>
              </w:rPr>
              <w:t xml:space="preserve">Species associated with rocky habitats and </w:t>
            </w:r>
            <w:r w:rsidRPr="00EC75B7">
              <w:rPr>
                <w:rFonts w:ascii="Verdana" w:hAnsi="Verdana"/>
                <w:b/>
                <w:spacing w:val="-2"/>
                <w:sz w:val="18"/>
                <w:szCs w:val="18"/>
              </w:rPr>
              <w:t>urban</w:t>
            </w:r>
            <w:r w:rsidRPr="00EC75B7">
              <w:rPr>
                <w:rFonts w:ascii="Verdana" w:hAnsi="Verdana"/>
                <w:b/>
                <w:sz w:val="18"/>
                <w:szCs w:val="18"/>
              </w:rPr>
              <w:t xml:space="preserve"> areas</w:t>
            </w:r>
          </w:p>
          <w:p w14:paraId="4B042EDC" w14:textId="77777777" w:rsidR="008715BE" w:rsidRPr="00EC75B7" w:rsidRDefault="00000000">
            <w:pPr>
              <w:pStyle w:val="TableParagraph"/>
              <w:spacing w:line="170" w:lineRule="exact"/>
              <w:ind w:left="110"/>
              <w:rPr>
                <w:rFonts w:ascii="Verdana" w:hAnsi="Verdana"/>
                <w:i/>
                <w:sz w:val="18"/>
                <w:szCs w:val="18"/>
              </w:rPr>
            </w:pPr>
            <w:r w:rsidRPr="00EC75B7">
              <w:rPr>
                <w:rFonts w:ascii="Verdana" w:hAnsi="Verdana"/>
                <w:i/>
                <w:sz w:val="18"/>
                <w:szCs w:val="18"/>
              </w:rPr>
              <w:t xml:space="preserve">Monticola saxatilis, Hirundo daurica, Hirundo </w:t>
            </w:r>
            <w:r w:rsidRPr="00EC75B7">
              <w:rPr>
                <w:rFonts w:ascii="Verdana" w:hAnsi="Verdana"/>
                <w:i/>
                <w:spacing w:val="-2"/>
                <w:sz w:val="18"/>
                <w:szCs w:val="18"/>
              </w:rPr>
              <w:t>rustica</w:t>
            </w:r>
          </w:p>
        </w:tc>
        <w:tc>
          <w:tcPr>
            <w:tcW w:w="1080" w:type="dxa"/>
          </w:tcPr>
          <w:p w14:paraId="7A869086"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Population size trend</w:t>
            </w:r>
          </w:p>
        </w:tc>
        <w:tc>
          <w:tcPr>
            <w:tcW w:w="1260" w:type="dxa"/>
          </w:tcPr>
          <w:p w14:paraId="17636662" w14:textId="77777777" w:rsidR="008715BE" w:rsidRPr="00EC75B7" w:rsidRDefault="00000000">
            <w:pPr>
              <w:pStyle w:val="TableParagraph"/>
              <w:spacing w:before="9" w:line="237" w:lineRule="auto"/>
              <w:ind w:left="111" w:right="106"/>
              <w:rPr>
                <w:rFonts w:ascii="Verdana" w:hAnsi="Verdana"/>
                <w:sz w:val="18"/>
                <w:szCs w:val="18"/>
              </w:rPr>
            </w:pPr>
            <w:r w:rsidRPr="00EC75B7">
              <w:rPr>
                <w:rFonts w:ascii="Verdana" w:hAnsi="Verdana"/>
                <w:spacing w:val="-2"/>
                <w:sz w:val="18"/>
                <w:szCs w:val="18"/>
              </w:rPr>
              <w:t xml:space="preserve">Possible </w:t>
            </w:r>
            <w:r w:rsidRPr="00EC75B7">
              <w:rPr>
                <w:rFonts w:ascii="Verdana" w:hAnsi="Verdana"/>
                <w:sz w:val="18"/>
                <w:szCs w:val="18"/>
              </w:rPr>
              <w:t xml:space="preserve">disturbance of the activity of a maximum of 2 </w:t>
            </w:r>
            <w:r w:rsidRPr="00EC75B7">
              <w:rPr>
                <w:rFonts w:ascii="Verdana" w:hAnsi="Verdana"/>
                <w:spacing w:val="-4"/>
                <w:sz w:val="18"/>
                <w:szCs w:val="18"/>
              </w:rPr>
              <w:t>to</w:t>
            </w:r>
          </w:p>
          <w:p w14:paraId="5B5B8143" w14:textId="77777777" w:rsidR="008715BE" w:rsidRPr="00EC75B7" w:rsidRDefault="00000000">
            <w:pPr>
              <w:pStyle w:val="TableParagraph"/>
              <w:spacing w:before="2"/>
              <w:ind w:left="111" w:right="124"/>
              <w:rPr>
                <w:rFonts w:ascii="Verdana" w:hAnsi="Verdana"/>
                <w:sz w:val="18"/>
                <w:szCs w:val="18"/>
              </w:rPr>
            </w:pPr>
            <w:r w:rsidRPr="00EC75B7">
              <w:rPr>
                <w:rFonts w:ascii="Verdana" w:hAnsi="Verdana"/>
                <w:sz w:val="18"/>
                <w:szCs w:val="18"/>
              </w:rPr>
              <w:t xml:space="preserve">to 3 individuals The effects will be felt locally, at distances that are not likely to </w:t>
            </w:r>
            <w:r w:rsidRPr="00EC75B7">
              <w:rPr>
                <w:rFonts w:ascii="Verdana" w:hAnsi="Verdana"/>
                <w:spacing w:val="-2"/>
                <w:sz w:val="18"/>
                <w:szCs w:val="18"/>
              </w:rPr>
              <w:t xml:space="preserve">affect </w:t>
            </w:r>
            <w:r w:rsidRPr="00EC75B7">
              <w:rPr>
                <w:rFonts w:ascii="Verdana" w:hAnsi="Verdana"/>
                <w:sz w:val="18"/>
                <w:szCs w:val="18"/>
              </w:rPr>
              <w:t xml:space="preserve">sensitive </w:t>
            </w:r>
            <w:r w:rsidRPr="00EC75B7">
              <w:rPr>
                <w:rFonts w:ascii="Verdana" w:hAnsi="Verdana"/>
                <w:spacing w:val="-2"/>
                <w:sz w:val="18"/>
                <w:szCs w:val="18"/>
              </w:rPr>
              <w:t xml:space="preserve">receptors </w:t>
            </w:r>
            <w:r w:rsidRPr="00EC75B7">
              <w:rPr>
                <w:rFonts w:ascii="Verdana" w:hAnsi="Verdana"/>
                <w:sz w:val="18"/>
                <w:szCs w:val="18"/>
              </w:rPr>
              <w:t xml:space="preserve">in </w:t>
            </w:r>
            <w:r w:rsidRPr="00EC75B7">
              <w:rPr>
                <w:rFonts w:ascii="Verdana" w:hAnsi="Verdana"/>
                <w:spacing w:val="-4"/>
                <w:sz w:val="18"/>
                <w:szCs w:val="18"/>
              </w:rPr>
              <w:t>the area</w:t>
            </w:r>
          </w:p>
          <w:p w14:paraId="607AC200" w14:textId="77777777" w:rsidR="008715BE" w:rsidRPr="00EC75B7" w:rsidRDefault="00000000">
            <w:pPr>
              <w:pStyle w:val="TableParagraph"/>
              <w:ind w:left="111" w:right="106"/>
              <w:rPr>
                <w:rFonts w:ascii="Verdana" w:hAnsi="Verdana"/>
                <w:sz w:val="18"/>
                <w:szCs w:val="18"/>
              </w:rPr>
            </w:pPr>
            <w:r w:rsidRPr="00EC75B7">
              <w:rPr>
                <w:rFonts w:ascii="Verdana" w:hAnsi="Verdana"/>
                <w:sz w:val="18"/>
                <w:szCs w:val="18"/>
              </w:rPr>
              <w:t>The 30 dB noise isoline will be felt at distances of up to 1.5 km around the work area</w:t>
            </w:r>
          </w:p>
        </w:tc>
        <w:tc>
          <w:tcPr>
            <w:tcW w:w="900" w:type="dxa"/>
          </w:tcPr>
          <w:p w14:paraId="607171F5" w14:textId="77777777" w:rsidR="008715BE" w:rsidRPr="00EC75B7" w:rsidRDefault="00000000">
            <w:pPr>
              <w:pStyle w:val="TableParagraph"/>
              <w:spacing w:before="8"/>
              <w:ind w:left="111" w:right="115"/>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field </w:t>
            </w:r>
            <w:r w:rsidRPr="00EC75B7">
              <w:rPr>
                <w:rFonts w:ascii="Verdana" w:hAnsi="Verdana"/>
                <w:spacing w:val="-2"/>
                <w:sz w:val="18"/>
                <w:szCs w:val="18"/>
              </w:rPr>
              <w:t xml:space="preserve">monitoring </w:t>
            </w:r>
            <w:r w:rsidRPr="00EC75B7">
              <w:rPr>
                <w:rFonts w:ascii="Verdana" w:hAnsi="Verdana"/>
                <w:sz w:val="18"/>
                <w:szCs w:val="18"/>
              </w:rPr>
              <w:t xml:space="preserve">based </w:t>
            </w:r>
            <w:r w:rsidRPr="00EC75B7">
              <w:rPr>
                <w:rFonts w:ascii="Verdana" w:hAnsi="Verdana"/>
                <w:spacing w:val="-4"/>
                <w:sz w:val="18"/>
                <w:szCs w:val="18"/>
              </w:rPr>
              <w:t xml:space="preserve">on </w:t>
            </w:r>
            <w:r w:rsidRPr="00EC75B7">
              <w:rPr>
                <w:rFonts w:ascii="Verdana" w:hAnsi="Verdana"/>
                <w:spacing w:val="-10"/>
                <w:sz w:val="18"/>
                <w:szCs w:val="18"/>
              </w:rPr>
              <w:t xml:space="preserve">the observed </w:t>
            </w:r>
            <w:r w:rsidRPr="00EC75B7">
              <w:rPr>
                <w:rFonts w:ascii="Verdana" w:hAnsi="Verdana"/>
                <w:spacing w:val="-2"/>
                <w:sz w:val="18"/>
                <w:szCs w:val="18"/>
              </w:rPr>
              <w:t>behavior of species</w:t>
            </w:r>
          </w:p>
        </w:tc>
      </w:tr>
    </w:tbl>
    <w:p w14:paraId="24B063BB"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1DEEC864"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4"/>
        <w:gridCol w:w="1433"/>
        <w:gridCol w:w="1080"/>
        <w:gridCol w:w="1000"/>
        <w:gridCol w:w="115"/>
        <w:gridCol w:w="4025"/>
        <w:gridCol w:w="1081"/>
        <w:gridCol w:w="1261"/>
        <w:gridCol w:w="901"/>
      </w:tblGrid>
      <w:tr w:rsidR="008715BE" w:rsidRPr="00EC75B7" w14:paraId="51ED5F5E" w14:textId="77777777">
        <w:trPr>
          <w:trHeight w:val="842"/>
        </w:trPr>
        <w:tc>
          <w:tcPr>
            <w:tcW w:w="2342" w:type="dxa"/>
            <w:gridSpan w:val="2"/>
            <w:shd w:val="clear" w:color="auto" w:fill="00A1E8"/>
          </w:tcPr>
          <w:p w14:paraId="6C8A546E" w14:textId="77777777" w:rsidR="008715BE" w:rsidRPr="00EC75B7" w:rsidRDefault="008715BE">
            <w:pPr>
              <w:pStyle w:val="TableParagraph"/>
              <w:rPr>
                <w:rFonts w:ascii="Verdana" w:hAnsi="Verdana"/>
                <w:b/>
                <w:sz w:val="18"/>
                <w:szCs w:val="18"/>
              </w:rPr>
            </w:pPr>
          </w:p>
          <w:p w14:paraId="11D5F155" w14:textId="77777777" w:rsidR="008715BE" w:rsidRPr="00EC75B7" w:rsidRDefault="008715BE">
            <w:pPr>
              <w:pStyle w:val="TableParagraph"/>
              <w:spacing w:before="2"/>
              <w:rPr>
                <w:rFonts w:ascii="Verdana" w:hAnsi="Verdana"/>
                <w:b/>
                <w:sz w:val="18"/>
                <w:szCs w:val="18"/>
              </w:rPr>
            </w:pPr>
          </w:p>
          <w:p w14:paraId="5797F69C"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7BDCA95E" w14:textId="77777777" w:rsidR="008715BE" w:rsidRPr="00EC75B7" w:rsidRDefault="008715BE">
            <w:pPr>
              <w:pStyle w:val="TableParagraph"/>
              <w:rPr>
                <w:rFonts w:ascii="Verdana" w:hAnsi="Verdana"/>
                <w:b/>
                <w:sz w:val="18"/>
                <w:szCs w:val="18"/>
              </w:rPr>
            </w:pPr>
          </w:p>
          <w:p w14:paraId="5B5A6E29" w14:textId="77777777" w:rsidR="008715BE" w:rsidRPr="00EC75B7" w:rsidRDefault="008715BE">
            <w:pPr>
              <w:pStyle w:val="TableParagraph"/>
              <w:spacing w:before="2"/>
              <w:rPr>
                <w:rFonts w:ascii="Verdana" w:hAnsi="Verdana"/>
                <w:b/>
                <w:sz w:val="18"/>
                <w:szCs w:val="18"/>
              </w:rPr>
            </w:pPr>
          </w:p>
          <w:p w14:paraId="37411434"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56B0EBA7" w14:textId="77777777" w:rsidR="008715BE" w:rsidRPr="00EC75B7" w:rsidRDefault="008715BE">
            <w:pPr>
              <w:pStyle w:val="TableParagraph"/>
              <w:spacing w:before="90"/>
              <w:rPr>
                <w:rFonts w:ascii="Verdana" w:hAnsi="Verdana"/>
                <w:b/>
                <w:sz w:val="18"/>
                <w:szCs w:val="18"/>
              </w:rPr>
            </w:pPr>
          </w:p>
          <w:p w14:paraId="5C4D3A8F"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19CC7870" w14:textId="77777777" w:rsidR="008715BE" w:rsidRPr="00EC75B7" w:rsidRDefault="008715BE">
            <w:pPr>
              <w:pStyle w:val="TableParagraph"/>
              <w:spacing w:before="2"/>
              <w:rPr>
                <w:rFonts w:ascii="Verdana" w:hAnsi="Verdana"/>
                <w:b/>
                <w:sz w:val="18"/>
                <w:szCs w:val="18"/>
              </w:rPr>
            </w:pPr>
          </w:p>
          <w:p w14:paraId="54351729"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13C65BC2"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3BBAEF7A"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0D81F889"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6"/>
            <w:shd w:val="clear" w:color="auto" w:fill="00A1E8"/>
          </w:tcPr>
          <w:p w14:paraId="4E2851BF" w14:textId="77777777" w:rsidR="008715BE" w:rsidRPr="00EC75B7" w:rsidRDefault="008715BE">
            <w:pPr>
              <w:pStyle w:val="TableParagraph"/>
              <w:rPr>
                <w:rFonts w:ascii="Verdana" w:hAnsi="Verdana"/>
                <w:b/>
                <w:sz w:val="18"/>
                <w:szCs w:val="18"/>
              </w:rPr>
            </w:pPr>
          </w:p>
          <w:p w14:paraId="7BD4EC24" w14:textId="77777777" w:rsidR="008715BE" w:rsidRPr="00EC75B7" w:rsidRDefault="008715BE">
            <w:pPr>
              <w:pStyle w:val="TableParagraph"/>
              <w:spacing w:before="2"/>
              <w:rPr>
                <w:rFonts w:ascii="Verdana" w:hAnsi="Verdana"/>
                <w:b/>
                <w:sz w:val="18"/>
                <w:szCs w:val="18"/>
              </w:rPr>
            </w:pPr>
          </w:p>
          <w:p w14:paraId="32742687"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Species</w:t>
            </w:r>
          </w:p>
        </w:tc>
        <w:tc>
          <w:tcPr>
            <w:tcW w:w="1081" w:type="dxa"/>
            <w:shd w:val="clear" w:color="auto" w:fill="00A1E8"/>
          </w:tcPr>
          <w:p w14:paraId="2CF6CFDA" w14:textId="77777777" w:rsidR="008715BE" w:rsidRPr="00EC75B7" w:rsidRDefault="00000000">
            <w:pPr>
              <w:pStyle w:val="TableParagraph"/>
              <w:spacing w:before="89" w:line="171" w:lineRule="exact"/>
              <w:ind w:left="15" w:right="1"/>
              <w:jc w:val="center"/>
              <w:rPr>
                <w:rFonts w:ascii="Verdana" w:hAnsi="Verdana"/>
                <w:b/>
                <w:sz w:val="18"/>
                <w:szCs w:val="18"/>
              </w:rPr>
            </w:pPr>
            <w:r w:rsidRPr="00EC75B7">
              <w:rPr>
                <w:rFonts w:ascii="Verdana" w:hAnsi="Verdana"/>
                <w:b/>
                <w:color w:val="FFFFFF"/>
                <w:spacing w:val="-2"/>
                <w:sz w:val="18"/>
                <w:szCs w:val="18"/>
              </w:rPr>
              <w:t>Parameter</w:t>
            </w:r>
          </w:p>
          <w:p w14:paraId="1390AAA0" w14:textId="77777777" w:rsidR="008715BE" w:rsidRPr="00EC75B7" w:rsidRDefault="00000000">
            <w:pPr>
              <w:pStyle w:val="TableParagraph"/>
              <w:spacing w:line="169" w:lineRule="exact"/>
              <w:ind w:left="15"/>
              <w:jc w:val="center"/>
              <w:rPr>
                <w:rFonts w:ascii="Verdana" w:hAnsi="Verdana"/>
                <w:b/>
                <w:sz w:val="18"/>
                <w:szCs w:val="18"/>
              </w:rPr>
            </w:pPr>
            <w:r w:rsidRPr="00EC75B7">
              <w:rPr>
                <w:rFonts w:ascii="Verdana" w:hAnsi="Verdana"/>
                <w:b/>
                <w:color w:val="FFFFFF"/>
                <w:spacing w:val="-10"/>
                <w:sz w:val="18"/>
                <w:szCs w:val="18"/>
              </w:rPr>
              <w:t>/</w:t>
            </w:r>
          </w:p>
          <w:p w14:paraId="2FEE7A18" w14:textId="77777777" w:rsidR="008715BE" w:rsidRPr="00EC75B7" w:rsidRDefault="00000000">
            <w:pPr>
              <w:pStyle w:val="TableParagraph"/>
              <w:ind w:left="221" w:right="208"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1" w:type="dxa"/>
            <w:shd w:val="clear" w:color="auto" w:fill="00A1E8"/>
          </w:tcPr>
          <w:p w14:paraId="6ACEA682" w14:textId="77777777" w:rsidR="008715BE" w:rsidRPr="00EC75B7" w:rsidRDefault="008715BE">
            <w:pPr>
              <w:pStyle w:val="TableParagraph"/>
              <w:spacing w:before="90"/>
              <w:rPr>
                <w:rFonts w:ascii="Verdana" w:hAnsi="Verdana"/>
                <w:b/>
                <w:sz w:val="18"/>
                <w:szCs w:val="18"/>
              </w:rPr>
            </w:pPr>
          </w:p>
          <w:p w14:paraId="14D6C77C" w14:textId="77777777" w:rsidR="008715BE" w:rsidRPr="00EC75B7" w:rsidRDefault="00000000">
            <w:pPr>
              <w:pStyle w:val="TableParagraph"/>
              <w:spacing w:line="237" w:lineRule="auto"/>
              <w:ind w:left="364" w:hanging="209"/>
              <w:rPr>
                <w:rFonts w:ascii="Verdana" w:hAnsi="Verdana"/>
                <w:b/>
                <w:sz w:val="18"/>
                <w:szCs w:val="18"/>
              </w:rPr>
            </w:pPr>
            <w:r w:rsidRPr="00EC75B7">
              <w:rPr>
                <w:rFonts w:ascii="Verdana" w:hAnsi="Verdana"/>
                <w:b/>
                <w:color w:val="FFFFFF"/>
                <w:spacing w:val="-2"/>
                <w:sz w:val="18"/>
                <w:szCs w:val="18"/>
              </w:rPr>
              <w:t>Impact quantification</w:t>
            </w:r>
          </w:p>
        </w:tc>
        <w:tc>
          <w:tcPr>
            <w:tcW w:w="901" w:type="dxa"/>
            <w:shd w:val="clear" w:color="auto" w:fill="00A1E8"/>
          </w:tcPr>
          <w:p w14:paraId="0EAF9613" w14:textId="77777777" w:rsidR="008715BE" w:rsidRPr="00EC75B7" w:rsidRDefault="008715BE">
            <w:pPr>
              <w:pStyle w:val="TableParagraph"/>
              <w:spacing w:before="2"/>
              <w:rPr>
                <w:rFonts w:ascii="Verdana" w:hAnsi="Verdana"/>
                <w:b/>
                <w:sz w:val="18"/>
                <w:szCs w:val="18"/>
              </w:rPr>
            </w:pPr>
          </w:p>
          <w:p w14:paraId="011D08F5" w14:textId="77777777" w:rsidR="008715BE" w:rsidRPr="00EC75B7" w:rsidRDefault="00000000">
            <w:pPr>
              <w:pStyle w:val="TableParagraph"/>
              <w:spacing w:before="1"/>
              <w:ind w:left="111" w:right="103" w:firstLine="1"/>
              <w:jc w:val="center"/>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w:t>
            </w:r>
            <w:r w:rsidRPr="00EC75B7">
              <w:rPr>
                <w:rFonts w:ascii="Verdana" w:hAnsi="Verdana"/>
                <w:b/>
                <w:color w:val="FFFFFF"/>
                <w:spacing w:val="-4"/>
                <w:sz w:val="18"/>
                <w:szCs w:val="18"/>
              </w:rPr>
              <w:t>method</w:t>
            </w:r>
          </w:p>
        </w:tc>
      </w:tr>
      <w:tr w:rsidR="008715BE" w:rsidRPr="00EC75B7" w14:paraId="61D5B3B7" w14:textId="77777777">
        <w:trPr>
          <w:trHeight w:val="1468"/>
        </w:trPr>
        <w:tc>
          <w:tcPr>
            <w:tcW w:w="542" w:type="dxa"/>
            <w:vMerge w:val="restart"/>
          </w:tcPr>
          <w:p w14:paraId="1A70741D" w14:textId="77777777" w:rsidR="008715BE" w:rsidRPr="00EC75B7" w:rsidRDefault="008715BE">
            <w:pPr>
              <w:pStyle w:val="TableParagraph"/>
              <w:rPr>
                <w:rFonts w:ascii="Verdana" w:hAnsi="Verdana"/>
                <w:sz w:val="18"/>
                <w:szCs w:val="18"/>
              </w:rPr>
            </w:pPr>
          </w:p>
        </w:tc>
        <w:tc>
          <w:tcPr>
            <w:tcW w:w="1800" w:type="dxa"/>
            <w:vMerge w:val="restart"/>
          </w:tcPr>
          <w:p w14:paraId="67234F1B" w14:textId="77777777" w:rsidR="008715BE" w:rsidRPr="00EC75B7" w:rsidRDefault="008715BE">
            <w:pPr>
              <w:pStyle w:val="TableParagraph"/>
              <w:rPr>
                <w:rFonts w:ascii="Verdana" w:hAnsi="Verdana"/>
                <w:sz w:val="18"/>
                <w:szCs w:val="18"/>
              </w:rPr>
            </w:pPr>
          </w:p>
        </w:tc>
        <w:tc>
          <w:tcPr>
            <w:tcW w:w="1048" w:type="dxa"/>
          </w:tcPr>
          <w:p w14:paraId="509E9F17" w14:textId="77777777" w:rsidR="008715BE" w:rsidRPr="00EC75B7" w:rsidRDefault="008715BE">
            <w:pPr>
              <w:pStyle w:val="TableParagraph"/>
              <w:rPr>
                <w:rFonts w:ascii="Verdana" w:hAnsi="Verdana"/>
                <w:sz w:val="18"/>
                <w:szCs w:val="18"/>
              </w:rPr>
            </w:pPr>
          </w:p>
        </w:tc>
        <w:tc>
          <w:tcPr>
            <w:tcW w:w="1274" w:type="dxa"/>
          </w:tcPr>
          <w:p w14:paraId="704A1EDA" w14:textId="77777777" w:rsidR="008715BE" w:rsidRPr="00EC75B7" w:rsidRDefault="008715BE">
            <w:pPr>
              <w:pStyle w:val="TableParagraph"/>
              <w:rPr>
                <w:rFonts w:ascii="Verdana" w:hAnsi="Verdana"/>
                <w:sz w:val="18"/>
                <w:szCs w:val="18"/>
              </w:rPr>
            </w:pPr>
          </w:p>
        </w:tc>
        <w:tc>
          <w:tcPr>
            <w:tcW w:w="993" w:type="dxa"/>
          </w:tcPr>
          <w:p w14:paraId="668E87CE" w14:textId="77777777" w:rsidR="008715BE" w:rsidRPr="00EC75B7" w:rsidRDefault="008715BE">
            <w:pPr>
              <w:pStyle w:val="TableParagraph"/>
              <w:rPr>
                <w:rFonts w:ascii="Verdana" w:hAnsi="Verdana"/>
                <w:sz w:val="18"/>
                <w:szCs w:val="18"/>
              </w:rPr>
            </w:pPr>
          </w:p>
        </w:tc>
        <w:tc>
          <w:tcPr>
            <w:tcW w:w="708" w:type="dxa"/>
          </w:tcPr>
          <w:p w14:paraId="04FCD85C" w14:textId="77777777" w:rsidR="008715BE" w:rsidRPr="00EC75B7" w:rsidRDefault="008715BE">
            <w:pPr>
              <w:pStyle w:val="TableParagraph"/>
              <w:rPr>
                <w:rFonts w:ascii="Verdana" w:hAnsi="Verdana"/>
                <w:sz w:val="18"/>
                <w:szCs w:val="18"/>
              </w:rPr>
            </w:pPr>
          </w:p>
        </w:tc>
        <w:tc>
          <w:tcPr>
            <w:tcW w:w="991" w:type="dxa"/>
          </w:tcPr>
          <w:p w14:paraId="7304F1D3" w14:textId="77777777" w:rsidR="008715BE" w:rsidRPr="00EC75B7" w:rsidRDefault="008715BE">
            <w:pPr>
              <w:pStyle w:val="TableParagraph"/>
              <w:rPr>
                <w:rFonts w:ascii="Verdana" w:hAnsi="Verdana"/>
                <w:sz w:val="18"/>
                <w:szCs w:val="18"/>
              </w:rPr>
            </w:pPr>
          </w:p>
        </w:tc>
        <w:tc>
          <w:tcPr>
            <w:tcW w:w="1277" w:type="dxa"/>
          </w:tcPr>
          <w:p w14:paraId="1FBE1288" w14:textId="77777777" w:rsidR="008715BE" w:rsidRPr="00EC75B7" w:rsidRDefault="008715BE">
            <w:pPr>
              <w:pStyle w:val="TableParagraph"/>
              <w:rPr>
                <w:rFonts w:ascii="Verdana" w:hAnsi="Verdana"/>
                <w:sz w:val="18"/>
                <w:szCs w:val="18"/>
              </w:rPr>
            </w:pPr>
          </w:p>
        </w:tc>
        <w:tc>
          <w:tcPr>
            <w:tcW w:w="2704" w:type="dxa"/>
          </w:tcPr>
          <w:p w14:paraId="59D9AE04" w14:textId="77777777" w:rsidR="008715BE" w:rsidRPr="00EC75B7" w:rsidRDefault="008715BE">
            <w:pPr>
              <w:pStyle w:val="TableParagraph"/>
              <w:rPr>
                <w:rFonts w:ascii="Verdana" w:hAnsi="Verdana"/>
                <w:sz w:val="18"/>
                <w:szCs w:val="18"/>
              </w:rPr>
            </w:pPr>
          </w:p>
        </w:tc>
        <w:tc>
          <w:tcPr>
            <w:tcW w:w="1433" w:type="dxa"/>
          </w:tcPr>
          <w:p w14:paraId="0EF5BBA7" w14:textId="77777777" w:rsidR="008715BE" w:rsidRPr="00EC75B7" w:rsidRDefault="008715BE">
            <w:pPr>
              <w:pStyle w:val="TableParagraph"/>
              <w:rPr>
                <w:rFonts w:ascii="Verdana" w:hAnsi="Verdana"/>
                <w:sz w:val="18"/>
                <w:szCs w:val="18"/>
              </w:rPr>
            </w:pPr>
          </w:p>
        </w:tc>
        <w:tc>
          <w:tcPr>
            <w:tcW w:w="1080" w:type="dxa"/>
          </w:tcPr>
          <w:p w14:paraId="042CB43D" w14:textId="77777777" w:rsidR="008715BE" w:rsidRPr="00EC75B7" w:rsidRDefault="00000000">
            <w:pPr>
              <w:pStyle w:val="TableParagraph"/>
              <w:spacing w:before="9" w:line="237" w:lineRule="auto"/>
              <w:ind w:left="119" w:right="225"/>
              <w:rPr>
                <w:rFonts w:ascii="Verdana" w:hAnsi="Verdana"/>
                <w:i/>
                <w:sz w:val="18"/>
                <w:szCs w:val="18"/>
              </w:rPr>
            </w:pPr>
            <w:r w:rsidRPr="00EC75B7">
              <w:rPr>
                <w:rFonts w:ascii="Verdana" w:hAnsi="Verdana"/>
                <w:i/>
                <w:spacing w:val="-2"/>
                <w:sz w:val="18"/>
                <w:szCs w:val="18"/>
              </w:rPr>
              <w:t>Turdus pilaris, Turdus viscivorus</w:t>
            </w:r>
          </w:p>
        </w:tc>
        <w:tc>
          <w:tcPr>
            <w:tcW w:w="1000" w:type="dxa"/>
          </w:tcPr>
          <w:p w14:paraId="420B2EF9" w14:textId="77777777" w:rsidR="008715BE" w:rsidRPr="00EC75B7" w:rsidRDefault="008715BE">
            <w:pPr>
              <w:pStyle w:val="TableParagraph"/>
              <w:rPr>
                <w:rFonts w:ascii="Verdana" w:hAnsi="Verdana"/>
                <w:sz w:val="18"/>
                <w:szCs w:val="18"/>
              </w:rPr>
            </w:pPr>
          </w:p>
        </w:tc>
        <w:tc>
          <w:tcPr>
            <w:tcW w:w="4140" w:type="dxa"/>
            <w:gridSpan w:val="2"/>
          </w:tcPr>
          <w:p w14:paraId="4215E3BE" w14:textId="77777777" w:rsidR="008715BE" w:rsidRPr="00EC75B7" w:rsidRDefault="008715BE">
            <w:pPr>
              <w:pStyle w:val="TableParagraph"/>
              <w:rPr>
                <w:rFonts w:ascii="Verdana" w:hAnsi="Verdana"/>
                <w:sz w:val="18"/>
                <w:szCs w:val="18"/>
              </w:rPr>
            </w:pPr>
          </w:p>
        </w:tc>
        <w:tc>
          <w:tcPr>
            <w:tcW w:w="1081" w:type="dxa"/>
          </w:tcPr>
          <w:p w14:paraId="5CCECF55" w14:textId="77777777" w:rsidR="008715BE" w:rsidRPr="00EC75B7" w:rsidRDefault="008715BE">
            <w:pPr>
              <w:pStyle w:val="TableParagraph"/>
              <w:rPr>
                <w:rFonts w:ascii="Verdana" w:hAnsi="Verdana"/>
                <w:sz w:val="18"/>
                <w:szCs w:val="18"/>
              </w:rPr>
            </w:pPr>
          </w:p>
        </w:tc>
        <w:tc>
          <w:tcPr>
            <w:tcW w:w="1261" w:type="dxa"/>
          </w:tcPr>
          <w:p w14:paraId="04F4CB85" w14:textId="77777777" w:rsidR="008715BE" w:rsidRPr="00EC75B7" w:rsidRDefault="008715BE">
            <w:pPr>
              <w:pStyle w:val="TableParagraph"/>
              <w:rPr>
                <w:rFonts w:ascii="Verdana" w:hAnsi="Verdana"/>
                <w:sz w:val="18"/>
                <w:szCs w:val="18"/>
              </w:rPr>
            </w:pPr>
          </w:p>
        </w:tc>
        <w:tc>
          <w:tcPr>
            <w:tcW w:w="901" w:type="dxa"/>
          </w:tcPr>
          <w:p w14:paraId="3E30666A" w14:textId="77777777" w:rsidR="008715BE" w:rsidRPr="00EC75B7" w:rsidRDefault="008715BE">
            <w:pPr>
              <w:pStyle w:val="TableParagraph"/>
              <w:rPr>
                <w:rFonts w:ascii="Verdana" w:hAnsi="Verdana"/>
                <w:sz w:val="18"/>
                <w:szCs w:val="18"/>
              </w:rPr>
            </w:pPr>
          </w:p>
        </w:tc>
      </w:tr>
      <w:tr w:rsidR="008715BE" w:rsidRPr="00EC75B7" w14:paraId="38048B44" w14:textId="77777777">
        <w:trPr>
          <w:trHeight w:val="1362"/>
        </w:trPr>
        <w:tc>
          <w:tcPr>
            <w:tcW w:w="542" w:type="dxa"/>
            <w:vMerge/>
            <w:tcBorders>
              <w:top w:val="nil"/>
            </w:tcBorders>
          </w:tcPr>
          <w:p w14:paraId="5E5C710F" w14:textId="77777777" w:rsidR="008715BE" w:rsidRPr="00EC75B7" w:rsidRDefault="008715BE">
            <w:pPr>
              <w:rPr>
                <w:rFonts w:ascii="Verdana" w:hAnsi="Verdana"/>
                <w:sz w:val="18"/>
                <w:szCs w:val="18"/>
              </w:rPr>
            </w:pPr>
          </w:p>
        </w:tc>
        <w:tc>
          <w:tcPr>
            <w:tcW w:w="1800" w:type="dxa"/>
            <w:vMerge/>
            <w:tcBorders>
              <w:top w:val="nil"/>
            </w:tcBorders>
          </w:tcPr>
          <w:p w14:paraId="1B6A36C6" w14:textId="77777777" w:rsidR="008715BE" w:rsidRPr="00EC75B7" w:rsidRDefault="008715BE">
            <w:pPr>
              <w:rPr>
                <w:rFonts w:ascii="Verdana" w:hAnsi="Verdana"/>
                <w:sz w:val="18"/>
                <w:szCs w:val="18"/>
              </w:rPr>
            </w:pPr>
          </w:p>
        </w:tc>
        <w:tc>
          <w:tcPr>
            <w:tcW w:w="1048" w:type="dxa"/>
          </w:tcPr>
          <w:p w14:paraId="54C41A1A" w14:textId="77777777" w:rsidR="008715BE" w:rsidRPr="00EC75B7" w:rsidRDefault="00000000">
            <w:pPr>
              <w:pStyle w:val="TableParagraph"/>
              <w:spacing w:before="8"/>
              <w:ind w:left="106" w:right="170"/>
              <w:jc w:val="both"/>
              <w:rPr>
                <w:rFonts w:ascii="Verdana" w:hAnsi="Verdana"/>
                <w:sz w:val="18"/>
                <w:szCs w:val="18"/>
              </w:rPr>
            </w:pPr>
            <w:r w:rsidRPr="00EC75B7">
              <w:rPr>
                <w:rFonts w:ascii="Verdana" w:hAnsi="Verdana"/>
                <w:spacing w:val="-2"/>
                <w:sz w:val="18"/>
                <w:szCs w:val="18"/>
              </w:rPr>
              <w:t>Night lighting</w:t>
            </w:r>
          </w:p>
        </w:tc>
        <w:tc>
          <w:tcPr>
            <w:tcW w:w="1274" w:type="dxa"/>
          </w:tcPr>
          <w:p w14:paraId="022A3EED"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2"/>
                <w:sz w:val="18"/>
                <w:szCs w:val="18"/>
              </w:rPr>
              <w:t>PAS/PH</w:t>
            </w:r>
          </w:p>
        </w:tc>
        <w:tc>
          <w:tcPr>
            <w:tcW w:w="993" w:type="dxa"/>
          </w:tcPr>
          <w:p w14:paraId="29BCB7A8"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47DE6C4B" w14:textId="77777777" w:rsidR="008715BE" w:rsidRPr="00EC75B7" w:rsidRDefault="00000000">
            <w:pPr>
              <w:pStyle w:val="TableParagraph"/>
              <w:spacing w:line="170" w:lineRule="exact"/>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3AED55EF"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3E067FC0"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6"/>
          </w:tcPr>
          <w:p w14:paraId="1A5FBEFF"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1" w:type="dxa"/>
          </w:tcPr>
          <w:p w14:paraId="662EF2BC"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1" w:type="dxa"/>
          </w:tcPr>
          <w:p w14:paraId="3222F5AF"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1" w:type="dxa"/>
          </w:tcPr>
          <w:p w14:paraId="0237F6D2" w14:textId="77777777" w:rsidR="008715BE" w:rsidRPr="00EC75B7" w:rsidRDefault="00000000">
            <w:pPr>
              <w:pStyle w:val="TableParagraph"/>
              <w:spacing w:before="8"/>
              <w:ind w:left="109" w:right="15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2ED3E043" w14:textId="77777777">
        <w:trPr>
          <w:trHeight w:val="1360"/>
        </w:trPr>
        <w:tc>
          <w:tcPr>
            <w:tcW w:w="542" w:type="dxa"/>
            <w:vMerge/>
            <w:tcBorders>
              <w:top w:val="nil"/>
            </w:tcBorders>
          </w:tcPr>
          <w:p w14:paraId="215F734B" w14:textId="77777777" w:rsidR="008715BE" w:rsidRPr="00EC75B7" w:rsidRDefault="008715BE">
            <w:pPr>
              <w:rPr>
                <w:rFonts w:ascii="Verdana" w:hAnsi="Verdana"/>
                <w:sz w:val="18"/>
                <w:szCs w:val="18"/>
              </w:rPr>
            </w:pPr>
          </w:p>
        </w:tc>
        <w:tc>
          <w:tcPr>
            <w:tcW w:w="1800" w:type="dxa"/>
            <w:vMerge/>
            <w:tcBorders>
              <w:top w:val="nil"/>
            </w:tcBorders>
          </w:tcPr>
          <w:p w14:paraId="65D6C894" w14:textId="77777777" w:rsidR="008715BE" w:rsidRPr="00EC75B7" w:rsidRDefault="008715BE">
            <w:pPr>
              <w:rPr>
                <w:rFonts w:ascii="Verdana" w:hAnsi="Verdana"/>
                <w:sz w:val="18"/>
                <w:szCs w:val="18"/>
              </w:rPr>
            </w:pPr>
          </w:p>
        </w:tc>
        <w:tc>
          <w:tcPr>
            <w:tcW w:w="1048" w:type="dxa"/>
          </w:tcPr>
          <w:p w14:paraId="7BD9C8C7" w14:textId="77777777" w:rsidR="008715BE" w:rsidRPr="00EC75B7" w:rsidRDefault="00000000">
            <w:pPr>
              <w:pStyle w:val="TableParagraph"/>
              <w:spacing w:before="8" w:line="171" w:lineRule="exact"/>
              <w:ind w:left="106"/>
              <w:rPr>
                <w:rFonts w:ascii="Verdana" w:hAnsi="Verdana"/>
                <w:sz w:val="18"/>
                <w:szCs w:val="18"/>
              </w:rPr>
            </w:pPr>
            <w:r w:rsidRPr="00EC75B7">
              <w:rPr>
                <w:rFonts w:ascii="Verdana" w:hAnsi="Verdana"/>
                <w:spacing w:val="-2"/>
                <w:sz w:val="18"/>
                <w:szCs w:val="18"/>
              </w:rPr>
              <w:t>Generation</w:t>
            </w:r>
          </w:p>
          <w:p w14:paraId="6CF87386" w14:textId="77777777" w:rsidR="008715BE" w:rsidRPr="00EC75B7" w:rsidRDefault="00000000">
            <w:pPr>
              <w:pStyle w:val="TableParagraph"/>
              <w:spacing w:line="171" w:lineRule="exact"/>
              <w:ind w:left="106"/>
              <w:rPr>
                <w:rFonts w:ascii="Verdana" w:hAnsi="Verdana"/>
                <w:sz w:val="18"/>
                <w:szCs w:val="18"/>
              </w:rPr>
            </w:pPr>
            <w:r w:rsidRPr="00EC75B7">
              <w:rPr>
                <w:rFonts w:ascii="Verdana" w:hAnsi="Verdana"/>
                <w:spacing w:val="-2"/>
                <w:sz w:val="18"/>
                <w:szCs w:val="18"/>
              </w:rPr>
              <w:t>of waste</w:t>
            </w:r>
          </w:p>
        </w:tc>
        <w:tc>
          <w:tcPr>
            <w:tcW w:w="1274" w:type="dxa"/>
          </w:tcPr>
          <w:p w14:paraId="1274D7FD"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2"/>
                <w:sz w:val="18"/>
                <w:szCs w:val="18"/>
              </w:rPr>
              <w:t>AH/PAS</w:t>
            </w:r>
          </w:p>
        </w:tc>
        <w:tc>
          <w:tcPr>
            <w:tcW w:w="993" w:type="dxa"/>
          </w:tcPr>
          <w:p w14:paraId="278EC593" w14:textId="77777777" w:rsidR="008715BE" w:rsidRPr="00EC75B7" w:rsidRDefault="00000000">
            <w:pPr>
              <w:pStyle w:val="TableParagraph"/>
              <w:spacing w:before="9"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708" w:type="dxa"/>
          </w:tcPr>
          <w:p w14:paraId="2B3E68E0"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w:t>
            </w:r>
            <w:r w:rsidRPr="00EC75B7">
              <w:rPr>
                <w:rFonts w:ascii="Verdana" w:hAnsi="Verdana"/>
                <w:spacing w:val="-4"/>
                <w:sz w:val="18"/>
                <w:szCs w:val="18"/>
              </w:rPr>
              <w:t>impacts were identified</w:t>
            </w:r>
          </w:p>
          <w:p w14:paraId="144A365D" w14:textId="77777777" w:rsidR="008715BE" w:rsidRPr="00EC75B7" w:rsidRDefault="00000000">
            <w:pPr>
              <w:pStyle w:val="TableParagraph"/>
              <w:spacing w:line="137" w:lineRule="exact"/>
              <w:ind w:left="108"/>
              <w:rPr>
                <w:rFonts w:ascii="Verdana" w:hAnsi="Verdana"/>
                <w:sz w:val="18"/>
                <w:szCs w:val="18"/>
              </w:rPr>
            </w:pPr>
            <w:r w:rsidRPr="00EC75B7">
              <w:rPr>
                <w:rFonts w:ascii="Verdana" w:hAnsi="Verdana"/>
                <w:spacing w:val="-4"/>
                <w:sz w:val="18"/>
                <w:szCs w:val="18"/>
              </w:rPr>
              <w:t>No</w:t>
            </w:r>
          </w:p>
        </w:tc>
        <w:tc>
          <w:tcPr>
            <w:tcW w:w="991" w:type="dxa"/>
          </w:tcPr>
          <w:p w14:paraId="7E145138" w14:textId="77777777" w:rsidR="008715BE" w:rsidRPr="00EC75B7" w:rsidRDefault="00000000">
            <w:pPr>
              <w:pStyle w:val="TableParagraph"/>
              <w:spacing w:before="9"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6C7CBD77"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6"/>
          </w:tcPr>
          <w:p w14:paraId="087D5C45"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1" w:type="dxa"/>
          </w:tcPr>
          <w:p w14:paraId="4C49750B"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1" w:type="dxa"/>
          </w:tcPr>
          <w:p w14:paraId="391C06C1"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1" w:type="dxa"/>
          </w:tcPr>
          <w:p w14:paraId="033BF934" w14:textId="77777777" w:rsidR="008715BE" w:rsidRPr="00EC75B7" w:rsidRDefault="00000000">
            <w:pPr>
              <w:pStyle w:val="TableParagraph"/>
              <w:spacing w:before="8"/>
              <w:ind w:left="109" w:right="15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6E4B75D0" w14:textId="77777777">
        <w:trPr>
          <w:trHeight w:val="9358"/>
        </w:trPr>
        <w:tc>
          <w:tcPr>
            <w:tcW w:w="542" w:type="dxa"/>
            <w:vMerge/>
            <w:tcBorders>
              <w:top w:val="nil"/>
            </w:tcBorders>
          </w:tcPr>
          <w:p w14:paraId="114F2FCE" w14:textId="77777777" w:rsidR="008715BE" w:rsidRPr="00EC75B7" w:rsidRDefault="008715BE">
            <w:pPr>
              <w:rPr>
                <w:rFonts w:ascii="Verdana" w:hAnsi="Verdana"/>
                <w:sz w:val="18"/>
                <w:szCs w:val="18"/>
              </w:rPr>
            </w:pPr>
          </w:p>
        </w:tc>
        <w:tc>
          <w:tcPr>
            <w:tcW w:w="1800" w:type="dxa"/>
            <w:vMerge/>
            <w:tcBorders>
              <w:top w:val="nil"/>
            </w:tcBorders>
          </w:tcPr>
          <w:p w14:paraId="25E9A490" w14:textId="77777777" w:rsidR="008715BE" w:rsidRPr="00EC75B7" w:rsidRDefault="008715BE">
            <w:pPr>
              <w:rPr>
                <w:rFonts w:ascii="Verdana" w:hAnsi="Verdana"/>
                <w:sz w:val="18"/>
                <w:szCs w:val="18"/>
              </w:rPr>
            </w:pPr>
          </w:p>
        </w:tc>
        <w:tc>
          <w:tcPr>
            <w:tcW w:w="1048" w:type="dxa"/>
          </w:tcPr>
          <w:p w14:paraId="0F5B0108" w14:textId="77777777" w:rsidR="008715BE" w:rsidRPr="00EC75B7" w:rsidRDefault="00000000">
            <w:pPr>
              <w:pStyle w:val="TableParagraph"/>
              <w:spacing w:before="8"/>
              <w:ind w:left="106" w:right="132"/>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with </w:t>
            </w:r>
            <w:r w:rsidRPr="00EC75B7">
              <w:rPr>
                <w:rFonts w:ascii="Verdana" w:hAnsi="Verdana"/>
                <w:spacing w:val="-2"/>
                <w:sz w:val="18"/>
                <w:szCs w:val="18"/>
              </w:rPr>
              <w:t xml:space="preserve">turbine </w:t>
            </w:r>
            <w:r w:rsidRPr="00EC75B7">
              <w:rPr>
                <w:rFonts w:ascii="Verdana" w:hAnsi="Verdana"/>
                <w:sz w:val="18"/>
                <w:szCs w:val="18"/>
              </w:rPr>
              <w:t>blades</w:t>
            </w:r>
          </w:p>
        </w:tc>
        <w:tc>
          <w:tcPr>
            <w:tcW w:w="1274" w:type="dxa"/>
          </w:tcPr>
          <w:p w14:paraId="314345C8"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REP</w:t>
            </w:r>
          </w:p>
        </w:tc>
        <w:tc>
          <w:tcPr>
            <w:tcW w:w="993" w:type="dxa"/>
          </w:tcPr>
          <w:p w14:paraId="7CD8D422"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254F0B53"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64722313" w14:textId="77777777" w:rsidR="008715BE" w:rsidRPr="00EC75B7" w:rsidRDefault="00000000">
            <w:pPr>
              <w:pStyle w:val="TableParagraph"/>
              <w:spacing w:before="8"/>
              <w:ind w:left="111" w:right="104"/>
              <w:rPr>
                <w:rFonts w:ascii="Verdana" w:hAnsi="Verdana"/>
                <w:sz w:val="18"/>
                <w:szCs w:val="18"/>
              </w:rPr>
            </w:pPr>
            <w:r w:rsidRPr="00EC75B7">
              <w:rPr>
                <w:rFonts w:ascii="Verdana" w:hAnsi="Verdana"/>
                <w:spacing w:val="-2"/>
                <w:sz w:val="18"/>
                <w:szCs w:val="18"/>
              </w:rPr>
              <w:t xml:space="preserve">Cumulative impact </w:t>
            </w:r>
            <w:r w:rsidRPr="00EC75B7">
              <w:rPr>
                <w:rFonts w:ascii="Verdana" w:hAnsi="Verdana"/>
                <w:sz w:val="18"/>
                <w:szCs w:val="18"/>
              </w:rPr>
              <w:t>with:</w:t>
            </w:r>
          </w:p>
          <w:p w14:paraId="09B88B63" w14:textId="77777777" w:rsidR="008715BE" w:rsidRPr="00EC75B7" w:rsidRDefault="00000000">
            <w:pPr>
              <w:pStyle w:val="TableParagraph"/>
              <w:spacing w:line="237" w:lineRule="auto"/>
              <w:ind w:left="111" w:right="104"/>
              <w:rPr>
                <w:rFonts w:ascii="Verdana" w:hAnsi="Verdana"/>
                <w:sz w:val="18"/>
                <w:szCs w:val="18"/>
              </w:rPr>
            </w:pPr>
            <w:r w:rsidRPr="00EC75B7">
              <w:rPr>
                <w:rFonts w:ascii="Verdana" w:hAnsi="Verdana"/>
                <w:spacing w:val="-2"/>
                <w:sz w:val="18"/>
                <w:szCs w:val="18"/>
              </w:rPr>
              <w:t xml:space="preserve">Chirnogeni </w:t>
            </w:r>
            <w:r w:rsidRPr="00EC75B7">
              <w:rPr>
                <w:rFonts w:ascii="Verdana" w:hAnsi="Verdana"/>
                <w:sz w:val="18"/>
                <w:szCs w:val="18"/>
              </w:rPr>
              <w:t xml:space="preserve">wind farm </w:t>
            </w:r>
            <w:r w:rsidRPr="00EC75B7">
              <w:rPr>
                <w:rFonts w:ascii="Verdana" w:hAnsi="Verdana"/>
                <w:spacing w:val="-2"/>
                <w:sz w:val="18"/>
                <w:szCs w:val="18"/>
              </w:rPr>
              <w:t>(existing)</w:t>
            </w:r>
            <w:r w:rsidRPr="00EC75B7">
              <w:rPr>
                <w:rFonts w:ascii="Verdana" w:hAnsi="Verdana"/>
                <w:sz w:val="18"/>
                <w:szCs w:val="18"/>
              </w:rPr>
              <w:t xml:space="preserve"> 14 </w:t>
            </w:r>
            <w:r w:rsidRPr="00EC75B7">
              <w:rPr>
                <w:rFonts w:ascii="Verdana" w:hAnsi="Verdana"/>
                <w:spacing w:val="-2"/>
                <w:sz w:val="18"/>
                <w:szCs w:val="18"/>
              </w:rPr>
              <w:t xml:space="preserve">CE-92.4 </w:t>
            </w:r>
            <w:r w:rsidRPr="00EC75B7">
              <w:rPr>
                <w:rFonts w:ascii="Verdana" w:hAnsi="Verdana"/>
                <w:sz w:val="18"/>
                <w:szCs w:val="18"/>
              </w:rPr>
              <w:t xml:space="preserve">wind </w:t>
            </w:r>
            <w:r w:rsidRPr="00EC75B7">
              <w:rPr>
                <w:rFonts w:ascii="Verdana" w:hAnsi="Verdana"/>
                <w:spacing w:val="-4"/>
                <w:sz w:val="18"/>
                <w:szCs w:val="18"/>
              </w:rPr>
              <w:t>farm</w:t>
            </w:r>
          </w:p>
          <w:p w14:paraId="07C815A2" w14:textId="77777777" w:rsidR="008715BE" w:rsidRPr="00EC75B7" w:rsidRDefault="00000000">
            <w:pPr>
              <w:pStyle w:val="TableParagraph"/>
              <w:spacing w:before="4"/>
              <w:ind w:left="111" w:right="103"/>
              <w:rPr>
                <w:rFonts w:ascii="Verdana" w:hAnsi="Verdana"/>
                <w:sz w:val="18"/>
                <w:szCs w:val="18"/>
              </w:rPr>
            </w:pPr>
            <w:r w:rsidRPr="00EC75B7">
              <w:rPr>
                <w:rFonts w:ascii="Verdana" w:hAnsi="Verdana"/>
                <w:sz w:val="18"/>
                <w:szCs w:val="18"/>
              </w:rPr>
              <w:t xml:space="preserve">MW, transformer station, </w:t>
            </w:r>
            <w:r w:rsidRPr="00EC75B7">
              <w:rPr>
                <w:rFonts w:ascii="Verdana" w:hAnsi="Verdana"/>
                <w:spacing w:val="-2"/>
                <w:sz w:val="18"/>
                <w:szCs w:val="18"/>
              </w:rPr>
              <w:t xml:space="preserve">electrical </w:t>
            </w:r>
            <w:r w:rsidRPr="00EC75B7">
              <w:rPr>
                <w:rFonts w:ascii="Verdana" w:hAnsi="Verdana"/>
                <w:sz w:val="18"/>
                <w:szCs w:val="18"/>
              </w:rPr>
              <w:t xml:space="preserve">connection networks, </w:t>
            </w:r>
            <w:r w:rsidRPr="00EC75B7">
              <w:rPr>
                <w:rFonts w:ascii="Verdana" w:hAnsi="Verdana"/>
                <w:spacing w:val="-2"/>
                <w:sz w:val="18"/>
                <w:szCs w:val="18"/>
              </w:rPr>
              <w:t xml:space="preserve">construction </w:t>
            </w:r>
            <w:r w:rsidRPr="00EC75B7">
              <w:rPr>
                <w:rFonts w:ascii="Verdana" w:hAnsi="Verdana"/>
                <w:spacing w:val="-6"/>
                <w:sz w:val="18"/>
                <w:szCs w:val="18"/>
              </w:rPr>
              <w:t xml:space="preserve">and </w:t>
            </w:r>
            <w:r w:rsidRPr="00EC75B7">
              <w:rPr>
                <w:rFonts w:ascii="Verdana" w:hAnsi="Verdana"/>
                <w:sz w:val="18"/>
                <w:szCs w:val="18"/>
              </w:rPr>
              <w:t>modernization of communication and access routes</w:t>
            </w:r>
          </w:p>
          <w:p w14:paraId="21F291F7" w14:textId="77777777" w:rsidR="008715BE" w:rsidRPr="00EC75B7" w:rsidRDefault="00000000">
            <w:pPr>
              <w:pStyle w:val="TableParagraph"/>
              <w:spacing w:line="163" w:lineRule="exact"/>
              <w:ind w:left="111"/>
              <w:rPr>
                <w:rFonts w:ascii="Verdana" w:hAnsi="Verdana"/>
                <w:sz w:val="18"/>
                <w:szCs w:val="18"/>
              </w:rPr>
            </w:pPr>
            <w:r w:rsidRPr="00EC75B7">
              <w:rPr>
                <w:rFonts w:ascii="Verdana" w:hAnsi="Verdana"/>
                <w:sz w:val="18"/>
                <w:szCs w:val="18"/>
              </w:rPr>
              <w:t>-</w:t>
            </w:r>
          </w:p>
          <w:p w14:paraId="71D6675A" w14:textId="77777777" w:rsidR="008715BE" w:rsidRPr="00EC75B7" w:rsidRDefault="00000000">
            <w:pPr>
              <w:pStyle w:val="TableParagraph"/>
              <w:spacing w:before="1" w:line="237" w:lineRule="auto"/>
              <w:ind w:left="111" w:right="171"/>
              <w:rPr>
                <w:rFonts w:ascii="Verdana" w:hAnsi="Verdana"/>
                <w:sz w:val="18"/>
                <w:szCs w:val="18"/>
              </w:rPr>
            </w:pPr>
            <w:r w:rsidRPr="00EC75B7">
              <w:rPr>
                <w:rFonts w:ascii="Verdana" w:hAnsi="Verdana"/>
                <w:spacing w:val="-2"/>
                <w:sz w:val="18"/>
                <w:szCs w:val="18"/>
              </w:rPr>
              <w:t xml:space="preserve">outside the built-up area of Fântana Mare, </w:t>
            </w:r>
            <w:r w:rsidRPr="00EC75B7">
              <w:rPr>
                <w:rFonts w:ascii="Verdana" w:hAnsi="Verdana"/>
                <w:spacing w:val="-4"/>
                <w:sz w:val="18"/>
                <w:szCs w:val="18"/>
              </w:rPr>
              <w:t>Independența commune, Constanța county (proposed)</w:t>
            </w:r>
          </w:p>
          <w:p w14:paraId="4947D17E" w14:textId="77777777" w:rsidR="008715BE" w:rsidRPr="00EC75B7" w:rsidRDefault="00000000">
            <w:pPr>
              <w:pStyle w:val="TableParagraph"/>
              <w:spacing w:before="2"/>
              <w:ind w:left="111" w:right="120"/>
              <w:rPr>
                <w:rFonts w:ascii="Verdana" w:hAnsi="Verdana"/>
                <w:sz w:val="18"/>
                <w:szCs w:val="18"/>
              </w:rPr>
            </w:pPr>
            <w:r w:rsidRPr="00EC75B7">
              <w:rPr>
                <w:rFonts w:ascii="Verdana" w:hAnsi="Verdana"/>
                <w:spacing w:val="-2"/>
                <w:sz w:val="18"/>
                <w:szCs w:val="18"/>
              </w:rPr>
              <w:t xml:space="preserve">Constanța (proposed) </w:t>
            </w:r>
            <w:r w:rsidRPr="00EC75B7">
              <w:rPr>
                <w:rFonts w:ascii="Verdana" w:hAnsi="Verdana"/>
                <w:sz w:val="18"/>
                <w:szCs w:val="18"/>
              </w:rPr>
              <w:t xml:space="preserve">Wind </w:t>
            </w:r>
            <w:r w:rsidRPr="00EC75B7">
              <w:rPr>
                <w:rFonts w:ascii="Verdana" w:hAnsi="Verdana"/>
                <w:spacing w:val="-4"/>
                <w:sz w:val="18"/>
                <w:szCs w:val="18"/>
              </w:rPr>
              <w:t>farm</w:t>
            </w:r>
            <w:r w:rsidRPr="00EC75B7">
              <w:rPr>
                <w:rFonts w:ascii="Verdana" w:hAnsi="Verdana"/>
                <w:sz w:val="18"/>
                <w:szCs w:val="18"/>
              </w:rPr>
              <w:t xml:space="preserve"> 17 </w:t>
            </w:r>
            <w:r w:rsidRPr="00EC75B7">
              <w:rPr>
                <w:rFonts w:ascii="Verdana" w:hAnsi="Verdana"/>
                <w:spacing w:val="-2"/>
                <w:sz w:val="18"/>
                <w:szCs w:val="18"/>
              </w:rPr>
              <w:t xml:space="preserve">CE-112.2 MW, transformer </w:t>
            </w:r>
            <w:r w:rsidRPr="00EC75B7">
              <w:rPr>
                <w:rFonts w:ascii="Verdana" w:hAnsi="Verdana"/>
                <w:sz w:val="18"/>
                <w:szCs w:val="18"/>
              </w:rPr>
              <w:t xml:space="preserve">station, </w:t>
            </w:r>
            <w:r w:rsidRPr="00EC75B7">
              <w:rPr>
                <w:rFonts w:ascii="Verdana" w:hAnsi="Verdana"/>
                <w:spacing w:val="-2"/>
                <w:sz w:val="18"/>
                <w:szCs w:val="18"/>
              </w:rPr>
              <w:t>electrical connection networks, constru</w:t>
            </w:r>
            <w:r w:rsidRPr="00EC75B7">
              <w:rPr>
                <w:rFonts w:ascii="Verdana" w:hAnsi="Verdana"/>
                <w:spacing w:val="-2"/>
                <w:sz w:val="18"/>
                <w:szCs w:val="18"/>
              </w:rPr>
              <w:lastRenderedPageBreak/>
              <w:t>ction and modernization of communication and access roads</w:t>
            </w:r>
          </w:p>
          <w:p w14:paraId="633CBAE5" w14:textId="77777777" w:rsidR="008715BE" w:rsidRPr="00EC75B7" w:rsidRDefault="00000000">
            <w:pPr>
              <w:pStyle w:val="TableParagraph"/>
              <w:ind w:left="111" w:right="103"/>
              <w:rPr>
                <w:rFonts w:ascii="Verdana" w:hAnsi="Verdana"/>
                <w:sz w:val="18"/>
                <w:szCs w:val="18"/>
              </w:rPr>
            </w:pPr>
            <w:r w:rsidRPr="00EC75B7">
              <w:rPr>
                <w:rFonts w:ascii="Verdana" w:hAnsi="Verdana"/>
                <w:sz w:val="18"/>
                <w:szCs w:val="18"/>
              </w:rPr>
              <w:t xml:space="preserve">MW, transformer station, </w:t>
            </w:r>
            <w:r w:rsidRPr="00EC75B7">
              <w:rPr>
                <w:rFonts w:ascii="Verdana" w:hAnsi="Verdana"/>
                <w:spacing w:val="-2"/>
                <w:sz w:val="18"/>
                <w:szCs w:val="18"/>
              </w:rPr>
              <w:t xml:space="preserve">electrical </w:t>
            </w:r>
            <w:r w:rsidRPr="00EC75B7">
              <w:rPr>
                <w:rFonts w:ascii="Verdana" w:hAnsi="Verdana"/>
                <w:sz w:val="18"/>
                <w:szCs w:val="18"/>
              </w:rPr>
              <w:t xml:space="preserve">connection networks, </w:t>
            </w:r>
            <w:r w:rsidRPr="00EC75B7">
              <w:rPr>
                <w:rFonts w:ascii="Verdana" w:hAnsi="Verdana"/>
                <w:spacing w:val="-2"/>
                <w:sz w:val="18"/>
                <w:szCs w:val="18"/>
              </w:rPr>
              <w:t xml:space="preserve">construction </w:t>
            </w:r>
            <w:r w:rsidRPr="00EC75B7">
              <w:rPr>
                <w:rFonts w:ascii="Verdana" w:hAnsi="Verdana"/>
                <w:spacing w:val="-6"/>
                <w:sz w:val="18"/>
                <w:szCs w:val="18"/>
              </w:rPr>
              <w:t xml:space="preserve">and </w:t>
            </w:r>
            <w:r w:rsidRPr="00EC75B7">
              <w:rPr>
                <w:rFonts w:ascii="Verdana" w:hAnsi="Verdana"/>
                <w:sz w:val="18"/>
                <w:szCs w:val="18"/>
              </w:rPr>
              <w:t>modernization of communication and access roads</w:t>
            </w:r>
          </w:p>
          <w:p w14:paraId="2BDAC127" w14:textId="77777777" w:rsidR="008715BE" w:rsidRPr="00EC75B7" w:rsidRDefault="00000000">
            <w:pPr>
              <w:pStyle w:val="TableParagraph"/>
              <w:spacing w:line="163" w:lineRule="exact"/>
              <w:ind w:left="111"/>
              <w:rPr>
                <w:rFonts w:ascii="Verdana" w:hAnsi="Verdana"/>
                <w:sz w:val="18"/>
                <w:szCs w:val="18"/>
              </w:rPr>
            </w:pPr>
            <w:r w:rsidRPr="00EC75B7">
              <w:rPr>
                <w:rFonts w:ascii="Verdana" w:hAnsi="Verdana"/>
                <w:sz w:val="18"/>
                <w:szCs w:val="18"/>
              </w:rPr>
              <w:t>-</w:t>
            </w:r>
          </w:p>
          <w:p w14:paraId="0230C678" w14:textId="77777777" w:rsidR="008715BE" w:rsidRPr="00EC75B7" w:rsidRDefault="00000000">
            <w:pPr>
              <w:pStyle w:val="TableParagraph"/>
              <w:ind w:left="111"/>
              <w:rPr>
                <w:rFonts w:ascii="Verdana" w:hAnsi="Verdana"/>
                <w:sz w:val="18"/>
                <w:szCs w:val="18"/>
              </w:rPr>
            </w:pPr>
            <w:r w:rsidRPr="00EC75B7">
              <w:rPr>
                <w:rFonts w:ascii="Verdana" w:hAnsi="Verdana"/>
                <w:spacing w:val="-2"/>
                <w:sz w:val="18"/>
                <w:szCs w:val="18"/>
              </w:rPr>
              <w:t xml:space="preserve">outside the built-up area of Independența </w:t>
            </w:r>
            <w:r w:rsidRPr="00EC75B7">
              <w:rPr>
                <w:rFonts w:ascii="Verdana" w:hAnsi="Verdana"/>
                <w:spacing w:val="-4"/>
                <w:sz w:val="18"/>
                <w:szCs w:val="18"/>
              </w:rPr>
              <w:t>commune</w:t>
            </w:r>
          </w:p>
          <w:p w14:paraId="243AA025" w14:textId="77777777" w:rsidR="008715BE" w:rsidRPr="00EC75B7" w:rsidRDefault="00000000">
            <w:pPr>
              <w:pStyle w:val="TableParagraph"/>
              <w:spacing w:line="237" w:lineRule="auto"/>
              <w:ind w:left="111" w:right="133"/>
              <w:rPr>
                <w:rFonts w:ascii="Verdana" w:hAnsi="Verdana"/>
                <w:sz w:val="18"/>
                <w:szCs w:val="18"/>
              </w:rPr>
            </w:pPr>
            <w:r w:rsidRPr="00EC75B7">
              <w:rPr>
                <w:rFonts w:ascii="Verdana" w:hAnsi="Verdana"/>
                <w:sz w:val="18"/>
                <w:szCs w:val="18"/>
              </w:rPr>
              <w:t xml:space="preserve">Independența </w:t>
            </w:r>
            <w:r w:rsidRPr="00EC75B7">
              <w:rPr>
                <w:rFonts w:ascii="Verdana" w:hAnsi="Verdana"/>
                <w:spacing w:val="-4"/>
                <w:sz w:val="18"/>
                <w:szCs w:val="18"/>
              </w:rPr>
              <w:t>and</w:t>
            </w:r>
          </w:p>
          <w:p w14:paraId="781E67E8" w14:textId="77777777" w:rsidR="008715BE" w:rsidRPr="00EC75B7" w:rsidRDefault="00000000">
            <w:pPr>
              <w:pStyle w:val="TableParagraph"/>
              <w:ind w:left="111"/>
              <w:rPr>
                <w:rFonts w:ascii="Verdana" w:hAnsi="Verdana"/>
                <w:sz w:val="18"/>
                <w:szCs w:val="18"/>
              </w:rPr>
            </w:pPr>
            <w:r w:rsidRPr="00EC75B7">
              <w:rPr>
                <w:rFonts w:ascii="Verdana" w:hAnsi="Verdana"/>
                <w:spacing w:val="-2"/>
                <w:sz w:val="18"/>
                <w:szCs w:val="18"/>
              </w:rPr>
              <w:t>Cerchezu</w:t>
            </w:r>
          </w:p>
        </w:tc>
        <w:tc>
          <w:tcPr>
            <w:tcW w:w="1277" w:type="dxa"/>
          </w:tcPr>
          <w:p w14:paraId="41853687" w14:textId="77777777" w:rsidR="008715BE" w:rsidRPr="00EC75B7" w:rsidRDefault="00000000">
            <w:pPr>
              <w:pStyle w:val="TableParagraph"/>
              <w:spacing w:before="8"/>
              <w:ind w:left="111" w:right="151"/>
              <w:rPr>
                <w:rFonts w:ascii="Verdana" w:hAnsi="Verdana"/>
                <w:sz w:val="18"/>
                <w:szCs w:val="18"/>
              </w:rPr>
            </w:pPr>
            <w:r w:rsidRPr="00EC75B7">
              <w:rPr>
                <w:rFonts w:ascii="Verdana" w:hAnsi="Verdana"/>
                <w:sz w:val="18"/>
                <w:szCs w:val="18"/>
              </w:rPr>
              <w:lastRenderedPageBreak/>
              <w:t xml:space="preserve">Direct </w:t>
            </w:r>
            <w:r w:rsidRPr="00EC75B7">
              <w:rPr>
                <w:rFonts w:ascii="Verdana" w:hAnsi="Verdana"/>
                <w:spacing w:val="-4"/>
                <w:sz w:val="18"/>
                <w:szCs w:val="18"/>
              </w:rPr>
              <w:t xml:space="preserve">long-term </w:t>
            </w:r>
            <w:r w:rsidRPr="00EC75B7">
              <w:rPr>
                <w:rFonts w:ascii="Verdana" w:hAnsi="Verdana"/>
                <w:sz w:val="18"/>
                <w:szCs w:val="18"/>
              </w:rPr>
              <w:t>impact</w:t>
            </w:r>
          </w:p>
        </w:tc>
        <w:tc>
          <w:tcPr>
            <w:tcW w:w="2704" w:type="dxa"/>
          </w:tcPr>
          <w:p w14:paraId="2E89ADA3" w14:textId="77777777" w:rsidR="008715BE" w:rsidRPr="00EC75B7" w:rsidRDefault="00000000">
            <w:pPr>
              <w:pStyle w:val="TableParagraph"/>
              <w:spacing w:before="9" w:line="237" w:lineRule="auto"/>
              <w:ind w:left="111" w:right="122"/>
              <w:rPr>
                <w:rFonts w:ascii="Verdana" w:hAnsi="Verdana"/>
                <w:i/>
                <w:sz w:val="18"/>
                <w:szCs w:val="18"/>
              </w:rPr>
            </w:pPr>
            <w:r w:rsidRPr="00EC75B7">
              <w:rPr>
                <w:rFonts w:ascii="Verdana" w:hAnsi="Verdana"/>
                <w:i/>
                <w:sz w:val="18"/>
                <w:szCs w:val="18"/>
              </w:rPr>
              <w:t>Accipiter brevipes, Anthus campestris, Aquila pomarina, Bubo bubo, Buteo rufinus, Caprimulgus europaeus, Circus cyaneus, Circus macrourus, Circus pygargus, Coracias garrulus,</w:t>
            </w:r>
          </w:p>
          <w:p w14:paraId="72D722D3" w14:textId="77777777" w:rsidR="008715BE" w:rsidRPr="00EC75B7" w:rsidRDefault="00000000">
            <w:pPr>
              <w:pStyle w:val="TableParagraph"/>
              <w:spacing w:before="4"/>
              <w:ind w:left="111" w:right="122"/>
              <w:rPr>
                <w:rFonts w:ascii="Verdana" w:hAnsi="Verdana"/>
                <w:i/>
                <w:sz w:val="18"/>
                <w:szCs w:val="18"/>
              </w:rPr>
            </w:pPr>
            <w:r w:rsidRPr="00EC75B7">
              <w:rPr>
                <w:rFonts w:ascii="Verdana" w:hAnsi="Verdana"/>
                <w:i/>
                <w:sz w:val="18"/>
                <w:szCs w:val="18"/>
              </w:rPr>
              <w:t>Falco peregrinus, Hieraaetus pennatus, Lanius collurio, Lanius minor, Melanocorypha calandra, Milvus migrans, Pernis apivorus</w:t>
            </w:r>
          </w:p>
        </w:tc>
        <w:tc>
          <w:tcPr>
            <w:tcW w:w="1433" w:type="dxa"/>
          </w:tcPr>
          <w:p w14:paraId="425FE5F9" w14:textId="77777777" w:rsidR="008715BE" w:rsidRPr="00EC75B7" w:rsidRDefault="00000000">
            <w:pPr>
              <w:pStyle w:val="TableParagraph"/>
              <w:spacing w:before="8"/>
              <w:ind w:left="107" w:right="141"/>
              <w:rPr>
                <w:rFonts w:ascii="Verdana" w:hAnsi="Verdana"/>
                <w:i/>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migration/Species </w:t>
            </w:r>
            <w:r w:rsidRPr="00EC75B7">
              <w:rPr>
                <w:rFonts w:ascii="Verdana" w:hAnsi="Verdana"/>
                <w:b/>
                <w:sz w:val="18"/>
                <w:szCs w:val="18"/>
              </w:rPr>
              <w:t xml:space="preserve">associated with </w:t>
            </w:r>
            <w:r w:rsidRPr="00EC75B7">
              <w:rPr>
                <w:rFonts w:ascii="Verdana" w:hAnsi="Verdana"/>
                <w:b/>
                <w:spacing w:val="-2"/>
                <w:sz w:val="18"/>
                <w:szCs w:val="18"/>
              </w:rPr>
              <w:t xml:space="preserve">extensively used agricultural land </w:t>
            </w:r>
            <w:r w:rsidRPr="00EC75B7">
              <w:rPr>
                <w:rFonts w:ascii="Verdana" w:hAnsi="Verdana"/>
                <w:i/>
                <w:sz w:val="18"/>
                <w:szCs w:val="18"/>
              </w:rPr>
              <w:t xml:space="preserve">Alauda arvensis, </w:t>
            </w:r>
            <w:r w:rsidRPr="00EC75B7">
              <w:rPr>
                <w:rFonts w:ascii="Verdana" w:hAnsi="Verdana"/>
                <w:i/>
                <w:spacing w:val="-2"/>
                <w:sz w:val="18"/>
                <w:szCs w:val="18"/>
              </w:rPr>
              <w:t>Carduelis cannabina, Carduelis carduelis, Coturnix coturnix, Emberiza melanocephala, Falco tinnunculus, Fringilla montifringilla,</w:t>
            </w:r>
          </w:p>
          <w:p w14:paraId="74065BE5" w14:textId="77777777" w:rsidR="008715BE" w:rsidRPr="00EC75B7" w:rsidRDefault="00000000">
            <w:pPr>
              <w:pStyle w:val="TableParagraph"/>
              <w:spacing w:line="156" w:lineRule="exact"/>
              <w:ind w:left="107"/>
              <w:rPr>
                <w:rFonts w:ascii="Verdana" w:hAnsi="Verdana"/>
                <w:i/>
                <w:sz w:val="18"/>
                <w:szCs w:val="18"/>
              </w:rPr>
            </w:pPr>
            <w:r w:rsidRPr="00EC75B7">
              <w:rPr>
                <w:rFonts w:ascii="Verdana" w:hAnsi="Verdana"/>
                <w:i/>
                <w:sz w:val="18"/>
                <w:szCs w:val="18"/>
              </w:rPr>
              <w:t xml:space="preserve">Galerida </w:t>
            </w:r>
            <w:r w:rsidRPr="00EC75B7">
              <w:rPr>
                <w:rFonts w:ascii="Verdana" w:hAnsi="Verdana"/>
                <w:i/>
                <w:spacing w:val="-2"/>
                <w:sz w:val="18"/>
                <w:szCs w:val="18"/>
              </w:rPr>
              <w:t>cristata,</w:t>
            </w:r>
          </w:p>
          <w:p w14:paraId="3300433F" w14:textId="77777777" w:rsidR="008715BE" w:rsidRPr="00EC75B7" w:rsidRDefault="00000000">
            <w:pPr>
              <w:pStyle w:val="TableParagraph"/>
              <w:ind w:left="107" w:right="132"/>
              <w:rPr>
                <w:rFonts w:ascii="Verdana" w:hAnsi="Verdana"/>
                <w:i/>
                <w:sz w:val="18"/>
                <w:szCs w:val="18"/>
              </w:rPr>
            </w:pPr>
            <w:r w:rsidRPr="00EC75B7">
              <w:rPr>
                <w:rFonts w:ascii="Verdana" w:hAnsi="Verdana"/>
                <w:i/>
                <w:sz w:val="18"/>
                <w:szCs w:val="18"/>
              </w:rPr>
              <w:t xml:space="preserve">Lanius excubitor, Lanius senator, Merops apiaster, </w:t>
            </w:r>
            <w:r w:rsidRPr="00EC75B7">
              <w:rPr>
                <w:rFonts w:ascii="Verdana" w:hAnsi="Verdana"/>
                <w:i/>
                <w:spacing w:val="-2"/>
                <w:sz w:val="18"/>
                <w:szCs w:val="18"/>
              </w:rPr>
              <w:t xml:space="preserve">Miliaria calandra, </w:t>
            </w:r>
            <w:r w:rsidRPr="00EC75B7">
              <w:rPr>
                <w:rFonts w:ascii="Verdana" w:hAnsi="Verdana"/>
                <w:i/>
                <w:sz w:val="18"/>
                <w:szCs w:val="18"/>
              </w:rPr>
              <w:t xml:space="preserve">Motacilla alba, Motacilla flava, </w:t>
            </w:r>
            <w:r w:rsidRPr="00EC75B7">
              <w:rPr>
                <w:rFonts w:ascii="Verdana" w:hAnsi="Verdana"/>
                <w:i/>
                <w:spacing w:val="-2"/>
                <w:sz w:val="18"/>
                <w:szCs w:val="18"/>
              </w:rPr>
              <w:t xml:space="preserve">Oenanthe isabellina, Oenanthe oenanthe, Saxicola torquata, Streptopelia </w:t>
            </w:r>
            <w:r w:rsidRPr="00EC75B7">
              <w:rPr>
                <w:rFonts w:ascii="Verdana" w:hAnsi="Verdana"/>
                <w:i/>
                <w:sz w:val="18"/>
                <w:szCs w:val="18"/>
              </w:rPr>
              <w:t xml:space="preserve">turtur, Sturnus </w:t>
            </w:r>
            <w:r w:rsidRPr="00EC75B7">
              <w:rPr>
                <w:rFonts w:ascii="Verdana" w:hAnsi="Verdana"/>
                <w:i/>
                <w:spacing w:val="-2"/>
                <w:sz w:val="18"/>
                <w:szCs w:val="18"/>
              </w:rPr>
              <w:t>roseus</w:t>
            </w:r>
            <w:r w:rsidRPr="00EC75B7">
              <w:rPr>
                <w:rFonts w:ascii="Verdana" w:hAnsi="Verdana"/>
                <w:i/>
                <w:spacing w:val="40"/>
                <w:sz w:val="18"/>
                <w:szCs w:val="18"/>
              </w:rPr>
              <w:t xml:space="preserve">  </w:t>
            </w:r>
            <w:r w:rsidRPr="00EC75B7">
              <w:rPr>
                <w:rFonts w:ascii="Verdana" w:hAnsi="Verdana"/>
                <w:i/>
                <w:spacing w:val="-2"/>
                <w:sz w:val="18"/>
                <w:szCs w:val="18"/>
              </w:rPr>
              <w:t xml:space="preserve"> (alternative name </w:t>
            </w:r>
            <w:r w:rsidRPr="00EC75B7">
              <w:rPr>
                <w:rFonts w:ascii="Verdana" w:hAnsi="Verdana"/>
                <w:i/>
                <w:sz w:val="18"/>
                <w:szCs w:val="18"/>
              </w:rPr>
              <w:t>Pastor roseus), Turdus iliacus, Upupa epops</w:t>
            </w:r>
          </w:p>
        </w:tc>
        <w:tc>
          <w:tcPr>
            <w:tcW w:w="1080" w:type="dxa"/>
          </w:tcPr>
          <w:p w14:paraId="2C20A6D3" w14:textId="77777777" w:rsidR="008715BE" w:rsidRPr="00EC75B7" w:rsidRDefault="00000000">
            <w:pPr>
              <w:pStyle w:val="TableParagraph"/>
              <w:spacing w:before="8"/>
              <w:ind w:left="97" w:right="111"/>
              <w:rPr>
                <w:rFonts w:ascii="Verdana" w:hAnsi="Verdana"/>
                <w:i/>
                <w:sz w:val="18"/>
                <w:szCs w:val="18"/>
              </w:rPr>
            </w:pPr>
            <w:r w:rsidRPr="00EC75B7">
              <w:rPr>
                <w:rFonts w:ascii="Verdana" w:hAnsi="Verdana"/>
                <w:b/>
                <w:spacing w:val="-2"/>
                <w:sz w:val="18"/>
                <w:szCs w:val="18"/>
              </w:rPr>
              <w:t>Associated species</w:t>
            </w:r>
            <w:r w:rsidRPr="00EC75B7">
              <w:rPr>
                <w:rFonts w:ascii="Verdana" w:hAnsi="Verdana"/>
                <w:b/>
                <w:spacing w:val="80"/>
                <w:sz w:val="18"/>
                <w:szCs w:val="18"/>
              </w:rPr>
              <w:t xml:space="preserve">  </w:t>
            </w:r>
            <w:r w:rsidRPr="00EC75B7">
              <w:rPr>
                <w:rFonts w:ascii="Verdana" w:hAnsi="Verdana"/>
                <w:b/>
                <w:spacing w:val="-2"/>
                <w:sz w:val="18"/>
                <w:szCs w:val="18"/>
              </w:rPr>
              <w:t xml:space="preserve"> </w:t>
            </w:r>
            <w:r w:rsidRPr="00EC75B7">
              <w:rPr>
                <w:rFonts w:ascii="Verdana" w:hAnsi="Verdana"/>
                <w:b/>
                <w:spacing w:val="40"/>
                <w:sz w:val="18"/>
                <w:szCs w:val="18"/>
              </w:rPr>
              <w:t xml:space="preserve">  </w:t>
            </w:r>
            <w:r w:rsidRPr="00EC75B7">
              <w:rPr>
                <w:rFonts w:ascii="Verdana" w:hAnsi="Verdana"/>
                <w:b/>
                <w:spacing w:val="-2"/>
                <w:sz w:val="18"/>
                <w:szCs w:val="18"/>
              </w:rPr>
              <w:t xml:space="preserve">  </w:t>
            </w:r>
            <w:r w:rsidRPr="00EC75B7">
              <w:rPr>
                <w:rFonts w:ascii="Verdana" w:hAnsi="Verdana"/>
                <w:b/>
                <w:sz w:val="18"/>
                <w:szCs w:val="18"/>
              </w:rPr>
              <w:t xml:space="preserve">forest </w:t>
            </w:r>
            <w:r w:rsidRPr="00EC75B7">
              <w:rPr>
                <w:rFonts w:ascii="Verdana" w:hAnsi="Verdana"/>
                <w:b/>
                <w:spacing w:val="-2"/>
                <w:sz w:val="18"/>
                <w:szCs w:val="18"/>
              </w:rPr>
              <w:t xml:space="preserve">habitats </w:t>
            </w:r>
            <w:r w:rsidRPr="00EC75B7">
              <w:rPr>
                <w:rFonts w:ascii="Verdana" w:hAnsi="Verdana"/>
                <w:i/>
                <w:spacing w:val="-2"/>
                <w:sz w:val="18"/>
                <w:szCs w:val="18"/>
              </w:rPr>
              <w:t xml:space="preserve">Carduelis chloris, Carduelis spinus, Coccothraus </w:t>
            </w:r>
            <w:r w:rsidRPr="00EC75B7">
              <w:rPr>
                <w:rFonts w:ascii="Verdana" w:hAnsi="Verdana"/>
                <w:i/>
                <w:spacing w:val="-4"/>
                <w:sz w:val="18"/>
                <w:szCs w:val="18"/>
              </w:rPr>
              <w:t xml:space="preserve">tes </w:t>
            </w:r>
            <w:r w:rsidRPr="00EC75B7">
              <w:rPr>
                <w:rFonts w:ascii="Verdana" w:hAnsi="Verdana"/>
                <w:i/>
                <w:spacing w:val="-2"/>
                <w:sz w:val="18"/>
                <w:szCs w:val="18"/>
              </w:rPr>
              <w:t xml:space="preserve">coccothraus </w:t>
            </w:r>
            <w:r w:rsidRPr="00EC75B7">
              <w:rPr>
                <w:rFonts w:ascii="Verdana" w:hAnsi="Verdana"/>
                <w:i/>
                <w:sz w:val="18"/>
                <w:szCs w:val="18"/>
              </w:rPr>
              <w:t xml:space="preserve">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 xml:space="preserve">torquilla, Muscicapa striata, Oriolus oriolus, Phylloscopu </w:t>
            </w:r>
            <w:r w:rsidRPr="00EC75B7">
              <w:rPr>
                <w:rFonts w:ascii="Verdana" w:hAnsi="Verdana"/>
                <w:i/>
                <w:sz w:val="18"/>
                <w:szCs w:val="18"/>
              </w:rPr>
              <w:t>s collybita,</w:t>
            </w:r>
            <w:r w:rsidRPr="00EC75B7">
              <w:rPr>
                <w:rFonts w:ascii="Verdana" w:hAnsi="Verdana"/>
                <w:i/>
                <w:spacing w:val="40"/>
                <w:sz w:val="18"/>
                <w:szCs w:val="18"/>
              </w:rPr>
              <w:t xml:space="preserve"> </w:t>
            </w:r>
            <w:r w:rsidRPr="00EC75B7">
              <w:rPr>
                <w:rFonts w:ascii="Verdana" w:hAnsi="Verdana"/>
                <w:i/>
                <w:spacing w:val="-2"/>
                <w:sz w:val="18"/>
                <w:szCs w:val="18"/>
              </w:rPr>
              <w:t xml:space="preserve">Phylloscopu </w:t>
            </w:r>
            <w:r w:rsidRPr="00EC75B7">
              <w:rPr>
                <w:rFonts w:ascii="Verdana" w:hAnsi="Verdana"/>
                <w:i/>
                <w:sz w:val="18"/>
                <w:szCs w:val="18"/>
              </w:rPr>
              <w:t xml:space="preserve">s sibilatrix, </w:t>
            </w:r>
            <w:r w:rsidRPr="00EC75B7">
              <w:rPr>
                <w:rFonts w:ascii="Verdana" w:hAnsi="Verdana"/>
                <w:i/>
                <w:spacing w:val="-2"/>
                <w:sz w:val="18"/>
                <w:szCs w:val="18"/>
              </w:rPr>
              <w:t xml:space="preserve">Phylloscopu </w:t>
            </w:r>
            <w:r w:rsidRPr="00EC75B7">
              <w:rPr>
                <w:rFonts w:ascii="Verdana" w:hAnsi="Verdana"/>
                <w:i/>
                <w:sz w:val="18"/>
                <w:szCs w:val="18"/>
              </w:rPr>
              <w:t xml:space="preserve">s trochilus, </w:t>
            </w:r>
            <w:r w:rsidRPr="00EC75B7">
              <w:rPr>
                <w:rFonts w:ascii="Verdana" w:hAnsi="Verdana"/>
                <w:i/>
                <w:spacing w:val="-2"/>
                <w:sz w:val="18"/>
                <w:szCs w:val="18"/>
              </w:rPr>
              <w:t>Pyrrhula pyrrhula, Regulus ignicapillus, Regulus regulus, Serinus serinus, Sturnus vulgaris, Sylvia atricapilla, Sylvia curruca, Turdus merula, Turdus philomelos, Turdus pilaris, Turdus viscivorus</w:t>
            </w:r>
          </w:p>
        </w:tc>
        <w:tc>
          <w:tcPr>
            <w:tcW w:w="1115" w:type="dxa"/>
            <w:gridSpan w:val="2"/>
          </w:tcPr>
          <w:p w14:paraId="7BACA572" w14:textId="77777777" w:rsidR="008715BE" w:rsidRPr="00EC75B7" w:rsidRDefault="00000000">
            <w:pPr>
              <w:pStyle w:val="TableParagraph"/>
              <w:spacing w:before="8"/>
              <w:ind w:left="97" w:right="102"/>
              <w:rPr>
                <w:rFonts w:ascii="Verdana" w:hAnsi="Verdana"/>
                <w:i/>
                <w:sz w:val="18"/>
                <w:szCs w:val="18"/>
              </w:rPr>
            </w:pPr>
            <w:r w:rsidRPr="00EC75B7">
              <w:rPr>
                <w:rFonts w:ascii="Verdana" w:hAnsi="Verdana"/>
                <w:b/>
                <w:spacing w:val="-2"/>
                <w:sz w:val="18"/>
                <w:szCs w:val="18"/>
              </w:rPr>
              <w:t xml:space="preserve">Species </w:t>
            </w:r>
            <w:r w:rsidRPr="00EC75B7">
              <w:rPr>
                <w:rFonts w:ascii="Verdana" w:hAnsi="Verdana"/>
                <w:b/>
                <w:sz w:val="18"/>
                <w:szCs w:val="18"/>
              </w:rPr>
              <w:t xml:space="preserve">associated with </w:t>
            </w:r>
            <w:r w:rsidRPr="00EC75B7">
              <w:rPr>
                <w:rFonts w:ascii="Verdana" w:hAnsi="Verdana"/>
                <w:b/>
                <w:spacing w:val="-2"/>
                <w:sz w:val="18"/>
                <w:szCs w:val="18"/>
              </w:rPr>
              <w:t xml:space="preserve">reedbed </w:t>
            </w:r>
            <w:r w:rsidRPr="00EC75B7">
              <w:rPr>
                <w:rFonts w:ascii="Verdana" w:hAnsi="Verdana"/>
                <w:b/>
                <w:sz w:val="18"/>
                <w:szCs w:val="18"/>
              </w:rPr>
              <w:t xml:space="preserve">habitats </w:t>
            </w:r>
            <w:r w:rsidRPr="00EC75B7">
              <w:rPr>
                <w:rFonts w:ascii="Verdana" w:hAnsi="Verdana"/>
                <w:i/>
                <w:spacing w:val="-10"/>
                <w:sz w:val="18"/>
                <w:szCs w:val="18"/>
              </w:rPr>
              <w:t xml:space="preserve">Acrocephalus </w:t>
            </w:r>
            <w:r w:rsidRPr="00EC75B7">
              <w:rPr>
                <w:rFonts w:ascii="Verdana" w:hAnsi="Verdana"/>
                <w:i/>
                <w:spacing w:val="-6"/>
                <w:sz w:val="18"/>
                <w:szCs w:val="18"/>
              </w:rPr>
              <w:t xml:space="preserve">arundinaceus, </w:t>
            </w:r>
            <w:r w:rsidRPr="00EC75B7">
              <w:rPr>
                <w:rFonts w:ascii="Verdana" w:hAnsi="Verdana"/>
                <w:i/>
                <w:sz w:val="18"/>
                <w:szCs w:val="18"/>
              </w:rPr>
              <w:t xml:space="preserve">Acrocephalus palustris, </w:t>
            </w:r>
            <w:r w:rsidRPr="00EC75B7">
              <w:rPr>
                <w:rFonts w:ascii="Verdana" w:hAnsi="Verdana"/>
                <w:i/>
                <w:spacing w:val="-10"/>
                <w:sz w:val="18"/>
                <w:szCs w:val="18"/>
              </w:rPr>
              <w:t xml:space="preserve">Acrocephalus </w:t>
            </w:r>
            <w:r w:rsidRPr="00EC75B7">
              <w:rPr>
                <w:rFonts w:ascii="Verdana" w:hAnsi="Verdana"/>
                <w:i/>
                <w:spacing w:val="-4"/>
                <w:sz w:val="18"/>
                <w:szCs w:val="18"/>
              </w:rPr>
              <w:t xml:space="preserve">schoenobanus, </w:t>
            </w:r>
            <w:r w:rsidRPr="00EC75B7">
              <w:rPr>
                <w:rFonts w:ascii="Verdana" w:hAnsi="Verdana"/>
                <w:i/>
                <w:sz w:val="18"/>
                <w:szCs w:val="18"/>
              </w:rPr>
              <w:t xml:space="preserve">Acrocephalus scirpaceus, </w:t>
            </w:r>
            <w:r w:rsidRPr="00EC75B7">
              <w:rPr>
                <w:rFonts w:ascii="Verdana" w:hAnsi="Verdana"/>
                <w:i/>
                <w:spacing w:val="-2"/>
                <w:sz w:val="18"/>
                <w:szCs w:val="18"/>
              </w:rPr>
              <w:t>Locustella fluviatilis, Locustella luscinioides, Riparia riparia</w:t>
            </w:r>
          </w:p>
        </w:tc>
        <w:tc>
          <w:tcPr>
            <w:tcW w:w="4025" w:type="dxa"/>
          </w:tcPr>
          <w:p w14:paraId="2953FA7B"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Species associated with rocky habitats and </w:t>
            </w:r>
            <w:r w:rsidRPr="00EC75B7">
              <w:rPr>
                <w:rFonts w:ascii="Verdana" w:hAnsi="Verdana"/>
                <w:b/>
                <w:spacing w:val="-2"/>
                <w:sz w:val="18"/>
                <w:szCs w:val="18"/>
              </w:rPr>
              <w:t>urban</w:t>
            </w:r>
            <w:r w:rsidRPr="00EC75B7">
              <w:rPr>
                <w:rFonts w:ascii="Verdana" w:hAnsi="Verdana"/>
                <w:b/>
                <w:sz w:val="18"/>
                <w:szCs w:val="18"/>
              </w:rPr>
              <w:t xml:space="preserve"> areas</w:t>
            </w:r>
          </w:p>
          <w:p w14:paraId="15BD0219" w14:textId="77777777" w:rsidR="008715BE" w:rsidRPr="00EC75B7" w:rsidRDefault="00000000">
            <w:pPr>
              <w:pStyle w:val="TableParagraph"/>
              <w:spacing w:line="170" w:lineRule="exact"/>
              <w:ind w:left="108"/>
              <w:rPr>
                <w:rFonts w:ascii="Verdana" w:hAnsi="Verdana"/>
                <w:i/>
                <w:sz w:val="18"/>
                <w:szCs w:val="18"/>
              </w:rPr>
            </w:pPr>
            <w:r w:rsidRPr="00EC75B7">
              <w:rPr>
                <w:rFonts w:ascii="Verdana" w:hAnsi="Verdana"/>
                <w:i/>
                <w:sz w:val="18"/>
                <w:szCs w:val="18"/>
              </w:rPr>
              <w:t xml:space="preserve">Monticola saxatilis, Hirundo daurica, Hirundo </w:t>
            </w:r>
            <w:r w:rsidRPr="00EC75B7">
              <w:rPr>
                <w:rFonts w:ascii="Verdana" w:hAnsi="Verdana"/>
                <w:i/>
                <w:spacing w:val="-2"/>
                <w:sz w:val="18"/>
                <w:szCs w:val="18"/>
              </w:rPr>
              <w:t>rustica</w:t>
            </w:r>
          </w:p>
        </w:tc>
        <w:tc>
          <w:tcPr>
            <w:tcW w:w="1081" w:type="dxa"/>
          </w:tcPr>
          <w:p w14:paraId="0F064284" w14:textId="77777777" w:rsidR="008715BE" w:rsidRPr="00EC75B7" w:rsidRDefault="00000000">
            <w:pPr>
              <w:pStyle w:val="TableParagraph"/>
              <w:spacing w:before="8"/>
              <w:ind w:left="111"/>
              <w:rPr>
                <w:rFonts w:ascii="Verdana" w:hAnsi="Verdana"/>
                <w:sz w:val="18"/>
                <w:szCs w:val="18"/>
              </w:rPr>
            </w:pPr>
            <w:r w:rsidRPr="00EC75B7">
              <w:rPr>
                <w:rFonts w:ascii="Verdana" w:hAnsi="Verdana"/>
                <w:spacing w:val="-2"/>
                <w:sz w:val="18"/>
                <w:szCs w:val="18"/>
              </w:rPr>
              <w:t>Population size</w:t>
            </w:r>
          </w:p>
        </w:tc>
        <w:tc>
          <w:tcPr>
            <w:tcW w:w="1261" w:type="dxa"/>
          </w:tcPr>
          <w:p w14:paraId="7E3275BA" w14:textId="77777777" w:rsidR="008715BE" w:rsidRPr="00EC75B7" w:rsidRDefault="00000000">
            <w:pPr>
              <w:pStyle w:val="TableParagraph"/>
              <w:spacing w:before="8"/>
              <w:ind w:left="110" w:right="135"/>
              <w:rPr>
                <w:rFonts w:ascii="Verdana" w:hAnsi="Verdana"/>
                <w:sz w:val="18"/>
                <w:szCs w:val="18"/>
              </w:rPr>
            </w:pPr>
            <w:r w:rsidRPr="00EC75B7">
              <w:rPr>
                <w:rFonts w:ascii="Verdana" w:hAnsi="Verdana"/>
                <w:i/>
                <w:spacing w:val="-2"/>
                <w:sz w:val="18"/>
                <w:szCs w:val="18"/>
              </w:rPr>
              <w:t xml:space="preserve">Alauda </w:t>
            </w:r>
            <w:r w:rsidRPr="00EC75B7">
              <w:rPr>
                <w:rFonts w:ascii="Verdana" w:hAnsi="Verdana"/>
                <w:i/>
                <w:sz w:val="18"/>
                <w:szCs w:val="18"/>
              </w:rPr>
              <w:t xml:space="preserve">arvensis </w:t>
            </w:r>
            <w:r w:rsidRPr="00EC75B7">
              <w:rPr>
                <w:rFonts w:ascii="Verdana" w:hAnsi="Verdana"/>
                <w:sz w:val="18"/>
                <w:szCs w:val="18"/>
              </w:rPr>
              <w:t>- 0.083 individuals/</w:t>
            </w:r>
          </w:p>
          <w:p w14:paraId="70DB4E1D"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28509DF5" w14:textId="77777777" w:rsidR="008715BE" w:rsidRPr="00EC75B7" w:rsidRDefault="00000000">
            <w:pPr>
              <w:pStyle w:val="TableParagraph"/>
              <w:spacing w:before="2" w:line="235" w:lineRule="auto"/>
              <w:ind w:left="110" w:right="117"/>
              <w:rPr>
                <w:rFonts w:ascii="Verdana" w:hAnsi="Verdana"/>
                <w:sz w:val="18"/>
                <w:szCs w:val="18"/>
              </w:rPr>
            </w:pPr>
            <w:r w:rsidRPr="00EC75B7">
              <w:rPr>
                <w:rFonts w:ascii="Verdana" w:hAnsi="Verdana"/>
                <w:sz w:val="18"/>
                <w:szCs w:val="18"/>
              </w:rPr>
              <w:t xml:space="preserve">in approx. 12 </w:t>
            </w:r>
            <w:r w:rsidRPr="00EC75B7">
              <w:rPr>
                <w:rFonts w:ascii="Verdana" w:hAnsi="Verdana"/>
                <w:spacing w:val="-4"/>
                <w:sz w:val="18"/>
                <w:szCs w:val="18"/>
              </w:rPr>
              <w:t>years)</w:t>
            </w:r>
          </w:p>
          <w:p w14:paraId="37C87760" w14:textId="77777777" w:rsidR="008715BE" w:rsidRPr="00EC75B7" w:rsidRDefault="00000000">
            <w:pPr>
              <w:pStyle w:val="TableParagraph"/>
              <w:spacing w:before="1"/>
              <w:ind w:left="110" w:right="135"/>
              <w:rPr>
                <w:rFonts w:ascii="Verdana" w:hAnsi="Verdana"/>
                <w:sz w:val="18"/>
                <w:szCs w:val="18"/>
              </w:rPr>
            </w:pPr>
            <w:r w:rsidRPr="00EC75B7">
              <w:rPr>
                <w:rFonts w:ascii="Verdana" w:hAnsi="Verdana"/>
                <w:i/>
                <w:spacing w:val="-2"/>
                <w:sz w:val="18"/>
                <w:szCs w:val="18"/>
              </w:rPr>
              <w:t xml:space="preserve">Aquila </w:t>
            </w:r>
            <w:r w:rsidRPr="00EC75B7">
              <w:rPr>
                <w:rFonts w:ascii="Verdana" w:hAnsi="Verdana"/>
                <w:i/>
                <w:sz w:val="18"/>
                <w:szCs w:val="18"/>
              </w:rPr>
              <w:t xml:space="preserve">pomarina </w:t>
            </w:r>
            <w:r w:rsidRPr="00EC75B7">
              <w:rPr>
                <w:rFonts w:ascii="Verdana" w:hAnsi="Verdana"/>
                <w:sz w:val="18"/>
                <w:szCs w:val="18"/>
              </w:rPr>
              <w:t>- 0.197 individuals/</w:t>
            </w:r>
          </w:p>
          <w:p w14:paraId="209880A2"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158B89C4" w14:textId="77777777" w:rsidR="008715BE" w:rsidRPr="00EC75B7" w:rsidRDefault="00000000">
            <w:pPr>
              <w:pStyle w:val="TableParagraph"/>
              <w:ind w:left="110" w:right="317"/>
              <w:rPr>
                <w:rFonts w:ascii="Verdana" w:hAnsi="Verdana"/>
                <w:sz w:val="18"/>
                <w:szCs w:val="18"/>
              </w:rPr>
            </w:pPr>
            <w:r w:rsidRPr="00EC75B7">
              <w:rPr>
                <w:rFonts w:ascii="Verdana" w:hAnsi="Verdana"/>
                <w:sz w:val="18"/>
                <w:szCs w:val="18"/>
              </w:rPr>
              <w:t xml:space="preserve">approx. every 5 </w:t>
            </w:r>
            <w:r w:rsidRPr="00EC75B7">
              <w:rPr>
                <w:rFonts w:ascii="Verdana" w:hAnsi="Verdana"/>
                <w:spacing w:val="-4"/>
                <w:sz w:val="18"/>
                <w:szCs w:val="18"/>
              </w:rPr>
              <w:t>years)</w:t>
            </w:r>
          </w:p>
          <w:p w14:paraId="2530DF8C" w14:textId="77777777" w:rsidR="008715BE" w:rsidRPr="00EC75B7" w:rsidRDefault="00000000">
            <w:pPr>
              <w:pStyle w:val="TableParagraph"/>
              <w:ind w:left="110" w:right="135"/>
              <w:rPr>
                <w:rFonts w:ascii="Verdana" w:hAnsi="Verdana"/>
                <w:sz w:val="18"/>
                <w:szCs w:val="18"/>
              </w:rPr>
            </w:pPr>
            <w:r w:rsidRPr="00EC75B7">
              <w:rPr>
                <w:rFonts w:ascii="Verdana" w:hAnsi="Verdana"/>
                <w:i/>
                <w:sz w:val="18"/>
                <w:szCs w:val="18"/>
              </w:rPr>
              <w:t xml:space="preserve">Buteo buteo </w:t>
            </w:r>
            <w:r w:rsidRPr="00EC75B7">
              <w:rPr>
                <w:rFonts w:ascii="Verdana" w:hAnsi="Verdana"/>
                <w:sz w:val="18"/>
                <w:szCs w:val="18"/>
              </w:rPr>
              <w:t xml:space="preserve">- 1.285 </w:t>
            </w:r>
            <w:r w:rsidRPr="00EC75B7">
              <w:rPr>
                <w:rFonts w:ascii="Verdana" w:hAnsi="Verdana"/>
                <w:spacing w:val="-2"/>
                <w:sz w:val="18"/>
                <w:szCs w:val="18"/>
              </w:rPr>
              <w:t>individuals/</w:t>
            </w:r>
          </w:p>
          <w:p w14:paraId="5EFCD24D" w14:textId="77777777" w:rsidR="008715BE" w:rsidRPr="00EC75B7" w:rsidRDefault="00000000">
            <w:pPr>
              <w:pStyle w:val="TableParagraph"/>
              <w:spacing w:line="167"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241CC903" w14:textId="77777777" w:rsidR="008715BE" w:rsidRPr="00EC75B7" w:rsidRDefault="00000000">
            <w:pPr>
              <w:pStyle w:val="TableParagraph"/>
              <w:ind w:left="110" w:right="317"/>
              <w:rPr>
                <w:rFonts w:ascii="Verdana" w:hAnsi="Verdana"/>
                <w:sz w:val="18"/>
                <w:szCs w:val="18"/>
              </w:rPr>
            </w:pPr>
            <w:r w:rsidRPr="00EC75B7">
              <w:rPr>
                <w:rFonts w:ascii="Verdana" w:hAnsi="Verdana"/>
                <w:sz w:val="18"/>
                <w:szCs w:val="18"/>
              </w:rPr>
              <w:t xml:space="preserve">approx. 1 </w:t>
            </w:r>
            <w:r w:rsidRPr="00EC75B7">
              <w:rPr>
                <w:rFonts w:ascii="Verdana" w:hAnsi="Verdana"/>
                <w:spacing w:val="-4"/>
                <w:sz w:val="18"/>
                <w:szCs w:val="18"/>
              </w:rPr>
              <w:t>year)</w:t>
            </w:r>
          </w:p>
          <w:p w14:paraId="7F584749" w14:textId="77777777" w:rsidR="008715BE" w:rsidRPr="00EC75B7" w:rsidRDefault="00000000">
            <w:pPr>
              <w:pStyle w:val="TableParagraph"/>
              <w:spacing w:line="170" w:lineRule="exact"/>
              <w:ind w:left="110"/>
              <w:rPr>
                <w:rFonts w:ascii="Verdana" w:hAnsi="Verdana"/>
                <w:i/>
                <w:sz w:val="18"/>
                <w:szCs w:val="18"/>
              </w:rPr>
            </w:pPr>
            <w:r w:rsidRPr="00EC75B7">
              <w:rPr>
                <w:rFonts w:ascii="Verdana" w:hAnsi="Verdana"/>
                <w:i/>
                <w:sz w:val="18"/>
                <w:szCs w:val="18"/>
              </w:rPr>
              <w:t xml:space="preserve">Buteo </w:t>
            </w:r>
            <w:r w:rsidRPr="00EC75B7">
              <w:rPr>
                <w:rFonts w:ascii="Verdana" w:hAnsi="Verdana"/>
                <w:i/>
                <w:spacing w:val="-2"/>
                <w:sz w:val="18"/>
                <w:szCs w:val="18"/>
              </w:rPr>
              <w:t>rufinus</w:t>
            </w:r>
          </w:p>
          <w:p w14:paraId="78B3BB7E" w14:textId="77777777" w:rsidR="008715BE" w:rsidRPr="00EC75B7" w:rsidRDefault="00000000">
            <w:pPr>
              <w:pStyle w:val="TableParagraph"/>
              <w:spacing w:line="170" w:lineRule="exact"/>
              <w:ind w:left="110"/>
              <w:rPr>
                <w:rFonts w:ascii="Verdana" w:hAnsi="Verdana"/>
                <w:sz w:val="18"/>
                <w:szCs w:val="18"/>
              </w:rPr>
            </w:pPr>
            <w:r w:rsidRPr="00EC75B7">
              <w:rPr>
                <w:rFonts w:ascii="Verdana" w:hAnsi="Verdana"/>
                <w:sz w:val="18"/>
                <w:szCs w:val="18"/>
              </w:rPr>
              <w:t>-</w:t>
            </w:r>
            <w:r w:rsidRPr="00EC75B7">
              <w:rPr>
                <w:rFonts w:ascii="Verdana" w:hAnsi="Verdana"/>
                <w:spacing w:val="-4"/>
                <w:sz w:val="18"/>
                <w:szCs w:val="18"/>
              </w:rPr>
              <w:t xml:space="preserve"> 0.193</w:t>
            </w:r>
          </w:p>
          <w:p w14:paraId="222CDA45" w14:textId="77777777" w:rsidR="008715BE" w:rsidRPr="00EC75B7" w:rsidRDefault="00000000">
            <w:pPr>
              <w:pStyle w:val="TableParagraph"/>
              <w:spacing w:line="237" w:lineRule="auto"/>
              <w:ind w:left="110" w:right="135"/>
              <w:rPr>
                <w:rFonts w:ascii="Verdana" w:hAnsi="Verdana"/>
                <w:sz w:val="18"/>
                <w:szCs w:val="18"/>
              </w:rPr>
            </w:pPr>
            <w:r w:rsidRPr="00EC75B7">
              <w:rPr>
                <w:rFonts w:ascii="Verdana" w:hAnsi="Verdana"/>
                <w:sz w:val="18"/>
                <w:szCs w:val="18"/>
              </w:rPr>
              <w:t xml:space="preserve">individuals/year (1 individual approx. every 5 years) </w:t>
            </w:r>
            <w:r w:rsidRPr="00EC75B7">
              <w:rPr>
                <w:rFonts w:ascii="Verdana" w:hAnsi="Verdana"/>
                <w:i/>
                <w:spacing w:val="-2"/>
                <w:sz w:val="18"/>
                <w:szCs w:val="18"/>
              </w:rPr>
              <w:t xml:space="preserve">Circaetus </w:t>
            </w:r>
            <w:r w:rsidRPr="00EC75B7">
              <w:rPr>
                <w:rFonts w:ascii="Verdana" w:hAnsi="Verdana"/>
                <w:i/>
                <w:sz w:val="18"/>
                <w:szCs w:val="18"/>
              </w:rPr>
              <w:t xml:space="preserve">gallicus </w:t>
            </w:r>
            <w:r w:rsidRPr="00EC75B7">
              <w:rPr>
                <w:rFonts w:ascii="Verdana" w:hAnsi="Verdana"/>
                <w:sz w:val="18"/>
                <w:szCs w:val="18"/>
              </w:rPr>
              <w:t>- 0.261 individuals/</w:t>
            </w:r>
          </w:p>
          <w:p w14:paraId="2DBE4888" w14:textId="77777777" w:rsidR="008715BE" w:rsidRPr="00EC75B7" w:rsidRDefault="00000000">
            <w:pPr>
              <w:pStyle w:val="TableParagraph"/>
              <w:spacing w:before="3" w:line="171" w:lineRule="exact"/>
              <w:ind w:left="110"/>
              <w:rPr>
                <w:rFonts w:ascii="Verdana" w:hAnsi="Verdana"/>
                <w:sz w:val="18"/>
                <w:szCs w:val="18"/>
              </w:rPr>
            </w:pPr>
            <w:r w:rsidRPr="00EC75B7">
              <w:rPr>
                <w:rFonts w:ascii="Verdana" w:hAnsi="Verdana"/>
                <w:sz w:val="18"/>
                <w:szCs w:val="18"/>
              </w:rPr>
              <w:t xml:space="preserve">year (2 </w:t>
            </w:r>
            <w:r w:rsidRPr="00EC75B7">
              <w:rPr>
                <w:rFonts w:ascii="Verdana" w:hAnsi="Verdana"/>
                <w:spacing w:val="-2"/>
                <w:sz w:val="18"/>
                <w:szCs w:val="18"/>
              </w:rPr>
              <w:t>individuals</w:t>
            </w:r>
          </w:p>
          <w:p w14:paraId="77F15D79" w14:textId="77777777" w:rsidR="008715BE" w:rsidRPr="00EC75B7" w:rsidRDefault="00000000">
            <w:pPr>
              <w:pStyle w:val="TableParagraph"/>
              <w:ind w:left="110" w:right="317"/>
              <w:rPr>
                <w:rFonts w:ascii="Verdana" w:hAnsi="Verdana"/>
                <w:sz w:val="18"/>
                <w:szCs w:val="18"/>
              </w:rPr>
            </w:pPr>
            <w:r w:rsidRPr="00EC75B7">
              <w:rPr>
                <w:rFonts w:ascii="Verdana" w:hAnsi="Verdana"/>
                <w:sz w:val="18"/>
                <w:szCs w:val="18"/>
              </w:rPr>
              <w:t xml:space="preserve">in approx. 5 </w:t>
            </w:r>
            <w:r w:rsidRPr="00EC75B7">
              <w:rPr>
                <w:rFonts w:ascii="Verdana" w:hAnsi="Verdana"/>
                <w:spacing w:val="-4"/>
                <w:sz w:val="18"/>
                <w:szCs w:val="18"/>
              </w:rPr>
              <w:t>years)</w:t>
            </w:r>
          </w:p>
          <w:p w14:paraId="019BE385" w14:textId="77777777" w:rsidR="008715BE" w:rsidRPr="00EC75B7" w:rsidRDefault="00000000">
            <w:pPr>
              <w:pStyle w:val="TableParagraph"/>
              <w:ind w:left="110" w:right="135"/>
              <w:rPr>
                <w:rFonts w:ascii="Verdana" w:hAnsi="Verdana"/>
                <w:sz w:val="18"/>
                <w:szCs w:val="18"/>
              </w:rPr>
            </w:pPr>
            <w:r w:rsidRPr="00EC75B7">
              <w:rPr>
                <w:rFonts w:ascii="Verdana" w:hAnsi="Verdana"/>
                <w:i/>
                <w:spacing w:val="-2"/>
                <w:sz w:val="18"/>
                <w:szCs w:val="18"/>
              </w:rPr>
              <w:t xml:space="preserve">Circus </w:t>
            </w:r>
            <w:r w:rsidRPr="00EC75B7">
              <w:rPr>
                <w:rFonts w:ascii="Verdana" w:hAnsi="Verdana"/>
                <w:i/>
                <w:sz w:val="18"/>
                <w:szCs w:val="18"/>
              </w:rPr>
              <w:t xml:space="preserve">aeruginosus </w:t>
            </w:r>
            <w:r w:rsidRPr="00EC75B7">
              <w:rPr>
                <w:rFonts w:ascii="Verdana" w:hAnsi="Verdana"/>
                <w:sz w:val="18"/>
                <w:szCs w:val="18"/>
              </w:rPr>
              <w:t xml:space="preserve">- 0.181 </w:t>
            </w:r>
            <w:r w:rsidRPr="00EC75B7">
              <w:rPr>
                <w:rFonts w:ascii="Verdana" w:hAnsi="Verdana"/>
                <w:spacing w:val="-2"/>
                <w:sz w:val="18"/>
                <w:szCs w:val="18"/>
              </w:rPr>
              <w:t>individuals/</w:t>
            </w:r>
          </w:p>
          <w:p w14:paraId="547422D5"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06692418" w14:textId="77777777" w:rsidR="008715BE" w:rsidRPr="00EC75B7" w:rsidRDefault="00000000">
            <w:pPr>
              <w:pStyle w:val="TableParagraph"/>
              <w:spacing w:before="1" w:line="235" w:lineRule="auto"/>
              <w:ind w:left="110" w:right="317"/>
              <w:rPr>
                <w:rFonts w:ascii="Verdana" w:hAnsi="Verdana"/>
                <w:sz w:val="18"/>
                <w:szCs w:val="18"/>
              </w:rPr>
            </w:pPr>
            <w:r w:rsidRPr="00EC75B7">
              <w:rPr>
                <w:rFonts w:ascii="Verdana" w:hAnsi="Verdana"/>
                <w:sz w:val="18"/>
                <w:szCs w:val="18"/>
              </w:rPr>
              <w:t xml:space="preserve">approx. every 6 </w:t>
            </w:r>
            <w:r w:rsidRPr="00EC75B7">
              <w:rPr>
                <w:rFonts w:ascii="Verdana" w:hAnsi="Verdana"/>
                <w:spacing w:val="-4"/>
                <w:sz w:val="18"/>
                <w:szCs w:val="18"/>
              </w:rPr>
              <w:t>years)</w:t>
            </w:r>
          </w:p>
          <w:p w14:paraId="0A9A5C14" w14:textId="77777777" w:rsidR="008715BE" w:rsidRPr="00EC75B7" w:rsidRDefault="00000000">
            <w:pPr>
              <w:pStyle w:val="TableParagraph"/>
              <w:spacing w:before="1"/>
              <w:ind w:left="110" w:right="135"/>
              <w:rPr>
                <w:rFonts w:ascii="Verdana" w:hAnsi="Verdana"/>
                <w:sz w:val="18"/>
                <w:szCs w:val="18"/>
              </w:rPr>
            </w:pPr>
            <w:r w:rsidRPr="00EC75B7">
              <w:rPr>
                <w:rFonts w:ascii="Verdana" w:hAnsi="Verdana"/>
                <w:i/>
                <w:spacing w:val="-2"/>
                <w:sz w:val="18"/>
                <w:szCs w:val="18"/>
              </w:rPr>
              <w:t xml:space="preserve">Circus </w:t>
            </w:r>
            <w:r w:rsidRPr="00EC75B7">
              <w:rPr>
                <w:rFonts w:ascii="Verdana" w:hAnsi="Verdana"/>
                <w:i/>
                <w:sz w:val="18"/>
                <w:szCs w:val="18"/>
              </w:rPr>
              <w:t xml:space="preserve">cyaneus </w:t>
            </w:r>
            <w:r w:rsidRPr="00EC75B7">
              <w:rPr>
                <w:rFonts w:ascii="Verdana" w:hAnsi="Verdana"/>
                <w:sz w:val="18"/>
                <w:szCs w:val="18"/>
              </w:rPr>
              <w:t>- 0.012 individuals/</w:t>
            </w:r>
          </w:p>
          <w:p w14:paraId="5ECB16F3"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303C3E25" w14:textId="77777777" w:rsidR="008715BE" w:rsidRPr="00EC75B7" w:rsidRDefault="00000000">
            <w:pPr>
              <w:pStyle w:val="TableParagraph"/>
              <w:ind w:left="110" w:right="292"/>
              <w:rPr>
                <w:rFonts w:ascii="Verdana" w:hAnsi="Verdana"/>
                <w:sz w:val="18"/>
                <w:szCs w:val="18"/>
              </w:rPr>
            </w:pPr>
            <w:r w:rsidRPr="00EC75B7">
              <w:rPr>
                <w:rFonts w:ascii="Verdana" w:hAnsi="Verdana"/>
                <w:sz w:val="18"/>
                <w:szCs w:val="18"/>
              </w:rPr>
              <w:t xml:space="preserve">approx. 83 </w:t>
            </w:r>
            <w:r w:rsidRPr="00EC75B7">
              <w:rPr>
                <w:rFonts w:ascii="Verdana" w:hAnsi="Verdana"/>
                <w:spacing w:val="-4"/>
                <w:sz w:val="18"/>
                <w:szCs w:val="18"/>
              </w:rPr>
              <w:t xml:space="preserve">years) </w:t>
            </w:r>
            <w:r w:rsidRPr="00EC75B7">
              <w:rPr>
                <w:rFonts w:ascii="Verdana" w:hAnsi="Verdana"/>
                <w:i/>
                <w:spacing w:val="-2"/>
                <w:sz w:val="18"/>
                <w:szCs w:val="18"/>
              </w:rPr>
              <w:t xml:space="preserve">Coracias </w:t>
            </w:r>
            <w:r w:rsidRPr="00EC75B7">
              <w:rPr>
                <w:rFonts w:ascii="Verdana" w:hAnsi="Verdana"/>
                <w:i/>
                <w:sz w:val="18"/>
                <w:szCs w:val="18"/>
              </w:rPr>
              <w:t xml:space="preserve">garrulus </w:t>
            </w:r>
            <w:r w:rsidRPr="00EC75B7">
              <w:rPr>
                <w:rFonts w:ascii="Verdana" w:hAnsi="Verdana"/>
                <w:sz w:val="18"/>
                <w:szCs w:val="18"/>
              </w:rPr>
              <w:t>-</w:t>
            </w:r>
          </w:p>
          <w:p w14:paraId="1228F16D" w14:textId="77777777" w:rsidR="008715BE" w:rsidRPr="00EC75B7" w:rsidRDefault="00000000">
            <w:pPr>
              <w:pStyle w:val="TableParagraph"/>
              <w:spacing w:line="168" w:lineRule="exact"/>
              <w:ind w:left="110"/>
              <w:rPr>
                <w:rFonts w:ascii="Verdana" w:hAnsi="Verdana"/>
                <w:sz w:val="18"/>
                <w:szCs w:val="18"/>
              </w:rPr>
            </w:pPr>
            <w:r w:rsidRPr="00EC75B7">
              <w:rPr>
                <w:rFonts w:ascii="Verdana" w:hAnsi="Verdana"/>
                <w:sz w:val="18"/>
                <w:szCs w:val="18"/>
              </w:rPr>
              <w:t xml:space="preserve">0.009 </w:t>
            </w:r>
            <w:r w:rsidRPr="00EC75B7">
              <w:rPr>
                <w:rFonts w:ascii="Verdana" w:hAnsi="Verdana"/>
                <w:spacing w:val="-2"/>
                <w:sz w:val="18"/>
                <w:szCs w:val="18"/>
              </w:rPr>
              <w:t>individuals/</w:t>
            </w:r>
          </w:p>
          <w:p w14:paraId="47C2B039"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lastRenderedPageBreak/>
              <w:t xml:space="preserve">year (1 </w:t>
            </w:r>
            <w:r w:rsidRPr="00EC75B7">
              <w:rPr>
                <w:rFonts w:ascii="Verdana" w:hAnsi="Verdana"/>
                <w:spacing w:val="-2"/>
                <w:sz w:val="18"/>
                <w:szCs w:val="18"/>
              </w:rPr>
              <w:t>individual</w:t>
            </w:r>
          </w:p>
          <w:p w14:paraId="12EF5B71" w14:textId="77777777" w:rsidR="008715BE" w:rsidRPr="00EC75B7" w:rsidRDefault="00000000">
            <w:pPr>
              <w:pStyle w:val="TableParagraph"/>
              <w:ind w:left="110" w:right="117"/>
              <w:rPr>
                <w:rFonts w:ascii="Verdana" w:hAnsi="Verdana"/>
                <w:sz w:val="18"/>
                <w:szCs w:val="18"/>
              </w:rPr>
            </w:pPr>
            <w:r w:rsidRPr="00EC75B7">
              <w:rPr>
                <w:rFonts w:ascii="Verdana" w:hAnsi="Verdana"/>
                <w:sz w:val="18"/>
                <w:szCs w:val="18"/>
              </w:rPr>
              <w:t xml:space="preserve">approx. 111 </w:t>
            </w:r>
            <w:r w:rsidRPr="00EC75B7">
              <w:rPr>
                <w:rFonts w:ascii="Verdana" w:hAnsi="Verdana"/>
                <w:spacing w:val="-4"/>
                <w:sz w:val="18"/>
                <w:szCs w:val="18"/>
              </w:rPr>
              <w:t>years)</w:t>
            </w:r>
          </w:p>
          <w:p w14:paraId="0393C4A3" w14:textId="77777777" w:rsidR="008715BE" w:rsidRPr="00EC75B7" w:rsidRDefault="00000000">
            <w:pPr>
              <w:pStyle w:val="TableParagraph"/>
              <w:ind w:left="110" w:right="135"/>
              <w:rPr>
                <w:rFonts w:ascii="Verdana" w:hAnsi="Verdana"/>
                <w:sz w:val="18"/>
                <w:szCs w:val="18"/>
              </w:rPr>
            </w:pPr>
            <w:r w:rsidRPr="00EC75B7">
              <w:rPr>
                <w:rFonts w:ascii="Verdana" w:hAnsi="Verdana"/>
                <w:i/>
                <w:spacing w:val="-2"/>
                <w:sz w:val="18"/>
                <w:szCs w:val="18"/>
              </w:rPr>
              <w:t xml:space="preserve">Falco </w:t>
            </w:r>
            <w:r w:rsidRPr="00EC75B7">
              <w:rPr>
                <w:rFonts w:ascii="Verdana" w:hAnsi="Verdana"/>
                <w:i/>
                <w:sz w:val="18"/>
                <w:szCs w:val="18"/>
              </w:rPr>
              <w:t xml:space="preserve">subbuteo </w:t>
            </w:r>
            <w:r w:rsidRPr="00EC75B7">
              <w:rPr>
                <w:rFonts w:ascii="Verdana" w:hAnsi="Verdana"/>
                <w:sz w:val="18"/>
                <w:szCs w:val="18"/>
              </w:rPr>
              <w:t>- 0.077 individuals/</w:t>
            </w:r>
          </w:p>
          <w:p w14:paraId="56EB58BC" w14:textId="77777777" w:rsidR="008715BE" w:rsidRPr="00EC75B7" w:rsidRDefault="00000000">
            <w:pPr>
              <w:pStyle w:val="TableParagraph"/>
              <w:spacing w:line="169" w:lineRule="exact"/>
              <w:ind w:left="110"/>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1DB814FE" w14:textId="77777777" w:rsidR="008715BE" w:rsidRPr="00EC75B7" w:rsidRDefault="00000000">
            <w:pPr>
              <w:pStyle w:val="TableParagraph"/>
              <w:ind w:left="110" w:right="117"/>
              <w:rPr>
                <w:rFonts w:ascii="Verdana" w:hAnsi="Verdana"/>
                <w:sz w:val="18"/>
                <w:szCs w:val="18"/>
              </w:rPr>
            </w:pPr>
            <w:r w:rsidRPr="00EC75B7">
              <w:rPr>
                <w:rFonts w:ascii="Verdana" w:hAnsi="Verdana"/>
                <w:sz w:val="18"/>
                <w:szCs w:val="18"/>
              </w:rPr>
              <w:t xml:space="preserve">approx. every 12 </w:t>
            </w:r>
            <w:r w:rsidRPr="00EC75B7">
              <w:rPr>
                <w:rFonts w:ascii="Verdana" w:hAnsi="Verdana"/>
                <w:spacing w:val="-4"/>
                <w:sz w:val="18"/>
                <w:szCs w:val="18"/>
              </w:rPr>
              <w:t>years)</w:t>
            </w:r>
          </w:p>
          <w:p w14:paraId="3A0A0EF1" w14:textId="77777777" w:rsidR="008715BE" w:rsidRPr="00EC75B7" w:rsidRDefault="00000000">
            <w:pPr>
              <w:pStyle w:val="TableParagraph"/>
              <w:ind w:left="110" w:right="218"/>
              <w:rPr>
                <w:rFonts w:ascii="Verdana" w:hAnsi="Verdana"/>
                <w:sz w:val="18"/>
                <w:szCs w:val="18"/>
              </w:rPr>
            </w:pPr>
            <w:r w:rsidRPr="00EC75B7">
              <w:rPr>
                <w:rFonts w:ascii="Verdana" w:hAnsi="Verdana"/>
                <w:i/>
                <w:spacing w:val="-2"/>
                <w:sz w:val="18"/>
                <w:szCs w:val="18"/>
              </w:rPr>
              <w:t xml:space="preserve">Falco </w:t>
            </w:r>
            <w:r w:rsidRPr="00EC75B7">
              <w:rPr>
                <w:rFonts w:ascii="Verdana" w:hAnsi="Verdana"/>
                <w:i/>
                <w:sz w:val="18"/>
                <w:szCs w:val="18"/>
              </w:rPr>
              <w:t xml:space="preserve">tinnunculus </w:t>
            </w:r>
            <w:r w:rsidRPr="00EC75B7">
              <w:rPr>
                <w:rFonts w:ascii="Verdana" w:hAnsi="Verdana"/>
                <w:sz w:val="18"/>
                <w:szCs w:val="18"/>
              </w:rPr>
              <w:t>-</w:t>
            </w:r>
          </w:p>
          <w:p w14:paraId="2EEC1602" w14:textId="77777777" w:rsidR="008715BE" w:rsidRPr="00EC75B7" w:rsidRDefault="00000000">
            <w:pPr>
              <w:pStyle w:val="TableParagraph"/>
              <w:spacing w:line="141" w:lineRule="exact"/>
              <w:ind w:left="110"/>
              <w:rPr>
                <w:rFonts w:ascii="Verdana" w:hAnsi="Verdana"/>
                <w:sz w:val="18"/>
                <w:szCs w:val="18"/>
              </w:rPr>
            </w:pPr>
            <w:r w:rsidRPr="00EC75B7">
              <w:rPr>
                <w:rFonts w:ascii="Verdana" w:hAnsi="Verdana"/>
                <w:sz w:val="18"/>
                <w:szCs w:val="18"/>
              </w:rPr>
              <w:t xml:space="preserve">0.964 </w:t>
            </w:r>
            <w:r w:rsidRPr="00EC75B7">
              <w:rPr>
                <w:rFonts w:ascii="Verdana" w:hAnsi="Verdana"/>
                <w:spacing w:val="-2"/>
                <w:sz w:val="18"/>
                <w:szCs w:val="18"/>
              </w:rPr>
              <w:t>individuals/</w:t>
            </w:r>
          </w:p>
        </w:tc>
        <w:tc>
          <w:tcPr>
            <w:tcW w:w="901" w:type="dxa"/>
          </w:tcPr>
          <w:p w14:paraId="32151821" w14:textId="77777777" w:rsidR="008715BE" w:rsidRPr="00EC75B7" w:rsidRDefault="00000000">
            <w:pPr>
              <w:pStyle w:val="TableParagraph"/>
              <w:spacing w:before="8"/>
              <w:ind w:left="109" w:right="112"/>
              <w:rPr>
                <w:rFonts w:ascii="Verdana" w:hAnsi="Verdana"/>
                <w:sz w:val="18"/>
                <w:szCs w:val="18"/>
              </w:rPr>
            </w:pPr>
            <w:r w:rsidRPr="00EC75B7">
              <w:rPr>
                <w:rFonts w:ascii="Verdana" w:hAnsi="Verdana"/>
                <w:spacing w:val="-2"/>
                <w:sz w:val="18"/>
                <w:szCs w:val="18"/>
              </w:rPr>
              <w:lastRenderedPageBreak/>
              <w:t xml:space="preserve">Scottish National Heritage guide: "Wind farms </w:t>
            </w:r>
            <w:r w:rsidRPr="00EC75B7">
              <w:rPr>
                <w:rFonts w:ascii="Verdana" w:hAnsi="Verdana"/>
                <w:spacing w:val="-4"/>
                <w:sz w:val="18"/>
                <w:szCs w:val="18"/>
              </w:rPr>
              <w:t xml:space="preserve">and </w:t>
            </w:r>
            <w:r w:rsidRPr="00EC75B7">
              <w:rPr>
                <w:rFonts w:ascii="Verdana" w:hAnsi="Verdana"/>
                <w:spacing w:val="-2"/>
                <w:sz w:val="18"/>
                <w:szCs w:val="18"/>
              </w:rPr>
              <w:t xml:space="preserve">Birds: </w:t>
            </w:r>
            <w:r w:rsidRPr="00EC75B7">
              <w:rPr>
                <w:rFonts w:ascii="Verdana" w:hAnsi="Verdana"/>
                <w:sz w:val="18"/>
                <w:szCs w:val="18"/>
              </w:rPr>
              <w:t xml:space="preserve">Calculating a </w:t>
            </w:r>
            <w:r w:rsidRPr="00EC75B7">
              <w:rPr>
                <w:rFonts w:ascii="Verdana" w:hAnsi="Verdana"/>
                <w:spacing w:val="-6"/>
                <w:sz w:val="18"/>
                <w:szCs w:val="18"/>
              </w:rPr>
              <w:t xml:space="preserve">theoretical </w:t>
            </w:r>
            <w:r w:rsidRPr="00EC75B7">
              <w:rPr>
                <w:rFonts w:ascii="Verdana" w:hAnsi="Verdana"/>
                <w:spacing w:val="-2"/>
                <w:sz w:val="18"/>
                <w:szCs w:val="18"/>
              </w:rPr>
              <w:t xml:space="preserve">collision </w:t>
            </w:r>
            <w:r w:rsidRPr="00EC75B7">
              <w:rPr>
                <w:rFonts w:ascii="Verdana" w:hAnsi="Verdana"/>
                <w:spacing w:val="-4"/>
                <w:sz w:val="18"/>
                <w:szCs w:val="18"/>
              </w:rPr>
              <w:t xml:space="preserve">risk </w:t>
            </w:r>
            <w:r w:rsidRPr="00EC75B7">
              <w:rPr>
                <w:rFonts w:ascii="Verdana" w:hAnsi="Verdana"/>
                <w:spacing w:val="-2"/>
                <w:sz w:val="18"/>
                <w:szCs w:val="18"/>
              </w:rPr>
              <w:t xml:space="preserve">assuming </w:t>
            </w:r>
            <w:r w:rsidRPr="00EC75B7">
              <w:rPr>
                <w:rFonts w:ascii="Verdana" w:hAnsi="Verdana"/>
                <w:spacing w:val="-6"/>
                <w:sz w:val="18"/>
                <w:szCs w:val="18"/>
              </w:rPr>
              <w:t xml:space="preserve">no </w:t>
            </w:r>
            <w:r w:rsidRPr="00EC75B7">
              <w:rPr>
                <w:rFonts w:ascii="Verdana" w:hAnsi="Verdana"/>
                <w:spacing w:val="-2"/>
                <w:sz w:val="18"/>
                <w:szCs w:val="18"/>
              </w:rPr>
              <w:t>avoiding action"</w:t>
            </w:r>
          </w:p>
        </w:tc>
      </w:tr>
    </w:tbl>
    <w:p w14:paraId="5FF3A5DF"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212F38DA"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1"/>
        <w:gridCol w:w="1426"/>
        <w:gridCol w:w="1080"/>
        <w:gridCol w:w="1126"/>
        <w:gridCol w:w="4025"/>
        <w:gridCol w:w="1081"/>
        <w:gridCol w:w="1261"/>
        <w:gridCol w:w="901"/>
      </w:tblGrid>
      <w:tr w:rsidR="008715BE" w:rsidRPr="00EC75B7" w14:paraId="1AF37580" w14:textId="77777777">
        <w:trPr>
          <w:trHeight w:val="842"/>
        </w:trPr>
        <w:tc>
          <w:tcPr>
            <w:tcW w:w="2342" w:type="dxa"/>
            <w:gridSpan w:val="2"/>
            <w:shd w:val="clear" w:color="auto" w:fill="00A1E8"/>
          </w:tcPr>
          <w:p w14:paraId="2BA4B8B2" w14:textId="77777777" w:rsidR="008715BE" w:rsidRPr="00EC75B7" w:rsidRDefault="008715BE">
            <w:pPr>
              <w:pStyle w:val="TableParagraph"/>
              <w:rPr>
                <w:rFonts w:ascii="Verdana" w:hAnsi="Verdana"/>
                <w:b/>
                <w:sz w:val="18"/>
                <w:szCs w:val="18"/>
              </w:rPr>
            </w:pPr>
          </w:p>
          <w:p w14:paraId="694E52AA" w14:textId="77777777" w:rsidR="008715BE" w:rsidRPr="00EC75B7" w:rsidRDefault="008715BE">
            <w:pPr>
              <w:pStyle w:val="TableParagraph"/>
              <w:spacing w:before="2"/>
              <w:rPr>
                <w:rFonts w:ascii="Verdana" w:hAnsi="Verdana"/>
                <w:b/>
                <w:sz w:val="18"/>
                <w:szCs w:val="18"/>
              </w:rPr>
            </w:pPr>
          </w:p>
          <w:p w14:paraId="7CC620F7"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57EBA26F" w14:textId="77777777" w:rsidR="008715BE" w:rsidRPr="00EC75B7" w:rsidRDefault="008715BE">
            <w:pPr>
              <w:pStyle w:val="TableParagraph"/>
              <w:rPr>
                <w:rFonts w:ascii="Verdana" w:hAnsi="Verdana"/>
                <w:b/>
                <w:sz w:val="18"/>
                <w:szCs w:val="18"/>
              </w:rPr>
            </w:pPr>
          </w:p>
          <w:p w14:paraId="05C35C29" w14:textId="77777777" w:rsidR="008715BE" w:rsidRPr="00EC75B7" w:rsidRDefault="008715BE">
            <w:pPr>
              <w:pStyle w:val="TableParagraph"/>
              <w:spacing w:before="2"/>
              <w:rPr>
                <w:rFonts w:ascii="Verdana" w:hAnsi="Verdana"/>
                <w:b/>
                <w:sz w:val="18"/>
                <w:szCs w:val="18"/>
              </w:rPr>
            </w:pPr>
          </w:p>
          <w:p w14:paraId="32B35096"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24274D1B" w14:textId="77777777" w:rsidR="008715BE" w:rsidRPr="00EC75B7" w:rsidRDefault="008715BE">
            <w:pPr>
              <w:pStyle w:val="TableParagraph"/>
              <w:spacing w:before="90"/>
              <w:rPr>
                <w:rFonts w:ascii="Verdana" w:hAnsi="Verdana"/>
                <w:b/>
                <w:sz w:val="18"/>
                <w:szCs w:val="18"/>
              </w:rPr>
            </w:pPr>
          </w:p>
          <w:p w14:paraId="12C5CAA5"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48FBDA82" w14:textId="77777777" w:rsidR="008715BE" w:rsidRPr="00EC75B7" w:rsidRDefault="008715BE">
            <w:pPr>
              <w:pStyle w:val="TableParagraph"/>
              <w:spacing w:before="2"/>
              <w:rPr>
                <w:rFonts w:ascii="Verdana" w:hAnsi="Verdana"/>
                <w:b/>
                <w:sz w:val="18"/>
                <w:szCs w:val="18"/>
              </w:rPr>
            </w:pPr>
          </w:p>
          <w:p w14:paraId="00FA7A68"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24369EB5"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5E733EB3"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0639402C"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8" w:type="dxa"/>
            <w:gridSpan w:val="5"/>
            <w:shd w:val="clear" w:color="auto" w:fill="00A1E8"/>
          </w:tcPr>
          <w:p w14:paraId="5D5F7967" w14:textId="77777777" w:rsidR="008715BE" w:rsidRPr="00EC75B7" w:rsidRDefault="008715BE">
            <w:pPr>
              <w:pStyle w:val="TableParagraph"/>
              <w:rPr>
                <w:rFonts w:ascii="Verdana" w:hAnsi="Verdana"/>
                <w:b/>
                <w:sz w:val="18"/>
                <w:szCs w:val="18"/>
              </w:rPr>
            </w:pPr>
          </w:p>
          <w:p w14:paraId="32C13EB5" w14:textId="77777777" w:rsidR="008715BE" w:rsidRPr="00EC75B7" w:rsidRDefault="008715BE">
            <w:pPr>
              <w:pStyle w:val="TableParagraph"/>
              <w:spacing w:before="2"/>
              <w:rPr>
                <w:rFonts w:ascii="Verdana" w:hAnsi="Verdana"/>
                <w:b/>
                <w:sz w:val="18"/>
                <w:szCs w:val="18"/>
              </w:rPr>
            </w:pPr>
          </w:p>
          <w:p w14:paraId="3A8F7AE0"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2"/>
                <w:sz w:val="18"/>
                <w:szCs w:val="18"/>
              </w:rPr>
              <w:t>Species</w:t>
            </w:r>
          </w:p>
        </w:tc>
        <w:tc>
          <w:tcPr>
            <w:tcW w:w="1081" w:type="dxa"/>
            <w:shd w:val="clear" w:color="auto" w:fill="00A1E8"/>
          </w:tcPr>
          <w:p w14:paraId="2D69A40A" w14:textId="77777777" w:rsidR="008715BE" w:rsidRPr="00EC75B7" w:rsidRDefault="00000000">
            <w:pPr>
              <w:pStyle w:val="TableParagraph"/>
              <w:spacing w:before="89" w:line="171" w:lineRule="exact"/>
              <w:ind w:left="15" w:right="3"/>
              <w:jc w:val="center"/>
              <w:rPr>
                <w:rFonts w:ascii="Verdana" w:hAnsi="Verdana"/>
                <w:b/>
                <w:sz w:val="18"/>
                <w:szCs w:val="18"/>
              </w:rPr>
            </w:pPr>
            <w:r w:rsidRPr="00EC75B7">
              <w:rPr>
                <w:rFonts w:ascii="Verdana" w:hAnsi="Verdana"/>
                <w:b/>
                <w:color w:val="FFFFFF"/>
                <w:spacing w:val="-2"/>
                <w:sz w:val="18"/>
                <w:szCs w:val="18"/>
              </w:rPr>
              <w:t>Parameter</w:t>
            </w:r>
          </w:p>
          <w:p w14:paraId="48C6E41B" w14:textId="77777777" w:rsidR="008715BE" w:rsidRPr="00EC75B7" w:rsidRDefault="00000000">
            <w:pPr>
              <w:pStyle w:val="TableParagraph"/>
              <w:spacing w:line="169" w:lineRule="exact"/>
              <w:ind w:left="15" w:right="2"/>
              <w:jc w:val="center"/>
              <w:rPr>
                <w:rFonts w:ascii="Verdana" w:hAnsi="Verdana"/>
                <w:b/>
                <w:sz w:val="18"/>
                <w:szCs w:val="18"/>
              </w:rPr>
            </w:pPr>
            <w:r w:rsidRPr="00EC75B7">
              <w:rPr>
                <w:rFonts w:ascii="Verdana" w:hAnsi="Verdana"/>
                <w:b/>
                <w:color w:val="FFFFFF"/>
                <w:spacing w:val="-10"/>
                <w:sz w:val="18"/>
                <w:szCs w:val="18"/>
              </w:rPr>
              <w:t>/</w:t>
            </w:r>
          </w:p>
          <w:p w14:paraId="1129BCCC" w14:textId="77777777" w:rsidR="008715BE" w:rsidRPr="00EC75B7" w:rsidRDefault="00000000">
            <w:pPr>
              <w:pStyle w:val="TableParagraph"/>
              <w:ind w:left="220" w:right="209"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1" w:type="dxa"/>
            <w:shd w:val="clear" w:color="auto" w:fill="00A1E8"/>
          </w:tcPr>
          <w:p w14:paraId="093CA18C" w14:textId="77777777" w:rsidR="008715BE" w:rsidRPr="00EC75B7" w:rsidRDefault="008715BE">
            <w:pPr>
              <w:pStyle w:val="TableParagraph"/>
              <w:spacing w:before="90"/>
              <w:rPr>
                <w:rFonts w:ascii="Verdana" w:hAnsi="Verdana"/>
                <w:b/>
                <w:sz w:val="18"/>
                <w:szCs w:val="18"/>
              </w:rPr>
            </w:pPr>
          </w:p>
          <w:p w14:paraId="760E3D9D" w14:textId="77777777" w:rsidR="008715BE" w:rsidRPr="00EC75B7" w:rsidRDefault="00000000">
            <w:pPr>
              <w:pStyle w:val="TableParagraph"/>
              <w:spacing w:line="237" w:lineRule="auto"/>
              <w:ind w:left="363" w:right="107" w:hanging="209"/>
              <w:rPr>
                <w:rFonts w:ascii="Verdana" w:hAnsi="Verdana"/>
                <w:b/>
                <w:sz w:val="18"/>
                <w:szCs w:val="18"/>
              </w:rPr>
            </w:pPr>
            <w:r w:rsidRPr="00EC75B7">
              <w:rPr>
                <w:rFonts w:ascii="Verdana" w:hAnsi="Verdana"/>
                <w:b/>
                <w:color w:val="FFFFFF"/>
                <w:spacing w:val="-2"/>
                <w:sz w:val="18"/>
                <w:szCs w:val="18"/>
              </w:rPr>
              <w:t>Impact quantification</w:t>
            </w:r>
          </w:p>
        </w:tc>
        <w:tc>
          <w:tcPr>
            <w:tcW w:w="901" w:type="dxa"/>
            <w:shd w:val="clear" w:color="auto" w:fill="00A1E8"/>
          </w:tcPr>
          <w:p w14:paraId="1B5EB45C" w14:textId="77777777" w:rsidR="008715BE" w:rsidRPr="00EC75B7" w:rsidRDefault="008715BE">
            <w:pPr>
              <w:pStyle w:val="TableParagraph"/>
              <w:spacing w:before="2"/>
              <w:rPr>
                <w:rFonts w:ascii="Verdana" w:hAnsi="Verdana"/>
                <w:b/>
                <w:sz w:val="18"/>
                <w:szCs w:val="18"/>
              </w:rPr>
            </w:pPr>
          </w:p>
          <w:p w14:paraId="1B39FEDF" w14:textId="77777777" w:rsidR="008715BE" w:rsidRPr="00EC75B7" w:rsidRDefault="00000000">
            <w:pPr>
              <w:pStyle w:val="TableParagraph"/>
              <w:spacing w:before="1"/>
              <w:ind w:left="110" w:right="104" w:firstLine="1"/>
              <w:jc w:val="center"/>
              <w:rPr>
                <w:rFonts w:ascii="Verdana" w:hAnsi="Verdana"/>
                <w:b/>
                <w:sz w:val="18"/>
                <w:szCs w:val="18"/>
              </w:rPr>
            </w:pPr>
            <w:r w:rsidRPr="00EC75B7">
              <w:rPr>
                <w:rFonts w:ascii="Verdana" w:hAnsi="Verdana"/>
                <w:b/>
                <w:color w:val="FFFFFF"/>
                <w:spacing w:val="-2"/>
                <w:sz w:val="18"/>
                <w:szCs w:val="18"/>
              </w:rPr>
              <w:t>Quantification</w:t>
            </w:r>
            <w:r w:rsidRPr="00EC75B7">
              <w:rPr>
                <w:rFonts w:ascii="Verdana" w:hAnsi="Verdana"/>
                <w:b/>
                <w:color w:val="FFFFFF"/>
                <w:sz w:val="18"/>
                <w:szCs w:val="18"/>
              </w:rPr>
              <w:t xml:space="preserve"> </w:t>
            </w:r>
            <w:r w:rsidRPr="00EC75B7">
              <w:rPr>
                <w:rFonts w:ascii="Verdana" w:hAnsi="Verdana"/>
                <w:b/>
                <w:color w:val="FFFFFF"/>
                <w:spacing w:val="-4"/>
                <w:sz w:val="18"/>
                <w:szCs w:val="18"/>
              </w:rPr>
              <w:t>method</w:t>
            </w:r>
          </w:p>
        </w:tc>
      </w:tr>
      <w:tr w:rsidR="008715BE" w:rsidRPr="00EC75B7" w14:paraId="5117913E" w14:textId="77777777">
        <w:trPr>
          <w:trHeight w:val="10378"/>
        </w:trPr>
        <w:tc>
          <w:tcPr>
            <w:tcW w:w="542" w:type="dxa"/>
            <w:vMerge w:val="restart"/>
          </w:tcPr>
          <w:p w14:paraId="08EF63BB" w14:textId="77777777" w:rsidR="008715BE" w:rsidRPr="00EC75B7" w:rsidRDefault="008715BE">
            <w:pPr>
              <w:pStyle w:val="TableParagraph"/>
              <w:rPr>
                <w:rFonts w:ascii="Verdana" w:hAnsi="Verdana"/>
                <w:sz w:val="18"/>
                <w:szCs w:val="18"/>
              </w:rPr>
            </w:pPr>
          </w:p>
        </w:tc>
        <w:tc>
          <w:tcPr>
            <w:tcW w:w="1800" w:type="dxa"/>
            <w:vMerge w:val="restart"/>
          </w:tcPr>
          <w:p w14:paraId="62D1A132" w14:textId="77777777" w:rsidR="008715BE" w:rsidRPr="00EC75B7" w:rsidRDefault="008715BE">
            <w:pPr>
              <w:pStyle w:val="TableParagraph"/>
              <w:rPr>
                <w:rFonts w:ascii="Verdana" w:hAnsi="Verdana"/>
                <w:sz w:val="18"/>
                <w:szCs w:val="18"/>
              </w:rPr>
            </w:pPr>
          </w:p>
        </w:tc>
        <w:tc>
          <w:tcPr>
            <w:tcW w:w="1048" w:type="dxa"/>
          </w:tcPr>
          <w:p w14:paraId="1F21F812" w14:textId="77777777" w:rsidR="008715BE" w:rsidRPr="00EC75B7" w:rsidRDefault="008715BE">
            <w:pPr>
              <w:pStyle w:val="TableParagraph"/>
              <w:rPr>
                <w:rFonts w:ascii="Verdana" w:hAnsi="Verdana"/>
                <w:sz w:val="18"/>
                <w:szCs w:val="18"/>
              </w:rPr>
            </w:pPr>
          </w:p>
        </w:tc>
        <w:tc>
          <w:tcPr>
            <w:tcW w:w="1274" w:type="dxa"/>
          </w:tcPr>
          <w:p w14:paraId="75369C82" w14:textId="77777777" w:rsidR="008715BE" w:rsidRPr="00EC75B7" w:rsidRDefault="008715BE">
            <w:pPr>
              <w:pStyle w:val="TableParagraph"/>
              <w:rPr>
                <w:rFonts w:ascii="Verdana" w:hAnsi="Verdana"/>
                <w:sz w:val="18"/>
                <w:szCs w:val="18"/>
              </w:rPr>
            </w:pPr>
          </w:p>
        </w:tc>
        <w:tc>
          <w:tcPr>
            <w:tcW w:w="993" w:type="dxa"/>
          </w:tcPr>
          <w:p w14:paraId="4B1F1C7D" w14:textId="77777777" w:rsidR="008715BE" w:rsidRPr="00EC75B7" w:rsidRDefault="008715BE">
            <w:pPr>
              <w:pStyle w:val="TableParagraph"/>
              <w:rPr>
                <w:rFonts w:ascii="Verdana" w:hAnsi="Verdana"/>
                <w:sz w:val="18"/>
                <w:szCs w:val="18"/>
              </w:rPr>
            </w:pPr>
          </w:p>
        </w:tc>
        <w:tc>
          <w:tcPr>
            <w:tcW w:w="708" w:type="dxa"/>
          </w:tcPr>
          <w:p w14:paraId="0394CB98" w14:textId="77777777" w:rsidR="008715BE" w:rsidRPr="00EC75B7" w:rsidRDefault="008715BE">
            <w:pPr>
              <w:pStyle w:val="TableParagraph"/>
              <w:rPr>
                <w:rFonts w:ascii="Verdana" w:hAnsi="Verdana"/>
                <w:sz w:val="18"/>
                <w:szCs w:val="18"/>
              </w:rPr>
            </w:pPr>
          </w:p>
        </w:tc>
        <w:tc>
          <w:tcPr>
            <w:tcW w:w="991" w:type="dxa"/>
          </w:tcPr>
          <w:p w14:paraId="7E533412" w14:textId="77777777" w:rsidR="008715BE" w:rsidRPr="00EC75B7" w:rsidRDefault="00000000">
            <w:pPr>
              <w:pStyle w:val="TableParagraph"/>
              <w:spacing w:before="8"/>
              <w:ind w:left="111" w:right="99"/>
              <w:rPr>
                <w:rFonts w:ascii="Verdana" w:hAnsi="Verdana"/>
                <w:sz w:val="18"/>
                <w:szCs w:val="18"/>
              </w:rPr>
            </w:pPr>
            <w:r w:rsidRPr="00EC75B7">
              <w:rPr>
                <w:rFonts w:ascii="Verdana" w:hAnsi="Verdana"/>
                <w:spacing w:val="-2"/>
                <w:sz w:val="18"/>
                <w:szCs w:val="18"/>
              </w:rPr>
              <w:t xml:space="preserve">Constanța </w:t>
            </w:r>
            <w:r w:rsidRPr="00EC75B7">
              <w:rPr>
                <w:rFonts w:ascii="Verdana" w:hAnsi="Verdana"/>
                <w:spacing w:val="-4"/>
                <w:sz w:val="18"/>
                <w:szCs w:val="18"/>
              </w:rPr>
              <w:t xml:space="preserve">County </w:t>
            </w:r>
            <w:r w:rsidRPr="00EC75B7">
              <w:rPr>
                <w:rFonts w:ascii="Verdana" w:hAnsi="Verdana"/>
                <w:spacing w:val="-2"/>
                <w:sz w:val="18"/>
                <w:szCs w:val="18"/>
              </w:rPr>
              <w:t xml:space="preserve">(proposed) Comana-Pecineaga Wind Farm, within </w:t>
            </w:r>
            <w:r w:rsidRPr="00EC75B7">
              <w:rPr>
                <w:rFonts w:ascii="Verdana" w:hAnsi="Verdana"/>
                <w:sz w:val="18"/>
                <w:szCs w:val="18"/>
              </w:rPr>
              <w:t xml:space="preserve">the built-up area of Tătaru </w:t>
            </w:r>
            <w:r w:rsidRPr="00EC75B7">
              <w:rPr>
                <w:rFonts w:ascii="Verdana" w:hAnsi="Verdana"/>
                <w:spacing w:val="-6"/>
                <w:sz w:val="18"/>
                <w:szCs w:val="18"/>
              </w:rPr>
              <w:t xml:space="preserve">and </w:t>
            </w:r>
            <w:r w:rsidRPr="00EC75B7">
              <w:rPr>
                <w:rFonts w:ascii="Verdana" w:hAnsi="Verdana"/>
                <w:spacing w:val="-2"/>
                <w:sz w:val="18"/>
                <w:szCs w:val="18"/>
              </w:rPr>
              <w:t xml:space="preserve">outside the built-up area of Comana (proposed Karnobat </w:t>
            </w:r>
            <w:r w:rsidRPr="00EC75B7">
              <w:rPr>
                <w:rFonts w:ascii="Verdana" w:hAnsi="Verdana"/>
                <w:sz w:val="18"/>
                <w:szCs w:val="18"/>
              </w:rPr>
              <w:t xml:space="preserve">Wind Farm </w:t>
            </w:r>
            <w:r w:rsidRPr="00EC75B7">
              <w:rPr>
                <w:rFonts w:ascii="Verdana" w:hAnsi="Verdana"/>
                <w:spacing w:val="-2"/>
                <w:sz w:val="18"/>
                <w:szCs w:val="18"/>
              </w:rPr>
              <w:t>(existing</w:t>
            </w:r>
          </w:p>
        </w:tc>
        <w:tc>
          <w:tcPr>
            <w:tcW w:w="1277" w:type="dxa"/>
          </w:tcPr>
          <w:p w14:paraId="59019D09" w14:textId="77777777" w:rsidR="008715BE" w:rsidRPr="00EC75B7" w:rsidRDefault="008715BE">
            <w:pPr>
              <w:pStyle w:val="TableParagraph"/>
              <w:rPr>
                <w:rFonts w:ascii="Verdana" w:hAnsi="Verdana"/>
                <w:sz w:val="18"/>
                <w:szCs w:val="18"/>
              </w:rPr>
            </w:pPr>
          </w:p>
        </w:tc>
        <w:tc>
          <w:tcPr>
            <w:tcW w:w="2701" w:type="dxa"/>
          </w:tcPr>
          <w:p w14:paraId="2DF23DE9" w14:textId="77777777" w:rsidR="008715BE" w:rsidRPr="00EC75B7" w:rsidRDefault="008715BE">
            <w:pPr>
              <w:pStyle w:val="TableParagraph"/>
              <w:rPr>
                <w:rFonts w:ascii="Verdana" w:hAnsi="Verdana"/>
                <w:sz w:val="18"/>
                <w:szCs w:val="18"/>
              </w:rPr>
            </w:pPr>
          </w:p>
        </w:tc>
        <w:tc>
          <w:tcPr>
            <w:tcW w:w="1426" w:type="dxa"/>
          </w:tcPr>
          <w:p w14:paraId="413DCCBD" w14:textId="77777777" w:rsidR="008715BE" w:rsidRPr="00EC75B7" w:rsidRDefault="008715BE">
            <w:pPr>
              <w:pStyle w:val="TableParagraph"/>
              <w:rPr>
                <w:rFonts w:ascii="Verdana" w:hAnsi="Verdana"/>
                <w:sz w:val="18"/>
                <w:szCs w:val="18"/>
              </w:rPr>
            </w:pPr>
          </w:p>
        </w:tc>
        <w:tc>
          <w:tcPr>
            <w:tcW w:w="1080" w:type="dxa"/>
          </w:tcPr>
          <w:p w14:paraId="7AE4583B" w14:textId="77777777" w:rsidR="008715BE" w:rsidRPr="00EC75B7" w:rsidRDefault="008715BE">
            <w:pPr>
              <w:pStyle w:val="TableParagraph"/>
              <w:rPr>
                <w:rFonts w:ascii="Verdana" w:hAnsi="Verdana"/>
                <w:sz w:val="18"/>
                <w:szCs w:val="18"/>
              </w:rPr>
            </w:pPr>
          </w:p>
        </w:tc>
        <w:tc>
          <w:tcPr>
            <w:tcW w:w="1126" w:type="dxa"/>
          </w:tcPr>
          <w:p w14:paraId="2519CD04" w14:textId="77777777" w:rsidR="008715BE" w:rsidRPr="00EC75B7" w:rsidRDefault="008715BE">
            <w:pPr>
              <w:pStyle w:val="TableParagraph"/>
              <w:rPr>
                <w:rFonts w:ascii="Verdana" w:hAnsi="Verdana"/>
                <w:sz w:val="18"/>
                <w:szCs w:val="18"/>
              </w:rPr>
            </w:pPr>
          </w:p>
        </w:tc>
        <w:tc>
          <w:tcPr>
            <w:tcW w:w="4025" w:type="dxa"/>
          </w:tcPr>
          <w:p w14:paraId="69DAD669" w14:textId="77777777" w:rsidR="008715BE" w:rsidRPr="00EC75B7" w:rsidRDefault="008715BE">
            <w:pPr>
              <w:pStyle w:val="TableParagraph"/>
              <w:rPr>
                <w:rFonts w:ascii="Verdana" w:hAnsi="Verdana"/>
                <w:sz w:val="18"/>
                <w:szCs w:val="18"/>
              </w:rPr>
            </w:pPr>
          </w:p>
        </w:tc>
        <w:tc>
          <w:tcPr>
            <w:tcW w:w="1081" w:type="dxa"/>
          </w:tcPr>
          <w:p w14:paraId="0B6070AF" w14:textId="77777777" w:rsidR="008715BE" w:rsidRPr="00EC75B7" w:rsidRDefault="008715BE">
            <w:pPr>
              <w:pStyle w:val="TableParagraph"/>
              <w:rPr>
                <w:rFonts w:ascii="Verdana" w:hAnsi="Verdana"/>
                <w:sz w:val="18"/>
                <w:szCs w:val="18"/>
              </w:rPr>
            </w:pPr>
          </w:p>
        </w:tc>
        <w:tc>
          <w:tcPr>
            <w:tcW w:w="1261" w:type="dxa"/>
          </w:tcPr>
          <w:p w14:paraId="0DCFAAB1" w14:textId="77777777" w:rsidR="008715BE" w:rsidRPr="00EC75B7" w:rsidRDefault="00000000">
            <w:pPr>
              <w:pStyle w:val="TableParagraph"/>
              <w:spacing w:before="8" w:line="171"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72D3F5DB" w14:textId="77777777" w:rsidR="008715BE" w:rsidRPr="00EC75B7" w:rsidRDefault="00000000">
            <w:pPr>
              <w:pStyle w:val="TableParagraph"/>
              <w:spacing w:before="1" w:line="237" w:lineRule="auto"/>
              <w:ind w:left="109" w:right="382"/>
              <w:rPr>
                <w:rFonts w:ascii="Verdana" w:hAnsi="Verdana"/>
                <w:sz w:val="18"/>
                <w:szCs w:val="18"/>
              </w:rPr>
            </w:pPr>
            <w:r w:rsidRPr="00EC75B7">
              <w:rPr>
                <w:rFonts w:ascii="Verdana" w:hAnsi="Verdana"/>
                <w:sz w:val="18"/>
                <w:szCs w:val="18"/>
              </w:rPr>
              <w:t xml:space="preserve">at approx. 1 </w:t>
            </w:r>
            <w:r w:rsidRPr="00EC75B7">
              <w:rPr>
                <w:rFonts w:ascii="Verdana" w:hAnsi="Verdana"/>
                <w:spacing w:val="-4"/>
                <w:sz w:val="18"/>
                <w:szCs w:val="18"/>
              </w:rPr>
              <w:t xml:space="preserve">years) </w:t>
            </w:r>
            <w:r w:rsidRPr="00EC75B7">
              <w:rPr>
                <w:rFonts w:ascii="Verdana" w:hAnsi="Verdana"/>
                <w:i/>
                <w:spacing w:val="-2"/>
                <w:sz w:val="18"/>
                <w:szCs w:val="18"/>
              </w:rPr>
              <w:t xml:space="preserve">Galerida </w:t>
            </w:r>
            <w:r w:rsidRPr="00EC75B7">
              <w:rPr>
                <w:rFonts w:ascii="Verdana" w:hAnsi="Verdana"/>
                <w:i/>
                <w:sz w:val="18"/>
                <w:szCs w:val="18"/>
              </w:rPr>
              <w:t xml:space="preserve">cristata </w:t>
            </w:r>
            <w:r w:rsidRPr="00EC75B7">
              <w:rPr>
                <w:rFonts w:ascii="Verdana" w:hAnsi="Verdana"/>
                <w:sz w:val="18"/>
                <w:szCs w:val="18"/>
              </w:rPr>
              <w:t>-</w:t>
            </w:r>
          </w:p>
          <w:p w14:paraId="488BBD2E" w14:textId="77777777" w:rsidR="008715BE" w:rsidRPr="00EC75B7" w:rsidRDefault="00000000">
            <w:pPr>
              <w:pStyle w:val="TableParagraph"/>
              <w:spacing w:before="1" w:line="171" w:lineRule="exact"/>
              <w:ind w:left="109"/>
              <w:rPr>
                <w:rFonts w:ascii="Verdana" w:hAnsi="Verdana"/>
                <w:sz w:val="18"/>
                <w:szCs w:val="18"/>
              </w:rPr>
            </w:pPr>
            <w:r w:rsidRPr="00EC75B7">
              <w:rPr>
                <w:rFonts w:ascii="Verdana" w:hAnsi="Verdana"/>
                <w:sz w:val="18"/>
                <w:szCs w:val="18"/>
              </w:rPr>
              <w:t xml:space="preserve">0.006 </w:t>
            </w:r>
            <w:r w:rsidRPr="00EC75B7">
              <w:rPr>
                <w:rFonts w:ascii="Verdana" w:hAnsi="Verdana"/>
                <w:spacing w:val="-2"/>
                <w:sz w:val="18"/>
                <w:szCs w:val="18"/>
              </w:rPr>
              <w:t>individuals/</w:t>
            </w:r>
          </w:p>
          <w:p w14:paraId="33E579D5" w14:textId="77777777" w:rsidR="008715BE" w:rsidRPr="00EC75B7" w:rsidRDefault="00000000">
            <w:pPr>
              <w:pStyle w:val="TableParagraph"/>
              <w:spacing w:line="170"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057FBE58" w14:textId="77777777" w:rsidR="008715BE" w:rsidRPr="00EC75B7" w:rsidRDefault="00000000">
            <w:pPr>
              <w:pStyle w:val="TableParagraph"/>
              <w:ind w:left="109" w:right="117"/>
              <w:rPr>
                <w:rFonts w:ascii="Verdana" w:hAnsi="Verdana"/>
                <w:sz w:val="18"/>
                <w:szCs w:val="18"/>
              </w:rPr>
            </w:pPr>
            <w:r w:rsidRPr="00EC75B7">
              <w:rPr>
                <w:rFonts w:ascii="Verdana" w:hAnsi="Verdana"/>
                <w:sz w:val="18"/>
                <w:szCs w:val="18"/>
              </w:rPr>
              <w:t xml:space="preserve">approx. 167 </w:t>
            </w:r>
            <w:r w:rsidRPr="00EC75B7">
              <w:rPr>
                <w:rFonts w:ascii="Verdana" w:hAnsi="Verdana"/>
                <w:spacing w:val="-4"/>
                <w:sz w:val="18"/>
                <w:szCs w:val="18"/>
              </w:rPr>
              <w:t>years)</w:t>
            </w:r>
          </w:p>
          <w:p w14:paraId="10B5E0E8" w14:textId="77777777" w:rsidR="008715BE" w:rsidRPr="00EC75B7" w:rsidRDefault="00000000">
            <w:pPr>
              <w:pStyle w:val="TableParagraph"/>
              <w:ind w:left="109" w:right="93"/>
              <w:rPr>
                <w:rFonts w:ascii="Verdana" w:hAnsi="Verdana"/>
                <w:sz w:val="18"/>
                <w:szCs w:val="18"/>
              </w:rPr>
            </w:pPr>
            <w:r w:rsidRPr="00EC75B7">
              <w:rPr>
                <w:rFonts w:ascii="Verdana" w:hAnsi="Verdana"/>
                <w:i/>
                <w:spacing w:val="-2"/>
                <w:sz w:val="18"/>
                <w:szCs w:val="18"/>
              </w:rPr>
              <w:t xml:space="preserve">Hirundo </w:t>
            </w:r>
            <w:r w:rsidRPr="00EC75B7">
              <w:rPr>
                <w:rFonts w:ascii="Verdana" w:hAnsi="Verdana"/>
                <w:i/>
                <w:sz w:val="18"/>
                <w:szCs w:val="18"/>
              </w:rPr>
              <w:t xml:space="preserve">rustica </w:t>
            </w:r>
            <w:r w:rsidRPr="00EC75B7">
              <w:rPr>
                <w:rFonts w:ascii="Verdana" w:hAnsi="Verdana"/>
                <w:sz w:val="18"/>
                <w:szCs w:val="18"/>
              </w:rPr>
              <w:t>-</w:t>
            </w:r>
            <w:r w:rsidRPr="00EC75B7">
              <w:rPr>
                <w:rFonts w:ascii="Verdana" w:hAnsi="Verdana"/>
                <w:spacing w:val="-2"/>
                <w:sz w:val="18"/>
                <w:szCs w:val="18"/>
              </w:rPr>
              <w:t xml:space="preserve"> 0.019</w:t>
            </w:r>
          </w:p>
          <w:p w14:paraId="2C81DAD5" w14:textId="77777777" w:rsidR="008715BE" w:rsidRPr="00EC75B7" w:rsidRDefault="00000000">
            <w:pPr>
              <w:pStyle w:val="TableParagraph"/>
              <w:ind w:left="109" w:right="136"/>
              <w:rPr>
                <w:rFonts w:ascii="Verdana" w:hAnsi="Verdana"/>
                <w:sz w:val="18"/>
                <w:szCs w:val="18"/>
              </w:rPr>
            </w:pPr>
            <w:r w:rsidRPr="00EC75B7">
              <w:rPr>
                <w:rFonts w:ascii="Verdana" w:hAnsi="Verdana"/>
                <w:sz w:val="18"/>
                <w:szCs w:val="18"/>
              </w:rPr>
              <w:t xml:space="preserve">individuals/year (1 individual at approx. 53 years) </w:t>
            </w:r>
            <w:r w:rsidRPr="00EC75B7">
              <w:rPr>
                <w:rFonts w:ascii="Verdana" w:hAnsi="Verdana"/>
                <w:i/>
                <w:spacing w:val="-2"/>
                <w:sz w:val="18"/>
                <w:szCs w:val="18"/>
              </w:rPr>
              <w:t xml:space="preserve">Melanocoryph </w:t>
            </w:r>
            <w:r w:rsidRPr="00EC75B7">
              <w:rPr>
                <w:rFonts w:ascii="Verdana" w:hAnsi="Verdana"/>
                <w:i/>
                <w:sz w:val="18"/>
                <w:szCs w:val="18"/>
              </w:rPr>
              <w:t xml:space="preserve">a calandra </w:t>
            </w:r>
            <w:r w:rsidRPr="00EC75B7">
              <w:rPr>
                <w:rFonts w:ascii="Verdana" w:hAnsi="Verdana"/>
                <w:sz w:val="18"/>
                <w:szCs w:val="18"/>
              </w:rPr>
              <w:t>- 0.005 individuals/</w:t>
            </w:r>
          </w:p>
          <w:p w14:paraId="0CB4D9D9" w14:textId="77777777" w:rsidR="008715BE" w:rsidRPr="00EC75B7" w:rsidRDefault="00000000">
            <w:pPr>
              <w:pStyle w:val="TableParagraph"/>
              <w:spacing w:line="168"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111623B7" w14:textId="77777777" w:rsidR="008715BE" w:rsidRPr="00EC75B7" w:rsidRDefault="00000000">
            <w:pPr>
              <w:pStyle w:val="TableParagraph"/>
              <w:ind w:left="109" w:right="117"/>
              <w:rPr>
                <w:rFonts w:ascii="Verdana" w:hAnsi="Verdana"/>
                <w:sz w:val="18"/>
                <w:szCs w:val="18"/>
              </w:rPr>
            </w:pPr>
            <w:r w:rsidRPr="00EC75B7">
              <w:rPr>
                <w:rFonts w:ascii="Verdana" w:hAnsi="Verdana"/>
                <w:sz w:val="18"/>
                <w:szCs w:val="18"/>
              </w:rPr>
              <w:t xml:space="preserve">per approx. 200 </w:t>
            </w:r>
            <w:r w:rsidRPr="00EC75B7">
              <w:rPr>
                <w:rFonts w:ascii="Verdana" w:hAnsi="Verdana"/>
                <w:spacing w:val="-4"/>
                <w:sz w:val="18"/>
                <w:szCs w:val="18"/>
              </w:rPr>
              <w:t>years)</w:t>
            </w:r>
          </w:p>
          <w:p w14:paraId="1964DAB5" w14:textId="77777777" w:rsidR="008715BE" w:rsidRPr="00EC75B7" w:rsidRDefault="00000000">
            <w:pPr>
              <w:pStyle w:val="TableParagraph"/>
              <w:spacing w:line="237" w:lineRule="auto"/>
              <w:ind w:left="109" w:right="136"/>
              <w:rPr>
                <w:rFonts w:ascii="Verdana" w:hAnsi="Verdana"/>
                <w:sz w:val="18"/>
                <w:szCs w:val="18"/>
              </w:rPr>
            </w:pPr>
            <w:r w:rsidRPr="00EC75B7">
              <w:rPr>
                <w:rFonts w:ascii="Verdana" w:hAnsi="Verdana"/>
                <w:i/>
                <w:spacing w:val="-2"/>
                <w:sz w:val="18"/>
                <w:szCs w:val="18"/>
              </w:rPr>
              <w:t xml:space="preserve">Merops </w:t>
            </w:r>
            <w:r w:rsidRPr="00EC75B7">
              <w:rPr>
                <w:rFonts w:ascii="Verdana" w:hAnsi="Verdana"/>
                <w:i/>
                <w:sz w:val="18"/>
                <w:szCs w:val="18"/>
              </w:rPr>
              <w:t xml:space="preserve">apiaster </w:t>
            </w:r>
            <w:r w:rsidRPr="00EC75B7">
              <w:rPr>
                <w:rFonts w:ascii="Verdana" w:hAnsi="Verdana"/>
                <w:sz w:val="18"/>
                <w:szCs w:val="18"/>
              </w:rPr>
              <w:t>- 0.019 individuals/</w:t>
            </w:r>
          </w:p>
          <w:p w14:paraId="4D270035" w14:textId="77777777" w:rsidR="008715BE" w:rsidRPr="00EC75B7" w:rsidRDefault="00000000">
            <w:pPr>
              <w:pStyle w:val="TableParagraph"/>
              <w:spacing w:line="171"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6C3FE2C5" w14:textId="77777777" w:rsidR="008715BE" w:rsidRPr="00EC75B7" w:rsidRDefault="00000000">
            <w:pPr>
              <w:pStyle w:val="TableParagraph"/>
              <w:ind w:left="109" w:right="117"/>
              <w:rPr>
                <w:rFonts w:ascii="Verdana" w:hAnsi="Verdana"/>
                <w:sz w:val="18"/>
                <w:szCs w:val="18"/>
              </w:rPr>
            </w:pPr>
            <w:r w:rsidRPr="00EC75B7">
              <w:rPr>
                <w:rFonts w:ascii="Verdana" w:hAnsi="Verdana"/>
                <w:sz w:val="18"/>
                <w:szCs w:val="18"/>
              </w:rPr>
              <w:t xml:space="preserve">approx. 53 </w:t>
            </w:r>
            <w:r w:rsidRPr="00EC75B7">
              <w:rPr>
                <w:rFonts w:ascii="Verdana" w:hAnsi="Verdana"/>
                <w:spacing w:val="-4"/>
                <w:sz w:val="18"/>
                <w:szCs w:val="18"/>
              </w:rPr>
              <w:t>years)</w:t>
            </w:r>
          </w:p>
          <w:p w14:paraId="69EB8085" w14:textId="77777777" w:rsidR="008715BE" w:rsidRPr="00EC75B7" w:rsidRDefault="00000000">
            <w:pPr>
              <w:pStyle w:val="TableParagraph"/>
              <w:ind w:left="109" w:right="136"/>
              <w:rPr>
                <w:rFonts w:ascii="Verdana" w:hAnsi="Verdana"/>
                <w:sz w:val="18"/>
                <w:szCs w:val="18"/>
              </w:rPr>
            </w:pPr>
            <w:r w:rsidRPr="00EC75B7">
              <w:rPr>
                <w:rFonts w:ascii="Verdana" w:hAnsi="Verdana"/>
                <w:i/>
                <w:spacing w:val="-2"/>
                <w:sz w:val="18"/>
                <w:szCs w:val="18"/>
              </w:rPr>
              <w:t xml:space="preserve">Miliaria </w:t>
            </w:r>
            <w:r w:rsidRPr="00EC75B7">
              <w:rPr>
                <w:rFonts w:ascii="Verdana" w:hAnsi="Verdana"/>
                <w:i/>
                <w:sz w:val="18"/>
                <w:szCs w:val="18"/>
              </w:rPr>
              <w:t xml:space="preserve">calandra </w:t>
            </w:r>
            <w:r w:rsidRPr="00EC75B7">
              <w:rPr>
                <w:rFonts w:ascii="Verdana" w:hAnsi="Verdana"/>
                <w:sz w:val="18"/>
                <w:szCs w:val="18"/>
              </w:rPr>
              <w:t>- 0.014 individuals/</w:t>
            </w:r>
          </w:p>
          <w:p w14:paraId="0AAE7052" w14:textId="77777777" w:rsidR="008715BE" w:rsidRPr="00EC75B7" w:rsidRDefault="00000000">
            <w:pPr>
              <w:pStyle w:val="TableParagraph"/>
              <w:spacing w:line="168"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6117B2E2" w14:textId="77777777" w:rsidR="008715BE" w:rsidRPr="00EC75B7" w:rsidRDefault="00000000">
            <w:pPr>
              <w:pStyle w:val="TableParagraph"/>
              <w:ind w:left="109" w:right="117"/>
              <w:rPr>
                <w:rFonts w:ascii="Verdana" w:hAnsi="Verdana"/>
                <w:sz w:val="18"/>
                <w:szCs w:val="18"/>
              </w:rPr>
            </w:pPr>
            <w:r w:rsidRPr="00EC75B7">
              <w:rPr>
                <w:rFonts w:ascii="Verdana" w:hAnsi="Verdana"/>
                <w:sz w:val="18"/>
                <w:szCs w:val="18"/>
              </w:rPr>
              <w:t xml:space="preserve">approx. every 71 </w:t>
            </w:r>
            <w:r w:rsidRPr="00EC75B7">
              <w:rPr>
                <w:rFonts w:ascii="Verdana" w:hAnsi="Verdana"/>
                <w:spacing w:val="-4"/>
                <w:sz w:val="18"/>
                <w:szCs w:val="18"/>
              </w:rPr>
              <w:t>years)</w:t>
            </w:r>
          </w:p>
          <w:p w14:paraId="653671AC" w14:textId="77777777" w:rsidR="008715BE" w:rsidRPr="00EC75B7" w:rsidRDefault="00000000">
            <w:pPr>
              <w:pStyle w:val="TableParagraph"/>
              <w:spacing w:line="170" w:lineRule="exact"/>
              <w:ind w:left="109"/>
              <w:rPr>
                <w:rFonts w:ascii="Verdana" w:hAnsi="Verdana"/>
                <w:i/>
                <w:sz w:val="18"/>
                <w:szCs w:val="18"/>
              </w:rPr>
            </w:pPr>
            <w:r w:rsidRPr="00EC75B7">
              <w:rPr>
                <w:rFonts w:ascii="Verdana" w:hAnsi="Verdana"/>
                <w:i/>
                <w:sz w:val="18"/>
                <w:szCs w:val="18"/>
              </w:rPr>
              <w:t xml:space="preserve">Motacilla </w:t>
            </w:r>
            <w:r w:rsidRPr="00EC75B7">
              <w:rPr>
                <w:rFonts w:ascii="Verdana" w:hAnsi="Verdana"/>
                <w:i/>
                <w:spacing w:val="-4"/>
                <w:sz w:val="18"/>
                <w:szCs w:val="18"/>
              </w:rPr>
              <w:t>alba</w:t>
            </w:r>
          </w:p>
          <w:p w14:paraId="74B3D110" w14:textId="77777777" w:rsidR="008715BE" w:rsidRPr="00EC75B7" w:rsidRDefault="00000000">
            <w:pPr>
              <w:pStyle w:val="TableParagraph"/>
              <w:spacing w:line="170" w:lineRule="exact"/>
              <w:ind w:left="109"/>
              <w:rPr>
                <w:rFonts w:ascii="Verdana" w:hAnsi="Verdana"/>
                <w:sz w:val="18"/>
                <w:szCs w:val="18"/>
              </w:rPr>
            </w:pPr>
            <w:r w:rsidRPr="00EC75B7">
              <w:rPr>
                <w:rFonts w:ascii="Verdana" w:hAnsi="Verdana"/>
                <w:sz w:val="18"/>
                <w:szCs w:val="18"/>
              </w:rPr>
              <w:t>-</w:t>
            </w:r>
            <w:r w:rsidRPr="00EC75B7">
              <w:rPr>
                <w:rFonts w:ascii="Verdana" w:hAnsi="Verdana"/>
                <w:spacing w:val="-4"/>
                <w:sz w:val="18"/>
                <w:szCs w:val="18"/>
              </w:rPr>
              <w:t xml:space="preserve"> 0.006</w:t>
            </w:r>
          </w:p>
          <w:p w14:paraId="31683D23" w14:textId="77777777" w:rsidR="008715BE" w:rsidRPr="00EC75B7" w:rsidRDefault="00000000">
            <w:pPr>
              <w:pStyle w:val="TableParagraph"/>
              <w:ind w:left="109" w:right="154"/>
              <w:rPr>
                <w:rFonts w:ascii="Verdana" w:hAnsi="Verdana"/>
                <w:sz w:val="18"/>
                <w:szCs w:val="18"/>
              </w:rPr>
            </w:pPr>
            <w:r w:rsidRPr="00EC75B7">
              <w:rPr>
                <w:rFonts w:ascii="Verdana" w:hAnsi="Verdana"/>
                <w:sz w:val="18"/>
                <w:szCs w:val="18"/>
              </w:rPr>
              <w:t xml:space="preserve">individuals/year (1 individual in approx. 167 </w:t>
            </w:r>
            <w:r w:rsidRPr="00EC75B7">
              <w:rPr>
                <w:rFonts w:ascii="Verdana" w:hAnsi="Verdana"/>
                <w:spacing w:val="-4"/>
                <w:sz w:val="18"/>
                <w:szCs w:val="18"/>
              </w:rPr>
              <w:t>years)</w:t>
            </w:r>
          </w:p>
          <w:p w14:paraId="06FE37F8" w14:textId="77777777" w:rsidR="008715BE" w:rsidRPr="00EC75B7" w:rsidRDefault="00000000">
            <w:pPr>
              <w:pStyle w:val="TableParagraph"/>
              <w:spacing w:line="169" w:lineRule="exact"/>
              <w:ind w:left="109"/>
              <w:rPr>
                <w:rFonts w:ascii="Verdana" w:hAnsi="Verdana"/>
                <w:i/>
                <w:sz w:val="18"/>
                <w:szCs w:val="18"/>
              </w:rPr>
            </w:pPr>
            <w:r w:rsidRPr="00EC75B7">
              <w:rPr>
                <w:rFonts w:ascii="Verdana" w:hAnsi="Verdana"/>
                <w:i/>
                <w:sz w:val="18"/>
                <w:szCs w:val="18"/>
              </w:rPr>
              <w:t xml:space="preserve">Motacilla </w:t>
            </w:r>
            <w:r w:rsidRPr="00EC75B7">
              <w:rPr>
                <w:rFonts w:ascii="Verdana" w:hAnsi="Verdana"/>
                <w:i/>
                <w:spacing w:val="-4"/>
                <w:sz w:val="18"/>
                <w:szCs w:val="18"/>
              </w:rPr>
              <w:t>flava</w:t>
            </w:r>
          </w:p>
          <w:p w14:paraId="61B5C6CF" w14:textId="77777777" w:rsidR="008715BE" w:rsidRPr="00EC75B7" w:rsidRDefault="00000000">
            <w:pPr>
              <w:pStyle w:val="TableParagraph"/>
              <w:spacing w:line="169" w:lineRule="exact"/>
              <w:ind w:left="109"/>
              <w:rPr>
                <w:rFonts w:ascii="Verdana" w:hAnsi="Verdana"/>
                <w:sz w:val="18"/>
                <w:szCs w:val="18"/>
              </w:rPr>
            </w:pPr>
            <w:r w:rsidRPr="00EC75B7">
              <w:rPr>
                <w:rFonts w:ascii="Verdana" w:hAnsi="Verdana"/>
                <w:sz w:val="18"/>
                <w:szCs w:val="18"/>
              </w:rPr>
              <w:t>-</w:t>
            </w:r>
            <w:r w:rsidRPr="00EC75B7">
              <w:rPr>
                <w:rFonts w:ascii="Verdana" w:hAnsi="Verdana"/>
                <w:spacing w:val="-4"/>
                <w:sz w:val="18"/>
                <w:szCs w:val="18"/>
              </w:rPr>
              <w:t xml:space="preserve"> 0.003</w:t>
            </w:r>
          </w:p>
          <w:p w14:paraId="1598E95D" w14:textId="77777777" w:rsidR="008715BE" w:rsidRPr="00EC75B7" w:rsidRDefault="00000000">
            <w:pPr>
              <w:pStyle w:val="TableParagraph"/>
              <w:ind w:left="109" w:right="154"/>
              <w:rPr>
                <w:rFonts w:ascii="Verdana" w:hAnsi="Verdana"/>
                <w:sz w:val="18"/>
                <w:szCs w:val="18"/>
              </w:rPr>
            </w:pPr>
            <w:r w:rsidRPr="00EC75B7">
              <w:rPr>
                <w:rFonts w:ascii="Verdana" w:hAnsi="Verdana"/>
                <w:sz w:val="18"/>
                <w:szCs w:val="18"/>
              </w:rPr>
              <w:t>individuals</w:t>
            </w:r>
            <w:r w:rsidRPr="00EC75B7">
              <w:rPr>
                <w:rFonts w:ascii="Verdana" w:hAnsi="Verdana"/>
                <w:sz w:val="18"/>
                <w:szCs w:val="18"/>
              </w:rPr>
              <w:lastRenderedPageBreak/>
              <w:t xml:space="preserve">/year (1 individual approx. every 333 </w:t>
            </w:r>
            <w:r w:rsidRPr="00EC75B7">
              <w:rPr>
                <w:rFonts w:ascii="Verdana" w:hAnsi="Verdana"/>
                <w:spacing w:val="-4"/>
                <w:sz w:val="18"/>
                <w:szCs w:val="18"/>
              </w:rPr>
              <w:t>years)</w:t>
            </w:r>
          </w:p>
          <w:p w14:paraId="263D596C" w14:textId="77777777" w:rsidR="008715BE" w:rsidRPr="00EC75B7" w:rsidRDefault="00000000">
            <w:pPr>
              <w:pStyle w:val="TableParagraph"/>
              <w:ind w:left="109" w:right="136"/>
              <w:rPr>
                <w:rFonts w:ascii="Verdana" w:hAnsi="Verdana"/>
                <w:sz w:val="18"/>
                <w:szCs w:val="18"/>
              </w:rPr>
            </w:pPr>
            <w:r w:rsidRPr="00EC75B7">
              <w:rPr>
                <w:rFonts w:ascii="Verdana" w:hAnsi="Verdana"/>
                <w:i/>
                <w:spacing w:val="-2"/>
                <w:sz w:val="18"/>
                <w:szCs w:val="18"/>
              </w:rPr>
              <w:t xml:space="preserve">Pernis </w:t>
            </w:r>
            <w:r w:rsidRPr="00EC75B7">
              <w:rPr>
                <w:rFonts w:ascii="Verdana" w:hAnsi="Verdana"/>
                <w:sz w:val="18"/>
                <w:szCs w:val="18"/>
              </w:rPr>
              <w:t>apivorus - 0.028 individuals/</w:t>
            </w:r>
          </w:p>
          <w:p w14:paraId="1A9C4666" w14:textId="77777777" w:rsidR="008715BE" w:rsidRPr="00EC75B7" w:rsidRDefault="00000000">
            <w:pPr>
              <w:pStyle w:val="TableParagraph"/>
              <w:spacing w:line="169"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78457970" w14:textId="77777777" w:rsidR="008715BE" w:rsidRPr="00EC75B7" w:rsidRDefault="00000000">
            <w:pPr>
              <w:pStyle w:val="TableParagraph"/>
              <w:spacing w:line="237" w:lineRule="auto"/>
              <w:ind w:left="109" w:right="117"/>
              <w:rPr>
                <w:rFonts w:ascii="Verdana" w:hAnsi="Verdana"/>
                <w:sz w:val="18"/>
                <w:szCs w:val="18"/>
              </w:rPr>
            </w:pPr>
            <w:r w:rsidRPr="00EC75B7">
              <w:rPr>
                <w:rFonts w:ascii="Verdana" w:hAnsi="Verdana"/>
                <w:sz w:val="18"/>
                <w:szCs w:val="18"/>
              </w:rPr>
              <w:t xml:space="preserve">at approx. 36 </w:t>
            </w:r>
            <w:r w:rsidRPr="00EC75B7">
              <w:rPr>
                <w:rFonts w:ascii="Verdana" w:hAnsi="Verdana"/>
                <w:spacing w:val="-4"/>
                <w:sz w:val="18"/>
                <w:szCs w:val="18"/>
              </w:rPr>
              <w:t xml:space="preserve">years) </w:t>
            </w:r>
            <w:r w:rsidRPr="00EC75B7">
              <w:rPr>
                <w:rFonts w:ascii="Verdana" w:hAnsi="Verdana"/>
                <w:i/>
                <w:spacing w:val="-2"/>
                <w:sz w:val="18"/>
                <w:szCs w:val="18"/>
              </w:rPr>
              <w:t xml:space="preserve">Streptopelia </w:t>
            </w:r>
            <w:r w:rsidRPr="00EC75B7">
              <w:rPr>
                <w:rFonts w:ascii="Verdana" w:hAnsi="Verdana"/>
                <w:i/>
                <w:sz w:val="18"/>
                <w:szCs w:val="18"/>
              </w:rPr>
              <w:t xml:space="preserve">turtur </w:t>
            </w:r>
            <w:r w:rsidRPr="00EC75B7">
              <w:rPr>
                <w:rFonts w:ascii="Verdana" w:hAnsi="Verdana"/>
                <w:sz w:val="18"/>
                <w:szCs w:val="18"/>
              </w:rPr>
              <w:t>-</w:t>
            </w:r>
            <w:r w:rsidRPr="00EC75B7">
              <w:rPr>
                <w:rFonts w:ascii="Verdana" w:hAnsi="Verdana"/>
                <w:spacing w:val="-2"/>
                <w:sz w:val="18"/>
                <w:szCs w:val="18"/>
              </w:rPr>
              <w:t xml:space="preserve"> 0.004</w:t>
            </w:r>
          </w:p>
          <w:p w14:paraId="1C50BB58" w14:textId="77777777" w:rsidR="008715BE" w:rsidRPr="00EC75B7" w:rsidRDefault="00000000">
            <w:pPr>
              <w:pStyle w:val="TableParagraph"/>
              <w:ind w:left="109" w:right="154"/>
              <w:rPr>
                <w:rFonts w:ascii="Verdana" w:hAnsi="Verdana"/>
                <w:sz w:val="18"/>
                <w:szCs w:val="18"/>
              </w:rPr>
            </w:pPr>
            <w:r w:rsidRPr="00EC75B7">
              <w:rPr>
                <w:rFonts w:ascii="Verdana" w:hAnsi="Verdana"/>
                <w:sz w:val="18"/>
                <w:szCs w:val="18"/>
              </w:rPr>
              <w:t xml:space="preserve">individuals/year (1 individual at approx. 250 </w:t>
            </w:r>
            <w:r w:rsidRPr="00EC75B7">
              <w:rPr>
                <w:rFonts w:ascii="Verdana" w:hAnsi="Verdana"/>
                <w:spacing w:val="-4"/>
                <w:sz w:val="18"/>
                <w:szCs w:val="18"/>
              </w:rPr>
              <w:t>years)</w:t>
            </w:r>
          </w:p>
          <w:p w14:paraId="602FE9F8" w14:textId="77777777" w:rsidR="008715BE" w:rsidRPr="00EC75B7" w:rsidRDefault="00000000">
            <w:pPr>
              <w:pStyle w:val="TableParagraph"/>
              <w:ind w:left="109" w:right="113"/>
              <w:rPr>
                <w:rFonts w:ascii="Verdana" w:hAnsi="Verdana"/>
                <w:sz w:val="18"/>
                <w:szCs w:val="18"/>
              </w:rPr>
            </w:pPr>
            <w:r w:rsidRPr="00EC75B7">
              <w:rPr>
                <w:rFonts w:ascii="Verdana" w:hAnsi="Verdana"/>
                <w:i/>
                <w:sz w:val="18"/>
                <w:szCs w:val="18"/>
              </w:rPr>
              <w:t xml:space="preserve">Upupa epops </w:t>
            </w:r>
            <w:r w:rsidRPr="00EC75B7">
              <w:rPr>
                <w:rFonts w:ascii="Verdana" w:hAnsi="Verdana"/>
                <w:sz w:val="18"/>
                <w:szCs w:val="18"/>
              </w:rPr>
              <w:t xml:space="preserve">- 0.005 </w:t>
            </w:r>
            <w:r w:rsidRPr="00EC75B7">
              <w:rPr>
                <w:rFonts w:ascii="Verdana" w:hAnsi="Verdana"/>
                <w:spacing w:val="-2"/>
                <w:sz w:val="18"/>
                <w:szCs w:val="18"/>
              </w:rPr>
              <w:t>individuals/</w:t>
            </w:r>
          </w:p>
          <w:p w14:paraId="292FC87B" w14:textId="77777777" w:rsidR="008715BE" w:rsidRPr="00EC75B7" w:rsidRDefault="00000000">
            <w:pPr>
              <w:pStyle w:val="TableParagraph"/>
              <w:spacing w:line="168" w:lineRule="exact"/>
              <w:ind w:left="109"/>
              <w:rPr>
                <w:rFonts w:ascii="Verdana" w:hAnsi="Verdana"/>
                <w:sz w:val="18"/>
                <w:szCs w:val="18"/>
              </w:rPr>
            </w:pPr>
            <w:r w:rsidRPr="00EC75B7">
              <w:rPr>
                <w:rFonts w:ascii="Verdana" w:hAnsi="Verdana"/>
                <w:sz w:val="18"/>
                <w:szCs w:val="18"/>
              </w:rPr>
              <w:t xml:space="preserve">year (1 </w:t>
            </w:r>
            <w:r w:rsidRPr="00EC75B7">
              <w:rPr>
                <w:rFonts w:ascii="Verdana" w:hAnsi="Verdana"/>
                <w:spacing w:val="-2"/>
                <w:sz w:val="18"/>
                <w:szCs w:val="18"/>
              </w:rPr>
              <w:t>individual</w:t>
            </w:r>
          </w:p>
          <w:p w14:paraId="292AD40D" w14:textId="77777777" w:rsidR="008715BE" w:rsidRPr="00EC75B7" w:rsidRDefault="00000000">
            <w:pPr>
              <w:pStyle w:val="TableParagraph"/>
              <w:spacing w:line="169" w:lineRule="exact"/>
              <w:ind w:left="109"/>
              <w:rPr>
                <w:rFonts w:ascii="Verdana" w:hAnsi="Verdana"/>
                <w:sz w:val="18"/>
                <w:szCs w:val="18"/>
              </w:rPr>
            </w:pPr>
            <w:r w:rsidRPr="00EC75B7">
              <w:rPr>
                <w:rFonts w:ascii="Verdana" w:hAnsi="Verdana"/>
                <w:sz w:val="18"/>
                <w:szCs w:val="18"/>
              </w:rPr>
              <w:t>per approx.</w:t>
            </w:r>
            <w:r w:rsidRPr="00EC75B7">
              <w:rPr>
                <w:rFonts w:ascii="Verdana" w:hAnsi="Verdana"/>
                <w:spacing w:val="-5"/>
                <w:sz w:val="18"/>
                <w:szCs w:val="18"/>
              </w:rPr>
              <w:t xml:space="preserve"> 20</w:t>
            </w:r>
          </w:p>
          <w:p w14:paraId="6B15C77E" w14:textId="77777777" w:rsidR="008715BE" w:rsidRPr="00EC75B7" w:rsidRDefault="00000000">
            <w:pPr>
              <w:pStyle w:val="TableParagraph"/>
              <w:spacing w:line="142" w:lineRule="exact"/>
              <w:ind w:left="109"/>
              <w:rPr>
                <w:rFonts w:ascii="Verdana" w:hAnsi="Verdana"/>
                <w:sz w:val="18"/>
                <w:szCs w:val="18"/>
              </w:rPr>
            </w:pPr>
            <w:r w:rsidRPr="00EC75B7">
              <w:rPr>
                <w:rFonts w:ascii="Verdana" w:hAnsi="Verdana"/>
                <w:spacing w:val="-4"/>
                <w:sz w:val="18"/>
                <w:szCs w:val="18"/>
              </w:rPr>
              <w:t>years)</w:t>
            </w:r>
          </w:p>
        </w:tc>
        <w:tc>
          <w:tcPr>
            <w:tcW w:w="901" w:type="dxa"/>
          </w:tcPr>
          <w:p w14:paraId="3D9325A2" w14:textId="77777777" w:rsidR="008715BE" w:rsidRPr="00EC75B7" w:rsidRDefault="008715BE">
            <w:pPr>
              <w:pStyle w:val="TableParagraph"/>
              <w:rPr>
                <w:rFonts w:ascii="Verdana" w:hAnsi="Verdana"/>
                <w:sz w:val="18"/>
                <w:szCs w:val="18"/>
              </w:rPr>
            </w:pPr>
          </w:p>
        </w:tc>
      </w:tr>
      <w:tr w:rsidR="008715BE" w:rsidRPr="00EC75B7" w14:paraId="246BAFF7" w14:textId="77777777">
        <w:trPr>
          <w:trHeight w:val="1872"/>
        </w:trPr>
        <w:tc>
          <w:tcPr>
            <w:tcW w:w="542" w:type="dxa"/>
            <w:vMerge/>
            <w:tcBorders>
              <w:top w:val="nil"/>
            </w:tcBorders>
          </w:tcPr>
          <w:p w14:paraId="102BC5C0" w14:textId="77777777" w:rsidR="008715BE" w:rsidRPr="00EC75B7" w:rsidRDefault="008715BE">
            <w:pPr>
              <w:rPr>
                <w:rFonts w:ascii="Verdana" w:hAnsi="Verdana"/>
                <w:sz w:val="18"/>
                <w:szCs w:val="18"/>
              </w:rPr>
            </w:pPr>
          </w:p>
        </w:tc>
        <w:tc>
          <w:tcPr>
            <w:tcW w:w="1800" w:type="dxa"/>
            <w:vMerge/>
            <w:tcBorders>
              <w:top w:val="nil"/>
            </w:tcBorders>
          </w:tcPr>
          <w:p w14:paraId="7A4E2280" w14:textId="77777777" w:rsidR="008715BE" w:rsidRPr="00EC75B7" w:rsidRDefault="008715BE">
            <w:pPr>
              <w:rPr>
                <w:rFonts w:ascii="Verdana" w:hAnsi="Verdana"/>
                <w:sz w:val="18"/>
                <w:szCs w:val="18"/>
              </w:rPr>
            </w:pPr>
          </w:p>
        </w:tc>
        <w:tc>
          <w:tcPr>
            <w:tcW w:w="1048" w:type="dxa"/>
          </w:tcPr>
          <w:p w14:paraId="228E7AD8" w14:textId="77777777" w:rsidR="008715BE" w:rsidRPr="00EC75B7" w:rsidRDefault="00000000">
            <w:pPr>
              <w:pStyle w:val="TableParagraph"/>
              <w:spacing w:before="8"/>
              <w:ind w:left="106" w:right="136"/>
              <w:rPr>
                <w:rFonts w:ascii="Verdana" w:hAnsi="Verdana"/>
                <w:sz w:val="18"/>
                <w:szCs w:val="18"/>
              </w:rPr>
            </w:pPr>
            <w:r w:rsidRPr="00EC75B7">
              <w:rPr>
                <w:rFonts w:ascii="Verdana" w:hAnsi="Verdana"/>
                <w:sz w:val="18"/>
                <w:szCs w:val="18"/>
              </w:rPr>
              <w:t xml:space="preserve">Sudden pressure </w:t>
            </w:r>
            <w:r w:rsidRPr="00EC75B7">
              <w:rPr>
                <w:rFonts w:ascii="Verdana" w:hAnsi="Verdana"/>
                <w:spacing w:val="-2"/>
                <w:sz w:val="18"/>
                <w:szCs w:val="18"/>
              </w:rPr>
              <w:t xml:space="preserve">change </w:t>
            </w:r>
            <w:r w:rsidRPr="00EC75B7">
              <w:rPr>
                <w:rFonts w:ascii="Verdana" w:hAnsi="Verdana"/>
                <w:sz w:val="18"/>
                <w:szCs w:val="18"/>
              </w:rPr>
              <w:t xml:space="preserve">within the range of </w:t>
            </w:r>
            <w:r w:rsidRPr="00EC75B7">
              <w:rPr>
                <w:rFonts w:ascii="Verdana" w:hAnsi="Verdana"/>
                <w:spacing w:val="-2"/>
                <w:sz w:val="18"/>
                <w:szCs w:val="18"/>
              </w:rPr>
              <w:t xml:space="preserve">the turbine blades, </w:t>
            </w:r>
            <w:r w:rsidRPr="00EC75B7">
              <w:rPr>
                <w:rFonts w:ascii="Verdana" w:hAnsi="Verdana"/>
                <w:sz w:val="18"/>
                <w:szCs w:val="18"/>
              </w:rPr>
              <w:t xml:space="preserve">but also below </w:t>
            </w:r>
            <w:r w:rsidRPr="00EC75B7">
              <w:rPr>
                <w:rFonts w:ascii="Verdana" w:hAnsi="Verdana"/>
                <w:spacing w:val="-2"/>
                <w:sz w:val="18"/>
                <w:szCs w:val="18"/>
              </w:rPr>
              <w:t xml:space="preserve">it </w:t>
            </w:r>
            <w:r w:rsidRPr="00EC75B7">
              <w:rPr>
                <w:rFonts w:ascii="Verdana" w:hAnsi="Verdana"/>
                <w:sz w:val="18"/>
                <w:szCs w:val="18"/>
              </w:rPr>
              <w:t xml:space="preserve">(approx. 5 m) </w:t>
            </w:r>
            <w:r w:rsidRPr="00EC75B7">
              <w:rPr>
                <w:rFonts w:ascii="Verdana" w:hAnsi="Verdana"/>
                <w:spacing w:val="-10"/>
                <w:sz w:val="18"/>
                <w:szCs w:val="18"/>
              </w:rPr>
              <w:t>-</w:t>
            </w:r>
          </w:p>
          <w:p w14:paraId="4F0B6B23" w14:textId="77777777" w:rsidR="008715BE" w:rsidRPr="00EC75B7" w:rsidRDefault="00000000">
            <w:pPr>
              <w:pStyle w:val="TableParagraph"/>
              <w:spacing w:line="135" w:lineRule="exact"/>
              <w:ind w:left="106"/>
              <w:rPr>
                <w:rFonts w:ascii="Verdana" w:hAnsi="Verdana"/>
                <w:sz w:val="18"/>
                <w:szCs w:val="18"/>
              </w:rPr>
            </w:pPr>
            <w:r w:rsidRPr="00EC75B7">
              <w:rPr>
                <w:rFonts w:ascii="Verdana" w:hAnsi="Verdana"/>
                <w:spacing w:val="-2"/>
                <w:sz w:val="18"/>
                <w:szCs w:val="18"/>
              </w:rPr>
              <w:t>barotrauma</w:t>
            </w:r>
          </w:p>
        </w:tc>
        <w:tc>
          <w:tcPr>
            <w:tcW w:w="1274" w:type="dxa"/>
          </w:tcPr>
          <w:p w14:paraId="041A002D"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REP</w:t>
            </w:r>
          </w:p>
        </w:tc>
        <w:tc>
          <w:tcPr>
            <w:tcW w:w="993" w:type="dxa"/>
          </w:tcPr>
          <w:p w14:paraId="74856562"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3C8F52CB"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616808B1"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6F224B0F"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8" w:type="dxa"/>
            <w:gridSpan w:val="5"/>
          </w:tcPr>
          <w:p w14:paraId="11A679B6"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1" w:type="dxa"/>
          </w:tcPr>
          <w:p w14:paraId="3A97E6F3"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1" w:type="dxa"/>
          </w:tcPr>
          <w:p w14:paraId="7083DC14"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1" w:type="dxa"/>
          </w:tcPr>
          <w:p w14:paraId="0D9EE960" w14:textId="77777777" w:rsidR="008715BE" w:rsidRPr="00EC75B7" w:rsidRDefault="00000000">
            <w:pPr>
              <w:pStyle w:val="TableParagraph"/>
              <w:spacing w:before="8"/>
              <w:ind w:left="108" w:right="15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73775978" w14:textId="77777777">
        <w:trPr>
          <w:trHeight w:val="1362"/>
        </w:trPr>
        <w:tc>
          <w:tcPr>
            <w:tcW w:w="542" w:type="dxa"/>
            <w:vMerge/>
            <w:tcBorders>
              <w:top w:val="nil"/>
            </w:tcBorders>
          </w:tcPr>
          <w:p w14:paraId="524A5106" w14:textId="77777777" w:rsidR="008715BE" w:rsidRPr="00EC75B7" w:rsidRDefault="008715BE">
            <w:pPr>
              <w:rPr>
                <w:rFonts w:ascii="Verdana" w:hAnsi="Verdana"/>
                <w:sz w:val="18"/>
                <w:szCs w:val="18"/>
              </w:rPr>
            </w:pPr>
          </w:p>
        </w:tc>
        <w:tc>
          <w:tcPr>
            <w:tcW w:w="1800" w:type="dxa"/>
          </w:tcPr>
          <w:p w14:paraId="08133929" w14:textId="77777777" w:rsidR="008715BE" w:rsidRPr="00EC75B7" w:rsidRDefault="00000000">
            <w:pPr>
              <w:pStyle w:val="TableParagraph"/>
              <w:spacing w:before="8"/>
              <w:ind w:left="105" w:right="155"/>
              <w:rPr>
                <w:rFonts w:ascii="Verdana" w:hAnsi="Verdana"/>
                <w:sz w:val="18"/>
                <w:szCs w:val="18"/>
              </w:rPr>
            </w:pPr>
            <w:r w:rsidRPr="00EC75B7">
              <w:rPr>
                <w:rFonts w:ascii="Verdana" w:hAnsi="Verdana"/>
                <w:sz w:val="18"/>
                <w:szCs w:val="18"/>
              </w:rPr>
              <w:t>Maintenance and repair work</w:t>
            </w:r>
          </w:p>
        </w:tc>
        <w:tc>
          <w:tcPr>
            <w:tcW w:w="1048" w:type="dxa"/>
          </w:tcPr>
          <w:p w14:paraId="64849589" w14:textId="77777777" w:rsidR="008715BE" w:rsidRPr="00EC75B7" w:rsidRDefault="00000000">
            <w:pPr>
              <w:pStyle w:val="TableParagraph"/>
              <w:spacing w:line="170" w:lineRule="exact"/>
              <w:ind w:left="106" w:right="107"/>
              <w:rPr>
                <w:rFonts w:ascii="Verdana" w:hAnsi="Verdana"/>
                <w:sz w:val="18"/>
                <w:szCs w:val="18"/>
              </w:rPr>
            </w:pPr>
            <w:r w:rsidRPr="00EC75B7">
              <w:rPr>
                <w:rFonts w:ascii="Verdana" w:hAnsi="Verdana"/>
                <w:spacing w:val="-6"/>
                <w:sz w:val="18"/>
                <w:szCs w:val="18"/>
              </w:rPr>
              <w:t>Coll</w:t>
            </w:r>
            <w:r w:rsidRPr="00EC75B7">
              <w:rPr>
                <w:rFonts w:ascii="Verdana" w:hAnsi="Verdana"/>
                <w:spacing w:val="-2"/>
                <w:sz w:val="18"/>
                <w:szCs w:val="18"/>
              </w:rPr>
              <w:t xml:space="preserve">ision of </w:t>
            </w:r>
            <w:r w:rsidRPr="00EC75B7">
              <w:rPr>
                <w:rFonts w:ascii="Verdana" w:hAnsi="Verdana"/>
                <w:sz w:val="18"/>
                <w:szCs w:val="18"/>
              </w:rPr>
              <w:t xml:space="preserve">wildlife with </w:t>
            </w:r>
            <w:r w:rsidRPr="00EC75B7">
              <w:rPr>
                <w:rFonts w:ascii="Verdana" w:hAnsi="Verdana"/>
                <w:spacing w:val="-2"/>
                <w:sz w:val="18"/>
                <w:szCs w:val="18"/>
              </w:rPr>
              <w:t xml:space="preserve">vehicle traffic </w:t>
            </w:r>
            <w:r w:rsidRPr="00EC75B7">
              <w:rPr>
                <w:rFonts w:ascii="Verdana" w:hAnsi="Verdana"/>
                <w:spacing w:val="-6"/>
                <w:sz w:val="18"/>
                <w:szCs w:val="18"/>
              </w:rPr>
              <w:t xml:space="preserve">on </w:t>
            </w:r>
            <w:r w:rsidRPr="00EC75B7">
              <w:rPr>
                <w:rFonts w:ascii="Verdana" w:hAnsi="Verdana"/>
                <w:spacing w:val="-2"/>
                <w:sz w:val="18"/>
                <w:szCs w:val="18"/>
              </w:rPr>
              <w:t>roads</w:t>
            </w:r>
          </w:p>
        </w:tc>
        <w:tc>
          <w:tcPr>
            <w:tcW w:w="1274" w:type="dxa"/>
          </w:tcPr>
          <w:p w14:paraId="4D699916"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REP</w:t>
            </w:r>
          </w:p>
        </w:tc>
        <w:tc>
          <w:tcPr>
            <w:tcW w:w="993" w:type="dxa"/>
          </w:tcPr>
          <w:p w14:paraId="6722C58B"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3C015C8F" w14:textId="77777777" w:rsidR="008715BE" w:rsidRPr="00EC75B7" w:rsidRDefault="00000000">
            <w:pPr>
              <w:pStyle w:val="TableParagraph"/>
              <w:spacing w:line="170" w:lineRule="exact"/>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 xml:space="preserve">secondary impacts </w:t>
            </w:r>
            <w:r w:rsidRPr="00EC75B7">
              <w:rPr>
                <w:rFonts w:ascii="Verdana" w:hAnsi="Verdana"/>
                <w:sz w:val="18"/>
                <w:szCs w:val="18"/>
              </w:rPr>
              <w:t xml:space="preserve">have </w:t>
            </w:r>
            <w:r w:rsidRPr="00EC75B7">
              <w:rPr>
                <w:rFonts w:ascii="Verdana" w:hAnsi="Verdana"/>
                <w:spacing w:val="-4"/>
                <w:sz w:val="18"/>
                <w:szCs w:val="18"/>
              </w:rPr>
              <w:t>been identified</w:t>
            </w:r>
          </w:p>
        </w:tc>
        <w:tc>
          <w:tcPr>
            <w:tcW w:w="991" w:type="dxa"/>
          </w:tcPr>
          <w:p w14:paraId="1B48A57B"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4D0116C1"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8" w:type="dxa"/>
            <w:gridSpan w:val="5"/>
          </w:tcPr>
          <w:p w14:paraId="3DD2D75C"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1" w:type="dxa"/>
          </w:tcPr>
          <w:p w14:paraId="5C9CB7D1"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1" w:type="dxa"/>
          </w:tcPr>
          <w:p w14:paraId="0344AD23"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1" w:type="dxa"/>
          </w:tcPr>
          <w:p w14:paraId="7CB2D3E1" w14:textId="77777777" w:rsidR="008715BE" w:rsidRPr="00EC75B7" w:rsidRDefault="00000000">
            <w:pPr>
              <w:pStyle w:val="TableParagraph"/>
              <w:spacing w:before="8"/>
              <w:ind w:left="108" w:right="15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44B055BE"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3BD62B52"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8715BE" w:rsidRPr="00EC75B7" w14:paraId="5EE77617" w14:textId="77777777">
        <w:trPr>
          <w:trHeight w:val="842"/>
        </w:trPr>
        <w:tc>
          <w:tcPr>
            <w:tcW w:w="2342" w:type="dxa"/>
            <w:gridSpan w:val="2"/>
            <w:shd w:val="clear" w:color="auto" w:fill="00A1E8"/>
          </w:tcPr>
          <w:p w14:paraId="2248C5B4" w14:textId="77777777" w:rsidR="008715BE" w:rsidRPr="00EC75B7" w:rsidRDefault="008715BE">
            <w:pPr>
              <w:pStyle w:val="TableParagraph"/>
              <w:rPr>
                <w:rFonts w:ascii="Verdana" w:hAnsi="Verdana"/>
                <w:b/>
                <w:sz w:val="18"/>
                <w:szCs w:val="18"/>
              </w:rPr>
            </w:pPr>
          </w:p>
          <w:p w14:paraId="5CD546DB" w14:textId="77777777" w:rsidR="008715BE" w:rsidRPr="00EC75B7" w:rsidRDefault="008715BE">
            <w:pPr>
              <w:pStyle w:val="TableParagraph"/>
              <w:spacing w:before="2"/>
              <w:rPr>
                <w:rFonts w:ascii="Verdana" w:hAnsi="Verdana"/>
                <w:b/>
                <w:sz w:val="18"/>
                <w:szCs w:val="18"/>
              </w:rPr>
            </w:pPr>
          </w:p>
          <w:p w14:paraId="7D0C2FCC"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5792A90F" w14:textId="77777777" w:rsidR="008715BE" w:rsidRPr="00EC75B7" w:rsidRDefault="008715BE">
            <w:pPr>
              <w:pStyle w:val="TableParagraph"/>
              <w:rPr>
                <w:rFonts w:ascii="Verdana" w:hAnsi="Verdana"/>
                <w:b/>
                <w:sz w:val="18"/>
                <w:szCs w:val="18"/>
              </w:rPr>
            </w:pPr>
          </w:p>
          <w:p w14:paraId="306C7958" w14:textId="77777777" w:rsidR="008715BE" w:rsidRPr="00EC75B7" w:rsidRDefault="008715BE">
            <w:pPr>
              <w:pStyle w:val="TableParagraph"/>
              <w:spacing w:before="2"/>
              <w:rPr>
                <w:rFonts w:ascii="Verdana" w:hAnsi="Verdana"/>
                <w:b/>
                <w:sz w:val="18"/>
                <w:szCs w:val="18"/>
              </w:rPr>
            </w:pPr>
          </w:p>
          <w:p w14:paraId="4C77F717"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314F0A31" w14:textId="77777777" w:rsidR="008715BE" w:rsidRPr="00EC75B7" w:rsidRDefault="008715BE">
            <w:pPr>
              <w:pStyle w:val="TableParagraph"/>
              <w:spacing w:before="90"/>
              <w:rPr>
                <w:rFonts w:ascii="Verdana" w:hAnsi="Verdana"/>
                <w:b/>
                <w:sz w:val="18"/>
                <w:szCs w:val="18"/>
              </w:rPr>
            </w:pPr>
          </w:p>
          <w:p w14:paraId="4046D5AA"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787FA8C1" w14:textId="77777777" w:rsidR="008715BE" w:rsidRPr="00EC75B7" w:rsidRDefault="008715BE">
            <w:pPr>
              <w:pStyle w:val="TableParagraph"/>
              <w:spacing w:before="2"/>
              <w:rPr>
                <w:rFonts w:ascii="Verdana" w:hAnsi="Verdana"/>
                <w:b/>
                <w:sz w:val="18"/>
                <w:szCs w:val="18"/>
              </w:rPr>
            </w:pPr>
          </w:p>
          <w:p w14:paraId="5479F7B0"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661FF347"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72C4CA8C"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029B6250"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5"/>
            <w:shd w:val="clear" w:color="auto" w:fill="00A1E8"/>
          </w:tcPr>
          <w:p w14:paraId="1E173782" w14:textId="77777777" w:rsidR="008715BE" w:rsidRPr="00EC75B7" w:rsidRDefault="008715BE">
            <w:pPr>
              <w:pStyle w:val="TableParagraph"/>
              <w:rPr>
                <w:rFonts w:ascii="Verdana" w:hAnsi="Verdana"/>
                <w:b/>
                <w:sz w:val="18"/>
                <w:szCs w:val="18"/>
              </w:rPr>
            </w:pPr>
          </w:p>
          <w:p w14:paraId="7BB942A7" w14:textId="77777777" w:rsidR="008715BE" w:rsidRPr="00EC75B7" w:rsidRDefault="008715BE">
            <w:pPr>
              <w:pStyle w:val="TableParagraph"/>
              <w:spacing w:before="2"/>
              <w:rPr>
                <w:rFonts w:ascii="Verdana" w:hAnsi="Verdana"/>
                <w:b/>
                <w:sz w:val="18"/>
                <w:szCs w:val="18"/>
              </w:rPr>
            </w:pPr>
          </w:p>
          <w:p w14:paraId="0D3EFC01"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Species</w:t>
            </w:r>
          </w:p>
        </w:tc>
        <w:tc>
          <w:tcPr>
            <w:tcW w:w="1080" w:type="dxa"/>
            <w:shd w:val="clear" w:color="auto" w:fill="00A1E8"/>
          </w:tcPr>
          <w:p w14:paraId="4456653D" w14:textId="77777777" w:rsidR="008715BE" w:rsidRPr="00EC75B7" w:rsidRDefault="00000000">
            <w:pPr>
              <w:pStyle w:val="TableParagraph"/>
              <w:spacing w:before="89" w:line="171" w:lineRule="exact"/>
              <w:ind w:left="110" w:right="95"/>
              <w:jc w:val="center"/>
              <w:rPr>
                <w:rFonts w:ascii="Verdana" w:hAnsi="Verdana"/>
                <w:b/>
                <w:sz w:val="18"/>
                <w:szCs w:val="18"/>
              </w:rPr>
            </w:pPr>
            <w:r w:rsidRPr="00EC75B7">
              <w:rPr>
                <w:rFonts w:ascii="Verdana" w:hAnsi="Verdana"/>
                <w:b/>
                <w:color w:val="FFFFFF"/>
                <w:spacing w:val="-2"/>
                <w:sz w:val="18"/>
                <w:szCs w:val="18"/>
              </w:rPr>
              <w:t>Parameter</w:t>
            </w:r>
          </w:p>
          <w:p w14:paraId="4176BBD0" w14:textId="77777777" w:rsidR="008715BE" w:rsidRPr="00EC75B7" w:rsidRDefault="00000000">
            <w:pPr>
              <w:pStyle w:val="TableParagraph"/>
              <w:spacing w:line="169" w:lineRule="exact"/>
              <w:ind w:left="16"/>
              <w:jc w:val="center"/>
              <w:rPr>
                <w:rFonts w:ascii="Verdana" w:hAnsi="Verdana"/>
                <w:b/>
                <w:sz w:val="18"/>
                <w:szCs w:val="18"/>
              </w:rPr>
            </w:pPr>
            <w:r w:rsidRPr="00EC75B7">
              <w:rPr>
                <w:rFonts w:ascii="Verdana" w:hAnsi="Verdana"/>
                <w:b/>
                <w:color w:val="FFFFFF"/>
                <w:spacing w:val="-10"/>
                <w:sz w:val="18"/>
                <w:szCs w:val="18"/>
              </w:rPr>
              <w:t>/</w:t>
            </w:r>
          </w:p>
          <w:p w14:paraId="030FEE90" w14:textId="77777777" w:rsidR="008715BE" w:rsidRPr="00EC75B7" w:rsidRDefault="00000000">
            <w:pPr>
              <w:pStyle w:val="TableParagraph"/>
              <w:ind w:left="221" w:right="207"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0" w:type="dxa"/>
            <w:shd w:val="clear" w:color="auto" w:fill="00A1E8"/>
          </w:tcPr>
          <w:p w14:paraId="153FAF2E" w14:textId="77777777" w:rsidR="008715BE" w:rsidRPr="00EC75B7" w:rsidRDefault="008715BE">
            <w:pPr>
              <w:pStyle w:val="TableParagraph"/>
              <w:spacing w:before="90"/>
              <w:rPr>
                <w:rFonts w:ascii="Verdana" w:hAnsi="Verdana"/>
                <w:b/>
                <w:sz w:val="18"/>
                <w:szCs w:val="18"/>
              </w:rPr>
            </w:pPr>
          </w:p>
          <w:p w14:paraId="47303947" w14:textId="77777777" w:rsidR="008715BE" w:rsidRPr="00EC75B7" w:rsidRDefault="00000000">
            <w:pPr>
              <w:pStyle w:val="TableParagraph"/>
              <w:spacing w:line="237" w:lineRule="auto"/>
              <w:ind w:left="365" w:hanging="209"/>
              <w:rPr>
                <w:rFonts w:ascii="Verdana" w:hAnsi="Verdana"/>
                <w:b/>
                <w:sz w:val="18"/>
                <w:szCs w:val="18"/>
              </w:rPr>
            </w:pPr>
            <w:r w:rsidRPr="00EC75B7">
              <w:rPr>
                <w:rFonts w:ascii="Verdana" w:hAnsi="Verdana"/>
                <w:b/>
                <w:color w:val="FFFFFF"/>
                <w:spacing w:val="-2"/>
                <w:sz w:val="18"/>
                <w:szCs w:val="18"/>
              </w:rPr>
              <w:t>Impact quantification</w:t>
            </w:r>
          </w:p>
        </w:tc>
        <w:tc>
          <w:tcPr>
            <w:tcW w:w="900" w:type="dxa"/>
            <w:shd w:val="clear" w:color="auto" w:fill="00A1E8"/>
          </w:tcPr>
          <w:p w14:paraId="201220CD" w14:textId="77777777" w:rsidR="008715BE" w:rsidRPr="00EC75B7" w:rsidRDefault="008715BE">
            <w:pPr>
              <w:pStyle w:val="TableParagraph"/>
              <w:spacing w:before="2"/>
              <w:rPr>
                <w:rFonts w:ascii="Verdana" w:hAnsi="Verdana"/>
                <w:b/>
                <w:sz w:val="18"/>
                <w:szCs w:val="18"/>
              </w:rPr>
            </w:pPr>
          </w:p>
          <w:p w14:paraId="7281214D" w14:textId="77777777" w:rsidR="008715BE" w:rsidRPr="00EC75B7" w:rsidRDefault="00000000">
            <w:pPr>
              <w:pStyle w:val="TableParagraph"/>
              <w:spacing w:before="1"/>
              <w:ind w:left="113" w:right="100" w:firstLine="1"/>
              <w:jc w:val="center"/>
              <w:rPr>
                <w:rFonts w:ascii="Verdana" w:hAnsi="Verdana"/>
                <w:b/>
                <w:sz w:val="18"/>
                <w:szCs w:val="18"/>
              </w:rPr>
            </w:pPr>
            <w:r w:rsidRPr="00EC75B7">
              <w:rPr>
                <w:rFonts w:ascii="Verdana" w:hAnsi="Verdana"/>
                <w:b/>
                <w:color w:val="FFFFFF"/>
                <w:spacing w:val="-4"/>
                <w:sz w:val="18"/>
                <w:szCs w:val="18"/>
              </w:rPr>
              <w:t xml:space="preserve">Method </w:t>
            </w:r>
            <w:r w:rsidRPr="00EC75B7">
              <w:rPr>
                <w:rFonts w:ascii="Verdana" w:hAnsi="Verdana"/>
                <w:b/>
                <w:color w:val="FFFFFF"/>
                <w:sz w:val="18"/>
                <w:szCs w:val="18"/>
              </w:rPr>
              <w:t xml:space="preserve">of </w:t>
            </w:r>
            <w:r w:rsidRPr="00EC75B7">
              <w:rPr>
                <w:rFonts w:ascii="Verdana" w:hAnsi="Verdana"/>
                <w:b/>
                <w:color w:val="FFFFFF"/>
                <w:spacing w:val="-2"/>
                <w:sz w:val="18"/>
                <w:szCs w:val="18"/>
              </w:rPr>
              <w:t>quantification</w:t>
            </w:r>
          </w:p>
        </w:tc>
      </w:tr>
      <w:tr w:rsidR="008715BE" w:rsidRPr="00EC75B7" w14:paraId="4C415754" w14:textId="77777777">
        <w:trPr>
          <w:trHeight w:val="849"/>
        </w:trPr>
        <w:tc>
          <w:tcPr>
            <w:tcW w:w="542" w:type="dxa"/>
            <w:vMerge w:val="restart"/>
          </w:tcPr>
          <w:p w14:paraId="70AA3894" w14:textId="77777777" w:rsidR="008715BE" w:rsidRPr="00EC75B7" w:rsidRDefault="008715BE">
            <w:pPr>
              <w:pStyle w:val="TableParagraph"/>
              <w:rPr>
                <w:rFonts w:ascii="Verdana" w:hAnsi="Verdana"/>
                <w:sz w:val="18"/>
                <w:szCs w:val="18"/>
              </w:rPr>
            </w:pPr>
          </w:p>
        </w:tc>
        <w:tc>
          <w:tcPr>
            <w:tcW w:w="1800" w:type="dxa"/>
            <w:vMerge w:val="restart"/>
          </w:tcPr>
          <w:p w14:paraId="4D497901" w14:textId="77777777" w:rsidR="008715BE" w:rsidRPr="00EC75B7" w:rsidRDefault="008715BE">
            <w:pPr>
              <w:pStyle w:val="TableParagraph"/>
              <w:rPr>
                <w:rFonts w:ascii="Verdana" w:hAnsi="Verdana"/>
                <w:sz w:val="18"/>
                <w:szCs w:val="18"/>
              </w:rPr>
            </w:pPr>
          </w:p>
        </w:tc>
        <w:tc>
          <w:tcPr>
            <w:tcW w:w="1048" w:type="dxa"/>
          </w:tcPr>
          <w:p w14:paraId="16B4034B" w14:textId="77777777" w:rsidR="008715BE" w:rsidRPr="00EC75B7" w:rsidRDefault="00000000">
            <w:pPr>
              <w:pStyle w:val="TableParagraph"/>
              <w:spacing w:before="9" w:line="237" w:lineRule="auto"/>
              <w:ind w:left="106" w:right="113"/>
              <w:rPr>
                <w:rFonts w:ascii="Verdana" w:hAnsi="Verdana"/>
                <w:sz w:val="18"/>
                <w:szCs w:val="18"/>
              </w:rPr>
            </w:pPr>
            <w:r w:rsidRPr="00EC75B7">
              <w:rPr>
                <w:rFonts w:ascii="Verdana" w:hAnsi="Verdana"/>
                <w:spacing w:val="-2"/>
                <w:sz w:val="18"/>
                <w:szCs w:val="18"/>
              </w:rPr>
              <w:t xml:space="preserve">access/equipment </w:t>
            </w:r>
            <w:r w:rsidRPr="00EC75B7">
              <w:rPr>
                <w:rFonts w:ascii="Verdana" w:hAnsi="Verdana"/>
                <w:sz w:val="18"/>
                <w:szCs w:val="18"/>
              </w:rPr>
              <w:t xml:space="preserve">for </w:t>
            </w:r>
            <w:r w:rsidRPr="00EC75B7">
              <w:rPr>
                <w:rFonts w:ascii="Verdana" w:hAnsi="Verdana"/>
                <w:spacing w:val="-4"/>
                <w:sz w:val="18"/>
                <w:szCs w:val="18"/>
              </w:rPr>
              <w:t xml:space="preserve">the </w:t>
            </w:r>
            <w:r w:rsidRPr="00EC75B7">
              <w:rPr>
                <w:rFonts w:ascii="Verdana" w:hAnsi="Verdana"/>
                <w:sz w:val="18"/>
                <w:szCs w:val="18"/>
              </w:rPr>
              <w:t>front line</w:t>
            </w:r>
          </w:p>
          <w:p w14:paraId="12EF0541" w14:textId="77777777" w:rsidR="008715BE" w:rsidRPr="00EC75B7" w:rsidRDefault="00000000">
            <w:pPr>
              <w:pStyle w:val="TableParagraph"/>
              <w:spacing w:before="1" w:line="142" w:lineRule="exact"/>
              <w:ind w:left="106"/>
              <w:rPr>
                <w:rFonts w:ascii="Verdana" w:hAnsi="Verdana"/>
                <w:sz w:val="18"/>
                <w:szCs w:val="18"/>
              </w:rPr>
            </w:pPr>
            <w:r w:rsidRPr="00EC75B7">
              <w:rPr>
                <w:rFonts w:ascii="Verdana" w:hAnsi="Verdana"/>
                <w:spacing w:val="-2"/>
                <w:sz w:val="18"/>
                <w:szCs w:val="18"/>
              </w:rPr>
              <w:t>repair</w:t>
            </w:r>
          </w:p>
        </w:tc>
        <w:tc>
          <w:tcPr>
            <w:tcW w:w="1274" w:type="dxa"/>
          </w:tcPr>
          <w:p w14:paraId="76A93A25" w14:textId="77777777" w:rsidR="008715BE" w:rsidRPr="00EC75B7" w:rsidRDefault="008715BE">
            <w:pPr>
              <w:pStyle w:val="TableParagraph"/>
              <w:rPr>
                <w:rFonts w:ascii="Verdana" w:hAnsi="Verdana"/>
                <w:sz w:val="18"/>
                <w:szCs w:val="18"/>
              </w:rPr>
            </w:pPr>
          </w:p>
        </w:tc>
        <w:tc>
          <w:tcPr>
            <w:tcW w:w="993" w:type="dxa"/>
          </w:tcPr>
          <w:p w14:paraId="55288BBC" w14:textId="77777777" w:rsidR="008715BE" w:rsidRPr="00EC75B7" w:rsidRDefault="008715BE">
            <w:pPr>
              <w:pStyle w:val="TableParagraph"/>
              <w:rPr>
                <w:rFonts w:ascii="Verdana" w:hAnsi="Verdana"/>
                <w:sz w:val="18"/>
                <w:szCs w:val="18"/>
              </w:rPr>
            </w:pPr>
          </w:p>
        </w:tc>
        <w:tc>
          <w:tcPr>
            <w:tcW w:w="708" w:type="dxa"/>
          </w:tcPr>
          <w:p w14:paraId="0F859387" w14:textId="77777777" w:rsidR="008715BE" w:rsidRPr="00EC75B7" w:rsidRDefault="008715BE">
            <w:pPr>
              <w:pStyle w:val="TableParagraph"/>
              <w:rPr>
                <w:rFonts w:ascii="Verdana" w:hAnsi="Verdana"/>
                <w:sz w:val="18"/>
                <w:szCs w:val="18"/>
              </w:rPr>
            </w:pPr>
          </w:p>
        </w:tc>
        <w:tc>
          <w:tcPr>
            <w:tcW w:w="991" w:type="dxa"/>
          </w:tcPr>
          <w:p w14:paraId="1279488F" w14:textId="77777777" w:rsidR="008715BE" w:rsidRPr="00EC75B7" w:rsidRDefault="008715BE">
            <w:pPr>
              <w:pStyle w:val="TableParagraph"/>
              <w:rPr>
                <w:rFonts w:ascii="Verdana" w:hAnsi="Verdana"/>
                <w:sz w:val="18"/>
                <w:szCs w:val="18"/>
              </w:rPr>
            </w:pPr>
          </w:p>
        </w:tc>
        <w:tc>
          <w:tcPr>
            <w:tcW w:w="1277" w:type="dxa"/>
          </w:tcPr>
          <w:p w14:paraId="51E1575C" w14:textId="77777777" w:rsidR="008715BE" w:rsidRPr="00EC75B7" w:rsidRDefault="008715BE">
            <w:pPr>
              <w:pStyle w:val="TableParagraph"/>
              <w:rPr>
                <w:rFonts w:ascii="Verdana" w:hAnsi="Verdana"/>
                <w:sz w:val="18"/>
                <w:szCs w:val="18"/>
              </w:rPr>
            </w:pPr>
          </w:p>
        </w:tc>
        <w:tc>
          <w:tcPr>
            <w:tcW w:w="10357" w:type="dxa"/>
            <w:gridSpan w:val="5"/>
          </w:tcPr>
          <w:p w14:paraId="4CE15437" w14:textId="77777777" w:rsidR="008715BE" w:rsidRPr="00EC75B7" w:rsidRDefault="008715BE">
            <w:pPr>
              <w:pStyle w:val="TableParagraph"/>
              <w:rPr>
                <w:rFonts w:ascii="Verdana" w:hAnsi="Verdana"/>
                <w:sz w:val="18"/>
                <w:szCs w:val="18"/>
              </w:rPr>
            </w:pPr>
          </w:p>
        </w:tc>
        <w:tc>
          <w:tcPr>
            <w:tcW w:w="1080" w:type="dxa"/>
          </w:tcPr>
          <w:p w14:paraId="7B689C1E" w14:textId="77777777" w:rsidR="008715BE" w:rsidRPr="00EC75B7" w:rsidRDefault="008715BE">
            <w:pPr>
              <w:pStyle w:val="TableParagraph"/>
              <w:rPr>
                <w:rFonts w:ascii="Verdana" w:hAnsi="Verdana"/>
                <w:sz w:val="18"/>
                <w:szCs w:val="18"/>
              </w:rPr>
            </w:pPr>
          </w:p>
        </w:tc>
        <w:tc>
          <w:tcPr>
            <w:tcW w:w="1260" w:type="dxa"/>
          </w:tcPr>
          <w:p w14:paraId="773A1871" w14:textId="77777777" w:rsidR="008715BE" w:rsidRPr="00EC75B7" w:rsidRDefault="008715BE">
            <w:pPr>
              <w:pStyle w:val="TableParagraph"/>
              <w:rPr>
                <w:rFonts w:ascii="Verdana" w:hAnsi="Verdana"/>
                <w:sz w:val="18"/>
                <w:szCs w:val="18"/>
              </w:rPr>
            </w:pPr>
          </w:p>
        </w:tc>
        <w:tc>
          <w:tcPr>
            <w:tcW w:w="900" w:type="dxa"/>
          </w:tcPr>
          <w:p w14:paraId="0AC89679" w14:textId="77777777" w:rsidR="008715BE" w:rsidRPr="00EC75B7" w:rsidRDefault="008715BE">
            <w:pPr>
              <w:pStyle w:val="TableParagraph"/>
              <w:rPr>
                <w:rFonts w:ascii="Verdana" w:hAnsi="Verdana"/>
                <w:sz w:val="18"/>
                <w:szCs w:val="18"/>
              </w:rPr>
            </w:pPr>
          </w:p>
        </w:tc>
      </w:tr>
      <w:tr w:rsidR="008715BE" w:rsidRPr="00EC75B7" w14:paraId="3F6F378B" w14:textId="77777777">
        <w:trPr>
          <w:trHeight w:val="1362"/>
        </w:trPr>
        <w:tc>
          <w:tcPr>
            <w:tcW w:w="542" w:type="dxa"/>
            <w:vMerge/>
            <w:tcBorders>
              <w:top w:val="nil"/>
            </w:tcBorders>
          </w:tcPr>
          <w:p w14:paraId="01C01446" w14:textId="77777777" w:rsidR="008715BE" w:rsidRPr="00EC75B7" w:rsidRDefault="008715BE">
            <w:pPr>
              <w:rPr>
                <w:rFonts w:ascii="Verdana" w:hAnsi="Verdana"/>
                <w:sz w:val="18"/>
                <w:szCs w:val="18"/>
              </w:rPr>
            </w:pPr>
          </w:p>
        </w:tc>
        <w:tc>
          <w:tcPr>
            <w:tcW w:w="1800" w:type="dxa"/>
            <w:vMerge/>
            <w:tcBorders>
              <w:top w:val="nil"/>
            </w:tcBorders>
          </w:tcPr>
          <w:p w14:paraId="40D68457" w14:textId="77777777" w:rsidR="008715BE" w:rsidRPr="00EC75B7" w:rsidRDefault="008715BE">
            <w:pPr>
              <w:rPr>
                <w:rFonts w:ascii="Verdana" w:hAnsi="Verdana"/>
                <w:sz w:val="18"/>
                <w:szCs w:val="18"/>
              </w:rPr>
            </w:pPr>
          </w:p>
        </w:tc>
        <w:tc>
          <w:tcPr>
            <w:tcW w:w="1048" w:type="dxa"/>
          </w:tcPr>
          <w:p w14:paraId="009FDF52" w14:textId="77777777" w:rsidR="008715BE" w:rsidRPr="00EC75B7" w:rsidRDefault="00000000">
            <w:pPr>
              <w:pStyle w:val="TableParagraph"/>
              <w:spacing w:before="8"/>
              <w:ind w:left="106" w:right="108"/>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 species</w:t>
            </w:r>
          </w:p>
        </w:tc>
        <w:tc>
          <w:tcPr>
            <w:tcW w:w="1274" w:type="dxa"/>
          </w:tcPr>
          <w:p w14:paraId="1046EB83"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AH</w:t>
            </w:r>
          </w:p>
        </w:tc>
        <w:tc>
          <w:tcPr>
            <w:tcW w:w="993" w:type="dxa"/>
          </w:tcPr>
          <w:p w14:paraId="0BC5C634"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3D516E0E" w14:textId="77777777" w:rsidR="008715BE" w:rsidRPr="00EC75B7" w:rsidRDefault="00000000">
            <w:pPr>
              <w:pStyle w:val="TableParagraph"/>
              <w:spacing w:line="170" w:lineRule="exact"/>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77F7D0E8"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79165741"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691E45EE"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496DBC43"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11DC3966"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4892B67A" w14:textId="77777777" w:rsidR="008715BE" w:rsidRPr="00EC75B7" w:rsidRDefault="00000000">
            <w:pPr>
              <w:pStyle w:val="TableParagraph"/>
              <w:spacing w:before="8"/>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2B53144F" w14:textId="77777777">
        <w:trPr>
          <w:trHeight w:val="5443"/>
        </w:trPr>
        <w:tc>
          <w:tcPr>
            <w:tcW w:w="542" w:type="dxa"/>
            <w:vMerge w:val="restart"/>
            <w:textDirection w:val="btLr"/>
          </w:tcPr>
          <w:p w14:paraId="28B2A571" w14:textId="77777777" w:rsidR="008715BE" w:rsidRPr="00EC75B7" w:rsidRDefault="008715BE">
            <w:pPr>
              <w:pStyle w:val="TableParagraph"/>
              <w:spacing w:before="22"/>
              <w:rPr>
                <w:rFonts w:ascii="Verdana" w:hAnsi="Verdana"/>
                <w:b/>
                <w:sz w:val="18"/>
                <w:szCs w:val="18"/>
              </w:rPr>
            </w:pPr>
          </w:p>
          <w:p w14:paraId="6881A0A3" w14:textId="77777777" w:rsidR="008715BE" w:rsidRPr="00EC75B7" w:rsidRDefault="00000000">
            <w:pPr>
              <w:pStyle w:val="TableParagraph"/>
              <w:ind w:left="-1" w:right="5"/>
              <w:jc w:val="center"/>
              <w:rPr>
                <w:rFonts w:ascii="Verdana" w:hAnsi="Verdana"/>
                <w:sz w:val="18"/>
                <w:szCs w:val="18"/>
              </w:rPr>
            </w:pPr>
            <w:r w:rsidRPr="00EC75B7">
              <w:rPr>
                <w:rFonts w:ascii="Verdana" w:hAnsi="Verdana"/>
                <w:spacing w:val="-2"/>
                <w:sz w:val="18"/>
                <w:szCs w:val="18"/>
              </w:rPr>
              <w:t>Decommissioning</w:t>
            </w:r>
          </w:p>
        </w:tc>
        <w:tc>
          <w:tcPr>
            <w:tcW w:w="1800" w:type="dxa"/>
            <w:vMerge w:val="restart"/>
          </w:tcPr>
          <w:p w14:paraId="4FFC7D15" w14:textId="77777777" w:rsidR="008715BE" w:rsidRPr="00EC75B7" w:rsidRDefault="00000000">
            <w:pPr>
              <w:pStyle w:val="TableParagraph"/>
              <w:spacing w:before="9" w:line="237" w:lineRule="auto"/>
              <w:ind w:left="105" w:right="155"/>
              <w:rPr>
                <w:rFonts w:ascii="Verdana" w:hAnsi="Verdana"/>
                <w:sz w:val="18"/>
                <w:szCs w:val="18"/>
              </w:rPr>
            </w:pPr>
            <w:r w:rsidRPr="00EC75B7">
              <w:rPr>
                <w:rFonts w:ascii="Verdana" w:hAnsi="Verdana"/>
                <w:sz w:val="18"/>
                <w:szCs w:val="18"/>
              </w:rPr>
              <w:t xml:space="preserve">Organization and </w:t>
            </w:r>
            <w:r w:rsidRPr="00EC75B7">
              <w:rPr>
                <w:rFonts w:ascii="Verdana" w:hAnsi="Verdana"/>
                <w:spacing w:val="-2"/>
                <w:sz w:val="18"/>
                <w:szCs w:val="18"/>
              </w:rPr>
              <w:t xml:space="preserve">operation </w:t>
            </w:r>
            <w:r w:rsidRPr="00EC75B7">
              <w:rPr>
                <w:rFonts w:ascii="Verdana" w:hAnsi="Verdana"/>
                <w:sz w:val="18"/>
                <w:szCs w:val="18"/>
              </w:rPr>
              <w:t>of the construction site (including site traffic)</w:t>
            </w:r>
          </w:p>
        </w:tc>
        <w:tc>
          <w:tcPr>
            <w:tcW w:w="1048" w:type="dxa"/>
          </w:tcPr>
          <w:p w14:paraId="24576FBD" w14:textId="77777777" w:rsidR="008715BE" w:rsidRPr="00EC75B7" w:rsidRDefault="00000000">
            <w:pPr>
              <w:pStyle w:val="TableParagraph"/>
              <w:spacing w:before="9" w:line="237" w:lineRule="auto"/>
              <w:ind w:left="106" w:right="132"/>
              <w:rPr>
                <w:rFonts w:ascii="Verdana" w:hAnsi="Verdana"/>
                <w:sz w:val="18"/>
                <w:szCs w:val="18"/>
              </w:rPr>
            </w:pPr>
            <w:r w:rsidRPr="00EC75B7">
              <w:rPr>
                <w:rFonts w:ascii="Verdana" w:hAnsi="Verdana"/>
                <w:spacing w:val="-2"/>
                <w:sz w:val="18"/>
                <w:szCs w:val="18"/>
              </w:rPr>
              <w:t xml:space="preserve">Removal </w:t>
            </w:r>
            <w:r w:rsidRPr="00EC75B7">
              <w:rPr>
                <w:rFonts w:ascii="Verdana" w:hAnsi="Verdana"/>
                <w:sz w:val="18"/>
                <w:szCs w:val="18"/>
              </w:rPr>
              <w:t xml:space="preserve">of topsoil and </w:t>
            </w:r>
            <w:r w:rsidRPr="00EC75B7">
              <w:rPr>
                <w:rFonts w:ascii="Verdana" w:hAnsi="Verdana"/>
                <w:spacing w:val="-2"/>
                <w:sz w:val="18"/>
                <w:szCs w:val="18"/>
              </w:rPr>
              <w:t>vegetation</w:t>
            </w:r>
          </w:p>
        </w:tc>
        <w:tc>
          <w:tcPr>
            <w:tcW w:w="1274" w:type="dxa"/>
          </w:tcPr>
          <w:p w14:paraId="496668B9"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2"/>
                <w:sz w:val="18"/>
                <w:szCs w:val="18"/>
              </w:rPr>
              <w:t>AH/PH</w:t>
            </w:r>
          </w:p>
        </w:tc>
        <w:tc>
          <w:tcPr>
            <w:tcW w:w="993" w:type="dxa"/>
          </w:tcPr>
          <w:p w14:paraId="78CC4A7C" w14:textId="77777777" w:rsidR="008715BE" w:rsidRPr="00EC75B7" w:rsidRDefault="00000000">
            <w:pPr>
              <w:pStyle w:val="TableParagraph"/>
              <w:spacing w:before="9"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708" w:type="dxa"/>
          </w:tcPr>
          <w:p w14:paraId="5052699D"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04AA7B8A" w14:textId="77777777" w:rsidR="008715BE" w:rsidRPr="00EC75B7" w:rsidRDefault="00000000">
            <w:pPr>
              <w:pStyle w:val="TableParagraph"/>
              <w:spacing w:before="9"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1B5205E5" w14:textId="77777777" w:rsidR="008715BE" w:rsidRPr="00EC75B7" w:rsidRDefault="00000000">
            <w:pPr>
              <w:pStyle w:val="TableParagraph"/>
              <w:spacing w:before="9" w:line="237" w:lineRule="auto"/>
              <w:ind w:left="111" w:right="133"/>
              <w:rPr>
                <w:rFonts w:ascii="Verdana" w:hAnsi="Verdana"/>
                <w:sz w:val="18"/>
                <w:szCs w:val="18"/>
              </w:rPr>
            </w:pPr>
            <w:r w:rsidRPr="00EC75B7">
              <w:rPr>
                <w:rFonts w:ascii="Verdana" w:hAnsi="Verdana"/>
                <w:sz w:val="18"/>
                <w:szCs w:val="18"/>
              </w:rPr>
              <w:t xml:space="preserve">Direct </w:t>
            </w:r>
            <w:r w:rsidRPr="00EC75B7">
              <w:rPr>
                <w:rFonts w:ascii="Verdana" w:hAnsi="Verdana"/>
                <w:spacing w:val="-2"/>
                <w:sz w:val="18"/>
                <w:szCs w:val="18"/>
              </w:rPr>
              <w:t xml:space="preserve">short-term </w:t>
            </w:r>
            <w:r w:rsidRPr="00EC75B7">
              <w:rPr>
                <w:rFonts w:ascii="Verdana" w:hAnsi="Verdana"/>
                <w:sz w:val="18"/>
                <w:szCs w:val="18"/>
              </w:rPr>
              <w:t>impact</w:t>
            </w:r>
          </w:p>
        </w:tc>
        <w:tc>
          <w:tcPr>
            <w:tcW w:w="2708" w:type="dxa"/>
            <w:vMerge w:val="restart"/>
          </w:tcPr>
          <w:p w14:paraId="34B8F4D7" w14:textId="77777777" w:rsidR="008715BE" w:rsidRPr="00EC75B7" w:rsidRDefault="00000000">
            <w:pPr>
              <w:pStyle w:val="TableParagraph"/>
              <w:spacing w:before="9" w:line="237" w:lineRule="auto"/>
              <w:ind w:left="111" w:right="126"/>
              <w:rPr>
                <w:rFonts w:ascii="Verdana" w:hAnsi="Verdana"/>
                <w:i/>
                <w:sz w:val="18"/>
                <w:szCs w:val="18"/>
              </w:rPr>
            </w:pPr>
            <w:r w:rsidRPr="00EC75B7">
              <w:rPr>
                <w:rFonts w:ascii="Verdana" w:hAnsi="Verdana"/>
                <w:i/>
                <w:sz w:val="18"/>
                <w:szCs w:val="18"/>
              </w:rPr>
              <w:t>Accipiter brevipes, Anthus campestris, Aquila pomarina, Bubo bubo, Buteo rufinus, Caprimulgus europaeus, Circus cyaneus, Circus macrourus, Circus pygargus, Coracias garrulus,</w:t>
            </w:r>
          </w:p>
          <w:p w14:paraId="36959CFF" w14:textId="77777777" w:rsidR="008715BE" w:rsidRPr="00EC75B7" w:rsidRDefault="00000000">
            <w:pPr>
              <w:pStyle w:val="TableParagraph"/>
              <w:spacing w:before="4"/>
              <w:ind w:left="111" w:right="126"/>
              <w:rPr>
                <w:rFonts w:ascii="Verdana" w:hAnsi="Verdana"/>
                <w:i/>
                <w:sz w:val="18"/>
                <w:szCs w:val="18"/>
              </w:rPr>
            </w:pPr>
            <w:r w:rsidRPr="00EC75B7">
              <w:rPr>
                <w:rFonts w:ascii="Verdana" w:hAnsi="Verdana"/>
                <w:i/>
                <w:sz w:val="18"/>
                <w:szCs w:val="18"/>
              </w:rPr>
              <w:t>Falco peregrinus, Hieraaetus pennatus, Lanius collurio, Lanius minor, Melanocorypha calandra, Milvus migrans, Pernis apivorus</w:t>
            </w:r>
          </w:p>
        </w:tc>
        <w:tc>
          <w:tcPr>
            <w:tcW w:w="1440" w:type="dxa"/>
            <w:vMerge w:val="restart"/>
          </w:tcPr>
          <w:p w14:paraId="24B4A1A7" w14:textId="77777777" w:rsidR="008715BE" w:rsidRPr="00EC75B7" w:rsidRDefault="00000000">
            <w:pPr>
              <w:pStyle w:val="TableParagraph"/>
              <w:spacing w:before="8"/>
              <w:ind w:left="108" w:right="115"/>
              <w:rPr>
                <w:rFonts w:ascii="Verdana" w:hAnsi="Verdana"/>
                <w:b/>
                <w:sz w:val="18"/>
                <w:szCs w:val="18"/>
              </w:rPr>
            </w:pPr>
            <w:r w:rsidRPr="00EC75B7">
              <w:rPr>
                <w:rFonts w:ascii="Verdana" w:hAnsi="Verdana"/>
                <w:b/>
                <w:sz w:val="18"/>
                <w:szCs w:val="18"/>
              </w:rPr>
              <w:t xml:space="preserve">Species with </w:t>
            </w:r>
            <w:r w:rsidRPr="00EC75B7">
              <w:rPr>
                <w:rFonts w:ascii="Verdana" w:hAnsi="Verdana"/>
                <w:b/>
                <w:spacing w:val="-2"/>
                <w:sz w:val="18"/>
                <w:szCs w:val="18"/>
              </w:rPr>
              <w:t xml:space="preserve">regular migration/Species </w:t>
            </w:r>
            <w:r w:rsidRPr="00EC75B7">
              <w:rPr>
                <w:rFonts w:ascii="Verdana" w:hAnsi="Verdana"/>
                <w:b/>
                <w:sz w:val="18"/>
                <w:szCs w:val="18"/>
              </w:rPr>
              <w:t xml:space="preserve">associated with </w:t>
            </w:r>
            <w:r w:rsidRPr="00EC75B7">
              <w:rPr>
                <w:rFonts w:ascii="Verdana" w:hAnsi="Verdana"/>
                <w:b/>
                <w:spacing w:val="-2"/>
                <w:sz w:val="18"/>
                <w:szCs w:val="18"/>
              </w:rPr>
              <w:t>extensively used agricultural land</w:t>
            </w:r>
          </w:p>
          <w:p w14:paraId="40AA544B" w14:textId="77777777" w:rsidR="008715BE" w:rsidRPr="00EC75B7" w:rsidRDefault="00000000">
            <w:pPr>
              <w:pStyle w:val="TableParagraph"/>
              <w:ind w:left="108" w:right="115"/>
              <w:rPr>
                <w:rFonts w:ascii="Verdana" w:hAnsi="Verdana"/>
                <w:i/>
                <w:sz w:val="18"/>
                <w:szCs w:val="18"/>
              </w:rPr>
            </w:pPr>
            <w:r w:rsidRPr="00EC75B7">
              <w:rPr>
                <w:rFonts w:ascii="Verdana" w:hAnsi="Verdana"/>
                <w:i/>
                <w:sz w:val="18"/>
                <w:szCs w:val="18"/>
              </w:rPr>
              <w:t xml:space="preserve">Alauda arvensis, </w:t>
            </w:r>
            <w:r w:rsidRPr="00EC75B7">
              <w:rPr>
                <w:rFonts w:ascii="Verdana" w:hAnsi="Verdana"/>
                <w:i/>
                <w:spacing w:val="-2"/>
                <w:sz w:val="18"/>
                <w:szCs w:val="18"/>
              </w:rPr>
              <w:t>Carduelis cannabina, Carduelis carduelis, Coturnix coturnix, Emberiza melanocephala, Falco tinnunculus, Fringilla montifringilla,</w:t>
            </w:r>
            <w:r w:rsidRPr="00EC75B7">
              <w:rPr>
                <w:rFonts w:ascii="Verdana" w:hAnsi="Verdana"/>
                <w:i/>
                <w:spacing w:val="40"/>
                <w:sz w:val="18"/>
                <w:szCs w:val="18"/>
              </w:rPr>
              <w:t xml:space="preserve"> </w:t>
            </w:r>
            <w:r w:rsidRPr="00EC75B7">
              <w:rPr>
                <w:rFonts w:ascii="Verdana" w:hAnsi="Verdana"/>
                <w:i/>
                <w:sz w:val="18"/>
                <w:szCs w:val="18"/>
              </w:rPr>
              <w:t xml:space="preserve">Galerida cristata, Lanius excubitor, Lanius senator, Merops apiaster, </w:t>
            </w:r>
            <w:r w:rsidRPr="00EC75B7">
              <w:rPr>
                <w:rFonts w:ascii="Verdana" w:hAnsi="Verdana"/>
                <w:i/>
                <w:spacing w:val="-2"/>
                <w:sz w:val="18"/>
                <w:szCs w:val="18"/>
              </w:rPr>
              <w:t xml:space="preserve">Miliaria calandra, </w:t>
            </w:r>
            <w:r w:rsidRPr="00EC75B7">
              <w:rPr>
                <w:rFonts w:ascii="Verdana" w:hAnsi="Verdana"/>
                <w:i/>
                <w:sz w:val="18"/>
                <w:szCs w:val="18"/>
              </w:rPr>
              <w:t xml:space="preserve">Motacilla alba, </w:t>
            </w:r>
            <w:r w:rsidRPr="00EC75B7">
              <w:rPr>
                <w:rFonts w:ascii="Verdana" w:hAnsi="Verdana"/>
                <w:i/>
                <w:sz w:val="18"/>
                <w:szCs w:val="18"/>
              </w:rPr>
              <w:lastRenderedPageBreak/>
              <w:t xml:space="preserve">Motacilla flava, </w:t>
            </w:r>
            <w:r w:rsidRPr="00EC75B7">
              <w:rPr>
                <w:rFonts w:ascii="Verdana" w:hAnsi="Verdana"/>
                <w:i/>
                <w:spacing w:val="-2"/>
                <w:sz w:val="18"/>
                <w:szCs w:val="18"/>
              </w:rPr>
              <w:t xml:space="preserve">Oenanthe isabellina, Oenanthe oenanthe, Saxicola torquata, Streptopelia </w:t>
            </w:r>
            <w:r w:rsidRPr="00EC75B7">
              <w:rPr>
                <w:rFonts w:ascii="Verdana" w:hAnsi="Verdana"/>
                <w:i/>
                <w:sz w:val="18"/>
                <w:szCs w:val="18"/>
              </w:rPr>
              <w:t xml:space="preserve">turtur, Sturnus </w:t>
            </w:r>
            <w:r w:rsidRPr="00EC75B7">
              <w:rPr>
                <w:rFonts w:ascii="Verdana" w:hAnsi="Verdana"/>
                <w:i/>
                <w:spacing w:val="-2"/>
                <w:sz w:val="18"/>
                <w:szCs w:val="18"/>
              </w:rPr>
              <w:t>roseus</w:t>
            </w:r>
            <w:r w:rsidRPr="00EC75B7">
              <w:rPr>
                <w:rFonts w:ascii="Verdana" w:hAnsi="Verdana"/>
                <w:i/>
                <w:spacing w:val="40"/>
                <w:sz w:val="18"/>
                <w:szCs w:val="18"/>
              </w:rPr>
              <w:t xml:space="preserve">  </w:t>
            </w:r>
            <w:r w:rsidRPr="00EC75B7">
              <w:rPr>
                <w:rFonts w:ascii="Verdana" w:hAnsi="Verdana"/>
                <w:i/>
                <w:spacing w:val="-2"/>
                <w:sz w:val="18"/>
                <w:szCs w:val="18"/>
              </w:rPr>
              <w:t xml:space="preserve"> (alternative name </w:t>
            </w:r>
            <w:r w:rsidRPr="00EC75B7">
              <w:rPr>
                <w:rFonts w:ascii="Verdana" w:hAnsi="Verdana"/>
                <w:i/>
                <w:sz w:val="18"/>
                <w:szCs w:val="18"/>
              </w:rPr>
              <w:t>Pastor roseus), Turdus iliacus, Upupa epops</w:t>
            </w:r>
          </w:p>
        </w:tc>
        <w:tc>
          <w:tcPr>
            <w:tcW w:w="1080" w:type="dxa"/>
            <w:vMerge w:val="restart"/>
          </w:tcPr>
          <w:p w14:paraId="617085CE" w14:textId="77777777" w:rsidR="008715BE" w:rsidRPr="00EC75B7" w:rsidRDefault="00000000">
            <w:pPr>
              <w:pStyle w:val="TableParagraph"/>
              <w:spacing w:before="8"/>
              <w:ind w:left="108" w:right="100"/>
              <w:rPr>
                <w:rFonts w:ascii="Verdana" w:hAnsi="Verdana"/>
                <w:i/>
                <w:sz w:val="18"/>
                <w:szCs w:val="18"/>
              </w:rPr>
            </w:pPr>
            <w:r w:rsidRPr="00EC75B7">
              <w:rPr>
                <w:rFonts w:ascii="Verdana" w:hAnsi="Verdana"/>
                <w:b/>
                <w:spacing w:val="-2"/>
                <w:sz w:val="18"/>
                <w:szCs w:val="18"/>
              </w:rPr>
              <w:lastRenderedPageBreak/>
              <w:t>Associated species</w:t>
            </w:r>
            <w:r w:rsidRPr="00EC75B7">
              <w:rPr>
                <w:rFonts w:ascii="Verdana" w:hAnsi="Verdana"/>
                <w:b/>
                <w:spacing w:val="80"/>
                <w:sz w:val="18"/>
                <w:szCs w:val="18"/>
              </w:rPr>
              <w:t xml:space="preserve">  </w:t>
            </w:r>
            <w:r w:rsidRPr="00EC75B7">
              <w:rPr>
                <w:rFonts w:ascii="Verdana" w:hAnsi="Verdana"/>
                <w:b/>
                <w:spacing w:val="-2"/>
                <w:sz w:val="18"/>
                <w:szCs w:val="18"/>
              </w:rPr>
              <w:t xml:space="preserve"> </w:t>
            </w:r>
            <w:r w:rsidRPr="00EC75B7">
              <w:rPr>
                <w:rFonts w:ascii="Verdana" w:hAnsi="Verdana"/>
                <w:b/>
                <w:spacing w:val="40"/>
                <w:sz w:val="18"/>
                <w:szCs w:val="18"/>
              </w:rPr>
              <w:t xml:space="preserve">  </w:t>
            </w:r>
            <w:r w:rsidRPr="00EC75B7">
              <w:rPr>
                <w:rFonts w:ascii="Verdana" w:hAnsi="Verdana"/>
                <w:b/>
                <w:spacing w:val="-2"/>
                <w:sz w:val="18"/>
                <w:szCs w:val="18"/>
              </w:rPr>
              <w:t xml:space="preserve">  </w:t>
            </w:r>
            <w:r w:rsidRPr="00EC75B7">
              <w:rPr>
                <w:rFonts w:ascii="Verdana" w:hAnsi="Verdana"/>
                <w:b/>
                <w:sz w:val="18"/>
                <w:szCs w:val="18"/>
              </w:rPr>
              <w:t xml:space="preserve">forest </w:t>
            </w:r>
            <w:r w:rsidRPr="00EC75B7">
              <w:rPr>
                <w:rFonts w:ascii="Verdana" w:hAnsi="Verdana"/>
                <w:b/>
                <w:spacing w:val="-2"/>
                <w:sz w:val="18"/>
                <w:szCs w:val="18"/>
              </w:rPr>
              <w:t xml:space="preserve">habitats </w:t>
            </w:r>
            <w:r w:rsidRPr="00EC75B7">
              <w:rPr>
                <w:rFonts w:ascii="Verdana" w:hAnsi="Verdana"/>
                <w:i/>
                <w:spacing w:val="-2"/>
                <w:sz w:val="18"/>
                <w:szCs w:val="18"/>
              </w:rPr>
              <w:t xml:space="preserve">Carduelis chloris, Carduelis spinus, Coccothraus </w:t>
            </w:r>
            <w:r w:rsidRPr="00EC75B7">
              <w:rPr>
                <w:rFonts w:ascii="Verdana" w:hAnsi="Verdana"/>
                <w:i/>
                <w:spacing w:val="-4"/>
                <w:sz w:val="18"/>
                <w:szCs w:val="18"/>
              </w:rPr>
              <w:t xml:space="preserve">tes </w:t>
            </w:r>
            <w:r w:rsidRPr="00EC75B7">
              <w:rPr>
                <w:rFonts w:ascii="Verdana" w:hAnsi="Verdana"/>
                <w:i/>
                <w:spacing w:val="-2"/>
                <w:sz w:val="18"/>
                <w:szCs w:val="18"/>
              </w:rPr>
              <w:t xml:space="preserve">coccothraus </w:t>
            </w:r>
            <w:r w:rsidRPr="00EC75B7">
              <w:rPr>
                <w:rFonts w:ascii="Verdana" w:hAnsi="Verdana"/>
                <w:i/>
                <w:sz w:val="18"/>
                <w:szCs w:val="18"/>
              </w:rPr>
              <w:t xml:space="preserve">tes, Falco </w:t>
            </w:r>
            <w:r w:rsidRPr="00EC75B7">
              <w:rPr>
                <w:rFonts w:ascii="Verdana" w:hAnsi="Verdana"/>
                <w:i/>
                <w:spacing w:val="-2"/>
                <w:sz w:val="18"/>
                <w:szCs w:val="18"/>
              </w:rPr>
              <w:t xml:space="preserve">subbuteo, Ficedula hypoleuca, Fringilla coelebs, </w:t>
            </w:r>
            <w:r w:rsidRPr="00EC75B7">
              <w:rPr>
                <w:rFonts w:ascii="Verdana" w:hAnsi="Verdana"/>
                <w:i/>
                <w:spacing w:val="-4"/>
                <w:sz w:val="18"/>
                <w:szCs w:val="18"/>
              </w:rPr>
              <w:t xml:space="preserve">Jynx </w:t>
            </w:r>
            <w:r w:rsidRPr="00EC75B7">
              <w:rPr>
                <w:rFonts w:ascii="Verdana" w:hAnsi="Verdana"/>
                <w:i/>
                <w:spacing w:val="-2"/>
                <w:sz w:val="18"/>
                <w:szCs w:val="18"/>
              </w:rPr>
              <w:t xml:space="preserve">torquilla, Muscicapa striata, Oriolus oriolus, Phylloscopu </w:t>
            </w:r>
            <w:r w:rsidRPr="00EC75B7">
              <w:rPr>
                <w:rFonts w:ascii="Verdana" w:hAnsi="Verdana"/>
                <w:i/>
                <w:sz w:val="18"/>
                <w:szCs w:val="18"/>
              </w:rPr>
              <w:t>s collybita,</w:t>
            </w:r>
            <w:r w:rsidRPr="00EC75B7">
              <w:rPr>
                <w:rFonts w:ascii="Verdana" w:hAnsi="Verdana"/>
                <w:i/>
                <w:spacing w:val="40"/>
                <w:sz w:val="18"/>
                <w:szCs w:val="18"/>
              </w:rPr>
              <w:t xml:space="preserve"> </w:t>
            </w:r>
            <w:r w:rsidRPr="00EC75B7">
              <w:rPr>
                <w:rFonts w:ascii="Verdana" w:hAnsi="Verdana"/>
                <w:i/>
                <w:spacing w:val="-2"/>
                <w:sz w:val="18"/>
                <w:szCs w:val="18"/>
              </w:rPr>
              <w:t xml:space="preserve">Phylloscopu </w:t>
            </w:r>
            <w:r w:rsidRPr="00EC75B7">
              <w:rPr>
                <w:rFonts w:ascii="Verdana" w:hAnsi="Verdana"/>
                <w:i/>
                <w:sz w:val="18"/>
                <w:szCs w:val="18"/>
              </w:rPr>
              <w:t xml:space="preserve">s sibilatrix, </w:t>
            </w:r>
            <w:r w:rsidRPr="00EC75B7">
              <w:rPr>
                <w:rFonts w:ascii="Verdana" w:hAnsi="Verdana"/>
                <w:i/>
                <w:spacing w:val="-2"/>
                <w:sz w:val="18"/>
                <w:szCs w:val="18"/>
              </w:rPr>
              <w:t xml:space="preserve">Phylloscopu </w:t>
            </w:r>
            <w:r w:rsidRPr="00EC75B7">
              <w:rPr>
                <w:rFonts w:ascii="Verdana" w:hAnsi="Verdana"/>
                <w:i/>
                <w:sz w:val="18"/>
                <w:szCs w:val="18"/>
              </w:rPr>
              <w:t xml:space="preserve">s trochilus, </w:t>
            </w:r>
            <w:r w:rsidRPr="00EC75B7">
              <w:rPr>
                <w:rFonts w:ascii="Verdana" w:hAnsi="Verdana"/>
                <w:i/>
                <w:spacing w:val="-2"/>
                <w:sz w:val="18"/>
                <w:szCs w:val="18"/>
              </w:rPr>
              <w:t xml:space="preserve">Pyrrhula pyrrhula, </w:t>
            </w:r>
            <w:r w:rsidRPr="00EC75B7">
              <w:rPr>
                <w:rFonts w:ascii="Verdana" w:hAnsi="Verdana"/>
                <w:i/>
                <w:spacing w:val="-2"/>
                <w:sz w:val="18"/>
                <w:szCs w:val="18"/>
              </w:rPr>
              <w:lastRenderedPageBreak/>
              <w:t>Regulus ignicapillus, Regulus regulus, Serinus serinus, Sturnus vulgaris, Sylvia atricapilla, Sylvia curruca, Turdus merula, Turdus philomelos, Turdus pilaris, Turdus viscivorus</w:t>
            </w:r>
          </w:p>
        </w:tc>
        <w:tc>
          <w:tcPr>
            <w:tcW w:w="989" w:type="dxa"/>
            <w:vMerge w:val="restart"/>
          </w:tcPr>
          <w:p w14:paraId="34CA1165" w14:textId="77777777" w:rsidR="008715BE" w:rsidRPr="00EC75B7" w:rsidRDefault="00000000">
            <w:pPr>
              <w:pStyle w:val="TableParagraph"/>
              <w:spacing w:before="8"/>
              <w:ind w:left="108" w:right="104"/>
              <w:rPr>
                <w:rFonts w:ascii="Verdana" w:hAnsi="Verdana"/>
                <w:i/>
                <w:sz w:val="18"/>
                <w:szCs w:val="18"/>
              </w:rPr>
            </w:pPr>
            <w:r w:rsidRPr="00EC75B7">
              <w:rPr>
                <w:rFonts w:ascii="Verdana" w:hAnsi="Verdana"/>
                <w:b/>
                <w:spacing w:val="-2"/>
                <w:sz w:val="18"/>
                <w:szCs w:val="18"/>
              </w:rPr>
              <w:lastRenderedPageBreak/>
              <w:t xml:space="preserve">Species associated </w:t>
            </w:r>
            <w:r w:rsidRPr="00EC75B7">
              <w:rPr>
                <w:rFonts w:ascii="Verdana" w:hAnsi="Verdana"/>
                <w:b/>
                <w:spacing w:val="-6"/>
                <w:sz w:val="18"/>
                <w:szCs w:val="18"/>
              </w:rPr>
              <w:t xml:space="preserve">with </w:t>
            </w:r>
            <w:r w:rsidRPr="00EC75B7">
              <w:rPr>
                <w:rFonts w:ascii="Verdana" w:hAnsi="Verdana"/>
                <w:b/>
                <w:spacing w:val="-2"/>
                <w:sz w:val="18"/>
                <w:szCs w:val="18"/>
              </w:rPr>
              <w:t xml:space="preserve">reedbed habitats </w:t>
            </w:r>
            <w:r w:rsidRPr="00EC75B7">
              <w:rPr>
                <w:rFonts w:ascii="Verdana" w:hAnsi="Verdana"/>
                <w:i/>
                <w:spacing w:val="-2"/>
                <w:sz w:val="18"/>
                <w:szCs w:val="18"/>
              </w:rPr>
              <w:t>Ac</w:t>
            </w:r>
            <w:r w:rsidRPr="00EC75B7">
              <w:rPr>
                <w:rFonts w:ascii="Verdana" w:hAnsi="Verdana"/>
                <w:i/>
                <w:spacing w:val="-6"/>
                <w:sz w:val="18"/>
                <w:szCs w:val="18"/>
              </w:rPr>
              <w:t xml:space="preserve">rocephalus </w:t>
            </w:r>
            <w:r w:rsidRPr="00EC75B7">
              <w:rPr>
                <w:rFonts w:ascii="Verdana" w:hAnsi="Verdana"/>
                <w:i/>
                <w:spacing w:val="-4"/>
                <w:sz w:val="18"/>
                <w:szCs w:val="18"/>
              </w:rPr>
              <w:t xml:space="preserve">arundinaceus, </w:t>
            </w:r>
            <w:r w:rsidRPr="00EC75B7">
              <w:rPr>
                <w:rFonts w:ascii="Verdana" w:hAnsi="Verdana"/>
                <w:i/>
                <w:spacing w:val="-6"/>
                <w:sz w:val="18"/>
                <w:szCs w:val="18"/>
              </w:rPr>
              <w:t xml:space="preserve">Acrocephalus </w:t>
            </w:r>
            <w:r w:rsidRPr="00EC75B7">
              <w:rPr>
                <w:rFonts w:ascii="Verdana" w:hAnsi="Verdana"/>
                <w:i/>
                <w:spacing w:val="-2"/>
                <w:sz w:val="18"/>
                <w:szCs w:val="18"/>
              </w:rPr>
              <w:t xml:space="preserve">palustris, Acrocephalus </w:t>
            </w:r>
            <w:r w:rsidRPr="00EC75B7">
              <w:rPr>
                <w:rFonts w:ascii="Verdana" w:hAnsi="Verdana"/>
                <w:i/>
                <w:spacing w:val="-4"/>
                <w:sz w:val="18"/>
                <w:szCs w:val="18"/>
              </w:rPr>
              <w:t xml:space="preserve">schoenoboei, </w:t>
            </w:r>
            <w:r w:rsidRPr="00EC75B7">
              <w:rPr>
                <w:rFonts w:ascii="Verdana" w:hAnsi="Verdana"/>
                <w:i/>
                <w:spacing w:val="-6"/>
                <w:sz w:val="18"/>
                <w:szCs w:val="18"/>
              </w:rPr>
              <w:t xml:space="preserve">Acrocephalus </w:t>
            </w:r>
            <w:r w:rsidRPr="00EC75B7">
              <w:rPr>
                <w:rFonts w:ascii="Verdana" w:hAnsi="Verdana"/>
                <w:i/>
                <w:spacing w:val="-2"/>
                <w:sz w:val="18"/>
                <w:szCs w:val="18"/>
              </w:rPr>
              <w:t>scirpaceus</w:t>
            </w:r>
          </w:p>
          <w:p w14:paraId="470A1633" w14:textId="77777777" w:rsidR="008715BE" w:rsidRPr="00EC75B7" w:rsidRDefault="00000000">
            <w:pPr>
              <w:pStyle w:val="TableParagraph"/>
              <w:spacing w:line="154" w:lineRule="exact"/>
              <w:ind w:left="108"/>
              <w:rPr>
                <w:rFonts w:ascii="Verdana" w:hAnsi="Verdana"/>
                <w:i/>
                <w:sz w:val="18"/>
                <w:szCs w:val="18"/>
              </w:rPr>
            </w:pPr>
            <w:r w:rsidRPr="00EC75B7">
              <w:rPr>
                <w:rFonts w:ascii="Verdana" w:hAnsi="Verdana"/>
                <w:i/>
                <w:spacing w:val="-10"/>
                <w:sz w:val="18"/>
                <w:szCs w:val="18"/>
              </w:rPr>
              <w:t>,</w:t>
            </w:r>
          </w:p>
          <w:p w14:paraId="69027971" w14:textId="77777777" w:rsidR="008715BE" w:rsidRPr="00EC75B7" w:rsidRDefault="00000000">
            <w:pPr>
              <w:pStyle w:val="TableParagraph"/>
              <w:ind w:left="108" w:right="104"/>
              <w:rPr>
                <w:rFonts w:ascii="Verdana" w:hAnsi="Verdana"/>
                <w:i/>
                <w:sz w:val="18"/>
                <w:szCs w:val="18"/>
              </w:rPr>
            </w:pPr>
            <w:r w:rsidRPr="00EC75B7">
              <w:rPr>
                <w:rFonts w:ascii="Verdana" w:hAnsi="Verdana"/>
                <w:i/>
                <w:spacing w:val="-2"/>
                <w:sz w:val="18"/>
                <w:szCs w:val="18"/>
              </w:rPr>
              <w:t xml:space="preserve">Locustella fluviatilis, Locustella </w:t>
            </w:r>
            <w:r w:rsidRPr="00EC75B7">
              <w:rPr>
                <w:rFonts w:ascii="Verdana" w:hAnsi="Verdana"/>
                <w:i/>
                <w:sz w:val="18"/>
                <w:szCs w:val="18"/>
              </w:rPr>
              <w:t xml:space="preserve">luscinioides, Riparia </w:t>
            </w:r>
            <w:r w:rsidRPr="00EC75B7">
              <w:rPr>
                <w:rFonts w:ascii="Verdana" w:hAnsi="Verdana"/>
                <w:i/>
                <w:spacing w:val="-2"/>
                <w:sz w:val="18"/>
                <w:szCs w:val="18"/>
              </w:rPr>
              <w:t>riparia</w:t>
            </w:r>
          </w:p>
        </w:tc>
        <w:tc>
          <w:tcPr>
            <w:tcW w:w="4140" w:type="dxa"/>
            <w:vMerge w:val="restart"/>
          </w:tcPr>
          <w:p w14:paraId="1EF9D8DE" w14:textId="77777777" w:rsidR="008715BE" w:rsidRPr="00EC75B7" w:rsidRDefault="00000000">
            <w:pPr>
              <w:pStyle w:val="TableParagraph"/>
              <w:spacing w:before="10" w:line="235" w:lineRule="auto"/>
              <w:ind w:left="110"/>
              <w:rPr>
                <w:rFonts w:ascii="Verdana" w:hAnsi="Verdana"/>
                <w:b/>
                <w:sz w:val="18"/>
                <w:szCs w:val="18"/>
              </w:rPr>
            </w:pPr>
            <w:r w:rsidRPr="00EC75B7">
              <w:rPr>
                <w:rFonts w:ascii="Verdana" w:hAnsi="Verdana"/>
                <w:b/>
                <w:sz w:val="18"/>
                <w:szCs w:val="18"/>
              </w:rPr>
              <w:t xml:space="preserve">Species associated with rocky habitats and </w:t>
            </w:r>
            <w:r w:rsidRPr="00EC75B7">
              <w:rPr>
                <w:rFonts w:ascii="Verdana" w:hAnsi="Verdana"/>
                <w:b/>
                <w:spacing w:val="-2"/>
                <w:sz w:val="18"/>
                <w:szCs w:val="18"/>
              </w:rPr>
              <w:t>urban</w:t>
            </w:r>
            <w:r w:rsidRPr="00EC75B7">
              <w:rPr>
                <w:rFonts w:ascii="Verdana" w:hAnsi="Verdana"/>
                <w:b/>
                <w:sz w:val="18"/>
                <w:szCs w:val="18"/>
              </w:rPr>
              <w:t xml:space="preserve"> areas</w:t>
            </w:r>
          </w:p>
          <w:p w14:paraId="720176F1" w14:textId="77777777" w:rsidR="008715BE" w:rsidRPr="00EC75B7" w:rsidRDefault="00000000">
            <w:pPr>
              <w:pStyle w:val="TableParagraph"/>
              <w:spacing w:before="1"/>
              <w:ind w:left="110"/>
              <w:rPr>
                <w:rFonts w:ascii="Verdana" w:hAnsi="Verdana"/>
                <w:i/>
                <w:sz w:val="18"/>
                <w:szCs w:val="18"/>
              </w:rPr>
            </w:pPr>
            <w:r w:rsidRPr="00EC75B7">
              <w:rPr>
                <w:rFonts w:ascii="Verdana" w:hAnsi="Verdana"/>
                <w:i/>
                <w:sz w:val="18"/>
                <w:szCs w:val="18"/>
              </w:rPr>
              <w:t xml:space="preserve">Monticola saxatilis, Hirundo daurica, Hirundo </w:t>
            </w:r>
            <w:r w:rsidRPr="00EC75B7">
              <w:rPr>
                <w:rFonts w:ascii="Verdana" w:hAnsi="Verdana"/>
                <w:i/>
                <w:spacing w:val="-2"/>
                <w:sz w:val="18"/>
                <w:szCs w:val="18"/>
              </w:rPr>
              <w:t>rustica</w:t>
            </w:r>
          </w:p>
        </w:tc>
        <w:tc>
          <w:tcPr>
            <w:tcW w:w="1080" w:type="dxa"/>
          </w:tcPr>
          <w:p w14:paraId="3D3CE187" w14:textId="77777777" w:rsidR="008715BE" w:rsidRPr="00EC75B7" w:rsidRDefault="00000000">
            <w:pPr>
              <w:pStyle w:val="TableParagraph"/>
              <w:spacing w:before="9" w:line="237" w:lineRule="auto"/>
              <w:ind w:left="110"/>
              <w:rPr>
                <w:rFonts w:ascii="Verdana" w:hAnsi="Verdana"/>
                <w:sz w:val="18"/>
                <w:szCs w:val="18"/>
              </w:rPr>
            </w:pPr>
            <w:r w:rsidRPr="00EC75B7">
              <w:rPr>
                <w:rFonts w:ascii="Verdana" w:hAnsi="Verdana"/>
                <w:spacing w:val="-2"/>
                <w:sz w:val="18"/>
                <w:szCs w:val="18"/>
              </w:rPr>
              <w:t>Population size trend</w:t>
            </w:r>
          </w:p>
        </w:tc>
        <w:tc>
          <w:tcPr>
            <w:tcW w:w="1260" w:type="dxa"/>
          </w:tcPr>
          <w:p w14:paraId="63A4DA1F" w14:textId="77777777" w:rsidR="008715BE" w:rsidRPr="00EC75B7" w:rsidRDefault="00000000">
            <w:pPr>
              <w:pStyle w:val="TableParagraph"/>
              <w:spacing w:before="10" w:line="235" w:lineRule="auto"/>
              <w:ind w:left="111"/>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4650CE8C" w14:textId="77777777" w:rsidR="008715BE" w:rsidRPr="00EC75B7" w:rsidRDefault="008715BE">
            <w:pPr>
              <w:pStyle w:val="TableParagraph"/>
              <w:spacing w:before="1"/>
              <w:rPr>
                <w:rFonts w:ascii="Verdana" w:hAnsi="Verdana"/>
                <w:b/>
                <w:sz w:val="18"/>
                <w:szCs w:val="18"/>
              </w:rPr>
            </w:pPr>
          </w:p>
          <w:p w14:paraId="2510B14B" w14:textId="77777777" w:rsidR="008715BE" w:rsidRPr="00EC75B7" w:rsidRDefault="00000000">
            <w:pPr>
              <w:pStyle w:val="TableParagraph"/>
              <w:ind w:left="111" w:right="106"/>
              <w:rPr>
                <w:rFonts w:ascii="Verdana" w:hAnsi="Verdana"/>
                <w:sz w:val="18"/>
                <w:szCs w:val="18"/>
              </w:rPr>
            </w:pPr>
            <w:r w:rsidRPr="00EC75B7">
              <w:rPr>
                <w:rFonts w:ascii="Verdana" w:hAnsi="Verdana"/>
                <w:sz w:val="18"/>
                <w:szCs w:val="18"/>
              </w:rPr>
              <w:t xml:space="preserve">Areas outside the protected area that could </w:t>
            </w:r>
            <w:r w:rsidRPr="00EC75B7">
              <w:rPr>
                <w:rFonts w:ascii="Verdana" w:hAnsi="Verdana"/>
                <w:spacing w:val="-2"/>
                <w:sz w:val="18"/>
                <w:szCs w:val="18"/>
              </w:rPr>
              <w:t xml:space="preserve">constitute feeding </w:t>
            </w:r>
            <w:r w:rsidRPr="00EC75B7">
              <w:rPr>
                <w:rFonts w:ascii="Verdana" w:hAnsi="Verdana"/>
                <w:sz w:val="18"/>
                <w:szCs w:val="18"/>
              </w:rPr>
              <w:t>habitats</w:t>
            </w:r>
            <w:r w:rsidRPr="00EC75B7">
              <w:rPr>
                <w:rFonts w:ascii="Verdana" w:hAnsi="Verdana"/>
                <w:spacing w:val="-2"/>
                <w:sz w:val="18"/>
                <w:szCs w:val="18"/>
              </w:rPr>
              <w:t>:</w:t>
            </w:r>
          </w:p>
          <w:p w14:paraId="0C6E5B52" w14:textId="77777777" w:rsidR="008715BE" w:rsidRPr="00EC75B7" w:rsidRDefault="00000000">
            <w:pPr>
              <w:pStyle w:val="TableParagraph"/>
              <w:ind w:left="111" w:right="206"/>
              <w:rPr>
                <w:rFonts w:ascii="Verdana" w:hAnsi="Verdana"/>
                <w:sz w:val="18"/>
                <w:szCs w:val="18"/>
              </w:rPr>
            </w:pPr>
            <w:r w:rsidRPr="00EC75B7">
              <w:rPr>
                <w:rFonts w:ascii="Verdana" w:hAnsi="Verdana"/>
                <w:sz w:val="18"/>
                <w:szCs w:val="18"/>
              </w:rPr>
              <w:t xml:space="preserve">0.9 ha </w:t>
            </w:r>
            <w:r w:rsidRPr="00EC75B7">
              <w:rPr>
                <w:rFonts w:ascii="Verdana" w:hAnsi="Verdana"/>
                <w:spacing w:val="-2"/>
                <w:sz w:val="18"/>
                <w:szCs w:val="18"/>
              </w:rPr>
              <w:t xml:space="preserve">temporarily occupied, </w:t>
            </w:r>
            <w:r w:rsidRPr="00EC75B7">
              <w:rPr>
                <w:rFonts w:ascii="Verdana" w:hAnsi="Verdana"/>
                <w:sz w:val="18"/>
                <w:szCs w:val="18"/>
              </w:rPr>
              <w:t>area of the construction site</w:t>
            </w:r>
          </w:p>
          <w:p w14:paraId="00B220CD" w14:textId="77777777" w:rsidR="008715BE" w:rsidRPr="00EC75B7" w:rsidRDefault="00000000">
            <w:pPr>
              <w:pStyle w:val="TableParagraph"/>
              <w:ind w:left="111" w:right="266"/>
              <w:rPr>
                <w:rFonts w:ascii="Verdana" w:hAnsi="Verdana"/>
                <w:sz w:val="18"/>
                <w:szCs w:val="18"/>
              </w:rPr>
            </w:pPr>
            <w:r w:rsidRPr="00EC75B7">
              <w:rPr>
                <w:rFonts w:ascii="Verdana" w:hAnsi="Verdana"/>
                <w:spacing w:val="-2"/>
                <w:sz w:val="18"/>
                <w:szCs w:val="18"/>
              </w:rPr>
              <w:t xml:space="preserve">+area </w:t>
            </w:r>
            <w:r w:rsidRPr="00EC75B7">
              <w:rPr>
                <w:rFonts w:ascii="Verdana" w:hAnsi="Verdana"/>
                <w:sz w:val="18"/>
                <w:szCs w:val="18"/>
              </w:rPr>
              <w:t xml:space="preserve">temporarily </w:t>
            </w:r>
            <w:r w:rsidRPr="00EC75B7">
              <w:rPr>
                <w:rFonts w:ascii="Verdana" w:hAnsi="Verdana"/>
                <w:spacing w:val="-2"/>
                <w:sz w:val="18"/>
                <w:szCs w:val="18"/>
              </w:rPr>
              <w:t xml:space="preserve">occupied </w:t>
            </w:r>
            <w:r w:rsidRPr="00EC75B7">
              <w:rPr>
                <w:rFonts w:ascii="Verdana" w:hAnsi="Verdana"/>
                <w:sz w:val="18"/>
                <w:szCs w:val="18"/>
              </w:rPr>
              <w:t xml:space="preserve">by </w:t>
            </w:r>
            <w:r w:rsidRPr="00EC75B7">
              <w:rPr>
                <w:rFonts w:ascii="Verdana" w:hAnsi="Verdana"/>
                <w:spacing w:val="-2"/>
                <w:sz w:val="18"/>
                <w:szCs w:val="18"/>
              </w:rPr>
              <w:t>trenches for cable installation</w:t>
            </w:r>
            <w:r w:rsidRPr="00EC75B7">
              <w:rPr>
                <w:rFonts w:ascii="Verdana" w:hAnsi="Verdana"/>
                <w:sz w:val="18"/>
                <w:szCs w:val="18"/>
              </w:rPr>
              <w:t xml:space="preserve"> 309.24 ha</w:t>
            </w:r>
          </w:p>
          <w:p w14:paraId="4CA0FAF0" w14:textId="77777777" w:rsidR="008715BE" w:rsidRPr="00EC75B7" w:rsidRDefault="00000000">
            <w:pPr>
              <w:pStyle w:val="TableParagraph"/>
              <w:spacing w:line="237" w:lineRule="auto"/>
              <w:ind w:left="111" w:right="138"/>
              <w:rPr>
                <w:rFonts w:ascii="Verdana" w:hAnsi="Verdana"/>
                <w:sz w:val="18"/>
                <w:szCs w:val="18"/>
              </w:rPr>
            </w:pPr>
            <w:r w:rsidRPr="00EC75B7">
              <w:rPr>
                <w:rFonts w:ascii="Verdana" w:hAnsi="Verdana"/>
                <w:spacing w:val="-2"/>
                <w:sz w:val="18"/>
                <w:szCs w:val="18"/>
              </w:rPr>
              <w:t xml:space="preserve">areas </w:t>
            </w:r>
            <w:r w:rsidRPr="00EC75B7">
              <w:rPr>
                <w:rFonts w:ascii="Verdana" w:hAnsi="Verdana"/>
                <w:sz w:val="18"/>
                <w:szCs w:val="18"/>
              </w:rPr>
              <w:t xml:space="preserve">permanently </w:t>
            </w:r>
            <w:r w:rsidRPr="00EC75B7">
              <w:rPr>
                <w:rFonts w:ascii="Verdana" w:hAnsi="Verdana"/>
                <w:spacing w:val="-2"/>
                <w:sz w:val="18"/>
                <w:szCs w:val="18"/>
              </w:rPr>
              <w:t xml:space="preserve">occupied </w:t>
            </w:r>
            <w:r w:rsidRPr="00EC75B7">
              <w:rPr>
                <w:rFonts w:ascii="Verdana" w:hAnsi="Verdana"/>
                <w:sz w:val="18"/>
                <w:szCs w:val="18"/>
              </w:rPr>
              <w:t xml:space="preserve">by the park's </w:t>
            </w:r>
            <w:r w:rsidRPr="00EC75B7">
              <w:rPr>
                <w:rFonts w:ascii="Verdana" w:hAnsi="Verdana"/>
                <w:spacing w:val="-2"/>
                <w:sz w:val="18"/>
                <w:szCs w:val="18"/>
              </w:rPr>
              <w:t>structural elements</w:t>
            </w:r>
          </w:p>
          <w:p w14:paraId="56C7B84E" w14:textId="77777777" w:rsidR="008715BE" w:rsidRPr="00EC75B7" w:rsidRDefault="00000000">
            <w:pPr>
              <w:pStyle w:val="TableParagraph"/>
              <w:spacing w:line="142" w:lineRule="exact"/>
              <w:ind w:left="111"/>
              <w:rPr>
                <w:rFonts w:ascii="Verdana" w:hAnsi="Verdana"/>
                <w:sz w:val="18"/>
                <w:szCs w:val="18"/>
              </w:rPr>
            </w:pPr>
            <w:r w:rsidRPr="00EC75B7">
              <w:rPr>
                <w:rFonts w:ascii="Verdana" w:hAnsi="Verdana"/>
                <w:spacing w:val="-2"/>
                <w:sz w:val="18"/>
                <w:szCs w:val="18"/>
              </w:rPr>
              <w:t>energy</w:t>
            </w:r>
          </w:p>
        </w:tc>
        <w:tc>
          <w:tcPr>
            <w:tcW w:w="900" w:type="dxa"/>
          </w:tcPr>
          <w:p w14:paraId="46F67BF3" w14:textId="77777777" w:rsidR="008715BE" w:rsidRPr="00EC75B7" w:rsidRDefault="00000000">
            <w:pPr>
              <w:pStyle w:val="TableParagraph"/>
              <w:spacing w:before="8"/>
              <w:ind w:left="111" w:right="115"/>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10"/>
                <w:sz w:val="18"/>
                <w:szCs w:val="18"/>
              </w:rPr>
              <w:t xml:space="preserve">the </w:t>
            </w:r>
            <w:r w:rsidRPr="00EC75B7">
              <w:rPr>
                <w:rFonts w:ascii="Verdana" w:hAnsi="Verdana"/>
                <w:spacing w:val="-2"/>
                <w:sz w:val="18"/>
                <w:szCs w:val="18"/>
              </w:rPr>
              <w:t>observed behavior of species</w:t>
            </w:r>
          </w:p>
          <w:p w14:paraId="78FDFD87" w14:textId="77777777" w:rsidR="008715BE" w:rsidRPr="00EC75B7" w:rsidRDefault="00000000">
            <w:pPr>
              <w:pStyle w:val="TableParagraph"/>
              <w:spacing w:line="159" w:lineRule="exact"/>
              <w:ind w:left="159"/>
              <w:rPr>
                <w:rFonts w:ascii="Verdana" w:hAnsi="Verdana"/>
                <w:sz w:val="18"/>
                <w:szCs w:val="18"/>
              </w:rPr>
            </w:pPr>
            <w:r w:rsidRPr="00EC75B7">
              <w:rPr>
                <w:rFonts w:ascii="Verdana" w:hAnsi="Verdana"/>
                <w:spacing w:val="-2"/>
                <w:sz w:val="18"/>
                <w:szCs w:val="18"/>
              </w:rPr>
              <w:t>GIS analysis</w:t>
            </w:r>
          </w:p>
          <w:p w14:paraId="42F42598" w14:textId="77777777" w:rsidR="008715BE" w:rsidRPr="00EC75B7" w:rsidRDefault="00000000">
            <w:pPr>
              <w:pStyle w:val="TableParagraph"/>
              <w:spacing w:line="171" w:lineRule="exact"/>
              <w:ind w:left="111"/>
              <w:rPr>
                <w:rFonts w:ascii="Verdana" w:hAnsi="Verdana"/>
                <w:sz w:val="18"/>
                <w:szCs w:val="18"/>
              </w:rPr>
            </w:pPr>
            <w:r w:rsidRPr="00EC75B7">
              <w:rPr>
                <w:rFonts w:ascii="Verdana" w:hAnsi="Verdana"/>
                <w:spacing w:val="-4"/>
                <w:sz w:val="18"/>
                <w:szCs w:val="18"/>
              </w:rPr>
              <w:t>GIS</w:t>
            </w:r>
          </w:p>
        </w:tc>
      </w:tr>
      <w:tr w:rsidR="008715BE" w:rsidRPr="00EC75B7" w14:paraId="20494FBA" w14:textId="77777777">
        <w:trPr>
          <w:trHeight w:val="4084"/>
        </w:trPr>
        <w:tc>
          <w:tcPr>
            <w:tcW w:w="542" w:type="dxa"/>
            <w:vMerge/>
            <w:tcBorders>
              <w:top w:val="nil"/>
            </w:tcBorders>
            <w:textDirection w:val="btLr"/>
          </w:tcPr>
          <w:p w14:paraId="2D3ED73E" w14:textId="77777777" w:rsidR="008715BE" w:rsidRPr="00EC75B7" w:rsidRDefault="008715BE">
            <w:pPr>
              <w:rPr>
                <w:rFonts w:ascii="Verdana" w:hAnsi="Verdana"/>
                <w:sz w:val="18"/>
                <w:szCs w:val="18"/>
              </w:rPr>
            </w:pPr>
          </w:p>
        </w:tc>
        <w:tc>
          <w:tcPr>
            <w:tcW w:w="1800" w:type="dxa"/>
            <w:vMerge/>
            <w:tcBorders>
              <w:top w:val="nil"/>
            </w:tcBorders>
          </w:tcPr>
          <w:p w14:paraId="5ED4365F" w14:textId="77777777" w:rsidR="008715BE" w:rsidRPr="00EC75B7" w:rsidRDefault="008715BE">
            <w:pPr>
              <w:rPr>
                <w:rFonts w:ascii="Verdana" w:hAnsi="Verdana"/>
                <w:sz w:val="18"/>
                <w:szCs w:val="18"/>
              </w:rPr>
            </w:pPr>
          </w:p>
        </w:tc>
        <w:tc>
          <w:tcPr>
            <w:tcW w:w="1048" w:type="dxa"/>
          </w:tcPr>
          <w:p w14:paraId="0E36B3FB" w14:textId="77777777" w:rsidR="008715BE" w:rsidRPr="00EC75B7" w:rsidRDefault="00000000">
            <w:pPr>
              <w:pStyle w:val="TableParagraph"/>
              <w:spacing w:before="8"/>
              <w:ind w:left="106" w:right="160"/>
              <w:rPr>
                <w:rFonts w:ascii="Verdana" w:hAnsi="Verdana"/>
                <w:sz w:val="18"/>
                <w:szCs w:val="18"/>
              </w:rPr>
            </w:pPr>
            <w:r w:rsidRPr="00EC75B7">
              <w:rPr>
                <w:rFonts w:ascii="Verdana" w:hAnsi="Verdana"/>
                <w:spacing w:val="-2"/>
                <w:sz w:val="18"/>
                <w:szCs w:val="18"/>
              </w:rPr>
              <w:t xml:space="preserve">Temporary occupation </w:t>
            </w:r>
            <w:r w:rsidRPr="00EC75B7">
              <w:rPr>
                <w:rFonts w:ascii="Verdana" w:hAnsi="Verdana"/>
                <w:sz w:val="18"/>
                <w:szCs w:val="18"/>
              </w:rPr>
              <w:t xml:space="preserve">of land </w:t>
            </w:r>
            <w:r w:rsidRPr="00EC75B7">
              <w:rPr>
                <w:rFonts w:ascii="Verdana" w:hAnsi="Verdana"/>
                <w:spacing w:val="-2"/>
                <w:sz w:val="18"/>
                <w:szCs w:val="18"/>
              </w:rPr>
              <w:t>areas</w:t>
            </w:r>
          </w:p>
        </w:tc>
        <w:tc>
          <w:tcPr>
            <w:tcW w:w="1274" w:type="dxa"/>
          </w:tcPr>
          <w:p w14:paraId="63A35303"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FH</w:t>
            </w:r>
          </w:p>
        </w:tc>
        <w:tc>
          <w:tcPr>
            <w:tcW w:w="993" w:type="dxa"/>
          </w:tcPr>
          <w:p w14:paraId="0BB48817"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27D58059"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44A98D54"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379FB5CB" w14:textId="77777777" w:rsidR="008715BE" w:rsidRPr="00EC75B7" w:rsidRDefault="00000000">
            <w:pPr>
              <w:pStyle w:val="TableParagraph"/>
              <w:spacing w:before="8"/>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vMerge/>
            <w:tcBorders>
              <w:top w:val="nil"/>
            </w:tcBorders>
          </w:tcPr>
          <w:p w14:paraId="050E0444" w14:textId="77777777" w:rsidR="008715BE" w:rsidRPr="00EC75B7" w:rsidRDefault="008715BE">
            <w:pPr>
              <w:rPr>
                <w:rFonts w:ascii="Verdana" w:hAnsi="Verdana"/>
                <w:sz w:val="18"/>
                <w:szCs w:val="18"/>
              </w:rPr>
            </w:pPr>
          </w:p>
        </w:tc>
        <w:tc>
          <w:tcPr>
            <w:tcW w:w="1440" w:type="dxa"/>
            <w:vMerge/>
            <w:tcBorders>
              <w:top w:val="nil"/>
            </w:tcBorders>
          </w:tcPr>
          <w:p w14:paraId="05C65E2D" w14:textId="77777777" w:rsidR="008715BE" w:rsidRPr="00EC75B7" w:rsidRDefault="008715BE">
            <w:pPr>
              <w:rPr>
                <w:rFonts w:ascii="Verdana" w:hAnsi="Verdana"/>
                <w:sz w:val="18"/>
                <w:szCs w:val="18"/>
              </w:rPr>
            </w:pPr>
          </w:p>
        </w:tc>
        <w:tc>
          <w:tcPr>
            <w:tcW w:w="1080" w:type="dxa"/>
            <w:vMerge/>
            <w:tcBorders>
              <w:top w:val="nil"/>
            </w:tcBorders>
          </w:tcPr>
          <w:p w14:paraId="2617A40A" w14:textId="77777777" w:rsidR="008715BE" w:rsidRPr="00EC75B7" w:rsidRDefault="008715BE">
            <w:pPr>
              <w:rPr>
                <w:rFonts w:ascii="Verdana" w:hAnsi="Verdana"/>
                <w:sz w:val="18"/>
                <w:szCs w:val="18"/>
              </w:rPr>
            </w:pPr>
          </w:p>
        </w:tc>
        <w:tc>
          <w:tcPr>
            <w:tcW w:w="989" w:type="dxa"/>
            <w:vMerge/>
            <w:tcBorders>
              <w:top w:val="nil"/>
            </w:tcBorders>
          </w:tcPr>
          <w:p w14:paraId="73FCD63E" w14:textId="77777777" w:rsidR="008715BE" w:rsidRPr="00EC75B7" w:rsidRDefault="008715BE">
            <w:pPr>
              <w:rPr>
                <w:rFonts w:ascii="Verdana" w:hAnsi="Verdana"/>
                <w:sz w:val="18"/>
                <w:szCs w:val="18"/>
              </w:rPr>
            </w:pPr>
          </w:p>
        </w:tc>
        <w:tc>
          <w:tcPr>
            <w:tcW w:w="4140" w:type="dxa"/>
            <w:vMerge/>
            <w:tcBorders>
              <w:top w:val="nil"/>
            </w:tcBorders>
          </w:tcPr>
          <w:p w14:paraId="45B3F4B8" w14:textId="77777777" w:rsidR="008715BE" w:rsidRPr="00EC75B7" w:rsidRDefault="008715BE">
            <w:pPr>
              <w:rPr>
                <w:rFonts w:ascii="Verdana" w:hAnsi="Verdana"/>
                <w:sz w:val="18"/>
                <w:szCs w:val="18"/>
              </w:rPr>
            </w:pPr>
          </w:p>
        </w:tc>
        <w:tc>
          <w:tcPr>
            <w:tcW w:w="1080" w:type="dxa"/>
          </w:tcPr>
          <w:p w14:paraId="23C01BC6"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Population size trend</w:t>
            </w:r>
          </w:p>
        </w:tc>
        <w:tc>
          <w:tcPr>
            <w:tcW w:w="1260" w:type="dxa"/>
          </w:tcPr>
          <w:p w14:paraId="1BF6481C"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0 ha of the </w:t>
            </w:r>
            <w:r w:rsidRPr="00EC75B7">
              <w:rPr>
                <w:rFonts w:ascii="Verdana" w:hAnsi="Verdana"/>
                <w:spacing w:val="-2"/>
                <w:sz w:val="18"/>
                <w:szCs w:val="18"/>
              </w:rPr>
              <w:t xml:space="preserve">protected </w:t>
            </w:r>
            <w:r w:rsidRPr="00EC75B7">
              <w:rPr>
                <w:rFonts w:ascii="Verdana" w:hAnsi="Verdana"/>
                <w:sz w:val="18"/>
                <w:szCs w:val="18"/>
              </w:rPr>
              <w:t>area</w:t>
            </w:r>
          </w:p>
          <w:p w14:paraId="52391118" w14:textId="77777777" w:rsidR="008715BE" w:rsidRPr="00EC75B7" w:rsidRDefault="00000000">
            <w:pPr>
              <w:pStyle w:val="TableParagraph"/>
              <w:spacing w:before="169"/>
              <w:ind w:left="111" w:right="106"/>
              <w:rPr>
                <w:rFonts w:ascii="Verdana" w:hAnsi="Verdana"/>
                <w:sz w:val="18"/>
                <w:szCs w:val="18"/>
              </w:rPr>
            </w:pPr>
            <w:r w:rsidRPr="00EC75B7">
              <w:rPr>
                <w:rFonts w:ascii="Verdana" w:hAnsi="Verdana"/>
                <w:sz w:val="18"/>
                <w:szCs w:val="18"/>
              </w:rPr>
              <w:t xml:space="preserve">Areas outside the protected area that could </w:t>
            </w:r>
            <w:r w:rsidRPr="00EC75B7">
              <w:rPr>
                <w:rFonts w:ascii="Verdana" w:hAnsi="Verdana"/>
                <w:spacing w:val="-2"/>
                <w:sz w:val="18"/>
                <w:szCs w:val="18"/>
              </w:rPr>
              <w:t xml:space="preserve">constitute feeding </w:t>
            </w:r>
            <w:r w:rsidRPr="00EC75B7">
              <w:rPr>
                <w:rFonts w:ascii="Verdana" w:hAnsi="Verdana"/>
                <w:sz w:val="18"/>
                <w:szCs w:val="18"/>
              </w:rPr>
              <w:t>habitats</w:t>
            </w:r>
            <w:r w:rsidRPr="00EC75B7">
              <w:rPr>
                <w:rFonts w:ascii="Verdana" w:hAnsi="Verdana"/>
                <w:spacing w:val="-2"/>
                <w:sz w:val="18"/>
                <w:szCs w:val="18"/>
              </w:rPr>
              <w:t>:</w:t>
            </w:r>
          </w:p>
          <w:p w14:paraId="7251A506" w14:textId="77777777" w:rsidR="008715BE" w:rsidRPr="00EC75B7" w:rsidRDefault="00000000">
            <w:pPr>
              <w:pStyle w:val="TableParagraph"/>
              <w:ind w:left="111" w:right="206"/>
              <w:rPr>
                <w:rFonts w:ascii="Verdana" w:hAnsi="Verdana"/>
                <w:sz w:val="18"/>
                <w:szCs w:val="18"/>
              </w:rPr>
            </w:pPr>
            <w:r w:rsidRPr="00EC75B7">
              <w:rPr>
                <w:rFonts w:ascii="Verdana" w:hAnsi="Verdana"/>
                <w:sz w:val="18"/>
                <w:szCs w:val="18"/>
              </w:rPr>
              <w:t xml:space="preserve">0.9 ha </w:t>
            </w:r>
            <w:r w:rsidRPr="00EC75B7">
              <w:rPr>
                <w:rFonts w:ascii="Verdana" w:hAnsi="Verdana"/>
                <w:spacing w:val="-2"/>
                <w:sz w:val="18"/>
                <w:szCs w:val="18"/>
              </w:rPr>
              <w:t xml:space="preserve">temporarily occupied, </w:t>
            </w:r>
            <w:r w:rsidRPr="00EC75B7">
              <w:rPr>
                <w:rFonts w:ascii="Verdana" w:hAnsi="Verdana"/>
                <w:sz w:val="18"/>
                <w:szCs w:val="18"/>
              </w:rPr>
              <w:t xml:space="preserve">site </w:t>
            </w:r>
            <w:r w:rsidRPr="00EC75B7">
              <w:rPr>
                <w:rFonts w:ascii="Verdana" w:hAnsi="Verdana"/>
                <w:spacing w:val="-2"/>
                <w:sz w:val="18"/>
                <w:szCs w:val="18"/>
              </w:rPr>
              <w:t>organization</w:t>
            </w:r>
            <w:r w:rsidRPr="00EC75B7">
              <w:rPr>
                <w:rFonts w:ascii="Verdana" w:hAnsi="Verdana"/>
                <w:sz w:val="18"/>
                <w:szCs w:val="18"/>
              </w:rPr>
              <w:t xml:space="preserve"> area</w:t>
            </w:r>
          </w:p>
          <w:p w14:paraId="4134D92E" w14:textId="77777777" w:rsidR="008715BE" w:rsidRPr="00EC75B7" w:rsidRDefault="00000000">
            <w:pPr>
              <w:pStyle w:val="TableParagraph"/>
              <w:spacing w:line="237" w:lineRule="auto"/>
              <w:ind w:left="111" w:right="266"/>
              <w:rPr>
                <w:rFonts w:ascii="Verdana" w:hAnsi="Verdana"/>
                <w:sz w:val="18"/>
                <w:szCs w:val="18"/>
              </w:rPr>
            </w:pPr>
            <w:r w:rsidRPr="00EC75B7">
              <w:rPr>
                <w:rFonts w:ascii="Verdana" w:hAnsi="Verdana"/>
                <w:spacing w:val="-2"/>
                <w:sz w:val="18"/>
                <w:szCs w:val="18"/>
              </w:rPr>
              <w:t xml:space="preserve">+area </w:t>
            </w:r>
            <w:r w:rsidRPr="00EC75B7">
              <w:rPr>
                <w:rFonts w:ascii="Verdana" w:hAnsi="Verdana"/>
                <w:sz w:val="18"/>
                <w:szCs w:val="18"/>
              </w:rPr>
              <w:t xml:space="preserve">temporarily </w:t>
            </w:r>
            <w:r w:rsidRPr="00EC75B7">
              <w:rPr>
                <w:rFonts w:ascii="Verdana" w:hAnsi="Verdana"/>
                <w:spacing w:val="-2"/>
                <w:sz w:val="18"/>
                <w:szCs w:val="18"/>
              </w:rPr>
              <w:t xml:space="preserve">occupied </w:t>
            </w:r>
            <w:r w:rsidRPr="00EC75B7">
              <w:rPr>
                <w:rFonts w:ascii="Verdana" w:hAnsi="Verdana"/>
                <w:sz w:val="18"/>
                <w:szCs w:val="18"/>
              </w:rPr>
              <w:t xml:space="preserve">by </w:t>
            </w:r>
            <w:r w:rsidRPr="00EC75B7">
              <w:rPr>
                <w:rFonts w:ascii="Verdana" w:hAnsi="Verdana"/>
                <w:spacing w:val="-2"/>
                <w:sz w:val="18"/>
                <w:szCs w:val="18"/>
              </w:rPr>
              <w:t>trenches for cable installation</w:t>
            </w:r>
          </w:p>
          <w:p w14:paraId="237C993F" w14:textId="77777777" w:rsidR="008715BE" w:rsidRPr="00EC75B7" w:rsidRDefault="00000000">
            <w:pPr>
              <w:pStyle w:val="TableParagraph"/>
              <w:spacing w:line="142" w:lineRule="exact"/>
              <w:ind w:left="111"/>
              <w:rPr>
                <w:rFonts w:ascii="Verdana" w:hAnsi="Verdana"/>
                <w:sz w:val="18"/>
                <w:szCs w:val="18"/>
              </w:rPr>
            </w:pPr>
            <w:r w:rsidRPr="00EC75B7">
              <w:rPr>
                <w:rFonts w:ascii="Verdana" w:hAnsi="Verdana"/>
                <w:spacing w:val="-2"/>
                <w:sz w:val="18"/>
                <w:szCs w:val="18"/>
              </w:rPr>
              <w:t>cables</w:t>
            </w:r>
          </w:p>
        </w:tc>
        <w:tc>
          <w:tcPr>
            <w:tcW w:w="900" w:type="dxa"/>
          </w:tcPr>
          <w:p w14:paraId="7E0FD010" w14:textId="77777777" w:rsidR="008715BE" w:rsidRPr="00EC75B7" w:rsidRDefault="00000000">
            <w:pPr>
              <w:pStyle w:val="TableParagraph"/>
              <w:spacing w:before="8"/>
              <w:ind w:left="111" w:right="115"/>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2"/>
                <w:sz w:val="18"/>
                <w:szCs w:val="18"/>
              </w:rPr>
              <w:t xml:space="preserve">the behavior of the species </w:t>
            </w:r>
            <w:r w:rsidRPr="00EC75B7">
              <w:rPr>
                <w:rFonts w:ascii="Verdana" w:hAnsi="Verdana"/>
                <w:spacing w:val="-10"/>
                <w:sz w:val="18"/>
                <w:szCs w:val="18"/>
              </w:rPr>
              <w:t>observed</w:t>
            </w:r>
          </w:p>
          <w:p w14:paraId="3FADEF46" w14:textId="77777777" w:rsidR="008715BE" w:rsidRPr="00EC75B7" w:rsidRDefault="00000000">
            <w:pPr>
              <w:pStyle w:val="TableParagraph"/>
              <w:spacing w:line="161" w:lineRule="exact"/>
              <w:ind w:left="159"/>
              <w:rPr>
                <w:rFonts w:ascii="Verdana" w:hAnsi="Verdana"/>
                <w:sz w:val="18"/>
                <w:szCs w:val="18"/>
              </w:rPr>
            </w:pPr>
            <w:r w:rsidRPr="00EC75B7">
              <w:rPr>
                <w:rFonts w:ascii="Verdana" w:hAnsi="Verdana"/>
                <w:spacing w:val="-2"/>
                <w:sz w:val="18"/>
                <w:szCs w:val="18"/>
              </w:rPr>
              <w:t>GIS analysis</w:t>
            </w:r>
          </w:p>
          <w:p w14:paraId="0EC114D8" w14:textId="77777777" w:rsidR="008715BE" w:rsidRPr="00EC75B7" w:rsidRDefault="00000000">
            <w:pPr>
              <w:pStyle w:val="TableParagraph"/>
              <w:spacing w:line="171" w:lineRule="exact"/>
              <w:ind w:left="111"/>
              <w:rPr>
                <w:rFonts w:ascii="Verdana" w:hAnsi="Verdana"/>
                <w:sz w:val="18"/>
                <w:szCs w:val="18"/>
              </w:rPr>
            </w:pPr>
            <w:r w:rsidRPr="00EC75B7">
              <w:rPr>
                <w:rFonts w:ascii="Verdana" w:hAnsi="Verdana"/>
                <w:spacing w:val="-4"/>
                <w:sz w:val="18"/>
                <w:szCs w:val="18"/>
              </w:rPr>
              <w:t>GIS analysis.</w:t>
            </w:r>
          </w:p>
        </w:tc>
      </w:tr>
      <w:tr w:rsidR="008715BE" w:rsidRPr="00EC75B7" w14:paraId="30368F77" w14:textId="77777777">
        <w:trPr>
          <w:trHeight w:val="1871"/>
        </w:trPr>
        <w:tc>
          <w:tcPr>
            <w:tcW w:w="542" w:type="dxa"/>
            <w:vMerge/>
            <w:tcBorders>
              <w:top w:val="nil"/>
            </w:tcBorders>
            <w:textDirection w:val="btLr"/>
          </w:tcPr>
          <w:p w14:paraId="37846152" w14:textId="77777777" w:rsidR="008715BE" w:rsidRPr="00EC75B7" w:rsidRDefault="008715BE">
            <w:pPr>
              <w:rPr>
                <w:rFonts w:ascii="Verdana" w:hAnsi="Verdana"/>
                <w:sz w:val="18"/>
                <w:szCs w:val="18"/>
              </w:rPr>
            </w:pPr>
          </w:p>
        </w:tc>
        <w:tc>
          <w:tcPr>
            <w:tcW w:w="1800" w:type="dxa"/>
            <w:vMerge/>
            <w:tcBorders>
              <w:top w:val="nil"/>
            </w:tcBorders>
          </w:tcPr>
          <w:p w14:paraId="6C965CF4" w14:textId="77777777" w:rsidR="008715BE" w:rsidRPr="00EC75B7" w:rsidRDefault="008715BE">
            <w:pPr>
              <w:rPr>
                <w:rFonts w:ascii="Verdana" w:hAnsi="Verdana"/>
                <w:sz w:val="18"/>
                <w:szCs w:val="18"/>
              </w:rPr>
            </w:pPr>
          </w:p>
        </w:tc>
        <w:tc>
          <w:tcPr>
            <w:tcW w:w="1048" w:type="dxa"/>
          </w:tcPr>
          <w:p w14:paraId="5F78F87F"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2"/>
                <w:sz w:val="18"/>
                <w:szCs w:val="18"/>
              </w:rPr>
              <w:t xml:space="preserve">Increase </w:t>
            </w:r>
            <w:r w:rsidRPr="00EC75B7">
              <w:rPr>
                <w:rFonts w:ascii="Verdana" w:hAnsi="Verdana"/>
                <w:sz w:val="18"/>
                <w:szCs w:val="18"/>
              </w:rPr>
              <w:t xml:space="preserve">in </w:t>
            </w:r>
            <w:r w:rsidRPr="00EC75B7">
              <w:rPr>
                <w:rFonts w:ascii="Verdana" w:hAnsi="Verdana"/>
                <w:spacing w:val="-2"/>
                <w:sz w:val="18"/>
                <w:szCs w:val="18"/>
              </w:rPr>
              <w:t xml:space="preserve">noise </w:t>
            </w:r>
            <w:r w:rsidRPr="00EC75B7">
              <w:rPr>
                <w:rFonts w:ascii="Verdana" w:hAnsi="Verdana"/>
                <w:sz w:val="18"/>
                <w:szCs w:val="18"/>
              </w:rPr>
              <w:t>levels</w:t>
            </w:r>
          </w:p>
        </w:tc>
        <w:tc>
          <w:tcPr>
            <w:tcW w:w="1274" w:type="dxa"/>
          </w:tcPr>
          <w:p w14:paraId="3EE203B8"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PAS</w:t>
            </w:r>
          </w:p>
        </w:tc>
        <w:tc>
          <w:tcPr>
            <w:tcW w:w="993" w:type="dxa"/>
          </w:tcPr>
          <w:p w14:paraId="7FB56CAD"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6E1729F2"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identified</w:t>
            </w:r>
          </w:p>
        </w:tc>
        <w:tc>
          <w:tcPr>
            <w:tcW w:w="991" w:type="dxa"/>
          </w:tcPr>
          <w:p w14:paraId="09B127EC"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6C5537B6" w14:textId="77777777" w:rsidR="008715BE" w:rsidRPr="00EC75B7" w:rsidRDefault="00000000">
            <w:pPr>
              <w:pStyle w:val="TableParagraph"/>
              <w:spacing w:before="8"/>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vMerge/>
            <w:tcBorders>
              <w:top w:val="nil"/>
            </w:tcBorders>
          </w:tcPr>
          <w:p w14:paraId="1C473D0D" w14:textId="77777777" w:rsidR="008715BE" w:rsidRPr="00EC75B7" w:rsidRDefault="008715BE">
            <w:pPr>
              <w:rPr>
                <w:rFonts w:ascii="Verdana" w:hAnsi="Verdana"/>
                <w:sz w:val="18"/>
                <w:szCs w:val="18"/>
              </w:rPr>
            </w:pPr>
          </w:p>
        </w:tc>
        <w:tc>
          <w:tcPr>
            <w:tcW w:w="1440" w:type="dxa"/>
            <w:vMerge/>
            <w:tcBorders>
              <w:top w:val="nil"/>
            </w:tcBorders>
          </w:tcPr>
          <w:p w14:paraId="73FDDFFB" w14:textId="77777777" w:rsidR="008715BE" w:rsidRPr="00EC75B7" w:rsidRDefault="008715BE">
            <w:pPr>
              <w:rPr>
                <w:rFonts w:ascii="Verdana" w:hAnsi="Verdana"/>
                <w:sz w:val="18"/>
                <w:szCs w:val="18"/>
              </w:rPr>
            </w:pPr>
          </w:p>
        </w:tc>
        <w:tc>
          <w:tcPr>
            <w:tcW w:w="1080" w:type="dxa"/>
            <w:vMerge/>
            <w:tcBorders>
              <w:top w:val="nil"/>
            </w:tcBorders>
          </w:tcPr>
          <w:p w14:paraId="6D868C3A" w14:textId="77777777" w:rsidR="008715BE" w:rsidRPr="00EC75B7" w:rsidRDefault="008715BE">
            <w:pPr>
              <w:rPr>
                <w:rFonts w:ascii="Verdana" w:hAnsi="Verdana"/>
                <w:sz w:val="18"/>
                <w:szCs w:val="18"/>
              </w:rPr>
            </w:pPr>
          </w:p>
        </w:tc>
        <w:tc>
          <w:tcPr>
            <w:tcW w:w="989" w:type="dxa"/>
            <w:vMerge/>
            <w:tcBorders>
              <w:top w:val="nil"/>
            </w:tcBorders>
          </w:tcPr>
          <w:p w14:paraId="5DBE8A93" w14:textId="77777777" w:rsidR="008715BE" w:rsidRPr="00EC75B7" w:rsidRDefault="008715BE">
            <w:pPr>
              <w:rPr>
                <w:rFonts w:ascii="Verdana" w:hAnsi="Verdana"/>
                <w:sz w:val="18"/>
                <w:szCs w:val="18"/>
              </w:rPr>
            </w:pPr>
          </w:p>
        </w:tc>
        <w:tc>
          <w:tcPr>
            <w:tcW w:w="4140" w:type="dxa"/>
            <w:vMerge/>
            <w:tcBorders>
              <w:top w:val="nil"/>
            </w:tcBorders>
          </w:tcPr>
          <w:p w14:paraId="71D70CD4" w14:textId="77777777" w:rsidR="008715BE" w:rsidRPr="00EC75B7" w:rsidRDefault="008715BE">
            <w:pPr>
              <w:rPr>
                <w:rFonts w:ascii="Verdana" w:hAnsi="Verdana"/>
                <w:sz w:val="18"/>
                <w:szCs w:val="18"/>
              </w:rPr>
            </w:pPr>
          </w:p>
        </w:tc>
        <w:tc>
          <w:tcPr>
            <w:tcW w:w="1080" w:type="dxa"/>
          </w:tcPr>
          <w:p w14:paraId="621422A4"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Population size trend</w:t>
            </w:r>
          </w:p>
        </w:tc>
        <w:tc>
          <w:tcPr>
            <w:tcW w:w="1260" w:type="dxa"/>
          </w:tcPr>
          <w:p w14:paraId="3981D0B5" w14:textId="77777777" w:rsidR="008715BE" w:rsidRPr="00EC75B7" w:rsidRDefault="00000000">
            <w:pPr>
              <w:pStyle w:val="TableParagraph"/>
              <w:spacing w:before="8"/>
              <w:ind w:left="111" w:right="106"/>
              <w:rPr>
                <w:rFonts w:ascii="Verdana" w:hAnsi="Verdana"/>
                <w:sz w:val="18"/>
                <w:szCs w:val="18"/>
              </w:rPr>
            </w:pPr>
            <w:r w:rsidRPr="00EC75B7">
              <w:rPr>
                <w:rFonts w:ascii="Verdana" w:hAnsi="Verdana"/>
                <w:spacing w:val="-2"/>
                <w:sz w:val="18"/>
                <w:szCs w:val="18"/>
              </w:rPr>
              <w:t xml:space="preserve">Possible </w:t>
            </w:r>
            <w:r w:rsidRPr="00EC75B7">
              <w:rPr>
                <w:rFonts w:ascii="Verdana" w:hAnsi="Verdana"/>
                <w:sz w:val="18"/>
                <w:szCs w:val="18"/>
              </w:rPr>
              <w:t xml:space="preserve">disruption of the activity of a maximum of 2 </w:t>
            </w:r>
            <w:r w:rsidRPr="00EC75B7">
              <w:rPr>
                <w:rFonts w:ascii="Verdana" w:hAnsi="Verdana"/>
                <w:spacing w:val="-4"/>
                <w:sz w:val="18"/>
                <w:szCs w:val="18"/>
              </w:rPr>
              <w:t>to</w:t>
            </w:r>
          </w:p>
          <w:p w14:paraId="44309582" w14:textId="77777777" w:rsidR="008715BE" w:rsidRPr="00EC75B7" w:rsidRDefault="00000000">
            <w:pPr>
              <w:pStyle w:val="TableParagraph"/>
              <w:ind w:left="111" w:right="124"/>
              <w:rPr>
                <w:rFonts w:ascii="Verdana" w:hAnsi="Verdana"/>
                <w:sz w:val="18"/>
                <w:szCs w:val="18"/>
              </w:rPr>
            </w:pPr>
            <w:r w:rsidRPr="00EC75B7">
              <w:rPr>
                <w:rFonts w:ascii="Verdana" w:hAnsi="Verdana"/>
                <w:sz w:val="18"/>
                <w:szCs w:val="18"/>
              </w:rPr>
              <w:t>to 3 individuals The effects will be felt locally, at distances that are not</w:t>
            </w:r>
          </w:p>
          <w:p w14:paraId="16E46955" w14:textId="77777777" w:rsidR="008715BE" w:rsidRPr="00EC75B7" w:rsidRDefault="00000000">
            <w:pPr>
              <w:pStyle w:val="TableParagraph"/>
              <w:spacing w:line="139" w:lineRule="exact"/>
              <w:ind w:left="111"/>
              <w:rPr>
                <w:rFonts w:ascii="Verdana" w:hAnsi="Verdana"/>
                <w:sz w:val="18"/>
                <w:szCs w:val="18"/>
              </w:rPr>
            </w:pPr>
            <w:r w:rsidRPr="00EC75B7">
              <w:rPr>
                <w:rFonts w:ascii="Verdana" w:hAnsi="Verdana"/>
                <w:sz w:val="18"/>
                <w:szCs w:val="18"/>
              </w:rPr>
              <w:t xml:space="preserve">able </w:t>
            </w:r>
            <w:r w:rsidRPr="00EC75B7">
              <w:rPr>
                <w:rFonts w:ascii="Verdana" w:hAnsi="Verdana"/>
                <w:spacing w:val="-5"/>
                <w:sz w:val="18"/>
                <w:szCs w:val="18"/>
              </w:rPr>
              <w:t>to</w:t>
            </w:r>
          </w:p>
        </w:tc>
        <w:tc>
          <w:tcPr>
            <w:tcW w:w="900" w:type="dxa"/>
          </w:tcPr>
          <w:p w14:paraId="53A991D5" w14:textId="77777777" w:rsidR="008715BE" w:rsidRPr="00EC75B7" w:rsidRDefault="00000000">
            <w:pPr>
              <w:pStyle w:val="TableParagraph"/>
              <w:spacing w:before="8"/>
              <w:ind w:left="111" w:right="35"/>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2"/>
                <w:sz w:val="18"/>
                <w:szCs w:val="18"/>
              </w:rPr>
              <w:t>the behavior</w:t>
            </w:r>
          </w:p>
          <w:p w14:paraId="2B4C7BCF" w14:textId="77777777" w:rsidR="008715BE" w:rsidRPr="00EC75B7" w:rsidRDefault="00000000">
            <w:pPr>
              <w:pStyle w:val="TableParagraph"/>
              <w:spacing w:line="134" w:lineRule="exact"/>
              <w:ind w:left="111"/>
              <w:rPr>
                <w:rFonts w:ascii="Verdana" w:hAnsi="Verdana"/>
                <w:sz w:val="18"/>
                <w:szCs w:val="18"/>
              </w:rPr>
            </w:pPr>
            <w:r w:rsidRPr="00EC75B7">
              <w:rPr>
                <w:rFonts w:ascii="Verdana" w:hAnsi="Verdana"/>
                <w:spacing w:val="-2"/>
                <w:sz w:val="18"/>
                <w:szCs w:val="18"/>
              </w:rPr>
              <w:t>ment</w:t>
            </w:r>
          </w:p>
        </w:tc>
      </w:tr>
    </w:tbl>
    <w:p w14:paraId="382A84D9" w14:textId="77777777" w:rsidR="008715BE" w:rsidRPr="00EC75B7" w:rsidRDefault="008715BE">
      <w:pPr>
        <w:pStyle w:val="TableParagraph"/>
        <w:spacing w:line="134" w:lineRule="exact"/>
        <w:rPr>
          <w:rFonts w:ascii="Verdana" w:hAnsi="Verdana"/>
          <w:sz w:val="18"/>
          <w:szCs w:val="18"/>
        </w:rPr>
        <w:sectPr w:rsidR="008715BE" w:rsidRPr="00EC75B7">
          <w:pgSz w:w="23820" w:h="16840" w:orient="landscape"/>
          <w:pgMar w:top="1120" w:right="850" w:bottom="1020" w:left="566" w:header="766" w:footer="810" w:gutter="0"/>
          <w:cols w:space="708"/>
        </w:sectPr>
      </w:pPr>
    </w:p>
    <w:p w14:paraId="523750A6" w14:textId="77777777" w:rsidR="008715BE" w:rsidRPr="00EC75B7" w:rsidRDefault="008715BE">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8715BE" w:rsidRPr="00EC75B7" w14:paraId="2D9B1ADD" w14:textId="77777777">
        <w:trPr>
          <w:trHeight w:val="842"/>
        </w:trPr>
        <w:tc>
          <w:tcPr>
            <w:tcW w:w="2342" w:type="dxa"/>
            <w:gridSpan w:val="2"/>
            <w:shd w:val="clear" w:color="auto" w:fill="00A1E8"/>
          </w:tcPr>
          <w:p w14:paraId="2F1DC5A6" w14:textId="77777777" w:rsidR="008715BE" w:rsidRPr="00EC75B7" w:rsidRDefault="008715BE">
            <w:pPr>
              <w:pStyle w:val="TableParagraph"/>
              <w:rPr>
                <w:rFonts w:ascii="Verdana" w:hAnsi="Verdana"/>
                <w:b/>
                <w:sz w:val="18"/>
                <w:szCs w:val="18"/>
              </w:rPr>
            </w:pPr>
          </w:p>
          <w:p w14:paraId="243446E0" w14:textId="77777777" w:rsidR="008715BE" w:rsidRPr="00EC75B7" w:rsidRDefault="008715BE">
            <w:pPr>
              <w:pStyle w:val="TableParagraph"/>
              <w:spacing w:before="2"/>
              <w:rPr>
                <w:rFonts w:ascii="Verdana" w:hAnsi="Verdana"/>
                <w:b/>
                <w:sz w:val="18"/>
                <w:szCs w:val="18"/>
              </w:rPr>
            </w:pPr>
          </w:p>
          <w:p w14:paraId="048FC37D" w14:textId="77777777" w:rsidR="008715BE" w:rsidRPr="00EC75B7" w:rsidRDefault="00000000">
            <w:pPr>
              <w:pStyle w:val="TableParagraph"/>
              <w:ind w:left="724"/>
              <w:rPr>
                <w:rFonts w:ascii="Verdana" w:hAnsi="Verdana"/>
                <w:b/>
                <w:sz w:val="18"/>
                <w:szCs w:val="18"/>
              </w:rPr>
            </w:pPr>
            <w:r w:rsidRPr="00EC75B7">
              <w:rPr>
                <w:rFonts w:ascii="Verdana" w:hAnsi="Verdana"/>
                <w:b/>
                <w:color w:val="FFFFFF"/>
                <w:spacing w:val="-2"/>
                <w:sz w:val="18"/>
                <w:szCs w:val="18"/>
              </w:rPr>
              <w:t>Intervention</w:t>
            </w:r>
          </w:p>
        </w:tc>
        <w:tc>
          <w:tcPr>
            <w:tcW w:w="1048" w:type="dxa"/>
            <w:shd w:val="clear" w:color="auto" w:fill="00A1E8"/>
          </w:tcPr>
          <w:p w14:paraId="1A4B4A29" w14:textId="77777777" w:rsidR="008715BE" w:rsidRPr="00EC75B7" w:rsidRDefault="008715BE">
            <w:pPr>
              <w:pStyle w:val="TableParagraph"/>
              <w:rPr>
                <w:rFonts w:ascii="Verdana" w:hAnsi="Verdana"/>
                <w:b/>
                <w:sz w:val="18"/>
                <w:szCs w:val="18"/>
              </w:rPr>
            </w:pPr>
          </w:p>
          <w:p w14:paraId="5568BFC4" w14:textId="77777777" w:rsidR="008715BE" w:rsidRPr="00EC75B7" w:rsidRDefault="008715BE">
            <w:pPr>
              <w:pStyle w:val="TableParagraph"/>
              <w:spacing w:before="2"/>
              <w:rPr>
                <w:rFonts w:ascii="Verdana" w:hAnsi="Verdana"/>
                <w:b/>
                <w:sz w:val="18"/>
                <w:szCs w:val="18"/>
              </w:rPr>
            </w:pPr>
          </w:p>
          <w:p w14:paraId="2E9196E0" w14:textId="77777777" w:rsidR="008715BE" w:rsidRPr="00EC75B7" w:rsidRDefault="00000000">
            <w:pPr>
              <w:pStyle w:val="TableParagraph"/>
              <w:ind w:left="278"/>
              <w:rPr>
                <w:rFonts w:ascii="Verdana" w:hAnsi="Verdana"/>
                <w:b/>
                <w:sz w:val="18"/>
                <w:szCs w:val="18"/>
              </w:rPr>
            </w:pPr>
            <w:r w:rsidRPr="00EC75B7">
              <w:rPr>
                <w:rFonts w:ascii="Verdana" w:hAnsi="Verdana"/>
                <w:b/>
                <w:color w:val="FFFFFF"/>
                <w:spacing w:val="-2"/>
                <w:sz w:val="18"/>
                <w:szCs w:val="18"/>
              </w:rPr>
              <w:t>Effects</w:t>
            </w:r>
          </w:p>
        </w:tc>
        <w:tc>
          <w:tcPr>
            <w:tcW w:w="1274" w:type="dxa"/>
            <w:shd w:val="clear" w:color="auto" w:fill="00A1E8"/>
          </w:tcPr>
          <w:p w14:paraId="2255CC98" w14:textId="77777777" w:rsidR="008715BE" w:rsidRPr="00EC75B7" w:rsidRDefault="008715BE">
            <w:pPr>
              <w:pStyle w:val="TableParagraph"/>
              <w:spacing w:before="90"/>
              <w:rPr>
                <w:rFonts w:ascii="Verdana" w:hAnsi="Verdana"/>
                <w:b/>
                <w:sz w:val="18"/>
                <w:szCs w:val="18"/>
              </w:rPr>
            </w:pPr>
          </w:p>
          <w:p w14:paraId="5096A60E" w14:textId="77777777" w:rsidR="008715BE" w:rsidRPr="00EC75B7" w:rsidRDefault="00000000">
            <w:pPr>
              <w:pStyle w:val="TableParagraph"/>
              <w:spacing w:line="237" w:lineRule="auto"/>
              <w:ind w:left="363" w:hanging="116"/>
              <w:rPr>
                <w:rFonts w:ascii="Verdana" w:hAnsi="Verdana"/>
                <w:b/>
                <w:sz w:val="18"/>
                <w:szCs w:val="18"/>
              </w:rPr>
            </w:pPr>
            <w:r w:rsidRPr="00EC75B7">
              <w:rPr>
                <w:rFonts w:ascii="Verdana" w:hAnsi="Verdana"/>
                <w:b/>
                <w:color w:val="FFFFFF"/>
                <w:spacing w:val="-2"/>
                <w:sz w:val="18"/>
                <w:szCs w:val="18"/>
              </w:rPr>
              <w:t>Direct impacts</w:t>
            </w:r>
          </w:p>
        </w:tc>
        <w:tc>
          <w:tcPr>
            <w:tcW w:w="993" w:type="dxa"/>
            <w:shd w:val="clear" w:color="auto" w:fill="00A1E8"/>
          </w:tcPr>
          <w:p w14:paraId="3E6D41D3" w14:textId="77777777" w:rsidR="008715BE" w:rsidRPr="00EC75B7" w:rsidRDefault="008715BE">
            <w:pPr>
              <w:pStyle w:val="TableParagraph"/>
              <w:spacing w:before="2"/>
              <w:rPr>
                <w:rFonts w:ascii="Verdana" w:hAnsi="Verdana"/>
                <w:b/>
                <w:sz w:val="18"/>
                <w:szCs w:val="18"/>
              </w:rPr>
            </w:pPr>
          </w:p>
          <w:p w14:paraId="00831439" w14:textId="77777777" w:rsidR="008715BE" w:rsidRPr="00EC75B7" w:rsidRDefault="00000000">
            <w:pPr>
              <w:pStyle w:val="TableParagraph"/>
              <w:spacing w:before="1"/>
              <w:ind w:left="131" w:right="120"/>
              <w:jc w:val="center"/>
              <w:rPr>
                <w:rFonts w:ascii="Verdana" w:hAnsi="Verdana"/>
                <w:b/>
                <w:sz w:val="18"/>
                <w:szCs w:val="18"/>
              </w:rPr>
            </w:pPr>
            <w:r w:rsidRPr="00EC75B7">
              <w:rPr>
                <w:rFonts w:ascii="Verdana" w:hAnsi="Verdana"/>
                <w:b/>
                <w:color w:val="FFFFFF"/>
                <w:spacing w:val="-2"/>
                <w:sz w:val="18"/>
                <w:szCs w:val="18"/>
              </w:rPr>
              <w:t>Indirect impacts</w:t>
            </w:r>
          </w:p>
        </w:tc>
        <w:tc>
          <w:tcPr>
            <w:tcW w:w="708" w:type="dxa"/>
            <w:shd w:val="clear" w:color="auto" w:fill="00A1E8"/>
          </w:tcPr>
          <w:p w14:paraId="3FAB76A5" w14:textId="77777777" w:rsidR="008715BE" w:rsidRPr="00EC75B7" w:rsidRDefault="00000000">
            <w:pPr>
              <w:pStyle w:val="TableParagraph"/>
              <w:spacing w:before="91" w:line="237" w:lineRule="auto"/>
              <w:ind w:left="124" w:right="114" w:firstLine="21"/>
              <w:jc w:val="both"/>
              <w:rPr>
                <w:rFonts w:ascii="Verdana" w:hAnsi="Verdana"/>
                <w:b/>
                <w:sz w:val="18"/>
                <w:szCs w:val="18"/>
              </w:rPr>
            </w:pPr>
            <w:r w:rsidRPr="00EC75B7">
              <w:rPr>
                <w:rFonts w:ascii="Verdana" w:hAnsi="Verdana"/>
                <w:b/>
                <w:color w:val="FFFFFF"/>
                <w:spacing w:val="-2"/>
                <w:sz w:val="18"/>
                <w:szCs w:val="18"/>
              </w:rPr>
              <w:t xml:space="preserve">Secondary </w:t>
            </w:r>
            <w:r w:rsidRPr="00EC75B7">
              <w:rPr>
                <w:rFonts w:ascii="Verdana" w:hAnsi="Verdana"/>
                <w:b/>
                <w:color w:val="FFFFFF"/>
                <w:spacing w:val="-4"/>
                <w:sz w:val="18"/>
                <w:szCs w:val="18"/>
              </w:rPr>
              <w:t>impacts</w:t>
            </w:r>
          </w:p>
        </w:tc>
        <w:tc>
          <w:tcPr>
            <w:tcW w:w="991" w:type="dxa"/>
            <w:shd w:val="clear" w:color="auto" w:fill="00A1E8"/>
          </w:tcPr>
          <w:p w14:paraId="2FF36AAA" w14:textId="77777777" w:rsidR="008715BE" w:rsidRPr="00EC75B7" w:rsidRDefault="00000000">
            <w:pPr>
              <w:pStyle w:val="TableParagraph"/>
              <w:spacing w:before="91" w:line="237" w:lineRule="auto"/>
              <w:ind w:left="111" w:right="96"/>
              <w:jc w:val="center"/>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pacing w:val="-10"/>
                <w:sz w:val="18"/>
                <w:szCs w:val="18"/>
              </w:rPr>
              <w:t>impacts</w:t>
            </w:r>
          </w:p>
        </w:tc>
        <w:tc>
          <w:tcPr>
            <w:tcW w:w="1277" w:type="dxa"/>
            <w:shd w:val="clear" w:color="auto" w:fill="00A1E8"/>
          </w:tcPr>
          <w:p w14:paraId="284FCF14" w14:textId="77777777" w:rsidR="008715BE" w:rsidRPr="00EC75B7" w:rsidRDefault="00000000">
            <w:pPr>
              <w:pStyle w:val="TableParagraph"/>
              <w:spacing w:before="91" w:line="237" w:lineRule="auto"/>
              <w:ind w:left="250" w:right="198" w:hanging="40"/>
              <w:jc w:val="center"/>
              <w:rPr>
                <w:rFonts w:ascii="Verdana" w:hAnsi="Verdana"/>
                <w:b/>
                <w:sz w:val="18"/>
                <w:szCs w:val="18"/>
              </w:rPr>
            </w:pPr>
            <w:r w:rsidRPr="00EC75B7">
              <w:rPr>
                <w:rFonts w:ascii="Verdana" w:hAnsi="Verdana"/>
                <w:b/>
                <w:color w:val="FFFFFF"/>
                <w:sz w:val="18"/>
                <w:szCs w:val="18"/>
              </w:rPr>
              <w:t xml:space="preserve">Short- and </w:t>
            </w:r>
            <w:r w:rsidRPr="00EC75B7">
              <w:rPr>
                <w:rFonts w:ascii="Verdana" w:hAnsi="Verdana"/>
                <w:b/>
                <w:color w:val="FFFFFF"/>
                <w:spacing w:val="-4"/>
                <w:sz w:val="18"/>
                <w:szCs w:val="18"/>
              </w:rPr>
              <w:t>long</w:t>
            </w:r>
            <w:r w:rsidRPr="00EC75B7">
              <w:rPr>
                <w:rFonts w:ascii="Verdana" w:hAnsi="Verdana"/>
                <w:b/>
                <w:color w:val="FFFFFF"/>
                <w:sz w:val="18"/>
                <w:szCs w:val="18"/>
              </w:rPr>
              <w:t>-term</w:t>
            </w:r>
            <w:r w:rsidRPr="00EC75B7">
              <w:rPr>
                <w:rFonts w:ascii="Verdana" w:hAnsi="Verdana"/>
                <w:b/>
                <w:color w:val="FFFFFF"/>
                <w:spacing w:val="-2"/>
                <w:sz w:val="18"/>
                <w:szCs w:val="18"/>
              </w:rPr>
              <w:t xml:space="preserve"> impacts</w:t>
            </w:r>
          </w:p>
        </w:tc>
        <w:tc>
          <w:tcPr>
            <w:tcW w:w="10357" w:type="dxa"/>
            <w:gridSpan w:val="5"/>
            <w:shd w:val="clear" w:color="auto" w:fill="00A1E8"/>
          </w:tcPr>
          <w:p w14:paraId="18C80B82" w14:textId="77777777" w:rsidR="008715BE" w:rsidRPr="00EC75B7" w:rsidRDefault="008715BE">
            <w:pPr>
              <w:pStyle w:val="TableParagraph"/>
              <w:rPr>
                <w:rFonts w:ascii="Verdana" w:hAnsi="Verdana"/>
                <w:b/>
                <w:sz w:val="18"/>
                <w:szCs w:val="18"/>
              </w:rPr>
            </w:pPr>
          </w:p>
          <w:p w14:paraId="4D6E3A84" w14:textId="77777777" w:rsidR="008715BE" w:rsidRPr="00EC75B7" w:rsidRDefault="008715BE">
            <w:pPr>
              <w:pStyle w:val="TableParagraph"/>
              <w:spacing w:before="2"/>
              <w:rPr>
                <w:rFonts w:ascii="Verdana" w:hAnsi="Verdana"/>
                <w:b/>
                <w:sz w:val="18"/>
                <w:szCs w:val="18"/>
              </w:rPr>
            </w:pPr>
          </w:p>
          <w:p w14:paraId="18C7ADF3"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Species</w:t>
            </w:r>
          </w:p>
        </w:tc>
        <w:tc>
          <w:tcPr>
            <w:tcW w:w="1080" w:type="dxa"/>
            <w:shd w:val="clear" w:color="auto" w:fill="00A1E8"/>
          </w:tcPr>
          <w:p w14:paraId="3F690E81" w14:textId="77777777" w:rsidR="008715BE" w:rsidRPr="00EC75B7" w:rsidRDefault="00000000">
            <w:pPr>
              <w:pStyle w:val="TableParagraph"/>
              <w:spacing w:before="89" w:line="171" w:lineRule="exact"/>
              <w:ind w:left="110" w:right="95"/>
              <w:jc w:val="center"/>
              <w:rPr>
                <w:rFonts w:ascii="Verdana" w:hAnsi="Verdana"/>
                <w:b/>
                <w:sz w:val="18"/>
                <w:szCs w:val="18"/>
              </w:rPr>
            </w:pPr>
            <w:r w:rsidRPr="00EC75B7">
              <w:rPr>
                <w:rFonts w:ascii="Verdana" w:hAnsi="Verdana"/>
                <w:b/>
                <w:color w:val="FFFFFF"/>
                <w:spacing w:val="-2"/>
                <w:sz w:val="18"/>
                <w:szCs w:val="18"/>
              </w:rPr>
              <w:t>Parameter</w:t>
            </w:r>
          </w:p>
          <w:p w14:paraId="3C5E52CA" w14:textId="77777777" w:rsidR="008715BE" w:rsidRPr="00EC75B7" w:rsidRDefault="00000000">
            <w:pPr>
              <w:pStyle w:val="TableParagraph"/>
              <w:spacing w:line="169" w:lineRule="exact"/>
              <w:ind w:left="16"/>
              <w:jc w:val="center"/>
              <w:rPr>
                <w:rFonts w:ascii="Verdana" w:hAnsi="Verdana"/>
                <w:b/>
                <w:sz w:val="18"/>
                <w:szCs w:val="18"/>
              </w:rPr>
            </w:pPr>
            <w:r w:rsidRPr="00EC75B7">
              <w:rPr>
                <w:rFonts w:ascii="Verdana" w:hAnsi="Verdana"/>
                <w:b/>
                <w:color w:val="FFFFFF"/>
                <w:spacing w:val="-10"/>
                <w:sz w:val="18"/>
                <w:szCs w:val="18"/>
              </w:rPr>
              <w:t>/</w:t>
            </w:r>
          </w:p>
          <w:p w14:paraId="099AE6C1" w14:textId="77777777" w:rsidR="008715BE" w:rsidRPr="00EC75B7" w:rsidRDefault="00000000">
            <w:pPr>
              <w:pStyle w:val="TableParagraph"/>
              <w:ind w:left="221" w:right="207" w:firstLine="1"/>
              <w:jc w:val="center"/>
              <w:rPr>
                <w:rFonts w:ascii="Verdana" w:hAnsi="Verdana"/>
                <w:b/>
                <w:sz w:val="18"/>
                <w:szCs w:val="18"/>
              </w:rPr>
            </w:pPr>
            <w:r w:rsidRPr="00EC75B7">
              <w:rPr>
                <w:rFonts w:ascii="Verdana" w:hAnsi="Verdana"/>
                <w:b/>
                <w:color w:val="FFFFFF"/>
                <w:spacing w:val="-2"/>
                <w:sz w:val="18"/>
                <w:szCs w:val="18"/>
              </w:rPr>
              <w:t>Affected target</w:t>
            </w:r>
          </w:p>
        </w:tc>
        <w:tc>
          <w:tcPr>
            <w:tcW w:w="1260" w:type="dxa"/>
            <w:shd w:val="clear" w:color="auto" w:fill="00A1E8"/>
          </w:tcPr>
          <w:p w14:paraId="169325A6" w14:textId="77777777" w:rsidR="008715BE" w:rsidRPr="00EC75B7" w:rsidRDefault="008715BE">
            <w:pPr>
              <w:pStyle w:val="TableParagraph"/>
              <w:spacing w:before="90"/>
              <w:rPr>
                <w:rFonts w:ascii="Verdana" w:hAnsi="Verdana"/>
                <w:b/>
                <w:sz w:val="18"/>
                <w:szCs w:val="18"/>
              </w:rPr>
            </w:pPr>
          </w:p>
          <w:p w14:paraId="2618193D" w14:textId="77777777" w:rsidR="008715BE" w:rsidRPr="00EC75B7" w:rsidRDefault="00000000">
            <w:pPr>
              <w:pStyle w:val="TableParagraph"/>
              <w:spacing w:line="237" w:lineRule="auto"/>
              <w:ind w:left="365" w:hanging="209"/>
              <w:rPr>
                <w:rFonts w:ascii="Verdana" w:hAnsi="Verdana"/>
                <w:b/>
                <w:sz w:val="18"/>
                <w:szCs w:val="18"/>
              </w:rPr>
            </w:pPr>
            <w:r w:rsidRPr="00EC75B7">
              <w:rPr>
                <w:rFonts w:ascii="Verdana" w:hAnsi="Verdana"/>
                <w:b/>
                <w:color w:val="FFFFFF"/>
                <w:spacing w:val="-2"/>
                <w:sz w:val="18"/>
                <w:szCs w:val="18"/>
              </w:rPr>
              <w:t>Impact quantification</w:t>
            </w:r>
          </w:p>
        </w:tc>
        <w:tc>
          <w:tcPr>
            <w:tcW w:w="900" w:type="dxa"/>
            <w:shd w:val="clear" w:color="auto" w:fill="00A1E8"/>
          </w:tcPr>
          <w:p w14:paraId="058CFB07" w14:textId="77777777" w:rsidR="008715BE" w:rsidRPr="00EC75B7" w:rsidRDefault="008715BE">
            <w:pPr>
              <w:pStyle w:val="TableParagraph"/>
              <w:spacing w:before="2"/>
              <w:rPr>
                <w:rFonts w:ascii="Verdana" w:hAnsi="Verdana"/>
                <w:b/>
                <w:sz w:val="18"/>
                <w:szCs w:val="18"/>
              </w:rPr>
            </w:pPr>
          </w:p>
          <w:p w14:paraId="0C86E20F" w14:textId="77777777" w:rsidR="008715BE" w:rsidRPr="00EC75B7" w:rsidRDefault="00000000">
            <w:pPr>
              <w:pStyle w:val="TableParagraph"/>
              <w:spacing w:before="1"/>
              <w:ind w:left="113" w:right="100" w:firstLine="1"/>
              <w:jc w:val="center"/>
              <w:rPr>
                <w:rFonts w:ascii="Verdana" w:hAnsi="Verdana"/>
                <w:b/>
                <w:sz w:val="18"/>
                <w:szCs w:val="18"/>
              </w:rPr>
            </w:pPr>
            <w:r w:rsidRPr="00EC75B7">
              <w:rPr>
                <w:rFonts w:ascii="Verdana" w:hAnsi="Verdana"/>
                <w:b/>
                <w:color w:val="FFFFFF"/>
                <w:spacing w:val="-4"/>
                <w:sz w:val="18"/>
                <w:szCs w:val="18"/>
              </w:rPr>
              <w:t xml:space="preserve">Method </w:t>
            </w:r>
            <w:r w:rsidRPr="00EC75B7">
              <w:rPr>
                <w:rFonts w:ascii="Verdana" w:hAnsi="Verdana"/>
                <w:b/>
                <w:color w:val="FFFFFF"/>
                <w:sz w:val="18"/>
                <w:szCs w:val="18"/>
              </w:rPr>
              <w:t xml:space="preserve">of </w:t>
            </w:r>
            <w:r w:rsidRPr="00EC75B7">
              <w:rPr>
                <w:rFonts w:ascii="Verdana" w:hAnsi="Verdana"/>
                <w:b/>
                <w:color w:val="FFFFFF"/>
                <w:spacing w:val="-2"/>
                <w:sz w:val="18"/>
                <w:szCs w:val="18"/>
              </w:rPr>
              <w:t>quantification</w:t>
            </w:r>
          </w:p>
        </w:tc>
      </w:tr>
      <w:tr w:rsidR="008715BE" w:rsidRPr="00EC75B7" w14:paraId="05A651C2" w14:textId="77777777">
        <w:trPr>
          <w:trHeight w:val="2039"/>
        </w:trPr>
        <w:tc>
          <w:tcPr>
            <w:tcW w:w="542" w:type="dxa"/>
            <w:vMerge w:val="restart"/>
          </w:tcPr>
          <w:p w14:paraId="326259B7" w14:textId="77777777" w:rsidR="008715BE" w:rsidRPr="00EC75B7" w:rsidRDefault="008715BE">
            <w:pPr>
              <w:pStyle w:val="TableParagraph"/>
              <w:rPr>
                <w:rFonts w:ascii="Verdana" w:hAnsi="Verdana"/>
                <w:sz w:val="18"/>
                <w:szCs w:val="18"/>
              </w:rPr>
            </w:pPr>
          </w:p>
        </w:tc>
        <w:tc>
          <w:tcPr>
            <w:tcW w:w="1800" w:type="dxa"/>
          </w:tcPr>
          <w:p w14:paraId="02189BA0" w14:textId="77777777" w:rsidR="008715BE" w:rsidRPr="00EC75B7" w:rsidRDefault="008715BE">
            <w:pPr>
              <w:pStyle w:val="TableParagraph"/>
              <w:rPr>
                <w:rFonts w:ascii="Verdana" w:hAnsi="Verdana"/>
                <w:sz w:val="18"/>
                <w:szCs w:val="18"/>
              </w:rPr>
            </w:pPr>
          </w:p>
        </w:tc>
        <w:tc>
          <w:tcPr>
            <w:tcW w:w="1048" w:type="dxa"/>
          </w:tcPr>
          <w:p w14:paraId="0516E9F3" w14:textId="77777777" w:rsidR="008715BE" w:rsidRPr="00EC75B7" w:rsidRDefault="008715BE">
            <w:pPr>
              <w:pStyle w:val="TableParagraph"/>
              <w:rPr>
                <w:rFonts w:ascii="Verdana" w:hAnsi="Verdana"/>
                <w:sz w:val="18"/>
                <w:szCs w:val="18"/>
              </w:rPr>
            </w:pPr>
          </w:p>
        </w:tc>
        <w:tc>
          <w:tcPr>
            <w:tcW w:w="1274" w:type="dxa"/>
          </w:tcPr>
          <w:p w14:paraId="5B19B1D2" w14:textId="77777777" w:rsidR="008715BE" w:rsidRPr="00EC75B7" w:rsidRDefault="008715BE">
            <w:pPr>
              <w:pStyle w:val="TableParagraph"/>
              <w:rPr>
                <w:rFonts w:ascii="Verdana" w:hAnsi="Verdana"/>
                <w:sz w:val="18"/>
                <w:szCs w:val="18"/>
              </w:rPr>
            </w:pPr>
          </w:p>
        </w:tc>
        <w:tc>
          <w:tcPr>
            <w:tcW w:w="993" w:type="dxa"/>
          </w:tcPr>
          <w:p w14:paraId="03C7AC03" w14:textId="77777777" w:rsidR="008715BE" w:rsidRPr="00EC75B7" w:rsidRDefault="008715BE">
            <w:pPr>
              <w:pStyle w:val="TableParagraph"/>
              <w:rPr>
                <w:rFonts w:ascii="Verdana" w:hAnsi="Verdana"/>
                <w:sz w:val="18"/>
                <w:szCs w:val="18"/>
              </w:rPr>
            </w:pPr>
          </w:p>
        </w:tc>
        <w:tc>
          <w:tcPr>
            <w:tcW w:w="708" w:type="dxa"/>
          </w:tcPr>
          <w:p w14:paraId="1E1E9468" w14:textId="77777777" w:rsidR="008715BE" w:rsidRPr="00EC75B7" w:rsidRDefault="008715BE">
            <w:pPr>
              <w:pStyle w:val="TableParagraph"/>
              <w:rPr>
                <w:rFonts w:ascii="Verdana" w:hAnsi="Verdana"/>
                <w:sz w:val="18"/>
                <w:szCs w:val="18"/>
              </w:rPr>
            </w:pPr>
          </w:p>
        </w:tc>
        <w:tc>
          <w:tcPr>
            <w:tcW w:w="991" w:type="dxa"/>
          </w:tcPr>
          <w:p w14:paraId="16301ECB" w14:textId="77777777" w:rsidR="008715BE" w:rsidRPr="00EC75B7" w:rsidRDefault="008715BE">
            <w:pPr>
              <w:pStyle w:val="TableParagraph"/>
              <w:rPr>
                <w:rFonts w:ascii="Verdana" w:hAnsi="Verdana"/>
                <w:sz w:val="18"/>
                <w:szCs w:val="18"/>
              </w:rPr>
            </w:pPr>
          </w:p>
        </w:tc>
        <w:tc>
          <w:tcPr>
            <w:tcW w:w="1277" w:type="dxa"/>
          </w:tcPr>
          <w:p w14:paraId="4F1A1063" w14:textId="77777777" w:rsidR="008715BE" w:rsidRPr="00EC75B7" w:rsidRDefault="008715BE">
            <w:pPr>
              <w:pStyle w:val="TableParagraph"/>
              <w:rPr>
                <w:rFonts w:ascii="Verdana" w:hAnsi="Verdana"/>
                <w:sz w:val="18"/>
                <w:szCs w:val="18"/>
              </w:rPr>
            </w:pPr>
          </w:p>
        </w:tc>
        <w:tc>
          <w:tcPr>
            <w:tcW w:w="2708" w:type="dxa"/>
            <w:vMerge w:val="restart"/>
          </w:tcPr>
          <w:p w14:paraId="35F37A1C" w14:textId="77777777" w:rsidR="008715BE" w:rsidRPr="00EC75B7" w:rsidRDefault="008715BE">
            <w:pPr>
              <w:pStyle w:val="TableParagraph"/>
              <w:rPr>
                <w:rFonts w:ascii="Verdana" w:hAnsi="Verdana"/>
                <w:sz w:val="18"/>
                <w:szCs w:val="18"/>
              </w:rPr>
            </w:pPr>
          </w:p>
        </w:tc>
        <w:tc>
          <w:tcPr>
            <w:tcW w:w="1440" w:type="dxa"/>
            <w:vMerge w:val="restart"/>
          </w:tcPr>
          <w:p w14:paraId="58A05D56" w14:textId="77777777" w:rsidR="008715BE" w:rsidRPr="00EC75B7" w:rsidRDefault="008715BE">
            <w:pPr>
              <w:pStyle w:val="TableParagraph"/>
              <w:rPr>
                <w:rFonts w:ascii="Verdana" w:hAnsi="Verdana"/>
                <w:sz w:val="18"/>
                <w:szCs w:val="18"/>
              </w:rPr>
            </w:pPr>
          </w:p>
        </w:tc>
        <w:tc>
          <w:tcPr>
            <w:tcW w:w="1080" w:type="dxa"/>
            <w:vMerge w:val="restart"/>
          </w:tcPr>
          <w:p w14:paraId="1B298BEE" w14:textId="77777777" w:rsidR="008715BE" w:rsidRPr="00EC75B7" w:rsidRDefault="008715BE">
            <w:pPr>
              <w:pStyle w:val="TableParagraph"/>
              <w:rPr>
                <w:rFonts w:ascii="Verdana" w:hAnsi="Verdana"/>
                <w:sz w:val="18"/>
                <w:szCs w:val="18"/>
              </w:rPr>
            </w:pPr>
          </w:p>
        </w:tc>
        <w:tc>
          <w:tcPr>
            <w:tcW w:w="989" w:type="dxa"/>
            <w:vMerge w:val="restart"/>
          </w:tcPr>
          <w:p w14:paraId="23E9DB37" w14:textId="77777777" w:rsidR="008715BE" w:rsidRPr="00EC75B7" w:rsidRDefault="008715BE">
            <w:pPr>
              <w:pStyle w:val="TableParagraph"/>
              <w:rPr>
                <w:rFonts w:ascii="Verdana" w:hAnsi="Verdana"/>
                <w:sz w:val="18"/>
                <w:szCs w:val="18"/>
              </w:rPr>
            </w:pPr>
          </w:p>
        </w:tc>
        <w:tc>
          <w:tcPr>
            <w:tcW w:w="4140" w:type="dxa"/>
            <w:vMerge w:val="restart"/>
          </w:tcPr>
          <w:p w14:paraId="5D8B97D5" w14:textId="77777777" w:rsidR="008715BE" w:rsidRPr="00EC75B7" w:rsidRDefault="008715BE">
            <w:pPr>
              <w:pStyle w:val="TableParagraph"/>
              <w:rPr>
                <w:rFonts w:ascii="Verdana" w:hAnsi="Verdana"/>
                <w:sz w:val="18"/>
                <w:szCs w:val="18"/>
              </w:rPr>
            </w:pPr>
          </w:p>
        </w:tc>
        <w:tc>
          <w:tcPr>
            <w:tcW w:w="1080" w:type="dxa"/>
          </w:tcPr>
          <w:p w14:paraId="4F4CB1D3" w14:textId="77777777" w:rsidR="008715BE" w:rsidRPr="00EC75B7" w:rsidRDefault="008715BE">
            <w:pPr>
              <w:pStyle w:val="TableParagraph"/>
              <w:rPr>
                <w:rFonts w:ascii="Verdana" w:hAnsi="Verdana"/>
                <w:sz w:val="18"/>
                <w:szCs w:val="18"/>
              </w:rPr>
            </w:pPr>
          </w:p>
        </w:tc>
        <w:tc>
          <w:tcPr>
            <w:tcW w:w="1260" w:type="dxa"/>
          </w:tcPr>
          <w:p w14:paraId="4C4ED7A0" w14:textId="77777777" w:rsidR="008715BE" w:rsidRPr="00EC75B7" w:rsidRDefault="00000000">
            <w:pPr>
              <w:pStyle w:val="TableParagraph"/>
              <w:spacing w:before="9" w:line="237" w:lineRule="auto"/>
              <w:ind w:left="111" w:right="326"/>
              <w:rPr>
                <w:rFonts w:ascii="Verdana" w:hAnsi="Verdana"/>
                <w:sz w:val="18"/>
                <w:szCs w:val="18"/>
              </w:rPr>
            </w:pPr>
            <w:r w:rsidRPr="00EC75B7">
              <w:rPr>
                <w:rFonts w:ascii="Verdana" w:hAnsi="Verdana"/>
                <w:spacing w:val="-2"/>
                <w:sz w:val="18"/>
                <w:szCs w:val="18"/>
              </w:rPr>
              <w:t xml:space="preserve">affect </w:t>
            </w:r>
            <w:r w:rsidRPr="00EC75B7">
              <w:rPr>
                <w:rFonts w:ascii="Verdana" w:hAnsi="Verdana"/>
                <w:sz w:val="18"/>
                <w:szCs w:val="18"/>
              </w:rPr>
              <w:t xml:space="preserve">sensitive </w:t>
            </w:r>
            <w:r w:rsidRPr="00EC75B7">
              <w:rPr>
                <w:rFonts w:ascii="Verdana" w:hAnsi="Verdana"/>
                <w:spacing w:val="-2"/>
                <w:sz w:val="18"/>
                <w:szCs w:val="18"/>
              </w:rPr>
              <w:t xml:space="preserve">receptors </w:t>
            </w:r>
            <w:r w:rsidRPr="00EC75B7">
              <w:rPr>
                <w:rFonts w:ascii="Verdana" w:hAnsi="Verdana"/>
                <w:sz w:val="18"/>
                <w:szCs w:val="18"/>
              </w:rPr>
              <w:t xml:space="preserve">in </w:t>
            </w:r>
            <w:r w:rsidRPr="00EC75B7">
              <w:rPr>
                <w:rFonts w:ascii="Verdana" w:hAnsi="Verdana"/>
                <w:spacing w:val="-4"/>
                <w:sz w:val="18"/>
                <w:szCs w:val="18"/>
              </w:rPr>
              <w:t xml:space="preserve">the area </w:t>
            </w:r>
            <w:r w:rsidRPr="00EC75B7">
              <w:rPr>
                <w:rFonts w:ascii="Verdana" w:hAnsi="Verdana"/>
                <w:sz w:val="18"/>
                <w:szCs w:val="18"/>
              </w:rPr>
              <w:t>The 30 dB noise contour</w:t>
            </w:r>
          </w:p>
          <w:p w14:paraId="07B2E527" w14:textId="77777777" w:rsidR="008715BE" w:rsidRPr="00EC75B7" w:rsidRDefault="00000000">
            <w:pPr>
              <w:pStyle w:val="TableParagraph"/>
              <w:spacing w:before="2"/>
              <w:ind w:left="111" w:right="106"/>
              <w:rPr>
                <w:rFonts w:ascii="Verdana" w:hAnsi="Verdana"/>
                <w:sz w:val="18"/>
                <w:szCs w:val="18"/>
              </w:rPr>
            </w:pPr>
            <w:r w:rsidRPr="00EC75B7">
              <w:rPr>
                <w:rFonts w:ascii="Verdana" w:hAnsi="Verdana"/>
                <w:sz w:val="18"/>
                <w:szCs w:val="18"/>
              </w:rPr>
              <w:t>noise will be felt at distances of up to 1.5 km around</w:t>
            </w:r>
          </w:p>
          <w:p w14:paraId="750DBC57" w14:textId="77777777" w:rsidR="008715BE" w:rsidRPr="00EC75B7" w:rsidRDefault="00000000">
            <w:pPr>
              <w:pStyle w:val="TableParagraph"/>
              <w:spacing w:line="137" w:lineRule="exact"/>
              <w:ind w:left="111"/>
              <w:rPr>
                <w:rFonts w:ascii="Verdana" w:hAnsi="Verdana"/>
                <w:sz w:val="18"/>
                <w:szCs w:val="18"/>
              </w:rPr>
            </w:pPr>
            <w:r w:rsidRPr="00EC75B7">
              <w:rPr>
                <w:rFonts w:ascii="Verdana" w:hAnsi="Verdana"/>
                <w:sz w:val="18"/>
                <w:szCs w:val="18"/>
              </w:rPr>
              <w:t xml:space="preserve">the </w:t>
            </w:r>
            <w:r w:rsidRPr="00EC75B7">
              <w:rPr>
                <w:rFonts w:ascii="Verdana" w:hAnsi="Verdana"/>
                <w:spacing w:val="-4"/>
                <w:sz w:val="18"/>
                <w:szCs w:val="18"/>
              </w:rPr>
              <w:t xml:space="preserve">work </w:t>
            </w:r>
            <w:r w:rsidRPr="00EC75B7">
              <w:rPr>
                <w:rFonts w:ascii="Verdana" w:hAnsi="Verdana"/>
                <w:sz w:val="18"/>
                <w:szCs w:val="18"/>
              </w:rPr>
              <w:t>area</w:t>
            </w:r>
          </w:p>
        </w:tc>
        <w:tc>
          <w:tcPr>
            <w:tcW w:w="900" w:type="dxa"/>
          </w:tcPr>
          <w:p w14:paraId="2AFF5822" w14:textId="77777777" w:rsidR="008715BE" w:rsidRPr="00EC75B7" w:rsidRDefault="00000000">
            <w:pPr>
              <w:pStyle w:val="TableParagraph"/>
              <w:spacing w:before="9" w:line="237" w:lineRule="auto"/>
              <w:ind w:left="111" w:right="170"/>
              <w:jc w:val="both"/>
              <w:rPr>
                <w:rFonts w:ascii="Verdana" w:hAnsi="Verdana"/>
                <w:sz w:val="18"/>
                <w:szCs w:val="18"/>
              </w:rPr>
            </w:pPr>
            <w:r w:rsidRPr="00EC75B7">
              <w:rPr>
                <w:rFonts w:ascii="Verdana" w:hAnsi="Verdana"/>
                <w:spacing w:val="-10"/>
                <w:sz w:val="18"/>
                <w:szCs w:val="18"/>
              </w:rPr>
              <w:t xml:space="preserve">species </w:t>
            </w:r>
            <w:r w:rsidRPr="00EC75B7">
              <w:rPr>
                <w:rFonts w:ascii="Verdana" w:hAnsi="Verdana"/>
                <w:spacing w:val="-2"/>
                <w:sz w:val="18"/>
                <w:szCs w:val="18"/>
              </w:rPr>
              <w:t>observed</w:t>
            </w:r>
          </w:p>
          <w:p w14:paraId="20E4D404" w14:textId="77777777" w:rsidR="008715BE" w:rsidRPr="00EC75B7" w:rsidRDefault="00000000">
            <w:pPr>
              <w:pStyle w:val="TableParagraph"/>
              <w:ind w:left="111" w:right="146" w:firstLine="48"/>
              <w:rPr>
                <w:rFonts w:ascii="Verdana" w:hAnsi="Verdana"/>
                <w:sz w:val="18"/>
                <w:szCs w:val="18"/>
              </w:rPr>
            </w:pPr>
            <w:r w:rsidRPr="00EC75B7">
              <w:rPr>
                <w:rFonts w:ascii="Verdana" w:hAnsi="Verdana"/>
                <w:spacing w:val="-4"/>
                <w:sz w:val="18"/>
                <w:szCs w:val="18"/>
              </w:rPr>
              <w:t xml:space="preserve">GIS </w:t>
            </w:r>
            <w:r w:rsidRPr="00EC75B7">
              <w:rPr>
                <w:rFonts w:ascii="Verdana" w:hAnsi="Verdana"/>
                <w:spacing w:val="-2"/>
                <w:sz w:val="18"/>
                <w:szCs w:val="18"/>
              </w:rPr>
              <w:t>analysis</w:t>
            </w:r>
            <w:r w:rsidRPr="00EC75B7">
              <w:rPr>
                <w:rFonts w:ascii="Verdana" w:hAnsi="Verdana"/>
                <w:spacing w:val="-4"/>
                <w:sz w:val="18"/>
                <w:szCs w:val="18"/>
              </w:rPr>
              <w:t>.</w:t>
            </w:r>
          </w:p>
        </w:tc>
      </w:tr>
      <w:tr w:rsidR="008715BE" w:rsidRPr="00EC75B7" w14:paraId="681DF8CC" w14:textId="77777777">
        <w:trPr>
          <w:trHeight w:val="4936"/>
        </w:trPr>
        <w:tc>
          <w:tcPr>
            <w:tcW w:w="542" w:type="dxa"/>
            <w:vMerge/>
            <w:tcBorders>
              <w:top w:val="nil"/>
            </w:tcBorders>
          </w:tcPr>
          <w:p w14:paraId="589B2AB6" w14:textId="77777777" w:rsidR="008715BE" w:rsidRPr="00EC75B7" w:rsidRDefault="008715BE">
            <w:pPr>
              <w:rPr>
                <w:rFonts w:ascii="Verdana" w:hAnsi="Verdana"/>
                <w:sz w:val="18"/>
                <w:szCs w:val="18"/>
              </w:rPr>
            </w:pPr>
          </w:p>
        </w:tc>
        <w:tc>
          <w:tcPr>
            <w:tcW w:w="1800" w:type="dxa"/>
            <w:vMerge w:val="restart"/>
          </w:tcPr>
          <w:p w14:paraId="53C25A8A" w14:textId="77777777" w:rsidR="008715BE" w:rsidRPr="00EC75B7" w:rsidRDefault="00000000">
            <w:pPr>
              <w:pStyle w:val="TableParagraph"/>
              <w:spacing w:before="10" w:line="169" w:lineRule="exact"/>
              <w:ind w:left="105"/>
              <w:rPr>
                <w:rFonts w:ascii="Verdana" w:hAnsi="Verdana"/>
                <w:sz w:val="18"/>
                <w:szCs w:val="18"/>
              </w:rPr>
            </w:pPr>
            <w:r w:rsidRPr="00EC75B7">
              <w:rPr>
                <w:rFonts w:ascii="Verdana" w:hAnsi="Verdana"/>
                <w:spacing w:val="-2"/>
                <w:sz w:val="18"/>
                <w:szCs w:val="18"/>
              </w:rPr>
              <w:t xml:space="preserve">Decommissioning </w:t>
            </w:r>
            <w:r w:rsidRPr="00EC75B7">
              <w:rPr>
                <w:rFonts w:ascii="Verdana" w:hAnsi="Verdana"/>
                <w:sz w:val="18"/>
                <w:szCs w:val="18"/>
              </w:rPr>
              <w:t>works</w:t>
            </w:r>
          </w:p>
          <w:p w14:paraId="6218327A"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 xml:space="preserve">/ demolition Land restoration/rehabilitation works at the end of </w:t>
            </w:r>
            <w:r w:rsidRPr="00EC75B7">
              <w:rPr>
                <w:rFonts w:ascii="Verdana" w:hAnsi="Verdana"/>
                <w:spacing w:val="-2"/>
                <w:sz w:val="18"/>
                <w:szCs w:val="18"/>
              </w:rPr>
              <w:t xml:space="preserve">the project's </w:t>
            </w:r>
            <w:r w:rsidRPr="00EC75B7">
              <w:rPr>
                <w:rFonts w:ascii="Verdana" w:hAnsi="Verdana"/>
                <w:sz w:val="18"/>
                <w:szCs w:val="18"/>
              </w:rPr>
              <w:t>life cycle</w:t>
            </w:r>
          </w:p>
        </w:tc>
        <w:tc>
          <w:tcPr>
            <w:tcW w:w="1048" w:type="dxa"/>
          </w:tcPr>
          <w:p w14:paraId="5555640F" w14:textId="77777777" w:rsidR="008715BE" w:rsidRPr="00EC75B7" w:rsidRDefault="00000000">
            <w:pPr>
              <w:pStyle w:val="TableParagraph"/>
              <w:spacing w:before="10"/>
              <w:ind w:left="106" w:right="107"/>
              <w:rPr>
                <w:rFonts w:ascii="Verdana" w:hAnsi="Verdana"/>
                <w:sz w:val="18"/>
                <w:szCs w:val="18"/>
              </w:rPr>
            </w:pPr>
            <w:r w:rsidRPr="00EC75B7">
              <w:rPr>
                <w:rFonts w:ascii="Verdana" w:hAnsi="Verdana"/>
                <w:spacing w:val="-2"/>
                <w:sz w:val="18"/>
                <w:szCs w:val="18"/>
              </w:rPr>
              <w:t xml:space="preserve">Collision </w:t>
            </w:r>
            <w:r w:rsidRPr="00EC75B7">
              <w:rPr>
                <w:rFonts w:ascii="Verdana" w:hAnsi="Verdana"/>
                <w:sz w:val="18"/>
                <w:szCs w:val="18"/>
              </w:rPr>
              <w:t xml:space="preserve">of wildlife with </w:t>
            </w:r>
            <w:r w:rsidRPr="00EC75B7">
              <w:rPr>
                <w:rFonts w:ascii="Verdana" w:hAnsi="Verdana"/>
                <w:spacing w:val="-2"/>
                <w:sz w:val="18"/>
                <w:szCs w:val="18"/>
              </w:rPr>
              <w:t xml:space="preserve">vehicle traffic </w:t>
            </w:r>
            <w:r w:rsidRPr="00EC75B7">
              <w:rPr>
                <w:rFonts w:ascii="Verdana" w:hAnsi="Verdana"/>
                <w:spacing w:val="-6"/>
                <w:sz w:val="18"/>
                <w:szCs w:val="18"/>
              </w:rPr>
              <w:t xml:space="preserve">on </w:t>
            </w:r>
            <w:r w:rsidRPr="00EC75B7">
              <w:rPr>
                <w:rFonts w:ascii="Verdana" w:hAnsi="Verdana"/>
                <w:spacing w:val="-2"/>
                <w:sz w:val="18"/>
                <w:szCs w:val="18"/>
              </w:rPr>
              <w:t>access roads</w:t>
            </w:r>
            <w:r w:rsidRPr="00EC75B7">
              <w:rPr>
                <w:rFonts w:ascii="Verdana" w:hAnsi="Verdana"/>
                <w:sz w:val="18"/>
                <w:szCs w:val="18"/>
              </w:rPr>
              <w:t xml:space="preserve">/machinery in </w:t>
            </w:r>
            <w:r w:rsidRPr="00EC75B7">
              <w:rPr>
                <w:rFonts w:ascii="Verdana" w:hAnsi="Verdana"/>
                <w:spacing w:val="-4"/>
                <w:sz w:val="18"/>
                <w:szCs w:val="18"/>
              </w:rPr>
              <w:t xml:space="preserve">the </w:t>
            </w:r>
            <w:r w:rsidRPr="00EC75B7">
              <w:rPr>
                <w:rFonts w:ascii="Verdana" w:hAnsi="Verdana"/>
                <w:spacing w:val="-2"/>
                <w:sz w:val="18"/>
                <w:szCs w:val="18"/>
              </w:rPr>
              <w:t>work</w:t>
            </w:r>
            <w:r w:rsidRPr="00EC75B7">
              <w:rPr>
                <w:rFonts w:ascii="Verdana" w:hAnsi="Verdana"/>
                <w:sz w:val="18"/>
                <w:szCs w:val="18"/>
              </w:rPr>
              <w:t xml:space="preserve"> area</w:t>
            </w:r>
          </w:p>
        </w:tc>
        <w:tc>
          <w:tcPr>
            <w:tcW w:w="1274" w:type="dxa"/>
          </w:tcPr>
          <w:p w14:paraId="47EC8950" w14:textId="77777777" w:rsidR="008715BE" w:rsidRPr="00EC75B7" w:rsidRDefault="00000000">
            <w:pPr>
              <w:pStyle w:val="TableParagraph"/>
              <w:spacing w:before="10"/>
              <w:ind w:left="106"/>
              <w:rPr>
                <w:rFonts w:ascii="Verdana" w:hAnsi="Verdana"/>
                <w:sz w:val="18"/>
                <w:szCs w:val="18"/>
              </w:rPr>
            </w:pPr>
            <w:r w:rsidRPr="00EC75B7">
              <w:rPr>
                <w:rFonts w:ascii="Verdana" w:hAnsi="Verdana"/>
                <w:spacing w:val="-5"/>
                <w:sz w:val="18"/>
                <w:szCs w:val="18"/>
              </w:rPr>
              <w:t>REP</w:t>
            </w:r>
          </w:p>
        </w:tc>
        <w:tc>
          <w:tcPr>
            <w:tcW w:w="993" w:type="dxa"/>
          </w:tcPr>
          <w:p w14:paraId="585C9130" w14:textId="77777777" w:rsidR="008715BE" w:rsidRPr="00EC75B7" w:rsidRDefault="00000000">
            <w:pPr>
              <w:pStyle w:val="TableParagraph"/>
              <w:spacing w:before="12"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723AB115" w14:textId="77777777" w:rsidR="008715BE" w:rsidRPr="00EC75B7" w:rsidRDefault="00000000">
            <w:pPr>
              <w:pStyle w:val="TableParagraph"/>
              <w:spacing w:before="10"/>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tc>
        <w:tc>
          <w:tcPr>
            <w:tcW w:w="991" w:type="dxa"/>
          </w:tcPr>
          <w:p w14:paraId="50A859E1" w14:textId="77777777" w:rsidR="008715BE" w:rsidRPr="00EC75B7" w:rsidRDefault="00000000">
            <w:pPr>
              <w:pStyle w:val="TableParagraph"/>
              <w:spacing w:before="12" w:line="237" w:lineRule="auto"/>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658CF244" w14:textId="77777777" w:rsidR="008715BE" w:rsidRPr="00EC75B7" w:rsidRDefault="00000000">
            <w:pPr>
              <w:pStyle w:val="TableParagraph"/>
              <w:spacing w:before="12" w:line="237" w:lineRule="auto"/>
              <w:ind w:left="111" w:right="133"/>
              <w:rPr>
                <w:rFonts w:ascii="Verdana" w:hAnsi="Verdana"/>
                <w:sz w:val="18"/>
                <w:szCs w:val="18"/>
              </w:rPr>
            </w:pPr>
            <w:r w:rsidRPr="00EC75B7">
              <w:rPr>
                <w:rFonts w:ascii="Verdana" w:hAnsi="Verdana"/>
                <w:spacing w:val="-2"/>
                <w:sz w:val="18"/>
                <w:szCs w:val="18"/>
              </w:rPr>
              <w:t xml:space="preserve">Short-term </w:t>
            </w:r>
            <w:r w:rsidRPr="00EC75B7">
              <w:rPr>
                <w:rFonts w:ascii="Verdana" w:hAnsi="Verdana"/>
                <w:sz w:val="18"/>
                <w:szCs w:val="18"/>
              </w:rPr>
              <w:t>direct impact</w:t>
            </w:r>
          </w:p>
        </w:tc>
        <w:tc>
          <w:tcPr>
            <w:tcW w:w="2708" w:type="dxa"/>
            <w:vMerge/>
            <w:tcBorders>
              <w:top w:val="nil"/>
            </w:tcBorders>
          </w:tcPr>
          <w:p w14:paraId="6B36F943" w14:textId="77777777" w:rsidR="008715BE" w:rsidRPr="00EC75B7" w:rsidRDefault="008715BE">
            <w:pPr>
              <w:rPr>
                <w:rFonts w:ascii="Verdana" w:hAnsi="Verdana"/>
                <w:sz w:val="18"/>
                <w:szCs w:val="18"/>
              </w:rPr>
            </w:pPr>
          </w:p>
        </w:tc>
        <w:tc>
          <w:tcPr>
            <w:tcW w:w="1440" w:type="dxa"/>
            <w:vMerge/>
            <w:tcBorders>
              <w:top w:val="nil"/>
            </w:tcBorders>
          </w:tcPr>
          <w:p w14:paraId="37056205" w14:textId="77777777" w:rsidR="008715BE" w:rsidRPr="00EC75B7" w:rsidRDefault="008715BE">
            <w:pPr>
              <w:rPr>
                <w:rFonts w:ascii="Verdana" w:hAnsi="Verdana"/>
                <w:sz w:val="18"/>
                <w:szCs w:val="18"/>
              </w:rPr>
            </w:pPr>
          </w:p>
        </w:tc>
        <w:tc>
          <w:tcPr>
            <w:tcW w:w="1080" w:type="dxa"/>
            <w:vMerge/>
            <w:tcBorders>
              <w:top w:val="nil"/>
            </w:tcBorders>
          </w:tcPr>
          <w:p w14:paraId="648E3C32" w14:textId="77777777" w:rsidR="008715BE" w:rsidRPr="00EC75B7" w:rsidRDefault="008715BE">
            <w:pPr>
              <w:rPr>
                <w:rFonts w:ascii="Verdana" w:hAnsi="Verdana"/>
                <w:sz w:val="18"/>
                <w:szCs w:val="18"/>
              </w:rPr>
            </w:pPr>
          </w:p>
        </w:tc>
        <w:tc>
          <w:tcPr>
            <w:tcW w:w="989" w:type="dxa"/>
            <w:vMerge/>
            <w:tcBorders>
              <w:top w:val="nil"/>
            </w:tcBorders>
          </w:tcPr>
          <w:p w14:paraId="3FA836F6" w14:textId="77777777" w:rsidR="008715BE" w:rsidRPr="00EC75B7" w:rsidRDefault="008715BE">
            <w:pPr>
              <w:rPr>
                <w:rFonts w:ascii="Verdana" w:hAnsi="Verdana"/>
                <w:sz w:val="18"/>
                <w:szCs w:val="18"/>
              </w:rPr>
            </w:pPr>
          </w:p>
        </w:tc>
        <w:tc>
          <w:tcPr>
            <w:tcW w:w="4140" w:type="dxa"/>
            <w:vMerge/>
            <w:tcBorders>
              <w:top w:val="nil"/>
            </w:tcBorders>
          </w:tcPr>
          <w:p w14:paraId="33514B51" w14:textId="77777777" w:rsidR="008715BE" w:rsidRPr="00EC75B7" w:rsidRDefault="008715BE">
            <w:pPr>
              <w:rPr>
                <w:rFonts w:ascii="Verdana" w:hAnsi="Verdana"/>
                <w:sz w:val="18"/>
                <w:szCs w:val="18"/>
              </w:rPr>
            </w:pPr>
          </w:p>
        </w:tc>
        <w:tc>
          <w:tcPr>
            <w:tcW w:w="1080" w:type="dxa"/>
          </w:tcPr>
          <w:p w14:paraId="50C334FF" w14:textId="77777777" w:rsidR="008715BE" w:rsidRPr="00EC75B7" w:rsidRDefault="00000000">
            <w:pPr>
              <w:pStyle w:val="TableParagraph"/>
              <w:spacing w:before="12" w:line="237" w:lineRule="auto"/>
              <w:ind w:left="110"/>
              <w:rPr>
                <w:rFonts w:ascii="Verdana" w:hAnsi="Verdana"/>
                <w:sz w:val="18"/>
                <w:szCs w:val="18"/>
              </w:rPr>
            </w:pPr>
            <w:r w:rsidRPr="00EC75B7">
              <w:rPr>
                <w:rFonts w:ascii="Verdana" w:hAnsi="Verdana"/>
                <w:spacing w:val="-2"/>
                <w:sz w:val="18"/>
                <w:szCs w:val="18"/>
              </w:rPr>
              <w:t>Population size trend</w:t>
            </w:r>
          </w:p>
        </w:tc>
        <w:tc>
          <w:tcPr>
            <w:tcW w:w="1260" w:type="dxa"/>
          </w:tcPr>
          <w:p w14:paraId="6BD4FAEB" w14:textId="77777777" w:rsidR="008715BE" w:rsidRPr="00EC75B7" w:rsidRDefault="00000000">
            <w:pPr>
              <w:pStyle w:val="TableParagraph"/>
              <w:spacing w:before="10"/>
              <w:ind w:left="111" w:right="96"/>
              <w:rPr>
                <w:rFonts w:ascii="Verdana" w:hAnsi="Verdana"/>
                <w:sz w:val="18"/>
                <w:szCs w:val="18"/>
              </w:rPr>
            </w:pPr>
            <w:r w:rsidRPr="00EC75B7">
              <w:rPr>
                <w:rFonts w:ascii="Verdana" w:hAnsi="Verdana"/>
                <w:sz w:val="18"/>
                <w:szCs w:val="18"/>
              </w:rPr>
              <w:t xml:space="preserve">The population </w:t>
            </w:r>
            <w:r w:rsidRPr="00EC75B7">
              <w:rPr>
                <w:rFonts w:ascii="Verdana" w:hAnsi="Verdana"/>
                <w:spacing w:val="-2"/>
                <w:sz w:val="18"/>
                <w:szCs w:val="18"/>
              </w:rPr>
              <w:t xml:space="preserve">trend </w:t>
            </w:r>
            <w:r w:rsidRPr="00EC75B7">
              <w:rPr>
                <w:rFonts w:ascii="Verdana" w:hAnsi="Verdana"/>
                <w:sz w:val="18"/>
                <w:szCs w:val="18"/>
              </w:rPr>
              <w:t xml:space="preserve">will be stable, with 0% change. The impact will be felt in the work front areas, resulting in </w:t>
            </w:r>
            <w:r w:rsidRPr="00EC75B7">
              <w:rPr>
                <w:rFonts w:ascii="Verdana" w:hAnsi="Verdana"/>
                <w:spacing w:val="-2"/>
                <w:sz w:val="18"/>
                <w:szCs w:val="18"/>
              </w:rPr>
              <w:t xml:space="preserve">the </w:t>
            </w:r>
            <w:r w:rsidRPr="00EC75B7">
              <w:rPr>
                <w:rFonts w:ascii="Verdana" w:hAnsi="Verdana"/>
                <w:sz w:val="18"/>
                <w:szCs w:val="18"/>
              </w:rPr>
              <w:t xml:space="preserve">temporary </w:t>
            </w:r>
            <w:r w:rsidRPr="00EC75B7">
              <w:rPr>
                <w:rFonts w:ascii="Verdana" w:hAnsi="Verdana"/>
                <w:spacing w:val="-2"/>
                <w:sz w:val="18"/>
                <w:szCs w:val="18"/>
              </w:rPr>
              <w:t xml:space="preserve">removal </w:t>
            </w:r>
            <w:r w:rsidRPr="00EC75B7">
              <w:rPr>
                <w:rFonts w:ascii="Verdana" w:hAnsi="Verdana"/>
                <w:sz w:val="18"/>
                <w:szCs w:val="18"/>
              </w:rPr>
              <w:t xml:space="preserve">of </w:t>
            </w:r>
            <w:r w:rsidRPr="00EC75B7">
              <w:rPr>
                <w:rFonts w:ascii="Verdana" w:hAnsi="Verdana"/>
                <w:spacing w:val="-2"/>
                <w:sz w:val="18"/>
                <w:szCs w:val="18"/>
              </w:rPr>
              <w:t xml:space="preserve">specimens </w:t>
            </w:r>
            <w:r w:rsidRPr="00EC75B7">
              <w:rPr>
                <w:rFonts w:ascii="Verdana" w:hAnsi="Verdana"/>
                <w:sz w:val="18"/>
                <w:szCs w:val="18"/>
              </w:rPr>
              <w:t xml:space="preserve">that use these areas </w:t>
            </w:r>
            <w:r w:rsidRPr="00EC75B7">
              <w:rPr>
                <w:rFonts w:ascii="Verdana" w:hAnsi="Verdana"/>
                <w:spacing w:val="-2"/>
                <w:sz w:val="18"/>
                <w:szCs w:val="18"/>
              </w:rPr>
              <w:t xml:space="preserve">for </w:t>
            </w:r>
            <w:r w:rsidRPr="00EC75B7">
              <w:rPr>
                <w:rFonts w:ascii="Verdana" w:hAnsi="Verdana"/>
                <w:sz w:val="18"/>
                <w:szCs w:val="18"/>
              </w:rPr>
              <w:t xml:space="preserve">feeding/resting, with species </w:t>
            </w:r>
            <w:r w:rsidRPr="00EC75B7">
              <w:rPr>
                <w:rFonts w:ascii="Verdana" w:hAnsi="Verdana"/>
                <w:spacing w:val="-2"/>
                <w:sz w:val="18"/>
                <w:szCs w:val="18"/>
              </w:rPr>
              <w:t xml:space="preserve">moving </w:t>
            </w:r>
            <w:r w:rsidRPr="00EC75B7">
              <w:rPr>
                <w:rFonts w:ascii="Verdana" w:hAnsi="Verdana"/>
                <w:sz w:val="18"/>
                <w:szCs w:val="18"/>
              </w:rPr>
              <w:t xml:space="preserve">to neighboring areas </w:t>
            </w:r>
            <w:r w:rsidRPr="00EC75B7">
              <w:rPr>
                <w:rFonts w:ascii="Verdana" w:hAnsi="Verdana"/>
                <w:spacing w:val="-2"/>
                <w:sz w:val="18"/>
                <w:szCs w:val="18"/>
              </w:rPr>
              <w:t>with similar conditions</w:t>
            </w:r>
          </w:p>
          <w:p w14:paraId="64AAF2DE" w14:textId="77777777" w:rsidR="008715BE" w:rsidRPr="00EC75B7" w:rsidRDefault="00000000">
            <w:pPr>
              <w:pStyle w:val="TableParagraph"/>
              <w:spacing w:line="153" w:lineRule="exact"/>
              <w:ind w:left="111"/>
              <w:rPr>
                <w:rFonts w:ascii="Verdana" w:hAnsi="Verdana"/>
                <w:sz w:val="18"/>
                <w:szCs w:val="18"/>
              </w:rPr>
            </w:pPr>
            <w:r w:rsidRPr="00EC75B7">
              <w:rPr>
                <w:rFonts w:ascii="Verdana" w:hAnsi="Verdana"/>
                <w:sz w:val="18"/>
                <w:szCs w:val="18"/>
              </w:rPr>
              <w:t xml:space="preserve">. The effect will </w:t>
            </w:r>
            <w:r w:rsidRPr="00EC75B7">
              <w:rPr>
                <w:rFonts w:ascii="Verdana" w:hAnsi="Verdana"/>
                <w:spacing w:val="-5"/>
                <w:sz w:val="18"/>
                <w:szCs w:val="18"/>
              </w:rPr>
              <w:t>be</w:t>
            </w:r>
          </w:p>
          <w:p w14:paraId="0D342543" w14:textId="77777777" w:rsidR="008715BE" w:rsidRPr="00EC75B7" w:rsidRDefault="00000000">
            <w:pPr>
              <w:pStyle w:val="TableParagraph"/>
              <w:ind w:left="111" w:right="132"/>
              <w:rPr>
                <w:rFonts w:ascii="Verdana" w:hAnsi="Verdana"/>
                <w:sz w:val="18"/>
                <w:szCs w:val="18"/>
              </w:rPr>
            </w:pPr>
            <w:r w:rsidRPr="00EC75B7">
              <w:rPr>
                <w:rFonts w:ascii="Verdana" w:hAnsi="Verdana"/>
                <w:spacing w:val="-2"/>
                <w:sz w:val="18"/>
                <w:szCs w:val="18"/>
              </w:rPr>
              <w:t xml:space="preserve">insignificant </w:t>
            </w:r>
            <w:r w:rsidRPr="00EC75B7">
              <w:rPr>
                <w:rFonts w:ascii="Verdana" w:hAnsi="Verdana"/>
                <w:sz w:val="18"/>
                <w:szCs w:val="18"/>
              </w:rPr>
              <w:t>and temporary, the works will be carried out</w:t>
            </w:r>
          </w:p>
          <w:p w14:paraId="2486436C" w14:textId="77777777" w:rsidR="008715BE" w:rsidRPr="00EC75B7" w:rsidRDefault="00000000">
            <w:pPr>
              <w:pStyle w:val="TableParagraph"/>
              <w:spacing w:line="140" w:lineRule="exact"/>
              <w:ind w:left="111"/>
              <w:rPr>
                <w:rFonts w:ascii="Verdana" w:hAnsi="Verdana"/>
                <w:sz w:val="18"/>
                <w:szCs w:val="18"/>
              </w:rPr>
            </w:pPr>
            <w:r w:rsidRPr="00EC75B7">
              <w:rPr>
                <w:rFonts w:ascii="Verdana" w:hAnsi="Verdana"/>
                <w:spacing w:val="-2"/>
                <w:sz w:val="18"/>
                <w:szCs w:val="18"/>
              </w:rPr>
              <w:t>in stages</w:t>
            </w:r>
          </w:p>
        </w:tc>
        <w:tc>
          <w:tcPr>
            <w:tcW w:w="900" w:type="dxa"/>
          </w:tcPr>
          <w:p w14:paraId="4DD55608" w14:textId="77777777" w:rsidR="008715BE" w:rsidRPr="00EC75B7" w:rsidRDefault="00000000">
            <w:pPr>
              <w:pStyle w:val="TableParagraph"/>
              <w:spacing w:before="10"/>
              <w:ind w:left="111" w:right="115"/>
              <w:rPr>
                <w:rFonts w:ascii="Verdana" w:hAnsi="Verdana"/>
                <w:sz w:val="18"/>
                <w:szCs w:val="18"/>
              </w:rPr>
            </w:pPr>
            <w:r w:rsidRPr="00EC75B7">
              <w:rPr>
                <w:rFonts w:ascii="Verdana" w:hAnsi="Verdana"/>
                <w:spacing w:val="-2"/>
                <w:sz w:val="18"/>
                <w:szCs w:val="18"/>
              </w:rPr>
              <w:t xml:space="preserve">Analysis </w:t>
            </w:r>
            <w:r w:rsidRPr="00EC75B7">
              <w:rPr>
                <w:rFonts w:ascii="Verdana" w:hAnsi="Verdana"/>
                <w:sz w:val="18"/>
                <w:szCs w:val="18"/>
              </w:rPr>
              <w:t xml:space="preserve">of inventories and </w:t>
            </w:r>
            <w:r w:rsidRPr="00EC75B7">
              <w:rPr>
                <w:rFonts w:ascii="Verdana" w:hAnsi="Verdana"/>
                <w:spacing w:val="-2"/>
                <w:sz w:val="18"/>
                <w:szCs w:val="18"/>
              </w:rPr>
              <w:t xml:space="preserve">monitoring carried out </w:t>
            </w:r>
            <w:r w:rsidRPr="00EC75B7">
              <w:rPr>
                <w:rFonts w:ascii="Verdana" w:hAnsi="Verdana"/>
                <w:sz w:val="18"/>
                <w:szCs w:val="18"/>
              </w:rPr>
              <w:t xml:space="preserve">in the field based </w:t>
            </w:r>
            <w:r w:rsidRPr="00EC75B7">
              <w:rPr>
                <w:rFonts w:ascii="Verdana" w:hAnsi="Verdana"/>
                <w:spacing w:val="-4"/>
                <w:sz w:val="18"/>
                <w:szCs w:val="18"/>
              </w:rPr>
              <w:t xml:space="preserve">on </w:t>
            </w:r>
            <w:r w:rsidRPr="00EC75B7">
              <w:rPr>
                <w:rFonts w:ascii="Verdana" w:hAnsi="Verdana"/>
                <w:spacing w:val="-10"/>
                <w:sz w:val="18"/>
                <w:szCs w:val="18"/>
              </w:rPr>
              <w:t xml:space="preserve">the observed </w:t>
            </w:r>
            <w:r w:rsidRPr="00EC75B7">
              <w:rPr>
                <w:rFonts w:ascii="Verdana" w:hAnsi="Verdana"/>
                <w:spacing w:val="-2"/>
                <w:sz w:val="18"/>
                <w:szCs w:val="18"/>
              </w:rPr>
              <w:t>behavior of the species</w:t>
            </w:r>
          </w:p>
          <w:p w14:paraId="0C525BE8" w14:textId="77777777" w:rsidR="008715BE" w:rsidRPr="00EC75B7" w:rsidRDefault="00000000">
            <w:pPr>
              <w:pStyle w:val="TableParagraph"/>
              <w:spacing w:line="159" w:lineRule="exact"/>
              <w:ind w:left="159"/>
              <w:rPr>
                <w:rFonts w:ascii="Verdana" w:hAnsi="Verdana"/>
                <w:sz w:val="18"/>
                <w:szCs w:val="18"/>
              </w:rPr>
            </w:pPr>
            <w:r w:rsidRPr="00EC75B7">
              <w:rPr>
                <w:rFonts w:ascii="Verdana" w:hAnsi="Verdana"/>
                <w:spacing w:val="-2"/>
                <w:sz w:val="18"/>
                <w:szCs w:val="18"/>
              </w:rPr>
              <w:t>GIS analysis</w:t>
            </w:r>
          </w:p>
          <w:p w14:paraId="4E9C9571" w14:textId="77777777" w:rsidR="008715BE" w:rsidRPr="00EC75B7" w:rsidRDefault="00000000">
            <w:pPr>
              <w:pStyle w:val="TableParagraph"/>
              <w:spacing w:line="171" w:lineRule="exact"/>
              <w:ind w:left="111"/>
              <w:rPr>
                <w:rFonts w:ascii="Verdana" w:hAnsi="Verdana"/>
                <w:sz w:val="18"/>
                <w:szCs w:val="18"/>
              </w:rPr>
            </w:pPr>
            <w:r w:rsidRPr="00EC75B7">
              <w:rPr>
                <w:rFonts w:ascii="Verdana" w:hAnsi="Verdana"/>
                <w:spacing w:val="-4"/>
                <w:sz w:val="18"/>
                <w:szCs w:val="18"/>
              </w:rPr>
              <w:t>GIS.</w:t>
            </w:r>
          </w:p>
        </w:tc>
      </w:tr>
      <w:tr w:rsidR="008715BE" w:rsidRPr="00EC75B7" w14:paraId="2ACFFBB4" w14:textId="77777777">
        <w:trPr>
          <w:trHeight w:val="1360"/>
        </w:trPr>
        <w:tc>
          <w:tcPr>
            <w:tcW w:w="542" w:type="dxa"/>
            <w:vMerge/>
            <w:tcBorders>
              <w:top w:val="nil"/>
            </w:tcBorders>
          </w:tcPr>
          <w:p w14:paraId="60DEA7C3" w14:textId="77777777" w:rsidR="008715BE" w:rsidRPr="00EC75B7" w:rsidRDefault="008715BE">
            <w:pPr>
              <w:rPr>
                <w:rFonts w:ascii="Verdana" w:hAnsi="Verdana"/>
                <w:sz w:val="18"/>
                <w:szCs w:val="18"/>
              </w:rPr>
            </w:pPr>
          </w:p>
        </w:tc>
        <w:tc>
          <w:tcPr>
            <w:tcW w:w="1800" w:type="dxa"/>
            <w:vMerge/>
            <w:tcBorders>
              <w:top w:val="nil"/>
            </w:tcBorders>
          </w:tcPr>
          <w:p w14:paraId="58D6D521" w14:textId="77777777" w:rsidR="008715BE" w:rsidRPr="00EC75B7" w:rsidRDefault="008715BE">
            <w:pPr>
              <w:rPr>
                <w:rFonts w:ascii="Verdana" w:hAnsi="Verdana"/>
                <w:sz w:val="18"/>
                <w:szCs w:val="18"/>
              </w:rPr>
            </w:pPr>
          </w:p>
        </w:tc>
        <w:tc>
          <w:tcPr>
            <w:tcW w:w="1048" w:type="dxa"/>
          </w:tcPr>
          <w:p w14:paraId="44BB4567" w14:textId="77777777" w:rsidR="008715BE" w:rsidRPr="00EC75B7" w:rsidRDefault="00000000">
            <w:pPr>
              <w:pStyle w:val="TableParagraph"/>
              <w:spacing w:before="8"/>
              <w:ind w:left="106" w:right="132"/>
              <w:rPr>
                <w:rFonts w:ascii="Verdana" w:hAnsi="Verdana"/>
                <w:sz w:val="18"/>
                <w:szCs w:val="18"/>
              </w:rPr>
            </w:pPr>
            <w:r w:rsidRPr="00EC75B7">
              <w:rPr>
                <w:rFonts w:ascii="Verdana" w:hAnsi="Verdana"/>
                <w:sz w:val="18"/>
                <w:szCs w:val="18"/>
              </w:rPr>
              <w:t xml:space="preserve">Emissions of pollutants into </w:t>
            </w:r>
            <w:r w:rsidRPr="00EC75B7">
              <w:rPr>
                <w:rFonts w:ascii="Verdana" w:hAnsi="Verdana"/>
                <w:spacing w:val="-2"/>
                <w:sz w:val="18"/>
                <w:szCs w:val="18"/>
              </w:rPr>
              <w:t>the atmosphere (operati</w:t>
            </w:r>
            <w:r w:rsidRPr="00EC75B7">
              <w:rPr>
                <w:rFonts w:ascii="Verdana" w:hAnsi="Verdana"/>
                <w:spacing w:val="-2"/>
                <w:sz w:val="18"/>
                <w:szCs w:val="18"/>
              </w:rPr>
              <w:lastRenderedPageBreak/>
              <w:t xml:space="preserve">on </w:t>
            </w:r>
            <w:r w:rsidRPr="00EC75B7">
              <w:rPr>
                <w:rFonts w:ascii="Verdana" w:hAnsi="Verdana"/>
                <w:spacing w:val="-6"/>
                <w:sz w:val="18"/>
                <w:szCs w:val="18"/>
              </w:rPr>
              <w:t xml:space="preserve">of </w:t>
            </w:r>
            <w:r w:rsidRPr="00EC75B7">
              <w:rPr>
                <w:rFonts w:ascii="Verdana" w:hAnsi="Verdana"/>
                <w:spacing w:val="-2"/>
                <w:sz w:val="18"/>
                <w:szCs w:val="18"/>
              </w:rPr>
              <w:t xml:space="preserve">vehicles </w:t>
            </w:r>
            <w:r w:rsidRPr="00EC75B7">
              <w:rPr>
                <w:rFonts w:ascii="Verdana" w:hAnsi="Verdana"/>
                <w:spacing w:val="-6"/>
                <w:sz w:val="18"/>
                <w:szCs w:val="18"/>
              </w:rPr>
              <w:t>and</w:t>
            </w:r>
          </w:p>
          <w:p w14:paraId="5F626844" w14:textId="77777777" w:rsidR="008715BE" w:rsidRPr="00EC75B7" w:rsidRDefault="00000000">
            <w:pPr>
              <w:pStyle w:val="TableParagraph"/>
              <w:spacing w:line="136" w:lineRule="exact"/>
              <w:ind w:left="106"/>
              <w:rPr>
                <w:rFonts w:ascii="Verdana" w:hAnsi="Verdana"/>
                <w:sz w:val="18"/>
                <w:szCs w:val="18"/>
              </w:rPr>
            </w:pPr>
            <w:r w:rsidRPr="00EC75B7">
              <w:rPr>
                <w:rFonts w:ascii="Verdana" w:hAnsi="Verdana"/>
                <w:spacing w:val="-2"/>
                <w:sz w:val="18"/>
                <w:szCs w:val="18"/>
              </w:rPr>
              <w:t>machinery)</w:t>
            </w:r>
          </w:p>
        </w:tc>
        <w:tc>
          <w:tcPr>
            <w:tcW w:w="1274" w:type="dxa"/>
          </w:tcPr>
          <w:p w14:paraId="5D46EF77"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lastRenderedPageBreak/>
              <w:t>AH</w:t>
            </w:r>
          </w:p>
        </w:tc>
        <w:tc>
          <w:tcPr>
            <w:tcW w:w="993" w:type="dxa"/>
          </w:tcPr>
          <w:p w14:paraId="055D7E41" w14:textId="77777777" w:rsidR="008715BE" w:rsidRPr="00EC75B7" w:rsidRDefault="00000000">
            <w:pPr>
              <w:pStyle w:val="TableParagraph"/>
              <w:spacing w:before="9" w:line="237" w:lineRule="auto"/>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708" w:type="dxa"/>
          </w:tcPr>
          <w:p w14:paraId="6EC124CE" w14:textId="77777777" w:rsidR="008715BE" w:rsidRPr="00EC75B7" w:rsidRDefault="00000000">
            <w:pPr>
              <w:pStyle w:val="TableParagraph"/>
              <w:spacing w:before="9" w:line="237" w:lineRule="auto"/>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secondary impacts were identified</w:t>
            </w:r>
          </w:p>
          <w:p w14:paraId="02ADDE96" w14:textId="77777777" w:rsidR="008715BE" w:rsidRPr="00EC75B7" w:rsidRDefault="00000000">
            <w:pPr>
              <w:pStyle w:val="TableParagraph"/>
              <w:spacing w:line="170" w:lineRule="exact"/>
              <w:ind w:left="108"/>
              <w:rPr>
                <w:rFonts w:ascii="Verdana" w:hAnsi="Verdana"/>
                <w:sz w:val="18"/>
                <w:szCs w:val="18"/>
              </w:rPr>
            </w:pPr>
            <w:r w:rsidRPr="00EC75B7">
              <w:rPr>
                <w:rFonts w:ascii="Verdana" w:hAnsi="Verdana"/>
                <w:spacing w:val="-4"/>
                <w:sz w:val="18"/>
                <w:szCs w:val="18"/>
              </w:rPr>
              <w:lastRenderedPageBreak/>
              <w:t>secondary</w:t>
            </w:r>
          </w:p>
        </w:tc>
        <w:tc>
          <w:tcPr>
            <w:tcW w:w="991" w:type="dxa"/>
          </w:tcPr>
          <w:p w14:paraId="6340DBC2" w14:textId="77777777" w:rsidR="008715BE" w:rsidRPr="00EC75B7" w:rsidRDefault="00000000">
            <w:pPr>
              <w:pStyle w:val="TableParagraph"/>
              <w:spacing w:before="9" w:line="237" w:lineRule="auto"/>
              <w:ind w:left="111" w:firstLine="48"/>
              <w:rPr>
                <w:rFonts w:ascii="Verdana" w:hAnsi="Verdana"/>
                <w:sz w:val="18"/>
                <w:szCs w:val="18"/>
              </w:rPr>
            </w:pPr>
            <w:r w:rsidRPr="00EC75B7">
              <w:rPr>
                <w:rFonts w:ascii="Verdana" w:hAnsi="Verdana"/>
                <w:sz w:val="18"/>
                <w:szCs w:val="18"/>
              </w:rPr>
              <w:lastRenderedPageBreak/>
              <w:t xml:space="preserve">No </w:t>
            </w:r>
            <w:r w:rsidRPr="00EC75B7">
              <w:rPr>
                <w:rFonts w:ascii="Verdana" w:hAnsi="Verdana"/>
                <w:spacing w:val="-2"/>
                <w:sz w:val="18"/>
                <w:szCs w:val="18"/>
              </w:rPr>
              <w:t xml:space="preserve">cumulative impacts </w:t>
            </w:r>
            <w:r w:rsidRPr="00EC75B7">
              <w:rPr>
                <w:rFonts w:ascii="Verdana" w:hAnsi="Verdana"/>
                <w:sz w:val="18"/>
                <w:szCs w:val="18"/>
              </w:rPr>
              <w:t xml:space="preserve">were </w:t>
            </w:r>
            <w:r w:rsidRPr="00EC75B7">
              <w:rPr>
                <w:rFonts w:ascii="Verdana" w:hAnsi="Verdana"/>
                <w:spacing w:val="-2"/>
                <w:sz w:val="18"/>
                <w:szCs w:val="18"/>
              </w:rPr>
              <w:t>identified</w:t>
            </w:r>
          </w:p>
        </w:tc>
        <w:tc>
          <w:tcPr>
            <w:tcW w:w="1277" w:type="dxa"/>
          </w:tcPr>
          <w:p w14:paraId="4A3B9551"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6ADC2E39"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1BE62CD5"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68529F0C"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44AC8DFD" w14:textId="77777777" w:rsidR="008715BE" w:rsidRPr="00EC75B7" w:rsidRDefault="00000000">
            <w:pPr>
              <w:pStyle w:val="TableParagraph"/>
              <w:spacing w:before="8"/>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673F2301" w14:textId="77777777">
        <w:trPr>
          <w:trHeight w:val="1527"/>
        </w:trPr>
        <w:tc>
          <w:tcPr>
            <w:tcW w:w="542" w:type="dxa"/>
            <w:vMerge/>
            <w:tcBorders>
              <w:top w:val="nil"/>
            </w:tcBorders>
          </w:tcPr>
          <w:p w14:paraId="07F7E53C" w14:textId="77777777" w:rsidR="008715BE" w:rsidRPr="00EC75B7" w:rsidRDefault="008715BE">
            <w:pPr>
              <w:rPr>
                <w:rFonts w:ascii="Verdana" w:hAnsi="Verdana"/>
                <w:sz w:val="18"/>
                <w:szCs w:val="18"/>
              </w:rPr>
            </w:pPr>
          </w:p>
        </w:tc>
        <w:tc>
          <w:tcPr>
            <w:tcW w:w="1800" w:type="dxa"/>
            <w:vMerge/>
            <w:tcBorders>
              <w:top w:val="nil"/>
            </w:tcBorders>
          </w:tcPr>
          <w:p w14:paraId="4C21F527" w14:textId="77777777" w:rsidR="008715BE" w:rsidRPr="00EC75B7" w:rsidRDefault="008715BE">
            <w:pPr>
              <w:rPr>
                <w:rFonts w:ascii="Verdana" w:hAnsi="Verdana"/>
                <w:sz w:val="18"/>
                <w:szCs w:val="18"/>
              </w:rPr>
            </w:pPr>
          </w:p>
        </w:tc>
        <w:tc>
          <w:tcPr>
            <w:tcW w:w="1048" w:type="dxa"/>
          </w:tcPr>
          <w:p w14:paraId="4DC6C883" w14:textId="77777777" w:rsidR="008715BE" w:rsidRPr="00EC75B7" w:rsidRDefault="00000000">
            <w:pPr>
              <w:pStyle w:val="TableParagraph"/>
              <w:spacing w:before="4"/>
              <w:ind w:left="106" w:right="144"/>
              <w:rPr>
                <w:rFonts w:ascii="Verdana" w:hAnsi="Verdana"/>
                <w:sz w:val="18"/>
                <w:szCs w:val="18"/>
              </w:rPr>
            </w:pPr>
            <w:r w:rsidRPr="00EC75B7">
              <w:rPr>
                <w:rFonts w:ascii="Verdana" w:hAnsi="Verdana"/>
                <w:spacing w:val="-2"/>
                <w:sz w:val="18"/>
                <w:szCs w:val="18"/>
              </w:rPr>
              <w:t xml:space="preserve">Accidental spills </w:t>
            </w:r>
            <w:r w:rsidRPr="00EC75B7">
              <w:rPr>
                <w:rFonts w:ascii="Verdana" w:hAnsi="Verdana"/>
                <w:sz w:val="18"/>
                <w:szCs w:val="18"/>
              </w:rPr>
              <w:t xml:space="preserve">of </w:t>
            </w:r>
            <w:r w:rsidRPr="00EC75B7">
              <w:rPr>
                <w:rFonts w:ascii="Verdana" w:hAnsi="Verdana"/>
                <w:spacing w:val="-2"/>
                <w:sz w:val="18"/>
                <w:szCs w:val="18"/>
              </w:rPr>
              <w:t xml:space="preserve">petroleum </w:t>
            </w:r>
            <w:r w:rsidRPr="00EC75B7">
              <w:rPr>
                <w:rFonts w:ascii="Verdana" w:hAnsi="Verdana"/>
                <w:sz w:val="18"/>
                <w:szCs w:val="18"/>
              </w:rPr>
              <w:t>products from machinery—</w:t>
            </w:r>
            <w:r w:rsidRPr="00EC75B7">
              <w:rPr>
                <w:rFonts w:ascii="Verdana" w:hAnsi="Verdana"/>
                <w:spacing w:val="-2"/>
                <w:sz w:val="18"/>
                <w:szCs w:val="18"/>
              </w:rPr>
              <w:t xml:space="preserve">penetration </w:t>
            </w:r>
            <w:r w:rsidRPr="00EC75B7">
              <w:rPr>
                <w:rFonts w:ascii="Verdana" w:hAnsi="Verdana"/>
                <w:sz w:val="18"/>
                <w:szCs w:val="18"/>
              </w:rPr>
              <w:t xml:space="preserve">of </w:t>
            </w:r>
            <w:r w:rsidRPr="00EC75B7">
              <w:rPr>
                <w:rFonts w:ascii="Verdana" w:hAnsi="Verdana"/>
                <w:spacing w:val="-2"/>
                <w:sz w:val="18"/>
                <w:szCs w:val="18"/>
              </w:rPr>
              <w:t>pollutants</w:t>
            </w:r>
          </w:p>
          <w:p w14:paraId="5E072048" w14:textId="77777777" w:rsidR="008715BE" w:rsidRPr="00EC75B7" w:rsidRDefault="00000000">
            <w:pPr>
              <w:pStyle w:val="TableParagraph"/>
              <w:spacing w:line="136" w:lineRule="exact"/>
              <w:ind w:left="106"/>
              <w:rPr>
                <w:rFonts w:ascii="Verdana" w:hAnsi="Verdana"/>
                <w:sz w:val="18"/>
                <w:szCs w:val="18"/>
              </w:rPr>
            </w:pPr>
            <w:r w:rsidRPr="00EC75B7">
              <w:rPr>
                <w:rFonts w:ascii="Verdana" w:hAnsi="Verdana"/>
                <w:sz w:val="18"/>
                <w:szCs w:val="18"/>
              </w:rPr>
              <w:t xml:space="preserve">into </w:t>
            </w:r>
            <w:r w:rsidRPr="00EC75B7">
              <w:rPr>
                <w:rFonts w:ascii="Verdana" w:hAnsi="Verdana"/>
                <w:spacing w:val="-5"/>
                <w:sz w:val="18"/>
                <w:szCs w:val="18"/>
              </w:rPr>
              <w:t>the soil</w:t>
            </w:r>
          </w:p>
        </w:tc>
        <w:tc>
          <w:tcPr>
            <w:tcW w:w="1274" w:type="dxa"/>
          </w:tcPr>
          <w:p w14:paraId="526E4A10" w14:textId="77777777" w:rsidR="008715BE" w:rsidRPr="00EC75B7" w:rsidRDefault="00000000">
            <w:pPr>
              <w:pStyle w:val="TableParagraph"/>
              <w:spacing w:before="4"/>
              <w:ind w:left="106"/>
              <w:rPr>
                <w:rFonts w:ascii="Verdana" w:hAnsi="Verdana"/>
                <w:sz w:val="18"/>
                <w:szCs w:val="18"/>
              </w:rPr>
            </w:pPr>
            <w:r w:rsidRPr="00EC75B7">
              <w:rPr>
                <w:rFonts w:ascii="Verdana" w:hAnsi="Verdana"/>
                <w:spacing w:val="-5"/>
                <w:sz w:val="18"/>
                <w:szCs w:val="18"/>
              </w:rPr>
              <w:t>AH</w:t>
            </w:r>
          </w:p>
        </w:tc>
        <w:tc>
          <w:tcPr>
            <w:tcW w:w="993" w:type="dxa"/>
          </w:tcPr>
          <w:p w14:paraId="6C1C34D5" w14:textId="77777777" w:rsidR="008715BE" w:rsidRPr="00EC75B7" w:rsidRDefault="00000000">
            <w:pPr>
              <w:pStyle w:val="TableParagraph"/>
              <w:spacing w:before="4"/>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indirect impacts identified</w:t>
            </w:r>
          </w:p>
        </w:tc>
        <w:tc>
          <w:tcPr>
            <w:tcW w:w="708" w:type="dxa"/>
          </w:tcPr>
          <w:p w14:paraId="1123B43C" w14:textId="77777777" w:rsidR="008715BE" w:rsidRPr="00EC75B7" w:rsidRDefault="00000000">
            <w:pPr>
              <w:pStyle w:val="TableParagraph"/>
              <w:spacing w:before="4"/>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4"/>
                <w:sz w:val="18"/>
                <w:szCs w:val="18"/>
              </w:rPr>
              <w:t xml:space="preserve">secondary impacts </w:t>
            </w:r>
            <w:r w:rsidRPr="00EC75B7">
              <w:rPr>
                <w:rFonts w:ascii="Verdana" w:hAnsi="Verdana"/>
                <w:sz w:val="18"/>
                <w:szCs w:val="18"/>
              </w:rPr>
              <w:t xml:space="preserve">have </w:t>
            </w:r>
            <w:r w:rsidRPr="00EC75B7">
              <w:rPr>
                <w:rFonts w:ascii="Verdana" w:hAnsi="Verdana"/>
                <w:spacing w:val="-4"/>
                <w:sz w:val="18"/>
                <w:szCs w:val="18"/>
              </w:rPr>
              <w:t>been identified</w:t>
            </w:r>
          </w:p>
        </w:tc>
        <w:tc>
          <w:tcPr>
            <w:tcW w:w="991" w:type="dxa"/>
          </w:tcPr>
          <w:p w14:paraId="21C62828" w14:textId="77777777" w:rsidR="008715BE" w:rsidRPr="00EC75B7" w:rsidRDefault="00000000">
            <w:pPr>
              <w:pStyle w:val="TableParagraph"/>
              <w:spacing w:before="4"/>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49FF4F83" w14:textId="77777777" w:rsidR="008715BE" w:rsidRPr="00EC75B7" w:rsidRDefault="00000000">
            <w:pPr>
              <w:pStyle w:val="TableParagraph"/>
              <w:spacing w:before="4"/>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629A2B48" w14:textId="77777777" w:rsidR="008715BE" w:rsidRPr="00EC75B7" w:rsidRDefault="00000000">
            <w:pPr>
              <w:pStyle w:val="TableParagraph"/>
              <w:spacing w:before="4"/>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4F7B4910" w14:textId="77777777" w:rsidR="008715BE" w:rsidRPr="00EC75B7" w:rsidRDefault="00000000">
            <w:pPr>
              <w:pStyle w:val="TableParagraph"/>
              <w:spacing w:before="4"/>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47AED7D5" w14:textId="77777777" w:rsidR="008715BE" w:rsidRPr="00EC75B7" w:rsidRDefault="00000000">
            <w:pPr>
              <w:pStyle w:val="TableParagraph"/>
              <w:spacing w:before="4"/>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199AEB3C" w14:textId="77777777" w:rsidR="008715BE" w:rsidRPr="00EC75B7" w:rsidRDefault="00000000">
            <w:pPr>
              <w:pStyle w:val="TableParagraph"/>
              <w:spacing w:before="4"/>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r w:rsidR="008715BE" w:rsidRPr="00EC75B7" w14:paraId="3952DE79" w14:textId="77777777">
        <w:trPr>
          <w:trHeight w:val="1363"/>
        </w:trPr>
        <w:tc>
          <w:tcPr>
            <w:tcW w:w="542" w:type="dxa"/>
            <w:vMerge/>
            <w:tcBorders>
              <w:top w:val="nil"/>
            </w:tcBorders>
          </w:tcPr>
          <w:p w14:paraId="7C2EBEC4" w14:textId="77777777" w:rsidR="008715BE" w:rsidRPr="00EC75B7" w:rsidRDefault="008715BE">
            <w:pPr>
              <w:rPr>
                <w:rFonts w:ascii="Verdana" w:hAnsi="Verdana"/>
                <w:sz w:val="18"/>
                <w:szCs w:val="18"/>
              </w:rPr>
            </w:pPr>
          </w:p>
        </w:tc>
        <w:tc>
          <w:tcPr>
            <w:tcW w:w="1800" w:type="dxa"/>
            <w:vMerge/>
            <w:tcBorders>
              <w:top w:val="nil"/>
            </w:tcBorders>
          </w:tcPr>
          <w:p w14:paraId="28596A81" w14:textId="77777777" w:rsidR="008715BE" w:rsidRPr="00EC75B7" w:rsidRDefault="008715BE">
            <w:pPr>
              <w:rPr>
                <w:rFonts w:ascii="Verdana" w:hAnsi="Verdana"/>
                <w:sz w:val="18"/>
                <w:szCs w:val="18"/>
              </w:rPr>
            </w:pPr>
          </w:p>
        </w:tc>
        <w:tc>
          <w:tcPr>
            <w:tcW w:w="1048" w:type="dxa"/>
          </w:tcPr>
          <w:p w14:paraId="09578FBD" w14:textId="77777777" w:rsidR="008715BE" w:rsidRPr="00EC75B7" w:rsidRDefault="00000000">
            <w:pPr>
              <w:pStyle w:val="TableParagraph"/>
              <w:spacing w:before="8"/>
              <w:ind w:left="106" w:right="108"/>
              <w:rPr>
                <w:rFonts w:ascii="Verdana" w:hAnsi="Verdana"/>
                <w:sz w:val="18"/>
                <w:szCs w:val="18"/>
              </w:rPr>
            </w:pPr>
            <w:r w:rsidRPr="00EC75B7">
              <w:rPr>
                <w:rFonts w:ascii="Verdana" w:hAnsi="Verdana"/>
                <w:spacing w:val="-2"/>
                <w:sz w:val="18"/>
                <w:szCs w:val="18"/>
              </w:rPr>
              <w:t xml:space="preserve">Introduction </w:t>
            </w:r>
            <w:r w:rsidRPr="00EC75B7">
              <w:rPr>
                <w:rFonts w:ascii="Verdana" w:hAnsi="Verdana"/>
                <w:sz w:val="18"/>
                <w:szCs w:val="18"/>
              </w:rPr>
              <w:t xml:space="preserve">of </w:t>
            </w:r>
            <w:r w:rsidRPr="00EC75B7">
              <w:rPr>
                <w:rFonts w:ascii="Verdana" w:hAnsi="Verdana"/>
                <w:spacing w:val="-2"/>
                <w:sz w:val="18"/>
                <w:szCs w:val="18"/>
              </w:rPr>
              <w:t>invasive species</w:t>
            </w:r>
          </w:p>
        </w:tc>
        <w:tc>
          <w:tcPr>
            <w:tcW w:w="1274" w:type="dxa"/>
          </w:tcPr>
          <w:p w14:paraId="7F31F3F6" w14:textId="77777777" w:rsidR="008715BE" w:rsidRPr="00EC75B7" w:rsidRDefault="00000000">
            <w:pPr>
              <w:pStyle w:val="TableParagraph"/>
              <w:spacing w:before="8"/>
              <w:ind w:left="106"/>
              <w:rPr>
                <w:rFonts w:ascii="Verdana" w:hAnsi="Verdana"/>
                <w:sz w:val="18"/>
                <w:szCs w:val="18"/>
              </w:rPr>
            </w:pPr>
            <w:r w:rsidRPr="00EC75B7">
              <w:rPr>
                <w:rFonts w:ascii="Verdana" w:hAnsi="Verdana"/>
                <w:spacing w:val="-5"/>
                <w:sz w:val="18"/>
                <w:szCs w:val="18"/>
              </w:rPr>
              <w:t>AH</w:t>
            </w:r>
          </w:p>
        </w:tc>
        <w:tc>
          <w:tcPr>
            <w:tcW w:w="993" w:type="dxa"/>
          </w:tcPr>
          <w:p w14:paraId="3A692E50" w14:textId="77777777" w:rsidR="008715BE" w:rsidRPr="00EC75B7" w:rsidRDefault="00000000">
            <w:pPr>
              <w:pStyle w:val="TableParagraph"/>
              <w:spacing w:before="8"/>
              <w:ind w:left="10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indirect impacts </w:t>
            </w:r>
            <w:r w:rsidRPr="00EC75B7">
              <w:rPr>
                <w:rFonts w:ascii="Verdana" w:hAnsi="Verdana"/>
                <w:sz w:val="18"/>
                <w:szCs w:val="18"/>
              </w:rPr>
              <w:t xml:space="preserve">have been </w:t>
            </w:r>
            <w:r w:rsidRPr="00EC75B7">
              <w:rPr>
                <w:rFonts w:ascii="Verdana" w:hAnsi="Verdana"/>
                <w:spacing w:val="-2"/>
                <w:sz w:val="18"/>
                <w:szCs w:val="18"/>
              </w:rPr>
              <w:t>identified</w:t>
            </w:r>
          </w:p>
        </w:tc>
        <w:tc>
          <w:tcPr>
            <w:tcW w:w="708" w:type="dxa"/>
          </w:tcPr>
          <w:p w14:paraId="702275F9" w14:textId="77777777" w:rsidR="008715BE" w:rsidRPr="00EC75B7" w:rsidRDefault="00000000">
            <w:pPr>
              <w:pStyle w:val="TableParagraph"/>
              <w:spacing w:before="8"/>
              <w:ind w:left="108" w:right="49"/>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secondary </w:t>
            </w:r>
            <w:r w:rsidRPr="00EC75B7">
              <w:rPr>
                <w:rFonts w:ascii="Verdana" w:hAnsi="Verdana"/>
                <w:spacing w:val="-4"/>
                <w:sz w:val="18"/>
                <w:szCs w:val="18"/>
              </w:rPr>
              <w:t xml:space="preserve">impacts </w:t>
            </w:r>
            <w:r w:rsidRPr="00EC75B7">
              <w:rPr>
                <w:rFonts w:ascii="Verdana" w:hAnsi="Verdana"/>
                <w:sz w:val="18"/>
                <w:szCs w:val="18"/>
              </w:rPr>
              <w:t xml:space="preserve">have </w:t>
            </w:r>
            <w:r w:rsidRPr="00EC75B7">
              <w:rPr>
                <w:rFonts w:ascii="Verdana" w:hAnsi="Verdana"/>
                <w:spacing w:val="-4"/>
                <w:sz w:val="18"/>
                <w:szCs w:val="18"/>
              </w:rPr>
              <w:t>been identified</w:t>
            </w:r>
          </w:p>
          <w:p w14:paraId="7514B329" w14:textId="77777777" w:rsidR="008715BE" w:rsidRPr="00EC75B7" w:rsidRDefault="00000000">
            <w:pPr>
              <w:pStyle w:val="TableParagraph"/>
              <w:spacing w:line="139" w:lineRule="exact"/>
              <w:ind w:left="108"/>
              <w:rPr>
                <w:rFonts w:ascii="Verdana" w:hAnsi="Verdana"/>
                <w:sz w:val="18"/>
                <w:szCs w:val="18"/>
              </w:rPr>
            </w:pPr>
            <w:r w:rsidRPr="00EC75B7">
              <w:rPr>
                <w:rFonts w:ascii="Verdana" w:hAnsi="Verdana"/>
                <w:spacing w:val="-4"/>
                <w:sz w:val="18"/>
                <w:szCs w:val="18"/>
              </w:rPr>
              <w:t>impact</w:t>
            </w:r>
          </w:p>
        </w:tc>
        <w:tc>
          <w:tcPr>
            <w:tcW w:w="991" w:type="dxa"/>
          </w:tcPr>
          <w:p w14:paraId="362A26B4" w14:textId="77777777" w:rsidR="008715BE" w:rsidRPr="00EC75B7" w:rsidRDefault="00000000">
            <w:pPr>
              <w:pStyle w:val="TableParagraph"/>
              <w:spacing w:before="8"/>
              <w:ind w:left="111"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cumulative impacts identified</w:t>
            </w:r>
          </w:p>
        </w:tc>
        <w:tc>
          <w:tcPr>
            <w:tcW w:w="1277" w:type="dxa"/>
          </w:tcPr>
          <w:p w14:paraId="0A1B9625"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357" w:type="dxa"/>
            <w:gridSpan w:val="5"/>
          </w:tcPr>
          <w:p w14:paraId="5F5BB93E"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080" w:type="dxa"/>
          </w:tcPr>
          <w:p w14:paraId="5CDE7B61"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1260" w:type="dxa"/>
          </w:tcPr>
          <w:p w14:paraId="5E301BBE" w14:textId="77777777" w:rsidR="008715BE" w:rsidRPr="00EC75B7" w:rsidRDefault="00000000">
            <w:pPr>
              <w:pStyle w:val="TableParagraph"/>
              <w:spacing w:before="8"/>
              <w:ind w:left="111"/>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c>
          <w:tcPr>
            <w:tcW w:w="900" w:type="dxa"/>
          </w:tcPr>
          <w:p w14:paraId="76A52A40" w14:textId="77777777" w:rsidR="008715BE" w:rsidRPr="00EC75B7" w:rsidRDefault="00000000">
            <w:pPr>
              <w:pStyle w:val="TableParagraph"/>
              <w:spacing w:before="8"/>
              <w:ind w:left="111" w:right="146"/>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3B2DA04C" w14:textId="77777777" w:rsidR="008715BE" w:rsidRPr="00EC75B7" w:rsidRDefault="008715BE">
      <w:pPr>
        <w:pStyle w:val="TableParagraph"/>
        <w:rPr>
          <w:rFonts w:ascii="Verdana" w:hAnsi="Verdana"/>
          <w:sz w:val="18"/>
          <w:szCs w:val="18"/>
        </w:rPr>
        <w:sectPr w:rsidR="008715BE" w:rsidRPr="00EC75B7">
          <w:pgSz w:w="23820" w:h="16840" w:orient="landscape"/>
          <w:pgMar w:top="1120" w:right="850" w:bottom="1020" w:left="566" w:header="766" w:footer="810" w:gutter="0"/>
          <w:cols w:space="708"/>
        </w:sectPr>
      </w:pPr>
    </w:p>
    <w:p w14:paraId="606B635E" w14:textId="77777777" w:rsidR="008715BE" w:rsidRPr="00EC75B7" w:rsidRDefault="00000000">
      <w:pPr>
        <w:pStyle w:val="Heading5"/>
        <w:numPr>
          <w:ilvl w:val="0"/>
          <w:numId w:val="75"/>
        </w:numPr>
        <w:tabs>
          <w:tab w:val="left" w:pos="806"/>
        </w:tabs>
        <w:spacing w:before="99"/>
        <w:ind w:hanging="523"/>
        <w:jc w:val="left"/>
        <w:rPr>
          <w:rFonts w:ascii="Verdana" w:hAnsi="Verdana"/>
        </w:rPr>
      </w:pPr>
      <w:r w:rsidRPr="00EC75B7">
        <w:rPr>
          <w:rFonts w:ascii="Verdana" w:hAnsi="Verdana"/>
          <w:spacing w:val="-2"/>
        </w:rPr>
        <w:lastRenderedPageBreak/>
        <w:t>ROSCI0071/ROSAC0071 Dumbrăveni - Urluia Valley - Lake Vederoasa</w:t>
      </w:r>
    </w:p>
    <w:p w14:paraId="12CFEC3C" w14:textId="77777777" w:rsidR="008715BE" w:rsidRPr="00EC75B7" w:rsidRDefault="008715BE">
      <w:pPr>
        <w:pStyle w:val="BodyText"/>
        <w:spacing w:before="216"/>
        <w:rPr>
          <w:rFonts w:ascii="Verdana" w:hAnsi="Verdana"/>
          <w:b/>
        </w:rPr>
      </w:pPr>
    </w:p>
    <w:p w14:paraId="4DA68087"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079DA6DE" w14:textId="77777777" w:rsidR="008715BE" w:rsidRPr="00EC75B7" w:rsidRDefault="008715BE">
      <w:pPr>
        <w:pStyle w:val="BodyText"/>
        <w:spacing w:before="10"/>
        <w:rPr>
          <w:rFonts w:ascii="Verdana" w:hAnsi="Verdana"/>
          <w:b/>
        </w:rPr>
      </w:pPr>
    </w:p>
    <w:p w14:paraId="461754BC"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081A9215"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spacing w:val="-2"/>
        </w:rPr>
        <w:t xml:space="preserve">Habitat </w:t>
      </w:r>
      <w:r w:rsidRPr="00EC75B7">
        <w:rPr>
          <w:rFonts w:ascii="Verdana" w:hAnsi="Verdana"/>
        </w:rPr>
        <w:t>alteration</w:t>
      </w:r>
    </w:p>
    <w:p w14:paraId="7E62E4AD" w14:textId="77777777" w:rsidR="008715BE" w:rsidRPr="00EC75B7" w:rsidRDefault="008715BE">
      <w:pPr>
        <w:pStyle w:val="BodyText"/>
        <w:spacing w:before="9"/>
        <w:rPr>
          <w:rFonts w:ascii="Verdana" w:hAnsi="Verdana"/>
          <w:b/>
        </w:rPr>
      </w:pPr>
    </w:p>
    <w:p w14:paraId="32EBB1C4"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loss of areas of habitats favorable to species declared of Community interest within the site, but potential habitats of species present within the area studied by the project and also declared at the area level may be affected.</w:t>
      </w:r>
    </w:p>
    <w:p w14:paraId="170F7BDB" w14:textId="77777777" w:rsidR="008715BE" w:rsidRPr="00EC75B7" w:rsidRDefault="00000000">
      <w:pPr>
        <w:pStyle w:val="Heading5"/>
        <w:numPr>
          <w:ilvl w:val="1"/>
          <w:numId w:val="75"/>
        </w:numPr>
        <w:tabs>
          <w:tab w:val="left" w:pos="776"/>
        </w:tabs>
        <w:spacing w:before="124"/>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480F3742" w14:textId="77777777" w:rsidR="008715BE" w:rsidRPr="00EC75B7" w:rsidRDefault="008715BE">
      <w:pPr>
        <w:pStyle w:val="BodyText"/>
        <w:spacing w:before="7"/>
        <w:rPr>
          <w:rFonts w:ascii="Verdana" w:hAnsi="Verdana"/>
          <w:b/>
        </w:rPr>
      </w:pPr>
    </w:p>
    <w:p w14:paraId="0AC7A962" w14:textId="77777777" w:rsidR="008715BE" w:rsidRPr="00EC75B7" w:rsidRDefault="00000000">
      <w:pPr>
        <w:pStyle w:val="BodyText"/>
        <w:spacing w:line="360" w:lineRule="auto"/>
        <w:ind w:left="57" w:right="149"/>
        <w:jc w:val="both"/>
        <w:rPr>
          <w:rFonts w:ascii="Verdana" w:hAnsi="Verdana"/>
        </w:rPr>
      </w:pPr>
      <w:r w:rsidRPr="00EC75B7">
        <w:rPr>
          <w:rFonts w:ascii="Verdana" w:hAnsi="Verdana"/>
        </w:rPr>
        <w:t>The project is not likely to cause habitat fragmentation or disrupt connectivity for species characteristic of this site.</w:t>
      </w:r>
    </w:p>
    <w:p w14:paraId="28B9D63E" w14:textId="77777777" w:rsidR="008715BE" w:rsidRPr="00EC75B7" w:rsidRDefault="00000000">
      <w:pPr>
        <w:pStyle w:val="Heading5"/>
        <w:numPr>
          <w:ilvl w:val="1"/>
          <w:numId w:val="75"/>
        </w:numPr>
        <w:tabs>
          <w:tab w:val="left" w:pos="776"/>
        </w:tabs>
        <w:spacing w:before="119"/>
        <w:ind w:left="776" w:hanging="359"/>
        <w:rPr>
          <w:rFonts w:ascii="Verdana" w:hAnsi="Verdana"/>
        </w:rPr>
      </w:pPr>
      <w:r w:rsidRPr="00EC75B7">
        <w:rPr>
          <w:rFonts w:ascii="Verdana" w:hAnsi="Verdana"/>
        </w:rPr>
        <w:t xml:space="preserve">Disruption of </w:t>
      </w:r>
      <w:r w:rsidRPr="00EC75B7">
        <w:rPr>
          <w:rFonts w:ascii="Verdana" w:hAnsi="Verdana"/>
          <w:spacing w:val="-2"/>
        </w:rPr>
        <w:t xml:space="preserve">fauna </w:t>
      </w:r>
      <w:r w:rsidRPr="00EC75B7">
        <w:rPr>
          <w:rFonts w:ascii="Verdana" w:hAnsi="Verdana"/>
        </w:rPr>
        <w:t>species activity</w:t>
      </w:r>
    </w:p>
    <w:p w14:paraId="7C5CC07E" w14:textId="77777777" w:rsidR="008715BE" w:rsidRPr="00EC75B7" w:rsidRDefault="008715BE">
      <w:pPr>
        <w:pStyle w:val="BodyText"/>
        <w:spacing w:before="6"/>
        <w:rPr>
          <w:rFonts w:ascii="Verdana" w:hAnsi="Verdana"/>
          <w:b/>
        </w:rPr>
      </w:pPr>
    </w:p>
    <w:p w14:paraId="0D5195EA" w14:textId="77777777" w:rsidR="008715BE" w:rsidRPr="00EC75B7" w:rsidRDefault="00000000">
      <w:pPr>
        <w:pStyle w:val="BodyText"/>
        <w:spacing w:line="360" w:lineRule="auto"/>
        <w:ind w:left="57" w:right="137"/>
        <w:jc w:val="both"/>
        <w:rPr>
          <w:rFonts w:ascii="Verdana" w:hAnsi="Verdana"/>
        </w:rPr>
      </w:pPr>
      <w:r w:rsidRPr="00EC75B7">
        <w:rPr>
          <w:rFonts w:ascii="Verdana" w:hAnsi="Verdana"/>
        </w:rPr>
        <w:t xml:space="preserve">Both during construction and operation, there is a risk that the project will disturb species due to reduced food resources, noise and vibrations, or atmospheric emissions, particularly for </w:t>
      </w:r>
      <w:r w:rsidRPr="00EC75B7">
        <w:rPr>
          <w:rFonts w:ascii="Verdana" w:hAnsi="Verdana"/>
          <w:i/>
        </w:rPr>
        <w:t xml:space="preserve">Spermophilus citellus </w:t>
      </w:r>
      <w:r w:rsidRPr="00EC75B7">
        <w:rPr>
          <w:rFonts w:ascii="Verdana" w:hAnsi="Verdana"/>
        </w:rPr>
        <w:t xml:space="preserve">and Miniopterus </w:t>
      </w:r>
      <w:r w:rsidRPr="00EC75B7">
        <w:rPr>
          <w:rFonts w:ascii="Verdana" w:hAnsi="Verdana"/>
          <w:spacing w:val="-2"/>
        </w:rPr>
        <w:t>schreibersii.</w:t>
      </w:r>
    </w:p>
    <w:p w14:paraId="0DF0FA78" w14:textId="77777777" w:rsidR="008715BE" w:rsidRPr="00EC75B7" w:rsidRDefault="00000000">
      <w:pPr>
        <w:pStyle w:val="Heading5"/>
        <w:numPr>
          <w:ilvl w:val="1"/>
          <w:numId w:val="75"/>
        </w:numPr>
        <w:tabs>
          <w:tab w:val="left" w:pos="775"/>
        </w:tabs>
        <w:spacing w:before="115"/>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70C57381" w14:textId="77777777" w:rsidR="008715BE" w:rsidRPr="00EC75B7" w:rsidRDefault="008715BE">
      <w:pPr>
        <w:pStyle w:val="BodyText"/>
        <w:spacing w:before="9"/>
        <w:rPr>
          <w:rFonts w:ascii="Verdana" w:hAnsi="Verdana"/>
          <w:b/>
        </w:rPr>
      </w:pPr>
    </w:p>
    <w:p w14:paraId="61ED189E" w14:textId="77777777" w:rsidR="008715BE" w:rsidRPr="00EC75B7" w:rsidRDefault="00000000">
      <w:pPr>
        <w:pStyle w:val="BodyText"/>
        <w:spacing w:before="1" w:line="360" w:lineRule="auto"/>
        <w:ind w:left="57" w:right="143"/>
        <w:jc w:val="both"/>
        <w:rPr>
          <w:rFonts w:ascii="Verdana" w:hAnsi="Verdana"/>
        </w:rPr>
      </w:pPr>
      <w:r w:rsidRPr="00EC75B7">
        <w:rPr>
          <w:rFonts w:ascii="Verdana" w:hAnsi="Verdana"/>
        </w:rPr>
        <w:t xml:space="preserve">There is a possibility that the project will cause casualties during both the construction and operation phases. During the construction phase, possible casualties include the species </w:t>
      </w:r>
      <w:r w:rsidRPr="00EC75B7">
        <w:rPr>
          <w:rFonts w:ascii="Verdana" w:hAnsi="Verdana"/>
          <w:i/>
        </w:rPr>
        <w:t>Spermophilus citellus</w:t>
      </w:r>
      <w:r w:rsidRPr="00EC75B7">
        <w:rPr>
          <w:rFonts w:ascii="Verdana" w:hAnsi="Verdana"/>
        </w:rPr>
        <w:t xml:space="preserve">, and during the operation phase, individuals of the species </w:t>
      </w:r>
      <w:r w:rsidRPr="00EC75B7">
        <w:rPr>
          <w:rFonts w:ascii="Verdana" w:hAnsi="Verdana"/>
          <w:i/>
        </w:rPr>
        <w:t>Miniopterus schreibersii</w:t>
      </w:r>
      <w:r w:rsidRPr="00EC75B7">
        <w:rPr>
          <w:rFonts w:ascii="Verdana" w:hAnsi="Verdana"/>
        </w:rPr>
        <w:t>.</w:t>
      </w:r>
    </w:p>
    <w:p w14:paraId="5FD64FDF" w14:textId="77777777" w:rsidR="008715BE" w:rsidRPr="00EC75B7" w:rsidRDefault="008715BE">
      <w:pPr>
        <w:pStyle w:val="BodyText"/>
        <w:rPr>
          <w:rFonts w:ascii="Verdana" w:hAnsi="Verdana"/>
        </w:rPr>
      </w:pPr>
    </w:p>
    <w:p w14:paraId="3BC2FC1F" w14:textId="77777777" w:rsidR="008715BE" w:rsidRPr="00EC75B7" w:rsidRDefault="008715BE">
      <w:pPr>
        <w:pStyle w:val="BodyText"/>
        <w:spacing w:before="124"/>
        <w:rPr>
          <w:rFonts w:ascii="Verdana" w:hAnsi="Verdana"/>
        </w:rPr>
      </w:pPr>
    </w:p>
    <w:p w14:paraId="424F107F" w14:textId="77777777" w:rsidR="008715BE" w:rsidRPr="00EC75B7" w:rsidRDefault="00000000">
      <w:pPr>
        <w:pStyle w:val="Heading5"/>
        <w:numPr>
          <w:ilvl w:val="0"/>
          <w:numId w:val="75"/>
        </w:numPr>
        <w:tabs>
          <w:tab w:val="left" w:pos="806"/>
        </w:tabs>
        <w:ind w:hanging="621"/>
        <w:jc w:val="left"/>
        <w:rPr>
          <w:rFonts w:ascii="Verdana" w:hAnsi="Verdana"/>
        </w:rPr>
      </w:pPr>
      <w:r w:rsidRPr="00EC75B7">
        <w:rPr>
          <w:rFonts w:ascii="Verdana" w:hAnsi="Verdana"/>
          <w:spacing w:val="-2"/>
        </w:rPr>
        <w:t xml:space="preserve">ROSCI0157/ROSAC157 Hagieni Forest - Cotul </w:t>
      </w:r>
      <w:r w:rsidRPr="00EC75B7">
        <w:rPr>
          <w:rFonts w:ascii="Verdana" w:hAnsi="Verdana"/>
          <w:spacing w:val="-4"/>
        </w:rPr>
        <w:t>Văii</w:t>
      </w:r>
    </w:p>
    <w:p w14:paraId="6E38ACCE" w14:textId="77777777" w:rsidR="008715BE" w:rsidRPr="00EC75B7" w:rsidRDefault="008715BE">
      <w:pPr>
        <w:pStyle w:val="BodyText"/>
        <w:spacing w:before="216"/>
        <w:rPr>
          <w:rFonts w:ascii="Verdana" w:hAnsi="Verdana"/>
          <w:b/>
        </w:rPr>
      </w:pPr>
    </w:p>
    <w:p w14:paraId="0F4A3E6B"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2E4951C9" w14:textId="77777777" w:rsidR="008715BE" w:rsidRPr="00EC75B7" w:rsidRDefault="008715BE">
      <w:pPr>
        <w:pStyle w:val="BodyText"/>
        <w:spacing w:before="9"/>
        <w:rPr>
          <w:rFonts w:ascii="Verdana" w:hAnsi="Verdana"/>
          <w:b/>
        </w:rPr>
      </w:pPr>
    </w:p>
    <w:p w14:paraId="4DD3475D"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3D658F3B" w14:textId="77777777" w:rsidR="008715BE" w:rsidRPr="00EC75B7" w:rsidRDefault="00000000">
      <w:pPr>
        <w:pStyle w:val="Heading5"/>
        <w:numPr>
          <w:ilvl w:val="1"/>
          <w:numId w:val="75"/>
        </w:numPr>
        <w:tabs>
          <w:tab w:val="left" w:pos="775"/>
        </w:tabs>
        <w:spacing w:before="124"/>
        <w:ind w:left="775" w:hanging="358"/>
        <w:rPr>
          <w:rFonts w:ascii="Verdana" w:hAnsi="Verdana"/>
        </w:rPr>
      </w:pPr>
      <w:r w:rsidRPr="00EC75B7">
        <w:rPr>
          <w:rFonts w:ascii="Verdana" w:hAnsi="Verdana"/>
          <w:spacing w:val="-2"/>
        </w:rPr>
        <w:t xml:space="preserve">Habitat </w:t>
      </w:r>
      <w:r w:rsidRPr="00EC75B7">
        <w:rPr>
          <w:rFonts w:ascii="Verdana" w:hAnsi="Verdana"/>
        </w:rPr>
        <w:t>alteration</w:t>
      </w:r>
    </w:p>
    <w:p w14:paraId="7C34991B" w14:textId="77777777" w:rsidR="008715BE" w:rsidRPr="00EC75B7" w:rsidRDefault="008715BE">
      <w:pPr>
        <w:pStyle w:val="BodyText"/>
        <w:spacing w:before="9"/>
        <w:rPr>
          <w:rFonts w:ascii="Verdana" w:hAnsi="Verdana"/>
          <w:b/>
        </w:rPr>
      </w:pPr>
    </w:p>
    <w:p w14:paraId="08E29660" w14:textId="77777777" w:rsidR="008715BE" w:rsidRPr="00EC75B7" w:rsidRDefault="00000000">
      <w:pPr>
        <w:pStyle w:val="BodyText"/>
        <w:spacing w:before="1"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loss of areas of habitats favorable to species declared of Community interest within the site, but potential habitats of species present within the studied area and also declared at the area level may be affected.</w:t>
      </w:r>
    </w:p>
    <w:p w14:paraId="77AF9433" w14:textId="77777777" w:rsidR="008715BE" w:rsidRPr="00EC75B7" w:rsidRDefault="00000000">
      <w:pPr>
        <w:pStyle w:val="Heading5"/>
        <w:numPr>
          <w:ilvl w:val="1"/>
          <w:numId w:val="75"/>
        </w:numPr>
        <w:tabs>
          <w:tab w:val="left" w:pos="776"/>
        </w:tabs>
        <w:spacing w:before="123"/>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25D552A1" w14:textId="77777777" w:rsidR="008715BE" w:rsidRPr="00EC75B7" w:rsidRDefault="008715BE">
      <w:pPr>
        <w:pStyle w:val="Heading5"/>
        <w:rPr>
          <w:rFonts w:ascii="Verdana" w:hAnsi="Verdana"/>
        </w:rPr>
        <w:sectPr w:rsidR="008715BE" w:rsidRPr="00EC75B7">
          <w:headerReference w:type="default" r:id="rId196"/>
          <w:footerReference w:type="default" r:id="rId197"/>
          <w:pgSz w:w="11910" w:h="16840"/>
          <w:pgMar w:top="1320" w:right="850" w:bottom="1020" w:left="1133" w:header="766" w:footer="824" w:gutter="0"/>
          <w:cols w:space="708"/>
        </w:sectPr>
      </w:pPr>
    </w:p>
    <w:p w14:paraId="03CFA5C3" w14:textId="77777777" w:rsidR="008715BE" w:rsidRPr="00EC75B7" w:rsidRDefault="00000000">
      <w:pPr>
        <w:pStyle w:val="BodyText"/>
        <w:spacing w:before="99" w:line="360" w:lineRule="auto"/>
        <w:ind w:left="57" w:right="149"/>
        <w:jc w:val="both"/>
        <w:rPr>
          <w:rFonts w:ascii="Verdana" w:hAnsi="Verdana"/>
        </w:rPr>
      </w:pPr>
      <w:r w:rsidRPr="00EC75B7">
        <w:rPr>
          <w:rFonts w:ascii="Verdana" w:hAnsi="Verdana"/>
        </w:rPr>
        <w:lastRenderedPageBreak/>
        <w:t>The project is not likely to cause habitat fragmentation or disrupt connectivity for species characteristic of this site.</w:t>
      </w:r>
    </w:p>
    <w:p w14:paraId="5016D0F4" w14:textId="77777777" w:rsidR="008715BE" w:rsidRPr="00EC75B7" w:rsidRDefault="00000000">
      <w:pPr>
        <w:pStyle w:val="Heading5"/>
        <w:numPr>
          <w:ilvl w:val="1"/>
          <w:numId w:val="75"/>
        </w:numPr>
        <w:tabs>
          <w:tab w:val="left" w:pos="776"/>
        </w:tabs>
        <w:spacing w:before="117"/>
        <w:ind w:left="776" w:hanging="359"/>
        <w:rPr>
          <w:rFonts w:ascii="Verdana" w:hAnsi="Verdana"/>
        </w:rPr>
      </w:pPr>
      <w:r w:rsidRPr="00EC75B7">
        <w:rPr>
          <w:rFonts w:ascii="Verdana" w:hAnsi="Verdana"/>
        </w:rPr>
        <w:t xml:space="preserve">Disruption of </w:t>
      </w:r>
      <w:r w:rsidRPr="00EC75B7">
        <w:rPr>
          <w:rFonts w:ascii="Verdana" w:hAnsi="Verdana"/>
          <w:spacing w:val="-2"/>
        </w:rPr>
        <w:t xml:space="preserve">fauna </w:t>
      </w:r>
      <w:r w:rsidRPr="00EC75B7">
        <w:rPr>
          <w:rFonts w:ascii="Verdana" w:hAnsi="Verdana"/>
        </w:rPr>
        <w:t>species activity</w:t>
      </w:r>
    </w:p>
    <w:p w14:paraId="165AF370" w14:textId="77777777" w:rsidR="008715BE" w:rsidRPr="00EC75B7" w:rsidRDefault="008715BE">
      <w:pPr>
        <w:pStyle w:val="BodyText"/>
        <w:spacing w:before="9"/>
        <w:rPr>
          <w:rFonts w:ascii="Verdana" w:hAnsi="Verdana"/>
          <w:b/>
        </w:rPr>
      </w:pPr>
    </w:p>
    <w:p w14:paraId="3A39DE83"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 xml:space="preserve">Both during construction and operation, there is a risk that the project will disturb species due to reduced food resources, noise and vibrations, or atmospheric emissions, particularly for </w:t>
      </w:r>
      <w:r w:rsidRPr="00EC75B7">
        <w:rPr>
          <w:rFonts w:ascii="Verdana" w:hAnsi="Verdana"/>
          <w:i/>
        </w:rPr>
        <w:t>Spermophilus citellus</w:t>
      </w:r>
      <w:r w:rsidRPr="00EC75B7">
        <w:rPr>
          <w:rFonts w:ascii="Verdana" w:hAnsi="Verdana"/>
        </w:rPr>
        <w:t xml:space="preserve">, </w:t>
      </w:r>
      <w:r w:rsidRPr="00EC75B7">
        <w:rPr>
          <w:rFonts w:ascii="Verdana" w:hAnsi="Verdana"/>
          <w:i/>
        </w:rPr>
        <w:t>Miniopterus schreibersii</w:t>
      </w:r>
      <w:r w:rsidRPr="00EC75B7">
        <w:rPr>
          <w:rFonts w:ascii="Verdana" w:hAnsi="Verdana"/>
        </w:rPr>
        <w:t xml:space="preserve">, and </w:t>
      </w:r>
      <w:r w:rsidRPr="00EC75B7">
        <w:rPr>
          <w:rFonts w:ascii="Verdana" w:hAnsi="Verdana"/>
          <w:i/>
        </w:rPr>
        <w:t>Rhinolophus ferrumequinum</w:t>
      </w:r>
      <w:r w:rsidRPr="00EC75B7">
        <w:rPr>
          <w:rFonts w:ascii="Verdana" w:hAnsi="Verdana"/>
        </w:rPr>
        <w:t>.</w:t>
      </w:r>
    </w:p>
    <w:p w14:paraId="591A24B9"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5AFFC4F1" w14:textId="77777777" w:rsidR="008715BE" w:rsidRPr="00EC75B7" w:rsidRDefault="008715BE">
      <w:pPr>
        <w:pStyle w:val="BodyText"/>
        <w:spacing w:before="9"/>
        <w:rPr>
          <w:rFonts w:ascii="Verdana" w:hAnsi="Verdana"/>
          <w:b/>
        </w:rPr>
      </w:pPr>
    </w:p>
    <w:p w14:paraId="2133356F" w14:textId="77777777" w:rsidR="008715BE" w:rsidRPr="00EC75B7" w:rsidRDefault="00000000">
      <w:pPr>
        <w:spacing w:before="1" w:line="357" w:lineRule="auto"/>
        <w:ind w:left="57" w:right="143"/>
        <w:jc w:val="both"/>
        <w:rPr>
          <w:rFonts w:ascii="Verdana" w:hAnsi="Verdana"/>
          <w:sz w:val="18"/>
          <w:szCs w:val="18"/>
        </w:rPr>
      </w:pPr>
      <w:r w:rsidRPr="00EC75B7">
        <w:rPr>
          <w:rFonts w:ascii="Verdana" w:hAnsi="Verdana"/>
          <w:sz w:val="18"/>
          <w:szCs w:val="18"/>
        </w:rPr>
        <w:t xml:space="preserve">There is a possibility that the project will cause casualties both during the construction and operation phases. During the construction phase, possible casualties include </w:t>
      </w:r>
      <w:r w:rsidRPr="00EC75B7">
        <w:rPr>
          <w:rFonts w:ascii="Verdana" w:hAnsi="Verdana"/>
          <w:i/>
          <w:sz w:val="18"/>
          <w:szCs w:val="18"/>
        </w:rPr>
        <w:t>Spermophilus citellus</w:t>
      </w:r>
      <w:r w:rsidRPr="00EC75B7">
        <w:rPr>
          <w:rFonts w:ascii="Verdana" w:hAnsi="Verdana"/>
          <w:sz w:val="18"/>
          <w:szCs w:val="18"/>
        </w:rPr>
        <w:t xml:space="preserve">, and during the operation phase, individuals of the species </w:t>
      </w:r>
      <w:r w:rsidRPr="00EC75B7">
        <w:rPr>
          <w:rFonts w:ascii="Verdana" w:hAnsi="Verdana"/>
          <w:i/>
          <w:sz w:val="18"/>
          <w:szCs w:val="18"/>
        </w:rPr>
        <w:t xml:space="preserve">Miniopterus schreibersii </w:t>
      </w:r>
      <w:r w:rsidRPr="00EC75B7">
        <w:rPr>
          <w:rFonts w:ascii="Verdana" w:hAnsi="Verdana"/>
          <w:sz w:val="18"/>
          <w:szCs w:val="18"/>
        </w:rPr>
        <w:t xml:space="preserve">and </w:t>
      </w:r>
      <w:r w:rsidRPr="00EC75B7">
        <w:rPr>
          <w:rFonts w:ascii="Verdana" w:hAnsi="Verdana"/>
          <w:i/>
          <w:sz w:val="18"/>
          <w:szCs w:val="18"/>
        </w:rPr>
        <w:t>Rhinolophus ferrumequinum</w:t>
      </w:r>
      <w:r w:rsidRPr="00EC75B7">
        <w:rPr>
          <w:rFonts w:ascii="Verdana" w:hAnsi="Verdana"/>
          <w:sz w:val="18"/>
          <w:szCs w:val="18"/>
        </w:rPr>
        <w:t>.</w:t>
      </w:r>
    </w:p>
    <w:p w14:paraId="44959BAC" w14:textId="77777777" w:rsidR="008715BE" w:rsidRPr="00EC75B7" w:rsidRDefault="00000000">
      <w:pPr>
        <w:pStyle w:val="Heading5"/>
        <w:numPr>
          <w:ilvl w:val="0"/>
          <w:numId w:val="75"/>
        </w:numPr>
        <w:tabs>
          <w:tab w:val="left" w:pos="806"/>
        </w:tabs>
        <w:spacing w:before="122"/>
        <w:ind w:hanging="720"/>
        <w:jc w:val="left"/>
        <w:rPr>
          <w:rFonts w:ascii="Verdana" w:hAnsi="Verdana"/>
        </w:rPr>
      </w:pPr>
      <w:r w:rsidRPr="00EC75B7">
        <w:rPr>
          <w:rFonts w:ascii="Verdana" w:hAnsi="Verdana"/>
        </w:rPr>
        <w:t xml:space="preserve">ROSPA0166 Plopeni – </w:t>
      </w:r>
      <w:r w:rsidRPr="00EC75B7">
        <w:rPr>
          <w:rFonts w:ascii="Verdana" w:hAnsi="Verdana"/>
          <w:spacing w:val="-2"/>
        </w:rPr>
        <w:t>Chirnogeni</w:t>
      </w:r>
    </w:p>
    <w:p w14:paraId="3A81DFBD" w14:textId="77777777" w:rsidR="008715BE" w:rsidRPr="00EC75B7" w:rsidRDefault="008715BE">
      <w:pPr>
        <w:pStyle w:val="BodyText"/>
        <w:spacing w:before="216"/>
        <w:rPr>
          <w:rFonts w:ascii="Verdana" w:hAnsi="Verdana"/>
          <w:b/>
        </w:rPr>
      </w:pPr>
    </w:p>
    <w:p w14:paraId="23712FBA"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4840B2C9" w14:textId="77777777" w:rsidR="008715BE" w:rsidRPr="00EC75B7" w:rsidRDefault="008715BE">
      <w:pPr>
        <w:pStyle w:val="BodyText"/>
        <w:spacing w:before="9"/>
        <w:rPr>
          <w:rFonts w:ascii="Verdana" w:hAnsi="Verdana"/>
          <w:b/>
        </w:rPr>
      </w:pPr>
    </w:p>
    <w:p w14:paraId="7517960B" w14:textId="77777777" w:rsidR="008715BE" w:rsidRPr="00EC75B7" w:rsidRDefault="00000000">
      <w:pPr>
        <w:pStyle w:val="BodyText"/>
        <w:spacing w:line="357" w:lineRule="auto"/>
        <w:ind w:left="57" w:right="141"/>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loss of areas of habitats favorable to species declared of Community interest within the site, but potential habitats of species present within the studied area and also declared at the area level may be affected.</w:t>
      </w:r>
    </w:p>
    <w:p w14:paraId="24E419B6"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Alteration </w:t>
      </w:r>
      <w:r w:rsidRPr="00EC75B7">
        <w:rPr>
          <w:rFonts w:ascii="Verdana" w:hAnsi="Verdana"/>
          <w:spacing w:val="-2"/>
        </w:rPr>
        <w:t>of habitats</w:t>
      </w:r>
    </w:p>
    <w:p w14:paraId="5DBB1C61" w14:textId="77777777" w:rsidR="008715BE" w:rsidRPr="00EC75B7" w:rsidRDefault="008715BE">
      <w:pPr>
        <w:pStyle w:val="BodyText"/>
        <w:spacing w:before="10"/>
        <w:rPr>
          <w:rFonts w:ascii="Verdana" w:hAnsi="Verdana"/>
          <w:b/>
        </w:rPr>
      </w:pPr>
    </w:p>
    <w:p w14:paraId="6E3C9718"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257D561A" w14:textId="77777777" w:rsidR="008715BE" w:rsidRPr="00EC75B7" w:rsidRDefault="00000000">
      <w:pPr>
        <w:pStyle w:val="Heading5"/>
        <w:numPr>
          <w:ilvl w:val="1"/>
          <w:numId w:val="75"/>
        </w:numPr>
        <w:tabs>
          <w:tab w:val="left" w:pos="776"/>
        </w:tabs>
        <w:spacing w:before="123"/>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545CE9F4" w14:textId="77777777" w:rsidR="008715BE" w:rsidRPr="00EC75B7" w:rsidRDefault="008715BE">
      <w:pPr>
        <w:pStyle w:val="BodyText"/>
        <w:spacing w:before="7"/>
        <w:rPr>
          <w:rFonts w:ascii="Verdana" w:hAnsi="Verdana"/>
          <w:b/>
        </w:rPr>
      </w:pPr>
    </w:p>
    <w:p w14:paraId="0B880C90" w14:textId="77777777" w:rsidR="008715BE" w:rsidRPr="00EC75B7" w:rsidRDefault="00000000">
      <w:pPr>
        <w:pStyle w:val="BodyText"/>
        <w:ind w:left="57"/>
        <w:rPr>
          <w:rFonts w:ascii="Verdana" w:hAnsi="Verdana"/>
        </w:rPr>
      </w:pPr>
      <w:r w:rsidRPr="00EC75B7">
        <w:rPr>
          <w:rFonts w:ascii="Verdana" w:hAnsi="Verdana"/>
        </w:rPr>
        <w:t>The</w:t>
      </w:r>
      <w:r w:rsidRPr="00EC75B7">
        <w:rPr>
          <w:rFonts w:ascii="Verdana" w:hAnsi="Verdana"/>
          <w:spacing w:val="28"/>
        </w:rPr>
        <w:t xml:space="preserve">  </w:t>
      </w:r>
      <w:r w:rsidRPr="00EC75B7">
        <w:rPr>
          <w:rFonts w:ascii="Verdana" w:hAnsi="Verdana"/>
        </w:rPr>
        <w:t xml:space="preserve"> project is not likely to cause habitat fragmentation or disrupt connectivity </w:t>
      </w:r>
      <w:r w:rsidRPr="00EC75B7">
        <w:rPr>
          <w:rFonts w:ascii="Verdana" w:hAnsi="Verdana"/>
          <w:spacing w:val="-2"/>
        </w:rPr>
        <w:t>for</w:t>
      </w:r>
    </w:p>
    <w:p w14:paraId="7D569865" w14:textId="77777777" w:rsidR="008715BE" w:rsidRPr="00EC75B7" w:rsidRDefault="00000000">
      <w:pPr>
        <w:pStyle w:val="BodyText"/>
        <w:spacing w:before="109"/>
        <w:ind w:left="57"/>
        <w:rPr>
          <w:rFonts w:ascii="Verdana" w:hAnsi="Verdana"/>
        </w:rPr>
      </w:pPr>
      <w:r w:rsidRPr="00EC75B7">
        <w:rPr>
          <w:rFonts w:ascii="Verdana" w:hAnsi="Verdana"/>
          <w:spacing w:val="-2"/>
        </w:rPr>
        <w:t xml:space="preserve">species characteristic of this </w:t>
      </w:r>
      <w:r w:rsidRPr="00EC75B7">
        <w:rPr>
          <w:rFonts w:ascii="Verdana" w:hAnsi="Verdana"/>
          <w:spacing w:val="-4"/>
        </w:rPr>
        <w:t>site.</w:t>
      </w:r>
    </w:p>
    <w:p w14:paraId="7E2161B5" w14:textId="77777777" w:rsidR="008715BE" w:rsidRPr="00EC75B7" w:rsidRDefault="008715BE">
      <w:pPr>
        <w:pStyle w:val="BodyText"/>
        <w:spacing w:before="10"/>
        <w:rPr>
          <w:rFonts w:ascii="Verdana" w:hAnsi="Verdana"/>
        </w:rPr>
      </w:pPr>
    </w:p>
    <w:p w14:paraId="61AE693E" w14:textId="77777777" w:rsidR="008715BE" w:rsidRPr="00EC75B7" w:rsidRDefault="00000000">
      <w:pPr>
        <w:pStyle w:val="Heading5"/>
        <w:numPr>
          <w:ilvl w:val="1"/>
          <w:numId w:val="75"/>
        </w:numPr>
        <w:tabs>
          <w:tab w:val="left" w:pos="776"/>
        </w:tabs>
        <w:ind w:left="776" w:hanging="359"/>
        <w:rPr>
          <w:rFonts w:ascii="Verdana" w:hAnsi="Verdana"/>
        </w:rPr>
      </w:pPr>
      <w:r w:rsidRPr="00EC75B7">
        <w:rPr>
          <w:rFonts w:ascii="Verdana" w:hAnsi="Verdana"/>
        </w:rPr>
        <w:t xml:space="preserve">Disturbance of </w:t>
      </w:r>
      <w:r w:rsidRPr="00EC75B7">
        <w:rPr>
          <w:rFonts w:ascii="Verdana" w:hAnsi="Verdana"/>
          <w:spacing w:val="-2"/>
        </w:rPr>
        <w:t xml:space="preserve">fauna </w:t>
      </w:r>
      <w:r w:rsidRPr="00EC75B7">
        <w:rPr>
          <w:rFonts w:ascii="Verdana" w:hAnsi="Verdana"/>
        </w:rPr>
        <w:t>species activity</w:t>
      </w:r>
    </w:p>
    <w:p w14:paraId="7B085F8A" w14:textId="77777777" w:rsidR="008715BE" w:rsidRPr="00EC75B7" w:rsidRDefault="008715BE">
      <w:pPr>
        <w:pStyle w:val="BodyText"/>
        <w:spacing w:before="6"/>
        <w:rPr>
          <w:rFonts w:ascii="Verdana" w:hAnsi="Verdana"/>
          <w:b/>
        </w:rPr>
      </w:pPr>
    </w:p>
    <w:p w14:paraId="0B46202E" w14:textId="77777777" w:rsidR="008715BE" w:rsidRPr="00EC75B7" w:rsidRDefault="00000000">
      <w:pPr>
        <w:spacing w:before="1" w:line="360" w:lineRule="auto"/>
        <w:ind w:left="57" w:right="137"/>
        <w:jc w:val="both"/>
        <w:rPr>
          <w:rFonts w:ascii="Verdana" w:hAnsi="Verdana"/>
          <w:sz w:val="18"/>
          <w:szCs w:val="18"/>
        </w:rPr>
      </w:pPr>
      <w:r w:rsidRPr="00EC75B7">
        <w:rPr>
          <w:rFonts w:ascii="Verdana" w:hAnsi="Verdana"/>
          <w:sz w:val="18"/>
          <w:szCs w:val="18"/>
        </w:rPr>
        <w:t xml:space="preserve">Both during construction and operation, there is a risk that the project will disrupt the activity of species due to a reduction in food resources, noise and vibrations, or atmospheric emissions, particularly for the species </w:t>
      </w:r>
      <w:r w:rsidRPr="00EC75B7">
        <w:rPr>
          <w:rFonts w:ascii="Verdana" w:hAnsi="Verdana"/>
          <w:i/>
          <w:sz w:val="18"/>
          <w:szCs w:val="18"/>
        </w:rPr>
        <w:t>Buteo rufinus, Circus cyaneus, Falco columbarius, Falco vespertinus, and Lanius minor</w:t>
      </w:r>
      <w:r w:rsidRPr="00EC75B7">
        <w:rPr>
          <w:rFonts w:ascii="Verdana" w:hAnsi="Verdana"/>
          <w:sz w:val="18"/>
          <w:szCs w:val="18"/>
        </w:rPr>
        <w:t>.</w:t>
      </w:r>
    </w:p>
    <w:p w14:paraId="1C4D3FAF" w14:textId="77777777" w:rsidR="008715BE" w:rsidRPr="00EC75B7" w:rsidRDefault="00000000">
      <w:pPr>
        <w:pStyle w:val="Heading5"/>
        <w:numPr>
          <w:ilvl w:val="1"/>
          <w:numId w:val="75"/>
        </w:numPr>
        <w:tabs>
          <w:tab w:val="left" w:pos="775"/>
        </w:tabs>
        <w:spacing w:before="115"/>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5A90CE2D" w14:textId="77777777" w:rsidR="008715BE" w:rsidRPr="00EC75B7" w:rsidRDefault="008715BE">
      <w:pPr>
        <w:pStyle w:val="BodyText"/>
        <w:spacing w:before="9"/>
        <w:rPr>
          <w:rFonts w:ascii="Verdana" w:hAnsi="Verdana"/>
          <w:b/>
        </w:rPr>
      </w:pPr>
    </w:p>
    <w:p w14:paraId="004277A2" w14:textId="77777777" w:rsidR="008715BE" w:rsidRPr="00EC75B7" w:rsidRDefault="00000000">
      <w:pPr>
        <w:pStyle w:val="BodyText"/>
        <w:ind w:left="57"/>
        <w:rPr>
          <w:rFonts w:ascii="Verdana" w:hAnsi="Verdana"/>
        </w:rPr>
      </w:pPr>
      <w:r w:rsidRPr="00EC75B7">
        <w:rPr>
          <w:rFonts w:ascii="Verdana" w:hAnsi="Verdana"/>
        </w:rPr>
        <w:t>There is a possibility that the</w:t>
      </w:r>
      <w:r w:rsidRPr="00EC75B7">
        <w:rPr>
          <w:rFonts w:ascii="Verdana" w:hAnsi="Verdana"/>
          <w:spacing w:val="30"/>
        </w:rPr>
        <w:t xml:space="preserve">  </w:t>
      </w:r>
      <w:r w:rsidRPr="00EC75B7">
        <w:rPr>
          <w:rFonts w:ascii="Verdana" w:hAnsi="Verdana"/>
        </w:rPr>
        <w:t xml:space="preserve"> project will cause casualties during the operational phase. During the operational phase, </w:t>
      </w:r>
      <w:r w:rsidRPr="00EC75B7">
        <w:rPr>
          <w:rFonts w:ascii="Verdana" w:hAnsi="Verdana"/>
          <w:spacing w:val="-2"/>
        </w:rPr>
        <w:t>possible</w:t>
      </w:r>
    </w:p>
    <w:p w14:paraId="10F428D1" w14:textId="77777777" w:rsidR="008715BE" w:rsidRPr="00EC75B7" w:rsidRDefault="00000000">
      <w:pPr>
        <w:spacing w:before="109"/>
        <w:ind w:left="57"/>
        <w:rPr>
          <w:rFonts w:ascii="Verdana" w:hAnsi="Verdana"/>
          <w:sz w:val="18"/>
          <w:szCs w:val="18"/>
        </w:rPr>
      </w:pPr>
      <w:r w:rsidRPr="00EC75B7">
        <w:rPr>
          <w:rFonts w:ascii="Verdana" w:hAnsi="Verdana"/>
          <w:sz w:val="18"/>
          <w:szCs w:val="18"/>
        </w:rPr>
        <w:t xml:space="preserve">victims of the species </w:t>
      </w:r>
      <w:r w:rsidRPr="00EC75B7">
        <w:rPr>
          <w:rFonts w:ascii="Verdana" w:hAnsi="Verdana"/>
          <w:i/>
          <w:sz w:val="18"/>
          <w:szCs w:val="18"/>
        </w:rPr>
        <w:t xml:space="preserve">Buteo rufinus, Circus cyaneus, Falco columbarius, Falco vespertinus, Lanius </w:t>
      </w:r>
      <w:r w:rsidRPr="00EC75B7">
        <w:rPr>
          <w:rFonts w:ascii="Verdana" w:hAnsi="Verdana"/>
          <w:i/>
          <w:spacing w:val="-2"/>
          <w:sz w:val="18"/>
          <w:szCs w:val="18"/>
        </w:rPr>
        <w:t>minor</w:t>
      </w:r>
      <w:r w:rsidRPr="00EC75B7">
        <w:rPr>
          <w:rFonts w:ascii="Verdana" w:hAnsi="Verdana"/>
          <w:spacing w:val="-2"/>
          <w:sz w:val="18"/>
          <w:szCs w:val="18"/>
        </w:rPr>
        <w:t>.</w:t>
      </w:r>
    </w:p>
    <w:p w14:paraId="01CE9ECA" w14:textId="77777777" w:rsidR="008715BE" w:rsidRPr="00EC75B7" w:rsidRDefault="008715BE">
      <w:pPr>
        <w:pStyle w:val="BodyText"/>
        <w:spacing w:before="7"/>
        <w:rPr>
          <w:rFonts w:ascii="Verdana" w:hAnsi="Verdana"/>
        </w:rPr>
      </w:pPr>
    </w:p>
    <w:p w14:paraId="6EAE6A74" w14:textId="77777777" w:rsidR="008715BE" w:rsidRPr="00EC75B7" w:rsidRDefault="00000000">
      <w:pPr>
        <w:pStyle w:val="Heading5"/>
        <w:numPr>
          <w:ilvl w:val="0"/>
          <w:numId w:val="75"/>
        </w:numPr>
        <w:tabs>
          <w:tab w:val="left" w:pos="806"/>
        </w:tabs>
        <w:ind w:hanging="662"/>
        <w:jc w:val="left"/>
        <w:rPr>
          <w:rFonts w:ascii="Verdana" w:hAnsi="Verdana"/>
        </w:rPr>
      </w:pPr>
      <w:r w:rsidRPr="00EC75B7">
        <w:rPr>
          <w:rFonts w:ascii="Verdana" w:hAnsi="Verdana"/>
        </w:rPr>
        <w:t xml:space="preserve">ROSPA0036 </w:t>
      </w:r>
      <w:r w:rsidRPr="00EC75B7">
        <w:rPr>
          <w:rFonts w:ascii="Verdana" w:hAnsi="Verdana"/>
          <w:spacing w:val="-2"/>
        </w:rPr>
        <w:t>Dumbrăveni</w:t>
      </w:r>
    </w:p>
    <w:p w14:paraId="3436C395" w14:textId="77777777" w:rsidR="008715BE" w:rsidRPr="00EC75B7" w:rsidRDefault="008715BE">
      <w:pPr>
        <w:pStyle w:val="BodyText"/>
        <w:spacing w:before="218"/>
        <w:rPr>
          <w:rFonts w:ascii="Verdana" w:hAnsi="Verdana"/>
          <w:b/>
        </w:rPr>
      </w:pPr>
    </w:p>
    <w:p w14:paraId="33FA0D36"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1AD9A18B" w14:textId="77777777" w:rsidR="008715BE" w:rsidRPr="00EC75B7" w:rsidRDefault="008715BE">
      <w:pPr>
        <w:pStyle w:val="ListParagraph"/>
        <w:jc w:val="both"/>
        <w:rPr>
          <w:rFonts w:ascii="Verdana" w:hAnsi="Verdana"/>
          <w:b/>
          <w:sz w:val="18"/>
          <w:szCs w:val="18"/>
        </w:rPr>
        <w:sectPr w:rsidR="008715BE" w:rsidRPr="00EC75B7">
          <w:pgSz w:w="11910" w:h="16840"/>
          <w:pgMar w:top="1320" w:right="850" w:bottom="1020" w:left="1133" w:header="766" w:footer="824" w:gutter="0"/>
          <w:cols w:space="708"/>
        </w:sectPr>
      </w:pPr>
    </w:p>
    <w:p w14:paraId="2A170B91" w14:textId="77777777" w:rsidR="008715BE" w:rsidRPr="00EC75B7" w:rsidRDefault="00000000">
      <w:pPr>
        <w:pStyle w:val="BodyText"/>
        <w:spacing w:before="99" w:line="357" w:lineRule="auto"/>
        <w:ind w:left="57" w:right="137"/>
        <w:jc w:val="both"/>
        <w:rPr>
          <w:rFonts w:ascii="Verdana" w:hAnsi="Verdana"/>
        </w:rPr>
      </w:pPr>
      <w:r w:rsidRPr="00EC75B7">
        <w:rPr>
          <w:rFonts w:ascii="Verdana" w:hAnsi="Verdana"/>
        </w:rPr>
        <w:lastRenderedPageBreak/>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51238ABF" w14:textId="77777777" w:rsidR="008715BE" w:rsidRPr="00EC75B7" w:rsidRDefault="00000000">
      <w:pPr>
        <w:pStyle w:val="Heading5"/>
        <w:numPr>
          <w:ilvl w:val="1"/>
          <w:numId w:val="75"/>
        </w:numPr>
        <w:tabs>
          <w:tab w:val="left" w:pos="775"/>
        </w:tabs>
        <w:spacing w:before="124"/>
        <w:ind w:left="775" w:hanging="358"/>
        <w:rPr>
          <w:rFonts w:ascii="Verdana" w:hAnsi="Verdana"/>
        </w:rPr>
      </w:pPr>
      <w:r w:rsidRPr="00EC75B7">
        <w:rPr>
          <w:rFonts w:ascii="Verdana" w:hAnsi="Verdana"/>
        </w:rPr>
        <w:t xml:space="preserve">Alteration </w:t>
      </w:r>
      <w:r w:rsidRPr="00EC75B7">
        <w:rPr>
          <w:rFonts w:ascii="Verdana" w:hAnsi="Verdana"/>
          <w:spacing w:val="-2"/>
        </w:rPr>
        <w:t>of habitats</w:t>
      </w:r>
    </w:p>
    <w:p w14:paraId="5B8EAFC1" w14:textId="77777777" w:rsidR="008715BE" w:rsidRPr="00EC75B7" w:rsidRDefault="008715BE">
      <w:pPr>
        <w:pStyle w:val="BodyText"/>
        <w:spacing w:before="7"/>
        <w:rPr>
          <w:rFonts w:ascii="Verdana" w:hAnsi="Verdana"/>
          <w:b/>
        </w:rPr>
      </w:pPr>
    </w:p>
    <w:p w14:paraId="0BF96E4F" w14:textId="77777777" w:rsidR="008715BE" w:rsidRPr="00EC75B7" w:rsidRDefault="00000000">
      <w:pPr>
        <w:pStyle w:val="BodyText"/>
        <w:spacing w:line="360"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7B099574" w14:textId="77777777" w:rsidR="008715BE" w:rsidRPr="00EC75B7" w:rsidRDefault="00000000">
      <w:pPr>
        <w:pStyle w:val="Heading5"/>
        <w:numPr>
          <w:ilvl w:val="1"/>
          <w:numId w:val="75"/>
        </w:numPr>
        <w:tabs>
          <w:tab w:val="left" w:pos="776"/>
        </w:tabs>
        <w:spacing w:before="114"/>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39B76B4B" w14:textId="77777777" w:rsidR="008715BE" w:rsidRPr="00EC75B7" w:rsidRDefault="008715BE">
      <w:pPr>
        <w:pStyle w:val="BodyText"/>
        <w:spacing w:before="9"/>
        <w:rPr>
          <w:rFonts w:ascii="Verdana" w:hAnsi="Verdana"/>
          <w:b/>
        </w:rPr>
      </w:pPr>
    </w:p>
    <w:p w14:paraId="4C9BE24E" w14:textId="77777777" w:rsidR="008715BE" w:rsidRPr="00EC75B7" w:rsidRDefault="00000000">
      <w:pPr>
        <w:pStyle w:val="BodyText"/>
        <w:spacing w:before="1" w:line="360" w:lineRule="auto"/>
        <w:ind w:left="57" w:right="149"/>
        <w:jc w:val="both"/>
        <w:rPr>
          <w:rFonts w:ascii="Verdana" w:hAnsi="Verdana"/>
        </w:rPr>
      </w:pPr>
      <w:r w:rsidRPr="00EC75B7">
        <w:rPr>
          <w:rFonts w:ascii="Verdana" w:hAnsi="Verdana"/>
        </w:rPr>
        <w:t>The project is not likely to cause habitat fragmentation or disrupt connectivity for species characteristic of this site.</w:t>
      </w:r>
    </w:p>
    <w:p w14:paraId="13459DCF" w14:textId="77777777" w:rsidR="008715BE" w:rsidRPr="00EC75B7" w:rsidRDefault="00000000">
      <w:pPr>
        <w:pStyle w:val="Heading5"/>
        <w:numPr>
          <w:ilvl w:val="1"/>
          <w:numId w:val="75"/>
        </w:numPr>
        <w:tabs>
          <w:tab w:val="left" w:pos="776"/>
        </w:tabs>
        <w:spacing w:before="119"/>
        <w:ind w:left="776" w:hanging="359"/>
        <w:rPr>
          <w:rFonts w:ascii="Verdana" w:hAnsi="Verdana"/>
        </w:rPr>
      </w:pPr>
      <w:r w:rsidRPr="00EC75B7">
        <w:rPr>
          <w:rFonts w:ascii="Verdana" w:hAnsi="Verdana"/>
        </w:rPr>
        <w:t xml:space="preserve">Disturbance of </w:t>
      </w:r>
      <w:r w:rsidRPr="00EC75B7">
        <w:rPr>
          <w:rFonts w:ascii="Verdana" w:hAnsi="Verdana"/>
          <w:spacing w:val="-2"/>
        </w:rPr>
        <w:t xml:space="preserve">fauna </w:t>
      </w:r>
      <w:r w:rsidRPr="00EC75B7">
        <w:rPr>
          <w:rFonts w:ascii="Verdana" w:hAnsi="Verdana"/>
        </w:rPr>
        <w:t>species</w:t>
      </w:r>
    </w:p>
    <w:p w14:paraId="70C3CF02" w14:textId="77777777" w:rsidR="008715BE" w:rsidRPr="00EC75B7" w:rsidRDefault="008715BE">
      <w:pPr>
        <w:pStyle w:val="BodyText"/>
        <w:spacing w:before="6"/>
        <w:rPr>
          <w:rFonts w:ascii="Verdana" w:hAnsi="Verdana"/>
          <w:b/>
        </w:rPr>
      </w:pPr>
    </w:p>
    <w:p w14:paraId="22E98480" w14:textId="77777777" w:rsidR="008715BE" w:rsidRPr="00EC75B7" w:rsidRDefault="00000000">
      <w:pPr>
        <w:spacing w:before="1" w:line="357" w:lineRule="auto"/>
        <w:ind w:left="57" w:right="139"/>
        <w:jc w:val="both"/>
        <w:rPr>
          <w:rFonts w:ascii="Verdana" w:hAnsi="Verdana"/>
          <w:sz w:val="18"/>
          <w:szCs w:val="18"/>
        </w:rPr>
      </w:pPr>
      <w:r w:rsidRPr="00EC75B7">
        <w:rPr>
          <w:rFonts w:ascii="Verdana" w:hAnsi="Verdana"/>
          <w:sz w:val="18"/>
          <w:szCs w:val="18"/>
        </w:rPr>
        <w:t xml:space="preserve">Both during construction and operation, there is a risk that the project will lead to disturbance of species activity due to reduced food resources, noise and vibrations, or atmospheric emissions, particularly for the species </w:t>
      </w:r>
      <w:r w:rsidRPr="00EC75B7">
        <w:rPr>
          <w:rFonts w:ascii="Verdana" w:hAnsi="Verdana"/>
          <w:i/>
          <w:sz w:val="18"/>
          <w:szCs w:val="18"/>
        </w:rPr>
        <w:t>Buteo rufinus, Circus cyaneus, Circus pygargus, Falco tinnunculus, Falco subbuteo, and Jynx torquilla</w:t>
      </w:r>
      <w:r w:rsidRPr="00EC75B7">
        <w:rPr>
          <w:rFonts w:ascii="Verdana" w:hAnsi="Verdana"/>
          <w:sz w:val="18"/>
          <w:szCs w:val="18"/>
        </w:rPr>
        <w:t>.</w:t>
      </w:r>
    </w:p>
    <w:p w14:paraId="738CF73E"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01F5F013" w14:textId="77777777" w:rsidR="008715BE" w:rsidRPr="00EC75B7" w:rsidRDefault="008715BE">
      <w:pPr>
        <w:pStyle w:val="BodyText"/>
        <w:spacing w:before="9"/>
        <w:rPr>
          <w:rFonts w:ascii="Verdana" w:hAnsi="Verdana"/>
          <w:b/>
        </w:rPr>
      </w:pPr>
    </w:p>
    <w:p w14:paraId="5307C7C4" w14:textId="77777777" w:rsidR="008715BE" w:rsidRPr="00EC75B7" w:rsidRDefault="00000000">
      <w:pPr>
        <w:spacing w:line="357" w:lineRule="auto"/>
        <w:ind w:left="57" w:right="147"/>
        <w:jc w:val="both"/>
        <w:rPr>
          <w:rFonts w:ascii="Verdana" w:hAnsi="Verdana"/>
          <w:sz w:val="18"/>
          <w:szCs w:val="18"/>
        </w:rPr>
      </w:pPr>
      <w:r w:rsidRPr="00EC75B7">
        <w:rPr>
          <w:rFonts w:ascii="Verdana" w:hAnsi="Verdana"/>
          <w:sz w:val="18"/>
          <w:szCs w:val="18"/>
        </w:rPr>
        <w:t xml:space="preserve">There is a possibility that the project will cause casualties during the operational phase. During the operational phase, possible casualties include the species </w:t>
      </w:r>
      <w:r w:rsidRPr="00EC75B7">
        <w:rPr>
          <w:rFonts w:ascii="Verdana" w:hAnsi="Verdana"/>
          <w:i/>
          <w:sz w:val="18"/>
          <w:szCs w:val="18"/>
        </w:rPr>
        <w:t xml:space="preserve">Buteo rufinus, Circus cyaneus, Circus pygargus, Falco tinnunculus, Falco subbuteo, and Jynx </w:t>
      </w:r>
      <w:r w:rsidRPr="00EC75B7">
        <w:rPr>
          <w:rFonts w:ascii="Verdana" w:hAnsi="Verdana"/>
          <w:i/>
          <w:spacing w:val="-2"/>
          <w:sz w:val="18"/>
          <w:szCs w:val="18"/>
        </w:rPr>
        <w:t>torquilla</w:t>
      </w:r>
      <w:r w:rsidRPr="00EC75B7">
        <w:rPr>
          <w:rFonts w:ascii="Verdana" w:hAnsi="Verdana"/>
          <w:spacing w:val="-2"/>
          <w:sz w:val="18"/>
          <w:szCs w:val="18"/>
        </w:rPr>
        <w:t>.</w:t>
      </w:r>
    </w:p>
    <w:p w14:paraId="6C879341" w14:textId="77777777" w:rsidR="008715BE" w:rsidRPr="00EC75B7" w:rsidRDefault="00000000">
      <w:pPr>
        <w:pStyle w:val="Heading5"/>
        <w:numPr>
          <w:ilvl w:val="0"/>
          <w:numId w:val="75"/>
        </w:numPr>
        <w:tabs>
          <w:tab w:val="left" w:pos="806"/>
        </w:tabs>
        <w:spacing w:before="122"/>
        <w:ind w:hanging="564"/>
        <w:jc w:val="left"/>
        <w:rPr>
          <w:rFonts w:ascii="Verdana" w:hAnsi="Verdana"/>
        </w:rPr>
      </w:pPr>
      <w:r w:rsidRPr="00EC75B7">
        <w:rPr>
          <w:rFonts w:ascii="Verdana" w:hAnsi="Verdana"/>
        </w:rPr>
        <w:t xml:space="preserve">ROSPA0094 </w:t>
      </w:r>
      <w:r w:rsidRPr="00EC75B7">
        <w:rPr>
          <w:rFonts w:ascii="Verdana" w:hAnsi="Verdana"/>
          <w:spacing w:val="-2"/>
        </w:rPr>
        <w:t xml:space="preserve">Hagieni </w:t>
      </w:r>
      <w:r w:rsidRPr="00EC75B7">
        <w:rPr>
          <w:rFonts w:ascii="Verdana" w:hAnsi="Verdana"/>
        </w:rPr>
        <w:t>Forest</w:t>
      </w:r>
    </w:p>
    <w:p w14:paraId="2829086B" w14:textId="77777777" w:rsidR="008715BE" w:rsidRPr="00EC75B7" w:rsidRDefault="008715BE">
      <w:pPr>
        <w:pStyle w:val="BodyText"/>
        <w:spacing w:before="218"/>
        <w:rPr>
          <w:rFonts w:ascii="Verdana" w:hAnsi="Verdana"/>
          <w:b/>
        </w:rPr>
      </w:pPr>
    </w:p>
    <w:p w14:paraId="4934C89D" w14:textId="77777777" w:rsidR="008715BE" w:rsidRPr="00EC75B7" w:rsidRDefault="00000000">
      <w:pPr>
        <w:pStyle w:val="ListParagraph"/>
        <w:numPr>
          <w:ilvl w:val="1"/>
          <w:numId w:val="75"/>
        </w:numPr>
        <w:tabs>
          <w:tab w:val="left" w:pos="775"/>
        </w:tabs>
        <w:spacing w:before="1"/>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0900FD6A" w14:textId="77777777" w:rsidR="008715BE" w:rsidRPr="00EC75B7" w:rsidRDefault="008715BE">
      <w:pPr>
        <w:pStyle w:val="BodyText"/>
        <w:spacing w:before="6"/>
        <w:rPr>
          <w:rFonts w:ascii="Verdana" w:hAnsi="Verdana"/>
          <w:b/>
        </w:rPr>
      </w:pPr>
    </w:p>
    <w:p w14:paraId="06067ED6" w14:textId="77777777" w:rsidR="008715BE" w:rsidRPr="00EC75B7" w:rsidRDefault="00000000">
      <w:pPr>
        <w:pStyle w:val="BodyText"/>
        <w:spacing w:before="1"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loss of areas of habitats favorable to species declared of Community interest within the site, but potential habitats of species present within the area studied by the project and also declared at the area level may be affected.</w:t>
      </w:r>
    </w:p>
    <w:p w14:paraId="423C9B7A"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Alteration </w:t>
      </w:r>
      <w:r w:rsidRPr="00EC75B7">
        <w:rPr>
          <w:rFonts w:ascii="Verdana" w:hAnsi="Verdana"/>
          <w:spacing w:val="-2"/>
        </w:rPr>
        <w:t>of habitats</w:t>
      </w:r>
    </w:p>
    <w:p w14:paraId="2A2578F4" w14:textId="77777777" w:rsidR="008715BE" w:rsidRPr="00EC75B7" w:rsidRDefault="008715BE">
      <w:pPr>
        <w:pStyle w:val="BodyText"/>
        <w:spacing w:before="9"/>
        <w:rPr>
          <w:rFonts w:ascii="Verdana" w:hAnsi="Verdana"/>
          <w:b/>
        </w:rPr>
      </w:pPr>
    </w:p>
    <w:p w14:paraId="7A9DF61D"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18F7AFB2" w14:textId="77777777" w:rsidR="008715BE" w:rsidRPr="00EC75B7" w:rsidRDefault="008715BE">
      <w:pPr>
        <w:pStyle w:val="BodyText"/>
        <w:rPr>
          <w:rFonts w:ascii="Verdana" w:hAnsi="Verdana"/>
        </w:rPr>
      </w:pPr>
    </w:p>
    <w:p w14:paraId="711C0E90" w14:textId="77777777" w:rsidR="008715BE" w:rsidRPr="00EC75B7" w:rsidRDefault="008715BE">
      <w:pPr>
        <w:pStyle w:val="BodyText"/>
        <w:rPr>
          <w:rFonts w:ascii="Verdana" w:hAnsi="Verdana"/>
        </w:rPr>
      </w:pPr>
    </w:p>
    <w:p w14:paraId="5C678E6A" w14:textId="77777777" w:rsidR="008715BE" w:rsidRPr="00EC75B7" w:rsidRDefault="008715BE">
      <w:pPr>
        <w:pStyle w:val="BodyText"/>
        <w:rPr>
          <w:rFonts w:ascii="Verdana" w:hAnsi="Verdana"/>
        </w:rPr>
      </w:pPr>
    </w:p>
    <w:p w14:paraId="0BCF6C20" w14:textId="77777777" w:rsidR="008715BE" w:rsidRPr="00EC75B7" w:rsidRDefault="008715BE">
      <w:pPr>
        <w:pStyle w:val="BodyText"/>
        <w:spacing w:before="140"/>
        <w:rPr>
          <w:rFonts w:ascii="Verdana" w:hAnsi="Verdana"/>
        </w:rPr>
      </w:pPr>
    </w:p>
    <w:p w14:paraId="2F73C584" w14:textId="77777777" w:rsidR="008715BE" w:rsidRPr="00EC75B7" w:rsidRDefault="00000000">
      <w:pPr>
        <w:pStyle w:val="Heading5"/>
        <w:numPr>
          <w:ilvl w:val="1"/>
          <w:numId w:val="75"/>
        </w:numPr>
        <w:tabs>
          <w:tab w:val="left" w:pos="776"/>
        </w:tabs>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076D3425" w14:textId="77777777" w:rsidR="008715BE" w:rsidRPr="00EC75B7" w:rsidRDefault="008715BE">
      <w:pPr>
        <w:pStyle w:val="BodyText"/>
        <w:spacing w:before="3"/>
        <w:rPr>
          <w:rFonts w:ascii="Verdana" w:hAnsi="Verdana"/>
          <w:b/>
        </w:rPr>
      </w:pPr>
    </w:p>
    <w:p w14:paraId="03762518" w14:textId="77777777" w:rsidR="008715BE" w:rsidRPr="00EC75B7" w:rsidRDefault="00000000">
      <w:pPr>
        <w:pStyle w:val="BodyText"/>
        <w:spacing w:line="360" w:lineRule="auto"/>
        <w:ind w:left="57" w:right="149"/>
        <w:jc w:val="both"/>
        <w:rPr>
          <w:rFonts w:ascii="Verdana" w:hAnsi="Verdana"/>
        </w:rPr>
      </w:pPr>
      <w:r w:rsidRPr="00EC75B7">
        <w:rPr>
          <w:rFonts w:ascii="Verdana" w:hAnsi="Verdana"/>
        </w:rPr>
        <w:t>The project is not likely to cause habitat fragmentation or disruption of connectivity for species characteristic of this site.</w:t>
      </w:r>
    </w:p>
    <w:p w14:paraId="6679BF4A" w14:textId="77777777" w:rsidR="008715BE" w:rsidRPr="00EC75B7" w:rsidRDefault="008715BE">
      <w:pPr>
        <w:pStyle w:val="BodyText"/>
        <w:spacing w:line="360" w:lineRule="auto"/>
        <w:jc w:val="both"/>
        <w:rPr>
          <w:rFonts w:ascii="Verdana" w:hAnsi="Verdana"/>
        </w:rPr>
        <w:sectPr w:rsidR="008715BE" w:rsidRPr="00EC75B7">
          <w:pgSz w:w="11910" w:h="16840"/>
          <w:pgMar w:top="1320" w:right="850" w:bottom="1020" w:left="1133" w:header="766" w:footer="824" w:gutter="0"/>
          <w:cols w:space="708"/>
        </w:sectPr>
      </w:pPr>
    </w:p>
    <w:p w14:paraId="67AC7536" w14:textId="77777777" w:rsidR="008715BE" w:rsidRPr="00EC75B7" w:rsidRDefault="00000000">
      <w:pPr>
        <w:pStyle w:val="Heading5"/>
        <w:numPr>
          <w:ilvl w:val="1"/>
          <w:numId w:val="75"/>
        </w:numPr>
        <w:tabs>
          <w:tab w:val="left" w:pos="776"/>
        </w:tabs>
        <w:spacing w:before="99"/>
        <w:ind w:left="776" w:hanging="359"/>
        <w:rPr>
          <w:rFonts w:ascii="Verdana" w:hAnsi="Verdana"/>
        </w:rPr>
      </w:pPr>
      <w:r w:rsidRPr="00EC75B7">
        <w:rPr>
          <w:rFonts w:ascii="Verdana" w:hAnsi="Verdana"/>
        </w:rPr>
        <w:lastRenderedPageBreak/>
        <w:t xml:space="preserve">Disturbance of </w:t>
      </w:r>
      <w:r w:rsidRPr="00EC75B7">
        <w:rPr>
          <w:rFonts w:ascii="Verdana" w:hAnsi="Verdana"/>
          <w:spacing w:val="-2"/>
        </w:rPr>
        <w:t xml:space="preserve">fauna </w:t>
      </w:r>
      <w:r w:rsidRPr="00EC75B7">
        <w:rPr>
          <w:rFonts w:ascii="Verdana" w:hAnsi="Verdana"/>
        </w:rPr>
        <w:t>species activity</w:t>
      </w:r>
    </w:p>
    <w:p w14:paraId="5E199812" w14:textId="77777777" w:rsidR="008715BE" w:rsidRPr="00EC75B7" w:rsidRDefault="008715BE">
      <w:pPr>
        <w:pStyle w:val="BodyText"/>
        <w:spacing w:before="10"/>
        <w:rPr>
          <w:rFonts w:ascii="Verdana" w:hAnsi="Verdana"/>
          <w:b/>
        </w:rPr>
      </w:pPr>
    </w:p>
    <w:p w14:paraId="16EBC342" w14:textId="77777777" w:rsidR="008715BE" w:rsidRPr="00EC75B7" w:rsidRDefault="00000000">
      <w:pPr>
        <w:spacing w:line="357" w:lineRule="auto"/>
        <w:ind w:left="57" w:right="138"/>
        <w:jc w:val="both"/>
        <w:rPr>
          <w:rFonts w:ascii="Verdana" w:hAnsi="Verdana"/>
          <w:sz w:val="18"/>
          <w:szCs w:val="18"/>
        </w:rPr>
      </w:pPr>
      <w:r w:rsidRPr="00EC75B7">
        <w:rPr>
          <w:rFonts w:ascii="Verdana" w:hAnsi="Verdana"/>
          <w:sz w:val="18"/>
          <w:szCs w:val="18"/>
        </w:rPr>
        <w:t xml:space="preserve">Both during construction and operation, there is a risk that the project will disrupt the activity of species due to a reduction in food resources, noise and vibrations, or atmospheric emissions, particularly for the species </w:t>
      </w:r>
      <w:r w:rsidRPr="00EC75B7">
        <w:rPr>
          <w:rFonts w:ascii="Verdana" w:hAnsi="Verdana"/>
          <w:i/>
          <w:sz w:val="18"/>
          <w:szCs w:val="18"/>
        </w:rPr>
        <w:t>Anser albifrons, Buteo rufinus, Circus cyaneus, Circus pygargus, Falco cherrug, Falco columbarius, Falco peregrinus, Falco subbuteo, Falco tinnunculus, Falco vespertinus, Hieraaetus pennatus, Melanocorypha calandra, and Pernis apivorus</w:t>
      </w:r>
      <w:r w:rsidRPr="00EC75B7">
        <w:rPr>
          <w:rFonts w:ascii="Verdana" w:hAnsi="Verdana"/>
          <w:sz w:val="18"/>
          <w:szCs w:val="18"/>
        </w:rPr>
        <w:t>.</w:t>
      </w:r>
    </w:p>
    <w:p w14:paraId="6DAE70D9" w14:textId="77777777" w:rsidR="008715BE" w:rsidRPr="00EC75B7" w:rsidRDefault="00000000">
      <w:pPr>
        <w:pStyle w:val="Heading5"/>
        <w:numPr>
          <w:ilvl w:val="1"/>
          <w:numId w:val="75"/>
        </w:numPr>
        <w:tabs>
          <w:tab w:val="left" w:pos="775"/>
        </w:tabs>
        <w:spacing w:before="122"/>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582C25AC" w14:textId="77777777" w:rsidR="008715BE" w:rsidRPr="00EC75B7" w:rsidRDefault="008715BE">
      <w:pPr>
        <w:pStyle w:val="BodyText"/>
        <w:spacing w:before="9"/>
        <w:rPr>
          <w:rFonts w:ascii="Verdana" w:hAnsi="Verdana"/>
          <w:b/>
        </w:rPr>
      </w:pPr>
    </w:p>
    <w:p w14:paraId="30AE269B" w14:textId="77777777" w:rsidR="008715BE" w:rsidRPr="00EC75B7" w:rsidRDefault="00000000">
      <w:pPr>
        <w:spacing w:before="1" w:line="357" w:lineRule="auto"/>
        <w:ind w:left="57" w:right="146"/>
        <w:jc w:val="both"/>
        <w:rPr>
          <w:rFonts w:ascii="Verdana" w:hAnsi="Verdana"/>
          <w:b/>
          <w:sz w:val="18"/>
          <w:szCs w:val="18"/>
        </w:rPr>
      </w:pPr>
      <w:r w:rsidRPr="00EC75B7">
        <w:rPr>
          <w:rFonts w:ascii="Verdana" w:hAnsi="Verdana"/>
          <w:sz w:val="18"/>
          <w:szCs w:val="18"/>
        </w:rPr>
        <w:t>There is a possibility that the project may cause casualties during the operational phase.</w:t>
      </w:r>
      <w:r w:rsidRPr="00EC75B7">
        <w:rPr>
          <w:rFonts w:ascii="Verdana" w:hAnsi="Verdana"/>
          <w:spacing w:val="40"/>
          <w:sz w:val="18"/>
          <w:szCs w:val="18"/>
        </w:rPr>
        <w:t xml:space="preserve"> </w:t>
      </w:r>
      <w:r w:rsidRPr="00EC75B7">
        <w:rPr>
          <w:rFonts w:ascii="Verdana" w:hAnsi="Verdana"/>
          <w:sz w:val="18"/>
          <w:szCs w:val="18"/>
        </w:rPr>
        <w:t xml:space="preserve">During the operational phase, possible casualties include the species </w:t>
      </w:r>
      <w:r w:rsidRPr="00EC75B7">
        <w:rPr>
          <w:rFonts w:ascii="Verdana" w:hAnsi="Verdana"/>
          <w:i/>
          <w:sz w:val="18"/>
          <w:szCs w:val="18"/>
        </w:rPr>
        <w:t xml:space="preserve">Anser albifrons, Buteo rufinus, Circus cyaneus, Circus pygargus, Falco cherrug, Falco columbarius, Falco peregrinus, Falco subbuteo, Falco tinnunculus, Falco vespertinus, Hieraaetus pennatus, </w:t>
      </w:r>
      <w:r w:rsidRPr="00EC75B7">
        <w:rPr>
          <w:rFonts w:ascii="Verdana" w:hAnsi="Verdana"/>
          <w:b/>
          <w:i/>
          <w:sz w:val="18"/>
          <w:szCs w:val="18"/>
        </w:rPr>
        <w:t>Melanocorypha calandra, Pernis apivorus</w:t>
      </w:r>
      <w:r w:rsidRPr="00EC75B7">
        <w:rPr>
          <w:rFonts w:ascii="Verdana" w:hAnsi="Verdana"/>
          <w:b/>
          <w:sz w:val="18"/>
          <w:szCs w:val="18"/>
        </w:rPr>
        <w:t>.</w:t>
      </w:r>
    </w:p>
    <w:p w14:paraId="240BCA19" w14:textId="77777777" w:rsidR="008715BE" w:rsidRPr="00EC75B7" w:rsidRDefault="00000000">
      <w:pPr>
        <w:pStyle w:val="BodyText"/>
        <w:spacing w:before="123" w:line="357" w:lineRule="auto"/>
        <w:ind w:left="57" w:right="140"/>
        <w:jc w:val="both"/>
        <w:rPr>
          <w:rFonts w:ascii="Verdana" w:hAnsi="Verdana"/>
        </w:rPr>
      </w:pPr>
      <w:r w:rsidRPr="00EC75B7">
        <w:rPr>
          <w:rFonts w:ascii="Verdana" w:hAnsi="Verdana"/>
        </w:rPr>
        <w:t>For the project "Wind Energy Park 48 (46) wind turbines approx. 316.8MW (303.6MW), Transformer stations, Electrical connection networks, construction and modernisation of communication and access roads", located in the commune of Cerchezu, Constanța County, was issued by the National Agency for Environment and Protected Areas, as the competent authority responsible for the administration of the protected natural areas ROSAC0071 Dumbraveni -Valea Urluia – Lacul Vederoasa, ROSPA0166 Plopeni-Chirnogeni, ROSAC0157 Hagieni Cotul – Vaii Forest, ROSPA0094 Hagieni Forest, ROSPA0151 Ciobanita Osmancea, ROSPA0001 Aliman-Adamclisi, Favorable Opinion No. 81/17.12.2025.</w:t>
      </w:r>
    </w:p>
    <w:p w14:paraId="7354E6FD" w14:textId="77777777" w:rsidR="008715BE" w:rsidRPr="00EC75B7" w:rsidRDefault="00000000">
      <w:pPr>
        <w:pStyle w:val="Heading5"/>
        <w:numPr>
          <w:ilvl w:val="0"/>
          <w:numId w:val="75"/>
        </w:numPr>
        <w:tabs>
          <w:tab w:val="left" w:pos="805"/>
        </w:tabs>
        <w:spacing w:before="125"/>
        <w:ind w:left="805" w:hanging="661"/>
        <w:jc w:val="both"/>
        <w:rPr>
          <w:rFonts w:ascii="Verdana" w:hAnsi="Verdana"/>
        </w:rPr>
      </w:pPr>
      <w:r w:rsidRPr="00EC75B7">
        <w:rPr>
          <w:rFonts w:ascii="Verdana" w:hAnsi="Verdana"/>
        </w:rPr>
        <w:t xml:space="preserve">BG0000569 </w:t>
      </w:r>
      <w:r w:rsidRPr="00EC75B7">
        <w:rPr>
          <w:rFonts w:ascii="Verdana" w:hAnsi="Verdana"/>
          <w:spacing w:val="-2"/>
        </w:rPr>
        <w:t>Kardam</w:t>
      </w:r>
    </w:p>
    <w:p w14:paraId="1B2E63CF" w14:textId="77777777" w:rsidR="008715BE" w:rsidRPr="00EC75B7" w:rsidRDefault="008715BE">
      <w:pPr>
        <w:pStyle w:val="BodyText"/>
        <w:spacing w:before="216"/>
        <w:rPr>
          <w:rFonts w:ascii="Verdana" w:hAnsi="Verdana"/>
          <w:b/>
        </w:rPr>
      </w:pPr>
    </w:p>
    <w:p w14:paraId="5DB7C541"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6E172C45" w14:textId="77777777" w:rsidR="008715BE" w:rsidRPr="00EC75B7" w:rsidRDefault="008715BE">
      <w:pPr>
        <w:pStyle w:val="BodyText"/>
        <w:spacing w:before="9"/>
        <w:rPr>
          <w:rFonts w:ascii="Verdana" w:hAnsi="Verdana"/>
          <w:b/>
        </w:rPr>
      </w:pPr>
    </w:p>
    <w:p w14:paraId="0A0A5538" w14:textId="77777777" w:rsidR="008715BE" w:rsidRPr="00EC75B7" w:rsidRDefault="00000000">
      <w:pPr>
        <w:pStyle w:val="BodyText"/>
        <w:spacing w:before="1"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49740C73"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Alteration </w:t>
      </w:r>
      <w:r w:rsidRPr="00EC75B7">
        <w:rPr>
          <w:rFonts w:ascii="Verdana" w:hAnsi="Verdana"/>
          <w:spacing w:val="-2"/>
        </w:rPr>
        <w:t>of habitats</w:t>
      </w:r>
    </w:p>
    <w:p w14:paraId="040E8015" w14:textId="77777777" w:rsidR="008715BE" w:rsidRPr="00EC75B7" w:rsidRDefault="008715BE">
      <w:pPr>
        <w:pStyle w:val="BodyText"/>
        <w:spacing w:before="9"/>
        <w:rPr>
          <w:rFonts w:ascii="Verdana" w:hAnsi="Verdana"/>
          <w:b/>
        </w:rPr>
      </w:pPr>
    </w:p>
    <w:p w14:paraId="3B54531C" w14:textId="77777777" w:rsidR="008715BE" w:rsidRPr="00EC75B7" w:rsidRDefault="00000000">
      <w:pPr>
        <w:spacing w:before="1" w:line="357" w:lineRule="auto"/>
        <w:ind w:left="57" w:right="137"/>
        <w:jc w:val="both"/>
        <w:rPr>
          <w:rFonts w:ascii="Verdana" w:hAnsi="Verdana"/>
          <w:b/>
          <w:sz w:val="18"/>
          <w:szCs w:val="18"/>
        </w:rPr>
      </w:pPr>
      <w:r w:rsidRPr="00EC75B7">
        <w:rPr>
          <w:rFonts w:ascii="Verdana" w:hAnsi="Verdana"/>
          <w:sz w:val="18"/>
          <w:szCs w:val="18"/>
        </w:rPr>
        <w:t>The proposed area does not intersect the site, and no interventions within the site are necessary for the construction of the project.</w:t>
      </w:r>
      <w:r w:rsidRPr="00EC75B7">
        <w:rPr>
          <w:rFonts w:ascii="Verdana" w:hAnsi="Verdana"/>
          <w:spacing w:val="-9"/>
          <w:sz w:val="18"/>
          <w:szCs w:val="18"/>
        </w:rPr>
        <w:t xml:space="preserve"> </w:t>
      </w:r>
      <w:r w:rsidRPr="00EC75B7">
        <w:rPr>
          <w:rFonts w:ascii="Verdana" w:hAnsi="Verdana"/>
          <w:sz w:val="18"/>
          <w:szCs w:val="18"/>
        </w:rPr>
        <w:t xml:space="preserve">There is no risk of losing areas of habitats favorable to species </w:t>
      </w:r>
      <w:r w:rsidRPr="00EC75B7">
        <w:rPr>
          <w:rFonts w:ascii="Verdana" w:hAnsi="Verdana"/>
          <w:spacing w:val="-2"/>
          <w:sz w:val="18"/>
          <w:szCs w:val="18"/>
        </w:rPr>
        <w:t xml:space="preserve">declared of Community interest within the site, but potential habitats of species </w:t>
      </w:r>
      <w:r w:rsidRPr="00EC75B7">
        <w:rPr>
          <w:rFonts w:ascii="Verdana" w:hAnsi="Verdana"/>
          <w:b/>
          <w:sz w:val="18"/>
          <w:szCs w:val="18"/>
        </w:rPr>
        <w:t xml:space="preserve">present within the studied area and also declared at the area level </w:t>
      </w:r>
      <w:r w:rsidRPr="00EC75B7">
        <w:rPr>
          <w:rFonts w:ascii="Verdana" w:hAnsi="Verdana"/>
          <w:spacing w:val="-2"/>
          <w:sz w:val="18"/>
          <w:szCs w:val="18"/>
        </w:rPr>
        <w:t>may be affected.</w:t>
      </w:r>
    </w:p>
    <w:p w14:paraId="2D053CD4" w14:textId="77777777" w:rsidR="008715BE" w:rsidRPr="00EC75B7" w:rsidRDefault="00000000">
      <w:pPr>
        <w:pStyle w:val="Heading5"/>
        <w:numPr>
          <w:ilvl w:val="1"/>
          <w:numId w:val="75"/>
        </w:numPr>
        <w:tabs>
          <w:tab w:val="left" w:pos="776"/>
        </w:tabs>
        <w:spacing w:before="123"/>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3CFB5AD2" w14:textId="77777777" w:rsidR="008715BE" w:rsidRPr="00EC75B7" w:rsidRDefault="008715BE">
      <w:pPr>
        <w:pStyle w:val="BodyText"/>
        <w:spacing w:before="7"/>
        <w:rPr>
          <w:rFonts w:ascii="Verdana" w:hAnsi="Verdana"/>
          <w:b/>
        </w:rPr>
      </w:pPr>
    </w:p>
    <w:p w14:paraId="11D800E9" w14:textId="77777777" w:rsidR="008715BE" w:rsidRPr="00EC75B7" w:rsidRDefault="00000000">
      <w:pPr>
        <w:pStyle w:val="BodyText"/>
        <w:ind w:left="57"/>
        <w:jc w:val="both"/>
        <w:rPr>
          <w:rFonts w:ascii="Verdana" w:hAnsi="Verdana"/>
        </w:rPr>
      </w:pPr>
      <w:r w:rsidRPr="00EC75B7">
        <w:rPr>
          <w:rFonts w:ascii="Verdana" w:hAnsi="Verdana"/>
        </w:rPr>
        <w:t>The</w:t>
      </w:r>
      <w:r w:rsidRPr="00EC75B7">
        <w:rPr>
          <w:rFonts w:ascii="Verdana" w:hAnsi="Verdana"/>
          <w:spacing w:val="28"/>
        </w:rPr>
        <w:t xml:space="preserve">  </w:t>
      </w:r>
      <w:r w:rsidRPr="00EC75B7">
        <w:rPr>
          <w:rFonts w:ascii="Verdana" w:hAnsi="Verdana"/>
        </w:rPr>
        <w:t xml:space="preserve"> project is not likely to cause habitat fragmentation or disrupt connectivity </w:t>
      </w:r>
      <w:r w:rsidRPr="00EC75B7">
        <w:rPr>
          <w:rFonts w:ascii="Verdana" w:hAnsi="Verdana"/>
          <w:spacing w:val="-2"/>
        </w:rPr>
        <w:t>for</w:t>
      </w:r>
    </w:p>
    <w:p w14:paraId="26A79D39" w14:textId="77777777" w:rsidR="008715BE" w:rsidRPr="00EC75B7" w:rsidRDefault="00000000">
      <w:pPr>
        <w:pStyle w:val="BodyText"/>
        <w:spacing w:before="109"/>
        <w:ind w:left="57"/>
        <w:jc w:val="both"/>
        <w:rPr>
          <w:rFonts w:ascii="Verdana" w:hAnsi="Verdana"/>
        </w:rPr>
      </w:pPr>
      <w:r w:rsidRPr="00EC75B7">
        <w:rPr>
          <w:rFonts w:ascii="Verdana" w:hAnsi="Verdana"/>
          <w:spacing w:val="-2"/>
        </w:rPr>
        <w:t xml:space="preserve">species characteristic of this </w:t>
      </w:r>
      <w:r w:rsidRPr="00EC75B7">
        <w:rPr>
          <w:rFonts w:ascii="Verdana" w:hAnsi="Verdana"/>
          <w:spacing w:val="-4"/>
        </w:rPr>
        <w:t>site.</w:t>
      </w:r>
    </w:p>
    <w:p w14:paraId="07475E7D" w14:textId="77777777" w:rsidR="008715BE" w:rsidRPr="00EC75B7" w:rsidRDefault="008715BE">
      <w:pPr>
        <w:pStyle w:val="BodyText"/>
        <w:spacing w:before="10"/>
        <w:rPr>
          <w:rFonts w:ascii="Verdana" w:hAnsi="Verdana"/>
        </w:rPr>
      </w:pPr>
    </w:p>
    <w:p w14:paraId="58009F86" w14:textId="77777777" w:rsidR="008715BE" w:rsidRPr="00EC75B7" w:rsidRDefault="00000000">
      <w:pPr>
        <w:pStyle w:val="Heading5"/>
        <w:numPr>
          <w:ilvl w:val="1"/>
          <w:numId w:val="75"/>
        </w:numPr>
        <w:tabs>
          <w:tab w:val="left" w:pos="776"/>
        </w:tabs>
        <w:ind w:left="776" w:hanging="359"/>
        <w:rPr>
          <w:rFonts w:ascii="Verdana" w:hAnsi="Verdana"/>
        </w:rPr>
      </w:pPr>
      <w:r w:rsidRPr="00EC75B7">
        <w:rPr>
          <w:rFonts w:ascii="Verdana" w:hAnsi="Verdana"/>
        </w:rPr>
        <w:t xml:space="preserve">Disturbance of </w:t>
      </w:r>
      <w:r w:rsidRPr="00EC75B7">
        <w:rPr>
          <w:rFonts w:ascii="Verdana" w:hAnsi="Verdana"/>
          <w:spacing w:val="-2"/>
        </w:rPr>
        <w:t xml:space="preserve">fauna </w:t>
      </w:r>
      <w:r w:rsidRPr="00EC75B7">
        <w:rPr>
          <w:rFonts w:ascii="Verdana" w:hAnsi="Verdana"/>
        </w:rPr>
        <w:t>species activity</w:t>
      </w:r>
    </w:p>
    <w:p w14:paraId="2AF4C7C6" w14:textId="77777777" w:rsidR="008715BE" w:rsidRPr="00EC75B7" w:rsidRDefault="008715BE">
      <w:pPr>
        <w:pStyle w:val="BodyText"/>
        <w:spacing w:before="7"/>
        <w:rPr>
          <w:rFonts w:ascii="Verdana" w:hAnsi="Verdana"/>
          <w:b/>
        </w:rPr>
      </w:pPr>
    </w:p>
    <w:p w14:paraId="0BA0C695" w14:textId="77777777" w:rsidR="008715BE" w:rsidRPr="00EC75B7" w:rsidRDefault="00000000">
      <w:pPr>
        <w:spacing w:line="360" w:lineRule="auto"/>
        <w:ind w:left="57" w:right="142"/>
        <w:jc w:val="both"/>
        <w:rPr>
          <w:rFonts w:ascii="Verdana" w:hAnsi="Verdana"/>
          <w:sz w:val="18"/>
          <w:szCs w:val="18"/>
        </w:rPr>
      </w:pPr>
      <w:r w:rsidRPr="00EC75B7">
        <w:rPr>
          <w:rFonts w:ascii="Verdana" w:hAnsi="Verdana"/>
          <w:sz w:val="18"/>
          <w:szCs w:val="18"/>
        </w:rPr>
        <w:t xml:space="preserve">During construction, there is a risk that the project will disrupt the activity of species due to a reduction in food resources, noise and vibrations, or atmospheric emissions, particularly for </w:t>
      </w:r>
      <w:r w:rsidRPr="00EC75B7">
        <w:rPr>
          <w:rFonts w:ascii="Verdana" w:hAnsi="Verdana"/>
          <w:i/>
          <w:sz w:val="18"/>
          <w:szCs w:val="18"/>
        </w:rPr>
        <w:t>the species Spermophilus citellus, Mesocricetus newtoni, Mustela eversmanii, and Vormela peregusna</w:t>
      </w:r>
      <w:r w:rsidRPr="00EC75B7">
        <w:rPr>
          <w:rFonts w:ascii="Verdana" w:hAnsi="Verdana"/>
          <w:sz w:val="18"/>
          <w:szCs w:val="18"/>
        </w:rPr>
        <w:t>.</w:t>
      </w:r>
    </w:p>
    <w:p w14:paraId="31EEF8D4" w14:textId="77777777" w:rsidR="008715BE" w:rsidRPr="00EC75B7" w:rsidRDefault="00000000">
      <w:pPr>
        <w:pStyle w:val="Heading5"/>
        <w:numPr>
          <w:ilvl w:val="1"/>
          <w:numId w:val="75"/>
        </w:numPr>
        <w:tabs>
          <w:tab w:val="left" w:pos="775"/>
        </w:tabs>
        <w:spacing w:before="114"/>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37CCA76C" w14:textId="77777777" w:rsidR="008715BE" w:rsidRPr="00EC75B7" w:rsidRDefault="008715BE">
      <w:pPr>
        <w:pStyle w:val="Heading5"/>
        <w:rPr>
          <w:rFonts w:ascii="Verdana" w:hAnsi="Verdana"/>
        </w:rPr>
        <w:sectPr w:rsidR="008715BE" w:rsidRPr="00EC75B7">
          <w:pgSz w:w="11910" w:h="16840"/>
          <w:pgMar w:top="1320" w:right="850" w:bottom="1020" w:left="1133" w:header="766" w:footer="824" w:gutter="0"/>
          <w:cols w:space="708"/>
        </w:sectPr>
      </w:pPr>
    </w:p>
    <w:p w14:paraId="413F9BDF" w14:textId="77777777" w:rsidR="008715BE" w:rsidRPr="00EC75B7" w:rsidRDefault="00000000">
      <w:pPr>
        <w:pStyle w:val="BodyText"/>
        <w:spacing w:before="99"/>
        <w:ind w:left="57"/>
        <w:jc w:val="both"/>
        <w:rPr>
          <w:rFonts w:ascii="Verdana" w:hAnsi="Verdana"/>
        </w:rPr>
      </w:pPr>
      <w:r w:rsidRPr="00EC75B7">
        <w:rPr>
          <w:rFonts w:ascii="Verdana" w:hAnsi="Verdana"/>
        </w:rPr>
        <w:lastRenderedPageBreak/>
        <w:t>There is a possibility that the project</w:t>
      </w:r>
      <w:r w:rsidRPr="00EC75B7">
        <w:rPr>
          <w:rFonts w:ascii="Verdana" w:hAnsi="Verdana"/>
          <w:spacing w:val="24"/>
        </w:rPr>
        <w:t xml:space="preserve">  </w:t>
      </w:r>
      <w:r w:rsidRPr="00EC75B7">
        <w:rPr>
          <w:rFonts w:ascii="Verdana" w:hAnsi="Verdana"/>
        </w:rPr>
        <w:t xml:space="preserve"> will cause casualties during the execution phase. During the execution phase, </w:t>
      </w:r>
      <w:r w:rsidRPr="00EC75B7">
        <w:rPr>
          <w:rFonts w:ascii="Verdana" w:hAnsi="Verdana"/>
          <w:spacing w:val="-2"/>
        </w:rPr>
        <w:t>possible</w:t>
      </w:r>
    </w:p>
    <w:p w14:paraId="404B9859" w14:textId="77777777" w:rsidR="008715BE" w:rsidRPr="00EC75B7" w:rsidRDefault="00000000">
      <w:pPr>
        <w:spacing w:before="110"/>
        <w:ind w:left="57"/>
        <w:jc w:val="both"/>
        <w:rPr>
          <w:rFonts w:ascii="Verdana" w:hAnsi="Verdana"/>
          <w:sz w:val="18"/>
          <w:szCs w:val="18"/>
        </w:rPr>
      </w:pPr>
      <w:r w:rsidRPr="00EC75B7">
        <w:rPr>
          <w:rFonts w:ascii="Verdana" w:hAnsi="Verdana"/>
          <w:spacing w:val="-2"/>
          <w:sz w:val="18"/>
          <w:szCs w:val="18"/>
        </w:rPr>
        <w:t xml:space="preserve">victims of the species </w:t>
      </w:r>
      <w:r w:rsidRPr="00EC75B7">
        <w:rPr>
          <w:rFonts w:ascii="Verdana" w:hAnsi="Verdana"/>
          <w:i/>
          <w:spacing w:val="-2"/>
          <w:sz w:val="18"/>
          <w:szCs w:val="18"/>
        </w:rPr>
        <w:t>Spermophilus citellus, Mesocricetus newtoni, Mustela eversmanii, Vormela peregusna</w:t>
      </w:r>
      <w:r w:rsidRPr="00EC75B7">
        <w:rPr>
          <w:rFonts w:ascii="Verdana" w:hAnsi="Verdana"/>
          <w:spacing w:val="-2"/>
          <w:sz w:val="18"/>
          <w:szCs w:val="18"/>
        </w:rPr>
        <w:t>.</w:t>
      </w:r>
    </w:p>
    <w:p w14:paraId="2F205C1C" w14:textId="77777777" w:rsidR="008715BE" w:rsidRPr="00EC75B7" w:rsidRDefault="008715BE">
      <w:pPr>
        <w:pStyle w:val="BodyText"/>
        <w:rPr>
          <w:rFonts w:ascii="Verdana" w:hAnsi="Verdana"/>
        </w:rPr>
      </w:pPr>
    </w:p>
    <w:p w14:paraId="077A667B" w14:textId="77777777" w:rsidR="008715BE" w:rsidRPr="00EC75B7" w:rsidRDefault="008715BE">
      <w:pPr>
        <w:pStyle w:val="BodyText"/>
        <w:rPr>
          <w:rFonts w:ascii="Verdana" w:hAnsi="Verdana"/>
        </w:rPr>
      </w:pPr>
    </w:p>
    <w:p w14:paraId="7DBA3B05" w14:textId="77777777" w:rsidR="008715BE" w:rsidRPr="00EC75B7" w:rsidRDefault="008715BE">
      <w:pPr>
        <w:pStyle w:val="BodyText"/>
        <w:spacing w:before="16"/>
        <w:rPr>
          <w:rFonts w:ascii="Verdana" w:hAnsi="Verdana"/>
        </w:rPr>
      </w:pPr>
    </w:p>
    <w:p w14:paraId="6C7733D0" w14:textId="77777777" w:rsidR="008715BE" w:rsidRPr="00EC75B7" w:rsidRDefault="00000000">
      <w:pPr>
        <w:pStyle w:val="Heading5"/>
        <w:numPr>
          <w:ilvl w:val="0"/>
          <w:numId w:val="75"/>
        </w:numPr>
        <w:tabs>
          <w:tab w:val="left" w:pos="806"/>
        </w:tabs>
        <w:ind w:hanging="761"/>
        <w:jc w:val="left"/>
        <w:rPr>
          <w:rFonts w:ascii="Verdana" w:hAnsi="Verdana"/>
        </w:rPr>
      </w:pPr>
      <w:r w:rsidRPr="00EC75B7">
        <w:rPr>
          <w:rFonts w:ascii="Verdana" w:hAnsi="Verdana"/>
        </w:rPr>
        <w:t xml:space="preserve">BG0000570 Izvorovo – </w:t>
      </w:r>
      <w:r w:rsidRPr="00EC75B7">
        <w:rPr>
          <w:rFonts w:ascii="Verdana" w:hAnsi="Verdana"/>
          <w:spacing w:val="-2"/>
        </w:rPr>
        <w:t>Kraishte</w:t>
      </w:r>
    </w:p>
    <w:p w14:paraId="340B9C4A" w14:textId="77777777" w:rsidR="008715BE" w:rsidRPr="00EC75B7" w:rsidRDefault="008715BE">
      <w:pPr>
        <w:pStyle w:val="BodyText"/>
        <w:spacing w:before="216"/>
        <w:rPr>
          <w:rFonts w:ascii="Verdana" w:hAnsi="Verdana"/>
          <w:b/>
        </w:rPr>
      </w:pPr>
    </w:p>
    <w:p w14:paraId="3C7781C0" w14:textId="77777777" w:rsidR="008715BE" w:rsidRPr="00EC75B7" w:rsidRDefault="00000000">
      <w:pPr>
        <w:pStyle w:val="ListParagraph"/>
        <w:numPr>
          <w:ilvl w:val="1"/>
          <w:numId w:val="75"/>
        </w:numPr>
        <w:tabs>
          <w:tab w:val="left" w:pos="775"/>
        </w:tabs>
        <w:ind w:left="775" w:hanging="358"/>
        <w:jc w:val="both"/>
        <w:rPr>
          <w:rFonts w:ascii="Verdana" w:hAnsi="Verdana"/>
          <w:b/>
          <w:sz w:val="18"/>
          <w:szCs w:val="18"/>
        </w:rPr>
      </w:pPr>
      <w:r w:rsidRPr="00EC75B7">
        <w:rPr>
          <w:rFonts w:ascii="Verdana" w:hAnsi="Verdana"/>
          <w:b/>
          <w:spacing w:val="-2"/>
          <w:sz w:val="18"/>
          <w:szCs w:val="18"/>
        </w:rPr>
        <w:t xml:space="preserve">Habitat </w:t>
      </w:r>
      <w:r w:rsidRPr="00EC75B7">
        <w:rPr>
          <w:rFonts w:ascii="Verdana" w:hAnsi="Verdana"/>
          <w:b/>
          <w:sz w:val="18"/>
          <w:szCs w:val="18"/>
        </w:rPr>
        <w:t>loss</w:t>
      </w:r>
    </w:p>
    <w:p w14:paraId="4FB96570" w14:textId="77777777" w:rsidR="008715BE" w:rsidRPr="00EC75B7" w:rsidRDefault="008715BE">
      <w:pPr>
        <w:pStyle w:val="BodyText"/>
        <w:spacing w:before="9"/>
        <w:rPr>
          <w:rFonts w:ascii="Verdana" w:hAnsi="Verdana"/>
          <w:b/>
        </w:rPr>
      </w:pPr>
    </w:p>
    <w:p w14:paraId="1675467E"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losing areas of habitats favorable to species declared of Community interest within the site, but potential habitats of species present within the studied area and also declared at the area level may be affected.</w:t>
      </w:r>
    </w:p>
    <w:p w14:paraId="2C1E0A38"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spacing w:val="-2"/>
        </w:rPr>
        <w:t xml:space="preserve">Habitat </w:t>
      </w:r>
      <w:r w:rsidRPr="00EC75B7">
        <w:rPr>
          <w:rFonts w:ascii="Verdana" w:hAnsi="Verdana"/>
        </w:rPr>
        <w:t>alteration</w:t>
      </w:r>
    </w:p>
    <w:p w14:paraId="177AD3E6" w14:textId="77777777" w:rsidR="008715BE" w:rsidRPr="00EC75B7" w:rsidRDefault="008715BE">
      <w:pPr>
        <w:pStyle w:val="BodyText"/>
        <w:spacing w:before="10"/>
        <w:rPr>
          <w:rFonts w:ascii="Verdana" w:hAnsi="Verdana"/>
          <w:b/>
        </w:rPr>
      </w:pPr>
    </w:p>
    <w:p w14:paraId="5E1FD1F4" w14:textId="77777777" w:rsidR="008715BE" w:rsidRPr="00EC75B7" w:rsidRDefault="00000000">
      <w:pPr>
        <w:pStyle w:val="BodyText"/>
        <w:spacing w:line="357" w:lineRule="auto"/>
        <w:ind w:left="57" w:right="137"/>
        <w:jc w:val="both"/>
        <w:rPr>
          <w:rFonts w:ascii="Verdana" w:hAnsi="Verdana"/>
        </w:rPr>
      </w:pPr>
      <w:r w:rsidRPr="00EC75B7">
        <w:rPr>
          <w:rFonts w:ascii="Verdana" w:hAnsi="Verdana"/>
        </w:rPr>
        <w:t>The proposed area does not intersect the site, and no interventions within the site are necessary for the construction of the project. There is no risk of loss of areas of habitats favorable to species declared of Community interest within the site, but potential habitats of species present within the studied area and also declared at the area level may be affected.</w:t>
      </w:r>
    </w:p>
    <w:p w14:paraId="05C66EB6" w14:textId="77777777" w:rsidR="008715BE" w:rsidRPr="00EC75B7" w:rsidRDefault="00000000">
      <w:pPr>
        <w:pStyle w:val="Heading5"/>
        <w:numPr>
          <w:ilvl w:val="1"/>
          <w:numId w:val="75"/>
        </w:numPr>
        <w:tabs>
          <w:tab w:val="left" w:pos="776"/>
        </w:tabs>
        <w:spacing w:before="124"/>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2891F344" w14:textId="77777777" w:rsidR="008715BE" w:rsidRPr="00EC75B7" w:rsidRDefault="008715BE">
      <w:pPr>
        <w:pStyle w:val="BodyText"/>
        <w:spacing w:before="6"/>
        <w:rPr>
          <w:rFonts w:ascii="Verdana" w:hAnsi="Verdana"/>
          <w:b/>
        </w:rPr>
      </w:pPr>
    </w:p>
    <w:p w14:paraId="022E458F" w14:textId="77777777" w:rsidR="008715BE" w:rsidRPr="00EC75B7" w:rsidRDefault="00000000">
      <w:pPr>
        <w:pStyle w:val="BodyText"/>
        <w:spacing w:line="360" w:lineRule="auto"/>
        <w:ind w:left="57" w:right="149"/>
        <w:jc w:val="both"/>
        <w:rPr>
          <w:rFonts w:ascii="Verdana" w:hAnsi="Verdana"/>
        </w:rPr>
      </w:pPr>
      <w:r w:rsidRPr="00EC75B7">
        <w:rPr>
          <w:rFonts w:ascii="Verdana" w:hAnsi="Verdana"/>
        </w:rPr>
        <w:t>The project is not likely to cause habitat fragmentation or disrupt connectivity for species characteristic of this site.</w:t>
      </w:r>
    </w:p>
    <w:p w14:paraId="442F27DC" w14:textId="77777777" w:rsidR="008715BE" w:rsidRPr="00EC75B7" w:rsidRDefault="00000000">
      <w:pPr>
        <w:pStyle w:val="Heading5"/>
        <w:numPr>
          <w:ilvl w:val="1"/>
          <w:numId w:val="75"/>
        </w:numPr>
        <w:tabs>
          <w:tab w:val="left" w:pos="776"/>
        </w:tabs>
        <w:spacing w:before="119"/>
        <w:ind w:left="776" w:hanging="359"/>
        <w:rPr>
          <w:rFonts w:ascii="Verdana" w:hAnsi="Verdana"/>
        </w:rPr>
      </w:pPr>
      <w:r w:rsidRPr="00EC75B7">
        <w:rPr>
          <w:rFonts w:ascii="Verdana" w:hAnsi="Verdana"/>
        </w:rPr>
        <w:t xml:space="preserve">Disruption of </w:t>
      </w:r>
      <w:r w:rsidRPr="00EC75B7">
        <w:rPr>
          <w:rFonts w:ascii="Verdana" w:hAnsi="Verdana"/>
          <w:spacing w:val="-2"/>
        </w:rPr>
        <w:t xml:space="preserve">fauna </w:t>
      </w:r>
      <w:r w:rsidRPr="00EC75B7">
        <w:rPr>
          <w:rFonts w:ascii="Verdana" w:hAnsi="Verdana"/>
        </w:rPr>
        <w:t>species activity</w:t>
      </w:r>
    </w:p>
    <w:p w14:paraId="60190381" w14:textId="77777777" w:rsidR="008715BE" w:rsidRPr="00EC75B7" w:rsidRDefault="008715BE">
      <w:pPr>
        <w:pStyle w:val="BodyText"/>
        <w:spacing w:before="9"/>
        <w:rPr>
          <w:rFonts w:ascii="Verdana" w:hAnsi="Verdana"/>
          <w:b/>
        </w:rPr>
      </w:pPr>
    </w:p>
    <w:p w14:paraId="3AA861E0" w14:textId="77777777" w:rsidR="008715BE" w:rsidRPr="00EC75B7" w:rsidRDefault="00000000">
      <w:pPr>
        <w:spacing w:line="357" w:lineRule="auto"/>
        <w:ind w:left="57" w:right="139"/>
        <w:jc w:val="both"/>
        <w:rPr>
          <w:rFonts w:ascii="Verdana" w:hAnsi="Verdana"/>
          <w:sz w:val="18"/>
          <w:szCs w:val="18"/>
        </w:rPr>
      </w:pPr>
      <w:r w:rsidRPr="00EC75B7">
        <w:rPr>
          <w:rFonts w:ascii="Verdana" w:hAnsi="Verdana"/>
          <w:sz w:val="18"/>
          <w:szCs w:val="18"/>
        </w:rPr>
        <w:t xml:space="preserve">Both during construction and operation, there is a risk that the project will disturb species due to a reduction in food resources, noise and vibrations, or atmospheric emissions, particularly for </w:t>
      </w:r>
      <w:r w:rsidRPr="00EC75B7">
        <w:rPr>
          <w:rFonts w:ascii="Verdana" w:hAnsi="Verdana"/>
          <w:i/>
          <w:sz w:val="18"/>
          <w:szCs w:val="18"/>
        </w:rPr>
        <w:t>Spermophilus citellus, Mesocricetus newtoni, Mustela eversmanii, Vormela peregusna, Canis lupus (only if their presence is confirmed), and Rhinolophus mehelyi</w:t>
      </w:r>
      <w:r w:rsidRPr="00EC75B7">
        <w:rPr>
          <w:rFonts w:ascii="Verdana" w:hAnsi="Verdana"/>
          <w:sz w:val="18"/>
          <w:szCs w:val="18"/>
        </w:rPr>
        <w:t>.</w:t>
      </w:r>
    </w:p>
    <w:p w14:paraId="68BFAB6F" w14:textId="77777777" w:rsidR="008715BE" w:rsidRPr="00EC75B7" w:rsidRDefault="00000000">
      <w:pPr>
        <w:pStyle w:val="Heading5"/>
        <w:numPr>
          <w:ilvl w:val="1"/>
          <w:numId w:val="75"/>
        </w:numPr>
        <w:tabs>
          <w:tab w:val="left" w:pos="775"/>
        </w:tabs>
        <w:spacing w:before="123"/>
        <w:ind w:left="775" w:hanging="358"/>
        <w:rPr>
          <w:rFonts w:ascii="Verdana" w:hAnsi="Verdana"/>
        </w:rPr>
      </w:pPr>
      <w:r w:rsidRPr="00EC75B7">
        <w:rPr>
          <w:rFonts w:ascii="Verdana" w:hAnsi="Verdana"/>
        </w:rPr>
        <w:t xml:space="preserve">Reduction in </w:t>
      </w:r>
      <w:r w:rsidRPr="00EC75B7">
        <w:rPr>
          <w:rFonts w:ascii="Verdana" w:hAnsi="Verdana"/>
          <w:spacing w:val="-2"/>
        </w:rPr>
        <w:t xml:space="preserve">population </w:t>
      </w:r>
      <w:r w:rsidRPr="00EC75B7">
        <w:rPr>
          <w:rFonts w:ascii="Verdana" w:hAnsi="Verdana"/>
        </w:rPr>
        <w:t>numbers</w:t>
      </w:r>
    </w:p>
    <w:p w14:paraId="1C20B218" w14:textId="77777777" w:rsidR="008715BE" w:rsidRPr="00EC75B7" w:rsidRDefault="008715BE">
      <w:pPr>
        <w:pStyle w:val="BodyText"/>
        <w:spacing w:before="9"/>
        <w:rPr>
          <w:rFonts w:ascii="Verdana" w:hAnsi="Verdana"/>
          <w:b/>
        </w:rPr>
      </w:pPr>
    </w:p>
    <w:p w14:paraId="2D5D045B" w14:textId="77777777" w:rsidR="008715BE" w:rsidRPr="00EC75B7" w:rsidRDefault="00000000">
      <w:pPr>
        <w:spacing w:line="357" w:lineRule="auto"/>
        <w:ind w:left="57" w:right="142"/>
        <w:jc w:val="both"/>
        <w:rPr>
          <w:rFonts w:ascii="Verdana" w:hAnsi="Verdana"/>
          <w:sz w:val="18"/>
          <w:szCs w:val="18"/>
        </w:rPr>
      </w:pPr>
      <w:r w:rsidRPr="00EC75B7">
        <w:rPr>
          <w:rFonts w:ascii="Verdana" w:hAnsi="Verdana"/>
          <w:sz w:val="18"/>
          <w:szCs w:val="18"/>
        </w:rPr>
        <w:t>The project may cause casualties during both the construction and operation phases.</w:t>
      </w:r>
      <w:r w:rsidRPr="00EC75B7">
        <w:rPr>
          <w:rFonts w:ascii="Verdana" w:hAnsi="Verdana"/>
          <w:spacing w:val="16"/>
          <w:sz w:val="18"/>
          <w:szCs w:val="18"/>
        </w:rPr>
        <w:t xml:space="preserve"> </w:t>
      </w:r>
      <w:r w:rsidRPr="00EC75B7">
        <w:rPr>
          <w:rFonts w:ascii="Verdana" w:hAnsi="Verdana"/>
          <w:sz w:val="18"/>
          <w:szCs w:val="18"/>
        </w:rPr>
        <w:t xml:space="preserve">During the execution phase, possible casualties include </w:t>
      </w:r>
      <w:r w:rsidRPr="00EC75B7">
        <w:rPr>
          <w:rFonts w:ascii="Verdana" w:hAnsi="Verdana"/>
          <w:i/>
          <w:sz w:val="18"/>
          <w:szCs w:val="18"/>
        </w:rPr>
        <w:t>Spermophilus citellus, Mesocricetus newtoni, Mustela eversmanii, Vormela peregusna, Canis lupus (only if their presence is confirmed), and during the operation phase, individuals of the species Rhinolophus mehelyi</w:t>
      </w:r>
      <w:r w:rsidRPr="00EC75B7">
        <w:rPr>
          <w:rFonts w:ascii="Verdana" w:hAnsi="Verdana"/>
          <w:sz w:val="18"/>
          <w:szCs w:val="18"/>
        </w:rPr>
        <w:t>.</w:t>
      </w:r>
    </w:p>
    <w:p w14:paraId="647CF564" w14:textId="77777777" w:rsidR="008715BE" w:rsidRPr="00EC75B7" w:rsidRDefault="008715BE">
      <w:pPr>
        <w:pStyle w:val="BodyText"/>
        <w:spacing w:before="26"/>
        <w:rPr>
          <w:rFonts w:ascii="Verdana" w:hAnsi="Verdana"/>
        </w:rPr>
      </w:pPr>
    </w:p>
    <w:p w14:paraId="28DEF178"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86" w:name="_bookmark87"/>
      <w:bookmarkEnd w:id="86"/>
      <w:r w:rsidRPr="00EC75B7">
        <w:rPr>
          <w:rFonts w:ascii="Verdana" w:hAnsi="Verdana"/>
          <w:color w:val="00AFEF"/>
          <w:sz w:val="18"/>
          <w:szCs w:val="18"/>
        </w:rPr>
        <w:t xml:space="preserve">Measures to avoid and reduce the </w:t>
      </w:r>
      <w:r w:rsidRPr="00EC75B7">
        <w:rPr>
          <w:rFonts w:ascii="Verdana" w:hAnsi="Verdana"/>
          <w:color w:val="00AFEF"/>
          <w:spacing w:val="-2"/>
          <w:sz w:val="18"/>
          <w:szCs w:val="18"/>
        </w:rPr>
        <w:t>impact</w:t>
      </w:r>
    </w:p>
    <w:p w14:paraId="0BE250E7" w14:textId="77777777" w:rsidR="008715BE" w:rsidRPr="00EC75B7" w:rsidRDefault="008715BE">
      <w:pPr>
        <w:pStyle w:val="BodyText"/>
        <w:spacing w:before="141"/>
        <w:rPr>
          <w:rFonts w:ascii="Verdana" w:hAnsi="Verdana"/>
          <w:b/>
        </w:rPr>
      </w:pPr>
    </w:p>
    <w:p w14:paraId="04466C43" w14:textId="77777777" w:rsidR="008715BE" w:rsidRPr="00EC75B7" w:rsidRDefault="00000000">
      <w:pPr>
        <w:pStyle w:val="BodyText"/>
        <w:spacing w:line="357" w:lineRule="auto"/>
        <w:ind w:left="57" w:right="147"/>
        <w:jc w:val="both"/>
        <w:rPr>
          <w:rFonts w:ascii="Verdana" w:hAnsi="Verdana"/>
        </w:rPr>
      </w:pPr>
      <w:r w:rsidRPr="00EC75B7">
        <w:rPr>
          <w:rFonts w:ascii="Verdana" w:hAnsi="Verdana"/>
        </w:rPr>
        <w:t>The analysis of environmental components was carried out separately for each factor on which the implementation of the investment may have potential effects. The assessment took into account the impacts associated with the construction phase, the operation phase, and the decommissioning phase, where relevant, and identified those effects for which avoidance, reduction, and control measures are required.</w:t>
      </w:r>
    </w:p>
    <w:p w14:paraId="1CB3FE9D" w14:textId="77777777" w:rsidR="008715BE" w:rsidRPr="00EC75B7" w:rsidRDefault="008715BE">
      <w:pPr>
        <w:pStyle w:val="BodyText"/>
        <w:rPr>
          <w:rFonts w:ascii="Verdana" w:hAnsi="Verdana"/>
        </w:rPr>
      </w:pPr>
    </w:p>
    <w:p w14:paraId="403B9052" w14:textId="77777777" w:rsidR="008715BE" w:rsidRPr="00EC75B7" w:rsidRDefault="008715BE">
      <w:pPr>
        <w:pStyle w:val="BodyText"/>
        <w:spacing w:before="133"/>
        <w:rPr>
          <w:rFonts w:ascii="Verdana" w:hAnsi="Verdana"/>
        </w:rPr>
      </w:pPr>
    </w:p>
    <w:p w14:paraId="481C77F9" w14:textId="77777777" w:rsidR="008715BE" w:rsidRPr="00EC75B7" w:rsidRDefault="00000000">
      <w:pPr>
        <w:pStyle w:val="BodyText"/>
        <w:spacing w:line="360" w:lineRule="auto"/>
        <w:ind w:left="57" w:right="151"/>
        <w:jc w:val="both"/>
        <w:rPr>
          <w:rFonts w:ascii="Verdana" w:hAnsi="Verdana"/>
        </w:rPr>
      </w:pPr>
      <w:r w:rsidRPr="00EC75B7">
        <w:rPr>
          <w:rFonts w:ascii="Verdana" w:hAnsi="Verdana"/>
        </w:rPr>
        <w:t>The consistent application of the proposed measures (technical and operational preconditions) leads to a reduction in the intensity, duration, and/or extent of the initially estimated effects, resulting in a decrease in the level of impact.</w:t>
      </w:r>
    </w:p>
    <w:p w14:paraId="073371AA" w14:textId="77777777" w:rsidR="008715BE" w:rsidRPr="00EC75B7" w:rsidRDefault="008715BE">
      <w:pPr>
        <w:pStyle w:val="BodyText"/>
        <w:spacing w:line="360" w:lineRule="auto"/>
        <w:jc w:val="both"/>
        <w:rPr>
          <w:rFonts w:ascii="Verdana" w:hAnsi="Verdana"/>
        </w:rPr>
        <w:sectPr w:rsidR="008715BE" w:rsidRPr="00EC75B7">
          <w:pgSz w:w="11910" w:h="16840"/>
          <w:pgMar w:top="1320" w:right="850" w:bottom="1020" w:left="1133" w:header="766" w:footer="824" w:gutter="0"/>
          <w:cols w:space="708"/>
        </w:sectPr>
      </w:pPr>
    </w:p>
    <w:p w14:paraId="5B9C30F1" w14:textId="77777777" w:rsidR="008715BE" w:rsidRPr="00EC75B7" w:rsidRDefault="00000000">
      <w:pPr>
        <w:pStyle w:val="BodyText"/>
        <w:spacing w:before="99" w:line="357" w:lineRule="auto"/>
        <w:ind w:left="57" w:right="151"/>
        <w:jc w:val="both"/>
        <w:rPr>
          <w:rFonts w:ascii="Verdana" w:hAnsi="Verdana"/>
        </w:rPr>
      </w:pPr>
      <w:r w:rsidRPr="00EC75B7">
        <w:rPr>
          <w:rFonts w:ascii="Verdana" w:hAnsi="Verdana"/>
        </w:rPr>
        <w:lastRenderedPageBreak/>
        <w:t>assessed in the "no measures" scenario. The effects that may persist after the full implementation of avoidance and mitigation measures are expressed as residual impact; at the documentation stage analyzed, this can only be estimated based on operating scenarios, field data, and available modeling.</w:t>
      </w:r>
    </w:p>
    <w:p w14:paraId="120E7182" w14:textId="77777777" w:rsidR="008715BE" w:rsidRPr="00EC75B7" w:rsidRDefault="00000000">
      <w:pPr>
        <w:pStyle w:val="BodyText"/>
        <w:spacing w:before="123" w:line="357" w:lineRule="auto"/>
        <w:ind w:left="57" w:right="142"/>
        <w:jc w:val="both"/>
        <w:rPr>
          <w:rFonts w:ascii="Verdana" w:hAnsi="Verdana"/>
        </w:rPr>
      </w:pPr>
      <w:r w:rsidRPr="00EC75B7">
        <w:rPr>
          <w:rFonts w:ascii="Verdana" w:hAnsi="Verdana"/>
        </w:rPr>
        <w:t xml:space="preserve">Verifying the effectiveness of the measures and confirming the level of residual impact are essential elements of the project's environmental management and require the implementation of an appropriate monitoring program, carried out both during the execution and postconstruction, with intensity and duration adapted to the components analyzed (especially for sensitive biological receptors, such as avifauna and chiroptera) and with clear mechanisms for adjusting measures if the monitoring results indicate the need for </w:t>
      </w:r>
      <w:r w:rsidRPr="00EC75B7">
        <w:rPr>
          <w:rFonts w:ascii="Verdana" w:hAnsi="Verdana"/>
          <w:spacing w:val="-2"/>
        </w:rPr>
        <w:t>additional</w:t>
      </w:r>
      <w:r w:rsidRPr="00EC75B7">
        <w:rPr>
          <w:rFonts w:ascii="Verdana" w:hAnsi="Verdana"/>
        </w:rPr>
        <w:t xml:space="preserve"> interventions</w:t>
      </w:r>
      <w:r w:rsidRPr="00EC75B7">
        <w:rPr>
          <w:rFonts w:ascii="Verdana" w:hAnsi="Verdana"/>
          <w:spacing w:val="-2"/>
        </w:rPr>
        <w:t>.</w:t>
      </w:r>
    </w:p>
    <w:p w14:paraId="4F25478A" w14:textId="77777777" w:rsidR="008715BE" w:rsidRPr="00EC75B7" w:rsidRDefault="008715BE">
      <w:pPr>
        <w:pStyle w:val="BodyText"/>
        <w:spacing w:line="357" w:lineRule="auto"/>
        <w:jc w:val="both"/>
        <w:rPr>
          <w:rFonts w:ascii="Verdana" w:hAnsi="Verdana"/>
        </w:rPr>
        <w:sectPr w:rsidR="008715BE" w:rsidRPr="00EC75B7">
          <w:pgSz w:w="11910" w:h="16840"/>
          <w:pgMar w:top="1320" w:right="850" w:bottom="1020" w:left="1133" w:header="766" w:footer="824" w:gutter="0"/>
          <w:cols w:space="708"/>
        </w:sectPr>
      </w:pPr>
    </w:p>
    <w:p w14:paraId="643665A1"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32 Proposed measures for </w:t>
      </w:r>
      <w:r w:rsidRPr="00EC75B7">
        <w:rPr>
          <w:rFonts w:ascii="Verdana" w:hAnsi="Verdana"/>
          <w:b/>
          <w:color w:val="00AFEF"/>
          <w:spacing w:val="-2"/>
          <w:sz w:val="18"/>
          <w:szCs w:val="18"/>
        </w:rPr>
        <w:t xml:space="preserve">biodiversity </w:t>
      </w:r>
      <w:r w:rsidRPr="00EC75B7">
        <w:rPr>
          <w:rFonts w:ascii="Verdana" w:hAnsi="Verdana"/>
          <w:b/>
          <w:color w:val="00AFEF"/>
          <w:sz w:val="18"/>
          <w:szCs w:val="18"/>
        </w:rPr>
        <w:t>protection</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8715BE" w:rsidRPr="00EC75B7" w14:paraId="2ACF6EB5" w14:textId="77777777">
        <w:trPr>
          <w:trHeight w:val="1200"/>
        </w:trPr>
        <w:tc>
          <w:tcPr>
            <w:tcW w:w="9715" w:type="dxa"/>
            <w:gridSpan w:val="2"/>
            <w:shd w:val="clear" w:color="auto" w:fill="00AFEF"/>
          </w:tcPr>
          <w:p w14:paraId="15E5ABEE" w14:textId="77777777" w:rsidR="008715BE" w:rsidRPr="00EC75B7" w:rsidRDefault="008715BE">
            <w:pPr>
              <w:pStyle w:val="TableParagraph"/>
              <w:rPr>
                <w:rFonts w:ascii="Verdana" w:hAnsi="Verdana"/>
                <w:b/>
                <w:sz w:val="18"/>
                <w:szCs w:val="18"/>
              </w:rPr>
            </w:pPr>
          </w:p>
          <w:p w14:paraId="27018628" w14:textId="77777777" w:rsidR="008715BE" w:rsidRPr="00EC75B7" w:rsidRDefault="008715BE">
            <w:pPr>
              <w:pStyle w:val="TableParagraph"/>
              <w:spacing w:before="14"/>
              <w:rPr>
                <w:rFonts w:ascii="Verdana" w:hAnsi="Verdana"/>
                <w:b/>
                <w:sz w:val="18"/>
                <w:szCs w:val="18"/>
              </w:rPr>
            </w:pPr>
          </w:p>
          <w:p w14:paraId="008464F5" w14:textId="77777777" w:rsidR="008715BE" w:rsidRPr="00EC75B7" w:rsidRDefault="00000000">
            <w:pPr>
              <w:pStyle w:val="TableParagraph"/>
              <w:ind w:left="4440" w:right="4429" w:firstLine="4"/>
              <w:jc w:val="center"/>
              <w:rPr>
                <w:rFonts w:ascii="Verdana" w:hAnsi="Verdana"/>
                <w:b/>
                <w:sz w:val="18"/>
                <w:szCs w:val="18"/>
              </w:rPr>
            </w:pPr>
            <w:r w:rsidRPr="00EC75B7">
              <w:rPr>
                <w:rFonts w:ascii="Verdana" w:hAnsi="Verdana"/>
                <w:b/>
                <w:color w:val="FFFFFF"/>
                <w:sz w:val="18"/>
                <w:szCs w:val="18"/>
              </w:rPr>
              <w:t xml:space="preserve">Measure </w:t>
            </w:r>
            <w:r w:rsidRPr="00EC75B7">
              <w:rPr>
                <w:rFonts w:ascii="Verdana" w:hAnsi="Verdana"/>
                <w:b/>
                <w:color w:val="FFFFFF"/>
                <w:spacing w:val="-2"/>
                <w:sz w:val="18"/>
                <w:szCs w:val="18"/>
              </w:rPr>
              <w:t>description</w:t>
            </w:r>
          </w:p>
        </w:tc>
        <w:tc>
          <w:tcPr>
            <w:tcW w:w="962" w:type="dxa"/>
            <w:shd w:val="clear" w:color="auto" w:fill="00AFEF"/>
          </w:tcPr>
          <w:p w14:paraId="7221B5DC" w14:textId="77777777" w:rsidR="008715BE" w:rsidRPr="00EC75B7" w:rsidRDefault="008715BE">
            <w:pPr>
              <w:pStyle w:val="TableParagraph"/>
              <w:spacing w:before="113"/>
              <w:rPr>
                <w:rFonts w:ascii="Verdana" w:hAnsi="Verdana"/>
                <w:b/>
                <w:sz w:val="18"/>
                <w:szCs w:val="18"/>
              </w:rPr>
            </w:pPr>
          </w:p>
          <w:p w14:paraId="124AB53B" w14:textId="77777777" w:rsidR="008715BE" w:rsidRPr="00EC75B7" w:rsidRDefault="00000000">
            <w:pPr>
              <w:pStyle w:val="TableParagraph"/>
              <w:spacing w:before="1"/>
              <w:ind w:left="15"/>
              <w:jc w:val="center"/>
              <w:rPr>
                <w:rFonts w:ascii="Verdana" w:hAnsi="Verdana"/>
                <w:b/>
                <w:sz w:val="18"/>
                <w:szCs w:val="18"/>
              </w:rPr>
            </w:pPr>
            <w:r w:rsidRPr="00EC75B7">
              <w:rPr>
                <w:rFonts w:ascii="Verdana" w:hAnsi="Verdana"/>
                <w:b/>
                <w:color w:val="FFFFFF"/>
                <w:spacing w:val="-4"/>
                <w:sz w:val="18"/>
                <w:szCs w:val="18"/>
              </w:rPr>
              <w:t xml:space="preserve">Type of </w:t>
            </w:r>
            <w:r w:rsidRPr="00EC75B7">
              <w:rPr>
                <w:rFonts w:ascii="Verdana" w:hAnsi="Verdana"/>
                <w:b/>
                <w:color w:val="FFFFFF"/>
                <w:spacing w:val="-2"/>
                <w:sz w:val="18"/>
                <w:szCs w:val="18"/>
              </w:rPr>
              <w:t>measure (P/E/R)</w:t>
            </w:r>
          </w:p>
        </w:tc>
        <w:tc>
          <w:tcPr>
            <w:tcW w:w="1890" w:type="dxa"/>
            <w:shd w:val="clear" w:color="auto" w:fill="00AFEF"/>
          </w:tcPr>
          <w:p w14:paraId="571764A2" w14:textId="77777777" w:rsidR="008715BE" w:rsidRPr="00EC75B7" w:rsidRDefault="008715BE">
            <w:pPr>
              <w:pStyle w:val="TableParagraph"/>
              <w:spacing w:before="113"/>
              <w:rPr>
                <w:rFonts w:ascii="Verdana" w:hAnsi="Verdana"/>
                <w:b/>
                <w:sz w:val="18"/>
                <w:szCs w:val="18"/>
              </w:rPr>
            </w:pPr>
          </w:p>
          <w:p w14:paraId="377C90A4" w14:textId="77777777" w:rsidR="008715BE" w:rsidRPr="00EC75B7" w:rsidRDefault="00000000">
            <w:pPr>
              <w:pStyle w:val="TableParagraph"/>
              <w:spacing w:before="1"/>
              <w:ind w:left="522" w:right="86" w:firstLine="74"/>
              <w:rPr>
                <w:rFonts w:ascii="Verdana" w:hAnsi="Verdana"/>
                <w:b/>
                <w:sz w:val="18"/>
                <w:szCs w:val="18"/>
              </w:rPr>
            </w:pPr>
            <w:r w:rsidRPr="00EC75B7">
              <w:rPr>
                <w:rFonts w:ascii="Verdana" w:hAnsi="Verdana"/>
                <w:b/>
                <w:color w:val="FFFFFF"/>
                <w:spacing w:val="-2"/>
                <w:sz w:val="18"/>
                <w:szCs w:val="18"/>
              </w:rPr>
              <w:t>Affected species/habitat</w:t>
            </w:r>
          </w:p>
        </w:tc>
        <w:tc>
          <w:tcPr>
            <w:tcW w:w="1273" w:type="dxa"/>
            <w:shd w:val="clear" w:color="auto" w:fill="00AFEF"/>
          </w:tcPr>
          <w:p w14:paraId="40C5ABBC" w14:textId="77777777" w:rsidR="008715BE" w:rsidRPr="00EC75B7" w:rsidRDefault="008715BE">
            <w:pPr>
              <w:pStyle w:val="TableParagraph"/>
              <w:spacing w:before="15"/>
              <w:rPr>
                <w:rFonts w:ascii="Verdana" w:hAnsi="Verdana"/>
                <w:b/>
                <w:sz w:val="18"/>
                <w:szCs w:val="18"/>
              </w:rPr>
            </w:pPr>
          </w:p>
          <w:p w14:paraId="7A5A2210"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2"/>
                <w:sz w:val="18"/>
                <w:szCs w:val="18"/>
              </w:rPr>
              <w:t xml:space="preserve">Parameter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1619" w:type="dxa"/>
            <w:shd w:val="clear" w:color="auto" w:fill="00AFEF"/>
          </w:tcPr>
          <w:p w14:paraId="6ED9A6B0" w14:textId="77777777" w:rsidR="008715BE" w:rsidRPr="00EC75B7" w:rsidRDefault="008715BE">
            <w:pPr>
              <w:pStyle w:val="TableParagraph"/>
              <w:spacing w:before="15"/>
              <w:rPr>
                <w:rFonts w:ascii="Verdana" w:hAnsi="Verdana"/>
                <w:b/>
                <w:sz w:val="18"/>
                <w:szCs w:val="18"/>
              </w:rPr>
            </w:pPr>
          </w:p>
          <w:p w14:paraId="2EDC96EA" w14:textId="77777777" w:rsidR="008715BE" w:rsidRPr="00EC75B7" w:rsidRDefault="00000000">
            <w:pPr>
              <w:pStyle w:val="TableParagraph"/>
              <w:ind w:left="357" w:right="333"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2802" w:type="dxa"/>
            <w:shd w:val="clear" w:color="auto" w:fill="00AFEF"/>
          </w:tcPr>
          <w:p w14:paraId="5F9654EA" w14:textId="77777777" w:rsidR="008715BE" w:rsidRPr="00EC75B7" w:rsidRDefault="008715BE">
            <w:pPr>
              <w:pStyle w:val="TableParagraph"/>
              <w:spacing w:before="113"/>
              <w:rPr>
                <w:rFonts w:ascii="Verdana" w:hAnsi="Verdana"/>
                <w:b/>
                <w:sz w:val="18"/>
                <w:szCs w:val="18"/>
              </w:rPr>
            </w:pPr>
          </w:p>
          <w:p w14:paraId="254480E8" w14:textId="77777777" w:rsidR="008715BE" w:rsidRPr="00EC75B7" w:rsidRDefault="00000000">
            <w:pPr>
              <w:pStyle w:val="TableParagraph"/>
              <w:spacing w:before="1"/>
              <w:ind w:left="771" w:right="750"/>
              <w:jc w:val="center"/>
              <w:rPr>
                <w:rFonts w:ascii="Verdana" w:hAnsi="Verdana"/>
                <w:b/>
                <w:sz w:val="18"/>
                <w:szCs w:val="18"/>
              </w:rPr>
            </w:pPr>
            <w:r w:rsidRPr="00EC75B7">
              <w:rPr>
                <w:rFonts w:ascii="Verdana" w:hAnsi="Verdana"/>
                <w:b/>
                <w:color w:val="FFFFFF"/>
                <w:sz w:val="18"/>
                <w:szCs w:val="18"/>
              </w:rPr>
              <w:t xml:space="preserve">Period of </w:t>
            </w:r>
            <w:r w:rsidRPr="00EC75B7">
              <w:rPr>
                <w:rFonts w:ascii="Verdana" w:hAnsi="Verdana"/>
                <w:b/>
                <w:color w:val="FFFFFF"/>
                <w:spacing w:val="-2"/>
                <w:sz w:val="18"/>
                <w:szCs w:val="18"/>
              </w:rPr>
              <w:t xml:space="preserve">implementation </w:t>
            </w:r>
            <w:r w:rsidRPr="00EC75B7">
              <w:rPr>
                <w:rFonts w:ascii="Verdana" w:hAnsi="Verdana"/>
                <w:b/>
                <w:color w:val="FFFFFF"/>
                <w:sz w:val="18"/>
                <w:szCs w:val="18"/>
              </w:rPr>
              <w:t>of the measure</w:t>
            </w:r>
          </w:p>
        </w:tc>
        <w:tc>
          <w:tcPr>
            <w:tcW w:w="2608" w:type="dxa"/>
            <w:shd w:val="clear" w:color="auto" w:fill="00AFEF"/>
          </w:tcPr>
          <w:p w14:paraId="50120D56" w14:textId="77777777" w:rsidR="008715BE" w:rsidRPr="00EC75B7" w:rsidRDefault="008715BE">
            <w:pPr>
              <w:pStyle w:val="TableParagraph"/>
              <w:spacing w:before="113"/>
              <w:rPr>
                <w:rFonts w:ascii="Verdana" w:hAnsi="Verdana"/>
                <w:b/>
                <w:sz w:val="18"/>
                <w:szCs w:val="18"/>
              </w:rPr>
            </w:pPr>
          </w:p>
          <w:p w14:paraId="5F9679E7" w14:textId="77777777" w:rsidR="008715BE" w:rsidRPr="00EC75B7" w:rsidRDefault="00000000">
            <w:pPr>
              <w:pStyle w:val="TableParagraph"/>
              <w:spacing w:before="1"/>
              <w:ind w:left="681" w:right="657" w:hanging="2"/>
              <w:jc w:val="center"/>
              <w:rPr>
                <w:rFonts w:ascii="Verdana" w:hAnsi="Verdana"/>
                <w:b/>
                <w:sz w:val="18"/>
                <w:szCs w:val="18"/>
              </w:rPr>
            </w:pPr>
            <w:r w:rsidRPr="00EC75B7">
              <w:rPr>
                <w:rFonts w:ascii="Verdana" w:hAnsi="Verdana"/>
                <w:b/>
                <w:color w:val="FFFFFF"/>
                <w:spacing w:val="-2"/>
                <w:sz w:val="18"/>
                <w:szCs w:val="18"/>
              </w:rPr>
              <w:t>Location of implementation of the measure</w:t>
            </w:r>
          </w:p>
        </w:tc>
      </w:tr>
      <w:tr w:rsidR="008715BE" w:rsidRPr="00EC75B7" w14:paraId="37E0EC5A" w14:textId="77777777">
        <w:trPr>
          <w:trHeight w:val="302"/>
        </w:trPr>
        <w:tc>
          <w:tcPr>
            <w:tcW w:w="20869" w:type="dxa"/>
            <w:gridSpan w:val="8"/>
            <w:shd w:val="clear" w:color="auto" w:fill="7BB455"/>
          </w:tcPr>
          <w:p w14:paraId="72D6DCC8" w14:textId="77777777" w:rsidR="008715BE" w:rsidRPr="00EC75B7" w:rsidRDefault="00000000">
            <w:pPr>
              <w:pStyle w:val="TableParagraph"/>
              <w:spacing w:before="54"/>
              <w:ind w:left="18" w:right="2"/>
              <w:jc w:val="center"/>
              <w:rPr>
                <w:rFonts w:ascii="Verdana" w:hAnsi="Verdana"/>
                <w:b/>
                <w:sz w:val="18"/>
                <w:szCs w:val="18"/>
              </w:rPr>
            </w:pPr>
            <w:r w:rsidRPr="00EC75B7">
              <w:rPr>
                <w:rFonts w:ascii="Verdana" w:hAnsi="Verdana"/>
                <w:b/>
                <w:spacing w:val="-2"/>
                <w:sz w:val="18"/>
                <w:szCs w:val="18"/>
              </w:rPr>
              <w:t xml:space="preserve">GENERAL </w:t>
            </w:r>
            <w:r w:rsidRPr="00EC75B7">
              <w:rPr>
                <w:rFonts w:ascii="Verdana" w:hAnsi="Verdana"/>
                <w:b/>
                <w:sz w:val="18"/>
                <w:szCs w:val="18"/>
              </w:rPr>
              <w:t>MEASURES</w:t>
            </w:r>
          </w:p>
        </w:tc>
      </w:tr>
      <w:tr w:rsidR="008715BE" w:rsidRPr="00EC75B7" w14:paraId="7444E9FF" w14:textId="77777777">
        <w:trPr>
          <w:trHeight w:val="2138"/>
        </w:trPr>
        <w:tc>
          <w:tcPr>
            <w:tcW w:w="554" w:type="dxa"/>
          </w:tcPr>
          <w:p w14:paraId="4AD810BC" w14:textId="77777777" w:rsidR="008715BE" w:rsidRPr="00EC75B7" w:rsidRDefault="008715BE">
            <w:pPr>
              <w:pStyle w:val="TableParagraph"/>
              <w:rPr>
                <w:rFonts w:ascii="Verdana" w:hAnsi="Verdana"/>
                <w:b/>
                <w:sz w:val="18"/>
                <w:szCs w:val="18"/>
              </w:rPr>
            </w:pPr>
          </w:p>
          <w:p w14:paraId="5E06E68B" w14:textId="77777777" w:rsidR="008715BE" w:rsidRPr="00EC75B7" w:rsidRDefault="008715BE">
            <w:pPr>
              <w:pStyle w:val="TableParagraph"/>
              <w:rPr>
                <w:rFonts w:ascii="Verdana" w:hAnsi="Verdana"/>
                <w:b/>
                <w:sz w:val="18"/>
                <w:szCs w:val="18"/>
              </w:rPr>
            </w:pPr>
          </w:p>
          <w:p w14:paraId="49C75210" w14:textId="77777777" w:rsidR="008715BE" w:rsidRPr="00EC75B7" w:rsidRDefault="008715BE">
            <w:pPr>
              <w:pStyle w:val="TableParagraph"/>
              <w:rPr>
                <w:rFonts w:ascii="Verdana" w:hAnsi="Verdana"/>
                <w:b/>
                <w:sz w:val="18"/>
                <w:szCs w:val="18"/>
              </w:rPr>
            </w:pPr>
          </w:p>
          <w:p w14:paraId="7EA41B68" w14:textId="77777777" w:rsidR="008715BE" w:rsidRPr="00EC75B7" w:rsidRDefault="008715BE">
            <w:pPr>
              <w:pStyle w:val="TableParagraph"/>
              <w:spacing w:before="189"/>
              <w:rPr>
                <w:rFonts w:ascii="Verdana" w:hAnsi="Verdana"/>
                <w:b/>
                <w:sz w:val="18"/>
                <w:szCs w:val="18"/>
              </w:rPr>
            </w:pPr>
          </w:p>
          <w:p w14:paraId="78BC5EB0"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5"/>
                <w:sz w:val="18"/>
                <w:szCs w:val="18"/>
              </w:rPr>
              <w:t>M</w:t>
            </w:r>
          </w:p>
        </w:tc>
        <w:tc>
          <w:tcPr>
            <w:tcW w:w="9161" w:type="dxa"/>
          </w:tcPr>
          <w:p w14:paraId="6D897428" w14:textId="77777777" w:rsidR="008715BE" w:rsidRPr="00EC75B7" w:rsidRDefault="008715BE">
            <w:pPr>
              <w:pStyle w:val="TableParagraph"/>
              <w:rPr>
                <w:rFonts w:ascii="Verdana" w:hAnsi="Verdana"/>
                <w:b/>
                <w:sz w:val="18"/>
                <w:szCs w:val="18"/>
              </w:rPr>
            </w:pPr>
          </w:p>
          <w:p w14:paraId="4D3A03DD" w14:textId="77777777" w:rsidR="008715BE" w:rsidRPr="00EC75B7" w:rsidRDefault="008715BE">
            <w:pPr>
              <w:pStyle w:val="TableParagraph"/>
              <w:rPr>
                <w:rFonts w:ascii="Verdana" w:hAnsi="Verdana"/>
                <w:b/>
                <w:sz w:val="18"/>
                <w:szCs w:val="18"/>
              </w:rPr>
            </w:pPr>
          </w:p>
          <w:p w14:paraId="45B30D53" w14:textId="77777777" w:rsidR="008715BE" w:rsidRPr="00EC75B7" w:rsidRDefault="008715BE">
            <w:pPr>
              <w:pStyle w:val="TableParagraph"/>
              <w:spacing w:before="92"/>
              <w:rPr>
                <w:rFonts w:ascii="Verdana" w:hAnsi="Verdana"/>
                <w:b/>
                <w:sz w:val="18"/>
                <w:szCs w:val="18"/>
              </w:rPr>
            </w:pPr>
          </w:p>
          <w:p w14:paraId="01131368"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Conducting regular training for all personnel involved in construction/decommissioning works on general environmental issues, habitats and protected species, and measures to avoid and reduce impacts. Particular attention will be paid to issues related to the prohibition of collecting plants and animals or deliberately injuring/killing protected species.</w:t>
            </w:r>
          </w:p>
        </w:tc>
        <w:tc>
          <w:tcPr>
            <w:tcW w:w="962" w:type="dxa"/>
          </w:tcPr>
          <w:p w14:paraId="53DC1F9F" w14:textId="77777777" w:rsidR="008715BE" w:rsidRPr="00EC75B7" w:rsidRDefault="008715BE">
            <w:pPr>
              <w:pStyle w:val="TableParagraph"/>
              <w:rPr>
                <w:rFonts w:ascii="Verdana" w:hAnsi="Verdana"/>
                <w:b/>
                <w:sz w:val="18"/>
                <w:szCs w:val="18"/>
              </w:rPr>
            </w:pPr>
          </w:p>
          <w:p w14:paraId="3EB6025C" w14:textId="77777777" w:rsidR="008715BE" w:rsidRPr="00EC75B7" w:rsidRDefault="008715BE">
            <w:pPr>
              <w:pStyle w:val="TableParagraph"/>
              <w:rPr>
                <w:rFonts w:ascii="Verdana" w:hAnsi="Verdana"/>
                <w:b/>
                <w:sz w:val="18"/>
                <w:szCs w:val="18"/>
              </w:rPr>
            </w:pPr>
          </w:p>
          <w:p w14:paraId="6785626E" w14:textId="77777777" w:rsidR="008715BE" w:rsidRPr="00EC75B7" w:rsidRDefault="008715BE">
            <w:pPr>
              <w:pStyle w:val="TableParagraph"/>
              <w:rPr>
                <w:rFonts w:ascii="Verdana" w:hAnsi="Verdana"/>
                <w:b/>
                <w:sz w:val="18"/>
                <w:szCs w:val="18"/>
              </w:rPr>
            </w:pPr>
          </w:p>
          <w:p w14:paraId="031DFC18" w14:textId="77777777" w:rsidR="008715BE" w:rsidRPr="00EC75B7" w:rsidRDefault="008715BE">
            <w:pPr>
              <w:pStyle w:val="TableParagraph"/>
              <w:spacing w:before="189"/>
              <w:rPr>
                <w:rFonts w:ascii="Verdana" w:hAnsi="Verdana"/>
                <w:b/>
                <w:sz w:val="18"/>
                <w:szCs w:val="18"/>
              </w:rPr>
            </w:pPr>
          </w:p>
          <w:p w14:paraId="305CC7F0" w14:textId="77777777" w:rsidR="008715BE" w:rsidRPr="00EC75B7" w:rsidRDefault="00000000">
            <w:pPr>
              <w:pStyle w:val="TableParagraph"/>
              <w:spacing w:before="1"/>
              <w:ind w:left="15" w:right="4"/>
              <w:jc w:val="center"/>
              <w:rPr>
                <w:rFonts w:ascii="Verdana" w:hAnsi="Verdana"/>
                <w:sz w:val="18"/>
                <w:szCs w:val="18"/>
              </w:rPr>
            </w:pPr>
            <w:r w:rsidRPr="00EC75B7">
              <w:rPr>
                <w:rFonts w:ascii="Verdana" w:hAnsi="Verdana"/>
                <w:spacing w:val="-10"/>
                <w:sz w:val="18"/>
                <w:szCs w:val="18"/>
              </w:rPr>
              <w:t>E</w:t>
            </w:r>
          </w:p>
        </w:tc>
        <w:tc>
          <w:tcPr>
            <w:tcW w:w="1890" w:type="dxa"/>
          </w:tcPr>
          <w:p w14:paraId="726F03E6" w14:textId="77777777" w:rsidR="008715BE" w:rsidRPr="00EC75B7" w:rsidRDefault="00000000">
            <w:pPr>
              <w:pStyle w:val="TableParagraph"/>
              <w:ind w:left="112" w:right="96"/>
              <w:jc w:val="center"/>
              <w:rPr>
                <w:rFonts w:ascii="Verdana" w:hAnsi="Verdana"/>
                <w:sz w:val="18"/>
                <w:szCs w:val="18"/>
              </w:rPr>
            </w:pPr>
            <w:r w:rsidRPr="00EC75B7">
              <w:rPr>
                <w:rFonts w:ascii="Verdana" w:hAnsi="Verdana"/>
                <w:sz w:val="18"/>
                <w:szCs w:val="18"/>
              </w:rPr>
              <w:t xml:space="preserve">All Natura 2000 components related to the protected natural areas </w:t>
            </w:r>
            <w:r w:rsidRPr="00EC75B7">
              <w:rPr>
                <w:rFonts w:ascii="Verdana" w:hAnsi="Verdana"/>
                <w:spacing w:val="-2"/>
                <w:sz w:val="18"/>
                <w:szCs w:val="18"/>
              </w:rPr>
              <w:t>ROSCI0071, ROSCI0157, ROSPA0166, ROSPA0036, ROSPA0094, BG0000569,</w:t>
            </w:r>
          </w:p>
          <w:p w14:paraId="27F58ADD" w14:textId="77777777" w:rsidR="008715BE" w:rsidRPr="00EC75B7" w:rsidRDefault="00000000">
            <w:pPr>
              <w:pStyle w:val="TableParagraph"/>
              <w:spacing w:line="166"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11DD00F4" w14:textId="77777777" w:rsidR="008715BE" w:rsidRPr="00EC75B7" w:rsidRDefault="00000000">
            <w:pPr>
              <w:pStyle w:val="TableParagraph"/>
              <w:spacing w:before="193"/>
              <w:ind w:left="211" w:right="196" w:firstLine="4"/>
              <w:jc w:val="center"/>
              <w:rPr>
                <w:rFonts w:ascii="Verdana" w:hAnsi="Verdana"/>
                <w:sz w:val="18"/>
                <w:szCs w:val="18"/>
              </w:rPr>
            </w:pPr>
            <w:r w:rsidRPr="00EC75B7">
              <w:rPr>
                <w:rFonts w:ascii="Verdana" w:hAnsi="Verdana"/>
                <w:spacing w:val="-2"/>
                <w:sz w:val="18"/>
                <w:szCs w:val="18"/>
              </w:rPr>
              <w:t>Population size Population trends for each species Habitat area</w:t>
            </w:r>
          </w:p>
        </w:tc>
        <w:tc>
          <w:tcPr>
            <w:tcW w:w="1619" w:type="dxa"/>
          </w:tcPr>
          <w:p w14:paraId="667A3AC0" w14:textId="77777777" w:rsidR="008715BE" w:rsidRPr="00EC75B7" w:rsidRDefault="008715BE">
            <w:pPr>
              <w:pStyle w:val="TableParagraph"/>
              <w:rPr>
                <w:rFonts w:ascii="Verdana" w:hAnsi="Verdana"/>
                <w:b/>
                <w:sz w:val="18"/>
                <w:szCs w:val="18"/>
              </w:rPr>
            </w:pPr>
          </w:p>
          <w:p w14:paraId="7A2CB4BC" w14:textId="77777777" w:rsidR="008715BE" w:rsidRPr="00EC75B7" w:rsidRDefault="008715BE">
            <w:pPr>
              <w:pStyle w:val="TableParagraph"/>
              <w:rPr>
                <w:rFonts w:ascii="Verdana" w:hAnsi="Verdana"/>
                <w:b/>
                <w:sz w:val="18"/>
                <w:szCs w:val="18"/>
              </w:rPr>
            </w:pPr>
          </w:p>
          <w:p w14:paraId="201E7A19" w14:textId="77777777" w:rsidR="008715BE" w:rsidRPr="00EC75B7" w:rsidRDefault="008715BE">
            <w:pPr>
              <w:pStyle w:val="TableParagraph"/>
              <w:rPr>
                <w:rFonts w:ascii="Verdana" w:hAnsi="Verdana"/>
                <w:b/>
                <w:sz w:val="18"/>
                <w:szCs w:val="18"/>
              </w:rPr>
            </w:pPr>
          </w:p>
          <w:p w14:paraId="4C3ED6D7" w14:textId="77777777" w:rsidR="008715BE" w:rsidRPr="00EC75B7" w:rsidRDefault="008715BE">
            <w:pPr>
              <w:pStyle w:val="TableParagraph"/>
              <w:spacing w:before="91"/>
              <w:rPr>
                <w:rFonts w:ascii="Verdana" w:hAnsi="Verdana"/>
                <w:b/>
                <w:sz w:val="18"/>
                <w:szCs w:val="18"/>
              </w:rPr>
            </w:pPr>
          </w:p>
          <w:p w14:paraId="21C4D411" w14:textId="77777777" w:rsidR="008715BE" w:rsidRPr="00EC75B7" w:rsidRDefault="00000000">
            <w:pPr>
              <w:pStyle w:val="TableParagraph"/>
              <w:ind w:left="542" w:hanging="413"/>
              <w:rPr>
                <w:rFonts w:ascii="Verdana" w:hAnsi="Verdana"/>
                <w:sz w:val="18"/>
                <w:szCs w:val="18"/>
              </w:rPr>
            </w:pPr>
            <w:r w:rsidRPr="00EC75B7">
              <w:rPr>
                <w:rFonts w:ascii="Verdana" w:hAnsi="Verdana"/>
                <w:sz w:val="18"/>
                <w:szCs w:val="18"/>
              </w:rPr>
              <w:t xml:space="preserve">All forms of </w:t>
            </w:r>
            <w:r w:rsidRPr="00EC75B7">
              <w:rPr>
                <w:rFonts w:ascii="Verdana" w:hAnsi="Verdana"/>
                <w:spacing w:val="-2"/>
                <w:sz w:val="18"/>
                <w:szCs w:val="18"/>
              </w:rPr>
              <w:t>impact</w:t>
            </w:r>
          </w:p>
        </w:tc>
        <w:tc>
          <w:tcPr>
            <w:tcW w:w="2802" w:type="dxa"/>
          </w:tcPr>
          <w:p w14:paraId="1708617A" w14:textId="77777777" w:rsidR="008715BE" w:rsidRPr="00EC75B7" w:rsidRDefault="008715BE">
            <w:pPr>
              <w:pStyle w:val="TableParagraph"/>
              <w:rPr>
                <w:rFonts w:ascii="Verdana" w:hAnsi="Verdana"/>
                <w:b/>
                <w:sz w:val="18"/>
                <w:szCs w:val="18"/>
              </w:rPr>
            </w:pPr>
          </w:p>
          <w:p w14:paraId="37903BDE" w14:textId="77777777" w:rsidR="008715BE" w:rsidRPr="00EC75B7" w:rsidRDefault="008715BE">
            <w:pPr>
              <w:pStyle w:val="TableParagraph"/>
              <w:rPr>
                <w:rFonts w:ascii="Verdana" w:hAnsi="Verdana"/>
                <w:b/>
                <w:sz w:val="18"/>
                <w:szCs w:val="18"/>
              </w:rPr>
            </w:pPr>
          </w:p>
          <w:p w14:paraId="3355967B" w14:textId="77777777" w:rsidR="008715BE" w:rsidRPr="00EC75B7" w:rsidRDefault="008715BE">
            <w:pPr>
              <w:pStyle w:val="TableParagraph"/>
              <w:rPr>
                <w:rFonts w:ascii="Verdana" w:hAnsi="Verdana"/>
                <w:b/>
                <w:sz w:val="18"/>
                <w:szCs w:val="18"/>
              </w:rPr>
            </w:pPr>
          </w:p>
          <w:p w14:paraId="757AB68F" w14:textId="77777777" w:rsidR="008715BE" w:rsidRPr="00EC75B7" w:rsidRDefault="008715BE">
            <w:pPr>
              <w:pStyle w:val="TableParagraph"/>
              <w:spacing w:before="189"/>
              <w:rPr>
                <w:rFonts w:ascii="Verdana" w:hAnsi="Verdana"/>
                <w:b/>
                <w:sz w:val="18"/>
                <w:szCs w:val="18"/>
              </w:rPr>
            </w:pPr>
          </w:p>
          <w:p w14:paraId="7FBA8FE5" w14:textId="77777777" w:rsidR="008715BE" w:rsidRPr="00EC75B7" w:rsidRDefault="00000000">
            <w:pPr>
              <w:pStyle w:val="TableParagraph"/>
              <w:spacing w:before="1"/>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332F3F73" w14:textId="77777777" w:rsidR="008715BE" w:rsidRPr="00EC75B7" w:rsidRDefault="008715BE">
            <w:pPr>
              <w:pStyle w:val="TableParagraph"/>
              <w:rPr>
                <w:rFonts w:ascii="Verdana" w:hAnsi="Verdana"/>
                <w:b/>
                <w:sz w:val="18"/>
                <w:szCs w:val="18"/>
              </w:rPr>
            </w:pPr>
          </w:p>
          <w:p w14:paraId="36A1F0F9" w14:textId="77777777" w:rsidR="008715BE" w:rsidRPr="00EC75B7" w:rsidRDefault="008715BE">
            <w:pPr>
              <w:pStyle w:val="TableParagraph"/>
              <w:rPr>
                <w:rFonts w:ascii="Verdana" w:hAnsi="Verdana"/>
                <w:b/>
                <w:sz w:val="18"/>
                <w:szCs w:val="18"/>
              </w:rPr>
            </w:pPr>
          </w:p>
          <w:p w14:paraId="7DA66442" w14:textId="77777777" w:rsidR="008715BE" w:rsidRPr="00EC75B7" w:rsidRDefault="008715BE">
            <w:pPr>
              <w:pStyle w:val="TableParagraph"/>
              <w:rPr>
                <w:rFonts w:ascii="Verdana" w:hAnsi="Verdana"/>
                <w:b/>
                <w:sz w:val="18"/>
                <w:szCs w:val="18"/>
              </w:rPr>
            </w:pPr>
          </w:p>
          <w:p w14:paraId="73613614" w14:textId="77777777" w:rsidR="008715BE" w:rsidRPr="00EC75B7" w:rsidRDefault="008715BE">
            <w:pPr>
              <w:pStyle w:val="TableParagraph"/>
              <w:spacing w:before="91"/>
              <w:rPr>
                <w:rFonts w:ascii="Verdana" w:hAnsi="Verdana"/>
                <w:b/>
                <w:sz w:val="18"/>
                <w:szCs w:val="18"/>
              </w:rPr>
            </w:pPr>
          </w:p>
          <w:p w14:paraId="73649213"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0AB4A5A5" w14:textId="77777777">
        <w:trPr>
          <w:trHeight w:val="2138"/>
        </w:trPr>
        <w:tc>
          <w:tcPr>
            <w:tcW w:w="554" w:type="dxa"/>
          </w:tcPr>
          <w:p w14:paraId="12D1C8A9" w14:textId="77777777" w:rsidR="008715BE" w:rsidRPr="00EC75B7" w:rsidRDefault="008715BE">
            <w:pPr>
              <w:pStyle w:val="TableParagraph"/>
              <w:rPr>
                <w:rFonts w:ascii="Verdana" w:hAnsi="Verdana"/>
                <w:b/>
                <w:sz w:val="18"/>
                <w:szCs w:val="18"/>
              </w:rPr>
            </w:pPr>
          </w:p>
          <w:p w14:paraId="150BB9F6" w14:textId="77777777" w:rsidR="008715BE" w:rsidRPr="00EC75B7" w:rsidRDefault="008715BE">
            <w:pPr>
              <w:pStyle w:val="TableParagraph"/>
              <w:rPr>
                <w:rFonts w:ascii="Verdana" w:hAnsi="Verdana"/>
                <w:b/>
                <w:sz w:val="18"/>
                <w:szCs w:val="18"/>
              </w:rPr>
            </w:pPr>
          </w:p>
          <w:p w14:paraId="7DE9DF8A" w14:textId="77777777" w:rsidR="008715BE" w:rsidRPr="00EC75B7" w:rsidRDefault="008715BE">
            <w:pPr>
              <w:pStyle w:val="TableParagraph"/>
              <w:rPr>
                <w:rFonts w:ascii="Verdana" w:hAnsi="Verdana"/>
                <w:b/>
                <w:sz w:val="18"/>
                <w:szCs w:val="18"/>
              </w:rPr>
            </w:pPr>
          </w:p>
          <w:p w14:paraId="1031B4C9" w14:textId="77777777" w:rsidR="008715BE" w:rsidRPr="00EC75B7" w:rsidRDefault="008715BE">
            <w:pPr>
              <w:pStyle w:val="TableParagraph"/>
              <w:spacing w:before="190"/>
              <w:rPr>
                <w:rFonts w:ascii="Verdana" w:hAnsi="Verdana"/>
                <w:b/>
                <w:sz w:val="18"/>
                <w:szCs w:val="18"/>
              </w:rPr>
            </w:pPr>
          </w:p>
          <w:p w14:paraId="5DF13C0A"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M2</w:t>
            </w:r>
          </w:p>
        </w:tc>
        <w:tc>
          <w:tcPr>
            <w:tcW w:w="9161" w:type="dxa"/>
          </w:tcPr>
          <w:p w14:paraId="0A992E3E" w14:textId="77777777" w:rsidR="008715BE" w:rsidRPr="00EC75B7" w:rsidRDefault="008715BE">
            <w:pPr>
              <w:pStyle w:val="TableParagraph"/>
              <w:rPr>
                <w:rFonts w:ascii="Verdana" w:hAnsi="Verdana"/>
                <w:b/>
                <w:sz w:val="18"/>
                <w:szCs w:val="18"/>
              </w:rPr>
            </w:pPr>
          </w:p>
          <w:p w14:paraId="318FB580" w14:textId="77777777" w:rsidR="008715BE" w:rsidRPr="00EC75B7" w:rsidRDefault="008715BE">
            <w:pPr>
              <w:pStyle w:val="TableParagraph"/>
              <w:rPr>
                <w:rFonts w:ascii="Verdana" w:hAnsi="Verdana"/>
                <w:b/>
                <w:sz w:val="18"/>
                <w:szCs w:val="18"/>
              </w:rPr>
            </w:pPr>
          </w:p>
          <w:p w14:paraId="7132B315" w14:textId="77777777" w:rsidR="008715BE" w:rsidRPr="00EC75B7" w:rsidRDefault="008715BE">
            <w:pPr>
              <w:pStyle w:val="TableParagraph"/>
              <w:rPr>
                <w:rFonts w:ascii="Verdana" w:hAnsi="Verdana"/>
                <w:b/>
                <w:sz w:val="18"/>
                <w:szCs w:val="18"/>
              </w:rPr>
            </w:pPr>
          </w:p>
          <w:p w14:paraId="410D26B0" w14:textId="77777777" w:rsidR="008715BE" w:rsidRPr="00EC75B7" w:rsidRDefault="008715BE">
            <w:pPr>
              <w:pStyle w:val="TableParagraph"/>
              <w:spacing w:before="94"/>
              <w:rPr>
                <w:rFonts w:ascii="Verdana" w:hAnsi="Verdana"/>
                <w:b/>
                <w:sz w:val="18"/>
                <w:szCs w:val="18"/>
              </w:rPr>
            </w:pPr>
          </w:p>
          <w:p w14:paraId="309203BB"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Implementation of low-attractiveness lighting systems without UV spectrum and with exclusive dispersion on the ground (exclusion of incandescent bodies that generate heat)</w:t>
            </w:r>
          </w:p>
        </w:tc>
        <w:tc>
          <w:tcPr>
            <w:tcW w:w="962" w:type="dxa"/>
          </w:tcPr>
          <w:p w14:paraId="6CA5F5F2" w14:textId="77777777" w:rsidR="008715BE" w:rsidRPr="00EC75B7" w:rsidRDefault="008715BE">
            <w:pPr>
              <w:pStyle w:val="TableParagraph"/>
              <w:rPr>
                <w:rFonts w:ascii="Verdana" w:hAnsi="Verdana"/>
                <w:b/>
                <w:sz w:val="18"/>
                <w:szCs w:val="18"/>
              </w:rPr>
            </w:pPr>
          </w:p>
          <w:p w14:paraId="35D93D06" w14:textId="77777777" w:rsidR="008715BE" w:rsidRPr="00EC75B7" w:rsidRDefault="008715BE">
            <w:pPr>
              <w:pStyle w:val="TableParagraph"/>
              <w:rPr>
                <w:rFonts w:ascii="Verdana" w:hAnsi="Verdana"/>
                <w:b/>
                <w:sz w:val="18"/>
                <w:szCs w:val="18"/>
              </w:rPr>
            </w:pPr>
          </w:p>
          <w:p w14:paraId="6A06EF9C" w14:textId="77777777" w:rsidR="008715BE" w:rsidRPr="00EC75B7" w:rsidRDefault="008715BE">
            <w:pPr>
              <w:pStyle w:val="TableParagraph"/>
              <w:rPr>
                <w:rFonts w:ascii="Verdana" w:hAnsi="Verdana"/>
                <w:b/>
                <w:sz w:val="18"/>
                <w:szCs w:val="18"/>
              </w:rPr>
            </w:pPr>
          </w:p>
          <w:p w14:paraId="27232B1C" w14:textId="77777777" w:rsidR="008715BE" w:rsidRPr="00EC75B7" w:rsidRDefault="008715BE">
            <w:pPr>
              <w:pStyle w:val="TableParagraph"/>
              <w:spacing w:before="190"/>
              <w:rPr>
                <w:rFonts w:ascii="Verdana" w:hAnsi="Verdana"/>
                <w:b/>
                <w:sz w:val="18"/>
                <w:szCs w:val="18"/>
              </w:rPr>
            </w:pPr>
          </w:p>
          <w:p w14:paraId="0B39992E" w14:textId="77777777" w:rsidR="008715BE" w:rsidRPr="00EC75B7" w:rsidRDefault="00000000">
            <w:pPr>
              <w:pStyle w:val="TableParagraph"/>
              <w:ind w:left="15" w:right="4"/>
              <w:jc w:val="center"/>
              <w:rPr>
                <w:rFonts w:ascii="Verdana" w:hAnsi="Verdana"/>
                <w:sz w:val="18"/>
                <w:szCs w:val="18"/>
              </w:rPr>
            </w:pPr>
            <w:r w:rsidRPr="00EC75B7">
              <w:rPr>
                <w:rFonts w:ascii="Verdana" w:hAnsi="Verdana"/>
                <w:spacing w:val="-10"/>
                <w:sz w:val="18"/>
                <w:szCs w:val="18"/>
              </w:rPr>
              <w:t>P</w:t>
            </w:r>
          </w:p>
        </w:tc>
        <w:tc>
          <w:tcPr>
            <w:tcW w:w="1890" w:type="dxa"/>
          </w:tcPr>
          <w:p w14:paraId="3BB6428B" w14:textId="77777777" w:rsidR="008715BE" w:rsidRPr="00EC75B7" w:rsidRDefault="00000000">
            <w:pPr>
              <w:pStyle w:val="TableParagraph"/>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5A239740"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from </w:t>
            </w:r>
            <w:r w:rsidRPr="00EC75B7">
              <w:rPr>
                <w:rFonts w:ascii="Verdana" w:hAnsi="Verdana"/>
                <w:spacing w:val="-2"/>
                <w:sz w:val="18"/>
                <w:szCs w:val="18"/>
              </w:rPr>
              <w:t>ROSCI0071, ROSCI0157, ROSPA0166, ROSPA0036, ROSPA0094, BG0000569,</w:t>
            </w:r>
          </w:p>
          <w:p w14:paraId="226E5A67" w14:textId="77777777" w:rsidR="008715BE" w:rsidRPr="00EC75B7" w:rsidRDefault="00000000">
            <w:pPr>
              <w:pStyle w:val="TableParagraph"/>
              <w:spacing w:line="167"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7E8EE753" w14:textId="77777777" w:rsidR="008715BE" w:rsidRPr="00EC75B7" w:rsidRDefault="008715BE">
            <w:pPr>
              <w:pStyle w:val="TableParagraph"/>
              <w:spacing w:before="193"/>
              <w:rPr>
                <w:rFonts w:ascii="Verdana" w:hAnsi="Verdana"/>
                <w:b/>
                <w:sz w:val="18"/>
                <w:szCs w:val="18"/>
              </w:rPr>
            </w:pPr>
          </w:p>
          <w:p w14:paraId="4B4D470C"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6EAB86C6" w14:textId="77777777" w:rsidR="008715BE" w:rsidRPr="00EC75B7" w:rsidRDefault="008715BE">
            <w:pPr>
              <w:pStyle w:val="TableParagraph"/>
              <w:rPr>
                <w:rFonts w:ascii="Verdana" w:hAnsi="Verdana"/>
                <w:b/>
                <w:sz w:val="18"/>
                <w:szCs w:val="18"/>
              </w:rPr>
            </w:pPr>
          </w:p>
          <w:p w14:paraId="455E5DF4" w14:textId="77777777" w:rsidR="008715BE" w:rsidRPr="00EC75B7" w:rsidRDefault="008715BE">
            <w:pPr>
              <w:pStyle w:val="TableParagraph"/>
              <w:rPr>
                <w:rFonts w:ascii="Verdana" w:hAnsi="Verdana"/>
                <w:b/>
                <w:sz w:val="18"/>
                <w:szCs w:val="18"/>
              </w:rPr>
            </w:pPr>
          </w:p>
          <w:p w14:paraId="50473594" w14:textId="77777777" w:rsidR="008715BE" w:rsidRPr="00EC75B7" w:rsidRDefault="008715BE">
            <w:pPr>
              <w:pStyle w:val="TableParagraph"/>
              <w:rPr>
                <w:rFonts w:ascii="Verdana" w:hAnsi="Verdana"/>
                <w:b/>
                <w:sz w:val="18"/>
                <w:szCs w:val="18"/>
              </w:rPr>
            </w:pPr>
          </w:p>
          <w:p w14:paraId="56DF43BC" w14:textId="77777777" w:rsidR="008715BE" w:rsidRPr="00EC75B7" w:rsidRDefault="008715BE">
            <w:pPr>
              <w:pStyle w:val="TableParagraph"/>
              <w:spacing w:before="190"/>
              <w:rPr>
                <w:rFonts w:ascii="Verdana" w:hAnsi="Verdana"/>
                <w:b/>
                <w:sz w:val="18"/>
                <w:szCs w:val="18"/>
              </w:rPr>
            </w:pPr>
          </w:p>
          <w:p w14:paraId="4E365C63" w14:textId="77777777" w:rsidR="008715BE" w:rsidRPr="00EC75B7" w:rsidRDefault="00000000">
            <w:pPr>
              <w:pStyle w:val="TableParagraph"/>
              <w:ind w:left="110" w:right="93"/>
              <w:jc w:val="center"/>
              <w:rPr>
                <w:rFonts w:ascii="Verdana" w:hAnsi="Verdana"/>
                <w:sz w:val="18"/>
                <w:szCs w:val="18"/>
              </w:rPr>
            </w:pPr>
            <w:r w:rsidRPr="00EC75B7">
              <w:rPr>
                <w:rFonts w:ascii="Verdana" w:hAnsi="Verdana"/>
                <w:sz w:val="18"/>
                <w:szCs w:val="18"/>
              </w:rPr>
              <w:t xml:space="preserve">PAS, </w:t>
            </w:r>
            <w:r w:rsidRPr="00EC75B7">
              <w:rPr>
                <w:rFonts w:ascii="Verdana" w:hAnsi="Verdana"/>
                <w:spacing w:val="-5"/>
                <w:sz w:val="18"/>
                <w:szCs w:val="18"/>
              </w:rPr>
              <w:t>REP</w:t>
            </w:r>
          </w:p>
        </w:tc>
        <w:tc>
          <w:tcPr>
            <w:tcW w:w="2802" w:type="dxa"/>
          </w:tcPr>
          <w:p w14:paraId="16831AAF" w14:textId="77777777" w:rsidR="008715BE" w:rsidRPr="00EC75B7" w:rsidRDefault="008715BE">
            <w:pPr>
              <w:pStyle w:val="TableParagraph"/>
              <w:rPr>
                <w:rFonts w:ascii="Verdana" w:hAnsi="Verdana"/>
                <w:b/>
                <w:sz w:val="18"/>
                <w:szCs w:val="18"/>
              </w:rPr>
            </w:pPr>
          </w:p>
          <w:p w14:paraId="3EA36173" w14:textId="77777777" w:rsidR="008715BE" w:rsidRPr="00EC75B7" w:rsidRDefault="008715BE">
            <w:pPr>
              <w:pStyle w:val="TableParagraph"/>
              <w:rPr>
                <w:rFonts w:ascii="Verdana" w:hAnsi="Verdana"/>
                <w:b/>
                <w:sz w:val="18"/>
                <w:szCs w:val="18"/>
              </w:rPr>
            </w:pPr>
          </w:p>
          <w:p w14:paraId="1CDE4342" w14:textId="77777777" w:rsidR="008715BE" w:rsidRPr="00EC75B7" w:rsidRDefault="008715BE">
            <w:pPr>
              <w:pStyle w:val="TableParagraph"/>
              <w:rPr>
                <w:rFonts w:ascii="Verdana" w:hAnsi="Verdana"/>
                <w:b/>
                <w:sz w:val="18"/>
                <w:szCs w:val="18"/>
              </w:rPr>
            </w:pPr>
          </w:p>
          <w:p w14:paraId="15C70396" w14:textId="77777777" w:rsidR="008715BE" w:rsidRPr="00EC75B7" w:rsidRDefault="008715BE">
            <w:pPr>
              <w:pStyle w:val="TableParagraph"/>
              <w:spacing w:before="190"/>
              <w:rPr>
                <w:rFonts w:ascii="Verdana" w:hAnsi="Verdana"/>
                <w:b/>
                <w:sz w:val="18"/>
                <w:szCs w:val="18"/>
              </w:rPr>
            </w:pPr>
          </w:p>
          <w:p w14:paraId="0EE14559" w14:textId="77777777" w:rsidR="008715BE" w:rsidRPr="00EC75B7" w:rsidRDefault="00000000">
            <w:pPr>
              <w:pStyle w:val="TableParagraph"/>
              <w:ind w:left="21"/>
              <w:jc w:val="center"/>
              <w:rPr>
                <w:rFonts w:ascii="Verdana" w:hAnsi="Verdana"/>
                <w:sz w:val="18"/>
                <w:szCs w:val="18"/>
              </w:rPr>
            </w:pPr>
            <w:r w:rsidRPr="00EC75B7">
              <w:rPr>
                <w:rFonts w:ascii="Verdana" w:hAnsi="Verdana"/>
                <w:spacing w:val="-2"/>
                <w:sz w:val="18"/>
                <w:szCs w:val="18"/>
              </w:rPr>
              <w:t>Construction/Operation/Decommissioning</w:t>
            </w:r>
          </w:p>
        </w:tc>
        <w:tc>
          <w:tcPr>
            <w:tcW w:w="2608" w:type="dxa"/>
          </w:tcPr>
          <w:p w14:paraId="732E0F1E" w14:textId="77777777" w:rsidR="008715BE" w:rsidRPr="00EC75B7" w:rsidRDefault="008715BE">
            <w:pPr>
              <w:pStyle w:val="TableParagraph"/>
              <w:rPr>
                <w:rFonts w:ascii="Verdana" w:hAnsi="Verdana"/>
                <w:b/>
                <w:sz w:val="18"/>
                <w:szCs w:val="18"/>
              </w:rPr>
            </w:pPr>
          </w:p>
          <w:p w14:paraId="4906DD0C" w14:textId="77777777" w:rsidR="008715BE" w:rsidRPr="00EC75B7" w:rsidRDefault="008715BE">
            <w:pPr>
              <w:pStyle w:val="TableParagraph"/>
              <w:rPr>
                <w:rFonts w:ascii="Verdana" w:hAnsi="Verdana"/>
                <w:b/>
                <w:sz w:val="18"/>
                <w:szCs w:val="18"/>
              </w:rPr>
            </w:pPr>
          </w:p>
          <w:p w14:paraId="275AE59C" w14:textId="77777777" w:rsidR="008715BE" w:rsidRPr="00EC75B7" w:rsidRDefault="008715BE">
            <w:pPr>
              <w:pStyle w:val="TableParagraph"/>
              <w:rPr>
                <w:rFonts w:ascii="Verdana" w:hAnsi="Verdana"/>
                <w:b/>
                <w:sz w:val="18"/>
                <w:szCs w:val="18"/>
              </w:rPr>
            </w:pPr>
          </w:p>
          <w:p w14:paraId="652759C0" w14:textId="77777777" w:rsidR="008715BE" w:rsidRPr="00EC75B7" w:rsidRDefault="008715BE">
            <w:pPr>
              <w:pStyle w:val="TableParagraph"/>
              <w:spacing w:before="94"/>
              <w:rPr>
                <w:rFonts w:ascii="Verdana" w:hAnsi="Verdana"/>
                <w:b/>
                <w:sz w:val="18"/>
                <w:szCs w:val="18"/>
              </w:rPr>
            </w:pPr>
          </w:p>
          <w:p w14:paraId="31AB10EA"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17764502" w14:textId="77777777">
        <w:trPr>
          <w:trHeight w:val="2335"/>
        </w:trPr>
        <w:tc>
          <w:tcPr>
            <w:tcW w:w="554" w:type="dxa"/>
          </w:tcPr>
          <w:p w14:paraId="4F436D1A" w14:textId="77777777" w:rsidR="008715BE" w:rsidRPr="00EC75B7" w:rsidRDefault="008715BE">
            <w:pPr>
              <w:pStyle w:val="TableParagraph"/>
              <w:rPr>
                <w:rFonts w:ascii="Verdana" w:hAnsi="Verdana"/>
                <w:b/>
                <w:sz w:val="18"/>
                <w:szCs w:val="18"/>
              </w:rPr>
            </w:pPr>
          </w:p>
          <w:p w14:paraId="68BD6731" w14:textId="77777777" w:rsidR="008715BE" w:rsidRPr="00EC75B7" w:rsidRDefault="008715BE">
            <w:pPr>
              <w:pStyle w:val="TableParagraph"/>
              <w:rPr>
                <w:rFonts w:ascii="Verdana" w:hAnsi="Verdana"/>
                <w:b/>
                <w:sz w:val="18"/>
                <w:szCs w:val="18"/>
              </w:rPr>
            </w:pPr>
          </w:p>
          <w:p w14:paraId="452CC075" w14:textId="77777777" w:rsidR="008715BE" w:rsidRPr="00EC75B7" w:rsidRDefault="008715BE">
            <w:pPr>
              <w:pStyle w:val="TableParagraph"/>
              <w:rPr>
                <w:rFonts w:ascii="Verdana" w:hAnsi="Verdana"/>
                <w:b/>
                <w:sz w:val="18"/>
                <w:szCs w:val="18"/>
              </w:rPr>
            </w:pPr>
          </w:p>
          <w:p w14:paraId="60E0136E" w14:textId="77777777" w:rsidR="008715BE" w:rsidRPr="00EC75B7" w:rsidRDefault="008715BE">
            <w:pPr>
              <w:pStyle w:val="TableParagraph"/>
              <w:rPr>
                <w:rFonts w:ascii="Verdana" w:hAnsi="Verdana"/>
                <w:b/>
                <w:sz w:val="18"/>
                <w:szCs w:val="18"/>
              </w:rPr>
            </w:pPr>
          </w:p>
          <w:p w14:paraId="0F565561" w14:textId="77777777" w:rsidR="008715BE" w:rsidRPr="00EC75B7" w:rsidRDefault="008715BE">
            <w:pPr>
              <w:pStyle w:val="TableParagraph"/>
              <w:spacing w:before="93"/>
              <w:rPr>
                <w:rFonts w:ascii="Verdana" w:hAnsi="Verdana"/>
                <w:b/>
                <w:sz w:val="18"/>
                <w:szCs w:val="18"/>
              </w:rPr>
            </w:pPr>
          </w:p>
          <w:p w14:paraId="7E162BB9"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M3</w:t>
            </w:r>
          </w:p>
        </w:tc>
        <w:tc>
          <w:tcPr>
            <w:tcW w:w="9161" w:type="dxa"/>
          </w:tcPr>
          <w:p w14:paraId="33984EF8" w14:textId="77777777" w:rsidR="008715BE" w:rsidRPr="00EC75B7" w:rsidRDefault="008715BE">
            <w:pPr>
              <w:pStyle w:val="TableParagraph"/>
              <w:rPr>
                <w:rFonts w:ascii="Verdana" w:hAnsi="Verdana"/>
                <w:b/>
                <w:sz w:val="18"/>
                <w:szCs w:val="18"/>
              </w:rPr>
            </w:pPr>
          </w:p>
          <w:p w14:paraId="751A562F" w14:textId="77777777" w:rsidR="008715BE" w:rsidRPr="00EC75B7" w:rsidRDefault="008715BE">
            <w:pPr>
              <w:pStyle w:val="TableParagraph"/>
              <w:rPr>
                <w:rFonts w:ascii="Verdana" w:hAnsi="Verdana"/>
                <w:b/>
                <w:sz w:val="18"/>
                <w:szCs w:val="18"/>
              </w:rPr>
            </w:pPr>
          </w:p>
          <w:p w14:paraId="0E693DF7" w14:textId="77777777" w:rsidR="008715BE" w:rsidRPr="00EC75B7" w:rsidRDefault="008715BE">
            <w:pPr>
              <w:pStyle w:val="TableParagraph"/>
              <w:rPr>
                <w:rFonts w:ascii="Verdana" w:hAnsi="Verdana"/>
                <w:b/>
                <w:sz w:val="18"/>
                <w:szCs w:val="18"/>
              </w:rPr>
            </w:pPr>
          </w:p>
          <w:p w14:paraId="767AEDFD" w14:textId="77777777" w:rsidR="008715BE" w:rsidRPr="00EC75B7" w:rsidRDefault="008715BE">
            <w:pPr>
              <w:pStyle w:val="TableParagraph"/>
              <w:rPr>
                <w:rFonts w:ascii="Verdana" w:hAnsi="Verdana"/>
                <w:b/>
                <w:sz w:val="18"/>
                <w:szCs w:val="18"/>
              </w:rPr>
            </w:pPr>
          </w:p>
          <w:p w14:paraId="65090B21" w14:textId="77777777" w:rsidR="008715BE" w:rsidRPr="00EC75B7" w:rsidRDefault="008715BE">
            <w:pPr>
              <w:pStyle w:val="TableParagraph"/>
              <w:spacing w:before="93"/>
              <w:rPr>
                <w:rFonts w:ascii="Verdana" w:hAnsi="Verdana"/>
                <w:b/>
                <w:sz w:val="18"/>
                <w:szCs w:val="18"/>
              </w:rPr>
            </w:pPr>
          </w:p>
          <w:p w14:paraId="26FCD385"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Compliance with the proposed work schedule and the period proposed in this project.</w:t>
            </w:r>
          </w:p>
        </w:tc>
        <w:tc>
          <w:tcPr>
            <w:tcW w:w="962" w:type="dxa"/>
          </w:tcPr>
          <w:p w14:paraId="4C4B69AF" w14:textId="77777777" w:rsidR="008715BE" w:rsidRPr="00EC75B7" w:rsidRDefault="008715BE">
            <w:pPr>
              <w:pStyle w:val="TableParagraph"/>
              <w:rPr>
                <w:rFonts w:ascii="Verdana" w:hAnsi="Verdana"/>
                <w:b/>
                <w:sz w:val="18"/>
                <w:szCs w:val="18"/>
              </w:rPr>
            </w:pPr>
          </w:p>
          <w:p w14:paraId="04224CA6" w14:textId="77777777" w:rsidR="008715BE" w:rsidRPr="00EC75B7" w:rsidRDefault="008715BE">
            <w:pPr>
              <w:pStyle w:val="TableParagraph"/>
              <w:rPr>
                <w:rFonts w:ascii="Verdana" w:hAnsi="Verdana"/>
                <w:b/>
                <w:sz w:val="18"/>
                <w:szCs w:val="18"/>
              </w:rPr>
            </w:pPr>
          </w:p>
          <w:p w14:paraId="32E32943" w14:textId="77777777" w:rsidR="008715BE" w:rsidRPr="00EC75B7" w:rsidRDefault="008715BE">
            <w:pPr>
              <w:pStyle w:val="TableParagraph"/>
              <w:rPr>
                <w:rFonts w:ascii="Verdana" w:hAnsi="Verdana"/>
                <w:b/>
                <w:sz w:val="18"/>
                <w:szCs w:val="18"/>
              </w:rPr>
            </w:pPr>
          </w:p>
          <w:p w14:paraId="4FB2C894" w14:textId="77777777" w:rsidR="008715BE" w:rsidRPr="00EC75B7" w:rsidRDefault="008715BE">
            <w:pPr>
              <w:pStyle w:val="TableParagraph"/>
              <w:rPr>
                <w:rFonts w:ascii="Verdana" w:hAnsi="Verdana"/>
                <w:b/>
                <w:sz w:val="18"/>
                <w:szCs w:val="18"/>
              </w:rPr>
            </w:pPr>
          </w:p>
          <w:p w14:paraId="18C5BC6C" w14:textId="77777777" w:rsidR="008715BE" w:rsidRPr="00EC75B7" w:rsidRDefault="008715BE">
            <w:pPr>
              <w:pStyle w:val="TableParagraph"/>
              <w:spacing w:before="93"/>
              <w:rPr>
                <w:rFonts w:ascii="Verdana" w:hAnsi="Verdana"/>
                <w:b/>
                <w:sz w:val="18"/>
                <w:szCs w:val="18"/>
              </w:rPr>
            </w:pPr>
          </w:p>
          <w:p w14:paraId="74DA28DD" w14:textId="77777777" w:rsidR="008715BE" w:rsidRPr="00EC75B7" w:rsidRDefault="00000000">
            <w:pPr>
              <w:pStyle w:val="TableParagraph"/>
              <w:ind w:left="15" w:right="4"/>
              <w:jc w:val="center"/>
              <w:rPr>
                <w:rFonts w:ascii="Verdana" w:hAnsi="Verdana"/>
                <w:sz w:val="18"/>
                <w:szCs w:val="18"/>
              </w:rPr>
            </w:pPr>
            <w:r w:rsidRPr="00EC75B7">
              <w:rPr>
                <w:rFonts w:ascii="Verdana" w:hAnsi="Verdana"/>
                <w:spacing w:val="-10"/>
                <w:sz w:val="18"/>
                <w:szCs w:val="18"/>
              </w:rPr>
              <w:t>P</w:t>
            </w:r>
          </w:p>
        </w:tc>
        <w:tc>
          <w:tcPr>
            <w:tcW w:w="1890" w:type="dxa"/>
          </w:tcPr>
          <w:p w14:paraId="705E97E0" w14:textId="77777777" w:rsidR="008715BE" w:rsidRPr="00EC75B7" w:rsidRDefault="00000000">
            <w:pPr>
              <w:pStyle w:val="TableParagraph"/>
              <w:spacing w:before="1"/>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77F5544C"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19AFE56B" w14:textId="77777777" w:rsidR="008715BE" w:rsidRPr="00EC75B7" w:rsidRDefault="00000000">
            <w:pPr>
              <w:pStyle w:val="TableParagraph"/>
              <w:spacing w:line="167"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0C00EC74" w14:textId="77777777" w:rsidR="008715BE" w:rsidRPr="00EC75B7" w:rsidRDefault="008715BE">
            <w:pPr>
              <w:pStyle w:val="TableParagraph"/>
              <w:rPr>
                <w:rFonts w:ascii="Verdana" w:hAnsi="Verdana"/>
                <w:b/>
                <w:sz w:val="18"/>
                <w:szCs w:val="18"/>
              </w:rPr>
            </w:pPr>
          </w:p>
          <w:p w14:paraId="1A7BC28F" w14:textId="77777777" w:rsidR="008715BE" w:rsidRPr="00EC75B7" w:rsidRDefault="008715BE">
            <w:pPr>
              <w:pStyle w:val="TableParagraph"/>
              <w:spacing w:before="194"/>
              <w:rPr>
                <w:rFonts w:ascii="Verdana" w:hAnsi="Verdana"/>
                <w:b/>
                <w:sz w:val="18"/>
                <w:szCs w:val="18"/>
              </w:rPr>
            </w:pPr>
          </w:p>
          <w:p w14:paraId="18E3A611"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7066A3E7" w14:textId="77777777" w:rsidR="008715BE" w:rsidRPr="00EC75B7" w:rsidRDefault="008715BE">
            <w:pPr>
              <w:pStyle w:val="TableParagraph"/>
              <w:rPr>
                <w:rFonts w:ascii="Verdana" w:hAnsi="Verdana"/>
                <w:b/>
                <w:sz w:val="18"/>
                <w:szCs w:val="18"/>
              </w:rPr>
            </w:pPr>
          </w:p>
          <w:p w14:paraId="2CAACAEE" w14:textId="77777777" w:rsidR="008715BE" w:rsidRPr="00EC75B7" w:rsidRDefault="008715BE">
            <w:pPr>
              <w:pStyle w:val="TableParagraph"/>
              <w:rPr>
                <w:rFonts w:ascii="Verdana" w:hAnsi="Verdana"/>
                <w:b/>
                <w:sz w:val="18"/>
                <w:szCs w:val="18"/>
              </w:rPr>
            </w:pPr>
          </w:p>
          <w:p w14:paraId="2F37E999" w14:textId="77777777" w:rsidR="008715BE" w:rsidRPr="00EC75B7" w:rsidRDefault="008715BE">
            <w:pPr>
              <w:pStyle w:val="TableParagraph"/>
              <w:rPr>
                <w:rFonts w:ascii="Verdana" w:hAnsi="Verdana"/>
                <w:b/>
                <w:sz w:val="18"/>
                <w:szCs w:val="18"/>
              </w:rPr>
            </w:pPr>
          </w:p>
          <w:p w14:paraId="0F0963F5" w14:textId="77777777" w:rsidR="008715BE" w:rsidRPr="00EC75B7" w:rsidRDefault="008715BE">
            <w:pPr>
              <w:pStyle w:val="TableParagraph"/>
              <w:rPr>
                <w:rFonts w:ascii="Verdana" w:hAnsi="Verdana"/>
                <w:b/>
                <w:sz w:val="18"/>
                <w:szCs w:val="18"/>
              </w:rPr>
            </w:pPr>
          </w:p>
          <w:p w14:paraId="764C6B84" w14:textId="77777777" w:rsidR="008715BE" w:rsidRPr="00EC75B7" w:rsidRDefault="008715BE">
            <w:pPr>
              <w:pStyle w:val="TableParagraph"/>
              <w:spacing w:before="93"/>
              <w:rPr>
                <w:rFonts w:ascii="Verdana" w:hAnsi="Verdana"/>
                <w:b/>
                <w:sz w:val="18"/>
                <w:szCs w:val="18"/>
              </w:rPr>
            </w:pPr>
          </w:p>
          <w:p w14:paraId="6CC5AC06"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5"/>
                <w:sz w:val="18"/>
                <w:szCs w:val="18"/>
              </w:rPr>
              <w:t>PAS</w:t>
            </w:r>
          </w:p>
        </w:tc>
        <w:tc>
          <w:tcPr>
            <w:tcW w:w="2802" w:type="dxa"/>
          </w:tcPr>
          <w:p w14:paraId="766552CB" w14:textId="77777777" w:rsidR="008715BE" w:rsidRPr="00EC75B7" w:rsidRDefault="008715BE">
            <w:pPr>
              <w:pStyle w:val="TableParagraph"/>
              <w:rPr>
                <w:rFonts w:ascii="Verdana" w:hAnsi="Verdana"/>
                <w:b/>
                <w:sz w:val="18"/>
                <w:szCs w:val="18"/>
              </w:rPr>
            </w:pPr>
          </w:p>
          <w:p w14:paraId="28263640" w14:textId="77777777" w:rsidR="008715BE" w:rsidRPr="00EC75B7" w:rsidRDefault="008715BE">
            <w:pPr>
              <w:pStyle w:val="TableParagraph"/>
              <w:rPr>
                <w:rFonts w:ascii="Verdana" w:hAnsi="Verdana"/>
                <w:b/>
                <w:sz w:val="18"/>
                <w:szCs w:val="18"/>
              </w:rPr>
            </w:pPr>
          </w:p>
          <w:p w14:paraId="5CFBFC81" w14:textId="77777777" w:rsidR="008715BE" w:rsidRPr="00EC75B7" w:rsidRDefault="008715BE">
            <w:pPr>
              <w:pStyle w:val="TableParagraph"/>
              <w:rPr>
                <w:rFonts w:ascii="Verdana" w:hAnsi="Verdana"/>
                <w:b/>
                <w:sz w:val="18"/>
                <w:szCs w:val="18"/>
              </w:rPr>
            </w:pPr>
          </w:p>
          <w:p w14:paraId="4A12D71A" w14:textId="77777777" w:rsidR="008715BE" w:rsidRPr="00EC75B7" w:rsidRDefault="008715BE">
            <w:pPr>
              <w:pStyle w:val="TableParagraph"/>
              <w:rPr>
                <w:rFonts w:ascii="Verdana" w:hAnsi="Verdana"/>
                <w:b/>
                <w:sz w:val="18"/>
                <w:szCs w:val="18"/>
              </w:rPr>
            </w:pPr>
          </w:p>
          <w:p w14:paraId="4FD2CC0C" w14:textId="77777777" w:rsidR="008715BE" w:rsidRPr="00EC75B7" w:rsidRDefault="008715BE">
            <w:pPr>
              <w:pStyle w:val="TableParagraph"/>
              <w:spacing w:before="93"/>
              <w:rPr>
                <w:rFonts w:ascii="Verdana" w:hAnsi="Verdana"/>
                <w:b/>
                <w:sz w:val="18"/>
                <w:szCs w:val="18"/>
              </w:rPr>
            </w:pPr>
          </w:p>
          <w:p w14:paraId="64EACCC3"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1EBE3DF7" w14:textId="77777777" w:rsidR="008715BE" w:rsidRPr="00EC75B7" w:rsidRDefault="008715BE">
            <w:pPr>
              <w:pStyle w:val="TableParagraph"/>
              <w:rPr>
                <w:rFonts w:ascii="Verdana" w:hAnsi="Verdana"/>
                <w:b/>
                <w:sz w:val="18"/>
                <w:szCs w:val="18"/>
              </w:rPr>
            </w:pPr>
          </w:p>
          <w:p w14:paraId="035C0081" w14:textId="77777777" w:rsidR="008715BE" w:rsidRPr="00EC75B7" w:rsidRDefault="008715BE">
            <w:pPr>
              <w:pStyle w:val="TableParagraph"/>
              <w:rPr>
                <w:rFonts w:ascii="Verdana" w:hAnsi="Verdana"/>
                <w:b/>
                <w:sz w:val="18"/>
                <w:szCs w:val="18"/>
              </w:rPr>
            </w:pPr>
          </w:p>
          <w:p w14:paraId="7B8C0B2F" w14:textId="77777777" w:rsidR="008715BE" w:rsidRPr="00EC75B7" w:rsidRDefault="008715BE">
            <w:pPr>
              <w:pStyle w:val="TableParagraph"/>
              <w:rPr>
                <w:rFonts w:ascii="Verdana" w:hAnsi="Verdana"/>
                <w:b/>
                <w:sz w:val="18"/>
                <w:szCs w:val="18"/>
              </w:rPr>
            </w:pPr>
          </w:p>
          <w:p w14:paraId="4695FE5D" w14:textId="77777777" w:rsidR="008715BE" w:rsidRPr="00EC75B7" w:rsidRDefault="008715BE">
            <w:pPr>
              <w:pStyle w:val="TableParagraph"/>
              <w:spacing w:before="192"/>
              <w:rPr>
                <w:rFonts w:ascii="Verdana" w:hAnsi="Verdana"/>
                <w:b/>
                <w:sz w:val="18"/>
                <w:szCs w:val="18"/>
              </w:rPr>
            </w:pPr>
          </w:p>
          <w:p w14:paraId="034C0C08"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21899F77" w14:textId="77777777">
        <w:trPr>
          <w:trHeight w:val="2332"/>
        </w:trPr>
        <w:tc>
          <w:tcPr>
            <w:tcW w:w="554" w:type="dxa"/>
          </w:tcPr>
          <w:p w14:paraId="2F4216C0" w14:textId="77777777" w:rsidR="008715BE" w:rsidRPr="00EC75B7" w:rsidRDefault="008715BE">
            <w:pPr>
              <w:pStyle w:val="TableParagraph"/>
              <w:rPr>
                <w:rFonts w:ascii="Verdana" w:hAnsi="Verdana"/>
                <w:b/>
                <w:sz w:val="18"/>
                <w:szCs w:val="18"/>
              </w:rPr>
            </w:pPr>
          </w:p>
          <w:p w14:paraId="156F9700" w14:textId="77777777" w:rsidR="008715BE" w:rsidRPr="00EC75B7" w:rsidRDefault="008715BE">
            <w:pPr>
              <w:pStyle w:val="TableParagraph"/>
              <w:rPr>
                <w:rFonts w:ascii="Verdana" w:hAnsi="Verdana"/>
                <w:b/>
                <w:sz w:val="18"/>
                <w:szCs w:val="18"/>
              </w:rPr>
            </w:pPr>
          </w:p>
          <w:p w14:paraId="750086E8" w14:textId="77777777" w:rsidR="008715BE" w:rsidRPr="00EC75B7" w:rsidRDefault="008715BE">
            <w:pPr>
              <w:pStyle w:val="TableParagraph"/>
              <w:rPr>
                <w:rFonts w:ascii="Verdana" w:hAnsi="Verdana"/>
                <w:b/>
                <w:sz w:val="18"/>
                <w:szCs w:val="18"/>
              </w:rPr>
            </w:pPr>
          </w:p>
          <w:p w14:paraId="30445D0E" w14:textId="77777777" w:rsidR="008715BE" w:rsidRPr="00EC75B7" w:rsidRDefault="008715BE">
            <w:pPr>
              <w:pStyle w:val="TableParagraph"/>
              <w:rPr>
                <w:rFonts w:ascii="Verdana" w:hAnsi="Verdana"/>
                <w:b/>
                <w:sz w:val="18"/>
                <w:szCs w:val="18"/>
              </w:rPr>
            </w:pPr>
          </w:p>
          <w:p w14:paraId="49B2B5C8" w14:textId="77777777" w:rsidR="008715BE" w:rsidRPr="00EC75B7" w:rsidRDefault="008715BE">
            <w:pPr>
              <w:pStyle w:val="TableParagraph"/>
              <w:spacing w:before="93"/>
              <w:rPr>
                <w:rFonts w:ascii="Verdana" w:hAnsi="Verdana"/>
                <w:b/>
                <w:sz w:val="18"/>
                <w:szCs w:val="18"/>
              </w:rPr>
            </w:pPr>
          </w:p>
          <w:p w14:paraId="67F48F5F"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w:t>
            </w:r>
          </w:p>
        </w:tc>
        <w:tc>
          <w:tcPr>
            <w:tcW w:w="9161" w:type="dxa"/>
          </w:tcPr>
          <w:p w14:paraId="2C2D27EC" w14:textId="77777777" w:rsidR="008715BE" w:rsidRPr="00EC75B7" w:rsidRDefault="008715BE">
            <w:pPr>
              <w:pStyle w:val="TableParagraph"/>
              <w:rPr>
                <w:rFonts w:ascii="Verdana" w:hAnsi="Verdana"/>
                <w:b/>
                <w:sz w:val="18"/>
                <w:szCs w:val="18"/>
              </w:rPr>
            </w:pPr>
          </w:p>
          <w:p w14:paraId="5B615E9A" w14:textId="77777777" w:rsidR="008715BE" w:rsidRPr="00EC75B7" w:rsidRDefault="008715BE">
            <w:pPr>
              <w:pStyle w:val="TableParagraph"/>
              <w:rPr>
                <w:rFonts w:ascii="Verdana" w:hAnsi="Verdana"/>
                <w:b/>
                <w:sz w:val="18"/>
                <w:szCs w:val="18"/>
              </w:rPr>
            </w:pPr>
          </w:p>
          <w:p w14:paraId="417719EE" w14:textId="77777777" w:rsidR="008715BE" w:rsidRPr="00EC75B7" w:rsidRDefault="008715BE">
            <w:pPr>
              <w:pStyle w:val="TableParagraph"/>
              <w:rPr>
                <w:rFonts w:ascii="Verdana" w:hAnsi="Verdana"/>
                <w:b/>
                <w:sz w:val="18"/>
                <w:szCs w:val="18"/>
              </w:rPr>
            </w:pPr>
          </w:p>
          <w:p w14:paraId="112A8D17" w14:textId="77777777" w:rsidR="008715BE" w:rsidRPr="00EC75B7" w:rsidRDefault="008715BE">
            <w:pPr>
              <w:pStyle w:val="TableParagraph"/>
              <w:rPr>
                <w:rFonts w:ascii="Verdana" w:hAnsi="Verdana"/>
                <w:b/>
                <w:sz w:val="18"/>
                <w:szCs w:val="18"/>
              </w:rPr>
            </w:pPr>
          </w:p>
          <w:p w14:paraId="287365BA" w14:textId="77777777" w:rsidR="008715BE" w:rsidRPr="00EC75B7" w:rsidRDefault="008715BE">
            <w:pPr>
              <w:pStyle w:val="TableParagraph"/>
              <w:spacing w:before="93"/>
              <w:rPr>
                <w:rFonts w:ascii="Verdana" w:hAnsi="Verdana"/>
                <w:b/>
                <w:sz w:val="18"/>
                <w:szCs w:val="18"/>
              </w:rPr>
            </w:pPr>
          </w:p>
          <w:p w14:paraId="6E125726"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Compliance with the perimeter of the proposed construction site to be located in the immediate vicinity of the </w:t>
            </w:r>
            <w:r w:rsidRPr="00EC75B7">
              <w:rPr>
                <w:rFonts w:ascii="Verdana" w:hAnsi="Verdana"/>
                <w:spacing w:val="-2"/>
                <w:sz w:val="18"/>
                <w:szCs w:val="18"/>
              </w:rPr>
              <w:t xml:space="preserve">work </w:t>
            </w:r>
            <w:r w:rsidRPr="00EC75B7">
              <w:rPr>
                <w:rFonts w:ascii="Verdana" w:hAnsi="Verdana"/>
                <w:sz w:val="18"/>
                <w:szCs w:val="18"/>
              </w:rPr>
              <w:t>area</w:t>
            </w:r>
            <w:r w:rsidRPr="00EC75B7">
              <w:rPr>
                <w:rFonts w:ascii="Verdana" w:hAnsi="Verdana"/>
                <w:spacing w:val="-2"/>
                <w:sz w:val="18"/>
                <w:szCs w:val="18"/>
              </w:rPr>
              <w:t>.</w:t>
            </w:r>
          </w:p>
        </w:tc>
        <w:tc>
          <w:tcPr>
            <w:tcW w:w="962" w:type="dxa"/>
          </w:tcPr>
          <w:p w14:paraId="50A6510D" w14:textId="77777777" w:rsidR="008715BE" w:rsidRPr="00EC75B7" w:rsidRDefault="008715BE">
            <w:pPr>
              <w:pStyle w:val="TableParagraph"/>
              <w:rPr>
                <w:rFonts w:ascii="Verdana" w:hAnsi="Verdana"/>
                <w:b/>
                <w:sz w:val="18"/>
                <w:szCs w:val="18"/>
              </w:rPr>
            </w:pPr>
          </w:p>
          <w:p w14:paraId="1780507E" w14:textId="77777777" w:rsidR="008715BE" w:rsidRPr="00EC75B7" w:rsidRDefault="008715BE">
            <w:pPr>
              <w:pStyle w:val="TableParagraph"/>
              <w:rPr>
                <w:rFonts w:ascii="Verdana" w:hAnsi="Verdana"/>
                <w:b/>
                <w:sz w:val="18"/>
                <w:szCs w:val="18"/>
              </w:rPr>
            </w:pPr>
          </w:p>
          <w:p w14:paraId="309CB369" w14:textId="77777777" w:rsidR="008715BE" w:rsidRPr="00EC75B7" w:rsidRDefault="008715BE">
            <w:pPr>
              <w:pStyle w:val="TableParagraph"/>
              <w:rPr>
                <w:rFonts w:ascii="Verdana" w:hAnsi="Verdana"/>
                <w:b/>
                <w:sz w:val="18"/>
                <w:szCs w:val="18"/>
              </w:rPr>
            </w:pPr>
          </w:p>
          <w:p w14:paraId="069BA17C" w14:textId="77777777" w:rsidR="008715BE" w:rsidRPr="00EC75B7" w:rsidRDefault="008715BE">
            <w:pPr>
              <w:pStyle w:val="TableParagraph"/>
              <w:rPr>
                <w:rFonts w:ascii="Verdana" w:hAnsi="Verdana"/>
                <w:b/>
                <w:sz w:val="18"/>
                <w:szCs w:val="18"/>
              </w:rPr>
            </w:pPr>
          </w:p>
          <w:p w14:paraId="1B8EB976" w14:textId="77777777" w:rsidR="008715BE" w:rsidRPr="00EC75B7" w:rsidRDefault="008715BE">
            <w:pPr>
              <w:pStyle w:val="TableParagraph"/>
              <w:spacing w:before="93"/>
              <w:rPr>
                <w:rFonts w:ascii="Verdana" w:hAnsi="Verdana"/>
                <w:b/>
                <w:sz w:val="18"/>
                <w:szCs w:val="18"/>
              </w:rPr>
            </w:pPr>
          </w:p>
          <w:p w14:paraId="4D6DAC2C" w14:textId="77777777" w:rsidR="008715BE" w:rsidRPr="00EC75B7" w:rsidRDefault="00000000">
            <w:pPr>
              <w:pStyle w:val="TableParagraph"/>
              <w:ind w:left="15" w:right="4"/>
              <w:jc w:val="center"/>
              <w:rPr>
                <w:rFonts w:ascii="Verdana" w:hAnsi="Verdana"/>
                <w:sz w:val="18"/>
                <w:szCs w:val="18"/>
              </w:rPr>
            </w:pPr>
            <w:r w:rsidRPr="00EC75B7">
              <w:rPr>
                <w:rFonts w:ascii="Verdana" w:hAnsi="Verdana"/>
                <w:spacing w:val="-10"/>
                <w:sz w:val="18"/>
                <w:szCs w:val="18"/>
              </w:rPr>
              <w:t>P</w:t>
            </w:r>
          </w:p>
        </w:tc>
        <w:tc>
          <w:tcPr>
            <w:tcW w:w="1890" w:type="dxa"/>
          </w:tcPr>
          <w:p w14:paraId="0372F8B1" w14:textId="77777777" w:rsidR="008715BE" w:rsidRPr="00EC75B7" w:rsidRDefault="00000000">
            <w:pPr>
              <w:pStyle w:val="TableParagraph"/>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6CBB5692"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69F508B0" w14:textId="77777777" w:rsidR="008715BE" w:rsidRPr="00EC75B7" w:rsidRDefault="00000000">
            <w:pPr>
              <w:pStyle w:val="TableParagraph"/>
              <w:spacing w:line="167"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785B2645" w14:textId="77777777" w:rsidR="008715BE" w:rsidRPr="00EC75B7" w:rsidRDefault="008715BE">
            <w:pPr>
              <w:pStyle w:val="TableParagraph"/>
              <w:rPr>
                <w:rFonts w:ascii="Verdana" w:hAnsi="Verdana"/>
                <w:b/>
                <w:sz w:val="18"/>
                <w:szCs w:val="18"/>
              </w:rPr>
            </w:pPr>
          </w:p>
          <w:p w14:paraId="5BD81934" w14:textId="77777777" w:rsidR="008715BE" w:rsidRPr="00EC75B7" w:rsidRDefault="008715BE">
            <w:pPr>
              <w:pStyle w:val="TableParagraph"/>
              <w:spacing w:before="191"/>
              <w:rPr>
                <w:rFonts w:ascii="Verdana" w:hAnsi="Verdana"/>
                <w:b/>
                <w:sz w:val="18"/>
                <w:szCs w:val="18"/>
              </w:rPr>
            </w:pPr>
          </w:p>
          <w:p w14:paraId="0C4BCEB7"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5345E865" w14:textId="77777777" w:rsidR="008715BE" w:rsidRPr="00EC75B7" w:rsidRDefault="008715BE">
            <w:pPr>
              <w:pStyle w:val="TableParagraph"/>
              <w:rPr>
                <w:rFonts w:ascii="Verdana" w:hAnsi="Verdana"/>
                <w:b/>
                <w:sz w:val="18"/>
                <w:szCs w:val="18"/>
              </w:rPr>
            </w:pPr>
          </w:p>
          <w:p w14:paraId="3BF14116" w14:textId="77777777" w:rsidR="008715BE" w:rsidRPr="00EC75B7" w:rsidRDefault="008715BE">
            <w:pPr>
              <w:pStyle w:val="TableParagraph"/>
              <w:rPr>
                <w:rFonts w:ascii="Verdana" w:hAnsi="Verdana"/>
                <w:b/>
                <w:sz w:val="18"/>
                <w:szCs w:val="18"/>
              </w:rPr>
            </w:pPr>
          </w:p>
          <w:p w14:paraId="315AAD07" w14:textId="77777777" w:rsidR="008715BE" w:rsidRPr="00EC75B7" w:rsidRDefault="008715BE">
            <w:pPr>
              <w:pStyle w:val="TableParagraph"/>
              <w:rPr>
                <w:rFonts w:ascii="Verdana" w:hAnsi="Verdana"/>
                <w:b/>
                <w:sz w:val="18"/>
                <w:szCs w:val="18"/>
              </w:rPr>
            </w:pPr>
          </w:p>
          <w:p w14:paraId="7EACBCAE" w14:textId="77777777" w:rsidR="008715BE" w:rsidRPr="00EC75B7" w:rsidRDefault="008715BE">
            <w:pPr>
              <w:pStyle w:val="TableParagraph"/>
              <w:rPr>
                <w:rFonts w:ascii="Verdana" w:hAnsi="Verdana"/>
                <w:b/>
                <w:sz w:val="18"/>
                <w:szCs w:val="18"/>
              </w:rPr>
            </w:pPr>
          </w:p>
          <w:p w14:paraId="43CF68EE" w14:textId="77777777" w:rsidR="008715BE" w:rsidRPr="00EC75B7" w:rsidRDefault="008715BE">
            <w:pPr>
              <w:pStyle w:val="TableParagraph"/>
              <w:spacing w:before="93"/>
              <w:rPr>
                <w:rFonts w:ascii="Verdana" w:hAnsi="Verdana"/>
                <w:b/>
                <w:sz w:val="18"/>
                <w:szCs w:val="18"/>
              </w:rPr>
            </w:pPr>
          </w:p>
          <w:p w14:paraId="06F946E9"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5"/>
                <w:sz w:val="18"/>
                <w:szCs w:val="18"/>
              </w:rPr>
              <w:t>PAS</w:t>
            </w:r>
          </w:p>
        </w:tc>
        <w:tc>
          <w:tcPr>
            <w:tcW w:w="2802" w:type="dxa"/>
          </w:tcPr>
          <w:p w14:paraId="242200F5" w14:textId="77777777" w:rsidR="008715BE" w:rsidRPr="00EC75B7" w:rsidRDefault="008715BE">
            <w:pPr>
              <w:pStyle w:val="TableParagraph"/>
              <w:rPr>
                <w:rFonts w:ascii="Verdana" w:hAnsi="Verdana"/>
                <w:b/>
                <w:sz w:val="18"/>
                <w:szCs w:val="18"/>
              </w:rPr>
            </w:pPr>
          </w:p>
          <w:p w14:paraId="478B8634" w14:textId="77777777" w:rsidR="008715BE" w:rsidRPr="00EC75B7" w:rsidRDefault="008715BE">
            <w:pPr>
              <w:pStyle w:val="TableParagraph"/>
              <w:rPr>
                <w:rFonts w:ascii="Verdana" w:hAnsi="Verdana"/>
                <w:b/>
                <w:sz w:val="18"/>
                <w:szCs w:val="18"/>
              </w:rPr>
            </w:pPr>
          </w:p>
          <w:p w14:paraId="4EA85281" w14:textId="77777777" w:rsidR="008715BE" w:rsidRPr="00EC75B7" w:rsidRDefault="008715BE">
            <w:pPr>
              <w:pStyle w:val="TableParagraph"/>
              <w:rPr>
                <w:rFonts w:ascii="Verdana" w:hAnsi="Verdana"/>
                <w:b/>
                <w:sz w:val="18"/>
                <w:szCs w:val="18"/>
              </w:rPr>
            </w:pPr>
          </w:p>
          <w:p w14:paraId="2A7201FF" w14:textId="77777777" w:rsidR="008715BE" w:rsidRPr="00EC75B7" w:rsidRDefault="008715BE">
            <w:pPr>
              <w:pStyle w:val="TableParagraph"/>
              <w:rPr>
                <w:rFonts w:ascii="Verdana" w:hAnsi="Verdana"/>
                <w:b/>
                <w:sz w:val="18"/>
                <w:szCs w:val="18"/>
              </w:rPr>
            </w:pPr>
          </w:p>
          <w:p w14:paraId="72C35306" w14:textId="77777777" w:rsidR="008715BE" w:rsidRPr="00EC75B7" w:rsidRDefault="008715BE">
            <w:pPr>
              <w:pStyle w:val="TableParagraph"/>
              <w:spacing w:before="93"/>
              <w:rPr>
                <w:rFonts w:ascii="Verdana" w:hAnsi="Verdana"/>
                <w:b/>
                <w:sz w:val="18"/>
                <w:szCs w:val="18"/>
              </w:rPr>
            </w:pPr>
          </w:p>
          <w:p w14:paraId="4A5500A5"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3A069056" w14:textId="77777777" w:rsidR="008715BE" w:rsidRPr="00EC75B7" w:rsidRDefault="008715BE">
            <w:pPr>
              <w:pStyle w:val="TableParagraph"/>
              <w:rPr>
                <w:rFonts w:ascii="Verdana" w:hAnsi="Verdana"/>
                <w:b/>
                <w:sz w:val="18"/>
                <w:szCs w:val="18"/>
              </w:rPr>
            </w:pPr>
          </w:p>
          <w:p w14:paraId="28DBF747" w14:textId="77777777" w:rsidR="008715BE" w:rsidRPr="00EC75B7" w:rsidRDefault="008715BE">
            <w:pPr>
              <w:pStyle w:val="TableParagraph"/>
              <w:rPr>
                <w:rFonts w:ascii="Verdana" w:hAnsi="Verdana"/>
                <w:b/>
                <w:sz w:val="18"/>
                <w:szCs w:val="18"/>
              </w:rPr>
            </w:pPr>
          </w:p>
          <w:p w14:paraId="19AA35F0" w14:textId="77777777" w:rsidR="008715BE" w:rsidRPr="00EC75B7" w:rsidRDefault="008715BE">
            <w:pPr>
              <w:pStyle w:val="TableParagraph"/>
              <w:rPr>
                <w:rFonts w:ascii="Verdana" w:hAnsi="Verdana"/>
                <w:b/>
                <w:sz w:val="18"/>
                <w:szCs w:val="18"/>
              </w:rPr>
            </w:pPr>
          </w:p>
          <w:p w14:paraId="31E3F52E" w14:textId="77777777" w:rsidR="008715BE" w:rsidRPr="00EC75B7" w:rsidRDefault="008715BE">
            <w:pPr>
              <w:pStyle w:val="TableParagraph"/>
              <w:spacing w:before="189"/>
              <w:rPr>
                <w:rFonts w:ascii="Verdana" w:hAnsi="Verdana"/>
                <w:b/>
                <w:sz w:val="18"/>
                <w:szCs w:val="18"/>
              </w:rPr>
            </w:pPr>
          </w:p>
          <w:p w14:paraId="1141BA02" w14:textId="77777777" w:rsidR="008715BE" w:rsidRPr="00EC75B7" w:rsidRDefault="00000000">
            <w:pPr>
              <w:pStyle w:val="TableParagraph"/>
              <w:spacing w:before="1"/>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3EDB8DD1" w14:textId="77777777">
        <w:trPr>
          <w:trHeight w:val="2335"/>
        </w:trPr>
        <w:tc>
          <w:tcPr>
            <w:tcW w:w="554" w:type="dxa"/>
          </w:tcPr>
          <w:p w14:paraId="37B76FAC" w14:textId="77777777" w:rsidR="008715BE" w:rsidRPr="00EC75B7" w:rsidRDefault="008715BE">
            <w:pPr>
              <w:pStyle w:val="TableParagraph"/>
              <w:rPr>
                <w:rFonts w:ascii="Verdana" w:hAnsi="Verdana"/>
                <w:b/>
                <w:sz w:val="18"/>
                <w:szCs w:val="18"/>
              </w:rPr>
            </w:pPr>
          </w:p>
          <w:p w14:paraId="1343F25A" w14:textId="77777777" w:rsidR="008715BE" w:rsidRPr="00EC75B7" w:rsidRDefault="008715BE">
            <w:pPr>
              <w:pStyle w:val="TableParagraph"/>
              <w:rPr>
                <w:rFonts w:ascii="Verdana" w:hAnsi="Verdana"/>
                <w:b/>
                <w:sz w:val="18"/>
                <w:szCs w:val="18"/>
              </w:rPr>
            </w:pPr>
          </w:p>
          <w:p w14:paraId="30B52A82" w14:textId="77777777" w:rsidR="008715BE" w:rsidRPr="00EC75B7" w:rsidRDefault="008715BE">
            <w:pPr>
              <w:pStyle w:val="TableParagraph"/>
              <w:rPr>
                <w:rFonts w:ascii="Verdana" w:hAnsi="Verdana"/>
                <w:b/>
                <w:sz w:val="18"/>
                <w:szCs w:val="18"/>
              </w:rPr>
            </w:pPr>
          </w:p>
          <w:p w14:paraId="312C7F77" w14:textId="77777777" w:rsidR="008715BE" w:rsidRPr="00EC75B7" w:rsidRDefault="008715BE">
            <w:pPr>
              <w:pStyle w:val="TableParagraph"/>
              <w:rPr>
                <w:rFonts w:ascii="Verdana" w:hAnsi="Verdana"/>
                <w:b/>
                <w:sz w:val="18"/>
                <w:szCs w:val="18"/>
              </w:rPr>
            </w:pPr>
          </w:p>
          <w:p w14:paraId="1322C197" w14:textId="77777777" w:rsidR="008715BE" w:rsidRPr="00EC75B7" w:rsidRDefault="008715BE">
            <w:pPr>
              <w:pStyle w:val="TableParagraph"/>
              <w:spacing w:before="93"/>
              <w:rPr>
                <w:rFonts w:ascii="Verdana" w:hAnsi="Verdana"/>
                <w:b/>
                <w:sz w:val="18"/>
                <w:szCs w:val="18"/>
              </w:rPr>
            </w:pPr>
          </w:p>
          <w:p w14:paraId="37696AAA"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w:t>
            </w:r>
          </w:p>
        </w:tc>
        <w:tc>
          <w:tcPr>
            <w:tcW w:w="9161" w:type="dxa"/>
          </w:tcPr>
          <w:p w14:paraId="622DC70F" w14:textId="77777777" w:rsidR="008715BE" w:rsidRPr="00EC75B7" w:rsidRDefault="008715BE">
            <w:pPr>
              <w:pStyle w:val="TableParagraph"/>
              <w:rPr>
                <w:rFonts w:ascii="Verdana" w:hAnsi="Verdana"/>
                <w:b/>
                <w:sz w:val="18"/>
                <w:szCs w:val="18"/>
              </w:rPr>
            </w:pPr>
          </w:p>
          <w:p w14:paraId="113A7959" w14:textId="77777777" w:rsidR="008715BE" w:rsidRPr="00EC75B7" w:rsidRDefault="008715BE">
            <w:pPr>
              <w:pStyle w:val="TableParagraph"/>
              <w:rPr>
                <w:rFonts w:ascii="Verdana" w:hAnsi="Verdana"/>
                <w:b/>
                <w:sz w:val="18"/>
                <w:szCs w:val="18"/>
              </w:rPr>
            </w:pPr>
          </w:p>
          <w:p w14:paraId="0B4DF838" w14:textId="77777777" w:rsidR="008715BE" w:rsidRPr="00EC75B7" w:rsidRDefault="008715BE">
            <w:pPr>
              <w:pStyle w:val="TableParagraph"/>
              <w:rPr>
                <w:rFonts w:ascii="Verdana" w:hAnsi="Verdana"/>
                <w:b/>
                <w:sz w:val="18"/>
                <w:szCs w:val="18"/>
              </w:rPr>
            </w:pPr>
          </w:p>
          <w:p w14:paraId="49382840" w14:textId="77777777" w:rsidR="008715BE" w:rsidRPr="00EC75B7" w:rsidRDefault="008715BE">
            <w:pPr>
              <w:pStyle w:val="TableParagraph"/>
              <w:rPr>
                <w:rFonts w:ascii="Verdana" w:hAnsi="Verdana"/>
                <w:b/>
                <w:sz w:val="18"/>
                <w:szCs w:val="18"/>
              </w:rPr>
            </w:pPr>
          </w:p>
          <w:p w14:paraId="0A6D0A07" w14:textId="77777777" w:rsidR="008715BE" w:rsidRPr="00EC75B7" w:rsidRDefault="008715BE">
            <w:pPr>
              <w:pStyle w:val="TableParagraph"/>
              <w:spacing w:before="93"/>
              <w:rPr>
                <w:rFonts w:ascii="Verdana" w:hAnsi="Verdana"/>
                <w:b/>
                <w:sz w:val="18"/>
                <w:szCs w:val="18"/>
              </w:rPr>
            </w:pPr>
          </w:p>
          <w:p w14:paraId="14265BCD"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Carrying out activities within the perimeter on the strictly </w:t>
            </w:r>
            <w:r w:rsidRPr="00EC75B7">
              <w:rPr>
                <w:rFonts w:ascii="Verdana" w:hAnsi="Verdana"/>
                <w:spacing w:val="-2"/>
                <w:sz w:val="18"/>
                <w:szCs w:val="18"/>
              </w:rPr>
              <w:t xml:space="preserve">necessary </w:t>
            </w:r>
            <w:r w:rsidRPr="00EC75B7">
              <w:rPr>
                <w:rFonts w:ascii="Verdana" w:hAnsi="Verdana"/>
                <w:sz w:val="18"/>
                <w:szCs w:val="18"/>
              </w:rPr>
              <w:t>areas</w:t>
            </w:r>
            <w:r w:rsidRPr="00EC75B7">
              <w:rPr>
                <w:rFonts w:ascii="Verdana" w:hAnsi="Verdana"/>
                <w:spacing w:val="-2"/>
                <w:sz w:val="18"/>
                <w:szCs w:val="18"/>
              </w:rPr>
              <w:t>.</w:t>
            </w:r>
          </w:p>
        </w:tc>
        <w:tc>
          <w:tcPr>
            <w:tcW w:w="962" w:type="dxa"/>
          </w:tcPr>
          <w:p w14:paraId="1E9C963A" w14:textId="77777777" w:rsidR="008715BE" w:rsidRPr="00EC75B7" w:rsidRDefault="008715BE">
            <w:pPr>
              <w:pStyle w:val="TableParagraph"/>
              <w:rPr>
                <w:rFonts w:ascii="Verdana" w:hAnsi="Verdana"/>
                <w:b/>
                <w:sz w:val="18"/>
                <w:szCs w:val="18"/>
              </w:rPr>
            </w:pPr>
          </w:p>
          <w:p w14:paraId="783BDEDF" w14:textId="77777777" w:rsidR="008715BE" w:rsidRPr="00EC75B7" w:rsidRDefault="008715BE">
            <w:pPr>
              <w:pStyle w:val="TableParagraph"/>
              <w:rPr>
                <w:rFonts w:ascii="Verdana" w:hAnsi="Verdana"/>
                <w:b/>
                <w:sz w:val="18"/>
                <w:szCs w:val="18"/>
              </w:rPr>
            </w:pPr>
          </w:p>
          <w:p w14:paraId="2BE20CDF" w14:textId="77777777" w:rsidR="008715BE" w:rsidRPr="00EC75B7" w:rsidRDefault="008715BE">
            <w:pPr>
              <w:pStyle w:val="TableParagraph"/>
              <w:rPr>
                <w:rFonts w:ascii="Verdana" w:hAnsi="Verdana"/>
                <w:b/>
                <w:sz w:val="18"/>
                <w:szCs w:val="18"/>
              </w:rPr>
            </w:pPr>
          </w:p>
          <w:p w14:paraId="1A14843B" w14:textId="77777777" w:rsidR="008715BE" w:rsidRPr="00EC75B7" w:rsidRDefault="008715BE">
            <w:pPr>
              <w:pStyle w:val="TableParagraph"/>
              <w:rPr>
                <w:rFonts w:ascii="Verdana" w:hAnsi="Verdana"/>
                <w:b/>
                <w:sz w:val="18"/>
                <w:szCs w:val="18"/>
              </w:rPr>
            </w:pPr>
          </w:p>
          <w:p w14:paraId="20218E46" w14:textId="77777777" w:rsidR="008715BE" w:rsidRPr="00EC75B7" w:rsidRDefault="008715BE">
            <w:pPr>
              <w:pStyle w:val="TableParagraph"/>
              <w:spacing w:before="93"/>
              <w:rPr>
                <w:rFonts w:ascii="Verdana" w:hAnsi="Verdana"/>
                <w:b/>
                <w:sz w:val="18"/>
                <w:szCs w:val="18"/>
              </w:rPr>
            </w:pPr>
          </w:p>
          <w:p w14:paraId="425BC7CE" w14:textId="77777777" w:rsidR="008715BE" w:rsidRPr="00EC75B7" w:rsidRDefault="00000000">
            <w:pPr>
              <w:pStyle w:val="TableParagraph"/>
              <w:ind w:left="15" w:right="4"/>
              <w:jc w:val="center"/>
              <w:rPr>
                <w:rFonts w:ascii="Verdana" w:hAnsi="Verdana"/>
                <w:sz w:val="18"/>
                <w:szCs w:val="18"/>
              </w:rPr>
            </w:pPr>
            <w:r w:rsidRPr="00EC75B7">
              <w:rPr>
                <w:rFonts w:ascii="Verdana" w:hAnsi="Verdana"/>
                <w:spacing w:val="-10"/>
                <w:sz w:val="18"/>
                <w:szCs w:val="18"/>
              </w:rPr>
              <w:t>P</w:t>
            </w:r>
          </w:p>
        </w:tc>
        <w:tc>
          <w:tcPr>
            <w:tcW w:w="1890" w:type="dxa"/>
          </w:tcPr>
          <w:p w14:paraId="560D0266" w14:textId="77777777" w:rsidR="008715BE" w:rsidRPr="00EC75B7" w:rsidRDefault="00000000">
            <w:pPr>
              <w:pStyle w:val="TableParagraph"/>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4C21F7B8"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4E292090" w14:textId="77777777" w:rsidR="008715BE" w:rsidRPr="00EC75B7" w:rsidRDefault="00000000">
            <w:pPr>
              <w:pStyle w:val="TableParagraph"/>
              <w:spacing w:line="170"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1AD32289" w14:textId="77777777" w:rsidR="008715BE" w:rsidRPr="00EC75B7" w:rsidRDefault="008715BE">
            <w:pPr>
              <w:pStyle w:val="TableParagraph"/>
              <w:rPr>
                <w:rFonts w:ascii="Verdana" w:hAnsi="Verdana"/>
                <w:b/>
                <w:sz w:val="18"/>
                <w:szCs w:val="18"/>
              </w:rPr>
            </w:pPr>
          </w:p>
          <w:p w14:paraId="30E09CAA" w14:textId="77777777" w:rsidR="008715BE" w:rsidRPr="00EC75B7" w:rsidRDefault="008715BE">
            <w:pPr>
              <w:pStyle w:val="TableParagraph"/>
              <w:spacing w:before="194"/>
              <w:rPr>
                <w:rFonts w:ascii="Verdana" w:hAnsi="Verdana"/>
                <w:b/>
                <w:sz w:val="18"/>
                <w:szCs w:val="18"/>
              </w:rPr>
            </w:pPr>
          </w:p>
          <w:p w14:paraId="33E6F6C2"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3E953184" w14:textId="77777777" w:rsidR="008715BE" w:rsidRPr="00EC75B7" w:rsidRDefault="008715BE">
            <w:pPr>
              <w:pStyle w:val="TableParagraph"/>
              <w:rPr>
                <w:rFonts w:ascii="Verdana" w:hAnsi="Verdana"/>
                <w:b/>
                <w:sz w:val="18"/>
                <w:szCs w:val="18"/>
              </w:rPr>
            </w:pPr>
          </w:p>
          <w:p w14:paraId="7C9961E7" w14:textId="77777777" w:rsidR="008715BE" w:rsidRPr="00EC75B7" w:rsidRDefault="008715BE">
            <w:pPr>
              <w:pStyle w:val="TableParagraph"/>
              <w:rPr>
                <w:rFonts w:ascii="Verdana" w:hAnsi="Verdana"/>
                <w:b/>
                <w:sz w:val="18"/>
                <w:szCs w:val="18"/>
              </w:rPr>
            </w:pPr>
          </w:p>
          <w:p w14:paraId="234DC9AA" w14:textId="77777777" w:rsidR="008715BE" w:rsidRPr="00EC75B7" w:rsidRDefault="008715BE">
            <w:pPr>
              <w:pStyle w:val="TableParagraph"/>
              <w:rPr>
                <w:rFonts w:ascii="Verdana" w:hAnsi="Verdana"/>
                <w:b/>
                <w:sz w:val="18"/>
                <w:szCs w:val="18"/>
              </w:rPr>
            </w:pPr>
          </w:p>
          <w:p w14:paraId="7A3E4437" w14:textId="77777777" w:rsidR="008715BE" w:rsidRPr="00EC75B7" w:rsidRDefault="008715BE">
            <w:pPr>
              <w:pStyle w:val="TableParagraph"/>
              <w:rPr>
                <w:rFonts w:ascii="Verdana" w:hAnsi="Verdana"/>
                <w:b/>
                <w:sz w:val="18"/>
                <w:szCs w:val="18"/>
              </w:rPr>
            </w:pPr>
          </w:p>
          <w:p w14:paraId="41CBDA6E" w14:textId="77777777" w:rsidR="008715BE" w:rsidRPr="00EC75B7" w:rsidRDefault="008715BE">
            <w:pPr>
              <w:pStyle w:val="TableParagraph"/>
              <w:spacing w:before="93"/>
              <w:rPr>
                <w:rFonts w:ascii="Verdana" w:hAnsi="Verdana"/>
                <w:b/>
                <w:sz w:val="18"/>
                <w:szCs w:val="18"/>
              </w:rPr>
            </w:pPr>
          </w:p>
          <w:p w14:paraId="44878FE4"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2"/>
                <w:sz w:val="18"/>
                <w:szCs w:val="18"/>
              </w:rPr>
              <w:t>AH,PAS</w:t>
            </w:r>
          </w:p>
        </w:tc>
        <w:tc>
          <w:tcPr>
            <w:tcW w:w="2802" w:type="dxa"/>
          </w:tcPr>
          <w:p w14:paraId="1FA8072E" w14:textId="77777777" w:rsidR="008715BE" w:rsidRPr="00EC75B7" w:rsidRDefault="008715BE">
            <w:pPr>
              <w:pStyle w:val="TableParagraph"/>
              <w:rPr>
                <w:rFonts w:ascii="Verdana" w:hAnsi="Verdana"/>
                <w:b/>
                <w:sz w:val="18"/>
                <w:szCs w:val="18"/>
              </w:rPr>
            </w:pPr>
          </w:p>
          <w:p w14:paraId="0C283207" w14:textId="77777777" w:rsidR="008715BE" w:rsidRPr="00EC75B7" w:rsidRDefault="008715BE">
            <w:pPr>
              <w:pStyle w:val="TableParagraph"/>
              <w:rPr>
                <w:rFonts w:ascii="Verdana" w:hAnsi="Verdana"/>
                <w:b/>
                <w:sz w:val="18"/>
                <w:szCs w:val="18"/>
              </w:rPr>
            </w:pPr>
          </w:p>
          <w:p w14:paraId="7D13E080" w14:textId="77777777" w:rsidR="008715BE" w:rsidRPr="00EC75B7" w:rsidRDefault="008715BE">
            <w:pPr>
              <w:pStyle w:val="TableParagraph"/>
              <w:rPr>
                <w:rFonts w:ascii="Verdana" w:hAnsi="Verdana"/>
                <w:b/>
                <w:sz w:val="18"/>
                <w:szCs w:val="18"/>
              </w:rPr>
            </w:pPr>
          </w:p>
          <w:p w14:paraId="7E9883E9" w14:textId="77777777" w:rsidR="008715BE" w:rsidRPr="00EC75B7" w:rsidRDefault="008715BE">
            <w:pPr>
              <w:pStyle w:val="TableParagraph"/>
              <w:rPr>
                <w:rFonts w:ascii="Verdana" w:hAnsi="Verdana"/>
                <w:b/>
                <w:sz w:val="18"/>
                <w:szCs w:val="18"/>
              </w:rPr>
            </w:pPr>
          </w:p>
          <w:p w14:paraId="3C0973C3" w14:textId="77777777" w:rsidR="008715BE" w:rsidRPr="00EC75B7" w:rsidRDefault="008715BE">
            <w:pPr>
              <w:pStyle w:val="TableParagraph"/>
              <w:spacing w:before="93"/>
              <w:rPr>
                <w:rFonts w:ascii="Verdana" w:hAnsi="Verdana"/>
                <w:b/>
                <w:sz w:val="18"/>
                <w:szCs w:val="18"/>
              </w:rPr>
            </w:pPr>
          </w:p>
          <w:p w14:paraId="51AACBE4"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205CD1AE" w14:textId="77777777" w:rsidR="008715BE" w:rsidRPr="00EC75B7" w:rsidRDefault="008715BE">
            <w:pPr>
              <w:pStyle w:val="TableParagraph"/>
              <w:rPr>
                <w:rFonts w:ascii="Verdana" w:hAnsi="Verdana"/>
                <w:b/>
                <w:sz w:val="18"/>
                <w:szCs w:val="18"/>
              </w:rPr>
            </w:pPr>
          </w:p>
          <w:p w14:paraId="23E4D09C" w14:textId="77777777" w:rsidR="008715BE" w:rsidRPr="00EC75B7" w:rsidRDefault="008715BE">
            <w:pPr>
              <w:pStyle w:val="TableParagraph"/>
              <w:rPr>
                <w:rFonts w:ascii="Verdana" w:hAnsi="Verdana"/>
                <w:b/>
                <w:sz w:val="18"/>
                <w:szCs w:val="18"/>
              </w:rPr>
            </w:pPr>
          </w:p>
          <w:p w14:paraId="1C23C6B1" w14:textId="77777777" w:rsidR="008715BE" w:rsidRPr="00EC75B7" w:rsidRDefault="008715BE">
            <w:pPr>
              <w:pStyle w:val="TableParagraph"/>
              <w:rPr>
                <w:rFonts w:ascii="Verdana" w:hAnsi="Verdana"/>
                <w:b/>
                <w:sz w:val="18"/>
                <w:szCs w:val="18"/>
              </w:rPr>
            </w:pPr>
          </w:p>
          <w:p w14:paraId="238A3BDC" w14:textId="77777777" w:rsidR="008715BE" w:rsidRPr="00EC75B7" w:rsidRDefault="008715BE">
            <w:pPr>
              <w:pStyle w:val="TableParagraph"/>
              <w:spacing w:before="192"/>
              <w:rPr>
                <w:rFonts w:ascii="Verdana" w:hAnsi="Verdana"/>
                <w:b/>
                <w:sz w:val="18"/>
                <w:szCs w:val="18"/>
              </w:rPr>
            </w:pPr>
          </w:p>
          <w:p w14:paraId="09272C4F" w14:textId="77777777" w:rsidR="008715BE" w:rsidRPr="00EC75B7" w:rsidRDefault="00000000">
            <w:pPr>
              <w:pStyle w:val="TableParagraph"/>
              <w:spacing w:before="1"/>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1C3CBFEC" w14:textId="77777777">
        <w:trPr>
          <w:trHeight w:val="1360"/>
        </w:trPr>
        <w:tc>
          <w:tcPr>
            <w:tcW w:w="554" w:type="dxa"/>
          </w:tcPr>
          <w:p w14:paraId="07DC70D5" w14:textId="77777777" w:rsidR="008715BE" w:rsidRPr="00EC75B7" w:rsidRDefault="008715BE">
            <w:pPr>
              <w:pStyle w:val="TableParagraph"/>
              <w:rPr>
                <w:rFonts w:ascii="Verdana" w:hAnsi="Verdana"/>
                <w:b/>
                <w:sz w:val="18"/>
                <w:szCs w:val="18"/>
              </w:rPr>
            </w:pPr>
          </w:p>
          <w:p w14:paraId="2EE1500E" w14:textId="77777777" w:rsidR="008715BE" w:rsidRPr="00EC75B7" w:rsidRDefault="008715BE">
            <w:pPr>
              <w:pStyle w:val="TableParagraph"/>
              <w:spacing w:before="191"/>
              <w:rPr>
                <w:rFonts w:ascii="Verdana" w:hAnsi="Verdana"/>
                <w:b/>
                <w:sz w:val="18"/>
                <w:szCs w:val="18"/>
              </w:rPr>
            </w:pPr>
          </w:p>
          <w:p w14:paraId="14C8F72A"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w:t>
            </w:r>
          </w:p>
        </w:tc>
        <w:tc>
          <w:tcPr>
            <w:tcW w:w="9161" w:type="dxa"/>
          </w:tcPr>
          <w:p w14:paraId="7CBEC412" w14:textId="77777777" w:rsidR="008715BE" w:rsidRPr="00EC75B7" w:rsidRDefault="008715BE">
            <w:pPr>
              <w:pStyle w:val="TableParagraph"/>
              <w:rPr>
                <w:rFonts w:ascii="Verdana" w:hAnsi="Verdana"/>
                <w:b/>
                <w:sz w:val="18"/>
                <w:szCs w:val="18"/>
              </w:rPr>
            </w:pPr>
          </w:p>
          <w:p w14:paraId="3D74E11F" w14:textId="77777777" w:rsidR="008715BE" w:rsidRPr="00EC75B7" w:rsidRDefault="008715BE">
            <w:pPr>
              <w:pStyle w:val="TableParagraph"/>
              <w:spacing w:before="93"/>
              <w:rPr>
                <w:rFonts w:ascii="Verdana" w:hAnsi="Verdana"/>
                <w:b/>
                <w:sz w:val="18"/>
                <w:szCs w:val="18"/>
              </w:rPr>
            </w:pPr>
          </w:p>
          <w:p w14:paraId="47ED4265" w14:textId="77777777" w:rsidR="008715BE" w:rsidRPr="00EC75B7" w:rsidRDefault="00000000">
            <w:pPr>
              <w:pStyle w:val="TableParagraph"/>
              <w:ind w:left="108" w:right="434"/>
              <w:rPr>
                <w:rFonts w:ascii="Verdana" w:hAnsi="Verdana"/>
                <w:sz w:val="18"/>
                <w:szCs w:val="18"/>
              </w:rPr>
            </w:pPr>
            <w:r w:rsidRPr="00EC75B7">
              <w:rPr>
                <w:rFonts w:ascii="Verdana" w:hAnsi="Verdana"/>
                <w:sz w:val="18"/>
                <w:szCs w:val="18"/>
              </w:rPr>
              <w:t>Construction materials shall be stored only in the areas specified in the project within the site organization and work areas, without affecting the surrounding areas.</w:t>
            </w:r>
          </w:p>
        </w:tc>
        <w:tc>
          <w:tcPr>
            <w:tcW w:w="962" w:type="dxa"/>
          </w:tcPr>
          <w:p w14:paraId="7418F840" w14:textId="77777777" w:rsidR="008715BE" w:rsidRPr="00EC75B7" w:rsidRDefault="008715BE">
            <w:pPr>
              <w:pStyle w:val="TableParagraph"/>
              <w:rPr>
                <w:rFonts w:ascii="Verdana" w:hAnsi="Verdana"/>
                <w:b/>
                <w:sz w:val="18"/>
                <w:szCs w:val="18"/>
              </w:rPr>
            </w:pPr>
          </w:p>
          <w:p w14:paraId="7CF8AE1A" w14:textId="77777777" w:rsidR="008715BE" w:rsidRPr="00EC75B7" w:rsidRDefault="008715BE">
            <w:pPr>
              <w:pStyle w:val="TableParagraph"/>
              <w:spacing w:before="191"/>
              <w:rPr>
                <w:rFonts w:ascii="Verdana" w:hAnsi="Verdana"/>
                <w:b/>
                <w:sz w:val="18"/>
                <w:szCs w:val="18"/>
              </w:rPr>
            </w:pPr>
          </w:p>
          <w:p w14:paraId="6B3C0937"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793A60DD" w14:textId="77777777" w:rsidR="008715BE" w:rsidRPr="00EC75B7" w:rsidRDefault="00000000">
            <w:pPr>
              <w:pStyle w:val="TableParagraph"/>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4FA2EF0D"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w:t>
            </w:r>
          </w:p>
          <w:p w14:paraId="38B9ADCC" w14:textId="77777777" w:rsidR="008715BE" w:rsidRPr="00EC75B7" w:rsidRDefault="00000000">
            <w:pPr>
              <w:pStyle w:val="TableParagraph"/>
              <w:spacing w:line="171" w:lineRule="exact"/>
              <w:ind w:left="112" w:right="98"/>
              <w:jc w:val="center"/>
              <w:rPr>
                <w:rFonts w:ascii="Verdana" w:hAnsi="Verdana"/>
                <w:sz w:val="18"/>
                <w:szCs w:val="18"/>
              </w:rPr>
            </w:pPr>
            <w:r w:rsidRPr="00EC75B7">
              <w:rPr>
                <w:rFonts w:ascii="Verdana" w:hAnsi="Verdana"/>
                <w:spacing w:val="-2"/>
                <w:sz w:val="18"/>
                <w:szCs w:val="18"/>
              </w:rPr>
              <w:t>ROSCI0157,</w:t>
            </w:r>
          </w:p>
        </w:tc>
        <w:tc>
          <w:tcPr>
            <w:tcW w:w="1273" w:type="dxa"/>
          </w:tcPr>
          <w:p w14:paraId="464D506A" w14:textId="77777777" w:rsidR="008715BE" w:rsidRPr="00EC75B7" w:rsidRDefault="008715BE">
            <w:pPr>
              <w:pStyle w:val="TableParagraph"/>
              <w:spacing w:before="94"/>
              <w:rPr>
                <w:rFonts w:ascii="Verdana" w:hAnsi="Verdana"/>
                <w:b/>
                <w:sz w:val="18"/>
                <w:szCs w:val="18"/>
              </w:rPr>
            </w:pPr>
          </w:p>
          <w:p w14:paraId="1F12BC2A" w14:textId="77777777" w:rsidR="008715BE" w:rsidRPr="00EC75B7" w:rsidRDefault="00000000">
            <w:pPr>
              <w:pStyle w:val="TableParagraph"/>
              <w:ind w:left="158" w:right="143"/>
              <w:jc w:val="center"/>
              <w:rPr>
                <w:rFonts w:ascii="Verdana" w:hAnsi="Verdana"/>
                <w:sz w:val="18"/>
                <w:szCs w:val="18"/>
              </w:rPr>
            </w:pPr>
            <w:r w:rsidRPr="00EC75B7">
              <w:rPr>
                <w:rFonts w:ascii="Verdana" w:hAnsi="Verdana"/>
                <w:spacing w:val="-2"/>
                <w:sz w:val="18"/>
                <w:szCs w:val="18"/>
              </w:rPr>
              <w:t>Population trends for each species</w:t>
            </w:r>
          </w:p>
        </w:tc>
        <w:tc>
          <w:tcPr>
            <w:tcW w:w="1619" w:type="dxa"/>
          </w:tcPr>
          <w:p w14:paraId="2CC95FF1" w14:textId="77777777" w:rsidR="008715BE" w:rsidRPr="00EC75B7" w:rsidRDefault="008715BE">
            <w:pPr>
              <w:pStyle w:val="TableParagraph"/>
              <w:rPr>
                <w:rFonts w:ascii="Verdana" w:hAnsi="Verdana"/>
                <w:b/>
                <w:sz w:val="18"/>
                <w:szCs w:val="18"/>
              </w:rPr>
            </w:pPr>
          </w:p>
          <w:p w14:paraId="44725B5F" w14:textId="77777777" w:rsidR="008715BE" w:rsidRPr="00EC75B7" w:rsidRDefault="008715BE">
            <w:pPr>
              <w:pStyle w:val="TableParagraph"/>
              <w:spacing w:before="191"/>
              <w:rPr>
                <w:rFonts w:ascii="Verdana" w:hAnsi="Verdana"/>
                <w:b/>
                <w:sz w:val="18"/>
                <w:szCs w:val="18"/>
              </w:rPr>
            </w:pPr>
          </w:p>
          <w:p w14:paraId="7228158A"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z w:val="18"/>
                <w:szCs w:val="18"/>
              </w:rPr>
              <w:t xml:space="preserve">AH, </w:t>
            </w:r>
            <w:r w:rsidRPr="00EC75B7">
              <w:rPr>
                <w:rFonts w:ascii="Verdana" w:hAnsi="Verdana"/>
                <w:spacing w:val="-5"/>
                <w:sz w:val="18"/>
                <w:szCs w:val="18"/>
              </w:rPr>
              <w:t>PAS</w:t>
            </w:r>
          </w:p>
        </w:tc>
        <w:tc>
          <w:tcPr>
            <w:tcW w:w="2802" w:type="dxa"/>
          </w:tcPr>
          <w:p w14:paraId="06CF3AA9" w14:textId="77777777" w:rsidR="008715BE" w:rsidRPr="00EC75B7" w:rsidRDefault="008715BE">
            <w:pPr>
              <w:pStyle w:val="TableParagraph"/>
              <w:rPr>
                <w:rFonts w:ascii="Verdana" w:hAnsi="Verdana"/>
                <w:b/>
                <w:sz w:val="18"/>
                <w:szCs w:val="18"/>
              </w:rPr>
            </w:pPr>
          </w:p>
          <w:p w14:paraId="570A0BAF" w14:textId="77777777" w:rsidR="008715BE" w:rsidRPr="00EC75B7" w:rsidRDefault="008715BE">
            <w:pPr>
              <w:pStyle w:val="TableParagraph"/>
              <w:spacing w:before="191"/>
              <w:rPr>
                <w:rFonts w:ascii="Verdana" w:hAnsi="Verdana"/>
                <w:b/>
                <w:sz w:val="18"/>
                <w:szCs w:val="18"/>
              </w:rPr>
            </w:pPr>
          </w:p>
          <w:p w14:paraId="376F0B72"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3A16EA35" w14:textId="77777777" w:rsidR="008715BE" w:rsidRPr="00EC75B7" w:rsidRDefault="008715BE">
            <w:pPr>
              <w:pStyle w:val="TableParagraph"/>
              <w:rPr>
                <w:rFonts w:ascii="Verdana" w:hAnsi="Verdana"/>
                <w:b/>
                <w:sz w:val="18"/>
                <w:szCs w:val="18"/>
              </w:rPr>
            </w:pPr>
          </w:p>
          <w:p w14:paraId="1C23CC45" w14:textId="77777777" w:rsidR="008715BE" w:rsidRPr="00EC75B7" w:rsidRDefault="008715BE">
            <w:pPr>
              <w:pStyle w:val="TableParagraph"/>
              <w:spacing w:before="93"/>
              <w:rPr>
                <w:rFonts w:ascii="Verdana" w:hAnsi="Verdana"/>
                <w:b/>
                <w:sz w:val="18"/>
                <w:szCs w:val="18"/>
              </w:rPr>
            </w:pPr>
          </w:p>
          <w:p w14:paraId="246044D1"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bl>
    <w:p w14:paraId="619B8AD6" w14:textId="77777777" w:rsidR="008715BE" w:rsidRPr="00EC75B7" w:rsidRDefault="008715BE">
      <w:pPr>
        <w:pStyle w:val="TableParagraph"/>
        <w:rPr>
          <w:rFonts w:ascii="Verdana" w:hAnsi="Verdana"/>
          <w:sz w:val="18"/>
          <w:szCs w:val="18"/>
        </w:rPr>
        <w:sectPr w:rsidR="008715BE" w:rsidRPr="00EC75B7">
          <w:headerReference w:type="default" r:id="rId198"/>
          <w:footerReference w:type="default" r:id="rId199"/>
          <w:pgSz w:w="23820" w:h="16840" w:orient="landscape"/>
          <w:pgMar w:top="1160" w:right="1417" w:bottom="1020" w:left="850" w:header="766" w:footer="824" w:gutter="0"/>
          <w:cols w:space="708"/>
        </w:sectPr>
      </w:pPr>
    </w:p>
    <w:p w14:paraId="272A263C" w14:textId="77777777" w:rsidR="008715BE" w:rsidRPr="00EC75B7" w:rsidRDefault="008715BE">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8715BE" w:rsidRPr="00EC75B7" w14:paraId="14946DE1" w14:textId="77777777">
        <w:trPr>
          <w:trHeight w:val="1202"/>
        </w:trPr>
        <w:tc>
          <w:tcPr>
            <w:tcW w:w="9715" w:type="dxa"/>
            <w:gridSpan w:val="2"/>
            <w:shd w:val="clear" w:color="auto" w:fill="00AFEF"/>
          </w:tcPr>
          <w:p w14:paraId="17099441" w14:textId="77777777" w:rsidR="008715BE" w:rsidRPr="00EC75B7" w:rsidRDefault="008715BE">
            <w:pPr>
              <w:pStyle w:val="TableParagraph"/>
              <w:rPr>
                <w:rFonts w:ascii="Verdana" w:hAnsi="Verdana"/>
                <w:b/>
                <w:sz w:val="18"/>
                <w:szCs w:val="18"/>
              </w:rPr>
            </w:pPr>
          </w:p>
          <w:p w14:paraId="65894DE3" w14:textId="77777777" w:rsidR="008715BE" w:rsidRPr="00EC75B7" w:rsidRDefault="008715BE">
            <w:pPr>
              <w:pStyle w:val="TableParagraph"/>
              <w:spacing w:before="26"/>
              <w:rPr>
                <w:rFonts w:ascii="Verdana" w:hAnsi="Verdana"/>
                <w:b/>
                <w:sz w:val="18"/>
                <w:szCs w:val="18"/>
              </w:rPr>
            </w:pPr>
          </w:p>
          <w:p w14:paraId="5F7DFA38" w14:textId="77777777" w:rsidR="008715BE" w:rsidRPr="00EC75B7" w:rsidRDefault="00000000">
            <w:pPr>
              <w:pStyle w:val="TableParagraph"/>
              <w:ind w:left="4440" w:right="4429" w:firstLine="4"/>
              <w:jc w:val="center"/>
              <w:rPr>
                <w:rFonts w:ascii="Verdana" w:hAnsi="Verdana"/>
                <w:b/>
                <w:sz w:val="18"/>
                <w:szCs w:val="18"/>
              </w:rPr>
            </w:pPr>
            <w:r w:rsidRPr="00EC75B7">
              <w:rPr>
                <w:rFonts w:ascii="Verdana" w:hAnsi="Verdana"/>
                <w:b/>
                <w:color w:val="FFFFFF"/>
                <w:sz w:val="18"/>
                <w:szCs w:val="18"/>
              </w:rPr>
              <w:t xml:space="preserve">Measure </w:t>
            </w:r>
            <w:r w:rsidRPr="00EC75B7">
              <w:rPr>
                <w:rFonts w:ascii="Verdana" w:hAnsi="Verdana"/>
                <w:b/>
                <w:color w:val="FFFFFF"/>
                <w:spacing w:val="-2"/>
                <w:sz w:val="18"/>
                <w:szCs w:val="18"/>
              </w:rPr>
              <w:t>description</w:t>
            </w:r>
          </w:p>
        </w:tc>
        <w:tc>
          <w:tcPr>
            <w:tcW w:w="962" w:type="dxa"/>
            <w:shd w:val="clear" w:color="auto" w:fill="00AFEF"/>
          </w:tcPr>
          <w:p w14:paraId="7EF520BD" w14:textId="77777777" w:rsidR="008715BE" w:rsidRPr="00EC75B7" w:rsidRDefault="008715BE">
            <w:pPr>
              <w:pStyle w:val="TableParagraph"/>
              <w:spacing w:before="122"/>
              <w:rPr>
                <w:rFonts w:ascii="Verdana" w:hAnsi="Verdana"/>
                <w:b/>
                <w:sz w:val="18"/>
                <w:szCs w:val="18"/>
              </w:rPr>
            </w:pPr>
          </w:p>
          <w:p w14:paraId="1CF5F02B"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4"/>
                <w:sz w:val="18"/>
                <w:szCs w:val="18"/>
              </w:rPr>
              <w:t xml:space="preserve">Type of </w:t>
            </w:r>
            <w:r w:rsidRPr="00EC75B7">
              <w:rPr>
                <w:rFonts w:ascii="Verdana" w:hAnsi="Verdana"/>
                <w:b/>
                <w:color w:val="FFFFFF"/>
                <w:spacing w:val="-2"/>
                <w:sz w:val="18"/>
                <w:szCs w:val="18"/>
              </w:rPr>
              <w:t>measure (P/E/R)</w:t>
            </w:r>
          </w:p>
        </w:tc>
        <w:tc>
          <w:tcPr>
            <w:tcW w:w="1890" w:type="dxa"/>
            <w:shd w:val="clear" w:color="auto" w:fill="00AFEF"/>
          </w:tcPr>
          <w:p w14:paraId="220B5EB1" w14:textId="77777777" w:rsidR="008715BE" w:rsidRPr="00EC75B7" w:rsidRDefault="008715BE">
            <w:pPr>
              <w:pStyle w:val="TableParagraph"/>
              <w:spacing w:before="122"/>
              <w:rPr>
                <w:rFonts w:ascii="Verdana" w:hAnsi="Verdana"/>
                <w:b/>
                <w:sz w:val="18"/>
                <w:szCs w:val="18"/>
              </w:rPr>
            </w:pPr>
          </w:p>
          <w:p w14:paraId="293C6134" w14:textId="77777777" w:rsidR="008715BE" w:rsidRPr="00EC75B7" w:rsidRDefault="00000000">
            <w:pPr>
              <w:pStyle w:val="TableParagraph"/>
              <w:ind w:left="522" w:right="86" w:firstLine="74"/>
              <w:rPr>
                <w:rFonts w:ascii="Verdana" w:hAnsi="Verdana"/>
                <w:b/>
                <w:sz w:val="18"/>
                <w:szCs w:val="18"/>
              </w:rPr>
            </w:pPr>
            <w:r w:rsidRPr="00EC75B7">
              <w:rPr>
                <w:rFonts w:ascii="Verdana" w:hAnsi="Verdana"/>
                <w:b/>
                <w:color w:val="FFFFFF"/>
                <w:spacing w:val="-2"/>
                <w:sz w:val="18"/>
                <w:szCs w:val="18"/>
              </w:rPr>
              <w:t>Affected species/habitat</w:t>
            </w:r>
          </w:p>
        </w:tc>
        <w:tc>
          <w:tcPr>
            <w:tcW w:w="1273" w:type="dxa"/>
            <w:shd w:val="clear" w:color="auto" w:fill="00AFEF"/>
          </w:tcPr>
          <w:p w14:paraId="0C69C483" w14:textId="77777777" w:rsidR="008715BE" w:rsidRPr="00EC75B7" w:rsidRDefault="008715BE">
            <w:pPr>
              <w:pStyle w:val="TableParagraph"/>
              <w:spacing w:before="26"/>
              <w:rPr>
                <w:rFonts w:ascii="Verdana" w:hAnsi="Verdana"/>
                <w:b/>
                <w:sz w:val="18"/>
                <w:szCs w:val="18"/>
              </w:rPr>
            </w:pPr>
          </w:p>
          <w:p w14:paraId="50A4870B"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2"/>
                <w:sz w:val="18"/>
                <w:szCs w:val="18"/>
              </w:rPr>
              <w:t xml:space="preserve">Parameter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1619" w:type="dxa"/>
            <w:shd w:val="clear" w:color="auto" w:fill="00AFEF"/>
          </w:tcPr>
          <w:p w14:paraId="52DD8657" w14:textId="77777777" w:rsidR="008715BE" w:rsidRPr="00EC75B7" w:rsidRDefault="008715BE">
            <w:pPr>
              <w:pStyle w:val="TableParagraph"/>
              <w:spacing w:before="26"/>
              <w:rPr>
                <w:rFonts w:ascii="Verdana" w:hAnsi="Verdana"/>
                <w:b/>
                <w:sz w:val="18"/>
                <w:szCs w:val="18"/>
              </w:rPr>
            </w:pPr>
          </w:p>
          <w:p w14:paraId="17778D2D" w14:textId="77777777" w:rsidR="008715BE" w:rsidRPr="00EC75B7" w:rsidRDefault="00000000">
            <w:pPr>
              <w:pStyle w:val="TableParagraph"/>
              <w:ind w:left="357" w:right="333"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2802" w:type="dxa"/>
            <w:shd w:val="clear" w:color="auto" w:fill="00AFEF"/>
          </w:tcPr>
          <w:p w14:paraId="606FBB75" w14:textId="77777777" w:rsidR="008715BE" w:rsidRPr="00EC75B7" w:rsidRDefault="008715BE">
            <w:pPr>
              <w:pStyle w:val="TableParagraph"/>
              <w:spacing w:before="122"/>
              <w:rPr>
                <w:rFonts w:ascii="Verdana" w:hAnsi="Verdana"/>
                <w:b/>
                <w:sz w:val="18"/>
                <w:szCs w:val="18"/>
              </w:rPr>
            </w:pPr>
          </w:p>
          <w:p w14:paraId="3977559D" w14:textId="77777777" w:rsidR="008715BE" w:rsidRPr="00EC75B7" w:rsidRDefault="00000000">
            <w:pPr>
              <w:pStyle w:val="TableParagraph"/>
              <w:ind w:left="771" w:right="750"/>
              <w:jc w:val="center"/>
              <w:rPr>
                <w:rFonts w:ascii="Verdana" w:hAnsi="Verdana"/>
                <w:b/>
                <w:sz w:val="18"/>
                <w:szCs w:val="18"/>
              </w:rPr>
            </w:pPr>
            <w:r w:rsidRPr="00EC75B7">
              <w:rPr>
                <w:rFonts w:ascii="Verdana" w:hAnsi="Verdana"/>
                <w:b/>
                <w:color w:val="FFFFFF"/>
                <w:sz w:val="18"/>
                <w:szCs w:val="18"/>
              </w:rPr>
              <w:t xml:space="preserve">Period of </w:t>
            </w:r>
            <w:r w:rsidRPr="00EC75B7">
              <w:rPr>
                <w:rFonts w:ascii="Verdana" w:hAnsi="Verdana"/>
                <w:b/>
                <w:color w:val="FFFFFF"/>
                <w:spacing w:val="-2"/>
                <w:sz w:val="18"/>
                <w:szCs w:val="18"/>
              </w:rPr>
              <w:t xml:space="preserve">implementation </w:t>
            </w:r>
            <w:r w:rsidRPr="00EC75B7">
              <w:rPr>
                <w:rFonts w:ascii="Verdana" w:hAnsi="Verdana"/>
                <w:b/>
                <w:color w:val="FFFFFF"/>
                <w:sz w:val="18"/>
                <w:szCs w:val="18"/>
              </w:rPr>
              <w:t>of the measure</w:t>
            </w:r>
          </w:p>
        </w:tc>
        <w:tc>
          <w:tcPr>
            <w:tcW w:w="2608" w:type="dxa"/>
            <w:shd w:val="clear" w:color="auto" w:fill="00AFEF"/>
          </w:tcPr>
          <w:p w14:paraId="321C4745" w14:textId="77777777" w:rsidR="008715BE" w:rsidRPr="00EC75B7" w:rsidRDefault="008715BE">
            <w:pPr>
              <w:pStyle w:val="TableParagraph"/>
              <w:spacing w:before="122"/>
              <w:rPr>
                <w:rFonts w:ascii="Verdana" w:hAnsi="Verdana"/>
                <w:b/>
                <w:sz w:val="18"/>
                <w:szCs w:val="18"/>
              </w:rPr>
            </w:pPr>
          </w:p>
          <w:p w14:paraId="01E6F6BD" w14:textId="77777777" w:rsidR="008715BE" w:rsidRPr="00EC75B7" w:rsidRDefault="00000000">
            <w:pPr>
              <w:pStyle w:val="TableParagraph"/>
              <w:ind w:left="681" w:right="657" w:hanging="2"/>
              <w:jc w:val="center"/>
              <w:rPr>
                <w:rFonts w:ascii="Verdana" w:hAnsi="Verdana"/>
                <w:b/>
                <w:sz w:val="18"/>
                <w:szCs w:val="18"/>
              </w:rPr>
            </w:pPr>
            <w:r w:rsidRPr="00EC75B7">
              <w:rPr>
                <w:rFonts w:ascii="Verdana" w:hAnsi="Verdana"/>
                <w:b/>
                <w:color w:val="FFFFFF"/>
                <w:spacing w:val="-2"/>
                <w:sz w:val="18"/>
                <w:szCs w:val="18"/>
              </w:rPr>
              <w:t>Location of measure implementation</w:t>
            </w:r>
          </w:p>
        </w:tc>
      </w:tr>
      <w:tr w:rsidR="008715BE" w:rsidRPr="00EC75B7" w14:paraId="3CE7FCF3" w14:textId="77777777">
        <w:trPr>
          <w:trHeight w:val="1199"/>
        </w:trPr>
        <w:tc>
          <w:tcPr>
            <w:tcW w:w="554" w:type="dxa"/>
          </w:tcPr>
          <w:p w14:paraId="1D481394" w14:textId="77777777" w:rsidR="008715BE" w:rsidRPr="00EC75B7" w:rsidRDefault="008715BE">
            <w:pPr>
              <w:pStyle w:val="TableParagraph"/>
              <w:rPr>
                <w:rFonts w:ascii="Verdana" w:hAnsi="Verdana"/>
                <w:sz w:val="18"/>
                <w:szCs w:val="18"/>
              </w:rPr>
            </w:pPr>
          </w:p>
        </w:tc>
        <w:tc>
          <w:tcPr>
            <w:tcW w:w="9161" w:type="dxa"/>
          </w:tcPr>
          <w:p w14:paraId="7123E024" w14:textId="77777777" w:rsidR="008715BE" w:rsidRPr="00EC75B7" w:rsidRDefault="008715BE">
            <w:pPr>
              <w:pStyle w:val="TableParagraph"/>
              <w:rPr>
                <w:rFonts w:ascii="Verdana" w:hAnsi="Verdana"/>
                <w:sz w:val="18"/>
                <w:szCs w:val="18"/>
              </w:rPr>
            </w:pPr>
          </w:p>
        </w:tc>
        <w:tc>
          <w:tcPr>
            <w:tcW w:w="962" w:type="dxa"/>
          </w:tcPr>
          <w:p w14:paraId="085ABAF2" w14:textId="77777777" w:rsidR="008715BE" w:rsidRPr="00EC75B7" w:rsidRDefault="008715BE">
            <w:pPr>
              <w:pStyle w:val="TableParagraph"/>
              <w:rPr>
                <w:rFonts w:ascii="Verdana" w:hAnsi="Verdana"/>
                <w:sz w:val="18"/>
                <w:szCs w:val="18"/>
              </w:rPr>
            </w:pPr>
          </w:p>
        </w:tc>
        <w:tc>
          <w:tcPr>
            <w:tcW w:w="1890" w:type="dxa"/>
          </w:tcPr>
          <w:p w14:paraId="1BC27EC1" w14:textId="77777777" w:rsidR="008715BE" w:rsidRPr="00EC75B7" w:rsidRDefault="00000000">
            <w:pPr>
              <w:pStyle w:val="TableParagraph"/>
              <w:spacing w:before="8"/>
              <w:ind w:left="436" w:right="421"/>
              <w:jc w:val="both"/>
              <w:rPr>
                <w:rFonts w:ascii="Verdana" w:hAnsi="Verdana"/>
                <w:sz w:val="18"/>
                <w:szCs w:val="18"/>
              </w:rPr>
            </w:pPr>
            <w:r w:rsidRPr="00EC75B7">
              <w:rPr>
                <w:rFonts w:ascii="Verdana" w:hAnsi="Verdana"/>
                <w:spacing w:val="-2"/>
                <w:sz w:val="18"/>
                <w:szCs w:val="18"/>
              </w:rPr>
              <w:t>ROSPA0166, ROSPA0036, ROSPA0094, BG0000569, BG0000570</w:t>
            </w:r>
          </w:p>
        </w:tc>
        <w:tc>
          <w:tcPr>
            <w:tcW w:w="1273" w:type="dxa"/>
          </w:tcPr>
          <w:p w14:paraId="0F85655E" w14:textId="77777777" w:rsidR="008715BE" w:rsidRPr="00EC75B7" w:rsidRDefault="00000000">
            <w:pPr>
              <w:pStyle w:val="TableParagraph"/>
              <w:spacing w:before="8" w:line="195" w:lineRule="exact"/>
              <w:ind w:left="245"/>
              <w:rPr>
                <w:rFonts w:ascii="Verdana" w:hAnsi="Verdana"/>
                <w:sz w:val="18"/>
                <w:szCs w:val="18"/>
              </w:rPr>
            </w:pPr>
            <w:r w:rsidRPr="00EC75B7">
              <w:rPr>
                <w:rFonts w:ascii="Verdana" w:hAnsi="Verdana"/>
                <w:spacing w:val="-2"/>
                <w:sz w:val="18"/>
                <w:szCs w:val="18"/>
              </w:rPr>
              <w:t>Area</w:t>
            </w:r>
          </w:p>
          <w:p w14:paraId="0B8E83EB" w14:textId="77777777" w:rsidR="008715BE" w:rsidRPr="00EC75B7" w:rsidRDefault="00000000">
            <w:pPr>
              <w:pStyle w:val="TableParagraph"/>
              <w:spacing w:line="195" w:lineRule="exact"/>
              <w:ind w:left="211"/>
              <w:rPr>
                <w:rFonts w:ascii="Verdana" w:hAnsi="Verdana"/>
                <w:sz w:val="18"/>
                <w:szCs w:val="18"/>
              </w:rPr>
            </w:pPr>
            <w:r w:rsidRPr="00EC75B7">
              <w:rPr>
                <w:rFonts w:ascii="Verdana" w:hAnsi="Verdana"/>
                <w:spacing w:val="-2"/>
                <w:sz w:val="18"/>
                <w:szCs w:val="18"/>
              </w:rPr>
              <w:t>of the habitat</w:t>
            </w:r>
          </w:p>
        </w:tc>
        <w:tc>
          <w:tcPr>
            <w:tcW w:w="1619" w:type="dxa"/>
          </w:tcPr>
          <w:p w14:paraId="75678DC2" w14:textId="77777777" w:rsidR="008715BE" w:rsidRPr="00EC75B7" w:rsidRDefault="008715BE">
            <w:pPr>
              <w:pStyle w:val="TableParagraph"/>
              <w:rPr>
                <w:rFonts w:ascii="Verdana" w:hAnsi="Verdana"/>
                <w:sz w:val="18"/>
                <w:szCs w:val="18"/>
              </w:rPr>
            </w:pPr>
          </w:p>
        </w:tc>
        <w:tc>
          <w:tcPr>
            <w:tcW w:w="2802" w:type="dxa"/>
          </w:tcPr>
          <w:p w14:paraId="20B63EF1" w14:textId="77777777" w:rsidR="008715BE" w:rsidRPr="00EC75B7" w:rsidRDefault="008715BE">
            <w:pPr>
              <w:pStyle w:val="TableParagraph"/>
              <w:rPr>
                <w:rFonts w:ascii="Verdana" w:hAnsi="Verdana"/>
                <w:sz w:val="18"/>
                <w:szCs w:val="18"/>
              </w:rPr>
            </w:pPr>
          </w:p>
        </w:tc>
        <w:tc>
          <w:tcPr>
            <w:tcW w:w="2608" w:type="dxa"/>
          </w:tcPr>
          <w:p w14:paraId="0A9979F2" w14:textId="77777777" w:rsidR="008715BE" w:rsidRPr="00EC75B7" w:rsidRDefault="008715BE">
            <w:pPr>
              <w:pStyle w:val="TableParagraph"/>
              <w:rPr>
                <w:rFonts w:ascii="Verdana" w:hAnsi="Verdana"/>
                <w:sz w:val="18"/>
                <w:szCs w:val="18"/>
              </w:rPr>
            </w:pPr>
          </w:p>
        </w:tc>
      </w:tr>
      <w:tr w:rsidR="008715BE" w:rsidRPr="00EC75B7" w14:paraId="3B13C2FE" w14:textId="77777777">
        <w:trPr>
          <w:trHeight w:val="2333"/>
        </w:trPr>
        <w:tc>
          <w:tcPr>
            <w:tcW w:w="554" w:type="dxa"/>
          </w:tcPr>
          <w:p w14:paraId="2ADFCD6C" w14:textId="77777777" w:rsidR="008715BE" w:rsidRPr="00EC75B7" w:rsidRDefault="008715BE">
            <w:pPr>
              <w:pStyle w:val="TableParagraph"/>
              <w:rPr>
                <w:rFonts w:ascii="Verdana" w:hAnsi="Verdana"/>
                <w:b/>
                <w:sz w:val="18"/>
                <w:szCs w:val="18"/>
              </w:rPr>
            </w:pPr>
          </w:p>
          <w:p w14:paraId="66D86539" w14:textId="77777777" w:rsidR="008715BE" w:rsidRPr="00EC75B7" w:rsidRDefault="008715BE">
            <w:pPr>
              <w:pStyle w:val="TableParagraph"/>
              <w:rPr>
                <w:rFonts w:ascii="Verdana" w:hAnsi="Verdana"/>
                <w:b/>
                <w:sz w:val="18"/>
                <w:szCs w:val="18"/>
              </w:rPr>
            </w:pPr>
          </w:p>
          <w:p w14:paraId="16B0365E" w14:textId="77777777" w:rsidR="008715BE" w:rsidRPr="00EC75B7" w:rsidRDefault="008715BE">
            <w:pPr>
              <w:pStyle w:val="TableParagraph"/>
              <w:rPr>
                <w:rFonts w:ascii="Verdana" w:hAnsi="Verdana"/>
                <w:b/>
                <w:sz w:val="18"/>
                <w:szCs w:val="18"/>
              </w:rPr>
            </w:pPr>
          </w:p>
          <w:p w14:paraId="012274E4" w14:textId="77777777" w:rsidR="008715BE" w:rsidRPr="00EC75B7" w:rsidRDefault="008715BE">
            <w:pPr>
              <w:pStyle w:val="TableParagraph"/>
              <w:rPr>
                <w:rFonts w:ascii="Verdana" w:hAnsi="Verdana"/>
                <w:b/>
                <w:sz w:val="18"/>
                <w:szCs w:val="18"/>
              </w:rPr>
            </w:pPr>
          </w:p>
          <w:p w14:paraId="21EAFFE9" w14:textId="77777777" w:rsidR="008715BE" w:rsidRPr="00EC75B7" w:rsidRDefault="008715BE">
            <w:pPr>
              <w:pStyle w:val="TableParagraph"/>
              <w:spacing w:before="102"/>
              <w:rPr>
                <w:rFonts w:ascii="Verdana" w:hAnsi="Verdana"/>
                <w:b/>
                <w:sz w:val="18"/>
                <w:szCs w:val="18"/>
              </w:rPr>
            </w:pPr>
          </w:p>
          <w:p w14:paraId="4F684026"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M7</w:t>
            </w:r>
          </w:p>
        </w:tc>
        <w:tc>
          <w:tcPr>
            <w:tcW w:w="9161" w:type="dxa"/>
          </w:tcPr>
          <w:p w14:paraId="6D71C11D" w14:textId="77777777" w:rsidR="008715BE" w:rsidRPr="00EC75B7" w:rsidRDefault="008715BE">
            <w:pPr>
              <w:pStyle w:val="TableParagraph"/>
              <w:rPr>
                <w:rFonts w:ascii="Verdana" w:hAnsi="Verdana"/>
                <w:b/>
                <w:sz w:val="18"/>
                <w:szCs w:val="18"/>
              </w:rPr>
            </w:pPr>
          </w:p>
          <w:p w14:paraId="400A6CD2" w14:textId="77777777" w:rsidR="008715BE" w:rsidRPr="00EC75B7" w:rsidRDefault="008715BE">
            <w:pPr>
              <w:pStyle w:val="TableParagraph"/>
              <w:rPr>
                <w:rFonts w:ascii="Verdana" w:hAnsi="Verdana"/>
                <w:b/>
                <w:sz w:val="18"/>
                <w:szCs w:val="18"/>
              </w:rPr>
            </w:pPr>
          </w:p>
          <w:p w14:paraId="6AFD94B8" w14:textId="77777777" w:rsidR="008715BE" w:rsidRPr="00EC75B7" w:rsidRDefault="008715BE">
            <w:pPr>
              <w:pStyle w:val="TableParagraph"/>
              <w:rPr>
                <w:rFonts w:ascii="Verdana" w:hAnsi="Verdana"/>
                <w:b/>
                <w:sz w:val="18"/>
                <w:szCs w:val="18"/>
              </w:rPr>
            </w:pPr>
          </w:p>
          <w:p w14:paraId="1D3F4E48" w14:textId="77777777" w:rsidR="008715BE" w:rsidRPr="00EC75B7" w:rsidRDefault="008715BE">
            <w:pPr>
              <w:pStyle w:val="TableParagraph"/>
              <w:spacing w:before="100"/>
              <w:rPr>
                <w:rFonts w:ascii="Verdana" w:hAnsi="Verdana"/>
                <w:b/>
                <w:sz w:val="18"/>
                <w:szCs w:val="18"/>
              </w:rPr>
            </w:pPr>
          </w:p>
          <w:p w14:paraId="20AAE850"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Avoid any spills of liquid fuels, oils, paints, etc. on the ground. In the event of accidental pollution, it will be eliminated by applying absorbent materials and removed from the site by contracting companies specialised in the management of these types of hazardous waste.</w:t>
            </w:r>
          </w:p>
        </w:tc>
        <w:tc>
          <w:tcPr>
            <w:tcW w:w="962" w:type="dxa"/>
          </w:tcPr>
          <w:p w14:paraId="579F1BD4" w14:textId="77777777" w:rsidR="008715BE" w:rsidRPr="00EC75B7" w:rsidRDefault="008715BE">
            <w:pPr>
              <w:pStyle w:val="TableParagraph"/>
              <w:rPr>
                <w:rFonts w:ascii="Verdana" w:hAnsi="Verdana"/>
                <w:b/>
                <w:sz w:val="18"/>
                <w:szCs w:val="18"/>
              </w:rPr>
            </w:pPr>
          </w:p>
          <w:p w14:paraId="0DFB7AE5" w14:textId="77777777" w:rsidR="008715BE" w:rsidRPr="00EC75B7" w:rsidRDefault="008715BE">
            <w:pPr>
              <w:pStyle w:val="TableParagraph"/>
              <w:rPr>
                <w:rFonts w:ascii="Verdana" w:hAnsi="Verdana"/>
                <w:b/>
                <w:sz w:val="18"/>
                <w:szCs w:val="18"/>
              </w:rPr>
            </w:pPr>
          </w:p>
          <w:p w14:paraId="03A665BB" w14:textId="77777777" w:rsidR="008715BE" w:rsidRPr="00EC75B7" w:rsidRDefault="008715BE">
            <w:pPr>
              <w:pStyle w:val="TableParagraph"/>
              <w:rPr>
                <w:rFonts w:ascii="Verdana" w:hAnsi="Verdana"/>
                <w:b/>
                <w:sz w:val="18"/>
                <w:szCs w:val="18"/>
              </w:rPr>
            </w:pPr>
          </w:p>
          <w:p w14:paraId="219975CD" w14:textId="77777777" w:rsidR="008715BE" w:rsidRPr="00EC75B7" w:rsidRDefault="008715BE">
            <w:pPr>
              <w:pStyle w:val="TableParagraph"/>
              <w:rPr>
                <w:rFonts w:ascii="Verdana" w:hAnsi="Verdana"/>
                <w:b/>
                <w:sz w:val="18"/>
                <w:szCs w:val="18"/>
              </w:rPr>
            </w:pPr>
          </w:p>
          <w:p w14:paraId="1748FC29" w14:textId="77777777" w:rsidR="008715BE" w:rsidRPr="00EC75B7" w:rsidRDefault="008715BE">
            <w:pPr>
              <w:pStyle w:val="TableParagraph"/>
              <w:spacing w:before="102"/>
              <w:rPr>
                <w:rFonts w:ascii="Verdana" w:hAnsi="Verdana"/>
                <w:b/>
                <w:sz w:val="18"/>
                <w:szCs w:val="18"/>
              </w:rPr>
            </w:pPr>
          </w:p>
          <w:p w14:paraId="65FE7DB2"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6F28F678"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11844D83"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and mammals*** from </w:t>
            </w:r>
            <w:r w:rsidRPr="00EC75B7">
              <w:rPr>
                <w:rFonts w:ascii="Verdana" w:hAnsi="Verdana"/>
                <w:spacing w:val="-2"/>
                <w:sz w:val="18"/>
                <w:szCs w:val="18"/>
              </w:rPr>
              <w:t>ROSCI0071, ROSCI0157, ROSPA0166, ROSPA0036, ROSPA0094, BG0000569,</w:t>
            </w:r>
          </w:p>
          <w:p w14:paraId="1B9E4E11" w14:textId="77777777" w:rsidR="008715BE" w:rsidRPr="00EC75B7" w:rsidRDefault="00000000">
            <w:pPr>
              <w:pStyle w:val="TableParagraph"/>
              <w:spacing w:line="158"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2325B3DA" w14:textId="77777777" w:rsidR="008715BE" w:rsidRPr="00EC75B7" w:rsidRDefault="008715BE">
            <w:pPr>
              <w:pStyle w:val="TableParagraph"/>
              <w:rPr>
                <w:rFonts w:ascii="Verdana" w:hAnsi="Verdana"/>
                <w:b/>
                <w:sz w:val="18"/>
                <w:szCs w:val="18"/>
              </w:rPr>
            </w:pPr>
          </w:p>
          <w:p w14:paraId="78716538" w14:textId="77777777" w:rsidR="008715BE" w:rsidRPr="00EC75B7" w:rsidRDefault="008715BE">
            <w:pPr>
              <w:pStyle w:val="TableParagraph"/>
              <w:rPr>
                <w:rFonts w:ascii="Verdana" w:hAnsi="Verdana"/>
                <w:b/>
                <w:sz w:val="18"/>
                <w:szCs w:val="18"/>
              </w:rPr>
            </w:pPr>
          </w:p>
          <w:p w14:paraId="314509EF" w14:textId="77777777" w:rsidR="008715BE" w:rsidRPr="00EC75B7" w:rsidRDefault="008715BE">
            <w:pPr>
              <w:pStyle w:val="TableParagraph"/>
              <w:spacing w:before="5"/>
              <w:rPr>
                <w:rFonts w:ascii="Verdana" w:hAnsi="Verdana"/>
                <w:b/>
                <w:sz w:val="18"/>
                <w:szCs w:val="18"/>
              </w:rPr>
            </w:pPr>
          </w:p>
          <w:p w14:paraId="409AE194"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10CCB6BF" w14:textId="77777777" w:rsidR="008715BE" w:rsidRPr="00EC75B7" w:rsidRDefault="008715BE">
            <w:pPr>
              <w:pStyle w:val="TableParagraph"/>
              <w:rPr>
                <w:rFonts w:ascii="Verdana" w:hAnsi="Verdana"/>
                <w:b/>
                <w:sz w:val="18"/>
                <w:szCs w:val="18"/>
              </w:rPr>
            </w:pPr>
          </w:p>
          <w:p w14:paraId="188B77E9" w14:textId="77777777" w:rsidR="008715BE" w:rsidRPr="00EC75B7" w:rsidRDefault="008715BE">
            <w:pPr>
              <w:pStyle w:val="TableParagraph"/>
              <w:rPr>
                <w:rFonts w:ascii="Verdana" w:hAnsi="Verdana"/>
                <w:b/>
                <w:sz w:val="18"/>
                <w:szCs w:val="18"/>
              </w:rPr>
            </w:pPr>
          </w:p>
          <w:p w14:paraId="3983D3CD" w14:textId="77777777" w:rsidR="008715BE" w:rsidRPr="00EC75B7" w:rsidRDefault="008715BE">
            <w:pPr>
              <w:pStyle w:val="TableParagraph"/>
              <w:rPr>
                <w:rFonts w:ascii="Verdana" w:hAnsi="Verdana"/>
                <w:b/>
                <w:sz w:val="18"/>
                <w:szCs w:val="18"/>
              </w:rPr>
            </w:pPr>
          </w:p>
          <w:p w14:paraId="1161351E" w14:textId="77777777" w:rsidR="008715BE" w:rsidRPr="00EC75B7" w:rsidRDefault="008715BE">
            <w:pPr>
              <w:pStyle w:val="TableParagraph"/>
              <w:rPr>
                <w:rFonts w:ascii="Verdana" w:hAnsi="Verdana"/>
                <w:b/>
                <w:sz w:val="18"/>
                <w:szCs w:val="18"/>
              </w:rPr>
            </w:pPr>
          </w:p>
          <w:p w14:paraId="593F8AFA" w14:textId="77777777" w:rsidR="008715BE" w:rsidRPr="00EC75B7" w:rsidRDefault="008715BE">
            <w:pPr>
              <w:pStyle w:val="TableParagraph"/>
              <w:spacing w:before="102"/>
              <w:rPr>
                <w:rFonts w:ascii="Verdana" w:hAnsi="Verdana"/>
                <w:b/>
                <w:sz w:val="18"/>
                <w:szCs w:val="18"/>
              </w:rPr>
            </w:pPr>
          </w:p>
          <w:p w14:paraId="75C372CE"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2"/>
                <w:sz w:val="18"/>
                <w:szCs w:val="18"/>
              </w:rPr>
              <w:t>AH,PAS</w:t>
            </w:r>
          </w:p>
        </w:tc>
        <w:tc>
          <w:tcPr>
            <w:tcW w:w="2802" w:type="dxa"/>
          </w:tcPr>
          <w:p w14:paraId="66184ECE" w14:textId="77777777" w:rsidR="008715BE" w:rsidRPr="00EC75B7" w:rsidRDefault="008715BE">
            <w:pPr>
              <w:pStyle w:val="TableParagraph"/>
              <w:rPr>
                <w:rFonts w:ascii="Verdana" w:hAnsi="Verdana"/>
                <w:b/>
                <w:sz w:val="18"/>
                <w:szCs w:val="18"/>
              </w:rPr>
            </w:pPr>
          </w:p>
          <w:p w14:paraId="4D942C59" w14:textId="77777777" w:rsidR="008715BE" w:rsidRPr="00EC75B7" w:rsidRDefault="008715BE">
            <w:pPr>
              <w:pStyle w:val="TableParagraph"/>
              <w:rPr>
                <w:rFonts w:ascii="Verdana" w:hAnsi="Verdana"/>
                <w:b/>
                <w:sz w:val="18"/>
                <w:szCs w:val="18"/>
              </w:rPr>
            </w:pPr>
          </w:p>
          <w:p w14:paraId="4876214E" w14:textId="77777777" w:rsidR="008715BE" w:rsidRPr="00EC75B7" w:rsidRDefault="008715BE">
            <w:pPr>
              <w:pStyle w:val="TableParagraph"/>
              <w:rPr>
                <w:rFonts w:ascii="Verdana" w:hAnsi="Verdana"/>
                <w:b/>
                <w:sz w:val="18"/>
                <w:szCs w:val="18"/>
              </w:rPr>
            </w:pPr>
          </w:p>
          <w:p w14:paraId="76E89868" w14:textId="77777777" w:rsidR="008715BE" w:rsidRPr="00EC75B7" w:rsidRDefault="008715BE">
            <w:pPr>
              <w:pStyle w:val="TableParagraph"/>
              <w:rPr>
                <w:rFonts w:ascii="Verdana" w:hAnsi="Verdana"/>
                <w:b/>
                <w:sz w:val="18"/>
                <w:szCs w:val="18"/>
              </w:rPr>
            </w:pPr>
          </w:p>
          <w:p w14:paraId="542BBD46" w14:textId="77777777" w:rsidR="008715BE" w:rsidRPr="00EC75B7" w:rsidRDefault="008715BE">
            <w:pPr>
              <w:pStyle w:val="TableParagraph"/>
              <w:spacing w:before="102"/>
              <w:rPr>
                <w:rFonts w:ascii="Verdana" w:hAnsi="Verdana"/>
                <w:b/>
                <w:sz w:val="18"/>
                <w:szCs w:val="18"/>
              </w:rPr>
            </w:pPr>
          </w:p>
          <w:p w14:paraId="2D090B0F" w14:textId="77777777" w:rsidR="008715BE" w:rsidRPr="00EC75B7" w:rsidRDefault="00000000">
            <w:pPr>
              <w:pStyle w:val="TableParagraph"/>
              <w:ind w:left="21"/>
              <w:jc w:val="center"/>
              <w:rPr>
                <w:rFonts w:ascii="Verdana" w:hAnsi="Verdana"/>
                <w:sz w:val="18"/>
                <w:szCs w:val="18"/>
              </w:rPr>
            </w:pPr>
            <w:r w:rsidRPr="00EC75B7">
              <w:rPr>
                <w:rFonts w:ascii="Verdana" w:hAnsi="Verdana"/>
                <w:spacing w:val="-2"/>
                <w:sz w:val="18"/>
                <w:szCs w:val="18"/>
              </w:rPr>
              <w:t>Construction/Operation/Decommissioning</w:t>
            </w:r>
          </w:p>
        </w:tc>
        <w:tc>
          <w:tcPr>
            <w:tcW w:w="2608" w:type="dxa"/>
          </w:tcPr>
          <w:p w14:paraId="4EFA161D" w14:textId="77777777" w:rsidR="008715BE" w:rsidRPr="00EC75B7" w:rsidRDefault="008715BE">
            <w:pPr>
              <w:pStyle w:val="TableParagraph"/>
              <w:rPr>
                <w:rFonts w:ascii="Verdana" w:hAnsi="Verdana"/>
                <w:b/>
                <w:sz w:val="18"/>
                <w:szCs w:val="18"/>
              </w:rPr>
            </w:pPr>
          </w:p>
          <w:p w14:paraId="6B2F444E" w14:textId="77777777" w:rsidR="008715BE" w:rsidRPr="00EC75B7" w:rsidRDefault="008715BE">
            <w:pPr>
              <w:pStyle w:val="TableParagraph"/>
              <w:rPr>
                <w:rFonts w:ascii="Verdana" w:hAnsi="Verdana"/>
                <w:b/>
                <w:sz w:val="18"/>
                <w:szCs w:val="18"/>
              </w:rPr>
            </w:pPr>
          </w:p>
          <w:p w14:paraId="0F5C4226" w14:textId="77777777" w:rsidR="008715BE" w:rsidRPr="00EC75B7" w:rsidRDefault="008715BE">
            <w:pPr>
              <w:pStyle w:val="TableParagraph"/>
              <w:rPr>
                <w:rFonts w:ascii="Verdana" w:hAnsi="Verdana"/>
                <w:b/>
                <w:sz w:val="18"/>
                <w:szCs w:val="18"/>
              </w:rPr>
            </w:pPr>
          </w:p>
          <w:p w14:paraId="61626F2A" w14:textId="77777777" w:rsidR="008715BE" w:rsidRPr="00EC75B7" w:rsidRDefault="008715BE">
            <w:pPr>
              <w:pStyle w:val="TableParagraph"/>
              <w:rPr>
                <w:rFonts w:ascii="Verdana" w:hAnsi="Verdana"/>
                <w:b/>
                <w:sz w:val="18"/>
                <w:szCs w:val="18"/>
              </w:rPr>
            </w:pPr>
          </w:p>
          <w:p w14:paraId="184F836A" w14:textId="77777777" w:rsidR="008715BE" w:rsidRPr="00EC75B7" w:rsidRDefault="008715BE">
            <w:pPr>
              <w:pStyle w:val="TableParagraph"/>
              <w:spacing w:before="3"/>
              <w:rPr>
                <w:rFonts w:ascii="Verdana" w:hAnsi="Verdana"/>
                <w:b/>
                <w:sz w:val="18"/>
                <w:szCs w:val="18"/>
              </w:rPr>
            </w:pPr>
          </w:p>
          <w:p w14:paraId="3D71353A"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372CC162" w14:textId="77777777">
        <w:trPr>
          <w:trHeight w:val="2334"/>
        </w:trPr>
        <w:tc>
          <w:tcPr>
            <w:tcW w:w="554" w:type="dxa"/>
          </w:tcPr>
          <w:p w14:paraId="002C6AB6" w14:textId="77777777" w:rsidR="008715BE" w:rsidRPr="00EC75B7" w:rsidRDefault="008715BE">
            <w:pPr>
              <w:pStyle w:val="TableParagraph"/>
              <w:rPr>
                <w:rFonts w:ascii="Verdana" w:hAnsi="Verdana"/>
                <w:b/>
                <w:sz w:val="18"/>
                <w:szCs w:val="18"/>
              </w:rPr>
            </w:pPr>
          </w:p>
          <w:p w14:paraId="430672D4" w14:textId="77777777" w:rsidR="008715BE" w:rsidRPr="00EC75B7" w:rsidRDefault="008715BE">
            <w:pPr>
              <w:pStyle w:val="TableParagraph"/>
              <w:rPr>
                <w:rFonts w:ascii="Verdana" w:hAnsi="Verdana"/>
                <w:b/>
                <w:sz w:val="18"/>
                <w:szCs w:val="18"/>
              </w:rPr>
            </w:pPr>
          </w:p>
          <w:p w14:paraId="696FF705" w14:textId="77777777" w:rsidR="008715BE" w:rsidRPr="00EC75B7" w:rsidRDefault="008715BE">
            <w:pPr>
              <w:pStyle w:val="TableParagraph"/>
              <w:rPr>
                <w:rFonts w:ascii="Verdana" w:hAnsi="Verdana"/>
                <w:b/>
                <w:sz w:val="18"/>
                <w:szCs w:val="18"/>
              </w:rPr>
            </w:pPr>
          </w:p>
          <w:p w14:paraId="07647866" w14:textId="77777777" w:rsidR="008715BE" w:rsidRPr="00EC75B7" w:rsidRDefault="008715BE">
            <w:pPr>
              <w:pStyle w:val="TableParagraph"/>
              <w:rPr>
                <w:rFonts w:ascii="Verdana" w:hAnsi="Verdana"/>
                <w:b/>
                <w:sz w:val="18"/>
                <w:szCs w:val="18"/>
              </w:rPr>
            </w:pPr>
          </w:p>
          <w:p w14:paraId="346BA504" w14:textId="77777777" w:rsidR="008715BE" w:rsidRPr="00EC75B7" w:rsidRDefault="008715BE">
            <w:pPr>
              <w:pStyle w:val="TableParagraph"/>
              <w:spacing w:before="102"/>
              <w:rPr>
                <w:rFonts w:ascii="Verdana" w:hAnsi="Verdana"/>
                <w:b/>
                <w:sz w:val="18"/>
                <w:szCs w:val="18"/>
              </w:rPr>
            </w:pPr>
          </w:p>
          <w:p w14:paraId="20A65AA1"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M8</w:t>
            </w:r>
          </w:p>
        </w:tc>
        <w:tc>
          <w:tcPr>
            <w:tcW w:w="9161" w:type="dxa"/>
          </w:tcPr>
          <w:p w14:paraId="28EF939A" w14:textId="77777777" w:rsidR="008715BE" w:rsidRPr="00EC75B7" w:rsidRDefault="008715BE">
            <w:pPr>
              <w:pStyle w:val="TableParagraph"/>
              <w:rPr>
                <w:rFonts w:ascii="Verdana" w:hAnsi="Verdana"/>
                <w:b/>
                <w:sz w:val="18"/>
                <w:szCs w:val="18"/>
              </w:rPr>
            </w:pPr>
          </w:p>
          <w:p w14:paraId="09FE4EDE" w14:textId="77777777" w:rsidR="008715BE" w:rsidRPr="00EC75B7" w:rsidRDefault="008715BE">
            <w:pPr>
              <w:pStyle w:val="TableParagraph"/>
              <w:rPr>
                <w:rFonts w:ascii="Verdana" w:hAnsi="Verdana"/>
                <w:b/>
                <w:sz w:val="18"/>
                <w:szCs w:val="18"/>
              </w:rPr>
            </w:pPr>
          </w:p>
          <w:p w14:paraId="7C245EE8" w14:textId="77777777" w:rsidR="008715BE" w:rsidRPr="00EC75B7" w:rsidRDefault="008715BE">
            <w:pPr>
              <w:pStyle w:val="TableParagraph"/>
              <w:rPr>
                <w:rFonts w:ascii="Verdana" w:hAnsi="Verdana"/>
                <w:b/>
                <w:sz w:val="18"/>
                <w:szCs w:val="18"/>
              </w:rPr>
            </w:pPr>
          </w:p>
          <w:p w14:paraId="1A59D655" w14:textId="77777777" w:rsidR="008715BE" w:rsidRPr="00EC75B7" w:rsidRDefault="008715BE">
            <w:pPr>
              <w:pStyle w:val="TableParagraph"/>
              <w:spacing w:before="103"/>
              <w:rPr>
                <w:rFonts w:ascii="Verdana" w:hAnsi="Verdana"/>
                <w:b/>
                <w:sz w:val="18"/>
                <w:szCs w:val="18"/>
              </w:rPr>
            </w:pPr>
          </w:p>
          <w:p w14:paraId="03802BA9"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Ensuring proper waste management with regular disposal without using intermediate and non-compliant landfills. It is prohibited to abandon waste in the immediate vicinity of the construction site and beyond.</w:t>
            </w:r>
          </w:p>
        </w:tc>
        <w:tc>
          <w:tcPr>
            <w:tcW w:w="962" w:type="dxa"/>
          </w:tcPr>
          <w:p w14:paraId="6717AF62" w14:textId="77777777" w:rsidR="008715BE" w:rsidRPr="00EC75B7" w:rsidRDefault="008715BE">
            <w:pPr>
              <w:pStyle w:val="TableParagraph"/>
              <w:rPr>
                <w:rFonts w:ascii="Verdana" w:hAnsi="Verdana"/>
                <w:b/>
                <w:sz w:val="18"/>
                <w:szCs w:val="18"/>
              </w:rPr>
            </w:pPr>
          </w:p>
          <w:p w14:paraId="12B03D43" w14:textId="77777777" w:rsidR="008715BE" w:rsidRPr="00EC75B7" w:rsidRDefault="008715BE">
            <w:pPr>
              <w:pStyle w:val="TableParagraph"/>
              <w:rPr>
                <w:rFonts w:ascii="Verdana" w:hAnsi="Verdana"/>
                <w:b/>
                <w:sz w:val="18"/>
                <w:szCs w:val="18"/>
              </w:rPr>
            </w:pPr>
          </w:p>
          <w:p w14:paraId="0E2AF415" w14:textId="77777777" w:rsidR="008715BE" w:rsidRPr="00EC75B7" w:rsidRDefault="008715BE">
            <w:pPr>
              <w:pStyle w:val="TableParagraph"/>
              <w:rPr>
                <w:rFonts w:ascii="Verdana" w:hAnsi="Verdana"/>
                <w:b/>
                <w:sz w:val="18"/>
                <w:szCs w:val="18"/>
              </w:rPr>
            </w:pPr>
          </w:p>
          <w:p w14:paraId="20E27AB6" w14:textId="77777777" w:rsidR="008715BE" w:rsidRPr="00EC75B7" w:rsidRDefault="008715BE">
            <w:pPr>
              <w:pStyle w:val="TableParagraph"/>
              <w:rPr>
                <w:rFonts w:ascii="Verdana" w:hAnsi="Verdana"/>
                <w:b/>
                <w:sz w:val="18"/>
                <w:szCs w:val="18"/>
              </w:rPr>
            </w:pPr>
          </w:p>
          <w:p w14:paraId="2B8A4A9F" w14:textId="77777777" w:rsidR="008715BE" w:rsidRPr="00EC75B7" w:rsidRDefault="008715BE">
            <w:pPr>
              <w:pStyle w:val="TableParagraph"/>
              <w:spacing w:before="102"/>
              <w:rPr>
                <w:rFonts w:ascii="Verdana" w:hAnsi="Verdana"/>
                <w:b/>
                <w:sz w:val="18"/>
                <w:szCs w:val="18"/>
              </w:rPr>
            </w:pPr>
          </w:p>
          <w:p w14:paraId="735D7992"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640DBEA3"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7E5762EE"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in </w:t>
            </w:r>
            <w:r w:rsidRPr="00EC75B7">
              <w:rPr>
                <w:rFonts w:ascii="Verdana" w:hAnsi="Verdana"/>
                <w:spacing w:val="-2"/>
                <w:sz w:val="18"/>
                <w:szCs w:val="18"/>
              </w:rPr>
              <w:t>ROSCI0071, ROSCI0157, ROSPA0166, ROSPA0036, ROSPA0094, BG0000569,</w:t>
            </w:r>
          </w:p>
          <w:p w14:paraId="797B3DFE" w14:textId="77777777" w:rsidR="008715BE" w:rsidRPr="00EC75B7" w:rsidRDefault="00000000">
            <w:pPr>
              <w:pStyle w:val="TableParagraph"/>
              <w:spacing w:line="160"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08062B18" w14:textId="77777777" w:rsidR="008715BE" w:rsidRPr="00EC75B7" w:rsidRDefault="008715BE">
            <w:pPr>
              <w:pStyle w:val="TableParagraph"/>
              <w:rPr>
                <w:rFonts w:ascii="Verdana" w:hAnsi="Verdana"/>
                <w:b/>
                <w:sz w:val="18"/>
                <w:szCs w:val="18"/>
              </w:rPr>
            </w:pPr>
          </w:p>
          <w:p w14:paraId="6FAFE7E5" w14:textId="77777777" w:rsidR="008715BE" w:rsidRPr="00EC75B7" w:rsidRDefault="008715BE">
            <w:pPr>
              <w:pStyle w:val="TableParagraph"/>
              <w:rPr>
                <w:rFonts w:ascii="Verdana" w:hAnsi="Verdana"/>
                <w:b/>
                <w:sz w:val="18"/>
                <w:szCs w:val="18"/>
              </w:rPr>
            </w:pPr>
          </w:p>
          <w:p w14:paraId="4A603487" w14:textId="77777777" w:rsidR="008715BE" w:rsidRPr="00EC75B7" w:rsidRDefault="008715BE">
            <w:pPr>
              <w:pStyle w:val="TableParagraph"/>
              <w:spacing w:before="5"/>
              <w:rPr>
                <w:rFonts w:ascii="Verdana" w:hAnsi="Verdana"/>
                <w:b/>
                <w:sz w:val="18"/>
                <w:szCs w:val="18"/>
              </w:rPr>
            </w:pPr>
          </w:p>
          <w:p w14:paraId="67CBEE17"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1579DA66" w14:textId="77777777" w:rsidR="008715BE" w:rsidRPr="00EC75B7" w:rsidRDefault="008715BE">
            <w:pPr>
              <w:pStyle w:val="TableParagraph"/>
              <w:rPr>
                <w:rFonts w:ascii="Verdana" w:hAnsi="Verdana"/>
                <w:b/>
                <w:sz w:val="18"/>
                <w:szCs w:val="18"/>
              </w:rPr>
            </w:pPr>
          </w:p>
          <w:p w14:paraId="7EBC400F" w14:textId="77777777" w:rsidR="008715BE" w:rsidRPr="00EC75B7" w:rsidRDefault="008715BE">
            <w:pPr>
              <w:pStyle w:val="TableParagraph"/>
              <w:rPr>
                <w:rFonts w:ascii="Verdana" w:hAnsi="Verdana"/>
                <w:b/>
                <w:sz w:val="18"/>
                <w:szCs w:val="18"/>
              </w:rPr>
            </w:pPr>
          </w:p>
          <w:p w14:paraId="16F28AD2" w14:textId="77777777" w:rsidR="008715BE" w:rsidRPr="00EC75B7" w:rsidRDefault="008715BE">
            <w:pPr>
              <w:pStyle w:val="TableParagraph"/>
              <w:rPr>
                <w:rFonts w:ascii="Verdana" w:hAnsi="Verdana"/>
                <w:b/>
                <w:sz w:val="18"/>
                <w:szCs w:val="18"/>
              </w:rPr>
            </w:pPr>
          </w:p>
          <w:p w14:paraId="71C44811" w14:textId="77777777" w:rsidR="008715BE" w:rsidRPr="00EC75B7" w:rsidRDefault="008715BE">
            <w:pPr>
              <w:pStyle w:val="TableParagraph"/>
              <w:rPr>
                <w:rFonts w:ascii="Verdana" w:hAnsi="Verdana"/>
                <w:b/>
                <w:sz w:val="18"/>
                <w:szCs w:val="18"/>
              </w:rPr>
            </w:pPr>
          </w:p>
          <w:p w14:paraId="120DB3B5" w14:textId="77777777" w:rsidR="008715BE" w:rsidRPr="00EC75B7" w:rsidRDefault="008715BE">
            <w:pPr>
              <w:pStyle w:val="TableParagraph"/>
              <w:spacing w:before="102"/>
              <w:rPr>
                <w:rFonts w:ascii="Verdana" w:hAnsi="Verdana"/>
                <w:b/>
                <w:sz w:val="18"/>
                <w:szCs w:val="18"/>
              </w:rPr>
            </w:pPr>
          </w:p>
          <w:p w14:paraId="32B3E03A"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2"/>
                <w:sz w:val="18"/>
                <w:szCs w:val="18"/>
              </w:rPr>
              <w:t>AH,PAS</w:t>
            </w:r>
          </w:p>
        </w:tc>
        <w:tc>
          <w:tcPr>
            <w:tcW w:w="2802" w:type="dxa"/>
          </w:tcPr>
          <w:p w14:paraId="39ADD0C3" w14:textId="77777777" w:rsidR="008715BE" w:rsidRPr="00EC75B7" w:rsidRDefault="008715BE">
            <w:pPr>
              <w:pStyle w:val="TableParagraph"/>
              <w:rPr>
                <w:rFonts w:ascii="Verdana" w:hAnsi="Verdana"/>
                <w:b/>
                <w:sz w:val="18"/>
                <w:szCs w:val="18"/>
              </w:rPr>
            </w:pPr>
          </w:p>
          <w:p w14:paraId="5C2E8B73" w14:textId="77777777" w:rsidR="008715BE" w:rsidRPr="00EC75B7" w:rsidRDefault="008715BE">
            <w:pPr>
              <w:pStyle w:val="TableParagraph"/>
              <w:rPr>
                <w:rFonts w:ascii="Verdana" w:hAnsi="Verdana"/>
                <w:b/>
                <w:sz w:val="18"/>
                <w:szCs w:val="18"/>
              </w:rPr>
            </w:pPr>
          </w:p>
          <w:p w14:paraId="00A8A6FA" w14:textId="77777777" w:rsidR="008715BE" w:rsidRPr="00EC75B7" w:rsidRDefault="008715BE">
            <w:pPr>
              <w:pStyle w:val="TableParagraph"/>
              <w:rPr>
                <w:rFonts w:ascii="Verdana" w:hAnsi="Verdana"/>
                <w:b/>
                <w:sz w:val="18"/>
                <w:szCs w:val="18"/>
              </w:rPr>
            </w:pPr>
          </w:p>
          <w:p w14:paraId="611A8362" w14:textId="77777777" w:rsidR="008715BE" w:rsidRPr="00EC75B7" w:rsidRDefault="008715BE">
            <w:pPr>
              <w:pStyle w:val="TableParagraph"/>
              <w:rPr>
                <w:rFonts w:ascii="Verdana" w:hAnsi="Verdana"/>
                <w:b/>
                <w:sz w:val="18"/>
                <w:szCs w:val="18"/>
              </w:rPr>
            </w:pPr>
          </w:p>
          <w:p w14:paraId="512F3A24" w14:textId="77777777" w:rsidR="008715BE" w:rsidRPr="00EC75B7" w:rsidRDefault="008715BE">
            <w:pPr>
              <w:pStyle w:val="TableParagraph"/>
              <w:spacing w:before="102"/>
              <w:rPr>
                <w:rFonts w:ascii="Verdana" w:hAnsi="Verdana"/>
                <w:b/>
                <w:sz w:val="18"/>
                <w:szCs w:val="18"/>
              </w:rPr>
            </w:pPr>
          </w:p>
          <w:p w14:paraId="1BD65FD5" w14:textId="77777777" w:rsidR="008715BE" w:rsidRPr="00EC75B7" w:rsidRDefault="00000000">
            <w:pPr>
              <w:pStyle w:val="TableParagraph"/>
              <w:ind w:left="21"/>
              <w:jc w:val="center"/>
              <w:rPr>
                <w:rFonts w:ascii="Verdana" w:hAnsi="Verdana"/>
                <w:sz w:val="18"/>
                <w:szCs w:val="18"/>
              </w:rPr>
            </w:pPr>
            <w:r w:rsidRPr="00EC75B7">
              <w:rPr>
                <w:rFonts w:ascii="Verdana" w:hAnsi="Verdana"/>
                <w:spacing w:val="-2"/>
                <w:sz w:val="18"/>
                <w:szCs w:val="18"/>
              </w:rPr>
              <w:t>Construction/Operation/Decommissioning</w:t>
            </w:r>
          </w:p>
        </w:tc>
        <w:tc>
          <w:tcPr>
            <w:tcW w:w="2608" w:type="dxa"/>
          </w:tcPr>
          <w:p w14:paraId="0A271F50" w14:textId="77777777" w:rsidR="008715BE" w:rsidRPr="00EC75B7" w:rsidRDefault="008715BE">
            <w:pPr>
              <w:pStyle w:val="TableParagraph"/>
              <w:rPr>
                <w:rFonts w:ascii="Verdana" w:hAnsi="Verdana"/>
                <w:b/>
                <w:sz w:val="18"/>
                <w:szCs w:val="18"/>
              </w:rPr>
            </w:pPr>
          </w:p>
          <w:p w14:paraId="19E8E4A1" w14:textId="77777777" w:rsidR="008715BE" w:rsidRPr="00EC75B7" w:rsidRDefault="008715BE">
            <w:pPr>
              <w:pStyle w:val="TableParagraph"/>
              <w:rPr>
                <w:rFonts w:ascii="Verdana" w:hAnsi="Verdana"/>
                <w:b/>
                <w:sz w:val="18"/>
                <w:szCs w:val="18"/>
              </w:rPr>
            </w:pPr>
          </w:p>
          <w:p w14:paraId="1697C08B" w14:textId="77777777" w:rsidR="008715BE" w:rsidRPr="00EC75B7" w:rsidRDefault="008715BE">
            <w:pPr>
              <w:pStyle w:val="TableParagraph"/>
              <w:rPr>
                <w:rFonts w:ascii="Verdana" w:hAnsi="Verdana"/>
                <w:b/>
                <w:sz w:val="18"/>
                <w:szCs w:val="18"/>
              </w:rPr>
            </w:pPr>
          </w:p>
          <w:p w14:paraId="56C255FB" w14:textId="77777777" w:rsidR="008715BE" w:rsidRPr="00EC75B7" w:rsidRDefault="008715BE">
            <w:pPr>
              <w:pStyle w:val="TableParagraph"/>
              <w:rPr>
                <w:rFonts w:ascii="Verdana" w:hAnsi="Verdana"/>
                <w:b/>
                <w:sz w:val="18"/>
                <w:szCs w:val="18"/>
              </w:rPr>
            </w:pPr>
          </w:p>
          <w:p w14:paraId="786974F1" w14:textId="77777777" w:rsidR="008715BE" w:rsidRPr="00EC75B7" w:rsidRDefault="008715BE">
            <w:pPr>
              <w:pStyle w:val="TableParagraph"/>
              <w:spacing w:before="3"/>
              <w:rPr>
                <w:rFonts w:ascii="Verdana" w:hAnsi="Verdana"/>
                <w:b/>
                <w:sz w:val="18"/>
                <w:szCs w:val="18"/>
              </w:rPr>
            </w:pPr>
          </w:p>
          <w:p w14:paraId="00B83DF0"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66990015" w14:textId="77777777">
        <w:trPr>
          <w:trHeight w:val="2332"/>
        </w:trPr>
        <w:tc>
          <w:tcPr>
            <w:tcW w:w="554" w:type="dxa"/>
          </w:tcPr>
          <w:p w14:paraId="4B0391FC" w14:textId="77777777" w:rsidR="008715BE" w:rsidRPr="00EC75B7" w:rsidRDefault="008715BE">
            <w:pPr>
              <w:pStyle w:val="TableParagraph"/>
              <w:rPr>
                <w:rFonts w:ascii="Verdana" w:hAnsi="Verdana"/>
                <w:b/>
                <w:sz w:val="18"/>
                <w:szCs w:val="18"/>
              </w:rPr>
            </w:pPr>
          </w:p>
          <w:p w14:paraId="63045D7E" w14:textId="77777777" w:rsidR="008715BE" w:rsidRPr="00EC75B7" w:rsidRDefault="008715BE">
            <w:pPr>
              <w:pStyle w:val="TableParagraph"/>
              <w:rPr>
                <w:rFonts w:ascii="Verdana" w:hAnsi="Verdana"/>
                <w:b/>
                <w:sz w:val="18"/>
                <w:szCs w:val="18"/>
              </w:rPr>
            </w:pPr>
          </w:p>
          <w:p w14:paraId="398388A9" w14:textId="77777777" w:rsidR="008715BE" w:rsidRPr="00EC75B7" w:rsidRDefault="008715BE">
            <w:pPr>
              <w:pStyle w:val="TableParagraph"/>
              <w:rPr>
                <w:rFonts w:ascii="Verdana" w:hAnsi="Verdana"/>
                <w:b/>
                <w:sz w:val="18"/>
                <w:szCs w:val="18"/>
              </w:rPr>
            </w:pPr>
          </w:p>
          <w:p w14:paraId="061E85BA" w14:textId="77777777" w:rsidR="008715BE" w:rsidRPr="00EC75B7" w:rsidRDefault="008715BE">
            <w:pPr>
              <w:pStyle w:val="TableParagraph"/>
              <w:rPr>
                <w:rFonts w:ascii="Verdana" w:hAnsi="Verdana"/>
                <w:b/>
                <w:sz w:val="18"/>
                <w:szCs w:val="18"/>
              </w:rPr>
            </w:pPr>
          </w:p>
          <w:p w14:paraId="5BFCEB3D" w14:textId="77777777" w:rsidR="008715BE" w:rsidRPr="00EC75B7" w:rsidRDefault="008715BE">
            <w:pPr>
              <w:pStyle w:val="TableParagraph"/>
              <w:spacing w:before="100"/>
              <w:rPr>
                <w:rFonts w:ascii="Verdana" w:hAnsi="Verdana"/>
                <w:b/>
                <w:sz w:val="18"/>
                <w:szCs w:val="18"/>
              </w:rPr>
            </w:pPr>
          </w:p>
          <w:p w14:paraId="10D9659E"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M9</w:t>
            </w:r>
          </w:p>
        </w:tc>
        <w:tc>
          <w:tcPr>
            <w:tcW w:w="9161" w:type="dxa"/>
          </w:tcPr>
          <w:p w14:paraId="7F1C2BCC" w14:textId="77777777" w:rsidR="008715BE" w:rsidRPr="00EC75B7" w:rsidRDefault="008715BE">
            <w:pPr>
              <w:pStyle w:val="TableParagraph"/>
              <w:rPr>
                <w:rFonts w:ascii="Verdana" w:hAnsi="Verdana"/>
                <w:b/>
                <w:sz w:val="18"/>
                <w:szCs w:val="18"/>
              </w:rPr>
            </w:pPr>
          </w:p>
          <w:p w14:paraId="76C9234C" w14:textId="77777777" w:rsidR="008715BE" w:rsidRPr="00EC75B7" w:rsidRDefault="008715BE">
            <w:pPr>
              <w:pStyle w:val="TableParagraph"/>
              <w:rPr>
                <w:rFonts w:ascii="Verdana" w:hAnsi="Verdana"/>
                <w:b/>
                <w:sz w:val="18"/>
                <w:szCs w:val="18"/>
              </w:rPr>
            </w:pPr>
          </w:p>
          <w:p w14:paraId="1D5C13EC" w14:textId="77777777" w:rsidR="008715BE" w:rsidRPr="00EC75B7" w:rsidRDefault="008715BE">
            <w:pPr>
              <w:pStyle w:val="TableParagraph"/>
              <w:rPr>
                <w:rFonts w:ascii="Verdana" w:hAnsi="Verdana"/>
                <w:b/>
                <w:sz w:val="18"/>
                <w:szCs w:val="18"/>
              </w:rPr>
            </w:pPr>
          </w:p>
          <w:p w14:paraId="7074FB34" w14:textId="77777777" w:rsidR="008715BE" w:rsidRPr="00EC75B7" w:rsidRDefault="008715BE">
            <w:pPr>
              <w:pStyle w:val="TableParagraph"/>
              <w:rPr>
                <w:rFonts w:ascii="Verdana" w:hAnsi="Verdana"/>
                <w:b/>
                <w:sz w:val="18"/>
                <w:szCs w:val="18"/>
              </w:rPr>
            </w:pPr>
          </w:p>
          <w:p w14:paraId="52D5FC1D" w14:textId="77777777" w:rsidR="008715BE" w:rsidRPr="00EC75B7" w:rsidRDefault="008715BE">
            <w:pPr>
              <w:pStyle w:val="TableParagraph"/>
              <w:spacing w:before="4"/>
              <w:rPr>
                <w:rFonts w:ascii="Verdana" w:hAnsi="Verdana"/>
                <w:b/>
                <w:sz w:val="18"/>
                <w:szCs w:val="18"/>
              </w:rPr>
            </w:pPr>
          </w:p>
          <w:p w14:paraId="7635D90C" w14:textId="77777777" w:rsidR="008715BE" w:rsidRPr="00EC75B7" w:rsidRDefault="00000000">
            <w:pPr>
              <w:pStyle w:val="TableParagraph"/>
              <w:ind w:left="108" w:right="143"/>
              <w:rPr>
                <w:rFonts w:ascii="Verdana" w:hAnsi="Verdana"/>
                <w:sz w:val="18"/>
                <w:szCs w:val="18"/>
              </w:rPr>
            </w:pPr>
            <w:r w:rsidRPr="00EC75B7">
              <w:rPr>
                <w:rFonts w:ascii="Verdana" w:hAnsi="Verdana"/>
                <w:sz w:val="18"/>
                <w:szCs w:val="18"/>
              </w:rPr>
              <w:t>Access to work sites will be via existing access routes so as not to affect additional land areas.</w:t>
            </w:r>
          </w:p>
        </w:tc>
        <w:tc>
          <w:tcPr>
            <w:tcW w:w="962" w:type="dxa"/>
          </w:tcPr>
          <w:p w14:paraId="0AD48C83" w14:textId="77777777" w:rsidR="008715BE" w:rsidRPr="00EC75B7" w:rsidRDefault="008715BE">
            <w:pPr>
              <w:pStyle w:val="TableParagraph"/>
              <w:rPr>
                <w:rFonts w:ascii="Verdana" w:hAnsi="Verdana"/>
                <w:b/>
                <w:sz w:val="18"/>
                <w:szCs w:val="18"/>
              </w:rPr>
            </w:pPr>
          </w:p>
          <w:p w14:paraId="171F277A" w14:textId="77777777" w:rsidR="008715BE" w:rsidRPr="00EC75B7" w:rsidRDefault="008715BE">
            <w:pPr>
              <w:pStyle w:val="TableParagraph"/>
              <w:rPr>
                <w:rFonts w:ascii="Verdana" w:hAnsi="Verdana"/>
                <w:b/>
                <w:sz w:val="18"/>
                <w:szCs w:val="18"/>
              </w:rPr>
            </w:pPr>
          </w:p>
          <w:p w14:paraId="213A3B67" w14:textId="77777777" w:rsidR="008715BE" w:rsidRPr="00EC75B7" w:rsidRDefault="008715BE">
            <w:pPr>
              <w:pStyle w:val="TableParagraph"/>
              <w:rPr>
                <w:rFonts w:ascii="Verdana" w:hAnsi="Verdana"/>
                <w:b/>
                <w:sz w:val="18"/>
                <w:szCs w:val="18"/>
              </w:rPr>
            </w:pPr>
          </w:p>
          <w:p w14:paraId="5205AE37" w14:textId="77777777" w:rsidR="008715BE" w:rsidRPr="00EC75B7" w:rsidRDefault="008715BE">
            <w:pPr>
              <w:pStyle w:val="TableParagraph"/>
              <w:rPr>
                <w:rFonts w:ascii="Verdana" w:hAnsi="Verdana"/>
                <w:b/>
                <w:sz w:val="18"/>
                <w:szCs w:val="18"/>
              </w:rPr>
            </w:pPr>
          </w:p>
          <w:p w14:paraId="3EF95EFA" w14:textId="77777777" w:rsidR="008715BE" w:rsidRPr="00EC75B7" w:rsidRDefault="008715BE">
            <w:pPr>
              <w:pStyle w:val="TableParagraph"/>
              <w:spacing w:before="100"/>
              <w:rPr>
                <w:rFonts w:ascii="Verdana" w:hAnsi="Verdana"/>
                <w:b/>
                <w:sz w:val="18"/>
                <w:szCs w:val="18"/>
              </w:rPr>
            </w:pPr>
          </w:p>
          <w:p w14:paraId="7FBD8557"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24B169B8"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45318F49"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and mammals*** from </w:t>
            </w:r>
            <w:r w:rsidRPr="00EC75B7">
              <w:rPr>
                <w:rFonts w:ascii="Verdana" w:hAnsi="Verdana"/>
                <w:spacing w:val="-2"/>
                <w:sz w:val="18"/>
                <w:szCs w:val="18"/>
              </w:rPr>
              <w:t>ROSCI0071, ROSCI0157, ROSPA0166, ROSPA0036, ROSPA0094, BG0000569,</w:t>
            </w:r>
          </w:p>
          <w:p w14:paraId="1952BC63" w14:textId="77777777" w:rsidR="008715BE" w:rsidRPr="00EC75B7" w:rsidRDefault="00000000">
            <w:pPr>
              <w:pStyle w:val="TableParagraph"/>
              <w:spacing w:line="158"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1611E5C7" w14:textId="77777777" w:rsidR="008715BE" w:rsidRPr="00EC75B7" w:rsidRDefault="008715BE">
            <w:pPr>
              <w:pStyle w:val="TableParagraph"/>
              <w:rPr>
                <w:rFonts w:ascii="Verdana" w:hAnsi="Verdana"/>
                <w:b/>
                <w:sz w:val="18"/>
                <w:szCs w:val="18"/>
              </w:rPr>
            </w:pPr>
          </w:p>
          <w:p w14:paraId="47A8C588" w14:textId="77777777" w:rsidR="008715BE" w:rsidRPr="00EC75B7" w:rsidRDefault="008715BE">
            <w:pPr>
              <w:pStyle w:val="TableParagraph"/>
              <w:rPr>
                <w:rFonts w:ascii="Verdana" w:hAnsi="Verdana"/>
                <w:b/>
                <w:sz w:val="18"/>
                <w:szCs w:val="18"/>
              </w:rPr>
            </w:pPr>
          </w:p>
          <w:p w14:paraId="30AEBBC3" w14:textId="77777777" w:rsidR="008715BE" w:rsidRPr="00EC75B7" w:rsidRDefault="008715BE">
            <w:pPr>
              <w:pStyle w:val="TableParagraph"/>
              <w:spacing w:before="5"/>
              <w:rPr>
                <w:rFonts w:ascii="Verdana" w:hAnsi="Verdana"/>
                <w:b/>
                <w:sz w:val="18"/>
                <w:szCs w:val="18"/>
              </w:rPr>
            </w:pPr>
          </w:p>
          <w:p w14:paraId="3A65FB03"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755B6D64" w14:textId="77777777" w:rsidR="008715BE" w:rsidRPr="00EC75B7" w:rsidRDefault="008715BE">
            <w:pPr>
              <w:pStyle w:val="TableParagraph"/>
              <w:rPr>
                <w:rFonts w:ascii="Verdana" w:hAnsi="Verdana"/>
                <w:b/>
                <w:sz w:val="18"/>
                <w:szCs w:val="18"/>
              </w:rPr>
            </w:pPr>
          </w:p>
          <w:p w14:paraId="4F808439" w14:textId="77777777" w:rsidR="008715BE" w:rsidRPr="00EC75B7" w:rsidRDefault="008715BE">
            <w:pPr>
              <w:pStyle w:val="TableParagraph"/>
              <w:rPr>
                <w:rFonts w:ascii="Verdana" w:hAnsi="Verdana"/>
                <w:b/>
                <w:sz w:val="18"/>
                <w:szCs w:val="18"/>
              </w:rPr>
            </w:pPr>
          </w:p>
          <w:p w14:paraId="105D51F5" w14:textId="77777777" w:rsidR="008715BE" w:rsidRPr="00EC75B7" w:rsidRDefault="008715BE">
            <w:pPr>
              <w:pStyle w:val="TableParagraph"/>
              <w:rPr>
                <w:rFonts w:ascii="Verdana" w:hAnsi="Verdana"/>
                <w:b/>
                <w:sz w:val="18"/>
                <w:szCs w:val="18"/>
              </w:rPr>
            </w:pPr>
          </w:p>
          <w:p w14:paraId="671DCFE9" w14:textId="77777777" w:rsidR="008715BE" w:rsidRPr="00EC75B7" w:rsidRDefault="008715BE">
            <w:pPr>
              <w:pStyle w:val="TableParagraph"/>
              <w:rPr>
                <w:rFonts w:ascii="Verdana" w:hAnsi="Verdana"/>
                <w:b/>
                <w:sz w:val="18"/>
                <w:szCs w:val="18"/>
              </w:rPr>
            </w:pPr>
          </w:p>
          <w:p w14:paraId="7DBE086A" w14:textId="77777777" w:rsidR="008715BE" w:rsidRPr="00EC75B7" w:rsidRDefault="008715BE">
            <w:pPr>
              <w:pStyle w:val="TableParagraph"/>
              <w:spacing w:before="100"/>
              <w:rPr>
                <w:rFonts w:ascii="Verdana" w:hAnsi="Verdana"/>
                <w:b/>
                <w:sz w:val="18"/>
                <w:szCs w:val="18"/>
              </w:rPr>
            </w:pPr>
          </w:p>
          <w:p w14:paraId="7E55C47D"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2"/>
                <w:sz w:val="18"/>
                <w:szCs w:val="18"/>
              </w:rPr>
              <w:t>AH,PAS</w:t>
            </w:r>
          </w:p>
        </w:tc>
        <w:tc>
          <w:tcPr>
            <w:tcW w:w="2802" w:type="dxa"/>
          </w:tcPr>
          <w:p w14:paraId="3B5FE486" w14:textId="77777777" w:rsidR="008715BE" w:rsidRPr="00EC75B7" w:rsidRDefault="008715BE">
            <w:pPr>
              <w:pStyle w:val="TableParagraph"/>
              <w:rPr>
                <w:rFonts w:ascii="Verdana" w:hAnsi="Verdana"/>
                <w:b/>
                <w:sz w:val="18"/>
                <w:szCs w:val="18"/>
              </w:rPr>
            </w:pPr>
          </w:p>
          <w:p w14:paraId="68CEBEEC" w14:textId="77777777" w:rsidR="008715BE" w:rsidRPr="00EC75B7" w:rsidRDefault="008715BE">
            <w:pPr>
              <w:pStyle w:val="TableParagraph"/>
              <w:rPr>
                <w:rFonts w:ascii="Verdana" w:hAnsi="Verdana"/>
                <w:b/>
                <w:sz w:val="18"/>
                <w:szCs w:val="18"/>
              </w:rPr>
            </w:pPr>
          </w:p>
          <w:p w14:paraId="5E7F4032" w14:textId="77777777" w:rsidR="008715BE" w:rsidRPr="00EC75B7" w:rsidRDefault="008715BE">
            <w:pPr>
              <w:pStyle w:val="TableParagraph"/>
              <w:rPr>
                <w:rFonts w:ascii="Verdana" w:hAnsi="Verdana"/>
                <w:b/>
                <w:sz w:val="18"/>
                <w:szCs w:val="18"/>
              </w:rPr>
            </w:pPr>
          </w:p>
          <w:p w14:paraId="52CE9D8C" w14:textId="77777777" w:rsidR="008715BE" w:rsidRPr="00EC75B7" w:rsidRDefault="008715BE">
            <w:pPr>
              <w:pStyle w:val="TableParagraph"/>
              <w:rPr>
                <w:rFonts w:ascii="Verdana" w:hAnsi="Verdana"/>
                <w:b/>
                <w:sz w:val="18"/>
                <w:szCs w:val="18"/>
              </w:rPr>
            </w:pPr>
          </w:p>
          <w:p w14:paraId="5B7EE677" w14:textId="77777777" w:rsidR="008715BE" w:rsidRPr="00EC75B7" w:rsidRDefault="008715BE">
            <w:pPr>
              <w:pStyle w:val="TableParagraph"/>
              <w:spacing w:before="100"/>
              <w:rPr>
                <w:rFonts w:ascii="Verdana" w:hAnsi="Verdana"/>
                <w:b/>
                <w:sz w:val="18"/>
                <w:szCs w:val="18"/>
              </w:rPr>
            </w:pPr>
          </w:p>
          <w:p w14:paraId="2E5C3E92" w14:textId="77777777" w:rsidR="008715BE" w:rsidRPr="00EC75B7" w:rsidRDefault="00000000">
            <w:pPr>
              <w:pStyle w:val="TableParagraph"/>
              <w:ind w:left="21"/>
              <w:jc w:val="center"/>
              <w:rPr>
                <w:rFonts w:ascii="Verdana" w:hAnsi="Verdana"/>
                <w:sz w:val="18"/>
                <w:szCs w:val="18"/>
              </w:rPr>
            </w:pPr>
            <w:r w:rsidRPr="00EC75B7">
              <w:rPr>
                <w:rFonts w:ascii="Verdana" w:hAnsi="Verdana"/>
                <w:spacing w:val="-2"/>
                <w:sz w:val="18"/>
                <w:szCs w:val="18"/>
              </w:rPr>
              <w:t>Construction/Operation/Decommissioning</w:t>
            </w:r>
          </w:p>
        </w:tc>
        <w:tc>
          <w:tcPr>
            <w:tcW w:w="2608" w:type="dxa"/>
          </w:tcPr>
          <w:p w14:paraId="23D92AA0" w14:textId="77777777" w:rsidR="008715BE" w:rsidRPr="00EC75B7" w:rsidRDefault="008715BE">
            <w:pPr>
              <w:pStyle w:val="TableParagraph"/>
              <w:rPr>
                <w:rFonts w:ascii="Verdana" w:hAnsi="Verdana"/>
                <w:b/>
                <w:sz w:val="18"/>
                <w:szCs w:val="18"/>
              </w:rPr>
            </w:pPr>
          </w:p>
          <w:p w14:paraId="5D450FD2" w14:textId="77777777" w:rsidR="008715BE" w:rsidRPr="00EC75B7" w:rsidRDefault="008715BE">
            <w:pPr>
              <w:pStyle w:val="TableParagraph"/>
              <w:rPr>
                <w:rFonts w:ascii="Verdana" w:hAnsi="Verdana"/>
                <w:b/>
                <w:sz w:val="18"/>
                <w:szCs w:val="18"/>
              </w:rPr>
            </w:pPr>
          </w:p>
          <w:p w14:paraId="3D7CC102" w14:textId="77777777" w:rsidR="008715BE" w:rsidRPr="00EC75B7" w:rsidRDefault="008715BE">
            <w:pPr>
              <w:pStyle w:val="TableParagraph"/>
              <w:rPr>
                <w:rFonts w:ascii="Verdana" w:hAnsi="Verdana"/>
                <w:b/>
                <w:sz w:val="18"/>
                <w:szCs w:val="18"/>
              </w:rPr>
            </w:pPr>
          </w:p>
          <w:p w14:paraId="76053BC5" w14:textId="77777777" w:rsidR="008715BE" w:rsidRPr="00EC75B7" w:rsidRDefault="008715BE">
            <w:pPr>
              <w:pStyle w:val="TableParagraph"/>
              <w:rPr>
                <w:rFonts w:ascii="Verdana" w:hAnsi="Verdana"/>
                <w:b/>
                <w:sz w:val="18"/>
                <w:szCs w:val="18"/>
              </w:rPr>
            </w:pPr>
          </w:p>
          <w:p w14:paraId="41D2F0CC" w14:textId="77777777" w:rsidR="008715BE" w:rsidRPr="00EC75B7" w:rsidRDefault="008715BE">
            <w:pPr>
              <w:pStyle w:val="TableParagraph"/>
              <w:spacing w:before="4"/>
              <w:rPr>
                <w:rFonts w:ascii="Verdana" w:hAnsi="Verdana"/>
                <w:b/>
                <w:sz w:val="18"/>
                <w:szCs w:val="18"/>
              </w:rPr>
            </w:pPr>
          </w:p>
          <w:p w14:paraId="546CA23E"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0B605F89" w14:textId="77777777">
        <w:trPr>
          <w:trHeight w:val="2332"/>
        </w:trPr>
        <w:tc>
          <w:tcPr>
            <w:tcW w:w="554" w:type="dxa"/>
          </w:tcPr>
          <w:p w14:paraId="16A5247C" w14:textId="77777777" w:rsidR="008715BE" w:rsidRPr="00EC75B7" w:rsidRDefault="008715BE">
            <w:pPr>
              <w:pStyle w:val="TableParagraph"/>
              <w:rPr>
                <w:rFonts w:ascii="Verdana" w:hAnsi="Verdana"/>
                <w:b/>
                <w:sz w:val="18"/>
                <w:szCs w:val="18"/>
              </w:rPr>
            </w:pPr>
          </w:p>
          <w:p w14:paraId="58757061" w14:textId="77777777" w:rsidR="008715BE" w:rsidRPr="00EC75B7" w:rsidRDefault="008715BE">
            <w:pPr>
              <w:pStyle w:val="TableParagraph"/>
              <w:rPr>
                <w:rFonts w:ascii="Verdana" w:hAnsi="Verdana"/>
                <w:b/>
                <w:sz w:val="18"/>
                <w:szCs w:val="18"/>
              </w:rPr>
            </w:pPr>
          </w:p>
          <w:p w14:paraId="2C651015" w14:textId="77777777" w:rsidR="008715BE" w:rsidRPr="00EC75B7" w:rsidRDefault="008715BE">
            <w:pPr>
              <w:pStyle w:val="TableParagraph"/>
              <w:rPr>
                <w:rFonts w:ascii="Verdana" w:hAnsi="Verdana"/>
                <w:b/>
                <w:sz w:val="18"/>
                <w:szCs w:val="18"/>
              </w:rPr>
            </w:pPr>
          </w:p>
          <w:p w14:paraId="3C26BD1C" w14:textId="77777777" w:rsidR="008715BE" w:rsidRPr="00EC75B7" w:rsidRDefault="008715BE">
            <w:pPr>
              <w:pStyle w:val="TableParagraph"/>
              <w:rPr>
                <w:rFonts w:ascii="Verdana" w:hAnsi="Verdana"/>
                <w:b/>
                <w:sz w:val="18"/>
                <w:szCs w:val="18"/>
              </w:rPr>
            </w:pPr>
          </w:p>
          <w:p w14:paraId="3531BFF4" w14:textId="77777777" w:rsidR="008715BE" w:rsidRPr="00EC75B7" w:rsidRDefault="008715BE">
            <w:pPr>
              <w:pStyle w:val="TableParagraph"/>
              <w:spacing w:before="102"/>
              <w:rPr>
                <w:rFonts w:ascii="Verdana" w:hAnsi="Verdana"/>
                <w:b/>
                <w:sz w:val="18"/>
                <w:szCs w:val="18"/>
              </w:rPr>
            </w:pPr>
          </w:p>
          <w:p w14:paraId="509DB2E1"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M10</w:t>
            </w:r>
          </w:p>
        </w:tc>
        <w:tc>
          <w:tcPr>
            <w:tcW w:w="9161" w:type="dxa"/>
          </w:tcPr>
          <w:p w14:paraId="4CE44744" w14:textId="77777777" w:rsidR="008715BE" w:rsidRPr="00EC75B7" w:rsidRDefault="008715BE">
            <w:pPr>
              <w:pStyle w:val="TableParagraph"/>
              <w:rPr>
                <w:rFonts w:ascii="Verdana" w:hAnsi="Verdana"/>
                <w:b/>
                <w:sz w:val="18"/>
                <w:szCs w:val="18"/>
              </w:rPr>
            </w:pPr>
          </w:p>
          <w:p w14:paraId="6C8EDA43" w14:textId="77777777" w:rsidR="008715BE" w:rsidRPr="00EC75B7" w:rsidRDefault="008715BE">
            <w:pPr>
              <w:pStyle w:val="TableParagraph"/>
              <w:rPr>
                <w:rFonts w:ascii="Verdana" w:hAnsi="Verdana"/>
                <w:b/>
                <w:sz w:val="18"/>
                <w:szCs w:val="18"/>
              </w:rPr>
            </w:pPr>
          </w:p>
          <w:p w14:paraId="3F581F05" w14:textId="77777777" w:rsidR="008715BE" w:rsidRPr="00EC75B7" w:rsidRDefault="008715BE">
            <w:pPr>
              <w:pStyle w:val="TableParagraph"/>
              <w:rPr>
                <w:rFonts w:ascii="Verdana" w:hAnsi="Verdana"/>
                <w:b/>
                <w:sz w:val="18"/>
                <w:szCs w:val="18"/>
              </w:rPr>
            </w:pPr>
          </w:p>
          <w:p w14:paraId="32AAE533" w14:textId="77777777" w:rsidR="008715BE" w:rsidRPr="00EC75B7" w:rsidRDefault="008715BE">
            <w:pPr>
              <w:pStyle w:val="TableParagraph"/>
              <w:rPr>
                <w:rFonts w:ascii="Verdana" w:hAnsi="Verdana"/>
                <w:b/>
                <w:sz w:val="18"/>
                <w:szCs w:val="18"/>
              </w:rPr>
            </w:pPr>
          </w:p>
          <w:p w14:paraId="61279BF5" w14:textId="77777777" w:rsidR="008715BE" w:rsidRPr="00EC75B7" w:rsidRDefault="008715BE">
            <w:pPr>
              <w:pStyle w:val="TableParagraph"/>
              <w:spacing w:before="3"/>
              <w:rPr>
                <w:rFonts w:ascii="Verdana" w:hAnsi="Verdana"/>
                <w:b/>
                <w:sz w:val="18"/>
                <w:szCs w:val="18"/>
              </w:rPr>
            </w:pPr>
          </w:p>
          <w:p w14:paraId="4796FC51"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Use of machinery and equipment to carry out the work that produces a minimum level of noise and vibration, is efficient, low-polluting, and quiet, so that wildlife species are not affected.</w:t>
            </w:r>
          </w:p>
        </w:tc>
        <w:tc>
          <w:tcPr>
            <w:tcW w:w="962" w:type="dxa"/>
          </w:tcPr>
          <w:p w14:paraId="065A8200" w14:textId="77777777" w:rsidR="008715BE" w:rsidRPr="00EC75B7" w:rsidRDefault="008715BE">
            <w:pPr>
              <w:pStyle w:val="TableParagraph"/>
              <w:rPr>
                <w:rFonts w:ascii="Verdana" w:hAnsi="Verdana"/>
                <w:b/>
                <w:sz w:val="18"/>
                <w:szCs w:val="18"/>
              </w:rPr>
            </w:pPr>
          </w:p>
          <w:p w14:paraId="5939F3EB" w14:textId="77777777" w:rsidR="008715BE" w:rsidRPr="00EC75B7" w:rsidRDefault="008715BE">
            <w:pPr>
              <w:pStyle w:val="TableParagraph"/>
              <w:rPr>
                <w:rFonts w:ascii="Verdana" w:hAnsi="Verdana"/>
                <w:b/>
                <w:sz w:val="18"/>
                <w:szCs w:val="18"/>
              </w:rPr>
            </w:pPr>
          </w:p>
          <w:p w14:paraId="1F4F67DF" w14:textId="77777777" w:rsidR="008715BE" w:rsidRPr="00EC75B7" w:rsidRDefault="008715BE">
            <w:pPr>
              <w:pStyle w:val="TableParagraph"/>
              <w:rPr>
                <w:rFonts w:ascii="Verdana" w:hAnsi="Verdana"/>
                <w:b/>
                <w:sz w:val="18"/>
                <w:szCs w:val="18"/>
              </w:rPr>
            </w:pPr>
          </w:p>
          <w:p w14:paraId="4450A643" w14:textId="77777777" w:rsidR="008715BE" w:rsidRPr="00EC75B7" w:rsidRDefault="008715BE">
            <w:pPr>
              <w:pStyle w:val="TableParagraph"/>
              <w:rPr>
                <w:rFonts w:ascii="Verdana" w:hAnsi="Verdana"/>
                <w:b/>
                <w:sz w:val="18"/>
                <w:szCs w:val="18"/>
              </w:rPr>
            </w:pPr>
          </w:p>
          <w:p w14:paraId="6507206B" w14:textId="77777777" w:rsidR="008715BE" w:rsidRPr="00EC75B7" w:rsidRDefault="008715BE">
            <w:pPr>
              <w:pStyle w:val="TableParagraph"/>
              <w:spacing w:before="102"/>
              <w:rPr>
                <w:rFonts w:ascii="Verdana" w:hAnsi="Verdana"/>
                <w:b/>
                <w:sz w:val="18"/>
                <w:szCs w:val="18"/>
              </w:rPr>
            </w:pPr>
          </w:p>
          <w:p w14:paraId="5D739F08"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37A8E0E8"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64C8E671"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and mammals*** in </w:t>
            </w:r>
            <w:r w:rsidRPr="00EC75B7">
              <w:rPr>
                <w:rFonts w:ascii="Verdana" w:hAnsi="Verdana"/>
                <w:spacing w:val="-2"/>
                <w:sz w:val="18"/>
                <w:szCs w:val="18"/>
              </w:rPr>
              <w:t>ROSCI0071, ROSCI0157, ROSPA0166, ROSPA0036, ROSPA0094, BG0000569,</w:t>
            </w:r>
          </w:p>
          <w:p w14:paraId="0A3D65CE" w14:textId="77777777" w:rsidR="008715BE" w:rsidRPr="00EC75B7" w:rsidRDefault="00000000">
            <w:pPr>
              <w:pStyle w:val="TableParagraph"/>
              <w:spacing w:line="158"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707740C3" w14:textId="77777777" w:rsidR="008715BE" w:rsidRPr="00EC75B7" w:rsidRDefault="008715BE">
            <w:pPr>
              <w:pStyle w:val="TableParagraph"/>
              <w:rPr>
                <w:rFonts w:ascii="Verdana" w:hAnsi="Verdana"/>
                <w:b/>
                <w:sz w:val="18"/>
                <w:szCs w:val="18"/>
              </w:rPr>
            </w:pPr>
          </w:p>
          <w:p w14:paraId="29FC6A22" w14:textId="77777777" w:rsidR="008715BE" w:rsidRPr="00EC75B7" w:rsidRDefault="008715BE">
            <w:pPr>
              <w:pStyle w:val="TableParagraph"/>
              <w:rPr>
                <w:rFonts w:ascii="Verdana" w:hAnsi="Verdana"/>
                <w:b/>
                <w:sz w:val="18"/>
                <w:szCs w:val="18"/>
              </w:rPr>
            </w:pPr>
          </w:p>
          <w:p w14:paraId="53806667" w14:textId="77777777" w:rsidR="008715BE" w:rsidRPr="00EC75B7" w:rsidRDefault="008715BE">
            <w:pPr>
              <w:pStyle w:val="TableParagraph"/>
              <w:spacing w:before="5"/>
              <w:rPr>
                <w:rFonts w:ascii="Verdana" w:hAnsi="Verdana"/>
                <w:b/>
                <w:sz w:val="18"/>
                <w:szCs w:val="18"/>
              </w:rPr>
            </w:pPr>
          </w:p>
          <w:p w14:paraId="7FE56544"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1E6AD878" w14:textId="77777777" w:rsidR="008715BE" w:rsidRPr="00EC75B7" w:rsidRDefault="008715BE">
            <w:pPr>
              <w:pStyle w:val="TableParagraph"/>
              <w:rPr>
                <w:rFonts w:ascii="Verdana" w:hAnsi="Verdana"/>
                <w:b/>
                <w:sz w:val="18"/>
                <w:szCs w:val="18"/>
              </w:rPr>
            </w:pPr>
          </w:p>
          <w:p w14:paraId="03FF2354" w14:textId="77777777" w:rsidR="008715BE" w:rsidRPr="00EC75B7" w:rsidRDefault="008715BE">
            <w:pPr>
              <w:pStyle w:val="TableParagraph"/>
              <w:rPr>
                <w:rFonts w:ascii="Verdana" w:hAnsi="Verdana"/>
                <w:b/>
                <w:sz w:val="18"/>
                <w:szCs w:val="18"/>
              </w:rPr>
            </w:pPr>
          </w:p>
          <w:p w14:paraId="6DFAF5AD" w14:textId="77777777" w:rsidR="008715BE" w:rsidRPr="00EC75B7" w:rsidRDefault="008715BE">
            <w:pPr>
              <w:pStyle w:val="TableParagraph"/>
              <w:rPr>
                <w:rFonts w:ascii="Verdana" w:hAnsi="Verdana"/>
                <w:b/>
                <w:sz w:val="18"/>
                <w:szCs w:val="18"/>
              </w:rPr>
            </w:pPr>
          </w:p>
          <w:p w14:paraId="4FAFD579" w14:textId="77777777" w:rsidR="008715BE" w:rsidRPr="00EC75B7" w:rsidRDefault="008715BE">
            <w:pPr>
              <w:pStyle w:val="TableParagraph"/>
              <w:rPr>
                <w:rFonts w:ascii="Verdana" w:hAnsi="Verdana"/>
                <w:b/>
                <w:sz w:val="18"/>
                <w:szCs w:val="18"/>
              </w:rPr>
            </w:pPr>
          </w:p>
          <w:p w14:paraId="279D64E4" w14:textId="77777777" w:rsidR="008715BE" w:rsidRPr="00EC75B7" w:rsidRDefault="008715BE">
            <w:pPr>
              <w:pStyle w:val="TableParagraph"/>
              <w:spacing w:before="102"/>
              <w:rPr>
                <w:rFonts w:ascii="Verdana" w:hAnsi="Verdana"/>
                <w:b/>
                <w:sz w:val="18"/>
                <w:szCs w:val="18"/>
              </w:rPr>
            </w:pPr>
          </w:p>
          <w:p w14:paraId="5C3441D0"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5"/>
                <w:sz w:val="18"/>
                <w:szCs w:val="18"/>
              </w:rPr>
              <w:t>PAS</w:t>
            </w:r>
          </w:p>
        </w:tc>
        <w:tc>
          <w:tcPr>
            <w:tcW w:w="2802" w:type="dxa"/>
          </w:tcPr>
          <w:p w14:paraId="5BCDB13C" w14:textId="77777777" w:rsidR="008715BE" w:rsidRPr="00EC75B7" w:rsidRDefault="008715BE">
            <w:pPr>
              <w:pStyle w:val="TableParagraph"/>
              <w:rPr>
                <w:rFonts w:ascii="Verdana" w:hAnsi="Verdana"/>
                <w:b/>
                <w:sz w:val="18"/>
                <w:szCs w:val="18"/>
              </w:rPr>
            </w:pPr>
          </w:p>
          <w:p w14:paraId="7D15417B" w14:textId="77777777" w:rsidR="008715BE" w:rsidRPr="00EC75B7" w:rsidRDefault="008715BE">
            <w:pPr>
              <w:pStyle w:val="TableParagraph"/>
              <w:rPr>
                <w:rFonts w:ascii="Verdana" w:hAnsi="Verdana"/>
                <w:b/>
                <w:sz w:val="18"/>
                <w:szCs w:val="18"/>
              </w:rPr>
            </w:pPr>
          </w:p>
          <w:p w14:paraId="337E0119" w14:textId="77777777" w:rsidR="008715BE" w:rsidRPr="00EC75B7" w:rsidRDefault="008715BE">
            <w:pPr>
              <w:pStyle w:val="TableParagraph"/>
              <w:rPr>
                <w:rFonts w:ascii="Verdana" w:hAnsi="Verdana"/>
                <w:b/>
                <w:sz w:val="18"/>
                <w:szCs w:val="18"/>
              </w:rPr>
            </w:pPr>
          </w:p>
          <w:p w14:paraId="03FCE7D7" w14:textId="77777777" w:rsidR="008715BE" w:rsidRPr="00EC75B7" w:rsidRDefault="008715BE">
            <w:pPr>
              <w:pStyle w:val="TableParagraph"/>
              <w:rPr>
                <w:rFonts w:ascii="Verdana" w:hAnsi="Verdana"/>
                <w:b/>
                <w:sz w:val="18"/>
                <w:szCs w:val="18"/>
              </w:rPr>
            </w:pPr>
          </w:p>
          <w:p w14:paraId="1856C8B9" w14:textId="77777777" w:rsidR="008715BE" w:rsidRPr="00EC75B7" w:rsidRDefault="008715BE">
            <w:pPr>
              <w:pStyle w:val="TableParagraph"/>
              <w:spacing w:before="102"/>
              <w:rPr>
                <w:rFonts w:ascii="Verdana" w:hAnsi="Verdana"/>
                <w:b/>
                <w:sz w:val="18"/>
                <w:szCs w:val="18"/>
              </w:rPr>
            </w:pPr>
          </w:p>
          <w:p w14:paraId="545F1BBA" w14:textId="77777777" w:rsidR="008715BE" w:rsidRPr="00EC75B7" w:rsidRDefault="00000000">
            <w:pPr>
              <w:pStyle w:val="TableParagraph"/>
              <w:ind w:left="21"/>
              <w:jc w:val="center"/>
              <w:rPr>
                <w:rFonts w:ascii="Verdana" w:hAnsi="Verdana"/>
                <w:sz w:val="18"/>
                <w:szCs w:val="18"/>
              </w:rPr>
            </w:pPr>
            <w:r w:rsidRPr="00EC75B7">
              <w:rPr>
                <w:rFonts w:ascii="Verdana" w:hAnsi="Verdana"/>
                <w:spacing w:val="-2"/>
                <w:sz w:val="18"/>
                <w:szCs w:val="18"/>
              </w:rPr>
              <w:t>Construction/Operation/Decommissioning</w:t>
            </w:r>
          </w:p>
        </w:tc>
        <w:tc>
          <w:tcPr>
            <w:tcW w:w="2608" w:type="dxa"/>
          </w:tcPr>
          <w:p w14:paraId="5FB78316" w14:textId="77777777" w:rsidR="008715BE" w:rsidRPr="00EC75B7" w:rsidRDefault="008715BE">
            <w:pPr>
              <w:pStyle w:val="TableParagraph"/>
              <w:rPr>
                <w:rFonts w:ascii="Verdana" w:hAnsi="Verdana"/>
                <w:b/>
                <w:sz w:val="18"/>
                <w:szCs w:val="18"/>
              </w:rPr>
            </w:pPr>
          </w:p>
          <w:p w14:paraId="1E2CDF00" w14:textId="77777777" w:rsidR="008715BE" w:rsidRPr="00EC75B7" w:rsidRDefault="008715BE">
            <w:pPr>
              <w:pStyle w:val="TableParagraph"/>
              <w:rPr>
                <w:rFonts w:ascii="Verdana" w:hAnsi="Verdana"/>
                <w:b/>
                <w:sz w:val="18"/>
                <w:szCs w:val="18"/>
              </w:rPr>
            </w:pPr>
          </w:p>
          <w:p w14:paraId="3A73CE14" w14:textId="77777777" w:rsidR="008715BE" w:rsidRPr="00EC75B7" w:rsidRDefault="008715BE">
            <w:pPr>
              <w:pStyle w:val="TableParagraph"/>
              <w:rPr>
                <w:rFonts w:ascii="Verdana" w:hAnsi="Verdana"/>
                <w:b/>
                <w:sz w:val="18"/>
                <w:szCs w:val="18"/>
              </w:rPr>
            </w:pPr>
          </w:p>
          <w:p w14:paraId="07B5AF42" w14:textId="77777777" w:rsidR="008715BE" w:rsidRPr="00EC75B7" w:rsidRDefault="008715BE">
            <w:pPr>
              <w:pStyle w:val="TableParagraph"/>
              <w:rPr>
                <w:rFonts w:ascii="Verdana" w:hAnsi="Verdana"/>
                <w:b/>
                <w:sz w:val="18"/>
                <w:szCs w:val="18"/>
              </w:rPr>
            </w:pPr>
          </w:p>
          <w:p w14:paraId="60113038" w14:textId="77777777" w:rsidR="008715BE" w:rsidRPr="00EC75B7" w:rsidRDefault="008715BE">
            <w:pPr>
              <w:pStyle w:val="TableParagraph"/>
              <w:spacing w:before="3"/>
              <w:rPr>
                <w:rFonts w:ascii="Verdana" w:hAnsi="Verdana"/>
                <w:b/>
                <w:sz w:val="18"/>
                <w:szCs w:val="18"/>
              </w:rPr>
            </w:pPr>
          </w:p>
          <w:p w14:paraId="0E73CBDC"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7B0AC425" w14:textId="77777777">
        <w:trPr>
          <w:trHeight w:val="2335"/>
        </w:trPr>
        <w:tc>
          <w:tcPr>
            <w:tcW w:w="554" w:type="dxa"/>
          </w:tcPr>
          <w:p w14:paraId="0B3DCF7B" w14:textId="77777777" w:rsidR="008715BE" w:rsidRPr="00EC75B7" w:rsidRDefault="008715BE">
            <w:pPr>
              <w:pStyle w:val="TableParagraph"/>
              <w:rPr>
                <w:rFonts w:ascii="Verdana" w:hAnsi="Verdana"/>
                <w:b/>
                <w:sz w:val="18"/>
                <w:szCs w:val="18"/>
              </w:rPr>
            </w:pPr>
          </w:p>
          <w:p w14:paraId="5D4D6AD0" w14:textId="77777777" w:rsidR="008715BE" w:rsidRPr="00EC75B7" w:rsidRDefault="008715BE">
            <w:pPr>
              <w:pStyle w:val="TableParagraph"/>
              <w:rPr>
                <w:rFonts w:ascii="Verdana" w:hAnsi="Verdana"/>
                <w:b/>
                <w:sz w:val="18"/>
                <w:szCs w:val="18"/>
              </w:rPr>
            </w:pPr>
          </w:p>
          <w:p w14:paraId="7E079230" w14:textId="77777777" w:rsidR="008715BE" w:rsidRPr="00EC75B7" w:rsidRDefault="008715BE">
            <w:pPr>
              <w:pStyle w:val="TableParagraph"/>
              <w:rPr>
                <w:rFonts w:ascii="Verdana" w:hAnsi="Verdana"/>
                <w:b/>
                <w:sz w:val="18"/>
                <w:szCs w:val="18"/>
              </w:rPr>
            </w:pPr>
          </w:p>
          <w:p w14:paraId="03803979" w14:textId="77777777" w:rsidR="008715BE" w:rsidRPr="00EC75B7" w:rsidRDefault="008715BE">
            <w:pPr>
              <w:pStyle w:val="TableParagraph"/>
              <w:rPr>
                <w:rFonts w:ascii="Verdana" w:hAnsi="Verdana"/>
                <w:b/>
                <w:sz w:val="18"/>
                <w:szCs w:val="18"/>
              </w:rPr>
            </w:pPr>
          </w:p>
          <w:p w14:paraId="69297826" w14:textId="77777777" w:rsidR="008715BE" w:rsidRPr="00EC75B7" w:rsidRDefault="008715BE">
            <w:pPr>
              <w:pStyle w:val="TableParagraph"/>
              <w:spacing w:before="102"/>
              <w:rPr>
                <w:rFonts w:ascii="Verdana" w:hAnsi="Verdana"/>
                <w:b/>
                <w:sz w:val="18"/>
                <w:szCs w:val="18"/>
              </w:rPr>
            </w:pPr>
          </w:p>
          <w:p w14:paraId="76F3358C"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M11</w:t>
            </w:r>
          </w:p>
        </w:tc>
        <w:tc>
          <w:tcPr>
            <w:tcW w:w="9161" w:type="dxa"/>
          </w:tcPr>
          <w:p w14:paraId="6B5A43B4" w14:textId="77777777" w:rsidR="008715BE" w:rsidRPr="00EC75B7" w:rsidRDefault="008715BE">
            <w:pPr>
              <w:pStyle w:val="TableParagraph"/>
              <w:rPr>
                <w:rFonts w:ascii="Verdana" w:hAnsi="Verdana"/>
                <w:b/>
                <w:sz w:val="18"/>
                <w:szCs w:val="18"/>
              </w:rPr>
            </w:pPr>
          </w:p>
          <w:p w14:paraId="00E4365F" w14:textId="77777777" w:rsidR="008715BE" w:rsidRPr="00EC75B7" w:rsidRDefault="008715BE">
            <w:pPr>
              <w:pStyle w:val="TableParagraph"/>
              <w:rPr>
                <w:rFonts w:ascii="Verdana" w:hAnsi="Verdana"/>
                <w:b/>
                <w:sz w:val="18"/>
                <w:szCs w:val="18"/>
              </w:rPr>
            </w:pPr>
          </w:p>
          <w:p w14:paraId="4E06963B" w14:textId="77777777" w:rsidR="008715BE" w:rsidRPr="00EC75B7" w:rsidRDefault="008715BE">
            <w:pPr>
              <w:pStyle w:val="TableParagraph"/>
              <w:rPr>
                <w:rFonts w:ascii="Verdana" w:hAnsi="Verdana"/>
                <w:b/>
                <w:sz w:val="18"/>
                <w:szCs w:val="18"/>
              </w:rPr>
            </w:pPr>
          </w:p>
          <w:p w14:paraId="6DBE265B" w14:textId="77777777" w:rsidR="008715BE" w:rsidRPr="00EC75B7" w:rsidRDefault="008715BE">
            <w:pPr>
              <w:pStyle w:val="TableParagraph"/>
              <w:rPr>
                <w:rFonts w:ascii="Verdana" w:hAnsi="Verdana"/>
                <w:b/>
                <w:sz w:val="18"/>
                <w:szCs w:val="18"/>
              </w:rPr>
            </w:pPr>
          </w:p>
          <w:p w14:paraId="32D25CF5" w14:textId="77777777" w:rsidR="008715BE" w:rsidRPr="00EC75B7" w:rsidRDefault="008715BE">
            <w:pPr>
              <w:pStyle w:val="TableParagraph"/>
              <w:spacing w:before="6"/>
              <w:rPr>
                <w:rFonts w:ascii="Verdana" w:hAnsi="Verdana"/>
                <w:b/>
                <w:sz w:val="18"/>
                <w:szCs w:val="18"/>
              </w:rPr>
            </w:pPr>
          </w:p>
          <w:p w14:paraId="4B44EC0F"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Topsoil or fertile soil resulting from excavations will be properly stored and protected, then reused. Restoration of the vegetation layer in temporarily occupied areas.</w:t>
            </w:r>
          </w:p>
        </w:tc>
        <w:tc>
          <w:tcPr>
            <w:tcW w:w="962" w:type="dxa"/>
          </w:tcPr>
          <w:p w14:paraId="2E20D91C" w14:textId="77777777" w:rsidR="008715BE" w:rsidRPr="00EC75B7" w:rsidRDefault="008715BE">
            <w:pPr>
              <w:pStyle w:val="TableParagraph"/>
              <w:rPr>
                <w:rFonts w:ascii="Verdana" w:hAnsi="Verdana"/>
                <w:b/>
                <w:sz w:val="18"/>
                <w:szCs w:val="18"/>
              </w:rPr>
            </w:pPr>
          </w:p>
          <w:p w14:paraId="3D35E2F6" w14:textId="77777777" w:rsidR="008715BE" w:rsidRPr="00EC75B7" w:rsidRDefault="008715BE">
            <w:pPr>
              <w:pStyle w:val="TableParagraph"/>
              <w:rPr>
                <w:rFonts w:ascii="Verdana" w:hAnsi="Verdana"/>
                <w:b/>
                <w:sz w:val="18"/>
                <w:szCs w:val="18"/>
              </w:rPr>
            </w:pPr>
          </w:p>
          <w:p w14:paraId="5750BE66" w14:textId="77777777" w:rsidR="008715BE" w:rsidRPr="00EC75B7" w:rsidRDefault="008715BE">
            <w:pPr>
              <w:pStyle w:val="TableParagraph"/>
              <w:rPr>
                <w:rFonts w:ascii="Verdana" w:hAnsi="Verdana"/>
                <w:b/>
                <w:sz w:val="18"/>
                <w:szCs w:val="18"/>
              </w:rPr>
            </w:pPr>
          </w:p>
          <w:p w14:paraId="4FA53063" w14:textId="77777777" w:rsidR="008715BE" w:rsidRPr="00EC75B7" w:rsidRDefault="008715BE">
            <w:pPr>
              <w:pStyle w:val="TableParagraph"/>
              <w:rPr>
                <w:rFonts w:ascii="Verdana" w:hAnsi="Verdana"/>
                <w:b/>
                <w:sz w:val="18"/>
                <w:szCs w:val="18"/>
              </w:rPr>
            </w:pPr>
          </w:p>
          <w:p w14:paraId="0F3E1DEF" w14:textId="77777777" w:rsidR="008715BE" w:rsidRPr="00EC75B7" w:rsidRDefault="008715BE">
            <w:pPr>
              <w:pStyle w:val="TableParagraph"/>
              <w:spacing w:before="102"/>
              <w:rPr>
                <w:rFonts w:ascii="Verdana" w:hAnsi="Verdana"/>
                <w:b/>
                <w:sz w:val="18"/>
                <w:szCs w:val="18"/>
              </w:rPr>
            </w:pPr>
          </w:p>
          <w:p w14:paraId="5D0F16BD"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26E8445A" w14:textId="77777777" w:rsidR="008715BE" w:rsidRPr="00EC75B7" w:rsidRDefault="00000000">
            <w:pPr>
              <w:pStyle w:val="TableParagraph"/>
              <w:spacing w:before="11"/>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3792F58E"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1BE31FA8" w14:textId="77777777" w:rsidR="008715BE" w:rsidRPr="00EC75B7" w:rsidRDefault="00000000">
            <w:pPr>
              <w:pStyle w:val="TableParagraph"/>
              <w:spacing w:line="157"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7342260D" w14:textId="77777777" w:rsidR="008715BE" w:rsidRPr="00EC75B7" w:rsidRDefault="008715BE">
            <w:pPr>
              <w:pStyle w:val="TableParagraph"/>
              <w:rPr>
                <w:rFonts w:ascii="Verdana" w:hAnsi="Verdana"/>
                <w:b/>
                <w:sz w:val="18"/>
                <w:szCs w:val="18"/>
              </w:rPr>
            </w:pPr>
          </w:p>
          <w:p w14:paraId="4BBABF80" w14:textId="77777777" w:rsidR="008715BE" w:rsidRPr="00EC75B7" w:rsidRDefault="008715BE">
            <w:pPr>
              <w:pStyle w:val="TableParagraph"/>
              <w:rPr>
                <w:rFonts w:ascii="Verdana" w:hAnsi="Verdana"/>
                <w:b/>
                <w:sz w:val="18"/>
                <w:szCs w:val="18"/>
              </w:rPr>
            </w:pPr>
          </w:p>
          <w:p w14:paraId="5651783A" w14:textId="77777777" w:rsidR="008715BE" w:rsidRPr="00EC75B7" w:rsidRDefault="008715BE">
            <w:pPr>
              <w:pStyle w:val="TableParagraph"/>
              <w:spacing w:before="8"/>
              <w:rPr>
                <w:rFonts w:ascii="Verdana" w:hAnsi="Verdana"/>
                <w:b/>
                <w:sz w:val="18"/>
                <w:szCs w:val="18"/>
              </w:rPr>
            </w:pPr>
          </w:p>
          <w:p w14:paraId="0E7E2409" w14:textId="77777777" w:rsidR="008715BE" w:rsidRPr="00EC75B7" w:rsidRDefault="00000000">
            <w:pPr>
              <w:pStyle w:val="TableParagraph"/>
              <w:ind w:left="211" w:right="196" w:hanging="1"/>
              <w:jc w:val="center"/>
              <w:rPr>
                <w:rFonts w:ascii="Verdana" w:hAnsi="Verdana"/>
                <w:sz w:val="18"/>
                <w:szCs w:val="18"/>
              </w:rPr>
            </w:pPr>
            <w:r w:rsidRPr="00EC75B7">
              <w:rPr>
                <w:rFonts w:ascii="Verdana" w:hAnsi="Verdana"/>
                <w:spacing w:val="-2"/>
                <w:sz w:val="18"/>
                <w:szCs w:val="18"/>
              </w:rPr>
              <w:t>Population trends for each species Habitat area</w:t>
            </w:r>
          </w:p>
        </w:tc>
        <w:tc>
          <w:tcPr>
            <w:tcW w:w="1619" w:type="dxa"/>
          </w:tcPr>
          <w:p w14:paraId="18393461" w14:textId="77777777" w:rsidR="008715BE" w:rsidRPr="00EC75B7" w:rsidRDefault="008715BE">
            <w:pPr>
              <w:pStyle w:val="TableParagraph"/>
              <w:rPr>
                <w:rFonts w:ascii="Verdana" w:hAnsi="Verdana"/>
                <w:b/>
                <w:sz w:val="18"/>
                <w:szCs w:val="18"/>
              </w:rPr>
            </w:pPr>
          </w:p>
          <w:p w14:paraId="659B2F2C" w14:textId="77777777" w:rsidR="008715BE" w:rsidRPr="00EC75B7" w:rsidRDefault="008715BE">
            <w:pPr>
              <w:pStyle w:val="TableParagraph"/>
              <w:rPr>
                <w:rFonts w:ascii="Verdana" w:hAnsi="Verdana"/>
                <w:b/>
                <w:sz w:val="18"/>
                <w:szCs w:val="18"/>
              </w:rPr>
            </w:pPr>
          </w:p>
          <w:p w14:paraId="0D6DA532" w14:textId="77777777" w:rsidR="008715BE" w:rsidRPr="00EC75B7" w:rsidRDefault="008715BE">
            <w:pPr>
              <w:pStyle w:val="TableParagraph"/>
              <w:rPr>
                <w:rFonts w:ascii="Verdana" w:hAnsi="Verdana"/>
                <w:b/>
                <w:sz w:val="18"/>
                <w:szCs w:val="18"/>
              </w:rPr>
            </w:pPr>
          </w:p>
          <w:p w14:paraId="42672C75" w14:textId="77777777" w:rsidR="008715BE" w:rsidRPr="00EC75B7" w:rsidRDefault="008715BE">
            <w:pPr>
              <w:pStyle w:val="TableParagraph"/>
              <w:rPr>
                <w:rFonts w:ascii="Verdana" w:hAnsi="Verdana"/>
                <w:b/>
                <w:sz w:val="18"/>
                <w:szCs w:val="18"/>
              </w:rPr>
            </w:pPr>
          </w:p>
          <w:p w14:paraId="0B214E50" w14:textId="77777777" w:rsidR="008715BE" w:rsidRPr="00EC75B7" w:rsidRDefault="008715BE">
            <w:pPr>
              <w:pStyle w:val="TableParagraph"/>
              <w:spacing w:before="102"/>
              <w:rPr>
                <w:rFonts w:ascii="Verdana" w:hAnsi="Verdana"/>
                <w:b/>
                <w:sz w:val="18"/>
                <w:szCs w:val="18"/>
              </w:rPr>
            </w:pPr>
          </w:p>
          <w:p w14:paraId="17C60352" w14:textId="77777777" w:rsidR="008715BE" w:rsidRPr="00EC75B7" w:rsidRDefault="00000000">
            <w:pPr>
              <w:pStyle w:val="TableParagraph"/>
              <w:ind w:left="114" w:right="93"/>
              <w:jc w:val="center"/>
              <w:rPr>
                <w:rFonts w:ascii="Verdana" w:hAnsi="Verdana"/>
                <w:sz w:val="18"/>
                <w:szCs w:val="18"/>
              </w:rPr>
            </w:pPr>
            <w:r w:rsidRPr="00EC75B7">
              <w:rPr>
                <w:rFonts w:ascii="Verdana" w:hAnsi="Verdana"/>
                <w:spacing w:val="-2"/>
                <w:sz w:val="18"/>
                <w:szCs w:val="18"/>
              </w:rPr>
              <w:t>AH, PAS</w:t>
            </w:r>
          </w:p>
        </w:tc>
        <w:tc>
          <w:tcPr>
            <w:tcW w:w="2802" w:type="dxa"/>
          </w:tcPr>
          <w:p w14:paraId="227A135E" w14:textId="77777777" w:rsidR="008715BE" w:rsidRPr="00EC75B7" w:rsidRDefault="008715BE">
            <w:pPr>
              <w:pStyle w:val="TableParagraph"/>
              <w:rPr>
                <w:rFonts w:ascii="Verdana" w:hAnsi="Verdana"/>
                <w:b/>
                <w:sz w:val="18"/>
                <w:szCs w:val="18"/>
              </w:rPr>
            </w:pPr>
          </w:p>
          <w:p w14:paraId="4045C7ED" w14:textId="77777777" w:rsidR="008715BE" w:rsidRPr="00EC75B7" w:rsidRDefault="008715BE">
            <w:pPr>
              <w:pStyle w:val="TableParagraph"/>
              <w:rPr>
                <w:rFonts w:ascii="Verdana" w:hAnsi="Verdana"/>
                <w:b/>
                <w:sz w:val="18"/>
                <w:szCs w:val="18"/>
              </w:rPr>
            </w:pPr>
          </w:p>
          <w:p w14:paraId="5013B393" w14:textId="77777777" w:rsidR="008715BE" w:rsidRPr="00EC75B7" w:rsidRDefault="008715BE">
            <w:pPr>
              <w:pStyle w:val="TableParagraph"/>
              <w:rPr>
                <w:rFonts w:ascii="Verdana" w:hAnsi="Verdana"/>
                <w:b/>
                <w:sz w:val="18"/>
                <w:szCs w:val="18"/>
              </w:rPr>
            </w:pPr>
          </w:p>
          <w:p w14:paraId="1EDCFE7F" w14:textId="77777777" w:rsidR="008715BE" w:rsidRPr="00EC75B7" w:rsidRDefault="008715BE">
            <w:pPr>
              <w:pStyle w:val="TableParagraph"/>
              <w:rPr>
                <w:rFonts w:ascii="Verdana" w:hAnsi="Verdana"/>
                <w:b/>
                <w:sz w:val="18"/>
                <w:szCs w:val="18"/>
              </w:rPr>
            </w:pPr>
          </w:p>
          <w:p w14:paraId="1F1C1DCA" w14:textId="77777777" w:rsidR="008715BE" w:rsidRPr="00EC75B7" w:rsidRDefault="008715BE">
            <w:pPr>
              <w:pStyle w:val="TableParagraph"/>
              <w:spacing w:before="102"/>
              <w:rPr>
                <w:rFonts w:ascii="Verdana" w:hAnsi="Verdana"/>
                <w:b/>
                <w:sz w:val="18"/>
                <w:szCs w:val="18"/>
              </w:rPr>
            </w:pPr>
          </w:p>
          <w:p w14:paraId="14AF8515"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2C914109" w14:textId="77777777" w:rsidR="008715BE" w:rsidRPr="00EC75B7" w:rsidRDefault="008715BE">
            <w:pPr>
              <w:pStyle w:val="TableParagraph"/>
              <w:rPr>
                <w:rFonts w:ascii="Verdana" w:hAnsi="Verdana"/>
                <w:b/>
                <w:sz w:val="18"/>
                <w:szCs w:val="18"/>
              </w:rPr>
            </w:pPr>
          </w:p>
          <w:p w14:paraId="5B78B7E8" w14:textId="77777777" w:rsidR="008715BE" w:rsidRPr="00EC75B7" w:rsidRDefault="008715BE">
            <w:pPr>
              <w:pStyle w:val="TableParagraph"/>
              <w:rPr>
                <w:rFonts w:ascii="Verdana" w:hAnsi="Verdana"/>
                <w:b/>
                <w:sz w:val="18"/>
                <w:szCs w:val="18"/>
              </w:rPr>
            </w:pPr>
          </w:p>
          <w:p w14:paraId="41341D9E" w14:textId="77777777" w:rsidR="008715BE" w:rsidRPr="00EC75B7" w:rsidRDefault="008715BE">
            <w:pPr>
              <w:pStyle w:val="TableParagraph"/>
              <w:rPr>
                <w:rFonts w:ascii="Verdana" w:hAnsi="Verdana"/>
                <w:b/>
                <w:sz w:val="18"/>
                <w:szCs w:val="18"/>
              </w:rPr>
            </w:pPr>
          </w:p>
          <w:p w14:paraId="0761042E" w14:textId="77777777" w:rsidR="008715BE" w:rsidRPr="00EC75B7" w:rsidRDefault="008715BE">
            <w:pPr>
              <w:pStyle w:val="TableParagraph"/>
              <w:rPr>
                <w:rFonts w:ascii="Verdana" w:hAnsi="Verdana"/>
                <w:b/>
                <w:sz w:val="18"/>
                <w:szCs w:val="18"/>
              </w:rPr>
            </w:pPr>
          </w:p>
          <w:p w14:paraId="2FE9FAA8" w14:textId="77777777" w:rsidR="008715BE" w:rsidRPr="00EC75B7" w:rsidRDefault="008715BE">
            <w:pPr>
              <w:pStyle w:val="TableParagraph"/>
              <w:spacing w:before="6"/>
              <w:rPr>
                <w:rFonts w:ascii="Verdana" w:hAnsi="Verdana"/>
                <w:b/>
                <w:sz w:val="18"/>
                <w:szCs w:val="18"/>
              </w:rPr>
            </w:pPr>
          </w:p>
          <w:p w14:paraId="3E41BD5F"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784AB5B0" w14:textId="77777777">
        <w:trPr>
          <w:trHeight w:val="299"/>
        </w:trPr>
        <w:tc>
          <w:tcPr>
            <w:tcW w:w="20869" w:type="dxa"/>
            <w:gridSpan w:val="8"/>
            <w:shd w:val="clear" w:color="auto" w:fill="7BB455"/>
          </w:tcPr>
          <w:p w14:paraId="6713A917" w14:textId="77777777" w:rsidR="008715BE" w:rsidRPr="00EC75B7" w:rsidRDefault="00000000">
            <w:pPr>
              <w:pStyle w:val="TableParagraph"/>
              <w:spacing w:before="61"/>
              <w:ind w:left="18"/>
              <w:jc w:val="center"/>
              <w:rPr>
                <w:rFonts w:ascii="Verdana" w:hAnsi="Verdana"/>
                <w:b/>
                <w:sz w:val="18"/>
                <w:szCs w:val="18"/>
              </w:rPr>
            </w:pPr>
            <w:r w:rsidRPr="00EC75B7">
              <w:rPr>
                <w:rFonts w:ascii="Verdana" w:hAnsi="Verdana"/>
                <w:b/>
                <w:spacing w:val="-2"/>
                <w:sz w:val="18"/>
                <w:szCs w:val="18"/>
              </w:rPr>
              <w:t xml:space="preserve">SPECIFIC </w:t>
            </w:r>
            <w:r w:rsidRPr="00EC75B7">
              <w:rPr>
                <w:rFonts w:ascii="Verdana" w:hAnsi="Verdana"/>
                <w:b/>
                <w:sz w:val="18"/>
                <w:szCs w:val="18"/>
              </w:rPr>
              <w:t>MEASURES</w:t>
            </w:r>
          </w:p>
        </w:tc>
      </w:tr>
    </w:tbl>
    <w:p w14:paraId="65291513" w14:textId="77777777" w:rsidR="008715BE" w:rsidRPr="00EC75B7" w:rsidRDefault="008715BE">
      <w:pPr>
        <w:pStyle w:val="TableParagraph"/>
        <w:jc w:val="center"/>
        <w:rPr>
          <w:rFonts w:ascii="Verdana" w:hAnsi="Verdana"/>
          <w:b/>
          <w:sz w:val="18"/>
          <w:szCs w:val="18"/>
        </w:rPr>
        <w:sectPr w:rsidR="008715BE" w:rsidRPr="00EC75B7">
          <w:pgSz w:w="23820" w:h="16840" w:orient="landscape"/>
          <w:pgMar w:top="1160" w:right="1417" w:bottom="1020" w:left="850" w:header="766" w:footer="824" w:gutter="0"/>
          <w:cols w:space="708"/>
        </w:sectPr>
      </w:pPr>
    </w:p>
    <w:p w14:paraId="741A68B8" w14:textId="77777777" w:rsidR="008715BE" w:rsidRPr="00EC75B7" w:rsidRDefault="008715BE">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8715BE" w:rsidRPr="00EC75B7" w14:paraId="35DE5512" w14:textId="77777777">
        <w:trPr>
          <w:trHeight w:val="1202"/>
        </w:trPr>
        <w:tc>
          <w:tcPr>
            <w:tcW w:w="9715" w:type="dxa"/>
            <w:gridSpan w:val="2"/>
            <w:shd w:val="clear" w:color="auto" w:fill="00AFEF"/>
          </w:tcPr>
          <w:p w14:paraId="34304D7C" w14:textId="77777777" w:rsidR="008715BE" w:rsidRPr="00EC75B7" w:rsidRDefault="008715BE">
            <w:pPr>
              <w:pStyle w:val="TableParagraph"/>
              <w:rPr>
                <w:rFonts w:ascii="Verdana" w:hAnsi="Verdana"/>
                <w:b/>
                <w:sz w:val="18"/>
                <w:szCs w:val="18"/>
              </w:rPr>
            </w:pPr>
          </w:p>
          <w:p w14:paraId="3C196497" w14:textId="77777777" w:rsidR="008715BE" w:rsidRPr="00EC75B7" w:rsidRDefault="008715BE">
            <w:pPr>
              <w:pStyle w:val="TableParagraph"/>
              <w:spacing w:before="26"/>
              <w:rPr>
                <w:rFonts w:ascii="Verdana" w:hAnsi="Verdana"/>
                <w:b/>
                <w:sz w:val="18"/>
                <w:szCs w:val="18"/>
              </w:rPr>
            </w:pPr>
          </w:p>
          <w:p w14:paraId="3534C6D4" w14:textId="77777777" w:rsidR="008715BE" w:rsidRPr="00EC75B7" w:rsidRDefault="00000000">
            <w:pPr>
              <w:pStyle w:val="TableParagraph"/>
              <w:ind w:left="4440" w:right="4429" w:firstLine="4"/>
              <w:jc w:val="center"/>
              <w:rPr>
                <w:rFonts w:ascii="Verdana" w:hAnsi="Verdana"/>
                <w:b/>
                <w:sz w:val="18"/>
                <w:szCs w:val="18"/>
              </w:rPr>
            </w:pPr>
            <w:r w:rsidRPr="00EC75B7">
              <w:rPr>
                <w:rFonts w:ascii="Verdana" w:hAnsi="Verdana"/>
                <w:b/>
                <w:color w:val="FFFFFF"/>
                <w:sz w:val="18"/>
                <w:szCs w:val="18"/>
              </w:rPr>
              <w:t xml:space="preserve">Measure </w:t>
            </w:r>
            <w:r w:rsidRPr="00EC75B7">
              <w:rPr>
                <w:rFonts w:ascii="Verdana" w:hAnsi="Verdana"/>
                <w:b/>
                <w:color w:val="FFFFFF"/>
                <w:spacing w:val="-2"/>
                <w:sz w:val="18"/>
                <w:szCs w:val="18"/>
              </w:rPr>
              <w:t>description</w:t>
            </w:r>
          </w:p>
        </w:tc>
        <w:tc>
          <w:tcPr>
            <w:tcW w:w="962" w:type="dxa"/>
            <w:shd w:val="clear" w:color="auto" w:fill="00AFEF"/>
          </w:tcPr>
          <w:p w14:paraId="44BC81EA" w14:textId="77777777" w:rsidR="008715BE" w:rsidRPr="00EC75B7" w:rsidRDefault="008715BE">
            <w:pPr>
              <w:pStyle w:val="TableParagraph"/>
              <w:spacing w:before="122"/>
              <w:rPr>
                <w:rFonts w:ascii="Verdana" w:hAnsi="Verdana"/>
                <w:b/>
                <w:sz w:val="18"/>
                <w:szCs w:val="18"/>
              </w:rPr>
            </w:pPr>
          </w:p>
          <w:p w14:paraId="0ED0D21E"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4"/>
                <w:sz w:val="18"/>
                <w:szCs w:val="18"/>
              </w:rPr>
              <w:t xml:space="preserve">Type of </w:t>
            </w:r>
            <w:r w:rsidRPr="00EC75B7">
              <w:rPr>
                <w:rFonts w:ascii="Verdana" w:hAnsi="Verdana"/>
                <w:b/>
                <w:color w:val="FFFFFF"/>
                <w:spacing w:val="-2"/>
                <w:sz w:val="18"/>
                <w:szCs w:val="18"/>
              </w:rPr>
              <w:t>measure (P/E/R)</w:t>
            </w:r>
          </w:p>
        </w:tc>
        <w:tc>
          <w:tcPr>
            <w:tcW w:w="1890" w:type="dxa"/>
            <w:shd w:val="clear" w:color="auto" w:fill="00AFEF"/>
          </w:tcPr>
          <w:p w14:paraId="7C196FC8" w14:textId="77777777" w:rsidR="008715BE" w:rsidRPr="00EC75B7" w:rsidRDefault="008715BE">
            <w:pPr>
              <w:pStyle w:val="TableParagraph"/>
              <w:spacing w:before="122"/>
              <w:rPr>
                <w:rFonts w:ascii="Verdana" w:hAnsi="Verdana"/>
                <w:b/>
                <w:sz w:val="18"/>
                <w:szCs w:val="18"/>
              </w:rPr>
            </w:pPr>
          </w:p>
          <w:p w14:paraId="76E25645" w14:textId="77777777" w:rsidR="008715BE" w:rsidRPr="00EC75B7" w:rsidRDefault="00000000">
            <w:pPr>
              <w:pStyle w:val="TableParagraph"/>
              <w:ind w:left="522" w:right="86" w:firstLine="74"/>
              <w:rPr>
                <w:rFonts w:ascii="Verdana" w:hAnsi="Verdana"/>
                <w:b/>
                <w:sz w:val="18"/>
                <w:szCs w:val="18"/>
              </w:rPr>
            </w:pPr>
            <w:r w:rsidRPr="00EC75B7">
              <w:rPr>
                <w:rFonts w:ascii="Verdana" w:hAnsi="Verdana"/>
                <w:b/>
                <w:color w:val="FFFFFF"/>
                <w:spacing w:val="-2"/>
                <w:sz w:val="18"/>
                <w:szCs w:val="18"/>
              </w:rPr>
              <w:t>Affected species/habitat</w:t>
            </w:r>
          </w:p>
        </w:tc>
        <w:tc>
          <w:tcPr>
            <w:tcW w:w="1273" w:type="dxa"/>
            <w:shd w:val="clear" w:color="auto" w:fill="00AFEF"/>
          </w:tcPr>
          <w:p w14:paraId="641496C4" w14:textId="77777777" w:rsidR="008715BE" w:rsidRPr="00EC75B7" w:rsidRDefault="008715BE">
            <w:pPr>
              <w:pStyle w:val="TableParagraph"/>
              <w:spacing w:before="26"/>
              <w:rPr>
                <w:rFonts w:ascii="Verdana" w:hAnsi="Verdana"/>
                <w:b/>
                <w:sz w:val="18"/>
                <w:szCs w:val="18"/>
              </w:rPr>
            </w:pPr>
          </w:p>
          <w:p w14:paraId="04E8C73B"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2"/>
                <w:sz w:val="18"/>
                <w:szCs w:val="18"/>
              </w:rPr>
              <w:t xml:space="preserve">Parameter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1619" w:type="dxa"/>
            <w:shd w:val="clear" w:color="auto" w:fill="00AFEF"/>
          </w:tcPr>
          <w:p w14:paraId="712FD6BB" w14:textId="77777777" w:rsidR="008715BE" w:rsidRPr="00EC75B7" w:rsidRDefault="008715BE">
            <w:pPr>
              <w:pStyle w:val="TableParagraph"/>
              <w:spacing w:before="26"/>
              <w:rPr>
                <w:rFonts w:ascii="Verdana" w:hAnsi="Verdana"/>
                <w:b/>
                <w:sz w:val="18"/>
                <w:szCs w:val="18"/>
              </w:rPr>
            </w:pPr>
          </w:p>
          <w:p w14:paraId="534DBBE5" w14:textId="77777777" w:rsidR="008715BE" w:rsidRPr="00EC75B7" w:rsidRDefault="00000000">
            <w:pPr>
              <w:pStyle w:val="TableParagraph"/>
              <w:ind w:left="357" w:right="333"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2802" w:type="dxa"/>
            <w:shd w:val="clear" w:color="auto" w:fill="00AFEF"/>
          </w:tcPr>
          <w:p w14:paraId="682E12AF" w14:textId="77777777" w:rsidR="008715BE" w:rsidRPr="00EC75B7" w:rsidRDefault="008715BE">
            <w:pPr>
              <w:pStyle w:val="TableParagraph"/>
              <w:spacing w:before="122"/>
              <w:rPr>
                <w:rFonts w:ascii="Verdana" w:hAnsi="Verdana"/>
                <w:b/>
                <w:sz w:val="18"/>
                <w:szCs w:val="18"/>
              </w:rPr>
            </w:pPr>
          </w:p>
          <w:p w14:paraId="4A8FC340" w14:textId="77777777" w:rsidR="008715BE" w:rsidRPr="00EC75B7" w:rsidRDefault="00000000">
            <w:pPr>
              <w:pStyle w:val="TableParagraph"/>
              <w:ind w:left="771" w:right="750"/>
              <w:jc w:val="center"/>
              <w:rPr>
                <w:rFonts w:ascii="Verdana" w:hAnsi="Verdana"/>
                <w:b/>
                <w:sz w:val="18"/>
                <w:szCs w:val="18"/>
              </w:rPr>
            </w:pPr>
            <w:r w:rsidRPr="00EC75B7">
              <w:rPr>
                <w:rFonts w:ascii="Verdana" w:hAnsi="Verdana"/>
                <w:b/>
                <w:color w:val="FFFFFF"/>
                <w:sz w:val="18"/>
                <w:szCs w:val="18"/>
              </w:rPr>
              <w:t xml:space="preserve">Period of </w:t>
            </w:r>
            <w:r w:rsidRPr="00EC75B7">
              <w:rPr>
                <w:rFonts w:ascii="Verdana" w:hAnsi="Verdana"/>
                <w:b/>
                <w:color w:val="FFFFFF"/>
                <w:spacing w:val="-2"/>
                <w:sz w:val="18"/>
                <w:szCs w:val="18"/>
              </w:rPr>
              <w:t xml:space="preserve">implementation </w:t>
            </w:r>
            <w:r w:rsidRPr="00EC75B7">
              <w:rPr>
                <w:rFonts w:ascii="Verdana" w:hAnsi="Verdana"/>
                <w:b/>
                <w:color w:val="FFFFFF"/>
                <w:sz w:val="18"/>
                <w:szCs w:val="18"/>
              </w:rPr>
              <w:t>of the measure</w:t>
            </w:r>
          </w:p>
        </w:tc>
        <w:tc>
          <w:tcPr>
            <w:tcW w:w="2608" w:type="dxa"/>
            <w:shd w:val="clear" w:color="auto" w:fill="00AFEF"/>
          </w:tcPr>
          <w:p w14:paraId="08425BE0" w14:textId="77777777" w:rsidR="008715BE" w:rsidRPr="00EC75B7" w:rsidRDefault="008715BE">
            <w:pPr>
              <w:pStyle w:val="TableParagraph"/>
              <w:spacing w:before="122"/>
              <w:rPr>
                <w:rFonts w:ascii="Verdana" w:hAnsi="Verdana"/>
                <w:b/>
                <w:sz w:val="18"/>
                <w:szCs w:val="18"/>
              </w:rPr>
            </w:pPr>
          </w:p>
          <w:p w14:paraId="74CB49E2" w14:textId="77777777" w:rsidR="008715BE" w:rsidRPr="00EC75B7" w:rsidRDefault="00000000">
            <w:pPr>
              <w:pStyle w:val="TableParagraph"/>
              <w:ind w:left="681" w:right="657" w:hanging="2"/>
              <w:jc w:val="center"/>
              <w:rPr>
                <w:rFonts w:ascii="Verdana" w:hAnsi="Verdana"/>
                <w:b/>
                <w:sz w:val="18"/>
                <w:szCs w:val="18"/>
              </w:rPr>
            </w:pPr>
            <w:r w:rsidRPr="00EC75B7">
              <w:rPr>
                <w:rFonts w:ascii="Verdana" w:hAnsi="Verdana"/>
                <w:b/>
                <w:color w:val="FFFFFF"/>
                <w:spacing w:val="-2"/>
                <w:sz w:val="18"/>
                <w:szCs w:val="18"/>
              </w:rPr>
              <w:t>Location of measure implementation</w:t>
            </w:r>
          </w:p>
        </w:tc>
      </w:tr>
      <w:tr w:rsidR="008715BE" w:rsidRPr="00EC75B7" w14:paraId="4AA1AF24" w14:textId="77777777">
        <w:trPr>
          <w:trHeight w:val="2137"/>
        </w:trPr>
        <w:tc>
          <w:tcPr>
            <w:tcW w:w="554" w:type="dxa"/>
          </w:tcPr>
          <w:p w14:paraId="2D7251A8" w14:textId="77777777" w:rsidR="008715BE" w:rsidRPr="00EC75B7" w:rsidRDefault="008715BE">
            <w:pPr>
              <w:pStyle w:val="TableParagraph"/>
              <w:rPr>
                <w:rFonts w:ascii="Verdana" w:hAnsi="Verdana"/>
                <w:b/>
                <w:sz w:val="18"/>
                <w:szCs w:val="18"/>
              </w:rPr>
            </w:pPr>
          </w:p>
          <w:p w14:paraId="15B363C3" w14:textId="77777777" w:rsidR="008715BE" w:rsidRPr="00EC75B7" w:rsidRDefault="008715BE">
            <w:pPr>
              <w:pStyle w:val="TableParagraph"/>
              <w:rPr>
                <w:rFonts w:ascii="Verdana" w:hAnsi="Verdana"/>
                <w:b/>
                <w:sz w:val="18"/>
                <w:szCs w:val="18"/>
              </w:rPr>
            </w:pPr>
          </w:p>
          <w:p w14:paraId="1E06FF7E" w14:textId="77777777" w:rsidR="008715BE" w:rsidRPr="00EC75B7" w:rsidRDefault="008715BE">
            <w:pPr>
              <w:pStyle w:val="TableParagraph"/>
              <w:rPr>
                <w:rFonts w:ascii="Verdana" w:hAnsi="Verdana"/>
                <w:b/>
                <w:sz w:val="18"/>
                <w:szCs w:val="18"/>
              </w:rPr>
            </w:pPr>
          </w:p>
          <w:p w14:paraId="0D843B79" w14:textId="77777777" w:rsidR="008715BE" w:rsidRPr="00EC75B7" w:rsidRDefault="008715BE">
            <w:pPr>
              <w:pStyle w:val="TableParagraph"/>
              <w:rPr>
                <w:rFonts w:ascii="Verdana" w:hAnsi="Verdana"/>
                <w:b/>
                <w:sz w:val="18"/>
                <w:szCs w:val="18"/>
              </w:rPr>
            </w:pPr>
          </w:p>
          <w:p w14:paraId="24EA5B5D" w14:textId="77777777" w:rsidR="008715BE" w:rsidRPr="00EC75B7" w:rsidRDefault="008715BE">
            <w:pPr>
              <w:pStyle w:val="TableParagraph"/>
              <w:spacing w:before="3"/>
              <w:rPr>
                <w:rFonts w:ascii="Verdana" w:hAnsi="Verdana"/>
                <w:b/>
                <w:sz w:val="18"/>
                <w:szCs w:val="18"/>
              </w:rPr>
            </w:pPr>
          </w:p>
          <w:p w14:paraId="4DBFC06C"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M12</w:t>
            </w:r>
          </w:p>
        </w:tc>
        <w:tc>
          <w:tcPr>
            <w:tcW w:w="9161" w:type="dxa"/>
          </w:tcPr>
          <w:p w14:paraId="5045CD92" w14:textId="77777777" w:rsidR="008715BE" w:rsidRPr="00EC75B7" w:rsidRDefault="008715BE">
            <w:pPr>
              <w:pStyle w:val="TableParagraph"/>
              <w:rPr>
                <w:rFonts w:ascii="Verdana" w:hAnsi="Verdana"/>
                <w:b/>
                <w:sz w:val="18"/>
                <w:szCs w:val="18"/>
              </w:rPr>
            </w:pPr>
          </w:p>
          <w:p w14:paraId="20EC27D1" w14:textId="77777777" w:rsidR="008715BE" w:rsidRPr="00EC75B7" w:rsidRDefault="008715BE">
            <w:pPr>
              <w:pStyle w:val="TableParagraph"/>
              <w:rPr>
                <w:rFonts w:ascii="Verdana" w:hAnsi="Verdana"/>
                <w:b/>
                <w:sz w:val="18"/>
                <w:szCs w:val="18"/>
              </w:rPr>
            </w:pPr>
          </w:p>
          <w:p w14:paraId="1EC0453C" w14:textId="77777777" w:rsidR="008715BE" w:rsidRPr="00EC75B7" w:rsidRDefault="008715BE">
            <w:pPr>
              <w:pStyle w:val="TableParagraph"/>
              <w:spacing w:before="101"/>
              <w:rPr>
                <w:rFonts w:ascii="Verdana" w:hAnsi="Verdana"/>
                <w:b/>
                <w:sz w:val="18"/>
                <w:szCs w:val="18"/>
              </w:rPr>
            </w:pPr>
          </w:p>
          <w:p w14:paraId="512CCD23" w14:textId="77777777" w:rsidR="008715BE" w:rsidRPr="00EC75B7" w:rsidRDefault="00000000">
            <w:pPr>
              <w:pStyle w:val="TableParagraph"/>
              <w:ind w:left="108" w:right="143"/>
              <w:rPr>
                <w:rFonts w:ascii="Verdana" w:hAnsi="Verdana"/>
                <w:sz w:val="18"/>
                <w:szCs w:val="18"/>
              </w:rPr>
            </w:pPr>
            <w:r w:rsidRPr="00EC75B7">
              <w:rPr>
                <w:rFonts w:ascii="Verdana" w:hAnsi="Verdana"/>
                <w:sz w:val="18"/>
                <w:szCs w:val="18"/>
              </w:rPr>
              <w:t>Construction and installation works must be planned so as to take place outside the breeding and rearing seasons of species of Community interest, regardless of the presence or absence of nests on site. The planning of activities must take into account the biological calendar of the species concerned in order to prevent any negative impact on them.</w:t>
            </w:r>
          </w:p>
        </w:tc>
        <w:tc>
          <w:tcPr>
            <w:tcW w:w="962" w:type="dxa"/>
          </w:tcPr>
          <w:p w14:paraId="3EC6965A" w14:textId="77777777" w:rsidR="008715BE" w:rsidRPr="00EC75B7" w:rsidRDefault="008715BE">
            <w:pPr>
              <w:pStyle w:val="TableParagraph"/>
              <w:rPr>
                <w:rFonts w:ascii="Verdana" w:hAnsi="Verdana"/>
                <w:b/>
                <w:sz w:val="18"/>
                <w:szCs w:val="18"/>
              </w:rPr>
            </w:pPr>
          </w:p>
          <w:p w14:paraId="6382BDFB" w14:textId="77777777" w:rsidR="008715BE" w:rsidRPr="00EC75B7" w:rsidRDefault="008715BE">
            <w:pPr>
              <w:pStyle w:val="TableParagraph"/>
              <w:rPr>
                <w:rFonts w:ascii="Verdana" w:hAnsi="Verdana"/>
                <w:b/>
                <w:sz w:val="18"/>
                <w:szCs w:val="18"/>
              </w:rPr>
            </w:pPr>
          </w:p>
          <w:p w14:paraId="29BF245F" w14:textId="77777777" w:rsidR="008715BE" w:rsidRPr="00EC75B7" w:rsidRDefault="008715BE">
            <w:pPr>
              <w:pStyle w:val="TableParagraph"/>
              <w:rPr>
                <w:rFonts w:ascii="Verdana" w:hAnsi="Verdana"/>
                <w:b/>
                <w:sz w:val="18"/>
                <w:szCs w:val="18"/>
              </w:rPr>
            </w:pPr>
          </w:p>
          <w:p w14:paraId="24E3105A" w14:textId="77777777" w:rsidR="008715BE" w:rsidRPr="00EC75B7" w:rsidRDefault="008715BE">
            <w:pPr>
              <w:pStyle w:val="TableParagraph"/>
              <w:rPr>
                <w:rFonts w:ascii="Verdana" w:hAnsi="Verdana"/>
                <w:b/>
                <w:sz w:val="18"/>
                <w:szCs w:val="18"/>
              </w:rPr>
            </w:pPr>
          </w:p>
          <w:p w14:paraId="35F71D3F" w14:textId="77777777" w:rsidR="008715BE" w:rsidRPr="00EC75B7" w:rsidRDefault="008715BE">
            <w:pPr>
              <w:pStyle w:val="TableParagraph"/>
              <w:spacing w:before="3"/>
              <w:rPr>
                <w:rFonts w:ascii="Verdana" w:hAnsi="Verdana"/>
                <w:b/>
                <w:sz w:val="18"/>
                <w:szCs w:val="18"/>
              </w:rPr>
            </w:pPr>
          </w:p>
          <w:p w14:paraId="6429B77A"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2F70A900" w14:textId="77777777" w:rsidR="008715BE" w:rsidRPr="00EC75B7" w:rsidRDefault="00000000">
            <w:pPr>
              <w:pStyle w:val="TableParagraph"/>
              <w:spacing w:line="194" w:lineRule="exact"/>
              <w:ind w:left="112" w:right="96"/>
              <w:jc w:val="center"/>
              <w:rPr>
                <w:rFonts w:ascii="Verdana" w:hAnsi="Verdana"/>
                <w:sz w:val="18"/>
                <w:szCs w:val="18"/>
              </w:rPr>
            </w:pPr>
            <w:r w:rsidRPr="00EC75B7">
              <w:rPr>
                <w:rFonts w:ascii="Verdana" w:hAnsi="Verdana"/>
                <w:sz w:val="18"/>
                <w:szCs w:val="18"/>
              </w:rPr>
              <w:t xml:space="preserve">All Natura 2000 components related to the protected natural areas </w:t>
            </w:r>
            <w:r w:rsidRPr="00EC75B7">
              <w:rPr>
                <w:rFonts w:ascii="Verdana" w:hAnsi="Verdana"/>
                <w:spacing w:val="-2"/>
                <w:sz w:val="18"/>
                <w:szCs w:val="18"/>
              </w:rPr>
              <w:t>ROSCI0071, ROSCI0157, ROSPA0166, ROSPA0036, ROSPA0094, BG0000569, BG0000570</w:t>
            </w:r>
          </w:p>
        </w:tc>
        <w:tc>
          <w:tcPr>
            <w:tcW w:w="1273" w:type="dxa"/>
          </w:tcPr>
          <w:p w14:paraId="10102B23" w14:textId="77777777" w:rsidR="008715BE" w:rsidRPr="00EC75B7" w:rsidRDefault="008715BE">
            <w:pPr>
              <w:pStyle w:val="TableParagraph"/>
              <w:rPr>
                <w:rFonts w:ascii="Verdana" w:hAnsi="Verdana"/>
                <w:b/>
                <w:sz w:val="18"/>
                <w:szCs w:val="18"/>
              </w:rPr>
            </w:pPr>
          </w:p>
          <w:p w14:paraId="575391CA" w14:textId="77777777" w:rsidR="008715BE" w:rsidRPr="00EC75B7" w:rsidRDefault="008715BE">
            <w:pPr>
              <w:pStyle w:val="TableParagraph"/>
              <w:spacing w:before="102"/>
              <w:rPr>
                <w:rFonts w:ascii="Verdana" w:hAnsi="Verdana"/>
                <w:b/>
                <w:sz w:val="18"/>
                <w:szCs w:val="18"/>
              </w:rPr>
            </w:pPr>
          </w:p>
          <w:p w14:paraId="3C0CD570" w14:textId="77777777" w:rsidR="008715BE" w:rsidRPr="00EC75B7" w:rsidRDefault="00000000">
            <w:pPr>
              <w:pStyle w:val="TableParagraph"/>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53650879" w14:textId="77777777" w:rsidR="008715BE" w:rsidRPr="00EC75B7" w:rsidRDefault="008715BE">
            <w:pPr>
              <w:pStyle w:val="TableParagraph"/>
              <w:rPr>
                <w:rFonts w:ascii="Verdana" w:hAnsi="Verdana"/>
                <w:b/>
                <w:sz w:val="18"/>
                <w:szCs w:val="18"/>
              </w:rPr>
            </w:pPr>
          </w:p>
          <w:p w14:paraId="6602DB2D" w14:textId="77777777" w:rsidR="008715BE" w:rsidRPr="00EC75B7" w:rsidRDefault="008715BE">
            <w:pPr>
              <w:pStyle w:val="TableParagraph"/>
              <w:rPr>
                <w:rFonts w:ascii="Verdana" w:hAnsi="Verdana"/>
                <w:b/>
                <w:sz w:val="18"/>
                <w:szCs w:val="18"/>
              </w:rPr>
            </w:pPr>
          </w:p>
          <w:p w14:paraId="169F49A8" w14:textId="77777777" w:rsidR="008715BE" w:rsidRPr="00EC75B7" w:rsidRDefault="008715BE">
            <w:pPr>
              <w:pStyle w:val="TableParagraph"/>
              <w:rPr>
                <w:rFonts w:ascii="Verdana" w:hAnsi="Verdana"/>
                <w:b/>
                <w:sz w:val="18"/>
                <w:szCs w:val="18"/>
              </w:rPr>
            </w:pPr>
          </w:p>
          <w:p w14:paraId="77D9729E" w14:textId="77777777" w:rsidR="008715BE" w:rsidRPr="00EC75B7" w:rsidRDefault="008715BE">
            <w:pPr>
              <w:pStyle w:val="TableParagraph"/>
              <w:rPr>
                <w:rFonts w:ascii="Verdana" w:hAnsi="Verdana"/>
                <w:b/>
                <w:sz w:val="18"/>
                <w:szCs w:val="18"/>
              </w:rPr>
            </w:pPr>
          </w:p>
          <w:p w14:paraId="6C0F0744" w14:textId="77777777" w:rsidR="008715BE" w:rsidRPr="00EC75B7" w:rsidRDefault="008715BE">
            <w:pPr>
              <w:pStyle w:val="TableParagraph"/>
              <w:spacing w:before="3"/>
              <w:rPr>
                <w:rFonts w:ascii="Verdana" w:hAnsi="Verdana"/>
                <w:b/>
                <w:sz w:val="18"/>
                <w:szCs w:val="18"/>
              </w:rPr>
            </w:pPr>
          </w:p>
          <w:p w14:paraId="17969CE3"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080D7A93" w14:textId="77777777" w:rsidR="008715BE" w:rsidRPr="00EC75B7" w:rsidRDefault="008715BE">
            <w:pPr>
              <w:pStyle w:val="TableParagraph"/>
              <w:rPr>
                <w:rFonts w:ascii="Verdana" w:hAnsi="Verdana"/>
                <w:b/>
                <w:sz w:val="18"/>
                <w:szCs w:val="18"/>
              </w:rPr>
            </w:pPr>
          </w:p>
          <w:p w14:paraId="0823FF2C" w14:textId="77777777" w:rsidR="008715BE" w:rsidRPr="00EC75B7" w:rsidRDefault="008715BE">
            <w:pPr>
              <w:pStyle w:val="TableParagraph"/>
              <w:rPr>
                <w:rFonts w:ascii="Verdana" w:hAnsi="Verdana"/>
                <w:b/>
                <w:sz w:val="18"/>
                <w:szCs w:val="18"/>
              </w:rPr>
            </w:pPr>
          </w:p>
          <w:p w14:paraId="6800DD13" w14:textId="77777777" w:rsidR="008715BE" w:rsidRPr="00EC75B7" w:rsidRDefault="008715BE">
            <w:pPr>
              <w:pStyle w:val="TableParagraph"/>
              <w:rPr>
                <w:rFonts w:ascii="Verdana" w:hAnsi="Verdana"/>
                <w:b/>
                <w:sz w:val="18"/>
                <w:szCs w:val="18"/>
              </w:rPr>
            </w:pPr>
          </w:p>
          <w:p w14:paraId="042E148C" w14:textId="77777777" w:rsidR="008715BE" w:rsidRPr="00EC75B7" w:rsidRDefault="008715BE">
            <w:pPr>
              <w:pStyle w:val="TableParagraph"/>
              <w:rPr>
                <w:rFonts w:ascii="Verdana" w:hAnsi="Verdana"/>
                <w:b/>
                <w:sz w:val="18"/>
                <w:szCs w:val="18"/>
              </w:rPr>
            </w:pPr>
          </w:p>
          <w:p w14:paraId="76D6EEE3" w14:textId="77777777" w:rsidR="008715BE" w:rsidRPr="00EC75B7" w:rsidRDefault="008715BE">
            <w:pPr>
              <w:pStyle w:val="TableParagraph"/>
              <w:spacing w:before="3"/>
              <w:rPr>
                <w:rFonts w:ascii="Verdana" w:hAnsi="Verdana"/>
                <w:b/>
                <w:sz w:val="18"/>
                <w:szCs w:val="18"/>
              </w:rPr>
            </w:pPr>
          </w:p>
          <w:p w14:paraId="2E9764DD" w14:textId="77777777" w:rsidR="008715BE" w:rsidRPr="00EC75B7" w:rsidRDefault="00000000">
            <w:pPr>
              <w:pStyle w:val="TableParagraph"/>
              <w:ind w:left="21" w:right="2"/>
              <w:jc w:val="center"/>
              <w:rPr>
                <w:rFonts w:ascii="Verdana" w:hAnsi="Verdana"/>
                <w:sz w:val="18"/>
                <w:szCs w:val="18"/>
              </w:rPr>
            </w:pPr>
            <w:r w:rsidRPr="00EC75B7">
              <w:rPr>
                <w:rFonts w:ascii="Verdana" w:hAnsi="Verdana"/>
                <w:spacing w:val="-2"/>
                <w:sz w:val="18"/>
                <w:szCs w:val="18"/>
              </w:rPr>
              <w:t>Construction?Decommissioning</w:t>
            </w:r>
          </w:p>
        </w:tc>
        <w:tc>
          <w:tcPr>
            <w:tcW w:w="2608" w:type="dxa"/>
          </w:tcPr>
          <w:p w14:paraId="0105496E" w14:textId="77777777" w:rsidR="008715BE" w:rsidRPr="00EC75B7" w:rsidRDefault="008715BE">
            <w:pPr>
              <w:pStyle w:val="TableParagraph"/>
              <w:rPr>
                <w:rFonts w:ascii="Verdana" w:hAnsi="Verdana"/>
                <w:b/>
                <w:sz w:val="18"/>
                <w:szCs w:val="18"/>
              </w:rPr>
            </w:pPr>
          </w:p>
          <w:p w14:paraId="42DEBDF4" w14:textId="77777777" w:rsidR="008715BE" w:rsidRPr="00EC75B7" w:rsidRDefault="008715BE">
            <w:pPr>
              <w:pStyle w:val="TableParagraph"/>
              <w:rPr>
                <w:rFonts w:ascii="Verdana" w:hAnsi="Verdana"/>
                <w:b/>
                <w:sz w:val="18"/>
                <w:szCs w:val="18"/>
              </w:rPr>
            </w:pPr>
          </w:p>
          <w:p w14:paraId="762A0DEF" w14:textId="77777777" w:rsidR="008715BE" w:rsidRPr="00EC75B7" w:rsidRDefault="008715BE">
            <w:pPr>
              <w:pStyle w:val="TableParagraph"/>
              <w:rPr>
                <w:rFonts w:ascii="Verdana" w:hAnsi="Verdana"/>
                <w:b/>
                <w:sz w:val="18"/>
                <w:szCs w:val="18"/>
              </w:rPr>
            </w:pPr>
          </w:p>
          <w:p w14:paraId="46657C64" w14:textId="77777777" w:rsidR="008715BE" w:rsidRPr="00EC75B7" w:rsidRDefault="008715BE">
            <w:pPr>
              <w:pStyle w:val="TableParagraph"/>
              <w:spacing w:before="100"/>
              <w:rPr>
                <w:rFonts w:ascii="Verdana" w:hAnsi="Verdana"/>
                <w:b/>
                <w:sz w:val="18"/>
                <w:szCs w:val="18"/>
              </w:rPr>
            </w:pPr>
          </w:p>
          <w:p w14:paraId="3E61D7D4" w14:textId="77777777" w:rsidR="008715BE" w:rsidRPr="00EC75B7" w:rsidRDefault="00000000">
            <w:pPr>
              <w:pStyle w:val="TableParagraph"/>
              <w:ind w:left="989" w:hanging="670"/>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implementation area</w:t>
            </w:r>
          </w:p>
        </w:tc>
      </w:tr>
      <w:tr w:rsidR="008715BE" w:rsidRPr="00EC75B7" w14:paraId="037A20C6" w14:textId="77777777">
        <w:trPr>
          <w:trHeight w:val="2138"/>
        </w:trPr>
        <w:tc>
          <w:tcPr>
            <w:tcW w:w="554" w:type="dxa"/>
          </w:tcPr>
          <w:p w14:paraId="37C8CABA" w14:textId="77777777" w:rsidR="008715BE" w:rsidRPr="00EC75B7" w:rsidRDefault="008715BE">
            <w:pPr>
              <w:pStyle w:val="TableParagraph"/>
              <w:rPr>
                <w:rFonts w:ascii="Verdana" w:hAnsi="Verdana"/>
                <w:b/>
                <w:sz w:val="18"/>
                <w:szCs w:val="18"/>
              </w:rPr>
            </w:pPr>
          </w:p>
          <w:p w14:paraId="2D160276" w14:textId="77777777" w:rsidR="008715BE" w:rsidRPr="00EC75B7" w:rsidRDefault="008715BE">
            <w:pPr>
              <w:pStyle w:val="TableParagraph"/>
              <w:rPr>
                <w:rFonts w:ascii="Verdana" w:hAnsi="Verdana"/>
                <w:b/>
                <w:sz w:val="18"/>
                <w:szCs w:val="18"/>
              </w:rPr>
            </w:pPr>
          </w:p>
          <w:p w14:paraId="406927E2" w14:textId="77777777" w:rsidR="008715BE" w:rsidRPr="00EC75B7" w:rsidRDefault="008715BE">
            <w:pPr>
              <w:pStyle w:val="TableParagraph"/>
              <w:rPr>
                <w:rFonts w:ascii="Verdana" w:hAnsi="Verdana"/>
                <w:b/>
                <w:sz w:val="18"/>
                <w:szCs w:val="18"/>
              </w:rPr>
            </w:pPr>
          </w:p>
          <w:p w14:paraId="1D2BD9BA" w14:textId="77777777" w:rsidR="008715BE" w:rsidRPr="00EC75B7" w:rsidRDefault="008715BE">
            <w:pPr>
              <w:pStyle w:val="TableParagraph"/>
              <w:rPr>
                <w:rFonts w:ascii="Verdana" w:hAnsi="Verdana"/>
                <w:b/>
                <w:sz w:val="18"/>
                <w:szCs w:val="18"/>
              </w:rPr>
            </w:pPr>
          </w:p>
          <w:p w14:paraId="364C7921" w14:textId="77777777" w:rsidR="008715BE" w:rsidRPr="00EC75B7" w:rsidRDefault="008715BE">
            <w:pPr>
              <w:pStyle w:val="TableParagraph"/>
              <w:spacing w:before="4"/>
              <w:rPr>
                <w:rFonts w:ascii="Verdana" w:hAnsi="Verdana"/>
                <w:b/>
                <w:sz w:val="18"/>
                <w:szCs w:val="18"/>
              </w:rPr>
            </w:pPr>
          </w:p>
          <w:p w14:paraId="2ECFC88C"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M13</w:t>
            </w:r>
          </w:p>
        </w:tc>
        <w:tc>
          <w:tcPr>
            <w:tcW w:w="9161" w:type="dxa"/>
          </w:tcPr>
          <w:p w14:paraId="744D695D" w14:textId="77777777" w:rsidR="008715BE" w:rsidRPr="00EC75B7" w:rsidRDefault="008715BE">
            <w:pPr>
              <w:pStyle w:val="TableParagraph"/>
              <w:rPr>
                <w:rFonts w:ascii="Verdana" w:hAnsi="Verdana"/>
                <w:b/>
                <w:sz w:val="18"/>
                <w:szCs w:val="18"/>
              </w:rPr>
            </w:pPr>
          </w:p>
          <w:p w14:paraId="58D01210" w14:textId="77777777" w:rsidR="008715BE" w:rsidRPr="00EC75B7" w:rsidRDefault="008715BE">
            <w:pPr>
              <w:pStyle w:val="TableParagraph"/>
              <w:rPr>
                <w:rFonts w:ascii="Verdana" w:hAnsi="Verdana"/>
                <w:b/>
                <w:sz w:val="18"/>
                <w:szCs w:val="18"/>
              </w:rPr>
            </w:pPr>
          </w:p>
          <w:p w14:paraId="4151E4A0" w14:textId="77777777" w:rsidR="008715BE" w:rsidRPr="00EC75B7" w:rsidRDefault="008715BE">
            <w:pPr>
              <w:pStyle w:val="TableParagraph"/>
              <w:rPr>
                <w:rFonts w:ascii="Verdana" w:hAnsi="Verdana"/>
                <w:b/>
                <w:sz w:val="18"/>
                <w:szCs w:val="18"/>
              </w:rPr>
            </w:pPr>
          </w:p>
          <w:p w14:paraId="7DBCAEC7" w14:textId="77777777" w:rsidR="008715BE" w:rsidRPr="00EC75B7" w:rsidRDefault="008715BE">
            <w:pPr>
              <w:pStyle w:val="TableParagraph"/>
              <w:spacing w:before="4"/>
              <w:rPr>
                <w:rFonts w:ascii="Verdana" w:hAnsi="Verdana"/>
                <w:b/>
                <w:sz w:val="18"/>
                <w:szCs w:val="18"/>
              </w:rPr>
            </w:pPr>
          </w:p>
          <w:p w14:paraId="4A8A14A2"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Turbines must be marked at night with flashing lights, with long intervals between two consecutive flashes. These turbines are easier for birds to recognize when flashing lights are used instead of continuous lights.</w:t>
            </w:r>
          </w:p>
        </w:tc>
        <w:tc>
          <w:tcPr>
            <w:tcW w:w="962" w:type="dxa"/>
          </w:tcPr>
          <w:p w14:paraId="2E466CEF" w14:textId="77777777" w:rsidR="008715BE" w:rsidRPr="00EC75B7" w:rsidRDefault="008715BE">
            <w:pPr>
              <w:pStyle w:val="TableParagraph"/>
              <w:rPr>
                <w:rFonts w:ascii="Verdana" w:hAnsi="Verdana"/>
                <w:b/>
                <w:sz w:val="18"/>
                <w:szCs w:val="18"/>
              </w:rPr>
            </w:pPr>
          </w:p>
          <w:p w14:paraId="5ECDDDBF" w14:textId="77777777" w:rsidR="008715BE" w:rsidRPr="00EC75B7" w:rsidRDefault="008715BE">
            <w:pPr>
              <w:pStyle w:val="TableParagraph"/>
              <w:rPr>
                <w:rFonts w:ascii="Verdana" w:hAnsi="Verdana"/>
                <w:b/>
                <w:sz w:val="18"/>
                <w:szCs w:val="18"/>
              </w:rPr>
            </w:pPr>
          </w:p>
          <w:p w14:paraId="1AC0C8D2" w14:textId="77777777" w:rsidR="008715BE" w:rsidRPr="00EC75B7" w:rsidRDefault="008715BE">
            <w:pPr>
              <w:pStyle w:val="TableParagraph"/>
              <w:rPr>
                <w:rFonts w:ascii="Verdana" w:hAnsi="Verdana"/>
                <w:b/>
                <w:sz w:val="18"/>
                <w:szCs w:val="18"/>
              </w:rPr>
            </w:pPr>
          </w:p>
          <w:p w14:paraId="70E4F15C" w14:textId="77777777" w:rsidR="008715BE" w:rsidRPr="00EC75B7" w:rsidRDefault="008715BE">
            <w:pPr>
              <w:pStyle w:val="TableParagraph"/>
              <w:rPr>
                <w:rFonts w:ascii="Verdana" w:hAnsi="Verdana"/>
                <w:b/>
                <w:sz w:val="18"/>
                <w:szCs w:val="18"/>
              </w:rPr>
            </w:pPr>
          </w:p>
          <w:p w14:paraId="1A0C44CB" w14:textId="77777777" w:rsidR="008715BE" w:rsidRPr="00EC75B7" w:rsidRDefault="008715BE">
            <w:pPr>
              <w:pStyle w:val="TableParagraph"/>
              <w:spacing w:before="4"/>
              <w:rPr>
                <w:rFonts w:ascii="Verdana" w:hAnsi="Verdana"/>
                <w:b/>
                <w:sz w:val="18"/>
                <w:szCs w:val="18"/>
              </w:rPr>
            </w:pPr>
          </w:p>
          <w:p w14:paraId="63B7E8A6"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2"/>
                <w:sz w:val="18"/>
                <w:szCs w:val="18"/>
              </w:rPr>
              <w:t>P,E,R</w:t>
            </w:r>
          </w:p>
        </w:tc>
        <w:tc>
          <w:tcPr>
            <w:tcW w:w="1890" w:type="dxa"/>
          </w:tcPr>
          <w:p w14:paraId="21651E65"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3F4BC65C"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59057DB4" w14:textId="77777777" w:rsidR="008715BE" w:rsidRPr="00EC75B7" w:rsidRDefault="00000000">
            <w:pPr>
              <w:pStyle w:val="TableParagraph"/>
              <w:spacing w:line="159"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42B44AC4" w14:textId="77777777" w:rsidR="008715BE" w:rsidRPr="00EC75B7" w:rsidRDefault="008715BE">
            <w:pPr>
              <w:pStyle w:val="TableParagraph"/>
              <w:rPr>
                <w:rFonts w:ascii="Verdana" w:hAnsi="Verdana"/>
                <w:b/>
                <w:sz w:val="18"/>
                <w:szCs w:val="18"/>
              </w:rPr>
            </w:pPr>
          </w:p>
          <w:p w14:paraId="19A51C05" w14:textId="77777777" w:rsidR="008715BE" w:rsidRPr="00EC75B7" w:rsidRDefault="008715BE">
            <w:pPr>
              <w:pStyle w:val="TableParagraph"/>
              <w:spacing w:before="104"/>
              <w:rPr>
                <w:rFonts w:ascii="Verdana" w:hAnsi="Verdana"/>
                <w:b/>
                <w:sz w:val="18"/>
                <w:szCs w:val="18"/>
              </w:rPr>
            </w:pPr>
          </w:p>
          <w:p w14:paraId="6E30A4FC" w14:textId="77777777" w:rsidR="008715BE" w:rsidRPr="00EC75B7" w:rsidRDefault="00000000">
            <w:pPr>
              <w:pStyle w:val="TableParagraph"/>
              <w:spacing w:before="1"/>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5B364816" w14:textId="77777777" w:rsidR="008715BE" w:rsidRPr="00EC75B7" w:rsidRDefault="008715BE">
            <w:pPr>
              <w:pStyle w:val="TableParagraph"/>
              <w:rPr>
                <w:rFonts w:ascii="Verdana" w:hAnsi="Verdana"/>
                <w:b/>
                <w:sz w:val="18"/>
                <w:szCs w:val="18"/>
              </w:rPr>
            </w:pPr>
          </w:p>
          <w:p w14:paraId="4C786D9A" w14:textId="77777777" w:rsidR="008715BE" w:rsidRPr="00EC75B7" w:rsidRDefault="008715BE">
            <w:pPr>
              <w:pStyle w:val="TableParagraph"/>
              <w:rPr>
                <w:rFonts w:ascii="Verdana" w:hAnsi="Verdana"/>
                <w:b/>
                <w:sz w:val="18"/>
                <w:szCs w:val="18"/>
              </w:rPr>
            </w:pPr>
          </w:p>
          <w:p w14:paraId="43117F37" w14:textId="77777777" w:rsidR="008715BE" w:rsidRPr="00EC75B7" w:rsidRDefault="008715BE">
            <w:pPr>
              <w:pStyle w:val="TableParagraph"/>
              <w:rPr>
                <w:rFonts w:ascii="Verdana" w:hAnsi="Verdana"/>
                <w:b/>
                <w:sz w:val="18"/>
                <w:szCs w:val="18"/>
              </w:rPr>
            </w:pPr>
          </w:p>
          <w:p w14:paraId="114A4BC2" w14:textId="77777777" w:rsidR="008715BE" w:rsidRPr="00EC75B7" w:rsidRDefault="008715BE">
            <w:pPr>
              <w:pStyle w:val="TableParagraph"/>
              <w:rPr>
                <w:rFonts w:ascii="Verdana" w:hAnsi="Verdana"/>
                <w:b/>
                <w:sz w:val="18"/>
                <w:szCs w:val="18"/>
              </w:rPr>
            </w:pPr>
          </w:p>
          <w:p w14:paraId="6A48FEBB" w14:textId="77777777" w:rsidR="008715BE" w:rsidRPr="00EC75B7" w:rsidRDefault="008715BE">
            <w:pPr>
              <w:pStyle w:val="TableParagraph"/>
              <w:spacing w:before="4"/>
              <w:rPr>
                <w:rFonts w:ascii="Verdana" w:hAnsi="Verdana"/>
                <w:b/>
                <w:sz w:val="18"/>
                <w:szCs w:val="18"/>
              </w:rPr>
            </w:pPr>
          </w:p>
          <w:p w14:paraId="0D61410D"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67093F86" w14:textId="77777777" w:rsidR="008715BE" w:rsidRPr="00EC75B7" w:rsidRDefault="008715BE">
            <w:pPr>
              <w:pStyle w:val="TableParagraph"/>
              <w:rPr>
                <w:rFonts w:ascii="Verdana" w:hAnsi="Verdana"/>
                <w:b/>
                <w:sz w:val="18"/>
                <w:szCs w:val="18"/>
              </w:rPr>
            </w:pPr>
          </w:p>
          <w:p w14:paraId="68D6F389" w14:textId="77777777" w:rsidR="008715BE" w:rsidRPr="00EC75B7" w:rsidRDefault="008715BE">
            <w:pPr>
              <w:pStyle w:val="TableParagraph"/>
              <w:rPr>
                <w:rFonts w:ascii="Verdana" w:hAnsi="Verdana"/>
                <w:b/>
                <w:sz w:val="18"/>
                <w:szCs w:val="18"/>
              </w:rPr>
            </w:pPr>
          </w:p>
          <w:p w14:paraId="1949B247" w14:textId="77777777" w:rsidR="008715BE" w:rsidRPr="00EC75B7" w:rsidRDefault="008715BE">
            <w:pPr>
              <w:pStyle w:val="TableParagraph"/>
              <w:rPr>
                <w:rFonts w:ascii="Verdana" w:hAnsi="Verdana"/>
                <w:b/>
                <w:sz w:val="18"/>
                <w:szCs w:val="18"/>
              </w:rPr>
            </w:pPr>
          </w:p>
          <w:p w14:paraId="3B4909A9" w14:textId="77777777" w:rsidR="008715BE" w:rsidRPr="00EC75B7" w:rsidRDefault="008715BE">
            <w:pPr>
              <w:pStyle w:val="TableParagraph"/>
              <w:rPr>
                <w:rFonts w:ascii="Verdana" w:hAnsi="Verdana"/>
                <w:b/>
                <w:sz w:val="18"/>
                <w:szCs w:val="18"/>
              </w:rPr>
            </w:pPr>
          </w:p>
          <w:p w14:paraId="7C047740" w14:textId="77777777" w:rsidR="008715BE" w:rsidRPr="00EC75B7" w:rsidRDefault="008715BE">
            <w:pPr>
              <w:pStyle w:val="TableParagraph"/>
              <w:spacing w:before="4"/>
              <w:rPr>
                <w:rFonts w:ascii="Verdana" w:hAnsi="Verdana"/>
                <w:b/>
                <w:sz w:val="18"/>
                <w:szCs w:val="18"/>
              </w:rPr>
            </w:pPr>
          </w:p>
          <w:p w14:paraId="525FD0CE"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40DA40BC" w14:textId="77777777" w:rsidR="008715BE" w:rsidRPr="00EC75B7" w:rsidRDefault="008715BE">
            <w:pPr>
              <w:pStyle w:val="TableParagraph"/>
              <w:rPr>
                <w:rFonts w:ascii="Verdana" w:hAnsi="Verdana"/>
                <w:b/>
                <w:sz w:val="18"/>
                <w:szCs w:val="18"/>
              </w:rPr>
            </w:pPr>
          </w:p>
          <w:p w14:paraId="0FF2343B" w14:textId="77777777" w:rsidR="008715BE" w:rsidRPr="00EC75B7" w:rsidRDefault="008715BE">
            <w:pPr>
              <w:pStyle w:val="TableParagraph"/>
              <w:rPr>
                <w:rFonts w:ascii="Verdana" w:hAnsi="Verdana"/>
                <w:b/>
                <w:sz w:val="18"/>
                <w:szCs w:val="18"/>
              </w:rPr>
            </w:pPr>
          </w:p>
          <w:p w14:paraId="59CA7D4B" w14:textId="77777777" w:rsidR="008715BE" w:rsidRPr="00EC75B7" w:rsidRDefault="008715BE">
            <w:pPr>
              <w:pStyle w:val="TableParagraph"/>
              <w:rPr>
                <w:rFonts w:ascii="Verdana" w:hAnsi="Verdana"/>
                <w:b/>
                <w:sz w:val="18"/>
                <w:szCs w:val="18"/>
              </w:rPr>
            </w:pPr>
          </w:p>
          <w:p w14:paraId="4835997C" w14:textId="77777777" w:rsidR="008715BE" w:rsidRPr="00EC75B7" w:rsidRDefault="008715BE">
            <w:pPr>
              <w:pStyle w:val="TableParagraph"/>
              <w:rPr>
                <w:rFonts w:ascii="Verdana" w:hAnsi="Verdana"/>
                <w:b/>
                <w:sz w:val="18"/>
                <w:szCs w:val="18"/>
              </w:rPr>
            </w:pPr>
          </w:p>
          <w:p w14:paraId="4B4E11D2" w14:textId="77777777" w:rsidR="008715BE" w:rsidRPr="00EC75B7" w:rsidRDefault="008715BE">
            <w:pPr>
              <w:pStyle w:val="TableParagraph"/>
              <w:spacing w:before="4"/>
              <w:rPr>
                <w:rFonts w:ascii="Verdana" w:hAnsi="Verdana"/>
                <w:b/>
                <w:sz w:val="18"/>
                <w:szCs w:val="18"/>
              </w:rPr>
            </w:pPr>
          </w:p>
          <w:p w14:paraId="0D0E9516" w14:textId="77777777" w:rsidR="008715BE" w:rsidRPr="00EC75B7" w:rsidRDefault="00000000">
            <w:pPr>
              <w:pStyle w:val="TableParagraph"/>
              <w:ind w:left="20" w:right="2"/>
              <w:jc w:val="center"/>
              <w:rPr>
                <w:rFonts w:ascii="Verdana" w:hAnsi="Verdana"/>
                <w:sz w:val="18"/>
                <w:szCs w:val="18"/>
              </w:rPr>
            </w:pPr>
            <w:r w:rsidRPr="00EC75B7">
              <w:rPr>
                <w:rFonts w:ascii="Verdana" w:hAnsi="Verdana"/>
                <w:spacing w:val="-2"/>
                <w:sz w:val="18"/>
                <w:szCs w:val="18"/>
              </w:rPr>
              <w:t xml:space="preserve">Wind </w:t>
            </w:r>
            <w:r w:rsidRPr="00EC75B7">
              <w:rPr>
                <w:rFonts w:ascii="Verdana" w:hAnsi="Verdana"/>
                <w:sz w:val="18"/>
                <w:szCs w:val="18"/>
              </w:rPr>
              <w:t>farm area</w:t>
            </w:r>
          </w:p>
        </w:tc>
      </w:tr>
      <w:tr w:rsidR="008715BE" w:rsidRPr="00EC75B7" w14:paraId="617AD7CE" w14:textId="77777777">
        <w:trPr>
          <w:trHeight w:val="2140"/>
        </w:trPr>
        <w:tc>
          <w:tcPr>
            <w:tcW w:w="554" w:type="dxa"/>
          </w:tcPr>
          <w:p w14:paraId="7F47ECBF" w14:textId="77777777" w:rsidR="008715BE" w:rsidRPr="00EC75B7" w:rsidRDefault="008715BE">
            <w:pPr>
              <w:pStyle w:val="TableParagraph"/>
              <w:rPr>
                <w:rFonts w:ascii="Verdana" w:hAnsi="Verdana"/>
                <w:b/>
                <w:sz w:val="18"/>
                <w:szCs w:val="18"/>
              </w:rPr>
            </w:pPr>
          </w:p>
          <w:p w14:paraId="05524AA9" w14:textId="77777777" w:rsidR="008715BE" w:rsidRPr="00EC75B7" w:rsidRDefault="008715BE">
            <w:pPr>
              <w:pStyle w:val="TableParagraph"/>
              <w:rPr>
                <w:rFonts w:ascii="Verdana" w:hAnsi="Verdana"/>
                <w:b/>
                <w:sz w:val="18"/>
                <w:szCs w:val="18"/>
              </w:rPr>
            </w:pPr>
          </w:p>
          <w:p w14:paraId="4106DED5" w14:textId="77777777" w:rsidR="008715BE" w:rsidRPr="00EC75B7" w:rsidRDefault="008715BE">
            <w:pPr>
              <w:pStyle w:val="TableParagraph"/>
              <w:rPr>
                <w:rFonts w:ascii="Verdana" w:hAnsi="Verdana"/>
                <w:b/>
                <w:sz w:val="18"/>
                <w:szCs w:val="18"/>
              </w:rPr>
            </w:pPr>
          </w:p>
          <w:p w14:paraId="3F9F5603" w14:textId="77777777" w:rsidR="008715BE" w:rsidRPr="00EC75B7" w:rsidRDefault="008715BE">
            <w:pPr>
              <w:pStyle w:val="TableParagraph"/>
              <w:rPr>
                <w:rFonts w:ascii="Verdana" w:hAnsi="Verdana"/>
                <w:b/>
                <w:sz w:val="18"/>
                <w:szCs w:val="18"/>
              </w:rPr>
            </w:pPr>
          </w:p>
          <w:p w14:paraId="5EB3999D" w14:textId="77777777" w:rsidR="008715BE" w:rsidRPr="00EC75B7" w:rsidRDefault="008715BE">
            <w:pPr>
              <w:pStyle w:val="TableParagraph"/>
              <w:spacing w:before="6"/>
              <w:rPr>
                <w:rFonts w:ascii="Verdana" w:hAnsi="Verdana"/>
                <w:b/>
                <w:sz w:val="18"/>
                <w:szCs w:val="18"/>
              </w:rPr>
            </w:pPr>
          </w:p>
          <w:p w14:paraId="2B1904C9"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M14</w:t>
            </w:r>
          </w:p>
        </w:tc>
        <w:tc>
          <w:tcPr>
            <w:tcW w:w="9161" w:type="dxa"/>
          </w:tcPr>
          <w:p w14:paraId="79D96A4F" w14:textId="77777777" w:rsidR="008715BE" w:rsidRPr="00EC75B7" w:rsidRDefault="008715BE">
            <w:pPr>
              <w:pStyle w:val="TableParagraph"/>
              <w:rPr>
                <w:rFonts w:ascii="Verdana" w:hAnsi="Verdana"/>
                <w:b/>
                <w:sz w:val="18"/>
                <w:szCs w:val="18"/>
              </w:rPr>
            </w:pPr>
          </w:p>
          <w:p w14:paraId="24D049FE" w14:textId="77777777" w:rsidR="008715BE" w:rsidRPr="00EC75B7" w:rsidRDefault="008715BE">
            <w:pPr>
              <w:pStyle w:val="TableParagraph"/>
              <w:rPr>
                <w:rFonts w:ascii="Verdana" w:hAnsi="Verdana"/>
                <w:b/>
                <w:sz w:val="18"/>
                <w:szCs w:val="18"/>
              </w:rPr>
            </w:pPr>
          </w:p>
          <w:p w14:paraId="65B36153" w14:textId="77777777" w:rsidR="008715BE" w:rsidRPr="00EC75B7" w:rsidRDefault="008715BE">
            <w:pPr>
              <w:pStyle w:val="TableParagraph"/>
              <w:rPr>
                <w:rFonts w:ascii="Verdana" w:hAnsi="Verdana"/>
                <w:b/>
                <w:sz w:val="18"/>
                <w:szCs w:val="18"/>
              </w:rPr>
            </w:pPr>
          </w:p>
          <w:p w14:paraId="2DA99501" w14:textId="77777777" w:rsidR="008715BE" w:rsidRPr="00EC75B7" w:rsidRDefault="008715BE">
            <w:pPr>
              <w:pStyle w:val="TableParagraph"/>
              <w:spacing w:before="103"/>
              <w:rPr>
                <w:rFonts w:ascii="Verdana" w:hAnsi="Verdana"/>
                <w:b/>
                <w:sz w:val="18"/>
                <w:szCs w:val="18"/>
              </w:rPr>
            </w:pPr>
          </w:p>
          <w:p w14:paraId="5DC617C3"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Regular mowing of vegetation around turbines to maintain low abundance of insect species that are a food source for both bat and bird species.</w:t>
            </w:r>
          </w:p>
        </w:tc>
        <w:tc>
          <w:tcPr>
            <w:tcW w:w="962" w:type="dxa"/>
          </w:tcPr>
          <w:p w14:paraId="138A69DC" w14:textId="77777777" w:rsidR="008715BE" w:rsidRPr="00EC75B7" w:rsidRDefault="008715BE">
            <w:pPr>
              <w:pStyle w:val="TableParagraph"/>
              <w:rPr>
                <w:rFonts w:ascii="Verdana" w:hAnsi="Verdana"/>
                <w:b/>
                <w:sz w:val="18"/>
                <w:szCs w:val="18"/>
              </w:rPr>
            </w:pPr>
          </w:p>
          <w:p w14:paraId="400BE47B" w14:textId="77777777" w:rsidR="008715BE" w:rsidRPr="00EC75B7" w:rsidRDefault="008715BE">
            <w:pPr>
              <w:pStyle w:val="TableParagraph"/>
              <w:rPr>
                <w:rFonts w:ascii="Verdana" w:hAnsi="Verdana"/>
                <w:b/>
                <w:sz w:val="18"/>
                <w:szCs w:val="18"/>
              </w:rPr>
            </w:pPr>
          </w:p>
          <w:p w14:paraId="23490812" w14:textId="77777777" w:rsidR="008715BE" w:rsidRPr="00EC75B7" w:rsidRDefault="008715BE">
            <w:pPr>
              <w:pStyle w:val="TableParagraph"/>
              <w:rPr>
                <w:rFonts w:ascii="Verdana" w:hAnsi="Verdana"/>
                <w:b/>
                <w:sz w:val="18"/>
                <w:szCs w:val="18"/>
              </w:rPr>
            </w:pPr>
          </w:p>
          <w:p w14:paraId="43C755A8" w14:textId="77777777" w:rsidR="008715BE" w:rsidRPr="00EC75B7" w:rsidRDefault="008715BE">
            <w:pPr>
              <w:pStyle w:val="TableParagraph"/>
              <w:rPr>
                <w:rFonts w:ascii="Verdana" w:hAnsi="Verdana"/>
                <w:b/>
                <w:sz w:val="18"/>
                <w:szCs w:val="18"/>
              </w:rPr>
            </w:pPr>
          </w:p>
          <w:p w14:paraId="512DF3EF" w14:textId="77777777" w:rsidR="008715BE" w:rsidRPr="00EC75B7" w:rsidRDefault="008715BE">
            <w:pPr>
              <w:pStyle w:val="TableParagraph"/>
              <w:spacing w:before="6"/>
              <w:rPr>
                <w:rFonts w:ascii="Verdana" w:hAnsi="Verdana"/>
                <w:b/>
                <w:sz w:val="18"/>
                <w:szCs w:val="18"/>
              </w:rPr>
            </w:pPr>
          </w:p>
          <w:p w14:paraId="6AF3F2DC" w14:textId="77777777" w:rsidR="008715BE" w:rsidRPr="00EC75B7" w:rsidRDefault="00000000">
            <w:pPr>
              <w:pStyle w:val="TableParagraph"/>
              <w:ind w:left="15" w:right="6"/>
              <w:jc w:val="center"/>
              <w:rPr>
                <w:rFonts w:ascii="Verdana" w:hAnsi="Verdana"/>
                <w:sz w:val="18"/>
                <w:szCs w:val="18"/>
              </w:rPr>
            </w:pPr>
            <w:r w:rsidRPr="00EC75B7">
              <w:rPr>
                <w:rFonts w:ascii="Verdana" w:hAnsi="Verdana"/>
                <w:spacing w:val="-5"/>
                <w:sz w:val="18"/>
                <w:szCs w:val="18"/>
              </w:rPr>
              <w:t>P,E</w:t>
            </w:r>
          </w:p>
        </w:tc>
        <w:tc>
          <w:tcPr>
            <w:tcW w:w="1890" w:type="dxa"/>
          </w:tcPr>
          <w:p w14:paraId="2BB8D65D" w14:textId="77777777" w:rsidR="008715BE" w:rsidRPr="00EC75B7" w:rsidRDefault="00000000">
            <w:pPr>
              <w:pStyle w:val="TableParagraph"/>
              <w:spacing w:before="10"/>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6D046BC0"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5DA686E8" w14:textId="77777777" w:rsidR="008715BE" w:rsidRPr="00EC75B7" w:rsidRDefault="00000000">
            <w:pPr>
              <w:pStyle w:val="TableParagraph"/>
              <w:spacing w:line="158"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58924A52" w14:textId="77777777" w:rsidR="008715BE" w:rsidRPr="00EC75B7" w:rsidRDefault="008715BE">
            <w:pPr>
              <w:pStyle w:val="TableParagraph"/>
              <w:rPr>
                <w:rFonts w:ascii="Verdana" w:hAnsi="Verdana"/>
                <w:b/>
                <w:sz w:val="18"/>
                <w:szCs w:val="18"/>
              </w:rPr>
            </w:pPr>
          </w:p>
          <w:p w14:paraId="7F3A1609" w14:textId="77777777" w:rsidR="008715BE" w:rsidRPr="00EC75B7" w:rsidRDefault="008715BE">
            <w:pPr>
              <w:pStyle w:val="TableParagraph"/>
              <w:spacing w:before="104"/>
              <w:rPr>
                <w:rFonts w:ascii="Verdana" w:hAnsi="Verdana"/>
                <w:b/>
                <w:sz w:val="18"/>
                <w:szCs w:val="18"/>
              </w:rPr>
            </w:pPr>
          </w:p>
          <w:p w14:paraId="726C46D6" w14:textId="77777777" w:rsidR="008715BE" w:rsidRPr="00EC75B7" w:rsidRDefault="00000000">
            <w:pPr>
              <w:pStyle w:val="TableParagraph"/>
              <w:spacing w:before="1"/>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3EE66B6A" w14:textId="77777777" w:rsidR="008715BE" w:rsidRPr="00EC75B7" w:rsidRDefault="008715BE">
            <w:pPr>
              <w:pStyle w:val="TableParagraph"/>
              <w:rPr>
                <w:rFonts w:ascii="Verdana" w:hAnsi="Verdana"/>
                <w:b/>
                <w:sz w:val="18"/>
                <w:szCs w:val="18"/>
              </w:rPr>
            </w:pPr>
          </w:p>
          <w:p w14:paraId="28B39C19" w14:textId="77777777" w:rsidR="008715BE" w:rsidRPr="00EC75B7" w:rsidRDefault="008715BE">
            <w:pPr>
              <w:pStyle w:val="TableParagraph"/>
              <w:rPr>
                <w:rFonts w:ascii="Verdana" w:hAnsi="Verdana"/>
                <w:b/>
                <w:sz w:val="18"/>
                <w:szCs w:val="18"/>
              </w:rPr>
            </w:pPr>
          </w:p>
          <w:p w14:paraId="0D7835B7" w14:textId="77777777" w:rsidR="008715BE" w:rsidRPr="00EC75B7" w:rsidRDefault="008715BE">
            <w:pPr>
              <w:pStyle w:val="TableParagraph"/>
              <w:rPr>
                <w:rFonts w:ascii="Verdana" w:hAnsi="Verdana"/>
                <w:b/>
                <w:sz w:val="18"/>
                <w:szCs w:val="18"/>
              </w:rPr>
            </w:pPr>
          </w:p>
          <w:p w14:paraId="57B15DA9" w14:textId="77777777" w:rsidR="008715BE" w:rsidRPr="00EC75B7" w:rsidRDefault="008715BE">
            <w:pPr>
              <w:pStyle w:val="TableParagraph"/>
              <w:rPr>
                <w:rFonts w:ascii="Verdana" w:hAnsi="Verdana"/>
                <w:b/>
                <w:sz w:val="18"/>
                <w:szCs w:val="18"/>
              </w:rPr>
            </w:pPr>
          </w:p>
          <w:p w14:paraId="4A62EE5E" w14:textId="77777777" w:rsidR="008715BE" w:rsidRPr="00EC75B7" w:rsidRDefault="008715BE">
            <w:pPr>
              <w:pStyle w:val="TableParagraph"/>
              <w:spacing w:before="6"/>
              <w:rPr>
                <w:rFonts w:ascii="Verdana" w:hAnsi="Verdana"/>
                <w:b/>
                <w:sz w:val="18"/>
                <w:szCs w:val="18"/>
              </w:rPr>
            </w:pPr>
          </w:p>
          <w:p w14:paraId="505F5B0C"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7534BF76" w14:textId="77777777" w:rsidR="008715BE" w:rsidRPr="00EC75B7" w:rsidRDefault="008715BE">
            <w:pPr>
              <w:pStyle w:val="TableParagraph"/>
              <w:rPr>
                <w:rFonts w:ascii="Verdana" w:hAnsi="Verdana"/>
                <w:b/>
                <w:sz w:val="18"/>
                <w:szCs w:val="18"/>
              </w:rPr>
            </w:pPr>
          </w:p>
          <w:p w14:paraId="03A2057C" w14:textId="77777777" w:rsidR="008715BE" w:rsidRPr="00EC75B7" w:rsidRDefault="008715BE">
            <w:pPr>
              <w:pStyle w:val="TableParagraph"/>
              <w:rPr>
                <w:rFonts w:ascii="Verdana" w:hAnsi="Verdana"/>
                <w:b/>
                <w:sz w:val="18"/>
                <w:szCs w:val="18"/>
              </w:rPr>
            </w:pPr>
          </w:p>
          <w:p w14:paraId="79B92402" w14:textId="77777777" w:rsidR="008715BE" w:rsidRPr="00EC75B7" w:rsidRDefault="008715BE">
            <w:pPr>
              <w:pStyle w:val="TableParagraph"/>
              <w:rPr>
                <w:rFonts w:ascii="Verdana" w:hAnsi="Verdana"/>
                <w:b/>
                <w:sz w:val="18"/>
                <w:szCs w:val="18"/>
              </w:rPr>
            </w:pPr>
          </w:p>
          <w:p w14:paraId="4EA7693F" w14:textId="77777777" w:rsidR="008715BE" w:rsidRPr="00EC75B7" w:rsidRDefault="008715BE">
            <w:pPr>
              <w:pStyle w:val="TableParagraph"/>
              <w:rPr>
                <w:rFonts w:ascii="Verdana" w:hAnsi="Verdana"/>
                <w:b/>
                <w:sz w:val="18"/>
                <w:szCs w:val="18"/>
              </w:rPr>
            </w:pPr>
          </w:p>
          <w:p w14:paraId="077D6DEE" w14:textId="77777777" w:rsidR="008715BE" w:rsidRPr="00EC75B7" w:rsidRDefault="008715BE">
            <w:pPr>
              <w:pStyle w:val="TableParagraph"/>
              <w:spacing w:before="6"/>
              <w:rPr>
                <w:rFonts w:ascii="Verdana" w:hAnsi="Verdana"/>
                <w:b/>
                <w:sz w:val="18"/>
                <w:szCs w:val="18"/>
              </w:rPr>
            </w:pPr>
          </w:p>
          <w:p w14:paraId="71EF0758"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79F9AA89" w14:textId="77777777" w:rsidR="008715BE" w:rsidRPr="00EC75B7" w:rsidRDefault="008715BE">
            <w:pPr>
              <w:pStyle w:val="TableParagraph"/>
              <w:rPr>
                <w:rFonts w:ascii="Verdana" w:hAnsi="Verdana"/>
                <w:b/>
                <w:sz w:val="18"/>
                <w:szCs w:val="18"/>
              </w:rPr>
            </w:pPr>
          </w:p>
          <w:p w14:paraId="7A103570" w14:textId="77777777" w:rsidR="008715BE" w:rsidRPr="00EC75B7" w:rsidRDefault="008715BE">
            <w:pPr>
              <w:pStyle w:val="TableParagraph"/>
              <w:rPr>
                <w:rFonts w:ascii="Verdana" w:hAnsi="Verdana"/>
                <w:b/>
                <w:sz w:val="18"/>
                <w:szCs w:val="18"/>
              </w:rPr>
            </w:pPr>
          </w:p>
          <w:p w14:paraId="5ADF0AA3" w14:textId="77777777" w:rsidR="008715BE" w:rsidRPr="00EC75B7" w:rsidRDefault="008715BE">
            <w:pPr>
              <w:pStyle w:val="TableParagraph"/>
              <w:rPr>
                <w:rFonts w:ascii="Verdana" w:hAnsi="Verdana"/>
                <w:b/>
                <w:sz w:val="18"/>
                <w:szCs w:val="18"/>
              </w:rPr>
            </w:pPr>
          </w:p>
          <w:p w14:paraId="39A80048" w14:textId="77777777" w:rsidR="008715BE" w:rsidRPr="00EC75B7" w:rsidRDefault="008715BE">
            <w:pPr>
              <w:pStyle w:val="TableParagraph"/>
              <w:rPr>
                <w:rFonts w:ascii="Verdana" w:hAnsi="Verdana"/>
                <w:b/>
                <w:sz w:val="18"/>
                <w:szCs w:val="18"/>
              </w:rPr>
            </w:pPr>
          </w:p>
          <w:p w14:paraId="7D1FA7AA" w14:textId="77777777" w:rsidR="008715BE" w:rsidRPr="00EC75B7" w:rsidRDefault="008715BE">
            <w:pPr>
              <w:pStyle w:val="TableParagraph"/>
              <w:spacing w:before="6"/>
              <w:rPr>
                <w:rFonts w:ascii="Verdana" w:hAnsi="Verdana"/>
                <w:b/>
                <w:sz w:val="18"/>
                <w:szCs w:val="18"/>
              </w:rPr>
            </w:pPr>
          </w:p>
          <w:p w14:paraId="427018F9" w14:textId="77777777" w:rsidR="008715BE" w:rsidRPr="00EC75B7" w:rsidRDefault="00000000">
            <w:pPr>
              <w:pStyle w:val="TableParagraph"/>
              <w:ind w:left="20"/>
              <w:jc w:val="center"/>
              <w:rPr>
                <w:rFonts w:ascii="Verdana" w:hAnsi="Verdana"/>
                <w:sz w:val="18"/>
                <w:szCs w:val="18"/>
              </w:rPr>
            </w:pPr>
            <w:r w:rsidRPr="00EC75B7">
              <w:rPr>
                <w:rFonts w:ascii="Verdana" w:hAnsi="Verdana"/>
                <w:sz w:val="18"/>
                <w:szCs w:val="18"/>
              </w:rPr>
              <w:t xml:space="preserve">Areas around </w:t>
            </w:r>
            <w:r w:rsidRPr="00EC75B7">
              <w:rPr>
                <w:rFonts w:ascii="Verdana" w:hAnsi="Verdana"/>
                <w:spacing w:val="-2"/>
                <w:sz w:val="18"/>
                <w:szCs w:val="18"/>
              </w:rPr>
              <w:t>turbines</w:t>
            </w:r>
          </w:p>
        </w:tc>
      </w:tr>
      <w:tr w:rsidR="008715BE" w:rsidRPr="00EC75B7" w14:paraId="273BB0FE" w14:textId="77777777">
        <w:trPr>
          <w:trHeight w:val="2138"/>
        </w:trPr>
        <w:tc>
          <w:tcPr>
            <w:tcW w:w="554" w:type="dxa"/>
          </w:tcPr>
          <w:p w14:paraId="40B5E163" w14:textId="77777777" w:rsidR="008715BE" w:rsidRPr="00EC75B7" w:rsidRDefault="008715BE">
            <w:pPr>
              <w:pStyle w:val="TableParagraph"/>
              <w:rPr>
                <w:rFonts w:ascii="Verdana" w:hAnsi="Verdana"/>
                <w:b/>
                <w:sz w:val="18"/>
                <w:szCs w:val="18"/>
              </w:rPr>
            </w:pPr>
          </w:p>
          <w:p w14:paraId="1C946DDB" w14:textId="77777777" w:rsidR="008715BE" w:rsidRPr="00EC75B7" w:rsidRDefault="008715BE">
            <w:pPr>
              <w:pStyle w:val="TableParagraph"/>
              <w:rPr>
                <w:rFonts w:ascii="Verdana" w:hAnsi="Verdana"/>
                <w:b/>
                <w:sz w:val="18"/>
                <w:szCs w:val="18"/>
              </w:rPr>
            </w:pPr>
          </w:p>
          <w:p w14:paraId="05472AB3" w14:textId="77777777" w:rsidR="008715BE" w:rsidRPr="00EC75B7" w:rsidRDefault="008715BE">
            <w:pPr>
              <w:pStyle w:val="TableParagraph"/>
              <w:rPr>
                <w:rFonts w:ascii="Verdana" w:hAnsi="Verdana"/>
                <w:b/>
                <w:sz w:val="18"/>
                <w:szCs w:val="18"/>
              </w:rPr>
            </w:pPr>
          </w:p>
          <w:p w14:paraId="163DDB17" w14:textId="77777777" w:rsidR="008715BE" w:rsidRPr="00EC75B7" w:rsidRDefault="008715BE">
            <w:pPr>
              <w:pStyle w:val="TableParagraph"/>
              <w:rPr>
                <w:rFonts w:ascii="Verdana" w:hAnsi="Verdana"/>
                <w:b/>
                <w:sz w:val="18"/>
                <w:szCs w:val="18"/>
              </w:rPr>
            </w:pPr>
          </w:p>
          <w:p w14:paraId="5E0AAE76" w14:textId="77777777" w:rsidR="008715BE" w:rsidRPr="00EC75B7" w:rsidRDefault="008715BE">
            <w:pPr>
              <w:pStyle w:val="TableParagraph"/>
              <w:spacing w:before="4"/>
              <w:rPr>
                <w:rFonts w:ascii="Verdana" w:hAnsi="Verdana"/>
                <w:b/>
                <w:sz w:val="18"/>
                <w:szCs w:val="18"/>
              </w:rPr>
            </w:pPr>
          </w:p>
          <w:p w14:paraId="5AD3CC0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M15</w:t>
            </w:r>
          </w:p>
        </w:tc>
        <w:tc>
          <w:tcPr>
            <w:tcW w:w="9161" w:type="dxa"/>
          </w:tcPr>
          <w:p w14:paraId="0A47A069" w14:textId="77777777" w:rsidR="008715BE" w:rsidRPr="00EC75B7" w:rsidRDefault="008715BE">
            <w:pPr>
              <w:pStyle w:val="TableParagraph"/>
              <w:rPr>
                <w:rFonts w:ascii="Verdana" w:hAnsi="Verdana"/>
                <w:b/>
                <w:sz w:val="18"/>
                <w:szCs w:val="18"/>
              </w:rPr>
            </w:pPr>
          </w:p>
          <w:p w14:paraId="78E18A86" w14:textId="77777777" w:rsidR="008715BE" w:rsidRPr="00EC75B7" w:rsidRDefault="008715BE">
            <w:pPr>
              <w:pStyle w:val="TableParagraph"/>
              <w:rPr>
                <w:rFonts w:ascii="Verdana" w:hAnsi="Verdana"/>
                <w:b/>
                <w:sz w:val="18"/>
                <w:szCs w:val="18"/>
              </w:rPr>
            </w:pPr>
          </w:p>
          <w:p w14:paraId="7F8C2139" w14:textId="77777777" w:rsidR="008715BE" w:rsidRPr="00EC75B7" w:rsidRDefault="008715BE">
            <w:pPr>
              <w:pStyle w:val="TableParagraph"/>
              <w:rPr>
                <w:rFonts w:ascii="Verdana" w:hAnsi="Verdana"/>
                <w:b/>
                <w:sz w:val="18"/>
                <w:szCs w:val="18"/>
              </w:rPr>
            </w:pPr>
          </w:p>
          <w:p w14:paraId="3DE3934D" w14:textId="77777777" w:rsidR="008715BE" w:rsidRPr="00EC75B7" w:rsidRDefault="008715BE">
            <w:pPr>
              <w:pStyle w:val="TableParagraph"/>
              <w:spacing w:before="69"/>
              <w:rPr>
                <w:rFonts w:ascii="Verdana" w:hAnsi="Verdana"/>
                <w:b/>
                <w:sz w:val="18"/>
                <w:szCs w:val="18"/>
              </w:rPr>
            </w:pPr>
          </w:p>
          <w:p w14:paraId="5E96B3BB" w14:textId="77777777" w:rsidR="008715BE" w:rsidRPr="00EC75B7" w:rsidRDefault="00000000">
            <w:pPr>
              <w:pStyle w:val="TableParagraph"/>
              <w:spacing w:before="1" w:line="319" w:lineRule="auto"/>
              <w:ind w:left="108" w:right="295"/>
              <w:rPr>
                <w:rFonts w:ascii="Verdana" w:hAnsi="Verdana"/>
                <w:sz w:val="18"/>
                <w:szCs w:val="18"/>
              </w:rPr>
            </w:pPr>
            <w:r w:rsidRPr="00EC75B7">
              <w:rPr>
                <w:rFonts w:ascii="Verdana" w:hAnsi="Verdana"/>
                <w:sz w:val="18"/>
                <w:szCs w:val="18"/>
              </w:rPr>
              <w:t>Installation of a conditional activation lighting system (Aircraft Detection Lighting System – ADLS) for turbines T47, T46, T35, T36, T34 to reduce the risk of mortality of species sensitive to artificial light (birds and bats). The measure will be applied from the first year of project operation.</w:t>
            </w:r>
          </w:p>
        </w:tc>
        <w:tc>
          <w:tcPr>
            <w:tcW w:w="962" w:type="dxa"/>
          </w:tcPr>
          <w:p w14:paraId="567A0711" w14:textId="77777777" w:rsidR="008715BE" w:rsidRPr="00EC75B7" w:rsidRDefault="008715BE">
            <w:pPr>
              <w:pStyle w:val="TableParagraph"/>
              <w:rPr>
                <w:rFonts w:ascii="Verdana" w:hAnsi="Verdana"/>
                <w:b/>
                <w:sz w:val="18"/>
                <w:szCs w:val="18"/>
              </w:rPr>
            </w:pPr>
          </w:p>
          <w:p w14:paraId="226DF3DD" w14:textId="77777777" w:rsidR="008715BE" w:rsidRPr="00EC75B7" w:rsidRDefault="008715BE">
            <w:pPr>
              <w:pStyle w:val="TableParagraph"/>
              <w:rPr>
                <w:rFonts w:ascii="Verdana" w:hAnsi="Verdana"/>
                <w:b/>
                <w:sz w:val="18"/>
                <w:szCs w:val="18"/>
              </w:rPr>
            </w:pPr>
          </w:p>
          <w:p w14:paraId="6F313335" w14:textId="77777777" w:rsidR="008715BE" w:rsidRPr="00EC75B7" w:rsidRDefault="008715BE">
            <w:pPr>
              <w:pStyle w:val="TableParagraph"/>
              <w:rPr>
                <w:rFonts w:ascii="Verdana" w:hAnsi="Verdana"/>
                <w:b/>
                <w:sz w:val="18"/>
                <w:szCs w:val="18"/>
              </w:rPr>
            </w:pPr>
          </w:p>
          <w:p w14:paraId="4D8674DC" w14:textId="77777777" w:rsidR="008715BE" w:rsidRPr="00EC75B7" w:rsidRDefault="008715BE">
            <w:pPr>
              <w:pStyle w:val="TableParagraph"/>
              <w:rPr>
                <w:rFonts w:ascii="Verdana" w:hAnsi="Verdana"/>
                <w:b/>
                <w:sz w:val="18"/>
                <w:szCs w:val="18"/>
              </w:rPr>
            </w:pPr>
          </w:p>
          <w:p w14:paraId="3A3DF876" w14:textId="77777777" w:rsidR="008715BE" w:rsidRPr="00EC75B7" w:rsidRDefault="008715BE">
            <w:pPr>
              <w:pStyle w:val="TableParagraph"/>
              <w:spacing w:before="4"/>
              <w:rPr>
                <w:rFonts w:ascii="Verdana" w:hAnsi="Verdana"/>
                <w:b/>
                <w:sz w:val="18"/>
                <w:szCs w:val="18"/>
              </w:rPr>
            </w:pPr>
          </w:p>
          <w:p w14:paraId="767186DA" w14:textId="77777777" w:rsidR="008715BE" w:rsidRPr="00EC75B7" w:rsidRDefault="00000000">
            <w:pPr>
              <w:pStyle w:val="TableParagraph"/>
              <w:ind w:left="15" w:right="5"/>
              <w:jc w:val="center"/>
              <w:rPr>
                <w:rFonts w:ascii="Verdana" w:hAnsi="Verdana"/>
                <w:sz w:val="18"/>
                <w:szCs w:val="18"/>
              </w:rPr>
            </w:pPr>
            <w:r w:rsidRPr="00EC75B7">
              <w:rPr>
                <w:rFonts w:ascii="Verdana" w:hAnsi="Verdana"/>
                <w:sz w:val="18"/>
                <w:szCs w:val="18"/>
              </w:rPr>
              <w:t xml:space="preserve">P, E, </w:t>
            </w:r>
            <w:r w:rsidRPr="00EC75B7">
              <w:rPr>
                <w:rFonts w:ascii="Verdana" w:hAnsi="Verdana"/>
                <w:spacing w:val="-12"/>
                <w:sz w:val="18"/>
                <w:szCs w:val="18"/>
              </w:rPr>
              <w:t>R</w:t>
            </w:r>
          </w:p>
        </w:tc>
        <w:tc>
          <w:tcPr>
            <w:tcW w:w="1890" w:type="dxa"/>
          </w:tcPr>
          <w:p w14:paraId="7C4F5E0A"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0BD7A7C9"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in </w:t>
            </w:r>
            <w:r w:rsidRPr="00EC75B7">
              <w:rPr>
                <w:rFonts w:ascii="Verdana" w:hAnsi="Verdana"/>
                <w:spacing w:val="-2"/>
                <w:sz w:val="18"/>
                <w:szCs w:val="18"/>
              </w:rPr>
              <w:t>ROSCI0071, ROSCI0157, ROSPA0166, ROSPA0036, ROSPA0094, BG0000569,</w:t>
            </w:r>
          </w:p>
          <w:p w14:paraId="6B4C9120" w14:textId="77777777" w:rsidR="008715BE" w:rsidRPr="00EC75B7" w:rsidRDefault="00000000">
            <w:pPr>
              <w:pStyle w:val="TableParagraph"/>
              <w:spacing w:line="158"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736860EC" w14:textId="77777777" w:rsidR="008715BE" w:rsidRPr="00EC75B7" w:rsidRDefault="008715BE">
            <w:pPr>
              <w:pStyle w:val="TableParagraph"/>
              <w:rPr>
                <w:rFonts w:ascii="Verdana" w:hAnsi="Verdana"/>
                <w:b/>
                <w:sz w:val="18"/>
                <w:szCs w:val="18"/>
              </w:rPr>
            </w:pPr>
          </w:p>
          <w:p w14:paraId="065B37F2" w14:textId="77777777" w:rsidR="008715BE" w:rsidRPr="00EC75B7" w:rsidRDefault="008715BE">
            <w:pPr>
              <w:pStyle w:val="TableParagraph"/>
              <w:spacing w:before="105"/>
              <w:rPr>
                <w:rFonts w:ascii="Verdana" w:hAnsi="Verdana"/>
                <w:b/>
                <w:sz w:val="18"/>
                <w:szCs w:val="18"/>
              </w:rPr>
            </w:pPr>
          </w:p>
          <w:p w14:paraId="747DFC47" w14:textId="77777777" w:rsidR="008715BE" w:rsidRPr="00EC75B7" w:rsidRDefault="00000000">
            <w:pPr>
              <w:pStyle w:val="TableParagraph"/>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204426EE" w14:textId="77777777" w:rsidR="008715BE" w:rsidRPr="00EC75B7" w:rsidRDefault="008715BE">
            <w:pPr>
              <w:pStyle w:val="TableParagraph"/>
              <w:rPr>
                <w:rFonts w:ascii="Verdana" w:hAnsi="Verdana"/>
                <w:b/>
                <w:sz w:val="18"/>
                <w:szCs w:val="18"/>
              </w:rPr>
            </w:pPr>
          </w:p>
          <w:p w14:paraId="71964B1B" w14:textId="77777777" w:rsidR="008715BE" w:rsidRPr="00EC75B7" w:rsidRDefault="008715BE">
            <w:pPr>
              <w:pStyle w:val="TableParagraph"/>
              <w:rPr>
                <w:rFonts w:ascii="Verdana" w:hAnsi="Verdana"/>
                <w:b/>
                <w:sz w:val="18"/>
                <w:szCs w:val="18"/>
              </w:rPr>
            </w:pPr>
          </w:p>
          <w:p w14:paraId="2DCC3210" w14:textId="77777777" w:rsidR="008715BE" w:rsidRPr="00EC75B7" w:rsidRDefault="008715BE">
            <w:pPr>
              <w:pStyle w:val="TableParagraph"/>
              <w:rPr>
                <w:rFonts w:ascii="Verdana" w:hAnsi="Verdana"/>
                <w:b/>
                <w:sz w:val="18"/>
                <w:szCs w:val="18"/>
              </w:rPr>
            </w:pPr>
          </w:p>
          <w:p w14:paraId="0DA94EFB" w14:textId="77777777" w:rsidR="008715BE" w:rsidRPr="00EC75B7" w:rsidRDefault="008715BE">
            <w:pPr>
              <w:pStyle w:val="TableParagraph"/>
              <w:rPr>
                <w:rFonts w:ascii="Verdana" w:hAnsi="Verdana"/>
                <w:b/>
                <w:sz w:val="18"/>
                <w:szCs w:val="18"/>
              </w:rPr>
            </w:pPr>
          </w:p>
          <w:p w14:paraId="3347AB62" w14:textId="77777777" w:rsidR="008715BE" w:rsidRPr="00EC75B7" w:rsidRDefault="008715BE">
            <w:pPr>
              <w:pStyle w:val="TableParagraph"/>
              <w:spacing w:before="4"/>
              <w:rPr>
                <w:rFonts w:ascii="Verdana" w:hAnsi="Verdana"/>
                <w:b/>
                <w:sz w:val="18"/>
                <w:szCs w:val="18"/>
              </w:rPr>
            </w:pPr>
          </w:p>
          <w:p w14:paraId="5F868AEB"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478C3BAD" w14:textId="77777777" w:rsidR="008715BE" w:rsidRPr="00EC75B7" w:rsidRDefault="008715BE">
            <w:pPr>
              <w:pStyle w:val="TableParagraph"/>
              <w:rPr>
                <w:rFonts w:ascii="Verdana" w:hAnsi="Verdana"/>
                <w:b/>
                <w:sz w:val="18"/>
                <w:szCs w:val="18"/>
              </w:rPr>
            </w:pPr>
          </w:p>
          <w:p w14:paraId="69DA41AC" w14:textId="77777777" w:rsidR="008715BE" w:rsidRPr="00EC75B7" w:rsidRDefault="008715BE">
            <w:pPr>
              <w:pStyle w:val="TableParagraph"/>
              <w:rPr>
                <w:rFonts w:ascii="Verdana" w:hAnsi="Verdana"/>
                <w:b/>
                <w:sz w:val="18"/>
                <w:szCs w:val="18"/>
              </w:rPr>
            </w:pPr>
          </w:p>
          <w:p w14:paraId="75165DEA" w14:textId="77777777" w:rsidR="008715BE" w:rsidRPr="00EC75B7" w:rsidRDefault="008715BE">
            <w:pPr>
              <w:pStyle w:val="TableParagraph"/>
              <w:rPr>
                <w:rFonts w:ascii="Verdana" w:hAnsi="Verdana"/>
                <w:b/>
                <w:sz w:val="18"/>
                <w:szCs w:val="18"/>
              </w:rPr>
            </w:pPr>
          </w:p>
          <w:p w14:paraId="761DD291" w14:textId="77777777" w:rsidR="008715BE" w:rsidRPr="00EC75B7" w:rsidRDefault="008715BE">
            <w:pPr>
              <w:pStyle w:val="TableParagraph"/>
              <w:rPr>
                <w:rFonts w:ascii="Verdana" w:hAnsi="Verdana"/>
                <w:b/>
                <w:sz w:val="18"/>
                <w:szCs w:val="18"/>
              </w:rPr>
            </w:pPr>
          </w:p>
          <w:p w14:paraId="7123E88D" w14:textId="77777777" w:rsidR="008715BE" w:rsidRPr="00EC75B7" w:rsidRDefault="008715BE">
            <w:pPr>
              <w:pStyle w:val="TableParagraph"/>
              <w:spacing w:before="4"/>
              <w:rPr>
                <w:rFonts w:ascii="Verdana" w:hAnsi="Verdana"/>
                <w:b/>
                <w:sz w:val="18"/>
                <w:szCs w:val="18"/>
              </w:rPr>
            </w:pPr>
          </w:p>
          <w:p w14:paraId="099D6E60"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77A003CE" w14:textId="77777777" w:rsidR="008715BE" w:rsidRPr="00EC75B7" w:rsidRDefault="008715BE">
            <w:pPr>
              <w:pStyle w:val="TableParagraph"/>
              <w:rPr>
                <w:rFonts w:ascii="Verdana" w:hAnsi="Verdana"/>
                <w:b/>
                <w:sz w:val="18"/>
                <w:szCs w:val="18"/>
              </w:rPr>
            </w:pPr>
          </w:p>
          <w:p w14:paraId="50BEF91C" w14:textId="77777777" w:rsidR="008715BE" w:rsidRPr="00EC75B7" w:rsidRDefault="008715BE">
            <w:pPr>
              <w:pStyle w:val="TableParagraph"/>
              <w:rPr>
                <w:rFonts w:ascii="Verdana" w:hAnsi="Verdana"/>
                <w:b/>
                <w:sz w:val="18"/>
                <w:szCs w:val="18"/>
              </w:rPr>
            </w:pPr>
          </w:p>
          <w:p w14:paraId="49678A01" w14:textId="77777777" w:rsidR="008715BE" w:rsidRPr="00EC75B7" w:rsidRDefault="008715BE">
            <w:pPr>
              <w:pStyle w:val="TableParagraph"/>
              <w:rPr>
                <w:rFonts w:ascii="Verdana" w:hAnsi="Verdana"/>
                <w:b/>
                <w:sz w:val="18"/>
                <w:szCs w:val="18"/>
              </w:rPr>
            </w:pPr>
          </w:p>
          <w:p w14:paraId="2426123F" w14:textId="77777777" w:rsidR="008715BE" w:rsidRPr="00EC75B7" w:rsidRDefault="008715BE">
            <w:pPr>
              <w:pStyle w:val="TableParagraph"/>
              <w:spacing w:before="103"/>
              <w:rPr>
                <w:rFonts w:ascii="Verdana" w:hAnsi="Verdana"/>
                <w:b/>
                <w:sz w:val="18"/>
                <w:szCs w:val="18"/>
              </w:rPr>
            </w:pPr>
          </w:p>
          <w:p w14:paraId="6396B21B" w14:textId="77777777" w:rsidR="008715BE" w:rsidRPr="00EC75B7" w:rsidRDefault="00000000">
            <w:pPr>
              <w:pStyle w:val="TableParagraph"/>
              <w:ind w:left="741" w:hanging="471"/>
              <w:rPr>
                <w:rFonts w:ascii="Verdana" w:hAnsi="Verdana"/>
                <w:sz w:val="18"/>
                <w:szCs w:val="18"/>
              </w:rPr>
            </w:pPr>
            <w:r w:rsidRPr="00EC75B7">
              <w:rPr>
                <w:rFonts w:ascii="Verdana" w:hAnsi="Verdana"/>
                <w:sz w:val="18"/>
                <w:szCs w:val="18"/>
              </w:rPr>
              <w:t>Turbine area T47, T46, T35, T36, T34</w:t>
            </w:r>
          </w:p>
        </w:tc>
      </w:tr>
      <w:tr w:rsidR="008715BE" w:rsidRPr="00EC75B7" w14:paraId="6FA294DB" w14:textId="77777777">
        <w:trPr>
          <w:trHeight w:val="2140"/>
        </w:trPr>
        <w:tc>
          <w:tcPr>
            <w:tcW w:w="554" w:type="dxa"/>
          </w:tcPr>
          <w:p w14:paraId="3801CB6D" w14:textId="77777777" w:rsidR="008715BE" w:rsidRPr="00EC75B7" w:rsidRDefault="008715BE">
            <w:pPr>
              <w:pStyle w:val="TableParagraph"/>
              <w:rPr>
                <w:rFonts w:ascii="Verdana" w:hAnsi="Verdana"/>
                <w:b/>
                <w:sz w:val="18"/>
                <w:szCs w:val="18"/>
              </w:rPr>
            </w:pPr>
          </w:p>
          <w:p w14:paraId="37E5F58E" w14:textId="77777777" w:rsidR="008715BE" w:rsidRPr="00EC75B7" w:rsidRDefault="008715BE">
            <w:pPr>
              <w:pStyle w:val="TableParagraph"/>
              <w:rPr>
                <w:rFonts w:ascii="Verdana" w:hAnsi="Verdana"/>
                <w:b/>
                <w:sz w:val="18"/>
                <w:szCs w:val="18"/>
              </w:rPr>
            </w:pPr>
          </w:p>
          <w:p w14:paraId="0C0A2414" w14:textId="77777777" w:rsidR="008715BE" w:rsidRPr="00EC75B7" w:rsidRDefault="008715BE">
            <w:pPr>
              <w:pStyle w:val="TableParagraph"/>
              <w:rPr>
                <w:rFonts w:ascii="Verdana" w:hAnsi="Verdana"/>
                <w:b/>
                <w:sz w:val="18"/>
                <w:szCs w:val="18"/>
              </w:rPr>
            </w:pPr>
          </w:p>
          <w:p w14:paraId="7C16BE6C" w14:textId="77777777" w:rsidR="008715BE" w:rsidRPr="00EC75B7" w:rsidRDefault="008715BE">
            <w:pPr>
              <w:pStyle w:val="TableParagraph"/>
              <w:rPr>
                <w:rFonts w:ascii="Verdana" w:hAnsi="Verdana"/>
                <w:b/>
                <w:sz w:val="18"/>
                <w:szCs w:val="18"/>
              </w:rPr>
            </w:pPr>
          </w:p>
          <w:p w14:paraId="0F94270E" w14:textId="77777777" w:rsidR="008715BE" w:rsidRPr="00EC75B7" w:rsidRDefault="008715BE">
            <w:pPr>
              <w:pStyle w:val="TableParagraph"/>
              <w:spacing w:before="3"/>
              <w:rPr>
                <w:rFonts w:ascii="Verdana" w:hAnsi="Verdana"/>
                <w:b/>
                <w:sz w:val="18"/>
                <w:szCs w:val="18"/>
              </w:rPr>
            </w:pPr>
          </w:p>
          <w:p w14:paraId="41AAF444"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M16</w:t>
            </w:r>
          </w:p>
        </w:tc>
        <w:tc>
          <w:tcPr>
            <w:tcW w:w="9161" w:type="dxa"/>
          </w:tcPr>
          <w:p w14:paraId="5669A6AC" w14:textId="77777777" w:rsidR="008715BE" w:rsidRPr="00EC75B7" w:rsidRDefault="008715BE">
            <w:pPr>
              <w:pStyle w:val="TableParagraph"/>
              <w:rPr>
                <w:rFonts w:ascii="Verdana" w:hAnsi="Verdana"/>
                <w:b/>
                <w:sz w:val="18"/>
                <w:szCs w:val="18"/>
              </w:rPr>
            </w:pPr>
          </w:p>
          <w:p w14:paraId="2E2C09C0" w14:textId="77777777" w:rsidR="008715BE" w:rsidRPr="00EC75B7" w:rsidRDefault="008715BE">
            <w:pPr>
              <w:pStyle w:val="TableParagraph"/>
              <w:rPr>
                <w:rFonts w:ascii="Verdana" w:hAnsi="Verdana"/>
                <w:b/>
                <w:sz w:val="18"/>
                <w:szCs w:val="18"/>
              </w:rPr>
            </w:pPr>
          </w:p>
          <w:p w14:paraId="6A7EC87D" w14:textId="77777777" w:rsidR="008715BE" w:rsidRPr="00EC75B7" w:rsidRDefault="008715BE">
            <w:pPr>
              <w:pStyle w:val="TableParagraph"/>
              <w:spacing w:before="5"/>
              <w:rPr>
                <w:rFonts w:ascii="Verdana" w:hAnsi="Verdana"/>
                <w:b/>
                <w:sz w:val="18"/>
                <w:szCs w:val="18"/>
              </w:rPr>
            </w:pPr>
          </w:p>
          <w:p w14:paraId="1CDE5707" w14:textId="77777777" w:rsidR="008715BE" w:rsidRPr="00EC75B7" w:rsidRDefault="00000000">
            <w:pPr>
              <w:pStyle w:val="TableParagraph"/>
              <w:spacing w:line="319" w:lineRule="auto"/>
              <w:ind w:left="108" w:right="295"/>
              <w:rPr>
                <w:rFonts w:ascii="Verdana" w:hAnsi="Verdana"/>
                <w:sz w:val="18"/>
                <w:szCs w:val="18"/>
              </w:rPr>
            </w:pPr>
            <w:r w:rsidRPr="00EC75B7">
              <w:rPr>
                <w:rFonts w:ascii="Verdana" w:hAnsi="Verdana"/>
                <w:sz w:val="18"/>
                <w:szCs w:val="18"/>
              </w:rPr>
              <w:t>To reduce the risk of mortality, the following measures are proposed: limiting the entry into production of turbines (T47, T46, T35, T36, T34) at wind speeds of 6.5 m/s, during the sensitive period (migration), starting half an hour before sunset until sunrise, and bat protection systems that emit ultrasonic deterrent signals to remove bats from the rotor's wake. The measure will be applied from the first year of operation of the wind farm.</w:t>
            </w:r>
          </w:p>
        </w:tc>
        <w:tc>
          <w:tcPr>
            <w:tcW w:w="962" w:type="dxa"/>
          </w:tcPr>
          <w:p w14:paraId="18BD6570" w14:textId="77777777" w:rsidR="008715BE" w:rsidRPr="00EC75B7" w:rsidRDefault="008715BE">
            <w:pPr>
              <w:pStyle w:val="TableParagraph"/>
              <w:rPr>
                <w:rFonts w:ascii="Verdana" w:hAnsi="Verdana"/>
                <w:b/>
                <w:sz w:val="18"/>
                <w:szCs w:val="18"/>
              </w:rPr>
            </w:pPr>
          </w:p>
          <w:p w14:paraId="34E92E83" w14:textId="77777777" w:rsidR="008715BE" w:rsidRPr="00EC75B7" w:rsidRDefault="008715BE">
            <w:pPr>
              <w:pStyle w:val="TableParagraph"/>
              <w:rPr>
                <w:rFonts w:ascii="Verdana" w:hAnsi="Verdana"/>
                <w:b/>
                <w:sz w:val="18"/>
                <w:szCs w:val="18"/>
              </w:rPr>
            </w:pPr>
          </w:p>
          <w:p w14:paraId="70AA3399" w14:textId="77777777" w:rsidR="008715BE" w:rsidRPr="00EC75B7" w:rsidRDefault="008715BE">
            <w:pPr>
              <w:pStyle w:val="TableParagraph"/>
              <w:rPr>
                <w:rFonts w:ascii="Verdana" w:hAnsi="Verdana"/>
                <w:b/>
                <w:sz w:val="18"/>
                <w:szCs w:val="18"/>
              </w:rPr>
            </w:pPr>
          </w:p>
          <w:p w14:paraId="4C8A76E2" w14:textId="77777777" w:rsidR="008715BE" w:rsidRPr="00EC75B7" w:rsidRDefault="008715BE">
            <w:pPr>
              <w:pStyle w:val="TableParagraph"/>
              <w:rPr>
                <w:rFonts w:ascii="Verdana" w:hAnsi="Verdana"/>
                <w:b/>
                <w:sz w:val="18"/>
                <w:szCs w:val="18"/>
              </w:rPr>
            </w:pPr>
          </w:p>
          <w:p w14:paraId="76FF9124" w14:textId="77777777" w:rsidR="008715BE" w:rsidRPr="00EC75B7" w:rsidRDefault="008715BE">
            <w:pPr>
              <w:pStyle w:val="TableParagraph"/>
              <w:spacing w:before="3"/>
              <w:rPr>
                <w:rFonts w:ascii="Verdana" w:hAnsi="Verdana"/>
                <w:b/>
                <w:sz w:val="18"/>
                <w:szCs w:val="18"/>
              </w:rPr>
            </w:pPr>
          </w:p>
          <w:p w14:paraId="45701880" w14:textId="77777777" w:rsidR="008715BE" w:rsidRPr="00EC75B7" w:rsidRDefault="00000000">
            <w:pPr>
              <w:pStyle w:val="TableParagraph"/>
              <w:ind w:left="15" w:right="3"/>
              <w:jc w:val="center"/>
              <w:rPr>
                <w:rFonts w:ascii="Verdana" w:hAnsi="Verdana"/>
                <w:sz w:val="18"/>
                <w:szCs w:val="18"/>
              </w:rPr>
            </w:pPr>
            <w:r w:rsidRPr="00EC75B7">
              <w:rPr>
                <w:rFonts w:ascii="Verdana" w:hAnsi="Verdana"/>
                <w:spacing w:val="-10"/>
                <w:sz w:val="18"/>
                <w:szCs w:val="18"/>
              </w:rPr>
              <w:t>R</w:t>
            </w:r>
          </w:p>
        </w:tc>
        <w:tc>
          <w:tcPr>
            <w:tcW w:w="1890" w:type="dxa"/>
          </w:tcPr>
          <w:p w14:paraId="7868BB3E" w14:textId="77777777" w:rsidR="008715BE" w:rsidRPr="00EC75B7" w:rsidRDefault="00000000">
            <w:pPr>
              <w:pStyle w:val="TableParagraph"/>
              <w:spacing w:before="8"/>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64E42412" w14:textId="77777777" w:rsidR="008715BE" w:rsidRPr="00EC75B7" w:rsidRDefault="00000000">
            <w:pPr>
              <w:pStyle w:val="TableParagraph"/>
              <w:ind w:left="112" w:right="101"/>
              <w:jc w:val="center"/>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in </w:t>
            </w:r>
            <w:r w:rsidRPr="00EC75B7">
              <w:rPr>
                <w:rFonts w:ascii="Verdana" w:hAnsi="Verdana"/>
                <w:spacing w:val="-2"/>
                <w:sz w:val="18"/>
                <w:szCs w:val="18"/>
              </w:rPr>
              <w:t>ROSCI0071, ROSCI0157, ROSPA0166, ROSPA0036, ROSPA0094, BG0000569,</w:t>
            </w:r>
          </w:p>
          <w:p w14:paraId="1F48ABC5" w14:textId="77777777" w:rsidR="008715BE" w:rsidRPr="00EC75B7" w:rsidRDefault="00000000">
            <w:pPr>
              <w:pStyle w:val="TableParagraph"/>
              <w:spacing w:line="161"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41F26741" w14:textId="77777777" w:rsidR="008715BE" w:rsidRPr="00EC75B7" w:rsidRDefault="008715BE">
            <w:pPr>
              <w:pStyle w:val="TableParagraph"/>
              <w:rPr>
                <w:rFonts w:ascii="Verdana" w:hAnsi="Verdana"/>
                <w:b/>
                <w:sz w:val="18"/>
                <w:szCs w:val="18"/>
              </w:rPr>
            </w:pPr>
          </w:p>
          <w:p w14:paraId="0B6FF56B" w14:textId="77777777" w:rsidR="008715BE" w:rsidRPr="00EC75B7" w:rsidRDefault="008715BE">
            <w:pPr>
              <w:pStyle w:val="TableParagraph"/>
              <w:spacing w:before="104"/>
              <w:rPr>
                <w:rFonts w:ascii="Verdana" w:hAnsi="Verdana"/>
                <w:b/>
                <w:sz w:val="18"/>
                <w:szCs w:val="18"/>
              </w:rPr>
            </w:pPr>
          </w:p>
          <w:p w14:paraId="6126C450" w14:textId="77777777" w:rsidR="008715BE" w:rsidRPr="00EC75B7" w:rsidRDefault="00000000">
            <w:pPr>
              <w:pStyle w:val="TableParagraph"/>
              <w:spacing w:before="1"/>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274624FA" w14:textId="77777777" w:rsidR="008715BE" w:rsidRPr="00EC75B7" w:rsidRDefault="008715BE">
            <w:pPr>
              <w:pStyle w:val="TableParagraph"/>
              <w:rPr>
                <w:rFonts w:ascii="Verdana" w:hAnsi="Verdana"/>
                <w:b/>
                <w:sz w:val="18"/>
                <w:szCs w:val="18"/>
              </w:rPr>
            </w:pPr>
          </w:p>
          <w:p w14:paraId="49056496" w14:textId="77777777" w:rsidR="008715BE" w:rsidRPr="00EC75B7" w:rsidRDefault="008715BE">
            <w:pPr>
              <w:pStyle w:val="TableParagraph"/>
              <w:rPr>
                <w:rFonts w:ascii="Verdana" w:hAnsi="Verdana"/>
                <w:b/>
                <w:sz w:val="18"/>
                <w:szCs w:val="18"/>
              </w:rPr>
            </w:pPr>
          </w:p>
          <w:p w14:paraId="6EF09931" w14:textId="77777777" w:rsidR="008715BE" w:rsidRPr="00EC75B7" w:rsidRDefault="008715BE">
            <w:pPr>
              <w:pStyle w:val="TableParagraph"/>
              <w:rPr>
                <w:rFonts w:ascii="Verdana" w:hAnsi="Verdana"/>
                <w:b/>
                <w:sz w:val="18"/>
                <w:szCs w:val="18"/>
              </w:rPr>
            </w:pPr>
          </w:p>
          <w:p w14:paraId="1F31F0AD" w14:textId="77777777" w:rsidR="008715BE" w:rsidRPr="00EC75B7" w:rsidRDefault="008715BE">
            <w:pPr>
              <w:pStyle w:val="TableParagraph"/>
              <w:rPr>
                <w:rFonts w:ascii="Verdana" w:hAnsi="Verdana"/>
                <w:b/>
                <w:sz w:val="18"/>
                <w:szCs w:val="18"/>
              </w:rPr>
            </w:pPr>
          </w:p>
          <w:p w14:paraId="59EAEAB2" w14:textId="77777777" w:rsidR="008715BE" w:rsidRPr="00EC75B7" w:rsidRDefault="008715BE">
            <w:pPr>
              <w:pStyle w:val="TableParagraph"/>
              <w:spacing w:before="3"/>
              <w:rPr>
                <w:rFonts w:ascii="Verdana" w:hAnsi="Verdana"/>
                <w:b/>
                <w:sz w:val="18"/>
                <w:szCs w:val="18"/>
              </w:rPr>
            </w:pPr>
          </w:p>
          <w:p w14:paraId="243AA44E"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78BDFE8D" w14:textId="77777777" w:rsidR="008715BE" w:rsidRPr="00EC75B7" w:rsidRDefault="008715BE">
            <w:pPr>
              <w:pStyle w:val="TableParagraph"/>
              <w:rPr>
                <w:rFonts w:ascii="Verdana" w:hAnsi="Verdana"/>
                <w:b/>
                <w:sz w:val="18"/>
                <w:szCs w:val="18"/>
              </w:rPr>
            </w:pPr>
          </w:p>
          <w:p w14:paraId="2BDB6C99" w14:textId="77777777" w:rsidR="008715BE" w:rsidRPr="00EC75B7" w:rsidRDefault="008715BE">
            <w:pPr>
              <w:pStyle w:val="TableParagraph"/>
              <w:rPr>
                <w:rFonts w:ascii="Verdana" w:hAnsi="Verdana"/>
                <w:b/>
                <w:sz w:val="18"/>
                <w:szCs w:val="18"/>
              </w:rPr>
            </w:pPr>
          </w:p>
          <w:p w14:paraId="1BE1E959" w14:textId="77777777" w:rsidR="008715BE" w:rsidRPr="00EC75B7" w:rsidRDefault="008715BE">
            <w:pPr>
              <w:pStyle w:val="TableParagraph"/>
              <w:rPr>
                <w:rFonts w:ascii="Verdana" w:hAnsi="Verdana"/>
                <w:b/>
                <w:sz w:val="18"/>
                <w:szCs w:val="18"/>
              </w:rPr>
            </w:pPr>
          </w:p>
          <w:p w14:paraId="44C1C4E9" w14:textId="77777777" w:rsidR="008715BE" w:rsidRPr="00EC75B7" w:rsidRDefault="008715BE">
            <w:pPr>
              <w:pStyle w:val="TableParagraph"/>
              <w:rPr>
                <w:rFonts w:ascii="Verdana" w:hAnsi="Verdana"/>
                <w:b/>
                <w:sz w:val="18"/>
                <w:szCs w:val="18"/>
              </w:rPr>
            </w:pPr>
          </w:p>
          <w:p w14:paraId="58AC06B8" w14:textId="77777777" w:rsidR="008715BE" w:rsidRPr="00EC75B7" w:rsidRDefault="008715BE">
            <w:pPr>
              <w:pStyle w:val="TableParagraph"/>
              <w:spacing w:before="3"/>
              <w:rPr>
                <w:rFonts w:ascii="Verdana" w:hAnsi="Verdana"/>
                <w:b/>
                <w:sz w:val="18"/>
                <w:szCs w:val="18"/>
              </w:rPr>
            </w:pPr>
          </w:p>
          <w:p w14:paraId="5A8AA625"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1414C976" w14:textId="77777777" w:rsidR="008715BE" w:rsidRPr="00EC75B7" w:rsidRDefault="008715BE">
            <w:pPr>
              <w:pStyle w:val="TableParagraph"/>
              <w:rPr>
                <w:rFonts w:ascii="Verdana" w:hAnsi="Verdana"/>
                <w:b/>
                <w:sz w:val="18"/>
                <w:szCs w:val="18"/>
              </w:rPr>
            </w:pPr>
          </w:p>
          <w:p w14:paraId="7C817C8B" w14:textId="77777777" w:rsidR="008715BE" w:rsidRPr="00EC75B7" w:rsidRDefault="008715BE">
            <w:pPr>
              <w:pStyle w:val="TableParagraph"/>
              <w:rPr>
                <w:rFonts w:ascii="Verdana" w:hAnsi="Verdana"/>
                <w:b/>
                <w:sz w:val="18"/>
                <w:szCs w:val="18"/>
              </w:rPr>
            </w:pPr>
          </w:p>
          <w:p w14:paraId="0E93E80B" w14:textId="77777777" w:rsidR="008715BE" w:rsidRPr="00EC75B7" w:rsidRDefault="008715BE">
            <w:pPr>
              <w:pStyle w:val="TableParagraph"/>
              <w:rPr>
                <w:rFonts w:ascii="Verdana" w:hAnsi="Verdana"/>
                <w:b/>
                <w:sz w:val="18"/>
                <w:szCs w:val="18"/>
              </w:rPr>
            </w:pPr>
          </w:p>
          <w:p w14:paraId="5B39B819" w14:textId="77777777" w:rsidR="008715BE" w:rsidRPr="00EC75B7" w:rsidRDefault="008715BE">
            <w:pPr>
              <w:pStyle w:val="TableParagraph"/>
              <w:spacing w:before="103"/>
              <w:rPr>
                <w:rFonts w:ascii="Verdana" w:hAnsi="Verdana"/>
                <w:b/>
                <w:sz w:val="18"/>
                <w:szCs w:val="18"/>
              </w:rPr>
            </w:pPr>
          </w:p>
          <w:p w14:paraId="50588992" w14:textId="77777777" w:rsidR="008715BE" w:rsidRPr="00EC75B7" w:rsidRDefault="00000000">
            <w:pPr>
              <w:pStyle w:val="TableParagraph"/>
              <w:ind w:left="741" w:hanging="471"/>
              <w:rPr>
                <w:rFonts w:ascii="Verdana" w:hAnsi="Verdana"/>
                <w:sz w:val="18"/>
                <w:szCs w:val="18"/>
              </w:rPr>
            </w:pPr>
            <w:r w:rsidRPr="00EC75B7">
              <w:rPr>
                <w:rFonts w:ascii="Verdana" w:hAnsi="Verdana"/>
                <w:sz w:val="18"/>
                <w:szCs w:val="18"/>
              </w:rPr>
              <w:t>Turbine area T47, T46, T35, T36, T34</w:t>
            </w:r>
          </w:p>
        </w:tc>
      </w:tr>
      <w:tr w:rsidR="008715BE" w:rsidRPr="00EC75B7" w14:paraId="432BA0DE" w14:textId="77777777">
        <w:trPr>
          <w:trHeight w:val="1554"/>
        </w:trPr>
        <w:tc>
          <w:tcPr>
            <w:tcW w:w="554" w:type="dxa"/>
          </w:tcPr>
          <w:p w14:paraId="4B358833" w14:textId="77777777" w:rsidR="008715BE" w:rsidRPr="00EC75B7" w:rsidRDefault="008715BE">
            <w:pPr>
              <w:pStyle w:val="TableParagraph"/>
              <w:rPr>
                <w:rFonts w:ascii="Verdana" w:hAnsi="Verdana"/>
                <w:b/>
                <w:sz w:val="18"/>
                <w:szCs w:val="18"/>
              </w:rPr>
            </w:pPr>
          </w:p>
          <w:p w14:paraId="5FB6E311" w14:textId="77777777" w:rsidR="008715BE" w:rsidRPr="00EC75B7" w:rsidRDefault="008715BE">
            <w:pPr>
              <w:pStyle w:val="TableParagraph"/>
              <w:rPr>
                <w:rFonts w:ascii="Verdana" w:hAnsi="Verdana"/>
                <w:b/>
                <w:sz w:val="18"/>
                <w:szCs w:val="18"/>
              </w:rPr>
            </w:pPr>
          </w:p>
          <w:p w14:paraId="0631FB84" w14:textId="77777777" w:rsidR="008715BE" w:rsidRPr="00EC75B7" w:rsidRDefault="008715BE">
            <w:pPr>
              <w:pStyle w:val="TableParagraph"/>
              <w:spacing w:before="101"/>
              <w:rPr>
                <w:rFonts w:ascii="Verdana" w:hAnsi="Verdana"/>
                <w:b/>
                <w:sz w:val="18"/>
                <w:szCs w:val="18"/>
              </w:rPr>
            </w:pPr>
          </w:p>
          <w:p w14:paraId="468A9F7D"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M17</w:t>
            </w:r>
          </w:p>
        </w:tc>
        <w:tc>
          <w:tcPr>
            <w:tcW w:w="9161" w:type="dxa"/>
          </w:tcPr>
          <w:p w14:paraId="4F156284" w14:textId="77777777" w:rsidR="008715BE" w:rsidRPr="00EC75B7" w:rsidRDefault="008715BE">
            <w:pPr>
              <w:pStyle w:val="TableParagraph"/>
              <w:spacing w:before="103"/>
              <w:rPr>
                <w:rFonts w:ascii="Verdana" w:hAnsi="Verdana"/>
                <w:b/>
                <w:sz w:val="18"/>
                <w:szCs w:val="18"/>
              </w:rPr>
            </w:pPr>
          </w:p>
          <w:p w14:paraId="02712F35" w14:textId="77777777" w:rsidR="008715BE" w:rsidRPr="00EC75B7" w:rsidRDefault="00000000">
            <w:pPr>
              <w:pStyle w:val="TableParagraph"/>
              <w:ind w:left="108" w:right="130"/>
              <w:rPr>
                <w:rFonts w:ascii="Verdana" w:hAnsi="Verdana"/>
                <w:sz w:val="18"/>
                <w:szCs w:val="18"/>
              </w:rPr>
            </w:pPr>
            <w:r w:rsidRPr="00EC75B7">
              <w:rPr>
                <w:rFonts w:ascii="Verdana" w:hAnsi="Verdana"/>
                <w:sz w:val="18"/>
                <w:szCs w:val="18"/>
              </w:rPr>
              <w:t>The installation of collision risk prevention systems will be implemented from the first year of operation of the wind farm.</w:t>
            </w:r>
            <w:r w:rsidRPr="00EC75B7">
              <w:rPr>
                <w:rFonts w:ascii="Verdana" w:hAnsi="Verdana"/>
                <w:spacing w:val="18"/>
                <w:sz w:val="18"/>
                <w:szCs w:val="18"/>
              </w:rPr>
              <w:t xml:space="preserve"> </w:t>
            </w:r>
            <w:r w:rsidRPr="00EC75B7">
              <w:rPr>
                <w:rFonts w:ascii="Verdana" w:hAnsi="Verdana"/>
                <w:sz w:val="18"/>
                <w:szCs w:val="18"/>
              </w:rPr>
              <w:t xml:space="preserve">An automatic control system for shutting down/reducing the operating speed of turbines (e.g., DTBird, IdentiFlight, Robin Radar Max, STRIX BirdTrack). The system will target bird species for which a significant potential impact has been identified and will be applied from the first year of </w:t>
            </w:r>
            <w:r w:rsidRPr="00EC75B7">
              <w:rPr>
                <w:rFonts w:ascii="Verdana" w:hAnsi="Verdana"/>
                <w:spacing w:val="-2"/>
                <w:sz w:val="18"/>
                <w:szCs w:val="18"/>
              </w:rPr>
              <w:t>operation.</w:t>
            </w:r>
          </w:p>
        </w:tc>
        <w:tc>
          <w:tcPr>
            <w:tcW w:w="962" w:type="dxa"/>
          </w:tcPr>
          <w:p w14:paraId="4B2CC225" w14:textId="77777777" w:rsidR="008715BE" w:rsidRPr="00EC75B7" w:rsidRDefault="008715BE">
            <w:pPr>
              <w:pStyle w:val="TableParagraph"/>
              <w:rPr>
                <w:rFonts w:ascii="Verdana" w:hAnsi="Verdana"/>
                <w:b/>
                <w:sz w:val="18"/>
                <w:szCs w:val="18"/>
              </w:rPr>
            </w:pPr>
          </w:p>
          <w:p w14:paraId="0F20E0A3" w14:textId="77777777" w:rsidR="008715BE" w:rsidRPr="00EC75B7" w:rsidRDefault="008715BE">
            <w:pPr>
              <w:pStyle w:val="TableParagraph"/>
              <w:rPr>
                <w:rFonts w:ascii="Verdana" w:hAnsi="Verdana"/>
                <w:b/>
                <w:sz w:val="18"/>
                <w:szCs w:val="18"/>
              </w:rPr>
            </w:pPr>
          </w:p>
          <w:p w14:paraId="7B567380" w14:textId="77777777" w:rsidR="008715BE" w:rsidRPr="00EC75B7" w:rsidRDefault="008715BE">
            <w:pPr>
              <w:pStyle w:val="TableParagraph"/>
              <w:spacing w:before="101"/>
              <w:rPr>
                <w:rFonts w:ascii="Verdana" w:hAnsi="Verdana"/>
                <w:b/>
                <w:sz w:val="18"/>
                <w:szCs w:val="18"/>
              </w:rPr>
            </w:pPr>
          </w:p>
          <w:p w14:paraId="3E99EEBC" w14:textId="77777777" w:rsidR="008715BE" w:rsidRPr="00EC75B7" w:rsidRDefault="00000000">
            <w:pPr>
              <w:pStyle w:val="TableParagraph"/>
              <w:ind w:left="15" w:right="3"/>
              <w:jc w:val="center"/>
              <w:rPr>
                <w:rFonts w:ascii="Verdana" w:hAnsi="Verdana"/>
                <w:sz w:val="18"/>
                <w:szCs w:val="18"/>
              </w:rPr>
            </w:pPr>
            <w:r w:rsidRPr="00EC75B7">
              <w:rPr>
                <w:rFonts w:ascii="Verdana" w:hAnsi="Verdana"/>
                <w:spacing w:val="-10"/>
                <w:sz w:val="18"/>
                <w:szCs w:val="18"/>
              </w:rPr>
              <w:t>R</w:t>
            </w:r>
          </w:p>
        </w:tc>
        <w:tc>
          <w:tcPr>
            <w:tcW w:w="1890" w:type="dxa"/>
          </w:tcPr>
          <w:p w14:paraId="3268783E" w14:textId="77777777" w:rsidR="008715BE" w:rsidRPr="00EC75B7" w:rsidRDefault="00000000">
            <w:pPr>
              <w:pStyle w:val="TableParagraph"/>
              <w:spacing w:before="104"/>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6CD9A31C" w14:textId="77777777" w:rsidR="008715BE" w:rsidRPr="00EC75B7" w:rsidRDefault="00000000">
            <w:pPr>
              <w:pStyle w:val="TableParagraph"/>
              <w:spacing w:line="193" w:lineRule="exact"/>
              <w:ind w:left="112" w:right="101"/>
              <w:jc w:val="center"/>
              <w:rPr>
                <w:rFonts w:ascii="Verdana" w:hAnsi="Verdana"/>
                <w:sz w:val="18"/>
                <w:szCs w:val="18"/>
              </w:rPr>
            </w:pPr>
            <w:r w:rsidRPr="00EC75B7">
              <w:rPr>
                <w:rFonts w:ascii="Verdana" w:hAnsi="Verdana"/>
                <w:sz w:val="18"/>
                <w:szCs w:val="18"/>
              </w:rPr>
              <w:t xml:space="preserve">potentially </w:t>
            </w:r>
            <w:r w:rsidRPr="00EC75B7">
              <w:rPr>
                <w:rFonts w:ascii="Verdana" w:hAnsi="Verdana"/>
                <w:spacing w:val="-2"/>
                <w:sz w:val="18"/>
                <w:szCs w:val="18"/>
              </w:rPr>
              <w:t>affected</w:t>
            </w:r>
          </w:p>
          <w:p w14:paraId="74535909" w14:textId="77777777" w:rsidR="008715BE" w:rsidRPr="00EC75B7" w:rsidRDefault="00000000">
            <w:pPr>
              <w:pStyle w:val="TableParagraph"/>
              <w:ind w:left="436" w:right="421" w:hanging="2"/>
              <w:jc w:val="center"/>
              <w:rPr>
                <w:rFonts w:ascii="Verdana" w:hAnsi="Verdana"/>
                <w:sz w:val="18"/>
                <w:szCs w:val="18"/>
              </w:rPr>
            </w:pPr>
            <w:r w:rsidRPr="00EC75B7">
              <w:rPr>
                <w:rFonts w:ascii="Verdana" w:hAnsi="Verdana"/>
                <w:spacing w:val="-4"/>
                <w:sz w:val="18"/>
                <w:szCs w:val="18"/>
              </w:rPr>
              <w:t xml:space="preserve">in </w:t>
            </w:r>
            <w:r w:rsidRPr="00EC75B7">
              <w:rPr>
                <w:rFonts w:ascii="Verdana" w:hAnsi="Verdana"/>
                <w:spacing w:val="-2"/>
                <w:sz w:val="18"/>
                <w:szCs w:val="18"/>
              </w:rPr>
              <w:t>ROSPA0166, ROSPA0036, ROSPA0094</w:t>
            </w:r>
          </w:p>
        </w:tc>
        <w:tc>
          <w:tcPr>
            <w:tcW w:w="1273" w:type="dxa"/>
          </w:tcPr>
          <w:p w14:paraId="3C8BB5D1" w14:textId="77777777" w:rsidR="008715BE" w:rsidRPr="00EC75B7" w:rsidRDefault="00000000">
            <w:pPr>
              <w:pStyle w:val="TableParagraph"/>
              <w:spacing w:before="176" w:line="194" w:lineRule="exact"/>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56CADD07" w14:textId="77777777" w:rsidR="008715BE" w:rsidRPr="00EC75B7" w:rsidRDefault="008715BE">
            <w:pPr>
              <w:pStyle w:val="TableParagraph"/>
              <w:rPr>
                <w:rFonts w:ascii="Verdana" w:hAnsi="Verdana"/>
                <w:b/>
                <w:sz w:val="18"/>
                <w:szCs w:val="18"/>
              </w:rPr>
            </w:pPr>
          </w:p>
          <w:p w14:paraId="3F8E4809" w14:textId="77777777" w:rsidR="008715BE" w:rsidRPr="00EC75B7" w:rsidRDefault="008715BE">
            <w:pPr>
              <w:pStyle w:val="TableParagraph"/>
              <w:rPr>
                <w:rFonts w:ascii="Verdana" w:hAnsi="Verdana"/>
                <w:b/>
                <w:sz w:val="18"/>
                <w:szCs w:val="18"/>
              </w:rPr>
            </w:pPr>
          </w:p>
          <w:p w14:paraId="506E49B9" w14:textId="77777777" w:rsidR="008715BE" w:rsidRPr="00EC75B7" w:rsidRDefault="008715BE">
            <w:pPr>
              <w:pStyle w:val="TableParagraph"/>
              <w:spacing w:before="101"/>
              <w:rPr>
                <w:rFonts w:ascii="Verdana" w:hAnsi="Verdana"/>
                <w:b/>
                <w:sz w:val="18"/>
                <w:szCs w:val="18"/>
              </w:rPr>
            </w:pPr>
          </w:p>
          <w:p w14:paraId="320F30D9"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0BD1CB3A" w14:textId="77777777" w:rsidR="008715BE" w:rsidRPr="00EC75B7" w:rsidRDefault="008715BE">
            <w:pPr>
              <w:pStyle w:val="TableParagraph"/>
              <w:rPr>
                <w:rFonts w:ascii="Verdana" w:hAnsi="Verdana"/>
                <w:b/>
                <w:sz w:val="18"/>
                <w:szCs w:val="18"/>
              </w:rPr>
            </w:pPr>
          </w:p>
          <w:p w14:paraId="0A6E341C" w14:textId="77777777" w:rsidR="008715BE" w:rsidRPr="00EC75B7" w:rsidRDefault="008715BE">
            <w:pPr>
              <w:pStyle w:val="TableParagraph"/>
              <w:rPr>
                <w:rFonts w:ascii="Verdana" w:hAnsi="Verdana"/>
                <w:b/>
                <w:sz w:val="18"/>
                <w:szCs w:val="18"/>
              </w:rPr>
            </w:pPr>
          </w:p>
          <w:p w14:paraId="40D1C6F3" w14:textId="77777777" w:rsidR="008715BE" w:rsidRPr="00EC75B7" w:rsidRDefault="008715BE">
            <w:pPr>
              <w:pStyle w:val="TableParagraph"/>
              <w:spacing w:before="101"/>
              <w:rPr>
                <w:rFonts w:ascii="Verdana" w:hAnsi="Verdana"/>
                <w:b/>
                <w:sz w:val="18"/>
                <w:szCs w:val="18"/>
              </w:rPr>
            </w:pPr>
          </w:p>
          <w:p w14:paraId="4ACA3BA2"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4B5E8A25" w14:textId="77777777" w:rsidR="008715BE" w:rsidRPr="00EC75B7" w:rsidRDefault="008715BE">
            <w:pPr>
              <w:pStyle w:val="TableParagraph"/>
              <w:rPr>
                <w:rFonts w:ascii="Verdana" w:hAnsi="Verdana"/>
                <w:b/>
                <w:sz w:val="18"/>
                <w:szCs w:val="18"/>
              </w:rPr>
            </w:pPr>
          </w:p>
          <w:p w14:paraId="04E6948C" w14:textId="77777777" w:rsidR="008715BE" w:rsidRPr="00EC75B7" w:rsidRDefault="008715BE">
            <w:pPr>
              <w:pStyle w:val="TableParagraph"/>
              <w:rPr>
                <w:rFonts w:ascii="Verdana" w:hAnsi="Verdana"/>
                <w:b/>
                <w:sz w:val="18"/>
                <w:szCs w:val="18"/>
              </w:rPr>
            </w:pPr>
          </w:p>
          <w:p w14:paraId="1CDD6FF1" w14:textId="77777777" w:rsidR="008715BE" w:rsidRPr="00EC75B7" w:rsidRDefault="008715BE">
            <w:pPr>
              <w:pStyle w:val="TableParagraph"/>
              <w:spacing w:before="5"/>
              <w:rPr>
                <w:rFonts w:ascii="Verdana" w:hAnsi="Verdana"/>
                <w:b/>
                <w:sz w:val="18"/>
                <w:szCs w:val="18"/>
              </w:rPr>
            </w:pPr>
          </w:p>
          <w:p w14:paraId="761C230D" w14:textId="77777777" w:rsidR="008715BE" w:rsidRPr="00EC75B7" w:rsidRDefault="00000000">
            <w:pPr>
              <w:pStyle w:val="TableParagraph"/>
              <w:spacing w:line="195" w:lineRule="exact"/>
              <w:ind w:left="20"/>
              <w:jc w:val="center"/>
              <w:rPr>
                <w:rFonts w:ascii="Verdana" w:hAnsi="Verdana"/>
                <w:sz w:val="18"/>
                <w:szCs w:val="18"/>
              </w:rPr>
            </w:pPr>
            <w:r w:rsidRPr="00EC75B7">
              <w:rPr>
                <w:rFonts w:ascii="Verdana" w:hAnsi="Verdana"/>
                <w:sz w:val="18"/>
                <w:szCs w:val="18"/>
              </w:rPr>
              <w:t xml:space="preserve">Turbine area T8, T18, </w:t>
            </w:r>
            <w:r w:rsidRPr="00EC75B7">
              <w:rPr>
                <w:rFonts w:ascii="Verdana" w:hAnsi="Verdana"/>
                <w:spacing w:val="-4"/>
                <w:sz w:val="18"/>
                <w:szCs w:val="18"/>
              </w:rPr>
              <w:t>T29.</w:t>
            </w:r>
          </w:p>
          <w:p w14:paraId="307993E6" w14:textId="77777777" w:rsidR="008715BE" w:rsidRPr="00EC75B7" w:rsidRDefault="00000000">
            <w:pPr>
              <w:pStyle w:val="TableParagraph"/>
              <w:spacing w:line="195" w:lineRule="exact"/>
              <w:ind w:left="20" w:right="1"/>
              <w:jc w:val="center"/>
              <w:rPr>
                <w:rFonts w:ascii="Verdana" w:hAnsi="Verdana"/>
                <w:sz w:val="18"/>
                <w:szCs w:val="18"/>
              </w:rPr>
            </w:pPr>
            <w:r w:rsidRPr="00EC75B7">
              <w:rPr>
                <w:rFonts w:ascii="Verdana" w:hAnsi="Verdana"/>
                <w:sz w:val="18"/>
                <w:szCs w:val="18"/>
              </w:rPr>
              <w:t xml:space="preserve">T32 and </w:t>
            </w:r>
            <w:r w:rsidRPr="00EC75B7">
              <w:rPr>
                <w:rFonts w:ascii="Verdana" w:hAnsi="Verdana"/>
                <w:spacing w:val="-5"/>
                <w:sz w:val="18"/>
                <w:szCs w:val="18"/>
              </w:rPr>
              <w:t>T37</w:t>
            </w:r>
          </w:p>
        </w:tc>
      </w:tr>
    </w:tbl>
    <w:p w14:paraId="7BC734F8" w14:textId="77777777" w:rsidR="008715BE" w:rsidRPr="00EC75B7" w:rsidRDefault="008715BE">
      <w:pPr>
        <w:pStyle w:val="TableParagraph"/>
        <w:spacing w:line="195" w:lineRule="exact"/>
        <w:jc w:val="center"/>
        <w:rPr>
          <w:rFonts w:ascii="Verdana" w:hAnsi="Verdana"/>
          <w:sz w:val="18"/>
          <w:szCs w:val="18"/>
        </w:rPr>
        <w:sectPr w:rsidR="008715BE" w:rsidRPr="00EC75B7">
          <w:pgSz w:w="23820" w:h="16840" w:orient="landscape"/>
          <w:pgMar w:top="1160" w:right="1417" w:bottom="1020" w:left="850" w:header="766" w:footer="824" w:gutter="0"/>
          <w:cols w:space="708"/>
        </w:sectPr>
      </w:pPr>
    </w:p>
    <w:p w14:paraId="24480382" w14:textId="77777777" w:rsidR="008715BE" w:rsidRPr="00EC75B7" w:rsidRDefault="008715BE">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8715BE" w:rsidRPr="00EC75B7" w14:paraId="28641D84" w14:textId="77777777">
        <w:trPr>
          <w:trHeight w:val="1202"/>
        </w:trPr>
        <w:tc>
          <w:tcPr>
            <w:tcW w:w="9715" w:type="dxa"/>
            <w:gridSpan w:val="2"/>
            <w:shd w:val="clear" w:color="auto" w:fill="00AFEF"/>
          </w:tcPr>
          <w:p w14:paraId="79BB5DFA" w14:textId="77777777" w:rsidR="008715BE" w:rsidRPr="00EC75B7" w:rsidRDefault="008715BE">
            <w:pPr>
              <w:pStyle w:val="TableParagraph"/>
              <w:rPr>
                <w:rFonts w:ascii="Verdana" w:hAnsi="Verdana"/>
                <w:b/>
                <w:sz w:val="18"/>
                <w:szCs w:val="18"/>
              </w:rPr>
            </w:pPr>
          </w:p>
          <w:p w14:paraId="2411322A" w14:textId="77777777" w:rsidR="008715BE" w:rsidRPr="00EC75B7" w:rsidRDefault="008715BE">
            <w:pPr>
              <w:pStyle w:val="TableParagraph"/>
              <w:spacing w:before="26"/>
              <w:rPr>
                <w:rFonts w:ascii="Verdana" w:hAnsi="Verdana"/>
                <w:b/>
                <w:sz w:val="18"/>
                <w:szCs w:val="18"/>
              </w:rPr>
            </w:pPr>
          </w:p>
          <w:p w14:paraId="42BE2FED" w14:textId="77777777" w:rsidR="008715BE" w:rsidRPr="00EC75B7" w:rsidRDefault="00000000">
            <w:pPr>
              <w:pStyle w:val="TableParagraph"/>
              <w:ind w:left="4440" w:right="4429" w:firstLine="4"/>
              <w:jc w:val="center"/>
              <w:rPr>
                <w:rFonts w:ascii="Verdana" w:hAnsi="Verdana"/>
                <w:b/>
                <w:sz w:val="18"/>
                <w:szCs w:val="18"/>
              </w:rPr>
            </w:pPr>
            <w:r w:rsidRPr="00EC75B7">
              <w:rPr>
                <w:rFonts w:ascii="Verdana" w:hAnsi="Verdana"/>
                <w:b/>
                <w:color w:val="FFFFFF"/>
                <w:sz w:val="18"/>
                <w:szCs w:val="18"/>
              </w:rPr>
              <w:t xml:space="preserve">Measurement </w:t>
            </w:r>
            <w:r w:rsidRPr="00EC75B7">
              <w:rPr>
                <w:rFonts w:ascii="Verdana" w:hAnsi="Verdana"/>
                <w:b/>
                <w:color w:val="FFFFFF"/>
                <w:spacing w:val="-2"/>
                <w:sz w:val="18"/>
                <w:szCs w:val="18"/>
              </w:rPr>
              <w:t>description</w:t>
            </w:r>
          </w:p>
        </w:tc>
        <w:tc>
          <w:tcPr>
            <w:tcW w:w="962" w:type="dxa"/>
            <w:shd w:val="clear" w:color="auto" w:fill="00AFEF"/>
          </w:tcPr>
          <w:p w14:paraId="1541798E" w14:textId="77777777" w:rsidR="008715BE" w:rsidRPr="00EC75B7" w:rsidRDefault="008715BE">
            <w:pPr>
              <w:pStyle w:val="TableParagraph"/>
              <w:spacing w:before="122"/>
              <w:rPr>
                <w:rFonts w:ascii="Verdana" w:hAnsi="Verdana"/>
                <w:b/>
                <w:sz w:val="18"/>
                <w:szCs w:val="18"/>
              </w:rPr>
            </w:pPr>
          </w:p>
          <w:p w14:paraId="0BE109FE"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4"/>
                <w:sz w:val="18"/>
                <w:szCs w:val="18"/>
              </w:rPr>
              <w:t xml:space="preserve">Type of </w:t>
            </w:r>
            <w:r w:rsidRPr="00EC75B7">
              <w:rPr>
                <w:rFonts w:ascii="Verdana" w:hAnsi="Verdana"/>
                <w:b/>
                <w:color w:val="FFFFFF"/>
                <w:spacing w:val="-2"/>
                <w:sz w:val="18"/>
                <w:szCs w:val="18"/>
              </w:rPr>
              <w:t>measure (P/E/R)</w:t>
            </w:r>
          </w:p>
        </w:tc>
        <w:tc>
          <w:tcPr>
            <w:tcW w:w="1890" w:type="dxa"/>
            <w:shd w:val="clear" w:color="auto" w:fill="00AFEF"/>
          </w:tcPr>
          <w:p w14:paraId="5348FABD" w14:textId="77777777" w:rsidR="008715BE" w:rsidRPr="00EC75B7" w:rsidRDefault="008715BE">
            <w:pPr>
              <w:pStyle w:val="TableParagraph"/>
              <w:spacing w:before="122"/>
              <w:rPr>
                <w:rFonts w:ascii="Verdana" w:hAnsi="Verdana"/>
                <w:b/>
                <w:sz w:val="18"/>
                <w:szCs w:val="18"/>
              </w:rPr>
            </w:pPr>
          </w:p>
          <w:p w14:paraId="31C7F79B" w14:textId="77777777" w:rsidR="008715BE" w:rsidRPr="00EC75B7" w:rsidRDefault="00000000">
            <w:pPr>
              <w:pStyle w:val="TableParagraph"/>
              <w:ind w:left="522" w:right="86" w:firstLine="74"/>
              <w:rPr>
                <w:rFonts w:ascii="Verdana" w:hAnsi="Verdana"/>
                <w:b/>
                <w:sz w:val="18"/>
                <w:szCs w:val="18"/>
              </w:rPr>
            </w:pPr>
            <w:r w:rsidRPr="00EC75B7">
              <w:rPr>
                <w:rFonts w:ascii="Verdana" w:hAnsi="Verdana"/>
                <w:b/>
                <w:color w:val="FFFFFF"/>
                <w:spacing w:val="-2"/>
                <w:sz w:val="18"/>
                <w:szCs w:val="18"/>
              </w:rPr>
              <w:t>Affected species/habitat</w:t>
            </w:r>
          </w:p>
        </w:tc>
        <w:tc>
          <w:tcPr>
            <w:tcW w:w="1273" w:type="dxa"/>
            <w:shd w:val="clear" w:color="auto" w:fill="00AFEF"/>
          </w:tcPr>
          <w:p w14:paraId="5F72D211" w14:textId="77777777" w:rsidR="008715BE" w:rsidRPr="00EC75B7" w:rsidRDefault="008715BE">
            <w:pPr>
              <w:pStyle w:val="TableParagraph"/>
              <w:spacing w:before="26"/>
              <w:rPr>
                <w:rFonts w:ascii="Verdana" w:hAnsi="Verdana"/>
                <w:b/>
                <w:sz w:val="18"/>
                <w:szCs w:val="18"/>
              </w:rPr>
            </w:pPr>
          </w:p>
          <w:p w14:paraId="52F1D16F"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2"/>
                <w:sz w:val="18"/>
                <w:szCs w:val="18"/>
              </w:rPr>
              <w:t xml:space="preserve">Parameter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1619" w:type="dxa"/>
            <w:shd w:val="clear" w:color="auto" w:fill="00AFEF"/>
          </w:tcPr>
          <w:p w14:paraId="21FC6173" w14:textId="77777777" w:rsidR="008715BE" w:rsidRPr="00EC75B7" w:rsidRDefault="008715BE">
            <w:pPr>
              <w:pStyle w:val="TableParagraph"/>
              <w:spacing w:before="26"/>
              <w:rPr>
                <w:rFonts w:ascii="Verdana" w:hAnsi="Verdana"/>
                <w:b/>
                <w:sz w:val="18"/>
                <w:szCs w:val="18"/>
              </w:rPr>
            </w:pPr>
          </w:p>
          <w:p w14:paraId="6A332F3F" w14:textId="77777777" w:rsidR="008715BE" w:rsidRPr="00EC75B7" w:rsidRDefault="00000000">
            <w:pPr>
              <w:pStyle w:val="TableParagraph"/>
              <w:ind w:left="357" w:right="333"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2802" w:type="dxa"/>
            <w:shd w:val="clear" w:color="auto" w:fill="00AFEF"/>
          </w:tcPr>
          <w:p w14:paraId="48A8861D" w14:textId="77777777" w:rsidR="008715BE" w:rsidRPr="00EC75B7" w:rsidRDefault="008715BE">
            <w:pPr>
              <w:pStyle w:val="TableParagraph"/>
              <w:spacing w:before="122"/>
              <w:rPr>
                <w:rFonts w:ascii="Verdana" w:hAnsi="Verdana"/>
                <w:b/>
                <w:sz w:val="18"/>
                <w:szCs w:val="18"/>
              </w:rPr>
            </w:pPr>
          </w:p>
          <w:p w14:paraId="042DD48A" w14:textId="77777777" w:rsidR="008715BE" w:rsidRPr="00EC75B7" w:rsidRDefault="00000000">
            <w:pPr>
              <w:pStyle w:val="TableParagraph"/>
              <w:ind w:left="771" w:right="750"/>
              <w:jc w:val="center"/>
              <w:rPr>
                <w:rFonts w:ascii="Verdana" w:hAnsi="Verdana"/>
                <w:b/>
                <w:sz w:val="18"/>
                <w:szCs w:val="18"/>
              </w:rPr>
            </w:pPr>
            <w:r w:rsidRPr="00EC75B7">
              <w:rPr>
                <w:rFonts w:ascii="Verdana" w:hAnsi="Verdana"/>
                <w:b/>
                <w:color w:val="FFFFFF"/>
                <w:sz w:val="18"/>
                <w:szCs w:val="18"/>
              </w:rPr>
              <w:t xml:space="preserve">Period of </w:t>
            </w:r>
            <w:r w:rsidRPr="00EC75B7">
              <w:rPr>
                <w:rFonts w:ascii="Verdana" w:hAnsi="Verdana"/>
                <w:b/>
                <w:color w:val="FFFFFF"/>
                <w:spacing w:val="-2"/>
                <w:sz w:val="18"/>
                <w:szCs w:val="18"/>
              </w:rPr>
              <w:t xml:space="preserve">implementation </w:t>
            </w:r>
            <w:r w:rsidRPr="00EC75B7">
              <w:rPr>
                <w:rFonts w:ascii="Verdana" w:hAnsi="Verdana"/>
                <w:b/>
                <w:color w:val="FFFFFF"/>
                <w:sz w:val="18"/>
                <w:szCs w:val="18"/>
              </w:rPr>
              <w:t>of the measure</w:t>
            </w:r>
          </w:p>
        </w:tc>
        <w:tc>
          <w:tcPr>
            <w:tcW w:w="2608" w:type="dxa"/>
            <w:shd w:val="clear" w:color="auto" w:fill="00AFEF"/>
          </w:tcPr>
          <w:p w14:paraId="6D3F68FA" w14:textId="77777777" w:rsidR="008715BE" w:rsidRPr="00EC75B7" w:rsidRDefault="008715BE">
            <w:pPr>
              <w:pStyle w:val="TableParagraph"/>
              <w:spacing w:before="122"/>
              <w:rPr>
                <w:rFonts w:ascii="Verdana" w:hAnsi="Verdana"/>
                <w:b/>
                <w:sz w:val="18"/>
                <w:szCs w:val="18"/>
              </w:rPr>
            </w:pPr>
          </w:p>
          <w:p w14:paraId="34AB3D86" w14:textId="77777777" w:rsidR="008715BE" w:rsidRPr="00EC75B7" w:rsidRDefault="00000000">
            <w:pPr>
              <w:pStyle w:val="TableParagraph"/>
              <w:ind w:left="681" w:right="657" w:hanging="2"/>
              <w:jc w:val="center"/>
              <w:rPr>
                <w:rFonts w:ascii="Verdana" w:hAnsi="Verdana"/>
                <w:b/>
                <w:sz w:val="18"/>
                <w:szCs w:val="18"/>
              </w:rPr>
            </w:pPr>
            <w:r w:rsidRPr="00EC75B7">
              <w:rPr>
                <w:rFonts w:ascii="Verdana" w:hAnsi="Verdana"/>
                <w:b/>
                <w:color w:val="FFFFFF"/>
                <w:spacing w:val="-2"/>
                <w:sz w:val="18"/>
                <w:szCs w:val="18"/>
              </w:rPr>
              <w:t>Location of measure implementation</w:t>
            </w:r>
          </w:p>
        </w:tc>
      </w:tr>
      <w:tr w:rsidR="008715BE" w:rsidRPr="00EC75B7" w14:paraId="02AB528A" w14:textId="77777777">
        <w:trPr>
          <w:trHeight w:val="1554"/>
        </w:trPr>
        <w:tc>
          <w:tcPr>
            <w:tcW w:w="554" w:type="dxa"/>
          </w:tcPr>
          <w:p w14:paraId="23CD10A5" w14:textId="77777777" w:rsidR="008715BE" w:rsidRPr="00EC75B7" w:rsidRDefault="008715BE">
            <w:pPr>
              <w:pStyle w:val="TableParagraph"/>
              <w:rPr>
                <w:rFonts w:ascii="Verdana" w:hAnsi="Verdana"/>
                <w:b/>
                <w:sz w:val="18"/>
                <w:szCs w:val="18"/>
              </w:rPr>
            </w:pPr>
          </w:p>
          <w:p w14:paraId="0D044C8E" w14:textId="77777777" w:rsidR="008715BE" w:rsidRPr="00EC75B7" w:rsidRDefault="008715BE">
            <w:pPr>
              <w:pStyle w:val="TableParagraph"/>
              <w:rPr>
                <w:rFonts w:ascii="Verdana" w:hAnsi="Verdana"/>
                <w:b/>
                <w:sz w:val="18"/>
                <w:szCs w:val="18"/>
              </w:rPr>
            </w:pPr>
          </w:p>
          <w:p w14:paraId="78F9A96A" w14:textId="77777777" w:rsidR="008715BE" w:rsidRPr="00EC75B7" w:rsidRDefault="008715BE">
            <w:pPr>
              <w:pStyle w:val="TableParagraph"/>
              <w:spacing w:before="101"/>
              <w:rPr>
                <w:rFonts w:ascii="Verdana" w:hAnsi="Verdana"/>
                <w:b/>
                <w:sz w:val="18"/>
                <w:szCs w:val="18"/>
              </w:rPr>
            </w:pPr>
          </w:p>
          <w:p w14:paraId="1CE552CD"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M18</w:t>
            </w:r>
          </w:p>
        </w:tc>
        <w:tc>
          <w:tcPr>
            <w:tcW w:w="9161" w:type="dxa"/>
          </w:tcPr>
          <w:p w14:paraId="24A64FBA" w14:textId="77777777" w:rsidR="008715BE" w:rsidRPr="00EC75B7" w:rsidRDefault="008715BE">
            <w:pPr>
              <w:pStyle w:val="TableParagraph"/>
              <w:spacing w:before="7"/>
              <w:rPr>
                <w:rFonts w:ascii="Verdana" w:hAnsi="Verdana"/>
                <w:b/>
                <w:sz w:val="18"/>
                <w:szCs w:val="18"/>
              </w:rPr>
            </w:pPr>
          </w:p>
          <w:p w14:paraId="1B4D5077" w14:textId="77777777" w:rsidR="008715BE" w:rsidRPr="00EC75B7" w:rsidRDefault="00000000">
            <w:pPr>
              <w:pStyle w:val="TableParagraph"/>
              <w:ind w:left="108" w:right="295"/>
              <w:rPr>
                <w:rFonts w:ascii="Verdana" w:hAnsi="Verdana"/>
                <w:sz w:val="18"/>
                <w:szCs w:val="18"/>
              </w:rPr>
            </w:pPr>
            <w:r w:rsidRPr="00EC75B7">
              <w:rPr>
                <w:rFonts w:ascii="Verdana" w:hAnsi="Verdana"/>
                <w:sz w:val="18"/>
                <w:szCs w:val="18"/>
              </w:rPr>
              <w:t>Installation of a video system for bird detection on turbines T8, T18, T29, T32, and T37. High-resolution camera systems will be installed. The signal emission system must be installed during the first year of operation of the wind farm.</w:t>
            </w:r>
          </w:p>
          <w:p w14:paraId="00149A0F" w14:textId="77777777" w:rsidR="008715BE" w:rsidRPr="00EC75B7" w:rsidRDefault="00000000">
            <w:pPr>
              <w:pStyle w:val="TableParagraph"/>
              <w:ind w:left="108" w:right="143"/>
              <w:rPr>
                <w:rFonts w:ascii="Verdana" w:hAnsi="Verdana"/>
                <w:sz w:val="18"/>
                <w:szCs w:val="18"/>
              </w:rPr>
            </w:pPr>
            <w:r w:rsidRPr="00EC75B7">
              <w:rPr>
                <w:rFonts w:ascii="Verdana" w:hAnsi="Verdana"/>
                <w:sz w:val="18"/>
                <w:szCs w:val="18"/>
              </w:rPr>
              <w:t>The camera system detects birds from a distance of up to 600 m and emits repellent sounds. If the bird continues to approach the turbine, after 300 meters the blades begin to slow down to a speed of 3 rpm, which eliminates the risk of collision.</w:t>
            </w:r>
          </w:p>
        </w:tc>
        <w:tc>
          <w:tcPr>
            <w:tcW w:w="962" w:type="dxa"/>
          </w:tcPr>
          <w:p w14:paraId="3166E719" w14:textId="77777777" w:rsidR="008715BE" w:rsidRPr="00EC75B7" w:rsidRDefault="008715BE">
            <w:pPr>
              <w:pStyle w:val="TableParagraph"/>
              <w:rPr>
                <w:rFonts w:ascii="Verdana" w:hAnsi="Verdana"/>
                <w:b/>
                <w:sz w:val="18"/>
                <w:szCs w:val="18"/>
              </w:rPr>
            </w:pPr>
          </w:p>
          <w:p w14:paraId="53BC8605" w14:textId="77777777" w:rsidR="008715BE" w:rsidRPr="00EC75B7" w:rsidRDefault="008715BE">
            <w:pPr>
              <w:pStyle w:val="TableParagraph"/>
              <w:rPr>
                <w:rFonts w:ascii="Verdana" w:hAnsi="Verdana"/>
                <w:b/>
                <w:sz w:val="18"/>
                <w:szCs w:val="18"/>
              </w:rPr>
            </w:pPr>
          </w:p>
          <w:p w14:paraId="026E506D" w14:textId="77777777" w:rsidR="008715BE" w:rsidRPr="00EC75B7" w:rsidRDefault="008715BE">
            <w:pPr>
              <w:pStyle w:val="TableParagraph"/>
              <w:spacing w:before="101"/>
              <w:rPr>
                <w:rFonts w:ascii="Verdana" w:hAnsi="Verdana"/>
                <w:b/>
                <w:sz w:val="18"/>
                <w:szCs w:val="18"/>
              </w:rPr>
            </w:pPr>
          </w:p>
          <w:p w14:paraId="5D101A92" w14:textId="77777777" w:rsidR="008715BE" w:rsidRPr="00EC75B7" w:rsidRDefault="00000000">
            <w:pPr>
              <w:pStyle w:val="TableParagraph"/>
              <w:ind w:left="15" w:right="5"/>
              <w:jc w:val="center"/>
              <w:rPr>
                <w:rFonts w:ascii="Verdana" w:hAnsi="Verdana"/>
                <w:sz w:val="18"/>
                <w:szCs w:val="18"/>
              </w:rPr>
            </w:pPr>
            <w:r w:rsidRPr="00EC75B7">
              <w:rPr>
                <w:rFonts w:ascii="Verdana" w:hAnsi="Verdana"/>
                <w:spacing w:val="-5"/>
                <w:sz w:val="18"/>
                <w:szCs w:val="18"/>
              </w:rPr>
              <w:t>E,R</w:t>
            </w:r>
          </w:p>
        </w:tc>
        <w:tc>
          <w:tcPr>
            <w:tcW w:w="1890" w:type="dxa"/>
          </w:tcPr>
          <w:p w14:paraId="4DD83CFD" w14:textId="77777777" w:rsidR="008715BE" w:rsidRPr="00EC75B7" w:rsidRDefault="00000000">
            <w:pPr>
              <w:pStyle w:val="TableParagraph"/>
              <w:spacing w:before="104"/>
              <w:ind w:left="112" w:right="97"/>
              <w:jc w:val="center"/>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7BA8A09B" w14:textId="77777777" w:rsidR="008715BE" w:rsidRPr="00EC75B7" w:rsidRDefault="00000000">
            <w:pPr>
              <w:pStyle w:val="TableParagraph"/>
              <w:spacing w:line="193" w:lineRule="exact"/>
              <w:ind w:left="112" w:right="101"/>
              <w:jc w:val="center"/>
              <w:rPr>
                <w:rFonts w:ascii="Verdana" w:hAnsi="Verdana"/>
                <w:sz w:val="18"/>
                <w:szCs w:val="18"/>
              </w:rPr>
            </w:pPr>
            <w:r w:rsidRPr="00EC75B7">
              <w:rPr>
                <w:rFonts w:ascii="Verdana" w:hAnsi="Verdana"/>
                <w:sz w:val="18"/>
                <w:szCs w:val="18"/>
              </w:rPr>
              <w:t xml:space="preserve">potentially </w:t>
            </w:r>
            <w:r w:rsidRPr="00EC75B7">
              <w:rPr>
                <w:rFonts w:ascii="Verdana" w:hAnsi="Verdana"/>
                <w:spacing w:val="-2"/>
                <w:sz w:val="18"/>
                <w:szCs w:val="18"/>
              </w:rPr>
              <w:t>affected</w:t>
            </w:r>
          </w:p>
          <w:p w14:paraId="0F264D54" w14:textId="77777777" w:rsidR="008715BE" w:rsidRPr="00EC75B7" w:rsidRDefault="00000000">
            <w:pPr>
              <w:pStyle w:val="TableParagraph"/>
              <w:ind w:left="436" w:right="421" w:hanging="2"/>
              <w:jc w:val="center"/>
              <w:rPr>
                <w:rFonts w:ascii="Verdana" w:hAnsi="Verdana"/>
                <w:sz w:val="18"/>
                <w:szCs w:val="18"/>
              </w:rPr>
            </w:pPr>
            <w:r w:rsidRPr="00EC75B7">
              <w:rPr>
                <w:rFonts w:ascii="Verdana" w:hAnsi="Verdana"/>
                <w:spacing w:val="-4"/>
                <w:sz w:val="18"/>
                <w:szCs w:val="18"/>
              </w:rPr>
              <w:t xml:space="preserve">in </w:t>
            </w:r>
            <w:r w:rsidRPr="00EC75B7">
              <w:rPr>
                <w:rFonts w:ascii="Verdana" w:hAnsi="Verdana"/>
                <w:spacing w:val="-2"/>
                <w:sz w:val="18"/>
                <w:szCs w:val="18"/>
              </w:rPr>
              <w:t>ROSPA0166, ROSPA0036, ROSPA0094</w:t>
            </w:r>
          </w:p>
        </w:tc>
        <w:tc>
          <w:tcPr>
            <w:tcW w:w="1273" w:type="dxa"/>
          </w:tcPr>
          <w:p w14:paraId="4B713C19" w14:textId="77777777" w:rsidR="008715BE" w:rsidRPr="00EC75B7" w:rsidRDefault="00000000">
            <w:pPr>
              <w:pStyle w:val="TableParagraph"/>
              <w:spacing w:before="176" w:line="194" w:lineRule="exact"/>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521B67D8" w14:textId="77777777" w:rsidR="008715BE" w:rsidRPr="00EC75B7" w:rsidRDefault="008715BE">
            <w:pPr>
              <w:pStyle w:val="TableParagraph"/>
              <w:rPr>
                <w:rFonts w:ascii="Verdana" w:hAnsi="Verdana"/>
                <w:b/>
                <w:sz w:val="18"/>
                <w:szCs w:val="18"/>
              </w:rPr>
            </w:pPr>
          </w:p>
          <w:p w14:paraId="006B9E5E" w14:textId="77777777" w:rsidR="008715BE" w:rsidRPr="00EC75B7" w:rsidRDefault="008715BE">
            <w:pPr>
              <w:pStyle w:val="TableParagraph"/>
              <w:rPr>
                <w:rFonts w:ascii="Verdana" w:hAnsi="Verdana"/>
                <w:b/>
                <w:sz w:val="18"/>
                <w:szCs w:val="18"/>
              </w:rPr>
            </w:pPr>
          </w:p>
          <w:p w14:paraId="3BA727E8" w14:textId="77777777" w:rsidR="008715BE" w:rsidRPr="00EC75B7" w:rsidRDefault="008715BE">
            <w:pPr>
              <w:pStyle w:val="TableParagraph"/>
              <w:spacing w:before="101"/>
              <w:rPr>
                <w:rFonts w:ascii="Verdana" w:hAnsi="Verdana"/>
                <w:b/>
                <w:sz w:val="18"/>
                <w:szCs w:val="18"/>
              </w:rPr>
            </w:pPr>
          </w:p>
          <w:p w14:paraId="16B2CC1F" w14:textId="77777777" w:rsidR="008715BE" w:rsidRPr="00EC75B7" w:rsidRDefault="00000000">
            <w:pPr>
              <w:pStyle w:val="TableParagraph"/>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644D8239" w14:textId="77777777" w:rsidR="008715BE" w:rsidRPr="00EC75B7" w:rsidRDefault="008715BE">
            <w:pPr>
              <w:pStyle w:val="TableParagraph"/>
              <w:rPr>
                <w:rFonts w:ascii="Verdana" w:hAnsi="Verdana"/>
                <w:b/>
                <w:sz w:val="18"/>
                <w:szCs w:val="18"/>
              </w:rPr>
            </w:pPr>
          </w:p>
          <w:p w14:paraId="0C89B10F" w14:textId="77777777" w:rsidR="008715BE" w:rsidRPr="00EC75B7" w:rsidRDefault="008715BE">
            <w:pPr>
              <w:pStyle w:val="TableParagraph"/>
              <w:rPr>
                <w:rFonts w:ascii="Verdana" w:hAnsi="Verdana"/>
                <w:b/>
                <w:sz w:val="18"/>
                <w:szCs w:val="18"/>
              </w:rPr>
            </w:pPr>
          </w:p>
          <w:p w14:paraId="195A3297" w14:textId="77777777" w:rsidR="008715BE" w:rsidRPr="00EC75B7" w:rsidRDefault="008715BE">
            <w:pPr>
              <w:pStyle w:val="TableParagraph"/>
              <w:spacing w:before="101"/>
              <w:rPr>
                <w:rFonts w:ascii="Verdana" w:hAnsi="Verdana"/>
                <w:b/>
                <w:sz w:val="18"/>
                <w:szCs w:val="18"/>
              </w:rPr>
            </w:pPr>
          </w:p>
          <w:p w14:paraId="34538FCA" w14:textId="77777777" w:rsidR="008715BE" w:rsidRPr="00EC75B7" w:rsidRDefault="00000000">
            <w:pPr>
              <w:pStyle w:val="TableParagraph"/>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04C0166C" w14:textId="77777777" w:rsidR="008715BE" w:rsidRPr="00EC75B7" w:rsidRDefault="008715BE">
            <w:pPr>
              <w:pStyle w:val="TableParagraph"/>
              <w:rPr>
                <w:rFonts w:ascii="Verdana" w:hAnsi="Verdana"/>
                <w:b/>
                <w:sz w:val="18"/>
                <w:szCs w:val="18"/>
              </w:rPr>
            </w:pPr>
          </w:p>
          <w:p w14:paraId="5828DF23" w14:textId="77777777" w:rsidR="008715BE" w:rsidRPr="00EC75B7" w:rsidRDefault="008715BE">
            <w:pPr>
              <w:pStyle w:val="TableParagraph"/>
              <w:rPr>
                <w:rFonts w:ascii="Verdana" w:hAnsi="Verdana"/>
                <w:b/>
                <w:sz w:val="18"/>
                <w:szCs w:val="18"/>
              </w:rPr>
            </w:pPr>
          </w:p>
          <w:p w14:paraId="33051A82" w14:textId="77777777" w:rsidR="008715BE" w:rsidRPr="00EC75B7" w:rsidRDefault="008715BE">
            <w:pPr>
              <w:pStyle w:val="TableParagraph"/>
              <w:spacing w:before="5"/>
              <w:rPr>
                <w:rFonts w:ascii="Verdana" w:hAnsi="Verdana"/>
                <w:b/>
                <w:sz w:val="18"/>
                <w:szCs w:val="18"/>
              </w:rPr>
            </w:pPr>
          </w:p>
          <w:p w14:paraId="65D6AA11" w14:textId="77777777" w:rsidR="008715BE" w:rsidRPr="00EC75B7" w:rsidRDefault="00000000">
            <w:pPr>
              <w:pStyle w:val="TableParagraph"/>
              <w:spacing w:line="195" w:lineRule="exact"/>
              <w:ind w:left="20"/>
              <w:jc w:val="center"/>
              <w:rPr>
                <w:rFonts w:ascii="Verdana" w:hAnsi="Verdana"/>
                <w:sz w:val="18"/>
                <w:szCs w:val="18"/>
              </w:rPr>
            </w:pPr>
            <w:r w:rsidRPr="00EC75B7">
              <w:rPr>
                <w:rFonts w:ascii="Verdana" w:hAnsi="Verdana"/>
                <w:sz w:val="18"/>
                <w:szCs w:val="18"/>
              </w:rPr>
              <w:t xml:space="preserve">Turbine area T8, T18, </w:t>
            </w:r>
            <w:r w:rsidRPr="00EC75B7">
              <w:rPr>
                <w:rFonts w:ascii="Verdana" w:hAnsi="Verdana"/>
                <w:spacing w:val="-4"/>
                <w:sz w:val="18"/>
                <w:szCs w:val="18"/>
              </w:rPr>
              <w:t>T29.</w:t>
            </w:r>
          </w:p>
          <w:p w14:paraId="77473AE5" w14:textId="77777777" w:rsidR="008715BE" w:rsidRPr="00EC75B7" w:rsidRDefault="00000000">
            <w:pPr>
              <w:pStyle w:val="TableParagraph"/>
              <w:spacing w:line="195" w:lineRule="exact"/>
              <w:ind w:left="20" w:right="1"/>
              <w:jc w:val="center"/>
              <w:rPr>
                <w:rFonts w:ascii="Verdana" w:hAnsi="Verdana"/>
                <w:sz w:val="18"/>
                <w:szCs w:val="18"/>
              </w:rPr>
            </w:pPr>
            <w:r w:rsidRPr="00EC75B7">
              <w:rPr>
                <w:rFonts w:ascii="Verdana" w:hAnsi="Verdana"/>
                <w:sz w:val="18"/>
                <w:szCs w:val="18"/>
              </w:rPr>
              <w:t xml:space="preserve">T32 and </w:t>
            </w:r>
            <w:r w:rsidRPr="00EC75B7">
              <w:rPr>
                <w:rFonts w:ascii="Verdana" w:hAnsi="Verdana"/>
                <w:spacing w:val="-5"/>
                <w:sz w:val="18"/>
                <w:szCs w:val="18"/>
              </w:rPr>
              <w:t>T37</w:t>
            </w:r>
          </w:p>
        </w:tc>
      </w:tr>
      <w:tr w:rsidR="008715BE" w:rsidRPr="00EC75B7" w14:paraId="5A7CA1D7" w14:textId="77777777">
        <w:trPr>
          <w:trHeight w:val="1555"/>
        </w:trPr>
        <w:tc>
          <w:tcPr>
            <w:tcW w:w="554" w:type="dxa"/>
          </w:tcPr>
          <w:p w14:paraId="018A289E" w14:textId="77777777" w:rsidR="008715BE" w:rsidRPr="00EC75B7" w:rsidRDefault="008715BE">
            <w:pPr>
              <w:pStyle w:val="TableParagraph"/>
              <w:rPr>
                <w:rFonts w:ascii="Verdana" w:hAnsi="Verdana"/>
                <w:b/>
                <w:sz w:val="18"/>
                <w:szCs w:val="18"/>
              </w:rPr>
            </w:pPr>
          </w:p>
          <w:p w14:paraId="2C44D685" w14:textId="77777777" w:rsidR="008715BE" w:rsidRPr="00EC75B7" w:rsidRDefault="008715BE">
            <w:pPr>
              <w:pStyle w:val="TableParagraph"/>
              <w:rPr>
                <w:rFonts w:ascii="Verdana" w:hAnsi="Verdana"/>
                <w:b/>
                <w:sz w:val="18"/>
                <w:szCs w:val="18"/>
              </w:rPr>
            </w:pPr>
          </w:p>
          <w:p w14:paraId="67E681BA" w14:textId="77777777" w:rsidR="008715BE" w:rsidRPr="00EC75B7" w:rsidRDefault="008715BE">
            <w:pPr>
              <w:pStyle w:val="TableParagraph"/>
              <w:spacing w:before="103"/>
              <w:rPr>
                <w:rFonts w:ascii="Verdana" w:hAnsi="Verdana"/>
                <w:b/>
                <w:sz w:val="18"/>
                <w:szCs w:val="18"/>
              </w:rPr>
            </w:pPr>
          </w:p>
          <w:p w14:paraId="110BAC54"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5"/>
                <w:sz w:val="18"/>
                <w:szCs w:val="18"/>
              </w:rPr>
              <w:t>M19</w:t>
            </w:r>
          </w:p>
        </w:tc>
        <w:tc>
          <w:tcPr>
            <w:tcW w:w="9161" w:type="dxa"/>
          </w:tcPr>
          <w:p w14:paraId="07DED5F4" w14:textId="77777777" w:rsidR="008715BE" w:rsidRPr="00EC75B7" w:rsidRDefault="008715BE">
            <w:pPr>
              <w:pStyle w:val="TableParagraph"/>
              <w:rPr>
                <w:rFonts w:ascii="Verdana" w:hAnsi="Verdana"/>
                <w:b/>
                <w:sz w:val="18"/>
                <w:szCs w:val="18"/>
              </w:rPr>
            </w:pPr>
          </w:p>
          <w:p w14:paraId="0AC2B767" w14:textId="77777777" w:rsidR="008715BE" w:rsidRPr="00EC75B7" w:rsidRDefault="008715BE">
            <w:pPr>
              <w:pStyle w:val="TableParagraph"/>
              <w:spacing w:before="104"/>
              <w:rPr>
                <w:rFonts w:ascii="Verdana" w:hAnsi="Verdana"/>
                <w:b/>
                <w:sz w:val="18"/>
                <w:szCs w:val="18"/>
              </w:rPr>
            </w:pPr>
          </w:p>
          <w:p w14:paraId="6B02A203" w14:textId="77777777" w:rsidR="008715BE" w:rsidRPr="00EC75B7" w:rsidRDefault="00000000">
            <w:pPr>
              <w:pStyle w:val="TableParagraph"/>
              <w:spacing w:before="1"/>
              <w:ind w:left="108" w:right="143"/>
              <w:rPr>
                <w:rFonts w:ascii="Verdana" w:hAnsi="Verdana"/>
                <w:sz w:val="18"/>
                <w:szCs w:val="18"/>
              </w:rPr>
            </w:pPr>
            <w:r w:rsidRPr="00EC75B7">
              <w:rPr>
                <w:rFonts w:ascii="Verdana" w:hAnsi="Verdana"/>
                <w:sz w:val="18"/>
                <w:szCs w:val="18"/>
              </w:rPr>
              <w:t>Installation of radar systems and day and night video cameras (on turbines T8, T18, T29, T32, and T37) to detect and prevent the risk of collision of bats with wind farm structures.</w:t>
            </w:r>
          </w:p>
          <w:p w14:paraId="5F0E44C0"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z w:val="18"/>
                <w:szCs w:val="18"/>
              </w:rPr>
              <w:t xml:space="preserve">The diversion signal system must be installed during the first year of operation of the </w:t>
            </w:r>
            <w:r w:rsidRPr="00EC75B7">
              <w:rPr>
                <w:rFonts w:ascii="Verdana" w:hAnsi="Verdana"/>
                <w:spacing w:val="-2"/>
                <w:sz w:val="18"/>
                <w:szCs w:val="18"/>
              </w:rPr>
              <w:t xml:space="preserve">wind </w:t>
            </w:r>
            <w:r w:rsidRPr="00EC75B7">
              <w:rPr>
                <w:rFonts w:ascii="Verdana" w:hAnsi="Verdana"/>
                <w:sz w:val="18"/>
                <w:szCs w:val="18"/>
              </w:rPr>
              <w:t>farm</w:t>
            </w:r>
            <w:r w:rsidRPr="00EC75B7">
              <w:rPr>
                <w:rFonts w:ascii="Verdana" w:hAnsi="Verdana"/>
                <w:spacing w:val="-2"/>
                <w:sz w:val="18"/>
                <w:szCs w:val="18"/>
              </w:rPr>
              <w:t>.</w:t>
            </w:r>
          </w:p>
        </w:tc>
        <w:tc>
          <w:tcPr>
            <w:tcW w:w="962" w:type="dxa"/>
          </w:tcPr>
          <w:p w14:paraId="417056BC" w14:textId="77777777" w:rsidR="008715BE" w:rsidRPr="00EC75B7" w:rsidRDefault="008715BE">
            <w:pPr>
              <w:pStyle w:val="TableParagraph"/>
              <w:rPr>
                <w:rFonts w:ascii="Verdana" w:hAnsi="Verdana"/>
                <w:b/>
                <w:sz w:val="18"/>
                <w:szCs w:val="18"/>
              </w:rPr>
            </w:pPr>
          </w:p>
          <w:p w14:paraId="0DBC5419" w14:textId="77777777" w:rsidR="008715BE" w:rsidRPr="00EC75B7" w:rsidRDefault="008715BE">
            <w:pPr>
              <w:pStyle w:val="TableParagraph"/>
              <w:rPr>
                <w:rFonts w:ascii="Verdana" w:hAnsi="Verdana"/>
                <w:b/>
                <w:sz w:val="18"/>
                <w:szCs w:val="18"/>
              </w:rPr>
            </w:pPr>
          </w:p>
          <w:p w14:paraId="0CF308D8" w14:textId="77777777" w:rsidR="008715BE" w:rsidRPr="00EC75B7" w:rsidRDefault="008715BE">
            <w:pPr>
              <w:pStyle w:val="TableParagraph"/>
              <w:spacing w:before="103"/>
              <w:rPr>
                <w:rFonts w:ascii="Verdana" w:hAnsi="Verdana"/>
                <w:b/>
                <w:sz w:val="18"/>
                <w:szCs w:val="18"/>
              </w:rPr>
            </w:pPr>
          </w:p>
          <w:p w14:paraId="62A6FE10" w14:textId="77777777" w:rsidR="008715BE" w:rsidRPr="00EC75B7" w:rsidRDefault="00000000">
            <w:pPr>
              <w:pStyle w:val="TableParagraph"/>
              <w:spacing w:before="1"/>
              <w:ind w:left="15" w:right="5"/>
              <w:jc w:val="center"/>
              <w:rPr>
                <w:rFonts w:ascii="Verdana" w:hAnsi="Verdana"/>
                <w:sz w:val="18"/>
                <w:szCs w:val="18"/>
              </w:rPr>
            </w:pPr>
            <w:r w:rsidRPr="00EC75B7">
              <w:rPr>
                <w:rFonts w:ascii="Verdana" w:hAnsi="Verdana"/>
                <w:spacing w:val="-5"/>
                <w:sz w:val="18"/>
                <w:szCs w:val="18"/>
              </w:rPr>
              <w:t>E,R</w:t>
            </w:r>
          </w:p>
        </w:tc>
        <w:tc>
          <w:tcPr>
            <w:tcW w:w="1890" w:type="dxa"/>
          </w:tcPr>
          <w:p w14:paraId="3B6DA379" w14:textId="77777777" w:rsidR="008715BE" w:rsidRPr="00EC75B7" w:rsidRDefault="00000000">
            <w:pPr>
              <w:pStyle w:val="TableParagraph"/>
              <w:spacing w:before="8"/>
              <w:ind w:left="241" w:right="228" w:firstLine="1"/>
              <w:jc w:val="center"/>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bat </w:t>
            </w:r>
            <w:r w:rsidRPr="00EC75B7">
              <w:rPr>
                <w:rFonts w:ascii="Verdana" w:hAnsi="Verdana"/>
                <w:sz w:val="18"/>
                <w:szCs w:val="18"/>
              </w:rPr>
              <w:t xml:space="preserve">species* </w:t>
            </w:r>
            <w:r w:rsidRPr="00EC75B7">
              <w:rPr>
                <w:rFonts w:ascii="Verdana" w:hAnsi="Verdana"/>
                <w:spacing w:val="-4"/>
                <w:sz w:val="18"/>
                <w:szCs w:val="18"/>
              </w:rPr>
              <w:t>in</w:t>
            </w:r>
          </w:p>
          <w:p w14:paraId="782535DD" w14:textId="77777777" w:rsidR="008715BE" w:rsidRPr="00EC75B7" w:rsidRDefault="00000000">
            <w:pPr>
              <w:pStyle w:val="TableParagraph"/>
              <w:ind w:left="443" w:right="428" w:firstLine="7"/>
              <w:jc w:val="both"/>
              <w:rPr>
                <w:rFonts w:ascii="Verdana" w:hAnsi="Verdana"/>
                <w:sz w:val="18"/>
                <w:szCs w:val="18"/>
              </w:rPr>
            </w:pPr>
            <w:r w:rsidRPr="00EC75B7">
              <w:rPr>
                <w:rFonts w:ascii="Verdana" w:hAnsi="Verdana"/>
                <w:spacing w:val="-2"/>
                <w:sz w:val="18"/>
                <w:szCs w:val="18"/>
              </w:rPr>
              <w:t>ROSCI0071, ROSCI0157, BG0000569,</w:t>
            </w:r>
          </w:p>
          <w:p w14:paraId="4690687B" w14:textId="77777777" w:rsidR="008715BE" w:rsidRPr="00EC75B7" w:rsidRDefault="00000000">
            <w:pPr>
              <w:pStyle w:val="TableParagraph"/>
              <w:spacing w:line="164" w:lineRule="exact"/>
              <w:ind w:left="112" w:right="101"/>
              <w:jc w:val="center"/>
              <w:rPr>
                <w:rFonts w:ascii="Verdana" w:hAnsi="Verdana"/>
                <w:sz w:val="18"/>
                <w:szCs w:val="18"/>
              </w:rPr>
            </w:pPr>
            <w:r w:rsidRPr="00EC75B7">
              <w:rPr>
                <w:rFonts w:ascii="Verdana" w:hAnsi="Verdana"/>
                <w:spacing w:val="-2"/>
                <w:sz w:val="18"/>
                <w:szCs w:val="18"/>
              </w:rPr>
              <w:t>BG0000570</w:t>
            </w:r>
          </w:p>
        </w:tc>
        <w:tc>
          <w:tcPr>
            <w:tcW w:w="1273" w:type="dxa"/>
          </w:tcPr>
          <w:p w14:paraId="2D0500A4" w14:textId="77777777" w:rsidR="008715BE" w:rsidRPr="00EC75B7" w:rsidRDefault="00000000">
            <w:pPr>
              <w:pStyle w:val="TableParagraph"/>
              <w:spacing w:before="177" w:line="194" w:lineRule="exact"/>
              <w:ind w:left="218" w:right="203" w:firstLine="4"/>
              <w:jc w:val="center"/>
              <w:rPr>
                <w:rFonts w:ascii="Verdana" w:hAnsi="Verdana"/>
                <w:sz w:val="18"/>
                <w:szCs w:val="18"/>
              </w:rPr>
            </w:pPr>
            <w:r w:rsidRPr="00EC75B7">
              <w:rPr>
                <w:rFonts w:ascii="Verdana" w:hAnsi="Verdana"/>
                <w:spacing w:val="-2"/>
                <w:sz w:val="18"/>
                <w:szCs w:val="18"/>
              </w:rPr>
              <w:t>Population size Population trends for each species</w:t>
            </w:r>
          </w:p>
        </w:tc>
        <w:tc>
          <w:tcPr>
            <w:tcW w:w="1619" w:type="dxa"/>
          </w:tcPr>
          <w:p w14:paraId="33F651C5" w14:textId="77777777" w:rsidR="008715BE" w:rsidRPr="00EC75B7" w:rsidRDefault="008715BE">
            <w:pPr>
              <w:pStyle w:val="TableParagraph"/>
              <w:rPr>
                <w:rFonts w:ascii="Verdana" w:hAnsi="Verdana"/>
                <w:b/>
                <w:sz w:val="18"/>
                <w:szCs w:val="18"/>
              </w:rPr>
            </w:pPr>
          </w:p>
          <w:p w14:paraId="0BABC345" w14:textId="77777777" w:rsidR="008715BE" w:rsidRPr="00EC75B7" w:rsidRDefault="008715BE">
            <w:pPr>
              <w:pStyle w:val="TableParagraph"/>
              <w:rPr>
                <w:rFonts w:ascii="Verdana" w:hAnsi="Verdana"/>
                <w:b/>
                <w:sz w:val="18"/>
                <w:szCs w:val="18"/>
              </w:rPr>
            </w:pPr>
          </w:p>
          <w:p w14:paraId="576ED33B" w14:textId="77777777" w:rsidR="008715BE" w:rsidRPr="00EC75B7" w:rsidRDefault="008715BE">
            <w:pPr>
              <w:pStyle w:val="TableParagraph"/>
              <w:spacing w:before="103"/>
              <w:rPr>
                <w:rFonts w:ascii="Verdana" w:hAnsi="Verdana"/>
                <w:b/>
                <w:sz w:val="18"/>
                <w:szCs w:val="18"/>
              </w:rPr>
            </w:pPr>
          </w:p>
          <w:p w14:paraId="51AA5BDE" w14:textId="77777777" w:rsidR="008715BE" w:rsidRPr="00EC75B7" w:rsidRDefault="00000000">
            <w:pPr>
              <w:pStyle w:val="TableParagraph"/>
              <w:spacing w:before="1"/>
              <w:ind w:left="113" w:right="93"/>
              <w:jc w:val="center"/>
              <w:rPr>
                <w:rFonts w:ascii="Verdana" w:hAnsi="Verdana"/>
                <w:sz w:val="18"/>
                <w:szCs w:val="18"/>
              </w:rPr>
            </w:pPr>
            <w:r w:rsidRPr="00EC75B7">
              <w:rPr>
                <w:rFonts w:ascii="Verdana" w:hAnsi="Verdana"/>
                <w:spacing w:val="-5"/>
                <w:sz w:val="18"/>
                <w:szCs w:val="18"/>
              </w:rPr>
              <w:t>REP</w:t>
            </w:r>
          </w:p>
        </w:tc>
        <w:tc>
          <w:tcPr>
            <w:tcW w:w="2802" w:type="dxa"/>
          </w:tcPr>
          <w:p w14:paraId="0F9340E6" w14:textId="77777777" w:rsidR="008715BE" w:rsidRPr="00EC75B7" w:rsidRDefault="008715BE">
            <w:pPr>
              <w:pStyle w:val="TableParagraph"/>
              <w:rPr>
                <w:rFonts w:ascii="Verdana" w:hAnsi="Verdana"/>
                <w:b/>
                <w:sz w:val="18"/>
                <w:szCs w:val="18"/>
              </w:rPr>
            </w:pPr>
          </w:p>
          <w:p w14:paraId="1F2D6497" w14:textId="77777777" w:rsidR="008715BE" w:rsidRPr="00EC75B7" w:rsidRDefault="008715BE">
            <w:pPr>
              <w:pStyle w:val="TableParagraph"/>
              <w:rPr>
                <w:rFonts w:ascii="Verdana" w:hAnsi="Verdana"/>
                <w:b/>
                <w:sz w:val="18"/>
                <w:szCs w:val="18"/>
              </w:rPr>
            </w:pPr>
          </w:p>
          <w:p w14:paraId="2B78AEB4" w14:textId="77777777" w:rsidR="008715BE" w:rsidRPr="00EC75B7" w:rsidRDefault="008715BE">
            <w:pPr>
              <w:pStyle w:val="TableParagraph"/>
              <w:spacing w:before="103"/>
              <w:rPr>
                <w:rFonts w:ascii="Verdana" w:hAnsi="Verdana"/>
                <w:b/>
                <w:sz w:val="18"/>
                <w:szCs w:val="18"/>
              </w:rPr>
            </w:pPr>
          </w:p>
          <w:p w14:paraId="4FD2EB8F" w14:textId="77777777" w:rsidR="008715BE" w:rsidRPr="00EC75B7" w:rsidRDefault="00000000">
            <w:pPr>
              <w:pStyle w:val="TableParagraph"/>
              <w:spacing w:before="1"/>
              <w:ind w:left="771" w:right="751"/>
              <w:jc w:val="center"/>
              <w:rPr>
                <w:rFonts w:ascii="Verdana" w:hAnsi="Verdana"/>
                <w:sz w:val="18"/>
                <w:szCs w:val="18"/>
              </w:rPr>
            </w:pPr>
            <w:r w:rsidRPr="00EC75B7">
              <w:rPr>
                <w:rFonts w:ascii="Verdana" w:hAnsi="Verdana"/>
                <w:spacing w:val="-2"/>
                <w:sz w:val="18"/>
                <w:szCs w:val="18"/>
              </w:rPr>
              <w:t>Operation</w:t>
            </w:r>
          </w:p>
        </w:tc>
        <w:tc>
          <w:tcPr>
            <w:tcW w:w="2608" w:type="dxa"/>
          </w:tcPr>
          <w:p w14:paraId="69A3A151" w14:textId="77777777" w:rsidR="008715BE" w:rsidRPr="00EC75B7" w:rsidRDefault="008715BE">
            <w:pPr>
              <w:pStyle w:val="TableParagraph"/>
              <w:rPr>
                <w:rFonts w:ascii="Verdana" w:hAnsi="Verdana"/>
                <w:b/>
                <w:sz w:val="18"/>
                <w:szCs w:val="18"/>
              </w:rPr>
            </w:pPr>
          </w:p>
          <w:p w14:paraId="45708E7F" w14:textId="77777777" w:rsidR="008715BE" w:rsidRPr="00EC75B7" w:rsidRDefault="008715BE">
            <w:pPr>
              <w:pStyle w:val="TableParagraph"/>
              <w:rPr>
                <w:rFonts w:ascii="Verdana" w:hAnsi="Verdana"/>
                <w:b/>
                <w:sz w:val="18"/>
                <w:szCs w:val="18"/>
              </w:rPr>
            </w:pPr>
          </w:p>
          <w:p w14:paraId="0A177176" w14:textId="77777777" w:rsidR="008715BE" w:rsidRPr="00EC75B7" w:rsidRDefault="008715BE">
            <w:pPr>
              <w:pStyle w:val="TableParagraph"/>
              <w:spacing w:before="5"/>
              <w:rPr>
                <w:rFonts w:ascii="Verdana" w:hAnsi="Verdana"/>
                <w:b/>
                <w:sz w:val="18"/>
                <w:szCs w:val="18"/>
              </w:rPr>
            </w:pPr>
          </w:p>
          <w:p w14:paraId="40686EBE" w14:textId="77777777" w:rsidR="008715BE" w:rsidRPr="00EC75B7" w:rsidRDefault="00000000">
            <w:pPr>
              <w:pStyle w:val="TableParagraph"/>
              <w:spacing w:line="195" w:lineRule="exact"/>
              <w:ind w:left="20"/>
              <w:jc w:val="center"/>
              <w:rPr>
                <w:rFonts w:ascii="Verdana" w:hAnsi="Verdana"/>
                <w:sz w:val="18"/>
                <w:szCs w:val="18"/>
              </w:rPr>
            </w:pPr>
            <w:r w:rsidRPr="00EC75B7">
              <w:rPr>
                <w:rFonts w:ascii="Verdana" w:hAnsi="Verdana"/>
                <w:sz w:val="18"/>
                <w:szCs w:val="18"/>
              </w:rPr>
              <w:t xml:space="preserve">Turbine area T8, T18, </w:t>
            </w:r>
            <w:r w:rsidRPr="00EC75B7">
              <w:rPr>
                <w:rFonts w:ascii="Verdana" w:hAnsi="Verdana"/>
                <w:spacing w:val="-4"/>
                <w:sz w:val="18"/>
                <w:szCs w:val="18"/>
              </w:rPr>
              <w:t>T29.</w:t>
            </w:r>
          </w:p>
          <w:p w14:paraId="016D55AE" w14:textId="77777777" w:rsidR="008715BE" w:rsidRPr="00EC75B7" w:rsidRDefault="00000000">
            <w:pPr>
              <w:pStyle w:val="TableParagraph"/>
              <w:spacing w:line="195" w:lineRule="exact"/>
              <w:ind w:left="20"/>
              <w:jc w:val="center"/>
              <w:rPr>
                <w:rFonts w:ascii="Verdana" w:hAnsi="Verdana"/>
                <w:sz w:val="18"/>
                <w:szCs w:val="18"/>
              </w:rPr>
            </w:pPr>
            <w:r w:rsidRPr="00EC75B7">
              <w:rPr>
                <w:rFonts w:ascii="Verdana" w:hAnsi="Verdana"/>
                <w:sz w:val="18"/>
                <w:szCs w:val="18"/>
              </w:rPr>
              <w:t xml:space="preserve">T32 and </w:t>
            </w:r>
            <w:r w:rsidRPr="00EC75B7">
              <w:rPr>
                <w:rFonts w:ascii="Verdana" w:hAnsi="Verdana"/>
                <w:spacing w:val="-5"/>
                <w:sz w:val="18"/>
                <w:szCs w:val="18"/>
              </w:rPr>
              <w:t>T37</w:t>
            </w:r>
          </w:p>
        </w:tc>
      </w:tr>
    </w:tbl>
    <w:p w14:paraId="7A59A6B2" w14:textId="77777777" w:rsidR="008715BE" w:rsidRPr="00EC75B7" w:rsidRDefault="00000000">
      <w:pPr>
        <w:spacing w:before="15" w:line="247" w:lineRule="auto"/>
        <w:ind w:left="2" w:right="41"/>
        <w:rPr>
          <w:rFonts w:ascii="Verdana" w:hAnsi="Verdana"/>
          <w:i/>
          <w:sz w:val="18"/>
          <w:szCs w:val="18"/>
        </w:rPr>
      </w:pPr>
      <w:r w:rsidRPr="00EC75B7">
        <w:rPr>
          <w:rFonts w:ascii="Verdana" w:hAnsi="Verdana"/>
          <w:i/>
          <w:sz w:val="18"/>
          <w:szCs w:val="18"/>
        </w:rPr>
        <w:t>*Aquila pomarina, Falco peregrinus, Hieraaetus pennatus, Lanius minor, Milvus migrans, Accipiter brevipes, Accipiter nisus, Acrocephalus arundinaceus, Acrocephalus palustris, Acrocephalus schoenobaenus, Acrocephalus scirpaceus, Alauda arvensis, Alcedo atthis, Anser albifrons, Anser anser, Anthus campestris, Aquila heliaca, Aquila pomarina, Bubo bubo, Burhinus oedicnemus, Buteo buteo, Buteo lagopus, Buteo rufinus, Calandrella brachydactyla, Caprimulgus europaeus, Carduelis cannabina, Carduelis carduelis, Carduelis chloris, Carduelis spinus, Ciconia ciconia, Circaetus gallicus, Circus aeruginosus, Circus cyaneus, Circus macrourus, Circus pygargus, Coccothraustes coccothraustes, Coracias garrulus, Coturnix coturnix, Cygnus olor, Emberiza melanocephala, Falco cherrug, Falco columbarius, Falco peregrinus, Falco subbuteo, Falco tinnunculus, Falco vespertinus, Ficedula hypoleuca, Fringilla coelebs, Fringilla montifringilla, Galerida cristata, Gallinago gallinago, Hieraaetus pennatus, Hirundo daurica, Hirundo rustica, Jynx torquilla, Lanius collurio, Lanius excubitor, Lanius minor, Lanius senator, Larus cachinnans, Larus melanocephalus, Larus minutus, Locustella fluviatilis,</w:t>
      </w:r>
      <w:r w:rsidRPr="00EC75B7">
        <w:rPr>
          <w:rFonts w:ascii="Verdana" w:hAnsi="Verdana"/>
          <w:i/>
          <w:spacing w:val="-1"/>
          <w:sz w:val="18"/>
          <w:szCs w:val="18"/>
        </w:rPr>
        <w:t xml:space="preserve"> </w:t>
      </w:r>
      <w:r w:rsidRPr="00EC75B7">
        <w:rPr>
          <w:rFonts w:ascii="Verdana" w:hAnsi="Verdana"/>
          <w:i/>
          <w:sz w:val="18"/>
          <w:szCs w:val="18"/>
        </w:rPr>
        <w:t>Locustella luscinioides, Lullula arborea, Melanocorypha calandra, Merops apiaster, Miliaria calandra, Milvus migrans, Monticola saxatilis, Motacilla alba, Motacilla flava, Muscicapa striata, Nycticorax nycticorax, Oenanthe isabellina, Oenanthe oenanthe, Oenanthe pleschanka,</w:t>
      </w:r>
      <w:r w:rsidRPr="00EC75B7">
        <w:rPr>
          <w:rFonts w:ascii="Verdana" w:hAnsi="Verdana"/>
          <w:i/>
          <w:spacing w:val="-6"/>
          <w:sz w:val="18"/>
          <w:szCs w:val="18"/>
        </w:rPr>
        <w:t xml:space="preserve"> </w:t>
      </w:r>
      <w:r w:rsidRPr="00EC75B7">
        <w:rPr>
          <w:rFonts w:ascii="Verdana" w:hAnsi="Verdana"/>
          <w:i/>
          <w:sz w:val="18"/>
          <w:szCs w:val="18"/>
        </w:rPr>
        <w:t>Oriolus oriolus, Pelecanus crispus, Pernis apivorus, Philomachus pugnax, Phylloscopus collybita, Phylloscopus sibilatrix, Phylloscopus trochilus, Porzana porzana/Calidris pugnax, Pyrrhula pyrrhula, Recurvirostra avosetta, Regulus ignicapillus, Regulus regulus,</w:t>
      </w:r>
      <w:r w:rsidRPr="00EC75B7">
        <w:rPr>
          <w:rFonts w:ascii="Verdana" w:hAnsi="Verdana"/>
          <w:i/>
          <w:spacing w:val="10"/>
          <w:sz w:val="18"/>
          <w:szCs w:val="18"/>
        </w:rPr>
        <w:t xml:space="preserve"> </w:t>
      </w:r>
      <w:r w:rsidRPr="00EC75B7">
        <w:rPr>
          <w:rFonts w:ascii="Verdana" w:hAnsi="Verdana"/>
          <w:i/>
          <w:sz w:val="18"/>
          <w:szCs w:val="18"/>
        </w:rPr>
        <w:t>Riparia riparia, Saxicola torquata, Serinus serinus, Streptopelia turtur, Sturnus roseus, Sturnus vulgaris, Sylvia atricapilla, Sylvia curruca, Tadorna ferruginea, Turdus iliacus, Turdus merula, Turdus philomelos, Turdus pilaris, Turdus viscivorus, Upupa epops</w:t>
      </w:r>
    </w:p>
    <w:p w14:paraId="5C5CEE0D" w14:textId="77777777" w:rsidR="008715BE" w:rsidRPr="00EC75B7" w:rsidRDefault="008715BE">
      <w:pPr>
        <w:pStyle w:val="BodyText"/>
        <w:spacing w:before="58"/>
        <w:rPr>
          <w:rFonts w:ascii="Verdana" w:hAnsi="Verdana"/>
          <w:i/>
        </w:rPr>
      </w:pPr>
    </w:p>
    <w:p w14:paraId="74255E6F" w14:textId="77777777" w:rsidR="008715BE" w:rsidRPr="00EC75B7" w:rsidRDefault="00000000">
      <w:pPr>
        <w:ind w:left="2"/>
        <w:rPr>
          <w:rFonts w:ascii="Verdana" w:hAnsi="Verdana"/>
          <w:i/>
          <w:sz w:val="18"/>
          <w:szCs w:val="18"/>
        </w:rPr>
      </w:pPr>
      <w:r w:rsidRPr="00EC75B7">
        <w:rPr>
          <w:rFonts w:ascii="Verdana" w:hAnsi="Verdana"/>
          <w:i/>
          <w:spacing w:val="-2"/>
          <w:sz w:val="18"/>
          <w:szCs w:val="18"/>
        </w:rPr>
        <w:t>** Miniopterus schreibersii, Rhinolophus mehelyi, Rhinolophus ferrumequinum, Myotis capaccinii, Nyctalus noctula, Pipistrellus pipistrellus</w:t>
      </w:r>
    </w:p>
    <w:p w14:paraId="58A4AFE0" w14:textId="77777777" w:rsidR="008715BE" w:rsidRPr="00EC75B7" w:rsidRDefault="008715BE">
      <w:pPr>
        <w:pStyle w:val="BodyText"/>
        <w:spacing w:before="70"/>
        <w:rPr>
          <w:rFonts w:ascii="Verdana" w:hAnsi="Verdana"/>
          <w:i/>
        </w:rPr>
      </w:pPr>
    </w:p>
    <w:p w14:paraId="40FBFF6A" w14:textId="77777777" w:rsidR="008715BE" w:rsidRPr="00EC75B7" w:rsidRDefault="00000000">
      <w:pPr>
        <w:ind w:left="2"/>
        <w:rPr>
          <w:rFonts w:ascii="Verdana" w:hAnsi="Verdana"/>
          <w:i/>
          <w:sz w:val="18"/>
          <w:szCs w:val="18"/>
        </w:rPr>
      </w:pPr>
      <w:r w:rsidRPr="00EC75B7">
        <w:rPr>
          <w:rFonts w:ascii="Verdana" w:hAnsi="Verdana"/>
          <w:i/>
          <w:sz w:val="18"/>
          <w:szCs w:val="18"/>
        </w:rPr>
        <w:t xml:space="preserve">*** Spermophilus citellus, Mustela </w:t>
      </w:r>
      <w:r w:rsidRPr="00EC75B7">
        <w:rPr>
          <w:rFonts w:ascii="Verdana" w:hAnsi="Verdana"/>
          <w:i/>
          <w:spacing w:val="-2"/>
          <w:sz w:val="18"/>
          <w:szCs w:val="18"/>
        </w:rPr>
        <w:t>eversmanii</w:t>
      </w:r>
    </w:p>
    <w:p w14:paraId="1E825396" w14:textId="77777777" w:rsidR="008715BE" w:rsidRPr="00EC75B7" w:rsidRDefault="008715BE">
      <w:pPr>
        <w:rPr>
          <w:rFonts w:ascii="Verdana" w:hAnsi="Verdana"/>
          <w:i/>
          <w:sz w:val="18"/>
          <w:szCs w:val="18"/>
        </w:rPr>
        <w:sectPr w:rsidR="008715BE" w:rsidRPr="00EC75B7">
          <w:pgSz w:w="23820" w:h="16840" w:orient="landscape"/>
          <w:pgMar w:top="1160" w:right="1417" w:bottom="1020" w:left="850" w:header="766" w:footer="824" w:gutter="0"/>
          <w:cols w:space="708"/>
        </w:sectPr>
      </w:pPr>
    </w:p>
    <w:p w14:paraId="08CD5F50" w14:textId="77777777" w:rsidR="008715BE" w:rsidRPr="00EC75B7" w:rsidRDefault="00000000">
      <w:pPr>
        <w:pStyle w:val="BodyText"/>
        <w:spacing w:before="99"/>
        <w:ind w:left="57"/>
        <w:jc w:val="both"/>
        <w:rPr>
          <w:rFonts w:ascii="Verdana" w:hAnsi="Verdana"/>
        </w:rPr>
      </w:pPr>
      <w:r w:rsidRPr="00EC75B7">
        <w:rPr>
          <w:rFonts w:ascii="Verdana" w:hAnsi="Verdana"/>
        </w:rPr>
        <w:lastRenderedPageBreak/>
        <w:t xml:space="preserve">Additional details on some </w:t>
      </w:r>
      <w:r w:rsidRPr="00EC75B7">
        <w:rPr>
          <w:rFonts w:ascii="Verdana" w:hAnsi="Verdana"/>
          <w:spacing w:val="-2"/>
        </w:rPr>
        <w:t xml:space="preserve">proposed </w:t>
      </w:r>
      <w:r w:rsidRPr="00EC75B7">
        <w:rPr>
          <w:rFonts w:ascii="Verdana" w:hAnsi="Verdana"/>
        </w:rPr>
        <w:t>measures</w:t>
      </w:r>
    </w:p>
    <w:p w14:paraId="49CE2DEB" w14:textId="77777777" w:rsidR="008715BE" w:rsidRPr="00EC75B7" w:rsidRDefault="008715BE">
      <w:pPr>
        <w:pStyle w:val="BodyText"/>
        <w:spacing w:before="10"/>
        <w:rPr>
          <w:rFonts w:ascii="Verdana" w:hAnsi="Verdana"/>
        </w:rPr>
      </w:pPr>
    </w:p>
    <w:p w14:paraId="05C47082" w14:textId="77777777" w:rsidR="008715BE" w:rsidRPr="00EC75B7" w:rsidRDefault="00000000">
      <w:pPr>
        <w:pStyle w:val="Heading5"/>
        <w:spacing w:line="357" w:lineRule="auto"/>
        <w:ind w:right="144"/>
        <w:rPr>
          <w:rFonts w:ascii="Verdana" w:hAnsi="Verdana"/>
        </w:rPr>
      </w:pPr>
      <w:r w:rsidRPr="00EC75B7">
        <w:rPr>
          <w:rFonts w:ascii="Verdana" w:hAnsi="Verdana"/>
        </w:rPr>
        <w:t xml:space="preserve">M16 - To reduce the risk of mortality, the following measures are proposed: limiting the entry into production of turbines (T47, T46, T35, T36, T34) at wind speeds of 6.5 m/s, during the sensitive period (migration), starting half an hour before sunset until sunrise, and bat protection systems that emit ultrasonic acoustic deterrent signals to remove bats from the rotor wash area. The measure will apply from the first year of operation of the </w:t>
      </w:r>
      <w:r w:rsidRPr="00EC75B7">
        <w:rPr>
          <w:rFonts w:ascii="Verdana" w:hAnsi="Verdana"/>
          <w:spacing w:val="-2"/>
        </w:rPr>
        <w:t>wind</w:t>
      </w:r>
      <w:r w:rsidRPr="00EC75B7">
        <w:rPr>
          <w:rFonts w:ascii="Verdana" w:hAnsi="Verdana"/>
        </w:rPr>
        <w:t xml:space="preserve"> farm</w:t>
      </w:r>
      <w:r w:rsidRPr="00EC75B7">
        <w:rPr>
          <w:rFonts w:ascii="Verdana" w:hAnsi="Verdana"/>
          <w:spacing w:val="-2"/>
        </w:rPr>
        <w:t>.</w:t>
      </w:r>
    </w:p>
    <w:p w14:paraId="5C1CE06D" w14:textId="77777777" w:rsidR="008715BE" w:rsidRPr="00EC75B7" w:rsidRDefault="00000000">
      <w:pPr>
        <w:pStyle w:val="BodyText"/>
        <w:spacing w:before="124" w:line="360" w:lineRule="auto"/>
        <w:ind w:left="57" w:right="150"/>
        <w:jc w:val="both"/>
        <w:rPr>
          <w:rFonts w:ascii="Verdana" w:hAnsi="Verdana"/>
        </w:rPr>
      </w:pPr>
      <w:r w:rsidRPr="00EC75B7">
        <w:rPr>
          <w:rFonts w:ascii="Verdana" w:hAnsi="Verdana"/>
        </w:rPr>
        <w:t xml:space="preserve">It is proposed to reduce the impact on the reduction of bat and bird populations. The study by Arnett et al. (2010) showed that increasing </w:t>
      </w:r>
      <w:r w:rsidRPr="00EC75B7">
        <w:rPr>
          <w:rFonts w:ascii="Verdana" w:hAnsi="Verdana"/>
          <w:spacing w:val="-2"/>
        </w:rPr>
        <w:t>the parameter</w:t>
      </w:r>
    </w:p>
    <w:p w14:paraId="5ADA8E16" w14:textId="77777777" w:rsidR="008715BE" w:rsidRPr="00EC75B7" w:rsidRDefault="00000000">
      <w:pPr>
        <w:pStyle w:val="BodyText"/>
        <w:spacing w:line="360" w:lineRule="auto"/>
        <w:ind w:left="57" w:right="143"/>
        <w:jc w:val="both"/>
        <w:rPr>
          <w:rFonts w:ascii="Verdana" w:hAnsi="Verdana"/>
        </w:rPr>
      </w:pPr>
      <w:r w:rsidRPr="00EC75B7">
        <w:rPr>
          <w:rFonts w:ascii="Verdana" w:hAnsi="Verdana"/>
        </w:rPr>
        <w:t>"wind speed at which turbines start operating" (en: cut-in speed) to 5 m/s reduces mortality from 44% to 93%, with production losses of less than 1%.</w:t>
      </w:r>
    </w:p>
    <w:p w14:paraId="0D89CFB1" w14:textId="77777777" w:rsidR="008715BE" w:rsidRPr="00EC75B7" w:rsidRDefault="00000000">
      <w:pPr>
        <w:pStyle w:val="Heading5"/>
        <w:spacing w:before="115"/>
        <w:rPr>
          <w:rFonts w:ascii="Verdana" w:hAnsi="Verdana"/>
        </w:rPr>
      </w:pPr>
      <w:r w:rsidRPr="00EC75B7">
        <w:rPr>
          <w:rFonts w:ascii="Verdana" w:hAnsi="Verdana"/>
        </w:rPr>
        <w:t xml:space="preserve">The same effectiveness is similar for measures M15 and </w:t>
      </w:r>
      <w:r w:rsidRPr="00EC75B7">
        <w:rPr>
          <w:rFonts w:ascii="Verdana" w:hAnsi="Verdana"/>
          <w:spacing w:val="-4"/>
        </w:rPr>
        <w:t>M17.</w:t>
      </w:r>
    </w:p>
    <w:p w14:paraId="7AF169C7" w14:textId="77777777" w:rsidR="008715BE" w:rsidRPr="00EC75B7" w:rsidRDefault="008715BE">
      <w:pPr>
        <w:pStyle w:val="BodyText"/>
        <w:spacing w:before="9"/>
        <w:rPr>
          <w:rFonts w:ascii="Verdana" w:hAnsi="Verdana"/>
          <w:b/>
        </w:rPr>
      </w:pPr>
    </w:p>
    <w:p w14:paraId="1A73E524" w14:textId="77777777" w:rsidR="008715BE" w:rsidRPr="00EC75B7" w:rsidRDefault="00000000">
      <w:pPr>
        <w:spacing w:line="357" w:lineRule="auto"/>
        <w:ind w:left="57" w:right="144"/>
        <w:jc w:val="both"/>
        <w:rPr>
          <w:rFonts w:ascii="Verdana" w:hAnsi="Verdana"/>
          <w:b/>
          <w:sz w:val="18"/>
          <w:szCs w:val="18"/>
        </w:rPr>
      </w:pPr>
      <w:r w:rsidRPr="00EC75B7">
        <w:rPr>
          <w:rFonts w:ascii="Verdana" w:hAnsi="Verdana"/>
          <w:b/>
          <w:sz w:val="18"/>
          <w:szCs w:val="18"/>
        </w:rPr>
        <w:t>M18 - Installation of a video system for bird detection on turbines T8, T18, T29, T32, and T37. High-resolution camera systems will be installed.</w:t>
      </w:r>
    </w:p>
    <w:p w14:paraId="6B2A54A4" w14:textId="77777777" w:rsidR="008715BE" w:rsidRPr="00EC75B7" w:rsidRDefault="00000000">
      <w:pPr>
        <w:pStyle w:val="BodyText"/>
        <w:spacing w:before="120" w:line="360" w:lineRule="auto"/>
        <w:ind w:left="57" w:right="148"/>
        <w:jc w:val="both"/>
        <w:rPr>
          <w:rFonts w:ascii="Verdana" w:hAnsi="Verdana"/>
        </w:rPr>
      </w:pPr>
      <w:r w:rsidRPr="00EC75B7">
        <w:rPr>
          <w:rFonts w:ascii="Verdana" w:hAnsi="Verdana"/>
        </w:rPr>
        <w:t>The cameras will be installed and commissioned at the same time as the wind farm. This means that monitoring will start immediately, reducing the risk of collisions from the outset of turbine operation.</w:t>
      </w:r>
    </w:p>
    <w:p w14:paraId="51FE0B1E" w14:textId="77777777" w:rsidR="008715BE" w:rsidRPr="00EC75B7" w:rsidRDefault="00000000">
      <w:pPr>
        <w:pStyle w:val="BodyText"/>
        <w:spacing w:before="116" w:line="360" w:lineRule="auto"/>
        <w:ind w:left="57" w:right="152"/>
        <w:jc w:val="both"/>
        <w:rPr>
          <w:rFonts w:ascii="Verdana" w:hAnsi="Verdana"/>
        </w:rPr>
      </w:pPr>
      <w:r w:rsidRPr="00EC75B7">
        <w:rPr>
          <w:rFonts w:ascii="Verdana" w:hAnsi="Verdana"/>
        </w:rPr>
        <w:t>The camera system can detect birds from a distance of up to 2 km. This extended detection capability allows for early identification of approaching birds and avoidance of potential incidents.</w:t>
      </w:r>
    </w:p>
    <w:p w14:paraId="19FD5B56" w14:textId="77777777" w:rsidR="008715BE" w:rsidRPr="00EC75B7" w:rsidRDefault="00000000">
      <w:pPr>
        <w:pStyle w:val="BodyText"/>
        <w:spacing w:before="119" w:line="360" w:lineRule="auto"/>
        <w:ind w:left="57" w:right="152"/>
        <w:jc w:val="both"/>
        <w:rPr>
          <w:rFonts w:ascii="Verdana" w:hAnsi="Verdana"/>
        </w:rPr>
      </w:pPr>
      <w:r w:rsidRPr="00EC75B7">
        <w:rPr>
          <w:rFonts w:ascii="Verdana" w:hAnsi="Verdana"/>
        </w:rPr>
        <w:t>Through real-time tracking, the system can provide instant data on bird movements, which is essential for taking quick and effective action when a collision risk is detected.</w:t>
      </w:r>
    </w:p>
    <w:p w14:paraId="27A5B920" w14:textId="77777777" w:rsidR="008715BE" w:rsidRPr="00EC75B7" w:rsidRDefault="00000000">
      <w:pPr>
        <w:pStyle w:val="BodyText"/>
        <w:spacing w:before="116" w:line="360" w:lineRule="auto"/>
        <w:ind w:left="57" w:right="150"/>
        <w:jc w:val="both"/>
        <w:rPr>
          <w:rFonts w:ascii="Verdana" w:hAnsi="Verdana"/>
        </w:rPr>
      </w:pPr>
      <w:r w:rsidRPr="00EC75B7">
        <w:rPr>
          <w:rFonts w:ascii="Verdana" w:hAnsi="Verdana"/>
        </w:rPr>
        <w:t>The system can track and detect nocturnal bird activity using thermal imaging cameras, allowing for round-the-clock monitoring.</w:t>
      </w:r>
    </w:p>
    <w:p w14:paraId="1BBBD406" w14:textId="77777777" w:rsidR="008715BE" w:rsidRPr="00EC75B7" w:rsidRDefault="00000000">
      <w:pPr>
        <w:pStyle w:val="BodyText"/>
        <w:spacing w:before="119" w:line="360" w:lineRule="auto"/>
        <w:ind w:left="57" w:right="150"/>
        <w:jc w:val="both"/>
        <w:rPr>
          <w:rFonts w:ascii="Verdana" w:hAnsi="Verdana"/>
        </w:rPr>
      </w:pPr>
      <w:r w:rsidRPr="00EC75B7">
        <w:rPr>
          <w:rFonts w:ascii="Verdana" w:hAnsi="Verdana"/>
        </w:rPr>
        <w:t>The effectiveness of these systems is generally estimated at around 80%, but may vary depending on weather conditions, light levels, or the type of camera used by the system.</w:t>
      </w:r>
    </w:p>
    <w:p w14:paraId="0FC1A407" w14:textId="77777777" w:rsidR="008715BE" w:rsidRPr="00EC75B7" w:rsidRDefault="00000000">
      <w:pPr>
        <w:pStyle w:val="BodyText"/>
        <w:spacing w:before="116" w:line="357" w:lineRule="auto"/>
        <w:ind w:left="57" w:right="148"/>
        <w:jc w:val="both"/>
        <w:rPr>
          <w:rFonts w:ascii="Verdana" w:hAnsi="Verdana"/>
        </w:rPr>
      </w:pPr>
      <w:r w:rsidRPr="00EC75B7">
        <w:rPr>
          <w:rFonts w:ascii="Verdana" w:hAnsi="Verdana"/>
        </w:rPr>
        <w:t>A case study in Norway indicates an effectiveness in detecting bird flights in the vicinity of turbines of between 76% and 96% within a radius of 300 m around the turbines on one of the camera-based systems. At shorter distances (150 m), the detection rate was estimated to be between 86% and 96% (May et al., 2012). Another case in Sweden indicates collision avoidance with turbine blades in 88% of cases (Litsgard et al.,</w:t>
      </w:r>
      <w:r w:rsidRPr="00EC75B7">
        <w:rPr>
          <w:rFonts w:ascii="Verdana" w:hAnsi="Verdana"/>
          <w:spacing w:val="-2"/>
        </w:rPr>
        <w:t xml:space="preserve"> 2016).</w:t>
      </w:r>
    </w:p>
    <w:p w14:paraId="12BE5CB7" w14:textId="77777777" w:rsidR="008715BE" w:rsidRPr="00EC75B7" w:rsidRDefault="00000000">
      <w:pPr>
        <w:pStyle w:val="BodyText"/>
        <w:spacing w:before="124" w:line="357" w:lineRule="auto"/>
        <w:ind w:left="57" w:right="146"/>
        <w:jc w:val="both"/>
        <w:rPr>
          <w:rFonts w:ascii="Verdana" w:hAnsi="Verdana"/>
        </w:rPr>
      </w:pPr>
      <w:r w:rsidRPr="00EC75B7">
        <w:rPr>
          <w:rFonts w:ascii="Verdana" w:hAnsi="Verdana"/>
        </w:rPr>
        <w:t>In the case of another video system, the detection rate and collision risk reduction is between 77% and 85%, according to a case study in California (Duerr et al., 2023). Another study in the United States indicates an 82% reduction in the mortality rate for bird of prey species after implementing this system in a wind farm (McClure et al., 2021).</w:t>
      </w:r>
    </w:p>
    <w:p w14:paraId="2BF7867D" w14:textId="77777777" w:rsidR="008715BE" w:rsidRPr="00EC75B7" w:rsidRDefault="00000000">
      <w:pPr>
        <w:pStyle w:val="Heading5"/>
        <w:spacing w:before="124"/>
        <w:rPr>
          <w:rFonts w:ascii="Verdana" w:hAnsi="Verdana"/>
        </w:rPr>
      </w:pPr>
      <w:r w:rsidRPr="00EC75B7">
        <w:rPr>
          <w:rFonts w:ascii="Verdana" w:hAnsi="Verdana"/>
        </w:rPr>
        <w:t xml:space="preserve">Similar effectiveness was observed for measure </w:t>
      </w:r>
      <w:r w:rsidRPr="00EC75B7">
        <w:rPr>
          <w:rFonts w:ascii="Verdana" w:hAnsi="Verdana"/>
          <w:spacing w:val="-4"/>
        </w:rPr>
        <w:t>M19.</w:t>
      </w:r>
    </w:p>
    <w:p w14:paraId="51EF311E" w14:textId="77777777" w:rsidR="008715BE" w:rsidRPr="00EC75B7" w:rsidRDefault="008715BE">
      <w:pPr>
        <w:pStyle w:val="BodyText"/>
        <w:spacing w:before="7"/>
        <w:rPr>
          <w:rFonts w:ascii="Verdana" w:hAnsi="Verdana"/>
          <w:b/>
        </w:rPr>
      </w:pPr>
    </w:p>
    <w:p w14:paraId="603C1F38" w14:textId="77777777" w:rsidR="008715BE" w:rsidRPr="00EC75B7" w:rsidRDefault="00000000">
      <w:pPr>
        <w:pStyle w:val="BodyText"/>
        <w:spacing w:line="357" w:lineRule="auto"/>
        <w:ind w:left="57" w:right="140"/>
        <w:jc w:val="both"/>
        <w:rPr>
          <w:rFonts w:ascii="Verdana" w:hAnsi="Verdana"/>
          <w:i/>
        </w:rPr>
      </w:pPr>
      <w:r w:rsidRPr="00EC75B7">
        <w:rPr>
          <w:rFonts w:ascii="Verdana" w:hAnsi="Verdana"/>
        </w:rPr>
        <w:t xml:space="preserve">A detailed analysis of the project's impact on biodiversity components for the two areas in Bulgaria was carried out in the Appropriate Assessment Study prepared at the PUZ stage, as well as in the annexes to this study, and was submitted to the Bulgarian side as part of the cross-border environmental impact assessment procedure with Bulgaria for the PUZ stage. By letter No. 99-00-268-22/26.06.2025, the Ministry of Environment and Water of the Republic of Bulgaria communicated that, </w:t>
      </w:r>
      <w:r w:rsidRPr="00EC75B7">
        <w:rPr>
          <w:rFonts w:ascii="Verdana" w:hAnsi="Verdana"/>
          <w:i/>
        </w:rPr>
        <w:t>"The analysis of the project's impact</w:t>
      </w:r>
    </w:p>
    <w:p w14:paraId="7D868094" w14:textId="77777777" w:rsidR="008715BE" w:rsidRPr="00EC75B7" w:rsidRDefault="008715BE">
      <w:pPr>
        <w:pStyle w:val="BodyText"/>
        <w:spacing w:line="357" w:lineRule="auto"/>
        <w:jc w:val="both"/>
        <w:rPr>
          <w:rFonts w:ascii="Verdana" w:hAnsi="Verdana"/>
          <w:i/>
        </w:rPr>
        <w:sectPr w:rsidR="008715BE" w:rsidRPr="00EC75B7">
          <w:headerReference w:type="default" r:id="rId200"/>
          <w:footerReference w:type="default" r:id="rId201"/>
          <w:pgSz w:w="11910" w:h="16840"/>
          <w:pgMar w:top="1320" w:right="850" w:bottom="1020" w:left="1133" w:header="766" w:footer="824" w:gutter="0"/>
          <w:cols w:space="708"/>
        </w:sectPr>
      </w:pPr>
    </w:p>
    <w:p w14:paraId="2BFFBAC8" w14:textId="77777777" w:rsidR="008715BE" w:rsidRPr="00EC75B7" w:rsidRDefault="00000000">
      <w:pPr>
        <w:spacing w:before="99" w:line="357" w:lineRule="auto"/>
        <w:ind w:left="57" w:right="148"/>
        <w:jc w:val="both"/>
        <w:rPr>
          <w:rFonts w:ascii="Verdana" w:hAnsi="Verdana"/>
          <w:i/>
          <w:sz w:val="18"/>
          <w:szCs w:val="18"/>
        </w:rPr>
      </w:pPr>
      <w:r w:rsidRPr="00EC75B7">
        <w:rPr>
          <w:rFonts w:ascii="Verdana" w:hAnsi="Verdana"/>
          <w:i/>
          <w:sz w:val="18"/>
          <w:szCs w:val="18"/>
        </w:rPr>
        <w:lastRenderedPageBreak/>
        <w:t>The construction of 46 turbines near the border with Bulgaria is objective, and the proposed measures are sufficient to minimize/eliminate the negative impact on biodiversity and, in particular, on Natura 2000 protected areas.</w:t>
      </w:r>
    </w:p>
    <w:p w14:paraId="0CAD5ECE" w14:textId="77777777" w:rsidR="008715BE" w:rsidRPr="00EC75B7" w:rsidRDefault="00000000">
      <w:pPr>
        <w:pStyle w:val="BodyText"/>
        <w:spacing w:before="123" w:line="357" w:lineRule="auto"/>
        <w:ind w:left="57" w:right="138"/>
        <w:jc w:val="both"/>
        <w:rPr>
          <w:rFonts w:ascii="Verdana" w:hAnsi="Verdana"/>
        </w:rPr>
      </w:pPr>
      <w:r w:rsidRPr="00EC75B7">
        <w:rPr>
          <w:rFonts w:ascii="Verdana" w:hAnsi="Verdana"/>
        </w:rPr>
        <w:t>The cross-border environmental impact assessment procedure at the PUZ stage was completed after analyzing all studies and requests for clarification. The Ministry of Environment and Water of the Republic of Bulgaria, by letter no. 99.00.268-40/17.09.2025, communicated the mandatory conditions to be included in the regulatory act to be issued by the competent authorities in Romania for the investment in question, both in the planning and design phase and in the monitoring measures following the implementation of the investment proposal, i.e. after the construction of the proposed investment, namely:</w:t>
      </w:r>
    </w:p>
    <w:p w14:paraId="721AB7A2" w14:textId="77777777" w:rsidR="008715BE" w:rsidRPr="00EC75B7" w:rsidRDefault="00000000">
      <w:pPr>
        <w:tabs>
          <w:tab w:val="left" w:pos="1360"/>
        </w:tabs>
        <w:spacing w:before="123" w:line="357" w:lineRule="auto"/>
        <w:ind w:left="57" w:right="140"/>
        <w:jc w:val="both"/>
        <w:rPr>
          <w:rFonts w:ascii="Verdana" w:hAnsi="Verdana"/>
          <w:i/>
          <w:sz w:val="18"/>
          <w:szCs w:val="18"/>
        </w:rPr>
      </w:pPr>
      <w:r w:rsidRPr="00EC75B7">
        <w:rPr>
          <w:rFonts w:ascii="Verdana" w:hAnsi="Verdana"/>
          <w:i/>
          <w:sz w:val="18"/>
          <w:szCs w:val="18"/>
        </w:rPr>
        <w:t>,, 1.</w:t>
      </w:r>
      <w:r w:rsidRPr="00EC75B7">
        <w:rPr>
          <w:rFonts w:ascii="Verdana" w:hAnsi="Verdana"/>
          <w:i/>
          <w:sz w:val="18"/>
          <w:szCs w:val="18"/>
        </w:rPr>
        <w:tab/>
        <w:t xml:space="preserve">"Wind Farm 48 (46) wind turbines, transformer stations, electrical connection networks, construction and modernization of communication and access roads" – will be implemented in compliance with all measures provided for in the submitted Environmental Report, with a view to preventing, reducing, and eliminating adverse effects on the environment, the living environment, and the health of the population as a result of the </w:t>
      </w:r>
      <w:r w:rsidRPr="00EC75B7">
        <w:rPr>
          <w:rFonts w:ascii="Verdana" w:hAnsi="Verdana"/>
          <w:i/>
          <w:spacing w:val="-2"/>
          <w:sz w:val="18"/>
          <w:szCs w:val="18"/>
        </w:rPr>
        <w:t>project's</w:t>
      </w:r>
      <w:r w:rsidRPr="00EC75B7">
        <w:rPr>
          <w:rFonts w:ascii="Verdana" w:hAnsi="Verdana"/>
          <w:i/>
          <w:sz w:val="18"/>
          <w:szCs w:val="18"/>
        </w:rPr>
        <w:t xml:space="preserve"> implementation</w:t>
      </w:r>
      <w:r w:rsidRPr="00EC75B7">
        <w:rPr>
          <w:rFonts w:ascii="Verdana" w:hAnsi="Verdana"/>
          <w:i/>
          <w:spacing w:val="-2"/>
          <w:sz w:val="18"/>
          <w:szCs w:val="18"/>
        </w:rPr>
        <w:t>;</w:t>
      </w:r>
    </w:p>
    <w:p w14:paraId="0603C7E7" w14:textId="77777777" w:rsidR="008715BE" w:rsidRPr="00EC75B7" w:rsidRDefault="00000000">
      <w:pPr>
        <w:pStyle w:val="ListParagraph"/>
        <w:numPr>
          <w:ilvl w:val="0"/>
          <w:numId w:val="74"/>
        </w:numPr>
        <w:tabs>
          <w:tab w:val="left" w:pos="1360"/>
        </w:tabs>
        <w:spacing w:before="125" w:line="357" w:lineRule="auto"/>
        <w:ind w:right="141" w:firstLine="0"/>
        <w:jc w:val="both"/>
        <w:rPr>
          <w:rFonts w:ascii="Verdana" w:hAnsi="Verdana"/>
          <w:i/>
          <w:sz w:val="18"/>
          <w:szCs w:val="18"/>
        </w:rPr>
      </w:pPr>
      <w:r w:rsidRPr="00EC75B7">
        <w:rPr>
          <w:rFonts w:ascii="Verdana" w:hAnsi="Verdana"/>
          <w:i/>
          <w:sz w:val="18"/>
          <w:szCs w:val="18"/>
        </w:rPr>
        <w:t>Given that the energy park is located in the immediate vicinity of the border with the Republic of Bulgaria, an assessment of the impact of physical factors in a cross-border context, in particular light effects, will be carried out during the design phase. The assessment will be forwarded to the Republic of Bulgaria;</w:t>
      </w:r>
    </w:p>
    <w:p w14:paraId="5A189ABE" w14:textId="77777777" w:rsidR="008715BE" w:rsidRPr="00EC75B7" w:rsidRDefault="00000000">
      <w:pPr>
        <w:pStyle w:val="ListParagraph"/>
        <w:numPr>
          <w:ilvl w:val="0"/>
          <w:numId w:val="74"/>
        </w:numPr>
        <w:tabs>
          <w:tab w:val="left" w:pos="1360"/>
        </w:tabs>
        <w:spacing w:before="122" w:line="360" w:lineRule="auto"/>
        <w:ind w:right="147" w:firstLine="0"/>
        <w:jc w:val="both"/>
        <w:rPr>
          <w:rFonts w:ascii="Verdana" w:hAnsi="Verdana"/>
          <w:i/>
          <w:sz w:val="18"/>
          <w:szCs w:val="18"/>
        </w:rPr>
      </w:pPr>
      <w:r w:rsidRPr="00EC75B7">
        <w:rPr>
          <w:rFonts w:ascii="Verdana" w:hAnsi="Verdana"/>
          <w:i/>
          <w:sz w:val="18"/>
          <w:szCs w:val="18"/>
        </w:rPr>
        <w:t>The paint used for wind turbines (tower and rotor) must be of the "absorbent" type, so as not to create conditions for reflections of incident light;</w:t>
      </w:r>
    </w:p>
    <w:p w14:paraId="7CF56334" w14:textId="77777777" w:rsidR="008715BE" w:rsidRPr="00EC75B7" w:rsidRDefault="00000000">
      <w:pPr>
        <w:pStyle w:val="ListParagraph"/>
        <w:numPr>
          <w:ilvl w:val="0"/>
          <w:numId w:val="74"/>
        </w:numPr>
        <w:tabs>
          <w:tab w:val="left" w:pos="1360"/>
        </w:tabs>
        <w:spacing w:before="119" w:line="357" w:lineRule="auto"/>
        <w:ind w:right="148" w:firstLine="0"/>
        <w:jc w:val="both"/>
        <w:rPr>
          <w:rFonts w:ascii="Verdana" w:hAnsi="Verdana"/>
          <w:i/>
          <w:sz w:val="18"/>
          <w:szCs w:val="18"/>
        </w:rPr>
      </w:pPr>
      <w:r w:rsidRPr="00EC75B7">
        <w:rPr>
          <w:rFonts w:ascii="Verdana" w:hAnsi="Verdana"/>
          <w:i/>
          <w:sz w:val="18"/>
          <w:szCs w:val="18"/>
        </w:rPr>
        <w:t>After implementation of the investment proposal, controlled monitoring of noise levels, non-ionising radiation and light effects at the border with the affected Bulgarian localities will be ensured. The results of the monitoring will be transmitted to the Republic of Bulgaria.</w:t>
      </w:r>
    </w:p>
    <w:p w14:paraId="6CEBCF94" w14:textId="77777777" w:rsidR="008715BE" w:rsidRPr="00EC75B7" w:rsidRDefault="00000000">
      <w:pPr>
        <w:pStyle w:val="BodyText"/>
        <w:spacing w:before="122" w:line="357" w:lineRule="auto"/>
        <w:ind w:left="57" w:right="148"/>
        <w:jc w:val="both"/>
        <w:rPr>
          <w:rFonts w:ascii="Verdana" w:hAnsi="Verdana"/>
        </w:rPr>
      </w:pPr>
      <w:r w:rsidRPr="00EC75B7">
        <w:rPr>
          <w:rFonts w:ascii="Verdana" w:hAnsi="Verdana"/>
        </w:rPr>
        <w:t>The conditions imposed by the Bulgarian state were included in Environmental Notice No. 8/20.11.2025, issued by the Constanța County Directorate for Environmental Protection, a document that was translated into Bulgarian and English and sent, in accordance with the procedures in force, to the Ministry of Environment and Water of the Republic of Bulgaria.</w:t>
      </w:r>
    </w:p>
    <w:p w14:paraId="2D874D30" w14:textId="77777777" w:rsidR="008715BE" w:rsidRPr="00EC75B7" w:rsidRDefault="00000000">
      <w:pPr>
        <w:pStyle w:val="BodyText"/>
        <w:spacing w:before="122" w:line="357" w:lineRule="auto"/>
        <w:ind w:left="57" w:right="146"/>
        <w:jc w:val="both"/>
        <w:rPr>
          <w:rFonts w:ascii="Verdana" w:hAnsi="Verdana"/>
        </w:rPr>
      </w:pPr>
      <w:r w:rsidRPr="00EC75B7">
        <w:rPr>
          <w:rFonts w:ascii="Verdana" w:hAnsi="Verdana"/>
        </w:rPr>
        <w:t>Also, for condition no. 2 mentioned above, the Shadow Study was submitted, whose conclusions indicate that the results show a negligible impact on the analyzed area, including in the case of cross-border roads and the evaluated receptors, a conclusion supported by the use of a conservative modeling scenario based on the largest turbine configuration and an extended analysis radius.</w:t>
      </w:r>
    </w:p>
    <w:p w14:paraId="3AA8FDFC" w14:textId="77777777" w:rsidR="008715BE" w:rsidRPr="00EC75B7" w:rsidRDefault="008715BE">
      <w:pPr>
        <w:pStyle w:val="BodyText"/>
        <w:rPr>
          <w:rFonts w:ascii="Verdana" w:hAnsi="Verdana"/>
        </w:rPr>
      </w:pPr>
    </w:p>
    <w:p w14:paraId="00247455" w14:textId="77777777" w:rsidR="008715BE" w:rsidRPr="00EC75B7" w:rsidRDefault="008715BE">
      <w:pPr>
        <w:pStyle w:val="BodyText"/>
        <w:rPr>
          <w:rFonts w:ascii="Verdana" w:hAnsi="Verdana"/>
        </w:rPr>
      </w:pPr>
    </w:p>
    <w:p w14:paraId="118F94CF" w14:textId="77777777" w:rsidR="008715BE" w:rsidRPr="00EC75B7" w:rsidRDefault="008715BE">
      <w:pPr>
        <w:pStyle w:val="BodyText"/>
        <w:spacing w:before="35"/>
        <w:rPr>
          <w:rFonts w:ascii="Verdana" w:hAnsi="Verdana"/>
        </w:rPr>
      </w:pPr>
    </w:p>
    <w:p w14:paraId="4C4C77F5" w14:textId="77777777" w:rsidR="008715BE" w:rsidRPr="00EC75B7" w:rsidRDefault="00000000">
      <w:pPr>
        <w:pStyle w:val="Heading2"/>
        <w:numPr>
          <w:ilvl w:val="1"/>
          <w:numId w:val="110"/>
        </w:numPr>
        <w:tabs>
          <w:tab w:val="left" w:pos="1360"/>
        </w:tabs>
        <w:ind w:left="1360" w:hanging="1245"/>
        <w:jc w:val="both"/>
        <w:rPr>
          <w:rFonts w:ascii="Verdana" w:hAnsi="Verdana"/>
          <w:color w:val="00AFEF"/>
          <w:sz w:val="18"/>
          <w:szCs w:val="18"/>
        </w:rPr>
      </w:pPr>
      <w:bookmarkStart w:id="87" w:name="_bookmark88"/>
      <w:bookmarkEnd w:id="87"/>
      <w:r w:rsidRPr="00EC75B7">
        <w:rPr>
          <w:rFonts w:ascii="Verdana" w:hAnsi="Verdana"/>
          <w:color w:val="00AFEF"/>
          <w:spacing w:val="-2"/>
          <w:sz w:val="18"/>
          <w:szCs w:val="18"/>
        </w:rPr>
        <w:t>Soil/Subsoil</w:t>
      </w:r>
    </w:p>
    <w:p w14:paraId="2CA2C109" w14:textId="77777777" w:rsidR="008715BE" w:rsidRPr="00EC75B7" w:rsidRDefault="008715BE">
      <w:pPr>
        <w:pStyle w:val="BodyText"/>
        <w:spacing w:before="104"/>
        <w:rPr>
          <w:rFonts w:ascii="Verdana" w:hAnsi="Verdana"/>
          <w:b/>
        </w:rPr>
      </w:pPr>
    </w:p>
    <w:p w14:paraId="7AD449D0" w14:textId="77777777" w:rsidR="008715BE" w:rsidRPr="00EC75B7" w:rsidRDefault="00000000">
      <w:pPr>
        <w:pStyle w:val="Heading3"/>
        <w:numPr>
          <w:ilvl w:val="2"/>
          <w:numId w:val="110"/>
        </w:numPr>
        <w:tabs>
          <w:tab w:val="left" w:pos="2178"/>
          <w:tab w:val="left" w:pos="3034"/>
          <w:tab w:val="left" w:pos="3564"/>
          <w:tab w:val="left" w:pos="5195"/>
          <w:tab w:val="left" w:pos="6202"/>
          <w:tab w:val="left" w:pos="7564"/>
          <w:tab w:val="left" w:pos="9008"/>
        </w:tabs>
        <w:spacing w:line="357" w:lineRule="auto"/>
        <w:ind w:left="1051" w:right="146" w:firstLine="0"/>
        <w:rPr>
          <w:rFonts w:ascii="Verdana" w:hAnsi="Verdana"/>
          <w:color w:val="00AFEF"/>
          <w:sz w:val="18"/>
          <w:szCs w:val="18"/>
        </w:rPr>
      </w:pPr>
      <w:bookmarkStart w:id="88" w:name="_bookmark89"/>
      <w:bookmarkEnd w:id="88"/>
      <w:r w:rsidRPr="00EC75B7">
        <w:rPr>
          <w:rFonts w:ascii="Verdana" w:hAnsi="Verdana"/>
          <w:color w:val="00AFEF"/>
          <w:spacing w:val="-4"/>
          <w:sz w:val="18"/>
          <w:szCs w:val="18"/>
        </w:rPr>
        <w:t>Classes</w:t>
      </w:r>
      <w:r w:rsidRPr="00EC75B7">
        <w:rPr>
          <w:rFonts w:ascii="Verdana" w:hAnsi="Verdana"/>
          <w:color w:val="00AFEF"/>
          <w:sz w:val="18"/>
          <w:szCs w:val="18"/>
        </w:rPr>
        <w:tab/>
      </w:r>
      <w:r w:rsidRPr="00EC75B7">
        <w:rPr>
          <w:rFonts w:ascii="Verdana" w:hAnsi="Verdana"/>
          <w:color w:val="00AFEF"/>
          <w:spacing w:val="-6"/>
          <w:sz w:val="18"/>
          <w:szCs w:val="18"/>
        </w:rPr>
        <w:t>of</w:t>
      </w:r>
      <w:r w:rsidRPr="00EC75B7">
        <w:rPr>
          <w:rFonts w:ascii="Verdana" w:hAnsi="Verdana"/>
          <w:color w:val="00AFEF"/>
          <w:sz w:val="18"/>
          <w:szCs w:val="18"/>
        </w:rPr>
        <w:tab/>
      </w:r>
      <w:r w:rsidRPr="00EC75B7">
        <w:rPr>
          <w:rFonts w:ascii="Verdana" w:hAnsi="Verdana"/>
          <w:color w:val="00AFEF"/>
          <w:spacing w:val="-2"/>
          <w:sz w:val="18"/>
          <w:szCs w:val="18"/>
        </w:rPr>
        <w:t>Sensitivity</w:t>
      </w:r>
      <w:r w:rsidRPr="00EC75B7">
        <w:rPr>
          <w:rFonts w:ascii="Verdana" w:hAnsi="Verdana"/>
          <w:color w:val="00AFEF"/>
          <w:sz w:val="18"/>
          <w:szCs w:val="18"/>
        </w:rPr>
        <w:tab/>
      </w:r>
      <w:r w:rsidRPr="00EC75B7">
        <w:rPr>
          <w:rFonts w:ascii="Verdana" w:hAnsi="Verdana"/>
          <w:color w:val="00AFEF"/>
          <w:spacing w:val="-2"/>
          <w:sz w:val="18"/>
          <w:szCs w:val="18"/>
        </w:rPr>
        <w:t>for</w:t>
      </w:r>
      <w:r w:rsidRPr="00EC75B7">
        <w:rPr>
          <w:rFonts w:ascii="Verdana" w:hAnsi="Verdana"/>
          <w:color w:val="00AFEF"/>
          <w:sz w:val="18"/>
          <w:szCs w:val="18"/>
        </w:rPr>
        <w:tab/>
      </w:r>
      <w:r w:rsidRPr="00EC75B7">
        <w:rPr>
          <w:rFonts w:ascii="Verdana" w:hAnsi="Verdana"/>
          <w:color w:val="00AFEF"/>
          <w:spacing w:val="-2"/>
          <w:sz w:val="18"/>
          <w:szCs w:val="18"/>
        </w:rPr>
        <w:t>assessment</w:t>
      </w:r>
      <w:r w:rsidRPr="00EC75B7">
        <w:rPr>
          <w:rFonts w:ascii="Verdana" w:hAnsi="Verdana"/>
          <w:color w:val="00AFEF"/>
          <w:sz w:val="18"/>
          <w:szCs w:val="18"/>
        </w:rPr>
        <w:tab/>
      </w:r>
      <w:r w:rsidRPr="00EC75B7">
        <w:rPr>
          <w:rFonts w:ascii="Verdana" w:hAnsi="Verdana"/>
          <w:color w:val="00AFEF"/>
          <w:spacing w:val="-2"/>
          <w:sz w:val="18"/>
          <w:szCs w:val="18"/>
        </w:rPr>
        <w:t>impact</w:t>
      </w:r>
      <w:r w:rsidRPr="00EC75B7">
        <w:rPr>
          <w:rFonts w:ascii="Verdana" w:hAnsi="Verdana"/>
          <w:color w:val="00AFEF"/>
          <w:sz w:val="18"/>
          <w:szCs w:val="18"/>
        </w:rPr>
        <w:tab/>
      </w:r>
      <w:r w:rsidRPr="00EC75B7">
        <w:rPr>
          <w:rFonts w:ascii="Verdana" w:hAnsi="Verdana"/>
          <w:color w:val="00AFEF"/>
          <w:spacing w:val="-2"/>
          <w:sz w:val="18"/>
          <w:szCs w:val="18"/>
        </w:rPr>
        <w:t>on the soil/subsoil</w:t>
      </w:r>
    </w:p>
    <w:p w14:paraId="3D209EB5" w14:textId="77777777" w:rsidR="008715BE" w:rsidRPr="00EC75B7" w:rsidRDefault="00000000">
      <w:pPr>
        <w:pStyle w:val="BodyText"/>
        <w:spacing w:before="240"/>
        <w:ind w:left="57"/>
        <w:jc w:val="both"/>
        <w:rPr>
          <w:rFonts w:ascii="Verdana" w:hAnsi="Verdana"/>
        </w:rPr>
      </w:pPr>
      <w:r w:rsidRPr="00EC75B7">
        <w:rPr>
          <w:rFonts w:ascii="Verdana" w:hAnsi="Verdana"/>
        </w:rPr>
        <w:t xml:space="preserve">The following </w:t>
      </w:r>
      <w:r w:rsidRPr="00EC75B7">
        <w:rPr>
          <w:rFonts w:ascii="Verdana" w:hAnsi="Verdana"/>
          <w:spacing w:val="-2"/>
        </w:rPr>
        <w:t xml:space="preserve">sensitivity </w:t>
      </w:r>
      <w:r w:rsidRPr="00EC75B7">
        <w:rPr>
          <w:rFonts w:ascii="Verdana" w:hAnsi="Verdana"/>
        </w:rPr>
        <w:t>classes have been established for this project</w:t>
      </w:r>
      <w:r w:rsidRPr="00EC75B7">
        <w:rPr>
          <w:rFonts w:ascii="Verdana" w:hAnsi="Verdana"/>
          <w:spacing w:val="-2"/>
        </w:rPr>
        <w:t>:</w:t>
      </w:r>
    </w:p>
    <w:p w14:paraId="27756032" w14:textId="77777777" w:rsidR="008715BE" w:rsidRPr="00EC75B7" w:rsidRDefault="008715BE">
      <w:pPr>
        <w:pStyle w:val="BodyText"/>
        <w:spacing w:before="57"/>
        <w:rPr>
          <w:rFonts w:ascii="Verdana" w:hAnsi="Verdana"/>
        </w:rPr>
      </w:pPr>
    </w:p>
    <w:p w14:paraId="5CF81ADB"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33 Sensitivity classes for </w:t>
      </w:r>
      <w:r w:rsidRPr="00EC75B7">
        <w:rPr>
          <w:rFonts w:ascii="Verdana" w:hAnsi="Verdana"/>
          <w:b/>
          <w:color w:val="00AFEF"/>
          <w:spacing w:val="-2"/>
          <w:sz w:val="18"/>
          <w:szCs w:val="18"/>
        </w:rPr>
        <w:t>soil/subsoil</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3080"/>
        <w:gridCol w:w="6421"/>
      </w:tblGrid>
      <w:tr w:rsidR="008715BE" w:rsidRPr="00EC75B7" w14:paraId="44A43CBE" w14:textId="77777777">
        <w:trPr>
          <w:trHeight w:val="292"/>
        </w:trPr>
        <w:tc>
          <w:tcPr>
            <w:tcW w:w="3080" w:type="dxa"/>
            <w:shd w:val="clear" w:color="auto" w:fill="00AFEF"/>
          </w:tcPr>
          <w:p w14:paraId="352B2258"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Sensitivity</w:t>
            </w:r>
          </w:p>
        </w:tc>
        <w:tc>
          <w:tcPr>
            <w:tcW w:w="6421" w:type="dxa"/>
            <w:shd w:val="clear" w:color="auto" w:fill="00AFEF"/>
          </w:tcPr>
          <w:p w14:paraId="52D15B31"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r>
      <w:tr w:rsidR="008715BE" w:rsidRPr="00EC75B7" w14:paraId="0692DF54" w14:textId="77777777">
        <w:trPr>
          <w:trHeight w:val="254"/>
        </w:trPr>
        <w:tc>
          <w:tcPr>
            <w:tcW w:w="9501" w:type="dxa"/>
            <w:gridSpan w:val="2"/>
            <w:shd w:val="clear" w:color="auto" w:fill="C8EBFF"/>
          </w:tcPr>
          <w:p w14:paraId="6BBB2BF9"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5"/>
                <w:sz w:val="18"/>
                <w:szCs w:val="18"/>
              </w:rPr>
              <w:t>SOIL</w:t>
            </w:r>
          </w:p>
        </w:tc>
      </w:tr>
    </w:tbl>
    <w:p w14:paraId="4B8E5455" w14:textId="77777777" w:rsidR="008715BE" w:rsidRPr="00EC75B7" w:rsidRDefault="008715BE">
      <w:pPr>
        <w:pStyle w:val="TableParagraph"/>
        <w:spacing w:line="195" w:lineRule="exact"/>
        <w:rPr>
          <w:rFonts w:ascii="Verdana" w:hAnsi="Verdana"/>
          <w:b/>
          <w:sz w:val="18"/>
          <w:szCs w:val="18"/>
        </w:rPr>
        <w:sectPr w:rsidR="008715BE" w:rsidRPr="00EC75B7">
          <w:pgSz w:w="11910" w:h="16840"/>
          <w:pgMar w:top="1320" w:right="850" w:bottom="1020" w:left="1133" w:header="766" w:footer="824" w:gutter="0"/>
          <w:cols w:space="708"/>
        </w:sectPr>
      </w:pPr>
    </w:p>
    <w:p w14:paraId="2E463146"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3078"/>
        <w:gridCol w:w="6424"/>
      </w:tblGrid>
      <w:tr w:rsidR="008715BE" w:rsidRPr="00EC75B7" w14:paraId="08CDCE3B" w14:textId="77777777">
        <w:trPr>
          <w:trHeight w:val="292"/>
        </w:trPr>
        <w:tc>
          <w:tcPr>
            <w:tcW w:w="3078" w:type="dxa"/>
            <w:shd w:val="clear" w:color="auto" w:fill="00AFEF"/>
          </w:tcPr>
          <w:p w14:paraId="55DD0F9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6424" w:type="dxa"/>
            <w:shd w:val="clear" w:color="auto" w:fill="00AFEF"/>
          </w:tcPr>
          <w:p w14:paraId="1CABE06F"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r>
      <w:tr w:rsidR="008715BE" w:rsidRPr="00EC75B7" w14:paraId="5F5F12B4" w14:textId="77777777">
        <w:trPr>
          <w:trHeight w:val="415"/>
        </w:trPr>
        <w:tc>
          <w:tcPr>
            <w:tcW w:w="3078" w:type="dxa"/>
            <w:shd w:val="clear" w:color="auto" w:fill="92D050"/>
          </w:tcPr>
          <w:p w14:paraId="5A6D60F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Low</w:t>
            </w:r>
          </w:p>
        </w:tc>
        <w:tc>
          <w:tcPr>
            <w:tcW w:w="6424" w:type="dxa"/>
            <w:tcBorders>
              <w:bottom w:val="nil"/>
            </w:tcBorders>
            <w:shd w:val="clear" w:color="auto" w:fill="D9D9D9"/>
          </w:tcPr>
          <w:p w14:paraId="312E7C30" w14:textId="77777777" w:rsidR="008715BE" w:rsidRPr="00EC75B7" w:rsidRDefault="00000000">
            <w:pPr>
              <w:pStyle w:val="TableParagraph"/>
              <w:spacing w:before="5" w:line="194" w:lineRule="exact"/>
              <w:ind w:left="110" w:right="1319"/>
              <w:rPr>
                <w:rFonts w:ascii="Verdana" w:hAnsi="Verdana"/>
                <w:sz w:val="18"/>
                <w:szCs w:val="18"/>
              </w:rPr>
            </w:pPr>
            <w:r w:rsidRPr="00EC75B7">
              <w:rPr>
                <w:rFonts w:ascii="Verdana" w:hAnsi="Verdana"/>
                <w:sz w:val="18"/>
                <w:szCs w:val="18"/>
              </w:rPr>
              <w:t>Land used for grazing domestic animals Unproductive agricultural land</w:t>
            </w:r>
          </w:p>
        </w:tc>
      </w:tr>
      <w:tr w:rsidR="008715BE" w:rsidRPr="00EC75B7" w14:paraId="378E0B9E" w14:textId="77777777">
        <w:trPr>
          <w:trHeight w:val="388"/>
        </w:trPr>
        <w:tc>
          <w:tcPr>
            <w:tcW w:w="3078" w:type="dxa"/>
            <w:shd w:val="clear" w:color="auto" w:fill="FFFF00"/>
          </w:tcPr>
          <w:p w14:paraId="5D5D785A"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6424" w:type="dxa"/>
            <w:tcBorders>
              <w:top w:val="nil"/>
            </w:tcBorders>
          </w:tcPr>
          <w:p w14:paraId="65DF034A"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Agricultural land with good productivity, used for </w:t>
            </w:r>
            <w:r w:rsidRPr="00EC75B7">
              <w:rPr>
                <w:rFonts w:ascii="Verdana" w:hAnsi="Verdana"/>
                <w:spacing w:val="-2"/>
                <w:sz w:val="18"/>
                <w:szCs w:val="18"/>
              </w:rPr>
              <w:t xml:space="preserve">cereal </w:t>
            </w:r>
            <w:r w:rsidRPr="00EC75B7">
              <w:rPr>
                <w:rFonts w:ascii="Verdana" w:hAnsi="Verdana"/>
                <w:sz w:val="18"/>
                <w:szCs w:val="18"/>
              </w:rPr>
              <w:t>crops</w:t>
            </w:r>
          </w:p>
        </w:tc>
      </w:tr>
      <w:tr w:rsidR="008715BE" w:rsidRPr="00EC75B7" w14:paraId="16F734C3" w14:textId="77777777">
        <w:trPr>
          <w:trHeight w:val="388"/>
        </w:trPr>
        <w:tc>
          <w:tcPr>
            <w:tcW w:w="3078" w:type="dxa"/>
            <w:shd w:val="clear" w:color="auto" w:fill="FAE3D4"/>
          </w:tcPr>
          <w:p w14:paraId="5F608F2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6424" w:type="dxa"/>
            <w:tcBorders>
              <w:bottom w:val="nil"/>
            </w:tcBorders>
            <w:shd w:val="clear" w:color="auto" w:fill="D9D9D9"/>
          </w:tcPr>
          <w:p w14:paraId="1660B472" w14:textId="77777777" w:rsidR="008715BE" w:rsidRPr="00EC75B7" w:rsidRDefault="00000000">
            <w:pPr>
              <w:pStyle w:val="TableParagraph"/>
              <w:spacing w:line="194" w:lineRule="exact"/>
              <w:ind w:left="110" w:right="114"/>
              <w:rPr>
                <w:rFonts w:ascii="Verdana" w:hAnsi="Verdana"/>
                <w:sz w:val="18"/>
                <w:szCs w:val="18"/>
              </w:rPr>
            </w:pPr>
            <w:r w:rsidRPr="00EC75B7">
              <w:rPr>
                <w:rFonts w:ascii="Verdana" w:hAnsi="Verdana"/>
                <w:sz w:val="18"/>
                <w:szCs w:val="18"/>
              </w:rPr>
              <w:t>Land used for horticulture, fruit growing, and other crops Value Arable land along watercourses</w:t>
            </w:r>
          </w:p>
        </w:tc>
      </w:tr>
      <w:tr w:rsidR="008715BE" w:rsidRPr="00EC75B7" w14:paraId="6E4C2157" w14:textId="77777777">
        <w:trPr>
          <w:trHeight w:val="582"/>
        </w:trPr>
        <w:tc>
          <w:tcPr>
            <w:tcW w:w="3078" w:type="dxa"/>
            <w:shd w:val="clear" w:color="auto" w:fill="FF0000"/>
          </w:tcPr>
          <w:p w14:paraId="24AFCAE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6424" w:type="dxa"/>
            <w:tcBorders>
              <w:top w:val="nil"/>
              <w:bottom w:val="nil"/>
            </w:tcBorders>
            <w:shd w:val="clear" w:color="auto" w:fill="D9D9D9"/>
          </w:tcPr>
          <w:p w14:paraId="07088E6A" w14:textId="77777777" w:rsidR="008715BE" w:rsidRPr="00EC75B7" w:rsidRDefault="00000000">
            <w:pPr>
              <w:pStyle w:val="TableParagraph"/>
              <w:spacing w:line="194" w:lineRule="exact"/>
              <w:ind w:left="110" w:right="2603"/>
              <w:rPr>
                <w:rFonts w:ascii="Verdana" w:hAnsi="Verdana"/>
                <w:sz w:val="18"/>
                <w:szCs w:val="18"/>
              </w:rPr>
            </w:pPr>
            <w:r w:rsidRPr="00EC75B7">
              <w:rPr>
                <w:rFonts w:ascii="Verdana" w:hAnsi="Verdana"/>
                <w:sz w:val="18"/>
                <w:szCs w:val="18"/>
              </w:rPr>
              <w:t>Soil-protected areas Areas belonging to household gardens Areas declared as green spaces</w:t>
            </w:r>
          </w:p>
        </w:tc>
      </w:tr>
      <w:tr w:rsidR="008715BE" w:rsidRPr="00EC75B7" w14:paraId="428204E8" w14:textId="77777777">
        <w:trPr>
          <w:trHeight w:val="388"/>
        </w:trPr>
        <w:tc>
          <w:tcPr>
            <w:tcW w:w="3078" w:type="dxa"/>
            <w:shd w:val="clear" w:color="auto" w:fill="F1F1F1"/>
          </w:tcPr>
          <w:p w14:paraId="79A8069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No sensitivity/very </w:t>
            </w:r>
            <w:r w:rsidRPr="00EC75B7">
              <w:rPr>
                <w:rFonts w:ascii="Verdana" w:hAnsi="Verdana"/>
                <w:b/>
                <w:spacing w:val="-4"/>
                <w:sz w:val="18"/>
                <w:szCs w:val="18"/>
              </w:rPr>
              <w:t>low</w:t>
            </w:r>
          </w:p>
        </w:tc>
        <w:tc>
          <w:tcPr>
            <w:tcW w:w="6424" w:type="dxa"/>
            <w:tcBorders>
              <w:top w:val="nil"/>
            </w:tcBorders>
            <w:shd w:val="clear" w:color="auto" w:fill="F1F1F1"/>
          </w:tcPr>
          <w:p w14:paraId="3E116542" w14:textId="77777777" w:rsidR="008715BE" w:rsidRPr="00EC75B7" w:rsidRDefault="00000000">
            <w:pPr>
              <w:pStyle w:val="TableParagraph"/>
              <w:spacing w:before="8" w:line="195" w:lineRule="exact"/>
              <w:ind w:left="110"/>
              <w:rPr>
                <w:rFonts w:ascii="Verdana" w:hAnsi="Verdana"/>
                <w:sz w:val="18"/>
                <w:szCs w:val="18"/>
              </w:rPr>
            </w:pPr>
            <w:r w:rsidRPr="00EC75B7">
              <w:rPr>
                <w:rFonts w:ascii="Verdana" w:hAnsi="Verdana"/>
                <w:sz w:val="18"/>
                <w:szCs w:val="18"/>
              </w:rPr>
              <w:t xml:space="preserve">Industrial/heavily </w:t>
            </w:r>
            <w:r w:rsidRPr="00EC75B7">
              <w:rPr>
                <w:rFonts w:ascii="Verdana" w:hAnsi="Verdana"/>
                <w:spacing w:val="-2"/>
                <w:sz w:val="18"/>
                <w:szCs w:val="18"/>
              </w:rPr>
              <w:t xml:space="preserve">urbanized </w:t>
            </w:r>
            <w:r w:rsidRPr="00EC75B7">
              <w:rPr>
                <w:rFonts w:ascii="Verdana" w:hAnsi="Verdana"/>
                <w:sz w:val="18"/>
                <w:szCs w:val="18"/>
              </w:rPr>
              <w:t>areas</w:t>
            </w:r>
          </w:p>
          <w:p w14:paraId="3C667ACE" w14:textId="77777777" w:rsidR="008715BE" w:rsidRPr="00EC75B7" w:rsidRDefault="00000000">
            <w:pPr>
              <w:pStyle w:val="TableParagraph"/>
              <w:spacing w:line="165" w:lineRule="exact"/>
              <w:ind w:left="110"/>
              <w:rPr>
                <w:rFonts w:ascii="Verdana" w:hAnsi="Verdana"/>
                <w:sz w:val="18"/>
                <w:szCs w:val="18"/>
              </w:rPr>
            </w:pPr>
            <w:r w:rsidRPr="00EC75B7">
              <w:rPr>
                <w:rFonts w:ascii="Verdana" w:hAnsi="Verdana"/>
                <w:sz w:val="18"/>
                <w:szCs w:val="18"/>
              </w:rPr>
              <w:t xml:space="preserve">Areas along roads, </w:t>
            </w:r>
            <w:r w:rsidRPr="00EC75B7">
              <w:rPr>
                <w:rFonts w:ascii="Verdana" w:hAnsi="Verdana"/>
                <w:spacing w:val="-2"/>
                <w:sz w:val="18"/>
                <w:szCs w:val="18"/>
              </w:rPr>
              <w:t xml:space="preserve">access </w:t>
            </w:r>
            <w:r w:rsidRPr="00EC75B7">
              <w:rPr>
                <w:rFonts w:ascii="Verdana" w:hAnsi="Verdana"/>
                <w:sz w:val="18"/>
                <w:szCs w:val="18"/>
              </w:rPr>
              <w:t>roads</w:t>
            </w:r>
          </w:p>
        </w:tc>
      </w:tr>
      <w:tr w:rsidR="008715BE" w:rsidRPr="00EC75B7" w14:paraId="3CB5CE20" w14:textId="77777777">
        <w:trPr>
          <w:trHeight w:val="297"/>
        </w:trPr>
        <w:tc>
          <w:tcPr>
            <w:tcW w:w="9502" w:type="dxa"/>
            <w:gridSpan w:val="2"/>
            <w:shd w:val="clear" w:color="auto" w:fill="C8EBFF"/>
          </w:tcPr>
          <w:p w14:paraId="11030A7B" w14:textId="77777777" w:rsidR="008715BE" w:rsidRPr="00EC75B7" w:rsidRDefault="00000000">
            <w:pPr>
              <w:pStyle w:val="TableParagraph"/>
              <w:spacing w:before="10"/>
              <w:ind w:left="108"/>
              <w:rPr>
                <w:rFonts w:ascii="Verdana" w:hAnsi="Verdana"/>
                <w:b/>
                <w:sz w:val="18"/>
                <w:szCs w:val="18"/>
              </w:rPr>
            </w:pPr>
            <w:r w:rsidRPr="00EC75B7">
              <w:rPr>
                <w:rFonts w:ascii="Verdana" w:hAnsi="Verdana"/>
                <w:b/>
                <w:spacing w:val="-2"/>
                <w:sz w:val="18"/>
                <w:szCs w:val="18"/>
              </w:rPr>
              <w:t>SUBSOIL</w:t>
            </w:r>
          </w:p>
        </w:tc>
      </w:tr>
      <w:tr w:rsidR="008715BE" w:rsidRPr="00EC75B7" w14:paraId="576AC35E" w14:textId="77777777">
        <w:trPr>
          <w:trHeight w:val="220"/>
        </w:trPr>
        <w:tc>
          <w:tcPr>
            <w:tcW w:w="3078" w:type="dxa"/>
            <w:shd w:val="clear" w:color="auto" w:fill="92D050"/>
          </w:tcPr>
          <w:p w14:paraId="25B1795E" w14:textId="77777777" w:rsidR="008715BE" w:rsidRPr="00EC75B7" w:rsidRDefault="00000000">
            <w:pPr>
              <w:pStyle w:val="TableParagraph"/>
              <w:spacing w:before="8" w:line="192" w:lineRule="exact"/>
              <w:ind w:left="108"/>
              <w:rPr>
                <w:rFonts w:ascii="Verdana" w:hAnsi="Verdana"/>
                <w:b/>
                <w:sz w:val="18"/>
                <w:szCs w:val="18"/>
              </w:rPr>
            </w:pPr>
            <w:r w:rsidRPr="00EC75B7">
              <w:rPr>
                <w:rFonts w:ascii="Verdana" w:hAnsi="Verdana"/>
                <w:b/>
                <w:spacing w:val="-4"/>
                <w:sz w:val="18"/>
                <w:szCs w:val="18"/>
              </w:rPr>
              <w:t>Low</w:t>
            </w:r>
          </w:p>
        </w:tc>
        <w:tc>
          <w:tcPr>
            <w:tcW w:w="6424" w:type="dxa"/>
            <w:shd w:val="clear" w:color="auto" w:fill="F1F1F1"/>
          </w:tcPr>
          <w:p w14:paraId="2489D987" w14:textId="77777777" w:rsidR="008715BE" w:rsidRPr="00EC75B7" w:rsidRDefault="00000000">
            <w:pPr>
              <w:pStyle w:val="TableParagraph"/>
              <w:spacing w:before="8" w:line="192" w:lineRule="exact"/>
              <w:ind w:left="110"/>
              <w:rPr>
                <w:rFonts w:ascii="Verdana" w:hAnsi="Verdana"/>
                <w:sz w:val="18"/>
                <w:szCs w:val="18"/>
              </w:rPr>
            </w:pPr>
            <w:r w:rsidRPr="00EC75B7">
              <w:rPr>
                <w:rFonts w:ascii="Verdana" w:hAnsi="Verdana"/>
                <w:sz w:val="18"/>
                <w:szCs w:val="18"/>
              </w:rPr>
              <w:t xml:space="preserve">Areas poor in </w:t>
            </w:r>
            <w:r w:rsidRPr="00EC75B7">
              <w:rPr>
                <w:rFonts w:ascii="Verdana" w:hAnsi="Verdana"/>
                <w:spacing w:val="-2"/>
                <w:sz w:val="18"/>
                <w:szCs w:val="18"/>
              </w:rPr>
              <w:t xml:space="preserve">mineral </w:t>
            </w:r>
            <w:r w:rsidRPr="00EC75B7">
              <w:rPr>
                <w:rFonts w:ascii="Verdana" w:hAnsi="Verdana"/>
                <w:sz w:val="18"/>
                <w:szCs w:val="18"/>
              </w:rPr>
              <w:t>resources</w:t>
            </w:r>
          </w:p>
        </w:tc>
      </w:tr>
      <w:tr w:rsidR="008715BE" w:rsidRPr="00EC75B7" w14:paraId="500954CB" w14:textId="77777777">
        <w:trPr>
          <w:trHeight w:val="486"/>
        </w:trPr>
        <w:tc>
          <w:tcPr>
            <w:tcW w:w="3078" w:type="dxa"/>
            <w:shd w:val="clear" w:color="auto" w:fill="FFFF00"/>
          </w:tcPr>
          <w:p w14:paraId="35D5D73F"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6424" w:type="dxa"/>
            <w:shd w:val="clear" w:color="auto" w:fill="F1F1F1"/>
          </w:tcPr>
          <w:p w14:paraId="67AF6D84" w14:textId="77777777" w:rsidR="008715BE" w:rsidRPr="00EC75B7" w:rsidRDefault="00000000">
            <w:pPr>
              <w:pStyle w:val="TableParagraph"/>
              <w:spacing w:before="8"/>
              <w:ind w:left="110" w:right="114"/>
              <w:rPr>
                <w:rFonts w:ascii="Verdana" w:hAnsi="Verdana"/>
                <w:sz w:val="18"/>
                <w:szCs w:val="18"/>
              </w:rPr>
            </w:pPr>
            <w:r w:rsidRPr="00EC75B7">
              <w:rPr>
                <w:rFonts w:ascii="Verdana" w:hAnsi="Verdana"/>
                <w:sz w:val="18"/>
                <w:szCs w:val="18"/>
              </w:rPr>
              <w:t>Areas with valuable geological features that can be declared geoparks Areas valuable from a geological exploitation point of view</w:t>
            </w:r>
          </w:p>
        </w:tc>
      </w:tr>
      <w:tr w:rsidR="008715BE" w:rsidRPr="00EC75B7" w14:paraId="0E0BAFEE" w14:textId="77777777">
        <w:trPr>
          <w:trHeight w:val="522"/>
        </w:trPr>
        <w:tc>
          <w:tcPr>
            <w:tcW w:w="3078" w:type="dxa"/>
            <w:shd w:val="clear" w:color="auto" w:fill="FAE3D4"/>
          </w:tcPr>
          <w:p w14:paraId="1106C28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Large</w:t>
            </w:r>
          </w:p>
        </w:tc>
        <w:tc>
          <w:tcPr>
            <w:tcW w:w="6424" w:type="dxa"/>
            <w:shd w:val="clear" w:color="auto" w:fill="F1F1F1"/>
          </w:tcPr>
          <w:p w14:paraId="4B621D52"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Areas designated as geoparks or geological and </w:t>
            </w:r>
            <w:r w:rsidRPr="00EC75B7">
              <w:rPr>
                <w:rFonts w:ascii="Verdana" w:hAnsi="Verdana"/>
                <w:spacing w:val="-2"/>
                <w:sz w:val="18"/>
                <w:szCs w:val="18"/>
              </w:rPr>
              <w:t xml:space="preserve">speleological </w:t>
            </w:r>
            <w:r w:rsidRPr="00EC75B7">
              <w:rPr>
                <w:rFonts w:ascii="Verdana" w:hAnsi="Verdana"/>
                <w:sz w:val="18"/>
                <w:szCs w:val="18"/>
              </w:rPr>
              <w:t>reserves</w:t>
            </w:r>
          </w:p>
        </w:tc>
      </w:tr>
      <w:tr w:rsidR="008715BE" w:rsidRPr="00EC75B7" w14:paraId="21162BBE" w14:textId="77777777">
        <w:trPr>
          <w:trHeight w:val="197"/>
        </w:trPr>
        <w:tc>
          <w:tcPr>
            <w:tcW w:w="3078" w:type="dxa"/>
            <w:shd w:val="clear" w:color="auto" w:fill="FF0000"/>
          </w:tcPr>
          <w:p w14:paraId="7168E878" w14:textId="77777777" w:rsidR="008715BE" w:rsidRPr="00EC75B7" w:rsidRDefault="00000000">
            <w:pPr>
              <w:pStyle w:val="TableParagraph"/>
              <w:spacing w:before="11" w:line="166" w:lineRule="exact"/>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large</w:t>
            </w:r>
          </w:p>
        </w:tc>
        <w:tc>
          <w:tcPr>
            <w:tcW w:w="6424" w:type="dxa"/>
            <w:shd w:val="clear" w:color="auto" w:fill="F1F1F1"/>
          </w:tcPr>
          <w:p w14:paraId="60AB2779" w14:textId="77777777" w:rsidR="008715BE" w:rsidRPr="00EC75B7" w:rsidRDefault="00000000">
            <w:pPr>
              <w:pStyle w:val="TableParagraph"/>
              <w:spacing w:before="11" w:line="166" w:lineRule="exact"/>
              <w:ind w:left="110"/>
              <w:rPr>
                <w:rFonts w:ascii="Verdana" w:hAnsi="Verdana"/>
                <w:sz w:val="18"/>
                <w:szCs w:val="18"/>
              </w:rPr>
            </w:pPr>
            <w:r w:rsidRPr="00EC75B7">
              <w:rPr>
                <w:rFonts w:ascii="Verdana" w:hAnsi="Verdana"/>
                <w:sz w:val="18"/>
                <w:szCs w:val="18"/>
              </w:rPr>
              <w:t xml:space="preserve">Areas important for </w:t>
            </w:r>
            <w:r w:rsidRPr="00EC75B7">
              <w:rPr>
                <w:rFonts w:ascii="Verdana" w:hAnsi="Verdana"/>
                <w:spacing w:val="-2"/>
                <w:sz w:val="18"/>
                <w:szCs w:val="18"/>
              </w:rPr>
              <w:t xml:space="preserve">geological/speleological </w:t>
            </w:r>
            <w:r w:rsidRPr="00EC75B7">
              <w:rPr>
                <w:rFonts w:ascii="Verdana" w:hAnsi="Verdana"/>
                <w:sz w:val="18"/>
                <w:szCs w:val="18"/>
              </w:rPr>
              <w:t>research</w:t>
            </w:r>
          </w:p>
        </w:tc>
      </w:tr>
      <w:tr w:rsidR="008715BE" w:rsidRPr="00EC75B7" w14:paraId="2DBC0AF8" w14:textId="77777777">
        <w:trPr>
          <w:trHeight w:val="376"/>
        </w:trPr>
        <w:tc>
          <w:tcPr>
            <w:tcW w:w="3078" w:type="dxa"/>
            <w:shd w:val="clear" w:color="auto" w:fill="F1F1F1"/>
          </w:tcPr>
          <w:p w14:paraId="6A98E93E"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No sensitivity/very </w:t>
            </w:r>
            <w:r w:rsidRPr="00EC75B7">
              <w:rPr>
                <w:rFonts w:ascii="Verdana" w:hAnsi="Verdana"/>
                <w:b/>
                <w:spacing w:val="-4"/>
                <w:sz w:val="18"/>
                <w:szCs w:val="18"/>
              </w:rPr>
              <w:t>low</w:t>
            </w:r>
          </w:p>
        </w:tc>
        <w:tc>
          <w:tcPr>
            <w:tcW w:w="6424" w:type="dxa"/>
            <w:shd w:val="clear" w:color="auto" w:fill="F1F1F1"/>
          </w:tcPr>
          <w:p w14:paraId="0738EBD5"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Areas where there are no materials of geological and </w:t>
            </w:r>
            <w:r w:rsidRPr="00EC75B7">
              <w:rPr>
                <w:rFonts w:ascii="Verdana" w:hAnsi="Verdana"/>
                <w:spacing w:val="-2"/>
                <w:sz w:val="18"/>
                <w:szCs w:val="18"/>
              </w:rPr>
              <w:t xml:space="preserve">paleontological </w:t>
            </w:r>
            <w:r w:rsidRPr="00EC75B7">
              <w:rPr>
                <w:rFonts w:ascii="Verdana" w:hAnsi="Verdana"/>
                <w:sz w:val="18"/>
                <w:szCs w:val="18"/>
              </w:rPr>
              <w:t>interest</w:t>
            </w:r>
          </w:p>
        </w:tc>
      </w:tr>
    </w:tbl>
    <w:p w14:paraId="21FD959A" w14:textId="77777777" w:rsidR="008715BE" w:rsidRPr="00EC75B7" w:rsidRDefault="008715BE">
      <w:pPr>
        <w:pStyle w:val="BodyText"/>
        <w:rPr>
          <w:rFonts w:ascii="Verdana" w:hAnsi="Verdana"/>
          <w:b/>
        </w:rPr>
      </w:pPr>
    </w:p>
    <w:p w14:paraId="1860EFB1" w14:textId="77777777" w:rsidR="008715BE" w:rsidRPr="00EC75B7" w:rsidRDefault="008715BE">
      <w:pPr>
        <w:pStyle w:val="BodyText"/>
        <w:spacing w:before="3"/>
        <w:rPr>
          <w:rFonts w:ascii="Verdana" w:hAnsi="Verdana"/>
          <w:b/>
        </w:rPr>
      </w:pPr>
    </w:p>
    <w:p w14:paraId="59D81C5C" w14:textId="77777777" w:rsidR="008715BE" w:rsidRPr="00EC75B7" w:rsidRDefault="00000000">
      <w:pPr>
        <w:pStyle w:val="BodyText"/>
        <w:spacing w:line="360" w:lineRule="auto"/>
        <w:ind w:left="57" w:right="154"/>
        <w:jc w:val="both"/>
        <w:rPr>
          <w:rFonts w:ascii="Verdana" w:hAnsi="Verdana"/>
        </w:rPr>
      </w:pPr>
      <w:r w:rsidRPr="00EC75B7">
        <w:rPr>
          <w:rFonts w:ascii="Verdana" w:hAnsi="Verdana"/>
        </w:rPr>
        <w:t xml:space="preserve">In terms of soil sensitivity class, the area where the works are located falls within a zone of </w:t>
      </w:r>
      <w:r w:rsidRPr="00EC75B7">
        <w:rPr>
          <w:rFonts w:ascii="Verdana" w:hAnsi="Verdana"/>
          <w:b/>
        </w:rPr>
        <w:t xml:space="preserve">moderate sensitivity </w:t>
      </w:r>
      <w:r w:rsidRPr="00EC75B7">
        <w:rPr>
          <w:rFonts w:ascii="Verdana" w:hAnsi="Verdana"/>
        </w:rPr>
        <w:t>(agricultural land used for crops).</w:t>
      </w:r>
    </w:p>
    <w:p w14:paraId="52C4E510" w14:textId="77777777" w:rsidR="008715BE" w:rsidRPr="00EC75B7" w:rsidRDefault="00000000">
      <w:pPr>
        <w:pStyle w:val="BodyText"/>
        <w:spacing w:before="167" w:line="360" w:lineRule="auto"/>
        <w:ind w:left="57" w:right="137"/>
        <w:jc w:val="both"/>
        <w:rPr>
          <w:rFonts w:ascii="Verdana" w:hAnsi="Verdana"/>
        </w:rPr>
      </w:pPr>
      <w:r w:rsidRPr="00EC75B7">
        <w:rPr>
          <w:rFonts w:ascii="Verdana" w:hAnsi="Verdana"/>
        </w:rPr>
        <w:t xml:space="preserve">In terms of sensitivity class for subsoils, no areas with moderate or high sensitivity were identified in the areas proposed for the works. The areas proposed for the works are considered to be of </w:t>
      </w:r>
      <w:r w:rsidRPr="00EC75B7">
        <w:rPr>
          <w:rFonts w:ascii="Verdana" w:hAnsi="Verdana"/>
          <w:b/>
        </w:rPr>
        <w:t xml:space="preserve">low </w:t>
      </w:r>
      <w:r w:rsidRPr="00EC75B7">
        <w:rPr>
          <w:rFonts w:ascii="Verdana" w:hAnsi="Verdana"/>
        </w:rPr>
        <w:t xml:space="preserve">geological </w:t>
      </w:r>
      <w:r w:rsidRPr="00EC75B7">
        <w:rPr>
          <w:rFonts w:ascii="Verdana" w:hAnsi="Verdana"/>
          <w:b/>
        </w:rPr>
        <w:t xml:space="preserve">sensitivity </w:t>
      </w:r>
      <w:r w:rsidRPr="00EC75B7">
        <w:rPr>
          <w:rFonts w:ascii="Verdana" w:hAnsi="Verdana"/>
        </w:rPr>
        <w:t xml:space="preserve">(areas poor in </w:t>
      </w:r>
      <w:r w:rsidRPr="00EC75B7">
        <w:rPr>
          <w:rFonts w:ascii="Verdana" w:hAnsi="Verdana"/>
          <w:spacing w:val="-2"/>
        </w:rPr>
        <w:t>mineral</w:t>
      </w:r>
      <w:r w:rsidRPr="00EC75B7">
        <w:rPr>
          <w:rFonts w:ascii="Verdana" w:hAnsi="Verdana"/>
        </w:rPr>
        <w:t xml:space="preserve"> resources</w:t>
      </w:r>
      <w:r w:rsidRPr="00EC75B7">
        <w:rPr>
          <w:rFonts w:ascii="Verdana" w:hAnsi="Verdana"/>
          <w:spacing w:val="-2"/>
        </w:rPr>
        <w:t>).</w:t>
      </w:r>
    </w:p>
    <w:p w14:paraId="66948960" w14:textId="77777777" w:rsidR="008715BE" w:rsidRPr="00EC75B7" w:rsidRDefault="008715BE">
      <w:pPr>
        <w:pStyle w:val="BodyText"/>
        <w:spacing w:before="17"/>
        <w:rPr>
          <w:rFonts w:ascii="Verdana" w:hAnsi="Verdana"/>
        </w:rPr>
      </w:pPr>
    </w:p>
    <w:p w14:paraId="6B671DA9" w14:textId="77777777" w:rsidR="008715BE" w:rsidRPr="00EC75B7" w:rsidRDefault="00000000">
      <w:pPr>
        <w:pStyle w:val="Heading3"/>
        <w:numPr>
          <w:ilvl w:val="2"/>
          <w:numId w:val="110"/>
        </w:numPr>
        <w:tabs>
          <w:tab w:val="left" w:pos="2173"/>
          <w:tab w:val="left" w:pos="3022"/>
          <w:tab w:val="left" w:pos="3550"/>
          <w:tab w:val="left" w:pos="5215"/>
          <w:tab w:val="left" w:pos="6213"/>
          <w:tab w:val="left" w:pos="7573"/>
          <w:tab w:val="left" w:pos="9010"/>
        </w:tabs>
        <w:spacing w:line="360" w:lineRule="auto"/>
        <w:ind w:left="1051" w:right="144" w:firstLine="0"/>
        <w:rPr>
          <w:rFonts w:ascii="Verdana" w:hAnsi="Verdana"/>
          <w:color w:val="00AFEF"/>
          <w:sz w:val="18"/>
          <w:szCs w:val="18"/>
        </w:rPr>
      </w:pPr>
      <w:bookmarkStart w:id="89" w:name="_bookmark90"/>
      <w:bookmarkEnd w:id="89"/>
      <w:r w:rsidRPr="00EC75B7">
        <w:rPr>
          <w:rFonts w:ascii="Verdana" w:hAnsi="Verdana"/>
          <w:color w:val="00AFEF"/>
          <w:spacing w:val="-4"/>
          <w:sz w:val="18"/>
          <w:szCs w:val="18"/>
        </w:rPr>
        <w:t>Classes</w:t>
      </w:r>
      <w:r w:rsidRPr="00EC75B7">
        <w:rPr>
          <w:rFonts w:ascii="Verdana" w:hAnsi="Verdana"/>
          <w:color w:val="00AFEF"/>
          <w:sz w:val="18"/>
          <w:szCs w:val="18"/>
        </w:rPr>
        <w:tab/>
      </w:r>
      <w:r w:rsidRPr="00EC75B7">
        <w:rPr>
          <w:rFonts w:ascii="Verdana" w:hAnsi="Verdana"/>
          <w:color w:val="00AFEF"/>
          <w:spacing w:val="-6"/>
          <w:sz w:val="18"/>
          <w:szCs w:val="18"/>
        </w:rPr>
        <w:t>of</w:t>
      </w:r>
      <w:r w:rsidRPr="00EC75B7">
        <w:rPr>
          <w:rFonts w:ascii="Verdana" w:hAnsi="Verdana"/>
          <w:color w:val="00AFEF"/>
          <w:sz w:val="18"/>
          <w:szCs w:val="18"/>
        </w:rPr>
        <w:tab/>
      </w:r>
      <w:r w:rsidRPr="00EC75B7">
        <w:rPr>
          <w:rFonts w:ascii="Verdana" w:hAnsi="Verdana"/>
          <w:color w:val="00AFEF"/>
          <w:spacing w:val="-2"/>
          <w:sz w:val="18"/>
          <w:szCs w:val="18"/>
        </w:rPr>
        <w:t>magnitude</w:t>
      </w:r>
      <w:r w:rsidRPr="00EC75B7">
        <w:rPr>
          <w:rFonts w:ascii="Verdana" w:hAnsi="Verdana"/>
          <w:color w:val="00AFEF"/>
          <w:sz w:val="18"/>
          <w:szCs w:val="18"/>
        </w:rPr>
        <w:tab/>
      </w:r>
      <w:r w:rsidRPr="00EC75B7">
        <w:rPr>
          <w:rFonts w:ascii="Verdana" w:hAnsi="Verdana"/>
          <w:color w:val="00AFEF"/>
          <w:spacing w:val="-2"/>
          <w:sz w:val="18"/>
          <w:szCs w:val="18"/>
        </w:rPr>
        <w:t>for</w:t>
      </w:r>
      <w:r w:rsidRPr="00EC75B7">
        <w:rPr>
          <w:rFonts w:ascii="Verdana" w:hAnsi="Verdana"/>
          <w:color w:val="00AFEF"/>
          <w:sz w:val="18"/>
          <w:szCs w:val="18"/>
        </w:rPr>
        <w:tab/>
      </w:r>
      <w:r w:rsidRPr="00EC75B7">
        <w:rPr>
          <w:rFonts w:ascii="Verdana" w:hAnsi="Verdana"/>
          <w:color w:val="00AFEF"/>
          <w:spacing w:val="-2"/>
          <w:sz w:val="18"/>
          <w:szCs w:val="18"/>
        </w:rPr>
        <w:t>impact</w:t>
      </w:r>
      <w:r w:rsidRPr="00EC75B7">
        <w:rPr>
          <w:rFonts w:ascii="Verdana" w:hAnsi="Verdana"/>
          <w:color w:val="00AFEF"/>
          <w:sz w:val="18"/>
          <w:szCs w:val="18"/>
        </w:rPr>
        <w:tab/>
      </w:r>
      <w:r w:rsidRPr="00EC75B7">
        <w:rPr>
          <w:rFonts w:ascii="Verdana" w:hAnsi="Verdana"/>
          <w:color w:val="00AFEF"/>
          <w:spacing w:val="-2"/>
          <w:sz w:val="18"/>
          <w:szCs w:val="18"/>
        </w:rPr>
        <w:t>the</w:t>
      </w:r>
      <w:r w:rsidRPr="00EC75B7">
        <w:rPr>
          <w:rFonts w:ascii="Verdana" w:hAnsi="Verdana"/>
          <w:color w:val="00AFEF"/>
          <w:sz w:val="18"/>
          <w:szCs w:val="18"/>
        </w:rPr>
        <w:tab/>
      </w:r>
      <w:r w:rsidRPr="00EC75B7">
        <w:rPr>
          <w:rFonts w:ascii="Verdana" w:hAnsi="Verdana"/>
          <w:color w:val="00AFEF"/>
          <w:spacing w:val="-2"/>
          <w:sz w:val="18"/>
          <w:szCs w:val="18"/>
        </w:rPr>
        <w:t>on the ground/subsoil</w:t>
      </w:r>
    </w:p>
    <w:p w14:paraId="6DE9CAE9" w14:textId="77777777" w:rsidR="008715BE" w:rsidRPr="00EC75B7" w:rsidRDefault="00000000">
      <w:pPr>
        <w:pStyle w:val="BodyText"/>
        <w:spacing w:before="235"/>
        <w:ind w:left="115"/>
        <w:jc w:val="both"/>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3D1A49DA" w14:textId="77777777" w:rsidR="008715BE" w:rsidRPr="00EC75B7" w:rsidRDefault="008715BE">
      <w:pPr>
        <w:pStyle w:val="BodyText"/>
        <w:spacing w:before="59"/>
        <w:rPr>
          <w:rFonts w:ascii="Verdana" w:hAnsi="Verdana"/>
        </w:rPr>
      </w:pPr>
    </w:p>
    <w:p w14:paraId="348FF7C1" w14:textId="77777777" w:rsidR="008715BE" w:rsidRPr="00EC75B7" w:rsidRDefault="00000000">
      <w:pPr>
        <w:spacing w:before="1"/>
        <w:ind w:left="57"/>
        <w:jc w:val="both"/>
        <w:rPr>
          <w:rFonts w:ascii="Verdana" w:hAnsi="Verdana"/>
          <w:b/>
          <w:sz w:val="18"/>
          <w:szCs w:val="18"/>
        </w:rPr>
      </w:pPr>
      <w:r w:rsidRPr="00EC75B7">
        <w:rPr>
          <w:rFonts w:ascii="Verdana" w:hAnsi="Verdana"/>
          <w:b/>
          <w:color w:val="00AFEF"/>
          <w:sz w:val="18"/>
          <w:szCs w:val="18"/>
        </w:rPr>
        <w:t xml:space="preserve">Table 34 Magnitude classes for the </w:t>
      </w:r>
      <w:r w:rsidRPr="00EC75B7">
        <w:rPr>
          <w:rFonts w:ascii="Verdana" w:hAnsi="Verdana"/>
          <w:b/>
          <w:color w:val="00AFEF"/>
          <w:spacing w:val="-2"/>
          <w:sz w:val="18"/>
          <w:szCs w:val="18"/>
        </w:rPr>
        <w:t xml:space="preserve">soil/subsoil </w:t>
      </w:r>
      <w:r w:rsidRPr="00EC75B7">
        <w:rPr>
          <w:rFonts w:ascii="Verdana" w:hAnsi="Verdana"/>
          <w:b/>
          <w:color w:val="00AFEF"/>
          <w:sz w:val="18"/>
          <w:szCs w:val="18"/>
        </w:rPr>
        <w:t>environmental factor</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5596"/>
        <w:gridCol w:w="2773"/>
      </w:tblGrid>
      <w:tr w:rsidR="008715BE" w:rsidRPr="00EC75B7" w14:paraId="6AAEB964" w14:textId="77777777">
        <w:trPr>
          <w:trHeight w:val="388"/>
        </w:trPr>
        <w:tc>
          <w:tcPr>
            <w:tcW w:w="1347" w:type="dxa"/>
            <w:shd w:val="clear" w:color="auto" w:fill="00AFEF"/>
          </w:tcPr>
          <w:p w14:paraId="12206C8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t>Class</w:t>
            </w:r>
          </w:p>
          <w:p w14:paraId="00EF259F" w14:textId="77777777" w:rsidR="008715BE" w:rsidRPr="00EC75B7" w:rsidRDefault="00000000">
            <w:pPr>
              <w:pStyle w:val="TableParagraph"/>
              <w:spacing w:line="175" w:lineRule="exact"/>
              <w:ind w:left="108"/>
              <w:rPr>
                <w:rFonts w:ascii="Verdana" w:hAnsi="Verdana"/>
                <w:b/>
                <w:sz w:val="18"/>
                <w:szCs w:val="18"/>
              </w:rPr>
            </w:pPr>
            <w:r w:rsidRPr="00EC75B7">
              <w:rPr>
                <w:rFonts w:ascii="Verdana" w:hAnsi="Verdana"/>
                <w:b/>
                <w:color w:val="FFFFFF"/>
                <w:spacing w:val="-2"/>
                <w:sz w:val="18"/>
                <w:szCs w:val="18"/>
              </w:rPr>
              <w:t>Magnitude</w:t>
            </w:r>
          </w:p>
        </w:tc>
        <w:tc>
          <w:tcPr>
            <w:tcW w:w="5596" w:type="dxa"/>
            <w:shd w:val="clear" w:color="auto" w:fill="00AFEF"/>
          </w:tcPr>
          <w:p w14:paraId="7183044C" w14:textId="77777777" w:rsidR="008715BE" w:rsidRPr="00EC75B7" w:rsidRDefault="00000000">
            <w:pPr>
              <w:pStyle w:val="TableParagraph"/>
              <w:spacing w:line="194" w:lineRule="exact"/>
              <w:ind w:left="110"/>
              <w:rPr>
                <w:rFonts w:ascii="Verdana" w:hAnsi="Verdana"/>
                <w:b/>
                <w:sz w:val="18"/>
                <w:szCs w:val="18"/>
              </w:rPr>
            </w:pPr>
            <w:r w:rsidRPr="00EC75B7">
              <w:rPr>
                <w:rFonts w:ascii="Verdana" w:hAnsi="Verdana"/>
                <w:b/>
                <w:color w:val="FFFFFF"/>
                <w:spacing w:val="-2"/>
                <w:sz w:val="18"/>
                <w:szCs w:val="18"/>
              </w:rPr>
              <w:t>Description</w:t>
            </w:r>
          </w:p>
        </w:tc>
        <w:tc>
          <w:tcPr>
            <w:tcW w:w="2773" w:type="dxa"/>
            <w:shd w:val="clear" w:color="auto" w:fill="00AFEF"/>
          </w:tcPr>
          <w:p w14:paraId="4A48D903" w14:textId="77777777" w:rsidR="008715BE" w:rsidRPr="00EC75B7" w:rsidRDefault="00000000">
            <w:pPr>
              <w:pStyle w:val="TableParagraph"/>
              <w:tabs>
                <w:tab w:val="left" w:pos="1646"/>
              </w:tabs>
              <w:spacing w:line="194" w:lineRule="exact"/>
              <w:ind w:left="107"/>
              <w:rPr>
                <w:rFonts w:ascii="Verdana" w:hAnsi="Verdana"/>
                <w:b/>
                <w:sz w:val="18"/>
                <w:szCs w:val="18"/>
              </w:rPr>
            </w:pPr>
            <w:r w:rsidRPr="00EC75B7">
              <w:rPr>
                <w:rFonts w:ascii="Verdana" w:hAnsi="Verdana"/>
                <w:b/>
                <w:color w:val="FFFFFF"/>
                <w:spacing w:val="-2"/>
                <w:sz w:val="18"/>
                <w:szCs w:val="18"/>
              </w:rPr>
              <w:t>Magnitude</w:t>
            </w:r>
            <w:r w:rsidRPr="00EC75B7">
              <w:rPr>
                <w:rFonts w:ascii="Verdana" w:hAnsi="Verdana"/>
                <w:b/>
                <w:color w:val="FFFFFF"/>
                <w:sz w:val="18"/>
                <w:szCs w:val="18"/>
              </w:rPr>
              <w:tab/>
            </w:r>
            <w:r w:rsidRPr="00EC75B7">
              <w:rPr>
                <w:rFonts w:ascii="Verdana" w:hAnsi="Verdana"/>
                <w:b/>
                <w:color w:val="FFFFFF"/>
                <w:spacing w:val="-2"/>
                <w:sz w:val="18"/>
                <w:szCs w:val="18"/>
              </w:rPr>
              <w:t>identified</w:t>
            </w:r>
          </w:p>
          <w:p w14:paraId="67BA21C7" w14:textId="77777777" w:rsidR="008715BE" w:rsidRPr="00EC75B7" w:rsidRDefault="00000000">
            <w:pPr>
              <w:pStyle w:val="TableParagraph"/>
              <w:spacing w:line="175" w:lineRule="exact"/>
              <w:ind w:left="107"/>
              <w:rPr>
                <w:rFonts w:ascii="Verdana" w:hAnsi="Verdana"/>
                <w:b/>
                <w:sz w:val="18"/>
                <w:szCs w:val="18"/>
              </w:rPr>
            </w:pPr>
            <w:r w:rsidRPr="00EC75B7">
              <w:rPr>
                <w:rFonts w:ascii="Verdana" w:hAnsi="Verdana"/>
                <w:b/>
                <w:color w:val="FFFFFF"/>
                <w:sz w:val="18"/>
                <w:szCs w:val="18"/>
              </w:rPr>
              <w:t xml:space="preserve">for the </w:t>
            </w:r>
            <w:r w:rsidRPr="00EC75B7">
              <w:rPr>
                <w:rFonts w:ascii="Verdana" w:hAnsi="Verdana"/>
                <w:b/>
                <w:color w:val="FFFFFF"/>
                <w:spacing w:val="-2"/>
                <w:sz w:val="18"/>
                <w:szCs w:val="18"/>
              </w:rPr>
              <w:t>project</w:t>
            </w:r>
          </w:p>
        </w:tc>
      </w:tr>
      <w:tr w:rsidR="008715BE" w:rsidRPr="00EC75B7" w14:paraId="5FE334D7" w14:textId="77777777">
        <w:trPr>
          <w:trHeight w:val="335"/>
        </w:trPr>
        <w:tc>
          <w:tcPr>
            <w:tcW w:w="9716" w:type="dxa"/>
            <w:gridSpan w:val="3"/>
            <w:shd w:val="clear" w:color="auto" w:fill="ADAAAA"/>
          </w:tcPr>
          <w:p w14:paraId="4C0B12F6"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3F9D457C" w14:textId="77777777">
        <w:trPr>
          <w:trHeight w:val="2527"/>
        </w:trPr>
        <w:tc>
          <w:tcPr>
            <w:tcW w:w="1347" w:type="dxa"/>
            <w:vMerge w:val="restart"/>
            <w:shd w:val="clear" w:color="auto" w:fill="F1F1F1"/>
          </w:tcPr>
          <w:p w14:paraId="2A6F1544"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5596" w:type="dxa"/>
            <w:shd w:val="clear" w:color="auto" w:fill="F1F1F1"/>
          </w:tcPr>
          <w:p w14:paraId="028FA088" w14:textId="77777777" w:rsidR="008715BE" w:rsidRPr="00EC75B7" w:rsidRDefault="00000000">
            <w:pPr>
              <w:pStyle w:val="TableParagraph"/>
              <w:ind w:left="110" w:right="91"/>
              <w:jc w:val="both"/>
              <w:rPr>
                <w:rFonts w:ascii="Verdana" w:hAnsi="Verdana"/>
                <w:sz w:val="18"/>
                <w:szCs w:val="18"/>
              </w:rPr>
            </w:pPr>
            <w:r w:rsidRPr="00EC75B7">
              <w:rPr>
                <w:rFonts w:ascii="Verdana" w:hAnsi="Verdana"/>
                <w:sz w:val="18"/>
                <w:szCs w:val="18"/>
              </w:rPr>
              <w:t>Change in land use category through permanent occupation of land areas with new construction elements and change in their use category (e.g., occupation of less than 1% of the available free area at the level of local administrative units, occupation of 1% of the area of protected natural areas)</w:t>
            </w:r>
          </w:p>
          <w:p w14:paraId="5B0E382D" w14:textId="77777777" w:rsidR="008715BE" w:rsidRPr="00EC75B7" w:rsidRDefault="00000000">
            <w:pPr>
              <w:pStyle w:val="TableParagraph"/>
              <w:ind w:left="110" w:right="96"/>
              <w:jc w:val="both"/>
              <w:rPr>
                <w:rFonts w:ascii="Verdana" w:hAnsi="Verdana"/>
                <w:sz w:val="18"/>
                <w:szCs w:val="18"/>
              </w:rPr>
            </w:pPr>
            <w:r w:rsidRPr="00EC75B7">
              <w:rPr>
                <w:rFonts w:ascii="Verdana" w:hAnsi="Verdana"/>
                <w:sz w:val="18"/>
                <w:szCs w:val="18"/>
              </w:rPr>
              <w:t>The concentrations of pollutants specific to this type of work in the soil fall between the normal value and the alert threshold for sensitive land use.</w:t>
            </w:r>
          </w:p>
          <w:p w14:paraId="4B8E0E16" w14:textId="77777777" w:rsidR="008715BE" w:rsidRPr="00EC75B7" w:rsidRDefault="00000000">
            <w:pPr>
              <w:pStyle w:val="TableParagraph"/>
              <w:spacing w:line="193" w:lineRule="exact"/>
              <w:ind w:left="110"/>
              <w:jc w:val="both"/>
              <w:rPr>
                <w:rFonts w:ascii="Verdana" w:hAnsi="Verdana"/>
                <w:sz w:val="18"/>
                <w:szCs w:val="18"/>
              </w:rPr>
            </w:pPr>
            <w:r w:rsidRPr="00EC75B7">
              <w:rPr>
                <w:rFonts w:ascii="Verdana" w:hAnsi="Verdana"/>
                <w:sz w:val="18"/>
                <w:szCs w:val="18"/>
              </w:rPr>
              <w:t xml:space="preserve">The soil has not lost its </w:t>
            </w:r>
            <w:r w:rsidRPr="00EC75B7">
              <w:rPr>
                <w:rFonts w:ascii="Verdana" w:hAnsi="Verdana"/>
                <w:spacing w:val="-2"/>
                <w:sz w:val="18"/>
                <w:szCs w:val="18"/>
              </w:rPr>
              <w:t xml:space="preserve">productive </w:t>
            </w:r>
            <w:r w:rsidRPr="00EC75B7">
              <w:rPr>
                <w:rFonts w:ascii="Verdana" w:hAnsi="Verdana"/>
                <w:sz w:val="18"/>
                <w:szCs w:val="18"/>
              </w:rPr>
              <w:t>capacity</w:t>
            </w:r>
            <w:r w:rsidRPr="00EC75B7">
              <w:rPr>
                <w:rFonts w:ascii="Verdana" w:hAnsi="Verdana"/>
                <w:spacing w:val="-2"/>
                <w:sz w:val="18"/>
                <w:szCs w:val="18"/>
              </w:rPr>
              <w:t>.</w:t>
            </w:r>
          </w:p>
          <w:p w14:paraId="23BF3683" w14:textId="77777777" w:rsidR="008715BE" w:rsidRPr="00EC75B7" w:rsidRDefault="00000000">
            <w:pPr>
              <w:pStyle w:val="TableParagraph"/>
              <w:ind w:left="110" w:right="91"/>
              <w:jc w:val="both"/>
              <w:rPr>
                <w:rFonts w:ascii="Verdana" w:hAnsi="Verdana"/>
                <w:sz w:val="18"/>
                <w:szCs w:val="18"/>
              </w:rPr>
            </w:pPr>
            <w:r w:rsidRPr="00EC75B7">
              <w:rPr>
                <w:rFonts w:ascii="Verdana" w:hAnsi="Verdana"/>
                <w:sz w:val="18"/>
                <w:szCs w:val="18"/>
              </w:rPr>
              <w:t xml:space="preserve">Accidental spills of pollutants leading to soil contamination require rapid and </w:t>
            </w:r>
            <w:r w:rsidRPr="00EC75B7">
              <w:rPr>
                <w:rFonts w:ascii="Verdana" w:hAnsi="Verdana"/>
                <w:spacing w:val="-2"/>
                <w:sz w:val="18"/>
                <w:szCs w:val="18"/>
              </w:rPr>
              <w:t xml:space="preserve">short-term </w:t>
            </w:r>
            <w:r w:rsidRPr="00EC75B7">
              <w:rPr>
                <w:rFonts w:ascii="Verdana" w:hAnsi="Verdana"/>
                <w:sz w:val="18"/>
                <w:szCs w:val="18"/>
              </w:rPr>
              <w:t>intervention works</w:t>
            </w:r>
          </w:p>
          <w:p w14:paraId="799B153B" w14:textId="77777777" w:rsidR="008715BE" w:rsidRPr="00EC75B7" w:rsidRDefault="00000000">
            <w:pPr>
              <w:pStyle w:val="TableParagraph"/>
              <w:spacing w:line="173" w:lineRule="exact"/>
              <w:ind w:left="110"/>
              <w:jc w:val="both"/>
              <w:rPr>
                <w:rFonts w:ascii="Verdana" w:hAnsi="Verdana"/>
                <w:sz w:val="18"/>
                <w:szCs w:val="18"/>
              </w:rPr>
            </w:pPr>
            <w:r w:rsidRPr="00EC75B7">
              <w:rPr>
                <w:rFonts w:ascii="Verdana" w:hAnsi="Verdana"/>
                <w:sz w:val="18"/>
                <w:szCs w:val="18"/>
              </w:rPr>
              <w:t xml:space="preserve">duration (&lt;1 month) to </w:t>
            </w:r>
            <w:r w:rsidRPr="00EC75B7">
              <w:rPr>
                <w:rFonts w:ascii="Verdana" w:hAnsi="Verdana"/>
                <w:spacing w:val="-2"/>
                <w:sz w:val="18"/>
                <w:szCs w:val="18"/>
              </w:rPr>
              <w:t>remedy the situation.</w:t>
            </w:r>
          </w:p>
        </w:tc>
        <w:tc>
          <w:tcPr>
            <w:tcW w:w="2773" w:type="dxa"/>
            <w:vMerge w:val="restart"/>
            <w:shd w:val="clear" w:color="auto" w:fill="F1F1F1"/>
          </w:tcPr>
          <w:p w14:paraId="4D8A69E0"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During the execution phase, the soil/subsoil may be temporarily affected, limited to the area where the wind turbines are being constructed.</w:t>
            </w:r>
          </w:p>
          <w:p w14:paraId="520C9083"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The activities carried out within the project that could affect the soil and subsoil are closely related to the work areas and the footprint of the constructions related to the wind turbine foundations, the construction of access roads, the construction of the electrical station, and the laying of the underground electrical network (LES).</w:t>
            </w:r>
          </w:p>
          <w:p w14:paraId="4710DF23" w14:textId="77777777" w:rsidR="008715BE" w:rsidRPr="00EC75B7" w:rsidRDefault="00000000">
            <w:pPr>
              <w:pStyle w:val="TableParagraph"/>
              <w:tabs>
                <w:tab w:val="left" w:pos="1167"/>
                <w:tab w:val="left" w:pos="1778"/>
              </w:tabs>
              <w:ind w:left="107" w:right="97"/>
              <w:jc w:val="both"/>
              <w:rPr>
                <w:rFonts w:ascii="Verdana" w:hAnsi="Verdana"/>
                <w:sz w:val="18"/>
                <w:szCs w:val="18"/>
              </w:rPr>
            </w:pPr>
            <w:r w:rsidRPr="00EC75B7">
              <w:rPr>
                <w:rFonts w:ascii="Verdana" w:hAnsi="Verdana"/>
                <w:sz w:val="18"/>
                <w:szCs w:val="18"/>
              </w:rPr>
              <w:t xml:space="preserve">It should be noted that the </w:t>
            </w:r>
            <w:r w:rsidRPr="00EC75B7">
              <w:rPr>
                <w:rFonts w:ascii="Verdana" w:hAnsi="Verdana"/>
                <w:sz w:val="18"/>
                <w:szCs w:val="18"/>
              </w:rPr>
              <w:lastRenderedPageBreak/>
              <w:t xml:space="preserve">areas of land </w:t>
            </w:r>
            <w:r w:rsidRPr="00EC75B7">
              <w:rPr>
                <w:rFonts w:ascii="Verdana" w:hAnsi="Verdana"/>
                <w:spacing w:val="-2"/>
                <w:sz w:val="18"/>
                <w:szCs w:val="18"/>
              </w:rPr>
              <w:t>permanently</w:t>
            </w:r>
            <w:r w:rsidRPr="00EC75B7">
              <w:rPr>
                <w:rFonts w:ascii="Verdana" w:hAnsi="Verdana"/>
                <w:sz w:val="18"/>
                <w:szCs w:val="18"/>
              </w:rPr>
              <w:t xml:space="preserve"> occupied</w:t>
            </w:r>
            <w:r w:rsidRPr="00EC75B7">
              <w:rPr>
                <w:rFonts w:ascii="Verdana" w:hAnsi="Verdana"/>
                <w:sz w:val="18"/>
                <w:szCs w:val="18"/>
              </w:rPr>
              <w:tab/>
            </w:r>
            <w:r w:rsidRPr="00EC75B7">
              <w:rPr>
                <w:rFonts w:ascii="Verdana" w:hAnsi="Verdana"/>
                <w:spacing w:val="-6"/>
                <w:sz w:val="18"/>
                <w:szCs w:val="18"/>
              </w:rPr>
              <w:t>by</w:t>
            </w:r>
            <w:r w:rsidRPr="00EC75B7">
              <w:rPr>
                <w:rFonts w:ascii="Verdana" w:hAnsi="Verdana"/>
                <w:sz w:val="18"/>
                <w:szCs w:val="18"/>
              </w:rPr>
              <w:tab/>
              <w:t>the project's construction</w:t>
            </w:r>
            <w:r w:rsidRPr="00EC75B7">
              <w:rPr>
                <w:rFonts w:ascii="Verdana" w:hAnsi="Verdana"/>
                <w:spacing w:val="-2"/>
                <w:sz w:val="18"/>
                <w:szCs w:val="18"/>
              </w:rPr>
              <w:t xml:space="preserve"> elements </w:t>
            </w:r>
            <w:r w:rsidRPr="00EC75B7">
              <w:rPr>
                <w:rFonts w:ascii="Verdana" w:hAnsi="Verdana"/>
                <w:sz w:val="18"/>
                <w:szCs w:val="18"/>
              </w:rPr>
              <w:t xml:space="preserve">are nevertheless small in relation to the total area of the park, and in terms of </w:t>
            </w:r>
            <w:r w:rsidRPr="00EC75B7">
              <w:rPr>
                <w:rFonts w:ascii="Verdana" w:hAnsi="Verdana"/>
                <w:spacing w:val="-2"/>
                <w:sz w:val="18"/>
                <w:szCs w:val="18"/>
              </w:rPr>
              <w:t>the areas</w:t>
            </w:r>
          </w:p>
          <w:p w14:paraId="6D4D0A9E" w14:textId="77777777" w:rsidR="008715BE" w:rsidRPr="00EC75B7" w:rsidRDefault="00000000">
            <w:pPr>
              <w:pStyle w:val="TableParagraph"/>
              <w:spacing w:line="171" w:lineRule="exact"/>
              <w:ind w:left="107"/>
              <w:jc w:val="both"/>
              <w:rPr>
                <w:rFonts w:ascii="Verdana" w:hAnsi="Verdana"/>
                <w:sz w:val="18"/>
                <w:szCs w:val="18"/>
              </w:rPr>
            </w:pPr>
            <w:r w:rsidRPr="00EC75B7">
              <w:rPr>
                <w:rFonts w:ascii="Verdana" w:hAnsi="Verdana"/>
                <w:sz w:val="18"/>
                <w:szCs w:val="18"/>
              </w:rPr>
              <w:t xml:space="preserve">temporarily occupied </w:t>
            </w:r>
            <w:r w:rsidRPr="00EC75B7">
              <w:rPr>
                <w:rFonts w:ascii="Verdana" w:hAnsi="Verdana"/>
                <w:spacing w:val="-5"/>
                <w:sz w:val="18"/>
                <w:szCs w:val="18"/>
              </w:rPr>
              <w:t>by</w:t>
            </w:r>
          </w:p>
        </w:tc>
      </w:tr>
      <w:tr w:rsidR="008715BE" w:rsidRPr="00EC75B7" w14:paraId="0C37AE9D" w14:textId="77777777">
        <w:trPr>
          <w:trHeight w:val="1741"/>
        </w:trPr>
        <w:tc>
          <w:tcPr>
            <w:tcW w:w="1347" w:type="dxa"/>
            <w:vMerge/>
            <w:tcBorders>
              <w:top w:val="nil"/>
            </w:tcBorders>
            <w:shd w:val="clear" w:color="auto" w:fill="F1F1F1"/>
          </w:tcPr>
          <w:p w14:paraId="0F7F8A14" w14:textId="77777777" w:rsidR="008715BE" w:rsidRPr="00EC75B7" w:rsidRDefault="008715BE">
            <w:pPr>
              <w:rPr>
                <w:rFonts w:ascii="Verdana" w:hAnsi="Verdana"/>
                <w:sz w:val="18"/>
                <w:szCs w:val="18"/>
              </w:rPr>
            </w:pPr>
          </w:p>
        </w:tc>
        <w:tc>
          <w:tcPr>
            <w:tcW w:w="5596" w:type="dxa"/>
            <w:shd w:val="clear" w:color="auto" w:fill="F1F1F1"/>
          </w:tcPr>
          <w:p w14:paraId="2AE0E78D"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Alteration of the identified geological resource (</w:t>
            </w:r>
            <w:r w:rsidRPr="00EC75B7">
              <w:rPr>
                <w:rFonts w:ascii="Verdana" w:hAnsi="Verdana"/>
                <w:spacing w:val="-5"/>
                <w:sz w:val="18"/>
                <w:szCs w:val="18"/>
              </w:rPr>
              <w:t>1-5%)</w:t>
            </w:r>
          </w:p>
        </w:tc>
        <w:tc>
          <w:tcPr>
            <w:tcW w:w="2773" w:type="dxa"/>
            <w:vMerge/>
            <w:tcBorders>
              <w:top w:val="nil"/>
            </w:tcBorders>
            <w:shd w:val="clear" w:color="auto" w:fill="F1F1F1"/>
          </w:tcPr>
          <w:p w14:paraId="111FCE3D" w14:textId="77777777" w:rsidR="008715BE" w:rsidRPr="00EC75B7" w:rsidRDefault="008715BE">
            <w:pPr>
              <w:rPr>
                <w:rFonts w:ascii="Verdana" w:hAnsi="Verdana"/>
                <w:sz w:val="18"/>
                <w:szCs w:val="18"/>
              </w:rPr>
            </w:pPr>
          </w:p>
        </w:tc>
      </w:tr>
    </w:tbl>
    <w:p w14:paraId="4F327634" w14:textId="77777777" w:rsidR="008715BE" w:rsidRPr="00EC75B7" w:rsidRDefault="008715BE">
      <w:pPr>
        <w:rPr>
          <w:rFonts w:ascii="Verdana" w:hAnsi="Verdana"/>
          <w:sz w:val="18"/>
          <w:szCs w:val="18"/>
        </w:rPr>
        <w:sectPr w:rsidR="008715BE" w:rsidRPr="00EC75B7">
          <w:pgSz w:w="11910" w:h="16840"/>
          <w:pgMar w:top="1320" w:right="850" w:bottom="1020" w:left="1133" w:header="766" w:footer="824" w:gutter="0"/>
          <w:cols w:space="708"/>
        </w:sectPr>
      </w:pPr>
    </w:p>
    <w:p w14:paraId="5DED996E"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5596"/>
        <w:gridCol w:w="2773"/>
      </w:tblGrid>
      <w:tr w:rsidR="008715BE" w:rsidRPr="00EC75B7" w14:paraId="456280C7" w14:textId="77777777">
        <w:trPr>
          <w:trHeight w:val="388"/>
        </w:trPr>
        <w:tc>
          <w:tcPr>
            <w:tcW w:w="1347" w:type="dxa"/>
            <w:shd w:val="clear" w:color="auto" w:fill="00AFEF"/>
          </w:tcPr>
          <w:p w14:paraId="7F240A6B" w14:textId="77777777" w:rsidR="008715BE" w:rsidRPr="00EC75B7" w:rsidRDefault="00000000">
            <w:pPr>
              <w:pStyle w:val="TableParagraph"/>
              <w:spacing w:line="194" w:lineRule="exact"/>
              <w:ind w:left="108" w:right="92"/>
              <w:rPr>
                <w:rFonts w:ascii="Verdana" w:hAnsi="Verdana"/>
                <w:b/>
                <w:sz w:val="18"/>
                <w:szCs w:val="18"/>
              </w:rPr>
            </w:pPr>
            <w:r w:rsidRPr="00EC75B7">
              <w:rPr>
                <w:rFonts w:ascii="Verdana" w:hAnsi="Verdana"/>
                <w:b/>
                <w:color w:val="FFFFFF"/>
                <w:spacing w:val="-2"/>
                <w:sz w:val="18"/>
                <w:szCs w:val="18"/>
              </w:rPr>
              <w:t>Magnitude class</w:t>
            </w:r>
          </w:p>
        </w:tc>
        <w:tc>
          <w:tcPr>
            <w:tcW w:w="5596" w:type="dxa"/>
            <w:shd w:val="clear" w:color="auto" w:fill="00AFEF"/>
          </w:tcPr>
          <w:p w14:paraId="24B09592"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color w:val="FFFFFF"/>
                <w:spacing w:val="-2"/>
                <w:sz w:val="18"/>
                <w:szCs w:val="18"/>
              </w:rPr>
              <w:t>Description</w:t>
            </w:r>
          </w:p>
        </w:tc>
        <w:tc>
          <w:tcPr>
            <w:tcW w:w="2773" w:type="dxa"/>
            <w:shd w:val="clear" w:color="auto" w:fill="00AFEF"/>
          </w:tcPr>
          <w:p w14:paraId="2566CEB1" w14:textId="77777777" w:rsidR="008715BE" w:rsidRPr="00EC75B7" w:rsidRDefault="00000000">
            <w:pPr>
              <w:pStyle w:val="TableParagraph"/>
              <w:tabs>
                <w:tab w:val="left" w:pos="1646"/>
              </w:tabs>
              <w:spacing w:before="8" w:line="195" w:lineRule="exact"/>
              <w:ind w:left="107"/>
              <w:rPr>
                <w:rFonts w:ascii="Verdana" w:hAnsi="Verdana"/>
                <w:b/>
                <w:sz w:val="18"/>
                <w:szCs w:val="18"/>
              </w:rPr>
            </w:pPr>
            <w:r w:rsidRPr="00EC75B7">
              <w:rPr>
                <w:rFonts w:ascii="Verdana" w:hAnsi="Verdana"/>
                <w:b/>
                <w:color w:val="FFFFFF"/>
                <w:spacing w:val="-2"/>
                <w:sz w:val="18"/>
                <w:szCs w:val="18"/>
              </w:rPr>
              <w:t>Magnitude</w:t>
            </w:r>
            <w:r w:rsidRPr="00EC75B7">
              <w:rPr>
                <w:rFonts w:ascii="Verdana" w:hAnsi="Verdana"/>
                <w:b/>
                <w:color w:val="FFFFFF"/>
                <w:sz w:val="18"/>
                <w:szCs w:val="18"/>
              </w:rPr>
              <w:tab/>
            </w:r>
            <w:r w:rsidRPr="00EC75B7">
              <w:rPr>
                <w:rFonts w:ascii="Verdana" w:hAnsi="Verdana"/>
                <w:b/>
                <w:color w:val="FFFFFF"/>
                <w:spacing w:val="-2"/>
                <w:sz w:val="18"/>
                <w:szCs w:val="18"/>
              </w:rPr>
              <w:t>identified</w:t>
            </w:r>
          </w:p>
          <w:p w14:paraId="74142F2B" w14:textId="77777777" w:rsidR="008715BE" w:rsidRPr="00EC75B7" w:rsidRDefault="00000000">
            <w:pPr>
              <w:pStyle w:val="TableParagraph"/>
              <w:spacing w:line="165" w:lineRule="exact"/>
              <w:ind w:left="107"/>
              <w:rPr>
                <w:rFonts w:ascii="Verdana" w:hAnsi="Verdana"/>
                <w:b/>
                <w:sz w:val="18"/>
                <w:szCs w:val="18"/>
              </w:rPr>
            </w:pPr>
            <w:r w:rsidRPr="00EC75B7">
              <w:rPr>
                <w:rFonts w:ascii="Verdana" w:hAnsi="Verdana"/>
                <w:b/>
                <w:color w:val="FFFFFF"/>
                <w:sz w:val="18"/>
                <w:szCs w:val="18"/>
              </w:rPr>
              <w:t xml:space="preserve">for the </w:t>
            </w:r>
            <w:r w:rsidRPr="00EC75B7">
              <w:rPr>
                <w:rFonts w:ascii="Verdana" w:hAnsi="Verdana"/>
                <w:b/>
                <w:color w:val="FFFFFF"/>
                <w:spacing w:val="-2"/>
                <w:sz w:val="18"/>
                <w:szCs w:val="18"/>
              </w:rPr>
              <w:t>project</w:t>
            </w:r>
          </w:p>
        </w:tc>
      </w:tr>
      <w:tr w:rsidR="008715BE" w:rsidRPr="00EC75B7" w14:paraId="5272863D" w14:textId="77777777">
        <w:trPr>
          <w:trHeight w:val="582"/>
        </w:trPr>
        <w:tc>
          <w:tcPr>
            <w:tcW w:w="1347" w:type="dxa"/>
            <w:shd w:val="clear" w:color="auto" w:fill="F1F1F1"/>
          </w:tcPr>
          <w:p w14:paraId="6EF32B61" w14:textId="77777777" w:rsidR="008715BE" w:rsidRPr="00EC75B7" w:rsidRDefault="008715BE">
            <w:pPr>
              <w:pStyle w:val="TableParagraph"/>
              <w:rPr>
                <w:rFonts w:ascii="Verdana" w:hAnsi="Verdana"/>
                <w:sz w:val="18"/>
                <w:szCs w:val="18"/>
              </w:rPr>
            </w:pPr>
          </w:p>
        </w:tc>
        <w:tc>
          <w:tcPr>
            <w:tcW w:w="5596" w:type="dxa"/>
            <w:shd w:val="clear" w:color="auto" w:fill="F1F1F1"/>
          </w:tcPr>
          <w:p w14:paraId="01D42752" w14:textId="77777777" w:rsidR="008715BE" w:rsidRPr="00EC75B7" w:rsidRDefault="008715BE">
            <w:pPr>
              <w:pStyle w:val="TableParagraph"/>
              <w:rPr>
                <w:rFonts w:ascii="Verdana" w:hAnsi="Verdana"/>
                <w:sz w:val="18"/>
                <w:szCs w:val="18"/>
              </w:rPr>
            </w:pPr>
          </w:p>
        </w:tc>
        <w:tc>
          <w:tcPr>
            <w:tcW w:w="2773" w:type="dxa"/>
            <w:shd w:val="clear" w:color="auto" w:fill="F1F1F1"/>
          </w:tcPr>
          <w:p w14:paraId="42F52AAA" w14:textId="77777777" w:rsidR="008715BE" w:rsidRPr="00EC75B7" w:rsidRDefault="00000000">
            <w:pPr>
              <w:pStyle w:val="TableParagraph"/>
              <w:spacing w:line="194" w:lineRule="exact"/>
              <w:ind w:left="107" w:right="98"/>
              <w:jc w:val="both"/>
              <w:rPr>
                <w:rFonts w:ascii="Verdana" w:hAnsi="Verdana"/>
                <w:sz w:val="18"/>
                <w:szCs w:val="18"/>
              </w:rPr>
            </w:pPr>
            <w:r w:rsidRPr="00EC75B7">
              <w:rPr>
                <w:rFonts w:ascii="Verdana" w:hAnsi="Verdana"/>
                <w:sz w:val="18"/>
                <w:szCs w:val="18"/>
              </w:rPr>
              <w:t>construction period, they will be restored to their original state upon completion of the works.</w:t>
            </w:r>
          </w:p>
        </w:tc>
      </w:tr>
      <w:tr w:rsidR="008715BE" w:rsidRPr="00EC75B7" w14:paraId="169E2496" w14:textId="77777777">
        <w:trPr>
          <w:trHeight w:val="2529"/>
        </w:trPr>
        <w:tc>
          <w:tcPr>
            <w:tcW w:w="1347" w:type="dxa"/>
            <w:vMerge w:val="restart"/>
          </w:tcPr>
          <w:p w14:paraId="0E94B1C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5596" w:type="dxa"/>
          </w:tcPr>
          <w:p w14:paraId="7974A3B6" w14:textId="77777777" w:rsidR="008715BE" w:rsidRPr="00EC75B7" w:rsidRDefault="00000000">
            <w:pPr>
              <w:pStyle w:val="TableParagraph"/>
              <w:spacing w:before="8"/>
              <w:ind w:left="110" w:right="86"/>
              <w:rPr>
                <w:rFonts w:ascii="Verdana" w:hAnsi="Verdana"/>
                <w:sz w:val="18"/>
                <w:szCs w:val="18"/>
              </w:rPr>
            </w:pPr>
            <w:r w:rsidRPr="00EC75B7">
              <w:rPr>
                <w:rFonts w:ascii="Verdana" w:hAnsi="Verdana"/>
                <w:sz w:val="18"/>
                <w:szCs w:val="18"/>
              </w:rPr>
              <w:t>Change in land use category through permanent occupation of land areas with new construction elements and change in their use category (e.g., occupation of 10% of the available free area at the level of local administrative units, occupation of land in protected natural areas (1-5% of the area of protected natural areas) The concentrations of pollutants specific to this type of work in the soil/subsoil exceed the alert threshold for sensitive land use but are below the intervention threshold.</w:t>
            </w:r>
          </w:p>
          <w:p w14:paraId="0AB97275"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 xml:space="preserve">The soil lost its productive capacity for a period of 3 months. Accidental spills of pollutants leading to soil contamination require rapid and </w:t>
            </w:r>
            <w:r w:rsidRPr="00EC75B7">
              <w:rPr>
                <w:rFonts w:ascii="Verdana" w:hAnsi="Verdana"/>
                <w:spacing w:val="-2"/>
                <w:sz w:val="18"/>
                <w:szCs w:val="18"/>
              </w:rPr>
              <w:t xml:space="preserve">short-term </w:t>
            </w:r>
            <w:r w:rsidRPr="00EC75B7">
              <w:rPr>
                <w:rFonts w:ascii="Verdana" w:hAnsi="Verdana"/>
                <w:sz w:val="18"/>
                <w:szCs w:val="18"/>
              </w:rPr>
              <w:t>intervention (1-3 months) to remedy the situation.</w:t>
            </w:r>
          </w:p>
          <w:p w14:paraId="0768B75E" w14:textId="77777777" w:rsidR="008715BE" w:rsidRPr="00EC75B7" w:rsidRDefault="00000000">
            <w:pPr>
              <w:pStyle w:val="TableParagraph"/>
              <w:spacing w:line="163" w:lineRule="exact"/>
              <w:ind w:left="110"/>
              <w:rPr>
                <w:rFonts w:ascii="Verdana" w:hAnsi="Verdana"/>
                <w:sz w:val="18"/>
                <w:szCs w:val="18"/>
              </w:rPr>
            </w:pPr>
            <w:r w:rsidRPr="00EC75B7">
              <w:rPr>
                <w:rFonts w:ascii="Verdana" w:hAnsi="Verdana"/>
                <w:sz w:val="18"/>
                <w:szCs w:val="18"/>
              </w:rPr>
              <w:t xml:space="preserve">(1-3 months) to </w:t>
            </w:r>
            <w:r w:rsidRPr="00EC75B7">
              <w:rPr>
                <w:rFonts w:ascii="Verdana" w:hAnsi="Verdana"/>
                <w:spacing w:val="-2"/>
                <w:sz w:val="18"/>
                <w:szCs w:val="18"/>
              </w:rPr>
              <w:t>remedy the situation</w:t>
            </w:r>
          </w:p>
        </w:tc>
        <w:tc>
          <w:tcPr>
            <w:tcW w:w="2773" w:type="dxa"/>
            <w:vMerge w:val="restart"/>
            <w:shd w:val="clear" w:color="auto" w:fill="F1F1F1"/>
          </w:tcPr>
          <w:p w14:paraId="574F41DA"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361C5198" w14:textId="77777777">
        <w:trPr>
          <w:trHeight w:val="194"/>
        </w:trPr>
        <w:tc>
          <w:tcPr>
            <w:tcW w:w="1347" w:type="dxa"/>
            <w:vMerge/>
            <w:tcBorders>
              <w:top w:val="nil"/>
            </w:tcBorders>
          </w:tcPr>
          <w:p w14:paraId="4BEE408B" w14:textId="77777777" w:rsidR="008715BE" w:rsidRPr="00EC75B7" w:rsidRDefault="008715BE">
            <w:pPr>
              <w:rPr>
                <w:rFonts w:ascii="Verdana" w:hAnsi="Verdana"/>
                <w:sz w:val="18"/>
                <w:szCs w:val="18"/>
              </w:rPr>
            </w:pPr>
          </w:p>
        </w:tc>
        <w:tc>
          <w:tcPr>
            <w:tcW w:w="5596" w:type="dxa"/>
          </w:tcPr>
          <w:p w14:paraId="0E2EFB3A" w14:textId="77777777" w:rsidR="008715BE" w:rsidRPr="00EC75B7" w:rsidRDefault="00000000">
            <w:pPr>
              <w:pStyle w:val="TableParagraph"/>
              <w:spacing w:before="8" w:line="166" w:lineRule="exact"/>
              <w:ind w:left="110"/>
              <w:rPr>
                <w:rFonts w:ascii="Verdana" w:hAnsi="Verdana"/>
                <w:sz w:val="18"/>
                <w:szCs w:val="18"/>
              </w:rPr>
            </w:pPr>
            <w:r w:rsidRPr="00EC75B7">
              <w:rPr>
                <w:rFonts w:ascii="Verdana" w:hAnsi="Verdana"/>
                <w:sz w:val="18"/>
                <w:szCs w:val="18"/>
              </w:rPr>
              <w:t>Alteration of identified geological resources (</w:t>
            </w:r>
            <w:r w:rsidRPr="00EC75B7">
              <w:rPr>
                <w:rFonts w:ascii="Verdana" w:hAnsi="Verdana"/>
                <w:spacing w:val="-4"/>
                <w:sz w:val="18"/>
                <w:szCs w:val="18"/>
              </w:rPr>
              <w:t>5-10%)</w:t>
            </w:r>
          </w:p>
        </w:tc>
        <w:tc>
          <w:tcPr>
            <w:tcW w:w="2773" w:type="dxa"/>
            <w:vMerge/>
            <w:tcBorders>
              <w:top w:val="nil"/>
            </w:tcBorders>
            <w:shd w:val="clear" w:color="auto" w:fill="F1F1F1"/>
          </w:tcPr>
          <w:p w14:paraId="3B6894AC" w14:textId="77777777" w:rsidR="008715BE" w:rsidRPr="00EC75B7" w:rsidRDefault="008715BE">
            <w:pPr>
              <w:rPr>
                <w:rFonts w:ascii="Verdana" w:hAnsi="Verdana"/>
                <w:sz w:val="18"/>
                <w:szCs w:val="18"/>
              </w:rPr>
            </w:pPr>
          </w:p>
        </w:tc>
      </w:tr>
      <w:tr w:rsidR="008715BE" w:rsidRPr="00EC75B7" w14:paraId="1798D197" w14:textId="77777777">
        <w:trPr>
          <w:trHeight w:val="2721"/>
        </w:trPr>
        <w:tc>
          <w:tcPr>
            <w:tcW w:w="1347" w:type="dxa"/>
            <w:vMerge w:val="restart"/>
            <w:shd w:val="clear" w:color="auto" w:fill="F1F1F1"/>
          </w:tcPr>
          <w:p w14:paraId="7772F62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5596" w:type="dxa"/>
            <w:shd w:val="clear" w:color="auto" w:fill="F1F1F1"/>
          </w:tcPr>
          <w:p w14:paraId="105A3061" w14:textId="77777777" w:rsidR="008715BE" w:rsidRPr="00EC75B7" w:rsidRDefault="00000000">
            <w:pPr>
              <w:pStyle w:val="TableParagraph"/>
              <w:spacing w:before="8"/>
              <w:ind w:left="110" w:right="86"/>
              <w:rPr>
                <w:rFonts w:ascii="Verdana" w:hAnsi="Verdana"/>
                <w:sz w:val="18"/>
                <w:szCs w:val="18"/>
              </w:rPr>
            </w:pPr>
            <w:r w:rsidRPr="00EC75B7">
              <w:rPr>
                <w:rFonts w:ascii="Verdana" w:hAnsi="Verdana"/>
                <w:sz w:val="18"/>
                <w:szCs w:val="18"/>
              </w:rPr>
              <w:t xml:space="preserve">Change in land use category through the permanent occupation of large areas of land with new construction elements and change in their use category (e.g., occupation of more than 10% of the available free area at the level of local administrative units, occupation of more than 5% of the area of protected natural areas) The concentrations of pollutants specific to this type of work in the soil exceed the intervention threshold for </w:t>
            </w:r>
            <w:r w:rsidRPr="00EC75B7">
              <w:rPr>
                <w:rFonts w:ascii="Verdana" w:hAnsi="Verdana"/>
                <w:spacing w:val="-2"/>
                <w:sz w:val="18"/>
                <w:szCs w:val="18"/>
              </w:rPr>
              <w:t xml:space="preserve">sensitive </w:t>
            </w:r>
            <w:r w:rsidRPr="00EC75B7">
              <w:rPr>
                <w:rFonts w:ascii="Verdana" w:hAnsi="Verdana"/>
                <w:sz w:val="18"/>
                <w:szCs w:val="18"/>
              </w:rPr>
              <w:t>land use</w:t>
            </w:r>
            <w:r w:rsidRPr="00EC75B7">
              <w:rPr>
                <w:rFonts w:ascii="Verdana" w:hAnsi="Verdana"/>
                <w:spacing w:val="-2"/>
                <w:sz w:val="18"/>
                <w:szCs w:val="18"/>
              </w:rPr>
              <w:t>.</w:t>
            </w:r>
          </w:p>
          <w:p w14:paraId="6EFEB69A"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The affected soil has not lost its productive capacity over a long period (&gt; 5 years).</w:t>
            </w:r>
          </w:p>
          <w:p w14:paraId="3CB02915"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 xml:space="preserve">Accidental spills of pollutants that lead to soil contamination require rapid and </w:t>
            </w:r>
            <w:r w:rsidRPr="00EC75B7">
              <w:rPr>
                <w:rFonts w:ascii="Verdana" w:hAnsi="Verdana"/>
                <w:spacing w:val="-2"/>
                <w:sz w:val="18"/>
                <w:szCs w:val="18"/>
              </w:rPr>
              <w:t xml:space="preserve">short-term </w:t>
            </w:r>
            <w:r w:rsidRPr="00EC75B7">
              <w:rPr>
                <w:rFonts w:ascii="Verdana" w:hAnsi="Verdana"/>
                <w:sz w:val="18"/>
                <w:szCs w:val="18"/>
              </w:rPr>
              <w:t>intervention</w:t>
            </w:r>
          </w:p>
          <w:p w14:paraId="4D24DD46" w14:textId="77777777" w:rsidR="008715BE" w:rsidRPr="00EC75B7" w:rsidRDefault="00000000">
            <w:pPr>
              <w:pStyle w:val="TableParagraph"/>
              <w:spacing w:line="164" w:lineRule="exact"/>
              <w:ind w:left="110"/>
              <w:rPr>
                <w:rFonts w:ascii="Verdana" w:hAnsi="Verdana"/>
                <w:sz w:val="18"/>
                <w:szCs w:val="18"/>
              </w:rPr>
            </w:pPr>
            <w:r w:rsidRPr="00EC75B7">
              <w:rPr>
                <w:rFonts w:ascii="Verdana" w:hAnsi="Verdana"/>
                <w:sz w:val="18"/>
                <w:szCs w:val="18"/>
              </w:rPr>
              <w:t xml:space="preserve">duration (&gt;6 months) </w:t>
            </w:r>
            <w:r w:rsidRPr="00EC75B7">
              <w:rPr>
                <w:rFonts w:ascii="Verdana" w:hAnsi="Verdana"/>
                <w:spacing w:val="-2"/>
                <w:sz w:val="18"/>
                <w:szCs w:val="18"/>
              </w:rPr>
              <w:t xml:space="preserve">remediation </w:t>
            </w:r>
            <w:r w:rsidRPr="00EC75B7">
              <w:rPr>
                <w:rFonts w:ascii="Verdana" w:hAnsi="Verdana"/>
                <w:sz w:val="18"/>
                <w:szCs w:val="18"/>
              </w:rPr>
              <w:t>works</w:t>
            </w:r>
          </w:p>
        </w:tc>
        <w:tc>
          <w:tcPr>
            <w:tcW w:w="2773" w:type="dxa"/>
            <w:shd w:val="clear" w:color="auto" w:fill="F1F1F1"/>
          </w:tcPr>
          <w:p w14:paraId="1A49ADAF"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E9731A2" w14:textId="77777777">
        <w:trPr>
          <w:trHeight w:val="390"/>
        </w:trPr>
        <w:tc>
          <w:tcPr>
            <w:tcW w:w="1347" w:type="dxa"/>
            <w:vMerge/>
            <w:tcBorders>
              <w:top w:val="nil"/>
            </w:tcBorders>
            <w:shd w:val="clear" w:color="auto" w:fill="F1F1F1"/>
          </w:tcPr>
          <w:p w14:paraId="5CAD5E7A" w14:textId="77777777" w:rsidR="008715BE" w:rsidRPr="00EC75B7" w:rsidRDefault="008715BE">
            <w:pPr>
              <w:rPr>
                <w:rFonts w:ascii="Verdana" w:hAnsi="Verdana"/>
                <w:sz w:val="18"/>
                <w:szCs w:val="18"/>
              </w:rPr>
            </w:pPr>
          </w:p>
        </w:tc>
        <w:tc>
          <w:tcPr>
            <w:tcW w:w="5596" w:type="dxa"/>
            <w:shd w:val="clear" w:color="auto" w:fill="F1F1F1"/>
          </w:tcPr>
          <w:p w14:paraId="020E593F" w14:textId="77777777" w:rsidR="008715BE" w:rsidRPr="00EC75B7" w:rsidRDefault="00000000">
            <w:pPr>
              <w:pStyle w:val="TableParagraph"/>
              <w:spacing w:before="10" w:line="195" w:lineRule="exact"/>
              <w:ind w:left="110"/>
              <w:rPr>
                <w:rFonts w:ascii="Verdana" w:hAnsi="Verdana"/>
                <w:sz w:val="18"/>
                <w:szCs w:val="18"/>
              </w:rPr>
            </w:pPr>
            <w:r w:rsidRPr="00EC75B7">
              <w:rPr>
                <w:rFonts w:ascii="Verdana" w:hAnsi="Verdana"/>
                <w:sz w:val="18"/>
                <w:szCs w:val="18"/>
              </w:rPr>
              <w:t xml:space="preserve">Location in geoparks/geological reserves, alteration </w:t>
            </w:r>
            <w:r w:rsidRPr="00EC75B7">
              <w:rPr>
                <w:rFonts w:ascii="Verdana" w:hAnsi="Verdana"/>
                <w:spacing w:val="-2"/>
                <w:sz w:val="18"/>
                <w:szCs w:val="18"/>
              </w:rPr>
              <w:t>of the identified geological resource</w:t>
            </w:r>
          </w:p>
          <w:p w14:paraId="7B828114" w14:textId="77777777" w:rsidR="008715BE" w:rsidRPr="00EC75B7" w:rsidRDefault="00000000">
            <w:pPr>
              <w:pStyle w:val="TableParagraph"/>
              <w:spacing w:line="165" w:lineRule="exact"/>
              <w:ind w:left="110"/>
              <w:rPr>
                <w:rFonts w:ascii="Verdana" w:hAnsi="Verdana"/>
                <w:sz w:val="18"/>
                <w:szCs w:val="18"/>
              </w:rPr>
            </w:pPr>
            <w:r w:rsidRPr="00EC75B7">
              <w:rPr>
                <w:rFonts w:ascii="Verdana" w:hAnsi="Verdana"/>
                <w:spacing w:val="-2"/>
                <w:sz w:val="18"/>
                <w:szCs w:val="18"/>
              </w:rPr>
              <w:t>identified (&gt;10%)</w:t>
            </w:r>
          </w:p>
        </w:tc>
        <w:tc>
          <w:tcPr>
            <w:tcW w:w="2773" w:type="dxa"/>
            <w:shd w:val="clear" w:color="auto" w:fill="F1F1F1"/>
          </w:tcPr>
          <w:p w14:paraId="589EC923"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r w:rsidR="008715BE" w:rsidRPr="00EC75B7" w14:paraId="6FF57210" w14:textId="77777777">
        <w:trPr>
          <w:trHeight w:val="193"/>
        </w:trPr>
        <w:tc>
          <w:tcPr>
            <w:tcW w:w="9716" w:type="dxa"/>
            <w:gridSpan w:val="3"/>
            <w:shd w:val="clear" w:color="auto" w:fill="BEBEBE"/>
          </w:tcPr>
          <w:p w14:paraId="6957FF99"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0D177483" w14:textId="77777777">
        <w:trPr>
          <w:trHeight w:val="582"/>
        </w:trPr>
        <w:tc>
          <w:tcPr>
            <w:tcW w:w="1347" w:type="dxa"/>
            <w:vMerge w:val="restart"/>
            <w:shd w:val="clear" w:color="auto" w:fill="F1F1F1"/>
          </w:tcPr>
          <w:p w14:paraId="3625B5B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Low</w:t>
            </w:r>
          </w:p>
        </w:tc>
        <w:tc>
          <w:tcPr>
            <w:tcW w:w="5596" w:type="dxa"/>
            <w:shd w:val="clear" w:color="auto" w:fill="F1F1F1"/>
          </w:tcPr>
          <w:p w14:paraId="5FB90884" w14:textId="77777777" w:rsidR="008715BE" w:rsidRPr="00EC75B7" w:rsidRDefault="00000000">
            <w:pPr>
              <w:pStyle w:val="TableParagraph"/>
              <w:spacing w:line="194" w:lineRule="exact"/>
              <w:ind w:left="110" w:right="91"/>
              <w:jc w:val="both"/>
              <w:rPr>
                <w:rFonts w:ascii="Verdana" w:hAnsi="Verdana"/>
                <w:sz w:val="18"/>
                <w:szCs w:val="18"/>
              </w:rPr>
            </w:pPr>
            <w:r w:rsidRPr="00EC75B7">
              <w:rPr>
                <w:rFonts w:ascii="Verdana" w:hAnsi="Verdana"/>
                <w:sz w:val="18"/>
                <w:szCs w:val="18"/>
              </w:rPr>
              <w:t xml:space="preserve">Interventions leading to improved soil quality, reduced concentrations of pollutants in the soil, with pollutant concentrations in the soil falling within the alert threshold for </w:t>
            </w:r>
            <w:r w:rsidRPr="00EC75B7">
              <w:rPr>
                <w:rFonts w:ascii="Verdana" w:hAnsi="Verdana"/>
                <w:spacing w:val="-2"/>
                <w:sz w:val="18"/>
                <w:szCs w:val="18"/>
              </w:rPr>
              <w:t xml:space="preserve">sensitive </w:t>
            </w:r>
            <w:r w:rsidRPr="00EC75B7">
              <w:rPr>
                <w:rFonts w:ascii="Verdana" w:hAnsi="Verdana"/>
                <w:sz w:val="18"/>
                <w:szCs w:val="18"/>
              </w:rPr>
              <w:t>uses</w:t>
            </w:r>
            <w:r w:rsidRPr="00EC75B7">
              <w:rPr>
                <w:rFonts w:ascii="Verdana" w:hAnsi="Verdana"/>
                <w:spacing w:val="-2"/>
                <w:sz w:val="18"/>
                <w:szCs w:val="18"/>
              </w:rPr>
              <w:t>.</w:t>
            </w:r>
          </w:p>
        </w:tc>
        <w:tc>
          <w:tcPr>
            <w:tcW w:w="2773" w:type="dxa"/>
            <w:shd w:val="clear" w:color="auto" w:fill="F1F1F1"/>
          </w:tcPr>
          <w:p w14:paraId="5888A464"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31BD61BA" w14:textId="77777777">
        <w:trPr>
          <w:trHeight w:val="388"/>
        </w:trPr>
        <w:tc>
          <w:tcPr>
            <w:tcW w:w="1347" w:type="dxa"/>
            <w:vMerge/>
            <w:tcBorders>
              <w:top w:val="nil"/>
            </w:tcBorders>
            <w:shd w:val="clear" w:color="auto" w:fill="F1F1F1"/>
          </w:tcPr>
          <w:p w14:paraId="57DD7372" w14:textId="77777777" w:rsidR="008715BE" w:rsidRPr="00EC75B7" w:rsidRDefault="008715BE">
            <w:pPr>
              <w:rPr>
                <w:rFonts w:ascii="Verdana" w:hAnsi="Verdana"/>
                <w:sz w:val="18"/>
                <w:szCs w:val="18"/>
              </w:rPr>
            </w:pPr>
          </w:p>
        </w:tc>
        <w:tc>
          <w:tcPr>
            <w:tcW w:w="5596" w:type="dxa"/>
            <w:shd w:val="clear" w:color="auto" w:fill="F1F1F1"/>
          </w:tcPr>
          <w:p w14:paraId="65A2BC8C" w14:textId="77777777" w:rsidR="008715BE" w:rsidRPr="00EC75B7" w:rsidRDefault="00000000">
            <w:pPr>
              <w:pStyle w:val="TableParagraph"/>
              <w:tabs>
                <w:tab w:val="left" w:pos="3957"/>
              </w:tabs>
              <w:spacing w:line="194" w:lineRule="exact"/>
              <w:ind w:left="110" w:right="91"/>
              <w:rPr>
                <w:rFonts w:ascii="Verdana" w:hAnsi="Verdana"/>
                <w:sz w:val="18"/>
                <w:szCs w:val="18"/>
              </w:rPr>
            </w:pPr>
            <w:r w:rsidRPr="00EC75B7">
              <w:rPr>
                <w:rFonts w:ascii="Verdana" w:hAnsi="Verdana"/>
                <w:sz w:val="18"/>
                <w:szCs w:val="18"/>
              </w:rPr>
              <w:t>Interventions leading to improvement</w:t>
            </w:r>
            <w:r w:rsidRPr="00EC75B7">
              <w:rPr>
                <w:rFonts w:ascii="Verdana" w:hAnsi="Verdana"/>
                <w:sz w:val="18"/>
                <w:szCs w:val="18"/>
              </w:rPr>
              <w:tab/>
              <w:t>the identified geological resource (1-5%)</w:t>
            </w:r>
          </w:p>
        </w:tc>
        <w:tc>
          <w:tcPr>
            <w:tcW w:w="2773" w:type="dxa"/>
            <w:shd w:val="clear" w:color="auto" w:fill="F1F1F1"/>
          </w:tcPr>
          <w:p w14:paraId="2F28226C"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B5FB192" w14:textId="77777777">
        <w:trPr>
          <w:trHeight w:val="777"/>
        </w:trPr>
        <w:tc>
          <w:tcPr>
            <w:tcW w:w="1347" w:type="dxa"/>
            <w:vMerge w:val="restart"/>
            <w:shd w:val="clear" w:color="auto" w:fill="F1F1F1"/>
          </w:tcPr>
          <w:p w14:paraId="495AE3E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5596" w:type="dxa"/>
            <w:shd w:val="clear" w:color="auto" w:fill="F1F1F1"/>
          </w:tcPr>
          <w:p w14:paraId="3EE5EBC3" w14:textId="77777777" w:rsidR="008715BE" w:rsidRPr="00EC75B7" w:rsidRDefault="00000000">
            <w:pPr>
              <w:pStyle w:val="TableParagraph"/>
              <w:spacing w:line="194" w:lineRule="exact"/>
              <w:ind w:left="110" w:right="91"/>
              <w:jc w:val="both"/>
              <w:rPr>
                <w:rFonts w:ascii="Verdana" w:hAnsi="Verdana"/>
                <w:sz w:val="18"/>
                <w:szCs w:val="18"/>
              </w:rPr>
            </w:pPr>
            <w:r w:rsidRPr="00EC75B7">
              <w:rPr>
                <w:rFonts w:ascii="Verdana" w:hAnsi="Verdana"/>
                <w:sz w:val="18"/>
                <w:szCs w:val="18"/>
              </w:rPr>
              <w:t>Interventions that improve soil quality and reduce pollutant concentrations in soil, with pollutant concentrations in soil falling between normal values and the alert threshold for sensitive uses.</w:t>
            </w:r>
          </w:p>
        </w:tc>
        <w:tc>
          <w:tcPr>
            <w:tcW w:w="2773" w:type="dxa"/>
            <w:shd w:val="clear" w:color="auto" w:fill="F1F1F1"/>
          </w:tcPr>
          <w:p w14:paraId="15925F5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09D0F304" w14:textId="77777777">
        <w:trPr>
          <w:trHeight w:val="390"/>
        </w:trPr>
        <w:tc>
          <w:tcPr>
            <w:tcW w:w="1347" w:type="dxa"/>
            <w:vMerge/>
            <w:tcBorders>
              <w:top w:val="nil"/>
            </w:tcBorders>
            <w:shd w:val="clear" w:color="auto" w:fill="F1F1F1"/>
          </w:tcPr>
          <w:p w14:paraId="112BED48" w14:textId="77777777" w:rsidR="008715BE" w:rsidRPr="00EC75B7" w:rsidRDefault="008715BE">
            <w:pPr>
              <w:rPr>
                <w:rFonts w:ascii="Verdana" w:hAnsi="Verdana"/>
                <w:sz w:val="18"/>
                <w:szCs w:val="18"/>
              </w:rPr>
            </w:pPr>
          </w:p>
        </w:tc>
        <w:tc>
          <w:tcPr>
            <w:tcW w:w="5596" w:type="dxa"/>
            <w:shd w:val="clear" w:color="auto" w:fill="F1F1F1"/>
          </w:tcPr>
          <w:p w14:paraId="5D3AA252" w14:textId="77777777" w:rsidR="008715BE" w:rsidRPr="00EC75B7" w:rsidRDefault="00000000">
            <w:pPr>
              <w:pStyle w:val="TableParagraph"/>
              <w:tabs>
                <w:tab w:val="left" w:pos="3957"/>
              </w:tabs>
              <w:spacing w:line="194" w:lineRule="exact"/>
              <w:ind w:left="110" w:right="91"/>
              <w:rPr>
                <w:rFonts w:ascii="Verdana" w:hAnsi="Verdana"/>
                <w:sz w:val="18"/>
                <w:szCs w:val="18"/>
              </w:rPr>
            </w:pPr>
            <w:r w:rsidRPr="00EC75B7">
              <w:rPr>
                <w:rFonts w:ascii="Verdana" w:hAnsi="Verdana"/>
                <w:sz w:val="18"/>
                <w:szCs w:val="18"/>
              </w:rPr>
              <w:t>Interventions leading to the improvement of</w:t>
            </w:r>
            <w:r w:rsidRPr="00EC75B7">
              <w:rPr>
                <w:rFonts w:ascii="Verdana" w:hAnsi="Verdana"/>
                <w:sz w:val="18"/>
                <w:szCs w:val="18"/>
              </w:rPr>
              <w:tab/>
              <w:t>the identified geological resource (5-10%)</w:t>
            </w:r>
          </w:p>
        </w:tc>
        <w:tc>
          <w:tcPr>
            <w:tcW w:w="2773" w:type="dxa"/>
            <w:shd w:val="clear" w:color="auto" w:fill="F1F1F1"/>
          </w:tcPr>
          <w:p w14:paraId="2D72025A"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r w:rsidR="008715BE" w:rsidRPr="00EC75B7" w14:paraId="3BBE7629" w14:textId="77777777">
        <w:trPr>
          <w:trHeight w:val="582"/>
        </w:trPr>
        <w:tc>
          <w:tcPr>
            <w:tcW w:w="1347" w:type="dxa"/>
            <w:vMerge w:val="restart"/>
            <w:shd w:val="clear" w:color="auto" w:fill="F1F1F1"/>
          </w:tcPr>
          <w:p w14:paraId="30079C6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5596" w:type="dxa"/>
            <w:shd w:val="clear" w:color="auto" w:fill="F1F1F1"/>
          </w:tcPr>
          <w:p w14:paraId="2F07B485" w14:textId="77777777" w:rsidR="008715BE" w:rsidRPr="00EC75B7" w:rsidRDefault="00000000">
            <w:pPr>
              <w:pStyle w:val="TableParagraph"/>
              <w:spacing w:line="194" w:lineRule="exact"/>
              <w:ind w:left="110" w:right="91"/>
              <w:jc w:val="both"/>
              <w:rPr>
                <w:rFonts w:ascii="Verdana" w:hAnsi="Verdana"/>
                <w:sz w:val="18"/>
                <w:szCs w:val="18"/>
              </w:rPr>
            </w:pPr>
            <w:r w:rsidRPr="00EC75B7">
              <w:rPr>
                <w:rFonts w:ascii="Verdana" w:hAnsi="Verdana"/>
                <w:sz w:val="18"/>
                <w:szCs w:val="18"/>
              </w:rPr>
              <w:t>Interventions leading to improved soil quality, significantly reducing soil pollutant concentrations, with soil pollutant concentrations falling within normal values.</w:t>
            </w:r>
          </w:p>
        </w:tc>
        <w:tc>
          <w:tcPr>
            <w:tcW w:w="2773" w:type="dxa"/>
            <w:shd w:val="clear" w:color="auto" w:fill="F1F1F1"/>
          </w:tcPr>
          <w:p w14:paraId="55A5266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821163D" w14:textId="77777777">
        <w:trPr>
          <w:trHeight w:val="388"/>
        </w:trPr>
        <w:tc>
          <w:tcPr>
            <w:tcW w:w="1347" w:type="dxa"/>
            <w:vMerge/>
            <w:tcBorders>
              <w:top w:val="nil"/>
            </w:tcBorders>
            <w:shd w:val="clear" w:color="auto" w:fill="F1F1F1"/>
          </w:tcPr>
          <w:p w14:paraId="14C7E6B4" w14:textId="77777777" w:rsidR="008715BE" w:rsidRPr="00EC75B7" w:rsidRDefault="008715BE">
            <w:pPr>
              <w:rPr>
                <w:rFonts w:ascii="Verdana" w:hAnsi="Verdana"/>
                <w:sz w:val="18"/>
                <w:szCs w:val="18"/>
              </w:rPr>
            </w:pPr>
          </w:p>
        </w:tc>
        <w:tc>
          <w:tcPr>
            <w:tcW w:w="5596" w:type="dxa"/>
            <w:shd w:val="clear" w:color="auto" w:fill="F1F1F1"/>
          </w:tcPr>
          <w:p w14:paraId="53EA38C4" w14:textId="77777777" w:rsidR="008715BE" w:rsidRPr="00EC75B7" w:rsidRDefault="00000000">
            <w:pPr>
              <w:pStyle w:val="TableParagraph"/>
              <w:tabs>
                <w:tab w:val="left" w:pos="3957"/>
              </w:tabs>
              <w:spacing w:line="194" w:lineRule="exact"/>
              <w:ind w:left="110" w:right="91"/>
              <w:rPr>
                <w:rFonts w:ascii="Verdana" w:hAnsi="Verdana"/>
                <w:sz w:val="18"/>
                <w:szCs w:val="18"/>
              </w:rPr>
            </w:pPr>
            <w:r w:rsidRPr="00EC75B7">
              <w:rPr>
                <w:rFonts w:ascii="Verdana" w:hAnsi="Verdana"/>
                <w:sz w:val="18"/>
                <w:szCs w:val="18"/>
              </w:rPr>
              <w:t>Interventions leading to improvement</w:t>
            </w:r>
            <w:r w:rsidRPr="00EC75B7">
              <w:rPr>
                <w:rFonts w:ascii="Verdana" w:hAnsi="Verdana"/>
                <w:sz w:val="18"/>
                <w:szCs w:val="18"/>
              </w:rPr>
              <w:tab/>
              <w:t>the identified geological resource (&gt;10%)</w:t>
            </w:r>
          </w:p>
        </w:tc>
        <w:tc>
          <w:tcPr>
            <w:tcW w:w="2773" w:type="dxa"/>
            <w:shd w:val="clear" w:color="auto" w:fill="F1F1F1"/>
          </w:tcPr>
          <w:p w14:paraId="5B90ABF1"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4166219C" w14:textId="77777777">
        <w:trPr>
          <w:trHeight w:val="193"/>
        </w:trPr>
        <w:tc>
          <w:tcPr>
            <w:tcW w:w="9716" w:type="dxa"/>
            <w:gridSpan w:val="3"/>
            <w:shd w:val="clear" w:color="auto" w:fill="ADAAAA"/>
          </w:tcPr>
          <w:p w14:paraId="085F0C43"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0509F7B5" w14:textId="77777777">
        <w:trPr>
          <w:trHeight w:val="390"/>
        </w:trPr>
        <w:tc>
          <w:tcPr>
            <w:tcW w:w="1347" w:type="dxa"/>
            <w:shd w:val="clear" w:color="auto" w:fill="F1F1F1"/>
          </w:tcPr>
          <w:p w14:paraId="06242B27" w14:textId="77777777" w:rsidR="008715BE" w:rsidRPr="00EC75B7" w:rsidRDefault="008715BE">
            <w:pPr>
              <w:pStyle w:val="TableParagraph"/>
              <w:rPr>
                <w:rFonts w:ascii="Verdana" w:hAnsi="Verdana"/>
                <w:sz w:val="18"/>
                <w:szCs w:val="18"/>
              </w:rPr>
            </w:pPr>
          </w:p>
        </w:tc>
        <w:tc>
          <w:tcPr>
            <w:tcW w:w="5596" w:type="dxa"/>
            <w:shd w:val="clear" w:color="auto" w:fill="F1F1F1"/>
          </w:tcPr>
          <w:p w14:paraId="3498239A"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No change in soil quality or productive capacity</w:t>
            </w:r>
          </w:p>
        </w:tc>
        <w:tc>
          <w:tcPr>
            <w:tcW w:w="2773" w:type="dxa"/>
            <w:shd w:val="clear" w:color="auto" w:fill="F1F1F1"/>
          </w:tcPr>
          <w:p w14:paraId="4B9A99C5"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bl>
    <w:p w14:paraId="6A7085C3" w14:textId="77777777" w:rsidR="008715BE" w:rsidRPr="00EC75B7" w:rsidRDefault="008715BE">
      <w:pPr>
        <w:pStyle w:val="BodyText"/>
        <w:spacing w:before="124"/>
        <w:rPr>
          <w:rFonts w:ascii="Verdana" w:hAnsi="Verdana"/>
          <w:b/>
        </w:rPr>
      </w:pPr>
    </w:p>
    <w:p w14:paraId="79C86DB7" w14:textId="77777777" w:rsidR="008715BE" w:rsidRDefault="00000000">
      <w:pPr>
        <w:pStyle w:val="BodyText"/>
        <w:spacing w:before="1" w:line="360" w:lineRule="auto"/>
        <w:ind w:left="57"/>
        <w:rPr>
          <w:rFonts w:ascii="Verdana" w:hAnsi="Verdana"/>
        </w:rPr>
      </w:pPr>
      <w:r w:rsidRPr="00EC75B7">
        <w:rPr>
          <w:rFonts w:ascii="Verdana" w:hAnsi="Verdana"/>
        </w:rPr>
        <w:t>The magnitude for this project is small, no changes with high and/or moderate negative magnitude have been identified.</w:t>
      </w:r>
    </w:p>
    <w:p w14:paraId="0C687B15" w14:textId="77777777" w:rsidR="0053798D" w:rsidRDefault="0053798D">
      <w:pPr>
        <w:pStyle w:val="BodyText"/>
        <w:spacing w:before="1" w:line="360" w:lineRule="auto"/>
        <w:ind w:left="57"/>
        <w:rPr>
          <w:rFonts w:ascii="Verdana" w:hAnsi="Verdana"/>
        </w:rPr>
      </w:pPr>
    </w:p>
    <w:p w14:paraId="72F6C1EA" w14:textId="77777777" w:rsidR="0053798D" w:rsidRPr="00EC75B7" w:rsidRDefault="0053798D">
      <w:pPr>
        <w:pStyle w:val="BodyText"/>
        <w:spacing w:before="1" w:line="360" w:lineRule="auto"/>
        <w:ind w:left="57"/>
        <w:rPr>
          <w:rFonts w:ascii="Verdana" w:hAnsi="Verdana"/>
        </w:rPr>
      </w:pPr>
    </w:p>
    <w:p w14:paraId="19260A8E" w14:textId="77777777" w:rsidR="008715BE" w:rsidRPr="00EC75B7" w:rsidRDefault="008715BE">
      <w:pPr>
        <w:pStyle w:val="BodyText"/>
        <w:spacing w:before="21"/>
        <w:rPr>
          <w:rFonts w:ascii="Verdana" w:hAnsi="Verdana"/>
        </w:rPr>
      </w:pPr>
    </w:p>
    <w:p w14:paraId="636FB3D7" w14:textId="77777777" w:rsidR="008715BE" w:rsidRPr="00EC75B7" w:rsidRDefault="00000000">
      <w:pPr>
        <w:pStyle w:val="Heading3"/>
        <w:numPr>
          <w:ilvl w:val="2"/>
          <w:numId w:val="110"/>
        </w:numPr>
        <w:tabs>
          <w:tab w:val="left" w:pos="1984"/>
        </w:tabs>
        <w:ind w:left="1984" w:hanging="933"/>
        <w:rPr>
          <w:rFonts w:ascii="Verdana" w:hAnsi="Verdana"/>
          <w:color w:val="00AFEF"/>
          <w:sz w:val="18"/>
          <w:szCs w:val="18"/>
        </w:rPr>
      </w:pPr>
      <w:bookmarkStart w:id="90" w:name="_bookmark91"/>
      <w:bookmarkEnd w:id="90"/>
      <w:r w:rsidRPr="00EC75B7">
        <w:rPr>
          <w:rFonts w:ascii="Verdana" w:hAnsi="Verdana"/>
          <w:color w:val="00AFEF"/>
          <w:spacing w:val="-2"/>
          <w:sz w:val="18"/>
          <w:szCs w:val="18"/>
        </w:rPr>
        <w:t xml:space="preserve">Impact </w:t>
      </w:r>
      <w:r w:rsidRPr="00EC75B7">
        <w:rPr>
          <w:rFonts w:ascii="Verdana" w:hAnsi="Verdana"/>
          <w:color w:val="00AFEF"/>
          <w:sz w:val="18"/>
          <w:szCs w:val="18"/>
        </w:rPr>
        <w:t>forecasting</w:t>
      </w:r>
    </w:p>
    <w:p w14:paraId="4F53192B" w14:textId="77777777" w:rsidR="008715BE" w:rsidRPr="00EC75B7" w:rsidRDefault="008715BE">
      <w:pPr>
        <w:pStyle w:val="BodyText"/>
        <w:spacing w:before="114"/>
        <w:rPr>
          <w:rFonts w:ascii="Verdana" w:hAnsi="Verdana"/>
          <w:b/>
        </w:rPr>
      </w:pPr>
    </w:p>
    <w:p w14:paraId="41F96D33" w14:textId="77777777" w:rsidR="008715BE" w:rsidRPr="00EC75B7" w:rsidRDefault="00000000">
      <w:pPr>
        <w:pStyle w:val="BodyText"/>
        <w:ind w:left="86"/>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aspects </w:t>
      </w:r>
      <w:r w:rsidRPr="00EC75B7">
        <w:rPr>
          <w:rFonts w:ascii="Verdana" w:hAnsi="Verdana"/>
        </w:rPr>
        <w:t>were taken into account when assessing the impact on the soil/subsoil</w:t>
      </w:r>
      <w:r w:rsidRPr="00EC75B7">
        <w:rPr>
          <w:rFonts w:ascii="Verdana" w:hAnsi="Verdana"/>
          <w:spacing w:val="-2"/>
        </w:rPr>
        <w:t>:</w:t>
      </w:r>
    </w:p>
    <w:p w14:paraId="3FA4B8EF" w14:textId="77777777" w:rsidR="008715BE" w:rsidRPr="00EC75B7" w:rsidRDefault="008715BE">
      <w:pPr>
        <w:pStyle w:val="BodyText"/>
        <w:spacing w:before="10"/>
        <w:rPr>
          <w:rFonts w:ascii="Verdana" w:hAnsi="Verdana"/>
        </w:rPr>
      </w:pPr>
    </w:p>
    <w:p w14:paraId="2D579060" w14:textId="77777777" w:rsidR="008715BE" w:rsidRPr="00EC75B7" w:rsidRDefault="00000000">
      <w:pPr>
        <w:ind w:left="86"/>
        <w:rPr>
          <w:rFonts w:ascii="Verdana" w:hAnsi="Verdana"/>
          <w:sz w:val="18"/>
          <w:szCs w:val="18"/>
        </w:rPr>
      </w:pPr>
      <w:r w:rsidRPr="00EC75B7">
        <w:rPr>
          <w:rFonts w:ascii="Verdana" w:hAnsi="Verdana"/>
          <w:noProof/>
          <w:sz w:val="18"/>
          <w:szCs w:val="18"/>
        </w:rPr>
        <mc:AlternateContent>
          <mc:Choice Requires="wpg">
            <w:drawing>
              <wp:inline distT="0" distB="0" distL="0" distR="0" wp14:anchorId="67042093" wp14:editId="24628F54">
                <wp:extent cx="5904230" cy="1113790"/>
                <wp:effectExtent l="0" t="0" r="0" b="634"/>
                <wp:docPr id="288" name="Group 288"/>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289" name="Graphic 289"/>
                        <wps:cNvSpPr/>
                        <wps:spPr>
                          <a:xfrm>
                            <a:off x="0" y="0"/>
                            <a:ext cx="5904230" cy="1113790"/>
                          </a:xfrm>
                          <a:custGeom>
                            <a:avLst/>
                            <a:gdLst/>
                            <a:ahLst/>
                            <a:cxnLst/>
                            <a:rect l="l" t="t" r="r" b="b"/>
                            <a:pathLst>
                              <a:path w="5904230" h="1113790">
                                <a:moveTo>
                                  <a:pt x="5792851"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1"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1" y="0"/>
                                </a:lnTo>
                                <a:close/>
                              </a:path>
                            </a:pathLst>
                          </a:custGeom>
                          <a:solidFill>
                            <a:srgbClr val="00AFEF"/>
                          </a:solidFill>
                        </wps:spPr>
                        <wps:bodyPr wrap="square" lIns="0" tIns="0" rIns="0" bIns="0" rtlCol="0">
                          <a:prstTxWarp prst="textNoShape">
                            <a:avLst/>
                          </a:prstTxWarp>
                        </wps:bodyPr>
                      </wps:wsp>
                      <wps:wsp>
                        <wps:cNvPr id="290" name="Graphic 290"/>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70"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75"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291" name="Graphic 291"/>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292" name="Textbox 292"/>
                        <wps:cNvSpPr txBox="1"/>
                        <wps:spPr>
                          <a:xfrm>
                            <a:off x="0" y="0"/>
                            <a:ext cx="5904230" cy="1113790"/>
                          </a:xfrm>
                          <a:prstGeom prst="rect">
                            <a:avLst/>
                          </a:prstGeom>
                        </wps:spPr>
                        <wps:txbx>
                          <w:txbxContent>
                            <w:p w14:paraId="1FA76526" w14:textId="77777777" w:rsidR="008715BE" w:rsidRDefault="00000000">
                              <w:pPr>
                                <w:spacing w:before="41"/>
                                <w:ind w:left="2113"/>
                                <w:rPr>
                                  <w:b/>
                                  <w:sz w:val="18"/>
                                </w:rPr>
                              </w:pPr>
                              <w:r>
                                <w:rPr>
                                  <w:b/>
                                  <w:w w:val="135"/>
                                  <w:sz w:val="12"/>
                                </w:rPr>
                                <w:t xml:space="preserve">Form of </w:t>
                              </w:r>
                              <w:r>
                                <w:rPr>
                                  <w:b/>
                                  <w:spacing w:val="-2"/>
                                  <w:w w:val="135"/>
                                  <w:sz w:val="12"/>
                                </w:rPr>
                                <w:t>impact</w:t>
                              </w:r>
                            </w:p>
                            <w:p w14:paraId="73E03047" w14:textId="77777777" w:rsidR="008715BE" w:rsidRDefault="00000000">
                              <w:pPr>
                                <w:numPr>
                                  <w:ilvl w:val="0"/>
                                  <w:numId w:val="73"/>
                                </w:numPr>
                                <w:tabs>
                                  <w:tab w:val="left" w:pos="2273"/>
                                </w:tabs>
                                <w:spacing w:before="18"/>
                                <w:ind w:left="2273" w:hanging="160"/>
                                <w:rPr>
                                  <w:sz w:val="18"/>
                                </w:rPr>
                              </w:pPr>
                              <w:r>
                                <w:rPr>
                                  <w:w w:val="120"/>
                                  <w:sz w:val="12"/>
                                </w:rPr>
                                <w:t xml:space="preserve">change in soil quality and </w:t>
                              </w:r>
                              <w:r>
                                <w:rPr>
                                  <w:spacing w:val="-2"/>
                                  <w:w w:val="120"/>
                                  <w:sz w:val="12"/>
                                </w:rPr>
                                <w:t xml:space="preserve">production </w:t>
                              </w:r>
                              <w:r>
                                <w:rPr>
                                  <w:w w:val="120"/>
                                  <w:sz w:val="12"/>
                                </w:rPr>
                                <w:t>capacity</w:t>
                              </w:r>
                            </w:p>
                            <w:p w14:paraId="7AA90CF3" w14:textId="77777777" w:rsidR="008715BE" w:rsidRDefault="00000000">
                              <w:pPr>
                                <w:numPr>
                                  <w:ilvl w:val="0"/>
                                  <w:numId w:val="73"/>
                                </w:numPr>
                                <w:tabs>
                                  <w:tab w:val="left" w:pos="2211"/>
                                </w:tabs>
                                <w:spacing w:before="18"/>
                                <w:ind w:left="2211" w:hanging="98"/>
                                <w:rPr>
                                  <w:sz w:val="18"/>
                                </w:rPr>
                              </w:pPr>
                              <w:r>
                                <w:rPr>
                                  <w:w w:val="120"/>
                                  <w:sz w:val="12"/>
                                </w:rPr>
                                <w:t xml:space="preserve">changes in </w:t>
                              </w:r>
                              <w:r>
                                <w:rPr>
                                  <w:spacing w:val="-2"/>
                                  <w:w w:val="120"/>
                                  <w:sz w:val="12"/>
                                </w:rPr>
                                <w:t xml:space="preserve">land </w:t>
                              </w:r>
                              <w:r>
                                <w:rPr>
                                  <w:w w:val="120"/>
                                  <w:sz w:val="12"/>
                                </w:rPr>
                                <w:t>use</w:t>
                              </w:r>
                            </w:p>
                          </w:txbxContent>
                        </wps:txbx>
                        <wps:bodyPr wrap="square" lIns="0" tIns="0" rIns="0" bIns="0" rtlCol="0"/>
                      </wps:wsp>
                    </wpg:wgp>
                  </a:graphicData>
                </a:graphic>
              </wp:inline>
            </w:drawing>
          </mc:Choice>
          <mc:Fallback>
            <w:pict>
              <v:group w14:anchorId="67042093" id="Group 288" o:spid="_x0000_s1139"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">
                <v:shape id="Graphic 289" o:spid="_x0000_s1140"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" path="m5792851,l111353,,68012,8759,32616,32639,8751,68044,,111378r,890778l8751,1045545r23865,35399l68012,1104794r43341,8741l5792851,1113535r43334,-8741l5871591,1080944r23879,-35399l5904230,1002156r,-890778l5895470,68044,5871591,32638,5836185,8759,5792851,xe" fillcolor="#00afef" stroked="f">
                  <v:path arrowok="t"/>
                </v:shape>
                <v:shape id="Graphic 290" o:spid="_x0000_s1141"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47,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75,315899r138950,l777925,292506r-60756,l717169,245706r176898,l899502,240461r,-235229xem948118,344538r-5461,-5233l935964,339305r-291770,l649401,362699r166764,l874229,720394r24562,l840765,362699r101892,l948118,357466r,-12928xe" fillcolor="#c0c8e3" stroked="f">
                  <v:path arrowok="t"/>
                </v:shape>
                <v:shape id="Graphic 291" o:spid="_x0000_s1142"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292" o:spid="_x0000_s1143"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1FA76526" w14:textId="77777777" w:rsidR="008715BE" w:rsidRDefault="00000000">
                        <w:pPr>
                          <w:spacing w:before="41"/>
                          <w:ind w:left="2113"/>
                          <w:rPr>
                            <w:b/>
                            <w:sz w:val="18"/>
                          </w:rPr>
                        </w:pPr>
                        <w:r>
                          <w:rPr>
                            <w:b/>
                            <w:w w:val="135"/>
                            <w:sz w:val="12"/>
                          </w:rPr>
                          <w:t xml:space="preserve">Form of </w:t>
                        </w:r>
                        <w:r>
                          <w:rPr>
                            <w:b/>
                            <w:spacing w:val="-2"/>
                            <w:w w:val="135"/>
                            <w:sz w:val="12"/>
                          </w:rPr>
                          <w:t>impact</w:t>
                        </w:r>
                      </w:p>
                      <w:p w14:paraId="73E03047" w14:textId="77777777" w:rsidR="008715BE" w:rsidRDefault="00000000">
                        <w:pPr>
                          <w:numPr>
                            <w:ilvl w:val="0"/>
                            <w:numId w:val="73"/>
                          </w:numPr>
                          <w:tabs>
                            <w:tab w:val="left" w:pos="2273"/>
                          </w:tabs>
                          <w:spacing w:before="18"/>
                          <w:ind w:left="2273" w:hanging="160"/>
                          <w:rPr>
                            <w:sz w:val="18"/>
                          </w:rPr>
                        </w:pPr>
                        <w:r>
                          <w:rPr>
                            <w:w w:val="120"/>
                            <w:sz w:val="12"/>
                          </w:rPr>
                          <w:t xml:space="preserve">change in soil quality and </w:t>
                        </w:r>
                        <w:r>
                          <w:rPr>
                            <w:spacing w:val="-2"/>
                            <w:w w:val="120"/>
                            <w:sz w:val="12"/>
                          </w:rPr>
                          <w:t xml:space="preserve">production </w:t>
                        </w:r>
                        <w:r>
                          <w:rPr>
                            <w:w w:val="120"/>
                            <w:sz w:val="12"/>
                          </w:rPr>
                          <w:t>capacity</w:t>
                        </w:r>
                      </w:p>
                      <w:p w14:paraId="7AA90CF3" w14:textId="77777777" w:rsidR="008715BE" w:rsidRDefault="00000000">
                        <w:pPr>
                          <w:numPr>
                            <w:ilvl w:val="0"/>
                            <w:numId w:val="73"/>
                          </w:numPr>
                          <w:tabs>
                            <w:tab w:val="left" w:pos="2211"/>
                          </w:tabs>
                          <w:spacing w:before="18"/>
                          <w:ind w:left="2211" w:hanging="98"/>
                          <w:rPr>
                            <w:sz w:val="18"/>
                          </w:rPr>
                        </w:pPr>
                        <w:r>
                          <w:rPr>
                            <w:w w:val="120"/>
                            <w:sz w:val="12"/>
                          </w:rPr>
                          <w:t xml:space="preserve">changes in </w:t>
                        </w:r>
                        <w:r>
                          <w:rPr>
                            <w:spacing w:val="-2"/>
                            <w:w w:val="120"/>
                            <w:sz w:val="12"/>
                          </w:rPr>
                          <w:t xml:space="preserve">land </w:t>
                        </w:r>
                        <w:r>
                          <w:rPr>
                            <w:w w:val="120"/>
                            <w:sz w:val="12"/>
                          </w:rPr>
                          <w:t>use</w:t>
                        </w:r>
                      </w:p>
                    </w:txbxContent>
                  </v:textbox>
                </v:shape>
                <w10:anchorlock/>
              </v:group>
            </w:pict>
          </mc:Fallback>
        </mc:AlternateContent>
      </w:r>
    </w:p>
    <w:p w14:paraId="134A8DC4" w14:textId="77777777" w:rsidR="008715BE" w:rsidRPr="00EC75B7" w:rsidRDefault="00000000">
      <w:pPr>
        <w:pStyle w:val="BodyText"/>
        <w:rPr>
          <w:rFonts w:ascii="Verdana" w:hAnsi="Verdana"/>
        </w:rPr>
      </w:pPr>
      <w:r w:rsidRPr="00EC75B7">
        <w:rPr>
          <w:rFonts w:ascii="Verdana" w:hAnsi="Verdana"/>
          <w:noProof/>
        </w:rPr>
        <mc:AlternateContent>
          <mc:Choice Requires="wpg">
            <w:drawing>
              <wp:anchor distT="0" distB="0" distL="0" distR="0" simplePos="0" relativeHeight="251769856" behindDoc="1" locked="0" layoutInCell="1" allowOverlap="1" wp14:anchorId="742160E1" wp14:editId="3F8E9000">
                <wp:simplePos x="0" y="0"/>
                <wp:positionH relativeFrom="page">
                  <wp:posOffset>774065</wp:posOffset>
                </wp:positionH>
                <wp:positionV relativeFrom="paragraph">
                  <wp:posOffset>116331</wp:posOffset>
                </wp:positionV>
                <wp:extent cx="5904230" cy="1267460"/>
                <wp:effectExtent l="0" t="0" r="0" b="0"/>
                <wp:wrapTopAndBottom/>
                <wp:docPr id="293" name="Group 29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294" name="Graphic 29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295" name="Graphic 295"/>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296" name="Graphic 296"/>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297" name="Textbox 297"/>
                        <wps:cNvSpPr txBox="1"/>
                        <wps:spPr>
                          <a:xfrm>
                            <a:off x="0" y="0"/>
                            <a:ext cx="5904230" cy="1267460"/>
                          </a:xfrm>
                          <a:prstGeom prst="rect">
                            <a:avLst/>
                          </a:prstGeom>
                        </wps:spPr>
                        <wps:txbx>
                          <w:txbxContent>
                            <w:p w14:paraId="60C1814F" w14:textId="77777777" w:rsidR="008715BE" w:rsidRDefault="00000000">
                              <w:pPr>
                                <w:spacing w:before="41"/>
                                <w:ind w:left="2113"/>
                                <w:rPr>
                                  <w:b/>
                                  <w:sz w:val="18"/>
                                </w:rPr>
                              </w:pPr>
                              <w:r>
                                <w:rPr>
                                  <w:b/>
                                  <w:w w:val="135"/>
                                  <w:sz w:val="12"/>
                                </w:rPr>
                                <w:t xml:space="preserve">Nature </w:t>
                              </w:r>
                              <w:r>
                                <w:rPr>
                                  <w:b/>
                                  <w:spacing w:val="-2"/>
                                  <w:w w:val="135"/>
                                  <w:sz w:val="12"/>
                                </w:rPr>
                                <w:t>of impact</w:t>
                              </w:r>
                            </w:p>
                            <w:p w14:paraId="7A8AAE47" w14:textId="77777777" w:rsidR="008715BE" w:rsidRDefault="00000000">
                              <w:pPr>
                                <w:numPr>
                                  <w:ilvl w:val="0"/>
                                  <w:numId w:val="72"/>
                                </w:numPr>
                                <w:tabs>
                                  <w:tab w:val="left" w:pos="2272"/>
                                </w:tabs>
                                <w:spacing w:before="18" w:line="208" w:lineRule="exact"/>
                                <w:ind w:left="2272" w:hanging="159"/>
                                <w:rPr>
                                  <w:sz w:val="18"/>
                                </w:rPr>
                              </w:pPr>
                              <w:r>
                                <w:rPr>
                                  <w:w w:val="120"/>
                                  <w:sz w:val="12"/>
                                </w:rPr>
                                <w:t xml:space="preserve">direct if the interventions and activities specific to the execution stage </w:t>
                              </w:r>
                              <w:r>
                                <w:rPr>
                                  <w:spacing w:val="-5"/>
                                  <w:w w:val="120"/>
                                  <w:sz w:val="12"/>
                                </w:rPr>
                                <w:t>can</w:t>
                              </w:r>
                            </w:p>
                            <w:p w14:paraId="354CE04A" w14:textId="77777777" w:rsidR="008715BE" w:rsidRDefault="00000000">
                              <w:pPr>
                                <w:spacing w:line="208" w:lineRule="exact"/>
                                <w:ind w:left="2204"/>
                                <w:rPr>
                                  <w:sz w:val="18"/>
                                </w:rPr>
                              </w:pPr>
                              <w:r>
                                <w:rPr>
                                  <w:w w:val="120"/>
                                  <w:sz w:val="12"/>
                                </w:rPr>
                                <w:t xml:space="preserve">cause immediate changes in soil quality and the </w:t>
                              </w:r>
                              <w:r>
                                <w:rPr>
                                  <w:spacing w:val="-2"/>
                                  <w:w w:val="120"/>
                                  <w:sz w:val="12"/>
                                </w:rPr>
                                <w:t xml:space="preserve">geological </w:t>
                              </w:r>
                              <w:r>
                                <w:rPr>
                                  <w:w w:val="120"/>
                                  <w:sz w:val="12"/>
                                </w:rPr>
                                <w:t>environment</w:t>
                              </w:r>
                            </w:p>
                            <w:p w14:paraId="61455285" w14:textId="77777777" w:rsidR="008715BE" w:rsidRDefault="00000000">
                              <w:pPr>
                                <w:numPr>
                                  <w:ilvl w:val="0"/>
                                  <w:numId w:val="72"/>
                                </w:numPr>
                                <w:tabs>
                                  <w:tab w:val="left" w:pos="2204"/>
                                  <w:tab w:val="left" w:pos="2210"/>
                                </w:tabs>
                                <w:spacing w:before="35" w:line="216" w:lineRule="auto"/>
                                <w:ind w:right="492" w:hanging="92"/>
                                <w:rPr>
                                  <w:sz w:val="18"/>
                                </w:rPr>
                              </w:pPr>
                              <w:r>
                                <w:rPr>
                                  <w:w w:val="120"/>
                                  <w:sz w:val="12"/>
                                </w:rPr>
                                <w:t>indirect if they may have a potential impact after a certain period of time after completion and on another environmental factor</w:t>
                              </w:r>
                            </w:p>
                          </w:txbxContent>
                        </wps:txbx>
                        <wps:bodyPr wrap="square" lIns="0" tIns="0" rIns="0" bIns="0" rtlCol="0"/>
                      </wps:wsp>
                    </wpg:wgp>
                  </a:graphicData>
                </a:graphic>
              </wp:anchor>
            </w:drawing>
          </mc:Choice>
          <mc:Fallback>
            <w:pict>
              <v:group w14:anchorId="742160E1" id="Group 293" o:spid="_x0000_s1144" style="position:absolute;margin-left:60.95pt;margin-top:9.15pt;width:464.9pt;height:99.8pt;z-index:-25154662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WbQ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">
                <v:shape id="Graphic 294" o:spid="_x0000_s114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295" o:spid="_x0000_s1146"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296" o:spid="_x0000_s1147"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297" o:spid="_x0000_s114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60C1814F" w14:textId="77777777" w:rsidR="008715BE" w:rsidRDefault="00000000">
                        <w:pPr>
                          <w:spacing w:before="41"/>
                          <w:ind w:left="2113"/>
                          <w:rPr>
                            <w:b/>
                            <w:sz w:val="18"/>
                          </w:rPr>
                        </w:pPr>
                        <w:r>
                          <w:rPr>
                            <w:b/>
                            <w:w w:val="135"/>
                            <w:sz w:val="12"/>
                          </w:rPr>
                          <w:t xml:space="preserve">Nature </w:t>
                        </w:r>
                        <w:r>
                          <w:rPr>
                            <w:b/>
                            <w:spacing w:val="-2"/>
                            <w:w w:val="135"/>
                            <w:sz w:val="12"/>
                          </w:rPr>
                          <w:t>of impact</w:t>
                        </w:r>
                      </w:p>
                      <w:p w14:paraId="7A8AAE47" w14:textId="77777777" w:rsidR="008715BE" w:rsidRDefault="00000000">
                        <w:pPr>
                          <w:numPr>
                            <w:ilvl w:val="0"/>
                            <w:numId w:val="72"/>
                          </w:numPr>
                          <w:tabs>
                            <w:tab w:val="left" w:pos="2272"/>
                          </w:tabs>
                          <w:spacing w:before="18" w:line="208" w:lineRule="exact"/>
                          <w:ind w:left="2272" w:hanging="159"/>
                          <w:rPr>
                            <w:sz w:val="18"/>
                          </w:rPr>
                        </w:pPr>
                        <w:r>
                          <w:rPr>
                            <w:w w:val="120"/>
                            <w:sz w:val="12"/>
                          </w:rPr>
                          <w:t xml:space="preserve">direct if the interventions and activities specific to the execution stage </w:t>
                        </w:r>
                        <w:r>
                          <w:rPr>
                            <w:spacing w:val="-5"/>
                            <w:w w:val="120"/>
                            <w:sz w:val="12"/>
                          </w:rPr>
                          <w:t>can</w:t>
                        </w:r>
                      </w:p>
                      <w:p w14:paraId="354CE04A" w14:textId="77777777" w:rsidR="008715BE" w:rsidRDefault="00000000">
                        <w:pPr>
                          <w:spacing w:line="208" w:lineRule="exact"/>
                          <w:ind w:left="2204"/>
                          <w:rPr>
                            <w:sz w:val="18"/>
                          </w:rPr>
                        </w:pPr>
                        <w:r>
                          <w:rPr>
                            <w:w w:val="120"/>
                            <w:sz w:val="12"/>
                          </w:rPr>
                          <w:t xml:space="preserve">cause immediate changes in soil quality and the </w:t>
                        </w:r>
                        <w:r>
                          <w:rPr>
                            <w:spacing w:val="-2"/>
                            <w:w w:val="120"/>
                            <w:sz w:val="12"/>
                          </w:rPr>
                          <w:t xml:space="preserve">geological </w:t>
                        </w:r>
                        <w:r>
                          <w:rPr>
                            <w:w w:val="120"/>
                            <w:sz w:val="12"/>
                          </w:rPr>
                          <w:t>environment</w:t>
                        </w:r>
                      </w:p>
                      <w:p w14:paraId="61455285" w14:textId="77777777" w:rsidR="008715BE" w:rsidRDefault="00000000">
                        <w:pPr>
                          <w:numPr>
                            <w:ilvl w:val="0"/>
                            <w:numId w:val="72"/>
                          </w:numPr>
                          <w:tabs>
                            <w:tab w:val="left" w:pos="2204"/>
                            <w:tab w:val="left" w:pos="2210"/>
                          </w:tabs>
                          <w:spacing w:before="35" w:line="216" w:lineRule="auto"/>
                          <w:ind w:right="492" w:hanging="92"/>
                          <w:rPr>
                            <w:sz w:val="18"/>
                          </w:rPr>
                        </w:pPr>
                        <w:r>
                          <w:rPr>
                            <w:w w:val="120"/>
                            <w:sz w:val="12"/>
                          </w:rPr>
                          <w:t>indirect if they may have a potential impact after a certain period of time after completion and on another environmental factor</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71904" behindDoc="1" locked="0" layoutInCell="1" allowOverlap="1" wp14:anchorId="5B371801" wp14:editId="6BA0CD8E">
                <wp:simplePos x="0" y="0"/>
                <wp:positionH relativeFrom="page">
                  <wp:posOffset>774065</wp:posOffset>
                </wp:positionH>
                <wp:positionV relativeFrom="paragraph">
                  <wp:posOffset>1510538</wp:posOffset>
                </wp:positionV>
                <wp:extent cx="5904230" cy="1267460"/>
                <wp:effectExtent l="0" t="0" r="0" b="0"/>
                <wp:wrapTopAndBottom/>
                <wp:docPr id="298" name="Group 298"/>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299" name="Graphic 299"/>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300" name="Graphic 300"/>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301" name="Graphic 301"/>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302" name="Textbox 302"/>
                        <wps:cNvSpPr txBox="1"/>
                        <wps:spPr>
                          <a:xfrm>
                            <a:off x="0" y="0"/>
                            <a:ext cx="5904230" cy="1267460"/>
                          </a:xfrm>
                          <a:prstGeom prst="rect">
                            <a:avLst/>
                          </a:prstGeom>
                        </wps:spPr>
                        <wps:txbx>
                          <w:txbxContent>
                            <w:p w14:paraId="0F7A7082" w14:textId="77777777" w:rsidR="008715BE" w:rsidRDefault="008715BE">
                              <w:pPr>
                                <w:spacing w:before="213"/>
                                <w:rPr>
                                  <w:sz w:val="18"/>
                                </w:rPr>
                              </w:pPr>
                            </w:p>
                            <w:p w14:paraId="673ADC14" w14:textId="77777777" w:rsidR="008715BE" w:rsidRDefault="00000000">
                              <w:pPr>
                                <w:ind w:left="2113"/>
                                <w:rPr>
                                  <w:b/>
                                  <w:sz w:val="18"/>
                                </w:rPr>
                              </w:pPr>
                              <w:r>
                                <w:rPr>
                                  <w:b/>
                                  <w:spacing w:val="-2"/>
                                  <w:w w:val="135"/>
                                  <w:sz w:val="12"/>
                                </w:rPr>
                                <w:t xml:space="preserve">Impact </w:t>
                              </w:r>
                              <w:r>
                                <w:rPr>
                                  <w:b/>
                                  <w:w w:val="135"/>
                                  <w:sz w:val="12"/>
                                </w:rPr>
                                <w:t>extension</w:t>
                              </w:r>
                            </w:p>
                            <w:p w14:paraId="5819D596" w14:textId="77777777" w:rsidR="008715BE" w:rsidRDefault="00000000">
                              <w:pPr>
                                <w:numPr>
                                  <w:ilvl w:val="0"/>
                                  <w:numId w:val="71"/>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223D207" w14:textId="77777777" w:rsidR="008715BE" w:rsidRDefault="00000000">
                              <w:pPr>
                                <w:numPr>
                                  <w:ilvl w:val="0"/>
                                  <w:numId w:val="71"/>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local administrative units</w:t>
                              </w:r>
                            </w:p>
                            <w:p w14:paraId="633D3E04" w14:textId="77777777" w:rsidR="008715BE" w:rsidRDefault="00000000">
                              <w:pPr>
                                <w:spacing w:line="208" w:lineRule="exact"/>
                                <w:ind w:left="2113"/>
                                <w:rPr>
                                  <w:sz w:val="18"/>
                                </w:rPr>
                              </w:pPr>
                              <w:r>
                                <w:rPr>
                                  <w:spacing w:val="-4"/>
                                  <w:w w:val="125"/>
                                  <w:sz w:val="12"/>
                                </w:rPr>
                                <w:t>.</w:t>
                              </w:r>
                            </w:p>
                          </w:txbxContent>
                        </wps:txbx>
                        <wps:bodyPr wrap="square" lIns="0" tIns="0" rIns="0" bIns="0" rtlCol="0"/>
                      </wps:wsp>
                    </wpg:wgp>
                  </a:graphicData>
                </a:graphic>
              </wp:anchor>
            </w:drawing>
          </mc:Choice>
          <mc:Fallback>
            <w:pict>
              <v:group w14:anchorId="5B371801" id="Group 298" o:spid="_x0000_s1149" style="position:absolute;margin-left:60.95pt;margin-top:118.95pt;width:464.9pt;height:99.8pt;z-index:-25154457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">
                <v:shape id="Graphic 299" o:spid="_x0000_s115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300" o:spid="_x0000_s1151"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301" o:spid="_x0000_s1152"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302" o:spid="_x0000_s115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0F7A7082" w14:textId="77777777" w:rsidR="008715BE" w:rsidRDefault="008715BE">
                        <w:pPr>
                          <w:spacing w:before="213"/>
                          <w:rPr>
                            <w:sz w:val="18"/>
                          </w:rPr>
                        </w:pPr>
                      </w:p>
                      <w:p w14:paraId="673ADC14" w14:textId="77777777" w:rsidR="008715BE" w:rsidRDefault="00000000">
                        <w:pPr>
                          <w:ind w:left="2113"/>
                          <w:rPr>
                            <w:b/>
                            <w:sz w:val="18"/>
                          </w:rPr>
                        </w:pPr>
                        <w:r>
                          <w:rPr>
                            <w:b/>
                            <w:spacing w:val="-2"/>
                            <w:w w:val="135"/>
                            <w:sz w:val="12"/>
                          </w:rPr>
                          <w:t xml:space="preserve">Impact </w:t>
                        </w:r>
                        <w:r>
                          <w:rPr>
                            <w:b/>
                            <w:w w:val="135"/>
                            <w:sz w:val="12"/>
                          </w:rPr>
                          <w:t>extension</w:t>
                        </w:r>
                      </w:p>
                      <w:p w14:paraId="5819D596" w14:textId="77777777" w:rsidR="008715BE" w:rsidRDefault="00000000">
                        <w:pPr>
                          <w:numPr>
                            <w:ilvl w:val="0"/>
                            <w:numId w:val="71"/>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223D207" w14:textId="77777777" w:rsidR="008715BE" w:rsidRDefault="00000000">
                        <w:pPr>
                          <w:numPr>
                            <w:ilvl w:val="0"/>
                            <w:numId w:val="71"/>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local administrative units</w:t>
                        </w:r>
                      </w:p>
                      <w:p w14:paraId="633D3E04" w14:textId="77777777" w:rsidR="008715BE" w:rsidRDefault="00000000">
                        <w:pPr>
                          <w:spacing w:line="208" w:lineRule="exact"/>
                          <w:ind w:left="2113"/>
                          <w:rPr>
                            <w:sz w:val="18"/>
                          </w:rPr>
                        </w:pPr>
                        <w:r>
                          <w:rPr>
                            <w:spacing w:val="-4"/>
                            <w:w w:val="125"/>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73952" behindDoc="1" locked="0" layoutInCell="1" allowOverlap="1" wp14:anchorId="12FAAFB5" wp14:editId="3633749E">
                <wp:simplePos x="0" y="0"/>
                <wp:positionH relativeFrom="page">
                  <wp:posOffset>774065</wp:posOffset>
                </wp:positionH>
                <wp:positionV relativeFrom="paragraph">
                  <wp:posOffset>2904617</wp:posOffset>
                </wp:positionV>
                <wp:extent cx="5904230" cy="1267460"/>
                <wp:effectExtent l="0" t="0" r="0" b="0"/>
                <wp:wrapTopAndBottom/>
                <wp:docPr id="303" name="Group 30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04" name="Graphic 30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305" name="Graphic 305"/>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306" name="Graphic 306"/>
                        <wps:cNvSpPr/>
                        <wps:spPr>
                          <a:xfrm>
                            <a:off x="81584" y="62610"/>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84" y="1013840"/>
                                </a:lnTo>
                                <a:lnTo>
                                  <a:pt x="61920" y="1005881"/>
                                </a:lnTo>
                                <a:lnTo>
                                  <a:pt x="29694"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307" name="Textbox 307"/>
                        <wps:cNvSpPr txBox="1"/>
                        <wps:spPr>
                          <a:xfrm>
                            <a:off x="0" y="0"/>
                            <a:ext cx="5904230" cy="1267460"/>
                          </a:xfrm>
                          <a:prstGeom prst="rect">
                            <a:avLst/>
                          </a:prstGeom>
                        </wps:spPr>
                        <wps:txbx>
                          <w:txbxContent>
                            <w:p w14:paraId="56C80BCA" w14:textId="77777777" w:rsidR="008715BE" w:rsidRDefault="00000000">
                              <w:pPr>
                                <w:spacing w:before="158"/>
                                <w:ind w:left="2113"/>
                                <w:rPr>
                                  <w:b/>
                                  <w:sz w:val="18"/>
                                </w:rPr>
                              </w:pPr>
                              <w:r>
                                <w:rPr>
                                  <w:b/>
                                  <w:w w:val="135"/>
                                  <w:sz w:val="12"/>
                                </w:rPr>
                                <w:t xml:space="preserve">Frequency of occurrence of </w:t>
                              </w:r>
                              <w:r>
                                <w:rPr>
                                  <w:b/>
                                  <w:spacing w:val="-2"/>
                                  <w:w w:val="135"/>
                                  <w:sz w:val="12"/>
                                </w:rPr>
                                <w:t>effects</w:t>
                              </w:r>
                            </w:p>
                            <w:p w14:paraId="53792C4F" w14:textId="77777777" w:rsidR="008715BE" w:rsidRDefault="00000000">
                              <w:pPr>
                                <w:numPr>
                                  <w:ilvl w:val="0"/>
                                  <w:numId w:val="70"/>
                                </w:numPr>
                                <w:tabs>
                                  <w:tab w:val="left" w:pos="2285"/>
                                </w:tabs>
                                <w:spacing w:before="18"/>
                                <w:ind w:left="2285" w:hanging="172"/>
                                <w:rPr>
                                  <w:sz w:val="18"/>
                                </w:rPr>
                              </w:pPr>
                              <w:r>
                                <w:rPr>
                                  <w:w w:val="120"/>
                                  <w:sz w:val="12"/>
                                </w:rPr>
                                <w:t xml:space="preserve">Permanent – the impact is continuous after the moment </w:t>
                              </w:r>
                              <w:r>
                                <w:rPr>
                                  <w:spacing w:val="-2"/>
                                  <w:w w:val="120"/>
                                  <w:sz w:val="12"/>
                                </w:rPr>
                                <w:t>of occurrence</w:t>
                              </w:r>
                            </w:p>
                            <w:p w14:paraId="6AA5AA10" w14:textId="77777777" w:rsidR="008715BE" w:rsidRDefault="00000000">
                              <w:pPr>
                                <w:numPr>
                                  <w:ilvl w:val="0"/>
                                  <w:numId w:val="70"/>
                                </w:numPr>
                                <w:tabs>
                                  <w:tab w:val="left" w:pos="2285"/>
                                </w:tabs>
                                <w:spacing w:before="18" w:line="208" w:lineRule="exact"/>
                                <w:ind w:left="2285" w:hanging="172"/>
                                <w:rPr>
                                  <w:sz w:val="18"/>
                                </w:rPr>
                              </w:pPr>
                              <w:r>
                                <w:rPr>
                                  <w:w w:val="120"/>
                                  <w:sz w:val="12"/>
                                </w:rPr>
                                <w:t xml:space="preserve">temporary/one-time – effects that occur during the </w:t>
                              </w:r>
                              <w:r>
                                <w:rPr>
                                  <w:spacing w:val="-2"/>
                                  <w:w w:val="120"/>
                                  <w:sz w:val="12"/>
                                </w:rPr>
                                <w:t xml:space="preserve">execution </w:t>
                              </w:r>
                              <w:r>
                                <w:rPr>
                                  <w:w w:val="120"/>
                                  <w:sz w:val="12"/>
                                </w:rPr>
                                <w:t>period</w:t>
                              </w:r>
                            </w:p>
                            <w:p w14:paraId="707A2012" w14:textId="77777777" w:rsidR="008715BE" w:rsidRDefault="00000000">
                              <w:pPr>
                                <w:numPr>
                                  <w:ilvl w:val="0"/>
                                  <w:numId w:val="70"/>
                                </w:numPr>
                                <w:tabs>
                                  <w:tab w:val="left" w:pos="2285"/>
                                </w:tabs>
                                <w:spacing w:before="6" w:line="216" w:lineRule="auto"/>
                                <w:ind w:right="636" w:firstLine="0"/>
                                <w:rPr>
                                  <w:sz w:val="18"/>
                                </w:rPr>
                              </w:pPr>
                              <w:r>
                                <w:rPr>
                                  <w:w w:val="120"/>
                                  <w:sz w:val="12"/>
                                </w:rPr>
                                <w:t>accidental – for effects that may occur occasionally as a result of damage/human error</w:t>
                              </w:r>
                            </w:p>
                            <w:p w14:paraId="182D40D6" w14:textId="77777777" w:rsidR="008715BE" w:rsidRDefault="00000000">
                              <w:pPr>
                                <w:numPr>
                                  <w:ilvl w:val="0"/>
                                  <w:numId w:val="70"/>
                                </w:numPr>
                                <w:tabs>
                                  <w:tab w:val="left" w:pos="2285"/>
                                </w:tabs>
                                <w:spacing w:line="216" w:lineRule="auto"/>
                                <w:ind w:right="971" w:firstLine="0"/>
                                <w:rPr>
                                  <w:sz w:val="18"/>
                                </w:rPr>
                              </w:pPr>
                              <w:r>
                                <w:rPr>
                                  <w:w w:val="120"/>
                                  <w:sz w:val="12"/>
                                </w:rPr>
                                <w:t>intermittent – for effects that may occur throughout the entire period of operation/execution but are limited in time</w:t>
                              </w:r>
                            </w:p>
                          </w:txbxContent>
                        </wps:txbx>
                        <wps:bodyPr wrap="square" lIns="0" tIns="0" rIns="0" bIns="0" rtlCol="0"/>
                      </wps:wsp>
                    </wpg:wgp>
                  </a:graphicData>
                </a:graphic>
              </wp:anchor>
            </w:drawing>
          </mc:Choice>
          <mc:Fallback>
            <w:pict>
              <v:group w14:anchorId="12FAAFB5" id="Group 303" o:spid="_x0000_s1154" style="position:absolute;margin-left:60.95pt;margin-top:228.7pt;width:464.9pt;height:99.8pt;z-index:-251542528;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">
                <v:shape id="Graphic 304" o:spid="_x0000_s115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305" o:spid="_x0000_s1156"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306" o:spid="_x0000_s1157"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" path="m,101346l7967,61882,29694,29670,61920,7959,101384,r978065,l1118912,7959r32212,21711l1172835,61882r7960,39464l1180795,912495r-7960,39463l1151124,984170r-32212,21711l1079449,1013840r-978065,l61920,1005881,29694,984170,7967,951958,,912495,,101346xe" filled="f" strokecolor="white" strokeweight=".35275mm">
                  <v:path arrowok="t"/>
                </v:shape>
                <v:shape id="Textbox 307" o:spid="_x0000_s115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56C80BCA" w14:textId="77777777" w:rsidR="008715BE" w:rsidRDefault="00000000">
                        <w:pPr>
                          <w:spacing w:before="158"/>
                          <w:ind w:left="2113"/>
                          <w:rPr>
                            <w:b/>
                            <w:sz w:val="18"/>
                          </w:rPr>
                        </w:pPr>
                        <w:r>
                          <w:rPr>
                            <w:b/>
                            <w:w w:val="135"/>
                            <w:sz w:val="12"/>
                          </w:rPr>
                          <w:t xml:space="preserve">Frequency of occurrence of </w:t>
                        </w:r>
                        <w:r>
                          <w:rPr>
                            <w:b/>
                            <w:spacing w:val="-2"/>
                            <w:w w:val="135"/>
                            <w:sz w:val="12"/>
                          </w:rPr>
                          <w:t>effects</w:t>
                        </w:r>
                      </w:p>
                      <w:p w14:paraId="53792C4F" w14:textId="77777777" w:rsidR="008715BE" w:rsidRDefault="00000000">
                        <w:pPr>
                          <w:numPr>
                            <w:ilvl w:val="0"/>
                            <w:numId w:val="70"/>
                          </w:numPr>
                          <w:tabs>
                            <w:tab w:val="left" w:pos="2285"/>
                          </w:tabs>
                          <w:spacing w:before="18"/>
                          <w:ind w:left="2285" w:hanging="172"/>
                          <w:rPr>
                            <w:sz w:val="18"/>
                          </w:rPr>
                        </w:pPr>
                        <w:r>
                          <w:rPr>
                            <w:w w:val="120"/>
                            <w:sz w:val="12"/>
                          </w:rPr>
                          <w:t xml:space="preserve">Permanent – the impact is continuous after the moment </w:t>
                        </w:r>
                        <w:r>
                          <w:rPr>
                            <w:spacing w:val="-2"/>
                            <w:w w:val="120"/>
                            <w:sz w:val="12"/>
                          </w:rPr>
                          <w:t>of occurrence</w:t>
                        </w:r>
                      </w:p>
                      <w:p w14:paraId="6AA5AA10" w14:textId="77777777" w:rsidR="008715BE" w:rsidRDefault="00000000">
                        <w:pPr>
                          <w:numPr>
                            <w:ilvl w:val="0"/>
                            <w:numId w:val="70"/>
                          </w:numPr>
                          <w:tabs>
                            <w:tab w:val="left" w:pos="2285"/>
                          </w:tabs>
                          <w:spacing w:before="18" w:line="208" w:lineRule="exact"/>
                          <w:ind w:left="2285" w:hanging="172"/>
                          <w:rPr>
                            <w:sz w:val="18"/>
                          </w:rPr>
                        </w:pPr>
                        <w:r>
                          <w:rPr>
                            <w:w w:val="120"/>
                            <w:sz w:val="12"/>
                          </w:rPr>
                          <w:t xml:space="preserve">temporary/one-time – effects that occur during the </w:t>
                        </w:r>
                        <w:r>
                          <w:rPr>
                            <w:spacing w:val="-2"/>
                            <w:w w:val="120"/>
                            <w:sz w:val="12"/>
                          </w:rPr>
                          <w:t xml:space="preserve">execution </w:t>
                        </w:r>
                        <w:r>
                          <w:rPr>
                            <w:w w:val="120"/>
                            <w:sz w:val="12"/>
                          </w:rPr>
                          <w:t>period</w:t>
                        </w:r>
                      </w:p>
                      <w:p w14:paraId="707A2012" w14:textId="77777777" w:rsidR="008715BE" w:rsidRDefault="00000000">
                        <w:pPr>
                          <w:numPr>
                            <w:ilvl w:val="0"/>
                            <w:numId w:val="70"/>
                          </w:numPr>
                          <w:tabs>
                            <w:tab w:val="left" w:pos="2285"/>
                          </w:tabs>
                          <w:spacing w:before="6" w:line="216" w:lineRule="auto"/>
                          <w:ind w:right="636" w:firstLine="0"/>
                          <w:rPr>
                            <w:sz w:val="18"/>
                          </w:rPr>
                        </w:pPr>
                        <w:r>
                          <w:rPr>
                            <w:w w:val="120"/>
                            <w:sz w:val="12"/>
                          </w:rPr>
                          <w:t>accidental – for effects that may occur occasionally as a result of damage/human error</w:t>
                        </w:r>
                      </w:p>
                      <w:p w14:paraId="182D40D6" w14:textId="77777777" w:rsidR="008715BE" w:rsidRDefault="00000000">
                        <w:pPr>
                          <w:numPr>
                            <w:ilvl w:val="0"/>
                            <w:numId w:val="70"/>
                          </w:numPr>
                          <w:tabs>
                            <w:tab w:val="left" w:pos="2285"/>
                          </w:tabs>
                          <w:spacing w:line="216" w:lineRule="auto"/>
                          <w:ind w:right="971" w:firstLine="0"/>
                          <w:rPr>
                            <w:sz w:val="18"/>
                          </w:rPr>
                        </w:pPr>
                        <w:r>
                          <w:rPr>
                            <w:w w:val="120"/>
                            <w:sz w:val="12"/>
                          </w:rPr>
                          <w:t>intermittent – for effects that may occur throughout the entire period of operation/execution but are limited in time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76000" behindDoc="1" locked="0" layoutInCell="1" allowOverlap="1" wp14:anchorId="6F0D9E46" wp14:editId="787DCB34">
                <wp:simplePos x="0" y="0"/>
                <wp:positionH relativeFrom="page">
                  <wp:posOffset>774065</wp:posOffset>
                </wp:positionH>
                <wp:positionV relativeFrom="paragraph">
                  <wp:posOffset>4298822</wp:posOffset>
                </wp:positionV>
                <wp:extent cx="5904230" cy="1267460"/>
                <wp:effectExtent l="0" t="0" r="0" b="0"/>
                <wp:wrapTopAndBottom/>
                <wp:docPr id="308" name="Group 308"/>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09" name="Graphic 309"/>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310" name="Graphic 310"/>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311" name="Graphic 311"/>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312" name="Textbox 312"/>
                        <wps:cNvSpPr txBox="1"/>
                        <wps:spPr>
                          <a:xfrm>
                            <a:off x="0" y="0"/>
                            <a:ext cx="5904230" cy="1267460"/>
                          </a:xfrm>
                          <a:prstGeom prst="rect">
                            <a:avLst/>
                          </a:prstGeom>
                        </wps:spPr>
                        <wps:txbx>
                          <w:txbxContent>
                            <w:p w14:paraId="4585EE2F"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E0F68DA" w14:textId="77777777" w:rsidR="008715BE" w:rsidRDefault="00000000">
                              <w:pPr>
                                <w:numPr>
                                  <w:ilvl w:val="0"/>
                                  <w:numId w:val="69"/>
                                </w:numPr>
                                <w:tabs>
                                  <w:tab w:val="left" w:pos="2204"/>
                                  <w:tab w:val="left" w:pos="2272"/>
                                </w:tabs>
                                <w:spacing w:before="35" w:line="216" w:lineRule="auto"/>
                                <w:ind w:right="628" w:hanging="92"/>
                                <w:rPr>
                                  <w:sz w:val="18"/>
                                </w:rPr>
                              </w:pPr>
                              <w:r>
                                <w:rPr>
                                  <w:w w:val="120"/>
                                  <w:sz w:val="12"/>
                                </w:rPr>
                                <w:t>Probable and very probable – for situations encountered in practice and from the consultant's experience</w:t>
                              </w:r>
                            </w:p>
                            <w:p w14:paraId="70363C9F" w14:textId="77777777" w:rsidR="008715BE" w:rsidRDefault="00000000">
                              <w:pPr>
                                <w:numPr>
                                  <w:ilvl w:val="0"/>
                                  <w:numId w:val="69"/>
                                </w:numPr>
                                <w:tabs>
                                  <w:tab w:val="left" w:pos="2204"/>
                                  <w:tab w:val="left" w:pos="2272"/>
                                </w:tabs>
                                <w:spacing w:before="39" w:line="216" w:lineRule="auto"/>
                                <w:ind w:right="336" w:hanging="92"/>
                                <w:rPr>
                                  <w:sz w:val="18"/>
                                </w:rPr>
                              </w:pPr>
                              <w:r>
                                <w:rPr>
                                  <w:w w:val="120"/>
                                  <w:sz w:val="12"/>
                                </w:rPr>
                                <w:t>Unlikely or unlikely – for effects that occur when certain polluting substances are emitted and penetrate the soil/subsoil, affecting its quality</w:t>
                              </w:r>
                            </w:p>
                          </w:txbxContent>
                        </wps:txbx>
                        <wps:bodyPr wrap="square" lIns="0" tIns="0" rIns="0" bIns="0" rtlCol="0"/>
                      </wps:wsp>
                    </wpg:wgp>
                  </a:graphicData>
                </a:graphic>
              </wp:anchor>
            </w:drawing>
          </mc:Choice>
          <mc:Fallback>
            <w:pict>
              <v:group w14:anchorId="6F0D9E46" id="Group 308" o:spid="_x0000_s1159" style="position:absolute;margin-left:60.95pt;margin-top:338.5pt;width:464.9pt;height:99.8pt;z-index:-25154048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">
                <v:shape id="Graphic 309" o:spid="_x0000_s116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310" o:spid="_x0000_s1161"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311" o:spid="_x0000_s1162"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312" o:spid="_x0000_s116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4585EE2F"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E0F68DA" w14:textId="77777777" w:rsidR="008715BE" w:rsidRDefault="00000000">
                        <w:pPr>
                          <w:numPr>
                            <w:ilvl w:val="0"/>
                            <w:numId w:val="69"/>
                          </w:numPr>
                          <w:tabs>
                            <w:tab w:val="left" w:pos="2204"/>
                            <w:tab w:val="left" w:pos="2272"/>
                          </w:tabs>
                          <w:spacing w:before="35" w:line="216" w:lineRule="auto"/>
                          <w:ind w:right="628" w:hanging="92"/>
                          <w:rPr>
                            <w:sz w:val="18"/>
                          </w:rPr>
                        </w:pPr>
                        <w:r>
                          <w:rPr>
                            <w:w w:val="120"/>
                            <w:sz w:val="12"/>
                          </w:rPr>
                          <w:t>Probable and very probable – for situations encountered in practice and from the consultant's experience</w:t>
                        </w:r>
                      </w:p>
                      <w:p w14:paraId="70363C9F" w14:textId="77777777" w:rsidR="008715BE" w:rsidRDefault="00000000">
                        <w:pPr>
                          <w:numPr>
                            <w:ilvl w:val="0"/>
                            <w:numId w:val="69"/>
                          </w:numPr>
                          <w:tabs>
                            <w:tab w:val="left" w:pos="2204"/>
                            <w:tab w:val="left" w:pos="2272"/>
                          </w:tabs>
                          <w:spacing w:before="39" w:line="216" w:lineRule="auto"/>
                          <w:ind w:right="336" w:hanging="92"/>
                          <w:rPr>
                            <w:sz w:val="18"/>
                          </w:rPr>
                        </w:pPr>
                        <w:r>
                          <w:rPr>
                            <w:w w:val="120"/>
                            <w:sz w:val="12"/>
                          </w:rPr>
                          <w:t>Unlikely or unlikely – for effects that occur when certain polluting substances are emitted and penetrate the soil/subsoil, affecting its quality</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77024" behindDoc="1" locked="0" layoutInCell="1" allowOverlap="1" wp14:anchorId="0CE979C3" wp14:editId="73F0E8A8">
                <wp:simplePos x="0" y="0"/>
                <wp:positionH relativeFrom="page">
                  <wp:posOffset>774065</wp:posOffset>
                </wp:positionH>
                <wp:positionV relativeFrom="paragraph">
                  <wp:posOffset>5692456</wp:posOffset>
                </wp:positionV>
                <wp:extent cx="5904230" cy="126746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14" name="Graphic 31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315" name="Graphic 315"/>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316" name="Graphic 316"/>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317" name="Textbox 317"/>
                        <wps:cNvSpPr txBox="1"/>
                        <wps:spPr>
                          <a:xfrm>
                            <a:off x="0" y="0"/>
                            <a:ext cx="5904230" cy="1267460"/>
                          </a:xfrm>
                          <a:prstGeom prst="rect">
                            <a:avLst/>
                          </a:prstGeom>
                        </wps:spPr>
                        <wps:txbx>
                          <w:txbxContent>
                            <w:p w14:paraId="57D117F5" w14:textId="77777777" w:rsidR="008715BE" w:rsidRDefault="008715BE">
                              <w:pPr>
                                <w:rPr>
                                  <w:sz w:val="18"/>
                                </w:rPr>
                              </w:pPr>
                            </w:p>
                            <w:p w14:paraId="0B910852" w14:textId="77777777" w:rsidR="008715BE" w:rsidRDefault="008715BE">
                              <w:pPr>
                                <w:spacing w:before="31"/>
                                <w:rPr>
                                  <w:sz w:val="18"/>
                                </w:rPr>
                              </w:pPr>
                            </w:p>
                            <w:p w14:paraId="55F8DDFF"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47695FEB"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has disappeared, the affected component </w:t>
                              </w:r>
                              <w:r>
                                <w:rPr>
                                  <w:spacing w:val="-2"/>
                                  <w:w w:val="125"/>
                                  <w:sz w:val="12"/>
                                </w:rPr>
                                <w:t>can</w:t>
                              </w:r>
                            </w:p>
                            <w:p w14:paraId="3091A3DF"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wps:txbx>
                        <wps:bodyPr wrap="square" lIns="0" tIns="0" rIns="0" bIns="0" rtlCol="0"/>
                      </wps:wsp>
                    </wpg:wgp>
                  </a:graphicData>
                </a:graphic>
              </wp:anchor>
            </w:drawing>
          </mc:Choice>
          <mc:Fallback>
            <w:pict>
              <v:group w14:anchorId="0CE979C3" id="Group 313" o:spid="_x0000_s1164" style="position:absolute;margin-left:60.95pt;margin-top:448.2pt;width:464.9pt;height:99.8pt;z-index:-2515394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">
                <v:shape id="Graphic 314" o:spid="_x0000_s116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315" o:spid="_x0000_s1166"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316" o:spid="_x0000_s1167"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317" o:spid="_x0000_s116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57D117F5" w14:textId="77777777" w:rsidR="008715BE" w:rsidRDefault="008715BE">
                        <w:pPr>
                          <w:rPr>
                            <w:sz w:val="18"/>
                          </w:rPr>
                        </w:pPr>
                      </w:p>
                      <w:p w14:paraId="0B910852" w14:textId="77777777" w:rsidR="008715BE" w:rsidRDefault="008715BE">
                        <w:pPr>
                          <w:spacing w:before="31"/>
                          <w:rPr>
                            <w:sz w:val="18"/>
                          </w:rPr>
                        </w:pPr>
                      </w:p>
                      <w:p w14:paraId="55F8DDFF"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47695FEB"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has disappeared, the affected component </w:t>
                        </w:r>
                        <w:r>
                          <w:rPr>
                            <w:spacing w:val="-2"/>
                            <w:w w:val="125"/>
                            <w:sz w:val="12"/>
                          </w:rPr>
                          <w:t>can</w:t>
                        </w:r>
                      </w:p>
                      <w:p w14:paraId="3091A3DF"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v:textbox>
                </v:shape>
                <w10:wrap type="topAndBottom" anchorx="page"/>
              </v:group>
            </w:pict>
          </mc:Fallback>
        </mc:AlternateContent>
      </w:r>
    </w:p>
    <w:p w14:paraId="2E2D5858" w14:textId="77777777" w:rsidR="008715BE" w:rsidRPr="00EC75B7" w:rsidRDefault="008715BE">
      <w:pPr>
        <w:pStyle w:val="BodyText"/>
        <w:spacing w:before="4"/>
        <w:rPr>
          <w:rFonts w:ascii="Verdana" w:hAnsi="Verdana"/>
        </w:rPr>
      </w:pPr>
    </w:p>
    <w:p w14:paraId="09B0471E" w14:textId="77777777" w:rsidR="008715BE" w:rsidRPr="00EC75B7" w:rsidRDefault="008715BE">
      <w:pPr>
        <w:pStyle w:val="BodyText"/>
        <w:rPr>
          <w:rFonts w:ascii="Verdana" w:hAnsi="Verdana"/>
        </w:rPr>
        <w:sectPr w:rsidR="008715BE" w:rsidRPr="00EC75B7">
          <w:pgSz w:w="11910" w:h="16840"/>
          <w:pgMar w:top="1320" w:right="850" w:bottom="1020" w:left="1133" w:header="766" w:footer="824" w:gutter="0"/>
          <w:cols w:space="708"/>
        </w:sectPr>
      </w:pPr>
    </w:p>
    <w:p w14:paraId="4AA4F847"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Table 35 Assessment of the project's impact on the soil/subsoil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914"/>
        <w:gridCol w:w="2468"/>
        <w:gridCol w:w="2093"/>
        <w:gridCol w:w="924"/>
        <w:gridCol w:w="797"/>
        <w:gridCol w:w="567"/>
        <w:gridCol w:w="851"/>
        <w:gridCol w:w="1136"/>
        <w:gridCol w:w="850"/>
        <w:gridCol w:w="1136"/>
        <w:gridCol w:w="1134"/>
        <w:gridCol w:w="1419"/>
        <w:gridCol w:w="5103"/>
      </w:tblGrid>
      <w:tr w:rsidR="008715BE" w:rsidRPr="00EC75B7" w14:paraId="0AF5F653" w14:textId="77777777">
        <w:trPr>
          <w:trHeight w:val="1257"/>
        </w:trPr>
        <w:tc>
          <w:tcPr>
            <w:tcW w:w="725" w:type="dxa"/>
            <w:shd w:val="clear" w:color="auto" w:fill="00AFEF"/>
          </w:tcPr>
          <w:p w14:paraId="35D5A658" w14:textId="77777777" w:rsidR="008715BE" w:rsidRPr="00EC75B7" w:rsidRDefault="008715BE">
            <w:pPr>
              <w:pStyle w:val="TableParagraph"/>
              <w:rPr>
                <w:rFonts w:ascii="Verdana" w:hAnsi="Verdana"/>
                <w:b/>
                <w:sz w:val="18"/>
                <w:szCs w:val="18"/>
              </w:rPr>
            </w:pPr>
          </w:p>
          <w:p w14:paraId="605B3CAF" w14:textId="77777777" w:rsidR="008715BE" w:rsidRPr="00EC75B7" w:rsidRDefault="008715BE">
            <w:pPr>
              <w:pStyle w:val="TableParagraph"/>
              <w:spacing w:before="141"/>
              <w:rPr>
                <w:rFonts w:ascii="Verdana" w:hAnsi="Verdana"/>
                <w:b/>
                <w:sz w:val="18"/>
                <w:szCs w:val="18"/>
              </w:rPr>
            </w:pPr>
          </w:p>
          <w:p w14:paraId="2733E0B0"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4"/>
                <w:sz w:val="18"/>
                <w:szCs w:val="18"/>
              </w:rPr>
              <w:t>Stage</w:t>
            </w:r>
          </w:p>
        </w:tc>
        <w:tc>
          <w:tcPr>
            <w:tcW w:w="2914" w:type="dxa"/>
            <w:shd w:val="clear" w:color="auto" w:fill="00AFEF"/>
          </w:tcPr>
          <w:p w14:paraId="0C3F94FC" w14:textId="77777777" w:rsidR="008715BE" w:rsidRPr="00EC75B7" w:rsidRDefault="008715BE">
            <w:pPr>
              <w:pStyle w:val="TableParagraph"/>
              <w:rPr>
                <w:rFonts w:ascii="Verdana" w:hAnsi="Verdana"/>
                <w:b/>
                <w:sz w:val="18"/>
                <w:szCs w:val="18"/>
              </w:rPr>
            </w:pPr>
          </w:p>
          <w:p w14:paraId="7E43413D" w14:textId="77777777" w:rsidR="008715BE" w:rsidRPr="00EC75B7" w:rsidRDefault="008715BE">
            <w:pPr>
              <w:pStyle w:val="TableParagraph"/>
              <w:spacing w:before="141"/>
              <w:rPr>
                <w:rFonts w:ascii="Verdana" w:hAnsi="Verdana"/>
                <w:b/>
                <w:sz w:val="18"/>
                <w:szCs w:val="18"/>
              </w:rPr>
            </w:pPr>
          </w:p>
          <w:p w14:paraId="752ABC1D" w14:textId="77777777" w:rsidR="008715BE" w:rsidRPr="00EC75B7" w:rsidRDefault="00000000">
            <w:pPr>
              <w:pStyle w:val="TableParagraph"/>
              <w:ind w:left="462"/>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468" w:type="dxa"/>
            <w:shd w:val="clear" w:color="auto" w:fill="00AFEF"/>
          </w:tcPr>
          <w:p w14:paraId="037FA797" w14:textId="77777777" w:rsidR="008715BE" w:rsidRPr="00EC75B7" w:rsidRDefault="008715BE">
            <w:pPr>
              <w:pStyle w:val="TableParagraph"/>
              <w:rPr>
                <w:rFonts w:ascii="Verdana" w:hAnsi="Verdana"/>
                <w:b/>
                <w:sz w:val="18"/>
                <w:szCs w:val="18"/>
              </w:rPr>
            </w:pPr>
          </w:p>
          <w:p w14:paraId="534CF37E" w14:textId="77777777" w:rsidR="008715BE" w:rsidRPr="00EC75B7" w:rsidRDefault="008715BE">
            <w:pPr>
              <w:pStyle w:val="TableParagraph"/>
              <w:spacing w:before="141"/>
              <w:rPr>
                <w:rFonts w:ascii="Verdana" w:hAnsi="Verdana"/>
                <w:b/>
                <w:sz w:val="18"/>
                <w:szCs w:val="18"/>
              </w:rPr>
            </w:pPr>
          </w:p>
          <w:p w14:paraId="4A2605FC" w14:textId="77777777" w:rsidR="008715BE" w:rsidRPr="00EC75B7" w:rsidRDefault="00000000">
            <w:pPr>
              <w:pStyle w:val="TableParagraph"/>
              <w:ind w:left="4"/>
              <w:jc w:val="center"/>
              <w:rPr>
                <w:rFonts w:ascii="Verdana" w:hAnsi="Verdana"/>
                <w:b/>
                <w:sz w:val="18"/>
                <w:szCs w:val="18"/>
              </w:rPr>
            </w:pPr>
            <w:r w:rsidRPr="00EC75B7">
              <w:rPr>
                <w:rFonts w:ascii="Verdana" w:hAnsi="Verdana"/>
                <w:b/>
                <w:color w:val="FFFFFF"/>
                <w:spacing w:val="-2"/>
                <w:sz w:val="18"/>
                <w:szCs w:val="18"/>
              </w:rPr>
              <w:t>Effects</w:t>
            </w:r>
          </w:p>
        </w:tc>
        <w:tc>
          <w:tcPr>
            <w:tcW w:w="2093" w:type="dxa"/>
            <w:shd w:val="clear" w:color="auto" w:fill="00AFEF"/>
          </w:tcPr>
          <w:p w14:paraId="2FC06CE3" w14:textId="77777777" w:rsidR="008715BE" w:rsidRPr="00EC75B7" w:rsidRDefault="008715BE">
            <w:pPr>
              <w:pStyle w:val="TableParagraph"/>
              <w:rPr>
                <w:rFonts w:ascii="Verdana" w:hAnsi="Verdana"/>
                <w:b/>
                <w:sz w:val="18"/>
                <w:szCs w:val="18"/>
              </w:rPr>
            </w:pPr>
          </w:p>
          <w:p w14:paraId="041E203A" w14:textId="77777777" w:rsidR="008715BE" w:rsidRPr="00EC75B7" w:rsidRDefault="008715BE">
            <w:pPr>
              <w:pStyle w:val="TableParagraph"/>
              <w:spacing w:before="141"/>
              <w:rPr>
                <w:rFonts w:ascii="Verdana" w:hAnsi="Verdana"/>
                <w:b/>
                <w:sz w:val="18"/>
                <w:szCs w:val="18"/>
              </w:rPr>
            </w:pPr>
          </w:p>
          <w:p w14:paraId="12C709CB" w14:textId="77777777" w:rsidR="008715BE" w:rsidRPr="00EC75B7" w:rsidRDefault="00000000">
            <w:pPr>
              <w:pStyle w:val="TableParagraph"/>
              <w:ind w:left="4"/>
              <w:jc w:val="center"/>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78CF777A" w14:textId="77777777" w:rsidR="008715BE" w:rsidRPr="00EC75B7" w:rsidRDefault="00000000">
            <w:pPr>
              <w:pStyle w:val="TableParagraph"/>
              <w:spacing w:before="115" w:line="244" w:lineRule="auto"/>
              <w:ind w:left="121" w:right="28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797" w:type="dxa"/>
            <w:shd w:val="clear" w:color="auto" w:fill="00AFEF"/>
            <w:textDirection w:val="btLr"/>
          </w:tcPr>
          <w:p w14:paraId="4A276F24" w14:textId="77777777" w:rsidR="008715BE" w:rsidRPr="00EC75B7" w:rsidRDefault="00000000">
            <w:pPr>
              <w:pStyle w:val="TableParagraph"/>
              <w:spacing w:before="118" w:line="244" w:lineRule="auto"/>
              <w:ind w:left="121" w:right="181"/>
              <w:rPr>
                <w:rFonts w:ascii="Verdana" w:hAnsi="Verdana"/>
                <w:b/>
                <w:sz w:val="18"/>
                <w:szCs w:val="18"/>
              </w:rPr>
            </w:pPr>
            <w:r w:rsidRPr="00EC75B7">
              <w:rPr>
                <w:rFonts w:ascii="Verdana" w:hAnsi="Verdana"/>
                <w:b/>
                <w:color w:val="FFFFFF"/>
                <w:spacing w:val="-2"/>
                <w:sz w:val="18"/>
                <w:szCs w:val="18"/>
              </w:rPr>
              <w:t>Nature of impact</w:t>
            </w:r>
          </w:p>
        </w:tc>
        <w:tc>
          <w:tcPr>
            <w:tcW w:w="567" w:type="dxa"/>
            <w:shd w:val="clear" w:color="auto" w:fill="00AFEF"/>
            <w:textDirection w:val="btLr"/>
          </w:tcPr>
          <w:p w14:paraId="65DFA09A" w14:textId="77777777" w:rsidR="008715BE" w:rsidRPr="00EC75B7" w:rsidRDefault="00000000">
            <w:pPr>
              <w:pStyle w:val="TableParagraph"/>
              <w:spacing w:before="115"/>
              <w:ind w:left="121"/>
              <w:rPr>
                <w:rFonts w:ascii="Verdana" w:hAnsi="Verdana"/>
                <w:b/>
                <w:sz w:val="18"/>
                <w:szCs w:val="18"/>
              </w:rPr>
            </w:pPr>
            <w:r w:rsidRPr="00EC75B7">
              <w:rPr>
                <w:rFonts w:ascii="Verdana" w:hAnsi="Verdana"/>
                <w:b/>
                <w:color w:val="FFFFFF"/>
                <w:spacing w:val="-2"/>
                <w:sz w:val="18"/>
                <w:szCs w:val="18"/>
              </w:rPr>
              <w:t>Potential</w:t>
            </w:r>
          </w:p>
          <w:p w14:paraId="4F211CB2" w14:textId="77777777" w:rsidR="008715BE" w:rsidRPr="00EC75B7" w:rsidRDefault="00000000">
            <w:pPr>
              <w:pStyle w:val="TableParagraph"/>
              <w:spacing w:before="4"/>
              <w:ind w:left="121"/>
              <w:rPr>
                <w:rFonts w:ascii="Verdana" w:hAnsi="Verdana"/>
                <w:b/>
                <w:sz w:val="18"/>
                <w:szCs w:val="18"/>
              </w:rPr>
            </w:pPr>
            <w:r w:rsidRPr="00EC75B7">
              <w:rPr>
                <w:rFonts w:ascii="Verdana" w:hAnsi="Verdana"/>
                <w:b/>
                <w:color w:val="FFFFFF"/>
                <w:spacing w:val="-2"/>
                <w:sz w:val="18"/>
                <w:szCs w:val="18"/>
              </w:rPr>
              <w:t>Cumulative</w:t>
            </w:r>
          </w:p>
        </w:tc>
        <w:tc>
          <w:tcPr>
            <w:tcW w:w="851" w:type="dxa"/>
            <w:shd w:val="clear" w:color="auto" w:fill="00AFEF"/>
            <w:textDirection w:val="btLr"/>
          </w:tcPr>
          <w:p w14:paraId="4456AFF5" w14:textId="77777777" w:rsidR="008715BE" w:rsidRPr="00EC75B7" w:rsidRDefault="00000000">
            <w:pPr>
              <w:pStyle w:val="TableParagraph"/>
              <w:spacing w:before="115"/>
              <w:ind w:left="121"/>
              <w:rPr>
                <w:rFonts w:ascii="Verdana" w:hAnsi="Verdana"/>
                <w:b/>
                <w:sz w:val="18"/>
                <w:szCs w:val="18"/>
              </w:rPr>
            </w:pPr>
            <w:r w:rsidRPr="00EC75B7">
              <w:rPr>
                <w:rFonts w:ascii="Verdana" w:hAnsi="Verdana"/>
                <w:b/>
                <w:color w:val="FFFFFF"/>
                <w:spacing w:val="-2"/>
                <w:sz w:val="18"/>
                <w:szCs w:val="18"/>
              </w:rPr>
              <w:t>Duration</w:t>
            </w:r>
          </w:p>
        </w:tc>
        <w:tc>
          <w:tcPr>
            <w:tcW w:w="1136" w:type="dxa"/>
            <w:shd w:val="clear" w:color="auto" w:fill="00AFEF"/>
            <w:textDirection w:val="btLr"/>
          </w:tcPr>
          <w:p w14:paraId="4CA914EF" w14:textId="77777777" w:rsidR="008715BE" w:rsidRPr="00EC75B7" w:rsidRDefault="00000000">
            <w:pPr>
              <w:pStyle w:val="TableParagraph"/>
              <w:spacing w:before="116" w:line="244" w:lineRule="auto"/>
              <w:ind w:left="121" w:right="108"/>
              <w:rPr>
                <w:rFonts w:ascii="Verdana" w:hAnsi="Verdana"/>
                <w:b/>
                <w:sz w:val="18"/>
                <w:szCs w:val="18"/>
              </w:rPr>
            </w:pPr>
            <w:r w:rsidRPr="00EC75B7">
              <w:rPr>
                <w:rFonts w:ascii="Verdana" w:hAnsi="Verdana"/>
                <w:b/>
                <w:color w:val="FFFFFF"/>
                <w:spacing w:val="-2"/>
                <w:sz w:val="18"/>
                <w:szCs w:val="18"/>
              </w:rPr>
              <w:t xml:space="preserve">Frequency </w:t>
            </w:r>
            <w:r w:rsidRPr="00EC75B7">
              <w:rPr>
                <w:rFonts w:ascii="Verdana" w:hAnsi="Verdana"/>
                <w:b/>
                <w:color w:val="FFFFFF"/>
                <w:sz w:val="18"/>
                <w:szCs w:val="18"/>
              </w:rPr>
              <w:t xml:space="preserve">of </w:t>
            </w:r>
            <w:r w:rsidRPr="00EC75B7">
              <w:rPr>
                <w:rFonts w:ascii="Verdana" w:hAnsi="Verdana"/>
                <w:b/>
                <w:color w:val="FFFFFF"/>
                <w:spacing w:val="-2"/>
                <w:sz w:val="18"/>
                <w:szCs w:val="18"/>
              </w:rPr>
              <w:t>occurrence</w:t>
            </w:r>
          </w:p>
        </w:tc>
        <w:tc>
          <w:tcPr>
            <w:tcW w:w="850" w:type="dxa"/>
            <w:shd w:val="clear" w:color="auto" w:fill="00AFEF"/>
            <w:textDirection w:val="btLr"/>
          </w:tcPr>
          <w:p w14:paraId="0D94E0E1" w14:textId="77777777" w:rsidR="008715BE" w:rsidRPr="00EC75B7" w:rsidRDefault="00000000">
            <w:pPr>
              <w:pStyle w:val="TableParagraph"/>
              <w:spacing w:before="113"/>
              <w:ind w:left="121"/>
              <w:rPr>
                <w:rFonts w:ascii="Verdana" w:hAnsi="Verdana"/>
                <w:b/>
                <w:sz w:val="18"/>
                <w:szCs w:val="18"/>
              </w:rPr>
            </w:pPr>
            <w:r w:rsidRPr="00EC75B7">
              <w:rPr>
                <w:rFonts w:ascii="Verdana" w:hAnsi="Verdana"/>
                <w:b/>
                <w:color w:val="FFFFFF"/>
                <w:spacing w:val="-2"/>
                <w:sz w:val="18"/>
                <w:szCs w:val="18"/>
              </w:rPr>
              <w:t>Extent</w:t>
            </w:r>
          </w:p>
        </w:tc>
        <w:tc>
          <w:tcPr>
            <w:tcW w:w="1136" w:type="dxa"/>
            <w:shd w:val="clear" w:color="auto" w:fill="00AFEF"/>
            <w:textDirection w:val="btLr"/>
          </w:tcPr>
          <w:p w14:paraId="2383D93A" w14:textId="77777777" w:rsidR="008715BE" w:rsidRPr="00EC75B7" w:rsidRDefault="00000000">
            <w:pPr>
              <w:pStyle w:val="TableParagraph"/>
              <w:spacing w:before="115" w:line="244" w:lineRule="auto"/>
              <w:ind w:left="121"/>
              <w:rPr>
                <w:rFonts w:ascii="Verdana" w:hAnsi="Verdana"/>
                <w:b/>
                <w:sz w:val="18"/>
                <w:szCs w:val="18"/>
              </w:rPr>
            </w:pPr>
            <w:r w:rsidRPr="00EC75B7">
              <w:rPr>
                <w:rFonts w:ascii="Verdana" w:hAnsi="Verdana"/>
                <w:b/>
                <w:color w:val="FFFFFF"/>
                <w:spacing w:val="-4"/>
                <w:sz w:val="18"/>
                <w:szCs w:val="18"/>
              </w:rPr>
              <w:t>Prob</w:t>
            </w:r>
            <w:r w:rsidRPr="00EC75B7">
              <w:rPr>
                <w:rFonts w:ascii="Verdana" w:hAnsi="Verdana"/>
                <w:b/>
                <w:color w:val="FFFFFF"/>
                <w:spacing w:val="-2"/>
                <w:sz w:val="18"/>
                <w:szCs w:val="18"/>
              </w:rPr>
              <w:t>ability</w:t>
            </w:r>
          </w:p>
        </w:tc>
        <w:tc>
          <w:tcPr>
            <w:tcW w:w="1134" w:type="dxa"/>
            <w:shd w:val="clear" w:color="auto" w:fill="00AFEF"/>
            <w:textDirection w:val="btLr"/>
          </w:tcPr>
          <w:p w14:paraId="14315679" w14:textId="77777777" w:rsidR="008715BE" w:rsidRPr="00EC75B7" w:rsidRDefault="00000000">
            <w:pPr>
              <w:pStyle w:val="TableParagraph"/>
              <w:spacing w:before="112" w:line="244" w:lineRule="auto"/>
              <w:ind w:left="121" w:right="108"/>
              <w:rPr>
                <w:rFonts w:ascii="Verdana" w:hAnsi="Verdana"/>
                <w:b/>
                <w:sz w:val="18"/>
                <w:szCs w:val="18"/>
              </w:rPr>
            </w:pPr>
            <w:r w:rsidRPr="00EC75B7">
              <w:rPr>
                <w:rFonts w:ascii="Verdana" w:hAnsi="Verdana"/>
                <w:b/>
                <w:color w:val="FFFFFF"/>
                <w:spacing w:val="-2"/>
                <w:sz w:val="18"/>
                <w:szCs w:val="18"/>
              </w:rPr>
              <w:t>Reversibility</w:t>
            </w:r>
          </w:p>
        </w:tc>
        <w:tc>
          <w:tcPr>
            <w:tcW w:w="1419" w:type="dxa"/>
            <w:shd w:val="clear" w:color="auto" w:fill="00AFEF"/>
          </w:tcPr>
          <w:p w14:paraId="43CF0F9D" w14:textId="77777777" w:rsidR="008715BE" w:rsidRPr="00EC75B7" w:rsidRDefault="008715BE">
            <w:pPr>
              <w:pStyle w:val="TableParagraph"/>
              <w:spacing w:before="142"/>
              <w:rPr>
                <w:rFonts w:ascii="Verdana" w:hAnsi="Verdana"/>
                <w:b/>
                <w:sz w:val="18"/>
                <w:szCs w:val="18"/>
              </w:rPr>
            </w:pPr>
          </w:p>
          <w:p w14:paraId="7996C197" w14:textId="77777777" w:rsidR="008715BE" w:rsidRPr="00EC75B7" w:rsidRDefault="00000000">
            <w:pPr>
              <w:pStyle w:val="TableParagraph"/>
              <w:ind w:left="126" w:right="126" w:hanging="5"/>
              <w:jc w:val="center"/>
              <w:rPr>
                <w:rFonts w:ascii="Verdana" w:hAnsi="Verdana"/>
                <w:b/>
                <w:sz w:val="18"/>
                <w:szCs w:val="18"/>
              </w:rPr>
            </w:pPr>
            <w:r w:rsidRPr="00EC75B7">
              <w:rPr>
                <w:rFonts w:ascii="Verdana" w:hAnsi="Verdana"/>
                <w:b/>
                <w:color w:val="FFFFFF"/>
                <w:spacing w:val="-2"/>
                <w:sz w:val="18"/>
                <w:szCs w:val="18"/>
              </w:rPr>
              <w:t>Assessment of impact significance</w:t>
            </w:r>
          </w:p>
        </w:tc>
        <w:tc>
          <w:tcPr>
            <w:tcW w:w="5103" w:type="dxa"/>
            <w:shd w:val="clear" w:color="auto" w:fill="00AFEF"/>
          </w:tcPr>
          <w:p w14:paraId="278DA99B" w14:textId="77777777" w:rsidR="008715BE" w:rsidRPr="00EC75B7" w:rsidRDefault="008715BE">
            <w:pPr>
              <w:pStyle w:val="TableParagraph"/>
              <w:rPr>
                <w:rFonts w:ascii="Verdana" w:hAnsi="Verdana"/>
                <w:b/>
                <w:sz w:val="18"/>
                <w:szCs w:val="18"/>
              </w:rPr>
            </w:pPr>
          </w:p>
          <w:p w14:paraId="00B05A95" w14:textId="77777777" w:rsidR="008715BE" w:rsidRPr="00EC75B7" w:rsidRDefault="008715BE">
            <w:pPr>
              <w:pStyle w:val="TableParagraph"/>
              <w:spacing w:before="141"/>
              <w:rPr>
                <w:rFonts w:ascii="Verdana" w:hAnsi="Verdana"/>
                <w:b/>
                <w:sz w:val="18"/>
                <w:szCs w:val="18"/>
              </w:rPr>
            </w:pPr>
          </w:p>
          <w:p w14:paraId="088FAD3F" w14:textId="77777777" w:rsidR="008715BE" w:rsidRPr="00EC75B7" w:rsidRDefault="00000000">
            <w:pPr>
              <w:pStyle w:val="TableParagraph"/>
              <w:ind w:right="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1CF89A45" w14:textId="77777777">
        <w:trPr>
          <w:trHeight w:val="2527"/>
        </w:trPr>
        <w:tc>
          <w:tcPr>
            <w:tcW w:w="725" w:type="dxa"/>
            <w:vMerge w:val="restart"/>
            <w:textDirection w:val="btLr"/>
          </w:tcPr>
          <w:p w14:paraId="18F7821E" w14:textId="77777777" w:rsidR="008715BE" w:rsidRPr="00EC75B7" w:rsidRDefault="00000000">
            <w:pPr>
              <w:pStyle w:val="TableParagraph"/>
              <w:spacing w:before="118"/>
              <w:ind w:left="18"/>
              <w:jc w:val="center"/>
              <w:rPr>
                <w:rFonts w:ascii="Verdana" w:hAnsi="Verdana"/>
                <w:b/>
                <w:sz w:val="18"/>
                <w:szCs w:val="18"/>
              </w:rPr>
            </w:pPr>
            <w:r w:rsidRPr="00EC75B7">
              <w:rPr>
                <w:rFonts w:ascii="Verdana" w:hAnsi="Verdana"/>
                <w:b/>
                <w:spacing w:val="-2"/>
                <w:sz w:val="18"/>
                <w:szCs w:val="18"/>
              </w:rPr>
              <w:t>Execution</w:t>
            </w:r>
          </w:p>
        </w:tc>
        <w:tc>
          <w:tcPr>
            <w:tcW w:w="2914" w:type="dxa"/>
            <w:vMerge w:val="restart"/>
          </w:tcPr>
          <w:p w14:paraId="6A477E51" w14:textId="77777777" w:rsidR="008715BE" w:rsidRPr="00EC75B7" w:rsidRDefault="00000000">
            <w:pPr>
              <w:pStyle w:val="TableParagraph"/>
              <w:ind w:left="105" w:right="178"/>
              <w:rPr>
                <w:rFonts w:ascii="Verdana" w:hAnsi="Verdana"/>
                <w:sz w:val="18"/>
                <w:szCs w:val="18"/>
              </w:rPr>
            </w:pPr>
            <w:r w:rsidRPr="00EC75B7">
              <w:rPr>
                <w:rFonts w:ascii="Verdana" w:hAnsi="Verdana"/>
                <w:sz w:val="18"/>
                <w:szCs w:val="18"/>
              </w:rPr>
              <w:t xml:space="preserve">Site organization and operation (land preparation, topsoil removal, </w:t>
            </w:r>
            <w:r w:rsidRPr="00EC75B7">
              <w:rPr>
                <w:rFonts w:ascii="Verdana" w:hAnsi="Verdana"/>
                <w:spacing w:val="-2"/>
                <w:sz w:val="18"/>
                <w:szCs w:val="18"/>
              </w:rPr>
              <w:t xml:space="preserve">ballasting, compaction/leveling, </w:t>
            </w:r>
            <w:r w:rsidRPr="00EC75B7">
              <w:rPr>
                <w:rFonts w:ascii="Verdana" w:hAnsi="Verdana"/>
                <w:sz w:val="18"/>
                <w:szCs w:val="18"/>
              </w:rPr>
              <w:t>temporary platforms)</w:t>
            </w:r>
          </w:p>
        </w:tc>
        <w:tc>
          <w:tcPr>
            <w:tcW w:w="2468" w:type="dxa"/>
          </w:tcPr>
          <w:p w14:paraId="53C5E193" w14:textId="77777777" w:rsidR="008715BE" w:rsidRPr="00EC75B7" w:rsidRDefault="00000000">
            <w:pPr>
              <w:pStyle w:val="TableParagraph"/>
              <w:ind w:left="105" w:right="97"/>
              <w:jc w:val="both"/>
              <w:rPr>
                <w:rFonts w:ascii="Verdana" w:hAnsi="Verdana"/>
                <w:sz w:val="18"/>
                <w:szCs w:val="18"/>
              </w:rPr>
            </w:pPr>
            <w:r w:rsidRPr="00EC75B7">
              <w:rPr>
                <w:rFonts w:ascii="Verdana" w:hAnsi="Verdana"/>
                <w:sz w:val="18"/>
                <w:szCs w:val="18"/>
              </w:rPr>
              <w:t xml:space="preserve">Temporary occupation of soil/land, presence </w:t>
            </w:r>
            <w:r w:rsidRPr="00EC75B7">
              <w:rPr>
                <w:rFonts w:ascii="Verdana" w:hAnsi="Verdana"/>
                <w:spacing w:val="-2"/>
                <w:sz w:val="18"/>
                <w:szCs w:val="18"/>
              </w:rPr>
              <w:t>of machinery</w:t>
            </w:r>
          </w:p>
        </w:tc>
        <w:tc>
          <w:tcPr>
            <w:tcW w:w="2093" w:type="dxa"/>
          </w:tcPr>
          <w:p w14:paraId="696B9506" w14:textId="77777777" w:rsidR="008715BE" w:rsidRPr="00EC75B7" w:rsidRDefault="00000000">
            <w:pPr>
              <w:pStyle w:val="TableParagraph"/>
              <w:tabs>
                <w:tab w:val="left" w:pos="983"/>
                <w:tab w:val="left" w:pos="1292"/>
                <w:tab w:val="left" w:pos="1407"/>
                <w:tab w:val="left" w:pos="1789"/>
              </w:tabs>
              <w:ind w:left="107" w:right="96"/>
              <w:rPr>
                <w:rFonts w:ascii="Verdana" w:hAnsi="Verdana"/>
                <w:sz w:val="18"/>
                <w:szCs w:val="18"/>
              </w:rPr>
            </w:pPr>
            <w:r w:rsidRPr="00EC75B7">
              <w:rPr>
                <w:rFonts w:ascii="Verdana" w:hAnsi="Verdana"/>
                <w:spacing w:val="-2"/>
                <w:sz w:val="18"/>
                <w:szCs w:val="18"/>
              </w:rPr>
              <w:t>Degradation</w:t>
            </w:r>
            <w:r w:rsidRPr="00EC75B7">
              <w:rPr>
                <w:rFonts w:ascii="Verdana" w:hAnsi="Verdana"/>
                <w:sz w:val="18"/>
                <w:szCs w:val="18"/>
              </w:rPr>
              <w:tab/>
            </w:r>
            <w:r w:rsidRPr="00EC75B7">
              <w:rPr>
                <w:rFonts w:ascii="Verdana" w:hAnsi="Verdana"/>
                <w:sz w:val="18"/>
                <w:szCs w:val="18"/>
              </w:rPr>
              <w:tab/>
            </w:r>
            <w:r w:rsidRPr="00EC75B7">
              <w:rPr>
                <w:rFonts w:ascii="Verdana" w:hAnsi="Verdana"/>
                <w:spacing w:val="-4"/>
                <w:sz w:val="18"/>
                <w:szCs w:val="18"/>
              </w:rPr>
              <w:t xml:space="preserve">of </w:t>
            </w:r>
            <w:r w:rsidRPr="00EC75B7">
              <w:rPr>
                <w:rFonts w:ascii="Verdana" w:hAnsi="Verdana"/>
                <w:sz w:val="18"/>
                <w:szCs w:val="18"/>
              </w:rPr>
              <w:t>soil</w:t>
            </w:r>
            <w:r w:rsidRPr="00EC75B7">
              <w:rPr>
                <w:rFonts w:ascii="Verdana" w:hAnsi="Verdana"/>
                <w:spacing w:val="-4"/>
                <w:sz w:val="18"/>
                <w:szCs w:val="18"/>
              </w:rPr>
              <w:t xml:space="preserve"> quality </w:t>
            </w:r>
            <w:r w:rsidRPr="00EC75B7">
              <w:rPr>
                <w:rFonts w:ascii="Verdana" w:hAnsi="Verdana"/>
                <w:sz w:val="18"/>
                <w:szCs w:val="18"/>
              </w:rPr>
              <w:t xml:space="preserve">through topsoil removal, </w:t>
            </w:r>
            <w:r w:rsidRPr="00EC75B7">
              <w:rPr>
                <w:rFonts w:ascii="Verdana" w:hAnsi="Verdana"/>
                <w:spacing w:val="-2"/>
                <w:sz w:val="18"/>
                <w:szCs w:val="18"/>
              </w:rPr>
              <w:t>site</w:t>
            </w:r>
            <w:r w:rsidRPr="00EC75B7">
              <w:rPr>
                <w:rFonts w:ascii="Verdana" w:hAnsi="Verdana"/>
                <w:sz w:val="18"/>
                <w:szCs w:val="18"/>
              </w:rPr>
              <w:t xml:space="preserve"> preparation</w:t>
            </w:r>
            <w:r w:rsidRPr="00EC75B7">
              <w:rPr>
                <w:rFonts w:ascii="Verdana" w:hAnsi="Verdana"/>
                <w:spacing w:val="-2"/>
                <w:sz w:val="18"/>
                <w:szCs w:val="18"/>
              </w:rPr>
              <w:t>,</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equipment</w:t>
            </w:r>
            <w:r w:rsidRPr="00EC75B7">
              <w:rPr>
                <w:rFonts w:ascii="Verdana" w:hAnsi="Verdana"/>
                <w:spacing w:val="-4"/>
                <w:sz w:val="18"/>
                <w:szCs w:val="18"/>
              </w:rPr>
              <w:t xml:space="preserve"> activities</w:t>
            </w:r>
            <w:r w:rsidRPr="00EC75B7">
              <w:rPr>
                <w:rFonts w:ascii="Verdana" w:hAnsi="Verdana"/>
                <w:spacing w:val="-2"/>
                <w:sz w:val="18"/>
                <w:szCs w:val="18"/>
              </w:rPr>
              <w:t>,</w:t>
            </w:r>
            <w:r w:rsidRPr="00EC75B7">
              <w:rPr>
                <w:rFonts w:ascii="Verdana" w:hAnsi="Verdana"/>
                <w:sz w:val="18"/>
                <w:szCs w:val="18"/>
              </w:rPr>
              <w:tab/>
            </w:r>
            <w:r w:rsidRPr="00EC75B7">
              <w:rPr>
                <w:rFonts w:ascii="Verdana" w:hAnsi="Verdana"/>
                <w:spacing w:val="-4"/>
                <w:sz w:val="18"/>
                <w:szCs w:val="18"/>
              </w:rPr>
              <w:t xml:space="preserve">handling </w:t>
            </w:r>
            <w:r w:rsidRPr="00EC75B7">
              <w:rPr>
                <w:rFonts w:ascii="Verdana" w:hAnsi="Verdana"/>
                <w:spacing w:val="-2"/>
                <w:sz w:val="18"/>
                <w:szCs w:val="18"/>
              </w:rPr>
              <w:t>of excavated material</w:t>
            </w:r>
            <w:r w:rsidRPr="00EC75B7">
              <w:rPr>
                <w:rFonts w:ascii="Verdana" w:hAnsi="Verdana"/>
                <w:sz w:val="18"/>
                <w:szCs w:val="18"/>
              </w:rPr>
              <w:tab/>
            </w:r>
            <w:r w:rsidRPr="00EC75B7">
              <w:rPr>
                <w:rFonts w:ascii="Verdana" w:hAnsi="Verdana"/>
                <w:spacing w:val="-30"/>
                <w:sz w:val="18"/>
                <w:szCs w:val="18"/>
              </w:rPr>
              <w:t xml:space="preserve"> </w:t>
            </w:r>
            <w:r w:rsidRPr="00EC75B7">
              <w:rPr>
                <w:rFonts w:ascii="Verdana" w:hAnsi="Verdana"/>
                <w:spacing w:val="-2"/>
                <w:sz w:val="18"/>
                <w:szCs w:val="18"/>
              </w:rPr>
              <w:t>excavated material, occurrence/spread of</w:t>
            </w:r>
            <w:r w:rsidRPr="00EC75B7">
              <w:rPr>
                <w:rFonts w:ascii="Verdana" w:hAnsi="Verdana"/>
                <w:sz w:val="18"/>
                <w:szCs w:val="18"/>
              </w:rPr>
              <w:tab/>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eros</w:t>
            </w:r>
            <w:r w:rsidRPr="00EC75B7">
              <w:rPr>
                <w:rFonts w:ascii="Verdana" w:hAnsi="Verdana"/>
                <w:spacing w:val="-10"/>
                <w:sz w:val="18"/>
                <w:szCs w:val="18"/>
              </w:rPr>
              <w:t>ion</w:t>
            </w:r>
          </w:p>
        </w:tc>
        <w:tc>
          <w:tcPr>
            <w:tcW w:w="924" w:type="dxa"/>
          </w:tcPr>
          <w:p w14:paraId="5F40F21A"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5994B10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385739DF"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0553F6EF" w14:textId="77777777" w:rsidR="008715BE" w:rsidRPr="00EC75B7" w:rsidRDefault="00000000">
            <w:pPr>
              <w:pStyle w:val="TableParagraph"/>
              <w:spacing w:line="195" w:lineRule="exact"/>
              <w:ind w:right="98"/>
              <w:jc w:val="right"/>
              <w:rPr>
                <w:rFonts w:ascii="Verdana" w:hAnsi="Verdana"/>
                <w:sz w:val="18"/>
                <w:szCs w:val="18"/>
              </w:rPr>
            </w:pPr>
            <w:r w:rsidRPr="00EC75B7">
              <w:rPr>
                <w:rFonts w:ascii="Verdana" w:hAnsi="Verdana"/>
                <w:spacing w:val="-2"/>
                <w:sz w:val="18"/>
                <w:szCs w:val="18"/>
              </w:rPr>
              <w:t>Short</w:t>
            </w:r>
          </w:p>
        </w:tc>
        <w:tc>
          <w:tcPr>
            <w:tcW w:w="1136" w:type="dxa"/>
          </w:tcPr>
          <w:p w14:paraId="0134D6EA"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6325894D"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321134F4"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59293BBF"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1DE5F6B0"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1A3591C9" w14:textId="77777777" w:rsidR="008715BE" w:rsidRPr="00EC75B7" w:rsidRDefault="00000000">
            <w:pPr>
              <w:pStyle w:val="TableParagraph"/>
              <w:ind w:left="99" w:right="103"/>
              <w:jc w:val="both"/>
              <w:rPr>
                <w:rFonts w:ascii="Verdana" w:hAnsi="Verdana"/>
                <w:sz w:val="18"/>
                <w:szCs w:val="18"/>
              </w:rPr>
            </w:pPr>
            <w:r w:rsidRPr="00EC75B7">
              <w:rPr>
                <w:rFonts w:ascii="Verdana" w:hAnsi="Verdana"/>
                <w:sz w:val="18"/>
                <w:szCs w:val="18"/>
              </w:rPr>
              <w:t xml:space="preserve">When the soil is stripped and stored, a quantity of nutrients is removed from the natural cycle, which will be reintegrated into the cycle as the stored topsoil is used to ecologically restore the areas affected by the works. These soil changes are reversible in the case of temporarily occupied areas, as the soil can be restored to its original state after the completion of </w:t>
            </w:r>
            <w:r w:rsidRPr="00EC75B7">
              <w:rPr>
                <w:rFonts w:ascii="Verdana" w:hAnsi="Verdana"/>
                <w:spacing w:val="-2"/>
                <w:sz w:val="18"/>
                <w:szCs w:val="18"/>
              </w:rPr>
              <w:t>the works.</w:t>
            </w:r>
          </w:p>
          <w:p w14:paraId="14268950" w14:textId="77777777" w:rsidR="008715BE" w:rsidRPr="00EC75B7" w:rsidRDefault="00000000">
            <w:pPr>
              <w:pStyle w:val="TableParagraph"/>
              <w:ind w:left="99" w:right="104"/>
              <w:jc w:val="both"/>
              <w:rPr>
                <w:rFonts w:ascii="Verdana" w:hAnsi="Verdana"/>
                <w:sz w:val="18"/>
                <w:szCs w:val="18"/>
              </w:rPr>
            </w:pPr>
            <w:r w:rsidRPr="00EC75B7">
              <w:rPr>
                <w:rFonts w:ascii="Verdana" w:hAnsi="Verdana"/>
                <w:sz w:val="18"/>
                <w:szCs w:val="18"/>
              </w:rPr>
              <w:t xml:space="preserve">A potential source of soil and subsoil pollution is the activity of vehicles and machinery at the work sites. Upon completion of the works, these vehicles and machinery will be removed from the site, and the impact </w:t>
            </w:r>
            <w:r w:rsidRPr="00EC75B7">
              <w:rPr>
                <w:rFonts w:ascii="Verdana" w:hAnsi="Verdana"/>
                <w:spacing w:val="-5"/>
                <w:sz w:val="18"/>
                <w:szCs w:val="18"/>
              </w:rPr>
              <w:t>will</w:t>
            </w:r>
          </w:p>
          <w:p w14:paraId="256E8BDE" w14:textId="77777777" w:rsidR="008715BE" w:rsidRPr="00EC75B7" w:rsidRDefault="00000000">
            <w:pPr>
              <w:pStyle w:val="TableParagraph"/>
              <w:spacing w:line="172" w:lineRule="exact"/>
              <w:ind w:left="99"/>
              <w:jc w:val="both"/>
              <w:rPr>
                <w:rFonts w:ascii="Verdana" w:hAnsi="Verdana"/>
                <w:sz w:val="18"/>
                <w:szCs w:val="18"/>
              </w:rPr>
            </w:pPr>
            <w:r w:rsidRPr="00EC75B7">
              <w:rPr>
                <w:rFonts w:ascii="Verdana" w:hAnsi="Verdana"/>
                <w:sz w:val="18"/>
                <w:szCs w:val="18"/>
              </w:rPr>
              <w:t xml:space="preserve">cease once they are removed from </w:t>
            </w:r>
            <w:r w:rsidRPr="00EC75B7">
              <w:rPr>
                <w:rFonts w:ascii="Verdana" w:hAnsi="Verdana"/>
                <w:spacing w:val="-2"/>
                <w:sz w:val="18"/>
                <w:szCs w:val="18"/>
              </w:rPr>
              <w:t>the site</w:t>
            </w:r>
            <w:r w:rsidRPr="00EC75B7">
              <w:rPr>
                <w:rFonts w:ascii="Verdana" w:hAnsi="Verdana"/>
                <w:spacing w:val="69"/>
                <w:sz w:val="18"/>
                <w:szCs w:val="18"/>
              </w:rPr>
              <w:t xml:space="preserve">  </w:t>
            </w:r>
            <w:r w:rsidRPr="00EC75B7">
              <w:rPr>
                <w:rFonts w:ascii="Verdana" w:hAnsi="Verdana"/>
                <w:sz w:val="18"/>
                <w:szCs w:val="18"/>
              </w:rPr>
              <w:t xml:space="preserve"> </w:t>
            </w:r>
            <w:r w:rsidRPr="00EC75B7">
              <w:rPr>
                <w:rFonts w:ascii="Verdana" w:hAnsi="Verdana"/>
                <w:spacing w:val="-2"/>
                <w:sz w:val="18"/>
                <w:szCs w:val="18"/>
              </w:rPr>
              <w:t>.</w:t>
            </w:r>
          </w:p>
        </w:tc>
      </w:tr>
      <w:tr w:rsidR="008715BE" w:rsidRPr="00EC75B7" w14:paraId="77039809" w14:textId="77777777">
        <w:trPr>
          <w:trHeight w:val="2140"/>
        </w:trPr>
        <w:tc>
          <w:tcPr>
            <w:tcW w:w="725" w:type="dxa"/>
            <w:vMerge/>
            <w:tcBorders>
              <w:top w:val="nil"/>
            </w:tcBorders>
            <w:textDirection w:val="btLr"/>
          </w:tcPr>
          <w:p w14:paraId="0842FBA6" w14:textId="77777777" w:rsidR="008715BE" w:rsidRPr="00EC75B7" w:rsidRDefault="008715BE">
            <w:pPr>
              <w:rPr>
                <w:rFonts w:ascii="Verdana" w:hAnsi="Verdana"/>
                <w:sz w:val="18"/>
                <w:szCs w:val="18"/>
              </w:rPr>
            </w:pPr>
          </w:p>
        </w:tc>
        <w:tc>
          <w:tcPr>
            <w:tcW w:w="2914" w:type="dxa"/>
            <w:vMerge/>
            <w:tcBorders>
              <w:top w:val="nil"/>
            </w:tcBorders>
          </w:tcPr>
          <w:p w14:paraId="0CBCB3B9" w14:textId="77777777" w:rsidR="008715BE" w:rsidRPr="00EC75B7" w:rsidRDefault="008715BE">
            <w:pPr>
              <w:rPr>
                <w:rFonts w:ascii="Verdana" w:hAnsi="Verdana"/>
                <w:sz w:val="18"/>
                <w:szCs w:val="18"/>
              </w:rPr>
            </w:pPr>
          </w:p>
        </w:tc>
        <w:tc>
          <w:tcPr>
            <w:tcW w:w="2468" w:type="dxa"/>
          </w:tcPr>
          <w:p w14:paraId="3E477E53" w14:textId="77777777" w:rsidR="008715BE" w:rsidRPr="00EC75B7" w:rsidRDefault="00000000">
            <w:pPr>
              <w:pStyle w:val="TableParagraph"/>
              <w:tabs>
                <w:tab w:val="left" w:pos="1520"/>
              </w:tabs>
              <w:ind w:left="105" w:right="98"/>
              <w:jc w:val="both"/>
              <w:rPr>
                <w:rFonts w:ascii="Verdana" w:hAnsi="Verdana"/>
                <w:sz w:val="18"/>
                <w:szCs w:val="18"/>
              </w:rPr>
            </w:pPr>
            <w:r w:rsidRPr="00EC75B7">
              <w:rPr>
                <w:rFonts w:ascii="Verdana" w:hAnsi="Verdana"/>
                <w:spacing w:val="-2"/>
                <w:sz w:val="18"/>
                <w:szCs w:val="18"/>
              </w:rPr>
              <w:t>Temporary storage</w:t>
            </w:r>
            <w:r w:rsidRPr="00EC75B7">
              <w:rPr>
                <w:rFonts w:ascii="Verdana" w:hAnsi="Verdana"/>
                <w:sz w:val="18"/>
                <w:szCs w:val="18"/>
              </w:rPr>
              <w:tab/>
            </w:r>
            <w:r w:rsidRPr="00EC75B7">
              <w:rPr>
                <w:rFonts w:ascii="Verdana" w:hAnsi="Verdana"/>
                <w:spacing w:val="-6"/>
                <w:sz w:val="18"/>
                <w:szCs w:val="18"/>
              </w:rPr>
              <w:t xml:space="preserve">Temporary storage of </w:t>
            </w:r>
            <w:r w:rsidRPr="00EC75B7">
              <w:rPr>
                <w:rFonts w:ascii="Verdana" w:hAnsi="Verdana"/>
                <w:sz w:val="18"/>
                <w:szCs w:val="18"/>
              </w:rPr>
              <w:t xml:space="preserve">materials, waste, </w:t>
            </w:r>
            <w:r w:rsidRPr="00EC75B7">
              <w:rPr>
                <w:rFonts w:ascii="Verdana" w:hAnsi="Verdana"/>
                <w:spacing w:val="-2"/>
                <w:sz w:val="18"/>
                <w:szCs w:val="18"/>
              </w:rPr>
              <w:t>wastewater</w:t>
            </w:r>
          </w:p>
        </w:tc>
        <w:tc>
          <w:tcPr>
            <w:tcW w:w="2093" w:type="dxa"/>
          </w:tcPr>
          <w:p w14:paraId="57C5FFE1" w14:textId="77777777" w:rsidR="008715BE" w:rsidRPr="00EC75B7" w:rsidRDefault="00000000">
            <w:pPr>
              <w:pStyle w:val="TableParagraph"/>
              <w:tabs>
                <w:tab w:val="left" w:pos="1407"/>
              </w:tabs>
              <w:ind w:left="107" w:right="97"/>
              <w:jc w:val="both"/>
              <w:rPr>
                <w:rFonts w:ascii="Verdana" w:hAnsi="Verdana"/>
                <w:sz w:val="18"/>
                <w:szCs w:val="18"/>
              </w:rPr>
            </w:pPr>
            <w:r w:rsidRPr="00EC75B7">
              <w:rPr>
                <w:rFonts w:ascii="Verdana" w:hAnsi="Verdana"/>
                <w:spacing w:val="-2"/>
                <w:sz w:val="18"/>
                <w:szCs w:val="18"/>
              </w:rPr>
              <w:t>Impact</w:t>
            </w:r>
            <w:r w:rsidRPr="00EC75B7">
              <w:rPr>
                <w:rFonts w:ascii="Verdana" w:hAnsi="Verdana"/>
                <w:sz w:val="18"/>
                <w:szCs w:val="18"/>
              </w:rPr>
              <w:tab/>
              <w:t>soil</w:t>
            </w:r>
            <w:r w:rsidRPr="00EC75B7">
              <w:rPr>
                <w:rFonts w:ascii="Verdana" w:hAnsi="Verdana"/>
                <w:spacing w:val="-2"/>
                <w:sz w:val="18"/>
                <w:szCs w:val="18"/>
              </w:rPr>
              <w:t xml:space="preserve"> quality</w:t>
            </w:r>
            <w:r w:rsidRPr="00EC75B7">
              <w:rPr>
                <w:rFonts w:ascii="Verdana" w:hAnsi="Verdana"/>
                <w:sz w:val="18"/>
                <w:szCs w:val="18"/>
              </w:rPr>
              <w:t>, possible cases of accidental pollution</w:t>
            </w:r>
          </w:p>
        </w:tc>
        <w:tc>
          <w:tcPr>
            <w:tcW w:w="924" w:type="dxa"/>
          </w:tcPr>
          <w:p w14:paraId="61F650C0"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4184B2D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1ACC9FF8"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3721AEBB" w14:textId="77777777" w:rsidR="008715BE" w:rsidRPr="00EC75B7" w:rsidRDefault="00000000">
            <w:pPr>
              <w:pStyle w:val="TableParagraph"/>
              <w:spacing w:line="195" w:lineRule="exact"/>
              <w:ind w:right="98"/>
              <w:jc w:val="right"/>
              <w:rPr>
                <w:rFonts w:ascii="Verdana" w:hAnsi="Verdana"/>
                <w:sz w:val="18"/>
                <w:szCs w:val="18"/>
              </w:rPr>
            </w:pPr>
            <w:r w:rsidRPr="00EC75B7">
              <w:rPr>
                <w:rFonts w:ascii="Verdana" w:hAnsi="Verdana"/>
                <w:spacing w:val="-2"/>
                <w:sz w:val="18"/>
                <w:szCs w:val="18"/>
              </w:rPr>
              <w:t>Short</w:t>
            </w:r>
          </w:p>
        </w:tc>
        <w:tc>
          <w:tcPr>
            <w:tcW w:w="1136" w:type="dxa"/>
          </w:tcPr>
          <w:p w14:paraId="22391A45"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03B196D9"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4EF4A4C6"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1A6224A3"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4224397C"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02BE33B3" w14:textId="77777777" w:rsidR="008715BE" w:rsidRPr="00EC75B7" w:rsidRDefault="00000000">
            <w:pPr>
              <w:pStyle w:val="TableParagraph"/>
              <w:ind w:left="99"/>
              <w:rPr>
                <w:rFonts w:ascii="Verdana" w:hAnsi="Verdana"/>
                <w:sz w:val="18"/>
                <w:szCs w:val="18"/>
              </w:rPr>
            </w:pPr>
            <w:r w:rsidRPr="00EC75B7">
              <w:rPr>
                <w:rFonts w:ascii="Verdana" w:hAnsi="Verdana"/>
                <w:sz w:val="18"/>
                <w:szCs w:val="18"/>
              </w:rPr>
              <w:t>The soil and subsoil may be polluted by accidental spills/leaks of hazardous substances (oils, fuels, lubricants) and/or wastewater from the construction site, as well as by improper storage of raw materials, materials, and waste. Only technically verified vehicles shall be used</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 not</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 and temporary storage shall not be carried out directly on the ground. The impact will cease upon completion of the works, by removing all vehicles, machinery, and temporary storage from the site</w:t>
            </w:r>
          </w:p>
          <w:p w14:paraId="55D211D9" w14:textId="77777777" w:rsidR="008715BE" w:rsidRPr="00EC75B7" w:rsidRDefault="00000000">
            <w:pPr>
              <w:pStyle w:val="TableParagraph"/>
              <w:spacing w:line="168" w:lineRule="exact"/>
              <w:ind w:left="99"/>
              <w:rPr>
                <w:rFonts w:ascii="Verdana" w:hAnsi="Verdana"/>
                <w:sz w:val="18"/>
                <w:szCs w:val="18"/>
              </w:rPr>
            </w:pPr>
            <w:r w:rsidRPr="00EC75B7">
              <w:rPr>
                <w:rFonts w:ascii="Verdana" w:hAnsi="Verdana"/>
                <w:spacing w:val="-2"/>
                <w:sz w:val="18"/>
                <w:szCs w:val="18"/>
              </w:rPr>
              <w:t>site.</w:t>
            </w:r>
          </w:p>
        </w:tc>
      </w:tr>
      <w:tr w:rsidR="008715BE" w:rsidRPr="00EC75B7" w14:paraId="7EC1D692" w14:textId="77777777">
        <w:trPr>
          <w:trHeight w:val="777"/>
        </w:trPr>
        <w:tc>
          <w:tcPr>
            <w:tcW w:w="725" w:type="dxa"/>
            <w:vMerge/>
            <w:tcBorders>
              <w:top w:val="nil"/>
            </w:tcBorders>
            <w:textDirection w:val="btLr"/>
          </w:tcPr>
          <w:p w14:paraId="5FEC78D2" w14:textId="77777777" w:rsidR="008715BE" w:rsidRPr="00EC75B7" w:rsidRDefault="008715BE">
            <w:pPr>
              <w:rPr>
                <w:rFonts w:ascii="Verdana" w:hAnsi="Verdana"/>
                <w:sz w:val="18"/>
                <w:szCs w:val="18"/>
              </w:rPr>
            </w:pPr>
          </w:p>
        </w:tc>
        <w:tc>
          <w:tcPr>
            <w:tcW w:w="2914" w:type="dxa"/>
            <w:vMerge w:val="restart"/>
          </w:tcPr>
          <w:p w14:paraId="0DE3EB55"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 xml:space="preserve">Construction of access roads </w:t>
            </w:r>
            <w:r w:rsidRPr="00EC75B7">
              <w:rPr>
                <w:rFonts w:ascii="Verdana" w:hAnsi="Verdana"/>
                <w:spacing w:val="-2"/>
                <w:sz w:val="18"/>
                <w:szCs w:val="18"/>
              </w:rPr>
              <w:t xml:space="preserve">(clearing vegetation, stripping </w:t>
            </w:r>
            <w:r w:rsidRPr="00EC75B7">
              <w:rPr>
                <w:rFonts w:ascii="Verdana" w:hAnsi="Verdana"/>
                <w:sz w:val="18"/>
                <w:szCs w:val="18"/>
              </w:rPr>
              <w:t>soil, ballasting, compacting)</w:t>
            </w:r>
          </w:p>
        </w:tc>
        <w:tc>
          <w:tcPr>
            <w:tcW w:w="2468" w:type="dxa"/>
          </w:tcPr>
          <w:p w14:paraId="7BC7C396" w14:textId="77777777" w:rsidR="008715BE" w:rsidRPr="00EC75B7" w:rsidRDefault="00000000">
            <w:pPr>
              <w:pStyle w:val="TableParagraph"/>
              <w:tabs>
                <w:tab w:val="left" w:pos="1553"/>
              </w:tabs>
              <w:spacing w:line="194" w:lineRule="exact"/>
              <w:ind w:left="105"/>
              <w:rPr>
                <w:rFonts w:ascii="Verdana" w:hAnsi="Verdana"/>
                <w:sz w:val="18"/>
                <w:szCs w:val="18"/>
              </w:rPr>
            </w:pPr>
            <w:r w:rsidRPr="00EC75B7">
              <w:rPr>
                <w:rFonts w:ascii="Verdana" w:hAnsi="Verdana"/>
                <w:spacing w:val="-2"/>
                <w:sz w:val="18"/>
                <w:szCs w:val="18"/>
              </w:rPr>
              <w:t>Removal of</w:t>
            </w:r>
            <w:r w:rsidRPr="00EC75B7">
              <w:rPr>
                <w:rFonts w:ascii="Verdana" w:hAnsi="Verdana"/>
                <w:sz w:val="18"/>
                <w:szCs w:val="18"/>
              </w:rPr>
              <w:tab/>
            </w:r>
            <w:r w:rsidRPr="00EC75B7">
              <w:rPr>
                <w:rFonts w:ascii="Verdana" w:hAnsi="Verdana"/>
                <w:spacing w:val="-2"/>
                <w:sz w:val="18"/>
                <w:szCs w:val="18"/>
              </w:rPr>
              <w:t>vegetation,</w:t>
            </w:r>
          </w:p>
          <w:p w14:paraId="39A75C09"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5"/>
                <w:sz w:val="18"/>
                <w:szCs w:val="18"/>
              </w:rPr>
              <w:t xml:space="preserve">soil </w:t>
            </w:r>
            <w:r w:rsidRPr="00EC75B7">
              <w:rPr>
                <w:rFonts w:ascii="Verdana" w:hAnsi="Verdana"/>
                <w:sz w:val="18"/>
                <w:szCs w:val="18"/>
              </w:rPr>
              <w:t>stripping</w:t>
            </w:r>
          </w:p>
        </w:tc>
        <w:tc>
          <w:tcPr>
            <w:tcW w:w="2093" w:type="dxa"/>
          </w:tcPr>
          <w:p w14:paraId="64829990" w14:textId="77777777" w:rsidR="008715BE" w:rsidRPr="00EC75B7" w:rsidRDefault="00000000">
            <w:pPr>
              <w:pStyle w:val="TableParagraph"/>
              <w:ind w:left="107" w:right="96"/>
              <w:rPr>
                <w:rFonts w:ascii="Verdana" w:hAnsi="Verdana"/>
                <w:sz w:val="18"/>
                <w:szCs w:val="18"/>
              </w:rPr>
            </w:pPr>
            <w:r w:rsidRPr="00EC75B7">
              <w:rPr>
                <w:rFonts w:ascii="Verdana" w:hAnsi="Verdana"/>
                <w:sz w:val="18"/>
                <w:szCs w:val="18"/>
              </w:rPr>
              <w:t>Habitat loss, soil degradation</w:t>
            </w:r>
          </w:p>
        </w:tc>
        <w:tc>
          <w:tcPr>
            <w:tcW w:w="924" w:type="dxa"/>
          </w:tcPr>
          <w:p w14:paraId="014A106B"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116489F4"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590D0824"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63FE42C0"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2C53B70A"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22A1B4B4"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309E2E77"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3F69533D"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46AB13FE"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2C2AC008" w14:textId="77777777" w:rsidR="008715BE" w:rsidRPr="00EC75B7" w:rsidRDefault="00000000">
            <w:pPr>
              <w:pStyle w:val="TableParagraph"/>
              <w:ind w:left="99" w:right="103"/>
              <w:jc w:val="both"/>
              <w:rPr>
                <w:rFonts w:ascii="Verdana" w:hAnsi="Verdana"/>
                <w:sz w:val="18"/>
                <w:szCs w:val="18"/>
              </w:rPr>
            </w:pPr>
            <w:r w:rsidRPr="00EC75B7">
              <w:rPr>
                <w:rFonts w:ascii="Verdana" w:hAnsi="Verdana"/>
                <w:sz w:val="18"/>
                <w:szCs w:val="18"/>
              </w:rPr>
              <w:t xml:space="preserve">The impact will cease upon completion of the works, with the removal of all vehicles and machinery from the site and the restoration of the affected areas to their original condition </w:t>
            </w:r>
            <w:r w:rsidRPr="00EC75B7">
              <w:rPr>
                <w:rFonts w:ascii="Verdana" w:hAnsi="Verdana"/>
                <w:spacing w:val="-4"/>
                <w:sz w:val="18"/>
                <w:szCs w:val="18"/>
              </w:rPr>
              <w:t>by</w:t>
            </w:r>
          </w:p>
          <w:p w14:paraId="7F15B4B1" w14:textId="77777777" w:rsidR="008715BE" w:rsidRPr="00EC75B7" w:rsidRDefault="00000000">
            <w:pPr>
              <w:pStyle w:val="TableParagraph"/>
              <w:spacing w:line="172" w:lineRule="exact"/>
              <w:ind w:left="99"/>
              <w:jc w:val="both"/>
              <w:rPr>
                <w:rFonts w:ascii="Verdana" w:hAnsi="Verdana"/>
                <w:sz w:val="18"/>
                <w:szCs w:val="18"/>
              </w:rPr>
            </w:pPr>
            <w:r w:rsidRPr="00EC75B7">
              <w:rPr>
                <w:rFonts w:ascii="Verdana" w:hAnsi="Verdana"/>
                <w:sz w:val="18"/>
                <w:szCs w:val="18"/>
              </w:rPr>
              <w:t>restoring the top</w:t>
            </w:r>
            <w:r w:rsidRPr="00EC75B7">
              <w:rPr>
                <w:rFonts w:ascii="Verdana" w:hAnsi="Verdana"/>
                <w:spacing w:val="14"/>
                <w:sz w:val="18"/>
                <w:szCs w:val="18"/>
              </w:rPr>
              <w:t>so</w:t>
            </w:r>
            <w:r w:rsidRPr="00EC75B7">
              <w:rPr>
                <w:rFonts w:ascii="Verdana" w:hAnsi="Verdana"/>
                <w:sz w:val="18"/>
                <w:szCs w:val="18"/>
              </w:rPr>
              <w:t>il layer</w:t>
            </w:r>
            <w:r w:rsidRPr="00EC75B7">
              <w:rPr>
                <w:rFonts w:ascii="Verdana" w:hAnsi="Verdana"/>
                <w:spacing w:val="-2"/>
                <w:sz w:val="18"/>
                <w:szCs w:val="18"/>
              </w:rPr>
              <w:t>.</w:t>
            </w:r>
          </w:p>
        </w:tc>
      </w:tr>
      <w:tr w:rsidR="008715BE" w:rsidRPr="00EC75B7" w14:paraId="2144DA4E" w14:textId="77777777">
        <w:trPr>
          <w:trHeight w:val="777"/>
        </w:trPr>
        <w:tc>
          <w:tcPr>
            <w:tcW w:w="725" w:type="dxa"/>
            <w:vMerge/>
            <w:tcBorders>
              <w:top w:val="nil"/>
            </w:tcBorders>
            <w:textDirection w:val="btLr"/>
          </w:tcPr>
          <w:p w14:paraId="6D518B02" w14:textId="77777777" w:rsidR="008715BE" w:rsidRPr="00EC75B7" w:rsidRDefault="008715BE">
            <w:pPr>
              <w:rPr>
                <w:rFonts w:ascii="Verdana" w:hAnsi="Verdana"/>
                <w:sz w:val="18"/>
                <w:szCs w:val="18"/>
              </w:rPr>
            </w:pPr>
          </w:p>
        </w:tc>
        <w:tc>
          <w:tcPr>
            <w:tcW w:w="2914" w:type="dxa"/>
            <w:vMerge/>
            <w:tcBorders>
              <w:top w:val="nil"/>
            </w:tcBorders>
          </w:tcPr>
          <w:p w14:paraId="6C4EC230" w14:textId="77777777" w:rsidR="008715BE" w:rsidRPr="00EC75B7" w:rsidRDefault="008715BE">
            <w:pPr>
              <w:rPr>
                <w:rFonts w:ascii="Verdana" w:hAnsi="Verdana"/>
                <w:sz w:val="18"/>
                <w:szCs w:val="18"/>
              </w:rPr>
            </w:pPr>
          </w:p>
        </w:tc>
        <w:tc>
          <w:tcPr>
            <w:tcW w:w="2468" w:type="dxa"/>
          </w:tcPr>
          <w:p w14:paraId="247C8C06" w14:textId="77777777" w:rsidR="008715BE" w:rsidRPr="00EC75B7" w:rsidRDefault="00000000">
            <w:pPr>
              <w:pStyle w:val="TableParagraph"/>
              <w:tabs>
                <w:tab w:val="left" w:pos="1332"/>
                <w:tab w:val="left" w:pos="2112"/>
              </w:tabs>
              <w:spacing w:line="194" w:lineRule="exact"/>
              <w:ind w:left="105"/>
              <w:rPr>
                <w:rFonts w:ascii="Verdana" w:hAnsi="Verdana"/>
                <w:sz w:val="18"/>
                <w:szCs w:val="18"/>
              </w:rPr>
            </w:pPr>
            <w:r w:rsidRPr="00EC75B7">
              <w:rPr>
                <w:rFonts w:ascii="Verdana" w:hAnsi="Verdana"/>
                <w:spacing w:val="-2"/>
                <w:sz w:val="18"/>
                <w:szCs w:val="18"/>
              </w:rPr>
              <w:t>Storage</w:t>
            </w:r>
            <w:r w:rsidRPr="00EC75B7">
              <w:rPr>
                <w:rFonts w:ascii="Verdana" w:hAnsi="Verdana"/>
                <w:sz w:val="18"/>
                <w:szCs w:val="18"/>
              </w:rPr>
              <w:tab/>
            </w:r>
            <w:r w:rsidRPr="00EC75B7">
              <w:rPr>
                <w:rFonts w:ascii="Verdana" w:hAnsi="Verdana"/>
                <w:spacing w:val="-2"/>
                <w:sz w:val="18"/>
                <w:szCs w:val="18"/>
              </w:rPr>
              <w:t>of</w:t>
            </w:r>
            <w:r w:rsidRPr="00EC75B7">
              <w:rPr>
                <w:rFonts w:ascii="Verdana" w:hAnsi="Verdana"/>
                <w:sz w:val="18"/>
                <w:szCs w:val="18"/>
              </w:rPr>
              <w:tab/>
            </w:r>
            <w:r w:rsidRPr="00EC75B7">
              <w:rPr>
                <w:rFonts w:ascii="Verdana" w:hAnsi="Verdana"/>
                <w:spacing w:val="-5"/>
                <w:sz w:val="18"/>
                <w:szCs w:val="18"/>
              </w:rPr>
              <w:t>from</w:t>
            </w:r>
          </w:p>
          <w:p w14:paraId="59147AE6"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excavations</w:t>
            </w:r>
          </w:p>
        </w:tc>
        <w:tc>
          <w:tcPr>
            <w:tcW w:w="2093" w:type="dxa"/>
          </w:tcPr>
          <w:p w14:paraId="01BBB6A8" w14:textId="77777777" w:rsidR="008715BE" w:rsidRPr="00EC75B7" w:rsidRDefault="00000000">
            <w:pPr>
              <w:pStyle w:val="TableParagraph"/>
              <w:tabs>
                <w:tab w:val="left" w:pos="1143"/>
              </w:tabs>
              <w:spacing w:line="194" w:lineRule="exact"/>
              <w:ind w:left="107"/>
              <w:rPr>
                <w:rFonts w:ascii="Verdana" w:hAnsi="Verdana"/>
                <w:sz w:val="18"/>
                <w:szCs w:val="18"/>
              </w:rPr>
            </w:pP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2"/>
                <w:sz w:val="18"/>
                <w:szCs w:val="18"/>
              </w:rPr>
              <w:t>of</w:t>
            </w:r>
          </w:p>
          <w:p w14:paraId="195AEA21"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land, </w:t>
            </w:r>
            <w:r w:rsidRPr="00EC75B7">
              <w:rPr>
                <w:rFonts w:ascii="Verdana" w:hAnsi="Verdana"/>
                <w:spacing w:val="-2"/>
                <w:sz w:val="18"/>
                <w:szCs w:val="18"/>
              </w:rPr>
              <w:t xml:space="preserve">soil </w:t>
            </w:r>
            <w:r w:rsidRPr="00EC75B7">
              <w:rPr>
                <w:rFonts w:ascii="Verdana" w:hAnsi="Verdana"/>
                <w:sz w:val="18"/>
                <w:szCs w:val="18"/>
              </w:rPr>
              <w:t>damage</w:t>
            </w:r>
          </w:p>
        </w:tc>
        <w:tc>
          <w:tcPr>
            <w:tcW w:w="924" w:type="dxa"/>
          </w:tcPr>
          <w:p w14:paraId="4FD4B614"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2E59EFB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4B4D0549"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64D08CE5"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2FBA230E"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12DF9F37"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27EBAD44"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1762CA98"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4402E83C"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3E94166C" w14:textId="77777777" w:rsidR="008715BE" w:rsidRPr="00EC75B7" w:rsidRDefault="00000000">
            <w:pPr>
              <w:pStyle w:val="TableParagraph"/>
              <w:ind w:left="99" w:right="103"/>
              <w:jc w:val="both"/>
              <w:rPr>
                <w:rFonts w:ascii="Verdana" w:hAnsi="Verdana"/>
                <w:sz w:val="18"/>
                <w:szCs w:val="18"/>
              </w:rPr>
            </w:pPr>
            <w:r w:rsidRPr="00EC75B7">
              <w:rPr>
                <w:rFonts w:ascii="Verdana" w:hAnsi="Verdana"/>
                <w:sz w:val="18"/>
                <w:szCs w:val="18"/>
              </w:rPr>
              <w:t xml:space="preserve">The impact will cease upon completion of the works, through the use of the stripped soil in activities to restore the areas affected by the works to their original condition and </w:t>
            </w:r>
            <w:r w:rsidRPr="00EC75B7">
              <w:rPr>
                <w:rFonts w:ascii="Verdana" w:hAnsi="Verdana"/>
                <w:spacing w:val="-2"/>
                <w:sz w:val="18"/>
                <w:szCs w:val="18"/>
              </w:rPr>
              <w:t>the restoration of</w:t>
            </w:r>
          </w:p>
          <w:p w14:paraId="522CF1CB" w14:textId="77777777" w:rsidR="008715BE" w:rsidRPr="00EC75B7" w:rsidRDefault="00000000">
            <w:pPr>
              <w:pStyle w:val="TableParagraph"/>
              <w:spacing w:line="172" w:lineRule="exact"/>
              <w:ind w:left="99"/>
              <w:jc w:val="both"/>
              <w:rPr>
                <w:rFonts w:ascii="Verdana" w:hAnsi="Verdana"/>
                <w:sz w:val="18"/>
                <w:szCs w:val="18"/>
              </w:rPr>
            </w:pPr>
            <w:r w:rsidRPr="00EC75B7">
              <w:rPr>
                <w:rFonts w:ascii="Verdana" w:hAnsi="Verdana"/>
                <w:spacing w:val="-3"/>
                <w:sz w:val="18"/>
                <w:szCs w:val="18"/>
              </w:rPr>
              <w:t xml:space="preserve">the </w:t>
            </w:r>
            <w:r w:rsidRPr="00EC75B7">
              <w:rPr>
                <w:rFonts w:ascii="Verdana" w:hAnsi="Verdana"/>
                <w:sz w:val="18"/>
                <w:szCs w:val="18"/>
              </w:rPr>
              <w:t>topsoil layer</w:t>
            </w:r>
            <w:r w:rsidRPr="00EC75B7">
              <w:rPr>
                <w:rFonts w:ascii="Verdana" w:hAnsi="Verdana"/>
                <w:spacing w:val="-2"/>
                <w:sz w:val="18"/>
                <w:szCs w:val="18"/>
              </w:rPr>
              <w:t>.</w:t>
            </w:r>
          </w:p>
        </w:tc>
      </w:tr>
      <w:tr w:rsidR="008715BE" w:rsidRPr="00EC75B7" w14:paraId="341D7DF6" w14:textId="77777777">
        <w:trPr>
          <w:trHeight w:val="1165"/>
        </w:trPr>
        <w:tc>
          <w:tcPr>
            <w:tcW w:w="725" w:type="dxa"/>
            <w:vMerge/>
            <w:tcBorders>
              <w:top w:val="nil"/>
            </w:tcBorders>
            <w:textDirection w:val="btLr"/>
          </w:tcPr>
          <w:p w14:paraId="6977A8D7" w14:textId="77777777" w:rsidR="008715BE" w:rsidRPr="00EC75B7" w:rsidRDefault="008715BE">
            <w:pPr>
              <w:rPr>
                <w:rFonts w:ascii="Verdana" w:hAnsi="Verdana"/>
                <w:sz w:val="18"/>
                <w:szCs w:val="18"/>
              </w:rPr>
            </w:pPr>
          </w:p>
        </w:tc>
        <w:tc>
          <w:tcPr>
            <w:tcW w:w="2914" w:type="dxa"/>
            <w:vMerge w:val="restart"/>
          </w:tcPr>
          <w:p w14:paraId="2E953D63"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Construction of technological </w:t>
            </w:r>
            <w:r w:rsidRPr="00EC75B7">
              <w:rPr>
                <w:rFonts w:ascii="Verdana" w:hAnsi="Verdana"/>
                <w:spacing w:val="-2"/>
                <w:sz w:val="18"/>
                <w:szCs w:val="18"/>
              </w:rPr>
              <w:t>platforms</w:t>
            </w:r>
          </w:p>
          <w:p w14:paraId="2E60CD6B"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foundations</w:t>
            </w:r>
          </w:p>
        </w:tc>
        <w:tc>
          <w:tcPr>
            <w:tcW w:w="2468" w:type="dxa"/>
          </w:tcPr>
          <w:p w14:paraId="52B53C2A"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Artificialization/occupation</w:t>
            </w:r>
          </w:p>
          <w:p w14:paraId="0DD1FD3D"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the soil</w:t>
            </w:r>
          </w:p>
        </w:tc>
        <w:tc>
          <w:tcPr>
            <w:tcW w:w="2093" w:type="dxa"/>
          </w:tcPr>
          <w:p w14:paraId="4BECC8CD" w14:textId="77777777" w:rsidR="008715BE" w:rsidRPr="00EC75B7" w:rsidRDefault="00000000">
            <w:pPr>
              <w:pStyle w:val="TableParagraph"/>
              <w:tabs>
                <w:tab w:val="left" w:pos="1170"/>
              </w:tabs>
              <w:spacing w:line="194" w:lineRule="exact"/>
              <w:ind w:left="107"/>
              <w:rPr>
                <w:rFonts w:ascii="Verdana" w:hAnsi="Verdana"/>
                <w:sz w:val="18"/>
                <w:szCs w:val="18"/>
              </w:rPr>
            </w:pPr>
            <w:r w:rsidRPr="00EC75B7">
              <w:rPr>
                <w:rFonts w:ascii="Verdana" w:hAnsi="Verdana"/>
                <w:spacing w:val="-2"/>
                <w:sz w:val="18"/>
                <w:szCs w:val="18"/>
              </w:rPr>
              <w:t>Loss</w:t>
            </w:r>
            <w:r w:rsidRPr="00EC75B7">
              <w:rPr>
                <w:rFonts w:ascii="Verdana" w:hAnsi="Verdana"/>
                <w:sz w:val="18"/>
                <w:szCs w:val="18"/>
              </w:rPr>
              <w:tab/>
            </w:r>
            <w:r w:rsidRPr="00EC75B7">
              <w:rPr>
                <w:rFonts w:ascii="Verdana" w:hAnsi="Verdana"/>
                <w:spacing w:val="-2"/>
                <w:sz w:val="18"/>
                <w:szCs w:val="18"/>
              </w:rPr>
              <w:t>of soil</w:t>
            </w:r>
          </w:p>
          <w:p w14:paraId="55E050C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soil</w:t>
            </w:r>
          </w:p>
        </w:tc>
        <w:tc>
          <w:tcPr>
            <w:tcW w:w="924" w:type="dxa"/>
          </w:tcPr>
          <w:p w14:paraId="198839F0"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1A237CE3"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5E7ADBFE"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2A567CB6" w14:textId="77777777" w:rsidR="008715BE" w:rsidRPr="00EC75B7" w:rsidRDefault="00000000">
            <w:pPr>
              <w:pStyle w:val="TableParagraph"/>
              <w:spacing w:line="195" w:lineRule="exact"/>
              <w:ind w:left="175"/>
              <w:rPr>
                <w:rFonts w:ascii="Verdana" w:hAnsi="Verdana"/>
                <w:sz w:val="18"/>
                <w:szCs w:val="18"/>
              </w:rPr>
            </w:pPr>
            <w:r w:rsidRPr="00EC75B7">
              <w:rPr>
                <w:rFonts w:ascii="Verdana" w:hAnsi="Verdana"/>
                <w:spacing w:val="-2"/>
                <w:sz w:val="18"/>
                <w:szCs w:val="18"/>
              </w:rPr>
              <w:t>Long</w:t>
            </w:r>
          </w:p>
        </w:tc>
        <w:tc>
          <w:tcPr>
            <w:tcW w:w="1136" w:type="dxa"/>
          </w:tcPr>
          <w:p w14:paraId="52FB1900" w14:textId="77777777" w:rsidR="008715BE" w:rsidRPr="00EC75B7" w:rsidRDefault="00000000">
            <w:pPr>
              <w:pStyle w:val="TableParagraph"/>
              <w:spacing w:line="195" w:lineRule="exact"/>
              <w:ind w:left="40" w:right="38"/>
              <w:jc w:val="center"/>
              <w:rPr>
                <w:rFonts w:ascii="Verdana" w:hAnsi="Verdana"/>
                <w:sz w:val="18"/>
                <w:szCs w:val="18"/>
              </w:rPr>
            </w:pPr>
            <w:r w:rsidRPr="00EC75B7">
              <w:rPr>
                <w:rFonts w:ascii="Verdana" w:hAnsi="Verdana"/>
                <w:spacing w:val="-2"/>
                <w:sz w:val="18"/>
                <w:szCs w:val="18"/>
              </w:rPr>
              <w:t>Permanent</w:t>
            </w:r>
          </w:p>
        </w:tc>
        <w:tc>
          <w:tcPr>
            <w:tcW w:w="850" w:type="dxa"/>
          </w:tcPr>
          <w:p w14:paraId="05FAE866"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05B24AE7"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23F03C16"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523DEC5C"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2CA1737E" w14:textId="77777777" w:rsidR="008715BE" w:rsidRPr="00EC75B7" w:rsidRDefault="00000000">
            <w:pPr>
              <w:pStyle w:val="TableParagraph"/>
              <w:ind w:left="99" w:right="104"/>
              <w:jc w:val="both"/>
              <w:rPr>
                <w:rFonts w:ascii="Verdana" w:hAnsi="Verdana"/>
                <w:sz w:val="18"/>
                <w:szCs w:val="18"/>
              </w:rPr>
            </w:pPr>
            <w:r w:rsidRPr="00EC75B7">
              <w:rPr>
                <w:rFonts w:ascii="Verdana" w:hAnsi="Verdana"/>
                <w:sz w:val="18"/>
                <w:szCs w:val="18"/>
              </w:rPr>
              <w:t xml:space="preserve">The areas occupied by the footprint of the wind turbine foundations, the construction of access roads, the construction of the electrical substation, and the laying of the underground electrical network (LES) will be smaller than the total area of the park and are reduced in relation </w:t>
            </w:r>
            <w:r w:rsidRPr="00EC75B7">
              <w:rPr>
                <w:rFonts w:ascii="Verdana" w:hAnsi="Verdana"/>
                <w:spacing w:val="-5"/>
                <w:sz w:val="18"/>
                <w:szCs w:val="18"/>
              </w:rPr>
              <w:t>to</w:t>
            </w:r>
          </w:p>
          <w:p w14:paraId="48D87C18" w14:textId="77777777" w:rsidR="008715BE" w:rsidRPr="00EC75B7" w:rsidRDefault="00000000">
            <w:pPr>
              <w:pStyle w:val="TableParagraph"/>
              <w:spacing w:line="170" w:lineRule="exact"/>
              <w:ind w:left="99"/>
              <w:jc w:val="both"/>
              <w:rPr>
                <w:rFonts w:ascii="Verdana" w:hAnsi="Verdana"/>
                <w:sz w:val="18"/>
                <w:szCs w:val="18"/>
              </w:rPr>
            </w:pPr>
            <w:r w:rsidRPr="00EC75B7">
              <w:rPr>
                <w:rFonts w:ascii="Verdana" w:hAnsi="Verdana"/>
                <w:sz w:val="18"/>
                <w:szCs w:val="18"/>
              </w:rPr>
              <w:t xml:space="preserve">the total area of </w:t>
            </w:r>
            <w:r w:rsidRPr="00EC75B7">
              <w:rPr>
                <w:rFonts w:ascii="Verdana" w:hAnsi="Verdana"/>
                <w:spacing w:val="-2"/>
                <w:sz w:val="18"/>
                <w:szCs w:val="18"/>
              </w:rPr>
              <w:t>the park.</w:t>
            </w:r>
          </w:p>
        </w:tc>
      </w:tr>
      <w:tr w:rsidR="008715BE" w:rsidRPr="00EC75B7" w14:paraId="042E83EE" w14:textId="77777777">
        <w:trPr>
          <w:trHeight w:val="585"/>
        </w:trPr>
        <w:tc>
          <w:tcPr>
            <w:tcW w:w="725" w:type="dxa"/>
            <w:vMerge/>
            <w:tcBorders>
              <w:top w:val="nil"/>
            </w:tcBorders>
            <w:textDirection w:val="btLr"/>
          </w:tcPr>
          <w:p w14:paraId="6A7606A7" w14:textId="77777777" w:rsidR="008715BE" w:rsidRPr="00EC75B7" w:rsidRDefault="008715BE">
            <w:pPr>
              <w:rPr>
                <w:rFonts w:ascii="Verdana" w:hAnsi="Verdana"/>
                <w:sz w:val="18"/>
                <w:szCs w:val="18"/>
              </w:rPr>
            </w:pPr>
          </w:p>
        </w:tc>
        <w:tc>
          <w:tcPr>
            <w:tcW w:w="2914" w:type="dxa"/>
            <w:vMerge/>
            <w:tcBorders>
              <w:top w:val="nil"/>
            </w:tcBorders>
          </w:tcPr>
          <w:p w14:paraId="4CEA2F07" w14:textId="77777777" w:rsidR="008715BE" w:rsidRPr="00EC75B7" w:rsidRDefault="008715BE">
            <w:pPr>
              <w:rPr>
                <w:rFonts w:ascii="Verdana" w:hAnsi="Verdana"/>
                <w:sz w:val="18"/>
                <w:szCs w:val="18"/>
              </w:rPr>
            </w:pPr>
          </w:p>
        </w:tc>
        <w:tc>
          <w:tcPr>
            <w:tcW w:w="2468" w:type="dxa"/>
          </w:tcPr>
          <w:p w14:paraId="4F1AEAC5" w14:textId="77777777" w:rsidR="008715BE" w:rsidRPr="00EC75B7" w:rsidRDefault="00000000">
            <w:pPr>
              <w:pStyle w:val="TableParagraph"/>
              <w:tabs>
                <w:tab w:val="left" w:pos="1523"/>
              </w:tabs>
              <w:spacing w:before="1"/>
              <w:ind w:left="105" w:right="99"/>
              <w:rPr>
                <w:rFonts w:ascii="Verdana" w:hAnsi="Verdana"/>
                <w:sz w:val="18"/>
                <w:szCs w:val="18"/>
              </w:rPr>
            </w:pPr>
            <w:r w:rsidRPr="00EC75B7">
              <w:rPr>
                <w:rFonts w:ascii="Verdana" w:hAnsi="Verdana"/>
                <w:spacing w:val="-2"/>
                <w:sz w:val="18"/>
                <w:szCs w:val="18"/>
              </w:rPr>
              <w:t>Excavations,</w:t>
            </w:r>
            <w:r w:rsidRPr="00EC75B7">
              <w:rPr>
                <w:rFonts w:ascii="Verdana" w:hAnsi="Verdana"/>
                <w:sz w:val="18"/>
                <w:szCs w:val="18"/>
              </w:rPr>
              <w:tab/>
            </w:r>
            <w:r w:rsidRPr="00EC75B7">
              <w:rPr>
                <w:rFonts w:ascii="Verdana" w:hAnsi="Verdana"/>
                <w:spacing w:val="-4"/>
                <w:sz w:val="18"/>
                <w:szCs w:val="18"/>
              </w:rPr>
              <w:t xml:space="preserve">filling, </w:t>
            </w:r>
            <w:r w:rsidRPr="00EC75B7">
              <w:rPr>
                <w:rFonts w:ascii="Verdana" w:hAnsi="Verdana"/>
                <w:spacing w:val="-2"/>
                <w:sz w:val="18"/>
                <w:szCs w:val="18"/>
              </w:rPr>
              <w:t>compaction</w:t>
            </w:r>
          </w:p>
        </w:tc>
        <w:tc>
          <w:tcPr>
            <w:tcW w:w="2093" w:type="dxa"/>
          </w:tcPr>
          <w:p w14:paraId="56AD6F7E" w14:textId="77777777" w:rsidR="008715BE" w:rsidRPr="00EC75B7" w:rsidRDefault="00000000">
            <w:pPr>
              <w:pStyle w:val="TableParagraph"/>
              <w:tabs>
                <w:tab w:val="left" w:pos="1170"/>
              </w:tabs>
              <w:spacing w:before="1" w:line="195" w:lineRule="exact"/>
              <w:ind w:left="107"/>
              <w:rPr>
                <w:rFonts w:ascii="Verdana" w:hAnsi="Verdana"/>
                <w:sz w:val="18"/>
                <w:szCs w:val="18"/>
              </w:rPr>
            </w:pPr>
            <w:r w:rsidRPr="00EC75B7">
              <w:rPr>
                <w:rFonts w:ascii="Verdana" w:hAnsi="Verdana"/>
                <w:spacing w:val="-2"/>
                <w:sz w:val="18"/>
                <w:szCs w:val="18"/>
              </w:rPr>
              <w:t>Impact on</w:t>
            </w:r>
            <w:r w:rsidRPr="00EC75B7">
              <w:rPr>
                <w:rFonts w:ascii="Verdana" w:hAnsi="Verdana"/>
                <w:sz w:val="18"/>
                <w:szCs w:val="18"/>
              </w:rPr>
              <w:tab/>
            </w:r>
            <w:r w:rsidRPr="00EC75B7">
              <w:rPr>
                <w:rFonts w:ascii="Verdana" w:hAnsi="Verdana"/>
                <w:spacing w:val="-2"/>
                <w:sz w:val="18"/>
                <w:szCs w:val="18"/>
              </w:rPr>
              <w:t>the</w:t>
            </w:r>
          </w:p>
          <w:p w14:paraId="569B0C24"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of the </w:t>
            </w:r>
            <w:r w:rsidRPr="00EC75B7">
              <w:rPr>
                <w:rFonts w:ascii="Verdana" w:hAnsi="Verdana"/>
                <w:spacing w:val="-2"/>
                <w:sz w:val="18"/>
                <w:szCs w:val="18"/>
              </w:rPr>
              <w:t>soil</w:t>
            </w:r>
          </w:p>
        </w:tc>
        <w:tc>
          <w:tcPr>
            <w:tcW w:w="924" w:type="dxa"/>
          </w:tcPr>
          <w:p w14:paraId="152D92FA" w14:textId="77777777" w:rsidR="008715BE" w:rsidRPr="00EC75B7" w:rsidRDefault="00000000">
            <w:pPr>
              <w:pStyle w:val="TableParagraph"/>
              <w:spacing w:before="1"/>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106C48C1"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Direct</w:t>
            </w:r>
          </w:p>
        </w:tc>
        <w:tc>
          <w:tcPr>
            <w:tcW w:w="567" w:type="dxa"/>
          </w:tcPr>
          <w:p w14:paraId="252FD5FA"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5"/>
                <w:sz w:val="18"/>
                <w:szCs w:val="18"/>
              </w:rPr>
              <w:t>Yes</w:t>
            </w:r>
          </w:p>
        </w:tc>
        <w:tc>
          <w:tcPr>
            <w:tcW w:w="851" w:type="dxa"/>
          </w:tcPr>
          <w:p w14:paraId="3730A4B3"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2"/>
                <w:sz w:val="18"/>
                <w:szCs w:val="18"/>
              </w:rPr>
              <w:t>Short</w:t>
            </w:r>
          </w:p>
        </w:tc>
        <w:tc>
          <w:tcPr>
            <w:tcW w:w="1136" w:type="dxa"/>
          </w:tcPr>
          <w:p w14:paraId="602B2870" w14:textId="77777777" w:rsidR="008715BE" w:rsidRPr="00EC75B7" w:rsidRDefault="00000000">
            <w:pPr>
              <w:pStyle w:val="TableParagraph"/>
              <w:spacing w:before="1"/>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72BB407A" w14:textId="77777777" w:rsidR="008715BE" w:rsidRPr="00EC75B7" w:rsidRDefault="00000000">
            <w:pPr>
              <w:pStyle w:val="TableParagraph"/>
              <w:spacing w:before="1"/>
              <w:ind w:left="102"/>
              <w:rPr>
                <w:rFonts w:ascii="Verdana" w:hAnsi="Verdana"/>
                <w:sz w:val="18"/>
                <w:szCs w:val="18"/>
              </w:rPr>
            </w:pPr>
            <w:r w:rsidRPr="00EC75B7">
              <w:rPr>
                <w:rFonts w:ascii="Verdana" w:hAnsi="Verdana"/>
                <w:spacing w:val="-2"/>
                <w:sz w:val="18"/>
                <w:szCs w:val="18"/>
              </w:rPr>
              <w:t>Local</w:t>
            </w:r>
          </w:p>
        </w:tc>
        <w:tc>
          <w:tcPr>
            <w:tcW w:w="1136" w:type="dxa"/>
          </w:tcPr>
          <w:p w14:paraId="14A588D3" w14:textId="77777777" w:rsidR="008715BE" w:rsidRPr="00EC75B7" w:rsidRDefault="00000000">
            <w:pPr>
              <w:pStyle w:val="TableParagraph"/>
              <w:spacing w:before="1"/>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2D7ECDE9" w14:textId="77777777" w:rsidR="008715BE" w:rsidRPr="00EC75B7" w:rsidRDefault="00000000">
            <w:pPr>
              <w:pStyle w:val="TableParagraph"/>
              <w:spacing w:before="1"/>
              <w:ind w:left="101"/>
              <w:rPr>
                <w:rFonts w:ascii="Verdana" w:hAnsi="Verdana"/>
                <w:sz w:val="18"/>
                <w:szCs w:val="18"/>
              </w:rPr>
            </w:pPr>
            <w:r w:rsidRPr="00EC75B7">
              <w:rPr>
                <w:rFonts w:ascii="Verdana" w:hAnsi="Verdana"/>
                <w:spacing w:val="-2"/>
                <w:sz w:val="18"/>
                <w:szCs w:val="18"/>
              </w:rPr>
              <w:t>Reversible</w:t>
            </w:r>
          </w:p>
        </w:tc>
        <w:tc>
          <w:tcPr>
            <w:tcW w:w="1419" w:type="dxa"/>
          </w:tcPr>
          <w:p w14:paraId="74AE3384" w14:textId="77777777" w:rsidR="008715BE" w:rsidRPr="00EC75B7" w:rsidRDefault="00000000">
            <w:pPr>
              <w:pStyle w:val="TableParagraph"/>
              <w:spacing w:before="1"/>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59FB40EB" w14:textId="77777777" w:rsidR="008715BE" w:rsidRPr="00EC75B7" w:rsidRDefault="00000000">
            <w:pPr>
              <w:pStyle w:val="TableParagraph"/>
              <w:spacing w:before="1"/>
              <w:ind w:left="99"/>
              <w:rPr>
                <w:rFonts w:ascii="Verdana" w:hAnsi="Verdana"/>
                <w:sz w:val="18"/>
                <w:szCs w:val="18"/>
              </w:rPr>
            </w:pPr>
            <w:r w:rsidRPr="00EC75B7">
              <w:rPr>
                <w:rFonts w:ascii="Verdana" w:hAnsi="Verdana"/>
                <w:sz w:val="18"/>
                <w:szCs w:val="18"/>
              </w:rPr>
              <w:t xml:space="preserve">Land areas temporarily occupied during the execution period will be restored to their original condition </w:t>
            </w:r>
            <w:r w:rsidRPr="00EC75B7">
              <w:rPr>
                <w:rFonts w:ascii="Verdana" w:hAnsi="Verdana"/>
                <w:spacing w:val="-5"/>
                <w:sz w:val="18"/>
                <w:szCs w:val="18"/>
              </w:rPr>
              <w:t>upon</w:t>
            </w:r>
          </w:p>
          <w:p w14:paraId="16F65BDA" w14:textId="77777777" w:rsidR="008715BE" w:rsidRPr="00EC75B7" w:rsidRDefault="00000000">
            <w:pPr>
              <w:pStyle w:val="TableParagraph"/>
              <w:spacing w:line="173" w:lineRule="exact"/>
              <w:ind w:left="99"/>
              <w:rPr>
                <w:rFonts w:ascii="Verdana" w:hAnsi="Verdana"/>
                <w:sz w:val="18"/>
                <w:szCs w:val="18"/>
              </w:rPr>
            </w:pPr>
            <w:r w:rsidRPr="00EC75B7">
              <w:rPr>
                <w:rFonts w:ascii="Verdana" w:hAnsi="Verdana"/>
                <w:sz w:val="18"/>
                <w:szCs w:val="18"/>
              </w:rPr>
              <w:t xml:space="preserve">completion of the </w:t>
            </w:r>
            <w:r w:rsidRPr="00EC75B7">
              <w:rPr>
                <w:rFonts w:ascii="Verdana" w:hAnsi="Verdana"/>
                <w:spacing w:val="-2"/>
                <w:sz w:val="18"/>
                <w:szCs w:val="18"/>
              </w:rPr>
              <w:t xml:space="preserve">execution </w:t>
            </w:r>
            <w:r w:rsidRPr="00EC75B7">
              <w:rPr>
                <w:rFonts w:ascii="Verdana" w:hAnsi="Verdana"/>
                <w:sz w:val="18"/>
                <w:szCs w:val="18"/>
              </w:rPr>
              <w:t>works</w:t>
            </w:r>
            <w:r w:rsidRPr="00EC75B7">
              <w:rPr>
                <w:rFonts w:ascii="Verdana" w:hAnsi="Verdana"/>
                <w:spacing w:val="-2"/>
                <w:sz w:val="18"/>
                <w:szCs w:val="18"/>
              </w:rPr>
              <w:t>.</w:t>
            </w:r>
          </w:p>
        </w:tc>
      </w:tr>
      <w:tr w:rsidR="008715BE" w:rsidRPr="00EC75B7" w14:paraId="6EDF87F3" w14:textId="77777777">
        <w:trPr>
          <w:trHeight w:val="777"/>
        </w:trPr>
        <w:tc>
          <w:tcPr>
            <w:tcW w:w="725" w:type="dxa"/>
            <w:vMerge/>
            <w:tcBorders>
              <w:top w:val="nil"/>
            </w:tcBorders>
            <w:textDirection w:val="btLr"/>
          </w:tcPr>
          <w:p w14:paraId="0787EAC0" w14:textId="77777777" w:rsidR="008715BE" w:rsidRPr="00EC75B7" w:rsidRDefault="008715BE">
            <w:pPr>
              <w:rPr>
                <w:rFonts w:ascii="Verdana" w:hAnsi="Verdana"/>
                <w:sz w:val="18"/>
                <w:szCs w:val="18"/>
              </w:rPr>
            </w:pPr>
          </w:p>
        </w:tc>
        <w:tc>
          <w:tcPr>
            <w:tcW w:w="2914" w:type="dxa"/>
            <w:vMerge w:val="restart"/>
          </w:tcPr>
          <w:p w14:paraId="04457E74" w14:textId="77777777" w:rsidR="008715BE" w:rsidRPr="00EC75B7" w:rsidRDefault="00000000">
            <w:pPr>
              <w:pStyle w:val="TableParagraph"/>
              <w:ind w:left="105" w:right="178"/>
              <w:rPr>
                <w:rFonts w:ascii="Verdana" w:hAnsi="Verdana"/>
                <w:sz w:val="18"/>
                <w:szCs w:val="18"/>
              </w:rPr>
            </w:pPr>
            <w:r w:rsidRPr="00EC75B7">
              <w:rPr>
                <w:rFonts w:ascii="Verdana" w:hAnsi="Verdana"/>
                <w:sz w:val="18"/>
                <w:szCs w:val="18"/>
              </w:rPr>
              <w:t>Making electrical connections and laying underground cables</w:t>
            </w:r>
          </w:p>
        </w:tc>
        <w:tc>
          <w:tcPr>
            <w:tcW w:w="2468" w:type="dxa"/>
          </w:tcPr>
          <w:p w14:paraId="7910CC2E" w14:textId="77777777" w:rsidR="008715BE" w:rsidRPr="00EC75B7" w:rsidRDefault="00000000">
            <w:pPr>
              <w:pStyle w:val="TableParagraph"/>
              <w:tabs>
                <w:tab w:val="left" w:pos="1707"/>
              </w:tabs>
              <w:ind w:left="105" w:right="97"/>
              <w:rPr>
                <w:rFonts w:ascii="Verdana" w:hAnsi="Verdana"/>
                <w:sz w:val="18"/>
                <w:szCs w:val="18"/>
              </w:rPr>
            </w:pPr>
            <w:r w:rsidRPr="00EC75B7">
              <w:rPr>
                <w:rFonts w:ascii="Verdana" w:hAnsi="Verdana"/>
                <w:spacing w:val="-2"/>
                <w:sz w:val="18"/>
                <w:szCs w:val="18"/>
              </w:rPr>
              <w:t>Stripping,</w:t>
            </w:r>
            <w:r w:rsidRPr="00EC75B7">
              <w:rPr>
                <w:rFonts w:ascii="Verdana" w:hAnsi="Verdana"/>
                <w:sz w:val="18"/>
                <w:szCs w:val="18"/>
              </w:rPr>
              <w:tab/>
            </w:r>
            <w:r w:rsidRPr="00EC75B7">
              <w:rPr>
                <w:rFonts w:ascii="Verdana" w:hAnsi="Verdana"/>
                <w:spacing w:val="-2"/>
                <w:sz w:val="18"/>
                <w:szCs w:val="18"/>
              </w:rPr>
              <w:t>trench</w:t>
            </w:r>
            <w:r w:rsidRPr="00EC75B7">
              <w:rPr>
                <w:rFonts w:ascii="Verdana" w:hAnsi="Verdana"/>
                <w:spacing w:val="-4"/>
                <w:sz w:val="18"/>
                <w:szCs w:val="18"/>
              </w:rPr>
              <w:t xml:space="preserve"> digging</w:t>
            </w:r>
          </w:p>
        </w:tc>
        <w:tc>
          <w:tcPr>
            <w:tcW w:w="2093" w:type="dxa"/>
          </w:tcPr>
          <w:p w14:paraId="1475E8B7"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 xml:space="preserve">Temporary loss of topsoil and soil </w:t>
            </w:r>
            <w:r w:rsidRPr="00EC75B7">
              <w:rPr>
                <w:rFonts w:ascii="Verdana" w:hAnsi="Verdana"/>
                <w:spacing w:val="-2"/>
                <w:sz w:val="18"/>
                <w:szCs w:val="18"/>
              </w:rPr>
              <w:t>productivity</w:t>
            </w:r>
          </w:p>
          <w:p w14:paraId="0A6D6C75" w14:textId="77777777" w:rsidR="008715BE" w:rsidRPr="00EC75B7" w:rsidRDefault="00000000">
            <w:pPr>
              <w:pStyle w:val="TableParagraph"/>
              <w:spacing w:line="172" w:lineRule="exact"/>
              <w:ind w:left="107"/>
              <w:jc w:val="both"/>
              <w:rPr>
                <w:rFonts w:ascii="Verdana" w:hAnsi="Verdana"/>
                <w:sz w:val="18"/>
                <w:szCs w:val="18"/>
              </w:rPr>
            </w:pPr>
            <w:r w:rsidRPr="00EC75B7">
              <w:rPr>
                <w:rFonts w:ascii="Verdana" w:hAnsi="Verdana"/>
                <w:sz w:val="18"/>
                <w:szCs w:val="18"/>
              </w:rPr>
              <w:t xml:space="preserve">of the </w:t>
            </w:r>
            <w:r w:rsidRPr="00EC75B7">
              <w:rPr>
                <w:rFonts w:ascii="Verdana" w:hAnsi="Verdana"/>
                <w:spacing w:val="-2"/>
                <w:sz w:val="18"/>
                <w:szCs w:val="18"/>
              </w:rPr>
              <w:t>soil</w:t>
            </w:r>
          </w:p>
        </w:tc>
        <w:tc>
          <w:tcPr>
            <w:tcW w:w="924" w:type="dxa"/>
          </w:tcPr>
          <w:p w14:paraId="22E66BEB"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7CC6DEAC"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7459778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274C3AD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327ACD49"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2C222850"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357140C8"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54CF0994"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25AF5333"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52179C99" w14:textId="77777777" w:rsidR="008715BE" w:rsidRPr="00EC75B7" w:rsidRDefault="00000000">
            <w:pPr>
              <w:pStyle w:val="TableParagraph"/>
              <w:ind w:left="99" w:right="105"/>
              <w:jc w:val="both"/>
              <w:rPr>
                <w:rFonts w:ascii="Verdana" w:hAnsi="Verdana"/>
                <w:sz w:val="18"/>
                <w:szCs w:val="18"/>
              </w:rPr>
            </w:pPr>
            <w:r w:rsidRPr="00EC75B7">
              <w:rPr>
                <w:rFonts w:ascii="Verdana" w:hAnsi="Verdana"/>
                <w:sz w:val="18"/>
                <w:szCs w:val="18"/>
              </w:rPr>
              <w:t>Land areas temporarily occupied during the execution period will be restored to their original condition upon completion of the execution works.</w:t>
            </w:r>
          </w:p>
        </w:tc>
      </w:tr>
      <w:tr w:rsidR="008715BE" w:rsidRPr="00EC75B7" w14:paraId="182B8E4D" w14:textId="77777777">
        <w:trPr>
          <w:trHeight w:val="582"/>
        </w:trPr>
        <w:tc>
          <w:tcPr>
            <w:tcW w:w="725" w:type="dxa"/>
            <w:vMerge/>
            <w:tcBorders>
              <w:top w:val="nil"/>
            </w:tcBorders>
            <w:textDirection w:val="btLr"/>
          </w:tcPr>
          <w:p w14:paraId="106F6479" w14:textId="77777777" w:rsidR="008715BE" w:rsidRPr="00EC75B7" w:rsidRDefault="008715BE">
            <w:pPr>
              <w:rPr>
                <w:rFonts w:ascii="Verdana" w:hAnsi="Verdana"/>
                <w:sz w:val="18"/>
                <w:szCs w:val="18"/>
              </w:rPr>
            </w:pPr>
          </w:p>
        </w:tc>
        <w:tc>
          <w:tcPr>
            <w:tcW w:w="2914" w:type="dxa"/>
            <w:vMerge/>
            <w:tcBorders>
              <w:top w:val="nil"/>
            </w:tcBorders>
          </w:tcPr>
          <w:p w14:paraId="1C6E3EB7" w14:textId="77777777" w:rsidR="008715BE" w:rsidRPr="00EC75B7" w:rsidRDefault="008715BE">
            <w:pPr>
              <w:rPr>
                <w:rFonts w:ascii="Verdana" w:hAnsi="Verdana"/>
                <w:sz w:val="18"/>
                <w:szCs w:val="18"/>
              </w:rPr>
            </w:pPr>
          </w:p>
        </w:tc>
        <w:tc>
          <w:tcPr>
            <w:tcW w:w="2468" w:type="dxa"/>
          </w:tcPr>
          <w:p w14:paraId="4C68B444"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Temporarily </w:t>
            </w:r>
            <w:r w:rsidRPr="00EC75B7">
              <w:rPr>
                <w:rFonts w:ascii="Verdana" w:hAnsi="Verdana"/>
                <w:sz w:val="18"/>
                <w:szCs w:val="18"/>
              </w:rPr>
              <w:t>opened trenches</w:t>
            </w:r>
          </w:p>
        </w:tc>
        <w:tc>
          <w:tcPr>
            <w:tcW w:w="2093" w:type="dxa"/>
          </w:tcPr>
          <w:p w14:paraId="67D880F9" w14:textId="77777777" w:rsidR="008715BE" w:rsidRPr="00EC75B7" w:rsidRDefault="00000000">
            <w:pPr>
              <w:pStyle w:val="TableParagraph"/>
              <w:ind w:left="107" w:right="96"/>
              <w:rPr>
                <w:rFonts w:ascii="Verdana" w:hAnsi="Verdana"/>
                <w:sz w:val="18"/>
                <w:szCs w:val="18"/>
              </w:rPr>
            </w:pPr>
            <w:r w:rsidRPr="00EC75B7">
              <w:rPr>
                <w:rFonts w:ascii="Verdana" w:hAnsi="Verdana"/>
                <w:spacing w:val="-2"/>
                <w:sz w:val="18"/>
                <w:szCs w:val="18"/>
              </w:rPr>
              <w:t>Impact on soil/subsoil</w:t>
            </w:r>
          </w:p>
        </w:tc>
        <w:tc>
          <w:tcPr>
            <w:tcW w:w="924" w:type="dxa"/>
          </w:tcPr>
          <w:p w14:paraId="77D8BC5A"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50BEB81D"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3FAA0E45"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79F24FD2"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5FED1490"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253ABA19"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59020621"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3DB210E8"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733F63DA"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61E69EA6" w14:textId="77777777" w:rsidR="008715BE" w:rsidRPr="00EC75B7" w:rsidRDefault="00000000">
            <w:pPr>
              <w:pStyle w:val="TableParagraph"/>
              <w:ind w:left="99"/>
              <w:rPr>
                <w:rFonts w:ascii="Verdana" w:hAnsi="Verdana"/>
                <w:sz w:val="18"/>
                <w:szCs w:val="18"/>
              </w:rPr>
            </w:pPr>
            <w:r w:rsidRPr="00EC75B7">
              <w:rPr>
                <w:rFonts w:ascii="Verdana" w:hAnsi="Verdana"/>
                <w:sz w:val="18"/>
                <w:szCs w:val="18"/>
              </w:rPr>
              <w:t xml:space="preserve">Land areas temporarily occupied during the execution period will be restored to their original condition </w:t>
            </w:r>
            <w:r w:rsidRPr="00EC75B7">
              <w:rPr>
                <w:rFonts w:ascii="Verdana" w:hAnsi="Verdana"/>
                <w:spacing w:val="-5"/>
                <w:sz w:val="18"/>
                <w:szCs w:val="18"/>
              </w:rPr>
              <w:t>upon</w:t>
            </w:r>
          </w:p>
          <w:p w14:paraId="67613B44" w14:textId="77777777" w:rsidR="008715BE" w:rsidRPr="00EC75B7" w:rsidRDefault="00000000">
            <w:pPr>
              <w:pStyle w:val="TableParagraph"/>
              <w:spacing w:line="173" w:lineRule="exact"/>
              <w:ind w:left="99"/>
              <w:rPr>
                <w:rFonts w:ascii="Verdana" w:hAnsi="Verdana"/>
                <w:sz w:val="18"/>
                <w:szCs w:val="18"/>
              </w:rPr>
            </w:pPr>
            <w:r w:rsidRPr="00EC75B7">
              <w:rPr>
                <w:rFonts w:ascii="Verdana" w:hAnsi="Verdana"/>
                <w:sz w:val="18"/>
                <w:szCs w:val="18"/>
              </w:rPr>
              <w:t xml:space="preserve">completion of the </w:t>
            </w:r>
            <w:r w:rsidRPr="00EC75B7">
              <w:rPr>
                <w:rFonts w:ascii="Verdana" w:hAnsi="Verdana"/>
                <w:spacing w:val="-2"/>
                <w:sz w:val="18"/>
                <w:szCs w:val="18"/>
              </w:rPr>
              <w:t xml:space="preserve">execution </w:t>
            </w:r>
            <w:r w:rsidRPr="00EC75B7">
              <w:rPr>
                <w:rFonts w:ascii="Verdana" w:hAnsi="Verdana"/>
                <w:sz w:val="18"/>
                <w:szCs w:val="18"/>
              </w:rPr>
              <w:t>works</w:t>
            </w:r>
            <w:r w:rsidRPr="00EC75B7">
              <w:rPr>
                <w:rFonts w:ascii="Verdana" w:hAnsi="Verdana"/>
                <w:spacing w:val="-2"/>
                <w:sz w:val="18"/>
                <w:szCs w:val="18"/>
              </w:rPr>
              <w:t>.</w:t>
            </w:r>
          </w:p>
        </w:tc>
      </w:tr>
      <w:tr w:rsidR="008715BE" w:rsidRPr="00EC75B7" w14:paraId="68FAF90E" w14:textId="77777777">
        <w:trPr>
          <w:trHeight w:val="583"/>
        </w:trPr>
        <w:tc>
          <w:tcPr>
            <w:tcW w:w="725" w:type="dxa"/>
            <w:vMerge/>
            <w:tcBorders>
              <w:top w:val="nil"/>
            </w:tcBorders>
            <w:textDirection w:val="btLr"/>
          </w:tcPr>
          <w:p w14:paraId="59FED758" w14:textId="77777777" w:rsidR="008715BE" w:rsidRPr="00EC75B7" w:rsidRDefault="008715BE">
            <w:pPr>
              <w:rPr>
                <w:rFonts w:ascii="Verdana" w:hAnsi="Verdana"/>
                <w:sz w:val="18"/>
                <w:szCs w:val="18"/>
              </w:rPr>
            </w:pPr>
          </w:p>
        </w:tc>
        <w:tc>
          <w:tcPr>
            <w:tcW w:w="2914" w:type="dxa"/>
          </w:tcPr>
          <w:p w14:paraId="20982DBA"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Construction </w:t>
            </w:r>
            <w:r w:rsidRPr="00EC75B7">
              <w:rPr>
                <w:rFonts w:ascii="Verdana" w:hAnsi="Verdana"/>
                <w:spacing w:val="-2"/>
                <w:sz w:val="18"/>
                <w:szCs w:val="18"/>
              </w:rPr>
              <w:t xml:space="preserve">site </w:t>
            </w:r>
            <w:r w:rsidRPr="00EC75B7">
              <w:rPr>
                <w:rFonts w:ascii="Verdana" w:hAnsi="Verdana"/>
                <w:sz w:val="18"/>
                <w:szCs w:val="18"/>
              </w:rPr>
              <w:t>traffic</w:t>
            </w:r>
          </w:p>
        </w:tc>
        <w:tc>
          <w:tcPr>
            <w:tcW w:w="2468" w:type="dxa"/>
          </w:tcPr>
          <w:p w14:paraId="091EFB7C"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Soil/subsoil </w:t>
            </w:r>
            <w:r w:rsidRPr="00EC75B7">
              <w:rPr>
                <w:rFonts w:ascii="Verdana" w:hAnsi="Verdana"/>
                <w:sz w:val="18"/>
                <w:szCs w:val="18"/>
              </w:rPr>
              <w:t>damage</w:t>
            </w:r>
          </w:p>
        </w:tc>
        <w:tc>
          <w:tcPr>
            <w:tcW w:w="2093" w:type="dxa"/>
          </w:tcPr>
          <w:p w14:paraId="04A27F65" w14:textId="77777777" w:rsidR="008715BE" w:rsidRPr="00EC75B7" w:rsidRDefault="00000000">
            <w:pPr>
              <w:pStyle w:val="TableParagraph"/>
              <w:tabs>
                <w:tab w:val="left" w:pos="1170"/>
              </w:tabs>
              <w:spacing w:line="194" w:lineRule="exact"/>
              <w:ind w:left="107"/>
              <w:rPr>
                <w:rFonts w:ascii="Verdana" w:hAnsi="Verdana"/>
                <w:sz w:val="18"/>
                <w:szCs w:val="18"/>
              </w:rPr>
            </w:pPr>
            <w:r w:rsidRPr="00EC75B7">
              <w:rPr>
                <w:rFonts w:ascii="Verdana" w:hAnsi="Verdana"/>
                <w:spacing w:val="-2"/>
                <w:sz w:val="18"/>
                <w:szCs w:val="18"/>
              </w:rPr>
              <w:t>Impact</w:t>
            </w:r>
            <w:r w:rsidRPr="00EC75B7">
              <w:rPr>
                <w:rFonts w:ascii="Verdana" w:hAnsi="Verdana"/>
                <w:sz w:val="18"/>
                <w:szCs w:val="18"/>
              </w:rPr>
              <w:tab/>
            </w:r>
            <w:r w:rsidRPr="00EC75B7">
              <w:rPr>
                <w:rFonts w:ascii="Verdana" w:hAnsi="Verdana"/>
                <w:spacing w:val="-2"/>
                <w:sz w:val="18"/>
                <w:szCs w:val="18"/>
              </w:rPr>
              <w:t>soil</w:t>
            </w:r>
          </w:p>
          <w:p w14:paraId="68FDF3C5"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cap</w:t>
            </w:r>
            <w:r w:rsidRPr="00EC75B7">
              <w:rPr>
                <w:rFonts w:ascii="Verdana" w:hAnsi="Verdana"/>
                <w:sz w:val="18"/>
                <w:szCs w:val="18"/>
              </w:rPr>
              <w:t>acity</w:t>
            </w:r>
          </w:p>
        </w:tc>
        <w:tc>
          <w:tcPr>
            <w:tcW w:w="924" w:type="dxa"/>
          </w:tcPr>
          <w:p w14:paraId="717DC19A"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00792683"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42C722EA"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6C93551B"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6B34D9E7"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65985EBD"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21776130"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7BD830D2"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2FD5E5F2"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3BE33FEB" w14:textId="77777777" w:rsidR="008715BE" w:rsidRPr="00EC75B7" w:rsidRDefault="00000000">
            <w:pPr>
              <w:pStyle w:val="TableParagraph"/>
              <w:ind w:left="99"/>
              <w:rPr>
                <w:rFonts w:ascii="Verdana" w:hAnsi="Verdana"/>
                <w:sz w:val="18"/>
                <w:szCs w:val="18"/>
              </w:rPr>
            </w:pPr>
            <w:r w:rsidRPr="00EC75B7">
              <w:rPr>
                <w:rFonts w:ascii="Verdana" w:hAnsi="Verdana"/>
                <w:sz w:val="18"/>
                <w:szCs w:val="18"/>
              </w:rPr>
              <w:t xml:space="preserve">The areas of land temporarily occupied during the execution period will be restored to their original condition </w:t>
            </w:r>
            <w:r w:rsidRPr="00EC75B7">
              <w:rPr>
                <w:rFonts w:ascii="Verdana" w:hAnsi="Verdana"/>
                <w:spacing w:val="-5"/>
                <w:sz w:val="18"/>
                <w:szCs w:val="18"/>
              </w:rPr>
              <w:t>upon</w:t>
            </w:r>
          </w:p>
          <w:p w14:paraId="1817ED65" w14:textId="77777777" w:rsidR="008715BE" w:rsidRPr="00EC75B7" w:rsidRDefault="00000000">
            <w:pPr>
              <w:pStyle w:val="TableParagraph"/>
              <w:spacing w:line="174" w:lineRule="exact"/>
              <w:ind w:left="99"/>
              <w:rPr>
                <w:rFonts w:ascii="Verdana" w:hAnsi="Verdana"/>
                <w:sz w:val="18"/>
                <w:szCs w:val="18"/>
              </w:rPr>
            </w:pPr>
            <w:r w:rsidRPr="00EC75B7">
              <w:rPr>
                <w:rFonts w:ascii="Verdana" w:hAnsi="Verdana"/>
                <w:sz w:val="18"/>
                <w:szCs w:val="18"/>
              </w:rPr>
              <w:t xml:space="preserve">completion of the </w:t>
            </w:r>
            <w:r w:rsidRPr="00EC75B7">
              <w:rPr>
                <w:rFonts w:ascii="Verdana" w:hAnsi="Verdana"/>
                <w:spacing w:val="-2"/>
                <w:sz w:val="18"/>
                <w:szCs w:val="18"/>
              </w:rPr>
              <w:t xml:space="preserve">execution </w:t>
            </w:r>
            <w:r w:rsidRPr="00EC75B7">
              <w:rPr>
                <w:rFonts w:ascii="Verdana" w:hAnsi="Verdana"/>
                <w:sz w:val="18"/>
                <w:szCs w:val="18"/>
              </w:rPr>
              <w:t>works</w:t>
            </w:r>
            <w:r w:rsidRPr="00EC75B7">
              <w:rPr>
                <w:rFonts w:ascii="Verdana" w:hAnsi="Verdana"/>
                <w:spacing w:val="-2"/>
                <w:sz w:val="18"/>
                <w:szCs w:val="18"/>
              </w:rPr>
              <w:t>.</w:t>
            </w:r>
          </w:p>
        </w:tc>
      </w:tr>
      <w:tr w:rsidR="008715BE" w:rsidRPr="00EC75B7" w14:paraId="60481BE6" w14:textId="77777777">
        <w:trPr>
          <w:trHeight w:val="1168"/>
        </w:trPr>
        <w:tc>
          <w:tcPr>
            <w:tcW w:w="725" w:type="dxa"/>
            <w:vMerge/>
            <w:tcBorders>
              <w:top w:val="nil"/>
            </w:tcBorders>
            <w:textDirection w:val="btLr"/>
          </w:tcPr>
          <w:p w14:paraId="7F318538" w14:textId="77777777" w:rsidR="008715BE" w:rsidRPr="00EC75B7" w:rsidRDefault="008715BE">
            <w:pPr>
              <w:rPr>
                <w:rFonts w:ascii="Verdana" w:hAnsi="Verdana"/>
                <w:sz w:val="18"/>
                <w:szCs w:val="18"/>
              </w:rPr>
            </w:pPr>
          </w:p>
        </w:tc>
        <w:tc>
          <w:tcPr>
            <w:tcW w:w="2914" w:type="dxa"/>
            <w:vMerge w:val="restart"/>
          </w:tcPr>
          <w:p w14:paraId="29D0AE34" w14:textId="77777777" w:rsidR="008715BE" w:rsidRPr="00EC75B7" w:rsidRDefault="00000000">
            <w:pPr>
              <w:pStyle w:val="TableParagraph"/>
              <w:spacing w:before="1"/>
              <w:ind w:left="105" w:right="178"/>
              <w:rPr>
                <w:rFonts w:ascii="Verdana" w:hAnsi="Verdana"/>
                <w:sz w:val="18"/>
                <w:szCs w:val="18"/>
              </w:rPr>
            </w:pPr>
            <w:r w:rsidRPr="00EC75B7">
              <w:rPr>
                <w:rFonts w:ascii="Verdana" w:hAnsi="Verdana"/>
                <w:sz w:val="18"/>
                <w:szCs w:val="18"/>
              </w:rPr>
              <w:t xml:space="preserve">Construction of </w:t>
            </w:r>
            <w:r w:rsidRPr="00EC75B7">
              <w:rPr>
                <w:rFonts w:ascii="Verdana" w:hAnsi="Verdana"/>
                <w:spacing w:val="-2"/>
                <w:sz w:val="18"/>
                <w:szCs w:val="18"/>
              </w:rPr>
              <w:t xml:space="preserve">transformer </w:t>
            </w:r>
            <w:r w:rsidRPr="00EC75B7">
              <w:rPr>
                <w:rFonts w:ascii="Verdana" w:hAnsi="Verdana"/>
                <w:sz w:val="18"/>
                <w:szCs w:val="18"/>
              </w:rPr>
              <w:t>stations</w:t>
            </w:r>
          </w:p>
        </w:tc>
        <w:tc>
          <w:tcPr>
            <w:tcW w:w="2468" w:type="dxa"/>
          </w:tcPr>
          <w:p w14:paraId="45B7DA48" w14:textId="77777777" w:rsidR="008715BE" w:rsidRPr="00EC75B7" w:rsidRDefault="00000000">
            <w:pPr>
              <w:pStyle w:val="TableParagraph"/>
              <w:spacing w:before="1"/>
              <w:ind w:left="105"/>
              <w:rPr>
                <w:rFonts w:ascii="Verdana" w:hAnsi="Verdana"/>
                <w:sz w:val="18"/>
                <w:szCs w:val="18"/>
              </w:rPr>
            </w:pPr>
            <w:r w:rsidRPr="00EC75B7">
              <w:rPr>
                <w:rFonts w:ascii="Verdana" w:hAnsi="Verdana"/>
                <w:sz w:val="18"/>
                <w:szCs w:val="18"/>
              </w:rPr>
              <w:t xml:space="preserve">Permanent </w:t>
            </w:r>
            <w:r w:rsidRPr="00EC75B7">
              <w:rPr>
                <w:rFonts w:ascii="Verdana" w:hAnsi="Verdana"/>
                <w:spacing w:val="-2"/>
                <w:sz w:val="18"/>
                <w:szCs w:val="18"/>
              </w:rPr>
              <w:t xml:space="preserve">land </w:t>
            </w:r>
            <w:r w:rsidRPr="00EC75B7">
              <w:rPr>
                <w:rFonts w:ascii="Verdana" w:hAnsi="Verdana"/>
                <w:sz w:val="18"/>
                <w:szCs w:val="18"/>
              </w:rPr>
              <w:t>occupation</w:t>
            </w:r>
          </w:p>
        </w:tc>
        <w:tc>
          <w:tcPr>
            <w:tcW w:w="2093" w:type="dxa"/>
          </w:tcPr>
          <w:p w14:paraId="393DCA62" w14:textId="77777777" w:rsidR="008715BE" w:rsidRPr="00EC75B7" w:rsidRDefault="00000000">
            <w:pPr>
              <w:pStyle w:val="TableParagraph"/>
              <w:tabs>
                <w:tab w:val="left" w:pos="1170"/>
              </w:tabs>
              <w:spacing w:before="1" w:line="195" w:lineRule="exact"/>
              <w:ind w:left="107"/>
              <w:rPr>
                <w:rFonts w:ascii="Verdana" w:hAnsi="Verdana"/>
                <w:sz w:val="18"/>
                <w:szCs w:val="18"/>
              </w:rPr>
            </w:pPr>
            <w:r w:rsidRPr="00EC75B7">
              <w:rPr>
                <w:rFonts w:ascii="Verdana" w:hAnsi="Verdana"/>
                <w:spacing w:val="-2"/>
                <w:sz w:val="18"/>
                <w:szCs w:val="18"/>
              </w:rPr>
              <w:t>Loss of</w:t>
            </w:r>
            <w:r w:rsidRPr="00EC75B7">
              <w:rPr>
                <w:rFonts w:ascii="Verdana" w:hAnsi="Verdana"/>
                <w:sz w:val="18"/>
                <w:szCs w:val="18"/>
              </w:rPr>
              <w:tab/>
            </w:r>
            <w:r w:rsidRPr="00EC75B7">
              <w:rPr>
                <w:rFonts w:ascii="Verdana" w:hAnsi="Verdana"/>
                <w:spacing w:val="-2"/>
                <w:sz w:val="18"/>
                <w:szCs w:val="18"/>
              </w:rPr>
              <w:t>of</w:t>
            </w:r>
          </w:p>
          <w:p w14:paraId="1289DD5B"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soil</w:t>
            </w:r>
          </w:p>
        </w:tc>
        <w:tc>
          <w:tcPr>
            <w:tcW w:w="924" w:type="dxa"/>
          </w:tcPr>
          <w:p w14:paraId="4DFDB809" w14:textId="77777777" w:rsidR="008715BE" w:rsidRPr="00EC75B7" w:rsidRDefault="00000000">
            <w:pPr>
              <w:pStyle w:val="TableParagraph"/>
              <w:spacing w:before="1"/>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198A1228"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Direct</w:t>
            </w:r>
          </w:p>
        </w:tc>
        <w:tc>
          <w:tcPr>
            <w:tcW w:w="567" w:type="dxa"/>
          </w:tcPr>
          <w:p w14:paraId="60E736AF"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5"/>
                <w:sz w:val="18"/>
                <w:szCs w:val="18"/>
              </w:rPr>
              <w:t>Yes</w:t>
            </w:r>
          </w:p>
        </w:tc>
        <w:tc>
          <w:tcPr>
            <w:tcW w:w="851" w:type="dxa"/>
          </w:tcPr>
          <w:p w14:paraId="2129D395"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2"/>
                <w:sz w:val="18"/>
                <w:szCs w:val="18"/>
              </w:rPr>
              <w:t>Long</w:t>
            </w:r>
          </w:p>
        </w:tc>
        <w:tc>
          <w:tcPr>
            <w:tcW w:w="1136" w:type="dxa"/>
          </w:tcPr>
          <w:p w14:paraId="5CA6C635" w14:textId="77777777" w:rsidR="008715BE" w:rsidRPr="00EC75B7" w:rsidRDefault="00000000">
            <w:pPr>
              <w:pStyle w:val="TableParagraph"/>
              <w:spacing w:before="1"/>
              <w:ind w:left="2" w:right="40"/>
              <w:jc w:val="center"/>
              <w:rPr>
                <w:rFonts w:ascii="Verdana" w:hAnsi="Verdana"/>
                <w:sz w:val="18"/>
                <w:szCs w:val="18"/>
              </w:rPr>
            </w:pPr>
            <w:r w:rsidRPr="00EC75B7">
              <w:rPr>
                <w:rFonts w:ascii="Verdana" w:hAnsi="Verdana"/>
                <w:spacing w:val="-2"/>
                <w:sz w:val="18"/>
                <w:szCs w:val="18"/>
              </w:rPr>
              <w:t>Permanent</w:t>
            </w:r>
          </w:p>
        </w:tc>
        <w:tc>
          <w:tcPr>
            <w:tcW w:w="850" w:type="dxa"/>
          </w:tcPr>
          <w:p w14:paraId="050EB93F" w14:textId="77777777" w:rsidR="008715BE" w:rsidRPr="00EC75B7" w:rsidRDefault="00000000">
            <w:pPr>
              <w:pStyle w:val="TableParagraph"/>
              <w:spacing w:before="1"/>
              <w:ind w:left="102"/>
              <w:rPr>
                <w:rFonts w:ascii="Verdana" w:hAnsi="Verdana"/>
                <w:sz w:val="18"/>
                <w:szCs w:val="18"/>
              </w:rPr>
            </w:pPr>
            <w:r w:rsidRPr="00EC75B7">
              <w:rPr>
                <w:rFonts w:ascii="Verdana" w:hAnsi="Verdana"/>
                <w:spacing w:val="-2"/>
                <w:sz w:val="18"/>
                <w:szCs w:val="18"/>
              </w:rPr>
              <w:t>Local</w:t>
            </w:r>
          </w:p>
        </w:tc>
        <w:tc>
          <w:tcPr>
            <w:tcW w:w="1136" w:type="dxa"/>
          </w:tcPr>
          <w:p w14:paraId="20E55F22" w14:textId="77777777" w:rsidR="008715BE" w:rsidRPr="00EC75B7" w:rsidRDefault="00000000">
            <w:pPr>
              <w:pStyle w:val="TableParagraph"/>
              <w:spacing w:before="1"/>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1A7F6C80" w14:textId="77777777" w:rsidR="008715BE" w:rsidRPr="00EC75B7" w:rsidRDefault="00000000">
            <w:pPr>
              <w:pStyle w:val="TableParagraph"/>
              <w:spacing w:before="1"/>
              <w:ind w:left="101"/>
              <w:rPr>
                <w:rFonts w:ascii="Verdana" w:hAnsi="Verdana"/>
                <w:sz w:val="18"/>
                <w:szCs w:val="18"/>
              </w:rPr>
            </w:pPr>
            <w:r w:rsidRPr="00EC75B7">
              <w:rPr>
                <w:rFonts w:ascii="Verdana" w:hAnsi="Verdana"/>
                <w:spacing w:val="-2"/>
                <w:sz w:val="18"/>
                <w:szCs w:val="18"/>
              </w:rPr>
              <w:t>Reversible</w:t>
            </w:r>
          </w:p>
        </w:tc>
        <w:tc>
          <w:tcPr>
            <w:tcW w:w="1419" w:type="dxa"/>
          </w:tcPr>
          <w:p w14:paraId="2572397A" w14:textId="77777777" w:rsidR="008715BE" w:rsidRPr="00EC75B7" w:rsidRDefault="00000000">
            <w:pPr>
              <w:pStyle w:val="TableParagraph"/>
              <w:spacing w:before="1"/>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2A13C208" w14:textId="77777777" w:rsidR="008715BE" w:rsidRPr="00EC75B7" w:rsidRDefault="00000000">
            <w:pPr>
              <w:pStyle w:val="TableParagraph"/>
              <w:spacing w:before="1"/>
              <w:ind w:left="99" w:right="104"/>
              <w:jc w:val="both"/>
              <w:rPr>
                <w:rFonts w:ascii="Verdana" w:hAnsi="Verdana"/>
                <w:sz w:val="18"/>
                <w:szCs w:val="18"/>
              </w:rPr>
            </w:pPr>
            <w:r w:rsidRPr="00EC75B7">
              <w:rPr>
                <w:rFonts w:ascii="Verdana" w:hAnsi="Verdana"/>
                <w:sz w:val="18"/>
                <w:szCs w:val="18"/>
              </w:rPr>
              <w:t xml:space="preserve">The areas occupied by the footprint of the wind turbine foundations, the construction of access roads, the construction of the electrical substation, and the laying of the underground electrical network (LES) will be smaller than the total area of the park and are reduced in relation </w:t>
            </w:r>
            <w:r w:rsidRPr="00EC75B7">
              <w:rPr>
                <w:rFonts w:ascii="Verdana" w:hAnsi="Verdana"/>
                <w:spacing w:val="-5"/>
                <w:sz w:val="18"/>
                <w:szCs w:val="18"/>
              </w:rPr>
              <w:t>to</w:t>
            </w:r>
          </w:p>
          <w:p w14:paraId="53077609" w14:textId="77777777" w:rsidR="008715BE" w:rsidRPr="00EC75B7" w:rsidRDefault="00000000">
            <w:pPr>
              <w:pStyle w:val="TableParagraph"/>
              <w:spacing w:line="170" w:lineRule="exact"/>
              <w:ind w:left="99"/>
              <w:jc w:val="both"/>
              <w:rPr>
                <w:rFonts w:ascii="Verdana" w:hAnsi="Verdana"/>
                <w:sz w:val="18"/>
                <w:szCs w:val="18"/>
              </w:rPr>
            </w:pPr>
            <w:r w:rsidRPr="00EC75B7">
              <w:rPr>
                <w:rFonts w:ascii="Verdana" w:hAnsi="Verdana"/>
                <w:sz w:val="18"/>
                <w:szCs w:val="18"/>
              </w:rPr>
              <w:lastRenderedPageBreak/>
              <w:t xml:space="preserve">the total area of </w:t>
            </w:r>
            <w:r w:rsidRPr="00EC75B7">
              <w:rPr>
                <w:rFonts w:ascii="Verdana" w:hAnsi="Verdana"/>
                <w:spacing w:val="-2"/>
                <w:sz w:val="18"/>
                <w:szCs w:val="18"/>
              </w:rPr>
              <w:t>the park.</w:t>
            </w:r>
          </w:p>
        </w:tc>
      </w:tr>
      <w:tr w:rsidR="008715BE" w:rsidRPr="00EC75B7" w14:paraId="0D00FE07" w14:textId="77777777">
        <w:trPr>
          <w:trHeight w:val="1360"/>
        </w:trPr>
        <w:tc>
          <w:tcPr>
            <w:tcW w:w="725" w:type="dxa"/>
            <w:vMerge/>
            <w:tcBorders>
              <w:top w:val="nil"/>
            </w:tcBorders>
            <w:textDirection w:val="btLr"/>
          </w:tcPr>
          <w:p w14:paraId="49631E38" w14:textId="77777777" w:rsidR="008715BE" w:rsidRPr="00EC75B7" w:rsidRDefault="008715BE">
            <w:pPr>
              <w:rPr>
                <w:rFonts w:ascii="Verdana" w:hAnsi="Verdana"/>
                <w:sz w:val="18"/>
                <w:szCs w:val="18"/>
              </w:rPr>
            </w:pPr>
          </w:p>
        </w:tc>
        <w:tc>
          <w:tcPr>
            <w:tcW w:w="2914" w:type="dxa"/>
            <w:vMerge/>
            <w:tcBorders>
              <w:top w:val="nil"/>
            </w:tcBorders>
          </w:tcPr>
          <w:p w14:paraId="7A8B381C" w14:textId="77777777" w:rsidR="008715BE" w:rsidRPr="00EC75B7" w:rsidRDefault="008715BE">
            <w:pPr>
              <w:rPr>
                <w:rFonts w:ascii="Verdana" w:hAnsi="Verdana"/>
                <w:sz w:val="18"/>
                <w:szCs w:val="18"/>
              </w:rPr>
            </w:pPr>
          </w:p>
        </w:tc>
        <w:tc>
          <w:tcPr>
            <w:tcW w:w="2468" w:type="dxa"/>
          </w:tcPr>
          <w:p w14:paraId="49F48E58"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Excavations, </w:t>
            </w:r>
            <w:r w:rsidRPr="00EC75B7">
              <w:rPr>
                <w:rFonts w:ascii="Verdana" w:hAnsi="Verdana"/>
                <w:spacing w:val="-5"/>
                <w:sz w:val="18"/>
                <w:szCs w:val="18"/>
              </w:rPr>
              <w:t xml:space="preserve">soil </w:t>
            </w:r>
            <w:r w:rsidRPr="00EC75B7">
              <w:rPr>
                <w:rFonts w:ascii="Verdana" w:hAnsi="Verdana"/>
                <w:sz w:val="18"/>
                <w:szCs w:val="18"/>
              </w:rPr>
              <w:t>storage</w:t>
            </w:r>
          </w:p>
        </w:tc>
        <w:tc>
          <w:tcPr>
            <w:tcW w:w="2093" w:type="dxa"/>
          </w:tcPr>
          <w:p w14:paraId="4605AFB1" w14:textId="77777777" w:rsidR="008715BE" w:rsidRPr="00EC75B7" w:rsidRDefault="00000000">
            <w:pPr>
              <w:pStyle w:val="TableParagraph"/>
              <w:tabs>
                <w:tab w:val="left" w:pos="1759"/>
              </w:tabs>
              <w:ind w:left="107" w:right="97"/>
              <w:rPr>
                <w:rFonts w:ascii="Verdana" w:hAnsi="Verdana"/>
                <w:sz w:val="18"/>
                <w:szCs w:val="18"/>
              </w:rPr>
            </w:pPr>
            <w:r w:rsidRPr="00EC75B7">
              <w:rPr>
                <w:rFonts w:ascii="Verdana" w:hAnsi="Verdana"/>
                <w:spacing w:val="-2"/>
                <w:sz w:val="18"/>
                <w:szCs w:val="18"/>
              </w:rPr>
              <w:t>Contamination</w:t>
            </w:r>
            <w:r w:rsidRPr="00EC75B7">
              <w:rPr>
                <w:rFonts w:ascii="Verdana" w:hAnsi="Verdana"/>
                <w:sz w:val="18"/>
                <w:szCs w:val="18"/>
              </w:rPr>
              <w:tab/>
            </w:r>
            <w:r w:rsidRPr="00EC75B7">
              <w:rPr>
                <w:rFonts w:ascii="Verdana" w:hAnsi="Verdana"/>
                <w:spacing w:val="-2"/>
                <w:sz w:val="18"/>
                <w:szCs w:val="18"/>
              </w:rPr>
              <w:t>(accidental)</w:t>
            </w:r>
          </w:p>
        </w:tc>
        <w:tc>
          <w:tcPr>
            <w:tcW w:w="924" w:type="dxa"/>
          </w:tcPr>
          <w:p w14:paraId="6331FE74"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0FFB8A3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3FF27DA1"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54CA69E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744E53CE"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7BF1F434"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0C325E2A"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03531AB2"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2633E34D"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2FA3C323" w14:textId="77777777" w:rsidR="008715BE" w:rsidRPr="00EC75B7" w:rsidRDefault="00000000">
            <w:pPr>
              <w:pStyle w:val="TableParagraph"/>
              <w:ind w:left="99" w:right="104"/>
              <w:jc w:val="both"/>
              <w:rPr>
                <w:rFonts w:ascii="Verdana" w:hAnsi="Verdana"/>
                <w:sz w:val="18"/>
                <w:szCs w:val="18"/>
              </w:rPr>
            </w:pPr>
            <w:r w:rsidRPr="00EC75B7">
              <w:rPr>
                <w:rFonts w:ascii="Verdana" w:hAnsi="Verdana"/>
                <w:sz w:val="18"/>
                <w:szCs w:val="18"/>
              </w:rPr>
              <w:t>Only technically verified vehicles will be used, no fuel will be stored on site, and temporary storage will not be carried out directly on the ground. The impact will cease upon completion of the works, by removing all</w:t>
            </w:r>
          </w:p>
          <w:p w14:paraId="3881EF1B" w14:textId="77777777" w:rsidR="008715BE" w:rsidRPr="00EC75B7" w:rsidRDefault="00000000">
            <w:pPr>
              <w:pStyle w:val="TableParagraph"/>
              <w:spacing w:line="190" w:lineRule="exact"/>
              <w:ind w:left="99"/>
              <w:rPr>
                <w:rFonts w:ascii="Verdana" w:hAnsi="Verdana"/>
                <w:sz w:val="18"/>
                <w:szCs w:val="18"/>
              </w:rPr>
            </w:pPr>
            <w:r w:rsidRPr="00EC75B7">
              <w:rPr>
                <w:rFonts w:ascii="Verdana" w:hAnsi="Verdana"/>
                <w:sz w:val="18"/>
                <w:szCs w:val="18"/>
              </w:rPr>
              <w:t xml:space="preserve">vehicles, machinery, and temporary storage </w:t>
            </w:r>
            <w:r w:rsidRPr="00EC75B7">
              <w:rPr>
                <w:rFonts w:ascii="Verdana" w:hAnsi="Verdana"/>
                <w:spacing w:val="-5"/>
                <w:sz w:val="18"/>
                <w:szCs w:val="18"/>
              </w:rPr>
              <w:t xml:space="preserve">from </w:t>
            </w:r>
            <w:r w:rsidRPr="00EC75B7">
              <w:rPr>
                <w:rFonts w:ascii="Verdana" w:hAnsi="Verdana"/>
                <w:sz w:val="18"/>
                <w:szCs w:val="18"/>
              </w:rPr>
              <w:t>the</w:t>
            </w:r>
          </w:p>
          <w:p w14:paraId="6BBEAD08" w14:textId="77777777" w:rsidR="008715BE" w:rsidRPr="00EC75B7" w:rsidRDefault="00000000">
            <w:pPr>
              <w:pStyle w:val="TableParagraph"/>
              <w:spacing w:line="174" w:lineRule="exact"/>
              <w:ind w:left="99"/>
              <w:rPr>
                <w:rFonts w:ascii="Verdana" w:hAnsi="Verdana"/>
                <w:sz w:val="18"/>
                <w:szCs w:val="18"/>
              </w:rPr>
            </w:pPr>
            <w:r w:rsidRPr="00EC75B7">
              <w:rPr>
                <w:rFonts w:ascii="Verdana" w:hAnsi="Verdana"/>
                <w:spacing w:val="-2"/>
                <w:sz w:val="18"/>
                <w:szCs w:val="18"/>
              </w:rPr>
              <w:t>site.</w:t>
            </w:r>
          </w:p>
        </w:tc>
      </w:tr>
      <w:tr w:rsidR="008715BE" w:rsidRPr="00EC75B7" w14:paraId="0572878D" w14:textId="77777777">
        <w:trPr>
          <w:trHeight w:val="388"/>
        </w:trPr>
        <w:tc>
          <w:tcPr>
            <w:tcW w:w="725" w:type="dxa"/>
            <w:vMerge/>
            <w:tcBorders>
              <w:top w:val="nil"/>
            </w:tcBorders>
            <w:textDirection w:val="btLr"/>
          </w:tcPr>
          <w:p w14:paraId="7A1DF83B" w14:textId="77777777" w:rsidR="008715BE" w:rsidRPr="00EC75B7" w:rsidRDefault="008715BE">
            <w:pPr>
              <w:rPr>
                <w:rFonts w:ascii="Verdana" w:hAnsi="Verdana"/>
                <w:sz w:val="18"/>
                <w:szCs w:val="18"/>
              </w:rPr>
            </w:pPr>
          </w:p>
        </w:tc>
        <w:tc>
          <w:tcPr>
            <w:tcW w:w="2914" w:type="dxa"/>
          </w:tcPr>
          <w:p w14:paraId="6AC8D748"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 xml:space="preserve">Land </w:t>
            </w:r>
            <w:r w:rsidRPr="00EC75B7">
              <w:rPr>
                <w:rFonts w:ascii="Verdana" w:hAnsi="Verdana"/>
                <w:sz w:val="18"/>
                <w:szCs w:val="18"/>
              </w:rPr>
              <w:t>restoration works</w:t>
            </w:r>
          </w:p>
          <w:p w14:paraId="35F7DC12" w14:textId="77777777" w:rsidR="008715BE" w:rsidRPr="00EC75B7" w:rsidRDefault="00000000">
            <w:pPr>
              <w:pStyle w:val="TableParagraph"/>
              <w:spacing w:line="174" w:lineRule="exact"/>
              <w:ind w:left="105"/>
              <w:rPr>
                <w:rFonts w:ascii="Verdana" w:hAnsi="Verdana"/>
                <w:sz w:val="18"/>
                <w:szCs w:val="18"/>
              </w:rPr>
            </w:pPr>
            <w:r w:rsidRPr="00EC75B7">
              <w:rPr>
                <w:rFonts w:ascii="Verdana" w:hAnsi="Verdana"/>
                <w:sz w:val="18"/>
                <w:szCs w:val="18"/>
              </w:rPr>
              <w:t xml:space="preserve">at the end </w:t>
            </w:r>
            <w:r w:rsidRPr="00EC75B7">
              <w:rPr>
                <w:rFonts w:ascii="Verdana" w:hAnsi="Verdana"/>
                <w:spacing w:val="-2"/>
                <w:sz w:val="18"/>
                <w:szCs w:val="18"/>
              </w:rPr>
              <w:t>of execution</w:t>
            </w:r>
          </w:p>
        </w:tc>
        <w:tc>
          <w:tcPr>
            <w:tcW w:w="2468" w:type="dxa"/>
          </w:tcPr>
          <w:p w14:paraId="00C25C36" w14:textId="77777777" w:rsidR="008715BE" w:rsidRPr="00EC75B7" w:rsidRDefault="00000000">
            <w:pPr>
              <w:pStyle w:val="TableParagraph"/>
              <w:tabs>
                <w:tab w:val="left" w:pos="1247"/>
                <w:tab w:val="left" w:pos="1712"/>
              </w:tabs>
              <w:spacing w:line="194" w:lineRule="exact"/>
              <w:ind w:left="105"/>
              <w:rPr>
                <w:rFonts w:ascii="Verdana" w:hAnsi="Verdana"/>
                <w:sz w:val="18"/>
                <w:szCs w:val="18"/>
              </w:rPr>
            </w:pPr>
            <w:r w:rsidRPr="00EC75B7">
              <w:rPr>
                <w:rFonts w:ascii="Verdana" w:hAnsi="Verdana"/>
                <w:spacing w:val="-2"/>
                <w:sz w:val="18"/>
                <w:szCs w:val="18"/>
              </w:rPr>
              <w:t>Reinstallation</w:t>
            </w:r>
            <w:r w:rsidRPr="00EC75B7">
              <w:rPr>
                <w:rFonts w:ascii="Verdana" w:hAnsi="Verdana"/>
                <w:sz w:val="18"/>
                <w:szCs w:val="18"/>
              </w:rPr>
              <w:tab/>
            </w:r>
            <w:r w:rsidRPr="00EC75B7">
              <w:rPr>
                <w:rFonts w:ascii="Verdana" w:hAnsi="Verdana"/>
                <w:spacing w:val="-5"/>
                <w:sz w:val="18"/>
                <w:szCs w:val="18"/>
              </w:rPr>
              <w:t>soil</w:t>
            </w:r>
            <w:r w:rsidRPr="00EC75B7">
              <w:rPr>
                <w:rFonts w:ascii="Verdana" w:hAnsi="Verdana"/>
                <w:sz w:val="18"/>
                <w:szCs w:val="18"/>
              </w:rPr>
              <w:tab/>
            </w:r>
            <w:r w:rsidRPr="00EC75B7">
              <w:rPr>
                <w:rFonts w:ascii="Verdana" w:hAnsi="Verdana"/>
                <w:spacing w:val="-2"/>
                <w:sz w:val="18"/>
                <w:szCs w:val="18"/>
              </w:rPr>
              <w:t>vegetation,</w:t>
            </w:r>
          </w:p>
          <w:p w14:paraId="3B58238A" w14:textId="77777777" w:rsidR="008715BE" w:rsidRPr="00EC75B7" w:rsidRDefault="00000000">
            <w:pPr>
              <w:pStyle w:val="TableParagraph"/>
              <w:spacing w:line="174" w:lineRule="exact"/>
              <w:ind w:left="105"/>
              <w:rPr>
                <w:rFonts w:ascii="Verdana" w:hAnsi="Verdana"/>
                <w:sz w:val="18"/>
                <w:szCs w:val="18"/>
              </w:rPr>
            </w:pPr>
            <w:r w:rsidRPr="00EC75B7">
              <w:rPr>
                <w:rFonts w:ascii="Verdana" w:hAnsi="Verdana"/>
                <w:spacing w:val="-2"/>
                <w:sz w:val="18"/>
                <w:szCs w:val="18"/>
              </w:rPr>
              <w:t>resowing</w:t>
            </w:r>
          </w:p>
        </w:tc>
        <w:tc>
          <w:tcPr>
            <w:tcW w:w="2093" w:type="dxa"/>
          </w:tcPr>
          <w:p w14:paraId="3F582725" w14:textId="77777777" w:rsidR="008715BE" w:rsidRPr="00EC75B7" w:rsidRDefault="00000000">
            <w:pPr>
              <w:pStyle w:val="TableParagraph"/>
              <w:tabs>
                <w:tab w:val="left" w:pos="1170"/>
              </w:tabs>
              <w:spacing w:line="194" w:lineRule="exact"/>
              <w:ind w:left="107"/>
              <w:rPr>
                <w:rFonts w:ascii="Verdana" w:hAnsi="Verdana"/>
                <w:sz w:val="18"/>
                <w:szCs w:val="18"/>
              </w:rPr>
            </w:pPr>
            <w:r w:rsidRPr="00EC75B7">
              <w:rPr>
                <w:rFonts w:ascii="Verdana" w:hAnsi="Verdana"/>
                <w:spacing w:val="-2"/>
                <w:sz w:val="18"/>
                <w:szCs w:val="18"/>
              </w:rPr>
              <w:t>Impact</w:t>
            </w:r>
            <w:r w:rsidRPr="00EC75B7">
              <w:rPr>
                <w:rFonts w:ascii="Verdana" w:hAnsi="Verdana"/>
                <w:sz w:val="18"/>
                <w:szCs w:val="18"/>
              </w:rPr>
              <w:tab/>
            </w:r>
            <w:r w:rsidRPr="00EC75B7">
              <w:rPr>
                <w:rFonts w:ascii="Verdana" w:hAnsi="Verdana"/>
                <w:spacing w:val="-2"/>
                <w:sz w:val="18"/>
                <w:szCs w:val="18"/>
              </w:rPr>
              <w:t>of</w:t>
            </w:r>
          </w:p>
          <w:p w14:paraId="33E29CB8"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10"/>
                <w:sz w:val="18"/>
                <w:szCs w:val="18"/>
              </w:rPr>
              <w:t>/</w:t>
            </w:r>
          </w:p>
        </w:tc>
        <w:tc>
          <w:tcPr>
            <w:tcW w:w="924" w:type="dxa"/>
          </w:tcPr>
          <w:p w14:paraId="17A3165D" w14:textId="77777777" w:rsidR="008715BE" w:rsidRPr="00EC75B7" w:rsidRDefault="00000000">
            <w:pPr>
              <w:pStyle w:val="TableParagraph"/>
              <w:spacing w:line="195" w:lineRule="exact"/>
              <w:ind w:left="86" w:right="80"/>
              <w:jc w:val="center"/>
              <w:rPr>
                <w:rFonts w:ascii="Verdana" w:hAnsi="Verdana"/>
                <w:sz w:val="18"/>
                <w:szCs w:val="18"/>
              </w:rPr>
            </w:pPr>
            <w:r w:rsidRPr="00EC75B7">
              <w:rPr>
                <w:rFonts w:ascii="Verdana" w:hAnsi="Verdana"/>
                <w:spacing w:val="-2"/>
                <w:sz w:val="18"/>
                <w:szCs w:val="18"/>
              </w:rPr>
              <w:t>Negative</w:t>
            </w:r>
          </w:p>
        </w:tc>
        <w:tc>
          <w:tcPr>
            <w:tcW w:w="797" w:type="dxa"/>
          </w:tcPr>
          <w:p w14:paraId="669DA741"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567" w:type="dxa"/>
          </w:tcPr>
          <w:p w14:paraId="49264EAA"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5"/>
                <w:sz w:val="18"/>
                <w:szCs w:val="18"/>
              </w:rPr>
              <w:t>Yes</w:t>
            </w:r>
          </w:p>
        </w:tc>
        <w:tc>
          <w:tcPr>
            <w:tcW w:w="851" w:type="dxa"/>
          </w:tcPr>
          <w:p w14:paraId="5DA4B8BB"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136" w:type="dxa"/>
          </w:tcPr>
          <w:p w14:paraId="134FCA22" w14:textId="77777777" w:rsidR="008715BE" w:rsidRPr="00EC75B7" w:rsidRDefault="00000000">
            <w:pPr>
              <w:pStyle w:val="TableParagraph"/>
              <w:spacing w:line="195" w:lineRule="exact"/>
              <w:ind w:left="4" w:right="38"/>
              <w:jc w:val="center"/>
              <w:rPr>
                <w:rFonts w:ascii="Verdana" w:hAnsi="Verdana"/>
                <w:sz w:val="18"/>
                <w:szCs w:val="18"/>
              </w:rPr>
            </w:pPr>
            <w:r w:rsidRPr="00EC75B7">
              <w:rPr>
                <w:rFonts w:ascii="Verdana" w:hAnsi="Verdana"/>
                <w:spacing w:val="-2"/>
                <w:sz w:val="18"/>
                <w:szCs w:val="18"/>
              </w:rPr>
              <w:t>Temporary</w:t>
            </w:r>
          </w:p>
        </w:tc>
        <w:tc>
          <w:tcPr>
            <w:tcW w:w="850" w:type="dxa"/>
          </w:tcPr>
          <w:p w14:paraId="770A38EA"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Local</w:t>
            </w:r>
          </w:p>
        </w:tc>
        <w:tc>
          <w:tcPr>
            <w:tcW w:w="1136" w:type="dxa"/>
          </w:tcPr>
          <w:p w14:paraId="5E365C8C" w14:textId="77777777" w:rsidR="008715BE" w:rsidRPr="00EC75B7" w:rsidRDefault="00000000">
            <w:pPr>
              <w:pStyle w:val="TableParagraph"/>
              <w:spacing w:line="195" w:lineRule="exact"/>
              <w:ind w:left="2" w:right="175"/>
              <w:jc w:val="center"/>
              <w:rPr>
                <w:rFonts w:ascii="Verdana" w:hAnsi="Verdana"/>
                <w:sz w:val="18"/>
                <w:szCs w:val="18"/>
              </w:rPr>
            </w:pPr>
            <w:r w:rsidRPr="00EC75B7">
              <w:rPr>
                <w:rFonts w:ascii="Verdana" w:hAnsi="Verdana"/>
                <w:spacing w:val="-2"/>
                <w:sz w:val="18"/>
                <w:szCs w:val="18"/>
              </w:rPr>
              <w:t>Probable</w:t>
            </w:r>
          </w:p>
        </w:tc>
        <w:tc>
          <w:tcPr>
            <w:tcW w:w="1134" w:type="dxa"/>
          </w:tcPr>
          <w:p w14:paraId="6689444B" w14:textId="77777777" w:rsidR="008715BE" w:rsidRPr="00EC75B7" w:rsidRDefault="00000000">
            <w:pPr>
              <w:pStyle w:val="TableParagraph"/>
              <w:spacing w:line="195" w:lineRule="exact"/>
              <w:ind w:left="101"/>
              <w:rPr>
                <w:rFonts w:ascii="Verdana" w:hAnsi="Verdana"/>
                <w:sz w:val="18"/>
                <w:szCs w:val="18"/>
              </w:rPr>
            </w:pPr>
            <w:r w:rsidRPr="00EC75B7">
              <w:rPr>
                <w:rFonts w:ascii="Verdana" w:hAnsi="Verdana"/>
                <w:spacing w:val="-2"/>
                <w:sz w:val="18"/>
                <w:szCs w:val="18"/>
              </w:rPr>
              <w:t>Reversible</w:t>
            </w:r>
          </w:p>
        </w:tc>
        <w:tc>
          <w:tcPr>
            <w:tcW w:w="1419" w:type="dxa"/>
          </w:tcPr>
          <w:p w14:paraId="3B0DDE7E" w14:textId="77777777" w:rsidR="008715BE" w:rsidRPr="00EC75B7" w:rsidRDefault="00000000">
            <w:pPr>
              <w:pStyle w:val="TableParagraph"/>
              <w:spacing w:line="195" w:lineRule="exact"/>
              <w:ind w:left="13" w:right="36"/>
              <w:jc w:val="center"/>
              <w:rPr>
                <w:rFonts w:ascii="Verdana" w:hAnsi="Verdana"/>
                <w:sz w:val="18"/>
                <w:szCs w:val="18"/>
              </w:rPr>
            </w:pPr>
            <w:r w:rsidRPr="00EC75B7">
              <w:rPr>
                <w:rFonts w:ascii="Verdana" w:hAnsi="Verdana"/>
                <w:spacing w:val="-2"/>
                <w:sz w:val="18"/>
                <w:szCs w:val="18"/>
              </w:rPr>
              <w:t>Insignificant</w:t>
            </w:r>
          </w:p>
        </w:tc>
        <w:tc>
          <w:tcPr>
            <w:tcW w:w="5103" w:type="dxa"/>
          </w:tcPr>
          <w:p w14:paraId="1E1D5B2C" w14:textId="77777777" w:rsidR="008715BE" w:rsidRPr="00EC75B7" w:rsidRDefault="00000000">
            <w:pPr>
              <w:pStyle w:val="TableParagraph"/>
              <w:spacing w:line="194" w:lineRule="exact"/>
              <w:ind w:left="99"/>
              <w:rPr>
                <w:rFonts w:ascii="Verdana" w:hAnsi="Verdana"/>
                <w:sz w:val="18"/>
                <w:szCs w:val="18"/>
              </w:rPr>
            </w:pPr>
            <w:r w:rsidRPr="00EC75B7">
              <w:rPr>
                <w:rFonts w:ascii="Verdana" w:hAnsi="Verdana"/>
                <w:sz w:val="18"/>
                <w:szCs w:val="18"/>
              </w:rPr>
              <w:t xml:space="preserve">The restoration works will ensure the landscaping </w:t>
            </w:r>
            <w:r w:rsidRPr="00EC75B7">
              <w:rPr>
                <w:rFonts w:ascii="Verdana" w:hAnsi="Verdana"/>
                <w:spacing w:val="-10"/>
                <w:sz w:val="18"/>
                <w:szCs w:val="18"/>
              </w:rPr>
              <w:t>of</w:t>
            </w:r>
          </w:p>
          <w:p w14:paraId="673F60D4" w14:textId="77777777" w:rsidR="008715BE" w:rsidRPr="00EC75B7" w:rsidRDefault="00000000">
            <w:pPr>
              <w:pStyle w:val="TableParagraph"/>
              <w:spacing w:line="174" w:lineRule="exact"/>
              <w:ind w:left="99"/>
              <w:rPr>
                <w:rFonts w:ascii="Verdana" w:hAnsi="Verdana"/>
                <w:sz w:val="18"/>
                <w:szCs w:val="18"/>
              </w:rPr>
            </w:pPr>
            <w:r w:rsidRPr="00EC75B7">
              <w:rPr>
                <w:rFonts w:ascii="Verdana" w:hAnsi="Verdana"/>
                <w:sz w:val="18"/>
                <w:szCs w:val="18"/>
              </w:rPr>
              <w:t xml:space="preserve">areas temporarily affected by the works, but also </w:t>
            </w:r>
            <w:r w:rsidRPr="00EC75B7">
              <w:rPr>
                <w:rFonts w:ascii="Verdana" w:hAnsi="Verdana"/>
                <w:spacing w:val="-10"/>
                <w:sz w:val="18"/>
                <w:szCs w:val="18"/>
              </w:rPr>
              <w:t>reduce</w:t>
            </w:r>
          </w:p>
        </w:tc>
      </w:tr>
    </w:tbl>
    <w:p w14:paraId="15C6DA3B" w14:textId="77777777" w:rsidR="008715BE" w:rsidRPr="00EC75B7" w:rsidRDefault="008715BE">
      <w:pPr>
        <w:pStyle w:val="TableParagraph"/>
        <w:spacing w:line="174" w:lineRule="exact"/>
        <w:rPr>
          <w:rFonts w:ascii="Verdana" w:hAnsi="Verdana"/>
          <w:sz w:val="18"/>
          <w:szCs w:val="18"/>
        </w:rPr>
        <w:sectPr w:rsidR="008715BE" w:rsidRPr="00EC75B7">
          <w:headerReference w:type="default" r:id="rId202"/>
          <w:footerReference w:type="default" r:id="rId203"/>
          <w:pgSz w:w="23810" w:h="16850" w:orient="landscape"/>
          <w:pgMar w:top="1160" w:right="708" w:bottom="1020" w:left="850" w:header="766" w:footer="823" w:gutter="0"/>
          <w:cols w:space="708"/>
        </w:sectPr>
      </w:pPr>
    </w:p>
    <w:p w14:paraId="08AED125" w14:textId="77777777" w:rsidR="008715BE" w:rsidRPr="00EC75B7" w:rsidRDefault="008715BE">
      <w:pPr>
        <w:pStyle w:val="BodyText"/>
        <w:spacing w:before="3"/>
        <w:rPr>
          <w:rFonts w:ascii="Verdana" w:hAnsi="Verdana"/>
          <w:b/>
        </w:rPr>
      </w:pP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914"/>
        <w:gridCol w:w="2468"/>
        <w:gridCol w:w="2093"/>
        <w:gridCol w:w="924"/>
        <w:gridCol w:w="797"/>
        <w:gridCol w:w="567"/>
        <w:gridCol w:w="851"/>
        <w:gridCol w:w="1136"/>
        <w:gridCol w:w="850"/>
        <w:gridCol w:w="1136"/>
        <w:gridCol w:w="1134"/>
        <w:gridCol w:w="1419"/>
        <w:gridCol w:w="5103"/>
      </w:tblGrid>
      <w:tr w:rsidR="008715BE" w:rsidRPr="00EC75B7" w14:paraId="04BAE40D" w14:textId="77777777">
        <w:trPr>
          <w:trHeight w:val="1257"/>
        </w:trPr>
        <w:tc>
          <w:tcPr>
            <w:tcW w:w="725" w:type="dxa"/>
            <w:shd w:val="clear" w:color="auto" w:fill="00AFEF"/>
          </w:tcPr>
          <w:p w14:paraId="359A2566" w14:textId="77777777" w:rsidR="008715BE" w:rsidRPr="00EC75B7" w:rsidRDefault="008715BE">
            <w:pPr>
              <w:pStyle w:val="TableParagraph"/>
              <w:rPr>
                <w:rFonts w:ascii="Verdana" w:hAnsi="Verdana"/>
                <w:b/>
                <w:sz w:val="18"/>
                <w:szCs w:val="18"/>
              </w:rPr>
            </w:pPr>
          </w:p>
          <w:p w14:paraId="7599934B" w14:textId="77777777" w:rsidR="008715BE" w:rsidRPr="00EC75B7" w:rsidRDefault="008715BE">
            <w:pPr>
              <w:pStyle w:val="TableParagraph"/>
              <w:spacing w:before="150"/>
              <w:rPr>
                <w:rFonts w:ascii="Verdana" w:hAnsi="Verdana"/>
                <w:b/>
                <w:sz w:val="18"/>
                <w:szCs w:val="18"/>
              </w:rPr>
            </w:pPr>
          </w:p>
          <w:p w14:paraId="1FB48AE6"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914" w:type="dxa"/>
            <w:shd w:val="clear" w:color="auto" w:fill="00AFEF"/>
          </w:tcPr>
          <w:p w14:paraId="6C416DB2" w14:textId="77777777" w:rsidR="008715BE" w:rsidRPr="00EC75B7" w:rsidRDefault="008715BE">
            <w:pPr>
              <w:pStyle w:val="TableParagraph"/>
              <w:rPr>
                <w:rFonts w:ascii="Verdana" w:hAnsi="Verdana"/>
                <w:b/>
                <w:sz w:val="18"/>
                <w:szCs w:val="18"/>
              </w:rPr>
            </w:pPr>
          </w:p>
          <w:p w14:paraId="251A4532" w14:textId="77777777" w:rsidR="008715BE" w:rsidRPr="00EC75B7" w:rsidRDefault="008715BE">
            <w:pPr>
              <w:pStyle w:val="TableParagraph"/>
              <w:spacing w:before="150"/>
              <w:rPr>
                <w:rFonts w:ascii="Verdana" w:hAnsi="Verdana"/>
                <w:b/>
                <w:sz w:val="18"/>
                <w:szCs w:val="18"/>
              </w:rPr>
            </w:pPr>
          </w:p>
          <w:p w14:paraId="7BDD48A1" w14:textId="77777777" w:rsidR="008715BE" w:rsidRPr="00EC75B7" w:rsidRDefault="00000000">
            <w:pPr>
              <w:pStyle w:val="TableParagraph"/>
              <w:spacing w:before="1"/>
              <w:ind w:left="462"/>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468" w:type="dxa"/>
            <w:shd w:val="clear" w:color="auto" w:fill="00AFEF"/>
          </w:tcPr>
          <w:p w14:paraId="733854E7" w14:textId="77777777" w:rsidR="008715BE" w:rsidRPr="00EC75B7" w:rsidRDefault="008715BE">
            <w:pPr>
              <w:pStyle w:val="TableParagraph"/>
              <w:rPr>
                <w:rFonts w:ascii="Verdana" w:hAnsi="Verdana"/>
                <w:b/>
                <w:sz w:val="18"/>
                <w:szCs w:val="18"/>
              </w:rPr>
            </w:pPr>
          </w:p>
          <w:p w14:paraId="531E0B0B" w14:textId="77777777" w:rsidR="008715BE" w:rsidRPr="00EC75B7" w:rsidRDefault="008715BE">
            <w:pPr>
              <w:pStyle w:val="TableParagraph"/>
              <w:spacing w:before="150"/>
              <w:rPr>
                <w:rFonts w:ascii="Verdana" w:hAnsi="Verdana"/>
                <w:b/>
                <w:sz w:val="18"/>
                <w:szCs w:val="18"/>
              </w:rPr>
            </w:pPr>
          </w:p>
          <w:p w14:paraId="429A78D7" w14:textId="77777777" w:rsidR="008715BE" w:rsidRPr="00EC75B7" w:rsidRDefault="00000000">
            <w:pPr>
              <w:pStyle w:val="TableParagraph"/>
              <w:spacing w:before="1"/>
              <w:ind w:left="4"/>
              <w:jc w:val="center"/>
              <w:rPr>
                <w:rFonts w:ascii="Verdana" w:hAnsi="Verdana"/>
                <w:b/>
                <w:sz w:val="18"/>
                <w:szCs w:val="18"/>
              </w:rPr>
            </w:pPr>
            <w:r w:rsidRPr="00EC75B7">
              <w:rPr>
                <w:rFonts w:ascii="Verdana" w:hAnsi="Verdana"/>
                <w:b/>
                <w:color w:val="FFFFFF"/>
                <w:spacing w:val="-2"/>
                <w:sz w:val="18"/>
                <w:szCs w:val="18"/>
              </w:rPr>
              <w:t>Effects</w:t>
            </w:r>
          </w:p>
        </w:tc>
        <w:tc>
          <w:tcPr>
            <w:tcW w:w="2093" w:type="dxa"/>
            <w:shd w:val="clear" w:color="auto" w:fill="00AFEF"/>
          </w:tcPr>
          <w:p w14:paraId="3B1AB3C3" w14:textId="77777777" w:rsidR="008715BE" w:rsidRPr="00EC75B7" w:rsidRDefault="008715BE">
            <w:pPr>
              <w:pStyle w:val="TableParagraph"/>
              <w:rPr>
                <w:rFonts w:ascii="Verdana" w:hAnsi="Verdana"/>
                <w:b/>
                <w:sz w:val="18"/>
                <w:szCs w:val="18"/>
              </w:rPr>
            </w:pPr>
          </w:p>
          <w:p w14:paraId="0A6F09A6" w14:textId="77777777" w:rsidR="008715BE" w:rsidRPr="00EC75B7" w:rsidRDefault="008715BE">
            <w:pPr>
              <w:pStyle w:val="TableParagraph"/>
              <w:spacing w:before="150"/>
              <w:rPr>
                <w:rFonts w:ascii="Verdana" w:hAnsi="Verdana"/>
                <w:b/>
                <w:sz w:val="18"/>
                <w:szCs w:val="18"/>
              </w:rPr>
            </w:pPr>
          </w:p>
          <w:p w14:paraId="60D1D58F" w14:textId="77777777" w:rsidR="008715BE" w:rsidRPr="00EC75B7" w:rsidRDefault="00000000">
            <w:pPr>
              <w:pStyle w:val="TableParagraph"/>
              <w:spacing w:before="1"/>
              <w:ind w:left="4"/>
              <w:jc w:val="center"/>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6CFAA7E3" w14:textId="77777777" w:rsidR="008715BE" w:rsidRPr="00EC75B7" w:rsidRDefault="00000000">
            <w:pPr>
              <w:pStyle w:val="TableParagraph"/>
              <w:spacing w:before="115" w:line="244" w:lineRule="auto"/>
              <w:ind w:left="112" w:right="29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797" w:type="dxa"/>
            <w:shd w:val="clear" w:color="auto" w:fill="00AFEF"/>
            <w:textDirection w:val="btLr"/>
          </w:tcPr>
          <w:p w14:paraId="6707A09B" w14:textId="77777777" w:rsidR="008715BE" w:rsidRPr="00EC75B7" w:rsidRDefault="00000000">
            <w:pPr>
              <w:pStyle w:val="TableParagraph"/>
              <w:spacing w:before="118" w:line="244" w:lineRule="auto"/>
              <w:ind w:left="112" w:right="190"/>
              <w:rPr>
                <w:rFonts w:ascii="Verdana" w:hAnsi="Verdana"/>
                <w:b/>
                <w:sz w:val="18"/>
                <w:szCs w:val="18"/>
              </w:rPr>
            </w:pPr>
            <w:r w:rsidRPr="00EC75B7">
              <w:rPr>
                <w:rFonts w:ascii="Verdana" w:hAnsi="Verdana"/>
                <w:b/>
                <w:color w:val="FFFFFF"/>
                <w:spacing w:val="-2"/>
                <w:sz w:val="18"/>
                <w:szCs w:val="18"/>
              </w:rPr>
              <w:t>Nature of impact</w:t>
            </w:r>
          </w:p>
        </w:tc>
        <w:tc>
          <w:tcPr>
            <w:tcW w:w="567" w:type="dxa"/>
            <w:shd w:val="clear" w:color="auto" w:fill="00AFEF"/>
            <w:textDirection w:val="btLr"/>
          </w:tcPr>
          <w:p w14:paraId="2AA93EF0" w14:textId="77777777" w:rsidR="008715BE" w:rsidRPr="00EC75B7" w:rsidRDefault="00000000">
            <w:pPr>
              <w:pStyle w:val="TableParagraph"/>
              <w:spacing w:before="115"/>
              <w:ind w:left="112"/>
              <w:rPr>
                <w:rFonts w:ascii="Verdana" w:hAnsi="Verdana"/>
                <w:b/>
                <w:sz w:val="18"/>
                <w:szCs w:val="18"/>
              </w:rPr>
            </w:pPr>
            <w:r w:rsidRPr="00EC75B7">
              <w:rPr>
                <w:rFonts w:ascii="Verdana" w:hAnsi="Verdana"/>
                <w:b/>
                <w:color w:val="FFFFFF"/>
                <w:spacing w:val="-2"/>
                <w:sz w:val="18"/>
                <w:szCs w:val="18"/>
              </w:rPr>
              <w:t>Potential</w:t>
            </w:r>
          </w:p>
          <w:p w14:paraId="39E054DB" w14:textId="77777777" w:rsidR="008715BE" w:rsidRPr="00EC75B7" w:rsidRDefault="00000000">
            <w:pPr>
              <w:pStyle w:val="TableParagraph"/>
              <w:spacing w:before="4"/>
              <w:ind w:left="112"/>
              <w:rPr>
                <w:rFonts w:ascii="Verdana" w:hAnsi="Verdana"/>
                <w:b/>
                <w:sz w:val="18"/>
                <w:szCs w:val="18"/>
              </w:rPr>
            </w:pPr>
            <w:r w:rsidRPr="00EC75B7">
              <w:rPr>
                <w:rFonts w:ascii="Verdana" w:hAnsi="Verdana"/>
                <w:b/>
                <w:color w:val="FFFFFF"/>
                <w:spacing w:val="-2"/>
                <w:sz w:val="18"/>
                <w:szCs w:val="18"/>
              </w:rPr>
              <w:t>Cumulative</w:t>
            </w:r>
          </w:p>
        </w:tc>
        <w:tc>
          <w:tcPr>
            <w:tcW w:w="851" w:type="dxa"/>
            <w:shd w:val="clear" w:color="auto" w:fill="00AFEF"/>
            <w:textDirection w:val="btLr"/>
          </w:tcPr>
          <w:p w14:paraId="6E241CF6" w14:textId="77777777" w:rsidR="008715BE" w:rsidRPr="00EC75B7" w:rsidRDefault="00000000">
            <w:pPr>
              <w:pStyle w:val="TableParagraph"/>
              <w:spacing w:before="115"/>
              <w:ind w:left="112"/>
              <w:rPr>
                <w:rFonts w:ascii="Verdana" w:hAnsi="Verdana"/>
                <w:b/>
                <w:sz w:val="18"/>
                <w:szCs w:val="18"/>
              </w:rPr>
            </w:pPr>
            <w:r w:rsidRPr="00EC75B7">
              <w:rPr>
                <w:rFonts w:ascii="Verdana" w:hAnsi="Verdana"/>
                <w:b/>
                <w:color w:val="FFFFFF"/>
                <w:spacing w:val="-2"/>
                <w:sz w:val="18"/>
                <w:szCs w:val="18"/>
              </w:rPr>
              <w:t>Duration</w:t>
            </w:r>
          </w:p>
        </w:tc>
        <w:tc>
          <w:tcPr>
            <w:tcW w:w="1136" w:type="dxa"/>
            <w:shd w:val="clear" w:color="auto" w:fill="00AFEF"/>
            <w:textDirection w:val="btLr"/>
          </w:tcPr>
          <w:p w14:paraId="7A780D8A" w14:textId="77777777" w:rsidR="008715BE" w:rsidRPr="00EC75B7" w:rsidRDefault="00000000">
            <w:pPr>
              <w:pStyle w:val="TableParagraph"/>
              <w:spacing w:before="116" w:line="244" w:lineRule="auto"/>
              <w:ind w:left="112" w:right="108"/>
              <w:rPr>
                <w:rFonts w:ascii="Verdana" w:hAnsi="Verdana"/>
                <w:b/>
                <w:sz w:val="18"/>
                <w:szCs w:val="18"/>
              </w:rPr>
            </w:pPr>
            <w:r w:rsidRPr="00EC75B7">
              <w:rPr>
                <w:rFonts w:ascii="Verdana" w:hAnsi="Verdana"/>
                <w:b/>
                <w:color w:val="FFFFFF"/>
                <w:spacing w:val="-2"/>
                <w:sz w:val="18"/>
                <w:szCs w:val="18"/>
              </w:rPr>
              <w:t xml:space="preserve">Frequency </w:t>
            </w:r>
            <w:r w:rsidRPr="00EC75B7">
              <w:rPr>
                <w:rFonts w:ascii="Verdana" w:hAnsi="Verdana"/>
                <w:b/>
                <w:color w:val="FFFFFF"/>
                <w:sz w:val="18"/>
                <w:szCs w:val="18"/>
              </w:rPr>
              <w:t xml:space="preserve">of </w:t>
            </w:r>
            <w:r w:rsidRPr="00EC75B7">
              <w:rPr>
                <w:rFonts w:ascii="Verdana" w:hAnsi="Verdana"/>
                <w:b/>
                <w:color w:val="FFFFFF"/>
                <w:spacing w:val="-2"/>
                <w:sz w:val="18"/>
                <w:szCs w:val="18"/>
              </w:rPr>
              <w:t>occurrence</w:t>
            </w:r>
          </w:p>
        </w:tc>
        <w:tc>
          <w:tcPr>
            <w:tcW w:w="850" w:type="dxa"/>
            <w:shd w:val="clear" w:color="auto" w:fill="00AFEF"/>
            <w:textDirection w:val="btLr"/>
          </w:tcPr>
          <w:p w14:paraId="6AAC50DB" w14:textId="77777777" w:rsidR="008715BE" w:rsidRPr="00EC75B7" w:rsidRDefault="00000000">
            <w:pPr>
              <w:pStyle w:val="TableParagraph"/>
              <w:spacing w:before="113"/>
              <w:ind w:left="112"/>
              <w:rPr>
                <w:rFonts w:ascii="Verdana" w:hAnsi="Verdana"/>
                <w:b/>
                <w:sz w:val="18"/>
                <w:szCs w:val="18"/>
              </w:rPr>
            </w:pPr>
            <w:r w:rsidRPr="00EC75B7">
              <w:rPr>
                <w:rFonts w:ascii="Verdana" w:hAnsi="Verdana"/>
                <w:b/>
                <w:color w:val="FFFFFF"/>
                <w:spacing w:val="-2"/>
                <w:sz w:val="18"/>
                <w:szCs w:val="18"/>
              </w:rPr>
              <w:t>Extent</w:t>
            </w:r>
          </w:p>
        </w:tc>
        <w:tc>
          <w:tcPr>
            <w:tcW w:w="1136" w:type="dxa"/>
            <w:shd w:val="clear" w:color="auto" w:fill="00AFEF"/>
            <w:textDirection w:val="btLr"/>
          </w:tcPr>
          <w:p w14:paraId="6FA6C6C9" w14:textId="77777777" w:rsidR="008715BE" w:rsidRPr="00EC75B7" w:rsidRDefault="00000000">
            <w:pPr>
              <w:pStyle w:val="TableParagraph"/>
              <w:spacing w:before="115" w:line="244" w:lineRule="auto"/>
              <w:ind w:left="112"/>
              <w:rPr>
                <w:rFonts w:ascii="Verdana" w:hAnsi="Verdana"/>
                <w:b/>
                <w:sz w:val="18"/>
                <w:szCs w:val="18"/>
              </w:rPr>
            </w:pPr>
            <w:r w:rsidRPr="00EC75B7">
              <w:rPr>
                <w:rFonts w:ascii="Verdana" w:hAnsi="Verdana"/>
                <w:b/>
                <w:color w:val="FFFFFF"/>
                <w:spacing w:val="-4"/>
                <w:sz w:val="18"/>
                <w:szCs w:val="18"/>
              </w:rPr>
              <w:t>Prob</w:t>
            </w:r>
            <w:r w:rsidRPr="00EC75B7">
              <w:rPr>
                <w:rFonts w:ascii="Verdana" w:hAnsi="Verdana"/>
                <w:b/>
                <w:color w:val="FFFFFF"/>
                <w:spacing w:val="-2"/>
                <w:sz w:val="18"/>
                <w:szCs w:val="18"/>
              </w:rPr>
              <w:t>ability</w:t>
            </w:r>
          </w:p>
        </w:tc>
        <w:tc>
          <w:tcPr>
            <w:tcW w:w="1134" w:type="dxa"/>
            <w:shd w:val="clear" w:color="auto" w:fill="00AFEF"/>
            <w:textDirection w:val="btLr"/>
          </w:tcPr>
          <w:p w14:paraId="6C24F611" w14:textId="77777777" w:rsidR="008715BE" w:rsidRPr="00EC75B7" w:rsidRDefault="00000000">
            <w:pPr>
              <w:pStyle w:val="TableParagraph"/>
              <w:spacing w:before="112" w:line="244" w:lineRule="auto"/>
              <w:ind w:left="112" w:right="117"/>
              <w:rPr>
                <w:rFonts w:ascii="Verdana" w:hAnsi="Verdana"/>
                <w:b/>
                <w:sz w:val="18"/>
                <w:szCs w:val="18"/>
              </w:rPr>
            </w:pPr>
            <w:r w:rsidRPr="00EC75B7">
              <w:rPr>
                <w:rFonts w:ascii="Verdana" w:hAnsi="Verdana"/>
                <w:b/>
                <w:color w:val="FFFFFF"/>
                <w:spacing w:val="-2"/>
                <w:sz w:val="18"/>
                <w:szCs w:val="18"/>
              </w:rPr>
              <w:t>Reversibility</w:t>
            </w:r>
          </w:p>
        </w:tc>
        <w:tc>
          <w:tcPr>
            <w:tcW w:w="1419" w:type="dxa"/>
            <w:shd w:val="clear" w:color="auto" w:fill="00AFEF"/>
          </w:tcPr>
          <w:p w14:paraId="6100DD7D" w14:textId="77777777" w:rsidR="008715BE" w:rsidRPr="00EC75B7" w:rsidRDefault="008715BE">
            <w:pPr>
              <w:pStyle w:val="TableParagraph"/>
              <w:spacing w:before="151"/>
              <w:rPr>
                <w:rFonts w:ascii="Verdana" w:hAnsi="Verdana"/>
                <w:b/>
                <w:sz w:val="18"/>
                <w:szCs w:val="18"/>
              </w:rPr>
            </w:pPr>
          </w:p>
          <w:p w14:paraId="793DF33A" w14:textId="77777777" w:rsidR="008715BE" w:rsidRPr="00EC75B7" w:rsidRDefault="00000000">
            <w:pPr>
              <w:pStyle w:val="TableParagraph"/>
              <w:ind w:left="126" w:right="126" w:hanging="5"/>
              <w:jc w:val="center"/>
              <w:rPr>
                <w:rFonts w:ascii="Verdana" w:hAnsi="Verdana"/>
                <w:b/>
                <w:sz w:val="18"/>
                <w:szCs w:val="18"/>
              </w:rPr>
            </w:pPr>
            <w:r w:rsidRPr="00EC75B7">
              <w:rPr>
                <w:rFonts w:ascii="Verdana" w:hAnsi="Verdana"/>
                <w:b/>
                <w:color w:val="FFFFFF"/>
                <w:spacing w:val="-2"/>
                <w:sz w:val="18"/>
                <w:szCs w:val="18"/>
              </w:rPr>
              <w:t>Assessment of impact significance</w:t>
            </w:r>
          </w:p>
        </w:tc>
        <w:tc>
          <w:tcPr>
            <w:tcW w:w="5103" w:type="dxa"/>
            <w:shd w:val="clear" w:color="auto" w:fill="00AFEF"/>
          </w:tcPr>
          <w:p w14:paraId="58A8EAB6" w14:textId="77777777" w:rsidR="008715BE" w:rsidRPr="00EC75B7" w:rsidRDefault="008715BE">
            <w:pPr>
              <w:pStyle w:val="TableParagraph"/>
              <w:rPr>
                <w:rFonts w:ascii="Verdana" w:hAnsi="Verdana"/>
                <w:b/>
                <w:sz w:val="18"/>
                <w:szCs w:val="18"/>
              </w:rPr>
            </w:pPr>
          </w:p>
          <w:p w14:paraId="63411EA8" w14:textId="77777777" w:rsidR="008715BE" w:rsidRPr="00EC75B7" w:rsidRDefault="008715BE">
            <w:pPr>
              <w:pStyle w:val="TableParagraph"/>
              <w:spacing w:before="150"/>
              <w:rPr>
                <w:rFonts w:ascii="Verdana" w:hAnsi="Verdana"/>
                <w:b/>
                <w:sz w:val="18"/>
                <w:szCs w:val="18"/>
              </w:rPr>
            </w:pPr>
          </w:p>
          <w:p w14:paraId="54420B5D" w14:textId="77777777" w:rsidR="008715BE" w:rsidRPr="00EC75B7" w:rsidRDefault="00000000">
            <w:pPr>
              <w:pStyle w:val="TableParagraph"/>
              <w:spacing w:before="1"/>
              <w:ind w:right="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4AA9BD5D" w14:textId="77777777">
        <w:trPr>
          <w:trHeight w:val="971"/>
        </w:trPr>
        <w:tc>
          <w:tcPr>
            <w:tcW w:w="725" w:type="dxa"/>
          </w:tcPr>
          <w:p w14:paraId="10CB8477" w14:textId="77777777" w:rsidR="008715BE" w:rsidRPr="00EC75B7" w:rsidRDefault="008715BE">
            <w:pPr>
              <w:pStyle w:val="TableParagraph"/>
              <w:rPr>
                <w:rFonts w:ascii="Verdana" w:hAnsi="Verdana"/>
                <w:sz w:val="18"/>
                <w:szCs w:val="18"/>
              </w:rPr>
            </w:pPr>
          </w:p>
        </w:tc>
        <w:tc>
          <w:tcPr>
            <w:tcW w:w="2914" w:type="dxa"/>
          </w:tcPr>
          <w:p w14:paraId="6AA5967B" w14:textId="77777777" w:rsidR="008715BE" w:rsidRPr="00EC75B7" w:rsidRDefault="008715BE">
            <w:pPr>
              <w:pStyle w:val="TableParagraph"/>
              <w:rPr>
                <w:rFonts w:ascii="Verdana" w:hAnsi="Verdana"/>
                <w:sz w:val="18"/>
                <w:szCs w:val="18"/>
              </w:rPr>
            </w:pPr>
          </w:p>
        </w:tc>
        <w:tc>
          <w:tcPr>
            <w:tcW w:w="2468" w:type="dxa"/>
          </w:tcPr>
          <w:p w14:paraId="6D8AD0EF" w14:textId="77777777" w:rsidR="008715BE" w:rsidRPr="00EC75B7" w:rsidRDefault="008715BE">
            <w:pPr>
              <w:pStyle w:val="TableParagraph"/>
              <w:rPr>
                <w:rFonts w:ascii="Verdana" w:hAnsi="Verdana"/>
                <w:sz w:val="18"/>
                <w:szCs w:val="18"/>
              </w:rPr>
            </w:pPr>
          </w:p>
        </w:tc>
        <w:tc>
          <w:tcPr>
            <w:tcW w:w="2093" w:type="dxa"/>
          </w:tcPr>
          <w:p w14:paraId="017E6261" w14:textId="77777777" w:rsidR="008715BE" w:rsidRPr="00EC75B7" w:rsidRDefault="00000000">
            <w:pPr>
              <w:pStyle w:val="TableParagraph"/>
              <w:tabs>
                <w:tab w:val="left" w:pos="1325"/>
              </w:tabs>
              <w:spacing w:before="8" w:line="195" w:lineRule="exact"/>
              <w:ind w:left="107"/>
              <w:rPr>
                <w:rFonts w:ascii="Verdana" w:hAnsi="Verdana"/>
                <w:sz w:val="18"/>
                <w:szCs w:val="18"/>
              </w:rPr>
            </w:pPr>
            <w:r w:rsidRPr="00EC75B7">
              <w:rPr>
                <w:rFonts w:ascii="Verdana" w:hAnsi="Verdana"/>
                <w:spacing w:val="-2"/>
                <w:sz w:val="18"/>
                <w:szCs w:val="18"/>
              </w:rPr>
              <w:t>Spread</w:t>
            </w:r>
            <w:r w:rsidRPr="00EC75B7">
              <w:rPr>
                <w:rFonts w:ascii="Verdana" w:hAnsi="Verdana"/>
                <w:sz w:val="18"/>
                <w:szCs w:val="18"/>
              </w:rPr>
              <w:tab/>
            </w:r>
            <w:r w:rsidRPr="00EC75B7">
              <w:rPr>
                <w:rFonts w:ascii="Verdana" w:hAnsi="Verdana"/>
                <w:spacing w:val="-2"/>
                <w:sz w:val="18"/>
                <w:szCs w:val="18"/>
              </w:rPr>
              <w:t>of invasive species</w:t>
            </w:r>
          </w:p>
          <w:p w14:paraId="6890D8F6"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of invasive</w:t>
            </w:r>
          </w:p>
        </w:tc>
        <w:tc>
          <w:tcPr>
            <w:tcW w:w="924" w:type="dxa"/>
          </w:tcPr>
          <w:p w14:paraId="17E03847" w14:textId="77777777" w:rsidR="008715BE" w:rsidRPr="00EC75B7" w:rsidRDefault="008715BE">
            <w:pPr>
              <w:pStyle w:val="TableParagraph"/>
              <w:rPr>
                <w:rFonts w:ascii="Verdana" w:hAnsi="Verdana"/>
                <w:sz w:val="18"/>
                <w:szCs w:val="18"/>
              </w:rPr>
            </w:pPr>
          </w:p>
        </w:tc>
        <w:tc>
          <w:tcPr>
            <w:tcW w:w="797" w:type="dxa"/>
          </w:tcPr>
          <w:p w14:paraId="0FDBB1BF" w14:textId="77777777" w:rsidR="008715BE" w:rsidRPr="00EC75B7" w:rsidRDefault="008715BE">
            <w:pPr>
              <w:pStyle w:val="TableParagraph"/>
              <w:rPr>
                <w:rFonts w:ascii="Verdana" w:hAnsi="Verdana"/>
                <w:sz w:val="18"/>
                <w:szCs w:val="18"/>
              </w:rPr>
            </w:pPr>
          </w:p>
        </w:tc>
        <w:tc>
          <w:tcPr>
            <w:tcW w:w="567" w:type="dxa"/>
          </w:tcPr>
          <w:p w14:paraId="7A3E9778" w14:textId="77777777" w:rsidR="008715BE" w:rsidRPr="00EC75B7" w:rsidRDefault="008715BE">
            <w:pPr>
              <w:pStyle w:val="TableParagraph"/>
              <w:rPr>
                <w:rFonts w:ascii="Verdana" w:hAnsi="Verdana"/>
                <w:sz w:val="18"/>
                <w:szCs w:val="18"/>
              </w:rPr>
            </w:pPr>
          </w:p>
        </w:tc>
        <w:tc>
          <w:tcPr>
            <w:tcW w:w="851" w:type="dxa"/>
          </w:tcPr>
          <w:p w14:paraId="4E45C171" w14:textId="77777777" w:rsidR="008715BE" w:rsidRPr="00EC75B7" w:rsidRDefault="008715BE">
            <w:pPr>
              <w:pStyle w:val="TableParagraph"/>
              <w:rPr>
                <w:rFonts w:ascii="Verdana" w:hAnsi="Verdana"/>
                <w:sz w:val="18"/>
                <w:szCs w:val="18"/>
              </w:rPr>
            </w:pPr>
          </w:p>
        </w:tc>
        <w:tc>
          <w:tcPr>
            <w:tcW w:w="1136" w:type="dxa"/>
          </w:tcPr>
          <w:p w14:paraId="651AE6C9" w14:textId="77777777" w:rsidR="008715BE" w:rsidRPr="00EC75B7" w:rsidRDefault="008715BE">
            <w:pPr>
              <w:pStyle w:val="TableParagraph"/>
              <w:rPr>
                <w:rFonts w:ascii="Verdana" w:hAnsi="Verdana"/>
                <w:sz w:val="18"/>
                <w:szCs w:val="18"/>
              </w:rPr>
            </w:pPr>
          </w:p>
        </w:tc>
        <w:tc>
          <w:tcPr>
            <w:tcW w:w="850" w:type="dxa"/>
          </w:tcPr>
          <w:p w14:paraId="5414ABF2" w14:textId="77777777" w:rsidR="008715BE" w:rsidRPr="00EC75B7" w:rsidRDefault="008715BE">
            <w:pPr>
              <w:pStyle w:val="TableParagraph"/>
              <w:rPr>
                <w:rFonts w:ascii="Verdana" w:hAnsi="Verdana"/>
                <w:sz w:val="18"/>
                <w:szCs w:val="18"/>
              </w:rPr>
            </w:pPr>
          </w:p>
        </w:tc>
        <w:tc>
          <w:tcPr>
            <w:tcW w:w="1136" w:type="dxa"/>
          </w:tcPr>
          <w:p w14:paraId="38155794" w14:textId="77777777" w:rsidR="008715BE" w:rsidRPr="00EC75B7" w:rsidRDefault="008715BE">
            <w:pPr>
              <w:pStyle w:val="TableParagraph"/>
              <w:rPr>
                <w:rFonts w:ascii="Verdana" w:hAnsi="Verdana"/>
                <w:sz w:val="18"/>
                <w:szCs w:val="18"/>
              </w:rPr>
            </w:pPr>
          </w:p>
        </w:tc>
        <w:tc>
          <w:tcPr>
            <w:tcW w:w="1134" w:type="dxa"/>
          </w:tcPr>
          <w:p w14:paraId="25CD9B7D" w14:textId="77777777" w:rsidR="008715BE" w:rsidRPr="00EC75B7" w:rsidRDefault="008715BE">
            <w:pPr>
              <w:pStyle w:val="TableParagraph"/>
              <w:rPr>
                <w:rFonts w:ascii="Verdana" w:hAnsi="Verdana"/>
                <w:sz w:val="18"/>
                <w:szCs w:val="18"/>
              </w:rPr>
            </w:pPr>
          </w:p>
        </w:tc>
        <w:tc>
          <w:tcPr>
            <w:tcW w:w="1419" w:type="dxa"/>
          </w:tcPr>
          <w:p w14:paraId="5BD2D244" w14:textId="77777777" w:rsidR="008715BE" w:rsidRPr="00EC75B7" w:rsidRDefault="008715BE">
            <w:pPr>
              <w:pStyle w:val="TableParagraph"/>
              <w:rPr>
                <w:rFonts w:ascii="Verdana" w:hAnsi="Verdana"/>
                <w:sz w:val="18"/>
                <w:szCs w:val="18"/>
              </w:rPr>
            </w:pPr>
          </w:p>
        </w:tc>
        <w:tc>
          <w:tcPr>
            <w:tcW w:w="5103" w:type="dxa"/>
          </w:tcPr>
          <w:p w14:paraId="41D95BF6" w14:textId="77777777" w:rsidR="008715BE" w:rsidRPr="00EC75B7" w:rsidRDefault="00000000">
            <w:pPr>
              <w:pStyle w:val="TableParagraph"/>
              <w:spacing w:line="194" w:lineRule="exact"/>
              <w:ind w:left="99" w:right="105"/>
              <w:jc w:val="both"/>
              <w:rPr>
                <w:rFonts w:ascii="Verdana" w:hAnsi="Verdana"/>
                <w:sz w:val="18"/>
                <w:szCs w:val="18"/>
              </w:rPr>
            </w:pPr>
            <w:r w:rsidRPr="00EC75B7">
              <w:rPr>
                <w:rFonts w:ascii="Verdana" w:hAnsi="Verdana"/>
                <w:sz w:val="18"/>
                <w:szCs w:val="18"/>
              </w:rPr>
              <w:t>risk of invasive alien plant species entering and establishing themselves on the areas subject to the works, which could endanger the areas in the vicinity of the proposed project. Grass planting will only be carried out with plant species specific to the area under consideration.</w:t>
            </w:r>
          </w:p>
        </w:tc>
      </w:tr>
    </w:tbl>
    <w:p w14:paraId="6CD2802F" w14:textId="77777777" w:rsidR="008715BE" w:rsidRPr="00EC75B7" w:rsidRDefault="008715BE">
      <w:pPr>
        <w:pStyle w:val="BodyText"/>
        <w:rPr>
          <w:rFonts w:ascii="Verdana" w:hAnsi="Verdana"/>
          <w:b/>
        </w:rPr>
      </w:pPr>
    </w:p>
    <w:p w14:paraId="628C7E63" w14:textId="77777777" w:rsidR="008715BE" w:rsidRPr="00EC75B7" w:rsidRDefault="008715BE">
      <w:pPr>
        <w:pStyle w:val="BodyText"/>
        <w:spacing w:before="19"/>
        <w:rPr>
          <w:rFonts w:ascii="Verdana" w:hAnsi="Verdana"/>
          <w:b/>
        </w:rPr>
      </w:pPr>
    </w:p>
    <w:p w14:paraId="42D98AC9" w14:textId="77777777" w:rsidR="008715BE" w:rsidRPr="00EC75B7" w:rsidRDefault="00000000">
      <w:pPr>
        <w:ind w:left="2"/>
        <w:jc w:val="both"/>
        <w:rPr>
          <w:rFonts w:ascii="Verdana" w:hAnsi="Verdana"/>
          <w:b/>
          <w:sz w:val="18"/>
          <w:szCs w:val="18"/>
        </w:rPr>
      </w:pPr>
      <w:r w:rsidRPr="00EC75B7">
        <w:rPr>
          <w:rFonts w:ascii="Verdana" w:hAnsi="Verdana"/>
          <w:b/>
          <w:color w:val="009DEF"/>
          <w:sz w:val="18"/>
          <w:szCs w:val="18"/>
        </w:rPr>
        <w:t xml:space="preserve">Conclusions regarding the impact on the soil/subsoil during the </w:t>
      </w:r>
      <w:r w:rsidRPr="00EC75B7">
        <w:rPr>
          <w:rFonts w:ascii="Verdana" w:hAnsi="Verdana"/>
          <w:b/>
          <w:color w:val="009DEF"/>
          <w:spacing w:val="-2"/>
          <w:sz w:val="18"/>
          <w:szCs w:val="18"/>
        </w:rPr>
        <w:t xml:space="preserve">execution </w:t>
      </w:r>
      <w:r w:rsidRPr="00EC75B7">
        <w:rPr>
          <w:rFonts w:ascii="Verdana" w:hAnsi="Verdana"/>
          <w:b/>
          <w:color w:val="009DEF"/>
          <w:sz w:val="18"/>
          <w:szCs w:val="18"/>
        </w:rPr>
        <w:t>phase</w:t>
      </w:r>
      <w:r w:rsidRPr="00EC75B7">
        <w:rPr>
          <w:rFonts w:ascii="Verdana" w:hAnsi="Verdana"/>
          <w:b/>
          <w:color w:val="009DEF"/>
          <w:spacing w:val="-2"/>
          <w:sz w:val="18"/>
          <w:szCs w:val="18"/>
        </w:rPr>
        <w:t>:</w:t>
      </w:r>
    </w:p>
    <w:p w14:paraId="2EAE0D4C" w14:textId="77777777" w:rsidR="008715BE" w:rsidRPr="00EC75B7" w:rsidRDefault="008715BE">
      <w:pPr>
        <w:pStyle w:val="BodyText"/>
        <w:spacing w:before="9"/>
        <w:rPr>
          <w:rFonts w:ascii="Verdana" w:hAnsi="Verdana"/>
          <w:b/>
        </w:rPr>
      </w:pPr>
    </w:p>
    <w:p w14:paraId="6640F300" w14:textId="77777777" w:rsidR="008715BE" w:rsidRPr="00EC75B7" w:rsidRDefault="00000000">
      <w:pPr>
        <w:pStyle w:val="BodyText"/>
        <w:spacing w:before="1"/>
        <w:ind w:left="2"/>
        <w:jc w:val="both"/>
        <w:rPr>
          <w:rFonts w:ascii="Verdana" w:hAnsi="Verdana"/>
          <w:b/>
        </w:rPr>
      </w:pPr>
      <w:r w:rsidRPr="00EC75B7">
        <w:rPr>
          <w:rFonts w:ascii="Verdana" w:hAnsi="Verdana"/>
        </w:rPr>
        <w:t xml:space="preserve">The impact generated by the project will be felt mainly at the local level, in the area where the turbines, technological platforms, and construction sites are located, and along the access roads used </w:t>
      </w:r>
      <w:r w:rsidRPr="00EC75B7">
        <w:rPr>
          <w:rFonts w:ascii="Verdana" w:hAnsi="Verdana"/>
          <w:b/>
        </w:rPr>
        <w:t xml:space="preserve">during </w:t>
      </w:r>
      <w:r w:rsidRPr="00EC75B7">
        <w:rPr>
          <w:rFonts w:ascii="Verdana" w:hAnsi="Verdana"/>
          <w:b/>
          <w:spacing w:val="-5"/>
        </w:rPr>
        <w:t xml:space="preserve">the execution </w:t>
      </w:r>
      <w:r w:rsidRPr="00EC75B7">
        <w:rPr>
          <w:rFonts w:ascii="Verdana" w:hAnsi="Verdana"/>
          <w:b/>
        </w:rPr>
        <w:t>period.</w:t>
      </w:r>
    </w:p>
    <w:p w14:paraId="64B73165" w14:textId="77777777" w:rsidR="008715BE" w:rsidRPr="00EC75B7" w:rsidRDefault="00000000">
      <w:pPr>
        <w:pStyle w:val="BodyText"/>
        <w:spacing w:before="109"/>
        <w:ind w:left="2"/>
        <w:jc w:val="both"/>
        <w:rPr>
          <w:rFonts w:ascii="Verdana" w:hAnsi="Verdana"/>
        </w:rPr>
      </w:pPr>
      <w:r w:rsidRPr="00EC75B7">
        <w:rPr>
          <w:rFonts w:ascii="Verdana" w:hAnsi="Verdana"/>
          <w:b/>
        </w:rPr>
        <w:t>execution period</w:t>
      </w:r>
      <w:r w:rsidRPr="00EC75B7">
        <w:rPr>
          <w:rFonts w:ascii="Verdana" w:hAnsi="Verdana"/>
        </w:rPr>
        <w:t xml:space="preserve">. The proposed activities do not have the potential to affect the surrounding land and soil/subsoil, as there is no risk of the impact extending beyond the </w:t>
      </w:r>
      <w:r w:rsidRPr="00EC75B7">
        <w:rPr>
          <w:rFonts w:ascii="Verdana" w:hAnsi="Verdana"/>
          <w:spacing w:val="-2"/>
        </w:rPr>
        <w:t xml:space="preserve">project's </w:t>
      </w:r>
      <w:r w:rsidRPr="00EC75B7">
        <w:rPr>
          <w:rFonts w:ascii="Verdana" w:hAnsi="Verdana"/>
        </w:rPr>
        <w:t>area of influence</w:t>
      </w:r>
      <w:r w:rsidRPr="00EC75B7">
        <w:rPr>
          <w:rFonts w:ascii="Verdana" w:hAnsi="Verdana"/>
          <w:spacing w:val="-2"/>
        </w:rPr>
        <w:t>.</w:t>
      </w:r>
    </w:p>
    <w:p w14:paraId="62EEED32" w14:textId="77777777" w:rsidR="008715BE" w:rsidRPr="00EC75B7" w:rsidRDefault="00000000">
      <w:pPr>
        <w:spacing w:before="106" w:line="360" w:lineRule="auto"/>
        <w:ind w:left="2" w:right="701"/>
        <w:jc w:val="both"/>
        <w:rPr>
          <w:rFonts w:ascii="Verdana" w:hAnsi="Verdana"/>
          <w:sz w:val="18"/>
          <w:szCs w:val="18"/>
        </w:rPr>
      </w:pPr>
      <w:r w:rsidRPr="00EC75B7">
        <w:rPr>
          <w:rFonts w:ascii="Verdana" w:hAnsi="Verdana"/>
          <w:b/>
          <w:sz w:val="18"/>
          <w:szCs w:val="18"/>
        </w:rPr>
        <w:t xml:space="preserve">The magnitude and complexity of the negative impact are reduced </w:t>
      </w:r>
      <w:r w:rsidRPr="00EC75B7">
        <w:rPr>
          <w:rFonts w:ascii="Verdana" w:hAnsi="Verdana"/>
          <w:sz w:val="18"/>
          <w:szCs w:val="18"/>
        </w:rPr>
        <w:t xml:space="preserve">and limited to the execution stage of the works, manifesting themselves </w:t>
      </w:r>
      <w:r w:rsidRPr="00EC75B7">
        <w:rPr>
          <w:rFonts w:ascii="Verdana" w:hAnsi="Verdana"/>
          <w:b/>
          <w:sz w:val="18"/>
          <w:szCs w:val="18"/>
        </w:rPr>
        <w:t>temporarily and sporadically in the areas targeted by the project or in their immediate vicinity</w:t>
      </w:r>
      <w:r w:rsidRPr="00EC75B7">
        <w:rPr>
          <w:rFonts w:ascii="Verdana" w:hAnsi="Verdana"/>
          <w:sz w:val="18"/>
          <w:szCs w:val="18"/>
        </w:rPr>
        <w:t>.</w:t>
      </w:r>
      <w:r w:rsidRPr="00EC75B7">
        <w:rPr>
          <w:rFonts w:ascii="Verdana" w:hAnsi="Verdana"/>
          <w:spacing w:val="27"/>
          <w:sz w:val="18"/>
          <w:szCs w:val="18"/>
        </w:rPr>
        <w:t xml:space="preserve"> </w:t>
      </w:r>
      <w:r w:rsidRPr="00EC75B7">
        <w:rPr>
          <w:rFonts w:ascii="Verdana" w:hAnsi="Verdana"/>
          <w:sz w:val="18"/>
          <w:szCs w:val="18"/>
        </w:rPr>
        <w:t>Through the technical solutions adopted, the proper organisation of the construction site and the application of prevention and control measures (waste management, use of existing roads, execution of works only on the land areas included in the project), the likelihood of significant negative effects on the soil/subsoil is minimised.</w:t>
      </w:r>
    </w:p>
    <w:p w14:paraId="030E7A86" w14:textId="77777777" w:rsidR="008715BE" w:rsidRPr="00EC75B7" w:rsidRDefault="00000000">
      <w:pPr>
        <w:spacing w:line="360" w:lineRule="auto"/>
        <w:ind w:left="2" w:right="703"/>
        <w:jc w:val="both"/>
        <w:rPr>
          <w:rFonts w:ascii="Verdana" w:hAnsi="Verdana"/>
          <w:sz w:val="18"/>
          <w:szCs w:val="18"/>
        </w:rPr>
      </w:pPr>
      <w:r w:rsidRPr="00EC75B7">
        <w:rPr>
          <w:rFonts w:ascii="Verdana" w:hAnsi="Verdana"/>
          <w:b/>
          <w:sz w:val="18"/>
          <w:szCs w:val="18"/>
        </w:rPr>
        <w:t xml:space="preserve">During the execution period, the risk of negative impacts on the soil/subsoil </w:t>
      </w:r>
      <w:r w:rsidRPr="00EC75B7">
        <w:rPr>
          <w:rFonts w:ascii="Verdana" w:hAnsi="Verdana"/>
          <w:sz w:val="18"/>
          <w:szCs w:val="18"/>
        </w:rPr>
        <w:t>in the areas where the wind farm components are located is low, given the temporary and reversible nature of the interventions, as well as the restoration of the temporarily used areas upon completion of the execution works.</w:t>
      </w:r>
    </w:p>
    <w:p w14:paraId="5D7F149C" w14:textId="77777777" w:rsidR="008715BE" w:rsidRPr="00EC75B7" w:rsidRDefault="00000000">
      <w:pPr>
        <w:pStyle w:val="BodyText"/>
        <w:spacing w:line="360" w:lineRule="auto"/>
        <w:ind w:left="2" w:right="708"/>
        <w:jc w:val="both"/>
        <w:rPr>
          <w:rFonts w:ascii="Verdana" w:hAnsi="Verdana"/>
        </w:rPr>
      </w:pPr>
      <w:r w:rsidRPr="00EC75B7">
        <w:rPr>
          <w:rFonts w:ascii="Verdana" w:hAnsi="Verdana"/>
        </w:rPr>
        <w:t xml:space="preserve">Thanks to the good practice measures provided for in the project, the execution works necessary for the construction of the wind farm will have an </w:t>
      </w:r>
      <w:r w:rsidRPr="00EC75B7">
        <w:rPr>
          <w:rFonts w:ascii="Verdana" w:hAnsi="Verdana"/>
          <w:b/>
        </w:rPr>
        <w:t>insignificant</w:t>
      </w:r>
      <w:r w:rsidRPr="00EC75B7">
        <w:rPr>
          <w:rFonts w:ascii="Verdana" w:hAnsi="Verdana"/>
        </w:rPr>
        <w:t>, local, and reversible negative impact on the soil/subsoil, strictly limited to the period of execution of the works.</w:t>
      </w:r>
    </w:p>
    <w:p w14:paraId="6F468BC6" w14:textId="77777777" w:rsidR="008715BE" w:rsidRPr="00EC75B7" w:rsidRDefault="00000000">
      <w:pPr>
        <w:pStyle w:val="BodyText"/>
        <w:spacing w:line="216" w:lineRule="exact"/>
        <w:ind w:left="2"/>
        <w:jc w:val="both"/>
        <w:rPr>
          <w:rFonts w:ascii="Verdana" w:hAnsi="Verdana"/>
        </w:rPr>
      </w:pPr>
      <w:r w:rsidRPr="00EC75B7">
        <w:rPr>
          <w:rFonts w:ascii="Verdana" w:hAnsi="Verdana"/>
        </w:rPr>
        <w:t xml:space="preserve">Given the specific nature of the project and the type of work carried out, it is estimated that, during the </w:t>
      </w:r>
      <w:r w:rsidRPr="00EC75B7">
        <w:rPr>
          <w:rFonts w:ascii="Verdana" w:hAnsi="Verdana"/>
          <w:b/>
        </w:rPr>
        <w:t xml:space="preserve">decommissioning </w:t>
      </w:r>
      <w:r w:rsidRPr="00EC75B7">
        <w:rPr>
          <w:rFonts w:ascii="Verdana" w:hAnsi="Verdana"/>
        </w:rPr>
        <w:t xml:space="preserve">phase, the impact will be of the same nature, magnitude, extent, and significance as that estimated during the </w:t>
      </w:r>
      <w:r w:rsidRPr="00EC75B7">
        <w:rPr>
          <w:rFonts w:ascii="Verdana" w:hAnsi="Verdana"/>
          <w:spacing w:val="-2"/>
        </w:rPr>
        <w:t xml:space="preserve">execution </w:t>
      </w:r>
      <w:r w:rsidRPr="00EC75B7">
        <w:rPr>
          <w:rFonts w:ascii="Verdana" w:hAnsi="Verdana"/>
        </w:rPr>
        <w:t>phase</w:t>
      </w:r>
      <w:r w:rsidRPr="00EC75B7">
        <w:rPr>
          <w:rFonts w:ascii="Verdana" w:hAnsi="Verdana"/>
          <w:spacing w:val="-2"/>
        </w:rPr>
        <w:t>.</w:t>
      </w:r>
    </w:p>
    <w:p w14:paraId="006D1961" w14:textId="77777777" w:rsidR="008715BE" w:rsidRPr="00EC75B7" w:rsidRDefault="008715BE">
      <w:pPr>
        <w:pStyle w:val="BodyText"/>
        <w:rPr>
          <w:rFonts w:ascii="Verdana" w:hAnsi="Verdana"/>
        </w:rPr>
      </w:pPr>
    </w:p>
    <w:p w14:paraId="747347D2" w14:textId="77777777" w:rsidR="008715BE" w:rsidRPr="00EC75B7" w:rsidRDefault="008715BE">
      <w:pPr>
        <w:pStyle w:val="BodyText"/>
        <w:spacing w:before="163"/>
        <w:rPr>
          <w:rFonts w:ascii="Verdana" w:hAnsi="Verdana"/>
        </w:rPr>
      </w:pPr>
    </w:p>
    <w:p w14:paraId="05973C3A" w14:textId="77777777" w:rsidR="008715BE" w:rsidRPr="00EC75B7" w:rsidRDefault="00000000">
      <w:pPr>
        <w:ind w:left="2"/>
        <w:jc w:val="both"/>
        <w:rPr>
          <w:rFonts w:ascii="Verdana" w:hAnsi="Verdana"/>
          <w:b/>
          <w:sz w:val="18"/>
          <w:szCs w:val="18"/>
        </w:rPr>
      </w:pPr>
      <w:r w:rsidRPr="00EC75B7">
        <w:rPr>
          <w:rFonts w:ascii="Verdana" w:hAnsi="Verdana"/>
          <w:b/>
          <w:color w:val="00AFEF"/>
          <w:sz w:val="18"/>
          <w:szCs w:val="18"/>
        </w:rPr>
        <w:t>Table 36 Assessment of the project's impact on the soil/subsoil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1E0" w:firstRow="1" w:lastRow="1" w:firstColumn="1" w:lastColumn="1" w:noHBand="0" w:noVBand="0"/>
      </w:tblPr>
      <w:tblGrid>
        <w:gridCol w:w="943"/>
        <w:gridCol w:w="1476"/>
        <w:gridCol w:w="1780"/>
        <w:gridCol w:w="1598"/>
        <w:gridCol w:w="924"/>
        <w:gridCol w:w="693"/>
        <w:gridCol w:w="436"/>
        <w:gridCol w:w="702"/>
        <w:gridCol w:w="1084"/>
        <w:gridCol w:w="722"/>
        <w:gridCol w:w="1229"/>
        <w:gridCol w:w="996"/>
        <w:gridCol w:w="1392"/>
        <w:gridCol w:w="7551"/>
      </w:tblGrid>
      <w:tr w:rsidR="008715BE" w:rsidRPr="00EC75B7" w14:paraId="55782357" w14:textId="77777777">
        <w:trPr>
          <w:trHeight w:val="1850"/>
        </w:trPr>
        <w:tc>
          <w:tcPr>
            <w:tcW w:w="943" w:type="dxa"/>
            <w:tcBorders>
              <w:bottom w:val="single" w:sz="12" w:space="0" w:color="666666"/>
            </w:tcBorders>
            <w:shd w:val="clear" w:color="auto" w:fill="00AFEF"/>
          </w:tcPr>
          <w:p w14:paraId="15EE4288" w14:textId="77777777" w:rsidR="008715BE" w:rsidRPr="00EC75B7" w:rsidRDefault="008715BE">
            <w:pPr>
              <w:pStyle w:val="TableParagraph"/>
              <w:rPr>
                <w:rFonts w:ascii="Verdana" w:hAnsi="Verdana"/>
                <w:b/>
                <w:sz w:val="18"/>
                <w:szCs w:val="18"/>
              </w:rPr>
            </w:pPr>
          </w:p>
          <w:p w14:paraId="707B1D7E" w14:textId="77777777" w:rsidR="008715BE" w:rsidRPr="00EC75B7" w:rsidRDefault="008715BE">
            <w:pPr>
              <w:pStyle w:val="TableParagraph"/>
              <w:rPr>
                <w:rFonts w:ascii="Verdana" w:hAnsi="Verdana"/>
                <w:b/>
                <w:sz w:val="18"/>
                <w:szCs w:val="18"/>
              </w:rPr>
            </w:pPr>
          </w:p>
          <w:p w14:paraId="3E274C8E" w14:textId="77777777" w:rsidR="008715BE" w:rsidRPr="00EC75B7" w:rsidRDefault="008715BE">
            <w:pPr>
              <w:pStyle w:val="TableParagraph"/>
              <w:rPr>
                <w:rFonts w:ascii="Verdana" w:hAnsi="Verdana"/>
                <w:b/>
                <w:sz w:val="18"/>
                <w:szCs w:val="18"/>
              </w:rPr>
            </w:pPr>
          </w:p>
          <w:p w14:paraId="04B0BF14" w14:textId="77777777" w:rsidR="008715BE" w:rsidRPr="00EC75B7" w:rsidRDefault="008715BE">
            <w:pPr>
              <w:pStyle w:val="TableParagraph"/>
              <w:spacing w:before="46"/>
              <w:rPr>
                <w:rFonts w:ascii="Verdana" w:hAnsi="Verdana"/>
                <w:b/>
                <w:sz w:val="18"/>
                <w:szCs w:val="18"/>
              </w:rPr>
            </w:pPr>
          </w:p>
          <w:p w14:paraId="0B9F0D6E" w14:textId="77777777" w:rsidR="008715BE" w:rsidRPr="00EC75B7" w:rsidRDefault="00000000">
            <w:pPr>
              <w:pStyle w:val="TableParagraph"/>
              <w:ind w:left="215"/>
              <w:rPr>
                <w:rFonts w:ascii="Verdana" w:hAnsi="Verdana"/>
                <w:b/>
                <w:sz w:val="18"/>
                <w:szCs w:val="18"/>
              </w:rPr>
            </w:pPr>
            <w:r w:rsidRPr="00EC75B7">
              <w:rPr>
                <w:rFonts w:ascii="Verdana" w:hAnsi="Verdana"/>
                <w:b/>
                <w:color w:val="FFFFFF"/>
                <w:spacing w:val="-4"/>
                <w:sz w:val="18"/>
                <w:szCs w:val="18"/>
              </w:rPr>
              <w:t>Stage</w:t>
            </w:r>
          </w:p>
        </w:tc>
        <w:tc>
          <w:tcPr>
            <w:tcW w:w="1476" w:type="dxa"/>
            <w:tcBorders>
              <w:bottom w:val="single" w:sz="12" w:space="0" w:color="666666"/>
            </w:tcBorders>
            <w:shd w:val="clear" w:color="auto" w:fill="00AFEF"/>
          </w:tcPr>
          <w:p w14:paraId="6FD2DA0C" w14:textId="77777777" w:rsidR="008715BE" w:rsidRPr="00EC75B7" w:rsidRDefault="008715BE">
            <w:pPr>
              <w:pStyle w:val="TableParagraph"/>
              <w:rPr>
                <w:rFonts w:ascii="Verdana" w:hAnsi="Verdana"/>
                <w:b/>
                <w:sz w:val="18"/>
                <w:szCs w:val="18"/>
              </w:rPr>
            </w:pPr>
          </w:p>
          <w:p w14:paraId="0703FB32" w14:textId="77777777" w:rsidR="008715BE" w:rsidRPr="00EC75B7" w:rsidRDefault="008715BE">
            <w:pPr>
              <w:pStyle w:val="TableParagraph"/>
              <w:rPr>
                <w:rFonts w:ascii="Verdana" w:hAnsi="Verdana"/>
                <w:b/>
                <w:sz w:val="18"/>
                <w:szCs w:val="18"/>
              </w:rPr>
            </w:pPr>
          </w:p>
          <w:p w14:paraId="3EC851F4" w14:textId="77777777" w:rsidR="008715BE" w:rsidRPr="00EC75B7" w:rsidRDefault="008715BE">
            <w:pPr>
              <w:pStyle w:val="TableParagraph"/>
              <w:spacing w:before="145"/>
              <w:rPr>
                <w:rFonts w:ascii="Verdana" w:hAnsi="Verdana"/>
                <w:b/>
                <w:sz w:val="18"/>
                <w:szCs w:val="18"/>
              </w:rPr>
            </w:pPr>
          </w:p>
          <w:p w14:paraId="25FCDE9A" w14:textId="77777777" w:rsidR="008715BE" w:rsidRPr="00EC75B7" w:rsidRDefault="00000000">
            <w:pPr>
              <w:pStyle w:val="TableParagraph"/>
              <w:spacing w:before="1"/>
              <w:ind w:left="340" w:right="161" w:hanging="171"/>
              <w:rPr>
                <w:rFonts w:ascii="Verdana" w:hAnsi="Verdana"/>
                <w:b/>
                <w:sz w:val="18"/>
                <w:szCs w:val="18"/>
              </w:rPr>
            </w:pPr>
            <w:r w:rsidRPr="00EC75B7">
              <w:rPr>
                <w:rFonts w:ascii="Verdana" w:hAnsi="Verdana"/>
                <w:b/>
                <w:color w:val="FFFFFF"/>
                <w:spacing w:val="-4"/>
                <w:sz w:val="18"/>
                <w:szCs w:val="18"/>
              </w:rPr>
              <w:t>Interventions/</w:t>
            </w:r>
            <w:r w:rsidRPr="00EC75B7">
              <w:rPr>
                <w:rFonts w:ascii="Verdana" w:hAnsi="Verdana"/>
                <w:b/>
                <w:color w:val="FFFFFF"/>
                <w:spacing w:val="-2"/>
                <w:sz w:val="18"/>
                <w:szCs w:val="18"/>
              </w:rPr>
              <w:t>activities</w:t>
            </w:r>
          </w:p>
        </w:tc>
        <w:tc>
          <w:tcPr>
            <w:tcW w:w="1780" w:type="dxa"/>
            <w:tcBorders>
              <w:bottom w:val="single" w:sz="12" w:space="0" w:color="666666"/>
            </w:tcBorders>
            <w:shd w:val="clear" w:color="auto" w:fill="00AFEF"/>
          </w:tcPr>
          <w:p w14:paraId="70F46F11" w14:textId="77777777" w:rsidR="008715BE" w:rsidRPr="00EC75B7" w:rsidRDefault="008715BE">
            <w:pPr>
              <w:pStyle w:val="TableParagraph"/>
              <w:rPr>
                <w:rFonts w:ascii="Verdana" w:hAnsi="Verdana"/>
                <w:b/>
                <w:sz w:val="18"/>
                <w:szCs w:val="18"/>
              </w:rPr>
            </w:pPr>
          </w:p>
          <w:p w14:paraId="6C55D70F" w14:textId="77777777" w:rsidR="008715BE" w:rsidRPr="00EC75B7" w:rsidRDefault="008715BE">
            <w:pPr>
              <w:pStyle w:val="TableParagraph"/>
              <w:rPr>
                <w:rFonts w:ascii="Verdana" w:hAnsi="Verdana"/>
                <w:b/>
                <w:sz w:val="18"/>
                <w:szCs w:val="18"/>
              </w:rPr>
            </w:pPr>
          </w:p>
          <w:p w14:paraId="34284C44" w14:textId="77777777" w:rsidR="008715BE" w:rsidRPr="00EC75B7" w:rsidRDefault="008715BE">
            <w:pPr>
              <w:pStyle w:val="TableParagraph"/>
              <w:rPr>
                <w:rFonts w:ascii="Verdana" w:hAnsi="Verdana"/>
                <w:b/>
                <w:sz w:val="18"/>
                <w:szCs w:val="18"/>
              </w:rPr>
            </w:pPr>
          </w:p>
          <w:p w14:paraId="0902A340" w14:textId="77777777" w:rsidR="008715BE" w:rsidRPr="00EC75B7" w:rsidRDefault="008715BE">
            <w:pPr>
              <w:pStyle w:val="TableParagraph"/>
              <w:spacing w:before="46"/>
              <w:rPr>
                <w:rFonts w:ascii="Verdana" w:hAnsi="Verdana"/>
                <w:b/>
                <w:sz w:val="18"/>
                <w:szCs w:val="18"/>
              </w:rPr>
            </w:pPr>
          </w:p>
          <w:p w14:paraId="453D79DC"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2"/>
                <w:sz w:val="18"/>
                <w:szCs w:val="18"/>
              </w:rPr>
              <w:t>Effects</w:t>
            </w:r>
          </w:p>
        </w:tc>
        <w:tc>
          <w:tcPr>
            <w:tcW w:w="1598" w:type="dxa"/>
            <w:tcBorders>
              <w:bottom w:val="single" w:sz="12" w:space="0" w:color="666666"/>
            </w:tcBorders>
            <w:shd w:val="clear" w:color="auto" w:fill="00AFEF"/>
          </w:tcPr>
          <w:p w14:paraId="6278BBD2" w14:textId="77777777" w:rsidR="008715BE" w:rsidRPr="00EC75B7" w:rsidRDefault="008715BE">
            <w:pPr>
              <w:pStyle w:val="TableParagraph"/>
              <w:rPr>
                <w:rFonts w:ascii="Verdana" w:hAnsi="Verdana"/>
                <w:b/>
                <w:sz w:val="18"/>
                <w:szCs w:val="18"/>
              </w:rPr>
            </w:pPr>
          </w:p>
          <w:p w14:paraId="4CCA4B65" w14:textId="77777777" w:rsidR="008715BE" w:rsidRPr="00EC75B7" w:rsidRDefault="008715BE">
            <w:pPr>
              <w:pStyle w:val="TableParagraph"/>
              <w:rPr>
                <w:rFonts w:ascii="Verdana" w:hAnsi="Verdana"/>
                <w:b/>
                <w:sz w:val="18"/>
                <w:szCs w:val="18"/>
              </w:rPr>
            </w:pPr>
          </w:p>
          <w:p w14:paraId="07BB2EF2" w14:textId="77777777" w:rsidR="008715BE" w:rsidRPr="00EC75B7" w:rsidRDefault="008715BE">
            <w:pPr>
              <w:pStyle w:val="TableParagraph"/>
              <w:spacing w:before="47"/>
              <w:rPr>
                <w:rFonts w:ascii="Verdana" w:hAnsi="Verdana"/>
                <w:b/>
                <w:sz w:val="18"/>
                <w:szCs w:val="18"/>
              </w:rPr>
            </w:pPr>
          </w:p>
          <w:p w14:paraId="3304B7CE" w14:textId="77777777" w:rsidR="008715BE" w:rsidRPr="00EC75B7" w:rsidRDefault="00000000">
            <w:pPr>
              <w:pStyle w:val="TableParagraph"/>
              <w:ind w:left="81" w:right="72"/>
              <w:jc w:val="center"/>
              <w:rPr>
                <w:rFonts w:ascii="Verdana" w:hAnsi="Verdana"/>
                <w:b/>
                <w:sz w:val="18"/>
                <w:szCs w:val="18"/>
              </w:rPr>
            </w:pPr>
            <w:r w:rsidRPr="00EC75B7">
              <w:rPr>
                <w:rFonts w:ascii="Verdana" w:hAnsi="Verdana"/>
                <w:b/>
                <w:color w:val="FFFFFF"/>
                <w:spacing w:val="-2"/>
                <w:sz w:val="18"/>
                <w:szCs w:val="18"/>
              </w:rPr>
              <w:t>Potential forms of impact</w:t>
            </w:r>
          </w:p>
        </w:tc>
        <w:tc>
          <w:tcPr>
            <w:tcW w:w="924" w:type="dxa"/>
            <w:tcBorders>
              <w:bottom w:val="single" w:sz="12" w:space="0" w:color="666666"/>
            </w:tcBorders>
            <w:shd w:val="clear" w:color="auto" w:fill="00AFEF"/>
            <w:textDirection w:val="btLr"/>
          </w:tcPr>
          <w:p w14:paraId="570C3506" w14:textId="77777777" w:rsidR="008715BE" w:rsidRPr="00EC75B7" w:rsidRDefault="008715BE">
            <w:pPr>
              <w:pStyle w:val="TableParagraph"/>
              <w:spacing w:before="177"/>
              <w:rPr>
                <w:rFonts w:ascii="Verdana" w:hAnsi="Verdana"/>
                <w:b/>
                <w:sz w:val="18"/>
                <w:szCs w:val="18"/>
              </w:rPr>
            </w:pPr>
          </w:p>
          <w:p w14:paraId="0A5B0332" w14:textId="77777777" w:rsidR="008715BE" w:rsidRPr="00EC75B7" w:rsidRDefault="00000000">
            <w:pPr>
              <w:pStyle w:val="TableParagraph"/>
              <w:ind w:left="18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693" w:type="dxa"/>
            <w:tcBorders>
              <w:bottom w:val="single" w:sz="12" w:space="0" w:color="666666"/>
            </w:tcBorders>
            <w:shd w:val="clear" w:color="auto" w:fill="00AFEF"/>
            <w:textDirection w:val="btLr"/>
          </w:tcPr>
          <w:p w14:paraId="60964ABC" w14:textId="77777777" w:rsidR="008715BE" w:rsidRPr="00EC75B7" w:rsidRDefault="008715BE">
            <w:pPr>
              <w:pStyle w:val="TableParagraph"/>
              <w:spacing w:before="64"/>
              <w:rPr>
                <w:rFonts w:ascii="Verdana" w:hAnsi="Verdana"/>
                <w:b/>
                <w:sz w:val="18"/>
                <w:szCs w:val="18"/>
              </w:rPr>
            </w:pPr>
          </w:p>
          <w:p w14:paraId="00BE09A2" w14:textId="77777777" w:rsidR="008715BE" w:rsidRPr="00EC75B7" w:rsidRDefault="00000000">
            <w:pPr>
              <w:pStyle w:val="TableParagraph"/>
              <w:spacing w:before="1"/>
              <w:ind w:left="125"/>
              <w:rPr>
                <w:rFonts w:ascii="Verdana" w:hAnsi="Verdana"/>
                <w:b/>
                <w:sz w:val="18"/>
                <w:szCs w:val="18"/>
              </w:rPr>
            </w:pPr>
            <w:r w:rsidRPr="00EC75B7">
              <w:rPr>
                <w:rFonts w:ascii="Verdana" w:hAnsi="Verdana"/>
                <w:b/>
                <w:color w:val="FFFFFF"/>
                <w:sz w:val="18"/>
                <w:szCs w:val="18"/>
              </w:rPr>
              <w:t xml:space="preserve">Nature </w:t>
            </w:r>
            <w:r w:rsidRPr="00EC75B7">
              <w:rPr>
                <w:rFonts w:ascii="Verdana" w:hAnsi="Verdana"/>
                <w:b/>
                <w:color w:val="FFFFFF"/>
                <w:spacing w:val="-2"/>
                <w:sz w:val="18"/>
                <w:szCs w:val="18"/>
              </w:rPr>
              <w:t>of impact</w:t>
            </w:r>
          </w:p>
        </w:tc>
        <w:tc>
          <w:tcPr>
            <w:tcW w:w="436" w:type="dxa"/>
            <w:tcBorders>
              <w:bottom w:val="single" w:sz="12" w:space="0" w:color="666666"/>
            </w:tcBorders>
            <w:shd w:val="clear" w:color="auto" w:fill="00AFEF"/>
            <w:textDirection w:val="btLr"/>
          </w:tcPr>
          <w:p w14:paraId="15843E95" w14:textId="77777777" w:rsidR="008715BE" w:rsidRPr="00EC75B7" w:rsidRDefault="00000000">
            <w:pPr>
              <w:pStyle w:val="TableParagraph"/>
              <w:spacing w:before="131"/>
              <w:ind w:left="58"/>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z w:val="18"/>
                <w:szCs w:val="18"/>
              </w:rPr>
              <w:t>potential</w:t>
            </w:r>
          </w:p>
        </w:tc>
        <w:tc>
          <w:tcPr>
            <w:tcW w:w="702" w:type="dxa"/>
            <w:tcBorders>
              <w:bottom w:val="single" w:sz="12" w:space="0" w:color="666666"/>
            </w:tcBorders>
            <w:shd w:val="clear" w:color="auto" w:fill="00AFEF"/>
            <w:textDirection w:val="btLr"/>
          </w:tcPr>
          <w:p w14:paraId="0D618C7C" w14:textId="77777777" w:rsidR="008715BE" w:rsidRPr="00EC75B7" w:rsidRDefault="008715BE">
            <w:pPr>
              <w:pStyle w:val="TableParagraph"/>
              <w:spacing w:before="68"/>
              <w:rPr>
                <w:rFonts w:ascii="Verdana" w:hAnsi="Verdana"/>
                <w:b/>
                <w:sz w:val="18"/>
                <w:szCs w:val="18"/>
              </w:rPr>
            </w:pPr>
          </w:p>
          <w:p w14:paraId="7257326B" w14:textId="77777777" w:rsidR="008715BE" w:rsidRPr="00EC75B7" w:rsidRDefault="00000000">
            <w:pPr>
              <w:pStyle w:val="TableParagraph"/>
              <w:ind w:left="627"/>
              <w:rPr>
                <w:rFonts w:ascii="Verdana" w:hAnsi="Verdana"/>
                <w:b/>
                <w:sz w:val="18"/>
                <w:szCs w:val="18"/>
              </w:rPr>
            </w:pPr>
            <w:r w:rsidRPr="00EC75B7">
              <w:rPr>
                <w:rFonts w:ascii="Verdana" w:hAnsi="Verdana"/>
                <w:b/>
                <w:color w:val="FFFFFF"/>
                <w:spacing w:val="-2"/>
                <w:sz w:val="18"/>
                <w:szCs w:val="18"/>
              </w:rPr>
              <w:t>Duration</w:t>
            </w:r>
          </w:p>
        </w:tc>
        <w:tc>
          <w:tcPr>
            <w:tcW w:w="1084" w:type="dxa"/>
            <w:tcBorders>
              <w:bottom w:val="single" w:sz="12" w:space="0" w:color="666666"/>
            </w:tcBorders>
            <w:shd w:val="clear" w:color="auto" w:fill="00AFEF"/>
            <w:textDirection w:val="btLr"/>
          </w:tcPr>
          <w:p w14:paraId="1636325D" w14:textId="77777777" w:rsidR="008715BE" w:rsidRPr="00EC75B7" w:rsidRDefault="008715BE">
            <w:pPr>
              <w:pStyle w:val="TableParagraph"/>
              <w:spacing w:before="161"/>
              <w:rPr>
                <w:rFonts w:ascii="Verdana" w:hAnsi="Verdana"/>
                <w:b/>
                <w:sz w:val="18"/>
                <w:szCs w:val="18"/>
              </w:rPr>
            </w:pPr>
          </w:p>
          <w:p w14:paraId="3836E2D7" w14:textId="77777777" w:rsidR="008715BE" w:rsidRPr="00EC75B7" w:rsidRDefault="00000000">
            <w:pPr>
              <w:pStyle w:val="TableParagraph"/>
              <w:spacing w:line="244" w:lineRule="auto"/>
              <w:ind w:left="58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22" w:type="dxa"/>
            <w:tcBorders>
              <w:bottom w:val="single" w:sz="12" w:space="0" w:color="666666"/>
            </w:tcBorders>
            <w:shd w:val="clear" w:color="auto" w:fill="00AFEF"/>
            <w:textDirection w:val="btLr"/>
          </w:tcPr>
          <w:p w14:paraId="2CA92FC4" w14:textId="77777777" w:rsidR="008715BE" w:rsidRPr="00EC75B7" w:rsidRDefault="008715BE">
            <w:pPr>
              <w:pStyle w:val="TableParagraph"/>
              <w:spacing w:before="80"/>
              <w:rPr>
                <w:rFonts w:ascii="Verdana" w:hAnsi="Verdana"/>
                <w:b/>
                <w:sz w:val="18"/>
                <w:szCs w:val="18"/>
              </w:rPr>
            </w:pPr>
          </w:p>
          <w:p w14:paraId="719A4DFD" w14:textId="77777777" w:rsidR="008715BE" w:rsidRPr="00EC75B7" w:rsidRDefault="00000000">
            <w:pPr>
              <w:pStyle w:val="TableParagraph"/>
              <w:ind w:left="449"/>
              <w:rPr>
                <w:rFonts w:ascii="Verdana" w:hAnsi="Verdana"/>
                <w:b/>
                <w:sz w:val="18"/>
                <w:szCs w:val="18"/>
              </w:rPr>
            </w:pPr>
            <w:r w:rsidRPr="00EC75B7">
              <w:rPr>
                <w:rFonts w:ascii="Verdana" w:hAnsi="Verdana"/>
                <w:b/>
                <w:color w:val="FFFFFF"/>
                <w:spacing w:val="-2"/>
                <w:sz w:val="18"/>
                <w:szCs w:val="18"/>
              </w:rPr>
              <w:t>Extent</w:t>
            </w:r>
          </w:p>
        </w:tc>
        <w:tc>
          <w:tcPr>
            <w:tcW w:w="1229" w:type="dxa"/>
            <w:tcBorders>
              <w:bottom w:val="single" w:sz="12" w:space="0" w:color="666666"/>
            </w:tcBorders>
            <w:shd w:val="clear" w:color="auto" w:fill="00AFEF"/>
            <w:textDirection w:val="btLr"/>
          </w:tcPr>
          <w:p w14:paraId="47AED04E" w14:textId="77777777" w:rsidR="008715BE" w:rsidRPr="00EC75B7" w:rsidRDefault="008715BE">
            <w:pPr>
              <w:pStyle w:val="TableParagraph"/>
              <w:rPr>
                <w:rFonts w:ascii="Verdana" w:hAnsi="Verdana"/>
                <w:b/>
                <w:sz w:val="18"/>
                <w:szCs w:val="18"/>
              </w:rPr>
            </w:pPr>
          </w:p>
          <w:p w14:paraId="187A21AC" w14:textId="77777777" w:rsidR="008715BE" w:rsidRPr="00EC75B7" w:rsidRDefault="008715BE">
            <w:pPr>
              <w:pStyle w:val="TableParagraph"/>
              <w:spacing w:before="140"/>
              <w:rPr>
                <w:rFonts w:ascii="Verdana" w:hAnsi="Verdana"/>
                <w:b/>
                <w:sz w:val="18"/>
                <w:szCs w:val="18"/>
              </w:rPr>
            </w:pPr>
          </w:p>
          <w:p w14:paraId="206A7517" w14:textId="77777777" w:rsidR="008715BE" w:rsidRPr="00EC75B7" w:rsidRDefault="00000000">
            <w:pPr>
              <w:pStyle w:val="TableParagraph"/>
              <w:ind w:left="300"/>
              <w:rPr>
                <w:rFonts w:ascii="Verdana" w:hAnsi="Verdana"/>
                <w:b/>
                <w:sz w:val="18"/>
                <w:szCs w:val="18"/>
              </w:rPr>
            </w:pPr>
            <w:r w:rsidRPr="00EC75B7">
              <w:rPr>
                <w:rFonts w:ascii="Verdana" w:hAnsi="Verdana"/>
                <w:b/>
                <w:color w:val="FFFFFF"/>
                <w:spacing w:val="-2"/>
                <w:sz w:val="18"/>
                <w:szCs w:val="18"/>
              </w:rPr>
              <w:t>Probability</w:t>
            </w:r>
          </w:p>
        </w:tc>
        <w:tc>
          <w:tcPr>
            <w:tcW w:w="996" w:type="dxa"/>
            <w:tcBorders>
              <w:bottom w:val="single" w:sz="12" w:space="0" w:color="666666"/>
            </w:tcBorders>
            <w:shd w:val="clear" w:color="auto" w:fill="00AFEF"/>
            <w:textDirection w:val="btLr"/>
          </w:tcPr>
          <w:p w14:paraId="2F1AB046" w14:textId="77777777" w:rsidR="008715BE" w:rsidRPr="00EC75B7" w:rsidRDefault="008715BE">
            <w:pPr>
              <w:pStyle w:val="TableParagraph"/>
              <w:rPr>
                <w:rFonts w:ascii="Verdana" w:hAnsi="Verdana"/>
                <w:b/>
                <w:sz w:val="18"/>
                <w:szCs w:val="18"/>
              </w:rPr>
            </w:pPr>
          </w:p>
          <w:p w14:paraId="2DE93AC2" w14:textId="77777777" w:rsidR="008715BE" w:rsidRPr="00EC75B7" w:rsidRDefault="008715BE">
            <w:pPr>
              <w:pStyle w:val="TableParagraph"/>
              <w:spacing w:before="22"/>
              <w:rPr>
                <w:rFonts w:ascii="Verdana" w:hAnsi="Verdana"/>
                <w:b/>
                <w:sz w:val="18"/>
                <w:szCs w:val="18"/>
              </w:rPr>
            </w:pPr>
          </w:p>
          <w:p w14:paraId="677FE955" w14:textId="77777777" w:rsidR="008715BE" w:rsidRPr="00EC75B7" w:rsidRDefault="00000000">
            <w:pPr>
              <w:pStyle w:val="TableParagraph"/>
              <w:ind w:left="226"/>
              <w:rPr>
                <w:rFonts w:ascii="Verdana" w:hAnsi="Verdana"/>
                <w:b/>
                <w:sz w:val="18"/>
                <w:szCs w:val="18"/>
              </w:rPr>
            </w:pPr>
            <w:r w:rsidRPr="00EC75B7">
              <w:rPr>
                <w:rFonts w:ascii="Verdana" w:hAnsi="Verdana"/>
                <w:b/>
                <w:color w:val="FFFFFF"/>
                <w:spacing w:val="-2"/>
                <w:sz w:val="18"/>
                <w:szCs w:val="18"/>
              </w:rPr>
              <w:t>Reversibility</w:t>
            </w:r>
          </w:p>
        </w:tc>
        <w:tc>
          <w:tcPr>
            <w:tcW w:w="1392" w:type="dxa"/>
            <w:tcBorders>
              <w:bottom w:val="single" w:sz="12" w:space="0" w:color="666666"/>
            </w:tcBorders>
            <w:shd w:val="clear" w:color="auto" w:fill="00AFEF"/>
            <w:textDirection w:val="btLr"/>
          </w:tcPr>
          <w:p w14:paraId="31275F4F" w14:textId="77777777" w:rsidR="008715BE" w:rsidRPr="00EC75B7" w:rsidRDefault="008715BE">
            <w:pPr>
              <w:pStyle w:val="TableParagraph"/>
              <w:rPr>
                <w:rFonts w:ascii="Verdana" w:hAnsi="Verdana"/>
                <w:b/>
                <w:sz w:val="18"/>
                <w:szCs w:val="18"/>
              </w:rPr>
            </w:pPr>
          </w:p>
          <w:p w14:paraId="4E803616" w14:textId="77777777" w:rsidR="008715BE" w:rsidRPr="00EC75B7" w:rsidRDefault="008715BE">
            <w:pPr>
              <w:pStyle w:val="TableParagraph"/>
              <w:spacing w:before="120"/>
              <w:rPr>
                <w:rFonts w:ascii="Verdana" w:hAnsi="Verdana"/>
                <w:b/>
                <w:sz w:val="18"/>
                <w:szCs w:val="18"/>
              </w:rPr>
            </w:pPr>
          </w:p>
          <w:p w14:paraId="27A7C269" w14:textId="77777777" w:rsidR="008715BE" w:rsidRPr="00EC75B7" w:rsidRDefault="00000000">
            <w:pPr>
              <w:pStyle w:val="TableParagraph"/>
              <w:spacing w:before="1"/>
              <w:ind w:left="375"/>
              <w:rPr>
                <w:rFonts w:ascii="Verdana" w:hAnsi="Verdana"/>
                <w:b/>
                <w:sz w:val="18"/>
                <w:szCs w:val="18"/>
              </w:rPr>
            </w:pPr>
            <w:r w:rsidRPr="00EC75B7">
              <w:rPr>
                <w:rFonts w:ascii="Verdana" w:hAnsi="Verdana"/>
                <w:b/>
                <w:color w:val="FFFFFF"/>
                <w:spacing w:val="-2"/>
                <w:sz w:val="18"/>
                <w:szCs w:val="18"/>
              </w:rPr>
              <w:t>Significance</w:t>
            </w:r>
          </w:p>
          <w:p w14:paraId="69D9F681" w14:textId="77777777" w:rsidR="008715BE" w:rsidRPr="00EC75B7" w:rsidRDefault="00000000">
            <w:pPr>
              <w:pStyle w:val="TableParagraph"/>
              <w:spacing w:before="3"/>
              <w:ind w:left="459"/>
              <w:rPr>
                <w:rFonts w:ascii="Verdana" w:hAnsi="Verdana"/>
                <w:b/>
                <w:sz w:val="18"/>
                <w:szCs w:val="18"/>
              </w:rPr>
            </w:pPr>
            <w:r w:rsidRPr="00EC75B7">
              <w:rPr>
                <w:rFonts w:ascii="Verdana" w:hAnsi="Verdana"/>
                <w:b/>
                <w:color w:val="FFFFFF"/>
                <w:spacing w:val="-2"/>
                <w:sz w:val="18"/>
                <w:szCs w:val="18"/>
              </w:rPr>
              <w:t>of impact</w:t>
            </w:r>
          </w:p>
        </w:tc>
        <w:tc>
          <w:tcPr>
            <w:tcW w:w="7551" w:type="dxa"/>
            <w:tcBorders>
              <w:bottom w:val="single" w:sz="12" w:space="0" w:color="666666"/>
            </w:tcBorders>
            <w:shd w:val="clear" w:color="auto" w:fill="00AFEF"/>
          </w:tcPr>
          <w:p w14:paraId="69D2B430" w14:textId="77777777" w:rsidR="008715BE" w:rsidRPr="00EC75B7" w:rsidRDefault="008715BE">
            <w:pPr>
              <w:pStyle w:val="TableParagraph"/>
              <w:rPr>
                <w:rFonts w:ascii="Verdana" w:hAnsi="Verdana"/>
                <w:b/>
                <w:sz w:val="18"/>
                <w:szCs w:val="18"/>
              </w:rPr>
            </w:pPr>
          </w:p>
          <w:p w14:paraId="535782E8" w14:textId="77777777" w:rsidR="008715BE" w:rsidRPr="00EC75B7" w:rsidRDefault="008715BE">
            <w:pPr>
              <w:pStyle w:val="TableParagraph"/>
              <w:rPr>
                <w:rFonts w:ascii="Verdana" w:hAnsi="Verdana"/>
                <w:b/>
                <w:sz w:val="18"/>
                <w:szCs w:val="18"/>
              </w:rPr>
            </w:pPr>
          </w:p>
          <w:p w14:paraId="5F45E694" w14:textId="77777777" w:rsidR="008715BE" w:rsidRPr="00EC75B7" w:rsidRDefault="008715BE">
            <w:pPr>
              <w:pStyle w:val="TableParagraph"/>
              <w:rPr>
                <w:rFonts w:ascii="Verdana" w:hAnsi="Verdana"/>
                <w:b/>
                <w:sz w:val="18"/>
                <w:szCs w:val="18"/>
              </w:rPr>
            </w:pPr>
          </w:p>
          <w:p w14:paraId="17ABB5FA" w14:textId="77777777" w:rsidR="008715BE" w:rsidRPr="00EC75B7" w:rsidRDefault="008715BE">
            <w:pPr>
              <w:pStyle w:val="TableParagraph"/>
              <w:spacing w:before="46"/>
              <w:rPr>
                <w:rFonts w:ascii="Verdana" w:hAnsi="Verdana"/>
                <w:b/>
                <w:sz w:val="18"/>
                <w:szCs w:val="18"/>
              </w:rPr>
            </w:pPr>
          </w:p>
          <w:p w14:paraId="3170F51D"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25A3CCF1" w14:textId="77777777">
        <w:trPr>
          <w:trHeight w:val="973"/>
        </w:trPr>
        <w:tc>
          <w:tcPr>
            <w:tcW w:w="943" w:type="dxa"/>
            <w:vMerge w:val="restart"/>
            <w:tcBorders>
              <w:top w:val="single" w:sz="12" w:space="0" w:color="666666"/>
            </w:tcBorders>
          </w:tcPr>
          <w:p w14:paraId="7CF09738"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spacing w:val="-2"/>
                <w:sz w:val="18"/>
                <w:szCs w:val="18"/>
              </w:rPr>
              <w:t>Operation</w:t>
            </w:r>
          </w:p>
        </w:tc>
        <w:tc>
          <w:tcPr>
            <w:tcW w:w="1476" w:type="dxa"/>
            <w:vMerge w:val="restart"/>
            <w:tcBorders>
              <w:top w:val="single" w:sz="12" w:space="0" w:color="666666"/>
            </w:tcBorders>
          </w:tcPr>
          <w:p w14:paraId="34E63EA6" w14:textId="77777777" w:rsidR="008715BE" w:rsidRPr="00EC75B7" w:rsidRDefault="00000000">
            <w:pPr>
              <w:pStyle w:val="TableParagraph"/>
              <w:spacing w:before="1"/>
              <w:ind w:left="108" w:right="289"/>
              <w:rPr>
                <w:rFonts w:ascii="Verdana" w:hAnsi="Verdana"/>
                <w:b/>
                <w:sz w:val="18"/>
                <w:szCs w:val="18"/>
              </w:rPr>
            </w:pPr>
            <w:r w:rsidRPr="00EC75B7">
              <w:rPr>
                <w:rFonts w:ascii="Verdana" w:hAnsi="Verdana"/>
                <w:b/>
                <w:spacing w:val="-2"/>
                <w:sz w:val="18"/>
                <w:szCs w:val="18"/>
              </w:rPr>
              <w:t xml:space="preserve">Maintenance </w:t>
            </w:r>
            <w:r w:rsidRPr="00EC75B7">
              <w:rPr>
                <w:rFonts w:ascii="Verdana" w:hAnsi="Verdana"/>
                <w:b/>
                <w:sz w:val="18"/>
                <w:szCs w:val="18"/>
              </w:rPr>
              <w:t>and repairs</w:t>
            </w:r>
          </w:p>
        </w:tc>
        <w:tc>
          <w:tcPr>
            <w:tcW w:w="1780" w:type="dxa"/>
            <w:tcBorders>
              <w:top w:val="single" w:sz="12" w:space="0" w:color="666666"/>
            </w:tcBorders>
          </w:tcPr>
          <w:p w14:paraId="7FFE3128" w14:textId="77777777" w:rsidR="008715BE" w:rsidRPr="00EC75B7" w:rsidRDefault="00000000">
            <w:pPr>
              <w:pStyle w:val="TableParagraph"/>
              <w:spacing w:before="1"/>
              <w:ind w:left="108"/>
              <w:rPr>
                <w:rFonts w:ascii="Verdana" w:hAnsi="Verdana"/>
                <w:sz w:val="18"/>
                <w:szCs w:val="18"/>
              </w:rPr>
            </w:pPr>
            <w:r w:rsidRPr="00EC75B7">
              <w:rPr>
                <w:rFonts w:ascii="Verdana" w:hAnsi="Verdana"/>
                <w:sz w:val="18"/>
                <w:szCs w:val="18"/>
              </w:rPr>
              <w:t>Waste generation, possible accidental spills on the ground</w:t>
            </w:r>
          </w:p>
        </w:tc>
        <w:tc>
          <w:tcPr>
            <w:tcW w:w="1598" w:type="dxa"/>
            <w:tcBorders>
              <w:top w:val="single" w:sz="12" w:space="0" w:color="666666"/>
            </w:tcBorders>
          </w:tcPr>
          <w:p w14:paraId="55B0B6FA" w14:textId="77777777" w:rsidR="008715BE" w:rsidRPr="00EC75B7" w:rsidRDefault="00000000">
            <w:pPr>
              <w:pStyle w:val="TableParagraph"/>
              <w:spacing w:before="1"/>
              <w:ind w:left="109" w:right="57"/>
              <w:rPr>
                <w:rFonts w:ascii="Verdana" w:hAnsi="Verdana"/>
                <w:sz w:val="18"/>
                <w:szCs w:val="18"/>
              </w:rPr>
            </w:pPr>
            <w:r w:rsidRPr="00EC75B7">
              <w:rPr>
                <w:rFonts w:ascii="Verdana" w:hAnsi="Verdana"/>
                <w:spacing w:val="-2"/>
                <w:sz w:val="18"/>
                <w:szCs w:val="18"/>
              </w:rPr>
              <w:t>Soil/subsoil contamination (accidental)</w:t>
            </w:r>
          </w:p>
        </w:tc>
        <w:tc>
          <w:tcPr>
            <w:tcW w:w="924" w:type="dxa"/>
            <w:tcBorders>
              <w:top w:val="single" w:sz="12" w:space="0" w:color="666666"/>
            </w:tcBorders>
          </w:tcPr>
          <w:p w14:paraId="776880F0" w14:textId="77777777" w:rsidR="008715BE" w:rsidRPr="00EC75B7" w:rsidRDefault="00000000">
            <w:pPr>
              <w:pStyle w:val="TableParagraph"/>
              <w:spacing w:before="1"/>
              <w:ind w:left="11"/>
              <w:jc w:val="center"/>
              <w:rPr>
                <w:rFonts w:ascii="Verdana" w:hAnsi="Verdana"/>
                <w:sz w:val="18"/>
                <w:szCs w:val="18"/>
              </w:rPr>
            </w:pPr>
            <w:r w:rsidRPr="00EC75B7">
              <w:rPr>
                <w:rFonts w:ascii="Verdana" w:hAnsi="Verdana"/>
                <w:spacing w:val="-2"/>
                <w:sz w:val="18"/>
                <w:szCs w:val="18"/>
              </w:rPr>
              <w:t>Negative</w:t>
            </w:r>
          </w:p>
        </w:tc>
        <w:tc>
          <w:tcPr>
            <w:tcW w:w="693" w:type="dxa"/>
            <w:tcBorders>
              <w:top w:val="single" w:sz="12" w:space="0" w:color="666666"/>
            </w:tcBorders>
          </w:tcPr>
          <w:p w14:paraId="7F277B82" w14:textId="77777777" w:rsidR="008715BE" w:rsidRPr="00EC75B7" w:rsidRDefault="00000000">
            <w:pPr>
              <w:pStyle w:val="TableParagraph"/>
              <w:spacing w:before="1"/>
              <w:ind w:left="17"/>
              <w:jc w:val="center"/>
              <w:rPr>
                <w:rFonts w:ascii="Verdana" w:hAnsi="Verdana"/>
                <w:sz w:val="18"/>
                <w:szCs w:val="18"/>
              </w:rPr>
            </w:pPr>
            <w:r w:rsidRPr="00EC75B7">
              <w:rPr>
                <w:rFonts w:ascii="Verdana" w:hAnsi="Verdana"/>
                <w:spacing w:val="-2"/>
                <w:sz w:val="18"/>
                <w:szCs w:val="18"/>
              </w:rPr>
              <w:t>Direct</w:t>
            </w:r>
          </w:p>
        </w:tc>
        <w:tc>
          <w:tcPr>
            <w:tcW w:w="436" w:type="dxa"/>
            <w:tcBorders>
              <w:top w:val="single" w:sz="12" w:space="0" w:color="666666"/>
            </w:tcBorders>
          </w:tcPr>
          <w:p w14:paraId="28BA220A" w14:textId="77777777" w:rsidR="008715BE" w:rsidRPr="00EC75B7" w:rsidRDefault="00000000">
            <w:pPr>
              <w:pStyle w:val="TableParagraph"/>
              <w:spacing w:before="1"/>
              <w:ind w:left="17"/>
              <w:jc w:val="center"/>
              <w:rPr>
                <w:rFonts w:ascii="Verdana" w:hAnsi="Verdana"/>
                <w:sz w:val="18"/>
                <w:szCs w:val="18"/>
              </w:rPr>
            </w:pPr>
            <w:r w:rsidRPr="00EC75B7">
              <w:rPr>
                <w:rFonts w:ascii="Verdana" w:hAnsi="Verdana"/>
                <w:spacing w:val="-5"/>
                <w:sz w:val="18"/>
                <w:szCs w:val="18"/>
              </w:rPr>
              <w:t>Yes</w:t>
            </w:r>
          </w:p>
        </w:tc>
        <w:tc>
          <w:tcPr>
            <w:tcW w:w="702" w:type="dxa"/>
            <w:tcBorders>
              <w:top w:val="single" w:sz="12" w:space="0" w:color="666666"/>
            </w:tcBorders>
          </w:tcPr>
          <w:p w14:paraId="07B89E32" w14:textId="77777777" w:rsidR="008715BE" w:rsidRPr="00EC75B7" w:rsidRDefault="00000000">
            <w:pPr>
              <w:pStyle w:val="TableParagraph"/>
              <w:spacing w:before="1"/>
              <w:ind w:left="14"/>
              <w:jc w:val="center"/>
              <w:rPr>
                <w:rFonts w:ascii="Verdana" w:hAnsi="Verdana"/>
                <w:sz w:val="18"/>
                <w:szCs w:val="18"/>
              </w:rPr>
            </w:pPr>
            <w:r w:rsidRPr="00EC75B7">
              <w:rPr>
                <w:rFonts w:ascii="Verdana" w:hAnsi="Verdana"/>
                <w:spacing w:val="-2"/>
                <w:sz w:val="18"/>
                <w:szCs w:val="18"/>
              </w:rPr>
              <w:t>Long</w:t>
            </w:r>
          </w:p>
        </w:tc>
        <w:tc>
          <w:tcPr>
            <w:tcW w:w="1084" w:type="dxa"/>
            <w:tcBorders>
              <w:top w:val="single" w:sz="12" w:space="0" w:color="666666"/>
            </w:tcBorders>
          </w:tcPr>
          <w:p w14:paraId="50999F5B" w14:textId="77777777" w:rsidR="008715BE" w:rsidRPr="00EC75B7" w:rsidRDefault="00000000">
            <w:pPr>
              <w:pStyle w:val="TableParagraph"/>
              <w:spacing w:before="1"/>
              <w:ind w:left="20"/>
              <w:jc w:val="center"/>
              <w:rPr>
                <w:rFonts w:ascii="Verdana" w:hAnsi="Verdana"/>
                <w:sz w:val="18"/>
                <w:szCs w:val="18"/>
              </w:rPr>
            </w:pPr>
            <w:r w:rsidRPr="00EC75B7">
              <w:rPr>
                <w:rFonts w:ascii="Verdana" w:hAnsi="Verdana"/>
                <w:spacing w:val="-2"/>
                <w:sz w:val="18"/>
                <w:szCs w:val="18"/>
              </w:rPr>
              <w:t>Occasional</w:t>
            </w:r>
          </w:p>
        </w:tc>
        <w:tc>
          <w:tcPr>
            <w:tcW w:w="722" w:type="dxa"/>
            <w:tcBorders>
              <w:top w:val="single" w:sz="12" w:space="0" w:color="666666"/>
            </w:tcBorders>
          </w:tcPr>
          <w:p w14:paraId="308352EE" w14:textId="77777777" w:rsidR="008715BE" w:rsidRPr="00EC75B7" w:rsidRDefault="00000000">
            <w:pPr>
              <w:pStyle w:val="TableParagraph"/>
              <w:spacing w:before="1"/>
              <w:ind w:left="16"/>
              <w:jc w:val="center"/>
              <w:rPr>
                <w:rFonts w:ascii="Verdana" w:hAnsi="Verdana"/>
                <w:sz w:val="18"/>
                <w:szCs w:val="18"/>
              </w:rPr>
            </w:pPr>
            <w:r w:rsidRPr="00EC75B7">
              <w:rPr>
                <w:rFonts w:ascii="Verdana" w:hAnsi="Verdana"/>
                <w:spacing w:val="-2"/>
                <w:sz w:val="18"/>
                <w:szCs w:val="18"/>
              </w:rPr>
              <w:t>Local</w:t>
            </w:r>
          </w:p>
        </w:tc>
        <w:tc>
          <w:tcPr>
            <w:tcW w:w="1229" w:type="dxa"/>
            <w:tcBorders>
              <w:top w:val="single" w:sz="12" w:space="0" w:color="666666"/>
            </w:tcBorders>
          </w:tcPr>
          <w:p w14:paraId="39114B61" w14:textId="77777777" w:rsidR="008715BE" w:rsidRPr="00EC75B7" w:rsidRDefault="00000000">
            <w:pPr>
              <w:pStyle w:val="TableParagraph"/>
              <w:spacing w:before="1"/>
              <w:ind w:left="111"/>
              <w:rPr>
                <w:rFonts w:ascii="Verdana" w:hAnsi="Verdana"/>
                <w:sz w:val="18"/>
                <w:szCs w:val="18"/>
              </w:rPr>
            </w:pPr>
            <w:r w:rsidRPr="00EC75B7">
              <w:rPr>
                <w:rFonts w:ascii="Verdana" w:hAnsi="Verdana"/>
                <w:spacing w:val="-2"/>
                <w:sz w:val="18"/>
                <w:szCs w:val="18"/>
              </w:rPr>
              <w:t>Unlikely</w:t>
            </w:r>
          </w:p>
        </w:tc>
        <w:tc>
          <w:tcPr>
            <w:tcW w:w="996" w:type="dxa"/>
            <w:tcBorders>
              <w:top w:val="single" w:sz="12" w:space="0" w:color="666666"/>
            </w:tcBorders>
          </w:tcPr>
          <w:p w14:paraId="678596B0" w14:textId="77777777" w:rsidR="008715BE" w:rsidRPr="00EC75B7" w:rsidRDefault="00000000">
            <w:pPr>
              <w:pStyle w:val="TableParagraph"/>
              <w:spacing w:before="1"/>
              <w:ind w:left="17"/>
              <w:jc w:val="center"/>
              <w:rPr>
                <w:rFonts w:ascii="Verdana" w:hAnsi="Verdana"/>
                <w:sz w:val="18"/>
                <w:szCs w:val="18"/>
              </w:rPr>
            </w:pPr>
            <w:r w:rsidRPr="00EC75B7">
              <w:rPr>
                <w:rFonts w:ascii="Verdana" w:hAnsi="Verdana"/>
                <w:spacing w:val="-2"/>
                <w:sz w:val="18"/>
                <w:szCs w:val="18"/>
              </w:rPr>
              <w:t>Reversible</w:t>
            </w:r>
          </w:p>
        </w:tc>
        <w:tc>
          <w:tcPr>
            <w:tcW w:w="1392" w:type="dxa"/>
            <w:tcBorders>
              <w:top w:val="single" w:sz="12" w:space="0" w:color="666666"/>
            </w:tcBorders>
          </w:tcPr>
          <w:p w14:paraId="0AF2BE99" w14:textId="77777777" w:rsidR="008715BE" w:rsidRPr="00EC75B7" w:rsidRDefault="00000000">
            <w:pPr>
              <w:pStyle w:val="TableParagraph"/>
              <w:spacing w:before="1"/>
              <w:ind w:left="19"/>
              <w:jc w:val="center"/>
              <w:rPr>
                <w:rFonts w:ascii="Verdana" w:hAnsi="Verdana"/>
                <w:sz w:val="18"/>
                <w:szCs w:val="18"/>
              </w:rPr>
            </w:pPr>
            <w:r w:rsidRPr="00EC75B7">
              <w:rPr>
                <w:rFonts w:ascii="Verdana" w:hAnsi="Verdana"/>
                <w:spacing w:val="-2"/>
                <w:sz w:val="18"/>
                <w:szCs w:val="18"/>
              </w:rPr>
              <w:t>Insignificant</w:t>
            </w:r>
          </w:p>
        </w:tc>
        <w:tc>
          <w:tcPr>
            <w:tcW w:w="7551" w:type="dxa"/>
            <w:tcBorders>
              <w:top w:val="single" w:sz="12" w:space="0" w:color="666666"/>
            </w:tcBorders>
          </w:tcPr>
          <w:p w14:paraId="1D86B333" w14:textId="77777777" w:rsidR="008715BE" w:rsidRPr="00EC75B7" w:rsidRDefault="00000000">
            <w:pPr>
              <w:pStyle w:val="TableParagraph"/>
              <w:spacing w:before="1"/>
              <w:ind w:left="111" w:right="94"/>
              <w:jc w:val="both"/>
              <w:rPr>
                <w:rFonts w:ascii="Verdana" w:hAnsi="Verdana"/>
                <w:sz w:val="18"/>
                <w:szCs w:val="18"/>
              </w:rPr>
            </w:pPr>
            <w:r w:rsidRPr="00EC75B7">
              <w:rPr>
                <w:rFonts w:ascii="Verdana" w:hAnsi="Verdana"/>
                <w:sz w:val="18"/>
                <w:szCs w:val="18"/>
              </w:rPr>
              <w:t xml:space="preserve">The waste generated during the operation period will be in small quantities, generated only during maintenance and repairs, but adequate waste management will be ensured through separate collection in appropriate containers, temporary storage only in specially designated areas, and then recovery/disposal, as appropriate, </w:t>
            </w:r>
            <w:r w:rsidRPr="00EC75B7">
              <w:rPr>
                <w:rFonts w:ascii="Verdana" w:hAnsi="Verdana"/>
                <w:spacing w:val="-4"/>
                <w:sz w:val="18"/>
                <w:szCs w:val="18"/>
              </w:rPr>
              <w:t>by</w:t>
            </w:r>
          </w:p>
          <w:p w14:paraId="5395672B" w14:textId="77777777" w:rsidR="008715BE" w:rsidRPr="00EC75B7" w:rsidRDefault="00000000">
            <w:pPr>
              <w:pStyle w:val="TableParagraph"/>
              <w:spacing w:line="171" w:lineRule="exact"/>
              <w:ind w:left="111"/>
              <w:jc w:val="both"/>
              <w:rPr>
                <w:rFonts w:ascii="Verdana" w:hAnsi="Verdana"/>
                <w:sz w:val="18"/>
                <w:szCs w:val="18"/>
              </w:rPr>
            </w:pPr>
            <w:r w:rsidRPr="00EC75B7">
              <w:rPr>
                <w:rFonts w:ascii="Verdana" w:hAnsi="Verdana"/>
                <w:sz w:val="18"/>
                <w:szCs w:val="18"/>
              </w:rPr>
              <w:t xml:space="preserve">authorized operators, by handing them over on the basis of contracts concluded for this </w:t>
            </w:r>
            <w:r w:rsidRPr="00EC75B7">
              <w:rPr>
                <w:rFonts w:ascii="Verdana" w:hAnsi="Verdana"/>
                <w:spacing w:val="-2"/>
                <w:sz w:val="18"/>
                <w:szCs w:val="18"/>
              </w:rPr>
              <w:t>purpose.</w:t>
            </w:r>
          </w:p>
        </w:tc>
      </w:tr>
      <w:tr w:rsidR="008715BE" w:rsidRPr="00EC75B7" w14:paraId="350C92DD" w14:textId="77777777">
        <w:trPr>
          <w:trHeight w:val="582"/>
        </w:trPr>
        <w:tc>
          <w:tcPr>
            <w:tcW w:w="943" w:type="dxa"/>
            <w:vMerge/>
            <w:tcBorders>
              <w:top w:val="nil"/>
            </w:tcBorders>
          </w:tcPr>
          <w:p w14:paraId="17F9F7BE" w14:textId="77777777" w:rsidR="008715BE" w:rsidRPr="00EC75B7" w:rsidRDefault="008715BE">
            <w:pPr>
              <w:rPr>
                <w:rFonts w:ascii="Verdana" w:hAnsi="Verdana"/>
                <w:sz w:val="18"/>
                <w:szCs w:val="18"/>
              </w:rPr>
            </w:pPr>
          </w:p>
        </w:tc>
        <w:tc>
          <w:tcPr>
            <w:tcW w:w="1476" w:type="dxa"/>
            <w:vMerge/>
            <w:tcBorders>
              <w:top w:val="nil"/>
            </w:tcBorders>
          </w:tcPr>
          <w:p w14:paraId="6BA204B8" w14:textId="77777777" w:rsidR="008715BE" w:rsidRPr="00EC75B7" w:rsidRDefault="008715BE">
            <w:pPr>
              <w:rPr>
                <w:rFonts w:ascii="Verdana" w:hAnsi="Verdana"/>
                <w:sz w:val="18"/>
                <w:szCs w:val="18"/>
              </w:rPr>
            </w:pPr>
          </w:p>
        </w:tc>
        <w:tc>
          <w:tcPr>
            <w:tcW w:w="1780" w:type="dxa"/>
          </w:tcPr>
          <w:p w14:paraId="419BF8BC"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Occasional traffic of vehicles/machinery </w:t>
            </w:r>
            <w:r w:rsidRPr="00EC75B7">
              <w:rPr>
                <w:rFonts w:ascii="Verdana" w:hAnsi="Verdana"/>
                <w:spacing w:val="-5"/>
                <w:sz w:val="18"/>
                <w:szCs w:val="18"/>
              </w:rPr>
              <w:t>in</w:t>
            </w:r>
          </w:p>
          <w:p w14:paraId="17A221BC" w14:textId="77777777" w:rsidR="008715BE" w:rsidRPr="00EC75B7" w:rsidRDefault="00000000">
            <w:pPr>
              <w:pStyle w:val="TableParagraph"/>
              <w:spacing w:line="173" w:lineRule="exact"/>
              <w:ind w:left="108"/>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project </w:t>
            </w:r>
            <w:r w:rsidRPr="00EC75B7">
              <w:rPr>
                <w:rFonts w:ascii="Verdana" w:hAnsi="Verdana"/>
                <w:sz w:val="18"/>
                <w:szCs w:val="18"/>
              </w:rPr>
              <w:t>area</w:t>
            </w:r>
          </w:p>
        </w:tc>
        <w:tc>
          <w:tcPr>
            <w:tcW w:w="1598" w:type="dxa"/>
          </w:tcPr>
          <w:p w14:paraId="41F4F02E" w14:textId="77777777" w:rsidR="008715BE" w:rsidRPr="00EC75B7" w:rsidRDefault="00000000">
            <w:pPr>
              <w:pStyle w:val="TableParagraph"/>
              <w:ind w:left="109" w:right="57"/>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soil/subsoil</w:t>
            </w:r>
          </w:p>
        </w:tc>
        <w:tc>
          <w:tcPr>
            <w:tcW w:w="924" w:type="dxa"/>
          </w:tcPr>
          <w:p w14:paraId="6CAEE81B" w14:textId="77777777" w:rsidR="008715BE" w:rsidRPr="00EC75B7" w:rsidRDefault="00000000">
            <w:pPr>
              <w:pStyle w:val="TableParagraph"/>
              <w:spacing w:line="195" w:lineRule="exact"/>
              <w:ind w:left="11"/>
              <w:jc w:val="center"/>
              <w:rPr>
                <w:rFonts w:ascii="Verdana" w:hAnsi="Verdana"/>
                <w:sz w:val="18"/>
                <w:szCs w:val="18"/>
              </w:rPr>
            </w:pPr>
            <w:r w:rsidRPr="00EC75B7">
              <w:rPr>
                <w:rFonts w:ascii="Verdana" w:hAnsi="Verdana"/>
                <w:spacing w:val="-2"/>
                <w:sz w:val="18"/>
                <w:szCs w:val="18"/>
              </w:rPr>
              <w:t>Negative</w:t>
            </w:r>
          </w:p>
        </w:tc>
        <w:tc>
          <w:tcPr>
            <w:tcW w:w="693" w:type="dxa"/>
          </w:tcPr>
          <w:p w14:paraId="0D0B3405" w14:textId="77777777" w:rsidR="008715BE" w:rsidRPr="00EC75B7" w:rsidRDefault="00000000">
            <w:pPr>
              <w:pStyle w:val="TableParagraph"/>
              <w:spacing w:line="195" w:lineRule="exact"/>
              <w:ind w:left="17"/>
              <w:jc w:val="center"/>
              <w:rPr>
                <w:rFonts w:ascii="Verdana" w:hAnsi="Verdana"/>
                <w:sz w:val="18"/>
                <w:szCs w:val="18"/>
              </w:rPr>
            </w:pPr>
            <w:r w:rsidRPr="00EC75B7">
              <w:rPr>
                <w:rFonts w:ascii="Verdana" w:hAnsi="Verdana"/>
                <w:spacing w:val="-2"/>
                <w:sz w:val="18"/>
                <w:szCs w:val="18"/>
              </w:rPr>
              <w:t>Direct</w:t>
            </w:r>
          </w:p>
        </w:tc>
        <w:tc>
          <w:tcPr>
            <w:tcW w:w="436" w:type="dxa"/>
          </w:tcPr>
          <w:p w14:paraId="01D75FFD" w14:textId="77777777" w:rsidR="008715BE" w:rsidRPr="00EC75B7" w:rsidRDefault="00000000">
            <w:pPr>
              <w:pStyle w:val="TableParagraph"/>
              <w:spacing w:line="195" w:lineRule="exact"/>
              <w:ind w:left="17"/>
              <w:jc w:val="center"/>
              <w:rPr>
                <w:rFonts w:ascii="Verdana" w:hAnsi="Verdana"/>
                <w:sz w:val="18"/>
                <w:szCs w:val="18"/>
              </w:rPr>
            </w:pPr>
            <w:r w:rsidRPr="00EC75B7">
              <w:rPr>
                <w:rFonts w:ascii="Verdana" w:hAnsi="Verdana"/>
                <w:spacing w:val="-5"/>
                <w:sz w:val="18"/>
                <w:szCs w:val="18"/>
              </w:rPr>
              <w:t>Yes</w:t>
            </w:r>
          </w:p>
        </w:tc>
        <w:tc>
          <w:tcPr>
            <w:tcW w:w="702" w:type="dxa"/>
          </w:tcPr>
          <w:p w14:paraId="3E8A1AEB" w14:textId="77777777" w:rsidR="008715BE" w:rsidRPr="00EC75B7" w:rsidRDefault="00000000">
            <w:pPr>
              <w:pStyle w:val="TableParagraph"/>
              <w:spacing w:line="195" w:lineRule="exact"/>
              <w:ind w:left="14"/>
              <w:jc w:val="center"/>
              <w:rPr>
                <w:rFonts w:ascii="Verdana" w:hAnsi="Verdana"/>
                <w:sz w:val="18"/>
                <w:szCs w:val="18"/>
              </w:rPr>
            </w:pPr>
            <w:r w:rsidRPr="00EC75B7">
              <w:rPr>
                <w:rFonts w:ascii="Verdana" w:hAnsi="Verdana"/>
                <w:spacing w:val="-2"/>
                <w:sz w:val="18"/>
                <w:szCs w:val="18"/>
              </w:rPr>
              <w:t>Long</w:t>
            </w:r>
          </w:p>
        </w:tc>
        <w:tc>
          <w:tcPr>
            <w:tcW w:w="1084" w:type="dxa"/>
          </w:tcPr>
          <w:p w14:paraId="53377114" w14:textId="77777777" w:rsidR="008715BE" w:rsidRPr="00EC75B7" w:rsidRDefault="00000000">
            <w:pPr>
              <w:pStyle w:val="TableParagraph"/>
              <w:spacing w:line="195" w:lineRule="exact"/>
              <w:ind w:left="20"/>
              <w:jc w:val="center"/>
              <w:rPr>
                <w:rFonts w:ascii="Verdana" w:hAnsi="Verdana"/>
                <w:sz w:val="18"/>
                <w:szCs w:val="18"/>
              </w:rPr>
            </w:pPr>
            <w:r w:rsidRPr="00EC75B7">
              <w:rPr>
                <w:rFonts w:ascii="Verdana" w:hAnsi="Verdana"/>
                <w:spacing w:val="-2"/>
                <w:sz w:val="18"/>
                <w:szCs w:val="18"/>
              </w:rPr>
              <w:t>Occasional</w:t>
            </w:r>
          </w:p>
        </w:tc>
        <w:tc>
          <w:tcPr>
            <w:tcW w:w="722" w:type="dxa"/>
          </w:tcPr>
          <w:p w14:paraId="10F9F698" w14:textId="77777777" w:rsidR="008715BE" w:rsidRPr="00EC75B7" w:rsidRDefault="00000000">
            <w:pPr>
              <w:pStyle w:val="TableParagraph"/>
              <w:spacing w:line="195" w:lineRule="exact"/>
              <w:ind w:left="16"/>
              <w:jc w:val="center"/>
              <w:rPr>
                <w:rFonts w:ascii="Verdana" w:hAnsi="Verdana"/>
                <w:sz w:val="18"/>
                <w:szCs w:val="18"/>
              </w:rPr>
            </w:pPr>
            <w:r w:rsidRPr="00EC75B7">
              <w:rPr>
                <w:rFonts w:ascii="Verdana" w:hAnsi="Verdana"/>
                <w:spacing w:val="-2"/>
                <w:sz w:val="18"/>
                <w:szCs w:val="18"/>
              </w:rPr>
              <w:t>Local</w:t>
            </w:r>
          </w:p>
        </w:tc>
        <w:tc>
          <w:tcPr>
            <w:tcW w:w="1229" w:type="dxa"/>
          </w:tcPr>
          <w:p w14:paraId="6075CF07" w14:textId="77777777" w:rsidR="008715BE" w:rsidRPr="00EC75B7" w:rsidRDefault="00000000">
            <w:pPr>
              <w:pStyle w:val="TableParagraph"/>
              <w:ind w:left="111" w:right="13"/>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996" w:type="dxa"/>
          </w:tcPr>
          <w:p w14:paraId="22942705" w14:textId="77777777" w:rsidR="008715BE" w:rsidRPr="00EC75B7" w:rsidRDefault="00000000">
            <w:pPr>
              <w:pStyle w:val="TableParagraph"/>
              <w:spacing w:line="195" w:lineRule="exact"/>
              <w:ind w:left="17"/>
              <w:jc w:val="center"/>
              <w:rPr>
                <w:rFonts w:ascii="Verdana" w:hAnsi="Verdana"/>
                <w:sz w:val="18"/>
                <w:szCs w:val="18"/>
              </w:rPr>
            </w:pPr>
            <w:r w:rsidRPr="00EC75B7">
              <w:rPr>
                <w:rFonts w:ascii="Verdana" w:hAnsi="Verdana"/>
                <w:spacing w:val="-2"/>
                <w:sz w:val="18"/>
                <w:szCs w:val="18"/>
              </w:rPr>
              <w:t>Reversible</w:t>
            </w:r>
          </w:p>
        </w:tc>
        <w:tc>
          <w:tcPr>
            <w:tcW w:w="1392" w:type="dxa"/>
          </w:tcPr>
          <w:p w14:paraId="28A9BEBD" w14:textId="77777777" w:rsidR="008715BE" w:rsidRPr="00EC75B7" w:rsidRDefault="00000000">
            <w:pPr>
              <w:pStyle w:val="TableParagraph"/>
              <w:spacing w:line="195" w:lineRule="exact"/>
              <w:ind w:left="19"/>
              <w:jc w:val="center"/>
              <w:rPr>
                <w:rFonts w:ascii="Verdana" w:hAnsi="Verdana"/>
                <w:sz w:val="18"/>
                <w:szCs w:val="18"/>
              </w:rPr>
            </w:pPr>
            <w:r w:rsidRPr="00EC75B7">
              <w:rPr>
                <w:rFonts w:ascii="Verdana" w:hAnsi="Verdana"/>
                <w:spacing w:val="-2"/>
                <w:sz w:val="18"/>
                <w:szCs w:val="18"/>
              </w:rPr>
              <w:t>Insignificant</w:t>
            </w:r>
          </w:p>
        </w:tc>
        <w:tc>
          <w:tcPr>
            <w:tcW w:w="7551" w:type="dxa"/>
          </w:tcPr>
          <w:p w14:paraId="13071CEC" w14:textId="77777777" w:rsidR="008715BE" w:rsidRPr="00EC75B7" w:rsidRDefault="00000000">
            <w:pPr>
              <w:pStyle w:val="TableParagraph"/>
              <w:ind w:left="111"/>
              <w:rPr>
                <w:rFonts w:ascii="Verdana" w:hAnsi="Verdana"/>
                <w:sz w:val="18"/>
                <w:szCs w:val="18"/>
              </w:rPr>
            </w:pPr>
            <w:r w:rsidRPr="00EC75B7">
              <w:rPr>
                <w:rFonts w:ascii="Verdana" w:hAnsi="Verdana"/>
                <w:sz w:val="18"/>
                <w:szCs w:val="18"/>
              </w:rPr>
              <w:t>Maintenance and repair work will be brief and occasional, and vehicle/equipment access to the project area will be occasional. Thus, emissions generated by their access</w:t>
            </w:r>
          </w:p>
          <w:p w14:paraId="12ED4F6C" w14:textId="77777777" w:rsidR="008715BE" w:rsidRPr="00EC75B7" w:rsidRDefault="00000000">
            <w:pPr>
              <w:pStyle w:val="TableParagraph"/>
              <w:spacing w:line="173" w:lineRule="exact"/>
              <w:ind w:left="111"/>
              <w:rPr>
                <w:rFonts w:ascii="Verdana" w:hAnsi="Verdana"/>
                <w:sz w:val="18"/>
                <w:szCs w:val="18"/>
              </w:rPr>
            </w:pPr>
            <w:r w:rsidRPr="00EC75B7">
              <w:rPr>
                <w:rFonts w:ascii="Verdana" w:hAnsi="Verdana"/>
                <w:sz w:val="18"/>
                <w:szCs w:val="18"/>
              </w:rPr>
              <w:t xml:space="preserve">in the park area will be greatly </w:t>
            </w:r>
            <w:r w:rsidRPr="00EC75B7">
              <w:rPr>
                <w:rFonts w:ascii="Verdana" w:hAnsi="Verdana"/>
                <w:spacing w:val="-2"/>
                <w:sz w:val="18"/>
                <w:szCs w:val="18"/>
              </w:rPr>
              <w:t>reduced.</w:t>
            </w:r>
          </w:p>
        </w:tc>
      </w:tr>
    </w:tbl>
    <w:p w14:paraId="3E6AFDB4" w14:textId="77777777" w:rsidR="008715BE" w:rsidRPr="00EC75B7" w:rsidRDefault="008715BE">
      <w:pPr>
        <w:pStyle w:val="BodyText"/>
        <w:rPr>
          <w:rFonts w:ascii="Verdana" w:hAnsi="Verdana"/>
          <w:b/>
        </w:rPr>
      </w:pPr>
    </w:p>
    <w:p w14:paraId="2993BEEE" w14:textId="77777777" w:rsidR="008715BE" w:rsidRPr="00EC75B7" w:rsidRDefault="008715BE">
      <w:pPr>
        <w:pStyle w:val="BodyText"/>
        <w:spacing w:before="59"/>
        <w:rPr>
          <w:rFonts w:ascii="Verdana" w:hAnsi="Verdana"/>
          <w:b/>
        </w:rPr>
      </w:pPr>
    </w:p>
    <w:p w14:paraId="24107074" w14:textId="77777777" w:rsidR="008715BE" w:rsidRPr="00EC75B7" w:rsidRDefault="00000000">
      <w:pPr>
        <w:ind w:left="2"/>
        <w:jc w:val="both"/>
        <w:rPr>
          <w:rFonts w:ascii="Verdana" w:hAnsi="Verdana"/>
          <w:b/>
          <w:sz w:val="18"/>
          <w:szCs w:val="18"/>
        </w:rPr>
      </w:pPr>
      <w:r w:rsidRPr="00EC75B7">
        <w:rPr>
          <w:rFonts w:ascii="Verdana" w:hAnsi="Verdana"/>
          <w:b/>
          <w:color w:val="009DEF"/>
          <w:sz w:val="18"/>
          <w:szCs w:val="18"/>
        </w:rPr>
        <w:t xml:space="preserve">Conclusions regarding the impact on the soil/subsoil during the </w:t>
      </w:r>
      <w:r w:rsidRPr="00EC75B7">
        <w:rPr>
          <w:rFonts w:ascii="Verdana" w:hAnsi="Verdana"/>
          <w:b/>
          <w:color w:val="009DEF"/>
          <w:spacing w:val="-2"/>
          <w:sz w:val="18"/>
          <w:szCs w:val="18"/>
        </w:rPr>
        <w:t xml:space="preserve">operational </w:t>
      </w:r>
      <w:r w:rsidRPr="00EC75B7">
        <w:rPr>
          <w:rFonts w:ascii="Verdana" w:hAnsi="Verdana"/>
          <w:b/>
          <w:color w:val="009DEF"/>
          <w:sz w:val="18"/>
          <w:szCs w:val="18"/>
        </w:rPr>
        <w:t>phase</w:t>
      </w:r>
      <w:r w:rsidRPr="00EC75B7">
        <w:rPr>
          <w:rFonts w:ascii="Verdana" w:hAnsi="Verdana"/>
          <w:b/>
          <w:color w:val="009DEF"/>
          <w:spacing w:val="-2"/>
          <w:sz w:val="18"/>
          <w:szCs w:val="18"/>
        </w:rPr>
        <w:t>:</w:t>
      </w:r>
    </w:p>
    <w:p w14:paraId="25B6CA44" w14:textId="77777777" w:rsidR="008715BE" w:rsidRPr="00EC75B7" w:rsidRDefault="008715BE">
      <w:pPr>
        <w:pStyle w:val="BodyText"/>
        <w:spacing w:before="9"/>
        <w:rPr>
          <w:rFonts w:ascii="Verdana" w:hAnsi="Verdana"/>
          <w:b/>
        </w:rPr>
      </w:pPr>
    </w:p>
    <w:p w14:paraId="707A480D" w14:textId="77777777" w:rsidR="008715BE" w:rsidRPr="00EC75B7" w:rsidRDefault="00000000">
      <w:pPr>
        <w:spacing w:before="1"/>
        <w:ind w:left="2"/>
        <w:jc w:val="both"/>
        <w:rPr>
          <w:rFonts w:ascii="Verdana" w:hAnsi="Verdana"/>
          <w:b/>
          <w:sz w:val="18"/>
          <w:szCs w:val="18"/>
        </w:rPr>
      </w:pPr>
      <w:r w:rsidRPr="00EC75B7">
        <w:rPr>
          <w:rFonts w:ascii="Verdana" w:hAnsi="Verdana"/>
          <w:b/>
          <w:sz w:val="18"/>
          <w:szCs w:val="18"/>
        </w:rPr>
        <w:t xml:space="preserve">The impact during the operational phase will be low and will be felt mainly locally, only in the area of the wind farm site, without extending the area of influence to the neighboring areas. During the </w:t>
      </w:r>
      <w:r w:rsidRPr="00EC75B7">
        <w:rPr>
          <w:rFonts w:ascii="Verdana" w:hAnsi="Verdana"/>
          <w:b/>
          <w:spacing w:val="-2"/>
          <w:sz w:val="18"/>
          <w:szCs w:val="18"/>
        </w:rPr>
        <w:t xml:space="preserve">operational </w:t>
      </w:r>
      <w:r w:rsidRPr="00EC75B7">
        <w:rPr>
          <w:rFonts w:ascii="Verdana" w:hAnsi="Verdana"/>
          <w:b/>
          <w:sz w:val="18"/>
          <w:szCs w:val="18"/>
        </w:rPr>
        <w:t>phase</w:t>
      </w:r>
    </w:p>
    <w:p w14:paraId="1E2B0127" w14:textId="77777777" w:rsidR="008715BE" w:rsidRPr="00EC75B7" w:rsidRDefault="00000000">
      <w:pPr>
        <w:spacing w:before="109"/>
        <w:ind w:left="2"/>
        <w:jc w:val="both"/>
        <w:rPr>
          <w:rFonts w:ascii="Verdana" w:hAnsi="Verdana"/>
          <w:b/>
          <w:sz w:val="18"/>
          <w:szCs w:val="18"/>
        </w:rPr>
      </w:pPr>
      <w:r w:rsidRPr="00EC75B7">
        <w:rPr>
          <w:rFonts w:ascii="Verdana" w:hAnsi="Verdana"/>
          <w:b/>
          <w:sz w:val="18"/>
          <w:szCs w:val="18"/>
        </w:rPr>
        <w:t xml:space="preserve">The impact is considered insignificant, local, and </w:t>
      </w:r>
      <w:r w:rsidRPr="00EC75B7">
        <w:rPr>
          <w:rFonts w:ascii="Verdana" w:hAnsi="Verdana"/>
          <w:b/>
          <w:spacing w:val="-2"/>
          <w:sz w:val="18"/>
          <w:szCs w:val="18"/>
        </w:rPr>
        <w:t>reversible.</w:t>
      </w:r>
    </w:p>
    <w:p w14:paraId="72D7F454" w14:textId="77777777" w:rsidR="008715BE" w:rsidRPr="00EC75B7" w:rsidRDefault="008715BE">
      <w:pPr>
        <w:jc w:val="both"/>
        <w:rPr>
          <w:rFonts w:ascii="Verdana" w:hAnsi="Verdana"/>
          <w:b/>
          <w:sz w:val="18"/>
          <w:szCs w:val="18"/>
        </w:rPr>
        <w:sectPr w:rsidR="008715BE" w:rsidRPr="00EC75B7">
          <w:pgSz w:w="23810" w:h="16850" w:orient="landscape"/>
          <w:pgMar w:top="1160" w:right="708" w:bottom="1020" w:left="850" w:header="766" w:footer="823" w:gutter="0"/>
          <w:cols w:space="708"/>
        </w:sectPr>
      </w:pPr>
    </w:p>
    <w:p w14:paraId="61C53F70" w14:textId="77777777" w:rsidR="008715BE" w:rsidRPr="00EC75B7" w:rsidRDefault="008715BE">
      <w:pPr>
        <w:pStyle w:val="BodyText"/>
        <w:spacing w:before="17"/>
        <w:rPr>
          <w:rFonts w:ascii="Verdana" w:hAnsi="Verdana"/>
          <w:b/>
        </w:rPr>
      </w:pPr>
    </w:p>
    <w:p w14:paraId="671F8E84" w14:textId="77777777" w:rsidR="008715BE" w:rsidRPr="00EC75B7" w:rsidRDefault="00000000">
      <w:pPr>
        <w:pStyle w:val="Heading3"/>
        <w:numPr>
          <w:ilvl w:val="2"/>
          <w:numId w:val="110"/>
        </w:numPr>
        <w:tabs>
          <w:tab w:val="left" w:pos="1984"/>
        </w:tabs>
        <w:ind w:left="1984" w:hanging="933"/>
        <w:rPr>
          <w:rFonts w:ascii="Verdana" w:hAnsi="Verdana"/>
          <w:color w:val="00AFEF"/>
          <w:sz w:val="18"/>
          <w:szCs w:val="18"/>
        </w:rPr>
      </w:pPr>
      <w:bookmarkStart w:id="91" w:name="_bookmark92"/>
      <w:bookmarkEnd w:id="91"/>
      <w:r w:rsidRPr="00EC75B7">
        <w:rPr>
          <w:rFonts w:ascii="Verdana" w:hAnsi="Verdana"/>
          <w:color w:val="00AFEF"/>
          <w:sz w:val="18"/>
          <w:szCs w:val="18"/>
        </w:rPr>
        <w:t xml:space="preserve">Measures to avoid and reduce the </w:t>
      </w:r>
      <w:r w:rsidRPr="00EC75B7">
        <w:rPr>
          <w:rFonts w:ascii="Verdana" w:hAnsi="Verdana"/>
          <w:color w:val="00AFEF"/>
          <w:spacing w:val="-2"/>
          <w:sz w:val="18"/>
          <w:szCs w:val="18"/>
        </w:rPr>
        <w:t>impact</w:t>
      </w:r>
    </w:p>
    <w:p w14:paraId="40AB4E32" w14:textId="77777777" w:rsidR="008715BE" w:rsidRPr="00EC75B7" w:rsidRDefault="008715BE">
      <w:pPr>
        <w:pStyle w:val="BodyText"/>
        <w:spacing w:before="114"/>
        <w:rPr>
          <w:rFonts w:ascii="Verdana" w:hAnsi="Verdana"/>
          <w:b/>
        </w:rPr>
      </w:pPr>
    </w:p>
    <w:p w14:paraId="06E3B1C1" w14:textId="77777777" w:rsidR="008715BE" w:rsidRPr="00EC75B7" w:rsidRDefault="00000000">
      <w:pPr>
        <w:pStyle w:val="BodyText"/>
        <w:spacing w:line="357" w:lineRule="auto"/>
        <w:ind w:left="57" w:right="144"/>
        <w:jc w:val="both"/>
        <w:rPr>
          <w:rFonts w:ascii="Verdana" w:hAnsi="Verdana"/>
        </w:rPr>
      </w:pPr>
      <w:r w:rsidRPr="00EC75B7">
        <w:rPr>
          <w:rFonts w:ascii="Verdana" w:hAnsi="Verdana"/>
          <w:b/>
        </w:rPr>
        <w:t xml:space="preserve">During the execution/decommissioning </w:t>
      </w:r>
      <w:r w:rsidRPr="00EC75B7">
        <w:rPr>
          <w:rFonts w:ascii="Verdana" w:hAnsi="Verdana"/>
        </w:rPr>
        <w:t>of the works, no additional measures are necessary to avoid or reduce the impact on the soil/subsoil environmental factor, given the temporary, local, and reversible nature of the interventions.</w:t>
      </w:r>
    </w:p>
    <w:p w14:paraId="6826E791" w14:textId="77777777" w:rsidR="008715BE" w:rsidRPr="00EC75B7" w:rsidRDefault="00000000">
      <w:pPr>
        <w:spacing w:before="2" w:line="360" w:lineRule="auto"/>
        <w:ind w:left="57" w:right="142"/>
        <w:jc w:val="both"/>
        <w:rPr>
          <w:rFonts w:ascii="Verdana" w:hAnsi="Verdana"/>
          <w:sz w:val="18"/>
          <w:szCs w:val="18"/>
        </w:rPr>
      </w:pPr>
      <w:r w:rsidRPr="00EC75B7">
        <w:rPr>
          <w:rFonts w:ascii="Verdana" w:hAnsi="Verdana"/>
          <w:sz w:val="18"/>
          <w:szCs w:val="18"/>
        </w:rPr>
        <w:t xml:space="preserve">For this project, a series of best practice requirements for the protection of the "soil/subsoil" environmental factor will be adopted </w:t>
      </w:r>
      <w:r w:rsidRPr="00EC75B7">
        <w:rPr>
          <w:rFonts w:ascii="Verdana" w:hAnsi="Verdana"/>
          <w:b/>
          <w:sz w:val="18"/>
          <w:szCs w:val="18"/>
        </w:rPr>
        <w:t>during the execution/decommissioning and operation period</w:t>
      </w:r>
      <w:r w:rsidRPr="00EC75B7">
        <w:rPr>
          <w:rFonts w:ascii="Verdana" w:hAnsi="Verdana"/>
          <w:sz w:val="18"/>
          <w:szCs w:val="18"/>
        </w:rPr>
        <w:t>.</w:t>
      </w:r>
    </w:p>
    <w:p w14:paraId="378E9731" w14:textId="77777777" w:rsidR="008715BE" w:rsidRPr="00EC75B7" w:rsidRDefault="00000000">
      <w:pPr>
        <w:pStyle w:val="Heading5"/>
        <w:spacing w:before="116"/>
        <w:rPr>
          <w:rFonts w:ascii="Verdana" w:hAnsi="Verdana"/>
        </w:rPr>
      </w:pPr>
      <w:r w:rsidRPr="00EC75B7">
        <w:rPr>
          <w:rFonts w:ascii="Verdana" w:hAnsi="Verdana"/>
        </w:rPr>
        <w:t xml:space="preserve">During the </w:t>
      </w:r>
      <w:r w:rsidRPr="00EC75B7">
        <w:rPr>
          <w:rFonts w:ascii="Verdana" w:hAnsi="Verdana"/>
          <w:spacing w:val="-2"/>
        </w:rPr>
        <w:t xml:space="preserve">execution </w:t>
      </w:r>
      <w:r w:rsidRPr="00EC75B7">
        <w:rPr>
          <w:rFonts w:ascii="Verdana" w:hAnsi="Verdana"/>
        </w:rPr>
        <w:t>period</w:t>
      </w:r>
      <w:r w:rsidRPr="00EC75B7">
        <w:rPr>
          <w:rFonts w:ascii="Verdana" w:hAnsi="Verdana"/>
          <w:spacing w:val="-2"/>
        </w:rPr>
        <w:t>:</w:t>
      </w:r>
    </w:p>
    <w:p w14:paraId="744B13C1" w14:textId="77777777" w:rsidR="008715BE" w:rsidRPr="00EC75B7" w:rsidRDefault="008715BE">
      <w:pPr>
        <w:pStyle w:val="BodyText"/>
        <w:spacing w:before="9"/>
        <w:rPr>
          <w:rFonts w:ascii="Verdana" w:hAnsi="Verdana"/>
          <w:b/>
        </w:rPr>
      </w:pPr>
    </w:p>
    <w:p w14:paraId="7F41D4F6" w14:textId="77777777" w:rsidR="008715BE" w:rsidRPr="00EC75B7" w:rsidRDefault="00000000">
      <w:pPr>
        <w:pStyle w:val="BodyText"/>
        <w:spacing w:line="360" w:lineRule="auto"/>
        <w:ind w:left="57" w:right="148"/>
        <w:jc w:val="both"/>
        <w:rPr>
          <w:rFonts w:ascii="Verdana" w:hAnsi="Verdana"/>
        </w:rPr>
      </w:pPr>
      <w:r w:rsidRPr="00EC75B7">
        <w:rPr>
          <w:rFonts w:ascii="Verdana" w:hAnsi="Verdana"/>
        </w:rPr>
        <w:t>Only technically verified vehicles and equipment in good working order will be used, and no fuel will be stored on the project site. Temporary storage of materials used and waste generated will not be carried out directly on the ground, but in places specifically designated for this purpose.</w:t>
      </w:r>
    </w:p>
    <w:p w14:paraId="1B93D954" w14:textId="77777777" w:rsidR="008715BE" w:rsidRPr="00EC75B7" w:rsidRDefault="00000000">
      <w:pPr>
        <w:pStyle w:val="BodyText"/>
        <w:spacing w:before="116" w:line="360" w:lineRule="auto"/>
        <w:ind w:left="57" w:right="149"/>
        <w:jc w:val="both"/>
        <w:rPr>
          <w:rFonts w:ascii="Verdana" w:hAnsi="Verdana"/>
        </w:rPr>
      </w:pPr>
      <w:r w:rsidRPr="00EC75B7">
        <w:rPr>
          <w:rFonts w:ascii="Verdana" w:hAnsi="Verdana"/>
        </w:rPr>
        <w:t>Implementation of a Plan for the prevention and control of accidental pollution related to the construction site, and in the event of accidental pollution, action will be taken in accordance with the procedures set out therein, and the construction site will be equipped with means to combat accidental pollution (absorbent materials).</w:t>
      </w:r>
    </w:p>
    <w:p w14:paraId="12053E04" w14:textId="77777777" w:rsidR="008715BE" w:rsidRPr="00EC75B7" w:rsidRDefault="00000000">
      <w:pPr>
        <w:pStyle w:val="BodyText"/>
        <w:spacing w:before="115" w:line="357" w:lineRule="auto"/>
        <w:ind w:left="57" w:right="141"/>
        <w:jc w:val="both"/>
        <w:rPr>
          <w:rFonts w:ascii="Verdana" w:hAnsi="Verdana"/>
        </w:rPr>
      </w:pPr>
      <w:r w:rsidRPr="00EC75B7">
        <w:rPr>
          <w:rFonts w:ascii="Verdana" w:hAnsi="Verdana"/>
        </w:rPr>
        <w:t>Proper management of waste generated during the project implementation period will be ensured through separate collection in appropriate containers, temporary storage only on the park site in specially designated areas, without direct storage on the ground, and then recycling/disposal as appropriate by authorized economic operators, based on contracts concluded for this purpose.</w:t>
      </w:r>
    </w:p>
    <w:p w14:paraId="6E28D267" w14:textId="77777777" w:rsidR="008715BE" w:rsidRPr="00EC75B7" w:rsidRDefault="00000000">
      <w:pPr>
        <w:pStyle w:val="Heading5"/>
        <w:spacing w:before="125"/>
        <w:rPr>
          <w:rFonts w:ascii="Verdana" w:hAnsi="Verdana"/>
        </w:rPr>
      </w:pPr>
      <w:r w:rsidRPr="00EC75B7">
        <w:rPr>
          <w:rFonts w:ascii="Verdana" w:hAnsi="Verdana"/>
        </w:rPr>
        <w:t xml:space="preserve">During the </w:t>
      </w:r>
      <w:r w:rsidRPr="00EC75B7">
        <w:rPr>
          <w:rFonts w:ascii="Verdana" w:hAnsi="Verdana"/>
          <w:spacing w:val="-2"/>
        </w:rPr>
        <w:t xml:space="preserve">operation </w:t>
      </w:r>
      <w:r w:rsidRPr="00EC75B7">
        <w:rPr>
          <w:rFonts w:ascii="Verdana" w:hAnsi="Verdana"/>
        </w:rPr>
        <w:t>period</w:t>
      </w:r>
      <w:r w:rsidRPr="00EC75B7">
        <w:rPr>
          <w:rFonts w:ascii="Verdana" w:hAnsi="Verdana"/>
          <w:spacing w:val="-2"/>
        </w:rPr>
        <w:t>:</w:t>
      </w:r>
    </w:p>
    <w:p w14:paraId="2F1CA70A" w14:textId="77777777" w:rsidR="008715BE" w:rsidRPr="00EC75B7" w:rsidRDefault="008715BE">
      <w:pPr>
        <w:pStyle w:val="BodyText"/>
        <w:spacing w:before="9"/>
        <w:rPr>
          <w:rFonts w:ascii="Verdana" w:hAnsi="Verdana"/>
          <w:b/>
        </w:rPr>
      </w:pPr>
    </w:p>
    <w:p w14:paraId="7940FA94" w14:textId="77777777" w:rsidR="008715BE" w:rsidRPr="00EC75B7" w:rsidRDefault="00000000">
      <w:pPr>
        <w:pStyle w:val="BodyText"/>
        <w:spacing w:line="357" w:lineRule="auto"/>
        <w:ind w:left="57" w:right="145"/>
        <w:jc w:val="both"/>
        <w:rPr>
          <w:rFonts w:ascii="Verdana" w:hAnsi="Verdana"/>
        </w:rPr>
      </w:pPr>
      <w:r w:rsidRPr="00EC75B7">
        <w:rPr>
          <w:rFonts w:ascii="Verdana" w:hAnsi="Verdana"/>
        </w:rPr>
        <w:t>The waste generated during operation will be in small quantities, generated only during maintenance and repair activities, but proper waste management will be ensured through separate collection in appropriate containers, temporary storage only in specially designated areas, and then recovered/disposed of, as appropriate, by authorized economic operators, through contracts concluded for this purpose.</w:t>
      </w:r>
    </w:p>
    <w:p w14:paraId="4CD9F8B3" w14:textId="77777777" w:rsidR="008715BE" w:rsidRPr="00EC75B7" w:rsidRDefault="00000000">
      <w:pPr>
        <w:spacing w:before="123"/>
        <w:ind w:left="57"/>
        <w:jc w:val="both"/>
        <w:rPr>
          <w:rFonts w:ascii="Verdana" w:hAnsi="Verdana"/>
          <w:sz w:val="18"/>
          <w:szCs w:val="18"/>
        </w:rPr>
      </w:pPr>
      <w:r w:rsidRPr="00EC75B7">
        <w:rPr>
          <w:rFonts w:ascii="Verdana" w:hAnsi="Verdana"/>
          <w:b/>
          <w:sz w:val="18"/>
          <w:szCs w:val="18"/>
        </w:rPr>
        <w:t xml:space="preserve">During the decommissioning phase: </w:t>
      </w:r>
      <w:r w:rsidRPr="00EC75B7">
        <w:rPr>
          <w:rFonts w:ascii="Verdana" w:hAnsi="Verdana"/>
          <w:sz w:val="18"/>
          <w:szCs w:val="18"/>
        </w:rPr>
        <w:t xml:space="preserve">The same measures will be implemented as during the </w:t>
      </w:r>
      <w:r w:rsidRPr="00EC75B7">
        <w:rPr>
          <w:rFonts w:ascii="Verdana" w:hAnsi="Verdana"/>
          <w:spacing w:val="-2"/>
          <w:sz w:val="18"/>
          <w:szCs w:val="18"/>
        </w:rPr>
        <w:t xml:space="preserve">execution </w:t>
      </w:r>
      <w:r w:rsidRPr="00EC75B7">
        <w:rPr>
          <w:rFonts w:ascii="Verdana" w:hAnsi="Verdana"/>
          <w:sz w:val="18"/>
          <w:szCs w:val="18"/>
        </w:rPr>
        <w:t>phase</w:t>
      </w:r>
      <w:r w:rsidRPr="00EC75B7">
        <w:rPr>
          <w:rFonts w:ascii="Verdana" w:hAnsi="Verdana"/>
          <w:spacing w:val="-2"/>
          <w:sz w:val="18"/>
          <w:szCs w:val="18"/>
        </w:rPr>
        <w:t>.</w:t>
      </w:r>
    </w:p>
    <w:p w14:paraId="6126CB75" w14:textId="77777777" w:rsidR="008715BE" w:rsidRPr="00EC75B7" w:rsidRDefault="008715BE">
      <w:pPr>
        <w:pStyle w:val="BodyText"/>
        <w:spacing w:before="132"/>
        <w:rPr>
          <w:rFonts w:ascii="Verdana" w:hAnsi="Verdana"/>
        </w:rPr>
      </w:pPr>
    </w:p>
    <w:p w14:paraId="28583EF1" w14:textId="77777777" w:rsidR="008715BE" w:rsidRPr="00EC75B7" w:rsidRDefault="00000000">
      <w:pPr>
        <w:pStyle w:val="Heading2"/>
        <w:numPr>
          <w:ilvl w:val="1"/>
          <w:numId w:val="110"/>
        </w:numPr>
        <w:tabs>
          <w:tab w:val="left" w:pos="1360"/>
        </w:tabs>
        <w:ind w:left="1360" w:hanging="1245"/>
        <w:jc w:val="left"/>
        <w:rPr>
          <w:rFonts w:ascii="Verdana" w:hAnsi="Verdana"/>
          <w:color w:val="00AFEF"/>
          <w:sz w:val="18"/>
          <w:szCs w:val="18"/>
        </w:rPr>
      </w:pPr>
      <w:bookmarkStart w:id="92" w:name="_bookmark93"/>
      <w:bookmarkEnd w:id="92"/>
      <w:r w:rsidRPr="00EC75B7">
        <w:rPr>
          <w:rFonts w:ascii="Verdana" w:hAnsi="Verdana"/>
          <w:color w:val="00AFEF"/>
          <w:spacing w:val="-5"/>
          <w:sz w:val="18"/>
          <w:szCs w:val="18"/>
        </w:rPr>
        <w:t xml:space="preserve">Water/water </w:t>
      </w:r>
      <w:r w:rsidRPr="00EC75B7">
        <w:rPr>
          <w:rFonts w:ascii="Verdana" w:hAnsi="Verdana"/>
          <w:color w:val="00AFEF"/>
          <w:sz w:val="18"/>
          <w:szCs w:val="18"/>
        </w:rPr>
        <w:t>bodies</w:t>
      </w:r>
    </w:p>
    <w:p w14:paraId="5C736B8E" w14:textId="77777777" w:rsidR="008715BE" w:rsidRPr="00EC75B7" w:rsidRDefault="00000000">
      <w:pPr>
        <w:pStyle w:val="Heading3"/>
        <w:numPr>
          <w:ilvl w:val="2"/>
          <w:numId w:val="110"/>
        </w:numPr>
        <w:tabs>
          <w:tab w:val="left" w:pos="2037"/>
        </w:tabs>
        <w:spacing w:before="132"/>
        <w:ind w:left="2037" w:hanging="986"/>
        <w:rPr>
          <w:rFonts w:ascii="Verdana" w:hAnsi="Verdana"/>
          <w:i/>
          <w:color w:val="00AFEF"/>
          <w:sz w:val="18"/>
          <w:szCs w:val="18"/>
        </w:rPr>
      </w:pPr>
      <w:bookmarkStart w:id="93" w:name="_bookmark94"/>
      <w:bookmarkEnd w:id="93"/>
      <w:r w:rsidRPr="00EC75B7">
        <w:rPr>
          <w:rFonts w:ascii="Verdana" w:hAnsi="Verdana"/>
          <w:color w:val="00AFEF"/>
          <w:sz w:val="18"/>
          <w:szCs w:val="18"/>
        </w:rPr>
        <w:t xml:space="preserve">Sensitivity classes and magnitude classes for </w:t>
      </w:r>
      <w:r w:rsidRPr="00EC75B7">
        <w:rPr>
          <w:rFonts w:ascii="Verdana" w:hAnsi="Verdana"/>
          <w:color w:val="00AFEF"/>
          <w:spacing w:val="-5"/>
          <w:sz w:val="18"/>
          <w:szCs w:val="18"/>
        </w:rPr>
        <w:t>water</w:t>
      </w:r>
    </w:p>
    <w:p w14:paraId="52F215C7" w14:textId="77777777" w:rsidR="008715BE" w:rsidRPr="00EC75B7" w:rsidRDefault="008715BE">
      <w:pPr>
        <w:pStyle w:val="BodyText"/>
        <w:spacing w:before="114"/>
        <w:rPr>
          <w:rFonts w:ascii="Verdana" w:hAnsi="Verdana"/>
          <w:b/>
        </w:rPr>
      </w:pPr>
    </w:p>
    <w:p w14:paraId="2C3A626A" w14:textId="77777777" w:rsidR="008715BE" w:rsidRPr="00EC75B7" w:rsidRDefault="00000000">
      <w:pPr>
        <w:pStyle w:val="BodyText"/>
        <w:spacing w:line="360" w:lineRule="auto"/>
        <w:ind w:left="115" w:right="150"/>
        <w:jc w:val="both"/>
        <w:rPr>
          <w:rFonts w:ascii="Verdana" w:hAnsi="Verdana"/>
        </w:rPr>
      </w:pPr>
      <w:r w:rsidRPr="00EC75B7">
        <w:rPr>
          <w:rFonts w:ascii="Verdana" w:hAnsi="Verdana"/>
        </w:rPr>
        <w:t>Depending on the condition of the water bodies in the project implementation area, the following sensitivity classes have been identified:</w:t>
      </w:r>
    </w:p>
    <w:p w14:paraId="56DE3E4B" w14:textId="77777777" w:rsidR="008715BE" w:rsidRPr="00EC75B7" w:rsidRDefault="00000000">
      <w:pPr>
        <w:spacing w:before="167"/>
        <w:ind w:left="57"/>
        <w:jc w:val="both"/>
        <w:rPr>
          <w:rFonts w:ascii="Verdana" w:hAnsi="Verdana"/>
          <w:b/>
          <w:sz w:val="18"/>
          <w:szCs w:val="18"/>
        </w:rPr>
      </w:pPr>
      <w:r w:rsidRPr="00EC75B7">
        <w:rPr>
          <w:rFonts w:ascii="Verdana" w:hAnsi="Verdana"/>
          <w:b/>
          <w:color w:val="00AFEF"/>
          <w:sz w:val="18"/>
          <w:szCs w:val="18"/>
        </w:rPr>
        <w:t xml:space="preserve">Table 37 Sensitivity classes for the environmental factor </w:t>
      </w:r>
      <w:r w:rsidRPr="00EC75B7">
        <w:rPr>
          <w:rFonts w:ascii="Verdana" w:hAnsi="Verdana"/>
          <w:b/>
          <w:color w:val="00AFEF"/>
          <w:spacing w:val="-5"/>
          <w:sz w:val="18"/>
          <w:szCs w:val="18"/>
        </w:rPr>
        <w:t>water</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60"/>
        <w:gridCol w:w="5381"/>
        <w:gridCol w:w="2762"/>
      </w:tblGrid>
      <w:tr w:rsidR="008715BE" w:rsidRPr="00EC75B7" w14:paraId="11DF5C96" w14:textId="77777777">
        <w:trPr>
          <w:trHeight w:val="390"/>
        </w:trPr>
        <w:tc>
          <w:tcPr>
            <w:tcW w:w="1560" w:type="dxa"/>
            <w:shd w:val="clear" w:color="auto" w:fill="00AFEF"/>
          </w:tcPr>
          <w:p w14:paraId="2708AF85"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color w:val="FFFFFF"/>
                <w:spacing w:val="-2"/>
                <w:sz w:val="18"/>
                <w:szCs w:val="18"/>
              </w:rPr>
              <w:t>Sensitivity</w:t>
            </w:r>
          </w:p>
        </w:tc>
        <w:tc>
          <w:tcPr>
            <w:tcW w:w="5381" w:type="dxa"/>
            <w:shd w:val="clear" w:color="auto" w:fill="00AFEF"/>
          </w:tcPr>
          <w:p w14:paraId="134246DA"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2762" w:type="dxa"/>
            <w:shd w:val="clear" w:color="auto" w:fill="00AFEF"/>
          </w:tcPr>
          <w:p w14:paraId="70A4E23F" w14:textId="77777777" w:rsidR="008715BE" w:rsidRPr="00EC75B7" w:rsidRDefault="00000000">
            <w:pPr>
              <w:pStyle w:val="TableParagraph"/>
              <w:spacing w:before="1" w:line="195" w:lineRule="exact"/>
              <w:ind w:left="108"/>
              <w:rPr>
                <w:rFonts w:ascii="Verdana" w:hAnsi="Verdana"/>
                <w:b/>
                <w:sz w:val="18"/>
                <w:szCs w:val="18"/>
              </w:rPr>
            </w:pPr>
            <w:r w:rsidRPr="00EC75B7">
              <w:rPr>
                <w:rFonts w:ascii="Verdana" w:hAnsi="Verdana"/>
                <w:b/>
                <w:color w:val="FFFFFF"/>
                <w:sz w:val="18"/>
                <w:szCs w:val="18"/>
              </w:rPr>
              <w:t xml:space="preserve">Water bodies </w:t>
            </w:r>
            <w:r w:rsidRPr="00EC75B7">
              <w:rPr>
                <w:rFonts w:ascii="Verdana" w:hAnsi="Verdana"/>
                <w:b/>
                <w:color w:val="FFFFFF"/>
                <w:spacing w:val="-2"/>
                <w:sz w:val="18"/>
                <w:szCs w:val="18"/>
              </w:rPr>
              <w:t>identified</w:t>
            </w:r>
          </w:p>
          <w:p w14:paraId="00888EEA"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z w:val="18"/>
                <w:szCs w:val="18"/>
              </w:rPr>
              <w:t xml:space="preserve">in </w:t>
            </w:r>
            <w:r w:rsidRPr="00EC75B7">
              <w:rPr>
                <w:rFonts w:ascii="Verdana" w:hAnsi="Verdana"/>
                <w:b/>
                <w:color w:val="FFFFFF"/>
                <w:spacing w:val="-2"/>
                <w:sz w:val="18"/>
                <w:szCs w:val="18"/>
              </w:rPr>
              <w:t>the project</w:t>
            </w:r>
          </w:p>
        </w:tc>
      </w:tr>
      <w:tr w:rsidR="008715BE" w:rsidRPr="00EC75B7" w14:paraId="4237C4AC" w14:textId="77777777">
        <w:trPr>
          <w:trHeight w:val="193"/>
        </w:trPr>
        <w:tc>
          <w:tcPr>
            <w:tcW w:w="9703" w:type="dxa"/>
            <w:gridSpan w:val="3"/>
            <w:shd w:val="clear" w:color="auto" w:fill="EDF5E9"/>
          </w:tcPr>
          <w:p w14:paraId="40EF9519"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00AFEF"/>
                <w:spacing w:val="-2"/>
                <w:sz w:val="18"/>
                <w:szCs w:val="18"/>
              </w:rPr>
              <w:t xml:space="preserve">Surface </w:t>
            </w:r>
            <w:r w:rsidRPr="00EC75B7">
              <w:rPr>
                <w:rFonts w:ascii="Verdana" w:hAnsi="Verdana"/>
                <w:b/>
                <w:color w:val="00AFEF"/>
                <w:sz w:val="18"/>
                <w:szCs w:val="18"/>
              </w:rPr>
              <w:t>water</w:t>
            </w:r>
          </w:p>
        </w:tc>
      </w:tr>
      <w:tr w:rsidR="008715BE" w:rsidRPr="00EC75B7" w14:paraId="5456E7AD" w14:textId="77777777">
        <w:trPr>
          <w:trHeight w:val="1165"/>
        </w:trPr>
        <w:tc>
          <w:tcPr>
            <w:tcW w:w="1560" w:type="dxa"/>
            <w:shd w:val="clear" w:color="auto" w:fill="F8F8F7"/>
          </w:tcPr>
          <w:p w14:paraId="7080E1E2" w14:textId="77777777" w:rsidR="008715BE" w:rsidRPr="00EC75B7" w:rsidRDefault="00000000">
            <w:pPr>
              <w:pStyle w:val="TableParagraph"/>
              <w:ind w:left="108" w:right="295"/>
              <w:rPr>
                <w:rFonts w:ascii="Verdana" w:hAnsi="Verdana"/>
                <w:b/>
                <w:sz w:val="18"/>
                <w:szCs w:val="18"/>
              </w:rPr>
            </w:pPr>
            <w:r w:rsidRPr="00EC75B7">
              <w:rPr>
                <w:rFonts w:ascii="Verdana" w:hAnsi="Verdana"/>
                <w:b/>
                <w:spacing w:val="-2"/>
                <w:sz w:val="18"/>
                <w:szCs w:val="18"/>
              </w:rPr>
              <w:t>Very low/no sensitivity</w:t>
            </w:r>
          </w:p>
        </w:tc>
        <w:tc>
          <w:tcPr>
            <w:tcW w:w="5381" w:type="dxa"/>
          </w:tcPr>
          <w:p w14:paraId="1B668E6B"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Surface water bodies with poor ecological status/poor ecological potential and poor chemical status</w:t>
            </w:r>
          </w:p>
          <w:p w14:paraId="48726754"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Unregistered surface watercourses where water bodies have not been delimited</w:t>
            </w:r>
          </w:p>
          <w:p w14:paraId="67F2CDCA"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pacing w:val="-2"/>
                <w:sz w:val="18"/>
                <w:szCs w:val="18"/>
              </w:rPr>
              <w:t xml:space="preserve">Artificial </w:t>
            </w:r>
            <w:r w:rsidRPr="00EC75B7">
              <w:rPr>
                <w:rFonts w:ascii="Verdana" w:hAnsi="Verdana"/>
                <w:sz w:val="18"/>
                <w:szCs w:val="18"/>
              </w:rPr>
              <w:t>water bodies</w:t>
            </w:r>
          </w:p>
          <w:p w14:paraId="68CDBB23"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surface </w:t>
            </w:r>
            <w:r w:rsidRPr="00EC75B7">
              <w:rPr>
                <w:rFonts w:ascii="Verdana" w:hAnsi="Verdana"/>
                <w:sz w:val="18"/>
                <w:szCs w:val="18"/>
              </w:rPr>
              <w:t>water bodies have been identified</w:t>
            </w:r>
          </w:p>
        </w:tc>
        <w:tc>
          <w:tcPr>
            <w:tcW w:w="2762" w:type="dxa"/>
          </w:tcPr>
          <w:p w14:paraId="3791181D"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Unregistered watercourses: Cerchezu and Măgura</w:t>
            </w:r>
          </w:p>
        </w:tc>
      </w:tr>
      <w:tr w:rsidR="008715BE" w:rsidRPr="00EC75B7" w14:paraId="44D0073F" w14:textId="77777777">
        <w:trPr>
          <w:trHeight w:val="390"/>
        </w:trPr>
        <w:tc>
          <w:tcPr>
            <w:tcW w:w="1560" w:type="dxa"/>
            <w:shd w:val="clear" w:color="auto" w:fill="92D050"/>
          </w:tcPr>
          <w:p w14:paraId="2502BB34"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Mică</w:t>
            </w:r>
          </w:p>
        </w:tc>
        <w:tc>
          <w:tcPr>
            <w:tcW w:w="5381" w:type="dxa"/>
            <w:tcBorders>
              <w:top w:val="nil"/>
              <w:bottom w:val="nil"/>
            </w:tcBorders>
            <w:shd w:val="clear" w:color="auto" w:fill="D9D9D9"/>
          </w:tcPr>
          <w:p w14:paraId="74D48E2F"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Surface water bodies with </w:t>
            </w:r>
            <w:r w:rsidRPr="00EC75B7">
              <w:rPr>
                <w:rFonts w:ascii="Verdana" w:hAnsi="Verdana"/>
                <w:spacing w:val="28"/>
                <w:sz w:val="18"/>
                <w:szCs w:val="18"/>
              </w:rPr>
              <w:t xml:space="preserve">poor </w:t>
            </w:r>
            <w:r w:rsidRPr="00EC75B7">
              <w:rPr>
                <w:rFonts w:ascii="Verdana" w:hAnsi="Verdana"/>
                <w:sz w:val="18"/>
                <w:szCs w:val="18"/>
              </w:rPr>
              <w:t xml:space="preserve">ecological </w:t>
            </w:r>
            <w:r w:rsidRPr="00EC75B7">
              <w:rPr>
                <w:rFonts w:ascii="Verdana" w:hAnsi="Verdana"/>
                <w:spacing w:val="-2"/>
                <w:sz w:val="18"/>
                <w:szCs w:val="18"/>
              </w:rPr>
              <w:t>status/potential</w:t>
            </w:r>
          </w:p>
          <w:p w14:paraId="195F882E" w14:textId="77777777" w:rsidR="008715BE" w:rsidRPr="00EC75B7" w:rsidRDefault="00000000">
            <w:pPr>
              <w:pStyle w:val="TableParagraph"/>
              <w:spacing w:line="177" w:lineRule="exact"/>
              <w:ind w:left="108"/>
              <w:rPr>
                <w:rFonts w:ascii="Verdana" w:hAnsi="Verdana"/>
                <w:sz w:val="18"/>
                <w:szCs w:val="18"/>
              </w:rPr>
            </w:pPr>
            <w:r w:rsidRPr="00EC75B7">
              <w:rPr>
                <w:rFonts w:ascii="Verdana" w:hAnsi="Verdana"/>
                <w:spacing w:val="-2"/>
                <w:sz w:val="18"/>
                <w:szCs w:val="18"/>
              </w:rPr>
              <w:t xml:space="preserve">poor </w:t>
            </w:r>
            <w:r w:rsidRPr="00EC75B7">
              <w:rPr>
                <w:rFonts w:ascii="Verdana" w:hAnsi="Verdana"/>
                <w:sz w:val="18"/>
                <w:szCs w:val="18"/>
              </w:rPr>
              <w:t>ecological and chemical status</w:t>
            </w:r>
          </w:p>
        </w:tc>
        <w:tc>
          <w:tcPr>
            <w:tcW w:w="2762" w:type="dxa"/>
            <w:tcBorders>
              <w:top w:val="nil"/>
              <w:bottom w:val="nil"/>
            </w:tcBorders>
            <w:shd w:val="clear" w:color="auto" w:fill="D9D9D9"/>
          </w:tcPr>
          <w:p w14:paraId="00F7FDCB"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w:t>
            </w:r>
          </w:p>
        </w:tc>
      </w:tr>
    </w:tbl>
    <w:p w14:paraId="7BB2E60F" w14:textId="77777777" w:rsidR="008715BE" w:rsidRPr="00EC75B7" w:rsidRDefault="008715BE">
      <w:pPr>
        <w:pStyle w:val="TableParagraph"/>
        <w:spacing w:line="194" w:lineRule="exact"/>
        <w:rPr>
          <w:rFonts w:ascii="Verdana" w:hAnsi="Verdana"/>
          <w:sz w:val="18"/>
          <w:szCs w:val="18"/>
        </w:rPr>
        <w:sectPr w:rsidR="008715BE" w:rsidRPr="00EC75B7">
          <w:headerReference w:type="default" r:id="rId204"/>
          <w:footerReference w:type="default" r:id="rId205"/>
          <w:pgSz w:w="11910" w:h="16840"/>
          <w:pgMar w:top="1400" w:right="850" w:bottom="1212" w:left="1133" w:header="766" w:footer="824" w:gutter="0"/>
          <w:cols w:space="708"/>
        </w:sect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60"/>
        <w:gridCol w:w="5381"/>
        <w:gridCol w:w="2772"/>
      </w:tblGrid>
      <w:tr w:rsidR="008715BE" w:rsidRPr="00EC75B7" w14:paraId="216C60E8" w14:textId="77777777">
        <w:trPr>
          <w:trHeight w:val="388"/>
        </w:trPr>
        <w:tc>
          <w:tcPr>
            <w:tcW w:w="1560" w:type="dxa"/>
            <w:shd w:val="clear" w:color="auto" w:fill="00AFEF"/>
          </w:tcPr>
          <w:p w14:paraId="1930C18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lastRenderedPageBreak/>
              <w:t>Sensitivity</w:t>
            </w:r>
          </w:p>
        </w:tc>
        <w:tc>
          <w:tcPr>
            <w:tcW w:w="5381" w:type="dxa"/>
            <w:shd w:val="clear" w:color="auto" w:fill="00AFEF"/>
          </w:tcPr>
          <w:p w14:paraId="7E7CA65D"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2772" w:type="dxa"/>
            <w:shd w:val="clear" w:color="auto" w:fill="00AFEF"/>
          </w:tcPr>
          <w:p w14:paraId="0F072D95" w14:textId="77777777" w:rsidR="008715BE" w:rsidRPr="00EC75B7" w:rsidRDefault="00000000">
            <w:pPr>
              <w:pStyle w:val="TableParagraph"/>
              <w:spacing w:line="194" w:lineRule="exact"/>
              <w:ind w:left="108" w:right="149"/>
              <w:rPr>
                <w:rFonts w:ascii="Verdana" w:hAnsi="Verdana"/>
                <w:b/>
                <w:sz w:val="18"/>
                <w:szCs w:val="18"/>
              </w:rPr>
            </w:pPr>
            <w:r w:rsidRPr="00EC75B7">
              <w:rPr>
                <w:rFonts w:ascii="Verdana" w:hAnsi="Verdana"/>
                <w:b/>
                <w:color w:val="FFFFFF"/>
                <w:sz w:val="18"/>
                <w:szCs w:val="18"/>
              </w:rPr>
              <w:t>Water bodies identified in the project</w:t>
            </w:r>
          </w:p>
        </w:tc>
      </w:tr>
      <w:tr w:rsidR="008715BE" w:rsidRPr="00EC75B7" w14:paraId="1EC06801" w14:textId="77777777">
        <w:trPr>
          <w:trHeight w:val="777"/>
        </w:trPr>
        <w:tc>
          <w:tcPr>
            <w:tcW w:w="1560" w:type="dxa"/>
            <w:shd w:val="clear" w:color="auto" w:fill="92D050"/>
          </w:tcPr>
          <w:p w14:paraId="55CE6B76" w14:textId="77777777" w:rsidR="008715BE" w:rsidRPr="00EC75B7" w:rsidRDefault="008715BE">
            <w:pPr>
              <w:pStyle w:val="TableParagraph"/>
              <w:rPr>
                <w:rFonts w:ascii="Verdana" w:hAnsi="Verdana"/>
                <w:sz w:val="18"/>
                <w:szCs w:val="18"/>
              </w:rPr>
            </w:pPr>
          </w:p>
        </w:tc>
        <w:tc>
          <w:tcPr>
            <w:tcW w:w="5381" w:type="dxa"/>
            <w:shd w:val="clear" w:color="auto" w:fill="D9D9D9"/>
          </w:tcPr>
          <w:p w14:paraId="6AFD7D22"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Surface water bodies with poor ecological status/ecological potential and good chemical status</w:t>
            </w:r>
          </w:p>
          <w:p w14:paraId="19B67771" w14:textId="77777777" w:rsidR="008715BE" w:rsidRPr="00EC75B7" w:rsidRDefault="00000000">
            <w:pPr>
              <w:pStyle w:val="TableParagraph"/>
              <w:tabs>
                <w:tab w:val="left" w:pos="956"/>
                <w:tab w:val="left" w:pos="1410"/>
                <w:tab w:val="left" w:pos="1957"/>
                <w:tab w:val="left" w:pos="2410"/>
                <w:tab w:val="left" w:pos="3427"/>
                <w:tab w:val="left" w:pos="3868"/>
                <w:tab w:val="left" w:pos="4533"/>
              </w:tabs>
              <w:spacing w:line="193" w:lineRule="exact"/>
              <w:ind w:left="108"/>
              <w:rPr>
                <w:rFonts w:ascii="Verdana" w:hAnsi="Verdana"/>
                <w:sz w:val="18"/>
                <w:szCs w:val="18"/>
              </w:rPr>
            </w:pPr>
            <w:r w:rsidRPr="00EC75B7">
              <w:rPr>
                <w:rFonts w:ascii="Verdana" w:hAnsi="Verdana"/>
                <w:spacing w:val="-2"/>
                <w:sz w:val="18"/>
                <w:szCs w:val="18"/>
              </w:rPr>
              <w:t>Bodies</w:t>
            </w:r>
            <w:r w:rsidRPr="00EC75B7">
              <w:rPr>
                <w:rFonts w:ascii="Verdana" w:hAnsi="Verdana"/>
                <w:sz w:val="18"/>
                <w:szCs w:val="18"/>
              </w:rPr>
              <w:tab/>
            </w:r>
            <w:r w:rsidRPr="00EC75B7">
              <w:rPr>
                <w:rFonts w:ascii="Verdana" w:hAnsi="Verdana"/>
                <w:spacing w:val="-7"/>
                <w:sz w:val="18"/>
                <w:szCs w:val="18"/>
              </w:rPr>
              <w:t>of</w:t>
            </w:r>
            <w:r w:rsidRPr="00EC75B7">
              <w:rPr>
                <w:rFonts w:ascii="Verdana" w:hAnsi="Verdana"/>
                <w:sz w:val="18"/>
                <w:szCs w:val="18"/>
              </w:rPr>
              <w:tab/>
            </w:r>
            <w:r w:rsidRPr="00EC75B7">
              <w:rPr>
                <w:rFonts w:ascii="Verdana" w:hAnsi="Verdana"/>
                <w:spacing w:val="-5"/>
                <w:sz w:val="18"/>
                <w:szCs w:val="18"/>
              </w:rPr>
              <w:t>Water</w:t>
            </w:r>
            <w:r w:rsidRPr="00EC75B7">
              <w:rPr>
                <w:rFonts w:ascii="Verdana" w:hAnsi="Verdana"/>
                <w:sz w:val="18"/>
                <w:szCs w:val="18"/>
              </w:rPr>
              <w:tab/>
            </w:r>
            <w:r w:rsidRPr="00EC75B7">
              <w:rPr>
                <w:rFonts w:ascii="Verdana" w:hAnsi="Verdana"/>
                <w:spacing w:val="-5"/>
                <w:sz w:val="18"/>
                <w:szCs w:val="18"/>
              </w:rPr>
              <w:t>of</w:t>
            </w:r>
            <w:r w:rsidRPr="00EC75B7">
              <w:rPr>
                <w:rFonts w:ascii="Verdana" w:hAnsi="Verdana"/>
                <w:sz w:val="18"/>
                <w:szCs w:val="18"/>
              </w:rPr>
              <w:tab/>
            </w:r>
            <w:r w:rsidRPr="00EC75B7">
              <w:rPr>
                <w:rFonts w:ascii="Verdana" w:hAnsi="Verdana"/>
                <w:spacing w:val="-2"/>
                <w:sz w:val="18"/>
                <w:szCs w:val="18"/>
              </w:rPr>
              <w:t>with</w:t>
            </w:r>
            <w:r w:rsidRPr="00EC75B7">
              <w:rPr>
                <w:rFonts w:ascii="Verdana" w:hAnsi="Verdana"/>
                <w:sz w:val="18"/>
                <w:szCs w:val="18"/>
              </w:rPr>
              <w:tab/>
            </w:r>
            <w:r w:rsidRPr="00EC75B7">
              <w:rPr>
                <w:rFonts w:ascii="Verdana" w:hAnsi="Verdana"/>
                <w:spacing w:val="-5"/>
                <w:sz w:val="18"/>
                <w:szCs w:val="18"/>
              </w:rPr>
              <w:t>with</w:t>
            </w:r>
            <w:r w:rsidRPr="00EC75B7">
              <w:rPr>
                <w:rFonts w:ascii="Verdana" w:hAnsi="Verdana"/>
                <w:sz w:val="18"/>
                <w:szCs w:val="18"/>
              </w:rPr>
              <w:tab/>
            </w:r>
            <w:r w:rsidRPr="00EC75B7">
              <w:rPr>
                <w:rFonts w:ascii="Verdana" w:hAnsi="Verdana"/>
                <w:spacing w:val="-2"/>
                <w:sz w:val="18"/>
                <w:szCs w:val="18"/>
              </w:rPr>
              <w:t>ecological</w:t>
            </w:r>
            <w:r w:rsidRPr="00EC75B7">
              <w:rPr>
                <w:rFonts w:ascii="Verdana" w:hAnsi="Verdana"/>
                <w:sz w:val="18"/>
                <w:szCs w:val="18"/>
              </w:rPr>
              <w:tab/>
            </w:r>
            <w:r w:rsidRPr="00EC75B7">
              <w:rPr>
                <w:rFonts w:ascii="Verdana" w:hAnsi="Verdana"/>
                <w:spacing w:val="-2"/>
                <w:sz w:val="18"/>
                <w:szCs w:val="18"/>
              </w:rPr>
              <w:t>ecological</w:t>
            </w:r>
          </w:p>
          <w:p w14:paraId="0810E7B8"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z w:val="18"/>
                <w:szCs w:val="18"/>
              </w:rPr>
              <w:t xml:space="preserve">Moderate/moderate ecological potential but </w:t>
            </w:r>
            <w:r w:rsidRPr="00EC75B7">
              <w:rPr>
                <w:rFonts w:ascii="Verdana" w:hAnsi="Verdana"/>
                <w:spacing w:val="-2"/>
                <w:sz w:val="18"/>
                <w:szCs w:val="18"/>
              </w:rPr>
              <w:t xml:space="preserve">poor </w:t>
            </w:r>
            <w:r w:rsidRPr="00EC75B7">
              <w:rPr>
                <w:rFonts w:ascii="Verdana" w:hAnsi="Verdana"/>
                <w:sz w:val="18"/>
                <w:szCs w:val="18"/>
              </w:rPr>
              <w:t>chemical status</w:t>
            </w:r>
          </w:p>
        </w:tc>
        <w:tc>
          <w:tcPr>
            <w:tcW w:w="2772" w:type="dxa"/>
            <w:tcBorders>
              <w:right w:val="nil"/>
            </w:tcBorders>
            <w:shd w:val="clear" w:color="auto" w:fill="D9D9D9"/>
          </w:tcPr>
          <w:p w14:paraId="0B964421" w14:textId="77777777" w:rsidR="008715BE" w:rsidRPr="00EC75B7" w:rsidRDefault="008715BE">
            <w:pPr>
              <w:pStyle w:val="TableParagraph"/>
              <w:rPr>
                <w:rFonts w:ascii="Verdana" w:hAnsi="Verdana"/>
                <w:sz w:val="18"/>
                <w:szCs w:val="18"/>
              </w:rPr>
            </w:pPr>
          </w:p>
        </w:tc>
      </w:tr>
      <w:tr w:rsidR="008715BE" w:rsidRPr="00EC75B7" w14:paraId="09D912D6" w14:textId="77777777">
        <w:trPr>
          <w:trHeight w:val="1557"/>
        </w:trPr>
        <w:tc>
          <w:tcPr>
            <w:tcW w:w="1560" w:type="dxa"/>
            <w:shd w:val="clear" w:color="auto" w:fill="FFFF00"/>
          </w:tcPr>
          <w:p w14:paraId="5662A2D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5381" w:type="dxa"/>
          </w:tcPr>
          <w:p w14:paraId="210CE519" w14:textId="77777777" w:rsidR="008715BE" w:rsidRPr="00EC75B7" w:rsidRDefault="00000000">
            <w:pPr>
              <w:pStyle w:val="TableParagraph"/>
              <w:tabs>
                <w:tab w:val="left" w:pos="956"/>
                <w:tab w:val="left" w:pos="1410"/>
                <w:tab w:val="left" w:pos="1957"/>
                <w:tab w:val="left" w:pos="2410"/>
                <w:tab w:val="left" w:pos="3427"/>
                <w:tab w:val="left" w:pos="3868"/>
                <w:tab w:val="left" w:pos="4533"/>
              </w:tabs>
              <w:spacing w:before="8"/>
              <w:ind w:left="108" w:right="94"/>
              <w:rPr>
                <w:rFonts w:ascii="Verdana" w:hAnsi="Verdana"/>
                <w:sz w:val="18"/>
                <w:szCs w:val="18"/>
              </w:rPr>
            </w:pPr>
            <w:r w:rsidRPr="00EC75B7">
              <w:rPr>
                <w:rFonts w:ascii="Verdana" w:hAnsi="Verdana"/>
                <w:spacing w:val="-2"/>
                <w:sz w:val="18"/>
                <w:szCs w:val="18"/>
              </w:rPr>
              <w:t>Water</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4"/>
                <w:sz w:val="18"/>
                <w:szCs w:val="18"/>
              </w:rPr>
              <w:t>water</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2"/>
                <w:sz w:val="18"/>
                <w:szCs w:val="18"/>
              </w:rPr>
              <w:t>surface</w:t>
            </w:r>
            <w:r w:rsidRPr="00EC75B7">
              <w:rPr>
                <w:rFonts w:ascii="Verdana" w:hAnsi="Verdana"/>
                <w:sz w:val="18"/>
                <w:szCs w:val="18"/>
              </w:rPr>
              <w:tab/>
            </w:r>
            <w:r w:rsidRPr="00EC75B7">
              <w:rPr>
                <w:rFonts w:ascii="Verdana" w:hAnsi="Verdana"/>
                <w:spacing w:val="-6"/>
                <w:sz w:val="18"/>
                <w:szCs w:val="18"/>
              </w:rPr>
              <w:t>with</w:t>
            </w:r>
            <w:r w:rsidRPr="00EC75B7">
              <w:rPr>
                <w:rFonts w:ascii="Verdana" w:hAnsi="Verdana"/>
                <w:sz w:val="18"/>
                <w:szCs w:val="18"/>
              </w:rPr>
              <w:tab/>
            </w:r>
            <w:r w:rsidRPr="00EC75B7">
              <w:rPr>
                <w:rFonts w:ascii="Verdana" w:hAnsi="Verdana"/>
                <w:spacing w:val="-2"/>
                <w:sz w:val="18"/>
                <w:szCs w:val="18"/>
              </w:rPr>
              <w:t>moderate</w:t>
            </w:r>
            <w:r w:rsidRPr="00EC75B7">
              <w:rPr>
                <w:rFonts w:ascii="Verdana" w:hAnsi="Verdana"/>
                <w:sz w:val="18"/>
                <w:szCs w:val="18"/>
              </w:rPr>
              <w:tab/>
              <w:t>moderate</w:t>
            </w:r>
            <w:r w:rsidRPr="00EC75B7">
              <w:rPr>
                <w:rFonts w:ascii="Verdana" w:hAnsi="Verdana"/>
                <w:spacing w:val="-2"/>
                <w:sz w:val="18"/>
                <w:szCs w:val="18"/>
              </w:rPr>
              <w:t xml:space="preserve"> ecological </w:t>
            </w:r>
            <w:r w:rsidRPr="00EC75B7">
              <w:rPr>
                <w:rFonts w:ascii="Verdana" w:hAnsi="Verdana"/>
                <w:sz w:val="18"/>
                <w:szCs w:val="18"/>
              </w:rPr>
              <w:t xml:space="preserve">status/moderate ecological potential and moderate chemical status </w:t>
            </w:r>
            <w:r w:rsidRPr="00EC75B7">
              <w:rPr>
                <w:rFonts w:ascii="Verdana" w:hAnsi="Verdana"/>
                <w:spacing w:val="-2"/>
                <w:sz w:val="18"/>
                <w:szCs w:val="18"/>
              </w:rPr>
              <w:t>Bodies</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4"/>
                <w:sz w:val="18"/>
                <w:szCs w:val="18"/>
              </w:rPr>
              <w:t>of</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35"/>
                <w:sz w:val="18"/>
                <w:szCs w:val="18"/>
              </w:rPr>
              <w:t xml:space="preserve"> </w:t>
            </w:r>
            <w:r w:rsidRPr="00EC75B7">
              <w:rPr>
                <w:rFonts w:ascii="Verdana" w:hAnsi="Verdana"/>
                <w:spacing w:val="-2"/>
                <w:sz w:val="18"/>
                <w:szCs w:val="18"/>
              </w:rPr>
              <w:t>surface</w:t>
            </w:r>
            <w:r w:rsidRPr="00EC75B7">
              <w:rPr>
                <w:rFonts w:ascii="Verdana" w:hAnsi="Verdana"/>
                <w:sz w:val="18"/>
                <w:szCs w:val="18"/>
              </w:rPr>
              <w:tab/>
            </w:r>
            <w:r w:rsidRPr="00EC75B7">
              <w:rPr>
                <w:rFonts w:ascii="Verdana" w:hAnsi="Verdana"/>
                <w:spacing w:val="-35"/>
                <w:sz w:val="18"/>
                <w:szCs w:val="18"/>
              </w:rPr>
              <w:t xml:space="preserve"> </w:t>
            </w:r>
            <w:r w:rsidRPr="00EC75B7">
              <w:rPr>
                <w:rFonts w:ascii="Verdana" w:hAnsi="Verdana"/>
                <w:spacing w:val="-6"/>
                <w:sz w:val="18"/>
                <w:szCs w:val="18"/>
              </w:rPr>
              <w:t>with</w:t>
            </w:r>
            <w:r w:rsidRPr="00EC75B7">
              <w:rPr>
                <w:rFonts w:ascii="Verdana" w:hAnsi="Verdana"/>
                <w:sz w:val="18"/>
                <w:szCs w:val="18"/>
              </w:rPr>
              <w:tab/>
            </w:r>
            <w:r w:rsidRPr="00EC75B7">
              <w:rPr>
                <w:rFonts w:ascii="Verdana" w:hAnsi="Verdana"/>
                <w:spacing w:val="-34"/>
                <w:sz w:val="18"/>
                <w:szCs w:val="18"/>
              </w:rPr>
              <w:t xml:space="preserve"> </w:t>
            </w:r>
            <w:r w:rsidRPr="00EC75B7">
              <w:rPr>
                <w:rFonts w:ascii="Verdana" w:hAnsi="Verdana"/>
                <w:spacing w:val="-2"/>
                <w:sz w:val="18"/>
                <w:szCs w:val="18"/>
              </w:rPr>
              <w:t>moderate</w:t>
            </w:r>
            <w:r w:rsidRPr="00EC75B7">
              <w:rPr>
                <w:rFonts w:ascii="Verdana" w:hAnsi="Verdana"/>
                <w:sz w:val="18"/>
                <w:szCs w:val="18"/>
              </w:rPr>
              <w:tab/>
            </w:r>
            <w:r w:rsidRPr="00EC75B7">
              <w:rPr>
                <w:rFonts w:ascii="Verdana" w:hAnsi="Verdana"/>
                <w:spacing w:val="-35"/>
                <w:sz w:val="18"/>
                <w:szCs w:val="18"/>
              </w:rPr>
              <w:t xml:space="preserve"> </w:t>
            </w:r>
            <w:r w:rsidRPr="00EC75B7">
              <w:rPr>
                <w:rFonts w:ascii="Verdana" w:hAnsi="Verdana"/>
                <w:sz w:val="18"/>
                <w:szCs w:val="18"/>
              </w:rPr>
              <w:t>moderate</w:t>
            </w:r>
            <w:r w:rsidRPr="00EC75B7">
              <w:rPr>
                <w:rFonts w:ascii="Verdana" w:hAnsi="Verdana"/>
                <w:spacing w:val="-2"/>
                <w:sz w:val="18"/>
                <w:szCs w:val="18"/>
              </w:rPr>
              <w:t xml:space="preserve"> ecological </w:t>
            </w:r>
            <w:r w:rsidRPr="00EC75B7">
              <w:rPr>
                <w:rFonts w:ascii="Verdana" w:hAnsi="Verdana"/>
                <w:sz w:val="18"/>
                <w:szCs w:val="18"/>
              </w:rPr>
              <w:t>status/moderate ecological potential and good chemical status Surface water bodies with good ecological status/good ecological potential but poor chemical status</w:t>
            </w:r>
          </w:p>
          <w:p w14:paraId="06BDBA44" w14:textId="77777777" w:rsidR="008715BE" w:rsidRPr="00EC75B7" w:rsidRDefault="00000000">
            <w:pPr>
              <w:pStyle w:val="TableParagraph"/>
              <w:spacing w:line="192" w:lineRule="exact"/>
              <w:ind w:left="108"/>
              <w:rPr>
                <w:rFonts w:ascii="Verdana" w:hAnsi="Verdana"/>
                <w:sz w:val="18"/>
                <w:szCs w:val="18"/>
              </w:rPr>
            </w:pPr>
            <w:r w:rsidRPr="00EC75B7">
              <w:rPr>
                <w:rFonts w:ascii="Verdana" w:hAnsi="Verdana"/>
                <w:sz w:val="18"/>
                <w:szCs w:val="18"/>
              </w:rPr>
              <w:t>Surface water bodies with good ecological status</w:t>
            </w:r>
            <w:r w:rsidRPr="00EC75B7">
              <w:rPr>
                <w:rFonts w:ascii="Verdana" w:hAnsi="Verdana"/>
                <w:spacing w:val="-2"/>
                <w:sz w:val="18"/>
                <w:szCs w:val="18"/>
              </w:rPr>
              <w:t>/low ecological potential</w:t>
            </w:r>
          </w:p>
          <w:p w14:paraId="379F6F70"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z w:val="18"/>
                <w:szCs w:val="18"/>
              </w:rPr>
              <w:t xml:space="preserve">poor ecological potential but </w:t>
            </w:r>
            <w:r w:rsidRPr="00EC75B7">
              <w:rPr>
                <w:rFonts w:ascii="Verdana" w:hAnsi="Verdana"/>
                <w:spacing w:val="-4"/>
                <w:sz w:val="18"/>
                <w:szCs w:val="18"/>
              </w:rPr>
              <w:t xml:space="preserve">good </w:t>
            </w:r>
            <w:r w:rsidRPr="00EC75B7">
              <w:rPr>
                <w:rFonts w:ascii="Verdana" w:hAnsi="Verdana"/>
                <w:sz w:val="18"/>
                <w:szCs w:val="18"/>
              </w:rPr>
              <w:t>chemical status</w:t>
            </w:r>
          </w:p>
        </w:tc>
        <w:tc>
          <w:tcPr>
            <w:tcW w:w="2772" w:type="dxa"/>
          </w:tcPr>
          <w:p w14:paraId="7A82E005"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w:t>
            </w:r>
          </w:p>
        </w:tc>
      </w:tr>
      <w:tr w:rsidR="008715BE" w:rsidRPr="00EC75B7" w14:paraId="7651B509" w14:textId="77777777">
        <w:trPr>
          <w:trHeight w:val="388"/>
        </w:trPr>
        <w:tc>
          <w:tcPr>
            <w:tcW w:w="1560" w:type="dxa"/>
            <w:shd w:val="clear" w:color="auto" w:fill="BAF0DD"/>
          </w:tcPr>
          <w:p w14:paraId="67B4485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Sea</w:t>
            </w:r>
          </w:p>
        </w:tc>
        <w:tc>
          <w:tcPr>
            <w:tcW w:w="5381" w:type="dxa"/>
            <w:shd w:val="clear" w:color="auto" w:fill="D9D9D9"/>
          </w:tcPr>
          <w:p w14:paraId="0A4774EB"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Surface water bodies with good ecological status/good ecological potential and good chemical status</w:t>
            </w:r>
          </w:p>
        </w:tc>
        <w:tc>
          <w:tcPr>
            <w:tcW w:w="2772" w:type="dxa"/>
            <w:shd w:val="clear" w:color="auto" w:fill="D9D9D9"/>
          </w:tcPr>
          <w:p w14:paraId="725D09E6"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w:t>
            </w:r>
          </w:p>
        </w:tc>
      </w:tr>
      <w:tr w:rsidR="008715BE" w:rsidRPr="00EC75B7" w14:paraId="0E39F293" w14:textId="77777777">
        <w:trPr>
          <w:trHeight w:val="3304"/>
        </w:trPr>
        <w:tc>
          <w:tcPr>
            <w:tcW w:w="1560" w:type="dxa"/>
            <w:shd w:val="clear" w:color="auto" w:fill="FF0000"/>
          </w:tcPr>
          <w:p w14:paraId="379B1D7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large</w:t>
            </w:r>
          </w:p>
        </w:tc>
        <w:tc>
          <w:tcPr>
            <w:tcW w:w="5381" w:type="dxa"/>
          </w:tcPr>
          <w:p w14:paraId="54C66088" w14:textId="77777777" w:rsidR="008715BE" w:rsidRPr="00EC75B7" w:rsidRDefault="00000000">
            <w:pPr>
              <w:pStyle w:val="TableParagraph"/>
              <w:spacing w:before="8"/>
              <w:ind w:left="108" w:right="96"/>
              <w:jc w:val="both"/>
              <w:rPr>
                <w:rFonts w:ascii="Verdana" w:hAnsi="Verdana"/>
                <w:sz w:val="18"/>
                <w:szCs w:val="18"/>
              </w:rPr>
            </w:pPr>
            <w:r w:rsidRPr="00EC75B7">
              <w:rPr>
                <w:rFonts w:ascii="Verdana" w:hAnsi="Verdana"/>
                <w:sz w:val="18"/>
                <w:szCs w:val="18"/>
              </w:rPr>
              <w:t>Surface water bodies with very good ecological status/ecological potential and good chemical status.</w:t>
            </w:r>
          </w:p>
          <w:p w14:paraId="59721660" w14:textId="77777777" w:rsidR="008715BE" w:rsidRPr="00EC75B7" w:rsidRDefault="00000000">
            <w:pPr>
              <w:pStyle w:val="TableParagraph"/>
              <w:ind w:left="108" w:right="95"/>
              <w:jc w:val="both"/>
              <w:rPr>
                <w:rFonts w:ascii="Verdana" w:hAnsi="Verdana"/>
                <w:sz w:val="18"/>
                <w:szCs w:val="18"/>
              </w:rPr>
            </w:pPr>
            <w:r w:rsidRPr="00EC75B7">
              <w:rPr>
                <w:rFonts w:ascii="Verdana" w:hAnsi="Verdana"/>
                <w:sz w:val="18"/>
                <w:szCs w:val="18"/>
              </w:rPr>
              <w:t xml:space="preserve">If </w:t>
            </w:r>
            <w:r w:rsidRPr="00EC75B7">
              <w:rPr>
                <w:rFonts w:ascii="Verdana" w:hAnsi="Verdana"/>
                <w:spacing w:val="-2"/>
                <w:sz w:val="18"/>
                <w:szCs w:val="18"/>
              </w:rPr>
              <w:t>protected</w:t>
            </w:r>
            <w:r w:rsidRPr="00EC75B7">
              <w:rPr>
                <w:rFonts w:ascii="Verdana" w:hAnsi="Verdana"/>
                <w:sz w:val="18"/>
                <w:szCs w:val="18"/>
              </w:rPr>
              <w:t xml:space="preserve"> areas have been identified in the area where the works are to be carried out</w:t>
            </w:r>
            <w:r w:rsidRPr="00EC75B7">
              <w:rPr>
                <w:rFonts w:ascii="Verdana" w:hAnsi="Verdana"/>
                <w:spacing w:val="-2"/>
                <w:sz w:val="18"/>
                <w:szCs w:val="18"/>
              </w:rPr>
              <w:t>:</w:t>
            </w:r>
          </w:p>
          <w:p w14:paraId="08D139F8" w14:textId="77777777" w:rsidR="008715BE" w:rsidRPr="00EC75B7" w:rsidRDefault="00000000">
            <w:pPr>
              <w:pStyle w:val="TableParagraph"/>
              <w:numPr>
                <w:ilvl w:val="0"/>
                <w:numId w:val="68"/>
              </w:numPr>
              <w:tabs>
                <w:tab w:val="left" w:pos="415"/>
              </w:tabs>
              <w:ind w:right="96"/>
              <w:jc w:val="both"/>
              <w:rPr>
                <w:rFonts w:ascii="Verdana" w:hAnsi="Verdana"/>
                <w:sz w:val="18"/>
                <w:szCs w:val="18"/>
              </w:rPr>
            </w:pPr>
            <w:r w:rsidRPr="00EC75B7">
              <w:rPr>
                <w:rFonts w:ascii="Verdana" w:hAnsi="Verdana"/>
                <w:sz w:val="18"/>
                <w:szCs w:val="18"/>
              </w:rPr>
              <w:t>areas designated for water abstraction for drinking water purposes;</w:t>
            </w:r>
          </w:p>
          <w:p w14:paraId="5DA99172" w14:textId="77777777" w:rsidR="008715BE" w:rsidRPr="00EC75B7" w:rsidRDefault="00000000">
            <w:pPr>
              <w:pStyle w:val="TableParagraph"/>
              <w:numPr>
                <w:ilvl w:val="0"/>
                <w:numId w:val="68"/>
              </w:numPr>
              <w:tabs>
                <w:tab w:val="left" w:pos="415"/>
              </w:tabs>
              <w:ind w:right="97"/>
              <w:jc w:val="both"/>
              <w:rPr>
                <w:rFonts w:ascii="Verdana" w:hAnsi="Verdana"/>
                <w:sz w:val="18"/>
                <w:szCs w:val="18"/>
              </w:rPr>
            </w:pPr>
            <w:r w:rsidRPr="00EC75B7">
              <w:rPr>
                <w:rFonts w:ascii="Verdana" w:hAnsi="Verdana"/>
                <w:sz w:val="18"/>
                <w:szCs w:val="18"/>
              </w:rPr>
              <w:t>areas designated for the protection of economically important species;</w:t>
            </w:r>
          </w:p>
          <w:p w14:paraId="4D3D9EA6" w14:textId="77777777" w:rsidR="008715BE" w:rsidRPr="00EC75B7" w:rsidRDefault="00000000">
            <w:pPr>
              <w:pStyle w:val="TableParagraph"/>
              <w:numPr>
                <w:ilvl w:val="0"/>
                <w:numId w:val="68"/>
              </w:numPr>
              <w:tabs>
                <w:tab w:val="left" w:pos="415"/>
              </w:tabs>
              <w:ind w:right="98"/>
              <w:jc w:val="both"/>
              <w:rPr>
                <w:rFonts w:ascii="Verdana" w:hAnsi="Verdana"/>
                <w:sz w:val="18"/>
                <w:szCs w:val="18"/>
              </w:rPr>
            </w:pPr>
            <w:r w:rsidRPr="00EC75B7">
              <w:rPr>
                <w:rFonts w:ascii="Verdana" w:hAnsi="Verdana"/>
                <w:sz w:val="18"/>
                <w:szCs w:val="18"/>
              </w:rPr>
              <w:t>water bodies designated as recreational waters, including areas designated as bathing waters;</w:t>
            </w:r>
          </w:p>
          <w:p w14:paraId="4FFC3725" w14:textId="77777777" w:rsidR="008715BE" w:rsidRPr="00EC75B7" w:rsidRDefault="00000000">
            <w:pPr>
              <w:pStyle w:val="TableParagraph"/>
              <w:numPr>
                <w:ilvl w:val="0"/>
                <w:numId w:val="68"/>
              </w:numPr>
              <w:tabs>
                <w:tab w:val="left" w:pos="415"/>
              </w:tabs>
              <w:ind w:right="92"/>
              <w:jc w:val="both"/>
              <w:rPr>
                <w:rFonts w:ascii="Verdana" w:hAnsi="Verdana"/>
                <w:sz w:val="18"/>
                <w:szCs w:val="18"/>
              </w:rPr>
            </w:pPr>
            <w:r w:rsidRPr="00EC75B7">
              <w:rPr>
                <w:rFonts w:ascii="Verdana" w:hAnsi="Verdana"/>
                <w:sz w:val="18"/>
                <w:szCs w:val="18"/>
              </w:rPr>
              <w:t xml:space="preserve">nutrient-sensitive areas, including areas designated as </w:t>
            </w:r>
            <w:r w:rsidRPr="00EC75B7">
              <w:rPr>
                <w:rFonts w:ascii="Verdana" w:hAnsi="Verdana"/>
                <w:spacing w:val="-2"/>
                <w:sz w:val="18"/>
                <w:szCs w:val="18"/>
              </w:rPr>
              <w:t>vulnerable</w:t>
            </w:r>
            <w:r w:rsidRPr="00EC75B7">
              <w:rPr>
                <w:rFonts w:ascii="Verdana" w:hAnsi="Verdana"/>
                <w:sz w:val="18"/>
                <w:szCs w:val="18"/>
              </w:rPr>
              <w:t xml:space="preserve"> areas</w:t>
            </w:r>
          </w:p>
          <w:p w14:paraId="19DC756A" w14:textId="77777777" w:rsidR="008715BE" w:rsidRPr="00EC75B7" w:rsidRDefault="00000000">
            <w:pPr>
              <w:pStyle w:val="TableParagraph"/>
              <w:numPr>
                <w:ilvl w:val="0"/>
                <w:numId w:val="68"/>
              </w:numPr>
              <w:tabs>
                <w:tab w:val="left" w:pos="415"/>
              </w:tabs>
              <w:ind w:right="94"/>
              <w:jc w:val="both"/>
              <w:rPr>
                <w:rFonts w:ascii="Verdana" w:hAnsi="Verdana"/>
                <w:sz w:val="18"/>
                <w:szCs w:val="18"/>
              </w:rPr>
            </w:pPr>
            <w:r w:rsidRPr="00EC75B7">
              <w:rPr>
                <w:rFonts w:ascii="Verdana" w:hAnsi="Verdana"/>
                <w:sz w:val="18"/>
                <w:szCs w:val="18"/>
              </w:rPr>
              <w:t>areas designated for the protection of habitats or species where the maintenance or improvement of water status is an important factor for their protection, including areas important for Natura 2000.</w:t>
            </w:r>
          </w:p>
        </w:tc>
        <w:tc>
          <w:tcPr>
            <w:tcW w:w="2772" w:type="dxa"/>
          </w:tcPr>
          <w:p w14:paraId="3991175C"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w:t>
            </w:r>
          </w:p>
        </w:tc>
      </w:tr>
      <w:tr w:rsidR="008715BE" w:rsidRPr="00EC75B7" w14:paraId="22291F8A" w14:textId="77777777">
        <w:trPr>
          <w:trHeight w:val="196"/>
        </w:trPr>
        <w:tc>
          <w:tcPr>
            <w:tcW w:w="9713" w:type="dxa"/>
            <w:gridSpan w:val="3"/>
            <w:shd w:val="clear" w:color="auto" w:fill="EDF5E9"/>
          </w:tcPr>
          <w:p w14:paraId="601BB62F"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color w:val="00AFEF"/>
                <w:spacing w:val="-2"/>
                <w:sz w:val="18"/>
                <w:szCs w:val="18"/>
              </w:rPr>
              <w:t>Ground</w:t>
            </w:r>
            <w:r w:rsidRPr="00EC75B7">
              <w:rPr>
                <w:rFonts w:ascii="Verdana" w:hAnsi="Verdana"/>
                <w:b/>
                <w:color w:val="00AFEF"/>
                <w:sz w:val="18"/>
                <w:szCs w:val="18"/>
              </w:rPr>
              <w:t>water</w:t>
            </w:r>
          </w:p>
        </w:tc>
      </w:tr>
      <w:tr w:rsidR="008715BE" w:rsidRPr="00EC75B7" w14:paraId="091B55E7" w14:textId="77777777">
        <w:trPr>
          <w:trHeight w:val="582"/>
        </w:trPr>
        <w:tc>
          <w:tcPr>
            <w:tcW w:w="1560" w:type="dxa"/>
            <w:shd w:val="clear" w:color="auto" w:fill="F8F8F7"/>
          </w:tcPr>
          <w:p w14:paraId="1EABAB48" w14:textId="77777777" w:rsidR="008715BE" w:rsidRPr="00EC75B7" w:rsidRDefault="00000000">
            <w:pPr>
              <w:pStyle w:val="TableParagraph"/>
              <w:spacing w:line="194" w:lineRule="exact"/>
              <w:ind w:left="108" w:right="295"/>
              <w:rPr>
                <w:rFonts w:ascii="Verdana" w:hAnsi="Verdana"/>
                <w:b/>
                <w:sz w:val="18"/>
                <w:szCs w:val="18"/>
              </w:rPr>
            </w:pPr>
            <w:r w:rsidRPr="00EC75B7">
              <w:rPr>
                <w:rFonts w:ascii="Verdana" w:hAnsi="Verdana"/>
                <w:b/>
                <w:spacing w:val="-2"/>
                <w:sz w:val="18"/>
                <w:szCs w:val="18"/>
              </w:rPr>
              <w:t>Very low/no sensitivity</w:t>
            </w:r>
          </w:p>
        </w:tc>
        <w:tc>
          <w:tcPr>
            <w:tcW w:w="5381" w:type="dxa"/>
            <w:shd w:val="clear" w:color="auto" w:fill="D9D9D9"/>
          </w:tcPr>
          <w:p w14:paraId="3AD69AD6"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Groundwater bodies with </w:t>
            </w:r>
            <w:r w:rsidRPr="00EC75B7">
              <w:rPr>
                <w:rFonts w:ascii="Verdana" w:hAnsi="Verdana"/>
                <w:spacing w:val="-2"/>
                <w:sz w:val="18"/>
                <w:szCs w:val="18"/>
              </w:rPr>
              <w:t xml:space="preserve">poor </w:t>
            </w:r>
            <w:r w:rsidRPr="00EC75B7">
              <w:rPr>
                <w:rFonts w:ascii="Verdana" w:hAnsi="Verdana"/>
                <w:sz w:val="18"/>
                <w:szCs w:val="18"/>
              </w:rPr>
              <w:t>quantitative and chemical status</w:t>
            </w:r>
          </w:p>
          <w:p w14:paraId="55FEC7A0" w14:textId="77777777" w:rsidR="008715BE" w:rsidRPr="00EC75B7" w:rsidRDefault="00000000">
            <w:pPr>
              <w:pStyle w:val="TableParagraph"/>
              <w:spacing w:line="164" w:lineRule="exact"/>
              <w:ind w:left="10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groundwater </w:t>
            </w:r>
            <w:r w:rsidRPr="00EC75B7">
              <w:rPr>
                <w:rFonts w:ascii="Verdana" w:hAnsi="Verdana"/>
                <w:sz w:val="18"/>
                <w:szCs w:val="18"/>
              </w:rPr>
              <w:t>bodies identified</w:t>
            </w:r>
          </w:p>
        </w:tc>
        <w:tc>
          <w:tcPr>
            <w:tcW w:w="2772" w:type="dxa"/>
            <w:shd w:val="clear" w:color="auto" w:fill="D9D9D9"/>
          </w:tcPr>
          <w:p w14:paraId="2A3D34B2"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w:t>
            </w:r>
          </w:p>
        </w:tc>
      </w:tr>
      <w:tr w:rsidR="008715BE" w:rsidRPr="00EC75B7" w14:paraId="465C74C6" w14:textId="77777777">
        <w:trPr>
          <w:trHeight w:val="777"/>
        </w:trPr>
        <w:tc>
          <w:tcPr>
            <w:tcW w:w="1560" w:type="dxa"/>
            <w:shd w:val="clear" w:color="auto" w:fill="92D050"/>
          </w:tcPr>
          <w:p w14:paraId="78BB2C19"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Low</w:t>
            </w:r>
          </w:p>
        </w:tc>
        <w:tc>
          <w:tcPr>
            <w:tcW w:w="5381" w:type="dxa"/>
          </w:tcPr>
          <w:p w14:paraId="3F97A93A"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Groundwater bodies with good quantitative status and poor chemical status</w:t>
            </w:r>
          </w:p>
          <w:p w14:paraId="3843F082"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z w:val="18"/>
                <w:szCs w:val="18"/>
              </w:rPr>
              <w:t xml:space="preserve">Groundwater bodies with poor quantitative status and good chemical </w:t>
            </w:r>
            <w:r w:rsidRPr="00EC75B7">
              <w:rPr>
                <w:rFonts w:ascii="Verdana" w:hAnsi="Verdana"/>
                <w:spacing w:val="-2"/>
                <w:sz w:val="18"/>
                <w:szCs w:val="18"/>
              </w:rPr>
              <w:t>status</w:t>
            </w:r>
          </w:p>
          <w:p w14:paraId="216E8E49"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pacing w:val="-4"/>
                <w:sz w:val="18"/>
                <w:szCs w:val="18"/>
              </w:rPr>
              <w:t xml:space="preserve">good </w:t>
            </w:r>
            <w:r w:rsidRPr="00EC75B7">
              <w:rPr>
                <w:rFonts w:ascii="Verdana" w:hAnsi="Verdana"/>
                <w:sz w:val="18"/>
                <w:szCs w:val="18"/>
              </w:rPr>
              <w:t>chemical status</w:t>
            </w:r>
          </w:p>
        </w:tc>
        <w:tc>
          <w:tcPr>
            <w:tcW w:w="2772" w:type="dxa"/>
          </w:tcPr>
          <w:p w14:paraId="29553EF1" w14:textId="77777777" w:rsidR="008715BE" w:rsidRPr="00EC75B7" w:rsidRDefault="00000000">
            <w:pPr>
              <w:pStyle w:val="TableParagraph"/>
              <w:spacing w:before="8"/>
              <w:ind w:left="108" w:right="149"/>
              <w:rPr>
                <w:rFonts w:ascii="Verdana" w:hAnsi="Verdana"/>
                <w:sz w:val="18"/>
                <w:szCs w:val="18"/>
              </w:rPr>
            </w:pPr>
            <w:r w:rsidRPr="00EC75B7">
              <w:rPr>
                <w:rFonts w:ascii="Verdana" w:hAnsi="Verdana"/>
                <w:spacing w:val="-2"/>
                <w:sz w:val="18"/>
                <w:szCs w:val="18"/>
              </w:rPr>
              <w:t xml:space="preserve">RODL04 Cobadin -Mangalia </w:t>
            </w:r>
            <w:r w:rsidRPr="00EC75B7">
              <w:rPr>
                <w:rFonts w:ascii="Verdana" w:hAnsi="Verdana"/>
                <w:sz w:val="18"/>
                <w:szCs w:val="18"/>
              </w:rPr>
              <w:t>RODL10 Southern Dobrogea</w:t>
            </w:r>
          </w:p>
        </w:tc>
      </w:tr>
      <w:tr w:rsidR="008715BE" w:rsidRPr="00EC75B7" w14:paraId="0C8929E8" w14:textId="77777777">
        <w:trPr>
          <w:trHeight w:val="582"/>
        </w:trPr>
        <w:tc>
          <w:tcPr>
            <w:tcW w:w="1560" w:type="dxa"/>
            <w:shd w:val="clear" w:color="auto" w:fill="FFFF00"/>
          </w:tcPr>
          <w:p w14:paraId="63F8A5DF"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5381" w:type="dxa"/>
            <w:shd w:val="clear" w:color="auto" w:fill="D9D9D9"/>
          </w:tcPr>
          <w:p w14:paraId="550042F6" w14:textId="77777777" w:rsidR="008715BE" w:rsidRPr="00EC75B7" w:rsidRDefault="00000000">
            <w:pPr>
              <w:pStyle w:val="TableParagraph"/>
              <w:spacing w:line="194" w:lineRule="exact"/>
              <w:ind w:left="108" w:right="96"/>
              <w:jc w:val="both"/>
              <w:rPr>
                <w:rFonts w:ascii="Verdana" w:hAnsi="Verdana"/>
                <w:sz w:val="18"/>
                <w:szCs w:val="18"/>
              </w:rPr>
            </w:pPr>
            <w:r w:rsidRPr="00EC75B7">
              <w:rPr>
                <w:rFonts w:ascii="Verdana" w:hAnsi="Verdana"/>
                <w:sz w:val="18"/>
                <w:szCs w:val="18"/>
              </w:rPr>
              <w:t>Water bodies with generally good chemical status but exceeding the limit values for one quality indicator</w:t>
            </w:r>
          </w:p>
        </w:tc>
        <w:tc>
          <w:tcPr>
            <w:tcW w:w="2772" w:type="dxa"/>
            <w:shd w:val="clear" w:color="auto" w:fill="D9D9D9"/>
          </w:tcPr>
          <w:p w14:paraId="0615C73D"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w:t>
            </w:r>
          </w:p>
        </w:tc>
      </w:tr>
      <w:tr w:rsidR="008715BE" w:rsidRPr="00EC75B7" w14:paraId="7A0AC590" w14:textId="77777777">
        <w:trPr>
          <w:trHeight w:val="390"/>
        </w:trPr>
        <w:tc>
          <w:tcPr>
            <w:tcW w:w="1560" w:type="dxa"/>
            <w:shd w:val="clear" w:color="auto" w:fill="BAF0DD"/>
          </w:tcPr>
          <w:p w14:paraId="05196C59"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5381" w:type="dxa"/>
          </w:tcPr>
          <w:p w14:paraId="3B5E3540"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Groundwater bodies with good quantitative status and good chemical status</w:t>
            </w:r>
          </w:p>
        </w:tc>
        <w:tc>
          <w:tcPr>
            <w:tcW w:w="2772" w:type="dxa"/>
          </w:tcPr>
          <w:p w14:paraId="282DA474"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RODL06 </w:t>
            </w:r>
            <w:r w:rsidRPr="00EC75B7">
              <w:rPr>
                <w:rFonts w:ascii="Verdana" w:hAnsi="Verdana"/>
                <w:spacing w:val="-2"/>
                <w:sz w:val="18"/>
                <w:szCs w:val="18"/>
              </w:rPr>
              <w:t xml:space="preserve">Valaha </w:t>
            </w:r>
            <w:r w:rsidRPr="00EC75B7">
              <w:rPr>
                <w:rFonts w:ascii="Verdana" w:hAnsi="Verdana"/>
                <w:sz w:val="18"/>
                <w:szCs w:val="18"/>
              </w:rPr>
              <w:t>Platform</w:t>
            </w:r>
          </w:p>
        </w:tc>
      </w:tr>
      <w:tr w:rsidR="008715BE" w:rsidRPr="00EC75B7" w14:paraId="76A79137" w14:textId="77777777">
        <w:trPr>
          <w:trHeight w:val="194"/>
        </w:trPr>
        <w:tc>
          <w:tcPr>
            <w:tcW w:w="1560" w:type="dxa"/>
            <w:shd w:val="clear" w:color="auto" w:fill="FF0000"/>
          </w:tcPr>
          <w:p w14:paraId="0A4A13D6"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5381" w:type="dxa"/>
            <w:shd w:val="clear" w:color="auto" w:fill="D9D9D9"/>
          </w:tcPr>
          <w:p w14:paraId="56E7A938" w14:textId="77777777" w:rsidR="008715BE" w:rsidRPr="00EC75B7" w:rsidRDefault="00000000">
            <w:pPr>
              <w:pStyle w:val="TableParagraph"/>
              <w:spacing w:before="8" w:line="166" w:lineRule="exact"/>
              <w:ind w:left="108"/>
              <w:rPr>
                <w:rFonts w:ascii="Verdana" w:hAnsi="Verdana"/>
                <w:sz w:val="18"/>
                <w:szCs w:val="18"/>
              </w:rPr>
            </w:pPr>
            <w:r w:rsidRPr="00EC75B7">
              <w:rPr>
                <w:rFonts w:ascii="Verdana" w:hAnsi="Verdana"/>
                <w:sz w:val="18"/>
                <w:szCs w:val="18"/>
              </w:rPr>
              <w:t xml:space="preserve">Areas designated as </w:t>
            </w:r>
            <w:r w:rsidRPr="00EC75B7">
              <w:rPr>
                <w:rFonts w:ascii="Verdana" w:hAnsi="Verdana"/>
                <w:spacing w:val="-2"/>
                <w:sz w:val="18"/>
                <w:szCs w:val="18"/>
              </w:rPr>
              <w:t xml:space="preserve">hydrogeological </w:t>
            </w:r>
            <w:r w:rsidRPr="00EC75B7">
              <w:rPr>
                <w:rFonts w:ascii="Verdana" w:hAnsi="Verdana"/>
                <w:sz w:val="18"/>
                <w:szCs w:val="18"/>
              </w:rPr>
              <w:t>protection zones</w:t>
            </w:r>
          </w:p>
        </w:tc>
        <w:tc>
          <w:tcPr>
            <w:tcW w:w="2772" w:type="dxa"/>
            <w:shd w:val="clear" w:color="auto" w:fill="D9D9D9"/>
          </w:tcPr>
          <w:p w14:paraId="1053B731" w14:textId="77777777" w:rsidR="008715BE" w:rsidRPr="00EC75B7" w:rsidRDefault="00000000">
            <w:pPr>
              <w:pStyle w:val="TableParagraph"/>
              <w:spacing w:before="8" w:line="166" w:lineRule="exact"/>
              <w:ind w:left="108"/>
              <w:rPr>
                <w:rFonts w:ascii="Verdana" w:hAnsi="Verdana"/>
                <w:sz w:val="18"/>
                <w:szCs w:val="18"/>
              </w:rPr>
            </w:pPr>
            <w:r w:rsidRPr="00EC75B7">
              <w:rPr>
                <w:rFonts w:ascii="Verdana" w:hAnsi="Verdana"/>
                <w:sz w:val="18"/>
                <w:szCs w:val="18"/>
              </w:rPr>
              <w:t>-</w:t>
            </w:r>
          </w:p>
        </w:tc>
      </w:tr>
    </w:tbl>
    <w:p w14:paraId="157AD096" w14:textId="77777777" w:rsidR="008715BE" w:rsidRPr="00EC75B7" w:rsidRDefault="008715BE">
      <w:pPr>
        <w:pStyle w:val="BodyText"/>
        <w:spacing w:before="133"/>
        <w:rPr>
          <w:rFonts w:ascii="Verdana" w:hAnsi="Verdana"/>
          <w:b/>
        </w:rPr>
      </w:pPr>
    </w:p>
    <w:p w14:paraId="23A0C9A9" w14:textId="77777777" w:rsidR="008715BE" w:rsidRPr="00EC75B7" w:rsidRDefault="00000000">
      <w:pPr>
        <w:pStyle w:val="BodyText"/>
        <w:spacing w:line="357" w:lineRule="auto"/>
        <w:ind w:left="115" w:right="150"/>
        <w:jc w:val="both"/>
        <w:rPr>
          <w:rFonts w:ascii="Verdana" w:hAnsi="Verdana"/>
        </w:rPr>
      </w:pPr>
      <w:r w:rsidRPr="00EC75B7">
        <w:rPr>
          <w:rFonts w:ascii="Verdana" w:hAnsi="Verdana"/>
        </w:rPr>
        <w:t>In order to assess the impact on water caused by the investments proposed in this project, activities that may have a potential impact on water have been identified:</w:t>
      </w:r>
    </w:p>
    <w:p w14:paraId="6A651097" w14:textId="77777777" w:rsidR="008715BE" w:rsidRPr="00EC75B7" w:rsidRDefault="00000000">
      <w:pPr>
        <w:pStyle w:val="ListParagraph"/>
        <w:numPr>
          <w:ilvl w:val="0"/>
          <w:numId w:val="67"/>
        </w:numPr>
        <w:tabs>
          <w:tab w:val="left" w:pos="835"/>
        </w:tabs>
        <w:spacing w:before="120" w:line="357" w:lineRule="auto"/>
        <w:ind w:right="139"/>
        <w:jc w:val="both"/>
        <w:rPr>
          <w:rFonts w:ascii="Verdana" w:hAnsi="Verdana"/>
          <w:sz w:val="18"/>
          <w:szCs w:val="18"/>
        </w:rPr>
      </w:pPr>
      <w:r w:rsidRPr="00EC75B7">
        <w:rPr>
          <w:rFonts w:ascii="Verdana" w:hAnsi="Verdana"/>
          <w:sz w:val="18"/>
          <w:szCs w:val="18"/>
        </w:rPr>
        <w:t>Execution/decommissioning stage: setting up the construction site, building the technological platforms, building the foundations for the turbines and transformer stations, crossing watercourses, building access roads, and restoring temporarily affected land.</w:t>
      </w:r>
    </w:p>
    <w:p w14:paraId="423A5389" w14:textId="77777777" w:rsidR="008715BE" w:rsidRPr="00EC75B7" w:rsidRDefault="00000000">
      <w:pPr>
        <w:pStyle w:val="ListParagraph"/>
        <w:numPr>
          <w:ilvl w:val="0"/>
          <w:numId w:val="67"/>
        </w:numPr>
        <w:tabs>
          <w:tab w:val="left" w:pos="834"/>
        </w:tabs>
        <w:spacing w:before="122"/>
        <w:ind w:left="834" w:hanging="359"/>
        <w:jc w:val="both"/>
        <w:rPr>
          <w:rFonts w:ascii="Verdana" w:hAnsi="Verdana"/>
          <w:sz w:val="18"/>
          <w:szCs w:val="18"/>
        </w:rPr>
      </w:pPr>
      <w:r w:rsidRPr="00EC75B7">
        <w:rPr>
          <w:rFonts w:ascii="Verdana" w:hAnsi="Verdana"/>
          <w:sz w:val="18"/>
          <w:szCs w:val="18"/>
        </w:rPr>
        <w:t xml:space="preserve">Operation phase: maintenance work on the </w:t>
      </w:r>
      <w:r w:rsidRPr="00EC75B7">
        <w:rPr>
          <w:rFonts w:ascii="Verdana" w:hAnsi="Verdana"/>
          <w:spacing w:val="-2"/>
          <w:sz w:val="18"/>
          <w:szCs w:val="18"/>
        </w:rPr>
        <w:t xml:space="preserve">wind </w:t>
      </w:r>
      <w:r w:rsidRPr="00EC75B7">
        <w:rPr>
          <w:rFonts w:ascii="Verdana" w:hAnsi="Verdana"/>
          <w:sz w:val="18"/>
          <w:szCs w:val="18"/>
        </w:rPr>
        <w:t>farm</w:t>
      </w:r>
      <w:r w:rsidRPr="00EC75B7">
        <w:rPr>
          <w:rFonts w:ascii="Verdana" w:hAnsi="Verdana"/>
          <w:spacing w:val="-2"/>
          <w:sz w:val="18"/>
          <w:szCs w:val="18"/>
        </w:rPr>
        <w:t>.</w:t>
      </w:r>
    </w:p>
    <w:p w14:paraId="52A39113" w14:textId="77777777" w:rsidR="008715BE" w:rsidRPr="00EC75B7" w:rsidRDefault="008715BE">
      <w:pPr>
        <w:pStyle w:val="BodyText"/>
        <w:spacing w:before="10"/>
        <w:rPr>
          <w:rFonts w:ascii="Verdana" w:hAnsi="Verdana"/>
        </w:rPr>
      </w:pPr>
    </w:p>
    <w:p w14:paraId="68016BBA" w14:textId="77777777" w:rsidR="008715BE" w:rsidRPr="00EC75B7" w:rsidRDefault="00000000">
      <w:pPr>
        <w:pStyle w:val="BodyText"/>
        <w:ind w:left="115"/>
        <w:jc w:val="both"/>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198EB901" w14:textId="77777777" w:rsidR="008715BE" w:rsidRPr="00EC75B7" w:rsidRDefault="008715BE">
      <w:pPr>
        <w:pStyle w:val="BodyText"/>
        <w:spacing w:before="60"/>
        <w:rPr>
          <w:rFonts w:ascii="Verdana" w:hAnsi="Verdana"/>
        </w:rPr>
      </w:pPr>
    </w:p>
    <w:p w14:paraId="135C2D90"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38 Sensitivity classes for the environmental factor </w:t>
      </w:r>
      <w:r w:rsidRPr="00EC75B7">
        <w:rPr>
          <w:rFonts w:ascii="Verdana" w:hAnsi="Verdana"/>
          <w:b/>
          <w:color w:val="00AFEF"/>
          <w:spacing w:val="-5"/>
          <w:sz w:val="18"/>
          <w:szCs w:val="18"/>
        </w:rPr>
        <w:t>water</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463"/>
        <w:gridCol w:w="3906"/>
      </w:tblGrid>
      <w:tr w:rsidR="008715BE" w:rsidRPr="00EC75B7" w14:paraId="04CDEA93" w14:textId="77777777">
        <w:trPr>
          <w:trHeight w:val="388"/>
        </w:trPr>
        <w:tc>
          <w:tcPr>
            <w:tcW w:w="1347" w:type="dxa"/>
            <w:shd w:val="clear" w:color="auto" w:fill="00AFEF"/>
          </w:tcPr>
          <w:p w14:paraId="524CAAC1"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lastRenderedPageBreak/>
              <w:t>Class</w:t>
            </w:r>
          </w:p>
          <w:p w14:paraId="623F85DA" w14:textId="77777777" w:rsidR="008715BE" w:rsidRPr="00EC75B7" w:rsidRDefault="00000000">
            <w:pPr>
              <w:pStyle w:val="TableParagraph"/>
              <w:spacing w:line="175" w:lineRule="exact"/>
              <w:ind w:left="108"/>
              <w:rPr>
                <w:rFonts w:ascii="Verdana" w:hAnsi="Verdana"/>
                <w:b/>
                <w:sz w:val="18"/>
                <w:szCs w:val="18"/>
              </w:rPr>
            </w:pPr>
            <w:r w:rsidRPr="00EC75B7">
              <w:rPr>
                <w:rFonts w:ascii="Verdana" w:hAnsi="Verdana"/>
                <w:b/>
                <w:color w:val="FFFFFF"/>
                <w:spacing w:val="-2"/>
                <w:sz w:val="18"/>
                <w:szCs w:val="18"/>
              </w:rPr>
              <w:t>Magnitude</w:t>
            </w:r>
          </w:p>
        </w:tc>
        <w:tc>
          <w:tcPr>
            <w:tcW w:w="4463" w:type="dxa"/>
            <w:shd w:val="clear" w:color="auto" w:fill="00AFEF"/>
          </w:tcPr>
          <w:p w14:paraId="39FEF0EF" w14:textId="77777777" w:rsidR="008715BE" w:rsidRPr="00EC75B7" w:rsidRDefault="00000000">
            <w:pPr>
              <w:pStyle w:val="TableParagraph"/>
              <w:spacing w:line="194" w:lineRule="exact"/>
              <w:ind w:left="110"/>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clarification</w:t>
            </w:r>
          </w:p>
        </w:tc>
        <w:tc>
          <w:tcPr>
            <w:tcW w:w="3906" w:type="dxa"/>
            <w:shd w:val="clear" w:color="auto" w:fill="00AFEF"/>
          </w:tcPr>
          <w:p w14:paraId="046DDA84" w14:textId="77777777" w:rsidR="008715BE" w:rsidRPr="00EC75B7" w:rsidRDefault="00000000">
            <w:pPr>
              <w:pStyle w:val="TableParagraph"/>
              <w:tabs>
                <w:tab w:val="left" w:pos="1601"/>
                <w:tab w:val="left" w:pos="2889"/>
                <w:tab w:val="left" w:pos="3330"/>
              </w:tabs>
              <w:spacing w:line="194" w:lineRule="exact"/>
              <w:ind w:left="107"/>
              <w:rPr>
                <w:rFonts w:ascii="Verdana" w:hAnsi="Verdana"/>
                <w:b/>
                <w:sz w:val="18"/>
                <w:szCs w:val="18"/>
              </w:rPr>
            </w:pPr>
            <w:r w:rsidRPr="00EC75B7">
              <w:rPr>
                <w:rFonts w:ascii="Verdana" w:hAnsi="Verdana"/>
                <w:b/>
                <w:color w:val="FFFFFF"/>
                <w:spacing w:val="-2"/>
                <w:sz w:val="18"/>
                <w:szCs w:val="18"/>
              </w:rPr>
              <w:t>Magnitude</w:t>
            </w:r>
            <w:r w:rsidRPr="00EC75B7">
              <w:rPr>
                <w:rFonts w:ascii="Verdana" w:hAnsi="Verdana"/>
                <w:b/>
                <w:color w:val="FFFFFF"/>
                <w:sz w:val="18"/>
                <w:szCs w:val="18"/>
              </w:rPr>
              <w:tab/>
            </w:r>
            <w:r w:rsidRPr="00EC75B7">
              <w:rPr>
                <w:rFonts w:ascii="Verdana" w:hAnsi="Verdana"/>
                <w:b/>
                <w:color w:val="FFFFFF"/>
                <w:spacing w:val="-2"/>
                <w:sz w:val="18"/>
                <w:szCs w:val="18"/>
              </w:rPr>
              <w:t>identified</w:t>
            </w:r>
            <w:r w:rsidRPr="00EC75B7">
              <w:rPr>
                <w:rFonts w:ascii="Verdana" w:hAnsi="Verdana"/>
                <w:b/>
                <w:color w:val="FFFFFF"/>
                <w:sz w:val="18"/>
                <w:szCs w:val="18"/>
              </w:rPr>
              <w:tab/>
            </w:r>
            <w:r w:rsidRPr="00EC75B7">
              <w:rPr>
                <w:rFonts w:ascii="Verdana" w:hAnsi="Verdana"/>
                <w:b/>
                <w:color w:val="FFFFFF"/>
                <w:spacing w:val="-5"/>
                <w:sz w:val="18"/>
                <w:szCs w:val="18"/>
              </w:rPr>
              <w:t>in</w:t>
            </w:r>
            <w:r w:rsidRPr="00EC75B7">
              <w:rPr>
                <w:rFonts w:ascii="Verdana" w:hAnsi="Verdana"/>
                <w:b/>
                <w:color w:val="FFFFFF"/>
                <w:sz w:val="18"/>
                <w:szCs w:val="18"/>
              </w:rPr>
              <w:tab/>
            </w:r>
            <w:r w:rsidRPr="00EC75B7">
              <w:rPr>
                <w:rFonts w:ascii="Verdana" w:hAnsi="Verdana"/>
                <w:b/>
                <w:color w:val="FFFFFF"/>
                <w:spacing w:val="-2"/>
                <w:sz w:val="18"/>
                <w:szCs w:val="18"/>
              </w:rPr>
              <w:t>the</w:t>
            </w:r>
          </w:p>
          <w:p w14:paraId="0564BDB1" w14:textId="77777777" w:rsidR="008715BE" w:rsidRPr="00EC75B7" w:rsidRDefault="00000000">
            <w:pPr>
              <w:pStyle w:val="TableParagraph"/>
              <w:spacing w:line="175"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7DFC8ABF" w14:textId="77777777">
        <w:trPr>
          <w:trHeight w:val="194"/>
        </w:trPr>
        <w:tc>
          <w:tcPr>
            <w:tcW w:w="9716" w:type="dxa"/>
            <w:gridSpan w:val="3"/>
            <w:shd w:val="clear" w:color="auto" w:fill="EDF5E9"/>
          </w:tcPr>
          <w:p w14:paraId="6AACB083"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00AFEF"/>
                <w:spacing w:val="-2"/>
                <w:sz w:val="18"/>
                <w:szCs w:val="18"/>
              </w:rPr>
              <w:t xml:space="preserve">Surface </w:t>
            </w:r>
            <w:r w:rsidRPr="00EC75B7">
              <w:rPr>
                <w:rFonts w:ascii="Verdana" w:hAnsi="Verdana"/>
                <w:b/>
                <w:color w:val="00AFEF"/>
                <w:sz w:val="18"/>
                <w:szCs w:val="18"/>
              </w:rPr>
              <w:t>water</w:t>
            </w:r>
          </w:p>
        </w:tc>
      </w:tr>
      <w:tr w:rsidR="008715BE" w:rsidRPr="00EC75B7" w14:paraId="78600289" w14:textId="77777777">
        <w:trPr>
          <w:trHeight w:val="193"/>
        </w:trPr>
        <w:tc>
          <w:tcPr>
            <w:tcW w:w="9716" w:type="dxa"/>
            <w:gridSpan w:val="3"/>
            <w:shd w:val="clear" w:color="auto" w:fill="ADAAAA"/>
          </w:tcPr>
          <w:p w14:paraId="5C63B693"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7FFCE9B0" w14:textId="77777777">
        <w:trPr>
          <w:trHeight w:val="779"/>
        </w:trPr>
        <w:tc>
          <w:tcPr>
            <w:tcW w:w="1347" w:type="dxa"/>
            <w:shd w:val="clear" w:color="auto" w:fill="F1F1F1"/>
          </w:tcPr>
          <w:p w14:paraId="164E3982"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463" w:type="dxa"/>
            <w:shd w:val="clear" w:color="auto" w:fill="F1F1F1"/>
          </w:tcPr>
          <w:p w14:paraId="5200EDE4"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The effects of the impact fall within the natural variability limits of the receptor.</w:t>
            </w:r>
          </w:p>
        </w:tc>
        <w:tc>
          <w:tcPr>
            <w:tcW w:w="3906" w:type="dxa"/>
            <w:shd w:val="clear" w:color="auto" w:fill="F1F1F1"/>
          </w:tcPr>
          <w:p w14:paraId="08B3307A"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It is specific to the execution/decommissioning stage of the objectives proposed by this project (date of</w:t>
            </w:r>
            <w:r w:rsidRPr="00EC75B7">
              <w:rPr>
                <w:rFonts w:ascii="Verdana" w:hAnsi="Verdana"/>
                <w:spacing w:val="61"/>
                <w:sz w:val="18"/>
                <w:szCs w:val="18"/>
              </w:rPr>
              <w:t xml:space="preserve">   </w:t>
            </w:r>
            <w:r w:rsidRPr="00EC75B7">
              <w:rPr>
                <w:rFonts w:ascii="Verdana" w:hAnsi="Verdana"/>
                <w:sz w:val="18"/>
                <w:szCs w:val="18"/>
              </w:rPr>
              <w:t xml:space="preserve"> storage</w:t>
            </w:r>
            <w:r w:rsidRPr="00EC75B7">
              <w:rPr>
                <w:rFonts w:ascii="Verdana" w:hAnsi="Verdana"/>
                <w:spacing w:val="61"/>
                <w:sz w:val="18"/>
                <w:szCs w:val="18"/>
              </w:rPr>
              <w:t xml:space="preserve">   </w:t>
            </w:r>
            <w:r w:rsidRPr="00EC75B7">
              <w:rPr>
                <w:rFonts w:ascii="Verdana" w:hAnsi="Verdana"/>
                <w:sz w:val="18"/>
                <w:szCs w:val="18"/>
              </w:rPr>
              <w:t xml:space="preserve"> improper</w:t>
            </w:r>
            <w:r w:rsidRPr="00EC75B7">
              <w:rPr>
                <w:rFonts w:ascii="Verdana" w:hAnsi="Verdana"/>
                <w:spacing w:val="61"/>
                <w:sz w:val="18"/>
                <w:szCs w:val="18"/>
              </w:rPr>
              <w:t xml:space="preserve">   </w:t>
            </w:r>
            <w:r w:rsidRPr="00EC75B7">
              <w:rPr>
                <w:rFonts w:ascii="Verdana" w:hAnsi="Verdana"/>
                <w:spacing w:val="-10"/>
                <w:sz w:val="18"/>
                <w:szCs w:val="18"/>
              </w:rPr>
              <w:t xml:space="preserve"> of</w:t>
            </w:r>
          </w:p>
          <w:p w14:paraId="5D577A55" w14:textId="77777777" w:rsidR="008715BE" w:rsidRPr="00EC75B7" w:rsidRDefault="00000000">
            <w:pPr>
              <w:pStyle w:val="TableParagraph"/>
              <w:spacing w:line="175" w:lineRule="exact"/>
              <w:ind w:left="107"/>
              <w:jc w:val="both"/>
              <w:rPr>
                <w:rFonts w:ascii="Verdana" w:hAnsi="Verdana"/>
                <w:sz w:val="18"/>
                <w:szCs w:val="18"/>
              </w:rPr>
            </w:pPr>
            <w:r w:rsidRPr="00EC75B7">
              <w:rPr>
                <w:rFonts w:ascii="Verdana" w:hAnsi="Verdana"/>
                <w:sz w:val="18"/>
                <w:szCs w:val="18"/>
              </w:rPr>
              <w:t xml:space="preserve">waste, excavated soil in </w:t>
            </w:r>
            <w:r w:rsidRPr="00EC75B7">
              <w:rPr>
                <w:rFonts w:ascii="Verdana" w:hAnsi="Verdana"/>
                <w:spacing w:val="-4"/>
                <w:sz w:val="18"/>
                <w:szCs w:val="18"/>
              </w:rPr>
              <w:t>the area</w:t>
            </w:r>
          </w:p>
        </w:tc>
      </w:tr>
    </w:tbl>
    <w:p w14:paraId="249E0AD6" w14:textId="77777777" w:rsidR="008715BE" w:rsidRPr="00EC75B7" w:rsidRDefault="008715BE">
      <w:pPr>
        <w:pStyle w:val="TableParagraph"/>
        <w:spacing w:line="175" w:lineRule="exact"/>
        <w:jc w:val="both"/>
        <w:rPr>
          <w:rFonts w:ascii="Verdana" w:hAnsi="Verdana"/>
          <w:sz w:val="18"/>
          <w:szCs w:val="18"/>
        </w:rPr>
        <w:sectPr w:rsidR="008715BE" w:rsidRPr="00EC75B7">
          <w:type w:val="continuous"/>
          <w:pgSz w:w="11910" w:h="16840"/>
          <w:pgMar w:top="1400" w:right="850" w:bottom="1020" w:left="1133" w:header="766" w:footer="824" w:gutter="0"/>
          <w:cols w:space="708"/>
        </w:sect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463"/>
        <w:gridCol w:w="3906"/>
      </w:tblGrid>
      <w:tr w:rsidR="008715BE" w:rsidRPr="00EC75B7" w14:paraId="76E1DB97" w14:textId="77777777">
        <w:trPr>
          <w:trHeight w:val="388"/>
        </w:trPr>
        <w:tc>
          <w:tcPr>
            <w:tcW w:w="1347" w:type="dxa"/>
            <w:shd w:val="clear" w:color="auto" w:fill="00AFEF"/>
          </w:tcPr>
          <w:p w14:paraId="5E127DFF" w14:textId="77777777" w:rsidR="008715BE" w:rsidRPr="00EC75B7" w:rsidRDefault="00000000">
            <w:pPr>
              <w:pStyle w:val="TableParagraph"/>
              <w:spacing w:line="194" w:lineRule="exact"/>
              <w:ind w:left="108" w:right="92"/>
              <w:rPr>
                <w:rFonts w:ascii="Verdana" w:hAnsi="Verdana"/>
                <w:b/>
                <w:sz w:val="18"/>
                <w:szCs w:val="18"/>
              </w:rPr>
            </w:pPr>
            <w:r w:rsidRPr="00EC75B7">
              <w:rPr>
                <w:rFonts w:ascii="Verdana" w:hAnsi="Verdana"/>
                <w:b/>
                <w:color w:val="FFFFFF"/>
                <w:spacing w:val="-2"/>
                <w:sz w:val="18"/>
                <w:szCs w:val="18"/>
              </w:rPr>
              <w:t>Magnitude class</w:t>
            </w:r>
          </w:p>
        </w:tc>
        <w:tc>
          <w:tcPr>
            <w:tcW w:w="4463" w:type="dxa"/>
            <w:shd w:val="clear" w:color="auto" w:fill="00AFEF"/>
          </w:tcPr>
          <w:p w14:paraId="067879B4"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clarification</w:t>
            </w:r>
          </w:p>
        </w:tc>
        <w:tc>
          <w:tcPr>
            <w:tcW w:w="3906" w:type="dxa"/>
            <w:shd w:val="clear" w:color="auto" w:fill="00AFEF"/>
          </w:tcPr>
          <w:p w14:paraId="56E1AE9A" w14:textId="77777777" w:rsidR="008715BE" w:rsidRPr="00EC75B7" w:rsidRDefault="00000000">
            <w:pPr>
              <w:pStyle w:val="TableParagraph"/>
              <w:tabs>
                <w:tab w:val="left" w:pos="1601"/>
                <w:tab w:val="left" w:pos="2889"/>
                <w:tab w:val="left" w:pos="3330"/>
              </w:tabs>
              <w:spacing w:before="8" w:line="195" w:lineRule="exact"/>
              <w:ind w:left="107"/>
              <w:rPr>
                <w:rFonts w:ascii="Verdana" w:hAnsi="Verdana"/>
                <w:b/>
                <w:sz w:val="18"/>
                <w:szCs w:val="18"/>
              </w:rPr>
            </w:pPr>
            <w:r w:rsidRPr="00EC75B7">
              <w:rPr>
                <w:rFonts w:ascii="Verdana" w:hAnsi="Verdana"/>
                <w:b/>
                <w:color w:val="FFFFFF"/>
                <w:spacing w:val="-2"/>
                <w:sz w:val="18"/>
                <w:szCs w:val="18"/>
              </w:rPr>
              <w:t>Magnitude</w:t>
            </w:r>
            <w:r w:rsidRPr="00EC75B7">
              <w:rPr>
                <w:rFonts w:ascii="Verdana" w:hAnsi="Verdana"/>
                <w:b/>
                <w:color w:val="FFFFFF"/>
                <w:sz w:val="18"/>
                <w:szCs w:val="18"/>
              </w:rPr>
              <w:tab/>
            </w:r>
            <w:r w:rsidRPr="00EC75B7">
              <w:rPr>
                <w:rFonts w:ascii="Verdana" w:hAnsi="Verdana"/>
                <w:b/>
                <w:color w:val="FFFFFF"/>
                <w:spacing w:val="-2"/>
                <w:sz w:val="18"/>
                <w:szCs w:val="18"/>
              </w:rPr>
              <w:t>identified</w:t>
            </w:r>
            <w:r w:rsidRPr="00EC75B7">
              <w:rPr>
                <w:rFonts w:ascii="Verdana" w:hAnsi="Verdana"/>
                <w:b/>
                <w:color w:val="FFFFFF"/>
                <w:sz w:val="18"/>
                <w:szCs w:val="18"/>
              </w:rPr>
              <w:tab/>
            </w:r>
            <w:r w:rsidRPr="00EC75B7">
              <w:rPr>
                <w:rFonts w:ascii="Verdana" w:hAnsi="Verdana"/>
                <w:b/>
                <w:color w:val="FFFFFF"/>
                <w:spacing w:val="-5"/>
                <w:sz w:val="18"/>
                <w:szCs w:val="18"/>
              </w:rPr>
              <w:t>in</w:t>
            </w:r>
            <w:r w:rsidRPr="00EC75B7">
              <w:rPr>
                <w:rFonts w:ascii="Verdana" w:hAnsi="Verdana"/>
                <w:b/>
                <w:color w:val="FFFFFF"/>
                <w:sz w:val="18"/>
                <w:szCs w:val="18"/>
              </w:rPr>
              <w:tab/>
            </w:r>
            <w:r w:rsidRPr="00EC75B7">
              <w:rPr>
                <w:rFonts w:ascii="Verdana" w:hAnsi="Verdana"/>
                <w:b/>
                <w:color w:val="FFFFFF"/>
                <w:spacing w:val="-2"/>
                <w:sz w:val="18"/>
                <w:szCs w:val="18"/>
              </w:rPr>
              <w:t>the</w:t>
            </w:r>
          </w:p>
          <w:p w14:paraId="2AF43D56" w14:textId="77777777" w:rsidR="008715BE" w:rsidRPr="00EC75B7" w:rsidRDefault="00000000">
            <w:pPr>
              <w:pStyle w:val="TableParagraph"/>
              <w:spacing w:line="165"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3838CBD2" w14:textId="77777777">
        <w:trPr>
          <w:trHeight w:val="194"/>
        </w:trPr>
        <w:tc>
          <w:tcPr>
            <w:tcW w:w="9716" w:type="dxa"/>
            <w:gridSpan w:val="3"/>
            <w:shd w:val="clear" w:color="auto" w:fill="EDF5E9"/>
          </w:tcPr>
          <w:p w14:paraId="51B21768"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color w:val="00AFEF"/>
                <w:spacing w:val="-2"/>
                <w:sz w:val="18"/>
                <w:szCs w:val="18"/>
              </w:rPr>
              <w:t xml:space="preserve">Surface </w:t>
            </w:r>
            <w:r w:rsidRPr="00EC75B7">
              <w:rPr>
                <w:rFonts w:ascii="Verdana" w:hAnsi="Verdana"/>
                <w:b/>
                <w:color w:val="00AFEF"/>
                <w:sz w:val="18"/>
                <w:szCs w:val="18"/>
              </w:rPr>
              <w:t>water</w:t>
            </w:r>
          </w:p>
        </w:tc>
      </w:tr>
      <w:tr w:rsidR="008715BE" w:rsidRPr="00EC75B7" w14:paraId="7B335472" w14:textId="77777777">
        <w:trPr>
          <w:trHeight w:val="1945"/>
        </w:trPr>
        <w:tc>
          <w:tcPr>
            <w:tcW w:w="1347" w:type="dxa"/>
            <w:shd w:val="clear" w:color="auto" w:fill="F1F1F1"/>
          </w:tcPr>
          <w:p w14:paraId="75F0055D" w14:textId="77777777" w:rsidR="008715BE" w:rsidRPr="00EC75B7" w:rsidRDefault="008715BE">
            <w:pPr>
              <w:pStyle w:val="TableParagraph"/>
              <w:rPr>
                <w:rFonts w:ascii="Verdana" w:hAnsi="Verdana"/>
                <w:sz w:val="18"/>
                <w:szCs w:val="18"/>
              </w:rPr>
            </w:pPr>
          </w:p>
        </w:tc>
        <w:tc>
          <w:tcPr>
            <w:tcW w:w="4463" w:type="dxa"/>
            <w:shd w:val="clear" w:color="auto" w:fill="F1F1F1"/>
          </w:tcPr>
          <w:p w14:paraId="140AA4F8" w14:textId="77777777" w:rsidR="008715BE" w:rsidRPr="00EC75B7" w:rsidRDefault="008715BE">
            <w:pPr>
              <w:pStyle w:val="TableParagraph"/>
              <w:rPr>
                <w:rFonts w:ascii="Verdana" w:hAnsi="Verdana"/>
                <w:sz w:val="18"/>
                <w:szCs w:val="18"/>
              </w:rPr>
            </w:pPr>
          </w:p>
        </w:tc>
        <w:tc>
          <w:tcPr>
            <w:tcW w:w="3906" w:type="dxa"/>
            <w:shd w:val="clear" w:color="auto" w:fill="F1F1F1"/>
          </w:tcPr>
          <w:p w14:paraId="77676C06" w14:textId="77777777" w:rsidR="008715BE" w:rsidRPr="00EC75B7" w:rsidRDefault="00000000">
            <w:pPr>
              <w:pStyle w:val="TableParagraph"/>
              <w:spacing w:before="8"/>
              <w:ind w:left="107" w:right="92"/>
              <w:jc w:val="both"/>
              <w:rPr>
                <w:rFonts w:ascii="Verdana" w:hAnsi="Verdana"/>
                <w:sz w:val="18"/>
                <w:szCs w:val="18"/>
              </w:rPr>
            </w:pPr>
            <w:r w:rsidRPr="00EC75B7">
              <w:rPr>
                <w:rFonts w:ascii="Verdana" w:hAnsi="Verdana"/>
                <w:sz w:val="18"/>
                <w:szCs w:val="18"/>
              </w:rPr>
              <w:t>work fronts, chemicals in site organization, accidental spills from machinery, works involving the crossing of watercourses).</w:t>
            </w:r>
          </w:p>
          <w:p w14:paraId="55A80948" w14:textId="77777777" w:rsidR="008715BE" w:rsidRPr="00EC75B7" w:rsidRDefault="00000000">
            <w:pPr>
              <w:pStyle w:val="TableParagraph"/>
              <w:ind w:left="107" w:right="92"/>
              <w:jc w:val="both"/>
              <w:rPr>
                <w:rFonts w:ascii="Verdana" w:hAnsi="Verdana"/>
                <w:sz w:val="18"/>
                <w:szCs w:val="18"/>
              </w:rPr>
            </w:pPr>
            <w:r w:rsidRPr="00EC75B7">
              <w:rPr>
                <w:rFonts w:ascii="Verdana" w:hAnsi="Verdana"/>
                <w:sz w:val="18"/>
                <w:szCs w:val="18"/>
              </w:rPr>
              <w:t xml:space="preserve">Although the project execution phase includes underpasses of the Cerchezu and Măgura watercourses, these will be constructed underground using the horizontal directional drilling method, without affecting the riverbed or </w:t>
            </w:r>
            <w:r w:rsidRPr="00EC75B7">
              <w:rPr>
                <w:rFonts w:ascii="Verdana" w:hAnsi="Verdana"/>
                <w:spacing w:val="-2"/>
                <w:sz w:val="18"/>
                <w:szCs w:val="18"/>
              </w:rPr>
              <w:t>banks</w:t>
            </w:r>
          </w:p>
          <w:p w14:paraId="2A78E699" w14:textId="77777777" w:rsidR="008715BE" w:rsidRPr="00EC75B7" w:rsidRDefault="00000000">
            <w:pPr>
              <w:pStyle w:val="TableParagraph"/>
              <w:spacing w:line="164" w:lineRule="exact"/>
              <w:ind w:left="107"/>
              <w:jc w:val="both"/>
              <w:rPr>
                <w:rFonts w:ascii="Verdana" w:hAnsi="Verdana"/>
                <w:sz w:val="18"/>
                <w:szCs w:val="18"/>
              </w:rPr>
            </w:pPr>
            <w:r w:rsidRPr="00EC75B7">
              <w:rPr>
                <w:rFonts w:ascii="Verdana" w:hAnsi="Verdana"/>
                <w:spacing w:val="-5"/>
                <w:sz w:val="18"/>
                <w:szCs w:val="18"/>
              </w:rPr>
              <w:t>water</w:t>
            </w:r>
            <w:r w:rsidRPr="00EC75B7">
              <w:rPr>
                <w:rFonts w:ascii="Verdana" w:hAnsi="Verdana"/>
                <w:sz w:val="18"/>
                <w:szCs w:val="18"/>
              </w:rPr>
              <w:t>courses</w:t>
            </w:r>
          </w:p>
        </w:tc>
      </w:tr>
      <w:tr w:rsidR="008715BE" w:rsidRPr="00EC75B7" w14:paraId="7839D9D5" w14:textId="77777777">
        <w:trPr>
          <w:trHeight w:val="582"/>
        </w:trPr>
        <w:tc>
          <w:tcPr>
            <w:tcW w:w="1347" w:type="dxa"/>
          </w:tcPr>
          <w:p w14:paraId="7B3B839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63" w:type="dxa"/>
          </w:tcPr>
          <w:p w14:paraId="3533FA2B" w14:textId="77777777" w:rsidR="008715BE" w:rsidRPr="00EC75B7" w:rsidRDefault="00000000">
            <w:pPr>
              <w:pStyle w:val="TableParagraph"/>
              <w:spacing w:line="194" w:lineRule="exact"/>
              <w:ind w:left="110" w:right="95"/>
              <w:jc w:val="both"/>
              <w:rPr>
                <w:rFonts w:ascii="Verdana" w:hAnsi="Verdana"/>
                <w:sz w:val="18"/>
                <w:szCs w:val="18"/>
              </w:rPr>
            </w:pPr>
            <w:r w:rsidRPr="00EC75B7">
              <w:rPr>
                <w:rFonts w:ascii="Verdana" w:hAnsi="Verdana"/>
                <w:sz w:val="18"/>
                <w:szCs w:val="18"/>
              </w:rPr>
              <w:t>Quantitative and qualitative changes in the water body, which are felt locally but do not lead to deterioration of the water body's condition.</w:t>
            </w:r>
          </w:p>
        </w:tc>
        <w:tc>
          <w:tcPr>
            <w:tcW w:w="3906" w:type="dxa"/>
          </w:tcPr>
          <w:p w14:paraId="26111405"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4FC5EEC" w14:textId="77777777">
        <w:trPr>
          <w:trHeight w:val="777"/>
        </w:trPr>
        <w:tc>
          <w:tcPr>
            <w:tcW w:w="1347" w:type="dxa"/>
            <w:shd w:val="clear" w:color="auto" w:fill="F1F1F1"/>
          </w:tcPr>
          <w:p w14:paraId="5E66AE4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463" w:type="dxa"/>
            <w:shd w:val="clear" w:color="auto" w:fill="F1F1F1"/>
          </w:tcPr>
          <w:p w14:paraId="2439856F" w14:textId="77777777" w:rsidR="008715BE" w:rsidRPr="00EC75B7" w:rsidRDefault="00000000">
            <w:pPr>
              <w:pStyle w:val="TableParagraph"/>
              <w:spacing w:line="194" w:lineRule="exact"/>
              <w:ind w:left="110" w:right="96"/>
              <w:jc w:val="both"/>
              <w:rPr>
                <w:rFonts w:ascii="Verdana" w:hAnsi="Verdana"/>
                <w:sz w:val="18"/>
                <w:szCs w:val="18"/>
              </w:rPr>
            </w:pPr>
            <w:r w:rsidRPr="00EC75B7">
              <w:rPr>
                <w:rFonts w:ascii="Verdana" w:hAnsi="Verdana"/>
                <w:sz w:val="18"/>
                <w:szCs w:val="18"/>
              </w:rPr>
              <w:t xml:space="preserve">Long-term changes in quality elements that lead to deterioration of the status of the water body and that contribute directly to the deterioration of the chemical status and/or ecological status/potential of the </w:t>
            </w:r>
            <w:r w:rsidRPr="00EC75B7">
              <w:rPr>
                <w:rFonts w:ascii="Verdana" w:hAnsi="Verdana"/>
                <w:spacing w:val="-4"/>
                <w:sz w:val="18"/>
                <w:szCs w:val="18"/>
              </w:rPr>
              <w:t xml:space="preserve">water </w:t>
            </w:r>
            <w:r w:rsidRPr="00EC75B7">
              <w:rPr>
                <w:rFonts w:ascii="Verdana" w:hAnsi="Verdana"/>
                <w:sz w:val="18"/>
                <w:szCs w:val="18"/>
              </w:rPr>
              <w:t>body</w:t>
            </w:r>
            <w:r w:rsidRPr="00EC75B7">
              <w:rPr>
                <w:rFonts w:ascii="Verdana" w:hAnsi="Verdana"/>
                <w:spacing w:val="-4"/>
                <w:sz w:val="18"/>
                <w:szCs w:val="18"/>
              </w:rPr>
              <w:t>.</w:t>
            </w:r>
          </w:p>
        </w:tc>
        <w:tc>
          <w:tcPr>
            <w:tcW w:w="3906" w:type="dxa"/>
            <w:shd w:val="clear" w:color="auto" w:fill="F1F1F1"/>
          </w:tcPr>
          <w:p w14:paraId="4DC0B569"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656FE3B2" w14:textId="77777777">
        <w:trPr>
          <w:trHeight w:val="389"/>
        </w:trPr>
        <w:tc>
          <w:tcPr>
            <w:tcW w:w="1347" w:type="dxa"/>
          </w:tcPr>
          <w:p w14:paraId="10D2858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Neutral</w:t>
            </w:r>
          </w:p>
        </w:tc>
        <w:tc>
          <w:tcPr>
            <w:tcW w:w="4463" w:type="dxa"/>
          </w:tcPr>
          <w:p w14:paraId="7758BD24" w14:textId="77777777" w:rsidR="008715BE" w:rsidRPr="00EC75B7" w:rsidRDefault="00000000">
            <w:pPr>
              <w:pStyle w:val="TableParagraph"/>
              <w:spacing w:line="196" w:lineRule="exact"/>
              <w:ind w:left="110" w:right="54"/>
              <w:rPr>
                <w:rFonts w:ascii="Verdana" w:hAnsi="Verdana"/>
                <w:sz w:val="18"/>
                <w:szCs w:val="18"/>
              </w:rPr>
            </w:pPr>
            <w:r w:rsidRPr="00EC75B7">
              <w:rPr>
                <w:rFonts w:ascii="Verdana" w:hAnsi="Verdana"/>
                <w:sz w:val="18"/>
                <w:szCs w:val="18"/>
              </w:rPr>
              <w:t>No changes to water bodies, no sources of pollution identified</w:t>
            </w:r>
          </w:p>
        </w:tc>
        <w:tc>
          <w:tcPr>
            <w:tcW w:w="3906" w:type="dxa"/>
          </w:tcPr>
          <w:p w14:paraId="225D0404"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334AB02" w14:textId="77777777">
        <w:trPr>
          <w:trHeight w:val="193"/>
        </w:trPr>
        <w:tc>
          <w:tcPr>
            <w:tcW w:w="9716" w:type="dxa"/>
            <w:gridSpan w:val="3"/>
            <w:shd w:val="clear" w:color="auto" w:fill="ADAAAA"/>
          </w:tcPr>
          <w:p w14:paraId="107F0021" w14:textId="77777777" w:rsidR="008715BE" w:rsidRPr="00EC75B7" w:rsidRDefault="00000000">
            <w:pPr>
              <w:pStyle w:val="TableParagraph"/>
              <w:spacing w:before="5" w:line="168"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59C08728" w14:textId="77777777">
        <w:trPr>
          <w:trHeight w:val="388"/>
        </w:trPr>
        <w:tc>
          <w:tcPr>
            <w:tcW w:w="1347" w:type="dxa"/>
          </w:tcPr>
          <w:p w14:paraId="46914E55"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463" w:type="dxa"/>
          </w:tcPr>
          <w:p w14:paraId="4F76EE37"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The effects of the impact fall within the natural variability limits of the receptor.</w:t>
            </w:r>
          </w:p>
        </w:tc>
        <w:tc>
          <w:tcPr>
            <w:tcW w:w="3906" w:type="dxa"/>
          </w:tcPr>
          <w:p w14:paraId="209D9DEE"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47FCA94E" w14:textId="77777777">
        <w:trPr>
          <w:trHeight w:val="582"/>
        </w:trPr>
        <w:tc>
          <w:tcPr>
            <w:tcW w:w="1347" w:type="dxa"/>
            <w:shd w:val="clear" w:color="auto" w:fill="F1F1F1"/>
          </w:tcPr>
          <w:p w14:paraId="4A0DDF4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63" w:type="dxa"/>
            <w:shd w:val="clear" w:color="auto" w:fill="F1F1F1"/>
          </w:tcPr>
          <w:p w14:paraId="113A6C4D" w14:textId="77777777" w:rsidR="008715BE" w:rsidRPr="00EC75B7" w:rsidRDefault="00000000">
            <w:pPr>
              <w:pStyle w:val="TableParagraph"/>
              <w:spacing w:line="194" w:lineRule="exact"/>
              <w:ind w:left="110" w:right="95"/>
              <w:jc w:val="both"/>
              <w:rPr>
                <w:rFonts w:ascii="Verdana" w:hAnsi="Verdana"/>
                <w:sz w:val="18"/>
                <w:szCs w:val="18"/>
              </w:rPr>
            </w:pPr>
            <w:r w:rsidRPr="00EC75B7">
              <w:rPr>
                <w:rFonts w:ascii="Verdana" w:hAnsi="Verdana"/>
                <w:sz w:val="18"/>
                <w:szCs w:val="18"/>
              </w:rPr>
              <w:t>Quantitative and qualitative changes in the water body that are locally noticeable but cannot fully ensure the improvement of the water body's condition.</w:t>
            </w:r>
          </w:p>
        </w:tc>
        <w:tc>
          <w:tcPr>
            <w:tcW w:w="3906" w:type="dxa"/>
            <w:shd w:val="clear" w:color="auto" w:fill="F1F1F1"/>
          </w:tcPr>
          <w:p w14:paraId="0959757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C5FFE6D" w14:textId="77777777">
        <w:trPr>
          <w:trHeight w:val="777"/>
        </w:trPr>
        <w:tc>
          <w:tcPr>
            <w:tcW w:w="1347" w:type="dxa"/>
          </w:tcPr>
          <w:p w14:paraId="42F7E2F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463" w:type="dxa"/>
          </w:tcPr>
          <w:p w14:paraId="3ACAD81A" w14:textId="77777777" w:rsidR="008715BE" w:rsidRPr="00EC75B7" w:rsidRDefault="00000000">
            <w:pPr>
              <w:pStyle w:val="TableParagraph"/>
              <w:spacing w:line="194" w:lineRule="exact"/>
              <w:ind w:left="110" w:right="96"/>
              <w:jc w:val="both"/>
              <w:rPr>
                <w:rFonts w:ascii="Verdana" w:hAnsi="Verdana"/>
                <w:sz w:val="18"/>
                <w:szCs w:val="18"/>
              </w:rPr>
            </w:pPr>
            <w:r w:rsidRPr="00EC75B7">
              <w:rPr>
                <w:rFonts w:ascii="Verdana" w:hAnsi="Verdana"/>
                <w:sz w:val="18"/>
                <w:szCs w:val="18"/>
              </w:rPr>
              <w:t>Long-term changes in quality elements that lead to an improvement in the qualitative and quantitative status of the water body and enable the environmental objectives set for the water body to be achieved</w:t>
            </w:r>
          </w:p>
        </w:tc>
        <w:tc>
          <w:tcPr>
            <w:tcW w:w="3906" w:type="dxa"/>
          </w:tcPr>
          <w:p w14:paraId="12D12408"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502D3EA" w14:textId="77777777">
        <w:trPr>
          <w:trHeight w:val="193"/>
        </w:trPr>
        <w:tc>
          <w:tcPr>
            <w:tcW w:w="9716" w:type="dxa"/>
            <w:gridSpan w:val="3"/>
            <w:shd w:val="clear" w:color="auto" w:fill="EDF5E9"/>
          </w:tcPr>
          <w:p w14:paraId="09B08C4B"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color w:val="00AFEF"/>
                <w:spacing w:val="-2"/>
                <w:sz w:val="18"/>
                <w:szCs w:val="18"/>
              </w:rPr>
              <w:t>Ground</w:t>
            </w:r>
            <w:r w:rsidRPr="00EC75B7">
              <w:rPr>
                <w:rFonts w:ascii="Verdana" w:hAnsi="Verdana"/>
                <w:b/>
                <w:color w:val="00AFEF"/>
                <w:sz w:val="18"/>
                <w:szCs w:val="18"/>
              </w:rPr>
              <w:t>water</w:t>
            </w:r>
          </w:p>
        </w:tc>
      </w:tr>
      <w:tr w:rsidR="008715BE" w:rsidRPr="00EC75B7" w14:paraId="5B9A94A1" w14:textId="77777777">
        <w:trPr>
          <w:trHeight w:val="196"/>
        </w:trPr>
        <w:tc>
          <w:tcPr>
            <w:tcW w:w="9716" w:type="dxa"/>
            <w:gridSpan w:val="3"/>
            <w:shd w:val="clear" w:color="auto" w:fill="ADAAAA"/>
          </w:tcPr>
          <w:p w14:paraId="68889A76"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2F54654B" w14:textId="77777777">
        <w:trPr>
          <w:trHeight w:val="971"/>
        </w:trPr>
        <w:tc>
          <w:tcPr>
            <w:tcW w:w="1347" w:type="dxa"/>
          </w:tcPr>
          <w:p w14:paraId="5444D6AE"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463" w:type="dxa"/>
          </w:tcPr>
          <w:p w14:paraId="6FECA427"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The effects of the impact fall within the natural variability limits of the receptor.</w:t>
            </w:r>
          </w:p>
        </w:tc>
        <w:tc>
          <w:tcPr>
            <w:tcW w:w="3906" w:type="dxa"/>
          </w:tcPr>
          <w:p w14:paraId="64626F4A" w14:textId="77777777" w:rsidR="008715BE" w:rsidRPr="00EC75B7" w:rsidRDefault="00000000">
            <w:pPr>
              <w:pStyle w:val="TableParagraph"/>
              <w:spacing w:line="194" w:lineRule="exact"/>
              <w:ind w:left="107" w:right="92"/>
              <w:jc w:val="both"/>
              <w:rPr>
                <w:rFonts w:ascii="Verdana" w:hAnsi="Verdana"/>
                <w:sz w:val="18"/>
                <w:szCs w:val="18"/>
              </w:rPr>
            </w:pPr>
            <w:r w:rsidRPr="00EC75B7">
              <w:rPr>
                <w:rFonts w:ascii="Verdana" w:hAnsi="Verdana"/>
                <w:sz w:val="18"/>
                <w:szCs w:val="18"/>
              </w:rPr>
              <w:t>The foundations for wind turbines and transformer stations will not exceed a depth of 5.00 m, and the possibility of direct interference with groundwater is low.</w:t>
            </w:r>
          </w:p>
        </w:tc>
      </w:tr>
      <w:tr w:rsidR="008715BE" w:rsidRPr="00EC75B7" w14:paraId="7077ED0A" w14:textId="77777777">
        <w:trPr>
          <w:trHeight w:val="583"/>
        </w:trPr>
        <w:tc>
          <w:tcPr>
            <w:tcW w:w="1347" w:type="dxa"/>
            <w:shd w:val="clear" w:color="auto" w:fill="F1F1F1"/>
          </w:tcPr>
          <w:p w14:paraId="53BEA7F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63" w:type="dxa"/>
            <w:shd w:val="clear" w:color="auto" w:fill="F1F1F1"/>
          </w:tcPr>
          <w:p w14:paraId="543D9D25" w14:textId="77777777" w:rsidR="008715BE" w:rsidRPr="00EC75B7" w:rsidRDefault="00000000">
            <w:pPr>
              <w:pStyle w:val="TableParagraph"/>
              <w:spacing w:line="194" w:lineRule="exact"/>
              <w:ind w:left="110" w:right="95"/>
              <w:jc w:val="both"/>
              <w:rPr>
                <w:rFonts w:ascii="Verdana" w:hAnsi="Verdana"/>
                <w:sz w:val="18"/>
                <w:szCs w:val="18"/>
              </w:rPr>
            </w:pPr>
            <w:r w:rsidRPr="00EC75B7">
              <w:rPr>
                <w:rFonts w:ascii="Verdana" w:hAnsi="Verdana"/>
                <w:sz w:val="18"/>
                <w:szCs w:val="18"/>
              </w:rPr>
              <w:t>Quantitative and qualitative changes in the body of water that are felt locally but do not lead to deterioration of the body of water</w:t>
            </w:r>
          </w:p>
        </w:tc>
        <w:tc>
          <w:tcPr>
            <w:tcW w:w="3906" w:type="dxa"/>
            <w:shd w:val="clear" w:color="auto" w:fill="F1F1F1"/>
          </w:tcPr>
          <w:p w14:paraId="5AC2710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3C9D6CFB" w14:textId="77777777">
        <w:trPr>
          <w:trHeight w:val="777"/>
        </w:trPr>
        <w:tc>
          <w:tcPr>
            <w:tcW w:w="1347" w:type="dxa"/>
          </w:tcPr>
          <w:p w14:paraId="43CD995C"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Large</w:t>
            </w:r>
          </w:p>
        </w:tc>
        <w:tc>
          <w:tcPr>
            <w:tcW w:w="4463" w:type="dxa"/>
          </w:tcPr>
          <w:p w14:paraId="41813AA9" w14:textId="77777777" w:rsidR="008715BE" w:rsidRPr="00EC75B7" w:rsidRDefault="00000000">
            <w:pPr>
              <w:pStyle w:val="TableParagraph"/>
              <w:spacing w:line="194" w:lineRule="exact"/>
              <w:ind w:left="110" w:right="97"/>
              <w:jc w:val="both"/>
              <w:rPr>
                <w:rFonts w:ascii="Verdana" w:hAnsi="Verdana"/>
                <w:sz w:val="18"/>
                <w:szCs w:val="18"/>
              </w:rPr>
            </w:pPr>
            <w:r w:rsidRPr="00EC75B7">
              <w:rPr>
                <w:rFonts w:ascii="Verdana" w:hAnsi="Verdana"/>
                <w:sz w:val="18"/>
                <w:szCs w:val="18"/>
              </w:rPr>
              <w:t>Long-term changes in quality elements that lead to deterioration of the status of the body of water and that contribute directly to the deterioration of the chemical status and/or quantitative status.</w:t>
            </w:r>
          </w:p>
        </w:tc>
        <w:tc>
          <w:tcPr>
            <w:tcW w:w="3906" w:type="dxa"/>
          </w:tcPr>
          <w:p w14:paraId="15B42FE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1091DB9B" w14:textId="77777777">
        <w:trPr>
          <w:trHeight w:val="390"/>
        </w:trPr>
        <w:tc>
          <w:tcPr>
            <w:tcW w:w="1347" w:type="dxa"/>
            <w:shd w:val="clear" w:color="auto" w:fill="E7E6E6"/>
          </w:tcPr>
          <w:p w14:paraId="7E6AB365" w14:textId="77777777" w:rsidR="008715BE" w:rsidRPr="00EC75B7" w:rsidRDefault="00000000">
            <w:pPr>
              <w:pStyle w:val="TableParagraph"/>
              <w:spacing w:before="10"/>
              <w:ind w:left="108"/>
              <w:rPr>
                <w:rFonts w:ascii="Verdana" w:hAnsi="Verdana"/>
                <w:b/>
                <w:sz w:val="18"/>
                <w:szCs w:val="18"/>
              </w:rPr>
            </w:pPr>
            <w:r w:rsidRPr="00EC75B7">
              <w:rPr>
                <w:rFonts w:ascii="Verdana" w:hAnsi="Verdana"/>
                <w:b/>
                <w:spacing w:val="-2"/>
                <w:sz w:val="18"/>
                <w:szCs w:val="18"/>
              </w:rPr>
              <w:t>Neutral</w:t>
            </w:r>
          </w:p>
        </w:tc>
        <w:tc>
          <w:tcPr>
            <w:tcW w:w="4463" w:type="dxa"/>
            <w:shd w:val="clear" w:color="auto" w:fill="E7E6E6"/>
          </w:tcPr>
          <w:p w14:paraId="5E711E34" w14:textId="77777777" w:rsidR="008715BE" w:rsidRPr="00EC75B7" w:rsidRDefault="00000000">
            <w:pPr>
              <w:pStyle w:val="TableParagraph"/>
              <w:spacing w:line="194" w:lineRule="exact"/>
              <w:ind w:left="110" w:right="54"/>
              <w:rPr>
                <w:rFonts w:ascii="Verdana" w:hAnsi="Verdana"/>
                <w:sz w:val="18"/>
                <w:szCs w:val="18"/>
              </w:rPr>
            </w:pPr>
            <w:r w:rsidRPr="00EC75B7">
              <w:rPr>
                <w:rFonts w:ascii="Verdana" w:hAnsi="Verdana"/>
                <w:sz w:val="18"/>
                <w:szCs w:val="18"/>
              </w:rPr>
              <w:t>No changes to water bodies, no sources of pollution identified</w:t>
            </w:r>
          </w:p>
        </w:tc>
        <w:tc>
          <w:tcPr>
            <w:tcW w:w="3906" w:type="dxa"/>
            <w:shd w:val="clear" w:color="auto" w:fill="E7E6E6"/>
          </w:tcPr>
          <w:p w14:paraId="34A09C1D" w14:textId="77777777" w:rsidR="008715BE" w:rsidRPr="00EC75B7" w:rsidRDefault="00000000">
            <w:pPr>
              <w:pStyle w:val="TableParagraph"/>
              <w:spacing w:before="10"/>
              <w:ind w:left="107"/>
              <w:rPr>
                <w:rFonts w:ascii="Verdana" w:hAnsi="Verdana"/>
                <w:sz w:val="18"/>
                <w:szCs w:val="18"/>
              </w:rPr>
            </w:pPr>
            <w:r w:rsidRPr="00EC75B7">
              <w:rPr>
                <w:rFonts w:ascii="Verdana" w:hAnsi="Verdana"/>
                <w:sz w:val="18"/>
                <w:szCs w:val="18"/>
              </w:rPr>
              <w:t>-</w:t>
            </w:r>
          </w:p>
        </w:tc>
      </w:tr>
      <w:tr w:rsidR="008715BE" w:rsidRPr="00EC75B7" w14:paraId="62FBB84B" w14:textId="77777777">
        <w:trPr>
          <w:trHeight w:val="194"/>
        </w:trPr>
        <w:tc>
          <w:tcPr>
            <w:tcW w:w="9716" w:type="dxa"/>
            <w:gridSpan w:val="3"/>
            <w:shd w:val="clear" w:color="auto" w:fill="ADAAAA"/>
          </w:tcPr>
          <w:p w14:paraId="46A27F55"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0CA5B9A7" w14:textId="77777777">
        <w:trPr>
          <w:trHeight w:val="388"/>
        </w:trPr>
        <w:tc>
          <w:tcPr>
            <w:tcW w:w="1347" w:type="dxa"/>
            <w:shd w:val="clear" w:color="auto" w:fill="F1F1F1"/>
          </w:tcPr>
          <w:p w14:paraId="6DD9FBF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463" w:type="dxa"/>
            <w:shd w:val="clear" w:color="auto" w:fill="F1F1F1"/>
          </w:tcPr>
          <w:p w14:paraId="5EA45A6B"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The effects of the impact fall within the natural variability limits of the receptor.</w:t>
            </w:r>
          </w:p>
        </w:tc>
        <w:tc>
          <w:tcPr>
            <w:tcW w:w="3906" w:type="dxa"/>
            <w:shd w:val="clear" w:color="auto" w:fill="F1F1F1"/>
          </w:tcPr>
          <w:p w14:paraId="622DA87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DED48CC" w14:textId="77777777">
        <w:trPr>
          <w:trHeight w:val="582"/>
        </w:trPr>
        <w:tc>
          <w:tcPr>
            <w:tcW w:w="1347" w:type="dxa"/>
          </w:tcPr>
          <w:p w14:paraId="4CCFE0E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63" w:type="dxa"/>
          </w:tcPr>
          <w:p w14:paraId="5DF408AF" w14:textId="77777777" w:rsidR="008715BE" w:rsidRPr="00EC75B7" w:rsidRDefault="00000000">
            <w:pPr>
              <w:pStyle w:val="TableParagraph"/>
              <w:spacing w:line="194" w:lineRule="exact"/>
              <w:ind w:left="110" w:right="95"/>
              <w:jc w:val="both"/>
              <w:rPr>
                <w:rFonts w:ascii="Verdana" w:hAnsi="Verdana"/>
                <w:sz w:val="18"/>
                <w:szCs w:val="18"/>
              </w:rPr>
            </w:pPr>
            <w:r w:rsidRPr="00EC75B7">
              <w:rPr>
                <w:rFonts w:ascii="Verdana" w:hAnsi="Verdana"/>
                <w:sz w:val="18"/>
                <w:szCs w:val="18"/>
              </w:rPr>
              <w:t>Quantitative and qualitative changes in the water body, which are felt locally but cannot fully ensure the improvement of the water body's condition.</w:t>
            </w:r>
          </w:p>
        </w:tc>
        <w:tc>
          <w:tcPr>
            <w:tcW w:w="3906" w:type="dxa"/>
          </w:tcPr>
          <w:p w14:paraId="75FE0AB2"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2419676" w14:textId="77777777">
        <w:trPr>
          <w:trHeight w:val="585"/>
        </w:trPr>
        <w:tc>
          <w:tcPr>
            <w:tcW w:w="1347" w:type="dxa"/>
            <w:shd w:val="clear" w:color="auto" w:fill="F1F1F1"/>
          </w:tcPr>
          <w:p w14:paraId="030E96F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lastRenderedPageBreak/>
              <w:t>High</w:t>
            </w:r>
          </w:p>
        </w:tc>
        <w:tc>
          <w:tcPr>
            <w:tcW w:w="4463" w:type="dxa"/>
            <w:shd w:val="clear" w:color="auto" w:fill="F1F1F1"/>
          </w:tcPr>
          <w:p w14:paraId="61C19DC6" w14:textId="77777777" w:rsidR="008715BE" w:rsidRPr="00EC75B7" w:rsidRDefault="00000000">
            <w:pPr>
              <w:pStyle w:val="TableParagraph"/>
              <w:spacing w:line="194" w:lineRule="exact"/>
              <w:ind w:left="110" w:right="97"/>
              <w:jc w:val="both"/>
              <w:rPr>
                <w:rFonts w:ascii="Verdana" w:hAnsi="Verdana"/>
                <w:sz w:val="18"/>
                <w:szCs w:val="18"/>
              </w:rPr>
            </w:pPr>
            <w:r w:rsidRPr="00EC75B7">
              <w:rPr>
                <w:rFonts w:ascii="Verdana" w:hAnsi="Verdana"/>
                <w:sz w:val="18"/>
                <w:szCs w:val="18"/>
              </w:rPr>
              <w:t>Long-term changes in quality elements leading to an improvement in the qualitative and quantitative status of the water body</w:t>
            </w:r>
          </w:p>
        </w:tc>
        <w:tc>
          <w:tcPr>
            <w:tcW w:w="3906" w:type="dxa"/>
            <w:shd w:val="clear" w:color="auto" w:fill="F1F1F1"/>
          </w:tcPr>
          <w:p w14:paraId="5BCEA94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bl>
    <w:p w14:paraId="4935FC24" w14:textId="77777777" w:rsidR="008715BE" w:rsidRPr="00EC75B7" w:rsidRDefault="008715BE">
      <w:pPr>
        <w:pStyle w:val="BodyText"/>
        <w:spacing w:before="26"/>
        <w:rPr>
          <w:rFonts w:ascii="Verdana" w:hAnsi="Verdana"/>
          <w:b/>
        </w:rPr>
      </w:pPr>
    </w:p>
    <w:p w14:paraId="3716D1A9"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94" w:name="_bookmark95"/>
      <w:bookmarkEnd w:id="94"/>
      <w:r w:rsidRPr="00EC75B7">
        <w:rPr>
          <w:rFonts w:ascii="Verdana" w:hAnsi="Verdana"/>
          <w:color w:val="00AFEF"/>
          <w:spacing w:val="-2"/>
          <w:sz w:val="18"/>
          <w:szCs w:val="18"/>
        </w:rPr>
        <w:t xml:space="preserve">Impact </w:t>
      </w:r>
      <w:r w:rsidRPr="00EC75B7">
        <w:rPr>
          <w:rFonts w:ascii="Verdana" w:hAnsi="Verdana"/>
          <w:color w:val="00AFEF"/>
          <w:sz w:val="18"/>
          <w:szCs w:val="18"/>
        </w:rPr>
        <w:t>forecasting</w:t>
      </w:r>
    </w:p>
    <w:p w14:paraId="01761F68" w14:textId="77777777" w:rsidR="008715BE" w:rsidRPr="00EC75B7" w:rsidRDefault="008715BE">
      <w:pPr>
        <w:pStyle w:val="BodyText"/>
        <w:spacing w:before="114"/>
        <w:rPr>
          <w:rFonts w:ascii="Verdana" w:hAnsi="Verdana"/>
          <w:b/>
        </w:rPr>
      </w:pPr>
    </w:p>
    <w:p w14:paraId="2B9F988C" w14:textId="77777777" w:rsidR="008715BE" w:rsidRPr="00EC75B7" w:rsidRDefault="00000000">
      <w:pPr>
        <w:pStyle w:val="BodyText"/>
        <w:ind w:left="57"/>
        <w:jc w:val="both"/>
        <w:rPr>
          <w:rFonts w:ascii="Verdana" w:hAnsi="Verdana"/>
        </w:rPr>
      </w:pPr>
      <w:r w:rsidRPr="00EC75B7">
        <w:rPr>
          <w:rFonts w:ascii="Verdana" w:hAnsi="Verdana"/>
        </w:rPr>
        <w:t xml:space="preserve">The impact assessment took into account the aspects presented in the </w:t>
      </w:r>
      <w:r w:rsidRPr="00EC75B7">
        <w:rPr>
          <w:rFonts w:ascii="Verdana" w:hAnsi="Verdana"/>
          <w:spacing w:val="-2"/>
        </w:rPr>
        <w:t xml:space="preserve">following </w:t>
      </w:r>
      <w:r w:rsidRPr="00EC75B7">
        <w:rPr>
          <w:rFonts w:ascii="Verdana" w:hAnsi="Verdana"/>
        </w:rPr>
        <w:t>diagram</w:t>
      </w:r>
      <w:r w:rsidRPr="00EC75B7">
        <w:rPr>
          <w:rFonts w:ascii="Verdana" w:hAnsi="Verdana"/>
          <w:spacing w:val="-2"/>
        </w:rPr>
        <w:t>.</w:t>
      </w:r>
    </w:p>
    <w:p w14:paraId="24ABFC71" w14:textId="77777777" w:rsidR="008715BE" w:rsidRPr="00EC75B7" w:rsidRDefault="00000000">
      <w:pPr>
        <w:pStyle w:val="BodyText"/>
        <w:spacing w:before="107" w:line="360" w:lineRule="auto"/>
        <w:ind w:left="57" w:right="143"/>
        <w:jc w:val="both"/>
        <w:rPr>
          <w:rFonts w:ascii="Verdana" w:hAnsi="Verdana"/>
        </w:rPr>
      </w:pPr>
      <w:r w:rsidRPr="00EC75B7">
        <w:rPr>
          <w:rFonts w:ascii="Verdana" w:hAnsi="Verdana"/>
        </w:rPr>
        <w:t>Given the specific nature of the project and the type of work carried out under it, it is estimated that during the decommissioning phase, the impact on water will be of the same nature, magnitude, extent, and significance as that estimated during the construction phase.</w:t>
      </w:r>
    </w:p>
    <w:p w14:paraId="75004843" w14:textId="77777777" w:rsidR="008715BE" w:rsidRPr="00EC75B7" w:rsidRDefault="00000000">
      <w:pPr>
        <w:pStyle w:val="BodyText"/>
        <w:spacing w:line="360" w:lineRule="auto"/>
        <w:ind w:left="57" w:right="149"/>
        <w:jc w:val="both"/>
        <w:rPr>
          <w:rFonts w:ascii="Verdana" w:hAnsi="Verdana"/>
        </w:rPr>
      </w:pPr>
      <w:r w:rsidRPr="00EC75B7">
        <w:rPr>
          <w:rFonts w:ascii="Verdana" w:hAnsi="Verdana"/>
        </w:rPr>
        <w:t>The results of the impact assessment on surface and groundwater for the execution/decommissioning and operation stages are presented below.</w:t>
      </w:r>
    </w:p>
    <w:p w14:paraId="26E1264B" w14:textId="77777777" w:rsidR="008715BE" w:rsidRPr="00EC75B7" w:rsidRDefault="008715BE">
      <w:pPr>
        <w:pStyle w:val="BodyText"/>
        <w:spacing w:line="360" w:lineRule="auto"/>
        <w:jc w:val="both"/>
        <w:rPr>
          <w:rFonts w:ascii="Verdana" w:hAnsi="Verdana"/>
        </w:rPr>
        <w:sectPr w:rsidR="008715BE" w:rsidRPr="00EC75B7">
          <w:type w:val="continuous"/>
          <w:pgSz w:w="11910" w:h="16840"/>
          <w:pgMar w:top="1400" w:right="850" w:bottom="1020" w:left="1133" w:header="766" w:footer="824" w:gutter="0"/>
          <w:cols w:space="708"/>
        </w:sectPr>
      </w:pPr>
    </w:p>
    <w:p w14:paraId="2686D55A" w14:textId="77777777" w:rsidR="008715BE" w:rsidRPr="00EC75B7" w:rsidRDefault="008715BE">
      <w:pPr>
        <w:pStyle w:val="BodyText"/>
        <w:spacing w:before="2"/>
        <w:rPr>
          <w:rFonts w:ascii="Verdana" w:hAnsi="Verdana"/>
        </w:rPr>
      </w:pPr>
    </w:p>
    <w:p w14:paraId="1DB3A9D3" w14:textId="77777777" w:rsidR="008715BE" w:rsidRPr="00EC75B7" w:rsidRDefault="00000000">
      <w:pPr>
        <w:ind w:left="86"/>
        <w:rPr>
          <w:rFonts w:ascii="Verdana" w:hAnsi="Verdana"/>
          <w:sz w:val="18"/>
          <w:szCs w:val="18"/>
        </w:rPr>
      </w:pPr>
      <w:r w:rsidRPr="00EC75B7">
        <w:rPr>
          <w:rFonts w:ascii="Verdana" w:hAnsi="Verdana"/>
          <w:noProof/>
          <w:sz w:val="18"/>
          <w:szCs w:val="18"/>
        </w:rPr>
        <mc:AlternateContent>
          <mc:Choice Requires="wpg">
            <w:drawing>
              <wp:inline distT="0" distB="0" distL="0" distR="0" wp14:anchorId="7C1A656C" wp14:editId="1BB1CBC2">
                <wp:extent cx="5904230" cy="1152525"/>
                <wp:effectExtent l="0" t="0" r="0" b="0"/>
                <wp:docPr id="324" name="Group 324"/>
                <wp:cNvGraphicFramePr/>
                <a:graphic xmlns:a="http://schemas.openxmlformats.org/drawingml/2006/main">
                  <a:graphicData uri="http://schemas.microsoft.com/office/word/2010/wordprocessingGroup">
                    <wpg:wgp>
                      <wpg:cNvGrpSpPr/>
                      <wpg:grpSpPr>
                        <a:xfrm>
                          <a:off x="0" y="0"/>
                          <a:ext cx="5904230" cy="1152525"/>
                          <a:chOff x="0" y="0"/>
                          <a:chExt cx="5904230" cy="1152525"/>
                        </a:xfrm>
                      </wpg:grpSpPr>
                      <wps:wsp>
                        <wps:cNvPr id="325" name="Graphic 325"/>
                        <wps:cNvSpPr/>
                        <wps:spPr>
                          <a:xfrm>
                            <a:off x="0" y="0"/>
                            <a:ext cx="5904230" cy="1152525"/>
                          </a:xfrm>
                          <a:custGeom>
                            <a:avLst/>
                            <a:gdLst/>
                            <a:ahLst/>
                            <a:cxnLst/>
                            <a:rect l="l" t="t" r="r" b="b"/>
                            <a:pathLst>
                              <a:path w="5904230" h="1152525">
                                <a:moveTo>
                                  <a:pt x="5789041" y="0"/>
                                </a:moveTo>
                                <a:lnTo>
                                  <a:pt x="115214" y="0"/>
                                </a:lnTo>
                                <a:lnTo>
                                  <a:pt x="70369" y="9050"/>
                                </a:lnTo>
                                <a:lnTo>
                                  <a:pt x="33747" y="33734"/>
                                </a:lnTo>
                                <a:lnTo>
                                  <a:pt x="9054" y="70348"/>
                                </a:lnTo>
                                <a:lnTo>
                                  <a:pt x="0" y="115188"/>
                                </a:lnTo>
                                <a:lnTo>
                                  <a:pt x="0" y="1036954"/>
                                </a:lnTo>
                                <a:lnTo>
                                  <a:pt x="9054" y="1081795"/>
                                </a:lnTo>
                                <a:lnTo>
                                  <a:pt x="33747" y="1118409"/>
                                </a:lnTo>
                                <a:lnTo>
                                  <a:pt x="70369" y="1143093"/>
                                </a:lnTo>
                                <a:lnTo>
                                  <a:pt x="115214" y="1152144"/>
                                </a:lnTo>
                                <a:lnTo>
                                  <a:pt x="5789041" y="1152144"/>
                                </a:lnTo>
                                <a:lnTo>
                                  <a:pt x="5833881" y="1143093"/>
                                </a:lnTo>
                                <a:lnTo>
                                  <a:pt x="5870495" y="1118409"/>
                                </a:lnTo>
                                <a:lnTo>
                                  <a:pt x="5895179" y="1081795"/>
                                </a:lnTo>
                                <a:lnTo>
                                  <a:pt x="5904230" y="1036954"/>
                                </a:lnTo>
                                <a:lnTo>
                                  <a:pt x="5904230" y="115188"/>
                                </a:lnTo>
                                <a:lnTo>
                                  <a:pt x="5895179" y="70348"/>
                                </a:lnTo>
                                <a:lnTo>
                                  <a:pt x="5870495" y="33734"/>
                                </a:lnTo>
                                <a:lnTo>
                                  <a:pt x="5833881" y="9050"/>
                                </a:lnTo>
                                <a:lnTo>
                                  <a:pt x="5789041" y="0"/>
                                </a:lnTo>
                                <a:close/>
                              </a:path>
                            </a:pathLst>
                          </a:custGeom>
                          <a:solidFill>
                            <a:srgbClr val="00AFEF"/>
                          </a:solidFill>
                        </wps:spPr>
                        <wps:bodyPr wrap="square" lIns="0" tIns="0" rIns="0" bIns="0" rtlCol="0">
                          <a:prstTxWarp prst="textNoShape">
                            <a:avLst/>
                          </a:prstTxWarp>
                        </wps:bodyPr>
                      </wps:wsp>
                      <wps:wsp>
                        <wps:cNvPr id="326" name="Graphic 326"/>
                        <wps:cNvSpPr/>
                        <wps:spPr>
                          <a:xfrm>
                            <a:off x="194538" y="226224"/>
                            <a:ext cx="948690" cy="745490"/>
                          </a:xfrm>
                          <a:custGeom>
                            <a:avLst/>
                            <a:gdLst/>
                            <a:ahLst/>
                            <a:cxnLst/>
                            <a:rect l="l" t="t" r="r" b="b"/>
                            <a:pathLst>
                              <a:path w="948690" h="745490">
                                <a:moveTo>
                                  <a:pt x="303923" y="351053"/>
                                </a:moveTo>
                                <a:lnTo>
                                  <a:pt x="5448" y="351053"/>
                                </a:lnTo>
                                <a:lnTo>
                                  <a:pt x="0" y="356463"/>
                                </a:lnTo>
                                <a:lnTo>
                                  <a:pt x="0" y="369836"/>
                                </a:lnTo>
                                <a:lnTo>
                                  <a:pt x="5448" y="375259"/>
                                </a:lnTo>
                                <a:lnTo>
                                  <a:pt x="107353" y="375259"/>
                                </a:lnTo>
                                <a:lnTo>
                                  <a:pt x="49288" y="745337"/>
                                </a:lnTo>
                                <a:lnTo>
                                  <a:pt x="73888" y="745337"/>
                                </a:lnTo>
                                <a:lnTo>
                                  <a:pt x="131953" y="375259"/>
                                </a:lnTo>
                                <a:lnTo>
                                  <a:pt x="298716" y="375259"/>
                                </a:lnTo>
                                <a:lnTo>
                                  <a:pt x="303923" y="351053"/>
                                </a:lnTo>
                                <a:close/>
                              </a:path>
                              <a:path w="948690" h="745490">
                                <a:moveTo>
                                  <a:pt x="437603" y="5410"/>
                                </a:moveTo>
                                <a:lnTo>
                                  <a:pt x="432155" y="0"/>
                                </a:lnTo>
                                <a:lnTo>
                                  <a:pt x="54063" y="0"/>
                                </a:lnTo>
                                <a:lnTo>
                                  <a:pt x="48628" y="5410"/>
                                </a:lnTo>
                                <a:lnTo>
                                  <a:pt x="48615" y="248780"/>
                                </a:lnTo>
                                <a:lnTo>
                                  <a:pt x="54051" y="254203"/>
                                </a:lnTo>
                                <a:lnTo>
                                  <a:pt x="60769" y="254203"/>
                                </a:lnTo>
                                <a:lnTo>
                                  <a:pt x="230949" y="254203"/>
                                </a:lnTo>
                                <a:lnTo>
                                  <a:pt x="230949" y="302628"/>
                                </a:lnTo>
                                <a:lnTo>
                                  <a:pt x="170154" y="302628"/>
                                </a:lnTo>
                                <a:lnTo>
                                  <a:pt x="170154" y="326834"/>
                                </a:lnTo>
                                <a:lnTo>
                                  <a:pt x="309130" y="326834"/>
                                </a:lnTo>
                                <a:lnTo>
                                  <a:pt x="314337" y="302628"/>
                                </a:lnTo>
                                <a:lnTo>
                                  <a:pt x="255257" y="302628"/>
                                </a:lnTo>
                                <a:lnTo>
                                  <a:pt x="255257" y="254203"/>
                                </a:lnTo>
                                <a:lnTo>
                                  <a:pt x="332879" y="254203"/>
                                </a:lnTo>
                                <a:lnTo>
                                  <a:pt x="343090" y="241274"/>
                                </a:lnTo>
                                <a:lnTo>
                                  <a:pt x="355130" y="229997"/>
                                </a:lnTo>
                                <a:lnTo>
                                  <a:pt x="72923" y="229997"/>
                                </a:lnTo>
                                <a:lnTo>
                                  <a:pt x="72923" y="24206"/>
                                </a:lnTo>
                                <a:lnTo>
                                  <a:pt x="413270" y="24206"/>
                                </a:lnTo>
                                <a:lnTo>
                                  <a:pt x="413270" y="206311"/>
                                </a:lnTo>
                                <a:lnTo>
                                  <a:pt x="437591" y="205790"/>
                                </a:lnTo>
                                <a:lnTo>
                                  <a:pt x="437603" y="5410"/>
                                </a:lnTo>
                                <a:close/>
                              </a:path>
                              <a:path w="948690" h="745490">
                                <a:moveTo>
                                  <a:pt x="651256" y="507047"/>
                                </a:moveTo>
                                <a:lnTo>
                                  <a:pt x="651167" y="501548"/>
                                </a:lnTo>
                                <a:lnTo>
                                  <a:pt x="650544" y="496049"/>
                                </a:lnTo>
                                <a:lnTo>
                                  <a:pt x="625881" y="381469"/>
                                </a:lnTo>
                                <a:lnTo>
                                  <a:pt x="625881" y="519772"/>
                                </a:lnTo>
                                <a:lnTo>
                                  <a:pt x="617194" y="541299"/>
                                </a:lnTo>
                                <a:lnTo>
                                  <a:pt x="601040" y="558012"/>
                                </a:lnTo>
                                <a:lnTo>
                                  <a:pt x="578904" y="567601"/>
                                </a:lnTo>
                                <a:lnTo>
                                  <a:pt x="574725" y="568490"/>
                                </a:lnTo>
                                <a:lnTo>
                                  <a:pt x="570458" y="568934"/>
                                </a:lnTo>
                                <a:lnTo>
                                  <a:pt x="381952" y="568934"/>
                                </a:lnTo>
                                <a:lnTo>
                                  <a:pt x="358292" y="564184"/>
                                </a:lnTo>
                                <a:lnTo>
                                  <a:pt x="338975" y="551218"/>
                                </a:lnTo>
                                <a:lnTo>
                                  <a:pt x="325945" y="531977"/>
                                </a:lnTo>
                                <a:lnTo>
                                  <a:pt x="321170" y="508419"/>
                                </a:lnTo>
                                <a:lnTo>
                                  <a:pt x="321170" y="504151"/>
                                </a:lnTo>
                                <a:lnTo>
                                  <a:pt x="364197" y="302056"/>
                                </a:lnTo>
                                <a:lnTo>
                                  <a:pt x="385457" y="267741"/>
                                </a:lnTo>
                                <a:lnTo>
                                  <a:pt x="423621" y="254203"/>
                                </a:lnTo>
                                <a:lnTo>
                                  <a:pt x="524497" y="254203"/>
                                </a:lnTo>
                                <a:lnTo>
                                  <a:pt x="562648" y="267741"/>
                                </a:lnTo>
                                <a:lnTo>
                                  <a:pt x="583933" y="302056"/>
                                </a:lnTo>
                                <a:lnTo>
                                  <a:pt x="625602" y="495744"/>
                                </a:lnTo>
                                <a:lnTo>
                                  <a:pt x="625881" y="519772"/>
                                </a:lnTo>
                                <a:lnTo>
                                  <a:pt x="625881" y="381469"/>
                                </a:lnTo>
                                <a:lnTo>
                                  <a:pt x="607695" y="296976"/>
                                </a:lnTo>
                                <a:lnTo>
                                  <a:pt x="582599" y="254203"/>
                                </a:lnTo>
                                <a:lnTo>
                                  <a:pt x="524497" y="229997"/>
                                </a:lnTo>
                                <a:lnTo>
                                  <a:pt x="423621" y="229997"/>
                                </a:lnTo>
                                <a:lnTo>
                                  <a:pt x="370205" y="248932"/>
                                </a:lnTo>
                                <a:lnTo>
                                  <a:pt x="340410" y="296976"/>
                                </a:lnTo>
                                <a:lnTo>
                                  <a:pt x="298742" y="490664"/>
                                </a:lnTo>
                                <a:lnTo>
                                  <a:pt x="298323" y="524268"/>
                                </a:lnTo>
                                <a:lnTo>
                                  <a:pt x="310451" y="554380"/>
                                </a:lnTo>
                                <a:lnTo>
                                  <a:pt x="333044" y="577761"/>
                                </a:lnTo>
                                <a:lnTo>
                                  <a:pt x="363982" y="591185"/>
                                </a:lnTo>
                                <a:lnTo>
                                  <a:pt x="369392" y="592340"/>
                                </a:lnTo>
                                <a:lnTo>
                                  <a:pt x="376389" y="593153"/>
                                </a:lnTo>
                                <a:lnTo>
                                  <a:pt x="380441" y="593153"/>
                                </a:lnTo>
                                <a:lnTo>
                                  <a:pt x="360565" y="745337"/>
                                </a:lnTo>
                                <a:lnTo>
                                  <a:pt x="385089" y="745337"/>
                                </a:lnTo>
                                <a:lnTo>
                                  <a:pt x="404952" y="593153"/>
                                </a:lnTo>
                                <a:lnTo>
                                  <a:pt x="543153" y="593153"/>
                                </a:lnTo>
                                <a:lnTo>
                                  <a:pt x="563029" y="745337"/>
                                </a:lnTo>
                                <a:lnTo>
                                  <a:pt x="587540" y="745337"/>
                                </a:lnTo>
                                <a:lnTo>
                                  <a:pt x="567677" y="593153"/>
                                </a:lnTo>
                                <a:lnTo>
                                  <a:pt x="567296" y="593153"/>
                                </a:lnTo>
                                <a:lnTo>
                                  <a:pt x="600633" y="585876"/>
                                </a:lnTo>
                                <a:lnTo>
                                  <a:pt x="624992" y="568934"/>
                                </a:lnTo>
                                <a:lnTo>
                                  <a:pt x="627354" y="567309"/>
                                </a:lnTo>
                                <a:lnTo>
                                  <a:pt x="645121" y="540105"/>
                                </a:lnTo>
                                <a:lnTo>
                                  <a:pt x="651256" y="507047"/>
                                </a:lnTo>
                                <a:close/>
                              </a:path>
                              <a:path w="948690" h="745490">
                                <a:moveTo>
                                  <a:pt x="899502" y="5410"/>
                                </a:moveTo>
                                <a:lnTo>
                                  <a:pt x="894067" y="0"/>
                                </a:lnTo>
                                <a:lnTo>
                                  <a:pt x="515975" y="0"/>
                                </a:lnTo>
                                <a:lnTo>
                                  <a:pt x="510527" y="5410"/>
                                </a:lnTo>
                                <a:lnTo>
                                  <a:pt x="510527" y="205790"/>
                                </a:lnTo>
                                <a:lnTo>
                                  <a:pt x="524497" y="205790"/>
                                </a:lnTo>
                                <a:lnTo>
                                  <a:pt x="534835" y="206311"/>
                                </a:lnTo>
                                <a:lnTo>
                                  <a:pt x="534835" y="24206"/>
                                </a:lnTo>
                                <a:lnTo>
                                  <a:pt x="875195" y="24206"/>
                                </a:lnTo>
                                <a:lnTo>
                                  <a:pt x="875195" y="229997"/>
                                </a:lnTo>
                                <a:lnTo>
                                  <a:pt x="592988" y="229997"/>
                                </a:lnTo>
                                <a:lnTo>
                                  <a:pt x="605015" y="241274"/>
                                </a:lnTo>
                                <a:lnTo>
                                  <a:pt x="615238" y="254203"/>
                                </a:lnTo>
                                <a:lnTo>
                                  <a:pt x="692861" y="254203"/>
                                </a:lnTo>
                                <a:lnTo>
                                  <a:pt x="692861" y="302628"/>
                                </a:lnTo>
                                <a:lnTo>
                                  <a:pt x="633780" y="302628"/>
                                </a:lnTo>
                                <a:lnTo>
                                  <a:pt x="638975" y="326834"/>
                                </a:lnTo>
                                <a:lnTo>
                                  <a:pt x="777925" y="326834"/>
                                </a:lnTo>
                                <a:lnTo>
                                  <a:pt x="777925" y="302628"/>
                                </a:lnTo>
                                <a:lnTo>
                                  <a:pt x="717169" y="302628"/>
                                </a:lnTo>
                                <a:lnTo>
                                  <a:pt x="717169" y="254203"/>
                                </a:lnTo>
                                <a:lnTo>
                                  <a:pt x="894067" y="254203"/>
                                </a:lnTo>
                                <a:lnTo>
                                  <a:pt x="899502" y="248793"/>
                                </a:lnTo>
                                <a:lnTo>
                                  <a:pt x="899502" y="5410"/>
                                </a:lnTo>
                                <a:close/>
                              </a:path>
                              <a:path w="948690" h="745490">
                                <a:moveTo>
                                  <a:pt x="948118" y="356463"/>
                                </a:moveTo>
                                <a:lnTo>
                                  <a:pt x="942657" y="351053"/>
                                </a:lnTo>
                                <a:lnTo>
                                  <a:pt x="935964" y="351053"/>
                                </a:lnTo>
                                <a:lnTo>
                                  <a:pt x="644194" y="351053"/>
                                </a:lnTo>
                                <a:lnTo>
                                  <a:pt x="649401" y="375259"/>
                                </a:lnTo>
                                <a:lnTo>
                                  <a:pt x="816165" y="375259"/>
                                </a:lnTo>
                                <a:lnTo>
                                  <a:pt x="874229" y="745337"/>
                                </a:lnTo>
                                <a:lnTo>
                                  <a:pt x="898791" y="745337"/>
                                </a:lnTo>
                                <a:lnTo>
                                  <a:pt x="840765" y="375259"/>
                                </a:lnTo>
                                <a:lnTo>
                                  <a:pt x="942657" y="375259"/>
                                </a:lnTo>
                                <a:lnTo>
                                  <a:pt x="948118" y="369836"/>
                                </a:lnTo>
                                <a:lnTo>
                                  <a:pt x="948118" y="356463"/>
                                </a:lnTo>
                                <a:close/>
                              </a:path>
                            </a:pathLst>
                          </a:custGeom>
                          <a:solidFill>
                            <a:srgbClr val="C0C8E3"/>
                          </a:solidFill>
                        </wps:spPr>
                        <wps:bodyPr wrap="square" lIns="0" tIns="0" rIns="0" bIns="0" rtlCol="0">
                          <a:prstTxWarp prst="textNoShape">
                            <a:avLst/>
                          </a:prstTxWarp>
                        </wps:bodyPr>
                      </wps:wsp>
                      <wps:wsp>
                        <wps:cNvPr id="327" name="Graphic 327"/>
                        <wps:cNvSpPr/>
                        <wps:spPr>
                          <a:xfrm>
                            <a:off x="76441" y="62610"/>
                            <a:ext cx="1181100" cy="1049020"/>
                          </a:xfrm>
                          <a:custGeom>
                            <a:avLst/>
                            <a:gdLst/>
                            <a:ahLst/>
                            <a:cxnLst/>
                            <a:rect l="l" t="t" r="r" b="b"/>
                            <a:pathLst>
                              <a:path w="1181100" h="1049020">
                                <a:moveTo>
                                  <a:pt x="0" y="104901"/>
                                </a:moveTo>
                                <a:lnTo>
                                  <a:pt x="8245" y="64079"/>
                                </a:lnTo>
                                <a:lnTo>
                                  <a:pt x="30730" y="30733"/>
                                </a:lnTo>
                                <a:lnTo>
                                  <a:pt x="64079" y="8247"/>
                                </a:lnTo>
                                <a:lnTo>
                                  <a:pt x="104914" y="0"/>
                                </a:lnTo>
                                <a:lnTo>
                                  <a:pt x="1075956" y="0"/>
                                </a:lnTo>
                                <a:lnTo>
                                  <a:pt x="1116779" y="8247"/>
                                </a:lnTo>
                                <a:lnTo>
                                  <a:pt x="1150124" y="30733"/>
                                </a:lnTo>
                                <a:lnTo>
                                  <a:pt x="1172611" y="64079"/>
                                </a:lnTo>
                                <a:lnTo>
                                  <a:pt x="1180858" y="104901"/>
                                </a:lnTo>
                                <a:lnTo>
                                  <a:pt x="1180858" y="944118"/>
                                </a:lnTo>
                                <a:lnTo>
                                  <a:pt x="1172611" y="984994"/>
                                </a:lnTo>
                                <a:lnTo>
                                  <a:pt x="1150124" y="1018333"/>
                                </a:lnTo>
                                <a:lnTo>
                                  <a:pt x="1116779" y="1040790"/>
                                </a:lnTo>
                                <a:lnTo>
                                  <a:pt x="1075956" y="1049020"/>
                                </a:lnTo>
                                <a:lnTo>
                                  <a:pt x="104914" y="1049020"/>
                                </a:lnTo>
                                <a:lnTo>
                                  <a:pt x="64079" y="1040790"/>
                                </a:lnTo>
                                <a:lnTo>
                                  <a:pt x="30730" y="1018333"/>
                                </a:lnTo>
                                <a:lnTo>
                                  <a:pt x="8245" y="984994"/>
                                </a:lnTo>
                                <a:lnTo>
                                  <a:pt x="0" y="944118"/>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28" name="Textbox 328"/>
                        <wps:cNvSpPr txBox="1"/>
                        <wps:spPr>
                          <a:xfrm>
                            <a:off x="0" y="0"/>
                            <a:ext cx="5904230" cy="1152525"/>
                          </a:xfrm>
                          <a:prstGeom prst="rect">
                            <a:avLst/>
                          </a:prstGeom>
                        </wps:spPr>
                        <wps:txbx>
                          <w:txbxContent>
                            <w:p w14:paraId="1C543C6C" w14:textId="77777777" w:rsidR="008715BE" w:rsidRDefault="00000000">
                              <w:pPr>
                                <w:spacing w:before="41"/>
                                <w:ind w:left="2120"/>
                                <w:rPr>
                                  <w:b/>
                                  <w:sz w:val="18"/>
                                </w:rPr>
                              </w:pPr>
                              <w:r>
                                <w:rPr>
                                  <w:b/>
                                  <w:w w:val="135"/>
                                  <w:sz w:val="12"/>
                                </w:rPr>
                                <w:t xml:space="preserve">Form of </w:t>
                              </w:r>
                              <w:r>
                                <w:rPr>
                                  <w:b/>
                                  <w:spacing w:val="-2"/>
                                  <w:w w:val="135"/>
                                  <w:sz w:val="12"/>
                                </w:rPr>
                                <w:t>impact</w:t>
                              </w:r>
                            </w:p>
                            <w:p w14:paraId="669ECB08" w14:textId="77777777" w:rsidR="008715BE" w:rsidRDefault="00000000">
                              <w:pPr>
                                <w:numPr>
                                  <w:ilvl w:val="0"/>
                                  <w:numId w:val="66"/>
                                </w:numPr>
                                <w:tabs>
                                  <w:tab w:val="left" w:pos="2212"/>
                                  <w:tab w:val="left" w:pos="2280"/>
                                </w:tabs>
                                <w:spacing w:before="35" w:line="216" w:lineRule="auto"/>
                                <w:ind w:right="406" w:hanging="92"/>
                                <w:rPr>
                                  <w:sz w:val="18"/>
                                </w:rPr>
                              </w:pPr>
                              <w:r>
                                <w:rPr>
                                  <w:w w:val="120"/>
                                  <w:sz w:val="12"/>
                                </w:rPr>
                                <w:t>change in the chemical status of surface water bodies and change in the ecological status of surface water bodies</w:t>
                              </w:r>
                            </w:p>
                            <w:p w14:paraId="74DFDCE7" w14:textId="77777777" w:rsidR="008715BE" w:rsidRDefault="00000000">
                              <w:pPr>
                                <w:numPr>
                                  <w:ilvl w:val="0"/>
                                  <w:numId w:val="66"/>
                                </w:numPr>
                                <w:tabs>
                                  <w:tab w:val="left" w:pos="2212"/>
                                  <w:tab w:val="left" w:pos="2280"/>
                                </w:tabs>
                                <w:spacing w:before="39" w:line="216" w:lineRule="auto"/>
                                <w:ind w:right="365" w:hanging="92"/>
                                <w:rPr>
                                  <w:sz w:val="18"/>
                                </w:rPr>
                              </w:pPr>
                              <w:r>
                                <w:rPr>
                                  <w:w w:val="120"/>
                                  <w:sz w:val="12"/>
                                </w:rPr>
                                <w:t>change in the quantitative status of groundwater bodies and change in the chemical status of groundwater bodies.</w:t>
                              </w:r>
                            </w:p>
                          </w:txbxContent>
                        </wps:txbx>
                        <wps:bodyPr wrap="square" lIns="0" tIns="0" rIns="0" bIns="0" rtlCol="0"/>
                      </wps:wsp>
                    </wpg:wgp>
                  </a:graphicData>
                </a:graphic>
              </wp:inline>
            </w:drawing>
          </mc:Choice>
          <mc:Fallback>
            <w:pict>
              <v:group w14:anchorId="7C1A656C" id="Group 324" o:spid="_x0000_s1169" style="width:464.9pt;height:90.75pt;mso-position-horizontal-relative:char;mso-position-vertical-relative:line" coordsize="59042,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">
                <v:shape id="Graphic 325" o:spid="_x0000_s1170" style="position:absolute;width:59042;height:11525;visibility:visible;mso-wrap-style:square;v-text-anchor:top" coordsize="5904230,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" path="m5789041,l115214,,70369,9050,33747,33734,9054,70348,,115188r,921766l9054,1081795r24693,36614l70369,1143093r44845,9051l5789041,1152144r44840,-9051l5870495,1118409r24684,-36614l5904230,1036954r,-921766l5895179,70348,5870495,33734,5833881,9050,5789041,xe" fillcolor="#00afef" stroked="f">
                  <v:path arrowok="t"/>
                </v:shape>
                <v:shape id="Graphic 326" o:spid="_x0000_s1171" style="position:absolute;left:1945;top:2262;width:9487;height:7455;visibility:visible;mso-wrap-style:square;v-text-anchor:top" coordsize="948690,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" path="m303923,351053r-298475,l,356463r,13373l5448,375259r101905,l49288,745337r24600,l131953,375259r166763,l303923,351053xem437603,5410l432155,,54063,,48628,5410r-13,243370l54051,254203r6718,l230949,254203r,48425l170154,302628r,24206l309130,326834r5207,-24206l255257,302628r,-48425l332879,254203r10211,-12929l355130,229997r-282207,l72923,24206r340347,l413270,206311r24321,-521l437603,5410xem651256,507047r-89,-5499l650544,496049,625881,381469r,138303l617194,541299r-16154,16713l578904,567601r-4179,889l570458,568934r-188506,l358292,564184,338975,551218,325945,531977r-4775,-23558l321170,504151,364197,302056r21260,-34315l423621,254203r100876,l562648,267741r21285,34315l625602,495744r279,24028l625881,381469,607695,296976,582599,254203,524497,229997r-100876,l370205,248932r-29795,48044l298742,490664r-419,33604l310451,554380r22593,23381l363982,591185r5410,1155l376389,593153r4052,l360565,745337r24524,l404952,593153r138201,l563029,745337r24511,l567677,593153r-381,l600633,585876r24359,-16942l627354,567309r17767,-27204l651256,507047xem899502,5410l894067,,515975,r-5448,5410l510527,205790r13970,l534835,206311r,-182105l875195,24206r,205791l592988,229997r12027,11277l615238,254203r77623,l692861,302628r-59081,l638975,326834r138950,l777925,302628r-60756,l717169,254203r176898,l899502,248793r,-243383xem948118,356463r-5461,-5410l935964,351053r-291770,l649401,375259r166764,l874229,745337r24562,l840765,375259r101892,l948118,369836r,-13373xe" fillcolor="#c0c8e3" stroked="f">
                  <v:path arrowok="t"/>
                </v:shape>
                <v:shape id="Graphic 327" o:spid="_x0000_s1172" style="position:absolute;left:764;top:626;width:11811;height:10490;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" path="m,104901l8245,64079,30730,30733,64079,8247,104914,r971042,l1116779,8247r33345,22486l1172611,64079r8247,40822l1180858,944118r-8247,40876l1150124,1018333r-33345,22457l1075956,1049020r-971042,l64079,1040790,30730,1018333,8245,984994,,944118,,104901xe" filled="f" strokecolor="white" strokeweight="1pt">
                  <v:path arrowok="t"/>
                </v:shape>
                <v:shape id="Textbox 328" o:spid="_x0000_s1173" type="#_x0000_t202" style="position:absolute;width:5904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1C543C6C" w14:textId="77777777" w:rsidR="008715BE" w:rsidRDefault="00000000">
                        <w:pPr>
                          <w:spacing w:before="41"/>
                          <w:ind w:left="2120"/>
                          <w:rPr>
                            <w:b/>
                            <w:sz w:val="18"/>
                          </w:rPr>
                        </w:pPr>
                        <w:r>
                          <w:rPr>
                            <w:b/>
                            <w:w w:val="135"/>
                            <w:sz w:val="12"/>
                          </w:rPr>
                          <w:t xml:space="preserve">Form of </w:t>
                        </w:r>
                        <w:r>
                          <w:rPr>
                            <w:b/>
                            <w:spacing w:val="-2"/>
                            <w:w w:val="135"/>
                            <w:sz w:val="12"/>
                          </w:rPr>
                          <w:t>impact</w:t>
                        </w:r>
                      </w:p>
                      <w:p w14:paraId="669ECB08" w14:textId="77777777" w:rsidR="008715BE" w:rsidRDefault="00000000">
                        <w:pPr>
                          <w:numPr>
                            <w:ilvl w:val="0"/>
                            <w:numId w:val="66"/>
                          </w:numPr>
                          <w:tabs>
                            <w:tab w:val="left" w:pos="2212"/>
                            <w:tab w:val="left" w:pos="2280"/>
                          </w:tabs>
                          <w:spacing w:before="35" w:line="216" w:lineRule="auto"/>
                          <w:ind w:right="406" w:hanging="92"/>
                          <w:rPr>
                            <w:sz w:val="18"/>
                          </w:rPr>
                        </w:pPr>
                        <w:r>
                          <w:rPr>
                            <w:w w:val="120"/>
                            <w:sz w:val="12"/>
                          </w:rPr>
                          <w:t>change in the chemical status of surface water bodies and change in the ecological status of surface water bodies</w:t>
                        </w:r>
                      </w:p>
                      <w:p w14:paraId="74DFDCE7" w14:textId="77777777" w:rsidR="008715BE" w:rsidRDefault="00000000">
                        <w:pPr>
                          <w:numPr>
                            <w:ilvl w:val="0"/>
                            <w:numId w:val="66"/>
                          </w:numPr>
                          <w:tabs>
                            <w:tab w:val="left" w:pos="2212"/>
                            <w:tab w:val="left" w:pos="2280"/>
                          </w:tabs>
                          <w:spacing w:before="39" w:line="216" w:lineRule="auto"/>
                          <w:ind w:right="365" w:hanging="92"/>
                          <w:rPr>
                            <w:sz w:val="18"/>
                          </w:rPr>
                        </w:pPr>
                        <w:r>
                          <w:rPr>
                            <w:w w:val="120"/>
                            <w:sz w:val="12"/>
                          </w:rPr>
                          <w:t>change in the quantitative status of groundwater bodies and change in the chemical status of groundwater bodies.</w:t>
                        </w:r>
                      </w:p>
                    </w:txbxContent>
                  </v:textbox>
                </v:shape>
                <w10:anchorlock/>
              </v:group>
            </w:pict>
          </mc:Fallback>
        </mc:AlternateContent>
      </w:r>
    </w:p>
    <w:p w14:paraId="1086CC1C" w14:textId="77777777" w:rsidR="008715BE" w:rsidRPr="00EC75B7" w:rsidRDefault="00000000">
      <w:pPr>
        <w:pStyle w:val="BodyText"/>
        <w:spacing w:before="9"/>
        <w:rPr>
          <w:rFonts w:ascii="Verdana" w:hAnsi="Verdana"/>
        </w:rPr>
      </w:pPr>
      <w:r w:rsidRPr="00EC75B7">
        <w:rPr>
          <w:rFonts w:ascii="Verdana" w:hAnsi="Verdana"/>
          <w:noProof/>
        </w:rPr>
        <mc:AlternateContent>
          <mc:Choice Requires="wpg">
            <w:drawing>
              <wp:anchor distT="0" distB="0" distL="0" distR="0" simplePos="0" relativeHeight="251780096" behindDoc="1" locked="0" layoutInCell="1" allowOverlap="1" wp14:anchorId="0EE29E22" wp14:editId="26D92ADC">
                <wp:simplePos x="0" y="0"/>
                <wp:positionH relativeFrom="page">
                  <wp:posOffset>774065</wp:posOffset>
                </wp:positionH>
                <wp:positionV relativeFrom="paragraph">
                  <wp:posOffset>121906</wp:posOffset>
                </wp:positionV>
                <wp:extent cx="5904230" cy="1311275"/>
                <wp:effectExtent l="0" t="0" r="0" b="0"/>
                <wp:wrapTopAndBottom/>
                <wp:docPr id="329" name="Group 329"/>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30" name="Graphic 330"/>
                        <wps:cNvSpPr/>
                        <wps:spPr>
                          <a:xfrm>
                            <a:off x="0" y="0"/>
                            <a:ext cx="5904230" cy="1311275"/>
                          </a:xfrm>
                          <a:custGeom>
                            <a:avLst/>
                            <a:gdLst/>
                            <a:ahLst/>
                            <a:cxnLst/>
                            <a:rect l="l" t="t" r="r" b="b"/>
                            <a:pathLst>
                              <a:path w="5904230" h="1311275">
                                <a:moveTo>
                                  <a:pt x="5773039" y="0"/>
                                </a:moveTo>
                                <a:lnTo>
                                  <a:pt x="131127" y="0"/>
                                </a:lnTo>
                                <a:lnTo>
                                  <a:pt x="80088" y="10298"/>
                                </a:lnTo>
                                <a:lnTo>
                                  <a:pt x="38407" y="38385"/>
                                </a:lnTo>
                                <a:lnTo>
                                  <a:pt x="10305" y="80045"/>
                                </a:lnTo>
                                <a:lnTo>
                                  <a:pt x="0" y="131064"/>
                                </a:lnTo>
                                <a:lnTo>
                                  <a:pt x="0" y="1180211"/>
                                </a:lnTo>
                                <a:lnTo>
                                  <a:pt x="10305" y="1231229"/>
                                </a:lnTo>
                                <a:lnTo>
                                  <a:pt x="38407" y="1272889"/>
                                </a:lnTo>
                                <a:lnTo>
                                  <a:pt x="80088" y="1300976"/>
                                </a:lnTo>
                                <a:lnTo>
                                  <a:pt x="131127" y="1311275"/>
                                </a:lnTo>
                                <a:lnTo>
                                  <a:pt x="5773039" y="1311275"/>
                                </a:lnTo>
                                <a:lnTo>
                                  <a:pt x="5824130" y="1300976"/>
                                </a:lnTo>
                                <a:lnTo>
                                  <a:pt x="5865828" y="1272889"/>
                                </a:lnTo>
                                <a:lnTo>
                                  <a:pt x="5893929" y="1231229"/>
                                </a:lnTo>
                                <a:lnTo>
                                  <a:pt x="5904230" y="1180211"/>
                                </a:lnTo>
                                <a:lnTo>
                                  <a:pt x="5904230" y="131064"/>
                                </a:lnTo>
                                <a:lnTo>
                                  <a:pt x="5893929" y="80045"/>
                                </a:lnTo>
                                <a:lnTo>
                                  <a:pt x="5865828" y="38385"/>
                                </a:lnTo>
                                <a:lnTo>
                                  <a:pt x="5824130" y="10298"/>
                                </a:lnTo>
                                <a:lnTo>
                                  <a:pt x="5773039" y="0"/>
                                </a:lnTo>
                                <a:close/>
                              </a:path>
                            </a:pathLst>
                          </a:custGeom>
                          <a:solidFill>
                            <a:srgbClr val="D9D9D9"/>
                          </a:solidFill>
                        </wps:spPr>
                        <wps:bodyPr wrap="square" lIns="0" tIns="0" rIns="0" bIns="0" rtlCol="0">
                          <a:prstTxWarp prst="textNoShape">
                            <a:avLst/>
                          </a:prstTxWarp>
                        </wps:bodyPr>
                      </wps:wsp>
                      <wps:wsp>
                        <wps:cNvPr id="331" name="Graphic 331"/>
                        <wps:cNvSpPr/>
                        <wps:spPr>
                          <a:xfrm>
                            <a:off x="226593" y="149491"/>
                            <a:ext cx="941705" cy="876935"/>
                          </a:xfrm>
                          <a:custGeom>
                            <a:avLst/>
                            <a:gdLst/>
                            <a:ahLst/>
                            <a:cxnLst/>
                            <a:rect l="l" t="t" r="r" b="b"/>
                            <a:pathLst>
                              <a:path w="941705" h="876935">
                                <a:moveTo>
                                  <a:pt x="151968" y="791895"/>
                                </a:moveTo>
                                <a:lnTo>
                                  <a:pt x="149580" y="780122"/>
                                </a:lnTo>
                                <a:lnTo>
                                  <a:pt x="143065" y="770496"/>
                                </a:lnTo>
                                <a:lnTo>
                                  <a:pt x="133413" y="764019"/>
                                </a:lnTo>
                                <a:lnTo>
                                  <a:pt x="121577" y="761631"/>
                                </a:lnTo>
                                <a:lnTo>
                                  <a:pt x="109753" y="764019"/>
                                </a:lnTo>
                                <a:lnTo>
                                  <a:pt x="100088" y="770496"/>
                                </a:lnTo>
                                <a:lnTo>
                                  <a:pt x="93586" y="780122"/>
                                </a:lnTo>
                                <a:lnTo>
                                  <a:pt x="91198" y="791895"/>
                                </a:lnTo>
                                <a:lnTo>
                                  <a:pt x="93586" y="803681"/>
                                </a:lnTo>
                                <a:lnTo>
                                  <a:pt x="100088" y="813295"/>
                                </a:lnTo>
                                <a:lnTo>
                                  <a:pt x="109753" y="819785"/>
                                </a:lnTo>
                                <a:lnTo>
                                  <a:pt x="121577" y="822159"/>
                                </a:lnTo>
                                <a:lnTo>
                                  <a:pt x="133413" y="819785"/>
                                </a:lnTo>
                                <a:lnTo>
                                  <a:pt x="143065" y="813295"/>
                                </a:lnTo>
                                <a:lnTo>
                                  <a:pt x="149580" y="803681"/>
                                </a:lnTo>
                                <a:lnTo>
                                  <a:pt x="151968" y="791895"/>
                                </a:lnTo>
                                <a:close/>
                              </a:path>
                              <a:path w="941705" h="876935">
                                <a:moveTo>
                                  <a:pt x="289725" y="791895"/>
                                </a:moveTo>
                                <a:lnTo>
                                  <a:pt x="287337" y="780122"/>
                                </a:lnTo>
                                <a:lnTo>
                                  <a:pt x="280835" y="770496"/>
                                </a:lnTo>
                                <a:lnTo>
                                  <a:pt x="271170" y="764019"/>
                                </a:lnTo>
                                <a:lnTo>
                                  <a:pt x="259346" y="761631"/>
                                </a:lnTo>
                                <a:lnTo>
                                  <a:pt x="247510" y="764019"/>
                                </a:lnTo>
                                <a:lnTo>
                                  <a:pt x="237858" y="770496"/>
                                </a:lnTo>
                                <a:lnTo>
                                  <a:pt x="231343" y="780122"/>
                                </a:lnTo>
                                <a:lnTo>
                                  <a:pt x="228955" y="791895"/>
                                </a:lnTo>
                                <a:lnTo>
                                  <a:pt x="231343" y="803681"/>
                                </a:lnTo>
                                <a:lnTo>
                                  <a:pt x="237858" y="813295"/>
                                </a:lnTo>
                                <a:lnTo>
                                  <a:pt x="247510" y="819785"/>
                                </a:lnTo>
                                <a:lnTo>
                                  <a:pt x="259346" y="822159"/>
                                </a:lnTo>
                                <a:lnTo>
                                  <a:pt x="271170" y="819785"/>
                                </a:lnTo>
                                <a:lnTo>
                                  <a:pt x="280835" y="813295"/>
                                </a:lnTo>
                                <a:lnTo>
                                  <a:pt x="287337" y="803681"/>
                                </a:lnTo>
                                <a:lnTo>
                                  <a:pt x="289725" y="791895"/>
                                </a:lnTo>
                                <a:close/>
                              </a:path>
                              <a:path w="941705" h="876935">
                                <a:moveTo>
                                  <a:pt x="427482" y="791895"/>
                                </a:moveTo>
                                <a:lnTo>
                                  <a:pt x="425094" y="780122"/>
                                </a:lnTo>
                                <a:lnTo>
                                  <a:pt x="418579" y="770496"/>
                                </a:lnTo>
                                <a:lnTo>
                                  <a:pt x="408927" y="764019"/>
                                </a:lnTo>
                                <a:lnTo>
                                  <a:pt x="397090" y="761631"/>
                                </a:lnTo>
                                <a:lnTo>
                                  <a:pt x="385267" y="764019"/>
                                </a:lnTo>
                                <a:lnTo>
                                  <a:pt x="375602" y="770496"/>
                                </a:lnTo>
                                <a:lnTo>
                                  <a:pt x="369087" y="780122"/>
                                </a:lnTo>
                                <a:lnTo>
                                  <a:pt x="366699" y="791895"/>
                                </a:lnTo>
                                <a:lnTo>
                                  <a:pt x="369087" y="803681"/>
                                </a:lnTo>
                                <a:lnTo>
                                  <a:pt x="375602" y="813295"/>
                                </a:lnTo>
                                <a:lnTo>
                                  <a:pt x="385267" y="819785"/>
                                </a:lnTo>
                                <a:lnTo>
                                  <a:pt x="397090" y="822159"/>
                                </a:lnTo>
                                <a:lnTo>
                                  <a:pt x="408927" y="819785"/>
                                </a:lnTo>
                                <a:lnTo>
                                  <a:pt x="418579" y="813295"/>
                                </a:lnTo>
                                <a:lnTo>
                                  <a:pt x="425094" y="803681"/>
                                </a:lnTo>
                                <a:lnTo>
                                  <a:pt x="427482" y="791895"/>
                                </a:lnTo>
                                <a:close/>
                              </a:path>
                              <a:path w="941705" h="876935">
                                <a:moveTo>
                                  <a:pt x="565251" y="791895"/>
                                </a:moveTo>
                                <a:lnTo>
                                  <a:pt x="562864" y="780122"/>
                                </a:lnTo>
                                <a:lnTo>
                                  <a:pt x="556348" y="770496"/>
                                </a:lnTo>
                                <a:lnTo>
                                  <a:pt x="546696" y="764019"/>
                                </a:lnTo>
                                <a:lnTo>
                                  <a:pt x="534860" y="761631"/>
                                </a:lnTo>
                                <a:lnTo>
                                  <a:pt x="523036" y="764019"/>
                                </a:lnTo>
                                <a:lnTo>
                                  <a:pt x="513372" y="770496"/>
                                </a:lnTo>
                                <a:lnTo>
                                  <a:pt x="506857" y="780122"/>
                                </a:lnTo>
                                <a:lnTo>
                                  <a:pt x="504469" y="791895"/>
                                </a:lnTo>
                                <a:lnTo>
                                  <a:pt x="506857" y="803681"/>
                                </a:lnTo>
                                <a:lnTo>
                                  <a:pt x="513372" y="813295"/>
                                </a:lnTo>
                                <a:lnTo>
                                  <a:pt x="523036" y="819785"/>
                                </a:lnTo>
                                <a:lnTo>
                                  <a:pt x="534860" y="822159"/>
                                </a:lnTo>
                                <a:lnTo>
                                  <a:pt x="546696" y="819785"/>
                                </a:lnTo>
                                <a:lnTo>
                                  <a:pt x="556348" y="813295"/>
                                </a:lnTo>
                                <a:lnTo>
                                  <a:pt x="562864" y="803681"/>
                                </a:lnTo>
                                <a:lnTo>
                                  <a:pt x="565251" y="791895"/>
                                </a:lnTo>
                                <a:close/>
                              </a:path>
                              <a:path w="941705" h="876935">
                                <a:moveTo>
                                  <a:pt x="656386" y="791895"/>
                                </a:moveTo>
                                <a:lnTo>
                                  <a:pt x="649693" y="758913"/>
                                </a:lnTo>
                                <a:lnTo>
                                  <a:pt x="632079" y="732878"/>
                                </a:lnTo>
                                <a:lnTo>
                                  <a:pt x="632079" y="791895"/>
                                </a:lnTo>
                                <a:lnTo>
                                  <a:pt x="627303" y="815454"/>
                                </a:lnTo>
                                <a:lnTo>
                                  <a:pt x="614273" y="834694"/>
                                </a:lnTo>
                                <a:lnTo>
                                  <a:pt x="594956" y="847674"/>
                                </a:lnTo>
                                <a:lnTo>
                                  <a:pt x="571296" y="852424"/>
                                </a:lnTo>
                                <a:lnTo>
                                  <a:pt x="85090" y="852424"/>
                                </a:lnTo>
                                <a:lnTo>
                                  <a:pt x="61429" y="847674"/>
                                </a:lnTo>
                                <a:lnTo>
                                  <a:pt x="42113" y="834694"/>
                                </a:lnTo>
                                <a:lnTo>
                                  <a:pt x="29083" y="815454"/>
                                </a:lnTo>
                                <a:lnTo>
                                  <a:pt x="24307" y="791895"/>
                                </a:lnTo>
                                <a:lnTo>
                                  <a:pt x="29083" y="768337"/>
                                </a:lnTo>
                                <a:lnTo>
                                  <a:pt x="42113" y="749096"/>
                                </a:lnTo>
                                <a:lnTo>
                                  <a:pt x="61429" y="736130"/>
                                </a:lnTo>
                                <a:lnTo>
                                  <a:pt x="85090" y="731380"/>
                                </a:lnTo>
                                <a:lnTo>
                                  <a:pt x="571296" y="731380"/>
                                </a:lnTo>
                                <a:lnTo>
                                  <a:pt x="594956" y="736130"/>
                                </a:lnTo>
                                <a:lnTo>
                                  <a:pt x="614273" y="749096"/>
                                </a:lnTo>
                                <a:lnTo>
                                  <a:pt x="627303" y="768337"/>
                                </a:lnTo>
                                <a:lnTo>
                                  <a:pt x="632079" y="791895"/>
                                </a:lnTo>
                                <a:lnTo>
                                  <a:pt x="632079" y="732878"/>
                                </a:lnTo>
                                <a:lnTo>
                                  <a:pt x="631469" y="731977"/>
                                </a:lnTo>
                                <a:lnTo>
                                  <a:pt x="630567" y="731380"/>
                                </a:lnTo>
                                <a:lnTo>
                                  <a:pt x="604418" y="713816"/>
                                </a:lnTo>
                                <a:lnTo>
                                  <a:pt x="571296" y="707161"/>
                                </a:lnTo>
                                <a:lnTo>
                                  <a:pt x="85090" y="707161"/>
                                </a:lnTo>
                                <a:lnTo>
                                  <a:pt x="51968" y="713816"/>
                                </a:lnTo>
                                <a:lnTo>
                                  <a:pt x="24917" y="731977"/>
                                </a:lnTo>
                                <a:lnTo>
                                  <a:pt x="6680" y="758913"/>
                                </a:lnTo>
                                <a:lnTo>
                                  <a:pt x="0" y="791895"/>
                                </a:lnTo>
                                <a:lnTo>
                                  <a:pt x="6680" y="824877"/>
                                </a:lnTo>
                                <a:lnTo>
                                  <a:pt x="24917" y="851814"/>
                                </a:lnTo>
                                <a:lnTo>
                                  <a:pt x="51968" y="869975"/>
                                </a:lnTo>
                                <a:lnTo>
                                  <a:pt x="85090" y="876630"/>
                                </a:lnTo>
                                <a:lnTo>
                                  <a:pt x="571296" y="876630"/>
                                </a:lnTo>
                                <a:lnTo>
                                  <a:pt x="604418" y="869975"/>
                                </a:lnTo>
                                <a:lnTo>
                                  <a:pt x="630555" y="852424"/>
                                </a:lnTo>
                                <a:lnTo>
                                  <a:pt x="631469" y="851814"/>
                                </a:lnTo>
                                <a:lnTo>
                                  <a:pt x="649693" y="824877"/>
                                </a:lnTo>
                                <a:lnTo>
                                  <a:pt x="656386" y="791895"/>
                                </a:lnTo>
                                <a:close/>
                              </a:path>
                              <a:path w="941705" h="876935">
                                <a:moveTo>
                                  <a:pt x="941539" y="433654"/>
                                </a:moveTo>
                                <a:lnTo>
                                  <a:pt x="929779" y="386588"/>
                                </a:lnTo>
                                <a:lnTo>
                                  <a:pt x="917067" y="364794"/>
                                </a:lnTo>
                                <a:lnTo>
                                  <a:pt x="917067" y="433311"/>
                                </a:lnTo>
                                <a:lnTo>
                                  <a:pt x="915619" y="476961"/>
                                </a:lnTo>
                                <a:lnTo>
                                  <a:pt x="900353" y="519582"/>
                                </a:lnTo>
                                <a:lnTo>
                                  <a:pt x="874471" y="553440"/>
                                </a:lnTo>
                                <a:lnTo>
                                  <a:pt x="840232" y="578269"/>
                                </a:lnTo>
                                <a:lnTo>
                                  <a:pt x="799934" y="592429"/>
                                </a:lnTo>
                                <a:lnTo>
                                  <a:pt x="755891" y="594233"/>
                                </a:lnTo>
                                <a:lnTo>
                                  <a:pt x="812050" y="311835"/>
                                </a:lnTo>
                                <a:lnTo>
                                  <a:pt x="881341" y="353631"/>
                                </a:lnTo>
                                <a:lnTo>
                                  <a:pt x="905243" y="390779"/>
                                </a:lnTo>
                                <a:lnTo>
                                  <a:pt x="917067" y="433311"/>
                                </a:lnTo>
                                <a:lnTo>
                                  <a:pt x="917067" y="364794"/>
                                </a:lnTo>
                                <a:lnTo>
                                  <a:pt x="870546" y="311835"/>
                                </a:lnTo>
                                <a:lnTo>
                                  <a:pt x="834263" y="293154"/>
                                </a:lnTo>
                                <a:lnTo>
                                  <a:pt x="802246" y="284429"/>
                                </a:lnTo>
                                <a:lnTo>
                                  <a:pt x="551027" y="34277"/>
                                </a:lnTo>
                                <a:lnTo>
                                  <a:pt x="516597" y="0"/>
                                </a:lnTo>
                                <a:lnTo>
                                  <a:pt x="31140" y="483539"/>
                                </a:lnTo>
                                <a:lnTo>
                                  <a:pt x="23088" y="646633"/>
                                </a:lnTo>
                                <a:lnTo>
                                  <a:pt x="25019" y="656043"/>
                                </a:lnTo>
                                <a:lnTo>
                                  <a:pt x="30226" y="663727"/>
                                </a:lnTo>
                                <a:lnTo>
                                  <a:pt x="37947" y="668921"/>
                                </a:lnTo>
                                <a:lnTo>
                                  <a:pt x="47409" y="670852"/>
                                </a:lnTo>
                                <a:lnTo>
                                  <a:pt x="595604" y="670852"/>
                                </a:lnTo>
                                <a:lnTo>
                                  <a:pt x="607771" y="669632"/>
                                </a:lnTo>
                                <a:lnTo>
                                  <a:pt x="625805" y="663143"/>
                                </a:lnTo>
                                <a:lnTo>
                                  <a:pt x="639559" y="650773"/>
                                </a:lnTo>
                                <a:lnTo>
                                  <a:pt x="641604" y="646633"/>
                                </a:lnTo>
                                <a:lnTo>
                                  <a:pt x="647750" y="634225"/>
                                </a:lnTo>
                                <a:lnTo>
                                  <a:pt x="649020" y="616229"/>
                                </a:lnTo>
                                <a:lnTo>
                                  <a:pt x="649097" y="615162"/>
                                </a:lnTo>
                                <a:lnTo>
                                  <a:pt x="634682" y="501383"/>
                                </a:lnTo>
                                <a:lnTo>
                                  <a:pt x="631621" y="477164"/>
                                </a:lnTo>
                                <a:lnTo>
                                  <a:pt x="625005" y="424903"/>
                                </a:lnTo>
                                <a:lnTo>
                                  <a:pt x="625005" y="618439"/>
                                </a:lnTo>
                                <a:lnTo>
                                  <a:pt x="624332" y="627837"/>
                                </a:lnTo>
                                <a:lnTo>
                                  <a:pt x="620318" y="636041"/>
                                </a:lnTo>
                                <a:lnTo>
                                  <a:pt x="613587" y="642239"/>
                                </a:lnTo>
                                <a:lnTo>
                                  <a:pt x="604748" y="645604"/>
                                </a:lnTo>
                                <a:lnTo>
                                  <a:pt x="47409" y="646633"/>
                                </a:lnTo>
                                <a:lnTo>
                                  <a:pt x="47409" y="501383"/>
                                </a:lnTo>
                                <a:lnTo>
                                  <a:pt x="610196" y="501383"/>
                                </a:lnTo>
                                <a:lnTo>
                                  <a:pt x="625005" y="618439"/>
                                </a:lnTo>
                                <a:lnTo>
                                  <a:pt x="625005" y="424903"/>
                                </a:lnTo>
                                <a:lnTo>
                                  <a:pt x="617829" y="368223"/>
                                </a:lnTo>
                                <a:lnTo>
                                  <a:pt x="613841" y="336753"/>
                                </a:lnTo>
                                <a:lnTo>
                                  <a:pt x="608393" y="320497"/>
                                </a:lnTo>
                                <a:lnTo>
                                  <a:pt x="608330" y="320294"/>
                                </a:lnTo>
                                <a:lnTo>
                                  <a:pt x="608215" y="319976"/>
                                </a:lnTo>
                                <a:lnTo>
                                  <a:pt x="607161" y="318681"/>
                                </a:lnTo>
                                <a:lnTo>
                                  <a:pt x="607161" y="477164"/>
                                </a:lnTo>
                                <a:lnTo>
                                  <a:pt x="437591" y="477164"/>
                                </a:lnTo>
                                <a:lnTo>
                                  <a:pt x="437591" y="368223"/>
                                </a:lnTo>
                                <a:lnTo>
                                  <a:pt x="593356" y="368223"/>
                                </a:lnTo>
                                <a:lnTo>
                                  <a:pt x="607136" y="476961"/>
                                </a:lnTo>
                                <a:lnTo>
                                  <a:pt x="607161" y="477164"/>
                                </a:lnTo>
                                <a:lnTo>
                                  <a:pt x="607161" y="318681"/>
                                </a:lnTo>
                                <a:lnTo>
                                  <a:pt x="597408" y="306603"/>
                                </a:lnTo>
                                <a:lnTo>
                                  <a:pt x="590257" y="302298"/>
                                </a:lnTo>
                                <a:lnTo>
                                  <a:pt x="590257" y="344004"/>
                                </a:lnTo>
                                <a:lnTo>
                                  <a:pt x="413283" y="344004"/>
                                </a:lnTo>
                                <a:lnTo>
                                  <a:pt x="413283" y="477164"/>
                                </a:lnTo>
                                <a:lnTo>
                                  <a:pt x="364655" y="477164"/>
                                </a:lnTo>
                                <a:lnTo>
                                  <a:pt x="364655" y="342798"/>
                                </a:lnTo>
                                <a:lnTo>
                                  <a:pt x="366572" y="333375"/>
                                </a:lnTo>
                                <a:lnTo>
                                  <a:pt x="371779" y="325678"/>
                                </a:lnTo>
                                <a:lnTo>
                                  <a:pt x="379501" y="320497"/>
                                </a:lnTo>
                                <a:lnTo>
                                  <a:pt x="388962" y="318592"/>
                                </a:lnTo>
                                <a:lnTo>
                                  <a:pt x="565226" y="318592"/>
                                </a:lnTo>
                                <a:lnTo>
                                  <a:pt x="590257" y="344004"/>
                                </a:lnTo>
                                <a:lnTo>
                                  <a:pt x="590257" y="302298"/>
                                </a:lnTo>
                                <a:lnTo>
                                  <a:pt x="582663" y="297700"/>
                                </a:lnTo>
                                <a:lnTo>
                                  <a:pt x="565226" y="294386"/>
                                </a:lnTo>
                                <a:lnTo>
                                  <a:pt x="388962" y="294386"/>
                                </a:lnTo>
                                <a:lnTo>
                                  <a:pt x="370065" y="298221"/>
                                </a:lnTo>
                                <a:lnTo>
                                  <a:pt x="354622" y="308597"/>
                                </a:lnTo>
                                <a:lnTo>
                                  <a:pt x="344208" y="323977"/>
                                </a:lnTo>
                                <a:lnTo>
                                  <a:pt x="340347" y="342798"/>
                                </a:lnTo>
                                <a:lnTo>
                                  <a:pt x="340347" y="477164"/>
                                </a:lnTo>
                                <a:lnTo>
                                  <a:pt x="72047" y="477164"/>
                                </a:lnTo>
                                <a:lnTo>
                                  <a:pt x="72123" y="476961"/>
                                </a:lnTo>
                                <a:lnTo>
                                  <a:pt x="516597" y="34277"/>
                                </a:lnTo>
                                <a:lnTo>
                                  <a:pt x="788593" y="305130"/>
                                </a:lnTo>
                                <a:lnTo>
                                  <a:pt x="727227" y="613816"/>
                                </a:lnTo>
                                <a:lnTo>
                                  <a:pt x="739127" y="616229"/>
                                </a:lnTo>
                                <a:lnTo>
                                  <a:pt x="784644" y="619175"/>
                                </a:lnTo>
                                <a:lnTo>
                                  <a:pt x="827849" y="610400"/>
                                </a:lnTo>
                                <a:lnTo>
                                  <a:pt x="860640" y="594233"/>
                                </a:lnTo>
                                <a:lnTo>
                                  <a:pt x="866825" y="591185"/>
                                </a:lnTo>
                                <a:lnTo>
                                  <a:pt x="899680" y="562800"/>
                                </a:lnTo>
                                <a:lnTo>
                                  <a:pt x="924496" y="526491"/>
                                </a:lnTo>
                                <a:lnTo>
                                  <a:pt x="939368" y="483539"/>
                                </a:lnTo>
                                <a:lnTo>
                                  <a:pt x="939469" y="483082"/>
                                </a:lnTo>
                                <a:lnTo>
                                  <a:pt x="941539" y="433654"/>
                                </a:lnTo>
                                <a:close/>
                              </a:path>
                            </a:pathLst>
                          </a:custGeom>
                          <a:solidFill>
                            <a:srgbClr val="BEC7E2"/>
                          </a:solidFill>
                        </wps:spPr>
                        <wps:bodyPr wrap="square" lIns="0" tIns="0" rIns="0" bIns="0" rtlCol="0">
                          <a:prstTxWarp prst="textNoShape">
                            <a:avLst/>
                          </a:prstTxWarp>
                        </wps:bodyPr>
                      </wps:wsp>
                      <wps:wsp>
                        <wps:cNvPr id="332" name="Graphic 332"/>
                        <wps:cNvSpPr/>
                        <wps:spPr>
                          <a:xfrm>
                            <a:off x="108559" y="75692"/>
                            <a:ext cx="1181100" cy="1049655"/>
                          </a:xfrm>
                          <a:custGeom>
                            <a:avLst/>
                            <a:gdLst/>
                            <a:ahLst/>
                            <a:cxnLst/>
                            <a:rect l="l" t="t" r="r" b="b"/>
                            <a:pathLst>
                              <a:path w="1181100" h="1049655">
                                <a:moveTo>
                                  <a:pt x="0" y="105028"/>
                                </a:moveTo>
                                <a:lnTo>
                                  <a:pt x="8243" y="64133"/>
                                </a:lnTo>
                                <a:lnTo>
                                  <a:pt x="30724" y="30749"/>
                                </a:lnTo>
                                <a:lnTo>
                                  <a:pt x="64068" y="8249"/>
                                </a:lnTo>
                                <a:lnTo>
                                  <a:pt x="104901" y="0"/>
                                </a:lnTo>
                                <a:lnTo>
                                  <a:pt x="1075969" y="0"/>
                                </a:lnTo>
                                <a:lnTo>
                                  <a:pt x="1116791" y="8249"/>
                                </a:lnTo>
                                <a:lnTo>
                                  <a:pt x="1150137" y="30749"/>
                                </a:lnTo>
                                <a:lnTo>
                                  <a:pt x="1172624" y="64133"/>
                                </a:lnTo>
                                <a:lnTo>
                                  <a:pt x="1180871" y="105028"/>
                                </a:lnTo>
                                <a:lnTo>
                                  <a:pt x="1180871" y="944245"/>
                                </a:lnTo>
                                <a:lnTo>
                                  <a:pt x="1172624" y="985067"/>
                                </a:lnTo>
                                <a:lnTo>
                                  <a:pt x="1150137" y="1018413"/>
                                </a:lnTo>
                                <a:lnTo>
                                  <a:pt x="1116791" y="1040899"/>
                                </a:lnTo>
                                <a:lnTo>
                                  <a:pt x="1075969" y="1049147"/>
                                </a:lnTo>
                                <a:lnTo>
                                  <a:pt x="104901" y="1049147"/>
                                </a:lnTo>
                                <a:lnTo>
                                  <a:pt x="64068" y="1040899"/>
                                </a:lnTo>
                                <a:lnTo>
                                  <a:pt x="30724" y="1018413"/>
                                </a:lnTo>
                                <a:lnTo>
                                  <a:pt x="8243" y="985067"/>
                                </a:lnTo>
                                <a:lnTo>
                                  <a:pt x="0" y="944245"/>
                                </a:lnTo>
                                <a:lnTo>
                                  <a:pt x="0" y="105028"/>
                                </a:lnTo>
                                <a:close/>
                              </a:path>
                            </a:pathLst>
                          </a:custGeom>
                          <a:ln w="12699">
                            <a:solidFill>
                              <a:srgbClr val="FFFFFF"/>
                            </a:solidFill>
                            <a:prstDash val="solid"/>
                          </a:ln>
                        </wps:spPr>
                        <wps:bodyPr wrap="square" lIns="0" tIns="0" rIns="0" bIns="0" rtlCol="0">
                          <a:prstTxWarp prst="textNoShape">
                            <a:avLst/>
                          </a:prstTxWarp>
                        </wps:bodyPr>
                      </wps:wsp>
                      <wps:wsp>
                        <wps:cNvPr id="333" name="Textbox 333"/>
                        <wps:cNvSpPr txBox="1"/>
                        <wps:spPr>
                          <a:xfrm>
                            <a:off x="0" y="0"/>
                            <a:ext cx="5904230" cy="1311275"/>
                          </a:xfrm>
                          <a:prstGeom prst="rect">
                            <a:avLst/>
                          </a:prstGeom>
                        </wps:spPr>
                        <wps:txbx>
                          <w:txbxContent>
                            <w:p w14:paraId="367541E0" w14:textId="77777777" w:rsidR="008715BE" w:rsidRDefault="00000000">
                              <w:pPr>
                                <w:spacing w:before="41"/>
                                <w:ind w:left="2120"/>
                                <w:rPr>
                                  <w:b/>
                                  <w:sz w:val="18"/>
                                </w:rPr>
                              </w:pPr>
                              <w:r>
                                <w:rPr>
                                  <w:b/>
                                  <w:w w:val="135"/>
                                  <w:sz w:val="12"/>
                                </w:rPr>
                                <w:t xml:space="preserve">Nature </w:t>
                              </w:r>
                              <w:r>
                                <w:rPr>
                                  <w:b/>
                                  <w:spacing w:val="-2"/>
                                  <w:w w:val="135"/>
                                  <w:sz w:val="12"/>
                                </w:rPr>
                                <w:t>of the impact</w:t>
                              </w:r>
                            </w:p>
                            <w:p w14:paraId="4B6D0CA2" w14:textId="77777777" w:rsidR="008715BE" w:rsidRDefault="00000000">
                              <w:pPr>
                                <w:numPr>
                                  <w:ilvl w:val="0"/>
                                  <w:numId w:val="65"/>
                                </w:numPr>
                                <w:tabs>
                                  <w:tab w:val="left" w:pos="2212"/>
                                  <w:tab w:val="left" w:pos="2280"/>
                                </w:tabs>
                                <w:spacing w:before="35" w:line="216" w:lineRule="auto"/>
                                <w:ind w:right="660" w:hanging="92"/>
                                <w:rPr>
                                  <w:sz w:val="18"/>
                                </w:rPr>
                              </w:pPr>
                              <w:r>
                                <w:rPr>
                                  <w:w w:val="120"/>
                                  <w:sz w:val="12"/>
                                </w:rPr>
                                <w:t>direct if the interventions and activities specific to the execution stage can cause immediate changes in water quality</w:t>
                              </w:r>
                            </w:p>
                            <w:p w14:paraId="318A9006" w14:textId="77777777" w:rsidR="008715BE" w:rsidRDefault="00000000">
                              <w:pPr>
                                <w:numPr>
                                  <w:ilvl w:val="0"/>
                                  <w:numId w:val="65"/>
                                </w:numPr>
                                <w:tabs>
                                  <w:tab w:val="left" w:pos="2212"/>
                                  <w:tab w:val="left" w:pos="2280"/>
                                </w:tabs>
                                <w:spacing w:before="39" w:line="216" w:lineRule="auto"/>
                                <w:ind w:right="507" w:hanging="92"/>
                                <w:rPr>
                                  <w:sz w:val="18"/>
                                </w:rPr>
                              </w:pPr>
                              <w:r>
                                <w:rPr>
                                  <w:w w:val="120"/>
                                  <w:sz w:val="12"/>
                                </w:rPr>
                                <w:t>indirect if they can produce/generate a potential impact after a certain period of time following the occurrence of the effect</w:t>
                              </w:r>
                            </w:p>
                          </w:txbxContent>
                        </wps:txbx>
                        <wps:bodyPr wrap="square" lIns="0" tIns="0" rIns="0" bIns="0" rtlCol="0"/>
                      </wps:wsp>
                    </wpg:wgp>
                  </a:graphicData>
                </a:graphic>
              </wp:anchor>
            </w:drawing>
          </mc:Choice>
          <mc:Fallback>
            <w:pict>
              <v:group w14:anchorId="0EE29E22" id="Group 329" o:spid="_x0000_s1174" style="position:absolute;margin-left:60.95pt;margin-top:9.6pt;width:464.9pt;height:103.25pt;z-index:-251536384;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">
                <v:shape id="Graphic 330" o:spid="_x0000_s1175"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" path="m5773039,l131127,,80088,10298,38407,38385,10305,80045,,131064,,1180211r10305,51018l38407,1272889r41681,28087l131127,1311275r5641912,l5824130,1300976r41698,-28087l5893929,1231229r10301,-51018l5904230,131064,5893929,80045,5865828,38385,5824130,10298,5773039,xe" fillcolor="#d9d9d9" stroked="f">
                  <v:path arrowok="t"/>
                </v:shape>
                <v:shape id="Graphic 331" o:spid="_x0000_s1176" style="position:absolute;left:2265;top:1494;width:9417;height:8770;visibility:visible;mso-wrap-style:square;v-text-anchor:top" coordsize="941705,8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" path="m151968,791895r-2388,-11773l143065,770496r-9652,-6477l121577,761631r-11824,2388l100088,770496r-6502,9626l91198,791895r2388,11786l100088,813295r9665,6490l121577,822159r11836,-2374l143065,813295r6515,-9614l151968,791895xem289725,791895r-2388,-11773l280835,770496r-9665,-6477l259346,761631r-11836,2388l237858,770496r-6515,9626l228955,791895r2388,11786l237858,813295r9652,6490l259346,822159r11824,-2374l280835,813295r6502,-9614l289725,791895xem427482,791895r-2388,-11773l418579,770496r-9652,-6477l397090,761631r-11823,2388l375602,770496r-6515,9626l366699,791895r2388,11786l375602,813295r9665,6490l397090,822159r11837,-2374l418579,813295r6515,-9614l427482,791895xem565251,791895r-2387,-11773l556348,770496r-9652,-6477l534860,761631r-11824,2388l513372,770496r-6515,9626l504469,791895r2388,11786l513372,813295r9664,6490l534860,822159r11836,-2374l556348,813295r6516,-9614l565251,791895xem656386,791895r-6693,-32982l632079,732878r,59017l627303,815454r-13030,19240l594956,847674r-23660,4750l85090,852424,61429,847674,42113,834694,29083,815454,24307,791895r4776,-23558l42113,749096,61429,736130r23661,-4750l571296,731380r23660,4750l614273,749096r13030,19241l632079,791895r,-59017l631469,731977r-902,-597l604418,713816r-33122,-6655l85090,707161r-33122,6655l24917,731977,6680,758913,,791895r6680,32982l24917,851814r27051,18161l85090,876630r486206,l604418,869975r26137,-17551l631469,851814r18224,-26937l656386,791895xem941539,433654l929779,386588,917067,364794r,68517l915619,476961r-15266,42621l874471,553440r-34239,24829l799934,592429r-44043,1804l812050,311835r69291,41796l905243,390779r11824,42532l917067,364794,870546,311835,834263,293154r-32017,-8725l551027,34277,516597,,31140,483539,23088,646633r1931,9410l30226,663727r7721,5194l47409,670852r548195,l607771,669632r18034,-6489l639559,650773r2045,-4140l647750,634225r1270,-17996l649097,615162,634682,501383r-3061,-24219l625005,424903r,193536l624332,627837r-4014,8204l613587,642239r-8839,3365l47409,646633r,-145250l610196,501383r14809,117056l625005,424903r-7176,-56680l613841,336753r-5448,-16256l608330,320294r-115,-318l607161,318681r,158483l437591,477164r,-108941l593356,368223r13780,108738l607161,477164r,-158483l597408,306603r-7151,-4305l590257,344004r-176974,l413283,477164r-48628,l364655,342798r1917,-9423l371779,325678r7722,-5181l388962,318592r176264,l590257,344004r,-41706l582663,297700r-17437,-3314l388962,294386r-18897,3835l354622,308597r-10414,15380l340347,342798r,134366l72047,477164r76,-203l516597,34277,788593,305130,727227,613816r11900,2413l784644,619175r43205,-8775l860640,594233r6185,-3048l899680,562800r24816,-36309l939368,483539r101,-457l941539,433654xe" fillcolor="#bec7e2" stroked="f">
                  <v:path arrowok="t"/>
                </v:shape>
                <v:shape id="Graphic 332" o:spid="_x0000_s1177" style="position:absolute;left:1085;top:756;width:11811;height:10497;visibility:visible;mso-wrap-style:square;v-text-anchor:top" coordsize="1181100,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" path="m,105028l8243,64133,30724,30749,64068,8249,104901,r971068,l1116791,8249r33346,22500l1172624,64133r8247,40895l1180871,944245r-8247,40822l1150137,1018413r-33346,22486l1075969,1049147r-971068,l64068,1040899,30724,1018413,8243,985067,,944245,,105028xe" filled="f" strokecolor="white" strokeweight=".35275mm">
                  <v:path arrowok="t"/>
                </v:shape>
                <v:shape id="Textbox 333" o:spid="_x0000_s1178"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367541E0" w14:textId="77777777" w:rsidR="008715BE" w:rsidRDefault="00000000">
                        <w:pPr>
                          <w:spacing w:before="41"/>
                          <w:ind w:left="2120"/>
                          <w:rPr>
                            <w:b/>
                            <w:sz w:val="18"/>
                          </w:rPr>
                        </w:pPr>
                        <w:r>
                          <w:rPr>
                            <w:b/>
                            <w:w w:val="135"/>
                            <w:sz w:val="12"/>
                          </w:rPr>
                          <w:t xml:space="preserve">Nature </w:t>
                        </w:r>
                        <w:r>
                          <w:rPr>
                            <w:b/>
                            <w:spacing w:val="-2"/>
                            <w:w w:val="135"/>
                            <w:sz w:val="12"/>
                          </w:rPr>
                          <w:t>of the impact</w:t>
                        </w:r>
                      </w:p>
                      <w:p w14:paraId="4B6D0CA2" w14:textId="77777777" w:rsidR="008715BE" w:rsidRDefault="00000000">
                        <w:pPr>
                          <w:numPr>
                            <w:ilvl w:val="0"/>
                            <w:numId w:val="65"/>
                          </w:numPr>
                          <w:tabs>
                            <w:tab w:val="left" w:pos="2212"/>
                            <w:tab w:val="left" w:pos="2280"/>
                          </w:tabs>
                          <w:spacing w:before="35" w:line="216" w:lineRule="auto"/>
                          <w:ind w:right="660" w:hanging="92"/>
                          <w:rPr>
                            <w:sz w:val="18"/>
                          </w:rPr>
                        </w:pPr>
                        <w:r>
                          <w:rPr>
                            <w:w w:val="120"/>
                            <w:sz w:val="12"/>
                          </w:rPr>
                          <w:t>direct if the interventions and activities specific to the execution stage can cause immediate changes in water quality</w:t>
                        </w:r>
                      </w:p>
                      <w:p w14:paraId="318A9006" w14:textId="77777777" w:rsidR="008715BE" w:rsidRDefault="00000000">
                        <w:pPr>
                          <w:numPr>
                            <w:ilvl w:val="0"/>
                            <w:numId w:val="65"/>
                          </w:numPr>
                          <w:tabs>
                            <w:tab w:val="left" w:pos="2212"/>
                            <w:tab w:val="left" w:pos="2280"/>
                          </w:tabs>
                          <w:spacing w:before="39" w:line="216" w:lineRule="auto"/>
                          <w:ind w:right="507" w:hanging="92"/>
                          <w:rPr>
                            <w:sz w:val="18"/>
                          </w:rPr>
                        </w:pPr>
                        <w:r>
                          <w:rPr>
                            <w:w w:val="120"/>
                            <w:sz w:val="12"/>
                          </w:rPr>
                          <w:t>indirect if they can produce/generate a potential impact after a certain period of time following the occurrence of the effect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82144" behindDoc="1" locked="0" layoutInCell="1" allowOverlap="1" wp14:anchorId="744E0FB6" wp14:editId="71BDB87E">
                <wp:simplePos x="0" y="0"/>
                <wp:positionH relativeFrom="page">
                  <wp:posOffset>774065</wp:posOffset>
                </wp:positionH>
                <wp:positionV relativeFrom="paragraph">
                  <wp:posOffset>1564372</wp:posOffset>
                </wp:positionV>
                <wp:extent cx="5904230" cy="1311275"/>
                <wp:effectExtent l="0" t="0" r="0" b="0"/>
                <wp:wrapTopAndBottom/>
                <wp:docPr id="334" name="Group 334"/>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35" name="Graphic 335"/>
                        <wps:cNvSpPr/>
                        <wps:spPr>
                          <a:xfrm>
                            <a:off x="0" y="0"/>
                            <a:ext cx="5904230" cy="1311275"/>
                          </a:xfrm>
                          <a:custGeom>
                            <a:avLst/>
                            <a:gdLst/>
                            <a:ahLst/>
                            <a:cxnLst/>
                            <a:rect l="l" t="t" r="r" b="b"/>
                            <a:pathLst>
                              <a:path w="5904230" h="1311275">
                                <a:moveTo>
                                  <a:pt x="5773039" y="0"/>
                                </a:moveTo>
                                <a:lnTo>
                                  <a:pt x="131127" y="0"/>
                                </a:lnTo>
                                <a:lnTo>
                                  <a:pt x="80088" y="10298"/>
                                </a:lnTo>
                                <a:lnTo>
                                  <a:pt x="38407" y="38385"/>
                                </a:lnTo>
                                <a:lnTo>
                                  <a:pt x="10305" y="80045"/>
                                </a:lnTo>
                                <a:lnTo>
                                  <a:pt x="0" y="131063"/>
                                </a:lnTo>
                                <a:lnTo>
                                  <a:pt x="0" y="1180211"/>
                                </a:lnTo>
                                <a:lnTo>
                                  <a:pt x="10305" y="1231229"/>
                                </a:lnTo>
                                <a:lnTo>
                                  <a:pt x="38407" y="1272889"/>
                                </a:lnTo>
                                <a:lnTo>
                                  <a:pt x="80088" y="1300976"/>
                                </a:lnTo>
                                <a:lnTo>
                                  <a:pt x="131127" y="1311275"/>
                                </a:lnTo>
                                <a:lnTo>
                                  <a:pt x="5773039" y="1311275"/>
                                </a:lnTo>
                                <a:lnTo>
                                  <a:pt x="5824130" y="1300976"/>
                                </a:lnTo>
                                <a:lnTo>
                                  <a:pt x="5865828" y="1272889"/>
                                </a:lnTo>
                                <a:lnTo>
                                  <a:pt x="5893929" y="1231229"/>
                                </a:lnTo>
                                <a:lnTo>
                                  <a:pt x="5904230" y="1180211"/>
                                </a:lnTo>
                                <a:lnTo>
                                  <a:pt x="5904230" y="131063"/>
                                </a:lnTo>
                                <a:lnTo>
                                  <a:pt x="5893929" y="80045"/>
                                </a:lnTo>
                                <a:lnTo>
                                  <a:pt x="5865828" y="38385"/>
                                </a:lnTo>
                                <a:lnTo>
                                  <a:pt x="5824130" y="10298"/>
                                </a:lnTo>
                                <a:lnTo>
                                  <a:pt x="5773039" y="0"/>
                                </a:lnTo>
                                <a:close/>
                              </a:path>
                            </a:pathLst>
                          </a:custGeom>
                          <a:solidFill>
                            <a:srgbClr val="FFCFBA"/>
                          </a:solidFill>
                        </wps:spPr>
                        <wps:bodyPr wrap="square" lIns="0" tIns="0" rIns="0" bIns="0" rtlCol="0">
                          <a:prstTxWarp prst="textNoShape">
                            <a:avLst/>
                          </a:prstTxWarp>
                        </wps:bodyPr>
                      </wps:wsp>
                      <wps:wsp>
                        <wps:cNvPr id="336" name="Graphic 336"/>
                        <wps:cNvSpPr/>
                        <wps:spPr>
                          <a:xfrm>
                            <a:off x="241363" y="249414"/>
                            <a:ext cx="899794" cy="750570"/>
                          </a:xfrm>
                          <a:custGeom>
                            <a:avLst/>
                            <a:gdLst/>
                            <a:ahLst/>
                            <a:cxnLst/>
                            <a:rect l="l" t="t" r="r" b="b"/>
                            <a:pathLst>
                              <a:path w="899794" h="750570">
                                <a:moveTo>
                                  <a:pt x="133718" y="557047"/>
                                </a:moveTo>
                                <a:lnTo>
                                  <a:pt x="85102" y="557047"/>
                                </a:lnTo>
                                <a:lnTo>
                                  <a:pt x="85102" y="605472"/>
                                </a:lnTo>
                                <a:lnTo>
                                  <a:pt x="133718" y="605472"/>
                                </a:lnTo>
                                <a:lnTo>
                                  <a:pt x="133718" y="557047"/>
                                </a:lnTo>
                                <a:close/>
                              </a:path>
                              <a:path w="899794" h="750570">
                                <a:moveTo>
                                  <a:pt x="133718" y="459994"/>
                                </a:moveTo>
                                <a:lnTo>
                                  <a:pt x="85102" y="459994"/>
                                </a:lnTo>
                                <a:lnTo>
                                  <a:pt x="85102" y="508419"/>
                                </a:lnTo>
                                <a:lnTo>
                                  <a:pt x="133718" y="508419"/>
                                </a:lnTo>
                                <a:lnTo>
                                  <a:pt x="133718" y="459994"/>
                                </a:lnTo>
                                <a:close/>
                              </a:path>
                              <a:path w="899794" h="750570">
                                <a:moveTo>
                                  <a:pt x="133718" y="363143"/>
                                </a:moveTo>
                                <a:lnTo>
                                  <a:pt x="85102" y="363143"/>
                                </a:lnTo>
                                <a:lnTo>
                                  <a:pt x="85102" y="411581"/>
                                </a:lnTo>
                                <a:lnTo>
                                  <a:pt x="133718" y="411581"/>
                                </a:lnTo>
                                <a:lnTo>
                                  <a:pt x="133718" y="363143"/>
                                </a:lnTo>
                                <a:close/>
                              </a:path>
                              <a:path w="899794" h="750570">
                                <a:moveTo>
                                  <a:pt x="230962" y="557047"/>
                                </a:moveTo>
                                <a:lnTo>
                                  <a:pt x="182346" y="557047"/>
                                </a:lnTo>
                                <a:lnTo>
                                  <a:pt x="182346" y="605472"/>
                                </a:lnTo>
                                <a:lnTo>
                                  <a:pt x="230962" y="605472"/>
                                </a:lnTo>
                                <a:lnTo>
                                  <a:pt x="230962" y="557047"/>
                                </a:lnTo>
                                <a:close/>
                              </a:path>
                              <a:path w="899794" h="750570">
                                <a:moveTo>
                                  <a:pt x="230962" y="459994"/>
                                </a:moveTo>
                                <a:lnTo>
                                  <a:pt x="182346" y="459994"/>
                                </a:lnTo>
                                <a:lnTo>
                                  <a:pt x="182346" y="508419"/>
                                </a:lnTo>
                                <a:lnTo>
                                  <a:pt x="230962" y="508419"/>
                                </a:lnTo>
                                <a:lnTo>
                                  <a:pt x="230962" y="459994"/>
                                </a:lnTo>
                                <a:close/>
                              </a:path>
                              <a:path w="899794" h="750570">
                                <a:moveTo>
                                  <a:pt x="230962" y="363143"/>
                                </a:moveTo>
                                <a:lnTo>
                                  <a:pt x="182346" y="363143"/>
                                </a:lnTo>
                                <a:lnTo>
                                  <a:pt x="182346" y="411581"/>
                                </a:lnTo>
                                <a:lnTo>
                                  <a:pt x="230962" y="411581"/>
                                </a:lnTo>
                                <a:lnTo>
                                  <a:pt x="230962" y="363143"/>
                                </a:lnTo>
                                <a:close/>
                              </a:path>
                              <a:path w="899794" h="750570">
                                <a:moveTo>
                                  <a:pt x="267423" y="181787"/>
                                </a:moveTo>
                                <a:lnTo>
                                  <a:pt x="218795" y="181787"/>
                                </a:lnTo>
                                <a:lnTo>
                                  <a:pt x="218795" y="230212"/>
                                </a:lnTo>
                                <a:lnTo>
                                  <a:pt x="267423" y="230212"/>
                                </a:lnTo>
                                <a:lnTo>
                                  <a:pt x="267423" y="181787"/>
                                </a:lnTo>
                                <a:close/>
                              </a:path>
                              <a:path w="899794" h="750570">
                                <a:moveTo>
                                  <a:pt x="267423" y="84734"/>
                                </a:moveTo>
                                <a:lnTo>
                                  <a:pt x="218795" y="84734"/>
                                </a:lnTo>
                                <a:lnTo>
                                  <a:pt x="218795" y="133159"/>
                                </a:lnTo>
                                <a:lnTo>
                                  <a:pt x="267423" y="133159"/>
                                </a:lnTo>
                                <a:lnTo>
                                  <a:pt x="267423" y="84734"/>
                                </a:lnTo>
                                <a:close/>
                              </a:path>
                              <a:path w="899794" h="750570">
                                <a:moveTo>
                                  <a:pt x="364655" y="181787"/>
                                </a:moveTo>
                                <a:lnTo>
                                  <a:pt x="316039" y="181787"/>
                                </a:lnTo>
                                <a:lnTo>
                                  <a:pt x="316039" y="230212"/>
                                </a:lnTo>
                                <a:lnTo>
                                  <a:pt x="364655" y="230212"/>
                                </a:lnTo>
                                <a:lnTo>
                                  <a:pt x="364655" y="181787"/>
                                </a:lnTo>
                                <a:close/>
                              </a:path>
                              <a:path w="899794" h="750570">
                                <a:moveTo>
                                  <a:pt x="364655" y="84734"/>
                                </a:moveTo>
                                <a:lnTo>
                                  <a:pt x="316039" y="84734"/>
                                </a:lnTo>
                                <a:lnTo>
                                  <a:pt x="316039" y="133159"/>
                                </a:lnTo>
                                <a:lnTo>
                                  <a:pt x="364655" y="133159"/>
                                </a:lnTo>
                                <a:lnTo>
                                  <a:pt x="364655" y="84734"/>
                                </a:lnTo>
                                <a:close/>
                              </a:path>
                              <a:path w="899794" h="750570">
                                <a:moveTo>
                                  <a:pt x="425437" y="557047"/>
                                </a:moveTo>
                                <a:lnTo>
                                  <a:pt x="376821" y="557047"/>
                                </a:lnTo>
                                <a:lnTo>
                                  <a:pt x="376821" y="605472"/>
                                </a:lnTo>
                                <a:lnTo>
                                  <a:pt x="425437" y="605472"/>
                                </a:lnTo>
                                <a:lnTo>
                                  <a:pt x="425437" y="557047"/>
                                </a:lnTo>
                                <a:close/>
                              </a:path>
                              <a:path w="899794" h="750570">
                                <a:moveTo>
                                  <a:pt x="425437" y="459994"/>
                                </a:moveTo>
                                <a:lnTo>
                                  <a:pt x="376821" y="459994"/>
                                </a:lnTo>
                                <a:lnTo>
                                  <a:pt x="376821" y="508419"/>
                                </a:lnTo>
                                <a:lnTo>
                                  <a:pt x="425437" y="508419"/>
                                </a:lnTo>
                                <a:lnTo>
                                  <a:pt x="425437" y="459994"/>
                                </a:lnTo>
                                <a:close/>
                              </a:path>
                              <a:path w="899794" h="750570">
                                <a:moveTo>
                                  <a:pt x="522681" y="557047"/>
                                </a:moveTo>
                                <a:lnTo>
                                  <a:pt x="474065" y="557047"/>
                                </a:lnTo>
                                <a:lnTo>
                                  <a:pt x="474065" y="605472"/>
                                </a:lnTo>
                                <a:lnTo>
                                  <a:pt x="522681" y="605472"/>
                                </a:lnTo>
                                <a:lnTo>
                                  <a:pt x="522681" y="557047"/>
                                </a:lnTo>
                                <a:close/>
                              </a:path>
                              <a:path w="899794" h="750570">
                                <a:moveTo>
                                  <a:pt x="522681" y="459994"/>
                                </a:moveTo>
                                <a:lnTo>
                                  <a:pt x="474065" y="459994"/>
                                </a:lnTo>
                                <a:lnTo>
                                  <a:pt x="474065" y="508419"/>
                                </a:lnTo>
                                <a:lnTo>
                                  <a:pt x="522681" y="508419"/>
                                </a:lnTo>
                                <a:lnTo>
                                  <a:pt x="522681" y="459994"/>
                                </a:lnTo>
                                <a:close/>
                              </a:path>
                              <a:path w="899794" h="750570">
                                <a:moveTo>
                                  <a:pt x="717169" y="557047"/>
                                </a:moveTo>
                                <a:lnTo>
                                  <a:pt x="668540" y="557047"/>
                                </a:lnTo>
                                <a:lnTo>
                                  <a:pt x="668540" y="605472"/>
                                </a:lnTo>
                                <a:lnTo>
                                  <a:pt x="717169" y="605472"/>
                                </a:lnTo>
                                <a:lnTo>
                                  <a:pt x="717169" y="557047"/>
                                </a:lnTo>
                                <a:close/>
                              </a:path>
                              <a:path w="899794" h="750570">
                                <a:moveTo>
                                  <a:pt x="717169" y="459994"/>
                                </a:moveTo>
                                <a:lnTo>
                                  <a:pt x="668540" y="459994"/>
                                </a:lnTo>
                                <a:lnTo>
                                  <a:pt x="668540" y="508419"/>
                                </a:lnTo>
                                <a:lnTo>
                                  <a:pt x="717169" y="508419"/>
                                </a:lnTo>
                                <a:lnTo>
                                  <a:pt x="717169" y="459994"/>
                                </a:lnTo>
                                <a:close/>
                              </a:path>
                              <a:path w="899794" h="750570">
                                <a:moveTo>
                                  <a:pt x="717169" y="363156"/>
                                </a:moveTo>
                                <a:lnTo>
                                  <a:pt x="668540" y="363156"/>
                                </a:lnTo>
                                <a:lnTo>
                                  <a:pt x="668540" y="411581"/>
                                </a:lnTo>
                                <a:lnTo>
                                  <a:pt x="717169" y="411581"/>
                                </a:lnTo>
                                <a:lnTo>
                                  <a:pt x="717169" y="363156"/>
                                </a:lnTo>
                                <a:close/>
                              </a:path>
                              <a:path w="899794" h="750570">
                                <a:moveTo>
                                  <a:pt x="717169" y="266522"/>
                                </a:moveTo>
                                <a:lnTo>
                                  <a:pt x="668540" y="266522"/>
                                </a:lnTo>
                                <a:lnTo>
                                  <a:pt x="668540" y="314960"/>
                                </a:lnTo>
                                <a:lnTo>
                                  <a:pt x="717169" y="314960"/>
                                </a:lnTo>
                                <a:lnTo>
                                  <a:pt x="717169" y="266522"/>
                                </a:lnTo>
                                <a:close/>
                              </a:path>
                              <a:path w="899794" h="750570">
                                <a:moveTo>
                                  <a:pt x="717169" y="169468"/>
                                </a:moveTo>
                                <a:lnTo>
                                  <a:pt x="668540" y="169468"/>
                                </a:lnTo>
                                <a:lnTo>
                                  <a:pt x="668540" y="217906"/>
                                </a:lnTo>
                                <a:lnTo>
                                  <a:pt x="717169" y="217906"/>
                                </a:lnTo>
                                <a:lnTo>
                                  <a:pt x="717169" y="169468"/>
                                </a:lnTo>
                                <a:close/>
                              </a:path>
                              <a:path w="899794" h="750570">
                                <a:moveTo>
                                  <a:pt x="814412" y="557047"/>
                                </a:moveTo>
                                <a:lnTo>
                                  <a:pt x="765784" y="557047"/>
                                </a:lnTo>
                                <a:lnTo>
                                  <a:pt x="765784" y="605472"/>
                                </a:lnTo>
                                <a:lnTo>
                                  <a:pt x="814412" y="605472"/>
                                </a:lnTo>
                                <a:lnTo>
                                  <a:pt x="814412" y="557047"/>
                                </a:lnTo>
                                <a:close/>
                              </a:path>
                              <a:path w="899794" h="750570">
                                <a:moveTo>
                                  <a:pt x="814412" y="459994"/>
                                </a:moveTo>
                                <a:lnTo>
                                  <a:pt x="765784" y="459994"/>
                                </a:lnTo>
                                <a:lnTo>
                                  <a:pt x="765784" y="508419"/>
                                </a:lnTo>
                                <a:lnTo>
                                  <a:pt x="814412" y="508419"/>
                                </a:lnTo>
                                <a:lnTo>
                                  <a:pt x="814412" y="459994"/>
                                </a:lnTo>
                                <a:close/>
                              </a:path>
                              <a:path w="899794" h="750570">
                                <a:moveTo>
                                  <a:pt x="814412" y="363156"/>
                                </a:moveTo>
                                <a:lnTo>
                                  <a:pt x="765784" y="363156"/>
                                </a:lnTo>
                                <a:lnTo>
                                  <a:pt x="765784" y="411581"/>
                                </a:lnTo>
                                <a:lnTo>
                                  <a:pt x="814412" y="411581"/>
                                </a:lnTo>
                                <a:lnTo>
                                  <a:pt x="814412" y="363156"/>
                                </a:lnTo>
                                <a:close/>
                              </a:path>
                              <a:path w="899794" h="750570">
                                <a:moveTo>
                                  <a:pt x="814412" y="266522"/>
                                </a:moveTo>
                                <a:lnTo>
                                  <a:pt x="765784" y="266522"/>
                                </a:lnTo>
                                <a:lnTo>
                                  <a:pt x="765784" y="314960"/>
                                </a:lnTo>
                                <a:lnTo>
                                  <a:pt x="814412" y="314960"/>
                                </a:lnTo>
                                <a:lnTo>
                                  <a:pt x="814412" y="266522"/>
                                </a:lnTo>
                                <a:close/>
                              </a:path>
                              <a:path w="899794" h="750570">
                                <a:moveTo>
                                  <a:pt x="814412" y="169468"/>
                                </a:moveTo>
                                <a:lnTo>
                                  <a:pt x="765784" y="169468"/>
                                </a:lnTo>
                                <a:lnTo>
                                  <a:pt x="765784" y="217906"/>
                                </a:lnTo>
                                <a:lnTo>
                                  <a:pt x="814412" y="217906"/>
                                </a:lnTo>
                                <a:lnTo>
                                  <a:pt x="814412" y="169468"/>
                                </a:lnTo>
                                <a:close/>
                              </a:path>
                              <a:path w="899794" h="750570">
                                <a:moveTo>
                                  <a:pt x="899464" y="98247"/>
                                </a:moveTo>
                                <a:lnTo>
                                  <a:pt x="875157" y="95224"/>
                                </a:lnTo>
                                <a:lnTo>
                                  <a:pt x="875157" y="119634"/>
                                </a:lnTo>
                                <a:lnTo>
                                  <a:pt x="875157" y="726300"/>
                                </a:lnTo>
                                <a:lnTo>
                                  <a:pt x="765784" y="726300"/>
                                </a:lnTo>
                                <a:lnTo>
                                  <a:pt x="765784" y="653681"/>
                                </a:lnTo>
                                <a:lnTo>
                                  <a:pt x="717169" y="653681"/>
                                </a:lnTo>
                                <a:lnTo>
                                  <a:pt x="717169" y="726300"/>
                                </a:lnTo>
                                <a:lnTo>
                                  <a:pt x="607771" y="726300"/>
                                </a:lnTo>
                                <a:lnTo>
                                  <a:pt x="607771" y="399465"/>
                                </a:lnTo>
                                <a:lnTo>
                                  <a:pt x="607771" y="375259"/>
                                </a:lnTo>
                                <a:lnTo>
                                  <a:pt x="607771" y="86334"/>
                                </a:lnTo>
                                <a:lnTo>
                                  <a:pt x="875157" y="119634"/>
                                </a:lnTo>
                                <a:lnTo>
                                  <a:pt x="875157" y="95224"/>
                                </a:lnTo>
                                <a:lnTo>
                                  <a:pt x="803770" y="86334"/>
                                </a:lnTo>
                                <a:lnTo>
                                  <a:pt x="583463" y="58915"/>
                                </a:lnTo>
                                <a:lnTo>
                                  <a:pt x="583463" y="375259"/>
                                </a:lnTo>
                                <a:lnTo>
                                  <a:pt x="583463" y="399465"/>
                                </a:lnTo>
                                <a:lnTo>
                                  <a:pt x="583463" y="726300"/>
                                </a:lnTo>
                                <a:lnTo>
                                  <a:pt x="474065" y="726300"/>
                                </a:lnTo>
                                <a:lnTo>
                                  <a:pt x="474065" y="653669"/>
                                </a:lnTo>
                                <a:lnTo>
                                  <a:pt x="425437" y="653669"/>
                                </a:lnTo>
                                <a:lnTo>
                                  <a:pt x="425437" y="726300"/>
                                </a:lnTo>
                                <a:lnTo>
                                  <a:pt x="316039" y="726300"/>
                                </a:lnTo>
                                <a:lnTo>
                                  <a:pt x="316039" y="399465"/>
                                </a:lnTo>
                                <a:lnTo>
                                  <a:pt x="583463" y="399465"/>
                                </a:lnTo>
                                <a:lnTo>
                                  <a:pt x="583463" y="375259"/>
                                </a:lnTo>
                                <a:lnTo>
                                  <a:pt x="449745" y="375259"/>
                                </a:lnTo>
                                <a:lnTo>
                                  <a:pt x="449745" y="24206"/>
                                </a:lnTo>
                                <a:lnTo>
                                  <a:pt x="449745" y="0"/>
                                </a:lnTo>
                                <a:lnTo>
                                  <a:pt x="425437" y="0"/>
                                </a:lnTo>
                                <a:lnTo>
                                  <a:pt x="425437" y="24206"/>
                                </a:lnTo>
                                <a:lnTo>
                                  <a:pt x="425437" y="375259"/>
                                </a:lnTo>
                                <a:lnTo>
                                  <a:pt x="316039" y="375259"/>
                                </a:lnTo>
                                <a:lnTo>
                                  <a:pt x="316039" y="302628"/>
                                </a:lnTo>
                                <a:lnTo>
                                  <a:pt x="316039" y="278422"/>
                                </a:lnTo>
                                <a:lnTo>
                                  <a:pt x="291731" y="278422"/>
                                </a:lnTo>
                                <a:lnTo>
                                  <a:pt x="291731" y="302628"/>
                                </a:lnTo>
                                <a:lnTo>
                                  <a:pt x="291731" y="726300"/>
                                </a:lnTo>
                                <a:lnTo>
                                  <a:pt x="182333" y="726300"/>
                                </a:lnTo>
                                <a:lnTo>
                                  <a:pt x="182333" y="653669"/>
                                </a:lnTo>
                                <a:lnTo>
                                  <a:pt x="133705" y="653669"/>
                                </a:lnTo>
                                <a:lnTo>
                                  <a:pt x="133705" y="726300"/>
                                </a:lnTo>
                                <a:lnTo>
                                  <a:pt x="24307" y="726300"/>
                                </a:lnTo>
                                <a:lnTo>
                                  <a:pt x="24307" y="302628"/>
                                </a:lnTo>
                                <a:lnTo>
                                  <a:pt x="291731" y="302628"/>
                                </a:lnTo>
                                <a:lnTo>
                                  <a:pt x="291731" y="278422"/>
                                </a:lnTo>
                                <a:lnTo>
                                  <a:pt x="158026" y="278422"/>
                                </a:lnTo>
                                <a:lnTo>
                                  <a:pt x="158026" y="24206"/>
                                </a:lnTo>
                                <a:lnTo>
                                  <a:pt x="425437" y="24206"/>
                                </a:lnTo>
                                <a:lnTo>
                                  <a:pt x="425437" y="0"/>
                                </a:lnTo>
                                <a:lnTo>
                                  <a:pt x="133705" y="0"/>
                                </a:lnTo>
                                <a:lnTo>
                                  <a:pt x="133705" y="278422"/>
                                </a:lnTo>
                                <a:lnTo>
                                  <a:pt x="0" y="278422"/>
                                </a:lnTo>
                                <a:lnTo>
                                  <a:pt x="0" y="750519"/>
                                </a:lnTo>
                                <a:lnTo>
                                  <a:pt x="899464" y="750519"/>
                                </a:lnTo>
                                <a:lnTo>
                                  <a:pt x="899464" y="726300"/>
                                </a:lnTo>
                                <a:lnTo>
                                  <a:pt x="899464" y="98247"/>
                                </a:lnTo>
                                <a:close/>
                              </a:path>
                            </a:pathLst>
                          </a:custGeom>
                          <a:solidFill>
                            <a:srgbClr val="BCC5E2"/>
                          </a:solidFill>
                        </wps:spPr>
                        <wps:bodyPr wrap="square" lIns="0" tIns="0" rIns="0" bIns="0" rtlCol="0">
                          <a:prstTxWarp prst="textNoShape">
                            <a:avLst/>
                          </a:prstTxWarp>
                        </wps:bodyPr>
                      </wps:wsp>
                      <wps:wsp>
                        <wps:cNvPr id="337" name="Graphic 337"/>
                        <wps:cNvSpPr/>
                        <wps:spPr>
                          <a:xfrm>
                            <a:off x="99021" y="97917"/>
                            <a:ext cx="1181100" cy="1049020"/>
                          </a:xfrm>
                          <a:custGeom>
                            <a:avLst/>
                            <a:gdLst/>
                            <a:ahLst/>
                            <a:cxnLst/>
                            <a:rect l="l" t="t" r="r" b="b"/>
                            <a:pathLst>
                              <a:path w="1181100" h="1049020">
                                <a:moveTo>
                                  <a:pt x="0" y="104901"/>
                                </a:moveTo>
                                <a:lnTo>
                                  <a:pt x="8245" y="64079"/>
                                </a:lnTo>
                                <a:lnTo>
                                  <a:pt x="30730" y="30733"/>
                                </a:lnTo>
                                <a:lnTo>
                                  <a:pt x="64079" y="8247"/>
                                </a:lnTo>
                                <a:lnTo>
                                  <a:pt x="104914" y="0"/>
                                </a:lnTo>
                                <a:lnTo>
                                  <a:pt x="1075982" y="0"/>
                                </a:lnTo>
                                <a:lnTo>
                                  <a:pt x="1116804" y="8247"/>
                                </a:lnTo>
                                <a:lnTo>
                                  <a:pt x="1150150" y="30733"/>
                                </a:lnTo>
                                <a:lnTo>
                                  <a:pt x="1172637" y="64079"/>
                                </a:lnTo>
                                <a:lnTo>
                                  <a:pt x="1180884" y="104901"/>
                                </a:lnTo>
                                <a:lnTo>
                                  <a:pt x="1180884" y="944117"/>
                                </a:lnTo>
                                <a:lnTo>
                                  <a:pt x="1172637" y="984940"/>
                                </a:lnTo>
                                <a:lnTo>
                                  <a:pt x="1150150" y="1018286"/>
                                </a:lnTo>
                                <a:lnTo>
                                  <a:pt x="1116804" y="1040772"/>
                                </a:lnTo>
                                <a:lnTo>
                                  <a:pt x="1075982" y="1049019"/>
                                </a:lnTo>
                                <a:lnTo>
                                  <a:pt x="104914" y="1049019"/>
                                </a:lnTo>
                                <a:lnTo>
                                  <a:pt x="64079" y="1040772"/>
                                </a:lnTo>
                                <a:lnTo>
                                  <a:pt x="30730" y="1018285"/>
                                </a:lnTo>
                                <a:lnTo>
                                  <a:pt x="8245" y="984940"/>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38" name="Textbox 338"/>
                        <wps:cNvSpPr txBox="1"/>
                        <wps:spPr>
                          <a:xfrm>
                            <a:off x="0" y="0"/>
                            <a:ext cx="5904230" cy="1311275"/>
                          </a:xfrm>
                          <a:prstGeom prst="rect">
                            <a:avLst/>
                          </a:prstGeom>
                        </wps:spPr>
                        <wps:txbx>
                          <w:txbxContent>
                            <w:p w14:paraId="19A4D8A4" w14:textId="77777777" w:rsidR="008715BE" w:rsidRDefault="008715BE">
                              <w:pPr>
                                <w:rPr>
                                  <w:sz w:val="18"/>
                                </w:rPr>
                              </w:pPr>
                            </w:p>
                            <w:p w14:paraId="6417C75E" w14:textId="77777777" w:rsidR="008715BE" w:rsidRDefault="008715BE">
                              <w:pPr>
                                <w:spacing w:before="28"/>
                                <w:rPr>
                                  <w:sz w:val="18"/>
                                </w:rPr>
                              </w:pPr>
                            </w:p>
                            <w:p w14:paraId="7F485F66" w14:textId="77777777" w:rsidR="008715BE" w:rsidRDefault="00000000">
                              <w:pPr>
                                <w:ind w:left="2120"/>
                                <w:rPr>
                                  <w:b/>
                                  <w:sz w:val="18"/>
                                </w:rPr>
                              </w:pPr>
                              <w:r>
                                <w:rPr>
                                  <w:b/>
                                  <w:w w:val="135"/>
                                  <w:sz w:val="12"/>
                                </w:rPr>
                                <w:t xml:space="preserve">Extension </w:t>
                              </w:r>
                              <w:r>
                                <w:rPr>
                                  <w:b/>
                                  <w:spacing w:val="-2"/>
                                  <w:w w:val="135"/>
                                  <w:sz w:val="12"/>
                                </w:rPr>
                                <w:t>of impact</w:t>
                              </w:r>
                            </w:p>
                            <w:p w14:paraId="1680CEBC" w14:textId="77777777" w:rsidR="008715BE" w:rsidRDefault="00000000">
                              <w:pPr>
                                <w:numPr>
                                  <w:ilvl w:val="0"/>
                                  <w:numId w:val="64"/>
                                </w:numPr>
                                <w:tabs>
                                  <w:tab w:val="left" w:pos="2292"/>
                                </w:tabs>
                                <w:spacing w:before="18"/>
                                <w:ind w:left="2292" w:hanging="172"/>
                                <w:rPr>
                                  <w:sz w:val="18"/>
                                </w:rPr>
                              </w:pPr>
                              <w:r>
                                <w:rPr>
                                  <w:w w:val="120"/>
                                  <w:sz w:val="12"/>
                                </w:rPr>
                                <w:t xml:space="preserve">Local: for specific works at the </w:t>
                              </w:r>
                              <w:r>
                                <w:rPr>
                                  <w:spacing w:val="-5"/>
                                  <w:w w:val="120"/>
                                  <w:sz w:val="12"/>
                                </w:rPr>
                                <w:t xml:space="preserve">UAT </w:t>
                              </w:r>
                              <w:r>
                                <w:rPr>
                                  <w:w w:val="120"/>
                                  <w:sz w:val="12"/>
                                </w:rPr>
                                <w:t>level</w:t>
                              </w:r>
                            </w:p>
                            <w:p w14:paraId="6687AD61" w14:textId="77777777" w:rsidR="008715BE" w:rsidRDefault="00000000">
                              <w:pPr>
                                <w:numPr>
                                  <w:ilvl w:val="0"/>
                                  <w:numId w:val="64"/>
                                </w:numPr>
                                <w:tabs>
                                  <w:tab w:val="left" w:pos="2292"/>
                                </w:tabs>
                                <w:spacing w:before="35" w:line="216" w:lineRule="auto"/>
                                <w:ind w:right="197" w:firstLine="0"/>
                                <w:rPr>
                                  <w:sz w:val="18"/>
                                </w:rPr>
                              </w:pPr>
                              <w:r>
                                <w:rPr>
                                  <w:w w:val="120"/>
                                  <w:sz w:val="12"/>
                                </w:rPr>
                                <w:t xml:space="preserve">Regional: for linear works that can be carried out across several </w:t>
                              </w:r>
                              <w:r>
                                <w:rPr>
                                  <w:spacing w:val="-4"/>
                                  <w:w w:val="120"/>
                                  <w:sz w:val="12"/>
                                </w:rPr>
                                <w:t>UATs.</w:t>
                              </w:r>
                            </w:p>
                          </w:txbxContent>
                        </wps:txbx>
                        <wps:bodyPr wrap="square" lIns="0" tIns="0" rIns="0" bIns="0" rtlCol="0"/>
                      </wps:wsp>
                    </wpg:wgp>
                  </a:graphicData>
                </a:graphic>
              </wp:anchor>
            </w:drawing>
          </mc:Choice>
          <mc:Fallback>
            <w:pict>
              <v:group w14:anchorId="744E0FB6" id="Group 334" o:spid="_x0000_s1179" style="position:absolute;margin-left:60.95pt;margin-top:123.2pt;width:464.9pt;height:103.25pt;z-index:-251534336;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">
                <v:shape id="Graphic 335" o:spid="_x0000_s1180"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" path="m5773039,l131127,,80088,10298,38407,38385,10305,80045,,131063,,1180211r10305,51018l38407,1272889r41681,28087l131127,1311275r5641912,l5824130,1300976r41698,-28087l5893929,1231229r10301,-51018l5904230,131063,5893929,80045,5865828,38385,5824130,10298,5773039,xe" fillcolor="#ffcfba" stroked="f">
                  <v:path arrowok="t"/>
                </v:shape>
                <v:shape id="Graphic 336" o:spid="_x0000_s1181" style="position:absolute;left:2413;top:2494;width:8998;height:7505;visibility:visible;mso-wrap-style:square;v-text-anchor:top" coordsize="899794,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" path="m133718,557047r-48616,l85102,605472r48616,l133718,557047xem133718,459994r-48616,l85102,508419r48616,l133718,459994xem133718,363143r-48616,l85102,411581r48616,l133718,363143xem230962,557047r-48616,l182346,605472r48616,l230962,557047xem230962,459994r-48616,l182346,508419r48616,l230962,459994xem230962,363143r-48616,l182346,411581r48616,l230962,363143xem267423,181787r-48628,l218795,230212r48628,l267423,181787xem267423,84734r-48628,l218795,133159r48628,l267423,84734xem364655,181787r-48616,l316039,230212r48616,l364655,181787xem364655,84734r-48616,l316039,133159r48616,l364655,84734xem425437,557047r-48616,l376821,605472r48616,l425437,557047xem425437,459994r-48616,l376821,508419r48616,l425437,459994xem522681,557047r-48616,l474065,605472r48616,l522681,557047xem522681,459994r-48616,l474065,508419r48616,l522681,459994xem717169,557047r-48629,l668540,605472r48629,l717169,557047xem717169,459994r-48629,l668540,508419r48629,l717169,459994xem717169,363156r-48629,l668540,411581r48629,l717169,363156xem717169,266522r-48629,l668540,314960r48629,l717169,266522xem717169,169468r-48629,l668540,217906r48629,l717169,169468xem814412,557047r-48628,l765784,605472r48628,l814412,557047xem814412,459994r-48628,l765784,508419r48628,l814412,459994xem814412,363156r-48628,l765784,411581r48628,l814412,363156xem814412,266522r-48628,l765784,314960r48628,l814412,266522xem814412,169468r-48628,l765784,217906r48628,l814412,169468xem899464,98247l875157,95224r,24410l875157,726300r-109373,l765784,653681r-48615,l717169,726300r-109398,l607771,399465r,-24206l607771,86334r267386,33300l875157,95224,803770,86334,583463,58915r,316344l583463,399465r,326835l474065,726300r,-72631l425437,653669r,72631l316039,726300r,-326835l583463,399465r,-24206l449745,375259r,-351053l449745,,425437,r,24206l425437,375259r-109398,l316039,302628r,-24206l291731,278422r,24206l291731,726300r-109398,l182333,653669r-48628,l133705,726300r-109398,l24307,302628r267424,l291731,278422r-133705,l158026,24206r267411,l425437,,133705,r,278422l,278422,,750519r899464,l899464,726300r,-628053xe" fillcolor="#bcc5e2" stroked="f">
                  <v:path arrowok="t"/>
                </v:shape>
                <v:shape id="Graphic 337" o:spid="_x0000_s1182" style="position:absolute;left:990;top:979;width:11811;height:10490;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" path="m,104901l8245,64079,30730,30733,64079,8247,104914,r971068,l1116804,8247r33346,22486l1172637,64079r8247,40822l1180884,944117r-8247,40823l1150150,1018286r-33346,22486l1075982,1049019r-971068,l64079,1040772,30730,1018285,8245,984940,,944117,,104901xe" filled="f" strokecolor="white" strokeweight="1pt">
                  <v:path arrowok="t"/>
                </v:shape>
                <v:shape id="Textbox 338" o:spid="_x0000_s1183"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19A4D8A4" w14:textId="77777777" w:rsidR="008715BE" w:rsidRDefault="008715BE">
                        <w:pPr>
                          <w:rPr>
                            <w:sz w:val="18"/>
                          </w:rPr>
                        </w:pPr>
                      </w:p>
                      <w:p w14:paraId="6417C75E" w14:textId="77777777" w:rsidR="008715BE" w:rsidRDefault="008715BE">
                        <w:pPr>
                          <w:spacing w:before="28"/>
                          <w:rPr>
                            <w:sz w:val="18"/>
                          </w:rPr>
                        </w:pPr>
                      </w:p>
                      <w:p w14:paraId="7F485F66" w14:textId="77777777" w:rsidR="008715BE" w:rsidRDefault="00000000">
                        <w:pPr>
                          <w:ind w:left="2120"/>
                          <w:rPr>
                            <w:b/>
                            <w:sz w:val="18"/>
                          </w:rPr>
                        </w:pPr>
                        <w:r>
                          <w:rPr>
                            <w:b/>
                            <w:w w:val="135"/>
                            <w:sz w:val="12"/>
                          </w:rPr>
                          <w:t xml:space="preserve">Extension </w:t>
                        </w:r>
                        <w:r>
                          <w:rPr>
                            <w:b/>
                            <w:spacing w:val="-2"/>
                            <w:w w:val="135"/>
                            <w:sz w:val="12"/>
                          </w:rPr>
                          <w:t>of impact</w:t>
                        </w:r>
                      </w:p>
                      <w:p w14:paraId="1680CEBC" w14:textId="77777777" w:rsidR="008715BE" w:rsidRDefault="00000000">
                        <w:pPr>
                          <w:numPr>
                            <w:ilvl w:val="0"/>
                            <w:numId w:val="64"/>
                          </w:numPr>
                          <w:tabs>
                            <w:tab w:val="left" w:pos="2292"/>
                          </w:tabs>
                          <w:spacing w:before="18"/>
                          <w:ind w:left="2292" w:hanging="172"/>
                          <w:rPr>
                            <w:sz w:val="18"/>
                          </w:rPr>
                        </w:pPr>
                        <w:r>
                          <w:rPr>
                            <w:w w:val="120"/>
                            <w:sz w:val="12"/>
                          </w:rPr>
                          <w:t xml:space="preserve">Local: for specific works at the </w:t>
                        </w:r>
                        <w:r>
                          <w:rPr>
                            <w:spacing w:val="-5"/>
                            <w:w w:val="120"/>
                            <w:sz w:val="12"/>
                          </w:rPr>
                          <w:t xml:space="preserve">UAT </w:t>
                        </w:r>
                        <w:r>
                          <w:rPr>
                            <w:w w:val="120"/>
                            <w:sz w:val="12"/>
                          </w:rPr>
                          <w:t>level</w:t>
                        </w:r>
                      </w:p>
                      <w:p w14:paraId="6687AD61" w14:textId="77777777" w:rsidR="008715BE" w:rsidRDefault="00000000">
                        <w:pPr>
                          <w:numPr>
                            <w:ilvl w:val="0"/>
                            <w:numId w:val="64"/>
                          </w:numPr>
                          <w:tabs>
                            <w:tab w:val="left" w:pos="2292"/>
                          </w:tabs>
                          <w:spacing w:before="35" w:line="216" w:lineRule="auto"/>
                          <w:ind w:right="197" w:firstLine="0"/>
                          <w:rPr>
                            <w:sz w:val="18"/>
                          </w:rPr>
                        </w:pPr>
                        <w:r>
                          <w:rPr>
                            <w:w w:val="120"/>
                            <w:sz w:val="12"/>
                          </w:rPr>
                          <w:t xml:space="preserve">Regional: for linear works that can be carried out across several </w:t>
                        </w:r>
                        <w:r>
                          <w:rPr>
                            <w:spacing w:val="-4"/>
                            <w:w w:val="120"/>
                            <w:sz w:val="12"/>
                          </w:rPr>
                          <w:t>UATs.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84192" behindDoc="1" locked="0" layoutInCell="1" allowOverlap="1" wp14:anchorId="165BB1E3" wp14:editId="56C40B89">
                <wp:simplePos x="0" y="0"/>
                <wp:positionH relativeFrom="page">
                  <wp:posOffset>774065</wp:posOffset>
                </wp:positionH>
                <wp:positionV relativeFrom="paragraph">
                  <wp:posOffset>3006838</wp:posOffset>
                </wp:positionV>
                <wp:extent cx="5904230" cy="1618615"/>
                <wp:effectExtent l="0" t="0" r="0" b="0"/>
                <wp:wrapTopAndBottom/>
                <wp:docPr id="339" name="Group 339"/>
                <wp:cNvGraphicFramePr/>
                <a:graphic xmlns:a="http://schemas.openxmlformats.org/drawingml/2006/main">
                  <a:graphicData uri="http://schemas.microsoft.com/office/word/2010/wordprocessingGroup">
                    <wpg:wgp>
                      <wpg:cNvGrpSpPr/>
                      <wpg:grpSpPr>
                        <a:xfrm>
                          <a:off x="0" y="0"/>
                          <a:ext cx="5904230" cy="1618615"/>
                          <a:chOff x="0" y="0"/>
                          <a:chExt cx="5904230" cy="1618615"/>
                        </a:xfrm>
                      </wpg:grpSpPr>
                      <wps:wsp>
                        <wps:cNvPr id="340" name="Graphic 340"/>
                        <wps:cNvSpPr/>
                        <wps:spPr>
                          <a:xfrm>
                            <a:off x="0" y="0"/>
                            <a:ext cx="5904230" cy="1618615"/>
                          </a:xfrm>
                          <a:custGeom>
                            <a:avLst/>
                            <a:gdLst/>
                            <a:ahLst/>
                            <a:cxnLst/>
                            <a:rect l="l" t="t" r="r" b="b"/>
                            <a:pathLst>
                              <a:path w="5904230" h="1618615">
                                <a:moveTo>
                                  <a:pt x="5742432" y="0"/>
                                </a:moveTo>
                                <a:lnTo>
                                  <a:pt x="161823" y="0"/>
                                </a:lnTo>
                                <a:lnTo>
                                  <a:pt x="118805" y="5776"/>
                                </a:lnTo>
                                <a:lnTo>
                                  <a:pt x="80149" y="22079"/>
                                </a:lnTo>
                                <a:lnTo>
                                  <a:pt x="47397" y="47370"/>
                                </a:lnTo>
                                <a:lnTo>
                                  <a:pt x="22094" y="80113"/>
                                </a:lnTo>
                                <a:lnTo>
                                  <a:pt x="5780" y="118768"/>
                                </a:lnTo>
                                <a:lnTo>
                                  <a:pt x="0" y="161798"/>
                                </a:lnTo>
                                <a:lnTo>
                                  <a:pt x="0" y="1456436"/>
                                </a:lnTo>
                                <a:lnTo>
                                  <a:pt x="5780" y="1499465"/>
                                </a:lnTo>
                                <a:lnTo>
                                  <a:pt x="22094" y="1538120"/>
                                </a:lnTo>
                                <a:lnTo>
                                  <a:pt x="47397" y="1570863"/>
                                </a:lnTo>
                                <a:lnTo>
                                  <a:pt x="80149" y="1596154"/>
                                </a:lnTo>
                                <a:lnTo>
                                  <a:pt x="118805" y="1612457"/>
                                </a:lnTo>
                                <a:lnTo>
                                  <a:pt x="161823" y="1618234"/>
                                </a:lnTo>
                                <a:lnTo>
                                  <a:pt x="5742432" y="1618234"/>
                                </a:lnTo>
                                <a:lnTo>
                                  <a:pt x="5785417" y="1612457"/>
                                </a:lnTo>
                                <a:lnTo>
                                  <a:pt x="5824060" y="1596154"/>
                                </a:lnTo>
                                <a:lnTo>
                                  <a:pt x="5856811" y="1570863"/>
                                </a:lnTo>
                                <a:lnTo>
                                  <a:pt x="5882122" y="1538120"/>
                                </a:lnTo>
                                <a:lnTo>
                                  <a:pt x="5898445" y="1499465"/>
                                </a:lnTo>
                                <a:lnTo>
                                  <a:pt x="5904230" y="1456436"/>
                                </a:lnTo>
                                <a:lnTo>
                                  <a:pt x="5904230" y="161798"/>
                                </a:lnTo>
                                <a:lnTo>
                                  <a:pt x="5898445" y="118768"/>
                                </a:lnTo>
                                <a:lnTo>
                                  <a:pt x="5882122" y="80113"/>
                                </a:lnTo>
                                <a:lnTo>
                                  <a:pt x="5856811" y="47370"/>
                                </a:lnTo>
                                <a:lnTo>
                                  <a:pt x="5824060" y="22079"/>
                                </a:lnTo>
                                <a:lnTo>
                                  <a:pt x="5785417" y="5776"/>
                                </a:lnTo>
                                <a:lnTo>
                                  <a:pt x="5742432" y="0"/>
                                </a:lnTo>
                                <a:close/>
                              </a:path>
                            </a:pathLst>
                          </a:custGeom>
                          <a:solidFill>
                            <a:srgbClr val="D9D9D9"/>
                          </a:solidFill>
                        </wps:spPr>
                        <wps:bodyPr wrap="square" lIns="0" tIns="0" rIns="0" bIns="0" rtlCol="0">
                          <a:prstTxWarp prst="textNoShape">
                            <a:avLst/>
                          </a:prstTxWarp>
                        </wps:bodyPr>
                      </wps:wsp>
                      <wps:wsp>
                        <wps:cNvPr id="341" name="Graphic 341"/>
                        <wps:cNvSpPr/>
                        <wps:spPr>
                          <a:xfrm>
                            <a:off x="167601" y="332511"/>
                            <a:ext cx="1069975" cy="800100"/>
                          </a:xfrm>
                          <a:custGeom>
                            <a:avLst/>
                            <a:gdLst/>
                            <a:ahLst/>
                            <a:cxnLst/>
                            <a:rect l="l" t="t" r="r" b="b"/>
                            <a:pathLst>
                              <a:path w="1069975" h="800100">
                                <a:moveTo>
                                  <a:pt x="814412" y="381939"/>
                                </a:moveTo>
                                <a:lnTo>
                                  <a:pt x="790105" y="406158"/>
                                </a:lnTo>
                                <a:lnTo>
                                  <a:pt x="790105" y="775589"/>
                                </a:lnTo>
                                <a:lnTo>
                                  <a:pt x="72936" y="775589"/>
                                </a:lnTo>
                                <a:lnTo>
                                  <a:pt x="54013" y="771779"/>
                                </a:lnTo>
                                <a:lnTo>
                                  <a:pt x="38557" y="761403"/>
                                </a:lnTo>
                                <a:lnTo>
                                  <a:pt x="28130" y="746010"/>
                                </a:lnTo>
                                <a:lnTo>
                                  <a:pt x="24320" y="727163"/>
                                </a:lnTo>
                                <a:lnTo>
                                  <a:pt x="28130" y="708317"/>
                                </a:lnTo>
                                <a:lnTo>
                                  <a:pt x="38557" y="692924"/>
                                </a:lnTo>
                                <a:lnTo>
                                  <a:pt x="54013" y="682548"/>
                                </a:lnTo>
                                <a:lnTo>
                                  <a:pt x="72936" y="678738"/>
                                </a:lnTo>
                                <a:lnTo>
                                  <a:pt x="170180" y="678738"/>
                                </a:lnTo>
                                <a:lnTo>
                                  <a:pt x="170180" y="673074"/>
                                </a:lnTo>
                                <a:lnTo>
                                  <a:pt x="170180" y="170332"/>
                                </a:lnTo>
                                <a:lnTo>
                                  <a:pt x="770648" y="170332"/>
                                </a:lnTo>
                                <a:lnTo>
                                  <a:pt x="794969" y="146113"/>
                                </a:lnTo>
                                <a:lnTo>
                                  <a:pt x="170180" y="146113"/>
                                </a:lnTo>
                                <a:lnTo>
                                  <a:pt x="170180" y="49276"/>
                                </a:lnTo>
                                <a:lnTo>
                                  <a:pt x="170180" y="25069"/>
                                </a:lnTo>
                                <a:lnTo>
                                  <a:pt x="145872" y="25069"/>
                                </a:lnTo>
                                <a:lnTo>
                                  <a:pt x="145872" y="49276"/>
                                </a:lnTo>
                                <a:lnTo>
                                  <a:pt x="145872" y="654532"/>
                                </a:lnTo>
                                <a:lnTo>
                                  <a:pt x="72936" y="654532"/>
                                </a:lnTo>
                                <a:lnTo>
                                  <a:pt x="59639" y="655739"/>
                                </a:lnTo>
                                <a:lnTo>
                                  <a:pt x="46901" y="659320"/>
                                </a:lnTo>
                                <a:lnTo>
                                  <a:pt x="35013" y="665137"/>
                                </a:lnTo>
                                <a:lnTo>
                                  <a:pt x="24320" y="673074"/>
                                </a:lnTo>
                                <a:lnTo>
                                  <a:pt x="24320" y="97701"/>
                                </a:lnTo>
                                <a:lnTo>
                                  <a:pt x="28130" y="78854"/>
                                </a:lnTo>
                                <a:lnTo>
                                  <a:pt x="38557" y="63461"/>
                                </a:lnTo>
                                <a:lnTo>
                                  <a:pt x="54013" y="53086"/>
                                </a:lnTo>
                                <a:lnTo>
                                  <a:pt x="72936" y="49276"/>
                                </a:lnTo>
                                <a:lnTo>
                                  <a:pt x="145872" y="49276"/>
                                </a:lnTo>
                                <a:lnTo>
                                  <a:pt x="145872" y="25069"/>
                                </a:lnTo>
                                <a:lnTo>
                                  <a:pt x="72936" y="25069"/>
                                </a:lnTo>
                                <a:lnTo>
                                  <a:pt x="44564" y="30797"/>
                                </a:lnTo>
                                <a:lnTo>
                                  <a:pt x="21386" y="46355"/>
                                </a:lnTo>
                                <a:lnTo>
                                  <a:pt x="5753" y="69443"/>
                                </a:lnTo>
                                <a:lnTo>
                                  <a:pt x="0" y="97701"/>
                                </a:lnTo>
                                <a:lnTo>
                                  <a:pt x="0" y="727163"/>
                                </a:lnTo>
                                <a:lnTo>
                                  <a:pt x="5753" y="755421"/>
                                </a:lnTo>
                                <a:lnTo>
                                  <a:pt x="21386" y="778497"/>
                                </a:lnTo>
                                <a:lnTo>
                                  <a:pt x="44564" y="794067"/>
                                </a:lnTo>
                                <a:lnTo>
                                  <a:pt x="72936" y="799795"/>
                                </a:lnTo>
                                <a:lnTo>
                                  <a:pt x="814412" y="799795"/>
                                </a:lnTo>
                                <a:lnTo>
                                  <a:pt x="814412" y="775589"/>
                                </a:lnTo>
                                <a:lnTo>
                                  <a:pt x="814412" y="381939"/>
                                </a:lnTo>
                                <a:close/>
                              </a:path>
                              <a:path w="1069975" h="800100">
                                <a:moveTo>
                                  <a:pt x="1069555" y="67424"/>
                                </a:moveTo>
                                <a:lnTo>
                                  <a:pt x="1068463" y="58826"/>
                                </a:lnTo>
                                <a:lnTo>
                                  <a:pt x="1064006" y="51028"/>
                                </a:lnTo>
                                <a:lnTo>
                                  <a:pt x="1063002" y="49999"/>
                                </a:lnTo>
                                <a:lnTo>
                                  <a:pt x="1062494" y="49517"/>
                                </a:lnTo>
                                <a:lnTo>
                                  <a:pt x="1044562" y="31661"/>
                                </a:lnTo>
                                <a:lnTo>
                                  <a:pt x="1044562" y="65938"/>
                                </a:lnTo>
                                <a:lnTo>
                                  <a:pt x="1007186" y="103162"/>
                                </a:lnTo>
                                <a:lnTo>
                                  <a:pt x="990473" y="86512"/>
                                </a:lnTo>
                                <a:lnTo>
                                  <a:pt x="990473" y="120700"/>
                                </a:lnTo>
                                <a:lnTo>
                                  <a:pt x="986218" y="125234"/>
                                </a:lnTo>
                                <a:lnTo>
                                  <a:pt x="772007" y="338594"/>
                                </a:lnTo>
                                <a:lnTo>
                                  <a:pt x="766406" y="323850"/>
                                </a:lnTo>
                                <a:lnTo>
                                  <a:pt x="763358" y="319849"/>
                                </a:lnTo>
                                <a:lnTo>
                                  <a:pt x="757034" y="311531"/>
                                </a:lnTo>
                                <a:lnTo>
                                  <a:pt x="748919" y="305523"/>
                                </a:lnTo>
                                <a:lnTo>
                                  <a:pt x="748919" y="347078"/>
                                </a:lnTo>
                                <a:lnTo>
                                  <a:pt x="748169" y="357187"/>
                                </a:lnTo>
                                <a:lnTo>
                                  <a:pt x="743851" y="366687"/>
                                </a:lnTo>
                                <a:lnTo>
                                  <a:pt x="739559" y="370941"/>
                                </a:lnTo>
                                <a:lnTo>
                                  <a:pt x="688797" y="387629"/>
                                </a:lnTo>
                                <a:lnTo>
                                  <a:pt x="680542" y="379399"/>
                                </a:lnTo>
                                <a:lnTo>
                                  <a:pt x="697204" y="329361"/>
                                </a:lnTo>
                                <a:lnTo>
                                  <a:pt x="702183" y="324396"/>
                                </a:lnTo>
                                <a:lnTo>
                                  <a:pt x="707085" y="321424"/>
                                </a:lnTo>
                                <a:lnTo>
                                  <a:pt x="712685" y="319849"/>
                                </a:lnTo>
                                <a:lnTo>
                                  <a:pt x="726617" y="319849"/>
                                </a:lnTo>
                                <a:lnTo>
                                  <a:pt x="734364" y="323075"/>
                                </a:lnTo>
                                <a:lnTo>
                                  <a:pt x="740079" y="328853"/>
                                </a:lnTo>
                                <a:lnTo>
                                  <a:pt x="746188" y="337324"/>
                                </a:lnTo>
                                <a:lnTo>
                                  <a:pt x="748919" y="347078"/>
                                </a:lnTo>
                                <a:lnTo>
                                  <a:pt x="748919" y="305523"/>
                                </a:lnTo>
                                <a:lnTo>
                                  <a:pt x="744575" y="302298"/>
                                </a:lnTo>
                                <a:lnTo>
                                  <a:pt x="729729" y="296849"/>
                                </a:lnTo>
                                <a:lnTo>
                                  <a:pt x="948232" y="78701"/>
                                </a:lnTo>
                                <a:lnTo>
                                  <a:pt x="990473" y="120700"/>
                                </a:lnTo>
                                <a:lnTo>
                                  <a:pt x="990473" y="86512"/>
                                </a:lnTo>
                                <a:lnTo>
                                  <a:pt x="982637" y="78701"/>
                                </a:lnTo>
                                <a:lnTo>
                                  <a:pt x="965454" y="61582"/>
                                </a:lnTo>
                                <a:lnTo>
                                  <a:pt x="1002830" y="24358"/>
                                </a:lnTo>
                                <a:lnTo>
                                  <a:pt x="1044562" y="65938"/>
                                </a:lnTo>
                                <a:lnTo>
                                  <a:pt x="1044562" y="31661"/>
                                </a:lnTo>
                                <a:lnTo>
                                  <a:pt x="1037234" y="24358"/>
                                </a:lnTo>
                                <a:lnTo>
                                  <a:pt x="1019949" y="7150"/>
                                </a:lnTo>
                                <a:lnTo>
                                  <a:pt x="1012101" y="1828"/>
                                </a:lnTo>
                                <a:lnTo>
                                  <a:pt x="1003109" y="0"/>
                                </a:lnTo>
                                <a:lnTo>
                                  <a:pt x="994079" y="1638"/>
                                </a:lnTo>
                                <a:lnTo>
                                  <a:pt x="986116" y="6781"/>
                                </a:lnTo>
                                <a:lnTo>
                                  <a:pt x="985786" y="7150"/>
                                </a:lnTo>
                                <a:lnTo>
                                  <a:pt x="675436" y="316801"/>
                                </a:lnTo>
                                <a:lnTo>
                                  <a:pt x="673785" y="320649"/>
                                </a:lnTo>
                                <a:lnTo>
                                  <a:pt x="647344" y="402005"/>
                                </a:lnTo>
                                <a:lnTo>
                                  <a:pt x="519379" y="280568"/>
                                </a:lnTo>
                                <a:lnTo>
                                  <a:pt x="484187" y="247167"/>
                                </a:lnTo>
                                <a:lnTo>
                                  <a:pt x="250507" y="467842"/>
                                </a:lnTo>
                                <a:lnTo>
                                  <a:pt x="304355" y="521462"/>
                                </a:lnTo>
                                <a:lnTo>
                                  <a:pt x="304355" y="678738"/>
                                </a:lnTo>
                                <a:lnTo>
                                  <a:pt x="462368" y="678738"/>
                                </a:lnTo>
                                <a:lnTo>
                                  <a:pt x="462368" y="654532"/>
                                </a:lnTo>
                                <a:lnTo>
                                  <a:pt x="462368" y="540042"/>
                                </a:lnTo>
                                <a:lnTo>
                                  <a:pt x="504913" y="540042"/>
                                </a:lnTo>
                                <a:lnTo>
                                  <a:pt x="504913" y="678738"/>
                                </a:lnTo>
                                <a:lnTo>
                                  <a:pt x="662940" y="678738"/>
                                </a:lnTo>
                                <a:lnTo>
                                  <a:pt x="662940" y="654532"/>
                                </a:lnTo>
                                <a:lnTo>
                                  <a:pt x="662940" y="496455"/>
                                </a:lnTo>
                                <a:lnTo>
                                  <a:pt x="638619" y="473456"/>
                                </a:lnTo>
                                <a:lnTo>
                                  <a:pt x="638619" y="506844"/>
                                </a:lnTo>
                                <a:lnTo>
                                  <a:pt x="638619" y="654532"/>
                                </a:lnTo>
                                <a:lnTo>
                                  <a:pt x="529221" y="654532"/>
                                </a:lnTo>
                                <a:lnTo>
                                  <a:pt x="529221" y="540042"/>
                                </a:lnTo>
                                <a:lnTo>
                                  <a:pt x="529221" y="515823"/>
                                </a:lnTo>
                                <a:lnTo>
                                  <a:pt x="438061" y="515823"/>
                                </a:lnTo>
                                <a:lnTo>
                                  <a:pt x="438061" y="654532"/>
                                </a:lnTo>
                                <a:lnTo>
                                  <a:pt x="328663" y="654532"/>
                                </a:lnTo>
                                <a:lnTo>
                                  <a:pt x="328663" y="506844"/>
                                </a:lnTo>
                                <a:lnTo>
                                  <a:pt x="344385" y="491972"/>
                                </a:lnTo>
                                <a:lnTo>
                                  <a:pt x="483641" y="360222"/>
                                </a:lnTo>
                                <a:lnTo>
                                  <a:pt x="638619" y="506844"/>
                                </a:lnTo>
                                <a:lnTo>
                                  <a:pt x="638619" y="473456"/>
                                </a:lnTo>
                                <a:lnTo>
                                  <a:pt x="518934" y="360222"/>
                                </a:lnTo>
                                <a:lnTo>
                                  <a:pt x="483641" y="326847"/>
                                </a:lnTo>
                                <a:lnTo>
                                  <a:pt x="309118" y="491972"/>
                                </a:lnTo>
                                <a:lnTo>
                                  <a:pt x="285356" y="468299"/>
                                </a:lnTo>
                                <a:lnTo>
                                  <a:pt x="484136" y="280568"/>
                                </a:lnTo>
                                <a:lnTo>
                                  <a:pt x="640524" y="428967"/>
                                </a:lnTo>
                                <a:lnTo>
                                  <a:pt x="723722" y="402005"/>
                                </a:lnTo>
                                <a:lnTo>
                                  <a:pt x="747674" y="394233"/>
                                </a:lnTo>
                                <a:lnTo>
                                  <a:pt x="752665" y="392125"/>
                                </a:lnTo>
                                <a:lnTo>
                                  <a:pt x="757161" y="387629"/>
                                </a:lnTo>
                                <a:lnTo>
                                  <a:pt x="806208" y="338594"/>
                                </a:lnTo>
                                <a:lnTo>
                                  <a:pt x="1041666" y="103162"/>
                                </a:lnTo>
                                <a:lnTo>
                                  <a:pt x="1061885" y="82943"/>
                                </a:lnTo>
                                <a:lnTo>
                                  <a:pt x="1067346" y="75806"/>
                                </a:lnTo>
                                <a:lnTo>
                                  <a:pt x="1069555" y="67424"/>
                                </a:lnTo>
                                <a:close/>
                              </a:path>
                            </a:pathLst>
                          </a:custGeom>
                          <a:solidFill>
                            <a:srgbClr val="BBC5E1"/>
                          </a:solidFill>
                        </wps:spPr>
                        <wps:bodyPr wrap="square" lIns="0" tIns="0" rIns="0" bIns="0" rtlCol="0">
                          <a:prstTxWarp prst="textNoShape">
                            <a:avLst/>
                          </a:prstTxWarp>
                        </wps:bodyPr>
                      </wps:wsp>
                      <wps:wsp>
                        <wps:cNvPr id="342" name="Graphic 342"/>
                        <wps:cNvSpPr/>
                        <wps:spPr>
                          <a:xfrm>
                            <a:off x="85978" y="218186"/>
                            <a:ext cx="1181100" cy="1049020"/>
                          </a:xfrm>
                          <a:custGeom>
                            <a:avLst/>
                            <a:gdLst/>
                            <a:ahLst/>
                            <a:cxnLst/>
                            <a:rect l="l" t="t" r="r" b="b"/>
                            <a:pathLst>
                              <a:path w="1181100" h="1049020">
                                <a:moveTo>
                                  <a:pt x="0" y="104901"/>
                                </a:moveTo>
                                <a:lnTo>
                                  <a:pt x="8243" y="64079"/>
                                </a:lnTo>
                                <a:lnTo>
                                  <a:pt x="30724" y="30733"/>
                                </a:lnTo>
                                <a:lnTo>
                                  <a:pt x="64068" y="8247"/>
                                </a:lnTo>
                                <a:lnTo>
                                  <a:pt x="104902" y="0"/>
                                </a:lnTo>
                                <a:lnTo>
                                  <a:pt x="1075944" y="0"/>
                                </a:lnTo>
                                <a:lnTo>
                                  <a:pt x="1116766" y="8247"/>
                                </a:lnTo>
                                <a:lnTo>
                                  <a:pt x="1150111" y="30734"/>
                                </a:lnTo>
                                <a:lnTo>
                                  <a:pt x="1172598" y="64079"/>
                                </a:lnTo>
                                <a:lnTo>
                                  <a:pt x="1180845" y="104901"/>
                                </a:lnTo>
                                <a:lnTo>
                                  <a:pt x="1180845" y="944117"/>
                                </a:lnTo>
                                <a:lnTo>
                                  <a:pt x="1172598" y="984940"/>
                                </a:lnTo>
                                <a:lnTo>
                                  <a:pt x="1150112" y="1018286"/>
                                </a:lnTo>
                                <a:lnTo>
                                  <a:pt x="1116766" y="1040772"/>
                                </a:lnTo>
                                <a:lnTo>
                                  <a:pt x="1075944" y="1049020"/>
                                </a:lnTo>
                                <a:lnTo>
                                  <a:pt x="104902" y="1049020"/>
                                </a:lnTo>
                                <a:lnTo>
                                  <a:pt x="64068" y="1040772"/>
                                </a:lnTo>
                                <a:lnTo>
                                  <a:pt x="30724" y="1018286"/>
                                </a:lnTo>
                                <a:lnTo>
                                  <a:pt x="8243" y="984940"/>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43" name="Textbox 343"/>
                        <wps:cNvSpPr txBox="1"/>
                        <wps:spPr>
                          <a:xfrm>
                            <a:off x="0" y="0"/>
                            <a:ext cx="5904230" cy="1618615"/>
                          </a:xfrm>
                          <a:prstGeom prst="rect">
                            <a:avLst/>
                          </a:prstGeom>
                        </wps:spPr>
                        <wps:txbx>
                          <w:txbxContent>
                            <w:p w14:paraId="45811F95" w14:textId="77777777" w:rsidR="008715BE" w:rsidRDefault="00000000">
                              <w:pPr>
                                <w:spacing w:before="177"/>
                                <w:ind w:left="2120"/>
                                <w:rPr>
                                  <w:b/>
                                  <w:sz w:val="18"/>
                                </w:rPr>
                              </w:pPr>
                              <w:r>
                                <w:rPr>
                                  <w:b/>
                                  <w:w w:val="135"/>
                                  <w:sz w:val="12"/>
                                </w:rPr>
                                <w:t xml:space="preserve">Frequency of occurrence of </w:t>
                              </w:r>
                              <w:r>
                                <w:rPr>
                                  <w:b/>
                                  <w:spacing w:val="-2"/>
                                  <w:w w:val="135"/>
                                  <w:sz w:val="12"/>
                                </w:rPr>
                                <w:t>effects</w:t>
                              </w:r>
                            </w:p>
                            <w:p w14:paraId="05A561D6" w14:textId="77777777" w:rsidR="008715BE" w:rsidRDefault="00000000">
                              <w:pPr>
                                <w:numPr>
                                  <w:ilvl w:val="0"/>
                                  <w:numId w:val="63"/>
                                </w:numPr>
                                <w:tabs>
                                  <w:tab w:val="left" w:pos="2292"/>
                                </w:tabs>
                                <w:spacing w:before="35" w:line="216" w:lineRule="auto"/>
                                <w:ind w:right="225" w:firstLine="0"/>
                                <w:rPr>
                                  <w:sz w:val="18"/>
                                </w:rPr>
                              </w:pPr>
                              <w:r>
                                <w:rPr>
                                  <w:w w:val="120"/>
                                  <w:sz w:val="12"/>
                                </w:rPr>
                                <w:t>Permanent – effects that occur during the operating period, for interventions that generate a positive impact or in the case of treated water discharges.</w:t>
                              </w:r>
                            </w:p>
                            <w:p w14:paraId="34A705E4" w14:textId="77777777" w:rsidR="008715BE" w:rsidRDefault="00000000">
                              <w:pPr>
                                <w:numPr>
                                  <w:ilvl w:val="0"/>
                                  <w:numId w:val="63"/>
                                </w:numPr>
                                <w:tabs>
                                  <w:tab w:val="left" w:pos="2292"/>
                                </w:tabs>
                                <w:spacing w:before="39" w:line="216" w:lineRule="auto"/>
                                <w:ind w:right="428" w:firstLine="0"/>
                                <w:rPr>
                                  <w:sz w:val="18"/>
                                </w:rPr>
                              </w:pPr>
                              <w:r>
                                <w:rPr>
                                  <w:w w:val="120"/>
                                  <w:sz w:val="12"/>
                                </w:rPr>
                                <w:t>Temporary/one-time – The impact occurs only once during one of the project stages. Most often associated with a short duration.</w:t>
                              </w:r>
                            </w:p>
                            <w:p w14:paraId="0699C9AF" w14:textId="77777777" w:rsidR="008715BE" w:rsidRDefault="00000000">
                              <w:pPr>
                                <w:numPr>
                                  <w:ilvl w:val="0"/>
                                  <w:numId w:val="63"/>
                                </w:numPr>
                                <w:tabs>
                                  <w:tab w:val="left" w:pos="2292"/>
                                </w:tabs>
                                <w:spacing w:before="39" w:line="216" w:lineRule="auto"/>
                                <w:ind w:right="521" w:firstLine="0"/>
                                <w:rPr>
                                  <w:sz w:val="18"/>
                                </w:rPr>
                              </w:pPr>
                              <w:r>
                                <w:rPr>
                                  <w:w w:val="125"/>
                                  <w:sz w:val="12"/>
                                </w:rPr>
                                <w:t>Accidental – for effects that may occur occasionally as a result of damage/human error (e.g., accidental spills).</w:t>
                              </w:r>
                            </w:p>
                            <w:p w14:paraId="54DAE77C" w14:textId="77777777" w:rsidR="008715BE" w:rsidRDefault="00000000">
                              <w:pPr>
                                <w:numPr>
                                  <w:ilvl w:val="0"/>
                                  <w:numId w:val="63"/>
                                </w:numPr>
                                <w:tabs>
                                  <w:tab w:val="left" w:pos="2292"/>
                                </w:tabs>
                                <w:spacing w:before="37" w:line="216" w:lineRule="auto"/>
                                <w:ind w:right="492" w:firstLine="0"/>
                                <w:rPr>
                                  <w:sz w:val="18"/>
                                </w:rPr>
                              </w:pPr>
                              <w:r>
                                <w:rPr>
                                  <w:w w:val="120"/>
                                  <w:sz w:val="12"/>
                                </w:rPr>
                                <w:t xml:space="preserve">intermittent – The impact occurs repeatedly/discontinuously, with an </w:t>
                              </w:r>
                              <w:r>
                                <w:rPr>
                                  <w:spacing w:val="-2"/>
                                  <w:w w:val="120"/>
                                  <w:sz w:val="12"/>
                                </w:rPr>
                                <w:t>unknown</w:t>
                              </w:r>
                              <w:r>
                                <w:rPr>
                                  <w:w w:val="120"/>
                                  <w:sz w:val="12"/>
                                </w:rPr>
                                <w:t xml:space="preserve"> frequency</w:t>
                              </w:r>
                              <w:r>
                                <w:rPr>
                                  <w:spacing w:val="-2"/>
                                  <w:w w:val="120"/>
                                  <w:sz w:val="12"/>
                                </w:rPr>
                                <w:t>.</w:t>
                              </w:r>
                            </w:p>
                          </w:txbxContent>
                        </wps:txbx>
                        <wps:bodyPr wrap="square" lIns="0" tIns="0" rIns="0" bIns="0" rtlCol="0"/>
                      </wps:wsp>
                    </wpg:wgp>
                  </a:graphicData>
                </a:graphic>
              </wp:anchor>
            </w:drawing>
          </mc:Choice>
          <mc:Fallback>
            <w:pict>
              <v:group w14:anchorId="165BB1E3" id="Group 339" o:spid="_x0000_s1184" style="position:absolute;margin-left:60.95pt;margin-top:236.75pt;width:464.9pt;height:127.45pt;z-index:-251532288;mso-wrap-distance-left:0;mso-wrap-distance-right:0;mso-position-horizontal-relative:page;mso-position-vertical-relative:text" coordsize="59042,1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">
                <v:shape id="Graphic 340" o:spid="_x0000_s1185" style="position:absolute;width:59042;height:16186;visibility:visible;mso-wrap-style:square;v-text-anchor:top" coordsize="5904230,161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" path="m5742432,l161823,,118805,5776,80149,22079,47397,47370,22094,80113,5780,118768,,161798,,1456436r5780,43029l22094,1538120r25303,32743l80149,1596154r38656,16303l161823,1618234r5580609,l5785417,1612457r38643,-16303l5856811,1570863r25311,-32743l5898445,1499465r5785,-43029l5904230,161798r-5785,-43030l5882122,80113,5856811,47370,5824060,22079,5785417,5776,5742432,xe" fillcolor="#d9d9d9" stroked="f">
                  <v:path arrowok="t"/>
                </v:shape>
                <v:shape id="Graphic 341" o:spid="_x0000_s1186" style="position:absolute;left:1676;top:3325;width:10699;height:8001;visibility:visible;mso-wrap-style:square;v-text-anchor:top" coordsize="106997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" path="m814412,381939r-24307,24219l790105,775589r-717169,l54013,771779,38557,761403,28130,746010,24320,727163r3810,-18846l38557,692924,54013,682548r18923,-3810l170180,678738r,-5664l170180,170332r600468,l794969,146113r-624789,l170180,49276r,-24207l145872,25069r,24207l145872,654532r-72936,l59639,655739r-12738,3581l35013,665137r-10693,7937l24320,97701,28130,78854,38557,63461,54013,53086,72936,49276r72936,l145872,25069r-72936,l44564,30797,21386,46355,5753,69443,,97701,,727163r5753,28258l21386,778497r23178,15570l72936,799795r741476,l814412,775589r,-393650xem1069555,67424r-1092,-8598l1064006,51028r-1004,-1029l1062494,49517,1044562,31661r,34277l1007186,103162,990473,86512r,34188l986218,125234,772007,338594r-5601,-14744l763358,319849r-6324,-8318l748919,305523r,41555l748169,357187r-4318,9500l739559,370941r-50762,16688l680542,379399r16662,-50038l702183,324396r4902,-2972l712685,319849r13932,l734364,323075r5715,5778l746188,337324r2731,9754l748919,305523r-4344,-3225l729729,296849,948232,78701r42241,41999l990473,86512r-7836,-7811l965454,61582r37376,-37224l1044562,65938r,-34277l1037234,24358,1019949,7150r-7848,-5322l1003109,r-9030,1638l986116,6781r-330,369l675436,316801r-1651,3848l647344,402005,519379,280568,484187,247167,250507,467842r53848,53620l304355,678738r158013,l462368,654532r,-114490l504913,540042r,138696l662940,678738r,-24206l662940,496455,638619,473456r,33388l638619,654532r-109398,l529221,540042r,-24219l438061,515823r,138709l328663,654532r,-147688l344385,491972,483641,360222,638619,506844r,-33388l518934,360222,483641,326847,309118,491972,285356,468299,484136,280568,640524,428967r83198,-26962l747674,394233r4991,-2108l757161,387629r49047,-49035l1041666,103162r20219,-20219l1067346,75806r2209,-8382xe" fillcolor="#bbc5e1" stroked="f">
                  <v:path arrowok="t"/>
                </v:shape>
                <v:shape id="Graphic 342" o:spid="_x0000_s1187" style="position:absolute;left:859;top:2181;width:11811;height:10491;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" path="m,104901l8243,64079,30724,30733,64068,8247,104902,r971042,l1116766,8247r33345,22487l1172598,64079r8247,40822l1180845,944117r-8247,40823l1150112,1018286r-33346,22486l1075944,1049020r-971042,l64068,1040772,30724,1018286,8243,984940,,944117,,104901xe" filled="f" strokecolor="white" strokeweight="1pt">
                  <v:path arrowok="t"/>
                </v:shape>
                <v:shape id="Textbox 343" o:spid="_x0000_s1188" type="#_x0000_t202" style="position:absolute;width:59042;height:16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45811F95" w14:textId="77777777" w:rsidR="008715BE" w:rsidRDefault="00000000">
                        <w:pPr>
                          <w:spacing w:before="177"/>
                          <w:ind w:left="2120"/>
                          <w:rPr>
                            <w:b/>
                            <w:sz w:val="18"/>
                          </w:rPr>
                        </w:pPr>
                        <w:r>
                          <w:rPr>
                            <w:b/>
                            <w:w w:val="135"/>
                            <w:sz w:val="12"/>
                          </w:rPr>
                          <w:t xml:space="preserve">Frequency of occurrence of </w:t>
                        </w:r>
                        <w:r>
                          <w:rPr>
                            <w:b/>
                            <w:spacing w:val="-2"/>
                            <w:w w:val="135"/>
                            <w:sz w:val="12"/>
                          </w:rPr>
                          <w:t>effects</w:t>
                        </w:r>
                      </w:p>
                      <w:p w14:paraId="05A561D6" w14:textId="77777777" w:rsidR="008715BE" w:rsidRDefault="00000000">
                        <w:pPr>
                          <w:numPr>
                            <w:ilvl w:val="0"/>
                            <w:numId w:val="63"/>
                          </w:numPr>
                          <w:tabs>
                            <w:tab w:val="left" w:pos="2292"/>
                          </w:tabs>
                          <w:spacing w:before="35" w:line="216" w:lineRule="auto"/>
                          <w:ind w:right="225" w:firstLine="0"/>
                          <w:rPr>
                            <w:sz w:val="18"/>
                          </w:rPr>
                        </w:pPr>
                        <w:r>
                          <w:rPr>
                            <w:w w:val="120"/>
                            <w:sz w:val="12"/>
                          </w:rPr>
                          <w:t>Permanent – effects that occur during the operating period, for interventions that generate a positive impact or in the case of treated water discharges.</w:t>
                        </w:r>
                      </w:p>
                      <w:p w14:paraId="34A705E4" w14:textId="77777777" w:rsidR="008715BE" w:rsidRDefault="00000000">
                        <w:pPr>
                          <w:numPr>
                            <w:ilvl w:val="0"/>
                            <w:numId w:val="63"/>
                          </w:numPr>
                          <w:tabs>
                            <w:tab w:val="left" w:pos="2292"/>
                          </w:tabs>
                          <w:spacing w:before="39" w:line="216" w:lineRule="auto"/>
                          <w:ind w:right="428" w:firstLine="0"/>
                          <w:rPr>
                            <w:sz w:val="18"/>
                          </w:rPr>
                        </w:pPr>
                        <w:r>
                          <w:rPr>
                            <w:w w:val="120"/>
                            <w:sz w:val="12"/>
                          </w:rPr>
                          <w:t>Temporary/one-time – The impact occurs only once during one of the project stages. Most often associated with a short duration.</w:t>
                        </w:r>
                      </w:p>
                      <w:p w14:paraId="0699C9AF" w14:textId="77777777" w:rsidR="008715BE" w:rsidRDefault="00000000">
                        <w:pPr>
                          <w:numPr>
                            <w:ilvl w:val="0"/>
                            <w:numId w:val="63"/>
                          </w:numPr>
                          <w:tabs>
                            <w:tab w:val="left" w:pos="2292"/>
                          </w:tabs>
                          <w:spacing w:before="39" w:line="216" w:lineRule="auto"/>
                          <w:ind w:right="521" w:firstLine="0"/>
                          <w:rPr>
                            <w:sz w:val="18"/>
                          </w:rPr>
                        </w:pPr>
                        <w:r>
                          <w:rPr>
                            <w:w w:val="125"/>
                            <w:sz w:val="12"/>
                          </w:rPr>
                          <w:t>Accidental – for effects that may occur occasionally as a result of damage/human error (e.g., accidental spills).</w:t>
                        </w:r>
                      </w:p>
                      <w:p w14:paraId="54DAE77C" w14:textId="77777777" w:rsidR="008715BE" w:rsidRDefault="00000000">
                        <w:pPr>
                          <w:numPr>
                            <w:ilvl w:val="0"/>
                            <w:numId w:val="63"/>
                          </w:numPr>
                          <w:tabs>
                            <w:tab w:val="left" w:pos="2292"/>
                          </w:tabs>
                          <w:spacing w:before="37" w:line="216" w:lineRule="auto"/>
                          <w:ind w:right="492" w:firstLine="0"/>
                          <w:rPr>
                            <w:sz w:val="18"/>
                          </w:rPr>
                        </w:pPr>
                        <w:r>
                          <w:rPr>
                            <w:w w:val="120"/>
                            <w:sz w:val="12"/>
                          </w:rPr>
                          <w:t xml:space="preserve">intermittent – The impact occurs repeatedly/discontinuously, with an </w:t>
                        </w:r>
                        <w:r>
                          <w:rPr>
                            <w:spacing w:val="-2"/>
                            <w:w w:val="120"/>
                            <w:sz w:val="12"/>
                          </w:rPr>
                          <w:t>unknown</w:t>
                        </w:r>
                        <w:r>
                          <w:rPr>
                            <w:w w:val="120"/>
                            <w:sz w:val="12"/>
                          </w:rPr>
                          <w:t xml:space="preserve"> frequency</w:t>
                        </w:r>
                        <w:r>
                          <w:rPr>
                            <w:spacing w:val="-2"/>
                            <w:w w:val="120"/>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86240" behindDoc="1" locked="0" layoutInCell="1" allowOverlap="1" wp14:anchorId="39FB57D8" wp14:editId="7A65C179">
                <wp:simplePos x="0" y="0"/>
                <wp:positionH relativeFrom="page">
                  <wp:posOffset>774065</wp:posOffset>
                </wp:positionH>
                <wp:positionV relativeFrom="paragraph">
                  <wp:posOffset>4756263</wp:posOffset>
                </wp:positionV>
                <wp:extent cx="5904230" cy="1311275"/>
                <wp:effectExtent l="0" t="0" r="0" b="0"/>
                <wp:wrapTopAndBottom/>
                <wp:docPr id="344" name="Group 344"/>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45" name="Graphic 345"/>
                        <wps:cNvSpPr/>
                        <wps:spPr>
                          <a:xfrm>
                            <a:off x="0" y="0"/>
                            <a:ext cx="5904230" cy="1311275"/>
                          </a:xfrm>
                          <a:custGeom>
                            <a:avLst/>
                            <a:gdLst/>
                            <a:ahLst/>
                            <a:cxnLst/>
                            <a:rect l="l" t="t" r="r" b="b"/>
                            <a:pathLst>
                              <a:path w="5904230" h="1311275">
                                <a:moveTo>
                                  <a:pt x="5773039" y="0"/>
                                </a:moveTo>
                                <a:lnTo>
                                  <a:pt x="131127" y="0"/>
                                </a:lnTo>
                                <a:lnTo>
                                  <a:pt x="80088" y="10300"/>
                                </a:lnTo>
                                <a:lnTo>
                                  <a:pt x="38407" y="38401"/>
                                </a:lnTo>
                                <a:lnTo>
                                  <a:pt x="10305" y="80099"/>
                                </a:lnTo>
                                <a:lnTo>
                                  <a:pt x="0" y="131190"/>
                                </a:lnTo>
                                <a:lnTo>
                                  <a:pt x="0" y="1180210"/>
                                </a:lnTo>
                                <a:lnTo>
                                  <a:pt x="10305" y="1231229"/>
                                </a:lnTo>
                                <a:lnTo>
                                  <a:pt x="38407" y="1272889"/>
                                </a:lnTo>
                                <a:lnTo>
                                  <a:pt x="80088" y="1300976"/>
                                </a:lnTo>
                                <a:lnTo>
                                  <a:pt x="131127" y="1311274"/>
                                </a:lnTo>
                                <a:lnTo>
                                  <a:pt x="5773039" y="1311274"/>
                                </a:lnTo>
                                <a:lnTo>
                                  <a:pt x="5824130" y="1300976"/>
                                </a:lnTo>
                                <a:lnTo>
                                  <a:pt x="5865828" y="1272889"/>
                                </a:lnTo>
                                <a:lnTo>
                                  <a:pt x="5893929" y="1231229"/>
                                </a:lnTo>
                                <a:lnTo>
                                  <a:pt x="5904230" y="1180210"/>
                                </a:lnTo>
                                <a:lnTo>
                                  <a:pt x="5904230" y="131190"/>
                                </a:lnTo>
                                <a:lnTo>
                                  <a:pt x="5893929" y="80099"/>
                                </a:lnTo>
                                <a:lnTo>
                                  <a:pt x="5865828" y="38401"/>
                                </a:lnTo>
                                <a:lnTo>
                                  <a:pt x="5824130" y="10300"/>
                                </a:lnTo>
                                <a:lnTo>
                                  <a:pt x="5773039" y="0"/>
                                </a:lnTo>
                                <a:close/>
                              </a:path>
                            </a:pathLst>
                          </a:custGeom>
                          <a:solidFill>
                            <a:srgbClr val="F8F8F7"/>
                          </a:solidFill>
                        </wps:spPr>
                        <wps:bodyPr wrap="square" lIns="0" tIns="0" rIns="0" bIns="0" rtlCol="0">
                          <a:prstTxWarp prst="textNoShape">
                            <a:avLst/>
                          </a:prstTxWarp>
                        </wps:bodyPr>
                      </wps:wsp>
                      <wps:wsp>
                        <wps:cNvPr id="346" name="Graphic 346"/>
                        <wps:cNvSpPr/>
                        <wps:spPr>
                          <a:xfrm>
                            <a:off x="280444" y="152180"/>
                            <a:ext cx="753745" cy="967740"/>
                          </a:xfrm>
                          <a:custGeom>
                            <a:avLst/>
                            <a:gdLst/>
                            <a:ahLst/>
                            <a:cxnLst/>
                            <a:rect l="l" t="t" r="r" b="b"/>
                            <a:pathLst>
                              <a:path w="753745" h="967740">
                                <a:moveTo>
                                  <a:pt x="692854" y="0"/>
                                </a:moveTo>
                                <a:lnTo>
                                  <a:pt x="60776" y="0"/>
                                </a:lnTo>
                                <a:lnTo>
                                  <a:pt x="17815" y="17779"/>
                                </a:lnTo>
                                <a:lnTo>
                                  <a:pt x="0" y="60959"/>
                                </a:lnTo>
                                <a:lnTo>
                                  <a:pt x="0" y="908049"/>
                                </a:lnTo>
                                <a:lnTo>
                                  <a:pt x="17815" y="951229"/>
                                </a:lnTo>
                                <a:lnTo>
                                  <a:pt x="60776" y="967739"/>
                                </a:lnTo>
                                <a:lnTo>
                                  <a:pt x="692854" y="967740"/>
                                </a:lnTo>
                                <a:lnTo>
                                  <a:pt x="716498" y="963930"/>
                                </a:lnTo>
                                <a:lnTo>
                                  <a:pt x="735808" y="951230"/>
                                </a:lnTo>
                                <a:lnTo>
                                  <a:pt x="740693" y="943610"/>
                                </a:lnTo>
                                <a:lnTo>
                                  <a:pt x="60776" y="943609"/>
                                </a:lnTo>
                                <a:lnTo>
                                  <a:pt x="46579" y="941069"/>
                                </a:lnTo>
                                <a:lnTo>
                                  <a:pt x="34988" y="933449"/>
                                </a:lnTo>
                                <a:lnTo>
                                  <a:pt x="27175" y="922019"/>
                                </a:lnTo>
                                <a:lnTo>
                                  <a:pt x="24310" y="908049"/>
                                </a:lnTo>
                                <a:lnTo>
                                  <a:pt x="24310" y="787399"/>
                                </a:lnTo>
                                <a:lnTo>
                                  <a:pt x="158019" y="787399"/>
                                </a:lnTo>
                                <a:lnTo>
                                  <a:pt x="158019" y="761999"/>
                                </a:lnTo>
                                <a:lnTo>
                                  <a:pt x="24310" y="761999"/>
                                </a:lnTo>
                                <a:lnTo>
                                  <a:pt x="24310" y="593089"/>
                                </a:lnTo>
                                <a:lnTo>
                                  <a:pt x="158019" y="593089"/>
                                </a:lnTo>
                                <a:lnTo>
                                  <a:pt x="158019" y="568959"/>
                                </a:lnTo>
                                <a:lnTo>
                                  <a:pt x="24310" y="568959"/>
                                </a:lnTo>
                                <a:lnTo>
                                  <a:pt x="24310" y="400049"/>
                                </a:lnTo>
                                <a:lnTo>
                                  <a:pt x="303883" y="400050"/>
                                </a:lnTo>
                                <a:lnTo>
                                  <a:pt x="303883" y="374650"/>
                                </a:lnTo>
                                <a:lnTo>
                                  <a:pt x="24310" y="374649"/>
                                </a:lnTo>
                                <a:lnTo>
                                  <a:pt x="24310" y="205739"/>
                                </a:lnTo>
                                <a:lnTo>
                                  <a:pt x="158019" y="205740"/>
                                </a:lnTo>
                                <a:lnTo>
                                  <a:pt x="158019" y="181610"/>
                                </a:lnTo>
                                <a:lnTo>
                                  <a:pt x="24310" y="181609"/>
                                </a:lnTo>
                                <a:lnTo>
                                  <a:pt x="24310" y="60959"/>
                                </a:lnTo>
                                <a:lnTo>
                                  <a:pt x="27175" y="45719"/>
                                </a:lnTo>
                                <a:lnTo>
                                  <a:pt x="34988" y="34289"/>
                                </a:lnTo>
                                <a:lnTo>
                                  <a:pt x="46579" y="26669"/>
                                </a:lnTo>
                                <a:lnTo>
                                  <a:pt x="60776" y="24129"/>
                                </a:lnTo>
                                <a:lnTo>
                                  <a:pt x="740150" y="24130"/>
                                </a:lnTo>
                                <a:lnTo>
                                  <a:pt x="735808" y="17780"/>
                                </a:lnTo>
                                <a:lnTo>
                                  <a:pt x="716498" y="5080"/>
                                </a:lnTo>
                                <a:lnTo>
                                  <a:pt x="692854" y="0"/>
                                </a:lnTo>
                                <a:close/>
                              </a:path>
                              <a:path w="753745" h="967740">
                                <a:moveTo>
                                  <a:pt x="753631" y="787400"/>
                                </a:moveTo>
                                <a:lnTo>
                                  <a:pt x="729320" y="787400"/>
                                </a:lnTo>
                                <a:lnTo>
                                  <a:pt x="729320" y="908050"/>
                                </a:lnTo>
                                <a:lnTo>
                                  <a:pt x="726454" y="922020"/>
                                </a:lnTo>
                                <a:lnTo>
                                  <a:pt x="718638" y="933450"/>
                                </a:lnTo>
                                <a:lnTo>
                                  <a:pt x="707047" y="941070"/>
                                </a:lnTo>
                                <a:lnTo>
                                  <a:pt x="692854" y="943610"/>
                                </a:lnTo>
                                <a:lnTo>
                                  <a:pt x="740693" y="943610"/>
                                </a:lnTo>
                                <a:lnTo>
                                  <a:pt x="748835" y="930910"/>
                                </a:lnTo>
                                <a:lnTo>
                                  <a:pt x="753631" y="908050"/>
                                </a:lnTo>
                                <a:lnTo>
                                  <a:pt x="753631" y="787400"/>
                                </a:lnTo>
                                <a:close/>
                              </a:path>
                              <a:path w="753745" h="967740">
                                <a:moveTo>
                                  <a:pt x="158019" y="787399"/>
                                </a:moveTo>
                                <a:lnTo>
                                  <a:pt x="133708" y="787399"/>
                                </a:lnTo>
                                <a:lnTo>
                                  <a:pt x="133708" y="798829"/>
                                </a:lnTo>
                                <a:lnTo>
                                  <a:pt x="137529" y="817879"/>
                                </a:lnTo>
                                <a:lnTo>
                                  <a:pt x="147949" y="833119"/>
                                </a:lnTo>
                                <a:lnTo>
                                  <a:pt x="163404" y="843279"/>
                                </a:lnTo>
                                <a:lnTo>
                                  <a:pt x="182330" y="847089"/>
                                </a:lnTo>
                                <a:lnTo>
                                  <a:pt x="201251" y="843279"/>
                                </a:lnTo>
                                <a:lnTo>
                                  <a:pt x="216706" y="833119"/>
                                </a:lnTo>
                                <a:lnTo>
                                  <a:pt x="223655" y="822959"/>
                                </a:lnTo>
                                <a:lnTo>
                                  <a:pt x="182330" y="822959"/>
                                </a:lnTo>
                                <a:lnTo>
                                  <a:pt x="172865" y="821689"/>
                                </a:lnTo>
                                <a:lnTo>
                                  <a:pt x="165137" y="816609"/>
                                </a:lnTo>
                                <a:lnTo>
                                  <a:pt x="159929" y="807719"/>
                                </a:lnTo>
                                <a:lnTo>
                                  <a:pt x="158019" y="798829"/>
                                </a:lnTo>
                                <a:lnTo>
                                  <a:pt x="158019" y="787399"/>
                                </a:lnTo>
                                <a:close/>
                              </a:path>
                              <a:path w="753745" h="967740">
                                <a:moveTo>
                                  <a:pt x="425436" y="787400"/>
                                </a:moveTo>
                                <a:lnTo>
                                  <a:pt x="401126" y="787400"/>
                                </a:lnTo>
                                <a:lnTo>
                                  <a:pt x="401126" y="798830"/>
                                </a:lnTo>
                                <a:lnTo>
                                  <a:pt x="404947" y="817880"/>
                                </a:lnTo>
                                <a:lnTo>
                                  <a:pt x="415366" y="833120"/>
                                </a:lnTo>
                                <a:lnTo>
                                  <a:pt x="430821" y="843280"/>
                                </a:lnTo>
                                <a:lnTo>
                                  <a:pt x="449747" y="847090"/>
                                </a:lnTo>
                                <a:lnTo>
                                  <a:pt x="468669" y="843280"/>
                                </a:lnTo>
                                <a:lnTo>
                                  <a:pt x="484124" y="833120"/>
                                </a:lnTo>
                                <a:lnTo>
                                  <a:pt x="491072" y="822960"/>
                                </a:lnTo>
                                <a:lnTo>
                                  <a:pt x="449747" y="822960"/>
                                </a:lnTo>
                                <a:lnTo>
                                  <a:pt x="440282" y="821690"/>
                                </a:lnTo>
                                <a:lnTo>
                                  <a:pt x="432555" y="816610"/>
                                </a:lnTo>
                                <a:lnTo>
                                  <a:pt x="427346" y="807720"/>
                                </a:lnTo>
                                <a:lnTo>
                                  <a:pt x="425436" y="798830"/>
                                </a:lnTo>
                                <a:lnTo>
                                  <a:pt x="425436" y="787400"/>
                                </a:lnTo>
                                <a:close/>
                              </a:path>
                              <a:path w="753745" h="967740">
                                <a:moveTo>
                                  <a:pt x="546990" y="787400"/>
                                </a:moveTo>
                                <a:lnTo>
                                  <a:pt x="522679" y="787400"/>
                                </a:lnTo>
                                <a:lnTo>
                                  <a:pt x="522679" y="798830"/>
                                </a:lnTo>
                                <a:lnTo>
                                  <a:pt x="526500" y="817880"/>
                                </a:lnTo>
                                <a:lnTo>
                                  <a:pt x="536920" y="833120"/>
                                </a:lnTo>
                                <a:lnTo>
                                  <a:pt x="552375" y="843280"/>
                                </a:lnTo>
                                <a:lnTo>
                                  <a:pt x="571301" y="847090"/>
                                </a:lnTo>
                                <a:lnTo>
                                  <a:pt x="590222" y="843280"/>
                                </a:lnTo>
                                <a:lnTo>
                                  <a:pt x="605677" y="833120"/>
                                </a:lnTo>
                                <a:lnTo>
                                  <a:pt x="612625" y="822960"/>
                                </a:lnTo>
                                <a:lnTo>
                                  <a:pt x="571300" y="822960"/>
                                </a:lnTo>
                                <a:lnTo>
                                  <a:pt x="561835" y="821690"/>
                                </a:lnTo>
                                <a:lnTo>
                                  <a:pt x="554108" y="816610"/>
                                </a:lnTo>
                                <a:lnTo>
                                  <a:pt x="548900" y="807720"/>
                                </a:lnTo>
                                <a:lnTo>
                                  <a:pt x="546990" y="798830"/>
                                </a:lnTo>
                                <a:lnTo>
                                  <a:pt x="546990" y="787400"/>
                                </a:lnTo>
                                <a:close/>
                              </a:path>
                              <a:path w="753745" h="967740">
                                <a:moveTo>
                                  <a:pt x="223655" y="726439"/>
                                </a:moveTo>
                                <a:lnTo>
                                  <a:pt x="182330" y="726439"/>
                                </a:lnTo>
                                <a:lnTo>
                                  <a:pt x="191790" y="727709"/>
                                </a:lnTo>
                                <a:lnTo>
                                  <a:pt x="199518" y="732789"/>
                                </a:lnTo>
                                <a:lnTo>
                                  <a:pt x="204729" y="741679"/>
                                </a:lnTo>
                                <a:lnTo>
                                  <a:pt x="206640" y="750569"/>
                                </a:lnTo>
                                <a:lnTo>
                                  <a:pt x="206640" y="798829"/>
                                </a:lnTo>
                                <a:lnTo>
                                  <a:pt x="204729" y="807719"/>
                                </a:lnTo>
                                <a:lnTo>
                                  <a:pt x="199518" y="816609"/>
                                </a:lnTo>
                                <a:lnTo>
                                  <a:pt x="191790" y="821689"/>
                                </a:lnTo>
                                <a:lnTo>
                                  <a:pt x="182330" y="822959"/>
                                </a:lnTo>
                                <a:lnTo>
                                  <a:pt x="223655" y="822959"/>
                                </a:lnTo>
                                <a:lnTo>
                                  <a:pt x="227129" y="817879"/>
                                </a:lnTo>
                                <a:lnTo>
                                  <a:pt x="230951" y="798829"/>
                                </a:lnTo>
                                <a:lnTo>
                                  <a:pt x="230951" y="787399"/>
                                </a:lnTo>
                                <a:lnTo>
                                  <a:pt x="425436" y="787400"/>
                                </a:lnTo>
                                <a:lnTo>
                                  <a:pt x="425436" y="762000"/>
                                </a:lnTo>
                                <a:lnTo>
                                  <a:pt x="230951" y="761999"/>
                                </a:lnTo>
                                <a:lnTo>
                                  <a:pt x="230951" y="750569"/>
                                </a:lnTo>
                                <a:lnTo>
                                  <a:pt x="227129" y="731519"/>
                                </a:lnTo>
                                <a:lnTo>
                                  <a:pt x="223655" y="726439"/>
                                </a:lnTo>
                                <a:close/>
                              </a:path>
                              <a:path w="753745" h="967740">
                                <a:moveTo>
                                  <a:pt x="491072" y="726440"/>
                                </a:moveTo>
                                <a:lnTo>
                                  <a:pt x="449747" y="726440"/>
                                </a:lnTo>
                                <a:lnTo>
                                  <a:pt x="459208" y="727710"/>
                                </a:lnTo>
                                <a:lnTo>
                                  <a:pt x="466936" y="732790"/>
                                </a:lnTo>
                                <a:lnTo>
                                  <a:pt x="472147" y="741680"/>
                                </a:lnTo>
                                <a:lnTo>
                                  <a:pt x="474058" y="750570"/>
                                </a:lnTo>
                                <a:lnTo>
                                  <a:pt x="474058" y="798830"/>
                                </a:lnTo>
                                <a:lnTo>
                                  <a:pt x="472147" y="807720"/>
                                </a:lnTo>
                                <a:lnTo>
                                  <a:pt x="466936" y="816610"/>
                                </a:lnTo>
                                <a:lnTo>
                                  <a:pt x="459208" y="821690"/>
                                </a:lnTo>
                                <a:lnTo>
                                  <a:pt x="449747" y="822960"/>
                                </a:lnTo>
                                <a:lnTo>
                                  <a:pt x="491072" y="822960"/>
                                </a:lnTo>
                                <a:lnTo>
                                  <a:pt x="494546" y="817880"/>
                                </a:lnTo>
                                <a:lnTo>
                                  <a:pt x="498368" y="798830"/>
                                </a:lnTo>
                                <a:lnTo>
                                  <a:pt x="498368" y="787400"/>
                                </a:lnTo>
                                <a:lnTo>
                                  <a:pt x="546990" y="787400"/>
                                </a:lnTo>
                                <a:lnTo>
                                  <a:pt x="546990" y="762000"/>
                                </a:lnTo>
                                <a:lnTo>
                                  <a:pt x="498368" y="762000"/>
                                </a:lnTo>
                                <a:lnTo>
                                  <a:pt x="498368" y="750570"/>
                                </a:lnTo>
                                <a:lnTo>
                                  <a:pt x="494546" y="731520"/>
                                </a:lnTo>
                                <a:lnTo>
                                  <a:pt x="491072" y="726440"/>
                                </a:lnTo>
                                <a:close/>
                              </a:path>
                              <a:path w="753745" h="967740">
                                <a:moveTo>
                                  <a:pt x="612625" y="726440"/>
                                </a:moveTo>
                                <a:lnTo>
                                  <a:pt x="571300" y="726440"/>
                                </a:lnTo>
                                <a:lnTo>
                                  <a:pt x="580761" y="727710"/>
                                </a:lnTo>
                                <a:lnTo>
                                  <a:pt x="588489" y="732790"/>
                                </a:lnTo>
                                <a:lnTo>
                                  <a:pt x="593700" y="741680"/>
                                </a:lnTo>
                                <a:lnTo>
                                  <a:pt x="595611" y="750570"/>
                                </a:lnTo>
                                <a:lnTo>
                                  <a:pt x="595611" y="798830"/>
                                </a:lnTo>
                                <a:lnTo>
                                  <a:pt x="593700" y="807720"/>
                                </a:lnTo>
                                <a:lnTo>
                                  <a:pt x="588489" y="816610"/>
                                </a:lnTo>
                                <a:lnTo>
                                  <a:pt x="580761" y="821690"/>
                                </a:lnTo>
                                <a:lnTo>
                                  <a:pt x="571300" y="822960"/>
                                </a:lnTo>
                                <a:lnTo>
                                  <a:pt x="612625" y="822960"/>
                                </a:lnTo>
                                <a:lnTo>
                                  <a:pt x="616100" y="817880"/>
                                </a:lnTo>
                                <a:lnTo>
                                  <a:pt x="619922" y="798830"/>
                                </a:lnTo>
                                <a:lnTo>
                                  <a:pt x="619922" y="787400"/>
                                </a:lnTo>
                                <a:lnTo>
                                  <a:pt x="753631" y="787400"/>
                                </a:lnTo>
                                <a:lnTo>
                                  <a:pt x="753631" y="762000"/>
                                </a:lnTo>
                                <a:lnTo>
                                  <a:pt x="619922" y="762000"/>
                                </a:lnTo>
                                <a:lnTo>
                                  <a:pt x="619922" y="750570"/>
                                </a:lnTo>
                                <a:lnTo>
                                  <a:pt x="616100" y="731520"/>
                                </a:lnTo>
                                <a:lnTo>
                                  <a:pt x="612625" y="726440"/>
                                </a:lnTo>
                                <a:close/>
                              </a:path>
                              <a:path w="753745" h="967740">
                                <a:moveTo>
                                  <a:pt x="182330" y="702309"/>
                                </a:moveTo>
                                <a:lnTo>
                                  <a:pt x="163404" y="706119"/>
                                </a:lnTo>
                                <a:lnTo>
                                  <a:pt x="147949" y="716279"/>
                                </a:lnTo>
                                <a:lnTo>
                                  <a:pt x="137529" y="731519"/>
                                </a:lnTo>
                                <a:lnTo>
                                  <a:pt x="133708" y="750569"/>
                                </a:lnTo>
                                <a:lnTo>
                                  <a:pt x="133708" y="761999"/>
                                </a:lnTo>
                                <a:lnTo>
                                  <a:pt x="158019" y="761999"/>
                                </a:lnTo>
                                <a:lnTo>
                                  <a:pt x="158019" y="750569"/>
                                </a:lnTo>
                                <a:lnTo>
                                  <a:pt x="159929" y="741679"/>
                                </a:lnTo>
                                <a:lnTo>
                                  <a:pt x="165137" y="732789"/>
                                </a:lnTo>
                                <a:lnTo>
                                  <a:pt x="172865" y="727709"/>
                                </a:lnTo>
                                <a:lnTo>
                                  <a:pt x="182330" y="726439"/>
                                </a:lnTo>
                                <a:lnTo>
                                  <a:pt x="223655" y="726439"/>
                                </a:lnTo>
                                <a:lnTo>
                                  <a:pt x="216706" y="716279"/>
                                </a:lnTo>
                                <a:lnTo>
                                  <a:pt x="201251" y="706119"/>
                                </a:lnTo>
                                <a:lnTo>
                                  <a:pt x="182330" y="702309"/>
                                </a:lnTo>
                                <a:close/>
                              </a:path>
                              <a:path w="753745" h="967740">
                                <a:moveTo>
                                  <a:pt x="449747" y="702310"/>
                                </a:moveTo>
                                <a:lnTo>
                                  <a:pt x="430821" y="706120"/>
                                </a:lnTo>
                                <a:lnTo>
                                  <a:pt x="415366" y="716280"/>
                                </a:lnTo>
                                <a:lnTo>
                                  <a:pt x="404947" y="731520"/>
                                </a:lnTo>
                                <a:lnTo>
                                  <a:pt x="401126" y="750570"/>
                                </a:lnTo>
                                <a:lnTo>
                                  <a:pt x="401126" y="762000"/>
                                </a:lnTo>
                                <a:lnTo>
                                  <a:pt x="425436" y="762000"/>
                                </a:lnTo>
                                <a:lnTo>
                                  <a:pt x="425436" y="750570"/>
                                </a:lnTo>
                                <a:lnTo>
                                  <a:pt x="427346" y="741680"/>
                                </a:lnTo>
                                <a:lnTo>
                                  <a:pt x="432555" y="732790"/>
                                </a:lnTo>
                                <a:lnTo>
                                  <a:pt x="440282" y="727710"/>
                                </a:lnTo>
                                <a:lnTo>
                                  <a:pt x="449747" y="726440"/>
                                </a:lnTo>
                                <a:lnTo>
                                  <a:pt x="491072" y="726440"/>
                                </a:lnTo>
                                <a:lnTo>
                                  <a:pt x="484124" y="716280"/>
                                </a:lnTo>
                                <a:lnTo>
                                  <a:pt x="468669" y="706120"/>
                                </a:lnTo>
                                <a:lnTo>
                                  <a:pt x="449747" y="702310"/>
                                </a:lnTo>
                                <a:close/>
                              </a:path>
                              <a:path w="753745" h="967740">
                                <a:moveTo>
                                  <a:pt x="571300" y="702310"/>
                                </a:moveTo>
                                <a:lnTo>
                                  <a:pt x="552375" y="706120"/>
                                </a:lnTo>
                                <a:lnTo>
                                  <a:pt x="536920" y="716280"/>
                                </a:lnTo>
                                <a:lnTo>
                                  <a:pt x="526500" y="731520"/>
                                </a:lnTo>
                                <a:lnTo>
                                  <a:pt x="522679" y="750570"/>
                                </a:lnTo>
                                <a:lnTo>
                                  <a:pt x="522679" y="762000"/>
                                </a:lnTo>
                                <a:lnTo>
                                  <a:pt x="546990" y="762000"/>
                                </a:lnTo>
                                <a:lnTo>
                                  <a:pt x="546990" y="750570"/>
                                </a:lnTo>
                                <a:lnTo>
                                  <a:pt x="548900" y="741680"/>
                                </a:lnTo>
                                <a:lnTo>
                                  <a:pt x="554108" y="732790"/>
                                </a:lnTo>
                                <a:lnTo>
                                  <a:pt x="561835" y="727710"/>
                                </a:lnTo>
                                <a:lnTo>
                                  <a:pt x="571300" y="726440"/>
                                </a:lnTo>
                                <a:lnTo>
                                  <a:pt x="612625" y="726440"/>
                                </a:lnTo>
                                <a:lnTo>
                                  <a:pt x="605677" y="716280"/>
                                </a:lnTo>
                                <a:lnTo>
                                  <a:pt x="590222" y="706120"/>
                                </a:lnTo>
                                <a:lnTo>
                                  <a:pt x="571300" y="702310"/>
                                </a:lnTo>
                                <a:close/>
                              </a:path>
                              <a:path w="753745" h="967740">
                                <a:moveTo>
                                  <a:pt x="753631" y="593090"/>
                                </a:moveTo>
                                <a:lnTo>
                                  <a:pt x="729320" y="593090"/>
                                </a:lnTo>
                                <a:lnTo>
                                  <a:pt x="729320" y="762000"/>
                                </a:lnTo>
                                <a:lnTo>
                                  <a:pt x="753631" y="762000"/>
                                </a:lnTo>
                                <a:lnTo>
                                  <a:pt x="753631" y="593090"/>
                                </a:lnTo>
                                <a:close/>
                              </a:path>
                              <a:path w="753745" h="967740">
                                <a:moveTo>
                                  <a:pt x="158019" y="593089"/>
                                </a:moveTo>
                                <a:lnTo>
                                  <a:pt x="133708" y="593089"/>
                                </a:lnTo>
                                <a:lnTo>
                                  <a:pt x="133708" y="605789"/>
                                </a:lnTo>
                                <a:lnTo>
                                  <a:pt x="137529" y="623569"/>
                                </a:lnTo>
                                <a:lnTo>
                                  <a:pt x="147949" y="640079"/>
                                </a:lnTo>
                                <a:lnTo>
                                  <a:pt x="163404" y="650239"/>
                                </a:lnTo>
                                <a:lnTo>
                                  <a:pt x="182330" y="654049"/>
                                </a:lnTo>
                                <a:lnTo>
                                  <a:pt x="201251" y="650239"/>
                                </a:lnTo>
                                <a:lnTo>
                                  <a:pt x="216706" y="640079"/>
                                </a:lnTo>
                                <a:lnTo>
                                  <a:pt x="223120" y="629919"/>
                                </a:lnTo>
                                <a:lnTo>
                                  <a:pt x="182330" y="629919"/>
                                </a:lnTo>
                                <a:lnTo>
                                  <a:pt x="172865" y="627379"/>
                                </a:lnTo>
                                <a:lnTo>
                                  <a:pt x="165137" y="622299"/>
                                </a:lnTo>
                                <a:lnTo>
                                  <a:pt x="159929" y="614679"/>
                                </a:lnTo>
                                <a:lnTo>
                                  <a:pt x="158019" y="605789"/>
                                </a:lnTo>
                                <a:lnTo>
                                  <a:pt x="158019" y="593089"/>
                                </a:lnTo>
                                <a:close/>
                              </a:path>
                              <a:path w="753745" h="967740">
                                <a:moveTo>
                                  <a:pt x="279572" y="593089"/>
                                </a:moveTo>
                                <a:lnTo>
                                  <a:pt x="255262" y="593089"/>
                                </a:lnTo>
                                <a:lnTo>
                                  <a:pt x="255262" y="605789"/>
                                </a:lnTo>
                                <a:lnTo>
                                  <a:pt x="259083" y="623569"/>
                                </a:lnTo>
                                <a:lnTo>
                                  <a:pt x="269502" y="640079"/>
                                </a:lnTo>
                                <a:lnTo>
                                  <a:pt x="284957" y="650239"/>
                                </a:lnTo>
                                <a:lnTo>
                                  <a:pt x="303883" y="654049"/>
                                </a:lnTo>
                                <a:lnTo>
                                  <a:pt x="322805" y="650240"/>
                                </a:lnTo>
                                <a:lnTo>
                                  <a:pt x="338260" y="640080"/>
                                </a:lnTo>
                                <a:lnTo>
                                  <a:pt x="344674" y="629920"/>
                                </a:lnTo>
                                <a:lnTo>
                                  <a:pt x="303883" y="629919"/>
                                </a:lnTo>
                                <a:lnTo>
                                  <a:pt x="294418" y="627379"/>
                                </a:lnTo>
                                <a:lnTo>
                                  <a:pt x="286691" y="622299"/>
                                </a:lnTo>
                                <a:lnTo>
                                  <a:pt x="281482" y="614679"/>
                                </a:lnTo>
                                <a:lnTo>
                                  <a:pt x="279572" y="605789"/>
                                </a:lnTo>
                                <a:lnTo>
                                  <a:pt x="279572" y="593089"/>
                                </a:lnTo>
                                <a:close/>
                              </a:path>
                              <a:path w="753745" h="967740">
                                <a:moveTo>
                                  <a:pt x="546990" y="593090"/>
                                </a:moveTo>
                                <a:lnTo>
                                  <a:pt x="522679" y="593090"/>
                                </a:lnTo>
                                <a:lnTo>
                                  <a:pt x="522679" y="605790"/>
                                </a:lnTo>
                                <a:lnTo>
                                  <a:pt x="526500" y="623570"/>
                                </a:lnTo>
                                <a:lnTo>
                                  <a:pt x="536920" y="640080"/>
                                </a:lnTo>
                                <a:lnTo>
                                  <a:pt x="552375" y="650240"/>
                                </a:lnTo>
                                <a:lnTo>
                                  <a:pt x="571300" y="654050"/>
                                </a:lnTo>
                                <a:lnTo>
                                  <a:pt x="590222" y="650240"/>
                                </a:lnTo>
                                <a:lnTo>
                                  <a:pt x="605677" y="640080"/>
                                </a:lnTo>
                                <a:lnTo>
                                  <a:pt x="612091" y="629920"/>
                                </a:lnTo>
                                <a:lnTo>
                                  <a:pt x="571300" y="629920"/>
                                </a:lnTo>
                                <a:lnTo>
                                  <a:pt x="561835" y="627380"/>
                                </a:lnTo>
                                <a:lnTo>
                                  <a:pt x="554108" y="622300"/>
                                </a:lnTo>
                                <a:lnTo>
                                  <a:pt x="548900" y="614680"/>
                                </a:lnTo>
                                <a:lnTo>
                                  <a:pt x="546990" y="605790"/>
                                </a:lnTo>
                                <a:lnTo>
                                  <a:pt x="546990" y="593090"/>
                                </a:lnTo>
                                <a:close/>
                              </a:path>
                              <a:path w="753745" h="967740">
                                <a:moveTo>
                                  <a:pt x="223120" y="532129"/>
                                </a:moveTo>
                                <a:lnTo>
                                  <a:pt x="182330" y="532129"/>
                                </a:lnTo>
                                <a:lnTo>
                                  <a:pt x="191790" y="534669"/>
                                </a:lnTo>
                                <a:lnTo>
                                  <a:pt x="199518" y="539749"/>
                                </a:lnTo>
                                <a:lnTo>
                                  <a:pt x="204729" y="547369"/>
                                </a:lnTo>
                                <a:lnTo>
                                  <a:pt x="206640" y="556259"/>
                                </a:lnTo>
                                <a:lnTo>
                                  <a:pt x="206640" y="605789"/>
                                </a:lnTo>
                                <a:lnTo>
                                  <a:pt x="204729" y="614679"/>
                                </a:lnTo>
                                <a:lnTo>
                                  <a:pt x="199518" y="622299"/>
                                </a:lnTo>
                                <a:lnTo>
                                  <a:pt x="191790" y="627379"/>
                                </a:lnTo>
                                <a:lnTo>
                                  <a:pt x="182330" y="629919"/>
                                </a:lnTo>
                                <a:lnTo>
                                  <a:pt x="223120" y="629919"/>
                                </a:lnTo>
                                <a:lnTo>
                                  <a:pt x="227129" y="623569"/>
                                </a:lnTo>
                                <a:lnTo>
                                  <a:pt x="230951" y="605789"/>
                                </a:lnTo>
                                <a:lnTo>
                                  <a:pt x="230951" y="593089"/>
                                </a:lnTo>
                                <a:lnTo>
                                  <a:pt x="279572" y="593089"/>
                                </a:lnTo>
                                <a:lnTo>
                                  <a:pt x="279572" y="568959"/>
                                </a:lnTo>
                                <a:lnTo>
                                  <a:pt x="230951" y="568959"/>
                                </a:lnTo>
                                <a:lnTo>
                                  <a:pt x="230951" y="556259"/>
                                </a:lnTo>
                                <a:lnTo>
                                  <a:pt x="227129" y="538479"/>
                                </a:lnTo>
                                <a:lnTo>
                                  <a:pt x="223120" y="532129"/>
                                </a:lnTo>
                                <a:close/>
                              </a:path>
                              <a:path w="753745" h="967740">
                                <a:moveTo>
                                  <a:pt x="344674" y="532130"/>
                                </a:moveTo>
                                <a:lnTo>
                                  <a:pt x="303883" y="532130"/>
                                </a:lnTo>
                                <a:lnTo>
                                  <a:pt x="313344" y="534670"/>
                                </a:lnTo>
                                <a:lnTo>
                                  <a:pt x="321071" y="539750"/>
                                </a:lnTo>
                                <a:lnTo>
                                  <a:pt x="326283" y="547370"/>
                                </a:lnTo>
                                <a:lnTo>
                                  <a:pt x="328194" y="556260"/>
                                </a:lnTo>
                                <a:lnTo>
                                  <a:pt x="328194" y="605790"/>
                                </a:lnTo>
                                <a:lnTo>
                                  <a:pt x="326283" y="614680"/>
                                </a:lnTo>
                                <a:lnTo>
                                  <a:pt x="321071" y="622300"/>
                                </a:lnTo>
                                <a:lnTo>
                                  <a:pt x="313344" y="627380"/>
                                </a:lnTo>
                                <a:lnTo>
                                  <a:pt x="303883" y="629919"/>
                                </a:lnTo>
                                <a:lnTo>
                                  <a:pt x="344674" y="629920"/>
                                </a:lnTo>
                                <a:lnTo>
                                  <a:pt x="348682" y="623570"/>
                                </a:lnTo>
                                <a:lnTo>
                                  <a:pt x="352504" y="605790"/>
                                </a:lnTo>
                                <a:lnTo>
                                  <a:pt x="352504" y="593090"/>
                                </a:lnTo>
                                <a:lnTo>
                                  <a:pt x="546990" y="593090"/>
                                </a:lnTo>
                                <a:lnTo>
                                  <a:pt x="546990" y="568960"/>
                                </a:lnTo>
                                <a:lnTo>
                                  <a:pt x="352504" y="568960"/>
                                </a:lnTo>
                                <a:lnTo>
                                  <a:pt x="352504" y="556260"/>
                                </a:lnTo>
                                <a:lnTo>
                                  <a:pt x="348682" y="538480"/>
                                </a:lnTo>
                                <a:lnTo>
                                  <a:pt x="344674" y="532130"/>
                                </a:lnTo>
                                <a:close/>
                              </a:path>
                              <a:path w="753745" h="967740">
                                <a:moveTo>
                                  <a:pt x="612091" y="532130"/>
                                </a:moveTo>
                                <a:lnTo>
                                  <a:pt x="571300" y="532130"/>
                                </a:lnTo>
                                <a:lnTo>
                                  <a:pt x="580761" y="534670"/>
                                </a:lnTo>
                                <a:lnTo>
                                  <a:pt x="588489" y="539750"/>
                                </a:lnTo>
                                <a:lnTo>
                                  <a:pt x="593700" y="547370"/>
                                </a:lnTo>
                                <a:lnTo>
                                  <a:pt x="595611" y="556260"/>
                                </a:lnTo>
                                <a:lnTo>
                                  <a:pt x="595611" y="605790"/>
                                </a:lnTo>
                                <a:lnTo>
                                  <a:pt x="593700" y="614680"/>
                                </a:lnTo>
                                <a:lnTo>
                                  <a:pt x="588489" y="622300"/>
                                </a:lnTo>
                                <a:lnTo>
                                  <a:pt x="580761" y="627380"/>
                                </a:lnTo>
                                <a:lnTo>
                                  <a:pt x="571300" y="629920"/>
                                </a:lnTo>
                                <a:lnTo>
                                  <a:pt x="612091" y="629920"/>
                                </a:lnTo>
                                <a:lnTo>
                                  <a:pt x="616100" y="623570"/>
                                </a:lnTo>
                                <a:lnTo>
                                  <a:pt x="619922" y="605790"/>
                                </a:lnTo>
                                <a:lnTo>
                                  <a:pt x="619922" y="593090"/>
                                </a:lnTo>
                                <a:lnTo>
                                  <a:pt x="753631" y="593090"/>
                                </a:lnTo>
                                <a:lnTo>
                                  <a:pt x="753631" y="568960"/>
                                </a:lnTo>
                                <a:lnTo>
                                  <a:pt x="619922" y="568960"/>
                                </a:lnTo>
                                <a:lnTo>
                                  <a:pt x="619922" y="556260"/>
                                </a:lnTo>
                                <a:lnTo>
                                  <a:pt x="616100" y="538480"/>
                                </a:lnTo>
                                <a:lnTo>
                                  <a:pt x="612091" y="532130"/>
                                </a:lnTo>
                                <a:close/>
                              </a:path>
                              <a:path w="753745" h="967740">
                                <a:moveTo>
                                  <a:pt x="182330" y="507999"/>
                                </a:moveTo>
                                <a:lnTo>
                                  <a:pt x="163404" y="511809"/>
                                </a:lnTo>
                                <a:lnTo>
                                  <a:pt x="147949" y="521969"/>
                                </a:lnTo>
                                <a:lnTo>
                                  <a:pt x="137529" y="538479"/>
                                </a:lnTo>
                                <a:lnTo>
                                  <a:pt x="133708" y="556259"/>
                                </a:lnTo>
                                <a:lnTo>
                                  <a:pt x="133708" y="568959"/>
                                </a:lnTo>
                                <a:lnTo>
                                  <a:pt x="158019" y="568959"/>
                                </a:lnTo>
                                <a:lnTo>
                                  <a:pt x="158019" y="556259"/>
                                </a:lnTo>
                                <a:lnTo>
                                  <a:pt x="159929" y="547369"/>
                                </a:lnTo>
                                <a:lnTo>
                                  <a:pt x="165137" y="539749"/>
                                </a:lnTo>
                                <a:lnTo>
                                  <a:pt x="172865" y="534669"/>
                                </a:lnTo>
                                <a:lnTo>
                                  <a:pt x="182330" y="532129"/>
                                </a:lnTo>
                                <a:lnTo>
                                  <a:pt x="223120" y="532129"/>
                                </a:lnTo>
                                <a:lnTo>
                                  <a:pt x="216706" y="521969"/>
                                </a:lnTo>
                                <a:lnTo>
                                  <a:pt x="201251" y="511809"/>
                                </a:lnTo>
                                <a:lnTo>
                                  <a:pt x="182330" y="507999"/>
                                </a:lnTo>
                                <a:close/>
                              </a:path>
                              <a:path w="753745" h="967740">
                                <a:moveTo>
                                  <a:pt x="303883" y="508000"/>
                                </a:moveTo>
                                <a:lnTo>
                                  <a:pt x="284957" y="511810"/>
                                </a:lnTo>
                                <a:lnTo>
                                  <a:pt x="269502" y="521970"/>
                                </a:lnTo>
                                <a:lnTo>
                                  <a:pt x="259083" y="538479"/>
                                </a:lnTo>
                                <a:lnTo>
                                  <a:pt x="255262" y="556259"/>
                                </a:lnTo>
                                <a:lnTo>
                                  <a:pt x="255262" y="568959"/>
                                </a:lnTo>
                                <a:lnTo>
                                  <a:pt x="279572" y="568959"/>
                                </a:lnTo>
                                <a:lnTo>
                                  <a:pt x="279572" y="556259"/>
                                </a:lnTo>
                                <a:lnTo>
                                  <a:pt x="281482" y="547370"/>
                                </a:lnTo>
                                <a:lnTo>
                                  <a:pt x="286691" y="539750"/>
                                </a:lnTo>
                                <a:lnTo>
                                  <a:pt x="294418" y="534670"/>
                                </a:lnTo>
                                <a:lnTo>
                                  <a:pt x="303883" y="532130"/>
                                </a:lnTo>
                                <a:lnTo>
                                  <a:pt x="344674" y="532130"/>
                                </a:lnTo>
                                <a:lnTo>
                                  <a:pt x="338260" y="521970"/>
                                </a:lnTo>
                                <a:lnTo>
                                  <a:pt x="322805" y="511810"/>
                                </a:lnTo>
                                <a:lnTo>
                                  <a:pt x="303883" y="508000"/>
                                </a:lnTo>
                                <a:close/>
                              </a:path>
                              <a:path w="753745" h="967740">
                                <a:moveTo>
                                  <a:pt x="571300" y="508000"/>
                                </a:moveTo>
                                <a:lnTo>
                                  <a:pt x="552375" y="511810"/>
                                </a:lnTo>
                                <a:lnTo>
                                  <a:pt x="536920" y="521970"/>
                                </a:lnTo>
                                <a:lnTo>
                                  <a:pt x="526500" y="538480"/>
                                </a:lnTo>
                                <a:lnTo>
                                  <a:pt x="522679" y="556260"/>
                                </a:lnTo>
                                <a:lnTo>
                                  <a:pt x="522679" y="568960"/>
                                </a:lnTo>
                                <a:lnTo>
                                  <a:pt x="546990" y="568960"/>
                                </a:lnTo>
                                <a:lnTo>
                                  <a:pt x="546990" y="556260"/>
                                </a:lnTo>
                                <a:lnTo>
                                  <a:pt x="548900" y="547370"/>
                                </a:lnTo>
                                <a:lnTo>
                                  <a:pt x="554108" y="539750"/>
                                </a:lnTo>
                                <a:lnTo>
                                  <a:pt x="561835" y="534670"/>
                                </a:lnTo>
                                <a:lnTo>
                                  <a:pt x="571300" y="532130"/>
                                </a:lnTo>
                                <a:lnTo>
                                  <a:pt x="612091" y="532130"/>
                                </a:lnTo>
                                <a:lnTo>
                                  <a:pt x="605677" y="521970"/>
                                </a:lnTo>
                                <a:lnTo>
                                  <a:pt x="590222" y="511810"/>
                                </a:lnTo>
                                <a:lnTo>
                                  <a:pt x="571300" y="508000"/>
                                </a:lnTo>
                                <a:close/>
                              </a:path>
                              <a:path w="753745" h="967740">
                                <a:moveTo>
                                  <a:pt x="753631" y="400050"/>
                                </a:moveTo>
                                <a:lnTo>
                                  <a:pt x="729320" y="400050"/>
                                </a:lnTo>
                                <a:lnTo>
                                  <a:pt x="729320" y="568960"/>
                                </a:lnTo>
                                <a:lnTo>
                                  <a:pt x="753631" y="568960"/>
                                </a:lnTo>
                                <a:lnTo>
                                  <a:pt x="753631" y="400050"/>
                                </a:lnTo>
                                <a:close/>
                              </a:path>
                              <a:path w="753745" h="967740">
                                <a:moveTo>
                                  <a:pt x="303883" y="400050"/>
                                </a:moveTo>
                                <a:lnTo>
                                  <a:pt x="279572" y="400050"/>
                                </a:lnTo>
                                <a:lnTo>
                                  <a:pt x="279572" y="411480"/>
                                </a:lnTo>
                                <a:lnTo>
                                  <a:pt x="283393" y="430530"/>
                                </a:lnTo>
                                <a:lnTo>
                                  <a:pt x="293813" y="445770"/>
                                </a:lnTo>
                                <a:lnTo>
                                  <a:pt x="309268" y="455930"/>
                                </a:lnTo>
                                <a:lnTo>
                                  <a:pt x="328194" y="459740"/>
                                </a:lnTo>
                                <a:lnTo>
                                  <a:pt x="347115" y="455930"/>
                                </a:lnTo>
                                <a:lnTo>
                                  <a:pt x="362571" y="445770"/>
                                </a:lnTo>
                                <a:lnTo>
                                  <a:pt x="369519" y="435610"/>
                                </a:lnTo>
                                <a:lnTo>
                                  <a:pt x="328194" y="435610"/>
                                </a:lnTo>
                                <a:lnTo>
                                  <a:pt x="318729" y="434340"/>
                                </a:lnTo>
                                <a:lnTo>
                                  <a:pt x="311001" y="429260"/>
                                </a:lnTo>
                                <a:lnTo>
                                  <a:pt x="305793" y="420370"/>
                                </a:lnTo>
                                <a:lnTo>
                                  <a:pt x="303883" y="411480"/>
                                </a:lnTo>
                                <a:lnTo>
                                  <a:pt x="303883" y="400050"/>
                                </a:lnTo>
                                <a:close/>
                              </a:path>
                              <a:path w="753745" h="967740">
                                <a:moveTo>
                                  <a:pt x="425436" y="400050"/>
                                </a:moveTo>
                                <a:lnTo>
                                  <a:pt x="401126" y="400050"/>
                                </a:lnTo>
                                <a:lnTo>
                                  <a:pt x="401126" y="411480"/>
                                </a:lnTo>
                                <a:lnTo>
                                  <a:pt x="404947" y="430530"/>
                                </a:lnTo>
                                <a:lnTo>
                                  <a:pt x="415366" y="445770"/>
                                </a:lnTo>
                                <a:lnTo>
                                  <a:pt x="430821" y="455930"/>
                                </a:lnTo>
                                <a:lnTo>
                                  <a:pt x="449747" y="459740"/>
                                </a:lnTo>
                                <a:lnTo>
                                  <a:pt x="468669" y="455930"/>
                                </a:lnTo>
                                <a:lnTo>
                                  <a:pt x="484124" y="445770"/>
                                </a:lnTo>
                                <a:lnTo>
                                  <a:pt x="491072" y="435610"/>
                                </a:lnTo>
                                <a:lnTo>
                                  <a:pt x="449747" y="435610"/>
                                </a:lnTo>
                                <a:lnTo>
                                  <a:pt x="440282" y="434340"/>
                                </a:lnTo>
                                <a:lnTo>
                                  <a:pt x="432555" y="429260"/>
                                </a:lnTo>
                                <a:lnTo>
                                  <a:pt x="427346" y="420370"/>
                                </a:lnTo>
                                <a:lnTo>
                                  <a:pt x="425436" y="411480"/>
                                </a:lnTo>
                                <a:lnTo>
                                  <a:pt x="425436" y="400050"/>
                                </a:lnTo>
                                <a:close/>
                              </a:path>
                              <a:path w="753745" h="967740">
                                <a:moveTo>
                                  <a:pt x="546990" y="400050"/>
                                </a:moveTo>
                                <a:lnTo>
                                  <a:pt x="522679" y="400050"/>
                                </a:lnTo>
                                <a:lnTo>
                                  <a:pt x="522679" y="411480"/>
                                </a:lnTo>
                                <a:lnTo>
                                  <a:pt x="526500" y="430530"/>
                                </a:lnTo>
                                <a:lnTo>
                                  <a:pt x="536920" y="445770"/>
                                </a:lnTo>
                                <a:lnTo>
                                  <a:pt x="552375" y="455930"/>
                                </a:lnTo>
                                <a:lnTo>
                                  <a:pt x="571300" y="459740"/>
                                </a:lnTo>
                                <a:lnTo>
                                  <a:pt x="590222" y="455930"/>
                                </a:lnTo>
                                <a:lnTo>
                                  <a:pt x="605677" y="445770"/>
                                </a:lnTo>
                                <a:lnTo>
                                  <a:pt x="612625" y="435610"/>
                                </a:lnTo>
                                <a:lnTo>
                                  <a:pt x="571300" y="435610"/>
                                </a:lnTo>
                                <a:lnTo>
                                  <a:pt x="561835" y="434340"/>
                                </a:lnTo>
                                <a:lnTo>
                                  <a:pt x="554108" y="429260"/>
                                </a:lnTo>
                                <a:lnTo>
                                  <a:pt x="548900" y="420370"/>
                                </a:lnTo>
                                <a:lnTo>
                                  <a:pt x="546990" y="411480"/>
                                </a:lnTo>
                                <a:lnTo>
                                  <a:pt x="546990" y="400050"/>
                                </a:lnTo>
                                <a:close/>
                              </a:path>
                              <a:path w="753745" h="967740">
                                <a:moveTo>
                                  <a:pt x="369519" y="339090"/>
                                </a:moveTo>
                                <a:lnTo>
                                  <a:pt x="328194" y="339090"/>
                                </a:lnTo>
                                <a:lnTo>
                                  <a:pt x="337654" y="340360"/>
                                </a:lnTo>
                                <a:lnTo>
                                  <a:pt x="345382" y="345440"/>
                                </a:lnTo>
                                <a:lnTo>
                                  <a:pt x="350593" y="353060"/>
                                </a:lnTo>
                                <a:lnTo>
                                  <a:pt x="352504" y="363220"/>
                                </a:lnTo>
                                <a:lnTo>
                                  <a:pt x="352504" y="411480"/>
                                </a:lnTo>
                                <a:lnTo>
                                  <a:pt x="350593" y="420370"/>
                                </a:lnTo>
                                <a:lnTo>
                                  <a:pt x="345382" y="429260"/>
                                </a:lnTo>
                                <a:lnTo>
                                  <a:pt x="337654" y="434340"/>
                                </a:lnTo>
                                <a:lnTo>
                                  <a:pt x="328194" y="435610"/>
                                </a:lnTo>
                                <a:lnTo>
                                  <a:pt x="369519" y="435610"/>
                                </a:lnTo>
                                <a:lnTo>
                                  <a:pt x="372993" y="430530"/>
                                </a:lnTo>
                                <a:lnTo>
                                  <a:pt x="376815" y="411480"/>
                                </a:lnTo>
                                <a:lnTo>
                                  <a:pt x="376815" y="400050"/>
                                </a:lnTo>
                                <a:lnTo>
                                  <a:pt x="425436" y="400050"/>
                                </a:lnTo>
                                <a:lnTo>
                                  <a:pt x="425436" y="374650"/>
                                </a:lnTo>
                                <a:lnTo>
                                  <a:pt x="376815" y="374650"/>
                                </a:lnTo>
                                <a:lnTo>
                                  <a:pt x="376815" y="363220"/>
                                </a:lnTo>
                                <a:lnTo>
                                  <a:pt x="372993" y="344170"/>
                                </a:lnTo>
                                <a:lnTo>
                                  <a:pt x="369519" y="339090"/>
                                </a:lnTo>
                                <a:close/>
                              </a:path>
                              <a:path w="753745" h="967740">
                                <a:moveTo>
                                  <a:pt x="491072" y="339090"/>
                                </a:moveTo>
                                <a:lnTo>
                                  <a:pt x="449747" y="339090"/>
                                </a:lnTo>
                                <a:lnTo>
                                  <a:pt x="459208" y="340360"/>
                                </a:lnTo>
                                <a:lnTo>
                                  <a:pt x="466935" y="345440"/>
                                </a:lnTo>
                                <a:lnTo>
                                  <a:pt x="472147" y="353060"/>
                                </a:lnTo>
                                <a:lnTo>
                                  <a:pt x="474058" y="363220"/>
                                </a:lnTo>
                                <a:lnTo>
                                  <a:pt x="474058" y="411480"/>
                                </a:lnTo>
                                <a:lnTo>
                                  <a:pt x="472147" y="420370"/>
                                </a:lnTo>
                                <a:lnTo>
                                  <a:pt x="466935" y="429260"/>
                                </a:lnTo>
                                <a:lnTo>
                                  <a:pt x="459208" y="434340"/>
                                </a:lnTo>
                                <a:lnTo>
                                  <a:pt x="449747" y="435610"/>
                                </a:lnTo>
                                <a:lnTo>
                                  <a:pt x="491072" y="435610"/>
                                </a:lnTo>
                                <a:lnTo>
                                  <a:pt x="494546" y="430530"/>
                                </a:lnTo>
                                <a:lnTo>
                                  <a:pt x="498368" y="411480"/>
                                </a:lnTo>
                                <a:lnTo>
                                  <a:pt x="498368" y="400050"/>
                                </a:lnTo>
                                <a:lnTo>
                                  <a:pt x="546990" y="400050"/>
                                </a:lnTo>
                                <a:lnTo>
                                  <a:pt x="546990" y="374650"/>
                                </a:lnTo>
                                <a:lnTo>
                                  <a:pt x="498368" y="374650"/>
                                </a:lnTo>
                                <a:lnTo>
                                  <a:pt x="498368" y="363220"/>
                                </a:lnTo>
                                <a:lnTo>
                                  <a:pt x="494546" y="344170"/>
                                </a:lnTo>
                                <a:lnTo>
                                  <a:pt x="491072" y="339090"/>
                                </a:lnTo>
                                <a:close/>
                              </a:path>
                              <a:path w="753745" h="967740">
                                <a:moveTo>
                                  <a:pt x="612625" y="339090"/>
                                </a:moveTo>
                                <a:lnTo>
                                  <a:pt x="571300" y="339090"/>
                                </a:lnTo>
                                <a:lnTo>
                                  <a:pt x="580761" y="340360"/>
                                </a:lnTo>
                                <a:lnTo>
                                  <a:pt x="588489" y="345440"/>
                                </a:lnTo>
                                <a:lnTo>
                                  <a:pt x="593700" y="353060"/>
                                </a:lnTo>
                                <a:lnTo>
                                  <a:pt x="595611" y="363220"/>
                                </a:lnTo>
                                <a:lnTo>
                                  <a:pt x="595611" y="411480"/>
                                </a:lnTo>
                                <a:lnTo>
                                  <a:pt x="593700" y="420370"/>
                                </a:lnTo>
                                <a:lnTo>
                                  <a:pt x="588489" y="429260"/>
                                </a:lnTo>
                                <a:lnTo>
                                  <a:pt x="580761" y="434340"/>
                                </a:lnTo>
                                <a:lnTo>
                                  <a:pt x="571300" y="435610"/>
                                </a:lnTo>
                                <a:lnTo>
                                  <a:pt x="612625" y="435610"/>
                                </a:lnTo>
                                <a:lnTo>
                                  <a:pt x="616100" y="430530"/>
                                </a:lnTo>
                                <a:lnTo>
                                  <a:pt x="619922" y="411480"/>
                                </a:lnTo>
                                <a:lnTo>
                                  <a:pt x="619922" y="400050"/>
                                </a:lnTo>
                                <a:lnTo>
                                  <a:pt x="753631" y="400050"/>
                                </a:lnTo>
                                <a:lnTo>
                                  <a:pt x="753631" y="374650"/>
                                </a:lnTo>
                                <a:lnTo>
                                  <a:pt x="619922" y="374650"/>
                                </a:lnTo>
                                <a:lnTo>
                                  <a:pt x="619922" y="363220"/>
                                </a:lnTo>
                                <a:lnTo>
                                  <a:pt x="616100" y="344170"/>
                                </a:lnTo>
                                <a:lnTo>
                                  <a:pt x="612625" y="339090"/>
                                </a:lnTo>
                                <a:close/>
                              </a:path>
                              <a:path w="753745" h="967740">
                                <a:moveTo>
                                  <a:pt x="328194" y="314960"/>
                                </a:moveTo>
                                <a:lnTo>
                                  <a:pt x="309268" y="318770"/>
                                </a:lnTo>
                                <a:lnTo>
                                  <a:pt x="293813" y="328930"/>
                                </a:lnTo>
                                <a:lnTo>
                                  <a:pt x="283393" y="344170"/>
                                </a:lnTo>
                                <a:lnTo>
                                  <a:pt x="279572" y="363220"/>
                                </a:lnTo>
                                <a:lnTo>
                                  <a:pt x="279572" y="374650"/>
                                </a:lnTo>
                                <a:lnTo>
                                  <a:pt x="303883" y="374650"/>
                                </a:lnTo>
                                <a:lnTo>
                                  <a:pt x="303883" y="363220"/>
                                </a:lnTo>
                                <a:lnTo>
                                  <a:pt x="305793" y="353060"/>
                                </a:lnTo>
                                <a:lnTo>
                                  <a:pt x="311001" y="345440"/>
                                </a:lnTo>
                                <a:lnTo>
                                  <a:pt x="318729" y="340360"/>
                                </a:lnTo>
                                <a:lnTo>
                                  <a:pt x="328194" y="339090"/>
                                </a:lnTo>
                                <a:lnTo>
                                  <a:pt x="369519" y="339090"/>
                                </a:lnTo>
                                <a:lnTo>
                                  <a:pt x="362570" y="328930"/>
                                </a:lnTo>
                                <a:lnTo>
                                  <a:pt x="347115" y="318770"/>
                                </a:lnTo>
                                <a:lnTo>
                                  <a:pt x="328194" y="314960"/>
                                </a:lnTo>
                                <a:close/>
                              </a:path>
                              <a:path w="753745" h="967740">
                                <a:moveTo>
                                  <a:pt x="449747" y="314960"/>
                                </a:moveTo>
                                <a:lnTo>
                                  <a:pt x="430821" y="318770"/>
                                </a:lnTo>
                                <a:lnTo>
                                  <a:pt x="415366" y="328930"/>
                                </a:lnTo>
                                <a:lnTo>
                                  <a:pt x="404947" y="344170"/>
                                </a:lnTo>
                                <a:lnTo>
                                  <a:pt x="401126" y="363220"/>
                                </a:lnTo>
                                <a:lnTo>
                                  <a:pt x="401126" y="374650"/>
                                </a:lnTo>
                                <a:lnTo>
                                  <a:pt x="425436" y="374650"/>
                                </a:lnTo>
                                <a:lnTo>
                                  <a:pt x="425436" y="363220"/>
                                </a:lnTo>
                                <a:lnTo>
                                  <a:pt x="427346" y="353060"/>
                                </a:lnTo>
                                <a:lnTo>
                                  <a:pt x="432555" y="345440"/>
                                </a:lnTo>
                                <a:lnTo>
                                  <a:pt x="440282" y="340360"/>
                                </a:lnTo>
                                <a:lnTo>
                                  <a:pt x="449747" y="339090"/>
                                </a:lnTo>
                                <a:lnTo>
                                  <a:pt x="491072" y="339090"/>
                                </a:lnTo>
                                <a:lnTo>
                                  <a:pt x="484124" y="328930"/>
                                </a:lnTo>
                                <a:lnTo>
                                  <a:pt x="468669" y="318770"/>
                                </a:lnTo>
                                <a:lnTo>
                                  <a:pt x="449747" y="314960"/>
                                </a:lnTo>
                                <a:close/>
                              </a:path>
                              <a:path w="753745" h="967740">
                                <a:moveTo>
                                  <a:pt x="571300" y="314960"/>
                                </a:moveTo>
                                <a:lnTo>
                                  <a:pt x="552375" y="318770"/>
                                </a:lnTo>
                                <a:lnTo>
                                  <a:pt x="536920" y="328930"/>
                                </a:lnTo>
                                <a:lnTo>
                                  <a:pt x="526500" y="344170"/>
                                </a:lnTo>
                                <a:lnTo>
                                  <a:pt x="522679" y="363220"/>
                                </a:lnTo>
                                <a:lnTo>
                                  <a:pt x="522679" y="374650"/>
                                </a:lnTo>
                                <a:lnTo>
                                  <a:pt x="546990" y="374650"/>
                                </a:lnTo>
                                <a:lnTo>
                                  <a:pt x="546990" y="363220"/>
                                </a:lnTo>
                                <a:lnTo>
                                  <a:pt x="548900" y="353060"/>
                                </a:lnTo>
                                <a:lnTo>
                                  <a:pt x="554108" y="345440"/>
                                </a:lnTo>
                                <a:lnTo>
                                  <a:pt x="561835" y="340360"/>
                                </a:lnTo>
                                <a:lnTo>
                                  <a:pt x="571300" y="339090"/>
                                </a:lnTo>
                                <a:lnTo>
                                  <a:pt x="612625" y="339090"/>
                                </a:lnTo>
                                <a:lnTo>
                                  <a:pt x="605677" y="328930"/>
                                </a:lnTo>
                                <a:lnTo>
                                  <a:pt x="590222" y="318770"/>
                                </a:lnTo>
                                <a:lnTo>
                                  <a:pt x="571300" y="314960"/>
                                </a:lnTo>
                                <a:close/>
                              </a:path>
                              <a:path w="753745" h="967740">
                                <a:moveTo>
                                  <a:pt x="753631" y="205740"/>
                                </a:moveTo>
                                <a:lnTo>
                                  <a:pt x="729320" y="205740"/>
                                </a:lnTo>
                                <a:lnTo>
                                  <a:pt x="729320" y="374650"/>
                                </a:lnTo>
                                <a:lnTo>
                                  <a:pt x="753631" y="374650"/>
                                </a:lnTo>
                                <a:lnTo>
                                  <a:pt x="753631" y="205740"/>
                                </a:lnTo>
                                <a:close/>
                              </a:path>
                              <a:path w="753745" h="967740">
                                <a:moveTo>
                                  <a:pt x="158019" y="205740"/>
                                </a:moveTo>
                                <a:lnTo>
                                  <a:pt x="133708" y="205739"/>
                                </a:lnTo>
                                <a:lnTo>
                                  <a:pt x="133708" y="218439"/>
                                </a:lnTo>
                                <a:lnTo>
                                  <a:pt x="137529" y="236219"/>
                                </a:lnTo>
                                <a:lnTo>
                                  <a:pt x="147949" y="252729"/>
                                </a:lnTo>
                                <a:lnTo>
                                  <a:pt x="163404" y="262889"/>
                                </a:lnTo>
                                <a:lnTo>
                                  <a:pt x="182330" y="266700"/>
                                </a:lnTo>
                                <a:lnTo>
                                  <a:pt x="201251" y="262890"/>
                                </a:lnTo>
                                <a:lnTo>
                                  <a:pt x="216706" y="252730"/>
                                </a:lnTo>
                                <a:lnTo>
                                  <a:pt x="223120" y="242570"/>
                                </a:lnTo>
                                <a:lnTo>
                                  <a:pt x="182330" y="242570"/>
                                </a:lnTo>
                                <a:lnTo>
                                  <a:pt x="172865" y="240030"/>
                                </a:lnTo>
                                <a:lnTo>
                                  <a:pt x="165137" y="234950"/>
                                </a:lnTo>
                                <a:lnTo>
                                  <a:pt x="159929" y="227330"/>
                                </a:lnTo>
                                <a:lnTo>
                                  <a:pt x="158019" y="218440"/>
                                </a:lnTo>
                                <a:lnTo>
                                  <a:pt x="158019" y="205740"/>
                                </a:lnTo>
                                <a:close/>
                              </a:path>
                              <a:path w="753745" h="967740">
                                <a:moveTo>
                                  <a:pt x="425436" y="205740"/>
                                </a:moveTo>
                                <a:lnTo>
                                  <a:pt x="401126" y="205740"/>
                                </a:lnTo>
                                <a:lnTo>
                                  <a:pt x="401126" y="218440"/>
                                </a:lnTo>
                                <a:lnTo>
                                  <a:pt x="404947" y="236220"/>
                                </a:lnTo>
                                <a:lnTo>
                                  <a:pt x="415366" y="252730"/>
                                </a:lnTo>
                                <a:lnTo>
                                  <a:pt x="430821" y="262890"/>
                                </a:lnTo>
                                <a:lnTo>
                                  <a:pt x="449747" y="266700"/>
                                </a:lnTo>
                                <a:lnTo>
                                  <a:pt x="468669" y="262890"/>
                                </a:lnTo>
                                <a:lnTo>
                                  <a:pt x="484124" y="252730"/>
                                </a:lnTo>
                                <a:lnTo>
                                  <a:pt x="490538" y="242570"/>
                                </a:lnTo>
                                <a:lnTo>
                                  <a:pt x="449747" y="242570"/>
                                </a:lnTo>
                                <a:lnTo>
                                  <a:pt x="440282" y="240030"/>
                                </a:lnTo>
                                <a:lnTo>
                                  <a:pt x="432555" y="234950"/>
                                </a:lnTo>
                                <a:lnTo>
                                  <a:pt x="427346" y="227330"/>
                                </a:lnTo>
                                <a:lnTo>
                                  <a:pt x="425436" y="218440"/>
                                </a:lnTo>
                                <a:lnTo>
                                  <a:pt x="425436" y="205740"/>
                                </a:lnTo>
                                <a:close/>
                              </a:path>
                              <a:path w="753745" h="967740">
                                <a:moveTo>
                                  <a:pt x="546990" y="205740"/>
                                </a:moveTo>
                                <a:lnTo>
                                  <a:pt x="522679" y="205740"/>
                                </a:lnTo>
                                <a:lnTo>
                                  <a:pt x="522679" y="218440"/>
                                </a:lnTo>
                                <a:lnTo>
                                  <a:pt x="526500" y="236220"/>
                                </a:lnTo>
                                <a:lnTo>
                                  <a:pt x="536920" y="252730"/>
                                </a:lnTo>
                                <a:lnTo>
                                  <a:pt x="552375" y="262890"/>
                                </a:lnTo>
                                <a:lnTo>
                                  <a:pt x="571300" y="266700"/>
                                </a:lnTo>
                                <a:lnTo>
                                  <a:pt x="590222" y="262890"/>
                                </a:lnTo>
                                <a:lnTo>
                                  <a:pt x="605677" y="252730"/>
                                </a:lnTo>
                                <a:lnTo>
                                  <a:pt x="612091" y="242570"/>
                                </a:lnTo>
                                <a:lnTo>
                                  <a:pt x="571300" y="242570"/>
                                </a:lnTo>
                                <a:lnTo>
                                  <a:pt x="561835" y="240030"/>
                                </a:lnTo>
                                <a:lnTo>
                                  <a:pt x="554108" y="234950"/>
                                </a:lnTo>
                                <a:lnTo>
                                  <a:pt x="548899" y="227330"/>
                                </a:lnTo>
                                <a:lnTo>
                                  <a:pt x="546990" y="218440"/>
                                </a:lnTo>
                                <a:lnTo>
                                  <a:pt x="546990" y="205740"/>
                                </a:lnTo>
                                <a:close/>
                              </a:path>
                              <a:path w="753745" h="967740">
                                <a:moveTo>
                                  <a:pt x="223120" y="144780"/>
                                </a:moveTo>
                                <a:lnTo>
                                  <a:pt x="182330" y="144780"/>
                                </a:lnTo>
                                <a:lnTo>
                                  <a:pt x="191790" y="147320"/>
                                </a:lnTo>
                                <a:lnTo>
                                  <a:pt x="199518" y="152400"/>
                                </a:lnTo>
                                <a:lnTo>
                                  <a:pt x="204729" y="160020"/>
                                </a:lnTo>
                                <a:lnTo>
                                  <a:pt x="206640" y="168910"/>
                                </a:lnTo>
                                <a:lnTo>
                                  <a:pt x="206640" y="218440"/>
                                </a:lnTo>
                                <a:lnTo>
                                  <a:pt x="204729" y="227330"/>
                                </a:lnTo>
                                <a:lnTo>
                                  <a:pt x="199518" y="234950"/>
                                </a:lnTo>
                                <a:lnTo>
                                  <a:pt x="191790" y="240030"/>
                                </a:lnTo>
                                <a:lnTo>
                                  <a:pt x="182330" y="242570"/>
                                </a:lnTo>
                                <a:lnTo>
                                  <a:pt x="223120" y="242570"/>
                                </a:lnTo>
                                <a:lnTo>
                                  <a:pt x="227129" y="236220"/>
                                </a:lnTo>
                                <a:lnTo>
                                  <a:pt x="230951" y="218440"/>
                                </a:lnTo>
                                <a:lnTo>
                                  <a:pt x="230951" y="205740"/>
                                </a:lnTo>
                                <a:lnTo>
                                  <a:pt x="425436" y="205740"/>
                                </a:lnTo>
                                <a:lnTo>
                                  <a:pt x="425436" y="181610"/>
                                </a:lnTo>
                                <a:lnTo>
                                  <a:pt x="230951" y="181610"/>
                                </a:lnTo>
                                <a:lnTo>
                                  <a:pt x="230951" y="168910"/>
                                </a:lnTo>
                                <a:lnTo>
                                  <a:pt x="227129" y="151130"/>
                                </a:lnTo>
                                <a:lnTo>
                                  <a:pt x="223120" y="144780"/>
                                </a:lnTo>
                                <a:close/>
                              </a:path>
                              <a:path w="753745" h="967740">
                                <a:moveTo>
                                  <a:pt x="490538" y="144780"/>
                                </a:moveTo>
                                <a:lnTo>
                                  <a:pt x="449747" y="144780"/>
                                </a:lnTo>
                                <a:lnTo>
                                  <a:pt x="459208" y="147320"/>
                                </a:lnTo>
                                <a:lnTo>
                                  <a:pt x="466935" y="152400"/>
                                </a:lnTo>
                                <a:lnTo>
                                  <a:pt x="472147" y="160020"/>
                                </a:lnTo>
                                <a:lnTo>
                                  <a:pt x="474058" y="168910"/>
                                </a:lnTo>
                                <a:lnTo>
                                  <a:pt x="474058" y="218440"/>
                                </a:lnTo>
                                <a:lnTo>
                                  <a:pt x="472147" y="227330"/>
                                </a:lnTo>
                                <a:lnTo>
                                  <a:pt x="466935" y="234950"/>
                                </a:lnTo>
                                <a:lnTo>
                                  <a:pt x="459208" y="240030"/>
                                </a:lnTo>
                                <a:lnTo>
                                  <a:pt x="449747" y="242570"/>
                                </a:lnTo>
                                <a:lnTo>
                                  <a:pt x="490538" y="242570"/>
                                </a:lnTo>
                                <a:lnTo>
                                  <a:pt x="494546" y="236220"/>
                                </a:lnTo>
                                <a:lnTo>
                                  <a:pt x="498368" y="218440"/>
                                </a:lnTo>
                                <a:lnTo>
                                  <a:pt x="498368" y="205740"/>
                                </a:lnTo>
                                <a:lnTo>
                                  <a:pt x="546990" y="205740"/>
                                </a:lnTo>
                                <a:lnTo>
                                  <a:pt x="546990" y="181610"/>
                                </a:lnTo>
                                <a:lnTo>
                                  <a:pt x="498368" y="181610"/>
                                </a:lnTo>
                                <a:lnTo>
                                  <a:pt x="498368" y="168910"/>
                                </a:lnTo>
                                <a:lnTo>
                                  <a:pt x="494546" y="151130"/>
                                </a:lnTo>
                                <a:lnTo>
                                  <a:pt x="490538" y="144780"/>
                                </a:lnTo>
                                <a:close/>
                              </a:path>
                              <a:path w="753745" h="967740">
                                <a:moveTo>
                                  <a:pt x="612091" y="144780"/>
                                </a:moveTo>
                                <a:lnTo>
                                  <a:pt x="571300" y="144780"/>
                                </a:lnTo>
                                <a:lnTo>
                                  <a:pt x="580761" y="147320"/>
                                </a:lnTo>
                                <a:lnTo>
                                  <a:pt x="588489" y="152400"/>
                                </a:lnTo>
                                <a:lnTo>
                                  <a:pt x="593700" y="160020"/>
                                </a:lnTo>
                                <a:lnTo>
                                  <a:pt x="595611" y="168910"/>
                                </a:lnTo>
                                <a:lnTo>
                                  <a:pt x="595611" y="218440"/>
                                </a:lnTo>
                                <a:lnTo>
                                  <a:pt x="593700" y="227330"/>
                                </a:lnTo>
                                <a:lnTo>
                                  <a:pt x="588489" y="234950"/>
                                </a:lnTo>
                                <a:lnTo>
                                  <a:pt x="580761" y="240030"/>
                                </a:lnTo>
                                <a:lnTo>
                                  <a:pt x="571300" y="242570"/>
                                </a:lnTo>
                                <a:lnTo>
                                  <a:pt x="612091" y="242570"/>
                                </a:lnTo>
                                <a:lnTo>
                                  <a:pt x="616100" y="236220"/>
                                </a:lnTo>
                                <a:lnTo>
                                  <a:pt x="619922" y="218440"/>
                                </a:lnTo>
                                <a:lnTo>
                                  <a:pt x="619922" y="205740"/>
                                </a:lnTo>
                                <a:lnTo>
                                  <a:pt x="753631" y="205740"/>
                                </a:lnTo>
                                <a:lnTo>
                                  <a:pt x="753631" y="181610"/>
                                </a:lnTo>
                                <a:lnTo>
                                  <a:pt x="619922" y="181610"/>
                                </a:lnTo>
                                <a:lnTo>
                                  <a:pt x="619922" y="168910"/>
                                </a:lnTo>
                                <a:lnTo>
                                  <a:pt x="616100" y="151130"/>
                                </a:lnTo>
                                <a:lnTo>
                                  <a:pt x="612091" y="144780"/>
                                </a:lnTo>
                                <a:close/>
                              </a:path>
                              <a:path w="753745" h="967740">
                                <a:moveTo>
                                  <a:pt x="182330" y="120650"/>
                                </a:moveTo>
                                <a:lnTo>
                                  <a:pt x="163404" y="124460"/>
                                </a:lnTo>
                                <a:lnTo>
                                  <a:pt x="147949" y="134620"/>
                                </a:lnTo>
                                <a:lnTo>
                                  <a:pt x="137529" y="151130"/>
                                </a:lnTo>
                                <a:lnTo>
                                  <a:pt x="133708" y="168910"/>
                                </a:lnTo>
                                <a:lnTo>
                                  <a:pt x="133708" y="181610"/>
                                </a:lnTo>
                                <a:lnTo>
                                  <a:pt x="158019" y="181610"/>
                                </a:lnTo>
                                <a:lnTo>
                                  <a:pt x="158019" y="168910"/>
                                </a:lnTo>
                                <a:lnTo>
                                  <a:pt x="159929" y="160020"/>
                                </a:lnTo>
                                <a:lnTo>
                                  <a:pt x="165137" y="152400"/>
                                </a:lnTo>
                                <a:lnTo>
                                  <a:pt x="172865" y="147320"/>
                                </a:lnTo>
                                <a:lnTo>
                                  <a:pt x="182330" y="144780"/>
                                </a:lnTo>
                                <a:lnTo>
                                  <a:pt x="223120" y="144780"/>
                                </a:lnTo>
                                <a:lnTo>
                                  <a:pt x="216706" y="134620"/>
                                </a:lnTo>
                                <a:lnTo>
                                  <a:pt x="201251" y="124460"/>
                                </a:lnTo>
                                <a:lnTo>
                                  <a:pt x="182330" y="120650"/>
                                </a:lnTo>
                                <a:close/>
                              </a:path>
                              <a:path w="753745" h="967740">
                                <a:moveTo>
                                  <a:pt x="449747" y="120650"/>
                                </a:moveTo>
                                <a:lnTo>
                                  <a:pt x="430821" y="124460"/>
                                </a:lnTo>
                                <a:lnTo>
                                  <a:pt x="415366" y="134620"/>
                                </a:lnTo>
                                <a:lnTo>
                                  <a:pt x="404947" y="151130"/>
                                </a:lnTo>
                                <a:lnTo>
                                  <a:pt x="401126" y="168910"/>
                                </a:lnTo>
                                <a:lnTo>
                                  <a:pt x="401126" y="181610"/>
                                </a:lnTo>
                                <a:lnTo>
                                  <a:pt x="425436" y="181610"/>
                                </a:lnTo>
                                <a:lnTo>
                                  <a:pt x="425436" y="168910"/>
                                </a:lnTo>
                                <a:lnTo>
                                  <a:pt x="427346" y="160020"/>
                                </a:lnTo>
                                <a:lnTo>
                                  <a:pt x="432555" y="152400"/>
                                </a:lnTo>
                                <a:lnTo>
                                  <a:pt x="440282" y="147320"/>
                                </a:lnTo>
                                <a:lnTo>
                                  <a:pt x="449747" y="144780"/>
                                </a:lnTo>
                                <a:lnTo>
                                  <a:pt x="490538" y="144780"/>
                                </a:lnTo>
                                <a:lnTo>
                                  <a:pt x="484124" y="134620"/>
                                </a:lnTo>
                                <a:lnTo>
                                  <a:pt x="468669" y="124460"/>
                                </a:lnTo>
                                <a:lnTo>
                                  <a:pt x="449747" y="120650"/>
                                </a:lnTo>
                                <a:close/>
                              </a:path>
                              <a:path w="753745" h="967740">
                                <a:moveTo>
                                  <a:pt x="571300" y="120650"/>
                                </a:moveTo>
                                <a:lnTo>
                                  <a:pt x="552375" y="124460"/>
                                </a:lnTo>
                                <a:lnTo>
                                  <a:pt x="536920" y="134620"/>
                                </a:lnTo>
                                <a:lnTo>
                                  <a:pt x="526500" y="151130"/>
                                </a:lnTo>
                                <a:lnTo>
                                  <a:pt x="522679" y="168910"/>
                                </a:lnTo>
                                <a:lnTo>
                                  <a:pt x="522679" y="181610"/>
                                </a:lnTo>
                                <a:lnTo>
                                  <a:pt x="546990" y="181610"/>
                                </a:lnTo>
                                <a:lnTo>
                                  <a:pt x="546990" y="168910"/>
                                </a:lnTo>
                                <a:lnTo>
                                  <a:pt x="548899" y="160020"/>
                                </a:lnTo>
                                <a:lnTo>
                                  <a:pt x="554108" y="152400"/>
                                </a:lnTo>
                                <a:lnTo>
                                  <a:pt x="561835" y="147320"/>
                                </a:lnTo>
                                <a:lnTo>
                                  <a:pt x="571300" y="144780"/>
                                </a:lnTo>
                                <a:lnTo>
                                  <a:pt x="612091" y="144780"/>
                                </a:lnTo>
                                <a:lnTo>
                                  <a:pt x="605677" y="134620"/>
                                </a:lnTo>
                                <a:lnTo>
                                  <a:pt x="590222" y="124460"/>
                                </a:lnTo>
                                <a:lnTo>
                                  <a:pt x="571300" y="120650"/>
                                </a:lnTo>
                                <a:close/>
                              </a:path>
                              <a:path w="753745" h="967740">
                                <a:moveTo>
                                  <a:pt x="740150" y="24130"/>
                                </a:moveTo>
                                <a:lnTo>
                                  <a:pt x="692854" y="24130"/>
                                </a:lnTo>
                                <a:lnTo>
                                  <a:pt x="707047" y="26670"/>
                                </a:lnTo>
                                <a:lnTo>
                                  <a:pt x="718638" y="34290"/>
                                </a:lnTo>
                                <a:lnTo>
                                  <a:pt x="726454" y="45720"/>
                                </a:lnTo>
                                <a:lnTo>
                                  <a:pt x="729320" y="60960"/>
                                </a:lnTo>
                                <a:lnTo>
                                  <a:pt x="729320" y="181610"/>
                                </a:lnTo>
                                <a:lnTo>
                                  <a:pt x="753631" y="181610"/>
                                </a:lnTo>
                                <a:lnTo>
                                  <a:pt x="753631" y="6096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347" name="Graphic 347"/>
                        <wps:cNvSpPr/>
                        <wps:spPr>
                          <a:xfrm>
                            <a:off x="65163" y="108965"/>
                            <a:ext cx="1181100" cy="1049655"/>
                          </a:xfrm>
                          <a:custGeom>
                            <a:avLst/>
                            <a:gdLst/>
                            <a:ahLst/>
                            <a:cxnLst/>
                            <a:rect l="l" t="t" r="r" b="b"/>
                            <a:pathLst>
                              <a:path w="1181100" h="1049655">
                                <a:moveTo>
                                  <a:pt x="0" y="104901"/>
                                </a:moveTo>
                                <a:lnTo>
                                  <a:pt x="8243" y="64079"/>
                                </a:lnTo>
                                <a:lnTo>
                                  <a:pt x="30724" y="30734"/>
                                </a:lnTo>
                                <a:lnTo>
                                  <a:pt x="64068" y="8247"/>
                                </a:lnTo>
                                <a:lnTo>
                                  <a:pt x="104901" y="0"/>
                                </a:lnTo>
                                <a:lnTo>
                                  <a:pt x="1075931" y="0"/>
                                </a:lnTo>
                                <a:lnTo>
                                  <a:pt x="1116753" y="8247"/>
                                </a:lnTo>
                                <a:lnTo>
                                  <a:pt x="1150099" y="30734"/>
                                </a:lnTo>
                                <a:lnTo>
                                  <a:pt x="1172586" y="64079"/>
                                </a:lnTo>
                                <a:lnTo>
                                  <a:pt x="1180833" y="104901"/>
                                </a:lnTo>
                                <a:lnTo>
                                  <a:pt x="1180833" y="944245"/>
                                </a:lnTo>
                                <a:lnTo>
                                  <a:pt x="1172586" y="985067"/>
                                </a:lnTo>
                                <a:lnTo>
                                  <a:pt x="1150099" y="1018413"/>
                                </a:lnTo>
                                <a:lnTo>
                                  <a:pt x="1116753" y="1040899"/>
                                </a:lnTo>
                                <a:lnTo>
                                  <a:pt x="1075931" y="1049147"/>
                                </a:lnTo>
                                <a:lnTo>
                                  <a:pt x="104901" y="1049147"/>
                                </a:lnTo>
                                <a:lnTo>
                                  <a:pt x="64068" y="1040899"/>
                                </a:lnTo>
                                <a:lnTo>
                                  <a:pt x="30724" y="1018413"/>
                                </a:lnTo>
                                <a:lnTo>
                                  <a:pt x="8243" y="985067"/>
                                </a:lnTo>
                                <a:lnTo>
                                  <a:pt x="0" y="944245"/>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48" name="Textbox 348"/>
                        <wps:cNvSpPr txBox="1"/>
                        <wps:spPr>
                          <a:xfrm>
                            <a:off x="0" y="0"/>
                            <a:ext cx="5904230" cy="1311275"/>
                          </a:xfrm>
                          <a:prstGeom prst="rect">
                            <a:avLst/>
                          </a:prstGeom>
                        </wps:spPr>
                        <wps:txbx>
                          <w:txbxContent>
                            <w:p w14:paraId="365ADF80" w14:textId="77777777" w:rsidR="008715BE" w:rsidRDefault="00000000">
                              <w:pPr>
                                <w:spacing w:before="42"/>
                                <w:ind w:left="2120"/>
                                <w:rPr>
                                  <w:b/>
                                  <w:sz w:val="18"/>
                                </w:rPr>
                              </w:pPr>
                              <w:r>
                                <w:rPr>
                                  <w:b/>
                                  <w:w w:val="135"/>
                                  <w:sz w:val="12"/>
                                </w:rPr>
                                <w:t xml:space="preserve">Probability of </w:t>
                              </w:r>
                              <w:r>
                                <w:rPr>
                                  <w:b/>
                                  <w:spacing w:val="-2"/>
                                  <w:w w:val="135"/>
                                  <w:sz w:val="12"/>
                                </w:rPr>
                                <w:t>occurrence</w:t>
                              </w:r>
                            </w:p>
                            <w:p w14:paraId="573CF143" w14:textId="77777777" w:rsidR="008715BE" w:rsidRDefault="00000000">
                              <w:pPr>
                                <w:numPr>
                                  <w:ilvl w:val="0"/>
                                  <w:numId w:val="62"/>
                                </w:numPr>
                                <w:tabs>
                                  <w:tab w:val="left" w:pos="2212"/>
                                  <w:tab w:val="left" w:pos="2280"/>
                                </w:tabs>
                                <w:spacing w:before="35" w:line="216" w:lineRule="auto"/>
                                <w:ind w:right="621" w:hanging="92"/>
                                <w:rPr>
                                  <w:sz w:val="18"/>
                                </w:rPr>
                              </w:pPr>
                              <w:r>
                                <w:rPr>
                                  <w:w w:val="120"/>
                                  <w:sz w:val="12"/>
                                </w:rPr>
                                <w:t>Probable and very probable – for situations encountered in practice and from the consultant's experience</w:t>
                              </w:r>
                            </w:p>
                            <w:p w14:paraId="58008748" w14:textId="77777777" w:rsidR="008715BE" w:rsidRDefault="00000000">
                              <w:pPr>
                                <w:numPr>
                                  <w:ilvl w:val="0"/>
                                  <w:numId w:val="62"/>
                                </w:numPr>
                                <w:tabs>
                                  <w:tab w:val="left" w:pos="2212"/>
                                  <w:tab w:val="left" w:pos="2280"/>
                                </w:tabs>
                                <w:spacing w:before="39" w:line="216" w:lineRule="auto"/>
                                <w:ind w:right="77" w:hanging="92"/>
                                <w:rPr>
                                  <w:sz w:val="18"/>
                                </w:rPr>
                              </w:pPr>
                              <w:r>
                                <w:rPr>
                                  <w:w w:val="120"/>
                                  <w:sz w:val="12"/>
                                </w:rPr>
                                <w:t>Unlikely or unlikely – for effects that occur when certain polluting substances are emitted and enter the water (e.g., accidental spills of petroleum products could have significant effects and lead to the alteration of water bodies only if large quantities, in the order of hundreds of kilograms, were spilled).</w:t>
                              </w:r>
                            </w:p>
                          </w:txbxContent>
                        </wps:txbx>
                        <wps:bodyPr wrap="square" lIns="0" tIns="0" rIns="0" bIns="0" rtlCol="0"/>
                      </wps:wsp>
                    </wpg:wgp>
                  </a:graphicData>
                </a:graphic>
              </wp:anchor>
            </w:drawing>
          </mc:Choice>
          <mc:Fallback>
            <w:pict>
              <v:group w14:anchorId="39FB57D8" id="Group 344" o:spid="_x0000_s1189" style="position:absolute;margin-left:60.95pt;margin-top:374.5pt;width:464.9pt;height:103.25pt;z-index:-251530240;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">
                <v:shape id="Graphic 345" o:spid="_x0000_s1190"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" path="m5773039,l131127,,80088,10300,38407,38401,10305,80099,,131190,,1180210r10305,51019l38407,1272889r41681,28087l131127,1311274r5641912,l5824130,1300976r41698,-28087l5893929,1231229r10301,-51019l5904230,131190,5893929,80099,5865828,38401,5824130,10300,5773039,xe" fillcolor="#f8f8f7" stroked="f">
                  <v:path arrowok="t"/>
                </v:shape>
                <v:shape id="Graphic 346" o:spid="_x0000_s1191" style="position:absolute;left:2804;top:1521;width:7537;height:9678;visibility:visible;mso-wrap-style:square;v-text-anchor:top" coordsize="753745,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" path="m692854,l60776,,17815,17779,,60959,,908049r17815,43180l60776,967739r632078,1l716498,963930r19310,-12700l740693,943610r-679917,-1l46579,941069,34988,933449,27175,922019,24310,908049r,-120650l158019,787399r,-25400l24310,761999r,-168910l158019,593089r,-24130l24310,568959r,-168910l303883,400050r,-25400l24310,374649r,-168910l158019,205740r,-24130l24310,181609r,-120650l27175,45719,34988,34289,46579,26669,60776,24129r679374,1l735808,17780,716498,5080,692854,xem753631,787400r-24311,l729320,908050r-2866,13970l718638,933450r-11591,7620l692854,943610r47839,l748835,930910r4796,-22860l753631,787400xem158019,787399r-24311,l133708,798829r3821,19050l147949,833119r15455,10160l182330,847089r18921,-3810l216706,833119r6949,-10160l182330,822959r-9465,-1270l165137,816609r-5208,-8890l158019,798829r,-11430xem425436,787400r-24310,l401126,798830r3821,19050l415366,833120r15455,10160l449747,847090r18922,-3810l484124,833120r6948,-10160l449747,822960r-9465,-1270l432555,816610r-5209,-8890l425436,798830r,-11430xem546990,787400r-24311,l522679,798830r3821,19050l536920,833120r15455,10160l571301,847090r18921,-3810l605677,833120r6948,-10160l571300,822960r-9465,-1270l554108,816610r-5208,-8890l546990,798830r,-11430xem223655,726439r-41325,l191790,727709r7728,5080l204729,741679r1911,8890l206640,798829r-1911,8890l199518,816609r-7728,5080l182330,822959r41325,l227129,817879r3822,-19050l230951,787399r194485,1l425436,762000r-194485,-1l230951,750569r-3822,-19050l223655,726439xem491072,726440r-41325,l459208,727710r7728,5080l472147,741680r1911,8890l474058,798830r-1911,8890l466936,816610r-7728,5080l449747,822960r41325,l494546,817880r3822,-19050l498368,787400r48622,l546990,762000r-48622,l498368,750570r-3822,-19050l491072,726440xem612625,726440r-41325,l580761,727710r7728,5080l593700,741680r1911,8890l595611,798830r-1911,8890l588489,816610r-7728,5080l571300,822960r41325,l616100,817880r3822,-19050l619922,787400r133709,l753631,762000r-133709,l619922,750570r-3822,-19050l612625,726440xem182330,702309r-18926,3810l147949,716279r-10420,15240l133708,750569r,11430l158019,761999r,-11430l159929,741679r5208,-8890l172865,727709r9465,-1270l223655,726439r-6949,-10160l201251,706119r-18921,-3810xem449747,702310r-18926,3810l415366,716280r-10419,15240l401126,750570r,11430l425436,762000r,-11430l427346,741680r5209,-8890l440282,727710r9465,-1270l491072,726440r-6948,-10160l468669,706120r-18922,-3810xem571300,702310r-18925,3810l536920,716280r-10420,15240l522679,750570r,11430l546990,762000r,-11430l548900,741680r5208,-8890l561835,727710r9465,-1270l612625,726440r-6948,-10160l590222,706120r-18922,-3810xem753631,593090r-24311,l729320,762000r24311,l753631,593090xem158019,593089r-24311,l133708,605789r3821,17780l147949,640079r15455,10160l182330,654049r18921,-3810l216706,640079r6414,-10160l182330,629919r-9465,-2540l165137,622299r-5208,-7620l158019,605789r,-12700xem279572,593089r-24310,l255262,605789r3821,17780l269502,640079r15455,10160l303883,654049r18922,-3809l338260,640080r6414,-10160l303883,629919r-9465,-2540l286691,622299r-5209,-7620l279572,605789r,-12700xem546990,593090r-24311,l522679,605790r3821,17780l536920,640080r15455,10160l571300,654050r18922,-3810l605677,640080r6414,-10160l571300,629920r-9465,-2540l554108,622300r-5208,-7620l546990,605790r,-12700xem223120,532129r-40790,l191790,534669r7728,5080l204729,547369r1911,8890l206640,605789r-1911,8890l199518,622299r-7728,5080l182330,629919r40790,l227129,623569r3822,-17780l230951,593089r48621,l279572,568959r-48621,l230951,556259r-3822,-17780l223120,532129xem344674,532130r-40791,l313344,534670r7727,5080l326283,547370r1911,8890l328194,605790r-1911,8890l321071,622300r-7727,5080l303883,629919r40791,1l348682,623570r3822,-17780l352504,593090r194486,l546990,568960r-194486,l352504,556260r-3822,-17780l344674,532130xem612091,532130r-40791,l580761,534670r7728,5080l593700,547370r1911,8890l595611,605790r-1911,8890l588489,622300r-7728,5080l571300,629920r40791,l616100,623570r3822,-17780l619922,593090r133709,l753631,568960r-133709,l619922,556260r-3822,-17780l612091,532130xem182330,507999r-18926,3810l147949,521969r-10420,16510l133708,556259r,12700l158019,568959r,-12700l159929,547369r5208,-7620l172865,534669r9465,-2540l223120,532129r-6414,-10160l201251,511809r-18921,-3810xem303883,508000r-18926,3810l269502,521970r-10419,16509l255262,556259r,12700l279572,568959r,-12700l281482,547370r5209,-7620l294418,534670r9465,-2540l344674,532130r-6414,-10160l322805,511810r-18922,-3810xem571300,508000r-18925,3810l536920,521970r-10420,16510l522679,556260r,12700l546990,568960r,-12700l548900,547370r5208,-7620l561835,534670r9465,-2540l612091,532130r-6414,-10160l590222,511810r-18922,-3810xem753631,400050r-24311,l729320,568960r24311,l753631,400050xem303883,400050r-24311,l279572,411480r3821,19050l293813,445770r15455,10160l328194,459740r18921,-3810l362571,445770r6948,-10160l328194,435610r-9465,-1270l311001,429260r-5208,-8890l303883,411480r,-11430xem425436,400050r-24310,l401126,411480r3821,19050l415366,445770r15455,10160l449747,459740r18922,-3810l484124,445770r6948,-10160l449747,435610r-9465,-1270l432555,429260r-5209,-8890l425436,411480r,-11430xem546990,400050r-24311,l522679,411480r3821,19050l536920,445770r15455,10160l571300,459740r18922,-3810l605677,445770r6948,-10160l571300,435610r-9465,-1270l554108,429260r-5208,-8890l546990,411480r,-11430xem369519,339090r-41325,l337654,340360r7728,5080l350593,353060r1911,10160l352504,411480r-1911,8890l345382,429260r-7728,5080l328194,435610r41325,l372993,430530r3822,-19050l376815,400050r48621,l425436,374650r-48621,l376815,363220r-3822,-19050l369519,339090xem491072,339090r-41325,l459208,340360r7727,5080l472147,353060r1911,10160l474058,411480r-1911,8890l466935,429260r-7727,5080l449747,435610r41325,l494546,430530r3822,-19050l498368,400050r48622,l546990,374650r-48622,l498368,363220r-3822,-19050l491072,339090xem612625,339090r-41325,l580761,340360r7728,5080l593700,353060r1911,10160l595611,411480r-1911,8890l588489,429260r-7728,5080l571300,435610r41325,l616100,430530r3822,-19050l619922,400050r133709,l753631,374650r-133709,l619922,363220r-3822,-19050l612625,339090xem328194,314960r-18926,3810l293813,328930r-10420,15240l279572,363220r,11430l303883,374650r,-11430l305793,353060r5208,-7620l318729,340360r9465,-1270l369519,339090r-6949,-10160l347115,318770r-18921,-3810xem449747,314960r-18926,3810l415366,328930r-10419,15240l401126,363220r,11430l425436,374650r,-11430l427346,353060r5209,-7620l440282,340360r9465,-1270l491072,339090r-6948,-10160l468669,318770r-18922,-3810xem571300,314960r-18925,3810l536920,328930r-10420,15240l522679,363220r,11430l546990,374650r,-11430l548900,353060r5208,-7620l561835,340360r9465,-1270l612625,339090r-6948,-10160l590222,318770r-18922,-3810xem753631,205740r-24311,l729320,374650r24311,l753631,205740xem158019,205740r-24311,-1l133708,218439r3821,17780l147949,252729r15455,10160l182330,266700r18921,-3810l216706,252730r6414,-10160l182330,242570r-9465,-2540l165137,234950r-5208,-7620l158019,218440r,-12700xem425436,205740r-24310,l401126,218440r3821,17780l415366,252730r15455,10160l449747,266700r18922,-3810l484124,252730r6414,-10160l449747,242570r-9465,-2540l432555,234950r-5209,-7620l425436,218440r,-12700xem546990,205740r-24311,l522679,218440r3821,17780l536920,252730r15455,10160l571300,266700r18922,-3810l605677,252730r6414,-10160l571300,242570r-9465,-2540l554108,234950r-5209,-7620l546990,218440r,-12700xem223120,144780r-40790,l191790,147320r7728,5080l204729,160020r1911,8890l206640,218440r-1911,8890l199518,234950r-7728,5080l182330,242570r40790,l227129,236220r3822,-17780l230951,205740r194485,l425436,181610r-194485,l230951,168910r-3822,-17780l223120,144780xem490538,144780r-40791,l459208,147320r7727,5080l472147,160020r1911,8890l474058,218440r-1911,8890l466935,234950r-7727,5080l449747,242570r40791,l494546,236220r3822,-17780l498368,205740r48622,l546990,181610r-48622,l498368,168910r-3822,-17780l490538,144780xem612091,144780r-40791,l580761,147320r7728,5080l593700,160020r1911,8890l595611,218440r-1911,8890l588489,234950r-7728,5080l571300,242570r40791,l616100,236220r3822,-17780l619922,205740r133709,l753631,181610r-133709,l619922,168910r-3822,-17780l612091,144780xem182330,120650r-18926,3810l147949,134620r-10420,16510l133708,168910r,12700l158019,181610r,-12700l159929,160020r5208,-7620l172865,147320r9465,-2540l223120,144780r-6414,-10160l201251,124460r-18921,-3810xem449747,120650r-18926,3810l415366,134620r-10419,16510l401126,168910r,12700l425436,181610r,-12700l427346,160020r5209,-7620l440282,147320r9465,-2540l490538,144780r-6414,-10160l468669,124460r-18922,-3810xem571300,120650r-18925,3810l536920,134620r-10420,16510l522679,168910r,12700l546990,181610r,-12700l548899,160020r5209,-7620l561835,147320r9465,-2540l612091,144780r-6414,-10160l590222,124460r-18922,-3810xem740150,24130r-47296,l707047,26670r11591,7620l726454,45720r2866,15240l729320,181610r24311,l753631,60960,748835,36830,740150,24130xe" fillcolor="#b9c4e1" stroked="f">
                  <v:path arrowok="t"/>
                </v:shape>
                <v:shape id="Graphic 347" o:spid="_x0000_s1192" style="position:absolute;left:651;top:1089;width:11811;height:10497;visibility:visible;mso-wrap-style:square;v-text-anchor:top" coordsize="1181100,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" path="m,104901l8243,64079,30724,30734,64068,8247,104901,r971030,l1116753,8247r33346,22487l1172586,64079r8247,40822l1180833,944245r-8247,40822l1150099,1018413r-33346,22486l1075931,1049147r-971030,l64068,1040899,30724,1018413,8243,985067,,944245,,104901xe" filled="f" strokecolor="white" strokeweight="1pt">
                  <v:path arrowok="t"/>
                </v:shape>
                <v:shape id="Textbox 348" o:spid="_x0000_s1193"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365ADF80" w14:textId="77777777" w:rsidR="008715BE" w:rsidRDefault="00000000">
                        <w:pPr>
                          <w:spacing w:before="42"/>
                          <w:ind w:left="2120"/>
                          <w:rPr>
                            <w:b/>
                            <w:sz w:val="18"/>
                          </w:rPr>
                        </w:pPr>
                        <w:r>
                          <w:rPr>
                            <w:b/>
                            <w:w w:val="135"/>
                            <w:sz w:val="12"/>
                          </w:rPr>
                          <w:t xml:space="preserve">Probability of </w:t>
                        </w:r>
                        <w:r>
                          <w:rPr>
                            <w:b/>
                            <w:spacing w:val="-2"/>
                            <w:w w:val="135"/>
                            <w:sz w:val="12"/>
                          </w:rPr>
                          <w:t>occurrence</w:t>
                        </w:r>
                      </w:p>
                      <w:p w14:paraId="573CF143" w14:textId="77777777" w:rsidR="008715BE" w:rsidRDefault="00000000">
                        <w:pPr>
                          <w:numPr>
                            <w:ilvl w:val="0"/>
                            <w:numId w:val="62"/>
                          </w:numPr>
                          <w:tabs>
                            <w:tab w:val="left" w:pos="2212"/>
                            <w:tab w:val="left" w:pos="2280"/>
                          </w:tabs>
                          <w:spacing w:before="35" w:line="216" w:lineRule="auto"/>
                          <w:ind w:right="621" w:hanging="92"/>
                          <w:rPr>
                            <w:sz w:val="18"/>
                          </w:rPr>
                        </w:pPr>
                        <w:r>
                          <w:rPr>
                            <w:w w:val="120"/>
                            <w:sz w:val="12"/>
                          </w:rPr>
                          <w:t>Probable and very probable – for situations encountered in practice and from the consultant's experience</w:t>
                        </w:r>
                      </w:p>
                      <w:p w14:paraId="58008748" w14:textId="77777777" w:rsidR="008715BE" w:rsidRDefault="00000000">
                        <w:pPr>
                          <w:numPr>
                            <w:ilvl w:val="0"/>
                            <w:numId w:val="62"/>
                          </w:numPr>
                          <w:tabs>
                            <w:tab w:val="left" w:pos="2212"/>
                            <w:tab w:val="left" w:pos="2280"/>
                          </w:tabs>
                          <w:spacing w:before="39" w:line="216" w:lineRule="auto"/>
                          <w:ind w:right="77" w:hanging="92"/>
                          <w:rPr>
                            <w:sz w:val="18"/>
                          </w:rPr>
                        </w:pPr>
                        <w:r>
                          <w:rPr>
                            <w:w w:val="120"/>
                            <w:sz w:val="12"/>
                          </w:rPr>
                          <w:t>Unlikely or unlikely – for effects that occur when certain polluting substances are emitted and enter the water (e.g., accidental spills of petroleum products could have significant effects and lead to the alteration of water bodies only if large quantities, in the order of hundreds of kilograms, were spilled).</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88288" behindDoc="1" locked="0" layoutInCell="1" allowOverlap="1" wp14:anchorId="2CBC2E27" wp14:editId="4A4356EC">
                <wp:simplePos x="0" y="0"/>
                <wp:positionH relativeFrom="page">
                  <wp:posOffset>774065</wp:posOffset>
                </wp:positionH>
                <wp:positionV relativeFrom="paragraph">
                  <wp:posOffset>6198284</wp:posOffset>
                </wp:positionV>
                <wp:extent cx="5904230" cy="1311910"/>
                <wp:effectExtent l="0" t="0" r="0" b="0"/>
                <wp:wrapTopAndBottom/>
                <wp:docPr id="349" name="Group 349"/>
                <wp:cNvGraphicFramePr/>
                <a:graphic xmlns:a="http://schemas.openxmlformats.org/drawingml/2006/main">
                  <a:graphicData uri="http://schemas.microsoft.com/office/word/2010/wordprocessingGroup">
                    <wpg:wgp>
                      <wpg:cNvGrpSpPr/>
                      <wpg:grpSpPr>
                        <a:xfrm>
                          <a:off x="0" y="0"/>
                          <a:ext cx="5904230" cy="1311910"/>
                          <a:chOff x="0" y="0"/>
                          <a:chExt cx="5904230" cy="1311910"/>
                        </a:xfrm>
                      </wpg:grpSpPr>
                      <wps:wsp>
                        <wps:cNvPr id="350" name="Graphic 350"/>
                        <wps:cNvSpPr/>
                        <wps:spPr>
                          <a:xfrm>
                            <a:off x="0" y="0"/>
                            <a:ext cx="5904230" cy="1311910"/>
                          </a:xfrm>
                          <a:custGeom>
                            <a:avLst/>
                            <a:gdLst/>
                            <a:ahLst/>
                            <a:cxnLst/>
                            <a:rect l="l" t="t" r="r" b="b"/>
                            <a:pathLst>
                              <a:path w="5904230" h="1311910">
                                <a:moveTo>
                                  <a:pt x="5773039" y="0"/>
                                </a:moveTo>
                                <a:lnTo>
                                  <a:pt x="131127" y="0"/>
                                </a:lnTo>
                                <a:lnTo>
                                  <a:pt x="80088" y="10300"/>
                                </a:lnTo>
                                <a:lnTo>
                                  <a:pt x="38407" y="38401"/>
                                </a:lnTo>
                                <a:lnTo>
                                  <a:pt x="10305" y="80099"/>
                                </a:lnTo>
                                <a:lnTo>
                                  <a:pt x="0" y="131191"/>
                                </a:lnTo>
                                <a:lnTo>
                                  <a:pt x="0" y="1180211"/>
                                </a:lnTo>
                                <a:lnTo>
                                  <a:pt x="10305" y="1231249"/>
                                </a:lnTo>
                                <a:lnTo>
                                  <a:pt x="38407" y="1272930"/>
                                </a:lnTo>
                                <a:lnTo>
                                  <a:pt x="80088" y="1301033"/>
                                </a:lnTo>
                                <a:lnTo>
                                  <a:pt x="131127" y="1311338"/>
                                </a:lnTo>
                                <a:lnTo>
                                  <a:pt x="5773039" y="1311338"/>
                                </a:lnTo>
                                <a:lnTo>
                                  <a:pt x="5824130" y="1301033"/>
                                </a:lnTo>
                                <a:lnTo>
                                  <a:pt x="5865828" y="1272930"/>
                                </a:lnTo>
                                <a:lnTo>
                                  <a:pt x="5893929" y="1231249"/>
                                </a:lnTo>
                                <a:lnTo>
                                  <a:pt x="5904230" y="1180211"/>
                                </a:lnTo>
                                <a:lnTo>
                                  <a:pt x="5904230" y="131191"/>
                                </a:lnTo>
                                <a:lnTo>
                                  <a:pt x="5893929" y="80099"/>
                                </a:lnTo>
                                <a:lnTo>
                                  <a:pt x="5865828" y="38401"/>
                                </a:lnTo>
                                <a:lnTo>
                                  <a:pt x="5824130" y="10300"/>
                                </a:lnTo>
                                <a:lnTo>
                                  <a:pt x="5773039" y="0"/>
                                </a:lnTo>
                                <a:close/>
                              </a:path>
                            </a:pathLst>
                          </a:custGeom>
                          <a:solidFill>
                            <a:srgbClr val="D9D9D9"/>
                          </a:solidFill>
                        </wps:spPr>
                        <wps:bodyPr wrap="square" lIns="0" tIns="0" rIns="0" bIns="0" rtlCol="0">
                          <a:prstTxWarp prst="textNoShape">
                            <a:avLst/>
                          </a:prstTxWarp>
                        </wps:bodyPr>
                      </wps:wsp>
                      <wps:wsp>
                        <wps:cNvPr id="351" name="Graphic 351"/>
                        <wps:cNvSpPr/>
                        <wps:spPr>
                          <a:xfrm>
                            <a:off x="230936" y="169938"/>
                            <a:ext cx="893444" cy="875665"/>
                          </a:xfrm>
                          <a:custGeom>
                            <a:avLst/>
                            <a:gdLst/>
                            <a:ahLst/>
                            <a:cxnLst/>
                            <a:rect l="l" t="t" r="r" b="b"/>
                            <a:pathLst>
                              <a:path w="893444" h="875665">
                                <a:moveTo>
                                  <a:pt x="875157" y="415328"/>
                                </a:moveTo>
                                <a:lnTo>
                                  <a:pt x="850874" y="415328"/>
                                </a:lnTo>
                                <a:lnTo>
                                  <a:pt x="850874" y="439534"/>
                                </a:lnTo>
                                <a:lnTo>
                                  <a:pt x="850874" y="560590"/>
                                </a:lnTo>
                                <a:lnTo>
                                  <a:pt x="850874" y="584796"/>
                                </a:lnTo>
                                <a:lnTo>
                                  <a:pt x="850874" y="705853"/>
                                </a:lnTo>
                                <a:lnTo>
                                  <a:pt x="850874" y="730059"/>
                                </a:lnTo>
                                <a:lnTo>
                                  <a:pt x="850874" y="851115"/>
                                </a:lnTo>
                                <a:lnTo>
                                  <a:pt x="741476" y="851115"/>
                                </a:lnTo>
                                <a:lnTo>
                                  <a:pt x="741476" y="730059"/>
                                </a:lnTo>
                                <a:lnTo>
                                  <a:pt x="850874" y="730059"/>
                                </a:lnTo>
                                <a:lnTo>
                                  <a:pt x="850874" y="705853"/>
                                </a:lnTo>
                                <a:lnTo>
                                  <a:pt x="717169" y="705853"/>
                                </a:lnTo>
                                <a:lnTo>
                                  <a:pt x="717169" y="730059"/>
                                </a:lnTo>
                                <a:lnTo>
                                  <a:pt x="717169" y="851115"/>
                                </a:lnTo>
                                <a:lnTo>
                                  <a:pt x="449745" y="851115"/>
                                </a:lnTo>
                                <a:lnTo>
                                  <a:pt x="449745" y="730059"/>
                                </a:lnTo>
                                <a:lnTo>
                                  <a:pt x="717169" y="730059"/>
                                </a:lnTo>
                                <a:lnTo>
                                  <a:pt x="717169" y="705853"/>
                                </a:lnTo>
                                <a:lnTo>
                                  <a:pt x="595617" y="705853"/>
                                </a:lnTo>
                                <a:lnTo>
                                  <a:pt x="595617" y="584796"/>
                                </a:lnTo>
                                <a:lnTo>
                                  <a:pt x="850874" y="584796"/>
                                </a:lnTo>
                                <a:lnTo>
                                  <a:pt x="850874" y="560590"/>
                                </a:lnTo>
                                <a:lnTo>
                                  <a:pt x="741476" y="560590"/>
                                </a:lnTo>
                                <a:lnTo>
                                  <a:pt x="741476" y="439534"/>
                                </a:lnTo>
                                <a:lnTo>
                                  <a:pt x="850874" y="439534"/>
                                </a:lnTo>
                                <a:lnTo>
                                  <a:pt x="850874" y="415328"/>
                                </a:lnTo>
                                <a:lnTo>
                                  <a:pt x="717169" y="415328"/>
                                </a:lnTo>
                                <a:lnTo>
                                  <a:pt x="717169" y="439534"/>
                                </a:lnTo>
                                <a:lnTo>
                                  <a:pt x="717169" y="560590"/>
                                </a:lnTo>
                                <a:lnTo>
                                  <a:pt x="571309" y="560590"/>
                                </a:lnTo>
                                <a:lnTo>
                                  <a:pt x="571309" y="584796"/>
                                </a:lnTo>
                                <a:lnTo>
                                  <a:pt x="571309" y="705853"/>
                                </a:lnTo>
                                <a:lnTo>
                                  <a:pt x="425437" y="705853"/>
                                </a:lnTo>
                                <a:lnTo>
                                  <a:pt x="425437" y="730059"/>
                                </a:lnTo>
                                <a:lnTo>
                                  <a:pt x="425437" y="851115"/>
                                </a:lnTo>
                                <a:lnTo>
                                  <a:pt x="158026" y="851115"/>
                                </a:lnTo>
                                <a:lnTo>
                                  <a:pt x="158026" y="730059"/>
                                </a:lnTo>
                                <a:lnTo>
                                  <a:pt x="425437" y="730059"/>
                                </a:lnTo>
                                <a:lnTo>
                                  <a:pt x="425437" y="705853"/>
                                </a:lnTo>
                                <a:lnTo>
                                  <a:pt x="303885" y="705853"/>
                                </a:lnTo>
                                <a:lnTo>
                                  <a:pt x="303885" y="584796"/>
                                </a:lnTo>
                                <a:lnTo>
                                  <a:pt x="571309" y="584796"/>
                                </a:lnTo>
                                <a:lnTo>
                                  <a:pt x="571309" y="560590"/>
                                </a:lnTo>
                                <a:lnTo>
                                  <a:pt x="449745" y="560590"/>
                                </a:lnTo>
                                <a:lnTo>
                                  <a:pt x="449745" y="439534"/>
                                </a:lnTo>
                                <a:lnTo>
                                  <a:pt x="717169" y="439534"/>
                                </a:lnTo>
                                <a:lnTo>
                                  <a:pt x="717169" y="415328"/>
                                </a:lnTo>
                                <a:lnTo>
                                  <a:pt x="595617" y="415328"/>
                                </a:lnTo>
                                <a:lnTo>
                                  <a:pt x="595617" y="294271"/>
                                </a:lnTo>
                                <a:lnTo>
                                  <a:pt x="595617" y="270065"/>
                                </a:lnTo>
                                <a:lnTo>
                                  <a:pt x="571309" y="270065"/>
                                </a:lnTo>
                                <a:lnTo>
                                  <a:pt x="571309" y="294271"/>
                                </a:lnTo>
                                <a:lnTo>
                                  <a:pt x="571309" y="415328"/>
                                </a:lnTo>
                                <a:lnTo>
                                  <a:pt x="425437" y="415328"/>
                                </a:lnTo>
                                <a:lnTo>
                                  <a:pt x="425437" y="439534"/>
                                </a:lnTo>
                                <a:lnTo>
                                  <a:pt x="425437" y="560590"/>
                                </a:lnTo>
                                <a:lnTo>
                                  <a:pt x="279577" y="560590"/>
                                </a:lnTo>
                                <a:lnTo>
                                  <a:pt x="279577" y="584796"/>
                                </a:lnTo>
                                <a:lnTo>
                                  <a:pt x="279577" y="705853"/>
                                </a:lnTo>
                                <a:lnTo>
                                  <a:pt x="133705" y="705853"/>
                                </a:lnTo>
                                <a:lnTo>
                                  <a:pt x="133705" y="730059"/>
                                </a:lnTo>
                                <a:lnTo>
                                  <a:pt x="133705" y="851115"/>
                                </a:lnTo>
                                <a:lnTo>
                                  <a:pt x="24307" y="851115"/>
                                </a:lnTo>
                                <a:lnTo>
                                  <a:pt x="24307" y="730059"/>
                                </a:lnTo>
                                <a:lnTo>
                                  <a:pt x="133705" y="730059"/>
                                </a:lnTo>
                                <a:lnTo>
                                  <a:pt x="133705" y="705853"/>
                                </a:lnTo>
                                <a:lnTo>
                                  <a:pt x="24307" y="705853"/>
                                </a:lnTo>
                                <a:lnTo>
                                  <a:pt x="24307" y="584796"/>
                                </a:lnTo>
                                <a:lnTo>
                                  <a:pt x="279577" y="584796"/>
                                </a:lnTo>
                                <a:lnTo>
                                  <a:pt x="279577" y="560590"/>
                                </a:lnTo>
                                <a:lnTo>
                                  <a:pt x="158026" y="560590"/>
                                </a:lnTo>
                                <a:lnTo>
                                  <a:pt x="158026" y="439534"/>
                                </a:lnTo>
                                <a:lnTo>
                                  <a:pt x="425437" y="439534"/>
                                </a:lnTo>
                                <a:lnTo>
                                  <a:pt x="425437" y="415328"/>
                                </a:lnTo>
                                <a:lnTo>
                                  <a:pt x="303885" y="415328"/>
                                </a:lnTo>
                                <a:lnTo>
                                  <a:pt x="303885" y="294271"/>
                                </a:lnTo>
                                <a:lnTo>
                                  <a:pt x="571309" y="294271"/>
                                </a:lnTo>
                                <a:lnTo>
                                  <a:pt x="571309" y="270065"/>
                                </a:lnTo>
                                <a:lnTo>
                                  <a:pt x="279577" y="270065"/>
                                </a:lnTo>
                                <a:lnTo>
                                  <a:pt x="279577" y="294271"/>
                                </a:lnTo>
                                <a:lnTo>
                                  <a:pt x="279577" y="415328"/>
                                </a:lnTo>
                                <a:lnTo>
                                  <a:pt x="133705" y="415328"/>
                                </a:lnTo>
                                <a:lnTo>
                                  <a:pt x="133705" y="439534"/>
                                </a:lnTo>
                                <a:lnTo>
                                  <a:pt x="133705" y="560590"/>
                                </a:lnTo>
                                <a:lnTo>
                                  <a:pt x="24307" y="560590"/>
                                </a:lnTo>
                                <a:lnTo>
                                  <a:pt x="24307" y="439534"/>
                                </a:lnTo>
                                <a:lnTo>
                                  <a:pt x="133705" y="439534"/>
                                </a:lnTo>
                                <a:lnTo>
                                  <a:pt x="133705" y="415328"/>
                                </a:lnTo>
                                <a:lnTo>
                                  <a:pt x="24307" y="415328"/>
                                </a:lnTo>
                                <a:lnTo>
                                  <a:pt x="24307" y="294271"/>
                                </a:lnTo>
                                <a:lnTo>
                                  <a:pt x="279577" y="294271"/>
                                </a:lnTo>
                                <a:lnTo>
                                  <a:pt x="279577" y="270065"/>
                                </a:lnTo>
                                <a:lnTo>
                                  <a:pt x="0" y="270065"/>
                                </a:lnTo>
                                <a:lnTo>
                                  <a:pt x="0" y="875322"/>
                                </a:lnTo>
                                <a:lnTo>
                                  <a:pt x="875157" y="875322"/>
                                </a:lnTo>
                                <a:lnTo>
                                  <a:pt x="875157" y="851115"/>
                                </a:lnTo>
                                <a:lnTo>
                                  <a:pt x="875157" y="730059"/>
                                </a:lnTo>
                                <a:lnTo>
                                  <a:pt x="875157" y="705853"/>
                                </a:lnTo>
                                <a:lnTo>
                                  <a:pt x="875157" y="584796"/>
                                </a:lnTo>
                                <a:lnTo>
                                  <a:pt x="875157" y="560590"/>
                                </a:lnTo>
                                <a:lnTo>
                                  <a:pt x="875157" y="439534"/>
                                </a:lnTo>
                                <a:lnTo>
                                  <a:pt x="875157" y="415328"/>
                                </a:lnTo>
                                <a:close/>
                              </a:path>
                              <a:path w="893444" h="875665">
                                <a:moveTo>
                                  <a:pt x="892987" y="133845"/>
                                </a:moveTo>
                                <a:lnTo>
                                  <a:pt x="861174" y="58661"/>
                                </a:lnTo>
                                <a:lnTo>
                                  <a:pt x="861174" y="120954"/>
                                </a:lnTo>
                                <a:lnTo>
                                  <a:pt x="637159" y="214998"/>
                                </a:lnTo>
                                <a:lnTo>
                                  <a:pt x="599376" y="125768"/>
                                </a:lnTo>
                                <a:lnTo>
                                  <a:pt x="823379" y="31673"/>
                                </a:lnTo>
                                <a:lnTo>
                                  <a:pt x="861174" y="120954"/>
                                </a:lnTo>
                                <a:lnTo>
                                  <a:pt x="861174" y="58661"/>
                                </a:lnTo>
                                <a:lnTo>
                                  <a:pt x="849757" y="31673"/>
                                </a:lnTo>
                                <a:lnTo>
                                  <a:pt x="836345" y="0"/>
                                </a:lnTo>
                                <a:lnTo>
                                  <a:pt x="567537" y="112864"/>
                                </a:lnTo>
                                <a:lnTo>
                                  <a:pt x="624205" y="246710"/>
                                </a:lnTo>
                                <a:lnTo>
                                  <a:pt x="699719" y="214998"/>
                                </a:lnTo>
                                <a:lnTo>
                                  <a:pt x="892987" y="133845"/>
                                </a:lnTo>
                                <a:close/>
                              </a:path>
                            </a:pathLst>
                          </a:custGeom>
                          <a:solidFill>
                            <a:srgbClr val="B8C2E0"/>
                          </a:solidFill>
                        </wps:spPr>
                        <wps:bodyPr wrap="square" lIns="0" tIns="0" rIns="0" bIns="0" rtlCol="0">
                          <a:prstTxWarp prst="textNoShape">
                            <a:avLst/>
                          </a:prstTxWarp>
                        </wps:bodyPr>
                      </wps:wsp>
                      <wps:wsp>
                        <wps:cNvPr id="352" name="Graphic 352"/>
                        <wps:cNvSpPr/>
                        <wps:spPr>
                          <a:xfrm>
                            <a:off x="76441" y="131190"/>
                            <a:ext cx="1181100" cy="1049020"/>
                          </a:xfrm>
                          <a:custGeom>
                            <a:avLst/>
                            <a:gdLst/>
                            <a:ahLst/>
                            <a:cxnLst/>
                            <a:rect l="l" t="t" r="r" b="b"/>
                            <a:pathLst>
                              <a:path w="1181100" h="1049020">
                                <a:moveTo>
                                  <a:pt x="0" y="104901"/>
                                </a:moveTo>
                                <a:lnTo>
                                  <a:pt x="8245" y="64025"/>
                                </a:lnTo>
                                <a:lnTo>
                                  <a:pt x="30730" y="30686"/>
                                </a:lnTo>
                                <a:lnTo>
                                  <a:pt x="64079" y="8229"/>
                                </a:lnTo>
                                <a:lnTo>
                                  <a:pt x="104914" y="0"/>
                                </a:lnTo>
                                <a:lnTo>
                                  <a:pt x="1075956" y="0"/>
                                </a:lnTo>
                                <a:lnTo>
                                  <a:pt x="1116779" y="8229"/>
                                </a:lnTo>
                                <a:lnTo>
                                  <a:pt x="1150124" y="30686"/>
                                </a:lnTo>
                                <a:lnTo>
                                  <a:pt x="1172611" y="64025"/>
                                </a:lnTo>
                                <a:lnTo>
                                  <a:pt x="1180858" y="104901"/>
                                </a:lnTo>
                                <a:lnTo>
                                  <a:pt x="1180858" y="944117"/>
                                </a:lnTo>
                                <a:lnTo>
                                  <a:pt x="1172611" y="984938"/>
                                </a:lnTo>
                                <a:lnTo>
                                  <a:pt x="1150124" y="1018279"/>
                                </a:lnTo>
                                <a:lnTo>
                                  <a:pt x="1116779" y="1040762"/>
                                </a:lnTo>
                                <a:lnTo>
                                  <a:pt x="1075956" y="1049007"/>
                                </a:lnTo>
                                <a:lnTo>
                                  <a:pt x="104914" y="1049007"/>
                                </a:lnTo>
                                <a:lnTo>
                                  <a:pt x="64079" y="1040762"/>
                                </a:lnTo>
                                <a:lnTo>
                                  <a:pt x="30730" y="1018279"/>
                                </a:lnTo>
                                <a:lnTo>
                                  <a:pt x="8245" y="984938"/>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53" name="Textbox 353"/>
                        <wps:cNvSpPr txBox="1"/>
                        <wps:spPr>
                          <a:xfrm>
                            <a:off x="0" y="0"/>
                            <a:ext cx="5904230" cy="1311910"/>
                          </a:xfrm>
                          <a:prstGeom prst="rect">
                            <a:avLst/>
                          </a:prstGeom>
                        </wps:spPr>
                        <wps:txbx>
                          <w:txbxContent>
                            <w:p w14:paraId="2C3265BD" w14:textId="77777777" w:rsidR="008715BE" w:rsidRDefault="008715BE">
                              <w:pPr>
                                <w:rPr>
                                  <w:sz w:val="18"/>
                                </w:rPr>
                              </w:pPr>
                            </w:p>
                            <w:p w14:paraId="2475CD51" w14:textId="77777777" w:rsidR="008715BE" w:rsidRDefault="008715BE">
                              <w:pPr>
                                <w:rPr>
                                  <w:sz w:val="18"/>
                                </w:rPr>
                              </w:pPr>
                            </w:p>
                            <w:p w14:paraId="5652651B" w14:textId="77777777" w:rsidR="008715BE" w:rsidRDefault="008715BE">
                              <w:pPr>
                                <w:spacing w:before="46"/>
                                <w:rPr>
                                  <w:sz w:val="18"/>
                                </w:rPr>
                              </w:pPr>
                            </w:p>
                            <w:p w14:paraId="31FD9DFE" w14:textId="77777777" w:rsidR="008715BE" w:rsidRDefault="00000000">
                              <w:pPr>
                                <w:spacing w:before="1"/>
                                <w:ind w:left="2120"/>
                                <w:rPr>
                                  <w:b/>
                                  <w:sz w:val="18"/>
                                </w:rPr>
                              </w:pPr>
                              <w:r>
                                <w:rPr>
                                  <w:b/>
                                  <w:spacing w:val="-2"/>
                                  <w:w w:val="135"/>
                                  <w:sz w:val="12"/>
                                </w:rPr>
                                <w:t>Reversibility</w:t>
                              </w:r>
                            </w:p>
                            <w:p w14:paraId="69A2E34D" w14:textId="77777777" w:rsidR="008715BE" w:rsidRDefault="00000000">
                              <w:pPr>
                                <w:numPr>
                                  <w:ilvl w:val="0"/>
                                  <w:numId w:val="61"/>
                                </w:numPr>
                                <w:tabs>
                                  <w:tab w:val="left" w:pos="2292"/>
                                </w:tabs>
                                <w:spacing w:before="35" w:line="216" w:lineRule="auto"/>
                                <w:ind w:right="915" w:firstLine="0"/>
                                <w:rPr>
                                  <w:sz w:val="18"/>
                                </w:rPr>
                              </w:pPr>
                              <w:r>
                                <w:rPr>
                                  <w:w w:val="120"/>
                                  <w:sz w:val="12"/>
                                </w:rPr>
                                <w:t xml:space="preserve">For this project, the effects on surface water are considered </w:t>
                              </w:r>
                              <w:r>
                                <w:rPr>
                                  <w:spacing w:val="-2"/>
                                  <w:w w:val="120"/>
                                  <w:sz w:val="12"/>
                                </w:rPr>
                                <w:t>reversible.</w:t>
                              </w:r>
                            </w:p>
                          </w:txbxContent>
                        </wps:txbx>
                        <wps:bodyPr wrap="square" lIns="0" tIns="0" rIns="0" bIns="0" rtlCol="0"/>
                      </wps:wsp>
                    </wpg:wgp>
                  </a:graphicData>
                </a:graphic>
              </wp:anchor>
            </w:drawing>
          </mc:Choice>
          <mc:Fallback>
            <w:pict>
              <v:group w14:anchorId="2CBC2E27" id="Group 349" o:spid="_x0000_s1194" style="position:absolute;margin-left:60.95pt;margin-top:488.05pt;width:464.9pt;height:103.3pt;z-index:-251528192;mso-wrap-distance-left:0;mso-wrap-distance-right:0;mso-position-horizontal-relative:page;mso-position-vertical-relative:text" coordsize="59042,1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">
                <v:shape id="Graphic 350" o:spid="_x0000_s1195" style="position:absolute;width:59042;height:13119;visibility:visible;mso-wrap-style:square;v-text-anchor:top" coordsize="5904230,13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" path="m5773039,l131127,,80088,10300,38407,38401,10305,80099,,131191,,1180211r10305,51038l38407,1272930r41681,28103l131127,1311338r5641912,l5824130,1301033r41698,-28103l5893929,1231249r10301,-51038l5904230,131191,5893929,80099,5865828,38401,5824130,10300,5773039,xe" fillcolor="#d9d9d9" stroked="f">
                  <v:path arrowok="t"/>
                </v:shape>
                <v:shape id="Graphic 351" o:spid="_x0000_s1196" style="position:absolute;left:2309;top:1699;width:8934;height:8757;visibility:visible;mso-wrap-style:square;v-text-anchor:top" coordsize="893444,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" path="m875157,415328r-24283,l850874,439534r,121056l850874,584796r,121057l850874,730059r,121056l741476,851115r,-121056l850874,730059r,-24206l717169,705853r,24206l717169,851115r-267424,l449745,730059r267424,l717169,705853r-121552,l595617,584796r255257,l850874,560590r-109398,l741476,439534r109398,l850874,415328r-133705,l717169,439534r,121056l571309,560590r,24206l571309,705853r-145872,l425437,730059r,121056l158026,851115r,-121056l425437,730059r,-24206l303885,705853r,-121057l571309,584796r,-24206l449745,560590r,-121056l717169,439534r,-24206l595617,415328r,-121057l595617,270065r-24308,l571309,294271r,121057l425437,415328r,24206l425437,560590r-145860,l279577,584796r,121057l133705,705853r,24206l133705,851115r-109398,l24307,730059r109398,l133705,705853r-109398,l24307,584796r255270,l279577,560590r-121551,l158026,439534r267411,l425437,415328r-121552,l303885,294271r267424,l571309,270065r-291732,l279577,294271r,121057l133705,415328r,24206l133705,560590r-109398,l24307,439534r109398,l133705,415328r-109398,l24307,294271r255270,l279577,270065,,270065,,875322r875157,l875157,851115r,-121056l875157,705853r,-121057l875157,560590r,-121056l875157,415328xem892987,133845l861174,58661r,62293l637159,214998,599376,125768,823379,31673r37795,89281l861174,58661,849757,31673,836345,,567537,112864r56668,133846l699719,214998,892987,133845xe" fillcolor="#b8c2e0" stroked="f">
                  <v:path arrowok="t"/>
                </v:shape>
                <v:shape id="Graphic 352" o:spid="_x0000_s1197" style="position:absolute;left:764;top:1311;width:11811;height:10491;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" path="m,104901l8245,64025,30730,30686,64079,8229,104914,r971042,l1116779,8229r33345,22457l1172611,64025r8247,40876l1180858,944117r-8247,40821l1150124,1018279r-33345,22483l1075956,1049007r-971042,l64079,1040762,30730,1018279,8245,984938,,944117,,104901xe" filled="f" strokecolor="white" strokeweight="1pt">
                  <v:path arrowok="t"/>
                </v:shape>
                <v:shape id="Textbox 353" o:spid="_x0000_s1198" type="#_x0000_t202" style="position:absolute;width:59042;height:1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2C3265BD" w14:textId="77777777" w:rsidR="008715BE" w:rsidRDefault="008715BE">
                        <w:pPr>
                          <w:rPr>
                            <w:sz w:val="18"/>
                          </w:rPr>
                        </w:pPr>
                      </w:p>
                      <w:p w14:paraId="2475CD51" w14:textId="77777777" w:rsidR="008715BE" w:rsidRDefault="008715BE">
                        <w:pPr>
                          <w:rPr>
                            <w:sz w:val="18"/>
                          </w:rPr>
                        </w:pPr>
                      </w:p>
                      <w:p w14:paraId="5652651B" w14:textId="77777777" w:rsidR="008715BE" w:rsidRDefault="008715BE">
                        <w:pPr>
                          <w:spacing w:before="46"/>
                          <w:rPr>
                            <w:sz w:val="18"/>
                          </w:rPr>
                        </w:pPr>
                      </w:p>
                      <w:p w14:paraId="31FD9DFE" w14:textId="77777777" w:rsidR="008715BE" w:rsidRDefault="00000000">
                        <w:pPr>
                          <w:spacing w:before="1"/>
                          <w:ind w:left="2120"/>
                          <w:rPr>
                            <w:b/>
                            <w:sz w:val="18"/>
                          </w:rPr>
                        </w:pPr>
                        <w:r>
                          <w:rPr>
                            <w:b/>
                            <w:spacing w:val="-2"/>
                            <w:w w:val="135"/>
                            <w:sz w:val="12"/>
                          </w:rPr>
                          <w:t>Reversibility</w:t>
                        </w:r>
                      </w:p>
                      <w:p w14:paraId="69A2E34D" w14:textId="77777777" w:rsidR="008715BE" w:rsidRDefault="00000000">
                        <w:pPr>
                          <w:numPr>
                            <w:ilvl w:val="0"/>
                            <w:numId w:val="61"/>
                          </w:numPr>
                          <w:tabs>
                            <w:tab w:val="left" w:pos="2292"/>
                          </w:tabs>
                          <w:spacing w:before="35" w:line="216" w:lineRule="auto"/>
                          <w:ind w:right="915" w:firstLine="0"/>
                          <w:rPr>
                            <w:sz w:val="18"/>
                          </w:rPr>
                        </w:pPr>
                        <w:r>
                          <w:rPr>
                            <w:w w:val="120"/>
                            <w:sz w:val="12"/>
                          </w:rPr>
                          <w:t xml:space="preserve">For this project, the effects on surface water are considered </w:t>
                        </w:r>
                        <w:r>
                          <w:rPr>
                            <w:spacing w:val="-2"/>
                            <w:w w:val="120"/>
                            <w:sz w:val="12"/>
                          </w:rPr>
                          <w:t>reversible.</w:t>
                        </w:r>
                      </w:p>
                    </w:txbxContent>
                  </v:textbox>
                </v:shape>
                <w10:wrap type="topAndBottom" anchorx="page"/>
              </v:group>
            </w:pict>
          </mc:Fallback>
        </mc:AlternateContent>
      </w:r>
    </w:p>
    <w:p w14:paraId="1E511A74" w14:textId="77777777" w:rsidR="008715BE" w:rsidRPr="00EC75B7" w:rsidRDefault="008715BE">
      <w:pPr>
        <w:pStyle w:val="BodyText"/>
        <w:spacing w:before="11"/>
        <w:rPr>
          <w:rFonts w:ascii="Verdana" w:hAnsi="Verdana"/>
        </w:rPr>
      </w:pPr>
    </w:p>
    <w:p w14:paraId="21D6E870" w14:textId="77777777" w:rsidR="008715BE" w:rsidRPr="00EC75B7" w:rsidRDefault="008715BE">
      <w:pPr>
        <w:pStyle w:val="BodyText"/>
        <w:rPr>
          <w:rFonts w:ascii="Verdana" w:hAnsi="Verdana"/>
        </w:rPr>
        <w:sectPr w:rsidR="008715BE" w:rsidRPr="00EC75B7">
          <w:pgSz w:w="11910" w:h="16840"/>
          <w:pgMar w:top="1400" w:right="850" w:bottom="1020" w:left="1133" w:header="766" w:footer="824" w:gutter="0"/>
          <w:cols w:space="708"/>
        </w:sectPr>
      </w:pPr>
    </w:p>
    <w:p w14:paraId="4C9FC596"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39 Assessment of the project's impact on surface and groundwater quality (overall assessment,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607"/>
        <w:gridCol w:w="2444"/>
        <w:gridCol w:w="1901"/>
        <w:gridCol w:w="924"/>
        <w:gridCol w:w="972"/>
        <w:gridCol w:w="682"/>
        <w:gridCol w:w="1186"/>
        <w:gridCol w:w="1229"/>
        <w:gridCol w:w="790"/>
        <w:gridCol w:w="1184"/>
        <w:gridCol w:w="1090"/>
        <w:gridCol w:w="1419"/>
        <w:gridCol w:w="5103"/>
      </w:tblGrid>
      <w:tr w:rsidR="008715BE" w:rsidRPr="00EC75B7" w14:paraId="135E18B6" w14:textId="77777777">
        <w:trPr>
          <w:trHeight w:val="1550"/>
        </w:trPr>
        <w:tc>
          <w:tcPr>
            <w:tcW w:w="725" w:type="dxa"/>
            <w:shd w:val="clear" w:color="auto" w:fill="00AFEF"/>
          </w:tcPr>
          <w:p w14:paraId="286BEE79" w14:textId="77777777" w:rsidR="008715BE" w:rsidRPr="00EC75B7" w:rsidRDefault="008715BE">
            <w:pPr>
              <w:pStyle w:val="TableParagraph"/>
              <w:rPr>
                <w:rFonts w:ascii="Verdana" w:hAnsi="Verdana"/>
                <w:b/>
                <w:sz w:val="18"/>
                <w:szCs w:val="18"/>
              </w:rPr>
            </w:pPr>
          </w:p>
          <w:p w14:paraId="4FA86FC6" w14:textId="77777777" w:rsidR="008715BE" w:rsidRPr="00EC75B7" w:rsidRDefault="008715BE">
            <w:pPr>
              <w:pStyle w:val="TableParagraph"/>
              <w:rPr>
                <w:rFonts w:ascii="Verdana" w:hAnsi="Verdana"/>
                <w:b/>
                <w:sz w:val="18"/>
                <w:szCs w:val="18"/>
              </w:rPr>
            </w:pPr>
          </w:p>
          <w:p w14:paraId="0BD4D447" w14:textId="77777777" w:rsidR="008715BE" w:rsidRPr="00EC75B7" w:rsidRDefault="008715BE">
            <w:pPr>
              <w:pStyle w:val="TableParagraph"/>
              <w:spacing w:before="92"/>
              <w:rPr>
                <w:rFonts w:ascii="Verdana" w:hAnsi="Verdana"/>
                <w:b/>
                <w:sz w:val="18"/>
                <w:szCs w:val="18"/>
              </w:rPr>
            </w:pPr>
          </w:p>
          <w:p w14:paraId="7EE056FF"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607" w:type="dxa"/>
            <w:shd w:val="clear" w:color="auto" w:fill="00AFEF"/>
          </w:tcPr>
          <w:p w14:paraId="7F765F1B" w14:textId="77777777" w:rsidR="008715BE" w:rsidRPr="00EC75B7" w:rsidRDefault="008715BE">
            <w:pPr>
              <w:pStyle w:val="TableParagraph"/>
              <w:rPr>
                <w:rFonts w:ascii="Verdana" w:hAnsi="Verdana"/>
                <w:b/>
                <w:sz w:val="18"/>
                <w:szCs w:val="18"/>
              </w:rPr>
            </w:pPr>
          </w:p>
          <w:p w14:paraId="7B2B935A" w14:textId="77777777" w:rsidR="008715BE" w:rsidRPr="00EC75B7" w:rsidRDefault="008715BE">
            <w:pPr>
              <w:pStyle w:val="TableParagraph"/>
              <w:rPr>
                <w:rFonts w:ascii="Verdana" w:hAnsi="Verdana"/>
                <w:b/>
                <w:sz w:val="18"/>
                <w:szCs w:val="18"/>
              </w:rPr>
            </w:pPr>
          </w:p>
          <w:p w14:paraId="51C0F056" w14:textId="77777777" w:rsidR="008715BE" w:rsidRPr="00EC75B7" w:rsidRDefault="008715BE">
            <w:pPr>
              <w:pStyle w:val="TableParagraph"/>
              <w:spacing w:before="92"/>
              <w:rPr>
                <w:rFonts w:ascii="Verdana" w:hAnsi="Verdana"/>
                <w:b/>
                <w:sz w:val="18"/>
                <w:szCs w:val="18"/>
              </w:rPr>
            </w:pPr>
          </w:p>
          <w:p w14:paraId="71D0EAD5" w14:textId="77777777" w:rsidR="008715BE" w:rsidRPr="00EC75B7" w:rsidRDefault="00000000">
            <w:pPr>
              <w:pStyle w:val="TableParagraph"/>
              <w:spacing w:before="1"/>
              <w:ind w:left="309"/>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444" w:type="dxa"/>
            <w:shd w:val="clear" w:color="auto" w:fill="00AFEF"/>
          </w:tcPr>
          <w:p w14:paraId="76CDD42D" w14:textId="77777777" w:rsidR="008715BE" w:rsidRPr="00EC75B7" w:rsidRDefault="008715BE">
            <w:pPr>
              <w:pStyle w:val="TableParagraph"/>
              <w:rPr>
                <w:rFonts w:ascii="Verdana" w:hAnsi="Verdana"/>
                <w:b/>
                <w:sz w:val="18"/>
                <w:szCs w:val="18"/>
              </w:rPr>
            </w:pPr>
          </w:p>
          <w:p w14:paraId="5151CAA4" w14:textId="77777777" w:rsidR="008715BE" w:rsidRPr="00EC75B7" w:rsidRDefault="008715BE">
            <w:pPr>
              <w:pStyle w:val="TableParagraph"/>
              <w:rPr>
                <w:rFonts w:ascii="Verdana" w:hAnsi="Verdana"/>
                <w:b/>
                <w:sz w:val="18"/>
                <w:szCs w:val="18"/>
              </w:rPr>
            </w:pPr>
          </w:p>
          <w:p w14:paraId="49D7DF01" w14:textId="77777777" w:rsidR="008715BE" w:rsidRPr="00EC75B7" w:rsidRDefault="008715BE">
            <w:pPr>
              <w:pStyle w:val="TableParagraph"/>
              <w:spacing w:before="92"/>
              <w:rPr>
                <w:rFonts w:ascii="Verdana" w:hAnsi="Verdana"/>
                <w:b/>
                <w:sz w:val="18"/>
                <w:szCs w:val="18"/>
              </w:rPr>
            </w:pPr>
          </w:p>
          <w:p w14:paraId="7992F2A4" w14:textId="77777777" w:rsidR="008715BE" w:rsidRPr="00EC75B7" w:rsidRDefault="00000000">
            <w:pPr>
              <w:pStyle w:val="TableParagraph"/>
              <w:spacing w:before="1"/>
              <w:ind w:left="9"/>
              <w:jc w:val="center"/>
              <w:rPr>
                <w:rFonts w:ascii="Verdana" w:hAnsi="Verdana"/>
                <w:b/>
                <w:sz w:val="18"/>
                <w:szCs w:val="18"/>
              </w:rPr>
            </w:pPr>
            <w:r w:rsidRPr="00EC75B7">
              <w:rPr>
                <w:rFonts w:ascii="Verdana" w:hAnsi="Verdana"/>
                <w:b/>
                <w:color w:val="FFFFFF"/>
                <w:spacing w:val="-2"/>
                <w:sz w:val="18"/>
                <w:szCs w:val="18"/>
              </w:rPr>
              <w:t>Effects</w:t>
            </w:r>
          </w:p>
        </w:tc>
        <w:tc>
          <w:tcPr>
            <w:tcW w:w="1901" w:type="dxa"/>
            <w:shd w:val="clear" w:color="auto" w:fill="00AFEF"/>
          </w:tcPr>
          <w:p w14:paraId="15737025" w14:textId="77777777" w:rsidR="008715BE" w:rsidRPr="00EC75B7" w:rsidRDefault="008715BE">
            <w:pPr>
              <w:pStyle w:val="TableParagraph"/>
              <w:rPr>
                <w:rFonts w:ascii="Verdana" w:hAnsi="Verdana"/>
                <w:b/>
                <w:sz w:val="18"/>
                <w:szCs w:val="18"/>
              </w:rPr>
            </w:pPr>
          </w:p>
          <w:p w14:paraId="08A20AF2" w14:textId="77777777" w:rsidR="008715BE" w:rsidRPr="00EC75B7" w:rsidRDefault="008715BE">
            <w:pPr>
              <w:pStyle w:val="TableParagraph"/>
              <w:spacing w:before="189"/>
              <w:rPr>
                <w:rFonts w:ascii="Verdana" w:hAnsi="Verdana"/>
                <w:b/>
                <w:sz w:val="18"/>
                <w:szCs w:val="18"/>
              </w:rPr>
            </w:pPr>
          </w:p>
          <w:p w14:paraId="4B8A8EAD" w14:textId="77777777" w:rsidR="008715BE" w:rsidRPr="00EC75B7" w:rsidRDefault="00000000">
            <w:pPr>
              <w:pStyle w:val="TableParagraph"/>
              <w:spacing w:line="195" w:lineRule="exact"/>
              <w:ind w:left="10" w:right="9"/>
              <w:jc w:val="center"/>
              <w:rPr>
                <w:rFonts w:ascii="Verdana" w:hAnsi="Verdana"/>
                <w:b/>
                <w:sz w:val="18"/>
                <w:szCs w:val="18"/>
              </w:rPr>
            </w:pPr>
            <w:r w:rsidRPr="00EC75B7">
              <w:rPr>
                <w:rFonts w:ascii="Verdana" w:hAnsi="Verdana"/>
                <w:b/>
                <w:color w:val="FFFFFF"/>
                <w:spacing w:val="-2"/>
                <w:sz w:val="18"/>
                <w:szCs w:val="18"/>
              </w:rPr>
              <w:t xml:space="preserve">Potential </w:t>
            </w:r>
            <w:r w:rsidRPr="00EC75B7">
              <w:rPr>
                <w:rFonts w:ascii="Verdana" w:hAnsi="Verdana"/>
                <w:b/>
                <w:color w:val="FFFFFF"/>
                <w:sz w:val="18"/>
                <w:szCs w:val="18"/>
              </w:rPr>
              <w:t>forms</w:t>
            </w:r>
          </w:p>
          <w:p w14:paraId="1D90557F" w14:textId="77777777" w:rsidR="008715BE" w:rsidRPr="00EC75B7" w:rsidRDefault="00000000">
            <w:pPr>
              <w:pStyle w:val="TableParagraph"/>
              <w:spacing w:line="195" w:lineRule="exact"/>
              <w:ind w:left="10" w:right="6"/>
              <w:jc w:val="center"/>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impact</w:t>
            </w:r>
          </w:p>
        </w:tc>
        <w:tc>
          <w:tcPr>
            <w:tcW w:w="924" w:type="dxa"/>
            <w:shd w:val="clear" w:color="auto" w:fill="00AFEF"/>
            <w:textDirection w:val="btLr"/>
          </w:tcPr>
          <w:p w14:paraId="452CAA06" w14:textId="77777777" w:rsidR="008715BE" w:rsidRPr="00EC75B7" w:rsidRDefault="008715BE">
            <w:pPr>
              <w:pStyle w:val="TableParagraph"/>
              <w:spacing w:before="176"/>
              <w:rPr>
                <w:rFonts w:ascii="Verdana" w:hAnsi="Verdana"/>
                <w:b/>
                <w:sz w:val="18"/>
                <w:szCs w:val="18"/>
              </w:rPr>
            </w:pPr>
          </w:p>
          <w:p w14:paraId="5D838D8E" w14:textId="77777777" w:rsidR="008715BE" w:rsidRPr="00EC75B7" w:rsidRDefault="00000000">
            <w:pPr>
              <w:pStyle w:val="TableParagraph"/>
              <w:spacing w:before="1"/>
              <w:ind w:left="3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2" w:type="dxa"/>
            <w:shd w:val="clear" w:color="auto" w:fill="00AFEF"/>
            <w:textDirection w:val="btLr"/>
          </w:tcPr>
          <w:p w14:paraId="1ADA7793" w14:textId="77777777" w:rsidR="008715BE" w:rsidRPr="00EC75B7" w:rsidRDefault="008715BE">
            <w:pPr>
              <w:pStyle w:val="TableParagraph"/>
              <w:spacing w:before="100"/>
              <w:rPr>
                <w:rFonts w:ascii="Verdana" w:hAnsi="Verdana"/>
                <w:b/>
                <w:sz w:val="18"/>
                <w:szCs w:val="18"/>
              </w:rPr>
            </w:pPr>
          </w:p>
          <w:p w14:paraId="4A2A06F6" w14:textId="77777777" w:rsidR="008715BE" w:rsidRPr="00EC75B7" w:rsidRDefault="00000000">
            <w:pPr>
              <w:pStyle w:val="TableParagraph"/>
              <w:spacing w:line="244" w:lineRule="auto"/>
              <w:ind w:left="308" w:right="287" w:firstLine="165"/>
              <w:rPr>
                <w:rFonts w:ascii="Verdana" w:hAnsi="Verdana"/>
                <w:b/>
                <w:sz w:val="18"/>
                <w:szCs w:val="18"/>
              </w:rPr>
            </w:pPr>
            <w:r w:rsidRPr="00EC75B7">
              <w:rPr>
                <w:rFonts w:ascii="Verdana" w:hAnsi="Verdana"/>
                <w:b/>
                <w:color w:val="FFFFFF"/>
                <w:spacing w:val="-2"/>
                <w:sz w:val="18"/>
                <w:szCs w:val="18"/>
              </w:rPr>
              <w:t>Nature of impact</w:t>
            </w:r>
          </w:p>
        </w:tc>
        <w:tc>
          <w:tcPr>
            <w:tcW w:w="682" w:type="dxa"/>
            <w:shd w:val="clear" w:color="auto" w:fill="00AFEF"/>
            <w:textDirection w:val="btLr"/>
          </w:tcPr>
          <w:p w14:paraId="4959ECEC" w14:textId="77777777" w:rsidR="008715BE" w:rsidRPr="00EC75B7" w:rsidRDefault="00000000">
            <w:pPr>
              <w:pStyle w:val="TableParagraph"/>
              <w:spacing w:before="149"/>
              <w:ind w:left="378"/>
              <w:rPr>
                <w:rFonts w:ascii="Verdana" w:hAnsi="Verdana"/>
                <w:b/>
                <w:sz w:val="18"/>
                <w:szCs w:val="18"/>
              </w:rPr>
            </w:pPr>
            <w:r w:rsidRPr="00EC75B7">
              <w:rPr>
                <w:rFonts w:ascii="Verdana" w:hAnsi="Verdana"/>
                <w:b/>
                <w:color w:val="FFFFFF"/>
                <w:spacing w:val="-2"/>
                <w:sz w:val="18"/>
                <w:szCs w:val="18"/>
              </w:rPr>
              <w:t>Potential</w:t>
            </w:r>
          </w:p>
          <w:p w14:paraId="19E3069C" w14:textId="77777777" w:rsidR="008715BE" w:rsidRPr="00EC75B7" w:rsidRDefault="00000000">
            <w:pPr>
              <w:pStyle w:val="TableParagraph"/>
              <w:spacing w:before="4"/>
              <w:ind w:left="340"/>
              <w:rPr>
                <w:rFonts w:ascii="Verdana" w:hAnsi="Verdana"/>
                <w:b/>
                <w:sz w:val="18"/>
                <w:szCs w:val="18"/>
              </w:rPr>
            </w:pPr>
            <w:r w:rsidRPr="00EC75B7">
              <w:rPr>
                <w:rFonts w:ascii="Verdana" w:hAnsi="Verdana"/>
                <w:b/>
                <w:color w:val="FFFFFF"/>
                <w:spacing w:val="-2"/>
                <w:sz w:val="18"/>
                <w:szCs w:val="18"/>
              </w:rPr>
              <w:t>cumulative</w:t>
            </w:r>
          </w:p>
        </w:tc>
        <w:tc>
          <w:tcPr>
            <w:tcW w:w="1186" w:type="dxa"/>
            <w:shd w:val="clear" w:color="auto" w:fill="00AFEF"/>
            <w:textDirection w:val="btLr"/>
          </w:tcPr>
          <w:p w14:paraId="35813F3A" w14:textId="77777777" w:rsidR="008715BE" w:rsidRPr="00EC75B7" w:rsidRDefault="008715BE">
            <w:pPr>
              <w:pStyle w:val="TableParagraph"/>
              <w:rPr>
                <w:rFonts w:ascii="Verdana" w:hAnsi="Verdana"/>
                <w:b/>
                <w:sz w:val="18"/>
                <w:szCs w:val="18"/>
              </w:rPr>
            </w:pPr>
          </w:p>
          <w:p w14:paraId="3A636285" w14:textId="77777777" w:rsidR="008715BE" w:rsidRPr="00EC75B7" w:rsidRDefault="008715BE">
            <w:pPr>
              <w:pStyle w:val="TableParagraph"/>
              <w:spacing w:before="111"/>
              <w:rPr>
                <w:rFonts w:ascii="Verdana" w:hAnsi="Verdana"/>
                <w:b/>
                <w:sz w:val="18"/>
                <w:szCs w:val="18"/>
              </w:rPr>
            </w:pPr>
          </w:p>
          <w:p w14:paraId="11C768FA" w14:textId="77777777" w:rsidR="008715BE" w:rsidRPr="00EC75B7" w:rsidRDefault="00000000">
            <w:pPr>
              <w:pStyle w:val="TableParagraph"/>
              <w:ind w:left="476"/>
              <w:rPr>
                <w:rFonts w:ascii="Verdana" w:hAnsi="Verdana"/>
                <w:b/>
                <w:sz w:val="18"/>
                <w:szCs w:val="18"/>
              </w:rPr>
            </w:pPr>
            <w:r w:rsidRPr="00EC75B7">
              <w:rPr>
                <w:rFonts w:ascii="Verdana" w:hAnsi="Verdana"/>
                <w:b/>
                <w:color w:val="FFFFFF"/>
                <w:spacing w:val="-2"/>
                <w:sz w:val="18"/>
                <w:szCs w:val="18"/>
              </w:rPr>
              <w:t>Duration</w:t>
            </w:r>
          </w:p>
        </w:tc>
        <w:tc>
          <w:tcPr>
            <w:tcW w:w="1229" w:type="dxa"/>
            <w:shd w:val="clear" w:color="auto" w:fill="00AFEF"/>
            <w:textDirection w:val="btLr"/>
          </w:tcPr>
          <w:p w14:paraId="2A12FE70" w14:textId="77777777" w:rsidR="008715BE" w:rsidRPr="00EC75B7" w:rsidRDefault="008715BE">
            <w:pPr>
              <w:pStyle w:val="TableParagraph"/>
              <w:rPr>
                <w:rFonts w:ascii="Verdana" w:hAnsi="Verdana"/>
                <w:b/>
                <w:sz w:val="18"/>
                <w:szCs w:val="18"/>
              </w:rPr>
            </w:pPr>
          </w:p>
          <w:p w14:paraId="35B7CA55" w14:textId="77777777" w:rsidR="008715BE" w:rsidRPr="00EC75B7" w:rsidRDefault="008715BE">
            <w:pPr>
              <w:pStyle w:val="TableParagraph"/>
              <w:spacing w:before="31"/>
              <w:rPr>
                <w:rFonts w:ascii="Verdana" w:hAnsi="Verdana"/>
                <w:b/>
                <w:sz w:val="18"/>
                <w:szCs w:val="18"/>
              </w:rPr>
            </w:pPr>
          </w:p>
          <w:p w14:paraId="66D9E8D5" w14:textId="77777777" w:rsidR="008715BE" w:rsidRPr="00EC75B7" w:rsidRDefault="00000000">
            <w:pPr>
              <w:pStyle w:val="TableParagraph"/>
              <w:spacing w:line="244" w:lineRule="auto"/>
              <w:ind w:left="43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90" w:type="dxa"/>
            <w:shd w:val="clear" w:color="auto" w:fill="00AFEF"/>
            <w:textDirection w:val="btLr"/>
          </w:tcPr>
          <w:p w14:paraId="50C617EF" w14:textId="77777777" w:rsidR="008715BE" w:rsidRPr="00EC75B7" w:rsidRDefault="008715BE">
            <w:pPr>
              <w:pStyle w:val="TableParagraph"/>
              <w:spacing w:before="106"/>
              <w:rPr>
                <w:rFonts w:ascii="Verdana" w:hAnsi="Verdana"/>
                <w:b/>
                <w:sz w:val="18"/>
                <w:szCs w:val="18"/>
              </w:rPr>
            </w:pPr>
          </w:p>
          <w:p w14:paraId="5A90FC85" w14:textId="77777777" w:rsidR="008715BE" w:rsidRPr="00EC75B7" w:rsidRDefault="00000000">
            <w:pPr>
              <w:pStyle w:val="TableParagraph"/>
              <w:ind w:left="299"/>
              <w:rPr>
                <w:rFonts w:ascii="Verdana" w:hAnsi="Verdana"/>
                <w:b/>
                <w:sz w:val="18"/>
                <w:szCs w:val="18"/>
              </w:rPr>
            </w:pPr>
            <w:r w:rsidRPr="00EC75B7">
              <w:rPr>
                <w:rFonts w:ascii="Verdana" w:hAnsi="Verdana"/>
                <w:b/>
                <w:color w:val="FFFFFF"/>
                <w:spacing w:val="-2"/>
                <w:sz w:val="18"/>
                <w:szCs w:val="18"/>
              </w:rPr>
              <w:t>Extension</w:t>
            </w:r>
          </w:p>
        </w:tc>
        <w:tc>
          <w:tcPr>
            <w:tcW w:w="1184" w:type="dxa"/>
            <w:shd w:val="clear" w:color="auto" w:fill="00AFEF"/>
            <w:textDirection w:val="btLr"/>
          </w:tcPr>
          <w:p w14:paraId="07346C36" w14:textId="77777777" w:rsidR="008715BE" w:rsidRPr="00EC75B7" w:rsidRDefault="008715BE">
            <w:pPr>
              <w:pStyle w:val="TableParagraph"/>
              <w:rPr>
                <w:rFonts w:ascii="Verdana" w:hAnsi="Verdana"/>
                <w:b/>
                <w:sz w:val="18"/>
                <w:szCs w:val="18"/>
              </w:rPr>
            </w:pPr>
          </w:p>
          <w:p w14:paraId="01280AB2" w14:textId="77777777" w:rsidR="008715BE" w:rsidRPr="00EC75B7" w:rsidRDefault="008715BE">
            <w:pPr>
              <w:pStyle w:val="TableParagraph"/>
              <w:spacing w:before="107"/>
              <w:rPr>
                <w:rFonts w:ascii="Verdana" w:hAnsi="Verdana"/>
                <w:b/>
                <w:sz w:val="18"/>
                <w:szCs w:val="18"/>
              </w:rPr>
            </w:pPr>
          </w:p>
          <w:p w14:paraId="782EEF2E" w14:textId="77777777" w:rsidR="008715BE" w:rsidRPr="00EC75B7" w:rsidRDefault="00000000">
            <w:pPr>
              <w:pStyle w:val="TableParagraph"/>
              <w:spacing w:before="1"/>
              <w:ind w:left="150"/>
              <w:rPr>
                <w:rFonts w:ascii="Verdana" w:hAnsi="Verdana"/>
                <w:b/>
                <w:sz w:val="18"/>
                <w:szCs w:val="18"/>
              </w:rPr>
            </w:pPr>
            <w:r w:rsidRPr="00EC75B7">
              <w:rPr>
                <w:rFonts w:ascii="Verdana" w:hAnsi="Verdana"/>
                <w:b/>
                <w:color w:val="FFFFFF"/>
                <w:spacing w:val="-2"/>
                <w:sz w:val="18"/>
                <w:szCs w:val="18"/>
              </w:rPr>
              <w:t>Probability</w:t>
            </w:r>
          </w:p>
        </w:tc>
        <w:tc>
          <w:tcPr>
            <w:tcW w:w="1090" w:type="dxa"/>
            <w:shd w:val="clear" w:color="auto" w:fill="00AFEF"/>
            <w:textDirection w:val="btLr"/>
          </w:tcPr>
          <w:p w14:paraId="3B9AB179" w14:textId="77777777" w:rsidR="008715BE" w:rsidRPr="00EC75B7" w:rsidRDefault="008715BE">
            <w:pPr>
              <w:pStyle w:val="TableParagraph"/>
              <w:rPr>
                <w:rFonts w:ascii="Verdana" w:hAnsi="Verdana"/>
                <w:b/>
                <w:sz w:val="18"/>
                <w:szCs w:val="18"/>
              </w:rPr>
            </w:pPr>
          </w:p>
          <w:p w14:paraId="3897346B" w14:textId="77777777" w:rsidR="008715BE" w:rsidRPr="00EC75B7" w:rsidRDefault="008715BE">
            <w:pPr>
              <w:pStyle w:val="TableParagraph"/>
              <w:spacing w:before="62"/>
              <w:rPr>
                <w:rFonts w:ascii="Verdana" w:hAnsi="Verdana"/>
                <w:b/>
                <w:sz w:val="18"/>
                <w:szCs w:val="18"/>
              </w:rPr>
            </w:pPr>
          </w:p>
          <w:p w14:paraId="1BC2AEF6" w14:textId="77777777" w:rsidR="008715BE" w:rsidRPr="00EC75B7" w:rsidRDefault="00000000">
            <w:pPr>
              <w:pStyle w:val="TableParagraph"/>
              <w:ind w:left="76"/>
              <w:rPr>
                <w:rFonts w:ascii="Verdana" w:hAnsi="Verdana"/>
                <w:b/>
                <w:sz w:val="18"/>
                <w:szCs w:val="18"/>
              </w:rPr>
            </w:pPr>
            <w:r w:rsidRPr="00EC75B7">
              <w:rPr>
                <w:rFonts w:ascii="Verdana" w:hAnsi="Verdana"/>
                <w:b/>
                <w:color w:val="FFFFFF"/>
                <w:spacing w:val="-2"/>
                <w:sz w:val="18"/>
                <w:szCs w:val="18"/>
              </w:rPr>
              <w:t>Reversibility</w:t>
            </w:r>
          </w:p>
        </w:tc>
        <w:tc>
          <w:tcPr>
            <w:tcW w:w="1419" w:type="dxa"/>
            <w:shd w:val="clear" w:color="auto" w:fill="00AFEF"/>
            <w:textDirection w:val="btLr"/>
          </w:tcPr>
          <w:p w14:paraId="16BECECA" w14:textId="77777777" w:rsidR="008715BE" w:rsidRPr="00EC75B7" w:rsidRDefault="008715BE">
            <w:pPr>
              <w:pStyle w:val="TableParagraph"/>
              <w:rPr>
                <w:rFonts w:ascii="Verdana" w:hAnsi="Verdana"/>
                <w:b/>
                <w:sz w:val="18"/>
                <w:szCs w:val="18"/>
              </w:rPr>
            </w:pPr>
          </w:p>
          <w:p w14:paraId="310FD06F" w14:textId="77777777" w:rsidR="008715BE" w:rsidRPr="00EC75B7" w:rsidRDefault="008715BE">
            <w:pPr>
              <w:pStyle w:val="TableParagraph"/>
              <w:spacing w:before="126"/>
              <w:rPr>
                <w:rFonts w:ascii="Verdana" w:hAnsi="Verdana"/>
                <w:b/>
                <w:sz w:val="18"/>
                <w:szCs w:val="18"/>
              </w:rPr>
            </w:pPr>
          </w:p>
          <w:p w14:paraId="46BBFCE1" w14:textId="77777777" w:rsidR="008715BE" w:rsidRPr="00EC75B7" w:rsidRDefault="00000000">
            <w:pPr>
              <w:pStyle w:val="TableParagraph"/>
              <w:ind w:left="224"/>
              <w:rPr>
                <w:rFonts w:ascii="Verdana" w:hAnsi="Verdana"/>
                <w:b/>
                <w:sz w:val="18"/>
                <w:szCs w:val="18"/>
              </w:rPr>
            </w:pPr>
            <w:r w:rsidRPr="00EC75B7">
              <w:rPr>
                <w:rFonts w:ascii="Verdana" w:hAnsi="Verdana"/>
                <w:b/>
                <w:color w:val="FFFFFF"/>
                <w:spacing w:val="-2"/>
                <w:sz w:val="18"/>
                <w:szCs w:val="18"/>
              </w:rPr>
              <w:t>Significance</w:t>
            </w:r>
          </w:p>
          <w:p w14:paraId="34E11350" w14:textId="77777777" w:rsidR="008715BE" w:rsidRPr="00EC75B7" w:rsidRDefault="00000000">
            <w:pPr>
              <w:pStyle w:val="TableParagraph"/>
              <w:spacing w:before="4"/>
              <w:ind w:left="308"/>
              <w:rPr>
                <w:rFonts w:ascii="Verdana" w:hAnsi="Verdana"/>
                <w:b/>
                <w:sz w:val="18"/>
                <w:szCs w:val="18"/>
              </w:rPr>
            </w:pPr>
            <w:r w:rsidRPr="00EC75B7">
              <w:rPr>
                <w:rFonts w:ascii="Verdana" w:hAnsi="Verdana"/>
                <w:b/>
                <w:color w:val="FFFFFF"/>
                <w:spacing w:val="-2"/>
                <w:sz w:val="18"/>
                <w:szCs w:val="18"/>
              </w:rPr>
              <w:t>of impact</w:t>
            </w:r>
          </w:p>
        </w:tc>
        <w:tc>
          <w:tcPr>
            <w:tcW w:w="5103" w:type="dxa"/>
            <w:shd w:val="clear" w:color="auto" w:fill="00AFEF"/>
          </w:tcPr>
          <w:p w14:paraId="39AEBA28" w14:textId="77777777" w:rsidR="008715BE" w:rsidRPr="00EC75B7" w:rsidRDefault="008715BE">
            <w:pPr>
              <w:pStyle w:val="TableParagraph"/>
              <w:rPr>
                <w:rFonts w:ascii="Verdana" w:hAnsi="Verdana"/>
                <w:b/>
                <w:sz w:val="18"/>
                <w:szCs w:val="18"/>
              </w:rPr>
            </w:pPr>
          </w:p>
          <w:p w14:paraId="7F285F0D" w14:textId="77777777" w:rsidR="008715BE" w:rsidRPr="00EC75B7" w:rsidRDefault="008715BE">
            <w:pPr>
              <w:pStyle w:val="TableParagraph"/>
              <w:rPr>
                <w:rFonts w:ascii="Verdana" w:hAnsi="Verdana"/>
                <w:b/>
                <w:sz w:val="18"/>
                <w:szCs w:val="18"/>
              </w:rPr>
            </w:pPr>
          </w:p>
          <w:p w14:paraId="4AD383B6" w14:textId="77777777" w:rsidR="008715BE" w:rsidRPr="00EC75B7" w:rsidRDefault="008715BE">
            <w:pPr>
              <w:pStyle w:val="TableParagraph"/>
              <w:spacing w:before="92"/>
              <w:rPr>
                <w:rFonts w:ascii="Verdana" w:hAnsi="Verdana"/>
                <w:b/>
                <w:sz w:val="18"/>
                <w:szCs w:val="18"/>
              </w:rPr>
            </w:pPr>
          </w:p>
          <w:p w14:paraId="2F70BF0D" w14:textId="77777777" w:rsidR="008715BE" w:rsidRPr="00EC75B7" w:rsidRDefault="00000000">
            <w:pPr>
              <w:pStyle w:val="TableParagraph"/>
              <w:spacing w:before="1"/>
              <w:ind w:left="6" w:right="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6E76EE0B" w14:textId="77777777">
        <w:trPr>
          <w:trHeight w:val="388"/>
        </w:trPr>
        <w:tc>
          <w:tcPr>
            <w:tcW w:w="725" w:type="dxa"/>
            <w:vMerge w:val="restart"/>
            <w:textDirection w:val="btLr"/>
          </w:tcPr>
          <w:p w14:paraId="1BE6C06E" w14:textId="77777777" w:rsidR="008715BE" w:rsidRPr="00EC75B7" w:rsidRDefault="00000000">
            <w:pPr>
              <w:pStyle w:val="TableParagraph"/>
              <w:spacing w:before="118"/>
              <w:ind w:left="20"/>
              <w:jc w:val="center"/>
              <w:rPr>
                <w:rFonts w:ascii="Verdana" w:hAnsi="Verdana"/>
                <w:b/>
                <w:sz w:val="18"/>
                <w:szCs w:val="18"/>
              </w:rPr>
            </w:pPr>
            <w:r w:rsidRPr="00EC75B7">
              <w:rPr>
                <w:rFonts w:ascii="Verdana" w:hAnsi="Verdana"/>
                <w:b/>
                <w:spacing w:val="-2"/>
                <w:sz w:val="18"/>
                <w:szCs w:val="18"/>
              </w:rPr>
              <w:t>Execution</w:t>
            </w:r>
          </w:p>
        </w:tc>
        <w:tc>
          <w:tcPr>
            <w:tcW w:w="2607" w:type="dxa"/>
            <w:vMerge w:val="restart"/>
          </w:tcPr>
          <w:p w14:paraId="7E710C48" w14:textId="77777777" w:rsidR="008715BE" w:rsidRPr="00EC75B7" w:rsidRDefault="00000000">
            <w:pPr>
              <w:pStyle w:val="TableParagraph"/>
              <w:ind w:left="105"/>
              <w:rPr>
                <w:rFonts w:ascii="Verdana" w:hAnsi="Verdana"/>
                <w:sz w:val="18"/>
                <w:szCs w:val="18"/>
              </w:rPr>
            </w:pPr>
            <w:r w:rsidRPr="00EC75B7">
              <w:rPr>
                <w:rFonts w:ascii="Verdana" w:hAnsi="Verdana"/>
                <w:b/>
                <w:sz w:val="18"/>
                <w:szCs w:val="18"/>
              </w:rPr>
              <w:t xml:space="preserve">Site organization and operation </w:t>
            </w:r>
            <w:r w:rsidRPr="00EC75B7">
              <w:rPr>
                <w:rFonts w:ascii="Verdana" w:hAnsi="Verdana"/>
                <w:sz w:val="18"/>
                <w:szCs w:val="18"/>
              </w:rPr>
              <w:t xml:space="preserve">(Storage of materials, waste, wastewater Wastewater from the social activities of </w:t>
            </w:r>
            <w:r w:rsidRPr="00EC75B7">
              <w:rPr>
                <w:rFonts w:ascii="Verdana" w:hAnsi="Verdana"/>
                <w:spacing w:val="-2"/>
                <w:sz w:val="18"/>
                <w:szCs w:val="18"/>
              </w:rPr>
              <w:t xml:space="preserve">site </w:t>
            </w:r>
            <w:r w:rsidRPr="00EC75B7">
              <w:rPr>
                <w:rFonts w:ascii="Verdana" w:hAnsi="Verdana"/>
                <w:sz w:val="18"/>
                <w:szCs w:val="18"/>
              </w:rPr>
              <w:t>organizations</w:t>
            </w:r>
            <w:r w:rsidRPr="00EC75B7">
              <w:rPr>
                <w:rFonts w:ascii="Verdana" w:hAnsi="Verdana"/>
                <w:spacing w:val="-2"/>
                <w:sz w:val="18"/>
                <w:szCs w:val="18"/>
              </w:rPr>
              <w:t>)</w:t>
            </w:r>
          </w:p>
        </w:tc>
        <w:tc>
          <w:tcPr>
            <w:tcW w:w="2444" w:type="dxa"/>
          </w:tcPr>
          <w:p w14:paraId="51F11B91"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Pollutant penetration </w:t>
            </w:r>
            <w:r w:rsidRPr="00EC75B7">
              <w:rPr>
                <w:rFonts w:ascii="Verdana" w:hAnsi="Verdana"/>
                <w:spacing w:val="-5"/>
                <w:sz w:val="18"/>
                <w:szCs w:val="18"/>
              </w:rPr>
              <w:t>into</w:t>
            </w:r>
          </w:p>
          <w:p w14:paraId="29BB7BCB"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z w:val="18"/>
                <w:szCs w:val="18"/>
              </w:rPr>
              <w:t>ground</w:t>
            </w:r>
            <w:r w:rsidRPr="00EC75B7">
              <w:rPr>
                <w:rFonts w:ascii="Verdana" w:hAnsi="Verdana"/>
                <w:spacing w:val="-2"/>
                <w:sz w:val="18"/>
                <w:szCs w:val="18"/>
              </w:rPr>
              <w:t>water</w:t>
            </w:r>
          </w:p>
        </w:tc>
        <w:tc>
          <w:tcPr>
            <w:tcW w:w="1901" w:type="dxa"/>
          </w:tcPr>
          <w:p w14:paraId="1888E6BA"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z w:val="18"/>
                <w:szCs w:val="18"/>
              </w:rPr>
              <w:t xml:space="preserve">Alteration </w:t>
            </w:r>
            <w:r w:rsidRPr="00EC75B7">
              <w:rPr>
                <w:rFonts w:ascii="Verdana" w:hAnsi="Verdana"/>
                <w:spacing w:val="-2"/>
                <w:sz w:val="18"/>
                <w:szCs w:val="18"/>
              </w:rPr>
              <w:t>of groundwater quality</w:t>
            </w:r>
          </w:p>
          <w:p w14:paraId="57082817" w14:textId="77777777" w:rsidR="008715BE" w:rsidRPr="00EC75B7" w:rsidRDefault="00000000">
            <w:pPr>
              <w:pStyle w:val="TableParagraph"/>
              <w:spacing w:line="174" w:lineRule="exact"/>
              <w:ind w:left="104"/>
              <w:rPr>
                <w:rFonts w:ascii="Verdana" w:hAnsi="Verdana"/>
                <w:sz w:val="18"/>
                <w:szCs w:val="18"/>
              </w:rPr>
            </w:pPr>
            <w:r w:rsidRPr="00EC75B7">
              <w:rPr>
                <w:rFonts w:ascii="Verdana" w:hAnsi="Verdana"/>
                <w:spacing w:val="-2"/>
                <w:sz w:val="18"/>
                <w:szCs w:val="18"/>
              </w:rPr>
              <w:t>ground</w:t>
            </w:r>
            <w:r w:rsidRPr="00EC75B7">
              <w:rPr>
                <w:rFonts w:ascii="Verdana" w:hAnsi="Verdana"/>
                <w:sz w:val="18"/>
                <w:szCs w:val="18"/>
              </w:rPr>
              <w:t>water</w:t>
            </w:r>
          </w:p>
        </w:tc>
        <w:tc>
          <w:tcPr>
            <w:tcW w:w="924" w:type="dxa"/>
          </w:tcPr>
          <w:p w14:paraId="6EF6CEDF"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0D6B3D05" w14:textId="77777777" w:rsidR="008715BE" w:rsidRPr="00EC75B7" w:rsidRDefault="00000000">
            <w:pPr>
              <w:pStyle w:val="TableParagraph"/>
              <w:spacing w:line="195" w:lineRule="exact"/>
              <w:ind w:right="265"/>
              <w:jc w:val="center"/>
              <w:rPr>
                <w:rFonts w:ascii="Verdana" w:hAnsi="Verdana"/>
                <w:sz w:val="18"/>
                <w:szCs w:val="18"/>
              </w:rPr>
            </w:pPr>
            <w:r w:rsidRPr="00EC75B7">
              <w:rPr>
                <w:rFonts w:ascii="Verdana" w:hAnsi="Verdana"/>
                <w:spacing w:val="-2"/>
                <w:sz w:val="18"/>
                <w:szCs w:val="18"/>
              </w:rPr>
              <w:t>Direct</w:t>
            </w:r>
          </w:p>
        </w:tc>
        <w:tc>
          <w:tcPr>
            <w:tcW w:w="682" w:type="dxa"/>
          </w:tcPr>
          <w:p w14:paraId="6610B3F8"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Yes</w:t>
            </w:r>
          </w:p>
        </w:tc>
        <w:tc>
          <w:tcPr>
            <w:tcW w:w="1186" w:type="dxa"/>
          </w:tcPr>
          <w:p w14:paraId="29D5120D"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229" w:type="dxa"/>
          </w:tcPr>
          <w:p w14:paraId="6E225835"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Accidental</w:t>
            </w:r>
          </w:p>
        </w:tc>
        <w:tc>
          <w:tcPr>
            <w:tcW w:w="790" w:type="dxa"/>
          </w:tcPr>
          <w:p w14:paraId="369EE124" w14:textId="77777777" w:rsidR="008715BE" w:rsidRPr="00EC75B7" w:rsidRDefault="00000000">
            <w:pPr>
              <w:pStyle w:val="TableParagraph"/>
              <w:spacing w:line="195" w:lineRule="exact"/>
              <w:ind w:right="59"/>
              <w:jc w:val="center"/>
              <w:rPr>
                <w:rFonts w:ascii="Verdana" w:hAnsi="Verdana"/>
                <w:sz w:val="18"/>
                <w:szCs w:val="18"/>
              </w:rPr>
            </w:pPr>
            <w:r w:rsidRPr="00EC75B7">
              <w:rPr>
                <w:rFonts w:ascii="Verdana" w:hAnsi="Verdana"/>
                <w:spacing w:val="-2"/>
                <w:sz w:val="18"/>
                <w:szCs w:val="18"/>
              </w:rPr>
              <w:t>Local</w:t>
            </w:r>
          </w:p>
        </w:tc>
        <w:tc>
          <w:tcPr>
            <w:tcW w:w="1184" w:type="dxa"/>
          </w:tcPr>
          <w:p w14:paraId="082FED89"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Unlikely</w:t>
            </w:r>
          </w:p>
        </w:tc>
        <w:tc>
          <w:tcPr>
            <w:tcW w:w="1090" w:type="dxa"/>
          </w:tcPr>
          <w:p w14:paraId="31B850E0" w14:textId="77777777" w:rsidR="008715BE" w:rsidRPr="00EC75B7" w:rsidRDefault="00000000">
            <w:pPr>
              <w:pStyle w:val="TableParagraph"/>
              <w:spacing w:line="195" w:lineRule="exact"/>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07036C62" w14:textId="77777777" w:rsidR="008715BE" w:rsidRPr="00EC75B7" w:rsidRDefault="00000000">
            <w:pPr>
              <w:pStyle w:val="TableParagraph"/>
              <w:spacing w:line="195" w:lineRule="exact"/>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val="restart"/>
          </w:tcPr>
          <w:p w14:paraId="29619843"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Interventions for the arrangement of the construction site and its operation during the execution of the works do not constitute significant sources of impact on the quality of surface and groundwater.</w:t>
            </w:r>
          </w:p>
          <w:p w14:paraId="201AFFB5"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Fuel leaks from machinery/vehicles used for transport may affect surface water quality; these leaks can only occur in the event of damage or improper maintenance.</w:t>
            </w:r>
          </w:p>
          <w:p w14:paraId="46D09387"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In order to prevent soil and groundwater pollution, important attention must be paid to the proper management of materials and substances used during the execution period, but also to the Contractor's obligation to avoid direct storage on the ground of products that can be entrained in biogeochemical circuits and, especially, those of a liquid nature.</w:t>
            </w:r>
          </w:p>
          <w:p w14:paraId="4AB8748A"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In such situations, in the event of accidental spills, rapid action shall be taken to collect the contaminated soil and remove the risks of pollution spreading and infiltrating the groundwater.</w:t>
            </w:r>
          </w:p>
          <w:p w14:paraId="215BAB73" w14:textId="77777777" w:rsidR="008715BE" w:rsidRPr="00EC75B7" w:rsidRDefault="00000000">
            <w:pPr>
              <w:pStyle w:val="TableParagraph"/>
              <w:ind w:left="102" w:right="276"/>
              <w:rPr>
                <w:rFonts w:ascii="Verdana" w:hAnsi="Verdana"/>
                <w:sz w:val="18"/>
                <w:szCs w:val="18"/>
              </w:rPr>
            </w:pPr>
            <w:r w:rsidRPr="00EC75B7">
              <w:rPr>
                <w:rFonts w:ascii="Verdana" w:hAnsi="Verdana"/>
                <w:sz w:val="18"/>
                <w:szCs w:val="18"/>
              </w:rPr>
              <w:t>Domestic wastewater from the ecological toilets used on site will be transported periodically to a treatment plant. The pumping and transport of domestic wastewater will be carried out by an authorized company, on the basis of an order/contract.</w:t>
            </w:r>
          </w:p>
          <w:p w14:paraId="54CD2209"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Waste generated in construction site areas and work fronts will be temporarily collected in appropriate containers/bins in specially designated areas and will be periodically collected and transported by authorized companies, based on service contracts, for</w:t>
            </w:r>
          </w:p>
          <w:p w14:paraId="5C9F8324" w14:textId="77777777" w:rsidR="008715BE" w:rsidRPr="00EC75B7" w:rsidRDefault="00000000">
            <w:pPr>
              <w:pStyle w:val="TableParagraph"/>
              <w:spacing w:line="170" w:lineRule="exact"/>
              <w:ind w:left="102"/>
              <w:rPr>
                <w:rFonts w:ascii="Verdana" w:hAnsi="Verdana"/>
                <w:sz w:val="18"/>
                <w:szCs w:val="18"/>
              </w:rPr>
            </w:pPr>
            <w:r w:rsidRPr="00EC75B7">
              <w:rPr>
                <w:rFonts w:ascii="Verdana" w:hAnsi="Verdana"/>
                <w:sz w:val="18"/>
                <w:szCs w:val="18"/>
              </w:rPr>
              <w:t xml:space="preserve">final recovery/disposal in </w:t>
            </w:r>
            <w:r w:rsidRPr="00EC75B7">
              <w:rPr>
                <w:rFonts w:ascii="Verdana" w:hAnsi="Verdana"/>
                <w:spacing w:val="-2"/>
                <w:sz w:val="18"/>
                <w:szCs w:val="18"/>
              </w:rPr>
              <w:t xml:space="preserve">specially designated </w:t>
            </w:r>
            <w:r w:rsidRPr="00EC75B7">
              <w:rPr>
                <w:rFonts w:ascii="Verdana" w:hAnsi="Verdana"/>
                <w:sz w:val="18"/>
                <w:szCs w:val="18"/>
              </w:rPr>
              <w:t>areas</w:t>
            </w:r>
          </w:p>
        </w:tc>
      </w:tr>
      <w:tr w:rsidR="008715BE" w:rsidRPr="00EC75B7" w14:paraId="67B0E848" w14:textId="77777777">
        <w:trPr>
          <w:trHeight w:val="5241"/>
        </w:trPr>
        <w:tc>
          <w:tcPr>
            <w:tcW w:w="725" w:type="dxa"/>
            <w:vMerge/>
            <w:tcBorders>
              <w:top w:val="nil"/>
            </w:tcBorders>
            <w:textDirection w:val="btLr"/>
          </w:tcPr>
          <w:p w14:paraId="63970066" w14:textId="77777777" w:rsidR="008715BE" w:rsidRPr="00EC75B7" w:rsidRDefault="008715BE">
            <w:pPr>
              <w:rPr>
                <w:rFonts w:ascii="Verdana" w:hAnsi="Verdana"/>
                <w:sz w:val="18"/>
                <w:szCs w:val="18"/>
              </w:rPr>
            </w:pPr>
          </w:p>
        </w:tc>
        <w:tc>
          <w:tcPr>
            <w:tcW w:w="2607" w:type="dxa"/>
            <w:vMerge/>
            <w:tcBorders>
              <w:top w:val="nil"/>
            </w:tcBorders>
          </w:tcPr>
          <w:p w14:paraId="32F7322E" w14:textId="77777777" w:rsidR="008715BE" w:rsidRPr="00EC75B7" w:rsidRDefault="008715BE">
            <w:pPr>
              <w:rPr>
                <w:rFonts w:ascii="Verdana" w:hAnsi="Verdana"/>
                <w:sz w:val="18"/>
                <w:szCs w:val="18"/>
              </w:rPr>
            </w:pPr>
          </w:p>
        </w:tc>
        <w:tc>
          <w:tcPr>
            <w:tcW w:w="2444" w:type="dxa"/>
          </w:tcPr>
          <w:p w14:paraId="504CE27B"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 xml:space="preserve">Pollutant spills into water Pollutant discharges into </w:t>
            </w:r>
            <w:r w:rsidRPr="00EC75B7">
              <w:rPr>
                <w:rFonts w:ascii="Verdana" w:hAnsi="Verdana"/>
                <w:spacing w:val="-5"/>
                <w:sz w:val="18"/>
                <w:szCs w:val="18"/>
              </w:rPr>
              <w:t>water</w:t>
            </w:r>
          </w:p>
        </w:tc>
        <w:tc>
          <w:tcPr>
            <w:tcW w:w="1901" w:type="dxa"/>
          </w:tcPr>
          <w:p w14:paraId="3099655F" w14:textId="77777777" w:rsidR="008715BE" w:rsidRPr="00EC75B7" w:rsidRDefault="00000000">
            <w:pPr>
              <w:pStyle w:val="TableParagraph"/>
              <w:spacing w:before="1" w:line="195" w:lineRule="exact"/>
              <w:ind w:left="104"/>
              <w:rPr>
                <w:rFonts w:ascii="Verdana" w:hAnsi="Verdana"/>
                <w:sz w:val="18"/>
                <w:szCs w:val="18"/>
              </w:rPr>
            </w:pPr>
            <w:r w:rsidRPr="00EC75B7">
              <w:rPr>
                <w:rFonts w:ascii="Verdana" w:hAnsi="Verdana"/>
                <w:sz w:val="18"/>
                <w:szCs w:val="18"/>
              </w:rPr>
              <w:t xml:space="preserve">Alteration </w:t>
            </w:r>
            <w:r w:rsidRPr="00EC75B7">
              <w:rPr>
                <w:rFonts w:ascii="Verdana" w:hAnsi="Verdana"/>
                <w:spacing w:val="-2"/>
                <w:sz w:val="18"/>
                <w:szCs w:val="18"/>
              </w:rPr>
              <w:t>of groundwater quality</w:t>
            </w:r>
          </w:p>
          <w:p w14:paraId="07D2BB71"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ground</w:t>
            </w:r>
            <w:r w:rsidRPr="00EC75B7">
              <w:rPr>
                <w:rFonts w:ascii="Verdana" w:hAnsi="Verdana"/>
                <w:sz w:val="18"/>
                <w:szCs w:val="18"/>
              </w:rPr>
              <w:t>water</w:t>
            </w:r>
          </w:p>
        </w:tc>
        <w:tc>
          <w:tcPr>
            <w:tcW w:w="924" w:type="dxa"/>
          </w:tcPr>
          <w:p w14:paraId="3A6D8DEE" w14:textId="77777777" w:rsidR="008715BE" w:rsidRPr="00EC75B7" w:rsidRDefault="00000000">
            <w:pPr>
              <w:pStyle w:val="TableParagraph"/>
              <w:spacing w:before="1"/>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17EABFED" w14:textId="77777777" w:rsidR="008715BE" w:rsidRPr="00EC75B7" w:rsidRDefault="00000000">
            <w:pPr>
              <w:pStyle w:val="TableParagraph"/>
              <w:spacing w:before="1"/>
              <w:ind w:right="265"/>
              <w:jc w:val="center"/>
              <w:rPr>
                <w:rFonts w:ascii="Verdana" w:hAnsi="Verdana"/>
                <w:sz w:val="18"/>
                <w:szCs w:val="18"/>
              </w:rPr>
            </w:pPr>
            <w:r w:rsidRPr="00EC75B7">
              <w:rPr>
                <w:rFonts w:ascii="Verdana" w:hAnsi="Verdana"/>
                <w:spacing w:val="-2"/>
                <w:sz w:val="18"/>
                <w:szCs w:val="18"/>
              </w:rPr>
              <w:t>Direct</w:t>
            </w:r>
          </w:p>
        </w:tc>
        <w:tc>
          <w:tcPr>
            <w:tcW w:w="682" w:type="dxa"/>
          </w:tcPr>
          <w:p w14:paraId="23D1A01F"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5"/>
                <w:sz w:val="18"/>
                <w:szCs w:val="18"/>
              </w:rPr>
              <w:t>No</w:t>
            </w:r>
          </w:p>
        </w:tc>
        <w:tc>
          <w:tcPr>
            <w:tcW w:w="1186" w:type="dxa"/>
          </w:tcPr>
          <w:p w14:paraId="3BF88181"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2"/>
                <w:sz w:val="18"/>
                <w:szCs w:val="18"/>
              </w:rPr>
              <w:t>Short</w:t>
            </w:r>
          </w:p>
        </w:tc>
        <w:tc>
          <w:tcPr>
            <w:tcW w:w="1229" w:type="dxa"/>
          </w:tcPr>
          <w:p w14:paraId="478D0D33"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2"/>
                <w:sz w:val="18"/>
                <w:szCs w:val="18"/>
              </w:rPr>
              <w:t>Accidental</w:t>
            </w:r>
          </w:p>
        </w:tc>
        <w:tc>
          <w:tcPr>
            <w:tcW w:w="790" w:type="dxa"/>
          </w:tcPr>
          <w:p w14:paraId="0940477B" w14:textId="77777777" w:rsidR="008715BE" w:rsidRPr="00EC75B7" w:rsidRDefault="00000000">
            <w:pPr>
              <w:pStyle w:val="TableParagraph"/>
              <w:spacing w:before="1"/>
              <w:ind w:right="59"/>
              <w:jc w:val="center"/>
              <w:rPr>
                <w:rFonts w:ascii="Verdana" w:hAnsi="Verdana"/>
                <w:sz w:val="18"/>
                <w:szCs w:val="18"/>
              </w:rPr>
            </w:pPr>
            <w:r w:rsidRPr="00EC75B7">
              <w:rPr>
                <w:rFonts w:ascii="Verdana" w:hAnsi="Verdana"/>
                <w:spacing w:val="-2"/>
                <w:sz w:val="18"/>
                <w:szCs w:val="18"/>
              </w:rPr>
              <w:t>Local</w:t>
            </w:r>
          </w:p>
        </w:tc>
        <w:tc>
          <w:tcPr>
            <w:tcW w:w="1184" w:type="dxa"/>
          </w:tcPr>
          <w:p w14:paraId="0202E705" w14:textId="77777777" w:rsidR="008715BE" w:rsidRPr="00EC75B7" w:rsidRDefault="00000000">
            <w:pPr>
              <w:pStyle w:val="TableParagraph"/>
              <w:spacing w:before="1"/>
              <w:ind w:left="103"/>
              <w:rPr>
                <w:rFonts w:ascii="Verdana" w:hAnsi="Verdana"/>
                <w:sz w:val="18"/>
                <w:szCs w:val="18"/>
              </w:rPr>
            </w:pPr>
            <w:r w:rsidRPr="00EC75B7">
              <w:rPr>
                <w:rFonts w:ascii="Verdana" w:hAnsi="Verdana"/>
                <w:spacing w:val="-2"/>
                <w:sz w:val="18"/>
                <w:szCs w:val="18"/>
              </w:rPr>
              <w:t>Unlikely</w:t>
            </w:r>
          </w:p>
        </w:tc>
        <w:tc>
          <w:tcPr>
            <w:tcW w:w="1090" w:type="dxa"/>
          </w:tcPr>
          <w:p w14:paraId="44655A2C" w14:textId="77777777" w:rsidR="008715BE" w:rsidRPr="00EC75B7" w:rsidRDefault="00000000">
            <w:pPr>
              <w:pStyle w:val="TableParagraph"/>
              <w:spacing w:before="1"/>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7F411C08" w14:textId="77777777" w:rsidR="008715BE" w:rsidRPr="00EC75B7" w:rsidRDefault="00000000">
            <w:pPr>
              <w:pStyle w:val="TableParagraph"/>
              <w:spacing w:before="1"/>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tcBorders>
              <w:top w:val="nil"/>
            </w:tcBorders>
          </w:tcPr>
          <w:p w14:paraId="7FDD4BC6" w14:textId="77777777" w:rsidR="008715BE" w:rsidRPr="00EC75B7" w:rsidRDefault="008715BE">
            <w:pPr>
              <w:rPr>
                <w:rFonts w:ascii="Verdana" w:hAnsi="Verdana"/>
                <w:sz w:val="18"/>
                <w:szCs w:val="18"/>
              </w:rPr>
            </w:pPr>
          </w:p>
        </w:tc>
      </w:tr>
      <w:tr w:rsidR="008715BE" w:rsidRPr="00EC75B7" w14:paraId="76682DE0" w14:textId="77777777">
        <w:trPr>
          <w:trHeight w:val="2918"/>
        </w:trPr>
        <w:tc>
          <w:tcPr>
            <w:tcW w:w="725" w:type="dxa"/>
            <w:vMerge/>
            <w:tcBorders>
              <w:top w:val="nil"/>
            </w:tcBorders>
            <w:textDirection w:val="btLr"/>
          </w:tcPr>
          <w:p w14:paraId="08CC0E04" w14:textId="77777777" w:rsidR="008715BE" w:rsidRPr="00EC75B7" w:rsidRDefault="008715BE">
            <w:pPr>
              <w:rPr>
                <w:rFonts w:ascii="Verdana" w:hAnsi="Verdana"/>
                <w:sz w:val="18"/>
                <w:szCs w:val="18"/>
              </w:rPr>
            </w:pPr>
          </w:p>
        </w:tc>
        <w:tc>
          <w:tcPr>
            <w:tcW w:w="2607" w:type="dxa"/>
          </w:tcPr>
          <w:p w14:paraId="17426C99" w14:textId="77777777" w:rsidR="008715BE" w:rsidRPr="00EC75B7" w:rsidRDefault="00000000">
            <w:pPr>
              <w:pStyle w:val="TableParagraph"/>
              <w:ind w:left="105" w:right="95"/>
              <w:rPr>
                <w:rFonts w:ascii="Verdana" w:hAnsi="Verdana"/>
                <w:sz w:val="18"/>
                <w:szCs w:val="18"/>
              </w:rPr>
            </w:pPr>
            <w:r w:rsidRPr="00EC75B7">
              <w:rPr>
                <w:rFonts w:ascii="Verdana" w:hAnsi="Verdana"/>
                <w:b/>
                <w:spacing w:val="-2"/>
                <w:sz w:val="18"/>
                <w:szCs w:val="18"/>
              </w:rPr>
              <w:t xml:space="preserve">Access </w:t>
            </w:r>
            <w:r w:rsidRPr="00EC75B7">
              <w:rPr>
                <w:rFonts w:ascii="Verdana" w:hAnsi="Verdana"/>
                <w:b/>
                <w:sz w:val="18"/>
                <w:szCs w:val="18"/>
              </w:rPr>
              <w:t xml:space="preserve">road construction </w:t>
            </w:r>
            <w:r w:rsidRPr="00EC75B7">
              <w:rPr>
                <w:rFonts w:ascii="Verdana" w:hAnsi="Verdana"/>
                <w:spacing w:val="-2"/>
                <w:sz w:val="18"/>
                <w:szCs w:val="18"/>
              </w:rPr>
              <w:t>(vegetation clearing, soil stripping, ballasting, compaction)</w:t>
            </w:r>
          </w:p>
        </w:tc>
        <w:tc>
          <w:tcPr>
            <w:tcW w:w="2444" w:type="dxa"/>
          </w:tcPr>
          <w:p w14:paraId="6A4CE573"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Storage of </w:t>
            </w:r>
            <w:r w:rsidRPr="00EC75B7">
              <w:rPr>
                <w:rFonts w:ascii="Verdana" w:hAnsi="Verdana"/>
                <w:spacing w:val="-2"/>
                <w:sz w:val="18"/>
                <w:szCs w:val="18"/>
              </w:rPr>
              <w:t xml:space="preserve">excavated </w:t>
            </w:r>
            <w:r w:rsidRPr="00EC75B7">
              <w:rPr>
                <w:rFonts w:ascii="Verdana" w:hAnsi="Verdana"/>
                <w:sz w:val="18"/>
                <w:szCs w:val="18"/>
              </w:rPr>
              <w:t>soil</w:t>
            </w:r>
          </w:p>
        </w:tc>
        <w:tc>
          <w:tcPr>
            <w:tcW w:w="1901" w:type="dxa"/>
          </w:tcPr>
          <w:p w14:paraId="230B4BA3" w14:textId="77777777" w:rsidR="008715BE" w:rsidRPr="00EC75B7" w:rsidRDefault="00000000">
            <w:pPr>
              <w:pStyle w:val="TableParagraph"/>
              <w:ind w:left="104" w:right="166"/>
              <w:rPr>
                <w:rFonts w:ascii="Verdana" w:hAnsi="Verdana"/>
                <w:sz w:val="18"/>
                <w:szCs w:val="18"/>
              </w:rPr>
            </w:pPr>
            <w:r w:rsidRPr="00EC75B7">
              <w:rPr>
                <w:rFonts w:ascii="Verdana" w:hAnsi="Verdana"/>
                <w:sz w:val="18"/>
                <w:szCs w:val="18"/>
              </w:rPr>
              <w:t xml:space="preserve">Dust emissions that may alter surface water quality Changes in </w:t>
            </w:r>
            <w:r w:rsidRPr="00EC75B7">
              <w:rPr>
                <w:rFonts w:ascii="Verdana" w:hAnsi="Verdana"/>
                <w:spacing w:val="-4"/>
                <w:sz w:val="18"/>
                <w:szCs w:val="18"/>
              </w:rPr>
              <w:t>water</w:t>
            </w:r>
            <w:r w:rsidRPr="00EC75B7">
              <w:rPr>
                <w:rFonts w:ascii="Verdana" w:hAnsi="Verdana"/>
                <w:sz w:val="18"/>
                <w:szCs w:val="18"/>
              </w:rPr>
              <w:t xml:space="preserve"> quality</w:t>
            </w:r>
          </w:p>
        </w:tc>
        <w:tc>
          <w:tcPr>
            <w:tcW w:w="924" w:type="dxa"/>
          </w:tcPr>
          <w:p w14:paraId="03618469"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4F215B9A" w14:textId="77777777" w:rsidR="008715BE" w:rsidRPr="00EC75B7" w:rsidRDefault="00000000">
            <w:pPr>
              <w:pStyle w:val="TableParagraph"/>
              <w:spacing w:line="195" w:lineRule="exact"/>
              <w:ind w:right="121"/>
              <w:jc w:val="center"/>
              <w:rPr>
                <w:rFonts w:ascii="Verdana" w:hAnsi="Verdana"/>
                <w:sz w:val="18"/>
                <w:szCs w:val="18"/>
              </w:rPr>
            </w:pPr>
            <w:r w:rsidRPr="00EC75B7">
              <w:rPr>
                <w:rFonts w:ascii="Verdana" w:hAnsi="Verdana"/>
                <w:spacing w:val="-2"/>
                <w:sz w:val="18"/>
                <w:szCs w:val="18"/>
              </w:rPr>
              <w:t>Indirect</w:t>
            </w:r>
          </w:p>
        </w:tc>
        <w:tc>
          <w:tcPr>
            <w:tcW w:w="682" w:type="dxa"/>
          </w:tcPr>
          <w:p w14:paraId="4DC40A4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Yes</w:t>
            </w:r>
          </w:p>
        </w:tc>
        <w:tc>
          <w:tcPr>
            <w:tcW w:w="1186" w:type="dxa"/>
          </w:tcPr>
          <w:p w14:paraId="74CAE569"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229" w:type="dxa"/>
          </w:tcPr>
          <w:p w14:paraId="26CFE003"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Intermittent</w:t>
            </w:r>
          </w:p>
        </w:tc>
        <w:tc>
          <w:tcPr>
            <w:tcW w:w="790" w:type="dxa"/>
          </w:tcPr>
          <w:p w14:paraId="0FD1981A" w14:textId="77777777" w:rsidR="008715BE" w:rsidRPr="00EC75B7" w:rsidRDefault="00000000">
            <w:pPr>
              <w:pStyle w:val="TableParagraph"/>
              <w:spacing w:line="195" w:lineRule="exact"/>
              <w:ind w:right="59"/>
              <w:jc w:val="center"/>
              <w:rPr>
                <w:rFonts w:ascii="Verdana" w:hAnsi="Verdana"/>
                <w:sz w:val="18"/>
                <w:szCs w:val="18"/>
              </w:rPr>
            </w:pPr>
            <w:r w:rsidRPr="00EC75B7">
              <w:rPr>
                <w:rFonts w:ascii="Verdana" w:hAnsi="Verdana"/>
                <w:spacing w:val="-2"/>
                <w:sz w:val="18"/>
                <w:szCs w:val="18"/>
              </w:rPr>
              <w:t>Local</w:t>
            </w:r>
          </w:p>
        </w:tc>
        <w:tc>
          <w:tcPr>
            <w:tcW w:w="1184" w:type="dxa"/>
          </w:tcPr>
          <w:p w14:paraId="76C4DC15"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Probable</w:t>
            </w:r>
          </w:p>
        </w:tc>
        <w:tc>
          <w:tcPr>
            <w:tcW w:w="1090" w:type="dxa"/>
          </w:tcPr>
          <w:p w14:paraId="793C0C22" w14:textId="77777777" w:rsidR="008715BE" w:rsidRPr="00EC75B7" w:rsidRDefault="00000000">
            <w:pPr>
              <w:pStyle w:val="TableParagraph"/>
              <w:spacing w:line="195" w:lineRule="exact"/>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0FAA73F5" w14:textId="77777777" w:rsidR="008715BE" w:rsidRPr="00EC75B7" w:rsidRDefault="00000000">
            <w:pPr>
              <w:pStyle w:val="TableParagraph"/>
              <w:spacing w:line="195" w:lineRule="exact"/>
              <w:ind w:left="13" w:right="31"/>
              <w:jc w:val="center"/>
              <w:rPr>
                <w:rFonts w:ascii="Verdana" w:hAnsi="Verdana"/>
                <w:sz w:val="18"/>
                <w:szCs w:val="18"/>
              </w:rPr>
            </w:pPr>
            <w:r w:rsidRPr="00EC75B7">
              <w:rPr>
                <w:rFonts w:ascii="Verdana" w:hAnsi="Verdana"/>
                <w:spacing w:val="-2"/>
                <w:sz w:val="18"/>
                <w:szCs w:val="18"/>
              </w:rPr>
              <w:t>Insignificant</w:t>
            </w:r>
          </w:p>
        </w:tc>
        <w:tc>
          <w:tcPr>
            <w:tcW w:w="5103" w:type="dxa"/>
          </w:tcPr>
          <w:p w14:paraId="192F3E5F"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 xml:space="preserve">Road construction works, which also involve the handling of earth and loose materials, can lead to the deposition of dust sediments on the surface water and can have an impact on surface water quality. This type of negative impact is estimated to be </w:t>
            </w:r>
            <w:r w:rsidRPr="00EC75B7">
              <w:rPr>
                <w:rFonts w:ascii="Verdana" w:hAnsi="Verdana"/>
                <w:spacing w:val="-2"/>
                <w:sz w:val="18"/>
                <w:szCs w:val="18"/>
              </w:rPr>
              <w:t>insignificant.</w:t>
            </w:r>
          </w:p>
          <w:p w14:paraId="4478771D" w14:textId="77777777" w:rsidR="008715BE" w:rsidRPr="00EC75B7" w:rsidRDefault="00000000">
            <w:pPr>
              <w:pStyle w:val="TableParagraph"/>
              <w:ind w:left="102" w:right="83"/>
              <w:rPr>
                <w:rFonts w:ascii="Verdana" w:hAnsi="Verdana"/>
                <w:sz w:val="18"/>
                <w:szCs w:val="18"/>
              </w:rPr>
            </w:pPr>
            <w:r w:rsidRPr="00EC75B7">
              <w:rPr>
                <w:rFonts w:ascii="Verdana" w:hAnsi="Verdana"/>
                <w:sz w:val="18"/>
                <w:szCs w:val="18"/>
              </w:rPr>
              <w:t>During periods of weather phenomena such as showers, winds, and rains, soil displacement resulting from construction work may occur, followed by its transport into surface waters, which may favor the occurrence of potential pollution.</w:t>
            </w:r>
            <w:r w:rsidRPr="00EC75B7">
              <w:rPr>
                <w:rFonts w:ascii="Verdana" w:hAnsi="Verdana"/>
                <w:spacing w:val="-10"/>
                <w:sz w:val="18"/>
                <w:szCs w:val="18"/>
              </w:rPr>
              <w:t xml:space="preserve"> </w:t>
            </w:r>
            <w:r w:rsidRPr="00EC75B7">
              <w:rPr>
                <w:rFonts w:ascii="Verdana" w:hAnsi="Verdana"/>
                <w:sz w:val="18"/>
                <w:szCs w:val="18"/>
              </w:rPr>
              <w:t>The impact generated by these phenomena is estimated to be insignificant, limited to the work fronts, with the impact</w:t>
            </w:r>
          </w:p>
          <w:p w14:paraId="5C7E5AA4" w14:textId="77777777" w:rsidR="008715BE" w:rsidRPr="00EC75B7" w:rsidRDefault="00000000">
            <w:pPr>
              <w:pStyle w:val="TableParagraph"/>
              <w:spacing w:line="171" w:lineRule="exact"/>
              <w:ind w:left="102"/>
              <w:rPr>
                <w:rFonts w:ascii="Verdana" w:hAnsi="Verdana"/>
                <w:sz w:val="18"/>
                <w:szCs w:val="18"/>
              </w:rPr>
            </w:pPr>
            <w:r w:rsidRPr="00EC75B7">
              <w:rPr>
                <w:rFonts w:ascii="Verdana" w:hAnsi="Verdana"/>
                <w:sz w:val="18"/>
                <w:szCs w:val="18"/>
              </w:rPr>
              <w:t xml:space="preserve">being felt over </w:t>
            </w:r>
            <w:r w:rsidRPr="00EC75B7">
              <w:rPr>
                <w:rFonts w:ascii="Verdana" w:hAnsi="Verdana"/>
                <w:spacing w:val="-2"/>
                <w:sz w:val="18"/>
                <w:szCs w:val="18"/>
              </w:rPr>
              <w:t xml:space="preserve">small </w:t>
            </w:r>
            <w:r w:rsidRPr="00EC75B7">
              <w:rPr>
                <w:rFonts w:ascii="Verdana" w:hAnsi="Verdana"/>
                <w:sz w:val="18"/>
                <w:szCs w:val="18"/>
              </w:rPr>
              <w:t>areas</w:t>
            </w:r>
            <w:r w:rsidRPr="00EC75B7">
              <w:rPr>
                <w:rFonts w:ascii="Verdana" w:hAnsi="Verdana"/>
                <w:spacing w:val="-2"/>
                <w:sz w:val="18"/>
                <w:szCs w:val="18"/>
              </w:rPr>
              <w:t>.</w:t>
            </w:r>
          </w:p>
        </w:tc>
      </w:tr>
      <w:tr w:rsidR="008715BE" w:rsidRPr="00EC75B7" w14:paraId="58B4D926" w14:textId="77777777">
        <w:trPr>
          <w:trHeight w:val="2138"/>
        </w:trPr>
        <w:tc>
          <w:tcPr>
            <w:tcW w:w="725" w:type="dxa"/>
            <w:vMerge/>
            <w:tcBorders>
              <w:top w:val="nil"/>
            </w:tcBorders>
            <w:textDirection w:val="btLr"/>
          </w:tcPr>
          <w:p w14:paraId="15B4E496" w14:textId="77777777" w:rsidR="008715BE" w:rsidRPr="00EC75B7" w:rsidRDefault="008715BE">
            <w:pPr>
              <w:rPr>
                <w:rFonts w:ascii="Verdana" w:hAnsi="Verdana"/>
                <w:sz w:val="18"/>
                <w:szCs w:val="18"/>
              </w:rPr>
            </w:pPr>
          </w:p>
        </w:tc>
        <w:tc>
          <w:tcPr>
            <w:tcW w:w="2607" w:type="dxa"/>
          </w:tcPr>
          <w:p w14:paraId="57B20BDB" w14:textId="77777777" w:rsidR="008715BE" w:rsidRPr="00EC75B7" w:rsidRDefault="00000000">
            <w:pPr>
              <w:pStyle w:val="TableParagraph"/>
              <w:ind w:left="105"/>
              <w:rPr>
                <w:rFonts w:ascii="Verdana" w:hAnsi="Verdana"/>
                <w:b/>
                <w:sz w:val="18"/>
                <w:szCs w:val="18"/>
              </w:rPr>
            </w:pPr>
            <w:r w:rsidRPr="00EC75B7">
              <w:rPr>
                <w:rFonts w:ascii="Verdana" w:hAnsi="Verdana"/>
                <w:b/>
                <w:spacing w:val="-2"/>
                <w:sz w:val="18"/>
                <w:szCs w:val="18"/>
              </w:rPr>
              <w:t xml:space="preserve">Operation of machinery/vehicles </w:t>
            </w:r>
            <w:r w:rsidRPr="00EC75B7">
              <w:rPr>
                <w:rFonts w:ascii="Verdana" w:hAnsi="Verdana"/>
                <w:b/>
                <w:sz w:val="18"/>
                <w:szCs w:val="18"/>
              </w:rPr>
              <w:t xml:space="preserve">necessary for </w:t>
            </w:r>
            <w:r w:rsidRPr="00EC75B7">
              <w:rPr>
                <w:rFonts w:ascii="Verdana" w:hAnsi="Verdana"/>
                <w:b/>
                <w:spacing w:val="-2"/>
                <w:sz w:val="18"/>
                <w:szCs w:val="18"/>
              </w:rPr>
              <w:t>the execution of</w:t>
            </w:r>
          </w:p>
        </w:tc>
        <w:tc>
          <w:tcPr>
            <w:tcW w:w="2444" w:type="dxa"/>
          </w:tcPr>
          <w:p w14:paraId="647DC7B1" w14:textId="77777777" w:rsidR="008715BE" w:rsidRPr="00EC75B7" w:rsidRDefault="00000000">
            <w:pPr>
              <w:pStyle w:val="TableParagraph"/>
              <w:ind w:left="107" w:right="102"/>
              <w:rPr>
                <w:rFonts w:ascii="Verdana" w:hAnsi="Verdana"/>
                <w:sz w:val="18"/>
                <w:szCs w:val="18"/>
              </w:rPr>
            </w:pPr>
            <w:r w:rsidRPr="00EC75B7">
              <w:rPr>
                <w:rFonts w:ascii="Verdana" w:hAnsi="Verdana"/>
                <w:sz w:val="18"/>
                <w:szCs w:val="18"/>
              </w:rPr>
              <w:t>Petroleum product leaks from machinery - Pollutant emissions into water</w:t>
            </w:r>
          </w:p>
        </w:tc>
        <w:tc>
          <w:tcPr>
            <w:tcW w:w="1901" w:type="dxa"/>
          </w:tcPr>
          <w:p w14:paraId="4862CA29" w14:textId="77777777" w:rsidR="008715BE" w:rsidRPr="00EC75B7" w:rsidRDefault="00000000">
            <w:pPr>
              <w:pStyle w:val="TableParagraph"/>
              <w:ind w:left="104"/>
              <w:rPr>
                <w:rFonts w:ascii="Verdana" w:hAnsi="Verdana"/>
                <w:sz w:val="18"/>
                <w:szCs w:val="18"/>
              </w:rPr>
            </w:pPr>
            <w:r w:rsidRPr="00EC75B7">
              <w:rPr>
                <w:rFonts w:ascii="Verdana" w:hAnsi="Verdana"/>
                <w:spacing w:val="-2"/>
                <w:sz w:val="18"/>
                <w:szCs w:val="18"/>
              </w:rPr>
              <w:t xml:space="preserve">Changes in </w:t>
            </w:r>
            <w:r w:rsidRPr="00EC75B7">
              <w:rPr>
                <w:rFonts w:ascii="Verdana" w:hAnsi="Verdana"/>
                <w:spacing w:val="-4"/>
                <w:sz w:val="18"/>
                <w:szCs w:val="18"/>
              </w:rPr>
              <w:t>water</w:t>
            </w:r>
            <w:r w:rsidRPr="00EC75B7">
              <w:rPr>
                <w:rFonts w:ascii="Verdana" w:hAnsi="Verdana"/>
                <w:spacing w:val="-2"/>
                <w:sz w:val="18"/>
                <w:szCs w:val="18"/>
              </w:rPr>
              <w:t xml:space="preserve"> quality</w:t>
            </w:r>
          </w:p>
        </w:tc>
        <w:tc>
          <w:tcPr>
            <w:tcW w:w="924" w:type="dxa"/>
          </w:tcPr>
          <w:p w14:paraId="10F26036"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3D61BEE0" w14:textId="77777777" w:rsidR="008715BE" w:rsidRPr="00EC75B7" w:rsidRDefault="00000000">
            <w:pPr>
              <w:pStyle w:val="TableParagraph"/>
              <w:spacing w:line="195" w:lineRule="exact"/>
              <w:ind w:right="265"/>
              <w:jc w:val="center"/>
              <w:rPr>
                <w:rFonts w:ascii="Verdana" w:hAnsi="Verdana"/>
                <w:sz w:val="18"/>
                <w:szCs w:val="18"/>
              </w:rPr>
            </w:pPr>
            <w:r w:rsidRPr="00EC75B7">
              <w:rPr>
                <w:rFonts w:ascii="Verdana" w:hAnsi="Verdana"/>
                <w:spacing w:val="-2"/>
                <w:sz w:val="18"/>
                <w:szCs w:val="18"/>
              </w:rPr>
              <w:t>Direct</w:t>
            </w:r>
          </w:p>
        </w:tc>
        <w:tc>
          <w:tcPr>
            <w:tcW w:w="682" w:type="dxa"/>
          </w:tcPr>
          <w:p w14:paraId="69E4673F"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Yes</w:t>
            </w:r>
          </w:p>
        </w:tc>
        <w:tc>
          <w:tcPr>
            <w:tcW w:w="1186" w:type="dxa"/>
          </w:tcPr>
          <w:p w14:paraId="7A59CDD9"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229" w:type="dxa"/>
          </w:tcPr>
          <w:p w14:paraId="623B0899"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Accidental</w:t>
            </w:r>
          </w:p>
        </w:tc>
        <w:tc>
          <w:tcPr>
            <w:tcW w:w="790" w:type="dxa"/>
          </w:tcPr>
          <w:p w14:paraId="0DC5BEB6" w14:textId="77777777" w:rsidR="008715BE" w:rsidRPr="00EC75B7" w:rsidRDefault="00000000">
            <w:pPr>
              <w:pStyle w:val="TableParagraph"/>
              <w:spacing w:line="195" w:lineRule="exact"/>
              <w:ind w:right="59"/>
              <w:jc w:val="center"/>
              <w:rPr>
                <w:rFonts w:ascii="Verdana" w:hAnsi="Verdana"/>
                <w:sz w:val="18"/>
                <w:szCs w:val="18"/>
              </w:rPr>
            </w:pPr>
            <w:r w:rsidRPr="00EC75B7">
              <w:rPr>
                <w:rFonts w:ascii="Verdana" w:hAnsi="Verdana"/>
                <w:spacing w:val="-2"/>
                <w:sz w:val="18"/>
                <w:szCs w:val="18"/>
              </w:rPr>
              <w:t>Local</w:t>
            </w:r>
          </w:p>
        </w:tc>
        <w:tc>
          <w:tcPr>
            <w:tcW w:w="1184" w:type="dxa"/>
          </w:tcPr>
          <w:p w14:paraId="7631F985"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Unlikely</w:t>
            </w:r>
          </w:p>
        </w:tc>
        <w:tc>
          <w:tcPr>
            <w:tcW w:w="1090" w:type="dxa"/>
          </w:tcPr>
          <w:p w14:paraId="763E665D" w14:textId="77777777" w:rsidR="008715BE" w:rsidRPr="00EC75B7" w:rsidRDefault="00000000">
            <w:pPr>
              <w:pStyle w:val="TableParagraph"/>
              <w:spacing w:line="195" w:lineRule="exact"/>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52E9F226" w14:textId="77777777" w:rsidR="008715BE" w:rsidRPr="00EC75B7" w:rsidRDefault="00000000">
            <w:pPr>
              <w:pStyle w:val="TableParagraph"/>
              <w:spacing w:line="195" w:lineRule="exact"/>
              <w:ind w:left="13" w:right="31"/>
              <w:jc w:val="center"/>
              <w:rPr>
                <w:rFonts w:ascii="Verdana" w:hAnsi="Verdana"/>
                <w:sz w:val="18"/>
                <w:szCs w:val="18"/>
              </w:rPr>
            </w:pPr>
            <w:r w:rsidRPr="00EC75B7">
              <w:rPr>
                <w:rFonts w:ascii="Verdana" w:hAnsi="Verdana"/>
                <w:spacing w:val="-2"/>
                <w:sz w:val="18"/>
                <w:szCs w:val="18"/>
              </w:rPr>
              <w:t>Insignificant</w:t>
            </w:r>
          </w:p>
        </w:tc>
        <w:tc>
          <w:tcPr>
            <w:tcW w:w="5103" w:type="dxa"/>
          </w:tcPr>
          <w:p w14:paraId="73FB7916" w14:textId="77777777" w:rsidR="008715BE" w:rsidRPr="00EC75B7" w:rsidRDefault="00000000">
            <w:pPr>
              <w:pStyle w:val="TableParagraph"/>
              <w:ind w:left="102" w:right="99"/>
              <w:jc w:val="both"/>
              <w:rPr>
                <w:rFonts w:ascii="Verdana" w:hAnsi="Verdana"/>
                <w:sz w:val="18"/>
                <w:szCs w:val="18"/>
              </w:rPr>
            </w:pPr>
            <w:r w:rsidRPr="00EC75B7">
              <w:rPr>
                <w:rFonts w:ascii="Verdana" w:hAnsi="Verdana"/>
                <w:sz w:val="18"/>
                <w:szCs w:val="18"/>
              </w:rPr>
              <w:t>The quality of surface waters could be affected during the execution period only in the event of accidental spills of fuel or oil from vehicles used to transport materials and machinery involved in carrying out works along the work fronts in the vicinity of watercourses</w:t>
            </w:r>
            <w:r w:rsidRPr="00EC75B7">
              <w:rPr>
                <w:rFonts w:ascii="Verdana" w:hAnsi="Verdana"/>
                <w:spacing w:val="-3"/>
                <w:sz w:val="18"/>
                <w:szCs w:val="18"/>
              </w:rPr>
              <w:t xml:space="preserve"> </w:t>
            </w:r>
            <w:r w:rsidRPr="00EC75B7">
              <w:rPr>
                <w:rFonts w:ascii="Verdana" w:hAnsi="Verdana"/>
                <w:sz w:val="18"/>
                <w:szCs w:val="18"/>
              </w:rPr>
              <w:t>(especially in areas where water crossings are proposed).</w:t>
            </w:r>
          </w:p>
          <w:p w14:paraId="116146AB" w14:textId="77777777" w:rsidR="008715BE" w:rsidRPr="00EC75B7" w:rsidRDefault="00000000">
            <w:pPr>
              <w:pStyle w:val="TableParagraph"/>
              <w:ind w:left="102" w:right="276"/>
              <w:rPr>
                <w:rFonts w:ascii="Verdana" w:hAnsi="Verdana"/>
                <w:sz w:val="18"/>
                <w:szCs w:val="18"/>
              </w:rPr>
            </w:pPr>
            <w:r w:rsidRPr="00EC75B7">
              <w:rPr>
                <w:rFonts w:ascii="Verdana" w:hAnsi="Verdana"/>
                <w:sz w:val="18"/>
                <w:szCs w:val="18"/>
              </w:rPr>
              <w:t>To avoid such situations, periodic technical checks of the operating condition of the machinery/vehicles will be ensured and measures and materials for</w:t>
            </w:r>
          </w:p>
          <w:p w14:paraId="5BE0C365" w14:textId="77777777" w:rsidR="008715BE" w:rsidRPr="00EC75B7" w:rsidRDefault="00000000">
            <w:pPr>
              <w:pStyle w:val="TableParagraph"/>
              <w:spacing w:line="172" w:lineRule="exact"/>
              <w:ind w:left="102"/>
              <w:rPr>
                <w:rFonts w:ascii="Verdana" w:hAnsi="Verdana"/>
                <w:sz w:val="18"/>
                <w:szCs w:val="18"/>
              </w:rPr>
            </w:pPr>
            <w:r w:rsidRPr="00EC75B7">
              <w:rPr>
                <w:rFonts w:ascii="Verdana" w:hAnsi="Verdana"/>
                <w:sz w:val="18"/>
                <w:szCs w:val="18"/>
              </w:rPr>
              <w:t xml:space="preserve">intervention measures and materials in the event of </w:t>
            </w:r>
            <w:r w:rsidRPr="00EC75B7">
              <w:rPr>
                <w:rFonts w:ascii="Verdana" w:hAnsi="Verdana"/>
                <w:spacing w:val="-2"/>
                <w:sz w:val="18"/>
                <w:szCs w:val="18"/>
              </w:rPr>
              <w:t>accidents.</w:t>
            </w:r>
          </w:p>
        </w:tc>
      </w:tr>
      <w:tr w:rsidR="008715BE" w:rsidRPr="00EC75B7" w14:paraId="44D0FC9D" w14:textId="77777777">
        <w:trPr>
          <w:trHeight w:val="1165"/>
        </w:trPr>
        <w:tc>
          <w:tcPr>
            <w:tcW w:w="725" w:type="dxa"/>
            <w:vMerge/>
            <w:tcBorders>
              <w:top w:val="nil"/>
            </w:tcBorders>
            <w:textDirection w:val="btLr"/>
          </w:tcPr>
          <w:p w14:paraId="2CFB7061" w14:textId="77777777" w:rsidR="008715BE" w:rsidRPr="00EC75B7" w:rsidRDefault="008715BE">
            <w:pPr>
              <w:rPr>
                <w:rFonts w:ascii="Verdana" w:hAnsi="Verdana"/>
                <w:sz w:val="18"/>
                <w:szCs w:val="18"/>
              </w:rPr>
            </w:pPr>
          </w:p>
        </w:tc>
        <w:tc>
          <w:tcPr>
            <w:tcW w:w="2607" w:type="dxa"/>
            <w:vMerge w:val="restart"/>
          </w:tcPr>
          <w:p w14:paraId="45131074" w14:textId="77777777" w:rsidR="008715BE" w:rsidRPr="00EC75B7" w:rsidRDefault="00000000">
            <w:pPr>
              <w:pStyle w:val="TableParagraph"/>
              <w:spacing w:line="194" w:lineRule="exact"/>
              <w:ind w:left="105"/>
              <w:rPr>
                <w:rFonts w:ascii="Verdana" w:hAnsi="Verdana"/>
                <w:b/>
                <w:sz w:val="18"/>
                <w:szCs w:val="18"/>
              </w:rPr>
            </w:pPr>
            <w:r w:rsidRPr="00EC75B7">
              <w:rPr>
                <w:rFonts w:ascii="Verdana" w:hAnsi="Verdana"/>
                <w:b/>
                <w:sz w:val="18"/>
                <w:szCs w:val="18"/>
              </w:rPr>
              <w:t xml:space="preserve">Construction of technological </w:t>
            </w:r>
            <w:r w:rsidRPr="00EC75B7">
              <w:rPr>
                <w:rFonts w:ascii="Verdana" w:hAnsi="Verdana"/>
                <w:b/>
                <w:spacing w:val="-2"/>
                <w:sz w:val="18"/>
                <w:szCs w:val="18"/>
              </w:rPr>
              <w:t>platforms</w:t>
            </w:r>
          </w:p>
          <w:p w14:paraId="076B1C78" w14:textId="77777777" w:rsidR="008715BE" w:rsidRPr="00EC75B7" w:rsidRDefault="00000000">
            <w:pPr>
              <w:pStyle w:val="TableParagraph"/>
              <w:spacing w:line="195" w:lineRule="exact"/>
              <w:ind w:left="105"/>
              <w:rPr>
                <w:rFonts w:ascii="Verdana" w:hAnsi="Verdana"/>
                <w:b/>
                <w:sz w:val="18"/>
                <w:szCs w:val="18"/>
              </w:rPr>
            </w:pPr>
            <w:r w:rsidRPr="00EC75B7">
              <w:rPr>
                <w:rFonts w:ascii="Verdana" w:hAnsi="Verdana"/>
                <w:b/>
                <w:sz w:val="18"/>
                <w:szCs w:val="18"/>
              </w:rPr>
              <w:t xml:space="preserve">and </w:t>
            </w:r>
            <w:r w:rsidRPr="00EC75B7">
              <w:rPr>
                <w:rFonts w:ascii="Verdana" w:hAnsi="Verdana"/>
                <w:b/>
                <w:spacing w:val="-2"/>
                <w:sz w:val="18"/>
                <w:szCs w:val="18"/>
              </w:rPr>
              <w:t>foundations</w:t>
            </w:r>
          </w:p>
        </w:tc>
        <w:tc>
          <w:tcPr>
            <w:tcW w:w="2444" w:type="dxa"/>
          </w:tcPr>
          <w:p w14:paraId="332FD168"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Construction of foundations for </w:t>
            </w:r>
            <w:r w:rsidRPr="00EC75B7">
              <w:rPr>
                <w:rFonts w:ascii="Verdana" w:hAnsi="Verdana"/>
                <w:spacing w:val="-2"/>
                <w:sz w:val="18"/>
                <w:szCs w:val="18"/>
              </w:rPr>
              <w:t>turbines</w:t>
            </w:r>
          </w:p>
        </w:tc>
        <w:tc>
          <w:tcPr>
            <w:tcW w:w="1901" w:type="dxa"/>
          </w:tcPr>
          <w:p w14:paraId="4C8143E5" w14:textId="77777777" w:rsidR="008715BE" w:rsidRPr="00EC75B7" w:rsidRDefault="00000000">
            <w:pPr>
              <w:pStyle w:val="TableParagraph"/>
              <w:ind w:left="104" w:right="126"/>
              <w:rPr>
                <w:rFonts w:ascii="Verdana" w:hAnsi="Verdana"/>
                <w:sz w:val="18"/>
                <w:szCs w:val="18"/>
              </w:rPr>
            </w:pPr>
            <w:r w:rsidRPr="00EC75B7">
              <w:rPr>
                <w:rFonts w:ascii="Verdana" w:hAnsi="Verdana"/>
                <w:sz w:val="18"/>
                <w:szCs w:val="18"/>
              </w:rPr>
              <w:t>Physical changes to the geological substrate that may cause surface losses</w:t>
            </w:r>
          </w:p>
          <w:p w14:paraId="16167C1D" w14:textId="77777777" w:rsidR="008715BE" w:rsidRPr="00EC75B7" w:rsidRDefault="00000000">
            <w:pPr>
              <w:pStyle w:val="TableParagraph"/>
              <w:spacing w:line="170" w:lineRule="exact"/>
              <w:ind w:left="104"/>
              <w:rPr>
                <w:rFonts w:ascii="Verdana" w:hAnsi="Verdana"/>
                <w:sz w:val="18"/>
                <w:szCs w:val="18"/>
              </w:rPr>
            </w:pPr>
            <w:r w:rsidRPr="00EC75B7">
              <w:rPr>
                <w:rFonts w:ascii="Verdana" w:hAnsi="Verdana"/>
                <w:spacing w:val="-2"/>
                <w:sz w:val="18"/>
                <w:szCs w:val="18"/>
              </w:rPr>
              <w:t xml:space="preserve">groundwater </w:t>
            </w:r>
            <w:r w:rsidRPr="00EC75B7">
              <w:rPr>
                <w:rFonts w:ascii="Verdana" w:hAnsi="Verdana"/>
                <w:sz w:val="18"/>
                <w:szCs w:val="18"/>
              </w:rPr>
              <w:t>aquifer</w:t>
            </w:r>
          </w:p>
        </w:tc>
        <w:tc>
          <w:tcPr>
            <w:tcW w:w="924" w:type="dxa"/>
          </w:tcPr>
          <w:p w14:paraId="77A428CB"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6FBDDFCA" w14:textId="77777777" w:rsidR="008715BE" w:rsidRPr="00EC75B7" w:rsidRDefault="00000000">
            <w:pPr>
              <w:pStyle w:val="TableParagraph"/>
              <w:spacing w:line="195" w:lineRule="exact"/>
              <w:ind w:right="121"/>
              <w:jc w:val="center"/>
              <w:rPr>
                <w:rFonts w:ascii="Verdana" w:hAnsi="Verdana"/>
                <w:sz w:val="18"/>
                <w:szCs w:val="18"/>
              </w:rPr>
            </w:pPr>
            <w:r w:rsidRPr="00EC75B7">
              <w:rPr>
                <w:rFonts w:ascii="Verdana" w:hAnsi="Verdana"/>
                <w:spacing w:val="-2"/>
                <w:sz w:val="18"/>
                <w:szCs w:val="18"/>
              </w:rPr>
              <w:t>Indirect</w:t>
            </w:r>
          </w:p>
        </w:tc>
        <w:tc>
          <w:tcPr>
            <w:tcW w:w="682" w:type="dxa"/>
          </w:tcPr>
          <w:p w14:paraId="623F45E3"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No</w:t>
            </w:r>
          </w:p>
        </w:tc>
        <w:tc>
          <w:tcPr>
            <w:tcW w:w="1186" w:type="dxa"/>
          </w:tcPr>
          <w:p w14:paraId="3068F8E5"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Permanent</w:t>
            </w:r>
          </w:p>
        </w:tc>
        <w:tc>
          <w:tcPr>
            <w:tcW w:w="1229" w:type="dxa"/>
          </w:tcPr>
          <w:p w14:paraId="46214474"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4"/>
                <w:sz w:val="18"/>
                <w:szCs w:val="18"/>
              </w:rPr>
              <w:t>Single</w:t>
            </w:r>
          </w:p>
        </w:tc>
        <w:tc>
          <w:tcPr>
            <w:tcW w:w="790" w:type="dxa"/>
          </w:tcPr>
          <w:p w14:paraId="054BF920" w14:textId="77777777" w:rsidR="008715BE" w:rsidRPr="00EC75B7" w:rsidRDefault="00000000">
            <w:pPr>
              <w:pStyle w:val="TableParagraph"/>
              <w:spacing w:line="195" w:lineRule="exact"/>
              <w:ind w:right="59"/>
              <w:jc w:val="center"/>
              <w:rPr>
                <w:rFonts w:ascii="Verdana" w:hAnsi="Verdana"/>
                <w:sz w:val="18"/>
                <w:szCs w:val="18"/>
              </w:rPr>
            </w:pPr>
            <w:r w:rsidRPr="00EC75B7">
              <w:rPr>
                <w:rFonts w:ascii="Verdana" w:hAnsi="Verdana"/>
                <w:spacing w:val="-2"/>
                <w:sz w:val="18"/>
                <w:szCs w:val="18"/>
              </w:rPr>
              <w:t>Local</w:t>
            </w:r>
          </w:p>
        </w:tc>
        <w:tc>
          <w:tcPr>
            <w:tcW w:w="1184" w:type="dxa"/>
          </w:tcPr>
          <w:p w14:paraId="4EA0F214"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Unlikely</w:t>
            </w:r>
          </w:p>
        </w:tc>
        <w:tc>
          <w:tcPr>
            <w:tcW w:w="1090" w:type="dxa"/>
          </w:tcPr>
          <w:p w14:paraId="0F73BE9D" w14:textId="77777777" w:rsidR="008715BE" w:rsidRPr="00EC75B7" w:rsidRDefault="00000000">
            <w:pPr>
              <w:pStyle w:val="TableParagraph"/>
              <w:spacing w:line="195" w:lineRule="exact"/>
              <w:ind w:left="24" w:right="86"/>
              <w:jc w:val="center"/>
              <w:rPr>
                <w:rFonts w:ascii="Verdana" w:hAnsi="Verdana"/>
                <w:sz w:val="18"/>
                <w:szCs w:val="18"/>
              </w:rPr>
            </w:pPr>
            <w:r w:rsidRPr="00EC75B7">
              <w:rPr>
                <w:rFonts w:ascii="Verdana" w:hAnsi="Verdana"/>
                <w:spacing w:val="-2"/>
                <w:sz w:val="18"/>
                <w:szCs w:val="18"/>
              </w:rPr>
              <w:t>Irreversible</w:t>
            </w:r>
          </w:p>
        </w:tc>
        <w:tc>
          <w:tcPr>
            <w:tcW w:w="1419" w:type="dxa"/>
          </w:tcPr>
          <w:p w14:paraId="66643C3D" w14:textId="77777777" w:rsidR="008715BE" w:rsidRPr="00EC75B7" w:rsidRDefault="00000000">
            <w:pPr>
              <w:pStyle w:val="TableParagraph"/>
              <w:spacing w:line="195" w:lineRule="exact"/>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val="restart"/>
          </w:tcPr>
          <w:p w14:paraId="2E67DAA2" w14:textId="77777777" w:rsidR="008715BE" w:rsidRPr="00EC75B7" w:rsidRDefault="00000000">
            <w:pPr>
              <w:pStyle w:val="TableParagraph"/>
              <w:spacing w:line="194" w:lineRule="exact"/>
              <w:ind w:left="102"/>
              <w:rPr>
                <w:rFonts w:ascii="Verdana" w:hAnsi="Verdana"/>
                <w:sz w:val="18"/>
                <w:szCs w:val="18"/>
              </w:rPr>
            </w:pPr>
            <w:r w:rsidRPr="00EC75B7">
              <w:rPr>
                <w:rFonts w:ascii="Verdana" w:hAnsi="Verdana"/>
                <w:sz w:val="18"/>
                <w:szCs w:val="18"/>
              </w:rPr>
              <w:t xml:space="preserve">The foundation depth is a maximum of 5 </w:t>
            </w:r>
            <w:r w:rsidRPr="00EC75B7">
              <w:rPr>
                <w:rFonts w:ascii="Verdana" w:hAnsi="Verdana"/>
                <w:spacing w:val="-5"/>
                <w:sz w:val="18"/>
                <w:szCs w:val="18"/>
              </w:rPr>
              <w:t>m.</w:t>
            </w:r>
          </w:p>
          <w:p w14:paraId="613B56F6"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The excavation works will not affect the quality of groundwater in the area and will not cause quantitative changes, as they will be carried out at a shallow depth, where no interception with groundwater in the area is expected.</w:t>
            </w:r>
          </w:p>
          <w:p w14:paraId="3C83FA9A" w14:textId="77777777" w:rsidR="008715BE" w:rsidRPr="00EC75B7" w:rsidRDefault="00000000">
            <w:pPr>
              <w:pStyle w:val="TableParagraph"/>
              <w:ind w:left="102"/>
              <w:rPr>
                <w:rFonts w:ascii="Verdana" w:hAnsi="Verdana"/>
                <w:sz w:val="18"/>
                <w:szCs w:val="18"/>
              </w:rPr>
            </w:pPr>
            <w:r w:rsidRPr="00EC75B7">
              <w:rPr>
                <w:rFonts w:ascii="Verdana" w:hAnsi="Verdana"/>
                <w:sz w:val="18"/>
                <w:szCs w:val="18"/>
              </w:rPr>
              <w:t>During periods of meteorological phenomena such as showers, winds, and rains, soil displacement resulting from construction works may occur, followed by</w:t>
            </w:r>
          </w:p>
          <w:p w14:paraId="2E31BA9E" w14:textId="77777777" w:rsidR="008715BE" w:rsidRPr="00EC75B7" w:rsidRDefault="00000000">
            <w:pPr>
              <w:pStyle w:val="TableParagraph"/>
              <w:spacing w:line="174" w:lineRule="exact"/>
              <w:ind w:left="102"/>
              <w:rPr>
                <w:rFonts w:ascii="Verdana" w:hAnsi="Verdana"/>
                <w:sz w:val="18"/>
                <w:szCs w:val="18"/>
              </w:rPr>
            </w:pPr>
            <w:r w:rsidRPr="00EC75B7">
              <w:rPr>
                <w:rFonts w:ascii="Verdana" w:hAnsi="Verdana"/>
                <w:sz w:val="18"/>
                <w:szCs w:val="18"/>
              </w:rPr>
              <w:t xml:space="preserve">transportation to surface waters, </w:t>
            </w:r>
            <w:r w:rsidRPr="00EC75B7">
              <w:rPr>
                <w:rFonts w:ascii="Verdana" w:hAnsi="Verdana"/>
                <w:spacing w:val="-4"/>
                <w:sz w:val="18"/>
                <w:szCs w:val="18"/>
              </w:rPr>
              <w:t>which</w:t>
            </w:r>
          </w:p>
        </w:tc>
      </w:tr>
      <w:tr w:rsidR="008715BE" w:rsidRPr="00EC75B7" w14:paraId="6EC36F86" w14:textId="77777777">
        <w:trPr>
          <w:trHeight w:val="770"/>
        </w:trPr>
        <w:tc>
          <w:tcPr>
            <w:tcW w:w="725" w:type="dxa"/>
            <w:vMerge/>
            <w:tcBorders>
              <w:top w:val="nil"/>
            </w:tcBorders>
            <w:textDirection w:val="btLr"/>
          </w:tcPr>
          <w:p w14:paraId="2077FC3D" w14:textId="77777777" w:rsidR="008715BE" w:rsidRPr="00EC75B7" w:rsidRDefault="008715BE">
            <w:pPr>
              <w:rPr>
                <w:rFonts w:ascii="Verdana" w:hAnsi="Verdana"/>
                <w:sz w:val="18"/>
                <w:szCs w:val="18"/>
              </w:rPr>
            </w:pPr>
          </w:p>
        </w:tc>
        <w:tc>
          <w:tcPr>
            <w:tcW w:w="2607" w:type="dxa"/>
            <w:vMerge/>
            <w:tcBorders>
              <w:top w:val="nil"/>
            </w:tcBorders>
          </w:tcPr>
          <w:p w14:paraId="36146489" w14:textId="77777777" w:rsidR="008715BE" w:rsidRPr="00EC75B7" w:rsidRDefault="008715BE">
            <w:pPr>
              <w:rPr>
                <w:rFonts w:ascii="Verdana" w:hAnsi="Verdana"/>
                <w:sz w:val="18"/>
                <w:szCs w:val="18"/>
              </w:rPr>
            </w:pPr>
          </w:p>
        </w:tc>
        <w:tc>
          <w:tcPr>
            <w:tcW w:w="2444" w:type="dxa"/>
          </w:tcPr>
          <w:p w14:paraId="4761B456" w14:textId="77777777" w:rsidR="008715BE" w:rsidRPr="00EC75B7" w:rsidRDefault="00000000">
            <w:pPr>
              <w:pStyle w:val="TableParagraph"/>
              <w:ind w:left="107" w:right="686"/>
              <w:rPr>
                <w:rFonts w:ascii="Verdana" w:hAnsi="Verdana"/>
                <w:sz w:val="18"/>
                <w:szCs w:val="18"/>
              </w:rPr>
            </w:pPr>
            <w:r w:rsidRPr="00EC75B7">
              <w:rPr>
                <w:rFonts w:ascii="Verdana" w:hAnsi="Verdana"/>
                <w:sz w:val="18"/>
                <w:szCs w:val="18"/>
              </w:rPr>
              <w:t xml:space="preserve">Excavations, fillings, </w:t>
            </w:r>
            <w:r w:rsidRPr="00EC75B7">
              <w:rPr>
                <w:rFonts w:ascii="Verdana" w:hAnsi="Verdana"/>
                <w:spacing w:val="-2"/>
                <w:sz w:val="18"/>
                <w:szCs w:val="18"/>
              </w:rPr>
              <w:t>compaction</w:t>
            </w:r>
          </w:p>
        </w:tc>
        <w:tc>
          <w:tcPr>
            <w:tcW w:w="1901" w:type="dxa"/>
          </w:tcPr>
          <w:p w14:paraId="0A50158C" w14:textId="77777777" w:rsidR="008715BE" w:rsidRPr="00EC75B7" w:rsidRDefault="00000000">
            <w:pPr>
              <w:pStyle w:val="TableParagraph"/>
              <w:ind w:left="104" w:right="214"/>
              <w:jc w:val="both"/>
              <w:rPr>
                <w:rFonts w:ascii="Verdana" w:hAnsi="Verdana"/>
                <w:sz w:val="18"/>
                <w:szCs w:val="18"/>
              </w:rPr>
            </w:pPr>
            <w:r w:rsidRPr="00EC75B7">
              <w:rPr>
                <w:rFonts w:ascii="Verdana" w:hAnsi="Verdana"/>
                <w:sz w:val="18"/>
                <w:szCs w:val="18"/>
              </w:rPr>
              <w:t xml:space="preserve">Dust emissions that can alter the quality of </w:t>
            </w:r>
            <w:r w:rsidRPr="00EC75B7">
              <w:rPr>
                <w:rFonts w:ascii="Verdana" w:hAnsi="Verdana"/>
                <w:spacing w:val="-2"/>
                <w:sz w:val="18"/>
                <w:szCs w:val="18"/>
              </w:rPr>
              <w:t xml:space="preserve">surface </w:t>
            </w:r>
            <w:r w:rsidRPr="00EC75B7">
              <w:rPr>
                <w:rFonts w:ascii="Verdana" w:hAnsi="Verdana"/>
                <w:sz w:val="18"/>
                <w:szCs w:val="18"/>
              </w:rPr>
              <w:t>water</w:t>
            </w:r>
          </w:p>
        </w:tc>
        <w:tc>
          <w:tcPr>
            <w:tcW w:w="924" w:type="dxa"/>
          </w:tcPr>
          <w:p w14:paraId="3D574838" w14:textId="77777777" w:rsidR="008715BE" w:rsidRPr="00EC75B7" w:rsidRDefault="00000000">
            <w:pPr>
              <w:pStyle w:val="TableParagraph"/>
              <w:spacing w:line="195" w:lineRule="exact"/>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587A5433" w14:textId="77777777" w:rsidR="008715BE" w:rsidRPr="00EC75B7" w:rsidRDefault="00000000">
            <w:pPr>
              <w:pStyle w:val="TableParagraph"/>
              <w:spacing w:line="195" w:lineRule="exact"/>
              <w:ind w:right="121"/>
              <w:jc w:val="center"/>
              <w:rPr>
                <w:rFonts w:ascii="Verdana" w:hAnsi="Verdana"/>
                <w:sz w:val="18"/>
                <w:szCs w:val="18"/>
              </w:rPr>
            </w:pPr>
            <w:r w:rsidRPr="00EC75B7">
              <w:rPr>
                <w:rFonts w:ascii="Verdana" w:hAnsi="Verdana"/>
                <w:spacing w:val="-2"/>
                <w:sz w:val="18"/>
                <w:szCs w:val="18"/>
              </w:rPr>
              <w:t>Indirect</w:t>
            </w:r>
          </w:p>
        </w:tc>
        <w:tc>
          <w:tcPr>
            <w:tcW w:w="682" w:type="dxa"/>
          </w:tcPr>
          <w:p w14:paraId="67FD09C8"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Yes</w:t>
            </w:r>
          </w:p>
        </w:tc>
        <w:tc>
          <w:tcPr>
            <w:tcW w:w="1186" w:type="dxa"/>
          </w:tcPr>
          <w:p w14:paraId="716D3504"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Short</w:t>
            </w:r>
          </w:p>
        </w:tc>
        <w:tc>
          <w:tcPr>
            <w:tcW w:w="1229" w:type="dxa"/>
          </w:tcPr>
          <w:p w14:paraId="0597C1D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Intermittent</w:t>
            </w:r>
          </w:p>
        </w:tc>
        <w:tc>
          <w:tcPr>
            <w:tcW w:w="790" w:type="dxa"/>
          </w:tcPr>
          <w:p w14:paraId="29F4BB83" w14:textId="77777777" w:rsidR="008715BE" w:rsidRPr="00EC75B7" w:rsidRDefault="00000000">
            <w:pPr>
              <w:pStyle w:val="TableParagraph"/>
              <w:spacing w:line="195" w:lineRule="exact"/>
              <w:ind w:right="59"/>
              <w:jc w:val="center"/>
              <w:rPr>
                <w:rFonts w:ascii="Verdana" w:hAnsi="Verdana"/>
                <w:sz w:val="18"/>
                <w:szCs w:val="18"/>
              </w:rPr>
            </w:pPr>
            <w:r w:rsidRPr="00EC75B7">
              <w:rPr>
                <w:rFonts w:ascii="Verdana" w:hAnsi="Verdana"/>
                <w:spacing w:val="-2"/>
                <w:sz w:val="18"/>
                <w:szCs w:val="18"/>
              </w:rPr>
              <w:t>Local</w:t>
            </w:r>
          </w:p>
        </w:tc>
        <w:tc>
          <w:tcPr>
            <w:tcW w:w="1184" w:type="dxa"/>
          </w:tcPr>
          <w:p w14:paraId="2CCA58F9"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Probable</w:t>
            </w:r>
          </w:p>
        </w:tc>
        <w:tc>
          <w:tcPr>
            <w:tcW w:w="1090" w:type="dxa"/>
          </w:tcPr>
          <w:p w14:paraId="69C40DC3" w14:textId="77777777" w:rsidR="008715BE" w:rsidRPr="00EC75B7" w:rsidRDefault="00000000">
            <w:pPr>
              <w:pStyle w:val="TableParagraph"/>
              <w:spacing w:line="195" w:lineRule="exact"/>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2150F2B8" w14:textId="77777777" w:rsidR="008715BE" w:rsidRPr="00EC75B7" w:rsidRDefault="00000000">
            <w:pPr>
              <w:pStyle w:val="TableParagraph"/>
              <w:spacing w:line="195" w:lineRule="exact"/>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tcBorders>
              <w:top w:val="nil"/>
            </w:tcBorders>
          </w:tcPr>
          <w:p w14:paraId="397C4081" w14:textId="77777777" w:rsidR="008715BE" w:rsidRPr="00EC75B7" w:rsidRDefault="008715BE">
            <w:pPr>
              <w:rPr>
                <w:rFonts w:ascii="Verdana" w:hAnsi="Verdana"/>
                <w:sz w:val="18"/>
                <w:szCs w:val="18"/>
              </w:rPr>
            </w:pPr>
          </w:p>
        </w:tc>
      </w:tr>
    </w:tbl>
    <w:p w14:paraId="5A9A5FA3" w14:textId="77777777" w:rsidR="008715BE" w:rsidRPr="00EC75B7" w:rsidRDefault="008715BE">
      <w:pPr>
        <w:rPr>
          <w:rFonts w:ascii="Verdana" w:hAnsi="Verdana"/>
          <w:sz w:val="18"/>
          <w:szCs w:val="18"/>
        </w:rPr>
        <w:sectPr w:rsidR="008715BE" w:rsidRPr="00EC75B7">
          <w:headerReference w:type="default" r:id="rId206"/>
          <w:footerReference w:type="default" r:id="rId207"/>
          <w:pgSz w:w="23820" w:h="16840" w:orient="landscape"/>
          <w:pgMar w:top="1160" w:right="566" w:bottom="1020" w:left="850" w:header="766" w:footer="824" w:gutter="0"/>
          <w:cols w:space="708"/>
        </w:sectPr>
      </w:pPr>
    </w:p>
    <w:p w14:paraId="6F53E912" w14:textId="77777777" w:rsidR="008715BE" w:rsidRPr="00EC75B7" w:rsidRDefault="008715BE">
      <w:pPr>
        <w:pStyle w:val="BodyText"/>
        <w:spacing w:before="3"/>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607"/>
        <w:gridCol w:w="2444"/>
        <w:gridCol w:w="1901"/>
        <w:gridCol w:w="924"/>
        <w:gridCol w:w="972"/>
        <w:gridCol w:w="682"/>
        <w:gridCol w:w="1186"/>
        <w:gridCol w:w="1229"/>
        <w:gridCol w:w="790"/>
        <w:gridCol w:w="1184"/>
        <w:gridCol w:w="1090"/>
        <w:gridCol w:w="1419"/>
        <w:gridCol w:w="5103"/>
      </w:tblGrid>
      <w:tr w:rsidR="008715BE" w:rsidRPr="00EC75B7" w14:paraId="613C11A7" w14:textId="77777777">
        <w:trPr>
          <w:trHeight w:val="1550"/>
        </w:trPr>
        <w:tc>
          <w:tcPr>
            <w:tcW w:w="725" w:type="dxa"/>
            <w:shd w:val="clear" w:color="auto" w:fill="00AFEF"/>
          </w:tcPr>
          <w:p w14:paraId="01215739" w14:textId="77777777" w:rsidR="008715BE" w:rsidRPr="00EC75B7" w:rsidRDefault="008715BE">
            <w:pPr>
              <w:pStyle w:val="TableParagraph"/>
              <w:rPr>
                <w:rFonts w:ascii="Verdana" w:hAnsi="Verdana"/>
                <w:b/>
                <w:sz w:val="18"/>
                <w:szCs w:val="18"/>
              </w:rPr>
            </w:pPr>
          </w:p>
          <w:p w14:paraId="771BC699" w14:textId="77777777" w:rsidR="008715BE" w:rsidRPr="00EC75B7" w:rsidRDefault="008715BE">
            <w:pPr>
              <w:pStyle w:val="TableParagraph"/>
              <w:rPr>
                <w:rFonts w:ascii="Verdana" w:hAnsi="Verdana"/>
                <w:b/>
                <w:sz w:val="18"/>
                <w:szCs w:val="18"/>
              </w:rPr>
            </w:pPr>
          </w:p>
          <w:p w14:paraId="7F9ED1D1" w14:textId="77777777" w:rsidR="008715BE" w:rsidRPr="00EC75B7" w:rsidRDefault="008715BE">
            <w:pPr>
              <w:pStyle w:val="TableParagraph"/>
              <w:spacing w:before="101"/>
              <w:rPr>
                <w:rFonts w:ascii="Verdana" w:hAnsi="Verdana"/>
                <w:b/>
                <w:sz w:val="18"/>
                <w:szCs w:val="18"/>
              </w:rPr>
            </w:pPr>
          </w:p>
          <w:p w14:paraId="0AE43C6F"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607" w:type="dxa"/>
            <w:shd w:val="clear" w:color="auto" w:fill="00AFEF"/>
          </w:tcPr>
          <w:p w14:paraId="70EF2B63" w14:textId="77777777" w:rsidR="008715BE" w:rsidRPr="00EC75B7" w:rsidRDefault="008715BE">
            <w:pPr>
              <w:pStyle w:val="TableParagraph"/>
              <w:rPr>
                <w:rFonts w:ascii="Verdana" w:hAnsi="Verdana"/>
                <w:b/>
                <w:sz w:val="18"/>
                <w:szCs w:val="18"/>
              </w:rPr>
            </w:pPr>
          </w:p>
          <w:p w14:paraId="22607698" w14:textId="77777777" w:rsidR="008715BE" w:rsidRPr="00EC75B7" w:rsidRDefault="008715BE">
            <w:pPr>
              <w:pStyle w:val="TableParagraph"/>
              <w:rPr>
                <w:rFonts w:ascii="Verdana" w:hAnsi="Verdana"/>
                <w:b/>
                <w:sz w:val="18"/>
                <w:szCs w:val="18"/>
              </w:rPr>
            </w:pPr>
          </w:p>
          <w:p w14:paraId="69B261FC" w14:textId="77777777" w:rsidR="008715BE" w:rsidRPr="00EC75B7" w:rsidRDefault="008715BE">
            <w:pPr>
              <w:pStyle w:val="TableParagraph"/>
              <w:spacing w:before="101"/>
              <w:rPr>
                <w:rFonts w:ascii="Verdana" w:hAnsi="Verdana"/>
                <w:b/>
                <w:sz w:val="18"/>
                <w:szCs w:val="18"/>
              </w:rPr>
            </w:pPr>
          </w:p>
          <w:p w14:paraId="7B65E64C" w14:textId="77777777" w:rsidR="008715BE" w:rsidRPr="00EC75B7" w:rsidRDefault="00000000">
            <w:pPr>
              <w:pStyle w:val="TableParagraph"/>
              <w:spacing w:before="1"/>
              <w:ind w:right="304"/>
              <w:jc w:val="right"/>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444" w:type="dxa"/>
            <w:shd w:val="clear" w:color="auto" w:fill="00AFEF"/>
          </w:tcPr>
          <w:p w14:paraId="0F40E514" w14:textId="77777777" w:rsidR="008715BE" w:rsidRPr="00EC75B7" w:rsidRDefault="008715BE">
            <w:pPr>
              <w:pStyle w:val="TableParagraph"/>
              <w:rPr>
                <w:rFonts w:ascii="Verdana" w:hAnsi="Verdana"/>
                <w:b/>
                <w:sz w:val="18"/>
                <w:szCs w:val="18"/>
              </w:rPr>
            </w:pPr>
          </w:p>
          <w:p w14:paraId="47A0E04B" w14:textId="77777777" w:rsidR="008715BE" w:rsidRPr="00EC75B7" w:rsidRDefault="008715BE">
            <w:pPr>
              <w:pStyle w:val="TableParagraph"/>
              <w:rPr>
                <w:rFonts w:ascii="Verdana" w:hAnsi="Verdana"/>
                <w:b/>
                <w:sz w:val="18"/>
                <w:szCs w:val="18"/>
              </w:rPr>
            </w:pPr>
          </w:p>
          <w:p w14:paraId="01C987A6" w14:textId="77777777" w:rsidR="008715BE" w:rsidRPr="00EC75B7" w:rsidRDefault="008715BE">
            <w:pPr>
              <w:pStyle w:val="TableParagraph"/>
              <w:spacing w:before="101"/>
              <w:rPr>
                <w:rFonts w:ascii="Verdana" w:hAnsi="Verdana"/>
                <w:b/>
                <w:sz w:val="18"/>
                <w:szCs w:val="18"/>
              </w:rPr>
            </w:pPr>
          </w:p>
          <w:p w14:paraId="2B659C16" w14:textId="77777777" w:rsidR="008715BE" w:rsidRPr="00EC75B7" w:rsidRDefault="00000000">
            <w:pPr>
              <w:pStyle w:val="TableParagraph"/>
              <w:spacing w:before="1"/>
              <w:ind w:left="9"/>
              <w:jc w:val="center"/>
              <w:rPr>
                <w:rFonts w:ascii="Verdana" w:hAnsi="Verdana"/>
                <w:b/>
                <w:sz w:val="18"/>
                <w:szCs w:val="18"/>
              </w:rPr>
            </w:pPr>
            <w:r w:rsidRPr="00EC75B7">
              <w:rPr>
                <w:rFonts w:ascii="Verdana" w:hAnsi="Verdana"/>
                <w:b/>
                <w:color w:val="FFFFFF"/>
                <w:spacing w:val="-2"/>
                <w:sz w:val="18"/>
                <w:szCs w:val="18"/>
              </w:rPr>
              <w:t>Effects</w:t>
            </w:r>
          </w:p>
        </w:tc>
        <w:tc>
          <w:tcPr>
            <w:tcW w:w="1901" w:type="dxa"/>
            <w:shd w:val="clear" w:color="auto" w:fill="00AFEF"/>
          </w:tcPr>
          <w:p w14:paraId="7421B4FC" w14:textId="77777777" w:rsidR="008715BE" w:rsidRPr="00EC75B7" w:rsidRDefault="008715BE">
            <w:pPr>
              <w:pStyle w:val="TableParagraph"/>
              <w:rPr>
                <w:rFonts w:ascii="Verdana" w:hAnsi="Verdana"/>
                <w:b/>
                <w:sz w:val="18"/>
                <w:szCs w:val="18"/>
              </w:rPr>
            </w:pPr>
          </w:p>
          <w:p w14:paraId="4C2912D8" w14:textId="77777777" w:rsidR="008715BE" w:rsidRPr="00EC75B7" w:rsidRDefault="008715BE">
            <w:pPr>
              <w:pStyle w:val="TableParagraph"/>
              <w:rPr>
                <w:rFonts w:ascii="Verdana" w:hAnsi="Verdana"/>
                <w:b/>
                <w:sz w:val="18"/>
                <w:szCs w:val="18"/>
              </w:rPr>
            </w:pPr>
          </w:p>
          <w:p w14:paraId="5EC4C681" w14:textId="77777777" w:rsidR="008715BE" w:rsidRPr="00EC75B7" w:rsidRDefault="008715BE">
            <w:pPr>
              <w:pStyle w:val="TableParagraph"/>
              <w:spacing w:before="3"/>
              <w:rPr>
                <w:rFonts w:ascii="Verdana" w:hAnsi="Verdana"/>
                <w:b/>
                <w:sz w:val="18"/>
                <w:szCs w:val="18"/>
              </w:rPr>
            </w:pPr>
          </w:p>
          <w:p w14:paraId="3E001B21" w14:textId="77777777" w:rsidR="008715BE" w:rsidRPr="00EC75B7" w:rsidRDefault="00000000">
            <w:pPr>
              <w:pStyle w:val="TableParagraph"/>
              <w:spacing w:line="195" w:lineRule="exact"/>
              <w:ind w:left="10" w:right="9"/>
              <w:jc w:val="center"/>
              <w:rPr>
                <w:rFonts w:ascii="Verdana" w:hAnsi="Verdana"/>
                <w:b/>
                <w:sz w:val="18"/>
                <w:szCs w:val="18"/>
              </w:rPr>
            </w:pPr>
            <w:r w:rsidRPr="00EC75B7">
              <w:rPr>
                <w:rFonts w:ascii="Verdana" w:hAnsi="Verdana"/>
                <w:b/>
                <w:color w:val="FFFFFF"/>
                <w:spacing w:val="-2"/>
                <w:sz w:val="18"/>
                <w:szCs w:val="18"/>
              </w:rPr>
              <w:t xml:space="preserve">Potential </w:t>
            </w:r>
            <w:r w:rsidRPr="00EC75B7">
              <w:rPr>
                <w:rFonts w:ascii="Verdana" w:hAnsi="Verdana"/>
                <w:b/>
                <w:color w:val="FFFFFF"/>
                <w:sz w:val="18"/>
                <w:szCs w:val="18"/>
              </w:rPr>
              <w:t>forms</w:t>
            </w:r>
          </w:p>
          <w:p w14:paraId="251D99C8" w14:textId="77777777" w:rsidR="008715BE" w:rsidRPr="00EC75B7" w:rsidRDefault="00000000">
            <w:pPr>
              <w:pStyle w:val="TableParagraph"/>
              <w:spacing w:line="195" w:lineRule="exact"/>
              <w:ind w:left="10" w:right="6"/>
              <w:jc w:val="center"/>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7BA14A7F" w14:textId="77777777" w:rsidR="008715BE" w:rsidRPr="00EC75B7" w:rsidRDefault="008715BE">
            <w:pPr>
              <w:pStyle w:val="TableParagraph"/>
              <w:spacing w:before="176"/>
              <w:rPr>
                <w:rFonts w:ascii="Verdana" w:hAnsi="Verdana"/>
                <w:b/>
                <w:sz w:val="18"/>
                <w:szCs w:val="18"/>
              </w:rPr>
            </w:pPr>
          </w:p>
          <w:p w14:paraId="75B3D6DB" w14:textId="77777777" w:rsidR="008715BE" w:rsidRPr="00EC75B7" w:rsidRDefault="00000000">
            <w:pPr>
              <w:pStyle w:val="TableParagraph"/>
              <w:spacing w:before="1"/>
              <w:ind w:left="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2" w:type="dxa"/>
            <w:shd w:val="clear" w:color="auto" w:fill="00AFEF"/>
            <w:textDirection w:val="btLr"/>
          </w:tcPr>
          <w:p w14:paraId="0F467EFB" w14:textId="77777777" w:rsidR="008715BE" w:rsidRPr="00EC75B7" w:rsidRDefault="008715BE">
            <w:pPr>
              <w:pStyle w:val="TableParagraph"/>
              <w:spacing w:before="100"/>
              <w:rPr>
                <w:rFonts w:ascii="Verdana" w:hAnsi="Verdana"/>
                <w:b/>
                <w:sz w:val="18"/>
                <w:szCs w:val="18"/>
              </w:rPr>
            </w:pPr>
          </w:p>
          <w:p w14:paraId="1E821A8F" w14:textId="77777777" w:rsidR="008715BE" w:rsidRPr="00EC75B7" w:rsidRDefault="00000000">
            <w:pPr>
              <w:pStyle w:val="TableParagraph"/>
              <w:spacing w:line="244" w:lineRule="auto"/>
              <w:ind w:left="299" w:right="296" w:firstLine="165"/>
              <w:rPr>
                <w:rFonts w:ascii="Verdana" w:hAnsi="Verdana"/>
                <w:b/>
                <w:sz w:val="18"/>
                <w:szCs w:val="18"/>
              </w:rPr>
            </w:pPr>
            <w:r w:rsidRPr="00EC75B7">
              <w:rPr>
                <w:rFonts w:ascii="Verdana" w:hAnsi="Verdana"/>
                <w:b/>
                <w:color w:val="FFFFFF"/>
                <w:spacing w:val="-2"/>
                <w:sz w:val="18"/>
                <w:szCs w:val="18"/>
              </w:rPr>
              <w:t>Nature of impact</w:t>
            </w:r>
          </w:p>
        </w:tc>
        <w:tc>
          <w:tcPr>
            <w:tcW w:w="682" w:type="dxa"/>
            <w:shd w:val="clear" w:color="auto" w:fill="00AFEF"/>
            <w:textDirection w:val="btLr"/>
          </w:tcPr>
          <w:p w14:paraId="00419C58" w14:textId="77777777" w:rsidR="008715BE" w:rsidRPr="00EC75B7" w:rsidRDefault="00000000">
            <w:pPr>
              <w:pStyle w:val="TableParagraph"/>
              <w:spacing w:before="149"/>
              <w:ind w:left="369"/>
              <w:rPr>
                <w:rFonts w:ascii="Verdana" w:hAnsi="Verdana"/>
                <w:b/>
                <w:sz w:val="18"/>
                <w:szCs w:val="18"/>
              </w:rPr>
            </w:pPr>
            <w:r w:rsidRPr="00EC75B7">
              <w:rPr>
                <w:rFonts w:ascii="Verdana" w:hAnsi="Verdana"/>
                <w:b/>
                <w:color w:val="FFFFFF"/>
                <w:spacing w:val="-2"/>
                <w:sz w:val="18"/>
                <w:szCs w:val="18"/>
              </w:rPr>
              <w:t>Potential</w:t>
            </w:r>
          </w:p>
          <w:p w14:paraId="70179EE1" w14:textId="77777777" w:rsidR="008715BE" w:rsidRPr="00EC75B7" w:rsidRDefault="00000000">
            <w:pPr>
              <w:pStyle w:val="TableParagraph"/>
              <w:spacing w:before="4"/>
              <w:ind w:left="330"/>
              <w:rPr>
                <w:rFonts w:ascii="Verdana" w:hAnsi="Verdana"/>
                <w:b/>
                <w:sz w:val="18"/>
                <w:szCs w:val="18"/>
              </w:rPr>
            </w:pPr>
            <w:r w:rsidRPr="00EC75B7">
              <w:rPr>
                <w:rFonts w:ascii="Verdana" w:hAnsi="Verdana"/>
                <w:b/>
                <w:color w:val="FFFFFF"/>
                <w:spacing w:val="-2"/>
                <w:sz w:val="18"/>
                <w:szCs w:val="18"/>
              </w:rPr>
              <w:t>Cumulative</w:t>
            </w:r>
          </w:p>
        </w:tc>
        <w:tc>
          <w:tcPr>
            <w:tcW w:w="1186" w:type="dxa"/>
            <w:shd w:val="clear" w:color="auto" w:fill="00AFEF"/>
            <w:textDirection w:val="btLr"/>
          </w:tcPr>
          <w:p w14:paraId="5536FF72" w14:textId="77777777" w:rsidR="008715BE" w:rsidRPr="00EC75B7" w:rsidRDefault="008715BE">
            <w:pPr>
              <w:pStyle w:val="TableParagraph"/>
              <w:rPr>
                <w:rFonts w:ascii="Verdana" w:hAnsi="Verdana"/>
                <w:b/>
                <w:sz w:val="18"/>
                <w:szCs w:val="18"/>
              </w:rPr>
            </w:pPr>
          </w:p>
          <w:p w14:paraId="39F29B3F" w14:textId="77777777" w:rsidR="008715BE" w:rsidRPr="00EC75B7" w:rsidRDefault="008715BE">
            <w:pPr>
              <w:pStyle w:val="TableParagraph"/>
              <w:spacing w:before="111"/>
              <w:rPr>
                <w:rFonts w:ascii="Verdana" w:hAnsi="Verdana"/>
                <w:b/>
                <w:sz w:val="18"/>
                <w:szCs w:val="18"/>
              </w:rPr>
            </w:pPr>
          </w:p>
          <w:p w14:paraId="2B3A89C5" w14:textId="77777777" w:rsidR="008715BE" w:rsidRPr="00EC75B7" w:rsidRDefault="00000000">
            <w:pPr>
              <w:pStyle w:val="TableParagraph"/>
              <w:ind w:left="467"/>
              <w:rPr>
                <w:rFonts w:ascii="Verdana" w:hAnsi="Verdana"/>
                <w:b/>
                <w:sz w:val="18"/>
                <w:szCs w:val="18"/>
              </w:rPr>
            </w:pPr>
            <w:r w:rsidRPr="00EC75B7">
              <w:rPr>
                <w:rFonts w:ascii="Verdana" w:hAnsi="Verdana"/>
                <w:b/>
                <w:color w:val="FFFFFF"/>
                <w:spacing w:val="-2"/>
                <w:sz w:val="18"/>
                <w:szCs w:val="18"/>
              </w:rPr>
              <w:t>Duration</w:t>
            </w:r>
          </w:p>
        </w:tc>
        <w:tc>
          <w:tcPr>
            <w:tcW w:w="1229" w:type="dxa"/>
            <w:shd w:val="clear" w:color="auto" w:fill="00AFEF"/>
            <w:textDirection w:val="btLr"/>
          </w:tcPr>
          <w:p w14:paraId="7FC401C9" w14:textId="77777777" w:rsidR="008715BE" w:rsidRPr="00EC75B7" w:rsidRDefault="008715BE">
            <w:pPr>
              <w:pStyle w:val="TableParagraph"/>
              <w:rPr>
                <w:rFonts w:ascii="Verdana" w:hAnsi="Verdana"/>
                <w:b/>
                <w:sz w:val="18"/>
                <w:szCs w:val="18"/>
              </w:rPr>
            </w:pPr>
          </w:p>
          <w:p w14:paraId="1D857734" w14:textId="77777777" w:rsidR="008715BE" w:rsidRPr="00EC75B7" w:rsidRDefault="008715BE">
            <w:pPr>
              <w:pStyle w:val="TableParagraph"/>
              <w:spacing w:before="31"/>
              <w:rPr>
                <w:rFonts w:ascii="Verdana" w:hAnsi="Verdana"/>
                <w:b/>
                <w:sz w:val="18"/>
                <w:szCs w:val="18"/>
              </w:rPr>
            </w:pPr>
          </w:p>
          <w:p w14:paraId="243AD10C" w14:textId="77777777" w:rsidR="008715BE" w:rsidRPr="00EC75B7" w:rsidRDefault="00000000">
            <w:pPr>
              <w:pStyle w:val="TableParagraph"/>
              <w:spacing w:line="244" w:lineRule="auto"/>
              <w:ind w:left="42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90" w:type="dxa"/>
            <w:shd w:val="clear" w:color="auto" w:fill="00AFEF"/>
            <w:textDirection w:val="btLr"/>
          </w:tcPr>
          <w:p w14:paraId="7F7273F3" w14:textId="77777777" w:rsidR="008715BE" w:rsidRPr="00EC75B7" w:rsidRDefault="008715BE">
            <w:pPr>
              <w:pStyle w:val="TableParagraph"/>
              <w:spacing w:before="106"/>
              <w:rPr>
                <w:rFonts w:ascii="Verdana" w:hAnsi="Verdana"/>
                <w:b/>
                <w:sz w:val="18"/>
                <w:szCs w:val="18"/>
              </w:rPr>
            </w:pPr>
          </w:p>
          <w:p w14:paraId="64D73320" w14:textId="77777777" w:rsidR="008715BE" w:rsidRPr="00EC75B7" w:rsidRDefault="00000000">
            <w:pPr>
              <w:pStyle w:val="TableParagraph"/>
              <w:ind w:left="290"/>
              <w:rPr>
                <w:rFonts w:ascii="Verdana" w:hAnsi="Verdana"/>
                <w:b/>
                <w:sz w:val="18"/>
                <w:szCs w:val="18"/>
              </w:rPr>
            </w:pPr>
            <w:r w:rsidRPr="00EC75B7">
              <w:rPr>
                <w:rFonts w:ascii="Verdana" w:hAnsi="Verdana"/>
                <w:b/>
                <w:color w:val="FFFFFF"/>
                <w:spacing w:val="-2"/>
                <w:sz w:val="18"/>
                <w:szCs w:val="18"/>
              </w:rPr>
              <w:t>Extent</w:t>
            </w:r>
          </w:p>
        </w:tc>
        <w:tc>
          <w:tcPr>
            <w:tcW w:w="1184" w:type="dxa"/>
            <w:shd w:val="clear" w:color="auto" w:fill="00AFEF"/>
            <w:textDirection w:val="btLr"/>
          </w:tcPr>
          <w:p w14:paraId="2ED14A96" w14:textId="77777777" w:rsidR="008715BE" w:rsidRPr="00EC75B7" w:rsidRDefault="008715BE">
            <w:pPr>
              <w:pStyle w:val="TableParagraph"/>
              <w:rPr>
                <w:rFonts w:ascii="Verdana" w:hAnsi="Verdana"/>
                <w:b/>
                <w:sz w:val="18"/>
                <w:szCs w:val="18"/>
              </w:rPr>
            </w:pPr>
          </w:p>
          <w:p w14:paraId="2E272EEA" w14:textId="77777777" w:rsidR="008715BE" w:rsidRPr="00EC75B7" w:rsidRDefault="008715BE">
            <w:pPr>
              <w:pStyle w:val="TableParagraph"/>
              <w:spacing w:before="107"/>
              <w:rPr>
                <w:rFonts w:ascii="Verdana" w:hAnsi="Verdana"/>
                <w:b/>
                <w:sz w:val="18"/>
                <w:szCs w:val="18"/>
              </w:rPr>
            </w:pPr>
          </w:p>
          <w:p w14:paraId="303F995B" w14:textId="77777777" w:rsidR="008715BE" w:rsidRPr="00EC75B7" w:rsidRDefault="00000000">
            <w:pPr>
              <w:pStyle w:val="TableParagraph"/>
              <w:spacing w:before="1"/>
              <w:ind w:left="141"/>
              <w:rPr>
                <w:rFonts w:ascii="Verdana" w:hAnsi="Verdana"/>
                <w:b/>
                <w:sz w:val="18"/>
                <w:szCs w:val="18"/>
              </w:rPr>
            </w:pPr>
            <w:r w:rsidRPr="00EC75B7">
              <w:rPr>
                <w:rFonts w:ascii="Verdana" w:hAnsi="Verdana"/>
                <w:b/>
                <w:color w:val="FFFFFF"/>
                <w:spacing w:val="-2"/>
                <w:sz w:val="18"/>
                <w:szCs w:val="18"/>
              </w:rPr>
              <w:t>Probability</w:t>
            </w:r>
          </w:p>
        </w:tc>
        <w:tc>
          <w:tcPr>
            <w:tcW w:w="1090" w:type="dxa"/>
            <w:shd w:val="clear" w:color="auto" w:fill="00AFEF"/>
            <w:textDirection w:val="btLr"/>
          </w:tcPr>
          <w:p w14:paraId="12EB0371" w14:textId="77777777" w:rsidR="008715BE" w:rsidRPr="00EC75B7" w:rsidRDefault="008715BE">
            <w:pPr>
              <w:pStyle w:val="TableParagraph"/>
              <w:rPr>
                <w:rFonts w:ascii="Verdana" w:hAnsi="Verdana"/>
                <w:b/>
                <w:sz w:val="18"/>
                <w:szCs w:val="18"/>
              </w:rPr>
            </w:pPr>
          </w:p>
          <w:p w14:paraId="5CEFAF2F" w14:textId="77777777" w:rsidR="008715BE" w:rsidRPr="00EC75B7" w:rsidRDefault="008715BE">
            <w:pPr>
              <w:pStyle w:val="TableParagraph"/>
              <w:spacing w:before="62"/>
              <w:rPr>
                <w:rFonts w:ascii="Verdana" w:hAnsi="Verdana"/>
                <w:b/>
                <w:sz w:val="18"/>
                <w:szCs w:val="18"/>
              </w:rPr>
            </w:pPr>
          </w:p>
          <w:p w14:paraId="7220938F" w14:textId="77777777" w:rsidR="008715BE" w:rsidRPr="00EC75B7" w:rsidRDefault="00000000">
            <w:pPr>
              <w:pStyle w:val="TableParagraph"/>
              <w:ind w:left="66"/>
              <w:rPr>
                <w:rFonts w:ascii="Verdana" w:hAnsi="Verdana"/>
                <w:b/>
                <w:sz w:val="18"/>
                <w:szCs w:val="18"/>
              </w:rPr>
            </w:pPr>
            <w:r w:rsidRPr="00EC75B7">
              <w:rPr>
                <w:rFonts w:ascii="Verdana" w:hAnsi="Verdana"/>
                <w:b/>
                <w:color w:val="FFFFFF"/>
                <w:spacing w:val="-2"/>
                <w:sz w:val="18"/>
                <w:szCs w:val="18"/>
              </w:rPr>
              <w:t>Reversibility</w:t>
            </w:r>
          </w:p>
        </w:tc>
        <w:tc>
          <w:tcPr>
            <w:tcW w:w="1419" w:type="dxa"/>
            <w:shd w:val="clear" w:color="auto" w:fill="00AFEF"/>
            <w:textDirection w:val="btLr"/>
          </w:tcPr>
          <w:p w14:paraId="66C9CDF5" w14:textId="77777777" w:rsidR="008715BE" w:rsidRPr="00EC75B7" w:rsidRDefault="008715BE">
            <w:pPr>
              <w:pStyle w:val="TableParagraph"/>
              <w:rPr>
                <w:rFonts w:ascii="Verdana" w:hAnsi="Verdana"/>
                <w:b/>
                <w:sz w:val="18"/>
                <w:szCs w:val="18"/>
              </w:rPr>
            </w:pPr>
          </w:p>
          <w:p w14:paraId="66EF1754" w14:textId="77777777" w:rsidR="008715BE" w:rsidRPr="00EC75B7" w:rsidRDefault="008715BE">
            <w:pPr>
              <w:pStyle w:val="TableParagraph"/>
              <w:spacing w:before="126"/>
              <w:rPr>
                <w:rFonts w:ascii="Verdana" w:hAnsi="Verdana"/>
                <w:b/>
                <w:sz w:val="18"/>
                <w:szCs w:val="18"/>
              </w:rPr>
            </w:pPr>
          </w:p>
          <w:p w14:paraId="7D5EDDDC" w14:textId="77777777" w:rsidR="008715BE" w:rsidRPr="00EC75B7" w:rsidRDefault="00000000">
            <w:pPr>
              <w:pStyle w:val="TableParagraph"/>
              <w:ind w:left="215"/>
              <w:rPr>
                <w:rFonts w:ascii="Verdana" w:hAnsi="Verdana"/>
                <w:b/>
                <w:sz w:val="18"/>
                <w:szCs w:val="18"/>
              </w:rPr>
            </w:pPr>
            <w:r w:rsidRPr="00EC75B7">
              <w:rPr>
                <w:rFonts w:ascii="Verdana" w:hAnsi="Verdana"/>
                <w:b/>
                <w:color w:val="FFFFFF"/>
                <w:spacing w:val="-2"/>
                <w:sz w:val="18"/>
                <w:szCs w:val="18"/>
              </w:rPr>
              <w:t>Significance</w:t>
            </w:r>
          </w:p>
          <w:p w14:paraId="3B7233CA" w14:textId="77777777" w:rsidR="008715BE" w:rsidRPr="00EC75B7" w:rsidRDefault="00000000">
            <w:pPr>
              <w:pStyle w:val="TableParagraph"/>
              <w:spacing w:before="4"/>
              <w:ind w:left="299"/>
              <w:rPr>
                <w:rFonts w:ascii="Verdana" w:hAnsi="Verdana"/>
                <w:b/>
                <w:sz w:val="18"/>
                <w:szCs w:val="18"/>
              </w:rPr>
            </w:pPr>
            <w:r w:rsidRPr="00EC75B7">
              <w:rPr>
                <w:rFonts w:ascii="Verdana" w:hAnsi="Verdana"/>
                <w:b/>
                <w:color w:val="FFFFFF"/>
                <w:spacing w:val="-2"/>
                <w:sz w:val="18"/>
                <w:szCs w:val="18"/>
              </w:rPr>
              <w:t>of impact</w:t>
            </w:r>
          </w:p>
        </w:tc>
        <w:tc>
          <w:tcPr>
            <w:tcW w:w="5103" w:type="dxa"/>
            <w:shd w:val="clear" w:color="auto" w:fill="00AFEF"/>
          </w:tcPr>
          <w:p w14:paraId="27399165" w14:textId="77777777" w:rsidR="008715BE" w:rsidRPr="00EC75B7" w:rsidRDefault="008715BE">
            <w:pPr>
              <w:pStyle w:val="TableParagraph"/>
              <w:rPr>
                <w:rFonts w:ascii="Verdana" w:hAnsi="Verdana"/>
                <w:b/>
                <w:sz w:val="18"/>
                <w:szCs w:val="18"/>
              </w:rPr>
            </w:pPr>
          </w:p>
          <w:p w14:paraId="668B8E54" w14:textId="77777777" w:rsidR="008715BE" w:rsidRPr="00EC75B7" w:rsidRDefault="008715BE">
            <w:pPr>
              <w:pStyle w:val="TableParagraph"/>
              <w:rPr>
                <w:rFonts w:ascii="Verdana" w:hAnsi="Verdana"/>
                <w:b/>
                <w:sz w:val="18"/>
                <w:szCs w:val="18"/>
              </w:rPr>
            </w:pPr>
          </w:p>
          <w:p w14:paraId="12E02707" w14:textId="77777777" w:rsidR="008715BE" w:rsidRPr="00EC75B7" w:rsidRDefault="008715BE">
            <w:pPr>
              <w:pStyle w:val="TableParagraph"/>
              <w:spacing w:before="101"/>
              <w:rPr>
                <w:rFonts w:ascii="Verdana" w:hAnsi="Verdana"/>
                <w:b/>
                <w:sz w:val="18"/>
                <w:szCs w:val="18"/>
              </w:rPr>
            </w:pPr>
          </w:p>
          <w:p w14:paraId="3C45EA58" w14:textId="77777777" w:rsidR="008715BE" w:rsidRPr="00EC75B7" w:rsidRDefault="00000000">
            <w:pPr>
              <w:pStyle w:val="TableParagraph"/>
              <w:spacing w:before="1"/>
              <w:ind w:left="6" w:right="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29CDEA6F" w14:textId="77777777">
        <w:trPr>
          <w:trHeight w:val="779"/>
        </w:trPr>
        <w:tc>
          <w:tcPr>
            <w:tcW w:w="725" w:type="dxa"/>
            <w:vMerge w:val="restart"/>
          </w:tcPr>
          <w:p w14:paraId="587E0BC8" w14:textId="77777777" w:rsidR="008715BE" w:rsidRPr="00EC75B7" w:rsidRDefault="008715BE">
            <w:pPr>
              <w:pStyle w:val="TableParagraph"/>
              <w:rPr>
                <w:rFonts w:ascii="Verdana" w:hAnsi="Verdana"/>
                <w:sz w:val="18"/>
                <w:szCs w:val="18"/>
              </w:rPr>
            </w:pPr>
          </w:p>
        </w:tc>
        <w:tc>
          <w:tcPr>
            <w:tcW w:w="2607" w:type="dxa"/>
          </w:tcPr>
          <w:p w14:paraId="7696E8DF" w14:textId="77777777" w:rsidR="008715BE" w:rsidRPr="00EC75B7" w:rsidRDefault="008715BE">
            <w:pPr>
              <w:pStyle w:val="TableParagraph"/>
              <w:rPr>
                <w:rFonts w:ascii="Verdana" w:hAnsi="Verdana"/>
                <w:sz w:val="18"/>
                <w:szCs w:val="18"/>
              </w:rPr>
            </w:pPr>
          </w:p>
        </w:tc>
        <w:tc>
          <w:tcPr>
            <w:tcW w:w="2444" w:type="dxa"/>
          </w:tcPr>
          <w:p w14:paraId="16709E76" w14:textId="77777777" w:rsidR="008715BE" w:rsidRPr="00EC75B7" w:rsidRDefault="008715BE">
            <w:pPr>
              <w:pStyle w:val="TableParagraph"/>
              <w:rPr>
                <w:rFonts w:ascii="Verdana" w:hAnsi="Verdana"/>
                <w:sz w:val="18"/>
                <w:szCs w:val="18"/>
              </w:rPr>
            </w:pPr>
          </w:p>
        </w:tc>
        <w:tc>
          <w:tcPr>
            <w:tcW w:w="1901" w:type="dxa"/>
          </w:tcPr>
          <w:p w14:paraId="797BDA9F" w14:textId="77777777" w:rsidR="008715BE" w:rsidRPr="00EC75B7" w:rsidRDefault="00000000">
            <w:pPr>
              <w:pStyle w:val="TableParagraph"/>
              <w:spacing w:before="10"/>
              <w:ind w:left="104" w:right="377"/>
              <w:rPr>
                <w:rFonts w:ascii="Verdana" w:hAnsi="Verdana"/>
                <w:sz w:val="18"/>
                <w:szCs w:val="18"/>
              </w:rPr>
            </w:pPr>
            <w:r w:rsidRPr="00EC75B7">
              <w:rPr>
                <w:rFonts w:ascii="Verdana" w:hAnsi="Verdana"/>
                <w:spacing w:val="-2"/>
                <w:sz w:val="18"/>
                <w:szCs w:val="18"/>
              </w:rPr>
              <w:t xml:space="preserve">Changes in </w:t>
            </w:r>
            <w:r w:rsidRPr="00EC75B7">
              <w:rPr>
                <w:rFonts w:ascii="Verdana" w:hAnsi="Verdana"/>
                <w:spacing w:val="-4"/>
                <w:sz w:val="18"/>
                <w:szCs w:val="18"/>
              </w:rPr>
              <w:t>water</w:t>
            </w:r>
            <w:r w:rsidRPr="00EC75B7">
              <w:rPr>
                <w:rFonts w:ascii="Verdana" w:hAnsi="Verdana"/>
                <w:spacing w:val="-2"/>
                <w:sz w:val="18"/>
                <w:szCs w:val="18"/>
              </w:rPr>
              <w:t xml:space="preserve"> quality</w:t>
            </w:r>
          </w:p>
        </w:tc>
        <w:tc>
          <w:tcPr>
            <w:tcW w:w="924" w:type="dxa"/>
          </w:tcPr>
          <w:p w14:paraId="1F7F0A16" w14:textId="77777777" w:rsidR="008715BE" w:rsidRPr="00EC75B7" w:rsidRDefault="008715BE">
            <w:pPr>
              <w:pStyle w:val="TableParagraph"/>
              <w:rPr>
                <w:rFonts w:ascii="Verdana" w:hAnsi="Verdana"/>
                <w:sz w:val="18"/>
                <w:szCs w:val="18"/>
              </w:rPr>
            </w:pPr>
          </w:p>
        </w:tc>
        <w:tc>
          <w:tcPr>
            <w:tcW w:w="972" w:type="dxa"/>
          </w:tcPr>
          <w:p w14:paraId="67B2BF70" w14:textId="77777777" w:rsidR="008715BE" w:rsidRPr="00EC75B7" w:rsidRDefault="008715BE">
            <w:pPr>
              <w:pStyle w:val="TableParagraph"/>
              <w:rPr>
                <w:rFonts w:ascii="Verdana" w:hAnsi="Verdana"/>
                <w:sz w:val="18"/>
                <w:szCs w:val="18"/>
              </w:rPr>
            </w:pPr>
          </w:p>
        </w:tc>
        <w:tc>
          <w:tcPr>
            <w:tcW w:w="682" w:type="dxa"/>
          </w:tcPr>
          <w:p w14:paraId="4F671689" w14:textId="77777777" w:rsidR="008715BE" w:rsidRPr="00EC75B7" w:rsidRDefault="008715BE">
            <w:pPr>
              <w:pStyle w:val="TableParagraph"/>
              <w:rPr>
                <w:rFonts w:ascii="Verdana" w:hAnsi="Verdana"/>
                <w:sz w:val="18"/>
                <w:szCs w:val="18"/>
              </w:rPr>
            </w:pPr>
          </w:p>
        </w:tc>
        <w:tc>
          <w:tcPr>
            <w:tcW w:w="1186" w:type="dxa"/>
          </w:tcPr>
          <w:p w14:paraId="40D8605C" w14:textId="77777777" w:rsidR="008715BE" w:rsidRPr="00EC75B7" w:rsidRDefault="008715BE">
            <w:pPr>
              <w:pStyle w:val="TableParagraph"/>
              <w:rPr>
                <w:rFonts w:ascii="Verdana" w:hAnsi="Verdana"/>
                <w:sz w:val="18"/>
                <w:szCs w:val="18"/>
              </w:rPr>
            </w:pPr>
          </w:p>
        </w:tc>
        <w:tc>
          <w:tcPr>
            <w:tcW w:w="1229" w:type="dxa"/>
          </w:tcPr>
          <w:p w14:paraId="47F5740D" w14:textId="77777777" w:rsidR="008715BE" w:rsidRPr="00EC75B7" w:rsidRDefault="008715BE">
            <w:pPr>
              <w:pStyle w:val="TableParagraph"/>
              <w:rPr>
                <w:rFonts w:ascii="Verdana" w:hAnsi="Verdana"/>
                <w:sz w:val="18"/>
                <w:szCs w:val="18"/>
              </w:rPr>
            </w:pPr>
          </w:p>
        </w:tc>
        <w:tc>
          <w:tcPr>
            <w:tcW w:w="790" w:type="dxa"/>
          </w:tcPr>
          <w:p w14:paraId="2E71ED44" w14:textId="77777777" w:rsidR="008715BE" w:rsidRPr="00EC75B7" w:rsidRDefault="008715BE">
            <w:pPr>
              <w:pStyle w:val="TableParagraph"/>
              <w:rPr>
                <w:rFonts w:ascii="Verdana" w:hAnsi="Verdana"/>
                <w:sz w:val="18"/>
                <w:szCs w:val="18"/>
              </w:rPr>
            </w:pPr>
          </w:p>
        </w:tc>
        <w:tc>
          <w:tcPr>
            <w:tcW w:w="1184" w:type="dxa"/>
          </w:tcPr>
          <w:p w14:paraId="63A81BAC" w14:textId="77777777" w:rsidR="008715BE" w:rsidRPr="00EC75B7" w:rsidRDefault="008715BE">
            <w:pPr>
              <w:pStyle w:val="TableParagraph"/>
              <w:rPr>
                <w:rFonts w:ascii="Verdana" w:hAnsi="Verdana"/>
                <w:sz w:val="18"/>
                <w:szCs w:val="18"/>
              </w:rPr>
            </w:pPr>
          </w:p>
        </w:tc>
        <w:tc>
          <w:tcPr>
            <w:tcW w:w="1090" w:type="dxa"/>
          </w:tcPr>
          <w:p w14:paraId="433A8ABF" w14:textId="77777777" w:rsidR="008715BE" w:rsidRPr="00EC75B7" w:rsidRDefault="008715BE">
            <w:pPr>
              <w:pStyle w:val="TableParagraph"/>
              <w:rPr>
                <w:rFonts w:ascii="Verdana" w:hAnsi="Verdana"/>
                <w:sz w:val="18"/>
                <w:szCs w:val="18"/>
              </w:rPr>
            </w:pPr>
          </w:p>
        </w:tc>
        <w:tc>
          <w:tcPr>
            <w:tcW w:w="1419" w:type="dxa"/>
          </w:tcPr>
          <w:p w14:paraId="37E9A57E" w14:textId="77777777" w:rsidR="008715BE" w:rsidRPr="00EC75B7" w:rsidRDefault="008715BE">
            <w:pPr>
              <w:pStyle w:val="TableParagraph"/>
              <w:rPr>
                <w:rFonts w:ascii="Verdana" w:hAnsi="Verdana"/>
                <w:sz w:val="18"/>
                <w:szCs w:val="18"/>
              </w:rPr>
            </w:pPr>
          </w:p>
        </w:tc>
        <w:tc>
          <w:tcPr>
            <w:tcW w:w="5103" w:type="dxa"/>
          </w:tcPr>
          <w:p w14:paraId="197EA007" w14:textId="77777777" w:rsidR="008715BE" w:rsidRPr="00EC75B7" w:rsidRDefault="00000000">
            <w:pPr>
              <w:pStyle w:val="TableParagraph"/>
              <w:spacing w:line="194" w:lineRule="exact"/>
              <w:ind w:left="102" w:right="109"/>
              <w:rPr>
                <w:rFonts w:ascii="Verdana" w:hAnsi="Verdana"/>
                <w:sz w:val="18"/>
                <w:szCs w:val="18"/>
              </w:rPr>
            </w:pPr>
            <w:r w:rsidRPr="00EC75B7">
              <w:rPr>
                <w:rFonts w:ascii="Verdana" w:hAnsi="Verdana"/>
                <w:sz w:val="18"/>
                <w:szCs w:val="18"/>
              </w:rPr>
              <w:t>may favor the occurrence of potential pollution. It is estimated that the impact generated by these phenomena will be insignificant, limited to the work fronts, with the impact being felt over small areas.</w:t>
            </w:r>
          </w:p>
        </w:tc>
      </w:tr>
      <w:tr w:rsidR="008715BE" w:rsidRPr="00EC75B7" w14:paraId="0C713899" w14:textId="77777777">
        <w:trPr>
          <w:trHeight w:val="1360"/>
        </w:trPr>
        <w:tc>
          <w:tcPr>
            <w:tcW w:w="725" w:type="dxa"/>
            <w:vMerge/>
            <w:tcBorders>
              <w:top w:val="nil"/>
            </w:tcBorders>
          </w:tcPr>
          <w:p w14:paraId="5BA77F83" w14:textId="77777777" w:rsidR="008715BE" w:rsidRPr="00EC75B7" w:rsidRDefault="008715BE">
            <w:pPr>
              <w:rPr>
                <w:rFonts w:ascii="Verdana" w:hAnsi="Verdana"/>
                <w:sz w:val="18"/>
                <w:szCs w:val="18"/>
              </w:rPr>
            </w:pPr>
          </w:p>
        </w:tc>
        <w:tc>
          <w:tcPr>
            <w:tcW w:w="2607" w:type="dxa"/>
          </w:tcPr>
          <w:p w14:paraId="43D3A09A" w14:textId="77777777" w:rsidR="008715BE" w:rsidRPr="00EC75B7" w:rsidRDefault="00000000">
            <w:pPr>
              <w:pStyle w:val="TableParagraph"/>
              <w:spacing w:before="8"/>
              <w:ind w:right="274"/>
              <w:jc w:val="right"/>
              <w:rPr>
                <w:rFonts w:ascii="Verdana" w:hAnsi="Verdana"/>
                <w:b/>
                <w:sz w:val="18"/>
                <w:szCs w:val="18"/>
              </w:rPr>
            </w:pPr>
            <w:r w:rsidRPr="00EC75B7">
              <w:rPr>
                <w:rFonts w:ascii="Verdana" w:hAnsi="Verdana"/>
                <w:b/>
                <w:spacing w:val="-2"/>
                <w:sz w:val="18"/>
                <w:szCs w:val="18"/>
              </w:rPr>
              <w:t xml:space="preserve">Underpass </w:t>
            </w:r>
            <w:r w:rsidRPr="00EC75B7">
              <w:rPr>
                <w:rFonts w:ascii="Verdana" w:hAnsi="Verdana"/>
                <w:b/>
                <w:sz w:val="18"/>
                <w:szCs w:val="18"/>
              </w:rPr>
              <w:t>works</w:t>
            </w:r>
          </w:p>
        </w:tc>
        <w:tc>
          <w:tcPr>
            <w:tcW w:w="2444" w:type="dxa"/>
          </w:tcPr>
          <w:p w14:paraId="28C50FE2"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z w:val="18"/>
                <w:szCs w:val="18"/>
              </w:rPr>
              <w:t xml:space="preserve">Removal of riparian </w:t>
            </w:r>
            <w:r w:rsidRPr="00EC75B7">
              <w:rPr>
                <w:rFonts w:ascii="Verdana" w:hAnsi="Verdana"/>
                <w:spacing w:val="-2"/>
                <w:sz w:val="18"/>
                <w:szCs w:val="18"/>
              </w:rPr>
              <w:t>vegetation</w:t>
            </w:r>
          </w:p>
          <w:p w14:paraId="2AFF2612"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riparian</w:t>
            </w:r>
          </w:p>
        </w:tc>
        <w:tc>
          <w:tcPr>
            <w:tcW w:w="1901" w:type="dxa"/>
          </w:tcPr>
          <w:p w14:paraId="196459A2" w14:textId="77777777" w:rsidR="008715BE" w:rsidRPr="00EC75B7" w:rsidRDefault="00000000">
            <w:pPr>
              <w:pStyle w:val="TableParagraph"/>
              <w:spacing w:before="8"/>
              <w:ind w:left="104" w:right="166"/>
              <w:rPr>
                <w:rFonts w:ascii="Verdana" w:hAnsi="Verdana"/>
                <w:sz w:val="18"/>
                <w:szCs w:val="18"/>
              </w:rPr>
            </w:pPr>
            <w:r w:rsidRPr="00EC75B7">
              <w:rPr>
                <w:rFonts w:ascii="Verdana" w:hAnsi="Verdana"/>
                <w:sz w:val="18"/>
                <w:szCs w:val="18"/>
              </w:rPr>
              <w:t>Changes in the ecological status of water bodies</w:t>
            </w:r>
          </w:p>
        </w:tc>
        <w:tc>
          <w:tcPr>
            <w:tcW w:w="924" w:type="dxa"/>
          </w:tcPr>
          <w:p w14:paraId="39CF4E34" w14:textId="77777777" w:rsidR="008715BE" w:rsidRPr="00EC75B7" w:rsidRDefault="00000000">
            <w:pPr>
              <w:pStyle w:val="TableParagraph"/>
              <w:spacing w:before="8"/>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60F7FD20"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Direct</w:t>
            </w:r>
          </w:p>
        </w:tc>
        <w:tc>
          <w:tcPr>
            <w:tcW w:w="682" w:type="dxa"/>
          </w:tcPr>
          <w:p w14:paraId="24B6A578"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Yes</w:t>
            </w:r>
          </w:p>
        </w:tc>
        <w:tc>
          <w:tcPr>
            <w:tcW w:w="1186" w:type="dxa"/>
          </w:tcPr>
          <w:p w14:paraId="0DF6B534"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2"/>
                <w:sz w:val="18"/>
                <w:szCs w:val="18"/>
              </w:rPr>
              <w:t>Short</w:t>
            </w:r>
          </w:p>
        </w:tc>
        <w:tc>
          <w:tcPr>
            <w:tcW w:w="1229" w:type="dxa"/>
          </w:tcPr>
          <w:p w14:paraId="4C923FBE"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2"/>
                <w:sz w:val="18"/>
                <w:szCs w:val="18"/>
              </w:rPr>
              <w:t>Temporary</w:t>
            </w:r>
          </w:p>
        </w:tc>
        <w:tc>
          <w:tcPr>
            <w:tcW w:w="790" w:type="dxa"/>
          </w:tcPr>
          <w:p w14:paraId="21A42A2D" w14:textId="77777777" w:rsidR="008715BE" w:rsidRPr="00EC75B7" w:rsidRDefault="00000000">
            <w:pPr>
              <w:pStyle w:val="TableParagraph"/>
              <w:spacing w:before="8"/>
              <w:ind w:right="59"/>
              <w:jc w:val="center"/>
              <w:rPr>
                <w:rFonts w:ascii="Verdana" w:hAnsi="Verdana"/>
                <w:sz w:val="18"/>
                <w:szCs w:val="18"/>
              </w:rPr>
            </w:pPr>
            <w:r w:rsidRPr="00EC75B7">
              <w:rPr>
                <w:rFonts w:ascii="Verdana" w:hAnsi="Verdana"/>
                <w:spacing w:val="-2"/>
                <w:sz w:val="18"/>
                <w:szCs w:val="18"/>
              </w:rPr>
              <w:t>Local</w:t>
            </w:r>
          </w:p>
        </w:tc>
        <w:tc>
          <w:tcPr>
            <w:tcW w:w="1184" w:type="dxa"/>
          </w:tcPr>
          <w:p w14:paraId="31F2C522" w14:textId="77777777" w:rsidR="008715BE" w:rsidRPr="00EC75B7" w:rsidRDefault="00000000">
            <w:pPr>
              <w:pStyle w:val="TableParagraph"/>
              <w:spacing w:before="8" w:line="195" w:lineRule="exact"/>
              <w:ind w:left="103"/>
              <w:rPr>
                <w:rFonts w:ascii="Verdana" w:hAnsi="Verdana"/>
                <w:sz w:val="18"/>
                <w:szCs w:val="18"/>
              </w:rPr>
            </w:pPr>
            <w:r w:rsidRPr="00EC75B7">
              <w:rPr>
                <w:rFonts w:ascii="Verdana" w:hAnsi="Verdana"/>
                <w:spacing w:val="-4"/>
                <w:sz w:val="18"/>
                <w:szCs w:val="18"/>
              </w:rPr>
              <w:t>A little</w:t>
            </w:r>
          </w:p>
          <w:p w14:paraId="49817973"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Probable</w:t>
            </w:r>
          </w:p>
        </w:tc>
        <w:tc>
          <w:tcPr>
            <w:tcW w:w="1090" w:type="dxa"/>
          </w:tcPr>
          <w:p w14:paraId="071D114A" w14:textId="77777777" w:rsidR="008715BE" w:rsidRPr="00EC75B7" w:rsidRDefault="00000000">
            <w:pPr>
              <w:pStyle w:val="TableParagraph"/>
              <w:spacing w:before="8"/>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012CF590" w14:textId="77777777" w:rsidR="008715BE" w:rsidRPr="00EC75B7" w:rsidRDefault="00000000">
            <w:pPr>
              <w:pStyle w:val="TableParagraph"/>
              <w:spacing w:before="8"/>
              <w:ind w:left="13" w:right="31"/>
              <w:jc w:val="center"/>
              <w:rPr>
                <w:rFonts w:ascii="Verdana" w:hAnsi="Verdana"/>
                <w:sz w:val="18"/>
                <w:szCs w:val="18"/>
              </w:rPr>
            </w:pPr>
            <w:r w:rsidRPr="00EC75B7">
              <w:rPr>
                <w:rFonts w:ascii="Verdana" w:hAnsi="Verdana"/>
                <w:spacing w:val="-2"/>
                <w:sz w:val="18"/>
                <w:szCs w:val="18"/>
              </w:rPr>
              <w:t>Insignificant</w:t>
            </w:r>
          </w:p>
        </w:tc>
        <w:tc>
          <w:tcPr>
            <w:tcW w:w="5103" w:type="dxa"/>
          </w:tcPr>
          <w:p w14:paraId="34D55933" w14:textId="77777777" w:rsidR="008715BE" w:rsidRPr="00EC75B7" w:rsidRDefault="00000000">
            <w:pPr>
              <w:pStyle w:val="TableParagraph"/>
              <w:spacing w:before="8" w:line="195" w:lineRule="exact"/>
              <w:ind w:left="102"/>
              <w:rPr>
                <w:rFonts w:ascii="Verdana" w:hAnsi="Verdana"/>
                <w:sz w:val="18"/>
                <w:szCs w:val="18"/>
              </w:rPr>
            </w:pPr>
            <w:r w:rsidRPr="00EC75B7">
              <w:rPr>
                <w:rFonts w:ascii="Verdana" w:hAnsi="Verdana"/>
                <w:sz w:val="18"/>
                <w:szCs w:val="18"/>
              </w:rPr>
              <w:t xml:space="preserve">Watercourses will be crossed by horizontal </w:t>
            </w:r>
            <w:r w:rsidRPr="00EC75B7">
              <w:rPr>
                <w:rFonts w:ascii="Verdana" w:hAnsi="Verdana"/>
                <w:spacing w:val="-4"/>
                <w:sz w:val="18"/>
                <w:szCs w:val="18"/>
              </w:rPr>
              <w:t>drilling</w:t>
            </w:r>
          </w:p>
          <w:p w14:paraId="77CBC2BB" w14:textId="77777777" w:rsidR="008715BE" w:rsidRPr="00EC75B7" w:rsidRDefault="00000000">
            <w:pPr>
              <w:pStyle w:val="TableParagraph"/>
              <w:spacing w:line="194" w:lineRule="exact"/>
              <w:ind w:left="102"/>
              <w:rPr>
                <w:rFonts w:ascii="Verdana" w:hAnsi="Verdana"/>
                <w:sz w:val="18"/>
                <w:szCs w:val="18"/>
              </w:rPr>
            </w:pPr>
            <w:r w:rsidRPr="00EC75B7">
              <w:rPr>
                <w:rFonts w:ascii="Verdana" w:hAnsi="Verdana"/>
                <w:spacing w:val="-2"/>
                <w:sz w:val="18"/>
                <w:szCs w:val="18"/>
              </w:rPr>
              <w:t>.</w:t>
            </w:r>
          </w:p>
          <w:p w14:paraId="5EFA7708" w14:textId="77777777" w:rsidR="008715BE" w:rsidRPr="00EC75B7" w:rsidRDefault="00000000">
            <w:pPr>
              <w:pStyle w:val="TableParagraph"/>
              <w:ind w:left="102"/>
              <w:rPr>
                <w:rFonts w:ascii="Verdana" w:hAnsi="Verdana"/>
                <w:sz w:val="18"/>
                <w:szCs w:val="18"/>
              </w:rPr>
            </w:pPr>
            <w:r w:rsidRPr="00EC75B7">
              <w:rPr>
                <w:rFonts w:ascii="Verdana" w:hAnsi="Verdana"/>
                <w:sz w:val="18"/>
                <w:szCs w:val="18"/>
              </w:rPr>
              <w:t>Traffic related to construction activities will cross watercourses on existing bridges and roads.</w:t>
            </w:r>
          </w:p>
          <w:p w14:paraId="49B55023" w14:textId="77777777" w:rsidR="008715BE" w:rsidRPr="00EC75B7" w:rsidRDefault="00000000">
            <w:pPr>
              <w:pStyle w:val="TableParagraph"/>
              <w:ind w:left="102"/>
              <w:rPr>
                <w:rFonts w:ascii="Verdana" w:hAnsi="Verdana"/>
                <w:sz w:val="18"/>
                <w:szCs w:val="18"/>
              </w:rPr>
            </w:pPr>
            <w:r w:rsidRPr="00EC75B7">
              <w:rPr>
                <w:rFonts w:ascii="Verdana" w:hAnsi="Verdana"/>
                <w:sz w:val="18"/>
                <w:szCs w:val="18"/>
              </w:rPr>
              <w:t xml:space="preserve">The works to cross the watercourses will not affect the minor and major riverbeds of the watercourses </w:t>
            </w:r>
            <w:r w:rsidRPr="00EC75B7">
              <w:rPr>
                <w:rFonts w:ascii="Verdana" w:hAnsi="Verdana"/>
                <w:spacing w:val="-2"/>
                <w:sz w:val="18"/>
                <w:szCs w:val="18"/>
              </w:rPr>
              <w:t>crossed.</w:t>
            </w:r>
          </w:p>
          <w:p w14:paraId="4BD02D93" w14:textId="77777777" w:rsidR="008715BE" w:rsidRPr="00EC75B7" w:rsidRDefault="00000000">
            <w:pPr>
              <w:pStyle w:val="TableParagraph"/>
              <w:spacing w:line="164" w:lineRule="exact"/>
              <w:ind w:left="102"/>
              <w:rPr>
                <w:rFonts w:ascii="Verdana" w:hAnsi="Verdana"/>
                <w:sz w:val="18"/>
                <w:szCs w:val="18"/>
              </w:rPr>
            </w:pPr>
            <w:r w:rsidRPr="00EC75B7">
              <w:rPr>
                <w:rFonts w:ascii="Verdana" w:hAnsi="Verdana"/>
                <w:sz w:val="18"/>
                <w:szCs w:val="18"/>
              </w:rPr>
              <w:t xml:space="preserve">The impact of these works on water is </w:t>
            </w:r>
            <w:r w:rsidRPr="00EC75B7">
              <w:rPr>
                <w:rFonts w:ascii="Verdana" w:hAnsi="Verdana"/>
                <w:spacing w:val="-2"/>
                <w:sz w:val="18"/>
                <w:szCs w:val="18"/>
              </w:rPr>
              <w:t>insignificant.</w:t>
            </w:r>
          </w:p>
        </w:tc>
      </w:tr>
      <w:tr w:rsidR="008715BE" w:rsidRPr="00EC75B7" w14:paraId="17B2738F" w14:textId="77777777">
        <w:trPr>
          <w:trHeight w:val="1166"/>
        </w:trPr>
        <w:tc>
          <w:tcPr>
            <w:tcW w:w="725" w:type="dxa"/>
            <w:vMerge/>
            <w:tcBorders>
              <w:top w:val="nil"/>
            </w:tcBorders>
          </w:tcPr>
          <w:p w14:paraId="6E94F10A" w14:textId="77777777" w:rsidR="008715BE" w:rsidRPr="00EC75B7" w:rsidRDefault="008715BE">
            <w:pPr>
              <w:rPr>
                <w:rFonts w:ascii="Verdana" w:hAnsi="Verdana"/>
                <w:sz w:val="18"/>
                <w:szCs w:val="18"/>
              </w:rPr>
            </w:pPr>
          </w:p>
        </w:tc>
        <w:tc>
          <w:tcPr>
            <w:tcW w:w="2607" w:type="dxa"/>
            <w:vMerge w:val="restart"/>
          </w:tcPr>
          <w:p w14:paraId="62EFF3F5" w14:textId="77777777" w:rsidR="008715BE" w:rsidRPr="00EC75B7" w:rsidRDefault="00000000">
            <w:pPr>
              <w:pStyle w:val="TableParagraph"/>
              <w:spacing w:before="8"/>
              <w:ind w:left="105"/>
              <w:rPr>
                <w:rFonts w:ascii="Verdana" w:hAnsi="Verdana"/>
                <w:b/>
                <w:sz w:val="18"/>
                <w:szCs w:val="18"/>
              </w:rPr>
            </w:pPr>
            <w:r w:rsidRPr="00EC75B7">
              <w:rPr>
                <w:rFonts w:ascii="Verdana" w:hAnsi="Verdana"/>
                <w:b/>
                <w:sz w:val="18"/>
                <w:szCs w:val="18"/>
              </w:rPr>
              <w:t xml:space="preserve">Construction of </w:t>
            </w:r>
            <w:r w:rsidRPr="00EC75B7">
              <w:rPr>
                <w:rFonts w:ascii="Verdana" w:hAnsi="Verdana"/>
                <w:b/>
                <w:spacing w:val="-2"/>
                <w:sz w:val="18"/>
                <w:szCs w:val="18"/>
              </w:rPr>
              <w:t xml:space="preserve">transformer </w:t>
            </w:r>
            <w:r w:rsidRPr="00EC75B7">
              <w:rPr>
                <w:rFonts w:ascii="Verdana" w:hAnsi="Verdana"/>
                <w:b/>
                <w:sz w:val="18"/>
                <w:szCs w:val="18"/>
              </w:rPr>
              <w:t>stations</w:t>
            </w:r>
          </w:p>
        </w:tc>
        <w:tc>
          <w:tcPr>
            <w:tcW w:w="2444" w:type="dxa"/>
          </w:tcPr>
          <w:p w14:paraId="2A6EEA6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Execution of </w:t>
            </w:r>
            <w:r w:rsidRPr="00EC75B7">
              <w:rPr>
                <w:rFonts w:ascii="Verdana" w:hAnsi="Verdana"/>
                <w:spacing w:val="-2"/>
                <w:sz w:val="18"/>
                <w:szCs w:val="18"/>
              </w:rPr>
              <w:t>foundations</w:t>
            </w:r>
          </w:p>
        </w:tc>
        <w:tc>
          <w:tcPr>
            <w:tcW w:w="1901" w:type="dxa"/>
          </w:tcPr>
          <w:p w14:paraId="7C242B10" w14:textId="77777777" w:rsidR="008715BE" w:rsidRPr="00EC75B7" w:rsidRDefault="00000000">
            <w:pPr>
              <w:pStyle w:val="TableParagraph"/>
              <w:spacing w:before="8"/>
              <w:ind w:left="104" w:right="126"/>
              <w:rPr>
                <w:rFonts w:ascii="Verdana" w:hAnsi="Verdana"/>
                <w:sz w:val="18"/>
                <w:szCs w:val="18"/>
              </w:rPr>
            </w:pPr>
            <w:r w:rsidRPr="00EC75B7">
              <w:rPr>
                <w:rFonts w:ascii="Verdana" w:hAnsi="Verdana"/>
                <w:sz w:val="18"/>
                <w:szCs w:val="18"/>
              </w:rPr>
              <w:t>Physical changes to the geological substrate that may cause losses from the surface</w:t>
            </w:r>
          </w:p>
          <w:p w14:paraId="1295125B" w14:textId="77777777" w:rsidR="008715BE" w:rsidRPr="00EC75B7" w:rsidRDefault="00000000">
            <w:pPr>
              <w:pStyle w:val="TableParagraph"/>
              <w:spacing w:line="162" w:lineRule="exact"/>
              <w:ind w:left="104"/>
              <w:rPr>
                <w:rFonts w:ascii="Verdana" w:hAnsi="Verdana"/>
                <w:sz w:val="18"/>
                <w:szCs w:val="18"/>
              </w:rPr>
            </w:pPr>
            <w:r w:rsidRPr="00EC75B7">
              <w:rPr>
                <w:rFonts w:ascii="Verdana" w:hAnsi="Verdana"/>
                <w:sz w:val="18"/>
                <w:szCs w:val="18"/>
              </w:rPr>
              <w:t xml:space="preserve">of the </w:t>
            </w:r>
            <w:r w:rsidRPr="00EC75B7">
              <w:rPr>
                <w:rFonts w:ascii="Verdana" w:hAnsi="Verdana"/>
                <w:spacing w:val="-2"/>
                <w:sz w:val="18"/>
                <w:szCs w:val="18"/>
              </w:rPr>
              <w:t xml:space="preserve">groundwater </w:t>
            </w:r>
            <w:r w:rsidRPr="00EC75B7">
              <w:rPr>
                <w:rFonts w:ascii="Verdana" w:hAnsi="Verdana"/>
                <w:sz w:val="18"/>
                <w:szCs w:val="18"/>
              </w:rPr>
              <w:t>aquifer</w:t>
            </w:r>
          </w:p>
        </w:tc>
        <w:tc>
          <w:tcPr>
            <w:tcW w:w="924" w:type="dxa"/>
          </w:tcPr>
          <w:p w14:paraId="7BEDE52D" w14:textId="77777777" w:rsidR="008715BE" w:rsidRPr="00EC75B7" w:rsidRDefault="00000000">
            <w:pPr>
              <w:pStyle w:val="TableParagraph"/>
              <w:spacing w:before="8"/>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707DF16C"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Indirect</w:t>
            </w:r>
          </w:p>
        </w:tc>
        <w:tc>
          <w:tcPr>
            <w:tcW w:w="682" w:type="dxa"/>
          </w:tcPr>
          <w:p w14:paraId="2AA3A2AA"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No</w:t>
            </w:r>
          </w:p>
        </w:tc>
        <w:tc>
          <w:tcPr>
            <w:tcW w:w="1186" w:type="dxa"/>
          </w:tcPr>
          <w:p w14:paraId="62A412EC"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2"/>
                <w:sz w:val="18"/>
                <w:szCs w:val="18"/>
              </w:rPr>
              <w:t>Permanent</w:t>
            </w:r>
          </w:p>
        </w:tc>
        <w:tc>
          <w:tcPr>
            <w:tcW w:w="1229" w:type="dxa"/>
          </w:tcPr>
          <w:p w14:paraId="4B76C64B"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4"/>
                <w:sz w:val="18"/>
                <w:szCs w:val="18"/>
              </w:rPr>
              <w:t>Single</w:t>
            </w:r>
          </w:p>
        </w:tc>
        <w:tc>
          <w:tcPr>
            <w:tcW w:w="790" w:type="dxa"/>
          </w:tcPr>
          <w:p w14:paraId="26A20DEE" w14:textId="77777777" w:rsidR="008715BE" w:rsidRPr="00EC75B7" w:rsidRDefault="00000000">
            <w:pPr>
              <w:pStyle w:val="TableParagraph"/>
              <w:spacing w:before="8"/>
              <w:ind w:right="59"/>
              <w:jc w:val="center"/>
              <w:rPr>
                <w:rFonts w:ascii="Verdana" w:hAnsi="Verdana"/>
                <w:sz w:val="18"/>
                <w:szCs w:val="18"/>
              </w:rPr>
            </w:pPr>
            <w:r w:rsidRPr="00EC75B7">
              <w:rPr>
                <w:rFonts w:ascii="Verdana" w:hAnsi="Verdana"/>
                <w:spacing w:val="-2"/>
                <w:sz w:val="18"/>
                <w:szCs w:val="18"/>
              </w:rPr>
              <w:t>Local</w:t>
            </w:r>
          </w:p>
        </w:tc>
        <w:tc>
          <w:tcPr>
            <w:tcW w:w="1184" w:type="dxa"/>
          </w:tcPr>
          <w:p w14:paraId="31FD1F68" w14:textId="77777777" w:rsidR="008715BE" w:rsidRPr="00EC75B7" w:rsidRDefault="00000000">
            <w:pPr>
              <w:pStyle w:val="TableParagraph"/>
              <w:spacing w:before="8"/>
              <w:ind w:left="103"/>
              <w:rPr>
                <w:rFonts w:ascii="Verdana" w:hAnsi="Verdana"/>
                <w:sz w:val="18"/>
                <w:szCs w:val="18"/>
              </w:rPr>
            </w:pPr>
            <w:r w:rsidRPr="00EC75B7">
              <w:rPr>
                <w:rFonts w:ascii="Verdana" w:hAnsi="Verdana"/>
                <w:spacing w:val="-2"/>
                <w:sz w:val="18"/>
                <w:szCs w:val="18"/>
              </w:rPr>
              <w:t>Unlikely</w:t>
            </w:r>
          </w:p>
        </w:tc>
        <w:tc>
          <w:tcPr>
            <w:tcW w:w="1090" w:type="dxa"/>
          </w:tcPr>
          <w:p w14:paraId="56AA983F" w14:textId="77777777" w:rsidR="008715BE" w:rsidRPr="00EC75B7" w:rsidRDefault="00000000">
            <w:pPr>
              <w:pStyle w:val="TableParagraph"/>
              <w:spacing w:before="8"/>
              <w:ind w:left="24" w:right="86"/>
              <w:jc w:val="center"/>
              <w:rPr>
                <w:rFonts w:ascii="Verdana" w:hAnsi="Verdana"/>
                <w:sz w:val="18"/>
                <w:szCs w:val="18"/>
              </w:rPr>
            </w:pPr>
            <w:r w:rsidRPr="00EC75B7">
              <w:rPr>
                <w:rFonts w:ascii="Verdana" w:hAnsi="Verdana"/>
                <w:spacing w:val="-2"/>
                <w:sz w:val="18"/>
                <w:szCs w:val="18"/>
              </w:rPr>
              <w:t>Irreversible</w:t>
            </w:r>
          </w:p>
        </w:tc>
        <w:tc>
          <w:tcPr>
            <w:tcW w:w="1419" w:type="dxa"/>
          </w:tcPr>
          <w:p w14:paraId="699F7CF4" w14:textId="77777777" w:rsidR="008715BE" w:rsidRPr="00EC75B7" w:rsidRDefault="00000000">
            <w:pPr>
              <w:pStyle w:val="TableParagraph"/>
              <w:spacing w:before="8"/>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val="restart"/>
          </w:tcPr>
          <w:p w14:paraId="26899534" w14:textId="77777777" w:rsidR="008715BE" w:rsidRPr="00EC75B7" w:rsidRDefault="00000000">
            <w:pPr>
              <w:pStyle w:val="TableParagraph"/>
              <w:spacing w:before="8" w:line="195" w:lineRule="exact"/>
              <w:ind w:left="102"/>
              <w:rPr>
                <w:rFonts w:ascii="Verdana" w:hAnsi="Verdana"/>
                <w:sz w:val="18"/>
                <w:szCs w:val="18"/>
              </w:rPr>
            </w:pPr>
            <w:r w:rsidRPr="00EC75B7">
              <w:rPr>
                <w:rFonts w:ascii="Verdana" w:hAnsi="Verdana"/>
                <w:sz w:val="18"/>
                <w:szCs w:val="18"/>
              </w:rPr>
              <w:t xml:space="preserve">The foundation depth is a maximum of 5 </w:t>
            </w:r>
            <w:r w:rsidRPr="00EC75B7">
              <w:rPr>
                <w:rFonts w:ascii="Verdana" w:hAnsi="Verdana"/>
                <w:spacing w:val="-5"/>
                <w:sz w:val="18"/>
                <w:szCs w:val="18"/>
              </w:rPr>
              <w:t>m.</w:t>
            </w:r>
          </w:p>
          <w:p w14:paraId="072DA956" w14:textId="77777777" w:rsidR="008715BE" w:rsidRPr="00EC75B7" w:rsidRDefault="00000000">
            <w:pPr>
              <w:pStyle w:val="TableParagraph"/>
              <w:ind w:left="102" w:right="204"/>
              <w:rPr>
                <w:rFonts w:ascii="Verdana" w:hAnsi="Verdana"/>
                <w:sz w:val="18"/>
                <w:szCs w:val="18"/>
              </w:rPr>
            </w:pPr>
            <w:r w:rsidRPr="00EC75B7">
              <w:rPr>
                <w:rFonts w:ascii="Verdana" w:hAnsi="Verdana"/>
                <w:sz w:val="18"/>
                <w:szCs w:val="18"/>
              </w:rPr>
              <w:t>The excavation works will not affect the quality of groundwater in the area and will not cause quantitative changes, as they will be carried out at a shallow depth, where no interception with groundwater in the area is expected.</w:t>
            </w:r>
          </w:p>
          <w:p w14:paraId="7DC5F99E" w14:textId="77777777" w:rsidR="008715BE" w:rsidRPr="00EC75B7" w:rsidRDefault="00000000">
            <w:pPr>
              <w:pStyle w:val="TableParagraph"/>
              <w:ind w:left="102" w:right="83"/>
              <w:rPr>
                <w:rFonts w:ascii="Verdana" w:hAnsi="Verdana"/>
                <w:sz w:val="18"/>
                <w:szCs w:val="18"/>
              </w:rPr>
            </w:pPr>
            <w:r w:rsidRPr="00EC75B7">
              <w:rPr>
                <w:rFonts w:ascii="Verdana" w:hAnsi="Verdana"/>
                <w:sz w:val="18"/>
                <w:szCs w:val="18"/>
              </w:rPr>
              <w:t>During periods of weather phenomena such as showers, winds, and rain, soil displacement may occur as a result of construction work, followed by its transport into surface waters, which may lead to potential pollution.</w:t>
            </w:r>
            <w:r w:rsidRPr="00EC75B7">
              <w:rPr>
                <w:rFonts w:ascii="Verdana" w:hAnsi="Verdana"/>
                <w:spacing w:val="-10"/>
                <w:sz w:val="18"/>
                <w:szCs w:val="18"/>
              </w:rPr>
              <w:t xml:space="preserve"> </w:t>
            </w:r>
            <w:r w:rsidRPr="00EC75B7">
              <w:rPr>
                <w:rFonts w:ascii="Verdana" w:hAnsi="Verdana"/>
                <w:sz w:val="18"/>
                <w:szCs w:val="18"/>
              </w:rPr>
              <w:t>It is estimated that the impact of these phenomena will be insignificant, limited to the work fronts, with the impact</w:t>
            </w:r>
          </w:p>
          <w:p w14:paraId="2F061723" w14:textId="77777777" w:rsidR="008715BE" w:rsidRPr="00EC75B7" w:rsidRDefault="00000000">
            <w:pPr>
              <w:pStyle w:val="TableParagraph"/>
              <w:spacing w:line="159" w:lineRule="exact"/>
              <w:ind w:left="102"/>
              <w:rPr>
                <w:rFonts w:ascii="Verdana" w:hAnsi="Verdana"/>
                <w:sz w:val="18"/>
                <w:szCs w:val="18"/>
              </w:rPr>
            </w:pPr>
            <w:r w:rsidRPr="00EC75B7">
              <w:rPr>
                <w:rFonts w:ascii="Verdana" w:hAnsi="Verdana"/>
                <w:sz w:val="18"/>
                <w:szCs w:val="18"/>
              </w:rPr>
              <w:t xml:space="preserve">felt over </w:t>
            </w:r>
            <w:r w:rsidRPr="00EC75B7">
              <w:rPr>
                <w:rFonts w:ascii="Verdana" w:hAnsi="Verdana"/>
                <w:spacing w:val="-2"/>
                <w:sz w:val="18"/>
                <w:szCs w:val="18"/>
              </w:rPr>
              <w:t xml:space="preserve">small </w:t>
            </w:r>
            <w:r w:rsidRPr="00EC75B7">
              <w:rPr>
                <w:rFonts w:ascii="Verdana" w:hAnsi="Verdana"/>
                <w:sz w:val="18"/>
                <w:szCs w:val="18"/>
              </w:rPr>
              <w:t>areas</w:t>
            </w:r>
            <w:r w:rsidRPr="00EC75B7">
              <w:rPr>
                <w:rFonts w:ascii="Verdana" w:hAnsi="Verdana"/>
                <w:spacing w:val="-2"/>
                <w:sz w:val="18"/>
                <w:szCs w:val="18"/>
              </w:rPr>
              <w:t>.</w:t>
            </w:r>
          </w:p>
        </w:tc>
      </w:tr>
      <w:tr w:rsidR="008715BE" w:rsidRPr="00EC75B7" w14:paraId="00890A1B" w14:textId="77777777">
        <w:trPr>
          <w:trHeight w:val="1545"/>
        </w:trPr>
        <w:tc>
          <w:tcPr>
            <w:tcW w:w="725" w:type="dxa"/>
            <w:vMerge/>
            <w:tcBorders>
              <w:top w:val="nil"/>
            </w:tcBorders>
          </w:tcPr>
          <w:p w14:paraId="3407E042" w14:textId="77777777" w:rsidR="008715BE" w:rsidRPr="00EC75B7" w:rsidRDefault="008715BE">
            <w:pPr>
              <w:rPr>
                <w:rFonts w:ascii="Verdana" w:hAnsi="Verdana"/>
                <w:sz w:val="18"/>
                <w:szCs w:val="18"/>
              </w:rPr>
            </w:pPr>
          </w:p>
        </w:tc>
        <w:tc>
          <w:tcPr>
            <w:tcW w:w="2607" w:type="dxa"/>
            <w:vMerge/>
            <w:tcBorders>
              <w:top w:val="nil"/>
            </w:tcBorders>
          </w:tcPr>
          <w:p w14:paraId="2D331D5E" w14:textId="77777777" w:rsidR="008715BE" w:rsidRPr="00EC75B7" w:rsidRDefault="008715BE">
            <w:pPr>
              <w:rPr>
                <w:rFonts w:ascii="Verdana" w:hAnsi="Verdana"/>
                <w:sz w:val="18"/>
                <w:szCs w:val="18"/>
              </w:rPr>
            </w:pPr>
          </w:p>
        </w:tc>
        <w:tc>
          <w:tcPr>
            <w:tcW w:w="2444" w:type="dxa"/>
          </w:tcPr>
          <w:p w14:paraId="1CFA6D60"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 xml:space="preserve">Storage of </w:t>
            </w:r>
            <w:r w:rsidRPr="00EC75B7">
              <w:rPr>
                <w:rFonts w:ascii="Verdana" w:hAnsi="Verdana"/>
                <w:spacing w:val="-2"/>
                <w:sz w:val="18"/>
                <w:szCs w:val="18"/>
              </w:rPr>
              <w:t xml:space="preserve">excavated </w:t>
            </w:r>
            <w:r w:rsidRPr="00EC75B7">
              <w:rPr>
                <w:rFonts w:ascii="Verdana" w:hAnsi="Verdana"/>
                <w:sz w:val="18"/>
                <w:szCs w:val="18"/>
              </w:rPr>
              <w:t>soil</w:t>
            </w:r>
          </w:p>
        </w:tc>
        <w:tc>
          <w:tcPr>
            <w:tcW w:w="1901" w:type="dxa"/>
          </w:tcPr>
          <w:p w14:paraId="4E42C7A1" w14:textId="77777777" w:rsidR="008715BE" w:rsidRPr="00EC75B7" w:rsidRDefault="00000000">
            <w:pPr>
              <w:pStyle w:val="TableParagraph"/>
              <w:spacing w:before="8"/>
              <w:ind w:left="104" w:right="166"/>
              <w:rPr>
                <w:rFonts w:ascii="Verdana" w:hAnsi="Verdana"/>
                <w:sz w:val="18"/>
                <w:szCs w:val="18"/>
              </w:rPr>
            </w:pPr>
            <w:r w:rsidRPr="00EC75B7">
              <w:rPr>
                <w:rFonts w:ascii="Verdana" w:hAnsi="Verdana"/>
                <w:sz w:val="18"/>
                <w:szCs w:val="18"/>
              </w:rPr>
              <w:t xml:space="preserve">Dust emissions that may alter surface water quality Changes in </w:t>
            </w:r>
            <w:r w:rsidRPr="00EC75B7">
              <w:rPr>
                <w:rFonts w:ascii="Verdana" w:hAnsi="Verdana"/>
                <w:spacing w:val="-4"/>
                <w:sz w:val="18"/>
                <w:szCs w:val="18"/>
              </w:rPr>
              <w:t>water</w:t>
            </w:r>
            <w:r w:rsidRPr="00EC75B7">
              <w:rPr>
                <w:rFonts w:ascii="Verdana" w:hAnsi="Verdana"/>
                <w:sz w:val="18"/>
                <w:szCs w:val="18"/>
              </w:rPr>
              <w:t xml:space="preserve"> quality</w:t>
            </w:r>
          </w:p>
        </w:tc>
        <w:tc>
          <w:tcPr>
            <w:tcW w:w="924" w:type="dxa"/>
          </w:tcPr>
          <w:p w14:paraId="72F13776" w14:textId="77777777" w:rsidR="008715BE" w:rsidRPr="00EC75B7" w:rsidRDefault="00000000">
            <w:pPr>
              <w:pStyle w:val="TableParagraph"/>
              <w:spacing w:before="8"/>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2AE9B11D"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2"/>
                <w:sz w:val="18"/>
                <w:szCs w:val="18"/>
              </w:rPr>
              <w:t>Indirect</w:t>
            </w:r>
          </w:p>
        </w:tc>
        <w:tc>
          <w:tcPr>
            <w:tcW w:w="682" w:type="dxa"/>
          </w:tcPr>
          <w:p w14:paraId="623C7A21"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Yes</w:t>
            </w:r>
          </w:p>
        </w:tc>
        <w:tc>
          <w:tcPr>
            <w:tcW w:w="1186" w:type="dxa"/>
          </w:tcPr>
          <w:p w14:paraId="4526209A"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2"/>
                <w:sz w:val="18"/>
                <w:szCs w:val="18"/>
              </w:rPr>
              <w:t>Short</w:t>
            </w:r>
          </w:p>
        </w:tc>
        <w:tc>
          <w:tcPr>
            <w:tcW w:w="1229" w:type="dxa"/>
          </w:tcPr>
          <w:p w14:paraId="62BD7AE7" w14:textId="77777777" w:rsidR="008715BE" w:rsidRPr="00EC75B7" w:rsidRDefault="00000000">
            <w:pPr>
              <w:pStyle w:val="TableParagraph"/>
              <w:spacing w:before="8"/>
              <w:ind w:left="104"/>
              <w:rPr>
                <w:rFonts w:ascii="Verdana" w:hAnsi="Verdana"/>
                <w:sz w:val="18"/>
                <w:szCs w:val="18"/>
              </w:rPr>
            </w:pPr>
            <w:r w:rsidRPr="00EC75B7">
              <w:rPr>
                <w:rFonts w:ascii="Verdana" w:hAnsi="Verdana"/>
                <w:spacing w:val="-2"/>
                <w:sz w:val="18"/>
                <w:szCs w:val="18"/>
              </w:rPr>
              <w:t>Intermittent</w:t>
            </w:r>
          </w:p>
        </w:tc>
        <w:tc>
          <w:tcPr>
            <w:tcW w:w="790" w:type="dxa"/>
          </w:tcPr>
          <w:p w14:paraId="1A20CA49" w14:textId="77777777" w:rsidR="008715BE" w:rsidRPr="00EC75B7" w:rsidRDefault="00000000">
            <w:pPr>
              <w:pStyle w:val="TableParagraph"/>
              <w:spacing w:before="8"/>
              <w:ind w:right="59"/>
              <w:jc w:val="center"/>
              <w:rPr>
                <w:rFonts w:ascii="Verdana" w:hAnsi="Verdana"/>
                <w:sz w:val="18"/>
                <w:szCs w:val="18"/>
              </w:rPr>
            </w:pPr>
            <w:r w:rsidRPr="00EC75B7">
              <w:rPr>
                <w:rFonts w:ascii="Verdana" w:hAnsi="Verdana"/>
                <w:spacing w:val="-2"/>
                <w:sz w:val="18"/>
                <w:szCs w:val="18"/>
              </w:rPr>
              <w:t>Local</w:t>
            </w:r>
          </w:p>
        </w:tc>
        <w:tc>
          <w:tcPr>
            <w:tcW w:w="1184" w:type="dxa"/>
          </w:tcPr>
          <w:p w14:paraId="76FD083D" w14:textId="77777777" w:rsidR="008715BE" w:rsidRPr="00EC75B7" w:rsidRDefault="00000000">
            <w:pPr>
              <w:pStyle w:val="TableParagraph"/>
              <w:spacing w:before="8"/>
              <w:ind w:left="103"/>
              <w:rPr>
                <w:rFonts w:ascii="Verdana" w:hAnsi="Verdana"/>
                <w:sz w:val="18"/>
                <w:szCs w:val="18"/>
              </w:rPr>
            </w:pPr>
            <w:r w:rsidRPr="00EC75B7">
              <w:rPr>
                <w:rFonts w:ascii="Verdana" w:hAnsi="Verdana"/>
                <w:spacing w:val="-2"/>
                <w:sz w:val="18"/>
                <w:szCs w:val="18"/>
              </w:rPr>
              <w:t>Probable</w:t>
            </w:r>
          </w:p>
        </w:tc>
        <w:tc>
          <w:tcPr>
            <w:tcW w:w="1090" w:type="dxa"/>
          </w:tcPr>
          <w:p w14:paraId="6432156D" w14:textId="77777777" w:rsidR="008715BE" w:rsidRPr="00EC75B7" w:rsidRDefault="00000000">
            <w:pPr>
              <w:pStyle w:val="TableParagraph"/>
              <w:spacing w:before="8"/>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706CEDCE" w14:textId="77777777" w:rsidR="008715BE" w:rsidRPr="00EC75B7" w:rsidRDefault="00000000">
            <w:pPr>
              <w:pStyle w:val="TableParagraph"/>
              <w:spacing w:before="8"/>
              <w:ind w:left="13" w:right="31"/>
              <w:jc w:val="center"/>
              <w:rPr>
                <w:rFonts w:ascii="Verdana" w:hAnsi="Verdana"/>
                <w:sz w:val="18"/>
                <w:szCs w:val="18"/>
              </w:rPr>
            </w:pPr>
            <w:r w:rsidRPr="00EC75B7">
              <w:rPr>
                <w:rFonts w:ascii="Verdana" w:hAnsi="Verdana"/>
                <w:spacing w:val="-2"/>
                <w:sz w:val="18"/>
                <w:szCs w:val="18"/>
              </w:rPr>
              <w:t>Insignificant</w:t>
            </w:r>
          </w:p>
        </w:tc>
        <w:tc>
          <w:tcPr>
            <w:tcW w:w="5103" w:type="dxa"/>
            <w:vMerge/>
            <w:tcBorders>
              <w:top w:val="nil"/>
            </w:tcBorders>
          </w:tcPr>
          <w:p w14:paraId="1DEBF7AB" w14:textId="77777777" w:rsidR="008715BE" w:rsidRPr="00EC75B7" w:rsidRDefault="008715BE">
            <w:pPr>
              <w:rPr>
                <w:rFonts w:ascii="Verdana" w:hAnsi="Verdana"/>
                <w:sz w:val="18"/>
                <w:szCs w:val="18"/>
              </w:rPr>
            </w:pPr>
          </w:p>
        </w:tc>
      </w:tr>
      <w:tr w:rsidR="008715BE" w:rsidRPr="00EC75B7" w14:paraId="295CB342" w14:textId="77777777">
        <w:trPr>
          <w:trHeight w:val="585"/>
        </w:trPr>
        <w:tc>
          <w:tcPr>
            <w:tcW w:w="725" w:type="dxa"/>
            <w:vMerge/>
            <w:tcBorders>
              <w:top w:val="nil"/>
            </w:tcBorders>
          </w:tcPr>
          <w:p w14:paraId="24555D04" w14:textId="77777777" w:rsidR="008715BE" w:rsidRPr="00EC75B7" w:rsidRDefault="008715BE">
            <w:pPr>
              <w:rPr>
                <w:rFonts w:ascii="Verdana" w:hAnsi="Verdana"/>
                <w:sz w:val="18"/>
                <w:szCs w:val="18"/>
              </w:rPr>
            </w:pPr>
          </w:p>
        </w:tc>
        <w:tc>
          <w:tcPr>
            <w:tcW w:w="2607" w:type="dxa"/>
          </w:tcPr>
          <w:p w14:paraId="79DE2690" w14:textId="77777777" w:rsidR="008715BE" w:rsidRPr="00EC75B7" w:rsidRDefault="00000000">
            <w:pPr>
              <w:pStyle w:val="TableParagraph"/>
              <w:spacing w:line="194" w:lineRule="exact"/>
              <w:ind w:left="105"/>
              <w:rPr>
                <w:rFonts w:ascii="Verdana" w:hAnsi="Verdana"/>
                <w:b/>
                <w:sz w:val="18"/>
                <w:szCs w:val="18"/>
              </w:rPr>
            </w:pPr>
            <w:r w:rsidRPr="00EC75B7">
              <w:rPr>
                <w:rFonts w:ascii="Verdana" w:hAnsi="Verdana"/>
                <w:b/>
                <w:sz w:val="18"/>
                <w:szCs w:val="18"/>
              </w:rPr>
              <w:t xml:space="preserve">Land restoration works at the end </w:t>
            </w:r>
            <w:r w:rsidRPr="00EC75B7">
              <w:rPr>
                <w:rFonts w:ascii="Verdana" w:hAnsi="Verdana"/>
                <w:b/>
                <w:spacing w:val="-2"/>
                <w:sz w:val="18"/>
                <w:szCs w:val="18"/>
              </w:rPr>
              <w:t>of execution</w:t>
            </w:r>
          </w:p>
        </w:tc>
        <w:tc>
          <w:tcPr>
            <w:tcW w:w="2444" w:type="dxa"/>
          </w:tcPr>
          <w:p w14:paraId="5A7A4BEC" w14:textId="77777777" w:rsidR="008715BE" w:rsidRPr="00EC75B7" w:rsidRDefault="00000000">
            <w:pPr>
              <w:pStyle w:val="TableParagraph"/>
              <w:spacing w:before="10"/>
              <w:ind w:left="107" w:right="442"/>
              <w:rPr>
                <w:rFonts w:ascii="Verdana" w:hAnsi="Verdana"/>
                <w:sz w:val="18"/>
                <w:szCs w:val="18"/>
              </w:rPr>
            </w:pPr>
            <w:r w:rsidRPr="00EC75B7">
              <w:rPr>
                <w:rFonts w:ascii="Verdana" w:hAnsi="Verdana"/>
                <w:sz w:val="18"/>
                <w:szCs w:val="18"/>
              </w:rPr>
              <w:t xml:space="preserve">Reinstallation of topsoil, </w:t>
            </w:r>
            <w:r w:rsidRPr="00EC75B7">
              <w:rPr>
                <w:rFonts w:ascii="Verdana" w:hAnsi="Verdana"/>
                <w:spacing w:val="-2"/>
                <w:sz w:val="18"/>
                <w:szCs w:val="18"/>
              </w:rPr>
              <w:t>reseeding</w:t>
            </w:r>
          </w:p>
        </w:tc>
        <w:tc>
          <w:tcPr>
            <w:tcW w:w="1901" w:type="dxa"/>
          </w:tcPr>
          <w:p w14:paraId="20BF8AA8" w14:textId="77777777" w:rsidR="008715BE" w:rsidRPr="00EC75B7" w:rsidRDefault="00000000">
            <w:pPr>
              <w:pStyle w:val="TableParagraph"/>
              <w:spacing w:before="10" w:line="195" w:lineRule="exact"/>
              <w:ind w:left="104"/>
              <w:rPr>
                <w:rFonts w:ascii="Verdana" w:hAnsi="Verdana"/>
                <w:sz w:val="18"/>
                <w:szCs w:val="18"/>
              </w:rPr>
            </w:pPr>
            <w:r w:rsidRPr="00EC75B7">
              <w:rPr>
                <w:rFonts w:ascii="Verdana" w:hAnsi="Verdana"/>
                <w:spacing w:val="-2"/>
                <w:sz w:val="18"/>
                <w:szCs w:val="18"/>
              </w:rPr>
              <w:t>Spread</w:t>
            </w:r>
          </w:p>
          <w:p w14:paraId="6F37146A"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 xml:space="preserve">of invasive </w:t>
            </w:r>
            <w:r w:rsidRPr="00EC75B7">
              <w:rPr>
                <w:rFonts w:ascii="Verdana" w:hAnsi="Verdana"/>
                <w:sz w:val="18"/>
                <w:szCs w:val="18"/>
              </w:rPr>
              <w:t>species</w:t>
            </w:r>
          </w:p>
        </w:tc>
        <w:tc>
          <w:tcPr>
            <w:tcW w:w="924" w:type="dxa"/>
          </w:tcPr>
          <w:p w14:paraId="2F1707FE" w14:textId="77777777" w:rsidR="008715BE" w:rsidRPr="00EC75B7" w:rsidRDefault="00000000">
            <w:pPr>
              <w:pStyle w:val="TableParagraph"/>
              <w:spacing w:before="10"/>
              <w:ind w:left="10"/>
              <w:jc w:val="center"/>
              <w:rPr>
                <w:rFonts w:ascii="Verdana" w:hAnsi="Verdana"/>
                <w:sz w:val="18"/>
                <w:szCs w:val="18"/>
              </w:rPr>
            </w:pPr>
            <w:r w:rsidRPr="00EC75B7">
              <w:rPr>
                <w:rFonts w:ascii="Verdana" w:hAnsi="Verdana"/>
                <w:spacing w:val="-2"/>
                <w:sz w:val="18"/>
                <w:szCs w:val="18"/>
              </w:rPr>
              <w:t>Negative</w:t>
            </w:r>
          </w:p>
        </w:tc>
        <w:tc>
          <w:tcPr>
            <w:tcW w:w="972" w:type="dxa"/>
          </w:tcPr>
          <w:p w14:paraId="219A5AE4" w14:textId="77777777" w:rsidR="008715BE" w:rsidRPr="00EC75B7" w:rsidRDefault="00000000">
            <w:pPr>
              <w:pStyle w:val="TableParagraph"/>
              <w:spacing w:before="10"/>
              <w:ind w:left="107"/>
              <w:rPr>
                <w:rFonts w:ascii="Verdana" w:hAnsi="Verdana"/>
                <w:sz w:val="18"/>
                <w:szCs w:val="18"/>
              </w:rPr>
            </w:pPr>
            <w:r w:rsidRPr="00EC75B7">
              <w:rPr>
                <w:rFonts w:ascii="Verdana" w:hAnsi="Verdana"/>
                <w:spacing w:val="-2"/>
                <w:sz w:val="18"/>
                <w:szCs w:val="18"/>
              </w:rPr>
              <w:t>Secondary</w:t>
            </w:r>
          </w:p>
        </w:tc>
        <w:tc>
          <w:tcPr>
            <w:tcW w:w="682" w:type="dxa"/>
          </w:tcPr>
          <w:p w14:paraId="399D9879" w14:textId="77777777" w:rsidR="008715BE" w:rsidRPr="00EC75B7" w:rsidRDefault="00000000">
            <w:pPr>
              <w:pStyle w:val="TableParagraph"/>
              <w:spacing w:before="10"/>
              <w:ind w:left="107"/>
              <w:rPr>
                <w:rFonts w:ascii="Verdana" w:hAnsi="Verdana"/>
                <w:sz w:val="18"/>
                <w:szCs w:val="18"/>
              </w:rPr>
            </w:pPr>
            <w:r w:rsidRPr="00EC75B7">
              <w:rPr>
                <w:rFonts w:ascii="Verdana" w:hAnsi="Verdana"/>
                <w:spacing w:val="-5"/>
                <w:sz w:val="18"/>
                <w:szCs w:val="18"/>
              </w:rPr>
              <w:t>Yes</w:t>
            </w:r>
          </w:p>
        </w:tc>
        <w:tc>
          <w:tcPr>
            <w:tcW w:w="1186" w:type="dxa"/>
          </w:tcPr>
          <w:p w14:paraId="6DEF23E9" w14:textId="77777777" w:rsidR="008715BE" w:rsidRPr="00EC75B7" w:rsidRDefault="00000000">
            <w:pPr>
              <w:pStyle w:val="TableParagraph"/>
              <w:spacing w:before="10"/>
              <w:ind w:left="104"/>
              <w:rPr>
                <w:rFonts w:ascii="Verdana" w:hAnsi="Verdana"/>
                <w:sz w:val="18"/>
                <w:szCs w:val="18"/>
              </w:rPr>
            </w:pPr>
            <w:r w:rsidRPr="00EC75B7">
              <w:rPr>
                <w:rFonts w:ascii="Verdana" w:hAnsi="Verdana"/>
                <w:spacing w:val="-2"/>
                <w:sz w:val="18"/>
                <w:szCs w:val="18"/>
              </w:rPr>
              <w:t>Medium</w:t>
            </w:r>
          </w:p>
        </w:tc>
        <w:tc>
          <w:tcPr>
            <w:tcW w:w="1229" w:type="dxa"/>
          </w:tcPr>
          <w:p w14:paraId="0A418634" w14:textId="77777777" w:rsidR="008715BE" w:rsidRPr="00EC75B7" w:rsidRDefault="00000000">
            <w:pPr>
              <w:pStyle w:val="TableParagraph"/>
              <w:spacing w:before="10"/>
              <w:ind w:left="104"/>
              <w:rPr>
                <w:rFonts w:ascii="Verdana" w:hAnsi="Verdana"/>
                <w:sz w:val="18"/>
                <w:szCs w:val="18"/>
              </w:rPr>
            </w:pPr>
            <w:r w:rsidRPr="00EC75B7">
              <w:rPr>
                <w:rFonts w:ascii="Verdana" w:hAnsi="Verdana"/>
                <w:spacing w:val="-2"/>
                <w:sz w:val="18"/>
                <w:szCs w:val="18"/>
              </w:rPr>
              <w:t>Occasional</w:t>
            </w:r>
          </w:p>
        </w:tc>
        <w:tc>
          <w:tcPr>
            <w:tcW w:w="790" w:type="dxa"/>
          </w:tcPr>
          <w:p w14:paraId="0EC62361" w14:textId="77777777" w:rsidR="008715BE" w:rsidRPr="00EC75B7" w:rsidRDefault="00000000">
            <w:pPr>
              <w:pStyle w:val="TableParagraph"/>
              <w:spacing w:before="10"/>
              <w:ind w:right="59"/>
              <w:jc w:val="center"/>
              <w:rPr>
                <w:rFonts w:ascii="Verdana" w:hAnsi="Verdana"/>
                <w:sz w:val="18"/>
                <w:szCs w:val="18"/>
              </w:rPr>
            </w:pPr>
            <w:r w:rsidRPr="00EC75B7">
              <w:rPr>
                <w:rFonts w:ascii="Verdana" w:hAnsi="Verdana"/>
                <w:spacing w:val="-2"/>
                <w:sz w:val="18"/>
                <w:szCs w:val="18"/>
              </w:rPr>
              <w:t>Local</w:t>
            </w:r>
          </w:p>
        </w:tc>
        <w:tc>
          <w:tcPr>
            <w:tcW w:w="1184" w:type="dxa"/>
          </w:tcPr>
          <w:p w14:paraId="6247F356" w14:textId="77777777" w:rsidR="008715BE" w:rsidRPr="00EC75B7" w:rsidRDefault="00000000">
            <w:pPr>
              <w:pStyle w:val="TableParagraph"/>
              <w:spacing w:before="10"/>
              <w:ind w:left="103"/>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90" w:type="dxa"/>
          </w:tcPr>
          <w:p w14:paraId="7D4F25CC" w14:textId="77777777" w:rsidR="008715BE" w:rsidRPr="00EC75B7" w:rsidRDefault="00000000">
            <w:pPr>
              <w:pStyle w:val="TableParagraph"/>
              <w:spacing w:before="10"/>
              <w:ind w:right="86"/>
              <w:jc w:val="center"/>
              <w:rPr>
                <w:rFonts w:ascii="Verdana" w:hAnsi="Verdana"/>
                <w:sz w:val="18"/>
                <w:szCs w:val="18"/>
              </w:rPr>
            </w:pPr>
            <w:r w:rsidRPr="00EC75B7">
              <w:rPr>
                <w:rFonts w:ascii="Verdana" w:hAnsi="Verdana"/>
                <w:spacing w:val="-2"/>
                <w:sz w:val="18"/>
                <w:szCs w:val="18"/>
              </w:rPr>
              <w:t>Reversible</w:t>
            </w:r>
          </w:p>
        </w:tc>
        <w:tc>
          <w:tcPr>
            <w:tcW w:w="1419" w:type="dxa"/>
          </w:tcPr>
          <w:p w14:paraId="6069F11A" w14:textId="77777777" w:rsidR="008715BE" w:rsidRPr="00EC75B7" w:rsidRDefault="00000000">
            <w:pPr>
              <w:pStyle w:val="TableParagraph"/>
              <w:spacing w:before="10"/>
              <w:ind w:left="13" w:right="31"/>
              <w:jc w:val="center"/>
              <w:rPr>
                <w:rFonts w:ascii="Verdana" w:hAnsi="Verdana"/>
                <w:sz w:val="18"/>
                <w:szCs w:val="18"/>
              </w:rPr>
            </w:pPr>
            <w:r w:rsidRPr="00EC75B7">
              <w:rPr>
                <w:rFonts w:ascii="Verdana" w:hAnsi="Verdana"/>
                <w:spacing w:val="-2"/>
                <w:sz w:val="18"/>
                <w:szCs w:val="18"/>
              </w:rPr>
              <w:t>Insignificant</w:t>
            </w:r>
          </w:p>
        </w:tc>
        <w:tc>
          <w:tcPr>
            <w:tcW w:w="5103" w:type="dxa"/>
          </w:tcPr>
          <w:p w14:paraId="5B536529" w14:textId="77777777" w:rsidR="008715BE" w:rsidRPr="00EC75B7" w:rsidRDefault="00000000">
            <w:pPr>
              <w:pStyle w:val="TableParagraph"/>
              <w:spacing w:before="10"/>
              <w:ind w:left="102"/>
              <w:rPr>
                <w:rFonts w:ascii="Verdana" w:hAnsi="Verdana"/>
                <w:sz w:val="18"/>
                <w:szCs w:val="18"/>
              </w:rPr>
            </w:pPr>
            <w:r w:rsidRPr="00EC75B7">
              <w:rPr>
                <w:rFonts w:ascii="Verdana" w:hAnsi="Verdana"/>
                <w:sz w:val="18"/>
                <w:szCs w:val="18"/>
              </w:rPr>
              <w:t xml:space="preserve">Controlled restoration of </w:t>
            </w:r>
            <w:r w:rsidRPr="00EC75B7">
              <w:rPr>
                <w:rFonts w:ascii="Verdana" w:hAnsi="Verdana"/>
                <w:spacing w:val="-2"/>
                <w:sz w:val="18"/>
                <w:szCs w:val="18"/>
              </w:rPr>
              <w:t xml:space="preserve">affected </w:t>
            </w:r>
            <w:r w:rsidRPr="00EC75B7">
              <w:rPr>
                <w:rFonts w:ascii="Verdana" w:hAnsi="Verdana"/>
                <w:sz w:val="18"/>
                <w:szCs w:val="18"/>
              </w:rPr>
              <w:t>areas</w:t>
            </w:r>
          </w:p>
        </w:tc>
      </w:tr>
    </w:tbl>
    <w:p w14:paraId="6455AAE3" w14:textId="77777777" w:rsidR="008715BE" w:rsidRPr="00EC75B7" w:rsidRDefault="008715BE">
      <w:pPr>
        <w:pStyle w:val="BodyText"/>
        <w:rPr>
          <w:rFonts w:ascii="Verdana" w:hAnsi="Verdana"/>
          <w:b/>
        </w:rPr>
      </w:pPr>
    </w:p>
    <w:p w14:paraId="4589C458" w14:textId="77777777" w:rsidR="008715BE" w:rsidRPr="00EC75B7" w:rsidRDefault="008715BE">
      <w:pPr>
        <w:pStyle w:val="BodyText"/>
        <w:spacing w:before="20"/>
        <w:rPr>
          <w:rFonts w:ascii="Verdana" w:hAnsi="Verdana"/>
          <w:b/>
        </w:rPr>
      </w:pPr>
    </w:p>
    <w:p w14:paraId="513E43CD" w14:textId="77777777" w:rsidR="008715BE" w:rsidRPr="00EC75B7" w:rsidRDefault="00000000">
      <w:pPr>
        <w:spacing w:before="1"/>
        <w:ind w:left="2"/>
        <w:rPr>
          <w:rFonts w:ascii="Verdana" w:hAnsi="Verdana"/>
          <w:b/>
          <w:sz w:val="18"/>
          <w:szCs w:val="18"/>
        </w:rPr>
      </w:pPr>
      <w:r w:rsidRPr="00EC75B7">
        <w:rPr>
          <w:rFonts w:ascii="Verdana" w:hAnsi="Verdana"/>
          <w:b/>
          <w:color w:val="00AFEF"/>
          <w:sz w:val="18"/>
          <w:szCs w:val="18"/>
        </w:rPr>
        <w:t xml:space="preserve">Conclusions – Impact assessment during the </w:t>
      </w:r>
      <w:r w:rsidRPr="00EC75B7">
        <w:rPr>
          <w:rFonts w:ascii="Verdana" w:hAnsi="Verdana"/>
          <w:b/>
          <w:color w:val="00AFEF"/>
          <w:spacing w:val="-2"/>
          <w:sz w:val="18"/>
          <w:szCs w:val="18"/>
        </w:rPr>
        <w:t xml:space="preserve">implementation </w:t>
      </w:r>
      <w:r w:rsidRPr="00EC75B7">
        <w:rPr>
          <w:rFonts w:ascii="Verdana" w:hAnsi="Verdana"/>
          <w:b/>
          <w:color w:val="00AFEF"/>
          <w:sz w:val="18"/>
          <w:szCs w:val="18"/>
        </w:rPr>
        <w:t>period</w:t>
      </w:r>
    </w:p>
    <w:p w14:paraId="5CBBF586" w14:textId="77777777" w:rsidR="008715BE" w:rsidRPr="00EC75B7" w:rsidRDefault="00000000">
      <w:pPr>
        <w:pStyle w:val="BodyText"/>
        <w:spacing w:before="106"/>
        <w:ind w:left="2"/>
        <w:rPr>
          <w:rFonts w:ascii="Verdana" w:hAnsi="Verdana"/>
        </w:rPr>
      </w:pPr>
      <w:r w:rsidRPr="00EC75B7">
        <w:rPr>
          <w:rFonts w:ascii="Verdana" w:hAnsi="Verdana"/>
        </w:rPr>
        <w:t xml:space="preserve">During the execution period, the interventions for the proposed investments do not constitute significant sources of impact on groundwater and </w:t>
      </w:r>
      <w:r w:rsidRPr="00EC75B7">
        <w:rPr>
          <w:rFonts w:ascii="Verdana" w:hAnsi="Verdana"/>
          <w:spacing w:val="-2"/>
        </w:rPr>
        <w:t xml:space="preserve">surface </w:t>
      </w:r>
      <w:r w:rsidRPr="00EC75B7">
        <w:rPr>
          <w:rFonts w:ascii="Verdana" w:hAnsi="Verdana"/>
        </w:rPr>
        <w:t>water quality</w:t>
      </w:r>
      <w:r w:rsidRPr="00EC75B7">
        <w:rPr>
          <w:rFonts w:ascii="Verdana" w:hAnsi="Verdana"/>
          <w:spacing w:val="-2"/>
        </w:rPr>
        <w:t>.</w:t>
      </w:r>
    </w:p>
    <w:p w14:paraId="31C6FEA8" w14:textId="77777777" w:rsidR="008715BE" w:rsidRPr="00EC75B7" w:rsidRDefault="00000000">
      <w:pPr>
        <w:pStyle w:val="BodyText"/>
        <w:spacing w:before="110" w:line="360" w:lineRule="auto"/>
        <w:ind w:left="2" w:right="447"/>
        <w:rPr>
          <w:rFonts w:ascii="Verdana" w:hAnsi="Verdana"/>
        </w:rPr>
      </w:pPr>
      <w:r w:rsidRPr="00EC75B7">
        <w:rPr>
          <w:rFonts w:ascii="Verdana" w:hAnsi="Verdana"/>
        </w:rPr>
        <w:t xml:space="preserve">The impact is </w:t>
      </w:r>
      <w:r w:rsidRPr="00EC75B7">
        <w:rPr>
          <w:rFonts w:ascii="Verdana" w:hAnsi="Verdana"/>
          <w:b/>
        </w:rPr>
        <w:t>insignificantly negative</w:t>
      </w:r>
      <w:r w:rsidRPr="00EC75B7">
        <w:rPr>
          <w:rFonts w:ascii="Verdana" w:hAnsi="Verdana"/>
        </w:rPr>
        <w:t xml:space="preserve">, </w:t>
      </w:r>
      <w:r w:rsidRPr="00EC75B7">
        <w:rPr>
          <w:rFonts w:ascii="Verdana" w:hAnsi="Verdana"/>
          <w:b/>
        </w:rPr>
        <w:t xml:space="preserve">localised </w:t>
      </w:r>
      <w:r w:rsidRPr="00EC75B7">
        <w:rPr>
          <w:rFonts w:ascii="Verdana" w:hAnsi="Verdana"/>
        </w:rPr>
        <w:t xml:space="preserve">(in the work area and on the construction site), </w:t>
      </w:r>
      <w:r w:rsidRPr="00EC75B7">
        <w:rPr>
          <w:rFonts w:ascii="Verdana" w:hAnsi="Verdana"/>
          <w:b/>
        </w:rPr>
        <w:t xml:space="preserve">temporary </w:t>
      </w:r>
      <w:r w:rsidRPr="00EC75B7">
        <w:rPr>
          <w:rFonts w:ascii="Verdana" w:hAnsi="Verdana"/>
        </w:rPr>
        <w:t xml:space="preserve">(felt throughout the execution period) and </w:t>
      </w:r>
      <w:r w:rsidRPr="00EC75B7">
        <w:rPr>
          <w:rFonts w:ascii="Verdana" w:hAnsi="Verdana"/>
          <w:b/>
        </w:rPr>
        <w:t xml:space="preserve">intermittent </w:t>
      </w:r>
      <w:r w:rsidRPr="00EC75B7">
        <w:rPr>
          <w:rFonts w:ascii="Verdana" w:hAnsi="Verdana"/>
        </w:rPr>
        <w:t>(the works will not all be carried out at the same time, as they are proposed to be carried out in stages).</w:t>
      </w:r>
    </w:p>
    <w:p w14:paraId="3A2438DD" w14:textId="77777777" w:rsidR="008715BE" w:rsidRPr="00EC75B7" w:rsidRDefault="00000000">
      <w:pPr>
        <w:spacing w:line="216" w:lineRule="exact"/>
        <w:ind w:left="2"/>
        <w:rPr>
          <w:rFonts w:ascii="Verdana" w:hAnsi="Verdana"/>
          <w:sz w:val="18"/>
          <w:szCs w:val="18"/>
        </w:rPr>
      </w:pPr>
      <w:r w:rsidRPr="00EC75B7">
        <w:rPr>
          <w:rFonts w:ascii="Verdana" w:hAnsi="Verdana"/>
          <w:spacing w:val="-2"/>
          <w:sz w:val="18"/>
          <w:szCs w:val="18"/>
        </w:rPr>
        <w:t xml:space="preserve">During the execution of the works, the impact on the quantity and quality of surface and groundwater is </w:t>
      </w:r>
      <w:r w:rsidRPr="00EC75B7">
        <w:rPr>
          <w:rFonts w:ascii="Verdana" w:hAnsi="Verdana"/>
          <w:b/>
          <w:spacing w:val="-2"/>
          <w:sz w:val="18"/>
          <w:szCs w:val="18"/>
        </w:rPr>
        <w:t>insignificant</w:t>
      </w:r>
      <w:r w:rsidRPr="00EC75B7">
        <w:rPr>
          <w:rFonts w:ascii="Verdana" w:hAnsi="Verdana"/>
          <w:spacing w:val="-2"/>
          <w:sz w:val="18"/>
          <w:szCs w:val="18"/>
        </w:rPr>
        <w:t xml:space="preserve">, </w:t>
      </w:r>
      <w:r w:rsidRPr="00EC75B7">
        <w:rPr>
          <w:rFonts w:ascii="Verdana" w:hAnsi="Verdana"/>
          <w:b/>
          <w:spacing w:val="-2"/>
          <w:sz w:val="18"/>
          <w:szCs w:val="18"/>
        </w:rPr>
        <w:t>temporary</w:t>
      </w:r>
      <w:r w:rsidRPr="00EC75B7">
        <w:rPr>
          <w:rFonts w:ascii="Verdana" w:hAnsi="Verdana"/>
          <w:spacing w:val="-2"/>
          <w:sz w:val="18"/>
          <w:szCs w:val="18"/>
        </w:rPr>
        <w:t xml:space="preserve">, and </w:t>
      </w:r>
      <w:r w:rsidRPr="00EC75B7">
        <w:rPr>
          <w:rFonts w:ascii="Verdana" w:hAnsi="Verdana"/>
          <w:b/>
          <w:spacing w:val="-2"/>
          <w:sz w:val="18"/>
          <w:szCs w:val="18"/>
        </w:rPr>
        <w:t>limited to the area where the works are carried out</w:t>
      </w:r>
      <w:r w:rsidRPr="00EC75B7">
        <w:rPr>
          <w:rFonts w:ascii="Verdana" w:hAnsi="Verdana"/>
          <w:spacing w:val="-2"/>
          <w:sz w:val="18"/>
          <w:szCs w:val="18"/>
        </w:rPr>
        <w:t>.</w:t>
      </w:r>
    </w:p>
    <w:p w14:paraId="1AA65B37" w14:textId="77777777" w:rsidR="008715BE" w:rsidRPr="00EC75B7" w:rsidRDefault="00000000">
      <w:pPr>
        <w:pStyle w:val="BodyText"/>
        <w:spacing w:before="109"/>
        <w:ind w:left="2"/>
        <w:rPr>
          <w:rFonts w:ascii="Verdana" w:hAnsi="Verdana"/>
        </w:rPr>
      </w:pPr>
      <w:r w:rsidRPr="00EC75B7">
        <w:rPr>
          <w:rFonts w:ascii="Verdana" w:hAnsi="Verdana"/>
        </w:rPr>
        <w:t xml:space="preserve">The extent of the impact can be considered </w:t>
      </w:r>
      <w:r w:rsidRPr="00EC75B7">
        <w:rPr>
          <w:rFonts w:ascii="Verdana" w:hAnsi="Verdana"/>
          <w:b/>
        </w:rPr>
        <w:t xml:space="preserve">local </w:t>
      </w:r>
      <w:r w:rsidRPr="00EC75B7">
        <w:rPr>
          <w:rFonts w:ascii="Verdana" w:hAnsi="Verdana"/>
        </w:rPr>
        <w:t xml:space="preserve">to the </w:t>
      </w:r>
      <w:r w:rsidRPr="00EC75B7">
        <w:rPr>
          <w:rFonts w:ascii="Verdana" w:hAnsi="Verdana"/>
          <w:spacing w:val="-2"/>
        </w:rPr>
        <w:t xml:space="preserve">wind </w:t>
      </w:r>
      <w:r w:rsidRPr="00EC75B7">
        <w:rPr>
          <w:rFonts w:ascii="Verdana" w:hAnsi="Verdana"/>
        </w:rPr>
        <w:t>farm site</w:t>
      </w:r>
      <w:r w:rsidRPr="00EC75B7">
        <w:rPr>
          <w:rFonts w:ascii="Verdana" w:hAnsi="Verdana"/>
          <w:spacing w:val="-2"/>
        </w:rPr>
        <w:t>.</w:t>
      </w:r>
    </w:p>
    <w:p w14:paraId="7B061A27" w14:textId="77777777" w:rsidR="008715BE" w:rsidRPr="00EC75B7" w:rsidRDefault="00000000">
      <w:pPr>
        <w:spacing w:before="109"/>
        <w:ind w:left="2"/>
        <w:rPr>
          <w:rFonts w:ascii="Verdana" w:hAnsi="Verdana"/>
          <w:sz w:val="18"/>
          <w:szCs w:val="18"/>
        </w:rPr>
      </w:pPr>
      <w:r w:rsidRPr="00EC75B7">
        <w:rPr>
          <w:rFonts w:ascii="Verdana" w:hAnsi="Verdana"/>
          <w:sz w:val="18"/>
          <w:szCs w:val="18"/>
        </w:rPr>
        <w:t xml:space="preserve">During the execution period, </w:t>
      </w:r>
      <w:r w:rsidRPr="00EC75B7">
        <w:rPr>
          <w:rFonts w:ascii="Verdana" w:hAnsi="Verdana"/>
          <w:b/>
          <w:sz w:val="18"/>
          <w:szCs w:val="18"/>
        </w:rPr>
        <w:t>the magnitude of the impact is low</w:t>
      </w:r>
      <w:r w:rsidRPr="00EC75B7">
        <w:rPr>
          <w:rFonts w:ascii="Verdana" w:hAnsi="Verdana"/>
          <w:sz w:val="18"/>
          <w:szCs w:val="18"/>
        </w:rPr>
        <w:t xml:space="preserve">, of </w:t>
      </w:r>
      <w:r w:rsidRPr="00EC75B7">
        <w:rPr>
          <w:rFonts w:ascii="Verdana" w:hAnsi="Verdana"/>
          <w:b/>
          <w:sz w:val="18"/>
          <w:szCs w:val="18"/>
        </w:rPr>
        <w:t>low complexity</w:t>
      </w:r>
      <w:r w:rsidRPr="00EC75B7">
        <w:rPr>
          <w:rFonts w:ascii="Verdana" w:hAnsi="Verdana"/>
          <w:sz w:val="18"/>
          <w:szCs w:val="18"/>
        </w:rPr>
        <w:t xml:space="preserve">, manifesting itself </w:t>
      </w:r>
      <w:r w:rsidRPr="00EC75B7">
        <w:rPr>
          <w:rFonts w:ascii="Verdana" w:hAnsi="Verdana"/>
          <w:b/>
          <w:sz w:val="18"/>
          <w:szCs w:val="18"/>
        </w:rPr>
        <w:t>at most locally</w:t>
      </w:r>
      <w:r w:rsidRPr="00EC75B7">
        <w:rPr>
          <w:rFonts w:ascii="Verdana" w:hAnsi="Verdana"/>
          <w:sz w:val="18"/>
          <w:szCs w:val="18"/>
        </w:rPr>
        <w:t xml:space="preserve">, limited to the work fronts and the immediate vicinity. </w:t>
      </w:r>
      <w:r w:rsidRPr="00EC75B7">
        <w:rPr>
          <w:rFonts w:ascii="Verdana" w:hAnsi="Verdana"/>
          <w:b/>
          <w:sz w:val="18"/>
          <w:szCs w:val="18"/>
        </w:rPr>
        <w:t xml:space="preserve">The impact is </w:t>
      </w:r>
      <w:r w:rsidRPr="00EC75B7">
        <w:rPr>
          <w:rFonts w:ascii="Verdana" w:hAnsi="Verdana"/>
          <w:b/>
          <w:spacing w:val="-2"/>
          <w:sz w:val="18"/>
          <w:szCs w:val="18"/>
        </w:rPr>
        <w:t>insignificant</w:t>
      </w:r>
      <w:r w:rsidRPr="00EC75B7">
        <w:rPr>
          <w:rFonts w:ascii="Verdana" w:hAnsi="Verdana"/>
          <w:spacing w:val="-2"/>
          <w:sz w:val="18"/>
          <w:szCs w:val="18"/>
        </w:rPr>
        <w:t>.</w:t>
      </w:r>
    </w:p>
    <w:p w14:paraId="34264DD1" w14:textId="77777777" w:rsidR="008715BE" w:rsidRPr="00EC75B7" w:rsidRDefault="00000000">
      <w:pPr>
        <w:pStyle w:val="BodyText"/>
        <w:spacing w:before="109"/>
        <w:ind w:left="2"/>
        <w:rPr>
          <w:rFonts w:ascii="Verdana" w:hAnsi="Verdana"/>
        </w:rPr>
      </w:pPr>
      <w:r w:rsidRPr="00EC75B7">
        <w:rPr>
          <w:rFonts w:ascii="Verdana" w:hAnsi="Verdana"/>
        </w:rPr>
        <w:t xml:space="preserve">The impact on the quality and quantity of water sources is limited to the areas where work is carried out, and is </w:t>
      </w:r>
      <w:r w:rsidRPr="00EC75B7">
        <w:rPr>
          <w:rFonts w:ascii="Verdana" w:hAnsi="Verdana"/>
          <w:b/>
        </w:rPr>
        <w:t xml:space="preserve">unlikely </w:t>
      </w:r>
      <w:r w:rsidRPr="00EC75B7">
        <w:rPr>
          <w:rFonts w:ascii="Verdana" w:hAnsi="Verdana"/>
        </w:rPr>
        <w:t xml:space="preserve">if measures to prevent and avoid </w:t>
      </w:r>
      <w:r w:rsidRPr="00EC75B7">
        <w:rPr>
          <w:rFonts w:ascii="Verdana" w:hAnsi="Verdana"/>
          <w:spacing w:val="-2"/>
        </w:rPr>
        <w:t xml:space="preserve">impact </w:t>
      </w:r>
      <w:r w:rsidRPr="00EC75B7">
        <w:rPr>
          <w:rFonts w:ascii="Verdana" w:hAnsi="Verdana"/>
        </w:rPr>
        <w:t>are complied with</w:t>
      </w:r>
      <w:r w:rsidRPr="00EC75B7">
        <w:rPr>
          <w:rFonts w:ascii="Verdana" w:hAnsi="Verdana"/>
          <w:spacing w:val="-2"/>
        </w:rPr>
        <w:t>.</w:t>
      </w:r>
    </w:p>
    <w:p w14:paraId="3C842A4F" w14:textId="77777777" w:rsidR="008715BE" w:rsidRPr="00EC75B7" w:rsidRDefault="00000000">
      <w:pPr>
        <w:pStyle w:val="BodyText"/>
        <w:spacing w:before="107" w:line="360" w:lineRule="auto"/>
        <w:ind w:left="2" w:right="845"/>
        <w:jc w:val="both"/>
        <w:rPr>
          <w:rFonts w:ascii="Verdana" w:hAnsi="Verdana"/>
        </w:rPr>
      </w:pPr>
      <w:r w:rsidRPr="00EC75B7">
        <w:rPr>
          <w:rFonts w:ascii="Verdana" w:hAnsi="Verdana"/>
        </w:rPr>
        <w:t xml:space="preserve">The probability of a change in water quality can be considered </w:t>
      </w:r>
      <w:r w:rsidRPr="00EC75B7">
        <w:rPr>
          <w:rFonts w:ascii="Verdana" w:hAnsi="Verdana"/>
          <w:b/>
        </w:rPr>
        <w:t xml:space="preserve">unlikely </w:t>
      </w:r>
      <w:r w:rsidRPr="00EC75B7">
        <w:rPr>
          <w:rFonts w:ascii="Verdana" w:hAnsi="Verdana"/>
        </w:rPr>
        <w:t xml:space="preserve">in the event of accidental spills from machinery/vehicles or improper waste storage. In the event of accidental pollution, </w:t>
      </w:r>
      <w:r w:rsidRPr="00EC75B7">
        <w:rPr>
          <w:rFonts w:ascii="Verdana" w:hAnsi="Verdana"/>
          <w:b/>
        </w:rPr>
        <w:t>the negative impact will be temporary</w:t>
      </w:r>
      <w:r w:rsidRPr="00EC75B7">
        <w:rPr>
          <w:rFonts w:ascii="Verdana" w:hAnsi="Verdana"/>
        </w:rPr>
        <w:t xml:space="preserve">, as the Contractor is </w:t>
      </w:r>
      <w:r w:rsidRPr="00EC75B7">
        <w:rPr>
          <w:rFonts w:ascii="Verdana" w:hAnsi="Verdana"/>
          <w:b/>
        </w:rPr>
        <w:t xml:space="preserve">obliged to intervene immediately </w:t>
      </w:r>
      <w:r w:rsidRPr="00EC75B7">
        <w:rPr>
          <w:rFonts w:ascii="Verdana" w:hAnsi="Verdana"/>
        </w:rPr>
        <w:t>to stop the source of pollution and its spread outside the work area, as well as to notify the competent authorities.</w:t>
      </w:r>
    </w:p>
    <w:p w14:paraId="3557FB4E" w14:textId="77777777" w:rsidR="008715BE" w:rsidRPr="00EC75B7" w:rsidRDefault="00000000">
      <w:pPr>
        <w:spacing w:line="217" w:lineRule="exact"/>
        <w:ind w:left="2"/>
        <w:jc w:val="both"/>
        <w:rPr>
          <w:rFonts w:ascii="Verdana" w:hAnsi="Verdana"/>
          <w:sz w:val="18"/>
          <w:szCs w:val="18"/>
        </w:rPr>
      </w:pPr>
      <w:r w:rsidRPr="00EC75B7">
        <w:rPr>
          <w:rFonts w:ascii="Verdana" w:hAnsi="Verdana"/>
          <w:b/>
          <w:sz w:val="18"/>
          <w:szCs w:val="18"/>
        </w:rPr>
        <w:t>The frequency of impact is low</w:t>
      </w:r>
      <w:r w:rsidRPr="00EC75B7">
        <w:rPr>
          <w:rFonts w:ascii="Verdana" w:hAnsi="Verdana"/>
          <w:sz w:val="18"/>
          <w:szCs w:val="18"/>
        </w:rPr>
        <w:t xml:space="preserve">, provided that preventive measures are observed, and is </w:t>
      </w:r>
      <w:r w:rsidRPr="00EC75B7">
        <w:rPr>
          <w:rFonts w:ascii="Verdana" w:hAnsi="Verdana"/>
          <w:b/>
          <w:sz w:val="18"/>
          <w:szCs w:val="18"/>
        </w:rPr>
        <w:t xml:space="preserve">more likely to be caused by accidental and </w:t>
      </w:r>
      <w:r w:rsidRPr="00EC75B7">
        <w:rPr>
          <w:rFonts w:ascii="Verdana" w:hAnsi="Verdana"/>
          <w:b/>
          <w:spacing w:val="-2"/>
          <w:sz w:val="18"/>
          <w:szCs w:val="18"/>
        </w:rPr>
        <w:t xml:space="preserve">unpredictable </w:t>
      </w:r>
      <w:r w:rsidRPr="00EC75B7">
        <w:rPr>
          <w:rFonts w:ascii="Verdana" w:hAnsi="Verdana"/>
          <w:b/>
          <w:sz w:val="18"/>
          <w:szCs w:val="18"/>
        </w:rPr>
        <w:t>situations</w:t>
      </w:r>
      <w:r w:rsidRPr="00EC75B7">
        <w:rPr>
          <w:rFonts w:ascii="Verdana" w:hAnsi="Verdana"/>
          <w:spacing w:val="-2"/>
          <w:sz w:val="18"/>
          <w:szCs w:val="18"/>
        </w:rPr>
        <w:t>.</w:t>
      </w:r>
    </w:p>
    <w:p w14:paraId="0B50BAAD" w14:textId="77777777" w:rsidR="008715BE" w:rsidRPr="00EC75B7" w:rsidRDefault="00000000">
      <w:pPr>
        <w:pStyle w:val="BodyText"/>
        <w:spacing w:before="106"/>
        <w:ind w:left="2"/>
        <w:jc w:val="both"/>
        <w:rPr>
          <w:rFonts w:ascii="Verdana" w:hAnsi="Verdana"/>
        </w:rPr>
      </w:pPr>
      <w:r w:rsidRPr="00EC75B7">
        <w:rPr>
          <w:rFonts w:ascii="Verdana" w:hAnsi="Verdana"/>
        </w:rPr>
        <w:t xml:space="preserve">Given the specific nature of the project and the type of work carried out, it is estimated that, during the </w:t>
      </w:r>
      <w:r w:rsidRPr="00EC75B7">
        <w:rPr>
          <w:rFonts w:ascii="Verdana" w:hAnsi="Verdana"/>
          <w:b/>
        </w:rPr>
        <w:t xml:space="preserve">decommissioning </w:t>
      </w:r>
      <w:r w:rsidRPr="00EC75B7">
        <w:rPr>
          <w:rFonts w:ascii="Verdana" w:hAnsi="Verdana"/>
        </w:rPr>
        <w:t xml:space="preserve">phase, the impact generated will be of the same nature, magnitude, extent, and significance as that estimated during the </w:t>
      </w:r>
      <w:r w:rsidRPr="00EC75B7">
        <w:rPr>
          <w:rFonts w:ascii="Verdana" w:hAnsi="Verdana"/>
          <w:spacing w:val="-2"/>
        </w:rPr>
        <w:t xml:space="preserve">execution </w:t>
      </w:r>
      <w:r w:rsidRPr="00EC75B7">
        <w:rPr>
          <w:rFonts w:ascii="Verdana" w:hAnsi="Verdana"/>
        </w:rPr>
        <w:t>phase</w:t>
      </w:r>
      <w:r w:rsidRPr="00EC75B7">
        <w:rPr>
          <w:rFonts w:ascii="Verdana" w:hAnsi="Verdana"/>
          <w:spacing w:val="-2"/>
        </w:rPr>
        <w:t>.</w:t>
      </w:r>
    </w:p>
    <w:p w14:paraId="3316426F" w14:textId="77777777" w:rsidR="008715BE" w:rsidRPr="00EC75B7" w:rsidRDefault="008715BE">
      <w:pPr>
        <w:pStyle w:val="BodyText"/>
        <w:jc w:val="both"/>
        <w:rPr>
          <w:rFonts w:ascii="Verdana" w:hAnsi="Verdana"/>
        </w:rPr>
        <w:sectPr w:rsidR="008715BE" w:rsidRPr="00EC75B7">
          <w:pgSz w:w="23820" w:h="16840" w:orient="landscape"/>
          <w:pgMar w:top="1160" w:right="566" w:bottom="1020" w:left="850" w:header="766" w:footer="824" w:gutter="0"/>
          <w:cols w:space="708"/>
        </w:sectPr>
      </w:pPr>
    </w:p>
    <w:p w14:paraId="77FF7004" w14:textId="77777777" w:rsidR="008715BE" w:rsidRPr="00EC75B7" w:rsidRDefault="008715BE">
      <w:pPr>
        <w:pStyle w:val="BodyText"/>
        <w:rPr>
          <w:rFonts w:ascii="Verdana" w:hAnsi="Verdana"/>
        </w:rPr>
      </w:pPr>
    </w:p>
    <w:p w14:paraId="1D794589" w14:textId="77777777" w:rsidR="008715BE" w:rsidRPr="00EC75B7" w:rsidRDefault="008715BE">
      <w:pPr>
        <w:pStyle w:val="BodyText"/>
        <w:spacing w:before="157"/>
        <w:rPr>
          <w:rFonts w:ascii="Verdana" w:hAnsi="Verdana"/>
        </w:rPr>
      </w:pPr>
    </w:p>
    <w:p w14:paraId="506D6AD1" w14:textId="77777777" w:rsidR="008715BE" w:rsidRPr="00EC75B7" w:rsidRDefault="00000000">
      <w:pPr>
        <w:spacing w:before="1"/>
        <w:ind w:left="2"/>
        <w:rPr>
          <w:rFonts w:ascii="Verdana" w:hAnsi="Verdana"/>
          <w:b/>
          <w:sz w:val="18"/>
          <w:szCs w:val="18"/>
        </w:rPr>
      </w:pPr>
      <w:r w:rsidRPr="00EC75B7">
        <w:rPr>
          <w:rFonts w:ascii="Verdana" w:hAnsi="Verdana"/>
          <w:b/>
          <w:color w:val="00AFEF"/>
          <w:sz w:val="18"/>
          <w:szCs w:val="18"/>
        </w:rPr>
        <w:t xml:space="preserve">Table 40 Assessment of the project's impact on surface and groundwater quality (overall assessment, </w:t>
      </w:r>
      <w:r w:rsidRPr="00EC75B7">
        <w:rPr>
          <w:rFonts w:ascii="Verdana" w:hAnsi="Verdana"/>
          <w:b/>
          <w:color w:val="00AFEF"/>
          <w:spacing w:val="-2"/>
          <w:sz w:val="18"/>
          <w:szCs w:val="18"/>
        </w:rPr>
        <w:t xml:space="preserve">operation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943"/>
        <w:gridCol w:w="2256"/>
        <w:gridCol w:w="2448"/>
        <w:gridCol w:w="1985"/>
        <w:gridCol w:w="926"/>
        <w:gridCol w:w="792"/>
        <w:gridCol w:w="566"/>
        <w:gridCol w:w="994"/>
        <w:gridCol w:w="1133"/>
        <w:gridCol w:w="852"/>
        <w:gridCol w:w="1274"/>
        <w:gridCol w:w="996"/>
        <w:gridCol w:w="1413"/>
        <w:gridCol w:w="4953"/>
      </w:tblGrid>
      <w:tr w:rsidR="008715BE" w:rsidRPr="00EC75B7" w14:paraId="673B4542" w14:textId="77777777">
        <w:trPr>
          <w:trHeight w:val="1852"/>
        </w:trPr>
        <w:tc>
          <w:tcPr>
            <w:tcW w:w="943" w:type="dxa"/>
            <w:shd w:val="clear" w:color="auto" w:fill="00AFEF"/>
          </w:tcPr>
          <w:p w14:paraId="10A7A9CC" w14:textId="77777777" w:rsidR="008715BE" w:rsidRPr="00EC75B7" w:rsidRDefault="008715BE">
            <w:pPr>
              <w:pStyle w:val="TableParagraph"/>
              <w:rPr>
                <w:rFonts w:ascii="Verdana" w:hAnsi="Verdana"/>
                <w:b/>
                <w:sz w:val="18"/>
                <w:szCs w:val="18"/>
              </w:rPr>
            </w:pPr>
          </w:p>
          <w:p w14:paraId="0B29B0BC" w14:textId="77777777" w:rsidR="008715BE" w:rsidRPr="00EC75B7" w:rsidRDefault="008715BE">
            <w:pPr>
              <w:pStyle w:val="TableParagraph"/>
              <w:rPr>
                <w:rFonts w:ascii="Verdana" w:hAnsi="Verdana"/>
                <w:b/>
                <w:sz w:val="18"/>
                <w:szCs w:val="18"/>
              </w:rPr>
            </w:pPr>
          </w:p>
          <w:p w14:paraId="596DC38F" w14:textId="77777777" w:rsidR="008715BE" w:rsidRPr="00EC75B7" w:rsidRDefault="008715BE">
            <w:pPr>
              <w:pStyle w:val="TableParagraph"/>
              <w:rPr>
                <w:rFonts w:ascii="Verdana" w:hAnsi="Verdana"/>
                <w:b/>
                <w:sz w:val="18"/>
                <w:szCs w:val="18"/>
              </w:rPr>
            </w:pPr>
          </w:p>
          <w:p w14:paraId="62F425AE" w14:textId="77777777" w:rsidR="008715BE" w:rsidRPr="00EC75B7" w:rsidRDefault="008715BE">
            <w:pPr>
              <w:pStyle w:val="TableParagraph"/>
              <w:spacing w:before="45"/>
              <w:rPr>
                <w:rFonts w:ascii="Verdana" w:hAnsi="Verdana"/>
                <w:b/>
                <w:sz w:val="18"/>
                <w:szCs w:val="18"/>
              </w:rPr>
            </w:pPr>
          </w:p>
          <w:p w14:paraId="4B567128" w14:textId="77777777" w:rsidR="008715BE" w:rsidRPr="00EC75B7" w:rsidRDefault="00000000">
            <w:pPr>
              <w:pStyle w:val="TableParagraph"/>
              <w:ind w:left="10" w:right="2"/>
              <w:jc w:val="center"/>
              <w:rPr>
                <w:rFonts w:ascii="Verdana" w:hAnsi="Verdana"/>
                <w:b/>
                <w:sz w:val="18"/>
                <w:szCs w:val="18"/>
              </w:rPr>
            </w:pPr>
            <w:r w:rsidRPr="00EC75B7">
              <w:rPr>
                <w:rFonts w:ascii="Verdana" w:hAnsi="Verdana"/>
                <w:b/>
                <w:color w:val="FFFFFF"/>
                <w:spacing w:val="-4"/>
                <w:sz w:val="18"/>
                <w:szCs w:val="18"/>
              </w:rPr>
              <w:t>Stage</w:t>
            </w:r>
          </w:p>
        </w:tc>
        <w:tc>
          <w:tcPr>
            <w:tcW w:w="2256" w:type="dxa"/>
            <w:shd w:val="clear" w:color="auto" w:fill="00AFEF"/>
          </w:tcPr>
          <w:p w14:paraId="4E3FE96A" w14:textId="77777777" w:rsidR="008715BE" w:rsidRPr="00EC75B7" w:rsidRDefault="008715BE">
            <w:pPr>
              <w:pStyle w:val="TableParagraph"/>
              <w:rPr>
                <w:rFonts w:ascii="Verdana" w:hAnsi="Verdana"/>
                <w:b/>
                <w:sz w:val="18"/>
                <w:szCs w:val="18"/>
              </w:rPr>
            </w:pPr>
          </w:p>
          <w:p w14:paraId="04EA7834" w14:textId="77777777" w:rsidR="008715BE" w:rsidRPr="00EC75B7" w:rsidRDefault="008715BE">
            <w:pPr>
              <w:pStyle w:val="TableParagraph"/>
              <w:rPr>
                <w:rFonts w:ascii="Verdana" w:hAnsi="Verdana"/>
                <w:b/>
                <w:sz w:val="18"/>
                <w:szCs w:val="18"/>
              </w:rPr>
            </w:pPr>
          </w:p>
          <w:p w14:paraId="32121D90" w14:textId="77777777" w:rsidR="008715BE" w:rsidRPr="00EC75B7" w:rsidRDefault="008715BE">
            <w:pPr>
              <w:pStyle w:val="TableParagraph"/>
              <w:rPr>
                <w:rFonts w:ascii="Verdana" w:hAnsi="Verdana"/>
                <w:b/>
                <w:sz w:val="18"/>
                <w:szCs w:val="18"/>
              </w:rPr>
            </w:pPr>
          </w:p>
          <w:p w14:paraId="7C04D967" w14:textId="77777777" w:rsidR="008715BE" w:rsidRPr="00EC75B7" w:rsidRDefault="008715BE">
            <w:pPr>
              <w:pStyle w:val="TableParagraph"/>
              <w:spacing w:before="45"/>
              <w:rPr>
                <w:rFonts w:ascii="Verdana" w:hAnsi="Verdana"/>
                <w:b/>
                <w:sz w:val="18"/>
                <w:szCs w:val="18"/>
              </w:rPr>
            </w:pPr>
          </w:p>
          <w:p w14:paraId="6115382E" w14:textId="77777777" w:rsidR="008715BE" w:rsidRPr="00EC75B7" w:rsidRDefault="00000000">
            <w:pPr>
              <w:pStyle w:val="TableParagraph"/>
              <w:ind w:left="136"/>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448" w:type="dxa"/>
            <w:shd w:val="clear" w:color="auto" w:fill="00AFEF"/>
          </w:tcPr>
          <w:p w14:paraId="06192EFB" w14:textId="77777777" w:rsidR="008715BE" w:rsidRPr="00EC75B7" w:rsidRDefault="008715BE">
            <w:pPr>
              <w:pStyle w:val="TableParagraph"/>
              <w:rPr>
                <w:rFonts w:ascii="Verdana" w:hAnsi="Verdana"/>
                <w:b/>
                <w:sz w:val="18"/>
                <w:szCs w:val="18"/>
              </w:rPr>
            </w:pPr>
          </w:p>
          <w:p w14:paraId="0F2C06BD" w14:textId="77777777" w:rsidR="008715BE" w:rsidRPr="00EC75B7" w:rsidRDefault="008715BE">
            <w:pPr>
              <w:pStyle w:val="TableParagraph"/>
              <w:rPr>
                <w:rFonts w:ascii="Verdana" w:hAnsi="Verdana"/>
                <w:b/>
                <w:sz w:val="18"/>
                <w:szCs w:val="18"/>
              </w:rPr>
            </w:pPr>
          </w:p>
          <w:p w14:paraId="270B32F0" w14:textId="77777777" w:rsidR="008715BE" w:rsidRPr="00EC75B7" w:rsidRDefault="008715BE">
            <w:pPr>
              <w:pStyle w:val="TableParagraph"/>
              <w:rPr>
                <w:rFonts w:ascii="Verdana" w:hAnsi="Verdana"/>
                <w:b/>
                <w:sz w:val="18"/>
                <w:szCs w:val="18"/>
              </w:rPr>
            </w:pPr>
          </w:p>
          <w:p w14:paraId="73ADF674" w14:textId="77777777" w:rsidR="008715BE" w:rsidRPr="00EC75B7" w:rsidRDefault="008715BE">
            <w:pPr>
              <w:pStyle w:val="TableParagraph"/>
              <w:spacing w:before="45"/>
              <w:rPr>
                <w:rFonts w:ascii="Verdana" w:hAnsi="Verdana"/>
                <w:b/>
                <w:sz w:val="18"/>
                <w:szCs w:val="18"/>
              </w:rPr>
            </w:pPr>
          </w:p>
          <w:p w14:paraId="73D4B51A" w14:textId="77777777" w:rsidR="008715BE" w:rsidRPr="00EC75B7" w:rsidRDefault="00000000">
            <w:pPr>
              <w:pStyle w:val="TableParagraph"/>
              <w:ind w:left="7"/>
              <w:jc w:val="center"/>
              <w:rPr>
                <w:rFonts w:ascii="Verdana" w:hAnsi="Verdana"/>
                <w:b/>
                <w:sz w:val="18"/>
                <w:szCs w:val="18"/>
              </w:rPr>
            </w:pPr>
            <w:r w:rsidRPr="00EC75B7">
              <w:rPr>
                <w:rFonts w:ascii="Verdana" w:hAnsi="Verdana"/>
                <w:b/>
                <w:color w:val="FFFFFF"/>
                <w:spacing w:val="-2"/>
                <w:sz w:val="18"/>
                <w:szCs w:val="18"/>
              </w:rPr>
              <w:t>Effects</w:t>
            </w:r>
          </w:p>
        </w:tc>
        <w:tc>
          <w:tcPr>
            <w:tcW w:w="1985" w:type="dxa"/>
            <w:shd w:val="clear" w:color="auto" w:fill="00AFEF"/>
          </w:tcPr>
          <w:p w14:paraId="4234951D" w14:textId="77777777" w:rsidR="008715BE" w:rsidRPr="00EC75B7" w:rsidRDefault="008715BE">
            <w:pPr>
              <w:pStyle w:val="TableParagraph"/>
              <w:rPr>
                <w:rFonts w:ascii="Verdana" w:hAnsi="Verdana"/>
                <w:b/>
                <w:sz w:val="18"/>
                <w:szCs w:val="18"/>
              </w:rPr>
            </w:pPr>
          </w:p>
          <w:p w14:paraId="76495E50" w14:textId="77777777" w:rsidR="008715BE" w:rsidRPr="00EC75B7" w:rsidRDefault="008715BE">
            <w:pPr>
              <w:pStyle w:val="TableParagraph"/>
              <w:rPr>
                <w:rFonts w:ascii="Verdana" w:hAnsi="Verdana"/>
                <w:b/>
                <w:sz w:val="18"/>
                <w:szCs w:val="18"/>
              </w:rPr>
            </w:pPr>
          </w:p>
          <w:p w14:paraId="77B408AA" w14:textId="77777777" w:rsidR="008715BE" w:rsidRPr="00EC75B7" w:rsidRDefault="008715BE">
            <w:pPr>
              <w:pStyle w:val="TableParagraph"/>
              <w:spacing w:before="144"/>
              <w:rPr>
                <w:rFonts w:ascii="Verdana" w:hAnsi="Verdana"/>
                <w:b/>
                <w:sz w:val="18"/>
                <w:szCs w:val="18"/>
              </w:rPr>
            </w:pPr>
          </w:p>
          <w:p w14:paraId="50BD4749" w14:textId="77777777" w:rsidR="008715BE" w:rsidRPr="00EC75B7" w:rsidRDefault="00000000">
            <w:pPr>
              <w:pStyle w:val="TableParagraph"/>
              <w:spacing w:before="1" w:line="195" w:lineRule="exact"/>
              <w:ind w:left="7"/>
              <w:jc w:val="center"/>
              <w:rPr>
                <w:rFonts w:ascii="Verdana" w:hAnsi="Verdana"/>
                <w:b/>
                <w:sz w:val="18"/>
                <w:szCs w:val="18"/>
              </w:rPr>
            </w:pPr>
            <w:r w:rsidRPr="00EC75B7">
              <w:rPr>
                <w:rFonts w:ascii="Verdana" w:hAnsi="Verdana"/>
                <w:b/>
                <w:color w:val="FFFFFF"/>
                <w:spacing w:val="-2"/>
                <w:sz w:val="18"/>
                <w:szCs w:val="18"/>
              </w:rPr>
              <w:t xml:space="preserve">Potential </w:t>
            </w:r>
            <w:r w:rsidRPr="00EC75B7">
              <w:rPr>
                <w:rFonts w:ascii="Verdana" w:hAnsi="Verdana"/>
                <w:b/>
                <w:color w:val="FFFFFF"/>
                <w:sz w:val="18"/>
                <w:szCs w:val="18"/>
              </w:rPr>
              <w:t>forms</w:t>
            </w:r>
          </w:p>
          <w:p w14:paraId="08649A28" w14:textId="77777777" w:rsidR="008715BE" w:rsidRPr="00EC75B7" w:rsidRDefault="00000000">
            <w:pPr>
              <w:pStyle w:val="TableParagraph"/>
              <w:spacing w:line="195" w:lineRule="exact"/>
              <w:ind w:left="10"/>
              <w:jc w:val="center"/>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impact</w:t>
            </w:r>
          </w:p>
        </w:tc>
        <w:tc>
          <w:tcPr>
            <w:tcW w:w="926" w:type="dxa"/>
            <w:shd w:val="clear" w:color="auto" w:fill="00AFEF"/>
            <w:textDirection w:val="btLr"/>
          </w:tcPr>
          <w:p w14:paraId="167AB3D2" w14:textId="77777777" w:rsidR="008715BE" w:rsidRPr="00EC75B7" w:rsidRDefault="008715BE">
            <w:pPr>
              <w:pStyle w:val="TableParagraph"/>
              <w:spacing w:before="178"/>
              <w:rPr>
                <w:rFonts w:ascii="Verdana" w:hAnsi="Verdana"/>
                <w:b/>
                <w:sz w:val="18"/>
                <w:szCs w:val="18"/>
              </w:rPr>
            </w:pPr>
          </w:p>
          <w:p w14:paraId="7C51371B" w14:textId="77777777" w:rsidR="008715BE" w:rsidRPr="00EC75B7" w:rsidRDefault="00000000">
            <w:pPr>
              <w:pStyle w:val="TableParagraph"/>
              <w:ind w:left="182"/>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792" w:type="dxa"/>
            <w:shd w:val="clear" w:color="auto" w:fill="00AFEF"/>
            <w:textDirection w:val="btLr"/>
          </w:tcPr>
          <w:p w14:paraId="52BC1360" w14:textId="77777777" w:rsidR="008715BE" w:rsidRPr="00EC75B7" w:rsidRDefault="008715BE">
            <w:pPr>
              <w:pStyle w:val="TableParagraph"/>
              <w:spacing w:before="111"/>
              <w:rPr>
                <w:rFonts w:ascii="Verdana" w:hAnsi="Verdana"/>
                <w:b/>
                <w:sz w:val="18"/>
                <w:szCs w:val="18"/>
              </w:rPr>
            </w:pPr>
          </w:p>
          <w:p w14:paraId="14401A6D" w14:textId="77777777" w:rsidR="008715BE" w:rsidRPr="00EC75B7" w:rsidRDefault="00000000">
            <w:pPr>
              <w:pStyle w:val="TableParagraph"/>
              <w:spacing w:before="1"/>
              <w:ind w:left="126"/>
              <w:rPr>
                <w:rFonts w:ascii="Verdana" w:hAnsi="Verdana"/>
                <w:b/>
                <w:sz w:val="18"/>
                <w:szCs w:val="18"/>
              </w:rPr>
            </w:pPr>
            <w:r w:rsidRPr="00EC75B7">
              <w:rPr>
                <w:rFonts w:ascii="Verdana" w:hAnsi="Verdana"/>
                <w:b/>
                <w:color w:val="FFFFFF"/>
                <w:sz w:val="18"/>
                <w:szCs w:val="18"/>
              </w:rPr>
              <w:t xml:space="preserve">Nature </w:t>
            </w:r>
            <w:r w:rsidRPr="00EC75B7">
              <w:rPr>
                <w:rFonts w:ascii="Verdana" w:hAnsi="Verdana"/>
                <w:b/>
                <w:color w:val="FFFFFF"/>
                <w:spacing w:val="-2"/>
                <w:sz w:val="18"/>
                <w:szCs w:val="18"/>
              </w:rPr>
              <w:t>of impact</w:t>
            </w:r>
          </w:p>
        </w:tc>
        <w:tc>
          <w:tcPr>
            <w:tcW w:w="566" w:type="dxa"/>
            <w:shd w:val="clear" w:color="auto" w:fill="00AFEF"/>
            <w:textDirection w:val="btLr"/>
          </w:tcPr>
          <w:p w14:paraId="7A42852F" w14:textId="77777777" w:rsidR="008715BE" w:rsidRPr="00EC75B7" w:rsidRDefault="00000000">
            <w:pPr>
              <w:pStyle w:val="TableParagraph"/>
              <w:spacing w:before="194"/>
              <w:ind w:left="59"/>
              <w:rPr>
                <w:rFonts w:ascii="Verdana" w:hAnsi="Verdana"/>
                <w:b/>
                <w:sz w:val="18"/>
                <w:szCs w:val="18"/>
              </w:rPr>
            </w:pPr>
            <w:r w:rsidRPr="00EC75B7">
              <w:rPr>
                <w:rFonts w:ascii="Verdana" w:hAnsi="Verdana"/>
                <w:b/>
                <w:color w:val="FFFFFF"/>
                <w:spacing w:val="-2"/>
                <w:sz w:val="18"/>
                <w:szCs w:val="18"/>
              </w:rPr>
              <w:t xml:space="preserve">Cumulative </w:t>
            </w:r>
            <w:r w:rsidRPr="00EC75B7">
              <w:rPr>
                <w:rFonts w:ascii="Verdana" w:hAnsi="Verdana"/>
                <w:b/>
                <w:color w:val="FFFFFF"/>
                <w:sz w:val="18"/>
                <w:szCs w:val="18"/>
              </w:rPr>
              <w:t>potential</w:t>
            </w:r>
          </w:p>
        </w:tc>
        <w:tc>
          <w:tcPr>
            <w:tcW w:w="994" w:type="dxa"/>
            <w:shd w:val="clear" w:color="auto" w:fill="00AFEF"/>
            <w:textDirection w:val="btLr"/>
          </w:tcPr>
          <w:p w14:paraId="64FC681D" w14:textId="77777777" w:rsidR="008715BE" w:rsidRPr="00EC75B7" w:rsidRDefault="008715BE">
            <w:pPr>
              <w:pStyle w:val="TableParagraph"/>
              <w:rPr>
                <w:rFonts w:ascii="Verdana" w:hAnsi="Verdana"/>
                <w:b/>
                <w:sz w:val="18"/>
                <w:szCs w:val="18"/>
              </w:rPr>
            </w:pPr>
          </w:p>
          <w:p w14:paraId="42330D1B" w14:textId="77777777" w:rsidR="008715BE" w:rsidRPr="00EC75B7" w:rsidRDefault="008715BE">
            <w:pPr>
              <w:pStyle w:val="TableParagraph"/>
              <w:spacing w:before="18"/>
              <w:rPr>
                <w:rFonts w:ascii="Verdana" w:hAnsi="Verdana"/>
                <w:b/>
                <w:sz w:val="18"/>
                <w:szCs w:val="18"/>
              </w:rPr>
            </w:pPr>
          </w:p>
          <w:p w14:paraId="3B8AA637" w14:textId="77777777" w:rsidR="008715BE" w:rsidRPr="00EC75B7" w:rsidRDefault="00000000">
            <w:pPr>
              <w:pStyle w:val="TableParagraph"/>
              <w:ind w:left="628"/>
              <w:rPr>
                <w:rFonts w:ascii="Verdana" w:hAnsi="Verdana"/>
                <w:b/>
                <w:sz w:val="18"/>
                <w:szCs w:val="18"/>
              </w:rPr>
            </w:pPr>
            <w:r w:rsidRPr="00EC75B7">
              <w:rPr>
                <w:rFonts w:ascii="Verdana" w:hAnsi="Verdana"/>
                <w:b/>
                <w:color w:val="FFFFFF"/>
                <w:spacing w:val="-2"/>
                <w:sz w:val="18"/>
                <w:szCs w:val="18"/>
              </w:rPr>
              <w:t>Duration</w:t>
            </w:r>
          </w:p>
        </w:tc>
        <w:tc>
          <w:tcPr>
            <w:tcW w:w="1133" w:type="dxa"/>
            <w:shd w:val="clear" w:color="auto" w:fill="00AFEF"/>
            <w:textDirection w:val="btLr"/>
          </w:tcPr>
          <w:p w14:paraId="51176AEA" w14:textId="77777777" w:rsidR="008715BE" w:rsidRPr="00EC75B7" w:rsidRDefault="008715BE">
            <w:pPr>
              <w:pStyle w:val="TableParagraph"/>
              <w:spacing w:before="181"/>
              <w:rPr>
                <w:rFonts w:ascii="Verdana" w:hAnsi="Verdana"/>
                <w:b/>
                <w:sz w:val="18"/>
                <w:szCs w:val="18"/>
              </w:rPr>
            </w:pPr>
          </w:p>
          <w:p w14:paraId="0A6D722C" w14:textId="77777777" w:rsidR="008715BE" w:rsidRPr="00EC75B7" w:rsidRDefault="00000000">
            <w:pPr>
              <w:pStyle w:val="TableParagraph"/>
              <w:spacing w:before="1" w:line="244" w:lineRule="auto"/>
              <w:ind w:left="587"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852" w:type="dxa"/>
            <w:shd w:val="clear" w:color="auto" w:fill="00AFEF"/>
            <w:textDirection w:val="btLr"/>
          </w:tcPr>
          <w:p w14:paraId="23C1A953" w14:textId="77777777" w:rsidR="008715BE" w:rsidRPr="00EC75B7" w:rsidRDefault="008715BE">
            <w:pPr>
              <w:pStyle w:val="TableParagraph"/>
              <w:spacing w:before="140"/>
              <w:rPr>
                <w:rFonts w:ascii="Verdana" w:hAnsi="Verdana"/>
                <w:b/>
                <w:sz w:val="18"/>
                <w:szCs w:val="18"/>
              </w:rPr>
            </w:pPr>
          </w:p>
          <w:p w14:paraId="5789967D" w14:textId="77777777" w:rsidR="008715BE" w:rsidRPr="00EC75B7" w:rsidRDefault="00000000">
            <w:pPr>
              <w:pStyle w:val="TableParagraph"/>
              <w:spacing w:before="1"/>
              <w:ind w:left="450"/>
              <w:rPr>
                <w:rFonts w:ascii="Verdana" w:hAnsi="Verdana"/>
                <w:b/>
                <w:sz w:val="18"/>
                <w:szCs w:val="18"/>
              </w:rPr>
            </w:pPr>
            <w:r w:rsidRPr="00EC75B7">
              <w:rPr>
                <w:rFonts w:ascii="Verdana" w:hAnsi="Verdana"/>
                <w:b/>
                <w:color w:val="FFFFFF"/>
                <w:spacing w:val="-2"/>
                <w:sz w:val="18"/>
                <w:szCs w:val="18"/>
              </w:rPr>
              <w:t>Extent</w:t>
            </w:r>
          </w:p>
        </w:tc>
        <w:tc>
          <w:tcPr>
            <w:tcW w:w="1274" w:type="dxa"/>
            <w:shd w:val="clear" w:color="auto" w:fill="00AFEF"/>
            <w:textDirection w:val="btLr"/>
          </w:tcPr>
          <w:p w14:paraId="545F223C" w14:textId="77777777" w:rsidR="008715BE" w:rsidRPr="00EC75B7" w:rsidRDefault="008715BE">
            <w:pPr>
              <w:pStyle w:val="TableParagraph"/>
              <w:rPr>
                <w:rFonts w:ascii="Verdana" w:hAnsi="Verdana"/>
                <w:b/>
                <w:sz w:val="18"/>
                <w:szCs w:val="18"/>
              </w:rPr>
            </w:pPr>
          </w:p>
          <w:p w14:paraId="60B1360E" w14:textId="77777777" w:rsidR="008715BE" w:rsidRPr="00EC75B7" w:rsidRDefault="008715BE">
            <w:pPr>
              <w:pStyle w:val="TableParagraph"/>
              <w:spacing w:before="156"/>
              <w:rPr>
                <w:rFonts w:ascii="Verdana" w:hAnsi="Verdana"/>
                <w:b/>
                <w:sz w:val="18"/>
                <w:szCs w:val="18"/>
              </w:rPr>
            </w:pPr>
          </w:p>
          <w:p w14:paraId="0973A443" w14:textId="77777777" w:rsidR="008715BE" w:rsidRPr="00EC75B7" w:rsidRDefault="00000000">
            <w:pPr>
              <w:pStyle w:val="TableParagraph"/>
              <w:spacing w:before="1"/>
              <w:ind w:left="302"/>
              <w:rPr>
                <w:rFonts w:ascii="Verdana" w:hAnsi="Verdana"/>
                <w:b/>
                <w:sz w:val="18"/>
                <w:szCs w:val="18"/>
              </w:rPr>
            </w:pPr>
            <w:r w:rsidRPr="00EC75B7">
              <w:rPr>
                <w:rFonts w:ascii="Verdana" w:hAnsi="Verdana"/>
                <w:b/>
                <w:color w:val="FFFFFF"/>
                <w:spacing w:val="-2"/>
                <w:sz w:val="18"/>
                <w:szCs w:val="18"/>
              </w:rPr>
              <w:t>Probability</w:t>
            </w:r>
          </w:p>
        </w:tc>
        <w:tc>
          <w:tcPr>
            <w:tcW w:w="996" w:type="dxa"/>
            <w:shd w:val="clear" w:color="auto" w:fill="00AFEF"/>
            <w:textDirection w:val="btLr"/>
          </w:tcPr>
          <w:p w14:paraId="34714468" w14:textId="77777777" w:rsidR="008715BE" w:rsidRPr="00EC75B7" w:rsidRDefault="008715BE">
            <w:pPr>
              <w:pStyle w:val="TableParagraph"/>
              <w:rPr>
                <w:rFonts w:ascii="Verdana" w:hAnsi="Verdana"/>
                <w:b/>
                <w:sz w:val="18"/>
                <w:szCs w:val="18"/>
              </w:rPr>
            </w:pPr>
          </w:p>
          <w:p w14:paraId="785A07BE" w14:textId="77777777" w:rsidR="008715BE" w:rsidRPr="00EC75B7" w:rsidRDefault="008715BE">
            <w:pPr>
              <w:pStyle w:val="TableParagraph"/>
              <w:spacing w:before="21"/>
              <w:rPr>
                <w:rFonts w:ascii="Verdana" w:hAnsi="Verdana"/>
                <w:b/>
                <w:sz w:val="18"/>
                <w:szCs w:val="18"/>
              </w:rPr>
            </w:pPr>
          </w:p>
          <w:p w14:paraId="30E80C8B" w14:textId="77777777" w:rsidR="008715BE" w:rsidRPr="00EC75B7" w:rsidRDefault="00000000">
            <w:pPr>
              <w:pStyle w:val="TableParagraph"/>
              <w:ind w:left="227"/>
              <w:rPr>
                <w:rFonts w:ascii="Verdana" w:hAnsi="Verdana"/>
                <w:b/>
                <w:sz w:val="18"/>
                <w:szCs w:val="18"/>
              </w:rPr>
            </w:pPr>
            <w:r w:rsidRPr="00EC75B7">
              <w:rPr>
                <w:rFonts w:ascii="Verdana" w:hAnsi="Verdana"/>
                <w:b/>
                <w:color w:val="FFFFFF"/>
                <w:spacing w:val="-2"/>
                <w:sz w:val="18"/>
                <w:szCs w:val="18"/>
              </w:rPr>
              <w:t>Reversibility</w:t>
            </w:r>
          </w:p>
        </w:tc>
        <w:tc>
          <w:tcPr>
            <w:tcW w:w="1413" w:type="dxa"/>
            <w:shd w:val="clear" w:color="auto" w:fill="00AFEF"/>
            <w:textDirection w:val="btLr"/>
          </w:tcPr>
          <w:p w14:paraId="51360889" w14:textId="77777777" w:rsidR="008715BE" w:rsidRPr="00EC75B7" w:rsidRDefault="008715BE">
            <w:pPr>
              <w:pStyle w:val="TableParagraph"/>
              <w:rPr>
                <w:rFonts w:ascii="Verdana" w:hAnsi="Verdana"/>
                <w:b/>
                <w:sz w:val="18"/>
                <w:szCs w:val="18"/>
              </w:rPr>
            </w:pPr>
          </w:p>
          <w:p w14:paraId="20F25A05" w14:textId="77777777" w:rsidR="008715BE" w:rsidRPr="00EC75B7" w:rsidRDefault="008715BE">
            <w:pPr>
              <w:pStyle w:val="TableParagraph"/>
              <w:spacing w:before="129"/>
              <w:rPr>
                <w:rFonts w:ascii="Verdana" w:hAnsi="Verdana"/>
                <w:b/>
                <w:sz w:val="18"/>
                <w:szCs w:val="18"/>
              </w:rPr>
            </w:pPr>
          </w:p>
          <w:p w14:paraId="0C743B06" w14:textId="77777777" w:rsidR="008715BE" w:rsidRPr="00EC75B7" w:rsidRDefault="00000000">
            <w:pPr>
              <w:pStyle w:val="TableParagraph"/>
              <w:ind w:left="376"/>
              <w:rPr>
                <w:rFonts w:ascii="Verdana" w:hAnsi="Verdana"/>
                <w:b/>
                <w:sz w:val="18"/>
                <w:szCs w:val="18"/>
              </w:rPr>
            </w:pPr>
            <w:r w:rsidRPr="00EC75B7">
              <w:rPr>
                <w:rFonts w:ascii="Verdana" w:hAnsi="Verdana"/>
                <w:b/>
                <w:color w:val="FFFFFF"/>
                <w:spacing w:val="-2"/>
                <w:sz w:val="18"/>
                <w:szCs w:val="18"/>
              </w:rPr>
              <w:t>Significance</w:t>
            </w:r>
          </w:p>
          <w:p w14:paraId="62091A69" w14:textId="77777777" w:rsidR="008715BE" w:rsidRPr="00EC75B7" w:rsidRDefault="00000000">
            <w:pPr>
              <w:pStyle w:val="TableParagraph"/>
              <w:spacing w:before="4"/>
              <w:ind w:left="460"/>
              <w:rPr>
                <w:rFonts w:ascii="Verdana" w:hAnsi="Verdana"/>
                <w:b/>
                <w:sz w:val="18"/>
                <w:szCs w:val="18"/>
              </w:rPr>
            </w:pPr>
            <w:r w:rsidRPr="00EC75B7">
              <w:rPr>
                <w:rFonts w:ascii="Verdana" w:hAnsi="Verdana"/>
                <w:b/>
                <w:color w:val="FFFFFF"/>
                <w:spacing w:val="-2"/>
                <w:sz w:val="18"/>
                <w:szCs w:val="18"/>
              </w:rPr>
              <w:t>of impact</w:t>
            </w:r>
          </w:p>
        </w:tc>
        <w:tc>
          <w:tcPr>
            <w:tcW w:w="4953" w:type="dxa"/>
            <w:shd w:val="clear" w:color="auto" w:fill="00AFEF"/>
          </w:tcPr>
          <w:p w14:paraId="1247280E" w14:textId="77777777" w:rsidR="008715BE" w:rsidRPr="00EC75B7" w:rsidRDefault="008715BE">
            <w:pPr>
              <w:pStyle w:val="TableParagraph"/>
              <w:rPr>
                <w:rFonts w:ascii="Verdana" w:hAnsi="Verdana"/>
                <w:b/>
                <w:sz w:val="18"/>
                <w:szCs w:val="18"/>
              </w:rPr>
            </w:pPr>
          </w:p>
          <w:p w14:paraId="4ED868DE" w14:textId="77777777" w:rsidR="008715BE" w:rsidRPr="00EC75B7" w:rsidRDefault="008715BE">
            <w:pPr>
              <w:pStyle w:val="TableParagraph"/>
              <w:rPr>
                <w:rFonts w:ascii="Verdana" w:hAnsi="Verdana"/>
                <w:b/>
                <w:sz w:val="18"/>
                <w:szCs w:val="18"/>
              </w:rPr>
            </w:pPr>
          </w:p>
          <w:p w14:paraId="5F3BE6EF" w14:textId="77777777" w:rsidR="008715BE" w:rsidRPr="00EC75B7" w:rsidRDefault="008715BE">
            <w:pPr>
              <w:pStyle w:val="TableParagraph"/>
              <w:rPr>
                <w:rFonts w:ascii="Verdana" w:hAnsi="Verdana"/>
                <w:b/>
                <w:sz w:val="18"/>
                <w:szCs w:val="18"/>
              </w:rPr>
            </w:pPr>
          </w:p>
          <w:p w14:paraId="18175A4F" w14:textId="77777777" w:rsidR="008715BE" w:rsidRPr="00EC75B7" w:rsidRDefault="008715BE">
            <w:pPr>
              <w:pStyle w:val="TableParagraph"/>
              <w:spacing w:before="45"/>
              <w:rPr>
                <w:rFonts w:ascii="Verdana" w:hAnsi="Verdana"/>
                <w:b/>
                <w:sz w:val="18"/>
                <w:szCs w:val="18"/>
              </w:rPr>
            </w:pPr>
          </w:p>
          <w:p w14:paraId="52F0495D"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7465C070" w14:textId="77777777">
        <w:trPr>
          <w:trHeight w:val="2138"/>
        </w:trPr>
        <w:tc>
          <w:tcPr>
            <w:tcW w:w="943" w:type="dxa"/>
          </w:tcPr>
          <w:p w14:paraId="67DCD1F6" w14:textId="77777777" w:rsidR="008715BE" w:rsidRPr="00EC75B7" w:rsidRDefault="00000000">
            <w:pPr>
              <w:pStyle w:val="TableParagraph"/>
              <w:spacing w:line="194" w:lineRule="exact"/>
              <w:ind w:left="10"/>
              <w:jc w:val="center"/>
              <w:rPr>
                <w:rFonts w:ascii="Verdana" w:hAnsi="Verdana"/>
                <w:b/>
                <w:sz w:val="18"/>
                <w:szCs w:val="18"/>
              </w:rPr>
            </w:pPr>
            <w:r w:rsidRPr="00EC75B7">
              <w:rPr>
                <w:rFonts w:ascii="Verdana" w:hAnsi="Verdana"/>
                <w:b/>
                <w:spacing w:val="-2"/>
                <w:sz w:val="18"/>
                <w:szCs w:val="18"/>
              </w:rPr>
              <w:t>Operation</w:t>
            </w:r>
          </w:p>
        </w:tc>
        <w:tc>
          <w:tcPr>
            <w:tcW w:w="2256" w:type="dxa"/>
          </w:tcPr>
          <w:p w14:paraId="1D6FB42B" w14:textId="77777777" w:rsidR="008715BE" w:rsidRPr="00EC75B7" w:rsidRDefault="00000000">
            <w:pPr>
              <w:pStyle w:val="TableParagraph"/>
              <w:ind w:left="108" w:right="155"/>
              <w:rPr>
                <w:rFonts w:ascii="Verdana" w:hAnsi="Verdana"/>
                <w:b/>
                <w:sz w:val="18"/>
                <w:szCs w:val="18"/>
              </w:rPr>
            </w:pPr>
            <w:r w:rsidRPr="00EC75B7">
              <w:rPr>
                <w:rFonts w:ascii="Verdana" w:hAnsi="Verdana"/>
                <w:b/>
                <w:spacing w:val="-4"/>
                <w:sz w:val="18"/>
                <w:szCs w:val="18"/>
              </w:rPr>
              <w:t xml:space="preserve">Maintenance and </w:t>
            </w:r>
            <w:r w:rsidRPr="00EC75B7">
              <w:rPr>
                <w:rFonts w:ascii="Verdana" w:hAnsi="Verdana"/>
                <w:b/>
                <w:spacing w:val="-2"/>
                <w:sz w:val="18"/>
                <w:szCs w:val="18"/>
              </w:rPr>
              <w:t>repairs</w:t>
            </w:r>
          </w:p>
        </w:tc>
        <w:tc>
          <w:tcPr>
            <w:tcW w:w="2448" w:type="dxa"/>
          </w:tcPr>
          <w:p w14:paraId="615F9B61" w14:textId="77777777" w:rsidR="008715BE" w:rsidRPr="00EC75B7" w:rsidRDefault="00000000">
            <w:pPr>
              <w:pStyle w:val="TableParagraph"/>
              <w:tabs>
                <w:tab w:val="left" w:pos="959"/>
                <w:tab w:val="left" w:pos="998"/>
                <w:tab w:val="left" w:pos="1809"/>
                <w:tab w:val="left" w:pos="2145"/>
              </w:tabs>
              <w:ind w:left="105" w:right="95"/>
              <w:rPr>
                <w:rFonts w:ascii="Verdana" w:hAnsi="Verdana"/>
                <w:sz w:val="18"/>
                <w:szCs w:val="18"/>
              </w:rPr>
            </w:pPr>
            <w:r w:rsidRPr="00EC75B7">
              <w:rPr>
                <w:rFonts w:ascii="Verdana" w:hAnsi="Verdana"/>
                <w:spacing w:val="-2"/>
                <w:sz w:val="18"/>
                <w:szCs w:val="18"/>
              </w:rPr>
              <w:t>Leaks</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Accidents</w:t>
            </w:r>
            <w:r w:rsidRPr="00EC75B7">
              <w:rPr>
                <w:rFonts w:ascii="Verdana" w:hAnsi="Verdana"/>
                <w:sz w:val="18"/>
                <w:szCs w:val="18"/>
              </w:rPr>
              <w:tab/>
            </w:r>
            <w:r w:rsidRPr="00EC75B7">
              <w:rPr>
                <w:rFonts w:ascii="Verdana" w:hAnsi="Verdana"/>
                <w:spacing w:val="-6"/>
                <w:sz w:val="18"/>
                <w:szCs w:val="18"/>
              </w:rPr>
              <w:t xml:space="preserve">of </w:t>
            </w:r>
            <w:r w:rsidRPr="00EC75B7">
              <w:rPr>
                <w:rFonts w:ascii="Verdana" w:hAnsi="Verdana"/>
                <w:sz w:val="18"/>
                <w:szCs w:val="18"/>
              </w:rPr>
              <w:t xml:space="preserve">pollutants from </w:t>
            </w:r>
            <w:r w:rsidRPr="00EC75B7">
              <w:rPr>
                <w:rFonts w:ascii="Verdana" w:hAnsi="Verdana"/>
                <w:spacing w:val="-2"/>
                <w:sz w:val="18"/>
                <w:szCs w:val="18"/>
              </w:rPr>
              <w:t>the equipment</w:t>
            </w:r>
            <w:r w:rsidRPr="00EC75B7">
              <w:rPr>
                <w:rFonts w:ascii="Verdana" w:hAnsi="Verdana"/>
                <w:sz w:val="18"/>
                <w:szCs w:val="18"/>
              </w:rPr>
              <w:tab/>
            </w:r>
            <w:r w:rsidRPr="00EC75B7">
              <w:rPr>
                <w:rFonts w:ascii="Verdana" w:hAnsi="Verdana"/>
                <w:spacing w:val="-2"/>
                <w:sz w:val="18"/>
                <w:szCs w:val="18"/>
              </w:rPr>
              <w:t>used</w:t>
            </w:r>
            <w:r w:rsidRPr="00EC75B7">
              <w:rPr>
                <w:rFonts w:ascii="Verdana" w:hAnsi="Verdana"/>
                <w:sz w:val="18"/>
                <w:szCs w:val="18"/>
              </w:rPr>
              <w:tab/>
            </w:r>
            <w:r w:rsidRPr="00EC75B7">
              <w:rPr>
                <w:rFonts w:ascii="Verdana" w:hAnsi="Verdana"/>
                <w:spacing w:val="-2"/>
                <w:sz w:val="18"/>
                <w:szCs w:val="18"/>
              </w:rPr>
              <w:t xml:space="preserve">for </w:t>
            </w:r>
            <w:r w:rsidRPr="00EC75B7">
              <w:rPr>
                <w:rFonts w:ascii="Verdana" w:hAnsi="Verdana"/>
                <w:sz w:val="18"/>
                <w:szCs w:val="18"/>
              </w:rPr>
              <w:t>maintenance and repairs Improper</w:t>
            </w:r>
            <w:r w:rsidRPr="00EC75B7">
              <w:rPr>
                <w:rFonts w:ascii="Verdana" w:hAnsi="Verdana"/>
                <w:spacing w:val="-2"/>
                <w:sz w:val="18"/>
                <w:szCs w:val="18"/>
              </w:rPr>
              <w:t xml:space="preserve"> storage </w:t>
            </w:r>
            <w:r w:rsidRPr="00EC75B7">
              <w:rPr>
                <w:rFonts w:ascii="Verdana" w:hAnsi="Verdana"/>
                <w:sz w:val="18"/>
                <w:szCs w:val="18"/>
              </w:rPr>
              <w:t>of resulting waste</w:t>
            </w:r>
          </w:p>
        </w:tc>
        <w:tc>
          <w:tcPr>
            <w:tcW w:w="1985" w:type="dxa"/>
          </w:tcPr>
          <w:p w14:paraId="2BD8B633"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Changes in </w:t>
            </w:r>
            <w:r w:rsidRPr="00EC75B7">
              <w:rPr>
                <w:rFonts w:ascii="Verdana" w:hAnsi="Verdana"/>
                <w:spacing w:val="-5"/>
                <w:sz w:val="18"/>
                <w:szCs w:val="18"/>
              </w:rPr>
              <w:t xml:space="preserve">water </w:t>
            </w:r>
            <w:r w:rsidRPr="00EC75B7">
              <w:rPr>
                <w:rFonts w:ascii="Verdana" w:hAnsi="Verdana"/>
                <w:sz w:val="18"/>
                <w:szCs w:val="18"/>
              </w:rPr>
              <w:t>quality</w:t>
            </w:r>
          </w:p>
        </w:tc>
        <w:tc>
          <w:tcPr>
            <w:tcW w:w="926" w:type="dxa"/>
          </w:tcPr>
          <w:p w14:paraId="33D293D3"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pacing w:val="-2"/>
                <w:sz w:val="18"/>
                <w:szCs w:val="18"/>
              </w:rPr>
              <w:t>Negative</w:t>
            </w:r>
          </w:p>
        </w:tc>
        <w:tc>
          <w:tcPr>
            <w:tcW w:w="792" w:type="dxa"/>
          </w:tcPr>
          <w:p w14:paraId="307DE291"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Direct</w:t>
            </w:r>
          </w:p>
        </w:tc>
        <w:tc>
          <w:tcPr>
            <w:tcW w:w="566" w:type="dxa"/>
          </w:tcPr>
          <w:p w14:paraId="68699124"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Yes</w:t>
            </w:r>
          </w:p>
        </w:tc>
        <w:tc>
          <w:tcPr>
            <w:tcW w:w="994" w:type="dxa"/>
          </w:tcPr>
          <w:p w14:paraId="34F20252" w14:textId="77777777" w:rsidR="008715BE" w:rsidRPr="00EC75B7" w:rsidRDefault="00000000">
            <w:pPr>
              <w:pStyle w:val="TableParagraph"/>
              <w:spacing w:line="194" w:lineRule="exact"/>
              <w:ind w:left="109"/>
              <w:rPr>
                <w:rFonts w:ascii="Verdana" w:hAnsi="Verdana"/>
                <w:sz w:val="18"/>
                <w:szCs w:val="18"/>
              </w:rPr>
            </w:pPr>
            <w:r w:rsidRPr="00EC75B7">
              <w:rPr>
                <w:rFonts w:ascii="Verdana" w:hAnsi="Verdana"/>
                <w:spacing w:val="-2"/>
                <w:sz w:val="18"/>
                <w:szCs w:val="18"/>
              </w:rPr>
              <w:t>Short</w:t>
            </w:r>
          </w:p>
        </w:tc>
        <w:tc>
          <w:tcPr>
            <w:tcW w:w="1133" w:type="dxa"/>
          </w:tcPr>
          <w:p w14:paraId="434FE160"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
                <w:sz w:val="18"/>
                <w:szCs w:val="18"/>
              </w:rPr>
              <w:t>Accidental</w:t>
            </w:r>
          </w:p>
        </w:tc>
        <w:tc>
          <w:tcPr>
            <w:tcW w:w="852" w:type="dxa"/>
          </w:tcPr>
          <w:p w14:paraId="6A85F4B1" w14:textId="77777777" w:rsidR="008715BE" w:rsidRPr="00EC75B7" w:rsidRDefault="00000000">
            <w:pPr>
              <w:pStyle w:val="TableParagraph"/>
              <w:spacing w:line="194" w:lineRule="exact"/>
              <w:ind w:left="109"/>
              <w:rPr>
                <w:rFonts w:ascii="Verdana" w:hAnsi="Verdana"/>
                <w:sz w:val="18"/>
                <w:szCs w:val="18"/>
              </w:rPr>
            </w:pPr>
            <w:r w:rsidRPr="00EC75B7">
              <w:rPr>
                <w:rFonts w:ascii="Verdana" w:hAnsi="Verdana"/>
                <w:spacing w:val="-2"/>
                <w:sz w:val="18"/>
                <w:szCs w:val="18"/>
              </w:rPr>
              <w:t>Local</w:t>
            </w:r>
          </w:p>
        </w:tc>
        <w:tc>
          <w:tcPr>
            <w:tcW w:w="1274" w:type="dxa"/>
          </w:tcPr>
          <w:p w14:paraId="30091BD2"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2"/>
                <w:sz w:val="18"/>
                <w:szCs w:val="18"/>
              </w:rPr>
              <w:t>Unlikely</w:t>
            </w:r>
          </w:p>
        </w:tc>
        <w:tc>
          <w:tcPr>
            <w:tcW w:w="996" w:type="dxa"/>
          </w:tcPr>
          <w:p w14:paraId="687D01E1" w14:textId="77777777" w:rsidR="008715BE" w:rsidRPr="00EC75B7" w:rsidRDefault="00000000">
            <w:pPr>
              <w:pStyle w:val="TableParagraph"/>
              <w:spacing w:line="194" w:lineRule="exact"/>
              <w:ind w:left="109"/>
              <w:rPr>
                <w:rFonts w:ascii="Verdana" w:hAnsi="Verdana"/>
                <w:sz w:val="18"/>
                <w:szCs w:val="18"/>
              </w:rPr>
            </w:pPr>
            <w:r w:rsidRPr="00EC75B7">
              <w:rPr>
                <w:rFonts w:ascii="Verdana" w:hAnsi="Verdana"/>
                <w:spacing w:val="-2"/>
                <w:sz w:val="18"/>
                <w:szCs w:val="18"/>
              </w:rPr>
              <w:t>Reversible</w:t>
            </w:r>
          </w:p>
        </w:tc>
        <w:tc>
          <w:tcPr>
            <w:tcW w:w="1413" w:type="dxa"/>
          </w:tcPr>
          <w:p w14:paraId="1EBE1697"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2"/>
                <w:sz w:val="18"/>
                <w:szCs w:val="18"/>
              </w:rPr>
              <w:t>Insignificant</w:t>
            </w:r>
          </w:p>
        </w:tc>
        <w:tc>
          <w:tcPr>
            <w:tcW w:w="4953" w:type="dxa"/>
          </w:tcPr>
          <w:p w14:paraId="7D757060" w14:textId="77777777" w:rsidR="008715BE" w:rsidRPr="00EC75B7" w:rsidRDefault="00000000">
            <w:pPr>
              <w:pStyle w:val="TableParagraph"/>
              <w:ind w:left="110" w:right="259"/>
              <w:rPr>
                <w:rFonts w:ascii="Verdana" w:hAnsi="Verdana"/>
                <w:sz w:val="18"/>
                <w:szCs w:val="18"/>
              </w:rPr>
            </w:pPr>
            <w:r w:rsidRPr="00EC75B7">
              <w:rPr>
                <w:rFonts w:ascii="Verdana" w:hAnsi="Verdana"/>
                <w:sz w:val="18"/>
                <w:szCs w:val="18"/>
              </w:rPr>
              <w:t>During the works, changes in water quality may occur only in accidental situations, following damage to the equipment/vehicles used in the execution of the works or due to non-compliance with waste storage conditions.</w:t>
            </w:r>
          </w:p>
          <w:p w14:paraId="1D6504B2" w14:textId="77777777" w:rsidR="008715BE" w:rsidRPr="00EC75B7" w:rsidRDefault="00000000">
            <w:pPr>
              <w:pStyle w:val="TableParagraph"/>
              <w:ind w:left="110" w:right="93"/>
              <w:rPr>
                <w:rFonts w:ascii="Verdana" w:hAnsi="Verdana"/>
                <w:sz w:val="18"/>
                <w:szCs w:val="18"/>
              </w:rPr>
            </w:pPr>
            <w:r w:rsidRPr="00EC75B7">
              <w:rPr>
                <w:rFonts w:ascii="Verdana" w:hAnsi="Verdana"/>
                <w:sz w:val="18"/>
                <w:szCs w:val="18"/>
              </w:rPr>
              <w:t>Waste generated during maintenance/repair work will be temporarily collected in appropriate containers/receptacles in specially designated areas and periodically picked up and transported by authorized companies, based on service contracts, for</w:t>
            </w:r>
          </w:p>
          <w:p w14:paraId="4771D0D8" w14:textId="77777777" w:rsidR="008715BE" w:rsidRPr="00EC75B7" w:rsidRDefault="00000000">
            <w:pPr>
              <w:pStyle w:val="TableParagraph"/>
              <w:spacing w:line="171" w:lineRule="exact"/>
              <w:ind w:left="110"/>
              <w:rPr>
                <w:rFonts w:ascii="Verdana" w:hAnsi="Verdana"/>
                <w:sz w:val="18"/>
                <w:szCs w:val="18"/>
              </w:rPr>
            </w:pPr>
            <w:r w:rsidRPr="00EC75B7">
              <w:rPr>
                <w:rFonts w:ascii="Verdana" w:hAnsi="Verdana"/>
                <w:sz w:val="18"/>
                <w:szCs w:val="18"/>
              </w:rPr>
              <w:t xml:space="preserve">final recovery/disposal in specially </w:t>
            </w:r>
            <w:r w:rsidRPr="00EC75B7">
              <w:rPr>
                <w:rFonts w:ascii="Verdana" w:hAnsi="Verdana"/>
                <w:spacing w:val="-2"/>
                <w:sz w:val="18"/>
                <w:szCs w:val="18"/>
              </w:rPr>
              <w:t xml:space="preserve">designated </w:t>
            </w:r>
            <w:r w:rsidRPr="00EC75B7">
              <w:rPr>
                <w:rFonts w:ascii="Verdana" w:hAnsi="Verdana"/>
                <w:sz w:val="18"/>
                <w:szCs w:val="18"/>
              </w:rPr>
              <w:t>areas.</w:t>
            </w:r>
          </w:p>
        </w:tc>
      </w:tr>
    </w:tbl>
    <w:p w14:paraId="7E947DF2" w14:textId="77777777" w:rsidR="008715BE" w:rsidRPr="00EC75B7" w:rsidRDefault="008715BE">
      <w:pPr>
        <w:pStyle w:val="BodyText"/>
        <w:rPr>
          <w:rFonts w:ascii="Verdana" w:hAnsi="Verdana"/>
          <w:b/>
        </w:rPr>
      </w:pPr>
    </w:p>
    <w:p w14:paraId="21B0B775" w14:textId="77777777" w:rsidR="008715BE" w:rsidRPr="00EC75B7" w:rsidRDefault="008715BE">
      <w:pPr>
        <w:pStyle w:val="BodyText"/>
        <w:spacing w:before="57"/>
        <w:rPr>
          <w:rFonts w:ascii="Verdana" w:hAnsi="Verdana"/>
          <w:b/>
        </w:rPr>
      </w:pPr>
    </w:p>
    <w:p w14:paraId="137AD7CD" w14:textId="77777777" w:rsidR="008715BE" w:rsidRPr="00EC75B7" w:rsidRDefault="00000000">
      <w:pPr>
        <w:spacing w:before="1"/>
        <w:ind w:left="30"/>
        <w:rPr>
          <w:rFonts w:ascii="Verdana" w:hAnsi="Verdana"/>
          <w:b/>
          <w:sz w:val="18"/>
          <w:szCs w:val="18"/>
        </w:rPr>
      </w:pPr>
      <w:r w:rsidRPr="00EC75B7">
        <w:rPr>
          <w:rFonts w:ascii="Verdana" w:hAnsi="Verdana"/>
          <w:b/>
          <w:color w:val="00AFEF"/>
          <w:sz w:val="18"/>
          <w:szCs w:val="18"/>
        </w:rPr>
        <w:t xml:space="preserve">Conclusions impact assessment during the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period</w:t>
      </w:r>
    </w:p>
    <w:p w14:paraId="6AB59435" w14:textId="77777777" w:rsidR="008715BE" w:rsidRPr="00EC75B7" w:rsidRDefault="008715BE">
      <w:pPr>
        <w:pStyle w:val="BodyText"/>
        <w:spacing w:before="9"/>
        <w:rPr>
          <w:rFonts w:ascii="Verdana" w:hAnsi="Verdana"/>
          <w:b/>
        </w:rPr>
      </w:pPr>
    </w:p>
    <w:p w14:paraId="5303B30F" w14:textId="77777777" w:rsidR="008715BE" w:rsidRPr="00EC75B7" w:rsidRDefault="00000000">
      <w:pPr>
        <w:pStyle w:val="BodyText"/>
        <w:ind w:left="30"/>
        <w:rPr>
          <w:rFonts w:ascii="Verdana" w:hAnsi="Verdana"/>
        </w:rPr>
      </w:pPr>
      <w:r w:rsidRPr="00EC75B7">
        <w:rPr>
          <w:rFonts w:ascii="Verdana" w:hAnsi="Verdana"/>
        </w:rPr>
        <w:t xml:space="preserve">During the operational period, the impact generated by the operation of the Cerchezu wind farm on the quality of surface water bodies/courses and groundwater bodies is </w:t>
      </w:r>
      <w:r w:rsidRPr="00EC75B7">
        <w:rPr>
          <w:rFonts w:ascii="Verdana" w:hAnsi="Verdana"/>
          <w:b/>
        </w:rPr>
        <w:t xml:space="preserve">negative, unlikely </w:t>
      </w:r>
      <w:r w:rsidRPr="00EC75B7">
        <w:rPr>
          <w:rFonts w:ascii="Verdana" w:hAnsi="Verdana"/>
        </w:rPr>
        <w:t xml:space="preserve">to occur, with a frequency </w:t>
      </w:r>
      <w:r w:rsidRPr="00EC75B7">
        <w:rPr>
          <w:rFonts w:ascii="Verdana" w:hAnsi="Verdana"/>
          <w:spacing w:val="-5"/>
        </w:rPr>
        <w:t>of</w:t>
      </w:r>
    </w:p>
    <w:p w14:paraId="4FF91F50" w14:textId="77777777" w:rsidR="008715BE" w:rsidRPr="00EC75B7" w:rsidRDefault="00000000">
      <w:pPr>
        <w:spacing w:before="109"/>
        <w:ind w:left="30"/>
        <w:rPr>
          <w:rFonts w:ascii="Verdana" w:hAnsi="Verdana"/>
          <w:b/>
          <w:sz w:val="18"/>
          <w:szCs w:val="18"/>
        </w:rPr>
      </w:pPr>
      <w:r w:rsidRPr="00EC75B7">
        <w:rPr>
          <w:rFonts w:ascii="Verdana" w:hAnsi="Verdana"/>
          <w:b/>
          <w:sz w:val="18"/>
          <w:szCs w:val="18"/>
        </w:rPr>
        <w:t xml:space="preserve">accidental </w:t>
      </w:r>
      <w:r w:rsidRPr="00EC75B7">
        <w:rPr>
          <w:rFonts w:ascii="Verdana" w:hAnsi="Verdana"/>
          <w:sz w:val="18"/>
          <w:szCs w:val="18"/>
        </w:rPr>
        <w:t>occurrence</w:t>
      </w:r>
      <w:r w:rsidRPr="00EC75B7">
        <w:rPr>
          <w:rFonts w:ascii="Verdana" w:hAnsi="Verdana"/>
          <w:b/>
          <w:sz w:val="18"/>
          <w:szCs w:val="18"/>
        </w:rPr>
        <w:t xml:space="preserve">, </w:t>
      </w:r>
      <w:r w:rsidRPr="00EC75B7">
        <w:rPr>
          <w:rFonts w:ascii="Verdana" w:hAnsi="Verdana"/>
          <w:b/>
          <w:spacing w:val="-2"/>
          <w:sz w:val="18"/>
          <w:szCs w:val="18"/>
        </w:rPr>
        <w:t>insignificant.</w:t>
      </w:r>
    </w:p>
    <w:p w14:paraId="23332A3D" w14:textId="77777777" w:rsidR="008715BE" w:rsidRPr="00EC75B7" w:rsidRDefault="008715BE">
      <w:pPr>
        <w:rPr>
          <w:rFonts w:ascii="Verdana" w:hAnsi="Verdana"/>
          <w:b/>
          <w:sz w:val="18"/>
          <w:szCs w:val="18"/>
        </w:rPr>
        <w:sectPr w:rsidR="008715BE" w:rsidRPr="00EC75B7">
          <w:pgSz w:w="23820" w:h="16840" w:orient="landscape"/>
          <w:pgMar w:top="1160" w:right="566" w:bottom="1020" w:left="850" w:header="766" w:footer="824" w:gutter="0"/>
          <w:cols w:space="708"/>
        </w:sectPr>
      </w:pPr>
    </w:p>
    <w:p w14:paraId="7CE82865" w14:textId="77777777" w:rsidR="008715BE" w:rsidRPr="00EC75B7" w:rsidRDefault="00000000">
      <w:pPr>
        <w:pStyle w:val="Heading3"/>
        <w:numPr>
          <w:ilvl w:val="2"/>
          <w:numId w:val="110"/>
        </w:numPr>
        <w:tabs>
          <w:tab w:val="left" w:pos="2037"/>
        </w:tabs>
        <w:spacing w:before="222"/>
        <w:ind w:left="2037" w:hanging="986"/>
        <w:rPr>
          <w:rFonts w:ascii="Verdana" w:hAnsi="Verdana"/>
          <w:i/>
          <w:color w:val="00AFEF"/>
          <w:sz w:val="18"/>
          <w:szCs w:val="18"/>
        </w:rPr>
      </w:pPr>
      <w:bookmarkStart w:id="95" w:name="_bookmark96"/>
      <w:bookmarkEnd w:id="95"/>
      <w:r w:rsidRPr="00EC75B7">
        <w:rPr>
          <w:rFonts w:ascii="Verdana" w:hAnsi="Verdana"/>
          <w:color w:val="00AFEF"/>
          <w:sz w:val="18"/>
          <w:szCs w:val="18"/>
        </w:rPr>
        <w:lastRenderedPageBreak/>
        <w:t xml:space="preserve">Measures to avoid and reduce the </w:t>
      </w:r>
      <w:r w:rsidRPr="00EC75B7">
        <w:rPr>
          <w:rFonts w:ascii="Verdana" w:hAnsi="Verdana"/>
          <w:color w:val="00AFEF"/>
          <w:spacing w:val="-2"/>
          <w:sz w:val="18"/>
          <w:szCs w:val="18"/>
        </w:rPr>
        <w:t>impact</w:t>
      </w:r>
    </w:p>
    <w:p w14:paraId="71629A68" w14:textId="77777777" w:rsidR="008715BE" w:rsidRPr="00EC75B7" w:rsidRDefault="008715BE">
      <w:pPr>
        <w:pStyle w:val="BodyText"/>
        <w:spacing w:before="114"/>
        <w:rPr>
          <w:rFonts w:ascii="Verdana" w:hAnsi="Verdana"/>
          <w:b/>
        </w:rPr>
      </w:pPr>
    </w:p>
    <w:p w14:paraId="6ECA8163" w14:textId="77777777" w:rsidR="008715BE" w:rsidRPr="00EC75B7" w:rsidRDefault="00000000">
      <w:pPr>
        <w:pStyle w:val="BodyText"/>
        <w:spacing w:line="357" w:lineRule="auto"/>
        <w:ind w:left="57" w:right="62"/>
        <w:jc w:val="both"/>
        <w:rPr>
          <w:rFonts w:ascii="Verdana" w:hAnsi="Verdana"/>
        </w:rPr>
      </w:pPr>
      <w:r w:rsidRPr="00EC75B7">
        <w:rPr>
          <w:rFonts w:ascii="Verdana" w:hAnsi="Verdana"/>
          <w:b/>
        </w:rPr>
        <w:t xml:space="preserve">During the </w:t>
      </w:r>
      <w:r w:rsidRPr="00EC75B7">
        <w:rPr>
          <w:rFonts w:ascii="Verdana" w:hAnsi="Verdana"/>
        </w:rPr>
        <w:t>execution/decommissioning</w:t>
      </w:r>
      <w:r w:rsidRPr="00EC75B7">
        <w:rPr>
          <w:rFonts w:ascii="Verdana" w:hAnsi="Verdana"/>
          <w:b/>
        </w:rPr>
        <w:t xml:space="preserve"> </w:t>
      </w:r>
      <w:r w:rsidRPr="00EC75B7">
        <w:rPr>
          <w:rFonts w:ascii="Verdana" w:hAnsi="Verdana"/>
        </w:rPr>
        <w:t>of the works, no additional measures are required to avoid or reduce the impact, given the temporary, local, and reversible nature of the interventions.</w:t>
      </w:r>
    </w:p>
    <w:p w14:paraId="69D2ABAC" w14:textId="77777777" w:rsidR="008715BE" w:rsidRPr="00EC75B7" w:rsidRDefault="00000000">
      <w:pPr>
        <w:pStyle w:val="BodyText"/>
        <w:spacing w:before="1" w:line="360" w:lineRule="auto"/>
        <w:ind w:left="57" w:right="56"/>
        <w:jc w:val="both"/>
        <w:rPr>
          <w:rFonts w:ascii="Verdana" w:hAnsi="Verdana"/>
        </w:rPr>
      </w:pPr>
      <w:r w:rsidRPr="00EC75B7">
        <w:rPr>
          <w:rFonts w:ascii="Verdana" w:hAnsi="Verdana"/>
        </w:rPr>
        <w:t xml:space="preserve">For this project, a series of good practice requirements for the protection of the environmental factor "water" will be adopted </w:t>
      </w:r>
      <w:r w:rsidRPr="00EC75B7">
        <w:rPr>
          <w:rFonts w:ascii="Verdana" w:hAnsi="Verdana"/>
          <w:b/>
        </w:rPr>
        <w:t>during the execution/decommissioning and operation period</w:t>
      </w:r>
      <w:r w:rsidRPr="00EC75B7">
        <w:rPr>
          <w:rFonts w:ascii="Verdana" w:hAnsi="Verdana"/>
        </w:rPr>
        <w:t>. The good practice requirements adopted within the project during the execution/decommissioning period and the conditions for its implementation are:</w:t>
      </w:r>
    </w:p>
    <w:p w14:paraId="5210D74D" w14:textId="77777777" w:rsidR="008715BE" w:rsidRPr="00EC75B7" w:rsidRDefault="00000000">
      <w:pPr>
        <w:pStyle w:val="ListParagraph"/>
        <w:numPr>
          <w:ilvl w:val="0"/>
          <w:numId w:val="60"/>
        </w:numPr>
        <w:tabs>
          <w:tab w:val="left" w:pos="797"/>
        </w:tabs>
        <w:spacing w:before="115" w:line="360" w:lineRule="auto"/>
        <w:ind w:right="103"/>
        <w:jc w:val="both"/>
        <w:rPr>
          <w:rFonts w:ascii="Verdana" w:hAnsi="Verdana"/>
          <w:sz w:val="18"/>
          <w:szCs w:val="18"/>
        </w:rPr>
      </w:pPr>
      <w:r w:rsidRPr="00EC75B7">
        <w:rPr>
          <w:rFonts w:ascii="Verdana" w:hAnsi="Verdana"/>
          <w:sz w:val="18"/>
          <w:szCs w:val="18"/>
        </w:rPr>
        <w:t>Waste generated from construction/demolition activities will be selectively collected and stored appropriately in specially designated containers and areas so as to avoid any risk of pollution generated by them, until final recovery/disposal by authorized companies.</w:t>
      </w:r>
    </w:p>
    <w:p w14:paraId="6B207B70" w14:textId="77777777" w:rsidR="008715BE" w:rsidRPr="00EC75B7" w:rsidRDefault="00000000">
      <w:pPr>
        <w:pStyle w:val="ListParagraph"/>
        <w:numPr>
          <w:ilvl w:val="0"/>
          <w:numId w:val="60"/>
        </w:numPr>
        <w:tabs>
          <w:tab w:val="left" w:pos="796"/>
        </w:tabs>
        <w:spacing w:line="217" w:lineRule="exact"/>
        <w:ind w:left="796" w:hanging="359"/>
        <w:jc w:val="both"/>
        <w:rPr>
          <w:rFonts w:ascii="Verdana" w:hAnsi="Verdana"/>
          <w:sz w:val="18"/>
          <w:szCs w:val="18"/>
        </w:rPr>
      </w:pPr>
      <w:r w:rsidRPr="00EC75B7">
        <w:rPr>
          <w:rFonts w:ascii="Verdana" w:hAnsi="Verdana"/>
          <w:sz w:val="18"/>
          <w:szCs w:val="18"/>
        </w:rPr>
        <w:t xml:space="preserve">Abandoning or dumping waste in watercourses is </w:t>
      </w:r>
      <w:r w:rsidRPr="00EC75B7">
        <w:rPr>
          <w:rFonts w:ascii="Verdana" w:hAnsi="Verdana"/>
          <w:spacing w:val="-2"/>
          <w:sz w:val="18"/>
          <w:szCs w:val="18"/>
        </w:rPr>
        <w:t>prohibited.</w:t>
      </w:r>
    </w:p>
    <w:p w14:paraId="582C690E" w14:textId="77777777" w:rsidR="008715BE" w:rsidRPr="00EC75B7" w:rsidRDefault="00000000">
      <w:pPr>
        <w:pStyle w:val="ListParagraph"/>
        <w:numPr>
          <w:ilvl w:val="0"/>
          <w:numId w:val="60"/>
        </w:numPr>
        <w:tabs>
          <w:tab w:val="left" w:pos="797"/>
        </w:tabs>
        <w:spacing w:before="107" w:line="357" w:lineRule="auto"/>
        <w:ind w:right="98"/>
        <w:jc w:val="both"/>
        <w:rPr>
          <w:rFonts w:ascii="Verdana" w:hAnsi="Verdana"/>
          <w:sz w:val="18"/>
          <w:szCs w:val="18"/>
        </w:rPr>
      </w:pPr>
      <w:r w:rsidRPr="00EC75B7">
        <w:rPr>
          <w:rFonts w:ascii="Verdana" w:hAnsi="Verdana"/>
          <w:sz w:val="18"/>
          <w:szCs w:val="18"/>
        </w:rPr>
        <w:t>It is prohibited to discharge/dump wastewater, liquid or solid waste, fuels, or lubricants into surface water, groundwater, or land, as well as to store such substances and waste in water resource protection areas or sanitary protection areas.</w:t>
      </w:r>
    </w:p>
    <w:p w14:paraId="3AC7112F" w14:textId="77777777" w:rsidR="008715BE" w:rsidRPr="00EC75B7" w:rsidRDefault="00000000">
      <w:pPr>
        <w:pStyle w:val="ListParagraph"/>
        <w:numPr>
          <w:ilvl w:val="0"/>
          <w:numId w:val="60"/>
        </w:numPr>
        <w:tabs>
          <w:tab w:val="left" w:pos="797"/>
        </w:tabs>
        <w:spacing w:before="3" w:line="360" w:lineRule="auto"/>
        <w:ind w:right="103"/>
        <w:jc w:val="both"/>
        <w:rPr>
          <w:rFonts w:ascii="Verdana" w:hAnsi="Verdana"/>
          <w:sz w:val="18"/>
          <w:szCs w:val="18"/>
        </w:rPr>
      </w:pPr>
      <w:r w:rsidRPr="00EC75B7">
        <w:rPr>
          <w:rFonts w:ascii="Verdana" w:hAnsi="Verdana"/>
          <w:sz w:val="18"/>
          <w:szCs w:val="18"/>
        </w:rPr>
        <w:t>Materials used in the execution and waste generated shall not be stored near watercourses.</w:t>
      </w:r>
    </w:p>
    <w:p w14:paraId="01EAFC6A" w14:textId="77777777" w:rsidR="008715BE" w:rsidRPr="00EC75B7" w:rsidRDefault="00000000">
      <w:pPr>
        <w:pStyle w:val="ListParagraph"/>
        <w:numPr>
          <w:ilvl w:val="0"/>
          <w:numId w:val="60"/>
        </w:numPr>
        <w:tabs>
          <w:tab w:val="left" w:pos="797"/>
        </w:tabs>
        <w:spacing w:line="357" w:lineRule="auto"/>
        <w:ind w:right="94"/>
        <w:jc w:val="both"/>
        <w:rPr>
          <w:rFonts w:ascii="Verdana" w:hAnsi="Verdana"/>
          <w:sz w:val="18"/>
          <w:szCs w:val="18"/>
        </w:rPr>
      </w:pPr>
      <w:r w:rsidRPr="00EC75B7">
        <w:rPr>
          <w:rFonts w:ascii="Verdana" w:hAnsi="Verdana"/>
          <w:sz w:val="18"/>
          <w:szCs w:val="18"/>
        </w:rPr>
        <w:t>The storage of materials and substances used during the execution period shall be carried out in specially designated areas, taking into account their condition and the risks they may pose to the environment. They shall not be located near watercourses.</w:t>
      </w:r>
    </w:p>
    <w:p w14:paraId="2EE214CC" w14:textId="77777777" w:rsidR="008715BE" w:rsidRPr="00EC75B7" w:rsidRDefault="00000000">
      <w:pPr>
        <w:pStyle w:val="ListParagraph"/>
        <w:numPr>
          <w:ilvl w:val="0"/>
          <w:numId w:val="60"/>
        </w:numPr>
        <w:tabs>
          <w:tab w:val="left" w:pos="797"/>
        </w:tabs>
        <w:spacing w:before="1" w:line="360" w:lineRule="auto"/>
        <w:ind w:right="108"/>
        <w:jc w:val="both"/>
        <w:rPr>
          <w:rFonts w:ascii="Verdana" w:hAnsi="Verdana"/>
          <w:sz w:val="18"/>
          <w:szCs w:val="18"/>
        </w:rPr>
      </w:pPr>
      <w:r w:rsidRPr="00EC75B7">
        <w:rPr>
          <w:rFonts w:ascii="Verdana" w:hAnsi="Verdana"/>
          <w:sz w:val="18"/>
          <w:szCs w:val="18"/>
        </w:rPr>
        <w:t xml:space="preserve">Work fronts and site organizations shall be equipped with intervention kits in case of </w:t>
      </w:r>
      <w:r w:rsidRPr="00EC75B7">
        <w:rPr>
          <w:rFonts w:ascii="Verdana" w:hAnsi="Verdana"/>
          <w:spacing w:val="-2"/>
          <w:sz w:val="18"/>
          <w:szCs w:val="18"/>
        </w:rPr>
        <w:t>accidental</w:t>
      </w:r>
      <w:r w:rsidRPr="00EC75B7">
        <w:rPr>
          <w:rFonts w:ascii="Verdana" w:hAnsi="Verdana"/>
          <w:sz w:val="18"/>
          <w:szCs w:val="18"/>
        </w:rPr>
        <w:t xml:space="preserve"> pollution</w:t>
      </w:r>
      <w:r w:rsidRPr="00EC75B7">
        <w:rPr>
          <w:rFonts w:ascii="Verdana" w:hAnsi="Verdana"/>
          <w:spacing w:val="-2"/>
          <w:sz w:val="18"/>
          <w:szCs w:val="18"/>
        </w:rPr>
        <w:t>.</w:t>
      </w:r>
    </w:p>
    <w:p w14:paraId="3244A8FC" w14:textId="77777777" w:rsidR="008715BE" w:rsidRPr="00EC75B7" w:rsidRDefault="00000000">
      <w:pPr>
        <w:pStyle w:val="ListParagraph"/>
        <w:numPr>
          <w:ilvl w:val="0"/>
          <w:numId w:val="60"/>
        </w:numPr>
        <w:tabs>
          <w:tab w:val="left" w:pos="796"/>
        </w:tabs>
        <w:spacing w:line="216" w:lineRule="exact"/>
        <w:ind w:left="796" w:hanging="359"/>
        <w:jc w:val="both"/>
        <w:rPr>
          <w:rFonts w:ascii="Verdana" w:hAnsi="Verdana"/>
          <w:sz w:val="18"/>
          <w:szCs w:val="18"/>
        </w:rPr>
      </w:pPr>
      <w:r w:rsidRPr="00EC75B7">
        <w:rPr>
          <w:rFonts w:ascii="Verdana" w:hAnsi="Verdana"/>
          <w:sz w:val="18"/>
          <w:szCs w:val="18"/>
        </w:rPr>
        <w:t xml:space="preserve">Excavation work shall not be carried out in extreme weather conditions (rain, </w:t>
      </w:r>
      <w:r w:rsidRPr="00EC75B7">
        <w:rPr>
          <w:rFonts w:ascii="Verdana" w:hAnsi="Verdana"/>
          <w:spacing w:val="-2"/>
          <w:sz w:val="18"/>
          <w:szCs w:val="18"/>
        </w:rPr>
        <w:t xml:space="preserve">strong </w:t>
      </w:r>
      <w:r w:rsidRPr="00EC75B7">
        <w:rPr>
          <w:rFonts w:ascii="Verdana" w:hAnsi="Verdana"/>
          <w:sz w:val="18"/>
          <w:szCs w:val="18"/>
        </w:rPr>
        <w:t>wind</w:t>
      </w:r>
      <w:r w:rsidRPr="00EC75B7">
        <w:rPr>
          <w:rFonts w:ascii="Verdana" w:hAnsi="Verdana"/>
          <w:spacing w:val="-2"/>
          <w:sz w:val="18"/>
          <w:szCs w:val="18"/>
        </w:rPr>
        <w:t>).</w:t>
      </w:r>
    </w:p>
    <w:p w14:paraId="0F1391FC" w14:textId="77777777" w:rsidR="008715BE" w:rsidRPr="00EC75B7" w:rsidRDefault="00000000">
      <w:pPr>
        <w:pStyle w:val="ListParagraph"/>
        <w:numPr>
          <w:ilvl w:val="0"/>
          <w:numId w:val="60"/>
        </w:numPr>
        <w:tabs>
          <w:tab w:val="left" w:pos="797"/>
        </w:tabs>
        <w:spacing w:before="109" w:line="357" w:lineRule="auto"/>
        <w:ind w:right="106"/>
        <w:jc w:val="both"/>
        <w:rPr>
          <w:rFonts w:ascii="Verdana" w:hAnsi="Verdana"/>
          <w:sz w:val="18"/>
          <w:szCs w:val="18"/>
        </w:rPr>
      </w:pPr>
      <w:r w:rsidRPr="00EC75B7">
        <w:rPr>
          <w:rFonts w:ascii="Verdana" w:hAnsi="Verdana"/>
          <w:sz w:val="18"/>
          <w:szCs w:val="18"/>
        </w:rPr>
        <w:t>The technical condition of the vehicles/machinery used in the execution of the works shall be checked periodically and they shall be properly maintained in order to eliminate the possibility of pollutant leakage.</w:t>
      </w:r>
    </w:p>
    <w:p w14:paraId="7CD41A21" w14:textId="77777777" w:rsidR="008715BE" w:rsidRPr="00EC75B7" w:rsidRDefault="00000000">
      <w:pPr>
        <w:pStyle w:val="ListParagraph"/>
        <w:numPr>
          <w:ilvl w:val="0"/>
          <w:numId w:val="60"/>
        </w:numPr>
        <w:tabs>
          <w:tab w:val="left" w:pos="797"/>
        </w:tabs>
        <w:spacing w:before="2" w:line="360" w:lineRule="auto"/>
        <w:ind w:right="108"/>
        <w:jc w:val="both"/>
        <w:rPr>
          <w:rFonts w:ascii="Verdana" w:hAnsi="Verdana"/>
          <w:sz w:val="18"/>
          <w:szCs w:val="18"/>
        </w:rPr>
      </w:pPr>
      <w:r w:rsidRPr="00EC75B7">
        <w:rPr>
          <w:rFonts w:ascii="Verdana" w:hAnsi="Verdana"/>
          <w:sz w:val="18"/>
          <w:szCs w:val="18"/>
        </w:rPr>
        <w:t>Refueling and maintenance of machinery/vehicles shall be carried out outside the construction site, in specially designated areas of authorized economic operators.</w:t>
      </w:r>
    </w:p>
    <w:p w14:paraId="6FFB5CEC" w14:textId="77777777" w:rsidR="008715BE" w:rsidRPr="00EC75B7" w:rsidRDefault="00000000">
      <w:pPr>
        <w:pStyle w:val="ListParagraph"/>
        <w:numPr>
          <w:ilvl w:val="0"/>
          <w:numId w:val="60"/>
        </w:numPr>
        <w:tabs>
          <w:tab w:val="left" w:pos="797"/>
        </w:tabs>
        <w:spacing w:line="357" w:lineRule="auto"/>
        <w:ind w:right="97"/>
        <w:jc w:val="both"/>
        <w:rPr>
          <w:rFonts w:ascii="Verdana" w:hAnsi="Verdana"/>
          <w:sz w:val="18"/>
          <w:szCs w:val="18"/>
        </w:rPr>
      </w:pPr>
      <w:r w:rsidRPr="00EC75B7">
        <w:rPr>
          <w:rFonts w:ascii="Verdana" w:hAnsi="Verdana"/>
          <w:sz w:val="18"/>
          <w:szCs w:val="18"/>
        </w:rPr>
        <w:t>Wastewater from the ecological toilets that will be installed on the construction site will be emptied and collected only by authorized operators.</w:t>
      </w:r>
    </w:p>
    <w:p w14:paraId="1928AA2B" w14:textId="77777777" w:rsidR="008715BE" w:rsidRPr="00EC75B7" w:rsidRDefault="00000000">
      <w:pPr>
        <w:pStyle w:val="ListParagraph"/>
        <w:numPr>
          <w:ilvl w:val="0"/>
          <w:numId w:val="60"/>
        </w:numPr>
        <w:tabs>
          <w:tab w:val="left" w:pos="797"/>
        </w:tabs>
        <w:spacing w:line="357" w:lineRule="auto"/>
        <w:ind w:right="103"/>
        <w:jc w:val="both"/>
        <w:rPr>
          <w:rFonts w:ascii="Verdana" w:hAnsi="Verdana"/>
          <w:sz w:val="18"/>
          <w:szCs w:val="18"/>
        </w:rPr>
      </w:pPr>
      <w:r w:rsidRPr="00EC75B7">
        <w:rPr>
          <w:rFonts w:ascii="Verdana" w:hAnsi="Verdana"/>
          <w:sz w:val="18"/>
          <w:szCs w:val="18"/>
        </w:rPr>
        <w:t>The works for crossing watercourses shall be carried out during periods of low water, with constant monitoring of the flow forecasts for each watercourse crossed, without endangering the operation of adjacent premises.</w:t>
      </w:r>
    </w:p>
    <w:p w14:paraId="481504C5" w14:textId="77777777" w:rsidR="008715BE" w:rsidRPr="00EC75B7" w:rsidRDefault="00000000">
      <w:pPr>
        <w:pStyle w:val="ListParagraph"/>
        <w:numPr>
          <w:ilvl w:val="0"/>
          <w:numId w:val="60"/>
        </w:numPr>
        <w:tabs>
          <w:tab w:val="left" w:pos="797"/>
        </w:tabs>
        <w:spacing w:before="1" w:line="360" w:lineRule="auto"/>
        <w:ind w:right="103"/>
        <w:jc w:val="both"/>
        <w:rPr>
          <w:rFonts w:ascii="Verdana" w:hAnsi="Verdana"/>
          <w:sz w:val="18"/>
          <w:szCs w:val="18"/>
        </w:rPr>
      </w:pPr>
      <w:r w:rsidRPr="00EC75B7">
        <w:rPr>
          <w:rFonts w:ascii="Verdana" w:hAnsi="Verdana"/>
          <w:sz w:val="18"/>
          <w:szCs w:val="18"/>
        </w:rPr>
        <w:t xml:space="preserve">The launch and reception pits for the undercrossing works using the horizontal drilling method will be constructed without affecting the banks of the watercourses </w:t>
      </w:r>
      <w:r w:rsidRPr="00EC75B7">
        <w:rPr>
          <w:rFonts w:ascii="Verdana" w:hAnsi="Verdana"/>
          <w:spacing w:val="-2"/>
          <w:sz w:val="18"/>
          <w:szCs w:val="18"/>
        </w:rPr>
        <w:t xml:space="preserve">crossed </w:t>
      </w:r>
      <w:r w:rsidRPr="00EC75B7">
        <w:rPr>
          <w:rFonts w:ascii="Verdana" w:hAnsi="Verdana"/>
          <w:sz w:val="18"/>
          <w:szCs w:val="18"/>
        </w:rPr>
        <w:t>by excavation</w:t>
      </w:r>
      <w:r w:rsidRPr="00EC75B7">
        <w:rPr>
          <w:rFonts w:ascii="Verdana" w:hAnsi="Verdana"/>
          <w:spacing w:val="-2"/>
          <w:sz w:val="18"/>
          <w:szCs w:val="18"/>
        </w:rPr>
        <w:t>.</w:t>
      </w:r>
    </w:p>
    <w:p w14:paraId="6964C88A" w14:textId="77777777" w:rsidR="008715BE" w:rsidRPr="00EC75B7" w:rsidRDefault="00000000">
      <w:pPr>
        <w:pStyle w:val="ListParagraph"/>
        <w:numPr>
          <w:ilvl w:val="0"/>
          <w:numId w:val="60"/>
        </w:numPr>
        <w:tabs>
          <w:tab w:val="left" w:pos="797"/>
        </w:tabs>
        <w:spacing w:line="360" w:lineRule="auto"/>
        <w:ind w:right="101"/>
        <w:jc w:val="both"/>
        <w:rPr>
          <w:rFonts w:ascii="Verdana" w:hAnsi="Verdana"/>
          <w:sz w:val="18"/>
          <w:szCs w:val="18"/>
        </w:rPr>
      </w:pPr>
      <w:r w:rsidRPr="00EC75B7">
        <w:rPr>
          <w:rFonts w:ascii="Verdana" w:hAnsi="Verdana"/>
          <w:sz w:val="18"/>
          <w:szCs w:val="18"/>
        </w:rPr>
        <w:t>For the watercourse crossing section, the upper generator of the protective pipe shall be located below the minimum frost depth.</w:t>
      </w:r>
    </w:p>
    <w:p w14:paraId="5A6E4134" w14:textId="77777777" w:rsidR="008715BE" w:rsidRPr="00EC75B7" w:rsidRDefault="00000000">
      <w:pPr>
        <w:pStyle w:val="ListParagraph"/>
        <w:numPr>
          <w:ilvl w:val="0"/>
          <w:numId w:val="60"/>
        </w:numPr>
        <w:tabs>
          <w:tab w:val="left" w:pos="797"/>
        </w:tabs>
        <w:spacing w:line="357" w:lineRule="auto"/>
        <w:ind w:right="104"/>
        <w:jc w:val="both"/>
        <w:rPr>
          <w:rFonts w:ascii="Verdana" w:hAnsi="Verdana"/>
          <w:sz w:val="18"/>
          <w:szCs w:val="18"/>
        </w:rPr>
      </w:pPr>
      <w:r w:rsidRPr="00EC75B7">
        <w:rPr>
          <w:rFonts w:ascii="Verdana" w:hAnsi="Verdana"/>
          <w:sz w:val="18"/>
          <w:szCs w:val="18"/>
        </w:rPr>
        <w:t>During the execution period, a Plan for the prevention and control of accidental pollution shall be developed and implemented, including: identification of areas with pollution potential, types of pollutants, prevention and control measures, designated responsible persons, and necessary resources.</w:t>
      </w:r>
    </w:p>
    <w:p w14:paraId="52C85762" w14:textId="77777777" w:rsidR="008715BE" w:rsidRPr="00EC75B7" w:rsidRDefault="008715BE">
      <w:pPr>
        <w:pStyle w:val="ListParagraph"/>
        <w:spacing w:line="357" w:lineRule="auto"/>
        <w:jc w:val="both"/>
        <w:rPr>
          <w:rFonts w:ascii="Verdana" w:hAnsi="Verdana"/>
          <w:sz w:val="18"/>
          <w:szCs w:val="18"/>
        </w:rPr>
        <w:sectPr w:rsidR="008715BE" w:rsidRPr="00EC75B7">
          <w:headerReference w:type="default" r:id="rId208"/>
          <w:footerReference w:type="default" r:id="rId209"/>
          <w:pgSz w:w="11910" w:h="16840"/>
          <w:pgMar w:top="1320" w:right="1133" w:bottom="280" w:left="1133" w:header="777" w:footer="0" w:gutter="0"/>
          <w:cols w:space="708"/>
        </w:sectPr>
      </w:pPr>
    </w:p>
    <w:p w14:paraId="6ACD2F3A" w14:textId="77777777" w:rsidR="008715BE" w:rsidRPr="00EC75B7" w:rsidRDefault="00000000">
      <w:pPr>
        <w:pStyle w:val="BodyText"/>
        <w:spacing w:before="99" w:line="357" w:lineRule="auto"/>
        <w:ind w:left="115" w:right="54"/>
        <w:jc w:val="both"/>
        <w:rPr>
          <w:rFonts w:ascii="Verdana" w:hAnsi="Verdana"/>
        </w:rPr>
      </w:pPr>
      <w:r w:rsidRPr="00EC75B7">
        <w:rPr>
          <w:rFonts w:ascii="Verdana" w:hAnsi="Verdana"/>
        </w:rPr>
        <w:lastRenderedPageBreak/>
        <w:t>During the decommissioning phase, conditions similar to those during the construction phase will apply. All measures established by the Water Management Notice issued by ABA Dobrogea Litoral will be complied with during the works.</w:t>
      </w:r>
    </w:p>
    <w:p w14:paraId="5C99C219" w14:textId="77777777" w:rsidR="008715BE" w:rsidRPr="00EC75B7" w:rsidRDefault="008715BE">
      <w:pPr>
        <w:pStyle w:val="BodyText"/>
        <w:spacing w:before="25"/>
        <w:rPr>
          <w:rFonts w:ascii="Verdana" w:hAnsi="Verdana"/>
        </w:rPr>
      </w:pPr>
    </w:p>
    <w:p w14:paraId="11B82701" w14:textId="77777777" w:rsidR="008715BE" w:rsidRPr="00EC75B7" w:rsidRDefault="00000000">
      <w:pPr>
        <w:pStyle w:val="Heading2"/>
        <w:numPr>
          <w:ilvl w:val="1"/>
          <w:numId w:val="110"/>
        </w:numPr>
        <w:tabs>
          <w:tab w:val="left" w:pos="1360"/>
        </w:tabs>
        <w:ind w:left="1360" w:hanging="1245"/>
        <w:jc w:val="left"/>
        <w:rPr>
          <w:rFonts w:ascii="Verdana" w:hAnsi="Verdana"/>
          <w:color w:val="00AFEF"/>
          <w:sz w:val="18"/>
          <w:szCs w:val="18"/>
        </w:rPr>
      </w:pPr>
      <w:bookmarkStart w:id="96" w:name="_bookmark97"/>
      <w:bookmarkEnd w:id="96"/>
      <w:r w:rsidRPr="00EC75B7">
        <w:rPr>
          <w:rFonts w:ascii="Verdana" w:hAnsi="Verdana"/>
          <w:color w:val="00AFEF"/>
          <w:spacing w:val="-4"/>
          <w:sz w:val="18"/>
          <w:szCs w:val="18"/>
        </w:rPr>
        <w:t>Air</w:t>
      </w:r>
    </w:p>
    <w:p w14:paraId="60BD16BF" w14:textId="77777777" w:rsidR="008715BE" w:rsidRPr="00EC75B7" w:rsidRDefault="00000000">
      <w:pPr>
        <w:pStyle w:val="Heading3"/>
        <w:numPr>
          <w:ilvl w:val="2"/>
          <w:numId w:val="110"/>
        </w:numPr>
        <w:tabs>
          <w:tab w:val="left" w:pos="2037"/>
        </w:tabs>
        <w:spacing w:before="133"/>
        <w:ind w:left="2037" w:hanging="986"/>
        <w:rPr>
          <w:rFonts w:ascii="Verdana" w:hAnsi="Verdana"/>
          <w:i/>
          <w:color w:val="00AFEF"/>
          <w:sz w:val="18"/>
          <w:szCs w:val="18"/>
        </w:rPr>
      </w:pPr>
      <w:bookmarkStart w:id="97" w:name="_bookmark98"/>
      <w:bookmarkEnd w:id="97"/>
      <w:r w:rsidRPr="00EC75B7">
        <w:rPr>
          <w:rFonts w:ascii="Verdana" w:hAnsi="Verdana"/>
          <w:color w:val="00AFEF"/>
          <w:sz w:val="18"/>
          <w:szCs w:val="18"/>
        </w:rPr>
        <w:t xml:space="preserve">Sensitivity and </w:t>
      </w:r>
      <w:r w:rsidRPr="00EC75B7">
        <w:rPr>
          <w:rFonts w:ascii="Verdana" w:hAnsi="Verdana"/>
          <w:color w:val="00AFEF"/>
          <w:spacing w:val="-2"/>
          <w:sz w:val="18"/>
          <w:szCs w:val="18"/>
        </w:rPr>
        <w:t xml:space="preserve">magnitude </w:t>
      </w:r>
      <w:r w:rsidRPr="00EC75B7">
        <w:rPr>
          <w:rFonts w:ascii="Verdana" w:hAnsi="Verdana"/>
          <w:color w:val="00AFEF"/>
          <w:sz w:val="18"/>
          <w:szCs w:val="18"/>
        </w:rPr>
        <w:t>classes</w:t>
      </w:r>
    </w:p>
    <w:p w14:paraId="511E7EDE" w14:textId="77777777" w:rsidR="008715BE" w:rsidRPr="00EC75B7" w:rsidRDefault="008715BE">
      <w:pPr>
        <w:pStyle w:val="BodyText"/>
        <w:spacing w:before="113"/>
        <w:rPr>
          <w:rFonts w:ascii="Verdana" w:hAnsi="Verdana"/>
          <w:b/>
        </w:rPr>
      </w:pPr>
    </w:p>
    <w:p w14:paraId="19F5F08E" w14:textId="77777777" w:rsidR="008715BE" w:rsidRPr="00EC75B7" w:rsidRDefault="00000000">
      <w:pPr>
        <w:pStyle w:val="BodyText"/>
        <w:spacing w:before="1" w:line="357" w:lineRule="auto"/>
        <w:ind w:left="86" w:right="58"/>
        <w:jc w:val="both"/>
        <w:rPr>
          <w:rFonts w:ascii="Verdana" w:hAnsi="Verdana"/>
        </w:rPr>
      </w:pPr>
      <w:r w:rsidRPr="00EC75B7">
        <w:rPr>
          <w:rFonts w:ascii="Verdana" w:hAnsi="Verdana"/>
        </w:rPr>
        <w:t>An assessment of existing European data on air quality at European level shows that the current air quality in the project area is generally good. The following sensitivity classes have been established for the air environmental factor, based on the current air quality:</w:t>
      </w:r>
    </w:p>
    <w:p w14:paraId="0B1A2C44" w14:textId="77777777" w:rsidR="008715BE" w:rsidRPr="00EC75B7" w:rsidRDefault="00000000">
      <w:pPr>
        <w:spacing w:before="172"/>
        <w:ind w:left="57"/>
        <w:jc w:val="both"/>
        <w:rPr>
          <w:rFonts w:ascii="Verdana" w:hAnsi="Verdana"/>
          <w:b/>
          <w:sz w:val="18"/>
          <w:szCs w:val="18"/>
        </w:rPr>
      </w:pPr>
      <w:r w:rsidRPr="00EC75B7">
        <w:rPr>
          <w:rFonts w:ascii="Verdana" w:hAnsi="Verdana"/>
          <w:b/>
          <w:color w:val="00AFEF"/>
          <w:sz w:val="18"/>
          <w:szCs w:val="18"/>
        </w:rPr>
        <w:t xml:space="preserve">Table 41 Sensitivity classes for the environmental factor </w:t>
      </w:r>
      <w:r w:rsidRPr="00EC75B7">
        <w:rPr>
          <w:rFonts w:ascii="Verdana" w:hAnsi="Verdana"/>
          <w:b/>
          <w:color w:val="00AFEF"/>
          <w:spacing w:val="-5"/>
          <w:sz w:val="18"/>
          <w:szCs w:val="18"/>
        </w:rPr>
        <w:t>air</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35"/>
        <w:gridCol w:w="3214"/>
        <w:gridCol w:w="4666"/>
      </w:tblGrid>
      <w:tr w:rsidR="008715BE" w:rsidRPr="00EC75B7" w14:paraId="3779C165" w14:textId="77777777">
        <w:trPr>
          <w:trHeight w:val="388"/>
        </w:trPr>
        <w:tc>
          <w:tcPr>
            <w:tcW w:w="1635" w:type="dxa"/>
            <w:shd w:val="clear" w:color="auto" w:fill="00AFEF"/>
          </w:tcPr>
          <w:p w14:paraId="0620D46B"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Sensitivity</w:t>
            </w:r>
          </w:p>
        </w:tc>
        <w:tc>
          <w:tcPr>
            <w:tcW w:w="3214" w:type="dxa"/>
            <w:shd w:val="clear" w:color="auto" w:fill="00AFEF"/>
          </w:tcPr>
          <w:p w14:paraId="3481CAB0"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4666" w:type="dxa"/>
            <w:shd w:val="clear" w:color="auto" w:fill="00AFEF"/>
          </w:tcPr>
          <w:p w14:paraId="72499627"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pacing w:val="18"/>
                <w:sz w:val="18"/>
                <w:szCs w:val="18"/>
              </w:rPr>
              <w:t xml:space="preserve">  </w:t>
            </w:r>
            <w:r w:rsidRPr="00EC75B7">
              <w:rPr>
                <w:rFonts w:ascii="Verdana" w:hAnsi="Verdana"/>
                <w:b/>
                <w:color w:val="FFFFFF"/>
                <w:sz w:val="18"/>
                <w:szCs w:val="18"/>
              </w:rPr>
              <w:t xml:space="preserve"> ly identified areas</w:t>
            </w:r>
            <w:r w:rsidRPr="00EC75B7">
              <w:rPr>
                <w:rFonts w:ascii="Verdana" w:hAnsi="Verdana"/>
                <w:b/>
                <w:color w:val="FFFFFF"/>
                <w:spacing w:val="21"/>
                <w:sz w:val="18"/>
                <w:szCs w:val="18"/>
              </w:rPr>
              <w:t xml:space="preserve">  </w:t>
            </w:r>
            <w:r w:rsidRPr="00EC75B7">
              <w:rPr>
                <w:rFonts w:ascii="Verdana" w:hAnsi="Verdana"/>
                <w:b/>
                <w:color w:val="FFFFFF"/>
                <w:sz w:val="18"/>
                <w:szCs w:val="18"/>
              </w:rPr>
              <w:t xml:space="preserve"> in</w:t>
            </w:r>
            <w:r w:rsidRPr="00EC75B7">
              <w:rPr>
                <w:rFonts w:ascii="Verdana" w:hAnsi="Verdana"/>
                <w:b/>
                <w:color w:val="FFFFFF"/>
                <w:spacing w:val="19"/>
                <w:sz w:val="18"/>
                <w:szCs w:val="18"/>
              </w:rPr>
              <w:t xml:space="preserve">  </w:t>
            </w:r>
            <w:r w:rsidRPr="00EC75B7">
              <w:rPr>
                <w:rFonts w:ascii="Verdana" w:hAnsi="Verdana"/>
                <w:b/>
                <w:color w:val="FFFFFF"/>
                <w:sz w:val="18"/>
                <w:szCs w:val="18"/>
              </w:rPr>
              <w:t xml:space="preserve"> area</w:t>
            </w:r>
            <w:r w:rsidRPr="00EC75B7">
              <w:rPr>
                <w:rFonts w:ascii="Verdana" w:hAnsi="Verdana"/>
                <w:b/>
                <w:color w:val="FFFFFF"/>
                <w:spacing w:val="19"/>
                <w:sz w:val="18"/>
                <w:szCs w:val="18"/>
              </w:rPr>
              <w:t xml:space="preserve">  </w:t>
            </w:r>
            <w:r w:rsidRPr="00EC75B7">
              <w:rPr>
                <w:rFonts w:ascii="Verdana" w:hAnsi="Verdana"/>
                <w:b/>
                <w:color w:val="FFFFFF"/>
                <w:sz w:val="18"/>
                <w:szCs w:val="18"/>
              </w:rPr>
              <w:t xml:space="preserve"> of</w:t>
            </w:r>
            <w:r w:rsidRPr="00EC75B7">
              <w:rPr>
                <w:rFonts w:ascii="Verdana" w:hAnsi="Verdana"/>
                <w:b/>
                <w:color w:val="FFFFFF"/>
                <w:spacing w:val="18"/>
                <w:sz w:val="18"/>
                <w:szCs w:val="18"/>
              </w:rPr>
              <w:t xml:space="preserve">  </w:t>
            </w:r>
            <w:r w:rsidRPr="00EC75B7">
              <w:rPr>
                <w:rFonts w:ascii="Verdana" w:hAnsi="Verdana"/>
                <w:b/>
                <w:color w:val="FFFFFF"/>
                <w:sz w:val="18"/>
                <w:szCs w:val="18"/>
              </w:rPr>
              <w:t xml:space="preserve"> implementation</w:t>
            </w:r>
            <w:r w:rsidRPr="00EC75B7">
              <w:rPr>
                <w:rFonts w:ascii="Verdana" w:hAnsi="Verdana"/>
                <w:b/>
                <w:color w:val="FFFFFF"/>
                <w:spacing w:val="19"/>
                <w:sz w:val="18"/>
                <w:szCs w:val="18"/>
              </w:rPr>
              <w:t xml:space="preserve">  </w:t>
            </w:r>
            <w:r w:rsidRPr="00EC75B7">
              <w:rPr>
                <w:rFonts w:ascii="Verdana" w:hAnsi="Verdana"/>
                <w:b/>
                <w:color w:val="FFFFFF"/>
                <w:spacing w:val="-10"/>
                <w:sz w:val="18"/>
                <w:szCs w:val="18"/>
              </w:rPr>
              <w:t xml:space="preserve"> of</w:t>
            </w:r>
          </w:p>
          <w:p w14:paraId="0C125CAB" w14:textId="77777777" w:rsidR="008715BE" w:rsidRPr="00EC75B7" w:rsidRDefault="00000000">
            <w:pPr>
              <w:pStyle w:val="TableParagraph"/>
              <w:spacing w:line="175"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7E5AF77A" w14:textId="77777777">
        <w:trPr>
          <w:trHeight w:val="2335"/>
        </w:trPr>
        <w:tc>
          <w:tcPr>
            <w:tcW w:w="1635" w:type="dxa"/>
            <w:shd w:val="clear" w:color="auto" w:fill="E1EED9"/>
          </w:tcPr>
          <w:p w14:paraId="54FD1F26" w14:textId="77777777" w:rsidR="008715BE" w:rsidRPr="00EC75B7" w:rsidRDefault="00000000">
            <w:pPr>
              <w:pStyle w:val="TableParagraph"/>
              <w:ind w:left="108" w:right="107"/>
              <w:rPr>
                <w:rFonts w:ascii="Verdana" w:hAnsi="Verdana"/>
                <w:b/>
                <w:sz w:val="18"/>
                <w:szCs w:val="18"/>
              </w:rPr>
            </w:pPr>
            <w:r w:rsidRPr="00EC75B7">
              <w:rPr>
                <w:rFonts w:ascii="Verdana" w:hAnsi="Verdana"/>
                <w:b/>
                <w:spacing w:val="-2"/>
                <w:sz w:val="18"/>
                <w:szCs w:val="18"/>
              </w:rPr>
              <w:t>Very low/no sensitivity</w:t>
            </w:r>
          </w:p>
        </w:tc>
        <w:tc>
          <w:tcPr>
            <w:tcW w:w="3214" w:type="dxa"/>
          </w:tcPr>
          <w:p w14:paraId="0DA0DE62" w14:textId="77777777" w:rsidR="008715BE" w:rsidRPr="00EC75B7" w:rsidRDefault="00000000">
            <w:pPr>
              <w:pStyle w:val="TableParagraph"/>
              <w:tabs>
                <w:tab w:val="left" w:pos="1110"/>
                <w:tab w:val="left" w:pos="1933"/>
                <w:tab w:val="left" w:pos="2736"/>
              </w:tabs>
              <w:ind w:left="107" w:right="94"/>
              <w:jc w:val="both"/>
              <w:rPr>
                <w:rFonts w:ascii="Verdana" w:hAnsi="Verdana"/>
                <w:sz w:val="18"/>
                <w:szCs w:val="18"/>
              </w:rPr>
            </w:pPr>
            <w:r w:rsidRPr="00EC75B7">
              <w:rPr>
                <w:rFonts w:ascii="Verdana" w:hAnsi="Verdana"/>
                <w:sz w:val="18"/>
                <w:szCs w:val="18"/>
              </w:rPr>
              <w:t xml:space="preserve">Agglomerations/areas where the concentration of air pollutants relevant to the project does not exceed the maximum permissible concentration and the lower assessment thresholds (50% of the maximum permissible concentration). There are no trends towards exceeding the </w:t>
            </w:r>
            <w:r w:rsidRPr="00EC75B7">
              <w:rPr>
                <w:rFonts w:ascii="Verdana" w:hAnsi="Verdana"/>
                <w:spacing w:val="-2"/>
                <w:sz w:val="18"/>
                <w:szCs w:val="18"/>
              </w:rPr>
              <w:t xml:space="preserve">short-term </w:t>
            </w:r>
            <w:r w:rsidRPr="00EC75B7">
              <w:rPr>
                <w:rFonts w:ascii="Verdana" w:hAnsi="Verdana"/>
                <w:sz w:val="18"/>
                <w:szCs w:val="18"/>
              </w:rPr>
              <w:t>alert and information thresholds</w:t>
            </w:r>
            <w:r w:rsidRPr="00EC75B7">
              <w:rPr>
                <w:rFonts w:ascii="Verdana" w:hAnsi="Verdana"/>
                <w:sz w:val="18"/>
                <w:szCs w:val="18"/>
              </w:rPr>
              <w:tab/>
            </w:r>
            <w:r w:rsidRPr="00EC75B7">
              <w:rPr>
                <w:rFonts w:ascii="Verdana" w:hAnsi="Verdana"/>
                <w:spacing w:val="-2"/>
                <w:sz w:val="18"/>
                <w:szCs w:val="18"/>
              </w:rPr>
              <w:t>short</w:t>
            </w:r>
            <w:r w:rsidRPr="00EC75B7">
              <w:rPr>
                <w:rFonts w:ascii="Verdana" w:hAnsi="Verdana"/>
                <w:sz w:val="18"/>
                <w:szCs w:val="18"/>
              </w:rPr>
              <w:tab/>
            </w:r>
            <w:r w:rsidRPr="00EC75B7">
              <w:rPr>
                <w:rFonts w:ascii="Verdana" w:hAnsi="Verdana"/>
                <w:spacing w:val="-4"/>
                <w:sz w:val="18"/>
                <w:szCs w:val="18"/>
              </w:rPr>
              <w:t>(1–3</w:t>
            </w:r>
            <w:r w:rsidRPr="00EC75B7">
              <w:rPr>
                <w:rFonts w:ascii="Verdana" w:hAnsi="Verdana"/>
                <w:sz w:val="18"/>
                <w:szCs w:val="18"/>
              </w:rPr>
              <w:tab/>
            </w:r>
            <w:r w:rsidRPr="00EC75B7">
              <w:rPr>
                <w:rFonts w:ascii="Verdana" w:hAnsi="Verdana"/>
                <w:spacing w:val="-2"/>
                <w:sz w:val="18"/>
                <w:szCs w:val="18"/>
              </w:rPr>
              <w:t xml:space="preserve">years). </w:t>
            </w:r>
            <w:r w:rsidRPr="00EC75B7">
              <w:rPr>
                <w:rFonts w:ascii="Verdana" w:hAnsi="Verdana"/>
                <w:sz w:val="18"/>
                <w:szCs w:val="18"/>
              </w:rPr>
              <w:t xml:space="preserve">There are no activities in the area that could lead to an increase </w:t>
            </w:r>
            <w:r w:rsidRPr="00EC75B7">
              <w:rPr>
                <w:rFonts w:ascii="Verdana" w:hAnsi="Verdana"/>
                <w:spacing w:val="-2"/>
                <w:sz w:val="18"/>
                <w:szCs w:val="18"/>
              </w:rPr>
              <w:t>in the level</w:t>
            </w:r>
          </w:p>
          <w:p w14:paraId="6F800674" w14:textId="77777777" w:rsidR="008715BE" w:rsidRPr="00EC75B7" w:rsidRDefault="00000000">
            <w:pPr>
              <w:pStyle w:val="TableParagraph"/>
              <w:spacing w:line="168" w:lineRule="exact"/>
              <w:ind w:left="107"/>
              <w:jc w:val="both"/>
              <w:rPr>
                <w:rFonts w:ascii="Verdana" w:hAnsi="Verdana"/>
                <w:sz w:val="18"/>
                <w:szCs w:val="18"/>
              </w:rPr>
            </w:pPr>
            <w:r w:rsidRPr="00EC75B7">
              <w:rPr>
                <w:rFonts w:ascii="Verdana" w:hAnsi="Verdana"/>
                <w:sz w:val="18"/>
                <w:szCs w:val="18"/>
              </w:rPr>
              <w:t xml:space="preserve">of pollutants in </w:t>
            </w:r>
            <w:r w:rsidRPr="00EC75B7">
              <w:rPr>
                <w:rFonts w:ascii="Verdana" w:hAnsi="Verdana"/>
                <w:spacing w:val="-2"/>
                <w:sz w:val="18"/>
                <w:szCs w:val="18"/>
              </w:rPr>
              <w:t>the atmosphere.</w:t>
            </w:r>
          </w:p>
        </w:tc>
        <w:tc>
          <w:tcPr>
            <w:tcW w:w="4666" w:type="dxa"/>
          </w:tcPr>
          <w:p w14:paraId="1D847A7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w:t>
            </w:r>
          </w:p>
        </w:tc>
      </w:tr>
      <w:tr w:rsidR="008715BE" w:rsidRPr="00EC75B7" w14:paraId="4F8ACF59" w14:textId="77777777">
        <w:trPr>
          <w:trHeight w:val="2332"/>
        </w:trPr>
        <w:tc>
          <w:tcPr>
            <w:tcW w:w="1635" w:type="dxa"/>
            <w:shd w:val="clear" w:color="auto" w:fill="92D050"/>
          </w:tcPr>
          <w:p w14:paraId="02D4F1C5"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Low</w:t>
            </w:r>
          </w:p>
        </w:tc>
        <w:tc>
          <w:tcPr>
            <w:tcW w:w="3214" w:type="dxa"/>
            <w:tcBorders>
              <w:top w:val="nil"/>
              <w:bottom w:val="nil"/>
            </w:tcBorders>
            <w:shd w:val="clear" w:color="auto" w:fill="D9D9D9"/>
          </w:tcPr>
          <w:p w14:paraId="3E4BBC27"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Agglomerations/areas where the concentration of atmospheric pollutants relevant to the project does not exceed the maximum permissible concentrations, but the values recorded are between the lower and upper assessment thresholds for public health (between 50–70% of the maximum permissible concentration). There are no trends towards exceeding the </w:t>
            </w:r>
            <w:r w:rsidRPr="00EC75B7">
              <w:rPr>
                <w:rFonts w:ascii="Verdana" w:hAnsi="Verdana"/>
                <w:spacing w:val="-2"/>
                <w:sz w:val="18"/>
                <w:szCs w:val="18"/>
              </w:rPr>
              <w:t xml:space="preserve">short-term </w:t>
            </w:r>
            <w:r w:rsidRPr="00EC75B7">
              <w:rPr>
                <w:rFonts w:ascii="Verdana" w:hAnsi="Verdana"/>
                <w:sz w:val="18"/>
                <w:szCs w:val="18"/>
              </w:rPr>
              <w:t>alert thresholds</w:t>
            </w:r>
          </w:p>
          <w:p w14:paraId="7A7DF6BD" w14:textId="77777777" w:rsidR="008715BE" w:rsidRPr="00EC75B7" w:rsidRDefault="00000000">
            <w:pPr>
              <w:pStyle w:val="TableParagraph"/>
              <w:spacing w:line="166" w:lineRule="exact"/>
              <w:ind w:left="107"/>
              <w:jc w:val="both"/>
              <w:rPr>
                <w:rFonts w:ascii="Verdana" w:hAnsi="Verdana"/>
                <w:sz w:val="18"/>
                <w:szCs w:val="18"/>
              </w:rPr>
            </w:pPr>
            <w:r w:rsidRPr="00EC75B7">
              <w:rPr>
                <w:rFonts w:ascii="Verdana" w:hAnsi="Verdana"/>
                <w:sz w:val="18"/>
                <w:szCs w:val="18"/>
              </w:rPr>
              <w:t xml:space="preserve">(1–3 </w:t>
            </w:r>
            <w:r w:rsidRPr="00EC75B7">
              <w:rPr>
                <w:rFonts w:ascii="Verdana" w:hAnsi="Verdana"/>
                <w:spacing w:val="-2"/>
                <w:sz w:val="18"/>
                <w:szCs w:val="18"/>
              </w:rPr>
              <w:t>years).</w:t>
            </w:r>
          </w:p>
        </w:tc>
        <w:tc>
          <w:tcPr>
            <w:tcW w:w="4666" w:type="dxa"/>
            <w:tcBorders>
              <w:top w:val="nil"/>
              <w:bottom w:val="nil"/>
            </w:tcBorders>
            <w:shd w:val="clear" w:color="auto" w:fill="D9D9D9"/>
          </w:tcPr>
          <w:p w14:paraId="4D6FA7F2"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 xml:space="preserve">For PM10, PM2.5, and NOx pollutants, according to European data available for Cerchezu, the recorded values are between the lower and upper thresholds for </w:t>
            </w:r>
            <w:r w:rsidRPr="00EC75B7">
              <w:rPr>
                <w:rFonts w:ascii="Verdana" w:hAnsi="Verdana"/>
                <w:spacing w:val="-2"/>
                <w:sz w:val="18"/>
                <w:szCs w:val="18"/>
              </w:rPr>
              <w:t>public</w:t>
            </w:r>
            <w:r w:rsidRPr="00EC75B7">
              <w:rPr>
                <w:rFonts w:ascii="Verdana" w:hAnsi="Verdana"/>
                <w:sz w:val="18"/>
                <w:szCs w:val="18"/>
              </w:rPr>
              <w:t xml:space="preserve"> health assessment.</w:t>
            </w:r>
          </w:p>
        </w:tc>
      </w:tr>
      <w:tr w:rsidR="008715BE" w:rsidRPr="00EC75B7" w14:paraId="439A8B86" w14:textId="77777777">
        <w:trPr>
          <w:trHeight w:val="1946"/>
        </w:trPr>
        <w:tc>
          <w:tcPr>
            <w:tcW w:w="1635" w:type="dxa"/>
            <w:shd w:val="clear" w:color="auto" w:fill="FFFF00"/>
          </w:tcPr>
          <w:p w14:paraId="1B415A68"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3214" w:type="dxa"/>
          </w:tcPr>
          <w:p w14:paraId="35360FCA" w14:textId="77777777" w:rsidR="008715BE" w:rsidRPr="00EC75B7" w:rsidRDefault="00000000">
            <w:pPr>
              <w:pStyle w:val="TableParagraph"/>
              <w:tabs>
                <w:tab w:val="left" w:pos="1693"/>
                <w:tab w:val="left" w:pos="2868"/>
              </w:tabs>
              <w:ind w:left="107" w:right="95"/>
              <w:jc w:val="both"/>
              <w:rPr>
                <w:rFonts w:ascii="Verdana" w:hAnsi="Verdana"/>
                <w:sz w:val="18"/>
                <w:szCs w:val="18"/>
              </w:rPr>
            </w:pPr>
            <w:r w:rsidRPr="00EC75B7">
              <w:rPr>
                <w:rFonts w:ascii="Verdana" w:hAnsi="Verdana"/>
                <w:sz w:val="18"/>
                <w:szCs w:val="18"/>
              </w:rPr>
              <w:t xml:space="preserve">Agglomerations/areas where no exceedances are </w:t>
            </w:r>
            <w:r w:rsidRPr="00EC75B7">
              <w:rPr>
                <w:rFonts w:ascii="Verdana" w:hAnsi="Verdana"/>
                <w:spacing w:val="-2"/>
                <w:sz w:val="18"/>
                <w:szCs w:val="18"/>
              </w:rPr>
              <w:t>recorded</w:t>
            </w:r>
            <w:r w:rsidRPr="00EC75B7">
              <w:rPr>
                <w:rFonts w:ascii="Verdana" w:hAnsi="Verdana"/>
                <w:sz w:val="18"/>
                <w:szCs w:val="18"/>
              </w:rPr>
              <w:tab/>
            </w:r>
            <w:r w:rsidRPr="00EC75B7">
              <w:rPr>
                <w:rFonts w:ascii="Verdana" w:hAnsi="Verdana"/>
                <w:spacing w:val="-2"/>
                <w:sz w:val="18"/>
                <w:szCs w:val="18"/>
              </w:rPr>
              <w:t>exceedances</w:t>
            </w:r>
            <w:r w:rsidRPr="00EC75B7">
              <w:rPr>
                <w:rFonts w:ascii="Verdana" w:hAnsi="Verdana"/>
                <w:sz w:val="18"/>
                <w:szCs w:val="18"/>
              </w:rPr>
              <w:tab/>
            </w:r>
            <w:r w:rsidRPr="00EC75B7">
              <w:rPr>
                <w:rFonts w:ascii="Verdana" w:hAnsi="Verdana"/>
                <w:spacing w:val="-4"/>
                <w:sz w:val="18"/>
                <w:szCs w:val="18"/>
              </w:rPr>
              <w:t xml:space="preserve">of </w:t>
            </w:r>
            <w:r w:rsidRPr="00EC75B7">
              <w:rPr>
                <w:rFonts w:ascii="Verdana" w:hAnsi="Verdana"/>
                <w:sz w:val="18"/>
                <w:szCs w:val="18"/>
              </w:rPr>
              <w:t xml:space="preserve">the maximum concentrations established by Law No. 104/2011, but exceedances of the upper assessment threshold for human health protection and the assessment thresholds for vegetation are recorded for the </w:t>
            </w:r>
            <w:r w:rsidRPr="00EC75B7">
              <w:rPr>
                <w:rFonts w:ascii="Verdana" w:hAnsi="Verdana"/>
                <w:spacing w:val="-2"/>
                <w:sz w:val="18"/>
                <w:szCs w:val="18"/>
              </w:rPr>
              <w:t xml:space="preserve">relevant </w:t>
            </w:r>
            <w:r w:rsidRPr="00EC75B7">
              <w:rPr>
                <w:rFonts w:ascii="Verdana" w:hAnsi="Verdana"/>
                <w:sz w:val="18"/>
                <w:szCs w:val="18"/>
              </w:rPr>
              <w:t>atmospheric pollutants</w:t>
            </w:r>
            <w:r w:rsidRPr="00EC75B7">
              <w:rPr>
                <w:rFonts w:ascii="Verdana" w:hAnsi="Verdana"/>
                <w:spacing w:val="48"/>
                <w:sz w:val="18"/>
                <w:szCs w:val="18"/>
              </w:rPr>
              <w:t xml:space="preserve">   </w:t>
            </w:r>
            <w:r w:rsidRPr="00EC75B7">
              <w:rPr>
                <w:rFonts w:ascii="Verdana" w:hAnsi="Verdana"/>
                <w:sz w:val="18"/>
                <w:szCs w:val="18"/>
              </w:rPr>
              <w:t xml:space="preserve"> </w:t>
            </w:r>
            <w:r w:rsidRPr="00EC75B7">
              <w:rPr>
                <w:rFonts w:ascii="Verdana" w:hAnsi="Verdana"/>
                <w:spacing w:val="47"/>
                <w:sz w:val="18"/>
                <w:szCs w:val="18"/>
              </w:rPr>
              <w:t xml:space="preserve">   </w:t>
            </w:r>
            <w:r w:rsidRPr="00EC75B7">
              <w:rPr>
                <w:rFonts w:ascii="Verdana" w:hAnsi="Verdana"/>
                <w:spacing w:val="-2"/>
                <w:sz w:val="18"/>
                <w:szCs w:val="18"/>
              </w:rPr>
              <w:t xml:space="preserve"> </w:t>
            </w:r>
          </w:p>
          <w:p w14:paraId="76088136" w14:textId="77777777" w:rsidR="008715BE" w:rsidRPr="00EC75B7" w:rsidRDefault="00000000">
            <w:pPr>
              <w:pStyle w:val="TableParagraph"/>
              <w:spacing w:line="169" w:lineRule="exact"/>
              <w:ind w:left="107"/>
              <w:jc w:val="both"/>
              <w:rPr>
                <w:rFonts w:ascii="Verdana" w:hAnsi="Verdana"/>
                <w:sz w:val="18"/>
                <w:szCs w:val="18"/>
              </w:rPr>
            </w:pPr>
            <w:r w:rsidRPr="00EC75B7">
              <w:rPr>
                <w:rFonts w:ascii="Verdana" w:hAnsi="Verdana"/>
                <w:sz w:val="18"/>
                <w:szCs w:val="18"/>
              </w:rPr>
              <w:t xml:space="preserve">for the </w:t>
            </w:r>
            <w:r w:rsidRPr="00EC75B7">
              <w:rPr>
                <w:rFonts w:ascii="Verdana" w:hAnsi="Verdana"/>
                <w:spacing w:val="-2"/>
                <w:sz w:val="18"/>
                <w:szCs w:val="18"/>
              </w:rPr>
              <w:t xml:space="preserve">proposed </w:t>
            </w:r>
            <w:r w:rsidRPr="00EC75B7">
              <w:rPr>
                <w:rFonts w:ascii="Verdana" w:hAnsi="Verdana"/>
                <w:sz w:val="18"/>
                <w:szCs w:val="18"/>
              </w:rPr>
              <w:t>project</w:t>
            </w:r>
            <w:r w:rsidRPr="00EC75B7">
              <w:rPr>
                <w:rFonts w:ascii="Verdana" w:hAnsi="Verdana"/>
                <w:spacing w:val="-2"/>
                <w:sz w:val="18"/>
                <w:szCs w:val="18"/>
              </w:rPr>
              <w:t>.</w:t>
            </w:r>
          </w:p>
        </w:tc>
        <w:tc>
          <w:tcPr>
            <w:tcW w:w="4666" w:type="dxa"/>
          </w:tcPr>
          <w:p w14:paraId="3F51E3BC" w14:textId="77777777" w:rsidR="008715BE" w:rsidRPr="00EC75B7" w:rsidRDefault="008715BE">
            <w:pPr>
              <w:pStyle w:val="TableParagraph"/>
              <w:rPr>
                <w:rFonts w:ascii="Verdana" w:hAnsi="Verdana"/>
                <w:sz w:val="18"/>
                <w:szCs w:val="18"/>
              </w:rPr>
            </w:pPr>
          </w:p>
        </w:tc>
      </w:tr>
      <w:tr w:rsidR="008715BE" w:rsidRPr="00EC75B7" w14:paraId="0254CE79" w14:textId="77777777">
        <w:trPr>
          <w:trHeight w:val="2527"/>
        </w:trPr>
        <w:tc>
          <w:tcPr>
            <w:tcW w:w="1635" w:type="dxa"/>
            <w:shd w:val="clear" w:color="auto" w:fill="FAE3D4"/>
          </w:tcPr>
          <w:p w14:paraId="1AE7608F"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lastRenderedPageBreak/>
              <w:t>Large</w:t>
            </w:r>
          </w:p>
        </w:tc>
        <w:tc>
          <w:tcPr>
            <w:tcW w:w="3214" w:type="dxa"/>
            <w:tcBorders>
              <w:top w:val="nil"/>
              <w:bottom w:val="nil"/>
            </w:tcBorders>
            <w:shd w:val="clear" w:color="auto" w:fill="D9D9D9"/>
          </w:tcPr>
          <w:p w14:paraId="39700F5D"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 xml:space="preserve">Agglomerations/areas where occasional exceedances of the maximum concentration values established by Law No. 104/2011 for one or more </w:t>
            </w:r>
            <w:r w:rsidRPr="00EC75B7">
              <w:rPr>
                <w:rFonts w:ascii="Verdana" w:hAnsi="Verdana"/>
                <w:spacing w:val="-2"/>
                <w:sz w:val="18"/>
                <w:szCs w:val="18"/>
              </w:rPr>
              <w:t>monitored</w:t>
            </w:r>
            <w:r w:rsidRPr="00EC75B7">
              <w:rPr>
                <w:rFonts w:ascii="Verdana" w:hAnsi="Verdana"/>
                <w:sz w:val="18"/>
                <w:szCs w:val="18"/>
              </w:rPr>
              <w:t xml:space="preserve"> pollutants are recorded</w:t>
            </w:r>
            <w:r w:rsidRPr="00EC75B7">
              <w:rPr>
                <w:rFonts w:ascii="Verdana" w:hAnsi="Verdana"/>
                <w:spacing w:val="-2"/>
                <w:sz w:val="18"/>
                <w:szCs w:val="18"/>
              </w:rPr>
              <w:t>.</w:t>
            </w:r>
          </w:p>
          <w:p w14:paraId="1B0A2C38"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Agglomerations and areas where frequent exceedances of the maximum concentration values set by Law No. 104/2011 for one or more of the monitored pollutants</w:t>
            </w:r>
            <w:r w:rsidRPr="00EC75B7">
              <w:rPr>
                <w:rFonts w:ascii="Verdana" w:hAnsi="Verdana"/>
                <w:spacing w:val="75"/>
                <w:sz w:val="18"/>
                <w:szCs w:val="18"/>
              </w:rPr>
              <w:t xml:space="preserve">  </w:t>
            </w:r>
            <w:r w:rsidRPr="00EC75B7">
              <w:rPr>
                <w:rFonts w:ascii="Verdana" w:hAnsi="Verdana"/>
                <w:sz w:val="18"/>
                <w:szCs w:val="18"/>
              </w:rPr>
              <w:t xml:space="preserve"> </w:t>
            </w:r>
            <w:r w:rsidRPr="00EC75B7">
              <w:rPr>
                <w:rFonts w:ascii="Verdana" w:hAnsi="Verdana"/>
                <w:spacing w:val="76"/>
                <w:sz w:val="18"/>
                <w:szCs w:val="18"/>
              </w:rPr>
              <w:t xml:space="preserve">  </w:t>
            </w:r>
            <w:r w:rsidRPr="00EC75B7">
              <w:rPr>
                <w:rFonts w:ascii="Verdana" w:hAnsi="Verdana"/>
                <w:spacing w:val="-2"/>
                <w:sz w:val="18"/>
                <w:szCs w:val="18"/>
              </w:rPr>
              <w:t xml:space="preserve"> relevant</w:t>
            </w:r>
          </w:p>
          <w:p w14:paraId="704F141E" w14:textId="77777777" w:rsidR="008715BE" w:rsidRPr="00EC75B7" w:rsidRDefault="00000000">
            <w:pPr>
              <w:pStyle w:val="TableParagraph"/>
              <w:spacing w:line="170" w:lineRule="exact"/>
              <w:ind w:left="107"/>
              <w:jc w:val="both"/>
              <w:rPr>
                <w:rFonts w:ascii="Verdana" w:hAnsi="Verdana"/>
                <w:sz w:val="18"/>
                <w:szCs w:val="18"/>
              </w:rPr>
            </w:pPr>
            <w:r w:rsidRPr="00EC75B7">
              <w:rPr>
                <w:rFonts w:ascii="Verdana" w:hAnsi="Verdana"/>
                <w:sz w:val="18"/>
                <w:szCs w:val="18"/>
              </w:rPr>
              <w:t xml:space="preserve">for </w:t>
            </w:r>
            <w:r w:rsidRPr="00EC75B7">
              <w:rPr>
                <w:rFonts w:ascii="Verdana" w:hAnsi="Verdana"/>
                <w:spacing w:val="-2"/>
                <w:sz w:val="18"/>
                <w:szCs w:val="18"/>
              </w:rPr>
              <w:t>the project.</w:t>
            </w:r>
          </w:p>
        </w:tc>
        <w:tc>
          <w:tcPr>
            <w:tcW w:w="4666" w:type="dxa"/>
            <w:tcBorders>
              <w:top w:val="nil"/>
              <w:bottom w:val="nil"/>
            </w:tcBorders>
            <w:shd w:val="clear" w:color="auto" w:fill="D9D9D9"/>
          </w:tcPr>
          <w:p w14:paraId="24C3B072" w14:textId="77777777" w:rsidR="008715BE" w:rsidRPr="00EC75B7" w:rsidRDefault="008715BE">
            <w:pPr>
              <w:pStyle w:val="TableParagraph"/>
              <w:rPr>
                <w:rFonts w:ascii="Verdana" w:hAnsi="Verdana"/>
                <w:sz w:val="18"/>
                <w:szCs w:val="18"/>
              </w:rPr>
            </w:pPr>
          </w:p>
        </w:tc>
      </w:tr>
      <w:tr w:rsidR="008715BE" w:rsidRPr="00EC75B7" w14:paraId="703E605B" w14:textId="77777777">
        <w:trPr>
          <w:trHeight w:val="388"/>
        </w:trPr>
        <w:tc>
          <w:tcPr>
            <w:tcW w:w="1635" w:type="dxa"/>
            <w:shd w:val="clear" w:color="auto" w:fill="FF0000"/>
          </w:tcPr>
          <w:p w14:paraId="0A81AF42"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3214" w:type="dxa"/>
          </w:tcPr>
          <w:p w14:paraId="2C2D2C68" w14:textId="77777777" w:rsidR="008715BE" w:rsidRPr="00EC75B7" w:rsidRDefault="00000000">
            <w:pPr>
              <w:pStyle w:val="TableParagraph"/>
              <w:tabs>
                <w:tab w:val="left" w:pos="1772"/>
                <w:tab w:val="left" w:pos="2250"/>
                <w:tab w:val="left" w:pos="2926"/>
              </w:tabs>
              <w:spacing w:line="194" w:lineRule="exact"/>
              <w:ind w:left="107"/>
              <w:rPr>
                <w:rFonts w:ascii="Verdana" w:hAnsi="Verdana"/>
                <w:sz w:val="18"/>
                <w:szCs w:val="18"/>
              </w:rPr>
            </w:pPr>
            <w:r w:rsidRPr="00EC75B7">
              <w:rPr>
                <w:rFonts w:ascii="Verdana" w:hAnsi="Verdana"/>
                <w:spacing w:val="-2"/>
                <w:sz w:val="18"/>
                <w:szCs w:val="18"/>
              </w:rPr>
              <w:t>Agglomerations/areas</w:t>
            </w:r>
            <w:r w:rsidRPr="00EC75B7">
              <w:rPr>
                <w:rFonts w:ascii="Verdana" w:hAnsi="Verdana"/>
                <w:sz w:val="18"/>
                <w:szCs w:val="18"/>
              </w:rPr>
              <w:tab/>
            </w:r>
            <w:r w:rsidRPr="00EC75B7">
              <w:rPr>
                <w:rFonts w:ascii="Verdana" w:hAnsi="Verdana"/>
                <w:spacing w:val="-5"/>
                <w:sz w:val="18"/>
                <w:szCs w:val="18"/>
              </w:rPr>
              <w:t>in</w:t>
            </w:r>
            <w:r w:rsidRPr="00EC75B7">
              <w:rPr>
                <w:rFonts w:ascii="Verdana" w:hAnsi="Verdana"/>
                <w:sz w:val="18"/>
                <w:szCs w:val="18"/>
              </w:rPr>
              <w:tab/>
            </w:r>
            <w:r w:rsidRPr="00EC75B7">
              <w:rPr>
                <w:rFonts w:ascii="Verdana" w:hAnsi="Verdana"/>
                <w:spacing w:val="-4"/>
                <w:sz w:val="18"/>
                <w:szCs w:val="18"/>
              </w:rPr>
              <w:t>which</w:t>
            </w:r>
            <w:r w:rsidRPr="00EC75B7">
              <w:rPr>
                <w:rFonts w:ascii="Verdana" w:hAnsi="Verdana"/>
                <w:sz w:val="18"/>
                <w:szCs w:val="18"/>
              </w:rPr>
              <w:tab/>
            </w:r>
            <w:r w:rsidRPr="00EC75B7">
              <w:rPr>
                <w:rFonts w:ascii="Verdana" w:hAnsi="Verdana"/>
                <w:spacing w:val="-5"/>
                <w:sz w:val="18"/>
                <w:szCs w:val="18"/>
              </w:rPr>
              <w:t>there</w:t>
            </w:r>
          </w:p>
          <w:p w14:paraId="5C0D4971" w14:textId="77777777" w:rsidR="008715BE" w:rsidRPr="00EC75B7" w:rsidRDefault="00000000">
            <w:pPr>
              <w:pStyle w:val="TableParagraph"/>
              <w:spacing w:line="175" w:lineRule="exact"/>
              <w:ind w:left="107"/>
              <w:rPr>
                <w:rFonts w:ascii="Verdana" w:hAnsi="Verdana"/>
                <w:sz w:val="18"/>
                <w:szCs w:val="18"/>
              </w:rPr>
            </w:pPr>
            <w:r w:rsidRPr="00EC75B7">
              <w:rPr>
                <w:rFonts w:ascii="Verdana" w:hAnsi="Verdana"/>
                <w:sz w:val="18"/>
                <w:szCs w:val="18"/>
              </w:rPr>
              <w:t xml:space="preserve">frequent exceedances </w:t>
            </w:r>
            <w:r w:rsidRPr="00EC75B7">
              <w:rPr>
                <w:rFonts w:ascii="Verdana" w:hAnsi="Verdana"/>
                <w:spacing w:val="-5"/>
                <w:sz w:val="18"/>
                <w:szCs w:val="18"/>
              </w:rPr>
              <w:t>of</w:t>
            </w:r>
          </w:p>
        </w:tc>
        <w:tc>
          <w:tcPr>
            <w:tcW w:w="4666" w:type="dxa"/>
          </w:tcPr>
          <w:p w14:paraId="04C76370" w14:textId="77777777" w:rsidR="008715BE" w:rsidRPr="00EC75B7" w:rsidRDefault="008715BE">
            <w:pPr>
              <w:pStyle w:val="TableParagraph"/>
              <w:rPr>
                <w:rFonts w:ascii="Verdana" w:hAnsi="Verdana"/>
                <w:sz w:val="18"/>
                <w:szCs w:val="18"/>
              </w:rPr>
            </w:pPr>
          </w:p>
        </w:tc>
      </w:tr>
    </w:tbl>
    <w:p w14:paraId="312F285F"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35"/>
        <w:gridCol w:w="3214"/>
        <w:gridCol w:w="4666"/>
      </w:tblGrid>
      <w:tr w:rsidR="008715BE" w:rsidRPr="00EC75B7" w14:paraId="059BB7D2" w14:textId="77777777">
        <w:trPr>
          <w:trHeight w:val="388"/>
        </w:trPr>
        <w:tc>
          <w:tcPr>
            <w:tcW w:w="1635" w:type="dxa"/>
            <w:shd w:val="clear" w:color="auto" w:fill="00AFEF"/>
          </w:tcPr>
          <w:p w14:paraId="792C8865" w14:textId="58081BC1" w:rsidR="008715BE" w:rsidRPr="00EC75B7" w:rsidRDefault="008715BE" w:rsidP="0053798D">
            <w:pPr>
              <w:pStyle w:val="TableParagraph"/>
              <w:spacing w:before="8"/>
              <w:rPr>
                <w:rFonts w:ascii="Verdana" w:hAnsi="Verdana"/>
                <w:b/>
                <w:sz w:val="18"/>
                <w:szCs w:val="18"/>
              </w:rPr>
            </w:pPr>
          </w:p>
        </w:tc>
        <w:tc>
          <w:tcPr>
            <w:tcW w:w="3214" w:type="dxa"/>
            <w:shd w:val="clear" w:color="auto" w:fill="00AFEF"/>
          </w:tcPr>
          <w:p w14:paraId="3C797A43" w14:textId="124ABB82" w:rsidR="008715BE" w:rsidRPr="00EC75B7" w:rsidRDefault="008715BE">
            <w:pPr>
              <w:pStyle w:val="TableParagraph"/>
              <w:spacing w:before="8"/>
              <w:ind w:left="107"/>
              <w:rPr>
                <w:rFonts w:ascii="Verdana" w:hAnsi="Verdana"/>
                <w:b/>
                <w:sz w:val="18"/>
                <w:szCs w:val="18"/>
              </w:rPr>
            </w:pPr>
          </w:p>
        </w:tc>
        <w:tc>
          <w:tcPr>
            <w:tcW w:w="4666" w:type="dxa"/>
            <w:shd w:val="clear" w:color="auto" w:fill="00AFEF"/>
          </w:tcPr>
          <w:p w14:paraId="1B5421A7" w14:textId="650BD72D" w:rsidR="008715BE" w:rsidRPr="00EC75B7" w:rsidRDefault="008715BE">
            <w:pPr>
              <w:pStyle w:val="TableParagraph"/>
              <w:spacing w:line="194" w:lineRule="exact"/>
              <w:ind w:left="107"/>
              <w:rPr>
                <w:rFonts w:ascii="Verdana" w:hAnsi="Verdana"/>
                <w:b/>
                <w:sz w:val="18"/>
                <w:szCs w:val="18"/>
              </w:rPr>
            </w:pPr>
          </w:p>
        </w:tc>
      </w:tr>
      <w:tr w:rsidR="008715BE" w:rsidRPr="00EC75B7" w14:paraId="05EC494E" w14:textId="77777777">
        <w:trPr>
          <w:trHeight w:val="777"/>
        </w:trPr>
        <w:tc>
          <w:tcPr>
            <w:tcW w:w="1635" w:type="dxa"/>
            <w:shd w:val="clear" w:color="auto" w:fill="FF0000"/>
          </w:tcPr>
          <w:p w14:paraId="41E7B6F3" w14:textId="77777777" w:rsidR="008715BE" w:rsidRPr="00EC75B7" w:rsidRDefault="008715BE">
            <w:pPr>
              <w:pStyle w:val="TableParagraph"/>
              <w:rPr>
                <w:rFonts w:ascii="Verdana" w:hAnsi="Verdana"/>
                <w:sz w:val="18"/>
                <w:szCs w:val="18"/>
              </w:rPr>
            </w:pPr>
          </w:p>
        </w:tc>
        <w:tc>
          <w:tcPr>
            <w:tcW w:w="3214" w:type="dxa"/>
          </w:tcPr>
          <w:p w14:paraId="716262F0" w14:textId="77777777" w:rsidR="008715BE" w:rsidRPr="00EC75B7" w:rsidRDefault="00000000">
            <w:pPr>
              <w:pStyle w:val="TableParagraph"/>
              <w:spacing w:line="194" w:lineRule="exact"/>
              <w:ind w:left="107" w:right="95"/>
              <w:jc w:val="both"/>
              <w:rPr>
                <w:rFonts w:ascii="Verdana" w:hAnsi="Verdana"/>
                <w:sz w:val="18"/>
                <w:szCs w:val="18"/>
              </w:rPr>
            </w:pPr>
            <w:r w:rsidRPr="00EC75B7">
              <w:rPr>
                <w:rFonts w:ascii="Verdana" w:hAnsi="Verdana"/>
                <w:sz w:val="18"/>
                <w:szCs w:val="18"/>
              </w:rPr>
              <w:t xml:space="preserve">the maximum concentration values established by Law No. 104/2011 for one or more monitored pollutants relevant to </w:t>
            </w:r>
            <w:r w:rsidRPr="00EC75B7">
              <w:rPr>
                <w:rFonts w:ascii="Verdana" w:hAnsi="Verdana"/>
                <w:spacing w:val="-2"/>
                <w:sz w:val="18"/>
                <w:szCs w:val="18"/>
              </w:rPr>
              <w:t>the project.</w:t>
            </w:r>
          </w:p>
        </w:tc>
        <w:tc>
          <w:tcPr>
            <w:tcW w:w="4666" w:type="dxa"/>
          </w:tcPr>
          <w:p w14:paraId="667A8925" w14:textId="77777777" w:rsidR="008715BE" w:rsidRPr="00EC75B7" w:rsidRDefault="008715BE">
            <w:pPr>
              <w:pStyle w:val="TableParagraph"/>
              <w:rPr>
                <w:rFonts w:ascii="Verdana" w:hAnsi="Verdana"/>
                <w:sz w:val="18"/>
                <w:szCs w:val="18"/>
              </w:rPr>
            </w:pPr>
          </w:p>
        </w:tc>
      </w:tr>
    </w:tbl>
    <w:p w14:paraId="21102624" w14:textId="77777777" w:rsidR="008715BE" w:rsidRPr="00EC75B7" w:rsidRDefault="008715BE">
      <w:pPr>
        <w:pStyle w:val="BodyText"/>
        <w:spacing w:before="18"/>
        <w:rPr>
          <w:rFonts w:ascii="Verdana" w:hAnsi="Verdana"/>
          <w:b/>
        </w:rPr>
      </w:pPr>
    </w:p>
    <w:p w14:paraId="039402F5" w14:textId="77777777" w:rsidR="008715BE" w:rsidRPr="00EC75B7" w:rsidRDefault="00000000">
      <w:pPr>
        <w:pStyle w:val="BodyText"/>
        <w:ind w:left="115"/>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6042163E" w14:textId="77777777" w:rsidR="008715BE" w:rsidRPr="00EC75B7" w:rsidRDefault="008715BE">
      <w:pPr>
        <w:pStyle w:val="BodyText"/>
        <w:spacing w:before="60"/>
        <w:rPr>
          <w:rFonts w:ascii="Verdana" w:hAnsi="Verdana"/>
        </w:rPr>
      </w:pPr>
    </w:p>
    <w:p w14:paraId="625C2CED"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42 Magnitude classes for the </w:t>
      </w:r>
      <w:r w:rsidRPr="00EC75B7">
        <w:rPr>
          <w:rFonts w:ascii="Verdana" w:hAnsi="Verdana"/>
          <w:b/>
          <w:color w:val="00AFEF"/>
          <w:spacing w:val="-5"/>
          <w:sz w:val="18"/>
          <w:szCs w:val="18"/>
        </w:rPr>
        <w:t xml:space="preserve">air </w:t>
      </w:r>
      <w:r w:rsidRPr="00EC75B7">
        <w:rPr>
          <w:rFonts w:ascii="Verdana" w:hAnsi="Verdana"/>
          <w:b/>
          <w:color w:val="00AFEF"/>
          <w:sz w:val="18"/>
          <w:szCs w:val="18"/>
        </w:rPr>
        <w:t>environmental factor</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631"/>
        <w:gridCol w:w="3539"/>
      </w:tblGrid>
      <w:tr w:rsidR="008715BE" w:rsidRPr="00EC75B7" w14:paraId="637CC91B" w14:textId="77777777">
        <w:trPr>
          <w:trHeight w:val="388"/>
        </w:trPr>
        <w:tc>
          <w:tcPr>
            <w:tcW w:w="1347" w:type="dxa"/>
            <w:shd w:val="clear" w:color="auto" w:fill="00AFEF"/>
          </w:tcPr>
          <w:p w14:paraId="0534693A"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t>Class</w:t>
            </w:r>
          </w:p>
          <w:p w14:paraId="46B5837A" w14:textId="77777777" w:rsidR="008715BE" w:rsidRPr="00EC75B7" w:rsidRDefault="00000000">
            <w:pPr>
              <w:pStyle w:val="TableParagraph"/>
              <w:spacing w:line="175" w:lineRule="exact"/>
              <w:ind w:left="108"/>
              <w:rPr>
                <w:rFonts w:ascii="Verdana" w:hAnsi="Verdana"/>
                <w:b/>
                <w:sz w:val="18"/>
                <w:szCs w:val="18"/>
              </w:rPr>
            </w:pPr>
            <w:r w:rsidRPr="00EC75B7">
              <w:rPr>
                <w:rFonts w:ascii="Verdana" w:hAnsi="Verdana"/>
                <w:b/>
                <w:color w:val="FFFFFF"/>
                <w:spacing w:val="-2"/>
                <w:sz w:val="18"/>
                <w:szCs w:val="18"/>
              </w:rPr>
              <w:t>Magnitude</w:t>
            </w:r>
          </w:p>
        </w:tc>
        <w:tc>
          <w:tcPr>
            <w:tcW w:w="4631" w:type="dxa"/>
            <w:shd w:val="clear" w:color="auto" w:fill="00AFEF"/>
          </w:tcPr>
          <w:p w14:paraId="3C81BC02" w14:textId="77777777" w:rsidR="008715BE" w:rsidRPr="00EC75B7" w:rsidRDefault="00000000">
            <w:pPr>
              <w:pStyle w:val="TableParagraph"/>
              <w:spacing w:line="194" w:lineRule="exact"/>
              <w:ind w:left="110"/>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clarification</w:t>
            </w:r>
          </w:p>
        </w:tc>
        <w:tc>
          <w:tcPr>
            <w:tcW w:w="3539" w:type="dxa"/>
            <w:shd w:val="clear" w:color="auto" w:fill="00AFEF"/>
          </w:tcPr>
          <w:p w14:paraId="581666A7"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in </w:t>
            </w:r>
            <w:r w:rsidRPr="00EC75B7">
              <w:rPr>
                <w:rFonts w:ascii="Verdana" w:hAnsi="Verdana"/>
                <w:b/>
                <w:color w:val="FFFFFF"/>
                <w:spacing w:val="-2"/>
                <w:sz w:val="18"/>
                <w:szCs w:val="18"/>
              </w:rPr>
              <w:t>the case of</w:t>
            </w:r>
          </w:p>
          <w:p w14:paraId="6E6CEAE8" w14:textId="77777777" w:rsidR="008715BE" w:rsidRPr="00EC75B7" w:rsidRDefault="00000000">
            <w:pPr>
              <w:pStyle w:val="TableParagraph"/>
              <w:spacing w:line="175"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27802A26" w14:textId="77777777">
        <w:trPr>
          <w:trHeight w:val="335"/>
        </w:trPr>
        <w:tc>
          <w:tcPr>
            <w:tcW w:w="9517" w:type="dxa"/>
            <w:gridSpan w:val="3"/>
            <w:shd w:val="clear" w:color="auto" w:fill="D0CDBD"/>
          </w:tcPr>
          <w:p w14:paraId="453BF058"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57BADE58" w14:textId="77777777">
        <w:trPr>
          <w:trHeight w:val="582"/>
        </w:trPr>
        <w:tc>
          <w:tcPr>
            <w:tcW w:w="1347" w:type="dxa"/>
            <w:shd w:val="clear" w:color="auto" w:fill="F1F1F1"/>
          </w:tcPr>
          <w:p w14:paraId="7ADDC6E6"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631" w:type="dxa"/>
            <w:shd w:val="clear" w:color="auto" w:fill="F1F1F1"/>
          </w:tcPr>
          <w:p w14:paraId="29245041" w14:textId="77777777" w:rsidR="008715BE" w:rsidRPr="00EC75B7" w:rsidRDefault="00000000">
            <w:pPr>
              <w:pStyle w:val="TableParagraph"/>
              <w:ind w:left="110" w:right="90"/>
              <w:rPr>
                <w:rFonts w:ascii="Verdana" w:hAnsi="Verdana"/>
                <w:sz w:val="18"/>
                <w:szCs w:val="18"/>
              </w:rPr>
            </w:pPr>
            <w:r w:rsidRPr="00EC75B7">
              <w:rPr>
                <w:rFonts w:ascii="Verdana" w:hAnsi="Verdana"/>
                <w:sz w:val="18"/>
                <w:szCs w:val="18"/>
              </w:rPr>
              <w:t xml:space="preserve">The project and existing values under local initial conditions lead to concentrations &lt; 10% of the </w:t>
            </w:r>
            <w:r w:rsidRPr="00EC75B7">
              <w:rPr>
                <w:rFonts w:ascii="Verdana" w:hAnsi="Verdana"/>
                <w:spacing w:val="-2"/>
                <w:sz w:val="18"/>
                <w:szCs w:val="18"/>
              </w:rPr>
              <w:t>maximum</w:t>
            </w:r>
          </w:p>
          <w:p w14:paraId="71279A43" w14:textId="77777777" w:rsidR="008715BE" w:rsidRPr="00EC75B7" w:rsidRDefault="00000000">
            <w:pPr>
              <w:pStyle w:val="TableParagraph"/>
              <w:spacing w:line="173" w:lineRule="exact"/>
              <w:ind w:left="110"/>
              <w:rPr>
                <w:rFonts w:ascii="Verdana" w:hAnsi="Verdana"/>
                <w:sz w:val="18"/>
                <w:szCs w:val="18"/>
              </w:rPr>
            </w:pPr>
            <w:r w:rsidRPr="00EC75B7">
              <w:rPr>
                <w:rFonts w:ascii="Verdana" w:hAnsi="Verdana"/>
                <w:sz w:val="18"/>
                <w:szCs w:val="18"/>
              </w:rPr>
              <w:t xml:space="preserve">permitted concentration </w:t>
            </w:r>
            <w:r w:rsidRPr="00EC75B7">
              <w:rPr>
                <w:rFonts w:ascii="Verdana" w:hAnsi="Verdana"/>
                <w:spacing w:val="-2"/>
                <w:sz w:val="18"/>
                <w:szCs w:val="18"/>
              </w:rPr>
              <w:t>(CMA).</w:t>
            </w:r>
          </w:p>
        </w:tc>
        <w:tc>
          <w:tcPr>
            <w:tcW w:w="3539" w:type="dxa"/>
            <w:shd w:val="clear" w:color="auto" w:fill="F1F1F1"/>
          </w:tcPr>
          <w:p w14:paraId="1755F594" w14:textId="77777777" w:rsidR="008715BE" w:rsidRPr="00EC75B7" w:rsidRDefault="008715BE">
            <w:pPr>
              <w:pStyle w:val="TableParagraph"/>
              <w:rPr>
                <w:rFonts w:ascii="Verdana" w:hAnsi="Verdana"/>
                <w:sz w:val="18"/>
                <w:szCs w:val="18"/>
              </w:rPr>
            </w:pPr>
          </w:p>
        </w:tc>
      </w:tr>
      <w:tr w:rsidR="008715BE" w:rsidRPr="00EC75B7" w14:paraId="22E35945" w14:textId="77777777">
        <w:trPr>
          <w:trHeight w:val="1360"/>
        </w:trPr>
        <w:tc>
          <w:tcPr>
            <w:tcW w:w="1347" w:type="dxa"/>
          </w:tcPr>
          <w:p w14:paraId="36F0BCEC"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631" w:type="dxa"/>
          </w:tcPr>
          <w:p w14:paraId="4C8C733D" w14:textId="77777777" w:rsidR="008715BE" w:rsidRPr="00EC75B7" w:rsidRDefault="00000000">
            <w:pPr>
              <w:pStyle w:val="TableParagraph"/>
              <w:ind w:left="110" w:right="94"/>
              <w:jc w:val="both"/>
              <w:rPr>
                <w:rFonts w:ascii="Verdana" w:hAnsi="Verdana"/>
                <w:sz w:val="18"/>
                <w:szCs w:val="18"/>
              </w:rPr>
            </w:pPr>
            <w:r w:rsidRPr="00EC75B7">
              <w:rPr>
                <w:rFonts w:ascii="Verdana" w:hAnsi="Verdana"/>
                <w:sz w:val="18"/>
                <w:szCs w:val="18"/>
              </w:rPr>
              <w:t xml:space="preserve">The project and existing values under initial local conditions lead to concentrations between 10-50% of </w:t>
            </w:r>
            <w:r w:rsidRPr="00EC75B7">
              <w:rPr>
                <w:rFonts w:ascii="Verdana" w:hAnsi="Verdana"/>
                <w:spacing w:val="-4"/>
                <w:sz w:val="18"/>
                <w:szCs w:val="18"/>
              </w:rPr>
              <w:t>the CMA.</w:t>
            </w:r>
          </w:p>
        </w:tc>
        <w:tc>
          <w:tcPr>
            <w:tcW w:w="3539" w:type="dxa"/>
          </w:tcPr>
          <w:p w14:paraId="432DCC44"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Based on the evaluation of the monitoring results of similar projects and following the qualitative assessment carried out for this project during the execution/decommissioning and operation stages, the specific magnitude class</w:t>
            </w:r>
            <w:r w:rsidRPr="00EC75B7">
              <w:rPr>
                <w:rFonts w:ascii="Verdana" w:hAnsi="Verdana"/>
                <w:spacing w:val="74"/>
                <w:sz w:val="18"/>
                <w:szCs w:val="18"/>
              </w:rPr>
              <w:t xml:space="preserve">  </w:t>
            </w:r>
            <w:r w:rsidRPr="00EC75B7">
              <w:rPr>
                <w:rFonts w:ascii="Verdana" w:hAnsi="Verdana"/>
                <w:sz w:val="18"/>
                <w:szCs w:val="18"/>
              </w:rPr>
              <w:t xml:space="preserve"> of the project</w:t>
            </w:r>
            <w:r w:rsidRPr="00EC75B7">
              <w:rPr>
                <w:rFonts w:ascii="Verdana" w:hAnsi="Verdana"/>
                <w:spacing w:val="74"/>
                <w:sz w:val="18"/>
                <w:szCs w:val="18"/>
              </w:rPr>
              <w:t xml:space="preserve">  </w:t>
            </w:r>
            <w:r w:rsidRPr="00EC75B7">
              <w:rPr>
                <w:rFonts w:ascii="Verdana" w:hAnsi="Verdana"/>
                <w:spacing w:val="-2"/>
                <w:sz w:val="18"/>
                <w:szCs w:val="18"/>
              </w:rPr>
              <w:t xml:space="preserve"> </w:t>
            </w:r>
            <w:r w:rsidRPr="00EC75B7">
              <w:rPr>
                <w:rFonts w:ascii="Verdana" w:hAnsi="Verdana"/>
                <w:sz w:val="18"/>
                <w:szCs w:val="18"/>
              </w:rPr>
              <w:t>is</w:t>
            </w:r>
            <w:r w:rsidRPr="00EC75B7">
              <w:rPr>
                <w:rFonts w:ascii="Verdana" w:hAnsi="Verdana"/>
                <w:spacing w:val="74"/>
                <w:sz w:val="18"/>
                <w:szCs w:val="18"/>
              </w:rPr>
              <w:t xml:space="preserve">  </w:t>
            </w:r>
            <w:r w:rsidRPr="00EC75B7">
              <w:rPr>
                <w:rFonts w:ascii="Verdana" w:hAnsi="Verdana"/>
                <w:spacing w:val="-2"/>
                <w:sz w:val="18"/>
                <w:szCs w:val="18"/>
              </w:rPr>
              <w:t xml:space="preserve"> negative</w:t>
            </w:r>
          </w:p>
          <w:p w14:paraId="4F023620" w14:textId="77777777" w:rsidR="008715BE" w:rsidRPr="00EC75B7" w:rsidRDefault="00000000">
            <w:pPr>
              <w:pStyle w:val="TableParagraph"/>
              <w:spacing w:line="170" w:lineRule="exact"/>
              <w:ind w:left="107"/>
              <w:rPr>
                <w:rFonts w:ascii="Verdana" w:hAnsi="Verdana"/>
                <w:sz w:val="18"/>
                <w:szCs w:val="18"/>
              </w:rPr>
            </w:pPr>
            <w:r w:rsidRPr="00EC75B7">
              <w:rPr>
                <w:rFonts w:ascii="Verdana" w:hAnsi="Verdana"/>
                <w:spacing w:val="-2"/>
                <w:sz w:val="18"/>
                <w:szCs w:val="18"/>
              </w:rPr>
              <w:t>moderate</w:t>
            </w:r>
          </w:p>
        </w:tc>
      </w:tr>
      <w:tr w:rsidR="008715BE" w:rsidRPr="00EC75B7" w14:paraId="6D6CDBF2" w14:textId="77777777">
        <w:trPr>
          <w:trHeight w:val="388"/>
        </w:trPr>
        <w:tc>
          <w:tcPr>
            <w:tcW w:w="1347" w:type="dxa"/>
            <w:shd w:val="clear" w:color="auto" w:fill="F1F1F1"/>
          </w:tcPr>
          <w:p w14:paraId="06E47846"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High</w:t>
            </w:r>
          </w:p>
        </w:tc>
        <w:tc>
          <w:tcPr>
            <w:tcW w:w="4631" w:type="dxa"/>
            <w:shd w:val="clear" w:color="auto" w:fill="F1F1F1"/>
          </w:tcPr>
          <w:p w14:paraId="05E6BE7F"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The implementation/execution of the project will </w:t>
            </w:r>
            <w:r w:rsidRPr="00EC75B7">
              <w:rPr>
                <w:rFonts w:ascii="Verdana" w:hAnsi="Verdana"/>
                <w:spacing w:val="-2"/>
                <w:sz w:val="18"/>
                <w:szCs w:val="18"/>
              </w:rPr>
              <w:t>exceed</w:t>
            </w:r>
          </w:p>
          <w:p w14:paraId="0026AFEF"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the CMA of pollutants in the </w:t>
            </w:r>
            <w:r w:rsidRPr="00EC75B7">
              <w:rPr>
                <w:rFonts w:ascii="Verdana" w:hAnsi="Verdana"/>
                <w:spacing w:val="-2"/>
                <w:sz w:val="18"/>
                <w:szCs w:val="18"/>
              </w:rPr>
              <w:t xml:space="preserve">surrounding </w:t>
            </w:r>
            <w:r w:rsidRPr="00EC75B7">
              <w:rPr>
                <w:rFonts w:ascii="Verdana" w:hAnsi="Verdana"/>
                <w:sz w:val="18"/>
                <w:szCs w:val="18"/>
              </w:rPr>
              <w:t>air</w:t>
            </w:r>
          </w:p>
        </w:tc>
        <w:tc>
          <w:tcPr>
            <w:tcW w:w="3539" w:type="dxa"/>
            <w:shd w:val="clear" w:color="auto" w:fill="F1F1F1"/>
          </w:tcPr>
          <w:p w14:paraId="6738143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77DFE6F5" w14:textId="77777777">
        <w:trPr>
          <w:trHeight w:val="196"/>
        </w:trPr>
        <w:tc>
          <w:tcPr>
            <w:tcW w:w="9517" w:type="dxa"/>
            <w:gridSpan w:val="3"/>
            <w:shd w:val="clear" w:color="auto" w:fill="D0CDBD"/>
          </w:tcPr>
          <w:p w14:paraId="043ECA34" w14:textId="77777777" w:rsidR="008715BE" w:rsidRPr="00EC75B7" w:rsidRDefault="00000000">
            <w:pPr>
              <w:pStyle w:val="TableParagraph"/>
              <w:spacing w:before="1" w:line="175"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1C360DC2" w14:textId="77777777">
        <w:trPr>
          <w:trHeight w:val="582"/>
        </w:trPr>
        <w:tc>
          <w:tcPr>
            <w:tcW w:w="1347" w:type="dxa"/>
          </w:tcPr>
          <w:p w14:paraId="63AC3C7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631" w:type="dxa"/>
          </w:tcPr>
          <w:p w14:paraId="61978334" w14:textId="77777777" w:rsidR="008715BE" w:rsidRPr="00EC75B7" w:rsidRDefault="00000000">
            <w:pPr>
              <w:pStyle w:val="TableParagraph"/>
              <w:tabs>
                <w:tab w:val="left" w:pos="4382"/>
              </w:tabs>
              <w:spacing w:line="194" w:lineRule="exact"/>
              <w:ind w:left="110"/>
              <w:rPr>
                <w:rFonts w:ascii="Verdana" w:hAnsi="Verdana"/>
                <w:sz w:val="18"/>
                <w:szCs w:val="18"/>
              </w:rPr>
            </w:pPr>
            <w:r w:rsidRPr="00EC75B7">
              <w:rPr>
                <w:rFonts w:ascii="Verdana" w:hAnsi="Verdana"/>
                <w:sz w:val="18"/>
                <w:szCs w:val="18"/>
              </w:rPr>
              <w:t>The completion/implementation</w:t>
            </w:r>
            <w:r w:rsidRPr="00EC75B7">
              <w:rPr>
                <w:rFonts w:ascii="Verdana" w:hAnsi="Verdana"/>
                <w:spacing w:val="40"/>
                <w:sz w:val="18"/>
                <w:szCs w:val="18"/>
              </w:rPr>
              <w:t xml:space="preserve">  </w:t>
            </w:r>
            <w:r w:rsidRPr="00EC75B7">
              <w:rPr>
                <w:rFonts w:ascii="Verdana" w:hAnsi="Verdana"/>
                <w:sz w:val="18"/>
                <w:szCs w:val="18"/>
              </w:rPr>
              <w:t xml:space="preserve"> of the project</w:t>
            </w:r>
            <w:r w:rsidRPr="00EC75B7">
              <w:rPr>
                <w:rFonts w:ascii="Verdana" w:hAnsi="Verdana"/>
                <w:spacing w:val="42"/>
                <w:sz w:val="18"/>
                <w:szCs w:val="18"/>
              </w:rPr>
              <w:t xml:space="preserve">  </w:t>
            </w:r>
            <w:r w:rsidRPr="00EC75B7">
              <w:rPr>
                <w:rFonts w:ascii="Verdana" w:hAnsi="Verdana"/>
                <w:spacing w:val="-2"/>
                <w:sz w:val="18"/>
                <w:szCs w:val="18"/>
              </w:rPr>
              <w:t xml:space="preserve"> leads to</w:t>
            </w:r>
            <w:r w:rsidRPr="00EC75B7">
              <w:rPr>
                <w:rFonts w:ascii="Verdana" w:hAnsi="Verdana"/>
                <w:sz w:val="18"/>
                <w:szCs w:val="18"/>
              </w:rPr>
              <w:tab/>
            </w:r>
            <w:r w:rsidRPr="00EC75B7">
              <w:rPr>
                <w:rFonts w:ascii="Verdana" w:hAnsi="Verdana"/>
                <w:spacing w:val="-5"/>
                <w:sz w:val="18"/>
                <w:szCs w:val="18"/>
              </w:rPr>
              <w:t>to</w:t>
            </w:r>
          </w:p>
          <w:p w14:paraId="0C915F06"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a</w:t>
            </w:r>
            <w:r w:rsidRPr="00EC75B7">
              <w:rPr>
                <w:rFonts w:ascii="Verdana" w:hAnsi="Verdana"/>
                <w:sz w:val="18"/>
                <w:szCs w:val="18"/>
              </w:rPr>
              <w:t xml:space="preserve"> reduction </w:t>
            </w:r>
            <w:r w:rsidRPr="00EC75B7">
              <w:rPr>
                <w:rFonts w:ascii="Verdana" w:hAnsi="Verdana"/>
                <w:spacing w:val="-5"/>
                <w:sz w:val="18"/>
                <w:szCs w:val="18"/>
              </w:rPr>
              <w:t xml:space="preserve">in </w:t>
            </w:r>
            <w:r w:rsidRPr="00EC75B7">
              <w:rPr>
                <w:rFonts w:ascii="Verdana" w:hAnsi="Verdana"/>
                <w:sz w:val="18"/>
                <w:szCs w:val="18"/>
              </w:rPr>
              <w:t>atmospheric pollutant concentrations of</w:t>
            </w:r>
          </w:p>
          <w:p w14:paraId="3FF729B1"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less than 10% of </w:t>
            </w:r>
            <w:r w:rsidRPr="00EC75B7">
              <w:rPr>
                <w:rFonts w:ascii="Verdana" w:hAnsi="Verdana"/>
                <w:spacing w:val="-4"/>
                <w:sz w:val="18"/>
                <w:szCs w:val="18"/>
              </w:rPr>
              <w:t>the CMA.</w:t>
            </w:r>
          </w:p>
        </w:tc>
        <w:tc>
          <w:tcPr>
            <w:tcW w:w="3539" w:type="dxa"/>
          </w:tcPr>
          <w:p w14:paraId="08075434"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062DBAE8" w14:textId="77777777">
        <w:trPr>
          <w:trHeight w:val="582"/>
        </w:trPr>
        <w:tc>
          <w:tcPr>
            <w:tcW w:w="1347" w:type="dxa"/>
            <w:shd w:val="clear" w:color="auto" w:fill="F1F1F1"/>
          </w:tcPr>
          <w:p w14:paraId="60BA8E29"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631" w:type="dxa"/>
            <w:shd w:val="clear" w:color="auto" w:fill="F1F1F1"/>
          </w:tcPr>
          <w:p w14:paraId="6FECAE0F" w14:textId="77777777" w:rsidR="008715BE" w:rsidRPr="00EC75B7" w:rsidRDefault="00000000">
            <w:pPr>
              <w:pStyle w:val="TableParagraph"/>
              <w:tabs>
                <w:tab w:val="left" w:pos="2441"/>
                <w:tab w:val="left" w:pos="3502"/>
                <w:tab w:val="left" w:pos="4382"/>
              </w:tabs>
              <w:spacing w:line="194" w:lineRule="exact"/>
              <w:ind w:left="110"/>
              <w:rPr>
                <w:rFonts w:ascii="Verdana" w:hAnsi="Verdana"/>
                <w:sz w:val="18"/>
                <w:szCs w:val="18"/>
              </w:rPr>
            </w:pPr>
            <w:r w:rsidRPr="00EC75B7">
              <w:rPr>
                <w:rFonts w:ascii="Verdana" w:hAnsi="Verdana"/>
                <w:spacing w:val="-2"/>
                <w:sz w:val="18"/>
                <w:szCs w:val="18"/>
              </w:rPr>
              <w:t>Completion/implementation</w:t>
            </w:r>
            <w:r w:rsidRPr="00EC75B7">
              <w:rPr>
                <w:rFonts w:ascii="Verdana" w:hAnsi="Verdana"/>
                <w:sz w:val="18"/>
                <w:szCs w:val="18"/>
              </w:rPr>
              <w:tab/>
            </w:r>
            <w:r w:rsidRPr="00EC75B7">
              <w:rPr>
                <w:rFonts w:ascii="Verdana" w:hAnsi="Verdana"/>
                <w:spacing w:val="-2"/>
                <w:sz w:val="18"/>
                <w:szCs w:val="18"/>
              </w:rPr>
              <w:t>project</w:t>
            </w:r>
            <w:r w:rsidRPr="00EC75B7">
              <w:rPr>
                <w:rFonts w:ascii="Verdana" w:hAnsi="Verdana"/>
                <w:sz w:val="18"/>
                <w:szCs w:val="18"/>
              </w:rPr>
              <w:tab/>
            </w:r>
            <w:r w:rsidRPr="00EC75B7">
              <w:rPr>
                <w:rFonts w:ascii="Verdana" w:hAnsi="Verdana"/>
                <w:spacing w:val="-2"/>
                <w:sz w:val="18"/>
                <w:szCs w:val="18"/>
              </w:rPr>
              <w:t>leads</w:t>
            </w:r>
            <w:r w:rsidRPr="00EC75B7">
              <w:rPr>
                <w:rFonts w:ascii="Verdana" w:hAnsi="Verdana"/>
                <w:sz w:val="18"/>
                <w:szCs w:val="18"/>
              </w:rPr>
              <w:tab/>
            </w:r>
            <w:r w:rsidRPr="00EC75B7">
              <w:rPr>
                <w:rFonts w:ascii="Verdana" w:hAnsi="Verdana"/>
                <w:spacing w:val="-5"/>
                <w:sz w:val="18"/>
                <w:szCs w:val="18"/>
              </w:rPr>
              <w:t>to</w:t>
            </w:r>
          </w:p>
          <w:p w14:paraId="65DE5641"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a reduction in atmospheric pollutant concentrations of</w:t>
            </w:r>
            <w:r w:rsidRPr="00EC75B7">
              <w:rPr>
                <w:rFonts w:ascii="Verdana" w:hAnsi="Verdana"/>
                <w:spacing w:val="-5"/>
                <w:sz w:val="18"/>
                <w:szCs w:val="18"/>
              </w:rPr>
              <w:t xml:space="preserve"> 10-</w:t>
            </w:r>
          </w:p>
          <w:p w14:paraId="1D9FEF88"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50% of </w:t>
            </w:r>
            <w:r w:rsidRPr="00EC75B7">
              <w:rPr>
                <w:rFonts w:ascii="Verdana" w:hAnsi="Verdana"/>
                <w:spacing w:val="-4"/>
                <w:sz w:val="18"/>
                <w:szCs w:val="18"/>
              </w:rPr>
              <w:t>the CMA.</w:t>
            </w:r>
          </w:p>
        </w:tc>
        <w:tc>
          <w:tcPr>
            <w:tcW w:w="3539" w:type="dxa"/>
            <w:shd w:val="clear" w:color="auto" w:fill="F1F1F1"/>
          </w:tcPr>
          <w:p w14:paraId="1BB4E7CF"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4B464405" w14:textId="77777777">
        <w:trPr>
          <w:trHeight w:val="582"/>
        </w:trPr>
        <w:tc>
          <w:tcPr>
            <w:tcW w:w="1347" w:type="dxa"/>
          </w:tcPr>
          <w:p w14:paraId="23680D6E"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High</w:t>
            </w:r>
          </w:p>
        </w:tc>
        <w:tc>
          <w:tcPr>
            <w:tcW w:w="4631" w:type="dxa"/>
          </w:tcPr>
          <w:p w14:paraId="69D802CF" w14:textId="77777777" w:rsidR="008715BE" w:rsidRPr="00EC75B7" w:rsidRDefault="00000000">
            <w:pPr>
              <w:pStyle w:val="TableParagraph"/>
              <w:tabs>
                <w:tab w:val="left" w:pos="2441"/>
                <w:tab w:val="left" w:pos="3502"/>
                <w:tab w:val="left" w:pos="4382"/>
              </w:tabs>
              <w:spacing w:line="194" w:lineRule="exact"/>
              <w:ind w:left="110"/>
              <w:rPr>
                <w:rFonts w:ascii="Verdana" w:hAnsi="Verdana"/>
                <w:sz w:val="18"/>
                <w:szCs w:val="18"/>
              </w:rPr>
            </w:pPr>
            <w:r w:rsidRPr="00EC75B7">
              <w:rPr>
                <w:rFonts w:ascii="Verdana" w:hAnsi="Verdana"/>
                <w:spacing w:val="-2"/>
                <w:sz w:val="18"/>
                <w:szCs w:val="18"/>
              </w:rPr>
              <w:t>Completion/implementation</w:t>
            </w:r>
            <w:r w:rsidRPr="00EC75B7">
              <w:rPr>
                <w:rFonts w:ascii="Verdana" w:hAnsi="Verdana"/>
                <w:sz w:val="18"/>
                <w:szCs w:val="18"/>
              </w:rPr>
              <w:tab/>
            </w:r>
            <w:r w:rsidRPr="00EC75B7">
              <w:rPr>
                <w:rFonts w:ascii="Verdana" w:hAnsi="Verdana"/>
                <w:spacing w:val="-2"/>
                <w:sz w:val="18"/>
                <w:szCs w:val="18"/>
              </w:rPr>
              <w:t>project</w:t>
            </w:r>
            <w:r w:rsidRPr="00EC75B7">
              <w:rPr>
                <w:rFonts w:ascii="Verdana" w:hAnsi="Verdana"/>
                <w:sz w:val="18"/>
                <w:szCs w:val="18"/>
              </w:rPr>
              <w:tab/>
            </w:r>
            <w:r w:rsidRPr="00EC75B7">
              <w:rPr>
                <w:rFonts w:ascii="Verdana" w:hAnsi="Verdana"/>
                <w:spacing w:val="-2"/>
                <w:sz w:val="18"/>
                <w:szCs w:val="18"/>
              </w:rPr>
              <w:t>leads</w:t>
            </w:r>
            <w:r w:rsidRPr="00EC75B7">
              <w:rPr>
                <w:rFonts w:ascii="Verdana" w:hAnsi="Verdana"/>
                <w:sz w:val="18"/>
                <w:szCs w:val="18"/>
              </w:rPr>
              <w:tab/>
            </w:r>
            <w:r w:rsidRPr="00EC75B7">
              <w:rPr>
                <w:rFonts w:ascii="Verdana" w:hAnsi="Verdana"/>
                <w:spacing w:val="-5"/>
                <w:sz w:val="18"/>
                <w:szCs w:val="18"/>
              </w:rPr>
              <w:t>to</w:t>
            </w:r>
          </w:p>
          <w:p w14:paraId="1EF0B4D7"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a reduction in atmospheric pollutant concentrations </w:t>
            </w:r>
            <w:r w:rsidRPr="00EC75B7">
              <w:rPr>
                <w:rFonts w:ascii="Verdana" w:hAnsi="Verdana"/>
                <w:spacing w:val="-5"/>
                <w:sz w:val="18"/>
                <w:szCs w:val="18"/>
              </w:rPr>
              <w:t>by</w:t>
            </w:r>
          </w:p>
          <w:p w14:paraId="13565654"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more than 50% of </w:t>
            </w:r>
            <w:r w:rsidRPr="00EC75B7">
              <w:rPr>
                <w:rFonts w:ascii="Verdana" w:hAnsi="Verdana"/>
                <w:spacing w:val="-4"/>
                <w:sz w:val="18"/>
                <w:szCs w:val="18"/>
              </w:rPr>
              <w:t>the CMA.</w:t>
            </w:r>
          </w:p>
        </w:tc>
        <w:tc>
          <w:tcPr>
            <w:tcW w:w="3539" w:type="dxa"/>
          </w:tcPr>
          <w:p w14:paraId="723A8D29"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r w:rsidR="008715BE" w:rsidRPr="00EC75B7" w14:paraId="2D7ED16D" w14:textId="77777777">
        <w:trPr>
          <w:trHeight w:val="196"/>
        </w:trPr>
        <w:tc>
          <w:tcPr>
            <w:tcW w:w="9517" w:type="dxa"/>
            <w:gridSpan w:val="3"/>
            <w:shd w:val="clear" w:color="auto" w:fill="D0CDBD"/>
          </w:tcPr>
          <w:p w14:paraId="61AC63D5" w14:textId="77777777" w:rsidR="008715BE" w:rsidRPr="00EC75B7" w:rsidRDefault="00000000">
            <w:pPr>
              <w:pStyle w:val="TableParagraph"/>
              <w:spacing w:before="1" w:line="175"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3D054B5F" w14:textId="77777777">
        <w:trPr>
          <w:trHeight w:val="388"/>
        </w:trPr>
        <w:tc>
          <w:tcPr>
            <w:tcW w:w="1347" w:type="dxa"/>
            <w:shd w:val="clear" w:color="auto" w:fill="F1F1F1"/>
          </w:tcPr>
          <w:p w14:paraId="7534FD6A" w14:textId="77777777" w:rsidR="008715BE" w:rsidRPr="00EC75B7" w:rsidRDefault="008715BE">
            <w:pPr>
              <w:pStyle w:val="TableParagraph"/>
              <w:rPr>
                <w:rFonts w:ascii="Verdana" w:hAnsi="Verdana"/>
                <w:sz w:val="18"/>
                <w:szCs w:val="18"/>
              </w:rPr>
            </w:pPr>
          </w:p>
        </w:tc>
        <w:tc>
          <w:tcPr>
            <w:tcW w:w="4631" w:type="dxa"/>
            <w:shd w:val="clear" w:color="auto" w:fill="F1F1F1"/>
          </w:tcPr>
          <w:p w14:paraId="0CEABBE7"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There</w:t>
            </w:r>
            <w:r w:rsidRPr="00EC75B7">
              <w:rPr>
                <w:rFonts w:ascii="Verdana" w:hAnsi="Verdana"/>
                <w:sz w:val="18"/>
                <w:szCs w:val="18"/>
              </w:rPr>
              <w:t xml:space="preserve"> is no change in air quality, no</w:t>
            </w:r>
          </w:p>
          <w:p w14:paraId="24375214"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sources of </w:t>
            </w:r>
            <w:r w:rsidRPr="00EC75B7">
              <w:rPr>
                <w:rFonts w:ascii="Verdana" w:hAnsi="Verdana"/>
                <w:spacing w:val="-2"/>
                <w:sz w:val="18"/>
                <w:szCs w:val="18"/>
              </w:rPr>
              <w:t xml:space="preserve">pollution </w:t>
            </w:r>
            <w:r w:rsidRPr="00EC75B7">
              <w:rPr>
                <w:rFonts w:ascii="Verdana" w:hAnsi="Verdana"/>
                <w:sz w:val="18"/>
                <w:szCs w:val="18"/>
              </w:rPr>
              <w:t>have been identified</w:t>
            </w:r>
            <w:r w:rsidRPr="00EC75B7">
              <w:rPr>
                <w:rFonts w:ascii="Verdana" w:hAnsi="Verdana"/>
                <w:spacing w:val="-2"/>
                <w:sz w:val="18"/>
                <w:szCs w:val="18"/>
              </w:rPr>
              <w:t>.</w:t>
            </w:r>
          </w:p>
        </w:tc>
        <w:tc>
          <w:tcPr>
            <w:tcW w:w="3539" w:type="dxa"/>
            <w:shd w:val="clear" w:color="auto" w:fill="F1F1F1"/>
          </w:tcPr>
          <w:p w14:paraId="795495D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bl>
    <w:p w14:paraId="0F295581" w14:textId="77777777" w:rsidR="008715BE" w:rsidRPr="00EC75B7" w:rsidRDefault="008715BE">
      <w:pPr>
        <w:pStyle w:val="BodyText"/>
        <w:rPr>
          <w:rFonts w:ascii="Verdana" w:hAnsi="Verdana"/>
          <w:b/>
        </w:rPr>
      </w:pPr>
    </w:p>
    <w:p w14:paraId="3FC1EF1C" w14:textId="77777777" w:rsidR="008715BE" w:rsidRPr="00EC75B7" w:rsidRDefault="008715BE">
      <w:pPr>
        <w:pStyle w:val="BodyText"/>
        <w:spacing w:before="186"/>
        <w:rPr>
          <w:rFonts w:ascii="Verdana" w:hAnsi="Verdana"/>
          <w:b/>
        </w:rPr>
      </w:pPr>
    </w:p>
    <w:p w14:paraId="0DFED653" w14:textId="77777777" w:rsidR="008715BE" w:rsidRPr="00EC75B7" w:rsidRDefault="00000000">
      <w:pPr>
        <w:pStyle w:val="Heading3"/>
        <w:numPr>
          <w:ilvl w:val="2"/>
          <w:numId w:val="110"/>
        </w:numPr>
        <w:tabs>
          <w:tab w:val="left" w:pos="2037"/>
        </w:tabs>
        <w:spacing w:before="1"/>
        <w:ind w:left="2037" w:hanging="986"/>
        <w:rPr>
          <w:rFonts w:ascii="Verdana" w:hAnsi="Verdana"/>
          <w:i/>
          <w:color w:val="00AFEF"/>
          <w:sz w:val="18"/>
          <w:szCs w:val="18"/>
        </w:rPr>
      </w:pPr>
      <w:bookmarkStart w:id="98" w:name="_bookmark99"/>
      <w:bookmarkEnd w:id="98"/>
      <w:r w:rsidRPr="00EC75B7">
        <w:rPr>
          <w:rFonts w:ascii="Verdana" w:hAnsi="Verdana"/>
          <w:color w:val="00AFEF"/>
          <w:spacing w:val="-2"/>
          <w:sz w:val="18"/>
          <w:szCs w:val="18"/>
        </w:rPr>
        <w:t xml:space="preserve">Significance </w:t>
      </w:r>
      <w:r w:rsidRPr="00EC75B7">
        <w:rPr>
          <w:rFonts w:ascii="Verdana" w:hAnsi="Verdana"/>
          <w:color w:val="00AFEF"/>
          <w:sz w:val="18"/>
          <w:szCs w:val="18"/>
        </w:rPr>
        <w:t>thresholds</w:t>
      </w:r>
    </w:p>
    <w:p w14:paraId="0470D6C4" w14:textId="77777777" w:rsidR="008715BE" w:rsidRPr="00EC75B7" w:rsidRDefault="008715BE">
      <w:pPr>
        <w:pStyle w:val="BodyText"/>
        <w:spacing w:before="113"/>
        <w:rPr>
          <w:rFonts w:ascii="Verdana" w:hAnsi="Verdana"/>
          <w:b/>
        </w:rPr>
      </w:pPr>
    </w:p>
    <w:p w14:paraId="77EBE1E9" w14:textId="77777777" w:rsidR="008715BE" w:rsidRPr="00EC75B7" w:rsidRDefault="00000000">
      <w:pPr>
        <w:pStyle w:val="BodyText"/>
        <w:spacing w:before="1" w:line="357" w:lineRule="auto"/>
        <w:ind w:left="86" w:right="57"/>
        <w:jc w:val="both"/>
        <w:rPr>
          <w:rFonts w:ascii="Verdana" w:hAnsi="Verdana"/>
        </w:rPr>
      </w:pPr>
      <w:r w:rsidRPr="00EC75B7">
        <w:rPr>
          <w:rFonts w:ascii="Verdana" w:hAnsi="Verdana"/>
        </w:rPr>
        <w:t>The assessment of the impact on air quality is carried out taking into account the lower and upper assessment thresholds provided for in Law No. 104/2011 on ambient air quality, as well as the limit concentrations provided for in STAS 12574–87 – Air in protected areas (</w:t>
      </w:r>
      <w:r w:rsidRPr="00EC75B7">
        <w:rPr>
          <w:rFonts w:ascii="Verdana" w:hAnsi="Verdana"/>
          <w:spacing w:val="-2"/>
        </w:rPr>
        <w:t xml:space="preserve">quality </w:t>
      </w:r>
      <w:r w:rsidRPr="00EC75B7">
        <w:rPr>
          <w:rFonts w:ascii="Verdana" w:hAnsi="Verdana"/>
        </w:rPr>
        <w:t>conditions</w:t>
      </w:r>
      <w:r w:rsidRPr="00EC75B7">
        <w:rPr>
          <w:rFonts w:ascii="Verdana" w:hAnsi="Verdana"/>
          <w:spacing w:val="-2"/>
        </w:rPr>
        <w:t>).</w:t>
      </w:r>
    </w:p>
    <w:p w14:paraId="2F469724" w14:textId="77777777" w:rsidR="008715BE" w:rsidRPr="00EC75B7" w:rsidRDefault="008715BE">
      <w:pPr>
        <w:pStyle w:val="BodyText"/>
        <w:spacing w:before="23"/>
        <w:rPr>
          <w:rFonts w:ascii="Verdana" w:hAnsi="Verdana"/>
        </w:rPr>
      </w:pPr>
    </w:p>
    <w:p w14:paraId="4220FE58"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99" w:name="_bookmark100"/>
      <w:bookmarkEnd w:id="99"/>
      <w:r w:rsidRPr="00EC75B7">
        <w:rPr>
          <w:rFonts w:ascii="Verdana" w:hAnsi="Verdana"/>
          <w:color w:val="00AFEF"/>
          <w:spacing w:val="-2"/>
          <w:sz w:val="18"/>
          <w:szCs w:val="18"/>
        </w:rPr>
        <w:t xml:space="preserve">Impact </w:t>
      </w:r>
      <w:r w:rsidRPr="00EC75B7">
        <w:rPr>
          <w:rFonts w:ascii="Verdana" w:hAnsi="Verdana"/>
          <w:color w:val="00AFEF"/>
          <w:sz w:val="18"/>
          <w:szCs w:val="18"/>
        </w:rPr>
        <w:t>forecasting</w:t>
      </w:r>
    </w:p>
    <w:p w14:paraId="06CA4DA3" w14:textId="77777777" w:rsidR="008715BE" w:rsidRPr="00EC75B7" w:rsidRDefault="008715BE">
      <w:pPr>
        <w:pStyle w:val="BodyText"/>
        <w:spacing w:before="114"/>
        <w:rPr>
          <w:rFonts w:ascii="Verdana" w:hAnsi="Verdana"/>
          <w:b/>
        </w:rPr>
      </w:pPr>
    </w:p>
    <w:p w14:paraId="1A112DA0" w14:textId="77777777" w:rsidR="008715BE" w:rsidRPr="00EC75B7" w:rsidRDefault="00000000">
      <w:pPr>
        <w:pStyle w:val="BodyText"/>
        <w:spacing w:line="360" w:lineRule="auto"/>
        <w:ind w:left="57" w:right="57"/>
        <w:jc w:val="both"/>
        <w:rPr>
          <w:rFonts w:ascii="Verdana" w:hAnsi="Verdana"/>
        </w:rPr>
      </w:pPr>
      <w:r w:rsidRPr="00EC75B7">
        <w:rPr>
          <w:rFonts w:ascii="Verdana" w:hAnsi="Verdana"/>
        </w:rPr>
        <w:t xml:space="preserve">The main sources of air pollution specific </w:t>
      </w:r>
      <w:r w:rsidRPr="00EC75B7">
        <w:rPr>
          <w:rFonts w:ascii="Verdana" w:hAnsi="Verdana"/>
          <w:b/>
        </w:rPr>
        <w:t xml:space="preserve">to the execution period </w:t>
      </w:r>
      <w:r w:rsidRPr="00EC75B7">
        <w:rPr>
          <w:rFonts w:ascii="Verdana" w:hAnsi="Verdana"/>
        </w:rPr>
        <w:t>fall into the category of mobile, free, open, uncontrolled sources. The only stationary sources of emissions are the generator set and the drilling rig. The pollutants specific to the execution period are represented by:</w:t>
      </w:r>
    </w:p>
    <w:p w14:paraId="20100A93" w14:textId="77777777" w:rsidR="008715BE" w:rsidRPr="00EC75B7" w:rsidRDefault="00000000">
      <w:pPr>
        <w:pStyle w:val="ListParagraph"/>
        <w:numPr>
          <w:ilvl w:val="0"/>
          <w:numId w:val="60"/>
        </w:numPr>
        <w:tabs>
          <w:tab w:val="left" w:pos="777"/>
        </w:tabs>
        <w:spacing w:line="352" w:lineRule="auto"/>
        <w:ind w:left="777" w:right="55"/>
        <w:jc w:val="both"/>
        <w:rPr>
          <w:rFonts w:ascii="Verdana" w:hAnsi="Verdana"/>
          <w:position w:val="2"/>
          <w:sz w:val="18"/>
          <w:szCs w:val="18"/>
        </w:rPr>
      </w:pPr>
      <w:r w:rsidRPr="00EC75B7">
        <w:rPr>
          <w:rFonts w:ascii="Verdana" w:hAnsi="Verdana"/>
          <w:position w:val="2"/>
          <w:sz w:val="18"/>
          <w:szCs w:val="18"/>
        </w:rPr>
        <w:t>Nitrogen oxides (NO</w:t>
      </w:r>
      <w:r w:rsidRPr="00EC75B7">
        <w:rPr>
          <w:rFonts w:ascii="Cambria Math" w:hAnsi="Cambria Math" w:cs="Cambria Math"/>
          <w:position w:val="2"/>
          <w:sz w:val="18"/>
          <w:szCs w:val="18"/>
        </w:rPr>
        <w:t>ₓ</w:t>
      </w:r>
      <w:r w:rsidRPr="00EC75B7">
        <w:rPr>
          <w:rFonts w:ascii="Verdana" w:hAnsi="Verdana"/>
          <w:position w:val="2"/>
          <w:sz w:val="18"/>
          <w:szCs w:val="18"/>
        </w:rPr>
        <w:t>), carbon oxides (CO, CO</w:t>
      </w:r>
      <w:r w:rsidRPr="00EC75B7">
        <w:rPr>
          <w:rFonts w:ascii="Verdana" w:hAnsi="Verdana" w:cs="Verdana"/>
          <w:position w:val="2"/>
          <w:sz w:val="18"/>
          <w:szCs w:val="18"/>
        </w:rPr>
        <w:t>₂</w:t>
      </w:r>
      <w:r w:rsidRPr="00EC75B7">
        <w:rPr>
          <w:rFonts w:ascii="Verdana" w:hAnsi="Verdana"/>
          <w:position w:val="2"/>
          <w:sz w:val="18"/>
          <w:szCs w:val="18"/>
        </w:rPr>
        <w:t>), sulfur dioxide (SO</w:t>
      </w:r>
      <w:r w:rsidRPr="00EC75B7">
        <w:rPr>
          <w:rFonts w:ascii="Verdana" w:hAnsi="Verdana" w:cs="Verdana"/>
          <w:position w:val="2"/>
          <w:sz w:val="18"/>
          <w:szCs w:val="18"/>
        </w:rPr>
        <w:t>₂</w:t>
      </w:r>
      <w:r w:rsidRPr="00EC75B7">
        <w:rPr>
          <w:rFonts w:ascii="Verdana" w:hAnsi="Verdana"/>
          <w:position w:val="2"/>
          <w:sz w:val="18"/>
          <w:szCs w:val="18"/>
        </w:rPr>
        <w:t>), particulate matter (</w:t>
      </w:r>
      <w:r w:rsidRPr="00EC75B7">
        <w:rPr>
          <w:rFonts w:ascii="Verdana" w:hAnsi="Verdana"/>
          <w:sz w:val="18"/>
          <w:szCs w:val="18"/>
        </w:rPr>
        <w:t>PM10 and PM2.5) – originating from machinery and vehicles;</w:t>
      </w:r>
    </w:p>
    <w:p w14:paraId="22726CC4" w14:textId="77777777" w:rsidR="008715BE" w:rsidRPr="00EC75B7" w:rsidRDefault="00000000">
      <w:pPr>
        <w:pStyle w:val="ListParagraph"/>
        <w:numPr>
          <w:ilvl w:val="0"/>
          <w:numId w:val="60"/>
        </w:numPr>
        <w:tabs>
          <w:tab w:val="left" w:pos="777"/>
        </w:tabs>
        <w:spacing w:before="123" w:line="355" w:lineRule="auto"/>
        <w:ind w:left="777" w:right="56"/>
        <w:jc w:val="both"/>
        <w:rPr>
          <w:rFonts w:ascii="Verdana" w:hAnsi="Verdana"/>
          <w:position w:val="2"/>
          <w:sz w:val="18"/>
          <w:szCs w:val="18"/>
        </w:rPr>
      </w:pPr>
      <w:r w:rsidRPr="00EC75B7">
        <w:rPr>
          <w:rFonts w:ascii="Verdana" w:hAnsi="Verdana"/>
          <w:position w:val="2"/>
          <w:sz w:val="18"/>
          <w:szCs w:val="18"/>
        </w:rPr>
        <w:t>Particulate matter/sedimentable particles (</w:t>
      </w:r>
      <w:r w:rsidRPr="00EC75B7">
        <w:rPr>
          <w:rFonts w:ascii="Verdana" w:hAnsi="Verdana"/>
          <w:sz w:val="18"/>
          <w:szCs w:val="18"/>
        </w:rPr>
        <w:t>PM10</w:t>
      </w:r>
      <w:r w:rsidRPr="00EC75B7">
        <w:rPr>
          <w:rFonts w:ascii="Verdana" w:hAnsi="Verdana"/>
          <w:position w:val="2"/>
          <w:sz w:val="18"/>
          <w:szCs w:val="18"/>
        </w:rPr>
        <w:t xml:space="preserve">, </w:t>
      </w:r>
      <w:r w:rsidRPr="00EC75B7">
        <w:rPr>
          <w:rFonts w:ascii="Verdana" w:hAnsi="Verdana"/>
          <w:sz w:val="18"/>
          <w:szCs w:val="18"/>
        </w:rPr>
        <w:t>PM2.5</w:t>
      </w:r>
      <w:r w:rsidRPr="00EC75B7">
        <w:rPr>
          <w:rFonts w:ascii="Verdana" w:hAnsi="Verdana"/>
          <w:position w:val="2"/>
          <w:sz w:val="18"/>
          <w:szCs w:val="18"/>
        </w:rPr>
        <w:t xml:space="preserve">, TSP) – generated by handling </w:t>
      </w:r>
      <w:r w:rsidRPr="00EC75B7">
        <w:rPr>
          <w:rFonts w:ascii="Verdana" w:hAnsi="Verdana"/>
          <w:sz w:val="18"/>
          <w:szCs w:val="18"/>
        </w:rPr>
        <w:t>excavated soil, digging, loading and unloading material;</w:t>
      </w:r>
    </w:p>
    <w:p w14:paraId="5360475B" w14:textId="77777777" w:rsidR="008715BE" w:rsidRPr="00EC75B7" w:rsidRDefault="00000000">
      <w:pPr>
        <w:pStyle w:val="ListParagraph"/>
        <w:numPr>
          <w:ilvl w:val="0"/>
          <w:numId w:val="60"/>
        </w:numPr>
        <w:tabs>
          <w:tab w:val="left" w:pos="777"/>
        </w:tabs>
        <w:spacing w:before="99" w:line="360" w:lineRule="auto"/>
        <w:ind w:left="777" w:right="61"/>
        <w:jc w:val="both"/>
        <w:rPr>
          <w:rFonts w:ascii="Verdana" w:hAnsi="Verdana"/>
          <w:sz w:val="18"/>
          <w:szCs w:val="18"/>
        </w:rPr>
      </w:pPr>
      <w:r w:rsidRPr="00EC75B7">
        <w:rPr>
          <w:rFonts w:ascii="Verdana" w:hAnsi="Verdana"/>
          <w:sz w:val="18"/>
          <w:szCs w:val="18"/>
        </w:rPr>
        <w:t>Construction and assembly works, including welding and painting operations, generate pollutants in the form of particles, NO</w:t>
      </w:r>
      <w:r w:rsidRPr="00EC75B7">
        <w:rPr>
          <w:rFonts w:ascii="Cambria Math" w:hAnsi="Cambria Math" w:cs="Cambria Math"/>
          <w:sz w:val="18"/>
          <w:szCs w:val="18"/>
        </w:rPr>
        <w:t>ₓ</w:t>
      </w:r>
      <w:r w:rsidRPr="00EC75B7">
        <w:rPr>
          <w:rFonts w:ascii="Verdana" w:hAnsi="Verdana"/>
          <w:sz w:val="18"/>
          <w:szCs w:val="18"/>
        </w:rPr>
        <w:t>, CO, and volatile organic compounds (VOCs).</w:t>
      </w:r>
    </w:p>
    <w:p w14:paraId="2F9E3EFC" w14:textId="77777777" w:rsidR="008715BE" w:rsidRPr="00EC75B7" w:rsidRDefault="00000000">
      <w:pPr>
        <w:pStyle w:val="BodyText"/>
        <w:spacing w:before="117" w:line="360" w:lineRule="auto"/>
        <w:ind w:left="57" w:right="66"/>
        <w:jc w:val="both"/>
        <w:rPr>
          <w:rFonts w:ascii="Verdana" w:hAnsi="Verdana"/>
        </w:rPr>
      </w:pPr>
      <w:r w:rsidRPr="00EC75B7">
        <w:rPr>
          <w:rFonts w:ascii="Verdana" w:hAnsi="Verdana"/>
        </w:rPr>
        <w:t>The handling of construction waste generates suspended particles, as does wind erosion, a phenomenon favored by the work carried out on the construction site.</w:t>
      </w:r>
    </w:p>
    <w:p w14:paraId="64E3039D" w14:textId="77777777" w:rsidR="008715BE" w:rsidRPr="00EC75B7" w:rsidRDefault="00000000">
      <w:pPr>
        <w:pStyle w:val="BodyText"/>
        <w:spacing w:before="118" w:line="357" w:lineRule="auto"/>
        <w:ind w:left="57" w:right="59"/>
        <w:jc w:val="both"/>
        <w:rPr>
          <w:rFonts w:ascii="Verdana" w:hAnsi="Verdana"/>
        </w:rPr>
      </w:pPr>
      <w:r w:rsidRPr="00EC75B7">
        <w:rPr>
          <w:rFonts w:ascii="Verdana" w:hAnsi="Verdana"/>
        </w:rPr>
        <w:t>Heavy traffic, specific to construction site activities, causes various emissions of pollutants into the atmosphere (NO</w:t>
      </w:r>
      <w:r w:rsidRPr="00EC75B7">
        <w:rPr>
          <w:rFonts w:ascii="Cambria Math" w:hAnsi="Cambria Math" w:cs="Cambria Math"/>
        </w:rPr>
        <w:t>ₓ</w:t>
      </w:r>
      <w:r w:rsidRPr="00EC75B7">
        <w:rPr>
          <w:rFonts w:ascii="Verdana" w:hAnsi="Verdana"/>
        </w:rPr>
        <w:t>, CO, SO</w:t>
      </w:r>
      <w:r w:rsidRPr="00EC75B7">
        <w:rPr>
          <w:rFonts w:ascii="Cambria Math" w:hAnsi="Cambria Math" w:cs="Cambria Math"/>
        </w:rPr>
        <w:t>ₓ</w:t>
      </w:r>
      <w:r w:rsidRPr="00EC75B7">
        <w:rPr>
          <w:rFonts w:ascii="Verdana" w:hAnsi="Verdana"/>
        </w:rPr>
        <w:t>, suspended particles, etc.). Particles are also generated by friction and wear (from the road surface and tires). The atmosphere is washed by precipitation, which leads to the transfer of atmospheric pollutants to other environmental factors (surface water, groundwater, soil, etc.).</w:t>
      </w:r>
    </w:p>
    <w:p w14:paraId="740E9578" w14:textId="77777777" w:rsidR="008715BE" w:rsidRPr="00EC75B7" w:rsidRDefault="00000000">
      <w:pPr>
        <w:pStyle w:val="BodyText"/>
        <w:spacing w:before="123" w:line="357" w:lineRule="auto"/>
        <w:ind w:left="57" w:right="53"/>
        <w:jc w:val="both"/>
        <w:rPr>
          <w:rFonts w:ascii="Verdana" w:hAnsi="Verdana"/>
        </w:rPr>
      </w:pPr>
      <w:r w:rsidRPr="00EC75B7">
        <w:rPr>
          <w:rFonts w:ascii="Verdana" w:hAnsi="Verdana"/>
        </w:rPr>
        <w:t>The specific mass flows associated with the operation of machinery and vehicles are presented in Chapter III.6.2 of this documentation. When estimating these flows from mobile sources (machinery and vehicles), the most unfavorable situation was taken into account: the use of the entire vehicle fleet, the maximum number of available machines, during the most active period of the project.</w:t>
      </w:r>
    </w:p>
    <w:p w14:paraId="6E890AF6" w14:textId="77777777" w:rsidR="008715BE" w:rsidRPr="00EC75B7" w:rsidRDefault="00000000">
      <w:pPr>
        <w:pStyle w:val="BodyText"/>
        <w:spacing w:before="4" w:line="357" w:lineRule="auto"/>
        <w:ind w:left="57" w:right="65"/>
        <w:jc w:val="both"/>
        <w:rPr>
          <w:rFonts w:ascii="Verdana" w:hAnsi="Verdana"/>
        </w:rPr>
      </w:pPr>
      <w:r w:rsidRPr="00EC75B7">
        <w:rPr>
          <w:rFonts w:ascii="Verdana" w:hAnsi="Verdana"/>
        </w:rPr>
        <w:t>However, the total amount of emissions into the atmosphere depends on the fuel consumption of the machinery and vehicles, their technical condition, age and number of hours of operation per day, the number of kilometers traveled, and the technical condition of the roads used.</w:t>
      </w:r>
    </w:p>
    <w:p w14:paraId="1A766EA3" w14:textId="77777777" w:rsidR="008715BE" w:rsidRPr="00EC75B7" w:rsidRDefault="00000000">
      <w:pPr>
        <w:pStyle w:val="BodyText"/>
        <w:spacing w:before="122" w:line="360" w:lineRule="auto"/>
        <w:ind w:left="57" w:right="67"/>
        <w:jc w:val="both"/>
        <w:rPr>
          <w:rFonts w:ascii="Verdana" w:hAnsi="Verdana"/>
        </w:rPr>
      </w:pPr>
      <w:r w:rsidRPr="00EC75B7">
        <w:rPr>
          <w:rFonts w:ascii="Verdana" w:hAnsi="Verdana"/>
        </w:rPr>
        <w:t>National legislation does not set limits for mobile sources. Pollutant emissions from road vehicles are controlled preventively by complying with the technical conditions established during periodic technical inspections.</w:t>
      </w:r>
    </w:p>
    <w:p w14:paraId="4C7F3303" w14:textId="77777777" w:rsidR="008715BE" w:rsidRPr="00EC75B7" w:rsidRDefault="00000000">
      <w:pPr>
        <w:pStyle w:val="BodyText"/>
        <w:spacing w:line="360" w:lineRule="auto"/>
        <w:ind w:left="57" w:right="65"/>
        <w:jc w:val="both"/>
        <w:rPr>
          <w:rFonts w:ascii="Verdana" w:hAnsi="Verdana"/>
        </w:rPr>
      </w:pPr>
      <w:r w:rsidRPr="00EC75B7">
        <w:rPr>
          <w:rFonts w:ascii="Verdana" w:hAnsi="Verdana"/>
        </w:rPr>
        <w:t>The assessment of the impact on air quality must be carried out taking into account the alert and information thresholds, the lower and upper assessment thresholds, in accordance with Law No. 104/2011 on ambient air quality and STAS 12574–87: Air in protected areas. Quality conditions.</w:t>
      </w:r>
    </w:p>
    <w:p w14:paraId="46D4E516" w14:textId="77777777" w:rsidR="008715BE" w:rsidRPr="00EC75B7" w:rsidRDefault="00000000">
      <w:pPr>
        <w:pStyle w:val="BodyText"/>
        <w:spacing w:line="217" w:lineRule="exact"/>
        <w:ind w:left="57"/>
        <w:jc w:val="both"/>
        <w:rPr>
          <w:rFonts w:ascii="Verdana" w:hAnsi="Verdana"/>
        </w:rPr>
      </w:pPr>
      <w:r w:rsidRPr="00EC75B7">
        <w:rPr>
          <w:rFonts w:ascii="Verdana" w:hAnsi="Verdana"/>
        </w:rPr>
        <w:t xml:space="preserve">During its operation, the Cerchezu wind farm does not constitute a source of </w:t>
      </w:r>
      <w:r w:rsidRPr="00EC75B7">
        <w:rPr>
          <w:rFonts w:ascii="Verdana" w:hAnsi="Verdana"/>
          <w:spacing w:val="-2"/>
        </w:rPr>
        <w:t xml:space="preserve">air </w:t>
      </w:r>
      <w:r w:rsidRPr="00EC75B7">
        <w:rPr>
          <w:rFonts w:ascii="Verdana" w:hAnsi="Verdana"/>
        </w:rPr>
        <w:t>pollution</w:t>
      </w:r>
      <w:r w:rsidRPr="00EC75B7">
        <w:rPr>
          <w:rFonts w:ascii="Verdana" w:hAnsi="Verdana"/>
          <w:spacing w:val="-2"/>
        </w:rPr>
        <w:t>.</w:t>
      </w:r>
    </w:p>
    <w:p w14:paraId="70656584" w14:textId="77777777" w:rsidR="008715BE" w:rsidRPr="00EC75B7" w:rsidRDefault="00000000">
      <w:pPr>
        <w:pStyle w:val="BodyText"/>
        <w:spacing w:before="103"/>
        <w:ind w:left="86"/>
        <w:jc w:val="both"/>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aspects </w:t>
      </w:r>
      <w:r w:rsidRPr="00EC75B7">
        <w:rPr>
          <w:rFonts w:ascii="Verdana" w:hAnsi="Verdana"/>
        </w:rPr>
        <w:t>were taken into account in the impact assessment</w:t>
      </w:r>
      <w:r w:rsidRPr="00EC75B7">
        <w:rPr>
          <w:rFonts w:ascii="Verdana" w:hAnsi="Verdana"/>
          <w:spacing w:val="-2"/>
        </w:rPr>
        <w:t>:</w:t>
      </w:r>
    </w:p>
    <w:p w14:paraId="7CF461B3" w14:textId="77777777" w:rsidR="008715BE" w:rsidRPr="00EC75B7" w:rsidRDefault="008715BE">
      <w:pPr>
        <w:pStyle w:val="BodyText"/>
        <w:jc w:val="both"/>
        <w:rPr>
          <w:rFonts w:ascii="Verdana" w:hAnsi="Verdana"/>
        </w:rPr>
        <w:sectPr w:rsidR="008715BE" w:rsidRPr="00EC75B7">
          <w:headerReference w:type="default" r:id="rId210"/>
          <w:footerReference w:type="default" r:id="rId211"/>
          <w:pgSz w:w="11910" w:h="16840"/>
          <w:pgMar w:top="1320" w:right="1133" w:bottom="1020" w:left="1133" w:header="777" w:footer="824" w:gutter="0"/>
          <w:cols w:space="708"/>
        </w:sectPr>
      </w:pPr>
    </w:p>
    <w:p w14:paraId="46550DD5" w14:textId="77777777" w:rsidR="008715BE" w:rsidRPr="00EC75B7" w:rsidRDefault="008715BE">
      <w:pPr>
        <w:pStyle w:val="BodyText"/>
        <w:rPr>
          <w:rFonts w:ascii="Verdana" w:hAnsi="Verdana"/>
        </w:rPr>
      </w:pPr>
    </w:p>
    <w:p w14:paraId="48007D52" w14:textId="77777777" w:rsidR="008715BE" w:rsidRPr="00EC75B7" w:rsidRDefault="00000000">
      <w:pPr>
        <w:ind w:left="86"/>
        <w:rPr>
          <w:rFonts w:ascii="Verdana" w:hAnsi="Verdana"/>
          <w:sz w:val="18"/>
          <w:szCs w:val="18"/>
        </w:rPr>
      </w:pPr>
      <w:r w:rsidRPr="00EC75B7">
        <w:rPr>
          <w:rFonts w:ascii="Verdana" w:hAnsi="Verdana"/>
          <w:noProof/>
          <w:sz w:val="18"/>
          <w:szCs w:val="18"/>
        </w:rPr>
        <mc:AlternateContent>
          <mc:Choice Requires="wpg">
            <w:drawing>
              <wp:inline distT="0" distB="0" distL="0" distR="0" wp14:anchorId="146A83E3" wp14:editId="5552615F">
                <wp:extent cx="5570855" cy="1054100"/>
                <wp:effectExtent l="0" t="0" r="0" b="12700"/>
                <wp:docPr id="362" name="Group 362"/>
                <wp:cNvGraphicFramePr/>
                <a:graphic xmlns:a="http://schemas.openxmlformats.org/drawingml/2006/main">
                  <a:graphicData uri="http://schemas.microsoft.com/office/word/2010/wordprocessingGroup">
                    <wpg:wgp>
                      <wpg:cNvGrpSpPr/>
                      <wpg:grpSpPr>
                        <a:xfrm>
                          <a:off x="0" y="0"/>
                          <a:ext cx="5570855" cy="1054100"/>
                          <a:chOff x="0" y="0"/>
                          <a:chExt cx="5570855" cy="1054100"/>
                        </a:xfrm>
                      </wpg:grpSpPr>
                      <wps:wsp>
                        <wps:cNvPr id="363" name="Graphic 363"/>
                        <wps:cNvSpPr/>
                        <wps:spPr>
                          <a:xfrm>
                            <a:off x="0" y="18923"/>
                            <a:ext cx="5570855" cy="994410"/>
                          </a:xfrm>
                          <a:custGeom>
                            <a:avLst/>
                            <a:gdLst/>
                            <a:ahLst/>
                            <a:cxnLst/>
                            <a:rect l="l" t="t" r="r" b="b"/>
                            <a:pathLst>
                              <a:path w="5570855" h="994410">
                                <a:moveTo>
                                  <a:pt x="5471414" y="0"/>
                                </a:moveTo>
                                <a:lnTo>
                                  <a:pt x="99428" y="0"/>
                                </a:lnTo>
                                <a:lnTo>
                                  <a:pt x="60725" y="7822"/>
                                </a:lnTo>
                                <a:lnTo>
                                  <a:pt x="29121" y="29146"/>
                                </a:lnTo>
                                <a:lnTo>
                                  <a:pt x="7813" y="60757"/>
                                </a:lnTo>
                                <a:lnTo>
                                  <a:pt x="0" y="99440"/>
                                </a:lnTo>
                                <a:lnTo>
                                  <a:pt x="0" y="894841"/>
                                </a:lnTo>
                                <a:lnTo>
                                  <a:pt x="7813" y="933578"/>
                                </a:lnTo>
                                <a:lnTo>
                                  <a:pt x="29121" y="965184"/>
                                </a:lnTo>
                                <a:lnTo>
                                  <a:pt x="60725" y="986478"/>
                                </a:lnTo>
                                <a:lnTo>
                                  <a:pt x="99428" y="994282"/>
                                </a:lnTo>
                                <a:lnTo>
                                  <a:pt x="5471414" y="994282"/>
                                </a:lnTo>
                                <a:lnTo>
                                  <a:pt x="5510097" y="986478"/>
                                </a:lnTo>
                                <a:lnTo>
                                  <a:pt x="5541708" y="965184"/>
                                </a:lnTo>
                                <a:lnTo>
                                  <a:pt x="5563032" y="933578"/>
                                </a:lnTo>
                                <a:lnTo>
                                  <a:pt x="5570855" y="894841"/>
                                </a:lnTo>
                                <a:lnTo>
                                  <a:pt x="5570855" y="99440"/>
                                </a:lnTo>
                                <a:lnTo>
                                  <a:pt x="5563032" y="60757"/>
                                </a:lnTo>
                                <a:lnTo>
                                  <a:pt x="5541708" y="29146"/>
                                </a:lnTo>
                                <a:lnTo>
                                  <a:pt x="5510097" y="7822"/>
                                </a:lnTo>
                                <a:lnTo>
                                  <a:pt x="5471414" y="0"/>
                                </a:lnTo>
                                <a:close/>
                              </a:path>
                            </a:pathLst>
                          </a:custGeom>
                          <a:solidFill>
                            <a:srgbClr val="00AFEF"/>
                          </a:solidFill>
                        </wps:spPr>
                        <wps:bodyPr wrap="square" lIns="0" tIns="0" rIns="0" bIns="0" rtlCol="0">
                          <a:prstTxWarp prst="textNoShape">
                            <a:avLst/>
                          </a:prstTxWarp>
                        </wps:bodyPr>
                      </wps:wsp>
                      <wps:wsp>
                        <wps:cNvPr id="364" name="Graphic 364"/>
                        <wps:cNvSpPr/>
                        <wps:spPr>
                          <a:xfrm>
                            <a:off x="190004" y="168769"/>
                            <a:ext cx="894715" cy="740410"/>
                          </a:xfrm>
                          <a:custGeom>
                            <a:avLst/>
                            <a:gdLst/>
                            <a:ahLst/>
                            <a:cxnLst/>
                            <a:rect l="l" t="t" r="r" b="b"/>
                            <a:pathLst>
                              <a:path w="894715" h="740410">
                                <a:moveTo>
                                  <a:pt x="286766" y="348488"/>
                                </a:moveTo>
                                <a:lnTo>
                                  <a:pt x="5143" y="348488"/>
                                </a:lnTo>
                                <a:lnTo>
                                  <a:pt x="0" y="353860"/>
                                </a:lnTo>
                                <a:lnTo>
                                  <a:pt x="0" y="367144"/>
                                </a:lnTo>
                                <a:lnTo>
                                  <a:pt x="5143" y="372516"/>
                                </a:lnTo>
                                <a:lnTo>
                                  <a:pt x="101295" y="372516"/>
                                </a:lnTo>
                                <a:lnTo>
                                  <a:pt x="46507" y="739876"/>
                                </a:lnTo>
                                <a:lnTo>
                                  <a:pt x="69723" y="739876"/>
                                </a:lnTo>
                                <a:lnTo>
                                  <a:pt x="124498" y="372516"/>
                                </a:lnTo>
                                <a:lnTo>
                                  <a:pt x="281851" y="372516"/>
                                </a:lnTo>
                                <a:lnTo>
                                  <a:pt x="286766" y="348488"/>
                                </a:lnTo>
                                <a:close/>
                              </a:path>
                              <a:path w="894715" h="740410">
                                <a:moveTo>
                                  <a:pt x="412889" y="5384"/>
                                </a:moveTo>
                                <a:lnTo>
                                  <a:pt x="407758" y="0"/>
                                </a:lnTo>
                                <a:lnTo>
                                  <a:pt x="51015" y="0"/>
                                </a:lnTo>
                                <a:lnTo>
                                  <a:pt x="45885" y="5384"/>
                                </a:lnTo>
                                <a:lnTo>
                                  <a:pt x="45872" y="246964"/>
                                </a:lnTo>
                                <a:lnTo>
                                  <a:pt x="51003" y="252349"/>
                                </a:lnTo>
                                <a:lnTo>
                                  <a:pt x="57340" y="252349"/>
                                </a:lnTo>
                                <a:lnTo>
                                  <a:pt x="217906" y="252349"/>
                                </a:lnTo>
                                <a:lnTo>
                                  <a:pt x="217906" y="300418"/>
                                </a:lnTo>
                                <a:lnTo>
                                  <a:pt x="160540" y="300418"/>
                                </a:lnTo>
                                <a:lnTo>
                                  <a:pt x="160540" y="324446"/>
                                </a:lnTo>
                                <a:lnTo>
                                  <a:pt x="291680" y="324446"/>
                                </a:lnTo>
                                <a:lnTo>
                                  <a:pt x="296595" y="300418"/>
                                </a:lnTo>
                                <a:lnTo>
                                  <a:pt x="240842" y="300418"/>
                                </a:lnTo>
                                <a:lnTo>
                                  <a:pt x="240842" y="252349"/>
                                </a:lnTo>
                                <a:lnTo>
                                  <a:pt x="314083" y="252349"/>
                                </a:lnTo>
                                <a:lnTo>
                                  <a:pt x="323723" y="239509"/>
                                </a:lnTo>
                                <a:lnTo>
                                  <a:pt x="335089" y="228320"/>
                                </a:lnTo>
                                <a:lnTo>
                                  <a:pt x="68808" y="228320"/>
                                </a:lnTo>
                                <a:lnTo>
                                  <a:pt x="68808" y="24041"/>
                                </a:lnTo>
                                <a:lnTo>
                                  <a:pt x="389953" y="24041"/>
                                </a:lnTo>
                                <a:lnTo>
                                  <a:pt x="389953" y="204800"/>
                                </a:lnTo>
                                <a:lnTo>
                                  <a:pt x="412889" y="204279"/>
                                </a:lnTo>
                                <a:lnTo>
                                  <a:pt x="412889" y="5384"/>
                                </a:lnTo>
                                <a:close/>
                              </a:path>
                              <a:path w="894715" h="740410">
                                <a:moveTo>
                                  <a:pt x="614489" y="503351"/>
                                </a:moveTo>
                                <a:lnTo>
                                  <a:pt x="614413" y="497878"/>
                                </a:lnTo>
                                <a:lnTo>
                                  <a:pt x="613816" y="492417"/>
                                </a:lnTo>
                                <a:lnTo>
                                  <a:pt x="590550" y="378688"/>
                                </a:lnTo>
                                <a:lnTo>
                                  <a:pt x="590550" y="515975"/>
                                </a:lnTo>
                                <a:lnTo>
                                  <a:pt x="582358" y="537337"/>
                                </a:lnTo>
                                <a:lnTo>
                                  <a:pt x="567105" y="553923"/>
                                </a:lnTo>
                                <a:lnTo>
                                  <a:pt x="546227" y="563448"/>
                                </a:lnTo>
                                <a:lnTo>
                                  <a:pt x="542277" y="564324"/>
                                </a:lnTo>
                                <a:lnTo>
                                  <a:pt x="538251" y="564781"/>
                                </a:lnTo>
                                <a:lnTo>
                                  <a:pt x="360387" y="564781"/>
                                </a:lnTo>
                                <a:lnTo>
                                  <a:pt x="338061" y="560057"/>
                                </a:lnTo>
                                <a:lnTo>
                                  <a:pt x="319836" y="547179"/>
                                </a:lnTo>
                                <a:lnTo>
                                  <a:pt x="307543" y="528091"/>
                                </a:lnTo>
                                <a:lnTo>
                                  <a:pt x="303034" y="504710"/>
                                </a:lnTo>
                                <a:lnTo>
                                  <a:pt x="303034" y="500468"/>
                                </a:lnTo>
                                <a:lnTo>
                                  <a:pt x="343636" y="299859"/>
                                </a:lnTo>
                                <a:lnTo>
                                  <a:pt x="363702" y="265785"/>
                                </a:lnTo>
                                <a:lnTo>
                                  <a:pt x="399707" y="252349"/>
                                </a:lnTo>
                                <a:lnTo>
                                  <a:pt x="494893" y="252349"/>
                                </a:lnTo>
                                <a:lnTo>
                                  <a:pt x="530885" y="265785"/>
                                </a:lnTo>
                                <a:lnTo>
                                  <a:pt x="550964" y="299859"/>
                                </a:lnTo>
                                <a:lnTo>
                                  <a:pt x="590283" y="492125"/>
                                </a:lnTo>
                                <a:lnTo>
                                  <a:pt x="590423" y="504710"/>
                                </a:lnTo>
                                <a:lnTo>
                                  <a:pt x="590550" y="515975"/>
                                </a:lnTo>
                                <a:lnTo>
                                  <a:pt x="590550" y="378688"/>
                                </a:lnTo>
                                <a:lnTo>
                                  <a:pt x="573392" y="294805"/>
                                </a:lnTo>
                                <a:lnTo>
                                  <a:pt x="549706" y="252349"/>
                                </a:lnTo>
                                <a:lnTo>
                                  <a:pt x="494893" y="228320"/>
                                </a:lnTo>
                                <a:lnTo>
                                  <a:pt x="399707" y="228320"/>
                                </a:lnTo>
                                <a:lnTo>
                                  <a:pt x="349300" y="247116"/>
                                </a:lnTo>
                                <a:lnTo>
                                  <a:pt x="321195" y="294805"/>
                                </a:lnTo>
                                <a:lnTo>
                                  <a:pt x="281876" y="487070"/>
                                </a:lnTo>
                                <a:lnTo>
                                  <a:pt x="281482" y="520433"/>
                                </a:lnTo>
                                <a:lnTo>
                                  <a:pt x="292925" y="550329"/>
                                </a:lnTo>
                                <a:lnTo>
                                  <a:pt x="314236" y="573544"/>
                                </a:lnTo>
                                <a:lnTo>
                                  <a:pt x="343433" y="586867"/>
                                </a:lnTo>
                                <a:lnTo>
                                  <a:pt x="348538" y="588010"/>
                                </a:lnTo>
                                <a:lnTo>
                                  <a:pt x="355142" y="588810"/>
                                </a:lnTo>
                                <a:lnTo>
                                  <a:pt x="358965" y="588810"/>
                                </a:lnTo>
                                <a:lnTo>
                                  <a:pt x="340207" y="739876"/>
                                </a:lnTo>
                                <a:lnTo>
                                  <a:pt x="363347" y="739876"/>
                                </a:lnTo>
                                <a:lnTo>
                                  <a:pt x="382092" y="588810"/>
                                </a:lnTo>
                                <a:lnTo>
                                  <a:pt x="512495" y="588810"/>
                                </a:lnTo>
                                <a:lnTo>
                                  <a:pt x="531253" y="739876"/>
                                </a:lnTo>
                                <a:lnTo>
                                  <a:pt x="554380" y="739876"/>
                                </a:lnTo>
                                <a:lnTo>
                                  <a:pt x="535635" y="588810"/>
                                </a:lnTo>
                                <a:lnTo>
                                  <a:pt x="535279" y="588810"/>
                                </a:lnTo>
                                <a:lnTo>
                                  <a:pt x="566737" y="581596"/>
                                </a:lnTo>
                                <a:lnTo>
                                  <a:pt x="589711" y="564781"/>
                                </a:lnTo>
                                <a:lnTo>
                                  <a:pt x="591934" y="563156"/>
                                </a:lnTo>
                                <a:lnTo>
                                  <a:pt x="608711" y="536155"/>
                                </a:lnTo>
                                <a:lnTo>
                                  <a:pt x="614489" y="503351"/>
                                </a:lnTo>
                                <a:close/>
                              </a:path>
                              <a:path w="894715" h="740410">
                                <a:moveTo>
                                  <a:pt x="848728" y="5384"/>
                                </a:moveTo>
                                <a:lnTo>
                                  <a:pt x="843597" y="0"/>
                                </a:lnTo>
                                <a:lnTo>
                                  <a:pt x="486841" y="0"/>
                                </a:lnTo>
                                <a:lnTo>
                                  <a:pt x="481711" y="5384"/>
                                </a:lnTo>
                                <a:lnTo>
                                  <a:pt x="481711" y="204279"/>
                                </a:lnTo>
                                <a:lnTo>
                                  <a:pt x="494893" y="204279"/>
                                </a:lnTo>
                                <a:lnTo>
                                  <a:pt x="504647" y="204800"/>
                                </a:lnTo>
                                <a:lnTo>
                                  <a:pt x="504647" y="24041"/>
                                </a:lnTo>
                                <a:lnTo>
                                  <a:pt x="825779" y="24041"/>
                                </a:lnTo>
                                <a:lnTo>
                                  <a:pt x="825779" y="228320"/>
                                </a:lnTo>
                                <a:lnTo>
                                  <a:pt x="559511" y="228320"/>
                                </a:lnTo>
                                <a:lnTo>
                                  <a:pt x="570865" y="239509"/>
                                </a:lnTo>
                                <a:lnTo>
                                  <a:pt x="580504" y="252349"/>
                                </a:lnTo>
                                <a:lnTo>
                                  <a:pt x="653745" y="252349"/>
                                </a:lnTo>
                                <a:lnTo>
                                  <a:pt x="653745" y="300418"/>
                                </a:lnTo>
                                <a:lnTo>
                                  <a:pt x="597992" y="300418"/>
                                </a:lnTo>
                                <a:lnTo>
                                  <a:pt x="602907" y="324446"/>
                                </a:lnTo>
                                <a:lnTo>
                                  <a:pt x="734009" y="324446"/>
                                </a:lnTo>
                                <a:lnTo>
                                  <a:pt x="734009" y="300418"/>
                                </a:lnTo>
                                <a:lnTo>
                                  <a:pt x="676681" y="300418"/>
                                </a:lnTo>
                                <a:lnTo>
                                  <a:pt x="676681" y="252349"/>
                                </a:lnTo>
                                <a:lnTo>
                                  <a:pt x="843597" y="252349"/>
                                </a:lnTo>
                                <a:lnTo>
                                  <a:pt x="848728" y="246976"/>
                                </a:lnTo>
                                <a:lnTo>
                                  <a:pt x="848728" y="5384"/>
                                </a:lnTo>
                                <a:close/>
                              </a:path>
                              <a:path w="894715" h="740410">
                                <a:moveTo>
                                  <a:pt x="894600" y="353860"/>
                                </a:moveTo>
                                <a:lnTo>
                                  <a:pt x="889444" y="348488"/>
                                </a:lnTo>
                                <a:lnTo>
                                  <a:pt x="883132" y="348488"/>
                                </a:lnTo>
                                <a:lnTo>
                                  <a:pt x="607834" y="348488"/>
                                </a:lnTo>
                                <a:lnTo>
                                  <a:pt x="612749" y="372516"/>
                                </a:lnTo>
                                <a:lnTo>
                                  <a:pt x="770089" y="372516"/>
                                </a:lnTo>
                                <a:lnTo>
                                  <a:pt x="824877" y="739876"/>
                                </a:lnTo>
                                <a:lnTo>
                                  <a:pt x="848055" y="739876"/>
                                </a:lnTo>
                                <a:lnTo>
                                  <a:pt x="793305" y="372516"/>
                                </a:lnTo>
                                <a:lnTo>
                                  <a:pt x="889444" y="372516"/>
                                </a:lnTo>
                                <a:lnTo>
                                  <a:pt x="894600" y="367144"/>
                                </a:lnTo>
                                <a:lnTo>
                                  <a:pt x="894600" y="353860"/>
                                </a:lnTo>
                                <a:close/>
                              </a:path>
                            </a:pathLst>
                          </a:custGeom>
                          <a:solidFill>
                            <a:srgbClr val="C0C8E3"/>
                          </a:solidFill>
                        </wps:spPr>
                        <wps:bodyPr wrap="square" lIns="0" tIns="0" rIns="0" bIns="0" rtlCol="0">
                          <a:prstTxWarp prst="textNoShape">
                            <a:avLst/>
                          </a:prstTxWarp>
                        </wps:bodyPr>
                      </wps:wsp>
                      <wps:wsp>
                        <wps:cNvPr id="365" name="Graphic 365"/>
                        <wps:cNvSpPr/>
                        <wps:spPr>
                          <a:xfrm>
                            <a:off x="78574" y="6350"/>
                            <a:ext cx="1114425" cy="1041400"/>
                          </a:xfrm>
                          <a:custGeom>
                            <a:avLst/>
                            <a:gdLst/>
                            <a:ahLst/>
                            <a:cxnLst/>
                            <a:rect l="l" t="t" r="r" b="b"/>
                            <a:pathLst>
                              <a:path w="1114425" h="1041400">
                                <a:moveTo>
                                  <a:pt x="0" y="104139"/>
                                </a:moveTo>
                                <a:lnTo>
                                  <a:pt x="8183" y="63650"/>
                                </a:lnTo>
                                <a:lnTo>
                                  <a:pt x="30499" y="30543"/>
                                </a:lnTo>
                                <a:lnTo>
                                  <a:pt x="63597" y="8199"/>
                                </a:lnTo>
                                <a:lnTo>
                                  <a:pt x="104127" y="0"/>
                                </a:lnTo>
                                <a:lnTo>
                                  <a:pt x="1010069" y="0"/>
                                </a:lnTo>
                                <a:lnTo>
                                  <a:pt x="1050611" y="8199"/>
                                </a:lnTo>
                                <a:lnTo>
                                  <a:pt x="1083713" y="30543"/>
                                </a:lnTo>
                                <a:lnTo>
                                  <a:pt x="1106027" y="63650"/>
                                </a:lnTo>
                                <a:lnTo>
                                  <a:pt x="1114209" y="104139"/>
                                </a:lnTo>
                                <a:lnTo>
                                  <a:pt x="1114209" y="937259"/>
                                </a:lnTo>
                                <a:lnTo>
                                  <a:pt x="1106027" y="977802"/>
                                </a:lnTo>
                                <a:lnTo>
                                  <a:pt x="1083713" y="1010904"/>
                                </a:lnTo>
                                <a:lnTo>
                                  <a:pt x="1050611" y="1033218"/>
                                </a:lnTo>
                                <a:lnTo>
                                  <a:pt x="1010069" y="1041400"/>
                                </a:lnTo>
                                <a:lnTo>
                                  <a:pt x="104127" y="1041400"/>
                                </a:lnTo>
                                <a:lnTo>
                                  <a:pt x="63597" y="1033218"/>
                                </a:lnTo>
                                <a:lnTo>
                                  <a:pt x="30499"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66" name="Textbox 366"/>
                        <wps:cNvSpPr txBox="1"/>
                        <wps:spPr>
                          <a:xfrm>
                            <a:off x="0" y="0"/>
                            <a:ext cx="5570855" cy="1054100"/>
                          </a:xfrm>
                          <a:prstGeom prst="rect">
                            <a:avLst/>
                          </a:prstGeom>
                        </wps:spPr>
                        <wps:txbx>
                          <w:txbxContent>
                            <w:p w14:paraId="23DB90B7" w14:textId="77777777" w:rsidR="008715BE" w:rsidRDefault="00000000">
                              <w:pPr>
                                <w:spacing w:before="71"/>
                                <w:ind w:left="2014"/>
                                <w:rPr>
                                  <w:b/>
                                  <w:sz w:val="18"/>
                                </w:rPr>
                              </w:pPr>
                              <w:r>
                                <w:rPr>
                                  <w:b/>
                                  <w:w w:val="135"/>
                                  <w:sz w:val="12"/>
                                </w:rPr>
                                <w:t xml:space="preserve">Form of </w:t>
                              </w:r>
                              <w:r>
                                <w:rPr>
                                  <w:b/>
                                  <w:spacing w:val="-2"/>
                                  <w:w w:val="135"/>
                                  <w:sz w:val="12"/>
                                </w:rPr>
                                <w:t>impact</w:t>
                              </w:r>
                            </w:p>
                            <w:p w14:paraId="394B8862" w14:textId="77777777" w:rsidR="008715BE" w:rsidRDefault="00000000">
                              <w:pPr>
                                <w:numPr>
                                  <w:ilvl w:val="0"/>
                                  <w:numId w:val="59"/>
                                </w:numPr>
                                <w:tabs>
                                  <w:tab w:val="left" w:pos="2174"/>
                                </w:tabs>
                                <w:spacing w:before="18"/>
                                <w:ind w:left="2174" w:hanging="160"/>
                                <w:rPr>
                                  <w:sz w:val="18"/>
                                </w:rPr>
                              </w:pPr>
                              <w:r>
                                <w:rPr>
                                  <w:w w:val="120"/>
                                  <w:sz w:val="12"/>
                                </w:rPr>
                                <w:t xml:space="preserve">local changes in air quality in the area where </w:t>
                              </w:r>
                              <w:r>
                                <w:rPr>
                                  <w:spacing w:val="-2"/>
                                  <w:w w:val="120"/>
                                  <w:sz w:val="12"/>
                                </w:rPr>
                                <w:t xml:space="preserve">the investments </w:t>
                              </w:r>
                              <w:r>
                                <w:rPr>
                                  <w:w w:val="120"/>
                                  <w:sz w:val="12"/>
                                </w:rPr>
                                <w:t>are made</w:t>
                              </w:r>
                            </w:p>
                          </w:txbxContent>
                        </wps:txbx>
                        <wps:bodyPr wrap="square" lIns="0" tIns="0" rIns="0" bIns="0" rtlCol="0"/>
                      </wps:wsp>
                    </wpg:wgp>
                  </a:graphicData>
                </a:graphic>
              </wp:inline>
            </w:drawing>
          </mc:Choice>
          <mc:Fallback>
            <w:pict>
              <v:group w14:anchorId="146A83E3" id="Group 362" o:spid="_x0000_s1199" style="width:438.65pt;height:83pt;mso-position-horizontal-relative:char;mso-position-vertical-relative:line" coordsize="55708,10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">
                <v:shape id="Graphic 363" o:spid="_x0000_s1200" style="position:absolute;top:189;width:55708;height:9944;visibility:visible;mso-wrap-style:square;v-text-anchor:top" coordsize="5570855,99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" path="m5471414,l99428,,60725,7822,29121,29146,7813,60757,,99440,,894841r7813,38737l29121,965184r31604,21294l99428,994282r5371986,l5510097,986478r31611,-21294l5563032,933578r7823,-38737l5570855,99440r-7823,-38683l5541708,29146,5510097,7822,5471414,xe" fillcolor="#00afef" stroked="f">
                  <v:path arrowok="t"/>
                </v:shape>
                <v:shape id="Graphic 364" o:spid="_x0000_s1201" style="position:absolute;left:1900;top:1687;width:8947;height:7404;visibility:visible;mso-wrap-style:square;v-text-anchor:top" coordsize="894715,74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" path="m286766,348488r-281623,l,353860r,13284l5143,372516r96152,l46507,739876r23216,l124498,372516r157353,l286766,348488xem412889,5384l407758,,51015,,45885,5384r-13,241580l51003,252349r6337,l217906,252349r,48069l160540,300418r,24028l291680,324446r4915,-24028l240842,300418r,-48069l314083,252349r9640,-12840l335089,228320r-266281,l68808,24041r321145,l389953,204800r22936,-521l412889,5384xem614489,503351r-76,-5473l613816,492417,590550,378688r,137287l582358,537337r-15253,16586l546227,563448r-3950,876l538251,564781r-177864,l338061,560057,319836,547179,307543,528091r-4509,-23381l303034,500468,343636,299859r20066,-34074l399707,252349r95186,l530885,265785r20079,34074l590283,492125r140,12585l590550,515975r,-137287l573392,294805,549706,252349,494893,228320r-95186,l349300,247116r-28105,47689l281876,487070r-394,33363l292925,550329r21311,23215l343433,586867r5105,1143l355142,588810r3823,l340207,739876r23140,l382092,588810r130403,l531253,739876r23127,l535635,588810r-356,l566737,581596r22974,-16815l591934,563156r16777,-27001l614489,503351xem848728,5384l843597,,486841,r-5130,5384l481711,204279r13182,l504647,204800r,-180759l825779,24041r,204279l559511,228320r11354,11189l580504,252349r73241,l653745,300418r-55753,l602907,324446r131102,l734009,300418r-57328,l676681,252349r166916,l848728,246976r,-241592xem894600,353860r-5156,-5372l883132,348488r-275298,l612749,372516r157340,l824877,739876r23178,l793305,372516r96139,l894600,367144r,-13284xe" fillcolor="#c0c8e3" stroked="f">
                  <v:path arrowok="t"/>
                </v:shape>
                <v:shape id="Graphic 365" o:spid="_x0000_s1202" style="position:absolute;left:785;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" path="m,104139l8183,63650,30499,30543,63597,8199,104127,r905942,l1050611,8199r33102,22344l1106027,63650r8182,40489l1114209,937259r-8182,40543l1083713,1010904r-33102,22314l1010069,1041400r-905942,l63597,1033218,30499,1010904,8183,977802,,937259,,104139xe" filled="f" strokecolor="white" strokeweight="1pt">
                  <v:path arrowok="t"/>
                </v:shape>
                <v:shape id="Textbox 366" o:spid="_x0000_s1203" type="#_x0000_t202" style="position:absolute;width:55708;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23DB90B7" w14:textId="77777777" w:rsidR="008715BE" w:rsidRDefault="00000000">
                        <w:pPr>
                          <w:spacing w:before="71"/>
                          <w:ind w:left="2014"/>
                          <w:rPr>
                            <w:b/>
                            <w:sz w:val="18"/>
                          </w:rPr>
                        </w:pPr>
                        <w:r>
                          <w:rPr>
                            <w:b/>
                            <w:w w:val="135"/>
                            <w:sz w:val="12"/>
                          </w:rPr>
                          <w:t xml:space="preserve">Form of </w:t>
                        </w:r>
                        <w:r>
                          <w:rPr>
                            <w:b/>
                            <w:spacing w:val="-2"/>
                            <w:w w:val="135"/>
                            <w:sz w:val="12"/>
                          </w:rPr>
                          <w:t>impact</w:t>
                        </w:r>
                      </w:p>
                      <w:p w14:paraId="394B8862" w14:textId="77777777" w:rsidR="008715BE" w:rsidRDefault="00000000">
                        <w:pPr>
                          <w:numPr>
                            <w:ilvl w:val="0"/>
                            <w:numId w:val="59"/>
                          </w:numPr>
                          <w:tabs>
                            <w:tab w:val="left" w:pos="2174"/>
                          </w:tabs>
                          <w:spacing w:before="18"/>
                          <w:ind w:left="2174" w:hanging="160"/>
                          <w:rPr>
                            <w:sz w:val="18"/>
                          </w:rPr>
                        </w:pPr>
                        <w:r>
                          <w:rPr>
                            <w:w w:val="120"/>
                            <w:sz w:val="12"/>
                          </w:rPr>
                          <w:t xml:space="preserve">local changes in air quality in the area where </w:t>
                        </w:r>
                        <w:r>
                          <w:rPr>
                            <w:spacing w:val="-2"/>
                            <w:w w:val="120"/>
                            <w:sz w:val="12"/>
                          </w:rPr>
                          <w:t xml:space="preserve">the investments </w:t>
                        </w:r>
                        <w:r>
                          <w:rPr>
                            <w:w w:val="120"/>
                            <w:sz w:val="12"/>
                          </w:rPr>
                          <w:t>are made</w:t>
                        </w:r>
                      </w:p>
                    </w:txbxContent>
                  </v:textbox>
                </v:shape>
                <w10:anchorlock/>
              </v:group>
            </w:pict>
          </mc:Fallback>
        </mc:AlternateContent>
      </w:r>
    </w:p>
    <w:p w14:paraId="55D47D91" w14:textId="77777777" w:rsidR="008715BE" w:rsidRPr="00EC75B7" w:rsidRDefault="00000000">
      <w:pPr>
        <w:pStyle w:val="BodyText"/>
        <w:spacing w:before="6"/>
        <w:rPr>
          <w:rFonts w:ascii="Verdana" w:hAnsi="Verdana"/>
        </w:rPr>
      </w:pPr>
      <w:r w:rsidRPr="00EC75B7">
        <w:rPr>
          <w:rFonts w:ascii="Verdana" w:hAnsi="Verdana"/>
          <w:noProof/>
        </w:rPr>
        <mc:AlternateContent>
          <mc:Choice Requires="wpg">
            <w:drawing>
              <wp:anchor distT="0" distB="0" distL="0" distR="0" simplePos="0" relativeHeight="251790336" behindDoc="1" locked="0" layoutInCell="1" allowOverlap="1" wp14:anchorId="546E6568" wp14:editId="2A353634">
                <wp:simplePos x="0" y="0"/>
                <wp:positionH relativeFrom="page">
                  <wp:posOffset>774065</wp:posOffset>
                </wp:positionH>
                <wp:positionV relativeFrom="paragraph">
                  <wp:posOffset>42798</wp:posOffset>
                </wp:positionV>
                <wp:extent cx="5570855" cy="1106805"/>
                <wp:effectExtent l="0" t="0" r="0" b="0"/>
                <wp:wrapTopAndBottom/>
                <wp:docPr id="367" name="Group 367"/>
                <wp:cNvGraphicFramePr/>
                <a:graphic xmlns:a="http://schemas.openxmlformats.org/drawingml/2006/main">
                  <a:graphicData uri="http://schemas.microsoft.com/office/word/2010/wordprocessingGroup">
                    <wpg:wgp>
                      <wpg:cNvGrpSpPr/>
                      <wpg:grpSpPr>
                        <a:xfrm>
                          <a:off x="0" y="0"/>
                          <a:ext cx="5570855" cy="1106805"/>
                          <a:chOff x="0" y="0"/>
                          <a:chExt cx="5570855" cy="1106805"/>
                        </a:xfrm>
                      </wpg:grpSpPr>
                      <wps:wsp>
                        <wps:cNvPr id="368" name="Graphic 368"/>
                        <wps:cNvSpPr/>
                        <wps:spPr>
                          <a:xfrm>
                            <a:off x="0" y="57403"/>
                            <a:ext cx="5570855" cy="1049655"/>
                          </a:xfrm>
                          <a:custGeom>
                            <a:avLst/>
                            <a:gdLst/>
                            <a:ahLst/>
                            <a:cxnLst/>
                            <a:rect l="l" t="t" r="r" b="b"/>
                            <a:pathLst>
                              <a:path w="5570855" h="1049655">
                                <a:moveTo>
                                  <a:pt x="5465953" y="0"/>
                                </a:moveTo>
                                <a:lnTo>
                                  <a:pt x="104927" y="0"/>
                                </a:lnTo>
                                <a:lnTo>
                                  <a:pt x="64084" y="8229"/>
                                </a:lnTo>
                                <a:lnTo>
                                  <a:pt x="30732" y="30686"/>
                                </a:lnTo>
                                <a:lnTo>
                                  <a:pt x="8245" y="64025"/>
                                </a:lnTo>
                                <a:lnTo>
                                  <a:pt x="0" y="104901"/>
                                </a:lnTo>
                                <a:lnTo>
                                  <a:pt x="0" y="944245"/>
                                </a:lnTo>
                                <a:lnTo>
                                  <a:pt x="8245" y="985121"/>
                                </a:lnTo>
                                <a:lnTo>
                                  <a:pt x="30732" y="1018460"/>
                                </a:lnTo>
                                <a:lnTo>
                                  <a:pt x="64084" y="1040917"/>
                                </a:lnTo>
                                <a:lnTo>
                                  <a:pt x="104927" y="1049147"/>
                                </a:lnTo>
                                <a:lnTo>
                                  <a:pt x="5465953" y="1049147"/>
                                </a:lnTo>
                                <a:lnTo>
                                  <a:pt x="5506775" y="1040917"/>
                                </a:lnTo>
                                <a:lnTo>
                                  <a:pt x="5540121" y="1018460"/>
                                </a:lnTo>
                                <a:lnTo>
                                  <a:pt x="5562607" y="985121"/>
                                </a:lnTo>
                                <a:lnTo>
                                  <a:pt x="5570855" y="944245"/>
                                </a:lnTo>
                                <a:lnTo>
                                  <a:pt x="5570855" y="104901"/>
                                </a:lnTo>
                                <a:lnTo>
                                  <a:pt x="5562607" y="64025"/>
                                </a:lnTo>
                                <a:lnTo>
                                  <a:pt x="5540121" y="30686"/>
                                </a:lnTo>
                                <a:lnTo>
                                  <a:pt x="5506775" y="8229"/>
                                </a:lnTo>
                                <a:lnTo>
                                  <a:pt x="5465953" y="0"/>
                                </a:lnTo>
                                <a:close/>
                              </a:path>
                            </a:pathLst>
                          </a:custGeom>
                          <a:solidFill>
                            <a:srgbClr val="D9D9D9"/>
                          </a:solidFill>
                        </wps:spPr>
                        <wps:bodyPr wrap="square" lIns="0" tIns="0" rIns="0" bIns="0" rtlCol="0">
                          <a:prstTxWarp prst="textNoShape">
                            <a:avLst/>
                          </a:prstTxWarp>
                        </wps:bodyPr>
                      </wps:wsp>
                      <wps:wsp>
                        <wps:cNvPr id="369" name="Graphic 369"/>
                        <wps:cNvSpPr/>
                        <wps:spPr>
                          <a:xfrm>
                            <a:off x="220230" y="79615"/>
                            <a:ext cx="889000" cy="870585"/>
                          </a:xfrm>
                          <a:custGeom>
                            <a:avLst/>
                            <a:gdLst/>
                            <a:ahLst/>
                            <a:cxnLst/>
                            <a:rect l="l" t="t" r="r" b="b"/>
                            <a:pathLst>
                              <a:path w="889000" h="870585">
                                <a:moveTo>
                                  <a:pt x="143395" y="786104"/>
                                </a:moveTo>
                                <a:lnTo>
                                  <a:pt x="141147" y="774407"/>
                                </a:lnTo>
                                <a:lnTo>
                                  <a:pt x="135001" y="764870"/>
                                </a:lnTo>
                                <a:lnTo>
                                  <a:pt x="125882" y="758431"/>
                                </a:lnTo>
                                <a:lnTo>
                                  <a:pt x="114719" y="756069"/>
                                </a:lnTo>
                                <a:lnTo>
                                  <a:pt x="103555" y="758431"/>
                                </a:lnTo>
                                <a:lnTo>
                                  <a:pt x="94449" y="764870"/>
                                </a:lnTo>
                                <a:lnTo>
                                  <a:pt x="88303" y="774407"/>
                                </a:lnTo>
                                <a:lnTo>
                                  <a:pt x="86055" y="786104"/>
                                </a:lnTo>
                                <a:lnTo>
                                  <a:pt x="88303" y="797801"/>
                                </a:lnTo>
                                <a:lnTo>
                                  <a:pt x="94449" y="807351"/>
                                </a:lnTo>
                                <a:lnTo>
                                  <a:pt x="103555" y="813790"/>
                                </a:lnTo>
                                <a:lnTo>
                                  <a:pt x="114719" y="816152"/>
                                </a:lnTo>
                                <a:lnTo>
                                  <a:pt x="125882" y="813790"/>
                                </a:lnTo>
                                <a:lnTo>
                                  <a:pt x="135001" y="807351"/>
                                </a:lnTo>
                                <a:lnTo>
                                  <a:pt x="141147" y="797801"/>
                                </a:lnTo>
                                <a:lnTo>
                                  <a:pt x="143395" y="786104"/>
                                </a:lnTo>
                                <a:close/>
                              </a:path>
                              <a:path w="889000" h="870585">
                                <a:moveTo>
                                  <a:pt x="273380" y="786104"/>
                                </a:moveTo>
                                <a:lnTo>
                                  <a:pt x="271132" y="774407"/>
                                </a:lnTo>
                                <a:lnTo>
                                  <a:pt x="264985" y="764870"/>
                                </a:lnTo>
                                <a:lnTo>
                                  <a:pt x="255866" y="758431"/>
                                </a:lnTo>
                                <a:lnTo>
                                  <a:pt x="244703" y="756069"/>
                                </a:lnTo>
                                <a:lnTo>
                                  <a:pt x="233540" y="758431"/>
                                </a:lnTo>
                                <a:lnTo>
                                  <a:pt x="224434" y="764870"/>
                                </a:lnTo>
                                <a:lnTo>
                                  <a:pt x="218287" y="774407"/>
                                </a:lnTo>
                                <a:lnTo>
                                  <a:pt x="216039" y="786104"/>
                                </a:lnTo>
                                <a:lnTo>
                                  <a:pt x="218287" y="797801"/>
                                </a:lnTo>
                                <a:lnTo>
                                  <a:pt x="224434" y="807351"/>
                                </a:lnTo>
                                <a:lnTo>
                                  <a:pt x="233540" y="813790"/>
                                </a:lnTo>
                                <a:lnTo>
                                  <a:pt x="244703" y="816152"/>
                                </a:lnTo>
                                <a:lnTo>
                                  <a:pt x="255866" y="813790"/>
                                </a:lnTo>
                                <a:lnTo>
                                  <a:pt x="264985" y="807351"/>
                                </a:lnTo>
                                <a:lnTo>
                                  <a:pt x="271132" y="797801"/>
                                </a:lnTo>
                                <a:lnTo>
                                  <a:pt x="273380" y="786104"/>
                                </a:lnTo>
                                <a:close/>
                              </a:path>
                              <a:path w="889000" h="870585">
                                <a:moveTo>
                                  <a:pt x="403352" y="786104"/>
                                </a:moveTo>
                                <a:lnTo>
                                  <a:pt x="401104" y="774407"/>
                                </a:lnTo>
                                <a:lnTo>
                                  <a:pt x="394957" y="764870"/>
                                </a:lnTo>
                                <a:lnTo>
                                  <a:pt x="385838" y="758431"/>
                                </a:lnTo>
                                <a:lnTo>
                                  <a:pt x="374675" y="756069"/>
                                </a:lnTo>
                                <a:lnTo>
                                  <a:pt x="363524" y="758431"/>
                                </a:lnTo>
                                <a:lnTo>
                                  <a:pt x="354406" y="764870"/>
                                </a:lnTo>
                                <a:lnTo>
                                  <a:pt x="348259" y="774407"/>
                                </a:lnTo>
                                <a:lnTo>
                                  <a:pt x="346011" y="786104"/>
                                </a:lnTo>
                                <a:lnTo>
                                  <a:pt x="348259" y="797801"/>
                                </a:lnTo>
                                <a:lnTo>
                                  <a:pt x="354406" y="807351"/>
                                </a:lnTo>
                                <a:lnTo>
                                  <a:pt x="363524" y="813790"/>
                                </a:lnTo>
                                <a:lnTo>
                                  <a:pt x="374675" y="816152"/>
                                </a:lnTo>
                                <a:lnTo>
                                  <a:pt x="385838" y="813790"/>
                                </a:lnTo>
                                <a:lnTo>
                                  <a:pt x="394957" y="807351"/>
                                </a:lnTo>
                                <a:lnTo>
                                  <a:pt x="401104" y="797801"/>
                                </a:lnTo>
                                <a:lnTo>
                                  <a:pt x="403352" y="786104"/>
                                </a:lnTo>
                                <a:close/>
                              </a:path>
                              <a:path w="889000" h="870585">
                                <a:moveTo>
                                  <a:pt x="533349" y="786104"/>
                                </a:moveTo>
                                <a:lnTo>
                                  <a:pt x="531088" y="774407"/>
                                </a:lnTo>
                                <a:lnTo>
                                  <a:pt x="524954" y="764870"/>
                                </a:lnTo>
                                <a:lnTo>
                                  <a:pt x="515835" y="758431"/>
                                </a:lnTo>
                                <a:lnTo>
                                  <a:pt x="504672" y="756069"/>
                                </a:lnTo>
                                <a:lnTo>
                                  <a:pt x="493509" y="758431"/>
                                </a:lnTo>
                                <a:lnTo>
                                  <a:pt x="484403" y="764870"/>
                                </a:lnTo>
                                <a:lnTo>
                                  <a:pt x="478256" y="774407"/>
                                </a:lnTo>
                                <a:lnTo>
                                  <a:pt x="475996" y="786104"/>
                                </a:lnTo>
                                <a:lnTo>
                                  <a:pt x="478256" y="797801"/>
                                </a:lnTo>
                                <a:lnTo>
                                  <a:pt x="484403" y="807351"/>
                                </a:lnTo>
                                <a:lnTo>
                                  <a:pt x="493509" y="813790"/>
                                </a:lnTo>
                                <a:lnTo>
                                  <a:pt x="504672" y="816152"/>
                                </a:lnTo>
                                <a:lnTo>
                                  <a:pt x="515835" y="813790"/>
                                </a:lnTo>
                                <a:lnTo>
                                  <a:pt x="524954" y="807351"/>
                                </a:lnTo>
                                <a:lnTo>
                                  <a:pt x="531088" y="797801"/>
                                </a:lnTo>
                                <a:lnTo>
                                  <a:pt x="533349" y="786104"/>
                                </a:lnTo>
                                <a:close/>
                              </a:path>
                              <a:path w="889000" h="870585">
                                <a:moveTo>
                                  <a:pt x="619340" y="786104"/>
                                </a:moveTo>
                                <a:lnTo>
                                  <a:pt x="613029" y="753364"/>
                                </a:lnTo>
                                <a:lnTo>
                                  <a:pt x="596404" y="727544"/>
                                </a:lnTo>
                                <a:lnTo>
                                  <a:pt x="596404" y="786104"/>
                                </a:lnTo>
                                <a:lnTo>
                                  <a:pt x="591896" y="809485"/>
                                </a:lnTo>
                                <a:lnTo>
                                  <a:pt x="579602" y="828586"/>
                                </a:lnTo>
                                <a:lnTo>
                                  <a:pt x="561378" y="841463"/>
                                </a:lnTo>
                                <a:lnTo>
                                  <a:pt x="539051" y="846188"/>
                                </a:lnTo>
                                <a:lnTo>
                                  <a:pt x="80289" y="846188"/>
                                </a:lnTo>
                                <a:lnTo>
                                  <a:pt x="57962" y="841463"/>
                                </a:lnTo>
                                <a:lnTo>
                                  <a:pt x="39738" y="828586"/>
                                </a:lnTo>
                                <a:lnTo>
                                  <a:pt x="27444" y="809485"/>
                                </a:lnTo>
                                <a:lnTo>
                                  <a:pt x="22936" y="786104"/>
                                </a:lnTo>
                                <a:lnTo>
                                  <a:pt x="27444" y="762723"/>
                                </a:lnTo>
                                <a:lnTo>
                                  <a:pt x="39738" y="743623"/>
                                </a:lnTo>
                                <a:lnTo>
                                  <a:pt x="57962" y="730745"/>
                                </a:lnTo>
                                <a:lnTo>
                                  <a:pt x="80289" y="726020"/>
                                </a:lnTo>
                                <a:lnTo>
                                  <a:pt x="539051" y="726020"/>
                                </a:lnTo>
                                <a:lnTo>
                                  <a:pt x="561378" y="730745"/>
                                </a:lnTo>
                                <a:lnTo>
                                  <a:pt x="579602" y="743623"/>
                                </a:lnTo>
                                <a:lnTo>
                                  <a:pt x="591896" y="762723"/>
                                </a:lnTo>
                                <a:lnTo>
                                  <a:pt x="596404" y="786104"/>
                                </a:lnTo>
                                <a:lnTo>
                                  <a:pt x="596404" y="727544"/>
                                </a:lnTo>
                                <a:lnTo>
                                  <a:pt x="595820" y="726630"/>
                                </a:lnTo>
                                <a:lnTo>
                                  <a:pt x="594969" y="726020"/>
                                </a:lnTo>
                                <a:lnTo>
                                  <a:pt x="570306" y="708596"/>
                                </a:lnTo>
                                <a:lnTo>
                                  <a:pt x="539051" y="701992"/>
                                </a:lnTo>
                                <a:lnTo>
                                  <a:pt x="80289" y="701992"/>
                                </a:lnTo>
                                <a:lnTo>
                                  <a:pt x="49034" y="708596"/>
                                </a:lnTo>
                                <a:lnTo>
                                  <a:pt x="23520" y="726630"/>
                                </a:lnTo>
                                <a:lnTo>
                                  <a:pt x="6311" y="753364"/>
                                </a:lnTo>
                                <a:lnTo>
                                  <a:pt x="0" y="786104"/>
                                </a:lnTo>
                                <a:lnTo>
                                  <a:pt x="6311" y="818845"/>
                                </a:lnTo>
                                <a:lnTo>
                                  <a:pt x="23520" y="845591"/>
                                </a:lnTo>
                                <a:lnTo>
                                  <a:pt x="49034" y="863612"/>
                                </a:lnTo>
                                <a:lnTo>
                                  <a:pt x="80289" y="870216"/>
                                </a:lnTo>
                                <a:lnTo>
                                  <a:pt x="539051" y="870229"/>
                                </a:lnTo>
                                <a:lnTo>
                                  <a:pt x="570306" y="863612"/>
                                </a:lnTo>
                                <a:lnTo>
                                  <a:pt x="594969" y="846188"/>
                                </a:lnTo>
                                <a:lnTo>
                                  <a:pt x="595820" y="845591"/>
                                </a:lnTo>
                                <a:lnTo>
                                  <a:pt x="613029" y="818845"/>
                                </a:lnTo>
                                <a:lnTo>
                                  <a:pt x="619340" y="786104"/>
                                </a:lnTo>
                                <a:close/>
                              </a:path>
                              <a:path w="889000" h="870585">
                                <a:moveTo>
                                  <a:pt x="888390" y="430491"/>
                                </a:moveTo>
                                <a:lnTo>
                                  <a:pt x="877303" y="383755"/>
                                </a:lnTo>
                                <a:lnTo>
                                  <a:pt x="865301" y="362127"/>
                                </a:lnTo>
                                <a:lnTo>
                                  <a:pt x="865301" y="430136"/>
                                </a:lnTo>
                                <a:lnTo>
                                  <a:pt x="863930" y="473468"/>
                                </a:lnTo>
                                <a:lnTo>
                                  <a:pt x="844283" y="524929"/>
                                </a:lnTo>
                                <a:lnTo>
                                  <a:pt x="809815" y="562940"/>
                                </a:lnTo>
                                <a:lnTo>
                                  <a:pt x="764705" y="585673"/>
                                </a:lnTo>
                                <a:lnTo>
                                  <a:pt x="713219" y="589889"/>
                                </a:lnTo>
                                <a:lnTo>
                                  <a:pt x="766203" y="309562"/>
                                </a:lnTo>
                                <a:lnTo>
                                  <a:pt x="831596" y="351040"/>
                                </a:lnTo>
                                <a:lnTo>
                                  <a:pt x="854138" y="387921"/>
                                </a:lnTo>
                                <a:lnTo>
                                  <a:pt x="865301" y="430136"/>
                                </a:lnTo>
                                <a:lnTo>
                                  <a:pt x="865301" y="362127"/>
                                </a:lnTo>
                                <a:lnTo>
                                  <a:pt x="854214" y="342125"/>
                                </a:lnTo>
                                <a:lnTo>
                                  <a:pt x="821397" y="309562"/>
                                </a:lnTo>
                                <a:lnTo>
                                  <a:pt x="820178" y="308343"/>
                                </a:lnTo>
                                <a:lnTo>
                                  <a:pt x="775322" y="287337"/>
                                </a:lnTo>
                                <a:lnTo>
                                  <a:pt x="756970" y="282359"/>
                                </a:lnTo>
                                <a:lnTo>
                                  <a:pt x="519925" y="34036"/>
                                </a:lnTo>
                                <a:lnTo>
                                  <a:pt x="487438" y="0"/>
                                </a:lnTo>
                                <a:lnTo>
                                  <a:pt x="29387" y="480009"/>
                                </a:lnTo>
                                <a:lnTo>
                                  <a:pt x="21793" y="641908"/>
                                </a:lnTo>
                                <a:lnTo>
                                  <a:pt x="23609" y="651243"/>
                                </a:lnTo>
                                <a:lnTo>
                                  <a:pt x="28524" y="658876"/>
                                </a:lnTo>
                                <a:lnTo>
                                  <a:pt x="35814" y="664032"/>
                                </a:lnTo>
                                <a:lnTo>
                                  <a:pt x="44729" y="665937"/>
                                </a:lnTo>
                                <a:lnTo>
                                  <a:pt x="561987" y="665937"/>
                                </a:lnTo>
                                <a:lnTo>
                                  <a:pt x="603465" y="646010"/>
                                </a:lnTo>
                                <a:lnTo>
                                  <a:pt x="612381" y="611720"/>
                                </a:lnTo>
                                <a:lnTo>
                                  <a:pt x="612457" y="610666"/>
                                </a:lnTo>
                                <a:lnTo>
                                  <a:pt x="598868" y="497713"/>
                                </a:lnTo>
                                <a:lnTo>
                                  <a:pt x="595972" y="473671"/>
                                </a:lnTo>
                                <a:lnTo>
                                  <a:pt x="589724" y="421767"/>
                                </a:lnTo>
                                <a:lnTo>
                                  <a:pt x="589724" y="613905"/>
                                </a:lnTo>
                                <a:lnTo>
                                  <a:pt x="589089" y="623252"/>
                                </a:lnTo>
                                <a:lnTo>
                                  <a:pt x="585304" y="631393"/>
                                </a:lnTo>
                                <a:lnTo>
                                  <a:pt x="578954" y="637540"/>
                                </a:lnTo>
                                <a:lnTo>
                                  <a:pt x="570611" y="640892"/>
                                </a:lnTo>
                                <a:lnTo>
                                  <a:pt x="44729" y="641908"/>
                                </a:lnTo>
                                <a:lnTo>
                                  <a:pt x="44729" y="497713"/>
                                </a:lnTo>
                                <a:lnTo>
                                  <a:pt x="575754" y="497713"/>
                                </a:lnTo>
                                <a:lnTo>
                                  <a:pt x="589724" y="613905"/>
                                </a:lnTo>
                                <a:lnTo>
                                  <a:pt x="589724" y="421767"/>
                                </a:lnTo>
                                <a:lnTo>
                                  <a:pt x="582955" y="365531"/>
                                </a:lnTo>
                                <a:lnTo>
                                  <a:pt x="579196" y="334289"/>
                                </a:lnTo>
                                <a:lnTo>
                                  <a:pt x="574052" y="318147"/>
                                </a:lnTo>
                                <a:lnTo>
                                  <a:pt x="573989" y="317944"/>
                                </a:lnTo>
                                <a:lnTo>
                                  <a:pt x="573887" y="317639"/>
                                </a:lnTo>
                                <a:lnTo>
                                  <a:pt x="572884" y="316331"/>
                                </a:lnTo>
                                <a:lnTo>
                                  <a:pt x="572884" y="473671"/>
                                </a:lnTo>
                                <a:lnTo>
                                  <a:pt x="412889" y="473671"/>
                                </a:lnTo>
                                <a:lnTo>
                                  <a:pt x="412889" y="365531"/>
                                </a:lnTo>
                                <a:lnTo>
                                  <a:pt x="559866" y="365531"/>
                                </a:lnTo>
                                <a:lnTo>
                                  <a:pt x="572858" y="473468"/>
                                </a:lnTo>
                                <a:lnTo>
                                  <a:pt x="572884" y="473671"/>
                                </a:lnTo>
                                <a:lnTo>
                                  <a:pt x="572884" y="316331"/>
                                </a:lnTo>
                                <a:lnTo>
                                  <a:pt x="563689" y="304355"/>
                                </a:lnTo>
                                <a:lnTo>
                                  <a:pt x="556945" y="300088"/>
                                </a:lnTo>
                                <a:lnTo>
                                  <a:pt x="556945" y="341490"/>
                                </a:lnTo>
                                <a:lnTo>
                                  <a:pt x="389953" y="341490"/>
                                </a:lnTo>
                                <a:lnTo>
                                  <a:pt x="389953" y="473671"/>
                                </a:lnTo>
                                <a:lnTo>
                                  <a:pt x="344081" y="473671"/>
                                </a:lnTo>
                                <a:lnTo>
                                  <a:pt x="344081" y="340296"/>
                                </a:lnTo>
                                <a:lnTo>
                                  <a:pt x="345884" y="330936"/>
                                </a:lnTo>
                                <a:lnTo>
                                  <a:pt x="350799" y="323291"/>
                                </a:lnTo>
                                <a:lnTo>
                                  <a:pt x="358089" y="318147"/>
                                </a:lnTo>
                                <a:lnTo>
                                  <a:pt x="367017" y="316255"/>
                                </a:lnTo>
                                <a:lnTo>
                                  <a:pt x="533323" y="316255"/>
                                </a:lnTo>
                                <a:lnTo>
                                  <a:pt x="556945" y="341490"/>
                                </a:lnTo>
                                <a:lnTo>
                                  <a:pt x="556945" y="300088"/>
                                </a:lnTo>
                                <a:lnTo>
                                  <a:pt x="549770" y="295529"/>
                                </a:lnTo>
                                <a:lnTo>
                                  <a:pt x="533323" y="292227"/>
                                </a:lnTo>
                                <a:lnTo>
                                  <a:pt x="367017" y="292227"/>
                                </a:lnTo>
                                <a:lnTo>
                                  <a:pt x="349173" y="296037"/>
                                </a:lnTo>
                                <a:lnTo>
                                  <a:pt x="334606" y="306349"/>
                                </a:lnTo>
                                <a:lnTo>
                                  <a:pt x="324777" y="321602"/>
                                </a:lnTo>
                                <a:lnTo>
                                  <a:pt x="321144" y="340296"/>
                                </a:lnTo>
                                <a:lnTo>
                                  <a:pt x="321144" y="473671"/>
                                </a:lnTo>
                                <a:lnTo>
                                  <a:pt x="67983" y="473671"/>
                                </a:lnTo>
                                <a:lnTo>
                                  <a:pt x="68046" y="473468"/>
                                </a:lnTo>
                                <a:lnTo>
                                  <a:pt x="487438" y="34036"/>
                                </a:lnTo>
                                <a:lnTo>
                                  <a:pt x="744080" y="302895"/>
                                </a:lnTo>
                                <a:lnTo>
                                  <a:pt x="686168" y="609320"/>
                                </a:lnTo>
                                <a:lnTo>
                                  <a:pt x="697407" y="611720"/>
                                </a:lnTo>
                                <a:lnTo>
                                  <a:pt x="740359" y="614641"/>
                                </a:lnTo>
                                <a:lnTo>
                                  <a:pt x="781126" y="605929"/>
                                </a:lnTo>
                                <a:lnTo>
                                  <a:pt x="812063" y="589889"/>
                                </a:lnTo>
                                <a:lnTo>
                                  <a:pt x="817905" y="586867"/>
                                </a:lnTo>
                                <a:lnTo>
                                  <a:pt x="848893" y="558673"/>
                                </a:lnTo>
                                <a:lnTo>
                                  <a:pt x="872312" y="522643"/>
                                </a:lnTo>
                                <a:lnTo>
                                  <a:pt x="886345" y="480009"/>
                                </a:lnTo>
                                <a:lnTo>
                                  <a:pt x="886447" y="479539"/>
                                </a:lnTo>
                                <a:lnTo>
                                  <a:pt x="888390" y="430491"/>
                                </a:lnTo>
                                <a:close/>
                              </a:path>
                            </a:pathLst>
                          </a:custGeom>
                          <a:solidFill>
                            <a:srgbClr val="BEC7E2"/>
                          </a:solidFill>
                        </wps:spPr>
                        <wps:bodyPr wrap="square" lIns="0" tIns="0" rIns="0" bIns="0" rtlCol="0">
                          <a:prstTxWarp prst="textNoShape">
                            <a:avLst/>
                          </a:prstTxWarp>
                        </wps:bodyPr>
                      </wps:wsp>
                      <wps:wsp>
                        <wps:cNvPr id="370" name="Graphic 370"/>
                        <wps:cNvSpPr/>
                        <wps:spPr>
                          <a:xfrm>
                            <a:off x="108864" y="6350"/>
                            <a:ext cx="1114425" cy="1041400"/>
                          </a:xfrm>
                          <a:custGeom>
                            <a:avLst/>
                            <a:gdLst/>
                            <a:ahLst/>
                            <a:cxnLst/>
                            <a:rect l="l" t="t" r="r" b="b"/>
                            <a:pathLst>
                              <a:path w="1114425" h="1041400">
                                <a:moveTo>
                                  <a:pt x="0" y="104139"/>
                                </a:moveTo>
                                <a:lnTo>
                                  <a:pt x="8183" y="63597"/>
                                </a:lnTo>
                                <a:lnTo>
                                  <a:pt x="30500" y="30495"/>
                                </a:lnTo>
                                <a:lnTo>
                                  <a:pt x="63602" y="8181"/>
                                </a:lnTo>
                                <a:lnTo>
                                  <a:pt x="104139" y="0"/>
                                </a:lnTo>
                                <a:lnTo>
                                  <a:pt x="1010005" y="0"/>
                                </a:lnTo>
                                <a:lnTo>
                                  <a:pt x="1050548" y="8181"/>
                                </a:lnTo>
                                <a:lnTo>
                                  <a:pt x="1083649" y="30495"/>
                                </a:lnTo>
                                <a:lnTo>
                                  <a:pt x="1105964" y="63597"/>
                                </a:lnTo>
                                <a:lnTo>
                                  <a:pt x="1114145" y="104139"/>
                                </a:lnTo>
                                <a:lnTo>
                                  <a:pt x="1114145" y="937259"/>
                                </a:lnTo>
                                <a:lnTo>
                                  <a:pt x="1105964" y="977802"/>
                                </a:lnTo>
                                <a:lnTo>
                                  <a:pt x="1083649" y="1010904"/>
                                </a:lnTo>
                                <a:lnTo>
                                  <a:pt x="1050548" y="1033218"/>
                                </a:lnTo>
                                <a:lnTo>
                                  <a:pt x="1010005" y="1041400"/>
                                </a:lnTo>
                                <a:lnTo>
                                  <a:pt x="104139" y="1041400"/>
                                </a:lnTo>
                                <a:lnTo>
                                  <a:pt x="63602" y="1033218"/>
                                </a:lnTo>
                                <a:lnTo>
                                  <a:pt x="30500"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71" name="Textbox 371"/>
                        <wps:cNvSpPr txBox="1"/>
                        <wps:spPr>
                          <a:xfrm>
                            <a:off x="0" y="0"/>
                            <a:ext cx="5570855" cy="1106805"/>
                          </a:xfrm>
                          <a:prstGeom prst="rect">
                            <a:avLst/>
                          </a:prstGeom>
                        </wps:spPr>
                        <wps:txbx>
                          <w:txbxContent>
                            <w:p w14:paraId="422D2D98" w14:textId="77777777" w:rsidR="008715BE" w:rsidRDefault="00000000">
                              <w:pPr>
                                <w:spacing w:before="131"/>
                                <w:ind w:left="2014"/>
                                <w:rPr>
                                  <w:b/>
                                  <w:sz w:val="18"/>
                                </w:rPr>
                              </w:pPr>
                              <w:r>
                                <w:rPr>
                                  <w:b/>
                                  <w:w w:val="135"/>
                                  <w:sz w:val="12"/>
                                </w:rPr>
                                <w:t xml:space="preserve">Nature </w:t>
                              </w:r>
                              <w:r>
                                <w:rPr>
                                  <w:b/>
                                  <w:spacing w:val="-2"/>
                                  <w:w w:val="135"/>
                                  <w:sz w:val="12"/>
                                </w:rPr>
                                <w:t>of the impact</w:t>
                              </w:r>
                            </w:p>
                            <w:p w14:paraId="5A3AF57C" w14:textId="77777777" w:rsidR="008715BE" w:rsidRDefault="00000000">
                              <w:pPr>
                                <w:numPr>
                                  <w:ilvl w:val="0"/>
                                  <w:numId w:val="58"/>
                                </w:numPr>
                                <w:tabs>
                                  <w:tab w:val="left" w:pos="2105"/>
                                  <w:tab w:val="left" w:pos="2173"/>
                                </w:tabs>
                                <w:spacing w:before="35" w:line="216" w:lineRule="auto"/>
                                <w:ind w:right="248" w:hanging="92"/>
                                <w:rPr>
                                  <w:sz w:val="18"/>
                                </w:rPr>
                              </w:pPr>
                              <w:r>
                                <w:rPr>
                                  <w:w w:val="120"/>
                                  <w:sz w:val="12"/>
                                </w:rPr>
                                <w:t>direct if the interventions and activities specific to the execution phase can cause immediate changes in local air quality</w:t>
                              </w:r>
                            </w:p>
                            <w:p w14:paraId="22E88B03" w14:textId="77777777" w:rsidR="008715BE" w:rsidRDefault="00000000">
                              <w:pPr>
                                <w:numPr>
                                  <w:ilvl w:val="0"/>
                                  <w:numId w:val="57"/>
                                </w:numPr>
                                <w:tabs>
                                  <w:tab w:val="left" w:pos="2186"/>
                                </w:tabs>
                                <w:spacing w:before="22" w:line="208" w:lineRule="exact"/>
                                <w:ind w:left="2186" w:hanging="172"/>
                                <w:rPr>
                                  <w:sz w:val="18"/>
                                </w:rPr>
                              </w:pPr>
                              <w:r>
                                <w:rPr>
                                  <w:w w:val="120"/>
                                  <w:sz w:val="12"/>
                                </w:rPr>
                                <w:t xml:space="preserve">secondary if they can generate a potential impact after a </w:t>
                              </w:r>
                              <w:r>
                                <w:rPr>
                                  <w:spacing w:val="-2"/>
                                  <w:w w:val="120"/>
                                  <w:sz w:val="12"/>
                                </w:rPr>
                                <w:t>certain</w:t>
                              </w:r>
                            </w:p>
                            <w:p w14:paraId="4E29BA52" w14:textId="77777777" w:rsidR="008715BE" w:rsidRDefault="00000000">
                              <w:pPr>
                                <w:spacing w:line="208" w:lineRule="exact"/>
                                <w:ind w:left="2105"/>
                                <w:rPr>
                                  <w:sz w:val="18"/>
                                </w:rPr>
                              </w:pPr>
                              <w:r>
                                <w:rPr>
                                  <w:w w:val="120"/>
                                  <w:sz w:val="12"/>
                                </w:rPr>
                                <w:t xml:space="preserve">period after completion and on another </w:t>
                              </w:r>
                              <w:r>
                                <w:rPr>
                                  <w:spacing w:val="-2"/>
                                  <w:w w:val="120"/>
                                  <w:sz w:val="12"/>
                                </w:rPr>
                                <w:t xml:space="preserve">environmental </w:t>
                              </w:r>
                              <w:r>
                                <w:rPr>
                                  <w:w w:val="120"/>
                                  <w:sz w:val="12"/>
                                </w:rPr>
                                <w:t>factor</w:t>
                              </w:r>
                            </w:p>
                          </w:txbxContent>
                        </wps:txbx>
                        <wps:bodyPr wrap="square" lIns="0" tIns="0" rIns="0" bIns="0" rtlCol="0"/>
                      </wps:wsp>
                    </wpg:wgp>
                  </a:graphicData>
                </a:graphic>
              </wp:anchor>
            </w:drawing>
          </mc:Choice>
          <mc:Fallback>
            <w:pict>
              <v:group w14:anchorId="546E6568" id="Group 367" o:spid="_x0000_s1204" style="position:absolute;margin-left:60.95pt;margin-top:3.35pt;width:438.65pt;height:87.15pt;z-index:-251526144;mso-wrap-distance-left:0;mso-wrap-distance-right:0;mso-position-horizontal-relative:page;mso-position-vertical-relative:text" coordsize="55708,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">
                <v:shape id="Graphic 368" o:spid="_x0000_s1205" style="position:absolute;top:574;width:55708;height:10496;visibility:visible;mso-wrap-style:square;v-text-anchor:top" coordsize="557085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" path="m5465953,l104927,,64084,8229,30732,30686,8245,64025,,104901,,944245r8245,40876l30732,1018460r33352,22457l104927,1049147r5361026,l5506775,1040917r33346,-22457l5562607,985121r8248,-40876l5570855,104901r-8248,-40876l5540121,30686,5506775,8229,5465953,xe" fillcolor="#d9d9d9" stroked="f">
                  <v:path arrowok="t"/>
                </v:shape>
                <v:shape id="Graphic 369" o:spid="_x0000_s1206" style="position:absolute;left:2202;top:796;width:8890;height:8706;visibility:visible;mso-wrap-style:square;v-text-anchor:top" coordsize="889000,87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" path="m143395,786104r-2248,-11697l135001,764870r-9119,-6439l114719,756069r-11164,2362l94449,764870r-6146,9537l86055,786104r2248,11697l94449,807351r9106,6439l114719,816152r11163,-2362l135001,807351r6146,-9550l143395,786104xem273380,786104r-2248,-11697l264985,764870r-9119,-6439l244703,756069r-11163,2362l224434,764870r-6147,9537l216039,786104r2248,11697l224434,807351r9106,6439l244703,816152r11163,-2362l264985,807351r6147,-9550l273380,786104xem403352,786104r-2248,-11697l394957,764870r-9119,-6439l374675,756069r-11151,2362l354406,764870r-6147,9537l346011,786104r2248,11697l354406,807351r9118,6439l374675,816152r11163,-2362l394957,807351r6147,-9550l403352,786104xem533349,786104r-2261,-11697l524954,764870r-9119,-6439l504672,756069r-11163,2362l484403,764870r-6147,9537l475996,786104r2260,11697l484403,807351r9106,6439l504672,816152r11163,-2362l524954,807351r6134,-9550l533349,786104xem619340,786104r-6311,-32740l596404,727544r,58560l591896,809485r-12294,19101l561378,841463r-22327,4725l80289,846188,57962,841463,39738,828586,27444,809485,22936,786104r4508,-23381l39738,743623,57962,730745r22327,-4725l539051,726020r22327,4725l579602,743623r12294,19100l596404,786104r,-58560l595820,726630r-851,-610l570306,708596r-31255,-6604l80289,701992r-31255,6604l23520,726630,6311,753364,,786104r6311,32741l23520,845591r25514,18021l80289,870216r458762,13l570306,863612r24663,-17424l595820,845591r17209,-26746l619340,786104xem888390,430491l877303,383755,865301,362127r,68009l863930,473468r-19647,51461l809815,562940r-45110,22733l713219,589889,766203,309562r65393,41478l854138,387921r11163,42215l865301,362127,854214,342125,821397,309562r-1219,-1219l775322,287337r-18352,-4978l519925,34036,487438,,29387,480009,21793,641908r1816,9335l28524,658876r7290,5156l44729,665937r517258,l603465,646010r8916,-34290l612457,610666,598868,497713r-2896,-24042l589724,421767r,192138l589089,623252r-3785,8141l578954,637540r-8343,3352l44729,641908r,-144195l575754,497713r13970,116192l589724,421767r-6769,-56236l579196,334289r-5144,-16142l573989,317944r-102,-305l572884,316331r,157340l412889,473671r,-108140l559866,365531r12992,107937l572884,473671r,-157340l563689,304355r-6744,-4267l556945,341490r-166992,l389953,473671r-45872,l344081,340296r1803,-9360l350799,323291r7290,-5144l367017,316255r166306,l556945,341490r,-41402l549770,295529r-16447,-3302l367017,292227r-17844,3810l334606,306349r-9829,15253l321144,340296r,133375l67983,473671r63,-203l487438,34036,744080,302895,686168,609320r11239,2400l740359,614641r40767,-8712l812063,589889r5842,-3022l848893,558673r23419,-36030l886345,480009r102,-470l888390,430491xe" fillcolor="#bec7e2" stroked="f">
                  <v:path arrowok="t"/>
                </v:shape>
                <v:shape id="Graphic 370" o:spid="_x0000_s1207" style="position:absolute;left:1088;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" path="m,104139l8183,63597,30500,30495,63602,8181,104139,r905866,l1050548,8181r33101,22314l1105964,63597r8181,40542l1114145,937259r-8181,40543l1083649,1010904r-33101,22314l1010005,1041400r-905866,l63602,1033218,30500,1010904,8183,977802,,937259,,104139xe" filled="f" strokecolor="white" strokeweight="1pt">
                  <v:path arrowok="t"/>
                </v:shape>
                <v:shape id="Textbox 371" o:spid="_x0000_s1208" type="#_x0000_t202" style="position:absolute;width:55708;height:1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422D2D98" w14:textId="77777777" w:rsidR="008715BE" w:rsidRDefault="00000000">
                        <w:pPr>
                          <w:spacing w:before="131"/>
                          <w:ind w:left="2014"/>
                          <w:rPr>
                            <w:b/>
                            <w:sz w:val="18"/>
                          </w:rPr>
                        </w:pPr>
                        <w:r>
                          <w:rPr>
                            <w:b/>
                            <w:w w:val="135"/>
                            <w:sz w:val="12"/>
                          </w:rPr>
                          <w:t xml:space="preserve">Nature </w:t>
                        </w:r>
                        <w:r>
                          <w:rPr>
                            <w:b/>
                            <w:spacing w:val="-2"/>
                            <w:w w:val="135"/>
                            <w:sz w:val="12"/>
                          </w:rPr>
                          <w:t>of the impact</w:t>
                        </w:r>
                      </w:p>
                      <w:p w14:paraId="5A3AF57C" w14:textId="77777777" w:rsidR="008715BE" w:rsidRDefault="00000000">
                        <w:pPr>
                          <w:numPr>
                            <w:ilvl w:val="0"/>
                            <w:numId w:val="58"/>
                          </w:numPr>
                          <w:tabs>
                            <w:tab w:val="left" w:pos="2105"/>
                            <w:tab w:val="left" w:pos="2173"/>
                          </w:tabs>
                          <w:spacing w:before="35" w:line="216" w:lineRule="auto"/>
                          <w:ind w:right="248" w:hanging="92"/>
                          <w:rPr>
                            <w:sz w:val="18"/>
                          </w:rPr>
                        </w:pPr>
                        <w:r>
                          <w:rPr>
                            <w:w w:val="120"/>
                            <w:sz w:val="12"/>
                          </w:rPr>
                          <w:t>direct if the interventions and activities specific to the execution phase can cause immediate changes in local air quality</w:t>
                        </w:r>
                      </w:p>
                      <w:p w14:paraId="22E88B03" w14:textId="77777777" w:rsidR="008715BE" w:rsidRDefault="00000000">
                        <w:pPr>
                          <w:numPr>
                            <w:ilvl w:val="0"/>
                            <w:numId w:val="57"/>
                          </w:numPr>
                          <w:tabs>
                            <w:tab w:val="left" w:pos="2186"/>
                          </w:tabs>
                          <w:spacing w:before="22" w:line="208" w:lineRule="exact"/>
                          <w:ind w:left="2186" w:hanging="172"/>
                          <w:rPr>
                            <w:sz w:val="18"/>
                          </w:rPr>
                        </w:pPr>
                        <w:r>
                          <w:rPr>
                            <w:w w:val="120"/>
                            <w:sz w:val="12"/>
                          </w:rPr>
                          <w:t xml:space="preserve">secondary if they can generate a potential impact after a </w:t>
                        </w:r>
                        <w:r>
                          <w:rPr>
                            <w:spacing w:val="-2"/>
                            <w:w w:val="120"/>
                            <w:sz w:val="12"/>
                          </w:rPr>
                          <w:t>certain</w:t>
                        </w:r>
                      </w:p>
                      <w:p w14:paraId="4E29BA52" w14:textId="77777777" w:rsidR="008715BE" w:rsidRDefault="00000000">
                        <w:pPr>
                          <w:spacing w:line="208" w:lineRule="exact"/>
                          <w:ind w:left="2105"/>
                          <w:rPr>
                            <w:sz w:val="18"/>
                          </w:rPr>
                        </w:pPr>
                        <w:r>
                          <w:rPr>
                            <w:w w:val="120"/>
                            <w:sz w:val="12"/>
                          </w:rPr>
                          <w:t xml:space="preserve">period after completion and on another </w:t>
                        </w:r>
                        <w:r>
                          <w:rPr>
                            <w:spacing w:val="-2"/>
                            <w:w w:val="120"/>
                            <w:sz w:val="12"/>
                          </w:rPr>
                          <w:t xml:space="preserve">environmental </w:t>
                        </w:r>
                        <w:r>
                          <w:rPr>
                            <w:w w:val="120"/>
                            <w:sz w:val="12"/>
                          </w:rPr>
                          <w:t>factor</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92384" behindDoc="1" locked="0" layoutInCell="1" allowOverlap="1" wp14:anchorId="566D2030" wp14:editId="3378AD3A">
                <wp:simplePos x="0" y="0"/>
                <wp:positionH relativeFrom="page">
                  <wp:posOffset>774065</wp:posOffset>
                </wp:positionH>
                <wp:positionV relativeFrom="paragraph">
                  <wp:posOffset>1279525</wp:posOffset>
                </wp:positionV>
                <wp:extent cx="5570855" cy="1153160"/>
                <wp:effectExtent l="0" t="0" r="0" b="0"/>
                <wp:wrapTopAndBottom/>
                <wp:docPr id="372" name="Group 372"/>
                <wp:cNvGraphicFramePr/>
                <a:graphic xmlns:a="http://schemas.openxmlformats.org/drawingml/2006/main">
                  <a:graphicData uri="http://schemas.microsoft.com/office/word/2010/wordprocessingGroup">
                    <wpg:wgp>
                      <wpg:cNvGrpSpPr/>
                      <wpg:grpSpPr>
                        <a:xfrm>
                          <a:off x="0" y="0"/>
                          <a:ext cx="5570855" cy="1153160"/>
                          <a:chOff x="0" y="0"/>
                          <a:chExt cx="5570855" cy="1153160"/>
                        </a:xfrm>
                      </wpg:grpSpPr>
                      <wps:wsp>
                        <wps:cNvPr id="373" name="Graphic 373"/>
                        <wps:cNvSpPr/>
                        <wps:spPr>
                          <a:xfrm>
                            <a:off x="0" y="0"/>
                            <a:ext cx="5570855" cy="1153160"/>
                          </a:xfrm>
                          <a:custGeom>
                            <a:avLst/>
                            <a:gdLst/>
                            <a:ahLst/>
                            <a:cxnLst/>
                            <a:rect l="l" t="t" r="r" b="b"/>
                            <a:pathLst>
                              <a:path w="5570855" h="1153160">
                                <a:moveTo>
                                  <a:pt x="5455539" y="0"/>
                                </a:moveTo>
                                <a:lnTo>
                                  <a:pt x="115290" y="0"/>
                                </a:lnTo>
                                <a:lnTo>
                                  <a:pt x="70412" y="9070"/>
                                </a:lnTo>
                                <a:lnTo>
                                  <a:pt x="33766" y="33797"/>
                                </a:lnTo>
                                <a:lnTo>
                                  <a:pt x="9059" y="70455"/>
                                </a:lnTo>
                                <a:lnTo>
                                  <a:pt x="0" y="115315"/>
                                </a:lnTo>
                                <a:lnTo>
                                  <a:pt x="0" y="1037589"/>
                                </a:lnTo>
                                <a:lnTo>
                                  <a:pt x="9059" y="1082504"/>
                                </a:lnTo>
                                <a:lnTo>
                                  <a:pt x="33766" y="1119155"/>
                                </a:lnTo>
                                <a:lnTo>
                                  <a:pt x="70412" y="1143853"/>
                                </a:lnTo>
                                <a:lnTo>
                                  <a:pt x="115290" y="1152905"/>
                                </a:lnTo>
                                <a:lnTo>
                                  <a:pt x="5455539" y="1152905"/>
                                </a:lnTo>
                                <a:lnTo>
                                  <a:pt x="5500453" y="1143853"/>
                                </a:lnTo>
                                <a:lnTo>
                                  <a:pt x="5537104" y="1119155"/>
                                </a:lnTo>
                                <a:lnTo>
                                  <a:pt x="5561802" y="1082504"/>
                                </a:lnTo>
                                <a:lnTo>
                                  <a:pt x="5570855" y="1037589"/>
                                </a:lnTo>
                                <a:lnTo>
                                  <a:pt x="5570855" y="115315"/>
                                </a:lnTo>
                                <a:lnTo>
                                  <a:pt x="5561802" y="70455"/>
                                </a:lnTo>
                                <a:lnTo>
                                  <a:pt x="5537104" y="33797"/>
                                </a:lnTo>
                                <a:lnTo>
                                  <a:pt x="5500453" y="9070"/>
                                </a:lnTo>
                                <a:lnTo>
                                  <a:pt x="5455539" y="0"/>
                                </a:lnTo>
                                <a:close/>
                              </a:path>
                            </a:pathLst>
                          </a:custGeom>
                          <a:solidFill>
                            <a:srgbClr val="BCD6ED"/>
                          </a:solidFill>
                        </wps:spPr>
                        <wps:bodyPr wrap="square" lIns="0" tIns="0" rIns="0" bIns="0" rtlCol="0">
                          <a:prstTxWarp prst="textNoShape">
                            <a:avLst/>
                          </a:prstTxWarp>
                        </wps:bodyPr>
                      </wps:wsp>
                      <wps:wsp>
                        <wps:cNvPr id="374" name="Graphic 374"/>
                        <wps:cNvSpPr/>
                        <wps:spPr>
                          <a:xfrm>
                            <a:off x="234175" y="173253"/>
                            <a:ext cx="848994" cy="745490"/>
                          </a:xfrm>
                          <a:custGeom>
                            <a:avLst/>
                            <a:gdLst/>
                            <a:ahLst/>
                            <a:cxnLst/>
                            <a:rect l="l" t="t" r="r" b="b"/>
                            <a:pathLst>
                              <a:path w="848994" h="745490">
                                <a:moveTo>
                                  <a:pt x="126174" y="552970"/>
                                </a:moveTo>
                                <a:lnTo>
                                  <a:pt x="80302" y="552970"/>
                                </a:lnTo>
                                <a:lnTo>
                                  <a:pt x="80302" y="601052"/>
                                </a:lnTo>
                                <a:lnTo>
                                  <a:pt x="126174" y="601052"/>
                                </a:lnTo>
                                <a:lnTo>
                                  <a:pt x="126174" y="552970"/>
                                </a:lnTo>
                                <a:close/>
                              </a:path>
                              <a:path w="848994" h="745490">
                                <a:moveTo>
                                  <a:pt x="126174" y="456628"/>
                                </a:moveTo>
                                <a:lnTo>
                                  <a:pt x="80302" y="456628"/>
                                </a:lnTo>
                                <a:lnTo>
                                  <a:pt x="80302" y="504710"/>
                                </a:lnTo>
                                <a:lnTo>
                                  <a:pt x="126174" y="504710"/>
                                </a:lnTo>
                                <a:lnTo>
                                  <a:pt x="126174" y="456628"/>
                                </a:lnTo>
                                <a:close/>
                              </a:path>
                              <a:path w="848994" h="745490">
                                <a:moveTo>
                                  <a:pt x="126174" y="360502"/>
                                </a:moveTo>
                                <a:lnTo>
                                  <a:pt x="80302" y="360502"/>
                                </a:lnTo>
                                <a:lnTo>
                                  <a:pt x="80302" y="408571"/>
                                </a:lnTo>
                                <a:lnTo>
                                  <a:pt x="126174" y="408571"/>
                                </a:lnTo>
                                <a:lnTo>
                                  <a:pt x="126174" y="360502"/>
                                </a:lnTo>
                                <a:close/>
                              </a:path>
                              <a:path w="848994" h="745490">
                                <a:moveTo>
                                  <a:pt x="217932" y="552970"/>
                                </a:moveTo>
                                <a:lnTo>
                                  <a:pt x="172046" y="552970"/>
                                </a:lnTo>
                                <a:lnTo>
                                  <a:pt x="172046" y="601052"/>
                                </a:lnTo>
                                <a:lnTo>
                                  <a:pt x="217932" y="601052"/>
                                </a:lnTo>
                                <a:lnTo>
                                  <a:pt x="217932" y="552970"/>
                                </a:lnTo>
                                <a:close/>
                              </a:path>
                              <a:path w="848994" h="745490">
                                <a:moveTo>
                                  <a:pt x="217932" y="456628"/>
                                </a:moveTo>
                                <a:lnTo>
                                  <a:pt x="172046" y="456628"/>
                                </a:lnTo>
                                <a:lnTo>
                                  <a:pt x="172046" y="504710"/>
                                </a:lnTo>
                                <a:lnTo>
                                  <a:pt x="217932" y="504710"/>
                                </a:lnTo>
                                <a:lnTo>
                                  <a:pt x="217932" y="456628"/>
                                </a:lnTo>
                                <a:close/>
                              </a:path>
                              <a:path w="848994" h="745490">
                                <a:moveTo>
                                  <a:pt x="217932" y="360502"/>
                                </a:moveTo>
                                <a:lnTo>
                                  <a:pt x="172046" y="360502"/>
                                </a:lnTo>
                                <a:lnTo>
                                  <a:pt x="172046" y="408571"/>
                                </a:lnTo>
                                <a:lnTo>
                                  <a:pt x="217932" y="408571"/>
                                </a:lnTo>
                                <a:lnTo>
                                  <a:pt x="217932" y="360502"/>
                                </a:lnTo>
                                <a:close/>
                              </a:path>
                              <a:path w="848994" h="745490">
                                <a:moveTo>
                                  <a:pt x="252323" y="180454"/>
                                </a:moveTo>
                                <a:lnTo>
                                  <a:pt x="206451" y="180454"/>
                                </a:lnTo>
                                <a:lnTo>
                                  <a:pt x="206451" y="228536"/>
                                </a:lnTo>
                                <a:lnTo>
                                  <a:pt x="252323" y="228536"/>
                                </a:lnTo>
                                <a:lnTo>
                                  <a:pt x="252323" y="180454"/>
                                </a:lnTo>
                                <a:close/>
                              </a:path>
                              <a:path w="848994" h="745490">
                                <a:moveTo>
                                  <a:pt x="252323" y="84112"/>
                                </a:moveTo>
                                <a:lnTo>
                                  <a:pt x="206451" y="84112"/>
                                </a:lnTo>
                                <a:lnTo>
                                  <a:pt x="206451" y="132194"/>
                                </a:lnTo>
                                <a:lnTo>
                                  <a:pt x="252323" y="132194"/>
                                </a:lnTo>
                                <a:lnTo>
                                  <a:pt x="252323" y="84112"/>
                                </a:lnTo>
                                <a:close/>
                              </a:path>
                              <a:path w="848994" h="745490">
                                <a:moveTo>
                                  <a:pt x="344081" y="180454"/>
                                </a:moveTo>
                                <a:lnTo>
                                  <a:pt x="298208" y="180454"/>
                                </a:lnTo>
                                <a:lnTo>
                                  <a:pt x="298208" y="228536"/>
                                </a:lnTo>
                                <a:lnTo>
                                  <a:pt x="344081" y="228536"/>
                                </a:lnTo>
                                <a:lnTo>
                                  <a:pt x="344081" y="180454"/>
                                </a:lnTo>
                                <a:close/>
                              </a:path>
                              <a:path w="848994" h="745490">
                                <a:moveTo>
                                  <a:pt x="344081" y="84112"/>
                                </a:moveTo>
                                <a:lnTo>
                                  <a:pt x="298208" y="84112"/>
                                </a:lnTo>
                                <a:lnTo>
                                  <a:pt x="298208" y="132194"/>
                                </a:lnTo>
                                <a:lnTo>
                                  <a:pt x="344081" y="132194"/>
                                </a:lnTo>
                                <a:lnTo>
                                  <a:pt x="344081" y="84112"/>
                                </a:lnTo>
                                <a:close/>
                              </a:path>
                              <a:path w="848994" h="745490">
                                <a:moveTo>
                                  <a:pt x="401421" y="552970"/>
                                </a:moveTo>
                                <a:lnTo>
                                  <a:pt x="355549" y="552970"/>
                                </a:lnTo>
                                <a:lnTo>
                                  <a:pt x="355549" y="601052"/>
                                </a:lnTo>
                                <a:lnTo>
                                  <a:pt x="401421" y="601052"/>
                                </a:lnTo>
                                <a:lnTo>
                                  <a:pt x="401421" y="552970"/>
                                </a:lnTo>
                                <a:close/>
                              </a:path>
                              <a:path w="848994" h="745490">
                                <a:moveTo>
                                  <a:pt x="401421" y="456628"/>
                                </a:moveTo>
                                <a:lnTo>
                                  <a:pt x="355549" y="456628"/>
                                </a:lnTo>
                                <a:lnTo>
                                  <a:pt x="355549" y="504710"/>
                                </a:lnTo>
                                <a:lnTo>
                                  <a:pt x="401421" y="504710"/>
                                </a:lnTo>
                                <a:lnTo>
                                  <a:pt x="401421" y="456628"/>
                                </a:lnTo>
                                <a:close/>
                              </a:path>
                              <a:path w="848994" h="745490">
                                <a:moveTo>
                                  <a:pt x="493179" y="552970"/>
                                </a:moveTo>
                                <a:lnTo>
                                  <a:pt x="447306" y="552970"/>
                                </a:lnTo>
                                <a:lnTo>
                                  <a:pt x="447306" y="601052"/>
                                </a:lnTo>
                                <a:lnTo>
                                  <a:pt x="493179" y="601052"/>
                                </a:lnTo>
                                <a:lnTo>
                                  <a:pt x="493179" y="552970"/>
                                </a:lnTo>
                                <a:close/>
                              </a:path>
                              <a:path w="848994" h="745490">
                                <a:moveTo>
                                  <a:pt x="493179" y="456628"/>
                                </a:moveTo>
                                <a:lnTo>
                                  <a:pt x="447306" y="456628"/>
                                </a:lnTo>
                                <a:lnTo>
                                  <a:pt x="447306" y="504710"/>
                                </a:lnTo>
                                <a:lnTo>
                                  <a:pt x="493179" y="504710"/>
                                </a:lnTo>
                                <a:lnTo>
                                  <a:pt x="493179" y="456628"/>
                                </a:lnTo>
                                <a:close/>
                              </a:path>
                              <a:path w="848994" h="745490">
                                <a:moveTo>
                                  <a:pt x="676681" y="552970"/>
                                </a:moveTo>
                                <a:lnTo>
                                  <a:pt x="630809" y="552970"/>
                                </a:lnTo>
                                <a:lnTo>
                                  <a:pt x="630809" y="601052"/>
                                </a:lnTo>
                                <a:lnTo>
                                  <a:pt x="676681" y="601052"/>
                                </a:lnTo>
                                <a:lnTo>
                                  <a:pt x="676681" y="552970"/>
                                </a:lnTo>
                                <a:close/>
                              </a:path>
                              <a:path w="848994" h="745490">
                                <a:moveTo>
                                  <a:pt x="676681" y="456628"/>
                                </a:moveTo>
                                <a:lnTo>
                                  <a:pt x="630809" y="456628"/>
                                </a:lnTo>
                                <a:lnTo>
                                  <a:pt x="630809" y="504710"/>
                                </a:lnTo>
                                <a:lnTo>
                                  <a:pt x="676681" y="504710"/>
                                </a:lnTo>
                                <a:lnTo>
                                  <a:pt x="676681" y="456628"/>
                                </a:lnTo>
                                <a:close/>
                              </a:path>
                              <a:path w="848994" h="745490">
                                <a:moveTo>
                                  <a:pt x="676681" y="360502"/>
                                </a:moveTo>
                                <a:lnTo>
                                  <a:pt x="630809" y="360502"/>
                                </a:lnTo>
                                <a:lnTo>
                                  <a:pt x="630809" y="408571"/>
                                </a:lnTo>
                                <a:lnTo>
                                  <a:pt x="676681" y="408571"/>
                                </a:lnTo>
                                <a:lnTo>
                                  <a:pt x="676681" y="360502"/>
                                </a:lnTo>
                                <a:close/>
                              </a:path>
                              <a:path w="848994" h="745490">
                                <a:moveTo>
                                  <a:pt x="676681" y="264579"/>
                                </a:moveTo>
                                <a:lnTo>
                                  <a:pt x="630809" y="264579"/>
                                </a:lnTo>
                                <a:lnTo>
                                  <a:pt x="630809" y="312648"/>
                                </a:lnTo>
                                <a:lnTo>
                                  <a:pt x="676681" y="312648"/>
                                </a:lnTo>
                                <a:lnTo>
                                  <a:pt x="676681" y="264579"/>
                                </a:lnTo>
                                <a:close/>
                              </a:path>
                              <a:path w="848994" h="745490">
                                <a:moveTo>
                                  <a:pt x="676681" y="168236"/>
                                </a:moveTo>
                                <a:lnTo>
                                  <a:pt x="630809" y="168236"/>
                                </a:lnTo>
                                <a:lnTo>
                                  <a:pt x="630809" y="216306"/>
                                </a:lnTo>
                                <a:lnTo>
                                  <a:pt x="676681" y="216306"/>
                                </a:lnTo>
                                <a:lnTo>
                                  <a:pt x="676681" y="168236"/>
                                </a:lnTo>
                                <a:close/>
                              </a:path>
                              <a:path w="848994" h="745490">
                                <a:moveTo>
                                  <a:pt x="768438" y="552970"/>
                                </a:moveTo>
                                <a:lnTo>
                                  <a:pt x="722566" y="552970"/>
                                </a:lnTo>
                                <a:lnTo>
                                  <a:pt x="722566" y="601052"/>
                                </a:lnTo>
                                <a:lnTo>
                                  <a:pt x="768438" y="601052"/>
                                </a:lnTo>
                                <a:lnTo>
                                  <a:pt x="768438" y="552970"/>
                                </a:lnTo>
                                <a:close/>
                              </a:path>
                              <a:path w="848994" h="745490">
                                <a:moveTo>
                                  <a:pt x="768438" y="456628"/>
                                </a:moveTo>
                                <a:lnTo>
                                  <a:pt x="722566" y="456628"/>
                                </a:lnTo>
                                <a:lnTo>
                                  <a:pt x="722566" y="504710"/>
                                </a:lnTo>
                                <a:lnTo>
                                  <a:pt x="768438" y="504710"/>
                                </a:lnTo>
                                <a:lnTo>
                                  <a:pt x="768438" y="456628"/>
                                </a:lnTo>
                                <a:close/>
                              </a:path>
                              <a:path w="848994" h="745490">
                                <a:moveTo>
                                  <a:pt x="768438" y="360502"/>
                                </a:moveTo>
                                <a:lnTo>
                                  <a:pt x="722566" y="360502"/>
                                </a:lnTo>
                                <a:lnTo>
                                  <a:pt x="722566" y="408571"/>
                                </a:lnTo>
                                <a:lnTo>
                                  <a:pt x="768438" y="408571"/>
                                </a:lnTo>
                                <a:lnTo>
                                  <a:pt x="768438" y="360502"/>
                                </a:lnTo>
                                <a:close/>
                              </a:path>
                              <a:path w="848994" h="745490">
                                <a:moveTo>
                                  <a:pt x="768438" y="264579"/>
                                </a:moveTo>
                                <a:lnTo>
                                  <a:pt x="722566" y="264579"/>
                                </a:lnTo>
                                <a:lnTo>
                                  <a:pt x="722566" y="312648"/>
                                </a:lnTo>
                                <a:lnTo>
                                  <a:pt x="768438" y="312648"/>
                                </a:lnTo>
                                <a:lnTo>
                                  <a:pt x="768438" y="264579"/>
                                </a:lnTo>
                                <a:close/>
                              </a:path>
                              <a:path w="848994" h="745490">
                                <a:moveTo>
                                  <a:pt x="768438" y="168236"/>
                                </a:moveTo>
                                <a:lnTo>
                                  <a:pt x="722566" y="168236"/>
                                </a:lnTo>
                                <a:lnTo>
                                  <a:pt x="722566" y="216306"/>
                                </a:lnTo>
                                <a:lnTo>
                                  <a:pt x="768438" y="216306"/>
                                </a:lnTo>
                                <a:lnTo>
                                  <a:pt x="768438" y="168236"/>
                                </a:lnTo>
                                <a:close/>
                              </a:path>
                              <a:path w="848994" h="745490">
                                <a:moveTo>
                                  <a:pt x="848690" y="97536"/>
                                </a:moveTo>
                                <a:lnTo>
                                  <a:pt x="825754" y="94538"/>
                                </a:lnTo>
                                <a:lnTo>
                                  <a:pt x="825754" y="118757"/>
                                </a:lnTo>
                                <a:lnTo>
                                  <a:pt x="825754" y="720991"/>
                                </a:lnTo>
                                <a:lnTo>
                                  <a:pt x="722566" y="720991"/>
                                </a:lnTo>
                                <a:lnTo>
                                  <a:pt x="722566" y="648893"/>
                                </a:lnTo>
                                <a:lnTo>
                                  <a:pt x="676681" y="648893"/>
                                </a:lnTo>
                                <a:lnTo>
                                  <a:pt x="676681" y="720991"/>
                                </a:lnTo>
                                <a:lnTo>
                                  <a:pt x="573468" y="720991"/>
                                </a:lnTo>
                                <a:lnTo>
                                  <a:pt x="573468" y="396544"/>
                                </a:lnTo>
                                <a:lnTo>
                                  <a:pt x="573468" y="372516"/>
                                </a:lnTo>
                                <a:lnTo>
                                  <a:pt x="573468" y="85712"/>
                                </a:lnTo>
                                <a:lnTo>
                                  <a:pt x="825754" y="118757"/>
                                </a:lnTo>
                                <a:lnTo>
                                  <a:pt x="825754" y="94538"/>
                                </a:lnTo>
                                <a:lnTo>
                                  <a:pt x="758405" y="85712"/>
                                </a:lnTo>
                                <a:lnTo>
                                  <a:pt x="550519" y="58483"/>
                                </a:lnTo>
                                <a:lnTo>
                                  <a:pt x="550519" y="372516"/>
                                </a:lnTo>
                                <a:lnTo>
                                  <a:pt x="550519" y="396544"/>
                                </a:lnTo>
                                <a:lnTo>
                                  <a:pt x="550519" y="720991"/>
                                </a:lnTo>
                                <a:lnTo>
                                  <a:pt x="447306" y="720991"/>
                                </a:lnTo>
                                <a:lnTo>
                                  <a:pt x="447306" y="648893"/>
                                </a:lnTo>
                                <a:lnTo>
                                  <a:pt x="401421" y="648893"/>
                                </a:lnTo>
                                <a:lnTo>
                                  <a:pt x="401421" y="720991"/>
                                </a:lnTo>
                                <a:lnTo>
                                  <a:pt x="298208" y="720991"/>
                                </a:lnTo>
                                <a:lnTo>
                                  <a:pt x="298208" y="396544"/>
                                </a:lnTo>
                                <a:lnTo>
                                  <a:pt x="550519" y="396544"/>
                                </a:lnTo>
                                <a:lnTo>
                                  <a:pt x="550519" y="372516"/>
                                </a:lnTo>
                                <a:lnTo>
                                  <a:pt x="424357" y="372516"/>
                                </a:lnTo>
                                <a:lnTo>
                                  <a:pt x="424357" y="24041"/>
                                </a:lnTo>
                                <a:lnTo>
                                  <a:pt x="424357" y="0"/>
                                </a:lnTo>
                                <a:lnTo>
                                  <a:pt x="126161" y="0"/>
                                </a:lnTo>
                                <a:lnTo>
                                  <a:pt x="126161" y="276377"/>
                                </a:lnTo>
                                <a:lnTo>
                                  <a:pt x="149098" y="276377"/>
                                </a:lnTo>
                                <a:lnTo>
                                  <a:pt x="149098" y="24041"/>
                                </a:lnTo>
                                <a:lnTo>
                                  <a:pt x="401421" y="24041"/>
                                </a:lnTo>
                                <a:lnTo>
                                  <a:pt x="401421" y="372516"/>
                                </a:lnTo>
                                <a:lnTo>
                                  <a:pt x="298208" y="372516"/>
                                </a:lnTo>
                                <a:lnTo>
                                  <a:pt x="298208" y="300418"/>
                                </a:lnTo>
                                <a:lnTo>
                                  <a:pt x="298208" y="276390"/>
                                </a:lnTo>
                                <a:lnTo>
                                  <a:pt x="275259" y="276390"/>
                                </a:lnTo>
                                <a:lnTo>
                                  <a:pt x="275259" y="300418"/>
                                </a:lnTo>
                                <a:lnTo>
                                  <a:pt x="275259" y="720991"/>
                                </a:lnTo>
                                <a:lnTo>
                                  <a:pt x="172046" y="720991"/>
                                </a:lnTo>
                                <a:lnTo>
                                  <a:pt x="172046" y="648893"/>
                                </a:lnTo>
                                <a:lnTo>
                                  <a:pt x="126161" y="648893"/>
                                </a:lnTo>
                                <a:lnTo>
                                  <a:pt x="126161" y="720991"/>
                                </a:lnTo>
                                <a:lnTo>
                                  <a:pt x="22948" y="720991"/>
                                </a:lnTo>
                                <a:lnTo>
                                  <a:pt x="22948" y="300418"/>
                                </a:lnTo>
                                <a:lnTo>
                                  <a:pt x="275259" y="300418"/>
                                </a:lnTo>
                                <a:lnTo>
                                  <a:pt x="275259" y="276390"/>
                                </a:lnTo>
                                <a:lnTo>
                                  <a:pt x="0" y="276377"/>
                                </a:lnTo>
                                <a:lnTo>
                                  <a:pt x="0" y="745032"/>
                                </a:lnTo>
                                <a:lnTo>
                                  <a:pt x="848690" y="745032"/>
                                </a:lnTo>
                                <a:lnTo>
                                  <a:pt x="848690" y="720991"/>
                                </a:lnTo>
                                <a:lnTo>
                                  <a:pt x="848690" y="97536"/>
                                </a:lnTo>
                                <a:close/>
                              </a:path>
                            </a:pathLst>
                          </a:custGeom>
                          <a:solidFill>
                            <a:srgbClr val="BCC5E2"/>
                          </a:solidFill>
                        </wps:spPr>
                        <wps:bodyPr wrap="square" lIns="0" tIns="0" rIns="0" bIns="0" rtlCol="0">
                          <a:prstTxWarp prst="textNoShape">
                            <a:avLst/>
                          </a:prstTxWarp>
                        </wps:bodyPr>
                      </wps:wsp>
                      <wps:wsp>
                        <wps:cNvPr id="375" name="Graphic 375"/>
                        <wps:cNvSpPr/>
                        <wps:spPr>
                          <a:xfrm>
                            <a:off x="99872" y="22859"/>
                            <a:ext cx="1114425" cy="1041400"/>
                          </a:xfrm>
                          <a:custGeom>
                            <a:avLst/>
                            <a:gdLst/>
                            <a:ahLst/>
                            <a:cxnLst/>
                            <a:rect l="l" t="t" r="r" b="b"/>
                            <a:pathLst>
                              <a:path w="1114425" h="1041400">
                                <a:moveTo>
                                  <a:pt x="0" y="104140"/>
                                </a:moveTo>
                                <a:lnTo>
                                  <a:pt x="8183" y="63597"/>
                                </a:lnTo>
                                <a:lnTo>
                                  <a:pt x="30500" y="30495"/>
                                </a:lnTo>
                                <a:lnTo>
                                  <a:pt x="63602" y="8181"/>
                                </a:lnTo>
                                <a:lnTo>
                                  <a:pt x="104140" y="0"/>
                                </a:lnTo>
                                <a:lnTo>
                                  <a:pt x="1009980" y="0"/>
                                </a:lnTo>
                                <a:lnTo>
                                  <a:pt x="1050522" y="8181"/>
                                </a:lnTo>
                                <a:lnTo>
                                  <a:pt x="1083624" y="30495"/>
                                </a:lnTo>
                                <a:lnTo>
                                  <a:pt x="1105938" y="63597"/>
                                </a:lnTo>
                                <a:lnTo>
                                  <a:pt x="1114120" y="104140"/>
                                </a:lnTo>
                                <a:lnTo>
                                  <a:pt x="1114120" y="937260"/>
                                </a:lnTo>
                                <a:lnTo>
                                  <a:pt x="1105938" y="977749"/>
                                </a:lnTo>
                                <a:lnTo>
                                  <a:pt x="1083624" y="1010856"/>
                                </a:lnTo>
                                <a:lnTo>
                                  <a:pt x="1050522" y="1033200"/>
                                </a:lnTo>
                                <a:lnTo>
                                  <a:pt x="1009980" y="1041400"/>
                                </a:lnTo>
                                <a:lnTo>
                                  <a:pt x="104140" y="1041400"/>
                                </a:lnTo>
                                <a:lnTo>
                                  <a:pt x="63602" y="1033200"/>
                                </a:lnTo>
                                <a:lnTo>
                                  <a:pt x="30500" y="1010856"/>
                                </a:lnTo>
                                <a:lnTo>
                                  <a:pt x="8183" y="977749"/>
                                </a:lnTo>
                                <a:lnTo>
                                  <a:pt x="0" y="937260"/>
                                </a:lnTo>
                                <a:lnTo>
                                  <a:pt x="0" y="104140"/>
                                </a:lnTo>
                                <a:close/>
                              </a:path>
                            </a:pathLst>
                          </a:custGeom>
                          <a:ln w="12700">
                            <a:solidFill>
                              <a:srgbClr val="FFFFFF"/>
                            </a:solidFill>
                            <a:prstDash val="solid"/>
                          </a:ln>
                        </wps:spPr>
                        <wps:bodyPr wrap="square" lIns="0" tIns="0" rIns="0" bIns="0" rtlCol="0">
                          <a:prstTxWarp prst="textNoShape">
                            <a:avLst/>
                          </a:prstTxWarp>
                        </wps:bodyPr>
                      </wps:wsp>
                      <wps:wsp>
                        <wps:cNvPr id="376" name="Textbox 376"/>
                        <wps:cNvSpPr txBox="1"/>
                        <wps:spPr>
                          <a:xfrm>
                            <a:off x="0" y="0"/>
                            <a:ext cx="5570855" cy="1153160"/>
                          </a:xfrm>
                          <a:prstGeom prst="rect">
                            <a:avLst/>
                          </a:prstGeom>
                        </wps:spPr>
                        <wps:txbx>
                          <w:txbxContent>
                            <w:p w14:paraId="22232C70" w14:textId="77777777" w:rsidR="008715BE" w:rsidRDefault="008715BE">
                              <w:pPr>
                                <w:spacing w:before="123"/>
                                <w:rPr>
                                  <w:sz w:val="18"/>
                                </w:rPr>
                              </w:pPr>
                            </w:p>
                            <w:p w14:paraId="3A6C8799" w14:textId="77777777" w:rsidR="008715BE" w:rsidRDefault="00000000">
                              <w:pPr>
                                <w:ind w:left="2014"/>
                                <w:rPr>
                                  <w:b/>
                                  <w:sz w:val="18"/>
                                </w:rPr>
                              </w:pPr>
                              <w:r>
                                <w:rPr>
                                  <w:b/>
                                  <w:w w:val="135"/>
                                  <w:sz w:val="12"/>
                                </w:rPr>
                                <w:t xml:space="preserve">Extent </w:t>
                              </w:r>
                              <w:r>
                                <w:rPr>
                                  <w:b/>
                                  <w:spacing w:val="-2"/>
                                  <w:w w:val="135"/>
                                  <w:sz w:val="12"/>
                                </w:rPr>
                                <w:t>of impact</w:t>
                              </w:r>
                            </w:p>
                            <w:p w14:paraId="709ADA49" w14:textId="77777777" w:rsidR="008715BE" w:rsidRDefault="00000000">
                              <w:pPr>
                                <w:numPr>
                                  <w:ilvl w:val="0"/>
                                  <w:numId w:val="56"/>
                                </w:numPr>
                                <w:tabs>
                                  <w:tab w:val="left" w:pos="2186"/>
                                </w:tabs>
                                <w:spacing w:before="18"/>
                                <w:ind w:left="2186" w:hanging="172"/>
                                <w:rPr>
                                  <w:sz w:val="18"/>
                                </w:rPr>
                              </w:pPr>
                              <w:r>
                                <w:rPr>
                                  <w:w w:val="120"/>
                                  <w:sz w:val="12"/>
                                </w:rPr>
                                <w:t xml:space="preserve">Local: for specific works at the local </w:t>
                              </w:r>
                              <w:r>
                                <w:rPr>
                                  <w:spacing w:val="-5"/>
                                  <w:w w:val="120"/>
                                  <w:sz w:val="12"/>
                                </w:rPr>
                                <w:t xml:space="preserve">administrative unit </w:t>
                              </w:r>
                              <w:r>
                                <w:rPr>
                                  <w:w w:val="120"/>
                                  <w:sz w:val="12"/>
                                </w:rPr>
                                <w:t>level</w:t>
                              </w:r>
                            </w:p>
                            <w:p w14:paraId="7FB51D53" w14:textId="77777777" w:rsidR="008715BE" w:rsidRDefault="00000000">
                              <w:pPr>
                                <w:numPr>
                                  <w:ilvl w:val="0"/>
                                  <w:numId w:val="56"/>
                                </w:numPr>
                                <w:tabs>
                                  <w:tab w:val="left" w:pos="2186"/>
                                </w:tabs>
                                <w:spacing w:before="35" w:line="216" w:lineRule="auto"/>
                                <w:ind w:right="294" w:firstLine="0"/>
                                <w:rPr>
                                  <w:sz w:val="18"/>
                                </w:rPr>
                              </w:pPr>
                              <w:r>
                                <w:rPr>
                                  <w:w w:val="120"/>
                                  <w:sz w:val="12"/>
                                </w:rPr>
                                <w:t xml:space="preserve">Regional: for linear works that can be carried out across several </w:t>
                              </w:r>
                              <w:r>
                                <w:rPr>
                                  <w:spacing w:val="-2"/>
                                  <w:w w:val="120"/>
                                  <w:sz w:val="12"/>
                                </w:rPr>
                                <w:t>local administrative units.</w:t>
                              </w:r>
                            </w:p>
                          </w:txbxContent>
                        </wps:txbx>
                        <wps:bodyPr wrap="square" lIns="0" tIns="0" rIns="0" bIns="0" rtlCol="0"/>
                      </wps:wsp>
                    </wpg:wgp>
                  </a:graphicData>
                </a:graphic>
              </wp:anchor>
            </w:drawing>
          </mc:Choice>
          <mc:Fallback>
            <w:pict>
              <v:group w14:anchorId="566D2030" id="Group 372" o:spid="_x0000_s1209" style="position:absolute;margin-left:60.95pt;margin-top:100.75pt;width:438.65pt;height:90.8pt;z-index:-251524096;mso-wrap-distance-left:0;mso-wrap-distance-right:0;mso-position-horizontal-relative:page;mso-position-vertical-relative:text" coordsize="55708,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">
                <v:shape id="Graphic 373" o:spid="_x0000_s1210" style="position:absolute;width:55708;height:11531;visibility:visible;mso-wrap-style:square;v-text-anchor:top" coordsize="5570855,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" path="m5455539,l115290,,70412,9070,33766,33797,9059,70455,,115315r,922274l9059,1082504r24707,36651l70412,1143853r44878,9052l5455539,1152905r44914,-9052l5537104,1119155r24698,-36651l5570855,1037589r,-922274l5561802,70455,5537104,33797,5500453,9070,5455539,xe" fillcolor="#bcd6ed" stroked="f">
                  <v:path arrowok="t"/>
                </v:shape>
                <v:shape id="Graphic 374" o:spid="_x0000_s1211" style="position:absolute;left:2341;top:1732;width:8490;height:7455;visibility:visible;mso-wrap-style:square;v-text-anchor:top" coordsize="848994,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" path="m126174,552970r-45872,l80302,601052r45872,l126174,552970xem126174,456628r-45872,l80302,504710r45872,l126174,456628xem126174,360502r-45872,l80302,408571r45872,l126174,360502xem217932,552970r-45886,l172046,601052r45886,l217932,552970xem217932,456628r-45886,l172046,504710r45886,l217932,456628xem217932,360502r-45886,l172046,408571r45886,l217932,360502xem252323,180454r-45872,l206451,228536r45872,l252323,180454xem252323,84112r-45872,l206451,132194r45872,l252323,84112xem344081,180454r-45873,l298208,228536r45873,l344081,180454xem344081,84112r-45873,l298208,132194r45873,l344081,84112xem401421,552970r-45872,l355549,601052r45872,l401421,552970xem401421,456628r-45872,l355549,504710r45872,l401421,456628xem493179,552970r-45873,l447306,601052r45873,l493179,552970xem493179,456628r-45873,l447306,504710r45873,l493179,456628xem676681,552970r-45872,l630809,601052r45872,l676681,552970xem676681,456628r-45872,l630809,504710r45872,l676681,456628xem676681,360502r-45872,l630809,408571r45872,l676681,360502xem676681,264579r-45872,l630809,312648r45872,l676681,264579xem676681,168236r-45872,l630809,216306r45872,l676681,168236xem768438,552970r-45872,l722566,601052r45872,l768438,552970xem768438,456628r-45872,l722566,504710r45872,l768438,456628xem768438,360502r-45872,l722566,408571r45872,l768438,360502xem768438,264579r-45872,l722566,312648r45872,l768438,264579xem768438,168236r-45872,l722566,216306r45872,l768438,168236xem848690,97536l825754,94538r,24219l825754,720991r-103188,l722566,648893r-45885,l676681,720991r-103213,l573468,396544r,-24028l573468,85712r252286,33045l825754,94538,758405,85712,550519,58483r,314033l550519,396544r,324447l447306,720991r,-72098l401421,648893r,72098l298208,720991r,-324447l550519,396544r,-24028l424357,372516r,-348475l424357,,126161,r,276377l149098,276377r,-252336l401421,24041r,348475l298208,372516r,-72098l298208,276390r-22949,l275259,300418r,420573l172046,720991r,-72098l126161,648893r,72098l22948,720991r,-420573l275259,300418r,-24028l,276377,,745032r848690,l848690,720991r,-623455xe" fillcolor="#bcc5e2" stroked="f">
                  <v:path arrowok="t"/>
                </v:shape>
                <v:shape id="Graphic 375" o:spid="_x0000_s1212" style="position:absolute;left:998;top:228;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" path="m,104140l8183,63597,30500,30495,63602,8181,104140,r905840,l1050522,8181r33102,22314l1105938,63597r8182,40543l1114120,937260r-8182,40489l1083624,1010856r-33102,22344l1009980,1041400r-905840,l63602,1033200,30500,1010856,8183,977749,,937260,,104140xe" filled="f" strokecolor="white" strokeweight="1pt">
                  <v:path arrowok="t"/>
                </v:shape>
                <v:shape id="Textbox 376" o:spid="_x0000_s1213" type="#_x0000_t202" style="position:absolute;width:55708;height:1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22232C70" w14:textId="77777777" w:rsidR="008715BE" w:rsidRDefault="008715BE">
                        <w:pPr>
                          <w:spacing w:before="123"/>
                          <w:rPr>
                            <w:sz w:val="18"/>
                          </w:rPr>
                        </w:pPr>
                      </w:p>
                      <w:p w14:paraId="3A6C8799" w14:textId="77777777" w:rsidR="008715BE" w:rsidRDefault="00000000">
                        <w:pPr>
                          <w:ind w:left="2014"/>
                          <w:rPr>
                            <w:b/>
                            <w:sz w:val="18"/>
                          </w:rPr>
                        </w:pPr>
                        <w:r>
                          <w:rPr>
                            <w:b/>
                            <w:w w:val="135"/>
                            <w:sz w:val="12"/>
                          </w:rPr>
                          <w:t xml:space="preserve">Extent </w:t>
                        </w:r>
                        <w:r>
                          <w:rPr>
                            <w:b/>
                            <w:spacing w:val="-2"/>
                            <w:w w:val="135"/>
                            <w:sz w:val="12"/>
                          </w:rPr>
                          <w:t>of impact</w:t>
                        </w:r>
                      </w:p>
                      <w:p w14:paraId="709ADA49" w14:textId="77777777" w:rsidR="008715BE" w:rsidRDefault="00000000">
                        <w:pPr>
                          <w:numPr>
                            <w:ilvl w:val="0"/>
                            <w:numId w:val="56"/>
                          </w:numPr>
                          <w:tabs>
                            <w:tab w:val="left" w:pos="2186"/>
                          </w:tabs>
                          <w:spacing w:before="18"/>
                          <w:ind w:left="2186" w:hanging="172"/>
                          <w:rPr>
                            <w:sz w:val="18"/>
                          </w:rPr>
                        </w:pPr>
                        <w:r>
                          <w:rPr>
                            <w:w w:val="120"/>
                            <w:sz w:val="12"/>
                          </w:rPr>
                          <w:t xml:space="preserve">Local: for specific works at the local </w:t>
                        </w:r>
                        <w:r>
                          <w:rPr>
                            <w:spacing w:val="-5"/>
                            <w:w w:val="120"/>
                            <w:sz w:val="12"/>
                          </w:rPr>
                          <w:t xml:space="preserve">administrative unit </w:t>
                        </w:r>
                        <w:r>
                          <w:rPr>
                            <w:w w:val="120"/>
                            <w:sz w:val="12"/>
                          </w:rPr>
                          <w:t>level</w:t>
                        </w:r>
                      </w:p>
                      <w:p w14:paraId="7FB51D53" w14:textId="77777777" w:rsidR="008715BE" w:rsidRDefault="00000000">
                        <w:pPr>
                          <w:numPr>
                            <w:ilvl w:val="0"/>
                            <w:numId w:val="56"/>
                          </w:numPr>
                          <w:tabs>
                            <w:tab w:val="left" w:pos="2186"/>
                          </w:tabs>
                          <w:spacing w:before="35" w:line="216" w:lineRule="auto"/>
                          <w:ind w:right="294" w:firstLine="0"/>
                          <w:rPr>
                            <w:sz w:val="18"/>
                          </w:rPr>
                        </w:pPr>
                        <w:r>
                          <w:rPr>
                            <w:w w:val="120"/>
                            <w:sz w:val="12"/>
                          </w:rPr>
                          <w:t xml:space="preserve">Regional: for linear works that can be carried out across several </w:t>
                        </w:r>
                        <w:r>
                          <w:rPr>
                            <w:spacing w:val="-2"/>
                            <w:w w:val="120"/>
                            <w:sz w:val="12"/>
                          </w:rPr>
                          <w:t>local administrative units.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94432" behindDoc="1" locked="0" layoutInCell="1" allowOverlap="1" wp14:anchorId="379A511A" wp14:editId="362633C7">
                <wp:simplePos x="0" y="0"/>
                <wp:positionH relativeFrom="page">
                  <wp:posOffset>774065</wp:posOffset>
                </wp:positionH>
                <wp:positionV relativeFrom="paragraph">
                  <wp:posOffset>2562605</wp:posOffset>
                </wp:positionV>
                <wp:extent cx="5570855" cy="1301750"/>
                <wp:effectExtent l="0" t="0" r="0" b="0"/>
                <wp:wrapTopAndBottom/>
                <wp:docPr id="377" name="Group 377"/>
                <wp:cNvGraphicFramePr/>
                <a:graphic xmlns:a="http://schemas.openxmlformats.org/drawingml/2006/main">
                  <a:graphicData uri="http://schemas.microsoft.com/office/word/2010/wordprocessingGroup">
                    <wpg:wgp>
                      <wpg:cNvGrpSpPr/>
                      <wpg:grpSpPr>
                        <a:xfrm>
                          <a:off x="0" y="0"/>
                          <a:ext cx="5570855" cy="1301750"/>
                          <a:chOff x="0" y="0"/>
                          <a:chExt cx="5570855" cy="1301750"/>
                        </a:xfrm>
                      </wpg:grpSpPr>
                      <wps:wsp>
                        <wps:cNvPr id="378" name="Graphic 378"/>
                        <wps:cNvSpPr/>
                        <wps:spPr>
                          <a:xfrm>
                            <a:off x="0" y="0"/>
                            <a:ext cx="5570855" cy="1301750"/>
                          </a:xfrm>
                          <a:custGeom>
                            <a:avLst/>
                            <a:gdLst/>
                            <a:ahLst/>
                            <a:cxnLst/>
                            <a:rect l="l" t="t" r="r" b="b"/>
                            <a:pathLst>
                              <a:path w="5570855" h="1301750">
                                <a:moveTo>
                                  <a:pt x="5440680" y="0"/>
                                </a:moveTo>
                                <a:lnTo>
                                  <a:pt x="130162" y="0"/>
                                </a:lnTo>
                                <a:lnTo>
                                  <a:pt x="79499" y="10231"/>
                                </a:lnTo>
                                <a:lnTo>
                                  <a:pt x="38125" y="38131"/>
                                </a:lnTo>
                                <a:lnTo>
                                  <a:pt x="10229" y="79509"/>
                                </a:lnTo>
                                <a:lnTo>
                                  <a:pt x="0" y="130175"/>
                                </a:lnTo>
                                <a:lnTo>
                                  <a:pt x="0" y="1171575"/>
                                </a:lnTo>
                                <a:lnTo>
                                  <a:pt x="10229" y="1222240"/>
                                </a:lnTo>
                                <a:lnTo>
                                  <a:pt x="38125" y="1263618"/>
                                </a:lnTo>
                                <a:lnTo>
                                  <a:pt x="79499" y="1291518"/>
                                </a:lnTo>
                                <a:lnTo>
                                  <a:pt x="130162" y="1301750"/>
                                </a:lnTo>
                                <a:lnTo>
                                  <a:pt x="5440680" y="1301750"/>
                                </a:lnTo>
                                <a:lnTo>
                                  <a:pt x="5491345" y="1291518"/>
                                </a:lnTo>
                                <a:lnTo>
                                  <a:pt x="5532723" y="1263618"/>
                                </a:lnTo>
                                <a:lnTo>
                                  <a:pt x="5560623" y="1222240"/>
                                </a:lnTo>
                                <a:lnTo>
                                  <a:pt x="5570855" y="1171575"/>
                                </a:lnTo>
                                <a:lnTo>
                                  <a:pt x="5570855" y="130175"/>
                                </a:lnTo>
                                <a:lnTo>
                                  <a:pt x="5560623" y="79509"/>
                                </a:lnTo>
                                <a:lnTo>
                                  <a:pt x="5532723" y="38131"/>
                                </a:lnTo>
                                <a:lnTo>
                                  <a:pt x="5491345" y="10231"/>
                                </a:lnTo>
                                <a:lnTo>
                                  <a:pt x="5440680" y="0"/>
                                </a:lnTo>
                                <a:close/>
                              </a:path>
                            </a:pathLst>
                          </a:custGeom>
                          <a:solidFill>
                            <a:srgbClr val="D9D9D9"/>
                          </a:solidFill>
                        </wps:spPr>
                        <wps:bodyPr wrap="square" lIns="0" tIns="0" rIns="0" bIns="0" rtlCol="0">
                          <a:prstTxWarp prst="textNoShape">
                            <a:avLst/>
                          </a:prstTxWarp>
                        </wps:bodyPr>
                      </wps:wsp>
                      <wps:wsp>
                        <wps:cNvPr id="379" name="Graphic 379"/>
                        <wps:cNvSpPr/>
                        <wps:spPr>
                          <a:xfrm>
                            <a:off x="164579" y="177748"/>
                            <a:ext cx="1009650" cy="794385"/>
                          </a:xfrm>
                          <a:custGeom>
                            <a:avLst/>
                            <a:gdLst/>
                            <a:ahLst/>
                            <a:cxnLst/>
                            <a:rect l="l" t="t" r="r" b="b"/>
                            <a:pathLst>
                              <a:path w="1009650" h="794385">
                                <a:moveTo>
                                  <a:pt x="768438" y="379158"/>
                                </a:moveTo>
                                <a:lnTo>
                                  <a:pt x="745502" y="403199"/>
                                </a:lnTo>
                                <a:lnTo>
                                  <a:pt x="745502" y="769924"/>
                                </a:lnTo>
                                <a:lnTo>
                                  <a:pt x="68821" y="769924"/>
                                </a:lnTo>
                                <a:lnTo>
                                  <a:pt x="50965" y="766140"/>
                                </a:lnTo>
                                <a:lnTo>
                                  <a:pt x="36385" y="755840"/>
                                </a:lnTo>
                                <a:lnTo>
                                  <a:pt x="26543" y="740562"/>
                                </a:lnTo>
                                <a:lnTo>
                                  <a:pt x="22948" y="721855"/>
                                </a:lnTo>
                                <a:lnTo>
                                  <a:pt x="26543" y="703148"/>
                                </a:lnTo>
                                <a:lnTo>
                                  <a:pt x="36385" y="687870"/>
                                </a:lnTo>
                                <a:lnTo>
                                  <a:pt x="50965" y="677570"/>
                                </a:lnTo>
                                <a:lnTo>
                                  <a:pt x="68821" y="673785"/>
                                </a:lnTo>
                                <a:lnTo>
                                  <a:pt x="160578" y="673785"/>
                                </a:lnTo>
                                <a:lnTo>
                                  <a:pt x="160578" y="668159"/>
                                </a:lnTo>
                                <a:lnTo>
                                  <a:pt x="160578" y="169087"/>
                                </a:lnTo>
                                <a:lnTo>
                                  <a:pt x="727151" y="169087"/>
                                </a:lnTo>
                                <a:lnTo>
                                  <a:pt x="750087" y="145059"/>
                                </a:lnTo>
                                <a:lnTo>
                                  <a:pt x="160578" y="145059"/>
                                </a:lnTo>
                                <a:lnTo>
                                  <a:pt x="160578" y="48920"/>
                                </a:lnTo>
                                <a:lnTo>
                                  <a:pt x="160578" y="24892"/>
                                </a:lnTo>
                                <a:lnTo>
                                  <a:pt x="137629" y="24892"/>
                                </a:lnTo>
                                <a:lnTo>
                                  <a:pt x="137629" y="48920"/>
                                </a:lnTo>
                                <a:lnTo>
                                  <a:pt x="137629" y="649757"/>
                                </a:lnTo>
                                <a:lnTo>
                                  <a:pt x="68821" y="649757"/>
                                </a:lnTo>
                                <a:lnTo>
                                  <a:pt x="56273" y="650951"/>
                                </a:lnTo>
                                <a:lnTo>
                                  <a:pt x="44246" y="654507"/>
                                </a:lnTo>
                                <a:lnTo>
                                  <a:pt x="33045" y="660273"/>
                                </a:lnTo>
                                <a:lnTo>
                                  <a:pt x="22948" y="668159"/>
                                </a:lnTo>
                                <a:lnTo>
                                  <a:pt x="22948" y="96989"/>
                                </a:lnTo>
                                <a:lnTo>
                                  <a:pt x="26543" y="78282"/>
                                </a:lnTo>
                                <a:lnTo>
                                  <a:pt x="36385" y="63004"/>
                                </a:lnTo>
                                <a:lnTo>
                                  <a:pt x="50965" y="52705"/>
                                </a:lnTo>
                                <a:lnTo>
                                  <a:pt x="68821" y="48920"/>
                                </a:lnTo>
                                <a:lnTo>
                                  <a:pt x="137629" y="48920"/>
                                </a:lnTo>
                                <a:lnTo>
                                  <a:pt x="137629" y="24892"/>
                                </a:lnTo>
                                <a:lnTo>
                                  <a:pt x="68821" y="24892"/>
                                </a:lnTo>
                                <a:lnTo>
                                  <a:pt x="42049" y="30581"/>
                                </a:lnTo>
                                <a:lnTo>
                                  <a:pt x="20180" y="46024"/>
                                </a:lnTo>
                                <a:lnTo>
                                  <a:pt x="5435" y="68935"/>
                                </a:lnTo>
                                <a:lnTo>
                                  <a:pt x="0" y="96989"/>
                                </a:lnTo>
                                <a:lnTo>
                                  <a:pt x="0" y="721855"/>
                                </a:lnTo>
                                <a:lnTo>
                                  <a:pt x="5435" y="749896"/>
                                </a:lnTo>
                                <a:lnTo>
                                  <a:pt x="20180" y="772807"/>
                                </a:lnTo>
                                <a:lnTo>
                                  <a:pt x="42049" y="788263"/>
                                </a:lnTo>
                                <a:lnTo>
                                  <a:pt x="68821" y="793953"/>
                                </a:lnTo>
                                <a:lnTo>
                                  <a:pt x="768438" y="793953"/>
                                </a:lnTo>
                                <a:lnTo>
                                  <a:pt x="768438" y="769924"/>
                                </a:lnTo>
                                <a:lnTo>
                                  <a:pt x="768438" y="379158"/>
                                </a:lnTo>
                                <a:close/>
                              </a:path>
                              <a:path w="1009650" h="794385">
                                <a:moveTo>
                                  <a:pt x="1009180" y="66941"/>
                                </a:moveTo>
                                <a:lnTo>
                                  <a:pt x="1008151" y="58407"/>
                                </a:lnTo>
                                <a:lnTo>
                                  <a:pt x="1003947" y="50673"/>
                                </a:lnTo>
                                <a:lnTo>
                                  <a:pt x="1002995" y="49644"/>
                                </a:lnTo>
                                <a:lnTo>
                                  <a:pt x="1002512" y="49161"/>
                                </a:lnTo>
                                <a:lnTo>
                                  <a:pt x="985596" y="31445"/>
                                </a:lnTo>
                                <a:lnTo>
                                  <a:pt x="985596" y="65468"/>
                                </a:lnTo>
                                <a:lnTo>
                                  <a:pt x="950328" y="102425"/>
                                </a:lnTo>
                                <a:lnTo>
                                  <a:pt x="934554" y="85890"/>
                                </a:lnTo>
                                <a:lnTo>
                                  <a:pt x="934554" y="119824"/>
                                </a:lnTo>
                                <a:lnTo>
                                  <a:pt x="930541" y="124333"/>
                                </a:lnTo>
                                <a:lnTo>
                                  <a:pt x="728433" y="336118"/>
                                </a:lnTo>
                                <a:lnTo>
                                  <a:pt x="723138" y="321487"/>
                                </a:lnTo>
                                <a:lnTo>
                                  <a:pt x="720267" y="317512"/>
                                </a:lnTo>
                                <a:lnTo>
                                  <a:pt x="714298" y="309257"/>
                                </a:lnTo>
                                <a:lnTo>
                                  <a:pt x="706640" y="303288"/>
                                </a:lnTo>
                                <a:lnTo>
                                  <a:pt x="706640" y="344551"/>
                                </a:lnTo>
                                <a:lnTo>
                                  <a:pt x="705929" y="354584"/>
                                </a:lnTo>
                                <a:lnTo>
                                  <a:pt x="701865" y="364007"/>
                                </a:lnTo>
                                <a:lnTo>
                                  <a:pt x="697814" y="368236"/>
                                </a:lnTo>
                                <a:lnTo>
                                  <a:pt x="649909" y="384797"/>
                                </a:lnTo>
                                <a:lnTo>
                                  <a:pt x="642124" y="376631"/>
                                </a:lnTo>
                                <a:lnTo>
                                  <a:pt x="657847" y="326961"/>
                                </a:lnTo>
                                <a:lnTo>
                                  <a:pt x="662546" y="322033"/>
                                </a:lnTo>
                                <a:lnTo>
                                  <a:pt x="667169" y="319087"/>
                                </a:lnTo>
                                <a:lnTo>
                                  <a:pt x="672465" y="317512"/>
                                </a:lnTo>
                                <a:lnTo>
                                  <a:pt x="685596" y="317512"/>
                                </a:lnTo>
                                <a:lnTo>
                                  <a:pt x="692912" y="320725"/>
                                </a:lnTo>
                                <a:lnTo>
                                  <a:pt x="698309" y="326453"/>
                                </a:lnTo>
                                <a:lnTo>
                                  <a:pt x="704062" y="334860"/>
                                </a:lnTo>
                                <a:lnTo>
                                  <a:pt x="706640" y="344551"/>
                                </a:lnTo>
                                <a:lnTo>
                                  <a:pt x="706640" y="303288"/>
                                </a:lnTo>
                                <a:lnTo>
                                  <a:pt x="702551" y="300101"/>
                                </a:lnTo>
                                <a:lnTo>
                                  <a:pt x="688543" y="294690"/>
                                </a:lnTo>
                                <a:lnTo>
                                  <a:pt x="894702" y="78130"/>
                                </a:lnTo>
                                <a:lnTo>
                                  <a:pt x="934554" y="119824"/>
                                </a:lnTo>
                                <a:lnTo>
                                  <a:pt x="934554" y="85890"/>
                                </a:lnTo>
                                <a:lnTo>
                                  <a:pt x="927163" y="78130"/>
                                </a:lnTo>
                                <a:lnTo>
                                  <a:pt x="910958" y="61137"/>
                                </a:lnTo>
                                <a:lnTo>
                                  <a:pt x="946226" y="24193"/>
                                </a:lnTo>
                                <a:lnTo>
                                  <a:pt x="985596" y="65468"/>
                                </a:lnTo>
                                <a:lnTo>
                                  <a:pt x="985596" y="31445"/>
                                </a:lnTo>
                                <a:lnTo>
                                  <a:pt x="978674" y="24193"/>
                                </a:lnTo>
                                <a:lnTo>
                                  <a:pt x="962367" y="7112"/>
                                </a:lnTo>
                                <a:lnTo>
                                  <a:pt x="954963" y="1828"/>
                                </a:lnTo>
                                <a:lnTo>
                                  <a:pt x="946480" y="0"/>
                                </a:lnTo>
                                <a:lnTo>
                                  <a:pt x="937971" y="1638"/>
                                </a:lnTo>
                                <a:lnTo>
                                  <a:pt x="930452" y="6743"/>
                                </a:lnTo>
                                <a:lnTo>
                                  <a:pt x="930148" y="7112"/>
                                </a:lnTo>
                                <a:lnTo>
                                  <a:pt x="637311" y="314490"/>
                                </a:lnTo>
                                <a:lnTo>
                                  <a:pt x="635749" y="318312"/>
                                </a:lnTo>
                                <a:lnTo>
                                  <a:pt x="610806" y="399072"/>
                                </a:lnTo>
                                <a:lnTo>
                                  <a:pt x="490067" y="278523"/>
                                </a:lnTo>
                                <a:lnTo>
                                  <a:pt x="456857" y="245364"/>
                                </a:lnTo>
                                <a:lnTo>
                                  <a:pt x="236372" y="464426"/>
                                </a:lnTo>
                                <a:lnTo>
                                  <a:pt x="287172" y="517664"/>
                                </a:lnTo>
                                <a:lnTo>
                                  <a:pt x="287172" y="673785"/>
                                </a:lnTo>
                                <a:lnTo>
                                  <a:pt x="436270" y="673785"/>
                                </a:lnTo>
                                <a:lnTo>
                                  <a:pt x="436270" y="649757"/>
                                </a:lnTo>
                                <a:lnTo>
                                  <a:pt x="436270" y="536092"/>
                                </a:lnTo>
                                <a:lnTo>
                                  <a:pt x="476415" y="536092"/>
                                </a:lnTo>
                                <a:lnTo>
                                  <a:pt x="476415" y="673785"/>
                                </a:lnTo>
                                <a:lnTo>
                                  <a:pt x="625513" y="673785"/>
                                </a:lnTo>
                                <a:lnTo>
                                  <a:pt x="625513" y="649757"/>
                                </a:lnTo>
                                <a:lnTo>
                                  <a:pt x="625513" y="492836"/>
                                </a:lnTo>
                                <a:lnTo>
                                  <a:pt x="602576" y="470014"/>
                                </a:lnTo>
                                <a:lnTo>
                                  <a:pt x="602576" y="503148"/>
                                </a:lnTo>
                                <a:lnTo>
                                  <a:pt x="602576" y="649757"/>
                                </a:lnTo>
                                <a:lnTo>
                                  <a:pt x="499351" y="649757"/>
                                </a:lnTo>
                                <a:lnTo>
                                  <a:pt x="499351" y="536092"/>
                                </a:lnTo>
                                <a:lnTo>
                                  <a:pt x="499351" y="512064"/>
                                </a:lnTo>
                                <a:lnTo>
                                  <a:pt x="413334" y="512064"/>
                                </a:lnTo>
                                <a:lnTo>
                                  <a:pt x="413334" y="649757"/>
                                </a:lnTo>
                                <a:lnTo>
                                  <a:pt x="310108" y="649757"/>
                                </a:lnTo>
                                <a:lnTo>
                                  <a:pt x="310108" y="503148"/>
                                </a:lnTo>
                                <a:lnTo>
                                  <a:pt x="324954" y="488378"/>
                                </a:lnTo>
                                <a:lnTo>
                                  <a:pt x="456349" y="357606"/>
                                </a:lnTo>
                                <a:lnTo>
                                  <a:pt x="602576" y="503148"/>
                                </a:lnTo>
                                <a:lnTo>
                                  <a:pt x="602576" y="470014"/>
                                </a:lnTo>
                                <a:lnTo>
                                  <a:pt x="489635" y="357606"/>
                                </a:lnTo>
                                <a:lnTo>
                                  <a:pt x="456349" y="324459"/>
                                </a:lnTo>
                                <a:lnTo>
                                  <a:pt x="291668" y="488378"/>
                                </a:lnTo>
                                <a:lnTo>
                                  <a:pt x="269240" y="464883"/>
                                </a:lnTo>
                                <a:lnTo>
                                  <a:pt x="456806" y="278523"/>
                                </a:lnTo>
                                <a:lnTo>
                                  <a:pt x="604367" y="425843"/>
                                </a:lnTo>
                                <a:lnTo>
                                  <a:pt x="682866" y="399072"/>
                                </a:lnTo>
                                <a:lnTo>
                                  <a:pt x="705472" y="391363"/>
                                </a:lnTo>
                                <a:lnTo>
                                  <a:pt x="710171" y="389267"/>
                                </a:lnTo>
                                <a:lnTo>
                                  <a:pt x="714425" y="384797"/>
                                </a:lnTo>
                                <a:lnTo>
                                  <a:pt x="760691" y="336118"/>
                                </a:lnTo>
                                <a:lnTo>
                                  <a:pt x="982865" y="102425"/>
                                </a:lnTo>
                                <a:lnTo>
                                  <a:pt x="1001941" y="82346"/>
                                </a:lnTo>
                                <a:lnTo>
                                  <a:pt x="1007097" y="75260"/>
                                </a:lnTo>
                                <a:lnTo>
                                  <a:pt x="1009180" y="66941"/>
                                </a:lnTo>
                                <a:close/>
                              </a:path>
                            </a:pathLst>
                          </a:custGeom>
                          <a:solidFill>
                            <a:srgbClr val="BBC5E1"/>
                          </a:solidFill>
                        </wps:spPr>
                        <wps:bodyPr wrap="square" lIns="0" tIns="0" rIns="0" bIns="0" rtlCol="0">
                          <a:prstTxWarp prst="textNoShape">
                            <a:avLst/>
                          </a:prstTxWarp>
                        </wps:bodyPr>
                      </wps:wsp>
                      <wps:wsp>
                        <wps:cNvPr id="380" name="Graphic 380"/>
                        <wps:cNvSpPr/>
                        <wps:spPr>
                          <a:xfrm>
                            <a:off x="87566" y="64261"/>
                            <a:ext cx="1114425" cy="1041400"/>
                          </a:xfrm>
                          <a:custGeom>
                            <a:avLst/>
                            <a:gdLst/>
                            <a:ahLst/>
                            <a:cxnLst/>
                            <a:rect l="l" t="t" r="r" b="b"/>
                            <a:pathLst>
                              <a:path w="1114425" h="1041400">
                                <a:moveTo>
                                  <a:pt x="0" y="104139"/>
                                </a:moveTo>
                                <a:lnTo>
                                  <a:pt x="8183" y="63597"/>
                                </a:lnTo>
                                <a:lnTo>
                                  <a:pt x="30499" y="30495"/>
                                </a:lnTo>
                                <a:lnTo>
                                  <a:pt x="63597" y="8181"/>
                                </a:lnTo>
                                <a:lnTo>
                                  <a:pt x="104127" y="0"/>
                                </a:lnTo>
                                <a:lnTo>
                                  <a:pt x="1009967" y="0"/>
                                </a:lnTo>
                                <a:lnTo>
                                  <a:pt x="1050510" y="8181"/>
                                </a:lnTo>
                                <a:lnTo>
                                  <a:pt x="1083611" y="30495"/>
                                </a:lnTo>
                                <a:lnTo>
                                  <a:pt x="1105925" y="63597"/>
                                </a:lnTo>
                                <a:lnTo>
                                  <a:pt x="1114107" y="104139"/>
                                </a:lnTo>
                                <a:lnTo>
                                  <a:pt x="1114107" y="937260"/>
                                </a:lnTo>
                                <a:lnTo>
                                  <a:pt x="1105925" y="977802"/>
                                </a:lnTo>
                                <a:lnTo>
                                  <a:pt x="1083611" y="1010904"/>
                                </a:lnTo>
                                <a:lnTo>
                                  <a:pt x="1050510" y="1033218"/>
                                </a:lnTo>
                                <a:lnTo>
                                  <a:pt x="1009967" y="1041400"/>
                                </a:lnTo>
                                <a:lnTo>
                                  <a:pt x="104127" y="1041400"/>
                                </a:lnTo>
                                <a:lnTo>
                                  <a:pt x="63597" y="1033218"/>
                                </a:lnTo>
                                <a:lnTo>
                                  <a:pt x="30499" y="1010904"/>
                                </a:lnTo>
                                <a:lnTo>
                                  <a:pt x="8183" y="977802"/>
                                </a:lnTo>
                                <a:lnTo>
                                  <a:pt x="0" y="937260"/>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81" name="Textbox 381"/>
                        <wps:cNvSpPr txBox="1"/>
                        <wps:spPr>
                          <a:xfrm>
                            <a:off x="0" y="0"/>
                            <a:ext cx="5570855" cy="1301750"/>
                          </a:xfrm>
                          <a:prstGeom prst="rect">
                            <a:avLst/>
                          </a:prstGeom>
                        </wps:spPr>
                        <wps:txbx>
                          <w:txbxContent>
                            <w:p w14:paraId="56EB7CF2" w14:textId="77777777" w:rsidR="008715BE" w:rsidRDefault="00000000">
                              <w:pPr>
                                <w:spacing w:before="145"/>
                                <w:ind w:left="2014"/>
                                <w:rPr>
                                  <w:b/>
                                  <w:sz w:val="18"/>
                                </w:rPr>
                              </w:pPr>
                              <w:r>
                                <w:rPr>
                                  <w:b/>
                                  <w:w w:val="135"/>
                                  <w:sz w:val="12"/>
                                </w:rPr>
                                <w:t xml:space="preserve">Frequency of occurrence of </w:t>
                              </w:r>
                              <w:r>
                                <w:rPr>
                                  <w:b/>
                                  <w:spacing w:val="-2"/>
                                  <w:w w:val="135"/>
                                  <w:sz w:val="12"/>
                                </w:rPr>
                                <w:t>effects</w:t>
                              </w:r>
                            </w:p>
                            <w:p w14:paraId="23252C61" w14:textId="77777777" w:rsidR="008715BE" w:rsidRDefault="00000000">
                              <w:pPr>
                                <w:numPr>
                                  <w:ilvl w:val="0"/>
                                  <w:numId w:val="55"/>
                                </w:numPr>
                                <w:tabs>
                                  <w:tab w:val="left" w:pos="2186"/>
                                </w:tabs>
                                <w:spacing w:before="35" w:line="216" w:lineRule="auto"/>
                                <w:ind w:right="150" w:firstLine="0"/>
                                <w:rPr>
                                  <w:sz w:val="18"/>
                                </w:rPr>
                              </w:pPr>
                              <w:r>
                                <w:rPr>
                                  <w:w w:val="120"/>
                                  <w:sz w:val="12"/>
                                </w:rPr>
                                <w:t>Temporary/one-time - The impact occurs only once during one of the project stages. Most often associated with a short duration.</w:t>
                              </w:r>
                            </w:p>
                            <w:p w14:paraId="64243E42" w14:textId="77777777" w:rsidR="008715BE" w:rsidRDefault="00000000">
                              <w:pPr>
                                <w:numPr>
                                  <w:ilvl w:val="0"/>
                                  <w:numId w:val="55"/>
                                </w:numPr>
                                <w:tabs>
                                  <w:tab w:val="left" w:pos="2121"/>
                                </w:tabs>
                                <w:spacing w:before="22"/>
                                <w:ind w:left="2121" w:hanging="107"/>
                                <w:rPr>
                                  <w:sz w:val="18"/>
                                </w:rPr>
                              </w:pPr>
                              <w:r>
                                <w:rPr>
                                  <w:w w:val="120"/>
                                  <w:sz w:val="12"/>
                                </w:rPr>
                                <w:t xml:space="preserve">Permanent – the impact occurs continuously after it first </w:t>
                              </w:r>
                              <w:r>
                                <w:rPr>
                                  <w:spacing w:val="-2"/>
                                  <w:w w:val="120"/>
                                  <w:sz w:val="12"/>
                                </w:rPr>
                                <w:t>appears.</w:t>
                              </w:r>
                            </w:p>
                            <w:p w14:paraId="5D754C95" w14:textId="77777777" w:rsidR="008715BE" w:rsidRDefault="00000000">
                              <w:pPr>
                                <w:numPr>
                                  <w:ilvl w:val="0"/>
                                  <w:numId w:val="55"/>
                                </w:numPr>
                                <w:tabs>
                                  <w:tab w:val="left" w:pos="2186"/>
                                </w:tabs>
                                <w:spacing w:before="31" w:line="218" w:lineRule="auto"/>
                                <w:ind w:right="211" w:firstLine="0"/>
                                <w:rPr>
                                  <w:sz w:val="18"/>
                                </w:rPr>
                              </w:pPr>
                              <w:r>
                                <w:rPr>
                                  <w:w w:val="120"/>
                                  <w:sz w:val="12"/>
                                </w:rPr>
                                <w:t>Accidental – for effects that may occur occasionally as a result of damage/human error</w:t>
                              </w:r>
                            </w:p>
                            <w:p w14:paraId="7807CB77" w14:textId="77777777" w:rsidR="008715BE" w:rsidRDefault="00000000">
                              <w:pPr>
                                <w:numPr>
                                  <w:ilvl w:val="0"/>
                                  <w:numId w:val="55"/>
                                </w:numPr>
                                <w:tabs>
                                  <w:tab w:val="left" w:pos="2186"/>
                                </w:tabs>
                                <w:spacing w:before="36" w:line="216" w:lineRule="auto"/>
                                <w:ind w:right="546" w:firstLine="0"/>
                                <w:rPr>
                                  <w:sz w:val="18"/>
                                </w:rPr>
                              </w:pPr>
                              <w:r>
                                <w:rPr>
                                  <w:w w:val="120"/>
                                  <w:sz w:val="12"/>
                                </w:rPr>
                                <w:t>intermittent – for effects that may occur throughout the entire period of operation/execution but are limited in time</w:t>
                              </w:r>
                            </w:p>
                          </w:txbxContent>
                        </wps:txbx>
                        <wps:bodyPr wrap="square" lIns="0" tIns="0" rIns="0" bIns="0" rtlCol="0"/>
                      </wps:wsp>
                    </wpg:wgp>
                  </a:graphicData>
                </a:graphic>
              </wp:anchor>
            </w:drawing>
          </mc:Choice>
          <mc:Fallback>
            <w:pict>
              <v:group w14:anchorId="379A511A" id="Group 377" o:spid="_x0000_s1214" style="position:absolute;margin-left:60.95pt;margin-top:201.8pt;width:438.65pt;height:102.5pt;z-index:-251522048;mso-wrap-distance-left:0;mso-wrap-distance-right:0;mso-position-horizontal-relative:page;mso-position-vertical-relative:text" coordsize="55708,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">
                <v:shape id="Graphic 378" o:spid="_x0000_s1215" style="position:absolute;width:55708;height:13017;visibility:visible;mso-wrap-style:square;v-text-anchor:top" coordsize="5570855,130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" path="m5440680,l130162,,79499,10231,38125,38131,10229,79509,,130175,,1171575r10229,50665l38125,1263618r41374,27900l130162,1301750r5310518,l5491345,1291518r41378,-27900l5560623,1222240r10232,-50665l5570855,130175,5560623,79509,5532723,38131,5491345,10231,5440680,xe" fillcolor="#d9d9d9" stroked="f">
                  <v:path arrowok="t"/>
                </v:shape>
                <v:shape id="Graphic 379" o:spid="_x0000_s1216" style="position:absolute;left:1645;top:1777;width:10097;height:7944;visibility:visible;mso-wrap-style:square;v-text-anchor:top" coordsize="1009650,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" path="m768438,379158r-22936,24041l745502,769924r-676681,l50965,766140,36385,755840,26543,740562,22948,721855r3595,-18707l36385,687870,50965,677570r17856,-3785l160578,673785r,-5626l160578,169087r566573,l750087,145059r-589509,l160578,48920r,-24028l137629,24892r,24028l137629,649757r-68808,l56273,650951r-12027,3556l33045,660273r-10097,7886l22948,96989,26543,78282,36385,63004,50965,52705,68821,48920r68808,l137629,24892r-68808,l42049,30581,20180,46024,5435,68935,,96989,,721855r5435,28041l20180,772807r21869,15456l68821,793953r699617,l768438,769924r,-390766xem1009180,66941r-1029,-8534l1003947,50673r-952,-1029l1002512,49161,985596,31445r,34023l950328,102425,934554,85890r,33934l930541,124333,728433,336118r-5295,-14631l720267,317512r-5969,-8255l706640,303288r,41263l705929,354584r-4064,9423l697814,368236r-47905,16561l642124,376631r15723,-49670l662546,322033r4623,-2946l672465,317512r13131,l692912,320725r5397,5728l704062,334860r2578,9691l706640,303288r-4089,-3187l688543,294690,894702,78130r39852,41694l934554,85890r-7391,-7760l910958,61137,946226,24193r39370,41275l985596,31445r-6922,-7252l962367,7112,954963,1828,946480,r-8509,1638l930452,6743r-304,369l637311,314490r-1562,3822l610806,399072,490067,278523,456857,245364,236372,464426r50800,53238l287172,673785r149098,l436270,649757r,-113665l476415,536092r,137693l625513,673785r,-24028l625513,492836,602576,470014r,33134l602576,649757r-103225,l499351,536092r,-24028l413334,512064r,137693l310108,649757r,-146609l324954,488378,456349,357606,602576,503148r,-33134l489635,357606,456349,324459,291668,488378,269240,464883,456806,278523,604367,425843r78499,-26771l705472,391363r4699,-2096l714425,384797r46266,-48679l982865,102425r19076,-20079l1007097,75260r2083,-8319xe" fillcolor="#bbc5e1" stroked="f">
                  <v:path arrowok="t"/>
                </v:shape>
                <v:shape id="Graphic 380" o:spid="_x0000_s1217" style="position:absolute;left:875;top:642;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" path="m,104139l8183,63597,30499,30495,63597,8181,104127,r905840,l1050510,8181r33101,22314l1105925,63597r8182,40542l1114107,937260r-8182,40542l1083611,1010904r-33101,22314l1009967,1041400r-905840,l63597,1033218,30499,1010904,8183,977802,,937260,,104139xe" filled="f" strokecolor="white" strokeweight="1pt">
                  <v:path arrowok="t"/>
                </v:shape>
                <v:shape id="Textbox 381" o:spid="_x0000_s1218" type="#_x0000_t202" style="position:absolute;width:55708;height:1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56EB7CF2" w14:textId="77777777" w:rsidR="008715BE" w:rsidRDefault="00000000">
                        <w:pPr>
                          <w:spacing w:before="145"/>
                          <w:ind w:left="2014"/>
                          <w:rPr>
                            <w:b/>
                            <w:sz w:val="18"/>
                          </w:rPr>
                        </w:pPr>
                        <w:r>
                          <w:rPr>
                            <w:b/>
                            <w:w w:val="135"/>
                            <w:sz w:val="12"/>
                          </w:rPr>
                          <w:t xml:space="preserve">Frequency of occurrence of </w:t>
                        </w:r>
                        <w:r>
                          <w:rPr>
                            <w:b/>
                            <w:spacing w:val="-2"/>
                            <w:w w:val="135"/>
                            <w:sz w:val="12"/>
                          </w:rPr>
                          <w:t>effects</w:t>
                        </w:r>
                      </w:p>
                      <w:p w14:paraId="23252C61" w14:textId="77777777" w:rsidR="008715BE" w:rsidRDefault="00000000">
                        <w:pPr>
                          <w:numPr>
                            <w:ilvl w:val="0"/>
                            <w:numId w:val="55"/>
                          </w:numPr>
                          <w:tabs>
                            <w:tab w:val="left" w:pos="2186"/>
                          </w:tabs>
                          <w:spacing w:before="35" w:line="216" w:lineRule="auto"/>
                          <w:ind w:right="150" w:firstLine="0"/>
                          <w:rPr>
                            <w:sz w:val="18"/>
                          </w:rPr>
                        </w:pPr>
                        <w:r>
                          <w:rPr>
                            <w:w w:val="120"/>
                            <w:sz w:val="12"/>
                          </w:rPr>
                          <w:t>Temporary/one-time - The impact occurs only once during one of the project stages. Most often associated with a short duration.</w:t>
                        </w:r>
                      </w:p>
                      <w:p w14:paraId="64243E42" w14:textId="77777777" w:rsidR="008715BE" w:rsidRDefault="00000000">
                        <w:pPr>
                          <w:numPr>
                            <w:ilvl w:val="0"/>
                            <w:numId w:val="55"/>
                          </w:numPr>
                          <w:tabs>
                            <w:tab w:val="left" w:pos="2121"/>
                          </w:tabs>
                          <w:spacing w:before="22"/>
                          <w:ind w:left="2121" w:hanging="107"/>
                          <w:rPr>
                            <w:sz w:val="18"/>
                          </w:rPr>
                        </w:pPr>
                        <w:r>
                          <w:rPr>
                            <w:w w:val="120"/>
                            <w:sz w:val="12"/>
                          </w:rPr>
                          <w:t xml:space="preserve">Permanent – the impact occurs continuously after it first </w:t>
                        </w:r>
                        <w:r>
                          <w:rPr>
                            <w:spacing w:val="-2"/>
                            <w:w w:val="120"/>
                            <w:sz w:val="12"/>
                          </w:rPr>
                          <w:t>appears.</w:t>
                        </w:r>
                      </w:p>
                      <w:p w14:paraId="5D754C95" w14:textId="77777777" w:rsidR="008715BE" w:rsidRDefault="00000000">
                        <w:pPr>
                          <w:numPr>
                            <w:ilvl w:val="0"/>
                            <w:numId w:val="55"/>
                          </w:numPr>
                          <w:tabs>
                            <w:tab w:val="left" w:pos="2186"/>
                          </w:tabs>
                          <w:spacing w:before="31" w:line="218" w:lineRule="auto"/>
                          <w:ind w:right="211" w:firstLine="0"/>
                          <w:rPr>
                            <w:sz w:val="18"/>
                          </w:rPr>
                        </w:pPr>
                        <w:r>
                          <w:rPr>
                            <w:w w:val="120"/>
                            <w:sz w:val="12"/>
                          </w:rPr>
                          <w:t>Accidental – for effects that may occur occasionally as a result of damage/human error</w:t>
                        </w:r>
                      </w:p>
                      <w:p w14:paraId="7807CB77" w14:textId="77777777" w:rsidR="008715BE" w:rsidRDefault="00000000">
                        <w:pPr>
                          <w:numPr>
                            <w:ilvl w:val="0"/>
                            <w:numId w:val="55"/>
                          </w:numPr>
                          <w:tabs>
                            <w:tab w:val="left" w:pos="2186"/>
                          </w:tabs>
                          <w:spacing w:before="36" w:line="216" w:lineRule="auto"/>
                          <w:ind w:right="546" w:firstLine="0"/>
                          <w:rPr>
                            <w:sz w:val="18"/>
                          </w:rPr>
                        </w:pPr>
                        <w:r>
                          <w:rPr>
                            <w:w w:val="120"/>
                            <w:sz w:val="12"/>
                          </w:rPr>
                          <w:t>intermittent – for effects that may occur throughout the entire period of operation/execution but are limited in time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96480" behindDoc="1" locked="0" layoutInCell="1" allowOverlap="1" wp14:anchorId="729D3142" wp14:editId="13779442">
                <wp:simplePos x="0" y="0"/>
                <wp:positionH relativeFrom="page">
                  <wp:posOffset>774065</wp:posOffset>
                </wp:positionH>
                <wp:positionV relativeFrom="paragraph">
                  <wp:posOffset>3972559</wp:posOffset>
                </wp:positionV>
                <wp:extent cx="5570855" cy="1076325"/>
                <wp:effectExtent l="0" t="0" r="0" b="0"/>
                <wp:wrapTopAndBottom/>
                <wp:docPr id="382" name="Group 382"/>
                <wp:cNvGraphicFramePr/>
                <a:graphic xmlns:a="http://schemas.openxmlformats.org/drawingml/2006/main">
                  <a:graphicData uri="http://schemas.microsoft.com/office/word/2010/wordprocessingGroup">
                    <wpg:wgp>
                      <wpg:cNvGrpSpPr/>
                      <wpg:grpSpPr>
                        <a:xfrm>
                          <a:off x="0" y="0"/>
                          <a:ext cx="5570855" cy="1076325"/>
                          <a:chOff x="0" y="0"/>
                          <a:chExt cx="5570855" cy="1076325"/>
                        </a:xfrm>
                      </wpg:grpSpPr>
                      <wps:wsp>
                        <wps:cNvPr id="383" name="Graphic 383"/>
                        <wps:cNvSpPr/>
                        <wps:spPr>
                          <a:xfrm>
                            <a:off x="0" y="21971"/>
                            <a:ext cx="5570855" cy="1054735"/>
                          </a:xfrm>
                          <a:custGeom>
                            <a:avLst/>
                            <a:gdLst/>
                            <a:ahLst/>
                            <a:cxnLst/>
                            <a:rect l="l" t="t" r="r" b="b"/>
                            <a:pathLst>
                              <a:path w="5570855" h="1054735">
                                <a:moveTo>
                                  <a:pt x="5465445" y="0"/>
                                </a:moveTo>
                                <a:lnTo>
                                  <a:pt x="105422" y="0"/>
                                </a:lnTo>
                                <a:lnTo>
                                  <a:pt x="64384" y="8272"/>
                                </a:lnTo>
                                <a:lnTo>
                                  <a:pt x="30875" y="30845"/>
                                </a:lnTo>
                                <a:lnTo>
                                  <a:pt x="8283" y="64347"/>
                                </a:lnTo>
                                <a:lnTo>
                                  <a:pt x="0" y="105410"/>
                                </a:lnTo>
                                <a:lnTo>
                                  <a:pt x="0" y="948689"/>
                                </a:lnTo>
                                <a:lnTo>
                                  <a:pt x="8283" y="989772"/>
                                </a:lnTo>
                                <a:lnTo>
                                  <a:pt x="30875" y="1023318"/>
                                </a:lnTo>
                                <a:lnTo>
                                  <a:pt x="64384" y="1045934"/>
                                </a:lnTo>
                                <a:lnTo>
                                  <a:pt x="105422" y="1054227"/>
                                </a:lnTo>
                                <a:lnTo>
                                  <a:pt x="5465445" y="1054227"/>
                                </a:lnTo>
                                <a:lnTo>
                                  <a:pt x="5506454" y="1045934"/>
                                </a:lnTo>
                                <a:lnTo>
                                  <a:pt x="5539962" y="1023318"/>
                                </a:lnTo>
                                <a:lnTo>
                                  <a:pt x="5562564" y="989772"/>
                                </a:lnTo>
                                <a:lnTo>
                                  <a:pt x="5570855" y="948689"/>
                                </a:lnTo>
                                <a:lnTo>
                                  <a:pt x="5570855" y="105410"/>
                                </a:lnTo>
                                <a:lnTo>
                                  <a:pt x="5562564" y="64347"/>
                                </a:lnTo>
                                <a:lnTo>
                                  <a:pt x="5539962" y="30845"/>
                                </a:lnTo>
                                <a:lnTo>
                                  <a:pt x="5506454" y="8272"/>
                                </a:lnTo>
                                <a:lnTo>
                                  <a:pt x="5465445" y="0"/>
                                </a:lnTo>
                                <a:close/>
                              </a:path>
                            </a:pathLst>
                          </a:custGeom>
                          <a:solidFill>
                            <a:srgbClr val="E1EFD9"/>
                          </a:solidFill>
                        </wps:spPr>
                        <wps:bodyPr wrap="square" lIns="0" tIns="0" rIns="0" bIns="0" rtlCol="0">
                          <a:prstTxWarp prst="textNoShape">
                            <a:avLst/>
                          </a:prstTxWarp>
                        </wps:bodyPr>
                      </wps:wsp>
                      <wps:wsp>
                        <wps:cNvPr id="384" name="Graphic 384"/>
                        <wps:cNvSpPr/>
                        <wps:spPr>
                          <a:xfrm>
                            <a:off x="271047" y="49795"/>
                            <a:ext cx="711200" cy="960119"/>
                          </a:xfrm>
                          <a:custGeom>
                            <a:avLst/>
                            <a:gdLst/>
                            <a:ahLst/>
                            <a:cxnLst/>
                            <a:rect l="l" t="t" r="r" b="b"/>
                            <a:pathLst>
                              <a:path w="711200" h="960119">
                                <a:moveTo>
                                  <a:pt x="653742" y="0"/>
                                </a:moveTo>
                                <a:lnTo>
                                  <a:pt x="57345" y="0"/>
                                </a:lnTo>
                                <a:lnTo>
                                  <a:pt x="16809" y="16509"/>
                                </a:lnTo>
                                <a:lnTo>
                                  <a:pt x="0" y="59689"/>
                                </a:lnTo>
                                <a:lnTo>
                                  <a:pt x="0" y="900429"/>
                                </a:lnTo>
                                <a:lnTo>
                                  <a:pt x="16809" y="943609"/>
                                </a:lnTo>
                                <a:lnTo>
                                  <a:pt x="57345" y="960119"/>
                                </a:lnTo>
                                <a:lnTo>
                                  <a:pt x="653742" y="960120"/>
                                </a:lnTo>
                                <a:lnTo>
                                  <a:pt x="676051" y="956310"/>
                                </a:lnTo>
                                <a:lnTo>
                                  <a:pt x="694271" y="943610"/>
                                </a:lnTo>
                                <a:lnTo>
                                  <a:pt x="698368" y="937260"/>
                                </a:lnTo>
                                <a:lnTo>
                                  <a:pt x="57345" y="937259"/>
                                </a:lnTo>
                                <a:lnTo>
                                  <a:pt x="43949" y="933449"/>
                                </a:lnTo>
                                <a:lnTo>
                                  <a:pt x="33013" y="925829"/>
                                </a:lnTo>
                                <a:lnTo>
                                  <a:pt x="25641" y="914399"/>
                                </a:lnTo>
                                <a:lnTo>
                                  <a:pt x="22938" y="900429"/>
                                </a:lnTo>
                                <a:lnTo>
                                  <a:pt x="22938" y="781049"/>
                                </a:lnTo>
                                <a:lnTo>
                                  <a:pt x="149099" y="781050"/>
                                </a:lnTo>
                                <a:lnTo>
                                  <a:pt x="149099" y="756920"/>
                                </a:lnTo>
                                <a:lnTo>
                                  <a:pt x="22938" y="756919"/>
                                </a:lnTo>
                                <a:lnTo>
                                  <a:pt x="22938" y="588009"/>
                                </a:lnTo>
                                <a:lnTo>
                                  <a:pt x="149099" y="588010"/>
                                </a:lnTo>
                                <a:lnTo>
                                  <a:pt x="149099" y="563880"/>
                                </a:lnTo>
                                <a:lnTo>
                                  <a:pt x="22938" y="563879"/>
                                </a:lnTo>
                                <a:lnTo>
                                  <a:pt x="22938" y="396239"/>
                                </a:lnTo>
                                <a:lnTo>
                                  <a:pt x="286729" y="396240"/>
                                </a:lnTo>
                                <a:lnTo>
                                  <a:pt x="286729" y="372110"/>
                                </a:lnTo>
                                <a:lnTo>
                                  <a:pt x="22938" y="372109"/>
                                </a:lnTo>
                                <a:lnTo>
                                  <a:pt x="22938" y="203199"/>
                                </a:lnTo>
                                <a:lnTo>
                                  <a:pt x="149099" y="203200"/>
                                </a:lnTo>
                                <a:lnTo>
                                  <a:pt x="149099" y="179070"/>
                                </a:lnTo>
                                <a:lnTo>
                                  <a:pt x="22938" y="179069"/>
                                </a:lnTo>
                                <a:lnTo>
                                  <a:pt x="22938" y="59689"/>
                                </a:lnTo>
                                <a:lnTo>
                                  <a:pt x="25641" y="45719"/>
                                </a:lnTo>
                                <a:lnTo>
                                  <a:pt x="33013" y="34289"/>
                                </a:lnTo>
                                <a:lnTo>
                                  <a:pt x="43949" y="26669"/>
                                </a:lnTo>
                                <a:lnTo>
                                  <a:pt x="57345" y="22859"/>
                                </a:lnTo>
                                <a:lnTo>
                                  <a:pt x="698368" y="22860"/>
                                </a:lnTo>
                                <a:lnTo>
                                  <a:pt x="694271" y="16510"/>
                                </a:lnTo>
                                <a:lnTo>
                                  <a:pt x="676051" y="3810"/>
                                </a:lnTo>
                                <a:lnTo>
                                  <a:pt x="653742" y="0"/>
                                </a:lnTo>
                                <a:close/>
                              </a:path>
                              <a:path w="711200" h="960119">
                                <a:moveTo>
                                  <a:pt x="711088" y="781050"/>
                                </a:moveTo>
                                <a:lnTo>
                                  <a:pt x="688149" y="781050"/>
                                </a:lnTo>
                                <a:lnTo>
                                  <a:pt x="688149" y="900430"/>
                                </a:lnTo>
                                <a:lnTo>
                                  <a:pt x="685445" y="914400"/>
                                </a:lnTo>
                                <a:lnTo>
                                  <a:pt x="678071" y="925830"/>
                                </a:lnTo>
                                <a:lnTo>
                                  <a:pt x="667134" y="933450"/>
                                </a:lnTo>
                                <a:lnTo>
                                  <a:pt x="653742" y="937260"/>
                                </a:lnTo>
                                <a:lnTo>
                                  <a:pt x="698368" y="937260"/>
                                </a:lnTo>
                                <a:lnTo>
                                  <a:pt x="706563" y="924560"/>
                                </a:lnTo>
                                <a:lnTo>
                                  <a:pt x="711088" y="900430"/>
                                </a:lnTo>
                                <a:lnTo>
                                  <a:pt x="711088" y="781050"/>
                                </a:lnTo>
                                <a:close/>
                              </a:path>
                              <a:path w="711200" h="960119">
                                <a:moveTo>
                                  <a:pt x="149099" y="781050"/>
                                </a:moveTo>
                                <a:lnTo>
                                  <a:pt x="126160" y="781050"/>
                                </a:lnTo>
                                <a:lnTo>
                                  <a:pt x="126160" y="792479"/>
                                </a:lnTo>
                                <a:lnTo>
                                  <a:pt x="129766" y="811530"/>
                                </a:lnTo>
                                <a:lnTo>
                                  <a:pt x="139597" y="826770"/>
                                </a:lnTo>
                                <a:lnTo>
                                  <a:pt x="154180" y="836930"/>
                                </a:lnTo>
                                <a:lnTo>
                                  <a:pt x="172037" y="840740"/>
                                </a:lnTo>
                                <a:lnTo>
                                  <a:pt x="189890" y="836930"/>
                                </a:lnTo>
                                <a:lnTo>
                                  <a:pt x="204473" y="826770"/>
                                </a:lnTo>
                                <a:lnTo>
                                  <a:pt x="211029" y="816610"/>
                                </a:lnTo>
                                <a:lnTo>
                                  <a:pt x="172037" y="816610"/>
                                </a:lnTo>
                                <a:lnTo>
                                  <a:pt x="163106" y="814070"/>
                                </a:lnTo>
                                <a:lnTo>
                                  <a:pt x="155815" y="808990"/>
                                </a:lnTo>
                                <a:lnTo>
                                  <a:pt x="150901" y="801370"/>
                                </a:lnTo>
                                <a:lnTo>
                                  <a:pt x="149099" y="792480"/>
                                </a:lnTo>
                                <a:lnTo>
                                  <a:pt x="149099" y="781050"/>
                                </a:lnTo>
                                <a:close/>
                              </a:path>
                              <a:path w="711200" h="960119">
                                <a:moveTo>
                                  <a:pt x="401420" y="781050"/>
                                </a:moveTo>
                                <a:lnTo>
                                  <a:pt x="378482" y="781050"/>
                                </a:lnTo>
                                <a:lnTo>
                                  <a:pt x="378482" y="792480"/>
                                </a:lnTo>
                                <a:lnTo>
                                  <a:pt x="382087" y="811530"/>
                                </a:lnTo>
                                <a:lnTo>
                                  <a:pt x="391919" y="826770"/>
                                </a:lnTo>
                                <a:lnTo>
                                  <a:pt x="406501" y="836930"/>
                                </a:lnTo>
                                <a:lnTo>
                                  <a:pt x="424359" y="840740"/>
                                </a:lnTo>
                                <a:lnTo>
                                  <a:pt x="442212" y="836930"/>
                                </a:lnTo>
                                <a:lnTo>
                                  <a:pt x="456795" y="826770"/>
                                </a:lnTo>
                                <a:lnTo>
                                  <a:pt x="463351" y="816610"/>
                                </a:lnTo>
                                <a:lnTo>
                                  <a:pt x="424359" y="816610"/>
                                </a:lnTo>
                                <a:lnTo>
                                  <a:pt x="415428" y="814070"/>
                                </a:lnTo>
                                <a:lnTo>
                                  <a:pt x="408137" y="808990"/>
                                </a:lnTo>
                                <a:lnTo>
                                  <a:pt x="403222" y="801370"/>
                                </a:lnTo>
                                <a:lnTo>
                                  <a:pt x="401420" y="792480"/>
                                </a:lnTo>
                                <a:lnTo>
                                  <a:pt x="401420" y="781050"/>
                                </a:lnTo>
                                <a:close/>
                              </a:path>
                              <a:path w="711200" h="960119">
                                <a:moveTo>
                                  <a:pt x="516112" y="781050"/>
                                </a:moveTo>
                                <a:lnTo>
                                  <a:pt x="493174" y="781050"/>
                                </a:lnTo>
                                <a:lnTo>
                                  <a:pt x="493174" y="792480"/>
                                </a:lnTo>
                                <a:lnTo>
                                  <a:pt x="496779" y="811530"/>
                                </a:lnTo>
                                <a:lnTo>
                                  <a:pt x="506611" y="826770"/>
                                </a:lnTo>
                                <a:lnTo>
                                  <a:pt x="521193" y="836930"/>
                                </a:lnTo>
                                <a:lnTo>
                                  <a:pt x="539050" y="840740"/>
                                </a:lnTo>
                                <a:lnTo>
                                  <a:pt x="556904" y="836930"/>
                                </a:lnTo>
                                <a:lnTo>
                                  <a:pt x="571487" y="826770"/>
                                </a:lnTo>
                                <a:lnTo>
                                  <a:pt x="578042" y="816610"/>
                                </a:lnTo>
                                <a:lnTo>
                                  <a:pt x="539050" y="816610"/>
                                </a:lnTo>
                                <a:lnTo>
                                  <a:pt x="530120" y="814070"/>
                                </a:lnTo>
                                <a:lnTo>
                                  <a:pt x="522829" y="808990"/>
                                </a:lnTo>
                                <a:lnTo>
                                  <a:pt x="517914" y="801370"/>
                                </a:lnTo>
                                <a:lnTo>
                                  <a:pt x="516112" y="792480"/>
                                </a:lnTo>
                                <a:lnTo>
                                  <a:pt x="516112" y="781050"/>
                                </a:lnTo>
                                <a:close/>
                              </a:path>
                              <a:path w="711200" h="960119">
                                <a:moveTo>
                                  <a:pt x="211029" y="720090"/>
                                </a:moveTo>
                                <a:lnTo>
                                  <a:pt x="172037" y="720090"/>
                                </a:lnTo>
                                <a:lnTo>
                                  <a:pt x="180964" y="722630"/>
                                </a:lnTo>
                                <a:lnTo>
                                  <a:pt x="188255" y="727710"/>
                                </a:lnTo>
                                <a:lnTo>
                                  <a:pt x="193172" y="735330"/>
                                </a:lnTo>
                                <a:lnTo>
                                  <a:pt x="194975" y="744220"/>
                                </a:lnTo>
                                <a:lnTo>
                                  <a:pt x="194975" y="792480"/>
                                </a:lnTo>
                                <a:lnTo>
                                  <a:pt x="193172" y="801370"/>
                                </a:lnTo>
                                <a:lnTo>
                                  <a:pt x="188255" y="808990"/>
                                </a:lnTo>
                                <a:lnTo>
                                  <a:pt x="180964" y="814070"/>
                                </a:lnTo>
                                <a:lnTo>
                                  <a:pt x="172037" y="816610"/>
                                </a:lnTo>
                                <a:lnTo>
                                  <a:pt x="211029" y="816610"/>
                                </a:lnTo>
                                <a:lnTo>
                                  <a:pt x="214307" y="811530"/>
                                </a:lnTo>
                                <a:lnTo>
                                  <a:pt x="217914" y="792480"/>
                                </a:lnTo>
                                <a:lnTo>
                                  <a:pt x="217914" y="781050"/>
                                </a:lnTo>
                                <a:lnTo>
                                  <a:pt x="401420" y="781050"/>
                                </a:lnTo>
                                <a:lnTo>
                                  <a:pt x="401420" y="756920"/>
                                </a:lnTo>
                                <a:lnTo>
                                  <a:pt x="217914" y="756920"/>
                                </a:lnTo>
                                <a:lnTo>
                                  <a:pt x="217914" y="744220"/>
                                </a:lnTo>
                                <a:lnTo>
                                  <a:pt x="214307" y="725170"/>
                                </a:lnTo>
                                <a:lnTo>
                                  <a:pt x="211029" y="720090"/>
                                </a:lnTo>
                                <a:close/>
                              </a:path>
                              <a:path w="711200" h="960119">
                                <a:moveTo>
                                  <a:pt x="463351" y="720090"/>
                                </a:moveTo>
                                <a:lnTo>
                                  <a:pt x="424359" y="720090"/>
                                </a:lnTo>
                                <a:lnTo>
                                  <a:pt x="433285" y="722630"/>
                                </a:lnTo>
                                <a:lnTo>
                                  <a:pt x="440577" y="727710"/>
                                </a:lnTo>
                                <a:lnTo>
                                  <a:pt x="445494" y="735330"/>
                                </a:lnTo>
                                <a:lnTo>
                                  <a:pt x="447297" y="744220"/>
                                </a:lnTo>
                                <a:lnTo>
                                  <a:pt x="447297" y="792480"/>
                                </a:lnTo>
                                <a:lnTo>
                                  <a:pt x="445494" y="801370"/>
                                </a:lnTo>
                                <a:lnTo>
                                  <a:pt x="440577" y="808990"/>
                                </a:lnTo>
                                <a:lnTo>
                                  <a:pt x="433285" y="814070"/>
                                </a:lnTo>
                                <a:lnTo>
                                  <a:pt x="424359" y="816610"/>
                                </a:lnTo>
                                <a:lnTo>
                                  <a:pt x="463351" y="816610"/>
                                </a:lnTo>
                                <a:lnTo>
                                  <a:pt x="466629" y="811530"/>
                                </a:lnTo>
                                <a:lnTo>
                                  <a:pt x="470235" y="792480"/>
                                </a:lnTo>
                                <a:lnTo>
                                  <a:pt x="470235" y="781050"/>
                                </a:lnTo>
                                <a:lnTo>
                                  <a:pt x="516112" y="781050"/>
                                </a:lnTo>
                                <a:lnTo>
                                  <a:pt x="516112" y="756920"/>
                                </a:lnTo>
                                <a:lnTo>
                                  <a:pt x="470235" y="756920"/>
                                </a:lnTo>
                                <a:lnTo>
                                  <a:pt x="470235" y="744220"/>
                                </a:lnTo>
                                <a:lnTo>
                                  <a:pt x="466629" y="725170"/>
                                </a:lnTo>
                                <a:lnTo>
                                  <a:pt x="463351" y="720090"/>
                                </a:lnTo>
                                <a:close/>
                              </a:path>
                              <a:path w="711200" h="960119">
                                <a:moveTo>
                                  <a:pt x="578042" y="720090"/>
                                </a:moveTo>
                                <a:lnTo>
                                  <a:pt x="539050" y="720090"/>
                                </a:lnTo>
                                <a:lnTo>
                                  <a:pt x="547977" y="722630"/>
                                </a:lnTo>
                                <a:lnTo>
                                  <a:pt x="555268" y="727710"/>
                                </a:lnTo>
                                <a:lnTo>
                                  <a:pt x="560185" y="735330"/>
                                </a:lnTo>
                                <a:lnTo>
                                  <a:pt x="561989" y="744220"/>
                                </a:lnTo>
                                <a:lnTo>
                                  <a:pt x="561989" y="792480"/>
                                </a:lnTo>
                                <a:lnTo>
                                  <a:pt x="560185" y="801370"/>
                                </a:lnTo>
                                <a:lnTo>
                                  <a:pt x="555268" y="808990"/>
                                </a:lnTo>
                                <a:lnTo>
                                  <a:pt x="547977" y="814070"/>
                                </a:lnTo>
                                <a:lnTo>
                                  <a:pt x="539050" y="816610"/>
                                </a:lnTo>
                                <a:lnTo>
                                  <a:pt x="578042" y="816610"/>
                                </a:lnTo>
                                <a:lnTo>
                                  <a:pt x="581320" y="811530"/>
                                </a:lnTo>
                                <a:lnTo>
                                  <a:pt x="584927" y="792480"/>
                                </a:lnTo>
                                <a:lnTo>
                                  <a:pt x="584927" y="781050"/>
                                </a:lnTo>
                                <a:lnTo>
                                  <a:pt x="711088" y="781050"/>
                                </a:lnTo>
                                <a:lnTo>
                                  <a:pt x="711088" y="756920"/>
                                </a:lnTo>
                                <a:lnTo>
                                  <a:pt x="584927" y="756920"/>
                                </a:lnTo>
                                <a:lnTo>
                                  <a:pt x="584927" y="744220"/>
                                </a:lnTo>
                                <a:lnTo>
                                  <a:pt x="581320" y="725170"/>
                                </a:lnTo>
                                <a:lnTo>
                                  <a:pt x="578042" y="720090"/>
                                </a:lnTo>
                                <a:close/>
                              </a:path>
                              <a:path w="711200" h="960119">
                                <a:moveTo>
                                  <a:pt x="172037" y="695960"/>
                                </a:moveTo>
                                <a:lnTo>
                                  <a:pt x="154180" y="699770"/>
                                </a:lnTo>
                                <a:lnTo>
                                  <a:pt x="139597" y="709930"/>
                                </a:lnTo>
                                <a:lnTo>
                                  <a:pt x="129766" y="725170"/>
                                </a:lnTo>
                                <a:lnTo>
                                  <a:pt x="126160" y="744220"/>
                                </a:lnTo>
                                <a:lnTo>
                                  <a:pt x="126160" y="756920"/>
                                </a:lnTo>
                                <a:lnTo>
                                  <a:pt x="149099" y="756920"/>
                                </a:lnTo>
                                <a:lnTo>
                                  <a:pt x="149099" y="744220"/>
                                </a:lnTo>
                                <a:lnTo>
                                  <a:pt x="150901" y="735330"/>
                                </a:lnTo>
                                <a:lnTo>
                                  <a:pt x="155815" y="727710"/>
                                </a:lnTo>
                                <a:lnTo>
                                  <a:pt x="163106" y="722630"/>
                                </a:lnTo>
                                <a:lnTo>
                                  <a:pt x="172037" y="720090"/>
                                </a:lnTo>
                                <a:lnTo>
                                  <a:pt x="211029" y="720090"/>
                                </a:lnTo>
                                <a:lnTo>
                                  <a:pt x="204473" y="709930"/>
                                </a:lnTo>
                                <a:lnTo>
                                  <a:pt x="189890" y="699770"/>
                                </a:lnTo>
                                <a:lnTo>
                                  <a:pt x="172037" y="695960"/>
                                </a:lnTo>
                                <a:close/>
                              </a:path>
                              <a:path w="711200" h="960119">
                                <a:moveTo>
                                  <a:pt x="424359" y="695960"/>
                                </a:moveTo>
                                <a:lnTo>
                                  <a:pt x="406501" y="699770"/>
                                </a:lnTo>
                                <a:lnTo>
                                  <a:pt x="391919" y="709930"/>
                                </a:lnTo>
                                <a:lnTo>
                                  <a:pt x="382087" y="725170"/>
                                </a:lnTo>
                                <a:lnTo>
                                  <a:pt x="378482" y="744220"/>
                                </a:lnTo>
                                <a:lnTo>
                                  <a:pt x="378482" y="756920"/>
                                </a:lnTo>
                                <a:lnTo>
                                  <a:pt x="401420" y="756920"/>
                                </a:lnTo>
                                <a:lnTo>
                                  <a:pt x="401420" y="744220"/>
                                </a:lnTo>
                                <a:lnTo>
                                  <a:pt x="403222" y="735330"/>
                                </a:lnTo>
                                <a:lnTo>
                                  <a:pt x="408137" y="727710"/>
                                </a:lnTo>
                                <a:lnTo>
                                  <a:pt x="415428" y="722630"/>
                                </a:lnTo>
                                <a:lnTo>
                                  <a:pt x="424359" y="720090"/>
                                </a:lnTo>
                                <a:lnTo>
                                  <a:pt x="463351" y="720090"/>
                                </a:lnTo>
                                <a:lnTo>
                                  <a:pt x="456795" y="709930"/>
                                </a:lnTo>
                                <a:lnTo>
                                  <a:pt x="442212" y="699770"/>
                                </a:lnTo>
                                <a:lnTo>
                                  <a:pt x="424359" y="695960"/>
                                </a:lnTo>
                                <a:close/>
                              </a:path>
                              <a:path w="711200" h="960119">
                                <a:moveTo>
                                  <a:pt x="539050" y="695960"/>
                                </a:moveTo>
                                <a:lnTo>
                                  <a:pt x="521193" y="699770"/>
                                </a:lnTo>
                                <a:lnTo>
                                  <a:pt x="506610" y="709930"/>
                                </a:lnTo>
                                <a:lnTo>
                                  <a:pt x="496779" y="725170"/>
                                </a:lnTo>
                                <a:lnTo>
                                  <a:pt x="493174" y="744220"/>
                                </a:lnTo>
                                <a:lnTo>
                                  <a:pt x="493174" y="756920"/>
                                </a:lnTo>
                                <a:lnTo>
                                  <a:pt x="516112" y="756920"/>
                                </a:lnTo>
                                <a:lnTo>
                                  <a:pt x="516112" y="744220"/>
                                </a:lnTo>
                                <a:lnTo>
                                  <a:pt x="517914" y="735330"/>
                                </a:lnTo>
                                <a:lnTo>
                                  <a:pt x="522829" y="727710"/>
                                </a:lnTo>
                                <a:lnTo>
                                  <a:pt x="530120" y="722630"/>
                                </a:lnTo>
                                <a:lnTo>
                                  <a:pt x="539050" y="720090"/>
                                </a:lnTo>
                                <a:lnTo>
                                  <a:pt x="578042" y="720090"/>
                                </a:lnTo>
                                <a:lnTo>
                                  <a:pt x="571487" y="709930"/>
                                </a:lnTo>
                                <a:lnTo>
                                  <a:pt x="556904" y="699770"/>
                                </a:lnTo>
                                <a:lnTo>
                                  <a:pt x="539050" y="695960"/>
                                </a:lnTo>
                                <a:close/>
                              </a:path>
                              <a:path w="711200" h="960119">
                                <a:moveTo>
                                  <a:pt x="711088" y="588010"/>
                                </a:moveTo>
                                <a:lnTo>
                                  <a:pt x="688149" y="588010"/>
                                </a:lnTo>
                                <a:lnTo>
                                  <a:pt x="688149" y="756920"/>
                                </a:lnTo>
                                <a:lnTo>
                                  <a:pt x="711088" y="756920"/>
                                </a:lnTo>
                                <a:lnTo>
                                  <a:pt x="711088" y="588010"/>
                                </a:lnTo>
                                <a:close/>
                              </a:path>
                              <a:path w="711200" h="960119">
                                <a:moveTo>
                                  <a:pt x="149099" y="588010"/>
                                </a:moveTo>
                                <a:lnTo>
                                  <a:pt x="126160" y="588010"/>
                                </a:lnTo>
                                <a:lnTo>
                                  <a:pt x="126160" y="600710"/>
                                </a:lnTo>
                                <a:lnTo>
                                  <a:pt x="129766" y="618490"/>
                                </a:lnTo>
                                <a:lnTo>
                                  <a:pt x="139597" y="633730"/>
                                </a:lnTo>
                                <a:lnTo>
                                  <a:pt x="154180" y="645160"/>
                                </a:lnTo>
                                <a:lnTo>
                                  <a:pt x="172037" y="647700"/>
                                </a:lnTo>
                                <a:lnTo>
                                  <a:pt x="189890" y="645160"/>
                                </a:lnTo>
                                <a:lnTo>
                                  <a:pt x="204473" y="633730"/>
                                </a:lnTo>
                                <a:lnTo>
                                  <a:pt x="210210" y="624840"/>
                                </a:lnTo>
                                <a:lnTo>
                                  <a:pt x="172037" y="624840"/>
                                </a:lnTo>
                                <a:lnTo>
                                  <a:pt x="163106" y="622300"/>
                                </a:lnTo>
                                <a:lnTo>
                                  <a:pt x="155815" y="617220"/>
                                </a:lnTo>
                                <a:lnTo>
                                  <a:pt x="150901" y="609600"/>
                                </a:lnTo>
                                <a:lnTo>
                                  <a:pt x="149099" y="600710"/>
                                </a:lnTo>
                                <a:lnTo>
                                  <a:pt x="149099" y="588010"/>
                                </a:lnTo>
                                <a:close/>
                              </a:path>
                              <a:path w="711200" h="960119">
                                <a:moveTo>
                                  <a:pt x="263790" y="588010"/>
                                </a:moveTo>
                                <a:lnTo>
                                  <a:pt x="240852" y="588010"/>
                                </a:lnTo>
                                <a:lnTo>
                                  <a:pt x="240852" y="600710"/>
                                </a:lnTo>
                                <a:lnTo>
                                  <a:pt x="244457" y="618490"/>
                                </a:lnTo>
                                <a:lnTo>
                                  <a:pt x="254289" y="633730"/>
                                </a:lnTo>
                                <a:lnTo>
                                  <a:pt x="268871" y="645160"/>
                                </a:lnTo>
                                <a:lnTo>
                                  <a:pt x="286729" y="647700"/>
                                </a:lnTo>
                                <a:lnTo>
                                  <a:pt x="304582" y="645160"/>
                                </a:lnTo>
                                <a:lnTo>
                                  <a:pt x="319165" y="633730"/>
                                </a:lnTo>
                                <a:lnTo>
                                  <a:pt x="324901" y="624840"/>
                                </a:lnTo>
                                <a:lnTo>
                                  <a:pt x="286729" y="624840"/>
                                </a:lnTo>
                                <a:lnTo>
                                  <a:pt x="277798" y="622300"/>
                                </a:lnTo>
                                <a:lnTo>
                                  <a:pt x="270507" y="617220"/>
                                </a:lnTo>
                                <a:lnTo>
                                  <a:pt x="265592" y="609600"/>
                                </a:lnTo>
                                <a:lnTo>
                                  <a:pt x="263790" y="600710"/>
                                </a:lnTo>
                                <a:lnTo>
                                  <a:pt x="263790" y="588010"/>
                                </a:lnTo>
                                <a:close/>
                              </a:path>
                              <a:path w="711200" h="960119">
                                <a:moveTo>
                                  <a:pt x="516112" y="588010"/>
                                </a:moveTo>
                                <a:lnTo>
                                  <a:pt x="493174" y="588010"/>
                                </a:lnTo>
                                <a:lnTo>
                                  <a:pt x="493174" y="600710"/>
                                </a:lnTo>
                                <a:lnTo>
                                  <a:pt x="496779" y="618490"/>
                                </a:lnTo>
                                <a:lnTo>
                                  <a:pt x="506610" y="633730"/>
                                </a:lnTo>
                                <a:lnTo>
                                  <a:pt x="521193" y="645160"/>
                                </a:lnTo>
                                <a:lnTo>
                                  <a:pt x="539050" y="647700"/>
                                </a:lnTo>
                                <a:lnTo>
                                  <a:pt x="556904" y="645160"/>
                                </a:lnTo>
                                <a:lnTo>
                                  <a:pt x="571487" y="633730"/>
                                </a:lnTo>
                                <a:lnTo>
                                  <a:pt x="577223" y="624840"/>
                                </a:lnTo>
                                <a:lnTo>
                                  <a:pt x="539050" y="624840"/>
                                </a:lnTo>
                                <a:lnTo>
                                  <a:pt x="530120" y="622300"/>
                                </a:lnTo>
                                <a:lnTo>
                                  <a:pt x="522829" y="617220"/>
                                </a:lnTo>
                                <a:lnTo>
                                  <a:pt x="517914" y="609600"/>
                                </a:lnTo>
                                <a:lnTo>
                                  <a:pt x="516112" y="600710"/>
                                </a:lnTo>
                                <a:lnTo>
                                  <a:pt x="516112" y="588010"/>
                                </a:lnTo>
                                <a:close/>
                              </a:path>
                              <a:path w="711200" h="960119">
                                <a:moveTo>
                                  <a:pt x="211029" y="528320"/>
                                </a:moveTo>
                                <a:lnTo>
                                  <a:pt x="172037" y="528320"/>
                                </a:lnTo>
                                <a:lnTo>
                                  <a:pt x="180964" y="529590"/>
                                </a:lnTo>
                                <a:lnTo>
                                  <a:pt x="188255" y="534670"/>
                                </a:lnTo>
                                <a:lnTo>
                                  <a:pt x="193172" y="542290"/>
                                </a:lnTo>
                                <a:lnTo>
                                  <a:pt x="194975" y="552450"/>
                                </a:lnTo>
                                <a:lnTo>
                                  <a:pt x="194975" y="600710"/>
                                </a:lnTo>
                                <a:lnTo>
                                  <a:pt x="193172" y="609600"/>
                                </a:lnTo>
                                <a:lnTo>
                                  <a:pt x="188255" y="617220"/>
                                </a:lnTo>
                                <a:lnTo>
                                  <a:pt x="180964" y="622300"/>
                                </a:lnTo>
                                <a:lnTo>
                                  <a:pt x="172037" y="624840"/>
                                </a:lnTo>
                                <a:lnTo>
                                  <a:pt x="210210" y="624840"/>
                                </a:lnTo>
                                <a:lnTo>
                                  <a:pt x="214307" y="618490"/>
                                </a:lnTo>
                                <a:lnTo>
                                  <a:pt x="217914" y="600710"/>
                                </a:lnTo>
                                <a:lnTo>
                                  <a:pt x="217914" y="588010"/>
                                </a:lnTo>
                                <a:lnTo>
                                  <a:pt x="263790" y="588010"/>
                                </a:lnTo>
                                <a:lnTo>
                                  <a:pt x="263790" y="563880"/>
                                </a:lnTo>
                                <a:lnTo>
                                  <a:pt x="217914" y="563880"/>
                                </a:lnTo>
                                <a:lnTo>
                                  <a:pt x="217914" y="552450"/>
                                </a:lnTo>
                                <a:lnTo>
                                  <a:pt x="214307" y="533400"/>
                                </a:lnTo>
                                <a:lnTo>
                                  <a:pt x="211029" y="528320"/>
                                </a:lnTo>
                                <a:close/>
                              </a:path>
                              <a:path w="711200" h="960119">
                                <a:moveTo>
                                  <a:pt x="325721" y="528320"/>
                                </a:moveTo>
                                <a:lnTo>
                                  <a:pt x="286729" y="528320"/>
                                </a:lnTo>
                                <a:lnTo>
                                  <a:pt x="295655" y="529590"/>
                                </a:lnTo>
                                <a:lnTo>
                                  <a:pt x="302947" y="534670"/>
                                </a:lnTo>
                                <a:lnTo>
                                  <a:pt x="307864" y="542290"/>
                                </a:lnTo>
                                <a:lnTo>
                                  <a:pt x="309667" y="552450"/>
                                </a:lnTo>
                                <a:lnTo>
                                  <a:pt x="309667" y="600710"/>
                                </a:lnTo>
                                <a:lnTo>
                                  <a:pt x="307864" y="609600"/>
                                </a:lnTo>
                                <a:lnTo>
                                  <a:pt x="302947" y="617220"/>
                                </a:lnTo>
                                <a:lnTo>
                                  <a:pt x="295655" y="622300"/>
                                </a:lnTo>
                                <a:lnTo>
                                  <a:pt x="286729" y="624840"/>
                                </a:lnTo>
                                <a:lnTo>
                                  <a:pt x="324901" y="624840"/>
                                </a:lnTo>
                                <a:lnTo>
                                  <a:pt x="328999" y="618490"/>
                                </a:lnTo>
                                <a:lnTo>
                                  <a:pt x="332605" y="600710"/>
                                </a:lnTo>
                                <a:lnTo>
                                  <a:pt x="332605" y="588010"/>
                                </a:lnTo>
                                <a:lnTo>
                                  <a:pt x="516112" y="588010"/>
                                </a:lnTo>
                                <a:lnTo>
                                  <a:pt x="516112" y="563880"/>
                                </a:lnTo>
                                <a:lnTo>
                                  <a:pt x="332605" y="563880"/>
                                </a:lnTo>
                                <a:lnTo>
                                  <a:pt x="332605" y="552450"/>
                                </a:lnTo>
                                <a:lnTo>
                                  <a:pt x="328999" y="533400"/>
                                </a:lnTo>
                                <a:lnTo>
                                  <a:pt x="325721" y="528320"/>
                                </a:lnTo>
                                <a:close/>
                              </a:path>
                              <a:path w="711200" h="960119">
                                <a:moveTo>
                                  <a:pt x="578042" y="528320"/>
                                </a:moveTo>
                                <a:lnTo>
                                  <a:pt x="539050" y="528320"/>
                                </a:lnTo>
                                <a:lnTo>
                                  <a:pt x="547977" y="529590"/>
                                </a:lnTo>
                                <a:lnTo>
                                  <a:pt x="555268" y="534670"/>
                                </a:lnTo>
                                <a:lnTo>
                                  <a:pt x="560185" y="542290"/>
                                </a:lnTo>
                                <a:lnTo>
                                  <a:pt x="561989" y="552450"/>
                                </a:lnTo>
                                <a:lnTo>
                                  <a:pt x="561989" y="600710"/>
                                </a:lnTo>
                                <a:lnTo>
                                  <a:pt x="560185" y="609600"/>
                                </a:lnTo>
                                <a:lnTo>
                                  <a:pt x="555268" y="617220"/>
                                </a:lnTo>
                                <a:lnTo>
                                  <a:pt x="547977" y="622300"/>
                                </a:lnTo>
                                <a:lnTo>
                                  <a:pt x="539050" y="624840"/>
                                </a:lnTo>
                                <a:lnTo>
                                  <a:pt x="577223" y="624840"/>
                                </a:lnTo>
                                <a:lnTo>
                                  <a:pt x="581320" y="618490"/>
                                </a:lnTo>
                                <a:lnTo>
                                  <a:pt x="584927" y="600710"/>
                                </a:lnTo>
                                <a:lnTo>
                                  <a:pt x="584927" y="588010"/>
                                </a:lnTo>
                                <a:lnTo>
                                  <a:pt x="711088" y="588010"/>
                                </a:lnTo>
                                <a:lnTo>
                                  <a:pt x="711088" y="563880"/>
                                </a:lnTo>
                                <a:lnTo>
                                  <a:pt x="584927" y="563880"/>
                                </a:lnTo>
                                <a:lnTo>
                                  <a:pt x="584927" y="552450"/>
                                </a:lnTo>
                                <a:lnTo>
                                  <a:pt x="581320" y="533400"/>
                                </a:lnTo>
                                <a:lnTo>
                                  <a:pt x="578042" y="528320"/>
                                </a:lnTo>
                                <a:close/>
                              </a:path>
                              <a:path w="711200" h="960119">
                                <a:moveTo>
                                  <a:pt x="172037" y="504190"/>
                                </a:moveTo>
                                <a:lnTo>
                                  <a:pt x="154180" y="508000"/>
                                </a:lnTo>
                                <a:lnTo>
                                  <a:pt x="139597" y="518160"/>
                                </a:lnTo>
                                <a:lnTo>
                                  <a:pt x="129766" y="533400"/>
                                </a:lnTo>
                                <a:lnTo>
                                  <a:pt x="126160" y="552450"/>
                                </a:lnTo>
                                <a:lnTo>
                                  <a:pt x="126160" y="563880"/>
                                </a:lnTo>
                                <a:lnTo>
                                  <a:pt x="149099" y="563880"/>
                                </a:lnTo>
                                <a:lnTo>
                                  <a:pt x="149099" y="552450"/>
                                </a:lnTo>
                                <a:lnTo>
                                  <a:pt x="150901" y="542290"/>
                                </a:lnTo>
                                <a:lnTo>
                                  <a:pt x="155815" y="534670"/>
                                </a:lnTo>
                                <a:lnTo>
                                  <a:pt x="163106" y="529590"/>
                                </a:lnTo>
                                <a:lnTo>
                                  <a:pt x="172037" y="528320"/>
                                </a:lnTo>
                                <a:lnTo>
                                  <a:pt x="211029" y="528320"/>
                                </a:lnTo>
                                <a:lnTo>
                                  <a:pt x="204473" y="518160"/>
                                </a:lnTo>
                                <a:lnTo>
                                  <a:pt x="189890" y="508000"/>
                                </a:lnTo>
                                <a:lnTo>
                                  <a:pt x="172037" y="504190"/>
                                </a:lnTo>
                                <a:close/>
                              </a:path>
                              <a:path w="711200" h="960119">
                                <a:moveTo>
                                  <a:pt x="286729" y="504190"/>
                                </a:moveTo>
                                <a:lnTo>
                                  <a:pt x="268871" y="508000"/>
                                </a:lnTo>
                                <a:lnTo>
                                  <a:pt x="254289" y="518160"/>
                                </a:lnTo>
                                <a:lnTo>
                                  <a:pt x="244457" y="533400"/>
                                </a:lnTo>
                                <a:lnTo>
                                  <a:pt x="240852" y="552450"/>
                                </a:lnTo>
                                <a:lnTo>
                                  <a:pt x="240852" y="563880"/>
                                </a:lnTo>
                                <a:lnTo>
                                  <a:pt x="263790" y="563880"/>
                                </a:lnTo>
                                <a:lnTo>
                                  <a:pt x="263790" y="552450"/>
                                </a:lnTo>
                                <a:lnTo>
                                  <a:pt x="265592" y="542290"/>
                                </a:lnTo>
                                <a:lnTo>
                                  <a:pt x="270507" y="534670"/>
                                </a:lnTo>
                                <a:lnTo>
                                  <a:pt x="277798" y="529590"/>
                                </a:lnTo>
                                <a:lnTo>
                                  <a:pt x="286729" y="528320"/>
                                </a:lnTo>
                                <a:lnTo>
                                  <a:pt x="325721" y="528320"/>
                                </a:lnTo>
                                <a:lnTo>
                                  <a:pt x="319165" y="518160"/>
                                </a:lnTo>
                                <a:lnTo>
                                  <a:pt x="304582" y="508000"/>
                                </a:lnTo>
                                <a:lnTo>
                                  <a:pt x="286729" y="504190"/>
                                </a:lnTo>
                                <a:close/>
                              </a:path>
                              <a:path w="711200" h="960119">
                                <a:moveTo>
                                  <a:pt x="539050" y="504190"/>
                                </a:moveTo>
                                <a:lnTo>
                                  <a:pt x="521193" y="508000"/>
                                </a:lnTo>
                                <a:lnTo>
                                  <a:pt x="506610" y="518160"/>
                                </a:lnTo>
                                <a:lnTo>
                                  <a:pt x="496779" y="533400"/>
                                </a:lnTo>
                                <a:lnTo>
                                  <a:pt x="493174" y="552450"/>
                                </a:lnTo>
                                <a:lnTo>
                                  <a:pt x="493174" y="563880"/>
                                </a:lnTo>
                                <a:lnTo>
                                  <a:pt x="516112" y="563880"/>
                                </a:lnTo>
                                <a:lnTo>
                                  <a:pt x="516112" y="552450"/>
                                </a:lnTo>
                                <a:lnTo>
                                  <a:pt x="517914" y="542290"/>
                                </a:lnTo>
                                <a:lnTo>
                                  <a:pt x="522829" y="534670"/>
                                </a:lnTo>
                                <a:lnTo>
                                  <a:pt x="530120" y="529590"/>
                                </a:lnTo>
                                <a:lnTo>
                                  <a:pt x="539050" y="528320"/>
                                </a:lnTo>
                                <a:lnTo>
                                  <a:pt x="578042" y="528320"/>
                                </a:lnTo>
                                <a:lnTo>
                                  <a:pt x="571487" y="518160"/>
                                </a:lnTo>
                                <a:lnTo>
                                  <a:pt x="556904" y="508000"/>
                                </a:lnTo>
                                <a:lnTo>
                                  <a:pt x="539050" y="504190"/>
                                </a:lnTo>
                                <a:close/>
                              </a:path>
                              <a:path w="711200" h="960119">
                                <a:moveTo>
                                  <a:pt x="711088" y="396240"/>
                                </a:moveTo>
                                <a:lnTo>
                                  <a:pt x="688149" y="396240"/>
                                </a:lnTo>
                                <a:lnTo>
                                  <a:pt x="688149" y="563880"/>
                                </a:lnTo>
                                <a:lnTo>
                                  <a:pt x="711088" y="563880"/>
                                </a:lnTo>
                                <a:lnTo>
                                  <a:pt x="711088" y="396240"/>
                                </a:lnTo>
                                <a:close/>
                              </a:path>
                              <a:path w="711200" h="960119">
                                <a:moveTo>
                                  <a:pt x="286729" y="396240"/>
                                </a:moveTo>
                                <a:lnTo>
                                  <a:pt x="263790" y="396240"/>
                                </a:lnTo>
                                <a:lnTo>
                                  <a:pt x="263790" y="407670"/>
                                </a:lnTo>
                                <a:lnTo>
                                  <a:pt x="267395" y="426720"/>
                                </a:lnTo>
                                <a:lnTo>
                                  <a:pt x="277227" y="441960"/>
                                </a:lnTo>
                                <a:lnTo>
                                  <a:pt x="291810" y="452120"/>
                                </a:lnTo>
                                <a:lnTo>
                                  <a:pt x="309667" y="455930"/>
                                </a:lnTo>
                                <a:lnTo>
                                  <a:pt x="327520" y="452120"/>
                                </a:lnTo>
                                <a:lnTo>
                                  <a:pt x="342103" y="441960"/>
                                </a:lnTo>
                                <a:lnTo>
                                  <a:pt x="348659" y="431800"/>
                                </a:lnTo>
                                <a:lnTo>
                                  <a:pt x="309667" y="431800"/>
                                </a:lnTo>
                                <a:lnTo>
                                  <a:pt x="300736" y="430530"/>
                                </a:lnTo>
                                <a:lnTo>
                                  <a:pt x="293445" y="425450"/>
                                </a:lnTo>
                                <a:lnTo>
                                  <a:pt x="288531" y="417830"/>
                                </a:lnTo>
                                <a:lnTo>
                                  <a:pt x="286729" y="407670"/>
                                </a:lnTo>
                                <a:lnTo>
                                  <a:pt x="286729" y="396240"/>
                                </a:lnTo>
                                <a:close/>
                              </a:path>
                              <a:path w="711200" h="960119">
                                <a:moveTo>
                                  <a:pt x="401420" y="396240"/>
                                </a:moveTo>
                                <a:lnTo>
                                  <a:pt x="378482" y="396240"/>
                                </a:lnTo>
                                <a:lnTo>
                                  <a:pt x="378482" y="407670"/>
                                </a:lnTo>
                                <a:lnTo>
                                  <a:pt x="382087" y="426720"/>
                                </a:lnTo>
                                <a:lnTo>
                                  <a:pt x="391919" y="441960"/>
                                </a:lnTo>
                                <a:lnTo>
                                  <a:pt x="406501" y="452120"/>
                                </a:lnTo>
                                <a:lnTo>
                                  <a:pt x="424359" y="455930"/>
                                </a:lnTo>
                                <a:lnTo>
                                  <a:pt x="442212" y="452120"/>
                                </a:lnTo>
                                <a:lnTo>
                                  <a:pt x="456795" y="441960"/>
                                </a:lnTo>
                                <a:lnTo>
                                  <a:pt x="463351" y="431800"/>
                                </a:lnTo>
                                <a:lnTo>
                                  <a:pt x="424359" y="431800"/>
                                </a:lnTo>
                                <a:lnTo>
                                  <a:pt x="415428" y="430530"/>
                                </a:lnTo>
                                <a:lnTo>
                                  <a:pt x="408137" y="425450"/>
                                </a:lnTo>
                                <a:lnTo>
                                  <a:pt x="403222" y="417830"/>
                                </a:lnTo>
                                <a:lnTo>
                                  <a:pt x="401420" y="407670"/>
                                </a:lnTo>
                                <a:lnTo>
                                  <a:pt x="401420" y="396240"/>
                                </a:lnTo>
                                <a:close/>
                              </a:path>
                              <a:path w="711200" h="960119">
                                <a:moveTo>
                                  <a:pt x="516112" y="396240"/>
                                </a:moveTo>
                                <a:lnTo>
                                  <a:pt x="493174" y="396240"/>
                                </a:lnTo>
                                <a:lnTo>
                                  <a:pt x="493174" y="407670"/>
                                </a:lnTo>
                                <a:lnTo>
                                  <a:pt x="496779" y="426720"/>
                                </a:lnTo>
                                <a:lnTo>
                                  <a:pt x="506610" y="441960"/>
                                </a:lnTo>
                                <a:lnTo>
                                  <a:pt x="521193" y="452120"/>
                                </a:lnTo>
                                <a:lnTo>
                                  <a:pt x="539050" y="455930"/>
                                </a:lnTo>
                                <a:lnTo>
                                  <a:pt x="556904" y="452120"/>
                                </a:lnTo>
                                <a:lnTo>
                                  <a:pt x="571487" y="441960"/>
                                </a:lnTo>
                                <a:lnTo>
                                  <a:pt x="578042" y="431800"/>
                                </a:lnTo>
                                <a:lnTo>
                                  <a:pt x="539050" y="431800"/>
                                </a:lnTo>
                                <a:lnTo>
                                  <a:pt x="530120" y="430530"/>
                                </a:lnTo>
                                <a:lnTo>
                                  <a:pt x="522829" y="425450"/>
                                </a:lnTo>
                                <a:lnTo>
                                  <a:pt x="517914" y="417830"/>
                                </a:lnTo>
                                <a:lnTo>
                                  <a:pt x="516112" y="407670"/>
                                </a:lnTo>
                                <a:lnTo>
                                  <a:pt x="516112" y="396240"/>
                                </a:lnTo>
                                <a:close/>
                              </a:path>
                              <a:path w="711200" h="960119">
                                <a:moveTo>
                                  <a:pt x="347840" y="335280"/>
                                </a:moveTo>
                                <a:lnTo>
                                  <a:pt x="309667" y="335280"/>
                                </a:lnTo>
                                <a:lnTo>
                                  <a:pt x="318594" y="337820"/>
                                </a:lnTo>
                                <a:lnTo>
                                  <a:pt x="325885" y="342900"/>
                                </a:lnTo>
                                <a:lnTo>
                                  <a:pt x="330802" y="350520"/>
                                </a:lnTo>
                                <a:lnTo>
                                  <a:pt x="332605" y="359410"/>
                                </a:lnTo>
                                <a:lnTo>
                                  <a:pt x="332605" y="407670"/>
                                </a:lnTo>
                                <a:lnTo>
                                  <a:pt x="330802" y="417830"/>
                                </a:lnTo>
                                <a:lnTo>
                                  <a:pt x="325885" y="425450"/>
                                </a:lnTo>
                                <a:lnTo>
                                  <a:pt x="318594" y="430530"/>
                                </a:lnTo>
                                <a:lnTo>
                                  <a:pt x="309667" y="431800"/>
                                </a:lnTo>
                                <a:lnTo>
                                  <a:pt x="348659" y="431800"/>
                                </a:lnTo>
                                <a:lnTo>
                                  <a:pt x="351937" y="426720"/>
                                </a:lnTo>
                                <a:lnTo>
                                  <a:pt x="355544" y="407670"/>
                                </a:lnTo>
                                <a:lnTo>
                                  <a:pt x="355544" y="396240"/>
                                </a:lnTo>
                                <a:lnTo>
                                  <a:pt x="401420" y="396240"/>
                                </a:lnTo>
                                <a:lnTo>
                                  <a:pt x="401420" y="372110"/>
                                </a:lnTo>
                                <a:lnTo>
                                  <a:pt x="355544" y="372110"/>
                                </a:lnTo>
                                <a:lnTo>
                                  <a:pt x="355544" y="359410"/>
                                </a:lnTo>
                                <a:lnTo>
                                  <a:pt x="351937" y="341630"/>
                                </a:lnTo>
                                <a:lnTo>
                                  <a:pt x="347840" y="335280"/>
                                </a:lnTo>
                                <a:close/>
                              </a:path>
                              <a:path w="711200" h="960119">
                                <a:moveTo>
                                  <a:pt x="462531" y="335280"/>
                                </a:moveTo>
                                <a:lnTo>
                                  <a:pt x="424359" y="335280"/>
                                </a:lnTo>
                                <a:lnTo>
                                  <a:pt x="433285" y="337820"/>
                                </a:lnTo>
                                <a:lnTo>
                                  <a:pt x="440577" y="342900"/>
                                </a:lnTo>
                                <a:lnTo>
                                  <a:pt x="445494" y="350520"/>
                                </a:lnTo>
                                <a:lnTo>
                                  <a:pt x="447297" y="359410"/>
                                </a:lnTo>
                                <a:lnTo>
                                  <a:pt x="447297" y="407670"/>
                                </a:lnTo>
                                <a:lnTo>
                                  <a:pt x="445494" y="417830"/>
                                </a:lnTo>
                                <a:lnTo>
                                  <a:pt x="440577" y="425450"/>
                                </a:lnTo>
                                <a:lnTo>
                                  <a:pt x="433285" y="430530"/>
                                </a:lnTo>
                                <a:lnTo>
                                  <a:pt x="424359" y="431800"/>
                                </a:lnTo>
                                <a:lnTo>
                                  <a:pt x="463351" y="431800"/>
                                </a:lnTo>
                                <a:lnTo>
                                  <a:pt x="466629" y="426720"/>
                                </a:lnTo>
                                <a:lnTo>
                                  <a:pt x="470235" y="407670"/>
                                </a:lnTo>
                                <a:lnTo>
                                  <a:pt x="470235" y="396240"/>
                                </a:lnTo>
                                <a:lnTo>
                                  <a:pt x="516112" y="396240"/>
                                </a:lnTo>
                                <a:lnTo>
                                  <a:pt x="516112" y="372110"/>
                                </a:lnTo>
                                <a:lnTo>
                                  <a:pt x="470235" y="372110"/>
                                </a:lnTo>
                                <a:lnTo>
                                  <a:pt x="470235" y="359410"/>
                                </a:lnTo>
                                <a:lnTo>
                                  <a:pt x="466629" y="341630"/>
                                </a:lnTo>
                                <a:lnTo>
                                  <a:pt x="462531" y="335280"/>
                                </a:lnTo>
                                <a:close/>
                              </a:path>
                              <a:path w="711200" h="960119">
                                <a:moveTo>
                                  <a:pt x="577223" y="335280"/>
                                </a:moveTo>
                                <a:lnTo>
                                  <a:pt x="539050" y="335280"/>
                                </a:lnTo>
                                <a:lnTo>
                                  <a:pt x="547977" y="337820"/>
                                </a:lnTo>
                                <a:lnTo>
                                  <a:pt x="555268" y="342900"/>
                                </a:lnTo>
                                <a:lnTo>
                                  <a:pt x="560185" y="350520"/>
                                </a:lnTo>
                                <a:lnTo>
                                  <a:pt x="561989" y="359410"/>
                                </a:lnTo>
                                <a:lnTo>
                                  <a:pt x="561989" y="407670"/>
                                </a:lnTo>
                                <a:lnTo>
                                  <a:pt x="560185" y="417830"/>
                                </a:lnTo>
                                <a:lnTo>
                                  <a:pt x="555268" y="425450"/>
                                </a:lnTo>
                                <a:lnTo>
                                  <a:pt x="547977" y="430530"/>
                                </a:lnTo>
                                <a:lnTo>
                                  <a:pt x="539050" y="431800"/>
                                </a:lnTo>
                                <a:lnTo>
                                  <a:pt x="578042" y="431800"/>
                                </a:lnTo>
                                <a:lnTo>
                                  <a:pt x="581320" y="426720"/>
                                </a:lnTo>
                                <a:lnTo>
                                  <a:pt x="584927" y="407670"/>
                                </a:lnTo>
                                <a:lnTo>
                                  <a:pt x="584927" y="396240"/>
                                </a:lnTo>
                                <a:lnTo>
                                  <a:pt x="711088" y="396240"/>
                                </a:lnTo>
                                <a:lnTo>
                                  <a:pt x="711088" y="372110"/>
                                </a:lnTo>
                                <a:lnTo>
                                  <a:pt x="584927" y="372110"/>
                                </a:lnTo>
                                <a:lnTo>
                                  <a:pt x="584927" y="359410"/>
                                </a:lnTo>
                                <a:lnTo>
                                  <a:pt x="581320" y="341630"/>
                                </a:lnTo>
                                <a:lnTo>
                                  <a:pt x="577223" y="335280"/>
                                </a:lnTo>
                                <a:close/>
                              </a:path>
                              <a:path w="711200" h="960119">
                                <a:moveTo>
                                  <a:pt x="309667" y="312420"/>
                                </a:moveTo>
                                <a:lnTo>
                                  <a:pt x="291810" y="316230"/>
                                </a:lnTo>
                                <a:lnTo>
                                  <a:pt x="277227" y="326390"/>
                                </a:lnTo>
                                <a:lnTo>
                                  <a:pt x="267395" y="341630"/>
                                </a:lnTo>
                                <a:lnTo>
                                  <a:pt x="263790" y="359410"/>
                                </a:lnTo>
                                <a:lnTo>
                                  <a:pt x="263790" y="372110"/>
                                </a:lnTo>
                                <a:lnTo>
                                  <a:pt x="286729" y="372110"/>
                                </a:lnTo>
                                <a:lnTo>
                                  <a:pt x="286729" y="359410"/>
                                </a:lnTo>
                                <a:lnTo>
                                  <a:pt x="288531" y="350520"/>
                                </a:lnTo>
                                <a:lnTo>
                                  <a:pt x="293445" y="342900"/>
                                </a:lnTo>
                                <a:lnTo>
                                  <a:pt x="300736" y="337820"/>
                                </a:lnTo>
                                <a:lnTo>
                                  <a:pt x="309667" y="335280"/>
                                </a:lnTo>
                                <a:lnTo>
                                  <a:pt x="347840" y="335280"/>
                                </a:lnTo>
                                <a:lnTo>
                                  <a:pt x="342103" y="326390"/>
                                </a:lnTo>
                                <a:lnTo>
                                  <a:pt x="327520" y="316230"/>
                                </a:lnTo>
                                <a:lnTo>
                                  <a:pt x="309667" y="312420"/>
                                </a:lnTo>
                                <a:close/>
                              </a:path>
                              <a:path w="711200" h="960119">
                                <a:moveTo>
                                  <a:pt x="424359" y="312420"/>
                                </a:moveTo>
                                <a:lnTo>
                                  <a:pt x="406501" y="316230"/>
                                </a:lnTo>
                                <a:lnTo>
                                  <a:pt x="391919" y="326390"/>
                                </a:lnTo>
                                <a:lnTo>
                                  <a:pt x="382087" y="341630"/>
                                </a:lnTo>
                                <a:lnTo>
                                  <a:pt x="378482" y="359410"/>
                                </a:lnTo>
                                <a:lnTo>
                                  <a:pt x="378482" y="372110"/>
                                </a:lnTo>
                                <a:lnTo>
                                  <a:pt x="401420" y="372110"/>
                                </a:lnTo>
                                <a:lnTo>
                                  <a:pt x="401420" y="359410"/>
                                </a:lnTo>
                                <a:lnTo>
                                  <a:pt x="403222" y="350520"/>
                                </a:lnTo>
                                <a:lnTo>
                                  <a:pt x="408137" y="342900"/>
                                </a:lnTo>
                                <a:lnTo>
                                  <a:pt x="415428" y="337820"/>
                                </a:lnTo>
                                <a:lnTo>
                                  <a:pt x="424359" y="335280"/>
                                </a:lnTo>
                                <a:lnTo>
                                  <a:pt x="462531" y="335280"/>
                                </a:lnTo>
                                <a:lnTo>
                                  <a:pt x="456795" y="326390"/>
                                </a:lnTo>
                                <a:lnTo>
                                  <a:pt x="442212" y="316230"/>
                                </a:lnTo>
                                <a:lnTo>
                                  <a:pt x="424359" y="312420"/>
                                </a:lnTo>
                                <a:close/>
                              </a:path>
                              <a:path w="711200" h="960119">
                                <a:moveTo>
                                  <a:pt x="539050" y="312420"/>
                                </a:moveTo>
                                <a:lnTo>
                                  <a:pt x="521193" y="316230"/>
                                </a:lnTo>
                                <a:lnTo>
                                  <a:pt x="506610" y="326390"/>
                                </a:lnTo>
                                <a:lnTo>
                                  <a:pt x="496779" y="341630"/>
                                </a:lnTo>
                                <a:lnTo>
                                  <a:pt x="493174" y="359410"/>
                                </a:lnTo>
                                <a:lnTo>
                                  <a:pt x="493174" y="372110"/>
                                </a:lnTo>
                                <a:lnTo>
                                  <a:pt x="516112" y="372110"/>
                                </a:lnTo>
                                <a:lnTo>
                                  <a:pt x="516112" y="359410"/>
                                </a:lnTo>
                                <a:lnTo>
                                  <a:pt x="517914" y="350520"/>
                                </a:lnTo>
                                <a:lnTo>
                                  <a:pt x="522829" y="342900"/>
                                </a:lnTo>
                                <a:lnTo>
                                  <a:pt x="530120" y="337820"/>
                                </a:lnTo>
                                <a:lnTo>
                                  <a:pt x="539050" y="335280"/>
                                </a:lnTo>
                                <a:lnTo>
                                  <a:pt x="577223" y="335280"/>
                                </a:lnTo>
                                <a:lnTo>
                                  <a:pt x="571487" y="326390"/>
                                </a:lnTo>
                                <a:lnTo>
                                  <a:pt x="556904" y="316230"/>
                                </a:lnTo>
                                <a:lnTo>
                                  <a:pt x="539050" y="312420"/>
                                </a:lnTo>
                                <a:close/>
                              </a:path>
                              <a:path w="711200" h="960119">
                                <a:moveTo>
                                  <a:pt x="711088" y="203200"/>
                                </a:moveTo>
                                <a:lnTo>
                                  <a:pt x="688149" y="203200"/>
                                </a:lnTo>
                                <a:lnTo>
                                  <a:pt x="688149" y="372110"/>
                                </a:lnTo>
                                <a:lnTo>
                                  <a:pt x="711088" y="372110"/>
                                </a:lnTo>
                                <a:lnTo>
                                  <a:pt x="711088" y="203200"/>
                                </a:lnTo>
                                <a:close/>
                              </a:path>
                              <a:path w="711200" h="960119">
                                <a:moveTo>
                                  <a:pt x="149099" y="203200"/>
                                </a:moveTo>
                                <a:lnTo>
                                  <a:pt x="126160" y="203200"/>
                                </a:lnTo>
                                <a:lnTo>
                                  <a:pt x="126160" y="215900"/>
                                </a:lnTo>
                                <a:lnTo>
                                  <a:pt x="129766" y="234950"/>
                                </a:lnTo>
                                <a:lnTo>
                                  <a:pt x="139597" y="250190"/>
                                </a:lnTo>
                                <a:lnTo>
                                  <a:pt x="154180" y="260350"/>
                                </a:lnTo>
                                <a:lnTo>
                                  <a:pt x="172037" y="264160"/>
                                </a:lnTo>
                                <a:lnTo>
                                  <a:pt x="189890" y="260350"/>
                                </a:lnTo>
                                <a:lnTo>
                                  <a:pt x="204473" y="250190"/>
                                </a:lnTo>
                                <a:lnTo>
                                  <a:pt x="211029" y="240030"/>
                                </a:lnTo>
                                <a:lnTo>
                                  <a:pt x="172037" y="240030"/>
                                </a:lnTo>
                                <a:lnTo>
                                  <a:pt x="163106" y="237490"/>
                                </a:lnTo>
                                <a:lnTo>
                                  <a:pt x="155815" y="232410"/>
                                </a:lnTo>
                                <a:lnTo>
                                  <a:pt x="150901" y="224790"/>
                                </a:lnTo>
                                <a:lnTo>
                                  <a:pt x="149099" y="215900"/>
                                </a:lnTo>
                                <a:lnTo>
                                  <a:pt x="149099" y="203200"/>
                                </a:lnTo>
                                <a:close/>
                              </a:path>
                              <a:path w="711200" h="960119">
                                <a:moveTo>
                                  <a:pt x="401420" y="203200"/>
                                </a:moveTo>
                                <a:lnTo>
                                  <a:pt x="378482" y="203200"/>
                                </a:lnTo>
                                <a:lnTo>
                                  <a:pt x="378482" y="215900"/>
                                </a:lnTo>
                                <a:lnTo>
                                  <a:pt x="382087" y="234950"/>
                                </a:lnTo>
                                <a:lnTo>
                                  <a:pt x="391919" y="250190"/>
                                </a:lnTo>
                                <a:lnTo>
                                  <a:pt x="406501" y="260350"/>
                                </a:lnTo>
                                <a:lnTo>
                                  <a:pt x="424359" y="264160"/>
                                </a:lnTo>
                                <a:lnTo>
                                  <a:pt x="442212" y="260350"/>
                                </a:lnTo>
                                <a:lnTo>
                                  <a:pt x="456795" y="250190"/>
                                </a:lnTo>
                                <a:lnTo>
                                  <a:pt x="463351" y="240030"/>
                                </a:lnTo>
                                <a:lnTo>
                                  <a:pt x="424359" y="240030"/>
                                </a:lnTo>
                                <a:lnTo>
                                  <a:pt x="415428" y="237490"/>
                                </a:lnTo>
                                <a:lnTo>
                                  <a:pt x="408137" y="232410"/>
                                </a:lnTo>
                                <a:lnTo>
                                  <a:pt x="403222" y="224790"/>
                                </a:lnTo>
                                <a:lnTo>
                                  <a:pt x="401420" y="215900"/>
                                </a:lnTo>
                                <a:lnTo>
                                  <a:pt x="401420" y="203200"/>
                                </a:lnTo>
                                <a:close/>
                              </a:path>
                              <a:path w="711200" h="960119">
                                <a:moveTo>
                                  <a:pt x="516112" y="203200"/>
                                </a:moveTo>
                                <a:lnTo>
                                  <a:pt x="493174" y="203200"/>
                                </a:lnTo>
                                <a:lnTo>
                                  <a:pt x="493174" y="215900"/>
                                </a:lnTo>
                                <a:lnTo>
                                  <a:pt x="496779" y="234950"/>
                                </a:lnTo>
                                <a:lnTo>
                                  <a:pt x="506610" y="250190"/>
                                </a:lnTo>
                                <a:lnTo>
                                  <a:pt x="521193" y="260350"/>
                                </a:lnTo>
                                <a:lnTo>
                                  <a:pt x="539050" y="264160"/>
                                </a:lnTo>
                                <a:lnTo>
                                  <a:pt x="556904" y="260350"/>
                                </a:lnTo>
                                <a:lnTo>
                                  <a:pt x="571487" y="250190"/>
                                </a:lnTo>
                                <a:lnTo>
                                  <a:pt x="578042" y="240030"/>
                                </a:lnTo>
                                <a:lnTo>
                                  <a:pt x="539050" y="240030"/>
                                </a:lnTo>
                                <a:lnTo>
                                  <a:pt x="530120" y="237490"/>
                                </a:lnTo>
                                <a:lnTo>
                                  <a:pt x="522829" y="232410"/>
                                </a:lnTo>
                                <a:lnTo>
                                  <a:pt x="517914" y="224790"/>
                                </a:lnTo>
                                <a:lnTo>
                                  <a:pt x="516112" y="215900"/>
                                </a:lnTo>
                                <a:lnTo>
                                  <a:pt x="516112" y="203200"/>
                                </a:lnTo>
                                <a:close/>
                              </a:path>
                              <a:path w="711200" h="960119">
                                <a:moveTo>
                                  <a:pt x="211029" y="143510"/>
                                </a:moveTo>
                                <a:lnTo>
                                  <a:pt x="172037" y="143510"/>
                                </a:lnTo>
                                <a:lnTo>
                                  <a:pt x="180964" y="146050"/>
                                </a:lnTo>
                                <a:lnTo>
                                  <a:pt x="188255" y="151130"/>
                                </a:lnTo>
                                <a:lnTo>
                                  <a:pt x="193172" y="158750"/>
                                </a:lnTo>
                                <a:lnTo>
                                  <a:pt x="194975" y="167640"/>
                                </a:lnTo>
                                <a:lnTo>
                                  <a:pt x="194975" y="215900"/>
                                </a:lnTo>
                                <a:lnTo>
                                  <a:pt x="193172" y="224790"/>
                                </a:lnTo>
                                <a:lnTo>
                                  <a:pt x="188255" y="232410"/>
                                </a:lnTo>
                                <a:lnTo>
                                  <a:pt x="180964" y="237490"/>
                                </a:lnTo>
                                <a:lnTo>
                                  <a:pt x="172037" y="240030"/>
                                </a:lnTo>
                                <a:lnTo>
                                  <a:pt x="211029" y="240030"/>
                                </a:lnTo>
                                <a:lnTo>
                                  <a:pt x="214307" y="234950"/>
                                </a:lnTo>
                                <a:lnTo>
                                  <a:pt x="217914" y="215900"/>
                                </a:lnTo>
                                <a:lnTo>
                                  <a:pt x="217914" y="203200"/>
                                </a:lnTo>
                                <a:lnTo>
                                  <a:pt x="401420" y="203200"/>
                                </a:lnTo>
                                <a:lnTo>
                                  <a:pt x="401420" y="179070"/>
                                </a:lnTo>
                                <a:lnTo>
                                  <a:pt x="217914" y="179070"/>
                                </a:lnTo>
                                <a:lnTo>
                                  <a:pt x="217914" y="167640"/>
                                </a:lnTo>
                                <a:lnTo>
                                  <a:pt x="214307" y="148590"/>
                                </a:lnTo>
                                <a:lnTo>
                                  <a:pt x="211029" y="143510"/>
                                </a:lnTo>
                                <a:close/>
                              </a:path>
                              <a:path w="711200" h="960119">
                                <a:moveTo>
                                  <a:pt x="463351" y="143510"/>
                                </a:moveTo>
                                <a:lnTo>
                                  <a:pt x="424359" y="143510"/>
                                </a:lnTo>
                                <a:lnTo>
                                  <a:pt x="433285" y="146050"/>
                                </a:lnTo>
                                <a:lnTo>
                                  <a:pt x="440577" y="151130"/>
                                </a:lnTo>
                                <a:lnTo>
                                  <a:pt x="445494" y="158750"/>
                                </a:lnTo>
                                <a:lnTo>
                                  <a:pt x="447297" y="167640"/>
                                </a:lnTo>
                                <a:lnTo>
                                  <a:pt x="447297" y="215900"/>
                                </a:lnTo>
                                <a:lnTo>
                                  <a:pt x="445494" y="224790"/>
                                </a:lnTo>
                                <a:lnTo>
                                  <a:pt x="440577" y="232410"/>
                                </a:lnTo>
                                <a:lnTo>
                                  <a:pt x="433285" y="237490"/>
                                </a:lnTo>
                                <a:lnTo>
                                  <a:pt x="424359" y="240030"/>
                                </a:lnTo>
                                <a:lnTo>
                                  <a:pt x="463351" y="240030"/>
                                </a:lnTo>
                                <a:lnTo>
                                  <a:pt x="466629" y="234950"/>
                                </a:lnTo>
                                <a:lnTo>
                                  <a:pt x="470235" y="215900"/>
                                </a:lnTo>
                                <a:lnTo>
                                  <a:pt x="470235" y="203200"/>
                                </a:lnTo>
                                <a:lnTo>
                                  <a:pt x="516112" y="203200"/>
                                </a:lnTo>
                                <a:lnTo>
                                  <a:pt x="516112" y="179070"/>
                                </a:lnTo>
                                <a:lnTo>
                                  <a:pt x="470235" y="179070"/>
                                </a:lnTo>
                                <a:lnTo>
                                  <a:pt x="470235" y="167640"/>
                                </a:lnTo>
                                <a:lnTo>
                                  <a:pt x="466629" y="148590"/>
                                </a:lnTo>
                                <a:lnTo>
                                  <a:pt x="463351" y="143510"/>
                                </a:lnTo>
                                <a:close/>
                              </a:path>
                              <a:path w="711200" h="960119">
                                <a:moveTo>
                                  <a:pt x="578042" y="143510"/>
                                </a:moveTo>
                                <a:lnTo>
                                  <a:pt x="539050" y="143510"/>
                                </a:lnTo>
                                <a:lnTo>
                                  <a:pt x="547977" y="146050"/>
                                </a:lnTo>
                                <a:lnTo>
                                  <a:pt x="555268" y="151130"/>
                                </a:lnTo>
                                <a:lnTo>
                                  <a:pt x="560185" y="158750"/>
                                </a:lnTo>
                                <a:lnTo>
                                  <a:pt x="561989" y="167640"/>
                                </a:lnTo>
                                <a:lnTo>
                                  <a:pt x="561989" y="215900"/>
                                </a:lnTo>
                                <a:lnTo>
                                  <a:pt x="560185" y="224790"/>
                                </a:lnTo>
                                <a:lnTo>
                                  <a:pt x="555268" y="232410"/>
                                </a:lnTo>
                                <a:lnTo>
                                  <a:pt x="547977" y="237490"/>
                                </a:lnTo>
                                <a:lnTo>
                                  <a:pt x="539050" y="240030"/>
                                </a:lnTo>
                                <a:lnTo>
                                  <a:pt x="578042" y="240030"/>
                                </a:lnTo>
                                <a:lnTo>
                                  <a:pt x="581320" y="234950"/>
                                </a:lnTo>
                                <a:lnTo>
                                  <a:pt x="584927" y="215900"/>
                                </a:lnTo>
                                <a:lnTo>
                                  <a:pt x="584927" y="203200"/>
                                </a:lnTo>
                                <a:lnTo>
                                  <a:pt x="711088" y="203200"/>
                                </a:lnTo>
                                <a:lnTo>
                                  <a:pt x="711088" y="179070"/>
                                </a:lnTo>
                                <a:lnTo>
                                  <a:pt x="584927" y="179070"/>
                                </a:lnTo>
                                <a:lnTo>
                                  <a:pt x="584927" y="167640"/>
                                </a:lnTo>
                                <a:lnTo>
                                  <a:pt x="581320" y="148590"/>
                                </a:lnTo>
                                <a:lnTo>
                                  <a:pt x="578042" y="143510"/>
                                </a:lnTo>
                                <a:close/>
                              </a:path>
                              <a:path w="711200" h="960119">
                                <a:moveTo>
                                  <a:pt x="172037" y="119380"/>
                                </a:moveTo>
                                <a:lnTo>
                                  <a:pt x="154180" y="123190"/>
                                </a:lnTo>
                                <a:lnTo>
                                  <a:pt x="139597" y="133350"/>
                                </a:lnTo>
                                <a:lnTo>
                                  <a:pt x="129765" y="148590"/>
                                </a:lnTo>
                                <a:lnTo>
                                  <a:pt x="126160" y="167640"/>
                                </a:lnTo>
                                <a:lnTo>
                                  <a:pt x="126160" y="179070"/>
                                </a:lnTo>
                                <a:lnTo>
                                  <a:pt x="149099" y="179070"/>
                                </a:lnTo>
                                <a:lnTo>
                                  <a:pt x="149099" y="167640"/>
                                </a:lnTo>
                                <a:lnTo>
                                  <a:pt x="150901" y="158750"/>
                                </a:lnTo>
                                <a:lnTo>
                                  <a:pt x="155815" y="151130"/>
                                </a:lnTo>
                                <a:lnTo>
                                  <a:pt x="163106" y="146050"/>
                                </a:lnTo>
                                <a:lnTo>
                                  <a:pt x="172037" y="143510"/>
                                </a:lnTo>
                                <a:lnTo>
                                  <a:pt x="211029" y="143510"/>
                                </a:lnTo>
                                <a:lnTo>
                                  <a:pt x="204473" y="133350"/>
                                </a:lnTo>
                                <a:lnTo>
                                  <a:pt x="189890" y="123190"/>
                                </a:lnTo>
                                <a:lnTo>
                                  <a:pt x="172037" y="119380"/>
                                </a:lnTo>
                                <a:close/>
                              </a:path>
                              <a:path w="711200" h="960119">
                                <a:moveTo>
                                  <a:pt x="424359" y="119380"/>
                                </a:moveTo>
                                <a:lnTo>
                                  <a:pt x="406501" y="123190"/>
                                </a:lnTo>
                                <a:lnTo>
                                  <a:pt x="391919" y="133350"/>
                                </a:lnTo>
                                <a:lnTo>
                                  <a:pt x="382087" y="148590"/>
                                </a:lnTo>
                                <a:lnTo>
                                  <a:pt x="378482" y="167640"/>
                                </a:lnTo>
                                <a:lnTo>
                                  <a:pt x="378482" y="179070"/>
                                </a:lnTo>
                                <a:lnTo>
                                  <a:pt x="401420" y="179070"/>
                                </a:lnTo>
                                <a:lnTo>
                                  <a:pt x="401420" y="167640"/>
                                </a:lnTo>
                                <a:lnTo>
                                  <a:pt x="403222" y="158750"/>
                                </a:lnTo>
                                <a:lnTo>
                                  <a:pt x="408137" y="151130"/>
                                </a:lnTo>
                                <a:lnTo>
                                  <a:pt x="415428" y="146050"/>
                                </a:lnTo>
                                <a:lnTo>
                                  <a:pt x="424359" y="143510"/>
                                </a:lnTo>
                                <a:lnTo>
                                  <a:pt x="463351" y="143510"/>
                                </a:lnTo>
                                <a:lnTo>
                                  <a:pt x="456795" y="133350"/>
                                </a:lnTo>
                                <a:lnTo>
                                  <a:pt x="442212" y="123190"/>
                                </a:lnTo>
                                <a:lnTo>
                                  <a:pt x="424359" y="119380"/>
                                </a:lnTo>
                                <a:close/>
                              </a:path>
                              <a:path w="711200" h="960119">
                                <a:moveTo>
                                  <a:pt x="539050" y="119380"/>
                                </a:moveTo>
                                <a:lnTo>
                                  <a:pt x="521193" y="123190"/>
                                </a:lnTo>
                                <a:lnTo>
                                  <a:pt x="506610" y="133350"/>
                                </a:lnTo>
                                <a:lnTo>
                                  <a:pt x="496779" y="148590"/>
                                </a:lnTo>
                                <a:lnTo>
                                  <a:pt x="493174" y="167640"/>
                                </a:lnTo>
                                <a:lnTo>
                                  <a:pt x="493174" y="179070"/>
                                </a:lnTo>
                                <a:lnTo>
                                  <a:pt x="516112" y="179070"/>
                                </a:lnTo>
                                <a:lnTo>
                                  <a:pt x="516112" y="167640"/>
                                </a:lnTo>
                                <a:lnTo>
                                  <a:pt x="517914" y="158750"/>
                                </a:lnTo>
                                <a:lnTo>
                                  <a:pt x="522829" y="151130"/>
                                </a:lnTo>
                                <a:lnTo>
                                  <a:pt x="530120" y="146050"/>
                                </a:lnTo>
                                <a:lnTo>
                                  <a:pt x="539050" y="143510"/>
                                </a:lnTo>
                                <a:lnTo>
                                  <a:pt x="578042" y="143510"/>
                                </a:lnTo>
                                <a:lnTo>
                                  <a:pt x="571487" y="133350"/>
                                </a:lnTo>
                                <a:lnTo>
                                  <a:pt x="556904" y="123190"/>
                                </a:lnTo>
                                <a:lnTo>
                                  <a:pt x="539050" y="119380"/>
                                </a:lnTo>
                                <a:close/>
                              </a:path>
                              <a:path w="711200" h="960119">
                                <a:moveTo>
                                  <a:pt x="698368" y="22860"/>
                                </a:moveTo>
                                <a:lnTo>
                                  <a:pt x="653742" y="22860"/>
                                </a:lnTo>
                                <a:lnTo>
                                  <a:pt x="667134" y="26670"/>
                                </a:lnTo>
                                <a:lnTo>
                                  <a:pt x="678071" y="34290"/>
                                </a:lnTo>
                                <a:lnTo>
                                  <a:pt x="685445" y="45720"/>
                                </a:lnTo>
                                <a:lnTo>
                                  <a:pt x="688149" y="59690"/>
                                </a:lnTo>
                                <a:lnTo>
                                  <a:pt x="688149" y="179070"/>
                                </a:lnTo>
                                <a:lnTo>
                                  <a:pt x="711088" y="179070"/>
                                </a:lnTo>
                                <a:lnTo>
                                  <a:pt x="711088" y="59690"/>
                                </a:lnTo>
                                <a:lnTo>
                                  <a:pt x="706563" y="35560"/>
                                </a:lnTo>
                                <a:lnTo>
                                  <a:pt x="698368" y="22860"/>
                                </a:lnTo>
                                <a:close/>
                              </a:path>
                            </a:pathLst>
                          </a:custGeom>
                          <a:solidFill>
                            <a:srgbClr val="B9C4E1"/>
                          </a:solidFill>
                        </wps:spPr>
                        <wps:bodyPr wrap="square" lIns="0" tIns="0" rIns="0" bIns="0" rtlCol="0">
                          <a:prstTxWarp prst="textNoShape">
                            <a:avLst/>
                          </a:prstTxWarp>
                        </wps:bodyPr>
                      </wps:wsp>
                      <wps:wsp>
                        <wps:cNvPr id="385" name="Graphic 385"/>
                        <wps:cNvSpPr/>
                        <wps:spPr>
                          <a:xfrm>
                            <a:off x="67919" y="6350"/>
                            <a:ext cx="1114425" cy="1041400"/>
                          </a:xfrm>
                          <a:custGeom>
                            <a:avLst/>
                            <a:gdLst/>
                            <a:ahLst/>
                            <a:cxnLst/>
                            <a:rect l="l" t="t" r="r" b="b"/>
                            <a:pathLst>
                              <a:path w="1114425" h="1041400">
                                <a:moveTo>
                                  <a:pt x="0" y="104139"/>
                                </a:moveTo>
                                <a:lnTo>
                                  <a:pt x="8183" y="63597"/>
                                </a:lnTo>
                                <a:lnTo>
                                  <a:pt x="30500" y="30495"/>
                                </a:lnTo>
                                <a:lnTo>
                                  <a:pt x="63602" y="8181"/>
                                </a:lnTo>
                                <a:lnTo>
                                  <a:pt x="104140" y="0"/>
                                </a:lnTo>
                                <a:lnTo>
                                  <a:pt x="1010056" y="0"/>
                                </a:lnTo>
                                <a:lnTo>
                                  <a:pt x="1050599" y="8181"/>
                                </a:lnTo>
                                <a:lnTo>
                                  <a:pt x="1083700" y="30495"/>
                                </a:lnTo>
                                <a:lnTo>
                                  <a:pt x="1106014" y="63597"/>
                                </a:lnTo>
                                <a:lnTo>
                                  <a:pt x="1114196" y="104139"/>
                                </a:lnTo>
                                <a:lnTo>
                                  <a:pt x="1114196" y="937260"/>
                                </a:lnTo>
                                <a:lnTo>
                                  <a:pt x="1106014" y="977802"/>
                                </a:lnTo>
                                <a:lnTo>
                                  <a:pt x="1083700" y="1010904"/>
                                </a:lnTo>
                                <a:lnTo>
                                  <a:pt x="1050599" y="1033218"/>
                                </a:lnTo>
                                <a:lnTo>
                                  <a:pt x="1010056" y="1041400"/>
                                </a:lnTo>
                                <a:lnTo>
                                  <a:pt x="104140" y="1041400"/>
                                </a:lnTo>
                                <a:lnTo>
                                  <a:pt x="63602" y="1033218"/>
                                </a:lnTo>
                                <a:lnTo>
                                  <a:pt x="30500" y="1010904"/>
                                </a:lnTo>
                                <a:lnTo>
                                  <a:pt x="8183" y="977802"/>
                                </a:lnTo>
                                <a:lnTo>
                                  <a:pt x="0" y="937260"/>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86" name="Textbox 386"/>
                        <wps:cNvSpPr txBox="1"/>
                        <wps:spPr>
                          <a:xfrm>
                            <a:off x="0" y="0"/>
                            <a:ext cx="5570855" cy="1076325"/>
                          </a:xfrm>
                          <a:prstGeom prst="rect">
                            <a:avLst/>
                          </a:prstGeom>
                        </wps:spPr>
                        <wps:txbx>
                          <w:txbxContent>
                            <w:p w14:paraId="79967E8D" w14:textId="77777777" w:rsidR="008715BE" w:rsidRDefault="00000000">
                              <w:pPr>
                                <w:spacing w:before="77"/>
                                <w:ind w:left="2014"/>
                                <w:rPr>
                                  <w:b/>
                                  <w:sz w:val="18"/>
                                </w:rPr>
                              </w:pPr>
                              <w:r>
                                <w:rPr>
                                  <w:b/>
                                  <w:w w:val="135"/>
                                  <w:sz w:val="12"/>
                                </w:rPr>
                                <w:t xml:space="preserve">Probability of </w:t>
                              </w:r>
                              <w:r>
                                <w:rPr>
                                  <w:b/>
                                  <w:spacing w:val="-2"/>
                                  <w:w w:val="135"/>
                                  <w:sz w:val="12"/>
                                </w:rPr>
                                <w:t>occurrence</w:t>
                              </w:r>
                            </w:p>
                            <w:p w14:paraId="1D81F13E" w14:textId="77777777" w:rsidR="008715BE" w:rsidRDefault="00000000">
                              <w:pPr>
                                <w:numPr>
                                  <w:ilvl w:val="0"/>
                                  <w:numId w:val="54"/>
                                </w:numPr>
                                <w:tabs>
                                  <w:tab w:val="left" w:pos="2105"/>
                                  <w:tab w:val="left" w:pos="2173"/>
                                </w:tabs>
                                <w:spacing w:before="35" w:line="216" w:lineRule="auto"/>
                                <w:ind w:right="207" w:hanging="92"/>
                                <w:rPr>
                                  <w:sz w:val="18"/>
                                </w:rPr>
                              </w:pPr>
                              <w:r>
                                <w:rPr>
                                  <w:w w:val="120"/>
                                  <w:sz w:val="12"/>
                                </w:rPr>
                                <w:t>Probable and very probable – for situations encountered in practice and from the consultant's experience</w:t>
                              </w:r>
                            </w:p>
                            <w:p w14:paraId="1D10A17B" w14:textId="77777777" w:rsidR="008715BE" w:rsidRDefault="00000000">
                              <w:pPr>
                                <w:numPr>
                                  <w:ilvl w:val="0"/>
                                  <w:numId w:val="54"/>
                                </w:numPr>
                                <w:tabs>
                                  <w:tab w:val="left" w:pos="2105"/>
                                  <w:tab w:val="left" w:pos="2173"/>
                                </w:tabs>
                                <w:spacing w:before="39" w:line="216" w:lineRule="auto"/>
                                <w:ind w:right="773" w:hanging="92"/>
                                <w:rPr>
                                  <w:sz w:val="18"/>
                                </w:rPr>
                              </w:pPr>
                              <w:r>
                                <w:rPr>
                                  <w:w w:val="125"/>
                                  <w:sz w:val="12"/>
                                </w:rPr>
                                <w:t>Unlikely – for effects that occur when pollutants are continuously emitted into the atmosphere</w:t>
                              </w:r>
                            </w:p>
                          </w:txbxContent>
                        </wps:txbx>
                        <wps:bodyPr wrap="square" lIns="0" tIns="0" rIns="0" bIns="0" rtlCol="0"/>
                      </wps:wsp>
                    </wpg:wgp>
                  </a:graphicData>
                </a:graphic>
              </wp:anchor>
            </w:drawing>
          </mc:Choice>
          <mc:Fallback>
            <w:pict>
              <v:group w14:anchorId="729D3142" id="Group 382" o:spid="_x0000_s1219" style="position:absolute;margin-left:60.95pt;margin-top:312.8pt;width:438.65pt;height:84.75pt;z-index:-251520000;mso-wrap-distance-left:0;mso-wrap-distance-right:0;mso-position-horizontal-relative:page;mso-position-vertical-relative:text" coordsize="55708,1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">
                <v:shape id="Graphic 383" o:spid="_x0000_s1220" style="position:absolute;top:219;width:55708;height:10548;visibility:visible;mso-wrap-style:square;v-text-anchor:top" coordsize="5570855,105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" path="m5465445,l105422,,64384,8272,30875,30845,8283,64347,,105410,,948689r8283,41083l30875,1023318r33509,22616l105422,1054227r5360023,l5506454,1045934r33508,-22616l5562564,989772r8291,-41083l5570855,105410r-8291,-41063l5539962,30845,5506454,8272,5465445,xe" fillcolor="#e1efd9" stroked="f">
                  <v:path arrowok="t"/>
                </v:shape>
                <v:shape id="Graphic 384" o:spid="_x0000_s1221" style="position:absolute;left:2710;top:497;width:7112;height:9602;visibility:visible;mso-wrap-style:square;v-text-anchor:top" coordsize="711200,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" path="m653742,l57345,,16809,16509,,59689,,900429r16809,43180l57345,960119r596397,1l676051,956310r18220,-12700l698368,937260r-641023,-1l43949,933449,33013,925829,25641,914399,22938,900429r,-119380l149099,781050r,-24130l22938,756919r,-168910l149099,588010r,-24130l22938,563879r,-167640l286729,396240r,-24130l22938,372109r,-168910l149099,203200r,-24130l22938,179069r,-119380l25641,45719,33013,34289,43949,26669,57345,22859r641023,1l694271,16510,676051,3810,653742,xem711088,781050r-22939,l688149,900430r-2704,13970l678071,925830r-10937,7620l653742,937260r44626,l706563,924560r4525,-24130l711088,781050xem149099,781050r-22939,l126160,792479r3606,19051l139597,826770r14583,10160l172037,840740r17853,-3810l204473,826770r6556,-10160l172037,816610r-8931,-2540l155815,808990r-4914,-7620l149099,792480r,-11430xem401420,781050r-22938,l378482,792480r3605,19050l391919,826770r14582,10160l424359,840740r17853,-3810l456795,826770r6556,-10160l424359,816610r-8931,-2540l408137,808990r-4915,-7620l401420,792480r,-11430xem516112,781050r-22938,l493174,792480r3605,19050l506611,826770r14582,10160l539050,840740r17854,-3810l571487,826770r6555,-10160l539050,816610r-8930,-2540l522829,808990r-4915,-7620l516112,792480r,-11430xem211029,720090r-38992,l180964,722630r7291,5080l193172,735330r1803,8890l194975,792480r-1803,8890l188255,808990r-7291,5080l172037,816610r38992,l214307,811530r3607,-19050l217914,781050r183506,l401420,756920r-183506,l217914,744220r-3607,-19050l211029,720090xem463351,720090r-38992,l433285,722630r7292,5080l445494,735330r1803,8890l447297,792480r-1803,8890l440577,808990r-7292,5080l424359,816610r38992,l466629,811530r3606,-19050l470235,781050r45877,l516112,756920r-45877,l470235,744220r-3606,-19050l463351,720090xem578042,720090r-38992,l547977,722630r7291,5080l560185,735330r1804,8890l561989,792480r-1804,8890l555268,808990r-7291,5080l539050,816610r38992,l581320,811530r3607,-19050l584927,781050r126161,l711088,756920r-126161,l584927,744220r-3607,-19050l578042,720090xem172037,695960r-17857,3810l139597,709930r-9831,15240l126160,744220r,12700l149099,756920r,-12700l150901,735330r4914,-7620l163106,722630r8931,-2540l211029,720090r-6556,-10160l189890,699770r-17853,-3810xem424359,695960r-17858,3810l391919,709930r-9832,15240l378482,744220r,12700l401420,756920r,-12700l403222,735330r4915,-7620l415428,722630r8931,-2540l463351,720090r-6556,-10160l442212,699770r-17853,-3810xem539050,695960r-17857,3810l506610,709930r-9831,15240l493174,744220r,12700l516112,756920r,-12700l517914,735330r4915,-7620l530120,722630r8930,-2540l578042,720090r-6555,-10160l556904,699770r-17854,-3810xem711088,588010r-22939,l688149,756920r22939,l711088,588010xem149099,588010r-22939,l126160,600710r3606,17780l139597,633730r14583,11430l172037,647700r17853,-2540l204473,633730r5737,-8890l172037,624840r-8931,-2540l155815,617220r-4914,-7620l149099,600710r,-12700xem263790,588010r-22938,l240852,600710r3605,17780l254289,633730r14582,11430l286729,647700r17853,-2540l319165,633730r5736,-8890l286729,624840r-8931,-2540l270507,617220r-4915,-7620l263790,600710r,-12700xem516112,588010r-22938,l493174,600710r3605,17780l506610,633730r14583,11430l539050,647700r17854,-2540l571487,633730r5736,-8890l539050,624840r-8930,-2540l522829,617220r-4915,-7620l516112,600710r,-12700xem211029,528320r-38992,l180964,529590r7291,5080l193172,542290r1803,10160l194975,600710r-1803,8890l188255,617220r-7291,5080l172037,624840r38173,l214307,618490r3607,-17780l217914,588010r45876,l263790,563880r-45876,l217914,552450r-3607,-19050l211029,528320xem325721,528320r-38992,l295655,529590r7292,5080l307864,542290r1803,10160l309667,600710r-1803,8890l302947,617220r-7292,5080l286729,624840r38172,l328999,618490r3606,-17780l332605,588010r183507,l516112,563880r-183507,l332605,552450r-3606,-19050l325721,528320xem578042,528320r-38992,l547977,529590r7291,5080l560185,542290r1804,10160l561989,600710r-1804,8890l555268,617220r-7291,5080l539050,624840r38173,l581320,618490r3607,-17780l584927,588010r126161,l711088,563880r-126161,l584927,552450r-3607,-19050l578042,528320xem172037,504190r-17857,3810l139597,518160r-9831,15240l126160,552450r,11430l149099,563880r,-11430l150901,542290r4914,-7620l163106,529590r8931,-1270l211029,528320r-6556,-10160l189890,508000r-17853,-3810xem286729,504190r-17858,3810l254289,518160r-9832,15240l240852,552450r,11430l263790,563880r,-11430l265592,542290r4915,-7620l277798,529590r8931,-1270l325721,528320r-6556,-10160l304582,508000r-17853,-3810xem539050,504190r-17857,3810l506610,518160r-9831,15240l493174,552450r,11430l516112,563880r,-11430l517914,542290r4915,-7620l530120,529590r8930,-1270l578042,528320r-6555,-10160l556904,508000r-17854,-3810xem711088,396240r-22939,l688149,563880r22939,l711088,396240xem286729,396240r-22939,l263790,407670r3605,19050l277227,441960r14583,10160l309667,455930r17853,-3810l342103,441960r6556,-10160l309667,431800r-8931,-1270l293445,425450r-4914,-7620l286729,407670r,-11430xem401420,396240r-22938,l378482,407670r3605,19050l391919,441960r14582,10160l424359,455930r17853,-3810l456795,441960r6556,-10160l424359,431800r-8931,-1270l408137,425450r-4915,-7620l401420,407670r,-11430xem516112,396240r-22938,l493174,407670r3605,19050l506610,441960r14583,10160l539050,455930r17854,-3810l571487,441960r6555,-10160l539050,431800r-8930,-1270l522829,425450r-4915,-7620l516112,407670r,-11430xem347840,335280r-38173,l318594,337820r7291,5080l330802,350520r1803,8890l332605,407670r-1803,10160l325885,425450r-7291,5080l309667,431800r38992,l351937,426720r3607,-19050l355544,396240r45876,l401420,372110r-45876,l355544,359410r-3607,-17780l347840,335280xem462531,335280r-38172,l433285,337820r7292,5080l445494,350520r1803,8890l447297,407670r-1803,10160l440577,425450r-7292,5080l424359,431800r38992,l466629,426720r3606,-19050l470235,396240r45877,l516112,372110r-45877,l470235,359410r-3606,-17780l462531,335280xem577223,335280r-38173,l547977,337820r7291,5080l560185,350520r1804,8890l561989,407670r-1804,10160l555268,425450r-7291,5080l539050,431800r38992,l581320,426720r3607,-19050l584927,396240r126161,l711088,372110r-126161,l584927,359410r-3607,-17780l577223,335280xem309667,312420r-17857,3810l277227,326390r-9832,15240l263790,359410r,12700l286729,372110r,-12700l288531,350520r4914,-7620l300736,337820r8931,-2540l347840,335280r-5737,-8890l327520,316230r-17853,-3810xem424359,312420r-17858,3810l391919,326390r-9832,15240l378482,359410r,12700l401420,372110r,-12700l403222,350520r4915,-7620l415428,337820r8931,-2540l462531,335280r-5736,-8890l442212,316230r-17853,-3810xem539050,312420r-17857,3810l506610,326390r-9831,15240l493174,359410r,12700l516112,372110r,-12700l517914,350520r4915,-7620l530120,337820r8930,-2540l577223,335280r-5736,-8890l556904,316230r-17854,-3810xem711088,203200r-22939,l688149,372110r22939,l711088,203200xem149099,203200r-22939,l126160,215900r3606,19050l139597,250190r14583,10160l172037,264160r17853,-3810l204473,250190r6556,-10160l172037,240030r-8931,-2540l155815,232410r-4914,-7620l149099,215900r,-12700xem401420,203200r-22938,l378482,215900r3605,19050l391919,250190r14582,10160l424359,264160r17853,-3810l456795,250190r6556,-10160l424359,240030r-8931,-2540l408137,232410r-4915,-7620l401420,215900r,-12700xem516112,203200r-22938,l493174,215900r3605,19050l506610,250190r14583,10160l539050,264160r17854,-3810l571487,250190r6555,-10160l539050,240030r-8930,-2540l522829,232410r-4915,-7620l516112,215900r,-12700xem211029,143510r-38992,l180964,146050r7291,5080l193172,158750r1803,8890l194975,215900r-1803,8890l188255,232410r-7291,5080l172037,240030r38992,l214307,234950r3607,-19050l217914,203200r183506,l401420,179070r-183506,l217914,167640r-3607,-19050l211029,143510xem463351,143510r-38992,l433285,146050r7292,5080l445494,158750r1803,8890l447297,215900r-1803,8890l440577,232410r-7292,5080l424359,240030r38992,l466629,234950r3606,-19050l470235,203200r45877,l516112,179070r-45877,l470235,167640r-3606,-19050l463351,143510xem578042,143510r-38992,l547977,146050r7291,5080l560185,158750r1804,8890l561989,215900r-1804,8890l555268,232410r-7291,5080l539050,240030r38992,l581320,234950r3607,-19050l584927,203200r126161,l711088,179070r-126161,l584927,167640r-3607,-19050l578042,143510xem172037,119380r-17857,3810l139597,133350r-9832,15240l126160,167640r,11430l149099,179070r,-11430l150901,158750r4914,-7620l163106,146050r8931,-2540l211029,143510r-6556,-10160l189890,123190r-17853,-3810xem424359,119380r-17858,3810l391919,133350r-9832,15240l378482,167640r,11430l401420,179070r,-11430l403222,158750r4915,-7620l415428,146050r8931,-2540l463351,143510r-6556,-10160l442212,123190r-17853,-3810xem539050,119380r-17857,3810l506610,133350r-9831,15240l493174,167640r,11430l516112,179070r,-11430l517914,158750r4915,-7620l530120,146050r8930,-2540l578042,143510r-6555,-10160l556904,123190r-17854,-3810xem698368,22860r-44626,l667134,26670r10937,7620l685445,45720r2704,13970l688149,179070r22939,l711088,59690,706563,35560,698368,22860xe" fillcolor="#b9c4e1" stroked="f">
                  <v:path arrowok="t"/>
                </v:shape>
                <v:shape id="Graphic 385" o:spid="_x0000_s1222" style="position:absolute;left:679;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" path="m,104139l8183,63597,30500,30495,63602,8181,104140,r905916,l1050599,8181r33101,22314l1106014,63597r8182,40542l1114196,937260r-8182,40542l1083700,1010904r-33101,22314l1010056,1041400r-905916,l63602,1033218,30500,1010904,8183,977802,,937260,,104139xe" filled="f" strokecolor="white" strokeweight="1pt">
                  <v:path arrowok="t"/>
                </v:shape>
                <v:shape id="Textbox 386" o:spid="_x0000_s1223" type="#_x0000_t202" style="position:absolute;width:55708;height:10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79967E8D" w14:textId="77777777" w:rsidR="008715BE" w:rsidRDefault="00000000">
                        <w:pPr>
                          <w:spacing w:before="77"/>
                          <w:ind w:left="2014"/>
                          <w:rPr>
                            <w:b/>
                            <w:sz w:val="18"/>
                          </w:rPr>
                        </w:pPr>
                        <w:r>
                          <w:rPr>
                            <w:b/>
                            <w:w w:val="135"/>
                            <w:sz w:val="12"/>
                          </w:rPr>
                          <w:t xml:space="preserve">Probability of </w:t>
                        </w:r>
                        <w:r>
                          <w:rPr>
                            <w:b/>
                            <w:spacing w:val="-2"/>
                            <w:w w:val="135"/>
                            <w:sz w:val="12"/>
                          </w:rPr>
                          <w:t>occurrence</w:t>
                        </w:r>
                      </w:p>
                      <w:p w14:paraId="1D81F13E" w14:textId="77777777" w:rsidR="008715BE" w:rsidRDefault="00000000">
                        <w:pPr>
                          <w:numPr>
                            <w:ilvl w:val="0"/>
                            <w:numId w:val="54"/>
                          </w:numPr>
                          <w:tabs>
                            <w:tab w:val="left" w:pos="2105"/>
                            <w:tab w:val="left" w:pos="2173"/>
                          </w:tabs>
                          <w:spacing w:before="35" w:line="216" w:lineRule="auto"/>
                          <w:ind w:right="207" w:hanging="92"/>
                          <w:rPr>
                            <w:sz w:val="18"/>
                          </w:rPr>
                        </w:pPr>
                        <w:r>
                          <w:rPr>
                            <w:w w:val="120"/>
                            <w:sz w:val="12"/>
                          </w:rPr>
                          <w:t>Probable and very probable – for situations encountered in practice and from the consultant's experience</w:t>
                        </w:r>
                      </w:p>
                      <w:p w14:paraId="1D10A17B" w14:textId="77777777" w:rsidR="008715BE" w:rsidRDefault="00000000">
                        <w:pPr>
                          <w:numPr>
                            <w:ilvl w:val="0"/>
                            <w:numId w:val="54"/>
                          </w:numPr>
                          <w:tabs>
                            <w:tab w:val="left" w:pos="2105"/>
                            <w:tab w:val="left" w:pos="2173"/>
                          </w:tabs>
                          <w:spacing w:before="39" w:line="216" w:lineRule="auto"/>
                          <w:ind w:right="773" w:hanging="92"/>
                          <w:rPr>
                            <w:sz w:val="18"/>
                          </w:rPr>
                        </w:pPr>
                        <w:r>
                          <w:rPr>
                            <w:w w:val="125"/>
                            <w:sz w:val="12"/>
                          </w:rPr>
                          <w:t>Unlikely – for effects that occur when pollutants are continuously emitted into the atmosphere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797504" behindDoc="1" locked="0" layoutInCell="1" allowOverlap="1" wp14:anchorId="6D7F7560" wp14:editId="4DC6D611">
                <wp:simplePos x="0" y="0"/>
                <wp:positionH relativeFrom="page">
                  <wp:posOffset>774065</wp:posOffset>
                </wp:positionH>
                <wp:positionV relativeFrom="paragraph">
                  <wp:posOffset>5178805</wp:posOffset>
                </wp:positionV>
                <wp:extent cx="5570855" cy="1301750"/>
                <wp:effectExtent l="0" t="0" r="0" b="0"/>
                <wp:wrapTopAndBottom/>
                <wp:docPr id="387" name="Group 387"/>
                <wp:cNvGraphicFramePr/>
                <a:graphic xmlns:a="http://schemas.openxmlformats.org/drawingml/2006/main">
                  <a:graphicData uri="http://schemas.microsoft.com/office/word/2010/wordprocessingGroup">
                    <wpg:wgp>
                      <wpg:cNvGrpSpPr/>
                      <wpg:grpSpPr>
                        <a:xfrm>
                          <a:off x="0" y="0"/>
                          <a:ext cx="5570855" cy="1301750"/>
                          <a:chOff x="0" y="0"/>
                          <a:chExt cx="5570855" cy="1301750"/>
                        </a:xfrm>
                      </wpg:grpSpPr>
                      <wps:wsp>
                        <wps:cNvPr id="388" name="Graphic 388"/>
                        <wps:cNvSpPr/>
                        <wps:spPr>
                          <a:xfrm>
                            <a:off x="0" y="0"/>
                            <a:ext cx="5570855" cy="1301750"/>
                          </a:xfrm>
                          <a:custGeom>
                            <a:avLst/>
                            <a:gdLst/>
                            <a:ahLst/>
                            <a:cxnLst/>
                            <a:rect l="l" t="t" r="r" b="b"/>
                            <a:pathLst>
                              <a:path w="5570855" h="1301750">
                                <a:moveTo>
                                  <a:pt x="5440680" y="0"/>
                                </a:moveTo>
                                <a:lnTo>
                                  <a:pt x="130162" y="0"/>
                                </a:lnTo>
                                <a:lnTo>
                                  <a:pt x="79499" y="10231"/>
                                </a:lnTo>
                                <a:lnTo>
                                  <a:pt x="38125" y="38131"/>
                                </a:lnTo>
                                <a:lnTo>
                                  <a:pt x="10229" y="79509"/>
                                </a:lnTo>
                                <a:lnTo>
                                  <a:pt x="0" y="130175"/>
                                </a:lnTo>
                                <a:lnTo>
                                  <a:pt x="0" y="1171575"/>
                                </a:lnTo>
                                <a:lnTo>
                                  <a:pt x="10229" y="1222240"/>
                                </a:lnTo>
                                <a:lnTo>
                                  <a:pt x="38125" y="1263618"/>
                                </a:lnTo>
                                <a:lnTo>
                                  <a:pt x="79499" y="1291518"/>
                                </a:lnTo>
                                <a:lnTo>
                                  <a:pt x="130162" y="1301750"/>
                                </a:lnTo>
                                <a:lnTo>
                                  <a:pt x="5440680" y="1301750"/>
                                </a:lnTo>
                                <a:lnTo>
                                  <a:pt x="5491345" y="1291518"/>
                                </a:lnTo>
                                <a:lnTo>
                                  <a:pt x="5532723" y="1263618"/>
                                </a:lnTo>
                                <a:lnTo>
                                  <a:pt x="5560623" y="1222240"/>
                                </a:lnTo>
                                <a:lnTo>
                                  <a:pt x="5570855" y="1171575"/>
                                </a:lnTo>
                                <a:lnTo>
                                  <a:pt x="5570855" y="130175"/>
                                </a:lnTo>
                                <a:lnTo>
                                  <a:pt x="5560623" y="79509"/>
                                </a:lnTo>
                                <a:lnTo>
                                  <a:pt x="5532723" y="38131"/>
                                </a:lnTo>
                                <a:lnTo>
                                  <a:pt x="5491345" y="10231"/>
                                </a:lnTo>
                                <a:lnTo>
                                  <a:pt x="5440680" y="0"/>
                                </a:lnTo>
                                <a:close/>
                              </a:path>
                            </a:pathLst>
                          </a:custGeom>
                          <a:solidFill>
                            <a:srgbClr val="D9D9D9"/>
                          </a:solidFill>
                        </wps:spPr>
                        <wps:bodyPr wrap="square" lIns="0" tIns="0" rIns="0" bIns="0" rtlCol="0">
                          <a:prstTxWarp prst="textNoShape">
                            <a:avLst/>
                          </a:prstTxWarp>
                        </wps:bodyPr>
                      </wps:wsp>
                      <wps:wsp>
                        <wps:cNvPr id="389" name="Graphic 389"/>
                        <wps:cNvSpPr/>
                        <wps:spPr>
                          <a:xfrm>
                            <a:off x="224345" y="168693"/>
                            <a:ext cx="842644" cy="869315"/>
                          </a:xfrm>
                          <a:custGeom>
                            <a:avLst/>
                            <a:gdLst/>
                            <a:ahLst/>
                            <a:cxnLst/>
                            <a:rect l="l" t="t" r="r" b="b"/>
                            <a:pathLst>
                              <a:path w="842644" h="869315">
                                <a:moveTo>
                                  <a:pt x="825754" y="412292"/>
                                </a:moveTo>
                                <a:lnTo>
                                  <a:pt x="802843" y="412292"/>
                                </a:lnTo>
                                <a:lnTo>
                                  <a:pt x="802843" y="436321"/>
                                </a:lnTo>
                                <a:lnTo>
                                  <a:pt x="802843" y="556488"/>
                                </a:lnTo>
                                <a:lnTo>
                                  <a:pt x="802843" y="580517"/>
                                </a:lnTo>
                                <a:lnTo>
                                  <a:pt x="802843" y="700684"/>
                                </a:lnTo>
                                <a:lnTo>
                                  <a:pt x="802843" y="724725"/>
                                </a:lnTo>
                                <a:lnTo>
                                  <a:pt x="802843" y="844892"/>
                                </a:lnTo>
                                <a:lnTo>
                                  <a:pt x="699630" y="844892"/>
                                </a:lnTo>
                                <a:lnTo>
                                  <a:pt x="699630" y="724725"/>
                                </a:lnTo>
                                <a:lnTo>
                                  <a:pt x="802843" y="724725"/>
                                </a:lnTo>
                                <a:lnTo>
                                  <a:pt x="802843" y="700684"/>
                                </a:lnTo>
                                <a:lnTo>
                                  <a:pt x="676681" y="700684"/>
                                </a:lnTo>
                                <a:lnTo>
                                  <a:pt x="676681" y="724725"/>
                                </a:lnTo>
                                <a:lnTo>
                                  <a:pt x="676681" y="844892"/>
                                </a:lnTo>
                                <a:lnTo>
                                  <a:pt x="424370" y="844892"/>
                                </a:lnTo>
                                <a:lnTo>
                                  <a:pt x="424370" y="724725"/>
                                </a:lnTo>
                                <a:lnTo>
                                  <a:pt x="676681" y="724725"/>
                                </a:lnTo>
                                <a:lnTo>
                                  <a:pt x="676681" y="700684"/>
                                </a:lnTo>
                                <a:lnTo>
                                  <a:pt x="562000" y="700684"/>
                                </a:lnTo>
                                <a:lnTo>
                                  <a:pt x="562000" y="580517"/>
                                </a:lnTo>
                                <a:lnTo>
                                  <a:pt x="802843" y="580517"/>
                                </a:lnTo>
                                <a:lnTo>
                                  <a:pt x="802843" y="556488"/>
                                </a:lnTo>
                                <a:lnTo>
                                  <a:pt x="699630" y="556488"/>
                                </a:lnTo>
                                <a:lnTo>
                                  <a:pt x="699630" y="436321"/>
                                </a:lnTo>
                                <a:lnTo>
                                  <a:pt x="802843" y="436321"/>
                                </a:lnTo>
                                <a:lnTo>
                                  <a:pt x="802843" y="412292"/>
                                </a:lnTo>
                                <a:lnTo>
                                  <a:pt x="676681" y="412292"/>
                                </a:lnTo>
                                <a:lnTo>
                                  <a:pt x="676681" y="436321"/>
                                </a:lnTo>
                                <a:lnTo>
                                  <a:pt x="676681" y="556488"/>
                                </a:lnTo>
                                <a:lnTo>
                                  <a:pt x="539051" y="556488"/>
                                </a:lnTo>
                                <a:lnTo>
                                  <a:pt x="539051" y="580517"/>
                                </a:lnTo>
                                <a:lnTo>
                                  <a:pt x="539051" y="700684"/>
                                </a:lnTo>
                                <a:lnTo>
                                  <a:pt x="401421" y="700684"/>
                                </a:lnTo>
                                <a:lnTo>
                                  <a:pt x="401421" y="724725"/>
                                </a:lnTo>
                                <a:lnTo>
                                  <a:pt x="401421" y="844892"/>
                                </a:lnTo>
                                <a:lnTo>
                                  <a:pt x="149110" y="844892"/>
                                </a:lnTo>
                                <a:lnTo>
                                  <a:pt x="149110" y="724725"/>
                                </a:lnTo>
                                <a:lnTo>
                                  <a:pt x="401421" y="724725"/>
                                </a:lnTo>
                                <a:lnTo>
                                  <a:pt x="401421" y="700684"/>
                                </a:lnTo>
                                <a:lnTo>
                                  <a:pt x="286740" y="700684"/>
                                </a:lnTo>
                                <a:lnTo>
                                  <a:pt x="286740" y="580517"/>
                                </a:lnTo>
                                <a:lnTo>
                                  <a:pt x="539051" y="580517"/>
                                </a:lnTo>
                                <a:lnTo>
                                  <a:pt x="539051" y="556488"/>
                                </a:lnTo>
                                <a:lnTo>
                                  <a:pt x="424370" y="556488"/>
                                </a:lnTo>
                                <a:lnTo>
                                  <a:pt x="424370" y="436321"/>
                                </a:lnTo>
                                <a:lnTo>
                                  <a:pt x="676681" y="436321"/>
                                </a:lnTo>
                                <a:lnTo>
                                  <a:pt x="676681" y="412292"/>
                                </a:lnTo>
                                <a:lnTo>
                                  <a:pt x="562000" y="412292"/>
                                </a:lnTo>
                                <a:lnTo>
                                  <a:pt x="562000" y="292125"/>
                                </a:lnTo>
                                <a:lnTo>
                                  <a:pt x="562000" y="268097"/>
                                </a:lnTo>
                                <a:lnTo>
                                  <a:pt x="539051" y="268097"/>
                                </a:lnTo>
                                <a:lnTo>
                                  <a:pt x="539051" y="292125"/>
                                </a:lnTo>
                                <a:lnTo>
                                  <a:pt x="539051" y="412292"/>
                                </a:lnTo>
                                <a:lnTo>
                                  <a:pt x="401421" y="412292"/>
                                </a:lnTo>
                                <a:lnTo>
                                  <a:pt x="401421" y="436321"/>
                                </a:lnTo>
                                <a:lnTo>
                                  <a:pt x="401421" y="556488"/>
                                </a:lnTo>
                                <a:lnTo>
                                  <a:pt x="263791" y="556488"/>
                                </a:lnTo>
                                <a:lnTo>
                                  <a:pt x="263791" y="580517"/>
                                </a:lnTo>
                                <a:lnTo>
                                  <a:pt x="263791" y="700684"/>
                                </a:lnTo>
                                <a:lnTo>
                                  <a:pt x="126161" y="700684"/>
                                </a:lnTo>
                                <a:lnTo>
                                  <a:pt x="126161" y="724725"/>
                                </a:lnTo>
                                <a:lnTo>
                                  <a:pt x="126161" y="844892"/>
                                </a:lnTo>
                                <a:lnTo>
                                  <a:pt x="22948" y="844892"/>
                                </a:lnTo>
                                <a:lnTo>
                                  <a:pt x="22948" y="724725"/>
                                </a:lnTo>
                                <a:lnTo>
                                  <a:pt x="126161" y="724725"/>
                                </a:lnTo>
                                <a:lnTo>
                                  <a:pt x="126161" y="700684"/>
                                </a:lnTo>
                                <a:lnTo>
                                  <a:pt x="22948" y="700684"/>
                                </a:lnTo>
                                <a:lnTo>
                                  <a:pt x="22948" y="580517"/>
                                </a:lnTo>
                                <a:lnTo>
                                  <a:pt x="263791" y="580517"/>
                                </a:lnTo>
                                <a:lnTo>
                                  <a:pt x="263791" y="556488"/>
                                </a:lnTo>
                                <a:lnTo>
                                  <a:pt x="149110" y="556488"/>
                                </a:lnTo>
                                <a:lnTo>
                                  <a:pt x="149110" y="436321"/>
                                </a:lnTo>
                                <a:lnTo>
                                  <a:pt x="401421" y="436321"/>
                                </a:lnTo>
                                <a:lnTo>
                                  <a:pt x="401421" y="412292"/>
                                </a:lnTo>
                                <a:lnTo>
                                  <a:pt x="286740" y="412292"/>
                                </a:lnTo>
                                <a:lnTo>
                                  <a:pt x="286740" y="292125"/>
                                </a:lnTo>
                                <a:lnTo>
                                  <a:pt x="539051" y="292125"/>
                                </a:lnTo>
                                <a:lnTo>
                                  <a:pt x="539051" y="268097"/>
                                </a:lnTo>
                                <a:lnTo>
                                  <a:pt x="263791" y="268097"/>
                                </a:lnTo>
                                <a:lnTo>
                                  <a:pt x="263791" y="292125"/>
                                </a:lnTo>
                                <a:lnTo>
                                  <a:pt x="263791" y="412292"/>
                                </a:lnTo>
                                <a:lnTo>
                                  <a:pt x="126161" y="412292"/>
                                </a:lnTo>
                                <a:lnTo>
                                  <a:pt x="126161" y="436321"/>
                                </a:lnTo>
                                <a:lnTo>
                                  <a:pt x="126161" y="556488"/>
                                </a:lnTo>
                                <a:lnTo>
                                  <a:pt x="22948" y="556488"/>
                                </a:lnTo>
                                <a:lnTo>
                                  <a:pt x="22948" y="436321"/>
                                </a:lnTo>
                                <a:lnTo>
                                  <a:pt x="126161" y="436321"/>
                                </a:lnTo>
                                <a:lnTo>
                                  <a:pt x="126161" y="412292"/>
                                </a:lnTo>
                                <a:lnTo>
                                  <a:pt x="22948" y="412292"/>
                                </a:lnTo>
                                <a:lnTo>
                                  <a:pt x="22948" y="292125"/>
                                </a:lnTo>
                                <a:lnTo>
                                  <a:pt x="263791" y="292125"/>
                                </a:lnTo>
                                <a:lnTo>
                                  <a:pt x="263791" y="268097"/>
                                </a:lnTo>
                                <a:lnTo>
                                  <a:pt x="0" y="268097"/>
                                </a:lnTo>
                                <a:lnTo>
                                  <a:pt x="0" y="868921"/>
                                </a:lnTo>
                                <a:lnTo>
                                  <a:pt x="825754" y="868921"/>
                                </a:lnTo>
                                <a:lnTo>
                                  <a:pt x="825754" y="844892"/>
                                </a:lnTo>
                                <a:lnTo>
                                  <a:pt x="825754" y="724725"/>
                                </a:lnTo>
                                <a:lnTo>
                                  <a:pt x="825754" y="700684"/>
                                </a:lnTo>
                                <a:lnTo>
                                  <a:pt x="825754" y="580517"/>
                                </a:lnTo>
                                <a:lnTo>
                                  <a:pt x="825754" y="556488"/>
                                </a:lnTo>
                                <a:lnTo>
                                  <a:pt x="825754" y="436321"/>
                                </a:lnTo>
                                <a:lnTo>
                                  <a:pt x="825754" y="412292"/>
                                </a:lnTo>
                                <a:close/>
                              </a:path>
                              <a:path w="842644" h="869315">
                                <a:moveTo>
                                  <a:pt x="842581" y="132867"/>
                                </a:moveTo>
                                <a:lnTo>
                                  <a:pt x="812571" y="58254"/>
                                </a:lnTo>
                                <a:lnTo>
                                  <a:pt x="812571" y="120065"/>
                                </a:lnTo>
                                <a:lnTo>
                                  <a:pt x="601192" y="213423"/>
                                </a:lnTo>
                                <a:lnTo>
                                  <a:pt x="565556" y="124853"/>
                                </a:lnTo>
                                <a:lnTo>
                                  <a:pt x="776897" y="31445"/>
                                </a:lnTo>
                                <a:lnTo>
                                  <a:pt x="812571" y="120065"/>
                                </a:lnTo>
                                <a:lnTo>
                                  <a:pt x="812571" y="58254"/>
                                </a:lnTo>
                                <a:lnTo>
                                  <a:pt x="801789" y="31445"/>
                                </a:lnTo>
                                <a:lnTo>
                                  <a:pt x="789139" y="0"/>
                                </a:lnTo>
                                <a:lnTo>
                                  <a:pt x="535495" y="112039"/>
                                </a:lnTo>
                                <a:lnTo>
                                  <a:pt x="588962" y="244906"/>
                                </a:lnTo>
                                <a:lnTo>
                                  <a:pt x="660234" y="213423"/>
                                </a:lnTo>
                                <a:lnTo>
                                  <a:pt x="842581" y="132867"/>
                                </a:lnTo>
                                <a:close/>
                              </a:path>
                            </a:pathLst>
                          </a:custGeom>
                          <a:solidFill>
                            <a:srgbClr val="B8C2E0"/>
                          </a:solidFill>
                        </wps:spPr>
                        <wps:bodyPr wrap="square" lIns="0" tIns="0" rIns="0" bIns="0" rtlCol="0">
                          <a:prstTxWarp prst="textNoShape">
                            <a:avLst/>
                          </a:prstTxWarp>
                        </wps:bodyPr>
                      </wps:wsp>
                      <wps:wsp>
                        <wps:cNvPr id="390" name="Graphic 390"/>
                        <wps:cNvSpPr/>
                        <wps:spPr>
                          <a:xfrm>
                            <a:off x="78574" y="130175"/>
                            <a:ext cx="1114425" cy="1041400"/>
                          </a:xfrm>
                          <a:custGeom>
                            <a:avLst/>
                            <a:gdLst/>
                            <a:ahLst/>
                            <a:cxnLst/>
                            <a:rect l="l" t="t" r="r" b="b"/>
                            <a:pathLst>
                              <a:path w="1114425" h="1041400">
                                <a:moveTo>
                                  <a:pt x="0" y="104139"/>
                                </a:moveTo>
                                <a:lnTo>
                                  <a:pt x="8183" y="63650"/>
                                </a:lnTo>
                                <a:lnTo>
                                  <a:pt x="30499" y="30543"/>
                                </a:lnTo>
                                <a:lnTo>
                                  <a:pt x="63597" y="8199"/>
                                </a:lnTo>
                                <a:lnTo>
                                  <a:pt x="104127" y="0"/>
                                </a:lnTo>
                                <a:lnTo>
                                  <a:pt x="1010069" y="0"/>
                                </a:lnTo>
                                <a:lnTo>
                                  <a:pt x="1050611" y="8199"/>
                                </a:lnTo>
                                <a:lnTo>
                                  <a:pt x="1083713" y="30543"/>
                                </a:lnTo>
                                <a:lnTo>
                                  <a:pt x="1106027" y="63650"/>
                                </a:lnTo>
                                <a:lnTo>
                                  <a:pt x="1114209" y="104139"/>
                                </a:lnTo>
                                <a:lnTo>
                                  <a:pt x="1114209" y="937259"/>
                                </a:lnTo>
                                <a:lnTo>
                                  <a:pt x="1106027" y="977802"/>
                                </a:lnTo>
                                <a:lnTo>
                                  <a:pt x="1083713" y="1010904"/>
                                </a:lnTo>
                                <a:lnTo>
                                  <a:pt x="1050611" y="1033218"/>
                                </a:lnTo>
                                <a:lnTo>
                                  <a:pt x="1010069" y="1041400"/>
                                </a:lnTo>
                                <a:lnTo>
                                  <a:pt x="104127" y="1041400"/>
                                </a:lnTo>
                                <a:lnTo>
                                  <a:pt x="63597" y="1033218"/>
                                </a:lnTo>
                                <a:lnTo>
                                  <a:pt x="30499"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91" name="Textbox 391"/>
                        <wps:cNvSpPr txBox="1"/>
                        <wps:spPr>
                          <a:xfrm>
                            <a:off x="0" y="0"/>
                            <a:ext cx="5570855" cy="1301750"/>
                          </a:xfrm>
                          <a:prstGeom prst="rect">
                            <a:avLst/>
                          </a:prstGeom>
                        </wps:spPr>
                        <wps:txbx>
                          <w:txbxContent>
                            <w:p w14:paraId="4DF4C712" w14:textId="77777777" w:rsidR="008715BE" w:rsidRDefault="008715BE">
                              <w:pPr>
                                <w:rPr>
                                  <w:sz w:val="18"/>
                                </w:rPr>
                              </w:pPr>
                            </w:p>
                            <w:p w14:paraId="4285EF6E" w14:textId="77777777" w:rsidR="008715BE" w:rsidRDefault="008715BE">
                              <w:pPr>
                                <w:rPr>
                                  <w:sz w:val="18"/>
                                </w:rPr>
                              </w:pPr>
                            </w:p>
                            <w:p w14:paraId="273F2C66" w14:textId="77777777" w:rsidR="008715BE" w:rsidRDefault="008715BE">
                              <w:pPr>
                                <w:spacing w:before="137"/>
                                <w:rPr>
                                  <w:sz w:val="18"/>
                                </w:rPr>
                              </w:pPr>
                            </w:p>
                            <w:p w14:paraId="3D970BF0" w14:textId="77777777" w:rsidR="008715BE" w:rsidRDefault="00000000">
                              <w:pPr>
                                <w:ind w:left="2014"/>
                                <w:rPr>
                                  <w:sz w:val="18"/>
                                </w:rPr>
                              </w:pPr>
                              <w:r>
                                <w:rPr>
                                  <w:b/>
                                  <w:w w:val="125"/>
                                  <w:sz w:val="12"/>
                                </w:rPr>
                                <w:t xml:space="preserve">Reversibility: </w:t>
                              </w:r>
                              <w:r>
                                <w:rPr>
                                  <w:w w:val="125"/>
                                  <w:sz w:val="12"/>
                                </w:rPr>
                                <w:t xml:space="preserve">effects that do not involve changes in </w:t>
                              </w:r>
                              <w:r>
                                <w:rPr>
                                  <w:spacing w:val="-2"/>
                                  <w:w w:val="125"/>
                                  <w:sz w:val="12"/>
                                </w:rPr>
                                <w:t xml:space="preserve">air </w:t>
                              </w:r>
                              <w:r>
                                <w:rPr>
                                  <w:w w:val="125"/>
                                  <w:sz w:val="12"/>
                                </w:rPr>
                                <w:t>quality</w:t>
                              </w:r>
                              <w:r>
                                <w:rPr>
                                  <w:spacing w:val="-2"/>
                                  <w:w w:val="125"/>
                                  <w:sz w:val="12"/>
                                </w:rPr>
                                <w:t>.</w:t>
                              </w:r>
                            </w:p>
                            <w:p w14:paraId="66B1C995" w14:textId="77777777" w:rsidR="008715BE" w:rsidRDefault="00000000">
                              <w:pPr>
                                <w:spacing w:before="18"/>
                                <w:ind w:left="2014"/>
                                <w:rPr>
                                  <w:sz w:val="18"/>
                                </w:rPr>
                              </w:pPr>
                              <w:r>
                                <w:rPr>
                                  <w:b/>
                                  <w:w w:val="125"/>
                                  <w:sz w:val="12"/>
                                </w:rPr>
                                <w:t xml:space="preserve">Irreversibility: </w:t>
                              </w:r>
                              <w:r>
                                <w:rPr>
                                  <w:w w:val="125"/>
                                  <w:sz w:val="12"/>
                                </w:rPr>
                                <w:t xml:space="preserve">effects that change </w:t>
                              </w:r>
                              <w:r>
                                <w:rPr>
                                  <w:spacing w:val="-2"/>
                                  <w:w w:val="125"/>
                                  <w:sz w:val="12"/>
                                </w:rPr>
                                <w:t xml:space="preserve">air </w:t>
                              </w:r>
                              <w:r>
                                <w:rPr>
                                  <w:w w:val="125"/>
                                  <w:sz w:val="12"/>
                                </w:rPr>
                                <w:t>quality</w:t>
                              </w:r>
                            </w:p>
                          </w:txbxContent>
                        </wps:txbx>
                        <wps:bodyPr wrap="square" lIns="0" tIns="0" rIns="0" bIns="0" rtlCol="0"/>
                      </wps:wsp>
                    </wpg:wgp>
                  </a:graphicData>
                </a:graphic>
              </wp:anchor>
            </w:drawing>
          </mc:Choice>
          <mc:Fallback>
            <w:pict>
              <v:group w14:anchorId="6D7F7560" id="Group 387" o:spid="_x0000_s1224" style="position:absolute;margin-left:60.95pt;margin-top:407.8pt;width:438.65pt;height:102.5pt;z-index:-251518976;mso-wrap-distance-left:0;mso-wrap-distance-right:0;mso-position-horizontal-relative:page;mso-position-vertical-relative:text" coordsize="55708,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">
                <v:shape id="Graphic 388" o:spid="_x0000_s1225" style="position:absolute;width:55708;height:13017;visibility:visible;mso-wrap-style:square;v-text-anchor:top" coordsize="5570855,130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" path="m5440680,l130162,,79499,10231,38125,38131,10229,79509,,130175,,1171575r10229,50665l38125,1263618r41374,27900l130162,1301750r5310518,l5491345,1291518r41378,-27900l5560623,1222240r10232,-50665l5570855,130175,5560623,79509,5532723,38131,5491345,10231,5440680,xe" fillcolor="#d9d9d9" stroked="f">
                  <v:path arrowok="t"/>
                </v:shape>
                <v:shape id="Graphic 389" o:spid="_x0000_s1226" style="position:absolute;left:2243;top:1686;width:8426;height:8694;visibility:visible;mso-wrap-style:square;v-text-anchor:top" coordsize="842644,869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" path="m825754,412292r-22911,l802843,436321r,120167l802843,580517r,120167l802843,724725r,120167l699630,844892r,-120167l802843,724725r,-24041l676681,700684r,24041l676681,844892r-252311,l424370,724725r252311,l676681,700684r-114681,l562000,580517r240843,l802843,556488r-103213,l699630,436321r103213,l802843,412292r-126162,l676681,436321r,120167l539051,556488r,24029l539051,700684r-137630,l401421,724725r,120167l149110,844892r,-120167l401421,724725r,-24041l286740,700684r,-120167l539051,580517r,-24029l424370,556488r,-120167l676681,436321r,-24029l562000,412292r,-120167l562000,268097r-22949,l539051,292125r,120167l401421,412292r,24029l401421,556488r-137630,l263791,580517r,120167l126161,700684r,24041l126161,844892r-103213,l22948,724725r103213,l126161,700684r-103213,l22948,580517r240843,l263791,556488r-114681,l149110,436321r252311,l401421,412292r-114681,l286740,292125r252311,l539051,268097r-275260,l263791,292125r,120167l126161,412292r,24029l126161,556488r-103213,l22948,436321r103213,l126161,412292r-103213,l22948,292125r240843,l263791,268097,,268097,,868921r825754,l825754,844892r,-120167l825754,700684r,-120167l825754,556488r,-120167l825754,412292xem842581,132867l812571,58254r,61811l601192,213423,565556,124853,776897,31445r35674,88620l812571,58254,801789,31445,789139,,535495,112039r53467,132867l660234,213423,842581,132867xe" fillcolor="#b8c2e0" stroked="f">
                  <v:path arrowok="t"/>
                </v:shape>
                <v:shape id="Graphic 390" o:spid="_x0000_s1227" style="position:absolute;left:785;top:1301;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" path="m,104139l8183,63650,30499,30543,63597,8199,104127,r905942,l1050611,8199r33102,22344l1106027,63650r8182,40489l1114209,937259r-8182,40543l1083713,1010904r-33102,22314l1010069,1041400r-905942,l63597,1033218,30499,1010904,8183,977802,,937259,,104139xe" filled="f" strokecolor="white" strokeweight="1pt">
                  <v:path arrowok="t"/>
                </v:shape>
                <v:shape id="Textbox 391" o:spid="_x0000_s1228" type="#_x0000_t202" style="position:absolute;width:55708;height:1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4DF4C712" w14:textId="77777777" w:rsidR="008715BE" w:rsidRDefault="008715BE">
                        <w:pPr>
                          <w:rPr>
                            <w:sz w:val="18"/>
                          </w:rPr>
                        </w:pPr>
                      </w:p>
                      <w:p w14:paraId="4285EF6E" w14:textId="77777777" w:rsidR="008715BE" w:rsidRDefault="008715BE">
                        <w:pPr>
                          <w:rPr>
                            <w:sz w:val="18"/>
                          </w:rPr>
                        </w:pPr>
                      </w:p>
                      <w:p w14:paraId="273F2C66" w14:textId="77777777" w:rsidR="008715BE" w:rsidRDefault="008715BE">
                        <w:pPr>
                          <w:spacing w:before="137"/>
                          <w:rPr>
                            <w:sz w:val="18"/>
                          </w:rPr>
                        </w:pPr>
                      </w:p>
                      <w:p w14:paraId="3D970BF0" w14:textId="77777777" w:rsidR="008715BE" w:rsidRDefault="00000000">
                        <w:pPr>
                          <w:ind w:left="2014"/>
                          <w:rPr>
                            <w:sz w:val="18"/>
                          </w:rPr>
                        </w:pPr>
                        <w:r>
                          <w:rPr>
                            <w:b/>
                            <w:w w:val="125"/>
                            <w:sz w:val="12"/>
                          </w:rPr>
                          <w:t xml:space="preserve">Reversibility: </w:t>
                        </w:r>
                        <w:r>
                          <w:rPr>
                            <w:w w:val="125"/>
                            <w:sz w:val="12"/>
                          </w:rPr>
                          <w:t xml:space="preserve">effects that do not involve changes in </w:t>
                        </w:r>
                        <w:r>
                          <w:rPr>
                            <w:spacing w:val="-2"/>
                            <w:w w:val="125"/>
                            <w:sz w:val="12"/>
                          </w:rPr>
                          <w:t xml:space="preserve">air </w:t>
                        </w:r>
                        <w:r>
                          <w:rPr>
                            <w:w w:val="125"/>
                            <w:sz w:val="12"/>
                          </w:rPr>
                          <w:t>quality</w:t>
                        </w:r>
                        <w:r>
                          <w:rPr>
                            <w:spacing w:val="-2"/>
                            <w:w w:val="125"/>
                            <w:sz w:val="12"/>
                          </w:rPr>
                          <w:t>.</w:t>
                        </w:r>
                      </w:p>
                      <w:p w14:paraId="66B1C995" w14:textId="77777777" w:rsidR="008715BE" w:rsidRDefault="00000000">
                        <w:pPr>
                          <w:spacing w:before="18"/>
                          <w:ind w:left="2014"/>
                          <w:rPr>
                            <w:sz w:val="18"/>
                          </w:rPr>
                        </w:pPr>
                        <w:r>
                          <w:rPr>
                            <w:b/>
                            <w:w w:val="125"/>
                            <w:sz w:val="12"/>
                          </w:rPr>
                          <w:t xml:space="preserve">Irreversibility: </w:t>
                        </w:r>
                        <w:r>
                          <w:rPr>
                            <w:w w:val="125"/>
                            <w:sz w:val="12"/>
                          </w:rPr>
                          <w:t xml:space="preserve">effects that change </w:t>
                        </w:r>
                        <w:r>
                          <w:rPr>
                            <w:spacing w:val="-2"/>
                            <w:w w:val="125"/>
                            <w:sz w:val="12"/>
                          </w:rPr>
                          <w:t xml:space="preserve">air </w:t>
                        </w:r>
                        <w:r>
                          <w:rPr>
                            <w:w w:val="125"/>
                            <w:sz w:val="12"/>
                          </w:rPr>
                          <w:t>quality</w:t>
                        </w:r>
                      </w:p>
                    </w:txbxContent>
                  </v:textbox>
                </v:shape>
                <w10:wrap type="topAndBottom" anchorx="page"/>
              </v:group>
            </w:pict>
          </mc:Fallback>
        </mc:AlternateContent>
      </w:r>
    </w:p>
    <w:p w14:paraId="53E20827" w14:textId="77777777" w:rsidR="008715BE" w:rsidRPr="00EC75B7" w:rsidRDefault="008715BE">
      <w:pPr>
        <w:pStyle w:val="BodyText"/>
        <w:spacing w:before="10"/>
        <w:rPr>
          <w:rFonts w:ascii="Verdana" w:hAnsi="Verdana"/>
        </w:rPr>
      </w:pPr>
    </w:p>
    <w:p w14:paraId="088BDA04" w14:textId="77777777" w:rsidR="008715BE" w:rsidRPr="00EC75B7" w:rsidRDefault="008715BE">
      <w:pPr>
        <w:pStyle w:val="BodyText"/>
        <w:spacing w:before="37"/>
        <w:rPr>
          <w:rFonts w:ascii="Verdana" w:hAnsi="Verdana"/>
        </w:rPr>
      </w:pPr>
    </w:p>
    <w:p w14:paraId="783774BC" w14:textId="77777777" w:rsidR="008715BE" w:rsidRPr="00EC75B7" w:rsidRDefault="00000000">
      <w:pPr>
        <w:pStyle w:val="BodyText"/>
        <w:spacing w:line="360" w:lineRule="auto"/>
        <w:ind w:left="115" w:right="56"/>
        <w:jc w:val="both"/>
        <w:rPr>
          <w:rFonts w:ascii="Verdana" w:hAnsi="Verdana"/>
        </w:rPr>
      </w:pPr>
      <w:r w:rsidRPr="00EC75B7">
        <w:rPr>
          <w:rFonts w:ascii="Verdana" w:hAnsi="Verdana"/>
        </w:rPr>
        <w:t>The following tables present the air impact assessment matrix for the execution/decommissioning and operation stages.</w:t>
      </w:r>
    </w:p>
    <w:p w14:paraId="028653BA" w14:textId="77777777" w:rsidR="008715BE" w:rsidRPr="00EC75B7" w:rsidRDefault="00000000">
      <w:pPr>
        <w:pStyle w:val="BodyText"/>
        <w:spacing w:line="360" w:lineRule="auto"/>
        <w:ind w:left="115" w:right="63"/>
        <w:jc w:val="both"/>
        <w:rPr>
          <w:rFonts w:ascii="Verdana" w:hAnsi="Verdana"/>
        </w:rPr>
      </w:pPr>
      <w:r w:rsidRPr="00EC75B7">
        <w:rPr>
          <w:rFonts w:ascii="Verdana" w:hAnsi="Verdana"/>
        </w:rPr>
        <w:t>Given the specific nature of the project and the nature of the works carried out under this project, it is estimated that, during the decommissioning phase, the impacts on air will be of the same nature, magnitude, extent, and significance as those estimated for the execution period.</w:t>
      </w:r>
    </w:p>
    <w:p w14:paraId="7646AAC2" w14:textId="77777777" w:rsidR="008715BE" w:rsidRPr="00EC75B7" w:rsidRDefault="008715BE">
      <w:pPr>
        <w:pStyle w:val="BodyText"/>
        <w:spacing w:line="360" w:lineRule="auto"/>
        <w:jc w:val="both"/>
        <w:rPr>
          <w:rFonts w:ascii="Verdana" w:hAnsi="Verdana"/>
        </w:rPr>
        <w:sectPr w:rsidR="008715BE" w:rsidRPr="00EC75B7">
          <w:pgSz w:w="11910" w:h="16840"/>
          <w:pgMar w:top="1320" w:right="1133" w:bottom="1020" w:left="1133" w:header="777" w:footer="824" w:gutter="0"/>
          <w:cols w:space="708"/>
        </w:sectPr>
      </w:pPr>
    </w:p>
    <w:p w14:paraId="1011CA6B" w14:textId="77777777" w:rsidR="008715BE" w:rsidRPr="00EC75B7" w:rsidRDefault="00000000">
      <w:pPr>
        <w:pStyle w:val="BodyText"/>
        <w:spacing w:before="162"/>
        <w:rPr>
          <w:rFonts w:ascii="Verdana" w:hAnsi="Verdana"/>
        </w:rPr>
      </w:pPr>
      <w:r w:rsidRPr="00EC75B7">
        <w:rPr>
          <w:rFonts w:ascii="Verdana" w:hAnsi="Verdana"/>
          <w:noProof/>
        </w:rPr>
        <w:lastRenderedPageBreak/>
        <w:drawing>
          <wp:anchor distT="0" distB="0" distL="0" distR="0" simplePos="0" relativeHeight="251668480" behindDoc="0" locked="0" layoutInCell="1" allowOverlap="1" wp14:anchorId="600F1D1F" wp14:editId="3EDD0B06">
            <wp:simplePos x="0" y="0"/>
            <wp:positionH relativeFrom="page">
              <wp:posOffset>1080769</wp:posOffset>
            </wp:positionH>
            <wp:positionV relativeFrom="page">
              <wp:posOffset>503272</wp:posOffset>
            </wp:positionV>
            <wp:extent cx="631348" cy="133350"/>
            <wp:effectExtent l="0" t="0" r="0" b="0"/>
            <wp:wrapNone/>
            <wp:docPr id="393" name="Image 393"/>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212" cstate="print"/>
                    <a:stretch>
                      <a:fillRect/>
                    </a:stretch>
                  </pic:blipFill>
                  <pic:spPr>
                    <a:xfrm>
                      <a:off x="0" y="0"/>
                      <a:ext cx="631348" cy="133350"/>
                    </a:xfrm>
                    <a:prstGeom prst="rect">
                      <a:avLst/>
                    </a:prstGeom>
                  </pic:spPr>
                </pic:pic>
              </a:graphicData>
            </a:graphic>
          </wp:anchor>
        </w:drawing>
      </w:r>
    </w:p>
    <w:p w14:paraId="158F31AE" w14:textId="77777777" w:rsidR="008715BE" w:rsidRPr="00EC75B7" w:rsidRDefault="00000000">
      <w:pPr>
        <w:ind w:left="1"/>
        <w:rPr>
          <w:rFonts w:ascii="Verdana" w:hAnsi="Verdana"/>
          <w:b/>
          <w:sz w:val="18"/>
          <w:szCs w:val="18"/>
        </w:rPr>
      </w:pPr>
      <w:r w:rsidRPr="00EC75B7">
        <w:rPr>
          <w:rFonts w:ascii="Verdana" w:hAnsi="Verdana"/>
          <w:b/>
          <w:color w:val="00AFEF"/>
          <w:sz w:val="18"/>
          <w:szCs w:val="18"/>
        </w:rPr>
        <w:t>Table 43 Assessment of the project's impact on air (</w:t>
      </w:r>
      <w:r w:rsidRPr="00EC75B7">
        <w:rPr>
          <w:rFonts w:ascii="Verdana" w:hAnsi="Verdana"/>
          <w:b/>
          <w:color w:val="00AFEF"/>
          <w:spacing w:val="-2"/>
          <w:sz w:val="18"/>
          <w:szCs w:val="18"/>
        </w:rPr>
        <w:t xml:space="preserve">construction/decommissioning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8715BE" w:rsidRPr="00EC75B7" w14:paraId="76921B96" w14:textId="77777777">
        <w:trPr>
          <w:trHeight w:val="1550"/>
        </w:trPr>
        <w:tc>
          <w:tcPr>
            <w:tcW w:w="725" w:type="dxa"/>
            <w:shd w:val="clear" w:color="auto" w:fill="00AFEF"/>
          </w:tcPr>
          <w:p w14:paraId="3171ACA4" w14:textId="77777777" w:rsidR="008715BE" w:rsidRPr="00EC75B7" w:rsidRDefault="008715BE">
            <w:pPr>
              <w:pStyle w:val="TableParagraph"/>
              <w:rPr>
                <w:rFonts w:ascii="Verdana" w:hAnsi="Verdana"/>
                <w:b/>
                <w:sz w:val="18"/>
                <w:szCs w:val="18"/>
              </w:rPr>
            </w:pPr>
          </w:p>
          <w:p w14:paraId="70F8CD8B" w14:textId="77777777" w:rsidR="008715BE" w:rsidRPr="00EC75B7" w:rsidRDefault="008715BE">
            <w:pPr>
              <w:pStyle w:val="TableParagraph"/>
              <w:rPr>
                <w:rFonts w:ascii="Verdana" w:hAnsi="Verdana"/>
                <w:b/>
                <w:sz w:val="18"/>
                <w:szCs w:val="18"/>
              </w:rPr>
            </w:pPr>
          </w:p>
          <w:p w14:paraId="13F22FA8" w14:textId="77777777" w:rsidR="008715BE" w:rsidRPr="00EC75B7" w:rsidRDefault="008715BE">
            <w:pPr>
              <w:pStyle w:val="TableParagraph"/>
              <w:spacing w:before="92"/>
              <w:rPr>
                <w:rFonts w:ascii="Verdana" w:hAnsi="Verdana"/>
                <w:b/>
                <w:sz w:val="18"/>
                <w:szCs w:val="18"/>
              </w:rPr>
            </w:pPr>
          </w:p>
          <w:p w14:paraId="4D1AF1B5"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414" w:type="dxa"/>
            <w:shd w:val="clear" w:color="auto" w:fill="00AFEF"/>
          </w:tcPr>
          <w:p w14:paraId="1DB79701" w14:textId="77777777" w:rsidR="008715BE" w:rsidRPr="00EC75B7" w:rsidRDefault="008715BE">
            <w:pPr>
              <w:pStyle w:val="TableParagraph"/>
              <w:rPr>
                <w:rFonts w:ascii="Verdana" w:hAnsi="Verdana"/>
                <w:b/>
                <w:sz w:val="18"/>
                <w:szCs w:val="18"/>
              </w:rPr>
            </w:pPr>
          </w:p>
          <w:p w14:paraId="2728CA92" w14:textId="77777777" w:rsidR="008715BE" w:rsidRPr="00EC75B7" w:rsidRDefault="008715BE">
            <w:pPr>
              <w:pStyle w:val="TableParagraph"/>
              <w:rPr>
                <w:rFonts w:ascii="Verdana" w:hAnsi="Verdana"/>
                <w:b/>
                <w:sz w:val="18"/>
                <w:szCs w:val="18"/>
              </w:rPr>
            </w:pPr>
          </w:p>
          <w:p w14:paraId="62F00845" w14:textId="77777777" w:rsidR="008715BE" w:rsidRPr="00EC75B7" w:rsidRDefault="008715BE">
            <w:pPr>
              <w:pStyle w:val="TableParagraph"/>
              <w:spacing w:before="92"/>
              <w:rPr>
                <w:rFonts w:ascii="Verdana" w:hAnsi="Verdana"/>
                <w:b/>
                <w:sz w:val="18"/>
                <w:szCs w:val="18"/>
              </w:rPr>
            </w:pPr>
          </w:p>
          <w:p w14:paraId="2D7A38FA" w14:textId="77777777" w:rsidR="008715BE" w:rsidRPr="00EC75B7" w:rsidRDefault="00000000">
            <w:pPr>
              <w:pStyle w:val="TableParagraph"/>
              <w:spacing w:before="1"/>
              <w:ind w:left="216"/>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112" w:type="dxa"/>
            <w:shd w:val="clear" w:color="auto" w:fill="00AFEF"/>
          </w:tcPr>
          <w:p w14:paraId="44E8969A" w14:textId="77777777" w:rsidR="008715BE" w:rsidRPr="00EC75B7" w:rsidRDefault="008715BE">
            <w:pPr>
              <w:pStyle w:val="TableParagraph"/>
              <w:rPr>
                <w:rFonts w:ascii="Verdana" w:hAnsi="Verdana"/>
                <w:b/>
                <w:sz w:val="18"/>
                <w:szCs w:val="18"/>
              </w:rPr>
            </w:pPr>
          </w:p>
          <w:p w14:paraId="29E66C3C" w14:textId="77777777" w:rsidR="008715BE" w:rsidRPr="00EC75B7" w:rsidRDefault="008715BE">
            <w:pPr>
              <w:pStyle w:val="TableParagraph"/>
              <w:rPr>
                <w:rFonts w:ascii="Verdana" w:hAnsi="Verdana"/>
                <w:b/>
                <w:sz w:val="18"/>
                <w:szCs w:val="18"/>
              </w:rPr>
            </w:pPr>
          </w:p>
          <w:p w14:paraId="07D30EEB" w14:textId="77777777" w:rsidR="008715BE" w:rsidRPr="00EC75B7" w:rsidRDefault="008715BE">
            <w:pPr>
              <w:pStyle w:val="TableParagraph"/>
              <w:spacing w:before="92"/>
              <w:rPr>
                <w:rFonts w:ascii="Verdana" w:hAnsi="Verdana"/>
                <w:b/>
                <w:sz w:val="18"/>
                <w:szCs w:val="18"/>
              </w:rPr>
            </w:pPr>
          </w:p>
          <w:p w14:paraId="46F00E09" w14:textId="77777777" w:rsidR="008715BE" w:rsidRPr="00EC75B7" w:rsidRDefault="00000000">
            <w:pPr>
              <w:pStyle w:val="TableParagraph"/>
              <w:spacing w:before="1"/>
              <w:ind w:left="11"/>
              <w:jc w:val="center"/>
              <w:rPr>
                <w:rFonts w:ascii="Verdana" w:hAnsi="Verdana"/>
                <w:b/>
                <w:sz w:val="18"/>
                <w:szCs w:val="18"/>
              </w:rPr>
            </w:pPr>
            <w:r w:rsidRPr="00EC75B7">
              <w:rPr>
                <w:rFonts w:ascii="Verdana" w:hAnsi="Verdana"/>
                <w:b/>
                <w:color w:val="FFFFFF"/>
                <w:spacing w:val="-2"/>
                <w:sz w:val="18"/>
                <w:szCs w:val="18"/>
              </w:rPr>
              <w:t>Effects</w:t>
            </w:r>
          </w:p>
        </w:tc>
        <w:tc>
          <w:tcPr>
            <w:tcW w:w="1473" w:type="dxa"/>
            <w:shd w:val="clear" w:color="auto" w:fill="00AFEF"/>
          </w:tcPr>
          <w:p w14:paraId="02573FBF" w14:textId="77777777" w:rsidR="008715BE" w:rsidRPr="00EC75B7" w:rsidRDefault="008715BE">
            <w:pPr>
              <w:pStyle w:val="TableParagraph"/>
              <w:rPr>
                <w:rFonts w:ascii="Verdana" w:hAnsi="Verdana"/>
                <w:b/>
                <w:sz w:val="18"/>
                <w:szCs w:val="18"/>
              </w:rPr>
            </w:pPr>
          </w:p>
          <w:p w14:paraId="68353902" w14:textId="77777777" w:rsidR="008715BE" w:rsidRPr="00EC75B7" w:rsidRDefault="008715BE">
            <w:pPr>
              <w:pStyle w:val="TableParagraph"/>
              <w:spacing w:before="93"/>
              <w:rPr>
                <w:rFonts w:ascii="Verdana" w:hAnsi="Verdana"/>
                <w:b/>
                <w:sz w:val="18"/>
                <w:szCs w:val="18"/>
              </w:rPr>
            </w:pPr>
          </w:p>
          <w:p w14:paraId="5CD8EB87" w14:textId="77777777" w:rsidR="008715BE" w:rsidRPr="00EC75B7" w:rsidRDefault="00000000">
            <w:pPr>
              <w:pStyle w:val="TableParagraph"/>
              <w:spacing w:before="1"/>
              <w:ind w:left="20" w:right="7"/>
              <w:jc w:val="center"/>
              <w:rPr>
                <w:rFonts w:ascii="Verdana" w:hAnsi="Verdana"/>
                <w:b/>
                <w:sz w:val="18"/>
                <w:szCs w:val="18"/>
              </w:rPr>
            </w:pPr>
            <w:r w:rsidRPr="00EC75B7">
              <w:rPr>
                <w:rFonts w:ascii="Verdana" w:hAnsi="Verdana"/>
                <w:b/>
                <w:color w:val="FFFFFF"/>
                <w:spacing w:val="-2"/>
                <w:sz w:val="18"/>
                <w:szCs w:val="18"/>
              </w:rPr>
              <w:t>Potential forms of impact</w:t>
            </w:r>
          </w:p>
        </w:tc>
        <w:tc>
          <w:tcPr>
            <w:tcW w:w="1012" w:type="dxa"/>
            <w:shd w:val="clear" w:color="auto" w:fill="00AFEF"/>
            <w:textDirection w:val="btLr"/>
          </w:tcPr>
          <w:p w14:paraId="08D076CF" w14:textId="77777777" w:rsidR="008715BE" w:rsidRPr="00EC75B7" w:rsidRDefault="008715BE">
            <w:pPr>
              <w:pStyle w:val="TableParagraph"/>
              <w:rPr>
                <w:rFonts w:ascii="Verdana" w:hAnsi="Verdana"/>
                <w:b/>
                <w:sz w:val="18"/>
                <w:szCs w:val="18"/>
              </w:rPr>
            </w:pPr>
          </w:p>
          <w:p w14:paraId="406A91BB" w14:textId="77777777" w:rsidR="008715BE" w:rsidRPr="00EC75B7" w:rsidRDefault="008715BE">
            <w:pPr>
              <w:pStyle w:val="TableParagraph"/>
              <w:spacing w:before="29"/>
              <w:rPr>
                <w:rFonts w:ascii="Verdana" w:hAnsi="Verdana"/>
                <w:b/>
                <w:sz w:val="18"/>
                <w:szCs w:val="18"/>
              </w:rPr>
            </w:pPr>
          </w:p>
          <w:p w14:paraId="5365850E" w14:textId="77777777" w:rsidR="008715BE" w:rsidRPr="00EC75B7" w:rsidRDefault="00000000">
            <w:pPr>
              <w:pStyle w:val="TableParagraph"/>
              <w:spacing w:before="1"/>
              <w:ind w:left="3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1" w:type="dxa"/>
            <w:shd w:val="clear" w:color="auto" w:fill="00AFEF"/>
            <w:textDirection w:val="btLr"/>
          </w:tcPr>
          <w:p w14:paraId="78AE46EB" w14:textId="77777777" w:rsidR="008715BE" w:rsidRPr="00EC75B7" w:rsidRDefault="008715BE">
            <w:pPr>
              <w:pStyle w:val="TableParagraph"/>
              <w:spacing w:before="105"/>
              <w:rPr>
                <w:rFonts w:ascii="Verdana" w:hAnsi="Verdana"/>
                <w:b/>
                <w:sz w:val="18"/>
                <w:szCs w:val="18"/>
              </w:rPr>
            </w:pPr>
          </w:p>
          <w:p w14:paraId="50E3A799" w14:textId="77777777" w:rsidR="008715BE" w:rsidRPr="00EC75B7" w:rsidRDefault="00000000">
            <w:pPr>
              <w:pStyle w:val="TableParagraph"/>
              <w:spacing w:before="1" w:line="244" w:lineRule="auto"/>
              <w:ind w:left="308" w:right="287" w:firstLine="165"/>
              <w:rPr>
                <w:rFonts w:ascii="Verdana" w:hAnsi="Verdana"/>
                <w:b/>
                <w:sz w:val="18"/>
                <w:szCs w:val="18"/>
              </w:rPr>
            </w:pPr>
            <w:r w:rsidRPr="00EC75B7">
              <w:rPr>
                <w:rFonts w:ascii="Verdana" w:hAnsi="Verdana"/>
                <w:b/>
                <w:color w:val="FFFFFF"/>
                <w:spacing w:val="-2"/>
                <w:sz w:val="18"/>
                <w:szCs w:val="18"/>
              </w:rPr>
              <w:t>Nature of impact</w:t>
            </w:r>
          </w:p>
        </w:tc>
        <w:tc>
          <w:tcPr>
            <w:tcW w:w="604" w:type="dxa"/>
            <w:shd w:val="clear" w:color="auto" w:fill="00AFEF"/>
            <w:textDirection w:val="btLr"/>
          </w:tcPr>
          <w:p w14:paraId="48A166BB" w14:textId="77777777" w:rsidR="008715BE" w:rsidRPr="00EC75B7" w:rsidRDefault="00000000">
            <w:pPr>
              <w:pStyle w:val="TableParagraph"/>
              <w:spacing w:before="122"/>
              <w:ind w:left="378"/>
              <w:rPr>
                <w:rFonts w:ascii="Verdana" w:hAnsi="Verdana"/>
                <w:b/>
                <w:sz w:val="18"/>
                <w:szCs w:val="18"/>
              </w:rPr>
            </w:pPr>
            <w:r w:rsidRPr="00EC75B7">
              <w:rPr>
                <w:rFonts w:ascii="Verdana" w:hAnsi="Verdana"/>
                <w:b/>
                <w:color w:val="FFFFFF"/>
                <w:spacing w:val="-2"/>
                <w:sz w:val="18"/>
                <w:szCs w:val="18"/>
              </w:rPr>
              <w:t>Potential</w:t>
            </w:r>
          </w:p>
          <w:p w14:paraId="72EEFF14" w14:textId="77777777" w:rsidR="008715BE" w:rsidRPr="00EC75B7" w:rsidRDefault="00000000">
            <w:pPr>
              <w:pStyle w:val="TableParagraph"/>
              <w:spacing w:before="4"/>
              <w:ind w:left="340"/>
              <w:rPr>
                <w:rFonts w:ascii="Verdana" w:hAnsi="Verdana"/>
                <w:b/>
                <w:sz w:val="18"/>
                <w:szCs w:val="18"/>
              </w:rPr>
            </w:pPr>
            <w:r w:rsidRPr="00EC75B7">
              <w:rPr>
                <w:rFonts w:ascii="Verdana" w:hAnsi="Verdana"/>
                <w:b/>
                <w:color w:val="FFFFFF"/>
                <w:spacing w:val="-2"/>
                <w:sz w:val="18"/>
                <w:szCs w:val="18"/>
              </w:rPr>
              <w:t>Cumulative</w:t>
            </w:r>
          </w:p>
        </w:tc>
        <w:tc>
          <w:tcPr>
            <w:tcW w:w="1184" w:type="dxa"/>
            <w:shd w:val="clear" w:color="auto" w:fill="00AFEF"/>
            <w:textDirection w:val="btLr"/>
          </w:tcPr>
          <w:p w14:paraId="55BC98BA" w14:textId="77777777" w:rsidR="008715BE" w:rsidRPr="00EC75B7" w:rsidRDefault="008715BE">
            <w:pPr>
              <w:pStyle w:val="TableParagraph"/>
              <w:rPr>
                <w:rFonts w:ascii="Verdana" w:hAnsi="Verdana"/>
                <w:b/>
                <w:sz w:val="18"/>
                <w:szCs w:val="18"/>
              </w:rPr>
            </w:pPr>
          </w:p>
          <w:p w14:paraId="3F3BF827" w14:textId="77777777" w:rsidR="008715BE" w:rsidRPr="00EC75B7" w:rsidRDefault="008715BE">
            <w:pPr>
              <w:pStyle w:val="TableParagraph"/>
              <w:spacing w:before="116"/>
              <w:rPr>
                <w:rFonts w:ascii="Verdana" w:hAnsi="Verdana"/>
                <w:b/>
                <w:sz w:val="18"/>
                <w:szCs w:val="18"/>
              </w:rPr>
            </w:pPr>
          </w:p>
          <w:p w14:paraId="7AABCF2C" w14:textId="77777777" w:rsidR="008715BE" w:rsidRPr="00EC75B7" w:rsidRDefault="00000000">
            <w:pPr>
              <w:pStyle w:val="TableParagraph"/>
              <w:spacing w:before="1"/>
              <w:ind w:left="476"/>
              <w:rPr>
                <w:rFonts w:ascii="Verdana" w:hAnsi="Verdana"/>
                <w:b/>
                <w:sz w:val="18"/>
                <w:szCs w:val="18"/>
              </w:rPr>
            </w:pPr>
            <w:r w:rsidRPr="00EC75B7">
              <w:rPr>
                <w:rFonts w:ascii="Verdana" w:hAnsi="Verdana"/>
                <w:b/>
                <w:color w:val="FFFFFF"/>
                <w:spacing w:val="-2"/>
                <w:sz w:val="18"/>
                <w:szCs w:val="18"/>
              </w:rPr>
              <w:t>Duration</w:t>
            </w:r>
          </w:p>
        </w:tc>
        <w:tc>
          <w:tcPr>
            <w:tcW w:w="1246" w:type="dxa"/>
            <w:shd w:val="clear" w:color="auto" w:fill="00AFEF"/>
            <w:textDirection w:val="btLr"/>
          </w:tcPr>
          <w:p w14:paraId="2C37D77A" w14:textId="77777777" w:rsidR="008715BE" w:rsidRPr="00EC75B7" w:rsidRDefault="008715BE">
            <w:pPr>
              <w:pStyle w:val="TableParagraph"/>
              <w:rPr>
                <w:rFonts w:ascii="Verdana" w:hAnsi="Verdana"/>
                <w:b/>
                <w:sz w:val="18"/>
                <w:szCs w:val="18"/>
              </w:rPr>
            </w:pPr>
          </w:p>
          <w:p w14:paraId="75522CF9" w14:textId="77777777" w:rsidR="008715BE" w:rsidRPr="00EC75B7" w:rsidRDefault="008715BE">
            <w:pPr>
              <w:pStyle w:val="TableParagraph"/>
              <w:spacing w:before="51"/>
              <w:rPr>
                <w:rFonts w:ascii="Verdana" w:hAnsi="Verdana"/>
                <w:b/>
                <w:sz w:val="18"/>
                <w:szCs w:val="18"/>
              </w:rPr>
            </w:pPr>
          </w:p>
          <w:p w14:paraId="6C943B80" w14:textId="77777777" w:rsidR="008715BE" w:rsidRPr="00EC75B7" w:rsidRDefault="00000000">
            <w:pPr>
              <w:pStyle w:val="TableParagraph"/>
              <w:spacing w:line="244" w:lineRule="auto"/>
              <w:ind w:left="43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920" w:type="dxa"/>
            <w:shd w:val="clear" w:color="auto" w:fill="00AFEF"/>
            <w:textDirection w:val="btLr"/>
          </w:tcPr>
          <w:p w14:paraId="0DBB7ED6" w14:textId="77777777" w:rsidR="008715BE" w:rsidRPr="00EC75B7" w:rsidRDefault="008715BE">
            <w:pPr>
              <w:pStyle w:val="TableParagraph"/>
              <w:spacing w:before="186"/>
              <w:rPr>
                <w:rFonts w:ascii="Verdana" w:hAnsi="Verdana"/>
                <w:b/>
                <w:sz w:val="18"/>
                <w:szCs w:val="18"/>
              </w:rPr>
            </w:pPr>
          </w:p>
          <w:p w14:paraId="6CFD896B" w14:textId="77777777" w:rsidR="008715BE" w:rsidRPr="00EC75B7" w:rsidRDefault="00000000">
            <w:pPr>
              <w:pStyle w:val="TableParagraph"/>
              <w:ind w:left="299"/>
              <w:rPr>
                <w:rFonts w:ascii="Verdana" w:hAnsi="Verdana"/>
                <w:b/>
                <w:sz w:val="18"/>
                <w:szCs w:val="18"/>
              </w:rPr>
            </w:pPr>
            <w:r w:rsidRPr="00EC75B7">
              <w:rPr>
                <w:rFonts w:ascii="Verdana" w:hAnsi="Verdana"/>
                <w:b/>
                <w:color w:val="FFFFFF"/>
                <w:spacing w:val="-2"/>
                <w:sz w:val="18"/>
                <w:szCs w:val="18"/>
              </w:rPr>
              <w:t>Extent</w:t>
            </w:r>
          </w:p>
        </w:tc>
        <w:tc>
          <w:tcPr>
            <w:tcW w:w="1182" w:type="dxa"/>
            <w:shd w:val="clear" w:color="auto" w:fill="00AFEF"/>
            <w:textDirection w:val="btLr"/>
          </w:tcPr>
          <w:p w14:paraId="558DB81E" w14:textId="77777777" w:rsidR="008715BE" w:rsidRPr="00EC75B7" w:rsidRDefault="008715BE">
            <w:pPr>
              <w:pStyle w:val="TableParagraph"/>
              <w:rPr>
                <w:rFonts w:ascii="Verdana" w:hAnsi="Verdana"/>
                <w:b/>
                <w:sz w:val="18"/>
                <w:szCs w:val="18"/>
              </w:rPr>
            </w:pPr>
          </w:p>
          <w:p w14:paraId="38DD469E" w14:textId="77777777" w:rsidR="008715BE" w:rsidRPr="00EC75B7" w:rsidRDefault="008715BE">
            <w:pPr>
              <w:pStyle w:val="TableParagraph"/>
              <w:spacing w:before="122"/>
              <w:rPr>
                <w:rFonts w:ascii="Verdana" w:hAnsi="Verdana"/>
                <w:b/>
                <w:sz w:val="18"/>
                <w:szCs w:val="18"/>
              </w:rPr>
            </w:pPr>
          </w:p>
          <w:p w14:paraId="1BEAEE92" w14:textId="77777777" w:rsidR="008715BE" w:rsidRPr="00EC75B7" w:rsidRDefault="00000000">
            <w:pPr>
              <w:pStyle w:val="TableParagraph"/>
              <w:ind w:left="150"/>
              <w:rPr>
                <w:rFonts w:ascii="Verdana" w:hAnsi="Verdana"/>
                <w:b/>
                <w:sz w:val="18"/>
                <w:szCs w:val="18"/>
              </w:rPr>
            </w:pPr>
            <w:r w:rsidRPr="00EC75B7">
              <w:rPr>
                <w:rFonts w:ascii="Verdana" w:hAnsi="Verdana"/>
                <w:b/>
                <w:color w:val="FFFFFF"/>
                <w:spacing w:val="-2"/>
                <w:sz w:val="18"/>
                <w:szCs w:val="18"/>
              </w:rPr>
              <w:t>Probability</w:t>
            </w:r>
          </w:p>
        </w:tc>
        <w:tc>
          <w:tcPr>
            <w:tcW w:w="1093" w:type="dxa"/>
            <w:shd w:val="clear" w:color="auto" w:fill="00AFEF"/>
            <w:textDirection w:val="btLr"/>
          </w:tcPr>
          <w:p w14:paraId="1ECF2258" w14:textId="77777777" w:rsidR="008715BE" w:rsidRPr="00EC75B7" w:rsidRDefault="008715BE">
            <w:pPr>
              <w:pStyle w:val="TableParagraph"/>
              <w:rPr>
                <w:rFonts w:ascii="Verdana" w:hAnsi="Verdana"/>
                <w:b/>
                <w:sz w:val="18"/>
                <w:szCs w:val="18"/>
              </w:rPr>
            </w:pPr>
          </w:p>
          <w:p w14:paraId="0B655281" w14:textId="77777777" w:rsidR="008715BE" w:rsidRPr="00EC75B7" w:rsidRDefault="008715BE">
            <w:pPr>
              <w:pStyle w:val="TableParagraph"/>
              <w:spacing w:before="80"/>
              <w:rPr>
                <w:rFonts w:ascii="Verdana" w:hAnsi="Verdana"/>
                <w:b/>
                <w:sz w:val="18"/>
                <w:szCs w:val="18"/>
              </w:rPr>
            </w:pPr>
          </w:p>
          <w:p w14:paraId="491ACBBF" w14:textId="77777777" w:rsidR="008715BE" w:rsidRPr="00EC75B7" w:rsidRDefault="00000000">
            <w:pPr>
              <w:pStyle w:val="TableParagraph"/>
              <w:ind w:left="76"/>
              <w:rPr>
                <w:rFonts w:ascii="Verdana" w:hAnsi="Verdana"/>
                <w:b/>
                <w:sz w:val="18"/>
                <w:szCs w:val="18"/>
              </w:rPr>
            </w:pPr>
            <w:r w:rsidRPr="00EC75B7">
              <w:rPr>
                <w:rFonts w:ascii="Verdana" w:hAnsi="Verdana"/>
                <w:b/>
                <w:color w:val="FFFFFF"/>
                <w:spacing w:val="-2"/>
                <w:sz w:val="18"/>
                <w:szCs w:val="18"/>
              </w:rPr>
              <w:t>Reversibility</w:t>
            </w:r>
          </w:p>
        </w:tc>
        <w:tc>
          <w:tcPr>
            <w:tcW w:w="1537" w:type="dxa"/>
            <w:shd w:val="clear" w:color="auto" w:fill="00AFEF"/>
            <w:textDirection w:val="btLr"/>
          </w:tcPr>
          <w:p w14:paraId="240730A9" w14:textId="77777777" w:rsidR="008715BE" w:rsidRPr="00EC75B7" w:rsidRDefault="008715BE">
            <w:pPr>
              <w:pStyle w:val="TableParagraph"/>
              <w:rPr>
                <w:rFonts w:ascii="Verdana" w:hAnsi="Verdana"/>
                <w:b/>
                <w:sz w:val="18"/>
                <w:szCs w:val="18"/>
              </w:rPr>
            </w:pPr>
          </w:p>
          <w:p w14:paraId="42E287CE" w14:textId="77777777" w:rsidR="008715BE" w:rsidRPr="00EC75B7" w:rsidRDefault="008715BE">
            <w:pPr>
              <w:pStyle w:val="TableParagraph"/>
              <w:rPr>
                <w:rFonts w:ascii="Verdana" w:hAnsi="Verdana"/>
                <w:b/>
                <w:sz w:val="18"/>
                <w:szCs w:val="18"/>
              </w:rPr>
            </w:pPr>
          </w:p>
          <w:p w14:paraId="0780BD76" w14:textId="77777777" w:rsidR="008715BE" w:rsidRPr="00EC75B7" w:rsidRDefault="008715BE">
            <w:pPr>
              <w:pStyle w:val="TableParagraph"/>
              <w:spacing w:before="9"/>
              <w:rPr>
                <w:rFonts w:ascii="Verdana" w:hAnsi="Verdana"/>
                <w:b/>
                <w:sz w:val="18"/>
                <w:szCs w:val="18"/>
              </w:rPr>
            </w:pPr>
          </w:p>
          <w:p w14:paraId="70F10040" w14:textId="77777777" w:rsidR="008715BE" w:rsidRPr="00EC75B7" w:rsidRDefault="00000000">
            <w:pPr>
              <w:pStyle w:val="TableParagraph"/>
              <w:ind w:left="224"/>
              <w:rPr>
                <w:rFonts w:ascii="Verdana" w:hAnsi="Verdana"/>
                <w:b/>
                <w:sz w:val="18"/>
                <w:szCs w:val="18"/>
              </w:rPr>
            </w:pPr>
            <w:r w:rsidRPr="00EC75B7">
              <w:rPr>
                <w:rFonts w:ascii="Verdana" w:hAnsi="Verdana"/>
                <w:b/>
                <w:color w:val="FFFFFF"/>
                <w:spacing w:val="-2"/>
                <w:sz w:val="18"/>
                <w:szCs w:val="18"/>
              </w:rPr>
              <w:t>Significance</w:t>
            </w:r>
          </w:p>
          <w:p w14:paraId="68A393C7" w14:textId="77777777" w:rsidR="008715BE" w:rsidRPr="00EC75B7" w:rsidRDefault="00000000">
            <w:pPr>
              <w:pStyle w:val="TableParagraph"/>
              <w:spacing w:before="4"/>
              <w:ind w:left="308"/>
              <w:rPr>
                <w:rFonts w:ascii="Verdana" w:hAnsi="Verdana"/>
                <w:b/>
                <w:sz w:val="18"/>
                <w:szCs w:val="18"/>
              </w:rPr>
            </w:pPr>
            <w:r w:rsidRPr="00EC75B7">
              <w:rPr>
                <w:rFonts w:ascii="Verdana" w:hAnsi="Verdana"/>
                <w:b/>
                <w:color w:val="FFFFFF"/>
                <w:spacing w:val="-2"/>
                <w:sz w:val="18"/>
                <w:szCs w:val="18"/>
              </w:rPr>
              <w:t>of impact</w:t>
            </w:r>
          </w:p>
        </w:tc>
        <w:tc>
          <w:tcPr>
            <w:tcW w:w="5056" w:type="dxa"/>
            <w:shd w:val="clear" w:color="auto" w:fill="00AFEF"/>
          </w:tcPr>
          <w:p w14:paraId="6669354C" w14:textId="77777777" w:rsidR="008715BE" w:rsidRPr="00EC75B7" w:rsidRDefault="008715BE">
            <w:pPr>
              <w:pStyle w:val="TableParagraph"/>
              <w:rPr>
                <w:rFonts w:ascii="Verdana" w:hAnsi="Verdana"/>
                <w:b/>
                <w:sz w:val="18"/>
                <w:szCs w:val="18"/>
              </w:rPr>
            </w:pPr>
          </w:p>
          <w:p w14:paraId="6D2E960C" w14:textId="77777777" w:rsidR="008715BE" w:rsidRPr="00EC75B7" w:rsidRDefault="008715BE">
            <w:pPr>
              <w:pStyle w:val="TableParagraph"/>
              <w:rPr>
                <w:rFonts w:ascii="Verdana" w:hAnsi="Verdana"/>
                <w:b/>
                <w:sz w:val="18"/>
                <w:szCs w:val="18"/>
              </w:rPr>
            </w:pPr>
          </w:p>
          <w:p w14:paraId="2F3F4AB7" w14:textId="77777777" w:rsidR="008715BE" w:rsidRPr="00EC75B7" w:rsidRDefault="008715BE">
            <w:pPr>
              <w:pStyle w:val="TableParagraph"/>
              <w:spacing w:before="92"/>
              <w:rPr>
                <w:rFonts w:ascii="Verdana" w:hAnsi="Verdana"/>
                <w:b/>
                <w:sz w:val="18"/>
                <w:szCs w:val="18"/>
              </w:rPr>
            </w:pPr>
          </w:p>
          <w:p w14:paraId="2A2207CD" w14:textId="77777777" w:rsidR="008715BE" w:rsidRPr="00EC75B7" w:rsidRDefault="00000000">
            <w:pPr>
              <w:pStyle w:val="TableParagraph"/>
              <w:spacing w:before="1"/>
              <w:ind w:left="3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650777A0" w14:textId="77777777">
        <w:trPr>
          <w:trHeight w:val="5834"/>
        </w:trPr>
        <w:tc>
          <w:tcPr>
            <w:tcW w:w="725" w:type="dxa"/>
            <w:vMerge w:val="restart"/>
            <w:textDirection w:val="btLr"/>
          </w:tcPr>
          <w:p w14:paraId="5E393AB5" w14:textId="77777777" w:rsidR="008715BE" w:rsidRPr="00EC75B7" w:rsidRDefault="00000000">
            <w:pPr>
              <w:pStyle w:val="TableParagraph"/>
              <w:spacing w:before="118"/>
              <w:ind w:left="15"/>
              <w:jc w:val="center"/>
              <w:rPr>
                <w:rFonts w:ascii="Verdana" w:hAnsi="Verdana"/>
                <w:b/>
                <w:sz w:val="18"/>
                <w:szCs w:val="18"/>
              </w:rPr>
            </w:pPr>
            <w:r w:rsidRPr="00EC75B7">
              <w:rPr>
                <w:rFonts w:ascii="Verdana" w:hAnsi="Verdana"/>
                <w:b/>
                <w:spacing w:val="-2"/>
                <w:sz w:val="18"/>
                <w:szCs w:val="18"/>
              </w:rPr>
              <w:t>Execution</w:t>
            </w:r>
          </w:p>
        </w:tc>
        <w:tc>
          <w:tcPr>
            <w:tcW w:w="2414" w:type="dxa"/>
          </w:tcPr>
          <w:p w14:paraId="548E1D46" w14:textId="77777777" w:rsidR="008715BE" w:rsidRPr="00EC75B7" w:rsidRDefault="00000000">
            <w:pPr>
              <w:pStyle w:val="TableParagraph"/>
              <w:ind w:left="108" w:right="94"/>
              <w:rPr>
                <w:rFonts w:ascii="Verdana" w:hAnsi="Verdana"/>
                <w:sz w:val="18"/>
                <w:szCs w:val="18"/>
              </w:rPr>
            </w:pPr>
            <w:r w:rsidRPr="00EC75B7">
              <w:rPr>
                <w:rFonts w:ascii="Verdana" w:hAnsi="Verdana"/>
                <w:b/>
                <w:sz w:val="18"/>
                <w:szCs w:val="18"/>
              </w:rPr>
              <w:t xml:space="preserve">Site organization and operation </w:t>
            </w:r>
            <w:r w:rsidRPr="00EC75B7">
              <w:rPr>
                <w:rFonts w:ascii="Verdana" w:hAnsi="Verdana"/>
                <w:sz w:val="18"/>
                <w:szCs w:val="18"/>
              </w:rPr>
              <w:t>(soil stripping and leveling</w:t>
            </w:r>
          </w:p>
          <w:p w14:paraId="6B05F95E" w14:textId="77777777" w:rsidR="008715BE" w:rsidRPr="00EC75B7" w:rsidRDefault="00000000">
            <w:pPr>
              <w:pStyle w:val="TableParagraph"/>
              <w:ind w:left="108" w:right="304"/>
              <w:rPr>
                <w:rFonts w:ascii="Verdana" w:hAnsi="Verdana"/>
                <w:sz w:val="18"/>
                <w:szCs w:val="18"/>
              </w:rPr>
            </w:pPr>
            <w:r w:rsidRPr="00EC75B7">
              <w:rPr>
                <w:rFonts w:ascii="Verdana" w:hAnsi="Verdana"/>
                <w:sz w:val="18"/>
                <w:szCs w:val="18"/>
              </w:rPr>
              <w:t>Storage of materials, waste, wastewater Site traffic</w:t>
            </w:r>
          </w:p>
          <w:p w14:paraId="5F3C7D6A" w14:textId="77777777" w:rsidR="008715BE" w:rsidRPr="00EC75B7" w:rsidRDefault="00000000">
            <w:pPr>
              <w:pStyle w:val="TableParagraph"/>
              <w:spacing w:line="192" w:lineRule="exact"/>
              <w:ind w:left="108"/>
              <w:rPr>
                <w:rFonts w:ascii="Verdana" w:hAnsi="Verdana"/>
                <w:sz w:val="18"/>
                <w:szCs w:val="18"/>
              </w:rPr>
            </w:pPr>
            <w:r w:rsidRPr="00EC75B7">
              <w:rPr>
                <w:rFonts w:ascii="Verdana" w:hAnsi="Verdana"/>
                <w:spacing w:val="-2"/>
                <w:sz w:val="18"/>
                <w:szCs w:val="18"/>
              </w:rPr>
              <w:t>/operation</w:t>
            </w:r>
          </w:p>
          <w:p w14:paraId="2EA42580"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of machinery/vehicles)</w:t>
            </w:r>
          </w:p>
        </w:tc>
        <w:tc>
          <w:tcPr>
            <w:tcW w:w="2112" w:type="dxa"/>
          </w:tcPr>
          <w:p w14:paraId="6A3F58BE"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1B3C6889"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77831EBE"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7C3F4A18" w14:textId="77777777" w:rsidR="008715BE" w:rsidRPr="00EC75B7" w:rsidRDefault="00000000">
            <w:pPr>
              <w:pStyle w:val="TableParagraph"/>
              <w:spacing w:line="195" w:lineRule="exact"/>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230A6A4A"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Direct</w:t>
            </w:r>
          </w:p>
        </w:tc>
        <w:tc>
          <w:tcPr>
            <w:tcW w:w="604" w:type="dxa"/>
          </w:tcPr>
          <w:p w14:paraId="619C5E31" w14:textId="77777777" w:rsidR="008715BE" w:rsidRPr="00EC75B7" w:rsidRDefault="00000000">
            <w:pPr>
              <w:pStyle w:val="TableParagraph"/>
              <w:spacing w:line="195" w:lineRule="exact"/>
              <w:ind w:left="111"/>
              <w:rPr>
                <w:rFonts w:ascii="Verdana" w:hAnsi="Verdana"/>
                <w:sz w:val="18"/>
                <w:szCs w:val="18"/>
              </w:rPr>
            </w:pPr>
            <w:r w:rsidRPr="00EC75B7">
              <w:rPr>
                <w:rFonts w:ascii="Verdana" w:hAnsi="Verdana"/>
                <w:spacing w:val="-5"/>
                <w:sz w:val="18"/>
                <w:szCs w:val="18"/>
              </w:rPr>
              <w:t>Yes</w:t>
            </w:r>
          </w:p>
        </w:tc>
        <w:tc>
          <w:tcPr>
            <w:tcW w:w="1184" w:type="dxa"/>
          </w:tcPr>
          <w:p w14:paraId="46D65850" w14:textId="77777777" w:rsidR="008715BE" w:rsidRPr="00EC75B7" w:rsidRDefault="00000000">
            <w:pPr>
              <w:pStyle w:val="TableParagraph"/>
              <w:spacing w:line="195" w:lineRule="exact"/>
              <w:ind w:left="112"/>
              <w:rPr>
                <w:rFonts w:ascii="Verdana" w:hAnsi="Verdana"/>
                <w:sz w:val="18"/>
                <w:szCs w:val="18"/>
              </w:rPr>
            </w:pPr>
            <w:r w:rsidRPr="00EC75B7">
              <w:rPr>
                <w:rFonts w:ascii="Verdana" w:hAnsi="Verdana"/>
                <w:spacing w:val="-2"/>
                <w:sz w:val="18"/>
                <w:szCs w:val="18"/>
              </w:rPr>
              <w:t>Short</w:t>
            </w:r>
          </w:p>
        </w:tc>
        <w:tc>
          <w:tcPr>
            <w:tcW w:w="1246" w:type="dxa"/>
          </w:tcPr>
          <w:p w14:paraId="2806DF16" w14:textId="77777777" w:rsidR="008715BE" w:rsidRPr="00EC75B7" w:rsidRDefault="00000000">
            <w:pPr>
              <w:pStyle w:val="TableParagraph"/>
              <w:spacing w:line="195" w:lineRule="exact"/>
              <w:ind w:left="114"/>
              <w:rPr>
                <w:rFonts w:ascii="Verdana" w:hAnsi="Verdana"/>
                <w:sz w:val="18"/>
                <w:szCs w:val="18"/>
              </w:rPr>
            </w:pPr>
            <w:r w:rsidRPr="00EC75B7">
              <w:rPr>
                <w:rFonts w:ascii="Verdana" w:hAnsi="Verdana"/>
                <w:spacing w:val="-2"/>
                <w:sz w:val="18"/>
                <w:szCs w:val="18"/>
              </w:rPr>
              <w:t>Intermittent</w:t>
            </w:r>
          </w:p>
        </w:tc>
        <w:tc>
          <w:tcPr>
            <w:tcW w:w="920" w:type="dxa"/>
          </w:tcPr>
          <w:p w14:paraId="2AA929A8" w14:textId="77777777" w:rsidR="008715BE" w:rsidRPr="00EC75B7" w:rsidRDefault="00000000">
            <w:pPr>
              <w:pStyle w:val="TableParagraph"/>
              <w:spacing w:line="195" w:lineRule="exact"/>
              <w:ind w:left="116"/>
              <w:rPr>
                <w:rFonts w:ascii="Verdana" w:hAnsi="Verdana"/>
                <w:sz w:val="18"/>
                <w:szCs w:val="18"/>
              </w:rPr>
            </w:pPr>
            <w:r w:rsidRPr="00EC75B7">
              <w:rPr>
                <w:rFonts w:ascii="Verdana" w:hAnsi="Verdana"/>
                <w:spacing w:val="-2"/>
                <w:sz w:val="18"/>
                <w:szCs w:val="18"/>
              </w:rPr>
              <w:t>Local</w:t>
            </w:r>
          </w:p>
        </w:tc>
        <w:tc>
          <w:tcPr>
            <w:tcW w:w="1182" w:type="dxa"/>
          </w:tcPr>
          <w:p w14:paraId="36AFE3A1" w14:textId="77777777" w:rsidR="008715BE" w:rsidRPr="00EC75B7" w:rsidRDefault="00000000">
            <w:pPr>
              <w:pStyle w:val="TableParagraph"/>
              <w:spacing w:line="195" w:lineRule="exact"/>
              <w:ind w:left="117"/>
              <w:rPr>
                <w:rFonts w:ascii="Verdana" w:hAnsi="Verdana"/>
                <w:sz w:val="18"/>
                <w:szCs w:val="18"/>
              </w:rPr>
            </w:pPr>
            <w:r w:rsidRPr="00EC75B7">
              <w:rPr>
                <w:rFonts w:ascii="Verdana" w:hAnsi="Verdana"/>
                <w:spacing w:val="-2"/>
                <w:sz w:val="18"/>
                <w:szCs w:val="18"/>
              </w:rPr>
              <w:t>Probable</w:t>
            </w:r>
          </w:p>
        </w:tc>
        <w:tc>
          <w:tcPr>
            <w:tcW w:w="1093" w:type="dxa"/>
          </w:tcPr>
          <w:p w14:paraId="14BC69EA" w14:textId="77777777" w:rsidR="008715BE" w:rsidRPr="00EC75B7" w:rsidRDefault="00000000">
            <w:pPr>
              <w:pStyle w:val="TableParagraph"/>
              <w:spacing w:line="195" w:lineRule="exact"/>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1B37E1FE" w14:textId="77777777" w:rsidR="008715BE" w:rsidRPr="00EC75B7" w:rsidRDefault="00000000">
            <w:pPr>
              <w:pStyle w:val="TableParagraph"/>
              <w:spacing w:line="195" w:lineRule="exact"/>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49E598A7"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Site preparation work, which involves removing topsoil, levelling and compacting, may lead to emissions of suspended particles that may exceed the maximum permissible concentration.</w:t>
            </w:r>
          </w:p>
          <w:p w14:paraId="081E0E2C"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We consider that the main area of pollutant emissions resulting from these activities is the perimeter of the construction site. Within the construction site, the distribution of pollutants is considered uniform.</w:t>
            </w:r>
          </w:p>
          <w:p w14:paraId="041256C0" w14:textId="77777777" w:rsidR="008715BE" w:rsidRPr="00EC75B7" w:rsidRDefault="00000000">
            <w:pPr>
              <w:pStyle w:val="TableParagraph"/>
              <w:ind w:left="122" w:right="245"/>
              <w:rPr>
                <w:rFonts w:ascii="Verdana" w:hAnsi="Verdana"/>
                <w:sz w:val="18"/>
                <w:szCs w:val="18"/>
              </w:rPr>
            </w:pPr>
            <w:r w:rsidRPr="00EC75B7">
              <w:rPr>
                <w:rFonts w:ascii="Verdana" w:hAnsi="Verdana"/>
                <w:sz w:val="18"/>
                <w:szCs w:val="18"/>
              </w:rPr>
              <w:t>The total amount of emissions generated into the air from the operation of machinery/vehicles depends on fuel consumption, the technical condition and age of the equipment, the number of operating hours, and the kilometers traveled.</w:t>
            </w:r>
          </w:p>
          <w:p w14:paraId="4E96B008"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The operation of the machinery will generate an insignificant negative impact, which is temporary and reversible, as it will only be present at various locations of the project during the period of the works and will not operate continuously throughout the day. Road traffic specific to the execution period will only take place during the day. The transport of construction materials and waste resulting from the execution activities will not be carried out daily, as it depends on the types and volumes of work performed.</w:t>
            </w:r>
          </w:p>
          <w:p w14:paraId="05EC0A29" w14:textId="77777777" w:rsidR="008715BE" w:rsidRPr="00EC75B7" w:rsidRDefault="00000000">
            <w:pPr>
              <w:pStyle w:val="TableParagraph"/>
              <w:ind w:left="122" w:right="263"/>
              <w:rPr>
                <w:rFonts w:ascii="Verdana" w:hAnsi="Verdana"/>
                <w:sz w:val="18"/>
                <w:szCs w:val="18"/>
              </w:rPr>
            </w:pPr>
            <w:r w:rsidRPr="00EC75B7">
              <w:rPr>
                <w:rFonts w:ascii="Verdana" w:hAnsi="Verdana"/>
                <w:sz w:val="18"/>
                <w:szCs w:val="18"/>
              </w:rPr>
              <w:t>During the execution period, the transport and storage of excess materials and soil, as well as powdery construction materials, may lead to dust emissions into the atmosphere. The concentration of particle emissions will be higher during dry periods.</w:t>
            </w:r>
          </w:p>
          <w:p w14:paraId="4B4E85E9"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The impact on air associated with the organization of the construction site is local, temporary, discontinuous, depends on the duration of the construction works, and can be reduced</w:t>
            </w:r>
          </w:p>
          <w:p w14:paraId="1E740C45" w14:textId="77777777" w:rsidR="008715BE" w:rsidRPr="00EC75B7" w:rsidRDefault="00000000">
            <w:pPr>
              <w:pStyle w:val="TableParagraph"/>
              <w:spacing w:line="172" w:lineRule="exact"/>
              <w:ind w:left="122"/>
              <w:rPr>
                <w:rFonts w:ascii="Verdana" w:hAnsi="Verdana"/>
                <w:sz w:val="18"/>
                <w:szCs w:val="18"/>
              </w:rPr>
            </w:pPr>
            <w:r w:rsidRPr="00EC75B7">
              <w:rPr>
                <w:rFonts w:ascii="Verdana" w:hAnsi="Verdana"/>
                <w:sz w:val="18"/>
                <w:szCs w:val="18"/>
              </w:rPr>
              <w:t xml:space="preserve">by appropriate measures taken by </w:t>
            </w:r>
            <w:r w:rsidRPr="00EC75B7">
              <w:rPr>
                <w:rFonts w:ascii="Verdana" w:hAnsi="Verdana"/>
                <w:spacing w:val="-2"/>
                <w:sz w:val="18"/>
                <w:szCs w:val="18"/>
              </w:rPr>
              <w:t>contractors.</w:t>
            </w:r>
          </w:p>
        </w:tc>
      </w:tr>
      <w:tr w:rsidR="008715BE" w:rsidRPr="00EC75B7" w14:paraId="7EBA2893" w14:textId="77777777">
        <w:trPr>
          <w:trHeight w:val="5639"/>
        </w:trPr>
        <w:tc>
          <w:tcPr>
            <w:tcW w:w="725" w:type="dxa"/>
            <w:vMerge/>
            <w:tcBorders>
              <w:top w:val="nil"/>
            </w:tcBorders>
            <w:textDirection w:val="btLr"/>
          </w:tcPr>
          <w:p w14:paraId="6A8516AE" w14:textId="77777777" w:rsidR="008715BE" w:rsidRPr="00EC75B7" w:rsidRDefault="008715BE">
            <w:pPr>
              <w:rPr>
                <w:rFonts w:ascii="Verdana" w:hAnsi="Verdana"/>
                <w:sz w:val="18"/>
                <w:szCs w:val="18"/>
              </w:rPr>
            </w:pPr>
          </w:p>
        </w:tc>
        <w:tc>
          <w:tcPr>
            <w:tcW w:w="2414" w:type="dxa"/>
          </w:tcPr>
          <w:p w14:paraId="0EC3FE16" w14:textId="77777777" w:rsidR="008715BE" w:rsidRPr="00EC75B7" w:rsidRDefault="00000000">
            <w:pPr>
              <w:pStyle w:val="TableParagraph"/>
              <w:ind w:left="108"/>
              <w:rPr>
                <w:rFonts w:ascii="Verdana" w:hAnsi="Verdana"/>
                <w:sz w:val="18"/>
                <w:szCs w:val="18"/>
              </w:rPr>
            </w:pPr>
            <w:r w:rsidRPr="00EC75B7">
              <w:rPr>
                <w:rFonts w:ascii="Verdana" w:hAnsi="Verdana"/>
                <w:b/>
                <w:sz w:val="18"/>
                <w:szCs w:val="18"/>
              </w:rPr>
              <w:t xml:space="preserve">Construction of </w:t>
            </w:r>
            <w:r w:rsidRPr="00EC75B7">
              <w:rPr>
                <w:rFonts w:ascii="Verdana" w:hAnsi="Verdana"/>
                <w:b/>
                <w:spacing w:val="-2"/>
                <w:sz w:val="18"/>
                <w:szCs w:val="18"/>
              </w:rPr>
              <w:t xml:space="preserve">access </w:t>
            </w:r>
            <w:r w:rsidRPr="00EC75B7">
              <w:rPr>
                <w:rFonts w:ascii="Verdana" w:hAnsi="Verdana"/>
                <w:b/>
                <w:sz w:val="18"/>
                <w:szCs w:val="18"/>
              </w:rPr>
              <w:t xml:space="preserve">roads </w:t>
            </w:r>
            <w:r w:rsidRPr="00EC75B7">
              <w:rPr>
                <w:rFonts w:ascii="Verdana" w:hAnsi="Verdana"/>
                <w:spacing w:val="-2"/>
                <w:sz w:val="18"/>
                <w:szCs w:val="18"/>
              </w:rPr>
              <w:t>(clearing vegetation, stripping soil, ballasting, compaction)</w:t>
            </w:r>
          </w:p>
        </w:tc>
        <w:tc>
          <w:tcPr>
            <w:tcW w:w="2112" w:type="dxa"/>
          </w:tcPr>
          <w:p w14:paraId="0FF7428D"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1BC0C350"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4D118E5B"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358F1F09" w14:textId="77777777" w:rsidR="008715BE" w:rsidRPr="00EC75B7" w:rsidRDefault="00000000">
            <w:pPr>
              <w:pStyle w:val="TableParagraph"/>
              <w:spacing w:line="193" w:lineRule="exact"/>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4EA67E46" w14:textId="77777777" w:rsidR="008715BE" w:rsidRPr="00EC75B7" w:rsidRDefault="00000000">
            <w:pPr>
              <w:pStyle w:val="TableParagraph"/>
              <w:spacing w:line="193" w:lineRule="exact"/>
              <w:ind w:left="110"/>
              <w:rPr>
                <w:rFonts w:ascii="Verdana" w:hAnsi="Verdana"/>
                <w:sz w:val="18"/>
                <w:szCs w:val="18"/>
              </w:rPr>
            </w:pPr>
            <w:r w:rsidRPr="00EC75B7">
              <w:rPr>
                <w:rFonts w:ascii="Verdana" w:hAnsi="Verdana"/>
                <w:spacing w:val="-2"/>
                <w:sz w:val="18"/>
                <w:szCs w:val="18"/>
              </w:rPr>
              <w:t>Direct</w:t>
            </w:r>
          </w:p>
        </w:tc>
        <w:tc>
          <w:tcPr>
            <w:tcW w:w="604" w:type="dxa"/>
          </w:tcPr>
          <w:p w14:paraId="644733BF" w14:textId="77777777" w:rsidR="008715BE" w:rsidRPr="00EC75B7" w:rsidRDefault="00000000">
            <w:pPr>
              <w:pStyle w:val="TableParagraph"/>
              <w:spacing w:line="193" w:lineRule="exact"/>
              <w:ind w:left="111"/>
              <w:rPr>
                <w:rFonts w:ascii="Verdana" w:hAnsi="Verdana"/>
                <w:sz w:val="18"/>
                <w:szCs w:val="18"/>
              </w:rPr>
            </w:pPr>
            <w:r w:rsidRPr="00EC75B7">
              <w:rPr>
                <w:rFonts w:ascii="Verdana" w:hAnsi="Verdana"/>
                <w:spacing w:val="-5"/>
                <w:sz w:val="18"/>
                <w:szCs w:val="18"/>
              </w:rPr>
              <w:t>Yes</w:t>
            </w:r>
          </w:p>
        </w:tc>
        <w:tc>
          <w:tcPr>
            <w:tcW w:w="1184" w:type="dxa"/>
          </w:tcPr>
          <w:p w14:paraId="1A990AF1" w14:textId="77777777" w:rsidR="008715BE" w:rsidRPr="00EC75B7" w:rsidRDefault="00000000">
            <w:pPr>
              <w:pStyle w:val="TableParagraph"/>
              <w:spacing w:line="193" w:lineRule="exact"/>
              <w:ind w:left="112"/>
              <w:rPr>
                <w:rFonts w:ascii="Verdana" w:hAnsi="Verdana"/>
                <w:sz w:val="18"/>
                <w:szCs w:val="18"/>
              </w:rPr>
            </w:pPr>
            <w:r w:rsidRPr="00EC75B7">
              <w:rPr>
                <w:rFonts w:ascii="Verdana" w:hAnsi="Verdana"/>
                <w:spacing w:val="-2"/>
                <w:sz w:val="18"/>
                <w:szCs w:val="18"/>
              </w:rPr>
              <w:t>Medium</w:t>
            </w:r>
          </w:p>
        </w:tc>
        <w:tc>
          <w:tcPr>
            <w:tcW w:w="1246" w:type="dxa"/>
          </w:tcPr>
          <w:p w14:paraId="7C45903F" w14:textId="77777777" w:rsidR="008715BE" w:rsidRPr="00EC75B7" w:rsidRDefault="00000000">
            <w:pPr>
              <w:pStyle w:val="TableParagraph"/>
              <w:spacing w:line="193" w:lineRule="exact"/>
              <w:ind w:left="114"/>
              <w:rPr>
                <w:rFonts w:ascii="Verdana" w:hAnsi="Verdana"/>
                <w:sz w:val="18"/>
                <w:szCs w:val="18"/>
              </w:rPr>
            </w:pPr>
            <w:r w:rsidRPr="00EC75B7">
              <w:rPr>
                <w:rFonts w:ascii="Verdana" w:hAnsi="Verdana"/>
                <w:spacing w:val="-2"/>
                <w:sz w:val="18"/>
                <w:szCs w:val="18"/>
              </w:rPr>
              <w:t>Intermittent</w:t>
            </w:r>
          </w:p>
        </w:tc>
        <w:tc>
          <w:tcPr>
            <w:tcW w:w="920" w:type="dxa"/>
          </w:tcPr>
          <w:p w14:paraId="13BBB2C8" w14:textId="77777777" w:rsidR="008715BE" w:rsidRPr="00EC75B7" w:rsidRDefault="00000000">
            <w:pPr>
              <w:pStyle w:val="TableParagraph"/>
              <w:spacing w:line="193" w:lineRule="exact"/>
              <w:ind w:left="116"/>
              <w:rPr>
                <w:rFonts w:ascii="Verdana" w:hAnsi="Verdana"/>
                <w:sz w:val="18"/>
                <w:szCs w:val="18"/>
              </w:rPr>
            </w:pPr>
            <w:r w:rsidRPr="00EC75B7">
              <w:rPr>
                <w:rFonts w:ascii="Verdana" w:hAnsi="Verdana"/>
                <w:spacing w:val="-2"/>
                <w:sz w:val="18"/>
                <w:szCs w:val="18"/>
              </w:rPr>
              <w:t>Local</w:t>
            </w:r>
          </w:p>
        </w:tc>
        <w:tc>
          <w:tcPr>
            <w:tcW w:w="1182" w:type="dxa"/>
          </w:tcPr>
          <w:p w14:paraId="22C659BB" w14:textId="77777777" w:rsidR="008715BE" w:rsidRPr="00EC75B7" w:rsidRDefault="00000000">
            <w:pPr>
              <w:pStyle w:val="TableParagraph"/>
              <w:spacing w:line="193" w:lineRule="exact"/>
              <w:ind w:left="117"/>
              <w:rPr>
                <w:rFonts w:ascii="Verdana" w:hAnsi="Verdana"/>
                <w:sz w:val="18"/>
                <w:szCs w:val="18"/>
              </w:rPr>
            </w:pPr>
            <w:r w:rsidRPr="00EC75B7">
              <w:rPr>
                <w:rFonts w:ascii="Verdana" w:hAnsi="Verdana"/>
                <w:spacing w:val="-2"/>
                <w:sz w:val="18"/>
                <w:szCs w:val="18"/>
              </w:rPr>
              <w:t>Probable</w:t>
            </w:r>
          </w:p>
        </w:tc>
        <w:tc>
          <w:tcPr>
            <w:tcW w:w="1093" w:type="dxa"/>
          </w:tcPr>
          <w:p w14:paraId="2E6D21D1" w14:textId="77777777" w:rsidR="008715BE" w:rsidRPr="00EC75B7" w:rsidRDefault="00000000">
            <w:pPr>
              <w:pStyle w:val="TableParagraph"/>
              <w:spacing w:line="193" w:lineRule="exact"/>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2BB72253" w14:textId="77777777" w:rsidR="008715BE" w:rsidRPr="00EC75B7" w:rsidRDefault="00000000">
            <w:pPr>
              <w:pStyle w:val="TableParagraph"/>
              <w:spacing w:line="193" w:lineRule="exact"/>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2BAC8400" w14:textId="77777777" w:rsidR="008715BE" w:rsidRPr="00EC75B7" w:rsidRDefault="00000000">
            <w:pPr>
              <w:pStyle w:val="TableParagraph"/>
              <w:ind w:left="122" w:right="115"/>
              <w:rPr>
                <w:rFonts w:ascii="Verdana" w:hAnsi="Verdana"/>
                <w:sz w:val="18"/>
                <w:szCs w:val="18"/>
              </w:rPr>
            </w:pPr>
            <w:r w:rsidRPr="00EC75B7">
              <w:rPr>
                <w:rFonts w:ascii="Verdana" w:hAnsi="Verdana"/>
                <w:sz w:val="18"/>
                <w:szCs w:val="18"/>
              </w:rPr>
              <w:t>The activities related to the construction of access roads, namely vegetation clearing, soil stripping, ballasting, and compaction, have a temporary and localized impact on air quality, mainly manifested by emissions of suspended particulate matter (PM10 and PM2.5) and, to a lesser extent, gaseous pollutant emissions (NOx, CO, CO₂) from the operation of machinery and transport used in the works. Particulate matter emissions are mainly generated during the soil stripping, handling, and spreading of granular material phases, as well as by the resuspension of fine particles due to traffic on undeveloped surfaces. These emissions can lead to local and short-term increases in particle concentrations in the air, especially in unfavorable weather conditions (dry periods, wind). Gaseous pollutant emissions have a low impact, as they are quickly dispersed into the atmosphere and limited to the immediate work area.</w:t>
            </w:r>
          </w:p>
          <w:p w14:paraId="1450B02C" w14:textId="77777777" w:rsidR="008715BE" w:rsidRPr="00EC75B7" w:rsidRDefault="00000000">
            <w:pPr>
              <w:pStyle w:val="TableParagraph"/>
              <w:spacing w:line="181" w:lineRule="exact"/>
              <w:ind w:left="122"/>
              <w:rPr>
                <w:rFonts w:ascii="Verdana" w:hAnsi="Verdana"/>
                <w:sz w:val="18"/>
                <w:szCs w:val="18"/>
              </w:rPr>
            </w:pPr>
            <w:r w:rsidRPr="00EC75B7">
              <w:rPr>
                <w:rFonts w:ascii="Verdana" w:hAnsi="Verdana"/>
                <w:sz w:val="18"/>
                <w:szCs w:val="18"/>
              </w:rPr>
              <w:t xml:space="preserve">Given the limited duration of the works, </w:t>
            </w:r>
            <w:r w:rsidRPr="00EC75B7">
              <w:rPr>
                <w:rFonts w:ascii="Verdana" w:hAnsi="Verdana"/>
                <w:spacing w:val="-2"/>
                <w:sz w:val="18"/>
                <w:szCs w:val="18"/>
              </w:rPr>
              <w:t>the restricted spatial extent of the construction site, and the discontinuous nature of the emission-generating activities, the impact on air quality is assessed as negative, with low intensity.</w:t>
            </w:r>
          </w:p>
          <w:p w14:paraId="768335FD"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limited space of the construction site, as well as the discontinuous nature of the activities generating emissions, the impact on air quality is assessed as negative, of low to moderate intensity, reversible, and insignificant in the long term. Under the conditions of applying standard measures to prevent and reduce dust and gas emissions (moistening surfaces, limiting the speed of machinery, technical maintenance of equipment), no exceedances of the limit values provided for in Law</w:t>
            </w:r>
          </w:p>
          <w:p w14:paraId="22BB18FB" w14:textId="77777777" w:rsidR="008715BE" w:rsidRPr="00EC75B7" w:rsidRDefault="00000000">
            <w:pPr>
              <w:pStyle w:val="TableParagraph"/>
              <w:spacing w:line="167" w:lineRule="exact"/>
              <w:ind w:left="122"/>
              <w:rPr>
                <w:rFonts w:ascii="Verdana" w:hAnsi="Verdana"/>
                <w:sz w:val="18"/>
                <w:szCs w:val="18"/>
              </w:rPr>
            </w:pPr>
            <w:r w:rsidRPr="00EC75B7">
              <w:rPr>
                <w:rFonts w:ascii="Verdana" w:hAnsi="Verdana"/>
                <w:sz w:val="18"/>
                <w:szCs w:val="18"/>
              </w:rPr>
              <w:t xml:space="preserve">no. 104/2011 for the </w:t>
            </w:r>
            <w:r w:rsidRPr="00EC75B7">
              <w:rPr>
                <w:rFonts w:ascii="Verdana" w:hAnsi="Verdana"/>
                <w:spacing w:val="-2"/>
                <w:sz w:val="18"/>
                <w:szCs w:val="18"/>
              </w:rPr>
              <w:t xml:space="preserve">analyzed </w:t>
            </w:r>
            <w:r w:rsidRPr="00EC75B7">
              <w:rPr>
                <w:rFonts w:ascii="Verdana" w:hAnsi="Verdana"/>
                <w:sz w:val="18"/>
                <w:szCs w:val="18"/>
              </w:rPr>
              <w:t>pollutants</w:t>
            </w:r>
            <w:r w:rsidRPr="00EC75B7">
              <w:rPr>
                <w:rFonts w:ascii="Verdana" w:hAnsi="Verdana"/>
                <w:spacing w:val="-2"/>
                <w:sz w:val="18"/>
                <w:szCs w:val="18"/>
              </w:rPr>
              <w:t>.</w:t>
            </w:r>
          </w:p>
        </w:tc>
      </w:tr>
      <w:tr w:rsidR="008715BE" w:rsidRPr="00EC75B7" w14:paraId="45EEE9C6" w14:textId="77777777">
        <w:trPr>
          <w:trHeight w:val="971"/>
        </w:trPr>
        <w:tc>
          <w:tcPr>
            <w:tcW w:w="725" w:type="dxa"/>
            <w:vMerge/>
            <w:tcBorders>
              <w:top w:val="nil"/>
            </w:tcBorders>
            <w:textDirection w:val="btLr"/>
          </w:tcPr>
          <w:p w14:paraId="46B395F9" w14:textId="77777777" w:rsidR="008715BE" w:rsidRPr="00EC75B7" w:rsidRDefault="008715BE">
            <w:pPr>
              <w:rPr>
                <w:rFonts w:ascii="Verdana" w:hAnsi="Verdana"/>
                <w:sz w:val="18"/>
                <w:szCs w:val="18"/>
              </w:rPr>
            </w:pPr>
          </w:p>
        </w:tc>
        <w:tc>
          <w:tcPr>
            <w:tcW w:w="2414" w:type="dxa"/>
          </w:tcPr>
          <w:p w14:paraId="728D53FC" w14:textId="77777777" w:rsidR="008715BE" w:rsidRPr="00EC75B7" w:rsidRDefault="00000000">
            <w:pPr>
              <w:pStyle w:val="TableParagraph"/>
              <w:ind w:left="108" w:right="170"/>
              <w:rPr>
                <w:rFonts w:ascii="Verdana" w:hAnsi="Verdana"/>
                <w:b/>
                <w:sz w:val="18"/>
                <w:szCs w:val="18"/>
              </w:rPr>
            </w:pPr>
            <w:r w:rsidRPr="00EC75B7">
              <w:rPr>
                <w:rFonts w:ascii="Verdana" w:hAnsi="Verdana"/>
                <w:b/>
                <w:sz w:val="18"/>
                <w:szCs w:val="18"/>
              </w:rPr>
              <w:t>Construction of technological platforms and foundations for turbines and conversion stations</w:t>
            </w:r>
          </w:p>
          <w:p w14:paraId="32DBE548" w14:textId="77777777" w:rsidR="008715BE" w:rsidRPr="00EC75B7" w:rsidRDefault="00000000">
            <w:pPr>
              <w:pStyle w:val="TableParagraph"/>
              <w:spacing w:line="171" w:lineRule="exact"/>
              <w:ind w:left="108"/>
              <w:rPr>
                <w:rFonts w:ascii="Verdana" w:hAnsi="Verdana"/>
                <w:sz w:val="18"/>
                <w:szCs w:val="18"/>
              </w:rPr>
            </w:pPr>
            <w:r w:rsidRPr="00EC75B7">
              <w:rPr>
                <w:rFonts w:ascii="Verdana" w:hAnsi="Verdana"/>
                <w:spacing w:val="-2"/>
                <w:sz w:val="18"/>
                <w:szCs w:val="18"/>
              </w:rPr>
              <w:t>(Excavations,</w:t>
            </w:r>
          </w:p>
        </w:tc>
        <w:tc>
          <w:tcPr>
            <w:tcW w:w="2112" w:type="dxa"/>
          </w:tcPr>
          <w:p w14:paraId="38F7C30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14012B5A"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0BE8C655"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7C0D6BEA" w14:textId="77777777" w:rsidR="008715BE" w:rsidRPr="00EC75B7" w:rsidRDefault="00000000">
            <w:pPr>
              <w:pStyle w:val="TableParagraph"/>
              <w:spacing w:line="195" w:lineRule="exact"/>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29F1E353"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Direct</w:t>
            </w:r>
          </w:p>
        </w:tc>
        <w:tc>
          <w:tcPr>
            <w:tcW w:w="604" w:type="dxa"/>
          </w:tcPr>
          <w:p w14:paraId="3FAAAF9C" w14:textId="77777777" w:rsidR="008715BE" w:rsidRPr="00EC75B7" w:rsidRDefault="00000000">
            <w:pPr>
              <w:pStyle w:val="TableParagraph"/>
              <w:spacing w:line="195" w:lineRule="exact"/>
              <w:ind w:left="111"/>
              <w:rPr>
                <w:rFonts w:ascii="Verdana" w:hAnsi="Verdana"/>
                <w:sz w:val="18"/>
                <w:szCs w:val="18"/>
              </w:rPr>
            </w:pPr>
            <w:r w:rsidRPr="00EC75B7">
              <w:rPr>
                <w:rFonts w:ascii="Verdana" w:hAnsi="Verdana"/>
                <w:spacing w:val="-5"/>
                <w:sz w:val="18"/>
                <w:szCs w:val="18"/>
              </w:rPr>
              <w:t>Yes</w:t>
            </w:r>
          </w:p>
        </w:tc>
        <w:tc>
          <w:tcPr>
            <w:tcW w:w="1184" w:type="dxa"/>
          </w:tcPr>
          <w:p w14:paraId="121FBFF4" w14:textId="77777777" w:rsidR="008715BE" w:rsidRPr="00EC75B7" w:rsidRDefault="00000000">
            <w:pPr>
              <w:pStyle w:val="TableParagraph"/>
              <w:spacing w:line="195" w:lineRule="exact"/>
              <w:ind w:left="112"/>
              <w:rPr>
                <w:rFonts w:ascii="Verdana" w:hAnsi="Verdana"/>
                <w:sz w:val="18"/>
                <w:szCs w:val="18"/>
              </w:rPr>
            </w:pPr>
            <w:r w:rsidRPr="00EC75B7">
              <w:rPr>
                <w:rFonts w:ascii="Verdana" w:hAnsi="Verdana"/>
                <w:spacing w:val="-2"/>
                <w:sz w:val="18"/>
                <w:szCs w:val="18"/>
              </w:rPr>
              <w:t>Medium</w:t>
            </w:r>
          </w:p>
        </w:tc>
        <w:tc>
          <w:tcPr>
            <w:tcW w:w="1246" w:type="dxa"/>
          </w:tcPr>
          <w:p w14:paraId="6713A3AB" w14:textId="77777777" w:rsidR="008715BE" w:rsidRPr="00EC75B7" w:rsidRDefault="00000000">
            <w:pPr>
              <w:pStyle w:val="TableParagraph"/>
              <w:spacing w:line="195" w:lineRule="exact"/>
              <w:ind w:left="114"/>
              <w:rPr>
                <w:rFonts w:ascii="Verdana" w:hAnsi="Verdana"/>
                <w:sz w:val="18"/>
                <w:szCs w:val="18"/>
              </w:rPr>
            </w:pPr>
            <w:r w:rsidRPr="00EC75B7">
              <w:rPr>
                <w:rFonts w:ascii="Verdana" w:hAnsi="Verdana"/>
                <w:spacing w:val="-2"/>
                <w:sz w:val="18"/>
                <w:szCs w:val="18"/>
              </w:rPr>
              <w:t>Intermittent</w:t>
            </w:r>
          </w:p>
        </w:tc>
        <w:tc>
          <w:tcPr>
            <w:tcW w:w="920" w:type="dxa"/>
          </w:tcPr>
          <w:p w14:paraId="777AC184" w14:textId="77777777" w:rsidR="008715BE" w:rsidRPr="00EC75B7" w:rsidRDefault="00000000">
            <w:pPr>
              <w:pStyle w:val="TableParagraph"/>
              <w:spacing w:line="195" w:lineRule="exact"/>
              <w:ind w:left="116"/>
              <w:rPr>
                <w:rFonts w:ascii="Verdana" w:hAnsi="Verdana"/>
                <w:sz w:val="18"/>
                <w:szCs w:val="18"/>
              </w:rPr>
            </w:pPr>
            <w:r w:rsidRPr="00EC75B7">
              <w:rPr>
                <w:rFonts w:ascii="Verdana" w:hAnsi="Verdana"/>
                <w:spacing w:val="-2"/>
                <w:sz w:val="18"/>
                <w:szCs w:val="18"/>
              </w:rPr>
              <w:t>Local</w:t>
            </w:r>
          </w:p>
        </w:tc>
        <w:tc>
          <w:tcPr>
            <w:tcW w:w="1182" w:type="dxa"/>
          </w:tcPr>
          <w:p w14:paraId="3B5EE275" w14:textId="77777777" w:rsidR="008715BE" w:rsidRPr="00EC75B7" w:rsidRDefault="00000000">
            <w:pPr>
              <w:pStyle w:val="TableParagraph"/>
              <w:spacing w:line="195" w:lineRule="exact"/>
              <w:ind w:left="117"/>
              <w:rPr>
                <w:rFonts w:ascii="Verdana" w:hAnsi="Verdana"/>
                <w:sz w:val="18"/>
                <w:szCs w:val="18"/>
              </w:rPr>
            </w:pPr>
            <w:r w:rsidRPr="00EC75B7">
              <w:rPr>
                <w:rFonts w:ascii="Verdana" w:hAnsi="Verdana"/>
                <w:spacing w:val="-2"/>
                <w:sz w:val="18"/>
                <w:szCs w:val="18"/>
              </w:rPr>
              <w:t>Probable</w:t>
            </w:r>
          </w:p>
        </w:tc>
        <w:tc>
          <w:tcPr>
            <w:tcW w:w="1093" w:type="dxa"/>
          </w:tcPr>
          <w:p w14:paraId="422285EF" w14:textId="77777777" w:rsidR="008715BE" w:rsidRPr="00EC75B7" w:rsidRDefault="00000000">
            <w:pPr>
              <w:pStyle w:val="TableParagraph"/>
              <w:spacing w:line="195" w:lineRule="exact"/>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4178FD16" w14:textId="77777777" w:rsidR="008715BE" w:rsidRPr="00EC75B7" w:rsidRDefault="00000000">
            <w:pPr>
              <w:pStyle w:val="TableParagraph"/>
              <w:spacing w:line="195" w:lineRule="exact"/>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599217F9" w14:textId="77777777" w:rsidR="008715BE" w:rsidRPr="00EC75B7" w:rsidRDefault="00000000">
            <w:pPr>
              <w:pStyle w:val="TableParagraph"/>
              <w:ind w:left="122" w:right="263"/>
              <w:rPr>
                <w:rFonts w:ascii="Verdana" w:hAnsi="Verdana"/>
                <w:sz w:val="18"/>
                <w:szCs w:val="18"/>
              </w:rPr>
            </w:pPr>
            <w:r w:rsidRPr="00EC75B7">
              <w:rPr>
                <w:rFonts w:ascii="Verdana" w:hAnsi="Verdana"/>
                <w:sz w:val="18"/>
                <w:szCs w:val="18"/>
              </w:rPr>
              <w:t>Activities related to the construction of technological platforms and foundations (excavation, handling and transport of materials, concrete pouring, reinforcement, compaction, and use of construction equipment) generate a</w:t>
            </w:r>
          </w:p>
          <w:p w14:paraId="54AE8346" w14:textId="77777777" w:rsidR="008715BE" w:rsidRPr="00EC75B7" w:rsidRDefault="00000000">
            <w:pPr>
              <w:pStyle w:val="TableParagraph"/>
              <w:spacing w:line="171" w:lineRule="exact"/>
              <w:ind w:left="122"/>
              <w:rPr>
                <w:rFonts w:ascii="Verdana" w:hAnsi="Verdana"/>
                <w:sz w:val="18"/>
                <w:szCs w:val="18"/>
              </w:rPr>
            </w:pPr>
            <w:r w:rsidRPr="00EC75B7">
              <w:rPr>
                <w:rFonts w:ascii="Verdana" w:hAnsi="Verdana"/>
                <w:sz w:val="18"/>
                <w:szCs w:val="18"/>
              </w:rPr>
              <w:t xml:space="preserve">temporary and localized impact on </w:t>
            </w:r>
            <w:r w:rsidRPr="00EC75B7">
              <w:rPr>
                <w:rFonts w:ascii="Verdana" w:hAnsi="Verdana"/>
                <w:spacing w:val="-2"/>
                <w:sz w:val="18"/>
                <w:szCs w:val="18"/>
              </w:rPr>
              <w:t xml:space="preserve">air </w:t>
            </w:r>
            <w:r w:rsidRPr="00EC75B7">
              <w:rPr>
                <w:rFonts w:ascii="Verdana" w:hAnsi="Verdana"/>
                <w:sz w:val="18"/>
                <w:szCs w:val="18"/>
              </w:rPr>
              <w:t>quality</w:t>
            </w:r>
            <w:r w:rsidRPr="00EC75B7">
              <w:rPr>
                <w:rFonts w:ascii="Verdana" w:hAnsi="Verdana"/>
                <w:spacing w:val="-2"/>
                <w:sz w:val="18"/>
                <w:szCs w:val="18"/>
              </w:rPr>
              <w:t>.</w:t>
            </w:r>
          </w:p>
        </w:tc>
      </w:tr>
    </w:tbl>
    <w:p w14:paraId="798B267F" w14:textId="77777777" w:rsidR="008715BE" w:rsidRPr="00EC75B7" w:rsidRDefault="008715BE">
      <w:pPr>
        <w:pStyle w:val="TableParagraph"/>
        <w:spacing w:line="171" w:lineRule="exact"/>
        <w:rPr>
          <w:rFonts w:ascii="Verdana" w:hAnsi="Verdana"/>
          <w:sz w:val="18"/>
          <w:szCs w:val="18"/>
        </w:rPr>
        <w:sectPr w:rsidR="008715BE" w:rsidRPr="00EC75B7">
          <w:headerReference w:type="default" r:id="rId213"/>
          <w:footerReference w:type="default" r:id="rId214"/>
          <w:pgSz w:w="23820" w:h="16840" w:orient="landscape"/>
          <w:pgMar w:top="1000" w:right="425" w:bottom="280" w:left="1700" w:header="812" w:footer="0" w:gutter="0"/>
          <w:cols w:space="708"/>
        </w:sectPr>
      </w:pPr>
    </w:p>
    <w:p w14:paraId="6A50C09C" w14:textId="77777777" w:rsidR="008715BE" w:rsidRPr="00EC75B7" w:rsidRDefault="008715BE">
      <w:pPr>
        <w:pStyle w:val="BodyText"/>
        <w:spacing w:after="1"/>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8715BE" w:rsidRPr="00EC75B7" w14:paraId="5B814371" w14:textId="77777777">
        <w:trPr>
          <w:trHeight w:val="1550"/>
        </w:trPr>
        <w:tc>
          <w:tcPr>
            <w:tcW w:w="725" w:type="dxa"/>
            <w:shd w:val="clear" w:color="auto" w:fill="00AFEF"/>
          </w:tcPr>
          <w:p w14:paraId="36F9FEDC" w14:textId="77777777" w:rsidR="008715BE" w:rsidRPr="00EC75B7" w:rsidRDefault="008715BE">
            <w:pPr>
              <w:pStyle w:val="TableParagraph"/>
              <w:rPr>
                <w:rFonts w:ascii="Verdana" w:hAnsi="Verdana"/>
                <w:b/>
                <w:sz w:val="18"/>
                <w:szCs w:val="18"/>
              </w:rPr>
            </w:pPr>
          </w:p>
          <w:p w14:paraId="2FB2FDC3" w14:textId="77777777" w:rsidR="008715BE" w:rsidRPr="00EC75B7" w:rsidRDefault="008715BE">
            <w:pPr>
              <w:pStyle w:val="TableParagraph"/>
              <w:rPr>
                <w:rFonts w:ascii="Verdana" w:hAnsi="Verdana"/>
                <w:b/>
                <w:sz w:val="18"/>
                <w:szCs w:val="18"/>
              </w:rPr>
            </w:pPr>
          </w:p>
          <w:p w14:paraId="00BDF264" w14:textId="77777777" w:rsidR="008715BE" w:rsidRPr="00EC75B7" w:rsidRDefault="008715BE">
            <w:pPr>
              <w:pStyle w:val="TableParagraph"/>
              <w:spacing w:before="101"/>
              <w:rPr>
                <w:rFonts w:ascii="Verdana" w:hAnsi="Verdana"/>
                <w:b/>
                <w:sz w:val="18"/>
                <w:szCs w:val="18"/>
              </w:rPr>
            </w:pPr>
          </w:p>
          <w:p w14:paraId="1208A3EC"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414" w:type="dxa"/>
            <w:shd w:val="clear" w:color="auto" w:fill="00AFEF"/>
          </w:tcPr>
          <w:p w14:paraId="7085540C" w14:textId="77777777" w:rsidR="008715BE" w:rsidRPr="00EC75B7" w:rsidRDefault="008715BE">
            <w:pPr>
              <w:pStyle w:val="TableParagraph"/>
              <w:rPr>
                <w:rFonts w:ascii="Verdana" w:hAnsi="Verdana"/>
                <w:b/>
                <w:sz w:val="18"/>
                <w:szCs w:val="18"/>
              </w:rPr>
            </w:pPr>
          </w:p>
          <w:p w14:paraId="45F6485B" w14:textId="77777777" w:rsidR="008715BE" w:rsidRPr="00EC75B7" w:rsidRDefault="008715BE">
            <w:pPr>
              <w:pStyle w:val="TableParagraph"/>
              <w:rPr>
                <w:rFonts w:ascii="Verdana" w:hAnsi="Verdana"/>
                <w:b/>
                <w:sz w:val="18"/>
                <w:szCs w:val="18"/>
              </w:rPr>
            </w:pPr>
          </w:p>
          <w:p w14:paraId="1442B430" w14:textId="77777777" w:rsidR="008715BE" w:rsidRPr="00EC75B7" w:rsidRDefault="008715BE">
            <w:pPr>
              <w:pStyle w:val="TableParagraph"/>
              <w:spacing w:before="101"/>
              <w:rPr>
                <w:rFonts w:ascii="Verdana" w:hAnsi="Verdana"/>
                <w:b/>
                <w:sz w:val="18"/>
                <w:szCs w:val="18"/>
              </w:rPr>
            </w:pPr>
          </w:p>
          <w:p w14:paraId="5E0742D8" w14:textId="77777777" w:rsidR="008715BE" w:rsidRPr="00EC75B7" w:rsidRDefault="00000000">
            <w:pPr>
              <w:pStyle w:val="TableParagraph"/>
              <w:spacing w:before="1"/>
              <w:ind w:left="216"/>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112" w:type="dxa"/>
            <w:shd w:val="clear" w:color="auto" w:fill="00AFEF"/>
          </w:tcPr>
          <w:p w14:paraId="579C3527" w14:textId="77777777" w:rsidR="008715BE" w:rsidRPr="00EC75B7" w:rsidRDefault="008715BE">
            <w:pPr>
              <w:pStyle w:val="TableParagraph"/>
              <w:rPr>
                <w:rFonts w:ascii="Verdana" w:hAnsi="Verdana"/>
                <w:b/>
                <w:sz w:val="18"/>
                <w:szCs w:val="18"/>
              </w:rPr>
            </w:pPr>
          </w:p>
          <w:p w14:paraId="1EB00D76" w14:textId="77777777" w:rsidR="008715BE" w:rsidRPr="00EC75B7" w:rsidRDefault="008715BE">
            <w:pPr>
              <w:pStyle w:val="TableParagraph"/>
              <w:rPr>
                <w:rFonts w:ascii="Verdana" w:hAnsi="Verdana"/>
                <w:b/>
                <w:sz w:val="18"/>
                <w:szCs w:val="18"/>
              </w:rPr>
            </w:pPr>
          </w:p>
          <w:p w14:paraId="630117BF" w14:textId="77777777" w:rsidR="008715BE" w:rsidRPr="00EC75B7" w:rsidRDefault="008715BE">
            <w:pPr>
              <w:pStyle w:val="TableParagraph"/>
              <w:spacing w:before="101"/>
              <w:rPr>
                <w:rFonts w:ascii="Verdana" w:hAnsi="Verdana"/>
                <w:b/>
                <w:sz w:val="18"/>
                <w:szCs w:val="18"/>
              </w:rPr>
            </w:pPr>
          </w:p>
          <w:p w14:paraId="3BF8D6D9" w14:textId="77777777" w:rsidR="008715BE" w:rsidRPr="00EC75B7" w:rsidRDefault="00000000">
            <w:pPr>
              <w:pStyle w:val="TableParagraph"/>
              <w:spacing w:before="1"/>
              <w:ind w:left="11"/>
              <w:jc w:val="center"/>
              <w:rPr>
                <w:rFonts w:ascii="Verdana" w:hAnsi="Verdana"/>
                <w:b/>
                <w:sz w:val="18"/>
                <w:szCs w:val="18"/>
              </w:rPr>
            </w:pPr>
            <w:r w:rsidRPr="00EC75B7">
              <w:rPr>
                <w:rFonts w:ascii="Verdana" w:hAnsi="Verdana"/>
                <w:b/>
                <w:color w:val="FFFFFF"/>
                <w:spacing w:val="-2"/>
                <w:sz w:val="18"/>
                <w:szCs w:val="18"/>
              </w:rPr>
              <w:t>Effects</w:t>
            </w:r>
          </w:p>
        </w:tc>
        <w:tc>
          <w:tcPr>
            <w:tcW w:w="1473" w:type="dxa"/>
            <w:shd w:val="clear" w:color="auto" w:fill="00AFEF"/>
          </w:tcPr>
          <w:p w14:paraId="54572237" w14:textId="77777777" w:rsidR="008715BE" w:rsidRPr="00EC75B7" w:rsidRDefault="008715BE">
            <w:pPr>
              <w:pStyle w:val="TableParagraph"/>
              <w:rPr>
                <w:rFonts w:ascii="Verdana" w:hAnsi="Verdana"/>
                <w:b/>
                <w:sz w:val="18"/>
                <w:szCs w:val="18"/>
              </w:rPr>
            </w:pPr>
          </w:p>
          <w:p w14:paraId="2DC87A96" w14:textId="77777777" w:rsidR="008715BE" w:rsidRPr="00EC75B7" w:rsidRDefault="008715BE">
            <w:pPr>
              <w:pStyle w:val="TableParagraph"/>
              <w:spacing w:before="102"/>
              <w:rPr>
                <w:rFonts w:ascii="Verdana" w:hAnsi="Verdana"/>
                <w:b/>
                <w:sz w:val="18"/>
                <w:szCs w:val="18"/>
              </w:rPr>
            </w:pPr>
          </w:p>
          <w:p w14:paraId="7F13A7D4" w14:textId="77777777" w:rsidR="008715BE" w:rsidRPr="00EC75B7" w:rsidRDefault="00000000">
            <w:pPr>
              <w:pStyle w:val="TableParagraph"/>
              <w:spacing w:before="1"/>
              <w:ind w:left="20" w:right="7"/>
              <w:jc w:val="center"/>
              <w:rPr>
                <w:rFonts w:ascii="Verdana" w:hAnsi="Verdana"/>
                <w:b/>
                <w:sz w:val="18"/>
                <w:szCs w:val="18"/>
              </w:rPr>
            </w:pPr>
            <w:r w:rsidRPr="00EC75B7">
              <w:rPr>
                <w:rFonts w:ascii="Verdana" w:hAnsi="Verdana"/>
                <w:b/>
                <w:color w:val="FFFFFF"/>
                <w:spacing w:val="-2"/>
                <w:sz w:val="18"/>
                <w:szCs w:val="18"/>
              </w:rPr>
              <w:t>Potential forms of impact</w:t>
            </w:r>
          </w:p>
        </w:tc>
        <w:tc>
          <w:tcPr>
            <w:tcW w:w="1012" w:type="dxa"/>
            <w:shd w:val="clear" w:color="auto" w:fill="00AFEF"/>
            <w:textDirection w:val="btLr"/>
          </w:tcPr>
          <w:p w14:paraId="301A59F7" w14:textId="77777777" w:rsidR="008715BE" w:rsidRPr="00EC75B7" w:rsidRDefault="008715BE">
            <w:pPr>
              <w:pStyle w:val="TableParagraph"/>
              <w:rPr>
                <w:rFonts w:ascii="Verdana" w:hAnsi="Verdana"/>
                <w:b/>
                <w:sz w:val="18"/>
                <w:szCs w:val="18"/>
              </w:rPr>
            </w:pPr>
          </w:p>
          <w:p w14:paraId="7DFA2C92" w14:textId="77777777" w:rsidR="008715BE" w:rsidRPr="00EC75B7" w:rsidRDefault="008715BE">
            <w:pPr>
              <w:pStyle w:val="TableParagraph"/>
              <w:spacing w:before="29"/>
              <w:rPr>
                <w:rFonts w:ascii="Verdana" w:hAnsi="Verdana"/>
                <w:b/>
                <w:sz w:val="18"/>
                <w:szCs w:val="18"/>
              </w:rPr>
            </w:pPr>
          </w:p>
          <w:p w14:paraId="018CE710" w14:textId="77777777" w:rsidR="008715BE" w:rsidRPr="00EC75B7" w:rsidRDefault="00000000">
            <w:pPr>
              <w:pStyle w:val="TableParagraph"/>
              <w:spacing w:before="1"/>
              <w:ind w:left="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1" w:type="dxa"/>
            <w:shd w:val="clear" w:color="auto" w:fill="00AFEF"/>
            <w:textDirection w:val="btLr"/>
          </w:tcPr>
          <w:p w14:paraId="1588F468" w14:textId="77777777" w:rsidR="008715BE" w:rsidRPr="00EC75B7" w:rsidRDefault="008715BE">
            <w:pPr>
              <w:pStyle w:val="TableParagraph"/>
              <w:spacing w:before="105"/>
              <w:rPr>
                <w:rFonts w:ascii="Verdana" w:hAnsi="Verdana"/>
                <w:b/>
                <w:sz w:val="18"/>
                <w:szCs w:val="18"/>
              </w:rPr>
            </w:pPr>
          </w:p>
          <w:p w14:paraId="4214F7F9" w14:textId="77777777" w:rsidR="008715BE" w:rsidRPr="00EC75B7" w:rsidRDefault="00000000">
            <w:pPr>
              <w:pStyle w:val="TableParagraph"/>
              <w:spacing w:before="1" w:line="244" w:lineRule="auto"/>
              <w:ind w:left="299" w:right="296" w:firstLine="165"/>
              <w:rPr>
                <w:rFonts w:ascii="Verdana" w:hAnsi="Verdana"/>
                <w:b/>
                <w:sz w:val="18"/>
                <w:szCs w:val="18"/>
              </w:rPr>
            </w:pPr>
            <w:r w:rsidRPr="00EC75B7">
              <w:rPr>
                <w:rFonts w:ascii="Verdana" w:hAnsi="Verdana"/>
                <w:b/>
                <w:color w:val="FFFFFF"/>
                <w:spacing w:val="-2"/>
                <w:sz w:val="18"/>
                <w:szCs w:val="18"/>
              </w:rPr>
              <w:t>Nature of impact</w:t>
            </w:r>
          </w:p>
        </w:tc>
        <w:tc>
          <w:tcPr>
            <w:tcW w:w="604" w:type="dxa"/>
            <w:shd w:val="clear" w:color="auto" w:fill="00AFEF"/>
            <w:textDirection w:val="btLr"/>
          </w:tcPr>
          <w:p w14:paraId="3979E7A8" w14:textId="77777777" w:rsidR="008715BE" w:rsidRPr="00EC75B7" w:rsidRDefault="00000000">
            <w:pPr>
              <w:pStyle w:val="TableParagraph"/>
              <w:spacing w:before="122"/>
              <w:ind w:left="369"/>
              <w:rPr>
                <w:rFonts w:ascii="Verdana" w:hAnsi="Verdana"/>
                <w:b/>
                <w:sz w:val="18"/>
                <w:szCs w:val="18"/>
              </w:rPr>
            </w:pPr>
            <w:r w:rsidRPr="00EC75B7">
              <w:rPr>
                <w:rFonts w:ascii="Verdana" w:hAnsi="Verdana"/>
                <w:b/>
                <w:color w:val="FFFFFF"/>
                <w:spacing w:val="-2"/>
                <w:sz w:val="18"/>
                <w:szCs w:val="18"/>
              </w:rPr>
              <w:t>Potential</w:t>
            </w:r>
          </w:p>
          <w:p w14:paraId="14B8F23F" w14:textId="77777777" w:rsidR="008715BE" w:rsidRPr="00EC75B7" w:rsidRDefault="00000000">
            <w:pPr>
              <w:pStyle w:val="TableParagraph"/>
              <w:spacing w:before="4"/>
              <w:ind w:left="330"/>
              <w:rPr>
                <w:rFonts w:ascii="Verdana" w:hAnsi="Verdana"/>
                <w:b/>
                <w:sz w:val="18"/>
                <w:szCs w:val="18"/>
              </w:rPr>
            </w:pPr>
            <w:r w:rsidRPr="00EC75B7">
              <w:rPr>
                <w:rFonts w:ascii="Verdana" w:hAnsi="Verdana"/>
                <w:b/>
                <w:color w:val="FFFFFF"/>
                <w:spacing w:val="-2"/>
                <w:sz w:val="18"/>
                <w:szCs w:val="18"/>
              </w:rPr>
              <w:t>Cumulative</w:t>
            </w:r>
          </w:p>
        </w:tc>
        <w:tc>
          <w:tcPr>
            <w:tcW w:w="1184" w:type="dxa"/>
            <w:shd w:val="clear" w:color="auto" w:fill="00AFEF"/>
            <w:textDirection w:val="btLr"/>
          </w:tcPr>
          <w:p w14:paraId="1632290A" w14:textId="77777777" w:rsidR="008715BE" w:rsidRPr="00EC75B7" w:rsidRDefault="008715BE">
            <w:pPr>
              <w:pStyle w:val="TableParagraph"/>
              <w:rPr>
                <w:rFonts w:ascii="Verdana" w:hAnsi="Verdana"/>
                <w:b/>
                <w:sz w:val="18"/>
                <w:szCs w:val="18"/>
              </w:rPr>
            </w:pPr>
          </w:p>
          <w:p w14:paraId="1D5D296B" w14:textId="77777777" w:rsidR="008715BE" w:rsidRPr="00EC75B7" w:rsidRDefault="008715BE">
            <w:pPr>
              <w:pStyle w:val="TableParagraph"/>
              <w:spacing w:before="116"/>
              <w:rPr>
                <w:rFonts w:ascii="Verdana" w:hAnsi="Verdana"/>
                <w:b/>
                <w:sz w:val="18"/>
                <w:szCs w:val="18"/>
              </w:rPr>
            </w:pPr>
          </w:p>
          <w:p w14:paraId="1A0ABDF9" w14:textId="77777777" w:rsidR="008715BE" w:rsidRPr="00EC75B7" w:rsidRDefault="00000000">
            <w:pPr>
              <w:pStyle w:val="TableParagraph"/>
              <w:spacing w:before="1"/>
              <w:ind w:left="467"/>
              <w:rPr>
                <w:rFonts w:ascii="Verdana" w:hAnsi="Verdana"/>
                <w:b/>
                <w:sz w:val="18"/>
                <w:szCs w:val="18"/>
              </w:rPr>
            </w:pPr>
            <w:r w:rsidRPr="00EC75B7">
              <w:rPr>
                <w:rFonts w:ascii="Verdana" w:hAnsi="Verdana"/>
                <w:b/>
                <w:color w:val="FFFFFF"/>
                <w:spacing w:val="-2"/>
                <w:sz w:val="18"/>
                <w:szCs w:val="18"/>
              </w:rPr>
              <w:t>Duration</w:t>
            </w:r>
          </w:p>
        </w:tc>
        <w:tc>
          <w:tcPr>
            <w:tcW w:w="1246" w:type="dxa"/>
            <w:shd w:val="clear" w:color="auto" w:fill="00AFEF"/>
            <w:textDirection w:val="btLr"/>
          </w:tcPr>
          <w:p w14:paraId="2926B39A" w14:textId="77777777" w:rsidR="008715BE" w:rsidRPr="00EC75B7" w:rsidRDefault="008715BE">
            <w:pPr>
              <w:pStyle w:val="TableParagraph"/>
              <w:rPr>
                <w:rFonts w:ascii="Verdana" w:hAnsi="Verdana"/>
                <w:b/>
                <w:sz w:val="18"/>
                <w:szCs w:val="18"/>
              </w:rPr>
            </w:pPr>
          </w:p>
          <w:p w14:paraId="4CC4F2FC" w14:textId="77777777" w:rsidR="008715BE" w:rsidRPr="00EC75B7" w:rsidRDefault="008715BE">
            <w:pPr>
              <w:pStyle w:val="TableParagraph"/>
              <w:spacing w:before="51"/>
              <w:rPr>
                <w:rFonts w:ascii="Verdana" w:hAnsi="Verdana"/>
                <w:b/>
                <w:sz w:val="18"/>
                <w:szCs w:val="18"/>
              </w:rPr>
            </w:pPr>
          </w:p>
          <w:p w14:paraId="3AAA97CC" w14:textId="77777777" w:rsidR="008715BE" w:rsidRPr="00EC75B7" w:rsidRDefault="00000000">
            <w:pPr>
              <w:pStyle w:val="TableParagraph"/>
              <w:spacing w:line="244" w:lineRule="auto"/>
              <w:ind w:left="42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920" w:type="dxa"/>
            <w:shd w:val="clear" w:color="auto" w:fill="00AFEF"/>
            <w:textDirection w:val="btLr"/>
          </w:tcPr>
          <w:p w14:paraId="3D8E3651" w14:textId="77777777" w:rsidR="008715BE" w:rsidRPr="00EC75B7" w:rsidRDefault="008715BE">
            <w:pPr>
              <w:pStyle w:val="TableParagraph"/>
              <w:spacing w:before="186"/>
              <w:rPr>
                <w:rFonts w:ascii="Verdana" w:hAnsi="Verdana"/>
                <w:b/>
                <w:sz w:val="18"/>
                <w:szCs w:val="18"/>
              </w:rPr>
            </w:pPr>
          </w:p>
          <w:p w14:paraId="13C686AA" w14:textId="77777777" w:rsidR="008715BE" w:rsidRPr="00EC75B7" w:rsidRDefault="00000000">
            <w:pPr>
              <w:pStyle w:val="TableParagraph"/>
              <w:ind w:left="290"/>
              <w:rPr>
                <w:rFonts w:ascii="Verdana" w:hAnsi="Verdana"/>
                <w:b/>
                <w:sz w:val="18"/>
                <w:szCs w:val="18"/>
              </w:rPr>
            </w:pPr>
            <w:r w:rsidRPr="00EC75B7">
              <w:rPr>
                <w:rFonts w:ascii="Verdana" w:hAnsi="Verdana"/>
                <w:b/>
                <w:color w:val="FFFFFF"/>
                <w:spacing w:val="-2"/>
                <w:sz w:val="18"/>
                <w:szCs w:val="18"/>
              </w:rPr>
              <w:t>Extent</w:t>
            </w:r>
          </w:p>
        </w:tc>
        <w:tc>
          <w:tcPr>
            <w:tcW w:w="1182" w:type="dxa"/>
            <w:shd w:val="clear" w:color="auto" w:fill="00AFEF"/>
            <w:textDirection w:val="btLr"/>
          </w:tcPr>
          <w:p w14:paraId="4228D4F1" w14:textId="77777777" w:rsidR="008715BE" w:rsidRPr="00EC75B7" w:rsidRDefault="008715BE">
            <w:pPr>
              <w:pStyle w:val="TableParagraph"/>
              <w:rPr>
                <w:rFonts w:ascii="Verdana" w:hAnsi="Verdana"/>
                <w:b/>
                <w:sz w:val="18"/>
                <w:szCs w:val="18"/>
              </w:rPr>
            </w:pPr>
          </w:p>
          <w:p w14:paraId="337DE955" w14:textId="77777777" w:rsidR="008715BE" w:rsidRPr="00EC75B7" w:rsidRDefault="008715BE">
            <w:pPr>
              <w:pStyle w:val="TableParagraph"/>
              <w:spacing w:before="122"/>
              <w:rPr>
                <w:rFonts w:ascii="Verdana" w:hAnsi="Verdana"/>
                <w:b/>
                <w:sz w:val="18"/>
                <w:szCs w:val="18"/>
              </w:rPr>
            </w:pPr>
          </w:p>
          <w:p w14:paraId="006D3C2C" w14:textId="77777777" w:rsidR="008715BE" w:rsidRPr="00EC75B7" w:rsidRDefault="00000000">
            <w:pPr>
              <w:pStyle w:val="TableParagraph"/>
              <w:ind w:left="141"/>
              <w:rPr>
                <w:rFonts w:ascii="Verdana" w:hAnsi="Verdana"/>
                <w:b/>
                <w:sz w:val="18"/>
                <w:szCs w:val="18"/>
              </w:rPr>
            </w:pPr>
            <w:r w:rsidRPr="00EC75B7">
              <w:rPr>
                <w:rFonts w:ascii="Verdana" w:hAnsi="Verdana"/>
                <w:b/>
                <w:color w:val="FFFFFF"/>
                <w:spacing w:val="-2"/>
                <w:sz w:val="18"/>
                <w:szCs w:val="18"/>
              </w:rPr>
              <w:t>Probability</w:t>
            </w:r>
          </w:p>
        </w:tc>
        <w:tc>
          <w:tcPr>
            <w:tcW w:w="1093" w:type="dxa"/>
            <w:shd w:val="clear" w:color="auto" w:fill="00AFEF"/>
            <w:textDirection w:val="btLr"/>
          </w:tcPr>
          <w:p w14:paraId="79AA12BD" w14:textId="77777777" w:rsidR="008715BE" w:rsidRPr="00EC75B7" w:rsidRDefault="008715BE">
            <w:pPr>
              <w:pStyle w:val="TableParagraph"/>
              <w:rPr>
                <w:rFonts w:ascii="Verdana" w:hAnsi="Verdana"/>
                <w:b/>
                <w:sz w:val="18"/>
                <w:szCs w:val="18"/>
              </w:rPr>
            </w:pPr>
          </w:p>
          <w:p w14:paraId="0C9DC3B1" w14:textId="77777777" w:rsidR="008715BE" w:rsidRPr="00EC75B7" w:rsidRDefault="008715BE">
            <w:pPr>
              <w:pStyle w:val="TableParagraph"/>
              <w:spacing w:before="80"/>
              <w:rPr>
                <w:rFonts w:ascii="Verdana" w:hAnsi="Verdana"/>
                <w:b/>
                <w:sz w:val="18"/>
                <w:szCs w:val="18"/>
              </w:rPr>
            </w:pPr>
          </w:p>
          <w:p w14:paraId="1B691307" w14:textId="77777777" w:rsidR="008715BE" w:rsidRPr="00EC75B7" w:rsidRDefault="00000000">
            <w:pPr>
              <w:pStyle w:val="TableParagraph"/>
              <w:ind w:left="66"/>
              <w:rPr>
                <w:rFonts w:ascii="Verdana" w:hAnsi="Verdana"/>
                <w:b/>
                <w:sz w:val="18"/>
                <w:szCs w:val="18"/>
              </w:rPr>
            </w:pPr>
            <w:r w:rsidRPr="00EC75B7">
              <w:rPr>
                <w:rFonts w:ascii="Verdana" w:hAnsi="Verdana"/>
                <w:b/>
                <w:color w:val="FFFFFF"/>
                <w:spacing w:val="-2"/>
                <w:sz w:val="18"/>
                <w:szCs w:val="18"/>
              </w:rPr>
              <w:t>Reversibility</w:t>
            </w:r>
          </w:p>
        </w:tc>
        <w:tc>
          <w:tcPr>
            <w:tcW w:w="1537" w:type="dxa"/>
            <w:shd w:val="clear" w:color="auto" w:fill="00AFEF"/>
            <w:textDirection w:val="btLr"/>
          </w:tcPr>
          <w:p w14:paraId="290BB016" w14:textId="77777777" w:rsidR="008715BE" w:rsidRPr="00EC75B7" w:rsidRDefault="008715BE">
            <w:pPr>
              <w:pStyle w:val="TableParagraph"/>
              <w:rPr>
                <w:rFonts w:ascii="Verdana" w:hAnsi="Verdana"/>
                <w:b/>
                <w:sz w:val="18"/>
                <w:szCs w:val="18"/>
              </w:rPr>
            </w:pPr>
          </w:p>
          <w:p w14:paraId="406F0CD7" w14:textId="77777777" w:rsidR="008715BE" w:rsidRPr="00EC75B7" w:rsidRDefault="008715BE">
            <w:pPr>
              <w:pStyle w:val="TableParagraph"/>
              <w:rPr>
                <w:rFonts w:ascii="Verdana" w:hAnsi="Verdana"/>
                <w:b/>
                <w:sz w:val="18"/>
                <w:szCs w:val="18"/>
              </w:rPr>
            </w:pPr>
          </w:p>
          <w:p w14:paraId="7F4C6D91" w14:textId="77777777" w:rsidR="008715BE" w:rsidRPr="00EC75B7" w:rsidRDefault="008715BE">
            <w:pPr>
              <w:pStyle w:val="TableParagraph"/>
              <w:spacing w:before="9"/>
              <w:rPr>
                <w:rFonts w:ascii="Verdana" w:hAnsi="Verdana"/>
                <w:b/>
                <w:sz w:val="18"/>
                <w:szCs w:val="18"/>
              </w:rPr>
            </w:pPr>
          </w:p>
          <w:p w14:paraId="32144F3C" w14:textId="77777777" w:rsidR="008715BE" w:rsidRPr="00EC75B7" w:rsidRDefault="00000000">
            <w:pPr>
              <w:pStyle w:val="TableParagraph"/>
              <w:ind w:left="215"/>
              <w:rPr>
                <w:rFonts w:ascii="Verdana" w:hAnsi="Verdana"/>
                <w:b/>
                <w:sz w:val="18"/>
                <w:szCs w:val="18"/>
              </w:rPr>
            </w:pPr>
            <w:r w:rsidRPr="00EC75B7">
              <w:rPr>
                <w:rFonts w:ascii="Verdana" w:hAnsi="Verdana"/>
                <w:b/>
                <w:color w:val="FFFFFF"/>
                <w:spacing w:val="-2"/>
                <w:sz w:val="18"/>
                <w:szCs w:val="18"/>
              </w:rPr>
              <w:t>Significance</w:t>
            </w:r>
          </w:p>
          <w:p w14:paraId="50307881" w14:textId="77777777" w:rsidR="008715BE" w:rsidRPr="00EC75B7" w:rsidRDefault="00000000">
            <w:pPr>
              <w:pStyle w:val="TableParagraph"/>
              <w:spacing w:before="4"/>
              <w:ind w:left="299"/>
              <w:rPr>
                <w:rFonts w:ascii="Verdana" w:hAnsi="Verdana"/>
                <w:b/>
                <w:sz w:val="18"/>
                <w:szCs w:val="18"/>
              </w:rPr>
            </w:pPr>
            <w:r w:rsidRPr="00EC75B7">
              <w:rPr>
                <w:rFonts w:ascii="Verdana" w:hAnsi="Verdana"/>
                <w:b/>
                <w:color w:val="FFFFFF"/>
                <w:spacing w:val="-2"/>
                <w:sz w:val="18"/>
                <w:szCs w:val="18"/>
              </w:rPr>
              <w:t>of impact</w:t>
            </w:r>
          </w:p>
        </w:tc>
        <w:tc>
          <w:tcPr>
            <w:tcW w:w="5056" w:type="dxa"/>
            <w:shd w:val="clear" w:color="auto" w:fill="00AFEF"/>
          </w:tcPr>
          <w:p w14:paraId="6E8BC02E" w14:textId="77777777" w:rsidR="008715BE" w:rsidRPr="00EC75B7" w:rsidRDefault="008715BE">
            <w:pPr>
              <w:pStyle w:val="TableParagraph"/>
              <w:rPr>
                <w:rFonts w:ascii="Verdana" w:hAnsi="Verdana"/>
                <w:b/>
                <w:sz w:val="18"/>
                <w:szCs w:val="18"/>
              </w:rPr>
            </w:pPr>
          </w:p>
          <w:p w14:paraId="0258A451" w14:textId="77777777" w:rsidR="008715BE" w:rsidRPr="00EC75B7" w:rsidRDefault="008715BE">
            <w:pPr>
              <w:pStyle w:val="TableParagraph"/>
              <w:rPr>
                <w:rFonts w:ascii="Verdana" w:hAnsi="Verdana"/>
                <w:b/>
                <w:sz w:val="18"/>
                <w:szCs w:val="18"/>
              </w:rPr>
            </w:pPr>
          </w:p>
          <w:p w14:paraId="1DA477CB" w14:textId="77777777" w:rsidR="008715BE" w:rsidRPr="00EC75B7" w:rsidRDefault="008715BE">
            <w:pPr>
              <w:pStyle w:val="TableParagraph"/>
              <w:spacing w:before="101"/>
              <w:rPr>
                <w:rFonts w:ascii="Verdana" w:hAnsi="Verdana"/>
                <w:b/>
                <w:sz w:val="18"/>
                <w:szCs w:val="18"/>
              </w:rPr>
            </w:pPr>
          </w:p>
          <w:p w14:paraId="49945B59" w14:textId="77777777" w:rsidR="008715BE" w:rsidRPr="00EC75B7" w:rsidRDefault="00000000">
            <w:pPr>
              <w:pStyle w:val="TableParagraph"/>
              <w:spacing w:before="1"/>
              <w:ind w:left="3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7270EFEF" w14:textId="77777777">
        <w:trPr>
          <w:trHeight w:val="4862"/>
        </w:trPr>
        <w:tc>
          <w:tcPr>
            <w:tcW w:w="725" w:type="dxa"/>
            <w:vMerge w:val="restart"/>
          </w:tcPr>
          <w:p w14:paraId="0905254A" w14:textId="77777777" w:rsidR="008715BE" w:rsidRPr="00EC75B7" w:rsidRDefault="008715BE">
            <w:pPr>
              <w:pStyle w:val="TableParagraph"/>
              <w:rPr>
                <w:rFonts w:ascii="Verdana" w:hAnsi="Verdana"/>
                <w:sz w:val="18"/>
                <w:szCs w:val="18"/>
              </w:rPr>
            </w:pPr>
          </w:p>
        </w:tc>
        <w:tc>
          <w:tcPr>
            <w:tcW w:w="2414" w:type="dxa"/>
          </w:tcPr>
          <w:p w14:paraId="25743631" w14:textId="77777777" w:rsidR="008715BE" w:rsidRPr="00EC75B7" w:rsidRDefault="00000000">
            <w:pPr>
              <w:pStyle w:val="TableParagraph"/>
              <w:spacing w:before="8"/>
              <w:ind w:left="108" w:right="94"/>
              <w:rPr>
                <w:rFonts w:ascii="Verdana" w:hAnsi="Verdana"/>
                <w:sz w:val="18"/>
                <w:szCs w:val="18"/>
              </w:rPr>
            </w:pPr>
            <w:r w:rsidRPr="00EC75B7">
              <w:rPr>
                <w:rFonts w:ascii="Verdana" w:hAnsi="Verdana"/>
                <w:sz w:val="18"/>
                <w:szCs w:val="18"/>
              </w:rPr>
              <w:t>filling, compaction, formwork installation; manufacture and installation of metal reinforcement; concrete pouring (using a concrete mixer, truck mixer, or concrete pump); concrete vibration and finishing; concrete curing/hardening; foundation formwork removal)</w:t>
            </w:r>
          </w:p>
        </w:tc>
        <w:tc>
          <w:tcPr>
            <w:tcW w:w="2112" w:type="dxa"/>
          </w:tcPr>
          <w:p w14:paraId="764FB304" w14:textId="77777777" w:rsidR="008715BE" w:rsidRPr="00EC75B7" w:rsidRDefault="008715BE">
            <w:pPr>
              <w:pStyle w:val="TableParagraph"/>
              <w:rPr>
                <w:rFonts w:ascii="Verdana" w:hAnsi="Verdana"/>
                <w:sz w:val="18"/>
                <w:szCs w:val="18"/>
              </w:rPr>
            </w:pPr>
          </w:p>
        </w:tc>
        <w:tc>
          <w:tcPr>
            <w:tcW w:w="1473" w:type="dxa"/>
          </w:tcPr>
          <w:p w14:paraId="6A9389A6" w14:textId="77777777" w:rsidR="008715BE" w:rsidRPr="00EC75B7" w:rsidRDefault="008715BE">
            <w:pPr>
              <w:pStyle w:val="TableParagraph"/>
              <w:rPr>
                <w:rFonts w:ascii="Verdana" w:hAnsi="Verdana"/>
                <w:sz w:val="18"/>
                <w:szCs w:val="18"/>
              </w:rPr>
            </w:pPr>
          </w:p>
        </w:tc>
        <w:tc>
          <w:tcPr>
            <w:tcW w:w="1012" w:type="dxa"/>
          </w:tcPr>
          <w:p w14:paraId="3914A668" w14:textId="77777777" w:rsidR="008715BE" w:rsidRPr="00EC75B7" w:rsidRDefault="008715BE">
            <w:pPr>
              <w:pStyle w:val="TableParagraph"/>
              <w:rPr>
                <w:rFonts w:ascii="Verdana" w:hAnsi="Verdana"/>
                <w:sz w:val="18"/>
                <w:szCs w:val="18"/>
              </w:rPr>
            </w:pPr>
          </w:p>
        </w:tc>
        <w:tc>
          <w:tcPr>
            <w:tcW w:w="971" w:type="dxa"/>
          </w:tcPr>
          <w:p w14:paraId="6840BC58" w14:textId="77777777" w:rsidR="008715BE" w:rsidRPr="00EC75B7" w:rsidRDefault="008715BE">
            <w:pPr>
              <w:pStyle w:val="TableParagraph"/>
              <w:rPr>
                <w:rFonts w:ascii="Verdana" w:hAnsi="Verdana"/>
                <w:sz w:val="18"/>
                <w:szCs w:val="18"/>
              </w:rPr>
            </w:pPr>
          </w:p>
        </w:tc>
        <w:tc>
          <w:tcPr>
            <w:tcW w:w="604" w:type="dxa"/>
          </w:tcPr>
          <w:p w14:paraId="168670A3" w14:textId="77777777" w:rsidR="008715BE" w:rsidRPr="00EC75B7" w:rsidRDefault="008715BE">
            <w:pPr>
              <w:pStyle w:val="TableParagraph"/>
              <w:rPr>
                <w:rFonts w:ascii="Verdana" w:hAnsi="Verdana"/>
                <w:sz w:val="18"/>
                <w:szCs w:val="18"/>
              </w:rPr>
            </w:pPr>
          </w:p>
        </w:tc>
        <w:tc>
          <w:tcPr>
            <w:tcW w:w="1184" w:type="dxa"/>
          </w:tcPr>
          <w:p w14:paraId="3E9BC993" w14:textId="77777777" w:rsidR="008715BE" w:rsidRPr="00EC75B7" w:rsidRDefault="008715BE">
            <w:pPr>
              <w:pStyle w:val="TableParagraph"/>
              <w:rPr>
                <w:rFonts w:ascii="Verdana" w:hAnsi="Verdana"/>
                <w:sz w:val="18"/>
                <w:szCs w:val="18"/>
              </w:rPr>
            </w:pPr>
          </w:p>
        </w:tc>
        <w:tc>
          <w:tcPr>
            <w:tcW w:w="1246" w:type="dxa"/>
          </w:tcPr>
          <w:p w14:paraId="7990D441" w14:textId="77777777" w:rsidR="008715BE" w:rsidRPr="00EC75B7" w:rsidRDefault="008715BE">
            <w:pPr>
              <w:pStyle w:val="TableParagraph"/>
              <w:rPr>
                <w:rFonts w:ascii="Verdana" w:hAnsi="Verdana"/>
                <w:sz w:val="18"/>
                <w:szCs w:val="18"/>
              </w:rPr>
            </w:pPr>
          </w:p>
        </w:tc>
        <w:tc>
          <w:tcPr>
            <w:tcW w:w="920" w:type="dxa"/>
          </w:tcPr>
          <w:p w14:paraId="442BC93C" w14:textId="77777777" w:rsidR="008715BE" w:rsidRPr="00EC75B7" w:rsidRDefault="008715BE">
            <w:pPr>
              <w:pStyle w:val="TableParagraph"/>
              <w:rPr>
                <w:rFonts w:ascii="Verdana" w:hAnsi="Verdana"/>
                <w:sz w:val="18"/>
                <w:szCs w:val="18"/>
              </w:rPr>
            </w:pPr>
          </w:p>
        </w:tc>
        <w:tc>
          <w:tcPr>
            <w:tcW w:w="1182" w:type="dxa"/>
          </w:tcPr>
          <w:p w14:paraId="5ED3D3F1" w14:textId="77777777" w:rsidR="008715BE" w:rsidRPr="00EC75B7" w:rsidRDefault="008715BE">
            <w:pPr>
              <w:pStyle w:val="TableParagraph"/>
              <w:rPr>
                <w:rFonts w:ascii="Verdana" w:hAnsi="Verdana"/>
                <w:sz w:val="18"/>
                <w:szCs w:val="18"/>
              </w:rPr>
            </w:pPr>
          </w:p>
        </w:tc>
        <w:tc>
          <w:tcPr>
            <w:tcW w:w="1093" w:type="dxa"/>
          </w:tcPr>
          <w:p w14:paraId="7F76B9E3" w14:textId="77777777" w:rsidR="008715BE" w:rsidRPr="00EC75B7" w:rsidRDefault="008715BE">
            <w:pPr>
              <w:pStyle w:val="TableParagraph"/>
              <w:rPr>
                <w:rFonts w:ascii="Verdana" w:hAnsi="Verdana"/>
                <w:sz w:val="18"/>
                <w:szCs w:val="18"/>
              </w:rPr>
            </w:pPr>
          </w:p>
        </w:tc>
        <w:tc>
          <w:tcPr>
            <w:tcW w:w="1537" w:type="dxa"/>
          </w:tcPr>
          <w:p w14:paraId="08C6248B" w14:textId="77777777" w:rsidR="008715BE" w:rsidRPr="00EC75B7" w:rsidRDefault="008715BE">
            <w:pPr>
              <w:pStyle w:val="TableParagraph"/>
              <w:rPr>
                <w:rFonts w:ascii="Verdana" w:hAnsi="Verdana"/>
                <w:sz w:val="18"/>
                <w:szCs w:val="18"/>
              </w:rPr>
            </w:pPr>
          </w:p>
        </w:tc>
        <w:tc>
          <w:tcPr>
            <w:tcW w:w="5056" w:type="dxa"/>
          </w:tcPr>
          <w:p w14:paraId="34748B57" w14:textId="77777777" w:rsidR="008715BE" w:rsidRPr="00EC75B7" w:rsidRDefault="00000000">
            <w:pPr>
              <w:pStyle w:val="TableParagraph"/>
              <w:spacing w:before="8"/>
              <w:ind w:left="122" w:right="183"/>
              <w:rPr>
                <w:rFonts w:ascii="Verdana" w:hAnsi="Verdana"/>
                <w:sz w:val="18"/>
                <w:szCs w:val="18"/>
              </w:rPr>
            </w:pPr>
            <w:r w:rsidRPr="00EC75B7">
              <w:rPr>
                <w:rFonts w:ascii="Verdana" w:hAnsi="Verdana"/>
                <w:sz w:val="18"/>
                <w:szCs w:val="18"/>
              </w:rPr>
              <w:t>determined mainly by emissions of suspended particulate matter (PM10 and PM2.5) and, secondarily, by emissions of gaseous pollutants (NOx, CO, CO₂) from the operation of machinery and vehicles involved in the execution process.</w:t>
            </w:r>
          </w:p>
          <w:p w14:paraId="76124DD6"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Dust emissions occur predominantly during excavation and soil handling, temporary storage of materials, and when machinery is driven on undeveloped surfaces.</w:t>
            </w:r>
            <w:r w:rsidRPr="00EC75B7">
              <w:rPr>
                <w:rFonts w:ascii="Verdana" w:hAnsi="Verdana"/>
                <w:spacing w:val="40"/>
                <w:sz w:val="18"/>
                <w:szCs w:val="18"/>
              </w:rPr>
              <w:t xml:space="preserve"> </w:t>
            </w:r>
            <w:r w:rsidRPr="00EC75B7">
              <w:rPr>
                <w:rFonts w:ascii="Verdana" w:hAnsi="Verdana"/>
                <w:sz w:val="18"/>
                <w:szCs w:val="18"/>
              </w:rPr>
              <w:t>Fine dust emissions may also be generated during the handling of construction materials (sand, aggregates, cement), but these are intermittent and controllable. Gaseous pollutant emissions are associated with the use of internal combustion engines and have a low impact on ambient air quality, as they are quickly dispersed into the atmosphere.</w:t>
            </w:r>
          </w:p>
          <w:p w14:paraId="374104A7" w14:textId="77777777" w:rsidR="008715BE" w:rsidRPr="00EC75B7" w:rsidRDefault="00000000">
            <w:pPr>
              <w:pStyle w:val="TableParagraph"/>
              <w:ind w:left="122" w:right="263"/>
              <w:rPr>
                <w:rFonts w:ascii="Verdana" w:hAnsi="Verdana"/>
                <w:sz w:val="18"/>
                <w:szCs w:val="18"/>
              </w:rPr>
            </w:pPr>
            <w:r w:rsidRPr="00EC75B7">
              <w:rPr>
                <w:rFonts w:ascii="Verdana" w:hAnsi="Verdana"/>
                <w:sz w:val="18"/>
                <w:szCs w:val="18"/>
              </w:rPr>
              <w:t>Given the limited duration of the works, the restricted area of the technological platforms and foundations, as well as the phased nature of the activities, the impact on air quality is assessed as negative, of low to moderate intensity, temporary, and completely reversible. Provided that measures to prevent and reduce emissions are complied with (moistening of work areas, covering of powdery materials, limiting the speed of machinery, use of properly maintained equipment), no exceedances of the limit values</w:t>
            </w:r>
          </w:p>
          <w:p w14:paraId="545C4286" w14:textId="77777777" w:rsidR="008715BE" w:rsidRPr="00EC75B7" w:rsidRDefault="00000000">
            <w:pPr>
              <w:pStyle w:val="TableParagraph"/>
              <w:spacing w:line="159" w:lineRule="exact"/>
              <w:ind w:left="122"/>
              <w:rPr>
                <w:rFonts w:ascii="Verdana" w:hAnsi="Verdana"/>
                <w:sz w:val="18"/>
                <w:szCs w:val="18"/>
              </w:rPr>
            </w:pPr>
            <w:r w:rsidRPr="00EC75B7">
              <w:rPr>
                <w:rFonts w:ascii="Verdana" w:hAnsi="Verdana"/>
                <w:sz w:val="18"/>
                <w:szCs w:val="18"/>
              </w:rPr>
              <w:t xml:space="preserve">provided for by Law No. 104/2011 for the pollutants </w:t>
            </w:r>
            <w:r w:rsidRPr="00EC75B7">
              <w:rPr>
                <w:rFonts w:ascii="Verdana" w:hAnsi="Verdana"/>
                <w:spacing w:val="-2"/>
                <w:sz w:val="18"/>
                <w:szCs w:val="18"/>
              </w:rPr>
              <w:t>analyzed.</w:t>
            </w:r>
          </w:p>
        </w:tc>
      </w:tr>
      <w:tr w:rsidR="008715BE" w:rsidRPr="00EC75B7" w14:paraId="22E45113" w14:textId="77777777">
        <w:trPr>
          <w:trHeight w:val="3499"/>
        </w:trPr>
        <w:tc>
          <w:tcPr>
            <w:tcW w:w="725" w:type="dxa"/>
            <w:vMerge/>
            <w:tcBorders>
              <w:top w:val="nil"/>
            </w:tcBorders>
          </w:tcPr>
          <w:p w14:paraId="71B19B2F" w14:textId="77777777" w:rsidR="008715BE" w:rsidRPr="00EC75B7" w:rsidRDefault="008715BE">
            <w:pPr>
              <w:rPr>
                <w:rFonts w:ascii="Verdana" w:hAnsi="Verdana"/>
                <w:sz w:val="18"/>
                <w:szCs w:val="18"/>
              </w:rPr>
            </w:pPr>
          </w:p>
        </w:tc>
        <w:tc>
          <w:tcPr>
            <w:tcW w:w="2414" w:type="dxa"/>
          </w:tcPr>
          <w:p w14:paraId="459B418D" w14:textId="77777777" w:rsidR="008715BE" w:rsidRPr="00EC75B7" w:rsidRDefault="00000000">
            <w:pPr>
              <w:pStyle w:val="TableParagraph"/>
              <w:spacing w:before="8"/>
              <w:ind w:left="108" w:right="410"/>
              <w:jc w:val="both"/>
              <w:rPr>
                <w:rFonts w:ascii="Verdana" w:hAnsi="Verdana"/>
                <w:sz w:val="18"/>
                <w:szCs w:val="18"/>
              </w:rPr>
            </w:pPr>
            <w:r w:rsidRPr="00EC75B7">
              <w:rPr>
                <w:rFonts w:ascii="Verdana" w:hAnsi="Verdana"/>
                <w:b/>
                <w:sz w:val="18"/>
                <w:szCs w:val="18"/>
              </w:rPr>
              <w:t xml:space="preserve">Installation of wind turbines </w:t>
            </w:r>
            <w:r w:rsidRPr="00EC75B7">
              <w:rPr>
                <w:rFonts w:ascii="Verdana" w:hAnsi="Verdana"/>
                <w:sz w:val="18"/>
                <w:szCs w:val="18"/>
              </w:rPr>
              <w:t xml:space="preserve">(pylon, nacelle, </w:t>
            </w:r>
            <w:r w:rsidRPr="00EC75B7">
              <w:rPr>
                <w:rFonts w:ascii="Verdana" w:hAnsi="Verdana"/>
                <w:spacing w:val="-2"/>
                <w:sz w:val="18"/>
                <w:szCs w:val="18"/>
              </w:rPr>
              <w:t>blades)</w:t>
            </w:r>
          </w:p>
        </w:tc>
        <w:tc>
          <w:tcPr>
            <w:tcW w:w="2112" w:type="dxa"/>
          </w:tcPr>
          <w:p w14:paraId="702E9237"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45AC3992"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7B297DF6"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01D2441A" w14:textId="77777777" w:rsidR="008715BE" w:rsidRPr="00EC75B7" w:rsidRDefault="00000000">
            <w:pPr>
              <w:pStyle w:val="TableParagraph"/>
              <w:spacing w:before="8"/>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7A8B4520"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Direct</w:t>
            </w:r>
          </w:p>
        </w:tc>
        <w:tc>
          <w:tcPr>
            <w:tcW w:w="604" w:type="dxa"/>
          </w:tcPr>
          <w:p w14:paraId="4BE7D8DC" w14:textId="77777777" w:rsidR="008715BE" w:rsidRPr="00EC75B7" w:rsidRDefault="00000000">
            <w:pPr>
              <w:pStyle w:val="TableParagraph"/>
              <w:spacing w:before="8"/>
              <w:ind w:left="111"/>
              <w:rPr>
                <w:rFonts w:ascii="Verdana" w:hAnsi="Verdana"/>
                <w:sz w:val="18"/>
                <w:szCs w:val="18"/>
              </w:rPr>
            </w:pPr>
            <w:r w:rsidRPr="00EC75B7">
              <w:rPr>
                <w:rFonts w:ascii="Verdana" w:hAnsi="Verdana"/>
                <w:spacing w:val="-5"/>
                <w:sz w:val="18"/>
                <w:szCs w:val="18"/>
              </w:rPr>
              <w:t>Yes</w:t>
            </w:r>
          </w:p>
        </w:tc>
        <w:tc>
          <w:tcPr>
            <w:tcW w:w="1184" w:type="dxa"/>
          </w:tcPr>
          <w:p w14:paraId="1877409F" w14:textId="77777777" w:rsidR="008715BE" w:rsidRPr="00EC75B7" w:rsidRDefault="00000000">
            <w:pPr>
              <w:pStyle w:val="TableParagraph"/>
              <w:spacing w:before="8"/>
              <w:ind w:left="112"/>
              <w:rPr>
                <w:rFonts w:ascii="Verdana" w:hAnsi="Verdana"/>
                <w:sz w:val="18"/>
                <w:szCs w:val="18"/>
              </w:rPr>
            </w:pPr>
            <w:r w:rsidRPr="00EC75B7">
              <w:rPr>
                <w:rFonts w:ascii="Verdana" w:hAnsi="Verdana"/>
                <w:spacing w:val="-2"/>
                <w:sz w:val="18"/>
                <w:szCs w:val="18"/>
              </w:rPr>
              <w:t>Medium</w:t>
            </w:r>
          </w:p>
        </w:tc>
        <w:tc>
          <w:tcPr>
            <w:tcW w:w="1246" w:type="dxa"/>
          </w:tcPr>
          <w:p w14:paraId="31F6DF4A" w14:textId="77777777" w:rsidR="008715BE" w:rsidRPr="00EC75B7" w:rsidRDefault="00000000">
            <w:pPr>
              <w:pStyle w:val="TableParagraph"/>
              <w:spacing w:before="8"/>
              <w:ind w:left="114"/>
              <w:rPr>
                <w:rFonts w:ascii="Verdana" w:hAnsi="Verdana"/>
                <w:sz w:val="18"/>
                <w:szCs w:val="18"/>
              </w:rPr>
            </w:pPr>
            <w:r w:rsidRPr="00EC75B7">
              <w:rPr>
                <w:rFonts w:ascii="Verdana" w:hAnsi="Verdana"/>
                <w:spacing w:val="-2"/>
                <w:sz w:val="18"/>
                <w:szCs w:val="18"/>
              </w:rPr>
              <w:t>Intermittent</w:t>
            </w:r>
          </w:p>
        </w:tc>
        <w:tc>
          <w:tcPr>
            <w:tcW w:w="920" w:type="dxa"/>
          </w:tcPr>
          <w:p w14:paraId="66E0F751" w14:textId="77777777" w:rsidR="008715BE" w:rsidRPr="00EC75B7" w:rsidRDefault="00000000">
            <w:pPr>
              <w:pStyle w:val="TableParagraph"/>
              <w:spacing w:before="8"/>
              <w:ind w:left="116"/>
              <w:rPr>
                <w:rFonts w:ascii="Verdana" w:hAnsi="Verdana"/>
                <w:sz w:val="18"/>
                <w:szCs w:val="18"/>
              </w:rPr>
            </w:pPr>
            <w:r w:rsidRPr="00EC75B7">
              <w:rPr>
                <w:rFonts w:ascii="Verdana" w:hAnsi="Verdana"/>
                <w:spacing w:val="-2"/>
                <w:sz w:val="18"/>
                <w:szCs w:val="18"/>
              </w:rPr>
              <w:t>Local</w:t>
            </w:r>
          </w:p>
        </w:tc>
        <w:tc>
          <w:tcPr>
            <w:tcW w:w="1182" w:type="dxa"/>
          </w:tcPr>
          <w:p w14:paraId="5F7CCBAB" w14:textId="77777777" w:rsidR="008715BE" w:rsidRPr="00EC75B7" w:rsidRDefault="00000000">
            <w:pPr>
              <w:pStyle w:val="TableParagraph"/>
              <w:spacing w:before="8"/>
              <w:ind w:left="117"/>
              <w:rPr>
                <w:rFonts w:ascii="Verdana" w:hAnsi="Verdana"/>
                <w:sz w:val="18"/>
                <w:szCs w:val="18"/>
              </w:rPr>
            </w:pPr>
            <w:r w:rsidRPr="00EC75B7">
              <w:rPr>
                <w:rFonts w:ascii="Verdana" w:hAnsi="Verdana"/>
                <w:spacing w:val="-2"/>
                <w:sz w:val="18"/>
                <w:szCs w:val="18"/>
              </w:rPr>
              <w:t>Probable</w:t>
            </w:r>
          </w:p>
        </w:tc>
        <w:tc>
          <w:tcPr>
            <w:tcW w:w="1093" w:type="dxa"/>
          </w:tcPr>
          <w:p w14:paraId="519E58E1" w14:textId="77777777" w:rsidR="008715BE" w:rsidRPr="00EC75B7" w:rsidRDefault="00000000">
            <w:pPr>
              <w:pStyle w:val="TableParagraph"/>
              <w:spacing w:before="8"/>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42C48FF2" w14:textId="77777777" w:rsidR="008715BE" w:rsidRPr="00EC75B7" w:rsidRDefault="00000000">
            <w:pPr>
              <w:pStyle w:val="TableParagraph"/>
              <w:spacing w:before="8"/>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09D31973" w14:textId="77777777" w:rsidR="008715BE" w:rsidRPr="00EC75B7" w:rsidRDefault="00000000">
            <w:pPr>
              <w:pStyle w:val="TableParagraph"/>
              <w:spacing w:before="8"/>
              <w:ind w:left="122" w:right="263"/>
              <w:rPr>
                <w:rFonts w:ascii="Verdana" w:hAnsi="Verdana"/>
                <w:sz w:val="18"/>
                <w:szCs w:val="18"/>
              </w:rPr>
            </w:pPr>
            <w:r w:rsidRPr="00EC75B7">
              <w:rPr>
                <w:rFonts w:ascii="Verdana" w:hAnsi="Verdana"/>
                <w:sz w:val="18"/>
                <w:szCs w:val="18"/>
              </w:rPr>
              <w:t>The installation of wind turbines, which includes assembling and erecting the tower, mounting the nacelle, and attaching the rotor blades, involves the use of high-capacity cranes, lifting equipment, specialized transport, and auxiliary installation activities.</w:t>
            </w:r>
          </w:p>
          <w:p w14:paraId="0283FECA" w14:textId="77777777" w:rsidR="008715BE" w:rsidRPr="00EC75B7" w:rsidRDefault="00000000">
            <w:pPr>
              <w:pStyle w:val="TableParagraph"/>
              <w:ind w:left="122" w:right="89"/>
              <w:rPr>
                <w:rFonts w:ascii="Verdana" w:hAnsi="Verdana"/>
                <w:sz w:val="18"/>
                <w:szCs w:val="18"/>
              </w:rPr>
            </w:pPr>
            <w:r w:rsidRPr="00EC75B7">
              <w:rPr>
                <w:rFonts w:ascii="Verdana" w:hAnsi="Verdana"/>
                <w:sz w:val="18"/>
                <w:szCs w:val="18"/>
              </w:rPr>
              <w:t xml:space="preserve">These operations generate a temporary and localized impact on air quality, mainly due to gaseous pollutant emissions from the operation of machinery and, to a lesser extent, dust emissions associated with </w:t>
            </w:r>
            <w:r w:rsidRPr="00EC75B7">
              <w:rPr>
                <w:rFonts w:ascii="Verdana" w:hAnsi="Verdana"/>
                <w:spacing w:val="-2"/>
                <w:sz w:val="18"/>
                <w:szCs w:val="18"/>
              </w:rPr>
              <w:t>related</w:t>
            </w:r>
            <w:r w:rsidRPr="00EC75B7">
              <w:rPr>
                <w:rFonts w:ascii="Verdana" w:hAnsi="Verdana"/>
                <w:sz w:val="18"/>
                <w:szCs w:val="18"/>
              </w:rPr>
              <w:t xml:space="preserve"> activities</w:t>
            </w:r>
            <w:r w:rsidRPr="00EC75B7">
              <w:rPr>
                <w:rFonts w:ascii="Verdana" w:hAnsi="Verdana"/>
                <w:spacing w:val="-2"/>
                <w:sz w:val="18"/>
                <w:szCs w:val="18"/>
              </w:rPr>
              <w:t>.</w:t>
            </w:r>
          </w:p>
          <w:p w14:paraId="1CD22CBA" w14:textId="77777777" w:rsidR="008715BE" w:rsidRPr="00EC75B7" w:rsidRDefault="00000000">
            <w:pPr>
              <w:pStyle w:val="TableParagraph"/>
              <w:ind w:left="122" w:right="263"/>
              <w:rPr>
                <w:rFonts w:ascii="Verdana" w:hAnsi="Verdana"/>
                <w:sz w:val="18"/>
                <w:szCs w:val="18"/>
              </w:rPr>
            </w:pPr>
            <w:r w:rsidRPr="00EC75B7">
              <w:rPr>
                <w:rFonts w:ascii="Verdana" w:hAnsi="Verdana"/>
                <w:sz w:val="18"/>
                <w:szCs w:val="18"/>
              </w:rPr>
              <w:t>The impact on air quality is accentuated during the lifting and positioning of components (pylon, nacelle, blades), when the simultaneous operation of several machines can lead to local and short-term increases in gaseous pollutant concentrations. However, these increases are quickly dissipated due to the limited duration of the operations and the favorable dispersion conditions</w:t>
            </w:r>
          </w:p>
          <w:p w14:paraId="460AAEE5" w14:textId="77777777" w:rsidR="008715BE" w:rsidRPr="00EC75B7" w:rsidRDefault="00000000">
            <w:pPr>
              <w:pStyle w:val="TableParagraph"/>
              <w:spacing w:line="159" w:lineRule="exact"/>
              <w:ind w:left="122"/>
              <w:rPr>
                <w:rFonts w:ascii="Verdana" w:hAnsi="Verdana"/>
                <w:sz w:val="18"/>
                <w:szCs w:val="18"/>
              </w:rPr>
            </w:pPr>
            <w:r w:rsidRPr="00EC75B7">
              <w:rPr>
                <w:rFonts w:ascii="Verdana" w:hAnsi="Verdana"/>
                <w:sz w:val="18"/>
                <w:szCs w:val="18"/>
              </w:rPr>
              <w:t xml:space="preserve">favorable dispersion conditions specific to areas with </w:t>
            </w:r>
            <w:r w:rsidRPr="00EC75B7">
              <w:rPr>
                <w:rFonts w:ascii="Verdana" w:hAnsi="Verdana"/>
                <w:spacing w:val="-2"/>
                <w:sz w:val="18"/>
                <w:szCs w:val="18"/>
              </w:rPr>
              <w:t xml:space="preserve">high </w:t>
            </w:r>
            <w:r w:rsidRPr="00EC75B7">
              <w:rPr>
                <w:rFonts w:ascii="Verdana" w:hAnsi="Verdana"/>
                <w:sz w:val="18"/>
                <w:szCs w:val="18"/>
              </w:rPr>
              <w:t>wind potential.</w:t>
            </w:r>
          </w:p>
        </w:tc>
      </w:tr>
      <w:tr w:rsidR="008715BE" w:rsidRPr="00EC75B7" w14:paraId="203C763C" w14:textId="77777777">
        <w:trPr>
          <w:trHeight w:val="3890"/>
        </w:trPr>
        <w:tc>
          <w:tcPr>
            <w:tcW w:w="725" w:type="dxa"/>
            <w:vMerge/>
            <w:tcBorders>
              <w:top w:val="nil"/>
            </w:tcBorders>
          </w:tcPr>
          <w:p w14:paraId="2C06FD20" w14:textId="77777777" w:rsidR="008715BE" w:rsidRPr="00EC75B7" w:rsidRDefault="008715BE">
            <w:pPr>
              <w:rPr>
                <w:rFonts w:ascii="Verdana" w:hAnsi="Verdana"/>
                <w:sz w:val="18"/>
                <w:szCs w:val="18"/>
              </w:rPr>
            </w:pPr>
          </w:p>
        </w:tc>
        <w:tc>
          <w:tcPr>
            <w:tcW w:w="2414" w:type="dxa"/>
          </w:tcPr>
          <w:p w14:paraId="23298972" w14:textId="77777777" w:rsidR="008715BE" w:rsidRPr="00EC75B7" w:rsidRDefault="00000000">
            <w:pPr>
              <w:pStyle w:val="TableParagraph"/>
              <w:spacing w:before="8"/>
              <w:ind w:left="108" w:right="94"/>
              <w:rPr>
                <w:rFonts w:ascii="Verdana" w:hAnsi="Verdana"/>
                <w:sz w:val="18"/>
                <w:szCs w:val="18"/>
              </w:rPr>
            </w:pPr>
            <w:r w:rsidRPr="00EC75B7">
              <w:rPr>
                <w:rFonts w:ascii="Verdana" w:hAnsi="Verdana"/>
                <w:b/>
                <w:sz w:val="18"/>
                <w:szCs w:val="18"/>
              </w:rPr>
              <w:t xml:space="preserve">Making electrical connections and laying underground cables </w:t>
            </w:r>
            <w:r w:rsidRPr="00EC75B7">
              <w:rPr>
                <w:rFonts w:ascii="Verdana" w:hAnsi="Verdana"/>
                <w:sz w:val="18"/>
                <w:szCs w:val="18"/>
              </w:rPr>
              <w:t xml:space="preserve">(removing turf, digging trenches, laying a layer of sand/gravel to protect the cables; placing the pipes, channels, or tubing needed for the cables; installing warning signs and cable route marking plates, covering cables with a protective layer (sand, soil); compacting the top layer to restore </w:t>
            </w:r>
            <w:r w:rsidRPr="00EC75B7">
              <w:rPr>
                <w:rFonts w:ascii="Verdana" w:hAnsi="Verdana"/>
                <w:spacing w:val="-2"/>
                <w:sz w:val="18"/>
                <w:szCs w:val="18"/>
              </w:rPr>
              <w:t>the terrain)</w:t>
            </w:r>
          </w:p>
        </w:tc>
        <w:tc>
          <w:tcPr>
            <w:tcW w:w="2112" w:type="dxa"/>
          </w:tcPr>
          <w:p w14:paraId="0B8AA592"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60FE8CA2"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2065FE57"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03DB2122" w14:textId="77777777" w:rsidR="008715BE" w:rsidRPr="00EC75B7" w:rsidRDefault="00000000">
            <w:pPr>
              <w:pStyle w:val="TableParagraph"/>
              <w:spacing w:before="8"/>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0892BA72"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Direct</w:t>
            </w:r>
          </w:p>
        </w:tc>
        <w:tc>
          <w:tcPr>
            <w:tcW w:w="604" w:type="dxa"/>
          </w:tcPr>
          <w:p w14:paraId="00075786" w14:textId="77777777" w:rsidR="008715BE" w:rsidRPr="00EC75B7" w:rsidRDefault="00000000">
            <w:pPr>
              <w:pStyle w:val="TableParagraph"/>
              <w:spacing w:before="8"/>
              <w:ind w:left="111"/>
              <w:rPr>
                <w:rFonts w:ascii="Verdana" w:hAnsi="Verdana"/>
                <w:sz w:val="18"/>
                <w:szCs w:val="18"/>
              </w:rPr>
            </w:pPr>
            <w:r w:rsidRPr="00EC75B7">
              <w:rPr>
                <w:rFonts w:ascii="Verdana" w:hAnsi="Verdana"/>
                <w:spacing w:val="-5"/>
                <w:sz w:val="18"/>
                <w:szCs w:val="18"/>
              </w:rPr>
              <w:t>Yes</w:t>
            </w:r>
          </w:p>
        </w:tc>
        <w:tc>
          <w:tcPr>
            <w:tcW w:w="1184" w:type="dxa"/>
          </w:tcPr>
          <w:p w14:paraId="34B55452" w14:textId="77777777" w:rsidR="008715BE" w:rsidRPr="00EC75B7" w:rsidRDefault="00000000">
            <w:pPr>
              <w:pStyle w:val="TableParagraph"/>
              <w:spacing w:before="8"/>
              <w:ind w:left="112"/>
              <w:rPr>
                <w:rFonts w:ascii="Verdana" w:hAnsi="Verdana"/>
                <w:sz w:val="18"/>
                <w:szCs w:val="18"/>
              </w:rPr>
            </w:pPr>
            <w:r w:rsidRPr="00EC75B7">
              <w:rPr>
                <w:rFonts w:ascii="Verdana" w:hAnsi="Verdana"/>
                <w:spacing w:val="-2"/>
                <w:sz w:val="18"/>
                <w:szCs w:val="18"/>
              </w:rPr>
              <w:t>Short</w:t>
            </w:r>
          </w:p>
        </w:tc>
        <w:tc>
          <w:tcPr>
            <w:tcW w:w="1246" w:type="dxa"/>
          </w:tcPr>
          <w:p w14:paraId="2B70A0D0" w14:textId="77777777" w:rsidR="008715BE" w:rsidRPr="00EC75B7" w:rsidRDefault="00000000">
            <w:pPr>
              <w:pStyle w:val="TableParagraph"/>
              <w:spacing w:before="8"/>
              <w:ind w:left="114"/>
              <w:rPr>
                <w:rFonts w:ascii="Verdana" w:hAnsi="Verdana"/>
                <w:sz w:val="18"/>
                <w:szCs w:val="18"/>
              </w:rPr>
            </w:pPr>
            <w:r w:rsidRPr="00EC75B7">
              <w:rPr>
                <w:rFonts w:ascii="Verdana" w:hAnsi="Verdana"/>
                <w:spacing w:val="-2"/>
                <w:sz w:val="18"/>
                <w:szCs w:val="18"/>
              </w:rPr>
              <w:t>Intermittent</w:t>
            </w:r>
          </w:p>
        </w:tc>
        <w:tc>
          <w:tcPr>
            <w:tcW w:w="920" w:type="dxa"/>
          </w:tcPr>
          <w:p w14:paraId="1AD61691" w14:textId="77777777" w:rsidR="008715BE" w:rsidRPr="00EC75B7" w:rsidRDefault="00000000">
            <w:pPr>
              <w:pStyle w:val="TableParagraph"/>
              <w:spacing w:before="8"/>
              <w:ind w:left="116"/>
              <w:rPr>
                <w:rFonts w:ascii="Verdana" w:hAnsi="Verdana"/>
                <w:sz w:val="18"/>
                <w:szCs w:val="18"/>
              </w:rPr>
            </w:pPr>
            <w:r w:rsidRPr="00EC75B7">
              <w:rPr>
                <w:rFonts w:ascii="Verdana" w:hAnsi="Verdana"/>
                <w:spacing w:val="-2"/>
                <w:sz w:val="18"/>
                <w:szCs w:val="18"/>
              </w:rPr>
              <w:t>Local</w:t>
            </w:r>
          </w:p>
        </w:tc>
        <w:tc>
          <w:tcPr>
            <w:tcW w:w="1182" w:type="dxa"/>
          </w:tcPr>
          <w:p w14:paraId="222C8BB3" w14:textId="77777777" w:rsidR="008715BE" w:rsidRPr="00EC75B7" w:rsidRDefault="00000000">
            <w:pPr>
              <w:pStyle w:val="TableParagraph"/>
              <w:spacing w:before="8"/>
              <w:ind w:left="117"/>
              <w:rPr>
                <w:rFonts w:ascii="Verdana" w:hAnsi="Verdana"/>
                <w:sz w:val="18"/>
                <w:szCs w:val="18"/>
              </w:rPr>
            </w:pPr>
            <w:r w:rsidRPr="00EC75B7">
              <w:rPr>
                <w:rFonts w:ascii="Verdana" w:hAnsi="Verdana"/>
                <w:spacing w:val="-2"/>
                <w:sz w:val="18"/>
                <w:szCs w:val="18"/>
              </w:rPr>
              <w:t>Probable</w:t>
            </w:r>
          </w:p>
        </w:tc>
        <w:tc>
          <w:tcPr>
            <w:tcW w:w="1093" w:type="dxa"/>
          </w:tcPr>
          <w:p w14:paraId="21F80F65" w14:textId="77777777" w:rsidR="008715BE" w:rsidRPr="00EC75B7" w:rsidRDefault="00000000">
            <w:pPr>
              <w:pStyle w:val="TableParagraph"/>
              <w:spacing w:before="8"/>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44736677" w14:textId="77777777" w:rsidR="008715BE" w:rsidRPr="00EC75B7" w:rsidRDefault="00000000">
            <w:pPr>
              <w:pStyle w:val="TableParagraph"/>
              <w:spacing w:before="8"/>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1A2EB5BB" w14:textId="77777777" w:rsidR="008715BE" w:rsidRPr="00EC75B7" w:rsidRDefault="00000000">
            <w:pPr>
              <w:pStyle w:val="TableParagraph"/>
              <w:spacing w:before="8"/>
              <w:ind w:left="122" w:right="114"/>
              <w:rPr>
                <w:rFonts w:ascii="Verdana" w:hAnsi="Verdana"/>
                <w:sz w:val="18"/>
                <w:szCs w:val="18"/>
              </w:rPr>
            </w:pPr>
            <w:r w:rsidRPr="00EC75B7">
              <w:rPr>
                <w:rFonts w:ascii="Verdana" w:hAnsi="Verdana"/>
                <w:sz w:val="18"/>
                <w:szCs w:val="18"/>
              </w:rPr>
              <w:t>The activity of making underground electrical connections in a wind farm involves digging cable trenches, laying pipes and electrical cables, handling and transporting materials, as well as connection, testing, and land restoration work. This generates a temporary and localized impact on air quality, mainly due to emissions of particulate matter (PM10 and PM2.5) and gaseous emissions from the operation of machinery and means of transport.</w:t>
            </w:r>
          </w:p>
          <w:p w14:paraId="0CFE79E3" w14:textId="77777777" w:rsidR="008715BE" w:rsidRPr="00EC75B7" w:rsidRDefault="00000000">
            <w:pPr>
              <w:pStyle w:val="TableParagraph"/>
              <w:ind w:left="122" w:right="183"/>
              <w:rPr>
                <w:rFonts w:ascii="Verdana" w:hAnsi="Verdana"/>
                <w:sz w:val="18"/>
                <w:szCs w:val="18"/>
              </w:rPr>
            </w:pPr>
            <w:r w:rsidRPr="00EC75B7">
              <w:rPr>
                <w:rFonts w:ascii="Verdana" w:hAnsi="Verdana"/>
                <w:sz w:val="18"/>
                <w:szCs w:val="18"/>
              </w:rPr>
              <w:t xml:space="preserve">The level of dust and pollutant emissions depends on the level of daily activity and the specific nature of the work, varying substantially from day to day, from one phase of the construction process to another, and depending on </w:t>
            </w:r>
            <w:r w:rsidRPr="00EC75B7">
              <w:rPr>
                <w:rFonts w:ascii="Verdana" w:hAnsi="Verdana"/>
                <w:spacing w:val="-2"/>
                <w:sz w:val="18"/>
                <w:szCs w:val="18"/>
              </w:rPr>
              <w:t>weather</w:t>
            </w:r>
            <w:r w:rsidRPr="00EC75B7">
              <w:rPr>
                <w:rFonts w:ascii="Verdana" w:hAnsi="Verdana"/>
                <w:sz w:val="18"/>
                <w:szCs w:val="18"/>
              </w:rPr>
              <w:t xml:space="preserve"> conditions</w:t>
            </w:r>
            <w:r w:rsidRPr="00EC75B7">
              <w:rPr>
                <w:rFonts w:ascii="Verdana" w:hAnsi="Verdana"/>
                <w:spacing w:val="-2"/>
                <w:sz w:val="18"/>
                <w:szCs w:val="18"/>
              </w:rPr>
              <w:t>.</w:t>
            </w:r>
          </w:p>
          <w:p w14:paraId="1996C0B9" w14:textId="77777777" w:rsidR="008715BE" w:rsidRPr="00EC75B7" w:rsidRDefault="00000000">
            <w:pPr>
              <w:pStyle w:val="TableParagraph"/>
              <w:ind w:left="122" w:right="183"/>
              <w:rPr>
                <w:rFonts w:ascii="Verdana" w:hAnsi="Verdana"/>
                <w:sz w:val="18"/>
                <w:szCs w:val="18"/>
              </w:rPr>
            </w:pPr>
            <w:r w:rsidRPr="00EC75B7">
              <w:rPr>
                <w:rFonts w:ascii="Verdana" w:hAnsi="Verdana"/>
                <w:sz w:val="18"/>
                <w:szCs w:val="18"/>
              </w:rPr>
              <w:t>Considering that the works are carried out in stages (</w:t>
            </w:r>
            <w:r w:rsidRPr="00EC75B7">
              <w:rPr>
                <w:rFonts w:ascii="Verdana" w:hAnsi="Verdana"/>
                <w:spacing w:val="-2"/>
                <w:sz w:val="18"/>
                <w:szCs w:val="18"/>
              </w:rPr>
              <w:t>road</w:t>
            </w:r>
            <w:r w:rsidRPr="00EC75B7">
              <w:rPr>
                <w:rFonts w:ascii="Verdana" w:hAnsi="Verdana"/>
                <w:sz w:val="18"/>
                <w:szCs w:val="18"/>
              </w:rPr>
              <w:t xml:space="preserve"> construction</w:t>
            </w:r>
            <w:r w:rsidRPr="00EC75B7">
              <w:rPr>
                <w:rFonts w:ascii="Verdana" w:hAnsi="Verdana"/>
                <w:spacing w:val="-2"/>
                <w:sz w:val="18"/>
                <w:szCs w:val="18"/>
              </w:rPr>
              <w:t>, earthworks, foundation construction, turbine installation)</w:t>
            </w:r>
            <w:r w:rsidRPr="00EC75B7">
              <w:rPr>
                <w:rFonts w:ascii="Verdana" w:hAnsi="Verdana"/>
                <w:sz w:val="18"/>
                <w:szCs w:val="18"/>
              </w:rPr>
              <w:t>, it can be estimated that this environmental factor will not be significantly affected, the potential impact being temporary, felt locally, and generally limited to the perimeter</w:t>
            </w:r>
          </w:p>
          <w:p w14:paraId="476C4915" w14:textId="77777777" w:rsidR="008715BE" w:rsidRPr="00EC75B7" w:rsidRDefault="00000000">
            <w:pPr>
              <w:pStyle w:val="TableParagraph"/>
              <w:spacing w:line="161" w:lineRule="exact"/>
              <w:ind w:left="122"/>
              <w:rPr>
                <w:rFonts w:ascii="Verdana" w:hAnsi="Verdana"/>
                <w:sz w:val="18"/>
                <w:szCs w:val="18"/>
              </w:rPr>
            </w:pPr>
            <w:r w:rsidRPr="00EC75B7">
              <w:rPr>
                <w:rFonts w:ascii="Verdana" w:hAnsi="Verdana"/>
                <w:sz w:val="18"/>
                <w:szCs w:val="18"/>
              </w:rPr>
              <w:t xml:space="preserve">of the sites and </w:t>
            </w:r>
            <w:r w:rsidRPr="00EC75B7">
              <w:rPr>
                <w:rFonts w:ascii="Verdana" w:hAnsi="Verdana"/>
                <w:spacing w:val="-2"/>
                <w:sz w:val="18"/>
                <w:szCs w:val="18"/>
              </w:rPr>
              <w:t xml:space="preserve">work </w:t>
            </w:r>
            <w:r w:rsidRPr="00EC75B7">
              <w:rPr>
                <w:rFonts w:ascii="Verdana" w:hAnsi="Verdana"/>
                <w:sz w:val="18"/>
                <w:szCs w:val="18"/>
              </w:rPr>
              <w:t>fronts</w:t>
            </w:r>
            <w:r w:rsidRPr="00EC75B7">
              <w:rPr>
                <w:rFonts w:ascii="Verdana" w:hAnsi="Verdana"/>
                <w:spacing w:val="-2"/>
                <w:sz w:val="18"/>
                <w:szCs w:val="18"/>
              </w:rPr>
              <w:t>.</w:t>
            </w:r>
          </w:p>
        </w:tc>
      </w:tr>
      <w:tr w:rsidR="008715BE" w:rsidRPr="00EC75B7" w14:paraId="6BCDC093" w14:textId="77777777">
        <w:trPr>
          <w:trHeight w:val="388"/>
        </w:trPr>
        <w:tc>
          <w:tcPr>
            <w:tcW w:w="725" w:type="dxa"/>
            <w:vMerge/>
            <w:tcBorders>
              <w:top w:val="nil"/>
            </w:tcBorders>
          </w:tcPr>
          <w:p w14:paraId="4A9099D6" w14:textId="77777777" w:rsidR="008715BE" w:rsidRPr="00EC75B7" w:rsidRDefault="008715BE">
            <w:pPr>
              <w:rPr>
                <w:rFonts w:ascii="Verdana" w:hAnsi="Verdana"/>
                <w:sz w:val="18"/>
                <w:szCs w:val="18"/>
              </w:rPr>
            </w:pPr>
          </w:p>
        </w:tc>
        <w:tc>
          <w:tcPr>
            <w:tcW w:w="2414" w:type="dxa"/>
          </w:tcPr>
          <w:p w14:paraId="286A8FDE"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Construction </w:t>
            </w:r>
            <w:r w:rsidRPr="00EC75B7">
              <w:rPr>
                <w:rFonts w:ascii="Verdana" w:hAnsi="Verdana"/>
                <w:b/>
                <w:spacing w:val="-2"/>
                <w:sz w:val="18"/>
                <w:szCs w:val="18"/>
              </w:rPr>
              <w:t xml:space="preserve">site </w:t>
            </w:r>
            <w:r w:rsidRPr="00EC75B7">
              <w:rPr>
                <w:rFonts w:ascii="Verdana" w:hAnsi="Verdana"/>
                <w:b/>
                <w:sz w:val="18"/>
                <w:szCs w:val="18"/>
              </w:rPr>
              <w:t>traffic</w:t>
            </w:r>
          </w:p>
        </w:tc>
        <w:tc>
          <w:tcPr>
            <w:tcW w:w="2112" w:type="dxa"/>
          </w:tcPr>
          <w:p w14:paraId="1B1E0B6C"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6AA8E48E"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6C550FDF"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164EDA9F" w14:textId="77777777" w:rsidR="008715BE" w:rsidRPr="00EC75B7" w:rsidRDefault="00000000">
            <w:pPr>
              <w:pStyle w:val="TableParagraph"/>
              <w:spacing w:before="8"/>
              <w:ind w:right="70"/>
              <w:jc w:val="center"/>
              <w:rPr>
                <w:rFonts w:ascii="Verdana" w:hAnsi="Verdana"/>
                <w:sz w:val="18"/>
                <w:szCs w:val="18"/>
              </w:rPr>
            </w:pPr>
            <w:r w:rsidRPr="00EC75B7">
              <w:rPr>
                <w:rFonts w:ascii="Verdana" w:hAnsi="Verdana"/>
                <w:spacing w:val="-2"/>
                <w:sz w:val="18"/>
                <w:szCs w:val="18"/>
              </w:rPr>
              <w:t>Negative</w:t>
            </w:r>
          </w:p>
        </w:tc>
        <w:tc>
          <w:tcPr>
            <w:tcW w:w="971" w:type="dxa"/>
          </w:tcPr>
          <w:p w14:paraId="6A25BBEF"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Direct</w:t>
            </w:r>
          </w:p>
        </w:tc>
        <w:tc>
          <w:tcPr>
            <w:tcW w:w="604" w:type="dxa"/>
          </w:tcPr>
          <w:p w14:paraId="44A7A62D" w14:textId="77777777" w:rsidR="008715BE" w:rsidRPr="00EC75B7" w:rsidRDefault="00000000">
            <w:pPr>
              <w:pStyle w:val="TableParagraph"/>
              <w:spacing w:before="8"/>
              <w:ind w:left="111"/>
              <w:rPr>
                <w:rFonts w:ascii="Verdana" w:hAnsi="Verdana"/>
                <w:sz w:val="18"/>
                <w:szCs w:val="18"/>
              </w:rPr>
            </w:pPr>
            <w:r w:rsidRPr="00EC75B7">
              <w:rPr>
                <w:rFonts w:ascii="Verdana" w:hAnsi="Verdana"/>
                <w:spacing w:val="-5"/>
                <w:sz w:val="18"/>
                <w:szCs w:val="18"/>
              </w:rPr>
              <w:t>Yes</w:t>
            </w:r>
          </w:p>
        </w:tc>
        <w:tc>
          <w:tcPr>
            <w:tcW w:w="1184" w:type="dxa"/>
          </w:tcPr>
          <w:p w14:paraId="6E9EEAD4" w14:textId="77777777" w:rsidR="008715BE" w:rsidRPr="00EC75B7" w:rsidRDefault="00000000">
            <w:pPr>
              <w:pStyle w:val="TableParagraph"/>
              <w:spacing w:before="8"/>
              <w:ind w:left="112"/>
              <w:rPr>
                <w:rFonts w:ascii="Verdana" w:hAnsi="Verdana"/>
                <w:sz w:val="18"/>
                <w:szCs w:val="18"/>
              </w:rPr>
            </w:pPr>
            <w:r w:rsidRPr="00EC75B7">
              <w:rPr>
                <w:rFonts w:ascii="Verdana" w:hAnsi="Verdana"/>
                <w:spacing w:val="-2"/>
                <w:sz w:val="18"/>
                <w:szCs w:val="18"/>
              </w:rPr>
              <w:t>Short</w:t>
            </w:r>
          </w:p>
        </w:tc>
        <w:tc>
          <w:tcPr>
            <w:tcW w:w="1246" w:type="dxa"/>
          </w:tcPr>
          <w:p w14:paraId="61A3C917" w14:textId="77777777" w:rsidR="008715BE" w:rsidRPr="00EC75B7" w:rsidRDefault="00000000">
            <w:pPr>
              <w:pStyle w:val="TableParagraph"/>
              <w:spacing w:before="8"/>
              <w:ind w:left="114"/>
              <w:rPr>
                <w:rFonts w:ascii="Verdana" w:hAnsi="Verdana"/>
                <w:sz w:val="18"/>
                <w:szCs w:val="18"/>
              </w:rPr>
            </w:pPr>
            <w:r w:rsidRPr="00EC75B7">
              <w:rPr>
                <w:rFonts w:ascii="Verdana" w:hAnsi="Verdana"/>
                <w:spacing w:val="-2"/>
                <w:sz w:val="18"/>
                <w:szCs w:val="18"/>
              </w:rPr>
              <w:t>Intermittent</w:t>
            </w:r>
          </w:p>
        </w:tc>
        <w:tc>
          <w:tcPr>
            <w:tcW w:w="920" w:type="dxa"/>
          </w:tcPr>
          <w:p w14:paraId="63665DC8" w14:textId="77777777" w:rsidR="008715BE" w:rsidRPr="00EC75B7" w:rsidRDefault="00000000">
            <w:pPr>
              <w:pStyle w:val="TableParagraph"/>
              <w:spacing w:before="8"/>
              <w:ind w:left="116"/>
              <w:rPr>
                <w:rFonts w:ascii="Verdana" w:hAnsi="Verdana"/>
                <w:sz w:val="18"/>
                <w:szCs w:val="18"/>
              </w:rPr>
            </w:pPr>
            <w:r w:rsidRPr="00EC75B7">
              <w:rPr>
                <w:rFonts w:ascii="Verdana" w:hAnsi="Verdana"/>
                <w:spacing w:val="-2"/>
                <w:sz w:val="18"/>
                <w:szCs w:val="18"/>
              </w:rPr>
              <w:t>Local</w:t>
            </w:r>
          </w:p>
        </w:tc>
        <w:tc>
          <w:tcPr>
            <w:tcW w:w="1182" w:type="dxa"/>
          </w:tcPr>
          <w:p w14:paraId="6928A71B" w14:textId="77777777" w:rsidR="008715BE" w:rsidRPr="00EC75B7" w:rsidRDefault="00000000">
            <w:pPr>
              <w:pStyle w:val="TableParagraph"/>
              <w:spacing w:before="8"/>
              <w:ind w:left="117"/>
              <w:rPr>
                <w:rFonts w:ascii="Verdana" w:hAnsi="Verdana"/>
                <w:sz w:val="18"/>
                <w:szCs w:val="18"/>
              </w:rPr>
            </w:pPr>
            <w:r w:rsidRPr="00EC75B7">
              <w:rPr>
                <w:rFonts w:ascii="Verdana" w:hAnsi="Verdana"/>
                <w:spacing w:val="-2"/>
                <w:sz w:val="18"/>
                <w:szCs w:val="18"/>
              </w:rPr>
              <w:t>Probable</w:t>
            </w:r>
          </w:p>
        </w:tc>
        <w:tc>
          <w:tcPr>
            <w:tcW w:w="1093" w:type="dxa"/>
          </w:tcPr>
          <w:p w14:paraId="579FB4C3" w14:textId="77777777" w:rsidR="008715BE" w:rsidRPr="00EC75B7" w:rsidRDefault="00000000">
            <w:pPr>
              <w:pStyle w:val="TableParagraph"/>
              <w:spacing w:before="8"/>
              <w:ind w:right="62"/>
              <w:jc w:val="center"/>
              <w:rPr>
                <w:rFonts w:ascii="Verdana" w:hAnsi="Verdana"/>
                <w:sz w:val="18"/>
                <w:szCs w:val="18"/>
              </w:rPr>
            </w:pPr>
            <w:r w:rsidRPr="00EC75B7">
              <w:rPr>
                <w:rFonts w:ascii="Verdana" w:hAnsi="Verdana"/>
                <w:spacing w:val="-2"/>
                <w:sz w:val="18"/>
                <w:szCs w:val="18"/>
              </w:rPr>
              <w:t>Reversible</w:t>
            </w:r>
          </w:p>
        </w:tc>
        <w:tc>
          <w:tcPr>
            <w:tcW w:w="1537" w:type="dxa"/>
          </w:tcPr>
          <w:p w14:paraId="24E683A5" w14:textId="77777777" w:rsidR="008715BE" w:rsidRPr="00EC75B7" w:rsidRDefault="00000000">
            <w:pPr>
              <w:pStyle w:val="TableParagraph"/>
              <w:spacing w:before="8"/>
              <w:ind w:right="105"/>
              <w:jc w:val="center"/>
              <w:rPr>
                <w:rFonts w:ascii="Verdana" w:hAnsi="Verdana"/>
                <w:sz w:val="18"/>
                <w:szCs w:val="18"/>
              </w:rPr>
            </w:pPr>
            <w:r w:rsidRPr="00EC75B7">
              <w:rPr>
                <w:rFonts w:ascii="Verdana" w:hAnsi="Verdana"/>
                <w:spacing w:val="-2"/>
                <w:sz w:val="18"/>
                <w:szCs w:val="18"/>
              </w:rPr>
              <w:t>Insignificant</w:t>
            </w:r>
          </w:p>
        </w:tc>
        <w:tc>
          <w:tcPr>
            <w:tcW w:w="5056" w:type="dxa"/>
          </w:tcPr>
          <w:p w14:paraId="3A550C83" w14:textId="77777777" w:rsidR="008715BE" w:rsidRPr="00EC75B7" w:rsidRDefault="00000000">
            <w:pPr>
              <w:pStyle w:val="TableParagraph"/>
              <w:spacing w:line="194" w:lineRule="exact"/>
              <w:ind w:left="122" w:right="89"/>
              <w:rPr>
                <w:rFonts w:ascii="Verdana" w:hAnsi="Verdana"/>
                <w:sz w:val="18"/>
                <w:szCs w:val="18"/>
              </w:rPr>
            </w:pPr>
            <w:r w:rsidRPr="00EC75B7">
              <w:rPr>
                <w:rFonts w:ascii="Verdana" w:hAnsi="Verdana"/>
                <w:sz w:val="18"/>
                <w:szCs w:val="18"/>
              </w:rPr>
              <w:t>Construction traffic generated by work on the wind farm, including the movement of machinery</w:t>
            </w:r>
          </w:p>
        </w:tc>
      </w:tr>
    </w:tbl>
    <w:p w14:paraId="4F61B014" w14:textId="77777777" w:rsidR="008715BE" w:rsidRPr="00EC75B7" w:rsidRDefault="008715BE">
      <w:pPr>
        <w:pStyle w:val="TableParagraph"/>
        <w:spacing w:line="194" w:lineRule="exact"/>
        <w:rPr>
          <w:rFonts w:ascii="Verdana" w:hAnsi="Verdana"/>
          <w:sz w:val="18"/>
          <w:szCs w:val="18"/>
        </w:rPr>
        <w:sectPr w:rsidR="008715BE" w:rsidRPr="00EC75B7">
          <w:headerReference w:type="default" r:id="rId215"/>
          <w:footerReference w:type="default" r:id="rId216"/>
          <w:pgSz w:w="23820" w:h="16840" w:orient="landscape"/>
          <w:pgMar w:top="1040" w:right="425" w:bottom="1020" w:left="1700" w:header="777" w:footer="824" w:gutter="0"/>
          <w:pgNumType w:start="200"/>
          <w:cols w:space="708"/>
        </w:sectPr>
      </w:pPr>
    </w:p>
    <w:p w14:paraId="71ACBFA9" w14:textId="77777777" w:rsidR="008715BE" w:rsidRPr="00EC75B7" w:rsidRDefault="008715BE">
      <w:pPr>
        <w:pStyle w:val="BodyText"/>
        <w:spacing w:after="1"/>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8715BE" w:rsidRPr="00EC75B7" w14:paraId="506FD8EF" w14:textId="77777777">
        <w:trPr>
          <w:trHeight w:val="1550"/>
        </w:trPr>
        <w:tc>
          <w:tcPr>
            <w:tcW w:w="725" w:type="dxa"/>
            <w:shd w:val="clear" w:color="auto" w:fill="00AFEF"/>
          </w:tcPr>
          <w:p w14:paraId="0B41B2C7" w14:textId="77777777" w:rsidR="008715BE" w:rsidRPr="00EC75B7" w:rsidRDefault="008715BE">
            <w:pPr>
              <w:pStyle w:val="TableParagraph"/>
              <w:rPr>
                <w:rFonts w:ascii="Verdana" w:hAnsi="Verdana"/>
                <w:b/>
                <w:sz w:val="18"/>
                <w:szCs w:val="18"/>
              </w:rPr>
            </w:pPr>
          </w:p>
          <w:p w14:paraId="727443D9" w14:textId="77777777" w:rsidR="008715BE" w:rsidRPr="00EC75B7" w:rsidRDefault="008715BE">
            <w:pPr>
              <w:pStyle w:val="TableParagraph"/>
              <w:rPr>
                <w:rFonts w:ascii="Verdana" w:hAnsi="Verdana"/>
                <w:b/>
                <w:sz w:val="18"/>
                <w:szCs w:val="18"/>
              </w:rPr>
            </w:pPr>
          </w:p>
          <w:p w14:paraId="715BC794" w14:textId="77777777" w:rsidR="008715BE" w:rsidRPr="00EC75B7" w:rsidRDefault="008715BE">
            <w:pPr>
              <w:pStyle w:val="TableParagraph"/>
              <w:spacing w:before="101"/>
              <w:rPr>
                <w:rFonts w:ascii="Verdana" w:hAnsi="Verdana"/>
                <w:b/>
                <w:sz w:val="18"/>
                <w:szCs w:val="18"/>
              </w:rPr>
            </w:pPr>
          </w:p>
          <w:p w14:paraId="69045A65"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414" w:type="dxa"/>
            <w:shd w:val="clear" w:color="auto" w:fill="00AFEF"/>
          </w:tcPr>
          <w:p w14:paraId="670CC89A" w14:textId="77777777" w:rsidR="008715BE" w:rsidRPr="00EC75B7" w:rsidRDefault="008715BE">
            <w:pPr>
              <w:pStyle w:val="TableParagraph"/>
              <w:rPr>
                <w:rFonts w:ascii="Verdana" w:hAnsi="Verdana"/>
                <w:b/>
                <w:sz w:val="18"/>
                <w:szCs w:val="18"/>
              </w:rPr>
            </w:pPr>
          </w:p>
          <w:p w14:paraId="7078BC12" w14:textId="77777777" w:rsidR="008715BE" w:rsidRPr="00EC75B7" w:rsidRDefault="008715BE">
            <w:pPr>
              <w:pStyle w:val="TableParagraph"/>
              <w:rPr>
                <w:rFonts w:ascii="Verdana" w:hAnsi="Verdana"/>
                <w:b/>
                <w:sz w:val="18"/>
                <w:szCs w:val="18"/>
              </w:rPr>
            </w:pPr>
          </w:p>
          <w:p w14:paraId="62D3EF9B" w14:textId="77777777" w:rsidR="008715BE" w:rsidRPr="00EC75B7" w:rsidRDefault="008715BE">
            <w:pPr>
              <w:pStyle w:val="TableParagraph"/>
              <w:spacing w:before="101"/>
              <w:rPr>
                <w:rFonts w:ascii="Verdana" w:hAnsi="Verdana"/>
                <w:b/>
                <w:sz w:val="18"/>
                <w:szCs w:val="18"/>
              </w:rPr>
            </w:pPr>
          </w:p>
          <w:p w14:paraId="779BEAE4" w14:textId="77777777" w:rsidR="008715BE" w:rsidRPr="00EC75B7" w:rsidRDefault="00000000">
            <w:pPr>
              <w:pStyle w:val="TableParagraph"/>
              <w:spacing w:before="1"/>
              <w:ind w:left="216"/>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112" w:type="dxa"/>
            <w:shd w:val="clear" w:color="auto" w:fill="00AFEF"/>
          </w:tcPr>
          <w:p w14:paraId="338F2803" w14:textId="77777777" w:rsidR="008715BE" w:rsidRPr="00EC75B7" w:rsidRDefault="008715BE">
            <w:pPr>
              <w:pStyle w:val="TableParagraph"/>
              <w:rPr>
                <w:rFonts w:ascii="Verdana" w:hAnsi="Verdana"/>
                <w:b/>
                <w:sz w:val="18"/>
                <w:szCs w:val="18"/>
              </w:rPr>
            </w:pPr>
          </w:p>
          <w:p w14:paraId="15FEC63F" w14:textId="77777777" w:rsidR="008715BE" w:rsidRPr="00EC75B7" w:rsidRDefault="008715BE">
            <w:pPr>
              <w:pStyle w:val="TableParagraph"/>
              <w:rPr>
                <w:rFonts w:ascii="Verdana" w:hAnsi="Verdana"/>
                <w:b/>
                <w:sz w:val="18"/>
                <w:szCs w:val="18"/>
              </w:rPr>
            </w:pPr>
          </w:p>
          <w:p w14:paraId="6A08197A" w14:textId="77777777" w:rsidR="008715BE" w:rsidRPr="00EC75B7" w:rsidRDefault="008715BE">
            <w:pPr>
              <w:pStyle w:val="TableParagraph"/>
              <w:spacing w:before="101"/>
              <w:rPr>
                <w:rFonts w:ascii="Verdana" w:hAnsi="Verdana"/>
                <w:b/>
                <w:sz w:val="18"/>
                <w:szCs w:val="18"/>
              </w:rPr>
            </w:pPr>
          </w:p>
          <w:p w14:paraId="53C65F2C" w14:textId="77777777" w:rsidR="008715BE" w:rsidRPr="00EC75B7" w:rsidRDefault="00000000">
            <w:pPr>
              <w:pStyle w:val="TableParagraph"/>
              <w:spacing w:before="1"/>
              <w:ind w:left="11"/>
              <w:jc w:val="center"/>
              <w:rPr>
                <w:rFonts w:ascii="Verdana" w:hAnsi="Verdana"/>
                <w:b/>
                <w:sz w:val="18"/>
                <w:szCs w:val="18"/>
              </w:rPr>
            </w:pPr>
            <w:r w:rsidRPr="00EC75B7">
              <w:rPr>
                <w:rFonts w:ascii="Verdana" w:hAnsi="Verdana"/>
                <w:b/>
                <w:color w:val="FFFFFF"/>
                <w:spacing w:val="-2"/>
                <w:sz w:val="18"/>
                <w:szCs w:val="18"/>
              </w:rPr>
              <w:t>Effects</w:t>
            </w:r>
          </w:p>
        </w:tc>
        <w:tc>
          <w:tcPr>
            <w:tcW w:w="1473" w:type="dxa"/>
            <w:shd w:val="clear" w:color="auto" w:fill="00AFEF"/>
          </w:tcPr>
          <w:p w14:paraId="7C3DEC81" w14:textId="77777777" w:rsidR="008715BE" w:rsidRPr="00EC75B7" w:rsidRDefault="008715BE">
            <w:pPr>
              <w:pStyle w:val="TableParagraph"/>
              <w:rPr>
                <w:rFonts w:ascii="Verdana" w:hAnsi="Verdana"/>
                <w:b/>
                <w:sz w:val="18"/>
                <w:szCs w:val="18"/>
              </w:rPr>
            </w:pPr>
          </w:p>
          <w:p w14:paraId="6EA702AD" w14:textId="77777777" w:rsidR="008715BE" w:rsidRPr="00EC75B7" w:rsidRDefault="008715BE">
            <w:pPr>
              <w:pStyle w:val="TableParagraph"/>
              <w:spacing w:before="102"/>
              <w:rPr>
                <w:rFonts w:ascii="Verdana" w:hAnsi="Verdana"/>
                <w:b/>
                <w:sz w:val="18"/>
                <w:szCs w:val="18"/>
              </w:rPr>
            </w:pPr>
          </w:p>
          <w:p w14:paraId="181EA3C2" w14:textId="77777777" w:rsidR="008715BE" w:rsidRPr="00EC75B7" w:rsidRDefault="00000000">
            <w:pPr>
              <w:pStyle w:val="TableParagraph"/>
              <w:spacing w:before="1"/>
              <w:ind w:left="20" w:right="7"/>
              <w:jc w:val="center"/>
              <w:rPr>
                <w:rFonts w:ascii="Verdana" w:hAnsi="Verdana"/>
                <w:b/>
                <w:sz w:val="18"/>
                <w:szCs w:val="18"/>
              </w:rPr>
            </w:pPr>
            <w:r w:rsidRPr="00EC75B7">
              <w:rPr>
                <w:rFonts w:ascii="Verdana" w:hAnsi="Verdana"/>
                <w:b/>
                <w:color w:val="FFFFFF"/>
                <w:spacing w:val="-2"/>
                <w:sz w:val="18"/>
                <w:szCs w:val="18"/>
              </w:rPr>
              <w:t>Potential forms of impact</w:t>
            </w:r>
          </w:p>
        </w:tc>
        <w:tc>
          <w:tcPr>
            <w:tcW w:w="1012" w:type="dxa"/>
            <w:shd w:val="clear" w:color="auto" w:fill="00AFEF"/>
            <w:textDirection w:val="btLr"/>
          </w:tcPr>
          <w:p w14:paraId="6A7CF528" w14:textId="77777777" w:rsidR="008715BE" w:rsidRPr="00EC75B7" w:rsidRDefault="008715BE">
            <w:pPr>
              <w:pStyle w:val="TableParagraph"/>
              <w:rPr>
                <w:rFonts w:ascii="Verdana" w:hAnsi="Verdana"/>
                <w:b/>
                <w:sz w:val="18"/>
                <w:szCs w:val="18"/>
              </w:rPr>
            </w:pPr>
          </w:p>
          <w:p w14:paraId="56D5FBC3" w14:textId="77777777" w:rsidR="008715BE" w:rsidRPr="00EC75B7" w:rsidRDefault="008715BE">
            <w:pPr>
              <w:pStyle w:val="TableParagraph"/>
              <w:spacing w:before="29"/>
              <w:rPr>
                <w:rFonts w:ascii="Verdana" w:hAnsi="Verdana"/>
                <w:b/>
                <w:sz w:val="18"/>
                <w:szCs w:val="18"/>
              </w:rPr>
            </w:pPr>
          </w:p>
          <w:p w14:paraId="6A2847D2" w14:textId="77777777" w:rsidR="008715BE" w:rsidRPr="00EC75B7" w:rsidRDefault="00000000">
            <w:pPr>
              <w:pStyle w:val="TableParagraph"/>
              <w:spacing w:before="1"/>
              <w:ind w:left="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1" w:type="dxa"/>
            <w:shd w:val="clear" w:color="auto" w:fill="00AFEF"/>
            <w:textDirection w:val="btLr"/>
          </w:tcPr>
          <w:p w14:paraId="26583748" w14:textId="77777777" w:rsidR="008715BE" w:rsidRPr="00EC75B7" w:rsidRDefault="008715BE">
            <w:pPr>
              <w:pStyle w:val="TableParagraph"/>
              <w:spacing w:before="105"/>
              <w:rPr>
                <w:rFonts w:ascii="Verdana" w:hAnsi="Verdana"/>
                <w:b/>
                <w:sz w:val="18"/>
                <w:szCs w:val="18"/>
              </w:rPr>
            </w:pPr>
          </w:p>
          <w:p w14:paraId="214D7F87" w14:textId="77777777" w:rsidR="008715BE" w:rsidRPr="00EC75B7" w:rsidRDefault="00000000">
            <w:pPr>
              <w:pStyle w:val="TableParagraph"/>
              <w:spacing w:before="1" w:line="244" w:lineRule="auto"/>
              <w:ind w:left="299" w:right="296" w:firstLine="165"/>
              <w:rPr>
                <w:rFonts w:ascii="Verdana" w:hAnsi="Verdana"/>
                <w:b/>
                <w:sz w:val="18"/>
                <w:szCs w:val="18"/>
              </w:rPr>
            </w:pPr>
            <w:r w:rsidRPr="00EC75B7">
              <w:rPr>
                <w:rFonts w:ascii="Verdana" w:hAnsi="Verdana"/>
                <w:b/>
                <w:color w:val="FFFFFF"/>
                <w:spacing w:val="-2"/>
                <w:sz w:val="18"/>
                <w:szCs w:val="18"/>
              </w:rPr>
              <w:t>Nature of impact</w:t>
            </w:r>
          </w:p>
        </w:tc>
        <w:tc>
          <w:tcPr>
            <w:tcW w:w="604" w:type="dxa"/>
            <w:shd w:val="clear" w:color="auto" w:fill="00AFEF"/>
            <w:textDirection w:val="btLr"/>
          </w:tcPr>
          <w:p w14:paraId="352224A0" w14:textId="77777777" w:rsidR="008715BE" w:rsidRPr="00EC75B7" w:rsidRDefault="00000000">
            <w:pPr>
              <w:pStyle w:val="TableParagraph"/>
              <w:spacing w:before="122"/>
              <w:ind w:left="369"/>
              <w:rPr>
                <w:rFonts w:ascii="Verdana" w:hAnsi="Verdana"/>
                <w:b/>
                <w:sz w:val="18"/>
                <w:szCs w:val="18"/>
              </w:rPr>
            </w:pPr>
            <w:r w:rsidRPr="00EC75B7">
              <w:rPr>
                <w:rFonts w:ascii="Verdana" w:hAnsi="Verdana"/>
                <w:b/>
                <w:color w:val="FFFFFF"/>
                <w:spacing w:val="-2"/>
                <w:sz w:val="18"/>
                <w:szCs w:val="18"/>
              </w:rPr>
              <w:t>Potential</w:t>
            </w:r>
          </w:p>
          <w:p w14:paraId="79E3EC02" w14:textId="77777777" w:rsidR="008715BE" w:rsidRPr="00EC75B7" w:rsidRDefault="00000000">
            <w:pPr>
              <w:pStyle w:val="TableParagraph"/>
              <w:spacing w:before="4"/>
              <w:ind w:left="330"/>
              <w:rPr>
                <w:rFonts w:ascii="Verdana" w:hAnsi="Verdana"/>
                <w:b/>
                <w:sz w:val="18"/>
                <w:szCs w:val="18"/>
              </w:rPr>
            </w:pPr>
            <w:r w:rsidRPr="00EC75B7">
              <w:rPr>
                <w:rFonts w:ascii="Verdana" w:hAnsi="Verdana"/>
                <w:b/>
                <w:color w:val="FFFFFF"/>
                <w:spacing w:val="-2"/>
                <w:sz w:val="18"/>
                <w:szCs w:val="18"/>
              </w:rPr>
              <w:t>Cumulative</w:t>
            </w:r>
          </w:p>
        </w:tc>
        <w:tc>
          <w:tcPr>
            <w:tcW w:w="1184" w:type="dxa"/>
            <w:shd w:val="clear" w:color="auto" w:fill="00AFEF"/>
            <w:textDirection w:val="btLr"/>
          </w:tcPr>
          <w:p w14:paraId="37E1F96B" w14:textId="77777777" w:rsidR="008715BE" w:rsidRPr="00EC75B7" w:rsidRDefault="008715BE">
            <w:pPr>
              <w:pStyle w:val="TableParagraph"/>
              <w:rPr>
                <w:rFonts w:ascii="Verdana" w:hAnsi="Verdana"/>
                <w:b/>
                <w:sz w:val="18"/>
                <w:szCs w:val="18"/>
              </w:rPr>
            </w:pPr>
          </w:p>
          <w:p w14:paraId="732A5EE7" w14:textId="77777777" w:rsidR="008715BE" w:rsidRPr="00EC75B7" w:rsidRDefault="008715BE">
            <w:pPr>
              <w:pStyle w:val="TableParagraph"/>
              <w:spacing w:before="116"/>
              <w:rPr>
                <w:rFonts w:ascii="Verdana" w:hAnsi="Verdana"/>
                <w:b/>
                <w:sz w:val="18"/>
                <w:szCs w:val="18"/>
              </w:rPr>
            </w:pPr>
          </w:p>
          <w:p w14:paraId="3B87A660" w14:textId="77777777" w:rsidR="008715BE" w:rsidRPr="00EC75B7" w:rsidRDefault="00000000">
            <w:pPr>
              <w:pStyle w:val="TableParagraph"/>
              <w:spacing w:before="1"/>
              <w:ind w:left="467"/>
              <w:rPr>
                <w:rFonts w:ascii="Verdana" w:hAnsi="Verdana"/>
                <w:b/>
                <w:sz w:val="18"/>
                <w:szCs w:val="18"/>
              </w:rPr>
            </w:pPr>
            <w:r w:rsidRPr="00EC75B7">
              <w:rPr>
                <w:rFonts w:ascii="Verdana" w:hAnsi="Verdana"/>
                <w:b/>
                <w:color w:val="FFFFFF"/>
                <w:spacing w:val="-2"/>
                <w:sz w:val="18"/>
                <w:szCs w:val="18"/>
              </w:rPr>
              <w:t>Duration</w:t>
            </w:r>
          </w:p>
        </w:tc>
        <w:tc>
          <w:tcPr>
            <w:tcW w:w="1246" w:type="dxa"/>
            <w:shd w:val="clear" w:color="auto" w:fill="00AFEF"/>
            <w:textDirection w:val="btLr"/>
          </w:tcPr>
          <w:p w14:paraId="5E067E6D" w14:textId="77777777" w:rsidR="008715BE" w:rsidRPr="00EC75B7" w:rsidRDefault="008715BE">
            <w:pPr>
              <w:pStyle w:val="TableParagraph"/>
              <w:rPr>
                <w:rFonts w:ascii="Verdana" w:hAnsi="Verdana"/>
                <w:b/>
                <w:sz w:val="18"/>
                <w:szCs w:val="18"/>
              </w:rPr>
            </w:pPr>
          </w:p>
          <w:p w14:paraId="3A2CF55D" w14:textId="77777777" w:rsidR="008715BE" w:rsidRPr="00EC75B7" w:rsidRDefault="008715BE">
            <w:pPr>
              <w:pStyle w:val="TableParagraph"/>
              <w:spacing w:before="51"/>
              <w:rPr>
                <w:rFonts w:ascii="Verdana" w:hAnsi="Verdana"/>
                <w:b/>
                <w:sz w:val="18"/>
                <w:szCs w:val="18"/>
              </w:rPr>
            </w:pPr>
          </w:p>
          <w:p w14:paraId="69CDBB7D" w14:textId="77777777" w:rsidR="008715BE" w:rsidRPr="00EC75B7" w:rsidRDefault="00000000">
            <w:pPr>
              <w:pStyle w:val="TableParagraph"/>
              <w:spacing w:line="244" w:lineRule="auto"/>
              <w:ind w:left="42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920" w:type="dxa"/>
            <w:shd w:val="clear" w:color="auto" w:fill="00AFEF"/>
            <w:textDirection w:val="btLr"/>
          </w:tcPr>
          <w:p w14:paraId="149E87EC" w14:textId="77777777" w:rsidR="008715BE" w:rsidRPr="00EC75B7" w:rsidRDefault="008715BE">
            <w:pPr>
              <w:pStyle w:val="TableParagraph"/>
              <w:spacing w:before="186"/>
              <w:rPr>
                <w:rFonts w:ascii="Verdana" w:hAnsi="Verdana"/>
                <w:b/>
                <w:sz w:val="18"/>
                <w:szCs w:val="18"/>
              </w:rPr>
            </w:pPr>
          </w:p>
          <w:p w14:paraId="20D13696" w14:textId="77777777" w:rsidR="008715BE" w:rsidRPr="00EC75B7" w:rsidRDefault="00000000">
            <w:pPr>
              <w:pStyle w:val="TableParagraph"/>
              <w:ind w:left="290"/>
              <w:rPr>
                <w:rFonts w:ascii="Verdana" w:hAnsi="Verdana"/>
                <w:b/>
                <w:sz w:val="18"/>
                <w:szCs w:val="18"/>
              </w:rPr>
            </w:pPr>
            <w:r w:rsidRPr="00EC75B7">
              <w:rPr>
                <w:rFonts w:ascii="Verdana" w:hAnsi="Verdana"/>
                <w:b/>
                <w:color w:val="FFFFFF"/>
                <w:spacing w:val="-2"/>
                <w:sz w:val="18"/>
                <w:szCs w:val="18"/>
              </w:rPr>
              <w:t>Extent</w:t>
            </w:r>
          </w:p>
        </w:tc>
        <w:tc>
          <w:tcPr>
            <w:tcW w:w="1182" w:type="dxa"/>
            <w:shd w:val="clear" w:color="auto" w:fill="00AFEF"/>
            <w:textDirection w:val="btLr"/>
          </w:tcPr>
          <w:p w14:paraId="1527E7C5" w14:textId="77777777" w:rsidR="008715BE" w:rsidRPr="00EC75B7" w:rsidRDefault="008715BE">
            <w:pPr>
              <w:pStyle w:val="TableParagraph"/>
              <w:rPr>
                <w:rFonts w:ascii="Verdana" w:hAnsi="Verdana"/>
                <w:b/>
                <w:sz w:val="18"/>
                <w:szCs w:val="18"/>
              </w:rPr>
            </w:pPr>
          </w:p>
          <w:p w14:paraId="36F32AC9" w14:textId="77777777" w:rsidR="008715BE" w:rsidRPr="00EC75B7" w:rsidRDefault="008715BE">
            <w:pPr>
              <w:pStyle w:val="TableParagraph"/>
              <w:spacing w:before="122"/>
              <w:rPr>
                <w:rFonts w:ascii="Verdana" w:hAnsi="Verdana"/>
                <w:b/>
                <w:sz w:val="18"/>
                <w:szCs w:val="18"/>
              </w:rPr>
            </w:pPr>
          </w:p>
          <w:p w14:paraId="29BD4008" w14:textId="77777777" w:rsidR="008715BE" w:rsidRPr="00EC75B7" w:rsidRDefault="00000000">
            <w:pPr>
              <w:pStyle w:val="TableParagraph"/>
              <w:ind w:left="141"/>
              <w:rPr>
                <w:rFonts w:ascii="Verdana" w:hAnsi="Verdana"/>
                <w:b/>
                <w:sz w:val="18"/>
                <w:szCs w:val="18"/>
              </w:rPr>
            </w:pPr>
            <w:r w:rsidRPr="00EC75B7">
              <w:rPr>
                <w:rFonts w:ascii="Verdana" w:hAnsi="Verdana"/>
                <w:b/>
                <w:color w:val="FFFFFF"/>
                <w:spacing w:val="-2"/>
                <w:sz w:val="18"/>
                <w:szCs w:val="18"/>
              </w:rPr>
              <w:t>Probability</w:t>
            </w:r>
          </w:p>
        </w:tc>
        <w:tc>
          <w:tcPr>
            <w:tcW w:w="1093" w:type="dxa"/>
            <w:shd w:val="clear" w:color="auto" w:fill="00AFEF"/>
            <w:textDirection w:val="btLr"/>
          </w:tcPr>
          <w:p w14:paraId="5C4E32AB" w14:textId="77777777" w:rsidR="008715BE" w:rsidRPr="00EC75B7" w:rsidRDefault="008715BE">
            <w:pPr>
              <w:pStyle w:val="TableParagraph"/>
              <w:rPr>
                <w:rFonts w:ascii="Verdana" w:hAnsi="Verdana"/>
                <w:b/>
                <w:sz w:val="18"/>
                <w:szCs w:val="18"/>
              </w:rPr>
            </w:pPr>
          </w:p>
          <w:p w14:paraId="3EFABA10" w14:textId="77777777" w:rsidR="008715BE" w:rsidRPr="00EC75B7" w:rsidRDefault="008715BE">
            <w:pPr>
              <w:pStyle w:val="TableParagraph"/>
              <w:spacing w:before="80"/>
              <w:rPr>
                <w:rFonts w:ascii="Verdana" w:hAnsi="Verdana"/>
                <w:b/>
                <w:sz w:val="18"/>
                <w:szCs w:val="18"/>
              </w:rPr>
            </w:pPr>
          </w:p>
          <w:p w14:paraId="33C0DFE4" w14:textId="77777777" w:rsidR="008715BE" w:rsidRPr="00EC75B7" w:rsidRDefault="00000000">
            <w:pPr>
              <w:pStyle w:val="TableParagraph"/>
              <w:ind w:left="66"/>
              <w:rPr>
                <w:rFonts w:ascii="Verdana" w:hAnsi="Verdana"/>
                <w:b/>
                <w:sz w:val="18"/>
                <w:szCs w:val="18"/>
              </w:rPr>
            </w:pPr>
            <w:r w:rsidRPr="00EC75B7">
              <w:rPr>
                <w:rFonts w:ascii="Verdana" w:hAnsi="Verdana"/>
                <w:b/>
                <w:color w:val="FFFFFF"/>
                <w:spacing w:val="-2"/>
                <w:sz w:val="18"/>
                <w:szCs w:val="18"/>
              </w:rPr>
              <w:t>Reversibility</w:t>
            </w:r>
          </w:p>
        </w:tc>
        <w:tc>
          <w:tcPr>
            <w:tcW w:w="1537" w:type="dxa"/>
            <w:shd w:val="clear" w:color="auto" w:fill="00AFEF"/>
            <w:textDirection w:val="btLr"/>
          </w:tcPr>
          <w:p w14:paraId="0959ECC6" w14:textId="77777777" w:rsidR="008715BE" w:rsidRPr="00EC75B7" w:rsidRDefault="008715BE">
            <w:pPr>
              <w:pStyle w:val="TableParagraph"/>
              <w:rPr>
                <w:rFonts w:ascii="Verdana" w:hAnsi="Verdana"/>
                <w:b/>
                <w:sz w:val="18"/>
                <w:szCs w:val="18"/>
              </w:rPr>
            </w:pPr>
          </w:p>
          <w:p w14:paraId="59DD0B38" w14:textId="77777777" w:rsidR="008715BE" w:rsidRPr="00EC75B7" w:rsidRDefault="008715BE">
            <w:pPr>
              <w:pStyle w:val="TableParagraph"/>
              <w:rPr>
                <w:rFonts w:ascii="Verdana" w:hAnsi="Verdana"/>
                <w:b/>
                <w:sz w:val="18"/>
                <w:szCs w:val="18"/>
              </w:rPr>
            </w:pPr>
          </w:p>
          <w:p w14:paraId="10045264" w14:textId="77777777" w:rsidR="008715BE" w:rsidRPr="00EC75B7" w:rsidRDefault="008715BE">
            <w:pPr>
              <w:pStyle w:val="TableParagraph"/>
              <w:spacing w:before="9"/>
              <w:rPr>
                <w:rFonts w:ascii="Verdana" w:hAnsi="Verdana"/>
                <w:b/>
                <w:sz w:val="18"/>
                <w:szCs w:val="18"/>
              </w:rPr>
            </w:pPr>
          </w:p>
          <w:p w14:paraId="10D98126" w14:textId="77777777" w:rsidR="008715BE" w:rsidRPr="00EC75B7" w:rsidRDefault="00000000">
            <w:pPr>
              <w:pStyle w:val="TableParagraph"/>
              <w:ind w:left="215"/>
              <w:rPr>
                <w:rFonts w:ascii="Verdana" w:hAnsi="Verdana"/>
                <w:b/>
                <w:sz w:val="18"/>
                <w:szCs w:val="18"/>
              </w:rPr>
            </w:pPr>
            <w:r w:rsidRPr="00EC75B7">
              <w:rPr>
                <w:rFonts w:ascii="Verdana" w:hAnsi="Verdana"/>
                <w:b/>
                <w:color w:val="FFFFFF"/>
                <w:spacing w:val="-2"/>
                <w:sz w:val="18"/>
                <w:szCs w:val="18"/>
              </w:rPr>
              <w:t>Significance</w:t>
            </w:r>
          </w:p>
          <w:p w14:paraId="033C58D6" w14:textId="77777777" w:rsidR="008715BE" w:rsidRPr="00EC75B7" w:rsidRDefault="00000000">
            <w:pPr>
              <w:pStyle w:val="TableParagraph"/>
              <w:spacing w:before="4"/>
              <w:ind w:left="299"/>
              <w:rPr>
                <w:rFonts w:ascii="Verdana" w:hAnsi="Verdana"/>
                <w:b/>
                <w:sz w:val="18"/>
                <w:szCs w:val="18"/>
              </w:rPr>
            </w:pPr>
            <w:r w:rsidRPr="00EC75B7">
              <w:rPr>
                <w:rFonts w:ascii="Verdana" w:hAnsi="Verdana"/>
                <w:b/>
                <w:color w:val="FFFFFF"/>
                <w:spacing w:val="-2"/>
                <w:sz w:val="18"/>
                <w:szCs w:val="18"/>
              </w:rPr>
              <w:t>of impact</w:t>
            </w:r>
          </w:p>
        </w:tc>
        <w:tc>
          <w:tcPr>
            <w:tcW w:w="5056" w:type="dxa"/>
            <w:shd w:val="clear" w:color="auto" w:fill="00AFEF"/>
          </w:tcPr>
          <w:p w14:paraId="3D28CEE7" w14:textId="77777777" w:rsidR="008715BE" w:rsidRPr="00EC75B7" w:rsidRDefault="008715BE">
            <w:pPr>
              <w:pStyle w:val="TableParagraph"/>
              <w:rPr>
                <w:rFonts w:ascii="Verdana" w:hAnsi="Verdana"/>
                <w:b/>
                <w:sz w:val="18"/>
                <w:szCs w:val="18"/>
              </w:rPr>
            </w:pPr>
          </w:p>
          <w:p w14:paraId="6196407F" w14:textId="77777777" w:rsidR="008715BE" w:rsidRPr="00EC75B7" w:rsidRDefault="008715BE">
            <w:pPr>
              <w:pStyle w:val="TableParagraph"/>
              <w:rPr>
                <w:rFonts w:ascii="Verdana" w:hAnsi="Verdana"/>
                <w:b/>
                <w:sz w:val="18"/>
                <w:szCs w:val="18"/>
              </w:rPr>
            </w:pPr>
          </w:p>
          <w:p w14:paraId="5C352B0A" w14:textId="77777777" w:rsidR="008715BE" w:rsidRPr="00EC75B7" w:rsidRDefault="008715BE">
            <w:pPr>
              <w:pStyle w:val="TableParagraph"/>
              <w:spacing w:before="101"/>
              <w:rPr>
                <w:rFonts w:ascii="Verdana" w:hAnsi="Verdana"/>
                <w:b/>
                <w:sz w:val="18"/>
                <w:szCs w:val="18"/>
              </w:rPr>
            </w:pPr>
          </w:p>
          <w:p w14:paraId="7EC115D7" w14:textId="77777777" w:rsidR="008715BE" w:rsidRPr="00EC75B7" w:rsidRDefault="00000000">
            <w:pPr>
              <w:pStyle w:val="TableParagraph"/>
              <w:spacing w:before="1"/>
              <w:ind w:left="3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3743D38E" w14:textId="77777777">
        <w:trPr>
          <w:trHeight w:val="4085"/>
        </w:trPr>
        <w:tc>
          <w:tcPr>
            <w:tcW w:w="725" w:type="dxa"/>
            <w:vMerge w:val="restart"/>
          </w:tcPr>
          <w:p w14:paraId="6DE21E2A" w14:textId="77777777" w:rsidR="008715BE" w:rsidRPr="00EC75B7" w:rsidRDefault="008715BE">
            <w:pPr>
              <w:pStyle w:val="TableParagraph"/>
              <w:rPr>
                <w:rFonts w:ascii="Verdana" w:hAnsi="Verdana"/>
                <w:sz w:val="18"/>
                <w:szCs w:val="18"/>
              </w:rPr>
            </w:pPr>
          </w:p>
        </w:tc>
        <w:tc>
          <w:tcPr>
            <w:tcW w:w="2414" w:type="dxa"/>
          </w:tcPr>
          <w:p w14:paraId="16AC2D31" w14:textId="77777777" w:rsidR="008715BE" w:rsidRPr="00EC75B7" w:rsidRDefault="008715BE">
            <w:pPr>
              <w:pStyle w:val="TableParagraph"/>
              <w:rPr>
                <w:rFonts w:ascii="Verdana" w:hAnsi="Verdana"/>
                <w:sz w:val="18"/>
                <w:szCs w:val="18"/>
              </w:rPr>
            </w:pPr>
          </w:p>
        </w:tc>
        <w:tc>
          <w:tcPr>
            <w:tcW w:w="2112" w:type="dxa"/>
          </w:tcPr>
          <w:p w14:paraId="664E750F" w14:textId="77777777" w:rsidR="008715BE" w:rsidRPr="00EC75B7" w:rsidRDefault="008715BE">
            <w:pPr>
              <w:pStyle w:val="TableParagraph"/>
              <w:rPr>
                <w:rFonts w:ascii="Verdana" w:hAnsi="Verdana"/>
                <w:sz w:val="18"/>
                <w:szCs w:val="18"/>
              </w:rPr>
            </w:pPr>
          </w:p>
        </w:tc>
        <w:tc>
          <w:tcPr>
            <w:tcW w:w="1473" w:type="dxa"/>
          </w:tcPr>
          <w:p w14:paraId="6AEDAC7E" w14:textId="77777777" w:rsidR="008715BE" w:rsidRPr="00EC75B7" w:rsidRDefault="008715BE">
            <w:pPr>
              <w:pStyle w:val="TableParagraph"/>
              <w:rPr>
                <w:rFonts w:ascii="Verdana" w:hAnsi="Verdana"/>
                <w:sz w:val="18"/>
                <w:szCs w:val="18"/>
              </w:rPr>
            </w:pPr>
          </w:p>
        </w:tc>
        <w:tc>
          <w:tcPr>
            <w:tcW w:w="1012" w:type="dxa"/>
          </w:tcPr>
          <w:p w14:paraId="3AFF5B21" w14:textId="77777777" w:rsidR="008715BE" w:rsidRPr="00EC75B7" w:rsidRDefault="008715BE">
            <w:pPr>
              <w:pStyle w:val="TableParagraph"/>
              <w:rPr>
                <w:rFonts w:ascii="Verdana" w:hAnsi="Verdana"/>
                <w:sz w:val="18"/>
                <w:szCs w:val="18"/>
              </w:rPr>
            </w:pPr>
          </w:p>
        </w:tc>
        <w:tc>
          <w:tcPr>
            <w:tcW w:w="971" w:type="dxa"/>
          </w:tcPr>
          <w:p w14:paraId="7157D67B" w14:textId="77777777" w:rsidR="008715BE" w:rsidRPr="00EC75B7" w:rsidRDefault="008715BE">
            <w:pPr>
              <w:pStyle w:val="TableParagraph"/>
              <w:rPr>
                <w:rFonts w:ascii="Verdana" w:hAnsi="Verdana"/>
                <w:sz w:val="18"/>
                <w:szCs w:val="18"/>
              </w:rPr>
            </w:pPr>
          </w:p>
        </w:tc>
        <w:tc>
          <w:tcPr>
            <w:tcW w:w="604" w:type="dxa"/>
          </w:tcPr>
          <w:p w14:paraId="51CC1030" w14:textId="77777777" w:rsidR="008715BE" w:rsidRPr="00EC75B7" w:rsidRDefault="008715BE">
            <w:pPr>
              <w:pStyle w:val="TableParagraph"/>
              <w:rPr>
                <w:rFonts w:ascii="Verdana" w:hAnsi="Verdana"/>
                <w:sz w:val="18"/>
                <w:szCs w:val="18"/>
              </w:rPr>
            </w:pPr>
          </w:p>
        </w:tc>
        <w:tc>
          <w:tcPr>
            <w:tcW w:w="1184" w:type="dxa"/>
          </w:tcPr>
          <w:p w14:paraId="1C95E3AC" w14:textId="77777777" w:rsidR="008715BE" w:rsidRPr="00EC75B7" w:rsidRDefault="008715BE">
            <w:pPr>
              <w:pStyle w:val="TableParagraph"/>
              <w:rPr>
                <w:rFonts w:ascii="Verdana" w:hAnsi="Verdana"/>
                <w:sz w:val="18"/>
                <w:szCs w:val="18"/>
              </w:rPr>
            </w:pPr>
          </w:p>
        </w:tc>
        <w:tc>
          <w:tcPr>
            <w:tcW w:w="1246" w:type="dxa"/>
          </w:tcPr>
          <w:p w14:paraId="3D4BF5FB" w14:textId="77777777" w:rsidR="008715BE" w:rsidRPr="00EC75B7" w:rsidRDefault="008715BE">
            <w:pPr>
              <w:pStyle w:val="TableParagraph"/>
              <w:rPr>
                <w:rFonts w:ascii="Verdana" w:hAnsi="Verdana"/>
                <w:sz w:val="18"/>
                <w:szCs w:val="18"/>
              </w:rPr>
            </w:pPr>
          </w:p>
        </w:tc>
        <w:tc>
          <w:tcPr>
            <w:tcW w:w="920" w:type="dxa"/>
          </w:tcPr>
          <w:p w14:paraId="26287660" w14:textId="77777777" w:rsidR="008715BE" w:rsidRPr="00EC75B7" w:rsidRDefault="008715BE">
            <w:pPr>
              <w:pStyle w:val="TableParagraph"/>
              <w:rPr>
                <w:rFonts w:ascii="Verdana" w:hAnsi="Verdana"/>
                <w:sz w:val="18"/>
                <w:szCs w:val="18"/>
              </w:rPr>
            </w:pPr>
          </w:p>
        </w:tc>
        <w:tc>
          <w:tcPr>
            <w:tcW w:w="1182" w:type="dxa"/>
          </w:tcPr>
          <w:p w14:paraId="795212B2" w14:textId="77777777" w:rsidR="008715BE" w:rsidRPr="00EC75B7" w:rsidRDefault="008715BE">
            <w:pPr>
              <w:pStyle w:val="TableParagraph"/>
              <w:rPr>
                <w:rFonts w:ascii="Verdana" w:hAnsi="Verdana"/>
                <w:sz w:val="18"/>
                <w:szCs w:val="18"/>
              </w:rPr>
            </w:pPr>
          </w:p>
        </w:tc>
        <w:tc>
          <w:tcPr>
            <w:tcW w:w="1093" w:type="dxa"/>
          </w:tcPr>
          <w:p w14:paraId="5CA41DFD" w14:textId="77777777" w:rsidR="008715BE" w:rsidRPr="00EC75B7" w:rsidRDefault="008715BE">
            <w:pPr>
              <w:pStyle w:val="TableParagraph"/>
              <w:rPr>
                <w:rFonts w:ascii="Verdana" w:hAnsi="Verdana"/>
                <w:sz w:val="18"/>
                <w:szCs w:val="18"/>
              </w:rPr>
            </w:pPr>
          </w:p>
        </w:tc>
        <w:tc>
          <w:tcPr>
            <w:tcW w:w="1537" w:type="dxa"/>
          </w:tcPr>
          <w:p w14:paraId="1F1F5F55" w14:textId="77777777" w:rsidR="008715BE" w:rsidRPr="00EC75B7" w:rsidRDefault="008715BE">
            <w:pPr>
              <w:pStyle w:val="TableParagraph"/>
              <w:rPr>
                <w:rFonts w:ascii="Verdana" w:hAnsi="Verdana"/>
                <w:sz w:val="18"/>
                <w:szCs w:val="18"/>
              </w:rPr>
            </w:pPr>
          </w:p>
        </w:tc>
        <w:tc>
          <w:tcPr>
            <w:tcW w:w="5056" w:type="dxa"/>
          </w:tcPr>
          <w:p w14:paraId="1199135A" w14:textId="77777777" w:rsidR="008715BE" w:rsidRPr="00EC75B7" w:rsidRDefault="00000000">
            <w:pPr>
              <w:pStyle w:val="TableParagraph"/>
              <w:spacing w:before="8"/>
              <w:ind w:left="122" w:right="115"/>
              <w:rPr>
                <w:rFonts w:ascii="Verdana" w:hAnsi="Verdana"/>
                <w:sz w:val="18"/>
                <w:szCs w:val="18"/>
              </w:rPr>
            </w:pPr>
            <w:r w:rsidRPr="00EC75B7">
              <w:rPr>
                <w:rFonts w:ascii="Verdana" w:hAnsi="Verdana"/>
                <w:sz w:val="18"/>
                <w:szCs w:val="18"/>
              </w:rPr>
              <w:t>Heavy machinery (excavators, cranes, conveyors) and material transport vehicles are a major source of atmospheric emissions. Their movement on temporary or unpaved roads causes soil particles to be resuspended, generating suspended particulate matter (TSP, PM10, and PM2.5).</w:t>
            </w:r>
            <w:r w:rsidRPr="00EC75B7">
              <w:rPr>
                <w:rFonts w:ascii="Verdana" w:hAnsi="Verdana"/>
                <w:spacing w:val="40"/>
                <w:sz w:val="18"/>
                <w:szCs w:val="18"/>
              </w:rPr>
              <w:t xml:space="preserve"> </w:t>
            </w:r>
            <w:r w:rsidRPr="00EC75B7">
              <w:rPr>
                <w:rFonts w:ascii="Verdana" w:hAnsi="Verdana"/>
                <w:sz w:val="18"/>
                <w:szCs w:val="18"/>
              </w:rPr>
              <w:t>At the same time, the diesel engines of machinery and transport vehicles emit combustion gases such as nitrogen oxides (NOx), carbon monoxide (CO), carbon dioxide (CO₂), and fine particles from the fuel used. The total amount of emissions generated into the air from the operation of machinery/vehicles depends on fuel consumption, their technical condition, their age, and the distance traveled.</w:t>
            </w:r>
          </w:p>
          <w:p w14:paraId="38882482" w14:textId="77777777" w:rsidR="008715BE" w:rsidRPr="00EC75B7" w:rsidRDefault="00000000">
            <w:pPr>
              <w:pStyle w:val="TableParagraph"/>
              <w:spacing w:line="183" w:lineRule="exact"/>
              <w:ind w:left="122"/>
              <w:rPr>
                <w:rFonts w:ascii="Verdana" w:hAnsi="Verdana"/>
                <w:sz w:val="18"/>
                <w:szCs w:val="18"/>
              </w:rPr>
            </w:pPr>
            <w:r w:rsidRPr="00EC75B7">
              <w:rPr>
                <w:rFonts w:ascii="Verdana" w:hAnsi="Verdana"/>
                <w:sz w:val="18"/>
                <w:szCs w:val="18"/>
              </w:rPr>
              <w:t xml:space="preserve">Powder and gas emissions are amplified by </w:t>
            </w:r>
            <w:r w:rsidRPr="00EC75B7">
              <w:rPr>
                <w:rFonts w:ascii="Verdana" w:hAnsi="Verdana"/>
                <w:spacing w:val="-2"/>
                <w:sz w:val="18"/>
                <w:szCs w:val="18"/>
              </w:rPr>
              <w:t>acceleration,</w:t>
            </w:r>
          </w:p>
          <w:p w14:paraId="59ED6DA3" w14:textId="77777777" w:rsidR="008715BE" w:rsidRPr="00EC75B7" w:rsidRDefault="00000000">
            <w:pPr>
              <w:pStyle w:val="TableParagraph"/>
              <w:ind w:left="122" w:right="263"/>
              <w:rPr>
                <w:rFonts w:ascii="Verdana" w:hAnsi="Verdana"/>
                <w:sz w:val="18"/>
                <w:szCs w:val="18"/>
              </w:rPr>
            </w:pPr>
            <w:r w:rsidRPr="00EC75B7">
              <w:rPr>
                <w:rFonts w:ascii="Verdana" w:hAnsi="Verdana"/>
                <w:sz w:val="18"/>
                <w:szCs w:val="18"/>
              </w:rPr>
              <w:t>braking, and repetitive traffic on construction site routes, as well as the handling and temporary storage of powdery materials (ballast, sand, aggregates). Thus, construction site traffic is the main source of local air pollution during the execution period, with temporary intensity, concentrated in the areas of traffic and material handling</w:t>
            </w:r>
          </w:p>
          <w:p w14:paraId="0493DAF6" w14:textId="77777777" w:rsidR="008715BE" w:rsidRPr="00EC75B7" w:rsidRDefault="00000000">
            <w:pPr>
              <w:pStyle w:val="TableParagraph"/>
              <w:spacing w:line="163" w:lineRule="exact"/>
              <w:ind w:left="122"/>
              <w:rPr>
                <w:rFonts w:ascii="Verdana" w:hAnsi="Verdana"/>
                <w:sz w:val="18"/>
                <w:szCs w:val="18"/>
              </w:rPr>
            </w:pPr>
            <w:r w:rsidRPr="00EC75B7">
              <w:rPr>
                <w:rFonts w:ascii="Verdana" w:hAnsi="Verdana"/>
                <w:spacing w:val="-2"/>
                <w:sz w:val="18"/>
                <w:szCs w:val="18"/>
              </w:rPr>
              <w:t>materials.</w:t>
            </w:r>
          </w:p>
        </w:tc>
      </w:tr>
      <w:tr w:rsidR="008715BE" w:rsidRPr="00EC75B7" w14:paraId="4AD1CB9A" w14:textId="77777777">
        <w:trPr>
          <w:trHeight w:val="3499"/>
        </w:trPr>
        <w:tc>
          <w:tcPr>
            <w:tcW w:w="725" w:type="dxa"/>
            <w:vMerge/>
            <w:tcBorders>
              <w:top w:val="nil"/>
            </w:tcBorders>
          </w:tcPr>
          <w:p w14:paraId="4017AD4D" w14:textId="77777777" w:rsidR="008715BE" w:rsidRPr="00EC75B7" w:rsidRDefault="008715BE">
            <w:pPr>
              <w:rPr>
                <w:rFonts w:ascii="Verdana" w:hAnsi="Verdana"/>
                <w:sz w:val="18"/>
                <w:szCs w:val="18"/>
              </w:rPr>
            </w:pPr>
          </w:p>
        </w:tc>
        <w:tc>
          <w:tcPr>
            <w:tcW w:w="2414" w:type="dxa"/>
          </w:tcPr>
          <w:p w14:paraId="67603E15" w14:textId="77777777" w:rsidR="008715BE" w:rsidRPr="00EC75B7" w:rsidRDefault="00000000">
            <w:pPr>
              <w:pStyle w:val="TableParagraph"/>
              <w:spacing w:before="8"/>
              <w:ind w:left="108" w:right="94"/>
              <w:rPr>
                <w:rFonts w:ascii="Verdana" w:hAnsi="Verdana"/>
                <w:sz w:val="18"/>
                <w:szCs w:val="18"/>
              </w:rPr>
            </w:pPr>
            <w:r w:rsidRPr="00EC75B7">
              <w:rPr>
                <w:rFonts w:ascii="Verdana" w:hAnsi="Verdana"/>
                <w:b/>
                <w:sz w:val="18"/>
                <w:szCs w:val="18"/>
              </w:rPr>
              <w:t xml:space="preserve">Land restoration works at the end of construction </w:t>
            </w:r>
            <w:r w:rsidRPr="00EC75B7">
              <w:rPr>
                <w:rFonts w:ascii="Verdana" w:hAnsi="Verdana"/>
                <w:sz w:val="18"/>
                <w:szCs w:val="18"/>
              </w:rPr>
              <w:t>(levelling of surfaces, redistribution or addition of topsoil, soil compaction and vegetation restoration)</w:t>
            </w:r>
          </w:p>
        </w:tc>
        <w:tc>
          <w:tcPr>
            <w:tcW w:w="2112" w:type="dxa"/>
          </w:tcPr>
          <w:p w14:paraId="723AA708"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73" w:type="dxa"/>
          </w:tcPr>
          <w:p w14:paraId="4F26E454"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22123F4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1012" w:type="dxa"/>
          </w:tcPr>
          <w:p w14:paraId="3111B187" w14:textId="77777777" w:rsidR="008715BE" w:rsidRPr="00EC75B7" w:rsidRDefault="00000000">
            <w:pPr>
              <w:pStyle w:val="TableParagraph"/>
              <w:spacing w:before="8"/>
              <w:ind w:left="109"/>
              <w:rPr>
                <w:rFonts w:ascii="Verdana" w:hAnsi="Verdana"/>
                <w:sz w:val="18"/>
                <w:szCs w:val="18"/>
              </w:rPr>
            </w:pPr>
            <w:r w:rsidRPr="00EC75B7">
              <w:rPr>
                <w:rFonts w:ascii="Verdana" w:hAnsi="Verdana"/>
                <w:spacing w:val="-2"/>
                <w:sz w:val="18"/>
                <w:szCs w:val="18"/>
              </w:rPr>
              <w:t>Negative</w:t>
            </w:r>
          </w:p>
        </w:tc>
        <w:tc>
          <w:tcPr>
            <w:tcW w:w="971" w:type="dxa"/>
          </w:tcPr>
          <w:p w14:paraId="0ED446C3" w14:textId="77777777" w:rsidR="008715BE" w:rsidRPr="00EC75B7" w:rsidRDefault="00000000">
            <w:pPr>
              <w:pStyle w:val="TableParagraph"/>
              <w:spacing w:before="8"/>
              <w:ind w:left="110"/>
              <w:rPr>
                <w:rFonts w:ascii="Verdana" w:hAnsi="Verdana"/>
                <w:sz w:val="18"/>
                <w:szCs w:val="18"/>
              </w:rPr>
            </w:pPr>
            <w:r w:rsidRPr="00EC75B7">
              <w:rPr>
                <w:rFonts w:ascii="Verdana" w:hAnsi="Verdana"/>
                <w:spacing w:val="-2"/>
                <w:sz w:val="18"/>
                <w:szCs w:val="18"/>
              </w:rPr>
              <w:t>Secondary</w:t>
            </w:r>
          </w:p>
        </w:tc>
        <w:tc>
          <w:tcPr>
            <w:tcW w:w="604" w:type="dxa"/>
          </w:tcPr>
          <w:p w14:paraId="00AB5B98" w14:textId="77777777" w:rsidR="008715BE" w:rsidRPr="00EC75B7" w:rsidRDefault="00000000">
            <w:pPr>
              <w:pStyle w:val="TableParagraph"/>
              <w:spacing w:before="8"/>
              <w:ind w:left="111"/>
              <w:rPr>
                <w:rFonts w:ascii="Verdana" w:hAnsi="Verdana"/>
                <w:sz w:val="18"/>
                <w:szCs w:val="18"/>
              </w:rPr>
            </w:pPr>
            <w:r w:rsidRPr="00EC75B7">
              <w:rPr>
                <w:rFonts w:ascii="Verdana" w:hAnsi="Verdana"/>
                <w:spacing w:val="-5"/>
                <w:sz w:val="18"/>
                <w:szCs w:val="18"/>
              </w:rPr>
              <w:t>Yes</w:t>
            </w:r>
          </w:p>
        </w:tc>
        <w:tc>
          <w:tcPr>
            <w:tcW w:w="1184" w:type="dxa"/>
          </w:tcPr>
          <w:p w14:paraId="48E584E6" w14:textId="77777777" w:rsidR="008715BE" w:rsidRPr="00EC75B7" w:rsidRDefault="00000000">
            <w:pPr>
              <w:pStyle w:val="TableParagraph"/>
              <w:spacing w:before="8"/>
              <w:ind w:left="112"/>
              <w:rPr>
                <w:rFonts w:ascii="Verdana" w:hAnsi="Verdana"/>
                <w:sz w:val="18"/>
                <w:szCs w:val="18"/>
              </w:rPr>
            </w:pPr>
            <w:r w:rsidRPr="00EC75B7">
              <w:rPr>
                <w:rFonts w:ascii="Verdana" w:hAnsi="Verdana"/>
                <w:spacing w:val="-2"/>
                <w:sz w:val="18"/>
                <w:szCs w:val="18"/>
              </w:rPr>
              <w:t>Medium</w:t>
            </w:r>
          </w:p>
        </w:tc>
        <w:tc>
          <w:tcPr>
            <w:tcW w:w="1246" w:type="dxa"/>
          </w:tcPr>
          <w:p w14:paraId="28284B9E" w14:textId="77777777" w:rsidR="008715BE" w:rsidRPr="00EC75B7" w:rsidRDefault="00000000">
            <w:pPr>
              <w:pStyle w:val="TableParagraph"/>
              <w:spacing w:before="8"/>
              <w:ind w:left="114"/>
              <w:rPr>
                <w:rFonts w:ascii="Verdana" w:hAnsi="Verdana"/>
                <w:sz w:val="18"/>
                <w:szCs w:val="18"/>
              </w:rPr>
            </w:pPr>
            <w:r w:rsidRPr="00EC75B7">
              <w:rPr>
                <w:rFonts w:ascii="Verdana" w:hAnsi="Verdana"/>
                <w:spacing w:val="-2"/>
                <w:sz w:val="18"/>
                <w:szCs w:val="18"/>
              </w:rPr>
              <w:t>Occasional</w:t>
            </w:r>
          </w:p>
        </w:tc>
        <w:tc>
          <w:tcPr>
            <w:tcW w:w="920" w:type="dxa"/>
          </w:tcPr>
          <w:p w14:paraId="2CE9A618" w14:textId="77777777" w:rsidR="008715BE" w:rsidRPr="00EC75B7" w:rsidRDefault="00000000">
            <w:pPr>
              <w:pStyle w:val="TableParagraph"/>
              <w:spacing w:before="8"/>
              <w:ind w:left="116"/>
              <w:rPr>
                <w:rFonts w:ascii="Verdana" w:hAnsi="Verdana"/>
                <w:sz w:val="18"/>
                <w:szCs w:val="18"/>
              </w:rPr>
            </w:pPr>
            <w:r w:rsidRPr="00EC75B7">
              <w:rPr>
                <w:rFonts w:ascii="Verdana" w:hAnsi="Verdana"/>
                <w:spacing w:val="-2"/>
                <w:sz w:val="18"/>
                <w:szCs w:val="18"/>
              </w:rPr>
              <w:t>Local</w:t>
            </w:r>
          </w:p>
        </w:tc>
        <w:tc>
          <w:tcPr>
            <w:tcW w:w="1182" w:type="dxa"/>
          </w:tcPr>
          <w:p w14:paraId="1A95BB51" w14:textId="77777777" w:rsidR="008715BE" w:rsidRPr="00EC75B7" w:rsidRDefault="00000000">
            <w:pPr>
              <w:pStyle w:val="TableParagraph"/>
              <w:spacing w:before="8"/>
              <w:ind w:left="117"/>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93" w:type="dxa"/>
          </w:tcPr>
          <w:p w14:paraId="7D3FC8AC" w14:textId="77777777" w:rsidR="008715BE" w:rsidRPr="00EC75B7" w:rsidRDefault="00000000">
            <w:pPr>
              <w:pStyle w:val="TableParagraph"/>
              <w:spacing w:before="8"/>
              <w:ind w:left="119"/>
              <w:rPr>
                <w:rFonts w:ascii="Verdana" w:hAnsi="Verdana"/>
                <w:sz w:val="18"/>
                <w:szCs w:val="18"/>
              </w:rPr>
            </w:pPr>
            <w:r w:rsidRPr="00EC75B7">
              <w:rPr>
                <w:rFonts w:ascii="Verdana" w:hAnsi="Verdana"/>
                <w:spacing w:val="-2"/>
                <w:sz w:val="18"/>
                <w:szCs w:val="18"/>
              </w:rPr>
              <w:t>Reversible</w:t>
            </w:r>
          </w:p>
        </w:tc>
        <w:tc>
          <w:tcPr>
            <w:tcW w:w="1537" w:type="dxa"/>
          </w:tcPr>
          <w:p w14:paraId="13025BCF" w14:textId="77777777" w:rsidR="008715BE" w:rsidRPr="00EC75B7" w:rsidRDefault="00000000">
            <w:pPr>
              <w:pStyle w:val="TableParagraph"/>
              <w:spacing w:before="8"/>
              <w:ind w:left="120"/>
              <w:rPr>
                <w:rFonts w:ascii="Verdana" w:hAnsi="Verdana"/>
                <w:sz w:val="18"/>
                <w:szCs w:val="18"/>
              </w:rPr>
            </w:pPr>
            <w:r w:rsidRPr="00EC75B7">
              <w:rPr>
                <w:rFonts w:ascii="Verdana" w:hAnsi="Verdana"/>
                <w:spacing w:val="-2"/>
                <w:sz w:val="18"/>
                <w:szCs w:val="18"/>
              </w:rPr>
              <w:t>Insignificant</w:t>
            </w:r>
          </w:p>
        </w:tc>
        <w:tc>
          <w:tcPr>
            <w:tcW w:w="5056" w:type="dxa"/>
          </w:tcPr>
          <w:p w14:paraId="5C88C846" w14:textId="77777777" w:rsidR="008715BE" w:rsidRPr="00EC75B7" w:rsidRDefault="00000000">
            <w:pPr>
              <w:pStyle w:val="TableParagraph"/>
              <w:spacing w:before="8"/>
              <w:ind w:left="122" w:right="135"/>
              <w:rPr>
                <w:rFonts w:ascii="Verdana" w:hAnsi="Verdana"/>
                <w:sz w:val="18"/>
                <w:szCs w:val="18"/>
              </w:rPr>
            </w:pPr>
            <w:r w:rsidRPr="00EC75B7">
              <w:rPr>
                <w:rFonts w:ascii="Verdana" w:hAnsi="Verdana"/>
                <w:sz w:val="18"/>
                <w:szCs w:val="18"/>
              </w:rPr>
              <w:t>Land restoration works, carried out after completion of the main project, include levelling surfaces, redistributing or bringing in topsoil, compacting the soil and restoring vegetation. These activities generate temporary and localized emissions of pollutants, mainly consisting of particulate matter (PM10 and PM2.5) resulting from the handling of soil and fertile materials, as well as the resuspension of particles during leveling and compaction works.</w:t>
            </w:r>
          </w:p>
          <w:p w14:paraId="0678087D" w14:textId="77777777" w:rsidR="008715BE" w:rsidRPr="00EC75B7" w:rsidRDefault="00000000">
            <w:pPr>
              <w:pStyle w:val="TableParagraph"/>
              <w:ind w:left="122" w:right="183"/>
              <w:rPr>
                <w:rFonts w:ascii="Verdana" w:hAnsi="Verdana"/>
                <w:sz w:val="18"/>
                <w:szCs w:val="18"/>
              </w:rPr>
            </w:pPr>
            <w:r w:rsidRPr="00EC75B7">
              <w:rPr>
                <w:rFonts w:ascii="Verdana" w:hAnsi="Verdana"/>
                <w:sz w:val="18"/>
                <w:szCs w:val="18"/>
              </w:rPr>
              <w:t>In addition, the operation of light machinery used for these works and vehicles transporting materials produces gaseous emissions (NOx, CO, CO₂), but in small quantities compared to the earthworks, excavation, or assembly stages. The intensity of emissions can be influenced by wind, soil dryness, and large exposed surfaces, but these effects are temporary and controllable through simple measures such as watering the land or limiting</w:t>
            </w:r>
          </w:p>
          <w:p w14:paraId="45EA5BD5" w14:textId="77777777" w:rsidR="008715BE" w:rsidRPr="00EC75B7" w:rsidRDefault="00000000">
            <w:pPr>
              <w:pStyle w:val="TableParagraph"/>
              <w:spacing w:line="159" w:lineRule="exact"/>
              <w:ind w:left="122"/>
              <w:rPr>
                <w:rFonts w:ascii="Verdana" w:hAnsi="Verdana"/>
                <w:sz w:val="18"/>
                <w:szCs w:val="18"/>
              </w:rPr>
            </w:pPr>
            <w:r w:rsidRPr="00EC75B7">
              <w:rPr>
                <w:rFonts w:ascii="Verdana" w:hAnsi="Verdana"/>
                <w:sz w:val="18"/>
                <w:szCs w:val="18"/>
              </w:rPr>
              <w:t xml:space="preserve">the speed </w:t>
            </w:r>
            <w:r w:rsidRPr="00EC75B7">
              <w:rPr>
                <w:rFonts w:ascii="Verdana" w:hAnsi="Verdana"/>
                <w:spacing w:val="-2"/>
                <w:sz w:val="18"/>
                <w:szCs w:val="18"/>
              </w:rPr>
              <w:t>of machinery.</w:t>
            </w:r>
          </w:p>
        </w:tc>
      </w:tr>
    </w:tbl>
    <w:p w14:paraId="6D7CA8E3" w14:textId="77777777" w:rsidR="008715BE" w:rsidRPr="00EC75B7" w:rsidRDefault="008715BE">
      <w:pPr>
        <w:pStyle w:val="BodyText"/>
        <w:spacing w:before="117"/>
        <w:rPr>
          <w:rFonts w:ascii="Verdana" w:hAnsi="Verdana"/>
          <w:b/>
        </w:rPr>
      </w:pPr>
    </w:p>
    <w:p w14:paraId="6267F36A" w14:textId="77777777" w:rsidR="008715BE" w:rsidRPr="00EC75B7" w:rsidRDefault="00000000">
      <w:pPr>
        <w:spacing w:before="1"/>
        <w:ind w:left="1"/>
        <w:rPr>
          <w:rFonts w:ascii="Verdana" w:hAnsi="Verdana"/>
          <w:b/>
          <w:sz w:val="18"/>
          <w:szCs w:val="18"/>
        </w:rPr>
      </w:pPr>
      <w:r w:rsidRPr="00EC75B7">
        <w:rPr>
          <w:rFonts w:ascii="Verdana" w:hAnsi="Verdana"/>
          <w:b/>
          <w:color w:val="00AFEF"/>
          <w:sz w:val="18"/>
          <w:szCs w:val="18"/>
        </w:rPr>
        <w:t xml:space="preserve">Conclusions of the impact assessment during the </w:t>
      </w:r>
      <w:r w:rsidRPr="00EC75B7">
        <w:rPr>
          <w:rFonts w:ascii="Verdana" w:hAnsi="Verdana"/>
          <w:b/>
          <w:color w:val="00AFEF"/>
          <w:spacing w:val="-2"/>
          <w:sz w:val="18"/>
          <w:szCs w:val="18"/>
        </w:rPr>
        <w:t xml:space="preserve">execution </w:t>
      </w:r>
      <w:r w:rsidRPr="00EC75B7">
        <w:rPr>
          <w:rFonts w:ascii="Verdana" w:hAnsi="Verdana"/>
          <w:b/>
          <w:color w:val="00AFEF"/>
          <w:sz w:val="18"/>
          <w:szCs w:val="18"/>
        </w:rPr>
        <w:t>period</w:t>
      </w:r>
    </w:p>
    <w:p w14:paraId="48F21986" w14:textId="77777777" w:rsidR="008715BE" w:rsidRPr="00EC75B7" w:rsidRDefault="00000000">
      <w:pPr>
        <w:spacing w:before="109" w:line="360" w:lineRule="auto"/>
        <w:ind w:left="59" w:right="888"/>
        <w:rPr>
          <w:rFonts w:ascii="Verdana" w:hAnsi="Verdana"/>
          <w:sz w:val="18"/>
          <w:szCs w:val="18"/>
        </w:rPr>
      </w:pPr>
      <w:r w:rsidRPr="00EC75B7">
        <w:rPr>
          <w:rFonts w:ascii="Verdana" w:hAnsi="Verdana"/>
          <w:spacing w:val="-2"/>
          <w:sz w:val="18"/>
          <w:szCs w:val="18"/>
        </w:rPr>
        <w:t xml:space="preserve">During the execution period, the overall impact on the air is </w:t>
      </w:r>
      <w:r w:rsidRPr="00EC75B7">
        <w:rPr>
          <w:rFonts w:ascii="Verdana" w:hAnsi="Verdana"/>
          <w:b/>
          <w:spacing w:val="-2"/>
          <w:sz w:val="18"/>
          <w:szCs w:val="18"/>
        </w:rPr>
        <w:t>insignificantly negative</w:t>
      </w:r>
      <w:r w:rsidRPr="00EC75B7">
        <w:rPr>
          <w:rFonts w:ascii="Verdana" w:hAnsi="Verdana"/>
          <w:spacing w:val="-2"/>
          <w:sz w:val="18"/>
          <w:szCs w:val="18"/>
        </w:rPr>
        <w:t xml:space="preserve">, </w:t>
      </w:r>
      <w:r w:rsidRPr="00EC75B7">
        <w:rPr>
          <w:rFonts w:ascii="Verdana" w:hAnsi="Verdana"/>
          <w:b/>
          <w:spacing w:val="-2"/>
          <w:sz w:val="18"/>
          <w:szCs w:val="18"/>
        </w:rPr>
        <w:t xml:space="preserve">limited to the area where the works are carried out </w:t>
      </w:r>
      <w:r w:rsidRPr="00EC75B7">
        <w:rPr>
          <w:rFonts w:ascii="Verdana" w:hAnsi="Verdana"/>
          <w:spacing w:val="-2"/>
          <w:sz w:val="18"/>
          <w:szCs w:val="18"/>
        </w:rPr>
        <w:t xml:space="preserve">(site layout, work fronts) and will cease once </w:t>
      </w:r>
      <w:r w:rsidRPr="00EC75B7">
        <w:rPr>
          <w:rFonts w:ascii="Verdana" w:hAnsi="Verdana"/>
          <w:sz w:val="18"/>
          <w:szCs w:val="18"/>
        </w:rPr>
        <w:t>the works</w:t>
      </w:r>
      <w:r w:rsidRPr="00EC75B7">
        <w:rPr>
          <w:rFonts w:ascii="Verdana" w:hAnsi="Verdana"/>
          <w:spacing w:val="-2"/>
          <w:sz w:val="18"/>
          <w:szCs w:val="18"/>
        </w:rPr>
        <w:t xml:space="preserve"> are completed</w:t>
      </w:r>
      <w:r w:rsidRPr="00EC75B7">
        <w:rPr>
          <w:rFonts w:ascii="Verdana" w:hAnsi="Verdana"/>
          <w:sz w:val="18"/>
          <w:szCs w:val="18"/>
        </w:rPr>
        <w:t xml:space="preserve">, </w:t>
      </w:r>
      <w:r w:rsidRPr="00EC75B7">
        <w:rPr>
          <w:rFonts w:ascii="Verdana" w:hAnsi="Verdana"/>
          <w:b/>
          <w:sz w:val="18"/>
          <w:szCs w:val="18"/>
        </w:rPr>
        <w:t>and can be reduced by preventive measures</w:t>
      </w:r>
      <w:r w:rsidRPr="00EC75B7">
        <w:rPr>
          <w:rFonts w:ascii="Verdana" w:hAnsi="Verdana"/>
          <w:sz w:val="18"/>
          <w:szCs w:val="18"/>
        </w:rPr>
        <w:t>.</w:t>
      </w:r>
    </w:p>
    <w:p w14:paraId="0ACA18BA" w14:textId="77777777" w:rsidR="008715BE" w:rsidRPr="00EC75B7" w:rsidRDefault="00000000">
      <w:pPr>
        <w:spacing w:before="116"/>
        <w:ind w:left="59"/>
        <w:rPr>
          <w:rFonts w:ascii="Verdana" w:hAnsi="Verdana"/>
          <w:sz w:val="18"/>
          <w:szCs w:val="18"/>
        </w:rPr>
      </w:pPr>
      <w:r w:rsidRPr="00EC75B7">
        <w:rPr>
          <w:rFonts w:ascii="Verdana" w:hAnsi="Verdana"/>
          <w:sz w:val="18"/>
          <w:szCs w:val="18"/>
        </w:rPr>
        <w:t xml:space="preserve">The impact will be </w:t>
      </w:r>
      <w:r w:rsidRPr="00EC75B7">
        <w:rPr>
          <w:rFonts w:ascii="Verdana" w:hAnsi="Verdana"/>
          <w:b/>
          <w:sz w:val="18"/>
          <w:szCs w:val="18"/>
        </w:rPr>
        <w:t>temporary</w:t>
      </w:r>
      <w:r w:rsidRPr="00EC75B7">
        <w:rPr>
          <w:rFonts w:ascii="Verdana" w:hAnsi="Verdana"/>
          <w:sz w:val="18"/>
          <w:szCs w:val="18"/>
        </w:rPr>
        <w:t xml:space="preserve">, </w:t>
      </w:r>
      <w:r w:rsidRPr="00EC75B7">
        <w:rPr>
          <w:rFonts w:ascii="Verdana" w:hAnsi="Verdana"/>
          <w:b/>
          <w:sz w:val="18"/>
          <w:szCs w:val="18"/>
        </w:rPr>
        <w:t>not continuous</w:t>
      </w:r>
      <w:r w:rsidRPr="00EC75B7">
        <w:rPr>
          <w:rFonts w:ascii="Verdana" w:hAnsi="Verdana"/>
          <w:sz w:val="18"/>
          <w:szCs w:val="18"/>
        </w:rPr>
        <w:t>,</w:t>
      </w:r>
      <w:r w:rsidRPr="00EC75B7">
        <w:rPr>
          <w:rFonts w:ascii="Verdana" w:hAnsi="Verdana"/>
          <w:b/>
          <w:sz w:val="18"/>
          <w:szCs w:val="18"/>
        </w:rPr>
        <w:t xml:space="preserve"> </w:t>
      </w:r>
      <w:r w:rsidRPr="00EC75B7">
        <w:rPr>
          <w:rFonts w:ascii="Verdana" w:hAnsi="Verdana"/>
          <w:sz w:val="18"/>
          <w:szCs w:val="18"/>
        </w:rPr>
        <w:t xml:space="preserve">and of </w:t>
      </w:r>
      <w:r w:rsidRPr="00EC75B7">
        <w:rPr>
          <w:rFonts w:ascii="Verdana" w:hAnsi="Verdana"/>
          <w:b/>
          <w:sz w:val="18"/>
          <w:szCs w:val="18"/>
        </w:rPr>
        <w:t xml:space="preserve">medium duration </w:t>
      </w:r>
      <w:r w:rsidRPr="00EC75B7">
        <w:rPr>
          <w:rFonts w:ascii="Verdana" w:hAnsi="Verdana"/>
          <w:sz w:val="18"/>
          <w:szCs w:val="18"/>
        </w:rPr>
        <w:t xml:space="preserve">(in the case of pipe laying, STAP, catchments, reservoirs). </w:t>
      </w:r>
      <w:r w:rsidRPr="00EC75B7">
        <w:rPr>
          <w:rFonts w:ascii="Verdana" w:hAnsi="Verdana"/>
          <w:b/>
          <w:sz w:val="18"/>
          <w:szCs w:val="18"/>
        </w:rPr>
        <w:t xml:space="preserve">The construction period is relatively </w:t>
      </w:r>
      <w:r w:rsidRPr="00EC75B7">
        <w:rPr>
          <w:rFonts w:ascii="Verdana" w:hAnsi="Verdana"/>
          <w:b/>
          <w:spacing w:val="-2"/>
          <w:sz w:val="18"/>
          <w:szCs w:val="18"/>
        </w:rPr>
        <w:t>short</w:t>
      </w:r>
      <w:r w:rsidRPr="00EC75B7">
        <w:rPr>
          <w:rFonts w:ascii="Verdana" w:hAnsi="Verdana"/>
          <w:spacing w:val="-2"/>
          <w:sz w:val="18"/>
          <w:szCs w:val="18"/>
        </w:rPr>
        <w:t>.</w:t>
      </w:r>
    </w:p>
    <w:p w14:paraId="06235265" w14:textId="77777777" w:rsidR="008715BE" w:rsidRPr="00EC75B7" w:rsidRDefault="008715BE">
      <w:pPr>
        <w:pStyle w:val="BodyText"/>
        <w:spacing w:before="9"/>
        <w:rPr>
          <w:rFonts w:ascii="Verdana" w:hAnsi="Verdana"/>
        </w:rPr>
      </w:pPr>
    </w:p>
    <w:p w14:paraId="141C905C" w14:textId="77777777" w:rsidR="008715BE" w:rsidRPr="00EC75B7" w:rsidRDefault="00000000">
      <w:pPr>
        <w:spacing w:line="360" w:lineRule="auto"/>
        <w:ind w:left="59" w:right="888"/>
        <w:rPr>
          <w:rFonts w:ascii="Verdana" w:hAnsi="Verdana"/>
          <w:sz w:val="18"/>
          <w:szCs w:val="18"/>
        </w:rPr>
      </w:pPr>
      <w:r w:rsidRPr="00EC75B7">
        <w:rPr>
          <w:rFonts w:ascii="Verdana" w:hAnsi="Verdana"/>
          <w:sz w:val="18"/>
          <w:szCs w:val="18"/>
        </w:rPr>
        <w:t xml:space="preserve">A series of measures have been put in place to </w:t>
      </w:r>
      <w:r w:rsidRPr="00EC75B7">
        <w:rPr>
          <w:rFonts w:ascii="Verdana" w:hAnsi="Verdana"/>
          <w:b/>
          <w:sz w:val="18"/>
          <w:szCs w:val="18"/>
        </w:rPr>
        <w:t>avoid and reduce the impact of emissions into the atmosphere</w:t>
      </w:r>
      <w:r w:rsidRPr="00EC75B7">
        <w:rPr>
          <w:rFonts w:ascii="Verdana" w:hAnsi="Verdana"/>
          <w:sz w:val="18"/>
          <w:szCs w:val="18"/>
        </w:rPr>
        <w:t>.</w:t>
      </w:r>
      <w:r w:rsidRPr="00EC75B7">
        <w:rPr>
          <w:rFonts w:ascii="Verdana" w:hAnsi="Verdana"/>
          <w:spacing w:val="-3"/>
          <w:sz w:val="18"/>
          <w:szCs w:val="18"/>
        </w:rPr>
        <w:t xml:space="preserve"> </w:t>
      </w:r>
      <w:r w:rsidRPr="00EC75B7">
        <w:rPr>
          <w:rFonts w:ascii="Verdana" w:hAnsi="Verdana"/>
          <w:sz w:val="18"/>
          <w:szCs w:val="18"/>
        </w:rPr>
        <w:t xml:space="preserve">By applying these measures, it is estimated that, during the execution period, </w:t>
      </w:r>
      <w:r w:rsidRPr="00EC75B7">
        <w:rPr>
          <w:rFonts w:ascii="Verdana" w:hAnsi="Verdana"/>
          <w:b/>
          <w:sz w:val="18"/>
          <w:szCs w:val="18"/>
        </w:rPr>
        <w:t>the maximum concentrations of pollutants in the atmosphere will not exceed</w:t>
      </w:r>
      <w:r w:rsidRPr="00EC75B7">
        <w:rPr>
          <w:rFonts w:ascii="Verdana" w:hAnsi="Verdana"/>
          <w:sz w:val="18"/>
          <w:szCs w:val="18"/>
        </w:rPr>
        <w:t xml:space="preserve">, in the area with sensitive receptors (houses located near the work front), </w:t>
      </w:r>
      <w:r w:rsidRPr="00EC75B7">
        <w:rPr>
          <w:rFonts w:ascii="Verdana" w:hAnsi="Verdana"/>
          <w:b/>
          <w:sz w:val="18"/>
          <w:szCs w:val="18"/>
        </w:rPr>
        <w:t>the limit value allowed by Law No. 104/2011</w:t>
      </w:r>
      <w:r w:rsidRPr="00EC75B7">
        <w:rPr>
          <w:rFonts w:ascii="Verdana" w:hAnsi="Verdana"/>
          <w:sz w:val="18"/>
          <w:szCs w:val="18"/>
        </w:rPr>
        <w:t>.</w:t>
      </w:r>
    </w:p>
    <w:p w14:paraId="26DADE95" w14:textId="77777777" w:rsidR="008715BE" w:rsidRPr="00EC75B7" w:rsidRDefault="00000000">
      <w:pPr>
        <w:pStyle w:val="BodyText"/>
        <w:spacing w:before="117"/>
        <w:ind w:left="1"/>
        <w:rPr>
          <w:rFonts w:ascii="Verdana" w:hAnsi="Verdana"/>
        </w:rPr>
      </w:pPr>
      <w:r w:rsidRPr="00EC75B7">
        <w:rPr>
          <w:rFonts w:ascii="Verdana" w:hAnsi="Verdana"/>
        </w:rPr>
        <w:t xml:space="preserve">Given the specific nature of the project and the type of work carried out, it is estimated that, during the </w:t>
      </w:r>
      <w:r w:rsidRPr="00EC75B7">
        <w:rPr>
          <w:rFonts w:ascii="Verdana" w:hAnsi="Verdana"/>
          <w:b/>
        </w:rPr>
        <w:t xml:space="preserve">decommissioning </w:t>
      </w:r>
      <w:r w:rsidRPr="00EC75B7">
        <w:rPr>
          <w:rFonts w:ascii="Verdana" w:hAnsi="Verdana"/>
        </w:rPr>
        <w:t xml:space="preserve">phase, the impact will be of the same nature, magnitude, extent, and significance as that estimated during the </w:t>
      </w:r>
      <w:r w:rsidRPr="00EC75B7">
        <w:rPr>
          <w:rFonts w:ascii="Verdana" w:hAnsi="Verdana"/>
          <w:spacing w:val="-2"/>
        </w:rPr>
        <w:t xml:space="preserve">execution </w:t>
      </w:r>
      <w:r w:rsidRPr="00EC75B7">
        <w:rPr>
          <w:rFonts w:ascii="Verdana" w:hAnsi="Verdana"/>
        </w:rPr>
        <w:t>phase</w:t>
      </w:r>
      <w:r w:rsidRPr="00EC75B7">
        <w:rPr>
          <w:rFonts w:ascii="Verdana" w:hAnsi="Verdana"/>
          <w:spacing w:val="-2"/>
        </w:rPr>
        <w:t>.</w:t>
      </w:r>
    </w:p>
    <w:p w14:paraId="3599C6B5" w14:textId="77777777" w:rsidR="008715BE" w:rsidRPr="00EC75B7" w:rsidRDefault="008715BE">
      <w:pPr>
        <w:pStyle w:val="BodyText"/>
        <w:rPr>
          <w:rFonts w:ascii="Verdana" w:hAnsi="Verdana"/>
        </w:rPr>
        <w:sectPr w:rsidR="008715BE" w:rsidRPr="00EC75B7">
          <w:pgSz w:w="23820" w:h="16840" w:orient="landscape"/>
          <w:pgMar w:top="1040" w:right="425" w:bottom="1020" w:left="1700" w:header="777" w:footer="824" w:gutter="0"/>
          <w:cols w:space="708"/>
        </w:sectPr>
      </w:pPr>
    </w:p>
    <w:p w14:paraId="6768D9A7" w14:textId="77777777" w:rsidR="008715BE" w:rsidRPr="00EC75B7" w:rsidRDefault="00000000">
      <w:pPr>
        <w:spacing w:before="180"/>
        <w:ind w:left="1"/>
        <w:rPr>
          <w:rFonts w:ascii="Verdana" w:hAnsi="Verdana"/>
          <w:b/>
          <w:sz w:val="18"/>
          <w:szCs w:val="18"/>
        </w:rPr>
      </w:pPr>
      <w:r w:rsidRPr="00EC75B7">
        <w:rPr>
          <w:rFonts w:ascii="Verdana" w:hAnsi="Verdana"/>
          <w:b/>
          <w:color w:val="00AFEF"/>
          <w:sz w:val="18"/>
          <w:szCs w:val="18"/>
        </w:rPr>
        <w:lastRenderedPageBreak/>
        <w:t>Table 44 Assessment of the project's impact on air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169"/>
        <w:gridCol w:w="1418"/>
        <w:gridCol w:w="1264"/>
        <w:gridCol w:w="1409"/>
        <w:gridCol w:w="988"/>
        <w:gridCol w:w="710"/>
        <w:gridCol w:w="561"/>
        <w:gridCol w:w="801"/>
        <w:gridCol w:w="1195"/>
        <w:gridCol w:w="719"/>
        <w:gridCol w:w="961"/>
        <w:gridCol w:w="1129"/>
        <w:gridCol w:w="1415"/>
        <w:gridCol w:w="7794"/>
      </w:tblGrid>
      <w:tr w:rsidR="008715BE" w:rsidRPr="00EC75B7" w14:paraId="6172C3D6" w14:textId="77777777">
        <w:trPr>
          <w:trHeight w:val="1550"/>
        </w:trPr>
        <w:tc>
          <w:tcPr>
            <w:tcW w:w="1169" w:type="dxa"/>
            <w:shd w:val="clear" w:color="auto" w:fill="00AFEF"/>
          </w:tcPr>
          <w:p w14:paraId="3C72DBF2" w14:textId="77777777" w:rsidR="008715BE" w:rsidRPr="00EC75B7" w:rsidRDefault="008715BE">
            <w:pPr>
              <w:pStyle w:val="TableParagraph"/>
              <w:rPr>
                <w:rFonts w:ascii="Verdana" w:hAnsi="Verdana"/>
                <w:b/>
                <w:sz w:val="18"/>
                <w:szCs w:val="18"/>
              </w:rPr>
            </w:pPr>
          </w:p>
          <w:p w14:paraId="1D6CAB8F" w14:textId="77777777" w:rsidR="008715BE" w:rsidRPr="00EC75B7" w:rsidRDefault="008715BE">
            <w:pPr>
              <w:pStyle w:val="TableParagraph"/>
              <w:rPr>
                <w:rFonts w:ascii="Verdana" w:hAnsi="Verdana"/>
                <w:b/>
                <w:sz w:val="18"/>
                <w:szCs w:val="18"/>
              </w:rPr>
            </w:pPr>
          </w:p>
          <w:p w14:paraId="6CFE3BDA" w14:textId="77777777" w:rsidR="008715BE" w:rsidRPr="00EC75B7" w:rsidRDefault="008715BE">
            <w:pPr>
              <w:pStyle w:val="TableParagraph"/>
              <w:spacing w:before="92"/>
              <w:rPr>
                <w:rFonts w:ascii="Verdana" w:hAnsi="Verdana"/>
                <w:b/>
                <w:sz w:val="18"/>
                <w:szCs w:val="18"/>
              </w:rPr>
            </w:pPr>
          </w:p>
          <w:p w14:paraId="704B0F28" w14:textId="77777777" w:rsidR="008715BE" w:rsidRPr="00EC75B7" w:rsidRDefault="00000000">
            <w:pPr>
              <w:pStyle w:val="TableParagraph"/>
              <w:spacing w:before="1"/>
              <w:ind w:left="10" w:right="2"/>
              <w:jc w:val="center"/>
              <w:rPr>
                <w:rFonts w:ascii="Verdana" w:hAnsi="Verdana"/>
                <w:b/>
                <w:sz w:val="18"/>
                <w:szCs w:val="18"/>
              </w:rPr>
            </w:pPr>
            <w:r w:rsidRPr="00EC75B7">
              <w:rPr>
                <w:rFonts w:ascii="Verdana" w:hAnsi="Verdana"/>
                <w:b/>
                <w:color w:val="FFFFFF"/>
                <w:spacing w:val="-4"/>
                <w:sz w:val="18"/>
                <w:szCs w:val="18"/>
              </w:rPr>
              <w:t>Stage</w:t>
            </w:r>
          </w:p>
        </w:tc>
        <w:tc>
          <w:tcPr>
            <w:tcW w:w="1418" w:type="dxa"/>
            <w:shd w:val="clear" w:color="auto" w:fill="00AFEF"/>
          </w:tcPr>
          <w:p w14:paraId="0A916034" w14:textId="77777777" w:rsidR="008715BE" w:rsidRPr="00EC75B7" w:rsidRDefault="008715BE">
            <w:pPr>
              <w:pStyle w:val="TableParagraph"/>
              <w:rPr>
                <w:rFonts w:ascii="Verdana" w:hAnsi="Verdana"/>
                <w:b/>
                <w:sz w:val="18"/>
                <w:szCs w:val="18"/>
              </w:rPr>
            </w:pPr>
          </w:p>
          <w:p w14:paraId="0624694F" w14:textId="77777777" w:rsidR="008715BE" w:rsidRPr="00EC75B7" w:rsidRDefault="008715BE">
            <w:pPr>
              <w:pStyle w:val="TableParagraph"/>
              <w:spacing w:before="189"/>
              <w:rPr>
                <w:rFonts w:ascii="Verdana" w:hAnsi="Verdana"/>
                <w:b/>
                <w:sz w:val="18"/>
                <w:szCs w:val="18"/>
              </w:rPr>
            </w:pPr>
          </w:p>
          <w:p w14:paraId="3DE8BAF0" w14:textId="77777777" w:rsidR="008715BE" w:rsidRPr="00EC75B7" w:rsidRDefault="00000000">
            <w:pPr>
              <w:pStyle w:val="TableParagraph"/>
              <w:ind w:left="309" w:hanging="168"/>
              <w:rPr>
                <w:rFonts w:ascii="Verdana" w:hAnsi="Verdana"/>
                <w:b/>
                <w:sz w:val="18"/>
                <w:szCs w:val="18"/>
              </w:rPr>
            </w:pPr>
            <w:r w:rsidRPr="00EC75B7">
              <w:rPr>
                <w:rFonts w:ascii="Verdana" w:hAnsi="Verdana"/>
                <w:b/>
                <w:color w:val="FFFFFF"/>
                <w:spacing w:val="-4"/>
                <w:sz w:val="18"/>
                <w:szCs w:val="18"/>
              </w:rPr>
              <w:t>Interventions/</w:t>
            </w:r>
            <w:r w:rsidRPr="00EC75B7">
              <w:rPr>
                <w:rFonts w:ascii="Verdana" w:hAnsi="Verdana"/>
                <w:b/>
                <w:color w:val="FFFFFF"/>
                <w:spacing w:val="-2"/>
                <w:sz w:val="18"/>
                <w:szCs w:val="18"/>
              </w:rPr>
              <w:t>activities</w:t>
            </w:r>
          </w:p>
        </w:tc>
        <w:tc>
          <w:tcPr>
            <w:tcW w:w="1264" w:type="dxa"/>
            <w:shd w:val="clear" w:color="auto" w:fill="00AFEF"/>
          </w:tcPr>
          <w:p w14:paraId="24586EB8" w14:textId="77777777" w:rsidR="008715BE" w:rsidRPr="00EC75B7" w:rsidRDefault="008715BE">
            <w:pPr>
              <w:pStyle w:val="TableParagraph"/>
              <w:rPr>
                <w:rFonts w:ascii="Verdana" w:hAnsi="Verdana"/>
                <w:b/>
                <w:sz w:val="18"/>
                <w:szCs w:val="18"/>
              </w:rPr>
            </w:pPr>
          </w:p>
          <w:p w14:paraId="6F9C410A" w14:textId="77777777" w:rsidR="008715BE" w:rsidRPr="00EC75B7" w:rsidRDefault="008715BE">
            <w:pPr>
              <w:pStyle w:val="TableParagraph"/>
              <w:rPr>
                <w:rFonts w:ascii="Verdana" w:hAnsi="Verdana"/>
                <w:b/>
                <w:sz w:val="18"/>
                <w:szCs w:val="18"/>
              </w:rPr>
            </w:pPr>
          </w:p>
          <w:p w14:paraId="5877FF50" w14:textId="77777777" w:rsidR="008715BE" w:rsidRPr="00EC75B7" w:rsidRDefault="008715BE">
            <w:pPr>
              <w:pStyle w:val="TableParagraph"/>
              <w:spacing w:before="92"/>
              <w:rPr>
                <w:rFonts w:ascii="Verdana" w:hAnsi="Verdana"/>
                <w:b/>
                <w:sz w:val="18"/>
                <w:szCs w:val="18"/>
              </w:rPr>
            </w:pPr>
          </w:p>
          <w:p w14:paraId="0E8A8272" w14:textId="77777777" w:rsidR="008715BE" w:rsidRPr="00EC75B7" w:rsidRDefault="00000000">
            <w:pPr>
              <w:pStyle w:val="TableParagraph"/>
              <w:spacing w:before="1"/>
              <w:ind w:left="355"/>
              <w:rPr>
                <w:rFonts w:ascii="Verdana" w:hAnsi="Verdana"/>
                <w:b/>
                <w:sz w:val="18"/>
                <w:szCs w:val="18"/>
              </w:rPr>
            </w:pPr>
            <w:r w:rsidRPr="00EC75B7">
              <w:rPr>
                <w:rFonts w:ascii="Verdana" w:hAnsi="Verdana"/>
                <w:b/>
                <w:color w:val="FFFFFF"/>
                <w:spacing w:val="-2"/>
                <w:sz w:val="18"/>
                <w:szCs w:val="18"/>
              </w:rPr>
              <w:t>Effects</w:t>
            </w:r>
          </w:p>
        </w:tc>
        <w:tc>
          <w:tcPr>
            <w:tcW w:w="1409" w:type="dxa"/>
            <w:shd w:val="clear" w:color="auto" w:fill="00AFEF"/>
          </w:tcPr>
          <w:p w14:paraId="72BB15D8" w14:textId="77777777" w:rsidR="008715BE" w:rsidRPr="00EC75B7" w:rsidRDefault="008715BE">
            <w:pPr>
              <w:pStyle w:val="TableParagraph"/>
              <w:rPr>
                <w:rFonts w:ascii="Verdana" w:hAnsi="Verdana"/>
                <w:b/>
                <w:sz w:val="18"/>
                <w:szCs w:val="18"/>
              </w:rPr>
            </w:pPr>
          </w:p>
          <w:p w14:paraId="0E41F5C9" w14:textId="77777777" w:rsidR="008715BE" w:rsidRPr="00EC75B7" w:rsidRDefault="008715BE">
            <w:pPr>
              <w:pStyle w:val="TableParagraph"/>
              <w:spacing w:before="93"/>
              <w:rPr>
                <w:rFonts w:ascii="Verdana" w:hAnsi="Verdana"/>
                <w:b/>
                <w:sz w:val="18"/>
                <w:szCs w:val="18"/>
              </w:rPr>
            </w:pPr>
          </w:p>
          <w:p w14:paraId="137ECC4E" w14:textId="77777777" w:rsidR="008715BE" w:rsidRPr="00EC75B7" w:rsidRDefault="00000000">
            <w:pPr>
              <w:pStyle w:val="TableParagraph"/>
              <w:ind w:left="10"/>
              <w:jc w:val="center"/>
              <w:rPr>
                <w:rFonts w:ascii="Verdana" w:hAnsi="Verdana"/>
                <w:b/>
                <w:sz w:val="18"/>
                <w:szCs w:val="18"/>
              </w:rPr>
            </w:pPr>
            <w:r w:rsidRPr="00EC75B7">
              <w:rPr>
                <w:rFonts w:ascii="Verdana" w:hAnsi="Verdana"/>
                <w:b/>
                <w:color w:val="FFFFFF"/>
                <w:spacing w:val="-2"/>
                <w:sz w:val="18"/>
                <w:szCs w:val="18"/>
              </w:rPr>
              <w:t>Potential forms of impact</w:t>
            </w:r>
          </w:p>
        </w:tc>
        <w:tc>
          <w:tcPr>
            <w:tcW w:w="988" w:type="dxa"/>
            <w:shd w:val="clear" w:color="auto" w:fill="00AFEF"/>
            <w:textDirection w:val="btLr"/>
          </w:tcPr>
          <w:p w14:paraId="02708D3A" w14:textId="77777777" w:rsidR="008715BE" w:rsidRPr="00EC75B7" w:rsidRDefault="008715BE">
            <w:pPr>
              <w:pStyle w:val="TableParagraph"/>
              <w:rPr>
                <w:rFonts w:ascii="Verdana" w:hAnsi="Verdana"/>
                <w:b/>
                <w:sz w:val="18"/>
                <w:szCs w:val="18"/>
              </w:rPr>
            </w:pPr>
          </w:p>
          <w:p w14:paraId="32E6A916" w14:textId="77777777" w:rsidR="008715BE" w:rsidRPr="00EC75B7" w:rsidRDefault="008715BE">
            <w:pPr>
              <w:pStyle w:val="TableParagraph"/>
              <w:spacing w:before="17"/>
              <w:rPr>
                <w:rFonts w:ascii="Verdana" w:hAnsi="Verdana"/>
                <w:b/>
                <w:sz w:val="18"/>
                <w:szCs w:val="18"/>
              </w:rPr>
            </w:pPr>
          </w:p>
          <w:p w14:paraId="55F1819E" w14:textId="77777777" w:rsidR="008715BE" w:rsidRPr="00EC75B7" w:rsidRDefault="00000000">
            <w:pPr>
              <w:pStyle w:val="TableParagraph"/>
              <w:spacing w:before="1"/>
              <w:ind w:left="3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710" w:type="dxa"/>
            <w:shd w:val="clear" w:color="auto" w:fill="00AFEF"/>
            <w:textDirection w:val="btLr"/>
          </w:tcPr>
          <w:p w14:paraId="2D0665F6" w14:textId="77777777" w:rsidR="008715BE" w:rsidRPr="00EC75B7" w:rsidRDefault="00000000">
            <w:pPr>
              <w:pStyle w:val="TableParagraph"/>
              <w:spacing w:before="169" w:line="244" w:lineRule="auto"/>
              <w:ind w:left="308" w:right="287" w:firstLine="165"/>
              <w:rPr>
                <w:rFonts w:ascii="Verdana" w:hAnsi="Verdana"/>
                <w:b/>
                <w:sz w:val="18"/>
                <w:szCs w:val="18"/>
              </w:rPr>
            </w:pPr>
            <w:r w:rsidRPr="00EC75B7">
              <w:rPr>
                <w:rFonts w:ascii="Verdana" w:hAnsi="Verdana"/>
                <w:b/>
                <w:color w:val="FFFFFF"/>
                <w:spacing w:val="-2"/>
                <w:sz w:val="18"/>
                <w:szCs w:val="18"/>
              </w:rPr>
              <w:t>Nature of impact</w:t>
            </w:r>
          </w:p>
        </w:tc>
        <w:tc>
          <w:tcPr>
            <w:tcW w:w="561" w:type="dxa"/>
            <w:shd w:val="clear" w:color="auto" w:fill="00AFEF"/>
            <w:textDirection w:val="btLr"/>
          </w:tcPr>
          <w:p w14:paraId="698266DB" w14:textId="77777777" w:rsidR="008715BE" w:rsidRPr="00EC75B7" w:rsidRDefault="00000000">
            <w:pPr>
              <w:pStyle w:val="TableParagraph"/>
              <w:spacing w:before="121"/>
              <w:ind w:left="378"/>
              <w:rPr>
                <w:rFonts w:ascii="Verdana" w:hAnsi="Verdana"/>
                <w:b/>
                <w:sz w:val="18"/>
                <w:szCs w:val="18"/>
              </w:rPr>
            </w:pPr>
            <w:r w:rsidRPr="00EC75B7">
              <w:rPr>
                <w:rFonts w:ascii="Verdana" w:hAnsi="Verdana"/>
                <w:b/>
                <w:color w:val="FFFFFF"/>
                <w:spacing w:val="-2"/>
                <w:sz w:val="18"/>
                <w:szCs w:val="18"/>
              </w:rPr>
              <w:t>Potential</w:t>
            </w:r>
          </w:p>
          <w:p w14:paraId="4AB0CD41" w14:textId="77777777" w:rsidR="008715BE" w:rsidRPr="00EC75B7" w:rsidRDefault="00000000">
            <w:pPr>
              <w:pStyle w:val="TableParagraph"/>
              <w:spacing w:before="4"/>
              <w:ind w:left="340"/>
              <w:rPr>
                <w:rFonts w:ascii="Verdana" w:hAnsi="Verdana"/>
                <w:b/>
                <w:sz w:val="18"/>
                <w:szCs w:val="18"/>
              </w:rPr>
            </w:pPr>
            <w:r w:rsidRPr="00EC75B7">
              <w:rPr>
                <w:rFonts w:ascii="Verdana" w:hAnsi="Verdana"/>
                <w:b/>
                <w:color w:val="FFFFFF"/>
                <w:spacing w:val="-2"/>
                <w:sz w:val="18"/>
                <w:szCs w:val="18"/>
              </w:rPr>
              <w:t>Cumulative</w:t>
            </w:r>
          </w:p>
        </w:tc>
        <w:tc>
          <w:tcPr>
            <w:tcW w:w="801" w:type="dxa"/>
            <w:shd w:val="clear" w:color="auto" w:fill="00AFEF"/>
            <w:textDirection w:val="btLr"/>
          </w:tcPr>
          <w:p w14:paraId="7BBF0D74" w14:textId="77777777" w:rsidR="008715BE" w:rsidRPr="00EC75B7" w:rsidRDefault="008715BE">
            <w:pPr>
              <w:pStyle w:val="TableParagraph"/>
              <w:spacing w:before="121"/>
              <w:rPr>
                <w:rFonts w:ascii="Verdana" w:hAnsi="Verdana"/>
                <w:b/>
                <w:sz w:val="18"/>
                <w:szCs w:val="18"/>
              </w:rPr>
            </w:pPr>
          </w:p>
          <w:p w14:paraId="6B7408FC" w14:textId="77777777" w:rsidR="008715BE" w:rsidRPr="00EC75B7" w:rsidRDefault="00000000">
            <w:pPr>
              <w:pStyle w:val="TableParagraph"/>
              <w:ind w:left="476"/>
              <w:rPr>
                <w:rFonts w:ascii="Verdana" w:hAnsi="Verdana"/>
                <w:b/>
                <w:sz w:val="18"/>
                <w:szCs w:val="18"/>
              </w:rPr>
            </w:pPr>
            <w:r w:rsidRPr="00EC75B7">
              <w:rPr>
                <w:rFonts w:ascii="Verdana" w:hAnsi="Verdana"/>
                <w:b/>
                <w:color w:val="FFFFFF"/>
                <w:spacing w:val="-2"/>
                <w:sz w:val="18"/>
                <w:szCs w:val="18"/>
              </w:rPr>
              <w:t>Duration</w:t>
            </w:r>
          </w:p>
        </w:tc>
        <w:tc>
          <w:tcPr>
            <w:tcW w:w="1195" w:type="dxa"/>
            <w:shd w:val="clear" w:color="auto" w:fill="00AFEF"/>
            <w:textDirection w:val="btLr"/>
          </w:tcPr>
          <w:p w14:paraId="5D899079" w14:textId="77777777" w:rsidR="008715BE" w:rsidRPr="00EC75B7" w:rsidRDefault="008715BE">
            <w:pPr>
              <w:pStyle w:val="TableParagraph"/>
              <w:rPr>
                <w:rFonts w:ascii="Verdana" w:hAnsi="Verdana"/>
                <w:b/>
                <w:sz w:val="18"/>
                <w:szCs w:val="18"/>
              </w:rPr>
            </w:pPr>
          </w:p>
          <w:p w14:paraId="01786593" w14:textId="77777777" w:rsidR="008715BE" w:rsidRPr="00EC75B7" w:rsidRDefault="008715BE">
            <w:pPr>
              <w:pStyle w:val="TableParagraph"/>
              <w:spacing w:before="22"/>
              <w:rPr>
                <w:rFonts w:ascii="Verdana" w:hAnsi="Verdana"/>
                <w:b/>
                <w:sz w:val="18"/>
                <w:szCs w:val="18"/>
              </w:rPr>
            </w:pPr>
          </w:p>
          <w:p w14:paraId="02DD764C" w14:textId="77777777" w:rsidR="008715BE" w:rsidRPr="00EC75B7" w:rsidRDefault="00000000">
            <w:pPr>
              <w:pStyle w:val="TableParagraph"/>
              <w:spacing w:line="244" w:lineRule="auto"/>
              <w:ind w:left="43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19" w:type="dxa"/>
            <w:shd w:val="clear" w:color="auto" w:fill="00AFEF"/>
            <w:textDirection w:val="btLr"/>
          </w:tcPr>
          <w:p w14:paraId="050FF670" w14:textId="77777777" w:rsidR="008715BE" w:rsidRPr="00EC75B7" w:rsidRDefault="008715BE">
            <w:pPr>
              <w:pStyle w:val="TableParagraph"/>
              <w:spacing w:before="81"/>
              <w:rPr>
                <w:rFonts w:ascii="Verdana" w:hAnsi="Verdana"/>
                <w:b/>
                <w:sz w:val="18"/>
                <w:szCs w:val="18"/>
              </w:rPr>
            </w:pPr>
          </w:p>
          <w:p w14:paraId="506DE7D6" w14:textId="77777777" w:rsidR="008715BE" w:rsidRPr="00EC75B7" w:rsidRDefault="00000000">
            <w:pPr>
              <w:pStyle w:val="TableParagraph"/>
              <w:ind w:left="299"/>
              <w:rPr>
                <w:rFonts w:ascii="Verdana" w:hAnsi="Verdana"/>
                <w:b/>
                <w:sz w:val="18"/>
                <w:szCs w:val="18"/>
              </w:rPr>
            </w:pPr>
            <w:r w:rsidRPr="00EC75B7">
              <w:rPr>
                <w:rFonts w:ascii="Verdana" w:hAnsi="Verdana"/>
                <w:b/>
                <w:color w:val="FFFFFF"/>
                <w:spacing w:val="-2"/>
                <w:sz w:val="18"/>
                <w:szCs w:val="18"/>
              </w:rPr>
              <w:t>Extent</w:t>
            </w:r>
          </w:p>
        </w:tc>
        <w:tc>
          <w:tcPr>
            <w:tcW w:w="961" w:type="dxa"/>
            <w:shd w:val="clear" w:color="auto" w:fill="00AFEF"/>
            <w:textDirection w:val="btLr"/>
          </w:tcPr>
          <w:p w14:paraId="2363D056" w14:textId="77777777" w:rsidR="008715BE" w:rsidRPr="00EC75B7" w:rsidRDefault="008715BE">
            <w:pPr>
              <w:pStyle w:val="TableParagraph"/>
              <w:rPr>
                <w:rFonts w:ascii="Verdana" w:hAnsi="Verdana"/>
                <w:b/>
                <w:sz w:val="18"/>
                <w:szCs w:val="18"/>
              </w:rPr>
            </w:pPr>
          </w:p>
          <w:p w14:paraId="473C3A93" w14:textId="77777777" w:rsidR="008715BE" w:rsidRPr="00EC75B7" w:rsidRDefault="008715BE">
            <w:pPr>
              <w:pStyle w:val="TableParagraph"/>
              <w:spacing w:before="7"/>
              <w:rPr>
                <w:rFonts w:ascii="Verdana" w:hAnsi="Verdana"/>
                <w:b/>
                <w:sz w:val="18"/>
                <w:szCs w:val="18"/>
              </w:rPr>
            </w:pPr>
          </w:p>
          <w:p w14:paraId="6C9FF03E" w14:textId="77777777" w:rsidR="008715BE" w:rsidRPr="00EC75B7" w:rsidRDefault="00000000">
            <w:pPr>
              <w:pStyle w:val="TableParagraph"/>
              <w:ind w:left="150"/>
              <w:rPr>
                <w:rFonts w:ascii="Verdana" w:hAnsi="Verdana"/>
                <w:b/>
                <w:sz w:val="18"/>
                <w:szCs w:val="18"/>
              </w:rPr>
            </w:pPr>
            <w:r w:rsidRPr="00EC75B7">
              <w:rPr>
                <w:rFonts w:ascii="Verdana" w:hAnsi="Verdana"/>
                <w:b/>
                <w:color w:val="FFFFFF"/>
                <w:spacing w:val="-2"/>
                <w:sz w:val="18"/>
                <w:szCs w:val="18"/>
              </w:rPr>
              <w:t>Probability</w:t>
            </w:r>
          </w:p>
        </w:tc>
        <w:tc>
          <w:tcPr>
            <w:tcW w:w="1129" w:type="dxa"/>
            <w:shd w:val="clear" w:color="auto" w:fill="00AFEF"/>
            <w:textDirection w:val="btLr"/>
          </w:tcPr>
          <w:p w14:paraId="4ED0685E" w14:textId="77777777" w:rsidR="008715BE" w:rsidRPr="00EC75B7" w:rsidRDefault="008715BE">
            <w:pPr>
              <w:pStyle w:val="TableParagraph"/>
              <w:rPr>
                <w:rFonts w:ascii="Verdana" w:hAnsi="Verdana"/>
                <w:b/>
                <w:sz w:val="18"/>
                <w:szCs w:val="18"/>
              </w:rPr>
            </w:pPr>
          </w:p>
          <w:p w14:paraId="2C40C314" w14:textId="77777777" w:rsidR="008715BE" w:rsidRPr="00EC75B7" w:rsidRDefault="008715BE">
            <w:pPr>
              <w:pStyle w:val="TableParagraph"/>
              <w:spacing w:before="92"/>
              <w:rPr>
                <w:rFonts w:ascii="Verdana" w:hAnsi="Verdana"/>
                <w:b/>
                <w:sz w:val="18"/>
                <w:szCs w:val="18"/>
              </w:rPr>
            </w:pPr>
          </w:p>
          <w:p w14:paraId="4B88A371" w14:textId="77777777" w:rsidR="008715BE" w:rsidRPr="00EC75B7" w:rsidRDefault="00000000">
            <w:pPr>
              <w:pStyle w:val="TableParagraph"/>
              <w:spacing w:before="1"/>
              <w:ind w:left="76"/>
              <w:rPr>
                <w:rFonts w:ascii="Verdana" w:hAnsi="Verdana"/>
                <w:b/>
                <w:sz w:val="18"/>
                <w:szCs w:val="18"/>
              </w:rPr>
            </w:pPr>
            <w:r w:rsidRPr="00EC75B7">
              <w:rPr>
                <w:rFonts w:ascii="Verdana" w:hAnsi="Verdana"/>
                <w:b/>
                <w:color w:val="FFFFFF"/>
                <w:spacing w:val="-2"/>
                <w:sz w:val="18"/>
                <w:szCs w:val="18"/>
              </w:rPr>
              <w:t>Reversibility</w:t>
            </w:r>
          </w:p>
        </w:tc>
        <w:tc>
          <w:tcPr>
            <w:tcW w:w="1415" w:type="dxa"/>
            <w:shd w:val="clear" w:color="auto" w:fill="00AFEF"/>
            <w:textDirection w:val="btLr"/>
          </w:tcPr>
          <w:p w14:paraId="53F30356" w14:textId="77777777" w:rsidR="008715BE" w:rsidRPr="00EC75B7" w:rsidRDefault="008715BE">
            <w:pPr>
              <w:pStyle w:val="TableParagraph"/>
              <w:rPr>
                <w:rFonts w:ascii="Verdana" w:hAnsi="Verdana"/>
                <w:b/>
                <w:sz w:val="18"/>
                <w:szCs w:val="18"/>
              </w:rPr>
            </w:pPr>
          </w:p>
          <w:p w14:paraId="2CD3D98D" w14:textId="77777777" w:rsidR="008715BE" w:rsidRPr="00EC75B7" w:rsidRDefault="008715BE">
            <w:pPr>
              <w:pStyle w:val="TableParagraph"/>
              <w:spacing w:before="137"/>
              <w:rPr>
                <w:rFonts w:ascii="Verdana" w:hAnsi="Verdana"/>
                <w:b/>
                <w:sz w:val="18"/>
                <w:szCs w:val="18"/>
              </w:rPr>
            </w:pPr>
          </w:p>
          <w:p w14:paraId="564DD1DC" w14:textId="77777777" w:rsidR="008715BE" w:rsidRPr="00EC75B7" w:rsidRDefault="00000000">
            <w:pPr>
              <w:pStyle w:val="TableParagraph"/>
              <w:ind w:left="224"/>
              <w:rPr>
                <w:rFonts w:ascii="Verdana" w:hAnsi="Verdana"/>
                <w:b/>
                <w:sz w:val="18"/>
                <w:szCs w:val="18"/>
              </w:rPr>
            </w:pPr>
            <w:r w:rsidRPr="00EC75B7">
              <w:rPr>
                <w:rFonts w:ascii="Verdana" w:hAnsi="Verdana"/>
                <w:b/>
                <w:color w:val="FFFFFF"/>
                <w:spacing w:val="-2"/>
                <w:sz w:val="18"/>
                <w:szCs w:val="18"/>
              </w:rPr>
              <w:t>Significance</w:t>
            </w:r>
          </w:p>
          <w:p w14:paraId="0278C462" w14:textId="77777777" w:rsidR="008715BE" w:rsidRPr="00EC75B7" w:rsidRDefault="00000000">
            <w:pPr>
              <w:pStyle w:val="TableParagraph"/>
              <w:spacing w:before="4"/>
              <w:ind w:left="308"/>
              <w:rPr>
                <w:rFonts w:ascii="Verdana" w:hAnsi="Verdana"/>
                <w:b/>
                <w:sz w:val="18"/>
                <w:szCs w:val="18"/>
              </w:rPr>
            </w:pPr>
            <w:r w:rsidRPr="00EC75B7">
              <w:rPr>
                <w:rFonts w:ascii="Verdana" w:hAnsi="Verdana"/>
                <w:b/>
                <w:color w:val="FFFFFF"/>
                <w:spacing w:val="-2"/>
                <w:sz w:val="18"/>
                <w:szCs w:val="18"/>
              </w:rPr>
              <w:t>of impact</w:t>
            </w:r>
          </w:p>
        </w:tc>
        <w:tc>
          <w:tcPr>
            <w:tcW w:w="7794" w:type="dxa"/>
            <w:shd w:val="clear" w:color="auto" w:fill="00AFEF"/>
          </w:tcPr>
          <w:p w14:paraId="6E12A6CF" w14:textId="77777777" w:rsidR="008715BE" w:rsidRPr="00EC75B7" w:rsidRDefault="008715BE">
            <w:pPr>
              <w:pStyle w:val="TableParagraph"/>
              <w:rPr>
                <w:rFonts w:ascii="Verdana" w:hAnsi="Verdana"/>
                <w:b/>
                <w:sz w:val="18"/>
                <w:szCs w:val="18"/>
              </w:rPr>
            </w:pPr>
          </w:p>
          <w:p w14:paraId="5C9650C8" w14:textId="77777777" w:rsidR="008715BE" w:rsidRPr="00EC75B7" w:rsidRDefault="008715BE">
            <w:pPr>
              <w:pStyle w:val="TableParagraph"/>
              <w:rPr>
                <w:rFonts w:ascii="Verdana" w:hAnsi="Verdana"/>
                <w:b/>
                <w:sz w:val="18"/>
                <w:szCs w:val="18"/>
              </w:rPr>
            </w:pPr>
          </w:p>
          <w:p w14:paraId="0DA5E3B3" w14:textId="77777777" w:rsidR="008715BE" w:rsidRPr="00EC75B7" w:rsidRDefault="008715BE">
            <w:pPr>
              <w:pStyle w:val="TableParagraph"/>
              <w:spacing w:before="92"/>
              <w:rPr>
                <w:rFonts w:ascii="Verdana" w:hAnsi="Verdana"/>
                <w:b/>
                <w:sz w:val="18"/>
                <w:szCs w:val="18"/>
              </w:rPr>
            </w:pPr>
          </w:p>
          <w:p w14:paraId="301CF1BE" w14:textId="77777777" w:rsidR="008715BE" w:rsidRPr="00EC75B7" w:rsidRDefault="00000000">
            <w:pPr>
              <w:pStyle w:val="TableParagraph"/>
              <w:spacing w:before="1"/>
              <w:ind w:left="29"/>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4FBF38A2" w14:textId="77777777">
        <w:trPr>
          <w:trHeight w:val="1165"/>
        </w:trPr>
        <w:tc>
          <w:tcPr>
            <w:tcW w:w="1169" w:type="dxa"/>
          </w:tcPr>
          <w:p w14:paraId="0ACFE354" w14:textId="77777777" w:rsidR="008715BE" w:rsidRPr="00EC75B7" w:rsidRDefault="00000000">
            <w:pPr>
              <w:pStyle w:val="TableParagraph"/>
              <w:spacing w:line="194" w:lineRule="exact"/>
              <w:ind w:left="10"/>
              <w:jc w:val="center"/>
              <w:rPr>
                <w:rFonts w:ascii="Verdana" w:hAnsi="Verdana"/>
                <w:b/>
                <w:sz w:val="18"/>
                <w:szCs w:val="18"/>
              </w:rPr>
            </w:pPr>
            <w:r w:rsidRPr="00EC75B7">
              <w:rPr>
                <w:rFonts w:ascii="Verdana" w:hAnsi="Verdana"/>
                <w:b/>
                <w:spacing w:val="-2"/>
                <w:sz w:val="18"/>
                <w:szCs w:val="18"/>
              </w:rPr>
              <w:t>Operation</w:t>
            </w:r>
          </w:p>
        </w:tc>
        <w:tc>
          <w:tcPr>
            <w:tcW w:w="1418" w:type="dxa"/>
          </w:tcPr>
          <w:p w14:paraId="6450C749" w14:textId="77777777" w:rsidR="008715BE" w:rsidRPr="00EC75B7" w:rsidRDefault="00000000">
            <w:pPr>
              <w:pStyle w:val="TableParagraph"/>
              <w:ind w:left="108" w:right="165"/>
              <w:rPr>
                <w:rFonts w:ascii="Verdana" w:hAnsi="Verdana"/>
                <w:sz w:val="18"/>
                <w:szCs w:val="18"/>
              </w:rPr>
            </w:pPr>
            <w:r w:rsidRPr="00EC75B7">
              <w:rPr>
                <w:rFonts w:ascii="Verdana" w:hAnsi="Verdana"/>
                <w:spacing w:val="-2"/>
                <w:sz w:val="18"/>
                <w:szCs w:val="18"/>
              </w:rPr>
              <w:t>Maintenance and repairs (Occasional traffic of machinery)</w:t>
            </w:r>
          </w:p>
        </w:tc>
        <w:tc>
          <w:tcPr>
            <w:tcW w:w="1264" w:type="dxa"/>
          </w:tcPr>
          <w:p w14:paraId="09FA1716"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09" w:type="dxa"/>
          </w:tcPr>
          <w:p w14:paraId="5A54591E" w14:textId="77777777" w:rsidR="008715BE" w:rsidRPr="00EC75B7" w:rsidRDefault="00000000">
            <w:pPr>
              <w:pStyle w:val="TableParagraph"/>
              <w:spacing w:line="194" w:lineRule="exact"/>
              <w:ind w:left="109"/>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70EBC197"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988" w:type="dxa"/>
          </w:tcPr>
          <w:p w14:paraId="1F6EBB10" w14:textId="77777777" w:rsidR="008715BE" w:rsidRPr="00EC75B7" w:rsidRDefault="00000000">
            <w:pPr>
              <w:pStyle w:val="TableParagraph"/>
              <w:spacing w:line="194" w:lineRule="exact"/>
              <w:ind w:left="109"/>
              <w:rPr>
                <w:rFonts w:ascii="Verdana" w:hAnsi="Verdana"/>
                <w:sz w:val="18"/>
                <w:szCs w:val="18"/>
              </w:rPr>
            </w:pPr>
            <w:r w:rsidRPr="00EC75B7">
              <w:rPr>
                <w:rFonts w:ascii="Verdana" w:hAnsi="Verdana"/>
                <w:spacing w:val="-2"/>
                <w:sz w:val="18"/>
                <w:szCs w:val="18"/>
              </w:rPr>
              <w:t>Negative</w:t>
            </w:r>
          </w:p>
        </w:tc>
        <w:tc>
          <w:tcPr>
            <w:tcW w:w="710" w:type="dxa"/>
          </w:tcPr>
          <w:p w14:paraId="760B1C5E"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2"/>
                <w:sz w:val="18"/>
                <w:szCs w:val="18"/>
              </w:rPr>
              <w:t>Direct</w:t>
            </w:r>
          </w:p>
        </w:tc>
        <w:tc>
          <w:tcPr>
            <w:tcW w:w="561" w:type="dxa"/>
          </w:tcPr>
          <w:p w14:paraId="234C2DE6"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5"/>
                <w:sz w:val="18"/>
                <w:szCs w:val="18"/>
              </w:rPr>
              <w:t>Yes</w:t>
            </w:r>
          </w:p>
        </w:tc>
        <w:tc>
          <w:tcPr>
            <w:tcW w:w="801" w:type="dxa"/>
          </w:tcPr>
          <w:p w14:paraId="3C898BD3" w14:textId="77777777" w:rsidR="008715BE" w:rsidRPr="00EC75B7" w:rsidRDefault="00000000">
            <w:pPr>
              <w:pStyle w:val="TableParagraph"/>
              <w:spacing w:line="194" w:lineRule="exact"/>
              <w:ind w:left="111"/>
              <w:rPr>
                <w:rFonts w:ascii="Verdana" w:hAnsi="Verdana"/>
                <w:sz w:val="18"/>
                <w:szCs w:val="18"/>
              </w:rPr>
            </w:pPr>
            <w:r w:rsidRPr="00EC75B7">
              <w:rPr>
                <w:rFonts w:ascii="Verdana" w:hAnsi="Verdana"/>
                <w:spacing w:val="-2"/>
                <w:sz w:val="18"/>
                <w:szCs w:val="18"/>
              </w:rPr>
              <w:t>Short</w:t>
            </w:r>
          </w:p>
        </w:tc>
        <w:tc>
          <w:tcPr>
            <w:tcW w:w="1195" w:type="dxa"/>
          </w:tcPr>
          <w:p w14:paraId="03C5EB22" w14:textId="77777777" w:rsidR="008715BE" w:rsidRPr="00EC75B7" w:rsidRDefault="00000000">
            <w:pPr>
              <w:pStyle w:val="TableParagraph"/>
              <w:spacing w:line="194" w:lineRule="exact"/>
              <w:ind w:left="114"/>
              <w:rPr>
                <w:rFonts w:ascii="Verdana" w:hAnsi="Verdana"/>
                <w:sz w:val="18"/>
                <w:szCs w:val="18"/>
              </w:rPr>
            </w:pPr>
            <w:r w:rsidRPr="00EC75B7">
              <w:rPr>
                <w:rFonts w:ascii="Verdana" w:hAnsi="Verdana"/>
                <w:spacing w:val="-2"/>
                <w:sz w:val="18"/>
                <w:szCs w:val="18"/>
              </w:rPr>
              <w:t>Occasional</w:t>
            </w:r>
          </w:p>
        </w:tc>
        <w:tc>
          <w:tcPr>
            <w:tcW w:w="719" w:type="dxa"/>
          </w:tcPr>
          <w:p w14:paraId="5ADA23C8" w14:textId="77777777" w:rsidR="008715BE" w:rsidRPr="00EC75B7" w:rsidRDefault="00000000">
            <w:pPr>
              <w:pStyle w:val="TableParagraph"/>
              <w:spacing w:line="194" w:lineRule="exact"/>
              <w:ind w:left="112"/>
              <w:rPr>
                <w:rFonts w:ascii="Verdana" w:hAnsi="Verdana"/>
                <w:sz w:val="18"/>
                <w:szCs w:val="18"/>
              </w:rPr>
            </w:pPr>
            <w:r w:rsidRPr="00EC75B7">
              <w:rPr>
                <w:rFonts w:ascii="Verdana" w:hAnsi="Verdana"/>
                <w:spacing w:val="-2"/>
                <w:sz w:val="18"/>
                <w:szCs w:val="18"/>
              </w:rPr>
              <w:t>Local</w:t>
            </w:r>
          </w:p>
        </w:tc>
        <w:tc>
          <w:tcPr>
            <w:tcW w:w="961" w:type="dxa"/>
          </w:tcPr>
          <w:p w14:paraId="7D9BA4D7" w14:textId="77777777" w:rsidR="008715BE" w:rsidRPr="00EC75B7" w:rsidRDefault="00000000">
            <w:pPr>
              <w:pStyle w:val="TableParagraph"/>
              <w:ind w:left="113" w:right="88"/>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129" w:type="dxa"/>
          </w:tcPr>
          <w:p w14:paraId="570FCF9B" w14:textId="77777777" w:rsidR="008715BE" w:rsidRPr="00EC75B7" w:rsidRDefault="00000000">
            <w:pPr>
              <w:pStyle w:val="TableParagraph"/>
              <w:spacing w:line="194" w:lineRule="exact"/>
              <w:ind w:left="115"/>
              <w:rPr>
                <w:rFonts w:ascii="Verdana" w:hAnsi="Verdana"/>
                <w:sz w:val="18"/>
                <w:szCs w:val="18"/>
              </w:rPr>
            </w:pPr>
            <w:r w:rsidRPr="00EC75B7">
              <w:rPr>
                <w:rFonts w:ascii="Verdana" w:hAnsi="Verdana"/>
                <w:spacing w:val="-2"/>
                <w:sz w:val="18"/>
                <w:szCs w:val="18"/>
              </w:rPr>
              <w:t>Reversible</w:t>
            </w:r>
          </w:p>
        </w:tc>
        <w:tc>
          <w:tcPr>
            <w:tcW w:w="1415" w:type="dxa"/>
          </w:tcPr>
          <w:p w14:paraId="149C3EC2" w14:textId="77777777" w:rsidR="008715BE" w:rsidRPr="00EC75B7" w:rsidRDefault="00000000">
            <w:pPr>
              <w:pStyle w:val="TableParagraph"/>
              <w:spacing w:line="194" w:lineRule="exact"/>
              <w:ind w:left="116"/>
              <w:rPr>
                <w:rFonts w:ascii="Verdana" w:hAnsi="Verdana"/>
                <w:sz w:val="18"/>
                <w:szCs w:val="18"/>
              </w:rPr>
            </w:pPr>
            <w:r w:rsidRPr="00EC75B7">
              <w:rPr>
                <w:rFonts w:ascii="Verdana" w:hAnsi="Verdana"/>
                <w:spacing w:val="-2"/>
                <w:sz w:val="18"/>
                <w:szCs w:val="18"/>
              </w:rPr>
              <w:t>Insignificant</w:t>
            </w:r>
          </w:p>
        </w:tc>
        <w:tc>
          <w:tcPr>
            <w:tcW w:w="7794" w:type="dxa"/>
          </w:tcPr>
          <w:p w14:paraId="49205CF6" w14:textId="77777777" w:rsidR="008715BE" w:rsidRPr="00EC75B7" w:rsidRDefault="00000000">
            <w:pPr>
              <w:pStyle w:val="TableParagraph"/>
              <w:ind w:left="117" w:right="172"/>
              <w:rPr>
                <w:rFonts w:ascii="Verdana" w:hAnsi="Verdana"/>
                <w:sz w:val="18"/>
                <w:szCs w:val="18"/>
              </w:rPr>
            </w:pPr>
            <w:r w:rsidRPr="00EC75B7">
              <w:rPr>
                <w:rFonts w:ascii="Verdana" w:hAnsi="Verdana"/>
                <w:sz w:val="18"/>
                <w:szCs w:val="18"/>
              </w:rPr>
              <w:t>Wind farm maintenance activities involve periodic inspections, lubrication and replacement of mechanical components, checking electrical systems and work on access roads or technological platforms. These operations generate temporary and localized emissions of pollutants, mainly combustion gases (NOx, CO, CO₂) and fine particles, from the operation of service equipment and transport vehicles</w:t>
            </w:r>
          </w:p>
          <w:p w14:paraId="799B23F4" w14:textId="77777777" w:rsidR="008715BE" w:rsidRPr="00EC75B7" w:rsidRDefault="00000000">
            <w:pPr>
              <w:pStyle w:val="TableParagraph"/>
              <w:spacing w:line="170" w:lineRule="exact"/>
              <w:ind w:left="117"/>
              <w:rPr>
                <w:rFonts w:ascii="Verdana" w:hAnsi="Verdana"/>
                <w:sz w:val="18"/>
                <w:szCs w:val="18"/>
              </w:rPr>
            </w:pPr>
            <w:r w:rsidRPr="00EC75B7">
              <w:rPr>
                <w:rFonts w:ascii="Verdana" w:hAnsi="Verdana"/>
                <w:sz w:val="18"/>
                <w:szCs w:val="18"/>
              </w:rPr>
              <w:t xml:space="preserve">materials and </w:t>
            </w:r>
            <w:r w:rsidRPr="00EC75B7">
              <w:rPr>
                <w:rFonts w:ascii="Verdana" w:hAnsi="Verdana"/>
                <w:spacing w:val="-2"/>
                <w:sz w:val="18"/>
                <w:szCs w:val="18"/>
              </w:rPr>
              <w:t>equipment.</w:t>
            </w:r>
          </w:p>
        </w:tc>
      </w:tr>
    </w:tbl>
    <w:p w14:paraId="75EC7564" w14:textId="77777777" w:rsidR="008715BE" w:rsidRPr="00EC75B7" w:rsidRDefault="008715BE">
      <w:pPr>
        <w:pStyle w:val="BodyText"/>
        <w:spacing w:before="133"/>
        <w:rPr>
          <w:rFonts w:ascii="Verdana" w:hAnsi="Verdana"/>
          <w:b/>
        </w:rPr>
      </w:pPr>
    </w:p>
    <w:p w14:paraId="0B6075AB" w14:textId="77777777" w:rsidR="008715BE" w:rsidRPr="00EC75B7" w:rsidRDefault="00000000">
      <w:pPr>
        <w:spacing w:before="1"/>
        <w:ind w:left="1"/>
        <w:rPr>
          <w:rFonts w:ascii="Verdana" w:hAnsi="Verdana"/>
          <w:b/>
          <w:sz w:val="18"/>
          <w:szCs w:val="18"/>
        </w:rPr>
      </w:pPr>
      <w:r w:rsidRPr="00EC75B7">
        <w:rPr>
          <w:rFonts w:ascii="Verdana" w:hAnsi="Verdana"/>
          <w:b/>
          <w:color w:val="00AFEF"/>
          <w:sz w:val="18"/>
          <w:szCs w:val="18"/>
        </w:rPr>
        <w:t xml:space="preserve">Conclusion – Impact assessment during the exploitation </w:t>
      </w:r>
      <w:r w:rsidRPr="00EC75B7">
        <w:rPr>
          <w:rFonts w:ascii="Verdana" w:hAnsi="Verdana"/>
          <w:b/>
          <w:color w:val="00AFEF"/>
          <w:spacing w:val="-2"/>
          <w:sz w:val="18"/>
          <w:szCs w:val="18"/>
        </w:rPr>
        <w:t xml:space="preserve">(operation) </w:t>
      </w:r>
      <w:r w:rsidRPr="00EC75B7">
        <w:rPr>
          <w:rFonts w:ascii="Verdana" w:hAnsi="Verdana"/>
          <w:b/>
          <w:color w:val="00AFEF"/>
          <w:sz w:val="18"/>
          <w:szCs w:val="18"/>
        </w:rPr>
        <w:t>period</w:t>
      </w:r>
      <w:r w:rsidRPr="00EC75B7">
        <w:rPr>
          <w:rFonts w:ascii="Verdana" w:hAnsi="Verdana"/>
          <w:b/>
          <w:color w:val="00AFEF"/>
          <w:spacing w:val="-2"/>
          <w:sz w:val="18"/>
          <w:szCs w:val="18"/>
        </w:rPr>
        <w:t>:</w:t>
      </w:r>
    </w:p>
    <w:p w14:paraId="0E8EC9CF" w14:textId="77777777" w:rsidR="008715BE" w:rsidRPr="00EC75B7" w:rsidRDefault="00000000">
      <w:pPr>
        <w:spacing w:before="109"/>
        <w:ind w:left="1"/>
        <w:rPr>
          <w:rFonts w:ascii="Verdana" w:hAnsi="Verdana"/>
          <w:sz w:val="18"/>
          <w:szCs w:val="18"/>
        </w:rPr>
      </w:pPr>
      <w:r w:rsidRPr="00EC75B7">
        <w:rPr>
          <w:rFonts w:ascii="Verdana" w:hAnsi="Verdana"/>
          <w:spacing w:val="-2"/>
          <w:sz w:val="18"/>
          <w:szCs w:val="18"/>
        </w:rPr>
        <w:t xml:space="preserve">During the operation of the Cerchezu wind farm, </w:t>
      </w:r>
      <w:r w:rsidRPr="00EC75B7">
        <w:rPr>
          <w:rFonts w:ascii="Verdana" w:hAnsi="Verdana"/>
          <w:b/>
          <w:spacing w:val="-2"/>
          <w:sz w:val="18"/>
          <w:szCs w:val="18"/>
        </w:rPr>
        <w:t xml:space="preserve">the impact on air quality </w:t>
      </w:r>
      <w:r w:rsidRPr="00EC75B7">
        <w:rPr>
          <w:rFonts w:ascii="Verdana" w:hAnsi="Verdana"/>
          <w:spacing w:val="-2"/>
          <w:sz w:val="18"/>
          <w:szCs w:val="18"/>
        </w:rPr>
        <w:t xml:space="preserve">is represented by emissions associated with traffic during maintenance periods </w:t>
      </w:r>
      <w:r w:rsidRPr="00EC75B7">
        <w:rPr>
          <w:rFonts w:ascii="Verdana" w:hAnsi="Verdana"/>
          <w:b/>
          <w:spacing w:val="-2"/>
          <w:sz w:val="18"/>
          <w:szCs w:val="18"/>
        </w:rPr>
        <w:t>and is occasional, locally unlikely, and insignificant</w:t>
      </w:r>
      <w:r w:rsidRPr="00EC75B7">
        <w:rPr>
          <w:rFonts w:ascii="Verdana" w:hAnsi="Verdana"/>
          <w:spacing w:val="-2"/>
          <w:sz w:val="18"/>
          <w:szCs w:val="18"/>
        </w:rPr>
        <w:t>.</w:t>
      </w:r>
    </w:p>
    <w:p w14:paraId="16E0D5E1" w14:textId="77777777" w:rsidR="008715BE" w:rsidRPr="00EC75B7" w:rsidRDefault="008715BE">
      <w:pPr>
        <w:rPr>
          <w:rFonts w:ascii="Verdana" w:hAnsi="Verdana"/>
          <w:sz w:val="18"/>
          <w:szCs w:val="18"/>
        </w:rPr>
        <w:sectPr w:rsidR="008715BE" w:rsidRPr="00EC75B7">
          <w:pgSz w:w="23820" w:h="16840" w:orient="landscape"/>
          <w:pgMar w:top="1040" w:right="425" w:bottom="1020" w:left="1700" w:header="777" w:footer="824" w:gutter="0"/>
          <w:cols w:space="708"/>
        </w:sectPr>
      </w:pPr>
    </w:p>
    <w:p w14:paraId="4A79DDBF" w14:textId="77777777" w:rsidR="008715BE" w:rsidRPr="00EC75B7" w:rsidRDefault="008715BE">
      <w:pPr>
        <w:pStyle w:val="BodyText"/>
        <w:spacing w:before="98"/>
        <w:rPr>
          <w:rFonts w:ascii="Verdana" w:hAnsi="Verdana"/>
        </w:rPr>
      </w:pPr>
    </w:p>
    <w:p w14:paraId="403CCD64"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00" w:name="_bookmark101"/>
      <w:bookmarkEnd w:id="100"/>
      <w:r w:rsidRPr="00EC75B7">
        <w:rPr>
          <w:rFonts w:ascii="Verdana" w:hAnsi="Verdana"/>
          <w:color w:val="00AFEF"/>
          <w:sz w:val="18"/>
          <w:szCs w:val="18"/>
        </w:rPr>
        <w:t xml:space="preserve">Measures to avoid and reduce </w:t>
      </w:r>
      <w:r w:rsidRPr="00EC75B7">
        <w:rPr>
          <w:rFonts w:ascii="Verdana" w:hAnsi="Verdana"/>
          <w:color w:val="00AFEF"/>
          <w:spacing w:val="-2"/>
          <w:sz w:val="18"/>
          <w:szCs w:val="18"/>
        </w:rPr>
        <w:t>impact</w:t>
      </w:r>
    </w:p>
    <w:p w14:paraId="77A04978" w14:textId="77777777" w:rsidR="008715BE" w:rsidRPr="00EC75B7" w:rsidRDefault="008715BE">
      <w:pPr>
        <w:pStyle w:val="BodyText"/>
        <w:spacing w:before="114"/>
        <w:rPr>
          <w:rFonts w:ascii="Verdana" w:hAnsi="Verdana"/>
          <w:b/>
        </w:rPr>
      </w:pPr>
    </w:p>
    <w:p w14:paraId="5B2F801F" w14:textId="77777777" w:rsidR="008715BE" w:rsidRPr="00EC75B7" w:rsidRDefault="00000000">
      <w:pPr>
        <w:pStyle w:val="BodyText"/>
        <w:spacing w:line="357" w:lineRule="auto"/>
        <w:ind w:left="86" w:right="139"/>
        <w:jc w:val="both"/>
        <w:rPr>
          <w:rFonts w:ascii="Verdana" w:hAnsi="Verdana"/>
        </w:rPr>
      </w:pPr>
      <w:r w:rsidRPr="00EC75B7">
        <w:rPr>
          <w:rFonts w:ascii="Verdana" w:hAnsi="Verdana"/>
        </w:rPr>
        <w:t xml:space="preserve">For this project, a series of best practice requirements for the protection of the "air" environmental factor will be adopted during the execution/decommissioning and operation periods, with no </w:t>
      </w:r>
      <w:r w:rsidRPr="00EC75B7">
        <w:rPr>
          <w:rFonts w:ascii="Verdana" w:hAnsi="Verdana"/>
          <w:spacing w:val="-2"/>
        </w:rPr>
        <w:t xml:space="preserve">impact </w:t>
      </w:r>
      <w:r w:rsidRPr="00EC75B7">
        <w:rPr>
          <w:rFonts w:ascii="Verdana" w:hAnsi="Verdana"/>
        </w:rPr>
        <w:t>avoidance or reduction measures required.</w:t>
      </w:r>
    </w:p>
    <w:p w14:paraId="48530518" w14:textId="77777777" w:rsidR="008715BE" w:rsidRPr="00EC75B7" w:rsidRDefault="00000000">
      <w:pPr>
        <w:pStyle w:val="BodyText"/>
        <w:spacing w:before="122" w:line="360" w:lineRule="auto"/>
        <w:ind w:left="57" w:right="144"/>
        <w:jc w:val="both"/>
        <w:rPr>
          <w:rFonts w:ascii="Verdana" w:hAnsi="Verdana"/>
        </w:rPr>
      </w:pPr>
      <w:r w:rsidRPr="00EC75B7">
        <w:rPr>
          <w:rFonts w:ascii="Verdana" w:hAnsi="Verdana"/>
        </w:rPr>
        <w:t xml:space="preserve">The good practice requirements adopted within the project during </w:t>
      </w:r>
      <w:r w:rsidRPr="00EC75B7">
        <w:rPr>
          <w:rFonts w:ascii="Verdana" w:hAnsi="Verdana"/>
          <w:b/>
        </w:rPr>
        <w:t xml:space="preserve">the execution period </w:t>
      </w:r>
      <w:r w:rsidRPr="00EC75B7">
        <w:rPr>
          <w:rFonts w:ascii="Verdana" w:hAnsi="Verdana"/>
        </w:rPr>
        <w:t>and the conditions for its implementation are:</w:t>
      </w:r>
    </w:p>
    <w:p w14:paraId="33F74FC6" w14:textId="77777777" w:rsidR="008715BE" w:rsidRPr="00EC75B7" w:rsidRDefault="00000000">
      <w:pPr>
        <w:pStyle w:val="ListParagraph"/>
        <w:numPr>
          <w:ilvl w:val="0"/>
          <w:numId w:val="53"/>
        </w:numPr>
        <w:tabs>
          <w:tab w:val="left" w:pos="777"/>
        </w:tabs>
        <w:spacing w:line="360" w:lineRule="auto"/>
        <w:ind w:right="146"/>
        <w:jc w:val="both"/>
        <w:rPr>
          <w:rFonts w:ascii="Verdana" w:hAnsi="Verdana"/>
          <w:sz w:val="18"/>
          <w:szCs w:val="18"/>
        </w:rPr>
      </w:pPr>
      <w:r w:rsidRPr="00EC75B7">
        <w:rPr>
          <w:rFonts w:ascii="Verdana" w:hAnsi="Verdana"/>
          <w:sz w:val="18"/>
          <w:szCs w:val="18"/>
        </w:rPr>
        <w:t>Use of equipment and machinery in good operating and working condition, complying with the pollution standards imposed by the legislation in force;</w:t>
      </w:r>
    </w:p>
    <w:p w14:paraId="31BC218B" w14:textId="77777777" w:rsidR="008715BE" w:rsidRPr="00EC75B7" w:rsidRDefault="00000000">
      <w:pPr>
        <w:pStyle w:val="ListParagraph"/>
        <w:numPr>
          <w:ilvl w:val="0"/>
          <w:numId w:val="53"/>
        </w:numPr>
        <w:tabs>
          <w:tab w:val="left" w:pos="777"/>
        </w:tabs>
        <w:spacing w:line="357" w:lineRule="auto"/>
        <w:ind w:right="150"/>
        <w:jc w:val="both"/>
        <w:rPr>
          <w:rFonts w:ascii="Verdana" w:hAnsi="Verdana"/>
          <w:sz w:val="18"/>
          <w:szCs w:val="18"/>
        </w:rPr>
      </w:pPr>
      <w:r w:rsidRPr="00EC75B7">
        <w:rPr>
          <w:rFonts w:ascii="Verdana" w:hAnsi="Verdana"/>
          <w:sz w:val="18"/>
          <w:szCs w:val="18"/>
        </w:rPr>
        <w:t>Periodic checking of machinery and means of transport for carbon monoxide and other exhaust gas emissions and commissioning only after any faults have been rectified;</w:t>
      </w:r>
    </w:p>
    <w:p w14:paraId="195F9755" w14:textId="77777777" w:rsidR="008715BE" w:rsidRPr="00EC75B7" w:rsidRDefault="00000000">
      <w:pPr>
        <w:pStyle w:val="ListParagraph"/>
        <w:numPr>
          <w:ilvl w:val="0"/>
          <w:numId w:val="53"/>
        </w:numPr>
        <w:tabs>
          <w:tab w:val="left" w:pos="777"/>
        </w:tabs>
        <w:spacing w:line="360" w:lineRule="auto"/>
        <w:ind w:right="150"/>
        <w:jc w:val="both"/>
        <w:rPr>
          <w:rFonts w:ascii="Verdana" w:hAnsi="Verdana"/>
          <w:sz w:val="18"/>
          <w:szCs w:val="18"/>
        </w:rPr>
      </w:pPr>
      <w:r w:rsidRPr="00EC75B7">
        <w:rPr>
          <w:rFonts w:ascii="Verdana" w:hAnsi="Verdana"/>
          <w:sz w:val="18"/>
          <w:szCs w:val="18"/>
        </w:rPr>
        <w:t>Daily cleaning of access roads to construction sites and work areas (removal of soil and sand) to prevent dust formation;</w:t>
      </w:r>
    </w:p>
    <w:p w14:paraId="033D5673" w14:textId="77777777" w:rsidR="008715BE" w:rsidRPr="00EC75B7" w:rsidRDefault="00000000">
      <w:pPr>
        <w:pStyle w:val="ListParagraph"/>
        <w:numPr>
          <w:ilvl w:val="0"/>
          <w:numId w:val="53"/>
        </w:numPr>
        <w:tabs>
          <w:tab w:val="left" w:pos="776"/>
        </w:tabs>
        <w:spacing w:line="216" w:lineRule="exact"/>
        <w:ind w:left="776" w:hanging="359"/>
        <w:jc w:val="both"/>
        <w:rPr>
          <w:rFonts w:ascii="Verdana" w:hAnsi="Verdana"/>
          <w:sz w:val="18"/>
          <w:szCs w:val="18"/>
        </w:rPr>
      </w:pPr>
      <w:r w:rsidRPr="00EC75B7">
        <w:rPr>
          <w:rFonts w:ascii="Verdana" w:hAnsi="Verdana"/>
          <w:sz w:val="18"/>
          <w:szCs w:val="18"/>
        </w:rPr>
        <w:t xml:space="preserve">Sprinkling of ground surfaces to be stripped during dry and </w:t>
      </w:r>
      <w:r w:rsidRPr="00EC75B7">
        <w:rPr>
          <w:rFonts w:ascii="Verdana" w:hAnsi="Verdana"/>
          <w:spacing w:val="-2"/>
          <w:sz w:val="18"/>
          <w:szCs w:val="18"/>
        </w:rPr>
        <w:t xml:space="preserve">windy </w:t>
      </w:r>
      <w:r w:rsidRPr="00EC75B7">
        <w:rPr>
          <w:rFonts w:ascii="Verdana" w:hAnsi="Verdana"/>
          <w:sz w:val="18"/>
          <w:szCs w:val="18"/>
        </w:rPr>
        <w:t>weather</w:t>
      </w:r>
      <w:r w:rsidRPr="00EC75B7">
        <w:rPr>
          <w:rFonts w:ascii="Verdana" w:hAnsi="Verdana"/>
          <w:spacing w:val="-2"/>
          <w:sz w:val="18"/>
          <w:szCs w:val="18"/>
        </w:rPr>
        <w:t>;</w:t>
      </w:r>
    </w:p>
    <w:p w14:paraId="632A2097" w14:textId="77777777" w:rsidR="008715BE" w:rsidRPr="00EC75B7" w:rsidRDefault="00000000">
      <w:pPr>
        <w:pStyle w:val="ListParagraph"/>
        <w:numPr>
          <w:ilvl w:val="0"/>
          <w:numId w:val="53"/>
        </w:numPr>
        <w:tabs>
          <w:tab w:val="left" w:pos="776"/>
        </w:tabs>
        <w:spacing w:before="106"/>
        <w:ind w:left="776" w:hanging="359"/>
        <w:jc w:val="both"/>
        <w:rPr>
          <w:rFonts w:ascii="Verdana" w:hAnsi="Verdana"/>
          <w:sz w:val="18"/>
          <w:szCs w:val="18"/>
        </w:rPr>
      </w:pPr>
      <w:r w:rsidRPr="00EC75B7">
        <w:rPr>
          <w:rFonts w:ascii="Verdana" w:hAnsi="Verdana"/>
          <w:sz w:val="18"/>
          <w:szCs w:val="18"/>
        </w:rPr>
        <w:t xml:space="preserve">Reduction of the discharge height of materials generating particle emissions into </w:t>
      </w:r>
      <w:r w:rsidRPr="00EC75B7">
        <w:rPr>
          <w:rFonts w:ascii="Verdana" w:hAnsi="Verdana"/>
          <w:spacing w:val="-2"/>
          <w:sz w:val="18"/>
          <w:szCs w:val="18"/>
        </w:rPr>
        <w:t>the atmosphere;</w:t>
      </w:r>
    </w:p>
    <w:p w14:paraId="62311E24" w14:textId="77777777" w:rsidR="008715BE" w:rsidRPr="00EC75B7" w:rsidRDefault="00000000">
      <w:pPr>
        <w:pStyle w:val="ListParagraph"/>
        <w:numPr>
          <w:ilvl w:val="0"/>
          <w:numId w:val="53"/>
        </w:numPr>
        <w:tabs>
          <w:tab w:val="left" w:pos="777"/>
        </w:tabs>
        <w:spacing w:before="109" w:line="357" w:lineRule="auto"/>
        <w:ind w:right="143"/>
        <w:jc w:val="both"/>
        <w:rPr>
          <w:rFonts w:ascii="Verdana" w:hAnsi="Verdana"/>
          <w:sz w:val="18"/>
          <w:szCs w:val="18"/>
        </w:rPr>
      </w:pPr>
      <w:r w:rsidRPr="00EC75B7">
        <w:rPr>
          <w:rFonts w:ascii="Verdana" w:hAnsi="Verdana"/>
          <w:sz w:val="18"/>
          <w:szCs w:val="18"/>
        </w:rPr>
        <w:t>The transport routes for the resources needed to implement the project will be optimized, avoiding residential areas as much as possible – development and implementation of a Traffic Management Plan;</w:t>
      </w:r>
    </w:p>
    <w:p w14:paraId="115E4165" w14:textId="77777777" w:rsidR="008715BE" w:rsidRPr="00EC75B7" w:rsidRDefault="00000000">
      <w:pPr>
        <w:pStyle w:val="ListParagraph"/>
        <w:numPr>
          <w:ilvl w:val="0"/>
          <w:numId w:val="53"/>
        </w:numPr>
        <w:tabs>
          <w:tab w:val="left" w:pos="776"/>
        </w:tabs>
        <w:spacing w:before="2"/>
        <w:ind w:left="776" w:hanging="359"/>
        <w:jc w:val="both"/>
        <w:rPr>
          <w:rFonts w:ascii="Verdana" w:hAnsi="Verdana"/>
          <w:sz w:val="18"/>
          <w:szCs w:val="18"/>
        </w:rPr>
      </w:pPr>
      <w:r w:rsidRPr="00EC75B7">
        <w:rPr>
          <w:rFonts w:ascii="Verdana" w:hAnsi="Verdana"/>
          <w:spacing w:val="22"/>
          <w:sz w:val="18"/>
          <w:szCs w:val="18"/>
        </w:rPr>
        <w:t xml:space="preserve">  </w:t>
      </w:r>
      <w:r w:rsidRPr="00EC75B7">
        <w:rPr>
          <w:rFonts w:ascii="Verdana" w:hAnsi="Verdana"/>
          <w:sz w:val="18"/>
          <w:szCs w:val="18"/>
        </w:rPr>
        <w:t xml:space="preserve"> reduction of speed</w:t>
      </w:r>
      <w:r w:rsidRPr="00EC75B7">
        <w:rPr>
          <w:rFonts w:ascii="Verdana" w:hAnsi="Verdana"/>
          <w:spacing w:val="22"/>
          <w:sz w:val="18"/>
          <w:szCs w:val="18"/>
        </w:rPr>
        <w:t xml:space="preserve">  </w:t>
      </w:r>
      <w:r w:rsidRPr="00EC75B7">
        <w:rPr>
          <w:rFonts w:ascii="Verdana" w:hAnsi="Verdana"/>
          <w:sz w:val="18"/>
          <w:szCs w:val="18"/>
        </w:rPr>
        <w:t xml:space="preserve"> of</w:t>
      </w:r>
      <w:r w:rsidRPr="00EC75B7">
        <w:rPr>
          <w:rFonts w:ascii="Verdana" w:hAnsi="Verdana"/>
          <w:spacing w:val="23"/>
          <w:sz w:val="18"/>
          <w:szCs w:val="18"/>
        </w:rPr>
        <w:t xml:space="preserve">  </w:t>
      </w:r>
      <w:r w:rsidRPr="00EC75B7">
        <w:rPr>
          <w:rFonts w:ascii="Verdana" w:hAnsi="Verdana"/>
          <w:sz w:val="18"/>
          <w:szCs w:val="18"/>
        </w:rPr>
        <w:t xml:space="preserve"> traffic</w:t>
      </w:r>
      <w:r w:rsidRPr="00EC75B7">
        <w:rPr>
          <w:rFonts w:ascii="Verdana" w:hAnsi="Verdana"/>
          <w:spacing w:val="23"/>
          <w:sz w:val="18"/>
          <w:szCs w:val="18"/>
        </w:rPr>
        <w:t xml:space="preserve">  </w:t>
      </w:r>
      <w:r w:rsidRPr="00EC75B7">
        <w:rPr>
          <w:rFonts w:ascii="Verdana" w:hAnsi="Verdana"/>
          <w:sz w:val="18"/>
          <w:szCs w:val="18"/>
        </w:rPr>
        <w:t xml:space="preserve"> on</w:t>
      </w:r>
      <w:r w:rsidRPr="00EC75B7">
        <w:rPr>
          <w:rFonts w:ascii="Verdana" w:hAnsi="Verdana"/>
          <w:spacing w:val="23"/>
          <w:sz w:val="18"/>
          <w:szCs w:val="18"/>
        </w:rPr>
        <w:t xml:space="preserve">  </w:t>
      </w:r>
      <w:r w:rsidRPr="00EC75B7">
        <w:rPr>
          <w:rFonts w:ascii="Verdana" w:hAnsi="Verdana"/>
          <w:sz w:val="18"/>
          <w:szCs w:val="18"/>
        </w:rPr>
        <w:t xml:space="preserve"> public roads</w:t>
      </w:r>
      <w:r w:rsidRPr="00EC75B7">
        <w:rPr>
          <w:rFonts w:ascii="Verdana" w:hAnsi="Verdana"/>
          <w:spacing w:val="22"/>
          <w:sz w:val="18"/>
          <w:szCs w:val="18"/>
        </w:rPr>
        <w:t xml:space="preserve">  </w:t>
      </w:r>
      <w:r w:rsidRPr="00EC75B7">
        <w:rPr>
          <w:rFonts w:ascii="Verdana" w:hAnsi="Verdana"/>
          <w:sz w:val="18"/>
          <w:szCs w:val="18"/>
        </w:rPr>
        <w:t xml:space="preserve"> </w:t>
      </w:r>
      <w:r w:rsidRPr="00EC75B7">
        <w:rPr>
          <w:rFonts w:ascii="Verdana" w:hAnsi="Verdana"/>
          <w:spacing w:val="23"/>
          <w:sz w:val="18"/>
          <w:szCs w:val="18"/>
        </w:rPr>
        <w:t xml:space="preserve">  </w:t>
      </w:r>
      <w:r w:rsidRPr="00EC75B7">
        <w:rPr>
          <w:rFonts w:ascii="Verdana" w:hAnsi="Verdana"/>
          <w:sz w:val="18"/>
          <w:szCs w:val="18"/>
        </w:rPr>
        <w:t xml:space="preserve"> of</w:t>
      </w:r>
      <w:r w:rsidRPr="00EC75B7">
        <w:rPr>
          <w:rFonts w:ascii="Verdana" w:hAnsi="Verdana"/>
          <w:spacing w:val="22"/>
          <w:sz w:val="18"/>
          <w:szCs w:val="18"/>
        </w:rPr>
        <w:t xml:space="preserve">  </w:t>
      </w:r>
      <w:r w:rsidRPr="00EC75B7">
        <w:rPr>
          <w:rFonts w:ascii="Verdana" w:hAnsi="Verdana"/>
          <w:sz w:val="18"/>
          <w:szCs w:val="18"/>
        </w:rPr>
        <w:t xml:space="preserve"> heavy vehicles</w:t>
      </w:r>
      <w:r w:rsidRPr="00EC75B7">
        <w:rPr>
          <w:rFonts w:ascii="Verdana" w:hAnsi="Verdana"/>
          <w:spacing w:val="22"/>
          <w:sz w:val="18"/>
          <w:szCs w:val="18"/>
        </w:rPr>
        <w:t xml:space="preserve">  </w:t>
      </w:r>
      <w:r w:rsidRPr="00EC75B7">
        <w:rPr>
          <w:rFonts w:ascii="Verdana" w:hAnsi="Verdana"/>
          <w:sz w:val="18"/>
          <w:szCs w:val="18"/>
        </w:rPr>
        <w:t xml:space="preserve"> </w:t>
      </w:r>
      <w:r w:rsidRPr="00EC75B7">
        <w:rPr>
          <w:rFonts w:ascii="Verdana" w:hAnsi="Verdana"/>
          <w:spacing w:val="23"/>
          <w:sz w:val="18"/>
          <w:szCs w:val="18"/>
        </w:rPr>
        <w:t xml:space="preserve">  </w:t>
      </w:r>
      <w:r w:rsidRPr="00EC75B7">
        <w:rPr>
          <w:rFonts w:ascii="Verdana" w:hAnsi="Verdana"/>
          <w:spacing w:val="-2"/>
          <w:sz w:val="18"/>
          <w:szCs w:val="18"/>
        </w:rPr>
        <w:t xml:space="preserve"> </w:t>
      </w:r>
      <w:r w:rsidRPr="00EC75B7">
        <w:rPr>
          <w:rFonts w:ascii="Verdana" w:hAnsi="Verdana"/>
          <w:sz w:val="18"/>
          <w:szCs w:val="18"/>
        </w:rPr>
        <w:t>for</w:t>
      </w:r>
      <w:r w:rsidRPr="00EC75B7">
        <w:rPr>
          <w:rFonts w:ascii="Verdana" w:hAnsi="Verdana"/>
          <w:spacing w:val="23"/>
          <w:sz w:val="18"/>
          <w:szCs w:val="18"/>
        </w:rPr>
        <w:t xml:space="preserve">  </w:t>
      </w:r>
      <w:r w:rsidRPr="00EC75B7">
        <w:rPr>
          <w:rFonts w:ascii="Verdana" w:hAnsi="Verdana"/>
          <w:spacing w:val="-2"/>
          <w:sz w:val="18"/>
          <w:szCs w:val="18"/>
        </w:rPr>
        <w:t xml:space="preserve"> transport</w:t>
      </w:r>
    </w:p>
    <w:p w14:paraId="67FF6BE6" w14:textId="77777777" w:rsidR="008715BE" w:rsidRPr="00EC75B7" w:rsidRDefault="00000000">
      <w:pPr>
        <w:pStyle w:val="BodyText"/>
        <w:spacing w:before="109"/>
        <w:ind w:left="777"/>
        <w:rPr>
          <w:rFonts w:ascii="Verdana" w:hAnsi="Verdana"/>
        </w:rPr>
      </w:pPr>
      <w:r w:rsidRPr="00EC75B7">
        <w:rPr>
          <w:rFonts w:ascii="Verdana" w:hAnsi="Verdana"/>
          <w:spacing w:val="-2"/>
        </w:rPr>
        <w:t>materials;</w:t>
      </w:r>
    </w:p>
    <w:p w14:paraId="4CDB36D6" w14:textId="77777777" w:rsidR="008715BE" w:rsidRPr="00EC75B7" w:rsidRDefault="00000000">
      <w:pPr>
        <w:pStyle w:val="ListParagraph"/>
        <w:numPr>
          <w:ilvl w:val="0"/>
          <w:numId w:val="53"/>
        </w:numPr>
        <w:tabs>
          <w:tab w:val="left" w:pos="777"/>
        </w:tabs>
        <w:spacing w:before="109" w:line="357" w:lineRule="auto"/>
        <w:ind w:right="150"/>
        <w:rPr>
          <w:rFonts w:ascii="Verdana" w:hAnsi="Verdana"/>
          <w:sz w:val="18"/>
          <w:szCs w:val="18"/>
        </w:rPr>
      </w:pPr>
      <w:r w:rsidRPr="00EC75B7">
        <w:rPr>
          <w:rFonts w:ascii="Verdana" w:hAnsi="Verdana"/>
          <w:sz w:val="18"/>
          <w:szCs w:val="18"/>
        </w:rPr>
        <w:t>Turning off the engines of machinery during long periods of inactivity and turning off the engines of vehicles during the loading/unloading of materials.</w:t>
      </w:r>
    </w:p>
    <w:p w14:paraId="10D3993F" w14:textId="77777777" w:rsidR="008715BE" w:rsidRPr="00EC75B7" w:rsidRDefault="00000000">
      <w:pPr>
        <w:spacing w:before="1"/>
        <w:ind w:left="57"/>
        <w:rPr>
          <w:rFonts w:ascii="Verdana" w:hAnsi="Verdana"/>
          <w:sz w:val="18"/>
          <w:szCs w:val="18"/>
        </w:rPr>
      </w:pPr>
      <w:r w:rsidRPr="00EC75B7">
        <w:rPr>
          <w:rFonts w:ascii="Verdana" w:hAnsi="Verdana"/>
          <w:b/>
          <w:sz w:val="18"/>
          <w:szCs w:val="18"/>
        </w:rPr>
        <w:t>During the decommissioning phase</w:t>
      </w:r>
      <w:r w:rsidRPr="00EC75B7">
        <w:rPr>
          <w:rFonts w:ascii="Verdana" w:hAnsi="Verdana"/>
          <w:spacing w:val="-2"/>
          <w:sz w:val="18"/>
          <w:szCs w:val="18"/>
        </w:rPr>
        <w:t xml:space="preserve">, </w:t>
      </w:r>
      <w:r w:rsidRPr="00EC75B7">
        <w:rPr>
          <w:rFonts w:ascii="Verdana" w:hAnsi="Verdana"/>
          <w:sz w:val="18"/>
          <w:szCs w:val="18"/>
        </w:rPr>
        <w:t xml:space="preserve">conditions similar to those in the </w:t>
      </w:r>
      <w:r w:rsidRPr="00EC75B7">
        <w:rPr>
          <w:rFonts w:ascii="Verdana" w:hAnsi="Verdana"/>
          <w:spacing w:val="-2"/>
          <w:sz w:val="18"/>
          <w:szCs w:val="18"/>
        </w:rPr>
        <w:t xml:space="preserve">execution </w:t>
      </w:r>
      <w:r w:rsidRPr="00EC75B7">
        <w:rPr>
          <w:rFonts w:ascii="Verdana" w:hAnsi="Verdana"/>
          <w:sz w:val="18"/>
          <w:szCs w:val="18"/>
        </w:rPr>
        <w:t>phase will be provided</w:t>
      </w:r>
      <w:r w:rsidRPr="00EC75B7">
        <w:rPr>
          <w:rFonts w:ascii="Verdana" w:hAnsi="Verdana"/>
          <w:spacing w:val="-2"/>
          <w:sz w:val="18"/>
          <w:szCs w:val="18"/>
        </w:rPr>
        <w:t>.</w:t>
      </w:r>
    </w:p>
    <w:p w14:paraId="20AAAFC6" w14:textId="77777777" w:rsidR="008715BE" w:rsidRPr="00EC75B7" w:rsidRDefault="00000000">
      <w:pPr>
        <w:pStyle w:val="BodyText"/>
        <w:spacing w:before="109" w:line="357" w:lineRule="auto"/>
        <w:ind w:left="57" w:right="180"/>
        <w:rPr>
          <w:rFonts w:ascii="Verdana" w:hAnsi="Verdana"/>
        </w:rPr>
      </w:pPr>
      <w:r w:rsidRPr="00EC75B7">
        <w:rPr>
          <w:rFonts w:ascii="Verdana" w:hAnsi="Verdana"/>
        </w:rPr>
        <w:t xml:space="preserve">No preventive measures are necessary </w:t>
      </w:r>
      <w:r w:rsidRPr="00EC75B7">
        <w:rPr>
          <w:rFonts w:ascii="Verdana" w:hAnsi="Verdana"/>
          <w:b/>
        </w:rPr>
        <w:t>during operation</w:t>
      </w:r>
      <w:r w:rsidRPr="00EC75B7">
        <w:rPr>
          <w:rFonts w:ascii="Verdana" w:hAnsi="Verdana"/>
        </w:rPr>
        <w:t>, as the Cerchezu wind farm does not constitute a source of air pollution.</w:t>
      </w:r>
    </w:p>
    <w:p w14:paraId="4F260703" w14:textId="77777777" w:rsidR="008715BE" w:rsidRPr="00EC75B7" w:rsidRDefault="008715BE">
      <w:pPr>
        <w:pStyle w:val="BodyText"/>
        <w:rPr>
          <w:rFonts w:ascii="Verdana" w:hAnsi="Verdana"/>
        </w:rPr>
      </w:pPr>
    </w:p>
    <w:p w14:paraId="00E7CDE5" w14:textId="77777777" w:rsidR="008715BE" w:rsidRPr="00EC75B7" w:rsidRDefault="008715BE">
      <w:pPr>
        <w:pStyle w:val="BodyText"/>
        <w:spacing w:before="132"/>
        <w:rPr>
          <w:rFonts w:ascii="Verdana" w:hAnsi="Verdana"/>
        </w:rPr>
      </w:pPr>
    </w:p>
    <w:p w14:paraId="57D26876" w14:textId="77777777" w:rsidR="008715BE" w:rsidRPr="00EC75B7" w:rsidRDefault="00000000">
      <w:pPr>
        <w:pStyle w:val="Heading2"/>
        <w:numPr>
          <w:ilvl w:val="1"/>
          <w:numId w:val="110"/>
        </w:numPr>
        <w:tabs>
          <w:tab w:val="left" w:pos="1360"/>
        </w:tabs>
        <w:ind w:left="1360" w:hanging="1245"/>
        <w:jc w:val="left"/>
        <w:rPr>
          <w:rFonts w:ascii="Verdana" w:hAnsi="Verdana"/>
          <w:color w:val="00AFEF"/>
          <w:sz w:val="18"/>
          <w:szCs w:val="18"/>
        </w:rPr>
      </w:pPr>
      <w:bookmarkStart w:id="101" w:name="_bookmark102"/>
      <w:bookmarkEnd w:id="101"/>
      <w:r w:rsidRPr="00EC75B7">
        <w:rPr>
          <w:rFonts w:ascii="Verdana" w:hAnsi="Verdana"/>
          <w:color w:val="00AFEF"/>
          <w:spacing w:val="-2"/>
          <w:sz w:val="18"/>
          <w:szCs w:val="18"/>
        </w:rPr>
        <w:t>Impact generated by noise and vibrations</w:t>
      </w:r>
    </w:p>
    <w:p w14:paraId="3DFE5F65" w14:textId="77777777" w:rsidR="008715BE" w:rsidRPr="00EC75B7" w:rsidRDefault="008715BE">
      <w:pPr>
        <w:pStyle w:val="BodyText"/>
        <w:spacing w:before="101"/>
        <w:rPr>
          <w:rFonts w:ascii="Verdana" w:hAnsi="Verdana"/>
          <w:b/>
        </w:rPr>
      </w:pPr>
    </w:p>
    <w:p w14:paraId="629E738A" w14:textId="77777777" w:rsidR="008715BE" w:rsidRPr="00EC75B7" w:rsidRDefault="00000000">
      <w:pPr>
        <w:pStyle w:val="BodyText"/>
        <w:spacing w:line="360" w:lineRule="auto"/>
        <w:ind w:left="115"/>
        <w:rPr>
          <w:rFonts w:ascii="Verdana" w:hAnsi="Verdana"/>
        </w:rPr>
      </w:pPr>
      <w:r w:rsidRPr="00EC75B7">
        <w:rPr>
          <w:rFonts w:ascii="Verdana" w:hAnsi="Verdana"/>
        </w:rPr>
        <w:t>The impact assessment was carried out taking into account the sensitivity of the implementation areas and the magnitude of the changes that would occur through the implementation of the project.</w:t>
      </w:r>
    </w:p>
    <w:p w14:paraId="73C36AC4" w14:textId="77777777" w:rsidR="008715BE" w:rsidRPr="00EC75B7" w:rsidRDefault="008715BE">
      <w:pPr>
        <w:pStyle w:val="BodyText"/>
        <w:spacing w:before="19"/>
        <w:rPr>
          <w:rFonts w:ascii="Verdana" w:hAnsi="Verdana"/>
        </w:rPr>
      </w:pPr>
    </w:p>
    <w:p w14:paraId="2AE3E827"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02" w:name="_bookmark103"/>
      <w:bookmarkEnd w:id="102"/>
      <w:r w:rsidRPr="00EC75B7">
        <w:rPr>
          <w:rFonts w:ascii="Verdana" w:hAnsi="Verdana"/>
          <w:color w:val="00AFEF"/>
          <w:sz w:val="18"/>
          <w:szCs w:val="18"/>
        </w:rPr>
        <w:t xml:space="preserve">Sensitivity classes and magnitude classes for </w:t>
      </w:r>
      <w:r w:rsidRPr="00EC75B7">
        <w:rPr>
          <w:rFonts w:ascii="Verdana" w:hAnsi="Verdana"/>
          <w:color w:val="00AFEF"/>
          <w:spacing w:val="-2"/>
          <w:sz w:val="18"/>
          <w:szCs w:val="18"/>
        </w:rPr>
        <w:t>assessing</w:t>
      </w:r>
    </w:p>
    <w:p w14:paraId="044DD8E5" w14:textId="77777777" w:rsidR="008715BE" w:rsidRPr="00EC75B7" w:rsidRDefault="00000000">
      <w:pPr>
        <w:spacing w:before="121"/>
        <w:ind w:left="1771"/>
        <w:rPr>
          <w:rFonts w:ascii="Verdana" w:hAnsi="Verdana"/>
          <w:b/>
          <w:sz w:val="18"/>
          <w:szCs w:val="18"/>
        </w:rPr>
      </w:pPr>
      <w:r w:rsidRPr="00EC75B7">
        <w:rPr>
          <w:rFonts w:ascii="Verdana" w:hAnsi="Verdana"/>
          <w:b/>
          <w:color w:val="00AFEF"/>
          <w:sz w:val="18"/>
          <w:szCs w:val="18"/>
        </w:rPr>
        <w:t xml:space="preserve">impact generated by noise and </w:t>
      </w:r>
      <w:r w:rsidRPr="00EC75B7">
        <w:rPr>
          <w:rFonts w:ascii="Verdana" w:hAnsi="Verdana"/>
          <w:b/>
          <w:color w:val="00AFEF"/>
          <w:spacing w:val="-2"/>
          <w:sz w:val="18"/>
          <w:szCs w:val="18"/>
        </w:rPr>
        <w:t>vibrations</w:t>
      </w:r>
    </w:p>
    <w:p w14:paraId="39866990" w14:textId="77777777" w:rsidR="008715BE" w:rsidRPr="00EC75B7" w:rsidRDefault="008715BE">
      <w:pPr>
        <w:pStyle w:val="BodyText"/>
        <w:spacing w:before="114"/>
        <w:rPr>
          <w:rFonts w:ascii="Verdana" w:hAnsi="Verdana"/>
          <w:b/>
        </w:rPr>
      </w:pPr>
    </w:p>
    <w:p w14:paraId="748C7EC5" w14:textId="77777777" w:rsidR="008715BE" w:rsidRPr="00EC75B7" w:rsidRDefault="00000000">
      <w:pPr>
        <w:pStyle w:val="BodyText"/>
        <w:ind w:left="57"/>
        <w:rPr>
          <w:rFonts w:ascii="Verdana" w:hAnsi="Verdana"/>
        </w:rPr>
      </w:pPr>
      <w:r w:rsidRPr="00EC75B7">
        <w:rPr>
          <w:rFonts w:ascii="Verdana" w:hAnsi="Verdana"/>
        </w:rPr>
        <w:t xml:space="preserve">The following </w:t>
      </w:r>
      <w:r w:rsidRPr="00EC75B7">
        <w:rPr>
          <w:rFonts w:ascii="Verdana" w:hAnsi="Verdana"/>
          <w:spacing w:val="-2"/>
        </w:rPr>
        <w:t xml:space="preserve">sensitivity </w:t>
      </w:r>
      <w:r w:rsidRPr="00EC75B7">
        <w:rPr>
          <w:rFonts w:ascii="Verdana" w:hAnsi="Verdana"/>
        </w:rPr>
        <w:t>classes were established for noise</w:t>
      </w:r>
      <w:r w:rsidRPr="00EC75B7">
        <w:rPr>
          <w:rFonts w:ascii="Verdana" w:hAnsi="Verdana"/>
          <w:spacing w:val="-2"/>
        </w:rPr>
        <w:t>:</w:t>
      </w:r>
    </w:p>
    <w:p w14:paraId="4CE83404" w14:textId="77777777" w:rsidR="008715BE" w:rsidRPr="00EC75B7" w:rsidRDefault="008715BE">
      <w:pPr>
        <w:pStyle w:val="BodyText"/>
        <w:spacing w:before="60"/>
        <w:rPr>
          <w:rFonts w:ascii="Verdana" w:hAnsi="Verdana"/>
        </w:rPr>
      </w:pPr>
    </w:p>
    <w:p w14:paraId="03205F63"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45 Sensitivity classes for </w:t>
      </w:r>
      <w:r w:rsidRPr="00EC75B7">
        <w:rPr>
          <w:rFonts w:ascii="Verdana" w:hAnsi="Verdana"/>
          <w:b/>
          <w:color w:val="00AFEF"/>
          <w:spacing w:val="-2"/>
          <w:sz w:val="18"/>
          <w:szCs w:val="18"/>
        </w:rPr>
        <w:t>noise</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47"/>
        <w:gridCol w:w="3265"/>
        <w:gridCol w:w="4804"/>
      </w:tblGrid>
      <w:tr w:rsidR="008715BE" w:rsidRPr="00EC75B7" w14:paraId="1E2D2E95" w14:textId="77777777">
        <w:trPr>
          <w:trHeight w:val="388"/>
        </w:trPr>
        <w:tc>
          <w:tcPr>
            <w:tcW w:w="1647" w:type="dxa"/>
            <w:shd w:val="clear" w:color="auto" w:fill="00AFEF"/>
          </w:tcPr>
          <w:p w14:paraId="0BF81BF4"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Sensitivity</w:t>
            </w:r>
          </w:p>
        </w:tc>
        <w:tc>
          <w:tcPr>
            <w:tcW w:w="3265" w:type="dxa"/>
            <w:shd w:val="clear" w:color="auto" w:fill="00AFEF"/>
          </w:tcPr>
          <w:p w14:paraId="485521F4"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classification</w:t>
            </w:r>
          </w:p>
        </w:tc>
        <w:tc>
          <w:tcPr>
            <w:tcW w:w="4804" w:type="dxa"/>
            <w:shd w:val="clear" w:color="auto" w:fill="00AFEF"/>
          </w:tcPr>
          <w:p w14:paraId="050474F6"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pacing w:val="30"/>
                <w:sz w:val="18"/>
                <w:szCs w:val="18"/>
              </w:rPr>
              <w:t xml:space="preserve">  </w:t>
            </w:r>
            <w:r w:rsidRPr="00EC75B7">
              <w:rPr>
                <w:rFonts w:ascii="Verdana" w:hAnsi="Verdana"/>
                <w:b/>
                <w:color w:val="FFFFFF"/>
                <w:sz w:val="18"/>
                <w:szCs w:val="18"/>
              </w:rPr>
              <w:t xml:space="preserve"> ly identified areas</w:t>
            </w:r>
            <w:r w:rsidRPr="00EC75B7">
              <w:rPr>
                <w:rFonts w:ascii="Verdana" w:hAnsi="Verdana"/>
                <w:b/>
                <w:color w:val="FFFFFF"/>
                <w:spacing w:val="30"/>
                <w:sz w:val="18"/>
                <w:szCs w:val="18"/>
              </w:rPr>
              <w:t xml:space="preserve">  </w:t>
            </w:r>
            <w:r w:rsidRPr="00EC75B7">
              <w:rPr>
                <w:rFonts w:ascii="Verdana" w:hAnsi="Verdana"/>
                <w:b/>
                <w:color w:val="FFFFFF"/>
                <w:sz w:val="18"/>
                <w:szCs w:val="18"/>
              </w:rPr>
              <w:t xml:space="preserve"> in</w:t>
            </w:r>
            <w:r w:rsidRPr="00EC75B7">
              <w:rPr>
                <w:rFonts w:ascii="Verdana" w:hAnsi="Verdana"/>
                <w:b/>
                <w:color w:val="FFFFFF"/>
                <w:spacing w:val="30"/>
                <w:sz w:val="18"/>
                <w:szCs w:val="18"/>
              </w:rPr>
              <w:t xml:space="preserve">  </w:t>
            </w:r>
            <w:r w:rsidRPr="00EC75B7">
              <w:rPr>
                <w:rFonts w:ascii="Verdana" w:hAnsi="Verdana"/>
                <w:b/>
                <w:color w:val="FFFFFF"/>
                <w:sz w:val="18"/>
                <w:szCs w:val="18"/>
              </w:rPr>
              <w:t xml:space="preserve"> area</w:t>
            </w:r>
            <w:r w:rsidRPr="00EC75B7">
              <w:rPr>
                <w:rFonts w:ascii="Verdana" w:hAnsi="Verdana"/>
                <w:b/>
                <w:color w:val="FFFFFF"/>
                <w:spacing w:val="30"/>
                <w:sz w:val="18"/>
                <w:szCs w:val="18"/>
              </w:rPr>
              <w:t xml:space="preserve">  </w:t>
            </w:r>
            <w:r w:rsidRPr="00EC75B7">
              <w:rPr>
                <w:rFonts w:ascii="Verdana" w:hAnsi="Verdana"/>
                <w:b/>
                <w:color w:val="FFFFFF"/>
                <w:sz w:val="18"/>
                <w:szCs w:val="18"/>
              </w:rPr>
              <w:t xml:space="preserve"> of</w:t>
            </w:r>
            <w:r w:rsidRPr="00EC75B7">
              <w:rPr>
                <w:rFonts w:ascii="Verdana" w:hAnsi="Verdana"/>
                <w:b/>
                <w:color w:val="FFFFFF"/>
                <w:spacing w:val="31"/>
                <w:sz w:val="18"/>
                <w:szCs w:val="18"/>
              </w:rPr>
              <w:t xml:space="preserve">  </w:t>
            </w:r>
            <w:r w:rsidRPr="00EC75B7">
              <w:rPr>
                <w:rFonts w:ascii="Verdana" w:hAnsi="Verdana"/>
                <w:b/>
                <w:color w:val="FFFFFF"/>
                <w:sz w:val="18"/>
                <w:szCs w:val="18"/>
              </w:rPr>
              <w:t xml:space="preserve"> implementation</w:t>
            </w:r>
            <w:r w:rsidRPr="00EC75B7">
              <w:rPr>
                <w:rFonts w:ascii="Verdana" w:hAnsi="Verdana"/>
                <w:b/>
                <w:color w:val="FFFFFF"/>
                <w:spacing w:val="29"/>
                <w:sz w:val="18"/>
                <w:szCs w:val="18"/>
              </w:rPr>
              <w:t xml:space="preserve">  </w:t>
            </w:r>
            <w:r w:rsidRPr="00EC75B7">
              <w:rPr>
                <w:rFonts w:ascii="Verdana" w:hAnsi="Verdana"/>
                <w:b/>
                <w:color w:val="FFFFFF"/>
                <w:spacing w:val="-10"/>
                <w:sz w:val="18"/>
                <w:szCs w:val="18"/>
              </w:rPr>
              <w:t xml:space="preserve"> of</w:t>
            </w:r>
          </w:p>
          <w:p w14:paraId="1707B811" w14:textId="77777777" w:rsidR="008715BE" w:rsidRPr="00EC75B7" w:rsidRDefault="00000000">
            <w:pPr>
              <w:pStyle w:val="TableParagraph"/>
              <w:spacing w:line="174"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6F37780E" w14:textId="77777777">
        <w:trPr>
          <w:trHeight w:val="777"/>
        </w:trPr>
        <w:tc>
          <w:tcPr>
            <w:tcW w:w="1647" w:type="dxa"/>
            <w:shd w:val="clear" w:color="auto" w:fill="E1EED9"/>
          </w:tcPr>
          <w:p w14:paraId="4660CBC4" w14:textId="77777777" w:rsidR="008715BE" w:rsidRPr="00EC75B7" w:rsidRDefault="00000000">
            <w:pPr>
              <w:pStyle w:val="TableParagraph"/>
              <w:ind w:left="108" w:right="119"/>
              <w:rPr>
                <w:rFonts w:ascii="Verdana" w:hAnsi="Verdana"/>
                <w:b/>
                <w:sz w:val="18"/>
                <w:szCs w:val="18"/>
              </w:rPr>
            </w:pPr>
            <w:r w:rsidRPr="00EC75B7">
              <w:rPr>
                <w:rFonts w:ascii="Verdana" w:hAnsi="Verdana"/>
                <w:b/>
                <w:spacing w:val="-2"/>
                <w:sz w:val="18"/>
                <w:szCs w:val="18"/>
              </w:rPr>
              <w:t>Very low/no sensitivity</w:t>
            </w:r>
          </w:p>
        </w:tc>
        <w:tc>
          <w:tcPr>
            <w:tcW w:w="3265" w:type="dxa"/>
          </w:tcPr>
          <w:p w14:paraId="0A75FC8B"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There are no activities in the area that could lead to an increase in noise levels</w:t>
            </w:r>
          </w:p>
        </w:tc>
        <w:tc>
          <w:tcPr>
            <w:tcW w:w="4804" w:type="dxa"/>
          </w:tcPr>
          <w:p w14:paraId="6B6607E8"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 xml:space="preserve">The Cerchezu commune is an open rural area, uncluttered by urban buildings, with no industrial activities and no heavy traffic on </w:t>
            </w:r>
            <w:r w:rsidRPr="00EC75B7">
              <w:rPr>
                <w:rFonts w:ascii="Verdana" w:hAnsi="Verdana"/>
                <w:spacing w:val="-2"/>
                <w:sz w:val="18"/>
                <w:szCs w:val="18"/>
              </w:rPr>
              <w:t xml:space="preserve">internal </w:t>
            </w:r>
            <w:r w:rsidRPr="00EC75B7">
              <w:rPr>
                <w:rFonts w:ascii="Verdana" w:hAnsi="Verdana"/>
                <w:sz w:val="18"/>
                <w:szCs w:val="18"/>
              </w:rPr>
              <w:t>roads</w:t>
            </w:r>
          </w:p>
          <w:p w14:paraId="444A3DF3" w14:textId="77777777" w:rsidR="008715BE" w:rsidRPr="00EC75B7" w:rsidRDefault="00000000">
            <w:pPr>
              <w:pStyle w:val="TableParagraph"/>
              <w:spacing w:line="172" w:lineRule="exact"/>
              <w:ind w:left="107"/>
              <w:jc w:val="both"/>
              <w:rPr>
                <w:rFonts w:ascii="Verdana" w:hAnsi="Verdana"/>
                <w:sz w:val="18"/>
                <w:szCs w:val="18"/>
              </w:rPr>
            </w:pPr>
            <w:r w:rsidRPr="00EC75B7">
              <w:rPr>
                <w:rFonts w:ascii="Verdana" w:hAnsi="Verdana"/>
                <w:sz w:val="18"/>
                <w:szCs w:val="18"/>
              </w:rPr>
              <w:t xml:space="preserve">and connecting roads to other </w:t>
            </w:r>
            <w:r w:rsidRPr="00EC75B7">
              <w:rPr>
                <w:rFonts w:ascii="Verdana" w:hAnsi="Verdana"/>
                <w:spacing w:val="-2"/>
                <w:sz w:val="18"/>
                <w:szCs w:val="18"/>
              </w:rPr>
              <w:t>localities</w:t>
            </w:r>
          </w:p>
        </w:tc>
      </w:tr>
      <w:tr w:rsidR="008715BE" w:rsidRPr="00EC75B7" w14:paraId="1A89E9DD" w14:textId="77777777">
        <w:trPr>
          <w:trHeight w:val="390"/>
        </w:trPr>
        <w:tc>
          <w:tcPr>
            <w:tcW w:w="1647" w:type="dxa"/>
            <w:shd w:val="clear" w:color="auto" w:fill="92D050"/>
          </w:tcPr>
          <w:p w14:paraId="3E0596B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Low</w:t>
            </w:r>
          </w:p>
        </w:tc>
        <w:tc>
          <w:tcPr>
            <w:tcW w:w="3265" w:type="dxa"/>
            <w:tcBorders>
              <w:top w:val="nil"/>
              <w:bottom w:val="nil"/>
            </w:tcBorders>
            <w:shd w:val="clear" w:color="auto" w:fill="D9D9D9"/>
          </w:tcPr>
          <w:p w14:paraId="7772C376"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A</w:t>
            </w:r>
            <w:r w:rsidRPr="00EC75B7">
              <w:rPr>
                <w:rFonts w:ascii="Verdana" w:hAnsi="Verdana"/>
                <w:spacing w:val="-5"/>
                <w:sz w:val="18"/>
                <w:szCs w:val="18"/>
              </w:rPr>
              <w:t>gg</w:t>
            </w:r>
            <w:r w:rsidRPr="00EC75B7">
              <w:rPr>
                <w:rFonts w:ascii="Verdana" w:hAnsi="Verdana"/>
                <w:sz w:val="18"/>
                <w:szCs w:val="18"/>
              </w:rPr>
              <w:t>lomerations and areas where</w:t>
            </w:r>
          </w:p>
          <w:p w14:paraId="08C18ACB" w14:textId="77777777" w:rsidR="008715BE" w:rsidRPr="00EC75B7" w:rsidRDefault="00000000">
            <w:pPr>
              <w:pStyle w:val="TableParagraph"/>
              <w:spacing w:line="177" w:lineRule="exact"/>
              <w:ind w:left="107"/>
              <w:rPr>
                <w:rFonts w:ascii="Verdana" w:hAnsi="Verdana"/>
                <w:sz w:val="18"/>
                <w:szCs w:val="18"/>
              </w:rPr>
            </w:pPr>
            <w:r w:rsidRPr="00EC75B7">
              <w:rPr>
                <w:rFonts w:ascii="Verdana" w:hAnsi="Verdana"/>
                <w:sz w:val="18"/>
                <w:szCs w:val="18"/>
              </w:rPr>
              <w:t xml:space="preserve">exceed the </w:t>
            </w:r>
            <w:r w:rsidRPr="00EC75B7">
              <w:rPr>
                <w:rFonts w:ascii="Verdana" w:hAnsi="Verdana"/>
                <w:spacing w:val="-5"/>
                <w:sz w:val="18"/>
                <w:szCs w:val="18"/>
              </w:rPr>
              <w:t xml:space="preserve">noise </w:t>
            </w:r>
            <w:r w:rsidRPr="00EC75B7">
              <w:rPr>
                <w:rFonts w:ascii="Verdana" w:hAnsi="Verdana"/>
                <w:sz w:val="18"/>
                <w:szCs w:val="18"/>
              </w:rPr>
              <w:t>level</w:t>
            </w:r>
          </w:p>
        </w:tc>
        <w:tc>
          <w:tcPr>
            <w:tcW w:w="4804" w:type="dxa"/>
            <w:tcBorders>
              <w:top w:val="nil"/>
              <w:bottom w:val="nil"/>
            </w:tcBorders>
            <w:shd w:val="clear" w:color="auto" w:fill="D9D9D9"/>
          </w:tcPr>
          <w:p w14:paraId="03F64A38"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w:t>
            </w:r>
          </w:p>
        </w:tc>
      </w:tr>
    </w:tbl>
    <w:p w14:paraId="37DD7A82" w14:textId="77777777" w:rsidR="008715BE" w:rsidRPr="00EC75B7" w:rsidRDefault="008715BE">
      <w:pPr>
        <w:pStyle w:val="TableParagraph"/>
        <w:spacing w:line="194" w:lineRule="exact"/>
        <w:rPr>
          <w:rFonts w:ascii="Verdana" w:hAnsi="Verdana"/>
          <w:sz w:val="18"/>
          <w:szCs w:val="18"/>
        </w:rPr>
        <w:sectPr w:rsidR="008715BE" w:rsidRPr="00EC75B7">
          <w:headerReference w:type="default" r:id="rId217"/>
          <w:footerReference w:type="default" r:id="rId218"/>
          <w:pgSz w:w="11910" w:h="16840"/>
          <w:pgMar w:top="1320" w:right="850" w:bottom="1020" w:left="1133" w:header="766" w:footer="824" w:gutter="0"/>
          <w:cols w:space="708"/>
        </w:sectPr>
      </w:pPr>
    </w:p>
    <w:p w14:paraId="46B1A20C"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47"/>
        <w:gridCol w:w="3265"/>
        <w:gridCol w:w="4804"/>
      </w:tblGrid>
      <w:tr w:rsidR="008715BE" w:rsidRPr="00EC75B7" w14:paraId="181D2CDB" w14:textId="77777777">
        <w:trPr>
          <w:trHeight w:val="388"/>
        </w:trPr>
        <w:tc>
          <w:tcPr>
            <w:tcW w:w="1647" w:type="dxa"/>
            <w:shd w:val="clear" w:color="auto" w:fill="00AFEF"/>
          </w:tcPr>
          <w:p w14:paraId="27A2718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3265" w:type="dxa"/>
            <w:shd w:val="clear" w:color="auto" w:fill="00AFEF"/>
          </w:tcPr>
          <w:p w14:paraId="1DE98F8D"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4804" w:type="dxa"/>
            <w:shd w:val="clear" w:color="auto" w:fill="00AFEF"/>
          </w:tcPr>
          <w:p w14:paraId="2434C959"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Areas identified in the </w:t>
            </w:r>
            <w:r w:rsidRPr="00EC75B7">
              <w:rPr>
                <w:rFonts w:ascii="Verdana" w:hAnsi="Verdana"/>
                <w:b/>
                <w:color w:val="FFFFFF"/>
                <w:spacing w:val="-2"/>
                <w:sz w:val="18"/>
                <w:szCs w:val="18"/>
              </w:rPr>
              <w:t xml:space="preserve">project </w:t>
            </w:r>
            <w:r w:rsidRPr="00EC75B7">
              <w:rPr>
                <w:rFonts w:ascii="Verdana" w:hAnsi="Verdana"/>
                <w:b/>
                <w:color w:val="FFFFFF"/>
                <w:sz w:val="18"/>
                <w:szCs w:val="18"/>
              </w:rPr>
              <w:t>implementation area</w:t>
            </w:r>
          </w:p>
        </w:tc>
      </w:tr>
      <w:tr w:rsidR="008715BE" w:rsidRPr="00EC75B7" w14:paraId="0C5409AA" w14:textId="77777777">
        <w:trPr>
          <w:trHeight w:val="582"/>
        </w:trPr>
        <w:tc>
          <w:tcPr>
            <w:tcW w:w="1647" w:type="dxa"/>
            <w:shd w:val="clear" w:color="auto" w:fill="92D050"/>
          </w:tcPr>
          <w:p w14:paraId="324E9903" w14:textId="77777777" w:rsidR="008715BE" w:rsidRPr="00EC75B7" w:rsidRDefault="008715BE">
            <w:pPr>
              <w:pStyle w:val="TableParagraph"/>
              <w:rPr>
                <w:rFonts w:ascii="Verdana" w:hAnsi="Verdana"/>
                <w:sz w:val="18"/>
                <w:szCs w:val="18"/>
              </w:rPr>
            </w:pPr>
          </w:p>
        </w:tc>
        <w:tc>
          <w:tcPr>
            <w:tcW w:w="3265" w:type="dxa"/>
            <w:shd w:val="clear" w:color="auto" w:fill="D9D9D9"/>
          </w:tcPr>
          <w:p w14:paraId="0C50DE90" w14:textId="77777777" w:rsidR="008715BE" w:rsidRPr="00EC75B7" w:rsidRDefault="00000000">
            <w:pPr>
              <w:pStyle w:val="TableParagraph"/>
              <w:spacing w:line="194" w:lineRule="exact"/>
              <w:ind w:left="107" w:right="92"/>
              <w:jc w:val="both"/>
              <w:rPr>
                <w:rFonts w:ascii="Verdana" w:hAnsi="Verdana"/>
                <w:sz w:val="18"/>
                <w:szCs w:val="18"/>
              </w:rPr>
            </w:pPr>
            <w:r w:rsidRPr="00EC75B7">
              <w:rPr>
                <w:rFonts w:ascii="Verdana" w:hAnsi="Verdana"/>
                <w:sz w:val="18"/>
                <w:szCs w:val="18"/>
              </w:rPr>
              <w:t>during the day and at night, and there is no prospect of it being exceeded in the short term (1-3 years)</w:t>
            </w:r>
          </w:p>
        </w:tc>
        <w:tc>
          <w:tcPr>
            <w:tcW w:w="4804" w:type="dxa"/>
            <w:shd w:val="clear" w:color="auto" w:fill="D9D9D9"/>
          </w:tcPr>
          <w:p w14:paraId="1576DEF5" w14:textId="77777777" w:rsidR="008715BE" w:rsidRPr="00EC75B7" w:rsidRDefault="008715BE">
            <w:pPr>
              <w:pStyle w:val="TableParagraph"/>
              <w:rPr>
                <w:rFonts w:ascii="Verdana" w:hAnsi="Verdana"/>
                <w:sz w:val="18"/>
                <w:szCs w:val="18"/>
              </w:rPr>
            </w:pPr>
          </w:p>
        </w:tc>
      </w:tr>
      <w:tr w:rsidR="008715BE" w:rsidRPr="00EC75B7" w14:paraId="3589C264" w14:textId="77777777">
        <w:trPr>
          <w:trHeight w:val="973"/>
        </w:trPr>
        <w:tc>
          <w:tcPr>
            <w:tcW w:w="1647" w:type="dxa"/>
            <w:shd w:val="clear" w:color="auto" w:fill="FFFF00"/>
          </w:tcPr>
          <w:p w14:paraId="0F037C21"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3265" w:type="dxa"/>
          </w:tcPr>
          <w:p w14:paraId="13BDA867" w14:textId="77777777" w:rsidR="008715BE" w:rsidRPr="00EC75B7" w:rsidRDefault="00000000">
            <w:pPr>
              <w:pStyle w:val="TableParagraph"/>
              <w:spacing w:before="8"/>
              <w:ind w:left="107" w:right="94"/>
              <w:jc w:val="both"/>
              <w:rPr>
                <w:rFonts w:ascii="Verdana" w:hAnsi="Verdana"/>
                <w:sz w:val="18"/>
                <w:szCs w:val="18"/>
              </w:rPr>
            </w:pPr>
            <w:r w:rsidRPr="00EC75B7">
              <w:rPr>
                <w:rFonts w:ascii="Verdana" w:hAnsi="Verdana"/>
                <w:sz w:val="18"/>
                <w:szCs w:val="18"/>
              </w:rPr>
              <w:t xml:space="preserve">Agglomerations and areas where noise levels are not exceeded during the day and night, but there is a prospect of them being exceeded </w:t>
            </w:r>
            <w:r w:rsidRPr="00EC75B7">
              <w:rPr>
                <w:rFonts w:ascii="Verdana" w:hAnsi="Verdana"/>
                <w:spacing w:val="-5"/>
                <w:sz w:val="18"/>
                <w:szCs w:val="18"/>
              </w:rPr>
              <w:t>in the</w:t>
            </w:r>
          </w:p>
          <w:p w14:paraId="6DF2238C" w14:textId="77777777" w:rsidR="008715BE" w:rsidRPr="00EC75B7" w:rsidRDefault="00000000">
            <w:pPr>
              <w:pStyle w:val="TableParagraph"/>
              <w:spacing w:line="164" w:lineRule="exact"/>
              <w:ind w:left="107"/>
              <w:jc w:val="both"/>
              <w:rPr>
                <w:rFonts w:ascii="Verdana" w:hAnsi="Verdana"/>
                <w:sz w:val="18"/>
                <w:szCs w:val="18"/>
              </w:rPr>
            </w:pPr>
            <w:r w:rsidRPr="00EC75B7">
              <w:rPr>
                <w:rFonts w:ascii="Verdana" w:hAnsi="Verdana"/>
                <w:sz w:val="18"/>
                <w:szCs w:val="18"/>
              </w:rPr>
              <w:t xml:space="preserve">short term (1–3 </w:t>
            </w:r>
            <w:r w:rsidRPr="00EC75B7">
              <w:rPr>
                <w:rFonts w:ascii="Verdana" w:hAnsi="Verdana"/>
                <w:spacing w:val="-4"/>
                <w:sz w:val="18"/>
                <w:szCs w:val="18"/>
              </w:rPr>
              <w:t>years).</w:t>
            </w:r>
          </w:p>
        </w:tc>
        <w:tc>
          <w:tcPr>
            <w:tcW w:w="4804" w:type="dxa"/>
          </w:tcPr>
          <w:p w14:paraId="7D4AB189" w14:textId="77777777" w:rsidR="008715BE" w:rsidRPr="00EC75B7" w:rsidRDefault="008715BE">
            <w:pPr>
              <w:pStyle w:val="TableParagraph"/>
              <w:rPr>
                <w:rFonts w:ascii="Verdana" w:hAnsi="Verdana"/>
                <w:sz w:val="18"/>
                <w:szCs w:val="18"/>
              </w:rPr>
            </w:pPr>
          </w:p>
        </w:tc>
      </w:tr>
      <w:tr w:rsidR="008715BE" w:rsidRPr="00EC75B7" w14:paraId="55A7152D" w14:textId="77777777">
        <w:trPr>
          <w:trHeight w:val="582"/>
        </w:trPr>
        <w:tc>
          <w:tcPr>
            <w:tcW w:w="1647" w:type="dxa"/>
            <w:shd w:val="clear" w:color="auto" w:fill="FAE3D4"/>
          </w:tcPr>
          <w:p w14:paraId="00F3464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Large</w:t>
            </w:r>
          </w:p>
        </w:tc>
        <w:tc>
          <w:tcPr>
            <w:tcW w:w="3265" w:type="dxa"/>
            <w:shd w:val="clear" w:color="auto" w:fill="D9D9D9"/>
          </w:tcPr>
          <w:p w14:paraId="0FDBE45E" w14:textId="77777777" w:rsidR="008715BE" w:rsidRPr="00EC75B7" w:rsidRDefault="00000000">
            <w:pPr>
              <w:pStyle w:val="TableParagraph"/>
              <w:spacing w:line="194" w:lineRule="exact"/>
              <w:ind w:left="107" w:right="92"/>
              <w:jc w:val="both"/>
              <w:rPr>
                <w:rFonts w:ascii="Verdana" w:hAnsi="Verdana"/>
                <w:sz w:val="18"/>
                <w:szCs w:val="18"/>
              </w:rPr>
            </w:pPr>
            <w:r w:rsidRPr="00EC75B7">
              <w:rPr>
                <w:rFonts w:ascii="Verdana" w:hAnsi="Verdana"/>
                <w:sz w:val="18"/>
                <w:szCs w:val="18"/>
              </w:rPr>
              <w:t>Agglomerations and areas where noise levels are occasionally exceeded during the day and at night</w:t>
            </w:r>
          </w:p>
        </w:tc>
        <w:tc>
          <w:tcPr>
            <w:tcW w:w="4804" w:type="dxa"/>
            <w:shd w:val="clear" w:color="auto" w:fill="D9D9D9"/>
          </w:tcPr>
          <w:p w14:paraId="01D4A41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48CCC6B6" w14:textId="77777777">
        <w:trPr>
          <w:trHeight w:val="582"/>
        </w:trPr>
        <w:tc>
          <w:tcPr>
            <w:tcW w:w="1647" w:type="dxa"/>
            <w:shd w:val="clear" w:color="auto" w:fill="FF0000"/>
          </w:tcPr>
          <w:p w14:paraId="05E43E4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3265" w:type="dxa"/>
          </w:tcPr>
          <w:p w14:paraId="2034D659" w14:textId="77777777" w:rsidR="008715BE" w:rsidRPr="00EC75B7" w:rsidRDefault="00000000">
            <w:pPr>
              <w:pStyle w:val="TableParagraph"/>
              <w:spacing w:line="194" w:lineRule="exact"/>
              <w:ind w:left="107" w:right="96"/>
              <w:jc w:val="both"/>
              <w:rPr>
                <w:rFonts w:ascii="Verdana" w:hAnsi="Verdana"/>
                <w:sz w:val="18"/>
                <w:szCs w:val="18"/>
              </w:rPr>
            </w:pPr>
            <w:r w:rsidRPr="00EC75B7">
              <w:rPr>
                <w:rFonts w:ascii="Verdana" w:hAnsi="Verdana"/>
                <w:sz w:val="18"/>
                <w:szCs w:val="18"/>
              </w:rPr>
              <w:t>Agglomerations and areas where noise levels are frequently exceeded during the day and at night</w:t>
            </w:r>
          </w:p>
        </w:tc>
        <w:tc>
          <w:tcPr>
            <w:tcW w:w="4804" w:type="dxa"/>
          </w:tcPr>
          <w:p w14:paraId="260FD78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bl>
    <w:p w14:paraId="72F01E70" w14:textId="77777777" w:rsidR="008715BE" w:rsidRPr="00EC75B7" w:rsidRDefault="008715BE">
      <w:pPr>
        <w:pStyle w:val="BodyText"/>
        <w:rPr>
          <w:rFonts w:ascii="Verdana" w:hAnsi="Verdana"/>
          <w:b/>
        </w:rPr>
      </w:pPr>
    </w:p>
    <w:p w14:paraId="00CCA53A" w14:textId="77777777" w:rsidR="008715BE" w:rsidRPr="00EC75B7" w:rsidRDefault="008715BE">
      <w:pPr>
        <w:pStyle w:val="BodyText"/>
        <w:spacing w:before="21"/>
        <w:rPr>
          <w:rFonts w:ascii="Verdana" w:hAnsi="Verdana"/>
          <w:b/>
        </w:rPr>
      </w:pPr>
    </w:p>
    <w:p w14:paraId="45EB6355" w14:textId="77777777" w:rsidR="008715BE" w:rsidRPr="00EC75B7" w:rsidRDefault="00000000">
      <w:pPr>
        <w:pStyle w:val="BodyText"/>
        <w:ind w:left="57"/>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724E95BC" w14:textId="77777777" w:rsidR="008715BE" w:rsidRPr="00EC75B7" w:rsidRDefault="008715BE">
      <w:pPr>
        <w:pStyle w:val="BodyText"/>
        <w:spacing w:before="58"/>
        <w:rPr>
          <w:rFonts w:ascii="Verdana" w:hAnsi="Verdana"/>
        </w:rPr>
      </w:pPr>
    </w:p>
    <w:p w14:paraId="4BD33B24"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46 Magnitude classes for </w:t>
      </w:r>
      <w:r w:rsidRPr="00EC75B7">
        <w:rPr>
          <w:rFonts w:ascii="Verdana" w:hAnsi="Verdana"/>
          <w:b/>
          <w:color w:val="00AFEF"/>
          <w:spacing w:val="-2"/>
          <w:sz w:val="18"/>
          <w:szCs w:val="18"/>
        </w:rPr>
        <w:t>noise</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97"/>
        <w:gridCol w:w="3416"/>
      </w:tblGrid>
      <w:tr w:rsidR="008715BE" w:rsidRPr="00EC75B7" w14:paraId="6B1827DE" w14:textId="77777777">
        <w:trPr>
          <w:trHeight w:val="390"/>
        </w:trPr>
        <w:tc>
          <w:tcPr>
            <w:tcW w:w="1803" w:type="dxa"/>
            <w:shd w:val="clear" w:color="auto" w:fill="00AFEF"/>
          </w:tcPr>
          <w:p w14:paraId="0190B903" w14:textId="77777777" w:rsidR="008715BE" w:rsidRPr="00EC75B7" w:rsidRDefault="00000000">
            <w:pPr>
              <w:pStyle w:val="TableParagraph"/>
              <w:spacing w:before="2" w:line="195" w:lineRule="exact"/>
              <w:ind w:left="108"/>
              <w:rPr>
                <w:rFonts w:ascii="Verdana" w:hAnsi="Verdana"/>
                <w:b/>
                <w:sz w:val="18"/>
                <w:szCs w:val="18"/>
              </w:rPr>
            </w:pPr>
            <w:r w:rsidRPr="00EC75B7">
              <w:rPr>
                <w:rFonts w:ascii="Verdana" w:hAnsi="Verdana"/>
                <w:b/>
                <w:color w:val="FFFFFF"/>
                <w:spacing w:val="-4"/>
                <w:sz w:val="18"/>
                <w:szCs w:val="18"/>
              </w:rPr>
              <w:t>Class</w:t>
            </w:r>
          </w:p>
          <w:p w14:paraId="28164EE8"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4297" w:type="dxa"/>
            <w:shd w:val="clear" w:color="auto" w:fill="00AFEF"/>
          </w:tcPr>
          <w:p w14:paraId="7ADDD134" w14:textId="77777777" w:rsidR="008715BE" w:rsidRPr="00EC75B7" w:rsidRDefault="00000000">
            <w:pPr>
              <w:pStyle w:val="TableParagraph"/>
              <w:spacing w:before="2"/>
              <w:ind w:left="10"/>
              <w:jc w:val="center"/>
              <w:rPr>
                <w:rFonts w:ascii="Verdana" w:hAnsi="Verdana"/>
                <w:b/>
                <w:sz w:val="18"/>
                <w:szCs w:val="18"/>
              </w:rPr>
            </w:pPr>
            <w:r w:rsidRPr="00EC75B7">
              <w:rPr>
                <w:rFonts w:ascii="Verdana" w:hAnsi="Verdana"/>
                <w:b/>
                <w:color w:val="FFFFFF"/>
                <w:spacing w:val="-2"/>
                <w:sz w:val="18"/>
                <w:szCs w:val="18"/>
              </w:rPr>
              <w:t>Description</w:t>
            </w:r>
          </w:p>
        </w:tc>
        <w:tc>
          <w:tcPr>
            <w:tcW w:w="3416" w:type="dxa"/>
            <w:shd w:val="clear" w:color="auto" w:fill="00AFEF"/>
          </w:tcPr>
          <w:p w14:paraId="2AAFA2B4" w14:textId="77777777" w:rsidR="008715BE" w:rsidRPr="00EC75B7" w:rsidRDefault="00000000">
            <w:pPr>
              <w:pStyle w:val="TableParagraph"/>
              <w:spacing w:before="2" w:line="195" w:lineRule="exact"/>
              <w:ind w:left="110"/>
              <w:rPr>
                <w:rFonts w:ascii="Verdana" w:hAnsi="Verdana"/>
                <w:b/>
                <w:sz w:val="18"/>
                <w:szCs w:val="18"/>
              </w:rPr>
            </w:pPr>
            <w:r w:rsidRPr="00EC75B7">
              <w:rPr>
                <w:rFonts w:ascii="Verdana" w:hAnsi="Verdana"/>
                <w:b/>
                <w:color w:val="FFFFFF"/>
                <w:spacing w:val="25"/>
                <w:sz w:val="18"/>
                <w:szCs w:val="18"/>
              </w:rPr>
              <w:t xml:space="preserve">  </w:t>
            </w:r>
            <w:r w:rsidRPr="00EC75B7">
              <w:rPr>
                <w:rFonts w:ascii="Verdana" w:hAnsi="Verdana"/>
                <w:b/>
                <w:color w:val="FFFFFF"/>
                <w:sz w:val="18"/>
                <w:szCs w:val="18"/>
              </w:rPr>
              <w:t xml:space="preserve"> e magnitude identified</w:t>
            </w:r>
            <w:r w:rsidRPr="00EC75B7">
              <w:rPr>
                <w:rFonts w:ascii="Verdana" w:hAnsi="Verdana"/>
                <w:b/>
                <w:color w:val="FFFFFF"/>
                <w:spacing w:val="24"/>
                <w:sz w:val="18"/>
                <w:szCs w:val="18"/>
              </w:rPr>
              <w:t xml:space="preserve">  </w:t>
            </w:r>
            <w:r w:rsidRPr="00EC75B7">
              <w:rPr>
                <w:rFonts w:ascii="Verdana" w:hAnsi="Verdana"/>
                <w:b/>
                <w:color w:val="FFFFFF"/>
                <w:spacing w:val="-2"/>
                <w:sz w:val="18"/>
                <w:szCs w:val="18"/>
              </w:rPr>
              <w:t xml:space="preserve"> for</w:t>
            </w:r>
          </w:p>
          <w:p w14:paraId="2F01975A" w14:textId="77777777" w:rsidR="008715BE" w:rsidRPr="00EC75B7" w:rsidRDefault="00000000">
            <w:pPr>
              <w:pStyle w:val="TableParagraph"/>
              <w:spacing w:line="174" w:lineRule="exact"/>
              <w:ind w:left="110"/>
              <w:rPr>
                <w:rFonts w:ascii="Verdana" w:hAnsi="Verdana"/>
                <w:b/>
                <w:sz w:val="18"/>
                <w:szCs w:val="18"/>
              </w:rPr>
            </w:pPr>
            <w:r w:rsidRPr="00EC75B7">
              <w:rPr>
                <w:rFonts w:ascii="Verdana" w:hAnsi="Verdana"/>
                <w:b/>
                <w:color w:val="FFFFFF"/>
                <w:sz w:val="18"/>
                <w:szCs w:val="18"/>
              </w:rPr>
              <w:t xml:space="preserve">the </w:t>
            </w:r>
            <w:r w:rsidRPr="00EC75B7">
              <w:rPr>
                <w:rFonts w:ascii="Verdana" w:hAnsi="Verdana"/>
                <w:b/>
                <w:color w:val="FFFFFF"/>
                <w:spacing w:val="-2"/>
                <w:sz w:val="18"/>
                <w:szCs w:val="18"/>
              </w:rPr>
              <w:t xml:space="preserve">regional </w:t>
            </w:r>
            <w:r w:rsidRPr="00EC75B7">
              <w:rPr>
                <w:rFonts w:ascii="Verdana" w:hAnsi="Verdana"/>
                <w:b/>
                <w:color w:val="FFFFFF"/>
                <w:sz w:val="18"/>
                <w:szCs w:val="18"/>
              </w:rPr>
              <w:t>project</w:t>
            </w:r>
          </w:p>
        </w:tc>
      </w:tr>
      <w:tr w:rsidR="008715BE" w:rsidRPr="00EC75B7" w14:paraId="59213A9E" w14:textId="77777777">
        <w:trPr>
          <w:trHeight w:val="333"/>
        </w:trPr>
        <w:tc>
          <w:tcPr>
            <w:tcW w:w="9516" w:type="dxa"/>
            <w:gridSpan w:val="3"/>
            <w:shd w:val="clear" w:color="auto" w:fill="ADAAAA"/>
          </w:tcPr>
          <w:p w14:paraId="18BE5721"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337C0E5D" w14:textId="77777777">
        <w:trPr>
          <w:trHeight w:val="973"/>
        </w:trPr>
        <w:tc>
          <w:tcPr>
            <w:tcW w:w="1803" w:type="dxa"/>
            <w:shd w:val="clear" w:color="auto" w:fill="F1F1F1"/>
          </w:tcPr>
          <w:p w14:paraId="6AD2B0FD"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spacing w:val="-4"/>
                <w:sz w:val="18"/>
                <w:szCs w:val="18"/>
              </w:rPr>
              <w:t>Small</w:t>
            </w:r>
          </w:p>
        </w:tc>
        <w:tc>
          <w:tcPr>
            <w:tcW w:w="4297" w:type="dxa"/>
            <w:shd w:val="clear" w:color="auto" w:fill="F1F1F1"/>
          </w:tcPr>
          <w:p w14:paraId="2FDCC1D6" w14:textId="77777777" w:rsidR="008715BE" w:rsidRPr="00EC75B7" w:rsidRDefault="00000000">
            <w:pPr>
              <w:pStyle w:val="TableParagraph"/>
              <w:spacing w:before="2"/>
              <w:ind w:left="107" w:right="93"/>
              <w:jc w:val="both"/>
              <w:rPr>
                <w:rFonts w:ascii="Verdana" w:hAnsi="Verdana"/>
                <w:sz w:val="18"/>
                <w:szCs w:val="18"/>
              </w:rPr>
            </w:pPr>
            <w:r w:rsidRPr="00EC75B7">
              <w:rPr>
                <w:rFonts w:ascii="Verdana" w:hAnsi="Verdana"/>
                <w:sz w:val="18"/>
                <w:szCs w:val="18"/>
              </w:rPr>
              <w:t xml:space="preserve">The project and existing values under the initial local conditions do not contribute materially to the total exposure of the population to noise pollution and do not create discomfort caused by the exposure of the population </w:t>
            </w:r>
            <w:r w:rsidRPr="00EC75B7">
              <w:rPr>
                <w:rFonts w:ascii="Verdana" w:hAnsi="Verdana"/>
                <w:spacing w:val="-5"/>
                <w:sz w:val="18"/>
                <w:szCs w:val="18"/>
              </w:rPr>
              <w:t>to</w:t>
            </w:r>
          </w:p>
          <w:p w14:paraId="4305062F" w14:textId="77777777" w:rsidR="008715BE" w:rsidRPr="00EC75B7" w:rsidRDefault="00000000">
            <w:pPr>
              <w:pStyle w:val="TableParagraph"/>
              <w:spacing w:line="171" w:lineRule="exact"/>
              <w:ind w:left="107"/>
              <w:jc w:val="both"/>
              <w:rPr>
                <w:rFonts w:ascii="Verdana" w:hAnsi="Verdana"/>
                <w:sz w:val="18"/>
                <w:szCs w:val="18"/>
              </w:rPr>
            </w:pPr>
            <w:r w:rsidRPr="00EC75B7">
              <w:rPr>
                <w:rFonts w:ascii="Verdana" w:hAnsi="Verdana"/>
                <w:spacing w:val="-2"/>
                <w:sz w:val="18"/>
                <w:szCs w:val="18"/>
              </w:rPr>
              <w:t>ambient noise.</w:t>
            </w:r>
          </w:p>
        </w:tc>
        <w:tc>
          <w:tcPr>
            <w:tcW w:w="3416" w:type="dxa"/>
            <w:shd w:val="clear" w:color="auto" w:fill="F1F1F1"/>
          </w:tcPr>
          <w:p w14:paraId="32CB11F1" w14:textId="77777777" w:rsidR="008715BE" w:rsidRPr="00EC75B7" w:rsidRDefault="008715BE">
            <w:pPr>
              <w:pStyle w:val="TableParagraph"/>
              <w:rPr>
                <w:rFonts w:ascii="Verdana" w:hAnsi="Verdana"/>
                <w:sz w:val="18"/>
                <w:szCs w:val="18"/>
              </w:rPr>
            </w:pPr>
          </w:p>
        </w:tc>
      </w:tr>
      <w:tr w:rsidR="008715BE" w:rsidRPr="00EC75B7" w14:paraId="2C8A3F17" w14:textId="77777777">
        <w:trPr>
          <w:trHeight w:val="1360"/>
        </w:trPr>
        <w:tc>
          <w:tcPr>
            <w:tcW w:w="1803" w:type="dxa"/>
          </w:tcPr>
          <w:p w14:paraId="393FC806"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Moderate</w:t>
            </w:r>
          </w:p>
        </w:tc>
        <w:tc>
          <w:tcPr>
            <w:tcW w:w="4297" w:type="dxa"/>
          </w:tcPr>
          <w:p w14:paraId="5EE95788"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The project and existing values under local initial conditions may contribute to occasional daytime exposure of the population to noise at levels higher than 55 dB(A).</w:t>
            </w:r>
          </w:p>
        </w:tc>
        <w:tc>
          <w:tcPr>
            <w:tcW w:w="3416" w:type="dxa"/>
          </w:tcPr>
          <w:p w14:paraId="38CFF5F1" w14:textId="77777777" w:rsidR="008715BE" w:rsidRPr="00EC75B7" w:rsidRDefault="00000000">
            <w:pPr>
              <w:pStyle w:val="TableParagraph"/>
              <w:tabs>
                <w:tab w:val="left" w:pos="992"/>
                <w:tab w:val="left" w:pos="2389"/>
              </w:tabs>
              <w:ind w:left="110" w:right="92"/>
              <w:jc w:val="both"/>
              <w:rPr>
                <w:rFonts w:ascii="Verdana" w:hAnsi="Verdana"/>
                <w:sz w:val="18"/>
                <w:szCs w:val="18"/>
              </w:rPr>
            </w:pPr>
            <w:r w:rsidRPr="00EC75B7">
              <w:rPr>
                <w:rFonts w:ascii="Verdana" w:hAnsi="Verdana"/>
                <w:spacing w:val="-4"/>
                <w:sz w:val="18"/>
                <w:szCs w:val="18"/>
              </w:rPr>
              <w:t>From</w:t>
            </w:r>
            <w:r w:rsidRPr="00EC75B7">
              <w:rPr>
                <w:rFonts w:ascii="Verdana" w:hAnsi="Verdana"/>
                <w:sz w:val="18"/>
                <w:szCs w:val="18"/>
              </w:rPr>
              <w:tab/>
            </w:r>
            <w:r w:rsidRPr="00EC75B7">
              <w:rPr>
                <w:rFonts w:ascii="Verdana" w:hAnsi="Verdana"/>
                <w:spacing w:val="-2"/>
                <w:sz w:val="18"/>
                <w:szCs w:val="18"/>
              </w:rPr>
              <w:t>the evaluation</w:t>
            </w:r>
            <w:r w:rsidRPr="00EC75B7">
              <w:rPr>
                <w:rFonts w:ascii="Verdana" w:hAnsi="Verdana"/>
                <w:sz w:val="18"/>
                <w:szCs w:val="18"/>
              </w:rPr>
              <w:tab/>
            </w:r>
            <w:r w:rsidRPr="00EC75B7">
              <w:rPr>
                <w:rFonts w:ascii="Verdana" w:hAnsi="Verdana"/>
                <w:spacing w:val="-2"/>
                <w:sz w:val="18"/>
                <w:szCs w:val="18"/>
              </w:rPr>
              <w:t xml:space="preserve">the results </w:t>
            </w:r>
            <w:r w:rsidRPr="00EC75B7">
              <w:rPr>
                <w:rFonts w:ascii="Verdana" w:hAnsi="Verdana"/>
                <w:sz w:val="18"/>
                <w:szCs w:val="18"/>
              </w:rPr>
              <w:t xml:space="preserve">of monitoring similar projects and following the qualitative assessment carried out for this project during the execution/decommissioning and operation stages, the </w:t>
            </w:r>
            <w:r w:rsidRPr="00EC75B7">
              <w:rPr>
                <w:rFonts w:ascii="Verdana" w:hAnsi="Verdana"/>
                <w:spacing w:val="-2"/>
                <w:sz w:val="18"/>
                <w:szCs w:val="18"/>
              </w:rPr>
              <w:t xml:space="preserve">specific </w:t>
            </w:r>
            <w:r w:rsidRPr="00EC75B7">
              <w:rPr>
                <w:rFonts w:ascii="Verdana" w:hAnsi="Verdana"/>
                <w:sz w:val="18"/>
                <w:szCs w:val="18"/>
              </w:rPr>
              <w:t>magnitude class</w:t>
            </w:r>
          </w:p>
          <w:p w14:paraId="1D1AE9DB" w14:textId="77777777" w:rsidR="008715BE" w:rsidRPr="00EC75B7" w:rsidRDefault="00000000">
            <w:pPr>
              <w:pStyle w:val="TableParagraph"/>
              <w:spacing w:line="169" w:lineRule="exact"/>
              <w:ind w:left="110"/>
              <w:jc w:val="both"/>
              <w:rPr>
                <w:rFonts w:ascii="Verdana" w:hAnsi="Verdana"/>
                <w:sz w:val="18"/>
                <w:szCs w:val="18"/>
              </w:rPr>
            </w:pPr>
            <w:r w:rsidRPr="00EC75B7">
              <w:rPr>
                <w:rFonts w:ascii="Verdana" w:hAnsi="Verdana"/>
                <w:sz w:val="18"/>
                <w:szCs w:val="18"/>
              </w:rPr>
              <w:t xml:space="preserve">of the project is </w:t>
            </w:r>
            <w:r w:rsidRPr="00EC75B7">
              <w:rPr>
                <w:rFonts w:ascii="Verdana" w:hAnsi="Verdana"/>
                <w:spacing w:val="-2"/>
                <w:sz w:val="18"/>
                <w:szCs w:val="18"/>
              </w:rPr>
              <w:t xml:space="preserve">moderately </w:t>
            </w:r>
            <w:r w:rsidRPr="00EC75B7">
              <w:rPr>
                <w:rFonts w:ascii="Verdana" w:hAnsi="Verdana"/>
                <w:sz w:val="18"/>
                <w:szCs w:val="18"/>
              </w:rPr>
              <w:t>negative</w:t>
            </w:r>
            <w:r w:rsidRPr="00EC75B7">
              <w:rPr>
                <w:rFonts w:ascii="Verdana" w:hAnsi="Verdana"/>
                <w:spacing w:val="-2"/>
                <w:sz w:val="18"/>
                <w:szCs w:val="18"/>
              </w:rPr>
              <w:t>.</w:t>
            </w:r>
          </w:p>
        </w:tc>
      </w:tr>
      <w:tr w:rsidR="008715BE" w:rsidRPr="00EC75B7" w14:paraId="6380EC0B" w14:textId="77777777">
        <w:trPr>
          <w:trHeight w:val="777"/>
        </w:trPr>
        <w:tc>
          <w:tcPr>
            <w:tcW w:w="1803" w:type="dxa"/>
            <w:shd w:val="clear" w:color="auto" w:fill="F1F1F1"/>
          </w:tcPr>
          <w:p w14:paraId="4EA3289A"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4"/>
                <w:sz w:val="18"/>
                <w:szCs w:val="18"/>
              </w:rPr>
              <w:t>High</w:t>
            </w:r>
          </w:p>
        </w:tc>
        <w:tc>
          <w:tcPr>
            <w:tcW w:w="4297" w:type="dxa"/>
            <w:shd w:val="clear" w:color="auto" w:fill="F1F1F1"/>
          </w:tcPr>
          <w:p w14:paraId="64596E37"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 xml:space="preserve">The project and the existing values in the initial local conditions may contribute to the continuous exposure of the population to noise during the day, at values higher </w:t>
            </w:r>
            <w:r w:rsidRPr="00EC75B7">
              <w:rPr>
                <w:rFonts w:ascii="Verdana" w:hAnsi="Verdana"/>
                <w:spacing w:val="-5"/>
                <w:sz w:val="18"/>
                <w:szCs w:val="18"/>
              </w:rPr>
              <w:t>than</w:t>
            </w:r>
          </w:p>
          <w:p w14:paraId="55E61EC1" w14:textId="77777777" w:rsidR="008715BE" w:rsidRPr="00EC75B7" w:rsidRDefault="00000000">
            <w:pPr>
              <w:pStyle w:val="TableParagraph"/>
              <w:spacing w:line="172" w:lineRule="exact"/>
              <w:ind w:left="107"/>
              <w:jc w:val="both"/>
              <w:rPr>
                <w:rFonts w:ascii="Verdana" w:hAnsi="Verdana"/>
                <w:sz w:val="18"/>
                <w:szCs w:val="18"/>
              </w:rPr>
            </w:pPr>
            <w:r w:rsidRPr="00EC75B7">
              <w:rPr>
                <w:rFonts w:ascii="Verdana" w:hAnsi="Verdana"/>
                <w:sz w:val="18"/>
                <w:szCs w:val="18"/>
              </w:rPr>
              <w:t xml:space="preserve">55 </w:t>
            </w:r>
            <w:r w:rsidRPr="00EC75B7">
              <w:rPr>
                <w:rFonts w:ascii="Verdana" w:hAnsi="Verdana"/>
                <w:spacing w:val="-2"/>
                <w:sz w:val="18"/>
                <w:szCs w:val="18"/>
              </w:rPr>
              <w:t>dB(A).</w:t>
            </w:r>
          </w:p>
        </w:tc>
        <w:tc>
          <w:tcPr>
            <w:tcW w:w="3416" w:type="dxa"/>
            <w:shd w:val="clear" w:color="auto" w:fill="F1F1F1"/>
          </w:tcPr>
          <w:p w14:paraId="7836A5BB"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z w:val="18"/>
                <w:szCs w:val="18"/>
              </w:rPr>
              <w:t>-</w:t>
            </w:r>
          </w:p>
        </w:tc>
      </w:tr>
      <w:tr w:rsidR="008715BE" w:rsidRPr="00EC75B7" w14:paraId="7DF61667" w14:textId="77777777">
        <w:trPr>
          <w:trHeight w:val="193"/>
        </w:trPr>
        <w:tc>
          <w:tcPr>
            <w:tcW w:w="9516" w:type="dxa"/>
            <w:gridSpan w:val="3"/>
            <w:shd w:val="clear" w:color="auto" w:fill="ADAAAA"/>
          </w:tcPr>
          <w:p w14:paraId="63EC5E9A"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15995805" w14:textId="77777777">
        <w:trPr>
          <w:trHeight w:val="390"/>
        </w:trPr>
        <w:tc>
          <w:tcPr>
            <w:tcW w:w="1803" w:type="dxa"/>
            <w:shd w:val="clear" w:color="auto" w:fill="F1F1F1"/>
          </w:tcPr>
          <w:p w14:paraId="64C6732A" w14:textId="77777777" w:rsidR="008715BE" w:rsidRPr="00EC75B7" w:rsidRDefault="008715BE">
            <w:pPr>
              <w:pStyle w:val="TableParagraph"/>
              <w:rPr>
                <w:rFonts w:ascii="Verdana" w:hAnsi="Verdana"/>
                <w:sz w:val="18"/>
                <w:szCs w:val="18"/>
              </w:rPr>
            </w:pPr>
          </w:p>
        </w:tc>
        <w:tc>
          <w:tcPr>
            <w:tcW w:w="4297" w:type="dxa"/>
            <w:shd w:val="clear" w:color="auto" w:fill="F1F1F1"/>
          </w:tcPr>
          <w:p w14:paraId="2C3CF4F1" w14:textId="77777777" w:rsidR="008715BE" w:rsidRPr="00EC75B7" w:rsidRDefault="00000000">
            <w:pPr>
              <w:pStyle w:val="TableParagraph"/>
              <w:spacing w:before="2" w:line="195" w:lineRule="exact"/>
              <w:ind w:left="107"/>
              <w:rPr>
                <w:rFonts w:ascii="Verdana" w:hAnsi="Verdana"/>
                <w:sz w:val="18"/>
                <w:szCs w:val="18"/>
              </w:rPr>
            </w:pPr>
            <w:r w:rsidRPr="00EC75B7">
              <w:rPr>
                <w:rFonts w:ascii="Verdana" w:hAnsi="Verdana"/>
                <w:sz w:val="18"/>
                <w:szCs w:val="18"/>
              </w:rPr>
              <w:t xml:space="preserve">There was no change in noise levels, </w:t>
            </w:r>
            <w:r w:rsidRPr="00EC75B7">
              <w:rPr>
                <w:rFonts w:ascii="Verdana" w:hAnsi="Verdana"/>
                <w:spacing w:val="-5"/>
                <w:sz w:val="18"/>
                <w:szCs w:val="18"/>
              </w:rPr>
              <w:t>and</w:t>
            </w:r>
          </w:p>
          <w:p w14:paraId="398D7D7E"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z w:val="18"/>
                <w:szCs w:val="18"/>
              </w:rPr>
              <w:t xml:space="preserve">sources of </w:t>
            </w:r>
            <w:r w:rsidRPr="00EC75B7">
              <w:rPr>
                <w:rFonts w:ascii="Verdana" w:hAnsi="Verdana"/>
                <w:spacing w:val="-2"/>
                <w:sz w:val="18"/>
                <w:szCs w:val="18"/>
              </w:rPr>
              <w:t xml:space="preserve">noise </w:t>
            </w:r>
            <w:r w:rsidRPr="00EC75B7">
              <w:rPr>
                <w:rFonts w:ascii="Verdana" w:hAnsi="Verdana"/>
                <w:sz w:val="18"/>
                <w:szCs w:val="18"/>
              </w:rPr>
              <w:t>have been identified</w:t>
            </w:r>
          </w:p>
        </w:tc>
        <w:tc>
          <w:tcPr>
            <w:tcW w:w="3416" w:type="dxa"/>
            <w:shd w:val="clear" w:color="auto" w:fill="F1F1F1"/>
          </w:tcPr>
          <w:p w14:paraId="0414309B" w14:textId="77777777" w:rsidR="008715BE" w:rsidRPr="00EC75B7" w:rsidRDefault="00000000">
            <w:pPr>
              <w:pStyle w:val="TableParagraph"/>
              <w:spacing w:before="2"/>
              <w:ind w:left="110"/>
              <w:rPr>
                <w:rFonts w:ascii="Verdana" w:hAnsi="Verdana"/>
                <w:sz w:val="18"/>
                <w:szCs w:val="18"/>
              </w:rPr>
            </w:pPr>
            <w:r w:rsidRPr="00EC75B7">
              <w:rPr>
                <w:rFonts w:ascii="Verdana" w:hAnsi="Verdana"/>
                <w:sz w:val="18"/>
                <w:szCs w:val="18"/>
              </w:rPr>
              <w:t>-</w:t>
            </w:r>
          </w:p>
        </w:tc>
      </w:tr>
    </w:tbl>
    <w:p w14:paraId="36D263A6" w14:textId="77777777" w:rsidR="008715BE" w:rsidRPr="00EC75B7" w:rsidRDefault="008715BE">
      <w:pPr>
        <w:pStyle w:val="BodyText"/>
        <w:rPr>
          <w:rFonts w:ascii="Verdana" w:hAnsi="Verdana"/>
          <w:b/>
        </w:rPr>
      </w:pPr>
    </w:p>
    <w:p w14:paraId="4045BB1C" w14:textId="77777777" w:rsidR="008715BE" w:rsidRPr="00EC75B7" w:rsidRDefault="008715BE">
      <w:pPr>
        <w:pStyle w:val="BodyText"/>
        <w:spacing w:before="184"/>
        <w:rPr>
          <w:rFonts w:ascii="Verdana" w:hAnsi="Verdana"/>
          <w:b/>
        </w:rPr>
      </w:pPr>
    </w:p>
    <w:p w14:paraId="4E27F8EA" w14:textId="77777777" w:rsidR="008715BE" w:rsidRPr="00EC75B7" w:rsidRDefault="00000000">
      <w:pPr>
        <w:pStyle w:val="Heading3"/>
        <w:numPr>
          <w:ilvl w:val="2"/>
          <w:numId w:val="110"/>
        </w:numPr>
        <w:tabs>
          <w:tab w:val="left" w:pos="2037"/>
        </w:tabs>
        <w:spacing w:before="1"/>
        <w:ind w:left="2037" w:hanging="986"/>
        <w:rPr>
          <w:rFonts w:ascii="Verdana" w:hAnsi="Verdana"/>
          <w:i/>
          <w:color w:val="00AFEF"/>
          <w:sz w:val="18"/>
          <w:szCs w:val="18"/>
        </w:rPr>
      </w:pPr>
      <w:bookmarkStart w:id="103" w:name="_bookmark104"/>
      <w:bookmarkEnd w:id="103"/>
      <w:r w:rsidRPr="00EC75B7">
        <w:rPr>
          <w:rFonts w:ascii="Verdana" w:hAnsi="Verdana"/>
          <w:color w:val="00AFEF"/>
          <w:spacing w:val="-2"/>
          <w:sz w:val="18"/>
          <w:szCs w:val="18"/>
        </w:rPr>
        <w:t xml:space="preserve">Significance </w:t>
      </w:r>
      <w:r w:rsidRPr="00EC75B7">
        <w:rPr>
          <w:rFonts w:ascii="Verdana" w:hAnsi="Verdana"/>
          <w:color w:val="00AFEF"/>
          <w:sz w:val="18"/>
          <w:szCs w:val="18"/>
        </w:rPr>
        <w:t>thresholds</w:t>
      </w:r>
    </w:p>
    <w:p w14:paraId="6E84F761" w14:textId="77777777" w:rsidR="008715BE" w:rsidRPr="00EC75B7" w:rsidRDefault="008715BE">
      <w:pPr>
        <w:pStyle w:val="BodyText"/>
        <w:spacing w:before="113"/>
        <w:rPr>
          <w:rFonts w:ascii="Verdana" w:hAnsi="Verdana"/>
          <w:b/>
        </w:rPr>
      </w:pPr>
    </w:p>
    <w:p w14:paraId="7E13444A" w14:textId="77777777" w:rsidR="008715BE" w:rsidRPr="00EC75B7" w:rsidRDefault="00000000">
      <w:pPr>
        <w:pStyle w:val="BodyText"/>
        <w:spacing w:before="1" w:line="357" w:lineRule="auto"/>
        <w:ind w:left="86" w:right="142"/>
        <w:jc w:val="both"/>
        <w:rPr>
          <w:rFonts w:ascii="Verdana" w:hAnsi="Verdana"/>
        </w:rPr>
      </w:pPr>
      <w:r w:rsidRPr="00EC75B7">
        <w:rPr>
          <w:rFonts w:ascii="Verdana" w:hAnsi="Verdana"/>
        </w:rPr>
        <w:t>The assessment was made taking into account the limit values provided by Order 119/2014 for the approval of the Norms of hygiene and public health regarding the living environment of the population, with all subsequent amendments and additions, and the values provided by SR 10009:2017 - Acoustics in construction.</w:t>
      </w:r>
      <w:r w:rsidRPr="00EC75B7">
        <w:rPr>
          <w:rFonts w:ascii="Verdana" w:hAnsi="Verdana"/>
          <w:spacing w:val="40"/>
        </w:rPr>
        <w:t xml:space="preserve"> </w:t>
      </w:r>
      <w:r w:rsidRPr="00EC75B7">
        <w:rPr>
          <w:rFonts w:ascii="Verdana" w:hAnsi="Verdana"/>
        </w:rPr>
        <w:t>Urban acoustics. Permissible noise level limits.</w:t>
      </w:r>
    </w:p>
    <w:p w14:paraId="442FB50E" w14:textId="77777777" w:rsidR="008715BE" w:rsidRPr="00EC75B7" w:rsidRDefault="008715BE">
      <w:pPr>
        <w:pStyle w:val="BodyText"/>
        <w:spacing w:before="24"/>
        <w:rPr>
          <w:rFonts w:ascii="Verdana" w:hAnsi="Verdana"/>
        </w:rPr>
      </w:pPr>
    </w:p>
    <w:p w14:paraId="7541C2C2"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04" w:name="_bookmark105"/>
      <w:bookmarkEnd w:id="104"/>
      <w:r w:rsidRPr="00EC75B7">
        <w:rPr>
          <w:rFonts w:ascii="Verdana" w:hAnsi="Verdana"/>
          <w:color w:val="00AFEF"/>
          <w:spacing w:val="-2"/>
          <w:sz w:val="18"/>
          <w:szCs w:val="18"/>
        </w:rPr>
        <w:t xml:space="preserve">Impact </w:t>
      </w:r>
      <w:r w:rsidRPr="00EC75B7">
        <w:rPr>
          <w:rFonts w:ascii="Verdana" w:hAnsi="Verdana"/>
          <w:color w:val="00AFEF"/>
          <w:sz w:val="18"/>
          <w:szCs w:val="18"/>
        </w:rPr>
        <w:t>prediction</w:t>
      </w:r>
    </w:p>
    <w:p w14:paraId="76D98329" w14:textId="77777777" w:rsidR="008715BE" w:rsidRPr="00EC75B7" w:rsidRDefault="008715BE">
      <w:pPr>
        <w:pStyle w:val="BodyText"/>
        <w:spacing w:before="114"/>
        <w:rPr>
          <w:rFonts w:ascii="Verdana" w:hAnsi="Verdana"/>
          <w:b/>
        </w:rPr>
      </w:pPr>
    </w:p>
    <w:p w14:paraId="1189B14F" w14:textId="77777777" w:rsidR="008715BE" w:rsidRPr="00EC75B7" w:rsidRDefault="00000000">
      <w:pPr>
        <w:pStyle w:val="BodyText"/>
        <w:spacing w:line="360" w:lineRule="auto"/>
        <w:ind w:left="57"/>
        <w:rPr>
          <w:rFonts w:ascii="Verdana" w:hAnsi="Verdana"/>
        </w:rPr>
      </w:pPr>
      <w:r w:rsidRPr="00EC75B7">
        <w:rPr>
          <w:rFonts w:ascii="Verdana" w:hAnsi="Verdana"/>
        </w:rPr>
        <w:t>For a correct presentation of the various aspects related to the noise produced by different installations, three levels of observation must be taken into account:</w:t>
      </w:r>
    </w:p>
    <w:p w14:paraId="6A63EF73" w14:textId="77777777" w:rsidR="008715BE" w:rsidRPr="00EC75B7" w:rsidRDefault="00000000">
      <w:pPr>
        <w:pStyle w:val="ListParagraph"/>
        <w:numPr>
          <w:ilvl w:val="0"/>
          <w:numId w:val="53"/>
        </w:numPr>
        <w:tabs>
          <w:tab w:val="left" w:pos="777"/>
        </w:tabs>
        <w:spacing w:before="118"/>
        <w:rPr>
          <w:rFonts w:ascii="Verdana" w:hAnsi="Verdana"/>
          <w:sz w:val="18"/>
          <w:szCs w:val="18"/>
        </w:rPr>
      </w:pPr>
      <w:r w:rsidRPr="00EC75B7">
        <w:rPr>
          <w:rFonts w:ascii="Verdana" w:hAnsi="Verdana"/>
          <w:spacing w:val="-2"/>
          <w:sz w:val="18"/>
          <w:szCs w:val="18"/>
        </w:rPr>
        <w:t xml:space="preserve">source </w:t>
      </w:r>
      <w:r w:rsidRPr="00EC75B7">
        <w:rPr>
          <w:rFonts w:ascii="Verdana" w:hAnsi="Verdana"/>
          <w:sz w:val="18"/>
          <w:szCs w:val="18"/>
        </w:rPr>
        <w:t>noise</w:t>
      </w:r>
      <w:r w:rsidRPr="00EC75B7">
        <w:rPr>
          <w:rFonts w:ascii="Verdana" w:hAnsi="Verdana"/>
          <w:spacing w:val="-2"/>
          <w:sz w:val="18"/>
          <w:szCs w:val="18"/>
        </w:rPr>
        <w:t>;</w:t>
      </w:r>
    </w:p>
    <w:p w14:paraId="16E6011F" w14:textId="77777777" w:rsidR="008715BE" w:rsidRPr="00EC75B7" w:rsidRDefault="00000000">
      <w:pPr>
        <w:pStyle w:val="ListParagraph"/>
        <w:numPr>
          <w:ilvl w:val="0"/>
          <w:numId w:val="53"/>
        </w:numPr>
        <w:tabs>
          <w:tab w:val="left" w:pos="777"/>
        </w:tabs>
        <w:spacing w:before="109"/>
        <w:rPr>
          <w:rFonts w:ascii="Verdana" w:hAnsi="Verdana"/>
          <w:sz w:val="18"/>
          <w:szCs w:val="18"/>
        </w:rPr>
      </w:pPr>
      <w:r w:rsidRPr="00EC75B7">
        <w:rPr>
          <w:rFonts w:ascii="Verdana" w:hAnsi="Verdana"/>
          <w:spacing w:val="-2"/>
          <w:sz w:val="18"/>
          <w:szCs w:val="18"/>
        </w:rPr>
        <w:t xml:space="preserve">near-field </w:t>
      </w:r>
      <w:r w:rsidRPr="00EC75B7">
        <w:rPr>
          <w:rFonts w:ascii="Verdana" w:hAnsi="Verdana"/>
          <w:sz w:val="18"/>
          <w:szCs w:val="18"/>
        </w:rPr>
        <w:t>noise</w:t>
      </w:r>
      <w:r w:rsidRPr="00EC75B7">
        <w:rPr>
          <w:rFonts w:ascii="Verdana" w:hAnsi="Verdana"/>
          <w:spacing w:val="-2"/>
          <w:sz w:val="18"/>
          <w:szCs w:val="18"/>
        </w:rPr>
        <w:t>;</w:t>
      </w:r>
    </w:p>
    <w:p w14:paraId="10C5BCC9" w14:textId="77777777" w:rsidR="008715BE" w:rsidRPr="00EC75B7" w:rsidRDefault="00000000">
      <w:pPr>
        <w:pStyle w:val="ListParagraph"/>
        <w:numPr>
          <w:ilvl w:val="0"/>
          <w:numId w:val="53"/>
        </w:numPr>
        <w:tabs>
          <w:tab w:val="left" w:pos="777"/>
        </w:tabs>
        <w:spacing w:before="107"/>
        <w:rPr>
          <w:rFonts w:ascii="Verdana" w:hAnsi="Verdana"/>
          <w:sz w:val="18"/>
          <w:szCs w:val="18"/>
        </w:rPr>
      </w:pPr>
      <w:r w:rsidRPr="00EC75B7">
        <w:rPr>
          <w:rFonts w:ascii="Verdana" w:hAnsi="Verdana"/>
          <w:spacing w:val="-2"/>
          <w:sz w:val="18"/>
          <w:szCs w:val="18"/>
        </w:rPr>
        <w:t xml:space="preserve">far-field </w:t>
      </w:r>
      <w:r w:rsidRPr="00EC75B7">
        <w:rPr>
          <w:rFonts w:ascii="Verdana" w:hAnsi="Verdana"/>
          <w:sz w:val="18"/>
          <w:szCs w:val="18"/>
        </w:rPr>
        <w:t>noise</w:t>
      </w:r>
      <w:r w:rsidRPr="00EC75B7">
        <w:rPr>
          <w:rFonts w:ascii="Verdana" w:hAnsi="Verdana"/>
          <w:spacing w:val="-2"/>
          <w:sz w:val="18"/>
          <w:szCs w:val="18"/>
        </w:rPr>
        <w:t>.</w:t>
      </w:r>
    </w:p>
    <w:p w14:paraId="0CE8192E" w14:textId="77777777" w:rsidR="008715BE" w:rsidRPr="00EC75B7" w:rsidRDefault="00000000">
      <w:pPr>
        <w:pStyle w:val="BodyText"/>
        <w:spacing w:before="109"/>
        <w:ind w:left="57"/>
        <w:rPr>
          <w:rFonts w:ascii="Verdana" w:hAnsi="Verdana"/>
        </w:rPr>
      </w:pPr>
      <w:r w:rsidRPr="00EC75B7">
        <w:rPr>
          <w:rFonts w:ascii="Verdana" w:hAnsi="Verdana"/>
        </w:rPr>
        <w:t xml:space="preserve">Each of the three levels of observation has its </w:t>
      </w:r>
      <w:r w:rsidRPr="00EC75B7">
        <w:rPr>
          <w:rFonts w:ascii="Verdana" w:hAnsi="Verdana"/>
          <w:spacing w:val="-2"/>
        </w:rPr>
        <w:t xml:space="preserve">own </w:t>
      </w:r>
      <w:r w:rsidRPr="00EC75B7">
        <w:rPr>
          <w:rFonts w:ascii="Verdana" w:hAnsi="Verdana"/>
        </w:rPr>
        <w:t>characteristics</w:t>
      </w:r>
      <w:r w:rsidRPr="00EC75B7">
        <w:rPr>
          <w:rFonts w:ascii="Verdana" w:hAnsi="Verdana"/>
          <w:spacing w:val="-2"/>
        </w:rPr>
        <w:t>.</w:t>
      </w:r>
    </w:p>
    <w:p w14:paraId="7CD1E359" w14:textId="77777777" w:rsidR="008715BE" w:rsidRPr="00EC75B7" w:rsidRDefault="00000000">
      <w:pPr>
        <w:pStyle w:val="BodyText"/>
        <w:spacing w:before="99" w:line="357" w:lineRule="auto"/>
        <w:ind w:left="57" w:right="145"/>
        <w:jc w:val="both"/>
        <w:rPr>
          <w:rFonts w:ascii="Verdana" w:hAnsi="Verdana"/>
        </w:rPr>
      </w:pPr>
      <w:r w:rsidRPr="00EC75B7">
        <w:rPr>
          <w:rFonts w:ascii="Verdana" w:hAnsi="Verdana"/>
        </w:rPr>
        <w:t>In the case of source noise, each piece of equipment is studied separately and assumed to be placed in a free field. This phase of the study allows the intrinsic characteristics of the source to be determined, independently of its working environment. Noise measurements at source are essential both for comparing the sound levels of machines in the same category and for obtaining information on the acoustic power of different categories of machines.</w:t>
      </w:r>
    </w:p>
    <w:p w14:paraId="1B0BCDB0" w14:textId="77777777" w:rsidR="008715BE" w:rsidRPr="00EC75B7" w:rsidRDefault="00000000">
      <w:pPr>
        <w:pStyle w:val="BodyText"/>
        <w:spacing w:before="123" w:line="357" w:lineRule="auto"/>
        <w:ind w:left="57" w:right="138"/>
        <w:jc w:val="both"/>
        <w:rPr>
          <w:rFonts w:ascii="Verdana" w:hAnsi="Verdana"/>
        </w:rPr>
      </w:pPr>
      <w:r w:rsidRPr="00EC75B7">
        <w:rPr>
          <w:rFonts w:ascii="Verdana" w:hAnsi="Verdana"/>
        </w:rPr>
        <w:t>In the case of noise in the near field, it is taken into account that each machine is located in an environment that can change its acoustic characteristics. In this case, the acoustic level obtained at distances ranging from a few meters to several tens of meters from the source is of interest. To be meaningful, the sound pressure value recorded must be accompanied by the distance at which the measurement was taken.</w:t>
      </w:r>
      <w:r w:rsidRPr="00EC75B7">
        <w:rPr>
          <w:rFonts w:ascii="Verdana" w:hAnsi="Verdana"/>
          <w:spacing w:val="23"/>
        </w:rPr>
        <w:t xml:space="preserve"> </w:t>
      </w:r>
      <w:r w:rsidRPr="00EC75B7">
        <w:rPr>
          <w:rFonts w:ascii="Verdana" w:hAnsi="Verdana"/>
        </w:rPr>
        <w:t>Compared to the situation where free field conditions are met, this sound pressure level can be amplified in the vicinity of the source (reflections) or attenuated by the presence of natural or artificial screens between the source and the measurement point. Since near-field measurements are taken at a certain distance from the equipment, it is clear that in most situations, near-field noise is actually the noise of a group of machines and, more rarely, of an isolated machine.</w:t>
      </w:r>
    </w:p>
    <w:p w14:paraId="2EDE9242" w14:textId="77777777" w:rsidR="008715BE" w:rsidRPr="00EC75B7" w:rsidRDefault="00000000">
      <w:pPr>
        <w:pStyle w:val="BodyText"/>
        <w:spacing w:before="128" w:line="357" w:lineRule="auto"/>
        <w:ind w:left="57" w:right="151"/>
        <w:jc w:val="both"/>
        <w:rPr>
          <w:rFonts w:ascii="Verdana" w:hAnsi="Verdana"/>
        </w:rPr>
      </w:pPr>
      <w:r w:rsidRPr="00EC75B7">
        <w:rPr>
          <w:rFonts w:ascii="Verdana" w:hAnsi="Verdana"/>
        </w:rPr>
        <w:t>While in the case of the first two observation levels the acoustic characteristics are closely related to the nature of the equipment and its layout, noise in the far field, i.e. several hundred meters from the source, depends to a large extent on additional external factors, such as:</w:t>
      </w:r>
    </w:p>
    <w:p w14:paraId="2B9DC618" w14:textId="77777777" w:rsidR="008715BE" w:rsidRPr="00EC75B7" w:rsidRDefault="00000000">
      <w:pPr>
        <w:pStyle w:val="ListParagraph"/>
        <w:numPr>
          <w:ilvl w:val="0"/>
          <w:numId w:val="53"/>
        </w:numPr>
        <w:tabs>
          <w:tab w:val="left" w:pos="777"/>
        </w:tabs>
        <w:spacing w:before="122" w:line="360" w:lineRule="auto"/>
        <w:ind w:right="147"/>
        <w:jc w:val="both"/>
        <w:rPr>
          <w:rFonts w:ascii="Verdana" w:hAnsi="Verdana"/>
          <w:sz w:val="18"/>
          <w:szCs w:val="18"/>
        </w:rPr>
      </w:pPr>
      <w:r w:rsidRPr="00EC75B7">
        <w:rPr>
          <w:rFonts w:ascii="Verdana" w:hAnsi="Verdana"/>
          <w:sz w:val="18"/>
          <w:szCs w:val="18"/>
        </w:rPr>
        <w:t xml:space="preserve">meteorological phenomena, in particular: wind speed and direction, temperature and </w:t>
      </w:r>
      <w:r w:rsidRPr="00EC75B7">
        <w:rPr>
          <w:rFonts w:ascii="Verdana" w:hAnsi="Verdana"/>
          <w:spacing w:val="-2"/>
          <w:sz w:val="18"/>
          <w:szCs w:val="18"/>
        </w:rPr>
        <w:t>wind</w:t>
      </w:r>
      <w:r w:rsidRPr="00EC75B7">
        <w:rPr>
          <w:rFonts w:ascii="Verdana" w:hAnsi="Verdana"/>
          <w:sz w:val="18"/>
          <w:szCs w:val="18"/>
        </w:rPr>
        <w:t xml:space="preserve"> gradients</w:t>
      </w:r>
      <w:r w:rsidRPr="00EC75B7">
        <w:rPr>
          <w:rFonts w:ascii="Verdana" w:hAnsi="Verdana"/>
          <w:spacing w:val="-2"/>
          <w:sz w:val="18"/>
          <w:szCs w:val="18"/>
        </w:rPr>
        <w:t>;</w:t>
      </w:r>
    </w:p>
    <w:p w14:paraId="5EC55192" w14:textId="77777777" w:rsidR="008715BE" w:rsidRPr="00EC75B7" w:rsidRDefault="00000000">
      <w:pPr>
        <w:pStyle w:val="ListParagraph"/>
        <w:numPr>
          <w:ilvl w:val="0"/>
          <w:numId w:val="53"/>
        </w:numPr>
        <w:tabs>
          <w:tab w:val="left" w:pos="776"/>
        </w:tabs>
        <w:spacing w:line="218" w:lineRule="exact"/>
        <w:ind w:left="776" w:hanging="359"/>
        <w:jc w:val="both"/>
        <w:rPr>
          <w:rFonts w:ascii="Verdana" w:hAnsi="Verdana"/>
          <w:sz w:val="18"/>
          <w:szCs w:val="18"/>
        </w:rPr>
      </w:pPr>
      <w:r w:rsidRPr="00EC75B7">
        <w:rPr>
          <w:rFonts w:ascii="Verdana" w:hAnsi="Verdana"/>
          <w:sz w:val="18"/>
          <w:szCs w:val="18"/>
        </w:rPr>
        <w:t xml:space="preserve">the more or less significant absorption of acoustic waves by the ground – a phenomenon </w:t>
      </w:r>
      <w:r w:rsidRPr="00EC75B7">
        <w:rPr>
          <w:rFonts w:ascii="Verdana" w:hAnsi="Verdana"/>
          <w:spacing w:val="-2"/>
          <w:sz w:val="18"/>
          <w:szCs w:val="18"/>
        </w:rPr>
        <w:t>known as the</w:t>
      </w:r>
    </w:p>
    <w:p w14:paraId="52D7397C" w14:textId="77777777" w:rsidR="008715BE" w:rsidRPr="00EC75B7" w:rsidRDefault="00000000">
      <w:pPr>
        <w:pStyle w:val="BodyText"/>
        <w:spacing w:before="107"/>
        <w:ind w:left="777"/>
        <w:jc w:val="both"/>
        <w:rPr>
          <w:rFonts w:ascii="Verdana" w:hAnsi="Verdana"/>
        </w:rPr>
      </w:pPr>
      <w:r w:rsidRPr="00EC75B7">
        <w:rPr>
          <w:rFonts w:ascii="Verdana" w:hAnsi="Verdana"/>
          <w:spacing w:val="-4"/>
        </w:rPr>
        <w:t>"</w:t>
      </w:r>
      <w:r w:rsidRPr="00EC75B7">
        <w:rPr>
          <w:rFonts w:ascii="Verdana" w:hAnsi="Verdana"/>
        </w:rPr>
        <w:t>ground effect</w:t>
      </w:r>
      <w:r w:rsidRPr="00EC75B7">
        <w:rPr>
          <w:rFonts w:ascii="Verdana" w:hAnsi="Verdana"/>
          <w:spacing w:val="-4"/>
        </w:rPr>
        <w:t>";</w:t>
      </w:r>
    </w:p>
    <w:p w14:paraId="25C53605" w14:textId="77777777" w:rsidR="008715BE" w:rsidRPr="00EC75B7" w:rsidRDefault="00000000">
      <w:pPr>
        <w:pStyle w:val="ListParagraph"/>
        <w:numPr>
          <w:ilvl w:val="0"/>
          <w:numId w:val="53"/>
        </w:numPr>
        <w:tabs>
          <w:tab w:val="left" w:pos="777"/>
        </w:tabs>
        <w:spacing w:before="109" w:line="360" w:lineRule="auto"/>
        <w:ind w:right="149"/>
        <w:rPr>
          <w:rFonts w:ascii="Verdana" w:hAnsi="Verdana"/>
          <w:sz w:val="18"/>
          <w:szCs w:val="18"/>
        </w:rPr>
      </w:pPr>
      <w:r w:rsidRPr="00EC75B7">
        <w:rPr>
          <w:rFonts w:ascii="Verdana" w:hAnsi="Verdana"/>
          <w:sz w:val="18"/>
          <w:szCs w:val="18"/>
        </w:rPr>
        <w:t>absorption in the air, depending on pressure, temperature, relative humidity, and the spectral component of the noise;</w:t>
      </w:r>
    </w:p>
    <w:p w14:paraId="19B62DD8" w14:textId="77777777" w:rsidR="008715BE" w:rsidRPr="00EC75B7" w:rsidRDefault="00000000">
      <w:pPr>
        <w:pStyle w:val="ListParagraph"/>
        <w:numPr>
          <w:ilvl w:val="0"/>
          <w:numId w:val="53"/>
        </w:numPr>
        <w:tabs>
          <w:tab w:val="left" w:pos="777"/>
        </w:tabs>
        <w:spacing w:line="219" w:lineRule="exact"/>
        <w:rPr>
          <w:rFonts w:ascii="Verdana" w:hAnsi="Verdana"/>
          <w:sz w:val="18"/>
          <w:szCs w:val="18"/>
        </w:rPr>
      </w:pPr>
      <w:r w:rsidRPr="00EC75B7">
        <w:rPr>
          <w:rFonts w:ascii="Verdana" w:hAnsi="Verdana"/>
          <w:spacing w:val="-2"/>
          <w:sz w:val="18"/>
          <w:szCs w:val="18"/>
        </w:rPr>
        <w:t xml:space="preserve">land </w:t>
      </w:r>
      <w:r w:rsidRPr="00EC75B7">
        <w:rPr>
          <w:rFonts w:ascii="Verdana" w:hAnsi="Verdana"/>
          <w:sz w:val="18"/>
          <w:szCs w:val="18"/>
        </w:rPr>
        <w:t>topography</w:t>
      </w:r>
      <w:r w:rsidRPr="00EC75B7">
        <w:rPr>
          <w:rFonts w:ascii="Verdana" w:hAnsi="Verdana"/>
          <w:spacing w:val="-2"/>
          <w:sz w:val="18"/>
          <w:szCs w:val="18"/>
        </w:rPr>
        <w:t>;</w:t>
      </w:r>
    </w:p>
    <w:p w14:paraId="7D096AA4" w14:textId="77777777" w:rsidR="008715BE" w:rsidRPr="00EC75B7" w:rsidRDefault="00000000">
      <w:pPr>
        <w:pStyle w:val="ListParagraph"/>
        <w:numPr>
          <w:ilvl w:val="0"/>
          <w:numId w:val="53"/>
        </w:numPr>
        <w:tabs>
          <w:tab w:val="left" w:pos="777"/>
        </w:tabs>
        <w:spacing w:before="107"/>
        <w:rPr>
          <w:rFonts w:ascii="Verdana" w:hAnsi="Verdana"/>
          <w:sz w:val="18"/>
          <w:szCs w:val="18"/>
        </w:rPr>
      </w:pPr>
      <w:r w:rsidRPr="00EC75B7">
        <w:rPr>
          <w:rFonts w:ascii="Verdana" w:hAnsi="Verdana"/>
          <w:spacing w:val="-2"/>
          <w:sz w:val="18"/>
          <w:szCs w:val="18"/>
        </w:rPr>
        <w:t>vegetation.</w:t>
      </w:r>
    </w:p>
    <w:p w14:paraId="6D4D181A" w14:textId="77777777" w:rsidR="008715BE" w:rsidRPr="00EC75B7" w:rsidRDefault="00000000">
      <w:pPr>
        <w:pStyle w:val="BodyText"/>
        <w:spacing w:before="109"/>
        <w:ind w:left="57"/>
        <w:rPr>
          <w:rFonts w:ascii="Verdana" w:hAnsi="Verdana"/>
        </w:rPr>
      </w:pPr>
      <w:r w:rsidRPr="00EC75B7">
        <w:rPr>
          <w:rFonts w:ascii="Verdana" w:hAnsi="Verdana"/>
        </w:rPr>
        <w:t xml:space="preserve">At this level of observation, noise findings generally refer to the entire site </w:t>
      </w:r>
      <w:r w:rsidRPr="00EC75B7">
        <w:rPr>
          <w:rFonts w:ascii="Verdana" w:hAnsi="Verdana"/>
          <w:spacing w:val="-2"/>
        </w:rPr>
        <w:t>under analysis.</w:t>
      </w:r>
    </w:p>
    <w:p w14:paraId="41A28778" w14:textId="77777777" w:rsidR="008715BE" w:rsidRPr="00EC75B7" w:rsidRDefault="008715BE">
      <w:pPr>
        <w:pStyle w:val="BodyText"/>
        <w:spacing w:before="9"/>
        <w:rPr>
          <w:rFonts w:ascii="Verdana" w:hAnsi="Verdana"/>
        </w:rPr>
      </w:pPr>
    </w:p>
    <w:p w14:paraId="1333E156" w14:textId="77777777" w:rsidR="008715BE" w:rsidRPr="00EC75B7" w:rsidRDefault="00000000">
      <w:pPr>
        <w:pStyle w:val="BodyText"/>
        <w:ind w:left="57"/>
        <w:rPr>
          <w:rFonts w:ascii="Verdana" w:hAnsi="Verdana"/>
        </w:rPr>
      </w:pPr>
      <w:r w:rsidRPr="00EC75B7">
        <w:rPr>
          <w:rFonts w:ascii="Verdana" w:hAnsi="Verdana"/>
        </w:rPr>
        <w:t xml:space="preserve">From the above, it follows that there is a certain difficulty in assessing noise pollution in the area of a </w:t>
      </w:r>
      <w:r w:rsidRPr="00EC75B7">
        <w:rPr>
          <w:rFonts w:ascii="Verdana" w:hAnsi="Verdana"/>
          <w:spacing w:val="-2"/>
        </w:rPr>
        <w:t xml:space="preserve">work </w:t>
      </w:r>
      <w:r w:rsidRPr="00EC75B7">
        <w:rPr>
          <w:rFonts w:ascii="Verdana" w:hAnsi="Verdana"/>
        </w:rPr>
        <w:t>front</w:t>
      </w:r>
      <w:r w:rsidRPr="00EC75B7">
        <w:rPr>
          <w:rFonts w:ascii="Verdana" w:hAnsi="Verdana"/>
          <w:spacing w:val="-2"/>
        </w:rPr>
        <w:t>.</w:t>
      </w:r>
    </w:p>
    <w:p w14:paraId="48585272" w14:textId="77777777" w:rsidR="008715BE" w:rsidRPr="00EC75B7" w:rsidRDefault="008715BE">
      <w:pPr>
        <w:pStyle w:val="BodyText"/>
        <w:spacing w:before="7"/>
        <w:rPr>
          <w:rFonts w:ascii="Verdana" w:hAnsi="Verdana"/>
        </w:rPr>
      </w:pPr>
    </w:p>
    <w:p w14:paraId="7F5FADB6" w14:textId="77777777" w:rsidR="008715BE" w:rsidRPr="00EC75B7" w:rsidRDefault="00000000">
      <w:pPr>
        <w:pStyle w:val="BodyText"/>
        <w:spacing w:line="360" w:lineRule="auto"/>
        <w:ind w:left="57" w:right="146"/>
        <w:jc w:val="both"/>
        <w:rPr>
          <w:rFonts w:ascii="Verdana" w:hAnsi="Verdana"/>
        </w:rPr>
      </w:pPr>
      <w:r w:rsidRPr="00EC75B7">
        <w:rPr>
          <w:rFonts w:ascii="Verdana" w:hAnsi="Verdana"/>
        </w:rPr>
        <w:t>However, based on the acoustic power levels of the main equipment used and their number in a given work area, some assessments can be made regarding noise levels and the distances at which they are recorded.</w:t>
      </w:r>
      <w:r w:rsidRPr="00EC75B7">
        <w:rPr>
          <w:rFonts w:ascii="Verdana" w:hAnsi="Verdana"/>
          <w:spacing w:val="40"/>
        </w:rPr>
        <w:t xml:space="preserve"> </w:t>
      </w:r>
      <w:r w:rsidRPr="00EC75B7">
        <w:rPr>
          <w:rFonts w:ascii="Verdana" w:hAnsi="Verdana"/>
        </w:rPr>
        <w:t>In addition to the acoustic impact, construction equipment, with its heavy weight, constitutes a source of vibration through its movement or activity at work sites.</w:t>
      </w:r>
    </w:p>
    <w:p w14:paraId="14981834" w14:textId="77777777" w:rsidR="008715BE" w:rsidRPr="00EC75B7" w:rsidRDefault="00000000">
      <w:pPr>
        <w:pStyle w:val="BodyText"/>
        <w:spacing w:before="114" w:line="357" w:lineRule="auto"/>
        <w:ind w:left="57" w:right="137"/>
        <w:jc w:val="both"/>
        <w:rPr>
          <w:rFonts w:ascii="Verdana" w:hAnsi="Verdana"/>
        </w:rPr>
      </w:pPr>
      <w:r w:rsidRPr="00EC75B7">
        <w:rPr>
          <w:rFonts w:ascii="Verdana" w:hAnsi="Verdana"/>
        </w:rPr>
        <w:t xml:space="preserve">During repair and maintenance work, the equivalent noise level measured under legal conditions will fall within the limit values set by SR 10009:2017/C91:2020 – Acoustics in buildings – Urban acoustics, which means that the activities carried out will not constitute sources of noise pollution in the area that cause </w:t>
      </w:r>
      <w:r w:rsidRPr="00EC75B7">
        <w:rPr>
          <w:rFonts w:ascii="Verdana" w:hAnsi="Verdana"/>
        </w:rPr>
        <w:lastRenderedPageBreak/>
        <w:t>physical and/or psychological discomfort.</w:t>
      </w:r>
    </w:p>
    <w:p w14:paraId="29E54AC0" w14:textId="77777777" w:rsidR="008715BE" w:rsidRPr="00EC75B7" w:rsidRDefault="00000000">
      <w:pPr>
        <w:pStyle w:val="BodyText"/>
        <w:spacing w:before="124" w:line="357" w:lineRule="auto"/>
        <w:ind w:left="57" w:right="149"/>
        <w:jc w:val="both"/>
        <w:rPr>
          <w:rFonts w:ascii="Verdana" w:hAnsi="Verdana"/>
        </w:rPr>
      </w:pPr>
      <w:r w:rsidRPr="00EC75B7">
        <w:rPr>
          <w:rFonts w:ascii="Verdana" w:hAnsi="Verdana"/>
        </w:rPr>
        <w:t>The equipment used to carry out the works, except for road transport equipment used in repair and maintenance activities, will comply with the limit values for the permissible sound power level established by Government Decision No. 1756/2006 on the limitation of noise emissions in the environment produced by equipment intended for use outside buildings.</w:t>
      </w:r>
    </w:p>
    <w:p w14:paraId="5C7162A4" w14:textId="77777777" w:rsidR="008715BE" w:rsidRPr="00EC75B7" w:rsidRDefault="00000000">
      <w:pPr>
        <w:pStyle w:val="BodyText"/>
        <w:spacing w:before="123"/>
        <w:ind w:left="57"/>
        <w:jc w:val="both"/>
        <w:rPr>
          <w:rFonts w:ascii="Verdana" w:hAnsi="Verdana"/>
        </w:rPr>
      </w:pPr>
      <w:r w:rsidRPr="00EC75B7">
        <w:rPr>
          <w:rFonts w:ascii="Verdana" w:hAnsi="Verdana"/>
        </w:rPr>
        <w:t xml:space="preserve">Effects taken into account, both for the execution period and for the </w:t>
      </w:r>
      <w:r w:rsidRPr="00EC75B7">
        <w:rPr>
          <w:rFonts w:ascii="Verdana" w:hAnsi="Verdana"/>
          <w:spacing w:val="-2"/>
        </w:rPr>
        <w:t xml:space="preserve">exploitation </w:t>
      </w:r>
      <w:r w:rsidRPr="00EC75B7">
        <w:rPr>
          <w:rFonts w:ascii="Verdana" w:hAnsi="Verdana"/>
        </w:rPr>
        <w:t>period</w:t>
      </w:r>
      <w:r w:rsidRPr="00EC75B7">
        <w:rPr>
          <w:rFonts w:ascii="Verdana" w:hAnsi="Verdana"/>
          <w:spacing w:val="-2"/>
        </w:rPr>
        <w:t>:</w:t>
      </w:r>
    </w:p>
    <w:p w14:paraId="72AFF296" w14:textId="77777777" w:rsidR="008715BE" w:rsidRPr="00EC75B7" w:rsidRDefault="00000000">
      <w:pPr>
        <w:pStyle w:val="ListParagraph"/>
        <w:numPr>
          <w:ilvl w:val="0"/>
          <w:numId w:val="53"/>
        </w:numPr>
        <w:tabs>
          <w:tab w:val="left" w:pos="777"/>
        </w:tabs>
        <w:spacing w:before="99"/>
        <w:rPr>
          <w:rFonts w:ascii="Verdana" w:hAnsi="Verdana"/>
          <w:sz w:val="18"/>
          <w:szCs w:val="18"/>
        </w:rPr>
      </w:pPr>
      <w:r w:rsidRPr="00EC75B7">
        <w:rPr>
          <w:rFonts w:ascii="Verdana" w:hAnsi="Verdana"/>
          <w:sz w:val="18"/>
          <w:szCs w:val="18"/>
        </w:rPr>
        <w:t xml:space="preserve">Increased noise levels in the area where </w:t>
      </w:r>
      <w:r w:rsidRPr="00EC75B7">
        <w:rPr>
          <w:rFonts w:ascii="Verdana" w:hAnsi="Verdana"/>
          <w:spacing w:val="-2"/>
          <w:sz w:val="18"/>
          <w:szCs w:val="18"/>
        </w:rPr>
        <w:t xml:space="preserve">the investments </w:t>
      </w:r>
      <w:r w:rsidRPr="00EC75B7">
        <w:rPr>
          <w:rFonts w:ascii="Verdana" w:hAnsi="Verdana"/>
          <w:sz w:val="18"/>
          <w:szCs w:val="18"/>
        </w:rPr>
        <w:t>are made</w:t>
      </w:r>
      <w:r w:rsidRPr="00EC75B7">
        <w:rPr>
          <w:rFonts w:ascii="Verdana" w:hAnsi="Verdana"/>
          <w:spacing w:val="-2"/>
          <w:sz w:val="18"/>
          <w:szCs w:val="18"/>
        </w:rPr>
        <w:t>;</w:t>
      </w:r>
    </w:p>
    <w:p w14:paraId="62FA57CE" w14:textId="77777777" w:rsidR="008715BE" w:rsidRPr="00EC75B7" w:rsidRDefault="00000000">
      <w:pPr>
        <w:pStyle w:val="ListParagraph"/>
        <w:numPr>
          <w:ilvl w:val="0"/>
          <w:numId w:val="53"/>
        </w:numPr>
        <w:tabs>
          <w:tab w:val="left" w:pos="777"/>
        </w:tabs>
        <w:spacing w:before="110"/>
        <w:rPr>
          <w:rFonts w:ascii="Verdana" w:hAnsi="Verdana"/>
          <w:sz w:val="18"/>
          <w:szCs w:val="18"/>
        </w:rPr>
      </w:pPr>
      <w:r w:rsidRPr="00EC75B7">
        <w:rPr>
          <w:rFonts w:ascii="Verdana" w:hAnsi="Verdana"/>
          <w:sz w:val="18"/>
          <w:szCs w:val="18"/>
        </w:rPr>
        <w:t xml:space="preserve">Generation of </w:t>
      </w:r>
      <w:r w:rsidRPr="00EC75B7">
        <w:rPr>
          <w:rFonts w:ascii="Verdana" w:hAnsi="Verdana"/>
          <w:spacing w:val="-2"/>
          <w:sz w:val="18"/>
          <w:szCs w:val="18"/>
        </w:rPr>
        <w:t>vibrations.</w:t>
      </w:r>
    </w:p>
    <w:p w14:paraId="390768A8" w14:textId="77777777" w:rsidR="008715BE" w:rsidRPr="00EC75B7" w:rsidRDefault="00000000">
      <w:pPr>
        <w:spacing w:before="106"/>
        <w:ind w:left="57"/>
        <w:rPr>
          <w:rFonts w:ascii="Verdana" w:hAnsi="Verdana"/>
          <w:sz w:val="18"/>
          <w:szCs w:val="18"/>
        </w:rPr>
      </w:pPr>
      <w:r w:rsidRPr="00EC75B7">
        <w:rPr>
          <w:rFonts w:ascii="Verdana" w:hAnsi="Verdana"/>
          <w:sz w:val="18"/>
          <w:szCs w:val="18"/>
        </w:rPr>
        <w:t xml:space="preserve">The main sources of noise during </w:t>
      </w:r>
      <w:r w:rsidRPr="00EC75B7">
        <w:rPr>
          <w:rFonts w:ascii="Verdana" w:hAnsi="Verdana"/>
          <w:b/>
          <w:sz w:val="18"/>
          <w:szCs w:val="18"/>
        </w:rPr>
        <w:t xml:space="preserve">the execution period </w:t>
      </w:r>
      <w:r w:rsidRPr="00EC75B7">
        <w:rPr>
          <w:rFonts w:ascii="Verdana" w:hAnsi="Verdana"/>
          <w:sz w:val="18"/>
          <w:szCs w:val="18"/>
        </w:rPr>
        <w:t>will be</w:t>
      </w:r>
      <w:r w:rsidRPr="00EC75B7">
        <w:rPr>
          <w:rFonts w:ascii="Verdana" w:hAnsi="Verdana"/>
          <w:spacing w:val="-5"/>
          <w:sz w:val="18"/>
          <w:szCs w:val="18"/>
        </w:rPr>
        <w:t>:</w:t>
      </w:r>
    </w:p>
    <w:p w14:paraId="6C46C14E" w14:textId="77777777" w:rsidR="008715BE" w:rsidRPr="00EC75B7" w:rsidRDefault="008715BE">
      <w:pPr>
        <w:pStyle w:val="BodyText"/>
        <w:spacing w:before="10"/>
        <w:rPr>
          <w:rFonts w:ascii="Verdana" w:hAnsi="Verdana"/>
        </w:rPr>
      </w:pPr>
    </w:p>
    <w:p w14:paraId="7172CA17" w14:textId="77777777" w:rsidR="008715BE" w:rsidRPr="00EC75B7" w:rsidRDefault="00000000">
      <w:pPr>
        <w:pStyle w:val="ListParagraph"/>
        <w:numPr>
          <w:ilvl w:val="0"/>
          <w:numId w:val="53"/>
        </w:numPr>
        <w:tabs>
          <w:tab w:val="left" w:pos="777"/>
        </w:tabs>
        <w:spacing w:line="360" w:lineRule="auto"/>
        <w:ind w:right="151"/>
        <w:jc w:val="both"/>
        <w:rPr>
          <w:rFonts w:ascii="Verdana" w:hAnsi="Verdana"/>
          <w:sz w:val="18"/>
          <w:szCs w:val="18"/>
        </w:rPr>
      </w:pPr>
      <w:r w:rsidRPr="00EC75B7">
        <w:rPr>
          <w:rFonts w:ascii="Verdana" w:hAnsi="Verdana"/>
          <w:sz w:val="18"/>
          <w:szCs w:val="18"/>
        </w:rPr>
        <w:t xml:space="preserve">Traffic in the work areas (temporary turbine platforms) and on </w:t>
      </w:r>
      <w:r w:rsidRPr="00EC75B7">
        <w:rPr>
          <w:rFonts w:ascii="Verdana" w:hAnsi="Verdana"/>
          <w:spacing w:val="-2"/>
          <w:sz w:val="18"/>
          <w:szCs w:val="18"/>
        </w:rPr>
        <w:t xml:space="preserve">access </w:t>
      </w:r>
      <w:r w:rsidRPr="00EC75B7">
        <w:rPr>
          <w:rFonts w:ascii="Verdana" w:hAnsi="Verdana"/>
          <w:sz w:val="18"/>
          <w:szCs w:val="18"/>
        </w:rPr>
        <w:t>roads</w:t>
      </w:r>
      <w:r w:rsidRPr="00EC75B7">
        <w:rPr>
          <w:rFonts w:ascii="Verdana" w:hAnsi="Verdana"/>
          <w:spacing w:val="-2"/>
          <w:sz w:val="18"/>
          <w:szCs w:val="18"/>
        </w:rPr>
        <w:t>;</w:t>
      </w:r>
    </w:p>
    <w:p w14:paraId="5BBFBED4" w14:textId="77777777" w:rsidR="008715BE" w:rsidRPr="00EC75B7" w:rsidRDefault="00000000">
      <w:pPr>
        <w:pStyle w:val="ListParagraph"/>
        <w:numPr>
          <w:ilvl w:val="0"/>
          <w:numId w:val="53"/>
        </w:numPr>
        <w:tabs>
          <w:tab w:val="left" w:pos="777"/>
        </w:tabs>
        <w:spacing w:line="360" w:lineRule="auto"/>
        <w:ind w:right="150"/>
        <w:jc w:val="both"/>
        <w:rPr>
          <w:rFonts w:ascii="Verdana" w:hAnsi="Verdana"/>
          <w:sz w:val="18"/>
          <w:szCs w:val="18"/>
        </w:rPr>
      </w:pPr>
      <w:r w:rsidRPr="00EC75B7">
        <w:rPr>
          <w:rFonts w:ascii="Verdana" w:hAnsi="Verdana"/>
          <w:sz w:val="18"/>
          <w:szCs w:val="18"/>
        </w:rPr>
        <w:t>Excavation, material handling, and loading and unloading activities</w:t>
      </w:r>
      <w:r w:rsidRPr="00EC75B7">
        <w:rPr>
          <w:rFonts w:ascii="Verdana" w:hAnsi="Verdana"/>
          <w:spacing w:val="-2"/>
          <w:sz w:val="18"/>
          <w:szCs w:val="18"/>
        </w:rPr>
        <w:t>;</w:t>
      </w:r>
    </w:p>
    <w:p w14:paraId="6608A933" w14:textId="77777777" w:rsidR="008715BE" w:rsidRPr="00EC75B7" w:rsidRDefault="00000000">
      <w:pPr>
        <w:pStyle w:val="ListParagraph"/>
        <w:numPr>
          <w:ilvl w:val="0"/>
          <w:numId w:val="53"/>
        </w:numPr>
        <w:tabs>
          <w:tab w:val="left" w:pos="777"/>
        </w:tabs>
        <w:spacing w:line="357" w:lineRule="auto"/>
        <w:ind w:right="142"/>
        <w:jc w:val="both"/>
        <w:rPr>
          <w:rFonts w:ascii="Verdana" w:hAnsi="Verdana"/>
          <w:sz w:val="18"/>
          <w:szCs w:val="18"/>
        </w:rPr>
      </w:pPr>
      <w:r w:rsidRPr="00EC75B7">
        <w:rPr>
          <w:rFonts w:ascii="Verdana" w:hAnsi="Verdana"/>
          <w:sz w:val="18"/>
          <w:szCs w:val="18"/>
        </w:rPr>
        <w:t>Operation of machinery (transport vehicles, heavy trucks, concrete mixers, excavators, cranes, bulldozers, compressors) – engine operation, handling and transport of loads;</w:t>
      </w:r>
    </w:p>
    <w:p w14:paraId="754FEFBA" w14:textId="77777777" w:rsidR="008715BE" w:rsidRPr="00EC75B7" w:rsidRDefault="00000000">
      <w:pPr>
        <w:pStyle w:val="ListParagraph"/>
        <w:numPr>
          <w:ilvl w:val="0"/>
          <w:numId w:val="53"/>
        </w:numPr>
        <w:tabs>
          <w:tab w:val="left" w:pos="776"/>
        </w:tabs>
        <w:ind w:left="776" w:hanging="359"/>
        <w:jc w:val="both"/>
        <w:rPr>
          <w:rFonts w:ascii="Verdana" w:hAnsi="Verdana"/>
          <w:sz w:val="18"/>
          <w:szCs w:val="18"/>
        </w:rPr>
      </w:pPr>
      <w:r w:rsidRPr="00EC75B7">
        <w:rPr>
          <w:rFonts w:ascii="Verdana" w:hAnsi="Verdana"/>
          <w:sz w:val="18"/>
          <w:szCs w:val="18"/>
        </w:rPr>
        <w:t xml:space="preserve">Maneuvering and installation of </w:t>
      </w:r>
      <w:r w:rsidRPr="00EC75B7">
        <w:rPr>
          <w:rFonts w:ascii="Verdana" w:hAnsi="Verdana"/>
          <w:spacing w:val="-2"/>
          <w:sz w:val="18"/>
          <w:szCs w:val="18"/>
        </w:rPr>
        <w:t xml:space="preserve">wind </w:t>
      </w:r>
      <w:r w:rsidRPr="00EC75B7">
        <w:rPr>
          <w:rFonts w:ascii="Verdana" w:hAnsi="Verdana"/>
          <w:sz w:val="18"/>
          <w:szCs w:val="18"/>
        </w:rPr>
        <w:t>turbine components</w:t>
      </w:r>
      <w:r w:rsidRPr="00EC75B7">
        <w:rPr>
          <w:rFonts w:ascii="Verdana" w:hAnsi="Verdana"/>
          <w:spacing w:val="-2"/>
          <w:sz w:val="18"/>
          <w:szCs w:val="18"/>
        </w:rPr>
        <w:t>.</w:t>
      </w:r>
    </w:p>
    <w:p w14:paraId="16ACA97C" w14:textId="77777777" w:rsidR="008715BE" w:rsidRPr="00EC75B7" w:rsidRDefault="00000000">
      <w:pPr>
        <w:pStyle w:val="BodyText"/>
        <w:spacing w:before="105" w:line="357" w:lineRule="auto"/>
        <w:ind w:left="57" w:right="142"/>
        <w:jc w:val="both"/>
        <w:rPr>
          <w:rFonts w:ascii="Verdana" w:hAnsi="Verdana"/>
        </w:rPr>
      </w:pPr>
      <w:r w:rsidRPr="00EC75B7">
        <w:rPr>
          <w:rFonts w:ascii="Verdana" w:hAnsi="Verdana"/>
        </w:rPr>
        <w:t>During the execution period, a range of construction equipment (bulldozers, excavators, cranes, compactors, drilling rigs, etc.) and means of transport, mainly represented by dump trucks/heavy, high-tonnage vehicles, will be used to carry out the various categories of work (excavations, digging, filling, etc.).</w:t>
      </w:r>
    </w:p>
    <w:p w14:paraId="78EEB7B6" w14:textId="77777777" w:rsidR="008715BE" w:rsidRPr="00EC75B7" w:rsidRDefault="00000000">
      <w:pPr>
        <w:pStyle w:val="BodyText"/>
        <w:spacing w:before="123" w:line="357" w:lineRule="auto"/>
        <w:ind w:left="57" w:right="148"/>
        <w:jc w:val="both"/>
        <w:rPr>
          <w:rFonts w:ascii="Verdana" w:hAnsi="Verdana"/>
        </w:rPr>
      </w:pPr>
      <w:r w:rsidRPr="00EC75B7">
        <w:rPr>
          <w:rFonts w:ascii="Verdana" w:hAnsi="Verdana"/>
        </w:rPr>
        <w:t>Additional sources of noise during the project execution period include road traffic and existing activities carried out in the vicinity of the work sites. The routes of the vehicles transporting the materials necessary for the achievement of the investment objectives proposed by this project will use the existing roads in the area.</w:t>
      </w:r>
    </w:p>
    <w:p w14:paraId="790AADC3" w14:textId="77777777" w:rsidR="008715BE" w:rsidRPr="00EC75B7" w:rsidRDefault="00000000">
      <w:pPr>
        <w:pStyle w:val="BodyText"/>
        <w:spacing w:before="123" w:line="357" w:lineRule="auto"/>
        <w:ind w:left="57" w:right="139"/>
        <w:jc w:val="both"/>
        <w:rPr>
          <w:rFonts w:ascii="Verdana" w:hAnsi="Verdana"/>
        </w:rPr>
      </w:pPr>
      <w:r w:rsidRPr="00EC75B7">
        <w:rPr>
          <w:rFonts w:ascii="Verdana" w:hAnsi="Verdana"/>
        </w:rPr>
        <w:t>According to Ministry of Health Order No. 119/2014, approving the public health and hygiene standards regarding the living environment of the population, the equivalent continuous sound pressure level (AeqT), measured outside the dwelling in accordance with SR ISO 1996/2-08, at a height of 1.5 m above the ground, must not exceed 55 dB(A) and the noise curve Cz 50. During the night (11:00 p.m. to 7:00 a.m.), the equivalent continuous noise level must not exceed 45 dB(A) and the noise curve Cz 40.</w:t>
      </w:r>
    </w:p>
    <w:p w14:paraId="29B8FA5E" w14:textId="77777777" w:rsidR="008715BE" w:rsidRPr="00EC75B7" w:rsidRDefault="00000000">
      <w:pPr>
        <w:pStyle w:val="BodyText"/>
        <w:spacing w:before="125" w:line="357" w:lineRule="auto"/>
        <w:ind w:left="57" w:right="146"/>
        <w:jc w:val="both"/>
        <w:rPr>
          <w:rFonts w:ascii="Verdana" w:hAnsi="Verdana"/>
        </w:rPr>
      </w:pPr>
      <w:r w:rsidRPr="00EC75B7">
        <w:rPr>
          <w:rFonts w:ascii="Verdana" w:hAnsi="Verdana"/>
        </w:rPr>
        <w:t>The specific activities of the construction site will be classified as open-space workplaces and will be reported in accordance with the limits permitted by the Occupational Safety Regulations, which stipulate that the maximum permissible limit for jobs with normal neuropsychological and psychosensory demands on attention is a continuous equivalent acoustic level of 90 dB(A) per working week. A correction of 10 dB is added to this value in the case of impulsive noise (impulses of significantly equal amplitudes).</w:t>
      </w:r>
    </w:p>
    <w:p w14:paraId="3869AA9C" w14:textId="77777777" w:rsidR="008715BE" w:rsidRPr="00EC75B7" w:rsidRDefault="00000000">
      <w:pPr>
        <w:pStyle w:val="BodyText"/>
        <w:spacing w:before="122" w:line="357" w:lineRule="auto"/>
        <w:ind w:left="57" w:right="146"/>
        <w:jc w:val="both"/>
        <w:rPr>
          <w:rFonts w:ascii="Verdana" w:hAnsi="Verdana"/>
        </w:rPr>
      </w:pPr>
      <w:r w:rsidRPr="00EC75B7">
        <w:rPr>
          <w:rFonts w:ascii="Verdana" w:hAnsi="Verdana"/>
        </w:rPr>
        <w:t>The machinery and vehicles used to transport construction materials/waste are also significant sources of vibration, even when empty, due to their very high mass.</w:t>
      </w:r>
      <w:r w:rsidRPr="00EC75B7">
        <w:rPr>
          <w:rFonts w:ascii="Verdana" w:hAnsi="Verdana"/>
          <w:spacing w:val="33"/>
        </w:rPr>
        <w:t xml:space="preserve"> </w:t>
      </w:r>
      <w:r w:rsidRPr="00EC75B7">
        <w:rPr>
          <w:rFonts w:ascii="Verdana" w:hAnsi="Verdana"/>
        </w:rPr>
        <w:t>The vibration level will be 22–24 vib.ra.r at 10 m from the roads used, but it decreases with increasing distance from the construction site, so that the limits imposed by SR 12025-2:2020 (30 vib.ra.r) will be respected.</w:t>
      </w:r>
    </w:p>
    <w:p w14:paraId="48C300EE" w14:textId="77777777" w:rsidR="008715BE" w:rsidRPr="00EC75B7" w:rsidRDefault="00000000">
      <w:pPr>
        <w:spacing w:before="123"/>
        <w:ind w:left="57"/>
        <w:jc w:val="both"/>
        <w:rPr>
          <w:rFonts w:ascii="Verdana" w:hAnsi="Verdana"/>
          <w:sz w:val="18"/>
          <w:szCs w:val="18"/>
        </w:rPr>
      </w:pPr>
      <w:r w:rsidRPr="00EC75B7">
        <w:rPr>
          <w:rFonts w:ascii="Verdana" w:hAnsi="Verdana"/>
          <w:b/>
          <w:sz w:val="18"/>
          <w:szCs w:val="18"/>
        </w:rPr>
        <w:t>During the operation phase</w:t>
      </w:r>
      <w:r w:rsidRPr="00EC75B7">
        <w:rPr>
          <w:rFonts w:ascii="Verdana" w:hAnsi="Verdana"/>
          <w:spacing w:val="-2"/>
          <w:sz w:val="18"/>
          <w:szCs w:val="18"/>
        </w:rPr>
        <w:t xml:space="preserve">, </w:t>
      </w:r>
      <w:r w:rsidRPr="00EC75B7">
        <w:rPr>
          <w:rFonts w:ascii="Verdana" w:hAnsi="Verdana"/>
          <w:sz w:val="18"/>
          <w:szCs w:val="18"/>
        </w:rPr>
        <w:t xml:space="preserve">there are two main categories of noise sources that will be </w:t>
      </w:r>
      <w:r w:rsidRPr="00EC75B7">
        <w:rPr>
          <w:rFonts w:ascii="Verdana" w:hAnsi="Verdana"/>
          <w:spacing w:val="-2"/>
          <w:sz w:val="18"/>
          <w:szCs w:val="18"/>
        </w:rPr>
        <w:t>generated:</w:t>
      </w:r>
    </w:p>
    <w:p w14:paraId="7C0797A1" w14:textId="77777777" w:rsidR="008715BE" w:rsidRPr="00EC75B7" w:rsidRDefault="008715BE">
      <w:pPr>
        <w:pStyle w:val="BodyText"/>
        <w:spacing w:before="10"/>
        <w:rPr>
          <w:rFonts w:ascii="Verdana" w:hAnsi="Verdana"/>
        </w:rPr>
      </w:pPr>
    </w:p>
    <w:p w14:paraId="4A50EE47" w14:textId="77777777" w:rsidR="008715BE" w:rsidRPr="00EC75B7" w:rsidRDefault="00000000">
      <w:pPr>
        <w:pStyle w:val="ListParagraph"/>
        <w:numPr>
          <w:ilvl w:val="0"/>
          <w:numId w:val="53"/>
        </w:numPr>
        <w:tabs>
          <w:tab w:val="left" w:pos="776"/>
        </w:tabs>
        <w:ind w:left="776" w:hanging="359"/>
        <w:jc w:val="both"/>
        <w:rPr>
          <w:rFonts w:ascii="Verdana" w:hAnsi="Verdana"/>
          <w:sz w:val="18"/>
          <w:szCs w:val="18"/>
        </w:rPr>
      </w:pPr>
      <w:r w:rsidRPr="00EC75B7">
        <w:rPr>
          <w:rFonts w:ascii="Verdana" w:hAnsi="Verdana"/>
          <w:sz w:val="18"/>
          <w:szCs w:val="18"/>
        </w:rPr>
        <w:t xml:space="preserve">Noise caused by the rotation of the blades (contact with </w:t>
      </w:r>
      <w:r w:rsidRPr="00EC75B7">
        <w:rPr>
          <w:rFonts w:ascii="Verdana" w:hAnsi="Verdana"/>
          <w:spacing w:val="-2"/>
          <w:sz w:val="18"/>
          <w:szCs w:val="18"/>
        </w:rPr>
        <w:t>the air);</w:t>
      </w:r>
    </w:p>
    <w:p w14:paraId="1DD1FE20" w14:textId="77777777" w:rsidR="008715BE" w:rsidRPr="00EC75B7" w:rsidRDefault="00000000">
      <w:pPr>
        <w:pStyle w:val="ListParagraph"/>
        <w:numPr>
          <w:ilvl w:val="0"/>
          <w:numId w:val="53"/>
        </w:numPr>
        <w:tabs>
          <w:tab w:val="left" w:pos="777"/>
        </w:tabs>
        <w:spacing w:before="107" w:line="360" w:lineRule="auto"/>
        <w:ind w:right="143"/>
        <w:jc w:val="both"/>
        <w:rPr>
          <w:rFonts w:ascii="Verdana" w:hAnsi="Verdana"/>
          <w:sz w:val="18"/>
          <w:szCs w:val="18"/>
        </w:rPr>
      </w:pPr>
      <w:r w:rsidRPr="00EC75B7">
        <w:rPr>
          <w:rFonts w:ascii="Verdana" w:hAnsi="Verdana"/>
          <w:sz w:val="18"/>
          <w:szCs w:val="18"/>
        </w:rPr>
        <w:t>Mechanical noise created by the operation of the nacelle components (generator, gearbox, running gear).</w:t>
      </w:r>
    </w:p>
    <w:p w14:paraId="1C0ECD6C" w14:textId="77777777" w:rsidR="008715BE" w:rsidRPr="00EC75B7" w:rsidRDefault="00000000">
      <w:pPr>
        <w:pStyle w:val="BodyText"/>
        <w:spacing w:line="357" w:lineRule="auto"/>
        <w:ind w:left="57" w:right="141"/>
        <w:jc w:val="both"/>
        <w:rPr>
          <w:rFonts w:ascii="Verdana" w:hAnsi="Verdana"/>
        </w:rPr>
      </w:pPr>
      <w:r w:rsidRPr="00EC75B7">
        <w:rPr>
          <w:rFonts w:ascii="Verdana" w:hAnsi="Verdana"/>
        </w:rPr>
        <w:t xml:space="preserve">The noise produced by the turbines in the rotor's area of operation is estimated at 96-101 dB, but the noise level decreases as the distance from the noise source increases. Taking into account the distance from the </w:t>
      </w:r>
      <w:r w:rsidRPr="00EC75B7">
        <w:rPr>
          <w:rFonts w:ascii="Verdana" w:hAnsi="Verdana"/>
        </w:rPr>
        <w:lastRenderedPageBreak/>
        <w:t>inhabited areas of the localities, it is estimated that the project's construction works will generate a noise level within acceptable limits, insignificant, felt locally and temporarily, in the project site area, and during the period</w:t>
      </w:r>
    </w:p>
    <w:p w14:paraId="25DF6A27" w14:textId="77777777" w:rsidR="008715BE" w:rsidRPr="00EC75B7" w:rsidRDefault="00000000">
      <w:pPr>
        <w:pStyle w:val="BodyText"/>
        <w:spacing w:before="99" w:line="360" w:lineRule="auto"/>
        <w:ind w:left="57" w:right="153"/>
        <w:jc w:val="both"/>
        <w:rPr>
          <w:rFonts w:ascii="Verdana" w:hAnsi="Verdana"/>
        </w:rPr>
      </w:pPr>
      <w:r w:rsidRPr="00EC75B7">
        <w:rPr>
          <w:rFonts w:ascii="Verdana" w:hAnsi="Verdana"/>
        </w:rPr>
        <w:t>During the operation of the wind farm, noise levels will be monitored to ensure compliance with the limits set out in STAS 10009, Acoustics. Permissible noise levels in the environment.</w:t>
      </w:r>
    </w:p>
    <w:p w14:paraId="06F82B9E" w14:textId="77777777" w:rsidR="008715BE" w:rsidRPr="00EC75B7" w:rsidRDefault="00000000">
      <w:pPr>
        <w:spacing w:before="117"/>
        <w:ind w:left="57"/>
        <w:jc w:val="both"/>
        <w:rPr>
          <w:rFonts w:ascii="Verdana" w:hAnsi="Verdana"/>
          <w:sz w:val="18"/>
          <w:szCs w:val="18"/>
        </w:rPr>
      </w:pPr>
      <w:r w:rsidRPr="00EC75B7">
        <w:rPr>
          <w:rFonts w:ascii="Verdana" w:hAnsi="Verdana"/>
          <w:sz w:val="18"/>
          <w:szCs w:val="18"/>
        </w:rPr>
        <w:t xml:space="preserve">The sources of noise during </w:t>
      </w:r>
      <w:r w:rsidRPr="00EC75B7">
        <w:rPr>
          <w:rFonts w:ascii="Verdana" w:hAnsi="Verdana"/>
          <w:b/>
          <w:sz w:val="18"/>
          <w:szCs w:val="18"/>
        </w:rPr>
        <w:t xml:space="preserve">the decommissioning phase </w:t>
      </w:r>
      <w:r w:rsidRPr="00EC75B7">
        <w:rPr>
          <w:rFonts w:ascii="Verdana" w:hAnsi="Verdana"/>
          <w:sz w:val="18"/>
          <w:szCs w:val="18"/>
        </w:rPr>
        <w:t xml:space="preserve">are similar to those during the </w:t>
      </w:r>
      <w:r w:rsidRPr="00EC75B7">
        <w:rPr>
          <w:rFonts w:ascii="Verdana" w:hAnsi="Verdana"/>
          <w:spacing w:val="-2"/>
          <w:sz w:val="18"/>
          <w:szCs w:val="18"/>
        </w:rPr>
        <w:t xml:space="preserve">construction </w:t>
      </w:r>
      <w:r w:rsidRPr="00EC75B7">
        <w:rPr>
          <w:rFonts w:ascii="Verdana" w:hAnsi="Verdana"/>
          <w:sz w:val="18"/>
          <w:szCs w:val="18"/>
        </w:rPr>
        <w:t>phase</w:t>
      </w:r>
      <w:r w:rsidRPr="00EC75B7">
        <w:rPr>
          <w:rFonts w:ascii="Verdana" w:hAnsi="Verdana"/>
          <w:spacing w:val="-2"/>
          <w:sz w:val="18"/>
          <w:szCs w:val="18"/>
        </w:rPr>
        <w:t>.</w:t>
      </w:r>
    </w:p>
    <w:p w14:paraId="79AE10E1" w14:textId="77777777" w:rsidR="008715BE" w:rsidRPr="00EC75B7" w:rsidRDefault="008715BE">
      <w:pPr>
        <w:pStyle w:val="BodyText"/>
        <w:spacing w:before="9"/>
        <w:rPr>
          <w:rFonts w:ascii="Verdana" w:hAnsi="Verdana"/>
        </w:rPr>
      </w:pPr>
    </w:p>
    <w:p w14:paraId="25CA88B1" w14:textId="77777777" w:rsidR="008715BE" w:rsidRPr="00EC75B7" w:rsidRDefault="00000000">
      <w:pPr>
        <w:pStyle w:val="BodyText"/>
        <w:spacing w:line="357" w:lineRule="auto"/>
        <w:ind w:left="57" w:right="139"/>
        <w:jc w:val="both"/>
        <w:rPr>
          <w:rFonts w:ascii="Verdana" w:hAnsi="Verdana"/>
        </w:rPr>
      </w:pPr>
      <w:r w:rsidRPr="00EC75B7">
        <w:rPr>
          <w:rFonts w:ascii="Verdana" w:hAnsi="Verdana"/>
        </w:rPr>
        <w:t xml:space="preserve">Given the specific nature of the project and the work carried out, it is estimated that during </w:t>
      </w:r>
      <w:r w:rsidRPr="00EC75B7">
        <w:rPr>
          <w:rFonts w:ascii="Verdana" w:hAnsi="Verdana"/>
          <w:b/>
        </w:rPr>
        <w:t xml:space="preserve">the decommissioning phase, </w:t>
      </w:r>
      <w:r w:rsidRPr="00EC75B7">
        <w:rPr>
          <w:rFonts w:ascii="Verdana" w:hAnsi="Verdana"/>
        </w:rPr>
        <w:t>the impact generated by noise and vibrations will be of the same nature, magnitude, extent, and significance as that estimated during the construction phase.</w:t>
      </w:r>
    </w:p>
    <w:p w14:paraId="65EAB901" w14:textId="77777777" w:rsidR="008715BE" w:rsidRPr="00EC75B7" w:rsidRDefault="00000000">
      <w:pPr>
        <w:pStyle w:val="BodyText"/>
        <w:spacing w:before="2"/>
        <w:ind w:left="57"/>
        <w:jc w:val="both"/>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aspects </w:t>
      </w:r>
      <w:r w:rsidRPr="00EC75B7">
        <w:rPr>
          <w:rFonts w:ascii="Verdana" w:hAnsi="Verdana"/>
        </w:rPr>
        <w:t>were taken into account when assessing the impact</w:t>
      </w:r>
      <w:r w:rsidRPr="00EC75B7">
        <w:rPr>
          <w:rFonts w:ascii="Verdana" w:hAnsi="Verdana"/>
          <w:spacing w:val="-2"/>
        </w:rPr>
        <w:t>:</w:t>
      </w:r>
    </w:p>
    <w:p w14:paraId="78C838DF" w14:textId="77777777" w:rsidR="008715BE" w:rsidRPr="00EC75B7" w:rsidRDefault="008715BE">
      <w:pPr>
        <w:pStyle w:val="BodyText"/>
        <w:jc w:val="both"/>
        <w:rPr>
          <w:rFonts w:ascii="Verdana" w:hAnsi="Verdana"/>
        </w:rPr>
        <w:sectPr w:rsidR="008715BE" w:rsidRPr="00EC75B7">
          <w:pgSz w:w="11910" w:h="16840"/>
          <w:pgMar w:top="1320" w:right="850" w:bottom="1020" w:left="1133" w:header="766" w:footer="824" w:gutter="0"/>
          <w:cols w:space="708"/>
        </w:sectPr>
      </w:pPr>
    </w:p>
    <w:p w14:paraId="343AB73A" w14:textId="77777777" w:rsidR="008715BE" w:rsidRPr="00EC75B7" w:rsidRDefault="008715BE">
      <w:pPr>
        <w:pStyle w:val="BodyText"/>
        <w:spacing w:before="10"/>
        <w:rPr>
          <w:rFonts w:ascii="Verdana" w:hAnsi="Verdana"/>
        </w:rPr>
      </w:pPr>
    </w:p>
    <w:p w14:paraId="4B93FB6B" w14:textId="77777777" w:rsidR="008715BE" w:rsidRPr="00EC75B7" w:rsidRDefault="00000000">
      <w:pPr>
        <w:ind w:left="86"/>
        <w:rPr>
          <w:rFonts w:ascii="Verdana" w:hAnsi="Verdana"/>
          <w:sz w:val="18"/>
          <w:szCs w:val="18"/>
        </w:rPr>
      </w:pPr>
      <w:r w:rsidRPr="00EC75B7">
        <w:rPr>
          <w:rFonts w:ascii="Verdana" w:hAnsi="Verdana"/>
          <w:noProof/>
          <w:sz w:val="18"/>
          <w:szCs w:val="18"/>
        </w:rPr>
        <mc:AlternateContent>
          <mc:Choice Requires="wpg">
            <w:drawing>
              <wp:inline distT="0" distB="0" distL="0" distR="0" wp14:anchorId="40FCBA13" wp14:editId="3A7B3D06">
                <wp:extent cx="5904230" cy="1113790"/>
                <wp:effectExtent l="0" t="0" r="0" b="634"/>
                <wp:docPr id="400" name="Group 400"/>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01" name="Graphic 401"/>
                        <wps:cNvSpPr/>
                        <wps:spPr>
                          <a:xfrm>
                            <a:off x="0" y="0"/>
                            <a:ext cx="5904230" cy="1113790"/>
                          </a:xfrm>
                          <a:custGeom>
                            <a:avLst/>
                            <a:gdLst/>
                            <a:ahLst/>
                            <a:cxnLst/>
                            <a:rect l="l" t="t" r="r" b="b"/>
                            <a:pathLst>
                              <a:path w="5904230" h="1113790">
                                <a:moveTo>
                                  <a:pt x="5792851"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1"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1" y="0"/>
                                </a:lnTo>
                                <a:close/>
                              </a:path>
                            </a:pathLst>
                          </a:custGeom>
                          <a:solidFill>
                            <a:srgbClr val="00AFEF"/>
                          </a:solidFill>
                        </wps:spPr>
                        <wps:bodyPr wrap="square" lIns="0" tIns="0" rIns="0" bIns="0" rtlCol="0">
                          <a:prstTxWarp prst="textNoShape">
                            <a:avLst/>
                          </a:prstTxWarp>
                        </wps:bodyPr>
                      </wps:wsp>
                      <wps:wsp>
                        <wps:cNvPr id="402" name="Graphic 402"/>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70"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75"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03" name="Graphic 403"/>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04" name="Textbox 404"/>
                        <wps:cNvSpPr txBox="1"/>
                        <wps:spPr>
                          <a:xfrm>
                            <a:off x="0" y="0"/>
                            <a:ext cx="5904230" cy="1113790"/>
                          </a:xfrm>
                          <a:prstGeom prst="rect">
                            <a:avLst/>
                          </a:prstGeom>
                        </wps:spPr>
                        <wps:txbx>
                          <w:txbxContent>
                            <w:p w14:paraId="0A977AC7" w14:textId="77777777" w:rsidR="008715BE" w:rsidRDefault="00000000">
                              <w:pPr>
                                <w:spacing w:before="41"/>
                                <w:ind w:left="2113"/>
                                <w:rPr>
                                  <w:b/>
                                  <w:sz w:val="18"/>
                                </w:rPr>
                              </w:pPr>
                              <w:r>
                                <w:rPr>
                                  <w:b/>
                                  <w:w w:val="135"/>
                                  <w:sz w:val="12"/>
                                </w:rPr>
                                <w:t xml:space="preserve">Form of </w:t>
                              </w:r>
                              <w:r>
                                <w:rPr>
                                  <w:b/>
                                  <w:spacing w:val="-2"/>
                                  <w:w w:val="135"/>
                                  <w:sz w:val="12"/>
                                </w:rPr>
                                <w:t>impact</w:t>
                              </w:r>
                            </w:p>
                            <w:p w14:paraId="704DD24C" w14:textId="77777777" w:rsidR="008715BE" w:rsidRDefault="00000000">
                              <w:pPr>
                                <w:numPr>
                                  <w:ilvl w:val="0"/>
                                  <w:numId w:val="52"/>
                                </w:numPr>
                                <w:tabs>
                                  <w:tab w:val="left" w:pos="2204"/>
                                  <w:tab w:val="left" w:pos="2272"/>
                                </w:tabs>
                                <w:spacing w:before="35" w:line="216" w:lineRule="auto"/>
                                <w:ind w:right="289" w:hanging="92"/>
                                <w:rPr>
                                  <w:sz w:val="18"/>
                                </w:rPr>
                              </w:pPr>
                              <w:r>
                                <w:rPr>
                                  <w:w w:val="120"/>
                                  <w:sz w:val="12"/>
                                </w:rPr>
                                <w:t xml:space="preserve">exceeding the limit values of noise indicators in the area where </w:t>
                              </w:r>
                              <w:r>
                                <w:rPr>
                                  <w:spacing w:val="-2"/>
                                  <w:w w:val="120"/>
                                  <w:sz w:val="12"/>
                                </w:rPr>
                                <w:t>the investments</w:t>
                              </w:r>
                              <w:r>
                                <w:rPr>
                                  <w:w w:val="120"/>
                                  <w:sz w:val="12"/>
                                </w:rPr>
                                <w:t xml:space="preserve"> are made</w:t>
                              </w:r>
                            </w:p>
                          </w:txbxContent>
                        </wps:txbx>
                        <wps:bodyPr wrap="square" lIns="0" tIns="0" rIns="0" bIns="0" rtlCol="0"/>
                      </wps:wsp>
                    </wpg:wgp>
                  </a:graphicData>
                </a:graphic>
              </wp:inline>
            </w:drawing>
          </mc:Choice>
          <mc:Fallback>
            <w:pict>
              <v:group w14:anchorId="40FCBA13" id="Group 400" o:spid="_x0000_s1229"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">
                <v:shape id="Graphic 401" o:spid="_x0000_s1230"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" path="m5792851,l111353,,68012,8759,32616,32639,8751,68044,,111378r,890778l8751,1045545r23865,35399l68012,1104794r43341,8741l5792851,1113535r43334,-8741l5871591,1080944r23879,-35399l5904230,1002156r,-890778l5895470,68044,5871591,32638,5836185,8759,5792851,xe" fillcolor="#00afef" stroked="f">
                  <v:path arrowok="t"/>
                </v:shape>
                <v:shape id="Graphic 402" o:spid="_x0000_s1231"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47,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75,315899r138950,l777925,292506r-60756,l717169,245706r176898,l899502,240461r,-235229xem948118,344538r-5461,-5233l935964,339305r-291770,l649401,362699r166764,l874229,720394r24562,l840765,362699r101892,l948118,357466r,-12928xe" fillcolor="#c0c8e3" stroked="f">
                  <v:path arrowok="t"/>
                </v:shape>
                <v:shape id="Graphic 403" o:spid="_x0000_s1232"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04" o:spid="_x0000_s1233"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0A977AC7" w14:textId="77777777" w:rsidR="008715BE" w:rsidRDefault="00000000">
                        <w:pPr>
                          <w:spacing w:before="41"/>
                          <w:ind w:left="2113"/>
                          <w:rPr>
                            <w:b/>
                            <w:sz w:val="18"/>
                          </w:rPr>
                        </w:pPr>
                        <w:r>
                          <w:rPr>
                            <w:b/>
                            <w:w w:val="135"/>
                            <w:sz w:val="12"/>
                          </w:rPr>
                          <w:t xml:space="preserve">Form of </w:t>
                        </w:r>
                        <w:r>
                          <w:rPr>
                            <w:b/>
                            <w:spacing w:val="-2"/>
                            <w:w w:val="135"/>
                            <w:sz w:val="12"/>
                          </w:rPr>
                          <w:t>impact</w:t>
                        </w:r>
                      </w:p>
                      <w:p w14:paraId="704DD24C" w14:textId="77777777" w:rsidR="008715BE" w:rsidRDefault="00000000">
                        <w:pPr>
                          <w:numPr>
                            <w:ilvl w:val="0"/>
                            <w:numId w:val="52"/>
                          </w:numPr>
                          <w:tabs>
                            <w:tab w:val="left" w:pos="2204"/>
                            <w:tab w:val="left" w:pos="2272"/>
                          </w:tabs>
                          <w:spacing w:before="35" w:line="216" w:lineRule="auto"/>
                          <w:ind w:right="289" w:hanging="92"/>
                          <w:rPr>
                            <w:sz w:val="18"/>
                          </w:rPr>
                        </w:pPr>
                        <w:r>
                          <w:rPr>
                            <w:w w:val="120"/>
                            <w:sz w:val="12"/>
                          </w:rPr>
                          <w:t xml:space="preserve">exceeding the limit values of noise indicators in the area where </w:t>
                        </w:r>
                        <w:r>
                          <w:rPr>
                            <w:spacing w:val="-2"/>
                            <w:w w:val="120"/>
                            <w:sz w:val="12"/>
                          </w:rPr>
                          <w:t>the investments</w:t>
                        </w:r>
                        <w:r>
                          <w:rPr>
                            <w:w w:val="120"/>
                            <w:sz w:val="12"/>
                          </w:rPr>
                          <w:t xml:space="preserve"> are made</w:t>
                        </w:r>
                      </w:p>
                    </w:txbxContent>
                  </v:textbox>
                </v:shape>
                <w10:anchorlock/>
              </v:group>
            </w:pict>
          </mc:Fallback>
        </mc:AlternateContent>
      </w:r>
    </w:p>
    <w:p w14:paraId="07211F6D" w14:textId="77777777" w:rsidR="008715BE" w:rsidRPr="00EC75B7" w:rsidRDefault="00000000">
      <w:pPr>
        <w:pStyle w:val="BodyText"/>
        <w:rPr>
          <w:rFonts w:ascii="Verdana" w:hAnsi="Verdana"/>
        </w:rPr>
      </w:pPr>
      <w:r w:rsidRPr="00EC75B7">
        <w:rPr>
          <w:rFonts w:ascii="Verdana" w:hAnsi="Verdana"/>
          <w:noProof/>
        </w:rPr>
        <mc:AlternateContent>
          <mc:Choice Requires="wpg">
            <w:drawing>
              <wp:anchor distT="0" distB="0" distL="0" distR="0" simplePos="0" relativeHeight="251800576" behindDoc="1" locked="0" layoutInCell="1" allowOverlap="1" wp14:anchorId="24E0EC05" wp14:editId="63CB3150">
                <wp:simplePos x="0" y="0"/>
                <wp:positionH relativeFrom="page">
                  <wp:posOffset>774065</wp:posOffset>
                </wp:positionH>
                <wp:positionV relativeFrom="paragraph">
                  <wp:posOffset>116331</wp:posOffset>
                </wp:positionV>
                <wp:extent cx="5904230" cy="1267460"/>
                <wp:effectExtent l="0" t="0" r="0" b="0"/>
                <wp:wrapTopAndBottom/>
                <wp:docPr id="405" name="Group 40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06" name="Graphic 40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07" name="Graphic 407"/>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08" name="Graphic 408"/>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09" name="Textbox 409"/>
                        <wps:cNvSpPr txBox="1"/>
                        <wps:spPr>
                          <a:xfrm>
                            <a:off x="0" y="0"/>
                            <a:ext cx="5904230" cy="1267460"/>
                          </a:xfrm>
                          <a:prstGeom prst="rect">
                            <a:avLst/>
                          </a:prstGeom>
                        </wps:spPr>
                        <wps:txbx>
                          <w:txbxContent>
                            <w:p w14:paraId="5E26359B" w14:textId="77777777" w:rsidR="008715BE" w:rsidRDefault="00000000">
                              <w:pPr>
                                <w:spacing w:before="41"/>
                                <w:ind w:left="2113"/>
                                <w:rPr>
                                  <w:b/>
                                  <w:sz w:val="18"/>
                                </w:rPr>
                              </w:pPr>
                              <w:r>
                                <w:rPr>
                                  <w:b/>
                                  <w:w w:val="135"/>
                                  <w:sz w:val="12"/>
                                </w:rPr>
                                <w:t xml:space="preserve">Nature </w:t>
                              </w:r>
                              <w:r>
                                <w:rPr>
                                  <w:b/>
                                  <w:spacing w:val="-2"/>
                                  <w:w w:val="135"/>
                                  <w:sz w:val="12"/>
                                </w:rPr>
                                <w:t>of the impact</w:t>
                              </w:r>
                            </w:p>
                            <w:p w14:paraId="7AE35B97" w14:textId="77777777" w:rsidR="008715BE" w:rsidRDefault="00000000">
                              <w:pPr>
                                <w:numPr>
                                  <w:ilvl w:val="0"/>
                                  <w:numId w:val="51"/>
                                </w:numPr>
                                <w:tabs>
                                  <w:tab w:val="left" w:pos="2272"/>
                                </w:tabs>
                                <w:spacing w:before="18" w:line="208" w:lineRule="exact"/>
                                <w:ind w:left="2272" w:hanging="159"/>
                                <w:rPr>
                                  <w:sz w:val="18"/>
                                </w:rPr>
                              </w:pPr>
                              <w:r>
                                <w:rPr>
                                  <w:w w:val="120"/>
                                  <w:sz w:val="12"/>
                                </w:rPr>
                                <w:t xml:space="preserve">direct if the interventions and activities specific to the execution stage </w:t>
                              </w:r>
                              <w:r>
                                <w:rPr>
                                  <w:spacing w:val="-5"/>
                                  <w:w w:val="120"/>
                                  <w:sz w:val="12"/>
                                </w:rPr>
                                <w:t>may</w:t>
                              </w:r>
                            </w:p>
                            <w:p w14:paraId="7F3D995A" w14:textId="77777777" w:rsidR="008715BE" w:rsidRDefault="00000000">
                              <w:pPr>
                                <w:spacing w:line="208" w:lineRule="exact"/>
                                <w:ind w:left="2204"/>
                                <w:rPr>
                                  <w:sz w:val="18"/>
                                </w:rPr>
                              </w:pPr>
                              <w:r>
                                <w:rPr>
                                  <w:w w:val="120"/>
                                  <w:sz w:val="12"/>
                                </w:rPr>
                                <w:t xml:space="preserve">cause immediate changes in the </w:t>
                              </w:r>
                              <w:r>
                                <w:rPr>
                                  <w:spacing w:val="-2"/>
                                  <w:w w:val="120"/>
                                  <w:sz w:val="12"/>
                                </w:rPr>
                                <w:t xml:space="preserve">local </w:t>
                              </w:r>
                              <w:r>
                                <w:rPr>
                                  <w:w w:val="120"/>
                                  <w:sz w:val="12"/>
                                </w:rPr>
                                <w:t>noise level</w:t>
                              </w:r>
                            </w:p>
                            <w:p w14:paraId="7931084E" w14:textId="77777777" w:rsidR="008715BE" w:rsidRDefault="00000000">
                              <w:pPr>
                                <w:numPr>
                                  <w:ilvl w:val="0"/>
                                  <w:numId w:val="50"/>
                                </w:numPr>
                                <w:tabs>
                                  <w:tab w:val="left" w:pos="2204"/>
                                  <w:tab w:val="left" w:pos="2284"/>
                                </w:tabs>
                                <w:spacing w:before="35" w:line="216" w:lineRule="auto"/>
                                <w:ind w:right="589" w:hanging="92"/>
                                <w:rPr>
                                  <w:sz w:val="18"/>
                                </w:rPr>
                              </w:pPr>
                              <w:r>
                                <w:rPr>
                                  <w:w w:val="120"/>
                                  <w:sz w:val="12"/>
                                </w:rPr>
                                <w:t>secondary if they can generate a potential impact after a certain period after completion and on another environmental factor</w:t>
                              </w:r>
                            </w:p>
                          </w:txbxContent>
                        </wps:txbx>
                        <wps:bodyPr wrap="square" lIns="0" tIns="0" rIns="0" bIns="0" rtlCol="0"/>
                      </wps:wsp>
                    </wpg:wgp>
                  </a:graphicData>
                </a:graphic>
              </wp:anchor>
            </w:drawing>
          </mc:Choice>
          <mc:Fallback>
            <w:pict>
              <v:group w14:anchorId="24E0EC05" id="Group 405" o:spid="_x0000_s1234" style="position:absolute;margin-left:60.95pt;margin-top:9.15pt;width:464.9pt;height:99.8pt;z-index:-25151590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YQ/YA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">
                <v:shape id="Graphic 406" o:spid="_x0000_s123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07" o:spid="_x0000_s1236"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08" o:spid="_x0000_s1237"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09" o:spid="_x0000_s123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5E26359B" w14:textId="77777777" w:rsidR="008715BE" w:rsidRDefault="00000000">
                        <w:pPr>
                          <w:spacing w:before="41"/>
                          <w:ind w:left="2113"/>
                          <w:rPr>
                            <w:b/>
                            <w:sz w:val="18"/>
                          </w:rPr>
                        </w:pPr>
                        <w:r>
                          <w:rPr>
                            <w:b/>
                            <w:w w:val="135"/>
                            <w:sz w:val="12"/>
                          </w:rPr>
                          <w:t xml:space="preserve">Nature </w:t>
                        </w:r>
                        <w:r>
                          <w:rPr>
                            <w:b/>
                            <w:spacing w:val="-2"/>
                            <w:w w:val="135"/>
                            <w:sz w:val="12"/>
                          </w:rPr>
                          <w:t>of the impact</w:t>
                        </w:r>
                      </w:p>
                      <w:p w14:paraId="7AE35B97" w14:textId="77777777" w:rsidR="008715BE" w:rsidRDefault="00000000">
                        <w:pPr>
                          <w:numPr>
                            <w:ilvl w:val="0"/>
                            <w:numId w:val="51"/>
                          </w:numPr>
                          <w:tabs>
                            <w:tab w:val="left" w:pos="2272"/>
                          </w:tabs>
                          <w:spacing w:before="18" w:line="208" w:lineRule="exact"/>
                          <w:ind w:left="2272" w:hanging="159"/>
                          <w:rPr>
                            <w:sz w:val="18"/>
                          </w:rPr>
                        </w:pPr>
                        <w:r>
                          <w:rPr>
                            <w:w w:val="120"/>
                            <w:sz w:val="12"/>
                          </w:rPr>
                          <w:t xml:space="preserve">direct if the interventions and activities specific to the execution stage </w:t>
                        </w:r>
                        <w:r>
                          <w:rPr>
                            <w:spacing w:val="-5"/>
                            <w:w w:val="120"/>
                            <w:sz w:val="12"/>
                          </w:rPr>
                          <w:t>may</w:t>
                        </w:r>
                      </w:p>
                      <w:p w14:paraId="7F3D995A" w14:textId="77777777" w:rsidR="008715BE" w:rsidRDefault="00000000">
                        <w:pPr>
                          <w:spacing w:line="208" w:lineRule="exact"/>
                          <w:ind w:left="2204"/>
                          <w:rPr>
                            <w:sz w:val="18"/>
                          </w:rPr>
                        </w:pPr>
                        <w:r>
                          <w:rPr>
                            <w:w w:val="120"/>
                            <w:sz w:val="12"/>
                          </w:rPr>
                          <w:t xml:space="preserve">cause immediate changes in the </w:t>
                        </w:r>
                        <w:r>
                          <w:rPr>
                            <w:spacing w:val="-2"/>
                            <w:w w:val="120"/>
                            <w:sz w:val="12"/>
                          </w:rPr>
                          <w:t xml:space="preserve">local </w:t>
                        </w:r>
                        <w:r>
                          <w:rPr>
                            <w:w w:val="120"/>
                            <w:sz w:val="12"/>
                          </w:rPr>
                          <w:t>noise level</w:t>
                        </w:r>
                      </w:p>
                      <w:p w14:paraId="7931084E" w14:textId="77777777" w:rsidR="008715BE" w:rsidRDefault="00000000">
                        <w:pPr>
                          <w:numPr>
                            <w:ilvl w:val="0"/>
                            <w:numId w:val="50"/>
                          </w:numPr>
                          <w:tabs>
                            <w:tab w:val="left" w:pos="2204"/>
                            <w:tab w:val="left" w:pos="2284"/>
                          </w:tabs>
                          <w:spacing w:before="35" w:line="216" w:lineRule="auto"/>
                          <w:ind w:right="589" w:hanging="92"/>
                          <w:rPr>
                            <w:sz w:val="18"/>
                          </w:rPr>
                        </w:pPr>
                        <w:r>
                          <w:rPr>
                            <w:w w:val="120"/>
                            <w:sz w:val="12"/>
                          </w:rPr>
                          <w:t>secondary if they can generate a potential impact after a certain period after completion and on another environmental factor</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02624" behindDoc="1" locked="0" layoutInCell="1" allowOverlap="1" wp14:anchorId="052FBE6E" wp14:editId="13A938D0">
                <wp:simplePos x="0" y="0"/>
                <wp:positionH relativeFrom="page">
                  <wp:posOffset>774065</wp:posOffset>
                </wp:positionH>
                <wp:positionV relativeFrom="paragraph">
                  <wp:posOffset>1510538</wp:posOffset>
                </wp:positionV>
                <wp:extent cx="5904230" cy="1267460"/>
                <wp:effectExtent l="0" t="0" r="0" b="0"/>
                <wp:wrapTopAndBottom/>
                <wp:docPr id="410" name="Group 410"/>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11" name="Graphic 411"/>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12" name="Graphic 412"/>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13" name="Graphic 413"/>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14" name="Textbox 414"/>
                        <wps:cNvSpPr txBox="1"/>
                        <wps:spPr>
                          <a:xfrm>
                            <a:off x="0" y="0"/>
                            <a:ext cx="5904230" cy="1267460"/>
                          </a:xfrm>
                          <a:prstGeom prst="rect">
                            <a:avLst/>
                          </a:prstGeom>
                        </wps:spPr>
                        <wps:txbx>
                          <w:txbxContent>
                            <w:p w14:paraId="6CFA5666" w14:textId="77777777" w:rsidR="008715BE" w:rsidRDefault="008715BE">
                              <w:pPr>
                                <w:spacing w:before="213"/>
                                <w:rPr>
                                  <w:sz w:val="18"/>
                                </w:rPr>
                              </w:pPr>
                            </w:p>
                            <w:p w14:paraId="5AD174E6" w14:textId="77777777" w:rsidR="008715BE" w:rsidRDefault="00000000">
                              <w:pPr>
                                <w:ind w:left="2113"/>
                                <w:rPr>
                                  <w:b/>
                                  <w:sz w:val="18"/>
                                </w:rPr>
                              </w:pPr>
                              <w:r>
                                <w:rPr>
                                  <w:b/>
                                  <w:w w:val="135"/>
                                  <w:sz w:val="12"/>
                                </w:rPr>
                                <w:t xml:space="preserve">Extension </w:t>
                              </w:r>
                              <w:r>
                                <w:rPr>
                                  <w:b/>
                                  <w:spacing w:val="-2"/>
                                  <w:w w:val="135"/>
                                  <w:sz w:val="12"/>
                                </w:rPr>
                                <w:t>of impact</w:t>
                              </w:r>
                            </w:p>
                            <w:p w14:paraId="307E807C" w14:textId="77777777" w:rsidR="008715BE" w:rsidRDefault="00000000">
                              <w:pPr>
                                <w:numPr>
                                  <w:ilvl w:val="0"/>
                                  <w:numId w:val="49"/>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0013E23A" w14:textId="77777777" w:rsidR="008715BE" w:rsidRDefault="00000000">
                              <w:pPr>
                                <w:numPr>
                                  <w:ilvl w:val="0"/>
                                  <w:numId w:val="49"/>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UATs</w:t>
                              </w:r>
                            </w:p>
                            <w:p w14:paraId="15DA81FF" w14:textId="77777777" w:rsidR="008715BE" w:rsidRDefault="00000000">
                              <w:pPr>
                                <w:spacing w:line="208" w:lineRule="exact"/>
                                <w:ind w:left="2113"/>
                                <w:rPr>
                                  <w:sz w:val="18"/>
                                </w:rPr>
                              </w:pPr>
                              <w:r>
                                <w:rPr>
                                  <w:spacing w:val="-4"/>
                                  <w:w w:val="125"/>
                                  <w:sz w:val="12"/>
                                </w:rPr>
                                <w:t>.</w:t>
                              </w:r>
                            </w:p>
                          </w:txbxContent>
                        </wps:txbx>
                        <wps:bodyPr wrap="square" lIns="0" tIns="0" rIns="0" bIns="0" rtlCol="0"/>
                      </wps:wsp>
                    </wpg:wgp>
                  </a:graphicData>
                </a:graphic>
              </wp:anchor>
            </w:drawing>
          </mc:Choice>
          <mc:Fallback>
            <w:pict>
              <v:group w14:anchorId="052FBE6E" id="Group 410" o:spid="_x0000_s1239" style="position:absolute;margin-left:60.95pt;margin-top:118.95pt;width:464.9pt;height:99.8pt;z-index:-2515138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">
                <v:shape id="Graphic 411" o:spid="_x0000_s124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12" o:spid="_x0000_s1241"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13" o:spid="_x0000_s1242"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14" o:spid="_x0000_s124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6CFA5666" w14:textId="77777777" w:rsidR="008715BE" w:rsidRDefault="008715BE">
                        <w:pPr>
                          <w:spacing w:before="213"/>
                          <w:rPr>
                            <w:sz w:val="18"/>
                          </w:rPr>
                        </w:pPr>
                      </w:p>
                      <w:p w14:paraId="5AD174E6" w14:textId="77777777" w:rsidR="008715BE" w:rsidRDefault="00000000">
                        <w:pPr>
                          <w:ind w:left="2113"/>
                          <w:rPr>
                            <w:b/>
                            <w:sz w:val="18"/>
                          </w:rPr>
                        </w:pPr>
                        <w:r>
                          <w:rPr>
                            <w:b/>
                            <w:w w:val="135"/>
                            <w:sz w:val="12"/>
                          </w:rPr>
                          <w:t xml:space="preserve">Extension </w:t>
                        </w:r>
                        <w:r>
                          <w:rPr>
                            <w:b/>
                            <w:spacing w:val="-2"/>
                            <w:w w:val="135"/>
                            <w:sz w:val="12"/>
                          </w:rPr>
                          <w:t>of impact</w:t>
                        </w:r>
                      </w:p>
                      <w:p w14:paraId="307E807C" w14:textId="77777777" w:rsidR="008715BE" w:rsidRDefault="00000000">
                        <w:pPr>
                          <w:numPr>
                            <w:ilvl w:val="0"/>
                            <w:numId w:val="49"/>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0013E23A" w14:textId="77777777" w:rsidR="008715BE" w:rsidRDefault="00000000">
                        <w:pPr>
                          <w:numPr>
                            <w:ilvl w:val="0"/>
                            <w:numId w:val="49"/>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UATs</w:t>
                        </w:r>
                      </w:p>
                      <w:p w14:paraId="15DA81FF" w14:textId="77777777" w:rsidR="008715BE" w:rsidRDefault="00000000">
                        <w:pPr>
                          <w:spacing w:line="208" w:lineRule="exact"/>
                          <w:ind w:left="2113"/>
                          <w:rPr>
                            <w:sz w:val="18"/>
                          </w:rPr>
                        </w:pPr>
                        <w:r>
                          <w:rPr>
                            <w:spacing w:val="-4"/>
                            <w:w w:val="125"/>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04672" behindDoc="1" locked="0" layoutInCell="1" allowOverlap="1" wp14:anchorId="5DF5358A" wp14:editId="2313CEE5">
                <wp:simplePos x="0" y="0"/>
                <wp:positionH relativeFrom="page">
                  <wp:posOffset>774065</wp:posOffset>
                </wp:positionH>
                <wp:positionV relativeFrom="paragraph">
                  <wp:posOffset>2904617</wp:posOffset>
                </wp:positionV>
                <wp:extent cx="5904230" cy="1267460"/>
                <wp:effectExtent l="0" t="0" r="0" b="0"/>
                <wp:wrapTopAndBottom/>
                <wp:docPr id="415" name="Group 41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16" name="Graphic 41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17" name="Graphic 417"/>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18" name="Graphic 418"/>
                        <wps:cNvSpPr/>
                        <wps:spPr>
                          <a:xfrm>
                            <a:off x="81584" y="62610"/>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84" y="1013840"/>
                                </a:lnTo>
                                <a:lnTo>
                                  <a:pt x="61920" y="1005881"/>
                                </a:lnTo>
                                <a:lnTo>
                                  <a:pt x="29694"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19" name="Textbox 419"/>
                        <wps:cNvSpPr txBox="1"/>
                        <wps:spPr>
                          <a:xfrm>
                            <a:off x="0" y="0"/>
                            <a:ext cx="5904230" cy="1267460"/>
                          </a:xfrm>
                          <a:prstGeom prst="rect">
                            <a:avLst/>
                          </a:prstGeom>
                        </wps:spPr>
                        <wps:txbx>
                          <w:txbxContent>
                            <w:p w14:paraId="44EA596C" w14:textId="77777777" w:rsidR="008715BE" w:rsidRDefault="00000000">
                              <w:pPr>
                                <w:spacing w:before="118"/>
                                <w:ind w:left="2113"/>
                                <w:rPr>
                                  <w:b/>
                                  <w:sz w:val="18"/>
                                </w:rPr>
                              </w:pPr>
                              <w:r>
                                <w:rPr>
                                  <w:b/>
                                  <w:w w:val="135"/>
                                  <w:sz w:val="12"/>
                                </w:rPr>
                                <w:t xml:space="preserve">Frequency of occurrence of </w:t>
                              </w:r>
                              <w:r>
                                <w:rPr>
                                  <w:b/>
                                  <w:spacing w:val="-2"/>
                                  <w:w w:val="135"/>
                                  <w:sz w:val="12"/>
                                </w:rPr>
                                <w:t>effects</w:t>
                              </w:r>
                            </w:p>
                            <w:p w14:paraId="6D755E39" w14:textId="77777777" w:rsidR="008715BE" w:rsidRDefault="00000000">
                              <w:pPr>
                                <w:numPr>
                                  <w:ilvl w:val="0"/>
                                  <w:numId w:val="48"/>
                                </w:numPr>
                                <w:tabs>
                                  <w:tab w:val="left" w:pos="2285"/>
                                </w:tabs>
                                <w:spacing w:before="35" w:line="216" w:lineRule="auto"/>
                                <w:ind w:right="59" w:firstLine="0"/>
                                <w:rPr>
                                  <w:sz w:val="18"/>
                                </w:rPr>
                              </w:pPr>
                              <w:r>
                                <w:rPr>
                                  <w:w w:val="120"/>
                                  <w:sz w:val="12"/>
                                </w:rPr>
                                <w:t>Once/temporary The impact occurs only once during one of the project stages. Most often associated with a short duration.</w:t>
                              </w:r>
                            </w:p>
                            <w:p w14:paraId="4AAC9051" w14:textId="77777777" w:rsidR="008715BE" w:rsidRDefault="00000000">
                              <w:pPr>
                                <w:numPr>
                                  <w:ilvl w:val="0"/>
                                  <w:numId w:val="48"/>
                                </w:numPr>
                                <w:tabs>
                                  <w:tab w:val="left" w:pos="2285"/>
                                </w:tabs>
                                <w:spacing w:before="22"/>
                                <w:ind w:left="2285" w:hanging="172"/>
                                <w:rPr>
                                  <w:sz w:val="18"/>
                                </w:rPr>
                              </w:pPr>
                              <w:r>
                                <w:rPr>
                                  <w:w w:val="120"/>
                                  <w:sz w:val="12"/>
                                </w:rPr>
                                <w:t xml:space="preserve">permanent – The impact is continuous after it </w:t>
                              </w:r>
                              <w:r>
                                <w:rPr>
                                  <w:spacing w:val="-2"/>
                                  <w:w w:val="120"/>
                                  <w:sz w:val="12"/>
                                </w:rPr>
                                <w:t>occurs.</w:t>
                              </w:r>
                            </w:p>
                            <w:p w14:paraId="59294492" w14:textId="77777777" w:rsidR="008715BE" w:rsidRDefault="00000000">
                              <w:pPr>
                                <w:numPr>
                                  <w:ilvl w:val="0"/>
                                  <w:numId w:val="48"/>
                                </w:numPr>
                                <w:tabs>
                                  <w:tab w:val="left" w:pos="2285"/>
                                </w:tabs>
                                <w:spacing w:before="31" w:line="218" w:lineRule="auto"/>
                                <w:ind w:right="636" w:firstLine="0"/>
                                <w:rPr>
                                  <w:sz w:val="18"/>
                                </w:rPr>
                              </w:pPr>
                              <w:r>
                                <w:rPr>
                                  <w:w w:val="120"/>
                                  <w:sz w:val="12"/>
                                </w:rPr>
                                <w:t>Accidental – for effects that may occur occasionally as a result of damage/human error</w:t>
                              </w:r>
                            </w:p>
                            <w:p w14:paraId="1F388A61" w14:textId="77777777" w:rsidR="008715BE" w:rsidRDefault="00000000">
                              <w:pPr>
                                <w:numPr>
                                  <w:ilvl w:val="0"/>
                                  <w:numId w:val="48"/>
                                </w:numPr>
                                <w:tabs>
                                  <w:tab w:val="left" w:pos="2285"/>
                                </w:tabs>
                                <w:spacing w:before="36" w:line="216" w:lineRule="auto"/>
                                <w:ind w:right="1035" w:firstLine="0"/>
                                <w:rPr>
                                  <w:sz w:val="18"/>
                                </w:rPr>
                              </w:pPr>
                              <w:r>
                                <w:rPr>
                                  <w:w w:val="120"/>
                                  <w:sz w:val="12"/>
                                </w:rPr>
                                <w:t>intermittent – for effects that may occur throughout the entire period of operation/execution but are limited in time</w:t>
                              </w:r>
                            </w:p>
                          </w:txbxContent>
                        </wps:txbx>
                        <wps:bodyPr wrap="square" lIns="0" tIns="0" rIns="0" bIns="0" rtlCol="0"/>
                      </wps:wsp>
                    </wpg:wgp>
                  </a:graphicData>
                </a:graphic>
              </wp:anchor>
            </w:drawing>
          </mc:Choice>
          <mc:Fallback>
            <w:pict>
              <v:group w14:anchorId="5DF5358A" id="Group 415" o:spid="_x0000_s1244" style="position:absolute;margin-left:60.95pt;margin-top:228.7pt;width:464.9pt;height:99.8pt;z-index:-251511808;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">
                <v:shape id="Graphic 416" o:spid="_x0000_s124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17" o:spid="_x0000_s1246"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18" o:spid="_x0000_s1247"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" path="m,101346l7967,61882,29694,29670,61920,7959,101384,r978065,l1118912,7959r32212,21711l1172835,61882r7960,39464l1180795,912495r-7960,39463l1151124,984170r-32212,21711l1079449,1013840r-978065,l61920,1005881,29694,984170,7967,951958,,912495,,101346xe" filled="f" strokecolor="white" strokeweight=".35275mm">
                  <v:path arrowok="t"/>
                </v:shape>
                <v:shape id="Textbox 419" o:spid="_x0000_s124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44EA596C" w14:textId="77777777" w:rsidR="008715BE" w:rsidRDefault="00000000">
                        <w:pPr>
                          <w:spacing w:before="118"/>
                          <w:ind w:left="2113"/>
                          <w:rPr>
                            <w:b/>
                            <w:sz w:val="18"/>
                          </w:rPr>
                        </w:pPr>
                        <w:r>
                          <w:rPr>
                            <w:b/>
                            <w:w w:val="135"/>
                            <w:sz w:val="12"/>
                          </w:rPr>
                          <w:t xml:space="preserve">Frequency of occurrence of </w:t>
                        </w:r>
                        <w:r>
                          <w:rPr>
                            <w:b/>
                            <w:spacing w:val="-2"/>
                            <w:w w:val="135"/>
                            <w:sz w:val="12"/>
                          </w:rPr>
                          <w:t>effects</w:t>
                        </w:r>
                      </w:p>
                      <w:p w14:paraId="6D755E39" w14:textId="77777777" w:rsidR="008715BE" w:rsidRDefault="00000000">
                        <w:pPr>
                          <w:numPr>
                            <w:ilvl w:val="0"/>
                            <w:numId w:val="48"/>
                          </w:numPr>
                          <w:tabs>
                            <w:tab w:val="left" w:pos="2285"/>
                          </w:tabs>
                          <w:spacing w:before="35" w:line="216" w:lineRule="auto"/>
                          <w:ind w:right="59" w:firstLine="0"/>
                          <w:rPr>
                            <w:sz w:val="18"/>
                          </w:rPr>
                        </w:pPr>
                        <w:r>
                          <w:rPr>
                            <w:w w:val="120"/>
                            <w:sz w:val="12"/>
                          </w:rPr>
                          <w:t>Once/temporary The impact occurs only once during one of the project stages. Most often associated with a short duration.</w:t>
                        </w:r>
                      </w:p>
                      <w:p w14:paraId="4AAC9051" w14:textId="77777777" w:rsidR="008715BE" w:rsidRDefault="00000000">
                        <w:pPr>
                          <w:numPr>
                            <w:ilvl w:val="0"/>
                            <w:numId w:val="48"/>
                          </w:numPr>
                          <w:tabs>
                            <w:tab w:val="left" w:pos="2285"/>
                          </w:tabs>
                          <w:spacing w:before="22"/>
                          <w:ind w:left="2285" w:hanging="172"/>
                          <w:rPr>
                            <w:sz w:val="18"/>
                          </w:rPr>
                        </w:pPr>
                        <w:r>
                          <w:rPr>
                            <w:w w:val="120"/>
                            <w:sz w:val="12"/>
                          </w:rPr>
                          <w:t xml:space="preserve">permanent – The impact is continuous after it </w:t>
                        </w:r>
                        <w:r>
                          <w:rPr>
                            <w:spacing w:val="-2"/>
                            <w:w w:val="120"/>
                            <w:sz w:val="12"/>
                          </w:rPr>
                          <w:t>occurs.</w:t>
                        </w:r>
                      </w:p>
                      <w:p w14:paraId="59294492" w14:textId="77777777" w:rsidR="008715BE" w:rsidRDefault="00000000">
                        <w:pPr>
                          <w:numPr>
                            <w:ilvl w:val="0"/>
                            <w:numId w:val="48"/>
                          </w:numPr>
                          <w:tabs>
                            <w:tab w:val="left" w:pos="2285"/>
                          </w:tabs>
                          <w:spacing w:before="31" w:line="218" w:lineRule="auto"/>
                          <w:ind w:right="636" w:firstLine="0"/>
                          <w:rPr>
                            <w:sz w:val="18"/>
                          </w:rPr>
                        </w:pPr>
                        <w:r>
                          <w:rPr>
                            <w:w w:val="120"/>
                            <w:sz w:val="12"/>
                          </w:rPr>
                          <w:t>Accidental – for effects that may occur occasionally as a result of damage/human error</w:t>
                        </w:r>
                      </w:p>
                      <w:p w14:paraId="1F388A61" w14:textId="77777777" w:rsidR="008715BE" w:rsidRDefault="00000000">
                        <w:pPr>
                          <w:numPr>
                            <w:ilvl w:val="0"/>
                            <w:numId w:val="48"/>
                          </w:numPr>
                          <w:tabs>
                            <w:tab w:val="left" w:pos="2285"/>
                          </w:tabs>
                          <w:spacing w:before="36" w:line="216" w:lineRule="auto"/>
                          <w:ind w:right="1035" w:firstLine="0"/>
                          <w:rPr>
                            <w:sz w:val="18"/>
                          </w:rPr>
                        </w:pPr>
                        <w:r>
                          <w:rPr>
                            <w:w w:val="120"/>
                            <w:sz w:val="12"/>
                          </w:rPr>
                          <w:t>intermittent – for effects that may occur throughout the entire period of operation/execution but are limited in time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06720" behindDoc="1" locked="0" layoutInCell="1" allowOverlap="1" wp14:anchorId="49F4DFE9" wp14:editId="523EDABD">
                <wp:simplePos x="0" y="0"/>
                <wp:positionH relativeFrom="page">
                  <wp:posOffset>774065</wp:posOffset>
                </wp:positionH>
                <wp:positionV relativeFrom="paragraph">
                  <wp:posOffset>4298822</wp:posOffset>
                </wp:positionV>
                <wp:extent cx="5904230" cy="1267460"/>
                <wp:effectExtent l="0" t="0" r="0" b="0"/>
                <wp:wrapTopAndBottom/>
                <wp:docPr id="420" name="Group 420"/>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21" name="Graphic 421"/>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22" name="Graphic 422"/>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23" name="Graphic 423"/>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24" name="Textbox 424"/>
                        <wps:cNvSpPr txBox="1"/>
                        <wps:spPr>
                          <a:xfrm>
                            <a:off x="0" y="0"/>
                            <a:ext cx="5904230" cy="1267460"/>
                          </a:xfrm>
                          <a:prstGeom prst="rect">
                            <a:avLst/>
                          </a:prstGeom>
                        </wps:spPr>
                        <wps:txbx>
                          <w:txbxContent>
                            <w:p w14:paraId="38D08668"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2C12869" w14:textId="77777777" w:rsidR="008715BE" w:rsidRDefault="00000000">
                              <w:pPr>
                                <w:numPr>
                                  <w:ilvl w:val="0"/>
                                  <w:numId w:val="47"/>
                                </w:numPr>
                                <w:tabs>
                                  <w:tab w:val="left" w:pos="2204"/>
                                  <w:tab w:val="left" w:pos="2272"/>
                                </w:tabs>
                                <w:spacing w:before="35" w:line="216" w:lineRule="auto"/>
                                <w:ind w:right="633" w:hanging="92"/>
                                <w:rPr>
                                  <w:sz w:val="18"/>
                                </w:rPr>
                              </w:pPr>
                              <w:r>
                                <w:rPr>
                                  <w:w w:val="120"/>
                                  <w:sz w:val="12"/>
                                </w:rPr>
                                <w:t>Probable and very probable – for situations encountered in practice and from the consultant's experience</w:t>
                              </w:r>
                            </w:p>
                            <w:p w14:paraId="37381BD0" w14:textId="77777777" w:rsidR="008715BE" w:rsidRDefault="00000000">
                              <w:pPr>
                                <w:numPr>
                                  <w:ilvl w:val="0"/>
                                  <w:numId w:val="47"/>
                                </w:numPr>
                                <w:tabs>
                                  <w:tab w:val="left" w:pos="2204"/>
                                  <w:tab w:val="left" w:pos="2272"/>
                                </w:tabs>
                                <w:spacing w:before="39" w:line="216" w:lineRule="auto"/>
                                <w:ind w:right="447" w:hanging="92"/>
                                <w:rPr>
                                  <w:sz w:val="18"/>
                                </w:rPr>
                              </w:pPr>
                              <w:r>
                                <w:rPr>
                                  <w:w w:val="125"/>
                                  <w:sz w:val="12"/>
                                </w:rPr>
                                <w:t>Unlikely or unlikely – for effects that occur when pollutants are continuously emitted into the atmosphere</w:t>
                              </w:r>
                            </w:p>
                          </w:txbxContent>
                        </wps:txbx>
                        <wps:bodyPr wrap="square" lIns="0" tIns="0" rIns="0" bIns="0" rtlCol="0"/>
                      </wps:wsp>
                    </wpg:wgp>
                  </a:graphicData>
                </a:graphic>
              </wp:anchor>
            </w:drawing>
          </mc:Choice>
          <mc:Fallback>
            <w:pict>
              <v:group w14:anchorId="49F4DFE9" id="Group 420" o:spid="_x0000_s1249" style="position:absolute;margin-left:60.95pt;margin-top:338.5pt;width:464.9pt;height:99.8pt;z-index:-25150976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">
                <v:shape id="Graphic 421" o:spid="_x0000_s125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22" o:spid="_x0000_s1251"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23" o:spid="_x0000_s1252"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24" o:spid="_x0000_s125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38D08668"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2C12869" w14:textId="77777777" w:rsidR="008715BE" w:rsidRDefault="00000000">
                        <w:pPr>
                          <w:numPr>
                            <w:ilvl w:val="0"/>
                            <w:numId w:val="47"/>
                          </w:numPr>
                          <w:tabs>
                            <w:tab w:val="left" w:pos="2204"/>
                            <w:tab w:val="left" w:pos="2272"/>
                          </w:tabs>
                          <w:spacing w:before="35" w:line="216" w:lineRule="auto"/>
                          <w:ind w:right="633" w:hanging="92"/>
                          <w:rPr>
                            <w:sz w:val="18"/>
                          </w:rPr>
                        </w:pPr>
                        <w:r>
                          <w:rPr>
                            <w:w w:val="120"/>
                            <w:sz w:val="12"/>
                          </w:rPr>
                          <w:t>Probable and very probable – for situations encountered in practice and from the consultant's experience</w:t>
                        </w:r>
                      </w:p>
                      <w:p w14:paraId="37381BD0" w14:textId="77777777" w:rsidR="008715BE" w:rsidRDefault="00000000">
                        <w:pPr>
                          <w:numPr>
                            <w:ilvl w:val="0"/>
                            <w:numId w:val="47"/>
                          </w:numPr>
                          <w:tabs>
                            <w:tab w:val="left" w:pos="2204"/>
                            <w:tab w:val="left" w:pos="2272"/>
                          </w:tabs>
                          <w:spacing w:before="39" w:line="216" w:lineRule="auto"/>
                          <w:ind w:right="447" w:hanging="92"/>
                          <w:rPr>
                            <w:sz w:val="18"/>
                          </w:rPr>
                        </w:pPr>
                        <w:r>
                          <w:rPr>
                            <w:w w:val="125"/>
                            <w:sz w:val="12"/>
                          </w:rPr>
                          <w:t>Unlikely or unlikely – for effects that occur when pollutants are continuously emitted into the atmosphere</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07744" behindDoc="1" locked="0" layoutInCell="1" allowOverlap="1" wp14:anchorId="505A707B" wp14:editId="389A0722">
                <wp:simplePos x="0" y="0"/>
                <wp:positionH relativeFrom="page">
                  <wp:posOffset>774065</wp:posOffset>
                </wp:positionH>
                <wp:positionV relativeFrom="paragraph">
                  <wp:posOffset>5692902</wp:posOffset>
                </wp:positionV>
                <wp:extent cx="5904230" cy="1267460"/>
                <wp:effectExtent l="0" t="0" r="0" b="0"/>
                <wp:wrapTopAndBottom/>
                <wp:docPr id="425" name="Group 42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26" name="Graphic 42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27" name="Graphic 427"/>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28" name="Graphic 428"/>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29" name="Textbox 429"/>
                        <wps:cNvSpPr txBox="1"/>
                        <wps:spPr>
                          <a:xfrm>
                            <a:off x="0" y="0"/>
                            <a:ext cx="5904230" cy="1267460"/>
                          </a:xfrm>
                          <a:prstGeom prst="rect">
                            <a:avLst/>
                          </a:prstGeom>
                        </wps:spPr>
                        <wps:txbx>
                          <w:txbxContent>
                            <w:p w14:paraId="6C1124E7" w14:textId="77777777" w:rsidR="008715BE" w:rsidRDefault="008715BE">
                              <w:pPr>
                                <w:rPr>
                                  <w:sz w:val="18"/>
                                </w:rPr>
                              </w:pPr>
                            </w:p>
                            <w:p w14:paraId="68C19BA4" w14:textId="77777777" w:rsidR="008715BE" w:rsidRDefault="008715BE">
                              <w:pPr>
                                <w:spacing w:before="31"/>
                                <w:rPr>
                                  <w:sz w:val="18"/>
                                </w:rPr>
                              </w:pPr>
                            </w:p>
                            <w:p w14:paraId="667CC7CE"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5C0A12E2"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disappears, the affected component </w:t>
                              </w:r>
                              <w:r>
                                <w:rPr>
                                  <w:spacing w:val="-2"/>
                                  <w:w w:val="125"/>
                                  <w:sz w:val="12"/>
                                </w:rPr>
                                <w:t>can</w:t>
                              </w:r>
                            </w:p>
                            <w:p w14:paraId="09835B45"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wps:txbx>
                        <wps:bodyPr wrap="square" lIns="0" tIns="0" rIns="0" bIns="0" rtlCol="0"/>
                      </wps:wsp>
                    </wpg:wgp>
                  </a:graphicData>
                </a:graphic>
              </wp:anchor>
            </w:drawing>
          </mc:Choice>
          <mc:Fallback>
            <w:pict>
              <v:group w14:anchorId="505A707B" id="Group 425" o:spid="_x0000_s1254" style="position:absolute;margin-left:60.95pt;margin-top:448.25pt;width:464.9pt;height:99.8pt;z-index:-25150873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">
                <v:shape id="Graphic 426" o:spid="_x0000_s125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27" o:spid="_x0000_s1256"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28" o:spid="_x0000_s1257"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29" o:spid="_x0000_s125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6C1124E7" w14:textId="77777777" w:rsidR="008715BE" w:rsidRDefault="008715BE">
                        <w:pPr>
                          <w:rPr>
                            <w:sz w:val="18"/>
                          </w:rPr>
                        </w:pPr>
                      </w:p>
                      <w:p w14:paraId="68C19BA4" w14:textId="77777777" w:rsidR="008715BE" w:rsidRDefault="008715BE">
                        <w:pPr>
                          <w:spacing w:before="31"/>
                          <w:rPr>
                            <w:sz w:val="18"/>
                          </w:rPr>
                        </w:pPr>
                      </w:p>
                      <w:p w14:paraId="667CC7CE"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5C0A12E2"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disappears, the affected component </w:t>
                        </w:r>
                        <w:r>
                          <w:rPr>
                            <w:spacing w:val="-2"/>
                            <w:w w:val="125"/>
                            <w:sz w:val="12"/>
                          </w:rPr>
                          <w:t>can</w:t>
                        </w:r>
                      </w:p>
                      <w:p w14:paraId="09835B45"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v:textbox>
                </v:shape>
                <w10:wrap type="topAndBottom" anchorx="page"/>
              </v:group>
            </w:pict>
          </mc:Fallback>
        </mc:AlternateContent>
      </w:r>
    </w:p>
    <w:p w14:paraId="1F2DF2E3" w14:textId="77777777" w:rsidR="008715BE" w:rsidRPr="00EC75B7" w:rsidRDefault="008715BE">
      <w:pPr>
        <w:pStyle w:val="BodyText"/>
        <w:spacing w:before="4"/>
        <w:rPr>
          <w:rFonts w:ascii="Verdana" w:hAnsi="Verdana"/>
        </w:rPr>
      </w:pPr>
    </w:p>
    <w:p w14:paraId="40CBB63F" w14:textId="77777777" w:rsidR="008715BE" w:rsidRPr="00EC75B7" w:rsidRDefault="008715BE">
      <w:pPr>
        <w:pStyle w:val="BodyText"/>
        <w:spacing w:before="38"/>
        <w:rPr>
          <w:rFonts w:ascii="Verdana" w:hAnsi="Verdana"/>
        </w:rPr>
      </w:pPr>
    </w:p>
    <w:p w14:paraId="621B692C" w14:textId="77777777" w:rsidR="008715BE" w:rsidRPr="00EC75B7" w:rsidRDefault="00000000">
      <w:pPr>
        <w:pStyle w:val="BodyText"/>
        <w:spacing w:line="360" w:lineRule="auto"/>
        <w:ind w:left="57"/>
        <w:rPr>
          <w:rFonts w:ascii="Verdana" w:hAnsi="Verdana"/>
        </w:rPr>
      </w:pPr>
      <w:r w:rsidRPr="00EC75B7">
        <w:rPr>
          <w:rFonts w:ascii="Verdana" w:hAnsi="Verdana"/>
        </w:rPr>
        <w:t>The following tables present the noise and vibration impact assessment matrix for the construction/decommissioning and operation phases.</w:t>
      </w:r>
    </w:p>
    <w:p w14:paraId="509EB877" w14:textId="77777777" w:rsidR="008715BE" w:rsidRPr="00EC75B7" w:rsidRDefault="008715BE">
      <w:pPr>
        <w:pStyle w:val="BodyText"/>
        <w:spacing w:line="360" w:lineRule="auto"/>
        <w:rPr>
          <w:rFonts w:ascii="Verdana" w:hAnsi="Verdana"/>
        </w:rPr>
        <w:sectPr w:rsidR="008715BE" w:rsidRPr="00EC75B7">
          <w:pgSz w:w="11910" w:h="16840"/>
          <w:pgMar w:top="1320" w:right="850" w:bottom="1020" w:left="1133" w:header="766" w:footer="824" w:gutter="0"/>
          <w:cols w:space="708"/>
        </w:sectPr>
      </w:pPr>
    </w:p>
    <w:p w14:paraId="74179441" w14:textId="77777777" w:rsidR="008715BE" w:rsidRPr="00EC75B7" w:rsidRDefault="00000000">
      <w:pPr>
        <w:pStyle w:val="BodyText"/>
        <w:spacing w:before="99" w:line="357" w:lineRule="auto"/>
        <w:ind w:left="57" w:right="147"/>
        <w:jc w:val="both"/>
        <w:rPr>
          <w:rFonts w:ascii="Verdana" w:hAnsi="Verdana"/>
        </w:rPr>
      </w:pPr>
      <w:r w:rsidRPr="00EC75B7">
        <w:rPr>
          <w:rFonts w:ascii="Verdana" w:hAnsi="Verdana"/>
        </w:rPr>
        <w:lastRenderedPageBreak/>
        <w:t>Given the specific nature of the project and the type of work carried out under this project, it is estimated that during the decommissioning phase, the impacts on air will be of the same nature, magnitude, extent, and significance as those estimated during the construction phase.</w:t>
      </w:r>
    </w:p>
    <w:p w14:paraId="479F7873" w14:textId="77777777" w:rsidR="008715BE" w:rsidRPr="00EC75B7" w:rsidRDefault="008715BE">
      <w:pPr>
        <w:pStyle w:val="BodyText"/>
        <w:spacing w:line="357" w:lineRule="auto"/>
        <w:jc w:val="both"/>
        <w:rPr>
          <w:rFonts w:ascii="Verdana" w:hAnsi="Verdana"/>
        </w:rPr>
        <w:sectPr w:rsidR="008715BE" w:rsidRPr="00EC75B7">
          <w:pgSz w:w="11910" w:h="16840"/>
          <w:pgMar w:top="1320" w:right="850" w:bottom="1020" w:left="1133" w:header="766" w:footer="824" w:gutter="0"/>
          <w:cols w:space="708"/>
        </w:sectPr>
      </w:pPr>
    </w:p>
    <w:p w14:paraId="4BDCB0EA"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Table 47 Assessment of the project's impact on noise and vibrations (</w:t>
      </w:r>
      <w:r w:rsidRPr="00EC75B7">
        <w:rPr>
          <w:rFonts w:ascii="Verdana" w:hAnsi="Verdana"/>
          <w:b/>
          <w:color w:val="00AFEF"/>
          <w:spacing w:val="-2"/>
          <w:sz w:val="18"/>
          <w:szCs w:val="18"/>
        </w:rPr>
        <w:t xml:space="preserve">construction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365"/>
        <w:gridCol w:w="1102"/>
        <w:gridCol w:w="1133"/>
        <w:gridCol w:w="927"/>
        <w:gridCol w:w="970"/>
        <w:gridCol w:w="665"/>
        <w:gridCol w:w="845"/>
        <w:gridCol w:w="1267"/>
        <w:gridCol w:w="843"/>
        <w:gridCol w:w="960"/>
        <w:gridCol w:w="996"/>
        <w:gridCol w:w="1392"/>
        <w:gridCol w:w="7357"/>
      </w:tblGrid>
      <w:tr w:rsidR="008715BE" w:rsidRPr="00EC75B7" w14:paraId="12B6D517" w14:textId="77777777">
        <w:trPr>
          <w:trHeight w:val="1550"/>
        </w:trPr>
        <w:tc>
          <w:tcPr>
            <w:tcW w:w="725" w:type="dxa"/>
            <w:shd w:val="clear" w:color="auto" w:fill="00AFEF"/>
          </w:tcPr>
          <w:p w14:paraId="6C7BD261" w14:textId="77777777" w:rsidR="008715BE" w:rsidRPr="00EC75B7" w:rsidRDefault="008715BE">
            <w:pPr>
              <w:pStyle w:val="TableParagraph"/>
              <w:rPr>
                <w:rFonts w:ascii="Verdana" w:hAnsi="Verdana"/>
                <w:b/>
                <w:sz w:val="18"/>
                <w:szCs w:val="18"/>
              </w:rPr>
            </w:pPr>
          </w:p>
          <w:p w14:paraId="6542B71E" w14:textId="77777777" w:rsidR="008715BE" w:rsidRPr="00EC75B7" w:rsidRDefault="008715BE">
            <w:pPr>
              <w:pStyle w:val="TableParagraph"/>
              <w:rPr>
                <w:rFonts w:ascii="Verdana" w:hAnsi="Verdana"/>
                <w:b/>
                <w:sz w:val="18"/>
                <w:szCs w:val="18"/>
              </w:rPr>
            </w:pPr>
          </w:p>
          <w:p w14:paraId="4B77D8AF" w14:textId="77777777" w:rsidR="008715BE" w:rsidRPr="00EC75B7" w:rsidRDefault="008715BE">
            <w:pPr>
              <w:pStyle w:val="TableParagraph"/>
              <w:spacing w:before="92"/>
              <w:rPr>
                <w:rFonts w:ascii="Verdana" w:hAnsi="Verdana"/>
                <w:b/>
                <w:sz w:val="18"/>
                <w:szCs w:val="18"/>
              </w:rPr>
            </w:pPr>
          </w:p>
          <w:p w14:paraId="4FC082CC"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365" w:type="dxa"/>
            <w:shd w:val="clear" w:color="auto" w:fill="00AFEF"/>
          </w:tcPr>
          <w:p w14:paraId="2766A20E" w14:textId="77777777" w:rsidR="008715BE" w:rsidRPr="00EC75B7" w:rsidRDefault="008715BE">
            <w:pPr>
              <w:pStyle w:val="TableParagraph"/>
              <w:rPr>
                <w:rFonts w:ascii="Verdana" w:hAnsi="Verdana"/>
                <w:b/>
                <w:sz w:val="18"/>
                <w:szCs w:val="18"/>
              </w:rPr>
            </w:pPr>
          </w:p>
          <w:p w14:paraId="2763B3AD" w14:textId="77777777" w:rsidR="008715BE" w:rsidRPr="00EC75B7" w:rsidRDefault="008715BE">
            <w:pPr>
              <w:pStyle w:val="TableParagraph"/>
              <w:rPr>
                <w:rFonts w:ascii="Verdana" w:hAnsi="Verdana"/>
                <w:b/>
                <w:sz w:val="18"/>
                <w:szCs w:val="18"/>
              </w:rPr>
            </w:pPr>
          </w:p>
          <w:p w14:paraId="36F0BD5A" w14:textId="77777777" w:rsidR="008715BE" w:rsidRPr="00EC75B7" w:rsidRDefault="008715BE">
            <w:pPr>
              <w:pStyle w:val="TableParagraph"/>
              <w:spacing w:before="92"/>
              <w:rPr>
                <w:rFonts w:ascii="Verdana" w:hAnsi="Verdana"/>
                <w:b/>
                <w:sz w:val="18"/>
                <w:szCs w:val="18"/>
              </w:rPr>
            </w:pPr>
          </w:p>
          <w:p w14:paraId="4C9D06CD" w14:textId="77777777" w:rsidR="008715BE" w:rsidRPr="00EC75B7" w:rsidRDefault="00000000">
            <w:pPr>
              <w:pStyle w:val="TableParagraph"/>
              <w:spacing w:before="1"/>
              <w:ind w:left="189"/>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1102" w:type="dxa"/>
            <w:shd w:val="clear" w:color="auto" w:fill="00AFEF"/>
          </w:tcPr>
          <w:p w14:paraId="3F1ACFE6" w14:textId="77777777" w:rsidR="008715BE" w:rsidRPr="00EC75B7" w:rsidRDefault="008715BE">
            <w:pPr>
              <w:pStyle w:val="TableParagraph"/>
              <w:rPr>
                <w:rFonts w:ascii="Verdana" w:hAnsi="Verdana"/>
                <w:b/>
                <w:sz w:val="18"/>
                <w:szCs w:val="18"/>
              </w:rPr>
            </w:pPr>
          </w:p>
          <w:p w14:paraId="02A673D7" w14:textId="77777777" w:rsidR="008715BE" w:rsidRPr="00EC75B7" w:rsidRDefault="008715BE">
            <w:pPr>
              <w:pStyle w:val="TableParagraph"/>
              <w:rPr>
                <w:rFonts w:ascii="Verdana" w:hAnsi="Verdana"/>
                <w:b/>
                <w:sz w:val="18"/>
                <w:szCs w:val="18"/>
              </w:rPr>
            </w:pPr>
          </w:p>
          <w:p w14:paraId="46B6A4F2" w14:textId="77777777" w:rsidR="008715BE" w:rsidRPr="00EC75B7" w:rsidRDefault="008715BE">
            <w:pPr>
              <w:pStyle w:val="TableParagraph"/>
              <w:spacing w:before="92"/>
              <w:rPr>
                <w:rFonts w:ascii="Verdana" w:hAnsi="Verdana"/>
                <w:b/>
                <w:sz w:val="18"/>
                <w:szCs w:val="18"/>
              </w:rPr>
            </w:pPr>
          </w:p>
          <w:p w14:paraId="67E2A757" w14:textId="77777777" w:rsidR="008715BE" w:rsidRPr="00EC75B7" w:rsidRDefault="00000000">
            <w:pPr>
              <w:pStyle w:val="TableParagraph"/>
              <w:spacing w:before="1"/>
              <w:ind w:left="267"/>
              <w:rPr>
                <w:rFonts w:ascii="Verdana" w:hAnsi="Verdana"/>
                <w:b/>
                <w:sz w:val="18"/>
                <w:szCs w:val="18"/>
              </w:rPr>
            </w:pPr>
            <w:r w:rsidRPr="00EC75B7">
              <w:rPr>
                <w:rFonts w:ascii="Verdana" w:hAnsi="Verdana"/>
                <w:b/>
                <w:color w:val="FFFFFF"/>
                <w:spacing w:val="-2"/>
                <w:sz w:val="18"/>
                <w:szCs w:val="18"/>
              </w:rPr>
              <w:t>Effects</w:t>
            </w:r>
          </w:p>
        </w:tc>
        <w:tc>
          <w:tcPr>
            <w:tcW w:w="1133" w:type="dxa"/>
            <w:shd w:val="clear" w:color="auto" w:fill="00AFEF"/>
          </w:tcPr>
          <w:p w14:paraId="7D3A93C3" w14:textId="77777777" w:rsidR="008715BE" w:rsidRPr="00EC75B7" w:rsidRDefault="008715BE">
            <w:pPr>
              <w:pStyle w:val="TableParagraph"/>
              <w:rPr>
                <w:rFonts w:ascii="Verdana" w:hAnsi="Verdana"/>
                <w:b/>
                <w:sz w:val="18"/>
                <w:szCs w:val="18"/>
              </w:rPr>
            </w:pPr>
          </w:p>
          <w:p w14:paraId="4B4393E7" w14:textId="77777777" w:rsidR="008715BE" w:rsidRPr="00EC75B7" w:rsidRDefault="008715BE">
            <w:pPr>
              <w:pStyle w:val="TableParagraph"/>
              <w:spacing w:before="93"/>
              <w:rPr>
                <w:rFonts w:ascii="Verdana" w:hAnsi="Verdana"/>
                <w:b/>
                <w:sz w:val="18"/>
                <w:szCs w:val="18"/>
              </w:rPr>
            </w:pPr>
          </w:p>
          <w:p w14:paraId="7A8DECB1" w14:textId="77777777" w:rsidR="008715BE" w:rsidRPr="00EC75B7" w:rsidRDefault="00000000">
            <w:pPr>
              <w:pStyle w:val="TableParagraph"/>
              <w:ind w:left="106" w:firstLine="170"/>
              <w:rPr>
                <w:rFonts w:ascii="Verdana" w:hAnsi="Verdana"/>
                <w:b/>
                <w:sz w:val="18"/>
                <w:szCs w:val="18"/>
              </w:rPr>
            </w:pPr>
            <w:r w:rsidRPr="00EC75B7">
              <w:rPr>
                <w:rFonts w:ascii="Verdana" w:hAnsi="Verdana"/>
                <w:b/>
                <w:color w:val="FFFFFF"/>
                <w:spacing w:val="-2"/>
                <w:sz w:val="18"/>
                <w:szCs w:val="18"/>
              </w:rPr>
              <w:t xml:space="preserve">Potential forms </w:t>
            </w:r>
            <w:r w:rsidRPr="00EC75B7">
              <w:rPr>
                <w:rFonts w:ascii="Verdana" w:hAnsi="Verdana"/>
                <w:b/>
                <w:color w:val="FFFFFF"/>
                <w:sz w:val="18"/>
                <w:szCs w:val="18"/>
              </w:rPr>
              <w:t xml:space="preserve">of </w:t>
            </w:r>
            <w:r w:rsidRPr="00EC75B7">
              <w:rPr>
                <w:rFonts w:ascii="Verdana" w:hAnsi="Verdana"/>
                <w:b/>
                <w:color w:val="FFFFFF"/>
                <w:spacing w:val="-2"/>
                <w:sz w:val="18"/>
                <w:szCs w:val="18"/>
              </w:rPr>
              <w:t>impact</w:t>
            </w:r>
          </w:p>
        </w:tc>
        <w:tc>
          <w:tcPr>
            <w:tcW w:w="927" w:type="dxa"/>
            <w:shd w:val="clear" w:color="auto" w:fill="00AFEF"/>
            <w:textDirection w:val="btLr"/>
          </w:tcPr>
          <w:p w14:paraId="31BE3218" w14:textId="77777777" w:rsidR="008715BE" w:rsidRPr="00EC75B7" w:rsidRDefault="008715BE">
            <w:pPr>
              <w:pStyle w:val="TableParagraph"/>
              <w:spacing w:before="176"/>
              <w:rPr>
                <w:rFonts w:ascii="Verdana" w:hAnsi="Verdana"/>
                <w:b/>
                <w:sz w:val="18"/>
                <w:szCs w:val="18"/>
              </w:rPr>
            </w:pPr>
          </w:p>
          <w:p w14:paraId="68949CDB" w14:textId="77777777" w:rsidR="008715BE" w:rsidRPr="00EC75B7" w:rsidRDefault="00000000">
            <w:pPr>
              <w:pStyle w:val="TableParagraph"/>
              <w:spacing w:before="1"/>
              <w:ind w:left="3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0" w:type="dxa"/>
            <w:shd w:val="clear" w:color="auto" w:fill="00AFEF"/>
            <w:textDirection w:val="btLr"/>
          </w:tcPr>
          <w:p w14:paraId="28526B1B" w14:textId="77777777" w:rsidR="008715BE" w:rsidRPr="00EC75B7" w:rsidRDefault="008715BE">
            <w:pPr>
              <w:pStyle w:val="TableParagraph"/>
              <w:spacing w:before="99"/>
              <w:rPr>
                <w:rFonts w:ascii="Verdana" w:hAnsi="Verdana"/>
                <w:b/>
                <w:sz w:val="18"/>
                <w:szCs w:val="18"/>
              </w:rPr>
            </w:pPr>
          </w:p>
          <w:p w14:paraId="7CE3B3B6" w14:textId="77777777" w:rsidR="008715BE" w:rsidRPr="00EC75B7" w:rsidRDefault="00000000">
            <w:pPr>
              <w:pStyle w:val="TableParagraph"/>
              <w:spacing w:line="244" w:lineRule="auto"/>
              <w:ind w:left="308" w:right="287" w:firstLine="165"/>
              <w:rPr>
                <w:rFonts w:ascii="Verdana" w:hAnsi="Verdana"/>
                <w:b/>
                <w:sz w:val="18"/>
                <w:szCs w:val="18"/>
              </w:rPr>
            </w:pPr>
            <w:r w:rsidRPr="00EC75B7">
              <w:rPr>
                <w:rFonts w:ascii="Verdana" w:hAnsi="Verdana"/>
                <w:b/>
                <w:color w:val="FFFFFF"/>
                <w:spacing w:val="-2"/>
                <w:sz w:val="18"/>
                <w:szCs w:val="18"/>
              </w:rPr>
              <w:t>Nature of impact</w:t>
            </w:r>
          </w:p>
        </w:tc>
        <w:tc>
          <w:tcPr>
            <w:tcW w:w="665" w:type="dxa"/>
            <w:shd w:val="clear" w:color="auto" w:fill="00AFEF"/>
            <w:textDirection w:val="btLr"/>
          </w:tcPr>
          <w:p w14:paraId="46724334" w14:textId="77777777" w:rsidR="008715BE" w:rsidRPr="00EC75B7" w:rsidRDefault="00000000">
            <w:pPr>
              <w:pStyle w:val="TableParagraph"/>
              <w:spacing w:before="141"/>
              <w:ind w:left="378"/>
              <w:rPr>
                <w:rFonts w:ascii="Verdana" w:hAnsi="Verdana"/>
                <w:b/>
                <w:sz w:val="18"/>
                <w:szCs w:val="18"/>
              </w:rPr>
            </w:pPr>
            <w:r w:rsidRPr="00EC75B7">
              <w:rPr>
                <w:rFonts w:ascii="Verdana" w:hAnsi="Verdana"/>
                <w:b/>
                <w:color w:val="FFFFFF"/>
                <w:spacing w:val="-2"/>
                <w:sz w:val="18"/>
                <w:szCs w:val="18"/>
              </w:rPr>
              <w:t>Potential</w:t>
            </w:r>
          </w:p>
          <w:p w14:paraId="288905EC" w14:textId="77777777" w:rsidR="008715BE" w:rsidRPr="00EC75B7" w:rsidRDefault="00000000">
            <w:pPr>
              <w:pStyle w:val="TableParagraph"/>
              <w:spacing w:before="3"/>
              <w:ind w:left="340"/>
              <w:rPr>
                <w:rFonts w:ascii="Verdana" w:hAnsi="Verdana"/>
                <w:b/>
                <w:sz w:val="18"/>
                <w:szCs w:val="18"/>
              </w:rPr>
            </w:pPr>
            <w:r w:rsidRPr="00EC75B7">
              <w:rPr>
                <w:rFonts w:ascii="Verdana" w:hAnsi="Verdana"/>
                <w:b/>
                <w:color w:val="FFFFFF"/>
                <w:spacing w:val="-2"/>
                <w:sz w:val="18"/>
                <w:szCs w:val="18"/>
              </w:rPr>
              <w:t>Cumulative</w:t>
            </w:r>
          </w:p>
        </w:tc>
        <w:tc>
          <w:tcPr>
            <w:tcW w:w="845" w:type="dxa"/>
            <w:shd w:val="clear" w:color="auto" w:fill="00AFEF"/>
            <w:textDirection w:val="btLr"/>
          </w:tcPr>
          <w:p w14:paraId="2BB4F505" w14:textId="77777777" w:rsidR="008715BE" w:rsidRPr="00EC75B7" w:rsidRDefault="008715BE">
            <w:pPr>
              <w:pStyle w:val="TableParagraph"/>
              <w:spacing w:before="134"/>
              <w:rPr>
                <w:rFonts w:ascii="Verdana" w:hAnsi="Verdana"/>
                <w:b/>
                <w:sz w:val="18"/>
                <w:szCs w:val="18"/>
              </w:rPr>
            </w:pPr>
          </w:p>
          <w:p w14:paraId="582882D4" w14:textId="77777777" w:rsidR="008715BE" w:rsidRPr="00EC75B7" w:rsidRDefault="00000000">
            <w:pPr>
              <w:pStyle w:val="TableParagraph"/>
              <w:spacing w:before="1"/>
              <w:ind w:left="476"/>
              <w:rPr>
                <w:rFonts w:ascii="Verdana" w:hAnsi="Verdana"/>
                <w:b/>
                <w:sz w:val="18"/>
                <w:szCs w:val="18"/>
              </w:rPr>
            </w:pPr>
            <w:r w:rsidRPr="00EC75B7">
              <w:rPr>
                <w:rFonts w:ascii="Verdana" w:hAnsi="Verdana"/>
                <w:b/>
                <w:color w:val="FFFFFF"/>
                <w:spacing w:val="-2"/>
                <w:sz w:val="18"/>
                <w:szCs w:val="18"/>
              </w:rPr>
              <w:t>Duration</w:t>
            </w:r>
          </w:p>
        </w:tc>
        <w:tc>
          <w:tcPr>
            <w:tcW w:w="1267" w:type="dxa"/>
            <w:shd w:val="clear" w:color="auto" w:fill="00AFEF"/>
            <w:textDirection w:val="btLr"/>
          </w:tcPr>
          <w:p w14:paraId="252FD9D5" w14:textId="77777777" w:rsidR="008715BE" w:rsidRPr="00EC75B7" w:rsidRDefault="008715BE">
            <w:pPr>
              <w:pStyle w:val="TableParagraph"/>
              <w:rPr>
                <w:rFonts w:ascii="Verdana" w:hAnsi="Verdana"/>
                <w:b/>
                <w:sz w:val="18"/>
                <w:szCs w:val="18"/>
              </w:rPr>
            </w:pPr>
          </w:p>
          <w:p w14:paraId="37C4798D" w14:textId="77777777" w:rsidR="008715BE" w:rsidRPr="00EC75B7" w:rsidRDefault="008715BE">
            <w:pPr>
              <w:pStyle w:val="TableParagraph"/>
              <w:spacing w:before="49"/>
              <w:rPr>
                <w:rFonts w:ascii="Verdana" w:hAnsi="Verdana"/>
                <w:b/>
                <w:sz w:val="18"/>
                <w:szCs w:val="18"/>
              </w:rPr>
            </w:pPr>
          </w:p>
          <w:p w14:paraId="0777E068" w14:textId="77777777" w:rsidR="008715BE" w:rsidRPr="00EC75B7" w:rsidRDefault="00000000">
            <w:pPr>
              <w:pStyle w:val="TableParagraph"/>
              <w:spacing w:before="1" w:line="244" w:lineRule="auto"/>
              <w:ind w:left="43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843" w:type="dxa"/>
            <w:shd w:val="clear" w:color="auto" w:fill="00AFEF"/>
            <w:textDirection w:val="btLr"/>
          </w:tcPr>
          <w:p w14:paraId="1CE8A284" w14:textId="77777777" w:rsidR="008715BE" w:rsidRPr="00EC75B7" w:rsidRDefault="008715BE">
            <w:pPr>
              <w:pStyle w:val="TableParagraph"/>
              <w:spacing w:before="135"/>
              <w:rPr>
                <w:rFonts w:ascii="Verdana" w:hAnsi="Verdana"/>
                <w:b/>
                <w:sz w:val="18"/>
                <w:szCs w:val="18"/>
              </w:rPr>
            </w:pPr>
          </w:p>
          <w:p w14:paraId="23AF664A" w14:textId="77777777" w:rsidR="008715BE" w:rsidRPr="00EC75B7" w:rsidRDefault="00000000">
            <w:pPr>
              <w:pStyle w:val="TableParagraph"/>
              <w:ind w:left="299"/>
              <w:rPr>
                <w:rFonts w:ascii="Verdana" w:hAnsi="Verdana"/>
                <w:b/>
                <w:sz w:val="18"/>
                <w:szCs w:val="18"/>
              </w:rPr>
            </w:pPr>
            <w:r w:rsidRPr="00EC75B7">
              <w:rPr>
                <w:rFonts w:ascii="Verdana" w:hAnsi="Verdana"/>
                <w:b/>
                <w:color w:val="FFFFFF"/>
                <w:spacing w:val="-2"/>
                <w:sz w:val="18"/>
                <w:szCs w:val="18"/>
              </w:rPr>
              <w:t>Extent</w:t>
            </w:r>
          </w:p>
        </w:tc>
        <w:tc>
          <w:tcPr>
            <w:tcW w:w="960" w:type="dxa"/>
            <w:shd w:val="clear" w:color="auto" w:fill="00AFEF"/>
            <w:textDirection w:val="btLr"/>
          </w:tcPr>
          <w:p w14:paraId="1AF3F189" w14:textId="77777777" w:rsidR="008715BE" w:rsidRPr="00EC75B7" w:rsidRDefault="008715BE">
            <w:pPr>
              <w:pStyle w:val="TableParagraph"/>
              <w:spacing w:before="192"/>
              <w:rPr>
                <w:rFonts w:ascii="Verdana" w:hAnsi="Verdana"/>
                <w:b/>
                <w:sz w:val="18"/>
                <w:szCs w:val="18"/>
              </w:rPr>
            </w:pPr>
          </w:p>
          <w:p w14:paraId="1B85E7A5" w14:textId="77777777" w:rsidR="008715BE" w:rsidRPr="00EC75B7" w:rsidRDefault="00000000">
            <w:pPr>
              <w:pStyle w:val="TableParagraph"/>
              <w:ind w:left="150"/>
              <w:rPr>
                <w:rFonts w:ascii="Verdana" w:hAnsi="Verdana"/>
                <w:b/>
                <w:sz w:val="18"/>
                <w:szCs w:val="18"/>
              </w:rPr>
            </w:pPr>
            <w:r w:rsidRPr="00EC75B7">
              <w:rPr>
                <w:rFonts w:ascii="Verdana" w:hAnsi="Verdana"/>
                <w:b/>
                <w:color w:val="FFFFFF"/>
                <w:spacing w:val="-2"/>
                <w:sz w:val="18"/>
                <w:szCs w:val="18"/>
              </w:rPr>
              <w:t>Probability</w:t>
            </w:r>
          </w:p>
        </w:tc>
        <w:tc>
          <w:tcPr>
            <w:tcW w:w="996" w:type="dxa"/>
            <w:shd w:val="clear" w:color="auto" w:fill="00AFEF"/>
            <w:textDirection w:val="btLr"/>
          </w:tcPr>
          <w:p w14:paraId="7B14545E" w14:textId="77777777" w:rsidR="008715BE" w:rsidRPr="00EC75B7" w:rsidRDefault="008715BE">
            <w:pPr>
              <w:pStyle w:val="TableParagraph"/>
              <w:rPr>
                <w:rFonts w:ascii="Verdana" w:hAnsi="Verdana"/>
                <w:b/>
                <w:sz w:val="18"/>
                <w:szCs w:val="18"/>
              </w:rPr>
            </w:pPr>
          </w:p>
          <w:p w14:paraId="55F59987" w14:textId="77777777" w:rsidR="008715BE" w:rsidRPr="00EC75B7" w:rsidRDefault="008715BE">
            <w:pPr>
              <w:pStyle w:val="TableParagraph"/>
              <w:spacing w:before="16"/>
              <w:rPr>
                <w:rFonts w:ascii="Verdana" w:hAnsi="Verdana"/>
                <w:b/>
                <w:sz w:val="18"/>
                <w:szCs w:val="18"/>
              </w:rPr>
            </w:pPr>
          </w:p>
          <w:p w14:paraId="4A0FA1CA" w14:textId="77777777" w:rsidR="008715BE" w:rsidRPr="00EC75B7" w:rsidRDefault="00000000">
            <w:pPr>
              <w:pStyle w:val="TableParagraph"/>
              <w:ind w:left="76"/>
              <w:rPr>
                <w:rFonts w:ascii="Verdana" w:hAnsi="Verdana"/>
                <w:b/>
                <w:sz w:val="18"/>
                <w:szCs w:val="18"/>
              </w:rPr>
            </w:pPr>
            <w:r w:rsidRPr="00EC75B7">
              <w:rPr>
                <w:rFonts w:ascii="Verdana" w:hAnsi="Verdana"/>
                <w:b/>
                <w:color w:val="FFFFFF"/>
                <w:spacing w:val="-2"/>
                <w:sz w:val="18"/>
                <w:szCs w:val="18"/>
              </w:rPr>
              <w:t>Reversibility</w:t>
            </w:r>
          </w:p>
        </w:tc>
        <w:tc>
          <w:tcPr>
            <w:tcW w:w="1392" w:type="dxa"/>
            <w:shd w:val="clear" w:color="auto" w:fill="00AFEF"/>
            <w:textDirection w:val="btLr"/>
          </w:tcPr>
          <w:p w14:paraId="54BEA2BD" w14:textId="77777777" w:rsidR="008715BE" w:rsidRPr="00EC75B7" w:rsidRDefault="008715BE">
            <w:pPr>
              <w:pStyle w:val="TableParagraph"/>
              <w:rPr>
                <w:rFonts w:ascii="Verdana" w:hAnsi="Verdana"/>
                <w:b/>
                <w:sz w:val="18"/>
                <w:szCs w:val="18"/>
              </w:rPr>
            </w:pPr>
          </w:p>
          <w:p w14:paraId="30761D21" w14:textId="77777777" w:rsidR="008715BE" w:rsidRPr="00EC75B7" w:rsidRDefault="008715BE">
            <w:pPr>
              <w:pStyle w:val="TableParagraph"/>
              <w:spacing w:before="114"/>
              <w:rPr>
                <w:rFonts w:ascii="Verdana" w:hAnsi="Verdana"/>
                <w:b/>
                <w:sz w:val="18"/>
                <w:szCs w:val="18"/>
              </w:rPr>
            </w:pPr>
          </w:p>
          <w:p w14:paraId="3E48471E" w14:textId="77777777" w:rsidR="008715BE" w:rsidRPr="00EC75B7" w:rsidRDefault="00000000">
            <w:pPr>
              <w:pStyle w:val="TableParagraph"/>
              <w:ind w:left="224"/>
              <w:rPr>
                <w:rFonts w:ascii="Verdana" w:hAnsi="Verdana"/>
                <w:b/>
                <w:sz w:val="18"/>
                <w:szCs w:val="18"/>
              </w:rPr>
            </w:pPr>
            <w:r w:rsidRPr="00EC75B7">
              <w:rPr>
                <w:rFonts w:ascii="Verdana" w:hAnsi="Verdana"/>
                <w:b/>
                <w:color w:val="FFFFFF"/>
                <w:spacing w:val="-2"/>
                <w:sz w:val="18"/>
                <w:szCs w:val="18"/>
              </w:rPr>
              <w:t>Significance</w:t>
            </w:r>
          </w:p>
          <w:p w14:paraId="75DD125A" w14:textId="77777777" w:rsidR="008715BE" w:rsidRPr="00EC75B7" w:rsidRDefault="00000000">
            <w:pPr>
              <w:pStyle w:val="TableParagraph"/>
              <w:spacing w:before="4"/>
              <w:ind w:left="308"/>
              <w:rPr>
                <w:rFonts w:ascii="Verdana" w:hAnsi="Verdana"/>
                <w:b/>
                <w:sz w:val="18"/>
                <w:szCs w:val="18"/>
              </w:rPr>
            </w:pPr>
            <w:r w:rsidRPr="00EC75B7">
              <w:rPr>
                <w:rFonts w:ascii="Verdana" w:hAnsi="Verdana"/>
                <w:b/>
                <w:color w:val="FFFFFF"/>
                <w:spacing w:val="-2"/>
                <w:sz w:val="18"/>
                <w:szCs w:val="18"/>
              </w:rPr>
              <w:t>of impact</w:t>
            </w:r>
          </w:p>
        </w:tc>
        <w:tc>
          <w:tcPr>
            <w:tcW w:w="7357" w:type="dxa"/>
            <w:shd w:val="clear" w:color="auto" w:fill="00AFEF"/>
          </w:tcPr>
          <w:p w14:paraId="3D15F956" w14:textId="77777777" w:rsidR="008715BE" w:rsidRPr="00EC75B7" w:rsidRDefault="008715BE">
            <w:pPr>
              <w:pStyle w:val="TableParagraph"/>
              <w:rPr>
                <w:rFonts w:ascii="Verdana" w:hAnsi="Verdana"/>
                <w:b/>
                <w:sz w:val="18"/>
                <w:szCs w:val="18"/>
              </w:rPr>
            </w:pPr>
          </w:p>
          <w:p w14:paraId="0F0B2ECA" w14:textId="77777777" w:rsidR="008715BE" w:rsidRPr="00EC75B7" w:rsidRDefault="008715BE">
            <w:pPr>
              <w:pStyle w:val="TableParagraph"/>
              <w:rPr>
                <w:rFonts w:ascii="Verdana" w:hAnsi="Verdana"/>
                <w:b/>
                <w:sz w:val="18"/>
                <w:szCs w:val="18"/>
              </w:rPr>
            </w:pPr>
          </w:p>
          <w:p w14:paraId="3B0EA6FE" w14:textId="77777777" w:rsidR="008715BE" w:rsidRPr="00EC75B7" w:rsidRDefault="008715BE">
            <w:pPr>
              <w:pStyle w:val="TableParagraph"/>
              <w:spacing w:before="92"/>
              <w:rPr>
                <w:rFonts w:ascii="Verdana" w:hAnsi="Verdana"/>
                <w:b/>
                <w:sz w:val="18"/>
                <w:szCs w:val="18"/>
              </w:rPr>
            </w:pPr>
          </w:p>
          <w:p w14:paraId="3C292D2C" w14:textId="77777777" w:rsidR="008715BE" w:rsidRPr="00EC75B7" w:rsidRDefault="00000000">
            <w:pPr>
              <w:pStyle w:val="TableParagraph"/>
              <w:spacing w:before="1"/>
              <w:ind w:left="1"/>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5E634E6B" w14:textId="77777777">
        <w:trPr>
          <w:trHeight w:val="3581"/>
        </w:trPr>
        <w:tc>
          <w:tcPr>
            <w:tcW w:w="725" w:type="dxa"/>
            <w:vMerge w:val="restart"/>
            <w:textDirection w:val="btLr"/>
          </w:tcPr>
          <w:p w14:paraId="0B19A09C" w14:textId="77777777" w:rsidR="008715BE" w:rsidRPr="00EC75B7" w:rsidRDefault="00000000">
            <w:pPr>
              <w:pStyle w:val="TableParagraph"/>
              <w:spacing w:before="118"/>
              <w:ind w:left="18"/>
              <w:jc w:val="center"/>
              <w:rPr>
                <w:rFonts w:ascii="Verdana" w:hAnsi="Verdana"/>
                <w:b/>
                <w:sz w:val="18"/>
                <w:szCs w:val="18"/>
              </w:rPr>
            </w:pPr>
            <w:r w:rsidRPr="00EC75B7">
              <w:rPr>
                <w:rFonts w:ascii="Verdana" w:hAnsi="Verdana"/>
                <w:b/>
                <w:spacing w:val="-2"/>
                <w:sz w:val="18"/>
                <w:szCs w:val="18"/>
              </w:rPr>
              <w:t>Execution</w:t>
            </w:r>
          </w:p>
        </w:tc>
        <w:tc>
          <w:tcPr>
            <w:tcW w:w="2365" w:type="dxa"/>
          </w:tcPr>
          <w:p w14:paraId="71333E8F" w14:textId="77777777" w:rsidR="008715BE" w:rsidRPr="00EC75B7" w:rsidRDefault="00000000">
            <w:pPr>
              <w:pStyle w:val="TableParagraph"/>
              <w:ind w:left="105" w:right="303"/>
              <w:rPr>
                <w:rFonts w:ascii="Verdana" w:hAnsi="Verdana"/>
                <w:sz w:val="18"/>
                <w:szCs w:val="18"/>
              </w:rPr>
            </w:pPr>
            <w:r w:rsidRPr="00EC75B7">
              <w:rPr>
                <w:rFonts w:ascii="Verdana" w:hAnsi="Verdana"/>
                <w:b/>
                <w:sz w:val="18"/>
                <w:szCs w:val="18"/>
              </w:rPr>
              <w:t xml:space="preserve">Site organization and operation </w:t>
            </w:r>
            <w:r w:rsidRPr="00EC75B7">
              <w:rPr>
                <w:rFonts w:ascii="Verdana" w:hAnsi="Verdana"/>
                <w:sz w:val="18"/>
                <w:szCs w:val="18"/>
              </w:rPr>
              <w:t xml:space="preserve">(Stripping and leveling </w:t>
            </w:r>
            <w:r w:rsidRPr="00EC75B7">
              <w:rPr>
                <w:rFonts w:ascii="Verdana" w:hAnsi="Verdana"/>
                <w:spacing w:val="-4"/>
                <w:sz w:val="18"/>
                <w:szCs w:val="18"/>
              </w:rPr>
              <w:t>the ground</w:t>
            </w:r>
          </w:p>
          <w:p w14:paraId="55F3F580"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 xml:space="preserve">Site </w:t>
            </w:r>
            <w:r w:rsidRPr="00EC75B7">
              <w:rPr>
                <w:rFonts w:ascii="Verdana" w:hAnsi="Verdana"/>
                <w:sz w:val="18"/>
                <w:szCs w:val="18"/>
              </w:rPr>
              <w:t>traffic</w:t>
            </w:r>
          </w:p>
          <w:p w14:paraId="0B1E0B9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/operation</w:t>
            </w:r>
          </w:p>
          <w:p w14:paraId="1AAF5C66"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of machinery/vehicles)</w:t>
            </w:r>
          </w:p>
        </w:tc>
        <w:tc>
          <w:tcPr>
            <w:tcW w:w="1102" w:type="dxa"/>
          </w:tcPr>
          <w:p w14:paraId="547885E7" w14:textId="77777777" w:rsidR="008715BE" w:rsidRPr="00EC75B7" w:rsidRDefault="00000000">
            <w:pPr>
              <w:pStyle w:val="TableParagraph"/>
              <w:ind w:left="104" w:right="97"/>
              <w:rPr>
                <w:rFonts w:ascii="Verdana" w:hAnsi="Verdana"/>
                <w:sz w:val="18"/>
                <w:szCs w:val="18"/>
              </w:rPr>
            </w:pPr>
            <w:r w:rsidRPr="00EC75B7">
              <w:rPr>
                <w:rFonts w:ascii="Verdana" w:hAnsi="Verdana"/>
                <w:spacing w:val="-2"/>
                <w:sz w:val="18"/>
                <w:szCs w:val="18"/>
              </w:rPr>
              <w:t xml:space="preserve">Increased </w:t>
            </w:r>
            <w:r w:rsidRPr="00EC75B7">
              <w:rPr>
                <w:rFonts w:ascii="Verdana" w:hAnsi="Verdana"/>
                <w:sz w:val="18"/>
                <w:szCs w:val="18"/>
              </w:rPr>
              <w:t xml:space="preserve">noise and vibration </w:t>
            </w:r>
            <w:r w:rsidRPr="00EC75B7">
              <w:rPr>
                <w:rFonts w:ascii="Verdana" w:hAnsi="Verdana"/>
                <w:spacing w:val="-2"/>
                <w:sz w:val="18"/>
                <w:szCs w:val="18"/>
              </w:rPr>
              <w:t>levels</w:t>
            </w:r>
          </w:p>
        </w:tc>
        <w:tc>
          <w:tcPr>
            <w:tcW w:w="1133" w:type="dxa"/>
          </w:tcPr>
          <w:p w14:paraId="2EB5C862"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pacing w:val="-2"/>
                <w:sz w:val="18"/>
                <w:szCs w:val="18"/>
              </w:rPr>
              <w:t>Noise pollution</w:t>
            </w:r>
          </w:p>
          <w:p w14:paraId="0ED52CC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Noise</w:t>
            </w:r>
          </w:p>
        </w:tc>
        <w:tc>
          <w:tcPr>
            <w:tcW w:w="927" w:type="dxa"/>
          </w:tcPr>
          <w:p w14:paraId="232455BE" w14:textId="77777777" w:rsidR="008715BE" w:rsidRPr="00EC75B7" w:rsidRDefault="00000000">
            <w:pPr>
              <w:pStyle w:val="TableParagraph"/>
              <w:spacing w:line="195" w:lineRule="exact"/>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43FA2660"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Direct</w:t>
            </w:r>
          </w:p>
        </w:tc>
        <w:tc>
          <w:tcPr>
            <w:tcW w:w="665" w:type="dxa"/>
          </w:tcPr>
          <w:p w14:paraId="6E9F0E3C"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5"/>
                <w:sz w:val="18"/>
                <w:szCs w:val="18"/>
              </w:rPr>
              <w:t>Yes</w:t>
            </w:r>
          </w:p>
        </w:tc>
        <w:tc>
          <w:tcPr>
            <w:tcW w:w="845" w:type="dxa"/>
          </w:tcPr>
          <w:p w14:paraId="66F1FA12" w14:textId="77777777" w:rsidR="008715BE" w:rsidRPr="00EC75B7" w:rsidRDefault="00000000">
            <w:pPr>
              <w:pStyle w:val="TableParagraph"/>
              <w:spacing w:line="195" w:lineRule="exact"/>
              <w:ind w:left="54" w:right="151"/>
              <w:jc w:val="center"/>
              <w:rPr>
                <w:rFonts w:ascii="Verdana" w:hAnsi="Verdana"/>
                <w:sz w:val="18"/>
                <w:szCs w:val="18"/>
              </w:rPr>
            </w:pPr>
            <w:r w:rsidRPr="00EC75B7">
              <w:rPr>
                <w:rFonts w:ascii="Verdana" w:hAnsi="Verdana"/>
                <w:spacing w:val="-2"/>
                <w:sz w:val="18"/>
                <w:szCs w:val="18"/>
              </w:rPr>
              <w:t>Short</w:t>
            </w:r>
          </w:p>
        </w:tc>
        <w:tc>
          <w:tcPr>
            <w:tcW w:w="1267" w:type="dxa"/>
          </w:tcPr>
          <w:p w14:paraId="6C13827E"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Intermittent</w:t>
            </w:r>
          </w:p>
        </w:tc>
        <w:tc>
          <w:tcPr>
            <w:tcW w:w="843" w:type="dxa"/>
          </w:tcPr>
          <w:p w14:paraId="43820293"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w:t>
            </w:r>
          </w:p>
        </w:tc>
        <w:tc>
          <w:tcPr>
            <w:tcW w:w="960" w:type="dxa"/>
          </w:tcPr>
          <w:p w14:paraId="6DA9A355" w14:textId="77777777" w:rsidR="008715BE" w:rsidRPr="00EC75B7" w:rsidRDefault="00000000">
            <w:pPr>
              <w:pStyle w:val="TableParagraph"/>
              <w:spacing w:line="195" w:lineRule="exact"/>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1FEBDD3B" w14:textId="77777777" w:rsidR="008715BE" w:rsidRPr="00EC75B7" w:rsidRDefault="00000000">
            <w:pPr>
              <w:pStyle w:val="TableParagraph"/>
              <w:spacing w:line="195" w:lineRule="exact"/>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3692E2E5" w14:textId="77777777" w:rsidR="008715BE" w:rsidRPr="00EC75B7" w:rsidRDefault="00000000">
            <w:pPr>
              <w:pStyle w:val="TableParagraph"/>
              <w:spacing w:line="195" w:lineRule="exact"/>
              <w:ind w:left="19" w:right="13"/>
              <w:jc w:val="center"/>
              <w:rPr>
                <w:rFonts w:ascii="Verdana" w:hAnsi="Verdana"/>
                <w:sz w:val="18"/>
                <w:szCs w:val="18"/>
              </w:rPr>
            </w:pPr>
            <w:r w:rsidRPr="00EC75B7">
              <w:rPr>
                <w:rFonts w:ascii="Verdana" w:hAnsi="Verdana"/>
                <w:spacing w:val="-2"/>
                <w:sz w:val="18"/>
                <w:szCs w:val="18"/>
              </w:rPr>
              <w:t>Insignificant</w:t>
            </w:r>
          </w:p>
        </w:tc>
        <w:tc>
          <w:tcPr>
            <w:tcW w:w="7357" w:type="dxa"/>
          </w:tcPr>
          <w:p w14:paraId="3C174974" w14:textId="77777777" w:rsidR="008715BE" w:rsidRPr="00EC75B7" w:rsidRDefault="00000000">
            <w:pPr>
              <w:pStyle w:val="TableParagraph"/>
              <w:ind w:left="105" w:right="96"/>
              <w:jc w:val="both"/>
              <w:rPr>
                <w:rFonts w:ascii="Verdana" w:hAnsi="Verdana"/>
                <w:sz w:val="18"/>
                <w:szCs w:val="18"/>
              </w:rPr>
            </w:pPr>
            <w:r w:rsidRPr="00EC75B7">
              <w:rPr>
                <w:rFonts w:ascii="Verdana" w:hAnsi="Verdana"/>
                <w:sz w:val="18"/>
                <w:szCs w:val="18"/>
              </w:rPr>
              <w:t xml:space="preserve">During the execution of the works, the noise impact will be generated on the one hand by the operation of the machinery and equipment used for the construction site organization, and on the other hand by the vehicles used for the transport of materials and </w:t>
            </w:r>
            <w:r w:rsidRPr="00EC75B7">
              <w:rPr>
                <w:rFonts w:ascii="Verdana" w:hAnsi="Verdana"/>
                <w:spacing w:val="-2"/>
                <w:sz w:val="18"/>
                <w:szCs w:val="18"/>
              </w:rPr>
              <w:t>waste.</w:t>
            </w:r>
          </w:p>
          <w:p w14:paraId="6469ADF2" w14:textId="77777777" w:rsidR="008715BE" w:rsidRPr="00EC75B7" w:rsidRDefault="00000000">
            <w:pPr>
              <w:pStyle w:val="TableParagraph"/>
              <w:ind w:left="105" w:right="104"/>
              <w:jc w:val="both"/>
              <w:rPr>
                <w:rFonts w:ascii="Verdana" w:hAnsi="Verdana"/>
                <w:sz w:val="18"/>
                <w:szCs w:val="18"/>
              </w:rPr>
            </w:pPr>
            <w:r w:rsidRPr="00EC75B7">
              <w:rPr>
                <w:rFonts w:ascii="Verdana" w:hAnsi="Verdana"/>
                <w:sz w:val="18"/>
                <w:szCs w:val="18"/>
              </w:rPr>
              <w:t>The perception of noise generated in the distant field depends on a number of external factors: ground effect, air absorption, weather conditions, terrain topography, vegetation</w:t>
            </w:r>
            <w:r w:rsidRPr="00EC75B7">
              <w:rPr>
                <w:rFonts w:ascii="Verdana" w:hAnsi="Verdana"/>
                <w:spacing w:val="-4"/>
                <w:sz w:val="18"/>
                <w:szCs w:val="18"/>
              </w:rPr>
              <w:t>, etc.</w:t>
            </w:r>
          </w:p>
          <w:p w14:paraId="45430FB4" w14:textId="77777777" w:rsidR="008715BE" w:rsidRPr="00EC75B7" w:rsidRDefault="00000000">
            <w:pPr>
              <w:pStyle w:val="TableParagraph"/>
              <w:ind w:left="105" w:right="99"/>
              <w:jc w:val="both"/>
              <w:rPr>
                <w:rFonts w:ascii="Verdana" w:hAnsi="Verdana"/>
                <w:sz w:val="18"/>
                <w:szCs w:val="18"/>
              </w:rPr>
            </w:pPr>
            <w:r w:rsidRPr="00EC75B7">
              <w:rPr>
                <w:rFonts w:ascii="Verdana" w:hAnsi="Verdana"/>
                <w:spacing w:val="-2"/>
                <w:sz w:val="18"/>
                <w:szCs w:val="18"/>
              </w:rPr>
              <w:t xml:space="preserve">Noise propagation at the construction site and in its vicinity, </w:t>
            </w:r>
            <w:r w:rsidRPr="00EC75B7">
              <w:rPr>
                <w:rFonts w:ascii="Verdana" w:hAnsi="Verdana"/>
                <w:sz w:val="18"/>
                <w:szCs w:val="18"/>
              </w:rPr>
              <w:t>as well as along the access road, occurs within a 100–150 m wide strip, with the intensity halving at a distance of 50 m and reducing threefold at a distance of 100 m.</w:t>
            </w:r>
          </w:p>
          <w:p w14:paraId="38BE50B8" w14:textId="77777777" w:rsidR="008715BE" w:rsidRPr="00EC75B7" w:rsidRDefault="00000000">
            <w:pPr>
              <w:pStyle w:val="TableParagraph"/>
              <w:ind w:left="105" w:right="104"/>
              <w:jc w:val="both"/>
              <w:rPr>
                <w:rFonts w:ascii="Verdana" w:hAnsi="Verdana"/>
                <w:sz w:val="18"/>
                <w:szCs w:val="18"/>
              </w:rPr>
            </w:pPr>
            <w:r w:rsidRPr="00EC75B7">
              <w:rPr>
                <w:rFonts w:ascii="Verdana" w:hAnsi="Verdana"/>
                <w:sz w:val="18"/>
                <w:szCs w:val="18"/>
              </w:rPr>
              <w:t>It is estimated that the constant noise level will be similar to that typical of industrial premises – approximately 65 dB(A).</w:t>
            </w:r>
          </w:p>
          <w:p w14:paraId="782B84FF" w14:textId="77777777" w:rsidR="008715BE" w:rsidRPr="00EC75B7" w:rsidRDefault="00000000">
            <w:pPr>
              <w:pStyle w:val="TableParagraph"/>
              <w:numPr>
                <w:ilvl w:val="0"/>
                <w:numId w:val="46"/>
              </w:numPr>
              <w:tabs>
                <w:tab w:val="left" w:pos="826"/>
              </w:tabs>
              <w:spacing w:line="239" w:lineRule="exact"/>
              <w:rPr>
                <w:rFonts w:ascii="Verdana" w:hAnsi="Verdana"/>
                <w:sz w:val="18"/>
                <w:szCs w:val="18"/>
              </w:rPr>
            </w:pPr>
            <w:r w:rsidRPr="00EC75B7">
              <w:rPr>
                <w:rFonts w:ascii="Verdana" w:hAnsi="Verdana"/>
                <w:sz w:val="18"/>
                <w:szCs w:val="18"/>
              </w:rPr>
              <w:t xml:space="preserve">Maximum noise level of noise sources: 85 </w:t>
            </w:r>
            <w:r w:rsidRPr="00EC75B7">
              <w:rPr>
                <w:rFonts w:ascii="Verdana" w:hAnsi="Verdana"/>
                <w:spacing w:val="-4"/>
                <w:sz w:val="18"/>
                <w:szCs w:val="18"/>
              </w:rPr>
              <w:t>dB(A)</w:t>
            </w:r>
          </w:p>
          <w:p w14:paraId="389A28E4" w14:textId="77777777" w:rsidR="008715BE" w:rsidRPr="00EC75B7" w:rsidRDefault="00000000">
            <w:pPr>
              <w:pStyle w:val="TableParagraph"/>
              <w:numPr>
                <w:ilvl w:val="0"/>
                <w:numId w:val="46"/>
              </w:numPr>
              <w:tabs>
                <w:tab w:val="left" w:pos="826"/>
              </w:tabs>
              <w:spacing w:line="234" w:lineRule="exact"/>
              <w:rPr>
                <w:rFonts w:ascii="Verdana" w:hAnsi="Verdana"/>
                <w:sz w:val="18"/>
                <w:szCs w:val="18"/>
              </w:rPr>
            </w:pPr>
            <w:r w:rsidRPr="00EC75B7">
              <w:rPr>
                <w:rFonts w:ascii="Verdana" w:hAnsi="Verdana"/>
                <w:sz w:val="18"/>
                <w:szCs w:val="18"/>
              </w:rPr>
              <w:t xml:space="preserve">Maximum noise level at the site boundary: 65 </w:t>
            </w:r>
            <w:r w:rsidRPr="00EC75B7">
              <w:rPr>
                <w:rFonts w:ascii="Verdana" w:hAnsi="Verdana"/>
                <w:spacing w:val="-2"/>
                <w:sz w:val="18"/>
                <w:szCs w:val="18"/>
              </w:rPr>
              <w:t>dB(A)</w:t>
            </w:r>
          </w:p>
          <w:p w14:paraId="0D1F8F38" w14:textId="77777777" w:rsidR="008715BE" w:rsidRPr="00EC75B7" w:rsidRDefault="00000000">
            <w:pPr>
              <w:pStyle w:val="TableParagraph"/>
              <w:ind w:left="105" w:right="98"/>
              <w:rPr>
                <w:rFonts w:ascii="Verdana" w:hAnsi="Verdana"/>
                <w:sz w:val="18"/>
                <w:szCs w:val="18"/>
              </w:rPr>
            </w:pPr>
            <w:r w:rsidRPr="00EC75B7">
              <w:rPr>
                <w:rFonts w:ascii="Verdana" w:hAnsi="Verdana"/>
                <w:sz w:val="18"/>
                <w:szCs w:val="18"/>
              </w:rPr>
              <w:t>We believe that by using high-performance engines equipped with noise attenuators, noise levels can be reduced by up to</w:t>
            </w:r>
            <w:r w:rsidRPr="00EC75B7">
              <w:rPr>
                <w:rFonts w:ascii="Verdana" w:hAnsi="Verdana"/>
                <w:spacing w:val="-5"/>
                <w:sz w:val="18"/>
                <w:szCs w:val="18"/>
              </w:rPr>
              <w:t xml:space="preserve"> 25–30%.</w:t>
            </w:r>
          </w:p>
          <w:p w14:paraId="0EC60966"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pacing w:val="-4"/>
                <w:sz w:val="18"/>
                <w:szCs w:val="18"/>
              </w:rPr>
              <w:t>30%.</w:t>
            </w:r>
          </w:p>
        </w:tc>
      </w:tr>
      <w:tr w:rsidR="008715BE" w:rsidRPr="00EC75B7" w14:paraId="1E296068" w14:textId="77777777">
        <w:trPr>
          <w:trHeight w:val="973"/>
        </w:trPr>
        <w:tc>
          <w:tcPr>
            <w:tcW w:w="725" w:type="dxa"/>
            <w:vMerge/>
            <w:tcBorders>
              <w:top w:val="nil"/>
            </w:tcBorders>
            <w:textDirection w:val="btLr"/>
          </w:tcPr>
          <w:p w14:paraId="22C439D6" w14:textId="77777777" w:rsidR="008715BE" w:rsidRPr="00EC75B7" w:rsidRDefault="008715BE">
            <w:pPr>
              <w:rPr>
                <w:rFonts w:ascii="Verdana" w:hAnsi="Verdana"/>
                <w:sz w:val="18"/>
                <w:szCs w:val="18"/>
              </w:rPr>
            </w:pPr>
          </w:p>
        </w:tc>
        <w:tc>
          <w:tcPr>
            <w:tcW w:w="2365" w:type="dxa"/>
          </w:tcPr>
          <w:p w14:paraId="5CEB8DD9" w14:textId="77777777" w:rsidR="008715BE" w:rsidRPr="00EC75B7" w:rsidRDefault="00000000">
            <w:pPr>
              <w:pStyle w:val="TableParagraph"/>
              <w:ind w:left="105" w:right="139"/>
              <w:rPr>
                <w:rFonts w:ascii="Verdana" w:hAnsi="Verdana"/>
                <w:sz w:val="18"/>
                <w:szCs w:val="18"/>
              </w:rPr>
            </w:pPr>
            <w:r w:rsidRPr="00EC75B7">
              <w:rPr>
                <w:rFonts w:ascii="Verdana" w:hAnsi="Verdana"/>
                <w:b/>
                <w:sz w:val="18"/>
                <w:szCs w:val="18"/>
              </w:rPr>
              <w:t xml:space="preserve">Construction of access roads </w:t>
            </w:r>
            <w:r w:rsidRPr="00EC75B7">
              <w:rPr>
                <w:rFonts w:ascii="Verdana" w:hAnsi="Verdana"/>
                <w:sz w:val="18"/>
                <w:szCs w:val="18"/>
              </w:rPr>
              <w:t>(clearing vegetation, stripping soil, ballasting,</w:t>
            </w:r>
          </w:p>
          <w:p w14:paraId="53ADA622" w14:textId="77777777" w:rsidR="008715BE" w:rsidRPr="00EC75B7" w:rsidRDefault="00000000">
            <w:pPr>
              <w:pStyle w:val="TableParagraph"/>
              <w:spacing w:line="174" w:lineRule="exact"/>
              <w:ind w:left="105"/>
              <w:rPr>
                <w:rFonts w:ascii="Verdana" w:hAnsi="Verdana"/>
                <w:sz w:val="18"/>
                <w:szCs w:val="18"/>
              </w:rPr>
            </w:pPr>
            <w:r w:rsidRPr="00EC75B7">
              <w:rPr>
                <w:rFonts w:ascii="Verdana" w:hAnsi="Verdana"/>
                <w:spacing w:val="-2"/>
                <w:sz w:val="18"/>
                <w:szCs w:val="18"/>
              </w:rPr>
              <w:t>compaction)</w:t>
            </w:r>
          </w:p>
        </w:tc>
        <w:tc>
          <w:tcPr>
            <w:tcW w:w="1102" w:type="dxa"/>
          </w:tcPr>
          <w:p w14:paraId="47CB3A32" w14:textId="77777777" w:rsidR="008715BE" w:rsidRPr="00EC75B7" w:rsidRDefault="00000000">
            <w:pPr>
              <w:pStyle w:val="TableParagraph"/>
              <w:ind w:left="104" w:right="132"/>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 xml:space="preserve">and vibration </w:t>
            </w:r>
            <w:r w:rsidRPr="00EC75B7">
              <w:rPr>
                <w:rFonts w:ascii="Verdana" w:hAnsi="Verdana"/>
                <w:spacing w:val="-2"/>
                <w:sz w:val="18"/>
                <w:szCs w:val="18"/>
              </w:rPr>
              <w:t>levels</w:t>
            </w:r>
          </w:p>
        </w:tc>
        <w:tc>
          <w:tcPr>
            <w:tcW w:w="1133" w:type="dxa"/>
          </w:tcPr>
          <w:p w14:paraId="5A8473D1"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Noise pollution</w:t>
            </w:r>
          </w:p>
          <w:p w14:paraId="265C0918" w14:textId="77777777" w:rsidR="008715BE" w:rsidRPr="00EC75B7" w:rsidRDefault="00000000">
            <w:pPr>
              <w:pStyle w:val="TableParagraph"/>
              <w:spacing w:before="1"/>
              <w:ind w:left="104"/>
              <w:rPr>
                <w:rFonts w:ascii="Verdana" w:hAnsi="Verdana"/>
                <w:sz w:val="18"/>
                <w:szCs w:val="18"/>
              </w:rPr>
            </w:pPr>
            <w:r w:rsidRPr="00EC75B7">
              <w:rPr>
                <w:rFonts w:ascii="Verdana" w:hAnsi="Verdana"/>
                <w:spacing w:val="-2"/>
                <w:sz w:val="18"/>
                <w:szCs w:val="18"/>
              </w:rPr>
              <w:t>Noise</w:t>
            </w:r>
          </w:p>
        </w:tc>
        <w:tc>
          <w:tcPr>
            <w:tcW w:w="927" w:type="dxa"/>
          </w:tcPr>
          <w:p w14:paraId="33D5B456" w14:textId="77777777" w:rsidR="008715BE" w:rsidRPr="00EC75B7" w:rsidRDefault="00000000">
            <w:pPr>
              <w:pStyle w:val="TableParagraph"/>
              <w:spacing w:line="195" w:lineRule="exact"/>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2874202F"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Direct</w:t>
            </w:r>
          </w:p>
        </w:tc>
        <w:tc>
          <w:tcPr>
            <w:tcW w:w="665" w:type="dxa"/>
          </w:tcPr>
          <w:p w14:paraId="0A0375DB"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5"/>
                <w:sz w:val="18"/>
                <w:szCs w:val="18"/>
              </w:rPr>
              <w:t>Yes</w:t>
            </w:r>
          </w:p>
        </w:tc>
        <w:tc>
          <w:tcPr>
            <w:tcW w:w="845" w:type="dxa"/>
          </w:tcPr>
          <w:p w14:paraId="41CD10AD" w14:textId="77777777" w:rsidR="008715BE" w:rsidRPr="00EC75B7" w:rsidRDefault="00000000">
            <w:pPr>
              <w:pStyle w:val="TableParagraph"/>
              <w:spacing w:line="195" w:lineRule="exact"/>
              <w:ind w:right="151"/>
              <w:jc w:val="center"/>
              <w:rPr>
                <w:rFonts w:ascii="Verdana" w:hAnsi="Verdana"/>
                <w:sz w:val="18"/>
                <w:szCs w:val="18"/>
              </w:rPr>
            </w:pPr>
            <w:r w:rsidRPr="00EC75B7">
              <w:rPr>
                <w:rFonts w:ascii="Verdana" w:hAnsi="Verdana"/>
                <w:spacing w:val="-2"/>
                <w:sz w:val="18"/>
                <w:szCs w:val="18"/>
              </w:rPr>
              <w:t>Average</w:t>
            </w:r>
          </w:p>
        </w:tc>
        <w:tc>
          <w:tcPr>
            <w:tcW w:w="1267" w:type="dxa"/>
          </w:tcPr>
          <w:p w14:paraId="73058693"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Intermittent</w:t>
            </w:r>
          </w:p>
        </w:tc>
        <w:tc>
          <w:tcPr>
            <w:tcW w:w="843" w:type="dxa"/>
          </w:tcPr>
          <w:p w14:paraId="3608AB6A"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w:t>
            </w:r>
          </w:p>
        </w:tc>
        <w:tc>
          <w:tcPr>
            <w:tcW w:w="960" w:type="dxa"/>
          </w:tcPr>
          <w:p w14:paraId="05A4DEA6" w14:textId="77777777" w:rsidR="008715BE" w:rsidRPr="00EC75B7" w:rsidRDefault="00000000">
            <w:pPr>
              <w:pStyle w:val="TableParagraph"/>
              <w:spacing w:line="195" w:lineRule="exact"/>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20FE3151" w14:textId="77777777" w:rsidR="008715BE" w:rsidRPr="00EC75B7" w:rsidRDefault="00000000">
            <w:pPr>
              <w:pStyle w:val="TableParagraph"/>
              <w:spacing w:line="195" w:lineRule="exact"/>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52B6ADF1" w14:textId="77777777" w:rsidR="008715BE" w:rsidRPr="00EC75B7" w:rsidRDefault="00000000">
            <w:pPr>
              <w:pStyle w:val="TableParagraph"/>
              <w:spacing w:line="195" w:lineRule="exact"/>
              <w:ind w:left="19" w:right="13"/>
              <w:jc w:val="center"/>
              <w:rPr>
                <w:rFonts w:ascii="Verdana" w:hAnsi="Verdana"/>
                <w:sz w:val="18"/>
                <w:szCs w:val="18"/>
              </w:rPr>
            </w:pPr>
            <w:r w:rsidRPr="00EC75B7">
              <w:rPr>
                <w:rFonts w:ascii="Verdana" w:hAnsi="Verdana"/>
                <w:spacing w:val="-2"/>
                <w:sz w:val="18"/>
                <w:szCs w:val="18"/>
              </w:rPr>
              <w:t>Insignificant</w:t>
            </w:r>
          </w:p>
        </w:tc>
        <w:tc>
          <w:tcPr>
            <w:tcW w:w="7357" w:type="dxa"/>
            <w:vMerge w:val="restart"/>
          </w:tcPr>
          <w:p w14:paraId="453BD543" w14:textId="77777777" w:rsidR="008715BE" w:rsidRPr="00EC75B7" w:rsidRDefault="00000000">
            <w:pPr>
              <w:pStyle w:val="TableParagraph"/>
              <w:ind w:left="105" w:right="338"/>
              <w:rPr>
                <w:rFonts w:ascii="Verdana" w:hAnsi="Verdana"/>
                <w:sz w:val="18"/>
                <w:szCs w:val="18"/>
              </w:rPr>
            </w:pPr>
            <w:r w:rsidRPr="00EC75B7">
              <w:rPr>
                <w:rFonts w:ascii="Verdana" w:hAnsi="Verdana"/>
                <w:sz w:val="18"/>
                <w:szCs w:val="18"/>
              </w:rPr>
              <w:t>During the execution phase, the means of transport and machinery used, as well as the activities at the work site, are a source of noise and vibrations, so that during this period there will be an increase in the noise level resulting from the sustained transport activity and the operation of the machinery involved in the works.</w:t>
            </w:r>
          </w:p>
          <w:p w14:paraId="23713599" w14:textId="77777777" w:rsidR="008715BE" w:rsidRPr="00EC75B7" w:rsidRDefault="00000000">
            <w:pPr>
              <w:pStyle w:val="TableParagraph"/>
              <w:ind w:left="105" w:right="97"/>
              <w:jc w:val="both"/>
              <w:rPr>
                <w:rFonts w:ascii="Verdana" w:hAnsi="Verdana"/>
                <w:sz w:val="18"/>
                <w:szCs w:val="18"/>
              </w:rPr>
            </w:pPr>
            <w:r w:rsidRPr="00EC75B7">
              <w:rPr>
                <w:rFonts w:ascii="Verdana" w:hAnsi="Verdana"/>
                <w:sz w:val="18"/>
                <w:szCs w:val="18"/>
              </w:rPr>
              <w:t>Based on data regarding the acoustic power associated with the machinery, it is estimated that in the vicinity of the work front, at distances of 0–10 m, for limited periods of time, equivalent noise levels of 57–85 dB(A) may be recorded, with the most exposed areas being the dwellings located in the vicinity of the work fronts.</w:t>
            </w:r>
            <w:r w:rsidRPr="00EC75B7">
              <w:rPr>
                <w:rFonts w:ascii="Verdana" w:hAnsi="Verdana"/>
                <w:spacing w:val="26"/>
                <w:sz w:val="18"/>
                <w:szCs w:val="18"/>
              </w:rPr>
              <w:t xml:space="preserve"> </w:t>
            </w:r>
            <w:r w:rsidRPr="00EC75B7">
              <w:rPr>
                <w:rFonts w:ascii="Verdana" w:hAnsi="Verdana"/>
                <w:sz w:val="18"/>
                <w:szCs w:val="18"/>
              </w:rPr>
              <w:t>The works are carried out outside built-up areas, in inhabited areas, so that the noise level cannot be a factor of discomfort for the population.</w:t>
            </w:r>
          </w:p>
          <w:p w14:paraId="4921E248" w14:textId="77777777" w:rsidR="008715BE" w:rsidRPr="00EC75B7" w:rsidRDefault="00000000">
            <w:pPr>
              <w:pStyle w:val="TableParagraph"/>
              <w:ind w:left="105" w:right="96"/>
              <w:jc w:val="both"/>
              <w:rPr>
                <w:rFonts w:ascii="Verdana" w:hAnsi="Verdana"/>
                <w:sz w:val="18"/>
                <w:szCs w:val="18"/>
              </w:rPr>
            </w:pPr>
            <w:r w:rsidRPr="00EC75B7">
              <w:rPr>
                <w:rFonts w:ascii="Verdana" w:hAnsi="Verdana"/>
                <w:sz w:val="18"/>
                <w:szCs w:val="18"/>
              </w:rPr>
              <w:t>Considering the provisions of national legislation on noise and taking into account the fact that the sound pressure level decreases with increasing distance from the noise source, it is estimated that, starting from a distance of 100 m from the edge of the work front,</w:t>
            </w:r>
            <w:r w:rsidRPr="00EC75B7">
              <w:rPr>
                <w:rFonts w:ascii="Verdana" w:hAnsi="Verdana"/>
                <w:spacing w:val="36"/>
                <w:sz w:val="18"/>
                <w:szCs w:val="18"/>
              </w:rPr>
              <w:t xml:space="preserve"> </w:t>
            </w:r>
            <w:r w:rsidRPr="00EC75B7">
              <w:rPr>
                <w:rFonts w:ascii="Verdana" w:hAnsi="Verdana"/>
                <w:sz w:val="18"/>
                <w:szCs w:val="18"/>
              </w:rPr>
              <w:t>equivalent noise levels below 50 dB(A) will be recorded.</w:t>
            </w:r>
          </w:p>
          <w:p w14:paraId="33F2CABC" w14:textId="77777777" w:rsidR="008715BE" w:rsidRPr="00EC75B7" w:rsidRDefault="00000000">
            <w:pPr>
              <w:pStyle w:val="TableParagraph"/>
              <w:ind w:left="105" w:right="99"/>
              <w:jc w:val="both"/>
              <w:rPr>
                <w:rFonts w:ascii="Verdana" w:hAnsi="Verdana"/>
                <w:sz w:val="18"/>
                <w:szCs w:val="18"/>
              </w:rPr>
            </w:pPr>
            <w:r w:rsidRPr="00EC75B7">
              <w:rPr>
                <w:rFonts w:ascii="Verdana" w:hAnsi="Verdana"/>
                <w:sz w:val="18"/>
                <w:szCs w:val="18"/>
              </w:rPr>
              <w:t>In addition, by using high-performance engines equipped with noise attenuators, the noise level can be reduced by up to</w:t>
            </w:r>
            <w:r w:rsidRPr="00EC75B7">
              <w:rPr>
                <w:rFonts w:ascii="Verdana" w:hAnsi="Verdana"/>
                <w:spacing w:val="-4"/>
                <w:sz w:val="18"/>
                <w:szCs w:val="18"/>
              </w:rPr>
              <w:t xml:space="preserve"> 25-30%.</w:t>
            </w:r>
          </w:p>
          <w:p w14:paraId="04585B54" w14:textId="77777777" w:rsidR="008715BE" w:rsidRPr="00EC75B7" w:rsidRDefault="00000000">
            <w:pPr>
              <w:pStyle w:val="TableParagraph"/>
              <w:ind w:left="105" w:right="78"/>
              <w:rPr>
                <w:rFonts w:ascii="Verdana" w:hAnsi="Verdana"/>
                <w:sz w:val="18"/>
                <w:szCs w:val="18"/>
              </w:rPr>
            </w:pPr>
            <w:r w:rsidRPr="00EC75B7">
              <w:rPr>
                <w:rFonts w:ascii="Verdana" w:hAnsi="Verdana"/>
                <w:sz w:val="18"/>
                <w:szCs w:val="18"/>
              </w:rPr>
              <w:t>Thus, discomfort will be felt mainly due to the noise and vibrations produced by motor vehicles, the machinery used, and the presence of workers.</w:t>
            </w:r>
            <w:r w:rsidRPr="00EC75B7">
              <w:rPr>
                <w:rFonts w:ascii="Verdana" w:hAnsi="Verdana"/>
                <w:spacing w:val="-8"/>
                <w:sz w:val="18"/>
                <w:szCs w:val="18"/>
              </w:rPr>
              <w:t xml:space="preserve"> </w:t>
            </w:r>
            <w:r w:rsidRPr="00EC75B7">
              <w:rPr>
                <w:rFonts w:ascii="Verdana" w:hAnsi="Verdana"/>
                <w:sz w:val="18"/>
                <w:szCs w:val="18"/>
              </w:rPr>
              <w:t>but considering that the area is crossed by local roads, service roads, and seasonal agricultural work is carried out on neighboring land using various machinery, the noise will not have a significant impact and will be local and temporary.</w:t>
            </w:r>
          </w:p>
          <w:p w14:paraId="4CB44E80" w14:textId="77777777" w:rsidR="008715BE" w:rsidRPr="00EC75B7" w:rsidRDefault="00000000">
            <w:pPr>
              <w:pStyle w:val="TableParagraph"/>
              <w:ind w:left="105" w:right="97"/>
              <w:jc w:val="both"/>
              <w:rPr>
                <w:rFonts w:ascii="Verdana" w:hAnsi="Verdana"/>
                <w:sz w:val="18"/>
                <w:szCs w:val="18"/>
              </w:rPr>
            </w:pPr>
            <w:r w:rsidRPr="00EC75B7">
              <w:rPr>
                <w:rFonts w:ascii="Verdana" w:hAnsi="Verdana"/>
                <w:sz w:val="18"/>
                <w:szCs w:val="18"/>
              </w:rPr>
              <w:t xml:space="preserve">Construction equipment generates vibrations that are transmitted through the ground, and their intensity decreases with increasing distance. The level of vibration depends on the construction equipment used, the distance between the equipment, the characteristics of the dispersion environment, and the materials used for construction. The machinery and vehicles used to transport </w:t>
            </w:r>
            <w:r w:rsidRPr="00EC75B7">
              <w:rPr>
                <w:rFonts w:ascii="Verdana" w:hAnsi="Verdana"/>
                <w:sz w:val="18"/>
                <w:szCs w:val="18"/>
              </w:rPr>
              <w:lastRenderedPageBreak/>
              <w:t>construction materials/waste are also significant sources of vibration, even when empty, due to their very large mass.</w:t>
            </w:r>
          </w:p>
          <w:p w14:paraId="3C346C0D" w14:textId="77777777" w:rsidR="008715BE" w:rsidRPr="00EC75B7" w:rsidRDefault="00000000">
            <w:pPr>
              <w:pStyle w:val="TableParagraph"/>
              <w:ind w:left="105" w:right="102"/>
              <w:jc w:val="both"/>
              <w:rPr>
                <w:rFonts w:ascii="Verdana" w:hAnsi="Verdana"/>
                <w:sz w:val="18"/>
                <w:szCs w:val="18"/>
              </w:rPr>
            </w:pPr>
            <w:r w:rsidRPr="00EC75B7">
              <w:rPr>
                <w:rFonts w:ascii="Verdana" w:hAnsi="Verdana"/>
                <w:sz w:val="18"/>
                <w:szCs w:val="18"/>
              </w:rPr>
              <w:t>The vibration level will be 22–24 vib.ra.r at 10 m from the roads used, but it decreases with increasing distance from the construction site, so that the limits imposed by SR 12025-2:2020 (30 vib.ra.r) will be respected.</w:t>
            </w:r>
          </w:p>
          <w:p w14:paraId="4222099C" w14:textId="77777777" w:rsidR="008715BE" w:rsidRPr="00EC75B7" w:rsidRDefault="00000000">
            <w:pPr>
              <w:pStyle w:val="TableParagraph"/>
              <w:ind w:left="105" w:right="101"/>
              <w:jc w:val="both"/>
              <w:rPr>
                <w:rFonts w:ascii="Verdana" w:hAnsi="Verdana"/>
                <w:sz w:val="18"/>
                <w:szCs w:val="18"/>
              </w:rPr>
            </w:pPr>
            <w:r w:rsidRPr="00EC75B7">
              <w:rPr>
                <w:rFonts w:ascii="Verdana" w:hAnsi="Verdana"/>
                <w:sz w:val="18"/>
                <w:szCs w:val="18"/>
              </w:rPr>
              <w:t>Depending on their intensity, vibrations can have structural or architectural effects on existing structures in the vicinity of the work fronts.</w:t>
            </w:r>
          </w:p>
          <w:p w14:paraId="2ED78C2D" w14:textId="77777777" w:rsidR="008715BE" w:rsidRPr="00EC75B7" w:rsidRDefault="00000000">
            <w:pPr>
              <w:pStyle w:val="TableParagraph"/>
              <w:ind w:left="105" w:right="103"/>
              <w:jc w:val="both"/>
              <w:rPr>
                <w:rFonts w:ascii="Verdana" w:hAnsi="Verdana"/>
                <w:sz w:val="18"/>
                <w:szCs w:val="18"/>
              </w:rPr>
            </w:pPr>
            <w:r w:rsidRPr="00EC75B7">
              <w:rPr>
                <w:rFonts w:ascii="Verdana" w:hAnsi="Verdana"/>
                <w:sz w:val="18"/>
                <w:szCs w:val="18"/>
              </w:rPr>
              <w:t>If there are no fragile structures in the area, construction activities do not produce vibration levels that can have structural effects, but they can be perceived and affect existing structures in the vicinity of the analyzed area.</w:t>
            </w:r>
          </w:p>
        </w:tc>
      </w:tr>
      <w:tr w:rsidR="008715BE" w:rsidRPr="00EC75B7" w14:paraId="43A96FFF" w14:textId="77777777">
        <w:trPr>
          <w:trHeight w:val="3110"/>
        </w:trPr>
        <w:tc>
          <w:tcPr>
            <w:tcW w:w="725" w:type="dxa"/>
            <w:vMerge/>
            <w:tcBorders>
              <w:top w:val="nil"/>
            </w:tcBorders>
            <w:textDirection w:val="btLr"/>
          </w:tcPr>
          <w:p w14:paraId="34644941" w14:textId="77777777" w:rsidR="008715BE" w:rsidRPr="00EC75B7" w:rsidRDefault="008715BE">
            <w:pPr>
              <w:rPr>
                <w:rFonts w:ascii="Verdana" w:hAnsi="Verdana"/>
                <w:sz w:val="18"/>
                <w:szCs w:val="18"/>
              </w:rPr>
            </w:pPr>
          </w:p>
        </w:tc>
        <w:tc>
          <w:tcPr>
            <w:tcW w:w="2365" w:type="dxa"/>
          </w:tcPr>
          <w:p w14:paraId="065B036E" w14:textId="77777777" w:rsidR="008715BE" w:rsidRPr="00EC75B7" w:rsidRDefault="00000000">
            <w:pPr>
              <w:pStyle w:val="TableParagraph"/>
              <w:ind w:left="105" w:right="126"/>
              <w:rPr>
                <w:rFonts w:ascii="Verdana" w:hAnsi="Verdana"/>
                <w:sz w:val="18"/>
                <w:szCs w:val="18"/>
              </w:rPr>
            </w:pPr>
            <w:r w:rsidRPr="00EC75B7">
              <w:rPr>
                <w:rFonts w:ascii="Verdana" w:hAnsi="Verdana"/>
                <w:b/>
                <w:sz w:val="18"/>
                <w:szCs w:val="18"/>
              </w:rPr>
              <w:t xml:space="preserve">Construction of technological platforms and foundations for turbines and transformer stations </w:t>
            </w:r>
            <w:r w:rsidRPr="00EC75B7">
              <w:rPr>
                <w:rFonts w:ascii="Verdana" w:hAnsi="Verdana"/>
                <w:sz w:val="18"/>
                <w:szCs w:val="18"/>
              </w:rPr>
              <w:t>(excavation, filling, compaction, formwork installation; construction and installation of metal reinforcements; concrete pouring (with concrete mixer, truck mixer, or concrete pump); concrete vibration and finishing; concrete curing/hardening;</w:t>
            </w:r>
          </w:p>
          <w:p w14:paraId="6C9F4B01" w14:textId="77777777" w:rsidR="008715BE" w:rsidRPr="00EC75B7" w:rsidRDefault="00000000">
            <w:pPr>
              <w:pStyle w:val="TableParagraph"/>
              <w:spacing w:line="162" w:lineRule="exact"/>
              <w:ind w:left="105"/>
              <w:rPr>
                <w:rFonts w:ascii="Verdana" w:hAnsi="Verdana"/>
                <w:sz w:val="18"/>
                <w:szCs w:val="18"/>
              </w:rPr>
            </w:pPr>
            <w:r w:rsidRPr="00EC75B7">
              <w:rPr>
                <w:rFonts w:ascii="Verdana" w:hAnsi="Verdana"/>
                <w:spacing w:val="-2"/>
                <w:sz w:val="18"/>
                <w:szCs w:val="18"/>
              </w:rPr>
              <w:t xml:space="preserve">foundation </w:t>
            </w:r>
            <w:r w:rsidRPr="00EC75B7">
              <w:rPr>
                <w:rFonts w:ascii="Verdana" w:hAnsi="Verdana"/>
                <w:sz w:val="18"/>
                <w:szCs w:val="18"/>
              </w:rPr>
              <w:t>formwork removal</w:t>
            </w:r>
            <w:r w:rsidRPr="00EC75B7">
              <w:rPr>
                <w:rFonts w:ascii="Verdana" w:hAnsi="Verdana"/>
                <w:spacing w:val="-2"/>
                <w:sz w:val="18"/>
                <w:szCs w:val="18"/>
              </w:rPr>
              <w:t>)</w:t>
            </w:r>
          </w:p>
        </w:tc>
        <w:tc>
          <w:tcPr>
            <w:tcW w:w="1102" w:type="dxa"/>
          </w:tcPr>
          <w:p w14:paraId="360D6079" w14:textId="77777777" w:rsidR="008715BE" w:rsidRPr="00EC75B7" w:rsidRDefault="00000000">
            <w:pPr>
              <w:pStyle w:val="TableParagraph"/>
              <w:ind w:left="104" w:right="132"/>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 xml:space="preserve">and vibration </w:t>
            </w:r>
            <w:r w:rsidRPr="00EC75B7">
              <w:rPr>
                <w:rFonts w:ascii="Verdana" w:hAnsi="Verdana"/>
                <w:spacing w:val="-2"/>
                <w:sz w:val="18"/>
                <w:szCs w:val="18"/>
              </w:rPr>
              <w:t>levels</w:t>
            </w:r>
          </w:p>
        </w:tc>
        <w:tc>
          <w:tcPr>
            <w:tcW w:w="1133" w:type="dxa"/>
          </w:tcPr>
          <w:p w14:paraId="3A3AC638"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pacing w:val="-2"/>
                <w:sz w:val="18"/>
                <w:szCs w:val="18"/>
              </w:rPr>
              <w:t>Noise pollution</w:t>
            </w:r>
          </w:p>
          <w:p w14:paraId="7BD31806"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Noise</w:t>
            </w:r>
          </w:p>
        </w:tc>
        <w:tc>
          <w:tcPr>
            <w:tcW w:w="927" w:type="dxa"/>
          </w:tcPr>
          <w:p w14:paraId="6C4D9B88" w14:textId="77777777" w:rsidR="008715BE" w:rsidRPr="00EC75B7" w:rsidRDefault="00000000">
            <w:pPr>
              <w:pStyle w:val="TableParagraph"/>
              <w:spacing w:line="195" w:lineRule="exact"/>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7854AC42"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Direct</w:t>
            </w:r>
          </w:p>
        </w:tc>
        <w:tc>
          <w:tcPr>
            <w:tcW w:w="665" w:type="dxa"/>
          </w:tcPr>
          <w:p w14:paraId="636169EB"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5"/>
                <w:sz w:val="18"/>
                <w:szCs w:val="18"/>
              </w:rPr>
              <w:t>Yes</w:t>
            </w:r>
          </w:p>
        </w:tc>
        <w:tc>
          <w:tcPr>
            <w:tcW w:w="845" w:type="dxa"/>
          </w:tcPr>
          <w:p w14:paraId="2B2945A6" w14:textId="77777777" w:rsidR="008715BE" w:rsidRPr="00EC75B7" w:rsidRDefault="00000000">
            <w:pPr>
              <w:pStyle w:val="TableParagraph"/>
              <w:spacing w:line="195" w:lineRule="exact"/>
              <w:ind w:right="151"/>
              <w:jc w:val="center"/>
              <w:rPr>
                <w:rFonts w:ascii="Verdana" w:hAnsi="Verdana"/>
                <w:sz w:val="18"/>
                <w:szCs w:val="18"/>
              </w:rPr>
            </w:pPr>
            <w:r w:rsidRPr="00EC75B7">
              <w:rPr>
                <w:rFonts w:ascii="Verdana" w:hAnsi="Verdana"/>
                <w:spacing w:val="-2"/>
                <w:sz w:val="18"/>
                <w:szCs w:val="18"/>
              </w:rPr>
              <w:t>Average</w:t>
            </w:r>
          </w:p>
        </w:tc>
        <w:tc>
          <w:tcPr>
            <w:tcW w:w="1267" w:type="dxa"/>
          </w:tcPr>
          <w:p w14:paraId="6961ACA5"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Intermittent</w:t>
            </w:r>
          </w:p>
        </w:tc>
        <w:tc>
          <w:tcPr>
            <w:tcW w:w="843" w:type="dxa"/>
          </w:tcPr>
          <w:p w14:paraId="632930BF"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w:t>
            </w:r>
          </w:p>
        </w:tc>
        <w:tc>
          <w:tcPr>
            <w:tcW w:w="960" w:type="dxa"/>
          </w:tcPr>
          <w:p w14:paraId="3E40046D" w14:textId="77777777" w:rsidR="008715BE" w:rsidRPr="00EC75B7" w:rsidRDefault="00000000">
            <w:pPr>
              <w:pStyle w:val="TableParagraph"/>
              <w:spacing w:line="195" w:lineRule="exact"/>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38F698CC" w14:textId="77777777" w:rsidR="008715BE" w:rsidRPr="00EC75B7" w:rsidRDefault="00000000">
            <w:pPr>
              <w:pStyle w:val="TableParagraph"/>
              <w:spacing w:line="195" w:lineRule="exact"/>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6750A3B9" w14:textId="77777777" w:rsidR="008715BE" w:rsidRPr="00EC75B7" w:rsidRDefault="00000000">
            <w:pPr>
              <w:pStyle w:val="TableParagraph"/>
              <w:spacing w:line="195" w:lineRule="exact"/>
              <w:ind w:left="19" w:right="13"/>
              <w:jc w:val="center"/>
              <w:rPr>
                <w:rFonts w:ascii="Verdana" w:hAnsi="Verdana"/>
                <w:sz w:val="18"/>
                <w:szCs w:val="18"/>
              </w:rPr>
            </w:pPr>
            <w:r w:rsidRPr="00EC75B7">
              <w:rPr>
                <w:rFonts w:ascii="Verdana" w:hAnsi="Verdana"/>
                <w:spacing w:val="-2"/>
                <w:sz w:val="18"/>
                <w:szCs w:val="18"/>
              </w:rPr>
              <w:t>Insignificant</w:t>
            </w:r>
          </w:p>
        </w:tc>
        <w:tc>
          <w:tcPr>
            <w:tcW w:w="7357" w:type="dxa"/>
            <w:vMerge/>
            <w:tcBorders>
              <w:top w:val="nil"/>
            </w:tcBorders>
          </w:tcPr>
          <w:p w14:paraId="1BA5D357" w14:textId="77777777" w:rsidR="008715BE" w:rsidRPr="00EC75B7" w:rsidRDefault="008715BE">
            <w:pPr>
              <w:rPr>
                <w:rFonts w:ascii="Verdana" w:hAnsi="Verdana"/>
                <w:sz w:val="18"/>
                <w:szCs w:val="18"/>
              </w:rPr>
            </w:pPr>
          </w:p>
        </w:tc>
      </w:tr>
      <w:tr w:rsidR="008715BE" w:rsidRPr="00EC75B7" w14:paraId="73085B4D" w14:textId="77777777">
        <w:trPr>
          <w:trHeight w:val="777"/>
        </w:trPr>
        <w:tc>
          <w:tcPr>
            <w:tcW w:w="725" w:type="dxa"/>
            <w:vMerge/>
            <w:tcBorders>
              <w:top w:val="nil"/>
            </w:tcBorders>
            <w:textDirection w:val="btLr"/>
          </w:tcPr>
          <w:p w14:paraId="563A56BD" w14:textId="77777777" w:rsidR="008715BE" w:rsidRPr="00EC75B7" w:rsidRDefault="008715BE">
            <w:pPr>
              <w:rPr>
                <w:rFonts w:ascii="Verdana" w:hAnsi="Verdana"/>
                <w:sz w:val="18"/>
                <w:szCs w:val="18"/>
              </w:rPr>
            </w:pPr>
          </w:p>
        </w:tc>
        <w:tc>
          <w:tcPr>
            <w:tcW w:w="2365" w:type="dxa"/>
          </w:tcPr>
          <w:p w14:paraId="171E66FB" w14:textId="77777777" w:rsidR="008715BE" w:rsidRPr="00EC75B7" w:rsidRDefault="00000000">
            <w:pPr>
              <w:pStyle w:val="TableParagraph"/>
              <w:ind w:left="105" w:right="363"/>
              <w:jc w:val="both"/>
              <w:rPr>
                <w:rFonts w:ascii="Verdana" w:hAnsi="Verdana"/>
                <w:sz w:val="18"/>
                <w:szCs w:val="18"/>
              </w:rPr>
            </w:pPr>
            <w:r w:rsidRPr="00EC75B7">
              <w:rPr>
                <w:rFonts w:ascii="Verdana" w:hAnsi="Verdana"/>
                <w:b/>
                <w:sz w:val="18"/>
                <w:szCs w:val="18"/>
              </w:rPr>
              <w:t xml:space="preserve">Installation of wind turbines </w:t>
            </w:r>
            <w:r w:rsidRPr="00EC75B7">
              <w:rPr>
                <w:rFonts w:ascii="Verdana" w:hAnsi="Verdana"/>
                <w:sz w:val="18"/>
                <w:szCs w:val="18"/>
              </w:rPr>
              <w:t xml:space="preserve">(pylon, nacelle, </w:t>
            </w:r>
            <w:r w:rsidRPr="00EC75B7">
              <w:rPr>
                <w:rFonts w:ascii="Verdana" w:hAnsi="Verdana"/>
                <w:spacing w:val="-2"/>
                <w:sz w:val="18"/>
                <w:szCs w:val="18"/>
              </w:rPr>
              <w:t>blades)</w:t>
            </w:r>
          </w:p>
        </w:tc>
        <w:tc>
          <w:tcPr>
            <w:tcW w:w="1102" w:type="dxa"/>
          </w:tcPr>
          <w:p w14:paraId="04616841" w14:textId="77777777" w:rsidR="008715BE" w:rsidRPr="00EC75B7" w:rsidRDefault="00000000">
            <w:pPr>
              <w:pStyle w:val="TableParagraph"/>
              <w:ind w:left="104" w:right="135"/>
              <w:rPr>
                <w:rFonts w:ascii="Verdana" w:hAnsi="Verdana"/>
                <w:sz w:val="18"/>
                <w:szCs w:val="18"/>
              </w:rPr>
            </w:pPr>
            <w:r w:rsidRPr="00EC75B7">
              <w:rPr>
                <w:rFonts w:ascii="Verdana" w:hAnsi="Verdana"/>
                <w:spacing w:val="-2"/>
                <w:sz w:val="18"/>
                <w:szCs w:val="18"/>
              </w:rPr>
              <w:t xml:space="preserve">Increased </w:t>
            </w:r>
            <w:r w:rsidRPr="00EC75B7">
              <w:rPr>
                <w:rFonts w:ascii="Verdana" w:hAnsi="Verdana"/>
                <w:sz w:val="18"/>
                <w:szCs w:val="18"/>
              </w:rPr>
              <w:t xml:space="preserve">noise </w:t>
            </w:r>
            <w:r w:rsidRPr="00EC75B7">
              <w:rPr>
                <w:rFonts w:ascii="Verdana" w:hAnsi="Verdana"/>
                <w:spacing w:val="-2"/>
                <w:sz w:val="18"/>
                <w:szCs w:val="18"/>
              </w:rPr>
              <w:t>levels</w:t>
            </w:r>
          </w:p>
          <w:p w14:paraId="27E93A84" w14:textId="77777777" w:rsidR="008715BE" w:rsidRPr="00EC75B7" w:rsidRDefault="00000000">
            <w:pPr>
              <w:pStyle w:val="TableParagraph"/>
              <w:spacing w:line="172" w:lineRule="exact"/>
              <w:ind w:left="104"/>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vibrations</w:t>
            </w:r>
          </w:p>
        </w:tc>
        <w:tc>
          <w:tcPr>
            <w:tcW w:w="1133" w:type="dxa"/>
          </w:tcPr>
          <w:p w14:paraId="39769692"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pacing w:val="-2"/>
                <w:sz w:val="18"/>
                <w:szCs w:val="18"/>
              </w:rPr>
              <w:t>Noise</w:t>
            </w:r>
          </w:p>
          <w:p w14:paraId="157B36D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Negative</w:t>
            </w:r>
          </w:p>
        </w:tc>
        <w:tc>
          <w:tcPr>
            <w:tcW w:w="927" w:type="dxa"/>
          </w:tcPr>
          <w:p w14:paraId="32F444E7" w14:textId="77777777" w:rsidR="008715BE" w:rsidRPr="00EC75B7" w:rsidRDefault="00000000">
            <w:pPr>
              <w:pStyle w:val="TableParagraph"/>
              <w:spacing w:line="195" w:lineRule="exact"/>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6004277C"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Direct</w:t>
            </w:r>
          </w:p>
        </w:tc>
        <w:tc>
          <w:tcPr>
            <w:tcW w:w="665" w:type="dxa"/>
          </w:tcPr>
          <w:p w14:paraId="1A6BAA86"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5"/>
                <w:sz w:val="18"/>
                <w:szCs w:val="18"/>
              </w:rPr>
              <w:t>Yes</w:t>
            </w:r>
          </w:p>
        </w:tc>
        <w:tc>
          <w:tcPr>
            <w:tcW w:w="845" w:type="dxa"/>
          </w:tcPr>
          <w:p w14:paraId="2F798E6D" w14:textId="77777777" w:rsidR="008715BE" w:rsidRPr="00EC75B7" w:rsidRDefault="00000000">
            <w:pPr>
              <w:pStyle w:val="TableParagraph"/>
              <w:spacing w:line="195" w:lineRule="exact"/>
              <w:ind w:right="151"/>
              <w:jc w:val="center"/>
              <w:rPr>
                <w:rFonts w:ascii="Verdana" w:hAnsi="Verdana"/>
                <w:sz w:val="18"/>
                <w:szCs w:val="18"/>
              </w:rPr>
            </w:pPr>
            <w:r w:rsidRPr="00EC75B7">
              <w:rPr>
                <w:rFonts w:ascii="Verdana" w:hAnsi="Verdana"/>
                <w:spacing w:val="-2"/>
                <w:sz w:val="18"/>
                <w:szCs w:val="18"/>
              </w:rPr>
              <w:t>Average</w:t>
            </w:r>
          </w:p>
        </w:tc>
        <w:tc>
          <w:tcPr>
            <w:tcW w:w="1267" w:type="dxa"/>
          </w:tcPr>
          <w:p w14:paraId="6559CAD4"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Intermittent</w:t>
            </w:r>
          </w:p>
        </w:tc>
        <w:tc>
          <w:tcPr>
            <w:tcW w:w="843" w:type="dxa"/>
          </w:tcPr>
          <w:p w14:paraId="40C7220C"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w:t>
            </w:r>
          </w:p>
        </w:tc>
        <w:tc>
          <w:tcPr>
            <w:tcW w:w="960" w:type="dxa"/>
          </w:tcPr>
          <w:p w14:paraId="327209F1" w14:textId="77777777" w:rsidR="008715BE" w:rsidRPr="00EC75B7" w:rsidRDefault="00000000">
            <w:pPr>
              <w:pStyle w:val="TableParagraph"/>
              <w:spacing w:line="195" w:lineRule="exact"/>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5BF42563" w14:textId="77777777" w:rsidR="008715BE" w:rsidRPr="00EC75B7" w:rsidRDefault="00000000">
            <w:pPr>
              <w:pStyle w:val="TableParagraph"/>
              <w:spacing w:line="195" w:lineRule="exact"/>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404B21B4" w14:textId="77777777" w:rsidR="008715BE" w:rsidRPr="00EC75B7" w:rsidRDefault="00000000">
            <w:pPr>
              <w:pStyle w:val="TableParagraph"/>
              <w:spacing w:line="195" w:lineRule="exact"/>
              <w:ind w:left="19" w:right="13"/>
              <w:jc w:val="center"/>
              <w:rPr>
                <w:rFonts w:ascii="Verdana" w:hAnsi="Verdana"/>
                <w:sz w:val="18"/>
                <w:szCs w:val="18"/>
              </w:rPr>
            </w:pPr>
            <w:r w:rsidRPr="00EC75B7">
              <w:rPr>
                <w:rFonts w:ascii="Verdana" w:hAnsi="Verdana"/>
                <w:spacing w:val="-2"/>
                <w:sz w:val="18"/>
                <w:szCs w:val="18"/>
              </w:rPr>
              <w:t>Insignificant</w:t>
            </w:r>
          </w:p>
        </w:tc>
        <w:tc>
          <w:tcPr>
            <w:tcW w:w="7357" w:type="dxa"/>
            <w:vMerge/>
            <w:tcBorders>
              <w:top w:val="nil"/>
            </w:tcBorders>
          </w:tcPr>
          <w:p w14:paraId="1D58CEF5" w14:textId="77777777" w:rsidR="008715BE" w:rsidRPr="00EC75B7" w:rsidRDefault="008715BE">
            <w:pPr>
              <w:rPr>
                <w:rFonts w:ascii="Verdana" w:hAnsi="Verdana"/>
                <w:sz w:val="18"/>
                <w:szCs w:val="18"/>
              </w:rPr>
            </w:pPr>
          </w:p>
        </w:tc>
      </w:tr>
      <w:tr w:rsidR="008715BE" w:rsidRPr="00EC75B7" w14:paraId="32458C4F" w14:textId="77777777">
        <w:trPr>
          <w:trHeight w:val="3112"/>
        </w:trPr>
        <w:tc>
          <w:tcPr>
            <w:tcW w:w="725" w:type="dxa"/>
            <w:vMerge/>
            <w:tcBorders>
              <w:top w:val="nil"/>
            </w:tcBorders>
            <w:textDirection w:val="btLr"/>
          </w:tcPr>
          <w:p w14:paraId="22A3920F" w14:textId="77777777" w:rsidR="008715BE" w:rsidRPr="00EC75B7" w:rsidRDefault="008715BE">
            <w:pPr>
              <w:rPr>
                <w:rFonts w:ascii="Verdana" w:hAnsi="Verdana"/>
                <w:sz w:val="18"/>
                <w:szCs w:val="18"/>
              </w:rPr>
            </w:pPr>
          </w:p>
        </w:tc>
        <w:tc>
          <w:tcPr>
            <w:tcW w:w="2365" w:type="dxa"/>
          </w:tcPr>
          <w:p w14:paraId="7827114D" w14:textId="77777777" w:rsidR="008715BE" w:rsidRPr="00EC75B7" w:rsidRDefault="00000000">
            <w:pPr>
              <w:pStyle w:val="TableParagraph"/>
              <w:spacing w:before="1"/>
              <w:ind w:left="105" w:right="126"/>
              <w:rPr>
                <w:rFonts w:ascii="Verdana" w:hAnsi="Verdana"/>
                <w:sz w:val="18"/>
                <w:szCs w:val="18"/>
              </w:rPr>
            </w:pPr>
            <w:r w:rsidRPr="00EC75B7">
              <w:rPr>
                <w:rFonts w:ascii="Verdana" w:hAnsi="Verdana"/>
                <w:b/>
                <w:sz w:val="18"/>
                <w:szCs w:val="18"/>
              </w:rPr>
              <w:t xml:space="preserve">Making electrical connections and laying underground cables </w:t>
            </w:r>
            <w:r w:rsidRPr="00EC75B7">
              <w:rPr>
                <w:rFonts w:ascii="Verdana" w:hAnsi="Verdana"/>
                <w:sz w:val="18"/>
                <w:szCs w:val="18"/>
              </w:rPr>
              <w:t>(removing topsoil, digging trenches, laying a layer of sand/gravel to protect the cables; installing the pipes, channels, or conduits needed for the cables; covering the cables with a protective layer (sand, soil); compacting the top layer to restore</w:t>
            </w:r>
          </w:p>
          <w:p w14:paraId="0DCFBE99" w14:textId="77777777" w:rsidR="008715BE" w:rsidRPr="00EC75B7" w:rsidRDefault="00000000">
            <w:pPr>
              <w:pStyle w:val="TableParagraph"/>
              <w:spacing w:line="162" w:lineRule="exact"/>
              <w:ind w:left="105"/>
              <w:rPr>
                <w:rFonts w:ascii="Verdana" w:hAnsi="Verdana"/>
                <w:sz w:val="18"/>
                <w:szCs w:val="18"/>
              </w:rPr>
            </w:pPr>
            <w:r w:rsidRPr="00EC75B7">
              <w:rPr>
                <w:rFonts w:ascii="Verdana" w:hAnsi="Verdana"/>
                <w:spacing w:val="-2"/>
                <w:sz w:val="18"/>
                <w:szCs w:val="18"/>
              </w:rPr>
              <w:t>the terrain)</w:t>
            </w:r>
          </w:p>
        </w:tc>
        <w:tc>
          <w:tcPr>
            <w:tcW w:w="1102" w:type="dxa"/>
          </w:tcPr>
          <w:p w14:paraId="75CF9E5D" w14:textId="77777777" w:rsidR="008715BE" w:rsidRPr="00EC75B7" w:rsidRDefault="00000000">
            <w:pPr>
              <w:pStyle w:val="TableParagraph"/>
              <w:spacing w:before="1"/>
              <w:ind w:left="104" w:right="132"/>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 xml:space="preserve">and vibration </w:t>
            </w:r>
            <w:r w:rsidRPr="00EC75B7">
              <w:rPr>
                <w:rFonts w:ascii="Verdana" w:hAnsi="Verdana"/>
                <w:spacing w:val="-2"/>
                <w:sz w:val="18"/>
                <w:szCs w:val="18"/>
              </w:rPr>
              <w:t>levels</w:t>
            </w:r>
          </w:p>
        </w:tc>
        <w:tc>
          <w:tcPr>
            <w:tcW w:w="1133" w:type="dxa"/>
          </w:tcPr>
          <w:p w14:paraId="38FB4B20" w14:textId="77777777" w:rsidR="008715BE" w:rsidRPr="00EC75B7" w:rsidRDefault="00000000">
            <w:pPr>
              <w:pStyle w:val="TableParagraph"/>
              <w:spacing w:before="1" w:line="195" w:lineRule="exact"/>
              <w:ind w:left="104"/>
              <w:rPr>
                <w:rFonts w:ascii="Verdana" w:hAnsi="Verdana"/>
                <w:sz w:val="18"/>
                <w:szCs w:val="18"/>
              </w:rPr>
            </w:pPr>
            <w:r w:rsidRPr="00EC75B7">
              <w:rPr>
                <w:rFonts w:ascii="Verdana" w:hAnsi="Verdana"/>
                <w:spacing w:val="-2"/>
                <w:sz w:val="18"/>
                <w:szCs w:val="18"/>
              </w:rPr>
              <w:t>Noise pollution</w:t>
            </w:r>
          </w:p>
          <w:p w14:paraId="1B7DCF7D"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Negative</w:t>
            </w:r>
          </w:p>
        </w:tc>
        <w:tc>
          <w:tcPr>
            <w:tcW w:w="927" w:type="dxa"/>
          </w:tcPr>
          <w:p w14:paraId="448D9F1D" w14:textId="77777777" w:rsidR="008715BE" w:rsidRPr="00EC75B7" w:rsidRDefault="00000000">
            <w:pPr>
              <w:pStyle w:val="TableParagraph"/>
              <w:spacing w:before="1"/>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081DF7ED" w14:textId="77777777" w:rsidR="008715BE" w:rsidRPr="00EC75B7" w:rsidRDefault="00000000">
            <w:pPr>
              <w:pStyle w:val="TableParagraph"/>
              <w:spacing w:before="1"/>
              <w:ind w:left="103"/>
              <w:rPr>
                <w:rFonts w:ascii="Verdana" w:hAnsi="Verdana"/>
                <w:sz w:val="18"/>
                <w:szCs w:val="18"/>
              </w:rPr>
            </w:pPr>
            <w:r w:rsidRPr="00EC75B7">
              <w:rPr>
                <w:rFonts w:ascii="Verdana" w:hAnsi="Verdana"/>
                <w:spacing w:val="-2"/>
                <w:sz w:val="18"/>
                <w:szCs w:val="18"/>
              </w:rPr>
              <w:t>Direct</w:t>
            </w:r>
          </w:p>
        </w:tc>
        <w:tc>
          <w:tcPr>
            <w:tcW w:w="665" w:type="dxa"/>
          </w:tcPr>
          <w:p w14:paraId="00BCF127" w14:textId="77777777" w:rsidR="008715BE" w:rsidRPr="00EC75B7" w:rsidRDefault="00000000">
            <w:pPr>
              <w:pStyle w:val="TableParagraph"/>
              <w:spacing w:before="1"/>
              <w:ind w:left="106"/>
              <w:rPr>
                <w:rFonts w:ascii="Verdana" w:hAnsi="Verdana"/>
                <w:sz w:val="18"/>
                <w:szCs w:val="18"/>
              </w:rPr>
            </w:pPr>
            <w:r w:rsidRPr="00EC75B7">
              <w:rPr>
                <w:rFonts w:ascii="Verdana" w:hAnsi="Verdana"/>
                <w:spacing w:val="-5"/>
                <w:sz w:val="18"/>
                <w:szCs w:val="18"/>
              </w:rPr>
              <w:t>Yes</w:t>
            </w:r>
          </w:p>
        </w:tc>
        <w:tc>
          <w:tcPr>
            <w:tcW w:w="845" w:type="dxa"/>
          </w:tcPr>
          <w:p w14:paraId="6B7C2587" w14:textId="77777777" w:rsidR="008715BE" w:rsidRPr="00EC75B7" w:rsidRDefault="00000000">
            <w:pPr>
              <w:pStyle w:val="TableParagraph"/>
              <w:spacing w:before="1"/>
              <w:ind w:right="151"/>
              <w:jc w:val="center"/>
              <w:rPr>
                <w:rFonts w:ascii="Verdana" w:hAnsi="Verdana"/>
                <w:sz w:val="18"/>
                <w:szCs w:val="18"/>
              </w:rPr>
            </w:pPr>
            <w:r w:rsidRPr="00EC75B7">
              <w:rPr>
                <w:rFonts w:ascii="Verdana" w:hAnsi="Verdana"/>
                <w:spacing w:val="-2"/>
                <w:sz w:val="18"/>
                <w:szCs w:val="18"/>
              </w:rPr>
              <w:t>Average</w:t>
            </w:r>
          </w:p>
        </w:tc>
        <w:tc>
          <w:tcPr>
            <w:tcW w:w="1267" w:type="dxa"/>
          </w:tcPr>
          <w:p w14:paraId="14B8AD60" w14:textId="77777777" w:rsidR="008715BE" w:rsidRPr="00EC75B7" w:rsidRDefault="00000000">
            <w:pPr>
              <w:pStyle w:val="TableParagraph"/>
              <w:spacing w:before="1"/>
              <w:ind w:left="103"/>
              <w:rPr>
                <w:rFonts w:ascii="Verdana" w:hAnsi="Verdana"/>
                <w:sz w:val="18"/>
                <w:szCs w:val="18"/>
              </w:rPr>
            </w:pPr>
            <w:r w:rsidRPr="00EC75B7">
              <w:rPr>
                <w:rFonts w:ascii="Verdana" w:hAnsi="Verdana"/>
                <w:spacing w:val="-2"/>
                <w:sz w:val="18"/>
                <w:szCs w:val="18"/>
              </w:rPr>
              <w:t>Intermittent</w:t>
            </w:r>
          </w:p>
        </w:tc>
        <w:tc>
          <w:tcPr>
            <w:tcW w:w="843" w:type="dxa"/>
          </w:tcPr>
          <w:p w14:paraId="0BDFE829" w14:textId="77777777" w:rsidR="008715BE" w:rsidRPr="00EC75B7" w:rsidRDefault="00000000">
            <w:pPr>
              <w:pStyle w:val="TableParagraph"/>
              <w:spacing w:before="1"/>
              <w:ind w:left="106"/>
              <w:rPr>
                <w:rFonts w:ascii="Verdana" w:hAnsi="Verdana"/>
                <w:sz w:val="18"/>
                <w:szCs w:val="18"/>
              </w:rPr>
            </w:pPr>
            <w:r w:rsidRPr="00EC75B7">
              <w:rPr>
                <w:rFonts w:ascii="Verdana" w:hAnsi="Verdana"/>
                <w:spacing w:val="-2"/>
                <w:sz w:val="18"/>
                <w:szCs w:val="18"/>
              </w:rPr>
              <w:t>Local</w:t>
            </w:r>
          </w:p>
        </w:tc>
        <w:tc>
          <w:tcPr>
            <w:tcW w:w="960" w:type="dxa"/>
          </w:tcPr>
          <w:p w14:paraId="27DA2DC9" w14:textId="77777777" w:rsidR="008715BE" w:rsidRPr="00EC75B7" w:rsidRDefault="00000000">
            <w:pPr>
              <w:pStyle w:val="TableParagraph"/>
              <w:spacing w:before="1"/>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781B3708" w14:textId="77777777" w:rsidR="008715BE" w:rsidRPr="00EC75B7" w:rsidRDefault="00000000">
            <w:pPr>
              <w:pStyle w:val="TableParagraph"/>
              <w:spacing w:before="1"/>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471B24E4" w14:textId="77777777" w:rsidR="008715BE" w:rsidRPr="00EC75B7" w:rsidRDefault="00000000">
            <w:pPr>
              <w:pStyle w:val="TableParagraph"/>
              <w:spacing w:before="1"/>
              <w:ind w:left="19" w:right="13"/>
              <w:jc w:val="center"/>
              <w:rPr>
                <w:rFonts w:ascii="Verdana" w:hAnsi="Verdana"/>
                <w:sz w:val="18"/>
                <w:szCs w:val="18"/>
              </w:rPr>
            </w:pPr>
            <w:r w:rsidRPr="00EC75B7">
              <w:rPr>
                <w:rFonts w:ascii="Verdana" w:hAnsi="Verdana"/>
                <w:spacing w:val="-2"/>
                <w:sz w:val="18"/>
                <w:szCs w:val="18"/>
              </w:rPr>
              <w:t>Insignificant</w:t>
            </w:r>
          </w:p>
        </w:tc>
        <w:tc>
          <w:tcPr>
            <w:tcW w:w="7357" w:type="dxa"/>
            <w:vMerge/>
            <w:tcBorders>
              <w:top w:val="nil"/>
            </w:tcBorders>
          </w:tcPr>
          <w:p w14:paraId="776329BF" w14:textId="77777777" w:rsidR="008715BE" w:rsidRPr="00EC75B7" w:rsidRDefault="008715BE">
            <w:pPr>
              <w:rPr>
                <w:rFonts w:ascii="Verdana" w:hAnsi="Verdana"/>
                <w:sz w:val="18"/>
                <w:szCs w:val="18"/>
              </w:rPr>
            </w:pPr>
          </w:p>
        </w:tc>
      </w:tr>
      <w:tr w:rsidR="008715BE" w:rsidRPr="00EC75B7" w14:paraId="566BD265" w14:textId="77777777">
        <w:trPr>
          <w:trHeight w:val="777"/>
        </w:trPr>
        <w:tc>
          <w:tcPr>
            <w:tcW w:w="725" w:type="dxa"/>
            <w:vMerge/>
            <w:tcBorders>
              <w:top w:val="nil"/>
            </w:tcBorders>
            <w:textDirection w:val="btLr"/>
          </w:tcPr>
          <w:p w14:paraId="3124795C" w14:textId="77777777" w:rsidR="008715BE" w:rsidRPr="00EC75B7" w:rsidRDefault="008715BE">
            <w:pPr>
              <w:rPr>
                <w:rFonts w:ascii="Verdana" w:hAnsi="Verdana"/>
                <w:sz w:val="18"/>
                <w:szCs w:val="18"/>
              </w:rPr>
            </w:pPr>
          </w:p>
        </w:tc>
        <w:tc>
          <w:tcPr>
            <w:tcW w:w="2365" w:type="dxa"/>
          </w:tcPr>
          <w:p w14:paraId="5F507CE9" w14:textId="77777777" w:rsidR="008715BE" w:rsidRPr="00EC75B7" w:rsidRDefault="00000000">
            <w:pPr>
              <w:pStyle w:val="TableParagraph"/>
              <w:spacing w:line="195" w:lineRule="exact"/>
              <w:ind w:left="105"/>
              <w:rPr>
                <w:rFonts w:ascii="Verdana" w:hAnsi="Verdana"/>
                <w:b/>
                <w:sz w:val="18"/>
                <w:szCs w:val="18"/>
              </w:rPr>
            </w:pPr>
            <w:r w:rsidRPr="00EC75B7">
              <w:rPr>
                <w:rFonts w:ascii="Verdana" w:hAnsi="Verdana"/>
                <w:b/>
                <w:sz w:val="18"/>
                <w:szCs w:val="18"/>
              </w:rPr>
              <w:t xml:space="preserve">Construction </w:t>
            </w:r>
            <w:r w:rsidRPr="00EC75B7">
              <w:rPr>
                <w:rFonts w:ascii="Verdana" w:hAnsi="Verdana"/>
                <w:b/>
                <w:spacing w:val="-2"/>
                <w:sz w:val="18"/>
                <w:szCs w:val="18"/>
              </w:rPr>
              <w:t xml:space="preserve">site </w:t>
            </w:r>
            <w:r w:rsidRPr="00EC75B7">
              <w:rPr>
                <w:rFonts w:ascii="Verdana" w:hAnsi="Verdana"/>
                <w:b/>
                <w:sz w:val="18"/>
                <w:szCs w:val="18"/>
              </w:rPr>
              <w:t>traffic</w:t>
            </w:r>
          </w:p>
        </w:tc>
        <w:tc>
          <w:tcPr>
            <w:tcW w:w="1102" w:type="dxa"/>
          </w:tcPr>
          <w:p w14:paraId="2DD4E338" w14:textId="77777777" w:rsidR="008715BE" w:rsidRPr="00EC75B7" w:rsidRDefault="00000000">
            <w:pPr>
              <w:pStyle w:val="TableParagraph"/>
              <w:ind w:left="104" w:right="135"/>
              <w:rPr>
                <w:rFonts w:ascii="Verdana" w:hAnsi="Verdana"/>
                <w:sz w:val="18"/>
                <w:szCs w:val="18"/>
              </w:rPr>
            </w:pPr>
            <w:r w:rsidRPr="00EC75B7">
              <w:rPr>
                <w:rFonts w:ascii="Verdana" w:hAnsi="Verdana"/>
                <w:spacing w:val="-2"/>
                <w:sz w:val="18"/>
                <w:szCs w:val="18"/>
              </w:rPr>
              <w:t xml:space="preserve">Increased </w:t>
            </w:r>
            <w:r w:rsidRPr="00EC75B7">
              <w:rPr>
                <w:rFonts w:ascii="Verdana" w:hAnsi="Verdana"/>
                <w:sz w:val="18"/>
                <w:szCs w:val="18"/>
              </w:rPr>
              <w:t xml:space="preserve">noise </w:t>
            </w:r>
            <w:r w:rsidRPr="00EC75B7">
              <w:rPr>
                <w:rFonts w:ascii="Verdana" w:hAnsi="Verdana"/>
                <w:spacing w:val="-2"/>
                <w:sz w:val="18"/>
                <w:szCs w:val="18"/>
              </w:rPr>
              <w:t>levels</w:t>
            </w:r>
          </w:p>
          <w:p w14:paraId="5B1D9663" w14:textId="77777777" w:rsidR="008715BE" w:rsidRPr="00EC75B7" w:rsidRDefault="00000000">
            <w:pPr>
              <w:pStyle w:val="TableParagraph"/>
              <w:spacing w:line="172" w:lineRule="exact"/>
              <w:ind w:left="104"/>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vibrations</w:t>
            </w:r>
          </w:p>
        </w:tc>
        <w:tc>
          <w:tcPr>
            <w:tcW w:w="1133" w:type="dxa"/>
          </w:tcPr>
          <w:p w14:paraId="191F32E7" w14:textId="77777777" w:rsidR="008715BE" w:rsidRPr="00EC75B7" w:rsidRDefault="00000000">
            <w:pPr>
              <w:pStyle w:val="TableParagraph"/>
              <w:spacing w:line="194" w:lineRule="exact"/>
              <w:ind w:left="104"/>
              <w:rPr>
                <w:rFonts w:ascii="Verdana" w:hAnsi="Verdana"/>
                <w:sz w:val="18"/>
                <w:szCs w:val="18"/>
              </w:rPr>
            </w:pPr>
            <w:r w:rsidRPr="00EC75B7">
              <w:rPr>
                <w:rFonts w:ascii="Verdana" w:hAnsi="Verdana"/>
                <w:spacing w:val="-2"/>
                <w:sz w:val="18"/>
                <w:szCs w:val="18"/>
              </w:rPr>
              <w:t>Noise</w:t>
            </w:r>
          </w:p>
          <w:p w14:paraId="5CF080B6"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Noise</w:t>
            </w:r>
          </w:p>
        </w:tc>
        <w:tc>
          <w:tcPr>
            <w:tcW w:w="927" w:type="dxa"/>
          </w:tcPr>
          <w:p w14:paraId="1186BA2F" w14:textId="77777777" w:rsidR="008715BE" w:rsidRPr="00EC75B7" w:rsidRDefault="00000000">
            <w:pPr>
              <w:pStyle w:val="TableParagraph"/>
              <w:spacing w:line="195" w:lineRule="exact"/>
              <w:ind w:left="87" w:right="81"/>
              <w:jc w:val="center"/>
              <w:rPr>
                <w:rFonts w:ascii="Verdana" w:hAnsi="Verdana"/>
                <w:sz w:val="18"/>
                <w:szCs w:val="18"/>
              </w:rPr>
            </w:pPr>
            <w:r w:rsidRPr="00EC75B7">
              <w:rPr>
                <w:rFonts w:ascii="Verdana" w:hAnsi="Verdana"/>
                <w:spacing w:val="-2"/>
                <w:sz w:val="18"/>
                <w:szCs w:val="18"/>
              </w:rPr>
              <w:t>Negative</w:t>
            </w:r>
          </w:p>
        </w:tc>
        <w:tc>
          <w:tcPr>
            <w:tcW w:w="970" w:type="dxa"/>
          </w:tcPr>
          <w:p w14:paraId="78A15E69"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Direct</w:t>
            </w:r>
          </w:p>
        </w:tc>
        <w:tc>
          <w:tcPr>
            <w:tcW w:w="665" w:type="dxa"/>
          </w:tcPr>
          <w:p w14:paraId="61AFCAF8"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5"/>
                <w:sz w:val="18"/>
                <w:szCs w:val="18"/>
              </w:rPr>
              <w:t>Yes</w:t>
            </w:r>
          </w:p>
        </w:tc>
        <w:tc>
          <w:tcPr>
            <w:tcW w:w="845" w:type="dxa"/>
          </w:tcPr>
          <w:p w14:paraId="300A6A6E" w14:textId="77777777" w:rsidR="008715BE" w:rsidRPr="00EC75B7" w:rsidRDefault="00000000">
            <w:pPr>
              <w:pStyle w:val="TableParagraph"/>
              <w:spacing w:line="195" w:lineRule="exact"/>
              <w:ind w:right="151"/>
              <w:jc w:val="center"/>
              <w:rPr>
                <w:rFonts w:ascii="Verdana" w:hAnsi="Verdana"/>
                <w:sz w:val="18"/>
                <w:szCs w:val="18"/>
              </w:rPr>
            </w:pPr>
            <w:r w:rsidRPr="00EC75B7">
              <w:rPr>
                <w:rFonts w:ascii="Verdana" w:hAnsi="Verdana"/>
                <w:spacing w:val="-2"/>
                <w:sz w:val="18"/>
                <w:szCs w:val="18"/>
              </w:rPr>
              <w:t>Average</w:t>
            </w:r>
          </w:p>
        </w:tc>
        <w:tc>
          <w:tcPr>
            <w:tcW w:w="1267" w:type="dxa"/>
          </w:tcPr>
          <w:p w14:paraId="1AA1CBBD"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Intermittent</w:t>
            </w:r>
          </w:p>
        </w:tc>
        <w:tc>
          <w:tcPr>
            <w:tcW w:w="843" w:type="dxa"/>
          </w:tcPr>
          <w:p w14:paraId="4C11D9F7"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w:t>
            </w:r>
          </w:p>
        </w:tc>
        <w:tc>
          <w:tcPr>
            <w:tcW w:w="960" w:type="dxa"/>
          </w:tcPr>
          <w:p w14:paraId="63E3BD6F" w14:textId="77777777" w:rsidR="008715BE" w:rsidRPr="00EC75B7" w:rsidRDefault="00000000">
            <w:pPr>
              <w:pStyle w:val="TableParagraph"/>
              <w:spacing w:line="195" w:lineRule="exact"/>
              <w:ind w:right="1"/>
              <w:jc w:val="center"/>
              <w:rPr>
                <w:rFonts w:ascii="Verdana" w:hAnsi="Verdana"/>
                <w:sz w:val="18"/>
                <w:szCs w:val="18"/>
              </w:rPr>
            </w:pPr>
            <w:r w:rsidRPr="00EC75B7">
              <w:rPr>
                <w:rFonts w:ascii="Verdana" w:hAnsi="Verdana"/>
                <w:spacing w:val="-2"/>
                <w:sz w:val="18"/>
                <w:szCs w:val="18"/>
              </w:rPr>
              <w:t>Probable</w:t>
            </w:r>
          </w:p>
        </w:tc>
        <w:tc>
          <w:tcPr>
            <w:tcW w:w="996" w:type="dxa"/>
          </w:tcPr>
          <w:p w14:paraId="32E729F6" w14:textId="77777777" w:rsidR="008715BE" w:rsidRPr="00EC75B7" w:rsidRDefault="00000000">
            <w:pPr>
              <w:pStyle w:val="TableParagraph"/>
              <w:spacing w:line="195" w:lineRule="exact"/>
              <w:ind w:left="17" w:right="13"/>
              <w:jc w:val="center"/>
              <w:rPr>
                <w:rFonts w:ascii="Verdana" w:hAnsi="Verdana"/>
                <w:sz w:val="18"/>
                <w:szCs w:val="18"/>
              </w:rPr>
            </w:pPr>
            <w:r w:rsidRPr="00EC75B7">
              <w:rPr>
                <w:rFonts w:ascii="Verdana" w:hAnsi="Verdana"/>
                <w:spacing w:val="-2"/>
                <w:sz w:val="18"/>
                <w:szCs w:val="18"/>
              </w:rPr>
              <w:t>Reversible</w:t>
            </w:r>
          </w:p>
        </w:tc>
        <w:tc>
          <w:tcPr>
            <w:tcW w:w="1392" w:type="dxa"/>
          </w:tcPr>
          <w:p w14:paraId="694185A7" w14:textId="77777777" w:rsidR="008715BE" w:rsidRPr="00EC75B7" w:rsidRDefault="00000000">
            <w:pPr>
              <w:pStyle w:val="TableParagraph"/>
              <w:spacing w:line="195" w:lineRule="exact"/>
              <w:ind w:left="19" w:right="13"/>
              <w:jc w:val="center"/>
              <w:rPr>
                <w:rFonts w:ascii="Verdana" w:hAnsi="Verdana"/>
                <w:sz w:val="18"/>
                <w:szCs w:val="18"/>
              </w:rPr>
            </w:pPr>
            <w:r w:rsidRPr="00EC75B7">
              <w:rPr>
                <w:rFonts w:ascii="Verdana" w:hAnsi="Verdana"/>
                <w:spacing w:val="-2"/>
                <w:sz w:val="18"/>
                <w:szCs w:val="18"/>
              </w:rPr>
              <w:t>Insignificant</w:t>
            </w:r>
          </w:p>
        </w:tc>
        <w:tc>
          <w:tcPr>
            <w:tcW w:w="7357" w:type="dxa"/>
            <w:vMerge/>
            <w:tcBorders>
              <w:top w:val="nil"/>
            </w:tcBorders>
          </w:tcPr>
          <w:p w14:paraId="11B135DB" w14:textId="77777777" w:rsidR="008715BE" w:rsidRPr="00EC75B7" w:rsidRDefault="008715BE">
            <w:pPr>
              <w:rPr>
                <w:rFonts w:ascii="Verdana" w:hAnsi="Verdana"/>
                <w:sz w:val="18"/>
                <w:szCs w:val="18"/>
              </w:rPr>
            </w:pPr>
          </w:p>
        </w:tc>
      </w:tr>
    </w:tbl>
    <w:p w14:paraId="0173639B" w14:textId="77777777" w:rsidR="008715BE" w:rsidRPr="00EC75B7" w:rsidRDefault="008715BE">
      <w:pPr>
        <w:rPr>
          <w:rFonts w:ascii="Verdana" w:hAnsi="Verdana"/>
          <w:sz w:val="18"/>
          <w:szCs w:val="18"/>
        </w:rPr>
        <w:sectPr w:rsidR="008715BE" w:rsidRPr="00EC75B7">
          <w:headerReference w:type="default" r:id="rId219"/>
          <w:footerReference w:type="default" r:id="rId220"/>
          <w:pgSz w:w="23820" w:h="16840" w:orient="landscape"/>
          <w:pgMar w:top="1160" w:right="1275" w:bottom="1020" w:left="850" w:header="766" w:footer="824" w:gutter="0"/>
          <w:cols w:space="708"/>
        </w:sectPr>
      </w:pPr>
    </w:p>
    <w:p w14:paraId="42C0EEE6" w14:textId="77777777" w:rsidR="008715BE" w:rsidRPr="00EC75B7" w:rsidRDefault="008715BE">
      <w:pPr>
        <w:pStyle w:val="BodyText"/>
        <w:spacing w:before="3"/>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365"/>
        <w:gridCol w:w="1102"/>
        <w:gridCol w:w="1133"/>
        <w:gridCol w:w="927"/>
        <w:gridCol w:w="970"/>
        <w:gridCol w:w="665"/>
        <w:gridCol w:w="845"/>
        <w:gridCol w:w="1267"/>
        <w:gridCol w:w="843"/>
        <w:gridCol w:w="960"/>
        <w:gridCol w:w="996"/>
        <w:gridCol w:w="1392"/>
        <w:gridCol w:w="7357"/>
      </w:tblGrid>
      <w:tr w:rsidR="008715BE" w:rsidRPr="00EC75B7" w14:paraId="76DC3EAC" w14:textId="77777777">
        <w:trPr>
          <w:trHeight w:val="1550"/>
        </w:trPr>
        <w:tc>
          <w:tcPr>
            <w:tcW w:w="725" w:type="dxa"/>
            <w:shd w:val="clear" w:color="auto" w:fill="00AFEF"/>
          </w:tcPr>
          <w:p w14:paraId="7E99D33B" w14:textId="77777777" w:rsidR="008715BE" w:rsidRPr="00EC75B7" w:rsidRDefault="008715BE">
            <w:pPr>
              <w:pStyle w:val="TableParagraph"/>
              <w:rPr>
                <w:rFonts w:ascii="Verdana" w:hAnsi="Verdana"/>
                <w:b/>
                <w:sz w:val="18"/>
                <w:szCs w:val="18"/>
              </w:rPr>
            </w:pPr>
          </w:p>
          <w:p w14:paraId="6E497664" w14:textId="77777777" w:rsidR="008715BE" w:rsidRPr="00EC75B7" w:rsidRDefault="008715BE">
            <w:pPr>
              <w:pStyle w:val="TableParagraph"/>
              <w:rPr>
                <w:rFonts w:ascii="Verdana" w:hAnsi="Verdana"/>
                <w:b/>
                <w:sz w:val="18"/>
                <w:szCs w:val="18"/>
              </w:rPr>
            </w:pPr>
          </w:p>
          <w:p w14:paraId="134FD331" w14:textId="77777777" w:rsidR="008715BE" w:rsidRPr="00EC75B7" w:rsidRDefault="008715BE">
            <w:pPr>
              <w:pStyle w:val="TableParagraph"/>
              <w:spacing w:before="101"/>
              <w:rPr>
                <w:rFonts w:ascii="Verdana" w:hAnsi="Verdana"/>
                <w:b/>
                <w:sz w:val="18"/>
                <w:szCs w:val="18"/>
              </w:rPr>
            </w:pPr>
          </w:p>
          <w:p w14:paraId="7865B1D3"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pacing w:val="-4"/>
                <w:sz w:val="18"/>
                <w:szCs w:val="18"/>
              </w:rPr>
              <w:t>Stage</w:t>
            </w:r>
          </w:p>
        </w:tc>
        <w:tc>
          <w:tcPr>
            <w:tcW w:w="2365" w:type="dxa"/>
            <w:shd w:val="clear" w:color="auto" w:fill="00AFEF"/>
          </w:tcPr>
          <w:p w14:paraId="7063E03D" w14:textId="77777777" w:rsidR="008715BE" w:rsidRPr="00EC75B7" w:rsidRDefault="008715BE">
            <w:pPr>
              <w:pStyle w:val="TableParagraph"/>
              <w:rPr>
                <w:rFonts w:ascii="Verdana" w:hAnsi="Verdana"/>
                <w:b/>
                <w:sz w:val="18"/>
                <w:szCs w:val="18"/>
              </w:rPr>
            </w:pPr>
          </w:p>
          <w:p w14:paraId="429E7647" w14:textId="77777777" w:rsidR="008715BE" w:rsidRPr="00EC75B7" w:rsidRDefault="008715BE">
            <w:pPr>
              <w:pStyle w:val="TableParagraph"/>
              <w:rPr>
                <w:rFonts w:ascii="Verdana" w:hAnsi="Verdana"/>
                <w:b/>
                <w:sz w:val="18"/>
                <w:szCs w:val="18"/>
              </w:rPr>
            </w:pPr>
          </w:p>
          <w:p w14:paraId="542C4DD8" w14:textId="77777777" w:rsidR="008715BE" w:rsidRPr="00EC75B7" w:rsidRDefault="008715BE">
            <w:pPr>
              <w:pStyle w:val="TableParagraph"/>
              <w:spacing w:before="101"/>
              <w:rPr>
                <w:rFonts w:ascii="Verdana" w:hAnsi="Verdana"/>
                <w:b/>
                <w:sz w:val="18"/>
                <w:szCs w:val="18"/>
              </w:rPr>
            </w:pPr>
          </w:p>
          <w:p w14:paraId="42B33F52" w14:textId="77777777" w:rsidR="008715BE" w:rsidRPr="00EC75B7" w:rsidRDefault="00000000">
            <w:pPr>
              <w:pStyle w:val="TableParagraph"/>
              <w:spacing w:before="1"/>
              <w:ind w:left="189"/>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1102" w:type="dxa"/>
            <w:shd w:val="clear" w:color="auto" w:fill="00AFEF"/>
          </w:tcPr>
          <w:p w14:paraId="7190FD2F" w14:textId="77777777" w:rsidR="008715BE" w:rsidRPr="00EC75B7" w:rsidRDefault="008715BE">
            <w:pPr>
              <w:pStyle w:val="TableParagraph"/>
              <w:rPr>
                <w:rFonts w:ascii="Verdana" w:hAnsi="Verdana"/>
                <w:b/>
                <w:sz w:val="18"/>
                <w:szCs w:val="18"/>
              </w:rPr>
            </w:pPr>
          </w:p>
          <w:p w14:paraId="624DF074" w14:textId="77777777" w:rsidR="008715BE" w:rsidRPr="00EC75B7" w:rsidRDefault="008715BE">
            <w:pPr>
              <w:pStyle w:val="TableParagraph"/>
              <w:rPr>
                <w:rFonts w:ascii="Verdana" w:hAnsi="Verdana"/>
                <w:b/>
                <w:sz w:val="18"/>
                <w:szCs w:val="18"/>
              </w:rPr>
            </w:pPr>
          </w:p>
          <w:p w14:paraId="630E800F" w14:textId="77777777" w:rsidR="008715BE" w:rsidRPr="00EC75B7" w:rsidRDefault="008715BE">
            <w:pPr>
              <w:pStyle w:val="TableParagraph"/>
              <w:spacing w:before="101"/>
              <w:rPr>
                <w:rFonts w:ascii="Verdana" w:hAnsi="Verdana"/>
                <w:b/>
                <w:sz w:val="18"/>
                <w:szCs w:val="18"/>
              </w:rPr>
            </w:pPr>
          </w:p>
          <w:p w14:paraId="3E53AB32" w14:textId="77777777" w:rsidR="008715BE" w:rsidRPr="00EC75B7" w:rsidRDefault="00000000">
            <w:pPr>
              <w:pStyle w:val="TableParagraph"/>
              <w:spacing w:before="1"/>
              <w:ind w:left="267"/>
              <w:rPr>
                <w:rFonts w:ascii="Verdana" w:hAnsi="Verdana"/>
                <w:b/>
                <w:sz w:val="18"/>
                <w:szCs w:val="18"/>
              </w:rPr>
            </w:pPr>
            <w:r w:rsidRPr="00EC75B7">
              <w:rPr>
                <w:rFonts w:ascii="Verdana" w:hAnsi="Verdana"/>
                <w:b/>
                <w:color w:val="FFFFFF"/>
                <w:spacing w:val="-2"/>
                <w:sz w:val="18"/>
                <w:szCs w:val="18"/>
              </w:rPr>
              <w:t>Effects</w:t>
            </w:r>
          </w:p>
        </w:tc>
        <w:tc>
          <w:tcPr>
            <w:tcW w:w="1133" w:type="dxa"/>
            <w:shd w:val="clear" w:color="auto" w:fill="00AFEF"/>
          </w:tcPr>
          <w:p w14:paraId="2ADB7EA6" w14:textId="77777777" w:rsidR="008715BE" w:rsidRPr="00EC75B7" w:rsidRDefault="008715BE">
            <w:pPr>
              <w:pStyle w:val="TableParagraph"/>
              <w:rPr>
                <w:rFonts w:ascii="Verdana" w:hAnsi="Verdana"/>
                <w:b/>
                <w:sz w:val="18"/>
                <w:szCs w:val="18"/>
              </w:rPr>
            </w:pPr>
          </w:p>
          <w:p w14:paraId="419665D8" w14:textId="77777777" w:rsidR="008715BE" w:rsidRPr="00EC75B7" w:rsidRDefault="008715BE">
            <w:pPr>
              <w:pStyle w:val="TableParagraph"/>
              <w:spacing w:before="102"/>
              <w:rPr>
                <w:rFonts w:ascii="Verdana" w:hAnsi="Verdana"/>
                <w:b/>
                <w:sz w:val="18"/>
                <w:szCs w:val="18"/>
              </w:rPr>
            </w:pPr>
          </w:p>
          <w:p w14:paraId="41CDEA82" w14:textId="77777777" w:rsidR="008715BE" w:rsidRPr="00EC75B7" w:rsidRDefault="00000000">
            <w:pPr>
              <w:pStyle w:val="TableParagraph"/>
              <w:spacing w:before="1"/>
              <w:ind w:left="106" w:firstLine="170"/>
              <w:rPr>
                <w:rFonts w:ascii="Verdana" w:hAnsi="Verdana"/>
                <w:b/>
                <w:sz w:val="18"/>
                <w:szCs w:val="18"/>
              </w:rPr>
            </w:pPr>
            <w:r w:rsidRPr="00EC75B7">
              <w:rPr>
                <w:rFonts w:ascii="Verdana" w:hAnsi="Verdana"/>
                <w:b/>
                <w:color w:val="FFFFFF"/>
                <w:spacing w:val="-2"/>
                <w:sz w:val="18"/>
                <w:szCs w:val="18"/>
              </w:rPr>
              <w:t xml:space="preserve">Potential forms </w:t>
            </w:r>
            <w:r w:rsidRPr="00EC75B7">
              <w:rPr>
                <w:rFonts w:ascii="Verdana" w:hAnsi="Verdana"/>
                <w:b/>
                <w:color w:val="FFFFFF"/>
                <w:sz w:val="18"/>
                <w:szCs w:val="18"/>
              </w:rPr>
              <w:t xml:space="preserve">of </w:t>
            </w:r>
            <w:r w:rsidRPr="00EC75B7">
              <w:rPr>
                <w:rFonts w:ascii="Verdana" w:hAnsi="Verdana"/>
                <w:b/>
                <w:color w:val="FFFFFF"/>
                <w:spacing w:val="-2"/>
                <w:sz w:val="18"/>
                <w:szCs w:val="18"/>
              </w:rPr>
              <w:t>impact</w:t>
            </w:r>
          </w:p>
        </w:tc>
        <w:tc>
          <w:tcPr>
            <w:tcW w:w="927" w:type="dxa"/>
            <w:shd w:val="clear" w:color="auto" w:fill="00AFEF"/>
            <w:textDirection w:val="btLr"/>
          </w:tcPr>
          <w:p w14:paraId="13AA4B4E" w14:textId="77777777" w:rsidR="008715BE" w:rsidRPr="00EC75B7" w:rsidRDefault="008715BE">
            <w:pPr>
              <w:pStyle w:val="TableParagraph"/>
              <w:spacing w:before="176"/>
              <w:rPr>
                <w:rFonts w:ascii="Verdana" w:hAnsi="Verdana"/>
                <w:b/>
                <w:sz w:val="18"/>
                <w:szCs w:val="18"/>
              </w:rPr>
            </w:pPr>
          </w:p>
          <w:p w14:paraId="0717AD28" w14:textId="77777777" w:rsidR="008715BE" w:rsidRPr="00EC75B7" w:rsidRDefault="00000000">
            <w:pPr>
              <w:pStyle w:val="TableParagraph"/>
              <w:spacing w:before="1"/>
              <w:ind w:left="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970" w:type="dxa"/>
            <w:shd w:val="clear" w:color="auto" w:fill="00AFEF"/>
            <w:textDirection w:val="btLr"/>
          </w:tcPr>
          <w:p w14:paraId="325A8563" w14:textId="77777777" w:rsidR="008715BE" w:rsidRPr="00EC75B7" w:rsidRDefault="008715BE">
            <w:pPr>
              <w:pStyle w:val="TableParagraph"/>
              <w:spacing w:before="99"/>
              <w:rPr>
                <w:rFonts w:ascii="Verdana" w:hAnsi="Verdana"/>
                <w:b/>
                <w:sz w:val="18"/>
                <w:szCs w:val="18"/>
              </w:rPr>
            </w:pPr>
          </w:p>
          <w:p w14:paraId="55BC0719" w14:textId="77777777" w:rsidR="008715BE" w:rsidRPr="00EC75B7" w:rsidRDefault="00000000">
            <w:pPr>
              <w:pStyle w:val="TableParagraph"/>
              <w:spacing w:line="244" w:lineRule="auto"/>
              <w:ind w:left="299" w:right="296" w:firstLine="165"/>
              <w:rPr>
                <w:rFonts w:ascii="Verdana" w:hAnsi="Verdana"/>
                <w:b/>
                <w:sz w:val="18"/>
                <w:szCs w:val="18"/>
              </w:rPr>
            </w:pPr>
            <w:r w:rsidRPr="00EC75B7">
              <w:rPr>
                <w:rFonts w:ascii="Verdana" w:hAnsi="Verdana"/>
                <w:b/>
                <w:color w:val="FFFFFF"/>
                <w:spacing w:val="-2"/>
                <w:sz w:val="18"/>
                <w:szCs w:val="18"/>
              </w:rPr>
              <w:t>Nature of impact</w:t>
            </w:r>
          </w:p>
        </w:tc>
        <w:tc>
          <w:tcPr>
            <w:tcW w:w="665" w:type="dxa"/>
            <w:shd w:val="clear" w:color="auto" w:fill="00AFEF"/>
            <w:textDirection w:val="btLr"/>
          </w:tcPr>
          <w:p w14:paraId="296925A5" w14:textId="77777777" w:rsidR="008715BE" w:rsidRPr="00EC75B7" w:rsidRDefault="00000000">
            <w:pPr>
              <w:pStyle w:val="TableParagraph"/>
              <w:spacing w:before="141"/>
              <w:ind w:left="369"/>
              <w:rPr>
                <w:rFonts w:ascii="Verdana" w:hAnsi="Verdana"/>
                <w:b/>
                <w:sz w:val="18"/>
                <w:szCs w:val="18"/>
              </w:rPr>
            </w:pPr>
            <w:r w:rsidRPr="00EC75B7">
              <w:rPr>
                <w:rFonts w:ascii="Verdana" w:hAnsi="Verdana"/>
                <w:b/>
                <w:color w:val="FFFFFF"/>
                <w:spacing w:val="-2"/>
                <w:sz w:val="18"/>
                <w:szCs w:val="18"/>
              </w:rPr>
              <w:t>Potential</w:t>
            </w:r>
          </w:p>
          <w:p w14:paraId="41D6036F" w14:textId="77777777" w:rsidR="008715BE" w:rsidRPr="00EC75B7" w:rsidRDefault="00000000">
            <w:pPr>
              <w:pStyle w:val="TableParagraph"/>
              <w:spacing w:before="3"/>
              <w:ind w:left="330"/>
              <w:rPr>
                <w:rFonts w:ascii="Verdana" w:hAnsi="Verdana"/>
                <w:b/>
                <w:sz w:val="18"/>
                <w:szCs w:val="18"/>
              </w:rPr>
            </w:pPr>
            <w:r w:rsidRPr="00EC75B7">
              <w:rPr>
                <w:rFonts w:ascii="Verdana" w:hAnsi="Verdana"/>
                <w:b/>
                <w:color w:val="FFFFFF"/>
                <w:spacing w:val="-2"/>
                <w:sz w:val="18"/>
                <w:szCs w:val="18"/>
              </w:rPr>
              <w:t>Cumulative</w:t>
            </w:r>
          </w:p>
        </w:tc>
        <w:tc>
          <w:tcPr>
            <w:tcW w:w="845" w:type="dxa"/>
            <w:shd w:val="clear" w:color="auto" w:fill="00AFEF"/>
            <w:textDirection w:val="btLr"/>
          </w:tcPr>
          <w:p w14:paraId="4A4E80A8" w14:textId="77777777" w:rsidR="008715BE" w:rsidRPr="00EC75B7" w:rsidRDefault="008715BE">
            <w:pPr>
              <w:pStyle w:val="TableParagraph"/>
              <w:spacing w:before="134"/>
              <w:rPr>
                <w:rFonts w:ascii="Verdana" w:hAnsi="Verdana"/>
                <w:b/>
                <w:sz w:val="18"/>
                <w:szCs w:val="18"/>
              </w:rPr>
            </w:pPr>
          </w:p>
          <w:p w14:paraId="40AA83E0" w14:textId="77777777" w:rsidR="008715BE" w:rsidRPr="00EC75B7" w:rsidRDefault="00000000">
            <w:pPr>
              <w:pStyle w:val="TableParagraph"/>
              <w:spacing w:before="1"/>
              <w:ind w:left="467"/>
              <w:rPr>
                <w:rFonts w:ascii="Verdana" w:hAnsi="Verdana"/>
                <w:b/>
                <w:sz w:val="18"/>
                <w:szCs w:val="18"/>
              </w:rPr>
            </w:pPr>
            <w:r w:rsidRPr="00EC75B7">
              <w:rPr>
                <w:rFonts w:ascii="Verdana" w:hAnsi="Verdana"/>
                <w:b/>
                <w:color w:val="FFFFFF"/>
                <w:spacing w:val="-2"/>
                <w:sz w:val="18"/>
                <w:szCs w:val="18"/>
              </w:rPr>
              <w:t>Duration</w:t>
            </w:r>
          </w:p>
        </w:tc>
        <w:tc>
          <w:tcPr>
            <w:tcW w:w="1267" w:type="dxa"/>
            <w:shd w:val="clear" w:color="auto" w:fill="00AFEF"/>
            <w:textDirection w:val="btLr"/>
          </w:tcPr>
          <w:p w14:paraId="6891EFDB" w14:textId="77777777" w:rsidR="008715BE" w:rsidRPr="00EC75B7" w:rsidRDefault="008715BE">
            <w:pPr>
              <w:pStyle w:val="TableParagraph"/>
              <w:rPr>
                <w:rFonts w:ascii="Verdana" w:hAnsi="Verdana"/>
                <w:b/>
                <w:sz w:val="18"/>
                <w:szCs w:val="18"/>
              </w:rPr>
            </w:pPr>
          </w:p>
          <w:p w14:paraId="41AB8956" w14:textId="77777777" w:rsidR="008715BE" w:rsidRPr="00EC75B7" w:rsidRDefault="008715BE">
            <w:pPr>
              <w:pStyle w:val="TableParagraph"/>
              <w:spacing w:before="49"/>
              <w:rPr>
                <w:rFonts w:ascii="Verdana" w:hAnsi="Verdana"/>
                <w:b/>
                <w:sz w:val="18"/>
                <w:szCs w:val="18"/>
              </w:rPr>
            </w:pPr>
          </w:p>
          <w:p w14:paraId="6CC08DD8" w14:textId="77777777" w:rsidR="008715BE" w:rsidRPr="00EC75B7" w:rsidRDefault="00000000">
            <w:pPr>
              <w:pStyle w:val="TableParagraph"/>
              <w:spacing w:before="1" w:line="244" w:lineRule="auto"/>
              <w:ind w:left="42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843" w:type="dxa"/>
            <w:shd w:val="clear" w:color="auto" w:fill="00AFEF"/>
            <w:textDirection w:val="btLr"/>
          </w:tcPr>
          <w:p w14:paraId="320E7CFF" w14:textId="77777777" w:rsidR="008715BE" w:rsidRPr="00EC75B7" w:rsidRDefault="008715BE">
            <w:pPr>
              <w:pStyle w:val="TableParagraph"/>
              <w:spacing w:before="135"/>
              <w:rPr>
                <w:rFonts w:ascii="Verdana" w:hAnsi="Verdana"/>
                <w:b/>
                <w:sz w:val="18"/>
                <w:szCs w:val="18"/>
              </w:rPr>
            </w:pPr>
          </w:p>
          <w:p w14:paraId="70DE2145" w14:textId="77777777" w:rsidR="008715BE" w:rsidRPr="00EC75B7" w:rsidRDefault="00000000">
            <w:pPr>
              <w:pStyle w:val="TableParagraph"/>
              <w:ind w:left="290"/>
              <w:rPr>
                <w:rFonts w:ascii="Verdana" w:hAnsi="Verdana"/>
                <w:b/>
                <w:sz w:val="18"/>
                <w:szCs w:val="18"/>
              </w:rPr>
            </w:pPr>
            <w:r w:rsidRPr="00EC75B7">
              <w:rPr>
                <w:rFonts w:ascii="Verdana" w:hAnsi="Verdana"/>
                <w:b/>
                <w:color w:val="FFFFFF"/>
                <w:spacing w:val="-2"/>
                <w:sz w:val="18"/>
                <w:szCs w:val="18"/>
              </w:rPr>
              <w:t>Extent</w:t>
            </w:r>
          </w:p>
        </w:tc>
        <w:tc>
          <w:tcPr>
            <w:tcW w:w="960" w:type="dxa"/>
            <w:shd w:val="clear" w:color="auto" w:fill="00AFEF"/>
            <w:textDirection w:val="btLr"/>
          </w:tcPr>
          <w:p w14:paraId="14AF3DB8" w14:textId="77777777" w:rsidR="008715BE" w:rsidRPr="00EC75B7" w:rsidRDefault="008715BE">
            <w:pPr>
              <w:pStyle w:val="TableParagraph"/>
              <w:spacing w:before="192"/>
              <w:rPr>
                <w:rFonts w:ascii="Verdana" w:hAnsi="Verdana"/>
                <w:b/>
                <w:sz w:val="18"/>
                <w:szCs w:val="18"/>
              </w:rPr>
            </w:pPr>
          </w:p>
          <w:p w14:paraId="21DF73D1" w14:textId="77777777" w:rsidR="008715BE" w:rsidRPr="00EC75B7" w:rsidRDefault="00000000">
            <w:pPr>
              <w:pStyle w:val="TableParagraph"/>
              <w:ind w:left="141"/>
              <w:rPr>
                <w:rFonts w:ascii="Verdana" w:hAnsi="Verdana"/>
                <w:b/>
                <w:sz w:val="18"/>
                <w:szCs w:val="18"/>
              </w:rPr>
            </w:pPr>
            <w:r w:rsidRPr="00EC75B7">
              <w:rPr>
                <w:rFonts w:ascii="Verdana" w:hAnsi="Verdana"/>
                <w:b/>
                <w:color w:val="FFFFFF"/>
                <w:spacing w:val="-2"/>
                <w:sz w:val="18"/>
                <w:szCs w:val="18"/>
              </w:rPr>
              <w:t>Probability</w:t>
            </w:r>
          </w:p>
        </w:tc>
        <w:tc>
          <w:tcPr>
            <w:tcW w:w="996" w:type="dxa"/>
            <w:shd w:val="clear" w:color="auto" w:fill="00AFEF"/>
            <w:textDirection w:val="btLr"/>
          </w:tcPr>
          <w:p w14:paraId="146AE6B4" w14:textId="77777777" w:rsidR="008715BE" w:rsidRPr="00EC75B7" w:rsidRDefault="008715BE">
            <w:pPr>
              <w:pStyle w:val="TableParagraph"/>
              <w:rPr>
                <w:rFonts w:ascii="Verdana" w:hAnsi="Verdana"/>
                <w:b/>
                <w:sz w:val="18"/>
                <w:szCs w:val="18"/>
              </w:rPr>
            </w:pPr>
          </w:p>
          <w:p w14:paraId="64214FB2" w14:textId="77777777" w:rsidR="008715BE" w:rsidRPr="00EC75B7" w:rsidRDefault="008715BE">
            <w:pPr>
              <w:pStyle w:val="TableParagraph"/>
              <w:spacing w:before="16"/>
              <w:rPr>
                <w:rFonts w:ascii="Verdana" w:hAnsi="Verdana"/>
                <w:b/>
                <w:sz w:val="18"/>
                <w:szCs w:val="18"/>
              </w:rPr>
            </w:pPr>
          </w:p>
          <w:p w14:paraId="6CFB445E" w14:textId="77777777" w:rsidR="008715BE" w:rsidRPr="00EC75B7" w:rsidRDefault="00000000">
            <w:pPr>
              <w:pStyle w:val="TableParagraph"/>
              <w:ind w:left="66"/>
              <w:rPr>
                <w:rFonts w:ascii="Verdana" w:hAnsi="Verdana"/>
                <w:b/>
                <w:sz w:val="18"/>
                <w:szCs w:val="18"/>
              </w:rPr>
            </w:pPr>
            <w:r w:rsidRPr="00EC75B7">
              <w:rPr>
                <w:rFonts w:ascii="Verdana" w:hAnsi="Verdana"/>
                <w:b/>
                <w:color w:val="FFFFFF"/>
                <w:spacing w:val="-2"/>
                <w:sz w:val="18"/>
                <w:szCs w:val="18"/>
              </w:rPr>
              <w:t>Reversibility</w:t>
            </w:r>
          </w:p>
        </w:tc>
        <w:tc>
          <w:tcPr>
            <w:tcW w:w="1392" w:type="dxa"/>
            <w:shd w:val="clear" w:color="auto" w:fill="00AFEF"/>
            <w:textDirection w:val="btLr"/>
          </w:tcPr>
          <w:p w14:paraId="7E7AA8C8" w14:textId="77777777" w:rsidR="008715BE" w:rsidRPr="00EC75B7" w:rsidRDefault="008715BE">
            <w:pPr>
              <w:pStyle w:val="TableParagraph"/>
              <w:rPr>
                <w:rFonts w:ascii="Verdana" w:hAnsi="Verdana"/>
                <w:b/>
                <w:sz w:val="18"/>
                <w:szCs w:val="18"/>
              </w:rPr>
            </w:pPr>
          </w:p>
          <w:p w14:paraId="42A9EA61" w14:textId="77777777" w:rsidR="008715BE" w:rsidRPr="00EC75B7" w:rsidRDefault="008715BE">
            <w:pPr>
              <w:pStyle w:val="TableParagraph"/>
              <w:spacing w:before="114"/>
              <w:rPr>
                <w:rFonts w:ascii="Verdana" w:hAnsi="Verdana"/>
                <w:b/>
                <w:sz w:val="18"/>
                <w:szCs w:val="18"/>
              </w:rPr>
            </w:pPr>
          </w:p>
          <w:p w14:paraId="0B917078" w14:textId="77777777" w:rsidR="008715BE" w:rsidRPr="00EC75B7" w:rsidRDefault="00000000">
            <w:pPr>
              <w:pStyle w:val="TableParagraph"/>
              <w:ind w:left="215"/>
              <w:rPr>
                <w:rFonts w:ascii="Verdana" w:hAnsi="Verdana"/>
                <w:b/>
                <w:sz w:val="18"/>
                <w:szCs w:val="18"/>
              </w:rPr>
            </w:pPr>
            <w:r w:rsidRPr="00EC75B7">
              <w:rPr>
                <w:rFonts w:ascii="Verdana" w:hAnsi="Verdana"/>
                <w:b/>
                <w:color w:val="FFFFFF"/>
                <w:spacing w:val="-2"/>
                <w:sz w:val="18"/>
                <w:szCs w:val="18"/>
              </w:rPr>
              <w:t>Significance</w:t>
            </w:r>
          </w:p>
          <w:p w14:paraId="65946E47" w14:textId="77777777" w:rsidR="008715BE" w:rsidRPr="00EC75B7" w:rsidRDefault="00000000">
            <w:pPr>
              <w:pStyle w:val="TableParagraph"/>
              <w:spacing w:before="4"/>
              <w:ind w:left="299"/>
              <w:rPr>
                <w:rFonts w:ascii="Verdana" w:hAnsi="Verdana"/>
                <w:b/>
                <w:sz w:val="18"/>
                <w:szCs w:val="18"/>
              </w:rPr>
            </w:pPr>
            <w:r w:rsidRPr="00EC75B7">
              <w:rPr>
                <w:rFonts w:ascii="Verdana" w:hAnsi="Verdana"/>
                <w:b/>
                <w:color w:val="FFFFFF"/>
                <w:spacing w:val="-2"/>
                <w:sz w:val="18"/>
                <w:szCs w:val="18"/>
              </w:rPr>
              <w:t>of impact</w:t>
            </w:r>
          </w:p>
        </w:tc>
        <w:tc>
          <w:tcPr>
            <w:tcW w:w="7357" w:type="dxa"/>
            <w:shd w:val="clear" w:color="auto" w:fill="00AFEF"/>
          </w:tcPr>
          <w:p w14:paraId="0A578CF6" w14:textId="77777777" w:rsidR="008715BE" w:rsidRPr="00EC75B7" w:rsidRDefault="008715BE">
            <w:pPr>
              <w:pStyle w:val="TableParagraph"/>
              <w:rPr>
                <w:rFonts w:ascii="Verdana" w:hAnsi="Verdana"/>
                <w:b/>
                <w:sz w:val="18"/>
                <w:szCs w:val="18"/>
              </w:rPr>
            </w:pPr>
          </w:p>
          <w:p w14:paraId="5BC773CF" w14:textId="77777777" w:rsidR="008715BE" w:rsidRPr="00EC75B7" w:rsidRDefault="008715BE">
            <w:pPr>
              <w:pStyle w:val="TableParagraph"/>
              <w:rPr>
                <w:rFonts w:ascii="Verdana" w:hAnsi="Verdana"/>
                <w:b/>
                <w:sz w:val="18"/>
                <w:szCs w:val="18"/>
              </w:rPr>
            </w:pPr>
          </w:p>
          <w:p w14:paraId="0DB2C01E" w14:textId="77777777" w:rsidR="008715BE" w:rsidRPr="00EC75B7" w:rsidRDefault="008715BE">
            <w:pPr>
              <w:pStyle w:val="TableParagraph"/>
              <w:spacing w:before="101"/>
              <w:rPr>
                <w:rFonts w:ascii="Verdana" w:hAnsi="Verdana"/>
                <w:b/>
                <w:sz w:val="18"/>
                <w:szCs w:val="18"/>
              </w:rPr>
            </w:pPr>
          </w:p>
          <w:p w14:paraId="1D80F24D" w14:textId="77777777" w:rsidR="008715BE" w:rsidRPr="00EC75B7" w:rsidRDefault="00000000">
            <w:pPr>
              <w:pStyle w:val="TableParagraph"/>
              <w:spacing w:before="1"/>
              <w:ind w:left="1"/>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269BE195" w14:textId="77777777">
        <w:trPr>
          <w:trHeight w:val="1557"/>
        </w:trPr>
        <w:tc>
          <w:tcPr>
            <w:tcW w:w="725" w:type="dxa"/>
          </w:tcPr>
          <w:p w14:paraId="7A5D505B" w14:textId="77777777" w:rsidR="008715BE" w:rsidRPr="00EC75B7" w:rsidRDefault="008715BE">
            <w:pPr>
              <w:pStyle w:val="TableParagraph"/>
              <w:rPr>
                <w:rFonts w:ascii="Verdana" w:hAnsi="Verdana"/>
                <w:sz w:val="18"/>
                <w:szCs w:val="18"/>
              </w:rPr>
            </w:pPr>
          </w:p>
        </w:tc>
        <w:tc>
          <w:tcPr>
            <w:tcW w:w="2365" w:type="dxa"/>
          </w:tcPr>
          <w:p w14:paraId="68E0A745" w14:textId="77777777" w:rsidR="008715BE" w:rsidRPr="00EC75B7" w:rsidRDefault="00000000">
            <w:pPr>
              <w:pStyle w:val="TableParagraph"/>
              <w:spacing w:line="194" w:lineRule="exact"/>
              <w:ind w:left="105" w:right="303"/>
              <w:rPr>
                <w:rFonts w:ascii="Verdana" w:hAnsi="Verdana"/>
                <w:sz w:val="18"/>
                <w:szCs w:val="18"/>
              </w:rPr>
            </w:pPr>
            <w:r w:rsidRPr="00EC75B7">
              <w:rPr>
                <w:rFonts w:ascii="Verdana" w:hAnsi="Verdana"/>
                <w:b/>
                <w:sz w:val="18"/>
                <w:szCs w:val="18"/>
              </w:rPr>
              <w:t xml:space="preserve">Land restoration works at the end of execution </w:t>
            </w:r>
            <w:r w:rsidRPr="00EC75B7">
              <w:rPr>
                <w:rFonts w:ascii="Verdana" w:hAnsi="Verdana"/>
                <w:sz w:val="18"/>
                <w:szCs w:val="18"/>
              </w:rPr>
              <w:t xml:space="preserve">(leveling </w:t>
            </w:r>
            <w:r w:rsidRPr="00EC75B7">
              <w:rPr>
                <w:rFonts w:ascii="Verdana" w:hAnsi="Verdana"/>
                <w:spacing w:val="-2"/>
                <w:sz w:val="18"/>
                <w:szCs w:val="18"/>
              </w:rPr>
              <w:t xml:space="preserve">surfaces, </w:t>
            </w:r>
            <w:r w:rsidRPr="00EC75B7">
              <w:rPr>
                <w:rFonts w:ascii="Verdana" w:hAnsi="Verdana"/>
                <w:sz w:val="18"/>
                <w:szCs w:val="18"/>
              </w:rPr>
              <w:t xml:space="preserve">redistributing or </w:t>
            </w:r>
            <w:r w:rsidRPr="00EC75B7">
              <w:rPr>
                <w:rFonts w:ascii="Verdana" w:hAnsi="Verdana"/>
                <w:spacing w:val="-2"/>
                <w:sz w:val="18"/>
                <w:szCs w:val="18"/>
              </w:rPr>
              <w:t xml:space="preserve">bringing in fertile soil, </w:t>
            </w:r>
            <w:r w:rsidRPr="00EC75B7">
              <w:rPr>
                <w:rFonts w:ascii="Verdana" w:hAnsi="Verdana"/>
                <w:sz w:val="18"/>
                <w:szCs w:val="18"/>
              </w:rPr>
              <w:t>compacting the soil, and restoring vegetation)</w:t>
            </w:r>
          </w:p>
        </w:tc>
        <w:tc>
          <w:tcPr>
            <w:tcW w:w="1102" w:type="dxa"/>
          </w:tcPr>
          <w:p w14:paraId="0D7DF7C8" w14:textId="77777777" w:rsidR="008715BE" w:rsidRPr="00EC75B7" w:rsidRDefault="00000000">
            <w:pPr>
              <w:pStyle w:val="TableParagraph"/>
              <w:spacing w:before="10"/>
              <w:ind w:left="104" w:right="132"/>
              <w:rPr>
                <w:rFonts w:ascii="Verdana" w:hAnsi="Verdana"/>
                <w:sz w:val="18"/>
                <w:szCs w:val="18"/>
              </w:rPr>
            </w:pPr>
            <w:r w:rsidRPr="00EC75B7">
              <w:rPr>
                <w:rFonts w:ascii="Verdana" w:hAnsi="Verdana"/>
                <w:spacing w:val="-2"/>
                <w:sz w:val="18"/>
                <w:szCs w:val="18"/>
              </w:rPr>
              <w:t xml:space="preserve">Increased noise </w:t>
            </w:r>
            <w:r w:rsidRPr="00EC75B7">
              <w:rPr>
                <w:rFonts w:ascii="Verdana" w:hAnsi="Verdana"/>
                <w:sz w:val="18"/>
                <w:szCs w:val="18"/>
              </w:rPr>
              <w:t xml:space="preserve">and vibration </w:t>
            </w:r>
            <w:r w:rsidRPr="00EC75B7">
              <w:rPr>
                <w:rFonts w:ascii="Verdana" w:hAnsi="Verdana"/>
                <w:spacing w:val="-2"/>
                <w:sz w:val="18"/>
                <w:szCs w:val="18"/>
              </w:rPr>
              <w:t>levels</w:t>
            </w:r>
          </w:p>
        </w:tc>
        <w:tc>
          <w:tcPr>
            <w:tcW w:w="1133" w:type="dxa"/>
          </w:tcPr>
          <w:p w14:paraId="349774D8" w14:textId="77777777" w:rsidR="008715BE" w:rsidRPr="00EC75B7" w:rsidRDefault="00000000">
            <w:pPr>
              <w:pStyle w:val="TableParagraph"/>
              <w:spacing w:before="10" w:line="195" w:lineRule="exact"/>
              <w:ind w:left="104"/>
              <w:rPr>
                <w:rFonts w:ascii="Verdana" w:hAnsi="Verdana"/>
                <w:sz w:val="18"/>
                <w:szCs w:val="18"/>
              </w:rPr>
            </w:pPr>
            <w:r w:rsidRPr="00EC75B7">
              <w:rPr>
                <w:rFonts w:ascii="Verdana" w:hAnsi="Verdana"/>
                <w:spacing w:val="-2"/>
                <w:sz w:val="18"/>
                <w:szCs w:val="18"/>
              </w:rPr>
              <w:t>Noise</w:t>
            </w:r>
          </w:p>
          <w:p w14:paraId="316A5D5C" w14:textId="77777777" w:rsidR="008715BE" w:rsidRPr="00EC75B7" w:rsidRDefault="00000000">
            <w:pPr>
              <w:pStyle w:val="TableParagraph"/>
              <w:spacing w:line="195" w:lineRule="exact"/>
              <w:ind w:left="104"/>
              <w:rPr>
                <w:rFonts w:ascii="Verdana" w:hAnsi="Verdana"/>
                <w:sz w:val="18"/>
                <w:szCs w:val="18"/>
              </w:rPr>
            </w:pPr>
            <w:r w:rsidRPr="00EC75B7">
              <w:rPr>
                <w:rFonts w:ascii="Verdana" w:hAnsi="Verdana"/>
                <w:spacing w:val="-2"/>
                <w:sz w:val="18"/>
                <w:szCs w:val="18"/>
              </w:rPr>
              <w:t>Noise</w:t>
            </w:r>
          </w:p>
        </w:tc>
        <w:tc>
          <w:tcPr>
            <w:tcW w:w="927" w:type="dxa"/>
          </w:tcPr>
          <w:p w14:paraId="588C528F" w14:textId="77777777" w:rsidR="008715BE" w:rsidRPr="00EC75B7" w:rsidRDefault="00000000">
            <w:pPr>
              <w:pStyle w:val="TableParagraph"/>
              <w:spacing w:before="10"/>
              <w:ind w:left="106"/>
              <w:rPr>
                <w:rFonts w:ascii="Verdana" w:hAnsi="Verdana"/>
                <w:sz w:val="18"/>
                <w:szCs w:val="18"/>
              </w:rPr>
            </w:pPr>
            <w:r w:rsidRPr="00EC75B7">
              <w:rPr>
                <w:rFonts w:ascii="Verdana" w:hAnsi="Verdana"/>
                <w:spacing w:val="-2"/>
                <w:sz w:val="18"/>
                <w:szCs w:val="18"/>
              </w:rPr>
              <w:t>Negative</w:t>
            </w:r>
          </w:p>
        </w:tc>
        <w:tc>
          <w:tcPr>
            <w:tcW w:w="970" w:type="dxa"/>
          </w:tcPr>
          <w:p w14:paraId="1A482460" w14:textId="77777777" w:rsidR="008715BE" w:rsidRPr="00EC75B7" w:rsidRDefault="00000000">
            <w:pPr>
              <w:pStyle w:val="TableParagraph"/>
              <w:spacing w:before="10"/>
              <w:ind w:left="103"/>
              <w:rPr>
                <w:rFonts w:ascii="Verdana" w:hAnsi="Verdana"/>
                <w:sz w:val="18"/>
                <w:szCs w:val="18"/>
              </w:rPr>
            </w:pPr>
            <w:r w:rsidRPr="00EC75B7">
              <w:rPr>
                <w:rFonts w:ascii="Verdana" w:hAnsi="Verdana"/>
                <w:spacing w:val="-2"/>
                <w:sz w:val="18"/>
                <w:szCs w:val="18"/>
              </w:rPr>
              <w:t>Secondary</w:t>
            </w:r>
          </w:p>
        </w:tc>
        <w:tc>
          <w:tcPr>
            <w:tcW w:w="665" w:type="dxa"/>
          </w:tcPr>
          <w:p w14:paraId="5CA823FB" w14:textId="77777777" w:rsidR="008715BE" w:rsidRPr="00EC75B7" w:rsidRDefault="00000000">
            <w:pPr>
              <w:pStyle w:val="TableParagraph"/>
              <w:spacing w:before="10"/>
              <w:ind w:left="106"/>
              <w:rPr>
                <w:rFonts w:ascii="Verdana" w:hAnsi="Verdana"/>
                <w:sz w:val="18"/>
                <w:szCs w:val="18"/>
              </w:rPr>
            </w:pPr>
            <w:r w:rsidRPr="00EC75B7">
              <w:rPr>
                <w:rFonts w:ascii="Verdana" w:hAnsi="Verdana"/>
                <w:spacing w:val="-5"/>
                <w:sz w:val="18"/>
                <w:szCs w:val="18"/>
              </w:rPr>
              <w:t>Yes</w:t>
            </w:r>
          </w:p>
        </w:tc>
        <w:tc>
          <w:tcPr>
            <w:tcW w:w="845" w:type="dxa"/>
          </w:tcPr>
          <w:p w14:paraId="39793B5C"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2"/>
                <w:sz w:val="18"/>
                <w:szCs w:val="18"/>
              </w:rPr>
              <w:t>Average</w:t>
            </w:r>
          </w:p>
        </w:tc>
        <w:tc>
          <w:tcPr>
            <w:tcW w:w="1267" w:type="dxa"/>
          </w:tcPr>
          <w:p w14:paraId="7AE716D4" w14:textId="77777777" w:rsidR="008715BE" w:rsidRPr="00EC75B7" w:rsidRDefault="00000000">
            <w:pPr>
              <w:pStyle w:val="TableParagraph"/>
              <w:spacing w:before="10"/>
              <w:ind w:left="103"/>
              <w:rPr>
                <w:rFonts w:ascii="Verdana" w:hAnsi="Verdana"/>
                <w:sz w:val="18"/>
                <w:szCs w:val="18"/>
              </w:rPr>
            </w:pPr>
            <w:r w:rsidRPr="00EC75B7">
              <w:rPr>
                <w:rFonts w:ascii="Verdana" w:hAnsi="Verdana"/>
                <w:spacing w:val="-2"/>
                <w:sz w:val="18"/>
                <w:szCs w:val="18"/>
              </w:rPr>
              <w:t>Occasional</w:t>
            </w:r>
          </w:p>
        </w:tc>
        <w:tc>
          <w:tcPr>
            <w:tcW w:w="843" w:type="dxa"/>
          </w:tcPr>
          <w:p w14:paraId="0E63BE20" w14:textId="77777777" w:rsidR="008715BE" w:rsidRPr="00EC75B7" w:rsidRDefault="00000000">
            <w:pPr>
              <w:pStyle w:val="TableParagraph"/>
              <w:spacing w:before="10"/>
              <w:ind w:left="106"/>
              <w:rPr>
                <w:rFonts w:ascii="Verdana" w:hAnsi="Verdana"/>
                <w:sz w:val="18"/>
                <w:szCs w:val="18"/>
              </w:rPr>
            </w:pPr>
            <w:r w:rsidRPr="00EC75B7">
              <w:rPr>
                <w:rFonts w:ascii="Verdana" w:hAnsi="Verdana"/>
                <w:spacing w:val="-2"/>
                <w:sz w:val="18"/>
                <w:szCs w:val="18"/>
              </w:rPr>
              <w:t>Local</w:t>
            </w:r>
          </w:p>
        </w:tc>
        <w:tc>
          <w:tcPr>
            <w:tcW w:w="960" w:type="dxa"/>
          </w:tcPr>
          <w:p w14:paraId="238195E3" w14:textId="77777777" w:rsidR="008715BE" w:rsidRPr="00EC75B7" w:rsidRDefault="00000000">
            <w:pPr>
              <w:pStyle w:val="TableParagraph"/>
              <w:spacing w:before="10"/>
              <w:ind w:left="103"/>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996" w:type="dxa"/>
          </w:tcPr>
          <w:p w14:paraId="3D5FEB26"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2"/>
                <w:sz w:val="18"/>
                <w:szCs w:val="18"/>
              </w:rPr>
              <w:t>Reversible</w:t>
            </w:r>
          </w:p>
        </w:tc>
        <w:tc>
          <w:tcPr>
            <w:tcW w:w="1392" w:type="dxa"/>
          </w:tcPr>
          <w:p w14:paraId="23CCE7CC" w14:textId="77777777" w:rsidR="008715BE" w:rsidRPr="00EC75B7" w:rsidRDefault="00000000">
            <w:pPr>
              <w:pStyle w:val="TableParagraph"/>
              <w:spacing w:before="10"/>
              <w:ind w:left="105"/>
              <w:rPr>
                <w:rFonts w:ascii="Verdana" w:hAnsi="Verdana"/>
                <w:sz w:val="18"/>
                <w:szCs w:val="18"/>
              </w:rPr>
            </w:pPr>
            <w:r w:rsidRPr="00EC75B7">
              <w:rPr>
                <w:rFonts w:ascii="Verdana" w:hAnsi="Verdana"/>
                <w:spacing w:val="-2"/>
                <w:sz w:val="18"/>
                <w:szCs w:val="18"/>
              </w:rPr>
              <w:t>Insignificant</w:t>
            </w:r>
          </w:p>
        </w:tc>
        <w:tc>
          <w:tcPr>
            <w:tcW w:w="7357" w:type="dxa"/>
          </w:tcPr>
          <w:p w14:paraId="06E55288" w14:textId="77777777" w:rsidR="008715BE" w:rsidRPr="00EC75B7" w:rsidRDefault="008715BE">
            <w:pPr>
              <w:pStyle w:val="TableParagraph"/>
              <w:rPr>
                <w:rFonts w:ascii="Verdana" w:hAnsi="Verdana"/>
                <w:sz w:val="18"/>
                <w:szCs w:val="18"/>
              </w:rPr>
            </w:pPr>
          </w:p>
        </w:tc>
      </w:tr>
    </w:tbl>
    <w:p w14:paraId="4529D11E" w14:textId="77777777" w:rsidR="008715BE" w:rsidRPr="00EC75B7" w:rsidRDefault="008715BE">
      <w:pPr>
        <w:pStyle w:val="BodyText"/>
        <w:rPr>
          <w:rFonts w:ascii="Verdana" w:hAnsi="Verdana"/>
          <w:b/>
        </w:rPr>
      </w:pPr>
    </w:p>
    <w:p w14:paraId="70484A61" w14:textId="77777777" w:rsidR="008715BE" w:rsidRPr="00EC75B7" w:rsidRDefault="008715BE">
      <w:pPr>
        <w:pStyle w:val="BodyText"/>
        <w:spacing w:before="19"/>
        <w:rPr>
          <w:rFonts w:ascii="Verdana" w:hAnsi="Verdana"/>
          <w:b/>
        </w:rPr>
      </w:pPr>
    </w:p>
    <w:p w14:paraId="205A6D51" w14:textId="77777777" w:rsidR="008715BE" w:rsidRPr="00EC75B7" w:rsidRDefault="00000000">
      <w:pPr>
        <w:ind w:left="2"/>
        <w:rPr>
          <w:rFonts w:ascii="Verdana" w:hAnsi="Verdana"/>
          <w:b/>
          <w:sz w:val="18"/>
          <w:szCs w:val="18"/>
        </w:rPr>
      </w:pPr>
      <w:r w:rsidRPr="00EC75B7">
        <w:rPr>
          <w:rFonts w:ascii="Verdana" w:hAnsi="Verdana"/>
          <w:b/>
          <w:color w:val="00AFEF"/>
          <w:sz w:val="18"/>
          <w:szCs w:val="18"/>
        </w:rPr>
        <w:t xml:space="preserve">Conclusions of the impact assessment during the </w:t>
      </w:r>
      <w:r w:rsidRPr="00EC75B7">
        <w:rPr>
          <w:rFonts w:ascii="Verdana" w:hAnsi="Verdana"/>
          <w:b/>
          <w:color w:val="00AFEF"/>
          <w:spacing w:val="-2"/>
          <w:sz w:val="18"/>
          <w:szCs w:val="18"/>
        </w:rPr>
        <w:t xml:space="preserve">implementation </w:t>
      </w:r>
      <w:r w:rsidRPr="00EC75B7">
        <w:rPr>
          <w:rFonts w:ascii="Verdana" w:hAnsi="Verdana"/>
          <w:b/>
          <w:color w:val="00AFEF"/>
          <w:sz w:val="18"/>
          <w:szCs w:val="18"/>
        </w:rPr>
        <w:t>period</w:t>
      </w:r>
      <w:r w:rsidRPr="00EC75B7">
        <w:rPr>
          <w:rFonts w:ascii="Verdana" w:hAnsi="Verdana"/>
          <w:b/>
          <w:color w:val="00AFEF"/>
          <w:spacing w:val="-2"/>
          <w:sz w:val="18"/>
          <w:szCs w:val="18"/>
        </w:rPr>
        <w:t>:</w:t>
      </w:r>
    </w:p>
    <w:p w14:paraId="48207C7D" w14:textId="77777777" w:rsidR="008715BE" w:rsidRPr="00EC75B7" w:rsidRDefault="00000000">
      <w:pPr>
        <w:pStyle w:val="BodyText"/>
        <w:spacing w:before="106" w:line="360" w:lineRule="auto"/>
        <w:ind w:left="2"/>
        <w:rPr>
          <w:rFonts w:ascii="Verdana" w:hAnsi="Verdana"/>
        </w:rPr>
      </w:pPr>
      <w:r w:rsidRPr="00EC75B7">
        <w:rPr>
          <w:rFonts w:ascii="Verdana" w:hAnsi="Verdana"/>
        </w:rPr>
        <w:t>During the execution period, the discomfort caused by noise and vibration sources will be limited to the areas where the works are located. Noise will be felt especially in areas where the work front is close to inhabited areas (at distances of less than 100 m).</w:t>
      </w:r>
    </w:p>
    <w:p w14:paraId="2154ACDE" w14:textId="77777777" w:rsidR="008715BE" w:rsidRPr="00EC75B7" w:rsidRDefault="00000000">
      <w:pPr>
        <w:pStyle w:val="BodyText"/>
        <w:spacing w:line="360" w:lineRule="auto"/>
        <w:ind w:left="2" w:right="45"/>
        <w:rPr>
          <w:rFonts w:ascii="Verdana" w:hAnsi="Verdana"/>
        </w:rPr>
      </w:pPr>
      <w:r w:rsidRPr="00EC75B7">
        <w:rPr>
          <w:rFonts w:ascii="Verdana" w:hAnsi="Verdana"/>
        </w:rPr>
        <w:t>The likelihood of significant discomfort due to noise and vibrations is low and strictly limited to the area where the works are being carried out.</w:t>
      </w:r>
      <w:r w:rsidRPr="00EC75B7">
        <w:rPr>
          <w:rFonts w:ascii="Verdana" w:hAnsi="Verdana"/>
          <w:spacing w:val="17"/>
        </w:rPr>
        <w:t xml:space="preserve"> </w:t>
      </w:r>
      <w:r w:rsidRPr="00EC75B7">
        <w:rPr>
          <w:rFonts w:ascii="Verdana" w:hAnsi="Verdana"/>
        </w:rPr>
        <w:t>The contractor/builder will carry out the activities during the hours permitted by the legislation in force (respecting the residents' rest periods) and will implement the measures recommended in this memorandum so that discomfort is minimized.</w:t>
      </w:r>
    </w:p>
    <w:p w14:paraId="487871E0" w14:textId="77777777" w:rsidR="008715BE" w:rsidRPr="00EC75B7" w:rsidRDefault="00000000">
      <w:pPr>
        <w:spacing w:line="360" w:lineRule="auto"/>
        <w:ind w:left="2"/>
        <w:rPr>
          <w:rFonts w:ascii="Verdana" w:hAnsi="Verdana"/>
          <w:sz w:val="18"/>
          <w:szCs w:val="18"/>
        </w:rPr>
      </w:pPr>
      <w:r w:rsidRPr="00EC75B7">
        <w:rPr>
          <w:rFonts w:ascii="Verdana" w:hAnsi="Verdana"/>
          <w:sz w:val="18"/>
          <w:szCs w:val="18"/>
        </w:rPr>
        <w:t xml:space="preserve">The impact is </w:t>
      </w:r>
      <w:r w:rsidRPr="00EC75B7">
        <w:rPr>
          <w:rFonts w:ascii="Verdana" w:hAnsi="Verdana"/>
          <w:b/>
          <w:sz w:val="18"/>
          <w:szCs w:val="18"/>
        </w:rPr>
        <w:t>localized, does not occur continuously throughout the entire execution period, and will cease once the works are completed</w:t>
      </w:r>
      <w:r w:rsidRPr="00EC75B7">
        <w:rPr>
          <w:rFonts w:ascii="Verdana" w:hAnsi="Verdana"/>
          <w:sz w:val="18"/>
          <w:szCs w:val="18"/>
        </w:rPr>
        <w:t>. It will be felt mainly during the day, as work will be interrupted at night and legal rest hours will be observed. Under these conditions, the noise impact on the environment will be considerably reduced.</w:t>
      </w:r>
    </w:p>
    <w:p w14:paraId="4FB5852D" w14:textId="77777777" w:rsidR="008715BE" w:rsidRPr="00EC75B7" w:rsidRDefault="008715BE">
      <w:pPr>
        <w:pStyle w:val="BodyText"/>
        <w:rPr>
          <w:rFonts w:ascii="Verdana" w:hAnsi="Verdana"/>
        </w:rPr>
      </w:pPr>
    </w:p>
    <w:p w14:paraId="01C2F148" w14:textId="77777777" w:rsidR="008715BE" w:rsidRPr="00EC75B7" w:rsidRDefault="008715BE">
      <w:pPr>
        <w:pStyle w:val="BodyText"/>
        <w:spacing w:before="51"/>
        <w:rPr>
          <w:rFonts w:ascii="Verdana" w:hAnsi="Verdana"/>
        </w:rPr>
      </w:pPr>
    </w:p>
    <w:p w14:paraId="2EAF1A25" w14:textId="77777777" w:rsidR="008715BE" w:rsidRPr="00EC75B7" w:rsidRDefault="00000000">
      <w:pPr>
        <w:ind w:left="2"/>
        <w:rPr>
          <w:rFonts w:ascii="Verdana" w:hAnsi="Verdana"/>
          <w:b/>
          <w:sz w:val="18"/>
          <w:szCs w:val="18"/>
        </w:rPr>
      </w:pPr>
      <w:r w:rsidRPr="00EC75B7">
        <w:rPr>
          <w:rFonts w:ascii="Verdana" w:hAnsi="Verdana"/>
          <w:b/>
          <w:color w:val="00AFEF"/>
          <w:sz w:val="18"/>
          <w:szCs w:val="18"/>
        </w:rPr>
        <w:t>Table 48 Assessment of the project's impact on noise and vibrations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169"/>
        <w:gridCol w:w="1419"/>
        <w:gridCol w:w="1267"/>
        <w:gridCol w:w="1406"/>
        <w:gridCol w:w="991"/>
        <w:gridCol w:w="707"/>
        <w:gridCol w:w="561"/>
        <w:gridCol w:w="803"/>
        <w:gridCol w:w="1192"/>
        <w:gridCol w:w="722"/>
        <w:gridCol w:w="959"/>
        <w:gridCol w:w="1129"/>
        <w:gridCol w:w="1415"/>
        <w:gridCol w:w="7795"/>
      </w:tblGrid>
      <w:tr w:rsidR="008715BE" w:rsidRPr="00EC75B7" w14:paraId="34CBBA23" w14:textId="77777777">
        <w:trPr>
          <w:trHeight w:val="1550"/>
        </w:trPr>
        <w:tc>
          <w:tcPr>
            <w:tcW w:w="1169" w:type="dxa"/>
            <w:shd w:val="clear" w:color="auto" w:fill="00AFEF"/>
          </w:tcPr>
          <w:p w14:paraId="0E8ABFC2" w14:textId="77777777" w:rsidR="008715BE" w:rsidRPr="00EC75B7" w:rsidRDefault="008715BE">
            <w:pPr>
              <w:pStyle w:val="TableParagraph"/>
              <w:rPr>
                <w:rFonts w:ascii="Verdana" w:hAnsi="Verdana"/>
                <w:b/>
                <w:sz w:val="18"/>
                <w:szCs w:val="18"/>
              </w:rPr>
            </w:pPr>
          </w:p>
          <w:p w14:paraId="7BEB3670" w14:textId="77777777" w:rsidR="008715BE" w:rsidRPr="00EC75B7" w:rsidRDefault="008715BE">
            <w:pPr>
              <w:pStyle w:val="TableParagraph"/>
              <w:rPr>
                <w:rFonts w:ascii="Verdana" w:hAnsi="Verdana"/>
                <w:b/>
                <w:sz w:val="18"/>
                <w:szCs w:val="18"/>
              </w:rPr>
            </w:pPr>
          </w:p>
          <w:p w14:paraId="0994530A" w14:textId="77777777" w:rsidR="008715BE" w:rsidRPr="00EC75B7" w:rsidRDefault="008715BE">
            <w:pPr>
              <w:pStyle w:val="TableParagraph"/>
              <w:spacing w:before="92"/>
              <w:rPr>
                <w:rFonts w:ascii="Verdana" w:hAnsi="Verdana"/>
                <w:b/>
                <w:sz w:val="18"/>
                <w:szCs w:val="18"/>
              </w:rPr>
            </w:pPr>
          </w:p>
          <w:p w14:paraId="1A424CEC" w14:textId="77777777" w:rsidR="008715BE" w:rsidRPr="00EC75B7" w:rsidRDefault="00000000">
            <w:pPr>
              <w:pStyle w:val="TableParagraph"/>
              <w:ind w:left="10" w:right="2"/>
              <w:jc w:val="center"/>
              <w:rPr>
                <w:rFonts w:ascii="Verdana" w:hAnsi="Verdana"/>
                <w:b/>
                <w:sz w:val="18"/>
                <w:szCs w:val="18"/>
              </w:rPr>
            </w:pPr>
            <w:r w:rsidRPr="00EC75B7">
              <w:rPr>
                <w:rFonts w:ascii="Verdana" w:hAnsi="Verdana"/>
                <w:b/>
                <w:color w:val="FFFFFF"/>
                <w:spacing w:val="-4"/>
                <w:sz w:val="18"/>
                <w:szCs w:val="18"/>
              </w:rPr>
              <w:t>Stage</w:t>
            </w:r>
          </w:p>
        </w:tc>
        <w:tc>
          <w:tcPr>
            <w:tcW w:w="1419" w:type="dxa"/>
            <w:shd w:val="clear" w:color="auto" w:fill="00AFEF"/>
          </w:tcPr>
          <w:p w14:paraId="7C8DCC9A" w14:textId="77777777" w:rsidR="008715BE" w:rsidRPr="00EC75B7" w:rsidRDefault="008715BE">
            <w:pPr>
              <w:pStyle w:val="TableParagraph"/>
              <w:rPr>
                <w:rFonts w:ascii="Verdana" w:hAnsi="Verdana"/>
                <w:b/>
                <w:sz w:val="18"/>
                <w:szCs w:val="18"/>
              </w:rPr>
            </w:pPr>
          </w:p>
          <w:p w14:paraId="66EF2C19" w14:textId="77777777" w:rsidR="008715BE" w:rsidRPr="00EC75B7" w:rsidRDefault="008715BE">
            <w:pPr>
              <w:pStyle w:val="TableParagraph"/>
              <w:spacing w:before="189"/>
              <w:rPr>
                <w:rFonts w:ascii="Verdana" w:hAnsi="Verdana"/>
                <w:b/>
                <w:sz w:val="18"/>
                <w:szCs w:val="18"/>
              </w:rPr>
            </w:pPr>
          </w:p>
          <w:p w14:paraId="007BBA8A" w14:textId="77777777" w:rsidR="008715BE" w:rsidRPr="00EC75B7" w:rsidRDefault="00000000">
            <w:pPr>
              <w:pStyle w:val="TableParagraph"/>
              <w:ind w:left="312" w:right="97" w:hanging="171"/>
              <w:rPr>
                <w:rFonts w:ascii="Verdana" w:hAnsi="Verdana"/>
                <w:b/>
                <w:sz w:val="18"/>
                <w:szCs w:val="18"/>
              </w:rPr>
            </w:pPr>
            <w:r w:rsidRPr="00EC75B7">
              <w:rPr>
                <w:rFonts w:ascii="Verdana" w:hAnsi="Verdana"/>
                <w:b/>
                <w:color w:val="FFFFFF"/>
                <w:spacing w:val="-4"/>
                <w:sz w:val="18"/>
                <w:szCs w:val="18"/>
              </w:rPr>
              <w:t>Interventions/</w:t>
            </w:r>
            <w:r w:rsidRPr="00EC75B7">
              <w:rPr>
                <w:rFonts w:ascii="Verdana" w:hAnsi="Verdana"/>
                <w:b/>
                <w:color w:val="FFFFFF"/>
                <w:spacing w:val="-2"/>
                <w:sz w:val="18"/>
                <w:szCs w:val="18"/>
              </w:rPr>
              <w:t>activities</w:t>
            </w:r>
          </w:p>
        </w:tc>
        <w:tc>
          <w:tcPr>
            <w:tcW w:w="1267" w:type="dxa"/>
            <w:shd w:val="clear" w:color="auto" w:fill="00AFEF"/>
          </w:tcPr>
          <w:p w14:paraId="25AFF27D" w14:textId="77777777" w:rsidR="008715BE" w:rsidRPr="00EC75B7" w:rsidRDefault="008715BE">
            <w:pPr>
              <w:pStyle w:val="TableParagraph"/>
              <w:rPr>
                <w:rFonts w:ascii="Verdana" w:hAnsi="Verdana"/>
                <w:b/>
                <w:sz w:val="18"/>
                <w:szCs w:val="18"/>
              </w:rPr>
            </w:pPr>
          </w:p>
          <w:p w14:paraId="69F65B48" w14:textId="77777777" w:rsidR="008715BE" w:rsidRPr="00EC75B7" w:rsidRDefault="008715BE">
            <w:pPr>
              <w:pStyle w:val="TableParagraph"/>
              <w:rPr>
                <w:rFonts w:ascii="Verdana" w:hAnsi="Verdana"/>
                <w:b/>
                <w:sz w:val="18"/>
                <w:szCs w:val="18"/>
              </w:rPr>
            </w:pPr>
          </w:p>
          <w:p w14:paraId="2B18D580" w14:textId="77777777" w:rsidR="008715BE" w:rsidRPr="00EC75B7" w:rsidRDefault="008715BE">
            <w:pPr>
              <w:pStyle w:val="TableParagraph"/>
              <w:spacing w:before="92"/>
              <w:rPr>
                <w:rFonts w:ascii="Verdana" w:hAnsi="Verdana"/>
                <w:b/>
                <w:sz w:val="18"/>
                <w:szCs w:val="18"/>
              </w:rPr>
            </w:pPr>
          </w:p>
          <w:p w14:paraId="72C366B7" w14:textId="77777777" w:rsidR="008715BE" w:rsidRPr="00EC75B7" w:rsidRDefault="00000000">
            <w:pPr>
              <w:pStyle w:val="TableParagraph"/>
              <w:ind w:left="354"/>
              <w:rPr>
                <w:rFonts w:ascii="Verdana" w:hAnsi="Verdana"/>
                <w:b/>
                <w:sz w:val="18"/>
                <w:szCs w:val="18"/>
              </w:rPr>
            </w:pPr>
            <w:r w:rsidRPr="00EC75B7">
              <w:rPr>
                <w:rFonts w:ascii="Verdana" w:hAnsi="Verdana"/>
                <w:b/>
                <w:color w:val="FFFFFF"/>
                <w:spacing w:val="-2"/>
                <w:sz w:val="18"/>
                <w:szCs w:val="18"/>
              </w:rPr>
              <w:t>Effects</w:t>
            </w:r>
          </w:p>
        </w:tc>
        <w:tc>
          <w:tcPr>
            <w:tcW w:w="1406" w:type="dxa"/>
            <w:shd w:val="clear" w:color="auto" w:fill="00AFEF"/>
          </w:tcPr>
          <w:p w14:paraId="4D4864CE" w14:textId="77777777" w:rsidR="008715BE" w:rsidRPr="00EC75B7" w:rsidRDefault="008715BE">
            <w:pPr>
              <w:pStyle w:val="TableParagraph"/>
              <w:rPr>
                <w:rFonts w:ascii="Verdana" w:hAnsi="Verdana"/>
                <w:b/>
                <w:sz w:val="18"/>
                <w:szCs w:val="18"/>
              </w:rPr>
            </w:pPr>
          </w:p>
          <w:p w14:paraId="6D500315" w14:textId="77777777" w:rsidR="008715BE" w:rsidRPr="00EC75B7" w:rsidRDefault="008715BE">
            <w:pPr>
              <w:pStyle w:val="TableParagraph"/>
              <w:spacing w:before="93"/>
              <w:rPr>
                <w:rFonts w:ascii="Verdana" w:hAnsi="Verdana"/>
                <w:b/>
                <w:sz w:val="18"/>
                <w:szCs w:val="18"/>
              </w:rPr>
            </w:pPr>
          </w:p>
          <w:p w14:paraId="31932B13" w14:textId="77777777" w:rsidR="008715BE" w:rsidRPr="00EC75B7" w:rsidRDefault="00000000">
            <w:pPr>
              <w:pStyle w:val="TableParagraph"/>
              <w:ind w:left="5"/>
              <w:jc w:val="center"/>
              <w:rPr>
                <w:rFonts w:ascii="Verdana" w:hAnsi="Verdana"/>
                <w:b/>
                <w:sz w:val="18"/>
                <w:szCs w:val="18"/>
              </w:rPr>
            </w:pPr>
            <w:r w:rsidRPr="00EC75B7">
              <w:rPr>
                <w:rFonts w:ascii="Verdana" w:hAnsi="Verdana"/>
                <w:b/>
                <w:color w:val="FFFFFF"/>
                <w:spacing w:val="-2"/>
                <w:sz w:val="18"/>
                <w:szCs w:val="18"/>
              </w:rPr>
              <w:t>Potential forms of impact</w:t>
            </w:r>
          </w:p>
        </w:tc>
        <w:tc>
          <w:tcPr>
            <w:tcW w:w="991" w:type="dxa"/>
            <w:shd w:val="clear" w:color="auto" w:fill="00AFEF"/>
            <w:textDirection w:val="btLr"/>
          </w:tcPr>
          <w:p w14:paraId="75E847D9" w14:textId="77777777" w:rsidR="008715BE" w:rsidRPr="00EC75B7" w:rsidRDefault="008715BE">
            <w:pPr>
              <w:pStyle w:val="TableParagraph"/>
              <w:rPr>
                <w:rFonts w:ascii="Verdana" w:hAnsi="Verdana"/>
                <w:b/>
                <w:sz w:val="18"/>
                <w:szCs w:val="18"/>
              </w:rPr>
            </w:pPr>
          </w:p>
          <w:p w14:paraId="6B1948C4" w14:textId="77777777" w:rsidR="008715BE" w:rsidRPr="00EC75B7" w:rsidRDefault="008715BE">
            <w:pPr>
              <w:pStyle w:val="TableParagraph"/>
              <w:spacing w:before="14"/>
              <w:rPr>
                <w:rFonts w:ascii="Verdana" w:hAnsi="Verdana"/>
                <w:b/>
                <w:sz w:val="18"/>
                <w:szCs w:val="18"/>
              </w:rPr>
            </w:pPr>
          </w:p>
          <w:p w14:paraId="440967A3" w14:textId="77777777" w:rsidR="008715BE" w:rsidRPr="00EC75B7" w:rsidRDefault="00000000">
            <w:pPr>
              <w:pStyle w:val="TableParagraph"/>
              <w:ind w:left="30"/>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707" w:type="dxa"/>
            <w:shd w:val="clear" w:color="auto" w:fill="00AFEF"/>
            <w:textDirection w:val="btLr"/>
          </w:tcPr>
          <w:p w14:paraId="37D9A95D" w14:textId="77777777" w:rsidR="008715BE" w:rsidRPr="00EC75B7" w:rsidRDefault="00000000">
            <w:pPr>
              <w:pStyle w:val="TableParagraph"/>
              <w:spacing w:before="165" w:line="244" w:lineRule="auto"/>
              <w:ind w:left="309" w:right="286" w:firstLine="165"/>
              <w:rPr>
                <w:rFonts w:ascii="Verdana" w:hAnsi="Verdana"/>
                <w:b/>
                <w:sz w:val="18"/>
                <w:szCs w:val="18"/>
              </w:rPr>
            </w:pPr>
            <w:r w:rsidRPr="00EC75B7">
              <w:rPr>
                <w:rFonts w:ascii="Verdana" w:hAnsi="Verdana"/>
                <w:b/>
                <w:color w:val="FFFFFF"/>
                <w:spacing w:val="-2"/>
                <w:sz w:val="18"/>
                <w:szCs w:val="18"/>
              </w:rPr>
              <w:t>Nature of impact</w:t>
            </w:r>
          </w:p>
        </w:tc>
        <w:tc>
          <w:tcPr>
            <w:tcW w:w="561" w:type="dxa"/>
            <w:shd w:val="clear" w:color="auto" w:fill="00AFEF"/>
            <w:textDirection w:val="btLr"/>
          </w:tcPr>
          <w:p w14:paraId="344323C3" w14:textId="77777777" w:rsidR="008715BE" w:rsidRPr="00EC75B7" w:rsidRDefault="00000000">
            <w:pPr>
              <w:pStyle w:val="TableParagraph"/>
              <w:spacing w:before="120"/>
              <w:ind w:left="378"/>
              <w:rPr>
                <w:rFonts w:ascii="Verdana" w:hAnsi="Verdana"/>
                <w:b/>
                <w:sz w:val="18"/>
                <w:szCs w:val="18"/>
              </w:rPr>
            </w:pPr>
            <w:r w:rsidRPr="00EC75B7">
              <w:rPr>
                <w:rFonts w:ascii="Verdana" w:hAnsi="Verdana"/>
                <w:b/>
                <w:color w:val="FFFFFF"/>
                <w:spacing w:val="-2"/>
                <w:sz w:val="18"/>
                <w:szCs w:val="18"/>
              </w:rPr>
              <w:t>Potential</w:t>
            </w:r>
          </w:p>
          <w:p w14:paraId="0EBFB48D" w14:textId="77777777" w:rsidR="008715BE" w:rsidRPr="00EC75B7" w:rsidRDefault="00000000">
            <w:pPr>
              <w:pStyle w:val="TableParagraph"/>
              <w:spacing w:before="4"/>
              <w:ind w:left="340"/>
              <w:rPr>
                <w:rFonts w:ascii="Verdana" w:hAnsi="Verdana"/>
                <w:b/>
                <w:sz w:val="18"/>
                <w:szCs w:val="18"/>
              </w:rPr>
            </w:pPr>
            <w:r w:rsidRPr="00EC75B7">
              <w:rPr>
                <w:rFonts w:ascii="Verdana" w:hAnsi="Verdana"/>
                <w:b/>
                <w:color w:val="FFFFFF"/>
                <w:spacing w:val="-2"/>
                <w:sz w:val="18"/>
                <w:szCs w:val="18"/>
              </w:rPr>
              <w:t>Cumulative</w:t>
            </w:r>
          </w:p>
        </w:tc>
        <w:tc>
          <w:tcPr>
            <w:tcW w:w="803" w:type="dxa"/>
            <w:shd w:val="clear" w:color="auto" w:fill="00AFEF"/>
            <w:textDirection w:val="btLr"/>
          </w:tcPr>
          <w:p w14:paraId="6B7E4E5A" w14:textId="77777777" w:rsidR="008715BE" w:rsidRPr="00EC75B7" w:rsidRDefault="008715BE">
            <w:pPr>
              <w:pStyle w:val="TableParagraph"/>
              <w:spacing w:before="120"/>
              <w:rPr>
                <w:rFonts w:ascii="Verdana" w:hAnsi="Verdana"/>
                <w:b/>
                <w:sz w:val="18"/>
                <w:szCs w:val="18"/>
              </w:rPr>
            </w:pPr>
          </w:p>
          <w:p w14:paraId="6790B752" w14:textId="77777777" w:rsidR="008715BE" w:rsidRPr="00EC75B7" w:rsidRDefault="00000000">
            <w:pPr>
              <w:pStyle w:val="TableParagraph"/>
              <w:ind w:left="477"/>
              <w:rPr>
                <w:rFonts w:ascii="Verdana" w:hAnsi="Verdana"/>
                <w:b/>
                <w:sz w:val="18"/>
                <w:szCs w:val="18"/>
              </w:rPr>
            </w:pPr>
            <w:r w:rsidRPr="00EC75B7">
              <w:rPr>
                <w:rFonts w:ascii="Verdana" w:hAnsi="Verdana"/>
                <w:b/>
                <w:color w:val="FFFFFF"/>
                <w:spacing w:val="-2"/>
                <w:sz w:val="18"/>
                <w:szCs w:val="18"/>
              </w:rPr>
              <w:t>Duration</w:t>
            </w:r>
          </w:p>
        </w:tc>
        <w:tc>
          <w:tcPr>
            <w:tcW w:w="1192" w:type="dxa"/>
            <w:shd w:val="clear" w:color="auto" w:fill="00AFEF"/>
            <w:textDirection w:val="btLr"/>
          </w:tcPr>
          <w:p w14:paraId="35D5C2E5" w14:textId="77777777" w:rsidR="008715BE" w:rsidRPr="00EC75B7" w:rsidRDefault="008715BE">
            <w:pPr>
              <w:pStyle w:val="TableParagraph"/>
              <w:rPr>
                <w:rFonts w:ascii="Verdana" w:hAnsi="Verdana"/>
                <w:b/>
                <w:sz w:val="18"/>
                <w:szCs w:val="18"/>
              </w:rPr>
            </w:pPr>
          </w:p>
          <w:p w14:paraId="64A29991" w14:textId="77777777" w:rsidR="008715BE" w:rsidRPr="00EC75B7" w:rsidRDefault="008715BE">
            <w:pPr>
              <w:pStyle w:val="TableParagraph"/>
              <w:spacing w:before="19"/>
              <w:rPr>
                <w:rFonts w:ascii="Verdana" w:hAnsi="Verdana"/>
                <w:b/>
                <w:sz w:val="18"/>
                <w:szCs w:val="18"/>
              </w:rPr>
            </w:pPr>
          </w:p>
          <w:p w14:paraId="4CEA295D" w14:textId="77777777" w:rsidR="008715BE" w:rsidRPr="00EC75B7" w:rsidRDefault="00000000">
            <w:pPr>
              <w:pStyle w:val="TableParagraph"/>
              <w:spacing w:line="244" w:lineRule="auto"/>
              <w:ind w:left="436" w:hanging="233"/>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22" w:type="dxa"/>
            <w:shd w:val="clear" w:color="auto" w:fill="00AFEF"/>
            <w:textDirection w:val="btLr"/>
          </w:tcPr>
          <w:p w14:paraId="4E41BEE2" w14:textId="77777777" w:rsidR="008715BE" w:rsidRPr="00EC75B7" w:rsidRDefault="008715BE">
            <w:pPr>
              <w:pStyle w:val="TableParagraph"/>
              <w:spacing w:before="78"/>
              <w:rPr>
                <w:rFonts w:ascii="Verdana" w:hAnsi="Verdana"/>
                <w:b/>
                <w:sz w:val="18"/>
                <w:szCs w:val="18"/>
              </w:rPr>
            </w:pPr>
          </w:p>
          <w:p w14:paraId="4B44C5BC" w14:textId="77777777" w:rsidR="008715BE" w:rsidRPr="00EC75B7" w:rsidRDefault="00000000">
            <w:pPr>
              <w:pStyle w:val="TableParagraph"/>
              <w:spacing w:before="1"/>
              <w:ind w:left="299"/>
              <w:rPr>
                <w:rFonts w:ascii="Verdana" w:hAnsi="Verdana"/>
                <w:b/>
                <w:sz w:val="18"/>
                <w:szCs w:val="18"/>
              </w:rPr>
            </w:pPr>
            <w:r w:rsidRPr="00EC75B7">
              <w:rPr>
                <w:rFonts w:ascii="Verdana" w:hAnsi="Verdana"/>
                <w:b/>
                <w:color w:val="FFFFFF"/>
                <w:spacing w:val="-2"/>
                <w:sz w:val="18"/>
                <w:szCs w:val="18"/>
              </w:rPr>
              <w:t>Extent</w:t>
            </w:r>
          </w:p>
        </w:tc>
        <w:tc>
          <w:tcPr>
            <w:tcW w:w="959" w:type="dxa"/>
            <w:shd w:val="clear" w:color="auto" w:fill="00AFEF"/>
            <w:textDirection w:val="btLr"/>
          </w:tcPr>
          <w:p w14:paraId="28628AC6" w14:textId="77777777" w:rsidR="008715BE" w:rsidRPr="00EC75B7" w:rsidRDefault="008715BE">
            <w:pPr>
              <w:pStyle w:val="TableParagraph"/>
              <w:rPr>
                <w:rFonts w:ascii="Verdana" w:hAnsi="Verdana"/>
                <w:b/>
                <w:sz w:val="18"/>
                <w:szCs w:val="18"/>
              </w:rPr>
            </w:pPr>
          </w:p>
          <w:p w14:paraId="6772A0B9" w14:textId="77777777" w:rsidR="008715BE" w:rsidRPr="00EC75B7" w:rsidRDefault="008715BE">
            <w:pPr>
              <w:pStyle w:val="TableParagraph"/>
              <w:spacing w:before="4"/>
              <w:rPr>
                <w:rFonts w:ascii="Verdana" w:hAnsi="Verdana"/>
                <w:b/>
                <w:sz w:val="18"/>
                <w:szCs w:val="18"/>
              </w:rPr>
            </w:pPr>
          </w:p>
          <w:p w14:paraId="338CCE65" w14:textId="77777777" w:rsidR="008715BE" w:rsidRPr="00EC75B7" w:rsidRDefault="00000000">
            <w:pPr>
              <w:pStyle w:val="TableParagraph"/>
              <w:ind w:left="150"/>
              <w:rPr>
                <w:rFonts w:ascii="Verdana" w:hAnsi="Verdana"/>
                <w:b/>
                <w:sz w:val="18"/>
                <w:szCs w:val="18"/>
              </w:rPr>
            </w:pPr>
            <w:r w:rsidRPr="00EC75B7">
              <w:rPr>
                <w:rFonts w:ascii="Verdana" w:hAnsi="Verdana"/>
                <w:b/>
                <w:color w:val="FFFFFF"/>
                <w:spacing w:val="-2"/>
                <w:sz w:val="18"/>
                <w:szCs w:val="18"/>
              </w:rPr>
              <w:t>Probability</w:t>
            </w:r>
          </w:p>
        </w:tc>
        <w:tc>
          <w:tcPr>
            <w:tcW w:w="1129" w:type="dxa"/>
            <w:shd w:val="clear" w:color="auto" w:fill="00AFEF"/>
            <w:textDirection w:val="btLr"/>
          </w:tcPr>
          <w:p w14:paraId="3BD6D5D4" w14:textId="77777777" w:rsidR="008715BE" w:rsidRPr="00EC75B7" w:rsidRDefault="008715BE">
            <w:pPr>
              <w:pStyle w:val="TableParagraph"/>
              <w:rPr>
                <w:rFonts w:ascii="Verdana" w:hAnsi="Verdana"/>
                <w:b/>
                <w:sz w:val="18"/>
                <w:szCs w:val="18"/>
              </w:rPr>
            </w:pPr>
          </w:p>
          <w:p w14:paraId="3BD5F763" w14:textId="77777777" w:rsidR="008715BE" w:rsidRPr="00EC75B7" w:rsidRDefault="008715BE">
            <w:pPr>
              <w:pStyle w:val="TableParagraph"/>
              <w:spacing w:before="91"/>
              <w:rPr>
                <w:rFonts w:ascii="Verdana" w:hAnsi="Verdana"/>
                <w:b/>
                <w:sz w:val="18"/>
                <w:szCs w:val="18"/>
              </w:rPr>
            </w:pPr>
          </w:p>
          <w:p w14:paraId="1A8074D9" w14:textId="77777777" w:rsidR="008715BE" w:rsidRPr="00EC75B7" w:rsidRDefault="00000000">
            <w:pPr>
              <w:pStyle w:val="TableParagraph"/>
              <w:spacing w:before="1"/>
              <w:ind w:left="76"/>
              <w:rPr>
                <w:rFonts w:ascii="Verdana" w:hAnsi="Verdana"/>
                <w:b/>
                <w:sz w:val="18"/>
                <w:szCs w:val="18"/>
              </w:rPr>
            </w:pPr>
            <w:r w:rsidRPr="00EC75B7">
              <w:rPr>
                <w:rFonts w:ascii="Verdana" w:hAnsi="Verdana"/>
                <w:b/>
                <w:color w:val="FFFFFF"/>
                <w:spacing w:val="-2"/>
                <w:sz w:val="18"/>
                <w:szCs w:val="18"/>
              </w:rPr>
              <w:t>Reversibility</w:t>
            </w:r>
          </w:p>
        </w:tc>
        <w:tc>
          <w:tcPr>
            <w:tcW w:w="1415" w:type="dxa"/>
            <w:shd w:val="clear" w:color="auto" w:fill="00AFEF"/>
            <w:textDirection w:val="btLr"/>
          </w:tcPr>
          <w:p w14:paraId="4D0F612D" w14:textId="77777777" w:rsidR="008715BE" w:rsidRPr="00EC75B7" w:rsidRDefault="008715BE">
            <w:pPr>
              <w:pStyle w:val="TableParagraph"/>
              <w:rPr>
                <w:rFonts w:ascii="Verdana" w:hAnsi="Verdana"/>
                <w:b/>
                <w:sz w:val="18"/>
                <w:szCs w:val="18"/>
              </w:rPr>
            </w:pPr>
          </w:p>
          <w:p w14:paraId="620FEBF7" w14:textId="77777777" w:rsidR="008715BE" w:rsidRPr="00EC75B7" w:rsidRDefault="008715BE">
            <w:pPr>
              <w:pStyle w:val="TableParagraph"/>
              <w:spacing w:before="136"/>
              <w:rPr>
                <w:rFonts w:ascii="Verdana" w:hAnsi="Verdana"/>
                <w:b/>
                <w:sz w:val="18"/>
                <w:szCs w:val="18"/>
              </w:rPr>
            </w:pPr>
          </w:p>
          <w:p w14:paraId="17DC3CCC" w14:textId="77777777" w:rsidR="008715BE" w:rsidRPr="00EC75B7" w:rsidRDefault="00000000">
            <w:pPr>
              <w:pStyle w:val="TableParagraph"/>
              <w:ind w:left="225"/>
              <w:rPr>
                <w:rFonts w:ascii="Verdana" w:hAnsi="Verdana"/>
                <w:b/>
                <w:sz w:val="18"/>
                <w:szCs w:val="18"/>
              </w:rPr>
            </w:pPr>
            <w:r w:rsidRPr="00EC75B7">
              <w:rPr>
                <w:rFonts w:ascii="Verdana" w:hAnsi="Verdana"/>
                <w:b/>
                <w:color w:val="FFFFFF"/>
                <w:spacing w:val="-2"/>
                <w:sz w:val="18"/>
                <w:szCs w:val="18"/>
              </w:rPr>
              <w:t>Significance</w:t>
            </w:r>
          </w:p>
          <w:p w14:paraId="77151E52" w14:textId="77777777" w:rsidR="008715BE" w:rsidRPr="00EC75B7" w:rsidRDefault="00000000">
            <w:pPr>
              <w:pStyle w:val="TableParagraph"/>
              <w:spacing w:before="4"/>
              <w:ind w:left="309"/>
              <w:rPr>
                <w:rFonts w:ascii="Verdana" w:hAnsi="Verdana"/>
                <w:b/>
                <w:sz w:val="18"/>
                <w:szCs w:val="18"/>
              </w:rPr>
            </w:pPr>
            <w:r w:rsidRPr="00EC75B7">
              <w:rPr>
                <w:rFonts w:ascii="Verdana" w:hAnsi="Verdana"/>
                <w:b/>
                <w:color w:val="FFFFFF"/>
                <w:spacing w:val="-2"/>
                <w:sz w:val="18"/>
                <w:szCs w:val="18"/>
              </w:rPr>
              <w:t>impact</w:t>
            </w:r>
          </w:p>
        </w:tc>
        <w:tc>
          <w:tcPr>
            <w:tcW w:w="7795" w:type="dxa"/>
            <w:shd w:val="clear" w:color="auto" w:fill="00AFEF"/>
          </w:tcPr>
          <w:p w14:paraId="0039232F" w14:textId="77777777" w:rsidR="008715BE" w:rsidRPr="00EC75B7" w:rsidRDefault="008715BE">
            <w:pPr>
              <w:pStyle w:val="TableParagraph"/>
              <w:rPr>
                <w:rFonts w:ascii="Verdana" w:hAnsi="Verdana"/>
                <w:b/>
                <w:sz w:val="18"/>
                <w:szCs w:val="18"/>
              </w:rPr>
            </w:pPr>
          </w:p>
          <w:p w14:paraId="2B076B10" w14:textId="77777777" w:rsidR="008715BE" w:rsidRPr="00EC75B7" w:rsidRDefault="008715BE">
            <w:pPr>
              <w:pStyle w:val="TableParagraph"/>
              <w:rPr>
                <w:rFonts w:ascii="Verdana" w:hAnsi="Verdana"/>
                <w:b/>
                <w:sz w:val="18"/>
                <w:szCs w:val="18"/>
              </w:rPr>
            </w:pPr>
          </w:p>
          <w:p w14:paraId="56A30600" w14:textId="77777777" w:rsidR="008715BE" w:rsidRPr="00EC75B7" w:rsidRDefault="008715BE">
            <w:pPr>
              <w:pStyle w:val="TableParagraph"/>
              <w:spacing w:before="92"/>
              <w:rPr>
                <w:rFonts w:ascii="Verdana" w:hAnsi="Verdana"/>
                <w:b/>
                <w:sz w:val="18"/>
                <w:szCs w:val="18"/>
              </w:rPr>
            </w:pPr>
          </w:p>
          <w:p w14:paraId="472A1746" w14:textId="77777777" w:rsidR="008715BE" w:rsidRPr="00EC75B7" w:rsidRDefault="00000000">
            <w:pPr>
              <w:pStyle w:val="TableParagraph"/>
              <w:ind w:left="26"/>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7E4216A1" w14:textId="77777777">
        <w:trPr>
          <w:trHeight w:val="3695"/>
        </w:trPr>
        <w:tc>
          <w:tcPr>
            <w:tcW w:w="1169" w:type="dxa"/>
          </w:tcPr>
          <w:p w14:paraId="06B0A52A" w14:textId="77777777" w:rsidR="008715BE" w:rsidRPr="00EC75B7" w:rsidRDefault="00000000">
            <w:pPr>
              <w:pStyle w:val="TableParagraph"/>
              <w:spacing w:line="195" w:lineRule="exact"/>
              <w:ind w:left="10"/>
              <w:jc w:val="center"/>
              <w:rPr>
                <w:rFonts w:ascii="Verdana" w:hAnsi="Verdana"/>
                <w:b/>
                <w:sz w:val="18"/>
                <w:szCs w:val="18"/>
              </w:rPr>
            </w:pPr>
            <w:r w:rsidRPr="00EC75B7">
              <w:rPr>
                <w:rFonts w:ascii="Verdana" w:hAnsi="Verdana"/>
                <w:b/>
                <w:spacing w:val="-2"/>
                <w:sz w:val="18"/>
                <w:szCs w:val="18"/>
              </w:rPr>
              <w:t>Operation</w:t>
            </w:r>
          </w:p>
        </w:tc>
        <w:tc>
          <w:tcPr>
            <w:tcW w:w="1419" w:type="dxa"/>
          </w:tcPr>
          <w:p w14:paraId="41BCE492" w14:textId="77777777" w:rsidR="008715BE" w:rsidRPr="00EC75B7" w:rsidRDefault="00000000">
            <w:pPr>
              <w:pStyle w:val="TableParagraph"/>
              <w:ind w:left="108" w:right="145"/>
              <w:rPr>
                <w:rFonts w:ascii="Verdana" w:hAnsi="Verdana"/>
                <w:sz w:val="18"/>
                <w:szCs w:val="18"/>
              </w:rPr>
            </w:pPr>
            <w:r w:rsidRPr="00EC75B7">
              <w:rPr>
                <w:rFonts w:ascii="Verdana" w:hAnsi="Verdana"/>
                <w:spacing w:val="-2"/>
                <w:sz w:val="18"/>
                <w:szCs w:val="18"/>
              </w:rPr>
              <w:t xml:space="preserve">Maintenance and repair </w:t>
            </w:r>
            <w:r w:rsidRPr="00EC75B7">
              <w:rPr>
                <w:rFonts w:ascii="Verdana" w:hAnsi="Verdana"/>
                <w:sz w:val="18"/>
                <w:szCs w:val="18"/>
              </w:rPr>
              <w:t xml:space="preserve">work </w:t>
            </w:r>
            <w:r w:rsidRPr="00EC75B7">
              <w:rPr>
                <w:rFonts w:ascii="Verdana" w:hAnsi="Verdana"/>
                <w:spacing w:val="-2"/>
                <w:sz w:val="18"/>
                <w:szCs w:val="18"/>
              </w:rPr>
              <w:t>(occasional traffic of machinery)</w:t>
            </w:r>
          </w:p>
        </w:tc>
        <w:tc>
          <w:tcPr>
            <w:tcW w:w="1267" w:type="dxa"/>
          </w:tcPr>
          <w:p w14:paraId="0699843E" w14:textId="77777777" w:rsidR="008715BE" w:rsidRPr="00EC75B7" w:rsidRDefault="00000000">
            <w:pPr>
              <w:pStyle w:val="TableParagraph"/>
              <w:ind w:left="107" w:right="281"/>
              <w:rPr>
                <w:rFonts w:ascii="Verdana" w:hAnsi="Verdana"/>
                <w:sz w:val="18"/>
                <w:szCs w:val="18"/>
              </w:rPr>
            </w:pPr>
            <w:r w:rsidRPr="00EC75B7">
              <w:rPr>
                <w:rFonts w:ascii="Verdana" w:hAnsi="Verdana"/>
                <w:sz w:val="18"/>
                <w:szCs w:val="18"/>
              </w:rPr>
              <w:t xml:space="preserve">Emissions into </w:t>
            </w:r>
            <w:r w:rsidRPr="00EC75B7">
              <w:rPr>
                <w:rFonts w:ascii="Verdana" w:hAnsi="Verdana"/>
                <w:spacing w:val="-2"/>
                <w:sz w:val="18"/>
                <w:szCs w:val="18"/>
              </w:rPr>
              <w:t>the atmosphere</w:t>
            </w:r>
          </w:p>
        </w:tc>
        <w:tc>
          <w:tcPr>
            <w:tcW w:w="1406" w:type="dxa"/>
          </w:tcPr>
          <w:p w14:paraId="4A72F1C6"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Impact </w:t>
            </w:r>
            <w:r w:rsidRPr="00EC75B7">
              <w:rPr>
                <w:rFonts w:ascii="Verdana" w:hAnsi="Verdana"/>
                <w:spacing w:val="-2"/>
                <w:sz w:val="18"/>
                <w:szCs w:val="18"/>
              </w:rPr>
              <w:t>on</w:t>
            </w:r>
          </w:p>
          <w:p w14:paraId="36B21C10"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tc>
        <w:tc>
          <w:tcPr>
            <w:tcW w:w="991" w:type="dxa"/>
          </w:tcPr>
          <w:p w14:paraId="69EB513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Negative</w:t>
            </w:r>
          </w:p>
        </w:tc>
        <w:tc>
          <w:tcPr>
            <w:tcW w:w="707" w:type="dxa"/>
          </w:tcPr>
          <w:p w14:paraId="039704FF"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Direct</w:t>
            </w:r>
          </w:p>
        </w:tc>
        <w:tc>
          <w:tcPr>
            <w:tcW w:w="561" w:type="dxa"/>
          </w:tcPr>
          <w:p w14:paraId="53A75A97"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pacing w:val="-5"/>
                <w:sz w:val="18"/>
                <w:szCs w:val="18"/>
              </w:rPr>
              <w:t>Yes</w:t>
            </w:r>
          </w:p>
        </w:tc>
        <w:tc>
          <w:tcPr>
            <w:tcW w:w="803" w:type="dxa"/>
          </w:tcPr>
          <w:p w14:paraId="564B3649"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Short</w:t>
            </w:r>
          </w:p>
        </w:tc>
        <w:tc>
          <w:tcPr>
            <w:tcW w:w="1192" w:type="dxa"/>
          </w:tcPr>
          <w:p w14:paraId="1E6E69C9"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Occasional</w:t>
            </w:r>
          </w:p>
        </w:tc>
        <w:tc>
          <w:tcPr>
            <w:tcW w:w="722" w:type="dxa"/>
          </w:tcPr>
          <w:p w14:paraId="0CDD00A4"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pacing w:val="-2"/>
                <w:sz w:val="18"/>
                <w:szCs w:val="18"/>
              </w:rPr>
              <w:t>Local</w:t>
            </w:r>
          </w:p>
        </w:tc>
        <w:tc>
          <w:tcPr>
            <w:tcW w:w="959" w:type="dxa"/>
          </w:tcPr>
          <w:p w14:paraId="156E4509" w14:textId="77777777" w:rsidR="008715BE" w:rsidRPr="00EC75B7" w:rsidRDefault="00000000">
            <w:pPr>
              <w:pStyle w:val="TableParagraph"/>
              <w:ind w:left="110" w:right="89"/>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129" w:type="dxa"/>
          </w:tcPr>
          <w:p w14:paraId="425B1940" w14:textId="77777777" w:rsidR="008715BE" w:rsidRPr="00EC75B7" w:rsidRDefault="00000000">
            <w:pPr>
              <w:pStyle w:val="TableParagraph"/>
              <w:spacing w:line="195" w:lineRule="exact"/>
              <w:ind w:left="113"/>
              <w:rPr>
                <w:rFonts w:ascii="Verdana" w:hAnsi="Verdana"/>
                <w:sz w:val="18"/>
                <w:szCs w:val="18"/>
              </w:rPr>
            </w:pPr>
            <w:r w:rsidRPr="00EC75B7">
              <w:rPr>
                <w:rFonts w:ascii="Verdana" w:hAnsi="Verdana"/>
                <w:spacing w:val="-2"/>
                <w:sz w:val="18"/>
                <w:szCs w:val="18"/>
              </w:rPr>
              <w:t>Reversible</w:t>
            </w:r>
          </w:p>
        </w:tc>
        <w:tc>
          <w:tcPr>
            <w:tcW w:w="1415" w:type="dxa"/>
          </w:tcPr>
          <w:p w14:paraId="3BE481D2" w14:textId="77777777" w:rsidR="008715BE" w:rsidRPr="00EC75B7" w:rsidRDefault="00000000">
            <w:pPr>
              <w:pStyle w:val="TableParagraph"/>
              <w:spacing w:line="195" w:lineRule="exact"/>
              <w:ind w:left="115"/>
              <w:rPr>
                <w:rFonts w:ascii="Verdana" w:hAnsi="Verdana"/>
                <w:sz w:val="18"/>
                <w:szCs w:val="18"/>
              </w:rPr>
            </w:pPr>
            <w:r w:rsidRPr="00EC75B7">
              <w:rPr>
                <w:rFonts w:ascii="Verdana" w:hAnsi="Verdana"/>
                <w:spacing w:val="-2"/>
                <w:sz w:val="18"/>
                <w:szCs w:val="18"/>
              </w:rPr>
              <w:t>Insignificant</w:t>
            </w:r>
          </w:p>
        </w:tc>
        <w:tc>
          <w:tcPr>
            <w:tcW w:w="7795" w:type="dxa"/>
          </w:tcPr>
          <w:p w14:paraId="48551966" w14:textId="77777777" w:rsidR="008715BE" w:rsidRPr="00EC75B7" w:rsidRDefault="00000000">
            <w:pPr>
              <w:pStyle w:val="TableParagraph"/>
              <w:ind w:left="116" w:right="126"/>
              <w:rPr>
                <w:rFonts w:ascii="Verdana" w:hAnsi="Verdana"/>
                <w:sz w:val="18"/>
                <w:szCs w:val="18"/>
              </w:rPr>
            </w:pPr>
            <w:r w:rsidRPr="00EC75B7">
              <w:rPr>
                <w:rFonts w:ascii="Verdana" w:hAnsi="Verdana"/>
                <w:sz w:val="18"/>
                <w:szCs w:val="18"/>
              </w:rPr>
              <w:t>During operation, the noise produced by the wind turbine increases with wind speed and rotation speed. Modern turbine design incorporates nacelle insulation to prevent mechanical noise from being transmitted into the air. The nacelle is also insulated to prevent vibrations from moving parts (blades, hub, gearbox) from being transmitted into the tower and foundation. The aerodynamic noise of large turbines is quite dominant compared to mechanical noise and is dependent on the rotational speed of the blades (wind speed).</w:t>
            </w:r>
          </w:p>
          <w:p w14:paraId="03BC3C2B" w14:textId="77777777" w:rsidR="008715BE" w:rsidRPr="00EC75B7" w:rsidRDefault="00000000">
            <w:pPr>
              <w:pStyle w:val="TableParagraph"/>
              <w:ind w:left="116" w:right="159"/>
              <w:rPr>
                <w:rFonts w:ascii="Verdana" w:hAnsi="Verdana"/>
                <w:sz w:val="18"/>
                <w:szCs w:val="18"/>
              </w:rPr>
            </w:pPr>
            <w:r w:rsidRPr="00EC75B7">
              <w:rPr>
                <w:rFonts w:ascii="Verdana" w:hAnsi="Verdana"/>
                <w:sz w:val="18"/>
                <w:szCs w:val="18"/>
              </w:rPr>
              <w:t>In general, the noise level of a turbine varies between 92 and 107.7 dB.</w:t>
            </w:r>
            <w:r w:rsidRPr="00EC75B7">
              <w:rPr>
                <w:rFonts w:ascii="Verdana" w:hAnsi="Verdana"/>
                <w:spacing w:val="30"/>
                <w:sz w:val="18"/>
                <w:szCs w:val="18"/>
              </w:rPr>
              <w:t xml:space="preserve"> </w:t>
            </w:r>
            <w:r w:rsidRPr="00EC75B7">
              <w:rPr>
                <w:rFonts w:ascii="Verdana" w:hAnsi="Verdana"/>
                <w:sz w:val="18"/>
                <w:szCs w:val="18"/>
              </w:rPr>
              <w:t>For the 6.6 MW turbine at 95% load, the maximum noise level is 106.6 dB (level according to the noise study). Based on noise modeling, the noise level in the receiver area (localities within the project implementation area) is less than 40 dB.</w:t>
            </w:r>
          </w:p>
          <w:p w14:paraId="675CF67D" w14:textId="77777777" w:rsidR="008715BE" w:rsidRPr="00EC75B7" w:rsidRDefault="00000000">
            <w:pPr>
              <w:pStyle w:val="TableParagraph"/>
              <w:ind w:left="116" w:right="282"/>
              <w:rPr>
                <w:rFonts w:ascii="Verdana" w:hAnsi="Verdana"/>
                <w:sz w:val="18"/>
                <w:szCs w:val="18"/>
              </w:rPr>
            </w:pPr>
            <w:r w:rsidRPr="00EC75B7">
              <w:rPr>
                <w:rFonts w:ascii="Verdana" w:hAnsi="Verdana"/>
                <w:sz w:val="18"/>
                <w:szCs w:val="18"/>
              </w:rPr>
              <w:t>In general, wind turbines have a gearbox designed to ensure minimal noise and vibration.</w:t>
            </w:r>
            <w:r w:rsidRPr="00EC75B7">
              <w:rPr>
                <w:rFonts w:ascii="Verdana" w:hAnsi="Verdana"/>
                <w:spacing w:val="32"/>
                <w:sz w:val="18"/>
                <w:szCs w:val="18"/>
              </w:rPr>
              <w:t xml:space="preserve"> </w:t>
            </w:r>
            <w:r w:rsidRPr="00EC75B7">
              <w:rPr>
                <w:rFonts w:ascii="Verdana" w:hAnsi="Verdana"/>
                <w:sz w:val="18"/>
                <w:szCs w:val="18"/>
              </w:rPr>
              <w:t>The gearbox contains dampers that minimize the transmission of vibrations. The vibrations generated by the wind turbine are monitored by sensors, with high vibration levels indicating a possible malfunction, which would trigger the necessary shutdown and intervention operations. Vibration monitoring is done in real time (by continuously transmitting data to the control point), so that interventions to identify and remedy the causes that led to</w:t>
            </w:r>
          </w:p>
          <w:p w14:paraId="74691471" w14:textId="77777777" w:rsidR="008715BE" w:rsidRPr="00EC75B7" w:rsidRDefault="00000000">
            <w:pPr>
              <w:pStyle w:val="TableParagraph"/>
              <w:spacing w:line="168" w:lineRule="exact"/>
              <w:ind w:left="116"/>
              <w:rPr>
                <w:rFonts w:ascii="Verdana" w:hAnsi="Verdana"/>
                <w:sz w:val="18"/>
                <w:szCs w:val="18"/>
              </w:rPr>
            </w:pPr>
            <w:r w:rsidRPr="00EC75B7">
              <w:rPr>
                <w:rFonts w:ascii="Verdana" w:hAnsi="Verdana"/>
                <w:sz w:val="18"/>
                <w:szCs w:val="18"/>
              </w:rPr>
              <w:t xml:space="preserve">increased vibration levels can be carried out in a very </w:t>
            </w:r>
            <w:r w:rsidRPr="00EC75B7">
              <w:rPr>
                <w:rFonts w:ascii="Verdana" w:hAnsi="Verdana"/>
                <w:spacing w:val="-2"/>
                <w:sz w:val="18"/>
                <w:szCs w:val="18"/>
              </w:rPr>
              <w:t xml:space="preserve">short </w:t>
            </w:r>
            <w:r w:rsidRPr="00EC75B7">
              <w:rPr>
                <w:rFonts w:ascii="Verdana" w:hAnsi="Verdana"/>
                <w:sz w:val="18"/>
                <w:szCs w:val="18"/>
              </w:rPr>
              <w:t>time</w:t>
            </w:r>
            <w:r w:rsidRPr="00EC75B7">
              <w:rPr>
                <w:rFonts w:ascii="Verdana" w:hAnsi="Verdana"/>
                <w:spacing w:val="-2"/>
                <w:sz w:val="18"/>
                <w:szCs w:val="18"/>
              </w:rPr>
              <w:t>.</w:t>
            </w:r>
          </w:p>
        </w:tc>
      </w:tr>
    </w:tbl>
    <w:p w14:paraId="4D15A59F" w14:textId="77777777" w:rsidR="008715BE" w:rsidRPr="00EC75B7" w:rsidRDefault="008715BE">
      <w:pPr>
        <w:pStyle w:val="BodyText"/>
        <w:spacing w:before="99"/>
        <w:rPr>
          <w:rFonts w:ascii="Verdana" w:hAnsi="Verdana"/>
          <w:b/>
        </w:rPr>
      </w:pPr>
    </w:p>
    <w:p w14:paraId="527FA02C" w14:textId="77777777" w:rsidR="008715BE" w:rsidRPr="00EC75B7" w:rsidRDefault="00000000">
      <w:pPr>
        <w:ind w:left="2"/>
        <w:rPr>
          <w:rFonts w:ascii="Verdana" w:hAnsi="Verdana"/>
          <w:b/>
          <w:sz w:val="18"/>
          <w:szCs w:val="18"/>
        </w:rPr>
      </w:pPr>
      <w:r w:rsidRPr="00EC75B7">
        <w:rPr>
          <w:rFonts w:ascii="Verdana" w:hAnsi="Verdana"/>
          <w:b/>
          <w:color w:val="00AFEF"/>
          <w:spacing w:val="-2"/>
          <w:sz w:val="18"/>
          <w:szCs w:val="18"/>
        </w:rPr>
        <w:t>Conclusion:</w:t>
      </w:r>
    </w:p>
    <w:p w14:paraId="0530A8E8" w14:textId="77777777" w:rsidR="008715BE" w:rsidRPr="00EC75B7" w:rsidRDefault="00000000">
      <w:pPr>
        <w:spacing w:before="119"/>
        <w:ind w:left="2"/>
        <w:rPr>
          <w:rFonts w:ascii="Verdana" w:hAnsi="Verdana"/>
          <w:sz w:val="18"/>
          <w:szCs w:val="18"/>
        </w:rPr>
      </w:pPr>
      <w:r w:rsidRPr="00EC75B7">
        <w:rPr>
          <w:rFonts w:ascii="Verdana" w:hAnsi="Verdana"/>
          <w:sz w:val="18"/>
          <w:szCs w:val="18"/>
        </w:rPr>
        <w:t xml:space="preserve">During operation, </w:t>
      </w:r>
      <w:r w:rsidRPr="00EC75B7">
        <w:rPr>
          <w:rFonts w:ascii="Verdana" w:hAnsi="Verdana"/>
          <w:b/>
          <w:sz w:val="18"/>
          <w:szCs w:val="18"/>
        </w:rPr>
        <w:t xml:space="preserve">noise and vibration impacts may be felt </w:t>
      </w:r>
      <w:r w:rsidRPr="00EC75B7">
        <w:rPr>
          <w:rFonts w:ascii="Verdana" w:hAnsi="Verdana"/>
          <w:b/>
          <w:spacing w:val="-2"/>
          <w:sz w:val="18"/>
          <w:szCs w:val="18"/>
        </w:rPr>
        <w:t>locally</w:t>
      </w:r>
      <w:r w:rsidRPr="00EC75B7">
        <w:rPr>
          <w:rFonts w:ascii="Verdana" w:hAnsi="Verdana"/>
          <w:spacing w:val="-2"/>
          <w:sz w:val="18"/>
          <w:szCs w:val="18"/>
        </w:rPr>
        <w:t>.</w:t>
      </w:r>
    </w:p>
    <w:p w14:paraId="5CC438DD" w14:textId="268C855F" w:rsidR="008715BE" w:rsidRPr="002A4F7C" w:rsidRDefault="00000000" w:rsidP="002A4F7C">
      <w:pPr>
        <w:pStyle w:val="BodyText"/>
        <w:spacing w:before="109" w:line="360" w:lineRule="auto"/>
        <w:ind w:left="2"/>
        <w:rPr>
          <w:rFonts w:ascii="Verdana" w:hAnsi="Verdana"/>
        </w:rPr>
      </w:pPr>
      <w:r w:rsidRPr="00EC75B7">
        <w:rPr>
          <w:rFonts w:ascii="Verdana" w:hAnsi="Verdana"/>
        </w:rPr>
        <w:t>The construction measures adopted, the execution technology, and the operating regulations that will be applied in accordance with the legislation in force minimize the likelihood of a significant negative impact in terms of noise and vibrations.</w:t>
      </w:r>
      <w:r w:rsidR="002A4F7C">
        <w:rPr>
          <w:rFonts w:ascii="Verdana" w:hAnsi="Verdana"/>
        </w:rPr>
        <w:t xml:space="preserve"> </w:t>
      </w:r>
      <w:r w:rsidRPr="00EC75B7">
        <w:rPr>
          <w:rFonts w:ascii="Verdana" w:hAnsi="Verdana"/>
        </w:rPr>
        <w:t xml:space="preserve">For this reason, it can be assumed that </w:t>
      </w:r>
      <w:r w:rsidRPr="00EC75B7">
        <w:rPr>
          <w:rFonts w:ascii="Verdana" w:hAnsi="Verdana"/>
          <w:b/>
        </w:rPr>
        <w:t xml:space="preserve">the magnitude and complexity of the impact will be </w:t>
      </w:r>
      <w:r w:rsidRPr="00EC75B7">
        <w:rPr>
          <w:rFonts w:ascii="Verdana" w:hAnsi="Verdana"/>
          <w:b/>
          <w:spacing w:val="-2"/>
        </w:rPr>
        <w:t>insignificant.</w:t>
      </w:r>
    </w:p>
    <w:p w14:paraId="6EC66B2C" w14:textId="77777777" w:rsidR="008715BE" w:rsidRPr="00EC75B7" w:rsidRDefault="008715BE">
      <w:pPr>
        <w:spacing w:line="216" w:lineRule="exact"/>
        <w:rPr>
          <w:rFonts w:ascii="Verdana" w:hAnsi="Verdana"/>
          <w:b/>
          <w:sz w:val="18"/>
          <w:szCs w:val="18"/>
        </w:rPr>
        <w:sectPr w:rsidR="008715BE" w:rsidRPr="00EC75B7">
          <w:pgSz w:w="23820" w:h="16840" w:orient="landscape"/>
          <w:pgMar w:top="1160" w:right="1275" w:bottom="1020" w:left="850" w:header="766" w:footer="824" w:gutter="0"/>
          <w:cols w:space="708"/>
        </w:sectPr>
      </w:pPr>
    </w:p>
    <w:p w14:paraId="4D0A5E9C" w14:textId="77777777" w:rsidR="008715BE" w:rsidRPr="00EC75B7" w:rsidRDefault="00000000">
      <w:pPr>
        <w:pStyle w:val="Heading3"/>
        <w:numPr>
          <w:ilvl w:val="2"/>
          <w:numId w:val="110"/>
        </w:numPr>
        <w:tabs>
          <w:tab w:val="left" w:pos="2037"/>
        </w:tabs>
        <w:spacing w:before="222"/>
        <w:ind w:left="2037" w:hanging="986"/>
        <w:rPr>
          <w:rFonts w:ascii="Verdana" w:hAnsi="Verdana"/>
          <w:i/>
          <w:color w:val="00AFEF"/>
          <w:sz w:val="18"/>
          <w:szCs w:val="18"/>
        </w:rPr>
      </w:pPr>
      <w:bookmarkStart w:id="105" w:name="_bookmark106"/>
      <w:bookmarkEnd w:id="105"/>
      <w:r w:rsidRPr="00EC75B7">
        <w:rPr>
          <w:rFonts w:ascii="Verdana" w:hAnsi="Verdana"/>
          <w:color w:val="00AFEF"/>
          <w:sz w:val="18"/>
          <w:szCs w:val="18"/>
        </w:rPr>
        <w:lastRenderedPageBreak/>
        <w:t xml:space="preserve">Measures to avoid and reduce the </w:t>
      </w:r>
      <w:r w:rsidRPr="00EC75B7">
        <w:rPr>
          <w:rFonts w:ascii="Verdana" w:hAnsi="Verdana"/>
          <w:color w:val="00AFEF"/>
          <w:spacing w:val="-2"/>
          <w:sz w:val="18"/>
          <w:szCs w:val="18"/>
        </w:rPr>
        <w:t>impact</w:t>
      </w:r>
    </w:p>
    <w:p w14:paraId="21DC689B" w14:textId="77777777" w:rsidR="008715BE" w:rsidRPr="00EC75B7" w:rsidRDefault="008715BE">
      <w:pPr>
        <w:pStyle w:val="BodyText"/>
        <w:spacing w:before="114"/>
        <w:rPr>
          <w:rFonts w:ascii="Verdana" w:hAnsi="Verdana"/>
          <w:b/>
        </w:rPr>
      </w:pPr>
    </w:p>
    <w:p w14:paraId="1FA5C54C" w14:textId="77777777" w:rsidR="008715BE" w:rsidRPr="00EC75B7" w:rsidRDefault="00000000">
      <w:pPr>
        <w:pStyle w:val="BodyText"/>
        <w:spacing w:line="357" w:lineRule="auto"/>
        <w:ind w:left="86" w:right="140"/>
        <w:jc w:val="both"/>
        <w:rPr>
          <w:rFonts w:ascii="Verdana" w:hAnsi="Verdana"/>
        </w:rPr>
      </w:pPr>
      <w:r w:rsidRPr="00EC75B7">
        <w:rPr>
          <w:rFonts w:ascii="Verdana" w:hAnsi="Verdana"/>
        </w:rPr>
        <w:t>For this project, a series of best practice requirements will be adopted during the execution/decommissioning and operation phases to reduce noise and vibration levels, with no measures required to avoid or reduce impact.</w:t>
      </w:r>
    </w:p>
    <w:p w14:paraId="358EB6EC" w14:textId="77777777" w:rsidR="008715BE" w:rsidRPr="00EC75B7" w:rsidRDefault="00000000">
      <w:pPr>
        <w:pStyle w:val="BodyText"/>
        <w:spacing w:before="122" w:line="360" w:lineRule="auto"/>
        <w:ind w:left="57" w:right="144"/>
        <w:jc w:val="both"/>
        <w:rPr>
          <w:rFonts w:ascii="Verdana" w:hAnsi="Verdana"/>
        </w:rPr>
      </w:pPr>
      <w:r w:rsidRPr="00EC75B7">
        <w:rPr>
          <w:rFonts w:ascii="Verdana" w:hAnsi="Verdana"/>
        </w:rPr>
        <w:t xml:space="preserve">The best practice requirements adopted for the project during </w:t>
      </w:r>
      <w:r w:rsidRPr="00EC75B7">
        <w:rPr>
          <w:rFonts w:ascii="Verdana" w:hAnsi="Verdana"/>
          <w:b/>
        </w:rPr>
        <w:t xml:space="preserve">the execution period </w:t>
      </w:r>
      <w:r w:rsidRPr="00EC75B7">
        <w:rPr>
          <w:rFonts w:ascii="Verdana" w:hAnsi="Verdana"/>
        </w:rPr>
        <w:t>and the conditions for its implementation are:</w:t>
      </w:r>
    </w:p>
    <w:p w14:paraId="3F0C4C0F" w14:textId="77777777" w:rsidR="008715BE" w:rsidRPr="00EC75B7" w:rsidRDefault="00000000">
      <w:pPr>
        <w:pStyle w:val="ListParagraph"/>
        <w:numPr>
          <w:ilvl w:val="0"/>
          <w:numId w:val="45"/>
        </w:numPr>
        <w:tabs>
          <w:tab w:val="left" w:pos="777"/>
        </w:tabs>
        <w:spacing w:line="360" w:lineRule="auto"/>
        <w:ind w:right="148"/>
        <w:jc w:val="both"/>
        <w:rPr>
          <w:rFonts w:ascii="Verdana" w:hAnsi="Verdana"/>
          <w:sz w:val="18"/>
          <w:szCs w:val="18"/>
        </w:rPr>
      </w:pPr>
      <w:r w:rsidRPr="00EC75B7">
        <w:rPr>
          <w:rFonts w:ascii="Verdana" w:hAnsi="Verdana"/>
          <w:sz w:val="18"/>
          <w:szCs w:val="18"/>
        </w:rPr>
        <w:t>The construction site will be located, as a priority, outside inhabited areas and, mandatorily, outside the boundaries of protected areas.</w:t>
      </w:r>
    </w:p>
    <w:p w14:paraId="55CEAA7F" w14:textId="77777777" w:rsidR="008715BE" w:rsidRPr="00EC75B7" w:rsidRDefault="00000000">
      <w:pPr>
        <w:pStyle w:val="ListParagraph"/>
        <w:numPr>
          <w:ilvl w:val="0"/>
          <w:numId w:val="45"/>
        </w:numPr>
        <w:tabs>
          <w:tab w:val="left" w:pos="776"/>
        </w:tabs>
        <w:spacing w:line="218" w:lineRule="exact"/>
        <w:ind w:left="776" w:hanging="359"/>
        <w:jc w:val="both"/>
        <w:rPr>
          <w:rFonts w:ascii="Verdana" w:hAnsi="Verdana"/>
          <w:sz w:val="18"/>
          <w:szCs w:val="18"/>
        </w:rPr>
      </w:pPr>
      <w:r w:rsidRPr="00EC75B7">
        <w:rPr>
          <w:rFonts w:ascii="Verdana" w:hAnsi="Verdana"/>
          <w:sz w:val="18"/>
          <w:szCs w:val="18"/>
        </w:rPr>
        <w:t xml:space="preserve">Work generating noise and vibrations will only be carried out during the </w:t>
      </w:r>
      <w:r w:rsidRPr="00EC75B7">
        <w:rPr>
          <w:rFonts w:ascii="Verdana" w:hAnsi="Verdana"/>
          <w:spacing w:val="-2"/>
          <w:sz w:val="18"/>
          <w:szCs w:val="18"/>
        </w:rPr>
        <w:t>day.</w:t>
      </w:r>
    </w:p>
    <w:p w14:paraId="746FBC2D" w14:textId="77777777" w:rsidR="008715BE" w:rsidRPr="00EC75B7" w:rsidRDefault="00000000">
      <w:pPr>
        <w:pStyle w:val="ListParagraph"/>
        <w:numPr>
          <w:ilvl w:val="0"/>
          <w:numId w:val="45"/>
        </w:numPr>
        <w:tabs>
          <w:tab w:val="left" w:pos="777"/>
        </w:tabs>
        <w:spacing w:before="105" w:line="357" w:lineRule="auto"/>
        <w:ind w:right="149"/>
        <w:jc w:val="both"/>
        <w:rPr>
          <w:rFonts w:ascii="Verdana" w:hAnsi="Verdana"/>
          <w:sz w:val="18"/>
          <w:szCs w:val="18"/>
        </w:rPr>
      </w:pPr>
      <w:r w:rsidRPr="00EC75B7">
        <w:rPr>
          <w:rFonts w:ascii="Verdana" w:hAnsi="Verdana"/>
          <w:sz w:val="18"/>
          <w:szCs w:val="18"/>
        </w:rPr>
        <w:t>Regular inspection of machinery and means of transport, with commissioning only after any faults have been repaired.</w:t>
      </w:r>
    </w:p>
    <w:p w14:paraId="7D92F5B7" w14:textId="77777777" w:rsidR="008715BE" w:rsidRPr="00EC75B7" w:rsidRDefault="00000000">
      <w:pPr>
        <w:pStyle w:val="ListParagraph"/>
        <w:numPr>
          <w:ilvl w:val="0"/>
          <w:numId w:val="45"/>
        </w:numPr>
        <w:tabs>
          <w:tab w:val="left" w:pos="777"/>
        </w:tabs>
        <w:spacing w:before="1" w:line="360" w:lineRule="auto"/>
        <w:ind w:right="150"/>
        <w:jc w:val="both"/>
        <w:rPr>
          <w:rFonts w:ascii="Verdana" w:hAnsi="Verdana"/>
          <w:sz w:val="18"/>
          <w:szCs w:val="18"/>
        </w:rPr>
      </w:pPr>
      <w:r w:rsidRPr="00EC75B7">
        <w:rPr>
          <w:rFonts w:ascii="Verdana" w:hAnsi="Verdana"/>
          <w:sz w:val="18"/>
          <w:szCs w:val="18"/>
        </w:rPr>
        <w:t>Development and implementation of a Traffic Management Plan to ensure that construction equipment traffic near residential areas is kept to a minimum.</w:t>
      </w:r>
    </w:p>
    <w:p w14:paraId="09E978ED" w14:textId="77777777" w:rsidR="008715BE" w:rsidRPr="00EC75B7" w:rsidRDefault="00000000">
      <w:pPr>
        <w:spacing w:before="116"/>
        <w:ind w:left="115"/>
        <w:jc w:val="both"/>
        <w:rPr>
          <w:rFonts w:ascii="Verdana" w:hAnsi="Verdana"/>
          <w:sz w:val="18"/>
          <w:szCs w:val="18"/>
        </w:rPr>
      </w:pPr>
      <w:r w:rsidRPr="00EC75B7">
        <w:rPr>
          <w:rFonts w:ascii="Verdana" w:hAnsi="Verdana"/>
          <w:sz w:val="18"/>
          <w:szCs w:val="18"/>
        </w:rPr>
        <w:t xml:space="preserve">During </w:t>
      </w:r>
      <w:r w:rsidRPr="00EC75B7">
        <w:rPr>
          <w:rFonts w:ascii="Verdana" w:hAnsi="Verdana"/>
          <w:b/>
          <w:sz w:val="18"/>
          <w:szCs w:val="18"/>
        </w:rPr>
        <w:t>the decommissioning phase</w:t>
      </w:r>
      <w:r w:rsidRPr="00EC75B7">
        <w:rPr>
          <w:rFonts w:ascii="Verdana" w:hAnsi="Verdana"/>
          <w:spacing w:val="-2"/>
          <w:sz w:val="18"/>
          <w:szCs w:val="18"/>
        </w:rPr>
        <w:t xml:space="preserve">, </w:t>
      </w:r>
      <w:r w:rsidRPr="00EC75B7">
        <w:rPr>
          <w:rFonts w:ascii="Verdana" w:hAnsi="Verdana"/>
          <w:sz w:val="18"/>
          <w:szCs w:val="18"/>
        </w:rPr>
        <w:t xml:space="preserve">conditions similar to those during the </w:t>
      </w:r>
      <w:r w:rsidRPr="00EC75B7">
        <w:rPr>
          <w:rFonts w:ascii="Verdana" w:hAnsi="Verdana"/>
          <w:spacing w:val="-2"/>
          <w:sz w:val="18"/>
          <w:szCs w:val="18"/>
        </w:rPr>
        <w:t xml:space="preserve">execution </w:t>
      </w:r>
      <w:r w:rsidRPr="00EC75B7">
        <w:rPr>
          <w:rFonts w:ascii="Verdana" w:hAnsi="Verdana"/>
          <w:sz w:val="18"/>
          <w:szCs w:val="18"/>
        </w:rPr>
        <w:t>phase will apply</w:t>
      </w:r>
      <w:r w:rsidRPr="00EC75B7">
        <w:rPr>
          <w:rFonts w:ascii="Verdana" w:hAnsi="Verdana"/>
          <w:spacing w:val="-2"/>
          <w:sz w:val="18"/>
          <w:szCs w:val="18"/>
        </w:rPr>
        <w:t>.</w:t>
      </w:r>
    </w:p>
    <w:p w14:paraId="5CD0D0EC" w14:textId="77777777" w:rsidR="008715BE" w:rsidRPr="00EC75B7" w:rsidRDefault="008715BE">
      <w:pPr>
        <w:pStyle w:val="BodyText"/>
        <w:rPr>
          <w:rFonts w:ascii="Verdana" w:hAnsi="Verdana"/>
        </w:rPr>
      </w:pPr>
    </w:p>
    <w:p w14:paraId="51EBC9BF" w14:textId="77777777" w:rsidR="008715BE" w:rsidRPr="00EC75B7" w:rsidRDefault="008715BE">
      <w:pPr>
        <w:pStyle w:val="BodyText"/>
        <w:rPr>
          <w:rFonts w:ascii="Verdana" w:hAnsi="Verdana"/>
        </w:rPr>
      </w:pPr>
    </w:p>
    <w:p w14:paraId="5DA78052" w14:textId="77777777" w:rsidR="008715BE" w:rsidRPr="00EC75B7" w:rsidRDefault="008715BE">
      <w:pPr>
        <w:pStyle w:val="BodyText"/>
        <w:spacing w:before="21"/>
        <w:rPr>
          <w:rFonts w:ascii="Verdana" w:hAnsi="Verdana"/>
        </w:rPr>
      </w:pPr>
    </w:p>
    <w:p w14:paraId="7DF2C51E" w14:textId="77777777" w:rsidR="008715BE" w:rsidRPr="00EC75B7" w:rsidRDefault="00000000">
      <w:pPr>
        <w:pStyle w:val="Heading2"/>
        <w:numPr>
          <w:ilvl w:val="1"/>
          <w:numId w:val="110"/>
        </w:numPr>
        <w:tabs>
          <w:tab w:val="left" w:pos="1360"/>
        </w:tabs>
        <w:spacing w:before="1"/>
        <w:ind w:left="1360" w:hanging="1245"/>
        <w:jc w:val="left"/>
        <w:rPr>
          <w:rFonts w:ascii="Verdana" w:hAnsi="Verdana"/>
          <w:color w:val="00AFEF"/>
          <w:sz w:val="18"/>
          <w:szCs w:val="18"/>
        </w:rPr>
      </w:pPr>
      <w:bookmarkStart w:id="106" w:name="_bookmark107"/>
      <w:bookmarkEnd w:id="106"/>
      <w:r w:rsidRPr="00EC75B7">
        <w:rPr>
          <w:rFonts w:ascii="Verdana" w:hAnsi="Verdana"/>
          <w:color w:val="00AFEF"/>
          <w:sz w:val="18"/>
          <w:szCs w:val="18"/>
        </w:rPr>
        <w:t xml:space="preserve">Cultural conditions and </w:t>
      </w:r>
      <w:r w:rsidRPr="00EC75B7">
        <w:rPr>
          <w:rFonts w:ascii="Verdana" w:hAnsi="Verdana"/>
          <w:color w:val="00AFEF"/>
          <w:spacing w:val="-2"/>
          <w:sz w:val="18"/>
          <w:szCs w:val="18"/>
        </w:rPr>
        <w:t xml:space="preserve">cultural </w:t>
      </w:r>
      <w:r w:rsidRPr="00EC75B7">
        <w:rPr>
          <w:rFonts w:ascii="Verdana" w:hAnsi="Verdana"/>
          <w:color w:val="00AFEF"/>
          <w:sz w:val="18"/>
          <w:szCs w:val="18"/>
        </w:rPr>
        <w:t>heritage</w:t>
      </w:r>
    </w:p>
    <w:p w14:paraId="65810F59" w14:textId="77777777" w:rsidR="008715BE" w:rsidRPr="00EC75B7" w:rsidRDefault="00000000">
      <w:pPr>
        <w:pStyle w:val="Heading3"/>
        <w:numPr>
          <w:ilvl w:val="2"/>
          <w:numId w:val="110"/>
        </w:numPr>
        <w:tabs>
          <w:tab w:val="left" w:pos="2037"/>
        </w:tabs>
        <w:spacing w:before="132"/>
        <w:ind w:left="2037" w:hanging="986"/>
        <w:rPr>
          <w:rFonts w:ascii="Verdana" w:hAnsi="Verdana"/>
          <w:i/>
          <w:color w:val="00AFEF"/>
          <w:sz w:val="18"/>
          <w:szCs w:val="18"/>
        </w:rPr>
      </w:pPr>
      <w:bookmarkStart w:id="107" w:name="_bookmark108"/>
      <w:bookmarkEnd w:id="107"/>
      <w:r w:rsidRPr="00EC75B7">
        <w:rPr>
          <w:rFonts w:ascii="Verdana" w:hAnsi="Verdana"/>
          <w:color w:val="00AFEF"/>
          <w:sz w:val="18"/>
          <w:szCs w:val="18"/>
        </w:rPr>
        <w:t xml:space="preserve">Sensitivity classes and magnitude classes for </w:t>
      </w:r>
      <w:r w:rsidRPr="00EC75B7">
        <w:rPr>
          <w:rFonts w:ascii="Verdana" w:hAnsi="Verdana"/>
          <w:color w:val="00AFEF"/>
          <w:spacing w:val="-2"/>
          <w:sz w:val="18"/>
          <w:szCs w:val="18"/>
        </w:rPr>
        <w:t>assessing</w:t>
      </w:r>
    </w:p>
    <w:p w14:paraId="2336C87D" w14:textId="77777777" w:rsidR="008715BE" w:rsidRPr="00EC75B7" w:rsidRDefault="00000000">
      <w:pPr>
        <w:spacing w:before="120"/>
        <w:ind w:left="1771"/>
        <w:rPr>
          <w:rFonts w:ascii="Verdana" w:hAnsi="Verdana"/>
          <w:b/>
          <w:sz w:val="18"/>
          <w:szCs w:val="18"/>
        </w:rPr>
      </w:pPr>
      <w:r w:rsidRPr="00EC75B7">
        <w:rPr>
          <w:rFonts w:ascii="Verdana" w:hAnsi="Verdana"/>
          <w:b/>
          <w:color w:val="00AFEF"/>
          <w:sz w:val="18"/>
          <w:szCs w:val="18"/>
        </w:rPr>
        <w:t xml:space="preserve">impact on </w:t>
      </w:r>
      <w:r w:rsidRPr="00EC75B7">
        <w:rPr>
          <w:rFonts w:ascii="Verdana" w:hAnsi="Verdana"/>
          <w:b/>
          <w:color w:val="00AFEF"/>
          <w:spacing w:val="-2"/>
          <w:sz w:val="18"/>
          <w:szCs w:val="18"/>
        </w:rPr>
        <w:t xml:space="preserve">cultural </w:t>
      </w:r>
      <w:r w:rsidRPr="00EC75B7">
        <w:rPr>
          <w:rFonts w:ascii="Verdana" w:hAnsi="Verdana"/>
          <w:b/>
          <w:color w:val="00AFEF"/>
          <w:sz w:val="18"/>
          <w:szCs w:val="18"/>
        </w:rPr>
        <w:t>heritage</w:t>
      </w:r>
    </w:p>
    <w:p w14:paraId="07B62041" w14:textId="77777777" w:rsidR="008715BE" w:rsidRPr="00EC75B7" w:rsidRDefault="008715BE">
      <w:pPr>
        <w:pStyle w:val="BodyText"/>
        <w:spacing w:before="114"/>
        <w:rPr>
          <w:rFonts w:ascii="Verdana" w:hAnsi="Verdana"/>
          <w:b/>
        </w:rPr>
      </w:pPr>
    </w:p>
    <w:p w14:paraId="710023F8" w14:textId="77777777" w:rsidR="008715BE" w:rsidRPr="00EC75B7" w:rsidRDefault="00000000">
      <w:pPr>
        <w:pStyle w:val="BodyText"/>
        <w:ind w:left="57"/>
        <w:jc w:val="both"/>
        <w:rPr>
          <w:rFonts w:ascii="Verdana" w:hAnsi="Verdana"/>
        </w:rPr>
      </w:pPr>
      <w:r w:rsidRPr="00EC75B7">
        <w:rPr>
          <w:rFonts w:ascii="Verdana" w:hAnsi="Verdana"/>
        </w:rPr>
        <w:t xml:space="preserve">The following </w:t>
      </w:r>
      <w:r w:rsidRPr="00EC75B7">
        <w:rPr>
          <w:rFonts w:ascii="Verdana" w:hAnsi="Verdana"/>
          <w:spacing w:val="-2"/>
        </w:rPr>
        <w:t xml:space="preserve">sensitivity </w:t>
      </w:r>
      <w:r w:rsidRPr="00EC75B7">
        <w:rPr>
          <w:rFonts w:ascii="Verdana" w:hAnsi="Verdana"/>
        </w:rPr>
        <w:t>classes were used for this project</w:t>
      </w:r>
      <w:r w:rsidRPr="00EC75B7">
        <w:rPr>
          <w:rFonts w:ascii="Verdana" w:hAnsi="Verdana"/>
          <w:spacing w:val="-2"/>
        </w:rPr>
        <w:t>.</w:t>
      </w:r>
    </w:p>
    <w:p w14:paraId="2D70D070" w14:textId="77777777" w:rsidR="008715BE" w:rsidRPr="00EC75B7" w:rsidRDefault="008715BE">
      <w:pPr>
        <w:pStyle w:val="BodyText"/>
        <w:spacing w:before="57"/>
        <w:rPr>
          <w:rFonts w:ascii="Verdana" w:hAnsi="Verdana"/>
        </w:rPr>
      </w:pPr>
    </w:p>
    <w:p w14:paraId="5BF92F87"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49 </w:t>
      </w:r>
      <w:r w:rsidRPr="00EC75B7">
        <w:rPr>
          <w:rFonts w:ascii="Verdana" w:hAnsi="Verdana"/>
          <w:b/>
          <w:color w:val="00AFEF"/>
          <w:spacing w:val="-2"/>
          <w:sz w:val="18"/>
          <w:szCs w:val="18"/>
        </w:rPr>
        <w:t xml:space="preserve">Sensitivity </w:t>
      </w:r>
      <w:r w:rsidRPr="00EC75B7">
        <w:rPr>
          <w:rFonts w:ascii="Verdana" w:hAnsi="Verdana"/>
          <w:b/>
          <w:color w:val="00AFEF"/>
          <w:sz w:val="18"/>
          <w:szCs w:val="18"/>
        </w:rPr>
        <w:t>classes</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061"/>
        <w:gridCol w:w="6464"/>
      </w:tblGrid>
      <w:tr w:rsidR="008715BE" w:rsidRPr="00EC75B7" w14:paraId="46DD2821" w14:textId="77777777">
        <w:trPr>
          <w:trHeight w:val="292"/>
        </w:trPr>
        <w:tc>
          <w:tcPr>
            <w:tcW w:w="3061" w:type="dxa"/>
            <w:shd w:val="clear" w:color="auto" w:fill="00AFEF"/>
          </w:tcPr>
          <w:p w14:paraId="01A13BE4"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color w:val="FFFFFF"/>
                <w:spacing w:val="-2"/>
                <w:sz w:val="18"/>
                <w:szCs w:val="18"/>
              </w:rPr>
              <w:t>Sensitivity</w:t>
            </w:r>
          </w:p>
        </w:tc>
        <w:tc>
          <w:tcPr>
            <w:tcW w:w="6464" w:type="dxa"/>
            <w:shd w:val="clear" w:color="auto" w:fill="00AFEF"/>
          </w:tcPr>
          <w:p w14:paraId="2183583F" w14:textId="77777777" w:rsidR="008715BE" w:rsidRPr="00EC75B7" w:rsidRDefault="00000000">
            <w:pPr>
              <w:pStyle w:val="TableParagraph"/>
              <w:spacing w:before="2"/>
              <w:ind w:left="107"/>
              <w:rPr>
                <w:rFonts w:ascii="Verdana" w:hAnsi="Verdana"/>
                <w:b/>
                <w:sz w:val="18"/>
                <w:szCs w:val="18"/>
              </w:rPr>
            </w:pPr>
            <w:r w:rsidRPr="00EC75B7">
              <w:rPr>
                <w:rFonts w:ascii="Verdana" w:hAnsi="Verdana"/>
                <w:b/>
                <w:color w:val="FFFFFF"/>
                <w:sz w:val="18"/>
                <w:szCs w:val="18"/>
              </w:rPr>
              <w:t xml:space="preserve">Elements for </w:t>
            </w:r>
            <w:r w:rsidRPr="00EC75B7">
              <w:rPr>
                <w:rFonts w:ascii="Verdana" w:hAnsi="Verdana"/>
                <w:b/>
                <w:color w:val="FFFFFF"/>
                <w:spacing w:val="-2"/>
                <w:sz w:val="18"/>
                <w:szCs w:val="18"/>
              </w:rPr>
              <w:t>classification</w:t>
            </w:r>
          </w:p>
        </w:tc>
      </w:tr>
      <w:tr w:rsidR="008715BE" w:rsidRPr="00EC75B7" w14:paraId="58558F67" w14:textId="77777777">
        <w:trPr>
          <w:trHeight w:val="537"/>
        </w:trPr>
        <w:tc>
          <w:tcPr>
            <w:tcW w:w="3061" w:type="dxa"/>
            <w:shd w:val="clear" w:color="auto" w:fill="92D050"/>
          </w:tcPr>
          <w:p w14:paraId="2D5944A8"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4"/>
                <w:sz w:val="18"/>
                <w:szCs w:val="18"/>
              </w:rPr>
              <w:t>Low</w:t>
            </w:r>
          </w:p>
        </w:tc>
        <w:tc>
          <w:tcPr>
            <w:tcW w:w="6464" w:type="dxa"/>
            <w:shd w:val="clear" w:color="auto" w:fill="F1F1F1"/>
          </w:tcPr>
          <w:p w14:paraId="54ABA7EA"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Historical monuments, archaeological sites, other cultural elements used locally or used by the local community to maintain traditions.</w:t>
            </w:r>
          </w:p>
        </w:tc>
      </w:tr>
      <w:tr w:rsidR="008715BE" w:rsidRPr="00EC75B7" w14:paraId="73159A1F" w14:textId="77777777">
        <w:trPr>
          <w:trHeight w:val="388"/>
        </w:trPr>
        <w:tc>
          <w:tcPr>
            <w:tcW w:w="3061" w:type="dxa"/>
            <w:shd w:val="clear" w:color="auto" w:fill="FFFF00"/>
          </w:tcPr>
          <w:p w14:paraId="656B42A0"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Moderate</w:t>
            </w:r>
          </w:p>
        </w:tc>
        <w:tc>
          <w:tcPr>
            <w:tcW w:w="6464" w:type="dxa"/>
          </w:tcPr>
          <w:p w14:paraId="5EE7D6A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Historical monuments, archaeological sites, sites of cultural value </w:t>
            </w:r>
            <w:r w:rsidRPr="00EC75B7">
              <w:rPr>
                <w:rFonts w:ascii="Verdana" w:hAnsi="Verdana"/>
                <w:spacing w:val="-2"/>
                <w:sz w:val="18"/>
                <w:szCs w:val="18"/>
              </w:rPr>
              <w:t>designated</w:t>
            </w:r>
          </w:p>
          <w:p w14:paraId="7F22BF66"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z w:val="18"/>
                <w:szCs w:val="18"/>
              </w:rPr>
              <w:t xml:space="preserve">at the </w:t>
            </w:r>
            <w:r w:rsidRPr="00EC75B7">
              <w:rPr>
                <w:rFonts w:ascii="Verdana" w:hAnsi="Verdana"/>
                <w:spacing w:val="-2"/>
                <w:sz w:val="18"/>
                <w:szCs w:val="18"/>
              </w:rPr>
              <w:t xml:space="preserve">county </w:t>
            </w:r>
            <w:r w:rsidRPr="00EC75B7">
              <w:rPr>
                <w:rFonts w:ascii="Verdana" w:hAnsi="Verdana"/>
                <w:sz w:val="18"/>
                <w:szCs w:val="18"/>
              </w:rPr>
              <w:t>level</w:t>
            </w:r>
            <w:r w:rsidRPr="00EC75B7">
              <w:rPr>
                <w:rFonts w:ascii="Verdana" w:hAnsi="Verdana"/>
                <w:spacing w:val="-2"/>
                <w:sz w:val="18"/>
                <w:szCs w:val="18"/>
              </w:rPr>
              <w:t>.</w:t>
            </w:r>
          </w:p>
        </w:tc>
      </w:tr>
      <w:tr w:rsidR="008715BE" w:rsidRPr="00EC75B7" w14:paraId="66B8A194" w14:textId="77777777">
        <w:trPr>
          <w:trHeight w:val="193"/>
        </w:trPr>
        <w:tc>
          <w:tcPr>
            <w:tcW w:w="3061" w:type="dxa"/>
            <w:shd w:val="clear" w:color="auto" w:fill="FAE3D4"/>
          </w:tcPr>
          <w:p w14:paraId="1EC69106"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pacing w:val="-4"/>
                <w:sz w:val="18"/>
                <w:szCs w:val="18"/>
              </w:rPr>
              <w:t>High</w:t>
            </w:r>
          </w:p>
        </w:tc>
        <w:tc>
          <w:tcPr>
            <w:tcW w:w="6464" w:type="dxa"/>
            <w:shd w:val="clear" w:color="auto" w:fill="F1F1F1"/>
          </w:tcPr>
          <w:p w14:paraId="42B64D19"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z w:val="18"/>
                <w:szCs w:val="18"/>
              </w:rPr>
              <w:t xml:space="preserve">Historical monuments, archaeological sites declared </w:t>
            </w:r>
            <w:r w:rsidRPr="00EC75B7">
              <w:rPr>
                <w:rFonts w:ascii="Verdana" w:hAnsi="Verdana"/>
                <w:spacing w:val="-2"/>
                <w:sz w:val="18"/>
                <w:szCs w:val="18"/>
              </w:rPr>
              <w:t xml:space="preserve">UNESCO </w:t>
            </w:r>
            <w:r w:rsidRPr="00EC75B7">
              <w:rPr>
                <w:rFonts w:ascii="Verdana" w:hAnsi="Verdana"/>
                <w:sz w:val="18"/>
                <w:szCs w:val="18"/>
              </w:rPr>
              <w:t>sites</w:t>
            </w:r>
          </w:p>
        </w:tc>
      </w:tr>
      <w:tr w:rsidR="008715BE" w:rsidRPr="00EC75B7" w14:paraId="1099EF97" w14:textId="77777777">
        <w:trPr>
          <w:trHeight w:val="585"/>
        </w:trPr>
        <w:tc>
          <w:tcPr>
            <w:tcW w:w="3061" w:type="dxa"/>
            <w:shd w:val="clear" w:color="auto" w:fill="FF0000"/>
          </w:tcPr>
          <w:p w14:paraId="541BA160" w14:textId="77777777" w:rsidR="008715BE" w:rsidRPr="00EC75B7" w:rsidRDefault="00000000">
            <w:pPr>
              <w:pStyle w:val="TableParagraph"/>
              <w:spacing w:before="2"/>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6464" w:type="dxa"/>
          </w:tcPr>
          <w:p w14:paraId="430ACE52" w14:textId="77777777" w:rsidR="008715BE" w:rsidRPr="00EC75B7" w:rsidRDefault="00000000">
            <w:pPr>
              <w:pStyle w:val="TableParagraph"/>
              <w:spacing w:before="2"/>
              <w:ind w:left="107" w:right="161"/>
              <w:rPr>
                <w:rFonts w:ascii="Verdana" w:hAnsi="Verdana"/>
                <w:sz w:val="18"/>
                <w:szCs w:val="18"/>
              </w:rPr>
            </w:pPr>
            <w:r w:rsidRPr="00EC75B7">
              <w:rPr>
                <w:rFonts w:ascii="Verdana" w:hAnsi="Verdana"/>
                <w:sz w:val="18"/>
                <w:szCs w:val="18"/>
              </w:rPr>
              <w:t>Historical monuments, archaeological sites designated at the national level Protected historical, archaeological, and cultural monuments.</w:t>
            </w:r>
          </w:p>
        </w:tc>
      </w:tr>
      <w:tr w:rsidR="008715BE" w:rsidRPr="00EC75B7" w14:paraId="6467AF7B" w14:textId="77777777">
        <w:trPr>
          <w:trHeight w:val="582"/>
        </w:trPr>
        <w:tc>
          <w:tcPr>
            <w:tcW w:w="3061" w:type="dxa"/>
            <w:shd w:val="clear" w:color="auto" w:fill="D0CECE"/>
          </w:tcPr>
          <w:p w14:paraId="7C89387D"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4"/>
                <w:sz w:val="18"/>
                <w:szCs w:val="18"/>
              </w:rPr>
              <w:t>None</w:t>
            </w:r>
          </w:p>
          <w:p w14:paraId="3748FBF0"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Sensitivity/Sensitivity</w:t>
            </w:r>
          </w:p>
          <w:p w14:paraId="05F5E8A7"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low</w:t>
            </w:r>
          </w:p>
        </w:tc>
        <w:tc>
          <w:tcPr>
            <w:tcW w:w="6464" w:type="dxa"/>
            <w:shd w:val="clear" w:color="auto" w:fill="F1F1F1"/>
          </w:tcPr>
          <w:p w14:paraId="45EB0690"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Sites that are not of archaeological, historical, or cultural interest and are not considered important by the local community for maintaining traditions</w:t>
            </w:r>
          </w:p>
        </w:tc>
      </w:tr>
    </w:tbl>
    <w:p w14:paraId="78C3F478" w14:textId="77777777" w:rsidR="008715BE" w:rsidRPr="00EC75B7" w:rsidRDefault="008715BE">
      <w:pPr>
        <w:pStyle w:val="BodyText"/>
        <w:spacing w:before="136"/>
        <w:rPr>
          <w:rFonts w:ascii="Verdana" w:hAnsi="Verdana"/>
          <w:b/>
        </w:rPr>
      </w:pPr>
    </w:p>
    <w:p w14:paraId="1086AA4A" w14:textId="77777777" w:rsidR="008715BE" w:rsidRPr="00EC75B7" w:rsidRDefault="00000000">
      <w:pPr>
        <w:spacing w:line="357" w:lineRule="auto"/>
        <w:ind w:left="57" w:right="77"/>
        <w:rPr>
          <w:rFonts w:ascii="Verdana" w:hAnsi="Verdana"/>
          <w:b/>
          <w:sz w:val="18"/>
          <w:szCs w:val="18"/>
        </w:rPr>
      </w:pPr>
      <w:r w:rsidRPr="00EC75B7">
        <w:rPr>
          <w:rFonts w:ascii="Verdana" w:hAnsi="Verdana"/>
          <w:sz w:val="18"/>
          <w:szCs w:val="18"/>
        </w:rPr>
        <w:t xml:space="preserve">Given that no archaeological sites </w:t>
      </w:r>
      <w:r w:rsidRPr="00EC75B7">
        <w:rPr>
          <w:rFonts w:ascii="Verdana" w:hAnsi="Verdana"/>
          <w:b/>
          <w:sz w:val="18"/>
          <w:szCs w:val="18"/>
        </w:rPr>
        <w:t xml:space="preserve">not included in the List of Historical Monuments </w:t>
      </w:r>
      <w:r w:rsidRPr="00EC75B7">
        <w:rPr>
          <w:rFonts w:ascii="Verdana" w:hAnsi="Verdana"/>
          <w:sz w:val="18"/>
          <w:szCs w:val="18"/>
        </w:rPr>
        <w:t>have been identified in the project implementation area,</w:t>
      </w:r>
      <w:r w:rsidRPr="00EC75B7">
        <w:rPr>
          <w:rFonts w:ascii="Verdana" w:hAnsi="Verdana"/>
          <w:spacing w:val="39"/>
          <w:sz w:val="18"/>
          <w:szCs w:val="18"/>
        </w:rPr>
        <w:t xml:space="preserve"> </w:t>
      </w:r>
      <w:r w:rsidRPr="00EC75B7">
        <w:rPr>
          <w:rFonts w:ascii="Verdana" w:hAnsi="Verdana"/>
          <w:sz w:val="18"/>
          <w:szCs w:val="18"/>
        </w:rPr>
        <w:t xml:space="preserve">but are highlighted in </w:t>
      </w:r>
      <w:r w:rsidRPr="00EC75B7">
        <w:rPr>
          <w:rFonts w:ascii="Verdana" w:hAnsi="Verdana"/>
          <w:b/>
          <w:sz w:val="18"/>
          <w:szCs w:val="18"/>
        </w:rPr>
        <w:t>the National Archaeological Repertory</w:t>
      </w:r>
      <w:r w:rsidRPr="00EC75B7">
        <w:rPr>
          <w:rFonts w:ascii="Verdana" w:hAnsi="Verdana"/>
          <w:sz w:val="18"/>
          <w:szCs w:val="18"/>
        </w:rPr>
        <w:t xml:space="preserve">, and given the existence of a classified historical monument (obelisk – code LMI CT-IV-m-B-02967), the area analyzed is classified as </w:t>
      </w:r>
      <w:r w:rsidRPr="00EC75B7">
        <w:rPr>
          <w:rFonts w:ascii="Verdana" w:hAnsi="Verdana"/>
          <w:b/>
          <w:sz w:val="18"/>
          <w:szCs w:val="18"/>
        </w:rPr>
        <w:t>moderately sensitive</w:t>
      </w:r>
      <w:r w:rsidRPr="00EC75B7">
        <w:rPr>
          <w:rFonts w:ascii="Verdana" w:hAnsi="Verdana"/>
          <w:sz w:val="18"/>
          <w:szCs w:val="18"/>
        </w:rPr>
        <w:t xml:space="preserve"> in terms of cultural heritage</w:t>
      </w:r>
      <w:r w:rsidRPr="00EC75B7">
        <w:rPr>
          <w:rFonts w:ascii="Verdana" w:hAnsi="Verdana"/>
          <w:b/>
          <w:sz w:val="18"/>
          <w:szCs w:val="18"/>
        </w:rPr>
        <w:t>.</w:t>
      </w:r>
    </w:p>
    <w:p w14:paraId="193F94C1" w14:textId="77777777" w:rsidR="008715BE" w:rsidRPr="00EC75B7" w:rsidRDefault="008715BE">
      <w:pPr>
        <w:pStyle w:val="BodyText"/>
        <w:spacing w:before="111"/>
        <w:rPr>
          <w:rFonts w:ascii="Verdana" w:hAnsi="Verdana"/>
          <w:b/>
        </w:rPr>
      </w:pPr>
    </w:p>
    <w:p w14:paraId="373A689C" w14:textId="77777777" w:rsidR="008715BE" w:rsidRPr="00EC75B7" w:rsidRDefault="00000000">
      <w:pPr>
        <w:pStyle w:val="BodyText"/>
        <w:ind w:left="115"/>
        <w:jc w:val="both"/>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56CC00DD" w14:textId="77777777" w:rsidR="008715BE" w:rsidRPr="00EC75B7" w:rsidRDefault="008715BE">
      <w:pPr>
        <w:pStyle w:val="BodyText"/>
        <w:jc w:val="both"/>
        <w:rPr>
          <w:rFonts w:ascii="Verdana" w:hAnsi="Verdana"/>
        </w:rPr>
        <w:sectPr w:rsidR="008715BE" w:rsidRPr="00EC75B7">
          <w:headerReference w:type="default" r:id="rId221"/>
          <w:footerReference w:type="default" r:id="rId222"/>
          <w:pgSz w:w="11910" w:h="16840"/>
          <w:pgMar w:top="1320" w:right="850" w:bottom="1020" w:left="1133" w:header="766" w:footer="824" w:gutter="0"/>
          <w:cols w:space="708"/>
        </w:sectPr>
      </w:pPr>
    </w:p>
    <w:p w14:paraId="6B49F01B" w14:textId="77777777" w:rsidR="008715BE" w:rsidRPr="00EC75B7" w:rsidRDefault="00000000">
      <w:pPr>
        <w:spacing w:before="104"/>
        <w:ind w:left="57"/>
        <w:rPr>
          <w:rFonts w:ascii="Verdana" w:hAnsi="Verdana"/>
          <w:b/>
          <w:sz w:val="18"/>
          <w:szCs w:val="18"/>
        </w:rPr>
      </w:pPr>
      <w:r w:rsidRPr="00EC75B7">
        <w:rPr>
          <w:rFonts w:ascii="Verdana" w:hAnsi="Verdana"/>
          <w:b/>
          <w:color w:val="00AFEF"/>
          <w:sz w:val="18"/>
          <w:szCs w:val="18"/>
        </w:rPr>
        <w:lastRenderedPageBreak/>
        <w:t xml:space="preserve">Table 50 Magnitude classes for the </w:t>
      </w:r>
      <w:r w:rsidRPr="00EC75B7">
        <w:rPr>
          <w:rFonts w:ascii="Verdana" w:hAnsi="Verdana"/>
          <w:b/>
          <w:color w:val="00AFEF"/>
          <w:spacing w:val="-2"/>
          <w:sz w:val="18"/>
          <w:szCs w:val="18"/>
        </w:rPr>
        <w:t xml:space="preserve">cultural </w:t>
      </w:r>
      <w:r w:rsidRPr="00EC75B7">
        <w:rPr>
          <w:rFonts w:ascii="Verdana" w:hAnsi="Verdana"/>
          <w:b/>
          <w:color w:val="00AFEF"/>
          <w:sz w:val="18"/>
          <w:szCs w:val="18"/>
        </w:rPr>
        <w:t>heritage environmental factor</w:t>
      </w:r>
    </w:p>
    <w:p w14:paraId="0E8D2323" w14:textId="77777777" w:rsidR="008715BE" w:rsidRPr="00EC75B7" w:rsidRDefault="008715BE">
      <w:pPr>
        <w:pStyle w:val="BodyText"/>
        <w:spacing w:before="6"/>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22"/>
        <w:gridCol w:w="4427"/>
        <w:gridCol w:w="3467"/>
      </w:tblGrid>
      <w:tr w:rsidR="008715BE" w:rsidRPr="00EC75B7" w14:paraId="095C83D9" w14:textId="77777777">
        <w:trPr>
          <w:trHeight w:val="388"/>
        </w:trPr>
        <w:tc>
          <w:tcPr>
            <w:tcW w:w="1822" w:type="dxa"/>
            <w:shd w:val="clear" w:color="auto" w:fill="00AFEF"/>
          </w:tcPr>
          <w:p w14:paraId="5789BBC6" w14:textId="77777777" w:rsidR="008715BE" w:rsidRPr="00EC75B7" w:rsidRDefault="00000000">
            <w:pPr>
              <w:pStyle w:val="TableParagraph"/>
              <w:spacing w:line="194" w:lineRule="exact"/>
              <w:ind w:left="108" w:right="567"/>
              <w:rPr>
                <w:rFonts w:ascii="Verdana" w:hAnsi="Verdana"/>
                <w:b/>
                <w:sz w:val="18"/>
                <w:szCs w:val="18"/>
              </w:rPr>
            </w:pPr>
            <w:r w:rsidRPr="00EC75B7">
              <w:rPr>
                <w:rFonts w:ascii="Verdana" w:hAnsi="Verdana"/>
                <w:b/>
                <w:color w:val="FFFFFF"/>
                <w:spacing w:val="-2"/>
                <w:sz w:val="18"/>
                <w:szCs w:val="18"/>
              </w:rPr>
              <w:t>Magnitude class</w:t>
            </w:r>
          </w:p>
        </w:tc>
        <w:tc>
          <w:tcPr>
            <w:tcW w:w="4427" w:type="dxa"/>
            <w:shd w:val="clear" w:color="auto" w:fill="00AFEF"/>
          </w:tcPr>
          <w:p w14:paraId="59F56E66"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Description</w:t>
            </w:r>
          </w:p>
        </w:tc>
        <w:tc>
          <w:tcPr>
            <w:tcW w:w="3467" w:type="dxa"/>
            <w:shd w:val="clear" w:color="auto" w:fill="00AFEF"/>
          </w:tcPr>
          <w:p w14:paraId="3799263B"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for the </w:t>
            </w:r>
            <w:r w:rsidRPr="00EC75B7">
              <w:rPr>
                <w:rFonts w:ascii="Verdana" w:hAnsi="Verdana"/>
                <w:b/>
                <w:color w:val="FFFFFF"/>
                <w:spacing w:val="-2"/>
                <w:sz w:val="18"/>
                <w:szCs w:val="18"/>
              </w:rPr>
              <w:t>project</w:t>
            </w:r>
          </w:p>
        </w:tc>
      </w:tr>
      <w:tr w:rsidR="008715BE" w:rsidRPr="00EC75B7" w14:paraId="136C642B" w14:textId="77777777">
        <w:trPr>
          <w:trHeight w:val="335"/>
        </w:trPr>
        <w:tc>
          <w:tcPr>
            <w:tcW w:w="9716" w:type="dxa"/>
            <w:gridSpan w:val="3"/>
            <w:shd w:val="clear" w:color="auto" w:fill="ADAAAA"/>
          </w:tcPr>
          <w:p w14:paraId="3D3ACA3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78941F80" w14:textId="77777777">
        <w:trPr>
          <w:trHeight w:val="1360"/>
        </w:trPr>
        <w:tc>
          <w:tcPr>
            <w:tcW w:w="1822" w:type="dxa"/>
            <w:shd w:val="clear" w:color="auto" w:fill="F1F1F1"/>
          </w:tcPr>
          <w:p w14:paraId="404B845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427" w:type="dxa"/>
            <w:shd w:val="clear" w:color="auto" w:fill="F1F1F1"/>
          </w:tcPr>
          <w:p w14:paraId="2C20B25B"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Activities leading to the alteration of less than 15% of the specific elements of cultural heritage</w:t>
            </w:r>
          </w:p>
        </w:tc>
        <w:tc>
          <w:tcPr>
            <w:tcW w:w="3467" w:type="dxa"/>
            <w:shd w:val="clear" w:color="auto" w:fill="F1F1F1"/>
          </w:tcPr>
          <w:p w14:paraId="7D672219" w14:textId="77777777" w:rsidR="008715BE" w:rsidRPr="00EC75B7" w:rsidRDefault="00000000">
            <w:pPr>
              <w:pStyle w:val="TableParagraph"/>
              <w:spacing w:line="194" w:lineRule="exact"/>
              <w:ind w:left="107" w:right="94"/>
              <w:jc w:val="both"/>
              <w:rPr>
                <w:rFonts w:ascii="Verdana" w:hAnsi="Verdana"/>
                <w:sz w:val="18"/>
                <w:szCs w:val="18"/>
              </w:rPr>
            </w:pPr>
            <w:r w:rsidRPr="00EC75B7">
              <w:rPr>
                <w:rFonts w:ascii="Verdana" w:hAnsi="Verdana"/>
                <w:sz w:val="18"/>
                <w:szCs w:val="18"/>
              </w:rPr>
              <w:t>During the construction and decommissioning stages</w:t>
            </w:r>
            <w:r w:rsidRPr="00EC75B7">
              <w:rPr>
                <w:rFonts w:ascii="Verdana" w:hAnsi="Verdana"/>
                <w:spacing w:val="-2"/>
                <w:sz w:val="18"/>
                <w:szCs w:val="18"/>
              </w:rPr>
              <w:t xml:space="preserve">, the magnitude was considered low </w:t>
            </w:r>
            <w:r w:rsidRPr="00EC75B7">
              <w:rPr>
                <w:rFonts w:ascii="Verdana" w:hAnsi="Verdana"/>
                <w:sz w:val="18"/>
                <w:szCs w:val="18"/>
              </w:rPr>
              <w:t>due to the fact that the project does not intersect any historical monuments, the closest one being at a distance of approx. 636 m from T27, this site being the Tumulus at Căscioarele Movila Bacu.</w:t>
            </w:r>
          </w:p>
        </w:tc>
      </w:tr>
      <w:tr w:rsidR="008715BE" w:rsidRPr="00EC75B7" w14:paraId="680E3037" w14:textId="77777777">
        <w:trPr>
          <w:trHeight w:val="388"/>
        </w:trPr>
        <w:tc>
          <w:tcPr>
            <w:tcW w:w="1822" w:type="dxa"/>
          </w:tcPr>
          <w:p w14:paraId="65896C9B"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27" w:type="dxa"/>
          </w:tcPr>
          <w:p w14:paraId="641860EE"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Activities leading to the alteration of 15-50% of the elements specific to cultural heritage</w:t>
            </w:r>
          </w:p>
        </w:tc>
        <w:tc>
          <w:tcPr>
            <w:tcW w:w="3467" w:type="dxa"/>
          </w:tcPr>
          <w:p w14:paraId="164B7683" w14:textId="77777777" w:rsidR="008715BE" w:rsidRPr="00EC75B7" w:rsidRDefault="00000000">
            <w:pPr>
              <w:pStyle w:val="TableParagraph"/>
              <w:spacing w:before="8"/>
              <w:ind w:left="165"/>
              <w:rPr>
                <w:rFonts w:ascii="Verdana" w:hAnsi="Verdana"/>
                <w:sz w:val="18"/>
                <w:szCs w:val="18"/>
              </w:rPr>
            </w:pPr>
            <w:r w:rsidRPr="00EC75B7">
              <w:rPr>
                <w:rFonts w:ascii="Verdana" w:hAnsi="Verdana"/>
                <w:sz w:val="18"/>
                <w:szCs w:val="18"/>
              </w:rPr>
              <w:t>-</w:t>
            </w:r>
          </w:p>
        </w:tc>
      </w:tr>
      <w:tr w:rsidR="008715BE" w:rsidRPr="00EC75B7" w14:paraId="5137DE8E" w14:textId="77777777">
        <w:trPr>
          <w:trHeight w:val="400"/>
        </w:trPr>
        <w:tc>
          <w:tcPr>
            <w:tcW w:w="1822" w:type="dxa"/>
            <w:shd w:val="clear" w:color="auto" w:fill="F1F1F1"/>
          </w:tcPr>
          <w:p w14:paraId="035CA9C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427" w:type="dxa"/>
            <w:shd w:val="clear" w:color="auto" w:fill="F1F1F1"/>
          </w:tcPr>
          <w:p w14:paraId="14E97A61" w14:textId="77777777" w:rsidR="008715BE" w:rsidRPr="00EC75B7" w:rsidRDefault="00000000">
            <w:pPr>
              <w:pStyle w:val="TableParagraph"/>
              <w:spacing w:line="190" w:lineRule="atLeast"/>
              <w:ind w:left="107"/>
              <w:rPr>
                <w:rFonts w:ascii="Verdana" w:hAnsi="Verdana"/>
                <w:sz w:val="18"/>
                <w:szCs w:val="18"/>
              </w:rPr>
            </w:pPr>
            <w:r w:rsidRPr="00EC75B7">
              <w:rPr>
                <w:rFonts w:ascii="Verdana" w:hAnsi="Verdana"/>
                <w:sz w:val="18"/>
                <w:szCs w:val="18"/>
              </w:rPr>
              <w:t>Activities leading to the alteration of more than 50% of the elements specific to cultural heritage</w:t>
            </w:r>
          </w:p>
        </w:tc>
        <w:tc>
          <w:tcPr>
            <w:tcW w:w="3467" w:type="dxa"/>
            <w:shd w:val="clear" w:color="auto" w:fill="F1F1F1"/>
          </w:tcPr>
          <w:p w14:paraId="5C089B3A"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2D744F0A" w14:textId="77777777">
        <w:trPr>
          <w:trHeight w:val="194"/>
        </w:trPr>
        <w:tc>
          <w:tcPr>
            <w:tcW w:w="9716" w:type="dxa"/>
            <w:gridSpan w:val="3"/>
            <w:shd w:val="clear" w:color="auto" w:fill="BEBEBE"/>
          </w:tcPr>
          <w:p w14:paraId="6761C94C"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2C682994" w14:textId="77777777">
        <w:trPr>
          <w:trHeight w:val="194"/>
        </w:trPr>
        <w:tc>
          <w:tcPr>
            <w:tcW w:w="1822" w:type="dxa"/>
            <w:vMerge w:val="restart"/>
            <w:shd w:val="clear" w:color="auto" w:fill="F1F1F1"/>
          </w:tcPr>
          <w:p w14:paraId="6208F1B8"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427" w:type="dxa"/>
            <w:vMerge w:val="restart"/>
            <w:shd w:val="clear" w:color="auto" w:fill="F1F1F1"/>
          </w:tcPr>
          <w:p w14:paraId="0C2E1DC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Activities that lead to a small degree to the enhancement of specific elements of </w:t>
            </w:r>
            <w:r w:rsidRPr="00EC75B7">
              <w:rPr>
                <w:rFonts w:ascii="Verdana" w:hAnsi="Verdana"/>
                <w:spacing w:val="-2"/>
                <w:sz w:val="18"/>
                <w:szCs w:val="18"/>
              </w:rPr>
              <w:t xml:space="preserve">cultural </w:t>
            </w:r>
            <w:r w:rsidRPr="00EC75B7">
              <w:rPr>
                <w:rFonts w:ascii="Verdana" w:hAnsi="Verdana"/>
                <w:sz w:val="18"/>
                <w:szCs w:val="18"/>
              </w:rPr>
              <w:t>heritage</w:t>
            </w:r>
          </w:p>
        </w:tc>
        <w:tc>
          <w:tcPr>
            <w:tcW w:w="3467" w:type="dxa"/>
            <w:shd w:val="clear" w:color="auto" w:fill="F1F1F1"/>
          </w:tcPr>
          <w:p w14:paraId="603A01E9"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w:t>
            </w:r>
          </w:p>
        </w:tc>
      </w:tr>
      <w:tr w:rsidR="008715BE" w:rsidRPr="00EC75B7" w14:paraId="202B64CA" w14:textId="77777777">
        <w:trPr>
          <w:trHeight w:val="193"/>
        </w:trPr>
        <w:tc>
          <w:tcPr>
            <w:tcW w:w="1822" w:type="dxa"/>
            <w:vMerge/>
            <w:tcBorders>
              <w:top w:val="nil"/>
            </w:tcBorders>
            <w:shd w:val="clear" w:color="auto" w:fill="F1F1F1"/>
          </w:tcPr>
          <w:p w14:paraId="330FD5C1" w14:textId="77777777" w:rsidR="008715BE" w:rsidRPr="00EC75B7" w:rsidRDefault="008715BE">
            <w:pPr>
              <w:rPr>
                <w:rFonts w:ascii="Verdana" w:hAnsi="Verdana"/>
                <w:sz w:val="18"/>
                <w:szCs w:val="18"/>
              </w:rPr>
            </w:pPr>
          </w:p>
        </w:tc>
        <w:tc>
          <w:tcPr>
            <w:tcW w:w="4427" w:type="dxa"/>
            <w:vMerge/>
            <w:tcBorders>
              <w:top w:val="nil"/>
            </w:tcBorders>
            <w:shd w:val="clear" w:color="auto" w:fill="F1F1F1"/>
          </w:tcPr>
          <w:p w14:paraId="01880F6E" w14:textId="77777777" w:rsidR="008715BE" w:rsidRPr="00EC75B7" w:rsidRDefault="008715BE">
            <w:pPr>
              <w:rPr>
                <w:rFonts w:ascii="Verdana" w:hAnsi="Verdana"/>
                <w:sz w:val="18"/>
                <w:szCs w:val="18"/>
              </w:rPr>
            </w:pPr>
          </w:p>
        </w:tc>
        <w:tc>
          <w:tcPr>
            <w:tcW w:w="3467" w:type="dxa"/>
            <w:shd w:val="clear" w:color="auto" w:fill="F1F1F1"/>
          </w:tcPr>
          <w:p w14:paraId="5BC498EB"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w:t>
            </w:r>
          </w:p>
        </w:tc>
      </w:tr>
      <w:tr w:rsidR="008715BE" w:rsidRPr="00EC75B7" w14:paraId="71074905" w14:textId="77777777">
        <w:trPr>
          <w:trHeight w:val="194"/>
        </w:trPr>
        <w:tc>
          <w:tcPr>
            <w:tcW w:w="1822" w:type="dxa"/>
            <w:vMerge w:val="restart"/>
            <w:shd w:val="clear" w:color="auto" w:fill="F1F1F1"/>
          </w:tcPr>
          <w:p w14:paraId="3BC64A29"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427" w:type="dxa"/>
            <w:vMerge w:val="restart"/>
            <w:shd w:val="clear" w:color="auto" w:fill="F1F1F1"/>
          </w:tcPr>
          <w:p w14:paraId="4117EA40" w14:textId="77777777" w:rsidR="008715BE" w:rsidRPr="00EC75B7" w:rsidRDefault="00000000">
            <w:pPr>
              <w:pStyle w:val="TableParagraph"/>
              <w:tabs>
                <w:tab w:val="left" w:pos="984"/>
                <w:tab w:val="left" w:pos="1344"/>
                <w:tab w:val="left" w:pos="2152"/>
                <w:tab w:val="left" w:pos="2464"/>
                <w:tab w:val="left" w:pos="3635"/>
              </w:tabs>
              <w:spacing w:before="8"/>
              <w:ind w:left="107" w:right="93"/>
              <w:rPr>
                <w:rFonts w:ascii="Verdana" w:hAnsi="Verdana"/>
                <w:sz w:val="18"/>
                <w:szCs w:val="18"/>
              </w:rPr>
            </w:pPr>
            <w:r w:rsidRPr="00EC75B7">
              <w:rPr>
                <w:rFonts w:ascii="Verdana" w:hAnsi="Verdana"/>
                <w:sz w:val="18"/>
                <w:szCs w:val="18"/>
              </w:rPr>
              <w:t xml:space="preserve">Activities that moderately contribute to </w:t>
            </w:r>
            <w:r w:rsidRPr="00EC75B7">
              <w:rPr>
                <w:rFonts w:ascii="Verdana" w:hAnsi="Verdana"/>
                <w:spacing w:val="-2"/>
                <w:sz w:val="18"/>
                <w:szCs w:val="18"/>
              </w:rPr>
              <w:t>the implementation</w:t>
            </w:r>
            <w:r w:rsidRPr="00EC75B7">
              <w:rPr>
                <w:rFonts w:ascii="Verdana" w:hAnsi="Verdana"/>
                <w:sz w:val="18"/>
                <w:szCs w:val="18"/>
              </w:rPr>
              <w:tab/>
            </w:r>
            <w:r w:rsidRPr="00EC75B7">
              <w:rPr>
                <w:rFonts w:ascii="Verdana" w:hAnsi="Verdana"/>
                <w:spacing w:val="-5"/>
                <w:sz w:val="18"/>
                <w:szCs w:val="18"/>
              </w:rPr>
              <w:t>in</w:t>
            </w:r>
            <w:r w:rsidRPr="00EC75B7">
              <w:rPr>
                <w:rFonts w:ascii="Verdana" w:hAnsi="Verdana"/>
                <w:sz w:val="18"/>
                <w:szCs w:val="18"/>
              </w:rPr>
              <w:tab/>
            </w:r>
            <w:r w:rsidRPr="00EC75B7">
              <w:rPr>
                <w:rFonts w:ascii="Verdana" w:hAnsi="Verdana"/>
                <w:spacing w:val="-2"/>
                <w:sz w:val="18"/>
                <w:szCs w:val="18"/>
              </w:rPr>
              <w:t>value</w:t>
            </w:r>
            <w:r w:rsidRPr="00EC75B7">
              <w:rPr>
                <w:rFonts w:ascii="Verdana" w:hAnsi="Verdana"/>
                <w:sz w:val="18"/>
                <w:szCs w:val="18"/>
              </w:rPr>
              <w:tab/>
            </w:r>
            <w:r w:rsidRPr="00EC75B7">
              <w:rPr>
                <w:rFonts w:ascii="Verdana" w:hAnsi="Verdana"/>
                <w:spacing w:val="-10"/>
                <w:sz w:val="18"/>
                <w:szCs w:val="18"/>
              </w:rPr>
              <w:t>the</w:t>
            </w:r>
            <w:r w:rsidRPr="00EC75B7">
              <w:rPr>
                <w:rFonts w:ascii="Verdana" w:hAnsi="Verdana"/>
                <w:sz w:val="18"/>
                <w:szCs w:val="18"/>
              </w:rPr>
              <w:tab/>
            </w:r>
            <w:r w:rsidRPr="00EC75B7">
              <w:rPr>
                <w:rFonts w:ascii="Verdana" w:hAnsi="Verdana"/>
                <w:spacing w:val="-2"/>
                <w:sz w:val="18"/>
                <w:szCs w:val="18"/>
              </w:rPr>
              <w:t>specific</w:t>
            </w:r>
            <w:r w:rsidRPr="00EC75B7">
              <w:rPr>
                <w:rFonts w:ascii="Verdana" w:hAnsi="Verdana"/>
                <w:sz w:val="18"/>
                <w:szCs w:val="18"/>
              </w:rPr>
              <w:tab/>
            </w:r>
            <w:r w:rsidRPr="00EC75B7">
              <w:rPr>
                <w:rFonts w:ascii="Verdana" w:hAnsi="Verdana"/>
                <w:spacing w:val="-2"/>
                <w:sz w:val="18"/>
                <w:szCs w:val="18"/>
              </w:rPr>
              <w:t>specific</w:t>
            </w:r>
          </w:p>
          <w:p w14:paraId="4D826D8B" w14:textId="77777777" w:rsidR="008715BE" w:rsidRPr="00EC75B7" w:rsidRDefault="00000000">
            <w:pPr>
              <w:pStyle w:val="TableParagraph"/>
              <w:spacing w:before="1" w:line="166" w:lineRule="exact"/>
              <w:ind w:left="107"/>
              <w:rPr>
                <w:rFonts w:ascii="Verdana" w:hAnsi="Verdana"/>
                <w:sz w:val="18"/>
                <w:szCs w:val="18"/>
              </w:rPr>
            </w:pPr>
            <w:r w:rsidRPr="00EC75B7">
              <w:rPr>
                <w:rFonts w:ascii="Verdana" w:hAnsi="Verdana"/>
                <w:spacing w:val="-2"/>
                <w:sz w:val="18"/>
                <w:szCs w:val="18"/>
              </w:rPr>
              <w:t xml:space="preserve">cultural </w:t>
            </w:r>
            <w:r w:rsidRPr="00EC75B7">
              <w:rPr>
                <w:rFonts w:ascii="Verdana" w:hAnsi="Verdana"/>
                <w:sz w:val="18"/>
                <w:szCs w:val="18"/>
              </w:rPr>
              <w:t>heritage</w:t>
            </w:r>
          </w:p>
        </w:tc>
        <w:tc>
          <w:tcPr>
            <w:tcW w:w="3467" w:type="dxa"/>
            <w:shd w:val="clear" w:color="auto" w:fill="F1F1F1"/>
          </w:tcPr>
          <w:p w14:paraId="1FB1549A"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w:t>
            </w:r>
          </w:p>
        </w:tc>
      </w:tr>
      <w:tr w:rsidR="008715BE" w:rsidRPr="00EC75B7" w14:paraId="22933DD8" w14:textId="77777777">
        <w:trPr>
          <w:trHeight w:val="381"/>
        </w:trPr>
        <w:tc>
          <w:tcPr>
            <w:tcW w:w="1822" w:type="dxa"/>
            <w:vMerge/>
            <w:tcBorders>
              <w:top w:val="nil"/>
            </w:tcBorders>
            <w:shd w:val="clear" w:color="auto" w:fill="F1F1F1"/>
          </w:tcPr>
          <w:p w14:paraId="3F89440C" w14:textId="77777777" w:rsidR="008715BE" w:rsidRPr="00EC75B7" w:rsidRDefault="008715BE">
            <w:pPr>
              <w:rPr>
                <w:rFonts w:ascii="Verdana" w:hAnsi="Verdana"/>
                <w:sz w:val="18"/>
                <w:szCs w:val="18"/>
              </w:rPr>
            </w:pPr>
          </w:p>
        </w:tc>
        <w:tc>
          <w:tcPr>
            <w:tcW w:w="4427" w:type="dxa"/>
            <w:vMerge/>
            <w:tcBorders>
              <w:top w:val="nil"/>
            </w:tcBorders>
            <w:shd w:val="clear" w:color="auto" w:fill="F1F1F1"/>
          </w:tcPr>
          <w:p w14:paraId="10044453" w14:textId="77777777" w:rsidR="008715BE" w:rsidRPr="00EC75B7" w:rsidRDefault="008715BE">
            <w:pPr>
              <w:rPr>
                <w:rFonts w:ascii="Verdana" w:hAnsi="Verdana"/>
                <w:sz w:val="18"/>
                <w:szCs w:val="18"/>
              </w:rPr>
            </w:pPr>
          </w:p>
        </w:tc>
        <w:tc>
          <w:tcPr>
            <w:tcW w:w="3467" w:type="dxa"/>
            <w:shd w:val="clear" w:color="auto" w:fill="F1F1F1"/>
          </w:tcPr>
          <w:p w14:paraId="0EBDCDF7" w14:textId="77777777" w:rsidR="008715BE" w:rsidRPr="00EC75B7" w:rsidRDefault="00000000">
            <w:pPr>
              <w:pStyle w:val="TableParagraph"/>
              <w:spacing w:before="11"/>
              <w:ind w:left="107"/>
              <w:rPr>
                <w:rFonts w:ascii="Verdana" w:hAnsi="Verdana"/>
                <w:sz w:val="18"/>
                <w:szCs w:val="18"/>
              </w:rPr>
            </w:pPr>
            <w:r w:rsidRPr="00EC75B7">
              <w:rPr>
                <w:rFonts w:ascii="Verdana" w:hAnsi="Verdana"/>
                <w:sz w:val="18"/>
                <w:szCs w:val="18"/>
              </w:rPr>
              <w:t>-</w:t>
            </w:r>
          </w:p>
        </w:tc>
      </w:tr>
      <w:tr w:rsidR="008715BE" w:rsidRPr="00EC75B7" w14:paraId="625D1A1F" w14:textId="77777777">
        <w:trPr>
          <w:trHeight w:val="194"/>
        </w:trPr>
        <w:tc>
          <w:tcPr>
            <w:tcW w:w="1822" w:type="dxa"/>
            <w:vMerge w:val="restart"/>
            <w:shd w:val="clear" w:color="auto" w:fill="F1F1F1"/>
          </w:tcPr>
          <w:p w14:paraId="05B85B64"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Major</w:t>
            </w:r>
          </w:p>
        </w:tc>
        <w:tc>
          <w:tcPr>
            <w:tcW w:w="4427" w:type="dxa"/>
            <w:vMerge w:val="restart"/>
            <w:shd w:val="clear" w:color="auto" w:fill="F1F1F1"/>
          </w:tcPr>
          <w:p w14:paraId="0C96CF97" w14:textId="77777777" w:rsidR="008715BE" w:rsidRPr="00EC75B7" w:rsidRDefault="00000000">
            <w:pPr>
              <w:pStyle w:val="TableParagraph"/>
              <w:spacing w:line="194" w:lineRule="exact"/>
              <w:ind w:left="107" w:right="95"/>
              <w:jc w:val="both"/>
              <w:rPr>
                <w:rFonts w:ascii="Verdana" w:hAnsi="Verdana"/>
                <w:sz w:val="18"/>
                <w:szCs w:val="18"/>
              </w:rPr>
            </w:pPr>
            <w:r w:rsidRPr="00EC75B7">
              <w:rPr>
                <w:rFonts w:ascii="Verdana" w:hAnsi="Verdana"/>
                <w:sz w:val="18"/>
                <w:szCs w:val="18"/>
              </w:rPr>
              <w:t xml:space="preserve">Activities that greatly contribute to the promotion of specific elements of </w:t>
            </w:r>
            <w:r w:rsidRPr="00EC75B7">
              <w:rPr>
                <w:rFonts w:ascii="Verdana" w:hAnsi="Verdana"/>
                <w:spacing w:val="-2"/>
                <w:sz w:val="18"/>
                <w:szCs w:val="18"/>
              </w:rPr>
              <w:t xml:space="preserve">cultural </w:t>
            </w:r>
            <w:r w:rsidRPr="00EC75B7">
              <w:rPr>
                <w:rFonts w:ascii="Verdana" w:hAnsi="Verdana"/>
                <w:sz w:val="18"/>
                <w:szCs w:val="18"/>
              </w:rPr>
              <w:t>heritage</w:t>
            </w:r>
          </w:p>
        </w:tc>
        <w:tc>
          <w:tcPr>
            <w:tcW w:w="3467" w:type="dxa"/>
            <w:shd w:val="clear" w:color="auto" w:fill="F1F1F1"/>
          </w:tcPr>
          <w:p w14:paraId="10A6998B"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w:t>
            </w:r>
          </w:p>
        </w:tc>
      </w:tr>
      <w:tr w:rsidR="008715BE" w:rsidRPr="00EC75B7" w14:paraId="5CC12D1C" w14:textId="77777777">
        <w:trPr>
          <w:trHeight w:val="378"/>
        </w:trPr>
        <w:tc>
          <w:tcPr>
            <w:tcW w:w="1822" w:type="dxa"/>
            <w:vMerge/>
            <w:tcBorders>
              <w:top w:val="nil"/>
            </w:tcBorders>
            <w:shd w:val="clear" w:color="auto" w:fill="F1F1F1"/>
          </w:tcPr>
          <w:p w14:paraId="28C0130C" w14:textId="77777777" w:rsidR="008715BE" w:rsidRPr="00EC75B7" w:rsidRDefault="008715BE">
            <w:pPr>
              <w:rPr>
                <w:rFonts w:ascii="Verdana" w:hAnsi="Verdana"/>
                <w:sz w:val="18"/>
                <w:szCs w:val="18"/>
              </w:rPr>
            </w:pPr>
          </w:p>
        </w:tc>
        <w:tc>
          <w:tcPr>
            <w:tcW w:w="4427" w:type="dxa"/>
            <w:vMerge/>
            <w:tcBorders>
              <w:top w:val="nil"/>
            </w:tcBorders>
            <w:shd w:val="clear" w:color="auto" w:fill="F1F1F1"/>
          </w:tcPr>
          <w:p w14:paraId="6BA76988" w14:textId="77777777" w:rsidR="008715BE" w:rsidRPr="00EC75B7" w:rsidRDefault="008715BE">
            <w:pPr>
              <w:rPr>
                <w:rFonts w:ascii="Verdana" w:hAnsi="Verdana"/>
                <w:sz w:val="18"/>
                <w:szCs w:val="18"/>
              </w:rPr>
            </w:pPr>
          </w:p>
        </w:tc>
        <w:tc>
          <w:tcPr>
            <w:tcW w:w="3467" w:type="dxa"/>
            <w:shd w:val="clear" w:color="auto" w:fill="F1F1F1"/>
          </w:tcPr>
          <w:p w14:paraId="10886CC3"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7F4A7A78" w14:textId="77777777">
        <w:trPr>
          <w:trHeight w:val="193"/>
        </w:trPr>
        <w:tc>
          <w:tcPr>
            <w:tcW w:w="9716" w:type="dxa"/>
            <w:gridSpan w:val="3"/>
            <w:shd w:val="clear" w:color="auto" w:fill="ADAAAA"/>
          </w:tcPr>
          <w:p w14:paraId="79EC74D1"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60498C22" w14:textId="77777777">
        <w:trPr>
          <w:trHeight w:val="582"/>
        </w:trPr>
        <w:tc>
          <w:tcPr>
            <w:tcW w:w="1822" w:type="dxa"/>
            <w:shd w:val="clear" w:color="auto" w:fill="F1F1F1"/>
          </w:tcPr>
          <w:p w14:paraId="67495A3B" w14:textId="77777777" w:rsidR="008715BE" w:rsidRPr="00EC75B7" w:rsidRDefault="008715BE">
            <w:pPr>
              <w:pStyle w:val="TableParagraph"/>
              <w:rPr>
                <w:rFonts w:ascii="Verdana" w:hAnsi="Verdana"/>
                <w:sz w:val="18"/>
                <w:szCs w:val="18"/>
              </w:rPr>
            </w:pPr>
          </w:p>
        </w:tc>
        <w:tc>
          <w:tcPr>
            <w:tcW w:w="4427" w:type="dxa"/>
            <w:shd w:val="clear" w:color="auto" w:fill="F1F1F1"/>
          </w:tcPr>
          <w:p w14:paraId="04178764" w14:textId="77777777" w:rsidR="008715BE" w:rsidRPr="00EC75B7" w:rsidRDefault="00000000">
            <w:pPr>
              <w:pStyle w:val="TableParagraph"/>
              <w:tabs>
                <w:tab w:val="left" w:pos="1087"/>
                <w:tab w:val="left" w:pos="1706"/>
                <w:tab w:val="left" w:pos="2184"/>
                <w:tab w:val="left" w:pos="3434"/>
              </w:tabs>
              <w:spacing w:before="8"/>
              <w:ind w:left="107" w:right="93"/>
              <w:rPr>
                <w:rFonts w:ascii="Verdana" w:hAnsi="Verdana"/>
                <w:sz w:val="18"/>
                <w:szCs w:val="18"/>
              </w:rPr>
            </w:pPr>
            <w:r w:rsidRPr="00EC75B7">
              <w:rPr>
                <w:rFonts w:ascii="Verdana" w:hAnsi="Verdana"/>
                <w:spacing w:val="-2"/>
                <w:sz w:val="18"/>
                <w:szCs w:val="18"/>
              </w:rPr>
              <w:t>Activities</w:t>
            </w:r>
            <w:r w:rsidRPr="00EC75B7">
              <w:rPr>
                <w:rFonts w:ascii="Verdana" w:hAnsi="Verdana"/>
                <w:sz w:val="18"/>
                <w:szCs w:val="18"/>
              </w:rPr>
              <w:tab/>
            </w:r>
            <w:r w:rsidRPr="00EC75B7">
              <w:rPr>
                <w:rFonts w:ascii="Verdana" w:hAnsi="Verdana"/>
                <w:spacing w:val="-4"/>
                <w:sz w:val="18"/>
                <w:szCs w:val="18"/>
              </w:rPr>
              <w:t>that</w:t>
            </w:r>
            <w:r w:rsidRPr="00EC75B7">
              <w:rPr>
                <w:rFonts w:ascii="Verdana" w:hAnsi="Verdana"/>
                <w:sz w:val="18"/>
                <w:szCs w:val="18"/>
              </w:rPr>
              <w:tab/>
            </w:r>
            <w:r w:rsidRPr="00EC75B7">
              <w:rPr>
                <w:rFonts w:ascii="Verdana" w:hAnsi="Verdana"/>
                <w:spacing w:val="-6"/>
                <w:sz w:val="18"/>
                <w:szCs w:val="18"/>
              </w:rPr>
              <w:t>do not</w:t>
            </w:r>
            <w:r w:rsidRPr="00EC75B7">
              <w:rPr>
                <w:rFonts w:ascii="Verdana" w:hAnsi="Verdana"/>
                <w:sz w:val="18"/>
                <w:szCs w:val="18"/>
              </w:rPr>
              <w:tab/>
            </w:r>
            <w:r w:rsidRPr="00EC75B7">
              <w:rPr>
                <w:rFonts w:ascii="Verdana" w:hAnsi="Verdana"/>
                <w:spacing w:val="-2"/>
                <w:sz w:val="18"/>
                <w:szCs w:val="18"/>
              </w:rPr>
              <w:t>affect</w:t>
            </w:r>
            <w:r w:rsidRPr="00EC75B7">
              <w:rPr>
                <w:rFonts w:ascii="Verdana" w:hAnsi="Verdana"/>
                <w:sz w:val="18"/>
                <w:szCs w:val="18"/>
              </w:rPr>
              <w:tab/>
            </w:r>
            <w:r w:rsidRPr="00EC75B7">
              <w:rPr>
                <w:rFonts w:ascii="Verdana" w:hAnsi="Verdana"/>
                <w:spacing w:val="-2"/>
                <w:sz w:val="18"/>
                <w:szCs w:val="18"/>
              </w:rPr>
              <w:t xml:space="preserve">elements of </w:t>
            </w:r>
            <w:r w:rsidRPr="00EC75B7">
              <w:rPr>
                <w:rFonts w:ascii="Verdana" w:hAnsi="Verdana"/>
                <w:sz w:val="18"/>
                <w:szCs w:val="18"/>
              </w:rPr>
              <w:t>cultural heritage</w:t>
            </w:r>
          </w:p>
        </w:tc>
        <w:tc>
          <w:tcPr>
            <w:tcW w:w="3467" w:type="dxa"/>
            <w:shd w:val="clear" w:color="auto" w:fill="F1F1F1"/>
          </w:tcPr>
          <w:p w14:paraId="15B1C7C5" w14:textId="77777777" w:rsidR="008715BE" w:rsidRPr="00EC75B7" w:rsidRDefault="00000000">
            <w:pPr>
              <w:pStyle w:val="TableParagraph"/>
              <w:spacing w:line="194" w:lineRule="exact"/>
              <w:ind w:left="107" w:right="94"/>
              <w:jc w:val="both"/>
              <w:rPr>
                <w:rFonts w:ascii="Verdana" w:hAnsi="Verdana"/>
                <w:sz w:val="18"/>
                <w:szCs w:val="18"/>
              </w:rPr>
            </w:pPr>
            <w:r w:rsidRPr="00EC75B7">
              <w:rPr>
                <w:rFonts w:ascii="Verdana" w:hAnsi="Verdana"/>
                <w:sz w:val="18"/>
                <w:szCs w:val="18"/>
              </w:rPr>
              <w:t xml:space="preserve">During the project's operational phase, no </w:t>
            </w:r>
            <w:r w:rsidRPr="00EC75B7">
              <w:rPr>
                <w:rFonts w:ascii="Verdana" w:hAnsi="Verdana"/>
                <w:spacing w:val="-2"/>
                <w:sz w:val="18"/>
                <w:szCs w:val="18"/>
              </w:rPr>
              <w:t xml:space="preserve">changes </w:t>
            </w:r>
            <w:r w:rsidRPr="00EC75B7">
              <w:rPr>
                <w:rFonts w:ascii="Verdana" w:hAnsi="Verdana"/>
                <w:sz w:val="18"/>
                <w:szCs w:val="18"/>
              </w:rPr>
              <w:t>are expected to occur</w:t>
            </w:r>
            <w:r w:rsidRPr="00EC75B7">
              <w:rPr>
                <w:rFonts w:ascii="Verdana" w:hAnsi="Verdana"/>
                <w:spacing w:val="-2"/>
                <w:sz w:val="18"/>
                <w:szCs w:val="18"/>
              </w:rPr>
              <w:t>.</w:t>
            </w:r>
          </w:p>
        </w:tc>
      </w:tr>
    </w:tbl>
    <w:p w14:paraId="0091DDB4" w14:textId="77777777" w:rsidR="008715BE" w:rsidRPr="00EC75B7" w:rsidRDefault="008715BE">
      <w:pPr>
        <w:pStyle w:val="BodyText"/>
        <w:rPr>
          <w:rFonts w:ascii="Verdana" w:hAnsi="Verdana"/>
          <w:b/>
        </w:rPr>
      </w:pPr>
    </w:p>
    <w:p w14:paraId="76F304B3" w14:textId="77777777" w:rsidR="008715BE" w:rsidRPr="00EC75B7" w:rsidRDefault="008715BE">
      <w:pPr>
        <w:pStyle w:val="BodyText"/>
        <w:rPr>
          <w:rFonts w:ascii="Verdana" w:hAnsi="Verdana"/>
          <w:b/>
        </w:rPr>
      </w:pPr>
    </w:p>
    <w:p w14:paraId="64083DB7" w14:textId="77777777" w:rsidR="008715BE" w:rsidRPr="00EC75B7" w:rsidRDefault="008715BE">
      <w:pPr>
        <w:pStyle w:val="BodyText"/>
        <w:rPr>
          <w:rFonts w:ascii="Verdana" w:hAnsi="Verdana"/>
          <w:b/>
        </w:rPr>
      </w:pPr>
    </w:p>
    <w:p w14:paraId="2B347012"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08" w:name="_bookmark109"/>
      <w:bookmarkEnd w:id="108"/>
      <w:r w:rsidRPr="00EC75B7">
        <w:rPr>
          <w:rFonts w:ascii="Verdana" w:hAnsi="Verdana"/>
          <w:color w:val="00AFEF"/>
          <w:spacing w:val="-2"/>
          <w:sz w:val="18"/>
          <w:szCs w:val="18"/>
        </w:rPr>
        <w:t xml:space="preserve">Impact </w:t>
      </w:r>
      <w:r w:rsidRPr="00EC75B7">
        <w:rPr>
          <w:rFonts w:ascii="Verdana" w:hAnsi="Verdana"/>
          <w:color w:val="00AFEF"/>
          <w:sz w:val="18"/>
          <w:szCs w:val="18"/>
        </w:rPr>
        <w:t>forecasting</w:t>
      </w:r>
    </w:p>
    <w:p w14:paraId="15BC2D2C" w14:textId="77777777" w:rsidR="008715BE" w:rsidRPr="00EC75B7" w:rsidRDefault="008715BE">
      <w:pPr>
        <w:pStyle w:val="BodyText"/>
        <w:spacing w:before="114"/>
        <w:rPr>
          <w:rFonts w:ascii="Verdana" w:hAnsi="Verdana"/>
          <w:b/>
        </w:rPr>
      </w:pPr>
    </w:p>
    <w:p w14:paraId="6F1DA129" w14:textId="77777777" w:rsidR="008715BE" w:rsidRPr="00EC75B7" w:rsidRDefault="00000000">
      <w:pPr>
        <w:pStyle w:val="BodyText"/>
        <w:ind w:left="57"/>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aspects </w:t>
      </w:r>
      <w:r w:rsidRPr="00EC75B7">
        <w:rPr>
          <w:rFonts w:ascii="Verdana" w:hAnsi="Verdana"/>
        </w:rPr>
        <w:t>were taken into account when assessing the impact</w:t>
      </w:r>
      <w:r w:rsidRPr="00EC75B7">
        <w:rPr>
          <w:rFonts w:ascii="Verdana" w:hAnsi="Verdana"/>
          <w:spacing w:val="-2"/>
        </w:rPr>
        <w:t>:</w:t>
      </w:r>
    </w:p>
    <w:p w14:paraId="5EBC9A3A" w14:textId="77777777" w:rsidR="008715BE" w:rsidRPr="00EC75B7" w:rsidRDefault="008715BE">
      <w:pPr>
        <w:pStyle w:val="BodyText"/>
        <w:rPr>
          <w:rFonts w:ascii="Verdana" w:hAnsi="Verdana"/>
        </w:rPr>
        <w:sectPr w:rsidR="008715BE" w:rsidRPr="00EC75B7">
          <w:pgSz w:w="11910" w:h="16840"/>
          <w:pgMar w:top="1320" w:right="850" w:bottom="1020" w:left="1133" w:header="766" w:footer="824" w:gutter="0"/>
          <w:cols w:space="708"/>
        </w:sectPr>
      </w:pPr>
    </w:p>
    <w:p w14:paraId="0475987D" w14:textId="77777777" w:rsidR="008715BE" w:rsidRPr="00EC75B7" w:rsidRDefault="008715BE">
      <w:pPr>
        <w:pStyle w:val="BodyText"/>
        <w:spacing w:before="10"/>
        <w:rPr>
          <w:rFonts w:ascii="Verdana" w:hAnsi="Verdana"/>
        </w:rPr>
      </w:pPr>
    </w:p>
    <w:p w14:paraId="0FAAC3FE" w14:textId="36A69A46" w:rsidR="008715BE" w:rsidRPr="002A4F7C" w:rsidRDefault="00000000" w:rsidP="002A4F7C">
      <w:pPr>
        <w:ind w:left="58"/>
        <w:rPr>
          <w:rFonts w:ascii="Verdana" w:hAnsi="Verdana"/>
          <w:sz w:val="18"/>
          <w:szCs w:val="18"/>
        </w:rPr>
      </w:pPr>
      <w:r w:rsidRPr="00EC75B7">
        <w:rPr>
          <w:rFonts w:ascii="Verdana" w:hAnsi="Verdana"/>
          <w:noProof/>
          <w:sz w:val="18"/>
          <w:szCs w:val="18"/>
        </w:rPr>
        <mc:AlternateContent>
          <mc:Choice Requires="wpg">
            <w:drawing>
              <wp:inline distT="0" distB="0" distL="0" distR="0" wp14:anchorId="08108523" wp14:editId="7CD044C3">
                <wp:extent cx="5904230" cy="1113790"/>
                <wp:effectExtent l="0" t="0" r="0" b="634"/>
                <wp:docPr id="436" name="Group 436"/>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37" name="Graphic 437"/>
                        <wps:cNvSpPr/>
                        <wps:spPr>
                          <a:xfrm>
                            <a:off x="0" y="0"/>
                            <a:ext cx="5904230" cy="1113790"/>
                          </a:xfrm>
                          <a:custGeom>
                            <a:avLst/>
                            <a:gdLst/>
                            <a:ahLst/>
                            <a:cxnLst/>
                            <a:rect l="l" t="t" r="r" b="b"/>
                            <a:pathLst>
                              <a:path w="5904230" h="1113790">
                                <a:moveTo>
                                  <a:pt x="5792850"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0"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0" y="0"/>
                                </a:lnTo>
                                <a:close/>
                              </a:path>
                            </a:pathLst>
                          </a:custGeom>
                          <a:solidFill>
                            <a:srgbClr val="00AFEF"/>
                          </a:solidFill>
                        </wps:spPr>
                        <wps:bodyPr wrap="square" lIns="0" tIns="0" rIns="0" bIns="0" rtlCol="0">
                          <a:prstTxWarp prst="textNoShape">
                            <a:avLst/>
                          </a:prstTxWarp>
                        </wps:bodyPr>
                      </wps:wsp>
                      <wps:wsp>
                        <wps:cNvPr id="438" name="Graphic 438"/>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83"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87"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39" name="Graphic 439"/>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40" name="Textbox 440"/>
                        <wps:cNvSpPr txBox="1"/>
                        <wps:spPr>
                          <a:xfrm>
                            <a:off x="0" y="0"/>
                            <a:ext cx="5904230" cy="1113790"/>
                          </a:xfrm>
                          <a:prstGeom prst="rect">
                            <a:avLst/>
                          </a:prstGeom>
                        </wps:spPr>
                        <wps:txbx>
                          <w:txbxContent>
                            <w:p w14:paraId="36590F24" w14:textId="77777777" w:rsidR="008715BE" w:rsidRDefault="00000000">
                              <w:pPr>
                                <w:spacing w:before="41"/>
                                <w:ind w:left="2113"/>
                                <w:rPr>
                                  <w:b/>
                                  <w:sz w:val="18"/>
                                </w:rPr>
                              </w:pPr>
                              <w:r>
                                <w:rPr>
                                  <w:b/>
                                  <w:w w:val="135"/>
                                  <w:sz w:val="12"/>
                                </w:rPr>
                                <w:t xml:space="preserve">Form of </w:t>
                              </w:r>
                              <w:r>
                                <w:rPr>
                                  <w:b/>
                                  <w:spacing w:val="-2"/>
                                  <w:w w:val="135"/>
                                  <w:sz w:val="12"/>
                                </w:rPr>
                                <w:t>impact</w:t>
                              </w:r>
                            </w:p>
                            <w:p w14:paraId="11A6B1D8" w14:textId="77777777" w:rsidR="008715BE" w:rsidRDefault="00000000">
                              <w:pPr>
                                <w:numPr>
                                  <w:ilvl w:val="0"/>
                                  <w:numId w:val="44"/>
                                </w:numPr>
                                <w:tabs>
                                  <w:tab w:val="left" w:pos="2273"/>
                                </w:tabs>
                                <w:spacing w:before="18"/>
                                <w:ind w:left="2273" w:hanging="160"/>
                                <w:rPr>
                                  <w:sz w:val="18"/>
                                </w:rPr>
                              </w:pPr>
                              <w:r>
                                <w:rPr>
                                  <w:w w:val="120"/>
                                  <w:sz w:val="12"/>
                                </w:rPr>
                                <w:t xml:space="preserve">damage to historical monuments and </w:t>
                              </w:r>
                              <w:r>
                                <w:rPr>
                                  <w:spacing w:val="-2"/>
                                  <w:w w:val="120"/>
                                  <w:sz w:val="12"/>
                                </w:rPr>
                                <w:t xml:space="preserve">archaeological </w:t>
                              </w:r>
                              <w:r>
                                <w:rPr>
                                  <w:w w:val="120"/>
                                  <w:sz w:val="12"/>
                                </w:rPr>
                                <w:t>sites</w:t>
                              </w:r>
                            </w:p>
                            <w:p w14:paraId="4301762C" w14:textId="77777777" w:rsidR="008715BE" w:rsidRDefault="00000000">
                              <w:pPr>
                                <w:numPr>
                                  <w:ilvl w:val="0"/>
                                  <w:numId w:val="44"/>
                                </w:numPr>
                                <w:tabs>
                                  <w:tab w:val="left" w:pos="2273"/>
                                </w:tabs>
                                <w:spacing w:before="18"/>
                                <w:ind w:left="2273" w:hanging="160"/>
                                <w:rPr>
                                  <w:sz w:val="18"/>
                                </w:rPr>
                              </w:pPr>
                              <w:r>
                                <w:rPr>
                                  <w:w w:val="120"/>
                                  <w:sz w:val="12"/>
                                </w:rPr>
                                <w:t xml:space="preserve">destruction of historical monuments and </w:t>
                              </w:r>
                              <w:r>
                                <w:rPr>
                                  <w:spacing w:val="-2"/>
                                  <w:w w:val="120"/>
                                  <w:sz w:val="12"/>
                                </w:rPr>
                                <w:t xml:space="preserve">archaeological </w:t>
                              </w:r>
                              <w:r>
                                <w:rPr>
                                  <w:w w:val="120"/>
                                  <w:sz w:val="12"/>
                                </w:rPr>
                                <w:t>sites</w:t>
                              </w:r>
                            </w:p>
                            <w:p w14:paraId="2A1F537F" w14:textId="77777777" w:rsidR="008715BE" w:rsidRDefault="00000000">
                              <w:pPr>
                                <w:numPr>
                                  <w:ilvl w:val="0"/>
                                  <w:numId w:val="44"/>
                                </w:numPr>
                                <w:tabs>
                                  <w:tab w:val="left" w:pos="2273"/>
                                </w:tabs>
                                <w:spacing w:before="15"/>
                                <w:ind w:left="2273" w:hanging="160"/>
                                <w:rPr>
                                  <w:sz w:val="18"/>
                                </w:rPr>
                              </w:pPr>
                              <w:r>
                                <w:rPr>
                                  <w:w w:val="120"/>
                                  <w:sz w:val="12"/>
                                </w:rPr>
                                <w:t xml:space="preserve">loss of traditions and </w:t>
                              </w:r>
                              <w:r>
                                <w:rPr>
                                  <w:spacing w:val="-2"/>
                                  <w:w w:val="120"/>
                                  <w:sz w:val="12"/>
                                </w:rPr>
                                <w:t>customs</w:t>
                              </w:r>
                            </w:p>
                            <w:p w14:paraId="0ED2FCFE" w14:textId="77777777" w:rsidR="008715BE" w:rsidRDefault="00000000">
                              <w:pPr>
                                <w:spacing w:before="18"/>
                                <w:ind w:left="2113"/>
                                <w:rPr>
                                  <w:sz w:val="18"/>
                                </w:rPr>
                              </w:pPr>
                              <w:r>
                                <w:rPr>
                                  <w:w w:val="120"/>
                                  <w:sz w:val="12"/>
                                </w:rPr>
                                <w:t xml:space="preserve">Negative impact for all stages of </w:t>
                              </w:r>
                              <w:r>
                                <w:rPr>
                                  <w:spacing w:val="-2"/>
                                  <w:w w:val="120"/>
                                  <w:sz w:val="12"/>
                                </w:rPr>
                                <w:t>the project</w:t>
                              </w:r>
                            </w:p>
                          </w:txbxContent>
                        </wps:txbx>
                        <wps:bodyPr wrap="square" lIns="0" tIns="0" rIns="0" bIns="0" rtlCol="0"/>
                      </wps:wsp>
                    </wpg:wgp>
                  </a:graphicData>
                </a:graphic>
              </wp:inline>
            </w:drawing>
          </mc:Choice>
          <mc:Fallback>
            <w:pict>
              <v:group w14:anchorId="08108523" id="Group 436" o:spid="_x0000_s1259"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">
                <v:shape id="Graphic 437" o:spid="_x0000_s1260"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" path="m5792850,l111353,,68012,8759,32616,32639,8751,68044,,111378r,890778l8751,1045545r23865,35399l68012,1104794r43341,8741l5792850,1113535r43335,-8741l5871591,1080944r23879,-35399l5904230,1002156r,-890778l5895470,68044,5871591,32638,5836185,8759,5792850,xe" fillcolor="#00afef" stroked="f">
                  <v:path arrowok="t"/>
                </v:shape>
                <v:shape id="Graphic 438" o:spid="_x0000_s1261"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60,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87,315899r138938,l777925,292506r-60756,l717169,245706r176898,l899502,240461r,-235229xem948118,344538r-5461,-5233l935964,339305r-291770,l649401,362699r166764,l874229,720394r24562,l840765,362699r101892,l948118,357466r,-12928xe" fillcolor="#c0c8e3" stroked="f">
                  <v:path arrowok="t"/>
                </v:shape>
                <v:shape id="Graphic 439" o:spid="_x0000_s1262"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40" o:spid="_x0000_s1263"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36590F24" w14:textId="77777777" w:rsidR="008715BE" w:rsidRDefault="00000000">
                        <w:pPr>
                          <w:spacing w:before="41"/>
                          <w:ind w:left="2113"/>
                          <w:rPr>
                            <w:b/>
                            <w:sz w:val="18"/>
                          </w:rPr>
                        </w:pPr>
                        <w:r>
                          <w:rPr>
                            <w:b/>
                            <w:w w:val="135"/>
                            <w:sz w:val="12"/>
                          </w:rPr>
                          <w:t xml:space="preserve">Form of </w:t>
                        </w:r>
                        <w:r>
                          <w:rPr>
                            <w:b/>
                            <w:spacing w:val="-2"/>
                            <w:w w:val="135"/>
                            <w:sz w:val="12"/>
                          </w:rPr>
                          <w:t>impact</w:t>
                        </w:r>
                      </w:p>
                      <w:p w14:paraId="11A6B1D8" w14:textId="77777777" w:rsidR="008715BE" w:rsidRDefault="00000000">
                        <w:pPr>
                          <w:numPr>
                            <w:ilvl w:val="0"/>
                            <w:numId w:val="44"/>
                          </w:numPr>
                          <w:tabs>
                            <w:tab w:val="left" w:pos="2273"/>
                          </w:tabs>
                          <w:spacing w:before="18"/>
                          <w:ind w:left="2273" w:hanging="160"/>
                          <w:rPr>
                            <w:sz w:val="18"/>
                          </w:rPr>
                        </w:pPr>
                        <w:r>
                          <w:rPr>
                            <w:w w:val="120"/>
                            <w:sz w:val="12"/>
                          </w:rPr>
                          <w:t xml:space="preserve">damage to historical monuments and </w:t>
                        </w:r>
                        <w:r>
                          <w:rPr>
                            <w:spacing w:val="-2"/>
                            <w:w w:val="120"/>
                            <w:sz w:val="12"/>
                          </w:rPr>
                          <w:t xml:space="preserve">archaeological </w:t>
                        </w:r>
                        <w:r>
                          <w:rPr>
                            <w:w w:val="120"/>
                            <w:sz w:val="12"/>
                          </w:rPr>
                          <w:t>sites</w:t>
                        </w:r>
                      </w:p>
                      <w:p w14:paraId="4301762C" w14:textId="77777777" w:rsidR="008715BE" w:rsidRDefault="00000000">
                        <w:pPr>
                          <w:numPr>
                            <w:ilvl w:val="0"/>
                            <w:numId w:val="44"/>
                          </w:numPr>
                          <w:tabs>
                            <w:tab w:val="left" w:pos="2273"/>
                          </w:tabs>
                          <w:spacing w:before="18"/>
                          <w:ind w:left="2273" w:hanging="160"/>
                          <w:rPr>
                            <w:sz w:val="18"/>
                          </w:rPr>
                        </w:pPr>
                        <w:r>
                          <w:rPr>
                            <w:w w:val="120"/>
                            <w:sz w:val="12"/>
                          </w:rPr>
                          <w:t xml:space="preserve">destruction of historical monuments and </w:t>
                        </w:r>
                        <w:r>
                          <w:rPr>
                            <w:spacing w:val="-2"/>
                            <w:w w:val="120"/>
                            <w:sz w:val="12"/>
                          </w:rPr>
                          <w:t xml:space="preserve">archaeological </w:t>
                        </w:r>
                        <w:r>
                          <w:rPr>
                            <w:w w:val="120"/>
                            <w:sz w:val="12"/>
                          </w:rPr>
                          <w:t>sites</w:t>
                        </w:r>
                      </w:p>
                      <w:p w14:paraId="2A1F537F" w14:textId="77777777" w:rsidR="008715BE" w:rsidRDefault="00000000">
                        <w:pPr>
                          <w:numPr>
                            <w:ilvl w:val="0"/>
                            <w:numId w:val="44"/>
                          </w:numPr>
                          <w:tabs>
                            <w:tab w:val="left" w:pos="2273"/>
                          </w:tabs>
                          <w:spacing w:before="15"/>
                          <w:ind w:left="2273" w:hanging="160"/>
                          <w:rPr>
                            <w:sz w:val="18"/>
                          </w:rPr>
                        </w:pPr>
                        <w:r>
                          <w:rPr>
                            <w:w w:val="120"/>
                            <w:sz w:val="12"/>
                          </w:rPr>
                          <w:t xml:space="preserve">loss of traditions and </w:t>
                        </w:r>
                        <w:r>
                          <w:rPr>
                            <w:spacing w:val="-2"/>
                            <w:w w:val="120"/>
                            <w:sz w:val="12"/>
                          </w:rPr>
                          <w:t>customs</w:t>
                        </w:r>
                      </w:p>
                      <w:p w14:paraId="0ED2FCFE" w14:textId="77777777" w:rsidR="008715BE" w:rsidRDefault="00000000">
                        <w:pPr>
                          <w:spacing w:before="18"/>
                          <w:ind w:left="2113"/>
                          <w:rPr>
                            <w:sz w:val="18"/>
                          </w:rPr>
                        </w:pPr>
                        <w:r>
                          <w:rPr>
                            <w:w w:val="120"/>
                            <w:sz w:val="12"/>
                          </w:rPr>
                          <w:t xml:space="preserve">Negative impact for all stages of </w:t>
                        </w:r>
                        <w:r>
                          <w:rPr>
                            <w:spacing w:val="-2"/>
                            <w:w w:val="120"/>
                            <w:sz w:val="12"/>
                          </w:rPr>
                          <w:t>the project</w:t>
                        </w:r>
                      </w:p>
                    </w:txbxContent>
                  </v:textbox>
                </v:shape>
                <w10:anchorlock/>
              </v:group>
            </w:pict>
          </mc:Fallback>
        </mc:AlternateContent>
      </w:r>
      <w:r w:rsidRPr="00EC75B7">
        <w:rPr>
          <w:rFonts w:ascii="Verdana" w:hAnsi="Verdana"/>
          <w:noProof/>
        </w:rPr>
        <mc:AlternateContent>
          <mc:Choice Requires="wpg">
            <w:drawing>
              <wp:anchor distT="0" distB="0" distL="0" distR="0" simplePos="0" relativeHeight="251810816" behindDoc="1" locked="0" layoutInCell="1" allowOverlap="1" wp14:anchorId="5CEADDC1" wp14:editId="394A2B20">
                <wp:simplePos x="0" y="0"/>
                <wp:positionH relativeFrom="page">
                  <wp:posOffset>756284</wp:posOffset>
                </wp:positionH>
                <wp:positionV relativeFrom="paragraph">
                  <wp:posOffset>116331</wp:posOffset>
                </wp:positionV>
                <wp:extent cx="5904230" cy="1267460"/>
                <wp:effectExtent l="0" t="0" r="0" b="0"/>
                <wp:wrapTopAndBottom/>
                <wp:docPr id="441" name="Group 44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42" name="Graphic 44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43" name="Graphic 443"/>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44" name="Graphic 444"/>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45" name="Textbox 445"/>
                        <wps:cNvSpPr txBox="1"/>
                        <wps:spPr>
                          <a:xfrm>
                            <a:off x="0" y="0"/>
                            <a:ext cx="5904230" cy="1267460"/>
                          </a:xfrm>
                          <a:prstGeom prst="rect">
                            <a:avLst/>
                          </a:prstGeom>
                        </wps:spPr>
                        <wps:txbx>
                          <w:txbxContent>
                            <w:p w14:paraId="6FAAFCA7" w14:textId="77777777" w:rsidR="008715BE" w:rsidRDefault="00000000">
                              <w:pPr>
                                <w:spacing w:before="41"/>
                                <w:ind w:left="2113"/>
                                <w:rPr>
                                  <w:b/>
                                  <w:sz w:val="18"/>
                                </w:rPr>
                              </w:pPr>
                              <w:r>
                                <w:rPr>
                                  <w:b/>
                                  <w:w w:val="135"/>
                                  <w:sz w:val="12"/>
                                </w:rPr>
                                <w:t xml:space="preserve">Nature </w:t>
                              </w:r>
                              <w:r>
                                <w:rPr>
                                  <w:b/>
                                  <w:spacing w:val="-2"/>
                                  <w:w w:val="135"/>
                                  <w:sz w:val="12"/>
                                </w:rPr>
                                <w:t>of impact</w:t>
                              </w:r>
                            </w:p>
                            <w:p w14:paraId="0DAB980B" w14:textId="77777777" w:rsidR="008715BE" w:rsidRDefault="00000000">
                              <w:pPr>
                                <w:numPr>
                                  <w:ilvl w:val="0"/>
                                  <w:numId w:val="43"/>
                                </w:numPr>
                                <w:tabs>
                                  <w:tab w:val="left" w:pos="2205"/>
                                  <w:tab w:val="left" w:pos="2272"/>
                                </w:tabs>
                                <w:spacing w:before="35" w:line="216" w:lineRule="auto"/>
                                <w:ind w:right="676" w:hanging="92"/>
                                <w:rPr>
                                  <w:sz w:val="18"/>
                                </w:rPr>
                              </w:pPr>
                              <w:r>
                                <w:rPr>
                                  <w:w w:val="120"/>
                                  <w:sz w:val="12"/>
                                </w:rPr>
                                <w:t>Direct if the interventions and activities specific to the execution stage can cause immediate changes in the characteristics of the protection areas designated for historical monuments.</w:t>
                              </w:r>
                            </w:p>
                          </w:txbxContent>
                        </wps:txbx>
                        <wps:bodyPr wrap="square" lIns="0" tIns="0" rIns="0" bIns="0" rtlCol="0"/>
                      </wps:wsp>
                    </wpg:wgp>
                  </a:graphicData>
                </a:graphic>
              </wp:anchor>
            </w:drawing>
          </mc:Choice>
          <mc:Fallback>
            <w:pict>
              <v:group w14:anchorId="5CEADDC1" id="Group 441" o:spid="_x0000_s1264" style="position:absolute;left:0;text-align:left;margin-left:59.55pt;margin-top:9.15pt;width:464.9pt;height:99.8pt;z-index:-25150566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graw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">
                <v:shape id="Graphic 442" o:spid="_x0000_s126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43" o:spid="_x0000_s1266"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44" o:spid="_x0000_s1267"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45" o:spid="_x0000_s126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6FAAFCA7" w14:textId="77777777" w:rsidR="008715BE" w:rsidRDefault="00000000">
                        <w:pPr>
                          <w:spacing w:before="41"/>
                          <w:ind w:left="2113"/>
                          <w:rPr>
                            <w:b/>
                            <w:sz w:val="18"/>
                          </w:rPr>
                        </w:pPr>
                        <w:r>
                          <w:rPr>
                            <w:b/>
                            <w:w w:val="135"/>
                            <w:sz w:val="12"/>
                          </w:rPr>
                          <w:t xml:space="preserve">Nature </w:t>
                        </w:r>
                        <w:r>
                          <w:rPr>
                            <w:b/>
                            <w:spacing w:val="-2"/>
                            <w:w w:val="135"/>
                            <w:sz w:val="12"/>
                          </w:rPr>
                          <w:t>of impact</w:t>
                        </w:r>
                      </w:p>
                      <w:p w14:paraId="0DAB980B" w14:textId="77777777" w:rsidR="008715BE" w:rsidRDefault="00000000">
                        <w:pPr>
                          <w:numPr>
                            <w:ilvl w:val="0"/>
                            <w:numId w:val="43"/>
                          </w:numPr>
                          <w:tabs>
                            <w:tab w:val="left" w:pos="2205"/>
                            <w:tab w:val="left" w:pos="2272"/>
                          </w:tabs>
                          <w:spacing w:before="35" w:line="216" w:lineRule="auto"/>
                          <w:ind w:right="676" w:hanging="92"/>
                          <w:rPr>
                            <w:sz w:val="18"/>
                          </w:rPr>
                        </w:pPr>
                        <w:r>
                          <w:rPr>
                            <w:w w:val="120"/>
                            <w:sz w:val="12"/>
                          </w:rPr>
                          <w:t>Direct if the interventions and activities specific to the execution stage can cause immediate changes in the characteristics of the protection areas designated for historical monuments.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12864" behindDoc="1" locked="0" layoutInCell="1" allowOverlap="1" wp14:anchorId="6D6547AF" wp14:editId="617BF557">
                <wp:simplePos x="0" y="0"/>
                <wp:positionH relativeFrom="page">
                  <wp:posOffset>756284</wp:posOffset>
                </wp:positionH>
                <wp:positionV relativeFrom="paragraph">
                  <wp:posOffset>1510538</wp:posOffset>
                </wp:positionV>
                <wp:extent cx="5904230" cy="1267460"/>
                <wp:effectExtent l="0" t="0" r="0" b="0"/>
                <wp:wrapTopAndBottom/>
                <wp:docPr id="446" name="Group 44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47" name="Graphic 447"/>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48" name="Graphic 448"/>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49" name="Graphic 449"/>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50" name="Textbox 450"/>
                        <wps:cNvSpPr txBox="1"/>
                        <wps:spPr>
                          <a:xfrm>
                            <a:off x="0" y="0"/>
                            <a:ext cx="5904230" cy="1267460"/>
                          </a:xfrm>
                          <a:prstGeom prst="rect">
                            <a:avLst/>
                          </a:prstGeom>
                        </wps:spPr>
                        <wps:txbx>
                          <w:txbxContent>
                            <w:p w14:paraId="65550B6B" w14:textId="77777777" w:rsidR="008715BE" w:rsidRDefault="008715BE">
                              <w:pPr>
                                <w:spacing w:before="213"/>
                                <w:rPr>
                                  <w:sz w:val="18"/>
                                </w:rPr>
                              </w:pPr>
                            </w:p>
                            <w:p w14:paraId="0AA3EFF3" w14:textId="77777777" w:rsidR="008715BE" w:rsidRDefault="00000000">
                              <w:pPr>
                                <w:ind w:left="2113"/>
                                <w:rPr>
                                  <w:b/>
                                  <w:sz w:val="18"/>
                                </w:rPr>
                              </w:pPr>
                              <w:r>
                                <w:rPr>
                                  <w:b/>
                                  <w:w w:val="135"/>
                                  <w:sz w:val="12"/>
                                </w:rPr>
                                <w:t xml:space="preserve">Extension </w:t>
                              </w:r>
                              <w:r>
                                <w:rPr>
                                  <w:b/>
                                  <w:spacing w:val="-2"/>
                                  <w:w w:val="135"/>
                                  <w:sz w:val="12"/>
                                </w:rPr>
                                <w:t>of the impact</w:t>
                              </w:r>
                            </w:p>
                            <w:p w14:paraId="4E38FC37" w14:textId="77777777" w:rsidR="008715BE" w:rsidRDefault="00000000">
                              <w:pPr>
                                <w:numPr>
                                  <w:ilvl w:val="0"/>
                                  <w:numId w:val="42"/>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B30B9FF" w14:textId="77777777" w:rsidR="008715BE" w:rsidRDefault="00000000">
                              <w:pPr>
                                <w:numPr>
                                  <w:ilvl w:val="0"/>
                                  <w:numId w:val="42"/>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administrative-territorial units</w:t>
                              </w:r>
                            </w:p>
                            <w:p w14:paraId="175C5AAF" w14:textId="77777777" w:rsidR="008715BE" w:rsidRDefault="00000000">
                              <w:pPr>
                                <w:spacing w:line="208" w:lineRule="exact"/>
                                <w:ind w:left="2113"/>
                                <w:rPr>
                                  <w:sz w:val="18"/>
                                </w:rPr>
                              </w:pPr>
                              <w:r>
                                <w:rPr>
                                  <w:spacing w:val="-4"/>
                                  <w:w w:val="125"/>
                                  <w:sz w:val="12"/>
                                </w:rPr>
                                <w:t>.</w:t>
                              </w:r>
                            </w:p>
                          </w:txbxContent>
                        </wps:txbx>
                        <wps:bodyPr wrap="square" lIns="0" tIns="0" rIns="0" bIns="0" rtlCol="0"/>
                      </wps:wsp>
                    </wpg:wgp>
                  </a:graphicData>
                </a:graphic>
              </wp:anchor>
            </w:drawing>
          </mc:Choice>
          <mc:Fallback>
            <w:pict>
              <v:group w14:anchorId="6D6547AF" id="Group 446" o:spid="_x0000_s1269" style="position:absolute;left:0;text-align:left;margin-left:59.55pt;margin-top:118.95pt;width:464.9pt;height:99.8pt;z-index:-25150361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">
                <v:shape id="Graphic 447" o:spid="_x0000_s127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48" o:spid="_x0000_s1271"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49" o:spid="_x0000_s1272"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50" o:spid="_x0000_s127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65550B6B" w14:textId="77777777" w:rsidR="008715BE" w:rsidRDefault="008715BE">
                        <w:pPr>
                          <w:spacing w:before="213"/>
                          <w:rPr>
                            <w:sz w:val="18"/>
                          </w:rPr>
                        </w:pPr>
                      </w:p>
                      <w:p w14:paraId="0AA3EFF3" w14:textId="77777777" w:rsidR="008715BE" w:rsidRDefault="00000000">
                        <w:pPr>
                          <w:ind w:left="2113"/>
                          <w:rPr>
                            <w:b/>
                            <w:sz w:val="18"/>
                          </w:rPr>
                        </w:pPr>
                        <w:r>
                          <w:rPr>
                            <w:b/>
                            <w:w w:val="135"/>
                            <w:sz w:val="12"/>
                          </w:rPr>
                          <w:t xml:space="preserve">Extension </w:t>
                        </w:r>
                        <w:r>
                          <w:rPr>
                            <w:b/>
                            <w:spacing w:val="-2"/>
                            <w:w w:val="135"/>
                            <w:sz w:val="12"/>
                          </w:rPr>
                          <w:t>of the impact</w:t>
                        </w:r>
                      </w:p>
                      <w:p w14:paraId="4E38FC37" w14:textId="77777777" w:rsidR="008715BE" w:rsidRDefault="00000000">
                        <w:pPr>
                          <w:numPr>
                            <w:ilvl w:val="0"/>
                            <w:numId w:val="42"/>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B30B9FF" w14:textId="77777777" w:rsidR="008715BE" w:rsidRDefault="00000000">
                        <w:pPr>
                          <w:numPr>
                            <w:ilvl w:val="0"/>
                            <w:numId w:val="42"/>
                          </w:numPr>
                          <w:tabs>
                            <w:tab w:val="left" w:pos="2285"/>
                          </w:tabs>
                          <w:spacing w:before="18" w:line="208" w:lineRule="exact"/>
                          <w:ind w:left="2285" w:hanging="172"/>
                          <w:rPr>
                            <w:sz w:val="18"/>
                          </w:rPr>
                        </w:pPr>
                        <w:r>
                          <w:rPr>
                            <w:w w:val="120"/>
                            <w:sz w:val="12"/>
                          </w:rPr>
                          <w:t xml:space="preserve">Regional: for linear works that can be carried out on several </w:t>
                        </w:r>
                        <w:r>
                          <w:rPr>
                            <w:spacing w:val="-4"/>
                            <w:w w:val="120"/>
                            <w:sz w:val="12"/>
                          </w:rPr>
                          <w:t>administrative-territorial units</w:t>
                        </w:r>
                      </w:p>
                      <w:p w14:paraId="175C5AAF" w14:textId="77777777" w:rsidR="008715BE" w:rsidRDefault="00000000">
                        <w:pPr>
                          <w:spacing w:line="208" w:lineRule="exact"/>
                          <w:ind w:left="2113"/>
                          <w:rPr>
                            <w:sz w:val="18"/>
                          </w:rPr>
                        </w:pPr>
                        <w:r>
                          <w:rPr>
                            <w:spacing w:val="-4"/>
                            <w:w w:val="125"/>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13888" behindDoc="1" locked="0" layoutInCell="1" allowOverlap="1" wp14:anchorId="6B7FF2AE" wp14:editId="268DE284">
                <wp:simplePos x="0" y="0"/>
                <wp:positionH relativeFrom="page">
                  <wp:posOffset>756284</wp:posOffset>
                </wp:positionH>
                <wp:positionV relativeFrom="paragraph">
                  <wp:posOffset>2904617</wp:posOffset>
                </wp:positionV>
                <wp:extent cx="5904230" cy="1267460"/>
                <wp:effectExtent l="0" t="0" r="0" b="0"/>
                <wp:wrapTopAndBottom/>
                <wp:docPr id="451" name="Group 45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52" name="Graphic 45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53" name="Graphic 453"/>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54" name="Graphic 454"/>
                        <wps:cNvSpPr/>
                        <wps:spPr>
                          <a:xfrm>
                            <a:off x="81584" y="62610"/>
                            <a:ext cx="1181100" cy="1014094"/>
                          </a:xfrm>
                          <a:custGeom>
                            <a:avLst/>
                            <a:gdLst/>
                            <a:ahLst/>
                            <a:cxnLst/>
                            <a:rect l="l" t="t" r="r" b="b"/>
                            <a:pathLst>
                              <a:path w="1181100" h="1014094">
                                <a:moveTo>
                                  <a:pt x="0" y="101346"/>
                                </a:moveTo>
                                <a:lnTo>
                                  <a:pt x="7967" y="61882"/>
                                </a:lnTo>
                                <a:lnTo>
                                  <a:pt x="29695" y="29670"/>
                                </a:lnTo>
                                <a:lnTo>
                                  <a:pt x="61925" y="7959"/>
                                </a:lnTo>
                                <a:lnTo>
                                  <a:pt x="101396"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96" y="1013840"/>
                                </a:lnTo>
                                <a:lnTo>
                                  <a:pt x="61925" y="1005881"/>
                                </a:lnTo>
                                <a:lnTo>
                                  <a:pt x="29695"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55" name="Textbox 455"/>
                        <wps:cNvSpPr txBox="1"/>
                        <wps:spPr>
                          <a:xfrm>
                            <a:off x="0" y="0"/>
                            <a:ext cx="5904230" cy="1267460"/>
                          </a:xfrm>
                          <a:prstGeom prst="rect">
                            <a:avLst/>
                          </a:prstGeom>
                        </wps:spPr>
                        <wps:txbx>
                          <w:txbxContent>
                            <w:p w14:paraId="6C74FA76" w14:textId="77777777" w:rsidR="008715BE" w:rsidRDefault="008715BE">
                              <w:pPr>
                                <w:spacing w:before="135"/>
                                <w:rPr>
                                  <w:sz w:val="18"/>
                                </w:rPr>
                              </w:pPr>
                            </w:p>
                            <w:p w14:paraId="5EB96425" w14:textId="77777777" w:rsidR="008715BE" w:rsidRDefault="00000000">
                              <w:pPr>
                                <w:ind w:left="2113"/>
                                <w:rPr>
                                  <w:b/>
                                  <w:sz w:val="18"/>
                                </w:rPr>
                              </w:pPr>
                              <w:r>
                                <w:rPr>
                                  <w:b/>
                                  <w:w w:val="135"/>
                                  <w:sz w:val="12"/>
                                </w:rPr>
                                <w:t xml:space="preserve">Frequency of occurrence of </w:t>
                              </w:r>
                              <w:r>
                                <w:rPr>
                                  <w:b/>
                                  <w:spacing w:val="-2"/>
                                  <w:w w:val="135"/>
                                  <w:sz w:val="12"/>
                                </w:rPr>
                                <w:t>effects</w:t>
                              </w:r>
                            </w:p>
                            <w:p w14:paraId="0943D336" w14:textId="77777777" w:rsidR="008715BE" w:rsidRDefault="00000000">
                              <w:pPr>
                                <w:spacing w:before="18" w:line="208" w:lineRule="exact"/>
                                <w:ind w:left="2113"/>
                                <w:rPr>
                                  <w:sz w:val="18"/>
                                </w:rPr>
                              </w:pPr>
                              <w:r>
                                <w:rPr>
                                  <w:w w:val="120"/>
                                  <w:sz w:val="12"/>
                                </w:rPr>
                                <w:t xml:space="preserve">o temporary/one-time – One time/temporary The impact </w:t>
                              </w:r>
                              <w:r>
                                <w:rPr>
                                  <w:spacing w:val="-2"/>
                                  <w:w w:val="120"/>
                                  <w:sz w:val="12"/>
                                </w:rPr>
                                <w:t>occurs</w:t>
                              </w:r>
                            </w:p>
                            <w:p w14:paraId="0A0A6416" w14:textId="77777777" w:rsidR="008715BE" w:rsidRDefault="00000000">
                              <w:pPr>
                                <w:spacing w:before="6" w:line="216" w:lineRule="auto"/>
                                <w:ind w:left="2113"/>
                                <w:rPr>
                                  <w:sz w:val="18"/>
                                </w:rPr>
                              </w:pPr>
                              <w:r>
                                <w:rPr>
                                  <w:w w:val="120"/>
                                  <w:sz w:val="12"/>
                                </w:rPr>
                                <w:t>once in one of the project stages. Most often associated with a short duration.</w:t>
                              </w:r>
                            </w:p>
                            <w:p w14:paraId="4BAE4C93" w14:textId="77777777" w:rsidR="008715BE" w:rsidRDefault="00000000">
                              <w:pPr>
                                <w:spacing w:before="21"/>
                                <w:ind w:left="2113"/>
                                <w:rPr>
                                  <w:sz w:val="18"/>
                                </w:rPr>
                              </w:pPr>
                              <w:r>
                                <w:rPr>
                                  <w:w w:val="120"/>
                                  <w:sz w:val="12"/>
                                </w:rPr>
                                <w:t xml:space="preserve">o intermittent – the impact manifests continuously after </w:t>
                              </w:r>
                              <w:r>
                                <w:rPr>
                                  <w:spacing w:val="-2"/>
                                  <w:w w:val="120"/>
                                  <w:sz w:val="12"/>
                                </w:rPr>
                                <w:t>its</w:t>
                              </w:r>
                              <w:r>
                                <w:rPr>
                                  <w:w w:val="120"/>
                                  <w:sz w:val="12"/>
                                </w:rPr>
                                <w:t xml:space="preserve"> occurrence</w:t>
                              </w:r>
                              <w:r>
                                <w:rPr>
                                  <w:spacing w:val="-2"/>
                                  <w:w w:val="120"/>
                                  <w:sz w:val="12"/>
                                </w:rPr>
                                <w:t>.</w:t>
                              </w:r>
                            </w:p>
                          </w:txbxContent>
                        </wps:txbx>
                        <wps:bodyPr wrap="square" lIns="0" tIns="0" rIns="0" bIns="0" rtlCol="0"/>
                      </wps:wsp>
                    </wpg:wgp>
                  </a:graphicData>
                </a:graphic>
              </wp:anchor>
            </w:drawing>
          </mc:Choice>
          <mc:Fallback>
            <w:pict>
              <v:group w14:anchorId="6B7FF2AE" id="Group 451" o:spid="_x0000_s1274" style="position:absolute;left:0;text-align:left;margin-left:59.55pt;margin-top:228.7pt;width:464.9pt;height:99.8pt;z-index:-251502592;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">
                <v:shape id="Graphic 452" o:spid="_x0000_s127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53" o:spid="_x0000_s1276"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54" o:spid="_x0000_s1277"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" path="m,101346l7967,61882,29695,29670,61925,7959,101396,r978053,l1118912,7959r32212,21711l1172835,61882r7960,39464l1180795,912495r-7960,39463l1151124,984170r-32212,21711l1079449,1013840r-978053,l61925,1005881,29695,984170,7967,951958,,912495,,101346xe" filled="f" strokecolor="white" strokeweight=".35275mm">
                  <v:path arrowok="t"/>
                </v:shape>
                <v:shape id="Textbox 455" o:spid="_x0000_s127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6C74FA76" w14:textId="77777777" w:rsidR="008715BE" w:rsidRDefault="008715BE">
                        <w:pPr>
                          <w:spacing w:before="135"/>
                          <w:rPr>
                            <w:sz w:val="18"/>
                          </w:rPr>
                        </w:pPr>
                      </w:p>
                      <w:p w14:paraId="5EB96425" w14:textId="77777777" w:rsidR="008715BE" w:rsidRDefault="00000000">
                        <w:pPr>
                          <w:ind w:left="2113"/>
                          <w:rPr>
                            <w:b/>
                            <w:sz w:val="18"/>
                          </w:rPr>
                        </w:pPr>
                        <w:r>
                          <w:rPr>
                            <w:b/>
                            <w:w w:val="135"/>
                            <w:sz w:val="12"/>
                          </w:rPr>
                          <w:t xml:space="preserve">Frequency of occurrence of </w:t>
                        </w:r>
                        <w:r>
                          <w:rPr>
                            <w:b/>
                            <w:spacing w:val="-2"/>
                            <w:w w:val="135"/>
                            <w:sz w:val="12"/>
                          </w:rPr>
                          <w:t>effects</w:t>
                        </w:r>
                      </w:p>
                      <w:p w14:paraId="0943D336" w14:textId="77777777" w:rsidR="008715BE" w:rsidRDefault="00000000">
                        <w:pPr>
                          <w:spacing w:before="18" w:line="208" w:lineRule="exact"/>
                          <w:ind w:left="2113"/>
                          <w:rPr>
                            <w:sz w:val="18"/>
                          </w:rPr>
                        </w:pPr>
                        <w:r>
                          <w:rPr>
                            <w:w w:val="120"/>
                            <w:sz w:val="12"/>
                          </w:rPr>
                          <w:t xml:space="preserve">o temporary/one-time – One time/temporary The impact </w:t>
                        </w:r>
                        <w:r>
                          <w:rPr>
                            <w:spacing w:val="-2"/>
                            <w:w w:val="120"/>
                            <w:sz w:val="12"/>
                          </w:rPr>
                          <w:t>occurs</w:t>
                        </w:r>
                      </w:p>
                      <w:p w14:paraId="0A0A6416" w14:textId="77777777" w:rsidR="008715BE" w:rsidRDefault="00000000">
                        <w:pPr>
                          <w:spacing w:before="6" w:line="216" w:lineRule="auto"/>
                          <w:ind w:left="2113"/>
                          <w:rPr>
                            <w:sz w:val="18"/>
                          </w:rPr>
                        </w:pPr>
                        <w:r>
                          <w:rPr>
                            <w:w w:val="120"/>
                            <w:sz w:val="12"/>
                          </w:rPr>
                          <w:t>once in one of the project stages. Most often associated with a short duration.</w:t>
                        </w:r>
                      </w:p>
                      <w:p w14:paraId="4BAE4C93" w14:textId="77777777" w:rsidR="008715BE" w:rsidRDefault="00000000">
                        <w:pPr>
                          <w:spacing w:before="21"/>
                          <w:ind w:left="2113"/>
                          <w:rPr>
                            <w:sz w:val="18"/>
                          </w:rPr>
                        </w:pPr>
                        <w:r>
                          <w:rPr>
                            <w:w w:val="120"/>
                            <w:sz w:val="12"/>
                          </w:rPr>
                          <w:t xml:space="preserve">o intermittent – the impact manifests continuously after </w:t>
                        </w:r>
                        <w:r>
                          <w:rPr>
                            <w:spacing w:val="-2"/>
                            <w:w w:val="120"/>
                            <w:sz w:val="12"/>
                          </w:rPr>
                          <w:t>its</w:t>
                        </w:r>
                        <w:r>
                          <w:rPr>
                            <w:w w:val="120"/>
                            <w:sz w:val="12"/>
                          </w:rPr>
                          <w:t xml:space="preserve"> occurrence</w:t>
                        </w:r>
                        <w:r>
                          <w:rPr>
                            <w:spacing w:val="-2"/>
                            <w:w w:val="120"/>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16960" behindDoc="1" locked="0" layoutInCell="1" allowOverlap="1" wp14:anchorId="2C37AB9C" wp14:editId="6EBF485A">
                <wp:simplePos x="0" y="0"/>
                <wp:positionH relativeFrom="page">
                  <wp:posOffset>756284</wp:posOffset>
                </wp:positionH>
                <wp:positionV relativeFrom="paragraph">
                  <wp:posOffset>4298822</wp:posOffset>
                </wp:positionV>
                <wp:extent cx="5904230" cy="1267460"/>
                <wp:effectExtent l="0" t="0" r="0" b="0"/>
                <wp:wrapTopAndBottom/>
                <wp:docPr id="456" name="Group 45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57" name="Graphic 457"/>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58" name="Graphic 458"/>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59" name="Graphic 459"/>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60" name="Textbox 460"/>
                        <wps:cNvSpPr txBox="1"/>
                        <wps:spPr>
                          <a:xfrm>
                            <a:off x="0" y="0"/>
                            <a:ext cx="5904230" cy="1267460"/>
                          </a:xfrm>
                          <a:prstGeom prst="rect">
                            <a:avLst/>
                          </a:prstGeom>
                        </wps:spPr>
                        <wps:txbx>
                          <w:txbxContent>
                            <w:p w14:paraId="728DA026"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E45CA5D" w14:textId="77777777" w:rsidR="008715BE" w:rsidRDefault="00000000">
                              <w:pPr>
                                <w:numPr>
                                  <w:ilvl w:val="0"/>
                                  <w:numId w:val="41"/>
                                </w:numPr>
                                <w:tabs>
                                  <w:tab w:val="left" w:pos="2205"/>
                                  <w:tab w:val="left" w:pos="2273"/>
                                </w:tabs>
                                <w:spacing w:before="35" w:line="216" w:lineRule="auto"/>
                                <w:ind w:right="1380" w:hanging="92"/>
                                <w:rPr>
                                  <w:sz w:val="18"/>
                                </w:rPr>
                              </w:pPr>
                              <w:r>
                                <w:rPr>
                                  <w:w w:val="120"/>
                                  <w:sz w:val="12"/>
                                </w:rPr>
                                <w:t>Probable – for situations encountered in practice and from the consultant's experience, for all interventions carried out</w:t>
                              </w:r>
                            </w:p>
                            <w:p w14:paraId="167135AB" w14:textId="77777777" w:rsidR="008715BE" w:rsidRDefault="00000000">
                              <w:pPr>
                                <w:numPr>
                                  <w:ilvl w:val="0"/>
                                  <w:numId w:val="41"/>
                                </w:numPr>
                                <w:tabs>
                                  <w:tab w:val="left" w:pos="2205"/>
                                  <w:tab w:val="left" w:pos="2273"/>
                                </w:tabs>
                                <w:spacing w:before="39" w:line="216" w:lineRule="auto"/>
                                <w:ind w:right="400" w:hanging="92"/>
                                <w:rPr>
                                  <w:sz w:val="18"/>
                                </w:rPr>
                              </w:pPr>
                              <w:r>
                                <w:rPr>
                                  <w:w w:val="120"/>
                                  <w:sz w:val="12"/>
                                </w:rPr>
                                <w:t>Unlikely – for effects that occur when certain polluting substances are emitted and penetrate the soil/subsoil, affecting its quality</w:t>
                              </w:r>
                            </w:p>
                          </w:txbxContent>
                        </wps:txbx>
                        <wps:bodyPr wrap="square" lIns="0" tIns="0" rIns="0" bIns="0" rtlCol="0"/>
                      </wps:wsp>
                    </wpg:wgp>
                  </a:graphicData>
                </a:graphic>
              </wp:anchor>
            </w:drawing>
          </mc:Choice>
          <mc:Fallback>
            <w:pict>
              <v:group w14:anchorId="2C37AB9C" id="Group 456" o:spid="_x0000_s1279" style="position:absolute;left:0;text-align:left;margin-left:59.55pt;margin-top:338.5pt;width:464.9pt;height:99.8pt;z-index:-25149952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">
                <v:shape id="Graphic 457" o:spid="_x0000_s128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58" o:spid="_x0000_s1281"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59" o:spid="_x0000_s1282"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60" o:spid="_x0000_s128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728DA026"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3E45CA5D" w14:textId="77777777" w:rsidR="008715BE" w:rsidRDefault="00000000">
                        <w:pPr>
                          <w:numPr>
                            <w:ilvl w:val="0"/>
                            <w:numId w:val="41"/>
                          </w:numPr>
                          <w:tabs>
                            <w:tab w:val="left" w:pos="2205"/>
                            <w:tab w:val="left" w:pos="2273"/>
                          </w:tabs>
                          <w:spacing w:before="35" w:line="216" w:lineRule="auto"/>
                          <w:ind w:right="1380" w:hanging="92"/>
                          <w:rPr>
                            <w:sz w:val="18"/>
                          </w:rPr>
                        </w:pPr>
                        <w:r>
                          <w:rPr>
                            <w:w w:val="120"/>
                            <w:sz w:val="12"/>
                          </w:rPr>
                          <w:t>Probable – for situations encountered in practice and from the consultant's experience, for all interventions carried out</w:t>
                        </w:r>
                      </w:p>
                      <w:p w14:paraId="167135AB" w14:textId="77777777" w:rsidR="008715BE" w:rsidRDefault="00000000">
                        <w:pPr>
                          <w:numPr>
                            <w:ilvl w:val="0"/>
                            <w:numId w:val="41"/>
                          </w:numPr>
                          <w:tabs>
                            <w:tab w:val="left" w:pos="2205"/>
                            <w:tab w:val="left" w:pos="2273"/>
                          </w:tabs>
                          <w:spacing w:before="39" w:line="216" w:lineRule="auto"/>
                          <w:ind w:right="400" w:hanging="92"/>
                          <w:rPr>
                            <w:sz w:val="18"/>
                          </w:rPr>
                        </w:pPr>
                        <w:r>
                          <w:rPr>
                            <w:w w:val="120"/>
                            <w:sz w:val="12"/>
                          </w:rPr>
                          <w:t>Unlikely – for effects that occur when certain polluting substances are emitted and penetrate the soil/subsoil, affecting its quality</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17984" behindDoc="1" locked="0" layoutInCell="1" allowOverlap="1" wp14:anchorId="3B4785E1" wp14:editId="41E7D2D8">
                <wp:simplePos x="0" y="0"/>
                <wp:positionH relativeFrom="page">
                  <wp:posOffset>756284</wp:posOffset>
                </wp:positionH>
                <wp:positionV relativeFrom="paragraph">
                  <wp:posOffset>5692902</wp:posOffset>
                </wp:positionV>
                <wp:extent cx="5904230" cy="1267460"/>
                <wp:effectExtent l="0" t="0" r="0" b="0"/>
                <wp:wrapTopAndBottom/>
                <wp:docPr id="461" name="Group 46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62" name="Graphic 46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63" name="Graphic 463"/>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64" name="Graphic 464"/>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65" name="Textbox 465"/>
                        <wps:cNvSpPr txBox="1"/>
                        <wps:spPr>
                          <a:xfrm>
                            <a:off x="0" y="0"/>
                            <a:ext cx="5904230" cy="1267460"/>
                          </a:xfrm>
                          <a:prstGeom prst="rect">
                            <a:avLst/>
                          </a:prstGeom>
                        </wps:spPr>
                        <wps:txbx>
                          <w:txbxContent>
                            <w:p w14:paraId="67205AD8" w14:textId="77777777" w:rsidR="008715BE" w:rsidRDefault="008715BE">
                              <w:pPr>
                                <w:rPr>
                                  <w:sz w:val="18"/>
                                </w:rPr>
                              </w:pPr>
                            </w:p>
                            <w:p w14:paraId="5F4A10E5" w14:textId="77777777" w:rsidR="008715BE" w:rsidRDefault="008715BE">
                              <w:pPr>
                                <w:spacing w:before="31"/>
                                <w:rPr>
                                  <w:sz w:val="18"/>
                                </w:rPr>
                              </w:pPr>
                            </w:p>
                            <w:p w14:paraId="377707C5"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6C71DD97"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has ceased, the affected component </w:t>
                              </w:r>
                              <w:r>
                                <w:rPr>
                                  <w:spacing w:val="-2"/>
                                  <w:w w:val="125"/>
                                  <w:sz w:val="12"/>
                                </w:rPr>
                                <w:t>can</w:t>
                              </w:r>
                            </w:p>
                            <w:p w14:paraId="674EDF91"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wps:txbx>
                        <wps:bodyPr wrap="square" lIns="0" tIns="0" rIns="0" bIns="0" rtlCol="0"/>
                      </wps:wsp>
                    </wpg:wgp>
                  </a:graphicData>
                </a:graphic>
              </wp:anchor>
            </w:drawing>
          </mc:Choice>
          <mc:Fallback>
            <w:pict>
              <v:group w14:anchorId="3B4785E1" id="Group 461" o:spid="_x0000_s1284" style="position:absolute;left:0;text-align:left;margin-left:59.55pt;margin-top:448.25pt;width:464.9pt;height:99.8pt;z-index:-25149849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">
                <v:shape id="Graphic 462" o:spid="_x0000_s128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63" o:spid="_x0000_s1286"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64" o:spid="_x0000_s1287"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65" o:spid="_x0000_s128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67205AD8" w14:textId="77777777" w:rsidR="008715BE" w:rsidRDefault="008715BE">
                        <w:pPr>
                          <w:rPr>
                            <w:sz w:val="18"/>
                          </w:rPr>
                        </w:pPr>
                      </w:p>
                      <w:p w14:paraId="5F4A10E5" w14:textId="77777777" w:rsidR="008715BE" w:rsidRDefault="008715BE">
                        <w:pPr>
                          <w:spacing w:before="31"/>
                          <w:rPr>
                            <w:sz w:val="18"/>
                          </w:rPr>
                        </w:pPr>
                      </w:p>
                      <w:p w14:paraId="377707C5"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6C71DD97"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has ceased, the affected component </w:t>
                        </w:r>
                        <w:r>
                          <w:rPr>
                            <w:spacing w:val="-2"/>
                            <w:w w:val="125"/>
                            <w:sz w:val="12"/>
                          </w:rPr>
                          <w:t>can</w:t>
                        </w:r>
                      </w:p>
                      <w:p w14:paraId="674EDF91"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v:textbox>
                </v:shape>
                <w10:wrap type="topAndBottom" anchorx="page"/>
              </v:group>
            </w:pict>
          </mc:Fallback>
        </mc:AlternateContent>
      </w:r>
    </w:p>
    <w:p w14:paraId="636B1457" w14:textId="77777777" w:rsidR="008715BE" w:rsidRDefault="008715BE">
      <w:pPr>
        <w:pStyle w:val="BodyText"/>
        <w:spacing w:before="27"/>
        <w:rPr>
          <w:rFonts w:ascii="Verdana" w:hAnsi="Verdana"/>
        </w:rPr>
      </w:pPr>
    </w:p>
    <w:p w14:paraId="36813ECF" w14:textId="77777777" w:rsidR="002A4F7C" w:rsidRPr="00EC75B7" w:rsidRDefault="002A4F7C">
      <w:pPr>
        <w:pStyle w:val="BodyText"/>
        <w:spacing w:before="27"/>
        <w:rPr>
          <w:rFonts w:ascii="Verdana" w:hAnsi="Verdana"/>
        </w:rPr>
      </w:pPr>
    </w:p>
    <w:p w14:paraId="1DF839CE" w14:textId="77777777" w:rsidR="008715BE" w:rsidRPr="00EC75B7" w:rsidRDefault="00000000">
      <w:pPr>
        <w:spacing w:line="360" w:lineRule="auto"/>
        <w:ind w:left="57" w:right="138"/>
        <w:jc w:val="both"/>
        <w:rPr>
          <w:rFonts w:ascii="Verdana" w:hAnsi="Verdana"/>
          <w:sz w:val="18"/>
          <w:szCs w:val="18"/>
        </w:rPr>
      </w:pPr>
      <w:r w:rsidRPr="00EC75B7">
        <w:rPr>
          <w:rFonts w:ascii="Verdana" w:hAnsi="Verdana"/>
          <w:b/>
          <w:sz w:val="18"/>
          <w:szCs w:val="18"/>
        </w:rPr>
        <w:t xml:space="preserve">During the execution phase, </w:t>
      </w:r>
      <w:r w:rsidRPr="00EC75B7">
        <w:rPr>
          <w:rFonts w:ascii="Verdana" w:hAnsi="Verdana"/>
          <w:sz w:val="18"/>
          <w:szCs w:val="18"/>
        </w:rPr>
        <w:t xml:space="preserve">the impact on cultural heritage is assessed as </w:t>
      </w:r>
      <w:r w:rsidRPr="00EC75B7">
        <w:rPr>
          <w:rFonts w:ascii="Verdana" w:hAnsi="Verdana"/>
          <w:b/>
          <w:sz w:val="18"/>
          <w:szCs w:val="18"/>
        </w:rPr>
        <w:t>being low, localized, and temporary, insignificant in the short term on the historical and cultural values of the area</w:t>
      </w:r>
      <w:r w:rsidRPr="00EC75B7">
        <w:rPr>
          <w:rFonts w:ascii="Verdana" w:hAnsi="Verdana"/>
          <w:sz w:val="18"/>
          <w:szCs w:val="18"/>
        </w:rPr>
        <w:t xml:space="preserve">. </w:t>
      </w:r>
      <w:r w:rsidRPr="00EC75B7">
        <w:rPr>
          <w:rFonts w:ascii="Verdana" w:hAnsi="Verdana"/>
          <w:spacing w:val="-2"/>
          <w:sz w:val="18"/>
          <w:szCs w:val="18"/>
        </w:rPr>
        <w:t>Investments proposed by the project for the construction of wind turbines, access roads, and platforms</w:t>
      </w:r>
    </w:p>
    <w:p w14:paraId="56CE5266" w14:textId="77777777" w:rsidR="008715BE" w:rsidRPr="00EC75B7" w:rsidRDefault="008715BE">
      <w:pPr>
        <w:spacing w:line="360" w:lineRule="auto"/>
        <w:jc w:val="both"/>
        <w:rPr>
          <w:rFonts w:ascii="Verdana" w:hAnsi="Verdana"/>
          <w:sz w:val="18"/>
          <w:szCs w:val="18"/>
        </w:rPr>
        <w:sectPr w:rsidR="008715BE" w:rsidRPr="00EC75B7">
          <w:pgSz w:w="11910" w:h="16840"/>
          <w:pgMar w:top="1320" w:right="850" w:bottom="1020" w:left="1133" w:header="766" w:footer="824" w:gutter="0"/>
          <w:cols w:space="708"/>
        </w:sectPr>
      </w:pPr>
    </w:p>
    <w:p w14:paraId="443C0698" w14:textId="77777777" w:rsidR="008715BE" w:rsidRPr="00EC75B7" w:rsidRDefault="00000000">
      <w:pPr>
        <w:pStyle w:val="BodyText"/>
        <w:spacing w:before="99" w:line="357" w:lineRule="auto"/>
        <w:ind w:left="57" w:right="141"/>
        <w:jc w:val="both"/>
        <w:rPr>
          <w:rFonts w:ascii="Verdana" w:hAnsi="Verdana"/>
        </w:rPr>
      </w:pPr>
      <w:r w:rsidRPr="00EC75B7">
        <w:rPr>
          <w:rFonts w:ascii="Verdana" w:hAnsi="Verdana"/>
        </w:rPr>
        <w:lastRenderedPageBreak/>
        <w:t>installation/maintenance, electrical transformer stations (own), etc. are not located in the vicinity of historical/cultural monuments or archaeological sites. Thus, they do not cause changes to the protection regime and do not affect the integrity of the protected sites, and any interventions carried out in the vicinity of the protection areas are limited in scope, temporary, and controlled.</w:t>
      </w:r>
    </w:p>
    <w:p w14:paraId="4DD5D281" w14:textId="77777777" w:rsidR="008715BE" w:rsidRPr="00EC75B7" w:rsidRDefault="00000000">
      <w:pPr>
        <w:spacing w:before="124" w:line="357" w:lineRule="auto"/>
        <w:ind w:left="57" w:right="148"/>
        <w:jc w:val="both"/>
        <w:rPr>
          <w:rFonts w:ascii="Verdana" w:hAnsi="Verdana"/>
          <w:sz w:val="18"/>
          <w:szCs w:val="18"/>
        </w:rPr>
      </w:pPr>
      <w:r w:rsidRPr="00EC75B7">
        <w:rPr>
          <w:rFonts w:ascii="Verdana" w:hAnsi="Verdana"/>
          <w:b/>
          <w:sz w:val="18"/>
          <w:szCs w:val="18"/>
        </w:rPr>
        <w:t>For the decommissioning phase</w:t>
      </w:r>
      <w:r w:rsidRPr="00EC75B7">
        <w:rPr>
          <w:rFonts w:ascii="Verdana" w:hAnsi="Verdana"/>
          <w:sz w:val="18"/>
          <w:szCs w:val="18"/>
        </w:rPr>
        <w:t xml:space="preserve">, the same insignificant negative impact as during the </w:t>
      </w:r>
      <w:r w:rsidRPr="00EC75B7">
        <w:rPr>
          <w:rFonts w:ascii="Verdana" w:hAnsi="Verdana"/>
          <w:spacing w:val="-2"/>
          <w:sz w:val="18"/>
          <w:szCs w:val="18"/>
        </w:rPr>
        <w:t xml:space="preserve">execution </w:t>
      </w:r>
      <w:r w:rsidRPr="00EC75B7">
        <w:rPr>
          <w:rFonts w:ascii="Verdana" w:hAnsi="Verdana"/>
          <w:sz w:val="18"/>
          <w:szCs w:val="18"/>
        </w:rPr>
        <w:t>phase is considered</w:t>
      </w:r>
      <w:r w:rsidRPr="00EC75B7">
        <w:rPr>
          <w:rFonts w:ascii="Verdana" w:hAnsi="Verdana"/>
          <w:spacing w:val="-2"/>
          <w:sz w:val="18"/>
          <w:szCs w:val="18"/>
        </w:rPr>
        <w:t>.</w:t>
      </w:r>
    </w:p>
    <w:p w14:paraId="1EF97E2D" w14:textId="77777777" w:rsidR="008715BE" w:rsidRPr="00EC75B7" w:rsidRDefault="00000000">
      <w:pPr>
        <w:pStyle w:val="BodyText"/>
        <w:spacing w:before="120" w:line="360" w:lineRule="auto"/>
        <w:ind w:left="57" w:right="149"/>
        <w:jc w:val="both"/>
        <w:rPr>
          <w:rFonts w:ascii="Verdana" w:hAnsi="Verdana"/>
        </w:rPr>
      </w:pPr>
      <w:r w:rsidRPr="00EC75B7">
        <w:rPr>
          <w:rFonts w:ascii="Verdana" w:hAnsi="Verdana"/>
          <w:b/>
        </w:rPr>
        <w:t xml:space="preserve">During the </w:t>
      </w:r>
      <w:r w:rsidRPr="00EC75B7">
        <w:rPr>
          <w:rFonts w:ascii="Verdana" w:hAnsi="Verdana"/>
        </w:rPr>
        <w:t xml:space="preserve">project's </w:t>
      </w:r>
      <w:r w:rsidRPr="00EC75B7">
        <w:rPr>
          <w:rFonts w:ascii="Verdana" w:hAnsi="Verdana"/>
          <w:b/>
        </w:rPr>
        <w:t>operation phase</w:t>
      </w:r>
      <w:r w:rsidRPr="00EC75B7">
        <w:rPr>
          <w:rFonts w:ascii="Verdana" w:hAnsi="Verdana"/>
        </w:rPr>
        <w:t>, no cause-and-effect mechanism was identified that could affect the heritage.</w:t>
      </w:r>
    </w:p>
    <w:p w14:paraId="646A399F" w14:textId="77777777" w:rsidR="008715BE" w:rsidRPr="00EC75B7" w:rsidRDefault="008715BE">
      <w:pPr>
        <w:pStyle w:val="BodyText"/>
        <w:spacing w:before="21"/>
        <w:rPr>
          <w:rFonts w:ascii="Verdana" w:hAnsi="Verdana"/>
        </w:rPr>
      </w:pPr>
    </w:p>
    <w:p w14:paraId="5A316838" w14:textId="77777777" w:rsidR="008715BE" w:rsidRPr="00EC75B7" w:rsidRDefault="00000000">
      <w:pPr>
        <w:pStyle w:val="Heading3"/>
        <w:numPr>
          <w:ilvl w:val="2"/>
          <w:numId w:val="110"/>
        </w:numPr>
        <w:tabs>
          <w:tab w:val="left" w:pos="2037"/>
        </w:tabs>
        <w:spacing w:before="1"/>
        <w:ind w:left="2037" w:hanging="986"/>
        <w:rPr>
          <w:rFonts w:ascii="Verdana" w:hAnsi="Verdana"/>
          <w:i/>
          <w:color w:val="00AFEF"/>
          <w:sz w:val="18"/>
          <w:szCs w:val="18"/>
        </w:rPr>
      </w:pPr>
      <w:bookmarkStart w:id="109" w:name="_bookmark110"/>
      <w:bookmarkEnd w:id="109"/>
      <w:r w:rsidRPr="00EC75B7">
        <w:rPr>
          <w:rFonts w:ascii="Verdana" w:hAnsi="Verdana"/>
          <w:color w:val="00AFEF"/>
          <w:sz w:val="18"/>
          <w:szCs w:val="18"/>
        </w:rPr>
        <w:t xml:space="preserve">Measures to avoid and reduce the </w:t>
      </w:r>
      <w:r w:rsidRPr="00EC75B7">
        <w:rPr>
          <w:rFonts w:ascii="Verdana" w:hAnsi="Verdana"/>
          <w:color w:val="00AFEF"/>
          <w:spacing w:val="-2"/>
          <w:sz w:val="18"/>
          <w:szCs w:val="18"/>
        </w:rPr>
        <w:t>impact</w:t>
      </w:r>
    </w:p>
    <w:p w14:paraId="347815EB" w14:textId="77777777" w:rsidR="008715BE" w:rsidRPr="00EC75B7" w:rsidRDefault="008715BE">
      <w:pPr>
        <w:pStyle w:val="BodyText"/>
        <w:spacing w:before="113"/>
        <w:rPr>
          <w:rFonts w:ascii="Verdana" w:hAnsi="Verdana"/>
          <w:b/>
        </w:rPr>
      </w:pPr>
    </w:p>
    <w:p w14:paraId="7DEDAF96" w14:textId="77777777" w:rsidR="008715BE" w:rsidRPr="00EC75B7" w:rsidRDefault="00000000">
      <w:pPr>
        <w:pStyle w:val="BodyText"/>
        <w:spacing w:before="1" w:line="357" w:lineRule="auto"/>
        <w:ind w:left="57" w:right="143"/>
        <w:jc w:val="both"/>
        <w:rPr>
          <w:rFonts w:ascii="Verdana" w:hAnsi="Verdana"/>
        </w:rPr>
      </w:pPr>
      <w:r w:rsidRPr="00EC75B7">
        <w:rPr>
          <w:rFonts w:ascii="Verdana" w:hAnsi="Verdana"/>
          <w:b/>
        </w:rPr>
        <w:t>During the execution phase</w:t>
      </w:r>
      <w:r w:rsidRPr="00EC75B7">
        <w:rPr>
          <w:rFonts w:ascii="Verdana" w:hAnsi="Verdana"/>
        </w:rPr>
        <w:t>, preventive measures must be taken to protect cultural heritage, aimed at avoiding or minimizing the potential effects generated by the implementation of the project. Thus, if elements or remains of archaeological importance are identified during the course of the works, activities will be suspended in the area concerned and the competent authorities will be informed in order to carry out the necessary expert assessments and establish appropriate solutions. Any archaeological excavation work will be carried out in accordance with the legislation in force and the requirements of the National Archaeology Commission.</w:t>
      </w:r>
    </w:p>
    <w:p w14:paraId="2275F7D1" w14:textId="77777777" w:rsidR="008715BE" w:rsidRPr="00EC75B7" w:rsidRDefault="00000000">
      <w:pPr>
        <w:pStyle w:val="BodyText"/>
        <w:spacing w:before="125" w:line="357" w:lineRule="auto"/>
        <w:ind w:left="57" w:right="145"/>
        <w:jc w:val="both"/>
        <w:rPr>
          <w:rFonts w:ascii="Verdana" w:hAnsi="Verdana"/>
        </w:rPr>
      </w:pPr>
      <w:r w:rsidRPr="00EC75B7">
        <w:rPr>
          <w:rFonts w:ascii="Verdana" w:hAnsi="Verdana"/>
          <w:b/>
        </w:rPr>
        <w:t xml:space="preserve">The operational phase </w:t>
      </w:r>
      <w:r w:rsidRPr="00EC75B7">
        <w:rPr>
          <w:rFonts w:ascii="Verdana" w:hAnsi="Verdana"/>
        </w:rPr>
        <w:t>does not require additional measures to avoid or reduce the impact on cultural heritage, as it does not involve interventions on the soil or on protected elements.</w:t>
      </w:r>
    </w:p>
    <w:p w14:paraId="22B0DD2D" w14:textId="77777777" w:rsidR="008715BE" w:rsidRPr="00EC75B7" w:rsidRDefault="00000000">
      <w:pPr>
        <w:spacing w:before="121"/>
        <w:ind w:left="57"/>
        <w:jc w:val="both"/>
        <w:rPr>
          <w:rFonts w:ascii="Verdana" w:hAnsi="Verdana"/>
          <w:sz w:val="18"/>
          <w:szCs w:val="18"/>
        </w:rPr>
      </w:pPr>
      <w:r w:rsidRPr="00EC75B7">
        <w:rPr>
          <w:rFonts w:ascii="Verdana" w:hAnsi="Verdana"/>
          <w:b/>
          <w:sz w:val="18"/>
          <w:szCs w:val="18"/>
        </w:rPr>
        <w:t>During the decommissioning phase</w:t>
      </w:r>
      <w:r w:rsidRPr="00EC75B7">
        <w:rPr>
          <w:rFonts w:ascii="Verdana" w:hAnsi="Verdana"/>
          <w:spacing w:val="-2"/>
          <w:sz w:val="18"/>
          <w:szCs w:val="18"/>
        </w:rPr>
        <w:t xml:space="preserve">, </w:t>
      </w:r>
      <w:r w:rsidRPr="00EC75B7">
        <w:rPr>
          <w:rFonts w:ascii="Verdana" w:hAnsi="Verdana"/>
          <w:sz w:val="18"/>
          <w:szCs w:val="18"/>
        </w:rPr>
        <w:t xml:space="preserve">measures similar to those used during the </w:t>
      </w:r>
      <w:r w:rsidRPr="00EC75B7">
        <w:rPr>
          <w:rFonts w:ascii="Verdana" w:hAnsi="Verdana"/>
          <w:spacing w:val="-2"/>
          <w:sz w:val="18"/>
          <w:szCs w:val="18"/>
        </w:rPr>
        <w:t xml:space="preserve">construction </w:t>
      </w:r>
      <w:r w:rsidRPr="00EC75B7">
        <w:rPr>
          <w:rFonts w:ascii="Verdana" w:hAnsi="Verdana"/>
          <w:sz w:val="18"/>
          <w:szCs w:val="18"/>
        </w:rPr>
        <w:t>phase will be applied</w:t>
      </w:r>
      <w:r w:rsidRPr="00EC75B7">
        <w:rPr>
          <w:rFonts w:ascii="Verdana" w:hAnsi="Verdana"/>
          <w:spacing w:val="-2"/>
          <w:sz w:val="18"/>
          <w:szCs w:val="18"/>
        </w:rPr>
        <w:t>.</w:t>
      </w:r>
    </w:p>
    <w:p w14:paraId="7621CF6D" w14:textId="77777777" w:rsidR="008715BE" w:rsidRPr="00EC75B7" w:rsidRDefault="008715BE">
      <w:pPr>
        <w:pStyle w:val="BodyText"/>
        <w:spacing w:before="131"/>
        <w:rPr>
          <w:rFonts w:ascii="Verdana" w:hAnsi="Verdana"/>
        </w:rPr>
      </w:pPr>
    </w:p>
    <w:p w14:paraId="0A1F7EC3" w14:textId="77777777" w:rsidR="008715BE" w:rsidRPr="00EC75B7" w:rsidRDefault="00000000">
      <w:pPr>
        <w:pStyle w:val="Heading2"/>
        <w:numPr>
          <w:ilvl w:val="1"/>
          <w:numId w:val="110"/>
        </w:numPr>
        <w:tabs>
          <w:tab w:val="left" w:pos="1360"/>
        </w:tabs>
        <w:spacing w:before="1"/>
        <w:ind w:left="1360" w:hanging="1245"/>
        <w:jc w:val="left"/>
        <w:rPr>
          <w:rFonts w:ascii="Verdana" w:hAnsi="Verdana"/>
          <w:color w:val="00AFEF"/>
          <w:sz w:val="18"/>
          <w:szCs w:val="18"/>
        </w:rPr>
      </w:pPr>
      <w:bookmarkStart w:id="110" w:name="_bookmark111"/>
      <w:bookmarkEnd w:id="110"/>
      <w:r w:rsidRPr="00EC75B7">
        <w:rPr>
          <w:rFonts w:ascii="Verdana" w:hAnsi="Verdana"/>
          <w:color w:val="00AFEF"/>
          <w:spacing w:val="-2"/>
          <w:sz w:val="18"/>
          <w:szCs w:val="18"/>
        </w:rPr>
        <w:t>Landscape</w:t>
      </w:r>
    </w:p>
    <w:p w14:paraId="754EC38C" w14:textId="77777777" w:rsidR="008715BE" w:rsidRPr="00EC75B7" w:rsidRDefault="008715BE">
      <w:pPr>
        <w:pStyle w:val="BodyText"/>
        <w:spacing w:before="101"/>
        <w:rPr>
          <w:rFonts w:ascii="Verdana" w:hAnsi="Verdana"/>
          <w:b/>
        </w:rPr>
      </w:pPr>
    </w:p>
    <w:p w14:paraId="69B0C15A" w14:textId="77777777" w:rsidR="008715BE" w:rsidRPr="00EC75B7" w:rsidRDefault="00000000">
      <w:pPr>
        <w:pStyle w:val="BodyText"/>
        <w:spacing w:line="360" w:lineRule="auto"/>
        <w:ind w:left="115" w:right="143"/>
        <w:jc w:val="both"/>
        <w:rPr>
          <w:rFonts w:ascii="Verdana" w:hAnsi="Verdana"/>
        </w:rPr>
      </w:pPr>
      <w:r w:rsidRPr="00EC75B7">
        <w:rPr>
          <w:rFonts w:ascii="Verdana" w:hAnsi="Verdana"/>
        </w:rPr>
        <w:t>The assessment of the significance of the impact was based on two criteria: the sensitivity of the study area and the magnitude of the changes proposed by the implementation of the project.</w:t>
      </w:r>
    </w:p>
    <w:p w14:paraId="3CF67E53" w14:textId="77777777" w:rsidR="008715BE" w:rsidRPr="00EC75B7" w:rsidRDefault="008715BE">
      <w:pPr>
        <w:pStyle w:val="BodyText"/>
        <w:spacing w:before="19"/>
        <w:rPr>
          <w:rFonts w:ascii="Verdana" w:hAnsi="Verdana"/>
        </w:rPr>
      </w:pPr>
    </w:p>
    <w:p w14:paraId="57590DD1" w14:textId="77777777" w:rsidR="008715BE" w:rsidRPr="00EC75B7" w:rsidRDefault="00000000">
      <w:pPr>
        <w:pStyle w:val="Heading3"/>
        <w:numPr>
          <w:ilvl w:val="2"/>
          <w:numId w:val="110"/>
        </w:numPr>
        <w:tabs>
          <w:tab w:val="left" w:pos="1771"/>
          <w:tab w:val="left" w:pos="2037"/>
        </w:tabs>
        <w:spacing w:line="357" w:lineRule="auto"/>
        <w:ind w:left="1771" w:right="142" w:hanging="720"/>
        <w:rPr>
          <w:rFonts w:ascii="Verdana" w:hAnsi="Verdana"/>
          <w:i/>
          <w:color w:val="00AFEF"/>
          <w:sz w:val="18"/>
          <w:szCs w:val="18"/>
        </w:rPr>
      </w:pPr>
      <w:bookmarkStart w:id="111" w:name="_bookmark112"/>
      <w:bookmarkEnd w:id="111"/>
      <w:r w:rsidRPr="00EC75B7">
        <w:rPr>
          <w:rFonts w:ascii="Verdana" w:hAnsi="Verdana"/>
          <w:color w:val="00AFEF"/>
          <w:sz w:val="18"/>
          <w:szCs w:val="18"/>
        </w:rPr>
        <w:t>Sensitivity and magnitude classes for assessing the impact on the landscape</w:t>
      </w:r>
    </w:p>
    <w:p w14:paraId="0E73F8B3" w14:textId="77777777" w:rsidR="008715BE" w:rsidRPr="00EC75B7" w:rsidRDefault="00000000">
      <w:pPr>
        <w:pStyle w:val="BodyText"/>
        <w:spacing w:before="239"/>
        <w:ind w:left="57"/>
        <w:jc w:val="both"/>
        <w:rPr>
          <w:rFonts w:ascii="Verdana" w:hAnsi="Verdana"/>
        </w:rPr>
      </w:pPr>
      <w:r w:rsidRPr="00EC75B7">
        <w:rPr>
          <w:rFonts w:ascii="Verdana" w:hAnsi="Verdana"/>
        </w:rPr>
        <w:t xml:space="preserve">The following </w:t>
      </w:r>
      <w:r w:rsidRPr="00EC75B7">
        <w:rPr>
          <w:rFonts w:ascii="Verdana" w:hAnsi="Verdana"/>
          <w:spacing w:val="-2"/>
        </w:rPr>
        <w:t xml:space="preserve">landscape </w:t>
      </w:r>
      <w:r w:rsidRPr="00EC75B7">
        <w:rPr>
          <w:rFonts w:ascii="Verdana" w:hAnsi="Verdana"/>
        </w:rPr>
        <w:t>sensitivity classes were used for this project</w:t>
      </w:r>
      <w:r w:rsidRPr="00EC75B7">
        <w:rPr>
          <w:rFonts w:ascii="Verdana" w:hAnsi="Verdana"/>
          <w:spacing w:val="-2"/>
        </w:rPr>
        <w:t>.</w:t>
      </w:r>
    </w:p>
    <w:p w14:paraId="1218A27A" w14:textId="77777777" w:rsidR="008715BE" w:rsidRPr="00EC75B7" w:rsidRDefault="008715BE">
      <w:pPr>
        <w:pStyle w:val="BodyText"/>
        <w:spacing w:before="60"/>
        <w:rPr>
          <w:rFonts w:ascii="Verdana" w:hAnsi="Verdana"/>
        </w:rPr>
      </w:pPr>
    </w:p>
    <w:p w14:paraId="561DE5AE"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51 </w:t>
      </w:r>
      <w:r w:rsidRPr="00EC75B7">
        <w:rPr>
          <w:rFonts w:ascii="Verdana" w:hAnsi="Verdana"/>
          <w:b/>
          <w:color w:val="00AFEF"/>
          <w:spacing w:val="-2"/>
          <w:sz w:val="18"/>
          <w:szCs w:val="18"/>
        </w:rPr>
        <w:t xml:space="preserve">Sensitivity </w:t>
      </w:r>
      <w:r w:rsidRPr="00EC75B7">
        <w:rPr>
          <w:rFonts w:ascii="Verdana" w:hAnsi="Verdana"/>
          <w:b/>
          <w:color w:val="00AFEF"/>
          <w:sz w:val="18"/>
          <w:szCs w:val="18"/>
        </w:rPr>
        <w:t>classes</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913"/>
        <w:gridCol w:w="4505"/>
        <w:gridCol w:w="3295"/>
      </w:tblGrid>
      <w:tr w:rsidR="008715BE" w:rsidRPr="00EC75B7" w14:paraId="11541B08" w14:textId="77777777" w:rsidTr="002A4F7C">
        <w:trPr>
          <w:trHeight w:val="388"/>
        </w:trPr>
        <w:tc>
          <w:tcPr>
            <w:tcW w:w="1913" w:type="dxa"/>
            <w:shd w:val="clear" w:color="auto" w:fill="00AFEF"/>
          </w:tcPr>
          <w:p w14:paraId="5401295D"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Sensitivity</w:t>
            </w:r>
          </w:p>
        </w:tc>
        <w:tc>
          <w:tcPr>
            <w:tcW w:w="4505" w:type="dxa"/>
            <w:shd w:val="clear" w:color="auto" w:fill="00AFEF"/>
          </w:tcPr>
          <w:p w14:paraId="4B9CB6DE"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3295" w:type="dxa"/>
            <w:shd w:val="clear" w:color="auto" w:fill="00AFEF"/>
          </w:tcPr>
          <w:p w14:paraId="56203392" w14:textId="77777777" w:rsidR="008715BE" w:rsidRPr="00EC75B7" w:rsidRDefault="00000000">
            <w:pPr>
              <w:pStyle w:val="TableParagraph"/>
              <w:tabs>
                <w:tab w:val="left" w:pos="773"/>
                <w:tab w:val="left" w:pos="2012"/>
                <w:tab w:val="left" w:pos="2403"/>
                <w:tab w:val="left" w:pos="2974"/>
              </w:tabs>
              <w:spacing w:line="194" w:lineRule="exact"/>
              <w:ind w:left="108"/>
              <w:rPr>
                <w:rFonts w:ascii="Verdana" w:hAnsi="Verdana"/>
                <w:b/>
                <w:sz w:val="18"/>
                <w:szCs w:val="18"/>
              </w:rPr>
            </w:pPr>
            <w:r w:rsidRPr="00EC75B7">
              <w:rPr>
                <w:rFonts w:ascii="Verdana" w:hAnsi="Verdana"/>
                <w:b/>
                <w:color w:val="FFFFFF"/>
                <w:spacing w:val="-4"/>
                <w:sz w:val="18"/>
                <w:szCs w:val="18"/>
              </w:rPr>
              <w:t>Areas</w:t>
            </w:r>
            <w:r w:rsidRPr="00EC75B7">
              <w:rPr>
                <w:rFonts w:ascii="Verdana" w:hAnsi="Verdana"/>
                <w:b/>
                <w:color w:val="FFFFFF"/>
                <w:sz w:val="18"/>
                <w:szCs w:val="18"/>
              </w:rPr>
              <w:tab/>
            </w:r>
            <w:r w:rsidRPr="00EC75B7">
              <w:rPr>
                <w:rFonts w:ascii="Verdana" w:hAnsi="Verdana"/>
                <w:b/>
                <w:color w:val="FFFFFF"/>
                <w:spacing w:val="-2"/>
                <w:sz w:val="18"/>
                <w:szCs w:val="18"/>
              </w:rPr>
              <w:t>identified</w:t>
            </w:r>
            <w:r w:rsidRPr="00EC75B7">
              <w:rPr>
                <w:rFonts w:ascii="Verdana" w:hAnsi="Verdana"/>
                <w:b/>
                <w:color w:val="FFFFFF"/>
                <w:sz w:val="18"/>
                <w:szCs w:val="18"/>
              </w:rPr>
              <w:tab/>
            </w:r>
            <w:r w:rsidRPr="00EC75B7">
              <w:rPr>
                <w:rFonts w:ascii="Verdana" w:hAnsi="Verdana"/>
                <w:b/>
                <w:color w:val="FFFFFF"/>
                <w:spacing w:val="-5"/>
                <w:sz w:val="18"/>
                <w:szCs w:val="18"/>
              </w:rPr>
              <w:t>in</w:t>
            </w:r>
            <w:r w:rsidRPr="00EC75B7">
              <w:rPr>
                <w:rFonts w:ascii="Verdana" w:hAnsi="Verdana"/>
                <w:b/>
                <w:color w:val="FFFFFF"/>
                <w:sz w:val="18"/>
                <w:szCs w:val="18"/>
              </w:rPr>
              <w:tab/>
            </w:r>
            <w:r w:rsidRPr="00EC75B7">
              <w:rPr>
                <w:rFonts w:ascii="Verdana" w:hAnsi="Verdana"/>
                <w:b/>
                <w:color w:val="FFFFFF"/>
                <w:spacing w:val="-4"/>
                <w:sz w:val="18"/>
                <w:szCs w:val="18"/>
              </w:rPr>
              <w:t>area</w:t>
            </w:r>
            <w:r w:rsidRPr="00EC75B7">
              <w:rPr>
                <w:rFonts w:ascii="Verdana" w:hAnsi="Verdana"/>
                <w:b/>
                <w:color w:val="FFFFFF"/>
                <w:sz w:val="18"/>
                <w:szCs w:val="18"/>
              </w:rPr>
              <w:tab/>
            </w:r>
            <w:r w:rsidRPr="00EC75B7">
              <w:rPr>
                <w:rFonts w:ascii="Verdana" w:hAnsi="Verdana"/>
                <w:b/>
                <w:color w:val="FFFFFF"/>
                <w:spacing w:val="-5"/>
                <w:sz w:val="18"/>
                <w:szCs w:val="18"/>
              </w:rPr>
              <w:t>for</w:t>
            </w:r>
          </w:p>
          <w:p w14:paraId="2C674879"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z w:val="18"/>
                <w:szCs w:val="18"/>
              </w:rPr>
              <w:t xml:space="preserve">implementation of </w:t>
            </w:r>
            <w:r w:rsidRPr="00EC75B7">
              <w:rPr>
                <w:rFonts w:ascii="Verdana" w:hAnsi="Verdana"/>
                <w:b/>
                <w:color w:val="FFFFFF"/>
                <w:spacing w:val="-2"/>
                <w:sz w:val="18"/>
                <w:szCs w:val="18"/>
              </w:rPr>
              <w:t>the</w:t>
            </w:r>
          </w:p>
        </w:tc>
      </w:tr>
      <w:tr w:rsidR="008715BE" w:rsidRPr="00EC75B7" w14:paraId="1195759B" w14:textId="77777777" w:rsidTr="002A4F7C">
        <w:trPr>
          <w:trHeight w:val="2138"/>
        </w:trPr>
        <w:tc>
          <w:tcPr>
            <w:tcW w:w="1913" w:type="dxa"/>
            <w:shd w:val="clear" w:color="auto" w:fill="92D050"/>
          </w:tcPr>
          <w:p w14:paraId="629DC9E9"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505" w:type="dxa"/>
            <w:shd w:val="clear" w:color="auto" w:fill="F1F1F1"/>
          </w:tcPr>
          <w:p w14:paraId="5A57DED6" w14:textId="77777777" w:rsidR="008715BE" w:rsidRPr="00EC75B7" w:rsidRDefault="00000000">
            <w:pPr>
              <w:pStyle w:val="TableParagraph"/>
              <w:spacing w:line="194" w:lineRule="exact"/>
              <w:ind w:left="108"/>
              <w:jc w:val="both"/>
              <w:rPr>
                <w:rFonts w:ascii="Verdana" w:hAnsi="Verdana"/>
                <w:sz w:val="18"/>
                <w:szCs w:val="18"/>
              </w:rPr>
            </w:pPr>
            <w:r w:rsidRPr="00EC75B7">
              <w:rPr>
                <w:rFonts w:ascii="Verdana" w:hAnsi="Verdana"/>
                <w:sz w:val="18"/>
                <w:szCs w:val="18"/>
                <w:u w:val="single"/>
              </w:rPr>
              <w:t>Lands</w:t>
            </w:r>
            <w:r w:rsidRPr="00EC75B7">
              <w:rPr>
                <w:rFonts w:ascii="Verdana" w:hAnsi="Verdana"/>
                <w:spacing w:val="-6"/>
                <w:sz w:val="18"/>
                <w:szCs w:val="18"/>
                <w:u w:val="single"/>
              </w:rPr>
              <w:t xml:space="preserve">cape </w:t>
            </w:r>
            <w:r w:rsidRPr="00EC75B7">
              <w:rPr>
                <w:rFonts w:ascii="Verdana" w:hAnsi="Verdana"/>
                <w:sz w:val="18"/>
                <w:szCs w:val="18"/>
                <w:u w:val="single"/>
              </w:rPr>
              <w:t>characteristics</w:t>
            </w:r>
            <w:r w:rsidRPr="00EC75B7">
              <w:rPr>
                <w:rFonts w:ascii="Verdana" w:hAnsi="Verdana"/>
                <w:spacing w:val="-2"/>
                <w:sz w:val="18"/>
                <w:szCs w:val="18"/>
                <w:u w:val="single"/>
              </w:rPr>
              <w:t>:</w:t>
            </w:r>
          </w:p>
          <w:p w14:paraId="780CA6DC"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Areas with high building density, lacking historical monuments, with isolated natural areas/green spaces</w:t>
            </w:r>
          </w:p>
          <w:p w14:paraId="186A2E13"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 xml:space="preserve">Areas with natural landscapes affected by </w:t>
            </w:r>
            <w:r w:rsidRPr="00EC75B7">
              <w:rPr>
                <w:rFonts w:ascii="Verdana" w:hAnsi="Verdana"/>
                <w:spacing w:val="-2"/>
                <w:sz w:val="18"/>
                <w:szCs w:val="18"/>
              </w:rPr>
              <w:t>urbanization/industrialization</w:t>
            </w:r>
          </w:p>
          <w:p w14:paraId="3C7654F6"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Areas affected by overgrazing and intensive agriculture</w:t>
            </w:r>
          </w:p>
          <w:p w14:paraId="22A634D7"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pacing w:val="-2"/>
                <w:sz w:val="18"/>
                <w:szCs w:val="18"/>
                <w:u w:val="single"/>
              </w:rPr>
              <w:t xml:space="preserve">Sensitive </w:t>
            </w:r>
            <w:r w:rsidRPr="00EC75B7">
              <w:rPr>
                <w:rFonts w:ascii="Verdana" w:hAnsi="Verdana"/>
                <w:sz w:val="18"/>
                <w:szCs w:val="18"/>
                <w:u w:val="single"/>
              </w:rPr>
              <w:t>receptors</w:t>
            </w:r>
            <w:r w:rsidRPr="00EC75B7">
              <w:rPr>
                <w:rFonts w:ascii="Verdana" w:hAnsi="Verdana"/>
                <w:spacing w:val="-2"/>
                <w:sz w:val="18"/>
                <w:szCs w:val="18"/>
                <w:u w:val="single"/>
              </w:rPr>
              <w:t>:</w:t>
            </w:r>
          </w:p>
          <w:p w14:paraId="5D45DCEB"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People</w:t>
            </w:r>
            <w:r w:rsidRPr="00EC75B7">
              <w:rPr>
                <w:rFonts w:ascii="Verdana" w:hAnsi="Verdana"/>
                <w:spacing w:val="23"/>
                <w:sz w:val="18"/>
                <w:szCs w:val="18"/>
              </w:rPr>
              <w:t xml:space="preserve">  </w:t>
            </w:r>
            <w:r w:rsidRPr="00EC75B7">
              <w:rPr>
                <w:rFonts w:ascii="Verdana" w:hAnsi="Verdana"/>
                <w:sz w:val="18"/>
                <w:szCs w:val="18"/>
              </w:rPr>
              <w:t xml:space="preserve"> who</w:t>
            </w:r>
            <w:r w:rsidRPr="00EC75B7">
              <w:rPr>
                <w:rFonts w:ascii="Verdana" w:hAnsi="Verdana"/>
                <w:spacing w:val="23"/>
                <w:sz w:val="18"/>
                <w:szCs w:val="18"/>
              </w:rPr>
              <w:t xml:space="preserve">  </w:t>
            </w:r>
            <w:r w:rsidRPr="00EC75B7">
              <w:rPr>
                <w:rFonts w:ascii="Verdana" w:hAnsi="Verdana"/>
                <w:sz w:val="18"/>
                <w:szCs w:val="18"/>
              </w:rPr>
              <w:t xml:space="preserve"> live</w:t>
            </w:r>
            <w:r w:rsidRPr="00EC75B7">
              <w:rPr>
                <w:rFonts w:ascii="Verdana" w:hAnsi="Verdana"/>
                <w:spacing w:val="24"/>
                <w:sz w:val="18"/>
                <w:szCs w:val="18"/>
              </w:rPr>
              <w:t xml:space="preserve">  </w:t>
            </w:r>
            <w:r w:rsidRPr="00EC75B7">
              <w:rPr>
                <w:rFonts w:ascii="Verdana" w:hAnsi="Verdana"/>
                <w:sz w:val="18"/>
                <w:szCs w:val="18"/>
              </w:rPr>
              <w:t xml:space="preserve"> and</w:t>
            </w:r>
            <w:r w:rsidRPr="00EC75B7">
              <w:rPr>
                <w:rFonts w:ascii="Verdana" w:hAnsi="Verdana"/>
                <w:spacing w:val="23"/>
                <w:sz w:val="18"/>
                <w:szCs w:val="18"/>
              </w:rPr>
              <w:t xml:space="preserve">  </w:t>
            </w:r>
            <w:r w:rsidRPr="00EC75B7">
              <w:rPr>
                <w:rFonts w:ascii="Verdana" w:hAnsi="Verdana"/>
                <w:sz w:val="18"/>
                <w:szCs w:val="18"/>
              </w:rPr>
              <w:t xml:space="preserve"> </w:t>
            </w:r>
            <w:r w:rsidRPr="00EC75B7">
              <w:rPr>
                <w:rFonts w:ascii="Verdana" w:hAnsi="Verdana"/>
                <w:spacing w:val="-2"/>
                <w:sz w:val="18"/>
                <w:szCs w:val="18"/>
              </w:rPr>
              <w:t>carry out</w:t>
            </w:r>
            <w:r w:rsidRPr="00EC75B7">
              <w:rPr>
                <w:rFonts w:ascii="Verdana" w:hAnsi="Verdana"/>
                <w:spacing w:val="24"/>
                <w:sz w:val="18"/>
                <w:szCs w:val="18"/>
              </w:rPr>
              <w:t xml:space="preserve">  </w:t>
            </w:r>
            <w:r w:rsidRPr="00EC75B7">
              <w:rPr>
                <w:rFonts w:ascii="Verdana" w:hAnsi="Verdana"/>
                <w:spacing w:val="-2"/>
                <w:sz w:val="18"/>
                <w:szCs w:val="18"/>
              </w:rPr>
              <w:t xml:space="preserve"> </w:t>
            </w:r>
          </w:p>
          <w:p w14:paraId="5C3901C8" w14:textId="77777777" w:rsidR="008715BE" w:rsidRPr="00EC75B7" w:rsidRDefault="00000000">
            <w:pPr>
              <w:pStyle w:val="TableParagraph"/>
              <w:spacing w:line="174" w:lineRule="exact"/>
              <w:ind w:left="108"/>
              <w:rPr>
                <w:rFonts w:ascii="Verdana" w:hAnsi="Verdana"/>
                <w:sz w:val="18"/>
                <w:szCs w:val="18"/>
              </w:rPr>
            </w:pPr>
            <w:r w:rsidRPr="00EC75B7">
              <w:rPr>
                <w:rFonts w:ascii="Verdana" w:hAnsi="Verdana"/>
                <w:sz w:val="18"/>
                <w:szCs w:val="18"/>
              </w:rPr>
              <w:t xml:space="preserve">activities in these </w:t>
            </w:r>
            <w:r w:rsidRPr="00EC75B7">
              <w:rPr>
                <w:rFonts w:ascii="Verdana" w:hAnsi="Verdana"/>
                <w:spacing w:val="-4"/>
                <w:sz w:val="18"/>
                <w:szCs w:val="18"/>
              </w:rPr>
              <w:t>areas</w:t>
            </w:r>
          </w:p>
        </w:tc>
        <w:tc>
          <w:tcPr>
            <w:tcW w:w="3295" w:type="dxa"/>
            <w:shd w:val="clear" w:color="auto" w:fill="F1F1F1"/>
          </w:tcPr>
          <w:p w14:paraId="12062A67" w14:textId="77777777" w:rsidR="008715BE" w:rsidRPr="00EC75B7" w:rsidRDefault="00000000">
            <w:pPr>
              <w:pStyle w:val="TableParagraph"/>
              <w:ind w:left="108" w:right="89"/>
              <w:jc w:val="both"/>
              <w:rPr>
                <w:rFonts w:ascii="Verdana" w:hAnsi="Verdana"/>
                <w:sz w:val="18"/>
                <w:szCs w:val="18"/>
              </w:rPr>
            </w:pPr>
            <w:r w:rsidRPr="00EC75B7">
              <w:rPr>
                <w:rFonts w:ascii="Verdana" w:hAnsi="Verdana"/>
                <w:sz w:val="18"/>
                <w:szCs w:val="18"/>
              </w:rPr>
              <w:t>Given the location of the project outside the built-up area, in a predominantly agricultural area with existing anthropogenic uses (agricultural land, pastures, agricultural and communal roads), without historical monuments, archaeological sites or sites of particular landscape value, the implementation area falls into the low sensitivity class.</w:t>
            </w:r>
          </w:p>
        </w:tc>
      </w:tr>
      <w:tr w:rsidR="008715BE" w:rsidRPr="00EC75B7" w14:paraId="6370550D" w14:textId="77777777" w:rsidTr="002A4F7C">
        <w:trPr>
          <w:trHeight w:val="973"/>
        </w:trPr>
        <w:tc>
          <w:tcPr>
            <w:tcW w:w="1913" w:type="dxa"/>
            <w:shd w:val="clear" w:color="auto" w:fill="FFFF00"/>
          </w:tcPr>
          <w:p w14:paraId="2DCD7A06"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spacing w:val="-2"/>
                <w:sz w:val="18"/>
                <w:szCs w:val="18"/>
              </w:rPr>
              <w:t>Moderate</w:t>
            </w:r>
          </w:p>
        </w:tc>
        <w:tc>
          <w:tcPr>
            <w:tcW w:w="4505" w:type="dxa"/>
          </w:tcPr>
          <w:p w14:paraId="3ECF134B" w14:textId="77777777" w:rsidR="008715BE" w:rsidRPr="00EC75B7" w:rsidRDefault="00000000">
            <w:pPr>
              <w:pStyle w:val="TableParagraph"/>
              <w:spacing w:before="1" w:line="195" w:lineRule="exact"/>
              <w:ind w:left="108"/>
              <w:jc w:val="both"/>
              <w:rPr>
                <w:rFonts w:ascii="Verdana" w:hAnsi="Verdana"/>
                <w:sz w:val="18"/>
                <w:szCs w:val="18"/>
              </w:rPr>
            </w:pPr>
            <w:r w:rsidRPr="00EC75B7">
              <w:rPr>
                <w:rFonts w:ascii="Verdana" w:hAnsi="Verdana"/>
                <w:sz w:val="18"/>
                <w:szCs w:val="18"/>
                <w:u w:val="single"/>
              </w:rPr>
              <w:t>Lands</w:t>
            </w:r>
            <w:r w:rsidRPr="00EC75B7">
              <w:rPr>
                <w:rFonts w:ascii="Verdana" w:hAnsi="Verdana"/>
                <w:spacing w:val="-6"/>
                <w:sz w:val="18"/>
                <w:szCs w:val="18"/>
                <w:u w:val="single"/>
              </w:rPr>
              <w:t xml:space="preserve">cape </w:t>
            </w:r>
            <w:r w:rsidRPr="00EC75B7">
              <w:rPr>
                <w:rFonts w:ascii="Verdana" w:hAnsi="Verdana"/>
                <w:sz w:val="18"/>
                <w:szCs w:val="18"/>
                <w:u w:val="single"/>
              </w:rPr>
              <w:t>characteristics</w:t>
            </w:r>
            <w:r w:rsidRPr="00EC75B7">
              <w:rPr>
                <w:rFonts w:ascii="Verdana" w:hAnsi="Verdana"/>
                <w:spacing w:val="-2"/>
                <w:sz w:val="18"/>
                <w:szCs w:val="18"/>
                <w:u w:val="single"/>
              </w:rPr>
              <w:t>:</w:t>
            </w:r>
          </w:p>
          <w:p w14:paraId="2923F94B"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Areas in the vicinity of historical monuments and archaeological sites that require special protection measures</w:t>
            </w:r>
          </w:p>
          <w:p w14:paraId="641F6BF0" w14:textId="77777777" w:rsidR="008715BE" w:rsidRPr="00EC75B7" w:rsidRDefault="00000000">
            <w:pPr>
              <w:pStyle w:val="TableParagraph"/>
              <w:spacing w:line="172" w:lineRule="exact"/>
              <w:ind w:left="108"/>
              <w:jc w:val="both"/>
              <w:rPr>
                <w:rFonts w:ascii="Verdana" w:hAnsi="Verdana"/>
                <w:sz w:val="18"/>
                <w:szCs w:val="18"/>
              </w:rPr>
            </w:pPr>
            <w:r w:rsidRPr="00EC75B7">
              <w:rPr>
                <w:rFonts w:ascii="Verdana" w:hAnsi="Verdana"/>
                <w:spacing w:val="-2"/>
                <w:sz w:val="18"/>
                <w:szCs w:val="18"/>
                <w:u w:val="single"/>
              </w:rPr>
              <w:t xml:space="preserve">Sensitive </w:t>
            </w:r>
            <w:r w:rsidRPr="00EC75B7">
              <w:rPr>
                <w:rFonts w:ascii="Verdana" w:hAnsi="Verdana"/>
                <w:sz w:val="18"/>
                <w:szCs w:val="18"/>
                <w:u w:val="single"/>
              </w:rPr>
              <w:t>receptors</w:t>
            </w:r>
            <w:r w:rsidRPr="00EC75B7">
              <w:rPr>
                <w:rFonts w:ascii="Verdana" w:hAnsi="Verdana"/>
                <w:spacing w:val="-2"/>
                <w:sz w:val="18"/>
                <w:szCs w:val="18"/>
                <w:u w:val="single"/>
              </w:rPr>
              <w:t>:</w:t>
            </w:r>
          </w:p>
        </w:tc>
        <w:tc>
          <w:tcPr>
            <w:tcW w:w="3295" w:type="dxa"/>
          </w:tcPr>
          <w:p w14:paraId="247CD126" w14:textId="77777777" w:rsidR="008715BE" w:rsidRPr="00EC75B7" w:rsidRDefault="008715BE">
            <w:pPr>
              <w:pStyle w:val="TableParagraph"/>
              <w:rPr>
                <w:rFonts w:ascii="Verdana" w:hAnsi="Verdana"/>
                <w:sz w:val="18"/>
                <w:szCs w:val="18"/>
              </w:rPr>
            </w:pPr>
          </w:p>
        </w:tc>
      </w:tr>
    </w:tbl>
    <w:p w14:paraId="677BC10A" w14:textId="77777777" w:rsidR="008715BE" w:rsidRPr="00EC75B7" w:rsidRDefault="008715BE">
      <w:pPr>
        <w:pStyle w:val="TableParagraph"/>
        <w:rPr>
          <w:rFonts w:ascii="Verdana" w:hAnsi="Verdana"/>
          <w:sz w:val="18"/>
          <w:szCs w:val="18"/>
        </w:rPr>
        <w:sectPr w:rsidR="008715BE" w:rsidRPr="00EC75B7">
          <w:pgSz w:w="11910" w:h="16840"/>
          <w:pgMar w:top="1320" w:right="850" w:bottom="1020" w:left="1133" w:header="766" w:footer="824" w:gutter="0"/>
          <w:cols w:space="708"/>
        </w:sectPr>
      </w:pPr>
    </w:p>
    <w:p w14:paraId="11A99D5D"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52"/>
        <w:gridCol w:w="3766"/>
        <w:gridCol w:w="3295"/>
      </w:tblGrid>
      <w:tr w:rsidR="008715BE" w:rsidRPr="00EC75B7" w14:paraId="0E0D56FF" w14:textId="77777777">
        <w:trPr>
          <w:trHeight w:val="388"/>
        </w:trPr>
        <w:tc>
          <w:tcPr>
            <w:tcW w:w="2652" w:type="dxa"/>
            <w:shd w:val="clear" w:color="auto" w:fill="00AFEF"/>
          </w:tcPr>
          <w:p w14:paraId="3306AE8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Sensitivity</w:t>
            </w:r>
          </w:p>
        </w:tc>
        <w:tc>
          <w:tcPr>
            <w:tcW w:w="3766" w:type="dxa"/>
            <w:shd w:val="clear" w:color="auto" w:fill="00AFEF"/>
          </w:tcPr>
          <w:p w14:paraId="22619422"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2"/>
                <w:sz w:val="18"/>
                <w:szCs w:val="18"/>
              </w:rPr>
              <w:t xml:space="preserve">Classification </w:t>
            </w:r>
            <w:r w:rsidRPr="00EC75B7">
              <w:rPr>
                <w:rFonts w:ascii="Verdana" w:hAnsi="Verdana"/>
                <w:b/>
                <w:color w:val="FFFFFF"/>
                <w:sz w:val="18"/>
                <w:szCs w:val="18"/>
              </w:rPr>
              <w:t>elements</w:t>
            </w:r>
          </w:p>
        </w:tc>
        <w:tc>
          <w:tcPr>
            <w:tcW w:w="3295" w:type="dxa"/>
            <w:shd w:val="clear" w:color="auto" w:fill="00AFEF"/>
          </w:tcPr>
          <w:p w14:paraId="147CAD34" w14:textId="77777777" w:rsidR="008715BE" w:rsidRPr="00EC75B7" w:rsidRDefault="00000000">
            <w:pPr>
              <w:pStyle w:val="TableParagraph"/>
              <w:tabs>
                <w:tab w:val="left" w:pos="773"/>
                <w:tab w:val="left" w:pos="2012"/>
                <w:tab w:val="left" w:pos="2403"/>
                <w:tab w:val="left" w:pos="2974"/>
              </w:tabs>
              <w:spacing w:line="194" w:lineRule="exact"/>
              <w:ind w:left="108" w:right="93"/>
              <w:rPr>
                <w:rFonts w:ascii="Verdana" w:hAnsi="Verdana"/>
                <w:b/>
                <w:sz w:val="18"/>
                <w:szCs w:val="18"/>
              </w:rPr>
            </w:pPr>
            <w:r w:rsidRPr="00EC75B7">
              <w:rPr>
                <w:rFonts w:ascii="Verdana" w:hAnsi="Verdana"/>
                <w:b/>
                <w:color w:val="FFFFFF"/>
                <w:spacing w:val="-4"/>
                <w:sz w:val="18"/>
                <w:szCs w:val="18"/>
              </w:rPr>
              <w:t>Areas</w:t>
            </w:r>
            <w:r w:rsidRPr="00EC75B7">
              <w:rPr>
                <w:rFonts w:ascii="Verdana" w:hAnsi="Verdana"/>
                <w:b/>
                <w:color w:val="FFFFFF"/>
                <w:sz w:val="18"/>
                <w:szCs w:val="18"/>
              </w:rPr>
              <w:tab/>
            </w:r>
            <w:r w:rsidRPr="00EC75B7">
              <w:rPr>
                <w:rFonts w:ascii="Verdana" w:hAnsi="Verdana"/>
                <w:b/>
                <w:color w:val="FFFFFF"/>
                <w:spacing w:val="-2"/>
                <w:sz w:val="18"/>
                <w:szCs w:val="18"/>
              </w:rPr>
              <w:t>identified</w:t>
            </w:r>
            <w:r w:rsidRPr="00EC75B7">
              <w:rPr>
                <w:rFonts w:ascii="Verdana" w:hAnsi="Verdana"/>
                <w:b/>
                <w:color w:val="FFFFFF"/>
                <w:sz w:val="18"/>
                <w:szCs w:val="18"/>
              </w:rPr>
              <w:tab/>
            </w:r>
            <w:r w:rsidRPr="00EC75B7">
              <w:rPr>
                <w:rFonts w:ascii="Verdana" w:hAnsi="Verdana"/>
                <w:b/>
                <w:color w:val="FFFFFF"/>
                <w:spacing w:val="-6"/>
                <w:sz w:val="18"/>
                <w:szCs w:val="18"/>
              </w:rPr>
              <w:t>in</w:t>
            </w:r>
            <w:r w:rsidRPr="00EC75B7">
              <w:rPr>
                <w:rFonts w:ascii="Verdana" w:hAnsi="Verdana"/>
                <w:b/>
                <w:color w:val="FFFFFF"/>
                <w:sz w:val="18"/>
                <w:szCs w:val="18"/>
              </w:rPr>
              <w:tab/>
            </w:r>
            <w:r w:rsidRPr="00EC75B7">
              <w:rPr>
                <w:rFonts w:ascii="Verdana" w:hAnsi="Verdana"/>
                <w:b/>
                <w:color w:val="FFFFFF"/>
                <w:spacing w:val="-4"/>
                <w:sz w:val="18"/>
                <w:szCs w:val="18"/>
              </w:rPr>
              <w:t>area</w:t>
            </w:r>
            <w:r w:rsidRPr="00EC75B7">
              <w:rPr>
                <w:rFonts w:ascii="Verdana" w:hAnsi="Verdana"/>
                <w:b/>
                <w:color w:val="FFFFFF"/>
                <w:sz w:val="18"/>
                <w:szCs w:val="18"/>
              </w:rPr>
              <w:tab/>
            </w:r>
            <w:r w:rsidRPr="00EC75B7">
              <w:rPr>
                <w:rFonts w:ascii="Verdana" w:hAnsi="Verdana"/>
                <w:b/>
                <w:color w:val="FFFFFF"/>
                <w:spacing w:val="-10"/>
                <w:sz w:val="18"/>
                <w:szCs w:val="18"/>
              </w:rPr>
              <w:t xml:space="preserve">of </w:t>
            </w:r>
            <w:r w:rsidRPr="00EC75B7">
              <w:rPr>
                <w:rFonts w:ascii="Verdana" w:hAnsi="Verdana"/>
                <w:b/>
                <w:color w:val="FFFFFF"/>
                <w:sz w:val="18"/>
                <w:szCs w:val="18"/>
              </w:rPr>
              <w:t>project implementation</w:t>
            </w:r>
          </w:p>
        </w:tc>
      </w:tr>
      <w:tr w:rsidR="008715BE" w:rsidRPr="00EC75B7" w14:paraId="40FB3F98" w14:textId="77777777">
        <w:trPr>
          <w:trHeight w:val="777"/>
        </w:trPr>
        <w:tc>
          <w:tcPr>
            <w:tcW w:w="2652" w:type="dxa"/>
            <w:shd w:val="clear" w:color="auto" w:fill="FFFF00"/>
          </w:tcPr>
          <w:p w14:paraId="30CF2378" w14:textId="77777777" w:rsidR="008715BE" w:rsidRPr="00EC75B7" w:rsidRDefault="008715BE">
            <w:pPr>
              <w:pStyle w:val="TableParagraph"/>
              <w:rPr>
                <w:rFonts w:ascii="Verdana" w:hAnsi="Verdana"/>
                <w:sz w:val="18"/>
                <w:szCs w:val="18"/>
              </w:rPr>
            </w:pPr>
          </w:p>
        </w:tc>
        <w:tc>
          <w:tcPr>
            <w:tcW w:w="3766" w:type="dxa"/>
          </w:tcPr>
          <w:p w14:paraId="15907A3A" w14:textId="77777777" w:rsidR="008715BE" w:rsidRPr="00EC75B7" w:rsidRDefault="00000000">
            <w:pPr>
              <w:pStyle w:val="TableParagraph"/>
              <w:spacing w:line="194" w:lineRule="exact"/>
              <w:ind w:left="108" w:right="93"/>
              <w:jc w:val="both"/>
              <w:rPr>
                <w:rFonts w:ascii="Verdana" w:hAnsi="Verdana"/>
                <w:sz w:val="18"/>
                <w:szCs w:val="18"/>
              </w:rPr>
            </w:pPr>
            <w:r w:rsidRPr="00EC75B7">
              <w:rPr>
                <w:rFonts w:ascii="Verdana" w:hAnsi="Verdana"/>
                <w:sz w:val="18"/>
                <w:szCs w:val="18"/>
              </w:rPr>
              <w:t>People who live and use accommodation or carry out activities in areas offering visibility of the landscape classified as moderately sensitive</w:t>
            </w:r>
          </w:p>
        </w:tc>
        <w:tc>
          <w:tcPr>
            <w:tcW w:w="3295" w:type="dxa"/>
          </w:tcPr>
          <w:p w14:paraId="62ADCF6C" w14:textId="77777777" w:rsidR="008715BE" w:rsidRPr="00EC75B7" w:rsidRDefault="008715BE">
            <w:pPr>
              <w:pStyle w:val="TableParagraph"/>
              <w:rPr>
                <w:rFonts w:ascii="Verdana" w:hAnsi="Verdana"/>
                <w:sz w:val="18"/>
                <w:szCs w:val="18"/>
              </w:rPr>
            </w:pPr>
          </w:p>
        </w:tc>
      </w:tr>
      <w:tr w:rsidR="008715BE" w:rsidRPr="00EC75B7" w14:paraId="6249EB06" w14:textId="77777777">
        <w:trPr>
          <w:trHeight w:val="1946"/>
        </w:trPr>
        <w:tc>
          <w:tcPr>
            <w:tcW w:w="2652" w:type="dxa"/>
            <w:shd w:val="clear" w:color="auto" w:fill="FAE3D4"/>
          </w:tcPr>
          <w:p w14:paraId="01C3908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3766" w:type="dxa"/>
            <w:shd w:val="clear" w:color="auto" w:fill="F1F1F1"/>
          </w:tcPr>
          <w:p w14:paraId="468B2FA7"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pacing w:val="-6"/>
                <w:sz w:val="18"/>
                <w:szCs w:val="18"/>
                <w:u w:val="single"/>
              </w:rPr>
              <w:t>L</w:t>
            </w:r>
            <w:r w:rsidRPr="00EC75B7">
              <w:rPr>
                <w:rFonts w:ascii="Verdana" w:hAnsi="Verdana"/>
                <w:sz w:val="18"/>
                <w:szCs w:val="18"/>
                <w:u w:val="single"/>
              </w:rPr>
              <w:t>andscape features</w:t>
            </w:r>
            <w:r w:rsidRPr="00EC75B7">
              <w:rPr>
                <w:rFonts w:ascii="Verdana" w:hAnsi="Verdana"/>
                <w:spacing w:val="-2"/>
                <w:sz w:val="18"/>
                <w:szCs w:val="18"/>
                <w:u w:val="single"/>
              </w:rPr>
              <w:t>:</w:t>
            </w:r>
          </w:p>
          <w:p w14:paraId="64AFF980" w14:textId="77777777" w:rsidR="008715BE" w:rsidRPr="00EC75B7" w:rsidRDefault="00000000">
            <w:pPr>
              <w:pStyle w:val="TableParagraph"/>
              <w:ind w:left="108" w:right="49"/>
              <w:rPr>
                <w:rFonts w:ascii="Verdana" w:hAnsi="Verdana"/>
                <w:sz w:val="18"/>
                <w:szCs w:val="18"/>
              </w:rPr>
            </w:pPr>
            <w:r w:rsidRPr="00EC75B7">
              <w:rPr>
                <w:rFonts w:ascii="Verdana" w:hAnsi="Verdana"/>
                <w:sz w:val="18"/>
                <w:szCs w:val="18"/>
              </w:rPr>
              <w:t>Areas designated nationally as being important from a landscape perspective Areas with a low degree of modern construction and a high degree of naturalness, with historical and cultural value</w:t>
            </w:r>
          </w:p>
          <w:p w14:paraId="4E03A08E"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pacing w:val="-2"/>
                <w:sz w:val="18"/>
                <w:szCs w:val="18"/>
                <w:u w:val="single"/>
              </w:rPr>
              <w:t xml:space="preserve">Sensitive </w:t>
            </w:r>
            <w:r w:rsidRPr="00EC75B7">
              <w:rPr>
                <w:rFonts w:ascii="Verdana" w:hAnsi="Verdana"/>
                <w:sz w:val="18"/>
                <w:szCs w:val="18"/>
                <w:u w:val="single"/>
              </w:rPr>
              <w:t>receptors</w:t>
            </w:r>
            <w:r w:rsidRPr="00EC75B7">
              <w:rPr>
                <w:rFonts w:ascii="Verdana" w:hAnsi="Verdana"/>
                <w:spacing w:val="-2"/>
                <w:sz w:val="18"/>
                <w:szCs w:val="18"/>
                <w:u w:val="single"/>
              </w:rPr>
              <w:t>:</w:t>
            </w:r>
          </w:p>
          <w:p w14:paraId="7C33477E"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People who live in and use accommodation that offers views of </w:t>
            </w:r>
            <w:r w:rsidRPr="00EC75B7">
              <w:rPr>
                <w:rFonts w:ascii="Verdana" w:hAnsi="Verdana"/>
                <w:spacing w:val="-2"/>
                <w:sz w:val="18"/>
                <w:szCs w:val="18"/>
              </w:rPr>
              <w:t>the landscape</w:t>
            </w:r>
          </w:p>
          <w:p w14:paraId="564A99CB" w14:textId="77777777" w:rsidR="008715BE" w:rsidRPr="00EC75B7" w:rsidRDefault="00000000">
            <w:pPr>
              <w:pStyle w:val="TableParagraph"/>
              <w:spacing w:line="164" w:lineRule="exact"/>
              <w:ind w:left="108"/>
              <w:rPr>
                <w:rFonts w:ascii="Verdana" w:hAnsi="Verdana"/>
                <w:sz w:val="18"/>
                <w:szCs w:val="18"/>
              </w:rPr>
            </w:pPr>
            <w:r w:rsidRPr="00EC75B7">
              <w:rPr>
                <w:rFonts w:ascii="Verdana" w:hAnsi="Verdana"/>
                <w:sz w:val="18"/>
                <w:szCs w:val="18"/>
              </w:rPr>
              <w:t xml:space="preserve">Classified as </w:t>
            </w:r>
            <w:r w:rsidRPr="00EC75B7">
              <w:rPr>
                <w:rFonts w:ascii="Verdana" w:hAnsi="Verdana"/>
                <w:spacing w:val="-4"/>
                <w:sz w:val="18"/>
                <w:szCs w:val="18"/>
              </w:rPr>
              <w:t xml:space="preserve">highly </w:t>
            </w:r>
            <w:r w:rsidRPr="00EC75B7">
              <w:rPr>
                <w:rFonts w:ascii="Verdana" w:hAnsi="Verdana"/>
                <w:sz w:val="18"/>
                <w:szCs w:val="18"/>
              </w:rPr>
              <w:t>sensitive</w:t>
            </w:r>
          </w:p>
        </w:tc>
        <w:tc>
          <w:tcPr>
            <w:tcW w:w="3295" w:type="dxa"/>
            <w:shd w:val="clear" w:color="auto" w:fill="F1F1F1"/>
          </w:tcPr>
          <w:p w14:paraId="06FAE5AE" w14:textId="77777777" w:rsidR="008715BE" w:rsidRPr="00EC75B7" w:rsidRDefault="008715BE">
            <w:pPr>
              <w:pStyle w:val="TableParagraph"/>
              <w:rPr>
                <w:rFonts w:ascii="Verdana" w:hAnsi="Verdana"/>
                <w:sz w:val="18"/>
                <w:szCs w:val="18"/>
              </w:rPr>
            </w:pPr>
          </w:p>
        </w:tc>
      </w:tr>
      <w:tr w:rsidR="008715BE" w:rsidRPr="00EC75B7" w14:paraId="1C30A10B" w14:textId="77777777">
        <w:trPr>
          <w:trHeight w:val="3110"/>
        </w:trPr>
        <w:tc>
          <w:tcPr>
            <w:tcW w:w="2652" w:type="dxa"/>
            <w:shd w:val="clear" w:color="auto" w:fill="FF0000"/>
          </w:tcPr>
          <w:p w14:paraId="48CA227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c>
          <w:tcPr>
            <w:tcW w:w="3766" w:type="dxa"/>
          </w:tcPr>
          <w:p w14:paraId="0D990E8B" w14:textId="77777777" w:rsidR="008715BE" w:rsidRPr="00EC75B7" w:rsidRDefault="00000000">
            <w:pPr>
              <w:pStyle w:val="TableParagraph"/>
              <w:spacing w:before="8" w:line="195" w:lineRule="exact"/>
              <w:ind w:left="108"/>
              <w:jc w:val="both"/>
              <w:rPr>
                <w:rFonts w:ascii="Verdana" w:hAnsi="Verdana"/>
                <w:sz w:val="18"/>
                <w:szCs w:val="18"/>
              </w:rPr>
            </w:pPr>
            <w:r w:rsidRPr="00EC75B7">
              <w:rPr>
                <w:rFonts w:ascii="Verdana" w:hAnsi="Verdana"/>
                <w:spacing w:val="-2"/>
                <w:sz w:val="18"/>
                <w:szCs w:val="18"/>
                <w:u w:val="single"/>
              </w:rPr>
              <w:t>Landscape characteristics</w:t>
            </w:r>
            <w:r w:rsidRPr="00EC75B7">
              <w:rPr>
                <w:rFonts w:ascii="Verdana" w:hAnsi="Verdana"/>
                <w:spacing w:val="-2"/>
                <w:sz w:val="18"/>
                <w:szCs w:val="18"/>
              </w:rPr>
              <w:t>:</w:t>
            </w:r>
          </w:p>
          <w:p w14:paraId="43CF9FC5"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Areas with high landscape value and high conservation status (virgin forests, traditional grasslands)</w:t>
            </w:r>
          </w:p>
          <w:p w14:paraId="0F312807" w14:textId="77777777" w:rsidR="008715BE" w:rsidRPr="00EC75B7" w:rsidRDefault="00000000">
            <w:pPr>
              <w:pStyle w:val="TableParagraph"/>
              <w:ind w:left="108" w:right="97"/>
              <w:jc w:val="both"/>
              <w:rPr>
                <w:rFonts w:ascii="Verdana" w:hAnsi="Verdana"/>
                <w:sz w:val="18"/>
                <w:szCs w:val="18"/>
              </w:rPr>
            </w:pPr>
            <w:r w:rsidRPr="00EC75B7">
              <w:rPr>
                <w:rFonts w:ascii="Verdana" w:hAnsi="Verdana"/>
                <w:sz w:val="18"/>
                <w:szCs w:val="18"/>
              </w:rPr>
              <w:t>Areas with cultural heritage sites included in the UNESCO heritage</w:t>
            </w:r>
          </w:p>
          <w:p w14:paraId="6BD957C0" w14:textId="77777777" w:rsidR="008715BE" w:rsidRPr="00EC75B7" w:rsidRDefault="00000000">
            <w:pPr>
              <w:pStyle w:val="TableParagraph"/>
              <w:spacing w:line="194" w:lineRule="exact"/>
              <w:ind w:left="108"/>
              <w:jc w:val="both"/>
              <w:rPr>
                <w:rFonts w:ascii="Verdana" w:hAnsi="Verdana"/>
                <w:sz w:val="18"/>
                <w:szCs w:val="18"/>
              </w:rPr>
            </w:pPr>
            <w:r w:rsidRPr="00EC75B7">
              <w:rPr>
                <w:rFonts w:ascii="Verdana" w:hAnsi="Verdana"/>
                <w:sz w:val="18"/>
                <w:szCs w:val="18"/>
              </w:rPr>
              <w:t xml:space="preserve">Areas with </w:t>
            </w:r>
            <w:r w:rsidRPr="00EC75B7">
              <w:rPr>
                <w:rFonts w:ascii="Verdana" w:hAnsi="Verdana"/>
                <w:spacing w:val="-2"/>
                <w:sz w:val="18"/>
                <w:szCs w:val="18"/>
              </w:rPr>
              <w:t xml:space="preserve">protected </w:t>
            </w:r>
            <w:r w:rsidRPr="00EC75B7">
              <w:rPr>
                <w:rFonts w:ascii="Verdana" w:hAnsi="Verdana"/>
                <w:sz w:val="18"/>
                <w:szCs w:val="18"/>
              </w:rPr>
              <w:t>natural areas</w:t>
            </w:r>
            <w:r w:rsidRPr="00EC75B7">
              <w:rPr>
                <w:rFonts w:ascii="Verdana" w:hAnsi="Verdana"/>
                <w:spacing w:val="-2"/>
                <w:sz w:val="18"/>
                <w:szCs w:val="18"/>
              </w:rPr>
              <w:t>.</w:t>
            </w:r>
          </w:p>
          <w:p w14:paraId="0C085E55"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 xml:space="preserve">Natural areas with high aesthetic value, free of construction and human intervention, with a high level of </w:t>
            </w:r>
            <w:r w:rsidRPr="00EC75B7">
              <w:rPr>
                <w:rFonts w:ascii="Verdana" w:hAnsi="Verdana"/>
                <w:spacing w:val="-2"/>
                <w:sz w:val="18"/>
                <w:szCs w:val="18"/>
              </w:rPr>
              <w:t>wildness</w:t>
            </w:r>
          </w:p>
          <w:p w14:paraId="3817A6D7" w14:textId="77777777" w:rsidR="008715BE" w:rsidRPr="00EC75B7" w:rsidRDefault="00000000">
            <w:pPr>
              <w:pStyle w:val="TableParagraph"/>
              <w:spacing w:line="191" w:lineRule="exact"/>
              <w:ind w:left="108"/>
              <w:jc w:val="both"/>
              <w:rPr>
                <w:rFonts w:ascii="Verdana" w:hAnsi="Verdana"/>
                <w:sz w:val="18"/>
                <w:szCs w:val="18"/>
              </w:rPr>
            </w:pPr>
            <w:r w:rsidRPr="00EC75B7">
              <w:rPr>
                <w:rFonts w:ascii="Verdana" w:hAnsi="Verdana"/>
                <w:spacing w:val="-2"/>
                <w:sz w:val="18"/>
                <w:szCs w:val="18"/>
                <w:u w:val="single"/>
              </w:rPr>
              <w:t xml:space="preserve">Sensitive </w:t>
            </w:r>
            <w:r w:rsidRPr="00EC75B7">
              <w:rPr>
                <w:rFonts w:ascii="Verdana" w:hAnsi="Verdana"/>
                <w:sz w:val="18"/>
                <w:szCs w:val="18"/>
                <w:u w:val="single"/>
              </w:rPr>
              <w:t>receptors</w:t>
            </w:r>
            <w:r w:rsidRPr="00EC75B7">
              <w:rPr>
                <w:rFonts w:ascii="Verdana" w:hAnsi="Verdana"/>
                <w:spacing w:val="-2"/>
                <w:sz w:val="18"/>
                <w:szCs w:val="18"/>
                <w:u w:val="single"/>
              </w:rPr>
              <w:t>:</w:t>
            </w:r>
          </w:p>
          <w:p w14:paraId="7E685646"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People who live in and use accommodation that offers visibility of the landscape classified</w:t>
            </w:r>
            <w:r w:rsidRPr="00EC75B7">
              <w:rPr>
                <w:rFonts w:ascii="Verdana" w:hAnsi="Verdana"/>
                <w:spacing w:val="31"/>
                <w:sz w:val="18"/>
                <w:szCs w:val="18"/>
              </w:rPr>
              <w:t xml:space="preserve">  </w:t>
            </w:r>
            <w:r w:rsidRPr="00EC75B7">
              <w:rPr>
                <w:rFonts w:ascii="Verdana" w:hAnsi="Verdana"/>
                <w:sz w:val="18"/>
                <w:szCs w:val="18"/>
              </w:rPr>
              <w:t xml:space="preserve"> in</w:t>
            </w:r>
            <w:r w:rsidRPr="00EC75B7">
              <w:rPr>
                <w:rFonts w:ascii="Verdana" w:hAnsi="Verdana"/>
                <w:spacing w:val="31"/>
                <w:sz w:val="18"/>
                <w:szCs w:val="18"/>
              </w:rPr>
              <w:t xml:space="preserve">  </w:t>
            </w:r>
            <w:r w:rsidRPr="00EC75B7">
              <w:rPr>
                <w:rFonts w:ascii="Verdana" w:hAnsi="Verdana"/>
                <w:sz w:val="18"/>
                <w:szCs w:val="18"/>
              </w:rPr>
              <w:t xml:space="preserve"> class</w:t>
            </w:r>
            <w:r w:rsidRPr="00EC75B7">
              <w:rPr>
                <w:rFonts w:ascii="Verdana" w:hAnsi="Verdana"/>
                <w:spacing w:val="31"/>
                <w:sz w:val="18"/>
                <w:szCs w:val="18"/>
              </w:rPr>
              <w:t xml:space="preserve">  </w:t>
            </w:r>
            <w:r w:rsidRPr="00EC75B7">
              <w:rPr>
                <w:rFonts w:ascii="Verdana" w:hAnsi="Verdana"/>
                <w:sz w:val="18"/>
                <w:szCs w:val="18"/>
              </w:rPr>
              <w:t xml:space="preserve"> of</w:t>
            </w:r>
            <w:r w:rsidRPr="00EC75B7">
              <w:rPr>
                <w:rFonts w:ascii="Verdana" w:hAnsi="Verdana"/>
                <w:spacing w:val="31"/>
                <w:sz w:val="18"/>
                <w:szCs w:val="18"/>
              </w:rPr>
              <w:t xml:space="preserve">  </w:t>
            </w:r>
            <w:r w:rsidRPr="00EC75B7">
              <w:rPr>
                <w:rFonts w:ascii="Verdana" w:hAnsi="Verdana"/>
                <w:sz w:val="18"/>
                <w:szCs w:val="18"/>
              </w:rPr>
              <w:t xml:space="preserve"> sensitivity</w:t>
            </w:r>
            <w:r w:rsidRPr="00EC75B7">
              <w:rPr>
                <w:rFonts w:ascii="Verdana" w:hAnsi="Verdana"/>
                <w:spacing w:val="32"/>
                <w:sz w:val="18"/>
                <w:szCs w:val="18"/>
              </w:rPr>
              <w:t xml:space="preserve">  </w:t>
            </w:r>
            <w:r w:rsidRPr="00EC75B7">
              <w:rPr>
                <w:rFonts w:ascii="Verdana" w:hAnsi="Verdana"/>
                <w:spacing w:val="-2"/>
                <w:sz w:val="18"/>
                <w:szCs w:val="18"/>
              </w:rPr>
              <w:t xml:space="preserve"> very</w:t>
            </w:r>
          </w:p>
          <w:p w14:paraId="03C2C946" w14:textId="77777777" w:rsidR="008715BE" w:rsidRPr="00EC75B7" w:rsidRDefault="00000000">
            <w:pPr>
              <w:pStyle w:val="TableParagraph"/>
              <w:spacing w:line="163" w:lineRule="exact"/>
              <w:ind w:left="108"/>
              <w:rPr>
                <w:rFonts w:ascii="Verdana" w:hAnsi="Verdana"/>
                <w:sz w:val="18"/>
                <w:szCs w:val="18"/>
              </w:rPr>
            </w:pPr>
            <w:r w:rsidRPr="00EC75B7">
              <w:rPr>
                <w:rFonts w:ascii="Verdana" w:hAnsi="Verdana"/>
                <w:spacing w:val="-2"/>
                <w:sz w:val="18"/>
                <w:szCs w:val="18"/>
              </w:rPr>
              <w:t>high</w:t>
            </w:r>
          </w:p>
        </w:tc>
        <w:tc>
          <w:tcPr>
            <w:tcW w:w="3295" w:type="dxa"/>
          </w:tcPr>
          <w:p w14:paraId="62B0300F" w14:textId="77777777" w:rsidR="008715BE" w:rsidRPr="00EC75B7" w:rsidRDefault="008715BE">
            <w:pPr>
              <w:pStyle w:val="TableParagraph"/>
              <w:rPr>
                <w:rFonts w:ascii="Verdana" w:hAnsi="Verdana"/>
                <w:sz w:val="18"/>
                <w:szCs w:val="18"/>
              </w:rPr>
            </w:pPr>
          </w:p>
        </w:tc>
      </w:tr>
      <w:tr w:rsidR="008715BE" w:rsidRPr="00EC75B7" w14:paraId="782A19DF" w14:textId="77777777">
        <w:trPr>
          <w:trHeight w:val="1362"/>
        </w:trPr>
        <w:tc>
          <w:tcPr>
            <w:tcW w:w="2652" w:type="dxa"/>
            <w:shd w:val="clear" w:color="auto" w:fill="D0CECE"/>
          </w:tcPr>
          <w:p w14:paraId="109EE490"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 xml:space="preserve">No </w:t>
            </w:r>
            <w:r w:rsidRPr="00EC75B7">
              <w:rPr>
                <w:rFonts w:ascii="Verdana" w:hAnsi="Verdana"/>
                <w:b/>
                <w:sz w:val="18"/>
                <w:szCs w:val="18"/>
              </w:rPr>
              <w:t xml:space="preserve">sensitivity/Very low </w:t>
            </w:r>
            <w:r w:rsidRPr="00EC75B7">
              <w:rPr>
                <w:rFonts w:ascii="Verdana" w:hAnsi="Verdana"/>
                <w:b/>
                <w:spacing w:val="-2"/>
                <w:sz w:val="18"/>
                <w:szCs w:val="18"/>
              </w:rPr>
              <w:t>sensitivity</w:t>
            </w:r>
          </w:p>
        </w:tc>
        <w:tc>
          <w:tcPr>
            <w:tcW w:w="3766" w:type="dxa"/>
            <w:shd w:val="clear" w:color="auto" w:fill="F1F1F1"/>
          </w:tcPr>
          <w:p w14:paraId="3AB31951" w14:textId="77777777" w:rsidR="008715BE" w:rsidRPr="00EC75B7" w:rsidRDefault="00000000">
            <w:pPr>
              <w:pStyle w:val="TableParagraph"/>
              <w:spacing w:before="8" w:line="195" w:lineRule="exact"/>
              <w:ind w:left="108"/>
              <w:jc w:val="both"/>
              <w:rPr>
                <w:rFonts w:ascii="Verdana" w:hAnsi="Verdana"/>
                <w:sz w:val="18"/>
                <w:szCs w:val="18"/>
              </w:rPr>
            </w:pPr>
            <w:r w:rsidRPr="00EC75B7">
              <w:rPr>
                <w:rFonts w:ascii="Verdana" w:hAnsi="Verdana"/>
                <w:spacing w:val="-2"/>
                <w:sz w:val="18"/>
                <w:szCs w:val="18"/>
                <w:u w:val="single"/>
              </w:rPr>
              <w:t>Landscape characteristics:</w:t>
            </w:r>
          </w:p>
          <w:p w14:paraId="03DF0A54"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 xml:space="preserve">Areas where </w:t>
            </w:r>
            <w:r w:rsidRPr="00EC75B7">
              <w:rPr>
                <w:rFonts w:ascii="Verdana" w:hAnsi="Verdana"/>
                <w:spacing w:val="-2"/>
                <w:sz w:val="18"/>
                <w:szCs w:val="18"/>
              </w:rPr>
              <w:t xml:space="preserve">abandoned/dilapidated </w:t>
            </w:r>
            <w:r w:rsidRPr="00EC75B7">
              <w:rPr>
                <w:rFonts w:ascii="Verdana" w:hAnsi="Verdana"/>
                <w:sz w:val="18"/>
                <w:szCs w:val="18"/>
              </w:rPr>
              <w:t>built elements are present</w:t>
            </w:r>
          </w:p>
          <w:p w14:paraId="1E9BDA16" w14:textId="77777777" w:rsidR="008715BE" w:rsidRPr="00EC75B7" w:rsidRDefault="00000000">
            <w:pPr>
              <w:pStyle w:val="TableParagraph"/>
              <w:spacing w:line="192" w:lineRule="exact"/>
              <w:ind w:left="108"/>
              <w:rPr>
                <w:rFonts w:ascii="Verdana" w:hAnsi="Verdana"/>
                <w:sz w:val="18"/>
                <w:szCs w:val="18"/>
              </w:rPr>
            </w:pPr>
            <w:r w:rsidRPr="00EC75B7">
              <w:rPr>
                <w:rFonts w:ascii="Verdana" w:hAnsi="Verdana"/>
                <w:spacing w:val="-2"/>
                <w:sz w:val="18"/>
                <w:szCs w:val="18"/>
                <w:u w:val="single"/>
              </w:rPr>
              <w:t xml:space="preserve">Sensitive </w:t>
            </w:r>
            <w:r w:rsidRPr="00EC75B7">
              <w:rPr>
                <w:rFonts w:ascii="Verdana" w:hAnsi="Verdana"/>
                <w:sz w:val="18"/>
                <w:szCs w:val="18"/>
                <w:u w:val="single"/>
              </w:rPr>
              <w:t>receptors</w:t>
            </w:r>
            <w:r w:rsidRPr="00EC75B7">
              <w:rPr>
                <w:rFonts w:ascii="Verdana" w:hAnsi="Verdana"/>
                <w:spacing w:val="-2"/>
                <w:sz w:val="18"/>
                <w:szCs w:val="18"/>
                <w:u w:val="single"/>
              </w:rPr>
              <w:t>:</w:t>
            </w:r>
          </w:p>
          <w:p w14:paraId="5C0A3FDA"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Uninhabited areas, people have no visual access </w:t>
            </w:r>
            <w:r w:rsidRPr="00EC75B7">
              <w:rPr>
                <w:rFonts w:ascii="Verdana" w:hAnsi="Verdana"/>
                <w:spacing w:val="-5"/>
                <w:sz w:val="18"/>
                <w:szCs w:val="18"/>
              </w:rPr>
              <w:t>to</w:t>
            </w:r>
          </w:p>
          <w:p w14:paraId="10408170" w14:textId="77777777" w:rsidR="008715BE" w:rsidRPr="00EC75B7" w:rsidRDefault="00000000">
            <w:pPr>
              <w:pStyle w:val="TableParagraph"/>
              <w:spacing w:before="1" w:line="166" w:lineRule="exact"/>
              <w:ind w:left="108"/>
              <w:rPr>
                <w:rFonts w:ascii="Verdana" w:hAnsi="Verdana"/>
                <w:sz w:val="18"/>
                <w:szCs w:val="18"/>
              </w:rPr>
            </w:pPr>
            <w:r w:rsidRPr="00EC75B7">
              <w:rPr>
                <w:rFonts w:ascii="Verdana" w:hAnsi="Verdana"/>
                <w:sz w:val="18"/>
                <w:szCs w:val="18"/>
              </w:rPr>
              <w:t xml:space="preserve">this </w:t>
            </w:r>
            <w:r w:rsidRPr="00EC75B7">
              <w:rPr>
                <w:rFonts w:ascii="Verdana" w:hAnsi="Verdana"/>
                <w:spacing w:val="-2"/>
                <w:sz w:val="18"/>
                <w:szCs w:val="18"/>
              </w:rPr>
              <w:t>landscape</w:t>
            </w:r>
          </w:p>
        </w:tc>
        <w:tc>
          <w:tcPr>
            <w:tcW w:w="3295" w:type="dxa"/>
            <w:shd w:val="clear" w:color="auto" w:fill="F1F1F1"/>
          </w:tcPr>
          <w:p w14:paraId="15B2671A" w14:textId="77777777" w:rsidR="008715BE" w:rsidRPr="00EC75B7" w:rsidRDefault="008715BE">
            <w:pPr>
              <w:pStyle w:val="TableParagraph"/>
              <w:rPr>
                <w:rFonts w:ascii="Verdana" w:hAnsi="Verdana"/>
                <w:sz w:val="18"/>
                <w:szCs w:val="18"/>
              </w:rPr>
            </w:pPr>
          </w:p>
        </w:tc>
      </w:tr>
    </w:tbl>
    <w:p w14:paraId="022F8085" w14:textId="77777777" w:rsidR="008715BE" w:rsidRPr="00EC75B7" w:rsidRDefault="008715BE">
      <w:pPr>
        <w:pStyle w:val="BodyText"/>
        <w:spacing w:before="81"/>
        <w:rPr>
          <w:rFonts w:ascii="Verdana" w:hAnsi="Verdana"/>
          <w:b/>
        </w:rPr>
      </w:pPr>
    </w:p>
    <w:p w14:paraId="73620F35" w14:textId="77777777" w:rsidR="008715BE" w:rsidRPr="00EC75B7" w:rsidRDefault="00000000">
      <w:pPr>
        <w:pStyle w:val="BodyText"/>
        <w:ind w:left="57"/>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classes </w:t>
      </w:r>
      <w:r w:rsidRPr="00EC75B7">
        <w:rPr>
          <w:rFonts w:ascii="Verdana" w:hAnsi="Verdana"/>
        </w:rPr>
        <w:t>were used to assess the magnitude of the impact</w:t>
      </w:r>
      <w:r w:rsidRPr="00EC75B7">
        <w:rPr>
          <w:rFonts w:ascii="Verdana" w:hAnsi="Verdana"/>
          <w:spacing w:val="-2"/>
        </w:rPr>
        <w:t>:</w:t>
      </w:r>
    </w:p>
    <w:p w14:paraId="13EE5A7F" w14:textId="77777777" w:rsidR="008715BE" w:rsidRPr="00EC75B7" w:rsidRDefault="008715BE">
      <w:pPr>
        <w:pStyle w:val="BodyText"/>
        <w:spacing w:before="60"/>
        <w:rPr>
          <w:rFonts w:ascii="Verdana" w:hAnsi="Verdana"/>
        </w:rPr>
      </w:pPr>
    </w:p>
    <w:p w14:paraId="3A127674"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52 </w:t>
      </w:r>
      <w:r w:rsidRPr="00EC75B7">
        <w:rPr>
          <w:rFonts w:ascii="Verdana" w:hAnsi="Verdana"/>
          <w:b/>
          <w:color w:val="00AFEF"/>
          <w:spacing w:val="-2"/>
          <w:sz w:val="18"/>
          <w:szCs w:val="18"/>
        </w:rPr>
        <w:t xml:space="preserve">Landscape </w:t>
      </w:r>
      <w:r w:rsidRPr="00EC75B7">
        <w:rPr>
          <w:rFonts w:ascii="Verdana" w:hAnsi="Verdana"/>
          <w:b/>
          <w:color w:val="00AFEF"/>
          <w:sz w:val="18"/>
          <w:szCs w:val="18"/>
        </w:rPr>
        <w:t>magnitude classes</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1E1D2F02" w14:textId="77777777">
        <w:trPr>
          <w:trHeight w:val="388"/>
        </w:trPr>
        <w:tc>
          <w:tcPr>
            <w:tcW w:w="1803" w:type="dxa"/>
            <w:shd w:val="clear" w:color="auto" w:fill="00AFEF"/>
          </w:tcPr>
          <w:p w14:paraId="71572272"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4"/>
                <w:sz w:val="18"/>
                <w:szCs w:val="18"/>
              </w:rPr>
              <w:t>Class</w:t>
            </w:r>
          </w:p>
          <w:p w14:paraId="36D1553E"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pacing w:val="-2"/>
                <w:sz w:val="18"/>
                <w:szCs w:val="18"/>
              </w:rPr>
              <w:t>Magnitude</w:t>
            </w:r>
          </w:p>
        </w:tc>
        <w:tc>
          <w:tcPr>
            <w:tcW w:w="4288" w:type="dxa"/>
            <w:shd w:val="clear" w:color="auto" w:fill="00AFEF"/>
          </w:tcPr>
          <w:p w14:paraId="17BFFFAC"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3BC01C49"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in </w:t>
            </w:r>
            <w:r w:rsidRPr="00EC75B7">
              <w:rPr>
                <w:rFonts w:ascii="Verdana" w:hAnsi="Verdana"/>
                <w:b/>
                <w:color w:val="FFFFFF"/>
                <w:spacing w:val="-2"/>
                <w:sz w:val="18"/>
                <w:szCs w:val="18"/>
              </w:rPr>
              <w:t>the case of</w:t>
            </w:r>
          </w:p>
          <w:p w14:paraId="5409FC34" w14:textId="77777777" w:rsidR="008715BE" w:rsidRPr="00EC75B7" w:rsidRDefault="00000000">
            <w:pPr>
              <w:pStyle w:val="TableParagraph"/>
              <w:spacing w:line="174" w:lineRule="exact"/>
              <w:ind w:left="107"/>
              <w:rPr>
                <w:rFonts w:ascii="Verdana" w:hAnsi="Verdana"/>
                <w:b/>
                <w:sz w:val="18"/>
                <w:szCs w:val="18"/>
              </w:rPr>
            </w:pPr>
            <w:r w:rsidRPr="00EC75B7">
              <w:rPr>
                <w:rFonts w:ascii="Verdana" w:hAnsi="Verdana"/>
                <w:b/>
                <w:color w:val="FFFFFF"/>
                <w:spacing w:val="-2"/>
                <w:sz w:val="18"/>
                <w:szCs w:val="18"/>
              </w:rPr>
              <w:t>project</w:t>
            </w:r>
          </w:p>
        </w:tc>
      </w:tr>
      <w:tr w:rsidR="008715BE" w:rsidRPr="00EC75B7" w14:paraId="21EB5B37" w14:textId="77777777">
        <w:trPr>
          <w:trHeight w:val="335"/>
        </w:trPr>
        <w:tc>
          <w:tcPr>
            <w:tcW w:w="9469" w:type="dxa"/>
            <w:gridSpan w:val="3"/>
            <w:shd w:val="clear" w:color="auto" w:fill="ADAAAA"/>
          </w:tcPr>
          <w:p w14:paraId="60A12A94"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 xml:space="preserve">Negative </w:t>
            </w:r>
            <w:r w:rsidRPr="00EC75B7">
              <w:rPr>
                <w:rFonts w:ascii="Verdana" w:hAnsi="Verdana"/>
                <w:b/>
                <w:sz w:val="18"/>
                <w:szCs w:val="18"/>
              </w:rPr>
              <w:t>magnitude</w:t>
            </w:r>
          </w:p>
        </w:tc>
      </w:tr>
      <w:tr w:rsidR="008715BE" w:rsidRPr="00EC75B7" w14:paraId="652E8CAE" w14:textId="77777777">
        <w:trPr>
          <w:trHeight w:val="2721"/>
        </w:trPr>
        <w:tc>
          <w:tcPr>
            <w:tcW w:w="1803" w:type="dxa"/>
            <w:shd w:val="clear" w:color="auto" w:fill="F1F1F1"/>
          </w:tcPr>
          <w:p w14:paraId="5D171296"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5930FAE1"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The investments proposed by the project will lead to minor changes in the characteristics of the existing local landscape, proposing construction elements that are slightly different from the existing ones and will not affect the quality of the existing landscape.</w:t>
            </w:r>
          </w:p>
          <w:p w14:paraId="47156347"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The investments will cause temporary changes, with restoration of the landscape to its original state likely to take less than one year.</w:t>
            </w:r>
          </w:p>
        </w:tc>
        <w:tc>
          <w:tcPr>
            <w:tcW w:w="3378" w:type="dxa"/>
            <w:shd w:val="clear" w:color="auto" w:fill="F1F1F1"/>
          </w:tcPr>
          <w:p w14:paraId="1A8E76F5" w14:textId="77777777" w:rsidR="008715BE" w:rsidRPr="00EC75B7" w:rsidRDefault="00000000">
            <w:pPr>
              <w:pStyle w:val="TableParagraph"/>
              <w:ind w:left="107" w:right="94"/>
              <w:jc w:val="both"/>
              <w:rPr>
                <w:rFonts w:ascii="Verdana" w:hAnsi="Verdana"/>
                <w:sz w:val="18"/>
                <w:szCs w:val="18"/>
              </w:rPr>
            </w:pPr>
            <w:r w:rsidRPr="00EC75B7">
              <w:rPr>
                <w:rFonts w:ascii="Verdana" w:hAnsi="Verdana"/>
                <w:sz w:val="18"/>
                <w:szCs w:val="18"/>
              </w:rPr>
              <w:t>In the case of the project under review, the magnitude of the impact on the landscape was assessed as minor negative for the entire site, both during the execution and operation phases. Although the duration of the execution period is estimated at approximately 3 years (Q4 2026 – Q4 2029), the proposed interventions are carried out in a predominantly agricultural area, characterized by an already anthropized landscape, lacking natural elements</w:t>
            </w:r>
            <w:r w:rsidRPr="00EC75B7">
              <w:rPr>
                <w:rFonts w:ascii="Verdana" w:hAnsi="Verdana"/>
                <w:spacing w:val="41"/>
                <w:sz w:val="18"/>
                <w:szCs w:val="18"/>
              </w:rPr>
              <w:t xml:space="preserve">  </w:t>
            </w:r>
            <w:r w:rsidRPr="00EC75B7">
              <w:rPr>
                <w:rFonts w:ascii="Verdana" w:hAnsi="Verdana"/>
                <w:sz w:val="18"/>
                <w:szCs w:val="18"/>
              </w:rPr>
              <w:t xml:space="preserve"> or</w:t>
            </w:r>
            <w:r w:rsidRPr="00EC75B7">
              <w:rPr>
                <w:rFonts w:ascii="Verdana" w:hAnsi="Verdana"/>
                <w:spacing w:val="41"/>
                <w:sz w:val="18"/>
                <w:szCs w:val="18"/>
              </w:rPr>
              <w:t xml:space="preserve">  </w:t>
            </w:r>
            <w:r w:rsidRPr="00EC75B7">
              <w:rPr>
                <w:rFonts w:ascii="Verdana" w:hAnsi="Verdana"/>
                <w:sz w:val="18"/>
                <w:szCs w:val="18"/>
              </w:rPr>
              <w:t xml:space="preserve"> cultural</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z w:val="18"/>
                <w:szCs w:val="18"/>
              </w:rPr>
              <w:lastRenderedPageBreak/>
              <w:t>with</w:t>
            </w:r>
            <w:r w:rsidRPr="00EC75B7">
              <w:rPr>
                <w:rFonts w:ascii="Verdana" w:hAnsi="Verdana"/>
                <w:spacing w:val="40"/>
                <w:sz w:val="18"/>
                <w:szCs w:val="18"/>
              </w:rPr>
              <w:t xml:space="preserve">  </w:t>
            </w:r>
            <w:r w:rsidRPr="00EC75B7">
              <w:rPr>
                <w:rFonts w:ascii="Verdana" w:hAnsi="Verdana"/>
                <w:spacing w:val="-2"/>
                <w:sz w:val="18"/>
                <w:szCs w:val="18"/>
              </w:rPr>
              <w:t xml:space="preserve"> high</w:t>
            </w:r>
          </w:p>
          <w:p w14:paraId="66765883" w14:textId="77777777" w:rsidR="008715BE" w:rsidRPr="00EC75B7" w:rsidRDefault="00000000">
            <w:pPr>
              <w:pStyle w:val="TableParagraph"/>
              <w:spacing w:line="164" w:lineRule="exact"/>
              <w:ind w:left="107"/>
              <w:jc w:val="both"/>
              <w:rPr>
                <w:rFonts w:ascii="Verdana" w:hAnsi="Verdana"/>
                <w:sz w:val="18"/>
                <w:szCs w:val="18"/>
              </w:rPr>
            </w:pPr>
            <w:r w:rsidRPr="00EC75B7">
              <w:rPr>
                <w:rFonts w:ascii="Verdana" w:hAnsi="Verdana"/>
                <w:spacing w:val="-2"/>
                <w:sz w:val="18"/>
                <w:szCs w:val="18"/>
              </w:rPr>
              <w:t xml:space="preserve">high </w:t>
            </w:r>
            <w:r w:rsidRPr="00EC75B7">
              <w:rPr>
                <w:rFonts w:ascii="Verdana" w:hAnsi="Verdana"/>
                <w:sz w:val="18"/>
                <w:szCs w:val="18"/>
              </w:rPr>
              <w:t>landscape value</w:t>
            </w:r>
            <w:r w:rsidRPr="00EC75B7">
              <w:rPr>
                <w:rFonts w:ascii="Verdana" w:hAnsi="Verdana"/>
                <w:spacing w:val="-2"/>
                <w:sz w:val="18"/>
                <w:szCs w:val="18"/>
              </w:rPr>
              <w:t>.</w:t>
            </w:r>
          </w:p>
        </w:tc>
      </w:tr>
      <w:tr w:rsidR="008715BE" w:rsidRPr="00EC75B7" w14:paraId="750F1A55" w14:textId="77777777">
        <w:trPr>
          <w:trHeight w:val="2140"/>
        </w:trPr>
        <w:tc>
          <w:tcPr>
            <w:tcW w:w="1803" w:type="dxa"/>
          </w:tcPr>
          <w:p w14:paraId="45D7C90D"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spacing w:val="-2"/>
                <w:sz w:val="18"/>
                <w:szCs w:val="18"/>
              </w:rPr>
              <w:t>Moderate</w:t>
            </w:r>
          </w:p>
        </w:tc>
        <w:tc>
          <w:tcPr>
            <w:tcW w:w="4288" w:type="dxa"/>
          </w:tcPr>
          <w:p w14:paraId="0248C966" w14:textId="77777777" w:rsidR="008715BE" w:rsidRPr="00EC75B7" w:rsidRDefault="00000000">
            <w:pPr>
              <w:pStyle w:val="TableParagraph"/>
              <w:ind w:left="107" w:right="93"/>
              <w:jc w:val="both"/>
              <w:rPr>
                <w:rFonts w:ascii="Verdana" w:hAnsi="Verdana"/>
                <w:sz w:val="18"/>
                <w:szCs w:val="18"/>
              </w:rPr>
            </w:pPr>
            <w:r w:rsidRPr="00EC75B7">
              <w:rPr>
                <w:rFonts w:ascii="Verdana" w:hAnsi="Verdana"/>
                <w:sz w:val="18"/>
                <w:szCs w:val="18"/>
              </w:rPr>
              <w:t>The investments proposed by the project will lead to visible changes in the current landscape and/or cause visible changes in the quality and/or character of the landscape.</w:t>
            </w:r>
          </w:p>
          <w:p w14:paraId="3D630115" w14:textId="77777777" w:rsidR="008715BE" w:rsidRPr="00EC75B7" w:rsidRDefault="00000000">
            <w:pPr>
              <w:pStyle w:val="TableParagraph"/>
              <w:ind w:left="107" w:right="96"/>
              <w:jc w:val="both"/>
              <w:rPr>
                <w:rFonts w:ascii="Verdana" w:hAnsi="Verdana"/>
                <w:sz w:val="18"/>
                <w:szCs w:val="18"/>
              </w:rPr>
            </w:pPr>
            <w:r w:rsidRPr="00EC75B7">
              <w:rPr>
                <w:rFonts w:ascii="Verdana" w:hAnsi="Verdana"/>
                <w:sz w:val="18"/>
                <w:szCs w:val="18"/>
              </w:rPr>
              <w:t>The proposed investments produce permanent changes to the landscape; the buildings may be prominent, but not very unusual for the local landscape.</w:t>
            </w:r>
          </w:p>
          <w:p w14:paraId="1A2D50DC"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Investments cause temporary changes where restoration of the landscape to its original state could take 1-5 years.</w:t>
            </w:r>
          </w:p>
        </w:tc>
        <w:tc>
          <w:tcPr>
            <w:tcW w:w="3378" w:type="dxa"/>
          </w:tcPr>
          <w:p w14:paraId="5783C450" w14:textId="77777777" w:rsidR="008715BE" w:rsidRPr="00EC75B7" w:rsidRDefault="00000000">
            <w:pPr>
              <w:pStyle w:val="TableParagraph"/>
              <w:spacing w:line="194" w:lineRule="exact"/>
              <w:ind w:left="164"/>
              <w:rPr>
                <w:rFonts w:ascii="Verdana" w:hAnsi="Verdana"/>
                <w:sz w:val="18"/>
                <w:szCs w:val="18"/>
              </w:rPr>
            </w:pPr>
            <w:r w:rsidRPr="00EC75B7">
              <w:rPr>
                <w:rFonts w:ascii="Verdana" w:hAnsi="Verdana"/>
                <w:sz w:val="18"/>
                <w:szCs w:val="18"/>
              </w:rPr>
              <w:t>-</w:t>
            </w:r>
          </w:p>
        </w:tc>
      </w:tr>
    </w:tbl>
    <w:p w14:paraId="5F7236F2" w14:textId="77777777" w:rsidR="008715BE" w:rsidRPr="00EC75B7" w:rsidRDefault="008715BE">
      <w:pPr>
        <w:pStyle w:val="TableParagraph"/>
        <w:spacing w:line="194" w:lineRule="exact"/>
        <w:rPr>
          <w:rFonts w:ascii="Verdana" w:hAnsi="Verdana"/>
          <w:sz w:val="18"/>
          <w:szCs w:val="18"/>
        </w:rPr>
        <w:sectPr w:rsidR="008715BE" w:rsidRPr="00EC75B7">
          <w:pgSz w:w="11910" w:h="16840"/>
          <w:pgMar w:top="1320" w:right="850" w:bottom="1020" w:left="1133" w:header="766" w:footer="824" w:gutter="0"/>
          <w:cols w:space="708"/>
        </w:sectPr>
      </w:pPr>
    </w:p>
    <w:p w14:paraId="3BB2DCB9" w14:textId="77777777" w:rsidR="008715BE" w:rsidRPr="00EC75B7" w:rsidRDefault="008715BE">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8715BE" w:rsidRPr="00EC75B7" w14:paraId="1BDC68A0" w14:textId="77777777">
        <w:trPr>
          <w:trHeight w:val="388"/>
        </w:trPr>
        <w:tc>
          <w:tcPr>
            <w:tcW w:w="1803" w:type="dxa"/>
            <w:shd w:val="clear" w:color="auto" w:fill="00AFEF"/>
          </w:tcPr>
          <w:p w14:paraId="57CA73E1" w14:textId="77777777" w:rsidR="008715BE" w:rsidRPr="00EC75B7" w:rsidRDefault="00000000">
            <w:pPr>
              <w:pStyle w:val="TableParagraph"/>
              <w:spacing w:line="194" w:lineRule="exact"/>
              <w:ind w:left="108" w:right="548"/>
              <w:rPr>
                <w:rFonts w:ascii="Verdana" w:hAnsi="Verdana"/>
                <w:b/>
                <w:sz w:val="18"/>
                <w:szCs w:val="18"/>
              </w:rPr>
            </w:pPr>
            <w:r w:rsidRPr="00EC75B7">
              <w:rPr>
                <w:rFonts w:ascii="Verdana" w:hAnsi="Verdana"/>
                <w:b/>
                <w:color w:val="FFFFFF"/>
                <w:spacing w:val="-2"/>
                <w:sz w:val="18"/>
                <w:szCs w:val="18"/>
              </w:rPr>
              <w:t>Magnitude class</w:t>
            </w:r>
          </w:p>
        </w:tc>
        <w:tc>
          <w:tcPr>
            <w:tcW w:w="4288" w:type="dxa"/>
            <w:shd w:val="clear" w:color="auto" w:fill="00AFEF"/>
          </w:tcPr>
          <w:p w14:paraId="0CCC744E"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Description</w:t>
            </w:r>
          </w:p>
        </w:tc>
        <w:tc>
          <w:tcPr>
            <w:tcW w:w="3378" w:type="dxa"/>
            <w:shd w:val="clear" w:color="auto" w:fill="00AFEF"/>
          </w:tcPr>
          <w:p w14:paraId="1A968797"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Magnitude identified for the </w:t>
            </w:r>
            <w:r w:rsidRPr="00EC75B7">
              <w:rPr>
                <w:rFonts w:ascii="Verdana" w:hAnsi="Verdana"/>
                <w:b/>
                <w:color w:val="FFFFFF"/>
                <w:spacing w:val="-2"/>
                <w:sz w:val="18"/>
                <w:szCs w:val="18"/>
              </w:rPr>
              <w:t>project</w:t>
            </w:r>
          </w:p>
        </w:tc>
      </w:tr>
      <w:tr w:rsidR="008715BE" w:rsidRPr="00EC75B7" w14:paraId="564FCAE7" w14:textId="77777777">
        <w:trPr>
          <w:trHeight w:val="1943"/>
        </w:trPr>
        <w:tc>
          <w:tcPr>
            <w:tcW w:w="1803" w:type="dxa"/>
            <w:shd w:val="clear" w:color="auto" w:fill="F1F1F1"/>
          </w:tcPr>
          <w:p w14:paraId="71A6818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High</w:t>
            </w:r>
          </w:p>
        </w:tc>
        <w:tc>
          <w:tcPr>
            <w:tcW w:w="4288" w:type="dxa"/>
            <w:shd w:val="clear" w:color="auto" w:fill="F1F1F1"/>
          </w:tcPr>
          <w:p w14:paraId="1BC3720F" w14:textId="77777777" w:rsidR="008715BE" w:rsidRPr="00EC75B7" w:rsidRDefault="00000000">
            <w:pPr>
              <w:pStyle w:val="TableParagraph"/>
              <w:spacing w:before="8"/>
              <w:ind w:left="107" w:right="97"/>
              <w:jc w:val="both"/>
              <w:rPr>
                <w:rFonts w:ascii="Verdana" w:hAnsi="Verdana"/>
                <w:sz w:val="18"/>
                <w:szCs w:val="18"/>
              </w:rPr>
            </w:pPr>
            <w:r w:rsidRPr="00EC75B7">
              <w:rPr>
                <w:rFonts w:ascii="Verdana" w:hAnsi="Verdana"/>
                <w:sz w:val="18"/>
                <w:szCs w:val="18"/>
              </w:rPr>
              <w:t>The proposed investments will lead to significant changes in the landscape in terms of its characteristics and quality.</w:t>
            </w:r>
          </w:p>
          <w:p w14:paraId="33FB597B" w14:textId="77777777" w:rsidR="008715BE" w:rsidRPr="00EC75B7" w:rsidRDefault="00000000">
            <w:pPr>
              <w:pStyle w:val="TableParagraph"/>
              <w:ind w:left="107" w:right="96"/>
              <w:jc w:val="both"/>
              <w:rPr>
                <w:rFonts w:ascii="Verdana" w:hAnsi="Verdana"/>
                <w:sz w:val="18"/>
                <w:szCs w:val="18"/>
              </w:rPr>
            </w:pPr>
            <w:r w:rsidRPr="00EC75B7">
              <w:rPr>
                <w:rFonts w:ascii="Verdana" w:hAnsi="Verdana"/>
                <w:spacing w:val="-2"/>
                <w:sz w:val="18"/>
                <w:szCs w:val="18"/>
              </w:rPr>
              <w:t xml:space="preserve">The proposed investments are diverse and do not fit </w:t>
            </w:r>
            <w:r w:rsidRPr="00EC75B7">
              <w:rPr>
                <w:rFonts w:ascii="Verdana" w:hAnsi="Verdana"/>
                <w:sz w:val="18"/>
                <w:szCs w:val="18"/>
              </w:rPr>
              <w:t xml:space="preserve">into the local landscape, fundamentally changing </w:t>
            </w:r>
            <w:r w:rsidRPr="00EC75B7">
              <w:rPr>
                <w:rFonts w:ascii="Verdana" w:hAnsi="Verdana"/>
                <w:spacing w:val="-2"/>
                <w:sz w:val="18"/>
                <w:szCs w:val="18"/>
              </w:rPr>
              <w:t>its</w:t>
            </w:r>
            <w:r w:rsidRPr="00EC75B7">
              <w:rPr>
                <w:rFonts w:ascii="Verdana" w:hAnsi="Verdana"/>
                <w:sz w:val="18"/>
                <w:szCs w:val="18"/>
              </w:rPr>
              <w:t xml:space="preserve"> character</w:t>
            </w:r>
            <w:r w:rsidRPr="00EC75B7">
              <w:rPr>
                <w:rFonts w:ascii="Verdana" w:hAnsi="Verdana"/>
                <w:spacing w:val="-2"/>
                <w:sz w:val="18"/>
                <w:szCs w:val="18"/>
              </w:rPr>
              <w:t>.</w:t>
            </w:r>
          </w:p>
          <w:p w14:paraId="4CA487B8"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The investments will cause temporary changes where restoration of the landscape to its original state could take more than 5 years.</w:t>
            </w:r>
          </w:p>
        </w:tc>
        <w:tc>
          <w:tcPr>
            <w:tcW w:w="3378" w:type="dxa"/>
            <w:shd w:val="clear" w:color="auto" w:fill="F1F1F1"/>
          </w:tcPr>
          <w:p w14:paraId="5EF774FC"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690502B7" w14:textId="77777777">
        <w:trPr>
          <w:trHeight w:val="196"/>
        </w:trPr>
        <w:tc>
          <w:tcPr>
            <w:tcW w:w="9469" w:type="dxa"/>
            <w:gridSpan w:val="3"/>
            <w:shd w:val="clear" w:color="auto" w:fill="BEBEBE"/>
          </w:tcPr>
          <w:p w14:paraId="4E27D436"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 xml:space="preserve">Positive </w:t>
            </w:r>
            <w:r w:rsidRPr="00EC75B7">
              <w:rPr>
                <w:rFonts w:ascii="Verdana" w:hAnsi="Verdana"/>
                <w:b/>
                <w:sz w:val="18"/>
                <w:szCs w:val="18"/>
              </w:rPr>
              <w:t>magnitude</w:t>
            </w:r>
          </w:p>
        </w:tc>
      </w:tr>
      <w:tr w:rsidR="008715BE" w:rsidRPr="00EC75B7" w14:paraId="569747EE" w14:textId="77777777">
        <w:trPr>
          <w:trHeight w:val="1166"/>
        </w:trPr>
        <w:tc>
          <w:tcPr>
            <w:tcW w:w="1803" w:type="dxa"/>
            <w:shd w:val="clear" w:color="auto" w:fill="F1F1F1"/>
          </w:tcPr>
          <w:p w14:paraId="0046244A"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Small</w:t>
            </w:r>
          </w:p>
        </w:tc>
        <w:tc>
          <w:tcPr>
            <w:tcW w:w="4288" w:type="dxa"/>
            <w:shd w:val="clear" w:color="auto" w:fill="F1F1F1"/>
          </w:tcPr>
          <w:p w14:paraId="1DEADD63" w14:textId="77777777" w:rsidR="008715BE" w:rsidRPr="00EC75B7" w:rsidRDefault="00000000">
            <w:pPr>
              <w:pStyle w:val="TableParagraph"/>
              <w:spacing w:before="8"/>
              <w:ind w:left="107" w:right="96"/>
              <w:jc w:val="both"/>
              <w:rPr>
                <w:rFonts w:ascii="Verdana" w:hAnsi="Verdana"/>
                <w:sz w:val="18"/>
                <w:szCs w:val="18"/>
              </w:rPr>
            </w:pPr>
            <w:r w:rsidRPr="00EC75B7">
              <w:rPr>
                <w:rFonts w:ascii="Verdana" w:hAnsi="Verdana"/>
                <w:sz w:val="18"/>
                <w:szCs w:val="18"/>
              </w:rPr>
              <w:t>The proposed investments contribute to improving the landscape over a very small area compared to the area occupied by the main elements of the local landscape, and the benefits are on a small scale.</w:t>
            </w:r>
          </w:p>
          <w:p w14:paraId="563BE2C6" w14:textId="77777777" w:rsidR="008715BE" w:rsidRPr="00EC75B7" w:rsidRDefault="00000000">
            <w:pPr>
              <w:pStyle w:val="TableParagraph"/>
              <w:spacing w:line="161" w:lineRule="exact"/>
              <w:ind w:left="107"/>
              <w:jc w:val="both"/>
              <w:rPr>
                <w:rFonts w:ascii="Verdana" w:hAnsi="Verdana"/>
                <w:sz w:val="18"/>
                <w:szCs w:val="18"/>
              </w:rPr>
            </w:pPr>
            <w:r w:rsidRPr="00EC75B7">
              <w:rPr>
                <w:rFonts w:ascii="Verdana" w:hAnsi="Verdana"/>
                <w:sz w:val="18"/>
                <w:szCs w:val="18"/>
              </w:rPr>
              <w:t xml:space="preserve">The changes are short-term (&lt; 1 </w:t>
            </w:r>
            <w:r w:rsidRPr="00EC75B7">
              <w:rPr>
                <w:rFonts w:ascii="Verdana" w:hAnsi="Verdana"/>
                <w:spacing w:val="-4"/>
                <w:sz w:val="18"/>
                <w:szCs w:val="18"/>
              </w:rPr>
              <w:t>year).</w:t>
            </w:r>
          </w:p>
        </w:tc>
        <w:tc>
          <w:tcPr>
            <w:tcW w:w="3378" w:type="dxa"/>
            <w:shd w:val="clear" w:color="auto" w:fill="F1F1F1"/>
          </w:tcPr>
          <w:p w14:paraId="5277BCEA"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6F32AEA4" w14:textId="77777777">
        <w:trPr>
          <w:trHeight w:val="1166"/>
        </w:trPr>
        <w:tc>
          <w:tcPr>
            <w:tcW w:w="1803" w:type="dxa"/>
          </w:tcPr>
          <w:p w14:paraId="04AF5706"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2"/>
                <w:sz w:val="18"/>
                <w:szCs w:val="18"/>
              </w:rPr>
              <w:t>Moderate</w:t>
            </w:r>
          </w:p>
        </w:tc>
        <w:tc>
          <w:tcPr>
            <w:tcW w:w="4288" w:type="dxa"/>
          </w:tcPr>
          <w:p w14:paraId="55AA2153" w14:textId="77777777" w:rsidR="008715BE" w:rsidRPr="00EC75B7" w:rsidRDefault="00000000">
            <w:pPr>
              <w:pStyle w:val="TableParagraph"/>
              <w:spacing w:before="8"/>
              <w:ind w:left="107" w:right="96"/>
              <w:jc w:val="both"/>
              <w:rPr>
                <w:rFonts w:ascii="Verdana" w:hAnsi="Verdana"/>
                <w:sz w:val="18"/>
                <w:szCs w:val="18"/>
              </w:rPr>
            </w:pPr>
            <w:r w:rsidRPr="00EC75B7">
              <w:rPr>
                <w:rFonts w:ascii="Verdana" w:hAnsi="Verdana"/>
                <w:sz w:val="18"/>
                <w:szCs w:val="18"/>
              </w:rPr>
              <w:t>The proposed investments contribute to improving the landscape on moderate areas in relation to the area occupied by the main elements of the local landscape, with moderate benefits.</w:t>
            </w:r>
          </w:p>
          <w:p w14:paraId="7ACD4411" w14:textId="77777777" w:rsidR="008715BE" w:rsidRPr="00EC75B7" w:rsidRDefault="00000000">
            <w:pPr>
              <w:pStyle w:val="TableParagraph"/>
              <w:spacing w:line="162" w:lineRule="exact"/>
              <w:ind w:left="107"/>
              <w:jc w:val="both"/>
              <w:rPr>
                <w:rFonts w:ascii="Verdana" w:hAnsi="Verdana"/>
                <w:sz w:val="18"/>
                <w:szCs w:val="18"/>
              </w:rPr>
            </w:pPr>
            <w:r w:rsidRPr="00EC75B7">
              <w:rPr>
                <w:rFonts w:ascii="Verdana" w:hAnsi="Verdana"/>
                <w:sz w:val="18"/>
                <w:szCs w:val="18"/>
              </w:rPr>
              <w:t xml:space="preserve">The changes are medium-term, lasting 1-5 </w:t>
            </w:r>
            <w:r w:rsidRPr="00EC75B7">
              <w:rPr>
                <w:rFonts w:ascii="Verdana" w:hAnsi="Verdana"/>
                <w:spacing w:val="-5"/>
                <w:sz w:val="18"/>
                <w:szCs w:val="18"/>
              </w:rPr>
              <w:t>years.</w:t>
            </w:r>
          </w:p>
        </w:tc>
        <w:tc>
          <w:tcPr>
            <w:tcW w:w="3378" w:type="dxa"/>
          </w:tcPr>
          <w:p w14:paraId="2FB934FE"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524AED8D" w14:textId="77777777">
        <w:trPr>
          <w:trHeight w:val="777"/>
        </w:trPr>
        <w:tc>
          <w:tcPr>
            <w:tcW w:w="1803" w:type="dxa"/>
            <w:shd w:val="clear" w:color="auto" w:fill="F1F1F1"/>
          </w:tcPr>
          <w:p w14:paraId="0662B687"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spacing w:val="-4"/>
                <w:sz w:val="18"/>
                <w:szCs w:val="18"/>
              </w:rPr>
              <w:t>Large</w:t>
            </w:r>
          </w:p>
        </w:tc>
        <w:tc>
          <w:tcPr>
            <w:tcW w:w="4288" w:type="dxa"/>
            <w:shd w:val="clear" w:color="auto" w:fill="F1F1F1"/>
          </w:tcPr>
          <w:p w14:paraId="140110B8" w14:textId="77777777" w:rsidR="008715BE" w:rsidRPr="00EC75B7" w:rsidRDefault="00000000">
            <w:pPr>
              <w:pStyle w:val="TableParagraph"/>
              <w:spacing w:before="8"/>
              <w:ind w:left="107" w:right="95"/>
              <w:jc w:val="both"/>
              <w:rPr>
                <w:rFonts w:ascii="Verdana" w:hAnsi="Verdana"/>
                <w:sz w:val="18"/>
                <w:szCs w:val="18"/>
              </w:rPr>
            </w:pPr>
            <w:r w:rsidRPr="00EC75B7">
              <w:rPr>
                <w:rFonts w:ascii="Verdana" w:hAnsi="Verdana"/>
                <w:sz w:val="18"/>
                <w:szCs w:val="18"/>
              </w:rPr>
              <w:t>The proposed investments contribute to major changes in the local landscape, significantly improving the main types of local landscape.</w:t>
            </w:r>
          </w:p>
          <w:p w14:paraId="07EB14C0" w14:textId="77777777" w:rsidR="008715BE" w:rsidRPr="00EC75B7" w:rsidRDefault="00000000">
            <w:pPr>
              <w:pStyle w:val="TableParagraph"/>
              <w:spacing w:line="163" w:lineRule="exact"/>
              <w:ind w:left="107"/>
              <w:jc w:val="both"/>
              <w:rPr>
                <w:rFonts w:ascii="Verdana" w:hAnsi="Verdana"/>
                <w:sz w:val="18"/>
                <w:szCs w:val="18"/>
              </w:rPr>
            </w:pPr>
            <w:r w:rsidRPr="00EC75B7">
              <w:rPr>
                <w:rFonts w:ascii="Verdana" w:hAnsi="Verdana"/>
                <w:sz w:val="18"/>
                <w:szCs w:val="18"/>
              </w:rPr>
              <w:t xml:space="preserve">The changes are long-term &gt; 5 </w:t>
            </w:r>
            <w:r w:rsidRPr="00EC75B7">
              <w:rPr>
                <w:rFonts w:ascii="Verdana" w:hAnsi="Verdana"/>
                <w:spacing w:val="-4"/>
                <w:sz w:val="18"/>
                <w:szCs w:val="18"/>
              </w:rPr>
              <w:t>years.</w:t>
            </w:r>
          </w:p>
        </w:tc>
        <w:tc>
          <w:tcPr>
            <w:tcW w:w="3378" w:type="dxa"/>
            <w:shd w:val="clear" w:color="auto" w:fill="F1F1F1"/>
          </w:tcPr>
          <w:p w14:paraId="6087BC2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r w:rsidR="008715BE" w:rsidRPr="00EC75B7" w14:paraId="454ADAE5" w14:textId="77777777">
        <w:trPr>
          <w:trHeight w:val="196"/>
        </w:trPr>
        <w:tc>
          <w:tcPr>
            <w:tcW w:w="9469" w:type="dxa"/>
            <w:gridSpan w:val="3"/>
            <w:shd w:val="clear" w:color="auto" w:fill="ADAAAA"/>
          </w:tcPr>
          <w:p w14:paraId="1F8826F2" w14:textId="77777777" w:rsidR="008715BE" w:rsidRPr="00EC75B7" w:rsidRDefault="00000000">
            <w:pPr>
              <w:pStyle w:val="TableParagraph"/>
              <w:spacing w:before="10" w:line="166" w:lineRule="exact"/>
              <w:ind w:left="108"/>
              <w:rPr>
                <w:rFonts w:ascii="Verdana" w:hAnsi="Verdana"/>
                <w:b/>
                <w:sz w:val="18"/>
                <w:szCs w:val="18"/>
              </w:rPr>
            </w:pPr>
            <w:r w:rsidRPr="00EC75B7">
              <w:rPr>
                <w:rFonts w:ascii="Verdana" w:hAnsi="Verdana"/>
                <w:b/>
                <w:spacing w:val="-2"/>
                <w:sz w:val="18"/>
                <w:szCs w:val="18"/>
              </w:rPr>
              <w:t>Neutral</w:t>
            </w:r>
          </w:p>
        </w:tc>
      </w:tr>
      <w:tr w:rsidR="008715BE" w:rsidRPr="00EC75B7" w14:paraId="252724BC" w14:textId="77777777">
        <w:trPr>
          <w:trHeight w:val="388"/>
        </w:trPr>
        <w:tc>
          <w:tcPr>
            <w:tcW w:w="1803" w:type="dxa"/>
            <w:shd w:val="clear" w:color="auto" w:fill="F1F1F1"/>
          </w:tcPr>
          <w:p w14:paraId="63BC59E2" w14:textId="77777777" w:rsidR="008715BE" w:rsidRPr="00EC75B7" w:rsidRDefault="008715BE">
            <w:pPr>
              <w:pStyle w:val="TableParagraph"/>
              <w:rPr>
                <w:rFonts w:ascii="Verdana" w:hAnsi="Verdana"/>
                <w:sz w:val="18"/>
                <w:szCs w:val="18"/>
              </w:rPr>
            </w:pPr>
          </w:p>
        </w:tc>
        <w:tc>
          <w:tcPr>
            <w:tcW w:w="4288" w:type="dxa"/>
            <w:shd w:val="clear" w:color="auto" w:fill="F1F1F1"/>
          </w:tcPr>
          <w:p w14:paraId="4BD11302" w14:textId="77777777" w:rsidR="008715BE" w:rsidRPr="00EC75B7" w:rsidRDefault="00000000">
            <w:pPr>
              <w:pStyle w:val="TableParagraph"/>
              <w:tabs>
                <w:tab w:val="left" w:pos="1144"/>
                <w:tab w:val="left" w:pos="2507"/>
                <w:tab w:val="left" w:pos="2980"/>
              </w:tabs>
              <w:spacing w:before="8" w:line="195" w:lineRule="exact"/>
              <w:ind w:left="107"/>
              <w:rPr>
                <w:rFonts w:ascii="Verdana" w:hAnsi="Verdana"/>
                <w:sz w:val="18"/>
                <w:szCs w:val="18"/>
              </w:rPr>
            </w:pPr>
            <w:r w:rsidRPr="00EC75B7">
              <w:rPr>
                <w:rFonts w:ascii="Verdana" w:hAnsi="Verdana"/>
                <w:spacing w:val="-2"/>
                <w:sz w:val="18"/>
                <w:szCs w:val="18"/>
              </w:rPr>
              <w:t>Changes</w:t>
            </w:r>
            <w:r w:rsidRPr="00EC75B7">
              <w:rPr>
                <w:rFonts w:ascii="Verdana" w:hAnsi="Verdana"/>
                <w:sz w:val="18"/>
                <w:szCs w:val="18"/>
              </w:rPr>
              <w:tab/>
            </w:r>
            <w:r w:rsidRPr="00EC75B7">
              <w:rPr>
                <w:rFonts w:ascii="Verdana" w:hAnsi="Verdana"/>
                <w:spacing w:val="-2"/>
                <w:sz w:val="18"/>
                <w:szCs w:val="18"/>
              </w:rPr>
              <w:t>imperceptible</w:t>
            </w:r>
            <w:r w:rsidRPr="00EC75B7">
              <w:rPr>
                <w:rFonts w:ascii="Verdana" w:hAnsi="Verdana"/>
                <w:sz w:val="18"/>
                <w:szCs w:val="18"/>
              </w:rPr>
              <w:tab/>
            </w:r>
            <w:r w:rsidRPr="00EC75B7">
              <w:rPr>
                <w:rFonts w:ascii="Verdana" w:hAnsi="Verdana"/>
                <w:spacing w:val="-5"/>
                <w:sz w:val="18"/>
                <w:szCs w:val="18"/>
              </w:rPr>
              <w:t>changes</w:t>
            </w:r>
            <w:r w:rsidRPr="00EC75B7">
              <w:rPr>
                <w:rFonts w:ascii="Verdana" w:hAnsi="Verdana"/>
                <w:sz w:val="18"/>
                <w:szCs w:val="18"/>
              </w:rPr>
              <w:tab/>
            </w:r>
            <w:r w:rsidRPr="00EC75B7">
              <w:rPr>
                <w:rFonts w:ascii="Verdana" w:hAnsi="Verdana"/>
                <w:spacing w:val="-2"/>
                <w:sz w:val="18"/>
                <w:szCs w:val="18"/>
              </w:rPr>
              <w:t>landscape</w:t>
            </w:r>
          </w:p>
          <w:p w14:paraId="2ED320C0" w14:textId="77777777" w:rsidR="008715BE" w:rsidRPr="00EC75B7" w:rsidRDefault="00000000">
            <w:pPr>
              <w:pStyle w:val="TableParagraph"/>
              <w:spacing w:line="165" w:lineRule="exact"/>
              <w:ind w:left="107"/>
              <w:rPr>
                <w:rFonts w:ascii="Verdana" w:hAnsi="Verdana"/>
                <w:sz w:val="18"/>
                <w:szCs w:val="18"/>
              </w:rPr>
            </w:pPr>
            <w:r w:rsidRPr="00EC75B7">
              <w:rPr>
                <w:rFonts w:ascii="Verdana" w:hAnsi="Verdana"/>
                <w:spacing w:val="-2"/>
                <w:sz w:val="18"/>
                <w:szCs w:val="18"/>
              </w:rPr>
              <w:t>landscape</w:t>
            </w:r>
          </w:p>
        </w:tc>
        <w:tc>
          <w:tcPr>
            <w:tcW w:w="3378" w:type="dxa"/>
            <w:shd w:val="clear" w:color="auto" w:fill="F1F1F1"/>
          </w:tcPr>
          <w:p w14:paraId="749C243D" w14:textId="77777777" w:rsidR="008715BE" w:rsidRPr="00EC75B7" w:rsidRDefault="00000000">
            <w:pPr>
              <w:pStyle w:val="TableParagraph"/>
              <w:spacing w:before="8"/>
              <w:ind w:left="107"/>
              <w:rPr>
                <w:rFonts w:ascii="Verdana" w:hAnsi="Verdana"/>
                <w:sz w:val="18"/>
                <w:szCs w:val="18"/>
              </w:rPr>
            </w:pPr>
            <w:r w:rsidRPr="00EC75B7">
              <w:rPr>
                <w:rFonts w:ascii="Verdana" w:hAnsi="Verdana"/>
                <w:sz w:val="18"/>
                <w:szCs w:val="18"/>
              </w:rPr>
              <w:t>-</w:t>
            </w:r>
          </w:p>
        </w:tc>
      </w:tr>
    </w:tbl>
    <w:p w14:paraId="69B8FB6A" w14:textId="77777777" w:rsidR="008715BE" w:rsidRPr="00EC75B7" w:rsidRDefault="008715BE">
      <w:pPr>
        <w:pStyle w:val="BodyText"/>
        <w:spacing w:before="51"/>
        <w:rPr>
          <w:rFonts w:ascii="Verdana" w:hAnsi="Verdana"/>
          <w:b/>
        </w:rPr>
      </w:pPr>
    </w:p>
    <w:p w14:paraId="7891F768" w14:textId="77777777" w:rsidR="008715BE" w:rsidRPr="00EC75B7" w:rsidRDefault="00000000">
      <w:pPr>
        <w:pStyle w:val="BodyText"/>
        <w:spacing w:line="360" w:lineRule="auto"/>
        <w:ind w:left="57" w:right="180"/>
        <w:rPr>
          <w:rFonts w:ascii="Verdana" w:hAnsi="Verdana"/>
        </w:rPr>
      </w:pPr>
      <w:r w:rsidRPr="00EC75B7">
        <w:rPr>
          <w:rFonts w:ascii="Verdana" w:hAnsi="Verdana"/>
        </w:rPr>
        <w:t>The magnitude for this project is small negative, no changes with large and/or moderate negative magnitude have been identified.</w:t>
      </w:r>
    </w:p>
    <w:p w14:paraId="12CD522F" w14:textId="77777777" w:rsidR="008715BE" w:rsidRPr="00EC75B7" w:rsidRDefault="008715BE">
      <w:pPr>
        <w:pStyle w:val="BodyText"/>
        <w:rPr>
          <w:rFonts w:ascii="Verdana" w:hAnsi="Verdana"/>
        </w:rPr>
      </w:pPr>
    </w:p>
    <w:p w14:paraId="69D6A339" w14:textId="77777777" w:rsidR="008715BE" w:rsidRPr="00EC75B7" w:rsidRDefault="008715BE">
      <w:pPr>
        <w:pStyle w:val="BodyText"/>
        <w:rPr>
          <w:rFonts w:ascii="Verdana" w:hAnsi="Verdana"/>
        </w:rPr>
      </w:pPr>
    </w:p>
    <w:p w14:paraId="6A40ACDA" w14:textId="77777777" w:rsidR="008715BE" w:rsidRPr="00EC75B7" w:rsidRDefault="008715BE">
      <w:pPr>
        <w:pStyle w:val="BodyText"/>
        <w:spacing w:before="31"/>
        <w:rPr>
          <w:rFonts w:ascii="Verdana" w:hAnsi="Verdana"/>
        </w:rPr>
      </w:pPr>
    </w:p>
    <w:p w14:paraId="4E341DA8"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12" w:name="_bookmark113"/>
      <w:bookmarkEnd w:id="112"/>
      <w:r w:rsidRPr="00EC75B7">
        <w:rPr>
          <w:rFonts w:ascii="Verdana" w:hAnsi="Verdana"/>
          <w:color w:val="00AFEF"/>
          <w:spacing w:val="-2"/>
          <w:sz w:val="18"/>
          <w:szCs w:val="18"/>
        </w:rPr>
        <w:t xml:space="preserve">Impact </w:t>
      </w:r>
      <w:r w:rsidRPr="00EC75B7">
        <w:rPr>
          <w:rFonts w:ascii="Verdana" w:hAnsi="Verdana"/>
          <w:color w:val="00AFEF"/>
          <w:sz w:val="18"/>
          <w:szCs w:val="18"/>
        </w:rPr>
        <w:t>forecast</w:t>
      </w:r>
    </w:p>
    <w:p w14:paraId="4062968A" w14:textId="77777777" w:rsidR="008715BE" w:rsidRPr="00EC75B7" w:rsidRDefault="008715BE">
      <w:pPr>
        <w:pStyle w:val="BodyText"/>
        <w:spacing w:before="111"/>
        <w:rPr>
          <w:rFonts w:ascii="Verdana" w:hAnsi="Verdana"/>
          <w:b/>
        </w:rPr>
      </w:pPr>
    </w:p>
    <w:p w14:paraId="2136042D" w14:textId="77777777" w:rsidR="008715BE" w:rsidRPr="00EC75B7" w:rsidRDefault="00000000">
      <w:pPr>
        <w:pStyle w:val="BodyText"/>
        <w:ind w:left="141"/>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aspects </w:t>
      </w:r>
      <w:r w:rsidRPr="00EC75B7">
        <w:rPr>
          <w:rFonts w:ascii="Verdana" w:hAnsi="Verdana"/>
        </w:rPr>
        <w:t>were taken into account when assessing the impact on the landscape</w:t>
      </w:r>
      <w:r w:rsidRPr="00EC75B7">
        <w:rPr>
          <w:rFonts w:ascii="Verdana" w:hAnsi="Verdana"/>
          <w:spacing w:val="-2"/>
        </w:rPr>
        <w:t>:</w:t>
      </w:r>
    </w:p>
    <w:p w14:paraId="304AF63C" w14:textId="77777777" w:rsidR="008715BE" w:rsidRPr="00EC75B7" w:rsidRDefault="008715BE">
      <w:pPr>
        <w:pStyle w:val="BodyText"/>
        <w:rPr>
          <w:rFonts w:ascii="Verdana" w:hAnsi="Verdana"/>
        </w:rPr>
        <w:sectPr w:rsidR="008715BE" w:rsidRPr="00EC75B7">
          <w:pgSz w:w="11910" w:h="16840"/>
          <w:pgMar w:top="1320" w:right="850" w:bottom="1020" w:left="1133" w:header="766" w:footer="824" w:gutter="0"/>
          <w:cols w:space="708"/>
        </w:sectPr>
      </w:pPr>
    </w:p>
    <w:p w14:paraId="46D52500" w14:textId="77777777" w:rsidR="008715BE" w:rsidRPr="00EC75B7" w:rsidRDefault="008715BE">
      <w:pPr>
        <w:pStyle w:val="BodyText"/>
        <w:spacing w:before="10"/>
        <w:rPr>
          <w:rFonts w:ascii="Verdana" w:hAnsi="Verdana"/>
        </w:rPr>
      </w:pPr>
    </w:p>
    <w:p w14:paraId="79F95C98" w14:textId="77777777" w:rsidR="008715BE" w:rsidRPr="00EC75B7" w:rsidRDefault="00000000">
      <w:pPr>
        <w:ind w:left="143"/>
        <w:rPr>
          <w:rFonts w:ascii="Verdana" w:hAnsi="Verdana"/>
          <w:sz w:val="18"/>
          <w:szCs w:val="18"/>
        </w:rPr>
      </w:pPr>
      <w:r w:rsidRPr="00EC75B7">
        <w:rPr>
          <w:rFonts w:ascii="Verdana" w:hAnsi="Verdana"/>
          <w:noProof/>
          <w:sz w:val="18"/>
          <w:szCs w:val="18"/>
        </w:rPr>
        <mc:AlternateContent>
          <mc:Choice Requires="wpg">
            <w:drawing>
              <wp:inline distT="0" distB="0" distL="0" distR="0" wp14:anchorId="75907498" wp14:editId="41D5DA0A">
                <wp:extent cx="5904230" cy="1113790"/>
                <wp:effectExtent l="0" t="0" r="0" b="634"/>
                <wp:docPr id="466" name="Group 466"/>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67" name="Graphic 467"/>
                        <wps:cNvSpPr/>
                        <wps:spPr>
                          <a:xfrm>
                            <a:off x="0" y="0"/>
                            <a:ext cx="5904230" cy="1113790"/>
                          </a:xfrm>
                          <a:custGeom>
                            <a:avLst/>
                            <a:gdLst/>
                            <a:ahLst/>
                            <a:cxnLst/>
                            <a:rect l="l" t="t" r="r" b="b"/>
                            <a:pathLst>
                              <a:path w="5904230" h="1113790">
                                <a:moveTo>
                                  <a:pt x="5792850"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0"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0" y="0"/>
                                </a:lnTo>
                                <a:close/>
                              </a:path>
                            </a:pathLst>
                          </a:custGeom>
                          <a:solidFill>
                            <a:srgbClr val="00AFEF"/>
                          </a:solidFill>
                        </wps:spPr>
                        <wps:bodyPr wrap="square" lIns="0" tIns="0" rIns="0" bIns="0" rtlCol="0">
                          <a:prstTxWarp prst="textNoShape">
                            <a:avLst/>
                          </a:prstTxWarp>
                        </wps:bodyPr>
                      </wps:wsp>
                      <wps:wsp>
                        <wps:cNvPr id="468" name="Graphic 468"/>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694"/>
                                </a:lnTo>
                                <a:lnTo>
                                  <a:pt x="230949" y="292506"/>
                                </a:lnTo>
                                <a:lnTo>
                                  <a:pt x="170154" y="292506"/>
                                </a:lnTo>
                                <a:lnTo>
                                  <a:pt x="170154" y="315899"/>
                                </a:lnTo>
                                <a:lnTo>
                                  <a:pt x="309130" y="315899"/>
                                </a:lnTo>
                                <a:lnTo>
                                  <a:pt x="314337" y="292506"/>
                                </a:lnTo>
                                <a:lnTo>
                                  <a:pt x="255257" y="292506"/>
                                </a:lnTo>
                                <a:lnTo>
                                  <a:pt x="255257" y="245694"/>
                                </a:lnTo>
                                <a:lnTo>
                                  <a:pt x="332879" y="245706"/>
                                </a:lnTo>
                                <a:lnTo>
                                  <a:pt x="343090" y="233197"/>
                                </a:lnTo>
                                <a:lnTo>
                                  <a:pt x="355130" y="222300"/>
                                </a:lnTo>
                                <a:lnTo>
                                  <a:pt x="72923" y="222300"/>
                                </a:lnTo>
                                <a:lnTo>
                                  <a:pt x="72923" y="23406"/>
                                </a:lnTo>
                                <a:lnTo>
                                  <a:pt x="413283"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67"/>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87"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69" name="Graphic 469"/>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70" name="Textbox 470"/>
                        <wps:cNvSpPr txBox="1"/>
                        <wps:spPr>
                          <a:xfrm>
                            <a:off x="0" y="0"/>
                            <a:ext cx="5904230" cy="1113790"/>
                          </a:xfrm>
                          <a:prstGeom prst="rect">
                            <a:avLst/>
                          </a:prstGeom>
                        </wps:spPr>
                        <wps:txbx>
                          <w:txbxContent>
                            <w:p w14:paraId="53495CD4" w14:textId="77777777" w:rsidR="008715BE" w:rsidRDefault="00000000">
                              <w:pPr>
                                <w:spacing w:before="41"/>
                                <w:ind w:left="2113"/>
                                <w:rPr>
                                  <w:b/>
                                  <w:sz w:val="18"/>
                                </w:rPr>
                              </w:pPr>
                              <w:r>
                                <w:rPr>
                                  <w:b/>
                                  <w:w w:val="135"/>
                                  <w:sz w:val="12"/>
                                </w:rPr>
                                <w:t xml:space="preserve">Form of </w:t>
                              </w:r>
                              <w:r>
                                <w:rPr>
                                  <w:b/>
                                  <w:spacing w:val="-2"/>
                                  <w:w w:val="135"/>
                                  <w:sz w:val="12"/>
                                </w:rPr>
                                <w:t>impact</w:t>
                              </w:r>
                            </w:p>
                            <w:p w14:paraId="407B1366" w14:textId="77777777" w:rsidR="008715BE" w:rsidRDefault="00000000">
                              <w:pPr>
                                <w:spacing w:before="18"/>
                                <w:ind w:left="2113"/>
                                <w:rPr>
                                  <w:sz w:val="18"/>
                                </w:rPr>
                              </w:pPr>
                              <w:r>
                                <w:rPr>
                                  <w:w w:val="120"/>
                                  <w:sz w:val="12"/>
                                </w:rPr>
                                <w:t xml:space="preserve">Negative impact for all stages of </w:t>
                              </w:r>
                              <w:r>
                                <w:rPr>
                                  <w:spacing w:val="-2"/>
                                  <w:w w:val="120"/>
                                  <w:sz w:val="12"/>
                                </w:rPr>
                                <w:t>the project</w:t>
                              </w:r>
                            </w:p>
                          </w:txbxContent>
                        </wps:txbx>
                        <wps:bodyPr wrap="square" lIns="0" tIns="0" rIns="0" bIns="0" rtlCol="0"/>
                      </wps:wsp>
                    </wpg:wgp>
                  </a:graphicData>
                </a:graphic>
              </wp:inline>
            </w:drawing>
          </mc:Choice>
          <mc:Fallback>
            <w:pict>
              <v:group w14:anchorId="75907498" id="Group 466" o:spid="_x0000_s1289"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">
                <v:shape id="Graphic 467" o:spid="_x0000_s1290"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" path="m5792850,l111353,,68012,8759,32616,32639,8751,68044,,111378r,890778l8751,1045545r23865,35399l68012,1104794r43341,8741l5792850,1113535r43335,-8741l5871591,1080944r23879,-35399l5904230,1002156r,-890778l5895470,68044,5871591,32638,5836185,8759,5792850,xe" fillcolor="#00afef" stroked="f">
                  <v:path arrowok="t"/>
                </v:shape>
                <v:shape id="Graphic 468" o:spid="_x0000_s1291"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" path="m303923,339305r-298475,l,344538r,12928l5448,362699r101905,l49288,720394r24600,l131953,362699r166763,l303923,339305xem437603,5232l432155,,54063,,48628,5232r-13,235217l54051,245694r6718,l230949,245694r,46812l170154,292506r,23393l309130,315899r5207,-23393l255257,292506r,-46812l332879,245706r10211,-12509l355130,222300r-282207,l72923,23406r340360,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67r24359,-16370l627354,548322r17767,-26289l651256,490080xem899502,5232l894067,,515975,r-5448,5232l510527,198894r13970,l534835,199402r,-175996l875195,23406r,198894l592988,222300r12027,10897l615238,245706r77623,l692861,292506r-59081,l638987,315899r138938,l777925,292506r-60756,l717169,245706r176898,l899502,240461r,-235229xem948118,344538r-5461,-5233l935964,339305r-291770,l649401,362699r166764,l874229,720394r24562,l840765,362699r101892,l948118,357466r,-12928xe" fillcolor="#c0c8e3" stroked="f">
                  <v:path arrowok="t"/>
                </v:shape>
                <v:shape id="Graphic 469" o:spid="_x0000_s1292"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70" o:spid="_x0000_s1293"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53495CD4" w14:textId="77777777" w:rsidR="008715BE" w:rsidRDefault="00000000">
                        <w:pPr>
                          <w:spacing w:before="41"/>
                          <w:ind w:left="2113"/>
                          <w:rPr>
                            <w:b/>
                            <w:sz w:val="18"/>
                          </w:rPr>
                        </w:pPr>
                        <w:r>
                          <w:rPr>
                            <w:b/>
                            <w:w w:val="135"/>
                            <w:sz w:val="12"/>
                          </w:rPr>
                          <w:t xml:space="preserve">Form of </w:t>
                        </w:r>
                        <w:r>
                          <w:rPr>
                            <w:b/>
                            <w:spacing w:val="-2"/>
                            <w:w w:val="135"/>
                            <w:sz w:val="12"/>
                          </w:rPr>
                          <w:t>impact</w:t>
                        </w:r>
                      </w:p>
                      <w:p w14:paraId="407B1366" w14:textId="77777777" w:rsidR="008715BE" w:rsidRDefault="00000000">
                        <w:pPr>
                          <w:spacing w:before="18"/>
                          <w:ind w:left="2113"/>
                          <w:rPr>
                            <w:sz w:val="18"/>
                          </w:rPr>
                        </w:pPr>
                        <w:r>
                          <w:rPr>
                            <w:w w:val="120"/>
                            <w:sz w:val="12"/>
                          </w:rPr>
                          <w:t xml:space="preserve">Negative impact for all stages of </w:t>
                        </w:r>
                        <w:r>
                          <w:rPr>
                            <w:spacing w:val="-2"/>
                            <w:w w:val="120"/>
                            <w:sz w:val="12"/>
                          </w:rPr>
                          <w:t>the project</w:t>
                        </w:r>
                      </w:p>
                    </w:txbxContent>
                  </v:textbox>
                </v:shape>
                <w10:anchorlock/>
              </v:group>
            </w:pict>
          </mc:Fallback>
        </mc:AlternateContent>
      </w:r>
    </w:p>
    <w:p w14:paraId="6E622D20" w14:textId="77777777" w:rsidR="008715BE" w:rsidRPr="00EC75B7" w:rsidRDefault="00000000">
      <w:pPr>
        <w:pStyle w:val="BodyText"/>
        <w:rPr>
          <w:rFonts w:ascii="Verdana" w:hAnsi="Verdana"/>
        </w:rPr>
      </w:pPr>
      <w:r w:rsidRPr="00EC75B7">
        <w:rPr>
          <w:rFonts w:ascii="Verdana" w:hAnsi="Verdana"/>
          <w:noProof/>
        </w:rPr>
        <mc:AlternateContent>
          <mc:Choice Requires="wpg">
            <w:drawing>
              <wp:anchor distT="0" distB="0" distL="0" distR="0" simplePos="0" relativeHeight="251821056" behindDoc="1" locked="0" layoutInCell="1" allowOverlap="1" wp14:anchorId="441A7DFC" wp14:editId="476009E8">
                <wp:simplePos x="0" y="0"/>
                <wp:positionH relativeFrom="page">
                  <wp:posOffset>810259</wp:posOffset>
                </wp:positionH>
                <wp:positionV relativeFrom="paragraph">
                  <wp:posOffset>116331</wp:posOffset>
                </wp:positionV>
                <wp:extent cx="5904230" cy="1267460"/>
                <wp:effectExtent l="0" t="0" r="0" b="0"/>
                <wp:wrapTopAndBottom/>
                <wp:docPr id="471" name="Group 47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72" name="Graphic 47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73" name="Graphic 473"/>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74" name="Graphic 474"/>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75" name="Textbox 475"/>
                        <wps:cNvSpPr txBox="1"/>
                        <wps:spPr>
                          <a:xfrm>
                            <a:off x="0" y="0"/>
                            <a:ext cx="5904230" cy="1267460"/>
                          </a:xfrm>
                          <a:prstGeom prst="rect">
                            <a:avLst/>
                          </a:prstGeom>
                        </wps:spPr>
                        <wps:txbx>
                          <w:txbxContent>
                            <w:p w14:paraId="4933E95C" w14:textId="77777777" w:rsidR="008715BE" w:rsidRDefault="00000000">
                              <w:pPr>
                                <w:spacing w:before="41"/>
                                <w:ind w:left="2113"/>
                                <w:rPr>
                                  <w:b/>
                                  <w:sz w:val="18"/>
                                </w:rPr>
                              </w:pPr>
                              <w:r>
                                <w:rPr>
                                  <w:b/>
                                  <w:w w:val="135"/>
                                  <w:sz w:val="12"/>
                                </w:rPr>
                                <w:t xml:space="preserve">Nature </w:t>
                              </w:r>
                              <w:r>
                                <w:rPr>
                                  <w:b/>
                                  <w:spacing w:val="-2"/>
                                  <w:w w:val="135"/>
                                  <w:sz w:val="12"/>
                                </w:rPr>
                                <w:t>of impact</w:t>
                              </w:r>
                            </w:p>
                            <w:p w14:paraId="678C40FE" w14:textId="77777777" w:rsidR="008715BE" w:rsidRDefault="00000000">
                              <w:pPr>
                                <w:numPr>
                                  <w:ilvl w:val="0"/>
                                  <w:numId w:val="40"/>
                                </w:numPr>
                                <w:tabs>
                                  <w:tab w:val="left" w:pos="2205"/>
                                  <w:tab w:val="left" w:pos="2272"/>
                                </w:tabs>
                                <w:spacing w:before="35" w:line="216" w:lineRule="auto"/>
                                <w:ind w:right="676" w:hanging="92"/>
                                <w:rPr>
                                  <w:sz w:val="18"/>
                                </w:rPr>
                              </w:pPr>
                              <w:r>
                                <w:rPr>
                                  <w:w w:val="120"/>
                                  <w:sz w:val="12"/>
                                </w:rPr>
                                <w:t>Direct if the interventions and activities specific to the execution stage can cause immediate changes in the characteristics of the protection areas designated for historical monuments.</w:t>
                              </w:r>
                            </w:p>
                          </w:txbxContent>
                        </wps:txbx>
                        <wps:bodyPr wrap="square" lIns="0" tIns="0" rIns="0" bIns="0" rtlCol="0"/>
                      </wps:wsp>
                    </wpg:wgp>
                  </a:graphicData>
                </a:graphic>
              </wp:anchor>
            </w:drawing>
          </mc:Choice>
          <mc:Fallback>
            <w:pict>
              <v:group w14:anchorId="441A7DFC" id="Group 471" o:spid="_x0000_s1294" style="position:absolute;margin-left:63.8pt;margin-top:9.15pt;width:464.9pt;height:99.8pt;z-index:-25149542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8Rbg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">
                <v:shape id="Graphic 472" o:spid="_x0000_s129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73" o:spid="_x0000_s1296"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74" o:spid="_x0000_s1297"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75" o:spid="_x0000_s129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4933E95C" w14:textId="77777777" w:rsidR="008715BE" w:rsidRDefault="00000000">
                        <w:pPr>
                          <w:spacing w:before="41"/>
                          <w:ind w:left="2113"/>
                          <w:rPr>
                            <w:b/>
                            <w:sz w:val="18"/>
                          </w:rPr>
                        </w:pPr>
                        <w:r>
                          <w:rPr>
                            <w:b/>
                            <w:w w:val="135"/>
                            <w:sz w:val="12"/>
                          </w:rPr>
                          <w:t xml:space="preserve">Nature </w:t>
                        </w:r>
                        <w:r>
                          <w:rPr>
                            <w:b/>
                            <w:spacing w:val="-2"/>
                            <w:w w:val="135"/>
                            <w:sz w:val="12"/>
                          </w:rPr>
                          <w:t>of impact</w:t>
                        </w:r>
                      </w:p>
                      <w:p w14:paraId="678C40FE" w14:textId="77777777" w:rsidR="008715BE" w:rsidRDefault="00000000">
                        <w:pPr>
                          <w:numPr>
                            <w:ilvl w:val="0"/>
                            <w:numId w:val="40"/>
                          </w:numPr>
                          <w:tabs>
                            <w:tab w:val="left" w:pos="2205"/>
                            <w:tab w:val="left" w:pos="2272"/>
                          </w:tabs>
                          <w:spacing w:before="35" w:line="216" w:lineRule="auto"/>
                          <w:ind w:right="676" w:hanging="92"/>
                          <w:rPr>
                            <w:sz w:val="18"/>
                          </w:rPr>
                        </w:pPr>
                        <w:r>
                          <w:rPr>
                            <w:w w:val="120"/>
                            <w:sz w:val="12"/>
                          </w:rPr>
                          <w:t>Direct if the interventions and activities specific to the execution stage can cause immediate changes in the characteristics of the protection areas designated for historical monuments.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23104" behindDoc="1" locked="0" layoutInCell="1" allowOverlap="1" wp14:anchorId="4A68EF8F" wp14:editId="36BB1877">
                <wp:simplePos x="0" y="0"/>
                <wp:positionH relativeFrom="page">
                  <wp:posOffset>810259</wp:posOffset>
                </wp:positionH>
                <wp:positionV relativeFrom="paragraph">
                  <wp:posOffset>1510538</wp:posOffset>
                </wp:positionV>
                <wp:extent cx="5904230" cy="1267460"/>
                <wp:effectExtent l="0" t="0" r="0" b="0"/>
                <wp:wrapTopAndBottom/>
                <wp:docPr id="476" name="Group 47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77" name="Graphic 477"/>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78" name="Graphic 478"/>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79" name="Graphic 479"/>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80" name="Textbox 480"/>
                        <wps:cNvSpPr txBox="1"/>
                        <wps:spPr>
                          <a:xfrm>
                            <a:off x="0" y="0"/>
                            <a:ext cx="5904230" cy="1267460"/>
                          </a:xfrm>
                          <a:prstGeom prst="rect">
                            <a:avLst/>
                          </a:prstGeom>
                        </wps:spPr>
                        <wps:txbx>
                          <w:txbxContent>
                            <w:p w14:paraId="24A1A116" w14:textId="77777777" w:rsidR="008715BE" w:rsidRDefault="008715BE">
                              <w:pPr>
                                <w:spacing w:before="213"/>
                                <w:rPr>
                                  <w:sz w:val="18"/>
                                </w:rPr>
                              </w:pPr>
                            </w:p>
                            <w:p w14:paraId="67AD993D" w14:textId="77777777" w:rsidR="008715BE" w:rsidRDefault="00000000">
                              <w:pPr>
                                <w:ind w:left="2113"/>
                                <w:rPr>
                                  <w:b/>
                                  <w:sz w:val="18"/>
                                </w:rPr>
                              </w:pPr>
                              <w:r>
                                <w:rPr>
                                  <w:b/>
                                  <w:w w:val="135"/>
                                  <w:sz w:val="12"/>
                                </w:rPr>
                                <w:t xml:space="preserve">Extension </w:t>
                              </w:r>
                              <w:r>
                                <w:rPr>
                                  <w:b/>
                                  <w:spacing w:val="-2"/>
                                  <w:w w:val="135"/>
                                  <w:sz w:val="12"/>
                                </w:rPr>
                                <w:t>of the impact</w:t>
                              </w:r>
                            </w:p>
                            <w:p w14:paraId="09DCA79C" w14:textId="77777777" w:rsidR="008715BE" w:rsidRDefault="00000000">
                              <w:pPr>
                                <w:numPr>
                                  <w:ilvl w:val="0"/>
                                  <w:numId w:val="39"/>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116B51B" w14:textId="77777777" w:rsidR="008715BE" w:rsidRDefault="00000000">
                              <w:pPr>
                                <w:numPr>
                                  <w:ilvl w:val="0"/>
                                  <w:numId w:val="39"/>
                                </w:numPr>
                                <w:tabs>
                                  <w:tab w:val="left" w:pos="2285"/>
                                </w:tabs>
                                <w:spacing w:before="18" w:line="208" w:lineRule="exact"/>
                                <w:ind w:left="2285" w:hanging="172"/>
                                <w:rPr>
                                  <w:sz w:val="18"/>
                                </w:rPr>
                              </w:pPr>
                              <w:r>
                                <w:rPr>
                                  <w:w w:val="120"/>
                                  <w:sz w:val="12"/>
                                </w:rPr>
                                <w:t xml:space="preserve">Regional: for linear works that may be carried out on several </w:t>
                              </w:r>
                              <w:r>
                                <w:rPr>
                                  <w:spacing w:val="-4"/>
                                  <w:w w:val="120"/>
                                  <w:sz w:val="12"/>
                                </w:rPr>
                                <w:t>UATs</w:t>
                              </w:r>
                            </w:p>
                            <w:p w14:paraId="0F2EB7CF" w14:textId="77777777" w:rsidR="008715BE" w:rsidRDefault="00000000">
                              <w:pPr>
                                <w:spacing w:line="208" w:lineRule="exact"/>
                                <w:ind w:left="2113"/>
                                <w:rPr>
                                  <w:sz w:val="18"/>
                                </w:rPr>
                              </w:pPr>
                              <w:r>
                                <w:rPr>
                                  <w:spacing w:val="-4"/>
                                  <w:w w:val="125"/>
                                  <w:sz w:val="12"/>
                                </w:rPr>
                                <w:t>.</w:t>
                              </w:r>
                            </w:p>
                          </w:txbxContent>
                        </wps:txbx>
                        <wps:bodyPr wrap="square" lIns="0" tIns="0" rIns="0" bIns="0" rtlCol="0"/>
                      </wps:wsp>
                    </wpg:wgp>
                  </a:graphicData>
                </a:graphic>
              </wp:anchor>
            </w:drawing>
          </mc:Choice>
          <mc:Fallback>
            <w:pict>
              <v:group w14:anchorId="4A68EF8F" id="Group 476" o:spid="_x0000_s1299" style="position:absolute;margin-left:63.8pt;margin-top:118.95pt;width:464.9pt;height:99.8pt;z-index:-25149337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">
                <v:shape id="Graphic 477" o:spid="_x0000_s130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78" o:spid="_x0000_s1301"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79" o:spid="_x0000_s1302"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80" o:spid="_x0000_s130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24A1A116" w14:textId="77777777" w:rsidR="008715BE" w:rsidRDefault="008715BE">
                        <w:pPr>
                          <w:spacing w:before="213"/>
                          <w:rPr>
                            <w:sz w:val="18"/>
                          </w:rPr>
                        </w:pPr>
                      </w:p>
                      <w:p w14:paraId="67AD993D" w14:textId="77777777" w:rsidR="008715BE" w:rsidRDefault="00000000">
                        <w:pPr>
                          <w:ind w:left="2113"/>
                          <w:rPr>
                            <w:b/>
                            <w:sz w:val="18"/>
                          </w:rPr>
                        </w:pPr>
                        <w:r>
                          <w:rPr>
                            <w:b/>
                            <w:w w:val="135"/>
                            <w:sz w:val="12"/>
                          </w:rPr>
                          <w:t xml:space="preserve">Extension </w:t>
                        </w:r>
                        <w:r>
                          <w:rPr>
                            <w:b/>
                            <w:spacing w:val="-2"/>
                            <w:w w:val="135"/>
                            <w:sz w:val="12"/>
                          </w:rPr>
                          <w:t>of the impact</w:t>
                        </w:r>
                      </w:p>
                      <w:p w14:paraId="09DCA79C" w14:textId="77777777" w:rsidR="008715BE" w:rsidRDefault="00000000">
                        <w:pPr>
                          <w:numPr>
                            <w:ilvl w:val="0"/>
                            <w:numId w:val="39"/>
                          </w:numPr>
                          <w:tabs>
                            <w:tab w:val="left" w:pos="2285"/>
                          </w:tabs>
                          <w:spacing w:before="18"/>
                          <w:ind w:left="2285" w:hanging="172"/>
                          <w:rPr>
                            <w:sz w:val="18"/>
                          </w:rPr>
                        </w:pPr>
                        <w:r>
                          <w:rPr>
                            <w:w w:val="120"/>
                            <w:sz w:val="12"/>
                          </w:rPr>
                          <w:t xml:space="preserve">Local: for specific works at the </w:t>
                        </w:r>
                        <w:r>
                          <w:rPr>
                            <w:spacing w:val="-5"/>
                            <w:w w:val="120"/>
                            <w:sz w:val="12"/>
                          </w:rPr>
                          <w:t xml:space="preserve">UAT </w:t>
                        </w:r>
                        <w:r>
                          <w:rPr>
                            <w:w w:val="120"/>
                            <w:sz w:val="12"/>
                          </w:rPr>
                          <w:t>level</w:t>
                        </w:r>
                      </w:p>
                      <w:p w14:paraId="7116B51B" w14:textId="77777777" w:rsidR="008715BE" w:rsidRDefault="00000000">
                        <w:pPr>
                          <w:numPr>
                            <w:ilvl w:val="0"/>
                            <w:numId w:val="39"/>
                          </w:numPr>
                          <w:tabs>
                            <w:tab w:val="left" w:pos="2285"/>
                          </w:tabs>
                          <w:spacing w:before="18" w:line="208" w:lineRule="exact"/>
                          <w:ind w:left="2285" w:hanging="172"/>
                          <w:rPr>
                            <w:sz w:val="18"/>
                          </w:rPr>
                        </w:pPr>
                        <w:r>
                          <w:rPr>
                            <w:w w:val="120"/>
                            <w:sz w:val="12"/>
                          </w:rPr>
                          <w:t xml:space="preserve">Regional: for linear works that may be carried out on several </w:t>
                        </w:r>
                        <w:r>
                          <w:rPr>
                            <w:spacing w:val="-4"/>
                            <w:w w:val="120"/>
                            <w:sz w:val="12"/>
                          </w:rPr>
                          <w:t>UATs</w:t>
                        </w:r>
                      </w:p>
                      <w:p w14:paraId="0F2EB7CF" w14:textId="77777777" w:rsidR="008715BE" w:rsidRDefault="00000000">
                        <w:pPr>
                          <w:spacing w:line="208" w:lineRule="exact"/>
                          <w:ind w:left="2113"/>
                          <w:rPr>
                            <w:sz w:val="18"/>
                          </w:rPr>
                        </w:pPr>
                        <w:r>
                          <w:rPr>
                            <w:spacing w:val="-4"/>
                            <w:w w:val="125"/>
                            <w:sz w:val="12"/>
                          </w:rPr>
                          <w:t>.</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24128" behindDoc="1" locked="0" layoutInCell="1" allowOverlap="1" wp14:anchorId="42A66D10" wp14:editId="05B2E4DE">
                <wp:simplePos x="0" y="0"/>
                <wp:positionH relativeFrom="page">
                  <wp:posOffset>810259</wp:posOffset>
                </wp:positionH>
                <wp:positionV relativeFrom="paragraph">
                  <wp:posOffset>2904617</wp:posOffset>
                </wp:positionV>
                <wp:extent cx="5904230" cy="1267460"/>
                <wp:effectExtent l="0" t="0" r="0" b="0"/>
                <wp:wrapTopAndBottom/>
                <wp:docPr id="481" name="Group 48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82" name="Graphic 48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83" name="Graphic 483"/>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84" name="Graphic 484"/>
                        <wps:cNvSpPr/>
                        <wps:spPr>
                          <a:xfrm>
                            <a:off x="81584" y="62610"/>
                            <a:ext cx="1181100" cy="1014094"/>
                          </a:xfrm>
                          <a:custGeom>
                            <a:avLst/>
                            <a:gdLst/>
                            <a:ahLst/>
                            <a:cxnLst/>
                            <a:rect l="l" t="t" r="r" b="b"/>
                            <a:pathLst>
                              <a:path w="1181100" h="1014094">
                                <a:moveTo>
                                  <a:pt x="0" y="101346"/>
                                </a:moveTo>
                                <a:lnTo>
                                  <a:pt x="7967" y="61882"/>
                                </a:lnTo>
                                <a:lnTo>
                                  <a:pt x="29695" y="29670"/>
                                </a:lnTo>
                                <a:lnTo>
                                  <a:pt x="61925" y="7959"/>
                                </a:lnTo>
                                <a:lnTo>
                                  <a:pt x="101396"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96" y="1013840"/>
                                </a:lnTo>
                                <a:lnTo>
                                  <a:pt x="61925" y="1005881"/>
                                </a:lnTo>
                                <a:lnTo>
                                  <a:pt x="29695"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85" name="Textbox 485"/>
                        <wps:cNvSpPr txBox="1"/>
                        <wps:spPr>
                          <a:xfrm>
                            <a:off x="0" y="0"/>
                            <a:ext cx="5904230" cy="1267460"/>
                          </a:xfrm>
                          <a:prstGeom prst="rect">
                            <a:avLst/>
                          </a:prstGeom>
                        </wps:spPr>
                        <wps:txbx>
                          <w:txbxContent>
                            <w:p w14:paraId="6B54AC2B" w14:textId="77777777" w:rsidR="008715BE" w:rsidRDefault="008715BE">
                              <w:pPr>
                                <w:spacing w:before="37"/>
                                <w:rPr>
                                  <w:sz w:val="18"/>
                                </w:rPr>
                              </w:pPr>
                            </w:p>
                            <w:p w14:paraId="2A5DEB47" w14:textId="77777777" w:rsidR="008715BE" w:rsidRDefault="00000000">
                              <w:pPr>
                                <w:ind w:left="2113"/>
                                <w:rPr>
                                  <w:b/>
                                  <w:sz w:val="18"/>
                                </w:rPr>
                              </w:pPr>
                              <w:r>
                                <w:rPr>
                                  <w:b/>
                                  <w:w w:val="135"/>
                                  <w:sz w:val="12"/>
                                </w:rPr>
                                <w:t xml:space="preserve">Frequency of occurrence of </w:t>
                              </w:r>
                              <w:r>
                                <w:rPr>
                                  <w:b/>
                                  <w:spacing w:val="-2"/>
                                  <w:w w:val="135"/>
                                  <w:sz w:val="12"/>
                                </w:rPr>
                                <w:t>effects</w:t>
                              </w:r>
                            </w:p>
                            <w:p w14:paraId="7017CDCB" w14:textId="77777777" w:rsidR="008715BE" w:rsidRDefault="00000000">
                              <w:pPr>
                                <w:tabs>
                                  <w:tab w:val="left" w:pos="7154"/>
                                </w:tabs>
                                <w:spacing w:before="18" w:line="208" w:lineRule="exact"/>
                                <w:ind w:left="2113"/>
                                <w:rPr>
                                  <w:sz w:val="18"/>
                                </w:rPr>
                              </w:pPr>
                              <w:r>
                                <w:rPr>
                                  <w:w w:val="120"/>
                                  <w:sz w:val="12"/>
                                </w:rPr>
                                <w:t xml:space="preserve">o temporary/one-time – One </w:t>
                              </w:r>
                              <w:r>
                                <w:rPr>
                                  <w:spacing w:val="-2"/>
                                  <w:w w:val="120"/>
                                  <w:sz w:val="12"/>
                                </w:rPr>
                                <w:t>time/temporary</w:t>
                              </w:r>
                              <w:r>
                                <w:rPr>
                                  <w:sz w:val="12"/>
                                </w:rPr>
                                <w:tab/>
                              </w:r>
                              <w:r>
                                <w:rPr>
                                  <w:w w:val="120"/>
                                  <w:sz w:val="12"/>
                                </w:rPr>
                                <w:t xml:space="preserve">The impact </w:t>
                              </w:r>
                              <w:r>
                                <w:rPr>
                                  <w:spacing w:val="-2"/>
                                  <w:w w:val="120"/>
                                  <w:sz w:val="12"/>
                                </w:rPr>
                                <w:t>occurs</w:t>
                              </w:r>
                            </w:p>
                            <w:p w14:paraId="5C3EDE21" w14:textId="77777777" w:rsidR="008715BE" w:rsidRDefault="00000000">
                              <w:pPr>
                                <w:spacing w:before="5" w:line="216" w:lineRule="auto"/>
                                <w:ind w:left="2113"/>
                                <w:rPr>
                                  <w:sz w:val="18"/>
                                </w:rPr>
                              </w:pPr>
                              <w:r>
                                <w:rPr>
                                  <w:w w:val="120"/>
                                  <w:sz w:val="12"/>
                                </w:rPr>
                                <w:t>once in one of the project stages. Most often associated with a short duration.</w:t>
                              </w:r>
                            </w:p>
                            <w:p w14:paraId="72DC7BB7" w14:textId="77777777" w:rsidR="008715BE" w:rsidRDefault="00000000">
                              <w:pPr>
                                <w:spacing w:before="39" w:line="216" w:lineRule="auto"/>
                                <w:ind w:left="2113"/>
                                <w:rPr>
                                  <w:sz w:val="18"/>
                                </w:rPr>
                              </w:pPr>
                              <w:r>
                                <w:rPr>
                                  <w:w w:val="120"/>
                                  <w:sz w:val="12"/>
                                </w:rPr>
                                <w:t>o permanent – permanent occupation of land areas by construction elements. The impact is continuous after it occurs.</w:t>
                              </w:r>
                            </w:p>
                          </w:txbxContent>
                        </wps:txbx>
                        <wps:bodyPr wrap="square" lIns="0" tIns="0" rIns="0" bIns="0" rtlCol="0"/>
                      </wps:wsp>
                    </wpg:wgp>
                  </a:graphicData>
                </a:graphic>
              </wp:anchor>
            </w:drawing>
          </mc:Choice>
          <mc:Fallback>
            <w:pict>
              <v:group w14:anchorId="42A66D10" id="Group 481" o:spid="_x0000_s1304" style="position:absolute;margin-left:63.8pt;margin-top:228.7pt;width:464.9pt;height:99.8pt;z-index:-251492352;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">
                <v:shape id="Graphic 482" o:spid="_x0000_s130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83" o:spid="_x0000_s1306"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84" o:spid="_x0000_s1307"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" path="m,101346l7967,61882,29695,29670,61925,7959,101396,r978053,l1118912,7959r32212,21711l1172835,61882r7960,39464l1180795,912495r-7960,39463l1151124,984170r-32212,21711l1079449,1013840r-978053,l61925,1005881,29695,984170,7967,951958,,912495,,101346xe" filled="f" strokecolor="white" strokeweight=".35275mm">
                  <v:path arrowok="t"/>
                </v:shape>
                <v:shape id="Textbox 485" o:spid="_x0000_s130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6B54AC2B" w14:textId="77777777" w:rsidR="008715BE" w:rsidRDefault="008715BE">
                        <w:pPr>
                          <w:spacing w:before="37"/>
                          <w:rPr>
                            <w:sz w:val="18"/>
                          </w:rPr>
                        </w:pPr>
                      </w:p>
                      <w:p w14:paraId="2A5DEB47" w14:textId="77777777" w:rsidR="008715BE" w:rsidRDefault="00000000">
                        <w:pPr>
                          <w:ind w:left="2113"/>
                          <w:rPr>
                            <w:b/>
                            <w:sz w:val="18"/>
                          </w:rPr>
                        </w:pPr>
                        <w:r>
                          <w:rPr>
                            <w:b/>
                            <w:w w:val="135"/>
                            <w:sz w:val="12"/>
                          </w:rPr>
                          <w:t xml:space="preserve">Frequency of occurrence of </w:t>
                        </w:r>
                        <w:r>
                          <w:rPr>
                            <w:b/>
                            <w:spacing w:val="-2"/>
                            <w:w w:val="135"/>
                            <w:sz w:val="12"/>
                          </w:rPr>
                          <w:t>effects</w:t>
                        </w:r>
                      </w:p>
                      <w:p w14:paraId="7017CDCB" w14:textId="77777777" w:rsidR="008715BE" w:rsidRDefault="00000000">
                        <w:pPr>
                          <w:tabs>
                            <w:tab w:val="left" w:pos="7154"/>
                          </w:tabs>
                          <w:spacing w:before="18" w:line="208" w:lineRule="exact"/>
                          <w:ind w:left="2113"/>
                          <w:rPr>
                            <w:sz w:val="18"/>
                          </w:rPr>
                        </w:pPr>
                        <w:r>
                          <w:rPr>
                            <w:w w:val="120"/>
                            <w:sz w:val="12"/>
                          </w:rPr>
                          <w:t xml:space="preserve">o temporary/one-time – One </w:t>
                        </w:r>
                        <w:r>
                          <w:rPr>
                            <w:spacing w:val="-2"/>
                            <w:w w:val="120"/>
                            <w:sz w:val="12"/>
                          </w:rPr>
                          <w:t>time/temporary</w:t>
                        </w:r>
                        <w:r>
                          <w:rPr>
                            <w:sz w:val="12"/>
                          </w:rPr>
                          <w:tab/>
                        </w:r>
                        <w:r>
                          <w:rPr>
                            <w:w w:val="120"/>
                            <w:sz w:val="12"/>
                          </w:rPr>
                          <w:t xml:space="preserve">The impact </w:t>
                        </w:r>
                        <w:r>
                          <w:rPr>
                            <w:spacing w:val="-2"/>
                            <w:w w:val="120"/>
                            <w:sz w:val="12"/>
                          </w:rPr>
                          <w:t>occurs</w:t>
                        </w:r>
                      </w:p>
                      <w:p w14:paraId="5C3EDE21" w14:textId="77777777" w:rsidR="008715BE" w:rsidRDefault="00000000">
                        <w:pPr>
                          <w:spacing w:before="5" w:line="216" w:lineRule="auto"/>
                          <w:ind w:left="2113"/>
                          <w:rPr>
                            <w:sz w:val="18"/>
                          </w:rPr>
                        </w:pPr>
                        <w:r>
                          <w:rPr>
                            <w:w w:val="120"/>
                            <w:sz w:val="12"/>
                          </w:rPr>
                          <w:t>once in one of the project stages. Most often associated with a short duration.</w:t>
                        </w:r>
                      </w:p>
                      <w:p w14:paraId="72DC7BB7" w14:textId="77777777" w:rsidR="008715BE" w:rsidRDefault="00000000">
                        <w:pPr>
                          <w:spacing w:before="39" w:line="216" w:lineRule="auto"/>
                          <w:ind w:left="2113"/>
                          <w:rPr>
                            <w:sz w:val="18"/>
                          </w:rPr>
                        </w:pPr>
                        <w:r>
                          <w:rPr>
                            <w:w w:val="120"/>
                            <w:sz w:val="12"/>
                          </w:rPr>
                          <w:t>o permanent – permanent occupation of land areas by construction elements. The impact is continuous after it occurs.</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27200" behindDoc="1" locked="0" layoutInCell="1" allowOverlap="1" wp14:anchorId="3B02DB43" wp14:editId="77A25F2C">
                <wp:simplePos x="0" y="0"/>
                <wp:positionH relativeFrom="page">
                  <wp:posOffset>810259</wp:posOffset>
                </wp:positionH>
                <wp:positionV relativeFrom="paragraph">
                  <wp:posOffset>4298822</wp:posOffset>
                </wp:positionV>
                <wp:extent cx="5904230" cy="1267460"/>
                <wp:effectExtent l="0" t="0" r="0" b="0"/>
                <wp:wrapTopAndBottom/>
                <wp:docPr id="486" name="Group 48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87" name="Graphic 487"/>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88" name="Graphic 488"/>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89" name="Graphic 489"/>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90" name="Textbox 490"/>
                        <wps:cNvSpPr txBox="1"/>
                        <wps:spPr>
                          <a:xfrm>
                            <a:off x="0" y="0"/>
                            <a:ext cx="5904230" cy="1267460"/>
                          </a:xfrm>
                          <a:prstGeom prst="rect">
                            <a:avLst/>
                          </a:prstGeom>
                        </wps:spPr>
                        <wps:txbx>
                          <w:txbxContent>
                            <w:p w14:paraId="326E0A0C"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42842F3F" w14:textId="77777777" w:rsidR="008715BE" w:rsidRDefault="00000000">
                              <w:pPr>
                                <w:numPr>
                                  <w:ilvl w:val="0"/>
                                  <w:numId w:val="38"/>
                                </w:numPr>
                                <w:tabs>
                                  <w:tab w:val="left" w:pos="2205"/>
                                  <w:tab w:val="left" w:pos="2273"/>
                                </w:tabs>
                                <w:spacing w:before="35" w:line="216" w:lineRule="auto"/>
                                <w:ind w:right="999" w:hanging="92"/>
                                <w:rPr>
                                  <w:sz w:val="18"/>
                                </w:rPr>
                              </w:pPr>
                              <w:r>
                                <w:rPr>
                                  <w:w w:val="120"/>
                                  <w:sz w:val="12"/>
                                </w:rPr>
                                <w:t>Probable – for situations encountered in practice and from the consultant's experience, for all interventions carried out/The probability of impact is high – it is very likely to occur</w:t>
                              </w:r>
                            </w:p>
                            <w:p w14:paraId="64156943" w14:textId="77777777" w:rsidR="008715BE" w:rsidRDefault="00000000">
                              <w:pPr>
                                <w:numPr>
                                  <w:ilvl w:val="0"/>
                                  <w:numId w:val="38"/>
                                </w:numPr>
                                <w:tabs>
                                  <w:tab w:val="left" w:pos="2205"/>
                                  <w:tab w:val="left" w:pos="2211"/>
                                </w:tabs>
                                <w:spacing w:before="38" w:line="216" w:lineRule="auto"/>
                                <w:ind w:right="61" w:hanging="92"/>
                                <w:rPr>
                                  <w:sz w:val="18"/>
                                </w:rPr>
                              </w:pPr>
                              <w:r>
                                <w:rPr>
                                  <w:w w:val="120"/>
                                  <w:sz w:val="12"/>
                                </w:rPr>
                                <w:t>Unlikely or slightly likely – Probability of impact is low – it is possible to occur.</w:t>
                              </w:r>
                            </w:p>
                          </w:txbxContent>
                        </wps:txbx>
                        <wps:bodyPr wrap="square" lIns="0" tIns="0" rIns="0" bIns="0" rtlCol="0"/>
                      </wps:wsp>
                    </wpg:wgp>
                  </a:graphicData>
                </a:graphic>
              </wp:anchor>
            </w:drawing>
          </mc:Choice>
          <mc:Fallback>
            <w:pict>
              <v:group w14:anchorId="3B02DB43" id="Group 486" o:spid="_x0000_s1309" style="position:absolute;margin-left:63.8pt;margin-top:338.5pt;width:464.9pt;height:99.8pt;z-index:-25148928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">
                <v:shape id="Graphic 487" o:spid="_x0000_s1310"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88" o:spid="_x0000_s1311"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89" o:spid="_x0000_s1312"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90" o:spid="_x0000_s1313"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326E0A0C" w14:textId="77777777" w:rsidR="008715BE" w:rsidRDefault="00000000">
                        <w:pPr>
                          <w:spacing w:before="42"/>
                          <w:ind w:left="2113"/>
                          <w:rPr>
                            <w:b/>
                            <w:sz w:val="18"/>
                          </w:rPr>
                        </w:pPr>
                        <w:r>
                          <w:rPr>
                            <w:b/>
                            <w:w w:val="135"/>
                            <w:sz w:val="12"/>
                          </w:rPr>
                          <w:t xml:space="preserve">Probability of </w:t>
                        </w:r>
                        <w:r>
                          <w:rPr>
                            <w:b/>
                            <w:spacing w:val="-2"/>
                            <w:w w:val="135"/>
                            <w:sz w:val="12"/>
                          </w:rPr>
                          <w:t>occurrence</w:t>
                        </w:r>
                      </w:p>
                      <w:p w14:paraId="42842F3F" w14:textId="77777777" w:rsidR="008715BE" w:rsidRDefault="00000000">
                        <w:pPr>
                          <w:numPr>
                            <w:ilvl w:val="0"/>
                            <w:numId w:val="38"/>
                          </w:numPr>
                          <w:tabs>
                            <w:tab w:val="left" w:pos="2205"/>
                            <w:tab w:val="left" w:pos="2273"/>
                          </w:tabs>
                          <w:spacing w:before="35" w:line="216" w:lineRule="auto"/>
                          <w:ind w:right="999" w:hanging="92"/>
                          <w:rPr>
                            <w:sz w:val="18"/>
                          </w:rPr>
                        </w:pPr>
                        <w:r>
                          <w:rPr>
                            <w:w w:val="120"/>
                            <w:sz w:val="12"/>
                          </w:rPr>
                          <w:t>Probable – for situations encountered in practice and from the consultant's experience, for all interventions carried out/The probability of impact is high – it is very likely to occur</w:t>
                        </w:r>
                      </w:p>
                      <w:p w14:paraId="64156943" w14:textId="77777777" w:rsidR="008715BE" w:rsidRDefault="00000000">
                        <w:pPr>
                          <w:numPr>
                            <w:ilvl w:val="0"/>
                            <w:numId w:val="38"/>
                          </w:numPr>
                          <w:tabs>
                            <w:tab w:val="left" w:pos="2205"/>
                            <w:tab w:val="left" w:pos="2211"/>
                          </w:tabs>
                          <w:spacing w:before="38" w:line="216" w:lineRule="auto"/>
                          <w:ind w:right="61" w:hanging="92"/>
                          <w:rPr>
                            <w:sz w:val="18"/>
                          </w:rPr>
                        </w:pPr>
                        <w:r>
                          <w:rPr>
                            <w:w w:val="120"/>
                            <w:sz w:val="12"/>
                          </w:rPr>
                          <w:t>Unlikely or slightly likely – Probability of impact is low – it is possible to occur.</w:t>
                        </w:r>
                      </w:p>
                    </w:txbxContent>
                  </v:textbox>
                </v:shape>
                <w10:wrap type="topAndBottom" anchorx="page"/>
              </v:group>
            </w:pict>
          </mc:Fallback>
        </mc:AlternateContent>
      </w:r>
      <w:r w:rsidRPr="00EC75B7">
        <w:rPr>
          <w:rFonts w:ascii="Verdana" w:hAnsi="Verdana"/>
          <w:noProof/>
        </w:rPr>
        <mc:AlternateContent>
          <mc:Choice Requires="wpg">
            <w:drawing>
              <wp:anchor distT="0" distB="0" distL="0" distR="0" simplePos="0" relativeHeight="251828224" behindDoc="1" locked="0" layoutInCell="1" allowOverlap="1" wp14:anchorId="2B29FFEA" wp14:editId="054B8143">
                <wp:simplePos x="0" y="0"/>
                <wp:positionH relativeFrom="page">
                  <wp:posOffset>810259</wp:posOffset>
                </wp:positionH>
                <wp:positionV relativeFrom="paragraph">
                  <wp:posOffset>5692902</wp:posOffset>
                </wp:positionV>
                <wp:extent cx="5904230" cy="1267460"/>
                <wp:effectExtent l="0" t="0" r="0" b="0"/>
                <wp:wrapTopAndBottom/>
                <wp:docPr id="491" name="Group 49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92" name="Graphic 49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93" name="Graphic 493"/>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94" name="Graphic 494"/>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95" name="Textbox 495"/>
                        <wps:cNvSpPr txBox="1"/>
                        <wps:spPr>
                          <a:xfrm>
                            <a:off x="0" y="0"/>
                            <a:ext cx="5904230" cy="1267460"/>
                          </a:xfrm>
                          <a:prstGeom prst="rect">
                            <a:avLst/>
                          </a:prstGeom>
                        </wps:spPr>
                        <wps:txbx>
                          <w:txbxContent>
                            <w:p w14:paraId="16EF2914" w14:textId="77777777" w:rsidR="008715BE" w:rsidRDefault="008715BE">
                              <w:pPr>
                                <w:rPr>
                                  <w:sz w:val="18"/>
                                </w:rPr>
                              </w:pPr>
                            </w:p>
                            <w:p w14:paraId="70079F75" w14:textId="77777777" w:rsidR="008715BE" w:rsidRDefault="008715BE">
                              <w:pPr>
                                <w:spacing w:before="31"/>
                                <w:rPr>
                                  <w:sz w:val="18"/>
                                </w:rPr>
                              </w:pPr>
                            </w:p>
                            <w:p w14:paraId="6F7D385F"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31E891DE"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disappears, the affected component </w:t>
                              </w:r>
                              <w:r>
                                <w:rPr>
                                  <w:spacing w:val="-2"/>
                                  <w:w w:val="125"/>
                                  <w:sz w:val="12"/>
                                </w:rPr>
                                <w:t>can</w:t>
                              </w:r>
                            </w:p>
                            <w:p w14:paraId="4230C724"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wps:txbx>
                        <wps:bodyPr wrap="square" lIns="0" tIns="0" rIns="0" bIns="0" rtlCol="0"/>
                      </wps:wsp>
                    </wpg:wgp>
                  </a:graphicData>
                </a:graphic>
              </wp:anchor>
            </w:drawing>
          </mc:Choice>
          <mc:Fallback>
            <w:pict>
              <v:group w14:anchorId="2B29FFEA" id="Group 491" o:spid="_x0000_s1314" style="position:absolute;margin-left:63.8pt;margin-top:448.25pt;width:464.9pt;height:99.8pt;z-index:-2514882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">
                <v:shape id="Graphic 492" o:spid="_x0000_s1315"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93" o:spid="_x0000_s1316"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94" o:spid="_x0000_s1317"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95" o:spid="_x0000_s1318"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16EF2914" w14:textId="77777777" w:rsidR="008715BE" w:rsidRDefault="008715BE">
                        <w:pPr>
                          <w:rPr>
                            <w:sz w:val="18"/>
                          </w:rPr>
                        </w:pPr>
                      </w:p>
                      <w:p w14:paraId="70079F75" w14:textId="77777777" w:rsidR="008715BE" w:rsidRDefault="008715BE">
                        <w:pPr>
                          <w:spacing w:before="31"/>
                          <w:rPr>
                            <w:sz w:val="18"/>
                          </w:rPr>
                        </w:pPr>
                      </w:p>
                      <w:p w14:paraId="6F7D385F" w14:textId="77777777" w:rsidR="008715BE" w:rsidRDefault="00000000">
                        <w:pPr>
                          <w:spacing w:before="1" w:line="216" w:lineRule="auto"/>
                          <w:ind w:left="2113"/>
                          <w:rPr>
                            <w:sz w:val="18"/>
                          </w:rPr>
                        </w:pPr>
                        <w:r>
                          <w:rPr>
                            <w:b/>
                            <w:w w:val="120"/>
                            <w:sz w:val="12"/>
                          </w:rPr>
                          <w:t xml:space="preserve">Irreversibility: </w:t>
                        </w:r>
                        <w:r>
                          <w:rPr>
                            <w:w w:val="120"/>
                            <w:sz w:val="12"/>
                          </w:rPr>
                          <w:t>The impact does not allow a return to the initial conditions of the affected environmental component.</w:t>
                        </w:r>
                      </w:p>
                      <w:p w14:paraId="31E891DE" w14:textId="77777777" w:rsidR="008715BE" w:rsidRDefault="00000000">
                        <w:pPr>
                          <w:spacing w:before="21" w:line="208" w:lineRule="exact"/>
                          <w:ind w:left="2113"/>
                          <w:rPr>
                            <w:sz w:val="18"/>
                          </w:rPr>
                        </w:pPr>
                        <w:r>
                          <w:rPr>
                            <w:b/>
                            <w:w w:val="125"/>
                            <w:sz w:val="12"/>
                          </w:rPr>
                          <w:t xml:space="preserve">Reversible: </w:t>
                        </w:r>
                        <w:r>
                          <w:rPr>
                            <w:w w:val="125"/>
                            <w:sz w:val="12"/>
                          </w:rPr>
                          <w:t xml:space="preserve">After the impact disappears, the affected component </w:t>
                        </w:r>
                        <w:r>
                          <w:rPr>
                            <w:spacing w:val="-2"/>
                            <w:w w:val="125"/>
                            <w:sz w:val="12"/>
                          </w:rPr>
                          <w:t>can</w:t>
                        </w:r>
                      </w:p>
                      <w:p w14:paraId="4230C724" w14:textId="77777777" w:rsidR="008715BE" w:rsidRDefault="00000000">
                        <w:pPr>
                          <w:spacing w:line="208" w:lineRule="exact"/>
                          <w:ind w:left="2113"/>
                          <w:rPr>
                            <w:sz w:val="18"/>
                          </w:rPr>
                        </w:pPr>
                        <w:r>
                          <w:rPr>
                            <w:w w:val="120"/>
                            <w:sz w:val="12"/>
                          </w:rPr>
                          <w:t xml:space="preserve">return to its </w:t>
                        </w:r>
                        <w:r>
                          <w:rPr>
                            <w:spacing w:val="-2"/>
                            <w:w w:val="120"/>
                            <w:sz w:val="12"/>
                          </w:rPr>
                          <w:t xml:space="preserve">initial </w:t>
                        </w:r>
                        <w:r>
                          <w:rPr>
                            <w:w w:val="120"/>
                            <w:sz w:val="12"/>
                          </w:rPr>
                          <w:t>conditions</w:t>
                        </w:r>
                        <w:r>
                          <w:rPr>
                            <w:spacing w:val="-2"/>
                            <w:w w:val="120"/>
                            <w:sz w:val="12"/>
                          </w:rPr>
                          <w:t>.</w:t>
                        </w:r>
                      </w:p>
                    </w:txbxContent>
                  </v:textbox>
                </v:shape>
                <w10:wrap type="topAndBottom" anchorx="page"/>
              </v:group>
            </w:pict>
          </mc:Fallback>
        </mc:AlternateContent>
      </w:r>
    </w:p>
    <w:p w14:paraId="476A12D8" w14:textId="77777777" w:rsidR="008715BE" w:rsidRPr="00EC75B7" w:rsidRDefault="008715BE">
      <w:pPr>
        <w:pStyle w:val="BodyText"/>
        <w:spacing w:before="4"/>
        <w:rPr>
          <w:rFonts w:ascii="Verdana" w:hAnsi="Verdana"/>
        </w:rPr>
      </w:pPr>
    </w:p>
    <w:p w14:paraId="497CCCF8" w14:textId="77777777" w:rsidR="008715BE" w:rsidRPr="00EC75B7" w:rsidRDefault="008715BE">
      <w:pPr>
        <w:pStyle w:val="BodyText"/>
        <w:spacing w:before="4"/>
        <w:rPr>
          <w:rFonts w:ascii="Verdana" w:hAnsi="Verdana"/>
        </w:rPr>
      </w:pPr>
    </w:p>
    <w:p w14:paraId="53D0136C" w14:textId="77777777" w:rsidR="008715BE" w:rsidRPr="00EC75B7" w:rsidRDefault="00000000">
      <w:pPr>
        <w:pStyle w:val="BodyText"/>
        <w:spacing w:before="178" w:line="285" w:lineRule="auto"/>
        <w:ind w:left="57" w:right="180"/>
        <w:rPr>
          <w:rFonts w:ascii="Verdana" w:hAnsi="Verdana"/>
        </w:rPr>
      </w:pPr>
      <w:r w:rsidRPr="00EC75B7">
        <w:rPr>
          <w:rFonts w:ascii="Verdana" w:hAnsi="Verdana"/>
        </w:rPr>
        <w:t>The following tables present the landscape impact assessment matrix for the construction and operation phases.</w:t>
      </w:r>
    </w:p>
    <w:p w14:paraId="7085E68E" w14:textId="77777777" w:rsidR="008715BE" w:rsidRPr="00EC75B7" w:rsidRDefault="008715BE">
      <w:pPr>
        <w:pStyle w:val="BodyText"/>
        <w:spacing w:line="285" w:lineRule="auto"/>
        <w:rPr>
          <w:rFonts w:ascii="Verdana" w:hAnsi="Verdana"/>
        </w:rPr>
        <w:sectPr w:rsidR="008715BE" w:rsidRPr="00EC75B7">
          <w:pgSz w:w="11910" w:h="16840"/>
          <w:pgMar w:top="1320" w:right="850" w:bottom="1020" w:left="1133" w:header="766" w:footer="824" w:gutter="0"/>
          <w:cols w:space="708"/>
        </w:sectPr>
      </w:pPr>
    </w:p>
    <w:p w14:paraId="5BEACAFF" w14:textId="77777777" w:rsidR="008715BE" w:rsidRPr="00EC75B7" w:rsidRDefault="00000000">
      <w:pPr>
        <w:spacing w:before="99"/>
        <w:ind w:left="2"/>
        <w:jc w:val="both"/>
        <w:rPr>
          <w:rFonts w:ascii="Verdana" w:hAnsi="Verdana"/>
          <w:b/>
          <w:sz w:val="18"/>
          <w:szCs w:val="18"/>
        </w:rPr>
      </w:pPr>
      <w:r w:rsidRPr="00EC75B7">
        <w:rPr>
          <w:rFonts w:ascii="Verdana" w:hAnsi="Verdana"/>
          <w:b/>
          <w:color w:val="00AFEF"/>
          <w:sz w:val="18"/>
          <w:szCs w:val="18"/>
        </w:rPr>
        <w:lastRenderedPageBreak/>
        <w:t xml:space="preserve">Table 53 Assessment of the project's impact on the landscape (overall assessment, </w:t>
      </w:r>
      <w:r w:rsidRPr="00EC75B7">
        <w:rPr>
          <w:rFonts w:ascii="Verdana" w:hAnsi="Verdana"/>
          <w:b/>
          <w:color w:val="00AFEF"/>
          <w:spacing w:val="-2"/>
          <w:sz w:val="18"/>
          <w:szCs w:val="18"/>
        </w:rPr>
        <w:t xml:space="preserve">construction/decommissioning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25"/>
        <w:gridCol w:w="2864"/>
        <w:gridCol w:w="2319"/>
        <w:gridCol w:w="1901"/>
        <w:gridCol w:w="924"/>
        <w:gridCol w:w="694"/>
        <w:gridCol w:w="437"/>
        <w:gridCol w:w="740"/>
        <w:gridCol w:w="1229"/>
        <w:gridCol w:w="723"/>
        <w:gridCol w:w="1071"/>
        <w:gridCol w:w="1136"/>
        <w:gridCol w:w="1541"/>
        <w:gridCol w:w="5811"/>
      </w:tblGrid>
      <w:tr w:rsidR="008715BE" w:rsidRPr="00EC75B7" w14:paraId="4D0866F8" w14:textId="77777777">
        <w:trPr>
          <w:trHeight w:val="1763"/>
        </w:trPr>
        <w:tc>
          <w:tcPr>
            <w:tcW w:w="725" w:type="dxa"/>
            <w:shd w:val="clear" w:color="auto" w:fill="00AFEF"/>
          </w:tcPr>
          <w:p w14:paraId="597A8AC0" w14:textId="77777777" w:rsidR="008715BE" w:rsidRPr="00EC75B7" w:rsidRDefault="008715BE">
            <w:pPr>
              <w:pStyle w:val="TableParagraph"/>
              <w:rPr>
                <w:rFonts w:ascii="Verdana" w:hAnsi="Verdana"/>
                <w:b/>
                <w:sz w:val="18"/>
                <w:szCs w:val="18"/>
              </w:rPr>
            </w:pPr>
          </w:p>
          <w:p w14:paraId="4D29DA17" w14:textId="77777777" w:rsidR="008715BE" w:rsidRPr="00EC75B7" w:rsidRDefault="008715BE">
            <w:pPr>
              <w:pStyle w:val="TableParagraph"/>
              <w:rPr>
                <w:rFonts w:ascii="Verdana" w:hAnsi="Verdana"/>
                <w:b/>
                <w:sz w:val="18"/>
                <w:szCs w:val="18"/>
              </w:rPr>
            </w:pPr>
          </w:p>
          <w:p w14:paraId="59A0853D" w14:textId="77777777" w:rsidR="008715BE" w:rsidRPr="00EC75B7" w:rsidRDefault="008715BE">
            <w:pPr>
              <w:pStyle w:val="TableParagraph"/>
              <w:rPr>
                <w:rFonts w:ascii="Verdana" w:hAnsi="Verdana"/>
                <w:b/>
                <w:sz w:val="18"/>
                <w:szCs w:val="18"/>
              </w:rPr>
            </w:pPr>
          </w:p>
          <w:p w14:paraId="7E2449AD" w14:textId="77777777" w:rsidR="008715BE" w:rsidRPr="00EC75B7" w:rsidRDefault="008715BE">
            <w:pPr>
              <w:pStyle w:val="TableParagraph"/>
              <w:spacing w:before="3"/>
              <w:rPr>
                <w:rFonts w:ascii="Verdana" w:hAnsi="Verdana"/>
                <w:b/>
                <w:sz w:val="18"/>
                <w:szCs w:val="18"/>
              </w:rPr>
            </w:pPr>
          </w:p>
          <w:p w14:paraId="512B6DDA"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4"/>
                <w:sz w:val="18"/>
                <w:szCs w:val="18"/>
              </w:rPr>
              <w:t>Stage</w:t>
            </w:r>
          </w:p>
        </w:tc>
        <w:tc>
          <w:tcPr>
            <w:tcW w:w="2864" w:type="dxa"/>
            <w:shd w:val="clear" w:color="auto" w:fill="00AFEF"/>
          </w:tcPr>
          <w:p w14:paraId="0A2235B7" w14:textId="77777777" w:rsidR="008715BE" w:rsidRPr="00EC75B7" w:rsidRDefault="008715BE">
            <w:pPr>
              <w:pStyle w:val="TableParagraph"/>
              <w:rPr>
                <w:rFonts w:ascii="Verdana" w:hAnsi="Verdana"/>
                <w:b/>
                <w:sz w:val="18"/>
                <w:szCs w:val="18"/>
              </w:rPr>
            </w:pPr>
          </w:p>
          <w:p w14:paraId="5D736813" w14:textId="77777777" w:rsidR="008715BE" w:rsidRPr="00EC75B7" w:rsidRDefault="008715BE">
            <w:pPr>
              <w:pStyle w:val="TableParagraph"/>
              <w:rPr>
                <w:rFonts w:ascii="Verdana" w:hAnsi="Verdana"/>
                <w:b/>
                <w:sz w:val="18"/>
                <w:szCs w:val="18"/>
              </w:rPr>
            </w:pPr>
          </w:p>
          <w:p w14:paraId="2F6C7C64" w14:textId="77777777" w:rsidR="008715BE" w:rsidRPr="00EC75B7" w:rsidRDefault="008715BE">
            <w:pPr>
              <w:pStyle w:val="TableParagraph"/>
              <w:rPr>
                <w:rFonts w:ascii="Verdana" w:hAnsi="Verdana"/>
                <w:b/>
                <w:sz w:val="18"/>
                <w:szCs w:val="18"/>
              </w:rPr>
            </w:pPr>
          </w:p>
          <w:p w14:paraId="6FECD9D9" w14:textId="77777777" w:rsidR="008715BE" w:rsidRPr="00EC75B7" w:rsidRDefault="008715BE">
            <w:pPr>
              <w:pStyle w:val="TableParagraph"/>
              <w:spacing w:before="3"/>
              <w:rPr>
                <w:rFonts w:ascii="Verdana" w:hAnsi="Verdana"/>
                <w:b/>
                <w:sz w:val="18"/>
                <w:szCs w:val="18"/>
              </w:rPr>
            </w:pPr>
          </w:p>
          <w:p w14:paraId="6C6E4BA5" w14:textId="77777777" w:rsidR="008715BE" w:rsidRPr="00EC75B7" w:rsidRDefault="00000000">
            <w:pPr>
              <w:pStyle w:val="TableParagraph"/>
              <w:ind w:left="438"/>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2319" w:type="dxa"/>
            <w:shd w:val="clear" w:color="auto" w:fill="00AFEF"/>
          </w:tcPr>
          <w:p w14:paraId="5E58F5D8" w14:textId="77777777" w:rsidR="008715BE" w:rsidRPr="00EC75B7" w:rsidRDefault="008715BE">
            <w:pPr>
              <w:pStyle w:val="TableParagraph"/>
              <w:rPr>
                <w:rFonts w:ascii="Verdana" w:hAnsi="Verdana"/>
                <w:b/>
                <w:sz w:val="18"/>
                <w:szCs w:val="18"/>
              </w:rPr>
            </w:pPr>
          </w:p>
          <w:p w14:paraId="15DC57E2" w14:textId="77777777" w:rsidR="008715BE" w:rsidRPr="00EC75B7" w:rsidRDefault="008715BE">
            <w:pPr>
              <w:pStyle w:val="TableParagraph"/>
              <w:rPr>
                <w:rFonts w:ascii="Verdana" w:hAnsi="Verdana"/>
                <w:b/>
                <w:sz w:val="18"/>
                <w:szCs w:val="18"/>
              </w:rPr>
            </w:pPr>
          </w:p>
          <w:p w14:paraId="4124289B" w14:textId="77777777" w:rsidR="008715BE" w:rsidRPr="00EC75B7" w:rsidRDefault="008715BE">
            <w:pPr>
              <w:pStyle w:val="TableParagraph"/>
              <w:rPr>
                <w:rFonts w:ascii="Verdana" w:hAnsi="Verdana"/>
                <w:b/>
                <w:sz w:val="18"/>
                <w:szCs w:val="18"/>
              </w:rPr>
            </w:pPr>
          </w:p>
          <w:p w14:paraId="2336A24B" w14:textId="77777777" w:rsidR="008715BE" w:rsidRPr="00EC75B7" w:rsidRDefault="008715BE">
            <w:pPr>
              <w:pStyle w:val="TableParagraph"/>
              <w:spacing w:before="3"/>
              <w:rPr>
                <w:rFonts w:ascii="Verdana" w:hAnsi="Verdana"/>
                <w:b/>
                <w:sz w:val="18"/>
                <w:szCs w:val="18"/>
              </w:rPr>
            </w:pPr>
          </w:p>
          <w:p w14:paraId="01FCE4E0" w14:textId="77777777" w:rsidR="008715BE" w:rsidRPr="00EC75B7" w:rsidRDefault="00000000">
            <w:pPr>
              <w:pStyle w:val="TableParagraph"/>
              <w:ind w:left="8"/>
              <w:jc w:val="center"/>
              <w:rPr>
                <w:rFonts w:ascii="Verdana" w:hAnsi="Verdana"/>
                <w:b/>
                <w:sz w:val="18"/>
                <w:szCs w:val="18"/>
              </w:rPr>
            </w:pPr>
            <w:r w:rsidRPr="00EC75B7">
              <w:rPr>
                <w:rFonts w:ascii="Verdana" w:hAnsi="Verdana"/>
                <w:b/>
                <w:color w:val="FFFFFF"/>
                <w:spacing w:val="-2"/>
                <w:sz w:val="18"/>
                <w:szCs w:val="18"/>
              </w:rPr>
              <w:t>Effects</w:t>
            </w:r>
          </w:p>
        </w:tc>
        <w:tc>
          <w:tcPr>
            <w:tcW w:w="1901" w:type="dxa"/>
            <w:shd w:val="clear" w:color="auto" w:fill="00AFEF"/>
          </w:tcPr>
          <w:p w14:paraId="5DE51FBE" w14:textId="77777777" w:rsidR="008715BE" w:rsidRPr="00EC75B7" w:rsidRDefault="008715BE">
            <w:pPr>
              <w:pStyle w:val="TableParagraph"/>
              <w:rPr>
                <w:rFonts w:ascii="Verdana" w:hAnsi="Verdana"/>
                <w:b/>
                <w:sz w:val="18"/>
                <w:szCs w:val="18"/>
              </w:rPr>
            </w:pPr>
          </w:p>
          <w:p w14:paraId="39FFA8F9" w14:textId="77777777" w:rsidR="008715BE" w:rsidRPr="00EC75B7" w:rsidRDefault="008715BE">
            <w:pPr>
              <w:pStyle w:val="TableParagraph"/>
              <w:rPr>
                <w:rFonts w:ascii="Verdana" w:hAnsi="Verdana"/>
                <w:b/>
                <w:sz w:val="18"/>
                <w:szCs w:val="18"/>
              </w:rPr>
            </w:pPr>
          </w:p>
          <w:p w14:paraId="200226FC" w14:textId="77777777" w:rsidR="008715BE" w:rsidRPr="00EC75B7" w:rsidRDefault="008715BE">
            <w:pPr>
              <w:pStyle w:val="TableParagraph"/>
              <w:rPr>
                <w:rFonts w:ascii="Verdana" w:hAnsi="Verdana"/>
                <w:b/>
                <w:sz w:val="18"/>
                <w:szCs w:val="18"/>
              </w:rPr>
            </w:pPr>
          </w:p>
          <w:p w14:paraId="0D9E52D0" w14:textId="77777777" w:rsidR="008715BE" w:rsidRPr="00EC75B7" w:rsidRDefault="008715BE">
            <w:pPr>
              <w:pStyle w:val="TableParagraph"/>
              <w:spacing w:before="3"/>
              <w:rPr>
                <w:rFonts w:ascii="Verdana" w:hAnsi="Verdana"/>
                <w:b/>
                <w:sz w:val="18"/>
                <w:szCs w:val="18"/>
              </w:rPr>
            </w:pPr>
          </w:p>
          <w:p w14:paraId="0DDBB10F" w14:textId="77777777" w:rsidR="008715BE" w:rsidRPr="00EC75B7" w:rsidRDefault="00000000">
            <w:pPr>
              <w:pStyle w:val="TableParagraph"/>
              <w:ind w:left="627"/>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40244878" w14:textId="77777777" w:rsidR="008715BE" w:rsidRPr="00EC75B7" w:rsidRDefault="00000000">
            <w:pPr>
              <w:pStyle w:val="TableParagraph"/>
              <w:spacing w:before="115"/>
              <w:ind w:left="1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694" w:type="dxa"/>
            <w:shd w:val="clear" w:color="auto" w:fill="00AFEF"/>
            <w:textDirection w:val="btLr"/>
          </w:tcPr>
          <w:p w14:paraId="4AFCEA07" w14:textId="77777777" w:rsidR="008715BE" w:rsidRPr="00EC75B7" w:rsidRDefault="00000000">
            <w:pPr>
              <w:pStyle w:val="TableParagraph"/>
              <w:spacing w:before="118" w:line="244" w:lineRule="auto"/>
              <w:ind w:left="121" w:right="687"/>
              <w:rPr>
                <w:rFonts w:ascii="Verdana" w:hAnsi="Verdana"/>
                <w:b/>
                <w:sz w:val="18"/>
                <w:szCs w:val="18"/>
              </w:rPr>
            </w:pPr>
            <w:r w:rsidRPr="00EC75B7">
              <w:rPr>
                <w:rFonts w:ascii="Verdana" w:hAnsi="Verdana"/>
                <w:b/>
                <w:color w:val="FFFFFF"/>
                <w:spacing w:val="-2"/>
                <w:sz w:val="18"/>
                <w:szCs w:val="18"/>
              </w:rPr>
              <w:t>Nature of impact</w:t>
            </w:r>
          </w:p>
        </w:tc>
        <w:tc>
          <w:tcPr>
            <w:tcW w:w="437" w:type="dxa"/>
            <w:shd w:val="clear" w:color="auto" w:fill="00AFEF"/>
            <w:textDirection w:val="btLr"/>
          </w:tcPr>
          <w:p w14:paraId="63AADE7D" w14:textId="77777777" w:rsidR="008715BE" w:rsidRPr="00EC75B7" w:rsidRDefault="00000000">
            <w:pPr>
              <w:pStyle w:val="TableParagraph"/>
              <w:spacing w:before="117"/>
              <w:ind w:left="121"/>
              <w:rPr>
                <w:rFonts w:ascii="Verdana" w:hAnsi="Verdana"/>
                <w:b/>
                <w:sz w:val="18"/>
                <w:szCs w:val="18"/>
              </w:rPr>
            </w:pPr>
            <w:r w:rsidRPr="00EC75B7">
              <w:rPr>
                <w:rFonts w:ascii="Verdana" w:hAnsi="Verdana"/>
                <w:b/>
                <w:color w:val="FFFFFF"/>
                <w:spacing w:val="-2"/>
                <w:sz w:val="18"/>
                <w:szCs w:val="18"/>
              </w:rPr>
              <w:t>Potential</w:t>
            </w:r>
          </w:p>
          <w:p w14:paraId="2D265A59" w14:textId="77777777" w:rsidR="008715BE" w:rsidRPr="00EC75B7" w:rsidRDefault="00000000">
            <w:pPr>
              <w:pStyle w:val="TableParagraph"/>
              <w:spacing w:before="4" w:line="90" w:lineRule="exact"/>
              <w:ind w:left="121"/>
              <w:rPr>
                <w:rFonts w:ascii="Verdana" w:hAnsi="Verdana"/>
                <w:b/>
                <w:sz w:val="18"/>
                <w:szCs w:val="18"/>
              </w:rPr>
            </w:pPr>
            <w:r w:rsidRPr="00EC75B7">
              <w:rPr>
                <w:rFonts w:ascii="Verdana" w:hAnsi="Verdana"/>
                <w:b/>
                <w:color w:val="FFFFFF"/>
                <w:spacing w:val="-2"/>
                <w:sz w:val="18"/>
                <w:szCs w:val="18"/>
              </w:rPr>
              <w:t>Cumulative</w:t>
            </w:r>
          </w:p>
        </w:tc>
        <w:tc>
          <w:tcPr>
            <w:tcW w:w="740" w:type="dxa"/>
            <w:shd w:val="clear" w:color="auto" w:fill="00AFEF"/>
            <w:textDirection w:val="btLr"/>
          </w:tcPr>
          <w:p w14:paraId="3364C241" w14:textId="77777777" w:rsidR="008715BE" w:rsidRPr="00EC75B7" w:rsidRDefault="00000000">
            <w:pPr>
              <w:pStyle w:val="TableParagraph"/>
              <w:spacing w:before="117"/>
              <w:ind w:left="121"/>
              <w:rPr>
                <w:rFonts w:ascii="Verdana" w:hAnsi="Verdana"/>
                <w:b/>
                <w:sz w:val="18"/>
                <w:szCs w:val="18"/>
              </w:rPr>
            </w:pPr>
            <w:r w:rsidRPr="00EC75B7">
              <w:rPr>
                <w:rFonts w:ascii="Verdana" w:hAnsi="Verdana"/>
                <w:b/>
                <w:color w:val="FFFFFF"/>
                <w:spacing w:val="-2"/>
                <w:sz w:val="18"/>
                <w:szCs w:val="18"/>
              </w:rPr>
              <w:t>Duration</w:t>
            </w:r>
          </w:p>
        </w:tc>
        <w:tc>
          <w:tcPr>
            <w:tcW w:w="1229" w:type="dxa"/>
            <w:shd w:val="clear" w:color="auto" w:fill="00AFEF"/>
            <w:textDirection w:val="btLr"/>
          </w:tcPr>
          <w:p w14:paraId="3B7CFAC0" w14:textId="77777777" w:rsidR="008715BE" w:rsidRPr="00EC75B7" w:rsidRDefault="00000000">
            <w:pPr>
              <w:pStyle w:val="TableParagraph"/>
              <w:spacing w:before="114" w:line="244" w:lineRule="auto"/>
              <w:ind w:left="121"/>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23" w:type="dxa"/>
            <w:shd w:val="clear" w:color="auto" w:fill="00AFEF"/>
            <w:textDirection w:val="btLr"/>
          </w:tcPr>
          <w:p w14:paraId="44AC6800"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pacing w:val="-2"/>
                <w:sz w:val="18"/>
                <w:szCs w:val="18"/>
              </w:rPr>
              <w:t>Extent</w:t>
            </w:r>
          </w:p>
        </w:tc>
        <w:tc>
          <w:tcPr>
            <w:tcW w:w="1071" w:type="dxa"/>
            <w:shd w:val="clear" w:color="auto" w:fill="00AFEF"/>
            <w:textDirection w:val="btLr"/>
          </w:tcPr>
          <w:p w14:paraId="251E9015"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pacing w:val="-2"/>
                <w:sz w:val="18"/>
                <w:szCs w:val="18"/>
              </w:rPr>
              <w:t>Probability</w:t>
            </w:r>
          </w:p>
        </w:tc>
        <w:tc>
          <w:tcPr>
            <w:tcW w:w="1136" w:type="dxa"/>
            <w:shd w:val="clear" w:color="auto" w:fill="00AFEF"/>
            <w:textDirection w:val="btLr"/>
          </w:tcPr>
          <w:p w14:paraId="208A456E" w14:textId="77777777" w:rsidR="008715BE" w:rsidRPr="00EC75B7" w:rsidRDefault="00000000">
            <w:pPr>
              <w:pStyle w:val="TableParagraph"/>
              <w:spacing w:before="113"/>
              <w:ind w:left="121"/>
              <w:rPr>
                <w:rFonts w:ascii="Verdana" w:hAnsi="Verdana"/>
                <w:b/>
                <w:sz w:val="18"/>
                <w:szCs w:val="18"/>
              </w:rPr>
            </w:pPr>
            <w:r w:rsidRPr="00EC75B7">
              <w:rPr>
                <w:rFonts w:ascii="Verdana" w:hAnsi="Verdana"/>
                <w:b/>
                <w:color w:val="FFFFFF"/>
                <w:spacing w:val="-2"/>
                <w:sz w:val="18"/>
                <w:szCs w:val="18"/>
              </w:rPr>
              <w:t>Reversibility</w:t>
            </w:r>
          </w:p>
        </w:tc>
        <w:tc>
          <w:tcPr>
            <w:tcW w:w="1541" w:type="dxa"/>
            <w:shd w:val="clear" w:color="auto" w:fill="00AFEF"/>
          </w:tcPr>
          <w:p w14:paraId="73965198" w14:textId="77777777" w:rsidR="008715BE" w:rsidRPr="00EC75B7" w:rsidRDefault="008715BE">
            <w:pPr>
              <w:pStyle w:val="TableParagraph"/>
              <w:rPr>
                <w:rFonts w:ascii="Verdana" w:hAnsi="Verdana"/>
                <w:b/>
                <w:sz w:val="18"/>
                <w:szCs w:val="18"/>
              </w:rPr>
            </w:pPr>
          </w:p>
          <w:p w14:paraId="68C51CBE" w14:textId="77777777" w:rsidR="008715BE" w:rsidRPr="00EC75B7" w:rsidRDefault="008715BE">
            <w:pPr>
              <w:pStyle w:val="TableParagraph"/>
              <w:rPr>
                <w:rFonts w:ascii="Verdana" w:hAnsi="Verdana"/>
                <w:b/>
                <w:sz w:val="18"/>
                <w:szCs w:val="18"/>
              </w:rPr>
            </w:pPr>
          </w:p>
          <w:p w14:paraId="6CEC8DD8" w14:textId="77777777" w:rsidR="008715BE" w:rsidRPr="00EC75B7" w:rsidRDefault="008715BE">
            <w:pPr>
              <w:pStyle w:val="TableParagraph"/>
              <w:spacing w:before="4"/>
              <w:rPr>
                <w:rFonts w:ascii="Verdana" w:hAnsi="Verdana"/>
                <w:b/>
                <w:sz w:val="18"/>
                <w:szCs w:val="18"/>
              </w:rPr>
            </w:pPr>
          </w:p>
          <w:p w14:paraId="4A0A9C17" w14:textId="77777777" w:rsidR="008715BE" w:rsidRPr="00EC75B7" w:rsidRDefault="00000000">
            <w:pPr>
              <w:pStyle w:val="TableParagraph"/>
              <w:ind w:left="188" w:right="187"/>
              <w:jc w:val="center"/>
              <w:rPr>
                <w:rFonts w:ascii="Verdana" w:hAnsi="Verdana"/>
                <w:b/>
                <w:sz w:val="18"/>
                <w:szCs w:val="18"/>
              </w:rPr>
            </w:pPr>
            <w:r w:rsidRPr="00EC75B7">
              <w:rPr>
                <w:rFonts w:ascii="Verdana" w:hAnsi="Verdana"/>
                <w:b/>
                <w:color w:val="FFFFFF"/>
                <w:spacing w:val="-2"/>
                <w:sz w:val="18"/>
                <w:szCs w:val="18"/>
              </w:rPr>
              <w:t>Assessment of the significance of the impact</w:t>
            </w:r>
          </w:p>
        </w:tc>
        <w:tc>
          <w:tcPr>
            <w:tcW w:w="5811" w:type="dxa"/>
            <w:shd w:val="clear" w:color="auto" w:fill="00AFEF"/>
          </w:tcPr>
          <w:p w14:paraId="14130BAE" w14:textId="77777777" w:rsidR="008715BE" w:rsidRPr="00EC75B7" w:rsidRDefault="008715BE">
            <w:pPr>
              <w:pStyle w:val="TableParagraph"/>
              <w:rPr>
                <w:rFonts w:ascii="Verdana" w:hAnsi="Verdana"/>
                <w:b/>
                <w:sz w:val="18"/>
                <w:szCs w:val="18"/>
              </w:rPr>
            </w:pPr>
          </w:p>
          <w:p w14:paraId="39B3C636" w14:textId="77777777" w:rsidR="008715BE" w:rsidRPr="00EC75B7" w:rsidRDefault="008715BE">
            <w:pPr>
              <w:pStyle w:val="TableParagraph"/>
              <w:rPr>
                <w:rFonts w:ascii="Verdana" w:hAnsi="Verdana"/>
                <w:b/>
                <w:sz w:val="18"/>
                <w:szCs w:val="18"/>
              </w:rPr>
            </w:pPr>
          </w:p>
          <w:p w14:paraId="40C7E1B4" w14:textId="77777777" w:rsidR="008715BE" w:rsidRPr="00EC75B7" w:rsidRDefault="008715BE">
            <w:pPr>
              <w:pStyle w:val="TableParagraph"/>
              <w:rPr>
                <w:rFonts w:ascii="Verdana" w:hAnsi="Verdana"/>
                <w:b/>
                <w:sz w:val="18"/>
                <w:szCs w:val="18"/>
              </w:rPr>
            </w:pPr>
          </w:p>
          <w:p w14:paraId="4F2A994C" w14:textId="77777777" w:rsidR="008715BE" w:rsidRPr="00EC75B7" w:rsidRDefault="008715BE">
            <w:pPr>
              <w:pStyle w:val="TableParagraph"/>
              <w:spacing w:before="3"/>
              <w:rPr>
                <w:rFonts w:ascii="Verdana" w:hAnsi="Verdana"/>
                <w:b/>
                <w:sz w:val="18"/>
                <w:szCs w:val="18"/>
              </w:rPr>
            </w:pPr>
          </w:p>
          <w:p w14:paraId="3047C975" w14:textId="77777777" w:rsidR="008715BE" w:rsidRPr="00EC75B7" w:rsidRDefault="00000000">
            <w:pPr>
              <w:pStyle w:val="TableParagraph"/>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5F31EC9E" w14:textId="77777777">
        <w:trPr>
          <w:trHeight w:val="777"/>
        </w:trPr>
        <w:tc>
          <w:tcPr>
            <w:tcW w:w="725" w:type="dxa"/>
            <w:vMerge w:val="restart"/>
            <w:textDirection w:val="btLr"/>
          </w:tcPr>
          <w:p w14:paraId="56630D49" w14:textId="77777777" w:rsidR="008715BE" w:rsidRPr="00EC75B7" w:rsidRDefault="00000000">
            <w:pPr>
              <w:pStyle w:val="TableParagraph"/>
              <w:spacing w:before="118"/>
              <w:ind w:left="15"/>
              <w:jc w:val="center"/>
              <w:rPr>
                <w:rFonts w:ascii="Verdana" w:hAnsi="Verdana"/>
                <w:b/>
                <w:sz w:val="18"/>
                <w:szCs w:val="18"/>
              </w:rPr>
            </w:pPr>
            <w:r w:rsidRPr="00EC75B7">
              <w:rPr>
                <w:rFonts w:ascii="Verdana" w:hAnsi="Verdana"/>
                <w:b/>
                <w:spacing w:val="-2"/>
                <w:sz w:val="18"/>
                <w:szCs w:val="18"/>
              </w:rPr>
              <w:t>Execution</w:t>
            </w:r>
          </w:p>
        </w:tc>
        <w:tc>
          <w:tcPr>
            <w:tcW w:w="2864" w:type="dxa"/>
          </w:tcPr>
          <w:p w14:paraId="31019784"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 xml:space="preserve">Site organization and operation (fencing, </w:t>
            </w:r>
            <w:r w:rsidRPr="00EC75B7">
              <w:rPr>
                <w:rFonts w:ascii="Verdana" w:hAnsi="Verdana"/>
                <w:spacing w:val="-2"/>
                <w:sz w:val="18"/>
                <w:szCs w:val="18"/>
              </w:rPr>
              <w:t>container placement, temporary platforms</w:t>
            </w:r>
          </w:p>
          <w:p w14:paraId="251E6F4F" w14:textId="77777777" w:rsidR="008715BE" w:rsidRPr="00EC75B7" w:rsidRDefault="00000000">
            <w:pPr>
              <w:pStyle w:val="TableParagraph"/>
              <w:spacing w:line="172" w:lineRule="exact"/>
              <w:ind w:left="105"/>
              <w:rPr>
                <w:rFonts w:ascii="Verdana" w:hAnsi="Verdana"/>
                <w:sz w:val="18"/>
                <w:szCs w:val="18"/>
              </w:rPr>
            </w:pPr>
            <w:r w:rsidRPr="00EC75B7">
              <w:rPr>
                <w:rFonts w:ascii="Verdana" w:hAnsi="Verdana"/>
                <w:spacing w:val="-2"/>
                <w:sz w:val="18"/>
                <w:szCs w:val="18"/>
              </w:rPr>
              <w:t>)</w:t>
            </w:r>
          </w:p>
        </w:tc>
        <w:tc>
          <w:tcPr>
            <w:tcW w:w="2319" w:type="dxa"/>
          </w:tcPr>
          <w:p w14:paraId="1BA0E0B3" w14:textId="77777777" w:rsidR="008715BE" w:rsidRPr="00EC75B7" w:rsidRDefault="00000000">
            <w:pPr>
              <w:pStyle w:val="TableParagraph"/>
              <w:tabs>
                <w:tab w:val="left" w:pos="1028"/>
                <w:tab w:val="left" w:pos="2114"/>
              </w:tabs>
              <w:spacing w:before="193" w:line="195" w:lineRule="exact"/>
              <w:ind w:left="107"/>
              <w:rPr>
                <w:rFonts w:ascii="Verdana" w:hAnsi="Verdana"/>
                <w:sz w:val="18"/>
                <w:szCs w:val="18"/>
              </w:rPr>
            </w:pP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2"/>
                <w:sz w:val="18"/>
                <w:szCs w:val="18"/>
              </w:rPr>
              <w:t>temporary</w:t>
            </w:r>
            <w:r w:rsidRPr="00EC75B7">
              <w:rPr>
                <w:rFonts w:ascii="Verdana" w:hAnsi="Verdana"/>
                <w:sz w:val="18"/>
                <w:szCs w:val="18"/>
              </w:rPr>
              <w:tab/>
            </w:r>
            <w:r w:rsidRPr="00EC75B7">
              <w:rPr>
                <w:rFonts w:ascii="Verdana" w:hAnsi="Verdana"/>
                <w:spacing w:val="-10"/>
                <w:sz w:val="18"/>
                <w:szCs w:val="18"/>
              </w:rPr>
              <w:t>of</w:t>
            </w:r>
          </w:p>
          <w:p w14:paraId="05D8F2F2"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agricultural </w:t>
            </w:r>
            <w:r w:rsidRPr="00EC75B7">
              <w:rPr>
                <w:rFonts w:ascii="Verdana" w:hAnsi="Verdana"/>
                <w:sz w:val="18"/>
                <w:szCs w:val="18"/>
              </w:rPr>
              <w:t>land</w:t>
            </w:r>
          </w:p>
        </w:tc>
        <w:tc>
          <w:tcPr>
            <w:tcW w:w="1901" w:type="dxa"/>
          </w:tcPr>
          <w:p w14:paraId="6EECDF11" w14:textId="77777777" w:rsidR="008715BE" w:rsidRPr="00EC75B7" w:rsidRDefault="00000000">
            <w:pPr>
              <w:pStyle w:val="TableParagraph"/>
              <w:tabs>
                <w:tab w:val="left" w:pos="1697"/>
              </w:tabs>
              <w:spacing w:before="97"/>
              <w:ind w:left="107" w:right="94"/>
              <w:rPr>
                <w:rFonts w:ascii="Verdana" w:hAnsi="Verdana"/>
                <w:sz w:val="18"/>
                <w:szCs w:val="18"/>
              </w:rPr>
            </w:pPr>
            <w:r w:rsidRPr="00EC75B7">
              <w:rPr>
                <w:rFonts w:ascii="Verdana" w:hAnsi="Verdana"/>
                <w:spacing w:val="-2"/>
                <w:sz w:val="18"/>
                <w:szCs w:val="18"/>
              </w:rPr>
              <w:t>Temporary modification</w:t>
            </w:r>
            <w:r w:rsidRPr="00EC75B7">
              <w:rPr>
                <w:rFonts w:ascii="Verdana" w:hAnsi="Verdana"/>
                <w:sz w:val="18"/>
                <w:szCs w:val="18"/>
              </w:rPr>
              <w:tab/>
            </w:r>
            <w:r w:rsidRPr="00EC75B7">
              <w:rPr>
                <w:rFonts w:ascii="Verdana" w:hAnsi="Verdana"/>
                <w:spacing w:val="-10"/>
                <w:sz w:val="18"/>
                <w:szCs w:val="18"/>
              </w:rPr>
              <w:t xml:space="preserve">of </w:t>
            </w:r>
            <w:r w:rsidRPr="00EC75B7">
              <w:rPr>
                <w:rFonts w:ascii="Verdana" w:hAnsi="Verdana"/>
                <w:sz w:val="18"/>
                <w:szCs w:val="18"/>
              </w:rPr>
              <w:t>the local landscape</w:t>
            </w:r>
          </w:p>
        </w:tc>
        <w:tc>
          <w:tcPr>
            <w:tcW w:w="924" w:type="dxa"/>
          </w:tcPr>
          <w:p w14:paraId="10366F03" w14:textId="77777777" w:rsidR="008715BE" w:rsidRPr="00EC75B7" w:rsidRDefault="008715BE">
            <w:pPr>
              <w:pStyle w:val="TableParagraph"/>
              <w:spacing w:before="96"/>
              <w:rPr>
                <w:rFonts w:ascii="Verdana" w:hAnsi="Verdana"/>
                <w:b/>
                <w:sz w:val="18"/>
                <w:szCs w:val="18"/>
              </w:rPr>
            </w:pPr>
          </w:p>
          <w:p w14:paraId="134D85DB" w14:textId="77777777" w:rsidR="008715BE" w:rsidRPr="00EC75B7" w:rsidRDefault="00000000">
            <w:pPr>
              <w:pStyle w:val="TableParagraph"/>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2014EC24" w14:textId="77777777" w:rsidR="008715BE" w:rsidRPr="00EC75B7" w:rsidRDefault="008715BE">
            <w:pPr>
              <w:pStyle w:val="TableParagraph"/>
              <w:spacing w:before="96"/>
              <w:rPr>
                <w:rFonts w:ascii="Verdana" w:hAnsi="Verdana"/>
                <w:b/>
                <w:sz w:val="18"/>
                <w:szCs w:val="18"/>
              </w:rPr>
            </w:pPr>
          </w:p>
          <w:p w14:paraId="5DB3E2CA" w14:textId="77777777" w:rsidR="008715BE" w:rsidRPr="00EC75B7" w:rsidRDefault="00000000">
            <w:pPr>
              <w:pStyle w:val="TableParagraph"/>
              <w:ind w:left="10"/>
              <w:jc w:val="center"/>
              <w:rPr>
                <w:rFonts w:ascii="Verdana" w:hAnsi="Verdana"/>
                <w:sz w:val="18"/>
                <w:szCs w:val="18"/>
              </w:rPr>
            </w:pPr>
            <w:r w:rsidRPr="00EC75B7">
              <w:rPr>
                <w:rFonts w:ascii="Verdana" w:hAnsi="Verdana"/>
                <w:spacing w:val="-2"/>
                <w:sz w:val="18"/>
                <w:szCs w:val="18"/>
              </w:rPr>
              <w:t>Direct</w:t>
            </w:r>
          </w:p>
        </w:tc>
        <w:tc>
          <w:tcPr>
            <w:tcW w:w="437" w:type="dxa"/>
          </w:tcPr>
          <w:p w14:paraId="591044AF" w14:textId="77777777" w:rsidR="008715BE" w:rsidRPr="00EC75B7" w:rsidRDefault="008715BE">
            <w:pPr>
              <w:pStyle w:val="TableParagraph"/>
              <w:spacing w:before="96"/>
              <w:rPr>
                <w:rFonts w:ascii="Verdana" w:hAnsi="Verdana"/>
                <w:b/>
                <w:sz w:val="18"/>
                <w:szCs w:val="18"/>
              </w:rPr>
            </w:pPr>
          </w:p>
          <w:p w14:paraId="6027DD97" w14:textId="77777777" w:rsidR="008715BE" w:rsidRPr="00EC75B7" w:rsidRDefault="00000000">
            <w:pPr>
              <w:pStyle w:val="TableParagraph"/>
              <w:ind w:left="8" w:right="1"/>
              <w:jc w:val="center"/>
              <w:rPr>
                <w:rFonts w:ascii="Verdana" w:hAnsi="Verdana"/>
                <w:sz w:val="18"/>
                <w:szCs w:val="18"/>
              </w:rPr>
            </w:pPr>
            <w:r w:rsidRPr="00EC75B7">
              <w:rPr>
                <w:rFonts w:ascii="Verdana" w:hAnsi="Verdana"/>
                <w:spacing w:val="-5"/>
                <w:sz w:val="18"/>
                <w:szCs w:val="18"/>
              </w:rPr>
              <w:t>No</w:t>
            </w:r>
          </w:p>
        </w:tc>
        <w:tc>
          <w:tcPr>
            <w:tcW w:w="740" w:type="dxa"/>
          </w:tcPr>
          <w:p w14:paraId="746CD8E5" w14:textId="77777777" w:rsidR="008715BE" w:rsidRPr="00EC75B7" w:rsidRDefault="008715BE">
            <w:pPr>
              <w:pStyle w:val="TableParagraph"/>
              <w:spacing w:before="96"/>
              <w:rPr>
                <w:rFonts w:ascii="Verdana" w:hAnsi="Verdana"/>
                <w:b/>
                <w:sz w:val="18"/>
                <w:szCs w:val="18"/>
              </w:rPr>
            </w:pPr>
          </w:p>
          <w:p w14:paraId="0EC9D0BD" w14:textId="77777777" w:rsidR="008715BE" w:rsidRPr="00EC75B7" w:rsidRDefault="00000000">
            <w:pPr>
              <w:pStyle w:val="TableParagraph"/>
              <w:ind w:left="6" w:right="51"/>
              <w:jc w:val="center"/>
              <w:rPr>
                <w:rFonts w:ascii="Verdana" w:hAnsi="Verdana"/>
                <w:sz w:val="18"/>
                <w:szCs w:val="18"/>
              </w:rPr>
            </w:pPr>
            <w:r w:rsidRPr="00EC75B7">
              <w:rPr>
                <w:rFonts w:ascii="Verdana" w:hAnsi="Verdana"/>
                <w:spacing w:val="-2"/>
                <w:sz w:val="18"/>
                <w:szCs w:val="18"/>
              </w:rPr>
              <w:t>Medium</w:t>
            </w:r>
          </w:p>
        </w:tc>
        <w:tc>
          <w:tcPr>
            <w:tcW w:w="1229" w:type="dxa"/>
          </w:tcPr>
          <w:p w14:paraId="6F59ACC3" w14:textId="77777777" w:rsidR="008715BE" w:rsidRPr="00EC75B7" w:rsidRDefault="008715BE">
            <w:pPr>
              <w:pStyle w:val="TableParagraph"/>
              <w:spacing w:before="96"/>
              <w:rPr>
                <w:rFonts w:ascii="Verdana" w:hAnsi="Verdana"/>
                <w:b/>
                <w:sz w:val="18"/>
                <w:szCs w:val="18"/>
              </w:rPr>
            </w:pPr>
          </w:p>
          <w:p w14:paraId="5E45A754" w14:textId="77777777" w:rsidR="008715BE" w:rsidRPr="00EC75B7" w:rsidRDefault="00000000">
            <w:pPr>
              <w:pStyle w:val="TableParagraph"/>
              <w:ind w:left="103"/>
              <w:rPr>
                <w:rFonts w:ascii="Verdana" w:hAnsi="Verdana"/>
                <w:sz w:val="18"/>
                <w:szCs w:val="18"/>
              </w:rPr>
            </w:pPr>
            <w:r w:rsidRPr="00EC75B7">
              <w:rPr>
                <w:rFonts w:ascii="Verdana" w:hAnsi="Verdana"/>
                <w:spacing w:val="-2"/>
                <w:sz w:val="18"/>
                <w:szCs w:val="18"/>
              </w:rPr>
              <w:t>Continuous</w:t>
            </w:r>
          </w:p>
        </w:tc>
        <w:tc>
          <w:tcPr>
            <w:tcW w:w="723" w:type="dxa"/>
          </w:tcPr>
          <w:p w14:paraId="31313056" w14:textId="77777777" w:rsidR="008715BE" w:rsidRPr="00EC75B7" w:rsidRDefault="008715BE">
            <w:pPr>
              <w:pStyle w:val="TableParagraph"/>
              <w:spacing w:before="96"/>
              <w:rPr>
                <w:rFonts w:ascii="Verdana" w:hAnsi="Verdana"/>
                <w:b/>
                <w:sz w:val="18"/>
                <w:szCs w:val="18"/>
              </w:rPr>
            </w:pPr>
          </w:p>
          <w:p w14:paraId="47181F85" w14:textId="77777777" w:rsidR="008715BE" w:rsidRPr="00EC75B7" w:rsidRDefault="00000000">
            <w:pPr>
              <w:pStyle w:val="TableParagraph"/>
              <w:ind w:left="4"/>
              <w:jc w:val="center"/>
              <w:rPr>
                <w:rFonts w:ascii="Verdana" w:hAnsi="Verdana"/>
                <w:sz w:val="18"/>
                <w:szCs w:val="18"/>
              </w:rPr>
            </w:pPr>
            <w:r w:rsidRPr="00EC75B7">
              <w:rPr>
                <w:rFonts w:ascii="Verdana" w:hAnsi="Verdana"/>
                <w:spacing w:val="-2"/>
                <w:sz w:val="18"/>
                <w:szCs w:val="18"/>
              </w:rPr>
              <w:t>Local</w:t>
            </w:r>
          </w:p>
        </w:tc>
        <w:tc>
          <w:tcPr>
            <w:tcW w:w="1071" w:type="dxa"/>
          </w:tcPr>
          <w:p w14:paraId="037E07B6" w14:textId="77777777" w:rsidR="008715BE" w:rsidRPr="00EC75B7" w:rsidRDefault="008715BE">
            <w:pPr>
              <w:pStyle w:val="TableParagraph"/>
              <w:spacing w:before="96"/>
              <w:rPr>
                <w:rFonts w:ascii="Verdana" w:hAnsi="Verdana"/>
                <w:b/>
                <w:sz w:val="18"/>
                <w:szCs w:val="18"/>
              </w:rPr>
            </w:pPr>
          </w:p>
          <w:p w14:paraId="14FA9528" w14:textId="77777777" w:rsidR="008715BE" w:rsidRPr="00EC75B7" w:rsidRDefault="00000000">
            <w:pPr>
              <w:pStyle w:val="TableParagraph"/>
              <w:ind w:left="105"/>
              <w:rPr>
                <w:rFonts w:ascii="Verdana" w:hAnsi="Verdana"/>
                <w:sz w:val="18"/>
                <w:szCs w:val="18"/>
              </w:rPr>
            </w:pPr>
            <w:r w:rsidRPr="00EC75B7">
              <w:rPr>
                <w:rFonts w:ascii="Verdana" w:hAnsi="Verdana"/>
                <w:spacing w:val="-2"/>
                <w:sz w:val="18"/>
                <w:szCs w:val="18"/>
              </w:rPr>
              <w:t>Probable</w:t>
            </w:r>
          </w:p>
        </w:tc>
        <w:tc>
          <w:tcPr>
            <w:tcW w:w="1136" w:type="dxa"/>
          </w:tcPr>
          <w:p w14:paraId="6C38D04F" w14:textId="77777777" w:rsidR="008715BE" w:rsidRPr="00EC75B7" w:rsidRDefault="008715BE">
            <w:pPr>
              <w:pStyle w:val="TableParagraph"/>
              <w:spacing w:before="96"/>
              <w:rPr>
                <w:rFonts w:ascii="Verdana" w:hAnsi="Verdana"/>
                <w:b/>
                <w:sz w:val="18"/>
                <w:szCs w:val="18"/>
              </w:rPr>
            </w:pPr>
          </w:p>
          <w:p w14:paraId="5A9C4A0E" w14:textId="77777777" w:rsidR="008715BE" w:rsidRPr="00EC75B7" w:rsidRDefault="00000000">
            <w:pPr>
              <w:pStyle w:val="TableParagraph"/>
              <w:ind w:left="102"/>
              <w:rPr>
                <w:rFonts w:ascii="Verdana" w:hAnsi="Verdana"/>
                <w:sz w:val="18"/>
                <w:szCs w:val="18"/>
              </w:rPr>
            </w:pPr>
            <w:r w:rsidRPr="00EC75B7">
              <w:rPr>
                <w:rFonts w:ascii="Verdana" w:hAnsi="Verdana"/>
                <w:spacing w:val="-2"/>
                <w:sz w:val="18"/>
                <w:szCs w:val="18"/>
              </w:rPr>
              <w:t>Reversible</w:t>
            </w:r>
          </w:p>
        </w:tc>
        <w:tc>
          <w:tcPr>
            <w:tcW w:w="1541" w:type="dxa"/>
          </w:tcPr>
          <w:p w14:paraId="38D1CF88" w14:textId="77777777" w:rsidR="008715BE" w:rsidRPr="00EC75B7" w:rsidRDefault="008715BE">
            <w:pPr>
              <w:pStyle w:val="TableParagraph"/>
              <w:spacing w:before="96"/>
              <w:rPr>
                <w:rFonts w:ascii="Verdana" w:hAnsi="Verdana"/>
                <w:b/>
                <w:sz w:val="18"/>
                <w:szCs w:val="18"/>
              </w:rPr>
            </w:pPr>
          </w:p>
          <w:p w14:paraId="64136314" w14:textId="77777777" w:rsidR="008715BE" w:rsidRPr="00EC75B7" w:rsidRDefault="00000000">
            <w:pPr>
              <w:pStyle w:val="TableParagraph"/>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56CCEBD4" w14:textId="77777777" w:rsidR="008715BE" w:rsidRPr="00EC75B7" w:rsidRDefault="00000000">
            <w:pPr>
              <w:pStyle w:val="TableParagraph"/>
              <w:ind w:left="101" w:right="99"/>
              <w:jc w:val="both"/>
              <w:rPr>
                <w:rFonts w:ascii="Verdana" w:hAnsi="Verdana"/>
                <w:sz w:val="18"/>
                <w:szCs w:val="18"/>
              </w:rPr>
            </w:pPr>
            <w:r w:rsidRPr="00EC75B7">
              <w:rPr>
                <w:rFonts w:ascii="Verdana" w:hAnsi="Verdana"/>
                <w:sz w:val="18"/>
                <w:szCs w:val="18"/>
              </w:rPr>
              <w:t xml:space="preserve">The construction sites are located outside the city limits, on agricultural land with no significant landscape value. The visual impact is temporary and limited to the duration of the works, and the areas will be </w:t>
            </w:r>
            <w:r w:rsidRPr="00EC75B7">
              <w:rPr>
                <w:rFonts w:ascii="Verdana" w:hAnsi="Verdana"/>
                <w:spacing w:val="-2"/>
                <w:sz w:val="18"/>
                <w:szCs w:val="18"/>
              </w:rPr>
              <w:t>restored</w:t>
            </w:r>
          </w:p>
          <w:p w14:paraId="0E7FFDA2" w14:textId="77777777" w:rsidR="008715BE" w:rsidRPr="00EC75B7" w:rsidRDefault="00000000">
            <w:pPr>
              <w:pStyle w:val="TableParagraph"/>
              <w:spacing w:line="172" w:lineRule="exact"/>
              <w:ind w:left="101"/>
              <w:jc w:val="both"/>
              <w:rPr>
                <w:rFonts w:ascii="Verdana" w:hAnsi="Verdana"/>
                <w:sz w:val="18"/>
                <w:szCs w:val="18"/>
              </w:rPr>
            </w:pPr>
            <w:r w:rsidRPr="00EC75B7">
              <w:rPr>
                <w:rFonts w:ascii="Verdana" w:hAnsi="Verdana"/>
                <w:sz w:val="18"/>
                <w:szCs w:val="18"/>
              </w:rPr>
              <w:t xml:space="preserve">at the end </w:t>
            </w:r>
            <w:r w:rsidRPr="00EC75B7">
              <w:rPr>
                <w:rFonts w:ascii="Verdana" w:hAnsi="Verdana"/>
                <w:spacing w:val="-2"/>
                <w:sz w:val="18"/>
                <w:szCs w:val="18"/>
              </w:rPr>
              <w:t>of the works.</w:t>
            </w:r>
          </w:p>
        </w:tc>
      </w:tr>
      <w:tr w:rsidR="008715BE" w:rsidRPr="00EC75B7" w14:paraId="26167277" w14:textId="77777777">
        <w:trPr>
          <w:trHeight w:val="582"/>
        </w:trPr>
        <w:tc>
          <w:tcPr>
            <w:tcW w:w="725" w:type="dxa"/>
            <w:vMerge/>
            <w:tcBorders>
              <w:top w:val="nil"/>
            </w:tcBorders>
            <w:textDirection w:val="btLr"/>
          </w:tcPr>
          <w:p w14:paraId="194F4F27" w14:textId="77777777" w:rsidR="008715BE" w:rsidRPr="00EC75B7" w:rsidRDefault="008715BE">
            <w:pPr>
              <w:rPr>
                <w:rFonts w:ascii="Verdana" w:hAnsi="Verdana"/>
                <w:sz w:val="18"/>
                <w:szCs w:val="18"/>
              </w:rPr>
            </w:pPr>
          </w:p>
        </w:tc>
        <w:tc>
          <w:tcPr>
            <w:tcW w:w="2864" w:type="dxa"/>
          </w:tcPr>
          <w:p w14:paraId="129C5846" w14:textId="77777777" w:rsidR="008715BE" w:rsidRPr="00EC75B7" w:rsidRDefault="00000000">
            <w:pPr>
              <w:pStyle w:val="TableParagraph"/>
              <w:spacing w:before="97"/>
              <w:ind w:left="105" w:right="189"/>
              <w:rPr>
                <w:rFonts w:ascii="Verdana" w:hAnsi="Verdana"/>
                <w:sz w:val="18"/>
                <w:szCs w:val="18"/>
              </w:rPr>
            </w:pPr>
            <w:r w:rsidRPr="00EC75B7">
              <w:rPr>
                <w:rFonts w:ascii="Verdana" w:hAnsi="Verdana"/>
                <w:spacing w:val="-2"/>
                <w:sz w:val="18"/>
                <w:szCs w:val="18"/>
              </w:rPr>
              <w:t xml:space="preserve">Topsoil removal, </w:t>
            </w:r>
            <w:r w:rsidRPr="00EC75B7">
              <w:rPr>
                <w:rFonts w:ascii="Verdana" w:hAnsi="Verdana"/>
                <w:sz w:val="18"/>
                <w:szCs w:val="18"/>
              </w:rPr>
              <w:t>levelling, compaction</w:t>
            </w:r>
          </w:p>
        </w:tc>
        <w:tc>
          <w:tcPr>
            <w:tcW w:w="2319" w:type="dxa"/>
          </w:tcPr>
          <w:p w14:paraId="12F32563" w14:textId="77777777" w:rsidR="008715BE" w:rsidRPr="00EC75B7" w:rsidRDefault="00000000">
            <w:pPr>
              <w:pStyle w:val="TableParagraph"/>
              <w:spacing w:before="97" w:line="195" w:lineRule="exact"/>
              <w:ind w:left="107"/>
              <w:rPr>
                <w:rFonts w:ascii="Verdana" w:hAnsi="Verdana"/>
                <w:sz w:val="18"/>
                <w:szCs w:val="18"/>
              </w:rPr>
            </w:pPr>
            <w:r w:rsidRPr="00EC75B7">
              <w:rPr>
                <w:rFonts w:ascii="Verdana" w:hAnsi="Verdana"/>
                <w:sz w:val="18"/>
                <w:szCs w:val="18"/>
              </w:rPr>
              <w:t xml:space="preserve">Temporary modification </w:t>
            </w:r>
            <w:r w:rsidRPr="00EC75B7">
              <w:rPr>
                <w:rFonts w:ascii="Verdana" w:hAnsi="Verdana"/>
                <w:spacing w:val="-10"/>
                <w:sz w:val="18"/>
                <w:szCs w:val="18"/>
              </w:rPr>
              <w:t>of</w:t>
            </w:r>
          </w:p>
          <w:p w14:paraId="14EE0409"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micro-relief</w:t>
            </w:r>
          </w:p>
        </w:tc>
        <w:tc>
          <w:tcPr>
            <w:tcW w:w="1901" w:type="dxa"/>
          </w:tcPr>
          <w:p w14:paraId="0A1D822C"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
                <w:sz w:val="18"/>
                <w:szCs w:val="18"/>
              </w:rPr>
              <w:t xml:space="preserve">Temporary </w:t>
            </w:r>
            <w:r w:rsidRPr="00EC75B7">
              <w:rPr>
                <w:rFonts w:ascii="Verdana" w:hAnsi="Verdana"/>
                <w:sz w:val="18"/>
                <w:szCs w:val="18"/>
              </w:rPr>
              <w:t>alteration</w:t>
            </w:r>
          </w:p>
          <w:p w14:paraId="29178E9A" w14:textId="77777777" w:rsidR="008715BE" w:rsidRPr="00EC75B7" w:rsidRDefault="00000000">
            <w:pPr>
              <w:pStyle w:val="TableParagraph"/>
              <w:tabs>
                <w:tab w:val="left" w:pos="980"/>
              </w:tabs>
              <w:spacing w:line="194" w:lineRule="exact"/>
              <w:ind w:left="107"/>
              <w:rPr>
                <w:rFonts w:ascii="Verdana" w:hAnsi="Verdana"/>
                <w:sz w:val="18"/>
                <w:szCs w:val="18"/>
              </w:rPr>
            </w:pPr>
            <w:r w:rsidRPr="00EC75B7">
              <w:rPr>
                <w:rFonts w:ascii="Verdana" w:hAnsi="Verdana"/>
                <w:spacing w:val="-10"/>
                <w:sz w:val="18"/>
                <w:szCs w:val="18"/>
              </w:rPr>
              <w:t>of</w:t>
            </w:r>
            <w:r w:rsidRPr="00EC75B7">
              <w:rPr>
                <w:rFonts w:ascii="Verdana" w:hAnsi="Verdana"/>
                <w:sz w:val="18"/>
                <w:szCs w:val="18"/>
              </w:rPr>
              <w:tab/>
            </w:r>
            <w:r w:rsidRPr="00EC75B7">
              <w:rPr>
                <w:rFonts w:ascii="Verdana" w:hAnsi="Verdana"/>
                <w:spacing w:val="-2"/>
                <w:sz w:val="18"/>
                <w:szCs w:val="18"/>
              </w:rPr>
              <w:t>the</w:t>
            </w:r>
          </w:p>
          <w:p w14:paraId="07C681C4"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 xml:space="preserve">agricultural </w:t>
            </w:r>
            <w:r w:rsidRPr="00EC75B7">
              <w:rPr>
                <w:rFonts w:ascii="Verdana" w:hAnsi="Verdana"/>
                <w:sz w:val="18"/>
                <w:szCs w:val="18"/>
              </w:rPr>
              <w:t>landscape</w:t>
            </w:r>
          </w:p>
        </w:tc>
        <w:tc>
          <w:tcPr>
            <w:tcW w:w="924" w:type="dxa"/>
          </w:tcPr>
          <w:p w14:paraId="656CEB2E" w14:textId="77777777" w:rsidR="008715BE" w:rsidRPr="00EC75B7" w:rsidRDefault="00000000">
            <w:pPr>
              <w:pStyle w:val="TableParagraph"/>
              <w:spacing w:before="193"/>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1E873FA5" w14:textId="77777777" w:rsidR="008715BE" w:rsidRPr="00EC75B7" w:rsidRDefault="00000000">
            <w:pPr>
              <w:pStyle w:val="TableParagraph"/>
              <w:spacing w:before="193"/>
              <w:ind w:left="10"/>
              <w:jc w:val="center"/>
              <w:rPr>
                <w:rFonts w:ascii="Verdana" w:hAnsi="Verdana"/>
                <w:sz w:val="18"/>
                <w:szCs w:val="18"/>
              </w:rPr>
            </w:pPr>
            <w:r w:rsidRPr="00EC75B7">
              <w:rPr>
                <w:rFonts w:ascii="Verdana" w:hAnsi="Verdana"/>
                <w:spacing w:val="-2"/>
                <w:sz w:val="18"/>
                <w:szCs w:val="18"/>
              </w:rPr>
              <w:t>Direct</w:t>
            </w:r>
          </w:p>
        </w:tc>
        <w:tc>
          <w:tcPr>
            <w:tcW w:w="437" w:type="dxa"/>
          </w:tcPr>
          <w:p w14:paraId="45A1610D" w14:textId="77777777" w:rsidR="008715BE" w:rsidRPr="00EC75B7" w:rsidRDefault="00000000">
            <w:pPr>
              <w:pStyle w:val="TableParagraph"/>
              <w:spacing w:before="193"/>
              <w:ind w:left="8"/>
              <w:jc w:val="center"/>
              <w:rPr>
                <w:rFonts w:ascii="Verdana" w:hAnsi="Verdana"/>
                <w:sz w:val="18"/>
                <w:szCs w:val="18"/>
              </w:rPr>
            </w:pPr>
            <w:r w:rsidRPr="00EC75B7">
              <w:rPr>
                <w:rFonts w:ascii="Verdana" w:hAnsi="Verdana"/>
                <w:spacing w:val="-5"/>
                <w:sz w:val="18"/>
                <w:szCs w:val="18"/>
              </w:rPr>
              <w:t>Yes</w:t>
            </w:r>
          </w:p>
        </w:tc>
        <w:tc>
          <w:tcPr>
            <w:tcW w:w="740" w:type="dxa"/>
          </w:tcPr>
          <w:p w14:paraId="5B150DD5" w14:textId="77777777" w:rsidR="008715BE" w:rsidRPr="00EC75B7" w:rsidRDefault="00000000">
            <w:pPr>
              <w:pStyle w:val="TableParagraph"/>
              <w:spacing w:before="193"/>
              <w:ind w:left="6" w:right="51"/>
              <w:jc w:val="center"/>
              <w:rPr>
                <w:rFonts w:ascii="Verdana" w:hAnsi="Verdana"/>
                <w:sz w:val="18"/>
                <w:szCs w:val="18"/>
              </w:rPr>
            </w:pPr>
            <w:r w:rsidRPr="00EC75B7">
              <w:rPr>
                <w:rFonts w:ascii="Verdana" w:hAnsi="Verdana"/>
                <w:spacing w:val="-2"/>
                <w:sz w:val="18"/>
                <w:szCs w:val="18"/>
              </w:rPr>
              <w:t>Average</w:t>
            </w:r>
          </w:p>
        </w:tc>
        <w:tc>
          <w:tcPr>
            <w:tcW w:w="1229" w:type="dxa"/>
          </w:tcPr>
          <w:p w14:paraId="51C0839D" w14:textId="77777777" w:rsidR="008715BE" w:rsidRPr="00EC75B7" w:rsidRDefault="00000000">
            <w:pPr>
              <w:pStyle w:val="TableParagraph"/>
              <w:spacing w:before="193"/>
              <w:ind w:left="103"/>
              <w:rPr>
                <w:rFonts w:ascii="Verdana" w:hAnsi="Verdana"/>
                <w:sz w:val="18"/>
                <w:szCs w:val="18"/>
              </w:rPr>
            </w:pPr>
            <w:r w:rsidRPr="00EC75B7">
              <w:rPr>
                <w:rFonts w:ascii="Verdana" w:hAnsi="Verdana"/>
                <w:spacing w:val="-2"/>
                <w:sz w:val="18"/>
                <w:szCs w:val="18"/>
              </w:rPr>
              <w:t>Intermittent</w:t>
            </w:r>
          </w:p>
        </w:tc>
        <w:tc>
          <w:tcPr>
            <w:tcW w:w="723" w:type="dxa"/>
          </w:tcPr>
          <w:p w14:paraId="6185F2B4" w14:textId="77777777" w:rsidR="008715BE" w:rsidRPr="00EC75B7" w:rsidRDefault="00000000">
            <w:pPr>
              <w:pStyle w:val="TableParagraph"/>
              <w:spacing w:before="193"/>
              <w:ind w:left="4"/>
              <w:jc w:val="center"/>
              <w:rPr>
                <w:rFonts w:ascii="Verdana" w:hAnsi="Verdana"/>
                <w:sz w:val="18"/>
                <w:szCs w:val="18"/>
              </w:rPr>
            </w:pPr>
            <w:r w:rsidRPr="00EC75B7">
              <w:rPr>
                <w:rFonts w:ascii="Verdana" w:hAnsi="Verdana"/>
                <w:spacing w:val="-2"/>
                <w:sz w:val="18"/>
                <w:szCs w:val="18"/>
              </w:rPr>
              <w:t>Local</w:t>
            </w:r>
          </w:p>
        </w:tc>
        <w:tc>
          <w:tcPr>
            <w:tcW w:w="1071" w:type="dxa"/>
          </w:tcPr>
          <w:p w14:paraId="6ABCC6F8"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Probable</w:t>
            </w:r>
          </w:p>
        </w:tc>
        <w:tc>
          <w:tcPr>
            <w:tcW w:w="1136" w:type="dxa"/>
          </w:tcPr>
          <w:p w14:paraId="672A014A"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Reversible</w:t>
            </w:r>
          </w:p>
        </w:tc>
        <w:tc>
          <w:tcPr>
            <w:tcW w:w="1541" w:type="dxa"/>
          </w:tcPr>
          <w:p w14:paraId="518074FC" w14:textId="77777777" w:rsidR="008715BE" w:rsidRPr="00EC75B7" w:rsidRDefault="00000000">
            <w:pPr>
              <w:pStyle w:val="TableParagraph"/>
              <w:spacing w:before="193"/>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4814C01D" w14:textId="77777777" w:rsidR="008715BE" w:rsidRPr="00EC75B7" w:rsidRDefault="00000000">
            <w:pPr>
              <w:pStyle w:val="TableParagraph"/>
              <w:ind w:left="101"/>
              <w:rPr>
                <w:rFonts w:ascii="Verdana" w:hAnsi="Verdana"/>
                <w:sz w:val="18"/>
                <w:szCs w:val="18"/>
              </w:rPr>
            </w:pPr>
            <w:r w:rsidRPr="00EC75B7">
              <w:rPr>
                <w:rFonts w:ascii="Verdana" w:hAnsi="Verdana"/>
                <w:sz w:val="18"/>
                <w:szCs w:val="18"/>
              </w:rPr>
              <w:t xml:space="preserve">The works are specific to energy infrastructure projects and are carried out on agricultural land. After completion of the works, </w:t>
            </w:r>
            <w:r w:rsidRPr="00EC75B7">
              <w:rPr>
                <w:rFonts w:ascii="Verdana" w:hAnsi="Verdana"/>
                <w:spacing w:val="-2"/>
                <w:sz w:val="18"/>
                <w:szCs w:val="18"/>
              </w:rPr>
              <w:t>the land</w:t>
            </w:r>
          </w:p>
          <w:p w14:paraId="5F1AE6D5" w14:textId="77777777" w:rsidR="008715BE" w:rsidRPr="00EC75B7" w:rsidRDefault="00000000">
            <w:pPr>
              <w:pStyle w:val="TableParagraph"/>
              <w:spacing w:line="173" w:lineRule="exact"/>
              <w:ind w:left="101"/>
              <w:rPr>
                <w:rFonts w:ascii="Verdana" w:hAnsi="Verdana"/>
                <w:sz w:val="18"/>
                <w:szCs w:val="18"/>
              </w:rPr>
            </w:pPr>
            <w:r w:rsidRPr="00EC75B7">
              <w:rPr>
                <w:rFonts w:ascii="Verdana" w:hAnsi="Verdana"/>
                <w:sz w:val="18"/>
                <w:szCs w:val="18"/>
              </w:rPr>
              <w:t xml:space="preserve">will be restored to its </w:t>
            </w:r>
            <w:r w:rsidRPr="00EC75B7">
              <w:rPr>
                <w:rFonts w:ascii="Verdana" w:hAnsi="Verdana"/>
                <w:spacing w:val="-2"/>
                <w:sz w:val="18"/>
                <w:szCs w:val="18"/>
              </w:rPr>
              <w:t xml:space="preserve">original </w:t>
            </w:r>
            <w:r w:rsidRPr="00EC75B7">
              <w:rPr>
                <w:rFonts w:ascii="Verdana" w:hAnsi="Verdana"/>
                <w:sz w:val="18"/>
                <w:szCs w:val="18"/>
              </w:rPr>
              <w:t>condition</w:t>
            </w:r>
            <w:r w:rsidRPr="00EC75B7">
              <w:rPr>
                <w:rFonts w:ascii="Verdana" w:hAnsi="Verdana"/>
                <w:spacing w:val="-2"/>
                <w:sz w:val="18"/>
                <w:szCs w:val="18"/>
              </w:rPr>
              <w:t>.</w:t>
            </w:r>
          </w:p>
        </w:tc>
      </w:tr>
      <w:tr w:rsidR="008715BE" w:rsidRPr="00EC75B7" w14:paraId="1599993E" w14:textId="77777777">
        <w:trPr>
          <w:trHeight w:val="585"/>
        </w:trPr>
        <w:tc>
          <w:tcPr>
            <w:tcW w:w="725" w:type="dxa"/>
            <w:vMerge/>
            <w:tcBorders>
              <w:top w:val="nil"/>
            </w:tcBorders>
            <w:textDirection w:val="btLr"/>
          </w:tcPr>
          <w:p w14:paraId="46320716" w14:textId="77777777" w:rsidR="008715BE" w:rsidRPr="00EC75B7" w:rsidRDefault="008715BE">
            <w:pPr>
              <w:rPr>
                <w:rFonts w:ascii="Verdana" w:hAnsi="Verdana"/>
                <w:sz w:val="18"/>
                <w:szCs w:val="18"/>
              </w:rPr>
            </w:pPr>
          </w:p>
        </w:tc>
        <w:tc>
          <w:tcPr>
            <w:tcW w:w="2864" w:type="dxa"/>
          </w:tcPr>
          <w:p w14:paraId="0846B841" w14:textId="77777777" w:rsidR="008715BE" w:rsidRPr="00EC75B7" w:rsidRDefault="00000000">
            <w:pPr>
              <w:pStyle w:val="TableParagraph"/>
              <w:spacing w:before="97"/>
              <w:ind w:left="105" w:right="60"/>
              <w:rPr>
                <w:rFonts w:ascii="Verdana" w:hAnsi="Verdana"/>
                <w:sz w:val="18"/>
                <w:szCs w:val="18"/>
              </w:rPr>
            </w:pPr>
            <w:r w:rsidRPr="00EC75B7">
              <w:rPr>
                <w:rFonts w:ascii="Verdana" w:hAnsi="Verdana"/>
                <w:spacing w:val="-2"/>
                <w:sz w:val="18"/>
                <w:szCs w:val="18"/>
              </w:rPr>
              <w:t xml:space="preserve">Construction </w:t>
            </w:r>
            <w:r w:rsidRPr="00EC75B7">
              <w:rPr>
                <w:rFonts w:ascii="Verdana" w:hAnsi="Verdana"/>
                <w:sz w:val="18"/>
                <w:szCs w:val="18"/>
              </w:rPr>
              <w:t xml:space="preserve">of </w:t>
            </w:r>
            <w:r w:rsidRPr="00EC75B7">
              <w:rPr>
                <w:rFonts w:ascii="Verdana" w:hAnsi="Verdana"/>
                <w:spacing w:val="-2"/>
                <w:sz w:val="18"/>
                <w:szCs w:val="18"/>
              </w:rPr>
              <w:t xml:space="preserve">access roads </w:t>
            </w:r>
            <w:r w:rsidRPr="00EC75B7">
              <w:rPr>
                <w:rFonts w:ascii="Verdana" w:hAnsi="Verdana"/>
                <w:sz w:val="18"/>
                <w:szCs w:val="18"/>
              </w:rPr>
              <w:t>and technological platforms</w:t>
            </w:r>
          </w:p>
        </w:tc>
        <w:tc>
          <w:tcPr>
            <w:tcW w:w="2319" w:type="dxa"/>
          </w:tcPr>
          <w:p w14:paraId="1C174040"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 xml:space="preserve">Introduction of </w:t>
            </w:r>
            <w:r w:rsidRPr="00EC75B7">
              <w:rPr>
                <w:rFonts w:ascii="Verdana" w:hAnsi="Verdana"/>
                <w:sz w:val="18"/>
                <w:szCs w:val="18"/>
              </w:rPr>
              <w:t xml:space="preserve">temporary </w:t>
            </w:r>
            <w:r w:rsidRPr="00EC75B7">
              <w:rPr>
                <w:rFonts w:ascii="Verdana" w:hAnsi="Verdana"/>
                <w:spacing w:val="-5"/>
                <w:sz w:val="18"/>
                <w:szCs w:val="18"/>
              </w:rPr>
              <w:t xml:space="preserve">and permanent </w:t>
            </w:r>
            <w:r w:rsidRPr="00EC75B7">
              <w:rPr>
                <w:rFonts w:ascii="Verdana" w:hAnsi="Verdana"/>
                <w:sz w:val="18"/>
                <w:szCs w:val="18"/>
              </w:rPr>
              <w:t>structural</w:t>
            </w:r>
            <w:r w:rsidRPr="00EC75B7">
              <w:rPr>
                <w:rFonts w:ascii="Verdana" w:hAnsi="Verdana"/>
                <w:spacing w:val="-2"/>
                <w:sz w:val="18"/>
                <w:szCs w:val="18"/>
              </w:rPr>
              <w:t xml:space="preserve"> elements</w:t>
            </w:r>
          </w:p>
          <w:p w14:paraId="4308984A"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pacing w:val="-2"/>
                <w:sz w:val="18"/>
                <w:szCs w:val="18"/>
              </w:rPr>
              <w:t>permanent</w:t>
            </w:r>
          </w:p>
        </w:tc>
        <w:tc>
          <w:tcPr>
            <w:tcW w:w="1901" w:type="dxa"/>
          </w:tcPr>
          <w:p w14:paraId="3BC71BD6"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 xml:space="preserve">Minor changes to </w:t>
            </w:r>
            <w:r w:rsidRPr="00EC75B7">
              <w:rPr>
                <w:rFonts w:ascii="Verdana" w:hAnsi="Verdana"/>
                <w:spacing w:val="-2"/>
                <w:sz w:val="18"/>
                <w:szCs w:val="18"/>
              </w:rPr>
              <w:t>the character</w:t>
            </w:r>
          </w:p>
          <w:p w14:paraId="6083A91F"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pacing w:val="-2"/>
                <w:sz w:val="18"/>
                <w:szCs w:val="18"/>
              </w:rPr>
              <w:t>landscape</w:t>
            </w:r>
          </w:p>
        </w:tc>
        <w:tc>
          <w:tcPr>
            <w:tcW w:w="924" w:type="dxa"/>
          </w:tcPr>
          <w:p w14:paraId="35FBF5EF" w14:textId="77777777" w:rsidR="008715BE" w:rsidRPr="00EC75B7" w:rsidRDefault="008715BE">
            <w:pPr>
              <w:pStyle w:val="TableParagraph"/>
              <w:rPr>
                <w:rFonts w:ascii="Verdana" w:hAnsi="Verdana"/>
                <w:b/>
                <w:sz w:val="18"/>
                <w:szCs w:val="18"/>
              </w:rPr>
            </w:pPr>
          </w:p>
          <w:p w14:paraId="1E16AC57" w14:textId="77777777" w:rsidR="008715BE" w:rsidRPr="00EC75B7" w:rsidRDefault="00000000">
            <w:pPr>
              <w:pStyle w:val="TableParagraph"/>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66DE4944" w14:textId="77777777" w:rsidR="008715BE" w:rsidRPr="00EC75B7" w:rsidRDefault="008715BE">
            <w:pPr>
              <w:pStyle w:val="TableParagraph"/>
              <w:rPr>
                <w:rFonts w:ascii="Verdana" w:hAnsi="Verdana"/>
                <w:b/>
                <w:sz w:val="18"/>
                <w:szCs w:val="18"/>
              </w:rPr>
            </w:pPr>
          </w:p>
          <w:p w14:paraId="78AD905D" w14:textId="77777777" w:rsidR="008715BE" w:rsidRPr="00EC75B7" w:rsidRDefault="00000000">
            <w:pPr>
              <w:pStyle w:val="TableParagraph"/>
              <w:ind w:left="10"/>
              <w:jc w:val="center"/>
              <w:rPr>
                <w:rFonts w:ascii="Verdana" w:hAnsi="Verdana"/>
                <w:sz w:val="18"/>
                <w:szCs w:val="18"/>
              </w:rPr>
            </w:pPr>
            <w:r w:rsidRPr="00EC75B7">
              <w:rPr>
                <w:rFonts w:ascii="Verdana" w:hAnsi="Verdana"/>
                <w:spacing w:val="-2"/>
                <w:sz w:val="18"/>
                <w:szCs w:val="18"/>
              </w:rPr>
              <w:t>Direct</w:t>
            </w:r>
          </w:p>
        </w:tc>
        <w:tc>
          <w:tcPr>
            <w:tcW w:w="437" w:type="dxa"/>
          </w:tcPr>
          <w:p w14:paraId="358837BF" w14:textId="77777777" w:rsidR="008715BE" w:rsidRPr="00EC75B7" w:rsidRDefault="008715BE">
            <w:pPr>
              <w:pStyle w:val="TableParagraph"/>
              <w:rPr>
                <w:rFonts w:ascii="Verdana" w:hAnsi="Verdana"/>
                <w:b/>
                <w:sz w:val="18"/>
                <w:szCs w:val="18"/>
              </w:rPr>
            </w:pPr>
          </w:p>
          <w:p w14:paraId="45CF6CE2" w14:textId="77777777" w:rsidR="008715BE" w:rsidRPr="00EC75B7" w:rsidRDefault="00000000">
            <w:pPr>
              <w:pStyle w:val="TableParagraph"/>
              <w:ind w:left="8"/>
              <w:jc w:val="center"/>
              <w:rPr>
                <w:rFonts w:ascii="Verdana" w:hAnsi="Verdana"/>
                <w:sz w:val="18"/>
                <w:szCs w:val="18"/>
              </w:rPr>
            </w:pPr>
            <w:r w:rsidRPr="00EC75B7">
              <w:rPr>
                <w:rFonts w:ascii="Verdana" w:hAnsi="Verdana"/>
                <w:spacing w:val="-5"/>
                <w:sz w:val="18"/>
                <w:szCs w:val="18"/>
              </w:rPr>
              <w:t>Yes</w:t>
            </w:r>
          </w:p>
        </w:tc>
        <w:tc>
          <w:tcPr>
            <w:tcW w:w="740" w:type="dxa"/>
          </w:tcPr>
          <w:p w14:paraId="4190F36B" w14:textId="77777777" w:rsidR="008715BE" w:rsidRPr="00EC75B7" w:rsidRDefault="008715BE">
            <w:pPr>
              <w:pStyle w:val="TableParagraph"/>
              <w:rPr>
                <w:rFonts w:ascii="Verdana" w:hAnsi="Verdana"/>
                <w:b/>
                <w:sz w:val="18"/>
                <w:szCs w:val="18"/>
              </w:rPr>
            </w:pPr>
          </w:p>
          <w:p w14:paraId="70D71720" w14:textId="77777777" w:rsidR="008715BE" w:rsidRPr="00EC75B7" w:rsidRDefault="00000000">
            <w:pPr>
              <w:pStyle w:val="TableParagraph"/>
              <w:ind w:left="18" w:right="45"/>
              <w:jc w:val="center"/>
              <w:rPr>
                <w:rFonts w:ascii="Verdana" w:hAnsi="Verdana"/>
                <w:sz w:val="18"/>
                <w:szCs w:val="18"/>
              </w:rPr>
            </w:pPr>
            <w:r w:rsidRPr="00EC75B7">
              <w:rPr>
                <w:rFonts w:ascii="Verdana" w:hAnsi="Verdana"/>
                <w:spacing w:val="-2"/>
                <w:sz w:val="18"/>
                <w:szCs w:val="18"/>
              </w:rPr>
              <w:t>Long</w:t>
            </w:r>
          </w:p>
        </w:tc>
        <w:tc>
          <w:tcPr>
            <w:tcW w:w="1229" w:type="dxa"/>
          </w:tcPr>
          <w:p w14:paraId="069F1CDE" w14:textId="77777777" w:rsidR="008715BE" w:rsidRPr="00EC75B7" w:rsidRDefault="008715BE">
            <w:pPr>
              <w:pStyle w:val="TableParagraph"/>
              <w:rPr>
                <w:rFonts w:ascii="Verdana" w:hAnsi="Verdana"/>
                <w:b/>
                <w:sz w:val="18"/>
                <w:szCs w:val="18"/>
              </w:rPr>
            </w:pPr>
          </w:p>
          <w:p w14:paraId="2123160A" w14:textId="77777777" w:rsidR="008715BE" w:rsidRPr="00EC75B7" w:rsidRDefault="00000000">
            <w:pPr>
              <w:pStyle w:val="TableParagraph"/>
              <w:ind w:left="103"/>
              <w:rPr>
                <w:rFonts w:ascii="Verdana" w:hAnsi="Verdana"/>
                <w:sz w:val="18"/>
                <w:szCs w:val="18"/>
              </w:rPr>
            </w:pPr>
            <w:r w:rsidRPr="00EC75B7">
              <w:rPr>
                <w:rFonts w:ascii="Verdana" w:hAnsi="Verdana"/>
                <w:spacing w:val="-4"/>
                <w:sz w:val="18"/>
                <w:szCs w:val="18"/>
              </w:rPr>
              <w:t>Single</w:t>
            </w:r>
          </w:p>
        </w:tc>
        <w:tc>
          <w:tcPr>
            <w:tcW w:w="723" w:type="dxa"/>
          </w:tcPr>
          <w:p w14:paraId="5A11499C" w14:textId="77777777" w:rsidR="008715BE" w:rsidRPr="00EC75B7" w:rsidRDefault="008715BE">
            <w:pPr>
              <w:pStyle w:val="TableParagraph"/>
              <w:rPr>
                <w:rFonts w:ascii="Verdana" w:hAnsi="Verdana"/>
                <w:b/>
                <w:sz w:val="18"/>
                <w:szCs w:val="18"/>
              </w:rPr>
            </w:pPr>
          </w:p>
          <w:p w14:paraId="6441C68D" w14:textId="77777777" w:rsidR="008715BE" w:rsidRPr="00EC75B7" w:rsidRDefault="00000000">
            <w:pPr>
              <w:pStyle w:val="TableParagraph"/>
              <w:ind w:left="4"/>
              <w:jc w:val="center"/>
              <w:rPr>
                <w:rFonts w:ascii="Verdana" w:hAnsi="Verdana"/>
                <w:sz w:val="18"/>
                <w:szCs w:val="18"/>
              </w:rPr>
            </w:pPr>
            <w:r w:rsidRPr="00EC75B7">
              <w:rPr>
                <w:rFonts w:ascii="Verdana" w:hAnsi="Verdana"/>
                <w:spacing w:val="-2"/>
                <w:sz w:val="18"/>
                <w:szCs w:val="18"/>
              </w:rPr>
              <w:t>Local</w:t>
            </w:r>
          </w:p>
        </w:tc>
        <w:tc>
          <w:tcPr>
            <w:tcW w:w="1071" w:type="dxa"/>
          </w:tcPr>
          <w:p w14:paraId="4A6B0A1B" w14:textId="77777777" w:rsidR="008715BE" w:rsidRPr="00EC75B7" w:rsidRDefault="008715BE">
            <w:pPr>
              <w:pStyle w:val="TableParagraph"/>
              <w:rPr>
                <w:rFonts w:ascii="Verdana" w:hAnsi="Verdana"/>
                <w:b/>
                <w:sz w:val="18"/>
                <w:szCs w:val="18"/>
              </w:rPr>
            </w:pPr>
          </w:p>
          <w:p w14:paraId="076F8375" w14:textId="77777777" w:rsidR="008715BE" w:rsidRPr="00EC75B7" w:rsidRDefault="00000000">
            <w:pPr>
              <w:pStyle w:val="TableParagraph"/>
              <w:ind w:left="105"/>
              <w:rPr>
                <w:rFonts w:ascii="Verdana" w:hAnsi="Verdana"/>
                <w:sz w:val="18"/>
                <w:szCs w:val="18"/>
              </w:rPr>
            </w:pPr>
            <w:r w:rsidRPr="00EC75B7">
              <w:rPr>
                <w:rFonts w:ascii="Verdana" w:hAnsi="Verdana"/>
                <w:spacing w:val="-2"/>
                <w:sz w:val="18"/>
                <w:szCs w:val="18"/>
              </w:rPr>
              <w:t>Probable</w:t>
            </w:r>
          </w:p>
        </w:tc>
        <w:tc>
          <w:tcPr>
            <w:tcW w:w="1136" w:type="dxa"/>
          </w:tcPr>
          <w:p w14:paraId="5C12C438" w14:textId="77777777" w:rsidR="008715BE" w:rsidRPr="00EC75B7" w:rsidRDefault="00000000">
            <w:pPr>
              <w:pStyle w:val="TableParagraph"/>
              <w:spacing w:before="97" w:line="195" w:lineRule="exact"/>
              <w:ind w:left="102"/>
              <w:rPr>
                <w:rFonts w:ascii="Verdana" w:hAnsi="Verdana"/>
                <w:sz w:val="18"/>
                <w:szCs w:val="18"/>
              </w:rPr>
            </w:pPr>
            <w:r w:rsidRPr="00EC75B7">
              <w:rPr>
                <w:rFonts w:ascii="Verdana" w:hAnsi="Verdana"/>
                <w:spacing w:val="-2"/>
                <w:sz w:val="18"/>
                <w:szCs w:val="18"/>
              </w:rPr>
              <w:t>Partial</w:t>
            </w:r>
          </w:p>
          <w:p w14:paraId="56FE7255" w14:textId="77777777" w:rsidR="008715BE" w:rsidRPr="00EC75B7" w:rsidRDefault="00000000">
            <w:pPr>
              <w:pStyle w:val="TableParagraph"/>
              <w:spacing w:line="195" w:lineRule="exact"/>
              <w:ind w:left="102"/>
              <w:rPr>
                <w:rFonts w:ascii="Verdana" w:hAnsi="Verdana"/>
                <w:sz w:val="18"/>
                <w:szCs w:val="18"/>
              </w:rPr>
            </w:pPr>
            <w:r w:rsidRPr="00EC75B7">
              <w:rPr>
                <w:rFonts w:ascii="Verdana" w:hAnsi="Verdana"/>
                <w:spacing w:val="-2"/>
                <w:sz w:val="18"/>
                <w:szCs w:val="18"/>
              </w:rPr>
              <w:t>Reversible</w:t>
            </w:r>
          </w:p>
        </w:tc>
        <w:tc>
          <w:tcPr>
            <w:tcW w:w="1541" w:type="dxa"/>
          </w:tcPr>
          <w:p w14:paraId="7A75067C" w14:textId="77777777" w:rsidR="008715BE" w:rsidRPr="00EC75B7" w:rsidRDefault="008715BE">
            <w:pPr>
              <w:pStyle w:val="TableParagraph"/>
              <w:rPr>
                <w:rFonts w:ascii="Verdana" w:hAnsi="Verdana"/>
                <w:b/>
                <w:sz w:val="18"/>
                <w:szCs w:val="18"/>
              </w:rPr>
            </w:pPr>
          </w:p>
          <w:p w14:paraId="7686BA8E" w14:textId="77777777" w:rsidR="008715BE" w:rsidRPr="00EC75B7" w:rsidRDefault="00000000">
            <w:pPr>
              <w:pStyle w:val="TableParagraph"/>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29AFCF00" w14:textId="77777777" w:rsidR="008715BE" w:rsidRPr="00EC75B7" w:rsidRDefault="00000000">
            <w:pPr>
              <w:pStyle w:val="TableParagraph"/>
              <w:spacing w:before="1" w:line="195" w:lineRule="exact"/>
              <w:ind w:left="101"/>
              <w:rPr>
                <w:rFonts w:ascii="Verdana" w:hAnsi="Verdana"/>
                <w:sz w:val="18"/>
                <w:szCs w:val="18"/>
              </w:rPr>
            </w:pPr>
            <w:r w:rsidRPr="00EC75B7">
              <w:rPr>
                <w:rFonts w:ascii="Verdana" w:hAnsi="Verdana"/>
                <w:sz w:val="18"/>
                <w:szCs w:val="18"/>
              </w:rPr>
              <w:t xml:space="preserve">Roads and platforms are located in an </w:t>
            </w:r>
            <w:r w:rsidRPr="00EC75B7">
              <w:rPr>
                <w:rFonts w:ascii="Verdana" w:hAnsi="Verdana"/>
                <w:spacing w:val="-4"/>
                <w:sz w:val="18"/>
                <w:szCs w:val="18"/>
              </w:rPr>
              <w:t xml:space="preserve">already anthropized </w:t>
            </w:r>
            <w:r w:rsidRPr="00EC75B7">
              <w:rPr>
                <w:rFonts w:ascii="Verdana" w:hAnsi="Verdana"/>
                <w:sz w:val="18"/>
                <w:szCs w:val="18"/>
              </w:rPr>
              <w:t>agricultural landscape</w:t>
            </w:r>
          </w:p>
          <w:p w14:paraId="58A4FEC0" w14:textId="77777777" w:rsidR="008715BE" w:rsidRPr="00EC75B7" w:rsidRDefault="00000000">
            <w:pPr>
              <w:pStyle w:val="TableParagraph"/>
              <w:spacing w:line="194" w:lineRule="exact"/>
              <w:ind w:left="101"/>
              <w:rPr>
                <w:rFonts w:ascii="Verdana" w:hAnsi="Verdana"/>
                <w:sz w:val="18"/>
                <w:szCs w:val="18"/>
              </w:rPr>
            </w:pPr>
            <w:r w:rsidRPr="00EC75B7">
              <w:rPr>
                <w:rFonts w:ascii="Verdana" w:hAnsi="Verdana"/>
                <w:sz w:val="18"/>
                <w:szCs w:val="18"/>
              </w:rPr>
              <w:t>anthropized agricultural landscape.</w:t>
            </w:r>
            <w:r w:rsidRPr="00EC75B7">
              <w:rPr>
                <w:rFonts w:ascii="Verdana" w:hAnsi="Verdana"/>
                <w:spacing w:val="31"/>
                <w:sz w:val="18"/>
                <w:szCs w:val="18"/>
              </w:rPr>
              <w:t xml:space="preserve">  </w:t>
            </w:r>
            <w:r w:rsidRPr="00EC75B7">
              <w:rPr>
                <w:rFonts w:ascii="Verdana" w:hAnsi="Verdana"/>
                <w:sz w:val="18"/>
                <w:szCs w:val="18"/>
              </w:rPr>
              <w:t xml:space="preserve"> Although</w:t>
            </w:r>
            <w:r w:rsidRPr="00EC75B7">
              <w:rPr>
                <w:rFonts w:ascii="Verdana" w:hAnsi="Verdana"/>
                <w:spacing w:val="31"/>
                <w:sz w:val="18"/>
                <w:szCs w:val="18"/>
              </w:rPr>
              <w:t xml:space="preserve">  </w:t>
            </w:r>
            <w:r w:rsidRPr="00EC75B7">
              <w:rPr>
                <w:rFonts w:ascii="Verdana" w:hAnsi="Verdana"/>
                <w:sz w:val="18"/>
                <w:szCs w:val="18"/>
              </w:rPr>
              <w:t xml:space="preserve"> some</w:t>
            </w:r>
            <w:r w:rsidRPr="00EC75B7">
              <w:rPr>
                <w:rFonts w:ascii="Verdana" w:hAnsi="Verdana"/>
                <w:spacing w:val="31"/>
                <w:sz w:val="18"/>
                <w:szCs w:val="18"/>
              </w:rPr>
              <w:t xml:space="preserve">  </w:t>
            </w:r>
            <w:r w:rsidRPr="00EC75B7">
              <w:rPr>
                <w:rFonts w:ascii="Verdana" w:hAnsi="Verdana"/>
                <w:sz w:val="18"/>
                <w:szCs w:val="18"/>
              </w:rPr>
              <w:t xml:space="preserve"> elements</w:t>
            </w:r>
            <w:r w:rsidRPr="00EC75B7">
              <w:rPr>
                <w:rFonts w:ascii="Verdana" w:hAnsi="Verdana"/>
                <w:spacing w:val="32"/>
                <w:sz w:val="18"/>
                <w:szCs w:val="18"/>
              </w:rPr>
              <w:t xml:space="preserve">  </w:t>
            </w:r>
            <w:r w:rsidRPr="00EC75B7">
              <w:rPr>
                <w:rFonts w:ascii="Verdana" w:hAnsi="Verdana"/>
                <w:sz w:val="18"/>
                <w:szCs w:val="18"/>
              </w:rPr>
              <w:t xml:space="preserve"> are</w:t>
            </w:r>
            <w:r w:rsidRPr="00EC75B7">
              <w:rPr>
                <w:rFonts w:ascii="Verdana" w:hAnsi="Verdana"/>
                <w:spacing w:val="32"/>
                <w:sz w:val="18"/>
                <w:szCs w:val="18"/>
              </w:rPr>
              <w:t xml:space="preserve">  </w:t>
            </w:r>
            <w:r w:rsidRPr="00EC75B7">
              <w:rPr>
                <w:rFonts w:ascii="Verdana" w:hAnsi="Verdana"/>
                <w:sz w:val="18"/>
                <w:szCs w:val="18"/>
              </w:rPr>
              <w:t xml:space="preserve"> permanent,</w:t>
            </w:r>
            <w:r w:rsidRPr="00EC75B7">
              <w:rPr>
                <w:rFonts w:ascii="Verdana" w:hAnsi="Verdana"/>
                <w:spacing w:val="31"/>
                <w:sz w:val="18"/>
                <w:szCs w:val="18"/>
              </w:rPr>
              <w:t xml:space="preserve">  </w:t>
            </w:r>
            <w:r w:rsidRPr="00EC75B7">
              <w:rPr>
                <w:rFonts w:ascii="Verdana" w:hAnsi="Verdana"/>
                <w:sz w:val="18"/>
                <w:szCs w:val="18"/>
              </w:rPr>
              <w:t xml:space="preserve"> they</w:t>
            </w:r>
            <w:r w:rsidRPr="00EC75B7">
              <w:rPr>
                <w:rFonts w:ascii="Verdana" w:hAnsi="Verdana"/>
                <w:spacing w:val="31"/>
                <w:sz w:val="18"/>
                <w:szCs w:val="18"/>
              </w:rPr>
              <w:t xml:space="preserve">  </w:t>
            </w:r>
            <w:r w:rsidRPr="00EC75B7">
              <w:rPr>
                <w:rFonts w:ascii="Verdana" w:hAnsi="Verdana"/>
                <w:spacing w:val="-5"/>
                <w:sz w:val="18"/>
                <w:szCs w:val="18"/>
              </w:rPr>
              <w:t xml:space="preserve"> do not</w:t>
            </w:r>
          </w:p>
          <w:p w14:paraId="4CCDFE17" w14:textId="77777777" w:rsidR="008715BE" w:rsidRPr="00EC75B7" w:rsidRDefault="00000000">
            <w:pPr>
              <w:pStyle w:val="TableParagraph"/>
              <w:spacing w:line="174" w:lineRule="exact"/>
              <w:ind w:left="101"/>
              <w:rPr>
                <w:rFonts w:ascii="Verdana" w:hAnsi="Verdana"/>
                <w:sz w:val="18"/>
                <w:szCs w:val="18"/>
              </w:rPr>
            </w:pPr>
            <w:r w:rsidRPr="00EC75B7">
              <w:rPr>
                <w:rFonts w:ascii="Verdana" w:hAnsi="Verdana"/>
                <w:sz w:val="18"/>
                <w:szCs w:val="18"/>
              </w:rPr>
              <w:t xml:space="preserve">fundamentally change the character of the </w:t>
            </w:r>
            <w:r w:rsidRPr="00EC75B7">
              <w:rPr>
                <w:rFonts w:ascii="Verdana" w:hAnsi="Verdana"/>
                <w:spacing w:val="-2"/>
                <w:sz w:val="18"/>
                <w:szCs w:val="18"/>
              </w:rPr>
              <w:t xml:space="preserve">local </w:t>
            </w:r>
            <w:r w:rsidRPr="00EC75B7">
              <w:rPr>
                <w:rFonts w:ascii="Verdana" w:hAnsi="Verdana"/>
                <w:sz w:val="18"/>
                <w:szCs w:val="18"/>
              </w:rPr>
              <w:t>landscape</w:t>
            </w:r>
            <w:r w:rsidRPr="00EC75B7">
              <w:rPr>
                <w:rFonts w:ascii="Verdana" w:hAnsi="Verdana"/>
                <w:spacing w:val="-2"/>
                <w:sz w:val="18"/>
                <w:szCs w:val="18"/>
              </w:rPr>
              <w:t>.</w:t>
            </w:r>
          </w:p>
        </w:tc>
      </w:tr>
      <w:tr w:rsidR="008715BE" w:rsidRPr="00EC75B7" w14:paraId="77558800" w14:textId="77777777">
        <w:trPr>
          <w:trHeight w:val="583"/>
        </w:trPr>
        <w:tc>
          <w:tcPr>
            <w:tcW w:w="725" w:type="dxa"/>
            <w:vMerge/>
            <w:tcBorders>
              <w:top w:val="nil"/>
            </w:tcBorders>
            <w:textDirection w:val="btLr"/>
          </w:tcPr>
          <w:p w14:paraId="40988DAE" w14:textId="77777777" w:rsidR="008715BE" w:rsidRPr="00EC75B7" w:rsidRDefault="008715BE">
            <w:pPr>
              <w:rPr>
                <w:rFonts w:ascii="Verdana" w:hAnsi="Verdana"/>
                <w:sz w:val="18"/>
                <w:szCs w:val="18"/>
              </w:rPr>
            </w:pPr>
          </w:p>
        </w:tc>
        <w:tc>
          <w:tcPr>
            <w:tcW w:w="2864" w:type="dxa"/>
          </w:tcPr>
          <w:p w14:paraId="378021DB" w14:textId="77777777" w:rsidR="008715BE" w:rsidRPr="00EC75B7" w:rsidRDefault="00000000">
            <w:pPr>
              <w:pStyle w:val="TableParagraph"/>
              <w:spacing w:before="96"/>
              <w:ind w:left="105"/>
              <w:rPr>
                <w:rFonts w:ascii="Verdana" w:hAnsi="Verdana"/>
                <w:sz w:val="18"/>
                <w:szCs w:val="18"/>
              </w:rPr>
            </w:pPr>
            <w:r w:rsidRPr="00EC75B7">
              <w:rPr>
                <w:rFonts w:ascii="Verdana" w:hAnsi="Verdana"/>
                <w:sz w:val="18"/>
                <w:szCs w:val="18"/>
              </w:rPr>
              <w:t xml:space="preserve">The construction of </w:t>
            </w:r>
            <w:r w:rsidRPr="00EC75B7">
              <w:rPr>
                <w:rFonts w:ascii="Verdana" w:hAnsi="Verdana"/>
                <w:spacing w:val="-2"/>
                <w:sz w:val="18"/>
                <w:szCs w:val="18"/>
              </w:rPr>
              <w:t>wind</w:t>
            </w:r>
            <w:r w:rsidRPr="00EC75B7">
              <w:rPr>
                <w:rFonts w:ascii="Verdana" w:hAnsi="Verdana"/>
                <w:sz w:val="18"/>
                <w:szCs w:val="18"/>
              </w:rPr>
              <w:t xml:space="preserve"> turbine foundations</w:t>
            </w:r>
          </w:p>
        </w:tc>
        <w:tc>
          <w:tcPr>
            <w:tcW w:w="2319" w:type="dxa"/>
          </w:tcPr>
          <w:p w14:paraId="499F99A3" w14:textId="77777777" w:rsidR="008715BE" w:rsidRPr="00EC75B7" w:rsidRDefault="00000000">
            <w:pPr>
              <w:pStyle w:val="TableParagraph"/>
              <w:spacing w:before="96" w:line="195" w:lineRule="exact"/>
              <w:ind w:left="107"/>
              <w:rPr>
                <w:rFonts w:ascii="Verdana" w:hAnsi="Verdana"/>
                <w:sz w:val="18"/>
                <w:szCs w:val="18"/>
              </w:rPr>
            </w:pPr>
            <w:r w:rsidRPr="00EC75B7">
              <w:rPr>
                <w:rFonts w:ascii="Verdana" w:hAnsi="Verdana"/>
                <w:sz w:val="18"/>
                <w:szCs w:val="18"/>
              </w:rPr>
              <w:t>Artificialization</w:t>
            </w:r>
            <w:r w:rsidRPr="00EC75B7">
              <w:rPr>
                <w:rFonts w:ascii="Verdana" w:hAnsi="Verdana"/>
                <w:spacing w:val="53"/>
                <w:sz w:val="18"/>
                <w:szCs w:val="18"/>
              </w:rPr>
              <w:t xml:space="preserve">  </w:t>
            </w:r>
            <w:r w:rsidRPr="00EC75B7">
              <w:rPr>
                <w:rFonts w:ascii="Verdana" w:hAnsi="Verdana"/>
                <w:spacing w:val="-2"/>
                <w:sz w:val="18"/>
                <w:szCs w:val="18"/>
              </w:rPr>
              <w:t xml:space="preserve"> </w:t>
            </w:r>
          </w:p>
          <w:p w14:paraId="0AD5DC3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the land</w:t>
            </w:r>
          </w:p>
        </w:tc>
        <w:tc>
          <w:tcPr>
            <w:tcW w:w="1901" w:type="dxa"/>
          </w:tcPr>
          <w:p w14:paraId="496D9680" w14:textId="77777777" w:rsidR="008715BE" w:rsidRPr="00EC75B7" w:rsidRDefault="00000000">
            <w:pPr>
              <w:pStyle w:val="TableParagraph"/>
              <w:spacing w:before="96" w:line="195" w:lineRule="exact"/>
              <w:ind w:left="107"/>
              <w:rPr>
                <w:rFonts w:ascii="Verdana" w:hAnsi="Verdana"/>
                <w:sz w:val="18"/>
                <w:szCs w:val="18"/>
              </w:rPr>
            </w:pPr>
            <w:r w:rsidRPr="00EC75B7">
              <w:rPr>
                <w:rFonts w:ascii="Verdana" w:hAnsi="Verdana"/>
                <w:sz w:val="18"/>
                <w:szCs w:val="18"/>
              </w:rPr>
              <w:t>Local</w:t>
            </w:r>
            <w:r w:rsidRPr="00EC75B7">
              <w:rPr>
                <w:rFonts w:ascii="Verdana" w:hAnsi="Verdana"/>
                <w:spacing w:val="24"/>
                <w:sz w:val="18"/>
                <w:szCs w:val="18"/>
              </w:rPr>
              <w:t xml:space="preserve">  </w:t>
            </w:r>
            <w:r w:rsidRPr="00EC75B7">
              <w:rPr>
                <w:rFonts w:ascii="Verdana" w:hAnsi="Verdana"/>
                <w:sz w:val="18"/>
                <w:szCs w:val="18"/>
              </w:rPr>
              <w:t xml:space="preserve"> modification</w:t>
            </w:r>
            <w:r w:rsidRPr="00EC75B7">
              <w:rPr>
                <w:rFonts w:ascii="Verdana" w:hAnsi="Verdana"/>
                <w:spacing w:val="26"/>
                <w:sz w:val="18"/>
                <w:szCs w:val="18"/>
              </w:rPr>
              <w:t xml:space="preserve">  </w:t>
            </w:r>
            <w:r w:rsidRPr="00EC75B7">
              <w:rPr>
                <w:rFonts w:ascii="Verdana" w:hAnsi="Verdana"/>
                <w:spacing w:val="-10"/>
                <w:sz w:val="18"/>
                <w:szCs w:val="18"/>
              </w:rPr>
              <w:t xml:space="preserve"> of</w:t>
            </w:r>
          </w:p>
          <w:p w14:paraId="0C337DA7"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the landscape</w:t>
            </w:r>
          </w:p>
        </w:tc>
        <w:tc>
          <w:tcPr>
            <w:tcW w:w="924" w:type="dxa"/>
          </w:tcPr>
          <w:p w14:paraId="2E681848" w14:textId="77777777" w:rsidR="008715BE" w:rsidRPr="00EC75B7" w:rsidRDefault="00000000">
            <w:pPr>
              <w:pStyle w:val="TableParagraph"/>
              <w:spacing w:before="194"/>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6A7846DD" w14:textId="77777777" w:rsidR="008715BE" w:rsidRPr="00EC75B7" w:rsidRDefault="00000000">
            <w:pPr>
              <w:pStyle w:val="TableParagraph"/>
              <w:spacing w:before="194"/>
              <w:ind w:left="10"/>
              <w:jc w:val="center"/>
              <w:rPr>
                <w:rFonts w:ascii="Verdana" w:hAnsi="Verdana"/>
                <w:sz w:val="18"/>
                <w:szCs w:val="18"/>
              </w:rPr>
            </w:pPr>
            <w:r w:rsidRPr="00EC75B7">
              <w:rPr>
                <w:rFonts w:ascii="Verdana" w:hAnsi="Verdana"/>
                <w:spacing w:val="-2"/>
                <w:sz w:val="18"/>
                <w:szCs w:val="18"/>
              </w:rPr>
              <w:t>Direct</w:t>
            </w:r>
          </w:p>
        </w:tc>
        <w:tc>
          <w:tcPr>
            <w:tcW w:w="437" w:type="dxa"/>
          </w:tcPr>
          <w:p w14:paraId="23437BC8" w14:textId="77777777" w:rsidR="008715BE" w:rsidRPr="00EC75B7" w:rsidRDefault="00000000">
            <w:pPr>
              <w:pStyle w:val="TableParagraph"/>
              <w:spacing w:before="194"/>
              <w:ind w:left="8"/>
              <w:jc w:val="center"/>
              <w:rPr>
                <w:rFonts w:ascii="Verdana" w:hAnsi="Verdana"/>
                <w:sz w:val="18"/>
                <w:szCs w:val="18"/>
              </w:rPr>
            </w:pPr>
            <w:r w:rsidRPr="00EC75B7">
              <w:rPr>
                <w:rFonts w:ascii="Verdana" w:hAnsi="Verdana"/>
                <w:spacing w:val="-5"/>
                <w:sz w:val="18"/>
                <w:szCs w:val="18"/>
              </w:rPr>
              <w:t>Yes</w:t>
            </w:r>
          </w:p>
        </w:tc>
        <w:tc>
          <w:tcPr>
            <w:tcW w:w="740" w:type="dxa"/>
          </w:tcPr>
          <w:p w14:paraId="6EF065EB" w14:textId="77777777" w:rsidR="008715BE" w:rsidRPr="00EC75B7" w:rsidRDefault="00000000">
            <w:pPr>
              <w:pStyle w:val="TableParagraph"/>
              <w:spacing w:before="194"/>
              <w:ind w:left="18" w:right="45"/>
              <w:jc w:val="center"/>
              <w:rPr>
                <w:rFonts w:ascii="Verdana" w:hAnsi="Verdana"/>
                <w:sz w:val="18"/>
                <w:szCs w:val="18"/>
              </w:rPr>
            </w:pPr>
            <w:r w:rsidRPr="00EC75B7">
              <w:rPr>
                <w:rFonts w:ascii="Verdana" w:hAnsi="Verdana"/>
                <w:spacing w:val="-2"/>
                <w:sz w:val="18"/>
                <w:szCs w:val="18"/>
              </w:rPr>
              <w:t>Long</w:t>
            </w:r>
          </w:p>
        </w:tc>
        <w:tc>
          <w:tcPr>
            <w:tcW w:w="1229" w:type="dxa"/>
          </w:tcPr>
          <w:p w14:paraId="1782E667" w14:textId="77777777" w:rsidR="008715BE" w:rsidRPr="00EC75B7" w:rsidRDefault="00000000">
            <w:pPr>
              <w:pStyle w:val="TableParagraph"/>
              <w:spacing w:before="194"/>
              <w:ind w:left="103"/>
              <w:rPr>
                <w:rFonts w:ascii="Verdana" w:hAnsi="Verdana"/>
                <w:sz w:val="18"/>
                <w:szCs w:val="18"/>
              </w:rPr>
            </w:pPr>
            <w:r w:rsidRPr="00EC75B7">
              <w:rPr>
                <w:rFonts w:ascii="Verdana" w:hAnsi="Verdana"/>
                <w:spacing w:val="-4"/>
                <w:sz w:val="18"/>
                <w:szCs w:val="18"/>
              </w:rPr>
              <w:t>Single</w:t>
            </w:r>
          </w:p>
        </w:tc>
        <w:tc>
          <w:tcPr>
            <w:tcW w:w="723" w:type="dxa"/>
          </w:tcPr>
          <w:p w14:paraId="13CDC4FA" w14:textId="77777777" w:rsidR="008715BE" w:rsidRPr="00EC75B7" w:rsidRDefault="00000000">
            <w:pPr>
              <w:pStyle w:val="TableParagraph"/>
              <w:spacing w:before="194"/>
              <w:ind w:left="4"/>
              <w:jc w:val="center"/>
              <w:rPr>
                <w:rFonts w:ascii="Verdana" w:hAnsi="Verdana"/>
                <w:sz w:val="18"/>
                <w:szCs w:val="18"/>
              </w:rPr>
            </w:pPr>
            <w:r w:rsidRPr="00EC75B7">
              <w:rPr>
                <w:rFonts w:ascii="Verdana" w:hAnsi="Verdana"/>
                <w:spacing w:val="-2"/>
                <w:sz w:val="18"/>
                <w:szCs w:val="18"/>
              </w:rPr>
              <w:t>Local</w:t>
            </w:r>
          </w:p>
        </w:tc>
        <w:tc>
          <w:tcPr>
            <w:tcW w:w="1071" w:type="dxa"/>
          </w:tcPr>
          <w:p w14:paraId="580A7034" w14:textId="77777777" w:rsidR="008715BE" w:rsidRPr="00EC75B7" w:rsidRDefault="00000000">
            <w:pPr>
              <w:pStyle w:val="TableParagraph"/>
              <w:spacing w:before="194"/>
              <w:ind w:left="105"/>
              <w:rPr>
                <w:rFonts w:ascii="Verdana" w:hAnsi="Verdana"/>
                <w:sz w:val="18"/>
                <w:szCs w:val="18"/>
              </w:rPr>
            </w:pPr>
            <w:r w:rsidRPr="00EC75B7">
              <w:rPr>
                <w:rFonts w:ascii="Verdana" w:hAnsi="Verdana"/>
                <w:spacing w:val="-2"/>
                <w:sz w:val="18"/>
                <w:szCs w:val="18"/>
              </w:rPr>
              <w:t>Probable</w:t>
            </w:r>
          </w:p>
        </w:tc>
        <w:tc>
          <w:tcPr>
            <w:tcW w:w="1136" w:type="dxa"/>
          </w:tcPr>
          <w:p w14:paraId="237F5C60" w14:textId="77777777" w:rsidR="008715BE" w:rsidRPr="00EC75B7" w:rsidRDefault="00000000">
            <w:pPr>
              <w:pStyle w:val="TableParagraph"/>
              <w:spacing w:before="194"/>
              <w:ind w:left="102"/>
              <w:rPr>
                <w:rFonts w:ascii="Verdana" w:hAnsi="Verdana"/>
                <w:sz w:val="18"/>
                <w:szCs w:val="18"/>
              </w:rPr>
            </w:pPr>
            <w:r w:rsidRPr="00EC75B7">
              <w:rPr>
                <w:rFonts w:ascii="Verdana" w:hAnsi="Verdana"/>
                <w:spacing w:val="-2"/>
                <w:sz w:val="18"/>
                <w:szCs w:val="18"/>
              </w:rPr>
              <w:t>Irreversible</w:t>
            </w:r>
          </w:p>
        </w:tc>
        <w:tc>
          <w:tcPr>
            <w:tcW w:w="1541" w:type="dxa"/>
          </w:tcPr>
          <w:p w14:paraId="68078E69" w14:textId="77777777" w:rsidR="008715BE" w:rsidRPr="00EC75B7" w:rsidRDefault="00000000">
            <w:pPr>
              <w:pStyle w:val="TableParagraph"/>
              <w:spacing w:before="194"/>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04EF538D" w14:textId="77777777" w:rsidR="008715BE" w:rsidRPr="00EC75B7" w:rsidRDefault="00000000">
            <w:pPr>
              <w:pStyle w:val="TableParagraph"/>
              <w:ind w:left="101"/>
              <w:rPr>
                <w:rFonts w:ascii="Verdana" w:hAnsi="Verdana"/>
                <w:sz w:val="18"/>
                <w:szCs w:val="18"/>
              </w:rPr>
            </w:pPr>
            <w:r w:rsidRPr="00EC75B7">
              <w:rPr>
                <w:rFonts w:ascii="Verdana" w:hAnsi="Verdana"/>
                <w:sz w:val="18"/>
                <w:szCs w:val="18"/>
              </w:rPr>
              <w:t xml:space="preserve">The foundations occupy a small area in relation to the total area of the project and are located within a </w:t>
            </w:r>
            <w:r w:rsidRPr="00EC75B7">
              <w:rPr>
                <w:rFonts w:ascii="Verdana" w:hAnsi="Verdana"/>
                <w:spacing w:val="-2"/>
                <w:sz w:val="18"/>
                <w:szCs w:val="18"/>
              </w:rPr>
              <w:t xml:space="preserve">large </w:t>
            </w:r>
            <w:r w:rsidRPr="00EC75B7">
              <w:rPr>
                <w:rFonts w:ascii="Verdana" w:hAnsi="Verdana"/>
                <w:sz w:val="18"/>
                <w:szCs w:val="18"/>
              </w:rPr>
              <w:t>agricultural landscape</w:t>
            </w:r>
            <w:r w:rsidRPr="00EC75B7">
              <w:rPr>
                <w:rFonts w:ascii="Verdana" w:hAnsi="Verdana"/>
                <w:spacing w:val="-2"/>
                <w:sz w:val="18"/>
                <w:szCs w:val="18"/>
              </w:rPr>
              <w:t>.</w:t>
            </w:r>
          </w:p>
          <w:p w14:paraId="6C64EFEF" w14:textId="77777777" w:rsidR="008715BE" w:rsidRPr="00EC75B7" w:rsidRDefault="00000000">
            <w:pPr>
              <w:pStyle w:val="TableParagraph"/>
              <w:spacing w:line="174" w:lineRule="exact"/>
              <w:ind w:left="101"/>
              <w:rPr>
                <w:rFonts w:ascii="Verdana" w:hAnsi="Verdana"/>
                <w:sz w:val="18"/>
                <w:szCs w:val="18"/>
              </w:rPr>
            </w:pPr>
            <w:r w:rsidRPr="00EC75B7">
              <w:rPr>
                <w:rFonts w:ascii="Verdana" w:hAnsi="Verdana"/>
                <w:sz w:val="18"/>
                <w:szCs w:val="18"/>
              </w:rPr>
              <w:t xml:space="preserve">without </w:t>
            </w:r>
            <w:r w:rsidRPr="00EC75B7">
              <w:rPr>
                <w:rFonts w:ascii="Verdana" w:hAnsi="Verdana"/>
                <w:spacing w:val="-2"/>
                <w:sz w:val="18"/>
                <w:szCs w:val="18"/>
              </w:rPr>
              <w:t xml:space="preserve">high </w:t>
            </w:r>
            <w:r w:rsidRPr="00EC75B7">
              <w:rPr>
                <w:rFonts w:ascii="Verdana" w:hAnsi="Verdana"/>
                <w:sz w:val="18"/>
                <w:szCs w:val="18"/>
              </w:rPr>
              <w:t>landscape value</w:t>
            </w:r>
            <w:r w:rsidRPr="00EC75B7">
              <w:rPr>
                <w:rFonts w:ascii="Verdana" w:hAnsi="Verdana"/>
                <w:spacing w:val="-2"/>
                <w:sz w:val="18"/>
                <w:szCs w:val="18"/>
              </w:rPr>
              <w:t>.</w:t>
            </w:r>
          </w:p>
        </w:tc>
      </w:tr>
      <w:tr w:rsidR="008715BE" w:rsidRPr="00EC75B7" w14:paraId="2464C3CB" w14:textId="77777777">
        <w:trPr>
          <w:trHeight w:val="582"/>
        </w:trPr>
        <w:tc>
          <w:tcPr>
            <w:tcW w:w="725" w:type="dxa"/>
            <w:vMerge/>
            <w:tcBorders>
              <w:top w:val="nil"/>
            </w:tcBorders>
            <w:textDirection w:val="btLr"/>
          </w:tcPr>
          <w:p w14:paraId="274F62A9" w14:textId="77777777" w:rsidR="008715BE" w:rsidRPr="00EC75B7" w:rsidRDefault="008715BE">
            <w:pPr>
              <w:rPr>
                <w:rFonts w:ascii="Verdana" w:hAnsi="Verdana"/>
                <w:sz w:val="18"/>
                <w:szCs w:val="18"/>
              </w:rPr>
            </w:pPr>
          </w:p>
        </w:tc>
        <w:tc>
          <w:tcPr>
            <w:tcW w:w="2864" w:type="dxa"/>
          </w:tcPr>
          <w:p w14:paraId="2B88AE36" w14:textId="77777777" w:rsidR="008715BE" w:rsidRPr="00EC75B7" w:rsidRDefault="00000000">
            <w:pPr>
              <w:pStyle w:val="TableParagraph"/>
              <w:spacing w:before="97"/>
              <w:ind w:left="105"/>
              <w:rPr>
                <w:rFonts w:ascii="Verdana" w:hAnsi="Verdana"/>
                <w:sz w:val="18"/>
                <w:szCs w:val="18"/>
              </w:rPr>
            </w:pPr>
            <w:r w:rsidRPr="00EC75B7">
              <w:rPr>
                <w:rFonts w:ascii="Verdana" w:hAnsi="Verdana"/>
                <w:sz w:val="18"/>
                <w:szCs w:val="18"/>
              </w:rPr>
              <w:t xml:space="preserve">Construction site traffic and </w:t>
            </w:r>
            <w:r w:rsidRPr="00EC75B7">
              <w:rPr>
                <w:rFonts w:ascii="Verdana" w:hAnsi="Verdana"/>
                <w:spacing w:val="-2"/>
                <w:sz w:val="18"/>
                <w:szCs w:val="18"/>
              </w:rPr>
              <w:t>material</w:t>
            </w:r>
            <w:r w:rsidRPr="00EC75B7">
              <w:rPr>
                <w:rFonts w:ascii="Verdana" w:hAnsi="Verdana"/>
                <w:sz w:val="18"/>
                <w:szCs w:val="18"/>
              </w:rPr>
              <w:t xml:space="preserve"> transport</w:t>
            </w:r>
          </w:p>
        </w:tc>
        <w:tc>
          <w:tcPr>
            <w:tcW w:w="2319" w:type="dxa"/>
          </w:tcPr>
          <w:p w14:paraId="359005AA" w14:textId="77777777" w:rsidR="008715BE" w:rsidRPr="00EC75B7" w:rsidRDefault="00000000">
            <w:pPr>
              <w:pStyle w:val="TableParagraph"/>
              <w:tabs>
                <w:tab w:val="left" w:pos="1093"/>
                <w:tab w:val="left" w:pos="2083"/>
              </w:tabs>
              <w:spacing w:before="97" w:line="195" w:lineRule="exact"/>
              <w:ind w:left="107"/>
              <w:rPr>
                <w:rFonts w:ascii="Verdana" w:hAnsi="Verdana"/>
                <w:sz w:val="18"/>
                <w:szCs w:val="18"/>
              </w:rPr>
            </w:pPr>
            <w:r w:rsidRPr="00EC75B7">
              <w:rPr>
                <w:rFonts w:ascii="Verdana" w:hAnsi="Verdana"/>
                <w:spacing w:val="-2"/>
                <w:sz w:val="18"/>
                <w:szCs w:val="18"/>
              </w:rPr>
              <w:t>The presence</w:t>
            </w:r>
            <w:r w:rsidRPr="00EC75B7">
              <w:rPr>
                <w:rFonts w:ascii="Verdana" w:hAnsi="Verdana"/>
                <w:sz w:val="18"/>
                <w:szCs w:val="18"/>
              </w:rPr>
              <w:tab/>
            </w:r>
            <w:r w:rsidRPr="00EC75B7">
              <w:rPr>
                <w:rFonts w:ascii="Verdana" w:hAnsi="Verdana"/>
                <w:spacing w:val="-2"/>
                <w:sz w:val="18"/>
                <w:szCs w:val="18"/>
              </w:rPr>
              <w:t>machinery</w:t>
            </w:r>
            <w:r w:rsidRPr="00EC75B7">
              <w:rPr>
                <w:rFonts w:ascii="Verdana" w:hAnsi="Verdana"/>
                <w:sz w:val="18"/>
                <w:szCs w:val="18"/>
              </w:rPr>
              <w:tab/>
            </w:r>
            <w:r w:rsidRPr="00EC75B7">
              <w:rPr>
                <w:rFonts w:ascii="Verdana" w:hAnsi="Verdana"/>
                <w:spacing w:val="-5"/>
                <w:sz w:val="18"/>
                <w:szCs w:val="18"/>
              </w:rPr>
              <w:t>and</w:t>
            </w:r>
          </w:p>
          <w:p w14:paraId="71361F8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4"/>
                <w:sz w:val="18"/>
                <w:szCs w:val="18"/>
              </w:rPr>
              <w:t xml:space="preserve">heavy </w:t>
            </w:r>
            <w:r w:rsidRPr="00EC75B7">
              <w:rPr>
                <w:rFonts w:ascii="Verdana" w:hAnsi="Verdana"/>
                <w:sz w:val="18"/>
                <w:szCs w:val="18"/>
              </w:rPr>
              <w:t>vehicles</w:t>
            </w:r>
          </w:p>
        </w:tc>
        <w:tc>
          <w:tcPr>
            <w:tcW w:w="1901" w:type="dxa"/>
          </w:tcPr>
          <w:p w14:paraId="44635C0C"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2"/>
                <w:sz w:val="18"/>
                <w:szCs w:val="18"/>
              </w:rPr>
              <w:t>Temporary</w:t>
            </w:r>
          </w:p>
          <w:p w14:paraId="32CF1D9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temporary reduction in </w:t>
            </w:r>
            <w:r w:rsidRPr="00EC75B7">
              <w:rPr>
                <w:rFonts w:ascii="Verdana" w:hAnsi="Verdana"/>
                <w:spacing w:val="-2"/>
                <w:sz w:val="18"/>
                <w:szCs w:val="18"/>
              </w:rPr>
              <w:t>the aesthetic value</w:t>
            </w:r>
          </w:p>
          <w:p w14:paraId="4EAEEC8B"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z w:val="18"/>
                <w:szCs w:val="18"/>
              </w:rPr>
              <w:t xml:space="preserve">aesthetic value of </w:t>
            </w:r>
            <w:r w:rsidRPr="00EC75B7">
              <w:rPr>
                <w:rFonts w:ascii="Verdana" w:hAnsi="Verdana"/>
                <w:spacing w:val="-2"/>
                <w:sz w:val="18"/>
                <w:szCs w:val="18"/>
              </w:rPr>
              <w:t>the landscape</w:t>
            </w:r>
          </w:p>
        </w:tc>
        <w:tc>
          <w:tcPr>
            <w:tcW w:w="924" w:type="dxa"/>
          </w:tcPr>
          <w:p w14:paraId="27B55D4D" w14:textId="77777777" w:rsidR="008715BE" w:rsidRPr="00EC75B7" w:rsidRDefault="00000000">
            <w:pPr>
              <w:pStyle w:val="TableParagraph"/>
              <w:spacing w:before="193"/>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73C90D6A" w14:textId="77777777" w:rsidR="008715BE" w:rsidRPr="00EC75B7" w:rsidRDefault="00000000">
            <w:pPr>
              <w:pStyle w:val="TableParagraph"/>
              <w:spacing w:before="193"/>
              <w:ind w:left="10"/>
              <w:jc w:val="center"/>
              <w:rPr>
                <w:rFonts w:ascii="Verdana" w:hAnsi="Verdana"/>
                <w:sz w:val="18"/>
                <w:szCs w:val="18"/>
              </w:rPr>
            </w:pPr>
            <w:r w:rsidRPr="00EC75B7">
              <w:rPr>
                <w:rFonts w:ascii="Verdana" w:hAnsi="Verdana"/>
                <w:spacing w:val="-2"/>
                <w:sz w:val="18"/>
                <w:szCs w:val="18"/>
              </w:rPr>
              <w:t>Direct</w:t>
            </w:r>
          </w:p>
        </w:tc>
        <w:tc>
          <w:tcPr>
            <w:tcW w:w="437" w:type="dxa"/>
          </w:tcPr>
          <w:p w14:paraId="03148F6D" w14:textId="77777777" w:rsidR="008715BE" w:rsidRPr="00EC75B7" w:rsidRDefault="00000000">
            <w:pPr>
              <w:pStyle w:val="TableParagraph"/>
              <w:spacing w:before="193"/>
              <w:ind w:left="8"/>
              <w:jc w:val="center"/>
              <w:rPr>
                <w:rFonts w:ascii="Verdana" w:hAnsi="Verdana"/>
                <w:sz w:val="18"/>
                <w:szCs w:val="18"/>
              </w:rPr>
            </w:pPr>
            <w:r w:rsidRPr="00EC75B7">
              <w:rPr>
                <w:rFonts w:ascii="Verdana" w:hAnsi="Verdana"/>
                <w:spacing w:val="-5"/>
                <w:sz w:val="18"/>
                <w:szCs w:val="18"/>
              </w:rPr>
              <w:t>Yes</w:t>
            </w:r>
          </w:p>
        </w:tc>
        <w:tc>
          <w:tcPr>
            <w:tcW w:w="740" w:type="dxa"/>
          </w:tcPr>
          <w:p w14:paraId="46CEFC13" w14:textId="77777777" w:rsidR="008715BE" w:rsidRPr="00EC75B7" w:rsidRDefault="00000000">
            <w:pPr>
              <w:pStyle w:val="TableParagraph"/>
              <w:spacing w:before="193"/>
              <w:ind w:left="6" w:right="51"/>
              <w:jc w:val="center"/>
              <w:rPr>
                <w:rFonts w:ascii="Verdana" w:hAnsi="Verdana"/>
                <w:sz w:val="18"/>
                <w:szCs w:val="18"/>
              </w:rPr>
            </w:pPr>
            <w:r w:rsidRPr="00EC75B7">
              <w:rPr>
                <w:rFonts w:ascii="Verdana" w:hAnsi="Verdana"/>
                <w:spacing w:val="-2"/>
                <w:sz w:val="18"/>
                <w:szCs w:val="18"/>
              </w:rPr>
              <w:t>Medium</w:t>
            </w:r>
          </w:p>
        </w:tc>
        <w:tc>
          <w:tcPr>
            <w:tcW w:w="1229" w:type="dxa"/>
          </w:tcPr>
          <w:p w14:paraId="0DA93694" w14:textId="77777777" w:rsidR="008715BE" w:rsidRPr="00EC75B7" w:rsidRDefault="00000000">
            <w:pPr>
              <w:pStyle w:val="TableParagraph"/>
              <w:spacing w:before="193"/>
              <w:ind w:left="103"/>
              <w:rPr>
                <w:rFonts w:ascii="Verdana" w:hAnsi="Verdana"/>
                <w:sz w:val="18"/>
                <w:szCs w:val="18"/>
              </w:rPr>
            </w:pPr>
            <w:r w:rsidRPr="00EC75B7">
              <w:rPr>
                <w:rFonts w:ascii="Verdana" w:hAnsi="Verdana"/>
                <w:spacing w:val="-2"/>
                <w:sz w:val="18"/>
                <w:szCs w:val="18"/>
              </w:rPr>
              <w:t>Intermittent</w:t>
            </w:r>
          </w:p>
        </w:tc>
        <w:tc>
          <w:tcPr>
            <w:tcW w:w="723" w:type="dxa"/>
          </w:tcPr>
          <w:p w14:paraId="2F9F95CC" w14:textId="77777777" w:rsidR="008715BE" w:rsidRPr="00EC75B7" w:rsidRDefault="00000000">
            <w:pPr>
              <w:pStyle w:val="TableParagraph"/>
              <w:spacing w:before="193"/>
              <w:ind w:left="4"/>
              <w:jc w:val="center"/>
              <w:rPr>
                <w:rFonts w:ascii="Verdana" w:hAnsi="Verdana"/>
                <w:sz w:val="18"/>
                <w:szCs w:val="18"/>
              </w:rPr>
            </w:pPr>
            <w:r w:rsidRPr="00EC75B7">
              <w:rPr>
                <w:rFonts w:ascii="Verdana" w:hAnsi="Verdana"/>
                <w:spacing w:val="-2"/>
                <w:sz w:val="18"/>
                <w:szCs w:val="18"/>
              </w:rPr>
              <w:t>Local</w:t>
            </w:r>
          </w:p>
        </w:tc>
        <w:tc>
          <w:tcPr>
            <w:tcW w:w="1071" w:type="dxa"/>
          </w:tcPr>
          <w:p w14:paraId="18427845"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Probable</w:t>
            </w:r>
          </w:p>
        </w:tc>
        <w:tc>
          <w:tcPr>
            <w:tcW w:w="1136" w:type="dxa"/>
          </w:tcPr>
          <w:p w14:paraId="490CBBA5"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Reversible</w:t>
            </w:r>
          </w:p>
        </w:tc>
        <w:tc>
          <w:tcPr>
            <w:tcW w:w="1541" w:type="dxa"/>
          </w:tcPr>
          <w:p w14:paraId="088774D9" w14:textId="77777777" w:rsidR="008715BE" w:rsidRPr="00EC75B7" w:rsidRDefault="00000000">
            <w:pPr>
              <w:pStyle w:val="TableParagraph"/>
              <w:spacing w:before="193"/>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4F9A5C62" w14:textId="77777777" w:rsidR="008715BE" w:rsidRPr="00EC75B7" w:rsidRDefault="00000000">
            <w:pPr>
              <w:pStyle w:val="TableParagraph"/>
              <w:ind w:left="101" w:right="101"/>
              <w:rPr>
                <w:rFonts w:ascii="Verdana" w:hAnsi="Verdana"/>
                <w:sz w:val="18"/>
                <w:szCs w:val="18"/>
              </w:rPr>
            </w:pPr>
            <w:r w:rsidRPr="00EC75B7">
              <w:rPr>
                <w:rFonts w:ascii="Verdana" w:hAnsi="Verdana"/>
                <w:sz w:val="18"/>
                <w:szCs w:val="18"/>
              </w:rPr>
              <w:t xml:space="preserve">Traffic takes place on agricultural roads and is limited to the execution period, without causing permanent changes </w:t>
            </w:r>
            <w:r w:rsidRPr="00EC75B7">
              <w:rPr>
                <w:rFonts w:ascii="Verdana" w:hAnsi="Verdana"/>
                <w:spacing w:val="-5"/>
                <w:sz w:val="18"/>
                <w:szCs w:val="18"/>
              </w:rPr>
              <w:t>to</w:t>
            </w:r>
          </w:p>
          <w:p w14:paraId="6FD6F43D" w14:textId="77777777" w:rsidR="008715BE" w:rsidRPr="00EC75B7" w:rsidRDefault="00000000">
            <w:pPr>
              <w:pStyle w:val="TableParagraph"/>
              <w:spacing w:line="173" w:lineRule="exact"/>
              <w:ind w:left="101"/>
              <w:rPr>
                <w:rFonts w:ascii="Verdana" w:hAnsi="Verdana"/>
                <w:sz w:val="18"/>
                <w:szCs w:val="18"/>
              </w:rPr>
            </w:pPr>
            <w:r w:rsidRPr="00EC75B7">
              <w:rPr>
                <w:rFonts w:ascii="Verdana" w:hAnsi="Verdana"/>
                <w:spacing w:val="-2"/>
                <w:sz w:val="18"/>
                <w:szCs w:val="18"/>
              </w:rPr>
              <w:t>the landscape.</w:t>
            </w:r>
          </w:p>
        </w:tc>
      </w:tr>
      <w:tr w:rsidR="008715BE" w:rsidRPr="00EC75B7" w14:paraId="3E0AA8AB" w14:textId="77777777">
        <w:trPr>
          <w:trHeight w:val="582"/>
        </w:trPr>
        <w:tc>
          <w:tcPr>
            <w:tcW w:w="725" w:type="dxa"/>
            <w:vMerge/>
            <w:tcBorders>
              <w:top w:val="nil"/>
            </w:tcBorders>
            <w:textDirection w:val="btLr"/>
          </w:tcPr>
          <w:p w14:paraId="48B8117F" w14:textId="77777777" w:rsidR="008715BE" w:rsidRPr="00EC75B7" w:rsidRDefault="008715BE">
            <w:pPr>
              <w:rPr>
                <w:rFonts w:ascii="Verdana" w:hAnsi="Verdana"/>
                <w:sz w:val="18"/>
                <w:szCs w:val="18"/>
              </w:rPr>
            </w:pPr>
          </w:p>
        </w:tc>
        <w:tc>
          <w:tcPr>
            <w:tcW w:w="2864" w:type="dxa"/>
          </w:tcPr>
          <w:p w14:paraId="58840B4E"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Temporary storage of construction materials and waste</w:t>
            </w:r>
          </w:p>
          <w:p w14:paraId="5CB284D4"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pacing w:val="-2"/>
                <w:sz w:val="18"/>
                <w:szCs w:val="18"/>
              </w:rPr>
              <w:t>construction</w:t>
            </w:r>
          </w:p>
        </w:tc>
        <w:tc>
          <w:tcPr>
            <w:tcW w:w="2319" w:type="dxa"/>
          </w:tcPr>
          <w:p w14:paraId="479E9C85" w14:textId="77777777" w:rsidR="008715BE" w:rsidRPr="00EC75B7" w:rsidRDefault="00000000">
            <w:pPr>
              <w:pStyle w:val="TableParagraph"/>
              <w:spacing w:before="97"/>
              <w:ind w:left="107"/>
              <w:rPr>
                <w:rFonts w:ascii="Verdana" w:hAnsi="Verdana"/>
                <w:sz w:val="18"/>
                <w:szCs w:val="18"/>
              </w:rPr>
            </w:pPr>
            <w:r w:rsidRPr="00EC75B7">
              <w:rPr>
                <w:rFonts w:ascii="Verdana" w:hAnsi="Verdana"/>
                <w:sz w:val="18"/>
                <w:szCs w:val="18"/>
              </w:rPr>
              <w:t xml:space="preserve">Temporary accumulation of </w:t>
            </w:r>
            <w:r w:rsidRPr="00EC75B7">
              <w:rPr>
                <w:rFonts w:ascii="Verdana" w:hAnsi="Verdana"/>
                <w:spacing w:val="-2"/>
                <w:sz w:val="18"/>
                <w:szCs w:val="18"/>
              </w:rPr>
              <w:t>materials</w:t>
            </w:r>
          </w:p>
        </w:tc>
        <w:tc>
          <w:tcPr>
            <w:tcW w:w="1901" w:type="dxa"/>
          </w:tcPr>
          <w:p w14:paraId="2AE77C8D" w14:textId="77777777" w:rsidR="008715BE" w:rsidRPr="00EC75B7" w:rsidRDefault="00000000">
            <w:pPr>
              <w:pStyle w:val="TableParagraph"/>
              <w:spacing w:before="97"/>
              <w:ind w:left="107"/>
              <w:rPr>
                <w:rFonts w:ascii="Verdana" w:hAnsi="Verdana"/>
                <w:sz w:val="18"/>
                <w:szCs w:val="18"/>
              </w:rPr>
            </w:pPr>
            <w:r w:rsidRPr="00EC75B7">
              <w:rPr>
                <w:rFonts w:ascii="Verdana" w:hAnsi="Verdana"/>
                <w:spacing w:val="-2"/>
                <w:sz w:val="18"/>
                <w:szCs w:val="18"/>
              </w:rPr>
              <w:t xml:space="preserve">Temporary changes </w:t>
            </w:r>
            <w:r w:rsidRPr="00EC75B7">
              <w:rPr>
                <w:rFonts w:ascii="Verdana" w:hAnsi="Verdana"/>
                <w:sz w:val="18"/>
                <w:szCs w:val="18"/>
              </w:rPr>
              <w:t xml:space="preserve">to the </w:t>
            </w:r>
            <w:r w:rsidRPr="00EC75B7">
              <w:rPr>
                <w:rFonts w:ascii="Verdana" w:hAnsi="Verdana"/>
                <w:spacing w:val="-2"/>
                <w:sz w:val="18"/>
                <w:szCs w:val="18"/>
              </w:rPr>
              <w:t xml:space="preserve">visual </w:t>
            </w:r>
            <w:r w:rsidRPr="00EC75B7">
              <w:rPr>
                <w:rFonts w:ascii="Verdana" w:hAnsi="Verdana"/>
                <w:sz w:val="18"/>
                <w:szCs w:val="18"/>
              </w:rPr>
              <w:t>perception</w:t>
            </w:r>
          </w:p>
        </w:tc>
        <w:tc>
          <w:tcPr>
            <w:tcW w:w="924" w:type="dxa"/>
          </w:tcPr>
          <w:p w14:paraId="0DA1E5B9" w14:textId="77777777" w:rsidR="008715BE" w:rsidRPr="00EC75B7" w:rsidRDefault="00000000">
            <w:pPr>
              <w:pStyle w:val="TableParagraph"/>
              <w:spacing w:before="193"/>
              <w:ind w:left="85" w:right="80"/>
              <w:jc w:val="center"/>
              <w:rPr>
                <w:rFonts w:ascii="Verdana" w:hAnsi="Verdana"/>
                <w:sz w:val="18"/>
                <w:szCs w:val="18"/>
              </w:rPr>
            </w:pPr>
            <w:r w:rsidRPr="00EC75B7">
              <w:rPr>
                <w:rFonts w:ascii="Verdana" w:hAnsi="Verdana"/>
                <w:spacing w:val="-2"/>
                <w:sz w:val="18"/>
                <w:szCs w:val="18"/>
              </w:rPr>
              <w:t>Negative</w:t>
            </w:r>
          </w:p>
        </w:tc>
        <w:tc>
          <w:tcPr>
            <w:tcW w:w="694" w:type="dxa"/>
          </w:tcPr>
          <w:p w14:paraId="16F69C0A" w14:textId="77777777" w:rsidR="008715BE" w:rsidRPr="00EC75B7" w:rsidRDefault="00000000">
            <w:pPr>
              <w:pStyle w:val="TableParagraph"/>
              <w:spacing w:before="193"/>
              <w:ind w:left="10"/>
              <w:jc w:val="center"/>
              <w:rPr>
                <w:rFonts w:ascii="Verdana" w:hAnsi="Verdana"/>
                <w:sz w:val="18"/>
                <w:szCs w:val="18"/>
              </w:rPr>
            </w:pPr>
            <w:r w:rsidRPr="00EC75B7">
              <w:rPr>
                <w:rFonts w:ascii="Verdana" w:hAnsi="Verdana"/>
                <w:spacing w:val="-2"/>
                <w:sz w:val="18"/>
                <w:szCs w:val="18"/>
              </w:rPr>
              <w:t>Direct</w:t>
            </w:r>
          </w:p>
        </w:tc>
        <w:tc>
          <w:tcPr>
            <w:tcW w:w="437" w:type="dxa"/>
          </w:tcPr>
          <w:p w14:paraId="0DCCD718" w14:textId="77777777" w:rsidR="008715BE" w:rsidRPr="00EC75B7" w:rsidRDefault="00000000">
            <w:pPr>
              <w:pStyle w:val="TableParagraph"/>
              <w:spacing w:before="193"/>
              <w:ind w:left="8" w:right="1"/>
              <w:jc w:val="center"/>
              <w:rPr>
                <w:rFonts w:ascii="Verdana" w:hAnsi="Verdana"/>
                <w:sz w:val="18"/>
                <w:szCs w:val="18"/>
              </w:rPr>
            </w:pPr>
            <w:r w:rsidRPr="00EC75B7">
              <w:rPr>
                <w:rFonts w:ascii="Verdana" w:hAnsi="Verdana"/>
                <w:spacing w:val="-5"/>
                <w:sz w:val="18"/>
                <w:szCs w:val="18"/>
              </w:rPr>
              <w:t>No</w:t>
            </w:r>
          </w:p>
        </w:tc>
        <w:tc>
          <w:tcPr>
            <w:tcW w:w="740" w:type="dxa"/>
          </w:tcPr>
          <w:p w14:paraId="066474AF" w14:textId="77777777" w:rsidR="008715BE" w:rsidRPr="00EC75B7" w:rsidRDefault="00000000">
            <w:pPr>
              <w:pStyle w:val="TableParagraph"/>
              <w:spacing w:before="193"/>
              <w:ind w:left="51" w:right="45"/>
              <w:jc w:val="center"/>
              <w:rPr>
                <w:rFonts w:ascii="Verdana" w:hAnsi="Verdana"/>
                <w:sz w:val="18"/>
                <w:szCs w:val="18"/>
              </w:rPr>
            </w:pPr>
            <w:r w:rsidRPr="00EC75B7">
              <w:rPr>
                <w:rFonts w:ascii="Verdana" w:hAnsi="Verdana"/>
                <w:spacing w:val="-2"/>
                <w:sz w:val="18"/>
                <w:szCs w:val="18"/>
              </w:rPr>
              <w:t>Short</w:t>
            </w:r>
          </w:p>
        </w:tc>
        <w:tc>
          <w:tcPr>
            <w:tcW w:w="1229" w:type="dxa"/>
          </w:tcPr>
          <w:p w14:paraId="56DD238E" w14:textId="77777777" w:rsidR="008715BE" w:rsidRPr="00EC75B7" w:rsidRDefault="00000000">
            <w:pPr>
              <w:pStyle w:val="TableParagraph"/>
              <w:spacing w:before="193"/>
              <w:ind w:left="103"/>
              <w:rPr>
                <w:rFonts w:ascii="Verdana" w:hAnsi="Verdana"/>
                <w:sz w:val="18"/>
                <w:szCs w:val="18"/>
              </w:rPr>
            </w:pPr>
            <w:r w:rsidRPr="00EC75B7">
              <w:rPr>
                <w:rFonts w:ascii="Verdana" w:hAnsi="Verdana"/>
                <w:spacing w:val="-2"/>
                <w:sz w:val="18"/>
                <w:szCs w:val="18"/>
              </w:rPr>
              <w:t>Intermittent</w:t>
            </w:r>
          </w:p>
        </w:tc>
        <w:tc>
          <w:tcPr>
            <w:tcW w:w="723" w:type="dxa"/>
          </w:tcPr>
          <w:p w14:paraId="7CA9F173" w14:textId="77777777" w:rsidR="008715BE" w:rsidRPr="00EC75B7" w:rsidRDefault="00000000">
            <w:pPr>
              <w:pStyle w:val="TableParagraph"/>
              <w:spacing w:before="193"/>
              <w:ind w:left="4"/>
              <w:jc w:val="center"/>
              <w:rPr>
                <w:rFonts w:ascii="Verdana" w:hAnsi="Verdana"/>
                <w:sz w:val="18"/>
                <w:szCs w:val="18"/>
              </w:rPr>
            </w:pPr>
            <w:r w:rsidRPr="00EC75B7">
              <w:rPr>
                <w:rFonts w:ascii="Verdana" w:hAnsi="Verdana"/>
                <w:spacing w:val="-2"/>
                <w:sz w:val="18"/>
                <w:szCs w:val="18"/>
              </w:rPr>
              <w:t>Local</w:t>
            </w:r>
          </w:p>
        </w:tc>
        <w:tc>
          <w:tcPr>
            <w:tcW w:w="1071" w:type="dxa"/>
          </w:tcPr>
          <w:p w14:paraId="1EA0B414" w14:textId="77777777" w:rsidR="008715BE" w:rsidRPr="00EC75B7" w:rsidRDefault="00000000">
            <w:pPr>
              <w:pStyle w:val="TableParagraph"/>
              <w:spacing w:before="97"/>
              <w:ind w:left="105"/>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136" w:type="dxa"/>
          </w:tcPr>
          <w:p w14:paraId="16291AF1" w14:textId="77777777" w:rsidR="008715BE" w:rsidRPr="00EC75B7" w:rsidRDefault="00000000">
            <w:pPr>
              <w:pStyle w:val="TableParagraph"/>
              <w:spacing w:before="193"/>
              <w:ind w:left="102"/>
              <w:rPr>
                <w:rFonts w:ascii="Verdana" w:hAnsi="Verdana"/>
                <w:sz w:val="18"/>
                <w:szCs w:val="18"/>
              </w:rPr>
            </w:pPr>
            <w:r w:rsidRPr="00EC75B7">
              <w:rPr>
                <w:rFonts w:ascii="Verdana" w:hAnsi="Verdana"/>
                <w:spacing w:val="-2"/>
                <w:sz w:val="18"/>
                <w:szCs w:val="18"/>
              </w:rPr>
              <w:t>Reversible</w:t>
            </w:r>
          </w:p>
        </w:tc>
        <w:tc>
          <w:tcPr>
            <w:tcW w:w="1541" w:type="dxa"/>
          </w:tcPr>
          <w:p w14:paraId="41FB4174" w14:textId="77777777" w:rsidR="008715BE" w:rsidRPr="00EC75B7" w:rsidRDefault="00000000">
            <w:pPr>
              <w:pStyle w:val="TableParagraph"/>
              <w:spacing w:before="193"/>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5F0AD7EE" w14:textId="77777777" w:rsidR="008715BE" w:rsidRPr="00EC75B7" w:rsidRDefault="00000000">
            <w:pPr>
              <w:pStyle w:val="TableParagraph"/>
              <w:spacing w:before="97"/>
              <w:ind w:left="101"/>
              <w:rPr>
                <w:rFonts w:ascii="Verdana" w:hAnsi="Verdana"/>
                <w:sz w:val="18"/>
                <w:szCs w:val="18"/>
              </w:rPr>
            </w:pPr>
            <w:r w:rsidRPr="00EC75B7">
              <w:rPr>
                <w:rFonts w:ascii="Verdana" w:hAnsi="Verdana"/>
                <w:sz w:val="18"/>
                <w:szCs w:val="18"/>
              </w:rPr>
              <w:t>Storage is controlled, within the perimeter of the construction site. After completion of the works, the areas will be cleaned and restored.</w:t>
            </w:r>
          </w:p>
        </w:tc>
      </w:tr>
      <w:tr w:rsidR="008715BE" w:rsidRPr="00EC75B7" w14:paraId="30F830CF" w14:textId="77777777">
        <w:trPr>
          <w:trHeight w:val="585"/>
        </w:trPr>
        <w:tc>
          <w:tcPr>
            <w:tcW w:w="725" w:type="dxa"/>
            <w:vMerge/>
            <w:tcBorders>
              <w:top w:val="nil"/>
            </w:tcBorders>
            <w:textDirection w:val="btLr"/>
          </w:tcPr>
          <w:p w14:paraId="39F56E7B" w14:textId="77777777" w:rsidR="008715BE" w:rsidRPr="00EC75B7" w:rsidRDefault="008715BE">
            <w:pPr>
              <w:rPr>
                <w:rFonts w:ascii="Verdana" w:hAnsi="Verdana"/>
                <w:sz w:val="18"/>
                <w:szCs w:val="18"/>
              </w:rPr>
            </w:pPr>
          </w:p>
        </w:tc>
        <w:tc>
          <w:tcPr>
            <w:tcW w:w="2864" w:type="dxa"/>
          </w:tcPr>
          <w:p w14:paraId="179C2DAB" w14:textId="77777777" w:rsidR="008715BE" w:rsidRPr="00EC75B7" w:rsidRDefault="00000000">
            <w:pPr>
              <w:pStyle w:val="TableParagraph"/>
              <w:spacing w:before="97"/>
              <w:ind w:left="105"/>
              <w:rPr>
                <w:rFonts w:ascii="Verdana" w:hAnsi="Verdana"/>
                <w:sz w:val="18"/>
                <w:szCs w:val="18"/>
              </w:rPr>
            </w:pPr>
            <w:r w:rsidRPr="00EC75B7">
              <w:rPr>
                <w:rFonts w:ascii="Verdana" w:hAnsi="Verdana"/>
                <w:sz w:val="18"/>
                <w:szCs w:val="18"/>
              </w:rPr>
              <w:t>Land restoration works at the end of execution</w:t>
            </w:r>
          </w:p>
        </w:tc>
        <w:tc>
          <w:tcPr>
            <w:tcW w:w="2319" w:type="dxa"/>
          </w:tcPr>
          <w:p w14:paraId="5D90A973" w14:textId="77777777" w:rsidR="008715BE" w:rsidRPr="00EC75B7" w:rsidRDefault="00000000">
            <w:pPr>
              <w:pStyle w:val="TableParagraph"/>
              <w:tabs>
                <w:tab w:val="left" w:pos="1695"/>
              </w:tabs>
              <w:spacing w:before="97"/>
              <w:ind w:left="107" w:right="96"/>
              <w:rPr>
                <w:rFonts w:ascii="Verdana" w:hAnsi="Verdana"/>
                <w:sz w:val="18"/>
                <w:szCs w:val="18"/>
              </w:rPr>
            </w:pPr>
            <w:r w:rsidRPr="00EC75B7">
              <w:rPr>
                <w:rFonts w:ascii="Verdana" w:hAnsi="Verdana"/>
                <w:spacing w:val="-2"/>
                <w:sz w:val="18"/>
                <w:szCs w:val="18"/>
              </w:rPr>
              <w:t>Reinstallation</w:t>
            </w:r>
            <w:r w:rsidRPr="00EC75B7">
              <w:rPr>
                <w:rFonts w:ascii="Verdana" w:hAnsi="Verdana"/>
                <w:sz w:val="18"/>
                <w:szCs w:val="18"/>
              </w:rPr>
              <w:tab/>
            </w:r>
            <w:r w:rsidRPr="00EC75B7">
              <w:rPr>
                <w:rFonts w:ascii="Verdana" w:hAnsi="Verdana"/>
                <w:spacing w:val="-2"/>
                <w:sz w:val="18"/>
                <w:szCs w:val="18"/>
              </w:rPr>
              <w:t>of</w:t>
            </w:r>
            <w:r w:rsidRPr="00EC75B7">
              <w:rPr>
                <w:rFonts w:ascii="Verdana" w:hAnsi="Verdana"/>
                <w:spacing w:val="-4"/>
                <w:sz w:val="18"/>
                <w:szCs w:val="18"/>
              </w:rPr>
              <w:t xml:space="preserve"> topsoil</w:t>
            </w:r>
          </w:p>
        </w:tc>
        <w:tc>
          <w:tcPr>
            <w:tcW w:w="1901" w:type="dxa"/>
          </w:tcPr>
          <w:p w14:paraId="11C180B0" w14:textId="77777777" w:rsidR="008715BE" w:rsidRPr="00EC75B7" w:rsidRDefault="00000000">
            <w:pPr>
              <w:pStyle w:val="TableParagraph"/>
              <w:spacing w:before="97" w:line="195" w:lineRule="exact"/>
              <w:ind w:left="107"/>
              <w:rPr>
                <w:rFonts w:ascii="Verdana" w:hAnsi="Verdana"/>
                <w:sz w:val="18"/>
                <w:szCs w:val="18"/>
              </w:rPr>
            </w:pPr>
            <w:r w:rsidRPr="00EC75B7">
              <w:rPr>
                <w:rFonts w:ascii="Verdana" w:hAnsi="Verdana"/>
                <w:sz w:val="18"/>
                <w:szCs w:val="18"/>
              </w:rPr>
              <w:t xml:space="preserve">Restoration </w:t>
            </w:r>
            <w:r w:rsidRPr="00EC75B7">
              <w:rPr>
                <w:rFonts w:ascii="Verdana" w:hAnsi="Verdana"/>
                <w:spacing w:val="-2"/>
                <w:sz w:val="18"/>
                <w:szCs w:val="18"/>
              </w:rPr>
              <w:t>of the</w:t>
            </w:r>
          </w:p>
          <w:p w14:paraId="4772A698"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the landscape</w:t>
            </w:r>
          </w:p>
        </w:tc>
        <w:tc>
          <w:tcPr>
            <w:tcW w:w="924" w:type="dxa"/>
          </w:tcPr>
          <w:p w14:paraId="146DFA13" w14:textId="77777777" w:rsidR="008715BE" w:rsidRPr="00EC75B7" w:rsidRDefault="008715BE">
            <w:pPr>
              <w:pStyle w:val="TableParagraph"/>
              <w:rPr>
                <w:rFonts w:ascii="Verdana" w:hAnsi="Verdana"/>
                <w:b/>
                <w:sz w:val="18"/>
                <w:szCs w:val="18"/>
              </w:rPr>
            </w:pPr>
          </w:p>
          <w:p w14:paraId="5A1F711C" w14:textId="77777777" w:rsidR="008715BE" w:rsidRPr="00EC75B7" w:rsidRDefault="00000000">
            <w:pPr>
              <w:pStyle w:val="TableParagraph"/>
              <w:ind w:left="13" w:right="96"/>
              <w:jc w:val="center"/>
              <w:rPr>
                <w:rFonts w:ascii="Verdana" w:hAnsi="Verdana"/>
                <w:sz w:val="18"/>
                <w:szCs w:val="18"/>
              </w:rPr>
            </w:pPr>
            <w:r w:rsidRPr="00EC75B7">
              <w:rPr>
                <w:rFonts w:ascii="Verdana" w:hAnsi="Verdana"/>
                <w:spacing w:val="-2"/>
                <w:sz w:val="18"/>
                <w:szCs w:val="18"/>
              </w:rPr>
              <w:t>Positive</w:t>
            </w:r>
          </w:p>
        </w:tc>
        <w:tc>
          <w:tcPr>
            <w:tcW w:w="694" w:type="dxa"/>
          </w:tcPr>
          <w:p w14:paraId="03432095" w14:textId="77777777" w:rsidR="008715BE" w:rsidRPr="00EC75B7" w:rsidRDefault="008715BE">
            <w:pPr>
              <w:pStyle w:val="TableParagraph"/>
              <w:rPr>
                <w:rFonts w:ascii="Verdana" w:hAnsi="Verdana"/>
                <w:b/>
                <w:sz w:val="18"/>
                <w:szCs w:val="18"/>
              </w:rPr>
            </w:pPr>
          </w:p>
          <w:p w14:paraId="4145ACB3" w14:textId="77777777" w:rsidR="008715BE" w:rsidRPr="00EC75B7" w:rsidRDefault="00000000">
            <w:pPr>
              <w:pStyle w:val="TableParagraph"/>
              <w:ind w:left="10"/>
              <w:jc w:val="center"/>
              <w:rPr>
                <w:rFonts w:ascii="Verdana" w:hAnsi="Verdana"/>
                <w:sz w:val="18"/>
                <w:szCs w:val="18"/>
              </w:rPr>
            </w:pPr>
            <w:r w:rsidRPr="00EC75B7">
              <w:rPr>
                <w:rFonts w:ascii="Verdana" w:hAnsi="Verdana"/>
                <w:spacing w:val="-2"/>
                <w:sz w:val="18"/>
                <w:szCs w:val="18"/>
              </w:rPr>
              <w:t>Direct</w:t>
            </w:r>
          </w:p>
        </w:tc>
        <w:tc>
          <w:tcPr>
            <w:tcW w:w="437" w:type="dxa"/>
          </w:tcPr>
          <w:p w14:paraId="28FF2E31" w14:textId="77777777" w:rsidR="008715BE" w:rsidRPr="00EC75B7" w:rsidRDefault="008715BE">
            <w:pPr>
              <w:pStyle w:val="TableParagraph"/>
              <w:rPr>
                <w:rFonts w:ascii="Verdana" w:hAnsi="Verdana"/>
                <w:b/>
                <w:sz w:val="18"/>
                <w:szCs w:val="18"/>
              </w:rPr>
            </w:pPr>
          </w:p>
          <w:p w14:paraId="609BCC24" w14:textId="77777777" w:rsidR="008715BE" w:rsidRPr="00EC75B7" w:rsidRDefault="00000000">
            <w:pPr>
              <w:pStyle w:val="TableParagraph"/>
              <w:ind w:left="8" w:right="1"/>
              <w:jc w:val="center"/>
              <w:rPr>
                <w:rFonts w:ascii="Verdana" w:hAnsi="Verdana"/>
                <w:sz w:val="18"/>
                <w:szCs w:val="18"/>
              </w:rPr>
            </w:pPr>
            <w:r w:rsidRPr="00EC75B7">
              <w:rPr>
                <w:rFonts w:ascii="Verdana" w:hAnsi="Verdana"/>
                <w:spacing w:val="-5"/>
                <w:sz w:val="18"/>
                <w:szCs w:val="18"/>
              </w:rPr>
              <w:t>No</w:t>
            </w:r>
          </w:p>
        </w:tc>
        <w:tc>
          <w:tcPr>
            <w:tcW w:w="740" w:type="dxa"/>
          </w:tcPr>
          <w:p w14:paraId="53F35FB6" w14:textId="77777777" w:rsidR="008715BE" w:rsidRPr="00EC75B7" w:rsidRDefault="008715BE">
            <w:pPr>
              <w:pStyle w:val="TableParagraph"/>
              <w:rPr>
                <w:rFonts w:ascii="Verdana" w:hAnsi="Verdana"/>
                <w:b/>
                <w:sz w:val="18"/>
                <w:szCs w:val="18"/>
              </w:rPr>
            </w:pPr>
          </w:p>
          <w:p w14:paraId="3AABB2C4" w14:textId="77777777" w:rsidR="008715BE" w:rsidRPr="00EC75B7" w:rsidRDefault="00000000">
            <w:pPr>
              <w:pStyle w:val="TableParagraph"/>
              <w:ind w:left="51" w:right="45"/>
              <w:jc w:val="center"/>
              <w:rPr>
                <w:rFonts w:ascii="Verdana" w:hAnsi="Verdana"/>
                <w:sz w:val="18"/>
                <w:szCs w:val="18"/>
              </w:rPr>
            </w:pPr>
            <w:r w:rsidRPr="00EC75B7">
              <w:rPr>
                <w:rFonts w:ascii="Verdana" w:hAnsi="Verdana"/>
                <w:spacing w:val="-2"/>
                <w:sz w:val="18"/>
                <w:szCs w:val="18"/>
              </w:rPr>
              <w:t>Short</w:t>
            </w:r>
          </w:p>
        </w:tc>
        <w:tc>
          <w:tcPr>
            <w:tcW w:w="1229" w:type="dxa"/>
          </w:tcPr>
          <w:p w14:paraId="67F5E763" w14:textId="77777777" w:rsidR="008715BE" w:rsidRPr="00EC75B7" w:rsidRDefault="008715BE">
            <w:pPr>
              <w:pStyle w:val="TableParagraph"/>
              <w:rPr>
                <w:rFonts w:ascii="Verdana" w:hAnsi="Verdana"/>
                <w:b/>
                <w:sz w:val="18"/>
                <w:szCs w:val="18"/>
              </w:rPr>
            </w:pPr>
          </w:p>
          <w:p w14:paraId="5FBAA72A" w14:textId="77777777" w:rsidR="008715BE" w:rsidRPr="00EC75B7" w:rsidRDefault="00000000">
            <w:pPr>
              <w:pStyle w:val="TableParagraph"/>
              <w:ind w:left="103"/>
              <w:rPr>
                <w:rFonts w:ascii="Verdana" w:hAnsi="Verdana"/>
                <w:sz w:val="18"/>
                <w:szCs w:val="18"/>
              </w:rPr>
            </w:pPr>
            <w:r w:rsidRPr="00EC75B7">
              <w:rPr>
                <w:rFonts w:ascii="Verdana" w:hAnsi="Verdana"/>
                <w:spacing w:val="-4"/>
                <w:sz w:val="18"/>
                <w:szCs w:val="18"/>
              </w:rPr>
              <w:t>Unique</w:t>
            </w:r>
          </w:p>
        </w:tc>
        <w:tc>
          <w:tcPr>
            <w:tcW w:w="723" w:type="dxa"/>
          </w:tcPr>
          <w:p w14:paraId="16ABED2C" w14:textId="77777777" w:rsidR="008715BE" w:rsidRPr="00EC75B7" w:rsidRDefault="008715BE">
            <w:pPr>
              <w:pStyle w:val="TableParagraph"/>
              <w:rPr>
                <w:rFonts w:ascii="Verdana" w:hAnsi="Verdana"/>
                <w:b/>
                <w:sz w:val="18"/>
                <w:szCs w:val="18"/>
              </w:rPr>
            </w:pPr>
          </w:p>
          <w:p w14:paraId="5CB66E93" w14:textId="77777777" w:rsidR="008715BE" w:rsidRPr="00EC75B7" w:rsidRDefault="00000000">
            <w:pPr>
              <w:pStyle w:val="TableParagraph"/>
              <w:ind w:left="4"/>
              <w:jc w:val="center"/>
              <w:rPr>
                <w:rFonts w:ascii="Verdana" w:hAnsi="Verdana"/>
                <w:sz w:val="18"/>
                <w:szCs w:val="18"/>
              </w:rPr>
            </w:pPr>
            <w:r w:rsidRPr="00EC75B7">
              <w:rPr>
                <w:rFonts w:ascii="Verdana" w:hAnsi="Verdana"/>
                <w:spacing w:val="-2"/>
                <w:sz w:val="18"/>
                <w:szCs w:val="18"/>
              </w:rPr>
              <w:t>Local</w:t>
            </w:r>
          </w:p>
        </w:tc>
        <w:tc>
          <w:tcPr>
            <w:tcW w:w="1071" w:type="dxa"/>
          </w:tcPr>
          <w:p w14:paraId="5DBCE314" w14:textId="77777777" w:rsidR="008715BE" w:rsidRPr="00EC75B7" w:rsidRDefault="008715BE">
            <w:pPr>
              <w:pStyle w:val="TableParagraph"/>
              <w:rPr>
                <w:rFonts w:ascii="Verdana" w:hAnsi="Verdana"/>
                <w:b/>
                <w:sz w:val="18"/>
                <w:szCs w:val="18"/>
              </w:rPr>
            </w:pPr>
          </w:p>
          <w:p w14:paraId="326062C3" w14:textId="77777777" w:rsidR="008715BE" w:rsidRPr="00EC75B7" w:rsidRDefault="00000000">
            <w:pPr>
              <w:pStyle w:val="TableParagraph"/>
              <w:ind w:left="105"/>
              <w:rPr>
                <w:rFonts w:ascii="Verdana" w:hAnsi="Verdana"/>
                <w:sz w:val="18"/>
                <w:szCs w:val="18"/>
              </w:rPr>
            </w:pPr>
            <w:r w:rsidRPr="00EC75B7">
              <w:rPr>
                <w:rFonts w:ascii="Verdana" w:hAnsi="Verdana"/>
                <w:spacing w:val="-2"/>
                <w:sz w:val="18"/>
                <w:szCs w:val="18"/>
              </w:rPr>
              <w:t>Probable</w:t>
            </w:r>
          </w:p>
        </w:tc>
        <w:tc>
          <w:tcPr>
            <w:tcW w:w="1136" w:type="dxa"/>
          </w:tcPr>
          <w:p w14:paraId="36B9AD47" w14:textId="77777777" w:rsidR="008715BE" w:rsidRPr="00EC75B7" w:rsidRDefault="008715BE">
            <w:pPr>
              <w:pStyle w:val="TableParagraph"/>
              <w:rPr>
                <w:rFonts w:ascii="Verdana" w:hAnsi="Verdana"/>
                <w:b/>
                <w:sz w:val="18"/>
                <w:szCs w:val="18"/>
              </w:rPr>
            </w:pPr>
          </w:p>
          <w:p w14:paraId="0C395FDA" w14:textId="77777777" w:rsidR="008715BE" w:rsidRPr="00EC75B7" w:rsidRDefault="00000000">
            <w:pPr>
              <w:pStyle w:val="TableParagraph"/>
              <w:ind w:left="102"/>
              <w:rPr>
                <w:rFonts w:ascii="Verdana" w:hAnsi="Verdana"/>
                <w:sz w:val="18"/>
                <w:szCs w:val="18"/>
              </w:rPr>
            </w:pPr>
            <w:r w:rsidRPr="00EC75B7">
              <w:rPr>
                <w:rFonts w:ascii="Verdana" w:hAnsi="Verdana"/>
                <w:spacing w:val="-2"/>
                <w:sz w:val="18"/>
                <w:szCs w:val="18"/>
              </w:rPr>
              <w:t>Reversible</w:t>
            </w:r>
          </w:p>
        </w:tc>
        <w:tc>
          <w:tcPr>
            <w:tcW w:w="1541" w:type="dxa"/>
          </w:tcPr>
          <w:p w14:paraId="101EE69F" w14:textId="77777777" w:rsidR="008715BE" w:rsidRPr="00EC75B7" w:rsidRDefault="008715BE">
            <w:pPr>
              <w:pStyle w:val="TableParagraph"/>
              <w:rPr>
                <w:rFonts w:ascii="Verdana" w:hAnsi="Verdana"/>
                <w:b/>
                <w:sz w:val="18"/>
                <w:szCs w:val="18"/>
              </w:rPr>
            </w:pPr>
          </w:p>
          <w:p w14:paraId="0C820CA0" w14:textId="77777777" w:rsidR="008715BE" w:rsidRPr="00EC75B7" w:rsidRDefault="00000000">
            <w:pPr>
              <w:pStyle w:val="TableParagraph"/>
              <w:ind w:left="1" w:right="143"/>
              <w:jc w:val="center"/>
              <w:rPr>
                <w:rFonts w:ascii="Verdana" w:hAnsi="Verdana"/>
                <w:sz w:val="18"/>
                <w:szCs w:val="18"/>
              </w:rPr>
            </w:pPr>
            <w:r w:rsidRPr="00EC75B7">
              <w:rPr>
                <w:rFonts w:ascii="Verdana" w:hAnsi="Verdana"/>
                <w:spacing w:val="-2"/>
                <w:sz w:val="18"/>
                <w:szCs w:val="18"/>
              </w:rPr>
              <w:t>Insignificant</w:t>
            </w:r>
          </w:p>
        </w:tc>
        <w:tc>
          <w:tcPr>
            <w:tcW w:w="5811" w:type="dxa"/>
          </w:tcPr>
          <w:p w14:paraId="742B05B4" w14:textId="77777777" w:rsidR="008715BE" w:rsidRPr="00EC75B7" w:rsidRDefault="00000000">
            <w:pPr>
              <w:pStyle w:val="TableParagraph"/>
              <w:spacing w:before="1" w:line="195" w:lineRule="exact"/>
              <w:ind w:left="101"/>
              <w:rPr>
                <w:rFonts w:ascii="Verdana" w:hAnsi="Verdana"/>
                <w:sz w:val="18"/>
                <w:szCs w:val="18"/>
              </w:rPr>
            </w:pPr>
            <w:r w:rsidRPr="00EC75B7">
              <w:rPr>
                <w:rFonts w:ascii="Verdana" w:hAnsi="Verdana"/>
                <w:sz w:val="18"/>
                <w:szCs w:val="18"/>
              </w:rPr>
              <w:t xml:space="preserve">Restoring temporarily affected areas contributes to </w:t>
            </w:r>
            <w:r w:rsidRPr="00EC75B7">
              <w:rPr>
                <w:rFonts w:ascii="Verdana" w:hAnsi="Verdana"/>
                <w:spacing w:val="-2"/>
                <w:sz w:val="18"/>
                <w:szCs w:val="18"/>
              </w:rPr>
              <w:t>their reintegration</w:t>
            </w:r>
          </w:p>
          <w:p w14:paraId="3186B158" w14:textId="77777777" w:rsidR="008715BE" w:rsidRPr="00EC75B7" w:rsidRDefault="00000000">
            <w:pPr>
              <w:pStyle w:val="TableParagraph"/>
              <w:spacing w:line="194" w:lineRule="exact"/>
              <w:ind w:left="101"/>
              <w:rPr>
                <w:rFonts w:ascii="Verdana" w:hAnsi="Verdana"/>
                <w:sz w:val="18"/>
                <w:szCs w:val="18"/>
              </w:rPr>
            </w:pPr>
            <w:r w:rsidRPr="00EC75B7">
              <w:rPr>
                <w:rFonts w:ascii="Verdana" w:hAnsi="Verdana"/>
                <w:sz w:val="18"/>
                <w:szCs w:val="18"/>
              </w:rPr>
              <w:t xml:space="preserve">them into the agricultural landscape and reducing the visual impact </w:t>
            </w:r>
            <w:r w:rsidRPr="00EC75B7">
              <w:rPr>
                <w:rFonts w:ascii="Verdana" w:hAnsi="Verdana"/>
                <w:spacing w:val="-5"/>
                <w:sz w:val="18"/>
                <w:szCs w:val="18"/>
              </w:rPr>
              <w:t>of</w:t>
            </w:r>
          </w:p>
          <w:p w14:paraId="174E46A0" w14:textId="77777777" w:rsidR="008715BE" w:rsidRPr="00EC75B7" w:rsidRDefault="00000000">
            <w:pPr>
              <w:pStyle w:val="TableParagraph"/>
              <w:spacing w:line="174" w:lineRule="exact"/>
              <w:ind w:left="101"/>
              <w:rPr>
                <w:rFonts w:ascii="Verdana" w:hAnsi="Verdana"/>
                <w:sz w:val="18"/>
                <w:szCs w:val="18"/>
              </w:rPr>
            </w:pPr>
            <w:r w:rsidRPr="00EC75B7">
              <w:rPr>
                <w:rFonts w:ascii="Verdana" w:hAnsi="Verdana"/>
                <w:spacing w:val="-2"/>
                <w:sz w:val="18"/>
                <w:szCs w:val="18"/>
              </w:rPr>
              <w:t>the works.</w:t>
            </w:r>
          </w:p>
        </w:tc>
      </w:tr>
    </w:tbl>
    <w:p w14:paraId="3C753005" w14:textId="77777777" w:rsidR="008715BE" w:rsidRPr="00EC75B7" w:rsidRDefault="008715BE">
      <w:pPr>
        <w:pStyle w:val="BodyText"/>
        <w:spacing w:before="67"/>
        <w:rPr>
          <w:rFonts w:ascii="Verdana" w:hAnsi="Verdana"/>
          <w:b/>
        </w:rPr>
      </w:pPr>
    </w:p>
    <w:p w14:paraId="76BFF9D8" w14:textId="77777777" w:rsidR="008715BE" w:rsidRPr="00EC75B7" w:rsidRDefault="00000000">
      <w:pPr>
        <w:ind w:left="2"/>
        <w:jc w:val="both"/>
        <w:rPr>
          <w:rFonts w:ascii="Verdana" w:hAnsi="Verdana"/>
          <w:b/>
          <w:sz w:val="18"/>
          <w:szCs w:val="18"/>
        </w:rPr>
      </w:pPr>
      <w:r w:rsidRPr="00EC75B7">
        <w:rPr>
          <w:rFonts w:ascii="Verdana" w:hAnsi="Verdana"/>
          <w:b/>
          <w:color w:val="009DEF"/>
          <w:sz w:val="18"/>
          <w:szCs w:val="18"/>
        </w:rPr>
        <w:t xml:space="preserve">Conclusions on the impact on </w:t>
      </w:r>
      <w:r w:rsidRPr="00EC75B7">
        <w:rPr>
          <w:rFonts w:ascii="Verdana" w:hAnsi="Verdana"/>
          <w:b/>
          <w:color w:val="009DEF"/>
          <w:spacing w:val="-2"/>
          <w:sz w:val="18"/>
          <w:szCs w:val="18"/>
        </w:rPr>
        <w:t>the landscape:</w:t>
      </w:r>
    </w:p>
    <w:p w14:paraId="3DE0BEFE" w14:textId="77777777" w:rsidR="008715BE" w:rsidRPr="00EC75B7" w:rsidRDefault="00000000">
      <w:pPr>
        <w:spacing w:before="109" w:line="357" w:lineRule="auto"/>
        <w:ind w:left="2" w:right="709"/>
        <w:jc w:val="both"/>
        <w:rPr>
          <w:rFonts w:ascii="Verdana" w:hAnsi="Verdana"/>
          <w:sz w:val="18"/>
          <w:szCs w:val="18"/>
        </w:rPr>
      </w:pPr>
      <w:r w:rsidRPr="00EC75B7">
        <w:rPr>
          <w:rFonts w:ascii="Verdana" w:hAnsi="Verdana"/>
          <w:sz w:val="18"/>
          <w:szCs w:val="18"/>
        </w:rPr>
        <w:t xml:space="preserve">Given that </w:t>
      </w:r>
      <w:r w:rsidRPr="00EC75B7">
        <w:rPr>
          <w:rFonts w:ascii="Verdana" w:hAnsi="Verdana"/>
          <w:b/>
          <w:sz w:val="18"/>
          <w:szCs w:val="18"/>
        </w:rPr>
        <w:t>the sensitivity of the project sites is low</w:t>
      </w:r>
      <w:r w:rsidRPr="00EC75B7">
        <w:rPr>
          <w:rFonts w:ascii="Verdana" w:hAnsi="Verdana"/>
          <w:sz w:val="18"/>
          <w:szCs w:val="18"/>
        </w:rPr>
        <w:t xml:space="preserve">, as they are located outside built-up areas, in a predominantly agricultural landscape that has already been anthropized and lacks elements of high landscape value, and given that </w:t>
      </w:r>
      <w:r w:rsidRPr="00EC75B7">
        <w:rPr>
          <w:rFonts w:ascii="Verdana" w:hAnsi="Verdana"/>
          <w:b/>
          <w:sz w:val="18"/>
          <w:szCs w:val="18"/>
        </w:rPr>
        <w:t>the magnitude of the impact has been assessed as low negative</w:t>
      </w:r>
      <w:r w:rsidRPr="00EC75B7">
        <w:rPr>
          <w:rFonts w:ascii="Verdana" w:hAnsi="Verdana"/>
          <w:sz w:val="18"/>
          <w:szCs w:val="18"/>
        </w:rPr>
        <w:t>,</w:t>
      </w:r>
      <w:r w:rsidRPr="00EC75B7">
        <w:rPr>
          <w:rFonts w:ascii="Verdana" w:hAnsi="Verdana"/>
          <w:spacing w:val="23"/>
          <w:sz w:val="18"/>
          <w:szCs w:val="18"/>
        </w:rPr>
        <w:t xml:space="preserve"> </w:t>
      </w:r>
      <w:r w:rsidRPr="00EC75B7">
        <w:rPr>
          <w:rFonts w:ascii="Verdana" w:hAnsi="Verdana"/>
          <w:sz w:val="18"/>
          <w:szCs w:val="18"/>
        </w:rPr>
        <w:t xml:space="preserve">it is estimated that the impact on the landscape during the execution period will be </w:t>
      </w:r>
      <w:r w:rsidRPr="00EC75B7">
        <w:rPr>
          <w:rFonts w:ascii="Verdana" w:hAnsi="Verdana"/>
          <w:b/>
          <w:sz w:val="18"/>
          <w:szCs w:val="18"/>
        </w:rPr>
        <w:t>local</w:t>
      </w:r>
      <w:r w:rsidRPr="00EC75B7">
        <w:rPr>
          <w:rFonts w:ascii="Verdana" w:hAnsi="Verdana"/>
          <w:sz w:val="18"/>
          <w:szCs w:val="18"/>
        </w:rPr>
        <w:t>, mainly manifesting itself in the area of the site and access roads, as a result of the presence of construction works and equipment.</w:t>
      </w:r>
    </w:p>
    <w:p w14:paraId="720BE2EC" w14:textId="77777777" w:rsidR="008715BE" w:rsidRPr="00EC75B7" w:rsidRDefault="00000000">
      <w:pPr>
        <w:pStyle w:val="BodyText"/>
        <w:spacing w:before="122" w:line="360" w:lineRule="auto"/>
        <w:ind w:left="2" w:right="708"/>
        <w:jc w:val="both"/>
        <w:rPr>
          <w:rFonts w:ascii="Verdana" w:hAnsi="Verdana"/>
        </w:rPr>
      </w:pPr>
      <w:r w:rsidRPr="00EC75B7">
        <w:rPr>
          <w:rFonts w:ascii="Verdana" w:hAnsi="Verdana"/>
        </w:rPr>
        <w:t xml:space="preserve">The impact on the landscape is </w:t>
      </w:r>
      <w:r w:rsidRPr="00EC75B7">
        <w:rPr>
          <w:rFonts w:ascii="Verdana" w:hAnsi="Verdana"/>
          <w:b/>
        </w:rPr>
        <w:t>temporary during the execution of the works</w:t>
      </w:r>
      <w:r w:rsidRPr="00EC75B7">
        <w:rPr>
          <w:rFonts w:ascii="Verdana" w:hAnsi="Verdana"/>
        </w:rPr>
        <w:t xml:space="preserve">, with </w:t>
      </w:r>
      <w:r w:rsidRPr="00EC75B7">
        <w:rPr>
          <w:rFonts w:ascii="Verdana" w:hAnsi="Verdana"/>
          <w:b/>
        </w:rPr>
        <w:t xml:space="preserve">reversible </w:t>
      </w:r>
      <w:r w:rsidRPr="00EC75B7">
        <w:rPr>
          <w:rFonts w:ascii="Verdana" w:hAnsi="Verdana"/>
        </w:rPr>
        <w:t xml:space="preserve">effects, through the restoration of temporarily affected areas, but also includes </w:t>
      </w:r>
      <w:r w:rsidRPr="00EC75B7">
        <w:rPr>
          <w:rFonts w:ascii="Verdana" w:hAnsi="Verdana"/>
          <w:b/>
        </w:rPr>
        <w:t xml:space="preserve">specific irreversible effects </w:t>
      </w:r>
      <w:r w:rsidRPr="00EC75B7">
        <w:rPr>
          <w:rFonts w:ascii="Verdana" w:hAnsi="Verdana"/>
        </w:rPr>
        <w:t>associated with the construction of permanent structures (wind turbine foundations, technological platforms, access roads, and transformer stations).</w:t>
      </w:r>
      <w:r w:rsidRPr="00EC75B7">
        <w:rPr>
          <w:rFonts w:ascii="Verdana" w:hAnsi="Verdana"/>
          <w:spacing w:val="-4"/>
        </w:rPr>
        <w:t xml:space="preserve"> </w:t>
      </w:r>
      <w:r w:rsidRPr="00EC75B7">
        <w:rPr>
          <w:rFonts w:ascii="Verdana" w:hAnsi="Verdana"/>
        </w:rPr>
        <w:t>However, these permanent changes do not lead to significant changes in the character or quality of the local landscape.</w:t>
      </w:r>
    </w:p>
    <w:p w14:paraId="4D0D70F8" w14:textId="77777777" w:rsidR="008715BE" w:rsidRPr="00EC75B7" w:rsidRDefault="00000000">
      <w:pPr>
        <w:spacing w:before="119"/>
        <w:ind w:left="2"/>
        <w:jc w:val="both"/>
        <w:rPr>
          <w:rFonts w:ascii="Verdana" w:hAnsi="Verdana"/>
          <w:sz w:val="18"/>
          <w:szCs w:val="18"/>
        </w:rPr>
      </w:pPr>
      <w:r w:rsidRPr="00EC75B7">
        <w:rPr>
          <w:rFonts w:ascii="Verdana" w:hAnsi="Verdana"/>
          <w:sz w:val="18"/>
          <w:szCs w:val="18"/>
        </w:rPr>
        <w:t xml:space="preserve">The impact is strictly limited to the project implementation area and does not show any tendency to spread beyond it. </w:t>
      </w:r>
      <w:r w:rsidRPr="00EC75B7">
        <w:rPr>
          <w:rFonts w:ascii="Verdana" w:hAnsi="Verdana"/>
          <w:b/>
          <w:sz w:val="18"/>
          <w:szCs w:val="18"/>
        </w:rPr>
        <w:t>The magnitude and complexity of the impact are low</w:t>
      </w:r>
      <w:r w:rsidRPr="00EC75B7">
        <w:rPr>
          <w:rFonts w:ascii="Verdana" w:hAnsi="Verdana"/>
          <w:sz w:val="18"/>
          <w:szCs w:val="18"/>
        </w:rPr>
        <w:t xml:space="preserve">, and the effects on the landscape are </w:t>
      </w:r>
      <w:r w:rsidRPr="00EC75B7">
        <w:rPr>
          <w:rFonts w:ascii="Verdana" w:hAnsi="Verdana"/>
          <w:spacing w:val="-2"/>
          <w:sz w:val="18"/>
          <w:szCs w:val="18"/>
        </w:rPr>
        <w:t>considered</w:t>
      </w:r>
    </w:p>
    <w:p w14:paraId="17B3B00A" w14:textId="77777777" w:rsidR="008715BE" w:rsidRPr="00EC75B7" w:rsidRDefault="00000000">
      <w:pPr>
        <w:pStyle w:val="BodyText"/>
        <w:spacing w:before="107"/>
        <w:ind w:left="2"/>
        <w:jc w:val="both"/>
        <w:rPr>
          <w:rFonts w:ascii="Verdana" w:hAnsi="Verdana"/>
        </w:rPr>
      </w:pPr>
      <w:r w:rsidRPr="00EC75B7">
        <w:rPr>
          <w:rFonts w:ascii="Verdana" w:hAnsi="Verdana"/>
        </w:rPr>
        <w:t>ins</w:t>
      </w:r>
      <w:r w:rsidRPr="00EC75B7">
        <w:rPr>
          <w:rFonts w:ascii="Verdana" w:hAnsi="Verdana"/>
          <w:b/>
        </w:rPr>
        <w:t xml:space="preserve">ignificant </w:t>
      </w:r>
      <w:r w:rsidRPr="00EC75B7">
        <w:rPr>
          <w:rFonts w:ascii="Verdana" w:hAnsi="Verdana"/>
        </w:rPr>
        <w:t xml:space="preserve">in the context of current land use and the function established by </w:t>
      </w:r>
      <w:r w:rsidRPr="00EC75B7">
        <w:rPr>
          <w:rFonts w:ascii="Verdana" w:hAnsi="Verdana"/>
          <w:spacing w:val="-2"/>
        </w:rPr>
        <w:t xml:space="preserve">urban planning </w:t>
      </w:r>
      <w:r w:rsidRPr="00EC75B7">
        <w:rPr>
          <w:rFonts w:ascii="Verdana" w:hAnsi="Verdana"/>
        </w:rPr>
        <w:t>documentation</w:t>
      </w:r>
      <w:r w:rsidRPr="00EC75B7">
        <w:rPr>
          <w:rFonts w:ascii="Verdana" w:hAnsi="Verdana"/>
          <w:spacing w:val="-2"/>
        </w:rPr>
        <w:t>.</w:t>
      </w:r>
    </w:p>
    <w:p w14:paraId="63753038" w14:textId="77777777" w:rsidR="008715BE" w:rsidRPr="00EC75B7" w:rsidRDefault="008715BE">
      <w:pPr>
        <w:pStyle w:val="BodyText"/>
        <w:spacing w:before="9"/>
        <w:rPr>
          <w:rFonts w:ascii="Verdana" w:hAnsi="Verdana"/>
        </w:rPr>
      </w:pPr>
    </w:p>
    <w:p w14:paraId="21C7C437" w14:textId="77777777" w:rsidR="008715BE" w:rsidRPr="00EC75B7" w:rsidRDefault="00000000">
      <w:pPr>
        <w:pStyle w:val="BodyText"/>
        <w:ind w:left="2"/>
        <w:jc w:val="both"/>
        <w:rPr>
          <w:rFonts w:ascii="Verdana" w:hAnsi="Verdana"/>
        </w:rPr>
      </w:pPr>
      <w:r w:rsidRPr="00EC75B7">
        <w:rPr>
          <w:rFonts w:ascii="Verdana" w:hAnsi="Verdana"/>
        </w:rPr>
        <w:t xml:space="preserve">The probability of impact is </w:t>
      </w:r>
      <w:r w:rsidRPr="00EC75B7">
        <w:rPr>
          <w:rFonts w:ascii="Verdana" w:hAnsi="Verdana"/>
          <w:b/>
        </w:rPr>
        <w:t xml:space="preserve">limited </w:t>
      </w:r>
      <w:r w:rsidRPr="00EC75B7">
        <w:rPr>
          <w:rFonts w:ascii="Verdana" w:hAnsi="Verdana"/>
        </w:rPr>
        <w:t xml:space="preserve">to </w:t>
      </w:r>
      <w:r w:rsidRPr="00EC75B7">
        <w:rPr>
          <w:rFonts w:ascii="Verdana" w:hAnsi="Verdana"/>
          <w:b/>
        </w:rPr>
        <w:t xml:space="preserve">the execution period </w:t>
      </w:r>
      <w:r w:rsidRPr="00EC75B7">
        <w:rPr>
          <w:rFonts w:ascii="Verdana" w:hAnsi="Verdana"/>
        </w:rPr>
        <w:t xml:space="preserve">and the areas where the works are actually carried out, without generating significant cumulative effects on the landscape at local or </w:t>
      </w:r>
      <w:r w:rsidRPr="00EC75B7">
        <w:rPr>
          <w:rFonts w:ascii="Verdana" w:hAnsi="Verdana"/>
          <w:spacing w:val="-2"/>
        </w:rPr>
        <w:t xml:space="preserve">regional </w:t>
      </w:r>
      <w:r w:rsidRPr="00EC75B7">
        <w:rPr>
          <w:rFonts w:ascii="Verdana" w:hAnsi="Verdana"/>
        </w:rPr>
        <w:t>level</w:t>
      </w:r>
      <w:r w:rsidRPr="00EC75B7">
        <w:rPr>
          <w:rFonts w:ascii="Verdana" w:hAnsi="Verdana"/>
          <w:spacing w:val="-2"/>
        </w:rPr>
        <w:t>.</w:t>
      </w:r>
    </w:p>
    <w:p w14:paraId="07BF2CBA" w14:textId="77777777" w:rsidR="008715BE" w:rsidRPr="00EC75B7" w:rsidRDefault="008715BE">
      <w:pPr>
        <w:pStyle w:val="BodyText"/>
        <w:spacing w:before="9"/>
        <w:rPr>
          <w:rFonts w:ascii="Verdana" w:hAnsi="Verdana"/>
        </w:rPr>
      </w:pPr>
    </w:p>
    <w:p w14:paraId="4C239EA1" w14:textId="77777777" w:rsidR="008715BE" w:rsidRPr="00EC75B7" w:rsidRDefault="00000000">
      <w:pPr>
        <w:ind w:left="2"/>
        <w:jc w:val="both"/>
        <w:rPr>
          <w:rFonts w:ascii="Verdana" w:hAnsi="Verdana"/>
          <w:sz w:val="18"/>
          <w:szCs w:val="18"/>
        </w:rPr>
      </w:pPr>
      <w:r w:rsidRPr="00EC75B7">
        <w:rPr>
          <w:rFonts w:ascii="Verdana" w:hAnsi="Verdana"/>
          <w:b/>
          <w:sz w:val="18"/>
          <w:szCs w:val="18"/>
        </w:rPr>
        <w:t>During the decommissioning period</w:t>
      </w:r>
      <w:r w:rsidRPr="00EC75B7">
        <w:rPr>
          <w:rFonts w:ascii="Verdana" w:hAnsi="Verdana"/>
          <w:sz w:val="18"/>
          <w:szCs w:val="18"/>
        </w:rPr>
        <w:t xml:space="preserve">, the impact on the landscape is assessed as being similar to that during the </w:t>
      </w:r>
      <w:r w:rsidRPr="00EC75B7">
        <w:rPr>
          <w:rFonts w:ascii="Verdana" w:hAnsi="Verdana"/>
          <w:spacing w:val="-2"/>
          <w:sz w:val="18"/>
          <w:szCs w:val="18"/>
        </w:rPr>
        <w:t xml:space="preserve">construction </w:t>
      </w:r>
      <w:r w:rsidRPr="00EC75B7">
        <w:rPr>
          <w:rFonts w:ascii="Verdana" w:hAnsi="Verdana"/>
          <w:sz w:val="18"/>
          <w:szCs w:val="18"/>
        </w:rPr>
        <w:t>period.</w:t>
      </w:r>
    </w:p>
    <w:p w14:paraId="0D897623" w14:textId="77777777" w:rsidR="008715BE" w:rsidRPr="00EC75B7" w:rsidRDefault="008715BE">
      <w:pPr>
        <w:jc w:val="both"/>
        <w:rPr>
          <w:rFonts w:ascii="Verdana" w:hAnsi="Verdana"/>
          <w:sz w:val="18"/>
          <w:szCs w:val="18"/>
        </w:rPr>
        <w:sectPr w:rsidR="008715BE" w:rsidRPr="00EC75B7">
          <w:headerReference w:type="default" r:id="rId223"/>
          <w:footerReference w:type="default" r:id="rId224"/>
          <w:pgSz w:w="23820" w:h="16840" w:orient="landscape"/>
          <w:pgMar w:top="1280" w:right="708" w:bottom="1020" w:left="850" w:header="766" w:footer="824" w:gutter="0"/>
          <w:cols w:space="708"/>
        </w:sectPr>
      </w:pPr>
    </w:p>
    <w:p w14:paraId="6D85C28D"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54 Assessment of the project's impact on the landscape (overall assessment,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25"/>
        <w:gridCol w:w="3149"/>
        <w:gridCol w:w="1906"/>
        <w:gridCol w:w="1992"/>
        <w:gridCol w:w="924"/>
        <w:gridCol w:w="840"/>
        <w:gridCol w:w="437"/>
        <w:gridCol w:w="737"/>
        <w:gridCol w:w="1231"/>
        <w:gridCol w:w="722"/>
        <w:gridCol w:w="1075"/>
        <w:gridCol w:w="1020"/>
        <w:gridCol w:w="1540"/>
        <w:gridCol w:w="5810"/>
      </w:tblGrid>
      <w:tr w:rsidR="008715BE" w:rsidRPr="00EC75B7" w14:paraId="08D7B113" w14:textId="77777777">
        <w:trPr>
          <w:trHeight w:val="1763"/>
        </w:trPr>
        <w:tc>
          <w:tcPr>
            <w:tcW w:w="725" w:type="dxa"/>
            <w:shd w:val="clear" w:color="auto" w:fill="00AFEF"/>
          </w:tcPr>
          <w:p w14:paraId="3F859103" w14:textId="77777777" w:rsidR="008715BE" w:rsidRPr="00EC75B7" w:rsidRDefault="008715BE">
            <w:pPr>
              <w:pStyle w:val="TableParagraph"/>
              <w:rPr>
                <w:rFonts w:ascii="Verdana" w:hAnsi="Verdana"/>
                <w:b/>
                <w:sz w:val="18"/>
                <w:szCs w:val="18"/>
              </w:rPr>
            </w:pPr>
          </w:p>
          <w:p w14:paraId="0218E840" w14:textId="77777777" w:rsidR="008715BE" w:rsidRPr="00EC75B7" w:rsidRDefault="008715BE">
            <w:pPr>
              <w:pStyle w:val="TableParagraph"/>
              <w:rPr>
                <w:rFonts w:ascii="Verdana" w:hAnsi="Verdana"/>
                <w:b/>
                <w:sz w:val="18"/>
                <w:szCs w:val="18"/>
              </w:rPr>
            </w:pPr>
          </w:p>
          <w:p w14:paraId="10928FA8" w14:textId="77777777" w:rsidR="008715BE" w:rsidRPr="00EC75B7" w:rsidRDefault="008715BE">
            <w:pPr>
              <w:pStyle w:val="TableParagraph"/>
              <w:rPr>
                <w:rFonts w:ascii="Verdana" w:hAnsi="Verdana"/>
                <w:b/>
                <w:sz w:val="18"/>
                <w:szCs w:val="18"/>
              </w:rPr>
            </w:pPr>
          </w:p>
          <w:p w14:paraId="619DE08C" w14:textId="77777777" w:rsidR="008715BE" w:rsidRPr="00EC75B7" w:rsidRDefault="008715BE">
            <w:pPr>
              <w:pStyle w:val="TableParagraph"/>
              <w:spacing w:before="3"/>
              <w:rPr>
                <w:rFonts w:ascii="Verdana" w:hAnsi="Verdana"/>
                <w:b/>
                <w:sz w:val="18"/>
                <w:szCs w:val="18"/>
              </w:rPr>
            </w:pPr>
          </w:p>
          <w:p w14:paraId="00BC3467"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4"/>
                <w:sz w:val="18"/>
                <w:szCs w:val="18"/>
              </w:rPr>
              <w:t>Stage</w:t>
            </w:r>
          </w:p>
        </w:tc>
        <w:tc>
          <w:tcPr>
            <w:tcW w:w="3149" w:type="dxa"/>
            <w:shd w:val="clear" w:color="auto" w:fill="00AFEF"/>
          </w:tcPr>
          <w:p w14:paraId="4F330937" w14:textId="77777777" w:rsidR="008715BE" w:rsidRPr="00EC75B7" w:rsidRDefault="008715BE">
            <w:pPr>
              <w:pStyle w:val="TableParagraph"/>
              <w:rPr>
                <w:rFonts w:ascii="Verdana" w:hAnsi="Verdana"/>
                <w:b/>
                <w:sz w:val="18"/>
                <w:szCs w:val="18"/>
              </w:rPr>
            </w:pPr>
          </w:p>
          <w:p w14:paraId="73F56CDA" w14:textId="77777777" w:rsidR="008715BE" w:rsidRPr="00EC75B7" w:rsidRDefault="008715BE">
            <w:pPr>
              <w:pStyle w:val="TableParagraph"/>
              <w:rPr>
                <w:rFonts w:ascii="Verdana" w:hAnsi="Verdana"/>
                <w:b/>
                <w:sz w:val="18"/>
                <w:szCs w:val="18"/>
              </w:rPr>
            </w:pPr>
          </w:p>
          <w:p w14:paraId="295DE5C0" w14:textId="77777777" w:rsidR="008715BE" w:rsidRPr="00EC75B7" w:rsidRDefault="008715BE">
            <w:pPr>
              <w:pStyle w:val="TableParagraph"/>
              <w:rPr>
                <w:rFonts w:ascii="Verdana" w:hAnsi="Verdana"/>
                <w:b/>
                <w:sz w:val="18"/>
                <w:szCs w:val="18"/>
              </w:rPr>
            </w:pPr>
          </w:p>
          <w:p w14:paraId="1243C8A6" w14:textId="77777777" w:rsidR="008715BE" w:rsidRPr="00EC75B7" w:rsidRDefault="008715BE">
            <w:pPr>
              <w:pStyle w:val="TableParagraph"/>
              <w:spacing w:before="3"/>
              <w:rPr>
                <w:rFonts w:ascii="Verdana" w:hAnsi="Verdana"/>
                <w:b/>
                <w:sz w:val="18"/>
                <w:szCs w:val="18"/>
              </w:rPr>
            </w:pPr>
          </w:p>
          <w:p w14:paraId="4D75503C" w14:textId="77777777" w:rsidR="008715BE" w:rsidRPr="00EC75B7" w:rsidRDefault="00000000">
            <w:pPr>
              <w:pStyle w:val="TableParagraph"/>
              <w:ind w:left="583"/>
              <w:rPr>
                <w:rFonts w:ascii="Verdana" w:hAnsi="Verdana"/>
                <w:b/>
                <w:sz w:val="18"/>
                <w:szCs w:val="18"/>
              </w:rPr>
            </w:pPr>
            <w:r w:rsidRPr="00EC75B7">
              <w:rPr>
                <w:rFonts w:ascii="Verdana" w:hAnsi="Verdana"/>
                <w:b/>
                <w:color w:val="FFFFFF"/>
                <w:sz w:val="18"/>
                <w:szCs w:val="18"/>
              </w:rPr>
              <w:t>Interventions/</w:t>
            </w:r>
            <w:r w:rsidRPr="00EC75B7">
              <w:rPr>
                <w:rFonts w:ascii="Verdana" w:hAnsi="Verdana"/>
                <w:b/>
                <w:color w:val="FFFFFF"/>
                <w:spacing w:val="-2"/>
                <w:sz w:val="18"/>
                <w:szCs w:val="18"/>
              </w:rPr>
              <w:t>activities</w:t>
            </w:r>
          </w:p>
        </w:tc>
        <w:tc>
          <w:tcPr>
            <w:tcW w:w="1906" w:type="dxa"/>
            <w:shd w:val="clear" w:color="auto" w:fill="00AFEF"/>
          </w:tcPr>
          <w:p w14:paraId="2893F606" w14:textId="77777777" w:rsidR="008715BE" w:rsidRPr="00EC75B7" w:rsidRDefault="008715BE">
            <w:pPr>
              <w:pStyle w:val="TableParagraph"/>
              <w:rPr>
                <w:rFonts w:ascii="Verdana" w:hAnsi="Verdana"/>
                <w:b/>
                <w:sz w:val="18"/>
                <w:szCs w:val="18"/>
              </w:rPr>
            </w:pPr>
          </w:p>
          <w:p w14:paraId="4F52110E" w14:textId="77777777" w:rsidR="008715BE" w:rsidRPr="00EC75B7" w:rsidRDefault="008715BE">
            <w:pPr>
              <w:pStyle w:val="TableParagraph"/>
              <w:rPr>
                <w:rFonts w:ascii="Verdana" w:hAnsi="Verdana"/>
                <w:b/>
                <w:sz w:val="18"/>
                <w:szCs w:val="18"/>
              </w:rPr>
            </w:pPr>
          </w:p>
          <w:p w14:paraId="1A652DDD" w14:textId="77777777" w:rsidR="008715BE" w:rsidRPr="00EC75B7" w:rsidRDefault="008715BE">
            <w:pPr>
              <w:pStyle w:val="TableParagraph"/>
              <w:rPr>
                <w:rFonts w:ascii="Verdana" w:hAnsi="Verdana"/>
                <w:b/>
                <w:sz w:val="18"/>
                <w:szCs w:val="18"/>
              </w:rPr>
            </w:pPr>
          </w:p>
          <w:p w14:paraId="369D40B7" w14:textId="77777777" w:rsidR="008715BE" w:rsidRPr="00EC75B7" w:rsidRDefault="008715BE">
            <w:pPr>
              <w:pStyle w:val="TableParagraph"/>
              <w:spacing w:before="3"/>
              <w:rPr>
                <w:rFonts w:ascii="Verdana" w:hAnsi="Verdana"/>
                <w:b/>
                <w:sz w:val="18"/>
                <w:szCs w:val="18"/>
              </w:rPr>
            </w:pPr>
          </w:p>
          <w:p w14:paraId="49C8869E" w14:textId="77777777" w:rsidR="008715BE" w:rsidRPr="00EC75B7" w:rsidRDefault="00000000">
            <w:pPr>
              <w:pStyle w:val="TableParagraph"/>
              <w:ind w:left="5"/>
              <w:jc w:val="center"/>
              <w:rPr>
                <w:rFonts w:ascii="Verdana" w:hAnsi="Verdana"/>
                <w:b/>
                <w:sz w:val="18"/>
                <w:szCs w:val="18"/>
              </w:rPr>
            </w:pPr>
            <w:r w:rsidRPr="00EC75B7">
              <w:rPr>
                <w:rFonts w:ascii="Verdana" w:hAnsi="Verdana"/>
                <w:b/>
                <w:color w:val="FFFFFF"/>
                <w:spacing w:val="-2"/>
                <w:sz w:val="18"/>
                <w:szCs w:val="18"/>
              </w:rPr>
              <w:t>Effects</w:t>
            </w:r>
          </w:p>
        </w:tc>
        <w:tc>
          <w:tcPr>
            <w:tcW w:w="1992" w:type="dxa"/>
            <w:shd w:val="clear" w:color="auto" w:fill="00AFEF"/>
          </w:tcPr>
          <w:p w14:paraId="2CE148F2" w14:textId="77777777" w:rsidR="008715BE" w:rsidRPr="00EC75B7" w:rsidRDefault="008715BE">
            <w:pPr>
              <w:pStyle w:val="TableParagraph"/>
              <w:rPr>
                <w:rFonts w:ascii="Verdana" w:hAnsi="Verdana"/>
                <w:b/>
                <w:sz w:val="18"/>
                <w:szCs w:val="18"/>
              </w:rPr>
            </w:pPr>
          </w:p>
          <w:p w14:paraId="59B834D1" w14:textId="77777777" w:rsidR="008715BE" w:rsidRPr="00EC75B7" w:rsidRDefault="008715BE">
            <w:pPr>
              <w:pStyle w:val="TableParagraph"/>
              <w:rPr>
                <w:rFonts w:ascii="Verdana" w:hAnsi="Verdana"/>
                <w:b/>
                <w:sz w:val="18"/>
                <w:szCs w:val="18"/>
              </w:rPr>
            </w:pPr>
          </w:p>
          <w:p w14:paraId="0ACF2C04" w14:textId="77777777" w:rsidR="008715BE" w:rsidRPr="00EC75B7" w:rsidRDefault="008715BE">
            <w:pPr>
              <w:pStyle w:val="TableParagraph"/>
              <w:rPr>
                <w:rFonts w:ascii="Verdana" w:hAnsi="Verdana"/>
                <w:b/>
                <w:sz w:val="18"/>
                <w:szCs w:val="18"/>
              </w:rPr>
            </w:pPr>
          </w:p>
          <w:p w14:paraId="48D8531E" w14:textId="77777777" w:rsidR="008715BE" w:rsidRPr="00EC75B7" w:rsidRDefault="008715BE">
            <w:pPr>
              <w:pStyle w:val="TableParagraph"/>
              <w:spacing w:before="3"/>
              <w:rPr>
                <w:rFonts w:ascii="Verdana" w:hAnsi="Verdana"/>
                <w:b/>
                <w:sz w:val="18"/>
                <w:szCs w:val="18"/>
              </w:rPr>
            </w:pPr>
          </w:p>
          <w:p w14:paraId="2DF9928C" w14:textId="77777777" w:rsidR="008715BE" w:rsidRPr="00EC75B7" w:rsidRDefault="00000000">
            <w:pPr>
              <w:pStyle w:val="TableParagraph"/>
              <w:ind w:left="6"/>
              <w:jc w:val="center"/>
              <w:rPr>
                <w:rFonts w:ascii="Verdana" w:hAnsi="Verdana"/>
                <w:b/>
                <w:sz w:val="18"/>
                <w:szCs w:val="18"/>
              </w:rPr>
            </w:pPr>
            <w:r w:rsidRPr="00EC75B7">
              <w:rPr>
                <w:rFonts w:ascii="Verdana" w:hAnsi="Verdana"/>
                <w:b/>
                <w:color w:val="FFFFFF"/>
                <w:spacing w:val="-2"/>
                <w:sz w:val="18"/>
                <w:szCs w:val="18"/>
              </w:rPr>
              <w:t>Impact</w:t>
            </w:r>
          </w:p>
        </w:tc>
        <w:tc>
          <w:tcPr>
            <w:tcW w:w="924" w:type="dxa"/>
            <w:shd w:val="clear" w:color="auto" w:fill="00AFEF"/>
            <w:textDirection w:val="btLr"/>
          </w:tcPr>
          <w:p w14:paraId="5A77C6DF"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z w:val="18"/>
                <w:szCs w:val="18"/>
              </w:rPr>
              <w:t xml:space="preserve">Form of </w:t>
            </w:r>
            <w:r w:rsidRPr="00EC75B7">
              <w:rPr>
                <w:rFonts w:ascii="Verdana" w:hAnsi="Verdana"/>
                <w:b/>
                <w:color w:val="FFFFFF"/>
                <w:spacing w:val="-2"/>
                <w:sz w:val="18"/>
                <w:szCs w:val="18"/>
              </w:rPr>
              <w:t>impact</w:t>
            </w:r>
          </w:p>
        </w:tc>
        <w:tc>
          <w:tcPr>
            <w:tcW w:w="840" w:type="dxa"/>
            <w:shd w:val="clear" w:color="auto" w:fill="00AFEF"/>
            <w:textDirection w:val="btLr"/>
          </w:tcPr>
          <w:p w14:paraId="401533D3" w14:textId="77777777" w:rsidR="008715BE" w:rsidRPr="00EC75B7" w:rsidRDefault="00000000">
            <w:pPr>
              <w:pStyle w:val="TableParagraph"/>
              <w:spacing w:before="119" w:line="244" w:lineRule="auto"/>
              <w:ind w:left="121" w:right="687"/>
              <w:rPr>
                <w:rFonts w:ascii="Verdana" w:hAnsi="Verdana"/>
                <w:b/>
                <w:sz w:val="18"/>
                <w:szCs w:val="18"/>
              </w:rPr>
            </w:pPr>
            <w:r w:rsidRPr="00EC75B7">
              <w:rPr>
                <w:rFonts w:ascii="Verdana" w:hAnsi="Verdana"/>
                <w:b/>
                <w:color w:val="FFFFFF"/>
                <w:spacing w:val="-2"/>
                <w:sz w:val="18"/>
                <w:szCs w:val="18"/>
              </w:rPr>
              <w:t>Nature of impact</w:t>
            </w:r>
          </w:p>
        </w:tc>
        <w:tc>
          <w:tcPr>
            <w:tcW w:w="437" w:type="dxa"/>
            <w:shd w:val="clear" w:color="auto" w:fill="00AFEF"/>
            <w:textDirection w:val="btLr"/>
          </w:tcPr>
          <w:p w14:paraId="08720531"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pacing w:val="-2"/>
                <w:sz w:val="18"/>
                <w:szCs w:val="18"/>
              </w:rPr>
              <w:t>Potential</w:t>
            </w:r>
          </w:p>
          <w:p w14:paraId="193DCC9F" w14:textId="77777777" w:rsidR="008715BE" w:rsidRPr="00EC75B7" w:rsidRDefault="00000000">
            <w:pPr>
              <w:pStyle w:val="TableParagraph"/>
              <w:spacing w:before="4" w:line="91" w:lineRule="exact"/>
              <w:ind w:left="121"/>
              <w:rPr>
                <w:rFonts w:ascii="Verdana" w:hAnsi="Verdana"/>
                <w:b/>
                <w:sz w:val="18"/>
                <w:szCs w:val="18"/>
              </w:rPr>
            </w:pPr>
            <w:r w:rsidRPr="00EC75B7">
              <w:rPr>
                <w:rFonts w:ascii="Verdana" w:hAnsi="Verdana"/>
                <w:b/>
                <w:color w:val="FFFFFF"/>
                <w:spacing w:val="-2"/>
                <w:sz w:val="18"/>
                <w:szCs w:val="18"/>
              </w:rPr>
              <w:t>Cumulative</w:t>
            </w:r>
          </w:p>
        </w:tc>
        <w:tc>
          <w:tcPr>
            <w:tcW w:w="737" w:type="dxa"/>
            <w:shd w:val="clear" w:color="auto" w:fill="00AFEF"/>
            <w:textDirection w:val="btLr"/>
          </w:tcPr>
          <w:p w14:paraId="72DF9C7E"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pacing w:val="-2"/>
                <w:sz w:val="18"/>
                <w:szCs w:val="18"/>
              </w:rPr>
              <w:t>Duration</w:t>
            </w:r>
          </w:p>
        </w:tc>
        <w:tc>
          <w:tcPr>
            <w:tcW w:w="1231" w:type="dxa"/>
            <w:shd w:val="clear" w:color="auto" w:fill="00AFEF"/>
            <w:textDirection w:val="btLr"/>
          </w:tcPr>
          <w:p w14:paraId="0783787A" w14:textId="77777777" w:rsidR="008715BE" w:rsidRPr="00EC75B7" w:rsidRDefault="00000000">
            <w:pPr>
              <w:pStyle w:val="TableParagraph"/>
              <w:spacing w:before="119" w:line="244" w:lineRule="auto"/>
              <w:ind w:left="121"/>
              <w:rPr>
                <w:rFonts w:ascii="Verdana" w:hAnsi="Verdana"/>
                <w:b/>
                <w:sz w:val="18"/>
                <w:szCs w:val="18"/>
              </w:rPr>
            </w:pPr>
            <w:r w:rsidRPr="00EC75B7">
              <w:rPr>
                <w:rFonts w:ascii="Verdana" w:hAnsi="Verdana"/>
                <w:b/>
                <w:color w:val="FFFFFF"/>
                <w:sz w:val="18"/>
                <w:szCs w:val="18"/>
              </w:rPr>
              <w:t xml:space="preserve">Frequency of </w:t>
            </w:r>
            <w:r w:rsidRPr="00EC75B7">
              <w:rPr>
                <w:rFonts w:ascii="Verdana" w:hAnsi="Verdana"/>
                <w:b/>
                <w:color w:val="FFFFFF"/>
                <w:spacing w:val="-2"/>
                <w:sz w:val="18"/>
                <w:szCs w:val="18"/>
              </w:rPr>
              <w:t>occurrence</w:t>
            </w:r>
          </w:p>
        </w:tc>
        <w:tc>
          <w:tcPr>
            <w:tcW w:w="722" w:type="dxa"/>
            <w:shd w:val="clear" w:color="auto" w:fill="00AFEF"/>
            <w:textDirection w:val="btLr"/>
          </w:tcPr>
          <w:p w14:paraId="59B1869C" w14:textId="77777777" w:rsidR="008715BE" w:rsidRPr="00EC75B7" w:rsidRDefault="00000000">
            <w:pPr>
              <w:pStyle w:val="TableParagraph"/>
              <w:spacing w:before="116"/>
              <w:ind w:left="121"/>
              <w:rPr>
                <w:rFonts w:ascii="Verdana" w:hAnsi="Verdana"/>
                <w:b/>
                <w:sz w:val="18"/>
                <w:szCs w:val="18"/>
              </w:rPr>
            </w:pPr>
            <w:r w:rsidRPr="00EC75B7">
              <w:rPr>
                <w:rFonts w:ascii="Verdana" w:hAnsi="Verdana"/>
                <w:b/>
                <w:color w:val="FFFFFF"/>
                <w:spacing w:val="-2"/>
                <w:sz w:val="18"/>
                <w:szCs w:val="18"/>
              </w:rPr>
              <w:t>Extension</w:t>
            </w:r>
          </w:p>
        </w:tc>
        <w:tc>
          <w:tcPr>
            <w:tcW w:w="1075" w:type="dxa"/>
            <w:shd w:val="clear" w:color="auto" w:fill="00AFEF"/>
            <w:textDirection w:val="btLr"/>
          </w:tcPr>
          <w:p w14:paraId="0A85E18C" w14:textId="77777777" w:rsidR="008715BE" w:rsidRPr="00EC75B7" w:rsidRDefault="00000000">
            <w:pPr>
              <w:pStyle w:val="TableParagraph"/>
              <w:spacing w:before="117"/>
              <w:ind w:left="121"/>
              <w:rPr>
                <w:rFonts w:ascii="Verdana" w:hAnsi="Verdana"/>
                <w:b/>
                <w:sz w:val="18"/>
                <w:szCs w:val="18"/>
              </w:rPr>
            </w:pPr>
            <w:r w:rsidRPr="00EC75B7">
              <w:rPr>
                <w:rFonts w:ascii="Verdana" w:hAnsi="Verdana"/>
                <w:b/>
                <w:color w:val="FFFFFF"/>
                <w:spacing w:val="-2"/>
                <w:sz w:val="18"/>
                <w:szCs w:val="18"/>
              </w:rPr>
              <w:t>Probability</w:t>
            </w:r>
          </w:p>
        </w:tc>
        <w:tc>
          <w:tcPr>
            <w:tcW w:w="1020" w:type="dxa"/>
            <w:shd w:val="clear" w:color="auto" w:fill="00AFEF"/>
            <w:textDirection w:val="btLr"/>
          </w:tcPr>
          <w:p w14:paraId="4D2A674A" w14:textId="77777777" w:rsidR="008715BE" w:rsidRPr="00EC75B7" w:rsidRDefault="00000000">
            <w:pPr>
              <w:pStyle w:val="TableParagraph"/>
              <w:spacing w:before="119"/>
              <w:ind w:left="121"/>
              <w:rPr>
                <w:rFonts w:ascii="Verdana" w:hAnsi="Verdana"/>
                <w:b/>
                <w:sz w:val="18"/>
                <w:szCs w:val="18"/>
              </w:rPr>
            </w:pPr>
            <w:r w:rsidRPr="00EC75B7">
              <w:rPr>
                <w:rFonts w:ascii="Verdana" w:hAnsi="Verdana"/>
                <w:b/>
                <w:color w:val="FFFFFF"/>
                <w:spacing w:val="-2"/>
                <w:sz w:val="18"/>
                <w:szCs w:val="18"/>
              </w:rPr>
              <w:t>Reversibility</w:t>
            </w:r>
          </w:p>
        </w:tc>
        <w:tc>
          <w:tcPr>
            <w:tcW w:w="1540" w:type="dxa"/>
            <w:shd w:val="clear" w:color="auto" w:fill="00AFEF"/>
          </w:tcPr>
          <w:p w14:paraId="6EC95AE5" w14:textId="77777777" w:rsidR="008715BE" w:rsidRPr="00EC75B7" w:rsidRDefault="008715BE">
            <w:pPr>
              <w:pStyle w:val="TableParagraph"/>
              <w:rPr>
                <w:rFonts w:ascii="Verdana" w:hAnsi="Verdana"/>
                <w:b/>
                <w:sz w:val="18"/>
                <w:szCs w:val="18"/>
              </w:rPr>
            </w:pPr>
          </w:p>
          <w:p w14:paraId="3DB0FB4D" w14:textId="77777777" w:rsidR="008715BE" w:rsidRPr="00EC75B7" w:rsidRDefault="008715BE">
            <w:pPr>
              <w:pStyle w:val="TableParagraph"/>
              <w:rPr>
                <w:rFonts w:ascii="Verdana" w:hAnsi="Verdana"/>
                <w:b/>
                <w:sz w:val="18"/>
                <w:szCs w:val="18"/>
              </w:rPr>
            </w:pPr>
          </w:p>
          <w:p w14:paraId="49A59968" w14:textId="77777777" w:rsidR="008715BE" w:rsidRPr="00EC75B7" w:rsidRDefault="008715BE">
            <w:pPr>
              <w:pStyle w:val="TableParagraph"/>
              <w:spacing w:before="4"/>
              <w:rPr>
                <w:rFonts w:ascii="Verdana" w:hAnsi="Verdana"/>
                <w:b/>
                <w:sz w:val="18"/>
                <w:szCs w:val="18"/>
              </w:rPr>
            </w:pPr>
          </w:p>
          <w:p w14:paraId="70FAFBDA" w14:textId="77777777" w:rsidR="008715BE" w:rsidRPr="00EC75B7" w:rsidRDefault="00000000">
            <w:pPr>
              <w:pStyle w:val="TableParagraph"/>
              <w:ind w:left="193" w:right="181"/>
              <w:jc w:val="center"/>
              <w:rPr>
                <w:rFonts w:ascii="Verdana" w:hAnsi="Verdana"/>
                <w:b/>
                <w:sz w:val="18"/>
                <w:szCs w:val="18"/>
              </w:rPr>
            </w:pPr>
            <w:r w:rsidRPr="00EC75B7">
              <w:rPr>
                <w:rFonts w:ascii="Verdana" w:hAnsi="Verdana"/>
                <w:b/>
                <w:color w:val="FFFFFF"/>
                <w:spacing w:val="-2"/>
                <w:sz w:val="18"/>
                <w:szCs w:val="18"/>
              </w:rPr>
              <w:t>Assessment of impact significance</w:t>
            </w:r>
          </w:p>
        </w:tc>
        <w:tc>
          <w:tcPr>
            <w:tcW w:w="5810" w:type="dxa"/>
            <w:shd w:val="clear" w:color="auto" w:fill="00AFEF"/>
          </w:tcPr>
          <w:p w14:paraId="679CC890" w14:textId="77777777" w:rsidR="008715BE" w:rsidRPr="00EC75B7" w:rsidRDefault="008715BE">
            <w:pPr>
              <w:pStyle w:val="TableParagraph"/>
              <w:rPr>
                <w:rFonts w:ascii="Verdana" w:hAnsi="Verdana"/>
                <w:b/>
                <w:sz w:val="18"/>
                <w:szCs w:val="18"/>
              </w:rPr>
            </w:pPr>
          </w:p>
          <w:p w14:paraId="04C72B96" w14:textId="77777777" w:rsidR="008715BE" w:rsidRPr="00EC75B7" w:rsidRDefault="008715BE">
            <w:pPr>
              <w:pStyle w:val="TableParagraph"/>
              <w:rPr>
                <w:rFonts w:ascii="Verdana" w:hAnsi="Verdana"/>
                <w:b/>
                <w:sz w:val="18"/>
                <w:szCs w:val="18"/>
              </w:rPr>
            </w:pPr>
          </w:p>
          <w:p w14:paraId="67DFC2DA" w14:textId="77777777" w:rsidR="008715BE" w:rsidRPr="00EC75B7" w:rsidRDefault="008715BE">
            <w:pPr>
              <w:pStyle w:val="TableParagraph"/>
              <w:rPr>
                <w:rFonts w:ascii="Verdana" w:hAnsi="Verdana"/>
                <w:b/>
                <w:sz w:val="18"/>
                <w:szCs w:val="18"/>
              </w:rPr>
            </w:pPr>
          </w:p>
          <w:p w14:paraId="0E43093A" w14:textId="77777777" w:rsidR="008715BE" w:rsidRPr="00EC75B7" w:rsidRDefault="008715BE">
            <w:pPr>
              <w:pStyle w:val="TableParagraph"/>
              <w:spacing w:before="3"/>
              <w:rPr>
                <w:rFonts w:ascii="Verdana" w:hAnsi="Verdana"/>
                <w:b/>
                <w:sz w:val="18"/>
                <w:szCs w:val="18"/>
              </w:rPr>
            </w:pPr>
          </w:p>
          <w:p w14:paraId="3CC5BC5B" w14:textId="77777777" w:rsidR="008715BE" w:rsidRPr="00EC75B7" w:rsidRDefault="00000000">
            <w:pPr>
              <w:pStyle w:val="TableParagraph"/>
              <w:ind w:left="10"/>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56567765" w14:textId="77777777">
        <w:trPr>
          <w:trHeight w:val="1166"/>
        </w:trPr>
        <w:tc>
          <w:tcPr>
            <w:tcW w:w="725" w:type="dxa"/>
            <w:vMerge w:val="restart"/>
            <w:textDirection w:val="btLr"/>
          </w:tcPr>
          <w:p w14:paraId="55B0DA5A" w14:textId="77777777" w:rsidR="008715BE" w:rsidRPr="00EC75B7" w:rsidRDefault="00000000">
            <w:pPr>
              <w:pStyle w:val="TableParagraph"/>
              <w:spacing w:before="118"/>
              <w:ind w:left="17"/>
              <w:jc w:val="center"/>
              <w:rPr>
                <w:rFonts w:ascii="Verdana" w:hAnsi="Verdana"/>
                <w:b/>
                <w:sz w:val="18"/>
                <w:szCs w:val="18"/>
              </w:rPr>
            </w:pPr>
            <w:r w:rsidRPr="00EC75B7">
              <w:rPr>
                <w:rFonts w:ascii="Verdana" w:hAnsi="Verdana"/>
                <w:b/>
                <w:spacing w:val="-2"/>
                <w:sz w:val="18"/>
                <w:szCs w:val="18"/>
              </w:rPr>
              <w:t>Operation</w:t>
            </w:r>
          </w:p>
        </w:tc>
        <w:tc>
          <w:tcPr>
            <w:tcW w:w="3149" w:type="dxa"/>
          </w:tcPr>
          <w:p w14:paraId="7CB58E3A" w14:textId="77777777" w:rsidR="008715BE" w:rsidRPr="00EC75B7" w:rsidRDefault="00000000">
            <w:pPr>
              <w:pStyle w:val="TableParagraph"/>
              <w:spacing w:before="193"/>
              <w:ind w:left="107" w:right="132"/>
              <w:rPr>
                <w:rFonts w:ascii="Verdana" w:hAnsi="Verdana"/>
                <w:sz w:val="18"/>
                <w:szCs w:val="18"/>
              </w:rPr>
            </w:pPr>
            <w:r w:rsidRPr="00EC75B7">
              <w:rPr>
                <w:rFonts w:ascii="Verdana" w:hAnsi="Verdana"/>
                <w:sz w:val="18"/>
                <w:szCs w:val="18"/>
              </w:rPr>
              <w:t xml:space="preserve">Presence of wind farms, technological platforms, transformer stations, and </w:t>
            </w:r>
            <w:r w:rsidRPr="00EC75B7">
              <w:rPr>
                <w:rFonts w:ascii="Verdana" w:hAnsi="Verdana"/>
                <w:spacing w:val="-4"/>
                <w:sz w:val="18"/>
                <w:szCs w:val="18"/>
              </w:rPr>
              <w:t xml:space="preserve">access </w:t>
            </w:r>
            <w:r w:rsidRPr="00EC75B7">
              <w:rPr>
                <w:rFonts w:ascii="Verdana" w:hAnsi="Verdana"/>
                <w:sz w:val="18"/>
                <w:szCs w:val="18"/>
              </w:rPr>
              <w:t>roads</w:t>
            </w:r>
          </w:p>
        </w:tc>
        <w:tc>
          <w:tcPr>
            <w:tcW w:w="1906" w:type="dxa"/>
          </w:tcPr>
          <w:p w14:paraId="5C1E379C" w14:textId="77777777" w:rsidR="008715BE" w:rsidRPr="00EC75B7" w:rsidRDefault="008715BE">
            <w:pPr>
              <w:pStyle w:val="TableParagraph"/>
              <w:spacing w:before="96"/>
              <w:rPr>
                <w:rFonts w:ascii="Verdana" w:hAnsi="Verdana"/>
                <w:b/>
                <w:sz w:val="18"/>
                <w:szCs w:val="18"/>
              </w:rPr>
            </w:pPr>
          </w:p>
          <w:p w14:paraId="0E485549"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 xml:space="preserve">Permanent occupation of </w:t>
            </w:r>
            <w:r w:rsidRPr="00EC75B7">
              <w:rPr>
                <w:rFonts w:ascii="Verdana" w:hAnsi="Verdana"/>
                <w:spacing w:val="-2"/>
                <w:sz w:val="18"/>
                <w:szCs w:val="18"/>
              </w:rPr>
              <w:t xml:space="preserve">land </w:t>
            </w:r>
            <w:r w:rsidRPr="00EC75B7">
              <w:rPr>
                <w:rFonts w:ascii="Verdana" w:hAnsi="Verdana"/>
                <w:sz w:val="18"/>
                <w:szCs w:val="18"/>
              </w:rPr>
              <w:t>areas</w:t>
            </w:r>
          </w:p>
        </w:tc>
        <w:tc>
          <w:tcPr>
            <w:tcW w:w="1992" w:type="dxa"/>
          </w:tcPr>
          <w:p w14:paraId="07FC7D6E" w14:textId="77777777" w:rsidR="008715BE" w:rsidRPr="00EC75B7" w:rsidRDefault="008715BE">
            <w:pPr>
              <w:pStyle w:val="TableParagraph"/>
              <w:spacing w:before="192"/>
              <w:rPr>
                <w:rFonts w:ascii="Verdana" w:hAnsi="Verdana"/>
                <w:b/>
                <w:sz w:val="18"/>
                <w:szCs w:val="18"/>
              </w:rPr>
            </w:pPr>
          </w:p>
          <w:p w14:paraId="7C64A95E" w14:textId="77777777" w:rsidR="008715BE" w:rsidRPr="00EC75B7" w:rsidRDefault="00000000">
            <w:pPr>
              <w:pStyle w:val="TableParagraph"/>
              <w:tabs>
                <w:tab w:val="left" w:pos="1648"/>
              </w:tabs>
              <w:spacing w:line="195" w:lineRule="exact"/>
              <w:ind w:left="105"/>
              <w:rPr>
                <w:rFonts w:ascii="Verdana" w:hAnsi="Verdana"/>
                <w:sz w:val="18"/>
                <w:szCs w:val="18"/>
              </w:rPr>
            </w:pPr>
            <w:r w:rsidRPr="00EC75B7">
              <w:rPr>
                <w:rFonts w:ascii="Verdana" w:hAnsi="Verdana"/>
                <w:spacing w:val="-2"/>
                <w:sz w:val="18"/>
                <w:szCs w:val="18"/>
              </w:rPr>
              <w:t>Changes</w:t>
            </w:r>
            <w:r w:rsidRPr="00EC75B7">
              <w:rPr>
                <w:rFonts w:ascii="Verdana" w:hAnsi="Verdana"/>
                <w:sz w:val="18"/>
                <w:szCs w:val="18"/>
              </w:rPr>
              <w:tab/>
            </w:r>
            <w:r w:rsidRPr="00EC75B7">
              <w:rPr>
                <w:rFonts w:ascii="Verdana" w:hAnsi="Verdana"/>
                <w:spacing w:val="-5"/>
                <w:sz w:val="18"/>
                <w:szCs w:val="18"/>
              </w:rPr>
              <w:t>to</w:t>
            </w:r>
          </w:p>
          <w:p w14:paraId="3CC27522"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the </w:t>
            </w:r>
            <w:r w:rsidRPr="00EC75B7">
              <w:rPr>
                <w:rFonts w:ascii="Verdana" w:hAnsi="Verdana"/>
                <w:spacing w:val="-2"/>
                <w:sz w:val="18"/>
                <w:szCs w:val="18"/>
              </w:rPr>
              <w:t xml:space="preserve">local </w:t>
            </w:r>
            <w:r w:rsidRPr="00EC75B7">
              <w:rPr>
                <w:rFonts w:ascii="Verdana" w:hAnsi="Verdana"/>
                <w:sz w:val="18"/>
                <w:szCs w:val="18"/>
              </w:rPr>
              <w:t>landscape</w:t>
            </w:r>
          </w:p>
        </w:tc>
        <w:tc>
          <w:tcPr>
            <w:tcW w:w="924" w:type="dxa"/>
          </w:tcPr>
          <w:p w14:paraId="0B14681B" w14:textId="77777777" w:rsidR="008715BE" w:rsidRPr="00EC75B7" w:rsidRDefault="008715BE">
            <w:pPr>
              <w:pStyle w:val="TableParagraph"/>
              <w:rPr>
                <w:rFonts w:ascii="Verdana" w:hAnsi="Verdana"/>
                <w:b/>
                <w:sz w:val="18"/>
                <w:szCs w:val="18"/>
              </w:rPr>
            </w:pPr>
          </w:p>
          <w:p w14:paraId="28EA839D" w14:textId="77777777" w:rsidR="008715BE" w:rsidRPr="00EC75B7" w:rsidRDefault="008715BE">
            <w:pPr>
              <w:pStyle w:val="TableParagraph"/>
              <w:spacing w:before="95"/>
              <w:rPr>
                <w:rFonts w:ascii="Verdana" w:hAnsi="Verdana"/>
                <w:b/>
                <w:sz w:val="18"/>
                <w:szCs w:val="18"/>
              </w:rPr>
            </w:pPr>
          </w:p>
          <w:p w14:paraId="47C7F387" w14:textId="77777777" w:rsidR="008715BE" w:rsidRPr="00EC75B7" w:rsidRDefault="00000000">
            <w:pPr>
              <w:pStyle w:val="TableParagraph"/>
              <w:ind w:left="87" w:right="80"/>
              <w:jc w:val="center"/>
              <w:rPr>
                <w:rFonts w:ascii="Verdana" w:hAnsi="Verdana"/>
                <w:sz w:val="18"/>
                <w:szCs w:val="18"/>
              </w:rPr>
            </w:pPr>
            <w:r w:rsidRPr="00EC75B7">
              <w:rPr>
                <w:rFonts w:ascii="Verdana" w:hAnsi="Verdana"/>
                <w:spacing w:val="-2"/>
                <w:sz w:val="18"/>
                <w:szCs w:val="18"/>
              </w:rPr>
              <w:t>Negative</w:t>
            </w:r>
          </w:p>
        </w:tc>
        <w:tc>
          <w:tcPr>
            <w:tcW w:w="840" w:type="dxa"/>
          </w:tcPr>
          <w:p w14:paraId="5CD6658C" w14:textId="77777777" w:rsidR="008715BE" w:rsidRPr="00EC75B7" w:rsidRDefault="008715BE">
            <w:pPr>
              <w:pStyle w:val="TableParagraph"/>
              <w:rPr>
                <w:rFonts w:ascii="Verdana" w:hAnsi="Verdana"/>
                <w:b/>
                <w:sz w:val="18"/>
                <w:szCs w:val="18"/>
              </w:rPr>
            </w:pPr>
          </w:p>
          <w:p w14:paraId="28028E18" w14:textId="77777777" w:rsidR="008715BE" w:rsidRPr="00EC75B7" w:rsidRDefault="008715BE">
            <w:pPr>
              <w:pStyle w:val="TableParagraph"/>
              <w:spacing w:before="95"/>
              <w:rPr>
                <w:rFonts w:ascii="Verdana" w:hAnsi="Verdana"/>
                <w:b/>
                <w:sz w:val="18"/>
                <w:szCs w:val="18"/>
              </w:rPr>
            </w:pPr>
          </w:p>
          <w:p w14:paraId="0511E738"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Direct</w:t>
            </w:r>
          </w:p>
        </w:tc>
        <w:tc>
          <w:tcPr>
            <w:tcW w:w="437" w:type="dxa"/>
          </w:tcPr>
          <w:p w14:paraId="1AE0012C" w14:textId="77777777" w:rsidR="008715BE" w:rsidRPr="00EC75B7" w:rsidRDefault="008715BE">
            <w:pPr>
              <w:pStyle w:val="TableParagraph"/>
              <w:rPr>
                <w:rFonts w:ascii="Verdana" w:hAnsi="Verdana"/>
                <w:b/>
                <w:sz w:val="18"/>
                <w:szCs w:val="18"/>
              </w:rPr>
            </w:pPr>
          </w:p>
          <w:p w14:paraId="1E99C6CF" w14:textId="77777777" w:rsidR="008715BE" w:rsidRPr="00EC75B7" w:rsidRDefault="008715BE">
            <w:pPr>
              <w:pStyle w:val="TableParagraph"/>
              <w:spacing w:before="95"/>
              <w:rPr>
                <w:rFonts w:ascii="Verdana" w:hAnsi="Verdana"/>
                <w:b/>
                <w:sz w:val="18"/>
                <w:szCs w:val="18"/>
              </w:rPr>
            </w:pPr>
          </w:p>
          <w:p w14:paraId="0C6CB42A" w14:textId="77777777" w:rsidR="008715BE" w:rsidRPr="00EC75B7" w:rsidRDefault="00000000">
            <w:pPr>
              <w:pStyle w:val="TableParagraph"/>
              <w:ind w:left="8" w:right="2"/>
              <w:jc w:val="center"/>
              <w:rPr>
                <w:rFonts w:ascii="Verdana" w:hAnsi="Verdana"/>
                <w:sz w:val="18"/>
                <w:szCs w:val="18"/>
              </w:rPr>
            </w:pPr>
            <w:r w:rsidRPr="00EC75B7">
              <w:rPr>
                <w:rFonts w:ascii="Verdana" w:hAnsi="Verdana"/>
                <w:spacing w:val="-5"/>
                <w:sz w:val="18"/>
                <w:szCs w:val="18"/>
              </w:rPr>
              <w:t>Yes</w:t>
            </w:r>
          </w:p>
        </w:tc>
        <w:tc>
          <w:tcPr>
            <w:tcW w:w="737" w:type="dxa"/>
          </w:tcPr>
          <w:p w14:paraId="4148753E" w14:textId="77777777" w:rsidR="008715BE" w:rsidRPr="00EC75B7" w:rsidRDefault="008715BE">
            <w:pPr>
              <w:pStyle w:val="TableParagraph"/>
              <w:rPr>
                <w:rFonts w:ascii="Verdana" w:hAnsi="Verdana"/>
                <w:b/>
                <w:sz w:val="18"/>
                <w:szCs w:val="18"/>
              </w:rPr>
            </w:pPr>
          </w:p>
          <w:p w14:paraId="13C69807" w14:textId="77777777" w:rsidR="008715BE" w:rsidRPr="00EC75B7" w:rsidRDefault="008715BE">
            <w:pPr>
              <w:pStyle w:val="TableParagraph"/>
              <w:spacing w:before="95"/>
              <w:rPr>
                <w:rFonts w:ascii="Verdana" w:hAnsi="Verdana"/>
                <w:b/>
                <w:sz w:val="18"/>
                <w:szCs w:val="18"/>
              </w:rPr>
            </w:pPr>
          </w:p>
          <w:p w14:paraId="44C3097A" w14:textId="77777777" w:rsidR="008715BE" w:rsidRPr="00EC75B7" w:rsidRDefault="00000000">
            <w:pPr>
              <w:pStyle w:val="TableParagraph"/>
              <w:ind w:left="21" w:right="47"/>
              <w:jc w:val="center"/>
              <w:rPr>
                <w:rFonts w:ascii="Verdana" w:hAnsi="Verdana"/>
                <w:sz w:val="18"/>
                <w:szCs w:val="18"/>
              </w:rPr>
            </w:pPr>
            <w:r w:rsidRPr="00EC75B7">
              <w:rPr>
                <w:rFonts w:ascii="Verdana" w:hAnsi="Verdana"/>
                <w:spacing w:val="-2"/>
                <w:sz w:val="18"/>
                <w:szCs w:val="18"/>
              </w:rPr>
              <w:t>Long</w:t>
            </w:r>
          </w:p>
        </w:tc>
        <w:tc>
          <w:tcPr>
            <w:tcW w:w="1231" w:type="dxa"/>
          </w:tcPr>
          <w:p w14:paraId="094F6B5C" w14:textId="77777777" w:rsidR="008715BE" w:rsidRPr="00EC75B7" w:rsidRDefault="008715BE">
            <w:pPr>
              <w:pStyle w:val="TableParagraph"/>
              <w:rPr>
                <w:rFonts w:ascii="Verdana" w:hAnsi="Verdana"/>
                <w:b/>
                <w:sz w:val="18"/>
                <w:szCs w:val="18"/>
              </w:rPr>
            </w:pPr>
          </w:p>
          <w:p w14:paraId="46D65A53" w14:textId="77777777" w:rsidR="008715BE" w:rsidRPr="00EC75B7" w:rsidRDefault="008715BE">
            <w:pPr>
              <w:pStyle w:val="TableParagraph"/>
              <w:spacing w:before="95"/>
              <w:rPr>
                <w:rFonts w:ascii="Verdana" w:hAnsi="Verdana"/>
                <w:b/>
                <w:sz w:val="18"/>
                <w:szCs w:val="18"/>
              </w:rPr>
            </w:pPr>
          </w:p>
          <w:p w14:paraId="2853FAF2"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Continuous</w:t>
            </w:r>
          </w:p>
        </w:tc>
        <w:tc>
          <w:tcPr>
            <w:tcW w:w="722" w:type="dxa"/>
          </w:tcPr>
          <w:p w14:paraId="38CED2C2" w14:textId="77777777" w:rsidR="008715BE" w:rsidRPr="00EC75B7" w:rsidRDefault="008715BE">
            <w:pPr>
              <w:pStyle w:val="TableParagraph"/>
              <w:rPr>
                <w:rFonts w:ascii="Verdana" w:hAnsi="Verdana"/>
                <w:b/>
                <w:sz w:val="18"/>
                <w:szCs w:val="18"/>
              </w:rPr>
            </w:pPr>
          </w:p>
          <w:p w14:paraId="717822D5" w14:textId="77777777" w:rsidR="008715BE" w:rsidRPr="00EC75B7" w:rsidRDefault="008715BE">
            <w:pPr>
              <w:pStyle w:val="TableParagraph"/>
              <w:spacing w:before="95"/>
              <w:rPr>
                <w:rFonts w:ascii="Verdana" w:hAnsi="Verdana"/>
                <w:b/>
                <w:sz w:val="18"/>
                <w:szCs w:val="18"/>
              </w:rPr>
            </w:pPr>
          </w:p>
          <w:p w14:paraId="28DD34B9" w14:textId="77777777" w:rsidR="008715BE" w:rsidRPr="00EC75B7" w:rsidRDefault="00000000">
            <w:pPr>
              <w:pStyle w:val="TableParagraph"/>
              <w:ind w:left="16" w:right="11"/>
              <w:jc w:val="center"/>
              <w:rPr>
                <w:rFonts w:ascii="Verdana" w:hAnsi="Verdana"/>
                <w:sz w:val="18"/>
                <w:szCs w:val="18"/>
              </w:rPr>
            </w:pPr>
            <w:r w:rsidRPr="00EC75B7">
              <w:rPr>
                <w:rFonts w:ascii="Verdana" w:hAnsi="Verdana"/>
                <w:spacing w:val="-2"/>
                <w:sz w:val="18"/>
                <w:szCs w:val="18"/>
              </w:rPr>
              <w:t>Local</w:t>
            </w:r>
          </w:p>
        </w:tc>
        <w:tc>
          <w:tcPr>
            <w:tcW w:w="1075" w:type="dxa"/>
          </w:tcPr>
          <w:p w14:paraId="493C740C" w14:textId="77777777" w:rsidR="008715BE" w:rsidRPr="00EC75B7" w:rsidRDefault="008715BE">
            <w:pPr>
              <w:pStyle w:val="TableParagraph"/>
              <w:rPr>
                <w:rFonts w:ascii="Verdana" w:hAnsi="Verdana"/>
                <w:b/>
                <w:sz w:val="18"/>
                <w:szCs w:val="18"/>
              </w:rPr>
            </w:pPr>
          </w:p>
          <w:p w14:paraId="2F3CDE35" w14:textId="77777777" w:rsidR="008715BE" w:rsidRPr="00EC75B7" w:rsidRDefault="008715BE">
            <w:pPr>
              <w:pStyle w:val="TableParagraph"/>
              <w:spacing w:before="95"/>
              <w:rPr>
                <w:rFonts w:ascii="Verdana" w:hAnsi="Verdana"/>
                <w:b/>
                <w:sz w:val="18"/>
                <w:szCs w:val="18"/>
              </w:rPr>
            </w:pPr>
          </w:p>
          <w:p w14:paraId="4D2555AB" w14:textId="77777777" w:rsidR="008715BE" w:rsidRPr="00EC75B7" w:rsidRDefault="00000000">
            <w:pPr>
              <w:pStyle w:val="TableParagraph"/>
              <w:ind w:left="4" w:right="112"/>
              <w:jc w:val="center"/>
              <w:rPr>
                <w:rFonts w:ascii="Verdana" w:hAnsi="Verdana"/>
                <w:sz w:val="18"/>
                <w:szCs w:val="18"/>
              </w:rPr>
            </w:pPr>
            <w:r w:rsidRPr="00EC75B7">
              <w:rPr>
                <w:rFonts w:ascii="Verdana" w:hAnsi="Verdana"/>
                <w:spacing w:val="-2"/>
                <w:sz w:val="18"/>
                <w:szCs w:val="18"/>
              </w:rPr>
              <w:t>Probable</w:t>
            </w:r>
          </w:p>
        </w:tc>
        <w:tc>
          <w:tcPr>
            <w:tcW w:w="1020" w:type="dxa"/>
          </w:tcPr>
          <w:p w14:paraId="2C5466BA" w14:textId="77777777" w:rsidR="008715BE" w:rsidRPr="00EC75B7" w:rsidRDefault="008715BE">
            <w:pPr>
              <w:pStyle w:val="TableParagraph"/>
              <w:rPr>
                <w:rFonts w:ascii="Verdana" w:hAnsi="Verdana"/>
                <w:b/>
                <w:sz w:val="18"/>
                <w:szCs w:val="18"/>
              </w:rPr>
            </w:pPr>
          </w:p>
          <w:p w14:paraId="3CF5ACBC" w14:textId="77777777" w:rsidR="008715BE" w:rsidRPr="00EC75B7" w:rsidRDefault="008715BE">
            <w:pPr>
              <w:pStyle w:val="TableParagraph"/>
              <w:spacing w:before="95"/>
              <w:rPr>
                <w:rFonts w:ascii="Verdana" w:hAnsi="Verdana"/>
                <w:b/>
                <w:sz w:val="18"/>
                <w:szCs w:val="18"/>
              </w:rPr>
            </w:pPr>
          </w:p>
          <w:p w14:paraId="37F086DB" w14:textId="77777777" w:rsidR="008715BE" w:rsidRPr="00EC75B7" w:rsidRDefault="00000000">
            <w:pPr>
              <w:pStyle w:val="TableParagraph"/>
              <w:ind w:left="21" w:right="10"/>
              <w:jc w:val="center"/>
              <w:rPr>
                <w:rFonts w:ascii="Verdana" w:hAnsi="Verdana"/>
                <w:sz w:val="18"/>
                <w:szCs w:val="18"/>
              </w:rPr>
            </w:pPr>
            <w:r w:rsidRPr="00EC75B7">
              <w:rPr>
                <w:rFonts w:ascii="Verdana" w:hAnsi="Verdana"/>
                <w:spacing w:val="-2"/>
                <w:sz w:val="18"/>
                <w:szCs w:val="18"/>
              </w:rPr>
              <w:t>Irreversible</w:t>
            </w:r>
          </w:p>
        </w:tc>
        <w:tc>
          <w:tcPr>
            <w:tcW w:w="1540" w:type="dxa"/>
          </w:tcPr>
          <w:p w14:paraId="2172623E" w14:textId="77777777" w:rsidR="008715BE" w:rsidRPr="00EC75B7" w:rsidRDefault="008715BE">
            <w:pPr>
              <w:pStyle w:val="TableParagraph"/>
              <w:rPr>
                <w:rFonts w:ascii="Verdana" w:hAnsi="Verdana"/>
                <w:b/>
                <w:sz w:val="18"/>
                <w:szCs w:val="18"/>
              </w:rPr>
            </w:pPr>
          </w:p>
          <w:p w14:paraId="3C2FA077" w14:textId="77777777" w:rsidR="008715BE" w:rsidRPr="00EC75B7" w:rsidRDefault="008715BE">
            <w:pPr>
              <w:pStyle w:val="TableParagraph"/>
              <w:spacing w:before="95"/>
              <w:rPr>
                <w:rFonts w:ascii="Verdana" w:hAnsi="Verdana"/>
                <w:b/>
                <w:sz w:val="18"/>
                <w:szCs w:val="18"/>
              </w:rPr>
            </w:pPr>
          </w:p>
          <w:p w14:paraId="0A2BDB10" w14:textId="77777777" w:rsidR="008715BE" w:rsidRPr="00EC75B7" w:rsidRDefault="00000000">
            <w:pPr>
              <w:pStyle w:val="TableParagraph"/>
              <w:ind w:left="12" w:right="143"/>
              <w:jc w:val="center"/>
              <w:rPr>
                <w:rFonts w:ascii="Verdana" w:hAnsi="Verdana"/>
                <w:sz w:val="18"/>
                <w:szCs w:val="18"/>
              </w:rPr>
            </w:pPr>
            <w:r w:rsidRPr="00EC75B7">
              <w:rPr>
                <w:rFonts w:ascii="Verdana" w:hAnsi="Verdana"/>
                <w:spacing w:val="-2"/>
                <w:sz w:val="18"/>
                <w:szCs w:val="18"/>
              </w:rPr>
              <w:t>Insignificant</w:t>
            </w:r>
          </w:p>
        </w:tc>
        <w:tc>
          <w:tcPr>
            <w:tcW w:w="5810" w:type="dxa"/>
          </w:tcPr>
          <w:p w14:paraId="4F7FA285" w14:textId="77777777" w:rsidR="008715BE" w:rsidRPr="00EC75B7" w:rsidRDefault="00000000">
            <w:pPr>
              <w:pStyle w:val="TableParagraph"/>
              <w:ind w:left="107" w:right="92"/>
              <w:jc w:val="both"/>
              <w:rPr>
                <w:rFonts w:ascii="Verdana" w:hAnsi="Verdana"/>
                <w:sz w:val="18"/>
                <w:szCs w:val="18"/>
              </w:rPr>
            </w:pPr>
            <w:r w:rsidRPr="00EC75B7">
              <w:rPr>
                <w:rFonts w:ascii="Verdana" w:hAnsi="Verdana"/>
                <w:sz w:val="18"/>
                <w:szCs w:val="18"/>
              </w:rPr>
              <w:t xml:space="preserve">During the operational phase, the impact on the landscape is determined by the presence of the permanent structural elements of the wind farm. These are located in an agricultural landscape, predominantly anthropized, without high landscape value. Although the changes are permanent, they do not significantly affect the character </w:t>
            </w:r>
            <w:r w:rsidRPr="00EC75B7">
              <w:rPr>
                <w:rFonts w:ascii="Verdana" w:hAnsi="Verdana"/>
                <w:spacing w:val="-2"/>
                <w:sz w:val="18"/>
                <w:szCs w:val="18"/>
              </w:rPr>
              <w:t>of the landscape</w:t>
            </w:r>
          </w:p>
          <w:p w14:paraId="6E8A9A83" w14:textId="77777777" w:rsidR="008715BE" w:rsidRPr="00EC75B7" w:rsidRDefault="00000000">
            <w:pPr>
              <w:pStyle w:val="TableParagraph"/>
              <w:spacing w:line="170" w:lineRule="exact"/>
              <w:ind w:left="107"/>
              <w:jc w:val="both"/>
              <w:rPr>
                <w:rFonts w:ascii="Verdana" w:hAnsi="Verdana"/>
                <w:sz w:val="18"/>
                <w:szCs w:val="18"/>
              </w:rPr>
            </w:pPr>
            <w:r w:rsidRPr="00EC75B7">
              <w:rPr>
                <w:rFonts w:ascii="Verdana" w:hAnsi="Verdana"/>
                <w:sz w:val="18"/>
                <w:szCs w:val="18"/>
              </w:rPr>
              <w:t xml:space="preserve">, as the impact is local and of </w:t>
            </w:r>
            <w:r w:rsidRPr="00EC75B7">
              <w:rPr>
                <w:rFonts w:ascii="Verdana" w:hAnsi="Verdana"/>
                <w:spacing w:val="-2"/>
                <w:sz w:val="18"/>
                <w:szCs w:val="18"/>
              </w:rPr>
              <w:t xml:space="preserve">low </w:t>
            </w:r>
            <w:r w:rsidRPr="00EC75B7">
              <w:rPr>
                <w:rFonts w:ascii="Verdana" w:hAnsi="Verdana"/>
                <w:sz w:val="18"/>
                <w:szCs w:val="18"/>
              </w:rPr>
              <w:t>intensity</w:t>
            </w:r>
            <w:r w:rsidRPr="00EC75B7">
              <w:rPr>
                <w:rFonts w:ascii="Verdana" w:hAnsi="Verdana"/>
                <w:spacing w:val="-2"/>
                <w:sz w:val="18"/>
                <w:szCs w:val="18"/>
              </w:rPr>
              <w:t>.</w:t>
            </w:r>
          </w:p>
        </w:tc>
      </w:tr>
      <w:tr w:rsidR="008715BE" w:rsidRPr="00EC75B7" w14:paraId="648339D6" w14:textId="77777777">
        <w:trPr>
          <w:trHeight w:val="779"/>
        </w:trPr>
        <w:tc>
          <w:tcPr>
            <w:tcW w:w="725" w:type="dxa"/>
            <w:vMerge/>
            <w:tcBorders>
              <w:top w:val="nil"/>
            </w:tcBorders>
            <w:textDirection w:val="btLr"/>
          </w:tcPr>
          <w:p w14:paraId="4E2F356F" w14:textId="77777777" w:rsidR="008715BE" w:rsidRPr="00EC75B7" w:rsidRDefault="008715BE">
            <w:pPr>
              <w:rPr>
                <w:rFonts w:ascii="Verdana" w:hAnsi="Verdana"/>
                <w:sz w:val="18"/>
                <w:szCs w:val="18"/>
              </w:rPr>
            </w:pPr>
          </w:p>
        </w:tc>
        <w:tc>
          <w:tcPr>
            <w:tcW w:w="3149" w:type="dxa"/>
          </w:tcPr>
          <w:p w14:paraId="0421B1B4" w14:textId="77777777" w:rsidR="008715BE" w:rsidRPr="00EC75B7" w:rsidRDefault="00000000">
            <w:pPr>
              <w:pStyle w:val="TableParagraph"/>
              <w:spacing w:before="193"/>
              <w:ind w:left="107" w:right="223"/>
              <w:rPr>
                <w:rFonts w:ascii="Verdana" w:hAnsi="Verdana"/>
                <w:sz w:val="18"/>
                <w:szCs w:val="18"/>
              </w:rPr>
            </w:pPr>
            <w:r w:rsidRPr="00EC75B7">
              <w:rPr>
                <w:rFonts w:ascii="Verdana" w:hAnsi="Verdana"/>
                <w:sz w:val="18"/>
                <w:szCs w:val="18"/>
              </w:rPr>
              <w:t xml:space="preserve">Current operation of the </w:t>
            </w:r>
            <w:r w:rsidRPr="00EC75B7">
              <w:rPr>
                <w:rFonts w:ascii="Verdana" w:hAnsi="Verdana"/>
                <w:spacing w:val="-2"/>
                <w:sz w:val="18"/>
                <w:szCs w:val="18"/>
              </w:rPr>
              <w:t>wind</w:t>
            </w:r>
            <w:r w:rsidRPr="00EC75B7">
              <w:rPr>
                <w:rFonts w:ascii="Verdana" w:hAnsi="Verdana"/>
                <w:sz w:val="18"/>
                <w:szCs w:val="18"/>
              </w:rPr>
              <w:t xml:space="preserve"> farm</w:t>
            </w:r>
          </w:p>
        </w:tc>
        <w:tc>
          <w:tcPr>
            <w:tcW w:w="1906" w:type="dxa"/>
          </w:tcPr>
          <w:p w14:paraId="1BAAF9B8" w14:textId="77777777" w:rsidR="008715BE" w:rsidRPr="00EC75B7" w:rsidRDefault="00000000">
            <w:pPr>
              <w:pStyle w:val="TableParagraph"/>
              <w:spacing w:before="97"/>
              <w:ind w:left="105" w:right="97"/>
              <w:rPr>
                <w:rFonts w:ascii="Verdana" w:hAnsi="Verdana"/>
                <w:sz w:val="18"/>
                <w:szCs w:val="18"/>
              </w:rPr>
            </w:pPr>
            <w:r w:rsidRPr="00EC75B7">
              <w:rPr>
                <w:rFonts w:ascii="Verdana" w:hAnsi="Verdana"/>
                <w:spacing w:val="-2"/>
                <w:sz w:val="18"/>
                <w:szCs w:val="18"/>
              </w:rPr>
              <w:t xml:space="preserve">Maintenance of </w:t>
            </w:r>
            <w:r w:rsidRPr="00EC75B7">
              <w:rPr>
                <w:rFonts w:ascii="Verdana" w:hAnsi="Verdana"/>
                <w:sz w:val="18"/>
                <w:szCs w:val="18"/>
              </w:rPr>
              <w:t>constructed</w:t>
            </w:r>
            <w:r w:rsidRPr="00EC75B7">
              <w:rPr>
                <w:rFonts w:ascii="Verdana" w:hAnsi="Verdana"/>
                <w:spacing w:val="-2"/>
                <w:sz w:val="18"/>
                <w:szCs w:val="18"/>
              </w:rPr>
              <w:t xml:space="preserve"> elements </w:t>
            </w:r>
            <w:r w:rsidRPr="00EC75B7">
              <w:rPr>
                <w:rFonts w:ascii="Verdana" w:hAnsi="Verdana"/>
                <w:sz w:val="18"/>
                <w:szCs w:val="18"/>
              </w:rPr>
              <w:t>in the landscape</w:t>
            </w:r>
          </w:p>
        </w:tc>
        <w:tc>
          <w:tcPr>
            <w:tcW w:w="1992" w:type="dxa"/>
          </w:tcPr>
          <w:p w14:paraId="093ACB95" w14:textId="77777777" w:rsidR="008715BE" w:rsidRPr="00EC75B7" w:rsidRDefault="00000000">
            <w:pPr>
              <w:pStyle w:val="TableParagraph"/>
              <w:spacing w:before="193"/>
              <w:ind w:left="105"/>
              <w:rPr>
                <w:rFonts w:ascii="Verdana" w:hAnsi="Verdana"/>
                <w:sz w:val="18"/>
                <w:szCs w:val="18"/>
              </w:rPr>
            </w:pPr>
            <w:r w:rsidRPr="00EC75B7">
              <w:rPr>
                <w:rFonts w:ascii="Verdana" w:hAnsi="Verdana"/>
                <w:spacing w:val="-2"/>
                <w:sz w:val="18"/>
                <w:szCs w:val="18"/>
              </w:rPr>
              <w:t xml:space="preserve">Maintenance </w:t>
            </w:r>
            <w:r w:rsidRPr="00EC75B7">
              <w:rPr>
                <w:rFonts w:ascii="Verdana" w:hAnsi="Verdana"/>
                <w:sz w:val="18"/>
                <w:szCs w:val="18"/>
              </w:rPr>
              <w:t>of visual changes</w:t>
            </w:r>
          </w:p>
        </w:tc>
        <w:tc>
          <w:tcPr>
            <w:tcW w:w="924" w:type="dxa"/>
          </w:tcPr>
          <w:p w14:paraId="2FA0CE66" w14:textId="77777777" w:rsidR="008715BE" w:rsidRPr="00EC75B7" w:rsidRDefault="008715BE">
            <w:pPr>
              <w:pStyle w:val="TableParagraph"/>
              <w:spacing w:before="96"/>
              <w:rPr>
                <w:rFonts w:ascii="Verdana" w:hAnsi="Verdana"/>
                <w:b/>
                <w:sz w:val="18"/>
                <w:szCs w:val="18"/>
              </w:rPr>
            </w:pPr>
          </w:p>
          <w:p w14:paraId="471AEC88" w14:textId="77777777" w:rsidR="008715BE" w:rsidRPr="00EC75B7" w:rsidRDefault="00000000">
            <w:pPr>
              <w:pStyle w:val="TableParagraph"/>
              <w:ind w:left="87" w:right="80"/>
              <w:jc w:val="center"/>
              <w:rPr>
                <w:rFonts w:ascii="Verdana" w:hAnsi="Verdana"/>
                <w:sz w:val="18"/>
                <w:szCs w:val="18"/>
              </w:rPr>
            </w:pPr>
            <w:r w:rsidRPr="00EC75B7">
              <w:rPr>
                <w:rFonts w:ascii="Verdana" w:hAnsi="Verdana"/>
                <w:spacing w:val="-2"/>
                <w:sz w:val="18"/>
                <w:szCs w:val="18"/>
              </w:rPr>
              <w:t>Negative</w:t>
            </w:r>
          </w:p>
        </w:tc>
        <w:tc>
          <w:tcPr>
            <w:tcW w:w="840" w:type="dxa"/>
          </w:tcPr>
          <w:p w14:paraId="6EF0F033" w14:textId="77777777" w:rsidR="008715BE" w:rsidRPr="00EC75B7" w:rsidRDefault="008715BE">
            <w:pPr>
              <w:pStyle w:val="TableParagraph"/>
              <w:spacing w:before="96"/>
              <w:rPr>
                <w:rFonts w:ascii="Verdana" w:hAnsi="Verdana"/>
                <w:b/>
                <w:sz w:val="18"/>
                <w:szCs w:val="18"/>
              </w:rPr>
            </w:pPr>
          </w:p>
          <w:p w14:paraId="2C3BC9B7"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Indirect</w:t>
            </w:r>
          </w:p>
        </w:tc>
        <w:tc>
          <w:tcPr>
            <w:tcW w:w="437" w:type="dxa"/>
          </w:tcPr>
          <w:p w14:paraId="0CB64E9F" w14:textId="77777777" w:rsidR="008715BE" w:rsidRPr="00EC75B7" w:rsidRDefault="008715BE">
            <w:pPr>
              <w:pStyle w:val="TableParagraph"/>
              <w:spacing w:before="96"/>
              <w:rPr>
                <w:rFonts w:ascii="Verdana" w:hAnsi="Verdana"/>
                <w:b/>
                <w:sz w:val="18"/>
                <w:szCs w:val="18"/>
              </w:rPr>
            </w:pPr>
          </w:p>
          <w:p w14:paraId="48F2D4C5" w14:textId="77777777" w:rsidR="008715BE" w:rsidRPr="00EC75B7" w:rsidRDefault="00000000">
            <w:pPr>
              <w:pStyle w:val="TableParagraph"/>
              <w:ind w:left="8" w:right="2"/>
              <w:jc w:val="center"/>
              <w:rPr>
                <w:rFonts w:ascii="Verdana" w:hAnsi="Verdana"/>
                <w:sz w:val="18"/>
                <w:szCs w:val="18"/>
              </w:rPr>
            </w:pPr>
            <w:r w:rsidRPr="00EC75B7">
              <w:rPr>
                <w:rFonts w:ascii="Verdana" w:hAnsi="Verdana"/>
                <w:spacing w:val="-5"/>
                <w:sz w:val="18"/>
                <w:szCs w:val="18"/>
              </w:rPr>
              <w:t>Yes</w:t>
            </w:r>
          </w:p>
        </w:tc>
        <w:tc>
          <w:tcPr>
            <w:tcW w:w="737" w:type="dxa"/>
          </w:tcPr>
          <w:p w14:paraId="26D96D73" w14:textId="77777777" w:rsidR="008715BE" w:rsidRPr="00EC75B7" w:rsidRDefault="008715BE">
            <w:pPr>
              <w:pStyle w:val="TableParagraph"/>
              <w:spacing w:before="96"/>
              <w:rPr>
                <w:rFonts w:ascii="Verdana" w:hAnsi="Verdana"/>
                <w:b/>
                <w:sz w:val="18"/>
                <w:szCs w:val="18"/>
              </w:rPr>
            </w:pPr>
          </w:p>
          <w:p w14:paraId="7E488D1F" w14:textId="77777777" w:rsidR="008715BE" w:rsidRPr="00EC75B7" w:rsidRDefault="00000000">
            <w:pPr>
              <w:pStyle w:val="TableParagraph"/>
              <w:ind w:left="21" w:right="47"/>
              <w:jc w:val="center"/>
              <w:rPr>
                <w:rFonts w:ascii="Verdana" w:hAnsi="Verdana"/>
                <w:sz w:val="18"/>
                <w:szCs w:val="18"/>
              </w:rPr>
            </w:pPr>
            <w:r w:rsidRPr="00EC75B7">
              <w:rPr>
                <w:rFonts w:ascii="Verdana" w:hAnsi="Verdana"/>
                <w:spacing w:val="-2"/>
                <w:sz w:val="18"/>
                <w:szCs w:val="18"/>
              </w:rPr>
              <w:t>Long</w:t>
            </w:r>
          </w:p>
        </w:tc>
        <w:tc>
          <w:tcPr>
            <w:tcW w:w="1231" w:type="dxa"/>
          </w:tcPr>
          <w:p w14:paraId="405ACEE1" w14:textId="77777777" w:rsidR="008715BE" w:rsidRPr="00EC75B7" w:rsidRDefault="008715BE">
            <w:pPr>
              <w:pStyle w:val="TableParagraph"/>
              <w:spacing w:before="96"/>
              <w:rPr>
                <w:rFonts w:ascii="Verdana" w:hAnsi="Verdana"/>
                <w:b/>
                <w:sz w:val="18"/>
                <w:szCs w:val="18"/>
              </w:rPr>
            </w:pPr>
          </w:p>
          <w:p w14:paraId="76BF67E0"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Continuous</w:t>
            </w:r>
          </w:p>
        </w:tc>
        <w:tc>
          <w:tcPr>
            <w:tcW w:w="722" w:type="dxa"/>
          </w:tcPr>
          <w:p w14:paraId="2800E9EC" w14:textId="77777777" w:rsidR="008715BE" w:rsidRPr="00EC75B7" w:rsidRDefault="008715BE">
            <w:pPr>
              <w:pStyle w:val="TableParagraph"/>
              <w:spacing w:before="96"/>
              <w:rPr>
                <w:rFonts w:ascii="Verdana" w:hAnsi="Verdana"/>
                <w:b/>
                <w:sz w:val="18"/>
                <w:szCs w:val="18"/>
              </w:rPr>
            </w:pPr>
          </w:p>
          <w:p w14:paraId="461ACBCA" w14:textId="77777777" w:rsidR="008715BE" w:rsidRPr="00EC75B7" w:rsidRDefault="00000000">
            <w:pPr>
              <w:pStyle w:val="TableParagraph"/>
              <w:ind w:left="16" w:right="11"/>
              <w:jc w:val="center"/>
              <w:rPr>
                <w:rFonts w:ascii="Verdana" w:hAnsi="Verdana"/>
                <w:sz w:val="18"/>
                <w:szCs w:val="18"/>
              </w:rPr>
            </w:pPr>
            <w:r w:rsidRPr="00EC75B7">
              <w:rPr>
                <w:rFonts w:ascii="Verdana" w:hAnsi="Verdana"/>
                <w:spacing w:val="-2"/>
                <w:sz w:val="18"/>
                <w:szCs w:val="18"/>
              </w:rPr>
              <w:t>Local</w:t>
            </w:r>
          </w:p>
        </w:tc>
        <w:tc>
          <w:tcPr>
            <w:tcW w:w="1075" w:type="dxa"/>
          </w:tcPr>
          <w:p w14:paraId="0D08E20C" w14:textId="77777777" w:rsidR="008715BE" w:rsidRPr="00EC75B7" w:rsidRDefault="008715BE">
            <w:pPr>
              <w:pStyle w:val="TableParagraph"/>
              <w:spacing w:before="96"/>
              <w:rPr>
                <w:rFonts w:ascii="Verdana" w:hAnsi="Verdana"/>
                <w:b/>
                <w:sz w:val="18"/>
                <w:szCs w:val="18"/>
              </w:rPr>
            </w:pPr>
          </w:p>
          <w:p w14:paraId="28D49BC9" w14:textId="77777777" w:rsidR="008715BE" w:rsidRPr="00EC75B7" w:rsidRDefault="00000000">
            <w:pPr>
              <w:pStyle w:val="TableParagraph"/>
              <w:ind w:left="4" w:right="112"/>
              <w:jc w:val="center"/>
              <w:rPr>
                <w:rFonts w:ascii="Verdana" w:hAnsi="Verdana"/>
                <w:sz w:val="18"/>
                <w:szCs w:val="18"/>
              </w:rPr>
            </w:pPr>
            <w:r w:rsidRPr="00EC75B7">
              <w:rPr>
                <w:rFonts w:ascii="Verdana" w:hAnsi="Verdana"/>
                <w:spacing w:val="-2"/>
                <w:sz w:val="18"/>
                <w:szCs w:val="18"/>
              </w:rPr>
              <w:t>Probable</w:t>
            </w:r>
          </w:p>
        </w:tc>
        <w:tc>
          <w:tcPr>
            <w:tcW w:w="1020" w:type="dxa"/>
          </w:tcPr>
          <w:p w14:paraId="7F69350C" w14:textId="77777777" w:rsidR="008715BE" w:rsidRPr="00EC75B7" w:rsidRDefault="008715BE">
            <w:pPr>
              <w:pStyle w:val="TableParagraph"/>
              <w:spacing w:before="96"/>
              <w:rPr>
                <w:rFonts w:ascii="Verdana" w:hAnsi="Verdana"/>
                <w:b/>
                <w:sz w:val="18"/>
                <w:szCs w:val="18"/>
              </w:rPr>
            </w:pPr>
          </w:p>
          <w:p w14:paraId="0225150F" w14:textId="77777777" w:rsidR="008715BE" w:rsidRPr="00EC75B7" w:rsidRDefault="00000000">
            <w:pPr>
              <w:pStyle w:val="TableParagraph"/>
              <w:ind w:left="21" w:right="10"/>
              <w:jc w:val="center"/>
              <w:rPr>
                <w:rFonts w:ascii="Verdana" w:hAnsi="Verdana"/>
                <w:sz w:val="18"/>
                <w:szCs w:val="18"/>
              </w:rPr>
            </w:pPr>
            <w:r w:rsidRPr="00EC75B7">
              <w:rPr>
                <w:rFonts w:ascii="Verdana" w:hAnsi="Verdana"/>
                <w:spacing w:val="-2"/>
                <w:sz w:val="18"/>
                <w:szCs w:val="18"/>
              </w:rPr>
              <w:t>Irreversible</w:t>
            </w:r>
          </w:p>
        </w:tc>
        <w:tc>
          <w:tcPr>
            <w:tcW w:w="1540" w:type="dxa"/>
          </w:tcPr>
          <w:p w14:paraId="63A59220" w14:textId="77777777" w:rsidR="008715BE" w:rsidRPr="00EC75B7" w:rsidRDefault="008715BE">
            <w:pPr>
              <w:pStyle w:val="TableParagraph"/>
              <w:spacing w:before="96"/>
              <w:rPr>
                <w:rFonts w:ascii="Verdana" w:hAnsi="Verdana"/>
                <w:b/>
                <w:sz w:val="18"/>
                <w:szCs w:val="18"/>
              </w:rPr>
            </w:pPr>
          </w:p>
          <w:p w14:paraId="61E3BFE0" w14:textId="77777777" w:rsidR="008715BE" w:rsidRPr="00EC75B7" w:rsidRDefault="00000000">
            <w:pPr>
              <w:pStyle w:val="TableParagraph"/>
              <w:ind w:left="12" w:right="143"/>
              <w:jc w:val="center"/>
              <w:rPr>
                <w:rFonts w:ascii="Verdana" w:hAnsi="Verdana"/>
                <w:sz w:val="18"/>
                <w:szCs w:val="18"/>
              </w:rPr>
            </w:pPr>
            <w:r w:rsidRPr="00EC75B7">
              <w:rPr>
                <w:rFonts w:ascii="Verdana" w:hAnsi="Verdana"/>
                <w:spacing w:val="-2"/>
                <w:sz w:val="18"/>
                <w:szCs w:val="18"/>
              </w:rPr>
              <w:t>Insignificant</w:t>
            </w:r>
          </w:p>
        </w:tc>
        <w:tc>
          <w:tcPr>
            <w:tcW w:w="5810" w:type="dxa"/>
          </w:tcPr>
          <w:p w14:paraId="7944D494" w14:textId="77777777" w:rsidR="008715BE" w:rsidRPr="00EC75B7" w:rsidRDefault="00000000">
            <w:pPr>
              <w:pStyle w:val="TableParagraph"/>
              <w:ind w:left="107" w:right="95"/>
              <w:jc w:val="both"/>
              <w:rPr>
                <w:rFonts w:ascii="Verdana" w:hAnsi="Verdana"/>
                <w:sz w:val="18"/>
                <w:szCs w:val="18"/>
              </w:rPr>
            </w:pPr>
            <w:r w:rsidRPr="00EC75B7">
              <w:rPr>
                <w:rFonts w:ascii="Verdana" w:hAnsi="Verdana"/>
                <w:sz w:val="18"/>
                <w:szCs w:val="18"/>
              </w:rPr>
              <w:t xml:space="preserve">The normal operation of wind turbines does not generate any additional impact on the landscape beyond that which already exists after completion of the construction work. The visual impact is constant and does not </w:t>
            </w:r>
            <w:r w:rsidRPr="00EC75B7">
              <w:rPr>
                <w:rFonts w:ascii="Verdana" w:hAnsi="Verdana"/>
                <w:spacing w:val="-2"/>
                <w:sz w:val="18"/>
                <w:szCs w:val="18"/>
              </w:rPr>
              <w:t>increase</w:t>
            </w:r>
          </w:p>
          <w:p w14:paraId="609C3AA8" w14:textId="77777777" w:rsidR="008715BE" w:rsidRPr="00EC75B7" w:rsidRDefault="00000000">
            <w:pPr>
              <w:pStyle w:val="TableParagraph"/>
              <w:spacing w:line="174" w:lineRule="exact"/>
              <w:ind w:left="107"/>
              <w:jc w:val="both"/>
              <w:rPr>
                <w:rFonts w:ascii="Verdana" w:hAnsi="Verdana"/>
                <w:sz w:val="18"/>
                <w:szCs w:val="18"/>
              </w:rPr>
            </w:pPr>
            <w:r w:rsidRPr="00EC75B7">
              <w:rPr>
                <w:rFonts w:ascii="Verdana" w:hAnsi="Verdana"/>
                <w:sz w:val="18"/>
                <w:szCs w:val="18"/>
              </w:rPr>
              <w:t xml:space="preserve">over </w:t>
            </w:r>
            <w:r w:rsidRPr="00EC75B7">
              <w:rPr>
                <w:rFonts w:ascii="Verdana" w:hAnsi="Verdana"/>
                <w:spacing w:val="-2"/>
                <w:sz w:val="18"/>
                <w:szCs w:val="18"/>
              </w:rPr>
              <w:t>time.</w:t>
            </w:r>
          </w:p>
        </w:tc>
      </w:tr>
      <w:tr w:rsidR="008715BE" w:rsidRPr="00EC75B7" w14:paraId="127A5CFB" w14:textId="77777777">
        <w:trPr>
          <w:trHeight w:val="777"/>
        </w:trPr>
        <w:tc>
          <w:tcPr>
            <w:tcW w:w="725" w:type="dxa"/>
            <w:vMerge/>
            <w:tcBorders>
              <w:top w:val="nil"/>
            </w:tcBorders>
            <w:textDirection w:val="btLr"/>
          </w:tcPr>
          <w:p w14:paraId="194EBBC8" w14:textId="77777777" w:rsidR="008715BE" w:rsidRPr="00EC75B7" w:rsidRDefault="008715BE">
            <w:pPr>
              <w:rPr>
                <w:rFonts w:ascii="Verdana" w:hAnsi="Verdana"/>
                <w:sz w:val="18"/>
                <w:szCs w:val="18"/>
              </w:rPr>
            </w:pPr>
          </w:p>
        </w:tc>
        <w:tc>
          <w:tcPr>
            <w:tcW w:w="3149" w:type="dxa"/>
          </w:tcPr>
          <w:p w14:paraId="7C86B6DA" w14:textId="77777777" w:rsidR="008715BE" w:rsidRPr="00EC75B7" w:rsidRDefault="00000000">
            <w:pPr>
              <w:pStyle w:val="TableParagraph"/>
              <w:spacing w:before="194"/>
              <w:ind w:left="107" w:right="93"/>
              <w:rPr>
                <w:rFonts w:ascii="Verdana" w:hAnsi="Verdana"/>
                <w:sz w:val="18"/>
                <w:szCs w:val="18"/>
              </w:rPr>
            </w:pPr>
            <w:r w:rsidRPr="00EC75B7">
              <w:rPr>
                <w:rFonts w:ascii="Verdana" w:hAnsi="Verdana"/>
                <w:sz w:val="18"/>
                <w:szCs w:val="18"/>
              </w:rPr>
              <w:t>Periodic maintenance work (equipment access, specific interventions)</w:t>
            </w:r>
          </w:p>
        </w:tc>
        <w:tc>
          <w:tcPr>
            <w:tcW w:w="1906" w:type="dxa"/>
          </w:tcPr>
          <w:p w14:paraId="5721C92C" w14:textId="77777777" w:rsidR="008715BE" w:rsidRPr="00EC75B7" w:rsidRDefault="00000000">
            <w:pPr>
              <w:pStyle w:val="TableParagraph"/>
              <w:spacing w:before="194" w:line="195" w:lineRule="exact"/>
              <w:ind w:left="105"/>
              <w:rPr>
                <w:rFonts w:ascii="Verdana" w:hAnsi="Verdana"/>
                <w:sz w:val="18"/>
                <w:szCs w:val="18"/>
              </w:rPr>
            </w:pPr>
            <w:r w:rsidRPr="00EC75B7">
              <w:rPr>
                <w:rFonts w:ascii="Verdana" w:hAnsi="Verdana"/>
                <w:spacing w:val="35"/>
                <w:sz w:val="18"/>
                <w:szCs w:val="18"/>
              </w:rPr>
              <w:t xml:space="preserve">  </w:t>
            </w:r>
            <w:r w:rsidRPr="00EC75B7">
              <w:rPr>
                <w:rFonts w:ascii="Verdana" w:hAnsi="Verdana"/>
                <w:spacing w:val="-2"/>
                <w:sz w:val="18"/>
                <w:szCs w:val="18"/>
              </w:rPr>
              <w:t xml:space="preserve">Temporary </w:t>
            </w:r>
            <w:r w:rsidRPr="00EC75B7">
              <w:rPr>
                <w:rFonts w:ascii="Verdana" w:hAnsi="Verdana"/>
                <w:sz w:val="18"/>
                <w:szCs w:val="18"/>
              </w:rPr>
              <w:t xml:space="preserve">presence </w:t>
            </w:r>
            <w:r w:rsidRPr="00EC75B7">
              <w:rPr>
                <w:rFonts w:ascii="Verdana" w:hAnsi="Verdana"/>
                <w:spacing w:val="-2"/>
                <w:sz w:val="18"/>
                <w:szCs w:val="18"/>
              </w:rPr>
              <w:t>of equipment</w:t>
            </w:r>
          </w:p>
          <w:p w14:paraId="462F801D"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machinery</w:t>
            </w:r>
          </w:p>
        </w:tc>
        <w:tc>
          <w:tcPr>
            <w:tcW w:w="1992" w:type="dxa"/>
          </w:tcPr>
          <w:p w14:paraId="2752BE4A" w14:textId="77777777" w:rsidR="008715BE" w:rsidRPr="00EC75B7" w:rsidRDefault="00000000">
            <w:pPr>
              <w:pStyle w:val="TableParagraph"/>
              <w:spacing w:before="96"/>
              <w:ind w:left="105" w:right="96"/>
              <w:jc w:val="both"/>
              <w:rPr>
                <w:rFonts w:ascii="Verdana" w:hAnsi="Verdana"/>
                <w:sz w:val="18"/>
                <w:szCs w:val="18"/>
              </w:rPr>
            </w:pPr>
            <w:r w:rsidRPr="00EC75B7">
              <w:rPr>
                <w:rFonts w:ascii="Verdana" w:hAnsi="Verdana"/>
                <w:sz w:val="18"/>
                <w:szCs w:val="18"/>
              </w:rPr>
              <w:t xml:space="preserve">Temporary reduction in the aesthetic value of </w:t>
            </w:r>
            <w:r w:rsidRPr="00EC75B7">
              <w:rPr>
                <w:rFonts w:ascii="Verdana" w:hAnsi="Verdana"/>
                <w:spacing w:val="-2"/>
                <w:sz w:val="18"/>
                <w:szCs w:val="18"/>
              </w:rPr>
              <w:t>the landscape</w:t>
            </w:r>
          </w:p>
        </w:tc>
        <w:tc>
          <w:tcPr>
            <w:tcW w:w="924" w:type="dxa"/>
          </w:tcPr>
          <w:p w14:paraId="2C5AE9FC" w14:textId="77777777" w:rsidR="008715BE" w:rsidRPr="00EC75B7" w:rsidRDefault="008715BE">
            <w:pPr>
              <w:pStyle w:val="TableParagraph"/>
              <w:spacing w:before="94"/>
              <w:rPr>
                <w:rFonts w:ascii="Verdana" w:hAnsi="Verdana"/>
                <w:b/>
                <w:sz w:val="18"/>
                <w:szCs w:val="18"/>
              </w:rPr>
            </w:pPr>
          </w:p>
          <w:p w14:paraId="36CF3EDD" w14:textId="77777777" w:rsidR="008715BE" w:rsidRPr="00EC75B7" w:rsidRDefault="00000000">
            <w:pPr>
              <w:pStyle w:val="TableParagraph"/>
              <w:spacing w:before="1"/>
              <w:ind w:left="87" w:right="80"/>
              <w:jc w:val="center"/>
              <w:rPr>
                <w:rFonts w:ascii="Verdana" w:hAnsi="Verdana"/>
                <w:sz w:val="18"/>
                <w:szCs w:val="18"/>
              </w:rPr>
            </w:pPr>
            <w:r w:rsidRPr="00EC75B7">
              <w:rPr>
                <w:rFonts w:ascii="Verdana" w:hAnsi="Verdana"/>
                <w:spacing w:val="-2"/>
                <w:sz w:val="18"/>
                <w:szCs w:val="18"/>
              </w:rPr>
              <w:t>Negative</w:t>
            </w:r>
          </w:p>
        </w:tc>
        <w:tc>
          <w:tcPr>
            <w:tcW w:w="840" w:type="dxa"/>
          </w:tcPr>
          <w:p w14:paraId="47AB87B7" w14:textId="77777777" w:rsidR="008715BE" w:rsidRPr="00EC75B7" w:rsidRDefault="008715BE">
            <w:pPr>
              <w:pStyle w:val="TableParagraph"/>
              <w:spacing w:before="94"/>
              <w:rPr>
                <w:rFonts w:ascii="Verdana" w:hAnsi="Verdana"/>
                <w:b/>
                <w:sz w:val="18"/>
                <w:szCs w:val="18"/>
              </w:rPr>
            </w:pPr>
          </w:p>
          <w:p w14:paraId="1A8252BF"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Direct</w:t>
            </w:r>
          </w:p>
        </w:tc>
        <w:tc>
          <w:tcPr>
            <w:tcW w:w="437" w:type="dxa"/>
          </w:tcPr>
          <w:p w14:paraId="14AD2602" w14:textId="77777777" w:rsidR="008715BE" w:rsidRPr="00EC75B7" w:rsidRDefault="008715BE">
            <w:pPr>
              <w:pStyle w:val="TableParagraph"/>
              <w:spacing w:before="94"/>
              <w:rPr>
                <w:rFonts w:ascii="Verdana" w:hAnsi="Verdana"/>
                <w:b/>
                <w:sz w:val="18"/>
                <w:szCs w:val="18"/>
              </w:rPr>
            </w:pPr>
          </w:p>
          <w:p w14:paraId="5197CC2E" w14:textId="77777777" w:rsidR="008715BE" w:rsidRPr="00EC75B7" w:rsidRDefault="00000000">
            <w:pPr>
              <w:pStyle w:val="TableParagraph"/>
              <w:spacing w:before="1"/>
              <w:ind w:left="8" w:right="3"/>
              <w:jc w:val="center"/>
              <w:rPr>
                <w:rFonts w:ascii="Verdana" w:hAnsi="Verdana"/>
                <w:sz w:val="18"/>
                <w:szCs w:val="18"/>
              </w:rPr>
            </w:pPr>
            <w:r w:rsidRPr="00EC75B7">
              <w:rPr>
                <w:rFonts w:ascii="Verdana" w:hAnsi="Verdana"/>
                <w:spacing w:val="-5"/>
                <w:sz w:val="18"/>
                <w:szCs w:val="18"/>
              </w:rPr>
              <w:t>No</w:t>
            </w:r>
          </w:p>
        </w:tc>
        <w:tc>
          <w:tcPr>
            <w:tcW w:w="737" w:type="dxa"/>
          </w:tcPr>
          <w:p w14:paraId="4780D60E" w14:textId="77777777" w:rsidR="008715BE" w:rsidRPr="00EC75B7" w:rsidRDefault="008715BE">
            <w:pPr>
              <w:pStyle w:val="TableParagraph"/>
              <w:spacing w:before="94"/>
              <w:rPr>
                <w:rFonts w:ascii="Verdana" w:hAnsi="Verdana"/>
                <w:b/>
                <w:sz w:val="18"/>
                <w:szCs w:val="18"/>
              </w:rPr>
            </w:pPr>
          </w:p>
          <w:p w14:paraId="34A0ACA8" w14:textId="77777777" w:rsidR="008715BE" w:rsidRPr="00EC75B7" w:rsidRDefault="00000000">
            <w:pPr>
              <w:pStyle w:val="TableParagraph"/>
              <w:spacing w:before="1"/>
              <w:ind w:left="54" w:right="47"/>
              <w:jc w:val="center"/>
              <w:rPr>
                <w:rFonts w:ascii="Verdana" w:hAnsi="Verdana"/>
                <w:sz w:val="18"/>
                <w:szCs w:val="18"/>
              </w:rPr>
            </w:pPr>
            <w:r w:rsidRPr="00EC75B7">
              <w:rPr>
                <w:rFonts w:ascii="Verdana" w:hAnsi="Verdana"/>
                <w:spacing w:val="-2"/>
                <w:sz w:val="18"/>
                <w:szCs w:val="18"/>
              </w:rPr>
              <w:t>Short</w:t>
            </w:r>
          </w:p>
        </w:tc>
        <w:tc>
          <w:tcPr>
            <w:tcW w:w="1231" w:type="dxa"/>
          </w:tcPr>
          <w:p w14:paraId="130C6D25" w14:textId="77777777" w:rsidR="008715BE" w:rsidRPr="00EC75B7" w:rsidRDefault="008715BE">
            <w:pPr>
              <w:pStyle w:val="TableParagraph"/>
              <w:spacing w:before="94"/>
              <w:rPr>
                <w:rFonts w:ascii="Verdana" w:hAnsi="Verdana"/>
                <w:b/>
                <w:sz w:val="18"/>
                <w:szCs w:val="18"/>
              </w:rPr>
            </w:pPr>
          </w:p>
          <w:p w14:paraId="5EC3DC30"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Occasional</w:t>
            </w:r>
          </w:p>
        </w:tc>
        <w:tc>
          <w:tcPr>
            <w:tcW w:w="722" w:type="dxa"/>
          </w:tcPr>
          <w:p w14:paraId="1AE2FCAD" w14:textId="77777777" w:rsidR="008715BE" w:rsidRPr="00EC75B7" w:rsidRDefault="008715BE">
            <w:pPr>
              <w:pStyle w:val="TableParagraph"/>
              <w:spacing w:before="94"/>
              <w:rPr>
                <w:rFonts w:ascii="Verdana" w:hAnsi="Verdana"/>
                <w:b/>
                <w:sz w:val="18"/>
                <w:szCs w:val="18"/>
              </w:rPr>
            </w:pPr>
          </w:p>
          <w:p w14:paraId="11042728" w14:textId="77777777" w:rsidR="008715BE" w:rsidRPr="00EC75B7" w:rsidRDefault="00000000">
            <w:pPr>
              <w:pStyle w:val="TableParagraph"/>
              <w:spacing w:before="1"/>
              <w:ind w:left="16" w:right="11"/>
              <w:jc w:val="center"/>
              <w:rPr>
                <w:rFonts w:ascii="Verdana" w:hAnsi="Verdana"/>
                <w:sz w:val="18"/>
                <w:szCs w:val="18"/>
              </w:rPr>
            </w:pPr>
            <w:r w:rsidRPr="00EC75B7">
              <w:rPr>
                <w:rFonts w:ascii="Verdana" w:hAnsi="Verdana"/>
                <w:spacing w:val="-2"/>
                <w:sz w:val="18"/>
                <w:szCs w:val="18"/>
              </w:rPr>
              <w:t>Local</w:t>
            </w:r>
          </w:p>
        </w:tc>
        <w:tc>
          <w:tcPr>
            <w:tcW w:w="1075" w:type="dxa"/>
          </w:tcPr>
          <w:p w14:paraId="675EE6BF" w14:textId="77777777" w:rsidR="008715BE" w:rsidRPr="00EC75B7" w:rsidRDefault="00000000">
            <w:pPr>
              <w:pStyle w:val="TableParagraph"/>
              <w:spacing w:before="194"/>
              <w:ind w:left="106"/>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0" w:type="dxa"/>
          </w:tcPr>
          <w:p w14:paraId="3EC71696" w14:textId="77777777" w:rsidR="008715BE" w:rsidRPr="00EC75B7" w:rsidRDefault="008715BE">
            <w:pPr>
              <w:pStyle w:val="TableParagraph"/>
              <w:spacing w:before="94"/>
              <w:rPr>
                <w:rFonts w:ascii="Verdana" w:hAnsi="Verdana"/>
                <w:b/>
                <w:sz w:val="18"/>
                <w:szCs w:val="18"/>
              </w:rPr>
            </w:pPr>
          </w:p>
          <w:p w14:paraId="76BA533A" w14:textId="77777777" w:rsidR="008715BE" w:rsidRPr="00EC75B7" w:rsidRDefault="00000000">
            <w:pPr>
              <w:pStyle w:val="TableParagraph"/>
              <w:spacing w:before="1"/>
              <w:ind w:left="11" w:right="21"/>
              <w:jc w:val="center"/>
              <w:rPr>
                <w:rFonts w:ascii="Verdana" w:hAnsi="Verdana"/>
                <w:sz w:val="18"/>
                <w:szCs w:val="18"/>
              </w:rPr>
            </w:pPr>
            <w:r w:rsidRPr="00EC75B7">
              <w:rPr>
                <w:rFonts w:ascii="Verdana" w:hAnsi="Verdana"/>
                <w:spacing w:val="-2"/>
                <w:sz w:val="18"/>
                <w:szCs w:val="18"/>
              </w:rPr>
              <w:t>Reversible</w:t>
            </w:r>
          </w:p>
        </w:tc>
        <w:tc>
          <w:tcPr>
            <w:tcW w:w="1540" w:type="dxa"/>
          </w:tcPr>
          <w:p w14:paraId="6517D6FF" w14:textId="77777777" w:rsidR="008715BE" w:rsidRPr="00EC75B7" w:rsidRDefault="008715BE">
            <w:pPr>
              <w:pStyle w:val="TableParagraph"/>
              <w:spacing w:before="94"/>
              <w:rPr>
                <w:rFonts w:ascii="Verdana" w:hAnsi="Verdana"/>
                <w:b/>
                <w:sz w:val="18"/>
                <w:szCs w:val="18"/>
              </w:rPr>
            </w:pPr>
          </w:p>
          <w:p w14:paraId="5E9FE973" w14:textId="77777777" w:rsidR="008715BE" w:rsidRPr="00EC75B7" w:rsidRDefault="00000000">
            <w:pPr>
              <w:pStyle w:val="TableParagraph"/>
              <w:spacing w:before="1"/>
              <w:ind w:left="12" w:right="143"/>
              <w:jc w:val="center"/>
              <w:rPr>
                <w:rFonts w:ascii="Verdana" w:hAnsi="Verdana"/>
                <w:sz w:val="18"/>
                <w:szCs w:val="18"/>
              </w:rPr>
            </w:pPr>
            <w:r w:rsidRPr="00EC75B7">
              <w:rPr>
                <w:rFonts w:ascii="Verdana" w:hAnsi="Verdana"/>
                <w:spacing w:val="-2"/>
                <w:sz w:val="18"/>
                <w:szCs w:val="18"/>
              </w:rPr>
              <w:t>Insignificant</w:t>
            </w:r>
          </w:p>
        </w:tc>
        <w:tc>
          <w:tcPr>
            <w:tcW w:w="5810" w:type="dxa"/>
          </w:tcPr>
          <w:p w14:paraId="37CBC170" w14:textId="77777777" w:rsidR="008715BE" w:rsidRPr="00EC75B7" w:rsidRDefault="00000000">
            <w:pPr>
              <w:pStyle w:val="TableParagraph"/>
              <w:ind w:left="107" w:right="91"/>
              <w:jc w:val="both"/>
              <w:rPr>
                <w:rFonts w:ascii="Verdana" w:hAnsi="Verdana"/>
                <w:sz w:val="18"/>
                <w:szCs w:val="18"/>
              </w:rPr>
            </w:pPr>
            <w:r w:rsidRPr="00EC75B7">
              <w:rPr>
                <w:rFonts w:ascii="Verdana" w:hAnsi="Verdana"/>
                <w:sz w:val="18"/>
                <w:szCs w:val="18"/>
              </w:rPr>
              <w:t>Maintenance works are sporadic and short-term, carried out within the perimeter of existing platforms and on access roads. The impact on the landscape is temporary, spatially limited</w:t>
            </w:r>
            <w:r w:rsidRPr="00EC75B7">
              <w:rPr>
                <w:rFonts w:ascii="Verdana" w:hAnsi="Verdana"/>
                <w:spacing w:val="-5"/>
                <w:sz w:val="18"/>
                <w:szCs w:val="18"/>
              </w:rPr>
              <w:t>, and</w:t>
            </w:r>
          </w:p>
          <w:p w14:paraId="1EC8A54E" w14:textId="77777777" w:rsidR="008715BE" w:rsidRPr="00EC75B7" w:rsidRDefault="00000000">
            <w:pPr>
              <w:pStyle w:val="TableParagraph"/>
              <w:spacing w:line="173" w:lineRule="exact"/>
              <w:ind w:left="107"/>
              <w:jc w:val="both"/>
              <w:rPr>
                <w:rFonts w:ascii="Verdana" w:hAnsi="Verdana"/>
                <w:sz w:val="18"/>
                <w:szCs w:val="18"/>
              </w:rPr>
            </w:pPr>
            <w:r w:rsidRPr="00EC75B7">
              <w:rPr>
                <w:rFonts w:ascii="Verdana" w:hAnsi="Verdana"/>
                <w:sz w:val="18"/>
                <w:szCs w:val="18"/>
              </w:rPr>
              <w:t xml:space="preserve">disappears upon completion </w:t>
            </w:r>
            <w:r w:rsidRPr="00EC75B7">
              <w:rPr>
                <w:rFonts w:ascii="Verdana" w:hAnsi="Verdana"/>
                <w:spacing w:val="-2"/>
                <w:sz w:val="18"/>
                <w:szCs w:val="18"/>
              </w:rPr>
              <w:t>of the interventions.</w:t>
            </w:r>
          </w:p>
        </w:tc>
      </w:tr>
      <w:tr w:rsidR="008715BE" w:rsidRPr="00EC75B7" w14:paraId="3EA24E88" w14:textId="77777777">
        <w:trPr>
          <w:trHeight w:val="582"/>
        </w:trPr>
        <w:tc>
          <w:tcPr>
            <w:tcW w:w="725" w:type="dxa"/>
            <w:vMerge/>
            <w:tcBorders>
              <w:top w:val="nil"/>
            </w:tcBorders>
            <w:textDirection w:val="btLr"/>
          </w:tcPr>
          <w:p w14:paraId="7B4DD322" w14:textId="77777777" w:rsidR="008715BE" w:rsidRPr="00EC75B7" w:rsidRDefault="008715BE">
            <w:pPr>
              <w:rPr>
                <w:rFonts w:ascii="Verdana" w:hAnsi="Verdana"/>
                <w:sz w:val="18"/>
                <w:szCs w:val="18"/>
              </w:rPr>
            </w:pPr>
          </w:p>
        </w:tc>
        <w:tc>
          <w:tcPr>
            <w:tcW w:w="3149" w:type="dxa"/>
          </w:tcPr>
          <w:p w14:paraId="73A9CA44" w14:textId="77777777" w:rsidR="008715BE" w:rsidRPr="00EC75B7" w:rsidRDefault="00000000">
            <w:pPr>
              <w:pStyle w:val="TableParagraph"/>
              <w:spacing w:before="95"/>
              <w:ind w:left="107" w:right="223"/>
              <w:rPr>
                <w:rFonts w:ascii="Verdana" w:hAnsi="Verdana"/>
                <w:sz w:val="18"/>
                <w:szCs w:val="18"/>
              </w:rPr>
            </w:pPr>
            <w:r w:rsidRPr="00EC75B7">
              <w:rPr>
                <w:rFonts w:ascii="Verdana" w:hAnsi="Verdana"/>
                <w:sz w:val="18"/>
                <w:szCs w:val="18"/>
              </w:rPr>
              <w:t>Operating activities on internal roads</w:t>
            </w:r>
          </w:p>
        </w:tc>
        <w:tc>
          <w:tcPr>
            <w:tcW w:w="1906" w:type="dxa"/>
          </w:tcPr>
          <w:p w14:paraId="53C189EA" w14:textId="77777777" w:rsidR="008715BE" w:rsidRPr="00EC75B7" w:rsidRDefault="00000000">
            <w:pPr>
              <w:pStyle w:val="TableParagraph"/>
              <w:tabs>
                <w:tab w:val="left" w:pos="851"/>
                <w:tab w:val="left" w:pos="1599"/>
              </w:tabs>
              <w:spacing w:before="95"/>
              <w:ind w:left="105" w:right="97"/>
              <w:rPr>
                <w:rFonts w:ascii="Verdana" w:hAnsi="Verdana"/>
                <w:sz w:val="18"/>
                <w:szCs w:val="18"/>
              </w:rPr>
            </w:pPr>
            <w:r w:rsidRPr="00EC75B7">
              <w:rPr>
                <w:rFonts w:ascii="Verdana" w:hAnsi="Verdana"/>
                <w:spacing w:val="-2"/>
                <w:sz w:val="18"/>
                <w:szCs w:val="18"/>
              </w:rPr>
              <w:t>Traffic</w:t>
            </w:r>
            <w:r w:rsidRPr="00EC75B7">
              <w:rPr>
                <w:rFonts w:ascii="Verdana" w:hAnsi="Verdana"/>
                <w:sz w:val="18"/>
                <w:szCs w:val="18"/>
              </w:rPr>
              <w:tab/>
            </w:r>
            <w:r w:rsidRPr="00EC75B7">
              <w:rPr>
                <w:rFonts w:ascii="Verdana" w:hAnsi="Verdana"/>
                <w:spacing w:val="-2"/>
                <w:sz w:val="18"/>
                <w:szCs w:val="18"/>
              </w:rPr>
              <w:t>low</w:t>
            </w:r>
            <w:r w:rsidRPr="00EC75B7">
              <w:rPr>
                <w:rFonts w:ascii="Verdana" w:hAnsi="Verdana"/>
                <w:sz w:val="18"/>
                <w:szCs w:val="18"/>
              </w:rPr>
              <w:tab/>
            </w:r>
            <w:r w:rsidRPr="00EC75B7">
              <w:rPr>
                <w:rFonts w:ascii="Verdana" w:hAnsi="Verdana"/>
                <w:spacing w:val="-2"/>
                <w:sz w:val="18"/>
                <w:szCs w:val="18"/>
              </w:rPr>
              <w:t>oper</w:t>
            </w:r>
            <w:r w:rsidRPr="00EC75B7">
              <w:rPr>
                <w:rFonts w:ascii="Verdana" w:hAnsi="Verdana"/>
                <w:spacing w:val="-6"/>
                <w:sz w:val="18"/>
                <w:szCs w:val="18"/>
              </w:rPr>
              <w:t>ational</w:t>
            </w:r>
          </w:p>
        </w:tc>
        <w:tc>
          <w:tcPr>
            <w:tcW w:w="1992" w:type="dxa"/>
          </w:tcPr>
          <w:p w14:paraId="42D4AF8C" w14:textId="77777777" w:rsidR="008715BE" w:rsidRPr="00EC75B7" w:rsidRDefault="00000000">
            <w:pPr>
              <w:pStyle w:val="TableParagraph"/>
              <w:spacing w:before="95"/>
              <w:ind w:left="105"/>
              <w:rPr>
                <w:rFonts w:ascii="Verdana" w:hAnsi="Verdana"/>
                <w:sz w:val="18"/>
                <w:szCs w:val="18"/>
              </w:rPr>
            </w:pPr>
            <w:r w:rsidRPr="00EC75B7">
              <w:rPr>
                <w:rFonts w:ascii="Verdana" w:hAnsi="Verdana"/>
                <w:sz w:val="18"/>
                <w:szCs w:val="18"/>
              </w:rPr>
              <w:t>Temporary changes in visual perception</w:t>
            </w:r>
          </w:p>
        </w:tc>
        <w:tc>
          <w:tcPr>
            <w:tcW w:w="924" w:type="dxa"/>
          </w:tcPr>
          <w:p w14:paraId="745F6A05" w14:textId="77777777" w:rsidR="008715BE" w:rsidRPr="00EC75B7" w:rsidRDefault="00000000">
            <w:pPr>
              <w:pStyle w:val="TableParagraph"/>
              <w:spacing w:before="193"/>
              <w:ind w:left="87" w:right="80"/>
              <w:jc w:val="center"/>
              <w:rPr>
                <w:rFonts w:ascii="Verdana" w:hAnsi="Verdana"/>
                <w:sz w:val="18"/>
                <w:szCs w:val="18"/>
              </w:rPr>
            </w:pPr>
            <w:r w:rsidRPr="00EC75B7">
              <w:rPr>
                <w:rFonts w:ascii="Verdana" w:hAnsi="Verdana"/>
                <w:spacing w:val="-2"/>
                <w:sz w:val="18"/>
                <w:szCs w:val="18"/>
              </w:rPr>
              <w:t>Negative</w:t>
            </w:r>
          </w:p>
        </w:tc>
        <w:tc>
          <w:tcPr>
            <w:tcW w:w="840" w:type="dxa"/>
          </w:tcPr>
          <w:p w14:paraId="0B732BB2" w14:textId="77777777" w:rsidR="008715BE" w:rsidRPr="00EC75B7" w:rsidRDefault="00000000">
            <w:pPr>
              <w:pStyle w:val="TableParagraph"/>
              <w:spacing w:before="193"/>
              <w:ind w:left="107"/>
              <w:rPr>
                <w:rFonts w:ascii="Verdana" w:hAnsi="Verdana"/>
                <w:sz w:val="18"/>
                <w:szCs w:val="18"/>
              </w:rPr>
            </w:pPr>
            <w:r w:rsidRPr="00EC75B7">
              <w:rPr>
                <w:rFonts w:ascii="Verdana" w:hAnsi="Verdana"/>
                <w:spacing w:val="-2"/>
                <w:sz w:val="18"/>
                <w:szCs w:val="18"/>
              </w:rPr>
              <w:t>Direct</w:t>
            </w:r>
          </w:p>
        </w:tc>
        <w:tc>
          <w:tcPr>
            <w:tcW w:w="437" w:type="dxa"/>
          </w:tcPr>
          <w:p w14:paraId="5C5FF21A" w14:textId="77777777" w:rsidR="008715BE" w:rsidRPr="00EC75B7" w:rsidRDefault="00000000">
            <w:pPr>
              <w:pStyle w:val="TableParagraph"/>
              <w:spacing w:before="193"/>
              <w:ind w:left="8" w:right="3"/>
              <w:jc w:val="center"/>
              <w:rPr>
                <w:rFonts w:ascii="Verdana" w:hAnsi="Verdana"/>
                <w:sz w:val="18"/>
                <w:szCs w:val="18"/>
              </w:rPr>
            </w:pPr>
            <w:r w:rsidRPr="00EC75B7">
              <w:rPr>
                <w:rFonts w:ascii="Verdana" w:hAnsi="Verdana"/>
                <w:spacing w:val="-5"/>
                <w:sz w:val="18"/>
                <w:szCs w:val="18"/>
              </w:rPr>
              <w:t>No</w:t>
            </w:r>
          </w:p>
        </w:tc>
        <w:tc>
          <w:tcPr>
            <w:tcW w:w="737" w:type="dxa"/>
          </w:tcPr>
          <w:p w14:paraId="67D7B040" w14:textId="77777777" w:rsidR="008715BE" w:rsidRPr="00EC75B7" w:rsidRDefault="00000000">
            <w:pPr>
              <w:pStyle w:val="TableParagraph"/>
              <w:spacing w:before="193"/>
              <w:ind w:left="54" w:right="47"/>
              <w:jc w:val="center"/>
              <w:rPr>
                <w:rFonts w:ascii="Verdana" w:hAnsi="Verdana"/>
                <w:sz w:val="18"/>
                <w:szCs w:val="18"/>
              </w:rPr>
            </w:pPr>
            <w:r w:rsidRPr="00EC75B7">
              <w:rPr>
                <w:rFonts w:ascii="Verdana" w:hAnsi="Verdana"/>
                <w:spacing w:val="-2"/>
                <w:sz w:val="18"/>
                <w:szCs w:val="18"/>
              </w:rPr>
              <w:t>Short</w:t>
            </w:r>
          </w:p>
        </w:tc>
        <w:tc>
          <w:tcPr>
            <w:tcW w:w="1231" w:type="dxa"/>
          </w:tcPr>
          <w:p w14:paraId="58917B2A" w14:textId="77777777" w:rsidR="008715BE" w:rsidRPr="00EC75B7" w:rsidRDefault="00000000">
            <w:pPr>
              <w:pStyle w:val="TableParagraph"/>
              <w:spacing w:before="193"/>
              <w:ind w:left="107"/>
              <w:rPr>
                <w:rFonts w:ascii="Verdana" w:hAnsi="Verdana"/>
                <w:sz w:val="18"/>
                <w:szCs w:val="18"/>
              </w:rPr>
            </w:pPr>
            <w:r w:rsidRPr="00EC75B7">
              <w:rPr>
                <w:rFonts w:ascii="Verdana" w:hAnsi="Verdana"/>
                <w:spacing w:val="-2"/>
                <w:sz w:val="18"/>
                <w:szCs w:val="18"/>
              </w:rPr>
              <w:t>Intermittent</w:t>
            </w:r>
          </w:p>
        </w:tc>
        <w:tc>
          <w:tcPr>
            <w:tcW w:w="722" w:type="dxa"/>
          </w:tcPr>
          <w:p w14:paraId="602ED405" w14:textId="77777777" w:rsidR="008715BE" w:rsidRPr="00EC75B7" w:rsidRDefault="00000000">
            <w:pPr>
              <w:pStyle w:val="TableParagraph"/>
              <w:spacing w:before="193"/>
              <w:ind w:left="16" w:right="11"/>
              <w:jc w:val="center"/>
              <w:rPr>
                <w:rFonts w:ascii="Verdana" w:hAnsi="Verdana"/>
                <w:sz w:val="18"/>
                <w:szCs w:val="18"/>
              </w:rPr>
            </w:pPr>
            <w:r w:rsidRPr="00EC75B7">
              <w:rPr>
                <w:rFonts w:ascii="Verdana" w:hAnsi="Verdana"/>
                <w:spacing w:val="-2"/>
                <w:sz w:val="18"/>
                <w:szCs w:val="18"/>
              </w:rPr>
              <w:t>Local</w:t>
            </w:r>
          </w:p>
        </w:tc>
        <w:tc>
          <w:tcPr>
            <w:tcW w:w="1075" w:type="dxa"/>
          </w:tcPr>
          <w:p w14:paraId="7F88B4E1" w14:textId="77777777" w:rsidR="008715BE" w:rsidRPr="00EC75B7" w:rsidRDefault="00000000">
            <w:pPr>
              <w:pStyle w:val="TableParagraph"/>
              <w:spacing w:before="95"/>
              <w:ind w:left="106"/>
              <w:rPr>
                <w:rFonts w:ascii="Verdana" w:hAnsi="Verdana"/>
                <w:sz w:val="18"/>
                <w:szCs w:val="18"/>
              </w:rPr>
            </w:pPr>
            <w:r w:rsidRPr="00EC75B7">
              <w:rPr>
                <w:rFonts w:ascii="Verdana" w:hAnsi="Verdana"/>
                <w:spacing w:val="-4"/>
                <w:sz w:val="18"/>
                <w:szCs w:val="18"/>
              </w:rPr>
              <w:t>Un</w:t>
            </w:r>
            <w:r w:rsidRPr="00EC75B7">
              <w:rPr>
                <w:rFonts w:ascii="Verdana" w:hAnsi="Verdana"/>
                <w:spacing w:val="-2"/>
                <w:sz w:val="18"/>
                <w:szCs w:val="18"/>
              </w:rPr>
              <w:t>likely</w:t>
            </w:r>
          </w:p>
        </w:tc>
        <w:tc>
          <w:tcPr>
            <w:tcW w:w="1020" w:type="dxa"/>
          </w:tcPr>
          <w:p w14:paraId="3A901F9D" w14:textId="77777777" w:rsidR="008715BE" w:rsidRPr="00EC75B7" w:rsidRDefault="00000000">
            <w:pPr>
              <w:pStyle w:val="TableParagraph"/>
              <w:spacing w:before="193"/>
              <w:ind w:left="11" w:right="21"/>
              <w:jc w:val="center"/>
              <w:rPr>
                <w:rFonts w:ascii="Verdana" w:hAnsi="Verdana"/>
                <w:sz w:val="18"/>
                <w:szCs w:val="18"/>
              </w:rPr>
            </w:pPr>
            <w:r w:rsidRPr="00EC75B7">
              <w:rPr>
                <w:rFonts w:ascii="Verdana" w:hAnsi="Verdana"/>
                <w:spacing w:val="-2"/>
                <w:sz w:val="18"/>
                <w:szCs w:val="18"/>
              </w:rPr>
              <w:t>Reversible</w:t>
            </w:r>
          </w:p>
        </w:tc>
        <w:tc>
          <w:tcPr>
            <w:tcW w:w="1540" w:type="dxa"/>
          </w:tcPr>
          <w:p w14:paraId="461997E3" w14:textId="77777777" w:rsidR="008715BE" w:rsidRPr="00EC75B7" w:rsidRDefault="00000000">
            <w:pPr>
              <w:pStyle w:val="TableParagraph"/>
              <w:spacing w:before="193"/>
              <w:ind w:left="12" w:right="143"/>
              <w:jc w:val="center"/>
              <w:rPr>
                <w:rFonts w:ascii="Verdana" w:hAnsi="Verdana"/>
                <w:sz w:val="18"/>
                <w:szCs w:val="18"/>
              </w:rPr>
            </w:pPr>
            <w:r w:rsidRPr="00EC75B7">
              <w:rPr>
                <w:rFonts w:ascii="Verdana" w:hAnsi="Verdana"/>
                <w:spacing w:val="-2"/>
                <w:sz w:val="18"/>
                <w:szCs w:val="18"/>
              </w:rPr>
              <w:t>Insignificant</w:t>
            </w:r>
          </w:p>
        </w:tc>
        <w:tc>
          <w:tcPr>
            <w:tcW w:w="5810" w:type="dxa"/>
          </w:tcPr>
          <w:p w14:paraId="5EE4AEBD" w14:textId="77777777" w:rsidR="008715BE" w:rsidRPr="00EC75B7" w:rsidRDefault="00000000">
            <w:pPr>
              <w:pStyle w:val="TableParagraph"/>
              <w:ind w:left="107" w:right="79"/>
              <w:rPr>
                <w:rFonts w:ascii="Verdana" w:hAnsi="Verdana"/>
                <w:sz w:val="18"/>
                <w:szCs w:val="18"/>
              </w:rPr>
            </w:pPr>
            <w:r w:rsidRPr="00EC75B7">
              <w:rPr>
                <w:rFonts w:ascii="Verdana" w:hAnsi="Verdana"/>
                <w:sz w:val="18"/>
                <w:szCs w:val="18"/>
              </w:rPr>
              <w:t xml:space="preserve">Traffic related to the operation is low compared to the construction phase and takes place exclusively on existing infrastructure, without </w:t>
            </w:r>
            <w:r w:rsidRPr="00EC75B7">
              <w:rPr>
                <w:rFonts w:ascii="Verdana" w:hAnsi="Verdana"/>
                <w:spacing w:val="-2"/>
                <w:sz w:val="18"/>
                <w:szCs w:val="18"/>
              </w:rPr>
              <w:t>generating</w:t>
            </w:r>
          </w:p>
          <w:p w14:paraId="0610693F"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z w:val="18"/>
                <w:szCs w:val="18"/>
              </w:rPr>
              <w:t xml:space="preserve">additional changes to </w:t>
            </w:r>
            <w:r w:rsidRPr="00EC75B7">
              <w:rPr>
                <w:rFonts w:ascii="Verdana" w:hAnsi="Verdana"/>
                <w:spacing w:val="-2"/>
                <w:sz w:val="18"/>
                <w:szCs w:val="18"/>
              </w:rPr>
              <w:t>the landscape.</w:t>
            </w:r>
          </w:p>
        </w:tc>
      </w:tr>
    </w:tbl>
    <w:p w14:paraId="73AB9D88" w14:textId="77777777" w:rsidR="008715BE" w:rsidRPr="00EC75B7" w:rsidRDefault="008715BE">
      <w:pPr>
        <w:pStyle w:val="BodyText"/>
        <w:spacing w:before="68"/>
        <w:rPr>
          <w:rFonts w:ascii="Verdana" w:hAnsi="Verdana"/>
          <w:b/>
        </w:rPr>
      </w:pPr>
    </w:p>
    <w:p w14:paraId="19C75A5A" w14:textId="77777777" w:rsidR="008715BE" w:rsidRPr="00EC75B7" w:rsidRDefault="00000000">
      <w:pPr>
        <w:ind w:left="2"/>
        <w:rPr>
          <w:rFonts w:ascii="Verdana" w:hAnsi="Verdana"/>
          <w:b/>
          <w:sz w:val="18"/>
          <w:szCs w:val="18"/>
        </w:rPr>
      </w:pPr>
      <w:r w:rsidRPr="00EC75B7">
        <w:rPr>
          <w:rFonts w:ascii="Verdana" w:hAnsi="Verdana"/>
          <w:b/>
          <w:color w:val="009DEF"/>
          <w:sz w:val="18"/>
          <w:szCs w:val="18"/>
        </w:rPr>
        <w:t xml:space="preserve">Conclusions regarding the impact on </w:t>
      </w:r>
      <w:r w:rsidRPr="00EC75B7">
        <w:rPr>
          <w:rFonts w:ascii="Verdana" w:hAnsi="Verdana"/>
          <w:b/>
          <w:color w:val="009DEF"/>
          <w:spacing w:val="-2"/>
          <w:sz w:val="18"/>
          <w:szCs w:val="18"/>
        </w:rPr>
        <w:t>the landscape:</w:t>
      </w:r>
    </w:p>
    <w:p w14:paraId="0FE1F08F" w14:textId="77777777" w:rsidR="008715BE" w:rsidRPr="00EC75B7" w:rsidRDefault="00000000">
      <w:pPr>
        <w:pStyle w:val="BodyText"/>
        <w:spacing w:before="107" w:line="360" w:lineRule="auto"/>
        <w:ind w:left="2" w:right="320"/>
        <w:rPr>
          <w:rFonts w:ascii="Verdana" w:hAnsi="Verdana"/>
        </w:rPr>
      </w:pPr>
      <w:r w:rsidRPr="00EC75B7">
        <w:rPr>
          <w:rFonts w:ascii="Verdana" w:hAnsi="Verdana"/>
        </w:rPr>
        <w:t xml:space="preserve">During the exploitation/operation period, </w:t>
      </w:r>
      <w:r w:rsidRPr="00EC75B7">
        <w:rPr>
          <w:rFonts w:ascii="Verdana" w:hAnsi="Verdana"/>
          <w:b/>
        </w:rPr>
        <w:t>the landscape is affected insignificantly, on a small scale</w:t>
      </w:r>
      <w:r w:rsidRPr="00EC75B7">
        <w:rPr>
          <w:rFonts w:ascii="Verdana" w:hAnsi="Verdana"/>
        </w:rPr>
        <w:t>, mainly at the level of wind farm sites, technological platforms, transformer stations, and access roads. These elements are located in a predominantly agricultural area, already anthropized, without high landscape value, which limits the negative perception of the induced changes.</w:t>
      </w:r>
    </w:p>
    <w:p w14:paraId="69D66AD3" w14:textId="77777777" w:rsidR="008715BE" w:rsidRPr="00EC75B7" w:rsidRDefault="00000000">
      <w:pPr>
        <w:spacing w:line="218" w:lineRule="exact"/>
        <w:ind w:left="2"/>
        <w:rPr>
          <w:rFonts w:ascii="Verdana" w:hAnsi="Verdana"/>
          <w:b/>
          <w:sz w:val="18"/>
          <w:szCs w:val="18"/>
        </w:rPr>
      </w:pPr>
      <w:r w:rsidRPr="00EC75B7">
        <w:rPr>
          <w:rFonts w:ascii="Verdana" w:hAnsi="Verdana"/>
          <w:sz w:val="18"/>
          <w:szCs w:val="18"/>
        </w:rPr>
        <w:t xml:space="preserve">Considering the above, the overall impact of the project on the landscape during the operational period can be characterized as </w:t>
      </w:r>
      <w:r w:rsidRPr="00EC75B7">
        <w:rPr>
          <w:rFonts w:ascii="Verdana" w:hAnsi="Verdana"/>
          <w:b/>
          <w:sz w:val="18"/>
          <w:szCs w:val="18"/>
        </w:rPr>
        <w:t xml:space="preserve">direct, local in scope, with irreversible long-term effects </w:t>
      </w:r>
      <w:r w:rsidRPr="00EC75B7">
        <w:rPr>
          <w:rFonts w:ascii="Verdana" w:hAnsi="Verdana"/>
          <w:b/>
          <w:spacing w:val="-2"/>
          <w:sz w:val="18"/>
          <w:szCs w:val="18"/>
        </w:rPr>
        <w:t>associated with</w:t>
      </w:r>
    </w:p>
    <w:p w14:paraId="61CD086D" w14:textId="77777777" w:rsidR="008715BE" w:rsidRPr="00EC75B7" w:rsidRDefault="00000000">
      <w:pPr>
        <w:spacing w:before="107"/>
        <w:ind w:left="2"/>
        <w:rPr>
          <w:rFonts w:ascii="Verdana" w:hAnsi="Verdana"/>
          <w:sz w:val="18"/>
          <w:szCs w:val="18"/>
        </w:rPr>
      </w:pPr>
      <w:r w:rsidRPr="00EC75B7">
        <w:rPr>
          <w:rFonts w:ascii="Verdana" w:hAnsi="Verdana"/>
          <w:b/>
          <w:sz w:val="18"/>
          <w:szCs w:val="18"/>
        </w:rPr>
        <w:t>the presence of permanent structures, but of low intensity, and is assessed as insignificant</w:t>
      </w:r>
      <w:r w:rsidRPr="00EC75B7">
        <w:rPr>
          <w:rFonts w:ascii="Verdana" w:hAnsi="Verdana"/>
          <w:sz w:val="18"/>
          <w:szCs w:val="18"/>
        </w:rPr>
        <w:t xml:space="preserve">. The impact does not show a tendency to spread spatially and does not affect the general character of the </w:t>
      </w:r>
      <w:r w:rsidRPr="00EC75B7">
        <w:rPr>
          <w:rFonts w:ascii="Verdana" w:hAnsi="Verdana"/>
          <w:spacing w:val="-2"/>
          <w:sz w:val="18"/>
          <w:szCs w:val="18"/>
        </w:rPr>
        <w:t xml:space="preserve">local </w:t>
      </w:r>
      <w:r w:rsidRPr="00EC75B7">
        <w:rPr>
          <w:rFonts w:ascii="Verdana" w:hAnsi="Verdana"/>
          <w:sz w:val="18"/>
          <w:szCs w:val="18"/>
        </w:rPr>
        <w:t>landscape</w:t>
      </w:r>
      <w:r w:rsidRPr="00EC75B7">
        <w:rPr>
          <w:rFonts w:ascii="Verdana" w:hAnsi="Verdana"/>
          <w:spacing w:val="-2"/>
          <w:sz w:val="18"/>
          <w:szCs w:val="18"/>
        </w:rPr>
        <w:t>.</w:t>
      </w:r>
    </w:p>
    <w:p w14:paraId="11C92D65" w14:textId="77777777" w:rsidR="008715BE" w:rsidRPr="00EC75B7" w:rsidRDefault="008715BE">
      <w:pPr>
        <w:rPr>
          <w:rFonts w:ascii="Verdana" w:hAnsi="Verdana"/>
          <w:sz w:val="18"/>
          <w:szCs w:val="18"/>
        </w:rPr>
        <w:sectPr w:rsidR="008715BE" w:rsidRPr="00EC75B7">
          <w:pgSz w:w="23820" w:h="16840" w:orient="landscape"/>
          <w:pgMar w:top="1280" w:right="708" w:bottom="1020" w:left="850" w:header="766" w:footer="824" w:gutter="0"/>
          <w:cols w:space="708"/>
        </w:sectPr>
      </w:pPr>
    </w:p>
    <w:p w14:paraId="6DDF2F77" w14:textId="77777777" w:rsidR="008715BE" w:rsidRPr="00EC75B7" w:rsidRDefault="008715BE">
      <w:pPr>
        <w:pStyle w:val="BodyText"/>
        <w:spacing w:before="98"/>
        <w:rPr>
          <w:rFonts w:ascii="Verdana" w:hAnsi="Verdana"/>
        </w:rPr>
      </w:pPr>
    </w:p>
    <w:p w14:paraId="262CD5C7" w14:textId="77777777" w:rsidR="008715BE" w:rsidRPr="00EC75B7" w:rsidRDefault="00000000">
      <w:pPr>
        <w:pStyle w:val="Heading3"/>
        <w:numPr>
          <w:ilvl w:val="2"/>
          <w:numId w:val="110"/>
        </w:numPr>
        <w:tabs>
          <w:tab w:val="left" w:pos="2037"/>
        </w:tabs>
        <w:ind w:left="2037" w:hanging="986"/>
        <w:rPr>
          <w:rFonts w:ascii="Verdana" w:hAnsi="Verdana"/>
          <w:i/>
          <w:color w:val="00AFEF"/>
          <w:sz w:val="18"/>
          <w:szCs w:val="18"/>
        </w:rPr>
      </w:pPr>
      <w:bookmarkStart w:id="113" w:name="_bookmark114"/>
      <w:bookmarkEnd w:id="113"/>
      <w:r w:rsidRPr="00EC75B7">
        <w:rPr>
          <w:rFonts w:ascii="Verdana" w:hAnsi="Verdana"/>
          <w:color w:val="00AFEF"/>
          <w:sz w:val="18"/>
          <w:szCs w:val="18"/>
        </w:rPr>
        <w:t xml:space="preserve">Measures to avoid and reduce the </w:t>
      </w:r>
      <w:r w:rsidRPr="00EC75B7">
        <w:rPr>
          <w:rFonts w:ascii="Verdana" w:hAnsi="Verdana"/>
          <w:color w:val="00AFEF"/>
          <w:spacing w:val="-2"/>
          <w:sz w:val="18"/>
          <w:szCs w:val="18"/>
        </w:rPr>
        <w:t>impact</w:t>
      </w:r>
    </w:p>
    <w:p w14:paraId="2111FC5A" w14:textId="77777777" w:rsidR="008715BE" w:rsidRPr="00EC75B7" w:rsidRDefault="008715BE">
      <w:pPr>
        <w:pStyle w:val="BodyText"/>
        <w:spacing w:before="117"/>
        <w:rPr>
          <w:rFonts w:ascii="Verdana" w:hAnsi="Verdana"/>
          <w:b/>
        </w:rPr>
      </w:pPr>
    </w:p>
    <w:p w14:paraId="4A0ABFFE" w14:textId="77777777" w:rsidR="008715BE" w:rsidRPr="00EC75B7" w:rsidRDefault="00000000">
      <w:pPr>
        <w:pStyle w:val="Heading6"/>
        <w:spacing w:line="362" w:lineRule="auto"/>
        <w:ind w:left="57"/>
        <w:rPr>
          <w:rFonts w:ascii="Verdana" w:hAnsi="Verdana"/>
          <w:u w:val="none"/>
        </w:rPr>
      </w:pPr>
      <w:r w:rsidRPr="00EC75B7">
        <w:rPr>
          <w:rFonts w:ascii="Verdana" w:hAnsi="Verdana"/>
          <w:color w:val="00AFEF"/>
          <w:u w:color="00AFEF"/>
        </w:rPr>
        <w:t>Best practice requirements adopted to reduce the impact on the landscape and conditions for project implementation</w:t>
      </w:r>
    </w:p>
    <w:p w14:paraId="19744F10" w14:textId="77777777" w:rsidR="008715BE" w:rsidRPr="00EC75B7" w:rsidRDefault="00000000">
      <w:pPr>
        <w:pStyle w:val="BodyText"/>
        <w:spacing w:before="120" w:line="360" w:lineRule="auto"/>
        <w:ind w:left="57" w:right="138"/>
        <w:jc w:val="both"/>
        <w:rPr>
          <w:rFonts w:ascii="Verdana" w:hAnsi="Verdana"/>
        </w:rPr>
      </w:pPr>
      <w:r w:rsidRPr="00EC75B7">
        <w:rPr>
          <w:rFonts w:ascii="Verdana" w:hAnsi="Verdana"/>
        </w:rPr>
        <w:t xml:space="preserve">In order to limit the impact on the landscape during </w:t>
      </w:r>
      <w:r w:rsidRPr="00EC75B7">
        <w:rPr>
          <w:rFonts w:ascii="Verdana" w:hAnsi="Verdana"/>
          <w:b/>
        </w:rPr>
        <w:t>the construction and decommissioning phases</w:t>
      </w:r>
      <w:r w:rsidRPr="00EC75B7">
        <w:rPr>
          <w:rFonts w:ascii="Verdana" w:hAnsi="Verdana"/>
        </w:rPr>
        <w:t>, a series of good practice measures will be applied, aimed at minimizing changes to the local landscape</w:t>
      </w:r>
      <w:r w:rsidRPr="00EC75B7">
        <w:rPr>
          <w:rFonts w:ascii="Verdana" w:hAnsi="Verdana"/>
          <w:spacing w:val="-2"/>
        </w:rPr>
        <w:t>, such as:</w:t>
      </w:r>
    </w:p>
    <w:p w14:paraId="1E09DFD9" w14:textId="77777777" w:rsidR="008715BE" w:rsidRPr="00EC75B7" w:rsidRDefault="00000000">
      <w:pPr>
        <w:pStyle w:val="ListParagraph"/>
        <w:numPr>
          <w:ilvl w:val="0"/>
          <w:numId w:val="37"/>
        </w:numPr>
        <w:tabs>
          <w:tab w:val="left" w:pos="777"/>
        </w:tabs>
        <w:spacing w:before="115" w:line="360" w:lineRule="auto"/>
        <w:ind w:right="139"/>
        <w:jc w:val="both"/>
        <w:rPr>
          <w:rFonts w:ascii="Verdana" w:hAnsi="Verdana"/>
          <w:sz w:val="18"/>
          <w:szCs w:val="18"/>
        </w:rPr>
      </w:pPr>
      <w:r w:rsidRPr="00EC75B7">
        <w:rPr>
          <w:rFonts w:ascii="Verdana" w:hAnsi="Verdana"/>
          <w:sz w:val="18"/>
          <w:szCs w:val="18"/>
        </w:rPr>
        <w:t xml:space="preserve">technical solutions to </w:t>
      </w:r>
      <w:r w:rsidRPr="00EC75B7">
        <w:rPr>
          <w:rFonts w:ascii="Verdana" w:hAnsi="Verdana"/>
          <w:b/>
          <w:sz w:val="18"/>
          <w:szCs w:val="18"/>
        </w:rPr>
        <w:t xml:space="preserve">avoid and minimize the areas affected </w:t>
      </w:r>
      <w:r w:rsidRPr="00EC75B7">
        <w:rPr>
          <w:rFonts w:ascii="Verdana" w:hAnsi="Verdana"/>
          <w:sz w:val="18"/>
          <w:szCs w:val="18"/>
        </w:rPr>
        <w:t xml:space="preserve">by temporary construction and development, using </w:t>
      </w:r>
      <w:r w:rsidRPr="00EC75B7">
        <w:rPr>
          <w:rFonts w:ascii="Verdana" w:hAnsi="Verdana"/>
          <w:b/>
          <w:sz w:val="18"/>
          <w:szCs w:val="18"/>
        </w:rPr>
        <w:t>only existing access roads</w:t>
      </w:r>
      <w:r w:rsidRPr="00EC75B7">
        <w:rPr>
          <w:rFonts w:ascii="Verdana" w:hAnsi="Verdana"/>
          <w:sz w:val="18"/>
          <w:szCs w:val="18"/>
        </w:rPr>
        <w:t>, without creating additional unjustified routes.</w:t>
      </w:r>
    </w:p>
    <w:p w14:paraId="7BDD42CC" w14:textId="77777777" w:rsidR="008715BE" w:rsidRPr="00EC75B7" w:rsidRDefault="00000000">
      <w:pPr>
        <w:pStyle w:val="ListParagraph"/>
        <w:numPr>
          <w:ilvl w:val="0"/>
          <w:numId w:val="37"/>
        </w:numPr>
        <w:tabs>
          <w:tab w:val="left" w:pos="777"/>
        </w:tabs>
        <w:spacing w:line="357" w:lineRule="auto"/>
        <w:ind w:right="135"/>
        <w:jc w:val="both"/>
        <w:rPr>
          <w:rFonts w:ascii="Verdana" w:hAnsi="Verdana"/>
          <w:sz w:val="18"/>
          <w:szCs w:val="18"/>
        </w:rPr>
      </w:pPr>
      <w:r w:rsidRPr="00EC75B7">
        <w:rPr>
          <w:rFonts w:ascii="Verdana" w:hAnsi="Verdana"/>
          <w:sz w:val="18"/>
          <w:szCs w:val="18"/>
        </w:rPr>
        <w:t xml:space="preserve">When establishing routes for the networks and infrastructure related to the project, </w:t>
      </w:r>
      <w:r w:rsidRPr="00EC75B7">
        <w:rPr>
          <w:rFonts w:ascii="Verdana" w:hAnsi="Verdana"/>
          <w:b/>
          <w:sz w:val="18"/>
          <w:szCs w:val="18"/>
        </w:rPr>
        <w:t xml:space="preserve">the protection areas of historical monuments and other heritage sites </w:t>
      </w:r>
      <w:r w:rsidRPr="00EC75B7">
        <w:rPr>
          <w:rFonts w:ascii="Verdana" w:hAnsi="Verdana"/>
          <w:sz w:val="18"/>
          <w:szCs w:val="18"/>
        </w:rPr>
        <w:t>will be taken into account, where applicable, for the purpose of their conservation and enhancement, even if no areas of high landscape sensitivity are identified in the implementation area.</w:t>
      </w:r>
    </w:p>
    <w:p w14:paraId="72588A70" w14:textId="77777777" w:rsidR="008715BE" w:rsidRPr="00EC75B7" w:rsidRDefault="00000000">
      <w:pPr>
        <w:pStyle w:val="ListParagraph"/>
        <w:numPr>
          <w:ilvl w:val="0"/>
          <w:numId w:val="37"/>
        </w:numPr>
        <w:tabs>
          <w:tab w:val="left" w:pos="777"/>
        </w:tabs>
        <w:spacing w:line="357" w:lineRule="auto"/>
        <w:ind w:right="137"/>
        <w:jc w:val="both"/>
        <w:rPr>
          <w:rFonts w:ascii="Verdana" w:hAnsi="Verdana"/>
          <w:sz w:val="18"/>
          <w:szCs w:val="18"/>
        </w:rPr>
      </w:pPr>
      <w:r w:rsidRPr="00EC75B7">
        <w:rPr>
          <w:rFonts w:ascii="Verdana" w:hAnsi="Verdana"/>
          <w:b/>
          <w:sz w:val="18"/>
          <w:szCs w:val="18"/>
        </w:rPr>
        <w:t xml:space="preserve">Proper </w:t>
      </w:r>
      <w:r w:rsidRPr="00EC75B7">
        <w:rPr>
          <w:rFonts w:ascii="Verdana" w:hAnsi="Verdana"/>
          <w:sz w:val="18"/>
          <w:szCs w:val="18"/>
        </w:rPr>
        <w:t xml:space="preserve">management </w:t>
      </w:r>
      <w:r w:rsidRPr="00EC75B7">
        <w:rPr>
          <w:rFonts w:ascii="Verdana" w:hAnsi="Verdana"/>
          <w:b/>
          <w:sz w:val="18"/>
          <w:szCs w:val="18"/>
        </w:rPr>
        <w:t xml:space="preserve">of waste </w:t>
      </w:r>
      <w:r w:rsidRPr="00EC75B7">
        <w:rPr>
          <w:rFonts w:ascii="Verdana" w:hAnsi="Verdana"/>
          <w:sz w:val="18"/>
          <w:szCs w:val="18"/>
        </w:rPr>
        <w:t>resulting from construction/decommissioning activities will be ensured throughout the duration of the works, through separate collection, controlled temporary storage, and disposal in accordance with the legal provisions in force. The accumulation and prolonged storage of waste will be avoided both within the site organization and at the work areas.</w:t>
      </w:r>
    </w:p>
    <w:p w14:paraId="49C3CE1E" w14:textId="77777777" w:rsidR="008715BE" w:rsidRPr="00EC75B7" w:rsidRDefault="00000000">
      <w:pPr>
        <w:pStyle w:val="Heading6"/>
        <w:spacing w:before="127"/>
        <w:ind w:left="57"/>
        <w:jc w:val="both"/>
        <w:rPr>
          <w:rFonts w:ascii="Verdana" w:hAnsi="Verdana"/>
          <w:u w:val="none"/>
        </w:rPr>
      </w:pPr>
      <w:r w:rsidRPr="00EC75B7">
        <w:rPr>
          <w:rFonts w:ascii="Verdana" w:hAnsi="Verdana"/>
          <w:color w:val="00AFEF"/>
          <w:u w:color="00AFEF"/>
        </w:rPr>
        <w:t xml:space="preserve">Measures to avoid impact on </w:t>
      </w:r>
      <w:r w:rsidRPr="00EC75B7">
        <w:rPr>
          <w:rFonts w:ascii="Verdana" w:hAnsi="Verdana"/>
          <w:color w:val="00AFEF"/>
          <w:spacing w:val="-2"/>
          <w:u w:color="00AFEF"/>
        </w:rPr>
        <w:t>the landscape</w:t>
      </w:r>
    </w:p>
    <w:p w14:paraId="77C7303C" w14:textId="77777777" w:rsidR="008715BE" w:rsidRPr="00EC75B7" w:rsidRDefault="008715BE">
      <w:pPr>
        <w:pStyle w:val="BodyText"/>
        <w:spacing w:before="14"/>
        <w:rPr>
          <w:rFonts w:ascii="Verdana" w:hAnsi="Verdana"/>
          <w:b/>
          <w:i/>
        </w:rPr>
      </w:pPr>
    </w:p>
    <w:p w14:paraId="2F9257BF" w14:textId="77777777" w:rsidR="008715BE" w:rsidRPr="00EC75B7" w:rsidRDefault="00000000">
      <w:pPr>
        <w:spacing w:line="357" w:lineRule="auto"/>
        <w:ind w:left="57" w:right="143"/>
        <w:jc w:val="both"/>
        <w:rPr>
          <w:rFonts w:ascii="Verdana" w:hAnsi="Verdana"/>
          <w:sz w:val="18"/>
          <w:szCs w:val="18"/>
        </w:rPr>
      </w:pPr>
      <w:r w:rsidRPr="00EC75B7">
        <w:rPr>
          <w:rFonts w:ascii="Verdana" w:hAnsi="Verdana"/>
          <w:sz w:val="18"/>
          <w:szCs w:val="18"/>
        </w:rPr>
        <w:t xml:space="preserve">No additional specific measures to avoid impact on the landscape have been proposed at any stage of the project, as the investment is not being carried out in areas of </w:t>
      </w:r>
      <w:r w:rsidRPr="00EC75B7">
        <w:rPr>
          <w:rFonts w:ascii="Verdana" w:hAnsi="Verdana"/>
          <w:b/>
          <w:sz w:val="18"/>
          <w:szCs w:val="18"/>
        </w:rPr>
        <w:t xml:space="preserve">high landscape sensitivity </w:t>
      </w:r>
      <w:r w:rsidRPr="00EC75B7">
        <w:rPr>
          <w:rFonts w:ascii="Verdana" w:hAnsi="Verdana"/>
          <w:sz w:val="18"/>
          <w:szCs w:val="18"/>
        </w:rPr>
        <w:t xml:space="preserve">or </w:t>
      </w:r>
      <w:r w:rsidRPr="00EC75B7">
        <w:rPr>
          <w:rFonts w:ascii="Verdana" w:hAnsi="Verdana"/>
          <w:b/>
          <w:sz w:val="18"/>
          <w:szCs w:val="18"/>
        </w:rPr>
        <w:t>high landscape value</w:t>
      </w:r>
      <w:r w:rsidRPr="00EC75B7">
        <w:rPr>
          <w:rFonts w:ascii="Verdana" w:hAnsi="Verdana"/>
          <w:sz w:val="18"/>
          <w:szCs w:val="18"/>
        </w:rPr>
        <w:t>, and the site is located in an agricultural landscape.</w:t>
      </w:r>
    </w:p>
    <w:p w14:paraId="1C3D0E3C" w14:textId="77777777" w:rsidR="008715BE" w:rsidRPr="00EC75B7" w:rsidRDefault="00000000">
      <w:pPr>
        <w:pStyle w:val="Heading6"/>
        <w:spacing w:before="125"/>
        <w:ind w:left="57"/>
        <w:jc w:val="both"/>
        <w:rPr>
          <w:rFonts w:ascii="Verdana" w:hAnsi="Verdana"/>
          <w:u w:val="none"/>
        </w:rPr>
      </w:pPr>
      <w:r w:rsidRPr="00EC75B7">
        <w:rPr>
          <w:rFonts w:ascii="Verdana" w:hAnsi="Verdana"/>
          <w:color w:val="00AFEF"/>
          <w:u w:color="00AFEF"/>
        </w:rPr>
        <w:t xml:space="preserve">Measures to reduce the impact on </w:t>
      </w:r>
      <w:r w:rsidRPr="00EC75B7">
        <w:rPr>
          <w:rFonts w:ascii="Verdana" w:hAnsi="Verdana"/>
          <w:color w:val="00AFEF"/>
          <w:spacing w:val="-2"/>
          <w:u w:color="00AFEF"/>
        </w:rPr>
        <w:t>the landscape</w:t>
      </w:r>
    </w:p>
    <w:p w14:paraId="6D57D116" w14:textId="77777777" w:rsidR="008715BE" w:rsidRPr="00EC75B7" w:rsidRDefault="008715BE">
      <w:pPr>
        <w:pStyle w:val="BodyText"/>
        <w:spacing w:before="13"/>
        <w:rPr>
          <w:rFonts w:ascii="Verdana" w:hAnsi="Verdana"/>
          <w:b/>
          <w:i/>
        </w:rPr>
      </w:pPr>
    </w:p>
    <w:p w14:paraId="5CFD2929" w14:textId="77777777" w:rsidR="008715BE" w:rsidRPr="00EC75B7" w:rsidRDefault="00000000">
      <w:pPr>
        <w:pStyle w:val="BodyText"/>
        <w:spacing w:before="1"/>
        <w:ind w:left="57"/>
        <w:rPr>
          <w:rFonts w:ascii="Verdana" w:hAnsi="Verdana"/>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measures </w:t>
      </w:r>
      <w:r w:rsidRPr="00EC75B7">
        <w:rPr>
          <w:rFonts w:ascii="Verdana" w:hAnsi="Verdana"/>
        </w:rPr>
        <w:t>will be implemented to reduce the potential impact on the landscape</w:t>
      </w:r>
      <w:r w:rsidRPr="00EC75B7">
        <w:rPr>
          <w:rFonts w:ascii="Verdana" w:hAnsi="Verdana"/>
          <w:spacing w:val="-2"/>
        </w:rPr>
        <w:t>:</w:t>
      </w:r>
    </w:p>
    <w:p w14:paraId="7720E095" w14:textId="77777777" w:rsidR="008715BE" w:rsidRPr="00EC75B7" w:rsidRDefault="008715BE">
      <w:pPr>
        <w:pStyle w:val="BodyText"/>
        <w:spacing w:before="9"/>
        <w:rPr>
          <w:rFonts w:ascii="Verdana" w:hAnsi="Verdana"/>
        </w:rPr>
      </w:pPr>
    </w:p>
    <w:p w14:paraId="4354BA67" w14:textId="77777777" w:rsidR="008715BE" w:rsidRPr="00EC75B7" w:rsidRDefault="00000000">
      <w:pPr>
        <w:pStyle w:val="ListParagraph"/>
        <w:numPr>
          <w:ilvl w:val="0"/>
          <w:numId w:val="37"/>
        </w:numPr>
        <w:tabs>
          <w:tab w:val="left" w:pos="777"/>
        </w:tabs>
        <w:spacing w:line="350" w:lineRule="auto"/>
        <w:ind w:right="137"/>
        <w:jc w:val="both"/>
        <w:rPr>
          <w:rFonts w:ascii="Verdana" w:hAnsi="Verdana"/>
          <w:sz w:val="18"/>
          <w:szCs w:val="18"/>
        </w:rPr>
      </w:pPr>
      <w:r w:rsidRPr="00EC75B7">
        <w:rPr>
          <w:rFonts w:ascii="Verdana" w:hAnsi="Verdana"/>
          <w:sz w:val="18"/>
          <w:szCs w:val="18"/>
        </w:rPr>
        <w:t>restoration of the landscape temporarily affected by construction/decommissioning works or interventions during the operating period, by returning the land to its original state and removing all waste from the construction site and work areas;</w:t>
      </w:r>
    </w:p>
    <w:p w14:paraId="247FC814" w14:textId="77777777" w:rsidR="008715BE" w:rsidRPr="00EC75B7" w:rsidRDefault="00000000">
      <w:pPr>
        <w:pStyle w:val="ListParagraph"/>
        <w:numPr>
          <w:ilvl w:val="0"/>
          <w:numId w:val="37"/>
        </w:numPr>
        <w:tabs>
          <w:tab w:val="left" w:pos="777"/>
        </w:tabs>
        <w:spacing w:before="128" w:line="338" w:lineRule="auto"/>
        <w:ind w:right="151"/>
        <w:jc w:val="both"/>
        <w:rPr>
          <w:rFonts w:ascii="Verdana" w:hAnsi="Verdana"/>
          <w:sz w:val="18"/>
          <w:szCs w:val="18"/>
        </w:rPr>
      </w:pPr>
      <w:r w:rsidRPr="00EC75B7">
        <w:rPr>
          <w:rFonts w:ascii="Verdana" w:hAnsi="Verdana"/>
          <w:sz w:val="18"/>
          <w:szCs w:val="18"/>
        </w:rPr>
        <w:t>monitoring and controlling the appearance of invasive species, both during the execution and operation stages, in order to preserve the character of the local landscape;</w:t>
      </w:r>
    </w:p>
    <w:p w14:paraId="552B65C1" w14:textId="77777777" w:rsidR="008715BE" w:rsidRPr="00EC75B7" w:rsidRDefault="00000000">
      <w:pPr>
        <w:pStyle w:val="ListParagraph"/>
        <w:numPr>
          <w:ilvl w:val="0"/>
          <w:numId w:val="37"/>
        </w:numPr>
        <w:tabs>
          <w:tab w:val="left" w:pos="777"/>
        </w:tabs>
        <w:spacing w:before="142" w:line="350" w:lineRule="auto"/>
        <w:ind w:right="147"/>
        <w:jc w:val="both"/>
        <w:rPr>
          <w:rFonts w:ascii="Verdana" w:hAnsi="Verdana"/>
          <w:sz w:val="18"/>
          <w:szCs w:val="18"/>
        </w:rPr>
      </w:pPr>
      <w:r w:rsidRPr="00EC75B7">
        <w:rPr>
          <w:rFonts w:ascii="Verdana" w:hAnsi="Verdana"/>
          <w:sz w:val="18"/>
          <w:szCs w:val="18"/>
        </w:rPr>
        <w:t>compliance with urban planning indicators (land occupancy rate, land use coefficient, height level), as established by the urban planning certificate, as well as local urban development rules.</w:t>
      </w:r>
    </w:p>
    <w:p w14:paraId="7CEB89AE" w14:textId="77777777" w:rsidR="008715BE" w:rsidRPr="00EC75B7" w:rsidRDefault="008715BE">
      <w:pPr>
        <w:pStyle w:val="ListParagraph"/>
        <w:spacing w:line="350" w:lineRule="auto"/>
        <w:jc w:val="both"/>
        <w:rPr>
          <w:rFonts w:ascii="Verdana" w:hAnsi="Verdana"/>
          <w:sz w:val="18"/>
          <w:szCs w:val="18"/>
        </w:rPr>
        <w:sectPr w:rsidR="008715BE" w:rsidRPr="00EC75B7">
          <w:headerReference w:type="default" r:id="rId225"/>
          <w:footerReference w:type="default" r:id="rId226"/>
          <w:pgSz w:w="11910" w:h="16840"/>
          <w:pgMar w:top="1320" w:right="850" w:bottom="1020" w:left="1133" w:header="766" w:footer="824" w:gutter="0"/>
          <w:cols w:space="708"/>
        </w:sectPr>
      </w:pPr>
    </w:p>
    <w:p w14:paraId="730DDFFA" w14:textId="77777777" w:rsidR="008715BE" w:rsidRPr="00EC75B7" w:rsidRDefault="00000000">
      <w:pPr>
        <w:pStyle w:val="Heading2"/>
        <w:numPr>
          <w:ilvl w:val="1"/>
          <w:numId w:val="110"/>
        </w:numPr>
        <w:tabs>
          <w:tab w:val="left" w:pos="1360"/>
        </w:tabs>
        <w:spacing w:before="102"/>
        <w:ind w:left="1360" w:hanging="1245"/>
        <w:jc w:val="left"/>
        <w:rPr>
          <w:rFonts w:ascii="Verdana" w:hAnsi="Verdana"/>
          <w:color w:val="00AFEF"/>
          <w:sz w:val="18"/>
          <w:szCs w:val="18"/>
        </w:rPr>
      </w:pPr>
      <w:bookmarkStart w:id="114" w:name="_bookmark115"/>
      <w:bookmarkEnd w:id="114"/>
      <w:r w:rsidRPr="00EC75B7">
        <w:rPr>
          <w:rFonts w:ascii="Verdana" w:hAnsi="Verdana"/>
          <w:color w:val="00AFEF"/>
          <w:sz w:val="18"/>
          <w:szCs w:val="18"/>
        </w:rPr>
        <w:lastRenderedPageBreak/>
        <w:t xml:space="preserve">Cumulative impact of </w:t>
      </w:r>
      <w:r w:rsidRPr="00EC75B7">
        <w:rPr>
          <w:rFonts w:ascii="Verdana" w:hAnsi="Verdana"/>
          <w:color w:val="00AFEF"/>
          <w:spacing w:val="-2"/>
          <w:sz w:val="18"/>
          <w:szCs w:val="18"/>
        </w:rPr>
        <w:t>the project</w:t>
      </w:r>
    </w:p>
    <w:p w14:paraId="6F578121" w14:textId="6466767E" w:rsidR="008715BE" w:rsidRPr="002A4F7C" w:rsidRDefault="00000000" w:rsidP="002A4F7C">
      <w:pPr>
        <w:pStyle w:val="Heading3"/>
        <w:numPr>
          <w:ilvl w:val="2"/>
          <w:numId w:val="110"/>
        </w:numPr>
        <w:tabs>
          <w:tab w:val="left" w:pos="2666"/>
        </w:tabs>
        <w:spacing w:before="133"/>
        <w:ind w:left="2666" w:hanging="1615"/>
        <w:jc w:val="both"/>
        <w:rPr>
          <w:rFonts w:ascii="Verdana" w:hAnsi="Verdana"/>
          <w:i/>
          <w:color w:val="00AFEF"/>
          <w:sz w:val="18"/>
          <w:szCs w:val="18"/>
        </w:rPr>
      </w:pPr>
      <w:bookmarkStart w:id="115" w:name="_bookmark116"/>
      <w:bookmarkEnd w:id="115"/>
      <w:r w:rsidRPr="00EC75B7">
        <w:rPr>
          <w:rFonts w:ascii="Verdana" w:hAnsi="Verdana"/>
          <w:color w:val="00AFEF"/>
          <w:sz w:val="18"/>
          <w:szCs w:val="18"/>
        </w:rPr>
        <w:t xml:space="preserve">Existing/planned projects in the </w:t>
      </w:r>
      <w:r w:rsidRPr="00EC75B7">
        <w:rPr>
          <w:rFonts w:ascii="Verdana" w:hAnsi="Verdana"/>
          <w:color w:val="00AFEF"/>
          <w:spacing w:val="-2"/>
          <w:sz w:val="18"/>
          <w:szCs w:val="18"/>
        </w:rPr>
        <w:t xml:space="preserve">analyzed </w:t>
      </w:r>
      <w:r w:rsidRPr="00EC75B7">
        <w:rPr>
          <w:rFonts w:ascii="Verdana" w:hAnsi="Verdana"/>
          <w:color w:val="00AFEF"/>
          <w:sz w:val="18"/>
          <w:szCs w:val="18"/>
        </w:rPr>
        <w:t>area</w:t>
      </w:r>
    </w:p>
    <w:p w14:paraId="0B01CA19" w14:textId="77777777" w:rsidR="008715BE" w:rsidRPr="00EC75B7" w:rsidRDefault="00000000">
      <w:pPr>
        <w:pStyle w:val="BodyText"/>
        <w:spacing w:before="1" w:line="357" w:lineRule="auto"/>
        <w:ind w:left="57" w:right="139"/>
        <w:jc w:val="both"/>
        <w:rPr>
          <w:rFonts w:ascii="Verdana" w:hAnsi="Verdana"/>
        </w:rPr>
      </w:pPr>
      <w:r w:rsidRPr="00EC75B7">
        <w:rPr>
          <w:rFonts w:ascii="Verdana" w:hAnsi="Verdana"/>
        </w:rPr>
        <w:t xml:space="preserve">In order to assess the cumulative impact on the environment and protected natural areas for the project </w:t>
      </w:r>
      <w:r w:rsidRPr="00EC75B7">
        <w:rPr>
          <w:rFonts w:ascii="Verdana" w:hAnsi="Verdana"/>
          <w:i/>
        </w:rPr>
        <w:t xml:space="preserve">"Wind Farm 48 (46) wind power plants approx. 316.8MW (303.6MW), transformer stations, electrical connection networks, construction and modernisation of communication and access routes", </w:t>
      </w:r>
      <w:r w:rsidRPr="00EC75B7">
        <w:rPr>
          <w:rFonts w:ascii="Verdana" w:hAnsi="Verdana"/>
        </w:rPr>
        <w:t>proposed to be located in Cerchezu, Constanța County, information regarding the projects and plans/strategies approved/endorsed during the period 2020-2024, as well as those currently awaiting approval, was requested from the competent environmental protection authority in Constanța by letter no. 37/10.05.2024, information regarding the projects and plans/strategies approved/endorsed during the period 2020-2024, as well as those currently awaiting approval, located in the territory of Cerchezu and the neighboring localities (Măgura, Căscioarele, Viroaga, Chirnogeni, Negru Vodă, Olteni, Dumbrăveni, Independența, Plopeni), operators carrying out activities in the administrative territory of Cerchezu, projects and plans/strategies approved/endorsed/pending approval located in the protected areas within the project's area of influence: ROSAC0071 (ROSCI0071),</w:t>
      </w:r>
      <w:r w:rsidRPr="00EC75B7">
        <w:rPr>
          <w:rFonts w:ascii="Verdana" w:hAnsi="Verdana"/>
          <w:spacing w:val="40"/>
        </w:rPr>
        <w:t xml:space="preserve"> </w:t>
      </w:r>
      <w:r w:rsidRPr="00EC75B7">
        <w:rPr>
          <w:rFonts w:ascii="Verdana" w:hAnsi="Verdana"/>
        </w:rPr>
        <w:t>ROSPA0036, ROSPA0166, ROSPA0094, ROSAC0157(ROSCI0157), data on the location of projects/plans in relation to the boundaries of these protected areas and the areas occupied by them within the protected areas, etc.</w:t>
      </w:r>
    </w:p>
    <w:p w14:paraId="5EB2E557" w14:textId="77777777" w:rsidR="008715BE" w:rsidRPr="00EC75B7" w:rsidRDefault="00000000">
      <w:pPr>
        <w:pStyle w:val="BodyText"/>
        <w:spacing w:before="130" w:line="357" w:lineRule="auto"/>
        <w:ind w:left="57" w:right="139"/>
        <w:jc w:val="both"/>
        <w:rPr>
          <w:rFonts w:ascii="Verdana" w:hAnsi="Verdana"/>
        </w:rPr>
      </w:pPr>
      <w:r w:rsidRPr="00EC75B7">
        <w:rPr>
          <w:rFonts w:ascii="Verdana" w:hAnsi="Verdana"/>
        </w:rPr>
        <w:t xml:space="preserve">By letter no. 5836/12.06.2024, APM Constanța sent information regarding projects/plans undergoing environmental assessment/completed, identified as being within the area of influence of the </w:t>
      </w:r>
      <w:r w:rsidRPr="00EC75B7">
        <w:rPr>
          <w:rFonts w:ascii="Verdana" w:hAnsi="Verdana"/>
          <w:spacing w:val="-2"/>
        </w:rPr>
        <w:t>Cerchezu</w:t>
      </w:r>
      <w:r w:rsidRPr="00EC75B7">
        <w:rPr>
          <w:rFonts w:ascii="Verdana" w:hAnsi="Verdana"/>
        </w:rPr>
        <w:t xml:space="preserve"> wind farm</w:t>
      </w:r>
      <w:r w:rsidRPr="00EC75B7">
        <w:rPr>
          <w:rFonts w:ascii="Verdana" w:hAnsi="Verdana"/>
          <w:spacing w:val="-2"/>
        </w:rPr>
        <w:t>.</w:t>
      </w:r>
    </w:p>
    <w:p w14:paraId="101526A8" w14:textId="77777777" w:rsidR="008715BE" w:rsidRPr="00EC75B7" w:rsidRDefault="00000000">
      <w:pPr>
        <w:pStyle w:val="BodyText"/>
        <w:spacing w:before="122" w:line="357" w:lineRule="auto"/>
        <w:ind w:left="57" w:right="151"/>
        <w:jc w:val="both"/>
        <w:rPr>
          <w:rFonts w:ascii="Verdana" w:hAnsi="Verdana"/>
        </w:rPr>
      </w:pPr>
      <w:r w:rsidRPr="00EC75B7">
        <w:rPr>
          <w:rFonts w:ascii="Verdana" w:hAnsi="Verdana"/>
        </w:rPr>
        <w:t>According to the available information, the following existing/proposed projects are located in the vicinity of the proposed wind farm, both in Romania and Bulgaria:</w:t>
      </w:r>
    </w:p>
    <w:p w14:paraId="1678ABAA" w14:textId="77777777" w:rsidR="008715BE" w:rsidRPr="00EC75B7" w:rsidRDefault="00000000">
      <w:pPr>
        <w:pStyle w:val="Heading6"/>
        <w:numPr>
          <w:ilvl w:val="0"/>
          <w:numId w:val="37"/>
        </w:numPr>
        <w:tabs>
          <w:tab w:val="left" w:pos="777"/>
        </w:tabs>
        <w:spacing w:before="120"/>
        <w:rPr>
          <w:rFonts w:ascii="Verdana" w:hAnsi="Verdana"/>
          <w:b w:val="0"/>
          <w:i w:val="0"/>
          <w:u w:val="none"/>
        </w:rPr>
      </w:pPr>
      <w:r w:rsidRPr="00EC75B7">
        <w:rPr>
          <w:rFonts w:ascii="Verdana" w:hAnsi="Verdana"/>
          <w:spacing w:val="-2"/>
          <w:u w:val="none"/>
        </w:rPr>
        <w:t>Existing:</w:t>
      </w:r>
    </w:p>
    <w:p w14:paraId="2E5E47D0" w14:textId="77777777" w:rsidR="008715BE" w:rsidRPr="00EC75B7" w:rsidRDefault="00000000">
      <w:pPr>
        <w:pStyle w:val="ListParagraph"/>
        <w:numPr>
          <w:ilvl w:val="1"/>
          <w:numId w:val="37"/>
        </w:numPr>
        <w:tabs>
          <w:tab w:val="left" w:pos="1497"/>
        </w:tabs>
        <w:spacing w:before="109" w:line="350" w:lineRule="auto"/>
        <w:ind w:right="144"/>
        <w:jc w:val="both"/>
        <w:rPr>
          <w:rFonts w:ascii="Verdana" w:hAnsi="Verdana"/>
          <w:sz w:val="18"/>
          <w:szCs w:val="18"/>
        </w:rPr>
      </w:pPr>
      <w:r w:rsidRPr="00EC75B7">
        <w:rPr>
          <w:rFonts w:ascii="Verdana" w:hAnsi="Verdana"/>
          <w:sz w:val="18"/>
          <w:szCs w:val="18"/>
        </w:rPr>
        <w:t>"WIND ENERGY PARK 32 WIND TURBINES, TOTAL POWER 80 MW, TRANSFORMER STATION, ELECTRICAL CONNECTION NETWORKS, CONSTRUCTION AND MODERNIZATION OF</w:t>
      </w:r>
    </w:p>
    <w:p w14:paraId="71F5D319" w14:textId="77777777" w:rsidR="008715BE" w:rsidRPr="00EC75B7" w:rsidRDefault="00000000">
      <w:pPr>
        <w:pStyle w:val="BodyText"/>
        <w:spacing w:before="9" w:line="360" w:lineRule="auto"/>
        <w:ind w:left="1497" w:right="145"/>
        <w:jc w:val="both"/>
        <w:rPr>
          <w:rFonts w:ascii="Verdana" w:hAnsi="Verdana"/>
        </w:rPr>
      </w:pPr>
      <w:r w:rsidRPr="00EC75B7">
        <w:rPr>
          <w:rFonts w:ascii="Verdana" w:hAnsi="Verdana"/>
        </w:rPr>
        <w:t xml:space="preserve">AND ACCESS ROADS," located in the municipalities of Chirnogeni and Independența. The distance </w:t>
      </w:r>
      <w:r w:rsidRPr="00EC75B7">
        <w:rPr>
          <w:rFonts w:ascii="Verdana" w:hAnsi="Verdana"/>
          <w:spacing w:val="-2"/>
        </w:rPr>
        <w:t xml:space="preserve">between the proposed wind farm and the existing one is approximately 1.5 km (the distance between the </w:t>
      </w:r>
      <w:r w:rsidRPr="00EC75B7">
        <w:rPr>
          <w:rFonts w:ascii="Verdana" w:hAnsi="Verdana"/>
        </w:rPr>
        <w:t>proposed T24</w:t>
      </w:r>
      <w:r w:rsidRPr="00EC75B7">
        <w:rPr>
          <w:rFonts w:ascii="Verdana" w:hAnsi="Verdana"/>
          <w:spacing w:val="-2"/>
        </w:rPr>
        <w:t xml:space="preserve"> turbine </w:t>
      </w:r>
      <w:r w:rsidRPr="00EC75B7">
        <w:rPr>
          <w:rFonts w:ascii="Verdana" w:hAnsi="Verdana"/>
        </w:rPr>
        <w:t>and the existing T1).</w:t>
      </w:r>
    </w:p>
    <w:p w14:paraId="7EB04C6E" w14:textId="77777777" w:rsidR="008715BE" w:rsidRPr="00EC75B7" w:rsidRDefault="00000000">
      <w:pPr>
        <w:pStyle w:val="ListParagraph"/>
        <w:numPr>
          <w:ilvl w:val="1"/>
          <w:numId w:val="37"/>
        </w:numPr>
        <w:tabs>
          <w:tab w:val="left" w:pos="1497"/>
        </w:tabs>
        <w:spacing w:line="348" w:lineRule="auto"/>
        <w:ind w:right="137"/>
        <w:jc w:val="both"/>
        <w:rPr>
          <w:rFonts w:ascii="Verdana" w:hAnsi="Verdana"/>
          <w:sz w:val="18"/>
          <w:szCs w:val="18"/>
        </w:rPr>
      </w:pPr>
      <w:r w:rsidRPr="00EC75B7">
        <w:rPr>
          <w:rFonts w:ascii="Verdana" w:hAnsi="Verdana"/>
          <w:sz w:val="18"/>
          <w:szCs w:val="18"/>
        </w:rPr>
        <w:t>Wind farm on Bulgarian territory, located 5.6 km from the proposed project (distance between the proposed T3 turbine and the existing T6 turbine).</w:t>
      </w:r>
    </w:p>
    <w:p w14:paraId="4C711CF5" w14:textId="77777777" w:rsidR="008715BE" w:rsidRPr="00EC75B7" w:rsidRDefault="00000000">
      <w:pPr>
        <w:pStyle w:val="Heading6"/>
        <w:numPr>
          <w:ilvl w:val="0"/>
          <w:numId w:val="37"/>
        </w:numPr>
        <w:tabs>
          <w:tab w:val="left" w:pos="777"/>
        </w:tabs>
        <w:spacing w:before="9"/>
        <w:rPr>
          <w:rFonts w:ascii="Verdana" w:hAnsi="Verdana"/>
          <w:b w:val="0"/>
          <w:i w:val="0"/>
          <w:u w:val="none"/>
        </w:rPr>
      </w:pPr>
      <w:r w:rsidRPr="00EC75B7">
        <w:rPr>
          <w:rFonts w:ascii="Verdana" w:hAnsi="Verdana"/>
          <w:spacing w:val="-2"/>
          <w:u w:val="none"/>
        </w:rPr>
        <w:t>Proposed:</w:t>
      </w:r>
    </w:p>
    <w:p w14:paraId="2A70CCBB" w14:textId="77777777" w:rsidR="008715BE" w:rsidRPr="00EC75B7" w:rsidRDefault="00000000">
      <w:pPr>
        <w:pStyle w:val="ListParagraph"/>
        <w:numPr>
          <w:ilvl w:val="1"/>
          <w:numId w:val="37"/>
        </w:numPr>
        <w:tabs>
          <w:tab w:val="left" w:pos="1497"/>
        </w:tabs>
        <w:spacing w:before="110" w:line="352" w:lineRule="auto"/>
        <w:ind w:right="140"/>
        <w:jc w:val="both"/>
        <w:rPr>
          <w:rFonts w:ascii="Verdana" w:hAnsi="Verdana"/>
          <w:sz w:val="18"/>
          <w:szCs w:val="18"/>
        </w:rPr>
      </w:pPr>
      <w:r w:rsidRPr="00EC75B7">
        <w:rPr>
          <w:rFonts w:ascii="Verdana" w:hAnsi="Verdana"/>
          <w:sz w:val="18"/>
          <w:szCs w:val="18"/>
        </w:rPr>
        <w:t>14 CE-92.4 MW wind farm, transformer station, connection networks, construction and modernization of communication and access roads - outside the built-up area of Fântâna Mare, Independența commune, Constanța county.</w:t>
      </w:r>
    </w:p>
    <w:p w14:paraId="446AE0B9" w14:textId="77777777" w:rsidR="008715BE" w:rsidRPr="00EC75B7" w:rsidRDefault="00000000">
      <w:pPr>
        <w:pStyle w:val="ListParagraph"/>
        <w:numPr>
          <w:ilvl w:val="1"/>
          <w:numId w:val="37"/>
        </w:numPr>
        <w:tabs>
          <w:tab w:val="left" w:pos="1497"/>
        </w:tabs>
        <w:spacing w:before="9" w:line="352" w:lineRule="auto"/>
        <w:ind w:right="143"/>
        <w:jc w:val="both"/>
        <w:rPr>
          <w:rFonts w:ascii="Verdana" w:hAnsi="Verdana"/>
          <w:sz w:val="18"/>
          <w:szCs w:val="18"/>
        </w:rPr>
      </w:pPr>
      <w:r w:rsidRPr="00EC75B7">
        <w:rPr>
          <w:rFonts w:ascii="Verdana" w:hAnsi="Verdana"/>
          <w:sz w:val="18"/>
          <w:szCs w:val="18"/>
        </w:rPr>
        <w:t>Wind farm 17 CE-112.2 MW, transformer station, electrical connection networks, construction and modernisation of communication and access routes - outside the built-up area of Independența commune and Cerchezu commune, Constanța County</w:t>
      </w:r>
    </w:p>
    <w:p w14:paraId="533BFB4A" w14:textId="77777777" w:rsidR="008715BE" w:rsidRPr="00EC75B7" w:rsidRDefault="00000000">
      <w:pPr>
        <w:pStyle w:val="ListParagraph"/>
        <w:numPr>
          <w:ilvl w:val="1"/>
          <w:numId w:val="37"/>
        </w:numPr>
        <w:tabs>
          <w:tab w:val="left" w:pos="1496"/>
        </w:tabs>
        <w:spacing w:before="10"/>
        <w:ind w:left="1496" w:hanging="359"/>
        <w:jc w:val="both"/>
        <w:rPr>
          <w:rFonts w:ascii="Verdana" w:hAnsi="Verdana"/>
          <w:sz w:val="18"/>
          <w:szCs w:val="18"/>
        </w:rPr>
      </w:pPr>
      <w:r w:rsidRPr="00EC75B7">
        <w:rPr>
          <w:rFonts w:ascii="Verdana" w:hAnsi="Verdana"/>
          <w:sz w:val="18"/>
          <w:szCs w:val="18"/>
        </w:rPr>
        <w:t xml:space="preserve">Comana - Pecineaga Wind Farm - MT underground electrical cable route and fiber </w:t>
      </w:r>
      <w:r w:rsidRPr="00EC75B7">
        <w:rPr>
          <w:rFonts w:ascii="Verdana" w:hAnsi="Verdana"/>
          <w:spacing w:val="-2"/>
          <w:sz w:val="18"/>
          <w:szCs w:val="18"/>
        </w:rPr>
        <w:t xml:space="preserve">optic </w:t>
      </w:r>
      <w:r w:rsidRPr="00EC75B7">
        <w:rPr>
          <w:rFonts w:ascii="Verdana" w:hAnsi="Verdana"/>
          <w:sz w:val="18"/>
          <w:szCs w:val="18"/>
        </w:rPr>
        <w:t>network</w:t>
      </w:r>
    </w:p>
    <w:p w14:paraId="3F2416CE" w14:textId="77777777" w:rsidR="008715BE" w:rsidRPr="00EC75B7" w:rsidRDefault="00000000">
      <w:pPr>
        <w:pStyle w:val="ListParagraph"/>
        <w:numPr>
          <w:ilvl w:val="1"/>
          <w:numId w:val="37"/>
        </w:numPr>
        <w:tabs>
          <w:tab w:val="left" w:pos="1497"/>
        </w:tabs>
        <w:spacing w:before="103" w:line="352" w:lineRule="auto"/>
        <w:ind w:right="149"/>
        <w:jc w:val="both"/>
        <w:rPr>
          <w:rFonts w:ascii="Verdana" w:hAnsi="Verdana"/>
          <w:sz w:val="18"/>
          <w:szCs w:val="18"/>
        </w:rPr>
      </w:pPr>
      <w:r w:rsidRPr="00EC75B7">
        <w:rPr>
          <w:rFonts w:ascii="Verdana" w:hAnsi="Verdana"/>
          <w:sz w:val="18"/>
          <w:szCs w:val="18"/>
        </w:rPr>
        <w:t>Construction of a wind farm including: wind turbines, access roads and assembly/maintenance platforms, electrical substation (own), medium and high voltage electrical network, telecommunications network, Independența commune, Constanța county</w:t>
      </w:r>
    </w:p>
    <w:p w14:paraId="668BBD44" w14:textId="77777777" w:rsidR="008715BE" w:rsidRPr="00EC75B7" w:rsidRDefault="00000000">
      <w:pPr>
        <w:pStyle w:val="ListParagraph"/>
        <w:numPr>
          <w:ilvl w:val="1"/>
          <w:numId w:val="37"/>
        </w:numPr>
        <w:tabs>
          <w:tab w:val="left" w:pos="1497"/>
        </w:tabs>
        <w:spacing w:before="9" w:line="352" w:lineRule="auto"/>
        <w:ind w:right="147"/>
        <w:jc w:val="both"/>
        <w:rPr>
          <w:rFonts w:ascii="Verdana" w:hAnsi="Verdana"/>
          <w:sz w:val="18"/>
          <w:szCs w:val="18"/>
        </w:rPr>
      </w:pPr>
      <w:r w:rsidRPr="00EC75B7">
        <w:rPr>
          <w:rFonts w:ascii="Verdana" w:hAnsi="Verdana"/>
          <w:sz w:val="18"/>
          <w:szCs w:val="18"/>
        </w:rPr>
        <w:t>Demolition of existing buildings and construction of a 3.212 MW photovoltaic power plant, connection to the SEN, installation of PC and PTAB, construction of internal and access roads, fencing of the site and organization of the construction site located in Independența</w:t>
      </w:r>
    </w:p>
    <w:p w14:paraId="19E8D124" w14:textId="77777777" w:rsidR="008715BE" w:rsidRPr="00EC75B7" w:rsidRDefault="008715BE">
      <w:pPr>
        <w:pStyle w:val="ListParagraph"/>
        <w:spacing w:line="352" w:lineRule="auto"/>
        <w:jc w:val="both"/>
        <w:rPr>
          <w:rFonts w:ascii="Verdana" w:hAnsi="Verdana"/>
          <w:sz w:val="18"/>
          <w:szCs w:val="18"/>
        </w:rPr>
        <w:sectPr w:rsidR="008715BE" w:rsidRPr="00EC75B7">
          <w:pgSz w:w="11910" w:h="16840"/>
          <w:pgMar w:top="1320" w:right="850" w:bottom="1020" w:left="1133" w:header="766" w:footer="824" w:gutter="0"/>
          <w:cols w:space="708"/>
        </w:sectPr>
      </w:pPr>
    </w:p>
    <w:p w14:paraId="13AC1A16" w14:textId="77777777" w:rsidR="008715BE" w:rsidRPr="00EC75B7" w:rsidRDefault="00000000">
      <w:pPr>
        <w:pStyle w:val="ListParagraph"/>
        <w:numPr>
          <w:ilvl w:val="1"/>
          <w:numId w:val="37"/>
        </w:numPr>
        <w:tabs>
          <w:tab w:val="left" w:pos="1497"/>
        </w:tabs>
        <w:spacing w:before="99" w:line="350" w:lineRule="auto"/>
        <w:ind w:right="150"/>
        <w:rPr>
          <w:rFonts w:ascii="Verdana" w:hAnsi="Verdana"/>
          <w:sz w:val="18"/>
          <w:szCs w:val="18"/>
        </w:rPr>
      </w:pPr>
      <w:r w:rsidRPr="00EC75B7">
        <w:rPr>
          <w:rFonts w:ascii="Verdana" w:hAnsi="Verdana"/>
          <w:sz w:val="18"/>
          <w:szCs w:val="18"/>
        </w:rPr>
        <w:lastRenderedPageBreak/>
        <w:t>Construction of underground fiber optic network for electronic communications services in Constanța County, Independența commune, Dumbrăveni (proposed)</w:t>
      </w:r>
    </w:p>
    <w:p w14:paraId="4C7186D2" w14:textId="77777777" w:rsidR="008715BE" w:rsidRPr="00EC75B7" w:rsidRDefault="00000000">
      <w:pPr>
        <w:pStyle w:val="ListParagraph"/>
        <w:numPr>
          <w:ilvl w:val="1"/>
          <w:numId w:val="37"/>
        </w:numPr>
        <w:tabs>
          <w:tab w:val="left" w:pos="1497"/>
        </w:tabs>
        <w:spacing w:before="9" w:line="350" w:lineRule="auto"/>
        <w:ind w:right="150"/>
        <w:rPr>
          <w:rFonts w:ascii="Verdana" w:hAnsi="Verdana"/>
          <w:sz w:val="18"/>
          <w:szCs w:val="18"/>
        </w:rPr>
      </w:pPr>
      <w:r w:rsidRPr="00EC75B7">
        <w:rPr>
          <w:rFonts w:ascii="Verdana" w:hAnsi="Verdana"/>
          <w:sz w:val="18"/>
          <w:szCs w:val="18"/>
        </w:rPr>
        <w:t>Construction of an underground fiber optic network for electronic communications services, Negru Vodă (proposed)</w:t>
      </w:r>
    </w:p>
    <w:p w14:paraId="3A4E1569" w14:textId="77777777" w:rsidR="008715BE" w:rsidRPr="00EC75B7" w:rsidRDefault="00000000">
      <w:pPr>
        <w:pStyle w:val="ListParagraph"/>
        <w:numPr>
          <w:ilvl w:val="1"/>
          <w:numId w:val="37"/>
        </w:numPr>
        <w:tabs>
          <w:tab w:val="left" w:pos="1497"/>
        </w:tabs>
        <w:spacing w:before="10" w:line="348" w:lineRule="auto"/>
        <w:ind w:right="146"/>
        <w:rPr>
          <w:rFonts w:ascii="Verdana" w:hAnsi="Verdana"/>
          <w:sz w:val="18"/>
          <w:szCs w:val="18"/>
        </w:rPr>
      </w:pPr>
      <w:r w:rsidRPr="00EC75B7">
        <w:rPr>
          <w:rFonts w:ascii="Verdana" w:hAnsi="Verdana"/>
          <w:sz w:val="18"/>
          <w:szCs w:val="18"/>
        </w:rPr>
        <w:t>Electricity supply for water utility, Furnica village, Dumbrăveni commune, Constanța County (proposed) Relocation of DN 1000T1 Isaccea - Negru Vodă international natural gas pipeline, in the ROMCIM quarry area, PL Medgidia (proposed)</w:t>
      </w:r>
    </w:p>
    <w:p w14:paraId="60981EEE" w14:textId="77777777" w:rsidR="008715BE" w:rsidRPr="00EC75B7" w:rsidRDefault="00000000">
      <w:pPr>
        <w:pStyle w:val="ListParagraph"/>
        <w:numPr>
          <w:ilvl w:val="1"/>
          <w:numId w:val="37"/>
        </w:numPr>
        <w:tabs>
          <w:tab w:val="left" w:pos="1497"/>
        </w:tabs>
        <w:spacing w:before="12" w:line="350" w:lineRule="auto"/>
        <w:ind w:right="137"/>
        <w:rPr>
          <w:rFonts w:ascii="Verdana" w:hAnsi="Verdana"/>
          <w:sz w:val="18"/>
          <w:szCs w:val="18"/>
        </w:rPr>
      </w:pPr>
      <w:r w:rsidRPr="00EC75B7">
        <w:rPr>
          <w:rFonts w:ascii="Verdana" w:hAnsi="Verdana"/>
          <w:sz w:val="18"/>
          <w:szCs w:val="18"/>
        </w:rPr>
        <w:t>Relocation of the DN 1000T1 Isaccea - Negru Vodă international natural gas pipeline in the ROMCIM quarry area, Medgidia Industrial Park (proposed)</w:t>
      </w:r>
    </w:p>
    <w:p w14:paraId="46E77CBB" w14:textId="77777777" w:rsidR="008715BE" w:rsidRPr="00EC75B7" w:rsidRDefault="00000000">
      <w:pPr>
        <w:pStyle w:val="ListParagraph"/>
        <w:numPr>
          <w:ilvl w:val="1"/>
          <w:numId w:val="37"/>
        </w:numPr>
        <w:tabs>
          <w:tab w:val="left" w:pos="1496"/>
        </w:tabs>
        <w:spacing w:before="11"/>
        <w:ind w:left="1496" w:hanging="359"/>
        <w:rPr>
          <w:rFonts w:ascii="Verdana" w:hAnsi="Verdana"/>
          <w:sz w:val="18"/>
          <w:szCs w:val="18"/>
        </w:rPr>
      </w:pPr>
      <w:r w:rsidRPr="00EC75B7">
        <w:rPr>
          <w:rFonts w:ascii="Verdana" w:hAnsi="Verdana"/>
          <w:sz w:val="18"/>
          <w:szCs w:val="18"/>
        </w:rPr>
        <w:t xml:space="preserve">General urban plan for Independența commune </w:t>
      </w:r>
      <w:r w:rsidRPr="00EC75B7">
        <w:rPr>
          <w:rFonts w:ascii="Verdana" w:hAnsi="Verdana"/>
          <w:spacing w:val="-2"/>
          <w:sz w:val="18"/>
          <w:szCs w:val="18"/>
        </w:rPr>
        <w:t>(proposed)</w:t>
      </w:r>
    </w:p>
    <w:p w14:paraId="39A8FDD5" w14:textId="77777777" w:rsidR="008715BE" w:rsidRPr="00EC75B7" w:rsidRDefault="00000000">
      <w:pPr>
        <w:pStyle w:val="ListParagraph"/>
        <w:numPr>
          <w:ilvl w:val="1"/>
          <w:numId w:val="37"/>
        </w:numPr>
        <w:tabs>
          <w:tab w:val="left" w:pos="1497"/>
        </w:tabs>
        <w:spacing w:before="101" w:line="350" w:lineRule="auto"/>
        <w:ind w:right="147"/>
        <w:rPr>
          <w:rFonts w:ascii="Verdana" w:hAnsi="Verdana"/>
          <w:sz w:val="18"/>
          <w:szCs w:val="18"/>
        </w:rPr>
      </w:pPr>
      <w:r w:rsidRPr="00EC75B7">
        <w:rPr>
          <w:rFonts w:ascii="Verdana" w:hAnsi="Verdana"/>
          <w:sz w:val="18"/>
          <w:szCs w:val="18"/>
        </w:rPr>
        <w:t>Establishment of a smart natural gas distribution network in Independența commune, Constanța county (proposed)</w:t>
      </w:r>
    </w:p>
    <w:p w14:paraId="231E9D70" w14:textId="77777777" w:rsidR="008715BE" w:rsidRPr="00EC75B7" w:rsidRDefault="00000000">
      <w:pPr>
        <w:pStyle w:val="ListParagraph"/>
        <w:numPr>
          <w:ilvl w:val="1"/>
          <w:numId w:val="37"/>
        </w:numPr>
        <w:tabs>
          <w:tab w:val="left" w:pos="1497"/>
        </w:tabs>
        <w:spacing w:before="10" w:line="350" w:lineRule="auto"/>
        <w:ind w:right="148"/>
        <w:rPr>
          <w:rFonts w:ascii="Verdana" w:hAnsi="Verdana"/>
          <w:sz w:val="18"/>
          <w:szCs w:val="18"/>
        </w:rPr>
      </w:pPr>
      <w:r w:rsidRPr="00EC75B7">
        <w:rPr>
          <w:rFonts w:ascii="Verdana" w:hAnsi="Verdana"/>
          <w:spacing w:val="-2"/>
          <w:sz w:val="18"/>
          <w:szCs w:val="18"/>
        </w:rPr>
        <w:t xml:space="preserve">Construction of a footbridge in Movila Verde, Bisericii Street, Movila Verde, </w:t>
      </w:r>
      <w:r w:rsidRPr="00EC75B7">
        <w:rPr>
          <w:rFonts w:ascii="Verdana" w:hAnsi="Verdana"/>
          <w:sz w:val="18"/>
          <w:szCs w:val="18"/>
        </w:rPr>
        <w:t>Independența</w:t>
      </w:r>
      <w:r w:rsidRPr="00EC75B7">
        <w:rPr>
          <w:rFonts w:ascii="Verdana" w:hAnsi="Verdana"/>
          <w:spacing w:val="-2"/>
          <w:sz w:val="18"/>
          <w:szCs w:val="18"/>
        </w:rPr>
        <w:t xml:space="preserve"> commune</w:t>
      </w:r>
      <w:r w:rsidRPr="00EC75B7">
        <w:rPr>
          <w:rFonts w:ascii="Verdana" w:hAnsi="Verdana"/>
          <w:sz w:val="18"/>
          <w:szCs w:val="18"/>
        </w:rPr>
        <w:t xml:space="preserve">, Constanța county (proposed) Asphalting of </w:t>
      </w:r>
      <w:r w:rsidRPr="00EC75B7">
        <w:rPr>
          <w:rFonts w:ascii="Verdana" w:hAnsi="Verdana"/>
          <w:spacing w:val="-2"/>
          <w:sz w:val="18"/>
          <w:szCs w:val="18"/>
        </w:rPr>
        <w:t>streets in Comana, Tătaru and Pelinu, stage I, Comana commune, Constanța county (</w:t>
      </w:r>
      <w:r w:rsidRPr="00EC75B7">
        <w:rPr>
          <w:rFonts w:ascii="Verdana" w:hAnsi="Verdana"/>
          <w:sz w:val="18"/>
          <w:szCs w:val="18"/>
        </w:rPr>
        <w:t>proposed)</w:t>
      </w:r>
    </w:p>
    <w:p w14:paraId="688A88FC" w14:textId="77777777" w:rsidR="008715BE" w:rsidRPr="00EC75B7" w:rsidRDefault="00000000">
      <w:pPr>
        <w:pStyle w:val="ListParagraph"/>
        <w:numPr>
          <w:ilvl w:val="1"/>
          <w:numId w:val="37"/>
        </w:numPr>
        <w:tabs>
          <w:tab w:val="left" w:pos="1497"/>
        </w:tabs>
        <w:spacing w:before="8" w:line="350" w:lineRule="auto"/>
        <w:ind w:right="147"/>
        <w:rPr>
          <w:rFonts w:ascii="Verdana" w:hAnsi="Verdana"/>
          <w:sz w:val="18"/>
          <w:szCs w:val="18"/>
        </w:rPr>
      </w:pPr>
      <w:r w:rsidRPr="00EC75B7">
        <w:rPr>
          <w:rFonts w:ascii="Verdana" w:hAnsi="Verdana"/>
          <w:sz w:val="18"/>
          <w:szCs w:val="18"/>
        </w:rPr>
        <w:t xml:space="preserve">Asphalting of Comana, Tătaru, and Pelinu streets, phase I, Comana commune, Constanța County </w:t>
      </w:r>
      <w:r w:rsidRPr="00EC75B7">
        <w:rPr>
          <w:rFonts w:ascii="Verdana" w:hAnsi="Verdana"/>
          <w:spacing w:val="-2"/>
          <w:sz w:val="18"/>
          <w:szCs w:val="18"/>
        </w:rPr>
        <w:t>(proposed)</w:t>
      </w:r>
    </w:p>
    <w:p w14:paraId="25B60756" w14:textId="77777777" w:rsidR="008715BE" w:rsidRPr="00EC75B7" w:rsidRDefault="00000000">
      <w:pPr>
        <w:pStyle w:val="ListParagraph"/>
        <w:numPr>
          <w:ilvl w:val="1"/>
          <w:numId w:val="37"/>
        </w:numPr>
        <w:tabs>
          <w:tab w:val="left" w:pos="1497"/>
        </w:tabs>
        <w:spacing w:before="11" w:line="348" w:lineRule="auto"/>
        <w:ind w:right="149"/>
        <w:rPr>
          <w:rFonts w:ascii="Verdana" w:hAnsi="Verdana"/>
          <w:sz w:val="18"/>
          <w:szCs w:val="18"/>
        </w:rPr>
      </w:pPr>
      <w:r w:rsidRPr="00EC75B7">
        <w:rPr>
          <w:rFonts w:ascii="Verdana" w:hAnsi="Verdana"/>
          <w:sz w:val="18"/>
          <w:szCs w:val="18"/>
        </w:rPr>
        <w:t>Construction of bridges, footbridges, and paving of storm water drainage channels in Credința, Chirnogeni commune (proposed)</w:t>
      </w:r>
    </w:p>
    <w:p w14:paraId="53443546" w14:textId="77777777" w:rsidR="008715BE" w:rsidRPr="00EC75B7" w:rsidRDefault="00000000">
      <w:pPr>
        <w:pStyle w:val="ListParagraph"/>
        <w:numPr>
          <w:ilvl w:val="1"/>
          <w:numId w:val="37"/>
        </w:numPr>
        <w:tabs>
          <w:tab w:val="left" w:pos="1496"/>
        </w:tabs>
        <w:spacing w:before="12"/>
        <w:ind w:left="1496" w:hanging="359"/>
        <w:rPr>
          <w:rFonts w:ascii="Verdana" w:hAnsi="Verdana"/>
          <w:sz w:val="18"/>
          <w:szCs w:val="18"/>
        </w:rPr>
      </w:pPr>
      <w:r w:rsidRPr="00EC75B7">
        <w:rPr>
          <w:rFonts w:ascii="Verdana" w:hAnsi="Verdana"/>
          <w:sz w:val="18"/>
          <w:szCs w:val="18"/>
        </w:rPr>
        <w:t xml:space="preserve">Modernisation and rehabilitation of streets in Chirnogeni commune, Constanța county </w:t>
      </w:r>
      <w:r w:rsidRPr="00EC75B7">
        <w:rPr>
          <w:rFonts w:ascii="Verdana" w:hAnsi="Verdana"/>
          <w:spacing w:val="-2"/>
          <w:sz w:val="18"/>
          <w:szCs w:val="18"/>
        </w:rPr>
        <w:t>(proposed)</w:t>
      </w:r>
    </w:p>
    <w:p w14:paraId="7ABC9FC2" w14:textId="77777777" w:rsidR="008715BE" w:rsidRPr="00EC75B7" w:rsidRDefault="008715BE">
      <w:pPr>
        <w:pStyle w:val="BodyText"/>
        <w:spacing w:before="8"/>
        <w:rPr>
          <w:rFonts w:ascii="Verdana" w:hAnsi="Verdana"/>
        </w:rPr>
      </w:pPr>
    </w:p>
    <w:p w14:paraId="3149D3CF" w14:textId="0E697E8A" w:rsidR="008715BE" w:rsidRPr="00EC75B7" w:rsidRDefault="009069FA" w:rsidP="009069FA">
      <w:pPr>
        <w:ind w:left="58" w:right="-58"/>
        <w:jc w:val="center"/>
        <w:rPr>
          <w:rFonts w:ascii="Verdana" w:hAnsi="Verdana"/>
          <w:sz w:val="18"/>
          <w:szCs w:val="18"/>
        </w:rPr>
      </w:pPr>
      <w:r>
        <w:rPr>
          <w:noProof/>
        </w:rPr>
        <w:drawing>
          <wp:inline distT="0" distB="0" distL="0" distR="0" wp14:anchorId="104985FB" wp14:editId="5C868FB5">
            <wp:extent cx="5994400" cy="4239617"/>
            <wp:effectExtent l="0" t="0" r="6350" b="8890"/>
            <wp:docPr id="9824213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99556" cy="4243263"/>
                    </a:xfrm>
                    <a:prstGeom prst="rect">
                      <a:avLst/>
                    </a:prstGeom>
                    <a:noFill/>
                    <a:ln>
                      <a:noFill/>
                    </a:ln>
                  </pic:spPr>
                </pic:pic>
              </a:graphicData>
            </a:graphic>
          </wp:inline>
        </w:drawing>
      </w:r>
    </w:p>
    <w:p w14:paraId="784F6943" w14:textId="77777777" w:rsidR="008715BE" w:rsidRPr="00EC75B7" w:rsidRDefault="008715BE">
      <w:pPr>
        <w:pStyle w:val="BodyText"/>
        <w:spacing w:before="6"/>
        <w:rPr>
          <w:rFonts w:ascii="Verdana" w:hAnsi="Verdana"/>
        </w:rPr>
      </w:pPr>
    </w:p>
    <w:p w14:paraId="198630F8" w14:textId="77777777" w:rsidR="008715BE" w:rsidRPr="00EC75B7" w:rsidRDefault="00000000">
      <w:pPr>
        <w:ind w:left="770"/>
        <w:rPr>
          <w:rFonts w:ascii="Verdana" w:hAnsi="Verdana"/>
          <w:b/>
          <w:sz w:val="18"/>
          <w:szCs w:val="18"/>
        </w:rPr>
      </w:pPr>
      <w:r w:rsidRPr="00EC75B7">
        <w:rPr>
          <w:rFonts w:ascii="Verdana" w:hAnsi="Verdana"/>
          <w:b/>
          <w:color w:val="009DEF"/>
          <w:sz w:val="18"/>
          <w:szCs w:val="18"/>
        </w:rPr>
        <w:t xml:space="preserve">Figure no. 49 Map showing the location of the proposed project in relation to other plans and programs, </w:t>
      </w:r>
      <w:r w:rsidRPr="00EC75B7">
        <w:rPr>
          <w:rFonts w:ascii="Verdana" w:hAnsi="Verdana"/>
          <w:b/>
          <w:color w:val="009DEF"/>
          <w:spacing w:val="-2"/>
          <w:sz w:val="18"/>
          <w:szCs w:val="18"/>
        </w:rPr>
        <w:t>projects</w:t>
      </w:r>
    </w:p>
    <w:p w14:paraId="4C1156DC" w14:textId="77777777" w:rsidR="008715BE" w:rsidRPr="00EC75B7" w:rsidRDefault="008715BE">
      <w:pPr>
        <w:rPr>
          <w:rFonts w:ascii="Verdana" w:hAnsi="Verdana"/>
          <w:b/>
          <w:sz w:val="18"/>
          <w:szCs w:val="18"/>
        </w:rPr>
        <w:sectPr w:rsidR="008715BE" w:rsidRPr="00EC75B7">
          <w:pgSz w:w="11910" w:h="16840"/>
          <w:pgMar w:top="1320" w:right="850" w:bottom="1020" w:left="1133" w:header="766" w:footer="824" w:gutter="0"/>
          <w:cols w:space="708"/>
        </w:sectPr>
      </w:pPr>
    </w:p>
    <w:p w14:paraId="503E1BAD" w14:textId="77777777" w:rsidR="008715BE" w:rsidRPr="00EC75B7" w:rsidRDefault="00000000">
      <w:pPr>
        <w:pStyle w:val="BodyText"/>
        <w:spacing w:before="99" w:line="357" w:lineRule="auto"/>
        <w:ind w:left="57" w:right="138"/>
        <w:jc w:val="both"/>
        <w:rPr>
          <w:rFonts w:ascii="Verdana" w:hAnsi="Verdana"/>
        </w:rPr>
      </w:pPr>
      <w:r w:rsidRPr="00EC75B7">
        <w:rPr>
          <w:rFonts w:ascii="Verdana" w:hAnsi="Verdana"/>
          <w:b/>
        </w:rPr>
        <w:lastRenderedPageBreak/>
        <w:t xml:space="preserve">For existing projects </w:t>
      </w:r>
      <w:r w:rsidRPr="00EC75B7">
        <w:rPr>
          <w:rFonts w:ascii="Verdana" w:hAnsi="Verdana"/>
        </w:rPr>
        <w:t>(Chirnogeni-Independența Wind Farm, Bulgaria Wind Farm), the cumulative impact of the operation of the farms during the construction period of the Cerchezu Wind Farm and the cumulative impact of the operation of the farms during the operation period of the proposed farm were estimated.</w:t>
      </w:r>
    </w:p>
    <w:p w14:paraId="79B888F2" w14:textId="77777777" w:rsidR="008715BE" w:rsidRPr="00EC75B7" w:rsidRDefault="00000000">
      <w:pPr>
        <w:pStyle w:val="BodyText"/>
        <w:spacing w:before="123" w:line="357" w:lineRule="auto"/>
        <w:ind w:left="57" w:right="137"/>
        <w:jc w:val="both"/>
        <w:rPr>
          <w:rFonts w:ascii="Verdana" w:hAnsi="Verdana"/>
        </w:rPr>
      </w:pPr>
      <w:r w:rsidRPr="00EC75B7">
        <w:rPr>
          <w:rFonts w:ascii="Verdana" w:hAnsi="Verdana"/>
        </w:rPr>
        <w:t xml:space="preserve">Given the significant distance between the Bulgaria wind farm and the Cerchezu wind farm, no cumulative impact is estimated in any of the project development stages (construction, </w:t>
      </w:r>
      <w:r w:rsidRPr="00EC75B7">
        <w:rPr>
          <w:rFonts w:ascii="Verdana" w:hAnsi="Verdana"/>
          <w:spacing w:val="-2"/>
        </w:rPr>
        <w:t>operation).</w:t>
      </w:r>
    </w:p>
    <w:p w14:paraId="376AA898" w14:textId="77777777" w:rsidR="008715BE" w:rsidRPr="00EC75B7" w:rsidRDefault="00000000">
      <w:pPr>
        <w:pStyle w:val="BodyText"/>
        <w:spacing w:before="122" w:line="357" w:lineRule="auto"/>
        <w:ind w:left="57" w:right="138"/>
        <w:jc w:val="both"/>
        <w:rPr>
          <w:rFonts w:ascii="Verdana" w:hAnsi="Verdana"/>
        </w:rPr>
      </w:pPr>
      <w:r w:rsidRPr="00EC75B7">
        <w:rPr>
          <w:rFonts w:ascii="Verdana" w:hAnsi="Verdana"/>
        </w:rPr>
        <w:t>Given that wind farms have no impact on environmental aspects such as air, water, soil/subsoil, resource use, waste management, climate change, and cultural heritage during operation, the cumulative impact of the operation of the Chirnogeni-Independența wind farm and the construction phase of the Cerchezu wind farm is the same as that estimated during the construction phase (</w:t>
      </w:r>
      <w:r w:rsidRPr="00EC75B7">
        <w:rPr>
          <w:rFonts w:ascii="Verdana" w:hAnsi="Verdana"/>
          <w:i/>
        </w:rPr>
        <w:t>insignificantly negative</w:t>
      </w:r>
      <w:r w:rsidRPr="00EC75B7">
        <w:rPr>
          <w:rFonts w:ascii="Verdana" w:hAnsi="Verdana"/>
        </w:rPr>
        <w:t xml:space="preserve">, except for the impact on soil/subsoil, which is </w:t>
      </w:r>
      <w:r w:rsidRPr="00EC75B7">
        <w:rPr>
          <w:rFonts w:ascii="Verdana" w:hAnsi="Verdana"/>
          <w:i/>
        </w:rPr>
        <w:t>significantly negative</w:t>
      </w:r>
      <w:r w:rsidRPr="00EC75B7">
        <w:rPr>
          <w:rFonts w:ascii="Verdana" w:hAnsi="Verdana"/>
        </w:rPr>
        <w:t>).</w:t>
      </w:r>
    </w:p>
    <w:p w14:paraId="11D2B2A7" w14:textId="77777777" w:rsidR="008715BE" w:rsidRPr="00EC75B7" w:rsidRDefault="00000000">
      <w:pPr>
        <w:pStyle w:val="BodyText"/>
        <w:spacing w:before="125" w:line="357" w:lineRule="auto"/>
        <w:ind w:left="57" w:right="141"/>
        <w:jc w:val="both"/>
        <w:rPr>
          <w:rFonts w:ascii="Verdana" w:hAnsi="Verdana"/>
        </w:rPr>
      </w:pPr>
      <w:r w:rsidRPr="00EC75B7">
        <w:rPr>
          <w:rFonts w:ascii="Verdana" w:hAnsi="Verdana"/>
        </w:rPr>
        <w:t>In terms of noise,</w:t>
      </w:r>
      <w:r w:rsidRPr="00EC75B7">
        <w:rPr>
          <w:rFonts w:ascii="Verdana" w:hAnsi="Verdana"/>
          <w:spacing w:val="-13"/>
        </w:rPr>
        <w:t xml:space="preserve"> </w:t>
      </w:r>
      <w:r w:rsidRPr="00EC75B7">
        <w:rPr>
          <w:rFonts w:ascii="Verdana" w:hAnsi="Verdana"/>
        </w:rPr>
        <w:t>during the construction of the Cerchezu wind farm, the noise generated by the works will be added to the noise generated by the operational wind farm. However, given the topography of the area, the fact that the works will be carried out in stages, and the lack of other sources of noise, the cumulative impact is not expected to exceed that estimated during the construction phase, i.e., it will be insignificant.</w:t>
      </w:r>
    </w:p>
    <w:p w14:paraId="5B1C6591" w14:textId="77777777" w:rsidR="008715BE" w:rsidRPr="00EC75B7" w:rsidRDefault="00000000">
      <w:pPr>
        <w:pStyle w:val="BodyText"/>
        <w:spacing w:before="123" w:line="357" w:lineRule="auto"/>
        <w:ind w:left="57" w:right="144"/>
        <w:jc w:val="both"/>
        <w:rPr>
          <w:rFonts w:ascii="Verdana" w:hAnsi="Verdana"/>
        </w:rPr>
      </w:pPr>
      <w:r w:rsidRPr="00EC75B7">
        <w:rPr>
          <w:rFonts w:ascii="Verdana" w:hAnsi="Verdana"/>
        </w:rPr>
        <w:t>In terms of landscape, the construction of the Cerchezu wind farm will not bring about a significant change to the existing landscape, as it will blend harmoniously into the existing environment, given the presence of the Chirnogeni-Independența wind farm, which has been operating in the area since 2014.</w:t>
      </w:r>
    </w:p>
    <w:p w14:paraId="6B714EA7" w14:textId="77777777" w:rsidR="008715BE" w:rsidRPr="00EC75B7" w:rsidRDefault="00000000">
      <w:pPr>
        <w:pStyle w:val="BodyText"/>
        <w:spacing w:before="122" w:line="357" w:lineRule="auto"/>
        <w:ind w:left="57" w:right="142"/>
        <w:jc w:val="both"/>
        <w:rPr>
          <w:rFonts w:ascii="Verdana" w:hAnsi="Verdana"/>
        </w:rPr>
      </w:pPr>
      <w:r w:rsidRPr="00EC75B7">
        <w:rPr>
          <w:rFonts w:ascii="Verdana" w:hAnsi="Verdana"/>
        </w:rPr>
        <w:t>In terms of biodiversity, reports monitoring the operation of wind turbines in the Chirnogeni-Independența wind farm concluded that they do not constitute a significant disturbance to local fauna, especially bird species, as no clear avoidance behavior was observed in the areas where they are located,</w:t>
      </w:r>
      <w:r w:rsidRPr="00EC75B7">
        <w:rPr>
          <w:rFonts w:ascii="Verdana" w:hAnsi="Verdana"/>
          <w:spacing w:val="-7"/>
        </w:rPr>
        <w:t xml:space="preserve"> </w:t>
      </w:r>
      <w:r w:rsidRPr="00EC75B7">
        <w:rPr>
          <w:rFonts w:ascii="Verdana" w:hAnsi="Verdana"/>
        </w:rPr>
        <w:t>with the structure and composition of the birdlife being similar to similar periods in previous years prior to the project implementation phase. In addition, no major changes were observed in terms of flora, with the structure and composition of the vegetation developed on and around the site being similar to previous monitoring periods.</w:t>
      </w:r>
    </w:p>
    <w:p w14:paraId="74E35AD8" w14:textId="77777777" w:rsidR="008715BE" w:rsidRPr="00EC75B7" w:rsidRDefault="00000000">
      <w:pPr>
        <w:spacing w:before="125" w:line="360" w:lineRule="auto"/>
        <w:ind w:left="57" w:right="142"/>
        <w:jc w:val="both"/>
        <w:rPr>
          <w:rFonts w:ascii="Verdana" w:hAnsi="Verdana"/>
          <w:sz w:val="18"/>
          <w:szCs w:val="18"/>
        </w:rPr>
      </w:pPr>
      <w:r w:rsidRPr="00EC75B7">
        <w:rPr>
          <w:rFonts w:ascii="Verdana" w:hAnsi="Verdana"/>
          <w:sz w:val="18"/>
          <w:szCs w:val="18"/>
        </w:rPr>
        <w:t xml:space="preserve">Therefore, </w:t>
      </w:r>
      <w:r w:rsidRPr="00EC75B7">
        <w:rPr>
          <w:rFonts w:ascii="Verdana" w:hAnsi="Verdana"/>
          <w:i/>
          <w:sz w:val="18"/>
          <w:szCs w:val="18"/>
        </w:rPr>
        <w:t xml:space="preserve">the cumulative impact of the operation </w:t>
      </w:r>
      <w:r w:rsidRPr="00EC75B7">
        <w:rPr>
          <w:rFonts w:ascii="Verdana" w:hAnsi="Verdana"/>
          <w:sz w:val="18"/>
          <w:szCs w:val="18"/>
        </w:rPr>
        <w:t xml:space="preserve">of the Chirnogeni-Independența wind farm with the construction phase of the Cerchezu wind farm is </w:t>
      </w:r>
      <w:r w:rsidRPr="00EC75B7">
        <w:rPr>
          <w:rFonts w:ascii="Verdana" w:hAnsi="Verdana"/>
          <w:i/>
          <w:sz w:val="18"/>
          <w:szCs w:val="18"/>
        </w:rPr>
        <w:t>estimated to be insignificant</w:t>
      </w:r>
      <w:r w:rsidRPr="00EC75B7">
        <w:rPr>
          <w:rFonts w:ascii="Verdana" w:hAnsi="Verdana"/>
          <w:sz w:val="18"/>
          <w:szCs w:val="18"/>
        </w:rPr>
        <w:t>.</w:t>
      </w:r>
    </w:p>
    <w:p w14:paraId="51210C2D" w14:textId="77777777" w:rsidR="008715BE" w:rsidRPr="00EC75B7" w:rsidRDefault="00000000">
      <w:pPr>
        <w:pStyle w:val="BodyText"/>
        <w:spacing w:before="116" w:line="360" w:lineRule="auto"/>
        <w:ind w:left="57" w:right="142"/>
        <w:jc w:val="both"/>
        <w:rPr>
          <w:rFonts w:ascii="Verdana" w:hAnsi="Verdana"/>
        </w:rPr>
      </w:pPr>
      <w:r w:rsidRPr="00EC75B7">
        <w:rPr>
          <w:rFonts w:ascii="Verdana" w:hAnsi="Verdana"/>
        </w:rPr>
        <w:t>The cumulative impact of the operation of the Chirnogeni-Independența wind farm and the operation of the Cerchezu wind farm is estimated as follows:</w:t>
      </w:r>
    </w:p>
    <w:p w14:paraId="7BDCEFFD" w14:textId="77777777" w:rsidR="008715BE" w:rsidRPr="00EC75B7" w:rsidRDefault="00000000">
      <w:pPr>
        <w:pStyle w:val="ListParagraph"/>
        <w:numPr>
          <w:ilvl w:val="0"/>
          <w:numId w:val="37"/>
        </w:numPr>
        <w:tabs>
          <w:tab w:val="left" w:pos="777"/>
        </w:tabs>
        <w:spacing w:before="119" w:line="357" w:lineRule="auto"/>
        <w:ind w:right="140"/>
        <w:jc w:val="both"/>
        <w:rPr>
          <w:rFonts w:ascii="Verdana" w:hAnsi="Verdana"/>
          <w:sz w:val="18"/>
          <w:szCs w:val="18"/>
        </w:rPr>
      </w:pPr>
      <w:r w:rsidRPr="00EC75B7">
        <w:rPr>
          <w:rFonts w:ascii="Verdana" w:hAnsi="Verdana"/>
          <w:b/>
          <w:i/>
          <w:sz w:val="18"/>
          <w:szCs w:val="18"/>
        </w:rPr>
        <w:t xml:space="preserve">Impact on noise: </w:t>
      </w:r>
      <w:r w:rsidRPr="00EC75B7">
        <w:rPr>
          <w:rFonts w:ascii="Verdana" w:hAnsi="Verdana"/>
          <w:sz w:val="18"/>
          <w:szCs w:val="18"/>
        </w:rPr>
        <w:t>Wind turbines generate both mechanical and aerodynamic noise. The accumulation of several wind farms can increase the noise level in the area, affecting the quality of life of nearby residents,</w:t>
      </w:r>
      <w:r w:rsidRPr="00EC75B7">
        <w:rPr>
          <w:rFonts w:ascii="Verdana" w:hAnsi="Verdana"/>
          <w:spacing w:val="40"/>
          <w:sz w:val="18"/>
          <w:szCs w:val="18"/>
        </w:rPr>
        <w:t xml:space="preserve"> </w:t>
      </w:r>
      <w:r w:rsidRPr="00EC75B7">
        <w:rPr>
          <w:rFonts w:ascii="Verdana" w:hAnsi="Verdana"/>
          <w:sz w:val="18"/>
          <w:szCs w:val="18"/>
        </w:rPr>
        <w:t xml:space="preserve">However, considering the noise study conducted for the proposed wind farm, its location approximately 1.5 km from the Chirnogeni-Independența wind farm, and the open topography of the area, it can be estimated that the cumulative effect of the noise associated with the simultaneous operation of the wind farms is </w:t>
      </w:r>
      <w:r w:rsidRPr="00EC75B7">
        <w:rPr>
          <w:rFonts w:ascii="Verdana" w:hAnsi="Verdana"/>
          <w:b/>
          <w:i/>
          <w:sz w:val="18"/>
          <w:szCs w:val="18"/>
        </w:rPr>
        <w:t>insignificantly negative</w:t>
      </w:r>
      <w:r w:rsidRPr="00EC75B7">
        <w:rPr>
          <w:rFonts w:ascii="Verdana" w:hAnsi="Verdana"/>
          <w:sz w:val="18"/>
          <w:szCs w:val="18"/>
        </w:rPr>
        <w:t>.</w:t>
      </w:r>
    </w:p>
    <w:p w14:paraId="65EFAE5A" w14:textId="77777777" w:rsidR="008715BE" w:rsidRPr="00EC75B7" w:rsidRDefault="00000000">
      <w:pPr>
        <w:pStyle w:val="ListParagraph"/>
        <w:numPr>
          <w:ilvl w:val="0"/>
          <w:numId w:val="37"/>
        </w:numPr>
        <w:tabs>
          <w:tab w:val="left" w:pos="777"/>
        </w:tabs>
        <w:spacing w:before="4" w:line="357" w:lineRule="auto"/>
        <w:ind w:right="137"/>
        <w:jc w:val="both"/>
        <w:rPr>
          <w:rFonts w:ascii="Verdana" w:hAnsi="Verdana"/>
          <w:sz w:val="18"/>
          <w:szCs w:val="18"/>
        </w:rPr>
      </w:pPr>
      <w:r w:rsidRPr="00EC75B7">
        <w:rPr>
          <w:rFonts w:ascii="Verdana" w:hAnsi="Verdana"/>
          <w:b/>
          <w:i/>
          <w:sz w:val="18"/>
          <w:szCs w:val="18"/>
        </w:rPr>
        <w:t xml:space="preserve">Impact on the landscape: </w:t>
      </w:r>
      <w:r w:rsidRPr="00EC75B7">
        <w:rPr>
          <w:rFonts w:ascii="Verdana" w:hAnsi="Verdana"/>
          <w:sz w:val="18"/>
          <w:szCs w:val="18"/>
        </w:rPr>
        <w:t>Wind turbines are structures that are visible from long distances and can significantly change the local landscape. The accumulation of several wind farms can lead to a cluttered visual perception and impact on the natural and cultural landscape, However, given the small number of wind turbines proposed for the Cerchezu wind farm and the fact that the Chirnogeni-Independența wind farm has been operating since 2014 and is integrated into the landscape, the cumulative impact</w:t>
      </w:r>
    </w:p>
    <w:p w14:paraId="37008CD6" w14:textId="77777777" w:rsidR="008715BE" w:rsidRPr="00EC75B7" w:rsidRDefault="008715BE">
      <w:pPr>
        <w:pStyle w:val="ListParagraph"/>
        <w:spacing w:line="357" w:lineRule="auto"/>
        <w:jc w:val="both"/>
        <w:rPr>
          <w:rFonts w:ascii="Verdana" w:hAnsi="Verdana"/>
          <w:sz w:val="18"/>
          <w:szCs w:val="18"/>
        </w:rPr>
        <w:sectPr w:rsidR="008715BE" w:rsidRPr="00EC75B7">
          <w:pgSz w:w="11910" w:h="16840"/>
          <w:pgMar w:top="1320" w:right="850" w:bottom="1020" w:left="1133" w:header="766" w:footer="824" w:gutter="0"/>
          <w:cols w:space="708"/>
        </w:sectPr>
      </w:pPr>
    </w:p>
    <w:p w14:paraId="2B27B4ED" w14:textId="77777777" w:rsidR="008715BE" w:rsidRPr="00EC75B7" w:rsidRDefault="00000000">
      <w:pPr>
        <w:pStyle w:val="BodyText"/>
        <w:spacing w:before="99" w:line="360" w:lineRule="auto"/>
        <w:ind w:left="777" w:right="139"/>
        <w:jc w:val="both"/>
        <w:rPr>
          <w:rFonts w:ascii="Verdana" w:hAnsi="Verdana"/>
        </w:rPr>
      </w:pPr>
      <w:r w:rsidRPr="00EC75B7">
        <w:rPr>
          <w:rFonts w:ascii="Verdana" w:hAnsi="Verdana"/>
        </w:rPr>
        <w:lastRenderedPageBreak/>
        <w:t xml:space="preserve">of the simultaneous operation of the farms on the landscape </w:t>
      </w:r>
      <w:r w:rsidRPr="00EC75B7">
        <w:rPr>
          <w:rFonts w:ascii="Verdana" w:hAnsi="Verdana"/>
          <w:b/>
          <w:i/>
        </w:rPr>
        <w:t>will be insignificant</w:t>
      </w:r>
      <w:r w:rsidRPr="00EC75B7">
        <w:rPr>
          <w:rFonts w:ascii="Verdana" w:hAnsi="Verdana"/>
        </w:rPr>
        <w:t xml:space="preserve">, </w:t>
      </w:r>
      <w:r w:rsidRPr="00EC75B7">
        <w:rPr>
          <w:rFonts w:ascii="Verdana" w:hAnsi="Verdana"/>
          <w:b/>
          <w:i/>
        </w:rPr>
        <w:t xml:space="preserve">as </w:t>
      </w:r>
      <w:r w:rsidRPr="00EC75B7">
        <w:rPr>
          <w:rFonts w:ascii="Verdana" w:hAnsi="Verdana"/>
        </w:rPr>
        <w:t>the new turbines will ensure visual continuity and blend harmoniously into the landscape.</w:t>
      </w:r>
    </w:p>
    <w:p w14:paraId="2D54B101" w14:textId="77777777" w:rsidR="008715BE" w:rsidRPr="00EC75B7" w:rsidRDefault="00000000">
      <w:pPr>
        <w:pStyle w:val="ListParagraph"/>
        <w:numPr>
          <w:ilvl w:val="0"/>
          <w:numId w:val="37"/>
        </w:numPr>
        <w:tabs>
          <w:tab w:val="left" w:pos="777"/>
        </w:tabs>
        <w:spacing w:line="357" w:lineRule="auto"/>
        <w:ind w:right="138"/>
        <w:jc w:val="both"/>
        <w:rPr>
          <w:rFonts w:ascii="Verdana" w:hAnsi="Verdana"/>
          <w:sz w:val="18"/>
          <w:szCs w:val="18"/>
        </w:rPr>
      </w:pPr>
      <w:r w:rsidRPr="00EC75B7">
        <w:rPr>
          <w:rFonts w:ascii="Verdana" w:hAnsi="Verdana"/>
          <w:b/>
          <w:i/>
          <w:sz w:val="18"/>
          <w:szCs w:val="18"/>
        </w:rPr>
        <w:t xml:space="preserve">Impact on human health: </w:t>
      </w:r>
      <w:r w:rsidRPr="00EC75B7">
        <w:rPr>
          <w:rFonts w:ascii="Verdana" w:hAnsi="Verdana"/>
          <w:sz w:val="18"/>
          <w:szCs w:val="18"/>
        </w:rPr>
        <w:t xml:space="preserve">In addition to noise, wind turbines can produce flicker effects (intermittent shadows caused by rotating blades). From the shadow study conducted for the Cerchezu wind farm, it can be estimated that in the contact area of the two farms, their shadow effects may overlap, but this area is outside the built-up areas, 1.2 km away from inhabited areas, so </w:t>
      </w:r>
      <w:r w:rsidRPr="00EC75B7">
        <w:rPr>
          <w:rFonts w:ascii="Verdana" w:hAnsi="Verdana"/>
          <w:i/>
          <w:sz w:val="18"/>
          <w:szCs w:val="18"/>
        </w:rPr>
        <w:t xml:space="preserve">the cumulative impact </w:t>
      </w:r>
      <w:r w:rsidRPr="00EC75B7">
        <w:rPr>
          <w:rFonts w:ascii="Verdana" w:hAnsi="Verdana"/>
          <w:sz w:val="18"/>
          <w:szCs w:val="18"/>
        </w:rPr>
        <w:t xml:space="preserve">of the simultaneous operation of the Cerchezu wind farm and the Chirnogeni-Independența wind farm is estimated to be </w:t>
      </w:r>
      <w:r w:rsidRPr="00EC75B7">
        <w:rPr>
          <w:rFonts w:ascii="Verdana" w:hAnsi="Verdana"/>
          <w:i/>
          <w:sz w:val="18"/>
          <w:szCs w:val="18"/>
        </w:rPr>
        <w:t>insignificantly negative.</w:t>
      </w:r>
    </w:p>
    <w:p w14:paraId="25174317" w14:textId="77777777" w:rsidR="008715BE" w:rsidRPr="00EC75B7" w:rsidRDefault="00000000">
      <w:pPr>
        <w:pStyle w:val="ListParagraph"/>
        <w:numPr>
          <w:ilvl w:val="0"/>
          <w:numId w:val="37"/>
        </w:numPr>
        <w:tabs>
          <w:tab w:val="left" w:pos="777"/>
        </w:tabs>
        <w:spacing w:before="3" w:line="357" w:lineRule="auto"/>
        <w:ind w:right="137"/>
        <w:jc w:val="both"/>
        <w:rPr>
          <w:rFonts w:ascii="Verdana" w:hAnsi="Verdana"/>
          <w:sz w:val="18"/>
          <w:szCs w:val="18"/>
        </w:rPr>
      </w:pPr>
      <w:r w:rsidRPr="00EC75B7">
        <w:rPr>
          <w:rFonts w:ascii="Verdana" w:hAnsi="Verdana"/>
          <w:b/>
          <w:i/>
          <w:sz w:val="18"/>
          <w:szCs w:val="18"/>
        </w:rPr>
        <w:t xml:space="preserve">Impact on the electricity grid: </w:t>
      </w:r>
      <w:r w:rsidRPr="00EC75B7">
        <w:rPr>
          <w:rFonts w:ascii="Verdana" w:hAnsi="Verdana"/>
          <w:sz w:val="18"/>
          <w:szCs w:val="18"/>
        </w:rPr>
        <w:t xml:space="preserve">The addition of a new wind farm in an area with several existing and proposed wind farms may affect the stability and balance of the electricity grid. The projects for connection to the National Energy System (SEN) assess in detail the capacity of the grid to manage the energy produced and ensure efficient integration, so that no </w:t>
      </w:r>
      <w:r w:rsidRPr="00EC75B7">
        <w:rPr>
          <w:rFonts w:ascii="Verdana" w:hAnsi="Verdana"/>
          <w:i/>
          <w:sz w:val="18"/>
          <w:szCs w:val="18"/>
        </w:rPr>
        <w:t xml:space="preserve">cumulative </w:t>
      </w:r>
      <w:r w:rsidRPr="00EC75B7">
        <w:rPr>
          <w:rFonts w:ascii="Verdana" w:hAnsi="Verdana"/>
          <w:sz w:val="18"/>
          <w:szCs w:val="18"/>
        </w:rPr>
        <w:t>impact is estimated from the simultaneous operation of the proposed farm and the Chirnogeni-Independența farm.</w:t>
      </w:r>
    </w:p>
    <w:p w14:paraId="08758706" w14:textId="77777777" w:rsidR="008715BE" w:rsidRPr="00EC75B7" w:rsidRDefault="00000000">
      <w:pPr>
        <w:pStyle w:val="ListParagraph"/>
        <w:numPr>
          <w:ilvl w:val="0"/>
          <w:numId w:val="37"/>
        </w:numPr>
        <w:tabs>
          <w:tab w:val="left" w:pos="777"/>
        </w:tabs>
        <w:spacing w:before="3" w:line="357" w:lineRule="auto"/>
        <w:ind w:right="141"/>
        <w:jc w:val="both"/>
        <w:rPr>
          <w:rFonts w:ascii="Verdana" w:hAnsi="Verdana"/>
          <w:sz w:val="18"/>
          <w:szCs w:val="18"/>
        </w:rPr>
      </w:pPr>
      <w:r w:rsidRPr="00EC75B7">
        <w:rPr>
          <w:rFonts w:ascii="Verdana" w:hAnsi="Verdana"/>
          <w:b/>
          <w:i/>
          <w:sz w:val="18"/>
          <w:szCs w:val="18"/>
        </w:rPr>
        <w:t xml:space="preserve">Impact on biodiversity </w:t>
      </w:r>
      <w:r w:rsidRPr="00EC75B7">
        <w:rPr>
          <w:rFonts w:ascii="Verdana" w:hAnsi="Verdana"/>
          <w:sz w:val="18"/>
          <w:szCs w:val="18"/>
        </w:rPr>
        <w:t>In order to assess the impact on species and habitats in Natura 2000 sites considered in the assessment, the cumulative impact of the project on them was analyzed. To this end, the presence of pressures and threats in the Management Plans and Standard Forms of the sites was analyzed, as well as other projects to be carried out or currently under implementation that have the potential to affect habitats and species of Community interest.</w:t>
      </w:r>
    </w:p>
    <w:p w14:paraId="1FC9B777" w14:textId="77777777" w:rsidR="008715BE" w:rsidRPr="00EC75B7" w:rsidRDefault="00000000">
      <w:pPr>
        <w:pStyle w:val="BodyText"/>
        <w:spacing w:before="6" w:line="357" w:lineRule="auto"/>
        <w:ind w:left="777" w:right="142"/>
        <w:jc w:val="both"/>
        <w:rPr>
          <w:rFonts w:ascii="Verdana" w:hAnsi="Verdana"/>
        </w:rPr>
      </w:pPr>
      <w:r w:rsidRPr="00EC75B7">
        <w:rPr>
          <w:rFonts w:ascii="Verdana" w:hAnsi="Verdana"/>
        </w:rPr>
        <w:t xml:space="preserve">The management plans for potentially affected Natura 2000 sites indicate several pressures and threats that may affect habitats and species of Community interest, the most common being urbanization and the expansion of built-up areas. The construction of roads or motorways and motor traffic are also mentioned as pressures/threats in the case of several of the sites included in </w:t>
      </w:r>
      <w:r w:rsidRPr="00EC75B7">
        <w:rPr>
          <w:rFonts w:ascii="Verdana" w:hAnsi="Verdana"/>
          <w:spacing w:val="-2"/>
        </w:rPr>
        <w:t>the assessment.</w:t>
      </w:r>
    </w:p>
    <w:p w14:paraId="1890123F" w14:textId="77777777" w:rsidR="008715BE" w:rsidRPr="00EC75B7" w:rsidRDefault="008715BE">
      <w:pPr>
        <w:pStyle w:val="BodyText"/>
        <w:spacing w:before="114"/>
        <w:rPr>
          <w:rFonts w:ascii="Verdana" w:hAnsi="Verdana"/>
        </w:rPr>
      </w:pPr>
    </w:p>
    <w:p w14:paraId="6A18AF56" w14:textId="77777777" w:rsidR="008715BE" w:rsidRPr="00EC75B7" w:rsidRDefault="00000000">
      <w:pPr>
        <w:pStyle w:val="Heading3"/>
        <w:numPr>
          <w:ilvl w:val="2"/>
          <w:numId w:val="110"/>
        </w:numPr>
        <w:tabs>
          <w:tab w:val="left" w:pos="2666"/>
        </w:tabs>
        <w:ind w:left="2666" w:hanging="1615"/>
        <w:rPr>
          <w:rFonts w:ascii="Verdana" w:hAnsi="Verdana"/>
          <w:i/>
          <w:color w:val="00AFEF"/>
          <w:sz w:val="18"/>
          <w:szCs w:val="18"/>
        </w:rPr>
      </w:pPr>
      <w:bookmarkStart w:id="116" w:name="_bookmark117"/>
      <w:bookmarkEnd w:id="116"/>
      <w:r w:rsidRPr="00EC75B7">
        <w:rPr>
          <w:rFonts w:ascii="Verdana" w:hAnsi="Verdana"/>
          <w:color w:val="00AFEF"/>
          <w:sz w:val="18"/>
          <w:szCs w:val="18"/>
        </w:rPr>
        <w:t xml:space="preserve">Cause-and-effect mechanisms for </w:t>
      </w:r>
      <w:r w:rsidRPr="00EC75B7">
        <w:rPr>
          <w:rFonts w:ascii="Verdana" w:hAnsi="Verdana"/>
          <w:color w:val="00AFEF"/>
          <w:spacing w:val="-2"/>
          <w:sz w:val="18"/>
          <w:szCs w:val="18"/>
        </w:rPr>
        <w:t xml:space="preserve">cumulative </w:t>
      </w:r>
      <w:r w:rsidRPr="00EC75B7">
        <w:rPr>
          <w:rFonts w:ascii="Verdana" w:hAnsi="Verdana"/>
          <w:color w:val="00AFEF"/>
          <w:sz w:val="18"/>
          <w:szCs w:val="18"/>
        </w:rPr>
        <w:t>impact analysis</w:t>
      </w:r>
    </w:p>
    <w:p w14:paraId="500B55C6" w14:textId="77777777" w:rsidR="008715BE" w:rsidRPr="00EC75B7" w:rsidRDefault="008715BE">
      <w:pPr>
        <w:pStyle w:val="BodyText"/>
        <w:spacing w:before="114"/>
        <w:rPr>
          <w:rFonts w:ascii="Verdana" w:hAnsi="Verdana"/>
          <w:b/>
        </w:rPr>
      </w:pPr>
    </w:p>
    <w:p w14:paraId="5DE67D78" w14:textId="77777777" w:rsidR="008715BE" w:rsidRPr="00EC75B7" w:rsidRDefault="00000000">
      <w:pPr>
        <w:pStyle w:val="BodyText"/>
        <w:spacing w:line="357" w:lineRule="auto"/>
        <w:ind w:left="86" w:right="135"/>
        <w:jc w:val="both"/>
        <w:rPr>
          <w:rFonts w:ascii="Verdana" w:hAnsi="Verdana"/>
        </w:rPr>
      </w:pPr>
      <w:r w:rsidRPr="00EC75B7">
        <w:rPr>
          <w:rFonts w:ascii="Verdana" w:hAnsi="Verdana"/>
        </w:rPr>
        <w:t>The cumulative impact analysis for the proposed project aims to identify and describe the cause-and-effect relationships through which the project interventions, together with other existing or foreseeable plans/projects/activities in the area of influence, may generate additive, synergistic, or chain effects on environmental receptors. The approach is based on the fact that, although the direct effects of the project are generally local and specific (land occupation, construction site, infrastructure), for certain receptors—especially birds and bats—the relevant area of analysis is extensive, and the cumulative impact may manifest itself on a larger scale than the project footprint, including in the vicinity of nearby Natura 2000 sites and in a cross-border context.</w:t>
      </w:r>
    </w:p>
    <w:p w14:paraId="6E685E0D" w14:textId="77777777" w:rsidR="008715BE" w:rsidRPr="00EC75B7" w:rsidRDefault="008715BE">
      <w:pPr>
        <w:pStyle w:val="BodyText"/>
        <w:spacing w:line="357" w:lineRule="auto"/>
        <w:jc w:val="both"/>
        <w:rPr>
          <w:rFonts w:ascii="Verdana" w:hAnsi="Verdana"/>
        </w:rPr>
        <w:sectPr w:rsidR="008715BE" w:rsidRPr="00EC75B7">
          <w:pgSz w:w="11910" w:h="16840"/>
          <w:pgMar w:top="1320" w:right="850" w:bottom="1020" w:left="1133" w:header="766" w:footer="824" w:gutter="0"/>
          <w:cols w:space="708"/>
        </w:sectPr>
      </w:pPr>
    </w:p>
    <w:p w14:paraId="34ED036C" w14:textId="77777777" w:rsidR="008715BE" w:rsidRPr="00EC75B7" w:rsidRDefault="00000000">
      <w:pPr>
        <w:spacing w:before="99"/>
        <w:ind w:left="172"/>
        <w:rPr>
          <w:rFonts w:ascii="Verdana" w:hAnsi="Verdana"/>
          <w:b/>
          <w:sz w:val="18"/>
          <w:szCs w:val="18"/>
        </w:rPr>
      </w:pPr>
      <w:r w:rsidRPr="00EC75B7">
        <w:rPr>
          <w:rFonts w:ascii="Verdana" w:hAnsi="Verdana"/>
          <w:b/>
          <w:color w:val="00AFEF"/>
          <w:sz w:val="18"/>
          <w:szCs w:val="18"/>
        </w:rPr>
        <w:lastRenderedPageBreak/>
        <w:t xml:space="preserve">Table 55 Assessment of the project's impact on the landscape (overall assessment, </w:t>
      </w:r>
      <w:r w:rsidRPr="00EC75B7">
        <w:rPr>
          <w:rFonts w:ascii="Verdana" w:hAnsi="Verdana"/>
          <w:b/>
          <w:color w:val="00AFEF"/>
          <w:spacing w:val="-2"/>
          <w:sz w:val="18"/>
          <w:szCs w:val="18"/>
        </w:rPr>
        <w:t xml:space="preserve">operational </w:t>
      </w:r>
      <w:r w:rsidRPr="00EC75B7">
        <w:rPr>
          <w:rFonts w:ascii="Verdana" w:hAnsi="Verdana"/>
          <w:b/>
          <w:color w:val="00AFEF"/>
          <w:sz w:val="18"/>
          <w:szCs w:val="18"/>
        </w:rPr>
        <w:t>phase</w:t>
      </w:r>
      <w:r w:rsidRPr="00EC75B7">
        <w:rPr>
          <w:rFonts w:ascii="Verdana" w:hAnsi="Verdana"/>
          <w:b/>
          <w:color w:val="00AFEF"/>
          <w:spacing w:val="-2"/>
          <w:sz w:val="18"/>
          <w:szCs w:val="18"/>
        </w:rPr>
        <w:t>)</w:t>
      </w:r>
    </w:p>
    <w:p w14:paraId="03A912E4" w14:textId="77777777" w:rsidR="008715BE" w:rsidRPr="00EC75B7" w:rsidRDefault="008715BE">
      <w:pPr>
        <w:pStyle w:val="BodyText"/>
        <w:spacing w:before="1" w:after="1"/>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8715BE" w:rsidRPr="00EC75B7" w14:paraId="0942FDB6" w14:textId="77777777">
        <w:trPr>
          <w:trHeight w:val="1170"/>
        </w:trPr>
        <w:tc>
          <w:tcPr>
            <w:tcW w:w="1548" w:type="dxa"/>
            <w:shd w:val="clear" w:color="auto" w:fill="00AFEF"/>
          </w:tcPr>
          <w:p w14:paraId="08466157" w14:textId="77777777" w:rsidR="008715BE" w:rsidRPr="00EC75B7" w:rsidRDefault="008715BE">
            <w:pPr>
              <w:pStyle w:val="TableParagraph"/>
              <w:spacing w:before="7"/>
              <w:rPr>
                <w:rFonts w:ascii="Verdana" w:hAnsi="Verdana"/>
                <w:b/>
                <w:sz w:val="18"/>
                <w:szCs w:val="18"/>
              </w:rPr>
            </w:pPr>
          </w:p>
          <w:p w14:paraId="0F10F60A" w14:textId="77777777" w:rsidR="008715BE" w:rsidRPr="00EC75B7" w:rsidRDefault="00000000">
            <w:pPr>
              <w:pStyle w:val="TableParagraph"/>
              <w:ind w:left="21"/>
              <w:jc w:val="center"/>
              <w:rPr>
                <w:rFonts w:ascii="Verdana" w:hAnsi="Verdana"/>
                <w:b/>
                <w:sz w:val="18"/>
                <w:szCs w:val="18"/>
              </w:rPr>
            </w:pPr>
            <w:r w:rsidRPr="00EC75B7">
              <w:rPr>
                <w:rFonts w:ascii="Verdana" w:hAnsi="Verdana"/>
                <w:b/>
                <w:color w:val="FFFFFF"/>
                <w:spacing w:val="-2"/>
                <w:sz w:val="18"/>
                <w:szCs w:val="18"/>
              </w:rPr>
              <w:t>Component/environmental</w:t>
            </w:r>
            <w:r w:rsidRPr="00EC75B7">
              <w:rPr>
                <w:rFonts w:ascii="Verdana" w:hAnsi="Verdana"/>
                <w:b/>
                <w:color w:val="FFFFFF"/>
                <w:sz w:val="18"/>
                <w:szCs w:val="18"/>
              </w:rPr>
              <w:t xml:space="preserve"> aspect</w:t>
            </w:r>
          </w:p>
        </w:tc>
        <w:tc>
          <w:tcPr>
            <w:tcW w:w="2419" w:type="dxa"/>
            <w:shd w:val="clear" w:color="auto" w:fill="00AFEF"/>
          </w:tcPr>
          <w:p w14:paraId="18BB9049" w14:textId="77777777" w:rsidR="008715BE" w:rsidRPr="00EC75B7" w:rsidRDefault="008715BE">
            <w:pPr>
              <w:pStyle w:val="TableParagraph"/>
              <w:rPr>
                <w:rFonts w:ascii="Verdana" w:hAnsi="Verdana"/>
                <w:b/>
                <w:sz w:val="18"/>
                <w:szCs w:val="18"/>
              </w:rPr>
            </w:pPr>
          </w:p>
          <w:p w14:paraId="6E9B1244" w14:textId="77777777" w:rsidR="008715BE" w:rsidRPr="00EC75B7" w:rsidRDefault="008715BE">
            <w:pPr>
              <w:pStyle w:val="TableParagraph"/>
              <w:spacing w:before="6"/>
              <w:rPr>
                <w:rFonts w:ascii="Verdana" w:hAnsi="Verdana"/>
                <w:b/>
                <w:sz w:val="18"/>
                <w:szCs w:val="18"/>
              </w:rPr>
            </w:pPr>
          </w:p>
          <w:p w14:paraId="4E189B0F" w14:textId="77777777" w:rsidR="008715BE" w:rsidRPr="00EC75B7" w:rsidRDefault="00000000">
            <w:pPr>
              <w:pStyle w:val="TableParagraph"/>
              <w:ind w:left="504"/>
              <w:rPr>
                <w:rFonts w:ascii="Verdana" w:hAnsi="Verdana"/>
                <w:b/>
                <w:sz w:val="18"/>
                <w:szCs w:val="18"/>
              </w:rPr>
            </w:pPr>
            <w:r w:rsidRPr="00EC75B7">
              <w:rPr>
                <w:rFonts w:ascii="Verdana" w:hAnsi="Verdana"/>
                <w:b/>
                <w:color w:val="FFFFFF"/>
                <w:spacing w:val="-2"/>
                <w:sz w:val="18"/>
                <w:szCs w:val="18"/>
              </w:rPr>
              <w:t xml:space="preserve">Current </w:t>
            </w:r>
            <w:r w:rsidRPr="00EC75B7">
              <w:rPr>
                <w:rFonts w:ascii="Verdana" w:hAnsi="Verdana"/>
                <w:b/>
                <w:color w:val="FFFFFF"/>
                <w:sz w:val="18"/>
                <w:szCs w:val="18"/>
              </w:rPr>
              <w:t>situation</w:t>
            </w:r>
          </w:p>
        </w:tc>
        <w:tc>
          <w:tcPr>
            <w:tcW w:w="2472" w:type="dxa"/>
            <w:shd w:val="clear" w:color="auto" w:fill="00AFEF"/>
          </w:tcPr>
          <w:p w14:paraId="21017F12" w14:textId="77777777" w:rsidR="008715BE" w:rsidRPr="00EC75B7" w:rsidRDefault="008715BE">
            <w:pPr>
              <w:pStyle w:val="TableParagraph"/>
              <w:spacing w:before="103"/>
              <w:rPr>
                <w:rFonts w:ascii="Verdana" w:hAnsi="Verdana"/>
                <w:b/>
                <w:sz w:val="18"/>
                <w:szCs w:val="18"/>
              </w:rPr>
            </w:pPr>
          </w:p>
          <w:p w14:paraId="5174893D" w14:textId="77777777" w:rsidR="008715BE" w:rsidRPr="00EC75B7" w:rsidRDefault="00000000">
            <w:pPr>
              <w:pStyle w:val="TableParagraph"/>
              <w:ind w:left="920" w:right="151" w:hanging="531"/>
              <w:rPr>
                <w:rFonts w:ascii="Verdana" w:hAnsi="Verdana"/>
                <w:b/>
                <w:sz w:val="18"/>
                <w:szCs w:val="18"/>
              </w:rPr>
            </w:pPr>
            <w:r w:rsidRPr="00EC75B7">
              <w:rPr>
                <w:rFonts w:ascii="Verdana" w:hAnsi="Verdana"/>
                <w:b/>
                <w:color w:val="FFFFFF"/>
                <w:sz w:val="18"/>
                <w:szCs w:val="18"/>
              </w:rPr>
              <w:t xml:space="preserve">Effects generated by </w:t>
            </w:r>
            <w:r w:rsidRPr="00EC75B7">
              <w:rPr>
                <w:rFonts w:ascii="Verdana" w:hAnsi="Verdana"/>
                <w:b/>
                <w:color w:val="FFFFFF"/>
                <w:spacing w:val="-2"/>
                <w:sz w:val="18"/>
                <w:szCs w:val="18"/>
              </w:rPr>
              <w:t>the project</w:t>
            </w:r>
          </w:p>
        </w:tc>
        <w:tc>
          <w:tcPr>
            <w:tcW w:w="3357" w:type="dxa"/>
            <w:shd w:val="clear" w:color="auto" w:fill="00AFEF"/>
          </w:tcPr>
          <w:p w14:paraId="7EC1CFBC" w14:textId="77777777" w:rsidR="008715BE" w:rsidRPr="00EC75B7" w:rsidRDefault="008715BE">
            <w:pPr>
              <w:pStyle w:val="TableParagraph"/>
              <w:rPr>
                <w:rFonts w:ascii="Verdana" w:hAnsi="Verdana"/>
                <w:b/>
                <w:sz w:val="18"/>
                <w:szCs w:val="18"/>
              </w:rPr>
            </w:pPr>
          </w:p>
          <w:p w14:paraId="6C4B52AF" w14:textId="77777777" w:rsidR="008715BE" w:rsidRPr="00EC75B7" w:rsidRDefault="008715BE">
            <w:pPr>
              <w:pStyle w:val="TableParagraph"/>
              <w:spacing w:before="6"/>
              <w:rPr>
                <w:rFonts w:ascii="Verdana" w:hAnsi="Verdana"/>
                <w:b/>
                <w:sz w:val="18"/>
                <w:szCs w:val="18"/>
              </w:rPr>
            </w:pPr>
          </w:p>
          <w:p w14:paraId="20AFF94A" w14:textId="77777777" w:rsidR="008715BE" w:rsidRPr="00EC75B7" w:rsidRDefault="00000000">
            <w:pPr>
              <w:pStyle w:val="TableParagraph"/>
              <w:ind w:left="418"/>
              <w:rPr>
                <w:rFonts w:ascii="Verdana" w:hAnsi="Verdana"/>
                <w:b/>
                <w:sz w:val="18"/>
                <w:szCs w:val="18"/>
              </w:rPr>
            </w:pPr>
            <w:r w:rsidRPr="00EC75B7">
              <w:rPr>
                <w:rFonts w:ascii="Verdana" w:hAnsi="Verdana"/>
                <w:b/>
                <w:color w:val="FFFFFF"/>
                <w:sz w:val="18"/>
                <w:szCs w:val="18"/>
              </w:rPr>
              <w:t xml:space="preserve">Impact generated by the </w:t>
            </w:r>
            <w:r w:rsidRPr="00EC75B7">
              <w:rPr>
                <w:rFonts w:ascii="Verdana" w:hAnsi="Verdana"/>
                <w:b/>
                <w:color w:val="FFFFFF"/>
                <w:spacing w:val="-2"/>
                <w:sz w:val="18"/>
                <w:szCs w:val="18"/>
              </w:rPr>
              <w:t>project</w:t>
            </w:r>
          </w:p>
        </w:tc>
        <w:tc>
          <w:tcPr>
            <w:tcW w:w="2219" w:type="dxa"/>
            <w:shd w:val="clear" w:color="auto" w:fill="00AFEF"/>
          </w:tcPr>
          <w:p w14:paraId="19FB4D26" w14:textId="77777777" w:rsidR="008715BE" w:rsidRPr="00EC75B7" w:rsidRDefault="008715BE">
            <w:pPr>
              <w:pStyle w:val="TableParagraph"/>
              <w:spacing w:before="103"/>
              <w:rPr>
                <w:rFonts w:ascii="Verdana" w:hAnsi="Verdana"/>
                <w:b/>
                <w:sz w:val="18"/>
                <w:szCs w:val="18"/>
              </w:rPr>
            </w:pPr>
          </w:p>
          <w:p w14:paraId="58CB664C" w14:textId="77777777" w:rsidR="008715BE" w:rsidRPr="00EC75B7" w:rsidRDefault="00000000">
            <w:pPr>
              <w:pStyle w:val="TableParagraph"/>
              <w:ind w:left="767" w:right="103" w:hanging="519"/>
              <w:rPr>
                <w:rFonts w:ascii="Verdana" w:hAnsi="Verdana"/>
                <w:b/>
                <w:sz w:val="18"/>
                <w:szCs w:val="18"/>
              </w:rPr>
            </w:pPr>
            <w:r w:rsidRPr="00EC75B7">
              <w:rPr>
                <w:rFonts w:ascii="Verdana" w:hAnsi="Verdana"/>
                <w:b/>
                <w:color w:val="FFFFFF"/>
                <w:spacing w:val="-2"/>
                <w:sz w:val="18"/>
                <w:szCs w:val="18"/>
              </w:rPr>
              <w:t>Potentially affected recipients</w:t>
            </w:r>
          </w:p>
        </w:tc>
        <w:tc>
          <w:tcPr>
            <w:tcW w:w="2541" w:type="dxa"/>
            <w:shd w:val="clear" w:color="auto" w:fill="00AFEF"/>
          </w:tcPr>
          <w:p w14:paraId="0E2053FE" w14:textId="77777777" w:rsidR="008715BE" w:rsidRPr="00EC75B7" w:rsidRDefault="00000000">
            <w:pPr>
              <w:pStyle w:val="TableParagraph"/>
              <w:spacing w:before="8"/>
              <w:ind w:left="194" w:right="170" w:hanging="2"/>
              <w:jc w:val="center"/>
              <w:rPr>
                <w:rFonts w:ascii="Verdana" w:hAnsi="Verdana"/>
                <w:b/>
                <w:sz w:val="18"/>
                <w:szCs w:val="18"/>
              </w:rPr>
            </w:pPr>
            <w:r w:rsidRPr="00EC75B7">
              <w:rPr>
                <w:rFonts w:ascii="Verdana" w:hAnsi="Verdana"/>
                <w:b/>
                <w:color w:val="FFFFFF"/>
                <w:spacing w:val="-2"/>
                <w:sz w:val="18"/>
                <w:szCs w:val="18"/>
              </w:rPr>
              <w:t xml:space="preserve">Characteristics </w:t>
            </w:r>
            <w:r w:rsidRPr="00EC75B7">
              <w:rPr>
                <w:rFonts w:ascii="Verdana" w:hAnsi="Verdana"/>
                <w:b/>
                <w:color w:val="FFFFFF"/>
                <w:sz w:val="18"/>
                <w:szCs w:val="18"/>
              </w:rPr>
              <w:t xml:space="preserve">of projects with which the analyzed project may generate </w:t>
            </w:r>
            <w:r w:rsidRPr="00EC75B7">
              <w:rPr>
                <w:rFonts w:ascii="Verdana" w:hAnsi="Verdana"/>
                <w:b/>
                <w:color w:val="FFFFFF"/>
                <w:spacing w:val="-2"/>
                <w:sz w:val="18"/>
                <w:szCs w:val="18"/>
              </w:rPr>
              <w:t>cumulative</w:t>
            </w:r>
            <w:r w:rsidRPr="00EC75B7">
              <w:rPr>
                <w:rFonts w:ascii="Verdana" w:hAnsi="Verdana"/>
                <w:b/>
                <w:color w:val="FFFFFF"/>
                <w:sz w:val="18"/>
                <w:szCs w:val="18"/>
              </w:rPr>
              <w:t xml:space="preserve"> impact</w:t>
            </w:r>
          </w:p>
        </w:tc>
      </w:tr>
      <w:tr w:rsidR="008715BE" w:rsidRPr="00EC75B7" w14:paraId="57ED38C5" w14:textId="77777777">
        <w:trPr>
          <w:trHeight w:val="1951"/>
        </w:trPr>
        <w:tc>
          <w:tcPr>
            <w:tcW w:w="1548" w:type="dxa"/>
          </w:tcPr>
          <w:p w14:paraId="6A0BD8B3" w14:textId="77777777" w:rsidR="008715BE" w:rsidRPr="00EC75B7" w:rsidRDefault="008715BE">
            <w:pPr>
              <w:pStyle w:val="TableParagraph"/>
              <w:rPr>
                <w:rFonts w:ascii="Verdana" w:hAnsi="Verdana"/>
                <w:b/>
                <w:sz w:val="18"/>
                <w:szCs w:val="18"/>
              </w:rPr>
            </w:pPr>
          </w:p>
          <w:p w14:paraId="638543F6" w14:textId="77777777" w:rsidR="008715BE" w:rsidRPr="00EC75B7" w:rsidRDefault="008715BE">
            <w:pPr>
              <w:pStyle w:val="TableParagraph"/>
              <w:rPr>
                <w:rFonts w:ascii="Verdana" w:hAnsi="Verdana"/>
                <w:b/>
                <w:sz w:val="18"/>
                <w:szCs w:val="18"/>
              </w:rPr>
            </w:pPr>
          </w:p>
          <w:p w14:paraId="0A8D14A7" w14:textId="77777777" w:rsidR="008715BE" w:rsidRPr="00EC75B7" w:rsidRDefault="008715BE">
            <w:pPr>
              <w:pStyle w:val="TableParagraph"/>
              <w:rPr>
                <w:rFonts w:ascii="Verdana" w:hAnsi="Verdana"/>
                <w:b/>
                <w:sz w:val="18"/>
                <w:szCs w:val="18"/>
              </w:rPr>
            </w:pPr>
          </w:p>
          <w:p w14:paraId="615E0DCD" w14:textId="77777777" w:rsidR="008715BE" w:rsidRPr="00EC75B7" w:rsidRDefault="008715BE">
            <w:pPr>
              <w:pStyle w:val="TableParagraph"/>
              <w:spacing w:before="7"/>
              <w:rPr>
                <w:rFonts w:ascii="Verdana" w:hAnsi="Verdana"/>
                <w:b/>
                <w:sz w:val="18"/>
                <w:szCs w:val="18"/>
              </w:rPr>
            </w:pPr>
          </w:p>
          <w:p w14:paraId="70446815"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Biodiversity</w:t>
            </w:r>
          </w:p>
        </w:tc>
        <w:tc>
          <w:tcPr>
            <w:tcW w:w="2419" w:type="dxa"/>
          </w:tcPr>
          <w:p w14:paraId="0B59DC14" w14:textId="77777777" w:rsidR="008715BE" w:rsidRPr="00EC75B7" w:rsidRDefault="008715BE">
            <w:pPr>
              <w:pStyle w:val="TableParagraph"/>
              <w:spacing w:before="9"/>
              <w:rPr>
                <w:rFonts w:ascii="Verdana" w:hAnsi="Verdana"/>
                <w:b/>
                <w:sz w:val="18"/>
                <w:szCs w:val="18"/>
              </w:rPr>
            </w:pPr>
          </w:p>
          <w:p w14:paraId="115C94DB" w14:textId="77777777" w:rsidR="008715BE" w:rsidRPr="00EC75B7" w:rsidRDefault="00000000">
            <w:pPr>
              <w:pStyle w:val="TableParagraph"/>
              <w:ind w:left="108" w:right="98"/>
              <w:rPr>
                <w:rFonts w:ascii="Verdana" w:hAnsi="Verdana"/>
                <w:sz w:val="18"/>
                <w:szCs w:val="18"/>
              </w:rPr>
            </w:pPr>
            <w:r w:rsidRPr="00EC75B7">
              <w:rPr>
                <w:rFonts w:ascii="Verdana" w:hAnsi="Verdana"/>
                <w:sz w:val="18"/>
                <w:szCs w:val="18"/>
              </w:rPr>
              <w:t xml:space="preserve">Predominantly agricultural landscape </w:t>
            </w:r>
            <w:r w:rsidRPr="00EC75B7">
              <w:rPr>
                <w:rFonts w:ascii="Verdana" w:hAnsi="Verdana"/>
                <w:spacing w:val="-2"/>
                <w:sz w:val="18"/>
                <w:szCs w:val="18"/>
              </w:rPr>
              <w:t xml:space="preserve">(arable land, </w:t>
            </w:r>
            <w:r w:rsidRPr="00EC75B7">
              <w:rPr>
                <w:rFonts w:ascii="Verdana" w:hAnsi="Verdana"/>
                <w:sz w:val="18"/>
                <w:szCs w:val="18"/>
              </w:rPr>
              <w:t xml:space="preserve">linear agricultural </w:t>
            </w:r>
            <w:r w:rsidRPr="00EC75B7">
              <w:rPr>
                <w:rFonts w:ascii="Verdana" w:hAnsi="Verdana"/>
                <w:spacing w:val="-2"/>
                <w:sz w:val="18"/>
                <w:szCs w:val="18"/>
              </w:rPr>
              <w:t>features</w:t>
            </w:r>
            <w:r w:rsidRPr="00EC75B7">
              <w:rPr>
                <w:rFonts w:ascii="Verdana" w:hAnsi="Verdana"/>
                <w:sz w:val="18"/>
                <w:szCs w:val="18"/>
              </w:rPr>
              <w:t xml:space="preserve">), with generally anthropized habitats; no overlap with </w:t>
            </w:r>
            <w:r w:rsidRPr="00EC75B7">
              <w:rPr>
                <w:rFonts w:ascii="Verdana" w:hAnsi="Verdana"/>
                <w:spacing w:val="-2"/>
                <w:sz w:val="18"/>
                <w:szCs w:val="18"/>
              </w:rPr>
              <w:t>protected</w:t>
            </w:r>
            <w:r w:rsidRPr="00EC75B7">
              <w:rPr>
                <w:rFonts w:ascii="Verdana" w:hAnsi="Verdana"/>
                <w:sz w:val="18"/>
                <w:szCs w:val="18"/>
              </w:rPr>
              <w:t xml:space="preserve"> areas</w:t>
            </w:r>
            <w:r w:rsidRPr="00EC75B7">
              <w:rPr>
                <w:rFonts w:ascii="Verdana" w:hAnsi="Verdana"/>
                <w:spacing w:val="-2"/>
                <w:sz w:val="18"/>
                <w:szCs w:val="18"/>
              </w:rPr>
              <w:t>.</w:t>
            </w:r>
          </w:p>
        </w:tc>
        <w:tc>
          <w:tcPr>
            <w:tcW w:w="2472" w:type="dxa"/>
          </w:tcPr>
          <w:p w14:paraId="27C741C5" w14:textId="77777777" w:rsidR="008715BE" w:rsidRPr="00EC75B7" w:rsidRDefault="008715BE">
            <w:pPr>
              <w:pStyle w:val="TableParagraph"/>
              <w:rPr>
                <w:rFonts w:ascii="Verdana" w:hAnsi="Verdana"/>
                <w:b/>
                <w:sz w:val="18"/>
                <w:szCs w:val="18"/>
              </w:rPr>
            </w:pPr>
          </w:p>
          <w:p w14:paraId="2232DC7D" w14:textId="77777777" w:rsidR="008715BE" w:rsidRPr="00EC75B7" w:rsidRDefault="008715BE">
            <w:pPr>
              <w:pStyle w:val="TableParagraph"/>
              <w:spacing w:before="8"/>
              <w:rPr>
                <w:rFonts w:ascii="Verdana" w:hAnsi="Verdana"/>
                <w:b/>
                <w:sz w:val="18"/>
                <w:szCs w:val="18"/>
              </w:rPr>
            </w:pPr>
          </w:p>
          <w:p w14:paraId="14416A8D" w14:textId="77777777" w:rsidR="008715BE" w:rsidRPr="00EC75B7" w:rsidRDefault="00000000">
            <w:pPr>
              <w:pStyle w:val="TableParagraph"/>
              <w:ind w:left="105" w:right="151"/>
              <w:rPr>
                <w:rFonts w:ascii="Verdana" w:hAnsi="Verdana"/>
                <w:sz w:val="18"/>
                <w:szCs w:val="18"/>
              </w:rPr>
            </w:pPr>
            <w:r w:rsidRPr="00EC75B7">
              <w:rPr>
                <w:rFonts w:ascii="Verdana" w:hAnsi="Verdana"/>
                <w:sz w:val="18"/>
                <w:szCs w:val="18"/>
              </w:rPr>
              <w:t xml:space="preserve">Under construction: </w:t>
            </w:r>
            <w:r w:rsidRPr="00EC75B7">
              <w:rPr>
                <w:rFonts w:ascii="Verdana" w:hAnsi="Verdana"/>
                <w:spacing w:val="-2"/>
                <w:sz w:val="18"/>
                <w:szCs w:val="18"/>
              </w:rPr>
              <w:t xml:space="preserve">stripping/excavation, </w:t>
            </w:r>
            <w:r w:rsidRPr="00EC75B7">
              <w:rPr>
                <w:rFonts w:ascii="Verdana" w:hAnsi="Verdana"/>
                <w:sz w:val="18"/>
                <w:szCs w:val="18"/>
              </w:rPr>
              <w:t>traffic, noise; in operation: turbine (rotor) operation, maintenance.</w:t>
            </w:r>
          </w:p>
        </w:tc>
        <w:tc>
          <w:tcPr>
            <w:tcW w:w="3357" w:type="dxa"/>
          </w:tcPr>
          <w:p w14:paraId="2CA14D1C" w14:textId="77777777" w:rsidR="008715BE" w:rsidRPr="00EC75B7" w:rsidRDefault="008715BE">
            <w:pPr>
              <w:pStyle w:val="TableParagraph"/>
              <w:spacing w:before="9"/>
              <w:rPr>
                <w:rFonts w:ascii="Verdana" w:hAnsi="Verdana"/>
                <w:b/>
                <w:sz w:val="18"/>
                <w:szCs w:val="18"/>
              </w:rPr>
            </w:pPr>
          </w:p>
          <w:p w14:paraId="4317F341" w14:textId="77777777" w:rsidR="008715BE" w:rsidRPr="00EC75B7" w:rsidRDefault="00000000">
            <w:pPr>
              <w:pStyle w:val="TableParagraph"/>
              <w:ind w:left="108" w:right="210"/>
              <w:rPr>
                <w:rFonts w:ascii="Verdana" w:hAnsi="Verdana"/>
                <w:sz w:val="18"/>
                <w:szCs w:val="18"/>
              </w:rPr>
            </w:pPr>
            <w:r w:rsidRPr="00EC75B7">
              <w:rPr>
                <w:rFonts w:ascii="Verdana" w:hAnsi="Verdana"/>
                <w:sz w:val="18"/>
                <w:szCs w:val="18"/>
              </w:rPr>
              <w:t>Mainly local and sporadic: habitat loss/alteration (sporadic), temporary disturbance; in operation, risk to flying fauna (bird collision; bat collision/barotrauma) and avoidance/barrier effect.</w:t>
            </w:r>
          </w:p>
        </w:tc>
        <w:tc>
          <w:tcPr>
            <w:tcW w:w="2219" w:type="dxa"/>
          </w:tcPr>
          <w:p w14:paraId="08DBD46A" w14:textId="77777777" w:rsidR="008715BE" w:rsidRPr="00EC75B7" w:rsidRDefault="008715BE">
            <w:pPr>
              <w:pStyle w:val="TableParagraph"/>
              <w:spacing w:before="9"/>
              <w:rPr>
                <w:rFonts w:ascii="Verdana" w:hAnsi="Verdana"/>
                <w:b/>
                <w:sz w:val="18"/>
                <w:szCs w:val="18"/>
              </w:rPr>
            </w:pPr>
          </w:p>
          <w:p w14:paraId="7470AB24" w14:textId="77777777" w:rsidR="008715BE" w:rsidRPr="00EC75B7" w:rsidRDefault="00000000">
            <w:pPr>
              <w:pStyle w:val="TableParagraph"/>
              <w:ind w:left="107" w:right="103"/>
              <w:rPr>
                <w:rFonts w:ascii="Verdana" w:hAnsi="Verdana"/>
                <w:sz w:val="18"/>
                <w:szCs w:val="18"/>
              </w:rPr>
            </w:pPr>
            <w:r w:rsidRPr="00EC75B7">
              <w:rPr>
                <w:rFonts w:ascii="Verdana" w:hAnsi="Verdana"/>
                <w:sz w:val="18"/>
                <w:szCs w:val="18"/>
              </w:rPr>
              <w:t xml:space="preserve">Birds, bats, herpetofauna, and small mammals (especially during construction); biodiversity associated with linear elements </w:t>
            </w:r>
            <w:r w:rsidRPr="00EC75B7">
              <w:rPr>
                <w:rFonts w:ascii="Verdana" w:hAnsi="Verdana"/>
                <w:spacing w:val="-2"/>
                <w:sz w:val="18"/>
                <w:szCs w:val="18"/>
              </w:rPr>
              <w:t>(valleys/channels).</w:t>
            </w:r>
          </w:p>
        </w:tc>
        <w:tc>
          <w:tcPr>
            <w:tcW w:w="2541" w:type="dxa"/>
          </w:tcPr>
          <w:p w14:paraId="21626C9B" w14:textId="77777777" w:rsidR="008715BE" w:rsidRPr="00EC75B7" w:rsidRDefault="00000000">
            <w:pPr>
              <w:pStyle w:val="TableParagraph"/>
              <w:spacing w:before="10"/>
              <w:ind w:left="108" w:right="155"/>
              <w:rPr>
                <w:rFonts w:ascii="Verdana" w:hAnsi="Verdana"/>
                <w:sz w:val="18"/>
                <w:szCs w:val="18"/>
              </w:rPr>
            </w:pPr>
            <w:r w:rsidRPr="00EC75B7">
              <w:rPr>
                <w:rFonts w:ascii="Verdana" w:hAnsi="Verdana"/>
                <w:sz w:val="18"/>
                <w:szCs w:val="18"/>
              </w:rPr>
              <w:t xml:space="preserve">Cumulation with other wind farms/energy projects in the region (additive risks for birds/bats), with </w:t>
            </w:r>
            <w:r w:rsidRPr="00EC75B7">
              <w:rPr>
                <w:rFonts w:ascii="Verdana" w:hAnsi="Verdana"/>
                <w:spacing w:val="-2"/>
                <w:sz w:val="18"/>
                <w:szCs w:val="18"/>
              </w:rPr>
              <w:t>power</w:t>
            </w:r>
            <w:r w:rsidRPr="00EC75B7">
              <w:rPr>
                <w:rFonts w:ascii="Verdana" w:hAnsi="Verdana"/>
                <w:sz w:val="18"/>
                <w:szCs w:val="18"/>
              </w:rPr>
              <w:t xml:space="preserve"> lines/linear </w:t>
            </w:r>
            <w:r w:rsidRPr="00EC75B7">
              <w:rPr>
                <w:rFonts w:ascii="Verdana" w:hAnsi="Verdana"/>
                <w:spacing w:val="-2"/>
                <w:sz w:val="18"/>
                <w:szCs w:val="18"/>
              </w:rPr>
              <w:t xml:space="preserve">infrastructure </w:t>
            </w:r>
            <w:r w:rsidRPr="00EC75B7">
              <w:rPr>
                <w:rFonts w:ascii="Verdana" w:hAnsi="Verdana"/>
                <w:sz w:val="18"/>
                <w:szCs w:val="18"/>
              </w:rPr>
              <w:t xml:space="preserve">and with </w:t>
            </w:r>
            <w:r w:rsidRPr="00EC75B7">
              <w:rPr>
                <w:rFonts w:ascii="Verdana" w:hAnsi="Verdana"/>
                <w:spacing w:val="-2"/>
                <w:sz w:val="18"/>
                <w:szCs w:val="18"/>
              </w:rPr>
              <w:t>existing</w:t>
            </w:r>
            <w:r w:rsidRPr="00EC75B7">
              <w:rPr>
                <w:rFonts w:ascii="Verdana" w:hAnsi="Verdana"/>
                <w:sz w:val="18"/>
                <w:szCs w:val="18"/>
              </w:rPr>
              <w:t xml:space="preserve"> agricultural pressures </w:t>
            </w:r>
            <w:r w:rsidRPr="00EC75B7">
              <w:rPr>
                <w:rFonts w:ascii="Verdana" w:hAnsi="Verdana"/>
                <w:spacing w:val="-2"/>
                <w:sz w:val="18"/>
                <w:szCs w:val="18"/>
              </w:rPr>
              <w:t>(fragmentation/disturbance).</w:t>
            </w:r>
          </w:p>
        </w:tc>
      </w:tr>
      <w:tr w:rsidR="008715BE" w:rsidRPr="00EC75B7" w14:paraId="423C715A" w14:textId="77777777">
        <w:trPr>
          <w:trHeight w:val="1756"/>
        </w:trPr>
        <w:tc>
          <w:tcPr>
            <w:tcW w:w="1548" w:type="dxa"/>
          </w:tcPr>
          <w:p w14:paraId="42A7BBD4" w14:textId="77777777" w:rsidR="008715BE" w:rsidRPr="00EC75B7" w:rsidRDefault="008715BE">
            <w:pPr>
              <w:pStyle w:val="TableParagraph"/>
              <w:rPr>
                <w:rFonts w:ascii="Verdana" w:hAnsi="Verdana"/>
                <w:b/>
                <w:sz w:val="18"/>
                <w:szCs w:val="18"/>
              </w:rPr>
            </w:pPr>
          </w:p>
          <w:p w14:paraId="37DD7AD3" w14:textId="77777777" w:rsidR="008715BE" w:rsidRPr="00EC75B7" w:rsidRDefault="008715BE">
            <w:pPr>
              <w:pStyle w:val="TableParagraph"/>
              <w:spacing w:before="104"/>
              <w:rPr>
                <w:rFonts w:ascii="Verdana" w:hAnsi="Verdana"/>
                <w:b/>
                <w:sz w:val="18"/>
                <w:szCs w:val="18"/>
              </w:rPr>
            </w:pPr>
          </w:p>
          <w:p w14:paraId="46BDBD14" w14:textId="77777777" w:rsidR="008715BE" w:rsidRPr="00EC75B7" w:rsidRDefault="00000000">
            <w:pPr>
              <w:pStyle w:val="TableParagraph"/>
              <w:ind w:left="107"/>
              <w:rPr>
                <w:rFonts w:ascii="Verdana" w:hAnsi="Verdana"/>
                <w:b/>
                <w:sz w:val="18"/>
                <w:szCs w:val="18"/>
              </w:rPr>
            </w:pPr>
            <w:r w:rsidRPr="00EC75B7">
              <w:rPr>
                <w:rFonts w:ascii="Verdana" w:hAnsi="Verdana"/>
                <w:b/>
                <w:sz w:val="18"/>
                <w:szCs w:val="18"/>
              </w:rPr>
              <w:t xml:space="preserve">Protected natural areas / </w:t>
            </w:r>
            <w:r w:rsidRPr="00EC75B7">
              <w:rPr>
                <w:rFonts w:ascii="Verdana" w:hAnsi="Verdana"/>
                <w:b/>
                <w:spacing w:val="-4"/>
                <w:sz w:val="18"/>
                <w:szCs w:val="18"/>
              </w:rPr>
              <w:t>Natura 2000</w:t>
            </w:r>
          </w:p>
        </w:tc>
        <w:tc>
          <w:tcPr>
            <w:tcW w:w="2419" w:type="dxa"/>
          </w:tcPr>
          <w:p w14:paraId="780B8C97" w14:textId="77777777" w:rsidR="008715BE" w:rsidRPr="00EC75B7" w:rsidRDefault="008715BE">
            <w:pPr>
              <w:pStyle w:val="TableParagraph"/>
              <w:spacing w:before="105"/>
              <w:rPr>
                <w:rFonts w:ascii="Verdana" w:hAnsi="Verdana"/>
                <w:b/>
                <w:sz w:val="18"/>
                <w:szCs w:val="18"/>
              </w:rPr>
            </w:pPr>
          </w:p>
          <w:p w14:paraId="6E1D855F" w14:textId="77777777" w:rsidR="008715BE" w:rsidRPr="00EC75B7" w:rsidRDefault="00000000">
            <w:pPr>
              <w:pStyle w:val="TableParagraph"/>
              <w:ind w:left="108" w:right="156"/>
              <w:rPr>
                <w:rFonts w:ascii="Verdana" w:hAnsi="Verdana"/>
                <w:sz w:val="18"/>
                <w:szCs w:val="18"/>
              </w:rPr>
            </w:pPr>
            <w:r w:rsidRPr="00EC75B7">
              <w:rPr>
                <w:rFonts w:ascii="Verdana" w:hAnsi="Verdana"/>
                <w:spacing w:val="-2"/>
                <w:sz w:val="18"/>
                <w:szCs w:val="18"/>
              </w:rPr>
              <w:t xml:space="preserve">The project does not intersect </w:t>
            </w:r>
            <w:r w:rsidRPr="00EC75B7">
              <w:rPr>
                <w:rFonts w:ascii="Verdana" w:hAnsi="Verdana"/>
                <w:sz w:val="18"/>
                <w:szCs w:val="18"/>
              </w:rPr>
              <w:t xml:space="preserve">Natura 2000 sites; there are sites in the vicinity, including cross-border </w:t>
            </w:r>
            <w:r w:rsidRPr="00EC75B7">
              <w:rPr>
                <w:rFonts w:ascii="Verdana" w:hAnsi="Verdana"/>
                <w:spacing w:val="-2"/>
                <w:sz w:val="18"/>
                <w:szCs w:val="18"/>
              </w:rPr>
              <w:t>(Bulgaria).</w:t>
            </w:r>
          </w:p>
        </w:tc>
        <w:tc>
          <w:tcPr>
            <w:tcW w:w="2472" w:type="dxa"/>
          </w:tcPr>
          <w:p w14:paraId="7D928BEA" w14:textId="77777777" w:rsidR="008715BE" w:rsidRPr="00EC75B7" w:rsidRDefault="008715BE">
            <w:pPr>
              <w:pStyle w:val="TableParagraph"/>
              <w:spacing w:before="9"/>
              <w:rPr>
                <w:rFonts w:ascii="Verdana" w:hAnsi="Verdana"/>
                <w:b/>
                <w:sz w:val="18"/>
                <w:szCs w:val="18"/>
              </w:rPr>
            </w:pPr>
          </w:p>
          <w:p w14:paraId="7A0E7A54" w14:textId="77777777" w:rsidR="008715BE" w:rsidRPr="00EC75B7" w:rsidRDefault="00000000">
            <w:pPr>
              <w:pStyle w:val="TableParagraph"/>
              <w:ind w:left="105" w:right="91"/>
              <w:rPr>
                <w:rFonts w:ascii="Verdana" w:hAnsi="Verdana"/>
                <w:sz w:val="18"/>
                <w:szCs w:val="18"/>
              </w:rPr>
            </w:pPr>
            <w:r w:rsidRPr="00EC75B7">
              <w:rPr>
                <w:rFonts w:ascii="Verdana" w:hAnsi="Verdana"/>
                <w:sz w:val="18"/>
                <w:szCs w:val="18"/>
              </w:rPr>
              <w:t>Indirect effects through species mobility (especially birds/bats) and physical factors (noise/light) assessed in a cross-border context.</w:t>
            </w:r>
          </w:p>
        </w:tc>
        <w:tc>
          <w:tcPr>
            <w:tcW w:w="3357" w:type="dxa"/>
          </w:tcPr>
          <w:p w14:paraId="1877DF21" w14:textId="77777777" w:rsidR="008715BE" w:rsidRPr="00EC75B7" w:rsidRDefault="008715BE">
            <w:pPr>
              <w:pStyle w:val="TableParagraph"/>
              <w:spacing w:before="105"/>
              <w:rPr>
                <w:rFonts w:ascii="Verdana" w:hAnsi="Verdana"/>
                <w:b/>
                <w:sz w:val="18"/>
                <w:szCs w:val="18"/>
              </w:rPr>
            </w:pPr>
          </w:p>
          <w:p w14:paraId="49B7BD25"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No direct impact through overlap; potential indirect impact controlled through operational measures and monitoring; requires compliance with </w:t>
            </w:r>
            <w:r w:rsidRPr="00EC75B7">
              <w:rPr>
                <w:rFonts w:ascii="Verdana" w:hAnsi="Verdana"/>
                <w:spacing w:val="-2"/>
                <w:sz w:val="18"/>
                <w:szCs w:val="18"/>
              </w:rPr>
              <w:t>cross-border</w:t>
            </w:r>
            <w:r w:rsidRPr="00EC75B7">
              <w:rPr>
                <w:rFonts w:ascii="Verdana" w:hAnsi="Verdana"/>
                <w:sz w:val="18"/>
                <w:szCs w:val="18"/>
              </w:rPr>
              <w:t xml:space="preserve"> conditions</w:t>
            </w:r>
            <w:r w:rsidRPr="00EC75B7">
              <w:rPr>
                <w:rFonts w:ascii="Verdana" w:hAnsi="Verdana"/>
                <w:spacing w:val="-2"/>
                <w:sz w:val="18"/>
                <w:szCs w:val="18"/>
              </w:rPr>
              <w:t>.</w:t>
            </w:r>
          </w:p>
        </w:tc>
        <w:tc>
          <w:tcPr>
            <w:tcW w:w="2219" w:type="dxa"/>
          </w:tcPr>
          <w:p w14:paraId="28E00B36" w14:textId="77777777" w:rsidR="008715BE" w:rsidRPr="00EC75B7" w:rsidRDefault="008715BE">
            <w:pPr>
              <w:pStyle w:val="TableParagraph"/>
              <w:spacing w:before="9"/>
              <w:rPr>
                <w:rFonts w:ascii="Verdana" w:hAnsi="Verdana"/>
                <w:b/>
                <w:sz w:val="18"/>
                <w:szCs w:val="18"/>
              </w:rPr>
            </w:pPr>
          </w:p>
          <w:p w14:paraId="361AD722"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ROSCI/ROSAC and </w:t>
            </w:r>
            <w:r w:rsidRPr="00EC75B7">
              <w:rPr>
                <w:rFonts w:ascii="Verdana" w:hAnsi="Verdana"/>
                <w:spacing w:val="-4"/>
                <w:sz w:val="18"/>
                <w:szCs w:val="18"/>
              </w:rPr>
              <w:t>ROSPA</w:t>
            </w:r>
          </w:p>
          <w:p w14:paraId="3EBBF5E3" w14:textId="77777777" w:rsidR="008715BE" w:rsidRPr="00EC75B7" w:rsidRDefault="00000000">
            <w:pPr>
              <w:pStyle w:val="TableParagraph"/>
              <w:ind w:left="107" w:right="230"/>
              <w:rPr>
                <w:rFonts w:ascii="Verdana" w:hAnsi="Verdana"/>
                <w:sz w:val="18"/>
                <w:szCs w:val="18"/>
              </w:rPr>
            </w:pPr>
            <w:r w:rsidRPr="00EC75B7">
              <w:rPr>
                <w:rFonts w:ascii="Verdana" w:hAnsi="Verdana"/>
                <w:sz w:val="18"/>
                <w:szCs w:val="18"/>
              </w:rPr>
              <w:t xml:space="preserve">in the vicinity; neighbouring Bulgarian BG sites; Natura 2000 target species (especially </w:t>
            </w:r>
            <w:r w:rsidRPr="00EC75B7">
              <w:rPr>
                <w:rFonts w:ascii="Verdana" w:hAnsi="Verdana"/>
                <w:spacing w:val="-2"/>
                <w:sz w:val="18"/>
                <w:szCs w:val="18"/>
              </w:rPr>
              <w:t>birds/bats).</w:t>
            </w:r>
          </w:p>
        </w:tc>
        <w:tc>
          <w:tcPr>
            <w:tcW w:w="2541" w:type="dxa"/>
          </w:tcPr>
          <w:p w14:paraId="4BD4EAB1" w14:textId="77777777" w:rsidR="008715BE" w:rsidRPr="00EC75B7" w:rsidRDefault="00000000">
            <w:pPr>
              <w:pStyle w:val="TableParagraph"/>
              <w:spacing w:before="10"/>
              <w:ind w:left="108" w:right="215"/>
              <w:rPr>
                <w:rFonts w:ascii="Verdana" w:hAnsi="Verdana"/>
                <w:sz w:val="18"/>
                <w:szCs w:val="18"/>
              </w:rPr>
            </w:pPr>
            <w:r w:rsidRPr="00EC75B7">
              <w:rPr>
                <w:rFonts w:ascii="Verdana" w:hAnsi="Verdana"/>
                <w:sz w:val="18"/>
                <w:szCs w:val="18"/>
              </w:rPr>
              <w:t xml:space="preserve">Cumulation with other projects in the area of influence that may affect the same sites/species (wind + </w:t>
            </w:r>
            <w:r w:rsidRPr="00EC75B7">
              <w:rPr>
                <w:rFonts w:ascii="Verdana" w:hAnsi="Verdana"/>
                <w:spacing w:val="-2"/>
                <w:sz w:val="18"/>
                <w:szCs w:val="18"/>
              </w:rPr>
              <w:t xml:space="preserve">energy/transport infrastructure), </w:t>
            </w:r>
            <w:r w:rsidRPr="00EC75B7">
              <w:rPr>
                <w:rFonts w:ascii="Verdana" w:hAnsi="Verdana"/>
                <w:sz w:val="18"/>
                <w:szCs w:val="18"/>
              </w:rPr>
              <w:t xml:space="preserve">especially during sensitive periods </w:t>
            </w:r>
            <w:r w:rsidRPr="00EC75B7">
              <w:rPr>
                <w:rFonts w:ascii="Verdana" w:hAnsi="Verdana"/>
                <w:spacing w:val="-2"/>
                <w:sz w:val="18"/>
                <w:szCs w:val="18"/>
              </w:rPr>
              <w:t>(migration/dispersion).</w:t>
            </w:r>
          </w:p>
        </w:tc>
      </w:tr>
      <w:tr w:rsidR="008715BE" w:rsidRPr="00EC75B7" w14:paraId="453E0D95" w14:textId="77777777">
        <w:trPr>
          <w:trHeight w:val="1367"/>
        </w:trPr>
        <w:tc>
          <w:tcPr>
            <w:tcW w:w="1548" w:type="dxa"/>
          </w:tcPr>
          <w:p w14:paraId="23D55680" w14:textId="77777777" w:rsidR="008715BE" w:rsidRPr="00EC75B7" w:rsidRDefault="008715BE">
            <w:pPr>
              <w:pStyle w:val="TableParagraph"/>
              <w:rPr>
                <w:rFonts w:ascii="Verdana" w:hAnsi="Verdana"/>
                <w:b/>
                <w:sz w:val="18"/>
                <w:szCs w:val="18"/>
              </w:rPr>
            </w:pPr>
          </w:p>
          <w:p w14:paraId="4A6426F2" w14:textId="77777777" w:rsidR="008715BE" w:rsidRPr="00EC75B7" w:rsidRDefault="008715BE">
            <w:pPr>
              <w:pStyle w:val="TableParagraph"/>
              <w:spacing w:before="6"/>
              <w:rPr>
                <w:rFonts w:ascii="Verdana" w:hAnsi="Verdana"/>
                <w:b/>
                <w:sz w:val="18"/>
                <w:szCs w:val="18"/>
              </w:rPr>
            </w:pPr>
          </w:p>
          <w:p w14:paraId="7F36DF76" w14:textId="77777777" w:rsidR="008715BE" w:rsidRPr="00EC75B7" w:rsidRDefault="00000000">
            <w:pPr>
              <w:pStyle w:val="TableParagraph"/>
              <w:ind w:left="107" w:right="185"/>
              <w:rPr>
                <w:rFonts w:ascii="Verdana" w:hAnsi="Verdana"/>
                <w:b/>
                <w:sz w:val="18"/>
                <w:szCs w:val="18"/>
              </w:rPr>
            </w:pPr>
            <w:r w:rsidRPr="00EC75B7">
              <w:rPr>
                <w:rFonts w:ascii="Verdana" w:hAnsi="Verdana"/>
                <w:b/>
                <w:spacing w:val="-2"/>
                <w:sz w:val="18"/>
                <w:szCs w:val="18"/>
              </w:rPr>
              <w:t>Air (air quality)</w:t>
            </w:r>
          </w:p>
        </w:tc>
        <w:tc>
          <w:tcPr>
            <w:tcW w:w="2419" w:type="dxa"/>
          </w:tcPr>
          <w:p w14:paraId="7727B1FE" w14:textId="77777777" w:rsidR="008715BE" w:rsidRPr="00EC75B7" w:rsidRDefault="008715BE">
            <w:pPr>
              <w:pStyle w:val="TableParagraph"/>
              <w:spacing w:before="7"/>
              <w:rPr>
                <w:rFonts w:ascii="Verdana" w:hAnsi="Verdana"/>
                <w:b/>
                <w:sz w:val="18"/>
                <w:szCs w:val="18"/>
              </w:rPr>
            </w:pPr>
          </w:p>
          <w:p w14:paraId="48E44E7D" w14:textId="77777777" w:rsidR="008715BE" w:rsidRPr="00EC75B7" w:rsidRDefault="00000000">
            <w:pPr>
              <w:pStyle w:val="TableParagraph"/>
              <w:ind w:left="108" w:right="387"/>
              <w:rPr>
                <w:rFonts w:ascii="Verdana" w:hAnsi="Verdana"/>
                <w:sz w:val="18"/>
                <w:szCs w:val="18"/>
              </w:rPr>
            </w:pPr>
            <w:r w:rsidRPr="00EC75B7">
              <w:rPr>
                <w:rFonts w:ascii="Verdana" w:hAnsi="Verdana"/>
                <w:sz w:val="18"/>
                <w:szCs w:val="18"/>
              </w:rPr>
              <w:t xml:space="preserve">Typical rural quality; current sources: agricultural activities, </w:t>
            </w:r>
            <w:r w:rsidRPr="00EC75B7">
              <w:rPr>
                <w:rFonts w:ascii="Verdana" w:hAnsi="Verdana"/>
                <w:spacing w:val="-2"/>
                <w:sz w:val="18"/>
                <w:szCs w:val="18"/>
              </w:rPr>
              <w:t>local</w:t>
            </w:r>
            <w:r w:rsidRPr="00EC75B7">
              <w:rPr>
                <w:rFonts w:ascii="Verdana" w:hAnsi="Verdana"/>
                <w:sz w:val="18"/>
                <w:szCs w:val="18"/>
              </w:rPr>
              <w:t xml:space="preserve"> traffic</w:t>
            </w:r>
            <w:r w:rsidRPr="00EC75B7">
              <w:rPr>
                <w:rFonts w:ascii="Verdana" w:hAnsi="Verdana"/>
                <w:spacing w:val="-2"/>
                <w:sz w:val="18"/>
                <w:szCs w:val="18"/>
              </w:rPr>
              <w:t>.</w:t>
            </w:r>
          </w:p>
        </w:tc>
        <w:tc>
          <w:tcPr>
            <w:tcW w:w="2472" w:type="dxa"/>
          </w:tcPr>
          <w:p w14:paraId="79A3FCEE" w14:textId="77777777" w:rsidR="008715BE" w:rsidRPr="00EC75B7" w:rsidRDefault="00000000">
            <w:pPr>
              <w:pStyle w:val="TableParagraph"/>
              <w:spacing w:before="8"/>
              <w:ind w:left="105" w:right="115"/>
              <w:rPr>
                <w:rFonts w:ascii="Verdana" w:hAnsi="Verdana"/>
                <w:sz w:val="18"/>
                <w:szCs w:val="18"/>
              </w:rPr>
            </w:pPr>
            <w:r w:rsidRPr="00EC75B7">
              <w:rPr>
                <w:rFonts w:ascii="Verdana" w:hAnsi="Verdana"/>
                <w:sz w:val="18"/>
                <w:szCs w:val="18"/>
              </w:rPr>
              <w:t xml:space="preserve">Under construction: dust from </w:t>
            </w:r>
            <w:r w:rsidRPr="00EC75B7">
              <w:rPr>
                <w:rFonts w:ascii="Verdana" w:hAnsi="Verdana"/>
                <w:spacing w:val="-2"/>
                <w:sz w:val="18"/>
                <w:szCs w:val="18"/>
              </w:rPr>
              <w:t xml:space="preserve">earthworks/transport, </w:t>
            </w:r>
            <w:r w:rsidRPr="00EC75B7">
              <w:rPr>
                <w:rFonts w:ascii="Verdana" w:hAnsi="Verdana"/>
                <w:sz w:val="18"/>
                <w:szCs w:val="18"/>
              </w:rPr>
              <w:t xml:space="preserve">exhaust gases; in operation: </w:t>
            </w:r>
            <w:r w:rsidRPr="00EC75B7">
              <w:rPr>
                <w:rFonts w:ascii="Verdana" w:hAnsi="Verdana"/>
                <w:spacing w:val="-2"/>
                <w:sz w:val="18"/>
                <w:szCs w:val="18"/>
              </w:rPr>
              <w:t>insignificant</w:t>
            </w:r>
            <w:r w:rsidRPr="00EC75B7">
              <w:rPr>
                <w:rFonts w:ascii="Verdana" w:hAnsi="Verdana"/>
                <w:sz w:val="18"/>
                <w:szCs w:val="18"/>
              </w:rPr>
              <w:t xml:space="preserve"> emissions </w:t>
            </w:r>
            <w:r w:rsidRPr="00EC75B7">
              <w:rPr>
                <w:rFonts w:ascii="Verdana" w:hAnsi="Verdana"/>
                <w:spacing w:val="-2"/>
                <w:sz w:val="18"/>
                <w:szCs w:val="18"/>
              </w:rPr>
              <w:t>(maintenance traffic only).</w:t>
            </w:r>
          </w:p>
        </w:tc>
        <w:tc>
          <w:tcPr>
            <w:tcW w:w="3357" w:type="dxa"/>
          </w:tcPr>
          <w:p w14:paraId="232B2967" w14:textId="77777777" w:rsidR="008715BE" w:rsidRPr="00EC75B7" w:rsidRDefault="008715BE">
            <w:pPr>
              <w:pStyle w:val="TableParagraph"/>
              <w:spacing w:before="105"/>
              <w:rPr>
                <w:rFonts w:ascii="Verdana" w:hAnsi="Verdana"/>
                <w:b/>
                <w:sz w:val="18"/>
                <w:szCs w:val="18"/>
              </w:rPr>
            </w:pPr>
          </w:p>
          <w:p w14:paraId="49E02078" w14:textId="77777777" w:rsidR="008715BE" w:rsidRPr="00EC75B7" w:rsidRDefault="00000000">
            <w:pPr>
              <w:pStyle w:val="TableParagraph"/>
              <w:ind w:left="108" w:right="210"/>
              <w:rPr>
                <w:rFonts w:ascii="Verdana" w:hAnsi="Verdana"/>
                <w:sz w:val="18"/>
                <w:szCs w:val="18"/>
              </w:rPr>
            </w:pPr>
            <w:r w:rsidRPr="00EC75B7">
              <w:rPr>
                <w:rFonts w:ascii="Verdana" w:hAnsi="Verdana"/>
                <w:sz w:val="18"/>
                <w:szCs w:val="18"/>
              </w:rPr>
              <w:t xml:space="preserve">Temporary, local, reversible (under construction); </w:t>
            </w:r>
            <w:r w:rsidRPr="00EC75B7">
              <w:rPr>
                <w:rFonts w:ascii="Verdana" w:hAnsi="Verdana"/>
                <w:spacing w:val="-2"/>
                <w:sz w:val="18"/>
                <w:szCs w:val="18"/>
              </w:rPr>
              <w:t>low/negligible</w:t>
            </w:r>
            <w:r w:rsidRPr="00EC75B7">
              <w:rPr>
                <w:rFonts w:ascii="Verdana" w:hAnsi="Verdana"/>
                <w:sz w:val="18"/>
                <w:szCs w:val="18"/>
              </w:rPr>
              <w:t xml:space="preserve"> impact during operation</w:t>
            </w:r>
            <w:r w:rsidRPr="00EC75B7">
              <w:rPr>
                <w:rFonts w:ascii="Verdana" w:hAnsi="Verdana"/>
                <w:spacing w:val="-2"/>
                <w:sz w:val="18"/>
                <w:szCs w:val="18"/>
              </w:rPr>
              <w:t>.</w:t>
            </w:r>
          </w:p>
        </w:tc>
        <w:tc>
          <w:tcPr>
            <w:tcW w:w="2219" w:type="dxa"/>
          </w:tcPr>
          <w:p w14:paraId="364A8372" w14:textId="77777777" w:rsidR="008715BE" w:rsidRPr="00EC75B7" w:rsidRDefault="00000000">
            <w:pPr>
              <w:pStyle w:val="TableParagraph"/>
              <w:spacing w:before="106"/>
              <w:ind w:left="107" w:right="103"/>
              <w:rPr>
                <w:rFonts w:ascii="Verdana" w:hAnsi="Verdana"/>
                <w:sz w:val="18"/>
                <w:szCs w:val="18"/>
              </w:rPr>
            </w:pPr>
            <w:r w:rsidRPr="00EC75B7">
              <w:rPr>
                <w:rFonts w:ascii="Verdana" w:hAnsi="Verdana"/>
                <w:sz w:val="18"/>
                <w:szCs w:val="18"/>
              </w:rPr>
              <w:t>Local population (</w:t>
            </w:r>
            <w:r w:rsidRPr="00EC75B7">
              <w:rPr>
                <w:rFonts w:ascii="Verdana" w:hAnsi="Verdana"/>
                <w:spacing w:val="-2"/>
                <w:sz w:val="18"/>
                <w:szCs w:val="18"/>
              </w:rPr>
              <w:t xml:space="preserve">especially near </w:t>
            </w:r>
            <w:r w:rsidRPr="00EC75B7">
              <w:rPr>
                <w:rFonts w:ascii="Verdana" w:hAnsi="Verdana"/>
                <w:sz w:val="18"/>
                <w:szCs w:val="18"/>
              </w:rPr>
              <w:t>work fronts), local vegetation (dust deposits).</w:t>
            </w:r>
          </w:p>
        </w:tc>
        <w:tc>
          <w:tcPr>
            <w:tcW w:w="2541" w:type="dxa"/>
          </w:tcPr>
          <w:p w14:paraId="63A17CCF" w14:textId="77777777" w:rsidR="008715BE" w:rsidRPr="00EC75B7" w:rsidRDefault="00000000">
            <w:pPr>
              <w:pStyle w:val="TableParagraph"/>
              <w:spacing w:before="106"/>
              <w:ind w:left="108" w:right="215"/>
              <w:rPr>
                <w:rFonts w:ascii="Verdana" w:hAnsi="Verdana"/>
                <w:sz w:val="18"/>
                <w:szCs w:val="18"/>
              </w:rPr>
            </w:pPr>
            <w:r w:rsidRPr="00EC75B7">
              <w:rPr>
                <w:rFonts w:ascii="Verdana" w:hAnsi="Verdana"/>
                <w:sz w:val="18"/>
                <w:szCs w:val="18"/>
              </w:rPr>
              <w:t>Cumulation with other local construction sites/investments and seasonal agricultural activities (dust episodes), plus regional traffic.</w:t>
            </w:r>
          </w:p>
        </w:tc>
      </w:tr>
      <w:tr w:rsidR="008715BE" w:rsidRPr="00EC75B7" w14:paraId="2195BBDB" w14:textId="77777777">
        <w:trPr>
          <w:trHeight w:val="1756"/>
        </w:trPr>
        <w:tc>
          <w:tcPr>
            <w:tcW w:w="1548" w:type="dxa"/>
          </w:tcPr>
          <w:p w14:paraId="789BD4AF" w14:textId="77777777" w:rsidR="008715BE" w:rsidRPr="00EC75B7" w:rsidRDefault="008715BE">
            <w:pPr>
              <w:pStyle w:val="TableParagraph"/>
              <w:rPr>
                <w:rFonts w:ascii="Verdana" w:hAnsi="Verdana"/>
                <w:b/>
                <w:sz w:val="18"/>
                <w:szCs w:val="18"/>
              </w:rPr>
            </w:pPr>
          </w:p>
          <w:p w14:paraId="0D3B2953" w14:textId="77777777" w:rsidR="008715BE" w:rsidRPr="00EC75B7" w:rsidRDefault="008715BE">
            <w:pPr>
              <w:pStyle w:val="TableParagraph"/>
              <w:rPr>
                <w:rFonts w:ascii="Verdana" w:hAnsi="Verdana"/>
                <w:b/>
                <w:sz w:val="18"/>
                <w:szCs w:val="18"/>
              </w:rPr>
            </w:pPr>
          </w:p>
          <w:p w14:paraId="31AD106C" w14:textId="77777777" w:rsidR="008715BE" w:rsidRPr="00EC75B7" w:rsidRDefault="008715BE">
            <w:pPr>
              <w:pStyle w:val="TableParagraph"/>
              <w:spacing w:before="5"/>
              <w:rPr>
                <w:rFonts w:ascii="Verdana" w:hAnsi="Verdana"/>
                <w:b/>
                <w:sz w:val="18"/>
                <w:szCs w:val="18"/>
              </w:rPr>
            </w:pPr>
          </w:p>
          <w:p w14:paraId="575BCCB6" w14:textId="77777777" w:rsidR="008715BE" w:rsidRPr="00EC75B7" w:rsidRDefault="00000000">
            <w:pPr>
              <w:pStyle w:val="TableParagraph"/>
              <w:ind w:left="107"/>
              <w:rPr>
                <w:rFonts w:ascii="Verdana" w:hAnsi="Verdana"/>
                <w:b/>
                <w:sz w:val="18"/>
                <w:szCs w:val="18"/>
              </w:rPr>
            </w:pPr>
            <w:r w:rsidRPr="00EC75B7">
              <w:rPr>
                <w:rFonts w:ascii="Verdana" w:hAnsi="Verdana"/>
                <w:b/>
                <w:sz w:val="18"/>
                <w:szCs w:val="18"/>
              </w:rPr>
              <w:t xml:space="preserve">Noise and </w:t>
            </w:r>
            <w:r w:rsidRPr="00EC75B7">
              <w:rPr>
                <w:rFonts w:ascii="Verdana" w:hAnsi="Verdana"/>
                <w:b/>
                <w:spacing w:val="-2"/>
                <w:sz w:val="18"/>
                <w:szCs w:val="18"/>
              </w:rPr>
              <w:t>vibrations</w:t>
            </w:r>
          </w:p>
        </w:tc>
        <w:tc>
          <w:tcPr>
            <w:tcW w:w="2419" w:type="dxa"/>
          </w:tcPr>
          <w:p w14:paraId="77C934E9" w14:textId="77777777" w:rsidR="008715BE" w:rsidRPr="00EC75B7" w:rsidRDefault="008715BE">
            <w:pPr>
              <w:pStyle w:val="TableParagraph"/>
              <w:rPr>
                <w:rFonts w:ascii="Verdana" w:hAnsi="Verdana"/>
                <w:b/>
                <w:sz w:val="18"/>
                <w:szCs w:val="18"/>
              </w:rPr>
            </w:pPr>
          </w:p>
          <w:p w14:paraId="7CFFC3D4" w14:textId="77777777" w:rsidR="008715BE" w:rsidRPr="00EC75B7" w:rsidRDefault="008715BE">
            <w:pPr>
              <w:pStyle w:val="TableParagraph"/>
              <w:spacing w:before="104"/>
              <w:rPr>
                <w:rFonts w:ascii="Verdana" w:hAnsi="Verdana"/>
                <w:b/>
                <w:sz w:val="18"/>
                <w:szCs w:val="18"/>
              </w:rPr>
            </w:pPr>
          </w:p>
          <w:p w14:paraId="7B089F83" w14:textId="77777777" w:rsidR="008715BE" w:rsidRPr="00EC75B7" w:rsidRDefault="00000000">
            <w:pPr>
              <w:pStyle w:val="TableParagraph"/>
              <w:ind w:left="108" w:right="98"/>
              <w:rPr>
                <w:rFonts w:ascii="Verdana" w:hAnsi="Verdana"/>
                <w:sz w:val="18"/>
                <w:szCs w:val="18"/>
              </w:rPr>
            </w:pPr>
            <w:r w:rsidRPr="00EC75B7">
              <w:rPr>
                <w:rFonts w:ascii="Verdana" w:hAnsi="Verdana"/>
                <w:sz w:val="18"/>
                <w:szCs w:val="18"/>
              </w:rPr>
              <w:t>Rural background noise; current sources: low traffic, agricultural machinery.</w:t>
            </w:r>
          </w:p>
        </w:tc>
        <w:tc>
          <w:tcPr>
            <w:tcW w:w="2472" w:type="dxa"/>
          </w:tcPr>
          <w:p w14:paraId="14DC5C67" w14:textId="77777777" w:rsidR="008715BE" w:rsidRPr="00EC75B7" w:rsidRDefault="008715BE">
            <w:pPr>
              <w:pStyle w:val="TableParagraph"/>
              <w:spacing w:before="7"/>
              <w:rPr>
                <w:rFonts w:ascii="Verdana" w:hAnsi="Verdana"/>
                <w:b/>
                <w:sz w:val="18"/>
                <w:szCs w:val="18"/>
              </w:rPr>
            </w:pPr>
          </w:p>
          <w:p w14:paraId="64D19FFA" w14:textId="77777777" w:rsidR="008715BE" w:rsidRPr="00EC75B7" w:rsidRDefault="00000000">
            <w:pPr>
              <w:pStyle w:val="TableParagraph"/>
              <w:ind w:left="105" w:right="11"/>
              <w:rPr>
                <w:rFonts w:ascii="Verdana" w:hAnsi="Verdana"/>
                <w:sz w:val="18"/>
                <w:szCs w:val="18"/>
              </w:rPr>
            </w:pPr>
            <w:r w:rsidRPr="00EC75B7">
              <w:rPr>
                <w:rFonts w:ascii="Verdana" w:hAnsi="Verdana"/>
                <w:sz w:val="18"/>
                <w:szCs w:val="18"/>
              </w:rPr>
              <w:t>Under construction: heavy machinery, transport; in operation: aerodynamic/mechanical</w:t>
            </w:r>
            <w:r w:rsidRPr="00EC75B7">
              <w:rPr>
                <w:rFonts w:ascii="Verdana" w:hAnsi="Verdana"/>
                <w:spacing w:val="-2"/>
                <w:sz w:val="18"/>
                <w:szCs w:val="18"/>
              </w:rPr>
              <w:t xml:space="preserve"> noise </w:t>
            </w:r>
            <w:r w:rsidRPr="00EC75B7">
              <w:rPr>
                <w:rFonts w:ascii="Verdana" w:hAnsi="Verdana"/>
                <w:sz w:val="18"/>
                <w:szCs w:val="18"/>
              </w:rPr>
              <w:t xml:space="preserve">from turbines + </w:t>
            </w:r>
            <w:r w:rsidRPr="00EC75B7">
              <w:rPr>
                <w:rFonts w:ascii="Verdana" w:hAnsi="Verdana"/>
                <w:spacing w:val="-2"/>
                <w:sz w:val="18"/>
                <w:szCs w:val="18"/>
              </w:rPr>
              <w:t>maintenance</w:t>
            </w:r>
            <w:r w:rsidRPr="00EC75B7">
              <w:rPr>
                <w:rFonts w:ascii="Verdana" w:hAnsi="Verdana"/>
                <w:sz w:val="18"/>
                <w:szCs w:val="18"/>
              </w:rPr>
              <w:t xml:space="preserve"> traffic</w:t>
            </w:r>
            <w:r w:rsidRPr="00EC75B7">
              <w:rPr>
                <w:rFonts w:ascii="Verdana" w:hAnsi="Verdana"/>
                <w:spacing w:val="-2"/>
                <w:sz w:val="18"/>
                <w:szCs w:val="18"/>
              </w:rPr>
              <w:t>.</w:t>
            </w:r>
          </w:p>
        </w:tc>
        <w:tc>
          <w:tcPr>
            <w:tcW w:w="3357" w:type="dxa"/>
          </w:tcPr>
          <w:p w14:paraId="58F31B60" w14:textId="77777777" w:rsidR="008715BE" w:rsidRPr="00EC75B7" w:rsidRDefault="008715BE">
            <w:pPr>
              <w:pStyle w:val="TableParagraph"/>
              <w:rPr>
                <w:rFonts w:ascii="Verdana" w:hAnsi="Verdana"/>
                <w:b/>
                <w:sz w:val="18"/>
                <w:szCs w:val="18"/>
              </w:rPr>
            </w:pPr>
          </w:p>
          <w:p w14:paraId="016E1EC0" w14:textId="77777777" w:rsidR="008715BE" w:rsidRPr="00EC75B7" w:rsidRDefault="008715BE">
            <w:pPr>
              <w:pStyle w:val="TableParagraph"/>
              <w:spacing w:before="104"/>
              <w:rPr>
                <w:rFonts w:ascii="Verdana" w:hAnsi="Verdana"/>
                <w:b/>
                <w:sz w:val="18"/>
                <w:szCs w:val="18"/>
              </w:rPr>
            </w:pPr>
          </w:p>
          <w:p w14:paraId="789E5C4D"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Execution: temporary/local; operation: permanent local, with the need to comply with limits at receivers.</w:t>
            </w:r>
          </w:p>
        </w:tc>
        <w:tc>
          <w:tcPr>
            <w:tcW w:w="2219" w:type="dxa"/>
          </w:tcPr>
          <w:p w14:paraId="6E47EAC9" w14:textId="77777777" w:rsidR="008715BE" w:rsidRPr="00EC75B7" w:rsidRDefault="00000000">
            <w:pPr>
              <w:pStyle w:val="TableParagraph"/>
              <w:spacing w:before="106"/>
              <w:ind w:left="107" w:right="103"/>
              <w:rPr>
                <w:rFonts w:ascii="Verdana" w:hAnsi="Verdana"/>
                <w:sz w:val="18"/>
                <w:szCs w:val="18"/>
              </w:rPr>
            </w:pPr>
            <w:r w:rsidRPr="00EC75B7">
              <w:rPr>
                <w:rFonts w:ascii="Verdana" w:hAnsi="Verdana"/>
                <w:sz w:val="18"/>
                <w:szCs w:val="18"/>
              </w:rPr>
              <w:t xml:space="preserve">Nearby homes/localities, sensitive fauna (during </w:t>
            </w:r>
            <w:r w:rsidRPr="00EC75B7">
              <w:rPr>
                <w:rFonts w:ascii="Verdana" w:hAnsi="Verdana"/>
                <w:spacing w:val="-2"/>
                <w:sz w:val="18"/>
                <w:szCs w:val="18"/>
              </w:rPr>
              <w:t xml:space="preserve">construction/operation), </w:t>
            </w:r>
            <w:r w:rsidRPr="00EC75B7">
              <w:rPr>
                <w:rFonts w:ascii="Verdana" w:hAnsi="Verdana"/>
                <w:sz w:val="18"/>
                <w:szCs w:val="18"/>
              </w:rPr>
              <w:t>including cross-border receptors if nearby.</w:t>
            </w:r>
          </w:p>
        </w:tc>
        <w:tc>
          <w:tcPr>
            <w:tcW w:w="2541" w:type="dxa"/>
          </w:tcPr>
          <w:p w14:paraId="58070D4A" w14:textId="77777777" w:rsidR="008715BE" w:rsidRPr="00EC75B7" w:rsidRDefault="00000000">
            <w:pPr>
              <w:pStyle w:val="TableParagraph"/>
              <w:spacing w:before="8"/>
              <w:ind w:left="108" w:right="133"/>
              <w:rPr>
                <w:rFonts w:ascii="Verdana" w:hAnsi="Verdana"/>
                <w:sz w:val="18"/>
                <w:szCs w:val="18"/>
              </w:rPr>
            </w:pPr>
            <w:r w:rsidRPr="00EC75B7">
              <w:rPr>
                <w:rFonts w:ascii="Verdana" w:hAnsi="Verdana"/>
                <w:sz w:val="18"/>
                <w:szCs w:val="18"/>
              </w:rPr>
              <w:t xml:space="preserve">Cumulation with other wind farms/industrial installations and road traffic; cross-border – need for monitoring at the border (according to the conditions communicated by the </w:t>
            </w:r>
            <w:r w:rsidRPr="00EC75B7">
              <w:rPr>
                <w:rFonts w:ascii="Verdana" w:hAnsi="Verdana"/>
                <w:spacing w:val="-2"/>
                <w:sz w:val="18"/>
                <w:szCs w:val="18"/>
              </w:rPr>
              <w:t>Bulgarian</w:t>
            </w:r>
            <w:r w:rsidRPr="00EC75B7">
              <w:rPr>
                <w:rFonts w:ascii="Verdana" w:hAnsi="Verdana"/>
                <w:sz w:val="18"/>
                <w:szCs w:val="18"/>
              </w:rPr>
              <w:t xml:space="preserve"> side</w:t>
            </w:r>
            <w:r w:rsidRPr="00EC75B7">
              <w:rPr>
                <w:rFonts w:ascii="Verdana" w:hAnsi="Verdana"/>
                <w:spacing w:val="-2"/>
                <w:sz w:val="18"/>
                <w:szCs w:val="18"/>
              </w:rPr>
              <w:t>).</w:t>
            </w:r>
          </w:p>
        </w:tc>
      </w:tr>
      <w:tr w:rsidR="008715BE" w:rsidRPr="00EC75B7" w14:paraId="1D7264B2" w14:textId="77777777">
        <w:trPr>
          <w:trHeight w:val="783"/>
        </w:trPr>
        <w:tc>
          <w:tcPr>
            <w:tcW w:w="1548" w:type="dxa"/>
          </w:tcPr>
          <w:p w14:paraId="08549096" w14:textId="77777777" w:rsidR="008715BE" w:rsidRPr="00EC75B7" w:rsidRDefault="008715BE">
            <w:pPr>
              <w:pStyle w:val="TableParagraph"/>
              <w:spacing w:before="7"/>
              <w:rPr>
                <w:rFonts w:ascii="Verdana" w:hAnsi="Verdana"/>
                <w:b/>
                <w:sz w:val="18"/>
                <w:szCs w:val="18"/>
              </w:rPr>
            </w:pPr>
          </w:p>
          <w:p w14:paraId="2F3B7DAB" w14:textId="77777777" w:rsidR="008715BE" w:rsidRPr="00EC75B7" w:rsidRDefault="00000000">
            <w:pPr>
              <w:pStyle w:val="TableParagraph"/>
              <w:ind w:left="107"/>
              <w:rPr>
                <w:rFonts w:ascii="Verdana" w:hAnsi="Verdana"/>
                <w:b/>
                <w:sz w:val="18"/>
                <w:szCs w:val="18"/>
              </w:rPr>
            </w:pPr>
            <w:r w:rsidRPr="00EC75B7">
              <w:rPr>
                <w:rFonts w:ascii="Verdana" w:hAnsi="Verdana"/>
                <w:b/>
                <w:sz w:val="18"/>
                <w:szCs w:val="18"/>
              </w:rPr>
              <w:t xml:space="preserve">Soil and </w:t>
            </w:r>
            <w:r w:rsidRPr="00EC75B7">
              <w:rPr>
                <w:rFonts w:ascii="Verdana" w:hAnsi="Verdana"/>
                <w:b/>
                <w:spacing w:val="-2"/>
                <w:sz w:val="18"/>
                <w:szCs w:val="18"/>
              </w:rPr>
              <w:t>subsoil</w:t>
            </w:r>
          </w:p>
        </w:tc>
        <w:tc>
          <w:tcPr>
            <w:tcW w:w="2419" w:type="dxa"/>
          </w:tcPr>
          <w:p w14:paraId="1850E549"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Soils used for agriculture; </w:t>
            </w:r>
            <w:r w:rsidRPr="00EC75B7">
              <w:rPr>
                <w:rFonts w:ascii="Verdana" w:hAnsi="Verdana"/>
                <w:spacing w:val="-2"/>
                <w:sz w:val="18"/>
                <w:szCs w:val="18"/>
              </w:rPr>
              <w:t xml:space="preserve">susceptible to </w:t>
            </w:r>
            <w:r w:rsidRPr="00EC75B7">
              <w:rPr>
                <w:rFonts w:ascii="Verdana" w:hAnsi="Verdana"/>
                <w:sz w:val="18"/>
                <w:szCs w:val="18"/>
              </w:rPr>
              <w:t>local</w:t>
            </w:r>
            <w:r w:rsidRPr="00EC75B7">
              <w:rPr>
                <w:rFonts w:ascii="Verdana" w:hAnsi="Verdana"/>
                <w:spacing w:val="-2"/>
                <w:sz w:val="18"/>
                <w:szCs w:val="18"/>
              </w:rPr>
              <w:t xml:space="preserve"> compaction </w:t>
            </w:r>
            <w:r w:rsidRPr="00EC75B7">
              <w:rPr>
                <w:rFonts w:ascii="Verdana" w:hAnsi="Verdana"/>
                <w:sz w:val="18"/>
                <w:szCs w:val="18"/>
              </w:rPr>
              <w:t>by traffic/machinery.</w:t>
            </w:r>
          </w:p>
        </w:tc>
        <w:tc>
          <w:tcPr>
            <w:tcW w:w="2472" w:type="dxa"/>
          </w:tcPr>
          <w:p w14:paraId="7278E507" w14:textId="77777777" w:rsidR="008715BE" w:rsidRPr="00EC75B7" w:rsidRDefault="00000000">
            <w:pPr>
              <w:pStyle w:val="TableParagraph"/>
              <w:spacing w:before="109"/>
              <w:ind w:left="105" w:right="151"/>
              <w:rPr>
                <w:rFonts w:ascii="Verdana" w:hAnsi="Verdana"/>
                <w:sz w:val="18"/>
                <w:szCs w:val="18"/>
              </w:rPr>
            </w:pPr>
            <w:r w:rsidRPr="00EC75B7">
              <w:rPr>
                <w:rFonts w:ascii="Verdana" w:hAnsi="Verdana"/>
                <w:sz w:val="18"/>
                <w:szCs w:val="18"/>
              </w:rPr>
              <w:t xml:space="preserve">Stripping, excavation, </w:t>
            </w:r>
            <w:r w:rsidRPr="00EC75B7">
              <w:rPr>
                <w:rFonts w:ascii="Verdana" w:hAnsi="Verdana"/>
                <w:spacing w:val="-2"/>
                <w:sz w:val="18"/>
                <w:szCs w:val="18"/>
              </w:rPr>
              <w:t>foundations, roads/platforms; risk of</w:t>
            </w:r>
          </w:p>
        </w:tc>
        <w:tc>
          <w:tcPr>
            <w:tcW w:w="3357" w:type="dxa"/>
          </w:tcPr>
          <w:p w14:paraId="22F730A3" w14:textId="77777777" w:rsidR="008715BE" w:rsidRPr="00EC75B7" w:rsidRDefault="00000000">
            <w:pPr>
              <w:pStyle w:val="TableParagraph"/>
              <w:spacing w:before="109"/>
              <w:ind w:left="108"/>
              <w:rPr>
                <w:rFonts w:ascii="Verdana" w:hAnsi="Verdana"/>
                <w:sz w:val="18"/>
                <w:szCs w:val="18"/>
              </w:rPr>
            </w:pPr>
            <w:r w:rsidRPr="00EC75B7">
              <w:rPr>
                <w:rFonts w:ascii="Verdana" w:hAnsi="Verdana"/>
                <w:sz w:val="18"/>
                <w:szCs w:val="18"/>
              </w:rPr>
              <w:t>Permanent (infrastructure footprints) and temporary (organization/ditches); accidental risk</w:t>
            </w:r>
          </w:p>
        </w:tc>
        <w:tc>
          <w:tcPr>
            <w:tcW w:w="2219" w:type="dxa"/>
          </w:tcPr>
          <w:p w14:paraId="001190B2" w14:textId="77777777" w:rsidR="008715BE" w:rsidRPr="00EC75B7" w:rsidRDefault="008715BE">
            <w:pPr>
              <w:pStyle w:val="TableParagraph"/>
              <w:spacing w:before="9"/>
              <w:rPr>
                <w:rFonts w:ascii="Verdana" w:hAnsi="Verdana"/>
                <w:b/>
                <w:sz w:val="18"/>
                <w:szCs w:val="18"/>
              </w:rPr>
            </w:pPr>
          </w:p>
          <w:p w14:paraId="3CE8A7F9" w14:textId="77777777" w:rsidR="008715BE" w:rsidRPr="00EC75B7" w:rsidRDefault="00000000">
            <w:pPr>
              <w:pStyle w:val="TableParagraph"/>
              <w:ind w:left="107" w:right="103"/>
              <w:rPr>
                <w:rFonts w:ascii="Verdana" w:hAnsi="Verdana"/>
                <w:sz w:val="18"/>
                <w:szCs w:val="18"/>
              </w:rPr>
            </w:pPr>
            <w:r w:rsidRPr="00EC75B7">
              <w:rPr>
                <w:rFonts w:ascii="Verdana" w:hAnsi="Verdana"/>
                <w:sz w:val="18"/>
                <w:szCs w:val="18"/>
              </w:rPr>
              <w:t xml:space="preserve">Agricultural soil, </w:t>
            </w:r>
            <w:r w:rsidRPr="00EC75B7">
              <w:rPr>
                <w:rFonts w:ascii="Verdana" w:hAnsi="Verdana"/>
                <w:spacing w:val="-2"/>
                <w:sz w:val="18"/>
                <w:szCs w:val="18"/>
              </w:rPr>
              <w:t>soil</w:t>
            </w:r>
            <w:r w:rsidRPr="00EC75B7">
              <w:rPr>
                <w:rFonts w:ascii="Verdana" w:hAnsi="Verdana"/>
                <w:sz w:val="18"/>
                <w:szCs w:val="18"/>
              </w:rPr>
              <w:t xml:space="preserve"> biota</w:t>
            </w:r>
            <w:r w:rsidRPr="00EC75B7">
              <w:rPr>
                <w:rFonts w:ascii="Verdana" w:hAnsi="Verdana"/>
                <w:spacing w:val="-2"/>
                <w:sz w:val="18"/>
                <w:szCs w:val="18"/>
              </w:rPr>
              <w:t>;</w:t>
            </w:r>
          </w:p>
        </w:tc>
        <w:tc>
          <w:tcPr>
            <w:tcW w:w="2541" w:type="dxa"/>
          </w:tcPr>
          <w:p w14:paraId="4480D4D9" w14:textId="77777777" w:rsidR="008715BE" w:rsidRPr="00EC75B7" w:rsidRDefault="00000000">
            <w:pPr>
              <w:pStyle w:val="TableParagraph"/>
              <w:spacing w:before="109"/>
              <w:ind w:left="108" w:right="133"/>
              <w:rPr>
                <w:rFonts w:ascii="Verdana" w:hAnsi="Verdana"/>
                <w:sz w:val="18"/>
                <w:szCs w:val="18"/>
              </w:rPr>
            </w:pPr>
            <w:r w:rsidRPr="00EC75B7">
              <w:rPr>
                <w:rFonts w:ascii="Verdana" w:hAnsi="Verdana"/>
                <w:sz w:val="18"/>
                <w:szCs w:val="18"/>
              </w:rPr>
              <w:t>Accumulation with other land uses/infrastructure and agricultural pressures</w:t>
            </w:r>
          </w:p>
        </w:tc>
      </w:tr>
    </w:tbl>
    <w:p w14:paraId="488DCEAA" w14:textId="77777777" w:rsidR="008715BE" w:rsidRPr="00EC75B7" w:rsidRDefault="008715BE">
      <w:pPr>
        <w:pStyle w:val="TableParagraph"/>
        <w:rPr>
          <w:rFonts w:ascii="Verdana" w:hAnsi="Verdana"/>
          <w:sz w:val="18"/>
          <w:szCs w:val="18"/>
        </w:rPr>
        <w:sectPr w:rsidR="008715BE" w:rsidRPr="00EC75B7">
          <w:headerReference w:type="default" r:id="rId228"/>
          <w:footerReference w:type="default" r:id="rId229"/>
          <w:pgSz w:w="16840" w:h="11910" w:orient="landscape"/>
          <w:pgMar w:top="1280" w:right="1275" w:bottom="1020" w:left="708" w:header="766" w:footer="824" w:gutter="0"/>
          <w:cols w:space="708"/>
        </w:sectPr>
      </w:pPr>
    </w:p>
    <w:p w14:paraId="033E2CF9" w14:textId="77777777" w:rsidR="008715BE" w:rsidRPr="00EC75B7" w:rsidRDefault="008715BE">
      <w:pPr>
        <w:pStyle w:val="BodyText"/>
        <w:spacing w:before="5"/>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8715BE" w:rsidRPr="00EC75B7" w14:paraId="7E6409CF" w14:textId="77777777">
        <w:trPr>
          <w:trHeight w:val="1172"/>
        </w:trPr>
        <w:tc>
          <w:tcPr>
            <w:tcW w:w="1548" w:type="dxa"/>
            <w:shd w:val="clear" w:color="auto" w:fill="00AFEF"/>
          </w:tcPr>
          <w:p w14:paraId="034FFE70" w14:textId="77777777" w:rsidR="008715BE" w:rsidRPr="00EC75B7" w:rsidRDefault="008715BE">
            <w:pPr>
              <w:pStyle w:val="TableParagraph"/>
              <w:spacing w:before="7"/>
              <w:rPr>
                <w:rFonts w:ascii="Verdana" w:hAnsi="Verdana"/>
                <w:b/>
                <w:sz w:val="18"/>
                <w:szCs w:val="18"/>
              </w:rPr>
            </w:pPr>
          </w:p>
          <w:p w14:paraId="2EE0C816" w14:textId="77777777" w:rsidR="008715BE" w:rsidRPr="00EC75B7" w:rsidRDefault="00000000">
            <w:pPr>
              <w:pStyle w:val="TableParagraph"/>
              <w:ind w:left="21"/>
              <w:jc w:val="center"/>
              <w:rPr>
                <w:rFonts w:ascii="Verdana" w:hAnsi="Verdana"/>
                <w:b/>
                <w:sz w:val="18"/>
                <w:szCs w:val="18"/>
              </w:rPr>
            </w:pPr>
            <w:r w:rsidRPr="00EC75B7">
              <w:rPr>
                <w:rFonts w:ascii="Verdana" w:hAnsi="Verdana"/>
                <w:b/>
                <w:color w:val="FFFFFF"/>
                <w:spacing w:val="-2"/>
                <w:sz w:val="18"/>
                <w:szCs w:val="18"/>
              </w:rPr>
              <w:t>Environmental</w:t>
            </w:r>
            <w:r w:rsidRPr="00EC75B7">
              <w:rPr>
                <w:rFonts w:ascii="Verdana" w:hAnsi="Verdana"/>
                <w:b/>
                <w:color w:val="FFFFFF"/>
                <w:sz w:val="18"/>
                <w:szCs w:val="18"/>
              </w:rPr>
              <w:t xml:space="preserve"> component/aspect</w:t>
            </w:r>
          </w:p>
        </w:tc>
        <w:tc>
          <w:tcPr>
            <w:tcW w:w="2419" w:type="dxa"/>
            <w:shd w:val="clear" w:color="auto" w:fill="00AFEF"/>
          </w:tcPr>
          <w:p w14:paraId="0068C3B7" w14:textId="77777777" w:rsidR="008715BE" w:rsidRPr="00EC75B7" w:rsidRDefault="008715BE">
            <w:pPr>
              <w:pStyle w:val="TableParagraph"/>
              <w:rPr>
                <w:rFonts w:ascii="Verdana" w:hAnsi="Verdana"/>
                <w:b/>
                <w:sz w:val="18"/>
                <w:szCs w:val="18"/>
              </w:rPr>
            </w:pPr>
          </w:p>
          <w:p w14:paraId="4E28F981" w14:textId="77777777" w:rsidR="008715BE" w:rsidRPr="00EC75B7" w:rsidRDefault="008715BE">
            <w:pPr>
              <w:pStyle w:val="TableParagraph"/>
              <w:spacing w:before="6"/>
              <w:rPr>
                <w:rFonts w:ascii="Verdana" w:hAnsi="Verdana"/>
                <w:b/>
                <w:sz w:val="18"/>
                <w:szCs w:val="18"/>
              </w:rPr>
            </w:pPr>
          </w:p>
          <w:p w14:paraId="14F8A248" w14:textId="77777777" w:rsidR="008715BE" w:rsidRPr="00EC75B7" w:rsidRDefault="00000000">
            <w:pPr>
              <w:pStyle w:val="TableParagraph"/>
              <w:ind w:left="504"/>
              <w:rPr>
                <w:rFonts w:ascii="Verdana" w:hAnsi="Verdana"/>
                <w:b/>
                <w:sz w:val="18"/>
                <w:szCs w:val="18"/>
              </w:rPr>
            </w:pPr>
            <w:r w:rsidRPr="00EC75B7">
              <w:rPr>
                <w:rFonts w:ascii="Verdana" w:hAnsi="Verdana"/>
                <w:b/>
                <w:color w:val="FFFFFF"/>
                <w:spacing w:val="-2"/>
                <w:sz w:val="18"/>
                <w:szCs w:val="18"/>
              </w:rPr>
              <w:t xml:space="preserve">Current </w:t>
            </w:r>
            <w:r w:rsidRPr="00EC75B7">
              <w:rPr>
                <w:rFonts w:ascii="Verdana" w:hAnsi="Verdana"/>
                <w:b/>
                <w:color w:val="FFFFFF"/>
                <w:sz w:val="18"/>
                <w:szCs w:val="18"/>
              </w:rPr>
              <w:t>situation</w:t>
            </w:r>
          </w:p>
        </w:tc>
        <w:tc>
          <w:tcPr>
            <w:tcW w:w="2472" w:type="dxa"/>
            <w:shd w:val="clear" w:color="auto" w:fill="00AFEF"/>
          </w:tcPr>
          <w:p w14:paraId="217672E8" w14:textId="77777777" w:rsidR="008715BE" w:rsidRPr="00EC75B7" w:rsidRDefault="008715BE">
            <w:pPr>
              <w:pStyle w:val="TableParagraph"/>
              <w:spacing w:before="105"/>
              <w:rPr>
                <w:rFonts w:ascii="Verdana" w:hAnsi="Verdana"/>
                <w:b/>
                <w:sz w:val="18"/>
                <w:szCs w:val="18"/>
              </w:rPr>
            </w:pPr>
          </w:p>
          <w:p w14:paraId="58230473" w14:textId="77777777" w:rsidR="008715BE" w:rsidRPr="00EC75B7" w:rsidRDefault="00000000">
            <w:pPr>
              <w:pStyle w:val="TableParagraph"/>
              <w:ind w:left="920" w:right="151" w:hanging="531"/>
              <w:rPr>
                <w:rFonts w:ascii="Verdana" w:hAnsi="Verdana"/>
                <w:b/>
                <w:sz w:val="18"/>
                <w:szCs w:val="18"/>
              </w:rPr>
            </w:pPr>
            <w:r w:rsidRPr="00EC75B7">
              <w:rPr>
                <w:rFonts w:ascii="Verdana" w:hAnsi="Verdana"/>
                <w:b/>
                <w:color w:val="FFFFFF"/>
                <w:sz w:val="18"/>
                <w:szCs w:val="18"/>
              </w:rPr>
              <w:t xml:space="preserve">Effects generated by </w:t>
            </w:r>
            <w:r w:rsidRPr="00EC75B7">
              <w:rPr>
                <w:rFonts w:ascii="Verdana" w:hAnsi="Verdana"/>
                <w:b/>
                <w:color w:val="FFFFFF"/>
                <w:spacing w:val="-2"/>
                <w:sz w:val="18"/>
                <w:szCs w:val="18"/>
              </w:rPr>
              <w:t>the project</w:t>
            </w:r>
          </w:p>
        </w:tc>
        <w:tc>
          <w:tcPr>
            <w:tcW w:w="3357" w:type="dxa"/>
            <w:shd w:val="clear" w:color="auto" w:fill="00AFEF"/>
          </w:tcPr>
          <w:p w14:paraId="526E8545" w14:textId="77777777" w:rsidR="008715BE" w:rsidRPr="00EC75B7" w:rsidRDefault="008715BE">
            <w:pPr>
              <w:pStyle w:val="TableParagraph"/>
              <w:rPr>
                <w:rFonts w:ascii="Verdana" w:hAnsi="Verdana"/>
                <w:b/>
                <w:sz w:val="18"/>
                <w:szCs w:val="18"/>
              </w:rPr>
            </w:pPr>
          </w:p>
          <w:p w14:paraId="74FB8B91" w14:textId="77777777" w:rsidR="008715BE" w:rsidRPr="00EC75B7" w:rsidRDefault="008715BE">
            <w:pPr>
              <w:pStyle w:val="TableParagraph"/>
              <w:spacing w:before="6"/>
              <w:rPr>
                <w:rFonts w:ascii="Verdana" w:hAnsi="Verdana"/>
                <w:b/>
                <w:sz w:val="18"/>
                <w:szCs w:val="18"/>
              </w:rPr>
            </w:pPr>
          </w:p>
          <w:p w14:paraId="71264244" w14:textId="77777777" w:rsidR="008715BE" w:rsidRPr="00EC75B7" w:rsidRDefault="00000000">
            <w:pPr>
              <w:pStyle w:val="TableParagraph"/>
              <w:ind w:left="418"/>
              <w:rPr>
                <w:rFonts w:ascii="Verdana" w:hAnsi="Verdana"/>
                <w:b/>
                <w:sz w:val="18"/>
                <w:szCs w:val="18"/>
              </w:rPr>
            </w:pPr>
            <w:r w:rsidRPr="00EC75B7">
              <w:rPr>
                <w:rFonts w:ascii="Verdana" w:hAnsi="Verdana"/>
                <w:b/>
                <w:color w:val="FFFFFF"/>
                <w:sz w:val="18"/>
                <w:szCs w:val="18"/>
              </w:rPr>
              <w:t xml:space="preserve">Impact generated by the </w:t>
            </w:r>
            <w:r w:rsidRPr="00EC75B7">
              <w:rPr>
                <w:rFonts w:ascii="Verdana" w:hAnsi="Verdana"/>
                <w:b/>
                <w:color w:val="FFFFFF"/>
                <w:spacing w:val="-2"/>
                <w:sz w:val="18"/>
                <w:szCs w:val="18"/>
              </w:rPr>
              <w:t>project</w:t>
            </w:r>
          </w:p>
        </w:tc>
        <w:tc>
          <w:tcPr>
            <w:tcW w:w="2219" w:type="dxa"/>
            <w:shd w:val="clear" w:color="auto" w:fill="00AFEF"/>
          </w:tcPr>
          <w:p w14:paraId="63C93000" w14:textId="77777777" w:rsidR="008715BE" w:rsidRPr="00EC75B7" w:rsidRDefault="008715BE">
            <w:pPr>
              <w:pStyle w:val="TableParagraph"/>
              <w:spacing w:before="105"/>
              <w:rPr>
                <w:rFonts w:ascii="Verdana" w:hAnsi="Verdana"/>
                <w:b/>
                <w:sz w:val="18"/>
                <w:szCs w:val="18"/>
              </w:rPr>
            </w:pPr>
          </w:p>
          <w:p w14:paraId="38434F3C" w14:textId="77777777" w:rsidR="008715BE" w:rsidRPr="00EC75B7" w:rsidRDefault="00000000">
            <w:pPr>
              <w:pStyle w:val="TableParagraph"/>
              <w:ind w:left="767" w:right="103" w:hanging="519"/>
              <w:rPr>
                <w:rFonts w:ascii="Verdana" w:hAnsi="Verdana"/>
                <w:b/>
                <w:sz w:val="18"/>
                <w:szCs w:val="18"/>
              </w:rPr>
            </w:pPr>
            <w:r w:rsidRPr="00EC75B7">
              <w:rPr>
                <w:rFonts w:ascii="Verdana" w:hAnsi="Verdana"/>
                <w:b/>
                <w:color w:val="FFFFFF"/>
                <w:spacing w:val="-2"/>
                <w:sz w:val="18"/>
                <w:szCs w:val="18"/>
              </w:rPr>
              <w:t>Potentially affected recipients</w:t>
            </w:r>
          </w:p>
        </w:tc>
        <w:tc>
          <w:tcPr>
            <w:tcW w:w="2541" w:type="dxa"/>
            <w:shd w:val="clear" w:color="auto" w:fill="00AFEF"/>
          </w:tcPr>
          <w:p w14:paraId="09438578" w14:textId="77777777" w:rsidR="008715BE" w:rsidRPr="00EC75B7" w:rsidRDefault="00000000">
            <w:pPr>
              <w:pStyle w:val="TableParagraph"/>
              <w:spacing w:before="8"/>
              <w:ind w:left="194" w:right="170" w:hanging="2"/>
              <w:jc w:val="center"/>
              <w:rPr>
                <w:rFonts w:ascii="Verdana" w:hAnsi="Verdana"/>
                <w:b/>
                <w:sz w:val="18"/>
                <w:szCs w:val="18"/>
              </w:rPr>
            </w:pPr>
            <w:r w:rsidRPr="00EC75B7">
              <w:rPr>
                <w:rFonts w:ascii="Verdana" w:hAnsi="Verdana"/>
                <w:b/>
                <w:color w:val="FFFFFF"/>
                <w:spacing w:val="-2"/>
                <w:sz w:val="18"/>
                <w:szCs w:val="18"/>
              </w:rPr>
              <w:t xml:space="preserve">Characteristics </w:t>
            </w:r>
            <w:r w:rsidRPr="00EC75B7">
              <w:rPr>
                <w:rFonts w:ascii="Verdana" w:hAnsi="Verdana"/>
                <w:b/>
                <w:color w:val="FFFFFF"/>
                <w:sz w:val="18"/>
                <w:szCs w:val="18"/>
              </w:rPr>
              <w:t xml:space="preserve">of projects with which the analyzed project may generate </w:t>
            </w:r>
            <w:r w:rsidRPr="00EC75B7">
              <w:rPr>
                <w:rFonts w:ascii="Verdana" w:hAnsi="Verdana"/>
                <w:b/>
                <w:color w:val="FFFFFF"/>
                <w:spacing w:val="-2"/>
                <w:sz w:val="18"/>
                <w:szCs w:val="18"/>
              </w:rPr>
              <w:t>cumulative</w:t>
            </w:r>
            <w:r w:rsidRPr="00EC75B7">
              <w:rPr>
                <w:rFonts w:ascii="Verdana" w:hAnsi="Verdana"/>
                <w:b/>
                <w:color w:val="FFFFFF"/>
                <w:sz w:val="18"/>
                <w:szCs w:val="18"/>
              </w:rPr>
              <w:t xml:space="preserve"> impact</w:t>
            </w:r>
          </w:p>
        </w:tc>
      </w:tr>
      <w:tr w:rsidR="008715BE" w:rsidRPr="00EC75B7" w14:paraId="635DE14C" w14:textId="77777777">
        <w:trPr>
          <w:trHeight w:val="589"/>
        </w:trPr>
        <w:tc>
          <w:tcPr>
            <w:tcW w:w="1548" w:type="dxa"/>
          </w:tcPr>
          <w:p w14:paraId="5ED93366" w14:textId="77777777" w:rsidR="008715BE" w:rsidRPr="00EC75B7" w:rsidRDefault="008715BE">
            <w:pPr>
              <w:pStyle w:val="TableParagraph"/>
              <w:rPr>
                <w:rFonts w:ascii="Verdana" w:hAnsi="Verdana"/>
                <w:sz w:val="18"/>
                <w:szCs w:val="18"/>
              </w:rPr>
            </w:pPr>
          </w:p>
        </w:tc>
        <w:tc>
          <w:tcPr>
            <w:tcW w:w="2419" w:type="dxa"/>
          </w:tcPr>
          <w:p w14:paraId="4D95AACB" w14:textId="77777777" w:rsidR="008715BE" w:rsidRPr="00EC75B7" w:rsidRDefault="008715BE">
            <w:pPr>
              <w:pStyle w:val="TableParagraph"/>
              <w:rPr>
                <w:rFonts w:ascii="Verdana" w:hAnsi="Verdana"/>
                <w:sz w:val="18"/>
                <w:szCs w:val="18"/>
              </w:rPr>
            </w:pPr>
          </w:p>
        </w:tc>
        <w:tc>
          <w:tcPr>
            <w:tcW w:w="2472" w:type="dxa"/>
          </w:tcPr>
          <w:p w14:paraId="01C60651" w14:textId="77777777" w:rsidR="008715BE" w:rsidRPr="00EC75B7" w:rsidRDefault="00000000">
            <w:pPr>
              <w:pStyle w:val="TableParagraph"/>
              <w:spacing w:before="8" w:line="195" w:lineRule="exact"/>
              <w:ind w:left="105"/>
              <w:rPr>
                <w:rFonts w:ascii="Verdana" w:hAnsi="Verdana"/>
                <w:sz w:val="18"/>
                <w:szCs w:val="18"/>
              </w:rPr>
            </w:pPr>
            <w:r w:rsidRPr="00EC75B7">
              <w:rPr>
                <w:rFonts w:ascii="Verdana" w:hAnsi="Verdana"/>
                <w:spacing w:val="-2"/>
                <w:sz w:val="18"/>
                <w:szCs w:val="18"/>
              </w:rPr>
              <w:t xml:space="preserve">accidental </w:t>
            </w:r>
            <w:r w:rsidRPr="00EC75B7">
              <w:rPr>
                <w:rFonts w:ascii="Verdana" w:hAnsi="Verdana"/>
                <w:sz w:val="18"/>
                <w:szCs w:val="18"/>
              </w:rPr>
              <w:t>spills</w:t>
            </w:r>
            <w:r w:rsidRPr="00EC75B7">
              <w:rPr>
                <w:rFonts w:ascii="Verdana" w:hAnsi="Verdana"/>
                <w:spacing w:val="-2"/>
                <w:sz w:val="18"/>
                <w:szCs w:val="18"/>
              </w:rPr>
              <w:t>;</w:t>
            </w:r>
          </w:p>
          <w:p w14:paraId="24ECF95D"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 xml:space="preserve">temporary </w:t>
            </w:r>
            <w:r w:rsidRPr="00EC75B7">
              <w:rPr>
                <w:rFonts w:ascii="Verdana" w:hAnsi="Verdana"/>
                <w:sz w:val="18"/>
                <w:szCs w:val="18"/>
              </w:rPr>
              <w:t>storage</w:t>
            </w:r>
            <w:r w:rsidRPr="00EC75B7">
              <w:rPr>
                <w:rFonts w:ascii="Verdana" w:hAnsi="Verdana"/>
                <w:spacing w:val="-2"/>
                <w:sz w:val="18"/>
                <w:szCs w:val="18"/>
              </w:rPr>
              <w:t>.</w:t>
            </w:r>
          </w:p>
        </w:tc>
        <w:tc>
          <w:tcPr>
            <w:tcW w:w="3357" w:type="dxa"/>
          </w:tcPr>
          <w:p w14:paraId="32273782" w14:textId="77777777" w:rsidR="008715BE" w:rsidRPr="00EC75B7" w:rsidRDefault="00000000">
            <w:pPr>
              <w:pStyle w:val="TableParagraph"/>
              <w:spacing w:before="8"/>
              <w:ind w:left="108" w:right="210"/>
              <w:rPr>
                <w:rFonts w:ascii="Verdana" w:hAnsi="Verdana"/>
                <w:sz w:val="18"/>
                <w:szCs w:val="18"/>
              </w:rPr>
            </w:pPr>
            <w:r w:rsidRPr="00EC75B7">
              <w:rPr>
                <w:rFonts w:ascii="Verdana" w:hAnsi="Verdana"/>
                <w:spacing w:val="-2"/>
                <w:sz w:val="18"/>
                <w:szCs w:val="18"/>
              </w:rPr>
              <w:t xml:space="preserve">local (oil pollution) manageable </w:t>
            </w:r>
            <w:r w:rsidRPr="00EC75B7">
              <w:rPr>
                <w:rFonts w:ascii="Verdana" w:hAnsi="Verdana"/>
                <w:sz w:val="18"/>
                <w:szCs w:val="18"/>
              </w:rPr>
              <w:t>through measures.</w:t>
            </w:r>
          </w:p>
        </w:tc>
        <w:tc>
          <w:tcPr>
            <w:tcW w:w="2219" w:type="dxa"/>
          </w:tcPr>
          <w:p w14:paraId="25895516"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pacing w:val="-2"/>
                <w:sz w:val="18"/>
                <w:szCs w:val="18"/>
              </w:rPr>
              <w:t>owners/users</w:t>
            </w:r>
          </w:p>
          <w:p w14:paraId="2092052F"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agricultural.</w:t>
            </w:r>
          </w:p>
        </w:tc>
        <w:tc>
          <w:tcPr>
            <w:tcW w:w="2541" w:type="dxa"/>
          </w:tcPr>
          <w:p w14:paraId="1CDDADE6"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pacing w:val="-2"/>
                <w:sz w:val="18"/>
                <w:szCs w:val="18"/>
              </w:rPr>
              <w:t xml:space="preserve">(compaction/erosion), </w:t>
            </w:r>
            <w:r w:rsidRPr="00EC75B7">
              <w:rPr>
                <w:rFonts w:ascii="Verdana" w:hAnsi="Verdana"/>
                <w:spacing w:val="-4"/>
                <w:sz w:val="18"/>
                <w:szCs w:val="18"/>
              </w:rPr>
              <w:t>plus</w:t>
            </w:r>
          </w:p>
          <w:p w14:paraId="7F651184"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parallel construction </w:t>
            </w:r>
            <w:r w:rsidRPr="00EC75B7">
              <w:rPr>
                <w:rFonts w:ascii="Verdana" w:hAnsi="Verdana"/>
                <w:sz w:val="18"/>
                <w:szCs w:val="18"/>
              </w:rPr>
              <w:t>sites</w:t>
            </w:r>
            <w:r w:rsidRPr="00EC75B7">
              <w:rPr>
                <w:rFonts w:ascii="Verdana" w:hAnsi="Verdana"/>
                <w:spacing w:val="-2"/>
                <w:sz w:val="18"/>
                <w:szCs w:val="18"/>
              </w:rPr>
              <w:t>.</w:t>
            </w:r>
          </w:p>
        </w:tc>
      </w:tr>
      <w:tr w:rsidR="008715BE" w:rsidRPr="00EC75B7" w14:paraId="29324691" w14:textId="77777777">
        <w:trPr>
          <w:trHeight w:val="1365"/>
        </w:trPr>
        <w:tc>
          <w:tcPr>
            <w:tcW w:w="1548" w:type="dxa"/>
          </w:tcPr>
          <w:p w14:paraId="239913A0" w14:textId="77777777" w:rsidR="008715BE" w:rsidRPr="00EC75B7" w:rsidRDefault="008715BE">
            <w:pPr>
              <w:pStyle w:val="TableParagraph"/>
              <w:spacing w:before="103"/>
              <w:rPr>
                <w:rFonts w:ascii="Verdana" w:hAnsi="Verdana"/>
                <w:b/>
                <w:sz w:val="18"/>
                <w:szCs w:val="18"/>
              </w:rPr>
            </w:pPr>
          </w:p>
          <w:p w14:paraId="4292B3FF" w14:textId="77777777" w:rsidR="008715BE" w:rsidRPr="00EC75B7" w:rsidRDefault="00000000">
            <w:pPr>
              <w:pStyle w:val="TableParagraph"/>
              <w:ind w:left="107"/>
              <w:rPr>
                <w:rFonts w:ascii="Verdana" w:hAnsi="Verdana"/>
                <w:b/>
                <w:sz w:val="18"/>
                <w:szCs w:val="18"/>
              </w:rPr>
            </w:pPr>
            <w:r w:rsidRPr="00EC75B7">
              <w:rPr>
                <w:rFonts w:ascii="Verdana" w:hAnsi="Verdana"/>
                <w:b/>
                <w:spacing w:val="-11"/>
                <w:sz w:val="18"/>
                <w:szCs w:val="18"/>
              </w:rPr>
              <w:t>Surface</w:t>
            </w:r>
            <w:r w:rsidRPr="00EC75B7">
              <w:rPr>
                <w:rFonts w:ascii="Verdana" w:hAnsi="Verdana"/>
                <w:b/>
                <w:sz w:val="18"/>
                <w:szCs w:val="18"/>
              </w:rPr>
              <w:t xml:space="preserve"> </w:t>
            </w:r>
            <w:r w:rsidRPr="00EC75B7">
              <w:rPr>
                <w:rFonts w:ascii="Verdana" w:hAnsi="Verdana"/>
                <w:b/>
                <w:spacing w:val="-2"/>
                <w:sz w:val="18"/>
                <w:szCs w:val="18"/>
              </w:rPr>
              <w:t>waters/hydrology</w:t>
            </w:r>
          </w:p>
        </w:tc>
        <w:tc>
          <w:tcPr>
            <w:tcW w:w="2419" w:type="dxa"/>
          </w:tcPr>
          <w:p w14:paraId="1110136F" w14:textId="77777777" w:rsidR="008715BE" w:rsidRPr="00EC75B7" w:rsidRDefault="008715BE">
            <w:pPr>
              <w:pStyle w:val="TableParagraph"/>
              <w:spacing w:before="7"/>
              <w:rPr>
                <w:rFonts w:ascii="Verdana" w:hAnsi="Verdana"/>
                <w:b/>
                <w:sz w:val="18"/>
                <w:szCs w:val="18"/>
              </w:rPr>
            </w:pPr>
          </w:p>
          <w:p w14:paraId="30C63BFA"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Local watercourses/valleys and linear elements (canals/valleys); </w:t>
            </w:r>
            <w:r w:rsidRPr="00EC75B7">
              <w:rPr>
                <w:rFonts w:ascii="Verdana" w:hAnsi="Verdana"/>
                <w:spacing w:val="-2"/>
                <w:sz w:val="18"/>
                <w:szCs w:val="18"/>
              </w:rPr>
              <w:t>hydrological</w:t>
            </w:r>
            <w:r w:rsidRPr="00EC75B7">
              <w:rPr>
                <w:rFonts w:ascii="Verdana" w:hAnsi="Verdana"/>
                <w:sz w:val="18"/>
                <w:szCs w:val="18"/>
              </w:rPr>
              <w:t xml:space="preserve"> regime </w:t>
            </w:r>
            <w:r w:rsidRPr="00EC75B7">
              <w:rPr>
                <w:rFonts w:ascii="Verdana" w:hAnsi="Verdana"/>
                <w:spacing w:val="-2"/>
                <w:sz w:val="18"/>
                <w:szCs w:val="18"/>
              </w:rPr>
              <w:t>specific to the area.</w:t>
            </w:r>
          </w:p>
        </w:tc>
        <w:tc>
          <w:tcPr>
            <w:tcW w:w="2472" w:type="dxa"/>
          </w:tcPr>
          <w:p w14:paraId="3FF7B791" w14:textId="77777777" w:rsidR="008715BE" w:rsidRPr="00EC75B7" w:rsidRDefault="00000000">
            <w:pPr>
              <w:pStyle w:val="TableParagraph"/>
              <w:spacing w:before="104"/>
              <w:ind w:left="105" w:right="151"/>
              <w:rPr>
                <w:rFonts w:ascii="Verdana" w:hAnsi="Verdana"/>
                <w:sz w:val="18"/>
                <w:szCs w:val="18"/>
              </w:rPr>
            </w:pPr>
            <w:r w:rsidRPr="00EC75B7">
              <w:rPr>
                <w:rFonts w:ascii="Verdana" w:hAnsi="Verdana"/>
                <w:sz w:val="18"/>
                <w:szCs w:val="18"/>
              </w:rPr>
              <w:t>Specific works (ditches, crossings), construction site runoff; risk of accidental pollution; minimal effects during operation.</w:t>
            </w:r>
          </w:p>
        </w:tc>
        <w:tc>
          <w:tcPr>
            <w:tcW w:w="3357" w:type="dxa"/>
          </w:tcPr>
          <w:p w14:paraId="1D4A1609" w14:textId="77777777" w:rsidR="008715BE" w:rsidRPr="00EC75B7" w:rsidRDefault="00000000">
            <w:pPr>
              <w:pStyle w:val="TableParagraph"/>
              <w:spacing w:before="104"/>
              <w:ind w:left="108" w:right="74"/>
              <w:rPr>
                <w:rFonts w:ascii="Verdana" w:hAnsi="Verdana"/>
                <w:sz w:val="18"/>
                <w:szCs w:val="18"/>
              </w:rPr>
            </w:pPr>
            <w:r w:rsidRPr="00EC75B7">
              <w:rPr>
                <w:rFonts w:ascii="Verdana" w:hAnsi="Verdana"/>
                <w:sz w:val="18"/>
                <w:szCs w:val="18"/>
              </w:rPr>
              <w:t>Local/temporary impact during construction (especially if there are crossings/drainage points); low impact during operation, depending on maintenance and water management.</w:t>
            </w:r>
          </w:p>
        </w:tc>
        <w:tc>
          <w:tcPr>
            <w:tcW w:w="2219" w:type="dxa"/>
          </w:tcPr>
          <w:p w14:paraId="3E3C2160" w14:textId="77777777" w:rsidR="008715BE" w:rsidRPr="00EC75B7" w:rsidRDefault="008715BE">
            <w:pPr>
              <w:pStyle w:val="TableParagraph"/>
              <w:spacing w:before="7"/>
              <w:rPr>
                <w:rFonts w:ascii="Verdana" w:hAnsi="Verdana"/>
                <w:b/>
                <w:sz w:val="18"/>
                <w:szCs w:val="18"/>
              </w:rPr>
            </w:pPr>
          </w:p>
          <w:p w14:paraId="23D92C01" w14:textId="77777777" w:rsidR="008715BE" w:rsidRPr="00EC75B7" w:rsidRDefault="00000000">
            <w:pPr>
              <w:pStyle w:val="TableParagraph"/>
              <w:ind w:left="107" w:right="103"/>
              <w:rPr>
                <w:rFonts w:ascii="Verdana" w:hAnsi="Verdana"/>
                <w:sz w:val="18"/>
                <w:szCs w:val="18"/>
              </w:rPr>
            </w:pPr>
            <w:r w:rsidRPr="00EC75B7">
              <w:rPr>
                <w:rFonts w:ascii="Verdana" w:hAnsi="Verdana"/>
                <w:sz w:val="18"/>
                <w:szCs w:val="18"/>
              </w:rPr>
              <w:t xml:space="preserve">Local streams/valleys, areas with drainage potential; fauna associated with </w:t>
            </w:r>
            <w:r w:rsidRPr="00EC75B7">
              <w:rPr>
                <w:rFonts w:ascii="Verdana" w:hAnsi="Verdana"/>
                <w:spacing w:val="-2"/>
                <w:sz w:val="18"/>
                <w:szCs w:val="18"/>
              </w:rPr>
              <w:t xml:space="preserve">wetland </w:t>
            </w:r>
            <w:r w:rsidRPr="00EC75B7">
              <w:rPr>
                <w:rFonts w:ascii="Verdana" w:hAnsi="Verdana"/>
                <w:sz w:val="18"/>
                <w:szCs w:val="18"/>
              </w:rPr>
              <w:t>microhabitats</w:t>
            </w:r>
            <w:r w:rsidRPr="00EC75B7">
              <w:rPr>
                <w:rFonts w:ascii="Verdana" w:hAnsi="Verdana"/>
                <w:spacing w:val="-2"/>
                <w:sz w:val="18"/>
                <w:szCs w:val="18"/>
              </w:rPr>
              <w:t>.</w:t>
            </w:r>
          </w:p>
        </w:tc>
        <w:tc>
          <w:tcPr>
            <w:tcW w:w="2541" w:type="dxa"/>
          </w:tcPr>
          <w:p w14:paraId="5D79EAD1" w14:textId="77777777" w:rsidR="008715BE" w:rsidRPr="00EC75B7" w:rsidRDefault="00000000">
            <w:pPr>
              <w:pStyle w:val="TableParagraph"/>
              <w:spacing w:before="8"/>
              <w:ind w:left="108" w:right="133"/>
              <w:rPr>
                <w:rFonts w:ascii="Verdana" w:hAnsi="Verdana"/>
                <w:sz w:val="18"/>
                <w:szCs w:val="18"/>
              </w:rPr>
            </w:pPr>
            <w:r w:rsidRPr="00EC75B7">
              <w:rPr>
                <w:rFonts w:ascii="Verdana" w:hAnsi="Verdana"/>
                <w:sz w:val="18"/>
                <w:szCs w:val="18"/>
              </w:rPr>
              <w:t xml:space="preserve">Cumulation with </w:t>
            </w:r>
            <w:r w:rsidRPr="00EC75B7">
              <w:rPr>
                <w:rFonts w:ascii="Verdana" w:hAnsi="Verdana"/>
                <w:spacing w:val="-2"/>
                <w:sz w:val="18"/>
                <w:szCs w:val="18"/>
              </w:rPr>
              <w:t xml:space="preserve">agricultural works/local developments and </w:t>
            </w:r>
            <w:r w:rsidRPr="00EC75B7">
              <w:rPr>
                <w:rFonts w:ascii="Verdana" w:hAnsi="Verdana"/>
                <w:sz w:val="18"/>
                <w:szCs w:val="18"/>
              </w:rPr>
              <w:t xml:space="preserve">other projects that </w:t>
            </w:r>
            <w:r w:rsidRPr="00EC75B7">
              <w:rPr>
                <w:rFonts w:ascii="Verdana" w:hAnsi="Verdana"/>
                <w:spacing w:val="-2"/>
                <w:sz w:val="18"/>
                <w:szCs w:val="18"/>
              </w:rPr>
              <w:t xml:space="preserve">alter runoff/erosion; </w:t>
            </w:r>
            <w:r w:rsidRPr="00EC75B7">
              <w:rPr>
                <w:rFonts w:ascii="Verdana" w:hAnsi="Verdana"/>
                <w:sz w:val="18"/>
                <w:szCs w:val="18"/>
              </w:rPr>
              <w:t>diffuse agricultural pressures.</w:t>
            </w:r>
          </w:p>
        </w:tc>
      </w:tr>
      <w:tr w:rsidR="008715BE" w:rsidRPr="00EC75B7" w14:paraId="620E08A1" w14:textId="77777777">
        <w:trPr>
          <w:trHeight w:val="1172"/>
        </w:trPr>
        <w:tc>
          <w:tcPr>
            <w:tcW w:w="1548" w:type="dxa"/>
          </w:tcPr>
          <w:p w14:paraId="08C9FF12" w14:textId="77777777" w:rsidR="008715BE" w:rsidRPr="00EC75B7" w:rsidRDefault="008715BE">
            <w:pPr>
              <w:pStyle w:val="TableParagraph"/>
              <w:rPr>
                <w:rFonts w:ascii="Verdana" w:hAnsi="Verdana"/>
                <w:b/>
                <w:sz w:val="18"/>
                <w:szCs w:val="18"/>
              </w:rPr>
            </w:pPr>
          </w:p>
          <w:p w14:paraId="484B1993" w14:textId="77777777" w:rsidR="008715BE" w:rsidRPr="00EC75B7" w:rsidRDefault="008715BE">
            <w:pPr>
              <w:pStyle w:val="TableParagraph"/>
              <w:spacing w:before="8"/>
              <w:rPr>
                <w:rFonts w:ascii="Verdana" w:hAnsi="Verdana"/>
                <w:b/>
                <w:sz w:val="18"/>
                <w:szCs w:val="18"/>
              </w:rPr>
            </w:pPr>
          </w:p>
          <w:p w14:paraId="0420F38C"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Ground</w:t>
            </w:r>
            <w:r w:rsidRPr="00EC75B7">
              <w:rPr>
                <w:rFonts w:ascii="Verdana" w:hAnsi="Verdana"/>
                <w:b/>
                <w:sz w:val="18"/>
                <w:szCs w:val="18"/>
              </w:rPr>
              <w:t>water</w:t>
            </w:r>
          </w:p>
        </w:tc>
        <w:tc>
          <w:tcPr>
            <w:tcW w:w="2419" w:type="dxa"/>
          </w:tcPr>
          <w:p w14:paraId="7F2BFED9" w14:textId="77777777" w:rsidR="008715BE" w:rsidRPr="00EC75B7" w:rsidRDefault="00000000">
            <w:pPr>
              <w:pStyle w:val="TableParagraph"/>
              <w:spacing w:before="106"/>
              <w:ind w:left="108" w:right="98"/>
              <w:rPr>
                <w:rFonts w:ascii="Verdana" w:hAnsi="Verdana"/>
                <w:sz w:val="18"/>
                <w:szCs w:val="18"/>
              </w:rPr>
            </w:pPr>
            <w:r w:rsidRPr="00EC75B7">
              <w:rPr>
                <w:rFonts w:ascii="Verdana" w:hAnsi="Verdana"/>
                <w:sz w:val="18"/>
                <w:szCs w:val="18"/>
              </w:rPr>
              <w:t xml:space="preserve">Local uses; vulnerability related to </w:t>
            </w:r>
            <w:r w:rsidRPr="00EC75B7">
              <w:rPr>
                <w:rFonts w:ascii="Verdana" w:hAnsi="Verdana"/>
                <w:spacing w:val="-2"/>
                <w:sz w:val="18"/>
                <w:szCs w:val="18"/>
              </w:rPr>
              <w:t xml:space="preserve">occasional accidental </w:t>
            </w:r>
            <w:r w:rsidRPr="00EC75B7">
              <w:rPr>
                <w:rFonts w:ascii="Verdana" w:hAnsi="Verdana"/>
                <w:sz w:val="18"/>
                <w:szCs w:val="18"/>
              </w:rPr>
              <w:t>pollution</w:t>
            </w:r>
            <w:r w:rsidRPr="00EC75B7">
              <w:rPr>
                <w:rFonts w:ascii="Verdana" w:hAnsi="Verdana"/>
                <w:spacing w:val="-2"/>
                <w:sz w:val="18"/>
                <w:szCs w:val="18"/>
              </w:rPr>
              <w:t>.</w:t>
            </w:r>
          </w:p>
        </w:tc>
        <w:tc>
          <w:tcPr>
            <w:tcW w:w="2472" w:type="dxa"/>
          </w:tcPr>
          <w:p w14:paraId="55DCC57D" w14:textId="77777777" w:rsidR="008715BE" w:rsidRPr="00EC75B7" w:rsidRDefault="00000000">
            <w:pPr>
              <w:pStyle w:val="TableParagraph"/>
              <w:spacing w:before="10"/>
              <w:ind w:left="105" w:right="151"/>
              <w:rPr>
                <w:rFonts w:ascii="Verdana" w:hAnsi="Verdana"/>
                <w:sz w:val="18"/>
                <w:szCs w:val="18"/>
              </w:rPr>
            </w:pPr>
            <w:r w:rsidRPr="00EC75B7">
              <w:rPr>
                <w:rFonts w:ascii="Verdana" w:hAnsi="Verdana"/>
                <w:sz w:val="18"/>
                <w:szCs w:val="18"/>
              </w:rPr>
              <w:t xml:space="preserve">Accidental risk (fuel/oil spills) during </w:t>
            </w:r>
            <w:r w:rsidRPr="00EC75B7">
              <w:rPr>
                <w:rFonts w:ascii="Verdana" w:hAnsi="Verdana"/>
                <w:spacing w:val="-2"/>
                <w:sz w:val="18"/>
                <w:szCs w:val="18"/>
              </w:rPr>
              <w:t>construction/maintenance; no significant exploitation during operation.</w:t>
            </w:r>
          </w:p>
        </w:tc>
        <w:tc>
          <w:tcPr>
            <w:tcW w:w="3357" w:type="dxa"/>
          </w:tcPr>
          <w:p w14:paraId="11913397" w14:textId="77777777" w:rsidR="008715BE" w:rsidRPr="00EC75B7" w:rsidRDefault="00000000">
            <w:pPr>
              <w:pStyle w:val="TableParagraph"/>
              <w:spacing w:before="106"/>
              <w:ind w:left="108"/>
              <w:rPr>
                <w:rFonts w:ascii="Verdana" w:hAnsi="Verdana"/>
                <w:sz w:val="18"/>
                <w:szCs w:val="18"/>
              </w:rPr>
            </w:pPr>
            <w:r w:rsidRPr="00EC75B7">
              <w:rPr>
                <w:rFonts w:ascii="Verdana" w:hAnsi="Verdana"/>
                <w:sz w:val="18"/>
                <w:szCs w:val="18"/>
              </w:rPr>
              <w:t xml:space="preserve">Under normal conditions: insignificant; in accidental scenarios: local, preventable by measures </w:t>
            </w:r>
            <w:r w:rsidRPr="00EC75B7">
              <w:rPr>
                <w:rFonts w:ascii="Verdana" w:hAnsi="Verdana"/>
                <w:spacing w:val="-2"/>
                <w:sz w:val="18"/>
                <w:szCs w:val="18"/>
              </w:rPr>
              <w:t>(retention/waterproofing/kits).</w:t>
            </w:r>
          </w:p>
        </w:tc>
        <w:tc>
          <w:tcPr>
            <w:tcW w:w="2219" w:type="dxa"/>
          </w:tcPr>
          <w:p w14:paraId="0A74DFE8" w14:textId="77777777" w:rsidR="008715BE" w:rsidRPr="00EC75B7" w:rsidRDefault="008715BE">
            <w:pPr>
              <w:pStyle w:val="TableParagraph"/>
              <w:spacing w:before="9"/>
              <w:rPr>
                <w:rFonts w:ascii="Verdana" w:hAnsi="Verdana"/>
                <w:b/>
                <w:sz w:val="18"/>
                <w:szCs w:val="18"/>
              </w:rPr>
            </w:pPr>
          </w:p>
          <w:p w14:paraId="40BE75AA" w14:textId="77777777" w:rsidR="008715BE" w:rsidRPr="00EC75B7" w:rsidRDefault="00000000">
            <w:pPr>
              <w:pStyle w:val="TableParagraph"/>
              <w:ind w:left="107" w:right="103"/>
              <w:rPr>
                <w:rFonts w:ascii="Verdana" w:hAnsi="Verdana"/>
                <w:sz w:val="18"/>
                <w:szCs w:val="18"/>
              </w:rPr>
            </w:pPr>
            <w:r w:rsidRPr="00EC75B7">
              <w:rPr>
                <w:rFonts w:ascii="Verdana" w:hAnsi="Verdana"/>
                <w:sz w:val="18"/>
                <w:szCs w:val="18"/>
              </w:rPr>
              <w:t>Local groundwater, local users (if there are catchments in the area).</w:t>
            </w:r>
          </w:p>
        </w:tc>
        <w:tc>
          <w:tcPr>
            <w:tcW w:w="2541" w:type="dxa"/>
          </w:tcPr>
          <w:p w14:paraId="65B4BEF1" w14:textId="77777777" w:rsidR="008715BE" w:rsidRPr="00EC75B7" w:rsidRDefault="00000000">
            <w:pPr>
              <w:pStyle w:val="TableParagraph"/>
              <w:spacing w:before="106"/>
              <w:ind w:left="108" w:right="215"/>
              <w:rPr>
                <w:rFonts w:ascii="Verdana" w:hAnsi="Verdana"/>
                <w:sz w:val="18"/>
                <w:szCs w:val="18"/>
              </w:rPr>
            </w:pPr>
            <w:r w:rsidRPr="00EC75B7">
              <w:rPr>
                <w:rFonts w:ascii="Verdana" w:hAnsi="Verdana"/>
                <w:sz w:val="18"/>
                <w:szCs w:val="18"/>
              </w:rPr>
              <w:t xml:space="preserve">Accumulation with other potential sources of pollution (agriculture, other </w:t>
            </w:r>
            <w:r w:rsidRPr="00EC75B7">
              <w:rPr>
                <w:rFonts w:ascii="Verdana" w:hAnsi="Verdana"/>
                <w:spacing w:val="-2"/>
                <w:sz w:val="18"/>
                <w:szCs w:val="18"/>
              </w:rPr>
              <w:t>construction sites/investments).</w:t>
            </w:r>
          </w:p>
        </w:tc>
      </w:tr>
      <w:tr w:rsidR="008715BE" w:rsidRPr="00EC75B7" w14:paraId="79686F16" w14:textId="77777777">
        <w:trPr>
          <w:trHeight w:val="2145"/>
        </w:trPr>
        <w:tc>
          <w:tcPr>
            <w:tcW w:w="1548" w:type="dxa"/>
          </w:tcPr>
          <w:p w14:paraId="4F6DE39A" w14:textId="77777777" w:rsidR="008715BE" w:rsidRPr="00EC75B7" w:rsidRDefault="008715BE">
            <w:pPr>
              <w:pStyle w:val="TableParagraph"/>
              <w:rPr>
                <w:rFonts w:ascii="Verdana" w:hAnsi="Verdana"/>
                <w:b/>
                <w:sz w:val="18"/>
                <w:szCs w:val="18"/>
              </w:rPr>
            </w:pPr>
          </w:p>
          <w:p w14:paraId="45C15FFD" w14:textId="77777777" w:rsidR="008715BE" w:rsidRPr="00EC75B7" w:rsidRDefault="008715BE">
            <w:pPr>
              <w:pStyle w:val="TableParagraph"/>
              <w:rPr>
                <w:rFonts w:ascii="Verdana" w:hAnsi="Verdana"/>
                <w:b/>
                <w:sz w:val="18"/>
                <w:szCs w:val="18"/>
              </w:rPr>
            </w:pPr>
          </w:p>
          <w:p w14:paraId="268C4CF8" w14:textId="77777777" w:rsidR="008715BE" w:rsidRPr="00EC75B7" w:rsidRDefault="008715BE">
            <w:pPr>
              <w:pStyle w:val="TableParagraph"/>
              <w:rPr>
                <w:rFonts w:ascii="Verdana" w:hAnsi="Verdana"/>
                <w:b/>
                <w:sz w:val="18"/>
                <w:szCs w:val="18"/>
              </w:rPr>
            </w:pPr>
          </w:p>
          <w:p w14:paraId="6F719AAF" w14:textId="77777777" w:rsidR="008715BE" w:rsidRPr="00EC75B7" w:rsidRDefault="008715BE">
            <w:pPr>
              <w:pStyle w:val="TableParagraph"/>
              <w:spacing w:before="103"/>
              <w:rPr>
                <w:rFonts w:ascii="Verdana" w:hAnsi="Verdana"/>
                <w:b/>
                <w:sz w:val="18"/>
                <w:szCs w:val="18"/>
              </w:rPr>
            </w:pPr>
          </w:p>
          <w:p w14:paraId="74482E8C"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Waste</w:t>
            </w:r>
          </w:p>
        </w:tc>
        <w:tc>
          <w:tcPr>
            <w:tcW w:w="2419" w:type="dxa"/>
          </w:tcPr>
          <w:p w14:paraId="102E9E2F" w14:textId="77777777" w:rsidR="008715BE" w:rsidRPr="00EC75B7" w:rsidRDefault="008715BE">
            <w:pPr>
              <w:pStyle w:val="TableParagraph"/>
              <w:rPr>
                <w:rFonts w:ascii="Verdana" w:hAnsi="Verdana"/>
                <w:b/>
                <w:sz w:val="18"/>
                <w:szCs w:val="18"/>
              </w:rPr>
            </w:pPr>
          </w:p>
          <w:p w14:paraId="67772526" w14:textId="77777777" w:rsidR="008715BE" w:rsidRPr="00EC75B7" w:rsidRDefault="008715BE">
            <w:pPr>
              <w:pStyle w:val="TableParagraph"/>
              <w:rPr>
                <w:rFonts w:ascii="Verdana" w:hAnsi="Verdana"/>
                <w:b/>
                <w:sz w:val="18"/>
                <w:szCs w:val="18"/>
              </w:rPr>
            </w:pPr>
          </w:p>
          <w:p w14:paraId="60D905DC" w14:textId="77777777" w:rsidR="008715BE" w:rsidRPr="00EC75B7" w:rsidRDefault="008715BE">
            <w:pPr>
              <w:pStyle w:val="TableParagraph"/>
              <w:spacing w:before="104"/>
              <w:rPr>
                <w:rFonts w:ascii="Verdana" w:hAnsi="Verdana"/>
                <w:b/>
                <w:sz w:val="18"/>
                <w:szCs w:val="18"/>
              </w:rPr>
            </w:pPr>
          </w:p>
          <w:p w14:paraId="00C2A7B6"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Typical rural flows; management by </w:t>
            </w:r>
            <w:r w:rsidRPr="00EC75B7">
              <w:rPr>
                <w:rFonts w:ascii="Verdana" w:hAnsi="Verdana"/>
                <w:spacing w:val="-2"/>
                <w:sz w:val="18"/>
                <w:szCs w:val="18"/>
              </w:rPr>
              <w:t>services/contractors.</w:t>
            </w:r>
          </w:p>
        </w:tc>
        <w:tc>
          <w:tcPr>
            <w:tcW w:w="2472" w:type="dxa"/>
          </w:tcPr>
          <w:p w14:paraId="46A89BFA" w14:textId="77777777" w:rsidR="008715BE" w:rsidRPr="00EC75B7" w:rsidRDefault="00000000">
            <w:pPr>
              <w:pStyle w:val="TableParagraph"/>
              <w:spacing w:before="8"/>
              <w:ind w:left="105" w:right="151"/>
              <w:rPr>
                <w:rFonts w:ascii="Verdana" w:hAnsi="Verdana"/>
                <w:sz w:val="18"/>
                <w:szCs w:val="18"/>
              </w:rPr>
            </w:pPr>
            <w:r w:rsidRPr="00EC75B7">
              <w:rPr>
                <w:rFonts w:ascii="Verdana" w:hAnsi="Verdana"/>
                <w:sz w:val="18"/>
                <w:szCs w:val="18"/>
              </w:rPr>
              <w:t xml:space="preserve">Execution: construction waste, packaging, metal, wood, excavated soil (non-hazardous) + hazardous fractions </w:t>
            </w:r>
            <w:r w:rsidRPr="00EC75B7">
              <w:rPr>
                <w:rFonts w:ascii="Verdana" w:hAnsi="Verdana"/>
                <w:spacing w:val="-2"/>
                <w:sz w:val="18"/>
                <w:szCs w:val="18"/>
              </w:rPr>
              <w:t>(oils/absorbents).</w:t>
            </w:r>
          </w:p>
          <w:p w14:paraId="4D749BC4" w14:textId="77777777" w:rsidR="008715BE" w:rsidRPr="00EC75B7" w:rsidRDefault="00000000">
            <w:pPr>
              <w:pStyle w:val="TableParagraph"/>
              <w:ind w:left="105" w:right="151"/>
              <w:rPr>
                <w:rFonts w:ascii="Verdana" w:hAnsi="Verdana"/>
                <w:sz w:val="18"/>
                <w:szCs w:val="18"/>
              </w:rPr>
            </w:pPr>
            <w:r w:rsidRPr="00EC75B7">
              <w:rPr>
                <w:rFonts w:ascii="Verdana" w:hAnsi="Verdana"/>
                <w:sz w:val="18"/>
                <w:szCs w:val="18"/>
              </w:rPr>
              <w:t xml:space="preserve">Operation: </w:t>
            </w:r>
            <w:r w:rsidRPr="00EC75B7">
              <w:rPr>
                <w:rFonts w:ascii="Verdana" w:hAnsi="Verdana"/>
                <w:spacing w:val="-2"/>
                <w:sz w:val="18"/>
                <w:szCs w:val="18"/>
              </w:rPr>
              <w:t>maintenance</w:t>
            </w:r>
            <w:r w:rsidRPr="00EC75B7">
              <w:rPr>
                <w:rFonts w:ascii="Verdana" w:hAnsi="Verdana"/>
                <w:sz w:val="18"/>
                <w:szCs w:val="18"/>
              </w:rPr>
              <w:t xml:space="preserve"> waste (oils/filters/packaging) + </w:t>
            </w:r>
            <w:r w:rsidRPr="00EC75B7">
              <w:rPr>
                <w:rFonts w:ascii="Verdana" w:hAnsi="Verdana"/>
                <w:spacing w:val="-2"/>
                <w:sz w:val="18"/>
                <w:szCs w:val="18"/>
              </w:rPr>
              <w:t>household waste.</w:t>
            </w:r>
          </w:p>
        </w:tc>
        <w:tc>
          <w:tcPr>
            <w:tcW w:w="3357" w:type="dxa"/>
          </w:tcPr>
          <w:p w14:paraId="0D887A42" w14:textId="77777777" w:rsidR="008715BE" w:rsidRPr="00EC75B7" w:rsidRDefault="008715BE">
            <w:pPr>
              <w:pStyle w:val="TableParagraph"/>
              <w:rPr>
                <w:rFonts w:ascii="Verdana" w:hAnsi="Verdana"/>
                <w:b/>
                <w:sz w:val="18"/>
                <w:szCs w:val="18"/>
              </w:rPr>
            </w:pPr>
          </w:p>
          <w:p w14:paraId="47C6F777" w14:textId="77777777" w:rsidR="008715BE" w:rsidRPr="00EC75B7" w:rsidRDefault="008715BE">
            <w:pPr>
              <w:pStyle w:val="TableParagraph"/>
              <w:spacing w:before="104"/>
              <w:rPr>
                <w:rFonts w:ascii="Verdana" w:hAnsi="Verdana"/>
                <w:b/>
                <w:sz w:val="18"/>
                <w:szCs w:val="18"/>
              </w:rPr>
            </w:pPr>
          </w:p>
          <w:p w14:paraId="371060A1" w14:textId="77777777" w:rsidR="008715BE" w:rsidRPr="00EC75B7" w:rsidRDefault="00000000">
            <w:pPr>
              <w:pStyle w:val="TableParagraph"/>
              <w:ind w:left="108" w:right="167"/>
              <w:rPr>
                <w:rFonts w:ascii="Verdana" w:hAnsi="Verdana"/>
                <w:sz w:val="18"/>
                <w:szCs w:val="18"/>
              </w:rPr>
            </w:pPr>
            <w:r w:rsidRPr="00EC75B7">
              <w:rPr>
                <w:rFonts w:ascii="Verdana" w:hAnsi="Verdana"/>
                <w:sz w:val="18"/>
                <w:szCs w:val="18"/>
              </w:rPr>
              <w:t xml:space="preserve">Impact controllable through separate collection, compliant temporary storage, and delivery to authorized operators; risk only in case of </w:t>
            </w:r>
            <w:r w:rsidRPr="00EC75B7">
              <w:rPr>
                <w:rFonts w:ascii="Verdana" w:hAnsi="Verdana"/>
                <w:spacing w:val="-2"/>
                <w:sz w:val="18"/>
                <w:szCs w:val="18"/>
              </w:rPr>
              <w:t xml:space="preserve">non-compliant </w:t>
            </w:r>
            <w:r w:rsidRPr="00EC75B7">
              <w:rPr>
                <w:rFonts w:ascii="Verdana" w:hAnsi="Verdana"/>
                <w:sz w:val="18"/>
                <w:szCs w:val="18"/>
              </w:rPr>
              <w:t>management</w:t>
            </w:r>
            <w:r w:rsidRPr="00EC75B7">
              <w:rPr>
                <w:rFonts w:ascii="Verdana" w:hAnsi="Verdana"/>
                <w:spacing w:val="-2"/>
                <w:sz w:val="18"/>
                <w:szCs w:val="18"/>
              </w:rPr>
              <w:t>.</w:t>
            </w:r>
          </w:p>
        </w:tc>
        <w:tc>
          <w:tcPr>
            <w:tcW w:w="2219" w:type="dxa"/>
          </w:tcPr>
          <w:p w14:paraId="0A57D682" w14:textId="77777777" w:rsidR="008715BE" w:rsidRPr="00EC75B7" w:rsidRDefault="008715BE">
            <w:pPr>
              <w:pStyle w:val="TableParagraph"/>
              <w:rPr>
                <w:rFonts w:ascii="Verdana" w:hAnsi="Verdana"/>
                <w:b/>
                <w:sz w:val="18"/>
                <w:szCs w:val="18"/>
              </w:rPr>
            </w:pPr>
          </w:p>
          <w:p w14:paraId="66CD00C8" w14:textId="77777777" w:rsidR="008715BE" w:rsidRPr="00EC75B7" w:rsidRDefault="008715BE">
            <w:pPr>
              <w:pStyle w:val="TableParagraph"/>
              <w:rPr>
                <w:rFonts w:ascii="Verdana" w:hAnsi="Verdana"/>
                <w:b/>
                <w:sz w:val="18"/>
                <w:szCs w:val="18"/>
              </w:rPr>
            </w:pPr>
          </w:p>
          <w:p w14:paraId="61A3E467" w14:textId="77777777" w:rsidR="008715BE" w:rsidRPr="00EC75B7" w:rsidRDefault="008715BE">
            <w:pPr>
              <w:pStyle w:val="TableParagraph"/>
              <w:spacing w:before="7"/>
              <w:rPr>
                <w:rFonts w:ascii="Verdana" w:hAnsi="Verdana"/>
                <w:b/>
                <w:sz w:val="18"/>
                <w:szCs w:val="18"/>
              </w:rPr>
            </w:pPr>
          </w:p>
          <w:p w14:paraId="677E24E6" w14:textId="77777777" w:rsidR="008715BE" w:rsidRPr="00EC75B7" w:rsidRDefault="00000000">
            <w:pPr>
              <w:pStyle w:val="TableParagraph"/>
              <w:ind w:left="107" w:right="103"/>
              <w:rPr>
                <w:rFonts w:ascii="Verdana" w:hAnsi="Verdana"/>
                <w:sz w:val="18"/>
                <w:szCs w:val="18"/>
              </w:rPr>
            </w:pPr>
            <w:r w:rsidRPr="00EC75B7">
              <w:rPr>
                <w:rFonts w:ascii="Verdana" w:hAnsi="Verdana"/>
                <w:sz w:val="18"/>
                <w:szCs w:val="18"/>
              </w:rPr>
              <w:t xml:space="preserve">Soil/water (in case of non-compliant storage), public health </w:t>
            </w:r>
            <w:r w:rsidRPr="00EC75B7">
              <w:rPr>
                <w:rFonts w:ascii="Verdana" w:hAnsi="Verdana"/>
                <w:spacing w:val="-2"/>
                <w:sz w:val="18"/>
                <w:szCs w:val="18"/>
              </w:rPr>
              <w:t>(odour/hygiene).</w:t>
            </w:r>
          </w:p>
        </w:tc>
        <w:tc>
          <w:tcPr>
            <w:tcW w:w="2541" w:type="dxa"/>
          </w:tcPr>
          <w:p w14:paraId="6D5A7174" w14:textId="77777777" w:rsidR="008715BE" w:rsidRPr="00EC75B7" w:rsidRDefault="008715BE">
            <w:pPr>
              <w:pStyle w:val="TableParagraph"/>
              <w:rPr>
                <w:rFonts w:ascii="Verdana" w:hAnsi="Verdana"/>
                <w:b/>
                <w:sz w:val="18"/>
                <w:szCs w:val="18"/>
              </w:rPr>
            </w:pPr>
          </w:p>
          <w:p w14:paraId="41BF708B" w14:textId="77777777" w:rsidR="008715BE" w:rsidRPr="00EC75B7" w:rsidRDefault="008715BE">
            <w:pPr>
              <w:pStyle w:val="TableParagraph"/>
              <w:spacing w:before="104"/>
              <w:rPr>
                <w:rFonts w:ascii="Verdana" w:hAnsi="Verdana"/>
                <w:b/>
                <w:sz w:val="18"/>
                <w:szCs w:val="18"/>
              </w:rPr>
            </w:pPr>
          </w:p>
          <w:p w14:paraId="684D52A5" w14:textId="77777777" w:rsidR="008715BE" w:rsidRPr="00EC75B7" w:rsidRDefault="00000000">
            <w:pPr>
              <w:pStyle w:val="TableParagraph"/>
              <w:ind w:left="108" w:right="93"/>
              <w:rPr>
                <w:rFonts w:ascii="Verdana" w:hAnsi="Verdana"/>
                <w:sz w:val="18"/>
                <w:szCs w:val="18"/>
              </w:rPr>
            </w:pPr>
            <w:r w:rsidRPr="00EC75B7">
              <w:rPr>
                <w:rFonts w:ascii="Verdana" w:hAnsi="Verdana"/>
                <w:sz w:val="18"/>
                <w:szCs w:val="18"/>
              </w:rPr>
              <w:t xml:space="preserve">Combination with other sites and local flows if </w:t>
            </w:r>
            <w:r w:rsidRPr="00EC75B7">
              <w:rPr>
                <w:rFonts w:ascii="Verdana" w:hAnsi="Verdana"/>
                <w:spacing w:val="-2"/>
                <w:sz w:val="18"/>
                <w:szCs w:val="18"/>
              </w:rPr>
              <w:t xml:space="preserve">collection/transport </w:t>
            </w:r>
            <w:r w:rsidRPr="00EC75B7">
              <w:rPr>
                <w:rFonts w:ascii="Verdana" w:hAnsi="Verdana"/>
                <w:sz w:val="18"/>
                <w:szCs w:val="18"/>
              </w:rPr>
              <w:t>capacity is limited</w:t>
            </w:r>
            <w:r w:rsidRPr="00EC75B7">
              <w:rPr>
                <w:rFonts w:ascii="Verdana" w:hAnsi="Verdana"/>
                <w:spacing w:val="-2"/>
                <w:sz w:val="18"/>
                <w:szCs w:val="18"/>
              </w:rPr>
              <w:t>; requires logistical planning.</w:t>
            </w:r>
          </w:p>
        </w:tc>
      </w:tr>
      <w:tr w:rsidR="008715BE" w:rsidRPr="00EC75B7" w14:paraId="38312196" w14:textId="77777777">
        <w:trPr>
          <w:trHeight w:val="1172"/>
        </w:trPr>
        <w:tc>
          <w:tcPr>
            <w:tcW w:w="1548" w:type="dxa"/>
          </w:tcPr>
          <w:p w14:paraId="367A9574" w14:textId="77777777" w:rsidR="008715BE" w:rsidRPr="00EC75B7" w:rsidRDefault="008715BE">
            <w:pPr>
              <w:pStyle w:val="TableParagraph"/>
              <w:spacing w:before="105"/>
              <w:rPr>
                <w:rFonts w:ascii="Verdana" w:hAnsi="Verdana"/>
                <w:b/>
                <w:sz w:val="18"/>
                <w:szCs w:val="18"/>
              </w:rPr>
            </w:pPr>
          </w:p>
          <w:p w14:paraId="17C463BA" w14:textId="77777777" w:rsidR="008715BE" w:rsidRPr="00EC75B7" w:rsidRDefault="00000000">
            <w:pPr>
              <w:pStyle w:val="TableParagraph"/>
              <w:ind w:left="107" w:right="185"/>
              <w:rPr>
                <w:rFonts w:ascii="Verdana" w:hAnsi="Verdana"/>
                <w:b/>
                <w:sz w:val="18"/>
                <w:szCs w:val="18"/>
              </w:rPr>
            </w:pPr>
            <w:r w:rsidRPr="00EC75B7">
              <w:rPr>
                <w:rFonts w:ascii="Verdana" w:hAnsi="Verdana"/>
                <w:b/>
                <w:sz w:val="18"/>
                <w:szCs w:val="18"/>
              </w:rPr>
              <w:t>Landscape/visual impact</w:t>
            </w:r>
          </w:p>
        </w:tc>
        <w:tc>
          <w:tcPr>
            <w:tcW w:w="2419" w:type="dxa"/>
          </w:tcPr>
          <w:p w14:paraId="64328F37" w14:textId="77777777" w:rsidR="008715BE" w:rsidRPr="00EC75B7" w:rsidRDefault="00000000">
            <w:pPr>
              <w:pStyle w:val="TableParagraph"/>
              <w:spacing w:before="106"/>
              <w:ind w:left="108"/>
              <w:rPr>
                <w:rFonts w:ascii="Verdana" w:hAnsi="Verdana"/>
                <w:sz w:val="18"/>
                <w:szCs w:val="18"/>
              </w:rPr>
            </w:pPr>
            <w:r w:rsidRPr="00EC75B7">
              <w:rPr>
                <w:rFonts w:ascii="Verdana" w:hAnsi="Verdana"/>
                <w:sz w:val="18"/>
                <w:szCs w:val="18"/>
              </w:rPr>
              <w:t xml:space="preserve">Open agricultural landscape, </w:t>
            </w:r>
            <w:r w:rsidRPr="00EC75B7">
              <w:rPr>
                <w:rFonts w:ascii="Verdana" w:hAnsi="Verdana"/>
                <w:spacing w:val="-2"/>
                <w:sz w:val="18"/>
                <w:szCs w:val="18"/>
              </w:rPr>
              <w:t xml:space="preserve">high visibility; </w:t>
            </w:r>
            <w:r w:rsidRPr="00EC75B7">
              <w:rPr>
                <w:rFonts w:ascii="Verdana" w:hAnsi="Verdana"/>
                <w:sz w:val="18"/>
                <w:szCs w:val="18"/>
              </w:rPr>
              <w:t>existing anthropogenic</w:t>
            </w:r>
            <w:r w:rsidRPr="00EC75B7">
              <w:rPr>
                <w:rFonts w:ascii="Verdana" w:hAnsi="Verdana"/>
                <w:spacing w:val="-2"/>
                <w:sz w:val="18"/>
                <w:szCs w:val="18"/>
              </w:rPr>
              <w:t xml:space="preserve"> elements (roads/infrastructure).</w:t>
            </w:r>
          </w:p>
        </w:tc>
        <w:tc>
          <w:tcPr>
            <w:tcW w:w="2472" w:type="dxa"/>
          </w:tcPr>
          <w:p w14:paraId="02AD171D" w14:textId="77777777" w:rsidR="008715BE" w:rsidRPr="00EC75B7" w:rsidRDefault="00000000">
            <w:pPr>
              <w:pStyle w:val="TableParagraph"/>
              <w:spacing w:before="8"/>
              <w:ind w:left="105" w:right="151"/>
              <w:rPr>
                <w:rFonts w:ascii="Verdana" w:hAnsi="Verdana"/>
                <w:sz w:val="18"/>
                <w:szCs w:val="18"/>
              </w:rPr>
            </w:pPr>
            <w:r w:rsidRPr="00EC75B7">
              <w:rPr>
                <w:rFonts w:ascii="Verdana" w:hAnsi="Verdana"/>
                <w:sz w:val="18"/>
                <w:szCs w:val="18"/>
              </w:rPr>
              <w:t xml:space="preserve">Introduction of vertical elements (turbines), stations, roads; modification of the landscape on a local and </w:t>
            </w:r>
            <w:r w:rsidRPr="00EC75B7">
              <w:rPr>
                <w:rFonts w:ascii="Verdana" w:hAnsi="Verdana"/>
                <w:spacing w:val="-2"/>
                <w:sz w:val="18"/>
                <w:szCs w:val="18"/>
              </w:rPr>
              <w:t xml:space="preserve">regional </w:t>
            </w:r>
            <w:r w:rsidRPr="00EC75B7">
              <w:rPr>
                <w:rFonts w:ascii="Verdana" w:hAnsi="Verdana"/>
                <w:sz w:val="18"/>
                <w:szCs w:val="18"/>
              </w:rPr>
              <w:t>scale</w:t>
            </w:r>
            <w:r w:rsidRPr="00EC75B7">
              <w:rPr>
                <w:rFonts w:ascii="Verdana" w:hAnsi="Verdana"/>
                <w:spacing w:val="-2"/>
                <w:sz w:val="18"/>
                <w:szCs w:val="18"/>
              </w:rPr>
              <w:t>.</w:t>
            </w:r>
          </w:p>
        </w:tc>
        <w:tc>
          <w:tcPr>
            <w:tcW w:w="3357" w:type="dxa"/>
          </w:tcPr>
          <w:p w14:paraId="455C56C0" w14:textId="77777777" w:rsidR="008715BE" w:rsidRPr="00EC75B7" w:rsidRDefault="00000000">
            <w:pPr>
              <w:pStyle w:val="TableParagraph"/>
              <w:spacing w:before="106"/>
              <w:ind w:left="108" w:right="201"/>
              <w:rPr>
                <w:rFonts w:ascii="Verdana" w:hAnsi="Verdana"/>
                <w:sz w:val="18"/>
                <w:szCs w:val="18"/>
              </w:rPr>
            </w:pPr>
            <w:r w:rsidRPr="00EC75B7">
              <w:rPr>
                <w:rFonts w:ascii="Verdana" w:hAnsi="Verdana"/>
                <w:sz w:val="18"/>
                <w:szCs w:val="18"/>
              </w:rPr>
              <w:t>Permanent, visually significant (but without direct physical impact on protected habitats); may influence landscape perception.</w:t>
            </w:r>
          </w:p>
        </w:tc>
        <w:tc>
          <w:tcPr>
            <w:tcW w:w="2219" w:type="dxa"/>
          </w:tcPr>
          <w:p w14:paraId="0278EBD5" w14:textId="77777777" w:rsidR="008715BE" w:rsidRPr="00EC75B7" w:rsidRDefault="00000000">
            <w:pPr>
              <w:pStyle w:val="TableParagraph"/>
              <w:spacing w:before="8"/>
              <w:ind w:left="107" w:right="103"/>
              <w:rPr>
                <w:rFonts w:ascii="Verdana" w:hAnsi="Verdana"/>
                <w:sz w:val="18"/>
                <w:szCs w:val="18"/>
              </w:rPr>
            </w:pPr>
            <w:r w:rsidRPr="00EC75B7">
              <w:rPr>
                <w:rFonts w:ascii="Verdana" w:hAnsi="Verdana"/>
                <w:sz w:val="18"/>
                <w:szCs w:val="18"/>
              </w:rPr>
              <w:t xml:space="preserve">Population, road users, tourists; cross-border receptors (depending on the field </w:t>
            </w:r>
            <w:r w:rsidRPr="00EC75B7">
              <w:rPr>
                <w:rFonts w:ascii="Verdana" w:hAnsi="Verdana"/>
                <w:spacing w:val="-2"/>
                <w:sz w:val="18"/>
                <w:szCs w:val="18"/>
              </w:rPr>
              <w:t>of vision).</w:t>
            </w:r>
          </w:p>
        </w:tc>
        <w:tc>
          <w:tcPr>
            <w:tcW w:w="2541" w:type="dxa"/>
          </w:tcPr>
          <w:p w14:paraId="73FBF9F5" w14:textId="77777777" w:rsidR="008715BE" w:rsidRPr="00EC75B7" w:rsidRDefault="00000000">
            <w:pPr>
              <w:pStyle w:val="TableParagraph"/>
              <w:spacing w:before="106"/>
              <w:ind w:left="108" w:right="133"/>
              <w:rPr>
                <w:rFonts w:ascii="Verdana" w:hAnsi="Verdana"/>
                <w:sz w:val="18"/>
                <w:szCs w:val="18"/>
              </w:rPr>
            </w:pPr>
            <w:r w:rsidRPr="00EC75B7">
              <w:rPr>
                <w:rFonts w:ascii="Verdana" w:hAnsi="Verdana"/>
                <w:sz w:val="18"/>
                <w:szCs w:val="18"/>
              </w:rPr>
              <w:t>Cumulation with other wind farms/energy facilities in Dobrogea (visual</w:t>
            </w:r>
          </w:p>
          <w:p w14:paraId="24B112F6" w14:textId="77777777" w:rsidR="008715BE" w:rsidRPr="00EC75B7" w:rsidRDefault="00000000">
            <w:pPr>
              <w:pStyle w:val="TableParagraph"/>
              <w:spacing w:line="193" w:lineRule="exact"/>
              <w:ind w:left="108"/>
              <w:rPr>
                <w:rFonts w:ascii="Verdana" w:hAnsi="Verdana"/>
                <w:sz w:val="18"/>
                <w:szCs w:val="18"/>
              </w:rPr>
            </w:pPr>
            <w:r w:rsidRPr="00EC75B7">
              <w:rPr>
                <w:rFonts w:ascii="Verdana" w:hAnsi="Verdana"/>
                <w:spacing w:val="-2"/>
                <w:sz w:val="18"/>
                <w:szCs w:val="18"/>
              </w:rPr>
              <w:t xml:space="preserve">visual </w:t>
            </w:r>
            <w:r w:rsidRPr="00EC75B7">
              <w:rPr>
                <w:rFonts w:ascii="Verdana" w:hAnsi="Verdana"/>
                <w:sz w:val="18"/>
                <w:szCs w:val="18"/>
              </w:rPr>
              <w:t>"congestion" effect</w:t>
            </w:r>
            <w:r w:rsidRPr="00EC75B7">
              <w:rPr>
                <w:rFonts w:ascii="Verdana" w:hAnsi="Verdana"/>
                <w:spacing w:val="-2"/>
                <w:sz w:val="18"/>
                <w:szCs w:val="18"/>
              </w:rPr>
              <w:t>).</w:t>
            </w:r>
          </w:p>
        </w:tc>
      </w:tr>
      <w:tr w:rsidR="008715BE" w:rsidRPr="00EC75B7" w14:paraId="04C2D448" w14:textId="77777777">
        <w:trPr>
          <w:trHeight w:val="1367"/>
        </w:trPr>
        <w:tc>
          <w:tcPr>
            <w:tcW w:w="1548" w:type="dxa"/>
          </w:tcPr>
          <w:p w14:paraId="4FE25680" w14:textId="77777777" w:rsidR="008715BE" w:rsidRPr="00EC75B7" w:rsidRDefault="00000000">
            <w:pPr>
              <w:pStyle w:val="TableParagraph"/>
              <w:spacing w:before="107"/>
              <w:ind w:left="107" w:right="185"/>
              <w:rPr>
                <w:rFonts w:ascii="Verdana" w:hAnsi="Verdana"/>
                <w:b/>
                <w:sz w:val="18"/>
                <w:szCs w:val="18"/>
              </w:rPr>
            </w:pPr>
            <w:r w:rsidRPr="00EC75B7">
              <w:rPr>
                <w:rFonts w:ascii="Verdana" w:hAnsi="Verdana"/>
                <w:b/>
                <w:spacing w:val="-2"/>
                <w:sz w:val="18"/>
                <w:szCs w:val="18"/>
              </w:rPr>
              <w:lastRenderedPageBreak/>
              <w:t>Intermittent shadow flicker/light</w:t>
            </w:r>
          </w:p>
        </w:tc>
        <w:tc>
          <w:tcPr>
            <w:tcW w:w="2419" w:type="dxa"/>
          </w:tcPr>
          <w:p w14:paraId="391D52A1" w14:textId="77777777" w:rsidR="008715BE" w:rsidRPr="00EC75B7" w:rsidRDefault="00000000">
            <w:pPr>
              <w:pStyle w:val="TableParagraph"/>
              <w:spacing w:before="107"/>
              <w:ind w:left="108" w:right="223"/>
              <w:rPr>
                <w:rFonts w:ascii="Verdana" w:hAnsi="Verdana"/>
                <w:sz w:val="18"/>
                <w:szCs w:val="18"/>
              </w:rPr>
            </w:pPr>
            <w:r w:rsidRPr="00EC75B7">
              <w:rPr>
                <w:rFonts w:ascii="Verdana" w:hAnsi="Verdana"/>
                <w:sz w:val="18"/>
                <w:szCs w:val="18"/>
              </w:rPr>
              <w:t xml:space="preserve">Normal rural conditions, low lighting; proximity to the border requires attention to </w:t>
            </w:r>
            <w:r w:rsidRPr="00EC75B7">
              <w:rPr>
                <w:rFonts w:ascii="Verdana" w:hAnsi="Verdana"/>
                <w:spacing w:val="-2"/>
                <w:sz w:val="18"/>
                <w:szCs w:val="18"/>
              </w:rPr>
              <w:t>lighting</w:t>
            </w:r>
            <w:r w:rsidRPr="00EC75B7">
              <w:rPr>
                <w:rFonts w:ascii="Verdana" w:hAnsi="Verdana"/>
                <w:sz w:val="18"/>
                <w:szCs w:val="18"/>
              </w:rPr>
              <w:t xml:space="preserve"> effects</w:t>
            </w:r>
            <w:r w:rsidRPr="00EC75B7">
              <w:rPr>
                <w:rFonts w:ascii="Verdana" w:hAnsi="Verdana"/>
                <w:spacing w:val="-2"/>
                <w:sz w:val="18"/>
                <w:szCs w:val="18"/>
              </w:rPr>
              <w:t>.</w:t>
            </w:r>
          </w:p>
        </w:tc>
        <w:tc>
          <w:tcPr>
            <w:tcW w:w="2472" w:type="dxa"/>
          </w:tcPr>
          <w:p w14:paraId="34F7B412" w14:textId="77777777" w:rsidR="008715BE" w:rsidRPr="00EC75B7" w:rsidRDefault="00000000">
            <w:pPr>
              <w:pStyle w:val="TableParagraph"/>
              <w:spacing w:before="107"/>
              <w:ind w:left="105" w:right="151"/>
              <w:rPr>
                <w:rFonts w:ascii="Verdana" w:hAnsi="Verdana"/>
                <w:sz w:val="18"/>
                <w:szCs w:val="18"/>
              </w:rPr>
            </w:pPr>
            <w:r w:rsidRPr="00EC75B7">
              <w:rPr>
                <w:rFonts w:ascii="Verdana" w:hAnsi="Verdana"/>
                <w:sz w:val="18"/>
                <w:szCs w:val="18"/>
              </w:rPr>
              <w:t>Shadow flicker from blades; lighting/safety signaling; potential reflections if finishes are not adequate.</w:t>
            </w:r>
          </w:p>
        </w:tc>
        <w:tc>
          <w:tcPr>
            <w:tcW w:w="3357" w:type="dxa"/>
          </w:tcPr>
          <w:p w14:paraId="1DC3D841" w14:textId="77777777" w:rsidR="008715BE" w:rsidRPr="00EC75B7" w:rsidRDefault="00000000">
            <w:pPr>
              <w:pStyle w:val="TableParagraph"/>
              <w:spacing w:before="107"/>
              <w:ind w:left="108" w:right="194"/>
              <w:rPr>
                <w:rFonts w:ascii="Verdana" w:hAnsi="Verdana"/>
                <w:sz w:val="18"/>
                <w:szCs w:val="18"/>
              </w:rPr>
            </w:pPr>
            <w:r w:rsidRPr="00EC75B7">
              <w:rPr>
                <w:rFonts w:ascii="Verdana" w:hAnsi="Verdana"/>
                <w:sz w:val="18"/>
                <w:szCs w:val="18"/>
              </w:rPr>
              <w:t>Local, dependent on distance and orientation; manageable through design and operational rules; cross-border requires dedicated assessment of light effects and monitoring at the border.</w:t>
            </w:r>
          </w:p>
        </w:tc>
        <w:tc>
          <w:tcPr>
            <w:tcW w:w="2219" w:type="dxa"/>
          </w:tcPr>
          <w:p w14:paraId="7D4BF48D" w14:textId="77777777" w:rsidR="008715BE" w:rsidRPr="00EC75B7" w:rsidRDefault="00000000">
            <w:pPr>
              <w:pStyle w:val="TableParagraph"/>
              <w:spacing w:before="8"/>
              <w:ind w:left="107" w:right="230"/>
              <w:rPr>
                <w:rFonts w:ascii="Verdana" w:hAnsi="Verdana"/>
                <w:sz w:val="18"/>
                <w:szCs w:val="18"/>
              </w:rPr>
            </w:pPr>
            <w:r w:rsidRPr="00EC75B7">
              <w:rPr>
                <w:rFonts w:ascii="Verdana" w:hAnsi="Verdana"/>
                <w:sz w:val="18"/>
                <w:szCs w:val="18"/>
              </w:rPr>
              <w:t>Housing/sensitive</w:t>
            </w:r>
            <w:r w:rsidRPr="00EC75B7">
              <w:rPr>
                <w:rFonts w:ascii="Verdana" w:hAnsi="Verdana"/>
                <w:spacing w:val="-2"/>
                <w:sz w:val="18"/>
                <w:szCs w:val="18"/>
              </w:rPr>
              <w:t xml:space="preserve"> receptors</w:t>
            </w:r>
            <w:r w:rsidRPr="00EC75B7">
              <w:rPr>
                <w:rFonts w:ascii="Verdana" w:hAnsi="Verdana"/>
                <w:sz w:val="18"/>
                <w:szCs w:val="18"/>
              </w:rPr>
              <w:t xml:space="preserve">; nocturnal fauna; receptors in nearby Bulgarian settlements (if </w:t>
            </w:r>
            <w:r w:rsidRPr="00EC75B7">
              <w:rPr>
                <w:rFonts w:ascii="Verdana" w:hAnsi="Verdana"/>
                <w:spacing w:val="-2"/>
                <w:sz w:val="18"/>
                <w:szCs w:val="18"/>
              </w:rPr>
              <w:t>exposed).</w:t>
            </w:r>
          </w:p>
        </w:tc>
        <w:tc>
          <w:tcPr>
            <w:tcW w:w="2541" w:type="dxa"/>
          </w:tcPr>
          <w:p w14:paraId="65F1B53D"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Cumulation with other wind farms (multiple light/signal sources) and existing</w:t>
            </w:r>
            <w:r w:rsidRPr="00EC75B7">
              <w:rPr>
                <w:rFonts w:ascii="Verdana" w:hAnsi="Verdana"/>
                <w:spacing w:val="-2"/>
                <w:sz w:val="18"/>
                <w:szCs w:val="18"/>
              </w:rPr>
              <w:t xml:space="preserve"> lighting/infrastructure</w:t>
            </w:r>
            <w:r w:rsidRPr="00EC75B7">
              <w:rPr>
                <w:rFonts w:ascii="Verdana" w:hAnsi="Verdana"/>
                <w:sz w:val="18"/>
                <w:szCs w:val="18"/>
              </w:rPr>
              <w:t xml:space="preserve">; </w:t>
            </w:r>
            <w:r w:rsidRPr="00EC75B7">
              <w:rPr>
                <w:rFonts w:ascii="Verdana" w:hAnsi="Verdana"/>
                <w:spacing w:val="-2"/>
                <w:sz w:val="18"/>
                <w:szCs w:val="18"/>
              </w:rPr>
              <w:t>potential</w:t>
            </w:r>
            <w:r w:rsidRPr="00EC75B7">
              <w:rPr>
                <w:rFonts w:ascii="Verdana" w:hAnsi="Verdana"/>
                <w:sz w:val="18"/>
                <w:szCs w:val="18"/>
              </w:rPr>
              <w:t xml:space="preserve"> cross-border effect</w:t>
            </w:r>
            <w:r w:rsidRPr="00EC75B7">
              <w:rPr>
                <w:rFonts w:ascii="Verdana" w:hAnsi="Verdana"/>
                <w:spacing w:val="-2"/>
                <w:sz w:val="18"/>
                <w:szCs w:val="18"/>
              </w:rPr>
              <w:t>.</w:t>
            </w:r>
          </w:p>
        </w:tc>
      </w:tr>
    </w:tbl>
    <w:p w14:paraId="41568FF2" w14:textId="77777777" w:rsidR="008715BE" w:rsidRPr="00EC75B7" w:rsidRDefault="008715BE">
      <w:pPr>
        <w:pStyle w:val="TableParagraph"/>
        <w:rPr>
          <w:rFonts w:ascii="Verdana" w:hAnsi="Verdana"/>
          <w:sz w:val="18"/>
          <w:szCs w:val="18"/>
        </w:rPr>
        <w:sectPr w:rsidR="008715BE" w:rsidRPr="00EC75B7">
          <w:pgSz w:w="16840" w:h="11910" w:orient="landscape"/>
          <w:pgMar w:top="1280" w:right="1275" w:bottom="1020" w:left="708" w:header="766" w:footer="824" w:gutter="0"/>
          <w:cols w:space="708"/>
        </w:sectPr>
      </w:pPr>
    </w:p>
    <w:p w14:paraId="30DCFCD3" w14:textId="77777777" w:rsidR="008715BE" w:rsidRPr="00EC75B7" w:rsidRDefault="008715BE">
      <w:pPr>
        <w:pStyle w:val="BodyText"/>
        <w:spacing w:before="5"/>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8715BE" w:rsidRPr="00EC75B7" w14:paraId="6E0E11B2" w14:textId="77777777">
        <w:trPr>
          <w:trHeight w:val="1172"/>
        </w:trPr>
        <w:tc>
          <w:tcPr>
            <w:tcW w:w="1548" w:type="dxa"/>
            <w:shd w:val="clear" w:color="auto" w:fill="00AFEF"/>
          </w:tcPr>
          <w:p w14:paraId="28DBF030" w14:textId="77777777" w:rsidR="008715BE" w:rsidRPr="00EC75B7" w:rsidRDefault="008715BE">
            <w:pPr>
              <w:pStyle w:val="TableParagraph"/>
              <w:spacing w:before="7"/>
              <w:rPr>
                <w:rFonts w:ascii="Verdana" w:hAnsi="Verdana"/>
                <w:b/>
                <w:sz w:val="18"/>
                <w:szCs w:val="18"/>
              </w:rPr>
            </w:pPr>
          </w:p>
          <w:p w14:paraId="189A2A7F" w14:textId="77777777" w:rsidR="008715BE" w:rsidRPr="00EC75B7" w:rsidRDefault="00000000">
            <w:pPr>
              <w:pStyle w:val="TableParagraph"/>
              <w:ind w:left="21"/>
              <w:jc w:val="center"/>
              <w:rPr>
                <w:rFonts w:ascii="Verdana" w:hAnsi="Verdana"/>
                <w:b/>
                <w:sz w:val="18"/>
                <w:szCs w:val="18"/>
              </w:rPr>
            </w:pPr>
            <w:r w:rsidRPr="00EC75B7">
              <w:rPr>
                <w:rFonts w:ascii="Verdana" w:hAnsi="Verdana"/>
                <w:b/>
                <w:color w:val="FFFFFF"/>
                <w:spacing w:val="-2"/>
                <w:sz w:val="18"/>
                <w:szCs w:val="18"/>
              </w:rPr>
              <w:t>Environmental</w:t>
            </w:r>
            <w:r w:rsidRPr="00EC75B7">
              <w:rPr>
                <w:rFonts w:ascii="Verdana" w:hAnsi="Verdana"/>
                <w:b/>
                <w:color w:val="FFFFFF"/>
                <w:sz w:val="18"/>
                <w:szCs w:val="18"/>
              </w:rPr>
              <w:t xml:space="preserve"> component/aspect</w:t>
            </w:r>
          </w:p>
        </w:tc>
        <w:tc>
          <w:tcPr>
            <w:tcW w:w="2419" w:type="dxa"/>
            <w:shd w:val="clear" w:color="auto" w:fill="00AFEF"/>
          </w:tcPr>
          <w:p w14:paraId="6D5D016E" w14:textId="77777777" w:rsidR="008715BE" w:rsidRPr="00EC75B7" w:rsidRDefault="008715BE">
            <w:pPr>
              <w:pStyle w:val="TableParagraph"/>
              <w:rPr>
                <w:rFonts w:ascii="Verdana" w:hAnsi="Verdana"/>
                <w:b/>
                <w:sz w:val="18"/>
                <w:szCs w:val="18"/>
              </w:rPr>
            </w:pPr>
          </w:p>
          <w:p w14:paraId="240CDB1D" w14:textId="77777777" w:rsidR="008715BE" w:rsidRPr="00EC75B7" w:rsidRDefault="008715BE">
            <w:pPr>
              <w:pStyle w:val="TableParagraph"/>
              <w:spacing w:before="6"/>
              <w:rPr>
                <w:rFonts w:ascii="Verdana" w:hAnsi="Verdana"/>
                <w:b/>
                <w:sz w:val="18"/>
                <w:szCs w:val="18"/>
              </w:rPr>
            </w:pPr>
          </w:p>
          <w:p w14:paraId="1C3EAEA5" w14:textId="77777777" w:rsidR="008715BE" w:rsidRPr="00EC75B7" w:rsidRDefault="00000000">
            <w:pPr>
              <w:pStyle w:val="TableParagraph"/>
              <w:ind w:left="504"/>
              <w:rPr>
                <w:rFonts w:ascii="Verdana" w:hAnsi="Verdana"/>
                <w:b/>
                <w:sz w:val="18"/>
                <w:szCs w:val="18"/>
              </w:rPr>
            </w:pPr>
            <w:r w:rsidRPr="00EC75B7">
              <w:rPr>
                <w:rFonts w:ascii="Verdana" w:hAnsi="Verdana"/>
                <w:b/>
                <w:color w:val="FFFFFF"/>
                <w:spacing w:val="-2"/>
                <w:sz w:val="18"/>
                <w:szCs w:val="18"/>
              </w:rPr>
              <w:t xml:space="preserve">Current </w:t>
            </w:r>
            <w:r w:rsidRPr="00EC75B7">
              <w:rPr>
                <w:rFonts w:ascii="Verdana" w:hAnsi="Verdana"/>
                <w:b/>
                <w:color w:val="FFFFFF"/>
                <w:sz w:val="18"/>
                <w:szCs w:val="18"/>
              </w:rPr>
              <w:t>situation</w:t>
            </w:r>
          </w:p>
        </w:tc>
        <w:tc>
          <w:tcPr>
            <w:tcW w:w="2472" w:type="dxa"/>
            <w:shd w:val="clear" w:color="auto" w:fill="00AFEF"/>
          </w:tcPr>
          <w:p w14:paraId="2BBEB1E1" w14:textId="77777777" w:rsidR="008715BE" w:rsidRPr="00EC75B7" w:rsidRDefault="008715BE">
            <w:pPr>
              <w:pStyle w:val="TableParagraph"/>
              <w:spacing w:before="105"/>
              <w:rPr>
                <w:rFonts w:ascii="Verdana" w:hAnsi="Verdana"/>
                <w:b/>
                <w:sz w:val="18"/>
                <w:szCs w:val="18"/>
              </w:rPr>
            </w:pPr>
          </w:p>
          <w:p w14:paraId="4DBAD895" w14:textId="77777777" w:rsidR="008715BE" w:rsidRPr="00EC75B7" w:rsidRDefault="00000000">
            <w:pPr>
              <w:pStyle w:val="TableParagraph"/>
              <w:ind w:left="920" w:right="151" w:hanging="531"/>
              <w:rPr>
                <w:rFonts w:ascii="Verdana" w:hAnsi="Verdana"/>
                <w:b/>
                <w:sz w:val="18"/>
                <w:szCs w:val="18"/>
              </w:rPr>
            </w:pPr>
            <w:r w:rsidRPr="00EC75B7">
              <w:rPr>
                <w:rFonts w:ascii="Verdana" w:hAnsi="Verdana"/>
                <w:b/>
                <w:color w:val="FFFFFF"/>
                <w:sz w:val="18"/>
                <w:szCs w:val="18"/>
              </w:rPr>
              <w:t xml:space="preserve">Effects generated by </w:t>
            </w:r>
            <w:r w:rsidRPr="00EC75B7">
              <w:rPr>
                <w:rFonts w:ascii="Verdana" w:hAnsi="Verdana"/>
                <w:b/>
                <w:color w:val="FFFFFF"/>
                <w:spacing w:val="-2"/>
                <w:sz w:val="18"/>
                <w:szCs w:val="18"/>
              </w:rPr>
              <w:t>the project</w:t>
            </w:r>
          </w:p>
        </w:tc>
        <w:tc>
          <w:tcPr>
            <w:tcW w:w="3357" w:type="dxa"/>
            <w:shd w:val="clear" w:color="auto" w:fill="00AFEF"/>
          </w:tcPr>
          <w:p w14:paraId="1413AFC9" w14:textId="77777777" w:rsidR="008715BE" w:rsidRPr="00EC75B7" w:rsidRDefault="008715BE">
            <w:pPr>
              <w:pStyle w:val="TableParagraph"/>
              <w:rPr>
                <w:rFonts w:ascii="Verdana" w:hAnsi="Verdana"/>
                <w:b/>
                <w:sz w:val="18"/>
                <w:szCs w:val="18"/>
              </w:rPr>
            </w:pPr>
          </w:p>
          <w:p w14:paraId="524B7BD3" w14:textId="77777777" w:rsidR="008715BE" w:rsidRPr="00EC75B7" w:rsidRDefault="008715BE">
            <w:pPr>
              <w:pStyle w:val="TableParagraph"/>
              <w:spacing w:before="6"/>
              <w:rPr>
                <w:rFonts w:ascii="Verdana" w:hAnsi="Verdana"/>
                <w:b/>
                <w:sz w:val="18"/>
                <w:szCs w:val="18"/>
              </w:rPr>
            </w:pPr>
          </w:p>
          <w:p w14:paraId="34DA2445" w14:textId="77777777" w:rsidR="008715BE" w:rsidRPr="00EC75B7" w:rsidRDefault="00000000">
            <w:pPr>
              <w:pStyle w:val="TableParagraph"/>
              <w:ind w:left="418"/>
              <w:rPr>
                <w:rFonts w:ascii="Verdana" w:hAnsi="Verdana"/>
                <w:b/>
                <w:sz w:val="18"/>
                <w:szCs w:val="18"/>
              </w:rPr>
            </w:pPr>
            <w:r w:rsidRPr="00EC75B7">
              <w:rPr>
                <w:rFonts w:ascii="Verdana" w:hAnsi="Verdana"/>
                <w:b/>
                <w:color w:val="FFFFFF"/>
                <w:sz w:val="18"/>
                <w:szCs w:val="18"/>
              </w:rPr>
              <w:t xml:space="preserve">Impact generated by the </w:t>
            </w:r>
            <w:r w:rsidRPr="00EC75B7">
              <w:rPr>
                <w:rFonts w:ascii="Verdana" w:hAnsi="Verdana"/>
                <w:b/>
                <w:color w:val="FFFFFF"/>
                <w:spacing w:val="-2"/>
                <w:sz w:val="18"/>
                <w:szCs w:val="18"/>
              </w:rPr>
              <w:t>project</w:t>
            </w:r>
          </w:p>
        </w:tc>
        <w:tc>
          <w:tcPr>
            <w:tcW w:w="2219" w:type="dxa"/>
            <w:shd w:val="clear" w:color="auto" w:fill="00AFEF"/>
          </w:tcPr>
          <w:p w14:paraId="2FAE4402" w14:textId="77777777" w:rsidR="008715BE" w:rsidRPr="00EC75B7" w:rsidRDefault="008715BE">
            <w:pPr>
              <w:pStyle w:val="TableParagraph"/>
              <w:spacing w:before="105"/>
              <w:rPr>
                <w:rFonts w:ascii="Verdana" w:hAnsi="Verdana"/>
                <w:b/>
                <w:sz w:val="18"/>
                <w:szCs w:val="18"/>
              </w:rPr>
            </w:pPr>
          </w:p>
          <w:p w14:paraId="4B73CB81" w14:textId="77777777" w:rsidR="008715BE" w:rsidRPr="00EC75B7" w:rsidRDefault="00000000">
            <w:pPr>
              <w:pStyle w:val="TableParagraph"/>
              <w:ind w:left="767" w:right="103" w:hanging="519"/>
              <w:rPr>
                <w:rFonts w:ascii="Verdana" w:hAnsi="Verdana"/>
                <w:b/>
                <w:sz w:val="18"/>
                <w:szCs w:val="18"/>
              </w:rPr>
            </w:pPr>
            <w:r w:rsidRPr="00EC75B7">
              <w:rPr>
                <w:rFonts w:ascii="Verdana" w:hAnsi="Verdana"/>
                <w:b/>
                <w:color w:val="FFFFFF"/>
                <w:spacing w:val="-2"/>
                <w:sz w:val="18"/>
                <w:szCs w:val="18"/>
              </w:rPr>
              <w:t>Potentially affected recipients</w:t>
            </w:r>
          </w:p>
        </w:tc>
        <w:tc>
          <w:tcPr>
            <w:tcW w:w="2541" w:type="dxa"/>
            <w:shd w:val="clear" w:color="auto" w:fill="00AFEF"/>
          </w:tcPr>
          <w:p w14:paraId="3452F858" w14:textId="77777777" w:rsidR="008715BE" w:rsidRPr="00EC75B7" w:rsidRDefault="00000000">
            <w:pPr>
              <w:pStyle w:val="TableParagraph"/>
              <w:spacing w:before="8"/>
              <w:ind w:left="194" w:right="170" w:hanging="2"/>
              <w:jc w:val="center"/>
              <w:rPr>
                <w:rFonts w:ascii="Verdana" w:hAnsi="Verdana"/>
                <w:b/>
                <w:sz w:val="18"/>
                <w:szCs w:val="18"/>
              </w:rPr>
            </w:pPr>
            <w:r w:rsidRPr="00EC75B7">
              <w:rPr>
                <w:rFonts w:ascii="Verdana" w:hAnsi="Verdana"/>
                <w:b/>
                <w:color w:val="FFFFFF"/>
                <w:spacing w:val="-2"/>
                <w:sz w:val="18"/>
                <w:szCs w:val="18"/>
              </w:rPr>
              <w:t xml:space="preserve">Characteristics </w:t>
            </w:r>
            <w:r w:rsidRPr="00EC75B7">
              <w:rPr>
                <w:rFonts w:ascii="Verdana" w:hAnsi="Verdana"/>
                <w:b/>
                <w:color w:val="FFFFFF"/>
                <w:sz w:val="18"/>
                <w:szCs w:val="18"/>
              </w:rPr>
              <w:t xml:space="preserve">of projects with which the analyzed project may generate a </w:t>
            </w:r>
            <w:r w:rsidRPr="00EC75B7">
              <w:rPr>
                <w:rFonts w:ascii="Verdana" w:hAnsi="Verdana"/>
                <w:b/>
                <w:color w:val="FFFFFF"/>
                <w:spacing w:val="-2"/>
                <w:sz w:val="18"/>
                <w:szCs w:val="18"/>
              </w:rPr>
              <w:t>cumulative</w:t>
            </w:r>
            <w:r w:rsidRPr="00EC75B7">
              <w:rPr>
                <w:rFonts w:ascii="Verdana" w:hAnsi="Verdana"/>
                <w:b/>
                <w:color w:val="FFFFFF"/>
                <w:sz w:val="18"/>
                <w:szCs w:val="18"/>
              </w:rPr>
              <w:t xml:space="preserve"> impact</w:t>
            </w:r>
          </w:p>
        </w:tc>
      </w:tr>
      <w:tr w:rsidR="008715BE" w:rsidRPr="00EC75B7" w14:paraId="687B713A" w14:textId="77777777">
        <w:trPr>
          <w:trHeight w:val="1172"/>
        </w:trPr>
        <w:tc>
          <w:tcPr>
            <w:tcW w:w="1548" w:type="dxa"/>
          </w:tcPr>
          <w:p w14:paraId="2CC9CFAD" w14:textId="77777777" w:rsidR="008715BE" w:rsidRPr="00EC75B7" w:rsidRDefault="008715BE">
            <w:pPr>
              <w:pStyle w:val="TableParagraph"/>
              <w:spacing w:before="7"/>
              <w:rPr>
                <w:rFonts w:ascii="Verdana" w:hAnsi="Verdana"/>
                <w:b/>
                <w:sz w:val="18"/>
                <w:szCs w:val="18"/>
              </w:rPr>
            </w:pPr>
          </w:p>
          <w:p w14:paraId="5530FCFC" w14:textId="77777777" w:rsidR="008715BE" w:rsidRPr="00EC75B7" w:rsidRDefault="00000000">
            <w:pPr>
              <w:pStyle w:val="TableParagraph"/>
              <w:ind w:left="107" w:right="195"/>
              <w:rPr>
                <w:rFonts w:ascii="Verdana" w:hAnsi="Verdana"/>
                <w:b/>
                <w:sz w:val="18"/>
                <w:szCs w:val="18"/>
              </w:rPr>
            </w:pPr>
            <w:r w:rsidRPr="00EC75B7">
              <w:rPr>
                <w:rFonts w:ascii="Verdana" w:hAnsi="Verdana"/>
                <w:b/>
                <w:spacing w:val="-2"/>
                <w:sz w:val="18"/>
                <w:szCs w:val="18"/>
              </w:rPr>
              <w:t xml:space="preserve">Non-ionizing </w:t>
            </w:r>
            <w:r w:rsidRPr="00EC75B7">
              <w:rPr>
                <w:rFonts w:ascii="Verdana" w:hAnsi="Verdana"/>
                <w:b/>
                <w:spacing w:val="-11"/>
                <w:sz w:val="18"/>
                <w:szCs w:val="18"/>
              </w:rPr>
              <w:t>radiation</w:t>
            </w:r>
            <w:r w:rsidRPr="00EC75B7">
              <w:rPr>
                <w:rFonts w:ascii="Verdana" w:hAnsi="Verdana"/>
                <w:b/>
                <w:spacing w:val="-2"/>
                <w:sz w:val="18"/>
                <w:szCs w:val="18"/>
              </w:rPr>
              <w:t>/interference</w:t>
            </w:r>
          </w:p>
        </w:tc>
        <w:tc>
          <w:tcPr>
            <w:tcW w:w="2419" w:type="dxa"/>
          </w:tcPr>
          <w:p w14:paraId="536620EB" w14:textId="77777777" w:rsidR="008715BE" w:rsidRPr="00EC75B7" w:rsidRDefault="00000000">
            <w:pPr>
              <w:pStyle w:val="TableParagraph"/>
              <w:spacing w:before="8"/>
              <w:ind w:left="108"/>
              <w:rPr>
                <w:rFonts w:ascii="Verdana" w:hAnsi="Verdana"/>
                <w:sz w:val="18"/>
                <w:szCs w:val="18"/>
              </w:rPr>
            </w:pPr>
            <w:r w:rsidRPr="00EC75B7">
              <w:rPr>
                <w:rFonts w:ascii="Verdana" w:hAnsi="Verdana"/>
                <w:sz w:val="18"/>
                <w:szCs w:val="18"/>
              </w:rPr>
              <w:t xml:space="preserve">Typical levels for existing electrical infrastructure; perceived sensitivity at </w:t>
            </w:r>
            <w:r w:rsidRPr="00EC75B7">
              <w:rPr>
                <w:rFonts w:ascii="Verdana" w:hAnsi="Verdana"/>
                <w:spacing w:val="-2"/>
                <w:sz w:val="18"/>
                <w:szCs w:val="18"/>
              </w:rPr>
              <w:t xml:space="preserve">property/boundary </w:t>
            </w:r>
            <w:r w:rsidRPr="00EC75B7">
              <w:rPr>
                <w:rFonts w:ascii="Verdana" w:hAnsi="Verdana"/>
                <w:sz w:val="18"/>
                <w:szCs w:val="18"/>
              </w:rPr>
              <w:t>limits.</w:t>
            </w:r>
          </w:p>
        </w:tc>
        <w:tc>
          <w:tcPr>
            <w:tcW w:w="2472" w:type="dxa"/>
          </w:tcPr>
          <w:p w14:paraId="1009BB41" w14:textId="77777777" w:rsidR="008715BE" w:rsidRPr="00EC75B7" w:rsidRDefault="00000000">
            <w:pPr>
              <w:pStyle w:val="TableParagraph"/>
              <w:spacing w:before="8"/>
              <w:ind w:left="105" w:right="151"/>
              <w:rPr>
                <w:rFonts w:ascii="Verdana" w:hAnsi="Verdana"/>
                <w:sz w:val="18"/>
                <w:szCs w:val="18"/>
              </w:rPr>
            </w:pPr>
            <w:r w:rsidRPr="00EC75B7">
              <w:rPr>
                <w:rFonts w:ascii="Verdana" w:hAnsi="Verdana"/>
                <w:sz w:val="18"/>
                <w:szCs w:val="18"/>
              </w:rPr>
              <w:t>EMF fields from electrical equipment and connection networks; possible local interference (depending on design).</w:t>
            </w:r>
          </w:p>
        </w:tc>
        <w:tc>
          <w:tcPr>
            <w:tcW w:w="3357" w:type="dxa"/>
          </w:tcPr>
          <w:p w14:paraId="606164F5" w14:textId="77777777" w:rsidR="008715BE" w:rsidRPr="00EC75B7" w:rsidRDefault="00000000">
            <w:pPr>
              <w:pStyle w:val="TableParagraph"/>
              <w:spacing w:before="106"/>
              <w:ind w:left="108" w:right="210"/>
              <w:rPr>
                <w:rFonts w:ascii="Verdana" w:hAnsi="Verdana"/>
                <w:sz w:val="18"/>
                <w:szCs w:val="18"/>
              </w:rPr>
            </w:pPr>
            <w:r w:rsidRPr="00EC75B7">
              <w:rPr>
                <w:rFonts w:ascii="Verdana" w:hAnsi="Verdana"/>
                <w:sz w:val="18"/>
                <w:szCs w:val="18"/>
              </w:rPr>
              <w:t>Usually low and within limits; requires verification/monitoring according to cross-border conditions (at the border).</w:t>
            </w:r>
          </w:p>
        </w:tc>
        <w:tc>
          <w:tcPr>
            <w:tcW w:w="2219" w:type="dxa"/>
          </w:tcPr>
          <w:p w14:paraId="136AFBA0" w14:textId="77777777" w:rsidR="008715BE" w:rsidRPr="00EC75B7" w:rsidRDefault="00000000">
            <w:pPr>
              <w:pStyle w:val="TableParagraph"/>
              <w:spacing w:before="8"/>
              <w:ind w:left="107" w:right="257"/>
              <w:rPr>
                <w:rFonts w:ascii="Verdana" w:hAnsi="Verdana"/>
                <w:sz w:val="18"/>
                <w:szCs w:val="18"/>
              </w:rPr>
            </w:pPr>
            <w:r w:rsidRPr="00EC75B7">
              <w:rPr>
                <w:rFonts w:ascii="Verdana" w:hAnsi="Verdana"/>
                <w:spacing w:val="-2"/>
                <w:sz w:val="18"/>
                <w:szCs w:val="18"/>
              </w:rPr>
              <w:t xml:space="preserve">Population (perception/exposure), </w:t>
            </w:r>
            <w:r w:rsidRPr="00EC75B7">
              <w:rPr>
                <w:rFonts w:ascii="Verdana" w:hAnsi="Verdana"/>
                <w:sz w:val="18"/>
                <w:szCs w:val="18"/>
              </w:rPr>
              <w:t>communications equipment (if nearby).</w:t>
            </w:r>
          </w:p>
        </w:tc>
        <w:tc>
          <w:tcPr>
            <w:tcW w:w="2541" w:type="dxa"/>
          </w:tcPr>
          <w:p w14:paraId="0A43DCD4" w14:textId="77777777" w:rsidR="008715BE" w:rsidRPr="00EC75B7" w:rsidRDefault="00000000">
            <w:pPr>
              <w:pStyle w:val="TableParagraph"/>
              <w:spacing w:before="8"/>
              <w:ind w:left="108" w:right="215"/>
              <w:rPr>
                <w:rFonts w:ascii="Verdana" w:hAnsi="Verdana"/>
                <w:sz w:val="18"/>
                <w:szCs w:val="18"/>
              </w:rPr>
            </w:pPr>
            <w:r w:rsidRPr="00EC75B7">
              <w:rPr>
                <w:rFonts w:ascii="Verdana" w:hAnsi="Verdana"/>
                <w:sz w:val="18"/>
                <w:szCs w:val="18"/>
              </w:rPr>
              <w:t xml:space="preserve">Cumulation with other power lines/stations in the area (field overlap), especially in </w:t>
            </w:r>
            <w:r w:rsidRPr="00EC75B7">
              <w:rPr>
                <w:rFonts w:ascii="Verdana" w:hAnsi="Verdana"/>
                <w:spacing w:val="-2"/>
                <w:sz w:val="18"/>
                <w:szCs w:val="18"/>
              </w:rPr>
              <w:t>energy</w:t>
            </w:r>
            <w:r w:rsidRPr="00EC75B7">
              <w:rPr>
                <w:rFonts w:ascii="Verdana" w:hAnsi="Verdana"/>
                <w:sz w:val="18"/>
                <w:szCs w:val="18"/>
              </w:rPr>
              <w:t xml:space="preserve"> corridors</w:t>
            </w:r>
            <w:r w:rsidRPr="00EC75B7">
              <w:rPr>
                <w:rFonts w:ascii="Verdana" w:hAnsi="Verdana"/>
                <w:spacing w:val="-2"/>
                <w:sz w:val="18"/>
                <w:szCs w:val="18"/>
              </w:rPr>
              <w:t>.</w:t>
            </w:r>
          </w:p>
        </w:tc>
      </w:tr>
      <w:tr w:rsidR="008715BE" w:rsidRPr="00EC75B7" w14:paraId="034CE2E9" w14:textId="77777777">
        <w:trPr>
          <w:trHeight w:val="1756"/>
        </w:trPr>
        <w:tc>
          <w:tcPr>
            <w:tcW w:w="1548" w:type="dxa"/>
          </w:tcPr>
          <w:p w14:paraId="62B3B175" w14:textId="77777777" w:rsidR="008715BE" w:rsidRPr="00EC75B7" w:rsidRDefault="008715BE">
            <w:pPr>
              <w:pStyle w:val="TableParagraph"/>
              <w:rPr>
                <w:rFonts w:ascii="Verdana" w:hAnsi="Verdana"/>
                <w:b/>
                <w:sz w:val="18"/>
                <w:szCs w:val="18"/>
              </w:rPr>
            </w:pPr>
          </w:p>
          <w:p w14:paraId="22ABCB38" w14:textId="77777777" w:rsidR="008715BE" w:rsidRPr="00EC75B7" w:rsidRDefault="008715BE">
            <w:pPr>
              <w:pStyle w:val="TableParagraph"/>
              <w:spacing w:before="105"/>
              <w:rPr>
                <w:rFonts w:ascii="Verdana" w:hAnsi="Verdana"/>
                <w:b/>
                <w:sz w:val="18"/>
                <w:szCs w:val="18"/>
              </w:rPr>
            </w:pPr>
          </w:p>
          <w:p w14:paraId="339FE488" w14:textId="77777777" w:rsidR="008715BE" w:rsidRPr="00EC75B7" w:rsidRDefault="00000000">
            <w:pPr>
              <w:pStyle w:val="TableParagraph"/>
              <w:ind w:left="107" w:right="185"/>
              <w:rPr>
                <w:rFonts w:ascii="Verdana" w:hAnsi="Verdana"/>
                <w:b/>
                <w:sz w:val="18"/>
                <w:szCs w:val="18"/>
              </w:rPr>
            </w:pPr>
            <w:r w:rsidRPr="00EC75B7">
              <w:rPr>
                <w:rFonts w:ascii="Verdana" w:hAnsi="Verdana"/>
                <w:b/>
                <w:sz w:val="18"/>
                <w:szCs w:val="18"/>
              </w:rPr>
              <w:t xml:space="preserve">Population and </w:t>
            </w:r>
            <w:r w:rsidRPr="00EC75B7">
              <w:rPr>
                <w:rFonts w:ascii="Verdana" w:hAnsi="Verdana"/>
                <w:b/>
                <w:spacing w:val="-2"/>
                <w:sz w:val="18"/>
                <w:szCs w:val="18"/>
              </w:rPr>
              <w:t>human health</w:t>
            </w:r>
          </w:p>
        </w:tc>
        <w:tc>
          <w:tcPr>
            <w:tcW w:w="2419" w:type="dxa"/>
          </w:tcPr>
          <w:p w14:paraId="180F104C" w14:textId="77777777" w:rsidR="008715BE" w:rsidRPr="00EC75B7" w:rsidRDefault="008715BE">
            <w:pPr>
              <w:pStyle w:val="TableParagraph"/>
              <w:rPr>
                <w:rFonts w:ascii="Verdana" w:hAnsi="Verdana"/>
                <w:b/>
                <w:sz w:val="18"/>
                <w:szCs w:val="18"/>
              </w:rPr>
            </w:pPr>
          </w:p>
          <w:p w14:paraId="14F0F3C0" w14:textId="77777777" w:rsidR="008715BE" w:rsidRPr="00EC75B7" w:rsidRDefault="008715BE">
            <w:pPr>
              <w:pStyle w:val="TableParagraph"/>
              <w:spacing w:before="6"/>
              <w:rPr>
                <w:rFonts w:ascii="Verdana" w:hAnsi="Verdana"/>
                <w:b/>
                <w:sz w:val="18"/>
                <w:szCs w:val="18"/>
              </w:rPr>
            </w:pPr>
          </w:p>
          <w:p w14:paraId="7AC3D2CE" w14:textId="77777777" w:rsidR="008715BE" w:rsidRPr="00EC75B7" w:rsidRDefault="00000000">
            <w:pPr>
              <w:pStyle w:val="TableParagraph"/>
              <w:spacing w:before="1"/>
              <w:ind w:left="108"/>
              <w:rPr>
                <w:rFonts w:ascii="Verdana" w:hAnsi="Verdana"/>
                <w:sz w:val="18"/>
                <w:szCs w:val="18"/>
              </w:rPr>
            </w:pPr>
            <w:r w:rsidRPr="00EC75B7">
              <w:rPr>
                <w:rFonts w:ascii="Verdana" w:hAnsi="Verdana"/>
                <w:sz w:val="18"/>
                <w:szCs w:val="18"/>
              </w:rPr>
              <w:t xml:space="preserve">Rural community, low density; </w:t>
            </w:r>
            <w:r w:rsidRPr="00EC75B7">
              <w:rPr>
                <w:rFonts w:ascii="Verdana" w:hAnsi="Verdana"/>
                <w:spacing w:val="-2"/>
                <w:sz w:val="18"/>
                <w:szCs w:val="18"/>
              </w:rPr>
              <w:t>limited</w:t>
            </w:r>
            <w:r w:rsidRPr="00EC75B7">
              <w:rPr>
                <w:rFonts w:ascii="Verdana" w:hAnsi="Verdana"/>
                <w:sz w:val="18"/>
                <w:szCs w:val="18"/>
              </w:rPr>
              <w:t xml:space="preserve"> current pressures </w:t>
            </w:r>
            <w:r w:rsidRPr="00EC75B7">
              <w:rPr>
                <w:rFonts w:ascii="Verdana" w:hAnsi="Verdana"/>
                <w:spacing w:val="-2"/>
                <w:sz w:val="18"/>
                <w:szCs w:val="18"/>
              </w:rPr>
              <w:t>(agriculture/local traffic).</w:t>
            </w:r>
          </w:p>
        </w:tc>
        <w:tc>
          <w:tcPr>
            <w:tcW w:w="2472" w:type="dxa"/>
          </w:tcPr>
          <w:p w14:paraId="457B22AB" w14:textId="77777777" w:rsidR="008715BE" w:rsidRPr="00EC75B7" w:rsidRDefault="008715BE">
            <w:pPr>
              <w:pStyle w:val="TableParagraph"/>
              <w:spacing w:before="7"/>
              <w:rPr>
                <w:rFonts w:ascii="Verdana" w:hAnsi="Verdana"/>
                <w:b/>
                <w:sz w:val="18"/>
                <w:szCs w:val="18"/>
              </w:rPr>
            </w:pPr>
          </w:p>
          <w:p w14:paraId="1FEDE173" w14:textId="77777777" w:rsidR="008715BE" w:rsidRPr="00EC75B7" w:rsidRDefault="00000000">
            <w:pPr>
              <w:pStyle w:val="TableParagraph"/>
              <w:ind w:left="105" w:right="151"/>
              <w:rPr>
                <w:rFonts w:ascii="Verdana" w:hAnsi="Verdana"/>
                <w:sz w:val="18"/>
                <w:szCs w:val="18"/>
              </w:rPr>
            </w:pPr>
            <w:r w:rsidRPr="00EC75B7">
              <w:rPr>
                <w:rFonts w:ascii="Verdana" w:hAnsi="Verdana"/>
                <w:sz w:val="18"/>
                <w:szCs w:val="18"/>
              </w:rPr>
              <w:t xml:space="preserve">Construction: dust, noise, traffic, risk of accidents; </w:t>
            </w:r>
            <w:r w:rsidRPr="00EC75B7">
              <w:rPr>
                <w:rFonts w:ascii="Verdana" w:hAnsi="Verdana"/>
                <w:spacing w:val="-2"/>
                <w:sz w:val="18"/>
                <w:szCs w:val="18"/>
              </w:rPr>
              <w:t xml:space="preserve">operation: noise, shadow </w:t>
            </w:r>
            <w:r w:rsidRPr="00EC75B7">
              <w:rPr>
                <w:rFonts w:ascii="Verdana" w:hAnsi="Verdana"/>
                <w:sz w:val="18"/>
                <w:szCs w:val="18"/>
              </w:rPr>
              <w:t>flicker, visual perception; socio-economic benefits (jobs, taxes).</w:t>
            </w:r>
          </w:p>
        </w:tc>
        <w:tc>
          <w:tcPr>
            <w:tcW w:w="3357" w:type="dxa"/>
          </w:tcPr>
          <w:p w14:paraId="03EEBEC4" w14:textId="77777777" w:rsidR="008715BE" w:rsidRPr="00EC75B7" w:rsidRDefault="008715BE">
            <w:pPr>
              <w:pStyle w:val="TableParagraph"/>
              <w:spacing w:before="7"/>
              <w:rPr>
                <w:rFonts w:ascii="Verdana" w:hAnsi="Verdana"/>
                <w:b/>
                <w:sz w:val="18"/>
                <w:szCs w:val="18"/>
              </w:rPr>
            </w:pPr>
          </w:p>
          <w:p w14:paraId="79190B57" w14:textId="77777777" w:rsidR="008715BE" w:rsidRPr="00EC75B7" w:rsidRDefault="00000000">
            <w:pPr>
              <w:pStyle w:val="TableParagraph"/>
              <w:ind w:left="108" w:right="189"/>
              <w:rPr>
                <w:rFonts w:ascii="Verdana" w:hAnsi="Verdana"/>
                <w:sz w:val="18"/>
                <w:szCs w:val="18"/>
              </w:rPr>
            </w:pPr>
            <w:r w:rsidRPr="00EC75B7">
              <w:rPr>
                <w:rFonts w:ascii="Verdana" w:hAnsi="Verdana"/>
                <w:sz w:val="18"/>
                <w:szCs w:val="18"/>
              </w:rPr>
              <w:t xml:space="preserve">Local/temporary negative impact during construction; during operation, impact </w:t>
            </w:r>
            <w:r w:rsidRPr="00EC75B7">
              <w:rPr>
                <w:rFonts w:ascii="Verdana" w:hAnsi="Verdana"/>
                <w:spacing w:val="-2"/>
                <w:sz w:val="18"/>
                <w:szCs w:val="18"/>
              </w:rPr>
              <w:t xml:space="preserve">depends on compliance </w:t>
            </w:r>
            <w:r w:rsidRPr="00EC75B7">
              <w:rPr>
                <w:rFonts w:ascii="Verdana" w:hAnsi="Verdana"/>
                <w:sz w:val="18"/>
                <w:szCs w:val="18"/>
              </w:rPr>
              <w:t>with</w:t>
            </w:r>
            <w:r w:rsidRPr="00EC75B7">
              <w:rPr>
                <w:rFonts w:ascii="Verdana" w:hAnsi="Verdana"/>
                <w:spacing w:val="-2"/>
                <w:sz w:val="18"/>
                <w:szCs w:val="18"/>
              </w:rPr>
              <w:t xml:space="preserve"> limits and </w:t>
            </w:r>
            <w:r w:rsidRPr="00EC75B7">
              <w:rPr>
                <w:rFonts w:ascii="Verdana" w:hAnsi="Verdana"/>
                <w:sz w:val="18"/>
                <w:szCs w:val="18"/>
              </w:rPr>
              <w:t>management of light effects; possible positive socio-economic impact.</w:t>
            </w:r>
          </w:p>
        </w:tc>
        <w:tc>
          <w:tcPr>
            <w:tcW w:w="2219" w:type="dxa"/>
          </w:tcPr>
          <w:p w14:paraId="50D4F3E7" w14:textId="77777777" w:rsidR="008715BE" w:rsidRPr="00EC75B7" w:rsidRDefault="00000000">
            <w:pPr>
              <w:pStyle w:val="TableParagraph"/>
              <w:spacing w:before="104"/>
              <w:ind w:left="107" w:right="103"/>
              <w:rPr>
                <w:rFonts w:ascii="Verdana" w:hAnsi="Verdana"/>
                <w:sz w:val="18"/>
                <w:szCs w:val="18"/>
              </w:rPr>
            </w:pPr>
            <w:r w:rsidRPr="00EC75B7">
              <w:rPr>
                <w:rFonts w:ascii="Verdana" w:hAnsi="Verdana"/>
                <w:sz w:val="18"/>
                <w:szCs w:val="18"/>
              </w:rPr>
              <w:t xml:space="preserve">Residents of Cerchezu and surrounding areas; traffic participants; cross-border receivers (depending on noise/light at </w:t>
            </w:r>
            <w:r w:rsidRPr="00EC75B7">
              <w:rPr>
                <w:rFonts w:ascii="Verdana" w:hAnsi="Verdana"/>
                <w:spacing w:val="-2"/>
                <w:sz w:val="18"/>
                <w:szCs w:val="18"/>
              </w:rPr>
              <w:t>the border).</w:t>
            </w:r>
          </w:p>
        </w:tc>
        <w:tc>
          <w:tcPr>
            <w:tcW w:w="2541" w:type="dxa"/>
          </w:tcPr>
          <w:p w14:paraId="149DC2F5" w14:textId="77777777" w:rsidR="008715BE" w:rsidRPr="00EC75B7" w:rsidRDefault="00000000">
            <w:pPr>
              <w:pStyle w:val="TableParagraph"/>
              <w:spacing w:before="8"/>
              <w:ind w:left="108" w:right="133"/>
              <w:rPr>
                <w:rFonts w:ascii="Verdana" w:hAnsi="Verdana"/>
                <w:sz w:val="18"/>
                <w:szCs w:val="18"/>
              </w:rPr>
            </w:pPr>
            <w:r w:rsidRPr="00EC75B7">
              <w:rPr>
                <w:rFonts w:ascii="Verdana" w:hAnsi="Verdana"/>
                <w:sz w:val="18"/>
                <w:szCs w:val="18"/>
              </w:rPr>
              <w:t xml:space="preserve">Combination with other projects if there are overlaps in construction sites, traffic, and noise/light pollution; cross-border – monitoring and reporting to the Bulgarian side for </w:t>
            </w:r>
            <w:r w:rsidRPr="00EC75B7">
              <w:rPr>
                <w:rFonts w:ascii="Verdana" w:hAnsi="Verdana"/>
                <w:spacing w:val="-2"/>
                <w:sz w:val="18"/>
                <w:szCs w:val="18"/>
              </w:rPr>
              <w:t>noise/radiation/light.</w:t>
            </w:r>
          </w:p>
        </w:tc>
      </w:tr>
    </w:tbl>
    <w:p w14:paraId="37A9B712" w14:textId="77777777" w:rsidR="008715BE" w:rsidRPr="00EC75B7" w:rsidRDefault="008715BE">
      <w:pPr>
        <w:pStyle w:val="TableParagraph"/>
        <w:rPr>
          <w:rFonts w:ascii="Verdana" w:hAnsi="Verdana"/>
          <w:sz w:val="18"/>
          <w:szCs w:val="18"/>
        </w:rPr>
        <w:sectPr w:rsidR="008715BE" w:rsidRPr="00EC75B7">
          <w:pgSz w:w="16840" w:h="11910" w:orient="landscape"/>
          <w:pgMar w:top="1280" w:right="1275" w:bottom="1020" w:left="708" w:header="766" w:footer="824" w:gutter="0"/>
          <w:cols w:space="708"/>
        </w:sectPr>
      </w:pPr>
    </w:p>
    <w:p w14:paraId="04E110C0" w14:textId="77777777" w:rsidR="008715BE" w:rsidRPr="00EC75B7" w:rsidRDefault="008715BE">
      <w:pPr>
        <w:pStyle w:val="BodyText"/>
        <w:rPr>
          <w:rFonts w:ascii="Verdana" w:hAnsi="Verdana"/>
          <w:b/>
        </w:rPr>
      </w:pPr>
    </w:p>
    <w:p w14:paraId="494C4CBF" w14:textId="77777777" w:rsidR="008715BE" w:rsidRPr="00EC75B7" w:rsidRDefault="008715BE">
      <w:pPr>
        <w:pStyle w:val="BodyText"/>
        <w:spacing w:before="183"/>
        <w:rPr>
          <w:rFonts w:ascii="Verdana" w:hAnsi="Verdana"/>
          <w:b/>
        </w:rPr>
      </w:pPr>
    </w:p>
    <w:p w14:paraId="0F2921AB" w14:textId="77777777" w:rsidR="008715BE" w:rsidRPr="00EC75B7" w:rsidRDefault="00000000">
      <w:pPr>
        <w:pStyle w:val="Heading3"/>
        <w:numPr>
          <w:ilvl w:val="2"/>
          <w:numId w:val="110"/>
        </w:numPr>
        <w:tabs>
          <w:tab w:val="left" w:pos="2807"/>
        </w:tabs>
        <w:ind w:left="2807" w:hanging="1615"/>
        <w:rPr>
          <w:rFonts w:ascii="Verdana" w:hAnsi="Verdana"/>
          <w:i/>
          <w:color w:val="00AFEF"/>
          <w:sz w:val="18"/>
          <w:szCs w:val="18"/>
        </w:rPr>
      </w:pPr>
      <w:bookmarkStart w:id="117" w:name="_bookmark118"/>
      <w:bookmarkEnd w:id="117"/>
      <w:r w:rsidRPr="00EC75B7">
        <w:rPr>
          <w:rFonts w:ascii="Verdana" w:hAnsi="Verdana"/>
          <w:color w:val="00AFEF"/>
          <w:spacing w:val="-2"/>
          <w:sz w:val="18"/>
          <w:szCs w:val="18"/>
        </w:rPr>
        <w:t xml:space="preserve">Current </w:t>
      </w:r>
      <w:r w:rsidRPr="00EC75B7">
        <w:rPr>
          <w:rFonts w:ascii="Verdana" w:hAnsi="Verdana"/>
          <w:color w:val="00AFEF"/>
          <w:sz w:val="18"/>
          <w:szCs w:val="18"/>
        </w:rPr>
        <w:t>pressure levels</w:t>
      </w:r>
    </w:p>
    <w:p w14:paraId="37FD4E46" w14:textId="77777777" w:rsidR="008715BE" w:rsidRPr="00EC75B7" w:rsidRDefault="008715BE">
      <w:pPr>
        <w:pStyle w:val="BodyText"/>
        <w:spacing w:before="111"/>
        <w:rPr>
          <w:rFonts w:ascii="Verdana" w:hAnsi="Verdana"/>
          <w:b/>
        </w:rPr>
      </w:pPr>
    </w:p>
    <w:p w14:paraId="0BB0B344" w14:textId="77777777" w:rsidR="008715BE" w:rsidRPr="00EC75B7" w:rsidRDefault="00000000">
      <w:pPr>
        <w:pStyle w:val="BodyText"/>
        <w:spacing w:line="357" w:lineRule="auto"/>
        <w:ind w:left="227" w:right="707"/>
        <w:jc w:val="both"/>
        <w:rPr>
          <w:rFonts w:ascii="Verdana" w:hAnsi="Verdana"/>
        </w:rPr>
      </w:pPr>
      <w:r w:rsidRPr="00EC75B7">
        <w:rPr>
          <w:rFonts w:ascii="Verdana" w:hAnsi="Verdana"/>
        </w:rPr>
        <w:t>The area analyzed for the project is currently characterized by a predominantly agricultural level of anthropogenic pressure, specific to the extra-urban area in southern Dobrogea. The site is dominated by arable land and agricultural infrastructure (farm roads, linear elements such as local canals/valleys), which indicates an anthropized landscape with generally simplified habitats and biodiversity strongly conditioned by land use.</w:t>
      </w:r>
    </w:p>
    <w:p w14:paraId="14D9F765" w14:textId="77777777" w:rsidR="008715BE" w:rsidRPr="00EC75B7" w:rsidRDefault="00000000">
      <w:pPr>
        <w:pStyle w:val="BodyText"/>
        <w:spacing w:before="125"/>
        <w:ind w:left="227"/>
        <w:jc w:val="both"/>
        <w:rPr>
          <w:rFonts w:ascii="Verdana" w:hAnsi="Verdana"/>
        </w:rPr>
      </w:pPr>
      <w:r w:rsidRPr="00EC75B7">
        <w:rPr>
          <w:rFonts w:ascii="Verdana" w:hAnsi="Verdana"/>
        </w:rPr>
        <w:t xml:space="preserve">The main current pressures can be summarized </w:t>
      </w:r>
      <w:r w:rsidRPr="00EC75B7">
        <w:rPr>
          <w:rFonts w:ascii="Verdana" w:hAnsi="Verdana"/>
          <w:spacing w:val="-2"/>
        </w:rPr>
        <w:t>as follows:</w:t>
      </w:r>
    </w:p>
    <w:p w14:paraId="08F4A04E" w14:textId="77777777" w:rsidR="008715BE" w:rsidRPr="00EC75B7" w:rsidRDefault="008715BE">
      <w:pPr>
        <w:pStyle w:val="BodyText"/>
        <w:spacing w:before="9"/>
        <w:rPr>
          <w:rFonts w:ascii="Verdana" w:hAnsi="Verdana"/>
        </w:rPr>
      </w:pPr>
    </w:p>
    <w:p w14:paraId="2BB6962C" w14:textId="77777777" w:rsidR="008715BE" w:rsidRPr="00EC75B7" w:rsidRDefault="00000000">
      <w:pPr>
        <w:pStyle w:val="ListParagraph"/>
        <w:numPr>
          <w:ilvl w:val="0"/>
          <w:numId w:val="36"/>
        </w:numPr>
        <w:tabs>
          <w:tab w:val="left" w:pos="947"/>
        </w:tabs>
        <w:spacing w:line="357" w:lineRule="auto"/>
        <w:ind w:right="709"/>
        <w:jc w:val="both"/>
        <w:rPr>
          <w:rFonts w:ascii="Verdana" w:hAnsi="Verdana"/>
          <w:sz w:val="18"/>
          <w:szCs w:val="18"/>
        </w:rPr>
      </w:pPr>
      <w:r w:rsidRPr="00EC75B7">
        <w:rPr>
          <w:rFonts w:ascii="Verdana" w:hAnsi="Verdana"/>
          <w:b/>
          <w:sz w:val="18"/>
          <w:szCs w:val="18"/>
        </w:rPr>
        <w:t>Change and intensification of agricultural land use</w:t>
      </w:r>
      <w:r w:rsidRPr="00EC75B7">
        <w:rPr>
          <w:rFonts w:ascii="Verdana" w:hAnsi="Verdana"/>
          <w:sz w:val="18"/>
          <w:szCs w:val="18"/>
        </w:rPr>
        <w:t>: recurring agricultural work (plowing, harrowing, sowing/harvesting), reduction of semi-natural elements (field margins, strips of vegetation), which generates functional fragmentation and a decline in habitat quality for some fauna groups (especially invertebrates, herpetofauna, small mammals).</w:t>
      </w:r>
    </w:p>
    <w:p w14:paraId="16ABD48D" w14:textId="77777777" w:rsidR="008715BE" w:rsidRPr="00EC75B7" w:rsidRDefault="00000000">
      <w:pPr>
        <w:pStyle w:val="ListParagraph"/>
        <w:numPr>
          <w:ilvl w:val="0"/>
          <w:numId w:val="36"/>
        </w:numPr>
        <w:tabs>
          <w:tab w:val="left" w:pos="947"/>
        </w:tabs>
        <w:spacing w:before="4" w:line="357" w:lineRule="auto"/>
        <w:ind w:right="709"/>
        <w:jc w:val="both"/>
        <w:rPr>
          <w:rFonts w:ascii="Verdana" w:hAnsi="Verdana"/>
          <w:sz w:val="18"/>
          <w:szCs w:val="18"/>
        </w:rPr>
      </w:pPr>
      <w:r w:rsidRPr="00EC75B7">
        <w:rPr>
          <w:rFonts w:ascii="Verdana" w:hAnsi="Verdana"/>
          <w:b/>
          <w:sz w:val="18"/>
          <w:szCs w:val="18"/>
        </w:rPr>
        <w:t>Local traffic and routine activities outside built-up areas</w:t>
      </w:r>
      <w:r w:rsidRPr="00EC75B7">
        <w:rPr>
          <w:rFonts w:ascii="Verdana" w:hAnsi="Verdana"/>
          <w:sz w:val="18"/>
          <w:szCs w:val="18"/>
        </w:rPr>
        <w:t>: periodic traffic on agricultural and communal roads associated with land use, with the potential to disturb and, in some cases, cause accidental mortality among terrestrial fauna.</w:t>
      </w:r>
    </w:p>
    <w:p w14:paraId="5905F266" w14:textId="77777777" w:rsidR="008715BE" w:rsidRPr="00EC75B7" w:rsidRDefault="00000000">
      <w:pPr>
        <w:pStyle w:val="ListParagraph"/>
        <w:numPr>
          <w:ilvl w:val="0"/>
          <w:numId w:val="36"/>
        </w:numPr>
        <w:tabs>
          <w:tab w:val="left" w:pos="947"/>
        </w:tabs>
        <w:spacing w:before="2" w:line="357" w:lineRule="auto"/>
        <w:ind w:right="710"/>
        <w:jc w:val="both"/>
        <w:rPr>
          <w:rFonts w:ascii="Verdana" w:hAnsi="Verdana"/>
          <w:sz w:val="18"/>
          <w:szCs w:val="18"/>
        </w:rPr>
      </w:pPr>
      <w:r w:rsidRPr="00EC75B7">
        <w:rPr>
          <w:rFonts w:ascii="Verdana" w:hAnsi="Verdana"/>
          <w:b/>
          <w:sz w:val="18"/>
          <w:szCs w:val="18"/>
        </w:rPr>
        <w:t xml:space="preserve">Diffuse </w:t>
      </w:r>
      <w:r w:rsidRPr="00EC75B7">
        <w:rPr>
          <w:rFonts w:ascii="Verdana" w:hAnsi="Verdana"/>
          <w:sz w:val="18"/>
          <w:szCs w:val="18"/>
        </w:rPr>
        <w:t>pollution</w:t>
      </w:r>
      <w:r w:rsidRPr="00EC75B7">
        <w:rPr>
          <w:rFonts w:ascii="Verdana" w:hAnsi="Verdana"/>
          <w:b/>
          <w:sz w:val="18"/>
          <w:szCs w:val="18"/>
        </w:rPr>
        <w:t xml:space="preserve"> specific to agriculture</w:t>
      </w:r>
      <w:r w:rsidRPr="00EC75B7">
        <w:rPr>
          <w:rFonts w:ascii="Verdana" w:hAnsi="Verdana"/>
          <w:sz w:val="18"/>
          <w:szCs w:val="18"/>
        </w:rPr>
        <w:t>: the use of fertilizers and plant protection products can cause chronic pressure on the soil and biota (especially invertebrates and food chains), even if the effects are dispersed and difficult to attribute to specific sources.</w:t>
      </w:r>
    </w:p>
    <w:p w14:paraId="54311057" w14:textId="77777777" w:rsidR="008715BE" w:rsidRPr="00EC75B7" w:rsidRDefault="00000000">
      <w:pPr>
        <w:pStyle w:val="ListParagraph"/>
        <w:numPr>
          <w:ilvl w:val="0"/>
          <w:numId w:val="36"/>
        </w:numPr>
        <w:tabs>
          <w:tab w:val="left" w:pos="947"/>
        </w:tabs>
        <w:spacing w:before="2" w:line="360" w:lineRule="auto"/>
        <w:ind w:right="707"/>
        <w:jc w:val="both"/>
        <w:rPr>
          <w:rFonts w:ascii="Verdana" w:hAnsi="Verdana"/>
          <w:sz w:val="18"/>
          <w:szCs w:val="18"/>
        </w:rPr>
      </w:pPr>
      <w:r w:rsidRPr="00EC75B7">
        <w:rPr>
          <w:rFonts w:ascii="Verdana" w:hAnsi="Verdana"/>
          <w:b/>
          <w:sz w:val="18"/>
          <w:szCs w:val="18"/>
        </w:rPr>
        <w:t>Fragmentation and disturbance by existing infrastructure</w:t>
      </w:r>
      <w:r w:rsidRPr="00EC75B7">
        <w:rPr>
          <w:rFonts w:ascii="Verdana" w:hAnsi="Verdana"/>
          <w:sz w:val="18"/>
          <w:szCs w:val="18"/>
        </w:rPr>
        <w:t>: the network of agricultural/farming roads and other existing linear features contribute to habitat discontinuity and increased accessibility to the area, maintaining a constant background disturbance.</w:t>
      </w:r>
    </w:p>
    <w:p w14:paraId="794CB8E9" w14:textId="77777777" w:rsidR="008715BE" w:rsidRPr="00EC75B7" w:rsidRDefault="00000000">
      <w:pPr>
        <w:pStyle w:val="ListParagraph"/>
        <w:numPr>
          <w:ilvl w:val="0"/>
          <w:numId w:val="36"/>
        </w:numPr>
        <w:tabs>
          <w:tab w:val="left" w:pos="947"/>
        </w:tabs>
        <w:spacing w:line="357" w:lineRule="auto"/>
        <w:ind w:right="707"/>
        <w:jc w:val="both"/>
        <w:rPr>
          <w:rFonts w:ascii="Verdana" w:hAnsi="Verdana"/>
          <w:sz w:val="18"/>
          <w:szCs w:val="18"/>
        </w:rPr>
      </w:pPr>
      <w:r w:rsidRPr="00EC75B7">
        <w:rPr>
          <w:rFonts w:ascii="Verdana" w:hAnsi="Verdana"/>
          <w:b/>
          <w:sz w:val="18"/>
          <w:szCs w:val="18"/>
        </w:rPr>
        <w:t>Pressures on flying fauna at regional level (cumulative)</w:t>
      </w:r>
      <w:r w:rsidRPr="00EC75B7">
        <w:rPr>
          <w:rFonts w:ascii="Verdana" w:hAnsi="Verdana"/>
          <w:sz w:val="18"/>
          <w:szCs w:val="18"/>
        </w:rPr>
        <w:t>: in the regional context, the assessment also takes into account cumulative pressures generated by other projects/activities in the area (including energy infrastructure), which may influence birdlife and bats through barrier effects, avoidance, and collision risk, especially on migration routes.</w:t>
      </w:r>
    </w:p>
    <w:p w14:paraId="0F5EC4A6" w14:textId="77777777" w:rsidR="008715BE" w:rsidRPr="00EC75B7" w:rsidRDefault="00000000">
      <w:pPr>
        <w:pStyle w:val="ListParagraph"/>
        <w:numPr>
          <w:ilvl w:val="0"/>
          <w:numId w:val="36"/>
        </w:numPr>
        <w:tabs>
          <w:tab w:val="left" w:pos="947"/>
        </w:tabs>
        <w:spacing w:line="357" w:lineRule="auto"/>
        <w:ind w:right="708"/>
        <w:jc w:val="both"/>
        <w:rPr>
          <w:rFonts w:ascii="Verdana" w:hAnsi="Verdana"/>
          <w:sz w:val="18"/>
          <w:szCs w:val="18"/>
        </w:rPr>
      </w:pPr>
      <w:r w:rsidRPr="00EC75B7">
        <w:rPr>
          <w:rFonts w:ascii="Verdana" w:hAnsi="Verdana"/>
          <w:b/>
          <w:sz w:val="18"/>
          <w:szCs w:val="18"/>
        </w:rPr>
        <w:t>Transboundary context</w:t>
      </w:r>
      <w:r w:rsidRPr="00EC75B7">
        <w:rPr>
          <w:rFonts w:ascii="Verdana" w:hAnsi="Verdana"/>
          <w:sz w:val="18"/>
          <w:szCs w:val="18"/>
        </w:rPr>
        <w:t>: proximity to the Bulgarian border and the existence of Natura 2000 sites in the vicinity require consideration of pressures and sensitivities on a broader scale, but current pressures at the site remain dominated by agricultural use and usual anthropogenic activities, not by strict conservation interventions.</w:t>
      </w:r>
    </w:p>
    <w:p w14:paraId="41AACD7A" w14:textId="77777777" w:rsidR="008715BE" w:rsidRPr="00EC75B7" w:rsidRDefault="00000000">
      <w:pPr>
        <w:pStyle w:val="BodyText"/>
        <w:spacing w:before="122" w:line="357" w:lineRule="auto"/>
        <w:ind w:left="227" w:right="706"/>
        <w:jc w:val="both"/>
        <w:rPr>
          <w:rFonts w:ascii="Verdana" w:hAnsi="Verdana"/>
        </w:rPr>
      </w:pPr>
      <w:r w:rsidRPr="00EC75B7">
        <w:rPr>
          <w:rFonts w:ascii="Verdana" w:hAnsi="Verdana"/>
        </w:rPr>
        <w:t>Overall, the current level of pressure in the implementation area can be classified as moderate (due to the dominance of agricultural activities and associated infrastructure), with specific elements of reduced pressure in less used areas and with increased relevance for mobile receptors (birdlife/chiroptera) in the regional and cross-border context. This characterization is important for interpreting the potential impact of the project: the project overlaps with an already anthropized landscape, and significant effects (if any) are more likely to be associated with the specific mechanisms of turbine operation on flying fauna than with a major transformation of existing habitats, which are already influenced by current agricultural pressures.</w:t>
      </w:r>
    </w:p>
    <w:p w14:paraId="50998B80" w14:textId="77777777" w:rsidR="008715BE" w:rsidRPr="00EC75B7" w:rsidRDefault="008715BE">
      <w:pPr>
        <w:pStyle w:val="BodyText"/>
        <w:rPr>
          <w:rFonts w:ascii="Verdana" w:hAnsi="Verdana"/>
        </w:rPr>
      </w:pPr>
    </w:p>
    <w:p w14:paraId="2D898099" w14:textId="77777777" w:rsidR="008715BE" w:rsidRPr="00EC75B7" w:rsidRDefault="008715BE">
      <w:pPr>
        <w:pStyle w:val="BodyText"/>
        <w:spacing w:before="137"/>
        <w:rPr>
          <w:rFonts w:ascii="Verdana" w:hAnsi="Verdana"/>
        </w:rPr>
      </w:pPr>
    </w:p>
    <w:p w14:paraId="0F1731EC" w14:textId="77777777" w:rsidR="008715BE" w:rsidRPr="00EC75B7" w:rsidRDefault="00000000">
      <w:pPr>
        <w:pStyle w:val="Heading3"/>
        <w:numPr>
          <w:ilvl w:val="1"/>
          <w:numId w:val="110"/>
        </w:numPr>
        <w:tabs>
          <w:tab w:val="left" w:pos="1187"/>
        </w:tabs>
        <w:ind w:left="1187" w:hanging="932"/>
        <w:jc w:val="left"/>
        <w:rPr>
          <w:rFonts w:ascii="Verdana" w:hAnsi="Verdana"/>
          <w:color w:val="00AFEF"/>
          <w:sz w:val="18"/>
          <w:szCs w:val="18"/>
        </w:rPr>
      </w:pPr>
      <w:bookmarkStart w:id="118" w:name="_bookmark119"/>
      <w:bookmarkEnd w:id="118"/>
      <w:r w:rsidRPr="00EC75B7">
        <w:rPr>
          <w:rFonts w:ascii="Verdana" w:hAnsi="Verdana"/>
          <w:color w:val="00AFEF"/>
          <w:spacing w:val="-2"/>
          <w:sz w:val="18"/>
          <w:szCs w:val="18"/>
        </w:rPr>
        <w:t xml:space="preserve">Climate </w:t>
      </w:r>
      <w:r w:rsidRPr="00EC75B7">
        <w:rPr>
          <w:rFonts w:ascii="Verdana" w:hAnsi="Verdana"/>
          <w:color w:val="00AFEF"/>
          <w:sz w:val="18"/>
          <w:szCs w:val="18"/>
        </w:rPr>
        <w:t>change</w:t>
      </w:r>
    </w:p>
    <w:p w14:paraId="07E2D107" w14:textId="77777777" w:rsidR="008715BE" w:rsidRPr="00EC75B7" w:rsidRDefault="00000000">
      <w:pPr>
        <w:pStyle w:val="BodyText"/>
        <w:spacing w:before="118"/>
        <w:ind w:left="227"/>
        <w:rPr>
          <w:rFonts w:ascii="Verdana" w:hAnsi="Verdana"/>
        </w:rPr>
      </w:pPr>
      <w:r w:rsidRPr="00EC75B7">
        <w:rPr>
          <w:rFonts w:ascii="Verdana" w:hAnsi="Verdana"/>
        </w:rPr>
        <w:t xml:space="preserve">The chapter on climate change has been improved and updated from the version presented </w:t>
      </w:r>
      <w:r w:rsidRPr="00EC75B7">
        <w:rPr>
          <w:rFonts w:ascii="Verdana" w:hAnsi="Verdana"/>
          <w:spacing w:val="-5"/>
        </w:rPr>
        <w:t>in</w:t>
      </w:r>
    </w:p>
    <w:p w14:paraId="2379A60D" w14:textId="77777777" w:rsidR="008715BE" w:rsidRPr="00EC75B7" w:rsidRDefault="00000000">
      <w:pPr>
        <w:pStyle w:val="BodyText"/>
        <w:spacing w:before="107"/>
        <w:ind w:left="227"/>
        <w:rPr>
          <w:rFonts w:ascii="Verdana" w:hAnsi="Verdana"/>
        </w:rPr>
      </w:pPr>
      <w:r w:rsidRPr="00EC75B7">
        <w:rPr>
          <w:rFonts w:ascii="Verdana" w:hAnsi="Verdana"/>
        </w:rPr>
        <w:t xml:space="preserve">Presentation Memorandum and Environmental Report - PUZ phase, in accordance with the </w:t>
      </w:r>
      <w:r w:rsidRPr="00EC75B7">
        <w:rPr>
          <w:rFonts w:ascii="Verdana" w:hAnsi="Verdana"/>
          <w:spacing w:val="-2"/>
        </w:rPr>
        <w:t xml:space="preserve">Practical </w:t>
      </w:r>
      <w:r w:rsidRPr="00EC75B7">
        <w:rPr>
          <w:rFonts w:ascii="Verdana" w:hAnsi="Verdana"/>
        </w:rPr>
        <w:t>Sectoral Guidelines</w:t>
      </w:r>
    </w:p>
    <w:p w14:paraId="0CE41685" w14:textId="77777777" w:rsidR="008715BE" w:rsidRPr="00EC75B7" w:rsidRDefault="008715BE">
      <w:pPr>
        <w:pStyle w:val="BodyText"/>
        <w:rPr>
          <w:rFonts w:ascii="Verdana" w:hAnsi="Verdana"/>
        </w:rPr>
        <w:sectPr w:rsidR="008715BE" w:rsidRPr="00EC75B7">
          <w:headerReference w:type="default" r:id="rId230"/>
          <w:footerReference w:type="default" r:id="rId231"/>
          <w:pgSz w:w="11910" w:h="16840"/>
          <w:pgMar w:top="1320" w:right="283" w:bottom="1000" w:left="992" w:header="766" w:footer="800" w:gutter="0"/>
          <w:cols w:space="708"/>
        </w:sectPr>
      </w:pPr>
    </w:p>
    <w:p w14:paraId="25409EF8" w14:textId="77777777" w:rsidR="008715BE" w:rsidRPr="00EC75B7" w:rsidRDefault="00000000">
      <w:pPr>
        <w:pStyle w:val="BodyText"/>
        <w:spacing w:before="99" w:line="357" w:lineRule="auto"/>
        <w:ind w:left="227" w:right="711"/>
        <w:jc w:val="both"/>
        <w:rPr>
          <w:rFonts w:ascii="Verdana" w:hAnsi="Verdana"/>
        </w:rPr>
      </w:pPr>
      <w:r w:rsidRPr="00EC75B7">
        <w:rPr>
          <w:rFonts w:ascii="Verdana" w:hAnsi="Verdana"/>
        </w:rPr>
        <w:lastRenderedPageBreak/>
        <w:t>JASPERS on climate resilience protection for the Energy, Municipal Solid Waste, and Transport sectors, version 1.0 – November 2024. The update aimed to strengthen the methodological approach, align it with the latest best practices, and integrate specific requirements for climate risk assessment and adaptation measures, thus ensuring a more robust and consistent analysis of the project's resilience.</w:t>
      </w:r>
    </w:p>
    <w:p w14:paraId="3B1F61D7" w14:textId="77777777" w:rsidR="008715BE" w:rsidRPr="00EC75B7" w:rsidRDefault="008715BE">
      <w:pPr>
        <w:pStyle w:val="BodyText"/>
        <w:spacing w:before="27"/>
        <w:rPr>
          <w:rFonts w:ascii="Verdana" w:hAnsi="Verdana"/>
        </w:rPr>
      </w:pPr>
    </w:p>
    <w:p w14:paraId="3DF95577" w14:textId="77777777" w:rsidR="008715BE" w:rsidRPr="00EC75B7" w:rsidRDefault="00000000">
      <w:pPr>
        <w:pStyle w:val="Heading3"/>
        <w:numPr>
          <w:ilvl w:val="2"/>
          <w:numId w:val="35"/>
        </w:numPr>
        <w:tabs>
          <w:tab w:val="left" w:pos="1341"/>
        </w:tabs>
        <w:ind w:left="1341" w:hanging="1143"/>
        <w:rPr>
          <w:rFonts w:ascii="Verdana" w:hAnsi="Verdana"/>
          <w:sz w:val="18"/>
          <w:szCs w:val="18"/>
        </w:rPr>
      </w:pPr>
      <w:bookmarkStart w:id="119" w:name="_bookmark120"/>
      <w:bookmarkEnd w:id="119"/>
      <w:r w:rsidRPr="00EC75B7">
        <w:rPr>
          <w:rFonts w:ascii="Verdana" w:hAnsi="Verdana"/>
          <w:color w:val="00AFEF"/>
          <w:sz w:val="18"/>
          <w:szCs w:val="18"/>
        </w:rPr>
        <w:t>Climate change mitigation (</w:t>
      </w:r>
      <w:r w:rsidRPr="00EC75B7">
        <w:rPr>
          <w:rFonts w:ascii="Verdana" w:hAnsi="Verdana"/>
          <w:color w:val="00AFEF"/>
          <w:spacing w:val="-2"/>
          <w:sz w:val="18"/>
          <w:szCs w:val="18"/>
        </w:rPr>
        <w:t xml:space="preserve">climate </w:t>
      </w:r>
      <w:r w:rsidRPr="00EC75B7">
        <w:rPr>
          <w:rFonts w:ascii="Verdana" w:hAnsi="Verdana"/>
          <w:color w:val="00AFEF"/>
          <w:sz w:val="18"/>
          <w:szCs w:val="18"/>
        </w:rPr>
        <w:t>neutrality</w:t>
      </w:r>
      <w:r w:rsidRPr="00EC75B7">
        <w:rPr>
          <w:rFonts w:ascii="Verdana" w:hAnsi="Verdana"/>
          <w:color w:val="00AFEF"/>
          <w:spacing w:val="-2"/>
          <w:sz w:val="18"/>
          <w:szCs w:val="18"/>
        </w:rPr>
        <w:t>)</w:t>
      </w:r>
    </w:p>
    <w:p w14:paraId="21508056" w14:textId="77777777" w:rsidR="008715BE" w:rsidRPr="00EC75B7" w:rsidRDefault="008715BE">
      <w:pPr>
        <w:pStyle w:val="BodyText"/>
        <w:spacing w:before="114"/>
        <w:rPr>
          <w:rFonts w:ascii="Verdana" w:hAnsi="Verdana"/>
          <w:b/>
        </w:rPr>
      </w:pPr>
    </w:p>
    <w:p w14:paraId="28582F5F" w14:textId="77777777" w:rsidR="008715BE" w:rsidRPr="00EC75B7" w:rsidRDefault="00000000">
      <w:pPr>
        <w:pStyle w:val="BodyText"/>
        <w:spacing w:line="357" w:lineRule="auto"/>
        <w:ind w:left="227" w:right="717"/>
        <w:jc w:val="both"/>
        <w:rPr>
          <w:rFonts w:ascii="Verdana" w:hAnsi="Verdana"/>
        </w:rPr>
      </w:pPr>
      <w:r w:rsidRPr="00EC75B7">
        <w:rPr>
          <w:rFonts w:ascii="Verdana" w:hAnsi="Verdana"/>
        </w:rPr>
        <w:t>This type of project does not fall within the category of projects for which a carbon footprint assessment is required under the "Technical Guidance on Climate Resilient Infrastructure 2021-2027".</w:t>
      </w:r>
    </w:p>
    <w:p w14:paraId="5A1E17F7" w14:textId="77777777" w:rsidR="008715BE" w:rsidRPr="00EC75B7" w:rsidRDefault="00000000">
      <w:pPr>
        <w:pStyle w:val="BodyText"/>
        <w:spacing w:before="122" w:line="357" w:lineRule="auto"/>
        <w:ind w:left="227" w:right="710"/>
        <w:jc w:val="both"/>
        <w:rPr>
          <w:rFonts w:ascii="Verdana" w:hAnsi="Verdana"/>
        </w:rPr>
      </w:pPr>
      <w:r w:rsidRPr="00EC75B7">
        <w:rPr>
          <w:rFonts w:ascii="Verdana" w:hAnsi="Verdana"/>
        </w:rPr>
        <w:t>During operation, wind farms do not generate direct greenhouse gas emissions, and indirect emissions associated with maintenance, monitoring, and operation activities are low and insignificant compared to the emissions avoided through the production of renewable energy. Therefore, the project's contribution to climate change mitigation is considered substantially positive, being aligned with national and European objectives for GHG emission reduction, energy transition, and long-term climate neutrality.</w:t>
      </w:r>
    </w:p>
    <w:p w14:paraId="4F8A515F" w14:textId="77777777" w:rsidR="008715BE" w:rsidRPr="00EC75B7" w:rsidRDefault="00000000">
      <w:pPr>
        <w:pStyle w:val="BodyText"/>
        <w:spacing w:before="122" w:line="360" w:lineRule="auto"/>
        <w:ind w:left="227" w:right="718"/>
        <w:jc w:val="both"/>
        <w:rPr>
          <w:rFonts w:ascii="Verdana" w:hAnsi="Verdana"/>
        </w:rPr>
      </w:pPr>
      <w:r w:rsidRPr="00EC75B7">
        <w:rPr>
          <w:rFonts w:ascii="Verdana" w:hAnsi="Verdana"/>
        </w:rPr>
        <w:t>The installed capacity of the entire wind farm is approximately 316.8 MW, and the estimated annual production capacity, corresponding to a capacity factor of 35% and the specific wind conditions in the Dobrogea region, is approximately 970,000 MWh/year.</w:t>
      </w:r>
    </w:p>
    <w:p w14:paraId="08607FE8" w14:textId="77777777" w:rsidR="008715BE" w:rsidRPr="00EC75B7" w:rsidRDefault="00000000">
      <w:pPr>
        <w:pStyle w:val="BodyText"/>
        <w:spacing w:before="118" w:line="357" w:lineRule="auto"/>
        <w:ind w:left="227" w:right="704"/>
        <w:jc w:val="both"/>
        <w:rPr>
          <w:rFonts w:ascii="Verdana" w:hAnsi="Verdana"/>
        </w:rPr>
      </w:pPr>
      <w:r w:rsidRPr="00EC75B7">
        <w:rPr>
          <w:rFonts w:ascii="Verdana" w:hAnsi="Verdana"/>
        </w:rPr>
        <w:t>To calculate the greenhouse gas (GHG) emissions reduced by producing 970,000 MWh/year of energy, it was assumed that energy from renewable sources replaces energy from conventional sources. Estimates were made taking into account an energy mix equivalent to approximately 0.23-0.24 tCO₂e/MWh, which is specific to an average European mix/energy system with lower coal weights.</w:t>
      </w:r>
    </w:p>
    <w:p w14:paraId="7917AB50" w14:textId="77777777" w:rsidR="008715BE" w:rsidRPr="00EC75B7" w:rsidRDefault="00000000">
      <w:pPr>
        <w:spacing w:before="123"/>
        <w:ind w:left="227"/>
        <w:jc w:val="both"/>
        <w:rPr>
          <w:rFonts w:ascii="Verdana" w:hAnsi="Verdana"/>
          <w:b/>
          <w:sz w:val="18"/>
          <w:szCs w:val="18"/>
        </w:rPr>
      </w:pPr>
      <w:r w:rsidRPr="00EC75B7">
        <w:rPr>
          <w:rFonts w:ascii="Verdana" w:hAnsi="Verdana"/>
          <w:b/>
          <w:sz w:val="18"/>
          <w:szCs w:val="18"/>
        </w:rPr>
        <w:t xml:space="preserve">Reduced emissions (tCO₂e)=Production (MWh)×Emission factor </w:t>
      </w:r>
      <w:r w:rsidRPr="00EC75B7">
        <w:rPr>
          <w:rFonts w:ascii="Verdana" w:hAnsi="Verdana"/>
          <w:b/>
          <w:spacing w:val="-2"/>
          <w:sz w:val="18"/>
          <w:szCs w:val="18"/>
        </w:rPr>
        <w:t>(tCO₂e/MWh)</w:t>
      </w:r>
    </w:p>
    <w:p w14:paraId="1C141992" w14:textId="77777777" w:rsidR="008715BE" w:rsidRPr="00EC75B7" w:rsidRDefault="008715BE">
      <w:pPr>
        <w:pStyle w:val="BodyText"/>
        <w:spacing w:before="7"/>
        <w:rPr>
          <w:rFonts w:ascii="Verdana" w:hAnsi="Verdana"/>
          <w:b/>
        </w:rPr>
      </w:pPr>
    </w:p>
    <w:p w14:paraId="4A25B31B" w14:textId="77777777" w:rsidR="008715BE" w:rsidRPr="00EC75B7" w:rsidRDefault="00000000">
      <w:pPr>
        <w:pStyle w:val="BodyText"/>
        <w:spacing w:before="1"/>
        <w:ind w:left="227"/>
        <w:rPr>
          <w:rFonts w:ascii="Verdana" w:hAnsi="Verdana"/>
        </w:rPr>
      </w:pPr>
      <w:r w:rsidRPr="00EC75B7">
        <w:rPr>
          <w:rFonts w:ascii="Verdana" w:hAnsi="Verdana"/>
        </w:rPr>
        <w:t xml:space="preserve">Estimates indicate an annual amount of electricity delivered from renewable sources of </w:t>
      </w:r>
      <w:r w:rsidRPr="00EC75B7">
        <w:rPr>
          <w:rFonts w:ascii="Verdana" w:hAnsi="Verdana"/>
          <w:spacing w:val="-2"/>
        </w:rPr>
        <w:t>approximately</w:t>
      </w:r>
    </w:p>
    <w:p w14:paraId="2354EE13" w14:textId="77777777" w:rsidR="008715BE" w:rsidRPr="00EC75B7" w:rsidRDefault="00000000">
      <w:pPr>
        <w:pStyle w:val="BodyText"/>
        <w:spacing w:before="109"/>
        <w:ind w:left="227"/>
        <w:rPr>
          <w:rFonts w:ascii="Verdana" w:hAnsi="Verdana"/>
        </w:rPr>
      </w:pPr>
      <w:r w:rsidRPr="00EC75B7">
        <w:rPr>
          <w:rFonts w:ascii="Verdana" w:hAnsi="Verdana"/>
        </w:rPr>
        <w:t>970,000 MWh/year, corresponding to a reduction in greenhouse gas emissions of 223,</w:t>
      </w:r>
      <w:r w:rsidRPr="00EC75B7">
        <w:rPr>
          <w:rFonts w:ascii="Verdana" w:hAnsi="Verdana"/>
          <w:spacing w:val="-2"/>
        </w:rPr>
        <w:t>100–232,800</w:t>
      </w:r>
    </w:p>
    <w:p w14:paraId="0C3E0B86" w14:textId="77777777" w:rsidR="008715BE" w:rsidRPr="00EC75B7" w:rsidRDefault="00000000">
      <w:pPr>
        <w:pStyle w:val="BodyText"/>
        <w:spacing w:before="109"/>
        <w:ind w:left="227"/>
        <w:rPr>
          <w:rFonts w:ascii="Verdana" w:hAnsi="Verdana"/>
        </w:rPr>
      </w:pPr>
      <w:r w:rsidRPr="00EC75B7">
        <w:rPr>
          <w:rFonts w:ascii="Verdana" w:hAnsi="Verdana"/>
          <w:spacing w:val="-2"/>
        </w:rPr>
        <w:t>tCO₂e/year.</w:t>
      </w:r>
    </w:p>
    <w:p w14:paraId="434CC522" w14:textId="77777777" w:rsidR="008715BE" w:rsidRPr="00EC75B7" w:rsidRDefault="008715BE">
      <w:pPr>
        <w:pStyle w:val="BodyText"/>
        <w:spacing w:before="129"/>
        <w:rPr>
          <w:rFonts w:ascii="Verdana" w:hAnsi="Verdana"/>
        </w:rPr>
      </w:pPr>
    </w:p>
    <w:p w14:paraId="73337EB1" w14:textId="77777777" w:rsidR="008715BE" w:rsidRPr="00EC75B7" w:rsidRDefault="00000000">
      <w:pPr>
        <w:pStyle w:val="Heading3"/>
        <w:numPr>
          <w:ilvl w:val="2"/>
          <w:numId w:val="34"/>
        </w:numPr>
        <w:tabs>
          <w:tab w:val="left" w:pos="1272"/>
        </w:tabs>
        <w:ind w:left="1272" w:hanging="1074"/>
        <w:jc w:val="left"/>
        <w:rPr>
          <w:rFonts w:ascii="Verdana" w:hAnsi="Verdana"/>
          <w:sz w:val="18"/>
          <w:szCs w:val="18"/>
        </w:rPr>
      </w:pPr>
      <w:bookmarkStart w:id="120" w:name="_bookmark121"/>
      <w:bookmarkEnd w:id="120"/>
      <w:r w:rsidRPr="00EC75B7">
        <w:rPr>
          <w:rFonts w:ascii="Verdana" w:hAnsi="Verdana"/>
          <w:color w:val="00AFEF"/>
          <w:sz w:val="18"/>
          <w:szCs w:val="18"/>
        </w:rPr>
        <w:t xml:space="preserve">Climate change adaptation review (STAGE 1 </w:t>
      </w:r>
      <w:r w:rsidRPr="00EC75B7">
        <w:rPr>
          <w:rFonts w:ascii="Verdana" w:hAnsi="Verdana"/>
          <w:color w:val="00AFEF"/>
          <w:spacing w:val="-2"/>
          <w:sz w:val="18"/>
          <w:szCs w:val="18"/>
        </w:rPr>
        <w:t>analysis)</w:t>
      </w:r>
    </w:p>
    <w:p w14:paraId="1990483C" w14:textId="77777777" w:rsidR="008715BE" w:rsidRPr="00EC75B7" w:rsidRDefault="008715BE">
      <w:pPr>
        <w:pStyle w:val="BodyText"/>
        <w:spacing w:before="117"/>
        <w:rPr>
          <w:rFonts w:ascii="Verdana" w:hAnsi="Verdana"/>
          <w:b/>
        </w:rPr>
      </w:pPr>
    </w:p>
    <w:p w14:paraId="4F2FEA0E" w14:textId="77777777" w:rsidR="008715BE" w:rsidRPr="00EC75B7" w:rsidRDefault="00000000">
      <w:pPr>
        <w:pStyle w:val="Heading3"/>
        <w:numPr>
          <w:ilvl w:val="3"/>
          <w:numId w:val="34"/>
        </w:numPr>
        <w:tabs>
          <w:tab w:val="left" w:pos="1486"/>
        </w:tabs>
        <w:ind w:left="1486" w:hanging="1288"/>
        <w:rPr>
          <w:rFonts w:ascii="Verdana" w:hAnsi="Verdana"/>
          <w:sz w:val="18"/>
          <w:szCs w:val="18"/>
        </w:rPr>
      </w:pPr>
      <w:bookmarkStart w:id="121" w:name="_bookmark122"/>
      <w:bookmarkEnd w:id="121"/>
      <w:r w:rsidRPr="00EC75B7">
        <w:rPr>
          <w:rFonts w:ascii="Verdana" w:hAnsi="Verdana"/>
          <w:color w:val="00AFEF"/>
          <w:spacing w:val="-2"/>
          <w:sz w:val="18"/>
          <w:szCs w:val="18"/>
        </w:rPr>
        <w:t>Sensitivity</w:t>
      </w:r>
    </w:p>
    <w:p w14:paraId="7C330721" w14:textId="77777777" w:rsidR="008715BE" w:rsidRPr="00EC75B7" w:rsidRDefault="008715BE">
      <w:pPr>
        <w:pStyle w:val="BodyText"/>
        <w:spacing w:before="114"/>
        <w:rPr>
          <w:rFonts w:ascii="Verdana" w:hAnsi="Verdana"/>
          <w:b/>
        </w:rPr>
      </w:pPr>
    </w:p>
    <w:p w14:paraId="4CA57A58" w14:textId="77777777" w:rsidR="008715BE" w:rsidRPr="00EC75B7" w:rsidRDefault="00000000">
      <w:pPr>
        <w:pStyle w:val="BodyText"/>
        <w:spacing w:line="360" w:lineRule="auto"/>
        <w:ind w:left="198" w:right="715"/>
        <w:jc w:val="both"/>
        <w:rPr>
          <w:rFonts w:ascii="Verdana" w:hAnsi="Verdana"/>
        </w:rPr>
      </w:pPr>
      <w:r w:rsidRPr="00EC75B7">
        <w:rPr>
          <w:rFonts w:ascii="Verdana" w:hAnsi="Verdana"/>
        </w:rPr>
        <w:t>To perform a sensitivity analysis of the project, all components relevant to the Wind Farm were identified. In accordance with the EU Communication on climate change resilience, the project components were grouped into the following categories: assets and processes, inputs, outputs, and interdependencies.</w:t>
      </w:r>
    </w:p>
    <w:p w14:paraId="03535777" w14:textId="77777777" w:rsidR="008715BE" w:rsidRPr="00EC75B7" w:rsidRDefault="00000000">
      <w:pPr>
        <w:pStyle w:val="BodyText"/>
        <w:spacing w:before="116" w:line="360" w:lineRule="auto"/>
        <w:ind w:left="198" w:right="717"/>
        <w:jc w:val="both"/>
        <w:rPr>
          <w:rFonts w:ascii="Verdana" w:hAnsi="Verdana"/>
        </w:rPr>
      </w:pPr>
      <w:r w:rsidRPr="00EC75B7">
        <w:rPr>
          <w:rFonts w:ascii="Verdana" w:hAnsi="Verdana"/>
        </w:rPr>
        <w:t>Each component was then subjected to sensitivity analysis to understand which climate hazards are relevant. This structures and focuses the assessment on demonstrating that the proposed project is resilient to possible climate risks.</w:t>
      </w:r>
    </w:p>
    <w:p w14:paraId="2F4F2D60" w14:textId="77777777" w:rsidR="008715BE" w:rsidRPr="00EC75B7" w:rsidRDefault="008715BE">
      <w:pPr>
        <w:pStyle w:val="BodyText"/>
        <w:spacing w:line="360" w:lineRule="auto"/>
        <w:jc w:val="both"/>
        <w:rPr>
          <w:rFonts w:ascii="Verdana" w:hAnsi="Verdana"/>
        </w:rPr>
        <w:sectPr w:rsidR="008715BE" w:rsidRPr="00EC75B7">
          <w:pgSz w:w="11910" w:h="16840"/>
          <w:pgMar w:top="1320" w:right="283" w:bottom="1020" w:left="992" w:header="766" w:footer="800" w:gutter="0"/>
          <w:cols w:space="708"/>
        </w:sectPr>
      </w:pPr>
    </w:p>
    <w:p w14:paraId="0B8C77C0" w14:textId="77777777" w:rsidR="008715BE" w:rsidRPr="00EC75B7" w:rsidRDefault="00000000">
      <w:pPr>
        <w:spacing w:before="99"/>
        <w:ind w:left="198"/>
        <w:rPr>
          <w:rFonts w:ascii="Verdana" w:hAnsi="Verdana"/>
          <w:b/>
          <w:sz w:val="18"/>
          <w:szCs w:val="18"/>
        </w:rPr>
      </w:pPr>
      <w:r w:rsidRPr="00EC75B7">
        <w:rPr>
          <w:rFonts w:ascii="Verdana" w:hAnsi="Verdana"/>
          <w:b/>
          <w:color w:val="009DEF"/>
          <w:spacing w:val="-2"/>
          <w:sz w:val="18"/>
          <w:szCs w:val="18"/>
        </w:rPr>
        <w:lastRenderedPageBreak/>
        <w:t xml:space="preserve">Project </w:t>
      </w:r>
      <w:r w:rsidRPr="00EC75B7">
        <w:rPr>
          <w:rFonts w:ascii="Verdana" w:hAnsi="Verdana"/>
          <w:b/>
          <w:color w:val="009DEF"/>
          <w:sz w:val="18"/>
          <w:szCs w:val="18"/>
        </w:rPr>
        <w:t>components</w:t>
      </w:r>
    </w:p>
    <w:p w14:paraId="26DAA9E3" w14:textId="77777777" w:rsidR="008715BE" w:rsidRPr="00EC75B7" w:rsidRDefault="008715BE">
      <w:pPr>
        <w:pStyle w:val="BodyText"/>
        <w:spacing w:before="12"/>
        <w:rPr>
          <w:rFonts w:ascii="Verdana" w:hAnsi="Verdana"/>
          <w:b/>
        </w:rPr>
      </w:pPr>
    </w:p>
    <w:tbl>
      <w:tblPr>
        <w:tblStyle w:val="TableNormal1"/>
        <w:tblW w:w="0" w:type="auto"/>
        <w:tblInd w:w="208" w:type="dxa"/>
        <w:tblLayout w:type="fixed"/>
        <w:tblLook w:val="01E0" w:firstRow="1" w:lastRow="1" w:firstColumn="1" w:lastColumn="1" w:noHBand="0" w:noVBand="0"/>
      </w:tblPr>
      <w:tblGrid>
        <w:gridCol w:w="1834"/>
        <w:gridCol w:w="259"/>
        <w:gridCol w:w="3056"/>
        <w:gridCol w:w="1369"/>
        <w:gridCol w:w="267"/>
        <w:gridCol w:w="1938"/>
        <w:gridCol w:w="269"/>
        <w:gridCol w:w="1071"/>
      </w:tblGrid>
      <w:tr w:rsidR="008715BE" w:rsidRPr="00EC75B7" w14:paraId="7ABC0CFE" w14:textId="77777777">
        <w:trPr>
          <w:trHeight w:val="390"/>
        </w:trPr>
        <w:tc>
          <w:tcPr>
            <w:tcW w:w="1834" w:type="dxa"/>
            <w:tcBorders>
              <w:top w:val="single" w:sz="4" w:space="0" w:color="D9D9D9"/>
              <w:left w:val="single" w:sz="4" w:space="0" w:color="D9D9D9"/>
              <w:bottom w:val="single" w:sz="4" w:space="0" w:color="D9D9D9"/>
              <w:right w:val="single" w:sz="4" w:space="0" w:color="D9D9D9"/>
            </w:tcBorders>
            <w:shd w:val="clear" w:color="auto" w:fill="00AFEF"/>
          </w:tcPr>
          <w:p w14:paraId="2DB43897" w14:textId="77777777" w:rsidR="008715BE" w:rsidRPr="00EC75B7" w:rsidRDefault="00000000">
            <w:pPr>
              <w:pStyle w:val="TableParagraph"/>
              <w:spacing w:before="10"/>
              <w:ind w:left="619"/>
              <w:rPr>
                <w:rFonts w:ascii="Verdana" w:hAnsi="Verdana"/>
                <w:b/>
                <w:sz w:val="18"/>
                <w:szCs w:val="18"/>
              </w:rPr>
            </w:pPr>
            <w:r w:rsidRPr="00EC75B7">
              <w:rPr>
                <w:rFonts w:ascii="Verdana" w:hAnsi="Verdana"/>
                <w:b/>
                <w:color w:val="FFFFFF"/>
                <w:spacing w:val="-2"/>
                <w:sz w:val="18"/>
                <w:szCs w:val="18"/>
              </w:rPr>
              <w:t>Inputs</w:t>
            </w:r>
          </w:p>
        </w:tc>
        <w:tc>
          <w:tcPr>
            <w:tcW w:w="259" w:type="dxa"/>
            <w:vMerge w:val="restart"/>
            <w:tcBorders>
              <w:left w:val="single" w:sz="4" w:space="0" w:color="D9D9D9"/>
            </w:tcBorders>
          </w:tcPr>
          <w:p w14:paraId="75EBCB80" w14:textId="77777777" w:rsidR="008715BE" w:rsidRPr="00EC75B7" w:rsidRDefault="008715BE">
            <w:pPr>
              <w:pStyle w:val="TableParagraph"/>
              <w:rPr>
                <w:rFonts w:ascii="Verdana" w:hAnsi="Verdana"/>
                <w:sz w:val="18"/>
                <w:szCs w:val="18"/>
              </w:rPr>
            </w:pPr>
          </w:p>
        </w:tc>
        <w:tc>
          <w:tcPr>
            <w:tcW w:w="3056" w:type="dxa"/>
            <w:tcBorders>
              <w:top w:val="single" w:sz="4" w:space="0" w:color="D9D9D9"/>
              <w:bottom w:val="single" w:sz="4" w:space="0" w:color="D9D9D9"/>
            </w:tcBorders>
            <w:shd w:val="clear" w:color="auto" w:fill="00AFEF"/>
          </w:tcPr>
          <w:p w14:paraId="71EAD4C0" w14:textId="77777777" w:rsidR="008715BE" w:rsidRPr="00EC75B7" w:rsidRDefault="00000000">
            <w:pPr>
              <w:pStyle w:val="TableParagraph"/>
              <w:spacing w:before="10"/>
              <w:ind w:left="8"/>
              <w:jc w:val="center"/>
              <w:rPr>
                <w:rFonts w:ascii="Verdana" w:hAnsi="Verdana"/>
                <w:b/>
                <w:sz w:val="18"/>
                <w:szCs w:val="18"/>
              </w:rPr>
            </w:pPr>
            <w:r w:rsidRPr="00EC75B7">
              <w:rPr>
                <w:rFonts w:ascii="Verdana" w:hAnsi="Verdana"/>
                <w:b/>
                <w:color w:val="FFFFFF"/>
                <w:spacing w:val="-2"/>
                <w:sz w:val="18"/>
                <w:szCs w:val="18"/>
              </w:rPr>
              <w:t>Assets</w:t>
            </w:r>
          </w:p>
        </w:tc>
        <w:tc>
          <w:tcPr>
            <w:tcW w:w="1369" w:type="dxa"/>
            <w:shd w:val="clear" w:color="auto" w:fill="00AFEF"/>
          </w:tcPr>
          <w:p w14:paraId="58F0AF47" w14:textId="77777777" w:rsidR="008715BE" w:rsidRPr="00EC75B7" w:rsidRDefault="00000000">
            <w:pPr>
              <w:pStyle w:val="TableParagraph"/>
              <w:spacing w:before="10" w:line="195" w:lineRule="exact"/>
              <w:ind w:left="9" w:right="2"/>
              <w:jc w:val="center"/>
              <w:rPr>
                <w:rFonts w:ascii="Verdana" w:hAnsi="Verdana"/>
                <w:b/>
                <w:sz w:val="18"/>
                <w:szCs w:val="18"/>
              </w:rPr>
            </w:pPr>
            <w:r w:rsidRPr="00EC75B7">
              <w:rPr>
                <w:rFonts w:ascii="Verdana" w:hAnsi="Verdana"/>
                <w:b/>
                <w:color w:val="FFFFFF"/>
                <w:spacing w:val="-5"/>
                <w:sz w:val="18"/>
                <w:szCs w:val="18"/>
              </w:rPr>
              <w:t>Life</w:t>
            </w:r>
          </w:p>
          <w:p w14:paraId="2481156E" w14:textId="77777777" w:rsidR="008715BE" w:rsidRPr="00EC75B7" w:rsidRDefault="00000000">
            <w:pPr>
              <w:pStyle w:val="TableParagraph"/>
              <w:spacing w:line="165" w:lineRule="exact"/>
              <w:ind w:left="9"/>
              <w:jc w:val="center"/>
              <w:rPr>
                <w:rFonts w:ascii="Verdana" w:hAnsi="Verdana"/>
                <w:b/>
                <w:sz w:val="18"/>
                <w:szCs w:val="18"/>
              </w:rPr>
            </w:pPr>
            <w:r w:rsidRPr="00EC75B7">
              <w:rPr>
                <w:rFonts w:ascii="Verdana" w:hAnsi="Verdana"/>
                <w:b/>
                <w:color w:val="FFFFFF"/>
                <w:spacing w:val="-2"/>
                <w:sz w:val="18"/>
                <w:szCs w:val="18"/>
              </w:rPr>
              <w:t>(years)</w:t>
            </w:r>
            <w:r w:rsidRPr="00EC75B7">
              <w:rPr>
                <w:rFonts w:ascii="Verdana" w:hAnsi="Verdana"/>
                <w:b/>
                <w:color w:val="FFFFFF"/>
                <w:spacing w:val="-2"/>
                <w:sz w:val="18"/>
                <w:szCs w:val="18"/>
                <w:vertAlign w:val="superscript"/>
              </w:rPr>
              <w:t>24</w:t>
            </w:r>
          </w:p>
        </w:tc>
        <w:tc>
          <w:tcPr>
            <w:tcW w:w="267" w:type="dxa"/>
            <w:vMerge w:val="restart"/>
          </w:tcPr>
          <w:p w14:paraId="071FE040" w14:textId="77777777" w:rsidR="008715BE" w:rsidRPr="00EC75B7" w:rsidRDefault="008715BE">
            <w:pPr>
              <w:pStyle w:val="TableParagraph"/>
              <w:rPr>
                <w:rFonts w:ascii="Verdana" w:hAnsi="Verdana"/>
                <w:sz w:val="18"/>
                <w:szCs w:val="18"/>
              </w:rPr>
            </w:pPr>
          </w:p>
        </w:tc>
        <w:tc>
          <w:tcPr>
            <w:tcW w:w="1938" w:type="dxa"/>
            <w:tcBorders>
              <w:bottom w:val="single" w:sz="4" w:space="0" w:color="D9D9D9"/>
            </w:tcBorders>
            <w:shd w:val="clear" w:color="auto" w:fill="00AFEF"/>
          </w:tcPr>
          <w:p w14:paraId="6CEAAF12" w14:textId="77777777" w:rsidR="008715BE" w:rsidRPr="00EC75B7" w:rsidRDefault="00000000">
            <w:pPr>
              <w:pStyle w:val="TableParagraph"/>
              <w:spacing w:before="15"/>
              <w:ind w:left="617"/>
              <w:rPr>
                <w:rFonts w:ascii="Verdana" w:hAnsi="Verdana"/>
                <w:b/>
                <w:sz w:val="18"/>
                <w:szCs w:val="18"/>
              </w:rPr>
            </w:pPr>
            <w:r w:rsidRPr="00EC75B7">
              <w:rPr>
                <w:rFonts w:ascii="Verdana" w:hAnsi="Verdana"/>
                <w:b/>
                <w:color w:val="FFFFFF"/>
                <w:spacing w:val="-2"/>
                <w:sz w:val="18"/>
                <w:szCs w:val="18"/>
              </w:rPr>
              <w:t>Processes</w:t>
            </w:r>
          </w:p>
        </w:tc>
        <w:tc>
          <w:tcPr>
            <w:tcW w:w="269" w:type="dxa"/>
            <w:vMerge w:val="restart"/>
          </w:tcPr>
          <w:p w14:paraId="024B2BBF" w14:textId="77777777" w:rsidR="008715BE" w:rsidRPr="00EC75B7" w:rsidRDefault="008715BE">
            <w:pPr>
              <w:pStyle w:val="TableParagraph"/>
              <w:rPr>
                <w:rFonts w:ascii="Verdana" w:hAnsi="Verdana"/>
                <w:sz w:val="18"/>
                <w:szCs w:val="18"/>
              </w:rPr>
            </w:pPr>
          </w:p>
        </w:tc>
        <w:tc>
          <w:tcPr>
            <w:tcW w:w="1071" w:type="dxa"/>
            <w:tcBorders>
              <w:top w:val="single" w:sz="4" w:space="0" w:color="D9D9D9"/>
              <w:bottom w:val="single" w:sz="4" w:space="0" w:color="D9D9D9"/>
              <w:right w:val="single" w:sz="4" w:space="0" w:color="D9D9D9"/>
            </w:tcBorders>
            <w:shd w:val="clear" w:color="auto" w:fill="00AFEF"/>
          </w:tcPr>
          <w:p w14:paraId="18D9E893" w14:textId="77777777" w:rsidR="008715BE" w:rsidRPr="00EC75B7" w:rsidRDefault="00000000">
            <w:pPr>
              <w:pStyle w:val="TableParagraph"/>
              <w:spacing w:before="10"/>
              <w:ind w:left="297"/>
              <w:rPr>
                <w:rFonts w:ascii="Verdana" w:hAnsi="Verdana"/>
                <w:b/>
                <w:sz w:val="18"/>
                <w:szCs w:val="18"/>
              </w:rPr>
            </w:pPr>
            <w:r w:rsidRPr="00EC75B7">
              <w:rPr>
                <w:rFonts w:ascii="Verdana" w:hAnsi="Verdana"/>
                <w:b/>
                <w:color w:val="FFFFFF"/>
                <w:spacing w:val="-2"/>
                <w:sz w:val="18"/>
                <w:szCs w:val="18"/>
              </w:rPr>
              <w:t>Output</w:t>
            </w:r>
          </w:p>
        </w:tc>
      </w:tr>
      <w:tr w:rsidR="008715BE" w:rsidRPr="00EC75B7" w14:paraId="196CCF10" w14:textId="77777777">
        <w:trPr>
          <w:trHeight w:val="4082"/>
        </w:trPr>
        <w:tc>
          <w:tcPr>
            <w:tcW w:w="1834" w:type="dxa"/>
            <w:tcBorders>
              <w:top w:val="single" w:sz="4" w:space="0" w:color="D9D9D9"/>
              <w:left w:val="single" w:sz="4" w:space="0" w:color="D9D9D9"/>
              <w:bottom w:val="single" w:sz="4" w:space="0" w:color="D9D9D9"/>
              <w:right w:val="single" w:sz="4" w:space="0" w:color="D9D9D9"/>
            </w:tcBorders>
            <w:shd w:val="clear" w:color="auto" w:fill="F1F1F1"/>
          </w:tcPr>
          <w:p w14:paraId="1B4B68F5" w14:textId="77777777" w:rsidR="008715BE" w:rsidRPr="00EC75B7" w:rsidRDefault="00000000">
            <w:pPr>
              <w:pStyle w:val="TableParagraph"/>
              <w:spacing w:before="8"/>
              <w:ind w:left="129" w:right="110" w:firstLine="103"/>
              <w:rPr>
                <w:rFonts w:ascii="Verdana" w:hAnsi="Verdana"/>
                <w:sz w:val="18"/>
                <w:szCs w:val="18"/>
              </w:rPr>
            </w:pPr>
            <w:r w:rsidRPr="00EC75B7">
              <w:rPr>
                <w:rFonts w:ascii="Verdana" w:hAnsi="Verdana"/>
                <w:sz w:val="18"/>
                <w:szCs w:val="18"/>
              </w:rPr>
              <w:t>Renewable energy sources (Wind)</w:t>
            </w:r>
          </w:p>
        </w:tc>
        <w:tc>
          <w:tcPr>
            <w:tcW w:w="259" w:type="dxa"/>
            <w:vMerge/>
            <w:tcBorders>
              <w:top w:val="nil"/>
              <w:left w:val="single" w:sz="4" w:space="0" w:color="D9D9D9"/>
            </w:tcBorders>
          </w:tcPr>
          <w:p w14:paraId="37063C12" w14:textId="77777777" w:rsidR="008715BE" w:rsidRPr="00EC75B7" w:rsidRDefault="008715BE">
            <w:pPr>
              <w:rPr>
                <w:rFonts w:ascii="Verdana" w:hAnsi="Verdana"/>
                <w:sz w:val="18"/>
                <w:szCs w:val="18"/>
              </w:rPr>
            </w:pPr>
          </w:p>
        </w:tc>
        <w:tc>
          <w:tcPr>
            <w:tcW w:w="3056" w:type="dxa"/>
            <w:tcBorders>
              <w:top w:val="single" w:sz="4" w:space="0" w:color="D9D9D9"/>
              <w:left w:val="single" w:sz="4" w:space="0" w:color="D9D9D9"/>
              <w:bottom w:val="single" w:sz="4" w:space="0" w:color="D9D9D9"/>
              <w:right w:val="single" w:sz="4" w:space="0" w:color="D9D9D9"/>
            </w:tcBorders>
            <w:shd w:val="clear" w:color="auto" w:fill="F1F1F1"/>
          </w:tcPr>
          <w:p w14:paraId="053B59CE" w14:textId="77777777" w:rsidR="008715BE" w:rsidRPr="00EC75B7" w:rsidRDefault="00000000">
            <w:pPr>
              <w:pStyle w:val="TableParagraph"/>
              <w:spacing w:before="8" w:line="195" w:lineRule="exact"/>
              <w:ind w:left="107"/>
              <w:rPr>
                <w:rFonts w:ascii="Verdana" w:hAnsi="Verdana"/>
                <w:sz w:val="18"/>
                <w:szCs w:val="18"/>
              </w:rPr>
            </w:pPr>
            <w:r w:rsidRPr="00EC75B7">
              <w:rPr>
                <w:rFonts w:ascii="Verdana" w:hAnsi="Verdana"/>
                <w:spacing w:val="-2"/>
                <w:sz w:val="18"/>
                <w:szCs w:val="18"/>
              </w:rPr>
              <w:t xml:space="preserve">Turbine </w:t>
            </w:r>
            <w:r w:rsidRPr="00EC75B7">
              <w:rPr>
                <w:rFonts w:ascii="Verdana" w:hAnsi="Verdana"/>
                <w:sz w:val="18"/>
                <w:szCs w:val="18"/>
              </w:rPr>
              <w:t>tower</w:t>
            </w:r>
          </w:p>
          <w:p w14:paraId="50F0F074" w14:textId="77777777" w:rsidR="008715BE" w:rsidRPr="00EC75B7" w:rsidRDefault="00000000">
            <w:pPr>
              <w:pStyle w:val="TableParagraph"/>
              <w:tabs>
                <w:tab w:val="left" w:pos="960"/>
                <w:tab w:val="left" w:pos="1406"/>
                <w:tab w:val="left" w:pos="1545"/>
                <w:tab w:val="left" w:pos="2378"/>
                <w:tab w:val="left" w:pos="2418"/>
              </w:tabs>
              <w:ind w:left="107" w:right="96"/>
              <w:rPr>
                <w:rFonts w:ascii="Verdana" w:hAnsi="Verdana"/>
                <w:sz w:val="18"/>
                <w:szCs w:val="18"/>
              </w:rPr>
            </w:pPr>
            <w:r w:rsidRPr="00EC75B7">
              <w:rPr>
                <w:rFonts w:ascii="Verdana" w:hAnsi="Verdana"/>
                <w:sz w:val="18"/>
                <w:szCs w:val="18"/>
              </w:rPr>
              <w:t xml:space="preserve">Rotor-nacelle assembly (rotor blades, hub, and nacelle) Mechanical and electrical equipment of the nacelles (gearbox, generator, controller, etc.) Support structure/foundation </w:t>
            </w:r>
            <w:r w:rsidRPr="00EC75B7">
              <w:rPr>
                <w:rFonts w:ascii="Verdana" w:hAnsi="Verdana"/>
                <w:spacing w:val="-2"/>
                <w:sz w:val="18"/>
                <w:szCs w:val="18"/>
              </w:rPr>
              <w:t>Mechanical equipment</w:t>
            </w:r>
            <w:r w:rsidRPr="00EC75B7">
              <w:rPr>
                <w:rFonts w:ascii="Verdana" w:hAnsi="Verdana"/>
                <w:sz w:val="18"/>
                <w:szCs w:val="18"/>
              </w:rPr>
              <w:tab/>
            </w:r>
            <w:r w:rsidRPr="00EC75B7">
              <w:rPr>
                <w:rFonts w:ascii="Verdana" w:hAnsi="Verdana"/>
                <w:spacing w:val="-2"/>
                <w:sz w:val="18"/>
                <w:szCs w:val="18"/>
              </w:rPr>
              <w:t>Mechanical</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 xml:space="preserve">for </w:t>
            </w:r>
            <w:r w:rsidRPr="00EC75B7">
              <w:rPr>
                <w:rFonts w:ascii="Verdana" w:hAnsi="Verdana"/>
                <w:sz w:val="18"/>
                <w:szCs w:val="18"/>
              </w:rPr>
              <w:t xml:space="preserve">monitoring and control systems (e.g., for </w:t>
            </w:r>
            <w:r w:rsidRPr="00EC75B7">
              <w:rPr>
                <w:rFonts w:ascii="Verdana" w:hAnsi="Verdana"/>
                <w:spacing w:val="-2"/>
                <w:sz w:val="18"/>
                <w:szCs w:val="18"/>
              </w:rPr>
              <w:t xml:space="preserve">blade </w:t>
            </w:r>
            <w:r w:rsidRPr="00EC75B7">
              <w:rPr>
                <w:rFonts w:ascii="Verdana" w:hAnsi="Verdana"/>
                <w:sz w:val="18"/>
                <w:szCs w:val="18"/>
              </w:rPr>
              <w:t>adjustment</w:t>
            </w:r>
            <w:r w:rsidRPr="00EC75B7">
              <w:rPr>
                <w:rFonts w:ascii="Verdana" w:hAnsi="Verdana"/>
                <w:sz w:val="18"/>
                <w:szCs w:val="18"/>
              </w:rPr>
              <w:tab/>
            </w:r>
            <w:r w:rsidRPr="00EC75B7">
              <w:rPr>
                <w:rFonts w:ascii="Verdana" w:hAnsi="Verdana"/>
                <w:spacing w:val="-4"/>
                <w:sz w:val="18"/>
                <w:szCs w:val="18"/>
              </w:rPr>
              <w:t>or</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for</w:t>
            </w:r>
            <w:r w:rsidRPr="00EC75B7">
              <w:rPr>
                <w:rFonts w:ascii="Verdana" w:hAnsi="Verdana"/>
                <w:sz w:val="18"/>
                <w:szCs w:val="18"/>
              </w:rPr>
              <w:tab/>
              <w:t>turbine</w:t>
            </w:r>
            <w:r w:rsidRPr="00EC75B7">
              <w:rPr>
                <w:rFonts w:ascii="Verdana" w:hAnsi="Verdana"/>
                <w:spacing w:val="-2"/>
                <w:sz w:val="18"/>
                <w:szCs w:val="18"/>
              </w:rPr>
              <w:t xml:space="preserve"> shutdown </w:t>
            </w:r>
            <w:r w:rsidRPr="00EC75B7">
              <w:rPr>
                <w:rFonts w:ascii="Verdana" w:hAnsi="Verdana"/>
                <w:sz w:val="18"/>
                <w:szCs w:val="18"/>
              </w:rPr>
              <w:t>in case wind speed exceeds safe operating thresholds)</w:t>
            </w:r>
          </w:p>
          <w:p w14:paraId="464569F5" w14:textId="77777777" w:rsidR="008715BE" w:rsidRPr="00EC75B7" w:rsidRDefault="00000000">
            <w:pPr>
              <w:pStyle w:val="TableParagraph"/>
              <w:tabs>
                <w:tab w:val="left" w:pos="638"/>
                <w:tab w:val="left" w:pos="1045"/>
                <w:tab w:val="left" w:pos="1997"/>
                <w:tab w:val="left" w:pos="2302"/>
              </w:tabs>
              <w:spacing w:line="183" w:lineRule="exact"/>
              <w:ind w:left="107"/>
              <w:rPr>
                <w:rFonts w:ascii="Verdana" w:hAnsi="Verdana"/>
                <w:sz w:val="18"/>
                <w:szCs w:val="18"/>
              </w:rPr>
            </w:pPr>
            <w:r w:rsidRPr="00EC75B7">
              <w:rPr>
                <w:rFonts w:ascii="Verdana" w:hAnsi="Verdana"/>
                <w:spacing w:val="-4"/>
                <w:sz w:val="18"/>
                <w:szCs w:val="18"/>
              </w:rPr>
              <w:t>Lines</w:t>
            </w:r>
            <w:r w:rsidRPr="00EC75B7">
              <w:rPr>
                <w:rFonts w:ascii="Verdana" w:hAnsi="Verdana"/>
                <w:sz w:val="18"/>
                <w:szCs w:val="18"/>
              </w:rPr>
              <w:tab/>
            </w:r>
            <w:r w:rsidRPr="00EC75B7">
              <w:rPr>
                <w:rFonts w:ascii="Verdana" w:hAnsi="Verdana"/>
                <w:spacing w:val="-5"/>
                <w:sz w:val="18"/>
                <w:szCs w:val="18"/>
              </w:rPr>
              <w:t>for</w:t>
            </w:r>
            <w:r w:rsidRPr="00EC75B7">
              <w:rPr>
                <w:rFonts w:ascii="Verdana" w:hAnsi="Verdana"/>
                <w:sz w:val="18"/>
                <w:szCs w:val="18"/>
              </w:rPr>
              <w:tab/>
            </w:r>
            <w:r w:rsidRPr="00EC75B7">
              <w:rPr>
                <w:rFonts w:ascii="Verdana" w:hAnsi="Verdana"/>
                <w:spacing w:val="-2"/>
                <w:sz w:val="18"/>
                <w:szCs w:val="18"/>
              </w:rPr>
              <w:t>transport</w:t>
            </w:r>
            <w:r w:rsidRPr="00EC75B7">
              <w:rPr>
                <w:rFonts w:ascii="Verdana" w:hAnsi="Verdana"/>
                <w:sz w:val="18"/>
                <w:szCs w:val="18"/>
              </w:rPr>
              <w:tab/>
            </w:r>
            <w:r w:rsidRPr="00EC75B7">
              <w:rPr>
                <w:rFonts w:ascii="Verdana" w:hAnsi="Verdana"/>
                <w:spacing w:val="-10"/>
                <w:sz w:val="18"/>
                <w:szCs w:val="18"/>
              </w:rPr>
              <w:t>for</w:t>
            </w:r>
            <w:r w:rsidRPr="00EC75B7">
              <w:rPr>
                <w:rFonts w:ascii="Verdana" w:hAnsi="Verdana"/>
                <w:sz w:val="18"/>
                <w:szCs w:val="18"/>
              </w:rPr>
              <w:tab/>
            </w:r>
            <w:r w:rsidRPr="00EC75B7">
              <w:rPr>
                <w:rFonts w:ascii="Verdana" w:hAnsi="Verdana"/>
                <w:spacing w:val="-2"/>
                <w:sz w:val="18"/>
                <w:szCs w:val="18"/>
              </w:rPr>
              <w:t>power</w:t>
            </w:r>
          </w:p>
          <w:p w14:paraId="6FFEB158" w14:textId="77777777" w:rsidR="008715BE" w:rsidRPr="00EC75B7" w:rsidRDefault="00000000">
            <w:pPr>
              <w:pStyle w:val="TableParagraph"/>
              <w:ind w:left="107" w:right="228"/>
              <w:rPr>
                <w:rFonts w:ascii="Verdana" w:hAnsi="Verdana"/>
                <w:sz w:val="18"/>
                <w:szCs w:val="18"/>
              </w:rPr>
            </w:pPr>
            <w:r w:rsidRPr="00EC75B7">
              <w:rPr>
                <w:rFonts w:ascii="Verdana" w:hAnsi="Verdana"/>
                <w:sz w:val="18"/>
                <w:szCs w:val="18"/>
              </w:rPr>
              <w:t>in the national grid Transformer station</w:t>
            </w:r>
          </w:p>
          <w:p w14:paraId="18E678E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51"/>
                <w:sz w:val="18"/>
                <w:szCs w:val="18"/>
              </w:rPr>
              <w:t xml:space="preserve">  </w:t>
            </w:r>
            <w:r w:rsidRPr="00EC75B7">
              <w:rPr>
                <w:rFonts w:ascii="Verdana" w:hAnsi="Verdana"/>
                <w:sz w:val="18"/>
                <w:szCs w:val="18"/>
              </w:rPr>
              <w:t xml:space="preserve"> facilities for</w:t>
            </w:r>
            <w:r w:rsidRPr="00EC75B7">
              <w:rPr>
                <w:rFonts w:ascii="Verdana" w:hAnsi="Verdana"/>
                <w:spacing w:val="50"/>
                <w:sz w:val="18"/>
                <w:szCs w:val="18"/>
              </w:rPr>
              <w:t xml:space="preserve">  </w:t>
            </w:r>
            <w:r w:rsidRPr="00EC75B7">
              <w:rPr>
                <w:rFonts w:ascii="Verdana" w:hAnsi="Verdana"/>
                <w:sz w:val="18"/>
                <w:szCs w:val="18"/>
              </w:rPr>
              <w:t xml:space="preserve"> manufacturing</w:t>
            </w:r>
            <w:r w:rsidRPr="00EC75B7">
              <w:rPr>
                <w:rFonts w:ascii="Verdana" w:hAnsi="Verdana"/>
                <w:spacing w:val="50"/>
                <w:sz w:val="18"/>
                <w:szCs w:val="18"/>
              </w:rPr>
              <w:t xml:space="preserve">  </w:t>
            </w:r>
            <w:r w:rsidRPr="00EC75B7">
              <w:rPr>
                <w:rFonts w:ascii="Verdana" w:hAnsi="Verdana"/>
                <w:spacing w:val="-5"/>
                <w:sz w:val="18"/>
                <w:szCs w:val="18"/>
              </w:rPr>
              <w:t xml:space="preserve"> or</w:t>
            </w:r>
          </w:p>
          <w:p w14:paraId="5CB8FA2D"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assembly </w:t>
            </w:r>
            <w:r w:rsidRPr="00EC75B7">
              <w:rPr>
                <w:rFonts w:ascii="Verdana" w:hAnsi="Verdana"/>
                <w:spacing w:val="-2"/>
                <w:sz w:val="18"/>
                <w:szCs w:val="18"/>
              </w:rPr>
              <w:t>of components</w:t>
            </w:r>
          </w:p>
        </w:tc>
        <w:tc>
          <w:tcPr>
            <w:tcW w:w="1369" w:type="dxa"/>
            <w:tcBorders>
              <w:left w:val="single" w:sz="4" w:space="0" w:color="D9D9D9"/>
              <w:right w:val="single" w:sz="4" w:space="0" w:color="D9D9D9"/>
            </w:tcBorders>
          </w:tcPr>
          <w:p w14:paraId="3F627C65"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20-30</w:t>
            </w:r>
          </w:p>
          <w:p w14:paraId="404B05AF" w14:textId="77777777" w:rsidR="008715BE" w:rsidRPr="00EC75B7" w:rsidRDefault="008715BE">
            <w:pPr>
              <w:pStyle w:val="TableParagraph"/>
              <w:spacing w:before="192"/>
              <w:rPr>
                <w:rFonts w:ascii="Verdana" w:hAnsi="Verdana"/>
                <w:b/>
                <w:sz w:val="18"/>
                <w:szCs w:val="18"/>
              </w:rPr>
            </w:pPr>
          </w:p>
          <w:p w14:paraId="1925DFFF"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5"/>
                <w:sz w:val="18"/>
                <w:szCs w:val="18"/>
              </w:rPr>
              <w:t>20-25</w:t>
            </w:r>
          </w:p>
          <w:p w14:paraId="5D0EEFCF" w14:textId="77777777" w:rsidR="008715BE" w:rsidRPr="00EC75B7" w:rsidRDefault="008715BE">
            <w:pPr>
              <w:pStyle w:val="TableParagraph"/>
              <w:spacing w:before="192"/>
              <w:rPr>
                <w:rFonts w:ascii="Verdana" w:hAnsi="Verdana"/>
                <w:b/>
                <w:sz w:val="18"/>
                <w:szCs w:val="18"/>
              </w:rPr>
            </w:pPr>
          </w:p>
          <w:p w14:paraId="2112BE8E"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20</w:t>
            </w:r>
          </w:p>
          <w:p w14:paraId="672505B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5"/>
                <w:sz w:val="18"/>
                <w:szCs w:val="18"/>
              </w:rPr>
              <w:t>25</w:t>
            </w:r>
          </w:p>
          <w:p w14:paraId="1258CC78" w14:textId="77777777" w:rsidR="008715BE" w:rsidRPr="00EC75B7" w:rsidRDefault="008715BE">
            <w:pPr>
              <w:pStyle w:val="TableParagraph"/>
              <w:rPr>
                <w:rFonts w:ascii="Verdana" w:hAnsi="Verdana"/>
                <w:b/>
                <w:sz w:val="18"/>
                <w:szCs w:val="18"/>
              </w:rPr>
            </w:pPr>
          </w:p>
          <w:p w14:paraId="73A8D7A8" w14:textId="77777777" w:rsidR="008715BE" w:rsidRPr="00EC75B7" w:rsidRDefault="008715BE">
            <w:pPr>
              <w:pStyle w:val="TableParagraph"/>
              <w:rPr>
                <w:rFonts w:ascii="Verdana" w:hAnsi="Verdana"/>
                <w:b/>
                <w:sz w:val="18"/>
                <w:szCs w:val="18"/>
              </w:rPr>
            </w:pPr>
          </w:p>
          <w:p w14:paraId="2F662D7C" w14:textId="77777777" w:rsidR="008715BE" w:rsidRPr="00EC75B7" w:rsidRDefault="008715BE">
            <w:pPr>
              <w:pStyle w:val="TableParagraph"/>
              <w:rPr>
                <w:rFonts w:ascii="Verdana" w:hAnsi="Verdana"/>
                <w:b/>
                <w:sz w:val="18"/>
                <w:szCs w:val="18"/>
              </w:rPr>
            </w:pPr>
          </w:p>
          <w:p w14:paraId="7DEBC5C9" w14:textId="77777777" w:rsidR="008715BE" w:rsidRPr="00EC75B7" w:rsidRDefault="008715BE">
            <w:pPr>
              <w:pStyle w:val="TableParagraph"/>
              <w:rPr>
                <w:rFonts w:ascii="Verdana" w:hAnsi="Verdana"/>
                <w:b/>
                <w:sz w:val="18"/>
                <w:szCs w:val="18"/>
              </w:rPr>
            </w:pPr>
          </w:p>
          <w:p w14:paraId="590FA4C2" w14:textId="77777777" w:rsidR="008715BE" w:rsidRPr="00EC75B7" w:rsidRDefault="008715BE">
            <w:pPr>
              <w:pStyle w:val="TableParagraph"/>
              <w:spacing w:before="189"/>
              <w:rPr>
                <w:rFonts w:ascii="Verdana" w:hAnsi="Verdana"/>
                <w:b/>
                <w:sz w:val="18"/>
                <w:szCs w:val="18"/>
              </w:rPr>
            </w:pPr>
          </w:p>
          <w:p w14:paraId="48308051" w14:textId="77777777" w:rsidR="008715BE" w:rsidRPr="00EC75B7" w:rsidRDefault="00000000">
            <w:pPr>
              <w:pStyle w:val="TableParagraph"/>
              <w:ind w:left="107"/>
              <w:rPr>
                <w:rFonts w:ascii="Verdana" w:hAnsi="Verdana"/>
                <w:sz w:val="18"/>
                <w:szCs w:val="18"/>
              </w:rPr>
            </w:pPr>
            <w:r w:rsidRPr="00EC75B7">
              <w:rPr>
                <w:rFonts w:ascii="Verdana" w:hAnsi="Verdana"/>
                <w:spacing w:val="-5"/>
                <w:sz w:val="18"/>
                <w:szCs w:val="18"/>
              </w:rPr>
              <w:t>1</w:t>
            </w:r>
            <w:r w:rsidRPr="00EC75B7">
              <w:rPr>
                <w:rFonts w:ascii="Verdana" w:hAnsi="Verdana"/>
                <w:spacing w:val="-2"/>
                <w:sz w:val="18"/>
                <w:szCs w:val="18"/>
              </w:rPr>
              <w:t>5</w:t>
            </w:r>
          </w:p>
          <w:p w14:paraId="07B7751A" w14:textId="77777777" w:rsidR="008715BE" w:rsidRPr="00EC75B7" w:rsidRDefault="00000000">
            <w:pPr>
              <w:pStyle w:val="TableParagraph"/>
              <w:spacing w:before="194" w:line="195" w:lineRule="exact"/>
              <w:ind w:left="107"/>
              <w:rPr>
                <w:rFonts w:ascii="Verdana" w:hAnsi="Verdana"/>
                <w:sz w:val="18"/>
                <w:szCs w:val="18"/>
              </w:rPr>
            </w:pPr>
            <w:r w:rsidRPr="00EC75B7">
              <w:rPr>
                <w:rFonts w:ascii="Verdana" w:hAnsi="Verdana"/>
                <w:spacing w:val="-5"/>
                <w:sz w:val="18"/>
                <w:szCs w:val="18"/>
              </w:rPr>
              <w:t>25-40</w:t>
            </w:r>
          </w:p>
          <w:p w14:paraId="24141979" w14:textId="77777777" w:rsidR="008715BE" w:rsidRPr="00EC75B7" w:rsidRDefault="00000000">
            <w:pPr>
              <w:pStyle w:val="TableParagraph"/>
              <w:ind w:left="107"/>
              <w:rPr>
                <w:rFonts w:ascii="Verdana" w:hAnsi="Verdana"/>
                <w:sz w:val="18"/>
                <w:szCs w:val="18"/>
              </w:rPr>
            </w:pPr>
            <w:r w:rsidRPr="00EC75B7">
              <w:rPr>
                <w:rFonts w:ascii="Verdana" w:hAnsi="Verdana"/>
                <w:spacing w:val="-5"/>
                <w:sz w:val="18"/>
                <w:szCs w:val="18"/>
              </w:rPr>
              <w:t>20</w:t>
            </w:r>
          </w:p>
        </w:tc>
        <w:tc>
          <w:tcPr>
            <w:tcW w:w="267" w:type="dxa"/>
            <w:vMerge/>
            <w:tcBorders>
              <w:top w:val="nil"/>
            </w:tcBorders>
          </w:tcPr>
          <w:p w14:paraId="3222052F" w14:textId="77777777" w:rsidR="008715BE" w:rsidRPr="00EC75B7" w:rsidRDefault="008715BE">
            <w:pPr>
              <w:rPr>
                <w:rFonts w:ascii="Verdana" w:hAnsi="Verdana"/>
                <w:sz w:val="18"/>
                <w:szCs w:val="18"/>
              </w:rPr>
            </w:pPr>
          </w:p>
        </w:tc>
        <w:tc>
          <w:tcPr>
            <w:tcW w:w="1938" w:type="dxa"/>
            <w:tcBorders>
              <w:top w:val="single" w:sz="4" w:space="0" w:color="D9D9D9"/>
              <w:left w:val="single" w:sz="4" w:space="0" w:color="D9D9D9"/>
              <w:bottom w:val="single" w:sz="4" w:space="0" w:color="D9D9D9"/>
              <w:right w:val="single" w:sz="4" w:space="0" w:color="D9D9D9"/>
            </w:tcBorders>
            <w:shd w:val="clear" w:color="auto" w:fill="F1F1F1"/>
          </w:tcPr>
          <w:p w14:paraId="5E2DA7D3" w14:textId="77777777" w:rsidR="008715BE" w:rsidRPr="00EC75B7" w:rsidRDefault="00000000">
            <w:pPr>
              <w:pStyle w:val="TableParagraph"/>
              <w:spacing w:before="8"/>
              <w:ind w:left="106" w:right="162"/>
              <w:rPr>
                <w:rFonts w:ascii="Verdana" w:hAnsi="Verdana"/>
                <w:sz w:val="18"/>
                <w:szCs w:val="18"/>
              </w:rPr>
            </w:pPr>
            <w:r w:rsidRPr="00EC75B7">
              <w:rPr>
                <w:rFonts w:ascii="Verdana" w:hAnsi="Verdana"/>
                <w:spacing w:val="-2"/>
                <w:sz w:val="18"/>
                <w:szCs w:val="18"/>
              </w:rPr>
              <w:t xml:space="preserve">Electricity </w:t>
            </w:r>
            <w:r w:rsidRPr="00EC75B7">
              <w:rPr>
                <w:rFonts w:ascii="Verdana" w:hAnsi="Verdana"/>
                <w:sz w:val="18"/>
                <w:szCs w:val="18"/>
              </w:rPr>
              <w:t xml:space="preserve">production Monitoring and </w:t>
            </w:r>
            <w:r w:rsidRPr="00EC75B7">
              <w:rPr>
                <w:rFonts w:ascii="Verdana" w:hAnsi="Verdana"/>
                <w:spacing w:val="-2"/>
                <w:sz w:val="18"/>
                <w:szCs w:val="18"/>
              </w:rPr>
              <w:t>control</w:t>
            </w:r>
          </w:p>
          <w:p w14:paraId="188C3BFF" w14:textId="77777777" w:rsidR="008715BE" w:rsidRPr="00EC75B7" w:rsidRDefault="00000000">
            <w:pPr>
              <w:pStyle w:val="TableParagraph"/>
              <w:ind w:left="106" w:right="440"/>
              <w:rPr>
                <w:rFonts w:ascii="Verdana" w:hAnsi="Verdana"/>
                <w:sz w:val="18"/>
                <w:szCs w:val="18"/>
              </w:rPr>
            </w:pPr>
            <w:r w:rsidRPr="00EC75B7">
              <w:rPr>
                <w:rFonts w:ascii="Verdana" w:hAnsi="Verdana"/>
                <w:sz w:val="18"/>
                <w:szCs w:val="18"/>
              </w:rPr>
              <w:t xml:space="preserve">Maintenance and </w:t>
            </w:r>
            <w:r w:rsidRPr="00EC75B7">
              <w:rPr>
                <w:rFonts w:ascii="Verdana" w:hAnsi="Verdana"/>
                <w:spacing w:val="-2"/>
                <w:sz w:val="18"/>
                <w:szCs w:val="18"/>
              </w:rPr>
              <w:t xml:space="preserve">repairs </w:t>
            </w:r>
            <w:r w:rsidRPr="00EC75B7">
              <w:rPr>
                <w:rFonts w:ascii="Verdana" w:hAnsi="Verdana"/>
                <w:sz w:val="18"/>
                <w:szCs w:val="18"/>
              </w:rPr>
              <w:t>Environmental monitoring activities to assess and</w:t>
            </w:r>
          </w:p>
          <w:p w14:paraId="56E66028" w14:textId="77777777" w:rsidR="008715BE" w:rsidRPr="00EC75B7" w:rsidRDefault="00000000">
            <w:pPr>
              <w:pStyle w:val="TableParagraph"/>
              <w:ind w:left="106" w:right="100"/>
              <w:rPr>
                <w:rFonts w:ascii="Verdana" w:hAnsi="Verdana"/>
                <w:sz w:val="18"/>
                <w:szCs w:val="18"/>
              </w:rPr>
            </w:pPr>
            <w:r w:rsidRPr="00EC75B7">
              <w:rPr>
                <w:rFonts w:ascii="Verdana" w:hAnsi="Verdana"/>
                <w:sz w:val="18"/>
                <w:szCs w:val="18"/>
              </w:rPr>
              <w:t xml:space="preserve">mitigate impacts on ecosystems Land management activities, including </w:t>
            </w:r>
            <w:r w:rsidRPr="00EC75B7">
              <w:rPr>
                <w:rFonts w:ascii="Verdana" w:hAnsi="Verdana"/>
                <w:spacing w:val="-2"/>
                <w:sz w:val="18"/>
                <w:szCs w:val="18"/>
              </w:rPr>
              <w:t xml:space="preserve">management </w:t>
            </w:r>
            <w:r w:rsidRPr="00EC75B7">
              <w:rPr>
                <w:rFonts w:ascii="Verdana" w:hAnsi="Verdana"/>
                <w:sz w:val="18"/>
                <w:szCs w:val="18"/>
              </w:rPr>
              <w:t xml:space="preserve">of vegetation around turbines and </w:t>
            </w:r>
            <w:r w:rsidRPr="00EC75B7">
              <w:rPr>
                <w:rFonts w:ascii="Verdana" w:hAnsi="Verdana"/>
                <w:spacing w:val="-2"/>
                <w:sz w:val="18"/>
                <w:szCs w:val="18"/>
              </w:rPr>
              <w:t>associated infrastructure</w:t>
            </w:r>
          </w:p>
        </w:tc>
        <w:tc>
          <w:tcPr>
            <w:tcW w:w="269" w:type="dxa"/>
            <w:vMerge/>
            <w:tcBorders>
              <w:top w:val="nil"/>
            </w:tcBorders>
          </w:tcPr>
          <w:p w14:paraId="5F03B30C" w14:textId="77777777" w:rsidR="008715BE" w:rsidRPr="00EC75B7" w:rsidRDefault="008715BE">
            <w:pPr>
              <w:rPr>
                <w:rFonts w:ascii="Verdana" w:hAnsi="Verdana"/>
                <w:sz w:val="18"/>
                <w:szCs w:val="18"/>
              </w:rPr>
            </w:pPr>
          </w:p>
        </w:tc>
        <w:tc>
          <w:tcPr>
            <w:tcW w:w="1071" w:type="dxa"/>
            <w:tcBorders>
              <w:top w:val="single" w:sz="4" w:space="0" w:color="D9D9D9"/>
              <w:left w:val="single" w:sz="4" w:space="0" w:color="D9D9D9"/>
              <w:bottom w:val="single" w:sz="4" w:space="0" w:color="D9D9D9"/>
              <w:right w:val="single" w:sz="4" w:space="0" w:color="D9D9D9"/>
            </w:tcBorders>
            <w:shd w:val="clear" w:color="auto" w:fill="F1F1F1"/>
          </w:tcPr>
          <w:p w14:paraId="2BF8CF5E" w14:textId="77777777" w:rsidR="008715BE" w:rsidRPr="00EC75B7" w:rsidRDefault="00000000">
            <w:pPr>
              <w:pStyle w:val="TableParagraph"/>
              <w:spacing w:before="8" w:line="195" w:lineRule="exact"/>
              <w:ind w:left="105"/>
              <w:rPr>
                <w:rFonts w:ascii="Verdana" w:hAnsi="Verdana"/>
                <w:sz w:val="18"/>
                <w:szCs w:val="18"/>
              </w:rPr>
            </w:pPr>
            <w:r w:rsidRPr="00EC75B7">
              <w:rPr>
                <w:rFonts w:ascii="Verdana" w:hAnsi="Verdana"/>
                <w:spacing w:val="-2"/>
                <w:sz w:val="18"/>
                <w:szCs w:val="18"/>
              </w:rPr>
              <w:t>Electricity</w:t>
            </w:r>
          </w:p>
          <w:p w14:paraId="0338143B"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pacing w:val="-2"/>
                <w:sz w:val="18"/>
                <w:szCs w:val="18"/>
              </w:rPr>
              <w:t>Electric</w:t>
            </w:r>
          </w:p>
        </w:tc>
      </w:tr>
    </w:tbl>
    <w:p w14:paraId="7E50520E" w14:textId="77777777" w:rsidR="008715BE" w:rsidRPr="00EC75B7" w:rsidRDefault="008715BE">
      <w:pPr>
        <w:pStyle w:val="BodyText"/>
        <w:spacing w:before="35"/>
        <w:rPr>
          <w:rFonts w:ascii="Verdana" w:hAnsi="Verdana"/>
          <w:b/>
        </w:rPr>
      </w:pPr>
    </w:p>
    <w:p w14:paraId="6A68F199" w14:textId="77777777" w:rsidR="008715BE" w:rsidRPr="00EC75B7" w:rsidRDefault="00000000">
      <w:pPr>
        <w:pStyle w:val="BodyText"/>
        <w:ind w:left="198"/>
        <w:rPr>
          <w:rFonts w:ascii="Verdana" w:hAnsi="Verdana"/>
        </w:rPr>
      </w:pPr>
      <w:r w:rsidRPr="00EC75B7">
        <w:rPr>
          <w:rFonts w:ascii="Verdana" w:hAnsi="Verdana"/>
        </w:rPr>
        <w:t>An average duration of approximately</w:t>
      </w:r>
      <w:r w:rsidRPr="00EC75B7">
        <w:rPr>
          <w:rFonts w:ascii="Verdana" w:hAnsi="Verdana"/>
          <w:b/>
        </w:rPr>
        <w:t xml:space="preserve"> 25 </w:t>
      </w:r>
      <w:r w:rsidRPr="00EC75B7">
        <w:rPr>
          <w:rFonts w:ascii="Verdana" w:hAnsi="Verdana"/>
          <w:b/>
          <w:spacing w:val="-4"/>
        </w:rPr>
        <w:t xml:space="preserve">years </w:t>
      </w:r>
      <w:r w:rsidRPr="00EC75B7">
        <w:rPr>
          <w:rFonts w:ascii="Verdana" w:hAnsi="Verdana"/>
        </w:rPr>
        <w:t>has been considered for this project</w:t>
      </w:r>
      <w:r w:rsidRPr="00EC75B7">
        <w:rPr>
          <w:rFonts w:ascii="Verdana" w:hAnsi="Verdana"/>
          <w:spacing w:val="-4"/>
        </w:rPr>
        <w:t>.</w:t>
      </w:r>
    </w:p>
    <w:p w14:paraId="57096701" w14:textId="77777777" w:rsidR="008715BE" w:rsidRPr="00EC75B7" w:rsidRDefault="00000000">
      <w:pPr>
        <w:spacing w:before="217"/>
        <w:ind w:left="198"/>
        <w:rPr>
          <w:rFonts w:ascii="Verdana" w:hAnsi="Verdana"/>
          <w:b/>
          <w:sz w:val="18"/>
          <w:szCs w:val="18"/>
        </w:rPr>
      </w:pPr>
      <w:r w:rsidRPr="00EC75B7">
        <w:rPr>
          <w:rFonts w:ascii="Verdana" w:hAnsi="Verdana"/>
          <w:b/>
          <w:color w:val="009DEF"/>
          <w:spacing w:val="-2"/>
          <w:sz w:val="18"/>
          <w:szCs w:val="18"/>
        </w:rPr>
        <w:t>Interdependencies</w:t>
      </w:r>
    </w:p>
    <w:p w14:paraId="1EC164D6" w14:textId="77777777" w:rsidR="008715BE" w:rsidRPr="00EC75B7" w:rsidRDefault="008715BE">
      <w:pPr>
        <w:pStyle w:val="BodyText"/>
        <w:spacing w:before="10"/>
        <w:rPr>
          <w:rFonts w:ascii="Verdana" w:hAnsi="Verdana"/>
          <w:b/>
        </w:rPr>
      </w:pPr>
    </w:p>
    <w:tbl>
      <w:tblPr>
        <w:tblStyle w:val="TableNormal1"/>
        <w:tblW w:w="0" w:type="auto"/>
        <w:tblInd w:w="2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0346"/>
      </w:tblGrid>
      <w:tr w:rsidR="008715BE" w:rsidRPr="00EC75B7" w14:paraId="2A41F3FF" w14:textId="77777777">
        <w:trPr>
          <w:trHeight w:val="297"/>
        </w:trPr>
        <w:tc>
          <w:tcPr>
            <w:tcW w:w="10346" w:type="dxa"/>
            <w:shd w:val="clear" w:color="auto" w:fill="00AFEF"/>
          </w:tcPr>
          <w:p w14:paraId="7C46268D" w14:textId="77777777" w:rsidR="008715BE" w:rsidRPr="00EC75B7" w:rsidRDefault="00000000">
            <w:pPr>
              <w:pStyle w:val="TableParagraph"/>
              <w:spacing w:before="8"/>
              <w:ind w:left="10"/>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17F0F333" w14:textId="77777777">
        <w:trPr>
          <w:trHeight w:val="582"/>
        </w:trPr>
        <w:tc>
          <w:tcPr>
            <w:tcW w:w="10346" w:type="dxa"/>
            <w:shd w:val="clear" w:color="auto" w:fill="F1F1F1"/>
          </w:tcPr>
          <w:p w14:paraId="3F3A5262"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 xml:space="preserve">Access roads to the </w:t>
            </w:r>
            <w:r w:rsidRPr="00EC75B7">
              <w:rPr>
                <w:rFonts w:ascii="Verdana" w:hAnsi="Verdana"/>
                <w:spacing w:val="-2"/>
                <w:sz w:val="18"/>
                <w:szCs w:val="18"/>
              </w:rPr>
              <w:t xml:space="preserve">wind </w:t>
            </w:r>
            <w:r w:rsidRPr="00EC75B7">
              <w:rPr>
                <w:rFonts w:ascii="Verdana" w:hAnsi="Verdana"/>
                <w:sz w:val="18"/>
                <w:szCs w:val="18"/>
              </w:rPr>
              <w:t>farm</w:t>
            </w:r>
          </w:p>
          <w:p w14:paraId="3B773DC9"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Electricity </w:t>
            </w:r>
            <w:r w:rsidRPr="00EC75B7">
              <w:rPr>
                <w:rFonts w:ascii="Verdana" w:hAnsi="Verdana"/>
                <w:spacing w:val="-2"/>
                <w:sz w:val="18"/>
                <w:szCs w:val="18"/>
              </w:rPr>
              <w:t xml:space="preserve">transmission and distribution </w:t>
            </w:r>
            <w:r w:rsidRPr="00EC75B7">
              <w:rPr>
                <w:rFonts w:ascii="Verdana" w:hAnsi="Verdana"/>
                <w:sz w:val="18"/>
                <w:szCs w:val="18"/>
              </w:rPr>
              <w:t>network</w:t>
            </w:r>
          </w:p>
          <w:p w14:paraId="688A2D18" w14:textId="77777777" w:rsidR="008715BE" w:rsidRPr="00EC75B7" w:rsidRDefault="00000000">
            <w:pPr>
              <w:pStyle w:val="TableParagraph"/>
              <w:spacing w:line="165" w:lineRule="exact"/>
              <w:ind w:left="108"/>
              <w:rPr>
                <w:rFonts w:ascii="Verdana" w:hAnsi="Verdana"/>
                <w:sz w:val="18"/>
                <w:szCs w:val="18"/>
              </w:rPr>
            </w:pPr>
            <w:r w:rsidRPr="00EC75B7">
              <w:rPr>
                <w:rFonts w:ascii="Verdana" w:hAnsi="Verdana"/>
                <w:spacing w:val="-2"/>
                <w:sz w:val="18"/>
                <w:szCs w:val="18"/>
              </w:rPr>
              <w:t xml:space="preserve">Electricity </w:t>
            </w:r>
            <w:r w:rsidRPr="00EC75B7">
              <w:rPr>
                <w:rFonts w:ascii="Verdana" w:hAnsi="Verdana"/>
                <w:sz w:val="18"/>
                <w:szCs w:val="18"/>
              </w:rPr>
              <w:t>consumption</w:t>
            </w:r>
          </w:p>
        </w:tc>
      </w:tr>
    </w:tbl>
    <w:p w14:paraId="11AE9A36" w14:textId="77777777" w:rsidR="008715BE" w:rsidRPr="00EC75B7" w:rsidRDefault="008715BE">
      <w:pPr>
        <w:pStyle w:val="BodyText"/>
        <w:rPr>
          <w:rFonts w:ascii="Verdana" w:hAnsi="Verdana"/>
          <w:b/>
        </w:rPr>
      </w:pPr>
    </w:p>
    <w:p w14:paraId="725EC34F" w14:textId="77777777" w:rsidR="008715BE" w:rsidRPr="00EC75B7" w:rsidRDefault="008715BE">
      <w:pPr>
        <w:pStyle w:val="BodyText"/>
        <w:spacing w:before="18"/>
        <w:rPr>
          <w:rFonts w:ascii="Verdana" w:hAnsi="Verdana"/>
          <w:b/>
        </w:rPr>
      </w:pPr>
    </w:p>
    <w:p w14:paraId="3877A8A8" w14:textId="77777777" w:rsidR="008715BE" w:rsidRPr="00EC75B7" w:rsidRDefault="00000000">
      <w:pPr>
        <w:pStyle w:val="BodyText"/>
        <w:spacing w:line="357" w:lineRule="auto"/>
        <w:ind w:left="198" w:right="704"/>
        <w:jc w:val="both"/>
        <w:rPr>
          <w:rFonts w:ascii="Verdana" w:hAnsi="Verdana"/>
        </w:rPr>
      </w:pPr>
      <w:r w:rsidRPr="00EC75B7">
        <w:rPr>
          <w:rFonts w:ascii="Verdana" w:hAnsi="Verdana"/>
        </w:rPr>
        <w:t>The relevant climate hazards, both chronic and acute, that may affect each wind farm project are presented in the table below. The color coding (no sensitivity - gray, low - green, medium - moderate, high - red) reflects the overall sensitivity level of wind farm projects, assessed in relation to the specific infrastructure type.</w:t>
      </w:r>
    </w:p>
    <w:p w14:paraId="618E11B7" w14:textId="77777777" w:rsidR="008715BE" w:rsidRPr="00EC75B7" w:rsidRDefault="00000000">
      <w:pPr>
        <w:spacing w:before="174"/>
        <w:ind w:left="198"/>
        <w:rPr>
          <w:rFonts w:ascii="Verdana" w:hAnsi="Verdana"/>
          <w:b/>
          <w:sz w:val="18"/>
          <w:szCs w:val="18"/>
        </w:rPr>
      </w:pPr>
      <w:r w:rsidRPr="00EC75B7">
        <w:rPr>
          <w:rFonts w:ascii="Verdana" w:hAnsi="Verdana"/>
          <w:b/>
          <w:color w:val="00AFEF"/>
          <w:sz w:val="18"/>
          <w:szCs w:val="18"/>
        </w:rPr>
        <w:t xml:space="preserve">Table 56 Relevant climate hazards affecting the energy subsectors </w:t>
      </w:r>
      <w:r w:rsidRPr="00EC75B7">
        <w:rPr>
          <w:rFonts w:ascii="Verdana" w:hAnsi="Verdana"/>
          <w:b/>
          <w:color w:val="00AFEF"/>
          <w:spacing w:val="-2"/>
          <w:sz w:val="18"/>
          <w:szCs w:val="18"/>
        </w:rPr>
        <w:t>analyzed</w:t>
      </w:r>
      <w:r w:rsidRPr="00EC75B7">
        <w:rPr>
          <w:rFonts w:ascii="Verdana" w:hAnsi="Verdana"/>
          <w:b/>
          <w:color w:val="009DEF"/>
          <w:spacing w:val="-2"/>
          <w:sz w:val="18"/>
          <w:szCs w:val="18"/>
          <w:vertAlign w:val="superscript"/>
        </w:rPr>
        <w:t>25</w:t>
      </w:r>
    </w:p>
    <w:tbl>
      <w:tblPr>
        <w:tblStyle w:val="TableNormal1"/>
        <w:tblW w:w="0" w:type="auto"/>
        <w:tblInd w:w="208" w:type="dxa"/>
        <w:tblBorders>
          <w:top w:val="single" w:sz="4" w:space="0" w:color="F1F1F1"/>
          <w:left w:val="single" w:sz="4" w:space="0" w:color="F1F1F1"/>
          <w:bottom w:val="single" w:sz="4" w:space="0" w:color="F1F1F1"/>
          <w:right w:val="single" w:sz="4" w:space="0" w:color="F1F1F1"/>
          <w:insideH w:val="single" w:sz="4" w:space="0" w:color="F1F1F1"/>
          <w:insideV w:val="single" w:sz="4" w:space="0" w:color="F1F1F1"/>
        </w:tblBorders>
        <w:tblLayout w:type="fixed"/>
        <w:tblLook w:val="01E0" w:firstRow="1" w:lastRow="1" w:firstColumn="1" w:lastColumn="1" w:noHBand="0" w:noVBand="0"/>
      </w:tblPr>
      <w:tblGrid>
        <w:gridCol w:w="7141"/>
        <w:gridCol w:w="1920"/>
      </w:tblGrid>
      <w:tr w:rsidR="008715BE" w:rsidRPr="00EC75B7" w14:paraId="6CB2A5A9" w14:textId="77777777">
        <w:trPr>
          <w:trHeight w:val="299"/>
        </w:trPr>
        <w:tc>
          <w:tcPr>
            <w:tcW w:w="7141" w:type="dxa"/>
            <w:shd w:val="clear" w:color="auto" w:fill="00AFEF"/>
          </w:tcPr>
          <w:p w14:paraId="224A8DC5" w14:textId="77777777" w:rsidR="008715BE" w:rsidRPr="00EC75B7" w:rsidRDefault="00000000">
            <w:pPr>
              <w:pStyle w:val="TableParagraph"/>
              <w:spacing w:before="105" w:line="175" w:lineRule="exact"/>
              <w:ind w:left="7"/>
              <w:jc w:val="center"/>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hazards</w:t>
            </w:r>
          </w:p>
        </w:tc>
        <w:tc>
          <w:tcPr>
            <w:tcW w:w="1920" w:type="dxa"/>
            <w:shd w:val="clear" w:color="auto" w:fill="00AFEF"/>
          </w:tcPr>
          <w:p w14:paraId="212D94D0" w14:textId="77777777" w:rsidR="008715BE" w:rsidRPr="00EC75B7" w:rsidRDefault="00000000">
            <w:pPr>
              <w:pStyle w:val="TableParagraph"/>
              <w:spacing w:before="105" w:line="175" w:lineRule="exact"/>
              <w:ind w:left="280"/>
              <w:rPr>
                <w:rFonts w:ascii="Verdana" w:hAnsi="Verdana"/>
                <w:b/>
                <w:sz w:val="18"/>
                <w:szCs w:val="18"/>
              </w:rPr>
            </w:pPr>
            <w:r w:rsidRPr="00EC75B7">
              <w:rPr>
                <w:rFonts w:ascii="Verdana" w:hAnsi="Verdana"/>
                <w:b/>
                <w:color w:val="FFFFFF"/>
                <w:spacing w:val="-2"/>
                <w:sz w:val="18"/>
                <w:szCs w:val="18"/>
              </w:rPr>
              <w:t xml:space="preserve">Wind </w:t>
            </w:r>
            <w:r w:rsidRPr="00EC75B7">
              <w:rPr>
                <w:rFonts w:ascii="Verdana" w:hAnsi="Verdana"/>
                <w:b/>
                <w:color w:val="FFFFFF"/>
                <w:sz w:val="18"/>
                <w:szCs w:val="18"/>
              </w:rPr>
              <w:t>farms</w:t>
            </w:r>
          </w:p>
        </w:tc>
      </w:tr>
      <w:tr w:rsidR="008715BE" w:rsidRPr="00EC75B7" w14:paraId="7A8B6BF8" w14:textId="77777777">
        <w:trPr>
          <w:trHeight w:val="299"/>
        </w:trPr>
        <w:tc>
          <w:tcPr>
            <w:tcW w:w="9061" w:type="dxa"/>
            <w:gridSpan w:val="2"/>
            <w:shd w:val="clear" w:color="auto" w:fill="001F5F"/>
          </w:tcPr>
          <w:p w14:paraId="1C8A23C8" w14:textId="77777777" w:rsidR="008715BE" w:rsidRPr="00EC75B7" w:rsidRDefault="00000000">
            <w:pPr>
              <w:pStyle w:val="TableParagraph"/>
              <w:spacing w:before="105" w:line="175" w:lineRule="exact"/>
              <w:ind w:left="12" w:right="3"/>
              <w:jc w:val="center"/>
              <w:rPr>
                <w:rFonts w:ascii="Verdana" w:hAnsi="Verdana"/>
                <w:b/>
                <w:sz w:val="18"/>
                <w:szCs w:val="18"/>
              </w:rPr>
            </w:pPr>
            <w:r w:rsidRPr="00EC75B7">
              <w:rPr>
                <w:rFonts w:ascii="Verdana" w:hAnsi="Verdana"/>
                <w:b/>
                <w:color w:val="FFFFFF"/>
                <w:spacing w:val="-2"/>
                <w:sz w:val="18"/>
                <w:szCs w:val="18"/>
              </w:rPr>
              <w:t>CHRONIC</w:t>
            </w:r>
          </w:p>
        </w:tc>
      </w:tr>
      <w:tr w:rsidR="008715BE" w:rsidRPr="00EC75B7" w14:paraId="728BB330" w14:textId="77777777">
        <w:trPr>
          <w:trHeight w:val="270"/>
        </w:trPr>
        <w:tc>
          <w:tcPr>
            <w:tcW w:w="7141" w:type="dxa"/>
          </w:tcPr>
          <w:p w14:paraId="51BA11C3" w14:textId="77777777" w:rsidR="008715BE" w:rsidRPr="00EC75B7" w:rsidRDefault="00000000">
            <w:pPr>
              <w:pStyle w:val="TableParagraph"/>
              <w:spacing w:before="76" w:line="175" w:lineRule="exact"/>
              <w:ind w:left="108"/>
              <w:rPr>
                <w:rFonts w:ascii="Verdana" w:hAnsi="Verdana"/>
                <w:sz w:val="18"/>
                <w:szCs w:val="18"/>
              </w:rPr>
            </w:pPr>
            <w:r w:rsidRPr="00EC75B7">
              <w:rPr>
                <w:rFonts w:ascii="Verdana" w:hAnsi="Verdana"/>
                <w:sz w:val="18"/>
                <w:szCs w:val="18"/>
              </w:rPr>
              <w:t xml:space="preserve">Temperature change/temperature </w:t>
            </w:r>
            <w:r w:rsidRPr="00EC75B7">
              <w:rPr>
                <w:rFonts w:ascii="Verdana" w:hAnsi="Verdana"/>
                <w:spacing w:val="-2"/>
                <w:sz w:val="18"/>
                <w:szCs w:val="18"/>
              </w:rPr>
              <w:t>variability</w:t>
            </w:r>
          </w:p>
        </w:tc>
        <w:tc>
          <w:tcPr>
            <w:tcW w:w="1920" w:type="dxa"/>
            <w:shd w:val="clear" w:color="auto" w:fill="C5DFB4"/>
          </w:tcPr>
          <w:p w14:paraId="6A484BAA" w14:textId="77777777" w:rsidR="008715BE" w:rsidRPr="00EC75B7" w:rsidRDefault="008715BE">
            <w:pPr>
              <w:pStyle w:val="TableParagraph"/>
              <w:rPr>
                <w:rFonts w:ascii="Verdana" w:hAnsi="Verdana"/>
                <w:sz w:val="18"/>
                <w:szCs w:val="18"/>
              </w:rPr>
            </w:pPr>
          </w:p>
        </w:tc>
      </w:tr>
      <w:tr w:rsidR="008715BE" w:rsidRPr="00EC75B7" w14:paraId="3838C8BD" w14:textId="77777777">
        <w:trPr>
          <w:trHeight w:val="299"/>
        </w:trPr>
        <w:tc>
          <w:tcPr>
            <w:tcW w:w="7141" w:type="dxa"/>
          </w:tcPr>
          <w:p w14:paraId="746630FF"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 xml:space="preserve">Permafrost </w:t>
            </w:r>
            <w:r w:rsidRPr="00EC75B7">
              <w:rPr>
                <w:rFonts w:ascii="Verdana" w:hAnsi="Verdana"/>
                <w:sz w:val="18"/>
                <w:szCs w:val="18"/>
              </w:rPr>
              <w:t>thawing</w:t>
            </w:r>
          </w:p>
        </w:tc>
        <w:tc>
          <w:tcPr>
            <w:tcW w:w="1920" w:type="dxa"/>
            <w:shd w:val="clear" w:color="auto" w:fill="FFD44F"/>
          </w:tcPr>
          <w:p w14:paraId="0F728A85" w14:textId="77777777" w:rsidR="008715BE" w:rsidRPr="00EC75B7" w:rsidRDefault="008715BE">
            <w:pPr>
              <w:pStyle w:val="TableParagraph"/>
              <w:rPr>
                <w:rFonts w:ascii="Verdana" w:hAnsi="Verdana"/>
                <w:sz w:val="18"/>
                <w:szCs w:val="18"/>
              </w:rPr>
            </w:pPr>
          </w:p>
        </w:tc>
      </w:tr>
      <w:tr w:rsidR="008715BE" w:rsidRPr="00EC75B7" w14:paraId="063D5407" w14:textId="77777777">
        <w:trPr>
          <w:trHeight w:val="299"/>
        </w:trPr>
        <w:tc>
          <w:tcPr>
            <w:tcW w:w="7141" w:type="dxa"/>
          </w:tcPr>
          <w:p w14:paraId="7579CBE1"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Changing </w:t>
            </w:r>
            <w:r w:rsidRPr="00EC75B7">
              <w:rPr>
                <w:rFonts w:ascii="Verdana" w:hAnsi="Verdana"/>
                <w:spacing w:val="-4"/>
                <w:sz w:val="18"/>
                <w:szCs w:val="18"/>
              </w:rPr>
              <w:t xml:space="preserve">wind </w:t>
            </w:r>
            <w:r w:rsidRPr="00EC75B7">
              <w:rPr>
                <w:rFonts w:ascii="Verdana" w:hAnsi="Verdana"/>
                <w:sz w:val="18"/>
                <w:szCs w:val="18"/>
              </w:rPr>
              <w:t>patterns</w:t>
            </w:r>
          </w:p>
        </w:tc>
        <w:tc>
          <w:tcPr>
            <w:tcW w:w="1920" w:type="dxa"/>
            <w:shd w:val="clear" w:color="auto" w:fill="FFD44F"/>
          </w:tcPr>
          <w:p w14:paraId="5C8F730B" w14:textId="77777777" w:rsidR="008715BE" w:rsidRPr="00EC75B7" w:rsidRDefault="008715BE">
            <w:pPr>
              <w:pStyle w:val="TableParagraph"/>
              <w:rPr>
                <w:rFonts w:ascii="Verdana" w:hAnsi="Verdana"/>
                <w:sz w:val="18"/>
                <w:szCs w:val="18"/>
              </w:rPr>
            </w:pPr>
          </w:p>
        </w:tc>
      </w:tr>
      <w:tr w:rsidR="008715BE" w:rsidRPr="00EC75B7" w14:paraId="038FF18C" w14:textId="77777777">
        <w:trPr>
          <w:trHeight w:val="285"/>
        </w:trPr>
        <w:tc>
          <w:tcPr>
            <w:tcW w:w="7141" w:type="dxa"/>
          </w:tcPr>
          <w:p w14:paraId="79CD3AA6" w14:textId="77777777" w:rsidR="008715BE" w:rsidRPr="00EC75B7" w:rsidRDefault="00000000">
            <w:pPr>
              <w:pStyle w:val="TableParagraph"/>
              <w:spacing w:before="90" w:line="175" w:lineRule="exact"/>
              <w:ind w:left="108"/>
              <w:rPr>
                <w:rFonts w:ascii="Verdana" w:hAnsi="Verdana"/>
                <w:sz w:val="18"/>
                <w:szCs w:val="18"/>
              </w:rPr>
            </w:pPr>
            <w:r w:rsidRPr="00EC75B7">
              <w:rPr>
                <w:rFonts w:ascii="Verdana" w:hAnsi="Verdana"/>
                <w:sz w:val="18"/>
                <w:szCs w:val="18"/>
              </w:rPr>
              <w:t xml:space="preserve">Precipitation pattern change/Precipitation or hydrological </w:t>
            </w:r>
            <w:r w:rsidRPr="00EC75B7">
              <w:rPr>
                <w:rFonts w:ascii="Verdana" w:hAnsi="Verdana"/>
                <w:spacing w:val="-2"/>
                <w:sz w:val="18"/>
                <w:szCs w:val="18"/>
              </w:rPr>
              <w:t>variability</w:t>
            </w:r>
          </w:p>
        </w:tc>
        <w:tc>
          <w:tcPr>
            <w:tcW w:w="1920" w:type="dxa"/>
            <w:tcBorders>
              <w:top w:val="nil"/>
              <w:bottom w:val="nil"/>
            </w:tcBorders>
            <w:shd w:val="clear" w:color="auto" w:fill="F1F1F1"/>
          </w:tcPr>
          <w:p w14:paraId="514FF5A7" w14:textId="77777777" w:rsidR="008715BE" w:rsidRPr="00EC75B7" w:rsidRDefault="008715BE">
            <w:pPr>
              <w:pStyle w:val="TableParagraph"/>
              <w:rPr>
                <w:rFonts w:ascii="Verdana" w:hAnsi="Verdana"/>
                <w:sz w:val="18"/>
                <w:szCs w:val="18"/>
              </w:rPr>
            </w:pPr>
          </w:p>
        </w:tc>
      </w:tr>
      <w:tr w:rsidR="008715BE" w:rsidRPr="00EC75B7" w14:paraId="081B3E89" w14:textId="77777777">
        <w:trPr>
          <w:trHeight w:val="299"/>
        </w:trPr>
        <w:tc>
          <w:tcPr>
            <w:tcW w:w="7141" w:type="dxa"/>
          </w:tcPr>
          <w:p w14:paraId="44322E39"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Sea level rise; </w:t>
            </w:r>
            <w:r w:rsidRPr="00EC75B7">
              <w:rPr>
                <w:rFonts w:ascii="Verdana" w:hAnsi="Verdana"/>
                <w:spacing w:val="-2"/>
                <w:sz w:val="18"/>
                <w:szCs w:val="18"/>
              </w:rPr>
              <w:t xml:space="preserve">Saltwater </w:t>
            </w:r>
            <w:r w:rsidRPr="00EC75B7">
              <w:rPr>
                <w:rFonts w:ascii="Verdana" w:hAnsi="Verdana"/>
                <w:sz w:val="18"/>
                <w:szCs w:val="18"/>
              </w:rPr>
              <w:t>intrusion</w:t>
            </w:r>
          </w:p>
        </w:tc>
        <w:tc>
          <w:tcPr>
            <w:tcW w:w="1920" w:type="dxa"/>
            <w:tcBorders>
              <w:top w:val="nil"/>
            </w:tcBorders>
            <w:shd w:val="clear" w:color="auto" w:fill="C5DFB4"/>
          </w:tcPr>
          <w:p w14:paraId="54241A8C" w14:textId="77777777" w:rsidR="008715BE" w:rsidRPr="00EC75B7" w:rsidRDefault="008715BE">
            <w:pPr>
              <w:pStyle w:val="TableParagraph"/>
              <w:rPr>
                <w:rFonts w:ascii="Verdana" w:hAnsi="Verdana"/>
                <w:sz w:val="18"/>
                <w:szCs w:val="18"/>
              </w:rPr>
            </w:pPr>
          </w:p>
        </w:tc>
      </w:tr>
      <w:tr w:rsidR="008715BE" w:rsidRPr="00EC75B7" w14:paraId="0FFC4EFF" w14:textId="77777777">
        <w:trPr>
          <w:trHeight w:val="299"/>
        </w:trPr>
        <w:tc>
          <w:tcPr>
            <w:tcW w:w="7141" w:type="dxa"/>
          </w:tcPr>
          <w:p w14:paraId="183AC0CC"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Coastal </w:t>
            </w:r>
            <w:r w:rsidRPr="00EC75B7">
              <w:rPr>
                <w:rFonts w:ascii="Verdana" w:hAnsi="Verdana"/>
                <w:spacing w:val="-2"/>
                <w:sz w:val="18"/>
                <w:szCs w:val="18"/>
              </w:rPr>
              <w:t xml:space="preserve">erosion/soil </w:t>
            </w:r>
            <w:r w:rsidRPr="00EC75B7">
              <w:rPr>
                <w:rFonts w:ascii="Verdana" w:hAnsi="Verdana"/>
                <w:sz w:val="18"/>
                <w:szCs w:val="18"/>
              </w:rPr>
              <w:t>erosion</w:t>
            </w:r>
          </w:p>
        </w:tc>
        <w:tc>
          <w:tcPr>
            <w:tcW w:w="1920" w:type="dxa"/>
            <w:shd w:val="clear" w:color="auto" w:fill="C5DFB4"/>
          </w:tcPr>
          <w:p w14:paraId="21032056" w14:textId="77777777" w:rsidR="008715BE" w:rsidRPr="00EC75B7" w:rsidRDefault="008715BE">
            <w:pPr>
              <w:pStyle w:val="TableParagraph"/>
              <w:rPr>
                <w:rFonts w:ascii="Verdana" w:hAnsi="Verdana"/>
                <w:sz w:val="18"/>
                <w:szCs w:val="18"/>
              </w:rPr>
            </w:pPr>
          </w:p>
        </w:tc>
      </w:tr>
      <w:tr w:rsidR="008715BE" w:rsidRPr="00EC75B7" w14:paraId="13A75FEC" w14:textId="77777777">
        <w:trPr>
          <w:trHeight w:val="300"/>
        </w:trPr>
        <w:tc>
          <w:tcPr>
            <w:tcW w:w="9061" w:type="dxa"/>
            <w:gridSpan w:val="2"/>
            <w:shd w:val="clear" w:color="auto" w:fill="001F5F"/>
          </w:tcPr>
          <w:p w14:paraId="5D6F589D" w14:textId="77777777" w:rsidR="008715BE" w:rsidRPr="00EC75B7" w:rsidRDefault="00000000">
            <w:pPr>
              <w:pStyle w:val="TableParagraph"/>
              <w:spacing w:before="105" w:line="175" w:lineRule="exact"/>
              <w:ind w:left="12"/>
              <w:jc w:val="center"/>
              <w:rPr>
                <w:rFonts w:ascii="Verdana" w:hAnsi="Verdana"/>
                <w:b/>
                <w:sz w:val="18"/>
                <w:szCs w:val="18"/>
              </w:rPr>
            </w:pPr>
            <w:r w:rsidRPr="00EC75B7">
              <w:rPr>
                <w:rFonts w:ascii="Verdana" w:hAnsi="Verdana"/>
                <w:b/>
                <w:color w:val="FFFFFF"/>
                <w:spacing w:val="-4"/>
                <w:sz w:val="18"/>
                <w:szCs w:val="18"/>
              </w:rPr>
              <w:t>ACUTE</w:t>
            </w:r>
          </w:p>
        </w:tc>
      </w:tr>
      <w:tr w:rsidR="008715BE" w:rsidRPr="00EC75B7" w14:paraId="6C866B08" w14:textId="77777777">
        <w:trPr>
          <w:trHeight w:val="301"/>
        </w:trPr>
        <w:tc>
          <w:tcPr>
            <w:tcW w:w="7141" w:type="dxa"/>
          </w:tcPr>
          <w:p w14:paraId="17178EE5" w14:textId="77777777" w:rsidR="008715BE" w:rsidRPr="00EC75B7" w:rsidRDefault="00000000">
            <w:pPr>
              <w:pStyle w:val="TableParagraph"/>
              <w:spacing w:before="107" w:line="175" w:lineRule="exact"/>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waves</w:t>
            </w:r>
          </w:p>
        </w:tc>
        <w:tc>
          <w:tcPr>
            <w:tcW w:w="1920" w:type="dxa"/>
            <w:shd w:val="clear" w:color="auto" w:fill="C5DFB4"/>
          </w:tcPr>
          <w:p w14:paraId="7DD19678" w14:textId="77777777" w:rsidR="008715BE" w:rsidRPr="00EC75B7" w:rsidRDefault="008715BE">
            <w:pPr>
              <w:pStyle w:val="TableParagraph"/>
              <w:rPr>
                <w:rFonts w:ascii="Verdana" w:hAnsi="Verdana"/>
                <w:sz w:val="18"/>
                <w:szCs w:val="18"/>
              </w:rPr>
            </w:pPr>
          </w:p>
        </w:tc>
      </w:tr>
      <w:tr w:rsidR="008715BE" w:rsidRPr="00EC75B7" w14:paraId="49EEF85E" w14:textId="77777777">
        <w:trPr>
          <w:trHeight w:val="299"/>
        </w:trPr>
        <w:tc>
          <w:tcPr>
            <w:tcW w:w="7141" w:type="dxa"/>
          </w:tcPr>
          <w:p w14:paraId="7BC51268"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Cold wave/frost</w:t>
            </w:r>
          </w:p>
        </w:tc>
        <w:tc>
          <w:tcPr>
            <w:tcW w:w="1920" w:type="dxa"/>
            <w:shd w:val="clear" w:color="auto" w:fill="FFD44F"/>
          </w:tcPr>
          <w:p w14:paraId="52600D67" w14:textId="77777777" w:rsidR="008715BE" w:rsidRPr="00EC75B7" w:rsidRDefault="008715BE">
            <w:pPr>
              <w:pStyle w:val="TableParagraph"/>
              <w:rPr>
                <w:rFonts w:ascii="Verdana" w:hAnsi="Verdana"/>
                <w:sz w:val="18"/>
                <w:szCs w:val="18"/>
              </w:rPr>
            </w:pPr>
          </w:p>
        </w:tc>
      </w:tr>
      <w:tr w:rsidR="008715BE" w:rsidRPr="00EC75B7" w14:paraId="42A87C33" w14:textId="77777777">
        <w:trPr>
          <w:trHeight w:val="299"/>
        </w:trPr>
        <w:tc>
          <w:tcPr>
            <w:tcW w:w="7141" w:type="dxa"/>
          </w:tcPr>
          <w:p w14:paraId="6FBB00B8"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Fires</w:t>
            </w:r>
          </w:p>
        </w:tc>
        <w:tc>
          <w:tcPr>
            <w:tcW w:w="1920" w:type="dxa"/>
            <w:shd w:val="clear" w:color="auto" w:fill="F89D80"/>
          </w:tcPr>
          <w:p w14:paraId="74177320" w14:textId="77777777" w:rsidR="008715BE" w:rsidRPr="00EC75B7" w:rsidRDefault="008715BE">
            <w:pPr>
              <w:pStyle w:val="TableParagraph"/>
              <w:rPr>
                <w:rFonts w:ascii="Verdana" w:hAnsi="Verdana"/>
                <w:sz w:val="18"/>
                <w:szCs w:val="18"/>
              </w:rPr>
            </w:pPr>
          </w:p>
        </w:tc>
      </w:tr>
    </w:tbl>
    <w:p w14:paraId="54B187D1" w14:textId="77777777" w:rsidR="008715BE" w:rsidRPr="00EC75B7" w:rsidRDefault="008715BE">
      <w:pPr>
        <w:pStyle w:val="BodyText"/>
        <w:spacing w:before="182"/>
        <w:rPr>
          <w:rFonts w:ascii="Verdana" w:hAnsi="Verdana"/>
          <w:b/>
        </w:rPr>
      </w:pPr>
    </w:p>
    <w:p w14:paraId="39B44E38" w14:textId="77777777" w:rsidR="008715BE" w:rsidRPr="00EC75B7" w:rsidRDefault="00000000">
      <w:pPr>
        <w:spacing w:before="1" w:line="244" w:lineRule="auto"/>
        <w:ind w:left="282" w:right="705" w:hanging="85"/>
        <w:jc w:val="both"/>
        <w:rPr>
          <w:rFonts w:ascii="Verdana" w:hAnsi="Verdana"/>
          <w:sz w:val="18"/>
          <w:szCs w:val="18"/>
        </w:rPr>
      </w:pPr>
      <w:r w:rsidRPr="00EC75B7">
        <w:rPr>
          <w:rFonts w:ascii="Verdana" w:hAnsi="Verdana"/>
          <w:sz w:val="18"/>
          <w:szCs w:val="18"/>
          <w:vertAlign w:val="superscript"/>
        </w:rPr>
        <w:t>24</w:t>
      </w:r>
      <w:r w:rsidRPr="00EC75B7">
        <w:rPr>
          <w:rFonts w:ascii="Verdana" w:hAnsi="Verdana"/>
          <w:sz w:val="18"/>
          <w:szCs w:val="18"/>
        </w:rPr>
        <w:t xml:space="preserve">  The values are indicative and may differ depending on the characteristics of the project, as appropriate. The actual lifetime of assets depends on the material, regional context, economic conditions, procurement </w:t>
      </w:r>
      <w:r w:rsidRPr="00EC75B7">
        <w:rPr>
          <w:rFonts w:ascii="Verdana" w:hAnsi="Verdana"/>
          <w:sz w:val="18"/>
          <w:szCs w:val="18"/>
        </w:rPr>
        <w:lastRenderedPageBreak/>
        <w:t>processes, etc. As such, a fairly wide range is observed in the tables.</w:t>
      </w:r>
      <w:r w:rsidRPr="00EC75B7">
        <w:rPr>
          <w:rFonts w:ascii="Verdana" w:hAnsi="Verdana"/>
          <w:spacing w:val="40"/>
          <w:sz w:val="18"/>
          <w:szCs w:val="18"/>
        </w:rPr>
        <w:t xml:space="preserve"> </w:t>
      </w:r>
      <w:r w:rsidRPr="00EC75B7">
        <w:rPr>
          <w:rFonts w:ascii="Verdana" w:hAnsi="Verdana"/>
          <w:sz w:val="18"/>
          <w:szCs w:val="18"/>
        </w:rPr>
        <w:t>It should be noted that lifetime is particularly important for defining adaptation measures as a result of risk analysis.</w:t>
      </w:r>
    </w:p>
    <w:p w14:paraId="55298665" w14:textId="77777777" w:rsidR="008715BE" w:rsidRPr="00EC75B7" w:rsidRDefault="00000000">
      <w:pPr>
        <w:spacing w:before="2" w:line="244" w:lineRule="auto"/>
        <w:ind w:left="282" w:right="702" w:hanging="85"/>
        <w:jc w:val="both"/>
        <w:rPr>
          <w:rFonts w:ascii="Verdana" w:hAnsi="Verdana"/>
          <w:sz w:val="18"/>
          <w:szCs w:val="18"/>
        </w:rPr>
      </w:pPr>
      <w:r w:rsidRPr="00EC75B7">
        <w:rPr>
          <w:rFonts w:ascii="Verdana" w:hAnsi="Verdana"/>
          <w:sz w:val="18"/>
          <w:szCs w:val="18"/>
          <w:vertAlign w:val="superscript"/>
        </w:rPr>
        <w:t>25</w:t>
      </w:r>
      <w:r w:rsidRPr="00EC75B7">
        <w:rPr>
          <w:rFonts w:ascii="Verdana" w:hAnsi="Verdana"/>
          <w:sz w:val="18"/>
          <w:szCs w:val="18"/>
        </w:rPr>
        <w:t xml:space="preserve">  JASPERS practical sectoral guidelines on climate resilience Energy – Municipal solid waste – Transport Version 1.0 – November 2024</w:t>
      </w:r>
    </w:p>
    <w:p w14:paraId="3515B88B" w14:textId="77777777" w:rsidR="008715BE" w:rsidRPr="00EC75B7" w:rsidRDefault="008715BE">
      <w:pPr>
        <w:spacing w:line="244" w:lineRule="auto"/>
        <w:jc w:val="both"/>
        <w:rPr>
          <w:rFonts w:ascii="Verdana" w:hAnsi="Verdana"/>
          <w:sz w:val="18"/>
          <w:szCs w:val="18"/>
        </w:rPr>
        <w:sectPr w:rsidR="008715BE" w:rsidRPr="00EC75B7">
          <w:pgSz w:w="11910" w:h="16840"/>
          <w:pgMar w:top="1320" w:right="283" w:bottom="1000" w:left="992" w:header="766" w:footer="800" w:gutter="0"/>
          <w:cols w:space="708"/>
        </w:sectPr>
      </w:pPr>
    </w:p>
    <w:p w14:paraId="1D557CE6" w14:textId="77777777" w:rsidR="008715BE" w:rsidRPr="00EC75B7" w:rsidRDefault="008715BE">
      <w:pPr>
        <w:pStyle w:val="BodyText"/>
        <w:spacing w:before="5"/>
        <w:rPr>
          <w:rFonts w:ascii="Verdana" w:hAnsi="Verdana"/>
        </w:rPr>
      </w:pPr>
    </w:p>
    <w:tbl>
      <w:tblPr>
        <w:tblStyle w:val="TableNormal1"/>
        <w:tblW w:w="0" w:type="auto"/>
        <w:tblInd w:w="208" w:type="dxa"/>
        <w:tblBorders>
          <w:top w:val="single" w:sz="4" w:space="0" w:color="F1F1F1"/>
          <w:left w:val="single" w:sz="4" w:space="0" w:color="F1F1F1"/>
          <w:bottom w:val="single" w:sz="4" w:space="0" w:color="F1F1F1"/>
          <w:right w:val="single" w:sz="4" w:space="0" w:color="F1F1F1"/>
          <w:insideH w:val="single" w:sz="4" w:space="0" w:color="F1F1F1"/>
          <w:insideV w:val="single" w:sz="4" w:space="0" w:color="F1F1F1"/>
        </w:tblBorders>
        <w:tblLayout w:type="fixed"/>
        <w:tblLook w:val="01E0" w:firstRow="1" w:lastRow="1" w:firstColumn="1" w:lastColumn="1" w:noHBand="0" w:noVBand="0"/>
      </w:tblPr>
      <w:tblGrid>
        <w:gridCol w:w="7141"/>
        <w:gridCol w:w="1920"/>
      </w:tblGrid>
      <w:tr w:rsidR="008715BE" w:rsidRPr="00EC75B7" w14:paraId="5B1E91CE" w14:textId="77777777">
        <w:trPr>
          <w:trHeight w:val="299"/>
        </w:trPr>
        <w:tc>
          <w:tcPr>
            <w:tcW w:w="7141" w:type="dxa"/>
            <w:shd w:val="clear" w:color="auto" w:fill="00AFEF"/>
          </w:tcPr>
          <w:p w14:paraId="73A53335" w14:textId="77777777" w:rsidR="008715BE" w:rsidRPr="00EC75B7" w:rsidRDefault="00000000">
            <w:pPr>
              <w:pStyle w:val="TableParagraph"/>
              <w:spacing w:before="114" w:line="166" w:lineRule="exact"/>
              <w:ind w:left="7"/>
              <w:jc w:val="center"/>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hazards</w:t>
            </w:r>
          </w:p>
        </w:tc>
        <w:tc>
          <w:tcPr>
            <w:tcW w:w="1920" w:type="dxa"/>
            <w:shd w:val="clear" w:color="auto" w:fill="00AFEF"/>
          </w:tcPr>
          <w:p w14:paraId="23AA662D" w14:textId="77777777" w:rsidR="008715BE" w:rsidRPr="00EC75B7" w:rsidRDefault="00000000">
            <w:pPr>
              <w:pStyle w:val="TableParagraph"/>
              <w:spacing w:before="114" w:line="166" w:lineRule="exact"/>
              <w:ind w:left="280"/>
              <w:rPr>
                <w:rFonts w:ascii="Verdana" w:hAnsi="Verdana"/>
                <w:b/>
                <w:sz w:val="18"/>
                <w:szCs w:val="18"/>
              </w:rPr>
            </w:pPr>
            <w:r w:rsidRPr="00EC75B7">
              <w:rPr>
                <w:rFonts w:ascii="Verdana" w:hAnsi="Verdana"/>
                <w:b/>
                <w:color w:val="FFFFFF"/>
                <w:spacing w:val="-2"/>
                <w:sz w:val="18"/>
                <w:szCs w:val="18"/>
              </w:rPr>
              <w:t xml:space="preserve">Wind </w:t>
            </w:r>
            <w:r w:rsidRPr="00EC75B7">
              <w:rPr>
                <w:rFonts w:ascii="Verdana" w:hAnsi="Verdana"/>
                <w:b/>
                <w:color w:val="FFFFFF"/>
                <w:sz w:val="18"/>
                <w:szCs w:val="18"/>
              </w:rPr>
              <w:t>farms</w:t>
            </w:r>
          </w:p>
        </w:tc>
      </w:tr>
      <w:tr w:rsidR="008715BE" w:rsidRPr="00EC75B7" w14:paraId="4816C363" w14:textId="77777777">
        <w:trPr>
          <w:trHeight w:val="300"/>
        </w:trPr>
        <w:tc>
          <w:tcPr>
            <w:tcW w:w="7141" w:type="dxa"/>
          </w:tcPr>
          <w:p w14:paraId="3ECC7449" w14:textId="77777777" w:rsidR="008715BE" w:rsidRPr="00EC75B7" w:rsidRDefault="00000000">
            <w:pPr>
              <w:pStyle w:val="TableParagraph"/>
              <w:spacing w:before="114" w:line="166" w:lineRule="exact"/>
              <w:ind w:left="108"/>
              <w:rPr>
                <w:rFonts w:ascii="Verdana" w:hAnsi="Verdana"/>
                <w:sz w:val="18"/>
                <w:szCs w:val="18"/>
              </w:rPr>
            </w:pPr>
            <w:r w:rsidRPr="00EC75B7">
              <w:rPr>
                <w:rFonts w:ascii="Verdana" w:hAnsi="Verdana"/>
                <w:sz w:val="18"/>
                <w:szCs w:val="18"/>
              </w:rPr>
              <w:t xml:space="preserve">Extreme wind (including storm, hurricane, </w:t>
            </w:r>
            <w:r w:rsidRPr="00EC75B7">
              <w:rPr>
                <w:rFonts w:ascii="Verdana" w:hAnsi="Verdana"/>
                <w:spacing w:val="-2"/>
                <w:sz w:val="18"/>
                <w:szCs w:val="18"/>
              </w:rPr>
              <w:t>tornado)</w:t>
            </w:r>
          </w:p>
        </w:tc>
        <w:tc>
          <w:tcPr>
            <w:tcW w:w="1920" w:type="dxa"/>
            <w:shd w:val="clear" w:color="auto" w:fill="FFD243"/>
          </w:tcPr>
          <w:p w14:paraId="4495F64D" w14:textId="77777777" w:rsidR="008715BE" w:rsidRPr="00EC75B7" w:rsidRDefault="008715BE">
            <w:pPr>
              <w:pStyle w:val="TableParagraph"/>
              <w:rPr>
                <w:rFonts w:ascii="Verdana" w:hAnsi="Verdana"/>
                <w:sz w:val="18"/>
                <w:szCs w:val="18"/>
              </w:rPr>
            </w:pPr>
          </w:p>
        </w:tc>
      </w:tr>
      <w:tr w:rsidR="008715BE" w:rsidRPr="00EC75B7" w14:paraId="49BC18EC" w14:textId="77777777">
        <w:trPr>
          <w:trHeight w:val="299"/>
        </w:trPr>
        <w:tc>
          <w:tcPr>
            <w:tcW w:w="7141" w:type="dxa"/>
          </w:tcPr>
          <w:p w14:paraId="2C527785" w14:textId="77777777" w:rsidR="008715BE" w:rsidRPr="00EC75B7" w:rsidRDefault="00000000">
            <w:pPr>
              <w:pStyle w:val="TableParagraph"/>
              <w:spacing w:before="114" w:line="166" w:lineRule="exact"/>
              <w:ind w:left="108"/>
              <w:rPr>
                <w:rFonts w:ascii="Verdana" w:hAnsi="Verdana"/>
                <w:sz w:val="18"/>
                <w:szCs w:val="18"/>
              </w:rPr>
            </w:pPr>
            <w:r w:rsidRPr="00EC75B7">
              <w:rPr>
                <w:rFonts w:ascii="Verdana" w:hAnsi="Verdana"/>
                <w:spacing w:val="-2"/>
                <w:sz w:val="18"/>
                <w:szCs w:val="18"/>
              </w:rPr>
              <w:t>Drought</w:t>
            </w:r>
          </w:p>
        </w:tc>
        <w:tc>
          <w:tcPr>
            <w:tcW w:w="1920" w:type="dxa"/>
            <w:shd w:val="clear" w:color="auto" w:fill="C5DFB4"/>
          </w:tcPr>
          <w:p w14:paraId="72BFF8E3" w14:textId="77777777" w:rsidR="008715BE" w:rsidRPr="00EC75B7" w:rsidRDefault="008715BE">
            <w:pPr>
              <w:pStyle w:val="TableParagraph"/>
              <w:rPr>
                <w:rFonts w:ascii="Verdana" w:hAnsi="Verdana"/>
                <w:sz w:val="18"/>
                <w:szCs w:val="18"/>
              </w:rPr>
            </w:pPr>
          </w:p>
        </w:tc>
      </w:tr>
      <w:tr w:rsidR="008715BE" w:rsidRPr="00EC75B7" w14:paraId="2B8F22B2" w14:textId="77777777">
        <w:trPr>
          <w:trHeight w:val="299"/>
        </w:trPr>
        <w:tc>
          <w:tcPr>
            <w:tcW w:w="7141" w:type="dxa"/>
          </w:tcPr>
          <w:p w14:paraId="5014E455" w14:textId="77777777" w:rsidR="008715BE" w:rsidRPr="00EC75B7" w:rsidRDefault="00000000">
            <w:pPr>
              <w:pStyle w:val="TableParagraph"/>
              <w:spacing w:before="114" w:line="166" w:lineRule="exact"/>
              <w:ind w:left="108"/>
              <w:rPr>
                <w:rFonts w:ascii="Verdana" w:hAnsi="Verdana"/>
                <w:sz w:val="18"/>
                <w:szCs w:val="18"/>
              </w:rPr>
            </w:pPr>
            <w:r w:rsidRPr="00EC75B7">
              <w:rPr>
                <w:rFonts w:ascii="Verdana" w:hAnsi="Verdana"/>
                <w:sz w:val="18"/>
                <w:szCs w:val="18"/>
              </w:rPr>
              <w:t xml:space="preserve">Flooding/Storm </w:t>
            </w:r>
            <w:r w:rsidRPr="00EC75B7">
              <w:rPr>
                <w:rFonts w:ascii="Verdana" w:hAnsi="Verdana"/>
                <w:spacing w:val="-2"/>
                <w:sz w:val="18"/>
                <w:szCs w:val="18"/>
              </w:rPr>
              <w:t xml:space="preserve">surge/Heavy </w:t>
            </w:r>
            <w:r w:rsidRPr="00EC75B7">
              <w:rPr>
                <w:rFonts w:ascii="Verdana" w:hAnsi="Verdana"/>
                <w:sz w:val="18"/>
                <w:szCs w:val="18"/>
              </w:rPr>
              <w:t>rainfall</w:t>
            </w:r>
          </w:p>
        </w:tc>
        <w:tc>
          <w:tcPr>
            <w:tcW w:w="1920" w:type="dxa"/>
            <w:shd w:val="clear" w:color="auto" w:fill="F89D80"/>
          </w:tcPr>
          <w:p w14:paraId="4C887F79" w14:textId="77777777" w:rsidR="008715BE" w:rsidRPr="00EC75B7" w:rsidRDefault="008715BE">
            <w:pPr>
              <w:pStyle w:val="TableParagraph"/>
              <w:rPr>
                <w:rFonts w:ascii="Verdana" w:hAnsi="Verdana"/>
                <w:sz w:val="18"/>
                <w:szCs w:val="18"/>
              </w:rPr>
            </w:pPr>
          </w:p>
        </w:tc>
      </w:tr>
      <w:tr w:rsidR="008715BE" w:rsidRPr="00EC75B7" w14:paraId="1DAC8021" w14:textId="77777777">
        <w:trPr>
          <w:trHeight w:val="302"/>
        </w:trPr>
        <w:tc>
          <w:tcPr>
            <w:tcW w:w="7141" w:type="dxa"/>
          </w:tcPr>
          <w:p w14:paraId="2D32C30F" w14:textId="77777777" w:rsidR="008715BE" w:rsidRPr="00EC75B7" w:rsidRDefault="00000000">
            <w:pPr>
              <w:pStyle w:val="TableParagraph"/>
              <w:spacing w:before="116" w:line="166" w:lineRule="exact"/>
              <w:ind w:left="108"/>
              <w:rPr>
                <w:rFonts w:ascii="Verdana" w:hAnsi="Verdana"/>
                <w:sz w:val="18"/>
                <w:szCs w:val="18"/>
              </w:rPr>
            </w:pPr>
            <w:r w:rsidRPr="00EC75B7">
              <w:rPr>
                <w:rFonts w:ascii="Verdana" w:hAnsi="Verdana"/>
                <w:sz w:val="18"/>
                <w:szCs w:val="18"/>
              </w:rPr>
              <w:t>Landslide/Avalanche</w:t>
            </w:r>
            <w:r w:rsidRPr="00EC75B7">
              <w:rPr>
                <w:rFonts w:ascii="Verdana" w:hAnsi="Verdana"/>
                <w:spacing w:val="-2"/>
                <w:sz w:val="18"/>
                <w:szCs w:val="18"/>
              </w:rPr>
              <w:t>/Subsidence</w:t>
            </w:r>
          </w:p>
        </w:tc>
        <w:tc>
          <w:tcPr>
            <w:tcW w:w="1920" w:type="dxa"/>
            <w:shd w:val="clear" w:color="auto" w:fill="FFD44F"/>
          </w:tcPr>
          <w:p w14:paraId="0F71D95D" w14:textId="77777777" w:rsidR="008715BE" w:rsidRPr="00EC75B7" w:rsidRDefault="008715BE">
            <w:pPr>
              <w:pStyle w:val="TableParagraph"/>
              <w:rPr>
                <w:rFonts w:ascii="Verdana" w:hAnsi="Verdana"/>
                <w:sz w:val="18"/>
                <w:szCs w:val="18"/>
              </w:rPr>
            </w:pPr>
          </w:p>
        </w:tc>
      </w:tr>
    </w:tbl>
    <w:p w14:paraId="7DBC466E" w14:textId="77777777" w:rsidR="008715BE" w:rsidRPr="00EC75B7" w:rsidRDefault="008715BE">
      <w:pPr>
        <w:pStyle w:val="BodyText"/>
        <w:rPr>
          <w:rFonts w:ascii="Verdana" w:hAnsi="Verdana"/>
        </w:rPr>
      </w:pPr>
    </w:p>
    <w:p w14:paraId="3AE6DF00" w14:textId="77777777" w:rsidR="008715BE" w:rsidRPr="00EC75B7" w:rsidRDefault="008715BE">
      <w:pPr>
        <w:pStyle w:val="BodyText"/>
        <w:spacing w:before="19"/>
        <w:rPr>
          <w:rFonts w:ascii="Verdana" w:hAnsi="Verdana"/>
        </w:rPr>
      </w:pPr>
    </w:p>
    <w:p w14:paraId="4605D259" w14:textId="77777777" w:rsidR="008715BE" w:rsidRPr="00EC75B7" w:rsidRDefault="00000000">
      <w:pPr>
        <w:pStyle w:val="BodyText"/>
        <w:ind w:left="227"/>
        <w:rPr>
          <w:rFonts w:ascii="Verdana" w:hAnsi="Verdana"/>
        </w:rPr>
      </w:pPr>
      <w:r w:rsidRPr="00EC75B7">
        <w:rPr>
          <w:rFonts w:ascii="Verdana" w:hAnsi="Verdana"/>
        </w:rPr>
        <w:t xml:space="preserve">The project sensitivity assessment is presented in the </w:t>
      </w:r>
      <w:r w:rsidRPr="00EC75B7">
        <w:rPr>
          <w:rFonts w:ascii="Verdana" w:hAnsi="Verdana"/>
          <w:spacing w:val="-2"/>
        </w:rPr>
        <w:t xml:space="preserve">following </w:t>
      </w:r>
      <w:r w:rsidRPr="00EC75B7">
        <w:rPr>
          <w:rFonts w:ascii="Verdana" w:hAnsi="Verdana"/>
        </w:rPr>
        <w:t>table</w:t>
      </w:r>
      <w:r w:rsidRPr="00EC75B7">
        <w:rPr>
          <w:rFonts w:ascii="Verdana" w:hAnsi="Verdana"/>
          <w:spacing w:val="-2"/>
        </w:rPr>
        <w:t>:</w:t>
      </w:r>
    </w:p>
    <w:p w14:paraId="686387E1" w14:textId="77777777" w:rsidR="008715BE" w:rsidRPr="00EC75B7" w:rsidRDefault="008715BE">
      <w:pPr>
        <w:pStyle w:val="BodyText"/>
        <w:spacing w:before="57"/>
        <w:rPr>
          <w:rFonts w:ascii="Verdana" w:hAnsi="Verdana"/>
        </w:rPr>
      </w:pPr>
    </w:p>
    <w:p w14:paraId="4D60C3FD" w14:textId="77777777" w:rsidR="008715BE" w:rsidRPr="00EC75B7" w:rsidRDefault="00000000">
      <w:pPr>
        <w:ind w:left="198"/>
        <w:rPr>
          <w:rFonts w:ascii="Verdana" w:hAnsi="Verdana"/>
          <w:b/>
          <w:sz w:val="18"/>
          <w:szCs w:val="18"/>
        </w:rPr>
      </w:pPr>
      <w:r w:rsidRPr="00EC75B7">
        <w:rPr>
          <w:rFonts w:ascii="Verdana" w:hAnsi="Verdana"/>
          <w:b/>
          <w:color w:val="00AFEF"/>
          <w:sz w:val="18"/>
          <w:szCs w:val="18"/>
        </w:rPr>
        <w:t xml:space="preserve">Table 57 </w:t>
      </w:r>
      <w:r w:rsidRPr="00EC75B7">
        <w:rPr>
          <w:rFonts w:ascii="Verdana" w:hAnsi="Verdana"/>
          <w:b/>
          <w:color w:val="009DEF"/>
          <w:spacing w:val="-2"/>
          <w:sz w:val="18"/>
          <w:szCs w:val="18"/>
        </w:rPr>
        <w:t xml:space="preserve">Project </w:t>
      </w:r>
      <w:r w:rsidRPr="00EC75B7">
        <w:rPr>
          <w:rFonts w:ascii="Verdana" w:hAnsi="Verdana"/>
          <w:b/>
          <w:color w:val="009DEF"/>
          <w:sz w:val="18"/>
          <w:szCs w:val="18"/>
        </w:rPr>
        <w:t>sensitivity assessment</w:t>
      </w:r>
    </w:p>
    <w:tbl>
      <w:tblPr>
        <w:tblStyle w:val="TableNormal1"/>
        <w:tblW w:w="0" w:type="auto"/>
        <w:tblInd w:w="208"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8715BE" w:rsidRPr="00EC75B7" w14:paraId="182CB526" w14:textId="77777777">
        <w:trPr>
          <w:trHeight w:val="436"/>
        </w:trPr>
        <w:tc>
          <w:tcPr>
            <w:tcW w:w="1980" w:type="dxa"/>
            <w:shd w:val="clear" w:color="auto" w:fill="00AFEF"/>
          </w:tcPr>
          <w:p w14:paraId="144BA76A" w14:textId="77777777" w:rsidR="008715BE" w:rsidRPr="00EC75B7" w:rsidRDefault="00000000">
            <w:pPr>
              <w:pStyle w:val="TableParagraph"/>
              <w:spacing w:before="129"/>
              <w:ind w:left="249"/>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risks</w:t>
            </w:r>
          </w:p>
        </w:tc>
        <w:tc>
          <w:tcPr>
            <w:tcW w:w="7087" w:type="dxa"/>
            <w:gridSpan w:val="4"/>
            <w:shd w:val="clear" w:color="auto" w:fill="00AFEF"/>
          </w:tcPr>
          <w:p w14:paraId="35625391" w14:textId="77777777" w:rsidR="008715BE" w:rsidRPr="00EC75B7" w:rsidRDefault="00000000">
            <w:pPr>
              <w:pStyle w:val="TableParagraph"/>
              <w:spacing w:before="129"/>
              <w:ind w:left="19" w:right="10"/>
              <w:jc w:val="center"/>
              <w:rPr>
                <w:rFonts w:ascii="Verdana" w:hAnsi="Verdana"/>
                <w:b/>
                <w:sz w:val="18"/>
                <w:szCs w:val="18"/>
              </w:rPr>
            </w:pPr>
            <w:r w:rsidRPr="00EC75B7">
              <w:rPr>
                <w:rFonts w:ascii="Verdana" w:hAnsi="Verdana"/>
                <w:b/>
                <w:color w:val="FFFFFF"/>
                <w:spacing w:val="-2"/>
                <w:sz w:val="18"/>
                <w:szCs w:val="18"/>
              </w:rPr>
              <w:t>Sensitivity</w:t>
            </w:r>
          </w:p>
        </w:tc>
      </w:tr>
      <w:tr w:rsidR="008715BE" w:rsidRPr="00EC75B7" w14:paraId="1E3CCB02" w14:textId="77777777">
        <w:trPr>
          <w:trHeight w:val="1375"/>
        </w:trPr>
        <w:tc>
          <w:tcPr>
            <w:tcW w:w="1980" w:type="dxa"/>
            <w:shd w:val="clear" w:color="auto" w:fill="00AFEF"/>
          </w:tcPr>
          <w:p w14:paraId="062E339F" w14:textId="77777777" w:rsidR="008715BE" w:rsidRPr="00EC75B7" w:rsidRDefault="008715BE">
            <w:pPr>
              <w:pStyle w:val="TableParagraph"/>
              <w:spacing w:before="111"/>
              <w:rPr>
                <w:rFonts w:ascii="Verdana" w:hAnsi="Verdana"/>
                <w:b/>
                <w:sz w:val="18"/>
                <w:szCs w:val="18"/>
              </w:rPr>
            </w:pPr>
          </w:p>
          <w:p w14:paraId="357F12CF" w14:textId="77777777" w:rsidR="008715BE" w:rsidRPr="00EC75B7" w:rsidRDefault="00000000">
            <w:pPr>
              <w:pStyle w:val="TableParagraph"/>
              <w:ind w:left="108" w:right="179"/>
              <w:rPr>
                <w:rFonts w:ascii="Verdana" w:hAnsi="Verdana"/>
                <w:b/>
                <w:sz w:val="18"/>
                <w:szCs w:val="18"/>
              </w:rPr>
            </w:pPr>
            <w:r w:rsidRPr="00EC75B7">
              <w:rPr>
                <w:rFonts w:ascii="Verdana" w:hAnsi="Verdana"/>
                <w:b/>
                <w:color w:val="FFFFFF"/>
                <w:spacing w:val="-2"/>
                <w:sz w:val="18"/>
                <w:szCs w:val="18"/>
              </w:rPr>
              <w:t>Flooding/Storm surge/Heavy rainfall</w:t>
            </w:r>
          </w:p>
        </w:tc>
        <w:tc>
          <w:tcPr>
            <w:tcW w:w="7087" w:type="dxa"/>
            <w:gridSpan w:val="4"/>
          </w:tcPr>
          <w:p w14:paraId="670163F1" w14:textId="77777777" w:rsidR="008715BE" w:rsidRPr="00EC75B7" w:rsidRDefault="00000000">
            <w:pPr>
              <w:pStyle w:val="TableParagraph"/>
              <w:spacing w:before="14"/>
              <w:ind w:left="108" w:right="93"/>
              <w:jc w:val="both"/>
              <w:rPr>
                <w:rFonts w:ascii="Verdana" w:hAnsi="Verdana"/>
                <w:sz w:val="18"/>
                <w:szCs w:val="18"/>
              </w:rPr>
            </w:pPr>
            <w:r w:rsidRPr="00EC75B7">
              <w:rPr>
                <w:rFonts w:ascii="Verdana" w:hAnsi="Verdana"/>
                <w:sz w:val="18"/>
                <w:szCs w:val="18"/>
              </w:rPr>
              <w:t>Flooding, storm surges, and heavy rainfall can lead to a loss of uniform contact between the foundation and the ground, causing significant stability problems for the wind turbine tower.</w:t>
            </w:r>
          </w:p>
          <w:p w14:paraId="3B63FF19"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 xml:space="preserve">The same climatic phenomena (flooding, storm surges, and heavy rainfall) can cause physical damage to buried electrical cables, transformer stations, and interdependent infrastructure (including access roads and transport </w:t>
            </w:r>
            <w:r w:rsidRPr="00EC75B7">
              <w:rPr>
                <w:rFonts w:ascii="Verdana" w:hAnsi="Verdana"/>
                <w:spacing w:val="-5"/>
                <w:sz w:val="18"/>
                <w:szCs w:val="18"/>
              </w:rPr>
              <w:t xml:space="preserve">and distribution </w:t>
            </w:r>
            <w:r w:rsidRPr="00EC75B7">
              <w:rPr>
                <w:rFonts w:ascii="Verdana" w:hAnsi="Verdana"/>
                <w:sz w:val="18"/>
                <w:szCs w:val="18"/>
              </w:rPr>
              <w:t>networks</w:t>
            </w:r>
            <w:r w:rsidRPr="00EC75B7">
              <w:rPr>
                <w:rFonts w:ascii="Verdana" w:hAnsi="Verdana"/>
                <w:spacing w:val="-5"/>
                <w:sz w:val="18"/>
                <w:szCs w:val="18"/>
              </w:rPr>
              <w:t>), affecting operation and operational access.</w:t>
            </w:r>
          </w:p>
          <w:p w14:paraId="063E472A" w14:textId="77777777" w:rsidR="008715BE" w:rsidRPr="00EC75B7" w:rsidRDefault="00000000">
            <w:pPr>
              <w:pStyle w:val="TableParagraph"/>
              <w:spacing w:line="172" w:lineRule="exact"/>
              <w:ind w:left="108"/>
              <w:jc w:val="both"/>
              <w:rPr>
                <w:rFonts w:ascii="Verdana" w:hAnsi="Verdana"/>
                <w:sz w:val="18"/>
                <w:szCs w:val="18"/>
              </w:rPr>
            </w:pPr>
            <w:r w:rsidRPr="00EC75B7">
              <w:rPr>
                <w:rFonts w:ascii="Verdana" w:hAnsi="Verdana"/>
                <w:sz w:val="18"/>
                <w:szCs w:val="18"/>
              </w:rPr>
              <w:t xml:space="preserve">distribution networks), affecting </w:t>
            </w:r>
            <w:r w:rsidRPr="00EC75B7">
              <w:rPr>
                <w:rFonts w:ascii="Verdana" w:hAnsi="Verdana"/>
                <w:spacing w:val="-2"/>
                <w:sz w:val="18"/>
                <w:szCs w:val="18"/>
              </w:rPr>
              <w:t xml:space="preserve">operational </w:t>
            </w:r>
            <w:r w:rsidRPr="00EC75B7">
              <w:rPr>
                <w:rFonts w:ascii="Verdana" w:hAnsi="Verdana"/>
                <w:sz w:val="18"/>
                <w:szCs w:val="18"/>
              </w:rPr>
              <w:t>functioning and access</w:t>
            </w:r>
            <w:r w:rsidRPr="00EC75B7">
              <w:rPr>
                <w:rFonts w:ascii="Verdana" w:hAnsi="Verdana"/>
                <w:spacing w:val="-2"/>
                <w:sz w:val="18"/>
                <w:szCs w:val="18"/>
              </w:rPr>
              <w:t>.</w:t>
            </w:r>
          </w:p>
        </w:tc>
      </w:tr>
      <w:tr w:rsidR="008715BE" w:rsidRPr="00EC75B7" w14:paraId="108489BA" w14:textId="77777777">
        <w:trPr>
          <w:trHeight w:val="383"/>
        </w:trPr>
        <w:tc>
          <w:tcPr>
            <w:tcW w:w="1980" w:type="dxa"/>
            <w:shd w:val="clear" w:color="auto" w:fill="001F5F"/>
          </w:tcPr>
          <w:p w14:paraId="1D44E0C6" w14:textId="77777777" w:rsidR="008715BE" w:rsidRPr="00EC75B7" w:rsidRDefault="00000000">
            <w:pPr>
              <w:pStyle w:val="TableParagraph"/>
              <w:spacing w:line="194" w:lineRule="exact"/>
              <w:ind w:left="108" w:right="179"/>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0000"/>
                <w:spacing w:val="-2"/>
                <w:sz w:val="18"/>
                <w:szCs w:val="18"/>
              </w:rPr>
              <w:t>High</w:t>
            </w:r>
          </w:p>
        </w:tc>
        <w:tc>
          <w:tcPr>
            <w:tcW w:w="1687" w:type="dxa"/>
            <w:shd w:val="clear" w:color="auto" w:fill="001F5F"/>
          </w:tcPr>
          <w:p w14:paraId="766FC59F" w14:textId="77777777" w:rsidR="008715BE" w:rsidRPr="00EC75B7" w:rsidRDefault="00000000">
            <w:pPr>
              <w:pStyle w:val="TableParagraph"/>
              <w:spacing w:before="4" w:line="195" w:lineRule="exact"/>
              <w:ind w:left="460"/>
              <w:rPr>
                <w:rFonts w:ascii="Verdana" w:hAnsi="Verdana"/>
                <w:b/>
                <w:sz w:val="18"/>
                <w:szCs w:val="18"/>
              </w:rPr>
            </w:pPr>
            <w:r w:rsidRPr="00EC75B7">
              <w:rPr>
                <w:rFonts w:ascii="Verdana" w:hAnsi="Verdana"/>
                <w:b/>
                <w:color w:val="FFFFFF"/>
                <w:sz w:val="18"/>
                <w:szCs w:val="18"/>
              </w:rPr>
              <w:t xml:space="preserve">Assets </w:t>
            </w:r>
            <w:r w:rsidRPr="00EC75B7">
              <w:rPr>
                <w:rFonts w:ascii="Verdana" w:hAnsi="Verdana"/>
                <w:b/>
                <w:color w:val="FFFFFF"/>
                <w:spacing w:val="-5"/>
                <w:sz w:val="18"/>
                <w:szCs w:val="18"/>
              </w:rPr>
              <w:t>and</w:t>
            </w:r>
          </w:p>
          <w:p w14:paraId="38FD5FB8" w14:textId="77777777" w:rsidR="008715BE" w:rsidRPr="00EC75B7" w:rsidRDefault="00000000">
            <w:pPr>
              <w:pStyle w:val="TableParagraph"/>
              <w:spacing w:line="164" w:lineRule="exact"/>
              <w:ind w:left="489"/>
              <w:rPr>
                <w:rFonts w:ascii="Verdana" w:hAnsi="Verdana"/>
                <w:b/>
                <w:sz w:val="18"/>
                <w:szCs w:val="18"/>
              </w:rPr>
            </w:pPr>
            <w:r w:rsidRPr="00EC75B7">
              <w:rPr>
                <w:rFonts w:ascii="Verdana" w:hAnsi="Verdana"/>
                <w:b/>
                <w:color w:val="FFFFFF"/>
                <w:spacing w:val="-2"/>
                <w:sz w:val="18"/>
                <w:szCs w:val="18"/>
              </w:rPr>
              <w:t>processes</w:t>
            </w:r>
          </w:p>
        </w:tc>
        <w:tc>
          <w:tcPr>
            <w:tcW w:w="1682" w:type="dxa"/>
            <w:tcBorders>
              <w:bottom w:val="single" w:sz="12" w:space="0" w:color="F1F1F1"/>
            </w:tcBorders>
            <w:shd w:val="clear" w:color="auto" w:fill="001F5F"/>
          </w:tcPr>
          <w:p w14:paraId="6B4DF287" w14:textId="77777777" w:rsidR="008715BE" w:rsidRPr="00EC75B7" w:rsidRDefault="00000000">
            <w:pPr>
              <w:pStyle w:val="TableParagraph"/>
              <w:spacing w:before="102"/>
              <w:ind w:left="23" w:right="12"/>
              <w:jc w:val="center"/>
              <w:rPr>
                <w:rFonts w:ascii="Verdana" w:hAnsi="Verdana"/>
                <w:b/>
                <w:sz w:val="18"/>
                <w:szCs w:val="18"/>
              </w:rPr>
            </w:pPr>
            <w:r w:rsidRPr="00EC75B7">
              <w:rPr>
                <w:rFonts w:ascii="Verdana" w:hAnsi="Verdana"/>
                <w:b/>
                <w:color w:val="FFFFFF"/>
                <w:spacing w:val="-2"/>
                <w:sz w:val="18"/>
                <w:szCs w:val="18"/>
              </w:rPr>
              <w:t>Inputs</w:t>
            </w:r>
          </w:p>
        </w:tc>
        <w:tc>
          <w:tcPr>
            <w:tcW w:w="1661" w:type="dxa"/>
            <w:tcBorders>
              <w:bottom w:val="single" w:sz="12" w:space="0" w:color="F1F1F1"/>
            </w:tcBorders>
            <w:shd w:val="clear" w:color="auto" w:fill="001F5F"/>
          </w:tcPr>
          <w:p w14:paraId="285E1955" w14:textId="77777777" w:rsidR="008715BE" w:rsidRPr="00EC75B7" w:rsidRDefault="00000000">
            <w:pPr>
              <w:pStyle w:val="TableParagraph"/>
              <w:spacing w:before="102"/>
              <w:ind w:left="22" w:right="10"/>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3CFEA81F" w14:textId="77777777" w:rsidR="008715BE" w:rsidRPr="00EC75B7" w:rsidRDefault="00000000">
            <w:pPr>
              <w:pStyle w:val="TableParagraph"/>
              <w:spacing w:before="102"/>
              <w:ind w:left="25" w:right="10"/>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32E19F31" w14:textId="77777777">
        <w:trPr>
          <w:trHeight w:val="330"/>
        </w:trPr>
        <w:tc>
          <w:tcPr>
            <w:tcW w:w="1980" w:type="dxa"/>
            <w:shd w:val="clear" w:color="auto" w:fill="FAB48D"/>
          </w:tcPr>
          <w:p w14:paraId="47A45D97" w14:textId="77777777" w:rsidR="008715BE" w:rsidRPr="00EC75B7" w:rsidRDefault="00000000">
            <w:pPr>
              <w:pStyle w:val="TableParagraph"/>
              <w:spacing w:before="68"/>
              <w:ind w:left="21" w:right="10"/>
              <w:jc w:val="center"/>
              <w:rPr>
                <w:rFonts w:ascii="Verdana" w:hAnsi="Verdana"/>
                <w:b/>
                <w:sz w:val="18"/>
                <w:szCs w:val="18"/>
              </w:rPr>
            </w:pPr>
            <w:r w:rsidRPr="00EC75B7">
              <w:rPr>
                <w:rFonts w:ascii="Verdana" w:hAnsi="Verdana"/>
                <w:b/>
                <w:spacing w:val="-10"/>
                <w:sz w:val="18"/>
                <w:szCs w:val="18"/>
              </w:rPr>
              <w:t>3</w:t>
            </w:r>
          </w:p>
        </w:tc>
        <w:tc>
          <w:tcPr>
            <w:tcW w:w="1687" w:type="dxa"/>
            <w:shd w:val="clear" w:color="auto" w:fill="FAB48D"/>
          </w:tcPr>
          <w:p w14:paraId="07A74C77" w14:textId="77777777" w:rsidR="008715BE" w:rsidRPr="00EC75B7" w:rsidRDefault="00000000">
            <w:pPr>
              <w:pStyle w:val="TableParagraph"/>
              <w:spacing w:before="68"/>
              <w:ind w:left="22" w:right="9"/>
              <w:jc w:val="center"/>
              <w:rPr>
                <w:rFonts w:ascii="Verdana" w:hAnsi="Verdana"/>
                <w:b/>
                <w:sz w:val="18"/>
                <w:szCs w:val="18"/>
              </w:rPr>
            </w:pPr>
            <w:r w:rsidRPr="00EC75B7">
              <w:rPr>
                <w:rFonts w:ascii="Verdana" w:hAnsi="Verdana"/>
                <w:b/>
                <w:spacing w:val="-10"/>
                <w:sz w:val="18"/>
                <w:szCs w:val="18"/>
              </w:rPr>
              <w:t>3</w:t>
            </w:r>
          </w:p>
        </w:tc>
        <w:tc>
          <w:tcPr>
            <w:tcW w:w="1682" w:type="dxa"/>
            <w:tcBorders>
              <w:top w:val="single" w:sz="12" w:space="0" w:color="F1F1F1"/>
            </w:tcBorders>
            <w:shd w:val="clear" w:color="auto" w:fill="F1F1F1"/>
          </w:tcPr>
          <w:p w14:paraId="382D2635" w14:textId="77777777" w:rsidR="008715BE" w:rsidRPr="00EC75B7" w:rsidRDefault="00000000">
            <w:pPr>
              <w:pStyle w:val="TableParagraph"/>
              <w:spacing w:before="68"/>
              <w:ind w:left="23" w:right="10"/>
              <w:jc w:val="center"/>
              <w:rPr>
                <w:rFonts w:ascii="Verdana" w:hAnsi="Verdana"/>
                <w:b/>
                <w:sz w:val="18"/>
                <w:szCs w:val="18"/>
              </w:rPr>
            </w:pPr>
            <w:r w:rsidRPr="00EC75B7">
              <w:rPr>
                <w:rFonts w:ascii="Verdana" w:hAnsi="Verdana"/>
                <w:b/>
                <w:spacing w:val="-10"/>
                <w:sz w:val="18"/>
                <w:szCs w:val="18"/>
              </w:rPr>
              <w:t>0</w:t>
            </w:r>
          </w:p>
        </w:tc>
        <w:tc>
          <w:tcPr>
            <w:tcW w:w="1661" w:type="dxa"/>
            <w:tcBorders>
              <w:top w:val="single" w:sz="12" w:space="0" w:color="F1F1F1"/>
            </w:tcBorders>
            <w:shd w:val="clear" w:color="auto" w:fill="F1F1F1"/>
          </w:tcPr>
          <w:p w14:paraId="371F82D7" w14:textId="77777777" w:rsidR="008715BE" w:rsidRPr="00EC75B7" w:rsidRDefault="00000000">
            <w:pPr>
              <w:pStyle w:val="TableParagraph"/>
              <w:spacing w:before="68"/>
              <w:ind w:left="22" w:right="10"/>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AB48D"/>
          </w:tcPr>
          <w:p w14:paraId="4EEB45CD" w14:textId="77777777" w:rsidR="008715BE" w:rsidRPr="00EC75B7" w:rsidRDefault="00000000">
            <w:pPr>
              <w:pStyle w:val="TableParagraph"/>
              <w:spacing w:before="68"/>
              <w:ind w:left="25" w:right="11"/>
              <w:jc w:val="center"/>
              <w:rPr>
                <w:rFonts w:ascii="Verdana" w:hAnsi="Verdana"/>
                <w:b/>
                <w:sz w:val="18"/>
                <w:szCs w:val="18"/>
              </w:rPr>
            </w:pPr>
            <w:r w:rsidRPr="00EC75B7">
              <w:rPr>
                <w:rFonts w:ascii="Verdana" w:hAnsi="Verdana"/>
                <w:b/>
                <w:spacing w:val="-10"/>
                <w:sz w:val="18"/>
                <w:szCs w:val="18"/>
              </w:rPr>
              <w:t>3</w:t>
            </w:r>
          </w:p>
        </w:tc>
      </w:tr>
      <w:tr w:rsidR="008715BE" w:rsidRPr="00EC75B7" w14:paraId="2B4A7776" w14:textId="77777777">
        <w:trPr>
          <w:trHeight w:val="1766"/>
        </w:trPr>
        <w:tc>
          <w:tcPr>
            <w:tcW w:w="1980" w:type="dxa"/>
            <w:shd w:val="clear" w:color="auto" w:fill="00AFEF"/>
          </w:tcPr>
          <w:p w14:paraId="14A4ECDA" w14:textId="77777777" w:rsidR="008715BE" w:rsidRPr="00EC75B7" w:rsidRDefault="008715BE">
            <w:pPr>
              <w:pStyle w:val="TableParagraph"/>
              <w:rPr>
                <w:rFonts w:ascii="Verdana" w:hAnsi="Verdana"/>
                <w:b/>
                <w:sz w:val="18"/>
                <w:szCs w:val="18"/>
              </w:rPr>
            </w:pPr>
          </w:p>
          <w:p w14:paraId="161F16B4" w14:textId="77777777" w:rsidR="008715BE" w:rsidRPr="00EC75B7" w:rsidRDefault="008715BE">
            <w:pPr>
              <w:pStyle w:val="TableParagraph"/>
              <w:rPr>
                <w:rFonts w:ascii="Verdana" w:hAnsi="Verdana"/>
                <w:b/>
                <w:sz w:val="18"/>
                <w:szCs w:val="18"/>
              </w:rPr>
            </w:pPr>
          </w:p>
          <w:p w14:paraId="41B6B103" w14:textId="77777777" w:rsidR="008715BE" w:rsidRPr="00EC75B7" w:rsidRDefault="008715BE">
            <w:pPr>
              <w:pStyle w:val="TableParagraph"/>
              <w:rPr>
                <w:rFonts w:ascii="Verdana" w:hAnsi="Verdana"/>
                <w:b/>
                <w:sz w:val="18"/>
                <w:szCs w:val="18"/>
              </w:rPr>
            </w:pPr>
          </w:p>
          <w:p w14:paraId="18B18DB8" w14:textId="77777777" w:rsidR="008715BE" w:rsidRPr="00EC75B7" w:rsidRDefault="008715BE">
            <w:pPr>
              <w:pStyle w:val="TableParagraph"/>
              <w:spacing w:before="12"/>
              <w:rPr>
                <w:rFonts w:ascii="Verdana" w:hAnsi="Verdana"/>
                <w:b/>
                <w:sz w:val="18"/>
                <w:szCs w:val="18"/>
              </w:rPr>
            </w:pPr>
          </w:p>
          <w:p w14:paraId="6E968636"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 xml:space="preserve">Vegetation </w:t>
            </w:r>
            <w:r w:rsidRPr="00EC75B7">
              <w:rPr>
                <w:rFonts w:ascii="Verdana" w:hAnsi="Verdana"/>
                <w:b/>
                <w:color w:val="FFFFFF"/>
                <w:sz w:val="18"/>
                <w:szCs w:val="18"/>
              </w:rPr>
              <w:t>fire</w:t>
            </w:r>
          </w:p>
        </w:tc>
        <w:tc>
          <w:tcPr>
            <w:tcW w:w="7087" w:type="dxa"/>
            <w:gridSpan w:val="4"/>
          </w:tcPr>
          <w:p w14:paraId="1FA7B291" w14:textId="77777777" w:rsidR="008715BE" w:rsidRPr="00EC75B7" w:rsidRDefault="00000000">
            <w:pPr>
              <w:pStyle w:val="TableParagraph"/>
              <w:spacing w:before="16"/>
              <w:ind w:left="108" w:right="92"/>
              <w:jc w:val="both"/>
              <w:rPr>
                <w:rFonts w:ascii="Verdana" w:hAnsi="Verdana"/>
                <w:sz w:val="18"/>
                <w:szCs w:val="18"/>
              </w:rPr>
            </w:pPr>
            <w:r w:rsidRPr="00EC75B7">
              <w:rPr>
                <w:rFonts w:ascii="Verdana" w:hAnsi="Verdana"/>
                <w:sz w:val="18"/>
                <w:szCs w:val="18"/>
              </w:rPr>
              <w:t>Vegetation fires can cause physical damage to onshore wind farm assets and energy transmission and distribution infrastructure, with a direct impact on electricity generation and evacuation capacity.</w:t>
            </w:r>
          </w:p>
          <w:p w14:paraId="7F7A1C58" w14:textId="77777777" w:rsidR="008715BE" w:rsidRPr="00EC75B7" w:rsidRDefault="00000000">
            <w:pPr>
              <w:pStyle w:val="TableParagraph"/>
              <w:ind w:left="108" w:right="95"/>
              <w:jc w:val="both"/>
              <w:rPr>
                <w:rFonts w:ascii="Verdana" w:hAnsi="Verdana"/>
                <w:sz w:val="18"/>
                <w:szCs w:val="18"/>
              </w:rPr>
            </w:pPr>
            <w:r w:rsidRPr="00EC75B7">
              <w:rPr>
                <w:rFonts w:ascii="Verdana" w:hAnsi="Verdana"/>
                <w:sz w:val="18"/>
                <w:szCs w:val="18"/>
              </w:rPr>
              <w:t>Damage to electrical networks and auxiliary equipment can lead to power outages, affecting the wind farm's control, monitoring, and communications systems.</w:t>
            </w:r>
          </w:p>
          <w:p w14:paraId="0A9E5A9A" w14:textId="77777777" w:rsidR="008715BE" w:rsidRPr="00EC75B7" w:rsidRDefault="00000000">
            <w:pPr>
              <w:pStyle w:val="TableParagraph"/>
              <w:ind w:left="108" w:right="95"/>
              <w:jc w:val="both"/>
              <w:rPr>
                <w:rFonts w:ascii="Verdana" w:hAnsi="Verdana"/>
                <w:sz w:val="18"/>
                <w:szCs w:val="18"/>
              </w:rPr>
            </w:pPr>
            <w:r w:rsidRPr="00EC75B7">
              <w:rPr>
                <w:rFonts w:ascii="Verdana" w:hAnsi="Verdana"/>
                <w:sz w:val="18"/>
                <w:szCs w:val="18"/>
              </w:rPr>
              <w:t xml:space="preserve">Temporary restrictions on access to sites, imposed by safety conditions during or after fires, may limit operation, </w:t>
            </w:r>
            <w:r w:rsidRPr="00EC75B7">
              <w:rPr>
                <w:rFonts w:ascii="Verdana" w:hAnsi="Verdana"/>
                <w:spacing w:val="-2"/>
                <w:sz w:val="18"/>
                <w:szCs w:val="18"/>
              </w:rPr>
              <w:t xml:space="preserve">inspection, </w:t>
            </w:r>
            <w:r w:rsidRPr="00EC75B7">
              <w:rPr>
                <w:rFonts w:ascii="Verdana" w:hAnsi="Verdana"/>
                <w:sz w:val="18"/>
                <w:szCs w:val="18"/>
              </w:rPr>
              <w:t>and maintenance interventions.</w:t>
            </w:r>
          </w:p>
          <w:p w14:paraId="78067885" w14:textId="77777777" w:rsidR="008715BE" w:rsidRPr="00EC75B7" w:rsidRDefault="00000000">
            <w:pPr>
              <w:pStyle w:val="TableParagraph"/>
              <w:spacing w:line="173" w:lineRule="exact"/>
              <w:ind w:left="108"/>
              <w:jc w:val="both"/>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maintenance interventions.</w:t>
            </w:r>
          </w:p>
        </w:tc>
      </w:tr>
      <w:tr w:rsidR="008715BE" w:rsidRPr="00EC75B7" w14:paraId="7CEAFC14" w14:textId="77777777">
        <w:trPr>
          <w:trHeight w:val="393"/>
        </w:trPr>
        <w:tc>
          <w:tcPr>
            <w:tcW w:w="1980" w:type="dxa"/>
            <w:shd w:val="clear" w:color="auto" w:fill="001F5F"/>
          </w:tcPr>
          <w:p w14:paraId="62D5A821" w14:textId="77777777" w:rsidR="008715BE" w:rsidRPr="00EC75B7" w:rsidRDefault="00000000">
            <w:pPr>
              <w:pStyle w:val="TableParagraph"/>
              <w:spacing w:line="194" w:lineRule="exact"/>
              <w:ind w:left="108" w:right="179"/>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0000"/>
                <w:spacing w:val="-2"/>
                <w:sz w:val="18"/>
                <w:szCs w:val="18"/>
              </w:rPr>
              <w:t>High</w:t>
            </w:r>
          </w:p>
        </w:tc>
        <w:tc>
          <w:tcPr>
            <w:tcW w:w="1687" w:type="dxa"/>
            <w:shd w:val="clear" w:color="auto" w:fill="001F5F"/>
          </w:tcPr>
          <w:p w14:paraId="399FF805" w14:textId="77777777" w:rsidR="008715BE" w:rsidRPr="00EC75B7" w:rsidRDefault="00000000">
            <w:pPr>
              <w:pStyle w:val="TableParagraph"/>
              <w:spacing w:before="4" w:line="195" w:lineRule="exact"/>
              <w:ind w:left="460"/>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48FA9F39" w14:textId="77777777" w:rsidR="008715BE" w:rsidRPr="00EC75B7" w:rsidRDefault="00000000">
            <w:pPr>
              <w:pStyle w:val="TableParagraph"/>
              <w:spacing w:line="174" w:lineRule="exact"/>
              <w:ind w:left="489"/>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51BB2B84" w14:textId="77777777" w:rsidR="008715BE" w:rsidRPr="00EC75B7" w:rsidRDefault="00000000">
            <w:pPr>
              <w:pStyle w:val="TableParagraph"/>
              <w:spacing w:before="102"/>
              <w:ind w:left="23" w:right="1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148150AE" w14:textId="77777777" w:rsidR="008715BE" w:rsidRPr="00EC75B7" w:rsidRDefault="00000000">
            <w:pPr>
              <w:pStyle w:val="TableParagraph"/>
              <w:spacing w:before="102"/>
              <w:ind w:left="22" w:right="10"/>
              <w:jc w:val="center"/>
              <w:rPr>
                <w:rFonts w:ascii="Verdana" w:hAnsi="Verdana"/>
                <w:b/>
                <w:sz w:val="18"/>
                <w:szCs w:val="18"/>
              </w:rPr>
            </w:pPr>
            <w:r w:rsidRPr="00EC75B7">
              <w:rPr>
                <w:rFonts w:ascii="Verdana" w:hAnsi="Verdana"/>
                <w:b/>
                <w:color w:val="FFFFFF"/>
                <w:spacing w:val="-2"/>
                <w:sz w:val="18"/>
                <w:szCs w:val="18"/>
              </w:rPr>
              <w:t>Output</w:t>
            </w:r>
          </w:p>
        </w:tc>
        <w:tc>
          <w:tcPr>
            <w:tcW w:w="2057" w:type="dxa"/>
            <w:shd w:val="clear" w:color="auto" w:fill="001F5F"/>
          </w:tcPr>
          <w:p w14:paraId="4000E200" w14:textId="77777777" w:rsidR="008715BE" w:rsidRPr="00EC75B7" w:rsidRDefault="00000000">
            <w:pPr>
              <w:pStyle w:val="TableParagraph"/>
              <w:spacing w:before="102"/>
              <w:ind w:left="25" w:right="10"/>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2A81193C" w14:textId="77777777">
        <w:trPr>
          <w:trHeight w:val="345"/>
        </w:trPr>
        <w:tc>
          <w:tcPr>
            <w:tcW w:w="1980" w:type="dxa"/>
            <w:shd w:val="clear" w:color="auto" w:fill="FAB48D"/>
          </w:tcPr>
          <w:p w14:paraId="5DD5828D" w14:textId="77777777" w:rsidR="008715BE" w:rsidRPr="00EC75B7" w:rsidRDefault="00000000">
            <w:pPr>
              <w:pStyle w:val="TableParagraph"/>
              <w:spacing w:before="83"/>
              <w:ind w:left="21" w:right="10"/>
              <w:jc w:val="center"/>
              <w:rPr>
                <w:rFonts w:ascii="Verdana" w:hAnsi="Verdana"/>
                <w:b/>
                <w:sz w:val="18"/>
                <w:szCs w:val="18"/>
              </w:rPr>
            </w:pPr>
            <w:r w:rsidRPr="00EC75B7">
              <w:rPr>
                <w:rFonts w:ascii="Verdana" w:hAnsi="Verdana"/>
                <w:b/>
                <w:spacing w:val="-10"/>
                <w:sz w:val="18"/>
                <w:szCs w:val="18"/>
              </w:rPr>
              <w:t>3</w:t>
            </w:r>
          </w:p>
        </w:tc>
        <w:tc>
          <w:tcPr>
            <w:tcW w:w="1687" w:type="dxa"/>
            <w:shd w:val="clear" w:color="auto" w:fill="FAB48D"/>
          </w:tcPr>
          <w:p w14:paraId="62FE3BA7" w14:textId="77777777" w:rsidR="008715BE" w:rsidRPr="00EC75B7" w:rsidRDefault="00000000">
            <w:pPr>
              <w:pStyle w:val="TableParagraph"/>
              <w:spacing w:before="83"/>
              <w:ind w:left="22" w:right="9"/>
              <w:jc w:val="center"/>
              <w:rPr>
                <w:rFonts w:ascii="Verdana" w:hAnsi="Verdana"/>
                <w:b/>
                <w:sz w:val="18"/>
                <w:szCs w:val="18"/>
              </w:rPr>
            </w:pPr>
            <w:r w:rsidRPr="00EC75B7">
              <w:rPr>
                <w:rFonts w:ascii="Verdana" w:hAnsi="Verdana"/>
                <w:b/>
                <w:spacing w:val="-10"/>
                <w:sz w:val="18"/>
                <w:szCs w:val="18"/>
              </w:rPr>
              <w:t>3</w:t>
            </w:r>
          </w:p>
        </w:tc>
        <w:tc>
          <w:tcPr>
            <w:tcW w:w="1682" w:type="dxa"/>
            <w:shd w:val="clear" w:color="auto" w:fill="F1F1F1"/>
          </w:tcPr>
          <w:p w14:paraId="4E436D1A" w14:textId="77777777" w:rsidR="008715BE" w:rsidRPr="00EC75B7" w:rsidRDefault="00000000">
            <w:pPr>
              <w:pStyle w:val="TableParagraph"/>
              <w:spacing w:before="83"/>
              <w:ind w:left="23" w:right="10"/>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FE699"/>
          </w:tcPr>
          <w:p w14:paraId="0BBD6CD1" w14:textId="77777777" w:rsidR="008715BE" w:rsidRPr="00EC75B7" w:rsidRDefault="00000000">
            <w:pPr>
              <w:pStyle w:val="TableParagraph"/>
              <w:spacing w:before="83"/>
              <w:ind w:left="22" w:right="12"/>
              <w:jc w:val="center"/>
              <w:rPr>
                <w:rFonts w:ascii="Verdana" w:hAnsi="Verdana"/>
                <w:sz w:val="18"/>
                <w:szCs w:val="18"/>
              </w:rPr>
            </w:pPr>
            <w:r w:rsidRPr="00EC75B7">
              <w:rPr>
                <w:rFonts w:ascii="Verdana" w:hAnsi="Verdana"/>
                <w:spacing w:val="-10"/>
                <w:sz w:val="18"/>
                <w:szCs w:val="18"/>
              </w:rPr>
              <w:t>2</w:t>
            </w:r>
          </w:p>
        </w:tc>
        <w:tc>
          <w:tcPr>
            <w:tcW w:w="2057" w:type="dxa"/>
            <w:shd w:val="clear" w:color="auto" w:fill="FFE699"/>
          </w:tcPr>
          <w:p w14:paraId="7D0456C1" w14:textId="77777777" w:rsidR="008715BE" w:rsidRPr="00EC75B7" w:rsidRDefault="00000000">
            <w:pPr>
              <w:pStyle w:val="TableParagraph"/>
              <w:spacing w:before="83"/>
              <w:ind w:left="25" w:right="11"/>
              <w:jc w:val="center"/>
              <w:rPr>
                <w:rFonts w:ascii="Verdana" w:hAnsi="Verdana"/>
                <w:b/>
                <w:sz w:val="18"/>
                <w:szCs w:val="18"/>
              </w:rPr>
            </w:pPr>
            <w:r w:rsidRPr="00EC75B7">
              <w:rPr>
                <w:rFonts w:ascii="Verdana" w:hAnsi="Verdana"/>
                <w:b/>
                <w:spacing w:val="-10"/>
                <w:sz w:val="18"/>
                <w:szCs w:val="18"/>
              </w:rPr>
              <w:t>2</w:t>
            </w:r>
          </w:p>
        </w:tc>
      </w:tr>
      <w:tr w:rsidR="008715BE" w:rsidRPr="00EC75B7" w14:paraId="5AB79005" w14:textId="77777777">
        <w:trPr>
          <w:trHeight w:val="2932"/>
        </w:trPr>
        <w:tc>
          <w:tcPr>
            <w:tcW w:w="1980" w:type="dxa"/>
            <w:shd w:val="clear" w:color="auto" w:fill="00AFEF"/>
          </w:tcPr>
          <w:p w14:paraId="35B1D4A9" w14:textId="77777777" w:rsidR="008715BE" w:rsidRPr="00EC75B7" w:rsidRDefault="008715BE">
            <w:pPr>
              <w:pStyle w:val="TableParagraph"/>
              <w:rPr>
                <w:rFonts w:ascii="Verdana" w:hAnsi="Verdana"/>
                <w:b/>
                <w:sz w:val="18"/>
                <w:szCs w:val="18"/>
              </w:rPr>
            </w:pPr>
          </w:p>
          <w:p w14:paraId="02382446" w14:textId="77777777" w:rsidR="008715BE" w:rsidRPr="00EC75B7" w:rsidRDefault="008715BE">
            <w:pPr>
              <w:pStyle w:val="TableParagraph"/>
              <w:rPr>
                <w:rFonts w:ascii="Verdana" w:hAnsi="Verdana"/>
                <w:b/>
                <w:sz w:val="18"/>
                <w:szCs w:val="18"/>
              </w:rPr>
            </w:pPr>
          </w:p>
          <w:p w14:paraId="3ED452D8" w14:textId="77777777" w:rsidR="008715BE" w:rsidRPr="00EC75B7" w:rsidRDefault="008715BE">
            <w:pPr>
              <w:pStyle w:val="TableParagraph"/>
              <w:rPr>
                <w:rFonts w:ascii="Verdana" w:hAnsi="Verdana"/>
                <w:b/>
                <w:sz w:val="18"/>
                <w:szCs w:val="18"/>
              </w:rPr>
            </w:pPr>
          </w:p>
          <w:p w14:paraId="727AF1E6" w14:textId="77777777" w:rsidR="008715BE" w:rsidRPr="00EC75B7" w:rsidRDefault="008715BE">
            <w:pPr>
              <w:pStyle w:val="TableParagraph"/>
              <w:rPr>
                <w:rFonts w:ascii="Verdana" w:hAnsi="Verdana"/>
                <w:b/>
                <w:sz w:val="18"/>
                <w:szCs w:val="18"/>
              </w:rPr>
            </w:pPr>
          </w:p>
          <w:p w14:paraId="719EF5B2" w14:textId="77777777" w:rsidR="008715BE" w:rsidRPr="00EC75B7" w:rsidRDefault="008715BE">
            <w:pPr>
              <w:pStyle w:val="TableParagraph"/>
              <w:rPr>
                <w:rFonts w:ascii="Verdana" w:hAnsi="Verdana"/>
                <w:b/>
                <w:sz w:val="18"/>
                <w:szCs w:val="18"/>
              </w:rPr>
            </w:pPr>
          </w:p>
          <w:p w14:paraId="7A44924A" w14:textId="77777777" w:rsidR="008715BE" w:rsidRPr="00EC75B7" w:rsidRDefault="008715BE">
            <w:pPr>
              <w:pStyle w:val="TableParagraph"/>
              <w:rPr>
                <w:rFonts w:ascii="Verdana" w:hAnsi="Verdana"/>
                <w:b/>
                <w:sz w:val="18"/>
                <w:szCs w:val="18"/>
              </w:rPr>
            </w:pPr>
          </w:p>
          <w:p w14:paraId="33AD1EFD" w14:textId="77777777" w:rsidR="008715BE" w:rsidRPr="00EC75B7" w:rsidRDefault="008715BE">
            <w:pPr>
              <w:pStyle w:val="TableParagraph"/>
              <w:spacing w:before="10"/>
              <w:rPr>
                <w:rFonts w:ascii="Verdana" w:hAnsi="Verdana"/>
                <w:b/>
                <w:sz w:val="18"/>
                <w:szCs w:val="18"/>
              </w:rPr>
            </w:pPr>
          </w:p>
          <w:p w14:paraId="138A9E5D"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4"/>
                <w:sz w:val="18"/>
                <w:szCs w:val="18"/>
              </w:rPr>
              <w:t xml:space="preserve">Cold </w:t>
            </w:r>
            <w:r w:rsidRPr="00EC75B7">
              <w:rPr>
                <w:rFonts w:ascii="Verdana" w:hAnsi="Verdana"/>
                <w:b/>
                <w:color w:val="FFFFFF"/>
                <w:sz w:val="18"/>
                <w:szCs w:val="18"/>
              </w:rPr>
              <w:t>wave</w:t>
            </w:r>
          </w:p>
        </w:tc>
        <w:tc>
          <w:tcPr>
            <w:tcW w:w="7087" w:type="dxa"/>
            <w:gridSpan w:val="4"/>
          </w:tcPr>
          <w:p w14:paraId="47EA1014" w14:textId="77777777" w:rsidR="008715BE" w:rsidRPr="00EC75B7" w:rsidRDefault="00000000">
            <w:pPr>
              <w:pStyle w:val="TableParagraph"/>
              <w:spacing w:before="16"/>
              <w:ind w:left="108" w:right="95"/>
              <w:jc w:val="both"/>
              <w:rPr>
                <w:rFonts w:ascii="Verdana" w:hAnsi="Verdana"/>
                <w:sz w:val="18"/>
                <w:szCs w:val="18"/>
              </w:rPr>
            </w:pPr>
            <w:r w:rsidRPr="00EC75B7">
              <w:rPr>
                <w:rFonts w:ascii="Verdana" w:hAnsi="Verdana"/>
                <w:sz w:val="18"/>
                <w:szCs w:val="18"/>
              </w:rPr>
              <w:t>Periods of very low temperatures and frost can cause structural damage to turbine blades through ice formation, which can lead to dynamic imbalances and additional stress on the shaft and rotation systems.</w:t>
            </w:r>
            <w:r w:rsidRPr="00EC75B7">
              <w:rPr>
                <w:rFonts w:ascii="Verdana" w:hAnsi="Verdana"/>
                <w:spacing w:val="40"/>
                <w:sz w:val="18"/>
                <w:szCs w:val="18"/>
              </w:rPr>
              <w:t xml:space="preserve"> </w:t>
            </w:r>
            <w:r w:rsidRPr="00EC75B7">
              <w:rPr>
                <w:rFonts w:ascii="Verdana" w:hAnsi="Verdana"/>
                <w:sz w:val="18"/>
                <w:szCs w:val="18"/>
              </w:rPr>
              <w:t>Ice deposits, even in small quantities, affect the aerodynamic performance of the blades, causing a decrease in electricity production.</w:t>
            </w:r>
          </w:p>
          <w:p w14:paraId="7977B53D"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Extreme negative temperatures can cause malfunctions or improper operation of sensitive electrical and mechanical equipment, including control systems, sensors, and drive components.</w:t>
            </w:r>
          </w:p>
          <w:p w14:paraId="0070ED89" w14:textId="77777777" w:rsidR="008715BE" w:rsidRPr="00EC75B7" w:rsidRDefault="00000000">
            <w:pPr>
              <w:pStyle w:val="TableParagraph"/>
              <w:ind w:left="108" w:right="96"/>
              <w:jc w:val="both"/>
              <w:rPr>
                <w:rFonts w:ascii="Verdana" w:hAnsi="Verdana"/>
                <w:sz w:val="18"/>
                <w:szCs w:val="18"/>
              </w:rPr>
            </w:pPr>
            <w:r w:rsidRPr="00EC75B7">
              <w:rPr>
                <w:rFonts w:ascii="Verdana" w:hAnsi="Verdana"/>
                <w:sz w:val="18"/>
                <w:szCs w:val="18"/>
              </w:rPr>
              <w:t xml:space="preserve">Cold and wet conditions can accelerate corrosion processes in metal components, leading to increased maintenance costs and intervention requirements. Significant snow accumulation can temporarily block access roads and auxiliary paths, making inspections and </w:t>
            </w:r>
            <w:r w:rsidRPr="00EC75B7">
              <w:rPr>
                <w:rFonts w:ascii="Verdana" w:hAnsi="Verdana"/>
                <w:spacing w:val="-2"/>
                <w:sz w:val="18"/>
                <w:szCs w:val="18"/>
              </w:rPr>
              <w:t>maintenance</w:t>
            </w:r>
            <w:r w:rsidRPr="00EC75B7">
              <w:rPr>
                <w:rFonts w:ascii="Verdana" w:hAnsi="Verdana"/>
                <w:sz w:val="18"/>
                <w:szCs w:val="18"/>
              </w:rPr>
              <w:t xml:space="preserve"> work difficult</w:t>
            </w:r>
            <w:r w:rsidRPr="00EC75B7">
              <w:rPr>
                <w:rFonts w:ascii="Verdana" w:hAnsi="Verdana"/>
                <w:spacing w:val="-2"/>
                <w:sz w:val="18"/>
                <w:szCs w:val="18"/>
              </w:rPr>
              <w:t>.</w:t>
            </w:r>
          </w:p>
          <w:p w14:paraId="0755445D" w14:textId="77777777" w:rsidR="008715BE" w:rsidRPr="00EC75B7" w:rsidRDefault="00000000">
            <w:pPr>
              <w:pStyle w:val="TableParagraph"/>
              <w:spacing w:line="190" w:lineRule="exact"/>
              <w:ind w:left="108"/>
              <w:jc w:val="both"/>
              <w:rPr>
                <w:rFonts w:ascii="Verdana" w:hAnsi="Verdana"/>
                <w:sz w:val="18"/>
                <w:szCs w:val="18"/>
              </w:rPr>
            </w:pPr>
            <w:r w:rsidRPr="00EC75B7">
              <w:rPr>
                <w:rFonts w:ascii="Verdana" w:hAnsi="Verdana"/>
                <w:sz w:val="18"/>
                <w:szCs w:val="18"/>
              </w:rPr>
              <w:t xml:space="preserve">Frost and severe weather conditions can affect the accuracy </w:t>
            </w:r>
            <w:r w:rsidRPr="00EC75B7">
              <w:rPr>
                <w:rFonts w:ascii="Verdana" w:hAnsi="Verdana"/>
                <w:spacing w:val="-5"/>
                <w:sz w:val="18"/>
                <w:szCs w:val="18"/>
              </w:rPr>
              <w:t xml:space="preserve">of measurement and control </w:t>
            </w:r>
            <w:r w:rsidRPr="00EC75B7">
              <w:rPr>
                <w:rFonts w:ascii="Verdana" w:hAnsi="Verdana"/>
                <w:sz w:val="18"/>
                <w:szCs w:val="18"/>
              </w:rPr>
              <w:t>systems</w:t>
            </w:r>
          </w:p>
          <w:p w14:paraId="6D2C61F9" w14:textId="77777777" w:rsidR="008715BE" w:rsidRPr="00EC75B7" w:rsidRDefault="00000000">
            <w:pPr>
              <w:pStyle w:val="TableParagraph"/>
              <w:spacing w:line="174" w:lineRule="exact"/>
              <w:ind w:left="108"/>
              <w:jc w:val="both"/>
              <w:rPr>
                <w:rFonts w:ascii="Verdana" w:hAnsi="Verdana"/>
                <w:sz w:val="18"/>
                <w:szCs w:val="18"/>
              </w:rPr>
            </w:pPr>
            <w:r w:rsidRPr="00EC75B7">
              <w:rPr>
                <w:rFonts w:ascii="Verdana" w:hAnsi="Verdana"/>
                <w:sz w:val="18"/>
                <w:szCs w:val="18"/>
              </w:rPr>
              <w:t xml:space="preserve">and control systems, impacting the safe and efficient operation of </w:t>
            </w:r>
            <w:r w:rsidRPr="00EC75B7">
              <w:rPr>
                <w:rFonts w:ascii="Verdana" w:hAnsi="Verdana"/>
                <w:spacing w:val="-2"/>
                <w:sz w:val="18"/>
                <w:szCs w:val="18"/>
              </w:rPr>
              <w:t>turbines.</w:t>
            </w:r>
          </w:p>
        </w:tc>
      </w:tr>
      <w:tr w:rsidR="008715BE" w:rsidRPr="00EC75B7" w14:paraId="4A18AA58" w14:textId="77777777">
        <w:trPr>
          <w:trHeight w:val="393"/>
        </w:trPr>
        <w:tc>
          <w:tcPr>
            <w:tcW w:w="1980" w:type="dxa"/>
            <w:shd w:val="clear" w:color="auto" w:fill="001F5F"/>
          </w:tcPr>
          <w:p w14:paraId="4F1CEA1B" w14:textId="77777777" w:rsidR="008715BE" w:rsidRPr="00EC75B7" w:rsidRDefault="00000000">
            <w:pPr>
              <w:pStyle w:val="TableParagraph"/>
              <w:spacing w:before="4" w:line="195" w:lineRule="exact"/>
              <w:ind w:left="108"/>
              <w:rPr>
                <w:rFonts w:ascii="Verdana" w:hAnsi="Verdana"/>
                <w:sz w:val="18"/>
                <w:szCs w:val="18"/>
              </w:rPr>
            </w:pPr>
            <w:r w:rsidRPr="00EC75B7">
              <w:rPr>
                <w:rFonts w:ascii="Verdana" w:hAnsi="Verdana"/>
                <w:color w:val="FFFFFF"/>
                <w:spacing w:val="-2"/>
                <w:sz w:val="18"/>
                <w:szCs w:val="18"/>
              </w:rPr>
              <w:t xml:space="preserve">Overall </w:t>
            </w:r>
            <w:r w:rsidRPr="00EC75B7">
              <w:rPr>
                <w:rFonts w:ascii="Verdana" w:hAnsi="Verdana"/>
                <w:color w:val="FFFFFF"/>
                <w:sz w:val="18"/>
                <w:szCs w:val="18"/>
              </w:rPr>
              <w:t>score</w:t>
            </w:r>
            <w:r w:rsidRPr="00EC75B7">
              <w:rPr>
                <w:rFonts w:ascii="Verdana" w:hAnsi="Verdana"/>
                <w:color w:val="FFFFFF"/>
                <w:spacing w:val="-2"/>
                <w:sz w:val="18"/>
                <w:szCs w:val="18"/>
              </w:rPr>
              <w:t>:</w:t>
            </w:r>
          </w:p>
          <w:p w14:paraId="234DE2EE"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C000"/>
                <w:spacing w:val="-2"/>
                <w:sz w:val="18"/>
                <w:szCs w:val="18"/>
              </w:rPr>
              <w:t>Moderate</w:t>
            </w:r>
          </w:p>
        </w:tc>
        <w:tc>
          <w:tcPr>
            <w:tcW w:w="1687" w:type="dxa"/>
            <w:shd w:val="clear" w:color="auto" w:fill="001F5F"/>
          </w:tcPr>
          <w:p w14:paraId="7E07851F" w14:textId="77777777" w:rsidR="008715BE" w:rsidRPr="00EC75B7" w:rsidRDefault="00000000">
            <w:pPr>
              <w:pStyle w:val="TableParagraph"/>
              <w:spacing w:before="4" w:line="195" w:lineRule="exact"/>
              <w:ind w:left="460"/>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018AED1A" w14:textId="77777777" w:rsidR="008715BE" w:rsidRPr="00EC75B7" w:rsidRDefault="00000000">
            <w:pPr>
              <w:pStyle w:val="TableParagraph"/>
              <w:spacing w:line="174" w:lineRule="exact"/>
              <w:ind w:left="489"/>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49B6B538" w14:textId="77777777" w:rsidR="008715BE" w:rsidRPr="00EC75B7" w:rsidRDefault="00000000">
            <w:pPr>
              <w:pStyle w:val="TableParagraph"/>
              <w:spacing w:before="102"/>
              <w:ind w:left="23" w:right="1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0152F6B9" w14:textId="77777777" w:rsidR="008715BE" w:rsidRPr="00EC75B7" w:rsidRDefault="00000000">
            <w:pPr>
              <w:pStyle w:val="TableParagraph"/>
              <w:spacing w:before="102"/>
              <w:ind w:left="22" w:right="10"/>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66CFB9D2" w14:textId="77777777" w:rsidR="008715BE" w:rsidRPr="00EC75B7" w:rsidRDefault="00000000">
            <w:pPr>
              <w:pStyle w:val="TableParagraph"/>
              <w:spacing w:before="102"/>
              <w:ind w:left="25" w:right="10"/>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135ECFC0" w14:textId="77777777">
        <w:trPr>
          <w:trHeight w:val="345"/>
        </w:trPr>
        <w:tc>
          <w:tcPr>
            <w:tcW w:w="1980" w:type="dxa"/>
            <w:shd w:val="clear" w:color="auto" w:fill="FFE699"/>
          </w:tcPr>
          <w:p w14:paraId="2F4BDD58" w14:textId="77777777" w:rsidR="008715BE" w:rsidRPr="00EC75B7" w:rsidRDefault="00000000">
            <w:pPr>
              <w:pStyle w:val="TableParagraph"/>
              <w:spacing w:before="83"/>
              <w:ind w:left="21" w:right="10"/>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0C77379D" w14:textId="77777777" w:rsidR="008715BE" w:rsidRPr="00EC75B7" w:rsidRDefault="00000000">
            <w:pPr>
              <w:pStyle w:val="TableParagraph"/>
              <w:spacing w:before="83"/>
              <w:ind w:left="22" w:right="9"/>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F1F1F1"/>
          </w:tcPr>
          <w:p w14:paraId="549D2FD1" w14:textId="77777777" w:rsidR="008715BE" w:rsidRPr="00EC75B7" w:rsidRDefault="00000000">
            <w:pPr>
              <w:pStyle w:val="TableParagraph"/>
              <w:spacing w:before="83"/>
              <w:ind w:left="23" w:right="10"/>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FE699"/>
          </w:tcPr>
          <w:p w14:paraId="2D403E18" w14:textId="77777777" w:rsidR="008715BE" w:rsidRPr="00EC75B7" w:rsidRDefault="00000000">
            <w:pPr>
              <w:pStyle w:val="TableParagraph"/>
              <w:spacing w:before="83"/>
              <w:ind w:left="22" w:right="10"/>
              <w:jc w:val="center"/>
              <w:rPr>
                <w:rFonts w:ascii="Verdana" w:hAnsi="Verdana"/>
                <w:b/>
                <w:sz w:val="18"/>
                <w:szCs w:val="18"/>
              </w:rPr>
            </w:pPr>
            <w:r w:rsidRPr="00EC75B7">
              <w:rPr>
                <w:rFonts w:ascii="Verdana" w:hAnsi="Verdana"/>
                <w:b/>
                <w:spacing w:val="-10"/>
                <w:sz w:val="18"/>
                <w:szCs w:val="18"/>
              </w:rPr>
              <w:t>2</w:t>
            </w:r>
          </w:p>
        </w:tc>
        <w:tc>
          <w:tcPr>
            <w:tcW w:w="2057" w:type="dxa"/>
            <w:shd w:val="clear" w:color="auto" w:fill="FFE699"/>
          </w:tcPr>
          <w:p w14:paraId="149AD80B" w14:textId="77777777" w:rsidR="008715BE" w:rsidRPr="00EC75B7" w:rsidRDefault="00000000">
            <w:pPr>
              <w:pStyle w:val="TableParagraph"/>
              <w:spacing w:before="83"/>
              <w:ind w:left="25" w:right="11"/>
              <w:jc w:val="center"/>
              <w:rPr>
                <w:rFonts w:ascii="Verdana" w:hAnsi="Verdana"/>
                <w:b/>
                <w:sz w:val="18"/>
                <w:szCs w:val="18"/>
              </w:rPr>
            </w:pPr>
            <w:r w:rsidRPr="00EC75B7">
              <w:rPr>
                <w:rFonts w:ascii="Verdana" w:hAnsi="Verdana"/>
                <w:b/>
                <w:spacing w:val="-10"/>
                <w:sz w:val="18"/>
                <w:szCs w:val="18"/>
              </w:rPr>
              <w:t>2</w:t>
            </w:r>
          </w:p>
        </w:tc>
      </w:tr>
      <w:tr w:rsidR="008715BE" w:rsidRPr="00EC75B7" w14:paraId="12732A1A" w14:textId="77777777">
        <w:trPr>
          <w:trHeight w:val="1377"/>
        </w:trPr>
        <w:tc>
          <w:tcPr>
            <w:tcW w:w="1980" w:type="dxa"/>
            <w:shd w:val="clear" w:color="auto" w:fill="00AFEF"/>
          </w:tcPr>
          <w:p w14:paraId="3754C39B" w14:textId="77777777" w:rsidR="008715BE" w:rsidRPr="00EC75B7" w:rsidRDefault="008715BE">
            <w:pPr>
              <w:pStyle w:val="TableParagraph"/>
              <w:rPr>
                <w:rFonts w:ascii="Verdana" w:hAnsi="Verdana"/>
                <w:b/>
                <w:sz w:val="18"/>
                <w:szCs w:val="18"/>
              </w:rPr>
            </w:pPr>
          </w:p>
          <w:p w14:paraId="49E0D664" w14:textId="77777777" w:rsidR="008715BE" w:rsidRPr="00EC75B7" w:rsidRDefault="008715BE">
            <w:pPr>
              <w:pStyle w:val="TableParagraph"/>
              <w:spacing w:before="111"/>
              <w:rPr>
                <w:rFonts w:ascii="Verdana" w:hAnsi="Verdana"/>
                <w:b/>
                <w:sz w:val="18"/>
                <w:szCs w:val="18"/>
              </w:rPr>
            </w:pPr>
          </w:p>
          <w:p w14:paraId="518DA64D"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Change in wind patterns</w:t>
            </w:r>
          </w:p>
        </w:tc>
        <w:tc>
          <w:tcPr>
            <w:tcW w:w="7087" w:type="dxa"/>
            <w:gridSpan w:val="4"/>
          </w:tcPr>
          <w:p w14:paraId="4231A7FF" w14:textId="77777777" w:rsidR="008715BE" w:rsidRPr="00EC75B7" w:rsidRDefault="00000000">
            <w:pPr>
              <w:pStyle w:val="TableParagraph"/>
              <w:spacing w:before="17"/>
              <w:ind w:left="108" w:right="92"/>
              <w:jc w:val="both"/>
              <w:rPr>
                <w:rFonts w:ascii="Verdana" w:hAnsi="Verdana"/>
                <w:sz w:val="18"/>
                <w:szCs w:val="18"/>
              </w:rPr>
            </w:pPr>
            <w:r w:rsidRPr="00EC75B7">
              <w:rPr>
                <w:rFonts w:ascii="Verdana" w:hAnsi="Verdana"/>
                <w:sz w:val="18"/>
                <w:szCs w:val="18"/>
              </w:rPr>
              <w:t>Changes in wind patterns, reflected in lower average speeds or a decrease in the frequency of optimal operating intervals, can lead to a reduction in the electricity production of onshore wind farms.</w:t>
            </w:r>
          </w:p>
          <w:p w14:paraId="0606BB2E" w14:textId="77777777" w:rsidR="008715BE" w:rsidRPr="00EC75B7" w:rsidRDefault="00000000">
            <w:pPr>
              <w:pStyle w:val="TableParagraph"/>
              <w:ind w:left="108" w:right="97"/>
              <w:jc w:val="both"/>
              <w:rPr>
                <w:rFonts w:ascii="Verdana" w:hAnsi="Verdana"/>
                <w:sz w:val="18"/>
                <w:szCs w:val="18"/>
              </w:rPr>
            </w:pPr>
            <w:r w:rsidRPr="00EC75B7">
              <w:rPr>
                <w:rFonts w:ascii="Verdana" w:hAnsi="Verdana"/>
                <w:sz w:val="18"/>
                <w:szCs w:val="18"/>
              </w:rPr>
              <w:t>Increased wind speeds or the frequency of episodes of stronger winds can have a positive effect on production, to the extent that the technical characteristics of the turbines,</w:t>
            </w:r>
            <w:r w:rsidRPr="00EC75B7">
              <w:rPr>
                <w:rFonts w:ascii="Verdana" w:hAnsi="Verdana"/>
                <w:spacing w:val="23"/>
                <w:sz w:val="18"/>
                <w:szCs w:val="18"/>
              </w:rPr>
              <w:t xml:space="preserve">  </w:t>
            </w:r>
            <w:r w:rsidRPr="00EC75B7">
              <w:rPr>
                <w:rFonts w:ascii="Verdana" w:hAnsi="Verdana"/>
                <w:sz w:val="18"/>
                <w:szCs w:val="18"/>
              </w:rPr>
              <w:t xml:space="preserve"> the configuration</w:t>
            </w:r>
            <w:r w:rsidRPr="00EC75B7">
              <w:rPr>
                <w:rFonts w:ascii="Verdana" w:hAnsi="Verdana"/>
                <w:spacing w:val="25"/>
                <w:sz w:val="18"/>
                <w:szCs w:val="18"/>
              </w:rPr>
              <w:t xml:space="preserve">  </w:t>
            </w:r>
            <w:r w:rsidRPr="00EC75B7">
              <w:rPr>
                <w:rFonts w:ascii="Verdana" w:hAnsi="Verdana"/>
                <w:sz w:val="18"/>
                <w:szCs w:val="18"/>
              </w:rPr>
              <w:t xml:space="preserve"> of the farm</w:t>
            </w:r>
            <w:r w:rsidRPr="00EC75B7">
              <w:rPr>
                <w:rFonts w:ascii="Verdana" w:hAnsi="Verdana"/>
                <w:spacing w:val="25"/>
                <w:sz w:val="18"/>
                <w:szCs w:val="18"/>
              </w:rPr>
              <w:t xml:space="preserve">  </w:t>
            </w:r>
            <w:r w:rsidRPr="00EC75B7">
              <w:rPr>
                <w:rFonts w:ascii="Verdana" w:hAnsi="Verdana"/>
                <w:sz w:val="18"/>
                <w:szCs w:val="18"/>
              </w:rPr>
              <w:t xml:space="preserve"> and</w:t>
            </w:r>
            <w:r w:rsidRPr="00EC75B7">
              <w:rPr>
                <w:rFonts w:ascii="Verdana" w:hAnsi="Verdana"/>
                <w:spacing w:val="26"/>
                <w:sz w:val="18"/>
                <w:szCs w:val="18"/>
              </w:rPr>
              <w:t xml:space="preserve">  </w:t>
            </w:r>
            <w:r w:rsidRPr="00EC75B7">
              <w:rPr>
                <w:rFonts w:ascii="Verdana" w:hAnsi="Verdana"/>
                <w:sz w:val="18"/>
                <w:szCs w:val="18"/>
              </w:rPr>
              <w:t xml:space="preserve"> the </w:t>
            </w:r>
            <w:r w:rsidRPr="00EC75B7">
              <w:rPr>
                <w:rFonts w:ascii="Verdana" w:hAnsi="Verdana"/>
                <w:sz w:val="18"/>
                <w:szCs w:val="18"/>
              </w:rPr>
              <w:lastRenderedPageBreak/>
              <w:t>operational limits</w:t>
            </w:r>
            <w:r w:rsidRPr="00EC75B7">
              <w:rPr>
                <w:rFonts w:ascii="Verdana" w:hAnsi="Verdana"/>
                <w:spacing w:val="25"/>
                <w:sz w:val="18"/>
                <w:szCs w:val="18"/>
              </w:rPr>
              <w:t xml:space="preserve">  </w:t>
            </w:r>
            <w:r w:rsidRPr="00EC75B7">
              <w:rPr>
                <w:rFonts w:ascii="Verdana" w:hAnsi="Verdana"/>
                <w:sz w:val="18"/>
                <w:szCs w:val="18"/>
              </w:rPr>
              <w:t xml:space="preserve"> </w:t>
            </w:r>
            <w:r w:rsidRPr="00EC75B7">
              <w:rPr>
                <w:rFonts w:ascii="Verdana" w:hAnsi="Verdana"/>
                <w:spacing w:val="24"/>
                <w:sz w:val="18"/>
                <w:szCs w:val="18"/>
              </w:rPr>
              <w:t xml:space="preserve">  </w:t>
            </w:r>
            <w:r w:rsidRPr="00EC75B7">
              <w:rPr>
                <w:rFonts w:ascii="Verdana" w:hAnsi="Verdana"/>
                <w:sz w:val="18"/>
                <w:szCs w:val="18"/>
              </w:rPr>
              <w:t xml:space="preserve"> allow</w:t>
            </w:r>
            <w:r w:rsidRPr="00EC75B7">
              <w:rPr>
                <w:rFonts w:ascii="Verdana" w:hAnsi="Verdana"/>
                <w:spacing w:val="24"/>
                <w:sz w:val="18"/>
                <w:szCs w:val="18"/>
              </w:rPr>
              <w:t xml:space="preserve">  </w:t>
            </w:r>
            <w:r w:rsidRPr="00EC75B7">
              <w:rPr>
                <w:rFonts w:ascii="Verdana" w:hAnsi="Verdana"/>
                <w:sz w:val="18"/>
                <w:szCs w:val="18"/>
              </w:rPr>
              <w:t xml:space="preserve"> the exploitation</w:t>
            </w:r>
            <w:r w:rsidRPr="00EC75B7">
              <w:rPr>
                <w:rFonts w:ascii="Verdana" w:hAnsi="Verdana"/>
                <w:spacing w:val="25"/>
                <w:sz w:val="18"/>
                <w:szCs w:val="18"/>
              </w:rPr>
              <w:t xml:space="preserve">  </w:t>
            </w:r>
            <w:r w:rsidRPr="00EC75B7">
              <w:rPr>
                <w:rFonts w:ascii="Verdana" w:hAnsi="Verdana"/>
                <w:spacing w:val="-5"/>
                <w:sz w:val="18"/>
                <w:szCs w:val="18"/>
              </w:rPr>
              <w:t xml:space="preserve"> in</w:t>
            </w:r>
          </w:p>
          <w:p w14:paraId="4B478982" w14:textId="77777777" w:rsidR="008715BE" w:rsidRPr="00EC75B7" w:rsidRDefault="00000000">
            <w:pPr>
              <w:pStyle w:val="TableParagraph"/>
              <w:spacing w:line="172" w:lineRule="exact"/>
              <w:ind w:left="108"/>
              <w:jc w:val="both"/>
              <w:rPr>
                <w:rFonts w:ascii="Verdana" w:hAnsi="Verdana"/>
                <w:sz w:val="18"/>
                <w:szCs w:val="18"/>
              </w:rPr>
            </w:pPr>
            <w:r w:rsidRPr="00EC75B7">
              <w:rPr>
                <w:rFonts w:ascii="Verdana" w:hAnsi="Verdana"/>
                <w:spacing w:val="-2"/>
                <w:sz w:val="18"/>
                <w:szCs w:val="18"/>
              </w:rPr>
              <w:t>the safe exploitation of xml-ph-0007@deepl.internal</w:t>
            </w:r>
          </w:p>
        </w:tc>
      </w:tr>
      <w:tr w:rsidR="008715BE" w:rsidRPr="00EC75B7" w14:paraId="22FD9A01" w14:textId="77777777">
        <w:trPr>
          <w:trHeight w:val="393"/>
        </w:trPr>
        <w:tc>
          <w:tcPr>
            <w:tcW w:w="1980" w:type="dxa"/>
            <w:shd w:val="clear" w:color="auto" w:fill="001F5F"/>
          </w:tcPr>
          <w:p w14:paraId="6722F42B" w14:textId="77777777" w:rsidR="008715BE" w:rsidRPr="00EC75B7" w:rsidRDefault="00000000">
            <w:pPr>
              <w:pStyle w:val="TableParagraph"/>
              <w:spacing w:before="4" w:line="195" w:lineRule="exact"/>
              <w:ind w:left="108"/>
              <w:rPr>
                <w:rFonts w:ascii="Verdana" w:hAnsi="Verdana"/>
                <w:sz w:val="18"/>
                <w:szCs w:val="18"/>
              </w:rPr>
            </w:pPr>
            <w:r w:rsidRPr="00EC75B7">
              <w:rPr>
                <w:rFonts w:ascii="Verdana" w:hAnsi="Verdana"/>
                <w:color w:val="FFFFFF"/>
                <w:spacing w:val="-2"/>
                <w:sz w:val="18"/>
                <w:szCs w:val="18"/>
              </w:rPr>
              <w:t xml:space="preserve">Overall </w:t>
            </w:r>
            <w:r w:rsidRPr="00EC75B7">
              <w:rPr>
                <w:rFonts w:ascii="Verdana" w:hAnsi="Verdana"/>
                <w:color w:val="FFFFFF"/>
                <w:sz w:val="18"/>
                <w:szCs w:val="18"/>
              </w:rPr>
              <w:t>score</w:t>
            </w:r>
            <w:r w:rsidRPr="00EC75B7">
              <w:rPr>
                <w:rFonts w:ascii="Verdana" w:hAnsi="Verdana"/>
                <w:color w:val="FFFFFF"/>
                <w:spacing w:val="-2"/>
                <w:sz w:val="18"/>
                <w:szCs w:val="18"/>
              </w:rPr>
              <w:t>:</w:t>
            </w:r>
          </w:p>
          <w:p w14:paraId="42FE15D3"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C000"/>
                <w:spacing w:val="-2"/>
                <w:sz w:val="18"/>
                <w:szCs w:val="18"/>
              </w:rPr>
              <w:t>Moderate</w:t>
            </w:r>
          </w:p>
        </w:tc>
        <w:tc>
          <w:tcPr>
            <w:tcW w:w="1687" w:type="dxa"/>
            <w:shd w:val="clear" w:color="auto" w:fill="001F5F"/>
          </w:tcPr>
          <w:p w14:paraId="28981153" w14:textId="77777777" w:rsidR="008715BE" w:rsidRPr="00EC75B7" w:rsidRDefault="00000000">
            <w:pPr>
              <w:pStyle w:val="TableParagraph"/>
              <w:spacing w:before="4" w:line="195" w:lineRule="exact"/>
              <w:ind w:left="460"/>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6CDD768A" w14:textId="77777777" w:rsidR="008715BE" w:rsidRPr="00EC75B7" w:rsidRDefault="00000000">
            <w:pPr>
              <w:pStyle w:val="TableParagraph"/>
              <w:spacing w:line="174" w:lineRule="exact"/>
              <w:ind w:left="489"/>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071980BA" w14:textId="77777777" w:rsidR="008715BE" w:rsidRPr="00EC75B7" w:rsidRDefault="00000000">
            <w:pPr>
              <w:pStyle w:val="TableParagraph"/>
              <w:spacing w:before="100"/>
              <w:ind w:left="23" w:right="1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786C04F5" w14:textId="77777777" w:rsidR="008715BE" w:rsidRPr="00EC75B7" w:rsidRDefault="00000000">
            <w:pPr>
              <w:pStyle w:val="TableParagraph"/>
              <w:spacing w:before="100"/>
              <w:ind w:left="22" w:right="10"/>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63071D58" w14:textId="77777777" w:rsidR="008715BE" w:rsidRPr="00EC75B7" w:rsidRDefault="00000000">
            <w:pPr>
              <w:pStyle w:val="TableParagraph"/>
              <w:spacing w:before="100"/>
              <w:ind w:left="25" w:right="10"/>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70C45761" w14:textId="77777777">
        <w:trPr>
          <w:trHeight w:val="345"/>
        </w:trPr>
        <w:tc>
          <w:tcPr>
            <w:tcW w:w="1980" w:type="dxa"/>
            <w:shd w:val="clear" w:color="auto" w:fill="FFE699"/>
          </w:tcPr>
          <w:p w14:paraId="7609D474" w14:textId="77777777" w:rsidR="008715BE" w:rsidRPr="00EC75B7" w:rsidRDefault="00000000">
            <w:pPr>
              <w:pStyle w:val="TableParagraph"/>
              <w:spacing w:before="83"/>
              <w:ind w:left="21" w:right="10"/>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1F1F1"/>
          </w:tcPr>
          <w:p w14:paraId="722859E7" w14:textId="77777777" w:rsidR="008715BE" w:rsidRPr="00EC75B7" w:rsidRDefault="00000000">
            <w:pPr>
              <w:pStyle w:val="TableParagraph"/>
              <w:spacing w:before="83"/>
              <w:ind w:left="22" w:right="9"/>
              <w:jc w:val="center"/>
              <w:rPr>
                <w:rFonts w:ascii="Verdana" w:hAnsi="Verdana"/>
                <w:b/>
                <w:sz w:val="18"/>
                <w:szCs w:val="18"/>
              </w:rPr>
            </w:pPr>
            <w:r w:rsidRPr="00EC75B7">
              <w:rPr>
                <w:rFonts w:ascii="Verdana" w:hAnsi="Verdana"/>
                <w:b/>
                <w:spacing w:val="-10"/>
                <w:sz w:val="18"/>
                <w:szCs w:val="18"/>
              </w:rPr>
              <w:t>0</w:t>
            </w:r>
          </w:p>
        </w:tc>
        <w:tc>
          <w:tcPr>
            <w:tcW w:w="1682" w:type="dxa"/>
            <w:shd w:val="clear" w:color="auto" w:fill="FFE699"/>
          </w:tcPr>
          <w:p w14:paraId="110DE530" w14:textId="77777777" w:rsidR="008715BE" w:rsidRPr="00EC75B7" w:rsidRDefault="00000000">
            <w:pPr>
              <w:pStyle w:val="TableParagraph"/>
              <w:spacing w:before="83"/>
              <w:ind w:left="23" w:right="10"/>
              <w:jc w:val="center"/>
              <w:rPr>
                <w:rFonts w:ascii="Verdana" w:hAnsi="Verdana"/>
                <w:b/>
                <w:sz w:val="18"/>
                <w:szCs w:val="18"/>
              </w:rPr>
            </w:pPr>
            <w:r w:rsidRPr="00EC75B7">
              <w:rPr>
                <w:rFonts w:ascii="Verdana" w:hAnsi="Verdana"/>
                <w:b/>
                <w:spacing w:val="-10"/>
                <w:sz w:val="18"/>
                <w:szCs w:val="18"/>
              </w:rPr>
              <w:t>2</w:t>
            </w:r>
          </w:p>
        </w:tc>
        <w:tc>
          <w:tcPr>
            <w:tcW w:w="1661" w:type="dxa"/>
            <w:shd w:val="clear" w:color="auto" w:fill="FFE699"/>
          </w:tcPr>
          <w:p w14:paraId="5D1E1610" w14:textId="77777777" w:rsidR="008715BE" w:rsidRPr="00EC75B7" w:rsidRDefault="00000000">
            <w:pPr>
              <w:pStyle w:val="TableParagraph"/>
              <w:spacing w:before="83"/>
              <w:ind w:left="22" w:right="10"/>
              <w:jc w:val="center"/>
              <w:rPr>
                <w:rFonts w:ascii="Verdana" w:hAnsi="Verdana"/>
                <w:b/>
                <w:sz w:val="18"/>
                <w:szCs w:val="18"/>
              </w:rPr>
            </w:pPr>
            <w:r w:rsidRPr="00EC75B7">
              <w:rPr>
                <w:rFonts w:ascii="Verdana" w:hAnsi="Verdana"/>
                <w:b/>
                <w:spacing w:val="-10"/>
                <w:sz w:val="18"/>
                <w:szCs w:val="18"/>
              </w:rPr>
              <w:t>2</w:t>
            </w:r>
          </w:p>
        </w:tc>
        <w:tc>
          <w:tcPr>
            <w:tcW w:w="2057" w:type="dxa"/>
            <w:shd w:val="clear" w:color="auto" w:fill="F1F1F1"/>
          </w:tcPr>
          <w:p w14:paraId="6641436B" w14:textId="77777777" w:rsidR="008715BE" w:rsidRPr="00EC75B7" w:rsidRDefault="00000000">
            <w:pPr>
              <w:pStyle w:val="TableParagraph"/>
              <w:spacing w:before="83"/>
              <w:ind w:left="25" w:right="11"/>
              <w:jc w:val="center"/>
              <w:rPr>
                <w:rFonts w:ascii="Verdana" w:hAnsi="Verdana"/>
                <w:b/>
                <w:sz w:val="18"/>
                <w:szCs w:val="18"/>
              </w:rPr>
            </w:pPr>
            <w:r w:rsidRPr="00EC75B7">
              <w:rPr>
                <w:rFonts w:ascii="Verdana" w:hAnsi="Verdana"/>
                <w:b/>
                <w:spacing w:val="-10"/>
                <w:sz w:val="18"/>
                <w:szCs w:val="18"/>
              </w:rPr>
              <w:t>0</w:t>
            </w:r>
          </w:p>
        </w:tc>
      </w:tr>
      <w:tr w:rsidR="008715BE" w:rsidRPr="00EC75B7" w14:paraId="0A2C5C32" w14:textId="77777777">
        <w:trPr>
          <w:trHeight w:val="345"/>
        </w:trPr>
        <w:tc>
          <w:tcPr>
            <w:tcW w:w="1980" w:type="dxa"/>
            <w:tcBorders>
              <w:bottom w:val="nil"/>
            </w:tcBorders>
            <w:shd w:val="clear" w:color="auto" w:fill="00AFEF"/>
          </w:tcPr>
          <w:p w14:paraId="37591994" w14:textId="77777777" w:rsidR="008715BE" w:rsidRPr="00EC75B7" w:rsidRDefault="008715BE">
            <w:pPr>
              <w:pStyle w:val="TableParagraph"/>
              <w:rPr>
                <w:rFonts w:ascii="Verdana" w:hAnsi="Verdana"/>
                <w:sz w:val="18"/>
                <w:szCs w:val="18"/>
              </w:rPr>
            </w:pPr>
          </w:p>
        </w:tc>
        <w:tc>
          <w:tcPr>
            <w:tcW w:w="7087" w:type="dxa"/>
            <w:gridSpan w:val="4"/>
          </w:tcPr>
          <w:p w14:paraId="7037079F" w14:textId="77777777" w:rsidR="008715BE" w:rsidRPr="00EC75B7" w:rsidRDefault="008715BE">
            <w:pPr>
              <w:pStyle w:val="TableParagraph"/>
              <w:rPr>
                <w:rFonts w:ascii="Verdana" w:hAnsi="Verdana"/>
                <w:sz w:val="18"/>
                <w:szCs w:val="18"/>
              </w:rPr>
            </w:pPr>
          </w:p>
        </w:tc>
      </w:tr>
    </w:tbl>
    <w:p w14:paraId="62D9A056" w14:textId="77777777" w:rsidR="008715BE" w:rsidRPr="00EC75B7" w:rsidRDefault="008715BE">
      <w:pPr>
        <w:pStyle w:val="TableParagraph"/>
        <w:rPr>
          <w:rFonts w:ascii="Verdana" w:hAnsi="Verdana"/>
          <w:sz w:val="18"/>
          <w:szCs w:val="18"/>
        </w:rPr>
        <w:sectPr w:rsidR="008715BE" w:rsidRPr="00EC75B7">
          <w:pgSz w:w="11910" w:h="16840"/>
          <w:pgMar w:top="1320" w:right="283" w:bottom="1020" w:left="992" w:header="766" w:footer="800" w:gutter="0"/>
          <w:cols w:space="708"/>
        </w:sectPr>
      </w:pPr>
    </w:p>
    <w:p w14:paraId="51E8E998" w14:textId="77777777" w:rsidR="008715BE" w:rsidRPr="00EC75B7" w:rsidRDefault="008715BE">
      <w:pPr>
        <w:pStyle w:val="BodyText"/>
        <w:spacing w:before="5"/>
        <w:rPr>
          <w:rFonts w:ascii="Verdana" w:hAnsi="Verdana"/>
          <w:b/>
        </w:rPr>
      </w:pPr>
    </w:p>
    <w:tbl>
      <w:tblPr>
        <w:tblStyle w:val="TableNormal1"/>
        <w:tblW w:w="0" w:type="auto"/>
        <w:tblInd w:w="213"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8715BE" w:rsidRPr="00EC75B7" w14:paraId="378946E0" w14:textId="77777777">
        <w:trPr>
          <w:trHeight w:val="434"/>
        </w:trPr>
        <w:tc>
          <w:tcPr>
            <w:tcW w:w="1980" w:type="dxa"/>
            <w:shd w:val="clear" w:color="auto" w:fill="00AFEF"/>
          </w:tcPr>
          <w:p w14:paraId="6F564AB3" w14:textId="77777777" w:rsidR="008715BE" w:rsidRPr="00EC75B7" w:rsidRDefault="00000000">
            <w:pPr>
              <w:pStyle w:val="TableParagraph"/>
              <w:spacing w:before="135"/>
              <w:ind w:left="254"/>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risks</w:t>
            </w:r>
          </w:p>
        </w:tc>
        <w:tc>
          <w:tcPr>
            <w:tcW w:w="7087" w:type="dxa"/>
            <w:gridSpan w:val="4"/>
            <w:shd w:val="clear" w:color="auto" w:fill="00AFEF"/>
          </w:tcPr>
          <w:p w14:paraId="5C7CB71A" w14:textId="77777777" w:rsidR="008715BE" w:rsidRPr="00EC75B7" w:rsidRDefault="00000000">
            <w:pPr>
              <w:pStyle w:val="TableParagraph"/>
              <w:spacing w:before="135"/>
              <w:ind w:left="19"/>
              <w:jc w:val="center"/>
              <w:rPr>
                <w:rFonts w:ascii="Verdana" w:hAnsi="Verdana"/>
                <w:b/>
                <w:sz w:val="18"/>
                <w:szCs w:val="18"/>
              </w:rPr>
            </w:pPr>
            <w:r w:rsidRPr="00EC75B7">
              <w:rPr>
                <w:rFonts w:ascii="Verdana" w:hAnsi="Verdana"/>
                <w:b/>
                <w:color w:val="FFFFFF"/>
                <w:spacing w:val="-2"/>
                <w:sz w:val="18"/>
                <w:szCs w:val="18"/>
              </w:rPr>
              <w:t>Sensitivity</w:t>
            </w:r>
          </w:p>
        </w:tc>
      </w:tr>
      <w:tr w:rsidR="008715BE" w:rsidRPr="00EC75B7" w14:paraId="47DC5230" w14:textId="77777777">
        <w:trPr>
          <w:trHeight w:val="2154"/>
        </w:trPr>
        <w:tc>
          <w:tcPr>
            <w:tcW w:w="1980" w:type="dxa"/>
            <w:shd w:val="clear" w:color="auto" w:fill="00AFEF"/>
          </w:tcPr>
          <w:p w14:paraId="2870BE77" w14:textId="77777777" w:rsidR="008715BE" w:rsidRPr="00EC75B7" w:rsidRDefault="008715BE">
            <w:pPr>
              <w:pStyle w:val="TableParagraph"/>
              <w:rPr>
                <w:rFonts w:ascii="Verdana" w:hAnsi="Verdana"/>
                <w:b/>
                <w:sz w:val="18"/>
                <w:szCs w:val="18"/>
              </w:rPr>
            </w:pPr>
          </w:p>
          <w:p w14:paraId="0847B2D3" w14:textId="77777777" w:rsidR="008715BE" w:rsidRPr="00EC75B7" w:rsidRDefault="008715BE">
            <w:pPr>
              <w:pStyle w:val="TableParagraph"/>
              <w:rPr>
                <w:rFonts w:ascii="Verdana" w:hAnsi="Verdana"/>
                <w:b/>
                <w:sz w:val="18"/>
                <w:szCs w:val="18"/>
              </w:rPr>
            </w:pPr>
          </w:p>
          <w:p w14:paraId="41A40917" w14:textId="77777777" w:rsidR="008715BE" w:rsidRPr="00EC75B7" w:rsidRDefault="008715BE">
            <w:pPr>
              <w:pStyle w:val="TableParagraph"/>
              <w:spacing w:before="118"/>
              <w:rPr>
                <w:rFonts w:ascii="Verdana" w:hAnsi="Verdana"/>
                <w:b/>
                <w:sz w:val="18"/>
                <w:szCs w:val="18"/>
              </w:rPr>
            </w:pPr>
          </w:p>
          <w:p w14:paraId="4CFD9949" w14:textId="77777777" w:rsidR="008715BE" w:rsidRPr="00EC75B7" w:rsidRDefault="00000000">
            <w:pPr>
              <w:pStyle w:val="TableParagraph"/>
              <w:ind w:left="113" w:right="179"/>
              <w:rPr>
                <w:rFonts w:ascii="Verdana" w:hAnsi="Verdana"/>
                <w:b/>
                <w:sz w:val="18"/>
                <w:szCs w:val="18"/>
              </w:rPr>
            </w:pPr>
            <w:r w:rsidRPr="00EC75B7">
              <w:rPr>
                <w:rFonts w:ascii="Verdana" w:hAnsi="Verdana"/>
                <w:b/>
                <w:color w:val="FFFFFF"/>
                <w:sz w:val="18"/>
                <w:szCs w:val="18"/>
              </w:rPr>
              <w:t xml:space="preserve">Extreme wind (including storms, lightning, hurricanes, </w:t>
            </w:r>
            <w:r w:rsidRPr="00EC75B7">
              <w:rPr>
                <w:rFonts w:ascii="Verdana" w:hAnsi="Verdana"/>
                <w:b/>
                <w:color w:val="FFFFFF"/>
                <w:spacing w:val="-2"/>
                <w:sz w:val="18"/>
                <w:szCs w:val="18"/>
              </w:rPr>
              <w:t>tornadoes)</w:t>
            </w:r>
          </w:p>
        </w:tc>
        <w:tc>
          <w:tcPr>
            <w:tcW w:w="7087" w:type="dxa"/>
            <w:gridSpan w:val="4"/>
          </w:tcPr>
          <w:p w14:paraId="37EE6EDF" w14:textId="77777777" w:rsidR="008715BE" w:rsidRPr="00EC75B7" w:rsidRDefault="00000000">
            <w:pPr>
              <w:pStyle w:val="TableParagraph"/>
              <w:spacing w:before="25"/>
              <w:ind w:left="113" w:right="87"/>
              <w:jc w:val="both"/>
              <w:rPr>
                <w:rFonts w:ascii="Verdana" w:hAnsi="Verdana"/>
                <w:sz w:val="18"/>
                <w:szCs w:val="18"/>
              </w:rPr>
            </w:pPr>
            <w:r w:rsidRPr="00EC75B7">
              <w:rPr>
                <w:rFonts w:ascii="Verdana" w:hAnsi="Verdana"/>
                <w:sz w:val="18"/>
                <w:szCs w:val="18"/>
              </w:rPr>
              <w:t xml:space="preserve">Extreme structural stresses on wind turbine components, including blades, tower, and foundation system, generated by the intensification of severe weather phenomena (extreme winds, turbulent gusts, </w:t>
            </w:r>
            <w:r w:rsidRPr="00EC75B7">
              <w:rPr>
                <w:rFonts w:ascii="Verdana" w:hAnsi="Verdana"/>
                <w:spacing w:val="-2"/>
                <w:sz w:val="18"/>
                <w:szCs w:val="18"/>
              </w:rPr>
              <w:t xml:space="preserve">freeze-thaw </w:t>
            </w:r>
            <w:r w:rsidRPr="00EC75B7">
              <w:rPr>
                <w:rFonts w:ascii="Verdana" w:hAnsi="Verdana"/>
                <w:sz w:val="18"/>
                <w:szCs w:val="18"/>
              </w:rPr>
              <w:t>cycles</w:t>
            </w:r>
            <w:r w:rsidRPr="00EC75B7">
              <w:rPr>
                <w:rFonts w:ascii="Verdana" w:hAnsi="Verdana"/>
                <w:spacing w:val="-2"/>
                <w:sz w:val="18"/>
                <w:szCs w:val="18"/>
              </w:rPr>
              <w:t>).</w:t>
            </w:r>
          </w:p>
          <w:p w14:paraId="51202353" w14:textId="77777777" w:rsidR="008715BE" w:rsidRPr="00EC75B7" w:rsidRDefault="00000000">
            <w:pPr>
              <w:pStyle w:val="TableParagraph"/>
              <w:ind w:left="113" w:right="91"/>
              <w:jc w:val="both"/>
              <w:rPr>
                <w:rFonts w:ascii="Verdana" w:hAnsi="Verdana"/>
                <w:sz w:val="18"/>
                <w:szCs w:val="18"/>
              </w:rPr>
            </w:pPr>
            <w:r w:rsidRPr="00EC75B7">
              <w:rPr>
                <w:rFonts w:ascii="Verdana" w:hAnsi="Verdana"/>
                <w:sz w:val="18"/>
                <w:szCs w:val="18"/>
              </w:rPr>
              <w:t>Increased risk of mechanical damage and electrical failure in critical and sensitive equipment due to exposure to thermal stress, excessive humidity, atmospheric electrical discharges, and extreme climate variations.</w:t>
            </w:r>
          </w:p>
          <w:p w14:paraId="58F7F779" w14:textId="77777777" w:rsidR="008715BE" w:rsidRPr="00EC75B7" w:rsidRDefault="00000000">
            <w:pPr>
              <w:pStyle w:val="TableParagraph"/>
              <w:ind w:left="113" w:right="87"/>
              <w:jc w:val="both"/>
              <w:rPr>
                <w:rFonts w:ascii="Verdana" w:hAnsi="Verdana"/>
                <w:sz w:val="18"/>
                <w:szCs w:val="18"/>
              </w:rPr>
            </w:pPr>
            <w:r w:rsidRPr="00EC75B7">
              <w:rPr>
                <w:rFonts w:ascii="Verdana" w:hAnsi="Verdana"/>
                <w:sz w:val="18"/>
                <w:szCs w:val="18"/>
              </w:rPr>
              <w:t xml:space="preserve">Damage to the physical integrity of interconnected infrastructure, including transmission lines, electrical stations, and access roads, through exacerbated climatic processes (flooding, erosion, land instability), with the potential to interrupt operation </w:t>
            </w:r>
            <w:r w:rsidRPr="00EC75B7">
              <w:rPr>
                <w:rFonts w:ascii="Verdana" w:hAnsi="Verdana"/>
                <w:spacing w:val="-5"/>
                <w:sz w:val="18"/>
                <w:szCs w:val="18"/>
              </w:rPr>
              <w:t>and</w:t>
            </w:r>
          </w:p>
          <w:p w14:paraId="3BDDD25F" w14:textId="77777777" w:rsidR="008715BE" w:rsidRPr="00EC75B7" w:rsidRDefault="00000000">
            <w:pPr>
              <w:pStyle w:val="TableParagraph"/>
              <w:spacing w:line="163" w:lineRule="exact"/>
              <w:ind w:left="113"/>
              <w:jc w:val="both"/>
              <w:rPr>
                <w:rFonts w:ascii="Verdana" w:hAnsi="Verdana"/>
                <w:sz w:val="18"/>
                <w:szCs w:val="18"/>
              </w:rPr>
            </w:pPr>
            <w:r w:rsidRPr="00EC75B7">
              <w:rPr>
                <w:rFonts w:ascii="Verdana" w:hAnsi="Verdana"/>
                <w:sz w:val="18"/>
                <w:szCs w:val="18"/>
              </w:rPr>
              <w:t xml:space="preserve">increase in </w:t>
            </w:r>
            <w:r w:rsidRPr="00EC75B7">
              <w:rPr>
                <w:rFonts w:ascii="Verdana" w:hAnsi="Verdana"/>
                <w:spacing w:val="-2"/>
                <w:sz w:val="18"/>
                <w:szCs w:val="18"/>
              </w:rPr>
              <w:t xml:space="preserve">maintenance </w:t>
            </w:r>
            <w:r w:rsidRPr="00EC75B7">
              <w:rPr>
                <w:rFonts w:ascii="Verdana" w:hAnsi="Verdana"/>
                <w:sz w:val="18"/>
                <w:szCs w:val="18"/>
              </w:rPr>
              <w:t>costs</w:t>
            </w:r>
            <w:r w:rsidRPr="00EC75B7">
              <w:rPr>
                <w:rFonts w:ascii="Verdana" w:hAnsi="Verdana"/>
                <w:spacing w:val="-2"/>
                <w:sz w:val="18"/>
                <w:szCs w:val="18"/>
              </w:rPr>
              <w:t>.</w:t>
            </w:r>
          </w:p>
        </w:tc>
      </w:tr>
      <w:tr w:rsidR="008715BE" w:rsidRPr="00EC75B7" w14:paraId="6D2D3052" w14:textId="77777777">
        <w:trPr>
          <w:trHeight w:val="402"/>
        </w:trPr>
        <w:tc>
          <w:tcPr>
            <w:tcW w:w="1980" w:type="dxa"/>
            <w:shd w:val="clear" w:color="auto" w:fill="001F5F"/>
          </w:tcPr>
          <w:p w14:paraId="6A49E6CF" w14:textId="77777777" w:rsidR="008715BE" w:rsidRPr="00EC75B7" w:rsidRDefault="00000000">
            <w:pPr>
              <w:pStyle w:val="TableParagraph"/>
              <w:spacing w:line="194" w:lineRule="exact"/>
              <w:ind w:left="113"/>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C000"/>
                <w:spacing w:val="-2"/>
                <w:sz w:val="18"/>
                <w:szCs w:val="18"/>
              </w:rPr>
              <w:t>Moderate</w:t>
            </w:r>
          </w:p>
        </w:tc>
        <w:tc>
          <w:tcPr>
            <w:tcW w:w="1687" w:type="dxa"/>
            <w:shd w:val="clear" w:color="auto" w:fill="001F5F"/>
          </w:tcPr>
          <w:p w14:paraId="30287834" w14:textId="77777777" w:rsidR="008715BE" w:rsidRPr="00EC75B7" w:rsidRDefault="00000000">
            <w:pPr>
              <w:pStyle w:val="TableParagraph"/>
              <w:spacing w:before="22" w:line="195" w:lineRule="exact"/>
              <w:ind w:left="465"/>
              <w:rPr>
                <w:rFonts w:ascii="Verdana" w:hAnsi="Verdana"/>
                <w:b/>
                <w:sz w:val="18"/>
                <w:szCs w:val="18"/>
              </w:rPr>
            </w:pPr>
            <w:r w:rsidRPr="00EC75B7">
              <w:rPr>
                <w:rFonts w:ascii="Verdana" w:hAnsi="Verdana"/>
                <w:b/>
                <w:color w:val="FFFFFF"/>
                <w:sz w:val="18"/>
                <w:szCs w:val="18"/>
              </w:rPr>
              <w:t xml:space="preserve">Assets </w:t>
            </w:r>
            <w:r w:rsidRPr="00EC75B7">
              <w:rPr>
                <w:rFonts w:ascii="Verdana" w:hAnsi="Verdana"/>
                <w:b/>
                <w:color w:val="FFFFFF"/>
                <w:spacing w:val="-5"/>
                <w:sz w:val="18"/>
                <w:szCs w:val="18"/>
              </w:rPr>
              <w:t>and</w:t>
            </w:r>
          </w:p>
          <w:p w14:paraId="1B98370A" w14:textId="77777777" w:rsidR="008715BE" w:rsidRPr="00EC75B7" w:rsidRDefault="00000000">
            <w:pPr>
              <w:pStyle w:val="TableParagraph"/>
              <w:spacing w:line="165"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39842D6F" w14:textId="77777777" w:rsidR="008715BE" w:rsidRPr="00EC75B7" w:rsidRDefault="00000000">
            <w:pPr>
              <w:pStyle w:val="TableParagraph"/>
              <w:spacing w:before="121"/>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1ECFDB03" w14:textId="77777777" w:rsidR="008715BE" w:rsidRPr="00EC75B7" w:rsidRDefault="00000000">
            <w:pPr>
              <w:pStyle w:val="TableParagraph"/>
              <w:spacing w:before="121"/>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2711B3D8" w14:textId="77777777" w:rsidR="008715BE" w:rsidRPr="00EC75B7" w:rsidRDefault="00000000">
            <w:pPr>
              <w:pStyle w:val="TableParagraph"/>
              <w:spacing w:before="121"/>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59114702" w14:textId="77777777">
        <w:trPr>
          <w:trHeight w:val="345"/>
        </w:trPr>
        <w:tc>
          <w:tcPr>
            <w:tcW w:w="1980" w:type="dxa"/>
            <w:shd w:val="clear" w:color="auto" w:fill="FFE699"/>
          </w:tcPr>
          <w:p w14:paraId="79A3A53C" w14:textId="77777777" w:rsidR="008715BE" w:rsidRPr="00EC75B7" w:rsidRDefault="00000000">
            <w:pPr>
              <w:pStyle w:val="TableParagraph"/>
              <w:spacing w:before="92"/>
              <w:ind w:left="21"/>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1606DAEC" w14:textId="77777777" w:rsidR="008715BE" w:rsidRPr="00EC75B7" w:rsidRDefault="00000000">
            <w:pPr>
              <w:pStyle w:val="TableParagraph"/>
              <w:spacing w:before="92"/>
              <w:ind w:left="22"/>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F1F1F1"/>
          </w:tcPr>
          <w:p w14:paraId="20094769" w14:textId="77777777" w:rsidR="008715BE" w:rsidRPr="00EC75B7" w:rsidRDefault="00000000">
            <w:pPr>
              <w:pStyle w:val="TableParagraph"/>
              <w:spacing w:before="92"/>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1F1F1"/>
          </w:tcPr>
          <w:p w14:paraId="1F05390D" w14:textId="77777777" w:rsidR="008715BE" w:rsidRPr="00EC75B7" w:rsidRDefault="00000000">
            <w:pPr>
              <w:pStyle w:val="TableParagraph"/>
              <w:spacing w:before="92"/>
              <w:ind w:left="22"/>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FE699"/>
          </w:tcPr>
          <w:p w14:paraId="266A5A27" w14:textId="77777777" w:rsidR="008715BE" w:rsidRPr="00EC75B7" w:rsidRDefault="00000000">
            <w:pPr>
              <w:pStyle w:val="TableParagraph"/>
              <w:spacing w:before="92"/>
              <w:ind w:left="25" w:right="1"/>
              <w:jc w:val="center"/>
              <w:rPr>
                <w:rFonts w:ascii="Verdana" w:hAnsi="Verdana"/>
                <w:b/>
                <w:sz w:val="18"/>
                <w:szCs w:val="18"/>
              </w:rPr>
            </w:pPr>
            <w:r w:rsidRPr="00EC75B7">
              <w:rPr>
                <w:rFonts w:ascii="Verdana" w:hAnsi="Verdana"/>
                <w:b/>
                <w:spacing w:val="-10"/>
                <w:sz w:val="18"/>
                <w:szCs w:val="18"/>
              </w:rPr>
              <w:t>2</w:t>
            </w:r>
          </w:p>
        </w:tc>
      </w:tr>
      <w:tr w:rsidR="008715BE" w:rsidRPr="00EC75B7" w14:paraId="47BE3A1A" w14:textId="77777777">
        <w:trPr>
          <w:trHeight w:val="1960"/>
        </w:trPr>
        <w:tc>
          <w:tcPr>
            <w:tcW w:w="1980" w:type="dxa"/>
            <w:shd w:val="clear" w:color="auto" w:fill="00AFEF"/>
          </w:tcPr>
          <w:p w14:paraId="06DE0474" w14:textId="77777777" w:rsidR="008715BE" w:rsidRPr="00EC75B7" w:rsidRDefault="008715BE">
            <w:pPr>
              <w:pStyle w:val="TableParagraph"/>
              <w:rPr>
                <w:rFonts w:ascii="Verdana" w:hAnsi="Verdana"/>
                <w:b/>
                <w:sz w:val="18"/>
                <w:szCs w:val="18"/>
              </w:rPr>
            </w:pPr>
          </w:p>
          <w:p w14:paraId="0E5D78C3" w14:textId="77777777" w:rsidR="008715BE" w:rsidRPr="00EC75B7" w:rsidRDefault="008715BE">
            <w:pPr>
              <w:pStyle w:val="TableParagraph"/>
              <w:rPr>
                <w:rFonts w:ascii="Verdana" w:hAnsi="Verdana"/>
                <w:b/>
                <w:sz w:val="18"/>
                <w:szCs w:val="18"/>
              </w:rPr>
            </w:pPr>
          </w:p>
          <w:p w14:paraId="32EE812B" w14:textId="77777777" w:rsidR="008715BE" w:rsidRPr="00EC75B7" w:rsidRDefault="008715BE">
            <w:pPr>
              <w:pStyle w:val="TableParagraph"/>
              <w:spacing w:before="118"/>
              <w:rPr>
                <w:rFonts w:ascii="Verdana" w:hAnsi="Verdana"/>
                <w:b/>
                <w:sz w:val="18"/>
                <w:szCs w:val="18"/>
              </w:rPr>
            </w:pPr>
          </w:p>
          <w:p w14:paraId="02DE2E89" w14:textId="77777777" w:rsidR="008715BE" w:rsidRPr="00EC75B7" w:rsidRDefault="00000000">
            <w:pPr>
              <w:pStyle w:val="TableParagraph"/>
              <w:spacing w:before="1"/>
              <w:ind w:left="113"/>
              <w:rPr>
                <w:rFonts w:ascii="Verdana" w:hAnsi="Verdana"/>
                <w:b/>
                <w:sz w:val="18"/>
                <w:szCs w:val="18"/>
              </w:rPr>
            </w:pPr>
            <w:r w:rsidRPr="00EC75B7">
              <w:rPr>
                <w:rFonts w:ascii="Verdana" w:hAnsi="Verdana"/>
                <w:b/>
                <w:color w:val="FFFFFF"/>
                <w:sz w:val="18"/>
                <w:szCs w:val="18"/>
              </w:rPr>
              <w:t>Landslides</w:t>
            </w:r>
            <w:r w:rsidRPr="00EC75B7">
              <w:rPr>
                <w:rFonts w:ascii="Verdana" w:hAnsi="Verdana"/>
                <w:b/>
                <w:color w:val="FFFFFF"/>
                <w:spacing w:val="-2"/>
                <w:sz w:val="18"/>
                <w:szCs w:val="18"/>
              </w:rPr>
              <w:t>/Avalanches/Subsidence</w:t>
            </w:r>
          </w:p>
        </w:tc>
        <w:tc>
          <w:tcPr>
            <w:tcW w:w="7087" w:type="dxa"/>
            <w:gridSpan w:val="4"/>
          </w:tcPr>
          <w:p w14:paraId="20ABDE11" w14:textId="77777777" w:rsidR="008715BE" w:rsidRPr="00EC75B7" w:rsidRDefault="00000000">
            <w:pPr>
              <w:pStyle w:val="TableParagraph"/>
              <w:spacing w:before="25"/>
              <w:ind w:left="113" w:right="89"/>
              <w:jc w:val="both"/>
              <w:rPr>
                <w:rFonts w:ascii="Verdana" w:hAnsi="Verdana"/>
                <w:sz w:val="18"/>
                <w:szCs w:val="18"/>
              </w:rPr>
            </w:pPr>
            <w:r w:rsidRPr="00EC75B7">
              <w:rPr>
                <w:rFonts w:ascii="Verdana" w:hAnsi="Verdana"/>
                <w:sz w:val="18"/>
                <w:szCs w:val="18"/>
              </w:rPr>
              <w:t>Physical damage to onshore wind farm assets (turbines, foundations, technological platforms) and associated infrastructure caused by extreme weather events such as heavy rainfall, freeze-thaw cycles, droughts followed by torrential rains, and sharp temperature variations.</w:t>
            </w:r>
          </w:p>
          <w:p w14:paraId="7C72F0AA" w14:textId="77777777" w:rsidR="008715BE" w:rsidRPr="00EC75B7" w:rsidRDefault="00000000">
            <w:pPr>
              <w:pStyle w:val="TableParagraph"/>
              <w:ind w:left="113" w:right="91"/>
              <w:jc w:val="both"/>
              <w:rPr>
                <w:rFonts w:ascii="Verdana" w:hAnsi="Verdana"/>
                <w:sz w:val="18"/>
                <w:szCs w:val="18"/>
              </w:rPr>
            </w:pPr>
            <w:r w:rsidRPr="00EC75B7">
              <w:rPr>
                <w:rFonts w:ascii="Verdana" w:hAnsi="Verdana"/>
                <w:sz w:val="18"/>
                <w:szCs w:val="18"/>
              </w:rPr>
              <w:t>Blockage or restriction of access roads due to soil instability, accumulation of eroded material, silting, and local landslides or rockfalls, with a direct impact on operational continuity.</w:t>
            </w:r>
          </w:p>
          <w:p w14:paraId="6087AD55" w14:textId="77777777" w:rsidR="008715BE" w:rsidRPr="00EC75B7" w:rsidRDefault="00000000">
            <w:pPr>
              <w:pStyle w:val="TableParagraph"/>
              <w:ind w:left="113" w:right="92"/>
              <w:jc w:val="both"/>
              <w:rPr>
                <w:rFonts w:ascii="Verdana" w:hAnsi="Verdana"/>
                <w:sz w:val="18"/>
                <w:szCs w:val="18"/>
              </w:rPr>
            </w:pPr>
            <w:r w:rsidRPr="00EC75B7">
              <w:rPr>
                <w:rFonts w:ascii="Verdana" w:hAnsi="Verdana"/>
                <w:sz w:val="18"/>
                <w:szCs w:val="18"/>
              </w:rPr>
              <w:t>The occurrence of landslides and the degradation of road shoulders and access structures, which</w:t>
            </w:r>
            <w:r w:rsidRPr="00EC75B7">
              <w:rPr>
                <w:rFonts w:ascii="Verdana" w:hAnsi="Verdana"/>
                <w:spacing w:val="24"/>
                <w:sz w:val="18"/>
                <w:szCs w:val="18"/>
              </w:rPr>
              <w:t xml:space="preserve">  </w:t>
            </w:r>
            <w:r w:rsidRPr="00EC75B7">
              <w:rPr>
                <w:rFonts w:ascii="Verdana" w:hAnsi="Verdana"/>
                <w:sz w:val="18"/>
                <w:szCs w:val="18"/>
              </w:rPr>
              <w:t xml:space="preserve"> limits</w:t>
            </w:r>
            <w:r w:rsidRPr="00EC75B7">
              <w:rPr>
                <w:rFonts w:ascii="Verdana" w:hAnsi="Verdana"/>
                <w:spacing w:val="26"/>
                <w:sz w:val="18"/>
                <w:szCs w:val="18"/>
              </w:rPr>
              <w:t xml:space="preserve">  </w:t>
            </w:r>
            <w:r w:rsidRPr="00EC75B7">
              <w:rPr>
                <w:rFonts w:ascii="Verdana" w:hAnsi="Verdana"/>
                <w:sz w:val="18"/>
                <w:szCs w:val="18"/>
              </w:rPr>
              <w:t xml:space="preserve"> the conduct of</w:t>
            </w:r>
            <w:r w:rsidRPr="00EC75B7">
              <w:rPr>
                <w:rFonts w:ascii="Verdana" w:hAnsi="Verdana"/>
                <w:spacing w:val="23"/>
                <w:sz w:val="18"/>
                <w:szCs w:val="18"/>
              </w:rPr>
              <w:t xml:space="preserve">  </w:t>
            </w:r>
            <w:r w:rsidRPr="00EC75B7">
              <w:rPr>
                <w:rFonts w:ascii="Verdana" w:hAnsi="Verdana"/>
                <w:sz w:val="18"/>
                <w:szCs w:val="18"/>
              </w:rPr>
              <w:t xml:space="preserve"> inspections,</w:t>
            </w:r>
            <w:r w:rsidRPr="00EC75B7">
              <w:rPr>
                <w:rFonts w:ascii="Verdana" w:hAnsi="Verdana"/>
                <w:spacing w:val="25"/>
                <w:sz w:val="18"/>
                <w:szCs w:val="18"/>
              </w:rPr>
              <w:t xml:space="preserve">  </w:t>
            </w:r>
            <w:r w:rsidRPr="00EC75B7">
              <w:rPr>
                <w:rFonts w:ascii="Verdana" w:hAnsi="Verdana"/>
                <w:sz w:val="18"/>
                <w:szCs w:val="18"/>
              </w:rPr>
              <w:t xml:space="preserve"> interventions</w:t>
            </w:r>
            <w:r w:rsidRPr="00EC75B7">
              <w:rPr>
                <w:rFonts w:ascii="Verdana" w:hAnsi="Verdana"/>
                <w:spacing w:val="26"/>
                <w:sz w:val="18"/>
                <w:szCs w:val="18"/>
              </w:rPr>
              <w:t xml:space="preserve">  </w:t>
            </w:r>
            <w:r w:rsidRPr="00EC75B7">
              <w:rPr>
                <w:rFonts w:ascii="Verdana" w:hAnsi="Verdana"/>
                <w:sz w:val="18"/>
                <w:szCs w:val="18"/>
              </w:rPr>
              <w:t xml:space="preserve"> of</w:t>
            </w:r>
            <w:r w:rsidRPr="00EC75B7">
              <w:rPr>
                <w:rFonts w:ascii="Verdana" w:hAnsi="Verdana"/>
                <w:spacing w:val="24"/>
                <w:sz w:val="18"/>
                <w:szCs w:val="18"/>
              </w:rPr>
              <w:t xml:space="preserve">  </w:t>
            </w:r>
            <w:r w:rsidRPr="00EC75B7">
              <w:rPr>
                <w:rFonts w:ascii="Verdana" w:hAnsi="Verdana"/>
                <w:sz w:val="18"/>
                <w:szCs w:val="18"/>
              </w:rPr>
              <w:t xml:space="preserve"> maintenance</w:t>
            </w:r>
            <w:r w:rsidRPr="00EC75B7">
              <w:rPr>
                <w:rFonts w:ascii="Verdana" w:hAnsi="Verdana"/>
                <w:spacing w:val="26"/>
                <w:sz w:val="18"/>
                <w:szCs w:val="18"/>
              </w:rPr>
              <w:t xml:space="preserve">  </w:t>
            </w:r>
            <w:r w:rsidRPr="00EC75B7">
              <w:rPr>
                <w:rFonts w:ascii="Verdana" w:hAnsi="Verdana"/>
                <w:spacing w:val="-5"/>
                <w:sz w:val="18"/>
                <w:szCs w:val="18"/>
              </w:rPr>
              <w:t xml:space="preserve"> and</w:t>
            </w:r>
          </w:p>
          <w:p w14:paraId="50116E38" w14:textId="77777777" w:rsidR="008715BE" w:rsidRPr="00EC75B7" w:rsidRDefault="00000000">
            <w:pPr>
              <w:pStyle w:val="TableParagraph"/>
              <w:spacing w:line="164" w:lineRule="exact"/>
              <w:ind w:left="113"/>
              <w:jc w:val="both"/>
              <w:rPr>
                <w:rFonts w:ascii="Verdana" w:hAnsi="Verdana"/>
                <w:sz w:val="18"/>
                <w:szCs w:val="18"/>
              </w:rPr>
            </w:pPr>
            <w:r w:rsidRPr="00EC75B7">
              <w:rPr>
                <w:rFonts w:ascii="Verdana" w:hAnsi="Verdana"/>
                <w:sz w:val="18"/>
                <w:szCs w:val="18"/>
              </w:rPr>
              <w:t xml:space="preserve">repair work, increasing downtime and </w:t>
            </w:r>
            <w:r w:rsidRPr="00EC75B7">
              <w:rPr>
                <w:rFonts w:ascii="Verdana" w:hAnsi="Verdana"/>
                <w:spacing w:val="-2"/>
                <w:sz w:val="18"/>
                <w:szCs w:val="18"/>
              </w:rPr>
              <w:t xml:space="preserve">operating </w:t>
            </w:r>
            <w:r w:rsidRPr="00EC75B7">
              <w:rPr>
                <w:rFonts w:ascii="Verdana" w:hAnsi="Verdana"/>
                <w:sz w:val="18"/>
                <w:szCs w:val="18"/>
              </w:rPr>
              <w:t>costs</w:t>
            </w:r>
            <w:r w:rsidRPr="00EC75B7">
              <w:rPr>
                <w:rFonts w:ascii="Verdana" w:hAnsi="Verdana"/>
                <w:spacing w:val="-2"/>
                <w:sz w:val="18"/>
                <w:szCs w:val="18"/>
              </w:rPr>
              <w:t>.</w:t>
            </w:r>
          </w:p>
        </w:tc>
      </w:tr>
      <w:tr w:rsidR="008715BE" w:rsidRPr="00EC75B7" w14:paraId="3A47A364" w14:textId="77777777">
        <w:trPr>
          <w:trHeight w:val="434"/>
        </w:trPr>
        <w:tc>
          <w:tcPr>
            <w:tcW w:w="1980" w:type="dxa"/>
            <w:shd w:val="clear" w:color="auto" w:fill="001F5F"/>
          </w:tcPr>
          <w:p w14:paraId="67C7D687" w14:textId="77777777" w:rsidR="008715BE" w:rsidRPr="00EC75B7" w:rsidRDefault="00000000">
            <w:pPr>
              <w:pStyle w:val="TableParagraph"/>
              <w:spacing w:before="26" w:line="194" w:lineRule="exact"/>
              <w:ind w:left="113"/>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C000"/>
                <w:spacing w:val="-2"/>
                <w:sz w:val="18"/>
                <w:szCs w:val="18"/>
              </w:rPr>
              <w:t>Moderate</w:t>
            </w:r>
          </w:p>
        </w:tc>
        <w:tc>
          <w:tcPr>
            <w:tcW w:w="1687" w:type="dxa"/>
            <w:shd w:val="clear" w:color="auto" w:fill="001F5F"/>
          </w:tcPr>
          <w:p w14:paraId="787DE623" w14:textId="77777777" w:rsidR="008715BE" w:rsidRPr="00EC75B7" w:rsidRDefault="00000000">
            <w:pPr>
              <w:pStyle w:val="TableParagraph"/>
              <w:spacing w:before="39" w:line="195" w:lineRule="exact"/>
              <w:ind w:left="465"/>
              <w:rPr>
                <w:rFonts w:ascii="Verdana" w:hAnsi="Verdana"/>
                <w:b/>
                <w:sz w:val="18"/>
                <w:szCs w:val="18"/>
              </w:rPr>
            </w:pPr>
            <w:r w:rsidRPr="00EC75B7">
              <w:rPr>
                <w:rFonts w:ascii="Verdana" w:hAnsi="Verdana"/>
                <w:b/>
                <w:color w:val="FFFFFF"/>
                <w:sz w:val="18"/>
                <w:szCs w:val="18"/>
              </w:rPr>
              <w:t xml:space="preserve">Assets </w:t>
            </w:r>
            <w:r w:rsidRPr="00EC75B7">
              <w:rPr>
                <w:rFonts w:ascii="Verdana" w:hAnsi="Verdana"/>
                <w:b/>
                <w:color w:val="FFFFFF"/>
                <w:spacing w:val="-5"/>
                <w:sz w:val="18"/>
                <w:szCs w:val="18"/>
              </w:rPr>
              <w:t>and</w:t>
            </w:r>
          </w:p>
          <w:p w14:paraId="10F2B88A" w14:textId="77777777" w:rsidR="008715BE" w:rsidRPr="00EC75B7" w:rsidRDefault="00000000">
            <w:pPr>
              <w:pStyle w:val="TableParagraph"/>
              <w:spacing w:line="180"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4A9E484B" w14:textId="77777777" w:rsidR="008715BE" w:rsidRPr="00EC75B7" w:rsidRDefault="00000000">
            <w:pPr>
              <w:pStyle w:val="TableParagraph"/>
              <w:spacing w:before="135"/>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35484DFF" w14:textId="77777777" w:rsidR="008715BE" w:rsidRPr="00EC75B7" w:rsidRDefault="00000000">
            <w:pPr>
              <w:pStyle w:val="TableParagraph"/>
              <w:spacing w:before="135"/>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31E506EE" w14:textId="77777777" w:rsidR="008715BE" w:rsidRPr="00EC75B7" w:rsidRDefault="00000000">
            <w:pPr>
              <w:pStyle w:val="TableParagraph"/>
              <w:spacing w:before="135"/>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6E91A307" w14:textId="77777777">
        <w:trPr>
          <w:trHeight w:val="316"/>
        </w:trPr>
        <w:tc>
          <w:tcPr>
            <w:tcW w:w="1980" w:type="dxa"/>
            <w:shd w:val="clear" w:color="auto" w:fill="FFE699"/>
          </w:tcPr>
          <w:p w14:paraId="6953FF61" w14:textId="77777777" w:rsidR="008715BE" w:rsidRPr="00EC75B7" w:rsidRDefault="00000000">
            <w:pPr>
              <w:pStyle w:val="TableParagraph"/>
              <w:spacing w:before="78"/>
              <w:ind w:left="21"/>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56791416" w14:textId="77777777" w:rsidR="008715BE" w:rsidRPr="00EC75B7" w:rsidRDefault="00000000">
            <w:pPr>
              <w:pStyle w:val="TableParagraph"/>
              <w:spacing w:before="78"/>
              <w:ind w:left="22"/>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E1EEDA"/>
          </w:tcPr>
          <w:p w14:paraId="7E0486C0" w14:textId="77777777" w:rsidR="008715BE" w:rsidRPr="00EC75B7" w:rsidRDefault="00000000">
            <w:pPr>
              <w:pStyle w:val="TableParagraph"/>
              <w:spacing w:before="78"/>
              <w:ind w:left="23"/>
              <w:jc w:val="center"/>
              <w:rPr>
                <w:rFonts w:ascii="Verdana" w:hAnsi="Verdana"/>
                <w:b/>
                <w:sz w:val="18"/>
                <w:szCs w:val="18"/>
              </w:rPr>
            </w:pPr>
            <w:r w:rsidRPr="00EC75B7">
              <w:rPr>
                <w:rFonts w:ascii="Verdana" w:hAnsi="Verdana"/>
                <w:b/>
                <w:spacing w:val="-10"/>
                <w:sz w:val="18"/>
                <w:szCs w:val="18"/>
              </w:rPr>
              <w:t>1</w:t>
            </w:r>
          </w:p>
        </w:tc>
        <w:tc>
          <w:tcPr>
            <w:tcW w:w="1661" w:type="dxa"/>
            <w:shd w:val="clear" w:color="auto" w:fill="E1EEDA"/>
          </w:tcPr>
          <w:p w14:paraId="0EB27022" w14:textId="77777777" w:rsidR="008715BE" w:rsidRPr="00EC75B7" w:rsidRDefault="00000000">
            <w:pPr>
              <w:pStyle w:val="TableParagraph"/>
              <w:spacing w:before="78"/>
              <w:ind w:left="22"/>
              <w:jc w:val="center"/>
              <w:rPr>
                <w:rFonts w:ascii="Verdana" w:hAnsi="Verdana"/>
                <w:b/>
                <w:sz w:val="18"/>
                <w:szCs w:val="18"/>
              </w:rPr>
            </w:pPr>
            <w:r w:rsidRPr="00EC75B7">
              <w:rPr>
                <w:rFonts w:ascii="Verdana" w:hAnsi="Verdana"/>
                <w:b/>
                <w:spacing w:val="-10"/>
                <w:sz w:val="18"/>
                <w:szCs w:val="18"/>
              </w:rPr>
              <w:t>1</w:t>
            </w:r>
          </w:p>
        </w:tc>
        <w:tc>
          <w:tcPr>
            <w:tcW w:w="2057" w:type="dxa"/>
            <w:shd w:val="clear" w:color="auto" w:fill="FFE699"/>
          </w:tcPr>
          <w:p w14:paraId="6E848FE8" w14:textId="77777777" w:rsidR="008715BE" w:rsidRPr="00EC75B7" w:rsidRDefault="00000000">
            <w:pPr>
              <w:pStyle w:val="TableParagraph"/>
              <w:spacing w:before="78"/>
              <w:ind w:left="25" w:right="1"/>
              <w:jc w:val="center"/>
              <w:rPr>
                <w:rFonts w:ascii="Verdana" w:hAnsi="Verdana"/>
                <w:b/>
                <w:sz w:val="18"/>
                <w:szCs w:val="18"/>
              </w:rPr>
            </w:pPr>
            <w:r w:rsidRPr="00EC75B7">
              <w:rPr>
                <w:rFonts w:ascii="Verdana" w:hAnsi="Verdana"/>
                <w:b/>
                <w:spacing w:val="-10"/>
                <w:sz w:val="18"/>
                <w:szCs w:val="18"/>
              </w:rPr>
              <w:t>2</w:t>
            </w:r>
          </w:p>
        </w:tc>
      </w:tr>
      <w:tr w:rsidR="008715BE" w:rsidRPr="00EC75B7" w14:paraId="36F47A31" w14:textId="77777777">
        <w:trPr>
          <w:trHeight w:val="1903"/>
        </w:trPr>
        <w:tc>
          <w:tcPr>
            <w:tcW w:w="1980" w:type="dxa"/>
            <w:tcBorders>
              <w:bottom w:val="nil"/>
            </w:tcBorders>
            <w:shd w:val="clear" w:color="auto" w:fill="00AFEF"/>
          </w:tcPr>
          <w:p w14:paraId="6428252C" w14:textId="77777777" w:rsidR="008715BE" w:rsidRPr="00EC75B7" w:rsidRDefault="008715BE">
            <w:pPr>
              <w:pStyle w:val="TableParagraph"/>
              <w:rPr>
                <w:rFonts w:ascii="Verdana" w:hAnsi="Verdana"/>
                <w:b/>
                <w:sz w:val="18"/>
                <w:szCs w:val="18"/>
              </w:rPr>
            </w:pPr>
          </w:p>
          <w:p w14:paraId="7326FCE5" w14:textId="77777777" w:rsidR="008715BE" w:rsidRPr="00EC75B7" w:rsidRDefault="008715BE">
            <w:pPr>
              <w:pStyle w:val="TableParagraph"/>
              <w:rPr>
                <w:rFonts w:ascii="Verdana" w:hAnsi="Verdana"/>
                <w:b/>
                <w:sz w:val="18"/>
                <w:szCs w:val="18"/>
              </w:rPr>
            </w:pPr>
          </w:p>
          <w:p w14:paraId="39C0DD52" w14:textId="77777777" w:rsidR="008715BE" w:rsidRPr="00EC75B7" w:rsidRDefault="008715BE">
            <w:pPr>
              <w:pStyle w:val="TableParagraph"/>
              <w:spacing w:before="89"/>
              <w:rPr>
                <w:rFonts w:ascii="Verdana" w:hAnsi="Verdana"/>
                <w:b/>
                <w:sz w:val="18"/>
                <w:szCs w:val="18"/>
              </w:rPr>
            </w:pPr>
          </w:p>
          <w:p w14:paraId="36F75DA5" w14:textId="77777777" w:rsidR="008715BE" w:rsidRPr="00EC75B7" w:rsidRDefault="00000000">
            <w:pPr>
              <w:pStyle w:val="TableParagraph"/>
              <w:ind w:left="113"/>
              <w:rPr>
                <w:rFonts w:ascii="Verdana" w:hAnsi="Verdana"/>
                <w:b/>
                <w:sz w:val="18"/>
                <w:szCs w:val="18"/>
              </w:rPr>
            </w:pPr>
            <w:r w:rsidRPr="00EC75B7">
              <w:rPr>
                <w:rFonts w:ascii="Verdana" w:hAnsi="Verdana"/>
                <w:b/>
                <w:color w:val="FFFFFF"/>
                <w:sz w:val="18"/>
                <w:szCs w:val="18"/>
              </w:rPr>
              <w:t xml:space="preserve">Sea level </w:t>
            </w:r>
            <w:r w:rsidRPr="00EC75B7">
              <w:rPr>
                <w:rFonts w:ascii="Verdana" w:hAnsi="Verdana"/>
                <w:b/>
                <w:color w:val="FFFFFF"/>
                <w:spacing w:val="-2"/>
                <w:sz w:val="18"/>
                <w:szCs w:val="18"/>
              </w:rPr>
              <w:t>rise/saline</w:t>
            </w:r>
            <w:r w:rsidRPr="00EC75B7">
              <w:rPr>
                <w:rFonts w:ascii="Verdana" w:hAnsi="Verdana"/>
                <w:b/>
                <w:color w:val="FFFFFF"/>
                <w:sz w:val="18"/>
                <w:szCs w:val="18"/>
              </w:rPr>
              <w:t xml:space="preserve"> intrusion</w:t>
            </w:r>
          </w:p>
        </w:tc>
        <w:tc>
          <w:tcPr>
            <w:tcW w:w="7087" w:type="dxa"/>
            <w:gridSpan w:val="4"/>
            <w:tcBorders>
              <w:bottom w:val="nil"/>
            </w:tcBorders>
          </w:tcPr>
          <w:p w14:paraId="4AD04806" w14:textId="77777777" w:rsidR="008715BE" w:rsidRPr="00EC75B7" w:rsidRDefault="00000000">
            <w:pPr>
              <w:pStyle w:val="TableParagraph"/>
              <w:spacing w:before="22"/>
              <w:ind w:left="113" w:right="89"/>
              <w:jc w:val="both"/>
              <w:rPr>
                <w:rFonts w:ascii="Verdana" w:hAnsi="Verdana"/>
                <w:sz w:val="18"/>
                <w:szCs w:val="18"/>
              </w:rPr>
            </w:pPr>
            <w:r w:rsidRPr="00EC75B7">
              <w:rPr>
                <w:rFonts w:ascii="Verdana" w:hAnsi="Verdana"/>
                <w:sz w:val="18"/>
                <w:szCs w:val="18"/>
              </w:rPr>
              <w:t xml:space="preserve">Potential physical damage to onshore wind farms located in coastal areas, mainly manifested by structural instability and deformation of permanent foundations as a result of coastal flooding, coastal erosion, and </w:t>
            </w:r>
            <w:r w:rsidRPr="00EC75B7">
              <w:rPr>
                <w:rFonts w:ascii="Verdana" w:hAnsi="Verdana"/>
                <w:spacing w:val="-2"/>
                <w:sz w:val="18"/>
                <w:szCs w:val="18"/>
              </w:rPr>
              <w:t>sea</w:t>
            </w:r>
            <w:r w:rsidRPr="00EC75B7">
              <w:rPr>
                <w:rFonts w:ascii="Verdana" w:hAnsi="Verdana"/>
                <w:sz w:val="18"/>
                <w:szCs w:val="18"/>
              </w:rPr>
              <w:t xml:space="preserve"> level rise</w:t>
            </w:r>
            <w:r w:rsidRPr="00EC75B7">
              <w:rPr>
                <w:rFonts w:ascii="Verdana" w:hAnsi="Verdana"/>
                <w:spacing w:val="-2"/>
                <w:sz w:val="18"/>
                <w:szCs w:val="18"/>
              </w:rPr>
              <w:t>.</w:t>
            </w:r>
          </w:p>
          <w:p w14:paraId="3367FA27" w14:textId="77777777" w:rsidR="008715BE" w:rsidRPr="00EC75B7" w:rsidRDefault="00000000">
            <w:pPr>
              <w:pStyle w:val="TableParagraph"/>
              <w:ind w:left="113" w:right="88"/>
              <w:jc w:val="both"/>
              <w:rPr>
                <w:rFonts w:ascii="Verdana" w:hAnsi="Verdana"/>
                <w:sz w:val="18"/>
                <w:szCs w:val="18"/>
              </w:rPr>
            </w:pPr>
            <w:r w:rsidRPr="00EC75B7">
              <w:rPr>
                <w:rFonts w:ascii="Verdana" w:hAnsi="Verdana"/>
                <w:sz w:val="18"/>
                <w:szCs w:val="18"/>
              </w:rPr>
              <w:t>Increased structural stress on wind turbines caused by amplified hydrodynamic actions and wave energy associated with higher sea levels, with possible failure modes including tower tilting, loss of foundation bearing capacity, and degradation of the anchoring system.</w:t>
            </w:r>
          </w:p>
        </w:tc>
      </w:tr>
      <w:tr w:rsidR="008715BE" w:rsidRPr="00EC75B7" w14:paraId="3AB622CB" w14:textId="77777777">
        <w:trPr>
          <w:trHeight w:val="436"/>
        </w:trPr>
        <w:tc>
          <w:tcPr>
            <w:tcW w:w="1980" w:type="dxa"/>
            <w:tcBorders>
              <w:top w:val="nil"/>
            </w:tcBorders>
            <w:shd w:val="clear" w:color="auto" w:fill="001F5F"/>
          </w:tcPr>
          <w:p w14:paraId="5C008357" w14:textId="77777777" w:rsidR="008715BE" w:rsidRPr="00EC75B7" w:rsidRDefault="00000000">
            <w:pPr>
              <w:pStyle w:val="TableParagraph"/>
              <w:spacing w:before="28" w:line="194" w:lineRule="exact"/>
              <w:ind w:left="113"/>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CC66"/>
                <w:spacing w:val="-2"/>
                <w:sz w:val="18"/>
                <w:szCs w:val="18"/>
              </w:rPr>
              <w:t>Moderate</w:t>
            </w:r>
          </w:p>
        </w:tc>
        <w:tc>
          <w:tcPr>
            <w:tcW w:w="1687" w:type="dxa"/>
            <w:tcBorders>
              <w:top w:val="nil"/>
            </w:tcBorders>
            <w:shd w:val="clear" w:color="auto" w:fill="001F5F"/>
          </w:tcPr>
          <w:p w14:paraId="1ABB7CC5" w14:textId="77777777" w:rsidR="008715BE" w:rsidRPr="00EC75B7" w:rsidRDefault="00000000">
            <w:pPr>
              <w:pStyle w:val="TableParagraph"/>
              <w:spacing w:before="39" w:line="195" w:lineRule="exact"/>
              <w:ind w:left="465"/>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25AE5514" w14:textId="77777777" w:rsidR="008715BE" w:rsidRPr="00EC75B7" w:rsidRDefault="00000000">
            <w:pPr>
              <w:pStyle w:val="TableParagraph"/>
              <w:spacing w:line="182"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tcBorders>
              <w:top w:val="nil"/>
            </w:tcBorders>
            <w:shd w:val="clear" w:color="auto" w:fill="001F5F"/>
          </w:tcPr>
          <w:p w14:paraId="2C02ACFE" w14:textId="77777777" w:rsidR="008715BE" w:rsidRPr="00EC75B7" w:rsidRDefault="00000000">
            <w:pPr>
              <w:pStyle w:val="TableParagraph"/>
              <w:spacing w:before="135"/>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tcBorders>
              <w:top w:val="nil"/>
            </w:tcBorders>
            <w:shd w:val="clear" w:color="auto" w:fill="001F5F"/>
          </w:tcPr>
          <w:p w14:paraId="7DB3661C" w14:textId="77777777" w:rsidR="008715BE" w:rsidRPr="00EC75B7" w:rsidRDefault="00000000">
            <w:pPr>
              <w:pStyle w:val="TableParagraph"/>
              <w:spacing w:before="135"/>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tcBorders>
              <w:top w:val="nil"/>
            </w:tcBorders>
            <w:shd w:val="clear" w:color="auto" w:fill="001F5F"/>
          </w:tcPr>
          <w:p w14:paraId="66613834" w14:textId="77777777" w:rsidR="008715BE" w:rsidRPr="00EC75B7" w:rsidRDefault="00000000">
            <w:pPr>
              <w:pStyle w:val="TableParagraph"/>
              <w:spacing w:before="135"/>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56914540" w14:textId="77777777">
        <w:trPr>
          <w:trHeight w:val="313"/>
        </w:trPr>
        <w:tc>
          <w:tcPr>
            <w:tcW w:w="1980" w:type="dxa"/>
            <w:shd w:val="clear" w:color="auto" w:fill="FFE699"/>
          </w:tcPr>
          <w:p w14:paraId="7861A1E8" w14:textId="77777777" w:rsidR="008715BE" w:rsidRPr="00EC75B7" w:rsidRDefault="00000000">
            <w:pPr>
              <w:pStyle w:val="TableParagraph"/>
              <w:spacing w:before="75"/>
              <w:ind w:left="21"/>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548D2B27"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F1F1F1"/>
          </w:tcPr>
          <w:p w14:paraId="46BD6A55" w14:textId="77777777" w:rsidR="008715BE" w:rsidRPr="00EC75B7" w:rsidRDefault="00000000">
            <w:pPr>
              <w:pStyle w:val="TableParagraph"/>
              <w:spacing w:before="75"/>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1F1F1"/>
          </w:tcPr>
          <w:p w14:paraId="6BA51FAF"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1F1F1"/>
          </w:tcPr>
          <w:p w14:paraId="38BD707D" w14:textId="77777777" w:rsidR="008715BE" w:rsidRPr="00EC75B7" w:rsidRDefault="00000000">
            <w:pPr>
              <w:pStyle w:val="TableParagraph"/>
              <w:spacing w:before="75"/>
              <w:ind w:left="25" w:right="1"/>
              <w:jc w:val="center"/>
              <w:rPr>
                <w:rFonts w:ascii="Verdana" w:hAnsi="Verdana"/>
                <w:b/>
                <w:sz w:val="18"/>
                <w:szCs w:val="18"/>
              </w:rPr>
            </w:pPr>
            <w:r w:rsidRPr="00EC75B7">
              <w:rPr>
                <w:rFonts w:ascii="Verdana" w:hAnsi="Verdana"/>
                <w:b/>
                <w:spacing w:val="-10"/>
                <w:sz w:val="18"/>
                <w:szCs w:val="18"/>
              </w:rPr>
              <w:t>0</w:t>
            </w:r>
          </w:p>
        </w:tc>
      </w:tr>
      <w:tr w:rsidR="008715BE" w:rsidRPr="00EC75B7" w14:paraId="451568AD" w14:textId="77777777">
        <w:trPr>
          <w:trHeight w:val="1374"/>
        </w:trPr>
        <w:tc>
          <w:tcPr>
            <w:tcW w:w="1980" w:type="dxa"/>
            <w:shd w:val="clear" w:color="auto" w:fill="00AFEF"/>
          </w:tcPr>
          <w:p w14:paraId="1E1A79ED" w14:textId="77777777" w:rsidR="008715BE" w:rsidRPr="00EC75B7" w:rsidRDefault="008715BE">
            <w:pPr>
              <w:pStyle w:val="TableParagraph"/>
              <w:rPr>
                <w:rFonts w:ascii="Verdana" w:hAnsi="Verdana"/>
                <w:b/>
                <w:sz w:val="18"/>
                <w:szCs w:val="18"/>
              </w:rPr>
            </w:pPr>
          </w:p>
          <w:p w14:paraId="78C42C1F" w14:textId="77777777" w:rsidR="008715BE" w:rsidRPr="00EC75B7" w:rsidRDefault="008715BE">
            <w:pPr>
              <w:pStyle w:val="TableParagraph"/>
              <w:spacing w:before="119"/>
              <w:rPr>
                <w:rFonts w:ascii="Verdana" w:hAnsi="Verdana"/>
                <w:b/>
                <w:sz w:val="18"/>
                <w:szCs w:val="18"/>
              </w:rPr>
            </w:pPr>
          </w:p>
          <w:p w14:paraId="18DD95DA" w14:textId="77777777" w:rsidR="008715BE" w:rsidRPr="00EC75B7" w:rsidRDefault="00000000">
            <w:pPr>
              <w:pStyle w:val="TableParagraph"/>
              <w:spacing w:line="195" w:lineRule="exact"/>
              <w:ind w:left="113"/>
              <w:rPr>
                <w:rFonts w:ascii="Verdana" w:hAnsi="Verdana"/>
                <w:b/>
                <w:sz w:val="18"/>
                <w:szCs w:val="18"/>
              </w:rPr>
            </w:pPr>
            <w:r w:rsidRPr="00EC75B7">
              <w:rPr>
                <w:rFonts w:ascii="Verdana" w:hAnsi="Verdana"/>
                <w:b/>
                <w:color w:val="FFFFFF"/>
                <w:spacing w:val="-2"/>
                <w:sz w:val="18"/>
                <w:szCs w:val="18"/>
              </w:rPr>
              <w:t>Thawing</w:t>
            </w:r>
          </w:p>
          <w:p w14:paraId="07CA97F4" w14:textId="77777777" w:rsidR="008715BE" w:rsidRPr="00EC75B7" w:rsidRDefault="00000000">
            <w:pPr>
              <w:pStyle w:val="TableParagraph"/>
              <w:spacing w:line="195" w:lineRule="exact"/>
              <w:ind w:left="113"/>
              <w:rPr>
                <w:rFonts w:ascii="Verdana" w:hAnsi="Verdana"/>
                <w:b/>
                <w:sz w:val="18"/>
                <w:szCs w:val="18"/>
              </w:rPr>
            </w:pPr>
            <w:r w:rsidRPr="00EC75B7">
              <w:rPr>
                <w:rFonts w:ascii="Verdana" w:hAnsi="Verdana"/>
                <w:b/>
                <w:color w:val="FFFFFF"/>
                <w:spacing w:val="-2"/>
                <w:sz w:val="18"/>
                <w:szCs w:val="18"/>
              </w:rPr>
              <w:t>of permafrost</w:t>
            </w:r>
          </w:p>
        </w:tc>
        <w:tc>
          <w:tcPr>
            <w:tcW w:w="7087" w:type="dxa"/>
            <w:gridSpan w:val="4"/>
          </w:tcPr>
          <w:p w14:paraId="02341142" w14:textId="77777777" w:rsidR="008715BE" w:rsidRPr="00EC75B7" w:rsidRDefault="00000000">
            <w:pPr>
              <w:pStyle w:val="TableParagraph"/>
              <w:spacing w:before="22"/>
              <w:ind w:left="113" w:right="87"/>
              <w:jc w:val="both"/>
              <w:rPr>
                <w:rFonts w:ascii="Verdana" w:hAnsi="Verdana"/>
                <w:sz w:val="18"/>
                <w:szCs w:val="18"/>
              </w:rPr>
            </w:pPr>
            <w:r w:rsidRPr="00EC75B7">
              <w:rPr>
                <w:rFonts w:ascii="Verdana" w:hAnsi="Verdana"/>
                <w:sz w:val="18"/>
                <w:szCs w:val="18"/>
              </w:rPr>
              <w:t>Repeated cycles of soil freezing and thawing generate frost heave and subsidence processes, placing additional stress on wind turbine foundations and affecting the long-term stability of structures.</w:t>
            </w:r>
          </w:p>
          <w:p w14:paraId="2286CB7F" w14:textId="77777777" w:rsidR="008715BE" w:rsidRPr="00EC75B7" w:rsidRDefault="00000000">
            <w:pPr>
              <w:pStyle w:val="TableParagraph"/>
              <w:ind w:left="113" w:right="88"/>
              <w:jc w:val="both"/>
              <w:rPr>
                <w:rFonts w:ascii="Verdana" w:hAnsi="Verdana"/>
                <w:sz w:val="18"/>
                <w:szCs w:val="18"/>
              </w:rPr>
            </w:pPr>
            <w:r w:rsidRPr="00EC75B7">
              <w:rPr>
                <w:rFonts w:ascii="Verdana" w:hAnsi="Verdana"/>
                <w:sz w:val="18"/>
                <w:szCs w:val="18"/>
              </w:rPr>
              <w:t xml:space="preserve">Permafrost degradation in polar regions, associated with global warming, can lead to changes in the dynamics of floating sea ice; mechanical loads induced by drifting sea ice can be a risk factor for </w:t>
            </w:r>
            <w:r w:rsidRPr="00EC75B7">
              <w:rPr>
                <w:rFonts w:ascii="Verdana" w:hAnsi="Verdana"/>
                <w:spacing w:val="-2"/>
                <w:sz w:val="18"/>
                <w:szCs w:val="18"/>
              </w:rPr>
              <w:t xml:space="preserve">tower </w:t>
            </w:r>
            <w:r w:rsidRPr="00EC75B7">
              <w:rPr>
                <w:rFonts w:ascii="Verdana" w:hAnsi="Verdana"/>
                <w:sz w:val="18"/>
                <w:szCs w:val="18"/>
              </w:rPr>
              <w:t>stability</w:t>
            </w:r>
          </w:p>
          <w:p w14:paraId="28399BA9" w14:textId="77777777" w:rsidR="008715BE" w:rsidRPr="00EC75B7" w:rsidRDefault="00000000">
            <w:pPr>
              <w:pStyle w:val="TableParagraph"/>
              <w:spacing w:line="163" w:lineRule="exact"/>
              <w:ind w:left="113"/>
              <w:jc w:val="both"/>
              <w:rPr>
                <w:rFonts w:ascii="Verdana" w:hAnsi="Verdana"/>
                <w:sz w:val="18"/>
                <w:szCs w:val="18"/>
              </w:rPr>
            </w:pPr>
            <w:r w:rsidRPr="00EC75B7">
              <w:rPr>
                <w:rFonts w:ascii="Verdana" w:hAnsi="Verdana"/>
                <w:sz w:val="18"/>
                <w:szCs w:val="18"/>
              </w:rPr>
              <w:t xml:space="preserve">and structural integrity of </w:t>
            </w:r>
            <w:r w:rsidRPr="00EC75B7">
              <w:rPr>
                <w:rFonts w:ascii="Verdana" w:hAnsi="Verdana"/>
                <w:spacing w:val="-2"/>
                <w:sz w:val="18"/>
                <w:szCs w:val="18"/>
              </w:rPr>
              <w:t>the turbine.</w:t>
            </w:r>
          </w:p>
        </w:tc>
      </w:tr>
      <w:tr w:rsidR="008715BE" w:rsidRPr="00EC75B7" w14:paraId="590E9566" w14:textId="77777777">
        <w:trPr>
          <w:trHeight w:val="426"/>
        </w:trPr>
        <w:tc>
          <w:tcPr>
            <w:tcW w:w="1980" w:type="dxa"/>
            <w:shd w:val="clear" w:color="auto" w:fill="001F5F"/>
          </w:tcPr>
          <w:p w14:paraId="615D9D39" w14:textId="77777777" w:rsidR="008715BE" w:rsidRPr="00EC75B7" w:rsidRDefault="00000000">
            <w:pPr>
              <w:pStyle w:val="TableParagraph"/>
              <w:spacing w:before="19" w:line="194" w:lineRule="exact"/>
              <w:ind w:left="113"/>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C000"/>
                <w:spacing w:val="-2"/>
                <w:sz w:val="18"/>
                <w:szCs w:val="18"/>
              </w:rPr>
              <w:t>Moderate</w:t>
            </w:r>
          </w:p>
        </w:tc>
        <w:tc>
          <w:tcPr>
            <w:tcW w:w="1687" w:type="dxa"/>
            <w:shd w:val="clear" w:color="auto" w:fill="001F5F"/>
          </w:tcPr>
          <w:p w14:paraId="5F656E85" w14:textId="77777777" w:rsidR="008715BE" w:rsidRPr="00EC75B7" w:rsidRDefault="00000000">
            <w:pPr>
              <w:pStyle w:val="TableParagraph"/>
              <w:spacing w:before="30" w:line="195" w:lineRule="exact"/>
              <w:ind w:left="465"/>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514DC3D9" w14:textId="77777777" w:rsidR="008715BE" w:rsidRPr="00EC75B7" w:rsidRDefault="00000000">
            <w:pPr>
              <w:pStyle w:val="TableParagraph"/>
              <w:spacing w:line="182"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2F5F4C60" w14:textId="77777777" w:rsidR="008715BE" w:rsidRPr="00EC75B7" w:rsidRDefault="00000000">
            <w:pPr>
              <w:pStyle w:val="TableParagraph"/>
              <w:spacing w:before="128"/>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7601D1F8" w14:textId="77777777" w:rsidR="008715BE" w:rsidRPr="00EC75B7" w:rsidRDefault="00000000">
            <w:pPr>
              <w:pStyle w:val="TableParagraph"/>
              <w:spacing w:before="128"/>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3EE101CB" w14:textId="77777777" w:rsidR="008715BE" w:rsidRPr="00EC75B7" w:rsidRDefault="00000000">
            <w:pPr>
              <w:pStyle w:val="TableParagraph"/>
              <w:spacing w:before="128"/>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2404ADB6" w14:textId="77777777">
        <w:trPr>
          <w:trHeight w:val="328"/>
        </w:trPr>
        <w:tc>
          <w:tcPr>
            <w:tcW w:w="1980" w:type="dxa"/>
            <w:tcBorders>
              <w:bottom w:val="single" w:sz="8" w:space="0" w:color="D9D9D9"/>
            </w:tcBorders>
            <w:shd w:val="clear" w:color="auto" w:fill="FFE699"/>
          </w:tcPr>
          <w:p w14:paraId="1F863CED" w14:textId="77777777" w:rsidR="008715BE" w:rsidRPr="00EC75B7" w:rsidRDefault="00000000">
            <w:pPr>
              <w:pStyle w:val="TableParagraph"/>
              <w:spacing w:before="82"/>
              <w:ind w:left="21"/>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7BDC25E3" w14:textId="77777777" w:rsidR="008715BE" w:rsidRPr="00EC75B7" w:rsidRDefault="00000000">
            <w:pPr>
              <w:pStyle w:val="TableParagraph"/>
              <w:spacing w:before="82"/>
              <w:ind w:left="22"/>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F1F1F1"/>
          </w:tcPr>
          <w:p w14:paraId="47A674D8" w14:textId="77777777" w:rsidR="008715BE" w:rsidRPr="00EC75B7" w:rsidRDefault="00000000">
            <w:pPr>
              <w:pStyle w:val="TableParagraph"/>
              <w:spacing w:before="82"/>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1F1F1"/>
          </w:tcPr>
          <w:p w14:paraId="57DD5437" w14:textId="77777777" w:rsidR="008715BE" w:rsidRPr="00EC75B7" w:rsidRDefault="00000000">
            <w:pPr>
              <w:pStyle w:val="TableParagraph"/>
              <w:spacing w:before="82"/>
              <w:ind w:left="22"/>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1F1F1"/>
          </w:tcPr>
          <w:p w14:paraId="60F4A256" w14:textId="77777777" w:rsidR="008715BE" w:rsidRPr="00EC75B7" w:rsidRDefault="00000000">
            <w:pPr>
              <w:pStyle w:val="TableParagraph"/>
              <w:spacing w:before="82"/>
              <w:ind w:left="25" w:right="1"/>
              <w:jc w:val="center"/>
              <w:rPr>
                <w:rFonts w:ascii="Verdana" w:hAnsi="Verdana"/>
                <w:b/>
                <w:sz w:val="18"/>
                <w:szCs w:val="18"/>
              </w:rPr>
            </w:pPr>
            <w:r w:rsidRPr="00EC75B7">
              <w:rPr>
                <w:rFonts w:ascii="Verdana" w:hAnsi="Verdana"/>
                <w:b/>
                <w:spacing w:val="-10"/>
                <w:sz w:val="18"/>
                <w:szCs w:val="18"/>
              </w:rPr>
              <w:t>0</w:t>
            </w:r>
          </w:p>
        </w:tc>
      </w:tr>
      <w:tr w:rsidR="008715BE" w:rsidRPr="00EC75B7" w14:paraId="326A2DBD" w14:textId="77777777">
        <w:trPr>
          <w:trHeight w:val="2155"/>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6288EB3E" w14:textId="77777777" w:rsidR="008715BE" w:rsidRPr="00EC75B7" w:rsidRDefault="008715BE">
            <w:pPr>
              <w:pStyle w:val="TableParagraph"/>
              <w:rPr>
                <w:rFonts w:ascii="Verdana" w:hAnsi="Verdana"/>
                <w:b/>
                <w:sz w:val="18"/>
                <w:szCs w:val="18"/>
              </w:rPr>
            </w:pPr>
          </w:p>
          <w:p w14:paraId="39B59858" w14:textId="77777777" w:rsidR="008715BE" w:rsidRPr="00EC75B7" w:rsidRDefault="008715BE">
            <w:pPr>
              <w:pStyle w:val="TableParagraph"/>
              <w:rPr>
                <w:rFonts w:ascii="Verdana" w:hAnsi="Verdana"/>
                <w:b/>
                <w:sz w:val="18"/>
                <w:szCs w:val="18"/>
              </w:rPr>
            </w:pPr>
          </w:p>
          <w:p w14:paraId="06A23440" w14:textId="77777777" w:rsidR="008715BE" w:rsidRPr="00EC75B7" w:rsidRDefault="008715BE">
            <w:pPr>
              <w:pStyle w:val="TableParagraph"/>
              <w:rPr>
                <w:rFonts w:ascii="Verdana" w:hAnsi="Verdana"/>
                <w:b/>
                <w:sz w:val="18"/>
                <w:szCs w:val="18"/>
              </w:rPr>
            </w:pPr>
          </w:p>
          <w:p w14:paraId="17BB2B48" w14:textId="77777777" w:rsidR="008715BE" w:rsidRPr="00EC75B7" w:rsidRDefault="008715BE">
            <w:pPr>
              <w:pStyle w:val="TableParagraph"/>
              <w:rPr>
                <w:rFonts w:ascii="Verdana" w:hAnsi="Verdana"/>
                <w:b/>
                <w:sz w:val="18"/>
                <w:szCs w:val="18"/>
              </w:rPr>
            </w:pPr>
          </w:p>
          <w:p w14:paraId="02782D32" w14:textId="77777777" w:rsidR="008715BE" w:rsidRPr="00EC75B7" w:rsidRDefault="008715BE">
            <w:pPr>
              <w:pStyle w:val="TableParagraph"/>
              <w:spacing w:before="20"/>
              <w:rPr>
                <w:rFonts w:ascii="Verdana" w:hAnsi="Verdana"/>
                <w:b/>
                <w:sz w:val="18"/>
                <w:szCs w:val="18"/>
              </w:rPr>
            </w:pPr>
          </w:p>
          <w:p w14:paraId="576A87F1"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color w:val="FFFFFF"/>
                <w:spacing w:val="-2"/>
                <w:sz w:val="18"/>
                <w:szCs w:val="18"/>
              </w:rPr>
              <w:t xml:space="preserve">Heat </w:t>
            </w:r>
            <w:r w:rsidRPr="00EC75B7">
              <w:rPr>
                <w:rFonts w:ascii="Verdana" w:hAnsi="Verdana"/>
                <w:b/>
                <w:color w:val="FFFFFF"/>
                <w:sz w:val="18"/>
                <w:szCs w:val="18"/>
              </w:rPr>
              <w:t>waves</w:t>
            </w:r>
          </w:p>
        </w:tc>
        <w:tc>
          <w:tcPr>
            <w:tcW w:w="7087" w:type="dxa"/>
            <w:gridSpan w:val="4"/>
            <w:tcBorders>
              <w:left w:val="single" w:sz="8" w:space="0" w:color="D9D9D9"/>
              <w:right w:val="nil"/>
            </w:tcBorders>
          </w:tcPr>
          <w:p w14:paraId="2CEE0BE9" w14:textId="77777777" w:rsidR="008715BE" w:rsidRPr="00EC75B7" w:rsidRDefault="00000000">
            <w:pPr>
              <w:pStyle w:val="TableParagraph"/>
              <w:spacing w:before="25"/>
              <w:ind w:left="108" w:right="95"/>
              <w:jc w:val="both"/>
              <w:rPr>
                <w:rFonts w:ascii="Verdana" w:hAnsi="Verdana"/>
                <w:sz w:val="18"/>
                <w:szCs w:val="18"/>
              </w:rPr>
            </w:pPr>
            <w:r w:rsidRPr="00EC75B7">
              <w:rPr>
                <w:rFonts w:ascii="Verdana" w:hAnsi="Verdana"/>
                <w:sz w:val="18"/>
                <w:szCs w:val="18"/>
              </w:rPr>
              <w:t xml:space="preserve">The increasing frequency of heat waves can affect the reliability of onshore wind farm equipment, particularly electrical components, conversion systems, and gearboxes, through overheating and accelerated </w:t>
            </w:r>
            <w:r w:rsidRPr="00EC75B7">
              <w:rPr>
                <w:rFonts w:ascii="Verdana" w:hAnsi="Verdana"/>
                <w:spacing w:val="-2"/>
                <w:sz w:val="18"/>
                <w:szCs w:val="18"/>
              </w:rPr>
              <w:t xml:space="preserve">degradation </w:t>
            </w:r>
            <w:r w:rsidRPr="00EC75B7">
              <w:rPr>
                <w:rFonts w:ascii="Verdana" w:hAnsi="Verdana"/>
                <w:sz w:val="18"/>
                <w:szCs w:val="18"/>
              </w:rPr>
              <w:t>processes</w:t>
            </w:r>
            <w:r w:rsidRPr="00EC75B7">
              <w:rPr>
                <w:rFonts w:ascii="Verdana" w:hAnsi="Verdana"/>
                <w:spacing w:val="-2"/>
                <w:sz w:val="18"/>
                <w:szCs w:val="18"/>
              </w:rPr>
              <w:t>.</w:t>
            </w:r>
          </w:p>
          <w:p w14:paraId="434BAE94"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Extreme temperature events can amplify the risks associated with integrated onshore energy storage systems, including the occurrence of thermal instability phenomena, with the potential for fire or major damage.</w:t>
            </w:r>
            <w:r w:rsidRPr="00EC75B7">
              <w:rPr>
                <w:rFonts w:ascii="Verdana" w:hAnsi="Verdana"/>
                <w:spacing w:val="40"/>
                <w:sz w:val="18"/>
                <w:szCs w:val="18"/>
              </w:rPr>
              <w:t xml:space="preserve"> </w:t>
            </w:r>
            <w:r w:rsidRPr="00EC75B7">
              <w:rPr>
                <w:rFonts w:ascii="Verdana" w:hAnsi="Verdana"/>
                <w:sz w:val="18"/>
                <w:szCs w:val="18"/>
              </w:rPr>
              <w:t xml:space="preserve">Imbalances between energy production and peak consumption demand can become more pronounced during heat waves, when demand increases significantly, while the efficiency of production systems can be affected by thermal conditions, </w:t>
            </w:r>
            <w:r w:rsidRPr="00EC75B7">
              <w:rPr>
                <w:rFonts w:ascii="Verdana" w:hAnsi="Verdana"/>
                <w:spacing w:val="-2"/>
                <w:sz w:val="18"/>
                <w:szCs w:val="18"/>
              </w:rPr>
              <w:t>generating</w:t>
            </w:r>
          </w:p>
          <w:p w14:paraId="497541CD" w14:textId="77777777" w:rsidR="008715BE" w:rsidRPr="00EC75B7" w:rsidRDefault="00000000">
            <w:pPr>
              <w:pStyle w:val="TableParagraph"/>
              <w:spacing w:line="160" w:lineRule="exact"/>
              <w:ind w:left="108"/>
              <w:jc w:val="both"/>
              <w:rPr>
                <w:rFonts w:ascii="Verdana" w:hAnsi="Verdana"/>
                <w:sz w:val="18"/>
                <w:szCs w:val="18"/>
              </w:rPr>
            </w:pPr>
            <w:r w:rsidRPr="00EC75B7">
              <w:rPr>
                <w:rFonts w:ascii="Verdana" w:hAnsi="Verdana"/>
                <w:sz w:val="18"/>
                <w:szCs w:val="18"/>
              </w:rPr>
              <w:lastRenderedPageBreak/>
              <w:t xml:space="preserve">additional pressure on the continuity of </w:t>
            </w:r>
            <w:r w:rsidRPr="00EC75B7">
              <w:rPr>
                <w:rFonts w:ascii="Verdana" w:hAnsi="Verdana"/>
                <w:spacing w:val="-2"/>
                <w:sz w:val="18"/>
                <w:szCs w:val="18"/>
              </w:rPr>
              <w:t xml:space="preserve">energy </w:t>
            </w:r>
            <w:r w:rsidRPr="00EC75B7">
              <w:rPr>
                <w:rFonts w:ascii="Verdana" w:hAnsi="Verdana"/>
                <w:sz w:val="18"/>
                <w:szCs w:val="18"/>
              </w:rPr>
              <w:t>supply</w:t>
            </w:r>
            <w:r w:rsidRPr="00EC75B7">
              <w:rPr>
                <w:rFonts w:ascii="Verdana" w:hAnsi="Verdana"/>
                <w:spacing w:val="-2"/>
                <w:sz w:val="18"/>
                <w:szCs w:val="18"/>
              </w:rPr>
              <w:t>.</w:t>
            </w:r>
          </w:p>
        </w:tc>
      </w:tr>
      <w:tr w:rsidR="008715BE" w:rsidRPr="00EC75B7" w14:paraId="10F68F96" w14:textId="77777777">
        <w:trPr>
          <w:trHeight w:val="426"/>
        </w:trPr>
        <w:tc>
          <w:tcPr>
            <w:tcW w:w="1980" w:type="dxa"/>
            <w:tcBorders>
              <w:top w:val="single" w:sz="8" w:space="0" w:color="D9D9D9"/>
            </w:tcBorders>
            <w:shd w:val="clear" w:color="auto" w:fill="001F5F"/>
          </w:tcPr>
          <w:p w14:paraId="2E698474" w14:textId="77777777" w:rsidR="008715BE" w:rsidRPr="00EC75B7" w:rsidRDefault="00000000">
            <w:pPr>
              <w:pStyle w:val="TableParagraph"/>
              <w:spacing w:before="18" w:line="194" w:lineRule="exact"/>
              <w:ind w:left="113"/>
              <w:rPr>
                <w:rFonts w:ascii="Verdana" w:hAnsi="Verdana"/>
                <w:b/>
                <w:sz w:val="18"/>
                <w:szCs w:val="18"/>
              </w:rPr>
            </w:pPr>
            <w:r w:rsidRPr="00EC75B7">
              <w:rPr>
                <w:rFonts w:ascii="Verdana" w:hAnsi="Verdana"/>
                <w:b/>
                <w:color w:val="FFFFFF"/>
                <w:sz w:val="18"/>
                <w:szCs w:val="18"/>
              </w:rPr>
              <w:t xml:space="preserve">Overall score: </w:t>
            </w:r>
            <w:r w:rsidRPr="00EC75B7">
              <w:rPr>
                <w:rFonts w:ascii="Verdana" w:hAnsi="Verdana"/>
                <w:b/>
                <w:color w:val="FFC000"/>
                <w:spacing w:val="-2"/>
                <w:sz w:val="18"/>
                <w:szCs w:val="18"/>
              </w:rPr>
              <w:t>Moderate</w:t>
            </w:r>
          </w:p>
        </w:tc>
        <w:tc>
          <w:tcPr>
            <w:tcW w:w="1687" w:type="dxa"/>
            <w:shd w:val="clear" w:color="auto" w:fill="001F5F"/>
          </w:tcPr>
          <w:p w14:paraId="210B12FC" w14:textId="77777777" w:rsidR="008715BE" w:rsidRPr="00EC75B7" w:rsidRDefault="00000000">
            <w:pPr>
              <w:pStyle w:val="TableParagraph"/>
              <w:spacing w:before="29" w:line="195" w:lineRule="exact"/>
              <w:ind w:left="113"/>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40E413E8" w14:textId="77777777" w:rsidR="008715BE" w:rsidRPr="00EC75B7" w:rsidRDefault="00000000">
            <w:pPr>
              <w:pStyle w:val="TableParagraph"/>
              <w:spacing w:line="182" w:lineRule="exact"/>
              <w:ind w:left="113"/>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08DC7444" w14:textId="77777777" w:rsidR="008715BE" w:rsidRPr="00EC75B7" w:rsidRDefault="00000000">
            <w:pPr>
              <w:pStyle w:val="TableParagraph"/>
              <w:spacing w:before="128"/>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0C650509" w14:textId="77777777" w:rsidR="008715BE" w:rsidRPr="00EC75B7" w:rsidRDefault="00000000">
            <w:pPr>
              <w:pStyle w:val="TableParagraph"/>
              <w:spacing w:before="128"/>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1A7EE3D1" w14:textId="77777777" w:rsidR="008715BE" w:rsidRPr="00EC75B7" w:rsidRDefault="00000000">
            <w:pPr>
              <w:pStyle w:val="TableParagraph"/>
              <w:spacing w:before="128"/>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633C05D8" w14:textId="77777777">
        <w:trPr>
          <w:trHeight w:val="313"/>
        </w:trPr>
        <w:tc>
          <w:tcPr>
            <w:tcW w:w="1980" w:type="dxa"/>
            <w:shd w:val="clear" w:color="auto" w:fill="FFE699"/>
          </w:tcPr>
          <w:p w14:paraId="5DEF2BFB" w14:textId="77777777" w:rsidR="008715BE" w:rsidRPr="00EC75B7" w:rsidRDefault="00000000">
            <w:pPr>
              <w:pStyle w:val="TableParagraph"/>
              <w:spacing w:before="75"/>
              <w:ind w:left="21"/>
              <w:jc w:val="center"/>
              <w:rPr>
                <w:rFonts w:ascii="Verdana" w:hAnsi="Verdana"/>
                <w:b/>
                <w:sz w:val="18"/>
                <w:szCs w:val="18"/>
              </w:rPr>
            </w:pPr>
            <w:r w:rsidRPr="00EC75B7">
              <w:rPr>
                <w:rFonts w:ascii="Verdana" w:hAnsi="Verdana"/>
                <w:b/>
                <w:spacing w:val="-10"/>
                <w:sz w:val="18"/>
                <w:szCs w:val="18"/>
              </w:rPr>
              <w:t>2</w:t>
            </w:r>
          </w:p>
        </w:tc>
        <w:tc>
          <w:tcPr>
            <w:tcW w:w="1687" w:type="dxa"/>
            <w:shd w:val="clear" w:color="auto" w:fill="FFE699"/>
          </w:tcPr>
          <w:p w14:paraId="3B7728C1"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2</w:t>
            </w:r>
          </w:p>
        </w:tc>
        <w:tc>
          <w:tcPr>
            <w:tcW w:w="1682" w:type="dxa"/>
            <w:shd w:val="clear" w:color="auto" w:fill="F1F1F1"/>
          </w:tcPr>
          <w:p w14:paraId="65635585" w14:textId="77777777" w:rsidR="008715BE" w:rsidRPr="00EC75B7" w:rsidRDefault="00000000">
            <w:pPr>
              <w:pStyle w:val="TableParagraph"/>
              <w:spacing w:before="75"/>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1F1F1"/>
          </w:tcPr>
          <w:p w14:paraId="2ED4AE40"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FE699"/>
          </w:tcPr>
          <w:p w14:paraId="302DAC69" w14:textId="77777777" w:rsidR="008715BE" w:rsidRPr="00EC75B7" w:rsidRDefault="00000000">
            <w:pPr>
              <w:pStyle w:val="TableParagraph"/>
              <w:spacing w:before="75"/>
              <w:ind w:left="25" w:right="1"/>
              <w:jc w:val="center"/>
              <w:rPr>
                <w:rFonts w:ascii="Verdana" w:hAnsi="Verdana"/>
                <w:b/>
                <w:sz w:val="18"/>
                <w:szCs w:val="18"/>
              </w:rPr>
            </w:pPr>
            <w:r w:rsidRPr="00EC75B7">
              <w:rPr>
                <w:rFonts w:ascii="Verdana" w:hAnsi="Verdana"/>
                <w:b/>
                <w:spacing w:val="-10"/>
                <w:sz w:val="18"/>
                <w:szCs w:val="18"/>
              </w:rPr>
              <w:t>2</w:t>
            </w:r>
          </w:p>
        </w:tc>
      </w:tr>
      <w:tr w:rsidR="008715BE" w:rsidRPr="00EC75B7" w14:paraId="40CFB4AD" w14:textId="77777777">
        <w:trPr>
          <w:trHeight w:val="316"/>
        </w:trPr>
        <w:tc>
          <w:tcPr>
            <w:tcW w:w="1980" w:type="dxa"/>
            <w:shd w:val="clear" w:color="auto" w:fill="00AFEF"/>
          </w:tcPr>
          <w:p w14:paraId="10B9172C" w14:textId="77777777" w:rsidR="008715BE" w:rsidRPr="00EC75B7" w:rsidRDefault="008715BE">
            <w:pPr>
              <w:pStyle w:val="TableParagraph"/>
              <w:rPr>
                <w:rFonts w:ascii="Verdana" w:hAnsi="Verdana"/>
                <w:sz w:val="18"/>
                <w:szCs w:val="18"/>
              </w:rPr>
            </w:pPr>
          </w:p>
        </w:tc>
        <w:tc>
          <w:tcPr>
            <w:tcW w:w="7087" w:type="dxa"/>
            <w:gridSpan w:val="4"/>
          </w:tcPr>
          <w:p w14:paraId="27BAB573" w14:textId="77777777" w:rsidR="008715BE" w:rsidRPr="00EC75B7" w:rsidRDefault="008715BE">
            <w:pPr>
              <w:pStyle w:val="TableParagraph"/>
              <w:rPr>
                <w:rFonts w:ascii="Verdana" w:hAnsi="Verdana"/>
                <w:sz w:val="18"/>
                <w:szCs w:val="18"/>
              </w:rPr>
            </w:pPr>
          </w:p>
        </w:tc>
      </w:tr>
    </w:tbl>
    <w:p w14:paraId="7B5317A7" w14:textId="77777777" w:rsidR="008715BE" w:rsidRPr="00EC75B7" w:rsidRDefault="008715BE">
      <w:pPr>
        <w:pStyle w:val="TableParagraph"/>
        <w:rPr>
          <w:rFonts w:ascii="Verdana" w:hAnsi="Verdana"/>
          <w:sz w:val="18"/>
          <w:szCs w:val="18"/>
        </w:rPr>
        <w:sectPr w:rsidR="008715BE" w:rsidRPr="00EC75B7">
          <w:pgSz w:w="11910" w:h="16840"/>
          <w:pgMar w:top="1320" w:right="283" w:bottom="1020" w:left="992" w:header="766" w:footer="800" w:gutter="0"/>
          <w:cols w:space="708"/>
        </w:sectPr>
      </w:pPr>
    </w:p>
    <w:p w14:paraId="3DBF5475" w14:textId="77777777" w:rsidR="008715BE" w:rsidRPr="00EC75B7" w:rsidRDefault="008715BE">
      <w:pPr>
        <w:pStyle w:val="BodyText"/>
        <w:spacing w:before="5"/>
        <w:rPr>
          <w:rFonts w:ascii="Verdana" w:hAnsi="Verdana"/>
          <w:b/>
        </w:rPr>
      </w:pPr>
    </w:p>
    <w:tbl>
      <w:tblPr>
        <w:tblStyle w:val="TableNormal1"/>
        <w:tblW w:w="0" w:type="auto"/>
        <w:tblInd w:w="213"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8715BE" w:rsidRPr="00EC75B7" w14:paraId="5FD148CF" w14:textId="77777777">
        <w:trPr>
          <w:trHeight w:val="434"/>
        </w:trPr>
        <w:tc>
          <w:tcPr>
            <w:tcW w:w="1980" w:type="dxa"/>
            <w:shd w:val="clear" w:color="auto" w:fill="00AFEF"/>
          </w:tcPr>
          <w:p w14:paraId="7017F0D5" w14:textId="77777777" w:rsidR="008715BE" w:rsidRPr="00EC75B7" w:rsidRDefault="00000000">
            <w:pPr>
              <w:pStyle w:val="TableParagraph"/>
              <w:spacing w:before="135"/>
              <w:ind w:left="254"/>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risks</w:t>
            </w:r>
          </w:p>
        </w:tc>
        <w:tc>
          <w:tcPr>
            <w:tcW w:w="7087" w:type="dxa"/>
            <w:gridSpan w:val="4"/>
            <w:shd w:val="clear" w:color="auto" w:fill="00AFEF"/>
          </w:tcPr>
          <w:p w14:paraId="617EFD89" w14:textId="77777777" w:rsidR="008715BE" w:rsidRPr="00EC75B7" w:rsidRDefault="00000000">
            <w:pPr>
              <w:pStyle w:val="TableParagraph"/>
              <w:spacing w:before="135"/>
              <w:ind w:left="19"/>
              <w:jc w:val="center"/>
              <w:rPr>
                <w:rFonts w:ascii="Verdana" w:hAnsi="Verdana"/>
                <w:b/>
                <w:sz w:val="18"/>
                <w:szCs w:val="18"/>
              </w:rPr>
            </w:pPr>
            <w:r w:rsidRPr="00EC75B7">
              <w:rPr>
                <w:rFonts w:ascii="Verdana" w:hAnsi="Verdana"/>
                <w:b/>
                <w:color w:val="FFFFFF"/>
                <w:spacing w:val="-2"/>
                <w:sz w:val="18"/>
                <w:szCs w:val="18"/>
              </w:rPr>
              <w:t>Sensitivity</w:t>
            </w:r>
          </w:p>
        </w:tc>
      </w:tr>
      <w:tr w:rsidR="008715BE" w:rsidRPr="00EC75B7" w14:paraId="222BDFAA" w14:textId="77777777">
        <w:trPr>
          <w:trHeight w:val="1571"/>
        </w:trPr>
        <w:tc>
          <w:tcPr>
            <w:tcW w:w="1980" w:type="dxa"/>
            <w:shd w:val="clear" w:color="auto" w:fill="00AFEF"/>
          </w:tcPr>
          <w:p w14:paraId="7AE31772" w14:textId="77777777" w:rsidR="008715BE" w:rsidRPr="00EC75B7" w:rsidRDefault="008715BE">
            <w:pPr>
              <w:pStyle w:val="TableParagraph"/>
              <w:rPr>
                <w:rFonts w:ascii="Verdana" w:hAnsi="Verdana"/>
                <w:b/>
                <w:sz w:val="18"/>
                <w:szCs w:val="18"/>
              </w:rPr>
            </w:pPr>
          </w:p>
          <w:p w14:paraId="75075FFB" w14:textId="77777777" w:rsidR="008715BE" w:rsidRPr="00EC75B7" w:rsidRDefault="008715BE">
            <w:pPr>
              <w:pStyle w:val="TableParagraph"/>
              <w:rPr>
                <w:rFonts w:ascii="Verdana" w:hAnsi="Verdana"/>
                <w:b/>
                <w:sz w:val="18"/>
                <w:szCs w:val="18"/>
              </w:rPr>
            </w:pPr>
          </w:p>
          <w:p w14:paraId="36FA0BDB" w14:textId="77777777" w:rsidR="008715BE" w:rsidRPr="00EC75B7" w:rsidRDefault="008715BE">
            <w:pPr>
              <w:pStyle w:val="TableParagraph"/>
              <w:spacing w:before="22"/>
              <w:rPr>
                <w:rFonts w:ascii="Verdana" w:hAnsi="Verdana"/>
                <w:b/>
                <w:sz w:val="18"/>
                <w:szCs w:val="18"/>
              </w:rPr>
            </w:pPr>
          </w:p>
          <w:p w14:paraId="31A5AB26" w14:textId="77777777" w:rsidR="008715BE" w:rsidRPr="00EC75B7" w:rsidRDefault="00000000">
            <w:pPr>
              <w:pStyle w:val="TableParagraph"/>
              <w:ind w:left="113" w:firstLine="55"/>
              <w:rPr>
                <w:rFonts w:ascii="Verdana" w:hAnsi="Verdana"/>
                <w:b/>
                <w:sz w:val="18"/>
                <w:szCs w:val="18"/>
              </w:rPr>
            </w:pPr>
            <w:r w:rsidRPr="00EC75B7">
              <w:rPr>
                <w:rFonts w:ascii="Verdana" w:hAnsi="Verdana"/>
                <w:b/>
                <w:color w:val="FFFFFF"/>
                <w:spacing w:val="-2"/>
                <w:sz w:val="18"/>
                <w:szCs w:val="18"/>
              </w:rPr>
              <w:t>Temperature</w:t>
            </w:r>
            <w:r w:rsidRPr="00EC75B7">
              <w:rPr>
                <w:rFonts w:ascii="Verdana" w:hAnsi="Verdana"/>
                <w:b/>
                <w:color w:val="FFFFFF"/>
                <w:sz w:val="18"/>
                <w:szCs w:val="18"/>
              </w:rPr>
              <w:t xml:space="preserve"> variations</w:t>
            </w:r>
          </w:p>
        </w:tc>
        <w:tc>
          <w:tcPr>
            <w:tcW w:w="7087" w:type="dxa"/>
            <w:gridSpan w:val="4"/>
          </w:tcPr>
          <w:p w14:paraId="3BA39B6F" w14:textId="77777777" w:rsidR="008715BE" w:rsidRPr="00EC75B7" w:rsidRDefault="00000000">
            <w:pPr>
              <w:pStyle w:val="TableParagraph"/>
              <w:spacing w:before="25"/>
              <w:ind w:left="113" w:right="90"/>
              <w:jc w:val="both"/>
              <w:rPr>
                <w:rFonts w:ascii="Verdana" w:hAnsi="Verdana"/>
                <w:sz w:val="18"/>
                <w:szCs w:val="18"/>
              </w:rPr>
            </w:pPr>
            <w:r w:rsidRPr="00EC75B7">
              <w:rPr>
                <w:rFonts w:ascii="Verdana" w:hAnsi="Verdana"/>
                <w:sz w:val="18"/>
                <w:szCs w:val="18"/>
              </w:rPr>
              <w:t>The increase in average air temperature leads to a reduction in air density, which causes a decrease in the aerodynamic efficiency of turbines and, implicitly, a decrease in the electricity production of onshore wind farms.</w:t>
            </w:r>
          </w:p>
          <w:p w14:paraId="0E8EC7DF" w14:textId="77777777" w:rsidR="008715BE" w:rsidRPr="00EC75B7" w:rsidRDefault="00000000">
            <w:pPr>
              <w:pStyle w:val="TableParagraph"/>
              <w:ind w:left="113" w:right="87"/>
              <w:jc w:val="both"/>
              <w:rPr>
                <w:rFonts w:ascii="Verdana" w:hAnsi="Verdana"/>
                <w:sz w:val="18"/>
                <w:szCs w:val="18"/>
              </w:rPr>
            </w:pPr>
            <w:r w:rsidRPr="00EC75B7">
              <w:rPr>
                <w:rFonts w:ascii="Verdana" w:hAnsi="Verdana"/>
                <w:sz w:val="18"/>
                <w:szCs w:val="18"/>
              </w:rPr>
              <w:t xml:space="preserve">In the case of onshore sites located in coastal areas or with structural elements exposed to humid/saline environments, higher temperatures can accelerate corrosion and biodegradation processes (e.g., the growth of algae and microorganisms on exposed metal structures or foundations), with an impact </w:t>
            </w:r>
            <w:r w:rsidRPr="00EC75B7">
              <w:rPr>
                <w:rFonts w:ascii="Verdana" w:hAnsi="Verdana"/>
                <w:spacing w:val="-2"/>
                <w:sz w:val="18"/>
                <w:szCs w:val="18"/>
              </w:rPr>
              <w:t>on</w:t>
            </w:r>
          </w:p>
          <w:p w14:paraId="1696619F" w14:textId="77777777" w:rsidR="008715BE" w:rsidRPr="00EC75B7" w:rsidRDefault="00000000">
            <w:pPr>
              <w:pStyle w:val="TableParagraph"/>
              <w:spacing w:line="162" w:lineRule="exact"/>
              <w:ind w:left="113"/>
              <w:jc w:val="both"/>
              <w:rPr>
                <w:rFonts w:ascii="Verdana" w:hAnsi="Verdana"/>
                <w:sz w:val="18"/>
                <w:szCs w:val="18"/>
              </w:rPr>
            </w:pPr>
            <w:r w:rsidRPr="00EC75B7">
              <w:rPr>
                <w:rFonts w:ascii="Verdana" w:hAnsi="Verdana"/>
                <w:sz w:val="18"/>
                <w:szCs w:val="18"/>
              </w:rPr>
              <w:t xml:space="preserve">the sustainability </w:t>
            </w:r>
            <w:r w:rsidRPr="00EC75B7">
              <w:rPr>
                <w:rFonts w:ascii="Verdana" w:hAnsi="Verdana"/>
                <w:spacing w:val="-2"/>
                <w:sz w:val="18"/>
                <w:szCs w:val="18"/>
              </w:rPr>
              <w:t>of the infrastructure.</w:t>
            </w:r>
          </w:p>
        </w:tc>
      </w:tr>
      <w:tr w:rsidR="008715BE" w:rsidRPr="00EC75B7" w14:paraId="4A2A30CB" w14:textId="77777777">
        <w:trPr>
          <w:trHeight w:val="424"/>
        </w:trPr>
        <w:tc>
          <w:tcPr>
            <w:tcW w:w="1980" w:type="dxa"/>
            <w:shd w:val="clear" w:color="auto" w:fill="001F5F"/>
          </w:tcPr>
          <w:p w14:paraId="08303A81" w14:textId="77777777" w:rsidR="008715BE" w:rsidRPr="00EC75B7" w:rsidRDefault="00000000">
            <w:pPr>
              <w:pStyle w:val="TableParagraph"/>
              <w:spacing w:before="30" w:line="195" w:lineRule="exact"/>
              <w:ind w:left="113"/>
              <w:rPr>
                <w:rFonts w:ascii="Verdana" w:hAnsi="Verdana"/>
                <w:b/>
                <w:sz w:val="18"/>
                <w:szCs w:val="18"/>
              </w:rPr>
            </w:pPr>
            <w:r w:rsidRPr="00EC75B7">
              <w:rPr>
                <w:rFonts w:ascii="Verdana" w:hAnsi="Verdana"/>
                <w:b/>
                <w:color w:val="FFFFFF"/>
                <w:spacing w:val="-2"/>
                <w:sz w:val="18"/>
                <w:szCs w:val="18"/>
              </w:rPr>
              <w:t>Overall score:</w:t>
            </w:r>
          </w:p>
          <w:p w14:paraId="3D410DC0" w14:textId="77777777" w:rsidR="008715BE" w:rsidRPr="00EC75B7" w:rsidRDefault="00000000">
            <w:pPr>
              <w:pStyle w:val="TableParagraph"/>
              <w:spacing w:line="180" w:lineRule="exact"/>
              <w:ind w:left="113"/>
              <w:rPr>
                <w:rFonts w:ascii="Verdana" w:hAnsi="Verdana"/>
                <w:b/>
                <w:sz w:val="18"/>
                <w:szCs w:val="18"/>
              </w:rPr>
            </w:pPr>
            <w:r w:rsidRPr="00EC75B7">
              <w:rPr>
                <w:rFonts w:ascii="Verdana" w:hAnsi="Verdana"/>
                <w:b/>
                <w:color w:val="92D050"/>
                <w:spacing w:val="-2"/>
                <w:sz w:val="18"/>
                <w:szCs w:val="18"/>
              </w:rPr>
              <w:t>Low</w:t>
            </w:r>
          </w:p>
        </w:tc>
        <w:tc>
          <w:tcPr>
            <w:tcW w:w="1687" w:type="dxa"/>
            <w:shd w:val="clear" w:color="auto" w:fill="001F5F"/>
          </w:tcPr>
          <w:p w14:paraId="03B96302" w14:textId="77777777" w:rsidR="008715BE" w:rsidRPr="00EC75B7" w:rsidRDefault="00000000">
            <w:pPr>
              <w:pStyle w:val="TableParagraph"/>
              <w:spacing w:before="30" w:line="195" w:lineRule="exact"/>
              <w:ind w:left="465"/>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7A17F88C" w14:textId="77777777" w:rsidR="008715BE" w:rsidRPr="00EC75B7" w:rsidRDefault="00000000">
            <w:pPr>
              <w:pStyle w:val="TableParagraph"/>
              <w:spacing w:line="180"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04A7153D" w14:textId="77777777" w:rsidR="008715BE" w:rsidRPr="00EC75B7" w:rsidRDefault="00000000">
            <w:pPr>
              <w:pStyle w:val="TableParagraph"/>
              <w:spacing w:before="126"/>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18E67ABD" w14:textId="77777777" w:rsidR="008715BE" w:rsidRPr="00EC75B7" w:rsidRDefault="00000000">
            <w:pPr>
              <w:pStyle w:val="TableParagraph"/>
              <w:spacing w:before="126"/>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5CFF5344" w14:textId="77777777" w:rsidR="008715BE" w:rsidRPr="00EC75B7" w:rsidRDefault="00000000">
            <w:pPr>
              <w:pStyle w:val="TableParagraph"/>
              <w:spacing w:before="126"/>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649D2D25" w14:textId="77777777">
        <w:trPr>
          <w:trHeight w:val="330"/>
        </w:trPr>
        <w:tc>
          <w:tcPr>
            <w:tcW w:w="1980" w:type="dxa"/>
            <w:tcBorders>
              <w:bottom w:val="single" w:sz="8" w:space="0" w:color="D9D9D9"/>
            </w:tcBorders>
            <w:shd w:val="clear" w:color="auto" w:fill="E1EEDA"/>
          </w:tcPr>
          <w:p w14:paraId="4F9EB476" w14:textId="77777777" w:rsidR="008715BE" w:rsidRPr="00EC75B7" w:rsidRDefault="00000000">
            <w:pPr>
              <w:pStyle w:val="TableParagraph"/>
              <w:spacing w:before="85"/>
              <w:ind w:left="21"/>
              <w:jc w:val="center"/>
              <w:rPr>
                <w:rFonts w:ascii="Verdana" w:hAnsi="Verdana"/>
                <w:b/>
                <w:sz w:val="18"/>
                <w:szCs w:val="18"/>
              </w:rPr>
            </w:pPr>
            <w:r w:rsidRPr="00EC75B7">
              <w:rPr>
                <w:rFonts w:ascii="Verdana" w:hAnsi="Verdana"/>
                <w:b/>
                <w:spacing w:val="-10"/>
                <w:sz w:val="18"/>
                <w:szCs w:val="18"/>
              </w:rPr>
              <w:t>1</w:t>
            </w:r>
          </w:p>
        </w:tc>
        <w:tc>
          <w:tcPr>
            <w:tcW w:w="1687" w:type="dxa"/>
            <w:shd w:val="clear" w:color="auto" w:fill="E1EEDA"/>
          </w:tcPr>
          <w:p w14:paraId="167DEF1B" w14:textId="77777777" w:rsidR="008715BE" w:rsidRPr="00EC75B7" w:rsidRDefault="00000000">
            <w:pPr>
              <w:pStyle w:val="TableParagraph"/>
              <w:spacing w:before="85"/>
              <w:ind w:left="22"/>
              <w:jc w:val="center"/>
              <w:rPr>
                <w:rFonts w:ascii="Verdana" w:hAnsi="Verdana"/>
                <w:b/>
                <w:sz w:val="18"/>
                <w:szCs w:val="18"/>
              </w:rPr>
            </w:pPr>
            <w:r w:rsidRPr="00EC75B7">
              <w:rPr>
                <w:rFonts w:ascii="Verdana" w:hAnsi="Verdana"/>
                <w:b/>
                <w:spacing w:val="-10"/>
                <w:sz w:val="18"/>
                <w:szCs w:val="18"/>
              </w:rPr>
              <w:t>1</w:t>
            </w:r>
          </w:p>
        </w:tc>
        <w:tc>
          <w:tcPr>
            <w:tcW w:w="1682" w:type="dxa"/>
            <w:shd w:val="clear" w:color="auto" w:fill="F1F1F1"/>
          </w:tcPr>
          <w:p w14:paraId="784AA949" w14:textId="77777777" w:rsidR="008715BE" w:rsidRPr="00EC75B7" w:rsidRDefault="00000000">
            <w:pPr>
              <w:pStyle w:val="TableParagraph"/>
              <w:spacing w:before="85"/>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E1EEDA"/>
          </w:tcPr>
          <w:p w14:paraId="634D447D" w14:textId="77777777" w:rsidR="008715BE" w:rsidRPr="00EC75B7" w:rsidRDefault="00000000">
            <w:pPr>
              <w:pStyle w:val="TableParagraph"/>
              <w:spacing w:before="85"/>
              <w:ind w:left="22"/>
              <w:jc w:val="center"/>
              <w:rPr>
                <w:rFonts w:ascii="Verdana" w:hAnsi="Verdana"/>
                <w:b/>
                <w:sz w:val="18"/>
                <w:szCs w:val="18"/>
              </w:rPr>
            </w:pPr>
            <w:r w:rsidRPr="00EC75B7">
              <w:rPr>
                <w:rFonts w:ascii="Verdana" w:hAnsi="Verdana"/>
                <w:b/>
                <w:spacing w:val="-10"/>
                <w:sz w:val="18"/>
                <w:szCs w:val="18"/>
              </w:rPr>
              <w:t>1</w:t>
            </w:r>
          </w:p>
        </w:tc>
        <w:tc>
          <w:tcPr>
            <w:tcW w:w="2057" w:type="dxa"/>
            <w:shd w:val="clear" w:color="auto" w:fill="F1F1F1"/>
          </w:tcPr>
          <w:p w14:paraId="264949B3" w14:textId="77777777" w:rsidR="008715BE" w:rsidRPr="00EC75B7" w:rsidRDefault="00000000">
            <w:pPr>
              <w:pStyle w:val="TableParagraph"/>
              <w:spacing w:before="85"/>
              <w:ind w:left="25" w:right="1"/>
              <w:jc w:val="center"/>
              <w:rPr>
                <w:rFonts w:ascii="Verdana" w:hAnsi="Verdana"/>
                <w:b/>
                <w:sz w:val="18"/>
                <w:szCs w:val="18"/>
              </w:rPr>
            </w:pPr>
            <w:r w:rsidRPr="00EC75B7">
              <w:rPr>
                <w:rFonts w:ascii="Verdana" w:hAnsi="Verdana"/>
                <w:b/>
                <w:spacing w:val="-10"/>
                <w:sz w:val="18"/>
                <w:szCs w:val="18"/>
              </w:rPr>
              <w:t>0</w:t>
            </w:r>
          </w:p>
        </w:tc>
      </w:tr>
      <w:tr w:rsidR="008715BE" w:rsidRPr="00EC75B7" w14:paraId="5CEB166F" w14:textId="77777777">
        <w:trPr>
          <w:trHeight w:val="820"/>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7CD9CB77" w14:textId="77777777" w:rsidR="008715BE" w:rsidRPr="00EC75B7" w:rsidRDefault="008715BE">
            <w:pPr>
              <w:pStyle w:val="TableParagraph"/>
              <w:spacing w:before="136"/>
              <w:rPr>
                <w:rFonts w:ascii="Verdana" w:hAnsi="Verdana"/>
                <w:b/>
                <w:sz w:val="18"/>
                <w:szCs w:val="18"/>
              </w:rPr>
            </w:pPr>
          </w:p>
          <w:p w14:paraId="4A5F8B11"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Drought</w:t>
            </w:r>
          </w:p>
        </w:tc>
        <w:tc>
          <w:tcPr>
            <w:tcW w:w="7087" w:type="dxa"/>
            <w:gridSpan w:val="4"/>
            <w:tcBorders>
              <w:left w:val="single" w:sz="8" w:space="0" w:color="D9D9D9"/>
              <w:right w:val="nil"/>
            </w:tcBorders>
          </w:tcPr>
          <w:p w14:paraId="4E66E850" w14:textId="77777777" w:rsidR="008715BE" w:rsidRPr="00EC75B7" w:rsidRDefault="00000000">
            <w:pPr>
              <w:pStyle w:val="TableParagraph"/>
              <w:spacing w:before="19" w:line="194" w:lineRule="exact"/>
              <w:ind w:left="108" w:right="92"/>
              <w:jc w:val="both"/>
              <w:rPr>
                <w:rFonts w:ascii="Verdana" w:hAnsi="Verdana"/>
                <w:sz w:val="18"/>
                <w:szCs w:val="18"/>
              </w:rPr>
            </w:pPr>
            <w:r w:rsidRPr="00EC75B7">
              <w:rPr>
                <w:rFonts w:ascii="Verdana" w:hAnsi="Verdana"/>
                <w:sz w:val="18"/>
                <w:szCs w:val="18"/>
              </w:rPr>
              <w:t>Prolonged periods of drought and excessive soil drying can reduce the electrical conductivity of the ground, affecting the efficiency of onshore wind turbine grounding systems and increasing their vulnerability to power surges and lightning strikes.</w:t>
            </w:r>
          </w:p>
        </w:tc>
      </w:tr>
      <w:tr w:rsidR="008715BE" w:rsidRPr="00EC75B7" w14:paraId="3649AC8C" w14:textId="77777777">
        <w:trPr>
          <w:trHeight w:val="429"/>
        </w:trPr>
        <w:tc>
          <w:tcPr>
            <w:tcW w:w="1980" w:type="dxa"/>
            <w:tcBorders>
              <w:top w:val="single" w:sz="8" w:space="0" w:color="D9D9D9"/>
            </w:tcBorders>
            <w:shd w:val="clear" w:color="auto" w:fill="001F5F"/>
          </w:tcPr>
          <w:p w14:paraId="41C88434" w14:textId="77777777" w:rsidR="008715BE" w:rsidRPr="00EC75B7" w:rsidRDefault="00000000">
            <w:pPr>
              <w:pStyle w:val="TableParagraph"/>
              <w:spacing w:before="34" w:line="195" w:lineRule="exact"/>
              <w:ind w:left="113"/>
              <w:rPr>
                <w:rFonts w:ascii="Verdana" w:hAnsi="Verdana"/>
                <w:b/>
                <w:sz w:val="18"/>
                <w:szCs w:val="18"/>
              </w:rPr>
            </w:pPr>
            <w:r w:rsidRPr="00EC75B7">
              <w:rPr>
                <w:rFonts w:ascii="Verdana" w:hAnsi="Verdana"/>
                <w:b/>
                <w:color w:val="FFFFFF"/>
                <w:spacing w:val="-2"/>
                <w:sz w:val="18"/>
                <w:szCs w:val="18"/>
              </w:rPr>
              <w:t>Overall score:</w:t>
            </w:r>
          </w:p>
          <w:p w14:paraId="44849D9A" w14:textId="77777777" w:rsidR="008715BE" w:rsidRPr="00EC75B7" w:rsidRDefault="00000000">
            <w:pPr>
              <w:pStyle w:val="TableParagraph"/>
              <w:spacing w:line="180" w:lineRule="exact"/>
              <w:ind w:left="113"/>
              <w:rPr>
                <w:rFonts w:ascii="Verdana" w:hAnsi="Verdana"/>
                <w:b/>
                <w:sz w:val="18"/>
                <w:szCs w:val="18"/>
              </w:rPr>
            </w:pPr>
            <w:r w:rsidRPr="00EC75B7">
              <w:rPr>
                <w:rFonts w:ascii="Verdana" w:hAnsi="Verdana"/>
                <w:b/>
                <w:color w:val="92D050"/>
                <w:spacing w:val="-2"/>
                <w:sz w:val="18"/>
                <w:szCs w:val="18"/>
              </w:rPr>
              <w:t>Low</w:t>
            </w:r>
          </w:p>
        </w:tc>
        <w:tc>
          <w:tcPr>
            <w:tcW w:w="1687" w:type="dxa"/>
            <w:shd w:val="clear" w:color="auto" w:fill="001F5F"/>
          </w:tcPr>
          <w:p w14:paraId="2E9EE733" w14:textId="77777777" w:rsidR="008715BE" w:rsidRPr="00EC75B7" w:rsidRDefault="00000000">
            <w:pPr>
              <w:pStyle w:val="TableParagraph"/>
              <w:spacing w:before="34" w:line="195" w:lineRule="exact"/>
              <w:ind w:left="465"/>
              <w:rPr>
                <w:rFonts w:ascii="Verdana" w:hAnsi="Verdana"/>
                <w:b/>
                <w:sz w:val="18"/>
                <w:szCs w:val="18"/>
              </w:rPr>
            </w:pPr>
            <w:r w:rsidRPr="00EC75B7">
              <w:rPr>
                <w:rFonts w:ascii="Verdana" w:hAnsi="Verdana"/>
                <w:b/>
                <w:color w:val="FFFFFF"/>
                <w:sz w:val="18"/>
                <w:szCs w:val="18"/>
              </w:rPr>
              <w:t xml:space="preserve">Assets </w:t>
            </w:r>
            <w:r w:rsidRPr="00EC75B7">
              <w:rPr>
                <w:rFonts w:ascii="Verdana" w:hAnsi="Verdana"/>
                <w:b/>
                <w:color w:val="FFFFFF"/>
                <w:spacing w:val="-5"/>
                <w:sz w:val="18"/>
                <w:szCs w:val="18"/>
              </w:rPr>
              <w:t>and</w:t>
            </w:r>
          </w:p>
          <w:p w14:paraId="21186998" w14:textId="77777777" w:rsidR="008715BE" w:rsidRPr="00EC75B7" w:rsidRDefault="00000000">
            <w:pPr>
              <w:pStyle w:val="TableParagraph"/>
              <w:spacing w:line="180" w:lineRule="exact"/>
              <w:ind w:left="496"/>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4097AC6F" w14:textId="77777777" w:rsidR="008715BE" w:rsidRPr="00EC75B7" w:rsidRDefault="00000000">
            <w:pPr>
              <w:pStyle w:val="TableParagraph"/>
              <w:spacing w:before="130"/>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15BEEB5A" w14:textId="77777777" w:rsidR="008715BE" w:rsidRPr="00EC75B7" w:rsidRDefault="00000000">
            <w:pPr>
              <w:pStyle w:val="TableParagraph"/>
              <w:spacing w:before="130"/>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5857AB0B" w14:textId="77777777" w:rsidR="008715BE" w:rsidRPr="00EC75B7" w:rsidRDefault="00000000">
            <w:pPr>
              <w:pStyle w:val="TableParagraph"/>
              <w:spacing w:before="130"/>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5314C769" w14:textId="77777777">
        <w:trPr>
          <w:trHeight w:val="331"/>
        </w:trPr>
        <w:tc>
          <w:tcPr>
            <w:tcW w:w="1980" w:type="dxa"/>
            <w:tcBorders>
              <w:bottom w:val="single" w:sz="8" w:space="0" w:color="D9D9D9"/>
            </w:tcBorders>
            <w:shd w:val="clear" w:color="auto" w:fill="E1EEDA"/>
          </w:tcPr>
          <w:p w14:paraId="436D51BF" w14:textId="77777777" w:rsidR="008715BE" w:rsidRPr="00EC75B7" w:rsidRDefault="00000000">
            <w:pPr>
              <w:pStyle w:val="TableParagraph"/>
              <w:spacing w:before="85"/>
              <w:ind w:left="21"/>
              <w:jc w:val="center"/>
              <w:rPr>
                <w:rFonts w:ascii="Verdana" w:hAnsi="Verdana"/>
                <w:b/>
                <w:sz w:val="18"/>
                <w:szCs w:val="18"/>
              </w:rPr>
            </w:pPr>
            <w:r w:rsidRPr="00EC75B7">
              <w:rPr>
                <w:rFonts w:ascii="Verdana" w:hAnsi="Verdana"/>
                <w:b/>
                <w:spacing w:val="-10"/>
                <w:sz w:val="18"/>
                <w:szCs w:val="18"/>
              </w:rPr>
              <w:t>1</w:t>
            </w:r>
          </w:p>
        </w:tc>
        <w:tc>
          <w:tcPr>
            <w:tcW w:w="1687" w:type="dxa"/>
            <w:shd w:val="clear" w:color="auto" w:fill="E1EEDA"/>
          </w:tcPr>
          <w:p w14:paraId="53E5F2E3" w14:textId="77777777" w:rsidR="008715BE" w:rsidRPr="00EC75B7" w:rsidRDefault="00000000">
            <w:pPr>
              <w:pStyle w:val="TableParagraph"/>
              <w:spacing w:before="85"/>
              <w:ind w:left="22"/>
              <w:jc w:val="center"/>
              <w:rPr>
                <w:rFonts w:ascii="Verdana" w:hAnsi="Verdana"/>
                <w:b/>
                <w:sz w:val="18"/>
                <w:szCs w:val="18"/>
              </w:rPr>
            </w:pPr>
            <w:r w:rsidRPr="00EC75B7">
              <w:rPr>
                <w:rFonts w:ascii="Verdana" w:hAnsi="Verdana"/>
                <w:b/>
                <w:spacing w:val="-10"/>
                <w:sz w:val="18"/>
                <w:szCs w:val="18"/>
              </w:rPr>
              <w:t>1</w:t>
            </w:r>
          </w:p>
        </w:tc>
        <w:tc>
          <w:tcPr>
            <w:tcW w:w="1682" w:type="dxa"/>
            <w:shd w:val="clear" w:color="auto" w:fill="F1F1F1"/>
          </w:tcPr>
          <w:p w14:paraId="37A3DAE3" w14:textId="77777777" w:rsidR="008715BE" w:rsidRPr="00EC75B7" w:rsidRDefault="00000000">
            <w:pPr>
              <w:pStyle w:val="TableParagraph"/>
              <w:spacing w:before="85"/>
              <w:ind w:left="23"/>
              <w:jc w:val="center"/>
              <w:rPr>
                <w:rFonts w:ascii="Verdana" w:hAnsi="Verdana"/>
                <w:b/>
                <w:sz w:val="18"/>
                <w:szCs w:val="18"/>
              </w:rPr>
            </w:pPr>
            <w:r w:rsidRPr="00EC75B7">
              <w:rPr>
                <w:rFonts w:ascii="Verdana" w:hAnsi="Verdana"/>
                <w:b/>
                <w:spacing w:val="-10"/>
                <w:sz w:val="18"/>
                <w:szCs w:val="18"/>
              </w:rPr>
              <w:t>0</w:t>
            </w:r>
          </w:p>
        </w:tc>
        <w:tc>
          <w:tcPr>
            <w:tcW w:w="1661" w:type="dxa"/>
            <w:shd w:val="clear" w:color="auto" w:fill="F1F1F1"/>
          </w:tcPr>
          <w:p w14:paraId="241109F0" w14:textId="77777777" w:rsidR="008715BE" w:rsidRPr="00EC75B7" w:rsidRDefault="00000000">
            <w:pPr>
              <w:pStyle w:val="TableParagraph"/>
              <w:spacing w:before="85"/>
              <w:ind w:left="22"/>
              <w:jc w:val="center"/>
              <w:rPr>
                <w:rFonts w:ascii="Verdana" w:hAnsi="Verdana"/>
                <w:b/>
                <w:sz w:val="18"/>
                <w:szCs w:val="18"/>
              </w:rPr>
            </w:pPr>
            <w:r w:rsidRPr="00EC75B7">
              <w:rPr>
                <w:rFonts w:ascii="Verdana" w:hAnsi="Verdana"/>
                <w:b/>
                <w:spacing w:val="-10"/>
                <w:sz w:val="18"/>
                <w:szCs w:val="18"/>
              </w:rPr>
              <w:t>0</w:t>
            </w:r>
          </w:p>
        </w:tc>
        <w:tc>
          <w:tcPr>
            <w:tcW w:w="2057" w:type="dxa"/>
            <w:shd w:val="clear" w:color="auto" w:fill="F1F1F1"/>
          </w:tcPr>
          <w:p w14:paraId="3CB6FD00" w14:textId="77777777" w:rsidR="008715BE" w:rsidRPr="00EC75B7" w:rsidRDefault="00000000">
            <w:pPr>
              <w:pStyle w:val="TableParagraph"/>
              <w:spacing w:before="85"/>
              <w:ind w:left="25" w:right="1"/>
              <w:jc w:val="center"/>
              <w:rPr>
                <w:rFonts w:ascii="Verdana" w:hAnsi="Verdana"/>
                <w:b/>
                <w:sz w:val="18"/>
                <w:szCs w:val="18"/>
              </w:rPr>
            </w:pPr>
            <w:r w:rsidRPr="00EC75B7">
              <w:rPr>
                <w:rFonts w:ascii="Verdana" w:hAnsi="Verdana"/>
                <w:b/>
                <w:spacing w:val="-10"/>
                <w:sz w:val="18"/>
                <w:szCs w:val="18"/>
              </w:rPr>
              <w:t>0</w:t>
            </w:r>
          </w:p>
        </w:tc>
      </w:tr>
      <w:tr w:rsidR="008715BE" w:rsidRPr="00EC75B7" w14:paraId="5000B65A" w14:textId="77777777">
        <w:trPr>
          <w:trHeight w:val="983"/>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5F32DBE3" w14:textId="77777777" w:rsidR="008715BE" w:rsidRPr="00EC75B7" w:rsidRDefault="008715BE">
            <w:pPr>
              <w:pStyle w:val="TableParagraph"/>
              <w:spacing w:before="119"/>
              <w:rPr>
                <w:rFonts w:ascii="Verdana" w:hAnsi="Verdana"/>
                <w:b/>
                <w:sz w:val="18"/>
                <w:szCs w:val="18"/>
              </w:rPr>
            </w:pPr>
          </w:p>
          <w:p w14:paraId="3D2A7E03" w14:textId="77777777" w:rsidR="008715BE" w:rsidRPr="00EC75B7" w:rsidRDefault="00000000">
            <w:pPr>
              <w:pStyle w:val="TableParagraph"/>
              <w:spacing w:before="1" w:line="195" w:lineRule="exact"/>
              <w:ind w:left="108"/>
              <w:rPr>
                <w:rFonts w:ascii="Verdana" w:hAnsi="Verdana"/>
                <w:b/>
                <w:sz w:val="18"/>
                <w:szCs w:val="18"/>
              </w:rPr>
            </w:pPr>
            <w:r w:rsidRPr="00EC75B7">
              <w:rPr>
                <w:rFonts w:ascii="Verdana" w:hAnsi="Verdana"/>
                <w:b/>
                <w:color w:val="FFFFFF"/>
                <w:spacing w:val="-2"/>
                <w:sz w:val="18"/>
                <w:szCs w:val="18"/>
              </w:rPr>
              <w:t xml:space="preserve">Soil </w:t>
            </w:r>
            <w:r w:rsidRPr="00EC75B7">
              <w:rPr>
                <w:rFonts w:ascii="Verdana" w:hAnsi="Verdana"/>
                <w:b/>
                <w:color w:val="FFFFFF"/>
                <w:sz w:val="18"/>
                <w:szCs w:val="18"/>
              </w:rPr>
              <w:t>erosion</w:t>
            </w:r>
          </w:p>
          <w:p w14:paraId="22311E2C"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color w:val="FFFFFF"/>
                <w:spacing w:val="-2"/>
                <w:sz w:val="18"/>
                <w:szCs w:val="18"/>
              </w:rPr>
              <w:t xml:space="preserve">Coastal </w:t>
            </w:r>
            <w:r w:rsidRPr="00EC75B7">
              <w:rPr>
                <w:rFonts w:ascii="Verdana" w:hAnsi="Verdana"/>
                <w:b/>
                <w:color w:val="FFFFFF"/>
                <w:sz w:val="18"/>
                <w:szCs w:val="18"/>
              </w:rPr>
              <w:t>erosion</w:t>
            </w:r>
          </w:p>
        </w:tc>
        <w:tc>
          <w:tcPr>
            <w:tcW w:w="7087" w:type="dxa"/>
            <w:gridSpan w:val="4"/>
            <w:tcBorders>
              <w:left w:val="single" w:sz="8" w:space="0" w:color="D9D9D9"/>
            </w:tcBorders>
          </w:tcPr>
          <w:p w14:paraId="515F32BC" w14:textId="77777777" w:rsidR="008715BE" w:rsidRPr="00EC75B7" w:rsidRDefault="00000000">
            <w:pPr>
              <w:pStyle w:val="TableParagraph"/>
              <w:spacing w:before="25"/>
              <w:ind w:left="108" w:right="90"/>
              <w:rPr>
                <w:rFonts w:ascii="Verdana" w:hAnsi="Verdana"/>
                <w:sz w:val="18"/>
                <w:szCs w:val="18"/>
              </w:rPr>
            </w:pPr>
            <w:r w:rsidRPr="00EC75B7">
              <w:rPr>
                <w:rFonts w:ascii="Verdana" w:hAnsi="Verdana"/>
                <w:sz w:val="18"/>
                <w:szCs w:val="18"/>
              </w:rPr>
              <w:t>The occurrence of differential settlement of the foundation ground, with a direct impact on the overall stability of the foundations and the wind turbine structure.</w:t>
            </w:r>
          </w:p>
          <w:p w14:paraId="4C2A2B57" w14:textId="77777777" w:rsidR="008715BE" w:rsidRPr="00EC75B7" w:rsidRDefault="00000000">
            <w:pPr>
              <w:pStyle w:val="TableParagraph"/>
              <w:ind w:left="108" w:right="90"/>
              <w:rPr>
                <w:rFonts w:ascii="Verdana" w:hAnsi="Verdana"/>
                <w:sz w:val="18"/>
                <w:szCs w:val="18"/>
              </w:rPr>
            </w:pPr>
            <w:r w:rsidRPr="00EC75B7">
              <w:rPr>
                <w:rFonts w:ascii="Verdana" w:hAnsi="Verdana"/>
                <w:sz w:val="18"/>
                <w:szCs w:val="18"/>
              </w:rPr>
              <w:t xml:space="preserve">The uncovering or exposure of underground electrical cables as a result of soil erosion or degradation of the covering layer increases the risk of accidents due to electrocution </w:t>
            </w:r>
            <w:r w:rsidRPr="00EC75B7">
              <w:rPr>
                <w:rFonts w:ascii="Verdana" w:hAnsi="Verdana"/>
                <w:spacing w:val="-5"/>
                <w:sz w:val="18"/>
                <w:szCs w:val="18"/>
              </w:rPr>
              <w:t>and</w:t>
            </w:r>
          </w:p>
          <w:p w14:paraId="08CD88AB" w14:textId="77777777" w:rsidR="008715BE" w:rsidRPr="00EC75B7" w:rsidRDefault="00000000">
            <w:pPr>
              <w:pStyle w:val="TableParagraph"/>
              <w:spacing w:line="159" w:lineRule="exact"/>
              <w:ind w:left="108"/>
              <w:rPr>
                <w:rFonts w:ascii="Verdana" w:hAnsi="Verdana"/>
                <w:sz w:val="18"/>
                <w:szCs w:val="18"/>
              </w:rPr>
            </w:pPr>
            <w:r w:rsidRPr="00EC75B7">
              <w:rPr>
                <w:rFonts w:ascii="Verdana" w:hAnsi="Verdana"/>
                <w:sz w:val="18"/>
                <w:szCs w:val="18"/>
              </w:rPr>
              <w:t xml:space="preserve">damage to </w:t>
            </w:r>
            <w:r w:rsidRPr="00EC75B7">
              <w:rPr>
                <w:rFonts w:ascii="Verdana" w:hAnsi="Verdana"/>
                <w:spacing w:val="-2"/>
                <w:sz w:val="18"/>
                <w:szCs w:val="18"/>
              </w:rPr>
              <w:t xml:space="preserve">electrical </w:t>
            </w:r>
            <w:r w:rsidRPr="00EC75B7">
              <w:rPr>
                <w:rFonts w:ascii="Verdana" w:hAnsi="Verdana"/>
                <w:sz w:val="18"/>
                <w:szCs w:val="18"/>
              </w:rPr>
              <w:t>systems</w:t>
            </w:r>
            <w:r w:rsidRPr="00EC75B7">
              <w:rPr>
                <w:rFonts w:ascii="Verdana" w:hAnsi="Verdana"/>
                <w:spacing w:val="-2"/>
                <w:sz w:val="18"/>
                <w:szCs w:val="18"/>
              </w:rPr>
              <w:t>.</w:t>
            </w:r>
          </w:p>
        </w:tc>
      </w:tr>
      <w:tr w:rsidR="008715BE" w:rsidRPr="00EC75B7" w14:paraId="7FD5B089" w14:textId="77777777">
        <w:trPr>
          <w:trHeight w:val="429"/>
        </w:trPr>
        <w:tc>
          <w:tcPr>
            <w:tcW w:w="1980" w:type="dxa"/>
            <w:tcBorders>
              <w:top w:val="single" w:sz="8" w:space="0" w:color="D9D9D9"/>
            </w:tcBorders>
            <w:shd w:val="clear" w:color="auto" w:fill="001F5F"/>
          </w:tcPr>
          <w:p w14:paraId="4660774E" w14:textId="77777777" w:rsidR="008715BE" w:rsidRPr="00EC75B7" w:rsidRDefault="00000000">
            <w:pPr>
              <w:pStyle w:val="TableParagraph"/>
              <w:spacing w:before="34" w:line="195" w:lineRule="exact"/>
              <w:ind w:left="113"/>
              <w:rPr>
                <w:rFonts w:ascii="Verdana" w:hAnsi="Verdana"/>
                <w:b/>
                <w:sz w:val="18"/>
                <w:szCs w:val="18"/>
              </w:rPr>
            </w:pPr>
            <w:r w:rsidRPr="00EC75B7">
              <w:rPr>
                <w:rFonts w:ascii="Verdana" w:hAnsi="Verdana"/>
                <w:b/>
                <w:color w:val="FFFFFF"/>
                <w:spacing w:val="-2"/>
                <w:sz w:val="18"/>
                <w:szCs w:val="18"/>
              </w:rPr>
              <w:t>Overall score:</w:t>
            </w:r>
          </w:p>
          <w:p w14:paraId="7DCDD8A7" w14:textId="77777777" w:rsidR="008715BE" w:rsidRPr="00EC75B7" w:rsidRDefault="00000000">
            <w:pPr>
              <w:pStyle w:val="TableParagraph"/>
              <w:spacing w:line="180" w:lineRule="exact"/>
              <w:ind w:left="113"/>
              <w:rPr>
                <w:rFonts w:ascii="Verdana" w:hAnsi="Verdana"/>
                <w:b/>
                <w:sz w:val="18"/>
                <w:szCs w:val="18"/>
              </w:rPr>
            </w:pPr>
            <w:r w:rsidRPr="00EC75B7">
              <w:rPr>
                <w:rFonts w:ascii="Verdana" w:hAnsi="Verdana"/>
                <w:b/>
                <w:color w:val="92D050"/>
                <w:spacing w:val="-2"/>
                <w:sz w:val="18"/>
                <w:szCs w:val="18"/>
              </w:rPr>
              <w:t>Low</w:t>
            </w:r>
          </w:p>
        </w:tc>
        <w:tc>
          <w:tcPr>
            <w:tcW w:w="1687" w:type="dxa"/>
            <w:shd w:val="clear" w:color="auto" w:fill="001F5F"/>
          </w:tcPr>
          <w:p w14:paraId="5CFD7F65" w14:textId="77777777" w:rsidR="008715BE" w:rsidRPr="00EC75B7" w:rsidRDefault="00000000">
            <w:pPr>
              <w:pStyle w:val="TableParagraph"/>
              <w:spacing w:before="34" w:line="195" w:lineRule="exact"/>
              <w:ind w:left="113"/>
              <w:rPr>
                <w:rFonts w:ascii="Verdana" w:hAnsi="Verdana"/>
                <w:b/>
                <w:sz w:val="18"/>
                <w:szCs w:val="18"/>
              </w:rPr>
            </w:pPr>
            <w:r w:rsidRPr="00EC75B7">
              <w:rPr>
                <w:rFonts w:ascii="Verdana" w:hAnsi="Verdana"/>
                <w:b/>
                <w:color w:val="FFFFFF"/>
                <w:sz w:val="18"/>
                <w:szCs w:val="18"/>
              </w:rPr>
              <w:t xml:space="preserve">Active </w:t>
            </w:r>
            <w:r w:rsidRPr="00EC75B7">
              <w:rPr>
                <w:rFonts w:ascii="Verdana" w:hAnsi="Verdana"/>
                <w:b/>
                <w:color w:val="FFFFFF"/>
                <w:spacing w:val="-5"/>
                <w:sz w:val="18"/>
                <w:szCs w:val="18"/>
              </w:rPr>
              <w:t>and</w:t>
            </w:r>
          </w:p>
          <w:p w14:paraId="040D21EF" w14:textId="77777777" w:rsidR="008715BE" w:rsidRPr="00EC75B7" w:rsidRDefault="00000000">
            <w:pPr>
              <w:pStyle w:val="TableParagraph"/>
              <w:spacing w:line="180" w:lineRule="exact"/>
              <w:ind w:left="113"/>
              <w:rPr>
                <w:rFonts w:ascii="Verdana" w:hAnsi="Verdana"/>
                <w:b/>
                <w:sz w:val="18"/>
                <w:szCs w:val="18"/>
              </w:rPr>
            </w:pPr>
            <w:r w:rsidRPr="00EC75B7">
              <w:rPr>
                <w:rFonts w:ascii="Verdana" w:hAnsi="Verdana"/>
                <w:b/>
                <w:color w:val="FFFFFF"/>
                <w:spacing w:val="-2"/>
                <w:sz w:val="18"/>
                <w:szCs w:val="18"/>
              </w:rPr>
              <w:t>processes</w:t>
            </w:r>
          </w:p>
        </w:tc>
        <w:tc>
          <w:tcPr>
            <w:tcW w:w="1682" w:type="dxa"/>
            <w:shd w:val="clear" w:color="auto" w:fill="001F5F"/>
          </w:tcPr>
          <w:p w14:paraId="06DB71F2" w14:textId="77777777" w:rsidR="008715BE" w:rsidRPr="00EC75B7" w:rsidRDefault="00000000">
            <w:pPr>
              <w:pStyle w:val="TableParagraph"/>
              <w:spacing w:before="130"/>
              <w:ind w:left="23" w:right="2"/>
              <w:jc w:val="center"/>
              <w:rPr>
                <w:rFonts w:ascii="Verdana" w:hAnsi="Verdana"/>
                <w:b/>
                <w:sz w:val="18"/>
                <w:szCs w:val="18"/>
              </w:rPr>
            </w:pPr>
            <w:r w:rsidRPr="00EC75B7">
              <w:rPr>
                <w:rFonts w:ascii="Verdana" w:hAnsi="Verdana"/>
                <w:b/>
                <w:color w:val="FFFFFF"/>
                <w:spacing w:val="-2"/>
                <w:sz w:val="18"/>
                <w:szCs w:val="18"/>
              </w:rPr>
              <w:t>Inputs</w:t>
            </w:r>
          </w:p>
        </w:tc>
        <w:tc>
          <w:tcPr>
            <w:tcW w:w="1661" w:type="dxa"/>
            <w:shd w:val="clear" w:color="auto" w:fill="001F5F"/>
          </w:tcPr>
          <w:p w14:paraId="2BAEF328" w14:textId="77777777" w:rsidR="008715BE" w:rsidRPr="00EC75B7" w:rsidRDefault="00000000">
            <w:pPr>
              <w:pStyle w:val="TableParagraph"/>
              <w:spacing w:before="130"/>
              <w:ind w:left="22"/>
              <w:jc w:val="center"/>
              <w:rPr>
                <w:rFonts w:ascii="Verdana" w:hAnsi="Verdana"/>
                <w:b/>
                <w:sz w:val="18"/>
                <w:szCs w:val="18"/>
              </w:rPr>
            </w:pPr>
            <w:r w:rsidRPr="00EC75B7">
              <w:rPr>
                <w:rFonts w:ascii="Verdana" w:hAnsi="Verdana"/>
                <w:b/>
                <w:color w:val="FFFFFF"/>
                <w:spacing w:val="-2"/>
                <w:sz w:val="18"/>
                <w:szCs w:val="18"/>
              </w:rPr>
              <w:t>Outputs</w:t>
            </w:r>
          </w:p>
        </w:tc>
        <w:tc>
          <w:tcPr>
            <w:tcW w:w="2057" w:type="dxa"/>
            <w:shd w:val="clear" w:color="auto" w:fill="001F5F"/>
          </w:tcPr>
          <w:p w14:paraId="71B31FBE" w14:textId="77777777" w:rsidR="008715BE" w:rsidRPr="00EC75B7" w:rsidRDefault="00000000">
            <w:pPr>
              <w:pStyle w:val="TableParagraph"/>
              <w:spacing w:before="130"/>
              <w:ind w:left="25"/>
              <w:jc w:val="center"/>
              <w:rPr>
                <w:rFonts w:ascii="Verdana" w:hAnsi="Verdana"/>
                <w:b/>
                <w:sz w:val="18"/>
                <w:szCs w:val="18"/>
              </w:rPr>
            </w:pPr>
            <w:r w:rsidRPr="00EC75B7">
              <w:rPr>
                <w:rFonts w:ascii="Verdana" w:hAnsi="Verdana"/>
                <w:b/>
                <w:color w:val="FFFFFF"/>
                <w:spacing w:val="-2"/>
                <w:sz w:val="18"/>
                <w:szCs w:val="18"/>
              </w:rPr>
              <w:t>Interdependencies</w:t>
            </w:r>
          </w:p>
        </w:tc>
      </w:tr>
      <w:tr w:rsidR="008715BE" w:rsidRPr="00EC75B7" w14:paraId="21258C18" w14:textId="77777777">
        <w:trPr>
          <w:trHeight w:val="313"/>
        </w:trPr>
        <w:tc>
          <w:tcPr>
            <w:tcW w:w="1980" w:type="dxa"/>
            <w:tcBorders>
              <w:bottom w:val="single" w:sz="4" w:space="0" w:color="F1F1F1"/>
            </w:tcBorders>
            <w:shd w:val="clear" w:color="auto" w:fill="E1EEDA"/>
          </w:tcPr>
          <w:p w14:paraId="43E262FE" w14:textId="77777777" w:rsidR="008715BE" w:rsidRPr="00EC75B7" w:rsidRDefault="00000000">
            <w:pPr>
              <w:pStyle w:val="TableParagraph"/>
              <w:spacing w:before="75"/>
              <w:ind w:left="21"/>
              <w:jc w:val="center"/>
              <w:rPr>
                <w:rFonts w:ascii="Verdana" w:hAnsi="Verdana"/>
                <w:b/>
                <w:sz w:val="18"/>
                <w:szCs w:val="18"/>
              </w:rPr>
            </w:pPr>
            <w:r w:rsidRPr="00EC75B7">
              <w:rPr>
                <w:rFonts w:ascii="Verdana" w:hAnsi="Verdana"/>
                <w:b/>
                <w:spacing w:val="-10"/>
                <w:sz w:val="18"/>
                <w:szCs w:val="18"/>
              </w:rPr>
              <w:t>1</w:t>
            </w:r>
          </w:p>
        </w:tc>
        <w:tc>
          <w:tcPr>
            <w:tcW w:w="1687" w:type="dxa"/>
            <w:tcBorders>
              <w:bottom w:val="single" w:sz="4" w:space="0" w:color="F1F1F1"/>
            </w:tcBorders>
            <w:shd w:val="clear" w:color="auto" w:fill="E1EEDA"/>
          </w:tcPr>
          <w:p w14:paraId="5EFC816A"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1</w:t>
            </w:r>
          </w:p>
        </w:tc>
        <w:tc>
          <w:tcPr>
            <w:tcW w:w="1682" w:type="dxa"/>
            <w:tcBorders>
              <w:bottom w:val="single" w:sz="4" w:space="0" w:color="F1F1F1"/>
            </w:tcBorders>
            <w:shd w:val="clear" w:color="auto" w:fill="F1F1F1"/>
          </w:tcPr>
          <w:p w14:paraId="17FDA2DE" w14:textId="77777777" w:rsidR="008715BE" w:rsidRPr="00EC75B7" w:rsidRDefault="00000000">
            <w:pPr>
              <w:pStyle w:val="TableParagraph"/>
              <w:spacing w:before="75"/>
              <w:ind w:left="23"/>
              <w:jc w:val="center"/>
              <w:rPr>
                <w:rFonts w:ascii="Verdana" w:hAnsi="Verdana"/>
                <w:b/>
                <w:sz w:val="18"/>
                <w:szCs w:val="18"/>
              </w:rPr>
            </w:pPr>
            <w:r w:rsidRPr="00EC75B7">
              <w:rPr>
                <w:rFonts w:ascii="Verdana" w:hAnsi="Verdana"/>
                <w:b/>
                <w:spacing w:val="-10"/>
                <w:sz w:val="18"/>
                <w:szCs w:val="18"/>
              </w:rPr>
              <w:t>0</w:t>
            </w:r>
          </w:p>
        </w:tc>
        <w:tc>
          <w:tcPr>
            <w:tcW w:w="1661" w:type="dxa"/>
            <w:tcBorders>
              <w:bottom w:val="single" w:sz="4" w:space="0" w:color="F1F1F1"/>
            </w:tcBorders>
            <w:shd w:val="clear" w:color="auto" w:fill="F1F1F1"/>
          </w:tcPr>
          <w:p w14:paraId="785DCC94" w14:textId="77777777" w:rsidR="008715BE" w:rsidRPr="00EC75B7" w:rsidRDefault="00000000">
            <w:pPr>
              <w:pStyle w:val="TableParagraph"/>
              <w:spacing w:before="75"/>
              <w:ind w:left="22"/>
              <w:jc w:val="center"/>
              <w:rPr>
                <w:rFonts w:ascii="Verdana" w:hAnsi="Verdana"/>
                <w:b/>
                <w:sz w:val="18"/>
                <w:szCs w:val="18"/>
              </w:rPr>
            </w:pPr>
            <w:r w:rsidRPr="00EC75B7">
              <w:rPr>
                <w:rFonts w:ascii="Verdana" w:hAnsi="Verdana"/>
                <w:b/>
                <w:spacing w:val="-10"/>
                <w:sz w:val="18"/>
                <w:szCs w:val="18"/>
              </w:rPr>
              <w:t>0</w:t>
            </w:r>
          </w:p>
        </w:tc>
        <w:tc>
          <w:tcPr>
            <w:tcW w:w="2057" w:type="dxa"/>
            <w:tcBorders>
              <w:bottom w:val="single" w:sz="4" w:space="0" w:color="F1F1F1"/>
            </w:tcBorders>
            <w:shd w:val="clear" w:color="auto" w:fill="F1F1F1"/>
          </w:tcPr>
          <w:p w14:paraId="417E30DE" w14:textId="77777777" w:rsidR="008715BE" w:rsidRPr="00EC75B7" w:rsidRDefault="00000000">
            <w:pPr>
              <w:pStyle w:val="TableParagraph"/>
              <w:spacing w:before="75"/>
              <w:ind w:left="25" w:right="1"/>
              <w:jc w:val="center"/>
              <w:rPr>
                <w:rFonts w:ascii="Verdana" w:hAnsi="Verdana"/>
                <w:b/>
                <w:sz w:val="18"/>
                <w:szCs w:val="18"/>
              </w:rPr>
            </w:pPr>
            <w:r w:rsidRPr="00EC75B7">
              <w:rPr>
                <w:rFonts w:ascii="Verdana" w:hAnsi="Verdana"/>
                <w:b/>
                <w:spacing w:val="-10"/>
                <w:sz w:val="18"/>
                <w:szCs w:val="18"/>
              </w:rPr>
              <w:t>0</w:t>
            </w:r>
          </w:p>
        </w:tc>
      </w:tr>
      <w:tr w:rsidR="008715BE" w:rsidRPr="00EC75B7" w14:paraId="4568E2F4" w14:textId="77777777">
        <w:trPr>
          <w:trHeight w:val="3127"/>
        </w:trPr>
        <w:tc>
          <w:tcPr>
            <w:tcW w:w="9067" w:type="dxa"/>
            <w:gridSpan w:val="5"/>
            <w:tcBorders>
              <w:top w:val="single" w:sz="4" w:space="0" w:color="F1F1F1"/>
              <w:left w:val="single" w:sz="4" w:space="0" w:color="F1F1F1"/>
              <w:bottom w:val="single" w:sz="4" w:space="0" w:color="F1F1F1"/>
              <w:right w:val="single" w:sz="4" w:space="0" w:color="F1F1F1"/>
            </w:tcBorders>
          </w:tcPr>
          <w:p w14:paraId="387C2739" w14:textId="77777777" w:rsidR="008715BE" w:rsidRPr="00EC75B7" w:rsidRDefault="00000000">
            <w:pPr>
              <w:pStyle w:val="TableParagraph"/>
              <w:spacing w:before="25" w:line="195" w:lineRule="exact"/>
              <w:ind w:left="113"/>
              <w:rPr>
                <w:rFonts w:ascii="Verdana" w:hAnsi="Verdana"/>
                <w:b/>
                <w:sz w:val="18"/>
                <w:szCs w:val="18"/>
              </w:rPr>
            </w:pPr>
            <w:r w:rsidRPr="00EC75B7">
              <w:rPr>
                <w:rFonts w:ascii="Verdana" w:hAnsi="Verdana"/>
                <w:b/>
                <w:color w:val="00AFEF"/>
                <w:sz w:val="18"/>
                <w:szCs w:val="18"/>
              </w:rPr>
              <w:t xml:space="preserve">The project is highly sensitive to the following </w:t>
            </w:r>
            <w:r w:rsidRPr="00EC75B7">
              <w:rPr>
                <w:rFonts w:ascii="Verdana" w:hAnsi="Verdana"/>
                <w:b/>
                <w:color w:val="00AFEF"/>
                <w:spacing w:val="-2"/>
                <w:sz w:val="18"/>
                <w:szCs w:val="18"/>
              </w:rPr>
              <w:t xml:space="preserve">climate </w:t>
            </w:r>
            <w:r w:rsidRPr="00EC75B7">
              <w:rPr>
                <w:rFonts w:ascii="Verdana" w:hAnsi="Verdana"/>
                <w:b/>
                <w:color w:val="00AFEF"/>
                <w:sz w:val="18"/>
                <w:szCs w:val="18"/>
              </w:rPr>
              <w:t>hazards</w:t>
            </w:r>
            <w:r w:rsidRPr="00EC75B7">
              <w:rPr>
                <w:rFonts w:ascii="Verdana" w:hAnsi="Verdana"/>
                <w:b/>
                <w:color w:val="00AFEF"/>
                <w:spacing w:val="-2"/>
                <w:sz w:val="18"/>
                <w:szCs w:val="18"/>
              </w:rPr>
              <w:t>:</w:t>
            </w:r>
          </w:p>
          <w:p w14:paraId="0DF97985" w14:textId="77777777" w:rsidR="008715BE" w:rsidRPr="00EC75B7" w:rsidRDefault="00000000">
            <w:pPr>
              <w:pStyle w:val="TableParagraph"/>
              <w:spacing w:line="194" w:lineRule="exact"/>
              <w:ind w:left="113"/>
              <w:rPr>
                <w:rFonts w:ascii="Verdana" w:hAnsi="Verdana"/>
                <w:sz w:val="18"/>
                <w:szCs w:val="18"/>
              </w:rPr>
            </w:pPr>
            <w:r w:rsidRPr="00EC75B7">
              <w:rPr>
                <w:rFonts w:ascii="Verdana" w:hAnsi="Verdana"/>
                <w:spacing w:val="-2"/>
                <w:sz w:val="18"/>
                <w:szCs w:val="18"/>
              </w:rPr>
              <w:t xml:space="preserve">Vegetation </w:t>
            </w:r>
            <w:r w:rsidRPr="00EC75B7">
              <w:rPr>
                <w:rFonts w:ascii="Verdana" w:hAnsi="Verdana"/>
                <w:sz w:val="18"/>
                <w:szCs w:val="18"/>
              </w:rPr>
              <w:t>fires</w:t>
            </w:r>
          </w:p>
          <w:p w14:paraId="36B7A58E" w14:textId="77777777" w:rsidR="008715BE" w:rsidRPr="00EC75B7" w:rsidRDefault="00000000">
            <w:pPr>
              <w:pStyle w:val="TableParagraph"/>
              <w:ind w:left="113" w:right="4523"/>
              <w:rPr>
                <w:rFonts w:ascii="Verdana" w:hAnsi="Verdana"/>
                <w:b/>
                <w:sz w:val="18"/>
                <w:szCs w:val="18"/>
              </w:rPr>
            </w:pPr>
            <w:r w:rsidRPr="00EC75B7">
              <w:rPr>
                <w:rFonts w:ascii="Verdana" w:hAnsi="Verdana"/>
                <w:sz w:val="18"/>
                <w:szCs w:val="18"/>
              </w:rPr>
              <w:t xml:space="preserve">Flooding, Storm surge, Heavy rainfall </w:t>
            </w:r>
            <w:r w:rsidRPr="00EC75B7">
              <w:rPr>
                <w:rFonts w:ascii="Verdana" w:hAnsi="Verdana"/>
                <w:b/>
                <w:color w:val="00AFEF"/>
                <w:sz w:val="18"/>
                <w:szCs w:val="18"/>
              </w:rPr>
              <w:t>The project shows moderate sensitivity to the following climate hazards:</w:t>
            </w:r>
          </w:p>
          <w:p w14:paraId="3E5701F1" w14:textId="77777777" w:rsidR="008715BE" w:rsidRPr="00EC75B7" w:rsidRDefault="00000000">
            <w:pPr>
              <w:pStyle w:val="TableParagraph"/>
              <w:spacing w:line="192" w:lineRule="exact"/>
              <w:ind w:left="113"/>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p w14:paraId="2AF24DB9" w14:textId="77777777" w:rsidR="008715BE" w:rsidRPr="00EC75B7" w:rsidRDefault="00000000">
            <w:pPr>
              <w:pStyle w:val="TableParagraph"/>
              <w:spacing w:line="194" w:lineRule="exact"/>
              <w:ind w:left="113"/>
              <w:rPr>
                <w:rFonts w:ascii="Verdana" w:hAnsi="Verdana"/>
                <w:sz w:val="18"/>
                <w:szCs w:val="18"/>
              </w:rPr>
            </w:pPr>
            <w:r w:rsidRPr="00EC75B7">
              <w:rPr>
                <w:rFonts w:ascii="Verdana" w:hAnsi="Verdana"/>
                <w:sz w:val="18"/>
                <w:szCs w:val="18"/>
              </w:rPr>
              <w:t xml:space="preserve">Changing </w:t>
            </w:r>
            <w:r w:rsidRPr="00EC75B7">
              <w:rPr>
                <w:rFonts w:ascii="Verdana" w:hAnsi="Verdana"/>
                <w:spacing w:val="-4"/>
                <w:sz w:val="18"/>
                <w:szCs w:val="18"/>
              </w:rPr>
              <w:t xml:space="preserve">wind </w:t>
            </w:r>
            <w:r w:rsidRPr="00EC75B7">
              <w:rPr>
                <w:rFonts w:ascii="Verdana" w:hAnsi="Verdana"/>
                <w:sz w:val="18"/>
                <w:szCs w:val="18"/>
              </w:rPr>
              <w:t>patterns</w:t>
            </w:r>
          </w:p>
          <w:p w14:paraId="2C9C7D83" w14:textId="77777777" w:rsidR="008715BE" w:rsidRPr="00EC75B7" w:rsidRDefault="00000000">
            <w:pPr>
              <w:pStyle w:val="TableParagraph"/>
              <w:ind w:left="113" w:right="4523"/>
              <w:rPr>
                <w:rFonts w:ascii="Verdana" w:hAnsi="Verdana"/>
                <w:sz w:val="18"/>
                <w:szCs w:val="18"/>
              </w:rPr>
            </w:pPr>
            <w:r w:rsidRPr="00EC75B7">
              <w:rPr>
                <w:rFonts w:ascii="Verdana" w:hAnsi="Verdana"/>
                <w:sz w:val="18"/>
                <w:szCs w:val="18"/>
              </w:rPr>
              <w:t>Extreme winds (including storms, lightning, hurricanes, tornadoes) Landslides/Avalanches/Subsidence</w:t>
            </w:r>
          </w:p>
          <w:p w14:paraId="0A87D320" w14:textId="77777777" w:rsidR="008715BE" w:rsidRPr="00EC75B7" w:rsidRDefault="00000000">
            <w:pPr>
              <w:pStyle w:val="TableParagraph"/>
              <w:ind w:left="113" w:right="4523"/>
              <w:rPr>
                <w:rFonts w:ascii="Verdana" w:hAnsi="Verdana"/>
                <w:sz w:val="18"/>
                <w:szCs w:val="18"/>
              </w:rPr>
            </w:pPr>
            <w:r w:rsidRPr="00EC75B7">
              <w:rPr>
                <w:rFonts w:ascii="Verdana" w:hAnsi="Verdana"/>
                <w:sz w:val="18"/>
                <w:szCs w:val="18"/>
              </w:rPr>
              <w:t>Sea level rise/Saline intrusion Permafrost thaw</w:t>
            </w:r>
          </w:p>
          <w:p w14:paraId="17BB1F83" w14:textId="77777777" w:rsidR="008715BE" w:rsidRPr="00EC75B7" w:rsidRDefault="00000000">
            <w:pPr>
              <w:pStyle w:val="TableParagraph"/>
              <w:spacing w:line="193" w:lineRule="exact"/>
              <w:ind w:left="113"/>
              <w:rPr>
                <w:rFonts w:ascii="Verdana" w:hAnsi="Verdana"/>
                <w:b/>
                <w:sz w:val="18"/>
                <w:szCs w:val="18"/>
              </w:rPr>
            </w:pPr>
            <w:r w:rsidRPr="00EC75B7">
              <w:rPr>
                <w:rFonts w:ascii="Verdana" w:hAnsi="Verdana"/>
                <w:b/>
                <w:color w:val="00AFEF"/>
                <w:sz w:val="18"/>
                <w:szCs w:val="18"/>
              </w:rPr>
              <w:t xml:space="preserve">The project shows low sensitivity to the following </w:t>
            </w:r>
            <w:r w:rsidRPr="00EC75B7">
              <w:rPr>
                <w:rFonts w:ascii="Verdana" w:hAnsi="Verdana"/>
                <w:b/>
                <w:color w:val="00AFEF"/>
                <w:spacing w:val="-2"/>
                <w:sz w:val="18"/>
                <w:szCs w:val="18"/>
              </w:rPr>
              <w:t xml:space="preserve">climate </w:t>
            </w:r>
            <w:r w:rsidRPr="00EC75B7">
              <w:rPr>
                <w:rFonts w:ascii="Verdana" w:hAnsi="Verdana"/>
                <w:b/>
                <w:color w:val="00AFEF"/>
                <w:sz w:val="18"/>
                <w:szCs w:val="18"/>
              </w:rPr>
              <w:t>hazards</w:t>
            </w:r>
            <w:r w:rsidRPr="00EC75B7">
              <w:rPr>
                <w:rFonts w:ascii="Verdana" w:hAnsi="Verdana"/>
                <w:b/>
                <w:color w:val="00AFEF"/>
                <w:spacing w:val="-2"/>
                <w:sz w:val="18"/>
                <w:szCs w:val="18"/>
              </w:rPr>
              <w:t>:</w:t>
            </w:r>
          </w:p>
          <w:p w14:paraId="00B49081" w14:textId="77777777" w:rsidR="008715BE" w:rsidRPr="00EC75B7" w:rsidRDefault="00000000">
            <w:pPr>
              <w:pStyle w:val="TableParagraph"/>
              <w:spacing w:line="194" w:lineRule="exact"/>
              <w:ind w:left="113"/>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waves</w:t>
            </w:r>
          </w:p>
          <w:p w14:paraId="2A1842E9" w14:textId="77777777" w:rsidR="008715BE" w:rsidRPr="00EC75B7" w:rsidRDefault="00000000">
            <w:pPr>
              <w:pStyle w:val="TableParagraph"/>
              <w:ind w:left="113" w:right="6627"/>
              <w:rPr>
                <w:rFonts w:ascii="Verdana" w:hAnsi="Verdana"/>
                <w:sz w:val="18"/>
                <w:szCs w:val="18"/>
              </w:rPr>
            </w:pPr>
            <w:r w:rsidRPr="00EC75B7">
              <w:rPr>
                <w:rFonts w:ascii="Verdana" w:hAnsi="Verdana"/>
                <w:sz w:val="18"/>
                <w:szCs w:val="18"/>
              </w:rPr>
              <w:t xml:space="preserve">Temperature variations </w:t>
            </w:r>
            <w:r w:rsidRPr="00EC75B7">
              <w:rPr>
                <w:rFonts w:ascii="Verdana" w:hAnsi="Verdana"/>
                <w:spacing w:val="-2"/>
                <w:sz w:val="18"/>
                <w:szCs w:val="18"/>
              </w:rPr>
              <w:t>Drought</w:t>
            </w:r>
          </w:p>
          <w:p w14:paraId="7FCBB843" w14:textId="77777777" w:rsidR="008715BE" w:rsidRPr="00EC75B7" w:rsidRDefault="00000000">
            <w:pPr>
              <w:pStyle w:val="TableParagraph"/>
              <w:spacing w:line="164" w:lineRule="exact"/>
              <w:ind w:left="113"/>
              <w:rPr>
                <w:rFonts w:ascii="Verdana" w:hAnsi="Verdana"/>
                <w:sz w:val="18"/>
                <w:szCs w:val="18"/>
              </w:rPr>
            </w:pPr>
            <w:r w:rsidRPr="00EC75B7">
              <w:rPr>
                <w:rFonts w:ascii="Verdana" w:hAnsi="Verdana"/>
                <w:sz w:val="18"/>
                <w:szCs w:val="18"/>
              </w:rPr>
              <w:t xml:space="preserve">Soil </w:t>
            </w:r>
            <w:r w:rsidRPr="00EC75B7">
              <w:rPr>
                <w:rFonts w:ascii="Verdana" w:hAnsi="Verdana"/>
                <w:spacing w:val="-2"/>
                <w:sz w:val="18"/>
                <w:szCs w:val="18"/>
              </w:rPr>
              <w:t xml:space="preserve">erosion/Coastal </w:t>
            </w:r>
            <w:r w:rsidRPr="00EC75B7">
              <w:rPr>
                <w:rFonts w:ascii="Verdana" w:hAnsi="Verdana"/>
                <w:sz w:val="18"/>
                <w:szCs w:val="18"/>
              </w:rPr>
              <w:t>erosion</w:t>
            </w:r>
          </w:p>
        </w:tc>
      </w:tr>
    </w:tbl>
    <w:p w14:paraId="63D78F91" w14:textId="77777777" w:rsidR="008715BE" w:rsidRPr="00EC75B7" w:rsidRDefault="008715BE">
      <w:pPr>
        <w:pStyle w:val="BodyText"/>
        <w:spacing w:before="53"/>
        <w:rPr>
          <w:rFonts w:ascii="Verdana" w:hAnsi="Verdana"/>
          <w:b/>
        </w:rPr>
      </w:pPr>
    </w:p>
    <w:p w14:paraId="5FABA137" w14:textId="77777777" w:rsidR="008715BE" w:rsidRPr="00EC75B7" w:rsidRDefault="00000000">
      <w:pPr>
        <w:pStyle w:val="BodyText"/>
        <w:ind w:left="198"/>
        <w:jc w:val="both"/>
        <w:rPr>
          <w:rFonts w:ascii="Verdana" w:hAnsi="Verdana"/>
        </w:rPr>
      </w:pPr>
      <w:r w:rsidRPr="00EC75B7">
        <w:rPr>
          <w:rFonts w:ascii="Verdana" w:hAnsi="Verdana"/>
        </w:rPr>
        <w:t xml:space="preserve">The following section presents information on the current and future exposure of the area where the project will be </w:t>
      </w:r>
      <w:r w:rsidRPr="00EC75B7">
        <w:rPr>
          <w:rFonts w:ascii="Verdana" w:hAnsi="Verdana"/>
          <w:spacing w:val="-2"/>
        </w:rPr>
        <w:t>located</w:t>
      </w:r>
    </w:p>
    <w:p w14:paraId="56549844" w14:textId="77777777" w:rsidR="008715BE" w:rsidRPr="00EC75B7" w:rsidRDefault="00000000">
      <w:pPr>
        <w:pStyle w:val="BodyText"/>
        <w:spacing w:before="107"/>
        <w:ind w:left="198"/>
        <w:jc w:val="both"/>
        <w:rPr>
          <w:rFonts w:ascii="Verdana" w:hAnsi="Verdana"/>
        </w:rPr>
      </w:pPr>
      <w:r w:rsidRPr="00EC75B7">
        <w:rPr>
          <w:rFonts w:ascii="Verdana" w:hAnsi="Verdana"/>
        </w:rPr>
        <w:t xml:space="preserve">project will be located for the category of climate hazards specified </w:t>
      </w:r>
      <w:r w:rsidRPr="00EC75B7">
        <w:rPr>
          <w:rFonts w:ascii="Verdana" w:hAnsi="Verdana"/>
          <w:spacing w:val="-4"/>
        </w:rPr>
        <w:t>above.</w:t>
      </w:r>
    </w:p>
    <w:p w14:paraId="06624804" w14:textId="77777777" w:rsidR="008715BE" w:rsidRPr="00EC75B7" w:rsidRDefault="008715BE">
      <w:pPr>
        <w:pStyle w:val="BodyText"/>
        <w:spacing w:before="132"/>
        <w:rPr>
          <w:rFonts w:ascii="Verdana" w:hAnsi="Verdana"/>
        </w:rPr>
      </w:pPr>
    </w:p>
    <w:p w14:paraId="037176BB" w14:textId="77777777" w:rsidR="008715BE" w:rsidRPr="00EC75B7" w:rsidRDefault="00000000">
      <w:pPr>
        <w:pStyle w:val="Heading3"/>
        <w:numPr>
          <w:ilvl w:val="3"/>
          <w:numId w:val="33"/>
        </w:numPr>
        <w:tabs>
          <w:tab w:val="left" w:pos="1414"/>
        </w:tabs>
        <w:ind w:left="1414" w:hanging="1216"/>
        <w:jc w:val="left"/>
        <w:rPr>
          <w:rFonts w:ascii="Verdana" w:hAnsi="Verdana"/>
          <w:sz w:val="18"/>
          <w:szCs w:val="18"/>
        </w:rPr>
      </w:pPr>
      <w:bookmarkStart w:id="122" w:name="_bookmark123"/>
      <w:bookmarkEnd w:id="122"/>
      <w:r w:rsidRPr="00EC75B7">
        <w:rPr>
          <w:rFonts w:ascii="Verdana" w:hAnsi="Verdana"/>
          <w:color w:val="00AFEF"/>
          <w:spacing w:val="-2"/>
          <w:sz w:val="18"/>
          <w:szCs w:val="18"/>
        </w:rPr>
        <w:t>Exposure</w:t>
      </w:r>
    </w:p>
    <w:p w14:paraId="32E49D08" w14:textId="77777777" w:rsidR="008715BE" w:rsidRPr="00EC75B7" w:rsidRDefault="008715BE">
      <w:pPr>
        <w:pStyle w:val="BodyText"/>
        <w:spacing w:before="116"/>
        <w:rPr>
          <w:rFonts w:ascii="Verdana" w:hAnsi="Verdana"/>
          <w:b/>
        </w:rPr>
      </w:pPr>
    </w:p>
    <w:p w14:paraId="0768FF1F" w14:textId="77777777" w:rsidR="008715BE" w:rsidRPr="00EC75B7" w:rsidRDefault="00000000">
      <w:pPr>
        <w:ind w:left="198"/>
        <w:jc w:val="both"/>
        <w:rPr>
          <w:rFonts w:ascii="Verdana" w:hAnsi="Verdana"/>
          <w:b/>
          <w:sz w:val="18"/>
          <w:szCs w:val="18"/>
        </w:rPr>
      </w:pPr>
      <w:r w:rsidRPr="00EC75B7">
        <w:rPr>
          <w:rFonts w:ascii="Verdana" w:hAnsi="Verdana"/>
          <w:b/>
          <w:color w:val="00AFEF"/>
          <w:spacing w:val="-2"/>
          <w:sz w:val="18"/>
          <w:szCs w:val="18"/>
        </w:rPr>
        <w:t xml:space="preserve">CURRENT </w:t>
      </w:r>
      <w:r w:rsidRPr="00EC75B7">
        <w:rPr>
          <w:rFonts w:ascii="Verdana" w:hAnsi="Verdana"/>
          <w:b/>
          <w:color w:val="00AFEF"/>
          <w:sz w:val="18"/>
          <w:szCs w:val="18"/>
        </w:rPr>
        <w:t>EXPOSURE</w:t>
      </w:r>
    </w:p>
    <w:p w14:paraId="620FF91D" w14:textId="77777777" w:rsidR="008715BE" w:rsidRPr="00EC75B7" w:rsidRDefault="00000000">
      <w:pPr>
        <w:pStyle w:val="Heading5"/>
        <w:numPr>
          <w:ilvl w:val="4"/>
          <w:numId w:val="33"/>
        </w:numPr>
        <w:tabs>
          <w:tab w:val="left" w:pos="841"/>
        </w:tabs>
        <w:spacing w:before="239"/>
        <w:ind w:left="841" w:hanging="359"/>
        <w:rPr>
          <w:rFonts w:ascii="Verdana" w:hAnsi="Verdana"/>
        </w:rPr>
      </w:pPr>
      <w:r w:rsidRPr="00EC75B7">
        <w:rPr>
          <w:rFonts w:ascii="Verdana" w:hAnsi="Verdana"/>
        </w:rPr>
        <w:t xml:space="preserve">Flooding/Storm </w:t>
      </w:r>
      <w:r w:rsidRPr="00EC75B7">
        <w:rPr>
          <w:rFonts w:ascii="Verdana" w:hAnsi="Verdana"/>
          <w:spacing w:val="-2"/>
        </w:rPr>
        <w:t xml:space="preserve">surge/Heavy </w:t>
      </w:r>
      <w:r w:rsidRPr="00EC75B7">
        <w:rPr>
          <w:rFonts w:ascii="Verdana" w:hAnsi="Verdana"/>
        </w:rPr>
        <w:t>rainfall</w:t>
      </w:r>
    </w:p>
    <w:p w14:paraId="19D4B7DC" w14:textId="77777777" w:rsidR="008715BE" w:rsidRPr="00EC75B7" w:rsidRDefault="00000000">
      <w:pPr>
        <w:pStyle w:val="BodyText"/>
        <w:spacing w:before="109" w:line="357" w:lineRule="auto"/>
        <w:ind w:left="198" w:right="711"/>
        <w:jc w:val="both"/>
        <w:rPr>
          <w:rFonts w:ascii="Verdana" w:hAnsi="Verdana"/>
        </w:rPr>
      </w:pPr>
      <w:r w:rsidRPr="00EC75B7">
        <w:rPr>
          <w:rFonts w:ascii="Verdana" w:hAnsi="Verdana"/>
        </w:rPr>
        <w:t>According to the map of areas with significant flood risk, the location of the wind farm and the location of the wind farm do not overlap with areas identified as being at risk of flooding. Flood-prone areas are located along watercourses outside the project perimeter, without posing a direct risk to the proposed infrastructure.</w:t>
      </w:r>
      <w:r w:rsidRPr="00EC75B7">
        <w:rPr>
          <w:rFonts w:ascii="Verdana" w:hAnsi="Verdana"/>
          <w:spacing w:val="40"/>
        </w:rPr>
        <w:t xml:space="preserve"> </w:t>
      </w:r>
      <w:r w:rsidRPr="00EC75B7">
        <w:rPr>
          <w:rFonts w:ascii="Verdana" w:hAnsi="Verdana"/>
        </w:rPr>
        <w:lastRenderedPageBreak/>
        <w:t>Therefore, the flood risk for the project site is assessed as low.</w:t>
      </w:r>
    </w:p>
    <w:p w14:paraId="109E4319" w14:textId="77777777" w:rsidR="008715BE" w:rsidRPr="00EC75B7" w:rsidRDefault="00000000">
      <w:pPr>
        <w:pStyle w:val="BodyText"/>
        <w:spacing w:before="2" w:line="360" w:lineRule="auto"/>
        <w:ind w:left="198" w:right="707"/>
        <w:jc w:val="both"/>
        <w:rPr>
          <w:rFonts w:ascii="Verdana" w:hAnsi="Verdana"/>
        </w:rPr>
      </w:pPr>
      <w:r w:rsidRPr="00EC75B7">
        <w:rPr>
          <w:rFonts w:ascii="Verdana" w:hAnsi="Verdana"/>
        </w:rPr>
        <w:t>The watercourses in the location area (Măgura, Cerchez, Ceair) are not included in the Dobrogea Litoral River Basin Management Plan and do not appear in the flood hazard and risk maps - cycle 2. With</w:t>
      </w:r>
    </w:p>
    <w:p w14:paraId="2280D732" w14:textId="77777777" w:rsidR="008715BE" w:rsidRPr="00EC75B7" w:rsidRDefault="008715BE">
      <w:pPr>
        <w:pStyle w:val="BodyText"/>
        <w:spacing w:line="360" w:lineRule="auto"/>
        <w:jc w:val="both"/>
        <w:rPr>
          <w:rFonts w:ascii="Verdana" w:hAnsi="Verdana"/>
        </w:rPr>
        <w:sectPr w:rsidR="008715BE" w:rsidRPr="00EC75B7">
          <w:pgSz w:w="11910" w:h="16840"/>
          <w:pgMar w:top="1320" w:right="283" w:bottom="1020" w:left="992" w:header="766" w:footer="800" w:gutter="0"/>
          <w:cols w:space="708"/>
        </w:sectPr>
      </w:pPr>
    </w:p>
    <w:p w14:paraId="43CC6D15" w14:textId="77777777" w:rsidR="008715BE" w:rsidRPr="00EC75B7" w:rsidRDefault="00000000">
      <w:pPr>
        <w:pStyle w:val="BodyText"/>
        <w:spacing w:before="99"/>
        <w:ind w:left="198"/>
        <w:jc w:val="both"/>
        <w:rPr>
          <w:rFonts w:ascii="Verdana" w:hAnsi="Verdana"/>
        </w:rPr>
      </w:pPr>
      <w:r w:rsidRPr="00EC75B7">
        <w:rPr>
          <w:rFonts w:ascii="Verdana" w:hAnsi="Verdana"/>
        </w:rPr>
        <w:lastRenderedPageBreak/>
        <w:t xml:space="preserve">However, in accordance with Law 575/2001 on the approval of the National </w:t>
      </w:r>
      <w:r w:rsidRPr="00EC75B7">
        <w:rPr>
          <w:rFonts w:ascii="Verdana" w:hAnsi="Verdana"/>
          <w:spacing w:val="-2"/>
        </w:rPr>
        <w:t xml:space="preserve">Spatial </w:t>
      </w:r>
      <w:r w:rsidRPr="00EC75B7">
        <w:rPr>
          <w:rFonts w:ascii="Verdana" w:hAnsi="Verdana"/>
        </w:rPr>
        <w:t>Planning Plan</w:t>
      </w:r>
    </w:p>
    <w:p w14:paraId="1481A941" w14:textId="77777777" w:rsidR="008715BE" w:rsidRDefault="00000000">
      <w:pPr>
        <w:pStyle w:val="BodyText"/>
        <w:spacing w:before="110"/>
        <w:ind w:left="198"/>
        <w:jc w:val="both"/>
        <w:rPr>
          <w:rFonts w:ascii="Verdana" w:hAnsi="Verdana"/>
          <w:spacing w:val="-2"/>
        </w:rPr>
      </w:pPr>
      <w:r w:rsidRPr="00EC75B7">
        <w:rPr>
          <w:rFonts w:ascii="Verdana" w:hAnsi="Verdana"/>
        </w:rPr>
        <w:t xml:space="preserve">- Section V Natural Risk Areas, the commune of Cerchezu is exposed to the risk of </w:t>
      </w:r>
      <w:r w:rsidRPr="00EC75B7">
        <w:rPr>
          <w:rFonts w:ascii="Verdana" w:hAnsi="Verdana"/>
          <w:spacing w:val="-2"/>
        </w:rPr>
        <w:t xml:space="preserve">torrential </w:t>
      </w:r>
      <w:r w:rsidRPr="00EC75B7">
        <w:rPr>
          <w:rFonts w:ascii="Verdana" w:hAnsi="Verdana"/>
        </w:rPr>
        <w:t>flooding</w:t>
      </w:r>
      <w:r w:rsidRPr="00EC75B7">
        <w:rPr>
          <w:rFonts w:ascii="Verdana" w:hAnsi="Verdana"/>
          <w:spacing w:val="-2"/>
        </w:rPr>
        <w:t>.</w:t>
      </w:r>
    </w:p>
    <w:p w14:paraId="358DC79F" w14:textId="77777777" w:rsidR="009069FA" w:rsidRPr="00EC75B7" w:rsidRDefault="009069FA">
      <w:pPr>
        <w:pStyle w:val="BodyText"/>
        <w:spacing w:before="110"/>
        <w:ind w:left="198"/>
        <w:jc w:val="both"/>
        <w:rPr>
          <w:rFonts w:ascii="Verdana" w:hAnsi="Verdana"/>
        </w:rPr>
      </w:pPr>
    </w:p>
    <w:p w14:paraId="4D46E84C" w14:textId="166F487A" w:rsidR="008715BE" w:rsidRPr="00EC75B7" w:rsidRDefault="009069FA" w:rsidP="009069FA">
      <w:pPr>
        <w:pStyle w:val="BodyText"/>
        <w:spacing w:before="1"/>
        <w:jc w:val="center"/>
        <w:rPr>
          <w:rFonts w:ascii="Verdana" w:hAnsi="Verdana"/>
        </w:rPr>
      </w:pPr>
      <w:r>
        <w:rPr>
          <w:noProof/>
        </w:rPr>
        <w:drawing>
          <wp:inline distT="0" distB="0" distL="0" distR="0" wp14:anchorId="5A619E5F" wp14:editId="54EB28BC">
            <wp:extent cx="6013450" cy="2547305"/>
            <wp:effectExtent l="0" t="0" r="6350" b="5715"/>
            <wp:docPr id="13238189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021081" cy="2550537"/>
                    </a:xfrm>
                    <a:prstGeom prst="rect">
                      <a:avLst/>
                    </a:prstGeom>
                    <a:noFill/>
                    <a:ln>
                      <a:noFill/>
                    </a:ln>
                  </pic:spPr>
                </pic:pic>
              </a:graphicData>
            </a:graphic>
          </wp:inline>
        </w:drawing>
      </w:r>
    </w:p>
    <w:p w14:paraId="344A829A" w14:textId="77777777" w:rsidR="008715BE" w:rsidRPr="00EC75B7" w:rsidRDefault="00000000">
      <w:pPr>
        <w:spacing w:before="47"/>
        <w:ind w:left="198"/>
        <w:jc w:val="both"/>
        <w:rPr>
          <w:rFonts w:ascii="Verdana" w:hAnsi="Verdana"/>
          <w:i/>
          <w:sz w:val="18"/>
          <w:szCs w:val="18"/>
        </w:rPr>
      </w:pPr>
      <w:r w:rsidRPr="00EC75B7">
        <w:rPr>
          <w:rFonts w:ascii="Verdana" w:hAnsi="Verdana"/>
          <w:i/>
          <w:color w:val="00AFEF"/>
          <w:sz w:val="18"/>
          <w:szCs w:val="18"/>
        </w:rPr>
        <w:t xml:space="preserve">Source: Processed from </w:t>
      </w:r>
      <w:r w:rsidRPr="00EC75B7">
        <w:rPr>
          <w:rFonts w:ascii="Verdana" w:hAnsi="Verdana"/>
          <w:i/>
          <w:color w:val="00AFEF"/>
          <w:spacing w:val="-2"/>
          <w:sz w:val="18"/>
          <w:szCs w:val="18"/>
        </w:rPr>
        <w:t>inundații.ro</w:t>
      </w:r>
    </w:p>
    <w:p w14:paraId="2981235E" w14:textId="77777777" w:rsidR="008715BE" w:rsidRPr="00EC75B7" w:rsidRDefault="00000000">
      <w:pPr>
        <w:spacing w:before="170"/>
        <w:ind w:left="281" w:right="507"/>
        <w:jc w:val="center"/>
        <w:rPr>
          <w:rFonts w:ascii="Verdana" w:hAnsi="Verdana"/>
          <w:b/>
          <w:sz w:val="18"/>
          <w:szCs w:val="18"/>
        </w:rPr>
      </w:pPr>
      <w:r w:rsidRPr="00EC75B7">
        <w:rPr>
          <w:rFonts w:ascii="Verdana" w:hAnsi="Verdana"/>
          <w:b/>
          <w:color w:val="009DEF"/>
          <w:sz w:val="18"/>
          <w:szCs w:val="18"/>
        </w:rPr>
        <w:t xml:space="preserve">Figure no. 50 Map of areas with significant </w:t>
      </w:r>
      <w:r w:rsidRPr="00EC75B7">
        <w:rPr>
          <w:rFonts w:ascii="Verdana" w:hAnsi="Verdana"/>
          <w:b/>
          <w:color w:val="009DEF"/>
          <w:spacing w:val="-2"/>
          <w:sz w:val="18"/>
          <w:szCs w:val="18"/>
        </w:rPr>
        <w:t xml:space="preserve">flood </w:t>
      </w:r>
      <w:r w:rsidRPr="00EC75B7">
        <w:rPr>
          <w:rFonts w:ascii="Verdana" w:hAnsi="Verdana"/>
          <w:b/>
          <w:color w:val="009DEF"/>
          <w:sz w:val="18"/>
          <w:szCs w:val="18"/>
        </w:rPr>
        <w:t>risk</w:t>
      </w:r>
    </w:p>
    <w:p w14:paraId="5A368352" w14:textId="77777777" w:rsidR="008715BE" w:rsidRPr="00EC75B7" w:rsidRDefault="008715BE">
      <w:pPr>
        <w:pStyle w:val="BodyText"/>
        <w:spacing w:before="20"/>
        <w:rPr>
          <w:rFonts w:ascii="Verdana" w:hAnsi="Verdana"/>
          <w:b/>
        </w:rPr>
      </w:pPr>
    </w:p>
    <w:p w14:paraId="7858C723" w14:textId="77777777" w:rsidR="008715BE" w:rsidRPr="00EC75B7" w:rsidRDefault="00000000">
      <w:pPr>
        <w:pStyle w:val="BodyText"/>
        <w:spacing w:line="357" w:lineRule="auto"/>
        <w:ind w:left="198" w:right="711"/>
        <w:jc w:val="both"/>
        <w:rPr>
          <w:rFonts w:ascii="Verdana" w:hAnsi="Verdana"/>
        </w:rPr>
      </w:pPr>
      <w:r w:rsidRPr="00EC75B7">
        <w:rPr>
          <w:rFonts w:ascii="Verdana" w:hAnsi="Verdana"/>
        </w:rPr>
        <w:t>Analysis of historical precipitation values indicates that the Cerchezu commune area is characterized by relatively low annual precipitation, typical of the Dobrogea region.</w:t>
      </w:r>
      <w:r w:rsidRPr="00EC75B7">
        <w:rPr>
          <w:rFonts w:ascii="Verdana" w:hAnsi="Verdana"/>
          <w:spacing w:val="-13"/>
        </w:rPr>
        <w:t xml:space="preserve"> </w:t>
      </w:r>
      <w:r w:rsidRPr="00EC75B7">
        <w:rPr>
          <w:rFonts w:ascii="Verdana" w:hAnsi="Verdana"/>
        </w:rPr>
        <w:t>According to global climate data for the period 1970-2000 available on WorldClim, the annual amount of precipitation in the park's location, at the level of the Cerchezu commune, varies between 460÷476 mm.</w:t>
      </w:r>
    </w:p>
    <w:p w14:paraId="00DC8E91" w14:textId="77777777" w:rsidR="008715BE" w:rsidRPr="00EC75B7" w:rsidRDefault="00000000">
      <w:pPr>
        <w:pStyle w:val="BodyText"/>
        <w:spacing w:before="123" w:line="357" w:lineRule="auto"/>
        <w:ind w:left="198" w:right="714"/>
        <w:jc w:val="both"/>
        <w:rPr>
          <w:rFonts w:ascii="Verdana" w:hAnsi="Verdana"/>
        </w:rPr>
      </w:pPr>
      <w:r w:rsidRPr="00EC75B7">
        <w:rPr>
          <w:rFonts w:ascii="Verdana" w:hAnsi="Verdana"/>
        </w:rPr>
        <w:t>Intense precipitation events are rare and short-lived, and the project site does not overlap with areas prone to significant water accumulation or concentrated surface runoff. Therefore, the risk associated with torrential rains is considered low.</w:t>
      </w:r>
    </w:p>
    <w:p w14:paraId="2856061A" w14:textId="77777777" w:rsidR="008715BE" w:rsidRPr="00EC75B7" w:rsidRDefault="00000000">
      <w:pPr>
        <w:pStyle w:val="BodyText"/>
        <w:spacing w:before="123" w:line="357" w:lineRule="auto"/>
        <w:ind w:left="198" w:right="706"/>
        <w:jc w:val="both"/>
        <w:rPr>
          <w:rFonts w:ascii="Verdana" w:hAnsi="Verdana"/>
        </w:rPr>
      </w:pPr>
      <w:r w:rsidRPr="00EC75B7">
        <w:rPr>
          <w:rFonts w:ascii="Verdana" w:hAnsi="Verdana"/>
        </w:rPr>
        <w:t>According to available climatological studies (Antonescu &amp; Bell, 2014), tornadoes are rare meteorological phenomena in Romania, including in the Dobrogea region. The estimated frequency is very low, on the order of one event every few years on a regional scale, with most tornadoes being of low intensity (EF0–EF1) and having a localized impact. Although climate change may favor the occurrence of more intense convective storms (Met Office, 2021), the probability of such a phenomenon occurring at the Cerchezu site remains low.</w:t>
      </w:r>
    </w:p>
    <w:p w14:paraId="0734DA7B" w14:textId="77777777" w:rsidR="008715BE" w:rsidRPr="00EC75B7" w:rsidRDefault="00000000">
      <w:pPr>
        <w:pStyle w:val="BodyText"/>
        <w:spacing w:before="123" w:line="360" w:lineRule="auto"/>
        <w:ind w:left="198" w:right="717"/>
        <w:jc w:val="both"/>
        <w:rPr>
          <w:rFonts w:ascii="Verdana" w:hAnsi="Verdana"/>
        </w:rPr>
      </w:pPr>
      <w:r w:rsidRPr="00EC75B7">
        <w:rPr>
          <w:rFonts w:ascii="Verdana" w:hAnsi="Verdana"/>
        </w:rPr>
        <w:t>Precipitation can take various forms, such as liquid water droplets, snow crystals, or ice pellets. Extreme precipitation can have significant effects on water supply and sewerage infrastructure by increasing the turbidity of surface water sources.</w:t>
      </w:r>
    </w:p>
    <w:p w14:paraId="11AE6728" w14:textId="77777777" w:rsidR="008715BE" w:rsidRPr="00EC75B7" w:rsidRDefault="008715BE">
      <w:pPr>
        <w:pStyle w:val="BodyText"/>
        <w:spacing w:line="360" w:lineRule="auto"/>
        <w:jc w:val="both"/>
        <w:rPr>
          <w:rFonts w:ascii="Verdana" w:hAnsi="Verdana"/>
        </w:rPr>
        <w:sectPr w:rsidR="008715BE" w:rsidRPr="00EC75B7">
          <w:pgSz w:w="11910" w:h="16840"/>
          <w:pgMar w:top="1320" w:right="283" w:bottom="1020" w:left="992" w:header="766" w:footer="800" w:gutter="0"/>
          <w:cols w:space="708"/>
        </w:sectPr>
      </w:pPr>
    </w:p>
    <w:p w14:paraId="6AB829C8" w14:textId="77777777" w:rsidR="008715BE" w:rsidRPr="00EC75B7" w:rsidRDefault="008715BE">
      <w:pPr>
        <w:pStyle w:val="BodyText"/>
        <w:rPr>
          <w:rFonts w:ascii="Verdana" w:hAnsi="Verdana"/>
        </w:rPr>
      </w:pPr>
    </w:p>
    <w:p w14:paraId="3627C159" w14:textId="77777777" w:rsidR="008715BE" w:rsidRPr="00EC75B7" w:rsidRDefault="008715BE">
      <w:pPr>
        <w:pStyle w:val="BodyText"/>
        <w:rPr>
          <w:rFonts w:ascii="Verdana" w:hAnsi="Verdana"/>
        </w:rPr>
      </w:pPr>
    </w:p>
    <w:p w14:paraId="2E3153D7" w14:textId="77777777" w:rsidR="008715BE" w:rsidRPr="00EC75B7" w:rsidRDefault="008715BE">
      <w:pPr>
        <w:pStyle w:val="BodyText"/>
        <w:rPr>
          <w:rFonts w:ascii="Verdana" w:hAnsi="Verdana"/>
        </w:rPr>
      </w:pPr>
    </w:p>
    <w:p w14:paraId="356A3726" w14:textId="2F264492" w:rsidR="008715BE" w:rsidRPr="00EC75B7" w:rsidRDefault="009069FA">
      <w:pPr>
        <w:pStyle w:val="BodyText"/>
        <w:spacing w:before="203"/>
        <w:rPr>
          <w:rFonts w:ascii="Verdana" w:hAnsi="Verdana"/>
        </w:rPr>
      </w:pPr>
      <w:r>
        <w:rPr>
          <w:noProof/>
        </w:rPr>
        <w:drawing>
          <wp:inline distT="0" distB="0" distL="0" distR="0" wp14:anchorId="2B6BCCD2" wp14:editId="3D6E8B84">
            <wp:extent cx="5321300" cy="3763688"/>
            <wp:effectExtent l="0" t="0" r="0" b="8255"/>
            <wp:docPr id="13428516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325173" cy="3766427"/>
                    </a:xfrm>
                    <a:prstGeom prst="rect">
                      <a:avLst/>
                    </a:prstGeom>
                    <a:noFill/>
                    <a:ln>
                      <a:noFill/>
                    </a:ln>
                  </pic:spPr>
                </pic:pic>
              </a:graphicData>
            </a:graphic>
          </wp:inline>
        </w:drawing>
      </w:r>
    </w:p>
    <w:p w14:paraId="46D270B1" w14:textId="1B2FF947" w:rsidR="008715BE" w:rsidRPr="00EC75B7" w:rsidRDefault="008715BE">
      <w:pPr>
        <w:ind w:left="106"/>
        <w:rPr>
          <w:rFonts w:ascii="Verdana" w:hAnsi="Verdana"/>
          <w:sz w:val="18"/>
          <w:szCs w:val="18"/>
        </w:rPr>
      </w:pPr>
    </w:p>
    <w:p w14:paraId="1239FF82" w14:textId="77777777" w:rsidR="008715BE" w:rsidRPr="00EC75B7" w:rsidRDefault="00000000">
      <w:pPr>
        <w:spacing w:before="123"/>
        <w:ind w:left="6468"/>
        <w:rPr>
          <w:rFonts w:ascii="Verdana" w:hAnsi="Verdana"/>
          <w:i/>
          <w:sz w:val="18"/>
          <w:szCs w:val="18"/>
        </w:rPr>
      </w:pPr>
      <w:r w:rsidRPr="00EC75B7">
        <w:rPr>
          <w:rFonts w:ascii="Verdana" w:hAnsi="Verdana"/>
          <w:i/>
          <w:color w:val="009DEF"/>
          <w:sz w:val="18"/>
          <w:szCs w:val="18"/>
        </w:rPr>
        <w:t>Source: Adapted from</w:t>
      </w:r>
      <w:hyperlink r:id="rId234">
        <w:r w:rsidR="008715BE" w:rsidRPr="00EC75B7">
          <w:rPr>
            <w:rFonts w:ascii="Verdana" w:hAnsi="Verdana"/>
            <w:i/>
            <w:color w:val="009DEF"/>
            <w:spacing w:val="-2"/>
            <w:sz w:val="18"/>
            <w:szCs w:val="18"/>
            <w:u w:val="single" w:color="009DEF"/>
          </w:rPr>
          <w:t xml:space="preserve"> www.worldclim.org</w:t>
        </w:r>
      </w:hyperlink>
    </w:p>
    <w:p w14:paraId="560BE376" w14:textId="77777777" w:rsidR="008715BE" w:rsidRPr="00EC75B7" w:rsidRDefault="00000000">
      <w:pPr>
        <w:spacing w:before="169"/>
        <w:ind w:left="277" w:right="507"/>
        <w:jc w:val="center"/>
        <w:rPr>
          <w:rFonts w:ascii="Verdana" w:hAnsi="Verdana"/>
          <w:b/>
          <w:sz w:val="18"/>
          <w:szCs w:val="18"/>
        </w:rPr>
      </w:pPr>
      <w:r w:rsidRPr="00EC75B7">
        <w:rPr>
          <w:rFonts w:ascii="Verdana" w:hAnsi="Verdana"/>
          <w:b/>
          <w:color w:val="009DEF"/>
          <w:sz w:val="18"/>
          <w:szCs w:val="18"/>
        </w:rPr>
        <w:t xml:space="preserve">Figure 51 Historical precipitation values in the </w:t>
      </w:r>
      <w:r w:rsidRPr="00EC75B7">
        <w:rPr>
          <w:rFonts w:ascii="Verdana" w:hAnsi="Verdana"/>
          <w:b/>
          <w:color w:val="009DEF"/>
          <w:spacing w:val="-2"/>
          <w:sz w:val="18"/>
          <w:szCs w:val="18"/>
        </w:rPr>
        <w:t xml:space="preserve">project </w:t>
      </w:r>
      <w:r w:rsidRPr="00EC75B7">
        <w:rPr>
          <w:rFonts w:ascii="Verdana" w:hAnsi="Verdana"/>
          <w:b/>
          <w:color w:val="009DEF"/>
          <w:sz w:val="18"/>
          <w:szCs w:val="18"/>
        </w:rPr>
        <w:t>area</w:t>
      </w:r>
    </w:p>
    <w:p w14:paraId="2121F96A" w14:textId="77777777" w:rsidR="008715BE" w:rsidRPr="00EC75B7" w:rsidRDefault="008715BE">
      <w:pPr>
        <w:pStyle w:val="BodyText"/>
        <w:rPr>
          <w:rFonts w:ascii="Verdana" w:hAnsi="Verdana"/>
          <w:b/>
        </w:rPr>
      </w:pPr>
    </w:p>
    <w:p w14:paraId="2F6A1F4A" w14:textId="77777777" w:rsidR="008715BE" w:rsidRPr="00EC75B7" w:rsidRDefault="008715BE">
      <w:pPr>
        <w:pStyle w:val="BodyText"/>
        <w:rPr>
          <w:rFonts w:ascii="Verdana" w:hAnsi="Verdana"/>
          <w:b/>
        </w:rPr>
      </w:pPr>
    </w:p>
    <w:p w14:paraId="153F342D" w14:textId="77777777" w:rsidR="008715BE" w:rsidRPr="00EC75B7" w:rsidRDefault="008715BE">
      <w:pPr>
        <w:pStyle w:val="BodyText"/>
        <w:spacing w:before="21"/>
        <w:rPr>
          <w:rFonts w:ascii="Verdana" w:hAnsi="Verdana"/>
          <w:b/>
        </w:rPr>
      </w:pPr>
    </w:p>
    <w:p w14:paraId="34C1511B"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rPr>
        <w:t xml:space="preserve">Fire </w:t>
      </w:r>
      <w:r w:rsidRPr="00EC75B7">
        <w:rPr>
          <w:rFonts w:ascii="Verdana" w:hAnsi="Verdana"/>
          <w:spacing w:val="-2"/>
        </w:rPr>
        <w:t>Vegetation</w:t>
      </w:r>
    </w:p>
    <w:p w14:paraId="77513978" w14:textId="77777777" w:rsidR="008715BE" w:rsidRPr="00EC75B7" w:rsidRDefault="00000000">
      <w:pPr>
        <w:pStyle w:val="BodyText"/>
        <w:spacing w:before="106" w:line="360" w:lineRule="auto"/>
        <w:ind w:left="198" w:right="706"/>
        <w:jc w:val="both"/>
        <w:rPr>
          <w:rFonts w:ascii="Verdana" w:hAnsi="Verdana"/>
        </w:rPr>
      </w:pPr>
      <w:r w:rsidRPr="00EC75B7">
        <w:rPr>
          <w:rFonts w:ascii="Verdana" w:hAnsi="Verdana"/>
        </w:rPr>
        <w:t>Vegetation fires are fires that spread through areas with vegetation, such as forests, grasslands, or bushes. These fires can have multiple causes, including careless human activity, lightning strikes, or natural phenomena such as drought.</w:t>
      </w:r>
    </w:p>
    <w:p w14:paraId="0216A76F" w14:textId="77777777" w:rsidR="008715BE" w:rsidRPr="00EC75B7" w:rsidRDefault="00000000">
      <w:pPr>
        <w:pStyle w:val="BodyText"/>
        <w:spacing w:line="357" w:lineRule="auto"/>
        <w:ind w:left="198" w:right="715"/>
        <w:jc w:val="both"/>
        <w:rPr>
          <w:rFonts w:ascii="Verdana" w:hAnsi="Verdana"/>
        </w:rPr>
      </w:pPr>
      <w:r w:rsidRPr="00EC75B7">
        <w:rPr>
          <w:rFonts w:ascii="Verdana" w:hAnsi="Verdana"/>
        </w:rPr>
        <w:t>The risk of vegetation fires in the Cerchezu commune is considered low, with a moderate local possibility of occurrence during periods of severe drought and high temperatures, characteristic of the summer season. Potential fires are predominantly small in scale, associated with low vegetation and agricultural land. The area where the wind farm is to be built, which has no forest vegetation, does not present favorable conditions for forest fires, and the risk associated with this type of event is assessed as low.</w:t>
      </w:r>
    </w:p>
    <w:p w14:paraId="3A220419"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46040475" w14:textId="77777777" w:rsidR="008715BE" w:rsidRPr="00EC75B7" w:rsidRDefault="008715BE">
      <w:pPr>
        <w:pStyle w:val="BodyText"/>
        <w:spacing w:before="9"/>
        <w:rPr>
          <w:rFonts w:ascii="Verdana" w:hAnsi="Verdana"/>
        </w:rPr>
      </w:pPr>
    </w:p>
    <w:p w14:paraId="232BD106" w14:textId="20EBE3C9" w:rsidR="008715BE" w:rsidRPr="00EC75B7" w:rsidRDefault="009069FA" w:rsidP="009069FA">
      <w:pPr>
        <w:ind w:left="680"/>
        <w:jc w:val="center"/>
        <w:rPr>
          <w:rFonts w:ascii="Verdana" w:hAnsi="Verdana"/>
          <w:sz w:val="18"/>
          <w:szCs w:val="18"/>
        </w:rPr>
      </w:pPr>
      <w:r>
        <w:rPr>
          <w:noProof/>
        </w:rPr>
        <w:drawing>
          <wp:inline distT="0" distB="0" distL="0" distR="0" wp14:anchorId="5296F626" wp14:editId="0627BC46">
            <wp:extent cx="5038434" cy="3563620"/>
            <wp:effectExtent l="0" t="0" r="0" b="0"/>
            <wp:docPr id="16643467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040159" cy="3564840"/>
                    </a:xfrm>
                    <a:prstGeom prst="rect">
                      <a:avLst/>
                    </a:prstGeom>
                    <a:noFill/>
                    <a:ln>
                      <a:noFill/>
                    </a:ln>
                  </pic:spPr>
                </pic:pic>
              </a:graphicData>
            </a:graphic>
          </wp:inline>
        </w:drawing>
      </w:r>
    </w:p>
    <w:p w14:paraId="62FEA8D2" w14:textId="77777777" w:rsidR="008715BE" w:rsidRPr="00EC75B7" w:rsidRDefault="008715BE">
      <w:pPr>
        <w:pStyle w:val="BodyText"/>
        <w:spacing w:before="146"/>
        <w:rPr>
          <w:rFonts w:ascii="Verdana" w:hAnsi="Verdana"/>
        </w:rPr>
      </w:pPr>
    </w:p>
    <w:p w14:paraId="5E9F71BB" w14:textId="77777777" w:rsidR="008715BE" w:rsidRPr="00EC75B7" w:rsidRDefault="00000000">
      <w:pPr>
        <w:ind w:left="280" w:right="507"/>
        <w:jc w:val="center"/>
        <w:rPr>
          <w:rFonts w:ascii="Verdana" w:hAnsi="Verdana"/>
          <w:b/>
          <w:sz w:val="18"/>
          <w:szCs w:val="18"/>
        </w:rPr>
      </w:pPr>
      <w:r w:rsidRPr="00EC75B7">
        <w:rPr>
          <w:rFonts w:ascii="Verdana" w:hAnsi="Verdana"/>
          <w:b/>
          <w:color w:val="009DEF"/>
          <w:sz w:val="18"/>
          <w:szCs w:val="18"/>
        </w:rPr>
        <w:t xml:space="preserve">Figure 52 Map of the probability of </w:t>
      </w:r>
      <w:r w:rsidRPr="00EC75B7">
        <w:rPr>
          <w:rFonts w:ascii="Verdana" w:hAnsi="Verdana"/>
          <w:b/>
          <w:color w:val="009DEF"/>
          <w:spacing w:val="-2"/>
          <w:sz w:val="18"/>
          <w:szCs w:val="18"/>
        </w:rPr>
        <w:t xml:space="preserve">forest </w:t>
      </w:r>
      <w:r w:rsidRPr="00EC75B7">
        <w:rPr>
          <w:rFonts w:ascii="Verdana" w:hAnsi="Verdana"/>
          <w:b/>
          <w:color w:val="009DEF"/>
          <w:sz w:val="18"/>
          <w:szCs w:val="18"/>
        </w:rPr>
        <w:t>fires</w:t>
      </w:r>
    </w:p>
    <w:p w14:paraId="25DAECED" w14:textId="77777777" w:rsidR="008715BE" w:rsidRPr="00EC75B7" w:rsidRDefault="008715BE">
      <w:pPr>
        <w:pStyle w:val="BodyText"/>
        <w:rPr>
          <w:rFonts w:ascii="Verdana" w:hAnsi="Verdana"/>
          <w:b/>
        </w:rPr>
      </w:pPr>
    </w:p>
    <w:p w14:paraId="5ABFF957" w14:textId="77777777" w:rsidR="008715BE" w:rsidRPr="00EC75B7" w:rsidRDefault="008715BE">
      <w:pPr>
        <w:pStyle w:val="BodyText"/>
        <w:spacing w:before="153"/>
        <w:rPr>
          <w:rFonts w:ascii="Verdana" w:hAnsi="Verdana"/>
          <w:b/>
        </w:rPr>
      </w:pPr>
    </w:p>
    <w:p w14:paraId="11CD761F"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spacing w:val="-4"/>
        </w:rPr>
        <w:t xml:space="preserve">Cold </w:t>
      </w:r>
      <w:r w:rsidRPr="00EC75B7">
        <w:rPr>
          <w:rFonts w:ascii="Verdana" w:hAnsi="Verdana"/>
        </w:rPr>
        <w:t>wave</w:t>
      </w:r>
    </w:p>
    <w:p w14:paraId="12392BE0" w14:textId="77777777" w:rsidR="008715BE" w:rsidRPr="00EC75B7" w:rsidRDefault="00000000">
      <w:pPr>
        <w:pStyle w:val="BodyText"/>
        <w:spacing w:before="129" w:line="362" w:lineRule="auto"/>
        <w:ind w:left="198" w:right="707"/>
        <w:jc w:val="both"/>
        <w:rPr>
          <w:rFonts w:ascii="Verdana" w:hAnsi="Verdana"/>
        </w:rPr>
      </w:pPr>
      <w:r w:rsidRPr="00EC75B7">
        <w:rPr>
          <w:rFonts w:ascii="Verdana" w:hAnsi="Verdana"/>
        </w:rPr>
        <w:t>According to the "Constanța County Risk Analysis and Coverage Plan – 2024," Constanța County is characterized by a temperate continental climate with Pontic influences, in which episodes of extreme minimum temperatures occur sporadically, for relatively short periods, mainly during the cold season. Low temperatures can cause temporary discomfort and operational difficulties, but are not reported as phenomena with a major recurring impact at the local level.</w:t>
      </w:r>
    </w:p>
    <w:p w14:paraId="3654F516" w14:textId="77777777" w:rsidR="008715BE" w:rsidRPr="00EC75B7" w:rsidRDefault="00000000">
      <w:pPr>
        <w:pStyle w:val="Heading5"/>
        <w:numPr>
          <w:ilvl w:val="4"/>
          <w:numId w:val="33"/>
        </w:numPr>
        <w:tabs>
          <w:tab w:val="left" w:pos="841"/>
        </w:tabs>
        <w:spacing w:line="217" w:lineRule="exact"/>
        <w:ind w:left="841" w:hanging="359"/>
        <w:rPr>
          <w:rFonts w:ascii="Verdana" w:hAnsi="Verdana"/>
        </w:rPr>
      </w:pPr>
      <w:r w:rsidRPr="00EC75B7">
        <w:rPr>
          <w:rFonts w:ascii="Verdana" w:hAnsi="Verdana"/>
        </w:rPr>
        <w:t xml:space="preserve">Changing </w:t>
      </w:r>
      <w:r w:rsidRPr="00EC75B7">
        <w:rPr>
          <w:rFonts w:ascii="Verdana" w:hAnsi="Verdana"/>
          <w:spacing w:val="-4"/>
        </w:rPr>
        <w:t xml:space="preserve">wind </w:t>
      </w:r>
      <w:r w:rsidRPr="00EC75B7">
        <w:rPr>
          <w:rFonts w:ascii="Verdana" w:hAnsi="Verdana"/>
        </w:rPr>
        <w:t>patterns</w:t>
      </w:r>
    </w:p>
    <w:p w14:paraId="744B161F" w14:textId="77777777" w:rsidR="008715BE" w:rsidRPr="00EC75B7" w:rsidRDefault="00000000">
      <w:pPr>
        <w:pStyle w:val="BodyText"/>
        <w:spacing w:before="109" w:line="357" w:lineRule="auto"/>
        <w:ind w:left="198" w:right="709"/>
        <w:jc w:val="both"/>
        <w:rPr>
          <w:rFonts w:ascii="Verdana" w:hAnsi="Verdana"/>
        </w:rPr>
      </w:pPr>
      <w:r w:rsidRPr="00EC75B7">
        <w:rPr>
          <w:rFonts w:ascii="Verdana" w:hAnsi="Verdana"/>
        </w:rPr>
        <w:t>Wind is a dominant climatic element in Dobrogea, with high frequency and seasonal variations, determined by the circulation of continental and maritime air masses. Interannual variations in wind patterns associated with climate change are mentioned, which can influence the dynamics of meteorological phenomena, without being classified as major emergencies. In the case of the analyzed site, these changes are considered a chronic climate hazard, with a potential impact on energy production levels, without affecting the structural integrity of wind turbines.</w:t>
      </w:r>
    </w:p>
    <w:p w14:paraId="7F9C87E3" w14:textId="77777777" w:rsidR="008715BE" w:rsidRPr="00EC75B7" w:rsidRDefault="00000000">
      <w:pPr>
        <w:pStyle w:val="Heading5"/>
        <w:numPr>
          <w:ilvl w:val="4"/>
          <w:numId w:val="33"/>
        </w:numPr>
        <w:tabs>
          <w:tab w:val="left" w:pos="841"/>
        </w:tabs>
        <w:spacing w:before="4"/>
        <w:ind w:left="841" w:hanging="359"/>
        <w:rPr>
          <w:rFonts w:ascii="Verdana" w:hAnsi="Verdana"/>
        </w:rPr>
      </w:pPr>
      <w:r w:rsidRPr="00EC75B7">
        <w:rPr>
          <w:rFonts w:ascii="Verdana" w:hAnsi="Verdana"/>
        </w:rPr>
        <w:t xml:space="preserve">Extreme wind (including storms, lightning, hurricanes, </w:t>
      </w:r>
      <w:r w:rsidRPr="00EC75B7">
        <w:rPr>
          <w:rFonts w:ascii="Verdana" w:hAnsi="Verdana"/>
          <w:spacing w:val="-2"/>
        </w:rPr>
        <w:t>tornadoes)</w:t>
      </w:r>
    </w:p>
    <w:p w14:paraId="33160D92" w14:textId="77777777" w:rsidR="008715BE" w:rsidRPr="00EC75B7" w:rsidRDefault="00000000">
      <w:pPr>
        <w:pStyle w:val="BodyText"/>
        <w:spacing w:before="109" w:line="357" w:lineRule="auto"/>
        <w:ind w:left="198" w:right="717"/>
        <w:jc w:val="both"/>
        <w:rPr>
          <w:rFonts w:ascii="Verdana" w:hAnsi="Verdana"/>
        </w:rPr>
      </w:pPr>
      <w:r w:rsidRPr="00EC75B7">
        <w:rPr>
          <w:rFonts w:ascii="Verdana" w:hAnsi="Verdana"/>
        </w:rPr>
        <w:t xml:space="preserve">Extreme wind events, including strong storms and atmospheric electrical discharges, may occur sporadically in the region. However, phenomena such as hurricanes or tornadoes are very rare in the </w:t>
      </w:r>
      <w:r w:rsidRPr="00EC75B7">
        <w:rPr>
          <w:rFonts w:ascii="Verdana" w:hAnsi="Verdana"/>
          <w:spacing w:val="-2"/>
        </w:rPr>
        <w:t>Dobrogea</w:t>
      </w:r>
      <w:r w:rsidRPr="00EC75B7">
        <w:rPr>
          <w:rFonts w:ascii="Verdana" w:hAnsi="Verdana"/>
        </w:rPr>
        <w:t xml:space="preserve"> area</w:t>
      </w:r>
      <w:r w:rsidRPr="00EC75B7">
        <w:rPr>
          <w:rFonts w:ascii="Verdana" w:hAnsi="Verdana"/>
          <w:spacing w:val="-2"/>
        </w:rPr>
        <w:t>.</w:t>
      </w:r>
    </w:p>
    <w:p w14:paraId="7013687D" w14:textId="77777777" w:rsidR="008715BE" w:rsidRPr="00EC75B7" w:rsidRDefault="00000000">
      <w:pPr>
        <w:pStyle w:val="BodyText"/>
        <w:spacing w:before="2" w:line="357" w:lineRule="auto"/>
        <w:ind w:left="198" w:right="709"/>
        <w:jc w:val="both"/>
        <w:rPr>
          <w:rFonts w:ascii="Verdana" w:hAnsi="Verdana"/>
        </w:rPr>
      </w:pPr>
      <w:r w:rsidRPr="00EC75B7">
        <w:rPr>
          <w:rFonts w:ascii="Verdana" w:hAnsi="Verdana"/>
        </w:rPr>
        <w:t>The "Constanța County Risk Analysis and Coverage Plan – 2024" mentions storms and temporary wind intensifications, including episodes associated with convective phenomena, as possible meteorological risks at the county level. On the other hand, hurricane- or tornado-type phenomena are extremely rare, with no systematic occurrence or significant documented impact in Constanța County.</w:t>
      </w:r>
    </w:p>
    <w:p w14:paraId="339C6412"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11B7C64E" w14:textId="77777777" w:rsidR="008715BE" w:rsidRPr="00EC75B7" w:rsidRDefault="00000000">
      <w:pPr>
        <w:pStyle w:val="BodyText"/>
        <w:spacing w:before="99" w:line="360" w:lineRule="auto"/>
        <w:ind w:left="198" w:right="718"/>
        <w:jc w:val="both"/>
        <w:rPr>
          <w:rFonts w:ascii="Verdana" w:hAnsi="Verdana"/>
        </w:rPr>
      </w:pPr>
      <w:r w:rsidRPr="00EC75B7">
        <w:rPr>
          <w:rFonts w:ascii="Verdana" w:hAnsi="Verdana"/>
        </w:rPr>
        <w:lastRenderedPageBreak/>
        <w:t>This type of climatic hazard is considered acute, with low probability, and the associated risk is managed by designing and operating turbines in accordance with applicable technical standards.</w:t>
      </w:r>
    </w:p>
    <w:p w14:paraId="523F67EA" w14:textId="77777777" w:rsidR="008715BE" w:rsidRPr="00EC75B7" w:rsidRDefault="00000000">
      <w:pPr>
        <w:pStyle w:val="Heading5"/>
        <w:numPr>
          <w:ilvl w:val="4"/>
          <w:numId w:val="33"/>
        </w:numPr>
        <w:tabs>
          <w:tab w:val="left" w:pos="841"/>
        </w:tabs>
        <w:spacing w:line="216" w:lineRule="exact"/>
        <w:ind w:left="841" w:hanging="359"/>
        <w:rPr>
          <w:rFonts w:ascii="Verdana" w:hAnsi="Verdana"/>
        </w:rPr>
      </w:pPr>
      <w:r w:rsidRPr="00EC75B7">
        <w:rPr>
          <w:rFonts w:ascii="Verdana" w:hAnsi="Verdana"/>
        </w:rPr>
        <w:t>Landslides/Avalanches</w:t>
      </w:r>
      <w:r w:rsidRPr="00EC75B7">
        <w:rPr>
          <w:rFonts w:ascii="Verdana" w:hAnsi="Verdana"/>
          <w:spacing w:val="-2"/>
        </w:rPr>
        <w:t>/Subsidence</w:t>
      </w:r>
    </w:p>
    <w:p w14:paraId="65826415" w14:textId="77777777" w:rsidR="008715BE" w:rsidRPr="00EC75B7" w:rsidRDefault="00000000">
      <w:pPr>
        <w:pStyle w:val="BodyText"/>
        <w:spacing w:before="109" w:line="357" w:lineRule="auto"/>
        <w:ind w:left="198" w:right="713"/>
        <w:jc w:val="both"/>
        <w:rPr>
          <w:rFonts w:ascii="Verdana" w:hAnsi="Verdana"/>
        </w:rPr>
      </w:pPr>
      <w:r w:rsidRPr="00EC75B7">
        <w:rPr>
          <w:rFonts w:ascii="Verdana" w:hAnsi="Verdana"/>
        </w:rPr>
        <w:t>According to the landslide hazard map, the wind farm site and its areas of influence are predominantly classified as having low to very low landslide potential. No areas with high or very high slope instability potential have been identified within the project perimeter, indicating a low risk associated with this type of geodynamic hazard.</w:t>
      </w:r>
    </w:p>
    <w:p w14:paraId="56465EEE" w14:textId="77777777" w:rsidR="008715BE" w:rsidRPr="00EC75B7" w:rsidRDefault="00000000">
      <w:pPr>
        <w:pStyle w:val="BodyText"/>
        <w:spacing w:before="4" w:line="357" w:lineRule="auto"/>
        <w:ind w:left="198" w:right="711"/>
        <w:jc w:val="both"/>
        <w:rPr>
          <w:rFonts w:ascii="Verdana" w:hAnsi="Verdana"/>
        </w:rPr>
      </w:pPr>
      <w:r w:rsidRPr="00EC75B7">
        <w:rPr>
          <w:rFonts w:ascii="Verdana" w:hAnsi="Verdana"/>
        </w:rPr>
        <w:t xml:space="preserve">Given the low-altitude plain and plateau relief, the lack of steep slopes, and the absence of significant snow accumulation, there are no geomorphological and climatic conditions favorable to avalanches in the Cerchezu commune area. Therefore, the risk associated with this type of hazard is considered </w:t>
      </w:r>
      <w:r w:rsidRPr="00EC75B7">
        <w:rPr>
          <w:rFonts w:ascii="Verdana" w:hAnsi="Verdana"/>
          <w:spacing w:val="-2"/>
        </w:rPr>
        <w:t>negligible.</w:t>
      </w:r>
    </w:p>
    <w:p w14:paraId="64B4C07A" w14:textId="77777777" w:rsidR="008715BE" w:rsidRPr="00EC75B7" w:rsidRDefault="00000000">
      <w:pPr>
        <w:pStyle w:val="BodyText"/>
        <w:spacing w:before="3" w:line="357" w:lineRule="auto"/>
        <w:ind w:left="198" w:right="715"/>
        <w:jc w:val="both"/>
        <w:rPr>
          <w:rFonts w:ascii="Verdana" w:hAnsi="Verdana"/>
        </w:rPr>
      </w:pPr>
      <w:r w:rsidRPr="00EC75B7">
        <w:rPr>
          <w:rFonts w:ascii="Verdana" w:hAnsi="Verdana"/>
        </w:rPr>
        <w:t>Analysis of geological and geomorphological conditions indicates that the Cerchezu commune area is not characterized by known natural or anthropogenic subsidence phenomena. In the absence of mining activities, underground cavities, or other contributing factors, the risk of subsidence is considered low.</w:t>
      </w:r>
    </w:p>
    <w:p w14:paraId="0548F75E" w14:textId="0ED0FAB7" w:rsidR="008715BE" w:rsidRPr="00EC75B7" w:rsidRDefault="009069FA">
      <w:pPr>
        <w:pStyle w:val="BodyText"/>
        <w:spacing w:before="105"/>
        <w:rPr>
          <w:rFonts w:ascii="Verdana" w:hAnsi="Verdana"/>
        </w:rPr>
      </w:pPr>
      <w:r>
        <w:rPr>
          <w:noProof/>
        </w:rPr>
        <w:drawing>
          <wp:inline distT="0" distB="0" distL="0" distR="0" wp14:anchorId="13EB27F9" wp14:editId="24AFC510">
            <wp:extent cx="5581650" cy="3947830"/>
            <wp:effectExtent l="0" t="0" r="0" b="0"/>
            <wp:docPr id="11704936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584157" cy="3949603"/>
                    </a:xfrm>
                    <a:prstGeom prst="rect">
                      <a:avLst/>
                    </a:prstGeom>
                    <a:noFill/>
                    <a:ln>
                      <a:noFill/>
                    </a:ln>
                  </pic:spPr>
                </pic:pic>
              </a:graphicData>
            </a:graphic>
          </wp:inline>
        </w:drawing>
      </w:r>
    </w:p>
    <w:p w14:paraId="5B468BF7" w14:textId="77777777" w:rsidR="008715BE" w:rsidRPr="00EC75B7" w:rsidRDefault="00000000">
      <w:pPr>
        <w:spacing w:before="210"/>
        <w:ind w:left="280" w:right="507"/>
        <w:jc w:val="center"/>
        <w:rPr>
          <w:rFonts w:ascii="Verdana" w:hAnsi="Verdana"/>
          <w:b/>
          <w:sz w:val="18"/>
          <w:szCs w:val="18"/>
        </w:rPr>
      </w:pPr>
      <w:r w:rsidRPr="00EC75B7">
        <w:rPr>
          <w:rFonts w:ascii="Verdana" w:hAnsi="Verdana"/>
          <w:b/>
          <w:color w:val="009DEF"/>
          <w:sz w:val="18"/>
          <w:szCs w:val="18"/>
        </w:rPr>
        <w:t xml:space="preserve">Figure no. 53 Map of </w:t>
      </w:r>
      <w:r w:rsidRPr="00EC75B7">
        <w:rPr>
          <w:rFonts w:ascii="Verdana" w:hAnsi="Verdana"/>
          <w:b/>
          <w:color w:val="009DEF"/>
          <w:spacing w:val="-2"/>
          <w:sz w:val="18"/>
          <w:szCs w:val="18"/>
        </w:rPr>
        <w:t xml:space="preserve">landslide </w:t>
      </w:r>
      <w:r w:rsidRPr="00EC75B7">
        <w:rPr>
          <w:rFonts w:ascii="Verdana" w:hAnsi="Verdana"/>
          <w:b/>
          <w:color w:val="009DEF"/>
          <w:sz w:val="18"/>
          <w:szCs w:val="18"/>
        </w:rPr>
        <w:t>hazard zoning</w:t>
      </w:r>
    </w:p>
    <w:p w14:paraId="3C747320" w14:textId="77777777" w:rsidR="008715BE" w:rsidRPr="00EC75B7" w:rsidRDefault="008715BE">
      <w:pPr>
        <w:pStyle w:val="BodyText"/>
        <w:rPr>
          <w:rFonts w:ascii="Verdana" w:hAnsi="Verdana"/>
          <w:b/>
        </w:rPr>
      </w:pPr>
    </w:p>
    <w:p w14:paraId="5A7157C8" w14:textId="77777777" w:rsidR="008715BE" w:rsidRPr="00EC75B7" w:rsidRDefault="008715BE">
      <w:pPr>
        <w:pStyle w:val="BodyText"/>
        <w:spacing w:before="153"/>
        <w:rPr>
          <w:rFonts w:ascii="Verdana" w:hAnsi="Verdana"/>
          <w:b/>
        </w:rPr>
      </w:pPr>
    </w:p>
    <w:p w14:paraId="49418699"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rPr>
        <w:t xml:space="preserve">Sea level </w:t>
      </w:r>
      <w:r w:rsidRPr="00EC75B7">
        <w:rPr>
          <w:rFonts w:ascii="Verdana" w:hAnsi="Verdana"/>
          <w:spacing w:val="-2"/>
        </w:rPr>
        <w:t xml:space="preserve">rise/saline </w:t>
      </w:r>
      <w:r w:rsidRPr="00EC75B7">
        <w:rPr>
          <w:rFonts w:ascii="Verdana" w:hAnsi="Verdana"/>
        </w:rPr>
        <w:t>intrusion</w:t>
      </w:r>
    </w:p>
    <w:p w14:paraId="71D5677B" w14:textId="77777777" w:rsidR="008715BE" w:rsidRPr="00EC75B7" w:rsidRDefault="00000000">
      <w:pPr>
        <w:pStyle w:val="BodyText"/>
        <w:spacing w:before="109" w:line="357" w:lineRule="auto"/>
        <w:ind w:left="198" w:right="714"/>
        <w:jc w:val="both"/>
        <w:rPr>
          <w:rFonts w:ascii="Verdana" w:hAnsi="Verdana"/>
        </w:rPr>
      </w:pPr>
      <w:r w:rsidRPr="00EC75B7">
        <w:rPr>
          <w:rFonts w:ascii="Verdana" w:hAnsi="Verdana"/>
        </w:rPr>
        <w:t>In the RCP 2.6 climate scenario, the studied area has a low degree of exposure to the risks associated with sea level rise and saltwater intrusion. The impact is considered negligible due to the distance from the coastline and the limited sea level rise predicted in this scenario.</w:t>
      </w:r>
    </w:p>
    <w:p w14:paraId="22EFD9F7"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66898B01" w14:textId="77777777" w:rsidR="008715BE" w:rsidRPr="00EC75B7" w:rsidRDefault="008715BE">
      <w:pPr>
        <w:pStyle w:val="BodyText"/>
        <w:spacing w:before="209"/>
        <w:rPr>
          <w:rFonts w:ascii="Verdana" w:hAnsi="Verdana"/>
        </w:rPr>
      </w:pPr>
    </w:p>
    <w:p w14:paraId="45A6A0FF" w14:textId="77777777" w:rsidR="008715BE" w:rsidRPr="00EC75B7" w:rsidRDefault="00000000">
      <w:pPr>
        <w:pStyle w:val="Heading5"/>
        <w:numPr>
          <w:ilvl w:val="4"/>
          <w:numId w:val="33"/>
        </w:numPr>
        <w:tabs>
          <w:tab w:val="left" w:pos="904"/>
        </w:tabs>
        <w:ind w:left="904" w:hanging="422"/>
        <w:jc w:val="left"/>
        <w:rPr>
          <w:rFonts w:ascii="Verdana" w:hAnsi="Verdana"/>
        </w:rPr>
      </w:pPr>
      <w:r w:rsidRPr="00EC75B7">
        <w:rPr>
          <w:rFonts w:ascii="Verdana" w:hAnsi="Verdana"/>
          <w:spacing w:val="-2"/>
        </w:rPr>
        <w:t xml:space="preserve">Permafrost </w:t>
      </w:r>
      <w:r w:rsidRPr="00EC75B7">
        <w:rPr>
          <w:rFonts w:ascii="Verdana" w:hAnsi="Verdana"/>
        </w:rPr>
        <w:t>thawing</w:t>
      </w:r>
    </w:p>
    <w:p w14:paraId="247B253D" w14:textId="77777777" w:rsidR="008715BE" w:rsidRPr="00EC75B7" w:rsidRDefault="00000000">
      <w:pPr>
        <w:pStyle w:val="BodyText"/>
        <w:spacing w:before="106"/>
        <w:ind w:left="198"/>
        <w:rPr>
          <w:rFonts w:ascii="Verdana" w:hAnsi="Verdana"/>
        </w:rPr>
      </w:pPr>
      <w:r w:rsidRPr="00EC75B7">
        <w:rPr>
          <w:rFonts w:ascii="Verdana" w:hAnsi="Verdana"/>
        </w:rPr>
        <w:t xml:space="preserve">There is no permafrost in the project area, therefore we consider that there is no </w:t>
      </w:r>
      <w:r w:rsidRPr="00EC75B7">
        <w:rPr>
          <w:rFonts w:ascii="Verdana" w:hAnsi="Verdana"/>
          <w:spacing w:val="-2"/>
        </w:rPr>
        <w:t>possibility</w:t>
      </w:r>
    </w:p>
    <w:p w14:paraId="23505D65" w14:textId="77777777" w:rsidR="008715BE" w:rsidRPr="00EC75B7" w:rsidRDefault="00000000">
      <w:pPr>
        <w:pStyle w:val="BodyText"/>
        <w:spacing w:before="109"/>
        <w:ind w:left="198"/>
        <w:rPr>
          <w:rFonts w:ascii="Verdana" w:hAnsi="Verdana"/>
        </w:rPr>
      </w:pPr>
      <w:r w:rsidRPr="00EC75B7">
        <w:rPr>
          <w:rFonts w:ascii="Verdana" w:hAnsi="Verdana"/>
        </w:rPr>
        <w:t xml:space="preserve">of exposure to the effects of this </w:t>
      </w:r>
      <w:r w:rsidRPr="00EC75B7">
        <w:rPr>
          <w:rFonts w:ascii="Verdana" w:hAnsi="Verdana"/>
          <w:spacing w:val="-2"/>
        </w:rPr>
        <w:t>hazard.</w:t>
      </w:r>
    </w:p>
    <w:p w14:paraId="5D1BA310" w14:textId="77777777" w:rsidR="008715BE" w:rsidRPr="00EC75B7" w:rsidRDefault="008715BE">
      <w:pPr>
        <w:pStyle w:val="BodyText"/>
        <w:spacing w:before="10"/>
        <w:rPr>
          <w:rFonts w:ascii="Verdana" w:hAnsi="Verdana"/>
        </w:rPr>
      </w:pPr>
    </w:p>
    <w:p w14:paraId="084B7F92"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spacing w:val="-2"/>
        </w:rPr>
        <w:t xml:space="preserve">Heat </w:t>
      </w:r>
      <w:r w:rsidRPr="00EC75B7">
        <w:rPr>
          <w:rFonts w:ascii="Verdana" w:hAnsi="Verdana"/>
        </w:rPr>
        <w:t>wave</w:t>
      </w:r>
    </w:p>
    <w:p w14:paraId="5369C6F3" w14:textId="77777777" w:rsidR="008715BE" w:rsidRPr="00EC75B7" w:rsidRDefault="00000000">
      <w:pPr>
        <w:pStyle w:val="BodyText"/>
        <w:spacing w:before="107" w:line="357" w:lineRule="auto"/>
        <w:ind w:left="198" w:right="709"/>
        <w:jc w:val="both"/>
        <w:rPr>
          <w:rFonts w:ascii="Verdana" w:hAnsi="Verdana"/>
        </w:rPr>
      </w:pPr>
      <w:r w:rsidRPr="00EC75B7">
        <w:rPr>
          <w:rFonts w:ascii="Verdana" w:hAnsi="Verdana"/>
        </w:rPr>
        <w:t>Under current climatic conditions, the commune of Cerchezu is characterized by a relatively high frequency of extreme temperature episodes, specific to the Dobrogea region. Heat waves occur mainly in the summer season, being associated with high maximum temperatures and periods of severe heat stress. According to national and regional climate trends, southeastern Romania is among the areas most exposed to such phenomena, even in the current climate.</w:t>
      </w:r>
    </w:p>
    <w:p w14:paraId="1C0239FD" w14:textId="77777777" w:rsidR="008715BE" w:rsidRPr="00EC75B7" w:rsidRDefault="00000000">
      <w:pPr>
        <w:pStyle w:val="Heading5"/>
        <w:numPr>
          <w:ilvl w:val="4"/>
          <w:numId w:val="33"/>
        </w:numPr>
        <w:tabs>
          <w:tab w:val="left" w:pos="841"/>
        </w:tabs>
        <w:spacing w:before="124"/>
        <w:ind w:left="841" w:hanging="359"/>
        <w:rPr>
          <w:rFonts w:ascii="Verdana" w:hAnsi="Verdana"/>
        </w:rPr>
      </w:pPr>
      <w:r w:rsidRPr="00EC75B7">
        <w:rPr>
          <w:rFonts w:ascii="Verdana" w:hAnsi="Verdana"/>
          <w:spacing w:val="-2"/>
        </w:rPr>
        <w:t xml:space="preserve">Temperature </w:t>
      </w:r>
      <w:r w:rsidRPr="00EC75B7">
        <w:rPr>
          <w:rFonts w:ascii="Verdana" w:hAnsi="Verdana"/>
        </w:rPr>
        <w:t>variations</w:t>
      </w:r>
    </w:p>
    <w:p w14:paraId="1C774CFE" w14:textId="77777777" w:rsidR="008715BE" w:rsidRPr="00EC75B7" w:rsidRDefault="00000000">
      <w:pPr>
        <w:pStyle w:val="BodyText"/>
        <w:spacing w:before="109" w:line="360" w:lineRule="auto"/>
        <w:ind w:left="198" w:right="706"/>
        <w:jc w:val="both"/>
        <w:rPr>
          <w:rFonts w:ascii="Verdana" w:hAnsi="Verdana"/>
        </w:rPr>
      </w:pPr>
      <w:r w:rsidRPr="00EC75B7">
        <w:rPr>
          <w:rFonts w:ascii="Verdana" w:hAnsi="Verdana"/>
        </w:rPr>
        <w:t>Analysis of historical maximum temperature distribution indicates that the Cerchezu commune area falls within a zone characterized by high temperatures during the summer months, typical of southeastern Romania.</w:t>
      </w:r>
    </w:p>
    <w:p w14:paraId="27D17AF3" w14:textId="77777777" w:rsidR="008715BE" w:rsidRPr="00EC75B7" w:rsidRDefault="00000000">
      <w:pPr>
        <w:pStyle w:val="BodyText"/>
        <w:spacing w:before="117" w:line="355" w:lineRule="auto"/>
        <w:ind w:left="198" w:right="703"/>
        <w:jc w:val="both"/>
        <w:rPr>
          <w:rFonts w:ascii="Verdana" w:hAnsi="Verdana"/>
        </w:rPr>
      </w:pPr>
      <w:r w:rsidRPr="00EC75B7">
        <w:rPr>
          <w:rFonts w:ascii="Verdana" w:hAnsi="Verdana"/>
        </w:rPr>
        <w:t>According to global climate data for the period 1970-2000 available on WorldClim, the average annual maximum temperature in the project's area of influence, at the level of the Cerchezu commune, ranges between 5.82</w:t>
      </w:r>
      <w:r w:rsidRPr="00EC75B7">
        <w:rPr>
          <w:rFonts w:ascii="Verdana" w:hAnsi="Verdana"/>
          <w:position w:val="6"/>
        </w:rPr>
        <w:t>0</w:t>
      </w:r>
      <w:r w:rsidRPr="00EC75B7">
        <w:rPr>
          <w:rFonts w:ascii="Verdana" w:hAnsi="Verdana"/>
        </w:rPr>
        <w:t>C and 6.39</w:t>
      </w:r>
      <w:r w:rsidRPr="00EC75B7">
        <w:rPr>
          <w:rFonts w:ascii="Verdana" w:hAnsi="Verdana"/>
          <w:position w:val="6"/>
        </w:rPr>
        <w:t>0</w:t>
      </w:r>
      <w:r w:rsidRPr="00EC75B7">
        <w:rPr>
          <w:rFonts w:ascii="Verdana" w:hAnsi="Verdana"/>
        </w:rPr>
        <w:t>C.</w:t>
      </w:r>
    </w:p>
    <w:p w14:paraId="2A668B7A" w14:textId="27BD48EF" w:rsidR="008715BE" w:rsidRPr="00EC75B7" w:rsidRDefault="009069FA" w:rsidP="009069FA">
      <w:pPr>
        <w:pStyle w:val="BodyText"/>
        <w:spacing w:before="8"/>
        <w:jc w:val="center"/>
        <w:rPr>
          <w:rFonts w:ascii="Verdana" w:hAnsi="Verdana"/>
        </w:rPr>
      </w:pPr>
      <w:r>
        <w:rPr>
          <w:noProof/>
        </w:rPr>
        <w:drawing>
          <wp:inline distT="0" distB="0" distL="0" distR="0" wp14:anchorId="261C80EE" wp14:editId="325FEA64">
            <wp:extent cx="5594350" cy="3956812"/>
            <wp:effectExtent l="0" t="0" r="6350" b="5715"/>
            <wp:docPr id="165062539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599087" cy="3960162"/>
                    </a:xfrm>
                    <a:prstGeom prst="rect">
                      <a:avLst/>
                    </a:prstGeom>
                    <a:noFill/>
                    <a:ln>
                      <a:noFill/>
                    </a:ln>
                  </pic:spPr>
                </pic:pic>
              </a:graphicData>
            </a:graphic>
          </wp:inline>
        </w:drawing>
      </w:r>
    </w:p>
    <w:p w14:paraId="3B01A0EF" w14:textId="77777777" w:rsidR="008715BE" w:rsidRPr="00EC75B7" w:rsidRDefault="008715BE">
      <w:pPr>
        <w:pStyle w:val="BodyText"/>
        <w:spacing w:before="37"/>
        <w:rPr>
          <w:rFonts w:ascii="Verdana" w:hAnsi="Verdana"/>
        </w:rPr>
      </w:pPr>
    </w:p>
    <w:p w14:paraId="4887D3F4" w14:textId="77777777" w:rsidR="008715BE" w:rsidRPr="00EC75B7" w:rsidRDefault="00000000">
      <w:pPr>
        <w:spacing w:before="1"/>
        <w:ind w:left="278" w:right="507"/>
        <w:jc w:val="center"/>
        <w:rPr>
          <w:rFonts w:ascii="Verdana" w:hAnsi="Verdana"/>
          <w:b/>
          <w:sz w:val="18"/>
          <w:szCs w:val="18"/>
        </w:rPr>
      </w:pPr>
      <w:r w:rsidRPr="00EC75B7">
        <w:rPr>
          <w:rFonts w:ascii="Verdana" w:hAnsi="Verdana"/>
          <w:b/>
          <w:color w:val="009DEF"/>
          <w:sz w:val="18"/>
          <w:szCs w:val="18"/>
        </w:rPr>
        <w:t xml:space="preserve">Figure no. 54 Historical average annual maximum temperature values at the </w:t>
      </w:r>
      <w:r w:rsidRPr="00EC75B7">
        <w:rPr>
          <w:rFonts w:ascii="Verdana" w:hAnsi="Verdana"/>
          <w:b/>
          <w:color w:val="009DEF"/>
          <w:spacing w:val="-2"/>
          <w:sz w:val="18"/>
          <w:szCs w:val="18"/>
        </w:rPr>
        <w:t>project site</w:t>
      </w:r>
    </w:p>
    <w:p w14:paraId="1DDB1D65" w14:textId="77777777" w:rsidR="008715BE" w:rsidRPr="00EC75B7" w:rsidRDefault="00000000">
      <w:pPr>
        <w:spacing w:before="95"/>
        <w:ind w:left="60" w:right="567"/>
        <w:jc w:val="center"/>
        <w:rPr>
          <w:rFonts w:ascii="Verdana" w:hAnsi="Verdana"/>
          <w:b/>
          <w:sz w:val="18"/>
          <w:szCs w:val="18"/>
        </w:rPr>
      </w:pPr>
      <w:r w:rsidRPr="00EC75B7">
        <w:rPr>
          <w:rFonts w:ascii="Verdana" w:hAnsi="Verdana"/>
          <w:b/>
          <w:color w:val="009DEF"/>
          <w:spacing w:val="-2"/>
          <w:sz w:val="18"/>
          <w:szCs w:val="18"/>
        </w:rPr>
        <w:t>project</w:t>
      </w:r>
    </w:p>
    <w:p w14:paraId="7A0378CA" w14:textId="77777777" w:rsidR="008715BE" w:rsidRPr="00EC75B7" w:rsidRDefault="008715BE">
      <w:pPr>
        <w:jc w:val="center"/>
        <w:rPr>
          <w:rFonts w:ascii="Verdana" w:hAnsi="Verdana"/>
          <w:b/>
          <w:sz w:val="18"/>
          <w:szCs w:val="18"/>
        </w:rPr>
        <w:sectPr w:rsidR="008715BE" w:rsidRPr="00EC75B7">
          <w:pgSz w:w="11910" w:h="16840"/>
          <w:pgMar w:top="1320" w:right="283" w:bottom="1020" w:left="992" w:header="766" w:footer="800" w:gutter="0"/>
          <w:cols w:space="708"/>
        </w:sectPr>
      </w:pPr>
    </w:p>
    <w:p w14:paraId="723DDA10" w14:textId="77777777" w:rsidR="008715BE" w:rsidRPr="00EC75B7" w:rsidRDefault="00000000">
      <w:pPr>
        <w:pStyle w:val="Heading5"/>
        <w:numPr>
          <w:ilvl w:val="4"/>
          <w:numId w:val="33"/>
        </w:numPr>
        <w:tabs>
          <w:tab w:val="left" w:pos="841"/>
        </w:tabs>
        <w:spacing w:before="99"/>
        <w:ind w:left="841" w:hanging="359"/>
        <w:jc w:val="left"/>
        <w:rPr>
          <w:rFonts w:ascii="Verdana" w:hAnsi="Verdana"/>
        </w:rPr>
      </w:pPr>
      <w:r w:rsidRPr="00EC75B7">
        <w:rPr>
          <w:rFonts w:ascii="Verdana" w:hAnsi="Verdana"/>
          <w:spacing w:val="-2"/>
        </w:rPr>
        <w:lastRenderedPageBreak/>
        <w:t>Drought</w:t>
      </w:r>
    </w:p>
    <w:p w14:paraId="49E37B3E" w14:textId="77777777" w:rsidR="008715BE" w:rsidRPr="00EC75B7" w:rsidRDefault="00000000">
      <w:pPr>
        <w:pStyle w:val="BodyText"/>
        <w:spacing w:before="110" w:line="357" w:lineRule="auto"/>
        <w:ind w:left="236" w:right="703" w:hanging="10"/>
        <w:rPr>
          <w:rFonts w:ascii="Verdana" w:hAnsi="Verdana"/>
        </w:rPr>
      </w:pPr>
      <w:r w:rsidRPr="00EC75B7">
        <w:rPr>
          <w:rFonts w:ascii="Verdana" w:hAnsi="Verdana"/>
        </w:rPr>
        <w:t>The concept of drought can be defined as "a deficit of precipitation over a long period of time (usually a season or more), leading to a 'water shortage'.</w:t>
      </w:r>
    </w:p>
    <w:p w14:paraId="36FBD4DD" w14:textId="77777777" w:rsidR="008715BE" w:rsidRPr="00EC75B7" w:rsidRDefault="00000000">
      <w:pPr>
        <w:pStyle w:val="BodyText"/>
        <w:spacing w:before="120"/>
        <w:ind w:left="227"/>
        <w:rPr>
          <w:rFonts w:ascii="Verdana" w:hAnsi="Verdana"/>
        </w:rPr>
      </w:pPr>
      <w:r w:rsidRPr="00EC75B7">
        <w:rPr>
          <w:rFonts w:ascii="Verdana" w:hAnsi="Verdana"/>
        </w:rPr>
        <w:t xml:space="preserve">Several types of drought are classified as </w:t>
      </w:r>
      <w:r w:rsidRPr="00EC75B7">
        <w:rPr>
          <w:rFonts w:ascii="Verdana" w:hAnsi="Verdana"/>
          <w:spacing w:val="-2"/>
        </w:rPr>
        <w:t>follows:</w:t>
      </w:r>
    </w:p>
    <w:p w14:paraId="7621E5DE" w14:textId="77777777" w:rsidR="008715BE" w:rsidRPr="00EC75B7" w:rsidRDefault="008715BE">
      <w:pPr>
        <w:pStyle w:val="BodyText"/>
        <w:spacing w:before="9"/>
        <w:rPr>
          <w:rFonts w:ascii="Verdana" w:hAnsi="Verdana"/>
        </w:rPr>
      </w:pPr>
    </w:p>
    <w:p w14:paraId="0D7C6FB6" w14:textId="77777777" w:rsidR="008715BE" w:rsidRPr="00EC75B7" w:rsidRDefault="00000000">
      <w:pPr>
        <w:pStyle w:val="ListParagraph"/>
        <w:numPr>
          <w:ilvl w:val="4"/>
          <w:numId w:val="33"/>
        </w:numPr>
        <w:tabs>
          <w:tab w:val="left" w:pos="918"/>
        </w:tabs>
        <w:spacing w:before="1" w:line="357" w:lineRule="auto"/>
        <w:ind w:right="710"/>
        <w:jc w:val="both"/>
        <w:rPr>
          <w:rFonts w:ascii="Verdana" w:hAnsi="Verdana"/>
          <w:sz w:val="18"/>
          <w:szCs w:val="18"/>
        </w:rPr>
      </w:pPr>
      <w:r w:rsidRPr="00EC75B7">
        <w:rPr>
          <w:rFonts w:ascii="Verdana" w:hAnsi="Verdana"/>
          <w:i/>
          <w:sz w:val="18"/>
          <w:szCs w:val="18"/>
        </w:rPr>
        <w:t xml:space="preserve">meteorological drought </w:t>
      </w:r>
      <w:r w:rsidRPr="00EC75B7">
        <w:rPr>
          <w:rFonts w:ascii="Verdana" w:hAnsi="Verdana"/>
          <w:sz w:val="18"/>
          <w:szCs w:val="18"/>
        </w:rPr>
        <w:t xml:space="preserve">refers to an extended period of time when there is </w:t>
      </w:r>
      <w:r w:rsidRPr="00EC75B7">
        <w:rPr>
          <w:rFonts w:ascii="Verdana" w:hAnsi="Verdana"/>
          <w:spacing w:val="-2"/>
          <w:sz w:val="18"/>
          <w:szCs w:val="18"/>
        </w:rPr>
        <w:t xml:space="preserve">little </w:t>
      </w:r>
      <w:r w:rsidRPr="00EC75B7">
        <w:rPr>
          <w:rFonts w:ascii="Verdana" w:hAnsi="Verdana"/>
          <w:sz w:val="18"/>
          <w:szCs w:val="18"/>
        </w:rPr>
        <w:t>or no rainfall</w:t>
      </w:r>
      <w:r w:rsidRPr="00EC75B7">
        <w:rPr>
          <w:rFonts w:ascii="Verdana" w:hAnsi="Verdana"/>
          <w:spacing w:val="-2"/>
          <w:sz w:val="18"/>
          <w:szCs w:val="18"/>
        </w:rPr>
        <w:t>;</w:t>
      </w:r>
    </w:p>
    <w:p w14:paraId="79D6488B" w14:textId="77777777" w:rsidR="008715BE" w:rsidRPr="00EC75B7" w:rsidRDefault="00000000">
      <w:pPr>
        <w:pStyle w:val="ListParagraph"/>
        <w:numPr>
          <w:ilvl w:val="4"/>
          <w:numId w:val="33"/>
        </w:numPr>
        <w:tabs>
          <w:tab w:val="left" w:pos="918"/>
        </w:tabs>
        <w:spacing w:line="360" w:lineRule="auto"/>
        <w:ind w:right="715"/>
        <w:jc w:val="both"/>
        <w:rPr>
          <w:rFonts w:ascii="Verdana" w:hAnsi="Verdana"/>
          <w:sz w:val="18"/>
          <w:szCs w:val="18"/>
        </w:rPr>
      </w:pPr>
      <w:r w:rsidRPr="00EC75B7">
        <w:rPr>
          <w:rFonts w:ascii="Verdana" w:hAnsi="Verdana"/>
          <w:i/>
          <w:sz w:val="18"/>
          <w:szCs w:val="18"/>
        </w:rPr>
        <w:t xml:space="preserve">agricultural drought </w:t>
      </w:r>
      <w:r w:rsidRPr="00EC75B7">
        <w:rPr>
          <w:rFonts w:ascii="Verdana" w:hAnsi="Verdana"/>
          <w:sz w:val="18"/>
          <w:szCs w:val="18"/>
        </w:rPr>
        <w:t>occurs when soil moisture levels are low and the water deficit damages or destroys agricultural crops;</w:t>
      </w:r>
    </w:p>
    <w:p w14:paraId="2CA9FBE0" w14:textId="77777777" w:rsidR="008715BE" w:rsidRPr="00EC75B7" w:rsidRDefault="00000000">
      <w:pPr>
        <w:pStyle w:val="ListParagraph"/>
        <w:numPr>
          <w:ilvl w:val="4"/>
          <w:numId w:val="33"/>
        </w:numPr>
        <w:tabs>
          <w:tab w:val="left" w:pos="918"/>
        </w:tabs>
        <w:spacing w:line="357" w:lineRule="auto"/>
        <w:ind w:right="713"/>
        <w:jc w:val="both"/>
        <w:rPr>
          <w:rFonts w:ascii="Verdana" w:hAnsi="Verdana"/>
          <w:sz w:val="18"/>
          <w:szCs w:val="18"/>
        </w:rPr>
      </w:pPr>
      <w:r w:rsidRPr="00EC75B7">
        <w:rPr>
          <w:rFonts w:ascii="Verdana" w:hAnsi="Verdana"/>
          <w:i/>
          <w:sz w:val="18"/>
          <w:szCs w:val="18"/>
        </w:rPr>
        <w:t xml:space="preserve">Hydrological drought </w:t>
      </w:r>
      <w:r w:rsidRPr="00EC75B7">
        <w:rPr>
          <w:rFonts w:ascii="Verdana" w:hAnsi="Verdana"/>
          <w:sz w:val="18"/>
          <w:szCs w:val="18"/>
        </w:rPr>
        <w:t>refers to reduced water supply to rivers, lakes, aquifers, and other reservoirs and usually follows meteorological drought.</w:t>
      </w:r>
    </w:p>
    <w:p w14:paraId="10309220" w14:textId="77777777" w:rsidR="008715BE" w:rsidRPr="00EC75B7" w:rsidRDefault="00000000">
      <w:pPr>
        <w:pStyle w:val="ListParagraph"/>
        <w:numPr>
          <w:ilvl w:val="4"/>
          <w:numId w:val="33"/>
        </w:numPr>
        <w:tabs>
          <w:tab w:val="left" w:pos="918"/>
        </w:tabs>
        <w:spacing w:line="357" w:lineRule="auto"/>
        <w:ind w:right="708"/>
        <w:jc w:val="both"/>
        <w:rPr>
          <w:rFonts w:ascii="Verdana" w:hAnsi="Verdana"/>
          <w:sz w:val="18"/>
          <w:szCs w:val="18"/>
        </w:rPr>
      </w:pPr>
      <w:r w:rsidRPr="00EC75B7">
        <w:rPr>
          <w:rFonts w:ascii="Verdana" w:hAnsi="Verdana"/>
          <w:i/>
          <w:sz w:val="18"/>
          <w:szCs w:val="18"/>
        </w:rPr>
        <w:t xml:space="preserve">ecological drought </w:t>
      </w:r>
      <w:r w:rsidRPr="00EC75B7">
        <w:rPr>
          <w:rFonts w:ascii="Verdana" w:hAnsi="Verdana"/>
          <w:sz w:val="18"/>
          <w:szCs w:val="18"/>
        </w:rPr>
        <w:t>is an episodic deficit in water availability that pushes ecosystems beyond their vulnerability thresholds and triggers reactions in natural and/or human systems, occurring when widespread ecological damage is caused by a lack of soil moisture;</w:t>
      </w:r>
    </w:p>
    <w:p w14:paraId="32628F9F" w14:textId="77777777" w:rsidR="008715BE" w:rsidRPr="00EC75B7" w:rsidRDefault="00000000">
      <w:pPr>
        <w:pStyle w:val="ListParagraph"/>
        <w:numPr>
          <w:ilvl w:val="4"/>
          <w:numId w:val="33"/>
        </w:numPr>
        <w:tabs>
          <w:tab w:val="left" w:pos="918"/>
        </w:tabs>
        <w:spacing w:before="3" w:line="360" w:lineRule="auto"/>
        <w:ind w:right="711"/>
        <w:jc w:val="both"/>
        <w:rPr>
          <w:rFonts w:ascii="Verdana" w:hAnsi="Verdana"/>
          <w:sz w:val="18"/>
          <w:szCs w:val="18"/>
        </w:rPr>
      </w:pPr>
      <w:r w:rsidRPr="00EC75B7">
        <w:rPr>
          <w:rFonts w:ascii="Verdana" w:hAnsi="Verdana"/>
          <w:i/>
          <w:sz w:val="18"/>
          <w:szCs w:val="18"/>
        </w:rPr>
        <w:t xml:space="preserve">Socio-economic drought </w:t>
      </w:r>
      <w:r w:rsidRPr="00EC75B7">
        <w:rPr>
          <w:rFonts w:ascii="Verdana" w:hAnsi="Verdana"/>
          <w:sz w:val="18"/>
          <w:szCs w:val="18"/>
        </w:rPr>
        <w:t>occurs when water supply is reduced or stopped due to a lack of water resources.</w:t>
      </w:r>
    </w:p>
    <w:p w14:paraId="0A2C90DF" w14:textId="77777777" w:rsidR="008715BE" w:rsidRPr="00EC75B7" w:rsidRDefault="00000000">
      <w:pPr>
        <w:pStyle w:val="BodyText"/>
        <w:spacing w:line="357" w:lineRule="auto"/>
        <w:ind w:left="198" w:right="707"/>
        <w:jc w:val="both"/>
        <w:rPr>
          <w:rFonts w:ascii="Verdana" w:hAnsi="Verdana"/>
        </w:rPr>
      </w:pPr>
      <w:r w:rsidRPr="00EC75B7">
        <w:rPr>
          <w:rFonts w:ascii="Verdana" w:hAnsi="Verdana"/>
        </w:rPr>
        <w:t>The analysis of complex drought indicators highlights that the Cerchezu commune area is characterized by a climate prone to recurrent drought episodes, specific to the Dobrogea region. According to the map, the site is predominantly located in areas affected by precipitation deficits and anomalies associated with meteorological and pedological drought, with a potential impact on soil conditions, vegetation, and infrastructure exploitation. Drought is a chronic climate hazard, with a tendency to intensify in the context of climate change.</w:t>
      </w:r>
    </w:p>
    <w:p w14:paraId="6ABE60C6"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24937AC0" w14:textId="17B6F82E" w:rsidR="008715BE" w:rsidRPr="00EC75B7" w:rsidRDefault="009069FA">
      <w:pPr>
        <w:pStyle w:val="BodyText"/>
        <w:spacing w:before="5"/>
        <w:rPr>
          <w:rFonts w:ascii="Verdana" w:hAnsi="Verdana"/>
        </w:rPr>
      </w:pPr>
      <w:r>
        <w:rPr>
          <w:noProof/>
        </w:rPr>
        <w:lastRenderedPageBreak/>
        <w:drawing>
          <wp:inline distT="0" distB="0" distL="0" distR="0" wp14:anchorId="1F8E0B30" wp14:editId="3CCA27A6">
            <wp:extent cx="5295900" cy="3745723"/>
            <wp:effectExtent l="0" t="0" r="0" b="7620"/>
            <wp:docPr id="10075084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300570" cy="3749026"/>
                    </a:xfrm>
                    <a:prstGeom prst="rect">
                      <a:avLst/>
                    </a:prstGeom>
                    <a:noFill/>
                    <a:ln>
                      <a:noFill/>
                    </a:ln>
                  </pic:spPr>
                </pic:pic>
              </a:graphicData>
            </a:graphic>
          </wp:inline>
        </w:drawing>
      </w:r>
    </w:p>
    <w:p w14:paraId="48D8E407" w14:textId="043B7745" w:rsidR="008715BE" w:rsidRPr="00EC75B7" w:rsidRDefault="008715BE">
      <w:pPr>
        <w:ind w:left="199"/>
        <w:rPr>
          <w:rFonts w:ascii="Verdana" w:hAnsi="Verdana"/>
          <w:sz w:val="18"/>
          <w:szCs w:val="18"/>
        </w:rPr>
      </w:pPr>
    </w:p>
    <w:p w14:paraId="43B0B6EF" w14:textId="77777777" w:rsidR="008715BE" w:rsidRPr="00EC75B7" w:rsidRDefault="00000000">
      <w:pPr>
        <w:spacing w:before="158"/>
        <w:ind w:left="198"/>
        <w:jc w:val="both"/>
        <w:rPr>
          <w:rFonts w:ascii="Verdana" w:hAnsi="Verdana"/>
          <w:i/>
          <w:sz w:val="18"/>
          <w:szCs w:val="18"/>
        </w:rPr>
      </w:pPr>
      <w:r w:rsidRPr="00EC75B7">
        <w:rPr>
          <w:rFonts w:ascii="Verdana" w:hAnsi="Verdana"/>
          <w:i/>
          <w:color w:val="00AFEF"/>
          <w:sz w:val="18"/>
          <w:szCs w:val="18"/>
        </w:rPr>
        <w:t xml:space="preserve">Source: Processing after European Drought </w:t>
      </w:r>
      <w:r w:rsidRPr="00EC75B7">
        <w:rPr>
          <w:rFonts w:ascii="Verdana" w:hAnsi="Verdana"/>
          <w:i/>
          <w:color w:val="00AFEF"/>
          <w:spacing w:val="-2"/>
          <w:sz w:val="18"/>
          <w:szCs w:val="18"/>
        </w:rPr>
        <w:t>Observatory</w:t>
      </w:r>
    </w:p>
    <w:p w14:paraId="6D66D938" w14:textId="77777777" w:rsidR="008715BE" w:rsidRPr="00EC75B7" w:rsidRDefault="00000000">
      <w:pPr>
        <w:spacing w:before="170"/>
        <w:ind w:left="283" w:right="507"/>
        <w:jc w:val="center"/>
        <w:rPr>
          <w:rFonts w:ascii="Verdana" w:hAnsi="Verdana"/>
          <w:b/>
          <w:sz w:val="18"/>
          <w:szCs w:val="18"/>
        </w:rPr>
      </w:pPr>
      <w:r w:rsidRPr="00EC75B7">
        <w:rPr>
          <w:rFonts w:ascii="Verdana" w:hAnsi="Verdana"/>
          <w:b/>
          <w:color w:val="009DEF"/>
          <w:sz w:val="18"/>
          <w:szCs w:val="18"/>
        </w:rPr>
        <w:t xml:space="preserve">Figure 55 Map of </w:t>
      </w:r>
      <w:r w:rsidRPr="00EC75B7">
        <w:rPr>
          <w:rFonts w:ascii="Verdana" w:hAnsi="Verdana"/>
          <w:b/>
          <w:color w:val="009DEF"/>
          <w:spacing w:val="-2"/>
          <w:sz w:val="18"/>
          <w:szCs w:val="18"/>
        </w:rPr>
        <w:t xml:space="preserve">drought </w:t>
      </w:r>
      <w:r w:rsidRPr="00EC75B7">
        <w:rPr>
          <w:rFonts w:ascii="Verdana" w:hAnsi="Verdana"/>
          <w:b/>
          <w:color w:val="009DEF"/>
          <w:sz w:val="18"/>
          <w:szCs w:val="18"/>
        </w:rPr>
        <w:t>distribution types</w:t>
      </w:r>
    </w:p>
    <w:p w14:paraId="1DA836DA" w14:textId="77777777" w:rsidR="008715BE" w:rsidRPr="00EC75B7" w:rsidRDefault="008715BE">
      <w:pPr>
        <w:pStyle w:val="BodyText"/>
        <w:rPr>
          <w:rFonts w:ascii="Verdana" w:hAnsi="Verdana"/>
          <w:b/>
        </w:rPr>
      </w:pPr>
    </w:p>
    <w:p w14:paraId="594D0643" w14:textId="77777777" w:rsidR="008715BE" w:rsidRPr="00EC75B7" w:rsidRDefault="008715BE">
      <w:pPr>
        <w:pStyle w:val="BodyText"/>
        <w:spacing w:before="171"/>
        <w:rPr>
          <w:rFonts w:ascii="Verdana" w:hAnsi="Verdana"/>
          <w:b/>
        </w:rPr>
      </w:pPr>
    </w:p>
    <w:p w14:paraId="7AF61399"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rPr>
        <w:t xml:space="preserve">Soil </w:t>
      </w:r>
      <w:r w:rsidRPr="00EC75B7">
        <w:rPr>
          <w:rFonts w:ascii="Verdana" w:hAnsi="Verdana"/>
          <w:spacing w:val="-2"/>
        </w:rPr>
        <w:t xml:space="preserve">erosion/Coastal </w:t>
      </w:r>
      <w:r w:rsidRPr="00EC75B7">
        <w:rPr>
          <w:rFonts w:ascii="Verdana" w:hAnsi="Verdana"/>
        </w:rPr>
        <w:t>erosion</w:t>
      </w:r>
    </w:p>
    <w:p w14:paraId="4D5ADDED" w14:textId="77777777" w:rsidR="008715BE" w:rsidRPr="00EC75B7" w:rsidRDefault="00000000">
      <w:pPr>
        <w:pStyle w:val="BodyText"/>
        <w:spacing w:before="109" w:line="357" w:lineRule="auto"/>
        <w:ind w:left="198" w:right="710"/>
        <w:jc w:val="both"/>
        <w:rPr>
          <w:rFonts w:ascii="Verdana" w:hAnsi="Verdana"/>
        </w:rPr>
      </w:pPr>
      <w:r w:rsidRPr="00EC75B7">
        <w:rPr>
          <w:rFonts w:ascii="Verdana" w:hAnsi="Verdana"/>
        </w:rPr>
        <w:t>The project site is not located in a coastal area. A review of climate change scenarios on the coastal flood risk map and coastal erosion risk map confirms that there is no current or future exposure to coastal and ocean hazards.</w:t>
      </w:r>
    </w:p>
    <w:p w14:paraId="3200A4FD" w14:textId="77777777" w:rsidR="008715BE" w:rsidRPr="00EC75B7" w:rsidRDefault="00000000">
      <w:pPr>
        <w:spacing w:before="122"/>
        <w:ind w:left="198"/>
        <w:jc w:val="both"/>
        <w:rPr>
          <w:rFonts w:ascii="Verdana" w:hAnsi="Verdana"/>
          <w:b/>
          <w:sz w:val="18"/>
          <w:szCs w:val="18"/>
        </w:rPr>
      </w:pPr>
      <w:r w:rsidRPr="00EC75B7">
        <w:rPr>
          <w:rFonts w:ascii="Verdana" w:hAnsi="Verdana"/>
          <w:b/>
          <w:color w:val="009DEF"/>
          <w:spacing w:val="-2"/>
          <w:sz w:val="18"/>
          <w:szCs w:val="18"/>
        </w:rPr>
        <w:t xml:space="preserve">FUTURE </w:t>
      </w:r>
      <w:r w:rsidRPr="00EC75B7">
        <w:rPr>
          <w:rFonts w:ascii="Verdana" w:hAnsi="Verdana"/>
          <w:b/>
          <w:color w:val="009DEF"/>
          <w:sz w:val="18"/>
          <w:szCs w:val="18"/>
        </w:rPr>
        <w:t>EXPOSURE</w:t>
      </w:r>
    </w:p>
    <w:p w14:paraId="5DC65A38" w14:textId="77777777" w:rsidR="008715BE" w:rsidRPr="00EC75B7" w:rsidRDefault="008715BE">
      <w:pPr>
        <w:pStyle w:val="BodyText"/>
        <w:spacing w:before="9"/>
        <w:rPr>
          <w:rFonts w:ascii="Verdana" w:hAnsi="Verdana"/>
          <w:b/>
        </w:rPr>
      </w:pPr>
    </w:p>
    <w:p w14:paraId="1D800E28" w14:textId="77777777" w:rsidR="008715BE" w:rsidRPr="00EC75B7" w:rsidRDefault="00000000">
      <w:pPr>
        <w:pStyle w:val="Heading5"/>
        <w:numPr>
          <w:ilvl w:val="4"/>
          <w:numId w:val="33"/>
        </w:numPr>
        <w:tabs>
          <w:tab w:val="left" w:pos="841"/>
        </w:tabs>
        <w:ind w:left="841" w:hanging="359"/>
        <w:rPr>
          <w:rFonts w:ascii="Verdana" w:hAnsi="Verdana"/>
        </w:rPr>
      </w:pPr>
      <w:r w:rsidRPr="00EC75B7">
        <w:rPr>
          <w:rFonts w:ascii="Verdana" w:hAnsi="Verdana"/>
          <w:spacing w:val="-2"/>
        </w:rPr>
        <w:t>Flooding / Heavy rainfall</w:t>
      </w:r>
    </w:p>
    <w:p w14:paraId="54ABD904" w14:textId="77777777" w:rsidR="008715BE" w:rsidRPr="00EC75B7" w:rsidRDefault="00000000">
      <w:pPr>
        <w:pStyle w:val="BodyText"/>
        <w:spacing w:before="107" w:line="357" w:lineRule="auto"/>
        <w:ind w:left="198" w:right="713"/>
        <w:jc w:val="both"/>
        <w:rPr>
          <w:rFonts w:ascii="Verdana" w:hAnsi="Verdana"/>
        </w:rPr>
      </w:pPr>
      <w:r w:rsidRPr="00EC75B7">
        <w:rPr>
          <w:rFonts w:ascii="Verdana" w:hAnsi="Verdana"/>
        </w:rPr>
        <w:t>In both the RCP 4.5 and RCP 8.5 scenarios, the Cerchezu site remains characterized by low rainfall, specific to Dobrogea. Climate projections indicate that average annual precipitation will remain stable or decrease slightly, with an increase in seasonal variability. From a climate risk perspective, precipitation does not pose a major flood risk, but it contributes to the intensification of chronic risks associated with drought and extreme temperatures.</w:t>
      </w:r>
    </w:p>
    <w:p w14:paraId="5FB1490A" w14:textId="77777777" w:rsidR="008715BE" w:rsidRPr="00EC75B7" w:rsidRDefault="00000000">
      <w:pPr>
        <w:pStyle w:val="Heading5"/>
        <w:numPr>
          <w:ilvl w:val="4"/>
          <w:numId w:val="33"/>
        </w:numPr>
        <w:tabs>
          <w:tab w:val="left" w:pos="841"/>
        </w:tabs>
        <w:spacing w:before="125"/>
        <w:ind w:left="841" w:hanging="359"/>
        <w:rPr>
          <w:rFonts w:ascii="Verdana" w:hAnsi="Verdana"/>
        </w:rPr>
      </w:pPr>
      <w:r w:rsidRPr="00EC75B7">
        <w:rPr>
          <w:rFonts w:ascii="Verdana" w:hAnsi="Verdana"/>
          <w:spacing w:val="-2"/>
        </w:rPr>
        <w:t xml:space="preserve">Vegetation </w:t>
      </w:r>
      <w:r w:rsidRPr="00EC75B7">
        <w:rPr>
          <w:rFonts w:ascii="Verdana" w:hAnsi="Verdana"/>
        </w:rPr>
        <w:t>fire</w:t>
      </w:r>
    </w:p>
    <w:p w14:paraId="2F4BF5A0" w14:textId="77777777" w:rsidR="008715BE" w:rsidRPr="00EC75B7" w:rsidRDefault="00000000">
      <w:pPr>
        <w:pStyle w:val="BodyText"/>
        <w:spacing w:before="109" w:line="357" w:lineRule="auto"/>
        <w:ind w:left="198" w:right="714"/>
        <w:jc w:val="both"/>
        <w:rPr>
          <w:rFonts w:ascii="Verdana" w:hAnsi="Verdana"/>
        </w:rPr>
      </w:pPr>
      <w:r w:rsidRPr="00EC75B7">
        <w:rPr>
          <w:rFonts w:ascii="Verdana" w:hAnsi="Verdana"/>
        </w:rPr>
        <w:t>According to the Fire Weather Index (FWI) developed by the Copernicus Climate Change Service, the Dobrogea region, including the project site, shows an increase in weather conditions favorable to vegetation fires in future climate scenarios.</w:t>
      </w:r>
      <w:r w:rsidRPr="00EC75B7">
        <w:rPr>
          <w:rFonts w:ascii="Verdana" w:hAnsi="Verdana"/>
          <w:spacing w:val="22"/>
        </w:rPr>
        <w:t xml:space="preserve"> </w:t>
      </w:r>
      <w:r w:rsidRPr="00EC75B7">
        <w:rPr>
          <w:rFonts w:ascii="Verdana" w:hAnsi="Verdana"/>
        </w:rPr>
        <w:t>In the RCP 4.5 scenario, the risk is assessed as moderate, and in the RCP 8.5 scenario, these conditions are expected to intensify. However, in the absence of extensive forest vegetation, potential fires are predominantly small in scale, associated with low vegetation, with the overall risk assessed as low to moderate.</w:t>
      </w:r>
    </w:p>
    <w:p w14:paraId="101AD1AC"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6FEA5F17" w14:textId="77777777" w:rsidR="008715BE" w:rsidRPr="00EC75B7" w:rsidRDefault="00000000">
      <w:pPr>
        <w:pStyle w:val="Heading5"/>
        <w:numPr>
          <w:ilvl w:val="4"/>
          <w:numId w:val="33"/>
        </w:numPr>
        <w:tabs>
          <w:tab w:val="left" w:pos="841"/>
        </w:tabs>
        <w:spacing w:before="99"/>
        <w:ind w:left="841" w:hanging="359"/>
        <w:rPr>
          <w:rFonts w:ascii="Verdana" w:hAnsi="Verdana"/>
        </w:rPr>
      </w:pPr>
      <w:r w:rsidRPr="00EC75B7">
        <w:rPr>
          <w:rFonts w:ascii="Verdana" w:hAnsi="Verdana"/>
          <w:spacing w:val="-4"/>
        </w:rPr>
        <w:lastRenderedPageBreak/>
        <w:t xml:space="preserve">Cold </w:t>
      </w:r>
      <w:r w:rsidRPr="00EC75B7">
        <w:rPr>
          <w:rFonts w:ascii="Verdana" w:hAnsi="Verdana"/>
        </w:rPr>
        <w:t>wave</w:t>
      </w:r>
    </w:p>
    <w:p w14:paraId="0D4EEA9F" w14:textId="77777777" w:rsidR="008715BE" w:rsidRPr="00EC75B7" w:rsidRDefault="00000000">
      <w:pPr>
        <w:pStyle w:val="BodyText"/>
        <w:spacing w:before="110" w:line="357" w:lineRule="auto"/>
        <w:ind w:left="198" w:right="704"/>
        <w:jc w:val="both"/>
        <w:rPr>
          <w:rFonts w:ascii="Verdana" w:hAnsi="Verdana"/>
        </w:rPr>
      </w:pPr>
      <w:r w:rsidRPr="00EC75B7">
        <w:rPr>
          <w:rFonts w:ascii="Verdana" w:hAnsi="Verdana"/>
        </w:rPr>
        <w:t>According to RoADAPT data on the duration of cold spells for the RCP 4.5 climate scenario (2041–2070), the Cerchezu site is located in an area characterized by a relatively short duration of extreme cold spells compared to the central and northern regions of Romania. Projections indicate a decreasing trend in the frequency and duration of cold waves in the south-east of the country, suggesting a low acute climate risk with limited and temporary impact on the project's infrastructure and operation.</w:t>
      </w:r>
    </w:p>
    <w:p w14:paraId="278B9394" w14:textId="77777777" w:rsidR="008715BE" w:rsidRPr="00EC75B7" w:rsidRDefault="00000000">
      <w:pPr>
        <w:pStyle w:val="BodyText"/>
        <w:spacing w:before="122" w:line="357" w:lineRule="auto"/>
        <w:ind w:left="198" w:right="714"/>
        <w:jc w:val="both"/>
        <w:rPr>
          <w:rFonts w:ascii="Verdana" w:hAnsi="Verdana"/>
        </w:rPr>
      </w:pPr>
      <w:r w:rsidRPr="00EC75B7">
        <w:rPr>
          <w:rFonts w:ascii="Verdana" w:hAnsi="Verdana"/>
        </w:rPr>
        <w:t>For the RCP 8.5 scenario (2071–2100), the data indicate a general trend of decreasing frequency and duration of cold spells in the south-east of the country, including Dobrogea, as a result of long-term increases in average temperatures. From a climate risk perspective, cold spells represent an acute climate hazard with low probability and limited impact on the infrastructure and operation of the project.</w:t>
      </w:r>
    </w:p>
    <w:p w14:paraId="30A968FC"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992" w:header="766" w:footer="800" w:gutter="0"/>
          <w:cols w:space="708"/>
        </w:sectPr>
      </w:pPr>
    </w:p>
    <w:p w14:paraId="6E2D6BAD" w14:textId="77777777" w:rsidR="008715BE" w:rsidRPr="00EC75B7" w:rsidRDefault="00000000">
      <w:pPr>
        <w:spacing w:before="93" w:line="264" w:lineRule="auto"/>
        <w:ind w:left="2" w:firstLine="994"/>
        <w:rPr>
          <w:rFonts w:ascii="Verdana" w:hAnsi="Verdana"/>
          <w:b/>
          <w:sz w:val="18"/>
          <w:szCs w:val="18"/>
        </w:rPr>
      </w:pPr>
      <w:r w:rsidRPr="00EC75B7">
        <w:rPr>
          <w:rFonts w:ascii="Verdana" w:hAnsi="Verdana"/>
          <w:b/>
          <w:noProof/>
          <w:sz w:val="18"/>
          <w:szCs w:val="18"/>
        </w:rPr>
        <w:lastRenderedPageBreak/>
        <w:drawing>
          <wp:anchor distT="0" distB="0" distL="0" distR="0" simplePos="0" relativeHeight="251711488" behindDoc="1" locked="0" layoutInCell="1" allowOverlap="1" wp14:anchorId="2C5A5B51" wp14:editId="216E0FB7">
            <wp:simplePos x="0" y="0"/>
            <wp:positionH relativeFrom="page">
              <wp:posOffset>540384</wp:posOffset>
            </wp:positionH>
            <wp:positionV relativeFrom="paragraph">
              <wp:posOffset>-253</wp:posOffset>
            </wp:positionV>
            <wp:extent cx="651078" cy="177800"/>
            <wp:effectExtent l="0" t="0" r="0" b="0"/>
            <wp:wrapNone/>
            <wp:docPr id="516" name="Image 516"/>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noProof/>
          <w:sz w:val="18"/>
          <w:szCs w:val="18"/>
        </w:rPr>
        <w:drawing>
          <wp:anchor distT="0" distB="0" distL="0" distR="0" simplePos="0" relativeHeight="251669504" behindDoc="0" locked="0" layoutInCell="1" allowOverlap="1" wp14:anchorId="165D986E" wp14:editId="1FAD693D">
            <wp:simplePos x="0" y="0"/>
            <wp:positionH relativeFrom="page">
              <wp:posOffset>1340194</wp:posOffset>
            </wp:positionH>
            <wp:positionV relativeFrom="page">
              <wp:posOffset>1431276</wp:posOffset>
            </wp:positionV>
            <wp:extent cx="7343430" cy="6076312"/>
            <wp:effectExtent l="0" t="0" r="0" b="0"/>
            <wp:wrapNone/>
            <wp:docPr id="517" name="Image 517"/>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239" cstate="print"/>
                    <a:stretch>
                      <a:fillRect/>
                    </a:stretch>
                  </pic:blipFill>
                  <pic:spPr>
                    <a:xfrm>
                      <a:off x="0" y="0"/>
                      <a:ext cx="7343430" cy="6076312"/>
                    </a:xfrm>
                    <a:prstGeom prst="rect">
                      <a:avLst/>
                    </a:prstGeom>
                  </pic:spPr>
                </pic:pic>
              </a:graphicData>
            </a:graphic>
          </wp:anchor>
        </w:drawing>
      </w:r>
      <w:r w:rsidRPr="00EC75B7">
        <w:rPr>
          <w:rFonts w:ascii="Verdana" w:hAnsi="Verdana"/>
          <w:b/>
          <w:color w:val="D0CFC2"/>
          <w:sz w:val="18"/>
          <w:szCs w:val="18"/>
        </w:rPr>
        <w:t>Environmental impact report for Wind Farm 48 (46) wind turbines approx. 316.8MW (303.6MW), transformer stations, connection grids, construction and modernization of communication and access roads</w:t>
      </w:r>
    </w:p>
    <w:p w14:paraId="5F88CDC6" w14:textId="77777777" w:rsidR="008715BE" w:rsidRPr="00EC75B7" w:rsidRDefault="008715BE">
      <w:pPr>
        <w:pStyle w:val="BodyText"/>
        <w:rPr>
          <w:rFonts w:ascii="Verdana" w:hAnsi="Verdana"/>
          <w:b/>
        </w:rPr>
      </w:pPr>
    </w:p>
    <w:p w14:paraId="1E4AFD92" w14:textId="77777777" w:rsidR="008715BE" w:rsidRPr="00EC75B7" w:rsidRDefault="008715BE">
      <w:pPr>
        <w:pStyle w:val="BodyText"/>
        <w:spacing w:before="33"/>
        <w:rPr>
          <w:rFonts w:ascii="Verdana" w:hAnsi="Verdana"/>
          <w:b/>
        </w:rPr>
      </w:pPr>
    </w:p>
    <w:p w14:paraId="3DEE9F4F" w14:textId="77777777" w:rsidR="008715BE" w:rsidRPr="00EC75B7" w:rsidRDefault="00000000">
      <w:pPr>
        <w:tabs>
          <w:tab w:val="left" w:leader="dot" w:pos="8631"/>
        </w:tabs>
        <w:ind w:left="1514"/>
        <w:rPr>
          <w:rFonts w:ascii="Verdana" w:hAnsi="Verdana"/>
          <w:b/>
          <w:sz w:val="18"/>
          <w:szCs w:val="18"/>
        </w:rPr>
      </w:pPr>
      <w:r w:rsidRPr="00EC75B7">
        <w:rPr>
          <w:rFonts w:ascii="Verdana" w:hAnsi="Verdana"/>
          <w:b/>
          <w:color w:val="009DEF"/>
          <w:sz w:val="18"/>
          <w:szCs w:val="18"/>
        </w:rPr>
        <w:t xml:space="preserve">Figure 56 Duration of cold spells TN10p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r w:rsidRPr="00EC75B7">
        <w:rPr>
          <w:rFonts w:ascii="Verdana" w:hAnsi="Verdana"/>
          <w:b/>
          <w:color w:val="009DEF"/>
          <w:spacing w:val="-2"/>
          <w:sz w:val="18"/>
          <w:szCs w:val="18"/>
        </w:rPr>
        <w:t>...................</w:t>
      </w:r>
      <w:r w:rsidRPr="00EC75B7">
        <w:rPr>
          <w:rFonts w:ascii="Verdana" w:hAnsi="Verdana"/>
          <w:b/>
          <w:color w:val="009DEF"/>
          <w:sz w:val="18"/>
          <w:szCs w:val="18"/>
        </w:rPr>
        <w:tab/>
        <w:t xml:space="preserve">Figure 57 Duration of cold spells TN10p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p>
    <w:p w14:paraId="0662684E" w14:textId="77777777" w:rsidR="008715BE" w:rsidRPr="00EC75B7" w:rsidRDefault="008715BE">
      <w:pPr>
        <w:pStyle w:val="BodyText"/>
        <w:spacing w:before="64"/>
        <w:rPr>
          <w:rFonts w:ascii="Verdana" w:hAnsi="Verdana"/>
          <w:b/>
        </w:rPr>
      </w:pPr>
    </w:p>
    <w:p w14:paraId="08481A35" w14:textId="77777777" w:rsidR="008715BE" w:rsidRPr="00EC75B7" w:rsidRDefault="00000000">
      <w:pPr>
        <w:ind w:right="283"/>
        <w:jc w:val="center"/>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2"/>
          <w:sz w:val="18"/>
          <w:szCs w:val="18"/>
        </w:rPr>
        <w:t xml:space="preserve">ROADAPT </w:t>
      </w:r>
      <w:r w:rsidRPr="00EC75B7">
        <w:rPr>
          <w:rFonts w:ascii="Verdana" w:hAnsi="Verdana"/>
          <w:i/>
          <w:color w:val="009DEF"/>
          <w:sz w:val="18"/>
          <w:szCs w:val="18"/>
        </w:rPr>
        <w:t>platform</w:t>
      </w:r>
    </w:p>
    <w:p w14:paraId="51221AA0" w14:textId="77777777" w:rsidR="008715BE" w:rsidRPr="00EC75B7" w:rsidRDefault="008715BE">
      <w:pPr>
        <w:jc w:val="center"/>
        <w:rPr>
          <w:rFonts w:ascii="Verdana" w:hAnsi="Verdana"/>
          <w:i/>
          <w:sz w:val="18"/>
          <w:szCs w:val="18"/>
        </w:rPr>
        <w:sectPr w:rsidR="008715BE" w:rsidRPr="00EC75B7">
          <w:headerReference w:type="default" r:id="rId240"/>
          <w:footerReference w:type="default" r:id="rId241"/>
          <w:pgSz w:w="16840" w:h="11910" w:orient="landscape"/>
          <w:pgMar w:top="760" w:right="1133" w:bottom="1020" w:left="850" w:header="0" w:footer="824" w:gutter="0"/>
          <w:cols w:space="708"/>
        </w:sectPr>
      </w:pPr>
    </w:p>
    <w:p w14:paraId="24644EE2" w14:textId="77777777" w:rsidR="008715BE" w:rsidRPr="00EC75B7" w:rsidRDefault="00000000">
      <w:pPr>
        <w:spacing w:before="101"/>
        <w:ind w:left="1051"/>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0528" behindDoc="0" locked="0" layoutInCell="1" allowOverlap="1" wp14:anchorId="5AAB0241" wp14:editId="6D82612F">
            <wp:simplePos x="0" y="0"/>
            <wp:positionH relativeFrom="page">
              <wp:posOffset>756284</wp:posOffset>
            </wp:positionH>
            <wp:positionV relativeFrom="paragraph">
              <wp:posOffset>4825</wp:posOffset>
            </wp:positionV>
            <wp:extent cx="651078" cy="177800"/>
            <wp:effectExtent l="0" t="0" r="0" b="0"/>
            <wp:wrapNone/>
            <wp:docPr id="519" name="Image 519"/>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 xml:space="preserve">Environmental impact report for Wind Farm 48 (46) wind turbines approx. 316.8MW (303.6MW), </w:t>
      </w:r>
      <w:r w:rsidRPr="00EC75B7">
        <w:rPr>
          <w:rFonts w:ascii="Verdana" w:hAnsi="Verdana"/>
          <w:b/>
          <w:color w:val="D0CFC2"/>
          <w:spacing w:val="-5"/>
          <w:sz w:val="18"/>
          <w:szCs w:val="18"/>
        </w:rPr>
        <w:t>substations</w:t>
      </w:r>
    </w:p>
    <w:p w14:paraId="3732F703" w14:textId="77777777" w:rsidR="008715BE" w:rsidRPr="00EC75B7" w:rsidRDefault="00000000">
      <w:pPr>
        <w:spacing w:before="15"/>
        <w:ind w:left="57"/>
        <w:rPr>
          <w:rFonts w:ascii="Verdana" w:hAnsi="Verdana"/>
          <w:b/>
          <w:sz w:val="18"/>
          <w:szCs w:val="18"/>
        </w:rPr>
      </w:pPr>
      <w:r w:rsidRPr="00EC75B7">
        <w:rPr>
          <w:rFonts w:ascii="Verdana" w:hAnsi="Verdana"/>
          <w:b/>
          <w:color w:val="D0CFC2"/>
          <w:sz w:val="18"/>
          <w:szCs w:val="18"/>
        </w:rPr>
        <w:t xml:space="preserve">Transformer stations, Electrical connection networks, Construction and modernization of communication and </w:t>
      </w:r>
      <w:r w:rsidRPr="00EC75B7">
        <w:rPr>
          <w:rFonts w:ascii="Verdana" w:hAnsi="Verdana"/>
          <w:b/>
          <w:color w:val="D0CFC2"/>
          <w:spacing w:val="-4"/>
          <w:sz w:val="18"/>
          <w:szCs w:val="18"/>
        </w:rPr>
        <w:t xml:space="preserve">access </w:t>
      </w:r>
      <w:r w:rsidRPr="00EC75B7">
        <w:rPr>
          <w:rFonts w:ascii="Verdana" w:hAnsi="Verdana"/>
          <w:b/>
          <w:color w:val="D0CFC2"/>
          <w:sz w:val="18"/>
          <w:szCs w:val="18"/>
        </w:rPr>
        <w:t>routes</w:t>
      </w:r>
    </w:p>
    <w:p w14:paraId="393B0FCC" w14:textId="77777777" w:rsidR="008715BE" w:rsidRPr="00EC75B7" w:rsidRDefault="008715BE">
      <w:pPr>
        <w:pStyle w:val="BodyText"/>
        <w:rPr>
          <w:rFonts w:ascii="Verdana" w:hAnsi="Verdana"/>
          <w:b/>
        </w:rPr>
      </w:pPr>
    </w:p>
    <w:p w14:paraId="29D9D98E" w14:textId="77777777" w:rsidR="008715BE" w:rsidRPr="00EC75B7" w:rsidRDefault="008715BE">
      <w:pPr>
        <w:pStyle w:val="BodyText"/>
        <w:rPr>
          <w:rFonts w:ascii="Verdana" w:hAnsi="Verdana"/>
          <w:b/>
        </w:rPr>
      </w:pPr>
    </w:p>
    <w:p w14:paraId="257BEB43" w14:textId="77777777" w:rsidR="008715BE" w:rsidRPr="00EC75B7" w:rsidRDefault="008715BE">
      <w:pPr>
        <w:pStyle w:val="BodyText"/>
        <w:spacing w:before="188"/>
        <w:rPr>
          <w:rFonts w:ascii="Verdana" w:hAnsi="Verdana"/>
          <w:b/>
        </w:rPr>
      </w:pPr>
    </w:p>
    <w:p w14:paraId="1DFD388B" w14:textId="77777777" w:rsidR="008715BE" w:rsidRPr="00EC75B7" w:rsidRDefault="00000000">
      <w:pPr>
        <w:pStyle w:val="Heading5"/>
        <w:numPr>
          <w:ilvl w:val="0"/>
          <w:numId w:val="32"/>
        </w:numPr>
        <w:tabs>
          <w:tab w:val="left" w:pos="700"/>
        </w:tabs>
        <w:spacing w:before="1"/>
        <w:ind w:left="700" w:hanging="359"/>
        <w:rPr>
          <w:rFonts w:ascii="Verdana" w:hAnsi="Verdana"/>
        </w:rPr>
      </w:pPr>
      <w:r w:rsidRPr="00EC75B7">
        <w:rPr>
          <w:rFonts w:ascii="Verdana" w:hAnsi="Verdana"/>
        </w:rPr>
        <w:t xml:space="preserve">Extreme wind (including storms, lightning, hurricanes, </w:t>
      </w:r>
      <w:r w:rsidRPr="00EC75B7">
        <w:rPr>
          <w:rFonts w:ascii="Verdana" w:hAnsi="Verdana"/>
          <w:spacing w:val="-2"/>
        </w:rPr>
        <w:t>tornadoes)</w:t>
      </w:r>
    </w:p>
    <w:p w14:paraId="166EDFC0" w14:textId="77777777" w:rsidR="008715BE" w:rsidRPr="00EC75B7" w:rsidRDefault="00000000">
      <w:pPr>
        <w:pStyle w:val="BodyText"/>
        <w:spacing w:before="109" w:line="357" w:lineRule="auto"/>
        <w:ind w:left="57" w:right="139"/>
        <w:jc w:val="both"/>
        <w:rPr>
          <w:rFonts w:ascii="Verdana" w:hAnsi="Verdana"/>
        </w:rPr>
      </w:pPr>
      <w:r w:rsidRPr="00EC75B7">
        <w:rPr>
          <w:rFonts w:ascii="Verdana" w:hAnsi="Verdana"/>
        </w:rPr>
        <w:t>According to the maximum wind speed map for the RCP 4.5 climate scenario (2041–2070), the site in Cerchezu commune is located in an area characterized by moderate annual maximum wind speeds, estimated at approximately 10.0–11.0 m/s.</w:t>
      </w:r>
      <w:r w:rsidRPr="00EC75B7">
        <w:rPr>
          <w:rFonts w:ascii="Verdana" w:hAnsi="Verdana"/>
          <w:spacing w:val="16"/>
        </w:rPr>
        <w:t xml:space="preserve"> </w:t>
      </w:r>
      <w:r w:rsidRPr="00EC75B7">
        <w:rPr>
          <w:rFonts w:ascii="Verdana" w:hAnsi="Verdana"/>
        </w:rPr>
        <w:t>These values are specific to the Dobrogea region and do not indicate a significant intensification of extreme wind phenomena compared to other regions of the country.</w:t>
      </w:r>
    </w:p>
    <w:p w14:paraId="368A8585" w14:textId="77777777" w:rsidR="008715BE" w:rsidRPr="00EC75B7" w:rsidRDefault="00000000">
      <w:pPr>
        <w:pStyle w:val="BodyText"/>
        <w:spacing w:before="123" w:line="357" w:lineRule="auto"/>
        <w:ind w:left="57" w:right="139"/>
        <w:jc w:val="both"/>
        <w:rPr>
          <w:rFonts w:ascii="Verdana" w:hAnsi="Verdana"/>
        </w:rPr>
      </w:pPr>
      <w:r w:rsidRPr="00EC75B7">
        <w:rPr>
          <w:rFonts w:ascii="Verdana" w:hAnsi="Verdana"/>
        </w:rPr>
        <w:t xml:space="preserve">According to the maximum wind speed map for the RCP 8.5 climate scenario (2071–2100), the site in Cerchezu commune is located in an area characterized by estimated maximum annual wind speeds of approximately 10.5–11.5 m/s. Compared to the RCP 4.5 scenario, there is a slight increase in maximum values, but without the occurrence of pronounced extremes or local concentrations of </w:t>
      </w:r>
      <w:r w:rsidRPr="00EC75B7">
        <w:rPr>
          <w:rFonts w:ascii="Verdana" w:hAnsi="Verdana"/>
          <w:spacing w:val="-2"/>
        </w:rPr>
        <w:t>high</w:t>
      </w:r>
      <w:r w:rsidRPr="00EC75B7">
        <w:rPr>
          <w:rFonts w:ascii="Verdana" w:hAnsi="Verdana"/>
        </w:rPr>
        <w:t xml:space="preserve"> intensity</w:t>
      </w:r>
      <w:r w:rsidRPr="00EC75B7">
        <w:rPr>
          <w:rFonts w:ascii="Verdana" w:hAnsi="Verdana"/>
          <w:spacing w:val="-2"/>
        </w:rPr>
        <w:t>.</w:t>
      </w:r>
    </w:p>
    <w:p w14:paraId="7B30FEB4" w14:textId="77777777" w:rsidR="008715BE" w:rsidRPr="00EC75B7" w:rsidRDefault="00000000">
      <w:pPr>
        <w:pStyle w:val="BodyText"/>
        <w:spacing w:before="123" w:line="360" w:lineRule="auto"/>
        <w:ind w:left="57" w:right="138"/>
        <w:jc w:val="both"/>
        <w:rPr>
          <w:rFonts w:ascii="Verdana" w:hAnsi="Verdana"/>
        </w:rPr>
      </w:pPr>
      <w:r w:rsidRPr="00EC75B7">
        <w:rPr>
          <w:rFonts w:ascii="Verdana" w:hAnsi="Verdana"/>
        </w:rPr>
        <w:t>In terms of the number of tornadoes in the project area, there are between 0.1 and 0.25 tornadoes per year.</w:t>
      </w:r>
    </w:p>
    <w:p w14:paraId="21A832DB" w14:textId="77777777" w:rsidR="008715BE" w:rsidRPr="00EC75B7" w:rsidRDefault="00000000">
      <w:pPr>
        <w:pStyle w:val="Heading5"/>
        <w:numPr>
          <w:ilvl w:val="0"/>
          <w:numId w:val="32"/>
        </w:numPr>
        <w:tabs>
          <w:tab w:val="left" w:pos="700"/>
        </w:tabs>
        <w:spacing w:before="118"/>
        <w:ind w:left="700" w:hanging="359"/>
        <w:rPr>
          <w:rFonts w:ascii="Verdana" w:hAnsi="Verdana"/>
        </w:rPr>
      </w:pPr>
      <w:r w:rsidRPr="00EC75B7">
        <w:rPr>
          <w:rFonts w:ascii="Verdana" w:hAnsi="Verdana"/>
        </w:rPr>
        <w:t xml:space="preserve">Change in </w:t>
      </w:r>
      <w:r w:rsidRPr="00EC75B7">
        <w:rPr>
          <w:rFonts w:ascii="Verdana" w:hAnsi="Verdana"/>
          <w:spacing w:val="-4"/>
        </w:rPr>
        <w:t xml:space="preserve">wind </w:t>
      </w:r>
      <w:r w:rsidRPr="00EC75B7">
        <w:rPr>
          <w:rFonts w:ascii="Verdana" w:hAnsi="Verdana"/>
        </w:rPr>
        <w:t>patterns</w:t>
      </w:r>
    </w:p>
    <w:p w14:paraId="4CB3D1F3" w14:textId="77777777" w:rsidR="008715BE" w:rsidRPr="00EC75B7" w:rsidRDefault="00000000">
      <w:pPr>
        <w:pStyle w:val="BodyText"/>
        <w:spacing w:before="107" w:line="357" w:lineRule="auto"/>
        <w:ind w:left="57" w:right="138"/>
        <w:jc w:val="both"/>
        <w:rPr>
          <w:rFonts w:ascii="Verdana" w:hAnsi="Verdana"/>
        </w:rPr>
      </w:pPr>
      <w:r w:rsidRPr="00EC75B7">
        <w:rPr>
          <w:rFonts w:ascii="Verdana" w:hAnsi="Verdana"/>
        </w:rPr>
        <w:t>According to the average wind speed map for the RCP 4.5 climate scenario, the Cerchezu site is located in an area characterized by moderate average annual wind speeds, typical of the Dobrogea region.</w:t>
      </w:r>
      <w:r w:rsidRPr="00EC75B7">
        <w:rPr>
          <w:rFonts w:ascii="Verdana" w:hAnsi="Verdana"/>
          <w:spacing w:val="40"/>
        </w:rPr>
        <w:t xml:space="preserve"> </w:t>
      </w:r>
      <w:r w:rsidRPr="00EC75B7">
        <w:rPr>
          <w:rFonts w:ascii="Verdana" w:hAnsi="Verdana"/>
        </w:rPr>
        <w:t>In the RCP 4.5 climate scenario, the Cerchezu site is characterized by moderate average wind speeds, with no indications of a significant increase in the frequency or intensity of extreme wind phenomena. The estimated values are in the range of approximately 4.0–4.5 m/s, which is higher than the national average and confirms the maintenance of a favorable wind regime.</w:t>
      </w:r>
    </w:p>
    <w:p w14:paraId="298A41AD" w14:textId="77777777" w:rsidR="008715BE" w:rsidRPr="00EC75B7" w:rsidRDefault="00000000">
      <w:pPr>
        <w:pStyle w:val="BodyText"/>
        <w:spacing w:before="126" w:line="357" w:lineRule="auto"/>
        <w:ind w:left="57" w:right="143"/>
        <w:jc w:val="both"/>
        <w:rPr>
          <w:rFonts w:ascii="Verdana" w:hAnsi="Verdana"/>
        </w:rPr>
      </w:pPr>
      <w:r w:rsidRPr="00EC75B7">
        <w:rPr>
          <w:rFonts w:ascii="Verdana" w:hAnsi="Verdana"/>
        </w:rPr>
        <w:t xml:space="preserve">In the RCP 8.5 scenario, the Cerchezu site maintains a relatively stable average wind speed regime, with moderate to high values (4.0–4.5 m/s), specific to Dobrogea. The projected changes in wind patterns do not indicate significant climate risks to infrastructure integrity, being classified as a </w:t>
      </w:r>
      <w:r w:rsidRPr="00EC75B7">
        <w:rPr>
          <w:rFonts w:ascii="Verdana" w:hAnsi="Verdana"/>
          <w:spacing w:val="-2"/>
        </w:rPr>
        <w:t>manageable</w:t>
      </w:r>
      <w:r w:rsidRPr="00EC75B7">
        <w:rPr>
          <w:rFonts w:ascii="Verdana" w:hAnsi="Verdana"/>
        </w:rPr>
        <w:t xml:space="preserve"> chronic risk</w:t>
      </w:r>
      <w:r w:rsidRPr="00EC75B7">
        <w:rPr>
          <w:rFonts w:ascii="Verdana" w:hAnsi="Verdana"/>
          <w:spacing w:val="-2"/>
        </w:rPr>
        <w:t>.</w:t>
      </w:r>
    </w:p>
    <w:p w14:paraId="380660FD" w14:textId="77777777" w:rsidR="008715BE" w:rsidRPr="00EC75B7" w:rsidRDefault="008715BE">
      <w:pPr>
        <w:pStyle w:val="BodyText"/>
        <w:spacing w:line="357" w:lineRule="auto"/>
        <w:jc w:val="both"/>
        <w:rPr>
          <w:rFonts w:ascii="Verdana" w:hAnsi="Verdana"/>
        </w:rPr>
        <w:sectPr w:rsidR="008715BE" w:rsidRPr="00EC75B7">
          <w:headerReference w:type="default" r:id="rId242"/>
          <w:footerReference w:type="default" r:id="rId243"/>
          <w:pgSz w:w="11910" w:h="16840"/>
          <w:pgMar w:top="740" w:right="850" w:bottom="1020" w:left="1133" w:header="0" w:footer="824" w:gutter="0"/>
          <w:cols w:space="708"/>
        </w:sectPr>
      </w:pPr>
    </w:p>
    <w:p w14:paraId="67C3AD43" w14:textId="3C0FC5FD" w:rsidR="008715BE" w:rsidRPr="00EC75B7" w:rsidRDefault="00000000">
      <w:pPr>
        <w:tabs>
          <w:tab w:val="left" w:pos="5753"/>
          <w:tab w:val="left" w:leader="dot" w:pos="7408"/>
        </w:tabs>
        <w:spacing w:before="138"/>
        <w:ind w:left="66"/>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1552" behindDoc="0" locked="0" layoutInCell="1" allowOverlap="1" wp14:anchorId="3DD745A8" wp14:editId="069801FF">
            <wp:simplePos x="0" y="0"/>
            <wp:positionH relativeFrom="page">
              <wp:posOffset>880375</wp:posOffset>
            </wp:positionH>
            <wp:positionV relativeFrom="page">
              <wp:posOffset>1558286</wp:posOffset>
            </wp:positionV>
            <wp:extent cx="8273149" cy="6002274"/>
            <wp:effectExtent l="0" t="0" r="0" b="0"/>
            <wp:wrapNone/>
            <wp:docPr id="523" name="Image 523"/>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44" cstate="print"/>
                    <a:stretch>
                      <a:fillRect/>
                    </a:stretch>
                  </pic:blipFill>
                  <pic:spPr>
                    <a:xfrm>
                      <a:off x="0" y="0"/>
                      <a:ext cx="8273149" cy="6002274"/>
                    </a:xfrm>
                    <a:prstGeom prst="rect">
                      <a:avLst/>
                    </a:prstGeom>
                  </pic:spPr>
                </pic:pic>
              </a:graphicData>
            </a:graphic>
          </wp:anchor>
        </w:drawing>
      </w:r>
      <w:r w:rsidRPr="00EC75B7">
        <w:rPr>
          <w:rFonts w:ascii="Verdana" w:hAnsi="Verdana"/>
          <w:b/>
          <w:color w:val="009DEF"/>
          <w:sz w:val="18"/>
          <w:szCs w:val="18"/>
        </w:rPr>
        <w:t xml:space="preserve">Figure no. 58 Maximum wind speed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r w:rsidRPr="00EC75B7">
        <w:rPr>
          <w:rFonts w:ascii="Verdana" w:hAnsi="Verdana"/>
          <w:b/>
          <w:color w:val="009DEF"/>
          <w:sz w:val="18"/>
          <w:szCs w:val="18"/>
        </w:rPr>
        <w:tab/>
        <w:t xml:space="preserve">Figure 59 Maximum wind speed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p>
    <w:p w14:paraId="58DADDFF" w14:textId="77777777" w:rsidR="008715BE" w:rsidRPr="00EC75B7" w:rsidRDefault="008715BE">
      <w:pPr>
        <w:pStyle w:val="BodyText"/>
        <w:spacing w:before="32"/>
        <w:rPr>
          <w:rFonts w:ascii="Verdana" w:hAnsi="Verdana"/>
          <w:b/>
        </w:rPr>
      </w:pPr>
    </w:p>
    <w:p w14:paraId="5F8366BD" w14:textId="77777777" w:rsidR="008715BE" w:rsidRPr="00EC75B7" w:rsidRDefault="00000000">
      <w:pPr>
        <w:ind w:right="424"/>
        <w:jc w:val="center"/>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2"/>
          <w:sz w:val="18"/>
          <w:szCs w:val="18"/>
        </w:rPr>
        <w:t xml:space="preserve">ROADAPT </w:t>
      </w:r>
      <w:r w:rsidRPr="00EC75B7">
        <w:rPr>
          <w:rFonts w:ascii="Verdana" w:hAnsi="Verdana"/>
          <w:i/>
          <w:color w:val="009DEF"/>
          <w:sz w:val="18"/>
          <w:szCs w:val="18"/>
        </w:rPr>
        <w:t>platform</w:t>
      </w:r>
    </w:p>
    <w:p w14:paraId="4F09381A" w14:textId="77777777" w:rsidR="008715BE" w:rsidRPr="00EC75B7" w:rsidRDefault="008715BE">
      <w:pPr>
        <w:jc w:val="center"/>
        <w:rPr>
          <w:rFonts w:ascii="Verdana" w:hAnsi="Verdana"/>
          <w:i/>
          <w:sz w:val="18"/>
          <w:szCs w:val="18"/>
        </w:rPr>
        <w:sectPr w:rsidR="008715BE" w:rsidRPr="00EC75B7">
          <w:headerReference w:type="default" r:id="rId245"/>
          <w:footerReference w:type="default" r:id="rId246"/>
          <w:pgSz w:w="16840" w:h="11910" w:orient="landscape"/>
          <w:pgMar w:top="1400" w:right="2409" w:bottom="1020" w:left="2267" w:header="766" w:footer="824" w:gutter="0"/>
          <w:pgNumType w:start="245"/>
          <w:cols w:space="708"/>
        </w:sectPr>
      </w:pPr>
    </w:p>
    <w:p w14:paraId="2FBA1650" w14:textId="442B4D8E" w:rsidR="008715BE" w:rsidRPr="00EC75B7" w:rsidRDefault="00000000">
      <w:pPr>
        <w:tabs>
          <w:tab w:val="left" w:pos="5753"/>
          <w:tab w:val="left" w:leader="dot" w:pos="7406"/>
        </w:tabs>
        <w:spacing w:before="138"/>
        <w:ind w:left="210"/>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2576" behindDoc="0" locked="0" layoutInCell="1" allowOverlap="1" wp14:anchorId="10913D73" wp14:editId="2EEF25E4">
            <wp:simplePos x="0" y="0"/>
            <wp:positionH relativeFrom="page">
              <wp:posOffset>995680</wp:posOffset>
            </wp:positionH>
            <wp:positionV relativeFrom="page">
              <wp:posOffset>1499857</wp:posOffset>
            </wp:positionV>
            <wp:extent cx="7601491" cy="5887085"/>
            <wp:effectExtent l="0" t="0" r="0" b="0"/>
            <wp:wrapNone/>
            <wp:docPr id="524" name="Image 524"/>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47" cstate="print"/>
                    <a:stretch>
                      <a:fillRect/>
                    </a:stretch>
                  </pic:blipFill>
                  <pic:spPr>
                    <a:xfrm>
                      <a:off x="0" y="0"/>
                      <a:ext cx="7601491" cy="5887085"/>
                    </a:xfrm>
                    <a:prstGeom prst="rect">
                      <a:avLst/>
                    </a:prstGeom>
                  </pic:spPr>
                </pic:pic>
              </a:graphicData>
            </a:graphic>
          </wp:anchor>
        </w:drawing>
      </w:r>
      <w:r w:rsidRPr="00EC75B7">
        <w:rPr>
          <w:rFonts w:ascii="Verdana" w:hAnsi="Verdana"/>
          <w:b/>
          <w:color w:val="009DEF"/>
          <w:sz w:val="18"/>
          <w:szCs w:val="18"/>
        </w:rPr>
        <w:t xml:space="preserve">Figure 60 Average wind speed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r w:rsidRPr="00EC75B7">
        <w:rPr>
          <w:rFonts w:ascii="Verdana" w:hAnsi="Verdana"/>
          <w:b/>
          <w:color w:val="009DEF"/>
          <w:sz w:val="18"/>
          <w:szCs w:val="18"/>
        </w:rPr>
        <w:tab/>
        <w:t xml:space="preserve">Figure 61 Average wind speed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p>
    <w:p w14:paraId="10F6BEE0" w14:textId="77777777" w:rsidR="008715BE" w:rsidRPr="00EC75B7" w:rsidRDefault="008715BE">
      <w:pPr>
        <w:pStyle w:val="BodyText"/>
        <w:spacing w:before="97"/>
        <w:rPr>
          <w:rFonts w:ascii="Verdana" w:hAnsi="Verdana"/>
          <w:b/>
        </w:rPr>
      </w:pPr>
    </w:p>
    <w:p w14:paraId="6505599C" w14:textId="77777777" w:rsidR="008715BE" w:rsidRPr="00EC75B7" w:rsidRDefault="00000000">
      <w:pPr>
        <w:ind w:left="6" w:right="424"/>
        <w:jc w:val="center"/>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2"/>
          <w:sz w:val="18"/>
          <w:szCs w:val="18"/>
        </w:rPr>
        <w:t xml:space="preserve">ROADAPT </w:t>
      </w:r>
      <w:r w:rsidRPr="00EC75B7">
        <w:rPr>
          <w:rFonts w:ascii="Verdana" w:hAnsi="Verdana"/>
          <w:i/>
          <w:color w:val="009DEF"/>
          <w:sz w:val="18"/>
          <w:szCs w:val="18"/>
        </w:rPr>
        <w:t>Platform</w:t>
      </w:r>
    </w:p>
    <w:p w14:paraId="194BA565" w14:textId="77777777" w:rsidR="008715BE" w:rsidRPr="00EC75B7" w:rsidRDefault="008715BE">
      <w:pPr>
        <w:jc w:val="center"/>
        <w:rPr>
          <w:rFonts w:ascii="Verdana" w:hAnsi="Verdana"/>
          <w:i/>
          <w:sz w:val="18"/>
          <w:szCs w:val="18"/>
        </w:rPr>
        <w:sectPr w:rsidR="008715BE" w:rsidRPr="00EC75B7">
          <w:pgSz w:w="16840" w:h="11910" w:orient="landscape"/>
          <w:pgMar w:top="1400" w:right="2409" w:bottom="1020" w:left="2267" w:header="766" w:footer="824" w:gutter="0"/>
          <w:cols w:space="708"/>
        </w:sectPr>
      </w:pPr>
    </w:p>
    <w:p w14:paraId="0614C081" w14:textId="77777777" w:rsidR="008715BE" w:rsidRPr="00EC75B7" w:rsidRDefault="00000000">
      <w:pPr>
        <w:spacing w:before="101"/>
        <w:ind w:left="1051"/>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3600" behindDoc="0" locked="0" layoutInCell="1" allowOverlap="1" wp14:anchorId="278D6FC0" wp14:editId="7804DD02">
            <wp:simplePos x="0" y="0"/>
            <wp:positionH relativeFrom="page">
              <wp:posOffset>756284</wp:posOffset>
            </wp:positionH>
            <wp:positionV relativeFrom="paragraph">
              <wp:posOffset>4825</wp:posOffset>
            </wp:positionV>
            <wp:extent cx="651078" cy="177800"/>
            <wp:effectExtent l="0" t="0" r="0" b="0"/>
            <wp:wrapNone/>
            <wp:docPr id="526" name="Image 526"/>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 xml:space="preserve">Environmental impact report for Wind Farm 48 (46) wind turbines approx. 316.8MW (303.6MW), </w:t>
      </w:r>
      <w:r w:rsidRPr="00EC75B7">
        <w:rPr>
          <w:rFonts w:ascii="Verdana" w:hAnsi="Verdana"/>
          <w:b/>
          <w:color w:val="D0CFC2"/>
          <w:spacing w:val="-5"/>
          <w:sz w:val="18"/>
          <w:szCs w:val="18"/>
        </w:rPr>
        <w:t>substations</w:t>
      </w:r>
    </w:p>
    <w:p w14:paraId="6529B9CD" w14:textId="77777777" w:rsidR="008715BE" w:rsidRPr="00EC75B7" w:rsidRDefault="00000000">
      <w:pPr>
        <w:spacing w:before="15"/>
        <w:ind w:left="57"/>
        <w:rPr>
          <w:rFonts w:ascii="Verdana" w:hAnsi="Verdana"/>
          <w:b/>
          <w:sz w:val="18"/>
          <w:szCs w:val="18"/>
        </w:rPr>
      </w:pPr>
      <w:r w:rsidRPr="00EC75B7">
        <w:rPr>
          <w:rFonts w:ascii="Verdana" w:hAnsi="Verdana"/>
          <w:b/>
          <w:color w:val="D0CFC2"/>
          <w:sz w:val="18"/>
          <w:szCs w:val="18"/>
        </w:rPr>
        <w:t xml:space="preserve">Transformer stations, Electrical connection networks, Construction and modernization of communication and </w:t>
      </w:r>
      <w:r w:rsidRPr="00EC75B7">
        <w:rPr>
          <w:rFonts w:ascii="Verdana" w:hAnsi="Verdana"/>
          <w:b/>
          <w:color w:val="D0CFC2"/>
          <w:spacing w:val="-4"/>
          <w:sz w:val="18"/>
          <w:szCs w:val="18"/>
        </w:rPr>
        <w:t xml:space="preserve">access </w:t>
      </w:r>
      <w:r w:rsidRPr="00EC75B7">
        <w:rPr>
          <w:rFonts w:ascii="Verdana" w:hAnsi="Verdana"/>
          <w:b/>
          <w:color w:val="D0CFC2"/>
          <w:sz w:val="18"/>
          <w:szCs w:val="18"/>
        </w:rPr>
        <w:t>routes</w:t>
      </w:r>
    </w:p>
    <w:p w14:paraId="0CC9DC5F" w14:textId="77777777" w:rsidR="008715BE" w:rsidRPr="00EC75B7" w:rsidRDefault="008715BE">
      <w:pPr>
        <w:pStyle w:val="BodyText"/>
        <w:rPr>
          <w:rFonts w:ascii="Verdana" w:hAnsi="Verdana"/>
          <w:b/>
        </w:rPr>
      </w:pPr>
    </w:p>
    <w:p w14:paraId="3717D565" w14:textId="77777777" w:rsidR="008715BE" w:rsidRPr="00EC75B7" w:rsidRDefault="008715BE">
      <w:pPr>
        <w:pStyle w:val="BodyText"/>
        <w:spacing w:before="79"/>
        <w:rPr>
          <w:rFonts w:ascii="Verdana" w:hAnsi="Verdana"/>
          <w:b/>
        </w:rPr>
      </w:pPr>
    </w:p>
    <w:p w14:paraId="286255F7" w14:textId="77777777" w:rsidR="008715BE" w:rsidRPr="00EC75B7" w:rsidRDefault="00000000">
      <w:pPr>
        <w:pStyle w:val="Heading5"/>
        <w:ind w:left="701"/>
        <w:rPr>
          <w:rFonts w:ascii="Verdana" w:hAnsi="Verdana"/>
        </w:rPr>
      </w:pPr>
      <w:r w:rsidRPr="00EC75B7">
        <w:rPr>
          <w:rFonts w:ascii="Verdana" w:hAnsi="Verdana"/>
        </w:rPr>
        <w:t>Landslides/Avalanches</w:t>
      </w:r>
      <w:r w:rsidRPr="00EC75B7">
        <w:rPr>
          <w:rFonts w:ascii="Verdana" w:hAnsi="Verdana"/>
          <w:spacing w:val="-2"/>
        </w:rPr>
        <w:t>/Subsidence</w:t>
      </w:r>
    </w:p>
    <w:p w14:paraId="5F88A923" w14:textId="77777777" w:rsidR="008715BE" w:rsidRPr="00EC75B7" w:rsidRDefault="00000000">
      <w:pPr>
        <w:pStyle w:val="BodyText"/>
        <w:spacing w:before="110" w:line="357" w:lineRule="auto"/>
        <w:ind w:left="57" w:right="142"/>
        <w:jc w:val="both"/>
        <w:rPr>
          <w:rFonts w:ascii="Verdana" w:hAnsi="Verdana"/>
        </w:rPr>
      </w:pPr>
      <w:r w:rsidRPr="00EC75B7">
        <w:rPr>
          <w:rFonts w:ascii="Verdana" w:hAnsi="Verdana"/>
        </w:rPr>
        <w:t>In future climate scenarios (RCP 4.5 and RCP 8.5), the studied area presents a low risk of landslides due to its geomorphological characteristics (flat relief, plain). However, the increase in the frequency of extreme precipitation events (heavy rainfall concentrated in a short period of time) could cause localized soil instability (e.g., local erosion on road embankments, canal banks, dikes) and possible damage to surface infrastructure in the event of water accumulation or infiltration.</w:t>
      </w:r>
    </w:p>
    <w:p w14:paraId="18CD9DB3" w14:textId="77777777" w:rsidR="008715BE" w:rsidRPr="00EC75B7" w:rsidRDefault="00000000">
      <w:pPr>
        <w:pStyle w:val="Heading5"/>
        <w:numPr>
          <w:ilvl w:val="0"/>
          <w:numId w:val="31"/>
        </w:numPr>
        <w:tabs>
          <w:tab w:val="left" w:pos="700"/>
        </w:tabs>
        <w:spacing w:before="124"/>
        <w:ind w:left="700" w:hanging="359"/>
        <w:rPr>
          <w:rFonts w:ascii="Verdana" w:hAnsi="Verdana"/>
        </w:rPr>
      </w:pPr>
      <w:r w:rsidRPr="00EC75B7">
        <w:rPr>
          <w:rFonts w:ascii="Verdana" w:hAnsi="Verdana"/>
        </w:rPr>
        <w:t xml:space="preserve">Sea level </w:t>
      </w:r>
      <w:r w:rsidRPr="00EC75B7">
        <w:rPr>
          <w:rFonts w:ascii="Verdana" w:hAnsi="Verdana"/>
          <w:spacing w:val="-2"/>
        </w:rPr>
        <w:t xml:space="preserve">rise/saline </w:t>
      </w:r>
      <w:r w:rsidRPr="00EC75B7">
        <w:rPr>
          <w:rFonts w:ascii="Verdana" w:hAnsi="Verdana"/>
        </w:rPr>
        <w:t>intrusion</w:t>
      </w:r>
    </w:p>
    <w:p w14:paraId="2327AAC7" w14:textId="77777777" w:rsidR="008715BE" w:rsidRPr="00EC75B7" w:rsidRDefault="00000000">
      <w:pPr>
        <w:pStyle w:val="BodyText"/>
        <w:spacing w:before="107" w:line="360" w:lineRule="auto"/>
        <w:ind w:left="57" w:right="149"/>
        <w:jc w:val="both"/>
        <w:rPr>
          <w:rFonts w:ascii="Verdana" w:hAnsi="Verdana"/>
        </w:rPr>
      </w:pPr>
      <w:r w:rsidRPr="00EC75B7">
        <w:rPr>
          <w:rFonts w:ascii="Verdana" w:hAnsi="Verdana"/>
        </w:rPr>
        <w:t>In the studied area, sea level rise according to the RCP 4.5 and RCP 8.5 scenarios does not generate direct coastal erosion effects, but it does cause increased pressure on hydrotechnical defenses and the risk of river flooding.</w:t>
      </w:r>
    </w:p>
    <w:p w14:paraId="43CF6A76" w14:textId="77777777" w:rsidR="008715BE" w:rsidRPr="00EC75B7" w:rsidRDefault="00000000">
      <w:pPr>
        <w:pStyle w:val="Heading5"/>
        <w:numPr>
          <w:ilvl w:val="0"/>
          <w:numId w:val="31"/>
        </w:numPr>
        <w:tabs>
          <w:tab w:val="left" w:pos="700"/>
        </w:tabs>
        <w:spacing w:before="115"/>
        <w:ind w:left="700" w:hanging="359"/>
        <w:rPr>
          <w:rFonts w:ascii="Verdana" w:hAnsi="Verdana"/>
        </w:rPr>
      </w:pPr>
      <w:r w:rsidRPr="00EC75B7">
        <w:rPr>
          <w:rFonts w:ascii="Verdana" w:hAnsi="Verdana"/>
          <w:spacing w:val="-2"/>
        </w:rPr>
        <w:t xml:space="preserve">Permafrost </w:t>
      </w:r>
      <w:r w:rsidRPr="00EC75B7">
        <w:rPr>
          <w:rFonts w:ascii="Verdana" w:hAnsi="Verdana"/>
        </w:rPr>
        <w:t>thaw</w:t>
      </w:r>
    </w:p>
    <w:p w14:paraId="0734065D" w14:textId="77777777" w:rsidR="008715BE" w:rsidRPr="00EC75B7" w:rsidRDefault="00000000">
      <w:pPr>
        <w:pStyle w:val="BodyText"/>
        <w:spacing w:before="110" w:line="360" w:lineRule="auto"/>
        <w:ind w:left="57" w:right="149"/>
        <w:jc w:val="both"/>
        <w:rPr>
          <w:rFonts w:ascii="Verdana" w:hAnsi="Verdana"/>
        </w:rPr>
      </w:pPr>
      <w:r w:rsidRPr="00EC75B7">
        <w:rPr>
          <w:rFonts w:ascii="Verdana" w:hAnsi="Verdana"/>
        </w:rPr>
        <w:t>There is no permafrost in the project area, therefore we consider that there is no possibility of exposure to the effects of this hazard.</w:t>
      </w:r>
    </w:p>
    <w:p w14:paraId="71E4DAED" w14:textId="77777777" w:rsidR="008715BE" w:rsidRPr="00EC75B7" w:rsidRDefault="00000000">
      <w:pPr>
        <w:pStyle w:val="Heading5"/>
        <w:numPr>
          <w:ilvl w:val="0"/>
          <w:numId w:val="31"/>
        </w:numPr>
        <w:tabs>
          <w:tab w:val="left" w:pos="700"/>
        </w:tabs>
        <w:spacing w:before="118"/>
        <w:ind w:left="700" w:hanging="359"/>
        <w:rPr>
          <w:rFonts w:ascii="Verdana" w:hAnsi="Verdana"/>
        </w:rPr>
      </w:pPr>
      <w:r w:rsidRPr="00EC75B7">
        <w:rPr>
          <w:rFonts w:ascii="Verdana" w:hAnsi="Verdana"/>
          <w:spacing w:val="-2"/>
        </w:rPr>
        <w:t>Heatwave</w:t>
      </w:r>
    </w:p>
    <w:p w14:paraId="73AF9853" w14:textId="77777777" w:rsidR="008715BE" w:rsidRPr="00EC75B7" w:rsidRDefault="00000000">
      <w:pPr>
        <w:pStyle w:val="BodyText"/>
        <w:spacing w:before="107" w:line="357" w:lineRule="auto"/>
        <w:ind w:left="57" w:right="140"/>
        <w:jc w:val="both"/>
        <w:rPr>
          <w:rFonts w:ascii="Verdana" w:hAnsi="Verdana"/>
        </w:rPr>
      </w:pPr>
      <w:r w:rsidRPr="00EC75B7">
        <w:rPr>
          <w:rFonts w:ascii="Verdana" w:hAnsi="Verdana"/>
        </w:rPr>
        <w:t xml:space="preserve">According to RoADAPT climate projections for scenarios RCP 4.5 and RCP 8.5, the site in Cerchezu commune is located in an area characterized by a significant increase in the annual duration of heat waves by the end of the century. The area is associated with high values of cumulative heatwave duration, estimated at over approximately 30–35 days/year, placing southeastern Romania among the regions most exposed to this climate phenomenon. Heat waves represent a chronic climate risk, with the potential for marked intensification in the future, having implications for operating conditions, thermal stress on equipment and personnel, and the need to implement </w:t>
      </w:r>
      <w:r w:rsidRPr="00EC75B7">
        <w:rPr>
          <w:rFonts w:ascii="Verdana" w:hAnsi="Verdana"/>
          <w:spacing w:val="-2"/>
        </w:rPr>
        <w:t>climate</w:t>
      </w:r>
      <w:r w:rsidRPr="00EC75B7">
        <w:rPr>
          <w:rFonts w:ascii="Verdana" w:hAnsi="Verdana"/>
        </w:rPr>
        <w:t xml:space="preserve"> adaptation measures</w:t>
      </w:r>
      <w:r w:rsidRPr="00EC75B7">
        <w:rPr>
          <w:rFonts w:ascii="Verdana" w:hAnsi="Verdana"/>
          <w:spacing w:val="-2"/>
        </w:rPr>
        <w:t>.</w:t>
      </w:r>
    </w:p>
    <w:p w14:paraId="3273AD73" w14:textId="77777777" w:rsidR="008715BE" w:rsidRPr="00EC75B7" w:rsidRDefault="008715BE">
      <w:pPr>
        <w:pStyle w:val="BodyText"/>
        <w:spacing w:line="357" w:lineRule="auto"/>
        <w:jc w:val="both"/>
        <w:rPr>
          <w:rFonts w:ascii="Verdana" w:hAnsi="Verdana"/>
        </w:rPr>
        <w:sectPr w:rsidR="008715BE" w:rsidRPr="00EC75B7">
          <w:headerReference w:type="default" r:id="rId248"/>
          <w:footerReference w:type="default" r:id="rId249"/>
          <w:pgSz w:w="11910" w:h="16840"/>
          <w:pgMar w:top="740" w:right="850" w:bottom="1020" w:left="1133" w:header="0" w:footer="824" w:gutter="0"/>
          <w:cols w:space="708"/>
        </w:sectPr>
      </w:pPr>
    </w:p>
    <w:p w14:paraId="1AD1F404" w14:textId="77777777" w:rsidR="008715BE" w:rsidRPr="00EC75B7" w:rsidRDefault="00000000">
      <w:pPr>
        <w:spacing w:before="93" w:line="264" w:lineRule="auto"/>
        <w:ind w:left="2" w:firstLine="994"/>
        <w:rPr>
          <w:rFonts w:ascii="Verdana" w:hAnsi="Verdana"/>
          <w:b/>
          <w:sz w:val="18"/>
          <w:szCs w:val="18"/>
        </w:rPr>
      </w:pPr>
      <w:r w:rsidRPr="00EC75B7">
        <w:rPr>
          <w:rFonts w:ascii="Verdana" w:hAnsi="Verdana"/>
          <w:b/>
          <w:noProof/>
          <w:sz w:val="18"/>
          <w:szCs w:val="18"/>
        </w:rPr>
        <w:lastRenderedPageBreak/>
        <w:drawing>
          <wp:anchor distT="0" distB="0" distL="0" distR="0" simplePos="0" relativeHeight="251712512" behindDoc="1" locked="0" layoutInCell="1" allowOverlap="1" wp14:anchorId="6D9F81C5" wp14:editId="1B426013">
            <wp:simplePos x="0" y="0"/>
            <wp:positionH relativeFrom="page">
              <wp:posOffset>540384</wp:posOffset>
            </wp:positionH>
            <wp:positionV relativeFrom="paragraph">
              <wp:posOffset>-253</wp:posOffset>
            </wp:positionV>
            <wp:extent cx="651078" cy="177800"/>
            <wp:effectExtent l="0" t="0" r="0" b="0"/>
            <wp:wrapNone/>
            <wp:docPr id="528" name="Image 528"/>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noProof/>
          <w:sz w:val="18"/>
          <w:szCs w:val="18"/>
        </w:rPr>
        <w:drawing>
          <wp:anchor distT="0" distB="0" distL="0" distR="0" simplePos="0" relativeHeight="251674624" behindDoc="0" locked="0" layoutInCell="1" allowOverlap="1" wp14:anchorId="5C6C75F8" wp14:editId="47F6865B">
            <wp:simplePos x="0" y="0"/>
            <wp:positionH relativeFrom="page">
              <wp:posOffset>1194435</wp:posOffset>
            </wp:positionH>
            <wp:positionV relativeFrom="page">
              <wp:posOffset>1419936</wp:posOffset>
            </wp:positionV>
            <wp:extent cx="7791450" cy="6041388"/>
            <wp:effectExtent l="0" t="0" r="0" b="0"/>
            <wp:wrapNone/>
            <wp:docPr id="529" name="Image 529"/>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250" cstate="print"/>
                    <a:stretch>
                      <a:fillRect/>
                    </a:stretch>
                  </pic:blipFill>
                  <pic:spPr>
                    <a:xfrm>
                      <a:off x="0" y="0"/>
                      <a:ext cx="7791450" cy="6041388"/>
                    </a:xfrm>
                    <a:prstGeom prst="rect">
                      <a:avLst/>
                    </a:prstGeom>
                  </pic:spPr>
                </pic:pic>
              </a:graphicData>
            </a:graphic>
          </wp:anchor>
        </w:drawing>
      </w:r>
      <w:r w:rsidRPr="00EC75B7">
        <w:rPr>
          <w:rFonts w:ascii="Verdana" w:hAnsi="Verdana"/>
          <w:b/>
          <w:color w:val="D0CFC2"/>
          <w:sz w:val="18"/>
          <w:szCs w:val="18"/>
        </w:rPr>
        <w:t>Environmental impact report for Wind Farm 48 (46) wind turbines approx. 316.8 MW (303.6 MW), transformer stations, connection grids, construction and modernization of communication and access routes</w:t>
      </w:r>
    </w:p>
    <w:p w14:paraId="038AEBC3" w14:textId="77777777" w:rsidR="008715BE" w:rsidRPr="00EC75B7" w:rsidRDefault="008715BE">
      <w:pPr>
        <w:pStyle w:val="BodyText"/>
        <w:spacing w:before="33"/>
        <w:rPr>
          <w:rFonts w:ascii="Verdana" w:hAnsi="Verdana"/>
          <w:b/>
        </w:rPr>
      </w:pPr>
    </w:p>
    <w:p w14:paraId="0383550F" w14:textId="77777777" w:rsidR="008715BE" w:rsidRPr="00EC75B7" w:rsidRDefault="00000000">
      <w:pPr>
        <w:spacing w:line="171" w:lineRule="exact"/>
        <w:ind w:left="8912"/>
        <w:rPr>
          <w:rFonts w:ascii="Verdana" w:hAnsi="Verdana"/>
          <w:b/>
          <w:sz w:val="18"/>
          <w:szCs w:val="18"/>
        </w:rPr>
      </w:pPr>
      <w:r w:rsidRPr="00EC75B7">
        <w:rPr>
          <w:rFonts w:ascii="Verdana" w:hAnsi="Verdana"/>
          <w:b/>
          <w:color w:val="009DEF"/>
          <w:sz w:val="18"/>
          <w:szCs w:val="18"/>
        </w:rPr>
        <w:t xml:space="preserve">Figure 63 Duration of heat waves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p>
    <w:p w14:paraId="6062E349" w14:textId="77777777" w:rsidR="008715BE" w:rsidRPr="00EC75B7" w:rsidRDefault="00000000">
      <w:pPr>
        <w:spacing w:line="171" w:lineRule="exact"/>
        <w:ind w:left="943"/>
        <w:rPr>
          <w:rFonts w:ascii="Verdana" w:hAnsi="Verdana"/>
          <w:b/>
          <w:sz w:val="18"/>
          <w:szCs w:val="18"/>
        </w:rPr>
      </w:pPr>
      <w:r w:rsidRPr="00EC75B7">
        <w:rPr>
          <w:rFonts w:ascii="Verdana" w:hAnsi="Verdana"/>
          <w:b/>
          <w:color w:val="009DEF"/>
          <w:sz w:val="18"/>
          <w:szCs w:val="18"/>
        </w:rPr>
        <w:t xml:space="preserve">Figure 62 Duration of heat waves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r w:rsidRPr="00EC75B7">
        <w:rPr>
          <w:rFonts w:ascii="Verdana" w:hAnsi="Verdana"/>
          <w:b/>
          <w:color w:val="009DEF"/>
          <w:spacing w:val="-2"/>
          <w:sz w:val="18"/>
          <w:szCs w:val="18"/>
        </w:rPr>
        <w:t>.............</w:t>
      </w:r>
    </w:p>
    <w:p w14:paraId="4CB64242" w14:textId="77777777" w:rsidR="008715BE" w:rsidRPr="00EC75B7" w:rsidRDefault="008715BE">
      <w:pPr>
        <w:pStyle w:val="BodyText"/>
        <w:spacing w:before="33"/>
        <w:rPr>
          <w:rFonts w:ascii="Verdana" w:hAnsi="Verdana"/>
          <w:b/>
        </w:rPr>
      </w:pPr>
    </w:p>
    <w:p w14:paraId="0718B68C" w14:textId="77777777" w:rsidR="008715BE" w:rsidRPr="00EC75B7" w:rsidRDefault="00000000">
      <w:pPr>
        <w:ind w:right="283"/>
        <w:jc w:val="center"/>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2"/>
          <w:sz w:val="18"/>
          <w:szCs w:val="18"/>
        </w:rPr>
        <w:t xml:space="preserve">ROADAPT </w:t>
      </w:r>
      <w:r w:rsidRPr="00EC75B7">
        <w:rPr>
          <w:rFonts w:ascii="Verdana" w:hAnsi="Verdana"/>
          <w:i/>
          <w:color w:val="009DEF"/>
          <w:sz w:val="18"/>
          <w:szCs w:val="18"/>
        </w:rPr>
        <w:t>platform</w:t>
      </w:r>
    </w:p>
    <w:p w14:paraId="5A1FC0CB" w14:textId="77777777" w:rsidR="008715BE" w:rsidRPr="00EC75B7" w:rsidRDefault="008715BE">
      <w:pPr>
        <w:jc w:val="center"/>
        <w:rPr>
          <w:rFonts w:ascii="Verdana" w:hAnsi="Verdana"/>
          <w:i/>
          <w:sz w:val="18"/>
          <w:szCs w:val="18"/>
        </w:rPr>
        <w:sectPr w:rsidR="008715BE" w:rsidRPr="00EC75B7">
          <w:headerReference w:type="default" r:id="rId251"/>
          <w:footerReference w:type="default" r:id="rId252"/>
          <w:pgSz w:w="16840" w:h="11910" w:orient="landscape"/>
          <w:pgMar w:top="760" w:right="1133" w:bottom="1020" w:left="850" w:header="0" w:footer="824" w:gutter="0"/>
          <w:cols w:space="708"/>
        </w:sectPr>
      </w:pPr>
    </w:p>
    <w:p w14:paraId="0F3424D5" w14:textId="77777777" w:rsidR="008715BE" w:rsidRPr="00EC75B7" w:rsidRDefault="00000000">
      <w:pPr>
        <w:spacing w:before="101"/>
        <w:ind w:left="1051"/>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5648" behindDoc="0" locked="0" layoutInCell="1" allowOverlap="1" wp14:anchorId="578D340A" wp14:editId="5F123B72">
            <wp:simplePos x="0" y="0"/>
            <wp:positionH relativeFrom="page">
              <wp:posOffset>756284</wp:posOffset>
            </wp:positionH>
            <wp:positionV relativeFrom="paragraph">
              <wp:posOffset>4825</wp:posOffset>
            </wp:positionV>
            <wp:extent cx="651078" cy="177800"/>
            <wp:effectExtent l="0" t="0" r="0" b="0"/>
            <wp:wrapNone/>
            <wp:docPr id="531" name="Image 531"/>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 xml:space="preserve">Environmental impact report for Wind Farm 48 (46) wind turbines approx. 316.8MW (303.6MW), </w:t>
      </w:r>
      <w:r w:rsidRPr="00EC75B7">
        <w:rPr>
          <w:rFonts w:ascii="Verdana" w:hAnsi="Verdana"/>
          <w:b/>
          <w:color w:val="D0CFC2"/>
          <w:spacing w:val="-5"/>
          <w:sz w:val="18"/>
          <w:szCs w:val="18"/>
        </w:rPr>
        <w:t>substations</w:t>
      </w:r>
    </w:p>
    <w:p w14:paraId="5E75C73C" w14:textId="77777777" w:rsidR="008715BE" w:rsidRPr="00EC75B7" w:rsidRDefault="00000000">
      <w:pPr>
        <w:spacing w:before="15"/>
        <w:ind w:left="57"/>
        <w:rPr>
          <w:rFonts w:ascii="Verdana" w:hAnsi="Verdana"/>
          <w:b/>
          <w:sz w:val="18"/>
          <w:szCs w:val="18"/>
        </w:rPr>
      </w:pPr>
      <w:r w:rsidRPr="00EC75B7">
        <w:rPr>
          <w:rFonts w:ascii="Verdana" w:hAnsi="Verdana"/>
          <w:b/>
          <w:color w:val="D0CFC2"/>
          <w:sz w:val="18"/>
          <w:szCs w:val="18"/>
        </w:rPr>
        <w:t xml:space="preserve">Transformer stations, Electrical connection networks, Construction and modernization of communication and </w:t>
      </w:r>
      <w:r w:rsidRPr="00EC75B7">
        <w:rPr>
          <w:rFonts w:ascii="Verdana" w:hAnsi="Verdana"/>
          <w:b/>
          <w:color w:val="D0CFC2"/>
          <w:spacing w:val="-4"/>
          <w:sz w:val="18"/>
          <w:szCs w:val="18"/>
        </w:rPr>
        <w:t xml:space="preserve">access </w:t>
      </w:r>
      <w:r w:rsidRPr="00EC75B7">
        <w:rPr>
          <w:rFonts w:ascii="Verdana" w:hAnsi="Verdana"/>
          <w:b/>
          <w:color w:val="D0CFC2"/>
          <w:sz w:val="18"/>
          <w:szCs w:val="18"/>
        </w:rPr>
        <w:t>routes</w:t>
      </w:r>
    </w:p>
    <w:p w14:paraId="67692A0D" w14:textId="77777777" w:rsidR="008715BE" w:rsidRPr="00EC75B7" w:rsidRDefault="008715BE">
      <w:pPr>
        <w:pStyle w:val="BodyText"/>
        <w:spacing w:before="39"/>
        <w:rPr>
          <w:rFonts w:ascii="Verdana" w:hAnsi="Verdana"/>
          <w:b/>
        </w:rPr>
      </w:pPr>
    </w:p>
    <w:p w14:paraId="487F2C15" w14:textId="77777777" w:rsidR="008715BE" w:rsidRPr="00EC75B7" w:rsidRDefault="00000000">
      <w:pPr>
        <w:pStyle w:val="Heading5"/>
        <w:numPr>
          <w:ilvl w:val="0"/>
          <w:numId w:val="31"/>
        </w:numPr>
        <w:tabs>
          <w:tab w:val="left" w:pos="700"/>
        </w:tabs>
        <w:spacing w:before="1"/>
        <w:ind w:left="700" w:hanging="359"/>
        <w:rPr>
          <w:rFonts w:ascii="Verdana" w:hAnsi="Verdana"/>
        </w:rPr>
      </w:pPr>
      <w:r w:rsidRPr="00EC75B7">
        <w:rPr>
          <w:rFonts w:ascii="Verdana" w:hAnsi="Verdana"/>
          <w:spacing w:val="-2"/>
        </w:rPr>
        <w:t xml:space="preserve">Temperature </w:t>
      </w:r>
      <w:r w:rsidRPr="00EC75B7">
        <w:rPr>
          <w:rFonts w:ascii="Verdana" w:hAnsi="Verdana"/>
        </w:rPr>
        <w:t>variations</w:t>
      </w:r>
    </w:p>
    <w:p w14:paraId="51CB0907" w14:textId="77777777" w:rsidR="008715BE" w:rsidRPr="00EC75B7" w:rsidRDefault="00000000">
      <w:pPr>
        <w:pStyle w:val="BodyText"/>
        <w:spacing w:before="109" w:line="357" w:lineRule="auto"/>
        <w:ind w:left="57" w:right="137"/>
        <w:jc w:val="both"/>
        <w:rPr>
          <w:rFonts w:ascii="Verdana" w:hAnsi="Verdana"/>
        </w:rPr>
      </w:pPr>
      <w:r w:rsidRPr="00EC75B7">
        <w:rPr>
          <w:rFonts w:ascii="Verdana" w:hAnsi="Verdana"/>
        </w:rPr>
        <w:t>According to the average annual temperature map for climate scenario RCP 4.5 (2041–2070), the site in Cerchezu commune is located in one of the warmest regions of Romania.</w:t>
      </w:r>
      <w:r w:rsidRPr="00EC75B7">
        <w:rPr>
          <w:rFonts w:ascii="Verdana" w:hAnsi="Verdana"/>
          <w:spacing w:val="37"/>
        </w:rPr>
        <w:t xml:space="preserve"> </w:t>
      </w:r>
      <w:r w:rsidRPr="00EC75B7">
        <w:rPr>
          <w:rFonts w:ascii="Verdana" w:hAnsi="Verdana"/>
        </w:rPr>
        <w:t>The south-eastern part of the country, including Dobrogea, is characterised by high average annual temperatures, estimated at approximately 11.5–12.5°C, with an upward trend compared to the reference period.</w:t>
      </w:r>
    </w:p>
    <w:p w14:paraId="752644DB" w14:textId="77777777" w:rsidR="008715BE" w:rsidRPr="00EC75B7" w:rsidRDefault="00000000">
      <w:pPr>
        <w:pStyle w:val="BodyText"/>
        <w:spacing w:before="121" w:line="357" w:lineRule="auto"/>
        <w:ind w:left="57" w:right="140"/>
        <w:jc w:val="both"/>
        <w:rPr>
          <w:rFonts w:ascii="Verdana" w:hAnsi="Verdana"/>
        </w:rPr>
      </w:pPr>
      <w:r w:rsidRPr="00EC75B7">
        <w:rPr>
          <w:rFonts w:ascii="Verdana" w:hAnsi="Verdana"/>
        </w:rPr>
        <w:t xml:space="preserve">According to the average annual temperature map for climate scenario RCP 8.5 (2071–2100), the site in Cerchezu commune is located in an area characterized by the highest average annual temperatures nationwide. Southeastern Romania, including Dobrogea, is associated with estimated values in the range of approximately 13.5–15.0°C, indicating a marked increase compared to the RCP 4.5 scenario and the </w:t>
      </w:r>
      <w:r w:rsidRPr="00EC75B7">
        <w:rPr>
          <w:rFonts w:ascii="Verdana" w:hAnsi="Verdana"/>
          <w:spacing w:val="-2"/>
        </w:rPr>
        <w:t>reference</w:t>
      </w:r>
      <w:r w:rsidRPr="00EC75B7">
        <w:rPr>
          <w:rFonts w:ascii="Verdana" w:hAnsi="Verdana"/>
        </w:rPr>
        <w:t xml:space="preserve"> period.</w:t>
      </w:r>
    </w:p>
    <w:p w14:paraId="582C744D" w14:textId="77777777" w:rsidR="008715BE" w:rsidRPr="00EC75B7" w:rsidRDefault="008715BE">
      <w:pPr>
        <w:pStyle w:val="BodyText"/>
        <w:spacing w:line="357" w:lineRule="auto"/>
        <w:jc w:val="both"/>
        <w:rPr>
          <w:rFonts w:ascii="Verdana" w:hAnsi="Verdana"/>
        </w:rPr>
        <w:sectPr w:rsidR="008715BE" w:rsidRPr="00EC75B7">
          <w:headerReference w:type="default" r:id="rId253"/>
          <w:footerReference w:type="default" r:id="rId254"/>
          <w:pgSz w:w="11910" w:h="16840"/>
          <w:pgMar w:top="740" w:right="850" w:bottom="1020" w:left="1133" w:header="0" w:footer="824" w:gutter="0"/>
          <w:cols w:space="708"/>
        </w:sectPr>
      </w:pPr>
    </w:p>
    <w:p w14:paraId="3C7699CC" w14:textId="77777777" w:rsidR="008715BE" w:rsidRPr="00EC75B7" w:rsidRDefault="00000000">
      <w:pPr>
        <w:spacing w:before="93" w:line="264" w:lineRule="auto"/>
        <w:ind w:left="2" w:firstLine="994"/>
        <w:rPr>
          <w:rFonts w:ascii="Verdana" w:hAnsi="Verdana"/>
          <w:b/>
          <w:sz w:val="18"/>
          <w:szCs w:val="18"/>
        </w:rPr>
      </w:pPr>
      <w:r w:rsidRPr="00EC75B7">
        <w:rPr>
          <w:rFonts w:ascii="Verdana" w:hAnsi="Verdana"/>
          <w:b/>
          <w:noProof/>
          <w:sz w:val="18"/>
          <w:szCs w:val="18"/>
        </w:rPr>
        <w:lastRenderedPageBreak/>
        <w:drawing>
          <wp:anchor distT="0" distB="0" distL="0" distR="0" simplePos="0" relativeHeight="251713536" behindDoc="1" locked="0" layoutInCell="1" allowOverlap="1" wp14:anchorId="597F801F" wp14:editId="0B62FAD5">
            <wp:simplePos x="0" y="0"/>
            <wp:positionH relativeFrom="page">
              <wp:posOffset>540384</wp:posOffset>
            </wp:positionH>
            <wp:positionV relativeFrom="paragraph">
              <wp:posOffset>-253</wp:posOffset>
            </wp:positionV>
            <wp:extent cx="651078" cy="177800"/>
            <wp:effectExtent l="0" t="0" r="0" b="0"/>
            <wp:wrapNone/>
            <wp:docPr id="533" name="Image 533"/>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noProof/>
          <w:sz w:val="18"/>
          <w:szCs w:val="18"/>
        </w:rPr>
        <w:drawing>
          <wp:anchor distT="0" distB="0" distL="0" distR="0" simplePos="0" relativeHeight="251676672" behindDoc="0" locked="0" layoutInCell="1" allowOverlap="1" wp14:anchorId="6F3D817C" wp14:editId="259D7686">
            <wp:simplePos x="0" y="0"/>
            <wp:positionH relativeFrom="page">
              <wp:posOffset>941582</wp:posOffset>
            </wp:positionH>
            <wp:positionV relativeFrom="page">
              <wp:posOffset>1409049</wp:posOffset>
            </wp:positionV>
            <wp:extent cx="7742677" cy="6084568"/>
            <wp:effectExtent l="0" t="0" r="0" b="0"/>
            <wp:wrapNone/>
            <wp:docPr id="534" name="Image 534"/>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255" cstate="print"/>
                    <a:stretch>
                      <a:fillRect/>
                    </a:stretch>
                  </pic:blipFill>
                  <pic:spPr>
                    <a:xfrm>
                      <a:off x="0" y="0"/>
                      <a:ext cx="7742677" cy="6084568"/>
                    </a:xfrm>
                    <a:prstGeom prst="rect">
                      <a:avLst/>
                    </a:prstGeom>
                  </pic:spPr>
                </pic:pic>
              </a:graphicData>
            </a:graphic>
          </wp:anchor>
        </w:drawing>
      </w:r>
      <w:r w:rsidRPr="00EC75B7">
        <w:rPr>
          <w:rFonts w:ascii="Verdana" w:hAnsi="Verdana"/>
          <w:b/>
          <w:color w:val="D0CFC2"/>
          <w:sz w:val="18"/>
          <w:szCs w:val="18"/>
        </w:rPr>
        <w:t>Environmental impact report for Wind Farm 48 (46) wind turbines approx. 316.8 MW (303.6 MW), transformer stations, connection networks, construction and modernization of communication and access routes</w:t>
      </w:r>
    </w:p>
    <w:p w14:paraId="2CF6E933" w14:textId="77777777" w:rsidR="008715BE" w:rsidRPr="00EC75B7" w:rsidRDefault="008715BE">
      <w:pPr>
        <w:pStyle w:val="BodyText"/>
        <w:spacing w:before="60"/>
        <w:rPr>
          <w:rFonts w:ascii="Verdana" w:hAnsi="Verdana"/>
          <w:b/>
        </w:rPr>
      </w:pPr>
    </w:p>
    <w:p w14:paraId="175D04F3" w14:textId="4C4B27D6" w:rsidR="008715BE" w:rsidRPr="00EC75B7" w:rsidRDefault="00000000">
      <w:pPr>
        <w:tabs>
          <w:tab w:val="left" w:pos="7966"/>
        </w:tabs>
        <w:ind w:right="329"/>
        <w:jc w:val="center"/>
        <w:rPr>
          <w:rFonts w:ascii="Verdana" w:hAnsi="Verdana"/>
          <w:b/>
          <w:position w:val="7"/>
          <w:sz w:val="18"/>
          <w:szCs w:val="18"/>
        </w:rPr>
      </w:pPr>
      <w:r w:rsidRPr="00EC75B7">
        <w:rPr>
          <w:rFonts w:ascii="Verdana" w:hAnsi="Verdana"/>
          <w:b/>
          <w:color w:val="009DEF"/>
          <w:sz w:val="18"/>
          <w:szCs w:val="18"/>
        </w:rPr>
        <w:t xml:space="preserve">Figure no. 64 Average annual temperature - </w:t>
      </w:r>
      <w:r w:rsidRPr="00EC75B7">
        <w:rPr>
          <w:rFonts w:ascii="Verdana" w:hAnsi="Verdana"/>
          <w:b/>
          <w:color w:val="009DEF"/>
          <w:spacing w:val="-2"/>
          <w:sz w:val="18"/>
          <w:szCs w:val="18"/>
        </w:rPr>
        <w:t xml:space="preserve">RCP4.5 </w:t>
      </w:r>
      <w:r w:rsidRPr="00EC75B7">
        <w:rPr>
          <w:rFonts w:ascii="Verdana" w:hAnsi="Verdana"/>
          <w:b/>
          <w:color w:val="009DEF"/>
          <w:sz w:val="18"/>
          <w:szCs w:val="18"/>
        </w:rPr>
        <w:t>scenario</w:t>
      </w:r>
      <w:r w:rsidRPr="00EC75B7">
        <w:rPr>
          <w:rFonts w:ascii="Verdana" w:hAnsi="Verdana"/>
          <w:b/>
          <w:color w:val="009DEF"/>
          <w:sz w:val="18"/>
          <w:szCs w:val="18"/>
        </w:rPr>
        <w:tab/>
      </w:r>
      <w:r w:rsidRPr="00EC75B7">
        <w:rPr>
          <w:rFonts w:ascii="Verdana" w:hAnsi="Verdana"/>
          <w:b/>
          <w:color w:val="009DEF"/>
          <w:position w:val="7"/>
          <w:sz w:val="18"/>
          <w:szCs w:val="18"/>
        </w:rPr>
        <w:t>Figureno.65Temperatureaverageannual-scenario</w:t>
      </w:r>
      <w:r w:rsidRPr="00EC75B7">
        <w:rPr>
          <w:rFonts w:ascii="Verdana" w:hAnsi="Verdana"/>
          <w:b/>
          <w:color w:val="009DEF"/>
          <w:spacing w:val="-2"/>
          <w:position w:val="7"/>
          <w:sz w:val="18"/>
          <w:szCs w:val="18"/>
        </w:rPr>
        <w:t>RCP4.5</w:t>
      </w:r>
    </w:p>
    <w:p w14:paraId="66939353" w14:textId="77777777" w:rsidR="008715BE" w:rsidRPr="00EC75B7" w:rsidRDefault="008715BE">
      <w:pPr>
        <w:pStyle w:val="BodyText"/>
        <w:spacing w:before="30"/>
        <w:rPr>
          <w:rFonts w:ascii="Verdana" w:hAnsi="Verdana"/>
          <w:b/>
        </w:rPr>
      </w:pPr>
    </w:p>
    <w:p w14:paraId="4687C812" w14:textId="77777777" w:rsidR="008715BE" w:rsidRPr="00EC75B7" w:rsidRDefault="00000000">
      <w:pPr>
        <w:ind w:right="282"/>
        <w:jc w:val="center"/>
        <w:rPr>
          <w:rFonts w:ascii="Verdana" w:hAnsi="Verdana"/>
          <w:i/>
          <w:sz w:val="18"/>
          <w:szCs w:val="18"/>
        </w:rPr>
      </w:pPr>
      <w:r w:rsidRPr="00EC75B7">
        <w:rPr>
          <w:rFonts w:ascii="Verdana" w:hAnsi="Verdana"/>
          <w:i/>
          <w:color w:val="009DEF"/>
          <w:sz w:val="18"/>
          <w:szCs w:val="18"/>
        </w:rPr>
        <w:t xml:space="preserve">source: data processing taken from </w:t>
      </w:r>
      <w:r w:rsidRPr="00EC75B7">
        <w:rPr>
          <w:rFonts w:ascii="Verdana" w:hAnsi="Verdana"/>
          <w:i/>
          <w:color w:val="009DEF"/>
          <w:spacing w:val="-2"/>
          <w:sz w:val="18"/>
          <w:szCs w:val="18"/>
        </w:rPr>
        <w:t>RO-ADAPT</w:t>
      </w:r>
    </w:p>
    <w:p w14:paraId="62132A1C" w14:textId="77777777" w:rsidR="008715BE" w:rsidRPr="00EC75B7" w:rsidRDefault="008715BE">
      <w:pPr>
        <w:jc w:val="center"/>
        <w:rPr>
          <w:rFonts w:ascii="Verdana" w:hAnsi="Verdana"/>
          <w:i/>
          <w:sz w:val="18"/>
          <w:szCs w:val="18"/>
        </w:rPr>
        <w:sectPr w:rsidR="008715BE" w:rsidRPr="00EC75B7">
          <w:headerReference w:type="default" r:id="rId256"/>
          <w:footerReference w:type="default" r:id="rId257"/>
          <w:pgSz w:w="16840" w:h="11910" w:orient="landscape"/>
          <w:pgMar w:top="760" w:right="1133" w:bottom="1020" w:left="850" w:header="0" w:footer="824" w:gutter="0"/>
          <w:cols w:space="708"/>
        </w:sectPr>
      </w:pPr>
    </w:p>
    <w:p w14:paraId="144370A1" w14:textId="77777777" w:rsidR="008715BE" w:rsidRPr="00EC75B7" w:rsidRDefault="00000000">
      <w:pPr>
        <w:pStyle w:val="Heading5"/>
        <w:numPr>
          <w:ilvl w:val="0"/>
          <w:numId w:val="31"/>
        </w:numPr>
        <w:tabs>
          <w:tab w:val="left" w:pos="700"/>
        </w:tabs>
        <w:spacing w:before="99"/>
        <w:ind w:left="700" w:hanging="359"/>
        <w:rPr>
          <w:rFonts w:ascii="Verdana" w:hAnsi="Verdana"/>
        </w:rPr>
      </w:pPr>
      <w:r w:rsidRPr="00EC75B7">
        <w:rPr>
          <w:rFonts w:ascii="Verdana" w:hAnsi="Verdana"/>
          <w:spacing w:val="-2"/>
        </w:rPr>
        <w:lastRenderedPageBreak/>
        <w:t>Drought</w:t>
      </w:r>
    </w:p>
    <w:p w14:paraId="7A449F03" w14:textId="77777777" w:rsidR="008715BE" w:rsidRPr="00EC75B7" w:rsidRDefault="00000000">
      <w:pPr>
        <w:pStyle w:val="BodyText"/>
        <w:spacing w:before="110" w:line="357" w:lineRule="auto"/>
        <w:ind w:left="57" w:right="423"/>
        <w:jc w:val="both"/>
        <w:rPr>
          <w:rFonts w:ascii="Verdana" w:hAnsi="Verdana"/>
        </w:rPr>
      </w:pPr>
      <w:r w:rsidRPr="00EC75B7">
        <w:rPr>
          <w:rFonts w:ascii="Verdana" w:hAnsi="Verdana"/>
        </w:rPr>
        <w:t>According to the map showing changes in drought frequency, based on climate projections for future exposure, the Dobrogea area, including the Cerchezu site, falls into a class of slight to moderate increase in the frequency of drought episodes compared to the reference period. The values indicated suggest a limited intensification of rainfall deficit phenomena, without major or extreme jumps at the regional level.</w:t>
      </w:r>
    </w:p>
    <w:p w14:paraId="35951DB7" w14:textId="77777777" w:rsidR="008715BE" w:rsidRPr="00EC75B7" w:rsidRDefault="00000000">
      <w:pPr>
        <w:pStyle w:val="BodyText"/>
        <w:spacing w:before="7"/>
        <w:rPr>
          <w:rFonts w:ascii="Verdana" w:hAnsi="Verdana"/>
        </w:rPr>
      </w:pPr>
      <w:r w:rsidRPr="00EC75B7">
        <w:rPr>
          <w:rFonts w:ascii="Verdana" w:hAnsi="Verdana"/>
          <w:noProof/>
        </w:rPr>
        <w:drawing>
          <wp:anchor distT="0" distB="0" distL="0" distR="0" simplePos="0" relativeHeight="251833344" behindDoc="1" locked="0" layoutInCell="1" allowOverlap="1" wp14:anchorId="24D8AB8D" wp14:editId="273A14E5">
            <wp:simplePos x="0" y="0"/>
            <wp:positionH relativeFrom="page">
              <wp:posOffset>1587121</wp:posOffset>
            </wp:positionH>
            <wp:positionV relativeFrom="paragraph">
              <wp:posOffset>120957</wp:posOffset>
            </wp:positionV>
            <wp:extent cx="4559631" cy="6717792"/>
            <wp:effectExtent l="0" t="0" r="0" b="0"/>
            <wp:wrapTopAndBottom/>
            <wp:docPr id="538" name="Image 538"/>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258" cstate="print"/>
                    <a:stretch>
                      <a:fillRect/>
                    </a:stretch>
                  </pic:blipFill>
                  <pic:spPr>
                    <a:xfrm>
                      <a:off x="0" y="0"/>
                      <a:ext cx="4559631" cy="6717792"/>
                    </a:xfrm>
                    <a:prstGeom prst="rect">
                      <a:avLst/>
                    </a:prstGeom>
                  </pic:spPr>
                </pic:pic>
              </a:graphicData>
            </a:graphic>
          </wp:anchor>
        </w:drawing>
      </w:r>
    </w:p>
    <w:p w14:paraId="34A1D76A" w14:textId="77777777" w:rsidR="008715BE" w:rsidRPr="00EC75B7" w:rsidRDefault="008715BE">
      <w:pPr>
        <w:pStyle w:val="BodyText"/>
        <w:spacing w:before="71"/>
        <w:rPr>
          <w:rFonts w:ascii="Verdana" w:hAnsi="Verdana"/>
        </w:rPr>
      </w:pPr>
    </w:p>
    <w:p w14:paraId="3FD1C07E" w14:textId="77777777" w:rsidR="008715BE" w:rsidRPr="00EC75B7" w:rsidRDefault="00000000">
      <w:pPr>
        <w:ind w:left="283" w:right="368"/>
        <w:jc w:val="center"/>
        <w:rPr>
          <w:rFonts w:ascii="Verdana" w:hAnsi="Verdana"/>
          <w:b/>
          <w:sz w:val="18"/>
          <w:szCs w:val="18"/>
        </w:rPr>
      </w:pPr>
      <w:r w:rsidRPr="00EC75B7">
        <w:rPr>
          <w:rFonts w:ascii="Verdana" w:hAnsi="Verdana"/>
          <w:b/>
          <w:color w:val="009DEF"/>
          <w:sz w:val="18"/>
          <w:szCs w:val="18"/>
        </w:rPr>
        <w:t xml:space="preserve">Figure 66 Changes in drought frequency – </w:t>
      </w:r>
      <w:r w:rsidRPr="00EC75B7">
        <w:rPr>
          <w:rFonts w:ascii="Verdana" w:hAnsi="Verdana"/>
          <w:b/>
          <w:color w:val="009DEF"/>
          <w:spacing w:val="-2"/>
          <w:sz w:val="18"/>
          <w:szCs w:val="18"/>
        </w:rPr>
        <w:t xml:space="preserve">future </w:t>
      </w:r>
      <w:r w:rsidRPr="00EC75B7">
        <w:rPr>
          <w:rFonts w:ascii="Verdana" w:hAnsi="Verdana"/>
          <w:b/>
          <w:color w:val="009DEF"/>
          <w:sz w:val="18"/>
          <w:szCs w:val="18"/>
        </w:rPr>
        <w:t>exposure</w:t>
      </w:r>
    </w:p>
    <w:p w14:paraId="6CD28A72" w14:textId="77777777" w:rsidR="008715BE" w:rsidRPr="00EC75B7" w:rsidRDefault="008715BE">
      <w:pPr>
        <w:jc w:val="center"/>
        <w:rPr>
          <w:rFonts w:ascii="Verdana" w:hAnsi="Verdana"/>
          <w:b/>
          <w:sz w:val="18"/>
          <w:szCs w:val="18"/>
        </w:rPr>
        <w:sectPr w:rsidR="008715BE" w:rsidRPr="00EC75B7">
          <w:headerReference w:type="default" r:id="rId259"/>
          <w:footerReference w:type="default" r:id="rId260"/>
          <w:pgSz w:w="11910" w:h="16840"/>
          <w:pgMar w:top="1320" w:right="566" w:bottom="1020" w:left="1133" w:header="766" w:footer="824" w:gutter="0"/>
          <w:pgNumType w:start="251"/>
          <w:cols w:space="708"/>
        </w:sectPr>
      </w:pPr>
    </w:p>
    <w:p w14:paraId="64162E19" w14:textId="77777777" w:rsidR="008715BE" w:rsidRPr="00EC75B7" w:rsidRDefault="00000000">
      <w:pPr>
        <w:pStyle w:val="Heading5"/>
        <w:numPr>
          <w:ilvl w:val="0"/>
          <w:numId w:val="31"/>
        </w:numPr>
        <w:tabs>
          <w:tab w:val="left" w:pos="700"/>
        </w:tabs>
        <w:spacing w:before="99"/>
        <w:ind w:left="700" w:hanging="359"/>
        <w:rPr>
          <w:rFonts w:ascii="Verdana" w:hAnsi="Verdana"/>
        </w:rPr>
      </w:pPr>
      <w:r w:rsidRPr="00EC75B7">
        <w:rPr>
          <w:rFonts w:ascii="Verdana" w:hAnsi="Verdana"/>
        </w:rPr>
        <w:lastRenderedPageBreak/>
        <w:t xml:space="preserve">Soil </w:t>
      </w:r>
      <w:r w:rsidRPr="00EC75B7">
        <w:rPr>
          <w:rFonts w:ascii="Verdana" w:hAnsi="Verdana"/>
          <w:spacing w:val="-2"/>
        </w:rPr>
        <w:t xml:space="preserve">erosion/Coastal </w:t>
      </w:r>
      <w:r w:rsidRPr="00EC75B7">
        <w:rPr>
          <w:rFonts w:ascii="Verdana" w:hAnsi="Verdana"/>
        </w:rPr>
        <w:t>erosion</w:t>
      </w:r>
    </w:p>
    <w:p w14:paraId="41F36A7F" w14:textId="77777777" w:rsidR="008715BE" w:rsidRPr="00EC75B7" w:rsidRDefault="00000000">
      <w:pPr>
        <w:pStyle w:val="BodyText"/>
        <w:spacing w:before="110" w:line="357" w:lineRule="auto"/>
        <w:ind w:left="86" w:right="424"/>
        <w:jc w:val="both"/>
        <w:rPr>
          <w:rFonts w:ascii="Verdana" w:hAnsi="Verdana"/>
        </w:rPr>
      </w:pPr>
      <w:r w:rsidRPr="00EC75B7">
        <w:rPr>
          <w:rFonts w:ascii="Verdana" w:hAnsi="Verdana"/>
        </w:rPr>
        <w:t>In the Cerchezu site area, soil erosion may be exacerbated by climate change in the future.</w:t>
      </w:r>
      <w:r w:rsidRPr="00EC75B7">
        <w:rPr>
          <w:rFonts w:ascii="Verdana" w:hAnsi="Verdana"/>
          <w:spacing w:val="37"/>
        </w:rPr>
        <w:t xml:space="preserve"> </w:t>
      </w:r>
      <w:r w:rsidRPr="00EC75B7">
        <w:rPr>
          <w:rFonts w:ascii="Verdana" w:hAnsi="Verdana"/>
        </w:rPr>
        <w:t>The main factors are the intensification of heavy rainfall events and heat waves, which promote drying and disintegration of the topsoil. The risk of coastal erosion is reduced directly, but indirect effects on the banks of the Danube and local hydrotechnical infrastructure may occur.</w:t>
      </w:r>
    </w:p>
    <w:p w14:paraId="324955D1" w14:textId="77777777" w:rsidR="008715BE" w:rsidRPr="00EC75B7" w:rsidRDefault="00000000">
      <w:pPr>
        <w:spacing w:before="121"/>
        <w:ind w:left="86"/>
        <w:jc w:val="both"/>
        <w:rPr>
          <w:rFonts w:ascii="Verdana" w:hAnsi="Verdana"/>
          <w:b/>
          <w:sz w:val="18"/>
          <w:szCs w:val="18"/>
        </w:rPr>
      </w:pPr>
      <w:r w:rsidRPr="00EC75B7">
        <w:rPr>
          <w:rFonts w:ascii="Verdana" w:hAnsi="Verdana"/>
          <w:b/>
          <w:color w:val="009DEF"/>
          <w:spacing w:val="-2"/>
          <w:sz w:val="18"/>
          <w:szCs w:val="18"/>
        </w:rPr>
        <w:t xml:space="preserve">Exposure </w:t>
      </w:r>
      <w:r w:rsidRPr="00EC75B7">
        <w:rPr>
          <w:rFonts w:ascii="Verdana" w:hAnsi="Verdana"/>
          <w:b/>
          <w:color w:val="009DEF"/>
          <w:sz w:val="18"/>
          <w:szCs w:val="18"/>
        </w:rPr>
        <w:t>assessment results</w:t>
      </w:r>
    </w:p>
    <w:p w14:paraId="426DF7EF" w14:textId="77777777" w:rsidR="008715BE" w:rsidRPr="00EC75B7" w:rsidRDefault="008715BE">
      <w:pPr>
        <w:pStyle w:val="BodyText"/>
        <w:spacing w:before="9"/>
        <w:rPr>
          <w:rFonts w:ascii="Verdana" w:hAnsi="Verdana"/>
          <w:b/>
        </w:rPr>
      </w:pPr>
    </w:p>
    <w:p w14:paraId="0FCD70D5" w14:textId="77777777" w:rsidR="008715BE" w:rsidRPr="00EC75B7" w:rsidRDefault="00000000">
      <w:pPr>
        <w:pStyle w:val="BodyText"/>
        <w:spacing w:line="360" w:lineRule="auto"/>
        <w:ind w:left="86" w:right="433"/>
        <w:jc w:val="both"/>
        <w:rPr>
          <w:rFonts w:ascii="Verdana" w:hAnsi="Verdana"/>
        </w:rPr>
      </w:pPr>
      <w:r w:rsidRPr="00EC75B7">
        <w:rPr>
          <w:rFonts w:ascii="Verdana" w:hAnsi="Verdana"/>
        </w:rPr>
        <w:t>The assessment of exposure to climate risks was carried out by correlating the characteristics of the site with available climate projections, with the results presented reflecting the relative level of exposure for each hazard analyzed.</w:t>
      </w:r>
    </w:p>
    <w:p w14:paraId="576E4929" w14:textId="77777777" w:rsidR="008715BE" w:rsidRPr="00EC75B7" w:rsidRDefault="00000000">
      <w:pPr>
        <w:spacing w:before="165"/>
        <w:ind w:left="57"/>
        <w:jc w:val="both"/>
        <w:rPr>
          <w:rFonts w:ascii="Verdana" w:hAnsi="Verdana"/>
          <w:b/>
          <w:sz w:val="18"/>
          <w:szCs w:val="18"/>
        </w:rPr>
      </w:pPr>
      <w:r w:rsidRPr="00EC75B7">
        <w:rPr>
          <w:rFonts w:ascii="Verdana" w:hAnsi="Verdana"/>
          <w:b/>
          <w:color w:val="00AFEF"/>
          <w:sz w:val="18"/>
          <w:szCs w:val="18"/>
        </w:rPr>
        <w:t xml:space="preserve">Table 58 </w:t>
      </w:r>
      <w:r w:rsidRPr="00EC75B7">
        <w:rPr>
          <w:rFonts w:ascii="Verdana" w:hAnsi="Verdana"/>
          <w:b/>
          <w:color w:val="00AFEF"/>
          <w:spacing w:val="-2"/>
          <w:sz w:val="18"/>
          <w:szCs w:val="18"/>
        </w:rPr>
        <w:t xml:space="preserve">Exposure </w:t>
      </w:r>
      <w:r w:rsidRPr="00EC75B7">
        <w:rPr>
          <w:rFonts w:ascii="Verdana" w:hAnsi="Verdana"/>
          <w:b/>
          <w:color w:val="00AFEF"/>
          <w:sz w:val="18"/>
          <w:szCs w:val="18"/>
        </w:rPr>
        <w:t>assessment</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039"/>
        <w:gridCol w:w="378"/>
        <w:gridCol w:w="752"/>
        <w:gridCol w:w="1138"/>
        <w:gridCol w:w="1139"/>
        <w:gridCol w:w="846"/>
        <w:gridCol w:w="217"/>
      </w:tblGrid>
      <w:tr w:rsidR="008715BE" w:rsidRPr="00EC75B7" w14:paraId="189734CB" w14:textId="77777777">
        <w:trPr>
          <w:trHeight w:val="972"/>
        </w:trPr>
        <w:tc>
          <w:tcPr>
            <w:tcW w:w="5039" w:type="dxa"/>
            <w:shd w:val="clear" w:color="auto" w:fill="00AFEF"/>
          </w:tcPr>
          <w:p w14:paraId="3CF9830F" w14:textId="77777777" w:rsidR="008715BE" w:rsidRPr="00EC75B7" w:rsidRDefault="00000000">
            <w:pPr>
              <w:pStyle w:val="TableParagraph"/>
              <w:spacing w:line="195" w:lineRule="exact"/>
              <w:ind w:left="6"/>
              <w:jc w:val="center"/>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1130" w:type="dxa"/>
            <w:gridSpan w:val="2"/>
            <w:shd w:val="clear" w:color="auto" w:fill="00AFEF"/>
          </w:tcPr>
          <w:p w14:paraId="4B25B622" w14:textId="77777777" w:rsidR="008715BE" w:rsidRPr="00EC75B7" w:rsidRDefault="00000000">
            <w:pPr>
              <w:pStyle w:val="TableParagraph"/>
              <w:ind w:left="138" w:right="128"/>
              <w:jc w:val="both"/>
              <w:rPr>
                <w:rFonts w:ascii="Verdana" w:hAnsi="Verdana"/>
                <w:b/>
                <w:sz w:val="18"/>
                <w:szCs w:val="18"/>
              </w:rPr>
            </w:pPr>
            <w:r w:rsidRPr="00EC75B7">
              <w:rPr>
                <w:rFonts w:ascii="Verdana" w:hAnsi="Verdana"/>
                <w:b/>
                <w:color w:val="FFFFFF"/>
                <w:sz w:val="18"/>
                <w:szCs w:val="18"/>
              </w:rPr>
              <w:t>Current</w:t>
            </w:r>
            <w:r w:rsidRPr="00EC75B7">
              <w:rPr>
                <w:rFonts w:ascii="Verdana" w:hAnsi="Verdana"/>
                <w:b/>
                <w:color w:val="FFFFFF"/>
                <w:spacing w:val="-2"/>
                <w:sz w:val="18"/>
                <w:szCs w:val="18"/>
              </w:rPr>
              <w:t xml:space="preserve"> exposure </w:t>
            </w:r>
            <w:r w:rsidRPr="00EC75B7">
              <w:rPr>
                <w:rFonts w:ascii="Verdana" w:hAnsi="Verdana"/>
                <w:b/>
                <w:color w:val="FFFFFF"/>
                <w:sz w:val="18"/>
                <w:szCs w:val="18"/>
              </w:rPr>
              <w:t>RCP 2.6</w:t>
            </w:r>
          </w:p>
        </w:tc>
        <w:tc>
          <w:tcPr>
            <w:tcW w:w="1138" w:type="dxa"/>
            <w:shd w:val="clear" w:color="auto" w:fill="00AFEF"/>
          </w:tcPr>
          <w:p w14:paraId="00C90E79" w14:textId="77777777" w:rsidR="008715BE" w:rsidRPr="00EC75B7" w:rsidRDefault="00000000">
            <w:pPr>
              <w:pStyle w:val="TableParagraph"/>
              <w:ind w:left="117" w:right="112"/>
              <w:jc w:val="center"/>
              <w:rPr>
                <w:rFonts w:ascii="Verdana" w:hAnsi="Verdana"/>
                <w:b/>
                <w:sz w:val="18"/>
                <w:szCs w:val="18"/>
              </w:rPr>
            </w:pPr>
            <w:r w:rsidRPr="00EC75B7">
              <w:rPr>
                <w:rFonts w:ascii="Verdana" w:hAnsi="Verdana"/>
                <w:b/>
                <w:color w:val="FFFFFF"/>
                <w:spacing w:val="-4"/>
                <w:sz w:val="18"/>
                <w:szCs w:val="18"/>
              </w:rPr>
              <w:t xml:space="preserve">Medium-term </w:t>
            </w:r>
            <w:r w:rsidRPr="00EC75B7">
              <w:rPr>
                <w:rFonts w:ascii="Verdana" w:hAnsi="Verdana"/>
                <w:b/>
                <w:color w:val="FFFFFF"/>
                <w:sz w:val="18"/>
                <w:szCs w:val="18"/>
              </w:rPr>
              <w:t>exposure</w:t>
            </w:r>
          </w:p>
          <w:p w14:paraId="3C3CDC73" w14:textId="77777777" w:rsidR="008715BE" w:rsidRPr="00EC75B7" w:rsidRDefault="00000000">
            <w:pPr>
              <w:pStyle w:val="TableParagraph"/>
              <w:spacing w:line="171" w:lineRule="exact"/>
              <w:ind w:left="117" w:right="113"/>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4.5</w:t>
            </w:r>
          </w:p>
        </w:tc>
        <w:tc>
          <w:tcPr>
            <w:tcW w:w="1139" w:type="dxa"/>
            <w:shd w:val="clear" w:color="auto" w:fill="00AFEF"/>
          </w:tcPr>
          <w:p w14:paraId="05E1ECDE" w14:textId="77777777" w:rsidR="008715BE" w:rsidRPr="00EC75B7" w:rsidRDefault="00000000">
            <w:pPr>
              <w:pStyle w:val="TableParagraph"/>
              <w:ind w:left="117" w:right="113"/>
              <w:jc w:val="center"/>
              <w:rPr>
                <w:rFonts w:ascii="Verdana" w:hAnsi="Verdana"/>
                <w:b/>
                <w:sz w:val="18"/>
                <w:szCs w:val="18"/>
              </w:rPr>
            </w:pPr>
            <w:r w:rsidRPr="00EC75B7">
              <w:rPr>
                <w:rFonts w:ascii="Verdana" w:hAnsi="Verdana"/>
                <w:b/>
                <w:color w:val="FFFFFF"/>
                <w:spacing w:val="-4"/>
                <w:sz w:val="18"/>
                <w:szCs w:val="18"/>
              </w:rPr>
              <w:t>Long-term</w:t>
            </w:r>
            <w:r w:rsidRPr="00EC75B7">
              <w:rPr>
                <w:rFonts w:ascii="Verdana" w:hAnsi="Verdana"/>
                <w:b/>
                <w:color w:val="FFFFFF"/>
                <w:sz w:val="18"/>
                <w:szCs w:val="18"/>
              </w:rPr>
              <w:t xml:space="preserve"> exposure</w:t>
            </w:r>
          </w:p>
          <w:p w14:paraId="4748AB5C" w14:textId="77777777" w:rsidR="008715BE" w:rsidRPr="00EC75B7" w:rsidRDefault="00000000">
            <w:pPr>
              <w:pStyle w:val="TableParagraph"/>
              <w:spacing w:line="171" w:lineRule="exact"/>
              <w:ind w:left="117" w:right="115"/>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8.5</w:t>
            </w:r>
          </w:p>
        </w:tc>
        <w:tc>
          <w:tcPr>
            <w:tcW w:w="1063" w:type="dxa"/>
            <w:gridSpan w:val="2"/>
            <w:tcBorders>
              <w:top w:val="nil"/>
              <w:bottom w:val="single" w:sz="4" w:space="0" w:color="F1F1F1"/>
              <w:right w:val="nil"/>
            </w:tcBorders>
            <w:shd w:val="clear" w:color="auto" w:fill="00AFEF"/>
          </w:tcPr>
          <w:p w14:paraId="49E2B06D" w14:textId="77777777" w:rsidR="008715BE" w:rsidRPr="00EC75B7" w:rsidRDefault="00000000">
            <w:pPr>
              <w:pStyle w:val="TableParagraph"/>
              <w:spacing w:line="195" w:lineRule="exact"/>
              <w:ind w:left="188"/>
              <w:rPr>
                <w:rFonts w:ascii="Verdana" w:hAnsi="Verdana"/>
                <w:b/>
                <w:sz w:val="18"/>
                <w:szCs w:val="18"/>
              </w:rPr>
            </w:pPr>
            <w:r w:rsidRPr="00EC75B7">
              <w:rPr>
                <w:rFonts w:ascii="Verdana" w:hAnsi="Verdana"/>
                <w:b/>
                <w:color w:val="FFFFFF"/>
                <w:spacing w:val="-2"/>
                <w:sz w:val="18"/>
                <w:szCs w:val="18"/>
              </w:rPr>
              <w:t>Trends</w:t>
            </w:r>
          </w:p>
        </w:tc>
      </w:tr>
      <w:tr w:rsidR="008715BE" w:rsidRPr="00EC75B7" w14:paraId="7E02A69B" w14:textId="77777777">
        <w:trPr>
          <w:trHeight w:val="347"/>
        </w:trPr>
        <w:tc>
          <w:tcPr>
            <w:tcW w:w="5039" w:type="dxa"/>
          </w:tcPr>
          <w:p w14:paraId="7BD11880" w14:textId="77777777" w:rsidR="008715BE" w:rsidRPr="00EC75B7" w:rsidRDefault="00000000">
            <w:pPr>
              <w:pStyle w:val="TableParagraph"/>
              <w:spacing w:before="76"/>
              <w:ind w:left="108"/>
              <w:rPr>
                <w:rFonts w:ascii="Verdana" w:hAnsi="Verdana"/>
                <w:sz w:val="18"/>
                <w:szCs w:val="18"/>
              </w:rPr>
            </w:pPr>
            <w:r w:rsidRPr="00EC75B7">
              <w:rPr>
                <w:rFonts w:ascii="Verdana" w:hAnsi="Verdana"/>
                <w:sz w:val="18"/>
                <w:szCs w:val="18"/>
              </w:rPr>
              <w:t xml:space="preserve">Flooding/Storm </w:t>
            </w:r>
            <w:r w:rsidRPr="00EC75B7">
              <w:rPr>
                <w:rFonts w:ascii="Verdana" w:hAnsi="Verdana"/>
                <w:spacing w:val="-2"/>
                <w:sz w:val="18"/>
                <w:szCs w:val="18"/>
              </w:rPr>
              <w:t xml:space="preserve">surge/Heavy </w:t>
            </w:r>
            <w:r w:rsidRPr="00EC75B7">
              <w:rPr>
                <w:rFonts w:ascii="Verdana" w:hAnsi="Verdana"/>
                <w:sz w:val="18"/>
                <w:szCs w:val="18"/>
              </w:rPr>
              <w:t>rainfall</w:t>
            </w:r>
          </w:p>
        </w:tc>
        <w:tc>
          <w:tcPr>
            <w:tcW w:w="1130" w:type="dxa"/>
            <w:gridSpan w:val="2"/>
            <w:shd w:val="clear" w:color="auto" w:fill="C5DFB4"/>
          </w:tcPr>
          <w:p w14:paraId="1FA5CEA7"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C5DFB4"/>
          </w:tcPr>
          <w:p w14:paraId="36F5A2BA"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1</w:t>
            </w:r>
          </w:p>
        </w:tc>
        <w:tc>
          <w:tcPr>
            <w:tcW w:w="1139" w:type="dxa"/>
            <w:shd w:val="clear" w:color="auto" w:fill="C5DFB4"/>
          </w:tcPr>
          <w:p w14:paraId="08708D0B"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60DF9FCF" w14:textId="77777777" w:rsidR="008715BE" w:rsidRPr="00EC75B7" w:rsidRDefault="00000000">
            <w:pPr>
              <w:pStyle w:val="TableParagraph"/>
              <w:spacing w:before="30"/>
              <w:ind w:left="8" w:right="9"/>
              <w:jc w:val="center"/>
              <w:rPr>
                <w:rFonts w:ascii="Verdana" w:hAnsi="Verdana"/>
                <w:sz w:val="18"/>
                <w:szCs w:val="18"/>
              </w:rPr>
            </w:pPr>
            <w:r w:rsidRPr="00EC75B7">
              <w:rPr>
                <w:rFonts w:ascii="Arial" w:hAnsi="Arial" w:cs="Arial"/>
                <w:color w:val="00AF50"/>
                <w:spacing w:val="-10"/>
                <w:sz w:val="18"/>
                <w:szCs w:val="18"/>
              </w:rPr>
              <w:t>→</w:t>
            </w:r>
          </w:p>
        </w:tc>
      </w:tr>
      <w:tr w:rsidR="008715BE" w:rsidRPr="00EC75B7" w14:paraId="1F819C04" w14:textId="77777777">
        <w:trPr>
          <w:trHeight w:val="345"/>
        </w:trPr>
        <w:tc>
          <w:tcPr>
            <w:tcW w:w="5039" w:type="dxa"/>
          </w:tcPr>
          <w:p w14:paraId="46BE836A" w14:textId="77777777" w:rsidR="008715BE" w:rsidRPr="00EC75B7" w:rsidRDefault="00000000">
            <w:pPr>
              <w:pStyle w:val="TableParagraph"/>
              <w:spacing w:before="74"/>
              <w:ind w:left="108"/>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1130" w:type="dxa"/>
            <w:gridSpan w:val="2"/>
            <w:shd w:val="clear" w:color="auto" w:fill="C5DFB4"/>
          </w:tcPr>
          <w:p w14:paraId="15C46422" w14:textId="77777777" w:rsidR="008715BE" w:rsidRPr="00EC75B7" w:rsidRDefault="00000000">
            <w:pPr>
              <w:pStyle w:val="TableParagraph"/>
              <w:spacing w:before="74"/>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FFF1CC"/>
          </w:tcPr>
          <w:p w14:paraId="2A423209" w14:textId="77777777" w:rsidR="008715BE" w:rsidRPr="00EC75B7" w:rsidRDefault="00000000">
            <w:pPr>
              <w:pStyle w:val="TableParagraph"/>
              <w:spacing w:before="74"/>
              <w:ind w:left="118" w:right="112"/>
              <w:jc w:val="center"/>
              <w:rPr>
                <w:rFonts w:ascii="Verdana" w:hAnsi="Verdana"/>
                <w:sz w:val="18"/>
                <w:szCs w:val="18"/>
              </w:rPr>
            </w:pPr>
            <w:r w:rsidRPr="00EC75B7">
              <w:rPr>
                <w:rFonts w:ascii="Verdana" w:hAnsi="Verdana"/>
                <w:spacing w:val="-10"/>
                <w:sz w:val="18"/>
                <w:szCs w:val="18"/>
              </w:rPr>
              <w:t>2</w:t>
            </w:r>
          </w:p>
        </w:tc>
        <w:tc>
          <w:tcPr>
            <w:tcW w:w="1139" w:type="dxa"/>
            <w:shd w:val="clear" w:color="auto" w:fill="FFF1CC"/>
          </w:tcPr>
          <w:p w14:paraId="48865A43" w14:textId="77777777" w:rsidR="008715BE" w:rsidRPr="00EC75B7" w:rsidRDefault="00000000">
            <w:pPr>
              <w:pStyle w:val="TableParagraph"/>
              <w:spacing w:before="74"/>
              <w:ind w:left="117" w:right="113"/>
              <w:jc w:val="center"/>
              <w:rPr>
                <w:rFonts w:ascii="Verdana" w:hAnsi="Verdana"/>
                <w:sz w:val="18"/>
                <w:szCs w:val="18"/>
              </w:rPr>
            </w:pPr>
            <w:r w:rsidRPr="00EC75B7">
              <w:rPr>
                <w:rFonts w:ascii="Verdana" w:hAnsi="Verdana"/>
                <w:spacing w:val="-10"/>
                <w:sz w:val="18"/>
                <w:szCs w:val="18"/>
              </w:rPr>
              <w:t>2</w:t>
            </w:r>
          </w:p>
        </w:tc>
        <w:tc>
          <w:tcPr>
            <w:tcW w:w="1063" w:type="dxa"/>
            <w:gridSpan w:val="2"/>
            <w:tcBorders>
              <w:top w:val="single" w:sz="4" w:space="0" w:color="F1F1F1"/>
              <w:bottom w:val="single" w:sz="4" w:space="0" w:color="F1F1F1"/>
              <w:right w:val="single" w:sz="4" w:space="0" w:color="F1F1F1"/>
            </w:tcBorders>
          </w:tcPr>
          <w:p w14:paraId="654191C2"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FF0000"/>
                <w:spacing w:val="-10"/>
                <w:sz w:val="18"/>
                <w:szCs w:val="18"/>
              </w:rPr>
              <w:t>↑</w:t>
            </w:r>
          </w:p>
        </w:tc>
      </w:tr>
      <w:tr w:rsidR="008715BE" w:rsidRPr="00EC75B7" w14:paraId="0E0CD6B8" w14:textId="77777777">
        <w:trPr>
          <w:trHeight w:val="345"/>
        </w:trPr>
        <w:tc>
          <w:tcPr>
            <w:tcW w:w="5039" w:type="dxa"/>
          </w:tcPr>
          <w:p w14:paraId="4A4B0571" w14:textId="77777777" w:rsidR="008715BE" w:rsidRPr="00EC75B7" w:rsidRDefault="00000000">
            <w:pPr>
              <w:pStyle w:val="TableParagraph"/>
              <w:spacing w:before="76"/>
              <w:ind w:left="108"/>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tc>
        <w:tc>
          <w:tcPr>
            <w:tcW w:w="1130" w:type="dxa"/>
            <w:gridSpan w:val="2"/>
            <w:shd w:val="clear" w:color="auto" w:fill="C5DFB4"/>
          </w:tcPr>
          <w:p w14:paraId="3B1C9E89"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C5DFB4"/>
          </w:tcPr>
          <w:p w14:paraId="53FAC97B"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1</w:t>
            </w:r>
          </w:p>
        </w:tc>
        <w:tc>
          <w:tcPr>
            <w:tcW w:w="1139" w:type="dxa"/>
            <w:shd w:val="clear" w:color="auto" w:fill="C5DFB4"/>
          </w:tcPr>
          <w:p w14:paraId="57105A1C"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295DC9A0"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00AF50"/>
                <w:spacing w:val="-10"/>
                <w:sz w:val="18"/>
                <w:szCs w:val="18"/>
              </w:rPr>
              <w:t>→</w:t>
            </w:r>
          </w:p>
        </w:tc>
      </w:tr>
      <w:tr w:rsidR="008715BE" w:rsidRPr="00EC75B7" w14:paraId="1B4163BC" w14:textId="77777777">
        <w:trPr>
          <w:trHeight w:val="347"/>
        </w:trPr>
        <w:tc>
          <w:tcPr>
            <w:tcW w:w="5039" w:type="dxa"/>
          </w:tcPr>
          <w:p w14:paraId="1D961149" w14:textId="77777777" w:rsidR="008715BE" w:rsidRPr="00EC75B7" w:rsidRDefault="00000000">
            <w:pPr>
              <w:pStyle w:val="TableParagraph"/>
              <w:spacing w:before="76"/>
              <w:ind w:left="108"/>
              <w:rPr>
                <w:rFonts w:ascii="Verdana" w:hAnsi="Verdana"/>
                <w:sz w:val="18"/>
                <w:szCs w:val="18"/>
              </w:rPr>
            </w:pPr>
            <w:r w:rsidRPr="00EC75B7">
              <w:rPr>
                <w:rFonts w:ascii="Verdana" w:hAnsi="Verdana"/>
                <w:sz w:val="18"/>
                <w:szCs w:val="18"/>
              </w:rPr>
              <w:t xml:space="preserve">Change in </w:t>
            </w:r>
            <w:r w:rsidRPr="00EC75B7">
              <w:rPr>
                <w:rFonts w:ascii="Verdana" w:hAnsi="Verdana"/>
                <w:spacing w:val="-4"/>
                <w:sz w:val="18"/>
                <w:szCs w:val="18"/>
              </w:rPr>
              <w:t xml:space="preserve">wind </w:t>
            </w:r>
            <w:r w:rsidRPr="00EC75B7">
              <w:rPr>
                <w:rFonts w:ascii="Verdana" w:hAnsi="Verdana"/>
                <w:sz w:val="18"/>
                <w:szCs w:val="18"/>
              </w:rPr>
              <w:t>patterns</w:t>
            </w:r>
          </w:p>
        </w:tc>
        <w:tc>
          <w:tcPr>
            <w:tcW w:w="1130" w:type="dxa"/>
            <w:gridSpan w:val="2"/>
            <w:shd w:val="clear" w:color="auto" w:fill="C5DFB4"/>
          </w:tcPr>
          <w:p w14:paraId="2121D917"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C5DFB4"/>
          </w:tcPr>
          <w:p w14:paraId="2A920A58"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1</w:t>
            </w:r>
          </w:p>
        </w:tc>
        <w:tc>
          <w:tcPr>
            <w:tcW w:w="1139" w:type="dxa"/>
            <w:shd w:val="clear" w:color="auto" w:fill="C5DFB4"/>
          </w:tcPr>
          <w:p w14:paraId="3FA39448"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017C5E7C" w14:textId="77777777" w:rsidR="008715BE" w:rsidRPr="00EC75B7" w:rsidRDefault="00000000">
            <w:pPr>
              <w:pStyle w:val="TableParagraph"/>
              <w:spacing w:before="30"/>
              <w:ind w:left="8" w:right="9"/>
              <w:jc w:val="center"/>
              <w:rPr>
                <w:rFonts w:ascii="Verdana" w:hAnsi="Verdana"/>
                <w:sz w:val="18"/>
                <w:szCs w:val="18"/>
              </w:rPr>
            </w:pPr>
            <w:r w:rsidRPr="00EC75B7">
              <w:rPr>
                <w:rFonts w:ascii="Arial" w:hAnsi="Arial" w:cs="Arial"/>
                <w:color w:val="00AF50"/>
                <w:spacing w:val="-10"/>
                <w:sz w:val="18"/>
                <w:szCs w:val="18"/>
              </w:rPr>
              <w:t>→</w:t>
            </w:r>
          </w:p>
        </w:tc>
      </w:tr>
      <w:tr w:rsidR="008715BE" w:rsidRPr="00EC75B7" w14:paraId="320CE855" w14:textId="77777777">
        <w:trPr>
          <w:trHeight w:val="345"/>
        </w:trPr>
        <w:tc>
          <w:tcPr>
            <w:tcW w:w="5039" w:type="dxa"/>
          </w:tcPr>
          <w:p w14:paraId="369BEEFA" w14:textId="77777777" w:rsidR="008715BE" w:rsidRPr="00EC75B7" w:rsidRDefault="00000000">
            <w:pPr>
              <w:pStyle w:val="TableParagraph"/>
              <w:spacing w:before="74"/>
              <w:ind w:left="108"/>
              <w:rPr>
                <w:rFonts w:ascii="Verdana" w:hAnsi="Verdana"/>
                <w:sz w:val="18"/>
                <w:szCs w:val="18"/>
              </w:rPr>
            </w:pPr>
            <w:r w:rsidRPr="00EC75B7">
              <w:rPr>
                <w:rFonts w:ascii="Verdana" w:hAnsi="Verdana"/>
                <w:sz w:val="18"/>
                <w:szCs w:val="18"/>
              </w:rPr>
              <w:t xml:space="preserve">Extreme wind (including storm, lightning, hurricane, </w:t>
            </w:r>
            <w:r w:rsidRPr="00EC75B7">
              <w:rPr>
                <w:rFonts w:ascii="Verdana" w:hAnsi="Verdana"/>
                <w:spacing w:val="-2"/>
                <w:sz w:val="18"/>
                <w:szCs w:val="18"/>
              </w:rPr>
              <w:t>tornado)</w:t>
            </w:r>
          </w:p>
        </w:tc>
        <w:tc>
          <w:tcPr>
            <w:tcW w:w="1130" w:type="dxa"/>
            <w:gridSpan w:val="2"/>
            <w:shd w:val="clear" w:color="auto" w:fill="C5DFB4"/>
          </w:tcPr>
          <w:p w14:paraId="172BBD55" w14:textId="77777777" w:rsidR="008715BE" w:rsidRPr="00EC75B7" w:rsidRDefault="00000000">
            <w:pPr>
              <w:pStyle w:val="TableParagraph"/>
              <w:spacing w:before="74"/>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FFF1CC"/>
          </w:tcPr>
          <w:p w14:paraId="040B3335" w14:textId="77777777" w:rsidR="008715BE" w:rsidRPr="00EC75B7" w:rsidRDefault="00000000">
            <w:pPr>
              <w:pStyle w:val="TableParagraph"/>
              <w:spacing w:before="74"/>
              <w:ind w:left="118" w:right="112"/>
              <w:jc w:val="center"/>
              <w:rPr>
                <w:rFonts w:ascii="Verdana" w:hAnsi="Verdana"/>
                <w:sz w:val="18"/>
                <w:szCs w:val="18"/>
              </w:rPr>
            </w:pPr>
            <w:r w:rsidRPr="00EC75B7">
              <w:rPr>
                <w:rFonts w:ascii="Verdana" w:hAnsi="Verdana"/>
                <w:spacing w:val="-10"/>
                <w:sz w:val="18"/>
                <w:szCs w:val="18"/>
              </w:rPr>
              <w:t>2</w:t>
            </w:r>
          </w:p>
        </w:tc>
        <w:tc>
          <w:tcPr>
            <w:tcW w:w="1139" w:type="dxa"/>
            <w:shd w:val="clear" w:color="auto" w:fill="FFF1CC"/>
          </w:tcPr>
          <w:p w14:paraId="3CB83D1D" w14:textId="77777777" w:rsidR="008715BE" w:rsidRPr="00EC75B7" w:rsidRDefault="00000000">
            <w:pPr>
              <w:pStyle w:val="TableParagraph"/>
              <w:spacing w:before="74"/>
              <w:ind w:left="117" w:right="113"/>
              <w:jc w:val="center"/>
              <w:rPr>
                <w:rFonts w:ascii="Verdana" w:hAnsi="Verdana"/>
                <w:sz w:val="18"/>
                <w:szCs w:val="18"/>
              </w:rPr>
            </w:pPr>
            <w:r w:rsidRPr="00EC75B7">
              <w:rPr>
                <w:rFonts w:ascii="Verdana" w:hAnsi="Verdana"/>
                <w:spacing w:val="-10"/>
                <w:sz w:val="18"/>
                <w:szCs w:val="18"/>
              </w:rPr>
              <w:t>2</w:t>
            </w:r>
          </w:p>
        </w:tc>
        <w:tc>
          <w:tcPr>
            <w:tcW w:w="1063" w:type="dxa"/>
            <w:gridSpan w:val="2"/>
            <w:tcBorders>
              <w:top w:val="single" w:sz="4" w:space="0" w:color="F1F1F1"/>
              <w:bottom w:val="single" w:sz="4" w:space="0" w:color="F1F1F1"/>
              <w:right w:val="single" w:sz="4" w:space="0" w:color="F1F1F1"/>
            </w:tcBorders>
          </w:tcPr>
          <w:p w14:paraId="030D589B"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FF0000"/>
                <w:spacing w:val="-10"/>
                <w:sz w:val="18"/>
                <w:szCs w:val="18"/>
              </w:rPr>
              <w:t>↑</w:t>
            </w:r>
          </w:p>
        </w:tc>
      </w:tr>
      <w:tr w:rsidR="008715BE" w:rsidRPr="00EC75B7" w14:paraId="62D99468" w14:textId="77777777">
        <w:trPr>
          <w:trHeight w:val="345"/>
        </w:trPr>
        <w:tc>
          <w:tcPr>
            <w:tcW w:w="5039" w:type="dxa"/>
          </w:tcPr>
          <w:p w14:paraId="3439DD4C" w14:textId="77777777" w:rsidR="008715BE" w:rsidRPr="00EC75B7" w:rsidRDefault="00000000">
            <w:pPr>
              <w:pStyle w:val="TableParagraph"/>
              <w:spacing w:before="76"/>
              <w:ind w:left="108"/>
              <w:rPr>
                <w:rFonts w:ascii="Verdana" w:hAnsi="Verdana"/>
                <w:sz w:val="18"/>
                <w:szCs w:val="18"/>
              </w:rPr>
            </w:pPr>
            <w:r w:rsidRPr="00EC75B7">
              <w:rPr>
                <w:rFonts w:ascii="Verdana" w:hAnsi="Verdana"/>
                <w:sz w:val="18"/>
                <w:szCs w:val="18"/>
              </w:rPr>
              <w:t>Landslides/Avalanches</w:t>
            </w:r>
            <w:r w:rsidRPr="00EC75B7">
              <w:rPr>
                <w:rFonts w:ascii="Verdana" w:hAnsi="Verdana"/>
                <w:spacing w:val="-2"/>
                <w:sz w:val="18"/>
                <w:szCs w:val="18"/>
              </w:rPr>
              <w:t>/Subsidence</w:t>
            </w:r>
          </w:p>
        </w:tc>
        <w:tc>
          <w:tcPr>
            <w:tcW w:w="1130" w:type="dxa"/>
            <w:gridSpan w:val="2"/>
            <w:tcBorders>
              <w:top w:val="nil"/>
              <w:bottom w:val="nil"/>
            </w:tcBorders>
            <w:shd w:val="clear" w:color="auto" w:fill="D9D9D9"/>
          </w:tcPr>
          <w:p w14:paraId="2AEB83FA"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0</w:t>
            </w:r>
          </w:p>
        </w:tc>
        <w:tc>
          <w:tcPr>
            <w:tcW w:w="1138" w:type="dxa"/>
            <w:tcBorders>
              <w:top w:val="nil"/>
              <w:bottom w:val="nil"/>
            </w:tcBorders>
            <w:shd w:val="clear" w:color="auto" w:fill="D9D9D9"/>
          </w:tcPr>
          <w:p w14:paraId="2832DFB8"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0</w:t>
            </w:r>
          </w:p>
        </w:tc>
        <w:tc>
          <w:tcPr>
            <w:tcW w:w="1139" w:type="dxa"/>
            <w:shd w:val="clear" w:color="auto" w:fill="C5DFB4"/>
          </w:tcPr>
          <w:p w14:paraId="42BD5DC6"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75C35D27"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00AF50"/>
                <w:spacing w:val="-10"/>
                <w:sz w:val="18"/>
                <w:szCs w:val="18"/>
              </w:rPr>
              <w:t>→</w:t>
            </w:r>
          </w:p>
        </w:tc>
      </w:tr>
      <w:tr w:rsidR="008715BE" w:rsidRPr="00EC75B7" w14:paraId="1452A59E" w14:textId="77777777">
        <w:trPr>
          <w:trHeight w:val="299"/>
        </w:trPr>
        <w:tc>
          <w:tcPr>
            <w:tcW w:w="5039" w:type="dxa"/>
          </w:tcPr>
          <w:p w14:paraId="501F41B5" w14:textId="77777777" w:rsidR="008715BE" w:rsidRPr="00EC75B7" w:rsidRDefault="00000000">
            <w:pPr>
              <w:pStyle w:val="TableParagraph"/>
              <w:spacing w:before="52"/>
              <w:ind w:left="108"/>
              <w:rPr>
                <w:rFonts w:ascii="Verdana" w:hAnsi="Verdana"/>
                <w:sz w:val="18"/>
                <w:szCs w:val="18"/>
              </w:rPr>
            </w:pPr>
            <w:r w:rsidRPr="00EC75B7">
              <w:rPr>
                <w:rFonts w:ascii="Verdana" w:hAnsi="Verdana"/>
                <w:sz w:val="18"/>
                <w:szCs w:val="18"/>
              </w:rPr>
              <w:t xml:space="preserve">Sea level rise </w:t>
            </w:r>
            <w:r w:rsidRPr="00EC75B7">
              <w:rPr>
                <w:rFonts w:ascii="Verdana" w:hAnsi="Verdana"/>
                <w:spacing w:val="-2"/>
                <w:sz w:val="18"/>
                <w:szCs w:val="18"/>
              </w:rPr>
              <w:t xml:space="preserve">Saline </w:t>
            </w:r>
            <w:r w:rsidRPr="00EC75B7">
              <w:rPr>
                <w:rFonts w:ascii="Verdana" w:hAnsi="Verdana"/>
                <w:sz w:val="18"/>
                <w:szCs w:val="18"/>
              </w:rPr>
              <w:t>intrusion</w:t>
            </w:r>
          </w:p>
        </w:tc>
        <w:tc>
          <w:tcPr>
            <w:tcW w:w="1130" w:type="dxa"/>
            <w:gridSpan w:val="2"/>
            <w:tcBorders>
              <w:top w:val="nil"/>
              <w:bottom w:val="nil"/>
            </w:tcBorders>
            <w:shd w:val="clear" w:color="auto" w:fill="D9D9D9"/>
          </w:tcPr>
          <w:p w14:paraId="5A28941E" w14:textId="77777777" w:rsidR="008715BE" w:rsidRPr="00EC75B7" w:rsidRDefault="00000000">
            <w:pPr>
              <w:pStyle w:val="TableParagraph"/>
              <w:spacing w:before="52"/>
              <w:ind w:left="9"/>
              <w:jc w:val="center"/>
              <w:rPr>
                <w:rFonts w:ascii="Verdana" w:hAnsi="Verdana"/>
                <w:sz w:val="18"/>
                <w:szCs w:val="18"/>
              </w:rPr>
            </w:pPr>
            <w:r w:rsidRPr="00EC75B7">
              <w:rPr>
                <w:rFonts w:ascii="Verdana" w:hAnsi="Verdana"/>
                <w:spacing w:val="-10"/>
                <w:sz w:val="18"/>
                <w:szCs w:val="18"/>
              </w:rPr>
              <w:t>0</w:t>
            </w:r>
          </w:p>
        </w:tc>
        <w:tc>
          <w:tcPr>
            <w:tcW w:w="1138" w:type="dxa"/>
            <w:tcBorders>
              <w:top w:val="nil"/>
              <w:bottom w:val="nil"/>
            </w:tcBorders>
            <w:shd w:val="clear" w:color="auto" w:fill="D9D9D9"/>
          </w:tcPr>
          <w:p w14:paraId="61C73B28" w14:textId="77777777" w:rsidR="008715BE" w:rsidRPr="00EC75B7" w:rsidRDefault="00000000">
            <w:pPr>
              <w:pStyle w:val="TableParagraph"/>
              <w:spacing w:before="52"/>
              <w:ind w:left="118" w:right="112"/>
              <w:jc w:val="center"/>
              <w:rPr>
                <w:rFonts w:ascii="Verdana" w:hAnsi="Verdana"/>
                <w:sz w:val="18"/>
                <w:szCs w:val="18"/>
              </w:rPr>
            </w:pPr>
            <w:r w:rsidRPr="00EC75B7">
              <w:rPr>
                <w:rFonts w:ascii="Verdana" w:hAnsi="Verdana"/>
                <w:spacing w:val="-10"/>
                <w:sz w:val="18"/>
                <w:szCs w:val="18"/>
              </w:rPr>
              <w:t>0</w:t>
            </w:r>
          </w:p>
        </w:tc>
        <w:tc>
          <w:tcPr>
            <w:tcW w:w="1139" w:type="dxa"/>
            <w:tcBorders>
              <w:top w:val="nil"/>
              <w:bottom w:val="nil"/>
              <w:right w:val="nil"/>
            </w:tcBorders>
            <w:shd w:val="clear" w:color="auto" w:fill="D9D9D9"/>
          </w:tcPr>
          <w:p w14:paraId="33355BD4" w14:textId="77777777" w:rsidR="008715BE" w:rsidRPr="00EC75B7" w:rsidRDefault="00000000">
            <w:pPr>
              <w:pStyle w:val="TableParagraph"/>
              <w:spacing w:before="52"/>
              <w:jc w:val="center"/>
              <w:rPr>
                <w:rFonts w:ascii="Verdana" w:hAnsi="Verdana"/>
                <w:sz w:val="18"/>
                <w:szCs w:val="18"/>
              </w:rPr>
            </w:pPr>
            <w:r w:rsidRPr="00EC75B7">
              <w:rPr>
                <w:rFonts w:ascii="Verdana" w:hAnsi="Verdana"/>
                <w:spacing w:val="-10"/>
                <w:sz w:val="18"/>
                <w:szCs w:val="18"/>
              </w:rPr>
              <w:t>0</w:t>
            </w:r>
          </w:p>
        </w:tc>
        <w:tc>
          <w:tcPr>
            <w:tcW w:w="1063" w:type="dxa"/>
            <w:gridSpan w:val="2"/>
            <w:tcBorders>
              <w:top w:val="single" w:sz="4" w:space="0" w:color="F1F1F1"/>
              <w:left w:val="nil"/>
              <w:bottom w:val="single" w:sz="4" w:space="0" w:color="F1F1F1"/>
              <w:right w:val="single" w:sz="4" w:space="0" w:color="F1F1F1"/>
            </w:tcBorders>
          </w:tcPr>
          <w:p w14:paraId="211095E1" w14:textId="77777777" w:rsidR="008715BE" w:rsidRPr="00EC75B7" w:rsidRDefault="00000000">
            <w:pPr>
              <w:pStyle w:val="TableParagraph"/>
              <w:spacing w:before="2"/>
              <w:ind w:left="4"/>
              <w:jc w:val="center"/>
              <w:rPr>
                <w:rFonts w:ascii="Verdana" w:hAnsi="Verdana"/>
                <w:b/>
                <w:sz w:val="18"/>
                <w:szCs w:val="18"/>
              </w:rPr>
            </w:pPr>
            <w:r w:rsidRPr="00EC75B7">
              <w:rPr>
                <w:rFonts w:ascii="Verdana" w:hAnsi="Verdana"/>
                <w:b/>
                <w:spacing w:val="-10"/>
                <w:sz w:val="18"/>
                <w:szCs w:val="18"/>
              </w:rPr>
              <w:t>x</w:t>
            </w:r>
          </w:p>
        </w:tc>
      </w:tr>
      <w:tr w:rsidR="008715BE" w:rsidRPr="00EC75B7" w14:paraId="51234804" w14:textId="77777777">
        <w:trPr>
          <w:trHeight w:val="301"/>
        </w:trPr>
        <w:tc>
          <w:tcPr>
            <w:tcW w:w="5039" w:type="dxa"/>
          </w:tcPr>
          <w:p w14:paraId="41A85FD0" w14:textId="77777777" w:rsidR="008715BE" w:rsidRPr="00EC75B7" w:rsidRDefault="00000000">
            <w:pPr>
              <w:pStyle w:val="TableParagraph"/>
              <w:spacing w:before="54"/>
              <w:ind w:left="108"/>
              <w:rPr>
                <w:rFonts w:ascii="Verdana" w:hAnsi="Verdana"/>
                <w:sz w:val="18"/>
                <w:szCs w:val="18"/>
              </w:rPr>
            </w:pPr>
            <w:r w:rsidRPr="00EC75B7">
              <w:rPr>
                <w:rFonts w:ascii="Verdana" w:hAnsi="Verdana"/>
                <w:spacing w:val="-2"/>
                <w:sz w:val="18"/>
                <w:szCs w:val="18"/>
              </w:rPr>
              <w:t xml:space="preserve">Permafrost </w:t>
            </w:r>
            <w:r w:rsidRPr="00EC75B7">
              <w:rPr>
                <w:rFonts w:ascii="Verdana" w:hAnsi="Verdana"/>
                <w:sz w:val="18"/>
                <w:szCs w:val="18"/>
              </w:rPr>
              <w:t>thawing</w:t>
            </w:r>
          </w:p>
        </w:tc>
        <w:tc>
          <w:tcPr>
            <w:tcW w:w="1130" w:type="dxa"/>
            <w:gridSpan w:val="2"/>
            <w:tcBorders>
              <w:top w:val="nil"/>
              <w:bottom w:val="nil"/>
            </w:tcBorders>
            <w:shd w:val="clear" w:color="auto" w:fill="D9D9D9"/>
          </w:tcPr>
          <w:p w14:paraId="737077FD" w14:textId="77777777" w:rsidR="008715BE" w:rsidRPr="00EC75B7" w:rsidRDefault="00000000">
            <w:pPr>
              <w:pStyle w:val="TableParagraph"/>
              <w:spacing w:before="54"/>
              <w:ind w:left="9"/>
              <w:jc w:val="center"/>
              <w:rPr>
                <w:rFonts w:ascii="Verdana" w:hAnsi="Verdana"/>
                <w:sz w:val="18"/>
                <w:szCs w:val="18"/>
              </w:rPr>
            </w:pPr>
            <w:r w:rsidRPr="00EC75B7">
              <w:rPr>
                <w:rFonts w:ascii="Verdana" w:hAnsi="Verdana"/>
                <w:spacing w:val="-10"/>
                <w:sz w:val="18"/>
                <w:szCs w:val="18"/>
              </w:rPr>
              <w:t>0</w:t>
            </w:r>
          </w:p>
        </w:tc>
        <w:tc>
          <w:tcPr>
            <w:tcW w:w="1138" w:type="dxa"/>
            <w:tcBorders>
              <w:top w:val="nil"/>
              <w:bottom w:val="nil"/>
            </w:tcBorders>
            <w:shd w:val="clear" w:color="auto" w:fill="D9D9D9"/>
          </w:tcPr>
          <w:p w14:paraId="3CB8256A" w14:textId="77777777" w:rsidR="008715BE" w:rsidRPr="00EC75B7" w:rsidRDefault="00000000">
            <w:pPr>
              <w:pStyle w:val="TableParagraph"/>
              <w:spacing w:before="54"/>
              <w:ind w:left="118" w:right="112"/>
              <w:jc w:val="center"/>
              <w:rPr>
                <w:rFonts w:ascii="Verdana" w:hAnsi="Verdana"/>
                <w:sz w:val="18"/>
                <w:szCs w:val="18"/>
              </w:rPr>
            </w:pPr>
            <w:r w:rsidRPr="00EC75B7">
              <w:rPr>
                <w:rFonts w:ascii="Verdana" w:hAnsi="Verdana"/>
                <w:spacing w:val="-10"/>
                <w:sz w:val="18"/>
                <w:szCs w:val="18"/>
              </w:rPr>
              <w:t>0</w:t>
            </w:r>
          </w:p>
        </w:tc>
        <w:tc>
          <w:tcPr>
            <w:tcW w:w="1139" w:type="dxa"/>
            <w:tcBorders>
              <w:top w:val="nil"/>
              <w:bottom w:val="nil"/>
              <w:right w:val="nil"/>
            </w:tcBorders>
            <w:shd w:val="clear" w:color="auto" w:fill="D9D9D9"/>
          </w:tcPr>
          <w:p w14:paraId="7F801AC3" w14:textId="77777777" w:rsidR="008715BE" w:rsidRPr="00EC75B7" w:rsidRDefault="00000000">
            <w:pPr>
              <w:pStyle w:val="TableParagraph"/>
              <w:spacing w:before="54"/>
              <w:jc w:val="center"/>
              <w:rPr>
                <w:rFonts w:ascii="Verdana" w:hAnsi="Verdana"/>
                <w:sz w:val="18"/>
                <w:szCs w:val="18"/>
              </w:rPr>
            </w:pPr>
            <w:r w:rsidRPr="00EC75B7">
              <w:rPr>
                <w:rFonts w:ascii="Verdana" w:hAnsi="Verdana"/>
                <w:spacing w:val="-10"/>
                <w:sz w:val="18"/>
                <w:szCs w:val="18"/>
              </w:rPr>
              <w:t>0</w:t>
            </w:r>
          </w:p>
        </w:tc>
        <w:tc>
          <w:tcPr>
            <w:tcW w:w="1063" w:type="dxa"/>
            <w:gridSpan w:val="2"/>
            <w:tcBorders>
              <w:top w:val="single" w:sz="4" w:space="0" w:color="F1F1F1"/>
              <w:left w:val="nil"/>
              <w:bottom w:val="single" w:sz="4" w:space="0" w:color="F1F1F1"/>
              <w:right w:val="single" w:sz="4" w:space="0" w:color="F1F1F1"/>
            </w:tcBorders>
          </w:tcPr>
          <w:p w14:paraId="708FA113" w14:textId="77777777" w:rsidR="008715BE" w:rsidRPr="00EC75B7" w:rsidRDefault="00000000">
            <w:pPr>
              <w:pStyle w:val="TableParagraph"/>
              <w:spacing w:before="4"/>
              <w:ind w:left="4"/>
              <w:jc w:val="center"/>
              <w:rPr>
                <w:rFonts w:ascii="Verdana" w:hAnsi="Verdana"/>
                <w:b/>
                <w:sz w:val="18"/>
                <w:szCs w:val="18"/>
              </w:rPr>
            </w:pPr>
            <w:r w:rsidRPr="00EC75B7">
              <w:rPr>
                <w:rFonts w:ascii="Verdana" w:hAnsi="Verdana"/>
                <w:b/>
                <w:spacing w:val="-10"/>
                <w:sz w:val="18"/>
                <w:szCs w:val="18"/>
              </w:rPr>
              <w:t>x</w:t>
            </w:r>
          </w:p>
        </w:tc>
      </w:tr>
      <w:tr w:rsidR="008715BE" w:rsidRPr="00EC75B7" w14:paraId="736C86BF" w14:textId="77777777">
        <w:trPr>
          <w:trHeight w:val="345"/>
        </w:trPr>
        <w:tc>
          <w:tcPr>
            <w:tcW w:w="5039" w:type="dxa"/>
          </w:tcPr>
          <w:p w14:paraId="518EB3DE" w14:textId="77777777" w:rsidR="008715BE" w:rsidRPr="00EC75B7" w:rsidRDefault="00000000">
            <w:pPr>
              <w:pStyle w:val="TableParagraph"/>
              <w:spacing w:before="74"/>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1130" w:type="dxa"/>
            <w:gridSpan w:val="2"/>
            <w:shd w:val="clear" w:color="auto" w:fill="FFF1CC"/>
          </w:tcPr>
          <w:p w14:paraId="6A97337F" w14:textId="77777777" w:rsidR="008715BE" w:rsidRPr="00EC75B7" w:rsidRDefault="00000000">
            <w:pPr>
              <w:pStyle w:val="TableParagraph"/>
              <w:spacing w:before="74"/>
              <w:ind w:left="9"/>
              <w:jc w:val="center"/>
              <w:rPr>
                <w:rFonts w:ascii="Verdana" w:hAnsi="Verdana"/>
                <w:sz w:val="18"/>
                <w:szCs w:val="18"/>
              </w:rPr>
            </w:pPr>
            <w:r w:rsidRPr="00EC75B7">
              <w:rPr>
                <w:rFonts w:ascii="Verdana" w:hAnsi="Verdana"/>
                <w:spacing w:val="-10"/>
                <w:sz w:val="18"/>
                <w:szCs w:val="18"/>
              </w:rPr>
              <w:t>2</w:t>
            </w:r>
          </w:p>
        </w:tc>
        <w:tc>
          <w:tcPr>
            <w:tcW w:w="1138" w:type="dxa"/>
            <w:shd w:val="clear" w:color="auto" w:fill="FFF1CC"/>
          </w:tcPr>
          <w:p w14:paraId="459F85E6" w14:textId="77777777" w:rsidR="008715BE" w:rsidRPr="00EC75B7" w:rsidRDefault="00000000">
            <w:pPr>
              <w:pStyle w:val="TableParagraph"/>
              <w:spacing w:before="74"/>
              <w:ind w:left="118" w:right="112"/>
              <w:jc w:val="center"/>
              <w:rPr>
                <w:rFonts w:ascii="Verdana" w:hAnsi="Verdana"/>
                <w:sz w:val="18"/>
                <w:szCs w:val="18"/>
              </w:rPr>
            </w:pPr>
            <w:r w:rsidRPr="00EC75B7">
              <w:rPr>
                <w:rFonts w:ascii="Verdana" w:hAnsi="Verdana"/>
                <w:spacing w:val="-10"/>
                <w:sz w:val="18"/>
                <w:szCs w:val="18"/>
              </w:rPr>
              <w:t>2</w:t>
            </w:r>
          </w:p>
        </w:tc>
        <w:tc>
          <w:tcPr>
            <w:tcW w:w="1139" w:type="dxa"/>
            <w:shd w:val="clear" w:color="auto" w:fill="FFAE9F"/>
          </w:tcPr>
          <w:p w14:paraId="13E09E93" w14:textId="77777777" w:rsidR="008715BE" w:rsidRPr="00EC75B7" w:rsidRDefault="00000000">
            <w:pPr>
              <w:pStyle w:val="TableParagraph"/>
              <w:spacing w:before="74"/>
              <w:ind w:left="117" w:right="113"/>
              <w:jc w:val="center"/>
              <w:rPr>
                <w:rFonts w:ascii="Verdana" w:hAnsi="Verdana"/>
                <w:sz w:val="18"/>
                <w:szCs w:val="18"/>
              </w:rPr>
            </w:pPr>
            <w:r w:rsidRPr="00EC75B7">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2B3034F6"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FF0000"/>
                <w:spacing w:val="-10"/>
                <w:sz w:val="18"/>
                <w:szCs w:val="18"/>
              </w:rPr>
              <w:t>↑</w:t>
            </w:r>
          </w:p>
        </w:tc>
      </w:tr>
      <w:tr w:rsidR="008715BE" w:rsidRPr="00EC75B7" w14:paraId="53922D9F" w14:textId="77777777">
        <w:trPr>
          <w:trHeight w:val="345"/>
        </w:trPr>
        <w:tc>
          <w:tcPr>
            <w:tcW w:w="5039" w:type="dxa"/>
          </w:tcPr>
          <w:p w14:paraId="257A553C" w14:textId="77777777" w:rsidR="008715BE" w:rsidRPr="00EC75B7" w:rsidRDefault="00000000">
            <w:pPr>
              <w:pStyle w:val="TableParagraph"/>
              <w:spacing w:before="76"/>
              <w:ind w:left="108"/>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1130" w:type="dxa"/>
            <w:gridSpan w:val="2"/>
            <w:shd w:val="clear" w:color="auto" w:fill="FFF1CC"/>
          </w:tcPr>
          <w:p w14:paraId="61249E69"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2</w:t>
            </w:r>
          </w:p>
        </w:tc>
        <w:tc>
          <w:tcPr>
            <w:tcW w:w="1138" w:type="dxa"/>
            <w:shd w:val="clear" w:color="auto" w:fill="FFF1CC"/>
          </w:tcPr>
          <w:p w14:paraId="54DE0426"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2</w:t>
            </w:r>
          </w:p>
        </w:tc>
        <w:tc>
          <w:tcPr>
            <w:tcW w:w="1139" w:type="dxa"/>
            <w:shd w:val="clear" w:color="auto" w:fill="FFAE9F"/>
          </w:tcPr>
          <w:p w14:paraId="6452161F"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3C2787D1"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FF0000"/>
                <w:spacing w:val="-10"/>
                <w:sz w:val="18"/>
                <w:szCs w:val="18"/>
              </w:rPr>
              <w:t>↑</w:t>
            </w:r>
          </w:p>
        </w:tc>
      </w:tr>
      <w:tr w:rsidR="008715BE" w:rsidRPr="00EC75B7" w14:paraId="1D8CEE6A" w14:textId="77777777">
        <w:trPr>
          <w:trHeight w:val="345"/>
        </w:trPr>
        <w:tc>
          <w:tcPr>
            <w:tcW w:w="5039" w:type="dxa"/>
          </w:tcPr>
          <w:p w14:paraId="29ED1EA8" w14:textId="77777777" w:rsidR="008715BE" w:rsidRPr="00EC75B7" w:rsidRDefault="00000000">
            <w:pPr>
              <w:pStyle w:val="TableParagraph"/>
              <w:spacing w:before="76"/>
              <w:ind w:left="108"/>
              <w:rPr>
                <w:rFonts w:ascii="Verdana" w:hAnsi="Verdana"/>
                <w:sz w:val="18"/>
                <w:szCs w:val="18"/>
              </w:rPr>
            </w:pPr>
            <w:r w:rsidRPr="00EC75B7">
              <w:rPr>
                <w:rFonts w:ascii="Verdana" w:hAnsi="Verdana"/>
                <w:spacing w:val="-2"/>
                <w:sz w:val="18"/>
                <w:szCs w:val="18"/>
              </w:rPr>
              <w:t>Drought</w:t>
            </w:r>
          </w:p>
        </w:tc>
        <w:tc>
          <w:tcPr>
            <w:tcW w:w="1130" w:type="dxa"/>
            <w:gridSpan w:val="2"/>
            <w:shd w:val="clear" w:color="auto" w:fill="FFF1CC"/>
          </w:tcPr>
          <w:p w14:paraId="08BDCA1B"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2</w:t>
            </w:r>
          </w:p>
        </w:tc>
        <w:tc>
          <w:tcPr>
            <w:tcW w:w="1138" w:type="dxa"/>
            <w:shd w:val="clear" w:color="auto" w:fill="FFF1CC"/>
          </w:tcPr>
          <w:p w14:paraId="73FF34B0"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2</w:t>
            </w:r>
          </w:p>
        </w:tc>
        <w:tc>
          <w:tcPr>
            <w:tcW w:w="1139" w:type="dxa"/>
            <w:shd w:val="clear" w:color="auto" w:fill="FFAE9F"/>
          </w:tcPr>
          <w:p w14:paraId="20953DB3"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186CB5F3" w14:textId="77777777" w:rsidR="008715BE" w:rsidRPr="00EC75B7" w:rsidRDefault="00000000">
            <w:pPr>
              <w:pStyle w:val="TableParagraph"/>
              <w:spacing w:before="28"/>
              <w:ind w:left="8" w:right="9"/>
              <w:jc w:val="center"/>
              <w:rPr>
                <w:rFonts w:ascii="Verdana" w:hAnsi="Verdana"/>
                <w:sz w:val="18"/>
                <w:szCs w:val="18"/>
              </w:rPr>
            </w:pPr>
            <w:r w:rsidRPr="00EC75B7">
              <w:rPr>
                <w:rFonts w:ascii="Arial" w:hAnsi="Arial" w:cs="Arial"/>
                <w:color w:val="FF0000"/>
                <w:spacing w:val="-10"/>
                <w:sz w:val="18"/>
                <w:szCs w:val="18"/>
              </w:rPr>
              <w:t>↑</w:t>
            </w:r>
          </w:p>
        </w:tc>
      </w:tr>
      <w:tr w:rsidR="008715BE" w:rsidRPr="00EC75B7" w14:paraId="05C77961" w14:textId="77777777">
        <w:trPr>
          <w:trHeight w:val="347"/>
        </w:trPr>
        <w:tc>
          <w:tcPr>
            <w:tcW w:w="5039" w:type="dxa"/>
          </w:tcPr>
          <w:p w14:paraId="42A328C2" w14:textId="77777777" w:rsidR="008715BE" w:rsidRPr="00EC75B7" w:rsidRDefault="00000000">
            <w:pPr>
              <w:pStyle w:val="TableParagraph"/>
              <w:spacing w:before="76"/>
              <w:ind w:left="108"/>
              <w:rPr>
                <w:rFonts w:ascii="Verdana" w:hAnsi="Verdana"/>
                <w:sz w:val="18"/>
                <w:szCs w:val="18"/>
              </w:rPr>
            </w:pPr>
            <w:r w:rsidRPr="00EC75B7">
              <w:rPr>
                <w:rFonts w:ascii="Verdana" w:hAnsi="Verdana"/>
                <w:sz w:val="18"/>
                <w:szCs w:val="18"/>
              </w:rPr>
              <w:t xml:space="preserve">Soil </w:t>
            </w:r>
            <w:r w:rsidRPr="00EC75B7">
              <w:rPr>
                <w:rFonts w:ascii="Verdana" w:hAnsi="Verdana"/>
                <w:spacing w:val="-2"/>
                <w:sz w:val="18"/>
                <w:szCs w:val="18"/>
              </w:rPr>
              <w:t xml:space="preserve">erosion/Coastal </w:t>
            </w:r>
            <w:r w:rsidRPr="00EC75B7">
              <w:rPr>
                <w:rFonts w:ascii="Verdana" w:hAnsi="Verdana"/>
                <w:sz w:val="18"/>
                <w:szCs w:val="18"/>
              </w:rPr>
              <w:t>erosion</w:t>
            </w:r>
          </w:p>
        </w:tc>
        <w:tc>
          <w:tcPr>
            <w:tcW w:w="1130" w:type="dxa"/>
            <w:gridSpan w:val="2"/>
            <w:shd w:val="clear" w:color="auto" w:fill="C5DFB4"/>
          </w:tcPr>
          <w:p w14:paraId="085F6290" w14:textId="77777777" w:rsidR="008715BE" w:rsidRPr="00EC75B7" w:rsidRDefault="00000000">
            <w:pPr>
              <w:pStyle w:val="TableParagraph"/>
              <w:spacing w:before="76"/>
              <w:ind w:left="9"/>
              <w:jc w:val="center"/>
              <w:rPr>
                <w:rFonts w:ascii="Verdana" w:hAnsi="Verdana"/>
                <w:sz w:val="18"/>
                <w:szCs w:val="18"/>
              </w:rPr>
            </w:pPr>
            <w:r w:rsidRPr="00EC75B7">
              <w:rPr>
                <w:rFonts w:ascii="Verdana" w:hAnsi="Verdana"/>
                <w:spacing w:val="-10"/>
                <w:sz w:val="18"/>
                <w:szCs w:val="18"/>
              </w:rPr>
              <w:t>1</w:t>
            </w:r>
          </w:p>
        </w:tc>
        <w:tc>
          <w:tcPr>
            <w:tcW w:w="1138" w:type="dxa"/>
            <w:shd w:val="clear" w:color="auto" w:fill="C5DFB4"/>
          </w:tcPr>
          <w:p w14:paraId="4E54D7BF" w14:textId="77777777" w:rsidR="008715BE" w:rsidRPr="00EC75B7" w:rsidRDefault="00000000">
            <w:pPr>
              <w:pStyle w:val="TableParagraph"/>
              <w:spacing w:before="76"/>
              <w:ind w:left="118" w:right="112"/>
              <w:jc w:val="center"/>
              <w:rPr>
                <w:rFonts w:ascii="Verdana" w:hAnsi="Verdana"/>
                <w:sz w:val="18"/>
                <w:szCs w:val="18"/>
              </w:rPr>
            </w:pPr>
            <w:r w:rsidRPr="00EC75B7">
              <w:rPr>
                <w:rFonts w:ascii="Verdana" w:hAnsi="Verdana"/>
                <w:spacing w:val="-10"/>
                <w:sz w:val="18"/>
                <w:szCs w:val="18"/>
              </w:rPr>
              <w:t>1</w:t>
            </w:r>
          </w:p>
        </w:tc>
        <w:tc>
          <w:tcPr>
            <w:tcW w:w="1139" w:type="dxa"/>
            <w:shd w:val="clear" w:color="auto" w:fill="C5DFB4"/>
          </w:tcPr>
          <w:p w14:paraId="27E5A563" w14:textId="77777777" w:rsidR="008715BE" w:rsidRPr="00EC75B7" w:rsidRDefault="00000000">
            <w:pPr>
              <w:pStyle w:val="TableParagraph"/>
              <w:spacing w:before="76"/>
              <w:ind w:left="117" w:right="113"/>
              <w:jc w:val="center"/>
              <w:rPr>
                <w:rFonts w:ascii="Verdana" w:hAnsi="Verdana"/>
                <w:sz w:val="18"/>
                <w:szCs w:val="18"/>
              </w:rPr>
            </w:pPr>
            <w:r w:rsidRPr="00EC75B7">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30068921" w14:textId="77777777" w:rsidR="008715BE" w:rsidRPr="00EC75B7" w:rsidRDefault="00000000">
            <w:pPr>
              <w:pStyle w:val="TableParagraph"/>
              <w:spacing w:before="30"/>
              <w:ind w:left="8" w:right="9"/>
              <w:jc w:val="center"/>
              <w:rPr>
                <w:rFonts w:ascii="Verdana" w:hAnsi="Verdana"/>
                <w:sz w:val="18"/>
                <w:szCs w:val="18"/>
              </w:rPr>
            </w:pPr>
            <w:r w:rsidRPr="00EC75B7">
              <w:rPr>
                <w:rFonts w:ascii="Arial" w:hAnsi="Arial" w:cs="Arial"/>
                <w:color w:val="00AF50"/>
                <w:spacing w:val="-10"/>
                <w:sz w:val="18"/>
                <w:szCs w:val="18"/>
              </w:rPr>
              <w:t>→</w:t>
            </w:r>
          </w:p>
        </w:tc>
      </w:tr>
      <w:tr w:rsidR="008715BE" w:rsidRPr="00EC75B7" w14:paraId="22A6A047" w14:textId="77777777">
        <w:trPr>
          <w:trHeight w:val="193"/>
        </w:trPr>
        <w:tc>
          <w:tcPr>
            <w:tcW w:w="9292" w:type="dxa"/>
            <w:gridSpan w:val="6"/>
            <w:tcBorders>
              <w:top w:val="single" w:sz="4" w:space="0" w:color="F1F1F1"/>
              <w:left w:val="single" w:sz="4" w:space="0" w:color="F1F1F1"/>
              <w:bottom w:val="single" w:sz="4" w:space="0" w:color="F1F1F1"/>
              <w:right w:val="single" w:sz="4" w:space="0" w:color="F1F1F1"/>
            </w:tcBorders>
          </w:tcPr>
          <w:p w14:paraId="50882F2A" w14:textId="77777777" w:rsidR="008715BE" w:rsidRPr="00EC75B7" w:rsidRDefault="00000000">
            <w:pPr>
              <w:pStyle w:val="TableParagraph"/>
              <w:spacing w:line="174" w:lineRule="exact"/>
              <w:ind w:left="4"/>
              <w:jc w:val="center"/>
              <w:rPr>
                <w:rFonts w:ascii="Verdana" w:hAnsi="Verdana"/>
                <w:b/>
                <w:sz w:val="18"/>
                <w:szCs w:val="18"/>
              </w:rPr>
            </w:pPr>
            <w:r w:rsidRPr="00EC75B7">
              <w:rPr>
                <w:rFonts w:ascii="Verdana" w:hAnsi="Verdana"/>
                <w:b/>
                <w:spacing w:val="-2"/>
                <w:sz w:val="18"/>
                <w:szCs w:val="18"/>
              </w:rPr>
              <w:t>Legend</w:t>
            </w:r>
          </w:p>
        </w:tc>
        <w:tc>
          <w:tcPr>
            <w:tcW w:w="217" w:type="dxa"/>
            <w:vMerge w:val="restart"/>
            <w:tcBorders>
              <w:top w:val="single" w:sz="4" w:space="0" w:color="F1F1F1"/>
              <w:left w:val="single" w:sz="4" w:space="0" w:color="F1F1F1"/>
              <w:bottom w:val="nil"/>
              <w:right w:val="nil"/>
            </w:tcBorders>
          </w:tcPr>
          <w:p w14:paraId="13864F8D" w14:textId="77777777" w:rsidR="008715BE" w:rsidRPr="00EC75B7" w:rsidRDefault="008715BE">
            <w:pPr>
              <w:pStyle w:val="TableParagraph"/>
              <w:rPr>
                <w:rFonts w:ascii="Verdana" w:hAnsi="Verdana"/>
                <w:sz w:val="18"/>
                <w:szCs w:val="18"/>
              </w:rPr>
            </w:pPr>
          </w:p>
        </w:tc>
      </w:tr>
      <w:tr w:rsidR="008715BE" w:rsidRPr="00EC75B7" w14:paraId="00D8EDBD" w14:textId="77777777">
        <w:trPr>
          <w:trHeight w:val="345"/>
        </w:trPr>
        <w:tc>
          <w:tcPr>
            <w:tcW w:w="5417" w:type="dxa"/>
            <w:gridSpan w:val="2"/>
            <w:tcBorders>
              <w:top w:val="single" w:sz="4" w:space="0" w:color="F1F1F1"/>
              <w:left w:val="single" w:sz="4" w:space="0" w:color="F1F1F1"/>
              <w:bottom w:val="single" w:sz="4" w:space="0" w:color="F1F1F1"/>
              <w:right w:val="single" w:sz="4" w:space="0" w:color="F1F1F1"/>
            </w:tcBorders>
          </w:tcPr>
          <w:p w14:paraId="6D5F8547" w14:textId="77777777" w:rsidR="008715BE" w:rsidRPr="00EC75B7" w:rsidRDefault="00000000">
            <w:pPr>
              <w:pStyle w:val="TableParagraph"/>
              <w:spacing w:before="28"/>
              <w:ind w:right="97"/>
              <w:jc w:val="right"/>
              <w:rPr>
                <w:rFonts w:ascii="Verdana" w:hAnsi="Verdana"/>
                <w:sz w:val="18"/>
                <w:szCs w:val="18"/>
              </w:rPr>
            </w:pPr>
            <w:r w:rsidRPr="00EC75B7">
              <w:rPr>
                <w:rFonts w:ascii="Arial" w:hAnsi="Arial" w:cs="Arial"/>
                <w:color w:val="00AF50"/>
                <w:spacing w:val="-10"/>
                <w:sz w:val="18"/>
                <w:szCs w:val="18"/>
              </w:rPr>
              <w:t>→</w:t>
            </w:r>
          </w:p>
        </w:tc>
        <w:tc>
          <w:tcPr>
            <w:tcW w:w="3875" w:type="dxa"/>
            <w:gridSpan w:val="4"/>
            <w:tcBorders>
              <w:top w:val="single" w:sz="4" w:space="0" w:color="F1F1F1"/>
              <w:left w:val="single" w:sz="4" w:space="0" w:color="F1F1F1"/>
              <w:bottom w:val="single" w:sz="4" w:space="0" w:color="F1F1F1"/>
              <w:right w:val="single" w:sz="4" w:space="0" w:color="F1F1F1"/>
            </w:tcBorders>
          </w:tcPr>
          <w:p w14:paraId="0488EB8F"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pacing w:val="-2"/>
                <w:sz w:val="18"/>
                <w:szCs w:val="18"/>
              </w:rPr>
              <w:t>Stable</w:t>
            </w:r>
          </w:p>
        </w:tc>
        <w:tc>
          <w:tcPr>
            <w:tcW w:w="217" w:type="dxa"/>
            <w:vMerge/>
            <w:tcBorders>
              <w:top w:val="nil"/>
              <w:left w:val="single" w:sz="4" w:space="0" w:color="F1F1F1"/>
              <w:bottom w:val="nil"/>
              <w:right w:val="nil"/>
            </w:tcBorders>
          </w:tcPr>
          <w:p w14:paraId="13C17CAE" w14:textId="77777777" w:rsidR="008715BE" w:rsidRPr="00EC75B7" w:rsidRDefault="008715BE">
            <w:pPr>
              <w:rPr>
                <w:rFonts w:ascii="Verdana" w:hAnsi="Verdana"/>
                <w:sz w:val="18"/>
                <w:szCs w:val="18"/>
              </w:rPr>
            </w:pPr>
          </w:p>
        </w:tc>
      </w:tr>
      <w:tr w:rsidR="008715BE" w:rsidRPr="00EC75B7" w14:paraId="16A610C8" w14:textId="77777777">
        <w:trPr>
          <w:trHeight w:val="347"/>
        </w:trPr>
        <w:tc>
          <w:tcPr>
            <w:tcW w:w="5417" w:type="dxa"/>
            <w:gridSpan w:val="2"/>
            <w:tcBorders>
              <w:top w:val="single" w:sz="4" w:space="0" w:color="F1F1F1"/>
              <w:left w:val="single" w:sz="4" w:space="0" w:color="F1F1F1"/>
              <w:bottom w:val="single" w:sz="4" w:space="0" w:color="F1F1F1"/>
              <w:right w:val="single" w:sz="4" w:space="0" w:color="F1F1F1"/>
            </w:tcBorders>
          </w:tcPr>
          <w:p w14:paraId="1D252CED" w14:textId="77777777" w:rsidR="008715BE" w:rsidRPr="00EC75B7" w:rsidRDefault="00000000">
            <w:pPr>
              <w:pStyle w:val="TableParagraph"/>
              <w:spacing w:before="28"/>
              <w:ind w:right="97"/>
              <w:jc w:val="right"/>
              <w:rPr>
                <w:rFonts w:ascii="Verdana" w:hAnsi="Verdana"/>
                <w:sz w:val="18"/>
                <w:szCs w:val="18"/>
              </w:rPr>
            </w:pPr>
            <w:r w:rsidRPr="00EC75B7">
              <w:rPr>
                <w:rFonts w:ascii="Arial" w:hAnsi="Arial" w:cs="Arial"/>
                <w:color w:val="FF0000"/>
                <w:spacing w:val="-10"/>
                <w:sz w:val="18"/>
                <w:szCs w:val="18"/>
              </w:rPr>
              <w:t>↑</w:t>
            </w:r>
          </w:p>
        </w:tc>
        <w:tc>
          <w:tcPr>
            <w:tcW w:w="3875" w:type="dxa"/>
            <w:gridSpan w:val="4"/>
            <w:tcBorders>
              <w:top w:val="single" w:sz="4" w:space="0" w:color="F1F1F1"/>
              <w:left w:val="single" w:sz="4" w:space="0" w:color="F1F1F1"/>
              <w:bottom w:val="single" w:sz="4" w:space="0" w:color="F1F1F1"/>
              <w:right w:val="single" w:sz="4" w:space="0" w:color="F1F1F1"/>
            </w:tcBorders>
          </w:tcPr>
          <w:p w14:paraId="36393B98"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pacing w:val="-2"/>
                <w:sz w:val="18"/>
                <w:szCs w:val="18"/>
              </w:rPr>
              <w:t>Increasing</w:t>
            </w:r>
          </w:p>
        </w:tc>
        <w:tc>
          <w:tcPr>
            <w:tcW w:w="217" w:type="dxa"/>
            <w:vMerge/>
            <w:tcBorders>
              <w:top w:val="nil"/>
              <w:left w:val="single" w:sz="4" w:space="0" w:color="F1F1F1"/>
              <w:bottom w:val="nil"/>
              <w:right w:val="nil"/>
            </w:tcBorders>
          </w:tcPr>
          <w:p w14:paraId="4CAFFDBD" w14:textId="77777777" w:rsidR="008715BE" w:rsidRPr="00EC75B7" w:rsidRDefault="008715BE">
            <w:pPr>
              <w:rPr>
                <w:rFonts w:ascii="Verdana" w:hAnsi="Verdana"/>
                <w:sz w:val="18"/>
                <w:szCs w:val="18"/>
              </w:rPr>
            </w:pPr>
          </w:p>
        </w:tc>
      </w:tr>
      <w:tr w:rsidR="008715BE" w:rsidRPr="00EC75B7" w14:paraId="3F031BB1" w14:textId="77777777">
        <w:trPr>
          <w:trHeight w:val="234"/>
        </w:trPr>
        <w:tc>
          <w:tcPr>
            <w:tcW w:w="5417" w:type="dxa"/>
            <w:gridSpan w:val="2"/>
            <w:tcBorders>
              <w:top w:val="single" w:sz="4" w:space="0" w:color="F1F1F1"/>
              <w:left w:val="single" w:sz="4" w:space="0" w:color="F1F1F1"/>
              <w:bottom w:val="single" w:sz="4" w:space="0" w:color="F1F1F1"/>
              <w:right w:val="single" w:sz="4" w:space="0" w:color="F1F1F1"/>
            </w:tcBorders>
          </w:tcPr>
          <w:p w14:paraId="7BDE8951" w14:textId="77777777" w:rsidR="008715BE" w:rsidRPr="00EC75B7" w:rsidRDefault="00000000">
            <w:pPr>
              <w:pStyle w:val="TableParagraph"/>
              <w:spacing w:line="215" w:lineRule="exact"/>
              <w:ind w:right="98"/>
              <w:jc w:val="right"/>
              <w:rPr>
                <w:rFonts w:ascii="Verdana" w:hAnsi="Verdana"/>
                <w:b/>
                <w:sz w:val="18"/>
                <w:szCs w:val="18"/>
              </w:rPr>
            </w:pPr>
            <w:r w:rsidRPr="00EC75B7">
              <w:rPr>
                <w:rFonts w:ascii="Verdana" w:hAnsi="Verdana"/>
                <w:b/>
                <w:spacing w:val="-10"/>
                <w:sz w:val="18"/>
                <w:szCs w:val="18"/>
              </w:rPr>
              <w:t>x</w:t>
            </w:r>
          </w:p>
        </w:tc>
        <w:tc>
          <w:tcPr>
            <w:tcW w:w="3875" w:type="dxa"/>
            <w:gridSpan w:val="4"/>
            <w:tcBorders>
              <w:top w:val="single" w:sz="4" w:space="0" w:color="F1F1F1"/>
              <w:left w:val="single" w:sz="4" w:space="0" w:color="F1F1F1"/>
              <w:bottom w:val="single" w:sz="4" w:space="0" w:color="F1F1F1"/>
              <w:right w:val="single" w:sz="4" w:space="0" w:color="F1F1F1"/>
            </w:tcBorders>
          </w:tcPr>
          <w:p w14:paraId="2346DF44" w14:textId="77777777" w:rsidR="008715BE" w:rsidRPr="00EC75B7" w:rsidRDefault="00000000">
            <w:pPr>
              <w:pStyle w:val="TableParagraph"/>
              <w:spacing w:line="195" w:lineRule="exact"/>
              <w:ind w:left="109"/>
              <w:rPr>
                <w:rFonts w:ascii="Verdana" w:hAnsi="Verdana"/>
                <w:sz w:val="18"/>
                <w:szCs w:val="18"/>
              </w:rPr>
            </w:pPr>
            <w:r w:rsidRPr="00EC75B7">
              <w:rPr>
                <w:rFonts w:ascii="Verdana" w:hAnsi="Verdana"/>
                <w:sz w:val="18"/>
                <w:szCs w:val="18"/>
              </w:rPr>
              <w:t xml:space="preserve">Not specific/No </w:t>
            </w:r>
            <w:r w:rsidRPr="00EC75B7">
              <w:rPr>
                <w:rFonts w:ascii="Verdana" w:hAnsi="Verdana"/>
                <w:spacing w:val="-2"/>
                <w:sz w:val="18"/>
                <w:szCs w:val="18"/>
              </w:rPr>
              <w:t>exposure</w:t>
            </w:r>
          </w:p>
        </w:tc>
        <w:tc>
          <w:tcPr>
            <w:tcW w:w="217" w:type="dxa"/>
            <w:vMerge/>
            <w:tcBorders>
              <w:top w:val="nil"/>
              <w:left w:val="single" w:sz="4" w:space="0" w:color="F1F1F1"/>
              <w:bottom w:val="nil"/>
              <w:right w:val="nil"/>
            </w:tcBorders>
          </w:tcPr>
          <w:p w14:paraId="70EFEA79" w14:textId="77777777" w:rsidR="008715BE" w:rsidRPr="00EC75B7" w:rsidRDefault="008715BE">
            <w:pPr>
              <w:rPr>
                <w:rFonts w:ascii="Verdana" w:hAnsi="Verdana"/>
                <w:sz w:val="18"/>
                <w:szCs w:val="18"/>
              </w:rPr>
            </w:pPr>
          </w:p>
        </w:tc>
      </w:tr>
    </w:tbl>
    <w:p w14:paraId="754A3954" w14:textId="77777777" w:rsidR="008715BE" w:rsidRPr="00EC75B7" w:rsidRDefault="008715BE">
      <w:pPr>
        <w:pStyle w:val="BodyText"/>
        <w:rPr>
          <w:rFonts w:ascii="Verdana" w:hAnsi="Verdana"/>
          <w:b/>
        </w:rPr>
      </w:pPr>
    </w:p>
    <w:p w14:paraId="3B86382A" w14:textId="77777777" w:rsidR="008715BE" w:rsidRPr="00EC75B7" w:rsidRDefault="008715BE">
      <w:pPr>
        <w:pStyle w:val="BodyText"/>
        <w:spacing w:before="63"/>
        <w:rPr>
          <w:rFonts w:ascii="Verdana" w:hAnsi="Verdana"/>
          <w:b/>
        </w:rPr>
      </w:pPr>
    </w:p>
    <w:p w14:paraId="2725656C" w14:textId="77777777" w:rsidR="008715BE" w:rsidRPr="00EC75B7" w:rsidRDefault="00000000">
      <w:pPr>
        <w:pStyle w:val="BodyText"/>
        <w:spacing w:line="357" w:lineRule="auto"/>
        <w:ind w:left="86" w:right="425"/>
        <w:jc w:val="both"/>
        <w:rPr>
          <w:rFonts w:ascii="Verdana" w:hAnsi="Verdana"/>
        </w:rPr>
      </w:pPr>
      <w:r w:rsidRPr="00EC75B7">
        <w:rPr>
          <w:rFonts w:ascii="Verdana" w:hAnsi="Verdana"/>
        </w:rPr>
        <w:t>The scores reflect the Cerchezu site's specific exposure to climate hazards, taking into account local geographical conditions and climate projections. The dominant risks are associated with high temperatures and drought, particularly in the RCP 8.5 scenario, while other hazards are assessed as low or irrelevant.</w:t>
      </w:r>
    </w:p>
    <w:p w14:paraId="60B0A29F" w14:textId="77777777" w:rsidR="008715BE" w:rsidRPr="00EC75B7" w:rsidRDefault="008715BE">
      <w:pPr>
        <w:pStyle w:val="BodyText"/>
        <w:spacing w:before="26"/>
        <w:rPr>
          <w:rFonts w:ascii="Verdana" w:hAnsi="Verdana"/>
        </w:rPr>
      </w:pPr>
    </w:p>
    <w:p w14:paraId="735B850D" w14:textId="77777777" w:rsidR="008715BE" w:rsidRPr="00EC75B7" w:rsidRDefault="00000000">
      <w:pPr>
        <w:pStyle w:val="Heading3"/>
        <w:numPr>
          <w:ilvl w:val="3"/>
          <w:numId w:val="33"/>
        </w:numPr>
        <w:tabs>
          <w:tab w:val="left" w:pos="1276"/>
        </w:tabs>
        <w:spacing w:before="1"/>
        <w:ind w:left="1276" w:hanging="1219"/>
        <w:jc w:val="left"/>
        <w:rPr>
          <w:rFonts w:ascii="Verdana" w:hAnsi="Verdana"/>
          <w:sz w:val="18"/>
          <w:szCs w:val="18"/>
        </w:rPr>
      </w:pPr>
      <w:bookmarkStart w:id="123" w:name="_bookmark124"/>
      <w:bookmarkEnd w:id="123"/>
      <w:r w:rsidRPr="00EC75B7">
        <w:rPr>
          <w:rFonts w:ascii="Verdana" w:hAnsi="Verdana"/>
          <w:color w:val="00AFEF"/>
          <w:spacing w:val="-2"/>
          <w:sz w:val="18"/>
          <w:szCs w:val="18"/>
        </w:rPr>
        <w:t>Vulnerability</w:t>
      </w:r>
    </w:p>
    <w:p w14:paraId="190C3504" w14:textId="77777777" w:rsidR="008715BE" w:rsidRPr="00EC75B7" w:rsidRDefault="008715BE">
      <w:pPr>
        <w:pStyle w:val="BodyText"/>
        <w:spacing w:before="113"/>
        <w:rPr>
          <w:rFonts w:ascii="Verdana" w:hAnsi="Verdana"/>
          <w:b/>
        </w:rPr>
      </w:pPr>
    </w:p>
    <w:p w14:paraId="045AA682" w14:textId="77777777" w:rsidR="008715BE" w:rsidRPr="00EC75B7" w:rsidRDefault="00000000">
      <w:pPr>
        <w:pStyle w:val="BodyText"/>
        <w:spacing w:before="1" w:line="357" w:lineRule="auto"/>
        <w:ind w:left="57" w:right="422"/>
        <w:jc w:val="both"/>
        <w:rPr>
          <w:rFonts w:ascii="Verdana" w:hAnsi="Verdana"/>
        </w:rPr>
      </w:pPr>
      <w:r w:rsidRPr="00EC75B7">
        <w:rPr>
          <w:rFonts w:ascii="Verdana" w:hAnsi="Verdana"/>
        </w:rPr>
        <w:t>The vulnerability analysis was performed using the matrix presented in Chapter VIII.2, resulting from the correlation between the sensitivity level and the exposure level. The results of the assessment of the project's vulnerability to climate change are presented below, taking into account the highest score assigned to exposure, regardless of whether it is current or projected</w:t>
      </w:r>
      <w:r w:rsidRPr="00EC75B7">
        <w:rPr>
          <w:rFonts w:ascii="Verdana" w:hAnsi="Verdana"/>
          <w:color w:val="009DEF"/>
        </w:rPr>
        <w:t>.</w:t>
      </w:r>
    </w:p>
    <w:p w14:paraId="24B28AB7"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824" w:gutter="0"/>
          <w:cols w:space="708"/>
        </w:sectPr>
      </w:pPr>
    </w:p>
    <w:p w14:paraId="70805EE0" w14:textId="77777777" w:rsidR="008715BE" w:rsidRPr="00EC75B7" w:rsidRDefault="00000000">
      <w:pPr>
        <w:spacing w:before="99"/>
        <w:ind w:left="57"/>
        <w:rPr>
          <w:rFonts w:ascii="Verdana" w:hAnsi="Verdana"/>
          <w:b/>
          <w:sz w:val="18"/>
          <w:szCs w:val="18"/>
        </w:rPr>
      </w:pPr>
      <w:r w:rsidRPr="00EC75B7">
        <w:rPr>
          <w:rFonts w:ascii="Verdana" w:hAnsi="Verdana"/>
          <w:b/>
          <w:color w:val="00AFEF"/>
          <w:sz w:val="18"/>
          <w:szCs w:val="18"/>
        </w:rPr>
        <w:lastRenderedPageBreak/>
        <w:t xml:space="preserve">Table 59 </w:t>
      </w:r>
      <w:r w:rsidRPr="00EC75B7">
        <w:rPr>
          <w:rFonts w:ascii="Verdana" w:hAnsi="Verdana"/>
          <w:b/>
          <w:color w:val="00AFEF"/>
          <w:spacing w:val="-2"/>
          <w:sz w:val="18"/>
          <w:szCs w:val="18"/>
        </w:rPr>
        <w:t xml:space="preserve">Vulnerability </w:t>
      </w:r>
      <w:r w:rsidRPr="00EC75B7">
        <w:rPr>
          <w:rFonts w:ascii="Verdana" w:hAnsi="Verdana"/>
          <w:b/>
          <w:color w:val="00AFEF"/>
          <w:sz w:val="18"/>
          <w:szCs w:val="18"/>
        </w:rPr>
        <w:t>analysis</w:t>
      </w:r>
    </w:p>
    <w:tbl>
      <w:tblPr>
        <w:tblStyle w:val="TableNormal1"/>
        <w:tblW w:w="0" w:type="auto"/>
        <w:tblInd w:w="6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404"/>
        <w:gridCol w:w="998"/>
        <w:gridCol w:w="1001"/>
        <w:gridCol w:w="999"/>
        <w:gridCol w:w="848"/>
        <w:gridCol w:w="933"/>
        <w:gridCol w:w="935"/>
        <w:gridCol w:w="935"/>
      </w:tblGrid>
      <w:tr w:rsidR="008715BE" w:rsidRPr="00EC75B7" w14:paraId="738344CA" w14:textId="77777777">
        <w:trPr>
          <w:trHeight w:val="595"/>
        </w:trPr>
        <w:tc>
          <w:tcPr>
            <w:tcW w:w="6402" w:type="dxa"/>
            <w:gridSpan w:val="4"/>
            <w:tcBorders>
              <w:top w:val="nil"/>
              <w:left w:val="nil"/>
              <w:bottom w:val="nil"/>
              <w:right w:val="nil"/>
            </w:tcBorders>
            <w:shd w:val="clear" w:color="auto" w:fill="00AFEF"/>
          </w:tcPr>
          <w:p w14:paraId="07C4B3C2" w14:textId="77777777" w:rsidR="008715BE" w:rsidRPr="00EC75B7" w:rsidRDefault="00000000">
            <w:pPr>
              <w:pStyle w:val="TableParagraph"/>
              <w:spacing w:before="194"/>
              <w:ind w:right="1014"/>
              <w:jc w:val="right"/>
              <w:rPr>
                <w:rFonts w:ascii="Verdana" w:hAnsi="Verdana"/>
                <w:b/>
                <w:sz w:val="18"/>
                <w:szCs w:val="18"/>
              </w:rPr>
            </w:pPr>
            <w:r w:rsidRPr="00EC75B7">
              <w:rPr>
                <w:rFonts w:ascii="Verdana" w:hAnsi="Verdana"/>
                <w:b/>
                <w:color w:val="FFFFFF"/>
                <w:spacing w:val="-2"/>
                <w:sz w:val="18"/>
                <w:szCs w:val="18"/>
              </w:rPr>
              <w:t>Exposure</w:t>
            </w:r>
          </w:p>
        </w:tc>
        <w:tc>
          <w:tcPr>
            <w:tcW w:w="848" w:type="dxa"/>
            <w:vMerge w:val="restart"/>
            <w:tcBorders>
              <w:top w:val="nil"/>
              <w:left w:val="nil"/>
              <w:right w:val="nil"/>
            </w:tcBorders>
            <w:shd w:val="clear" w:color="auto" w:fill="001F5F"/>
            <w:textDirection w:val="btLr"/>
          </w:tcPr>
          <w:p w14:paraId="2030E109" w14:textId="77777777" w:rsidR="008715BE" w:rsidRPr="00EC75B7" w:rsidRDefault="008715BE">
            <w:pPr>
              <w:pStyle w:val="TableParagraph"/>
              <w:spacing w:before="38"/>
              <w:rPr>
                <w:rFonts w:ascii="Verdana" w:hAnsi="Verdana"/>
                <w:b/>
                <w:sz w:val="18"/>
                <w:szCs w:val="18"/>
              </w:rPr>
            </w:pPr>
          </w:p>
          <w:p w14:paraId="0E35DBA8" w14:textId="77777777" w:rsidR="008715BE" w:rsidRPr="00EC75B7" w:rsidRDefault="00000000">
            <w:pPr>
              <w:pStyle w:val="TableParagraph"/>
              <w:ind w:left="83" w:right="54"/>
              <w:jc w:val="center"/>
              <w:rPr>
                <w:rFonts w:ascii="Verdana" w:hAnsi="Verdana"/>
                <w:b/>
                <w:sz w:val="18"/>
                <w:szCs w:val="18"/>
              </w:rPr>
            </w:pPr>
            <w:r w:rsidRPr="00EC75B7">
              <w:rPr>
                <w:rFonts w:ascii="Verdana" w:hAnsi="Verdana"/>
                <w:b/>
                <w:color w:val="FFFFFF"/>
                <w:spacing w:val="-2"/>
                <w:sz w:val="18"/>
                <w:szCs w:val="18"/>
              </w:rPr>
              <w:t>Sensitivity</w:t>
            </w:r>
          </w:p>
          <w:p w14:paraId="43387726" w14:textId="77777777" w:rsidR="008715BE" w:rsidRPr="00EC75B7" w:rsidRDefault="00000000">
            <w:pPr>
              <w:pStyle w:val="TableParagraph"/>
              <w:spacing w:before="7"/>
              <w:ind w:left="83"/>
              <w:jc w:val="center"/>
              <w:rPr>
                <w:rFonts w:ascii="Verdana" w:hAnsi="Verdana"/>
                <w:b/>
                <w:sz w:val="18"/>
                <w:szCs w:val="18"/>
              </w:rPr>
            </w:pPr>
            <w:r w:rsidRPr="00EC75B7">
              <w:rPr>
                <w:rFonts w:ascii="Verdana" w:hAnsi="Verdana"/>
                <w:b/>
                <w:color w:val="FFFFFF"/>
                <w:spacing w:val="-2"/>
                <w:sz w:val="18"/>
                <w:szCs w:val="18"/>
              </w:rPr>
              <w:t>Overall</w:t>
            </w:r>
          </w:p>
        </w:tc>
        <w:tc>
          <w:tcPr>
            <w:tcW w:w="2803" w:type="dxa"/>
            <w:gridSpan w:val="3"/>
            <w:tcBorders>
              <w:top w:val="nil"/>
              <w:left w:val="nil"/>
              <w:right w:val="nil"/>
            </w:tcBorders>
            <w:shd w:val="clear" w:color="auto" w:fill="00AFEF"/>
          </w:tcPr>
          <w:p w14:paraId="683FD2B4" w14:textId="77777777" w:rsidR="008715BE" w:rsidRPr="00EC75B7" w:rsidRDefault="00000000">
            <w:pPr>
              <w:pStyle w:val="TableParagraph"/>
              <w:spacing w:before="194"/>
              <w:ind w:left="736"/>
              <w:rPr>
                <w:rFonts w:ascii="Verdana" w:hAnsi="Verdana"/>
                <w:b/>
                <w:sz w:val="18"/>
                <w:szCs w:val="18"/>
              </w:rPr>
            </w:pPr>
            <w:r w:rsidRPr="00EC75B7">
              <w:rPr>
                <w:rFonts w:ascii="Verdana" w:hAnsi="Verdana"/>
                <w:b/>
                <w:color w:val="FFFFFF"/>
                <w:spacing w:val="-2"/>
                <w:sz w:val="18"/>
                <w:szCs w:val="18"/>
              </w:rPr>
              <w:t>Vulnerability</w:t>
            </w:r>
          </w:p>
        </w:tc>
      </w:tr>
      <w:tr w:rsidR="008715BE" w:rsidRPr="00EC75B7" w14:paraId="4ABCB759" w14:textId="77777777">
        <w:trPr>
          <w:trHeight w:val="1185"/>
        </w:trPr>
        <w:tc>
          <w:tcPr>
            <w:tcW w:w="3404" w:type="dxa"/>
            <w:tcBorders>
              <w:top w:val="nil"/>
              <w:left w:val="nil"/>
            </w:tcBorders>
            <w:shd w:val="clear" w:color="auto" w:fill="00AFEF"/>
          </w:tcPr>
          <w:p w14:paraId="0DF2EDD3" w14:textId="77777777" w:rsidR="008715BE" w:rsidRPr="00EC75B7" w:rsidRDefault="00000000">
            <w:pPr>
              <w:pStyle w:val="TableParagraph"/>
              <w:spacing w:before="186"/>
              <w:ind w:left="1010"/>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998" w:type="dxa"/>
            <w:shd w:val="clear" w:color="auto" w:fill="00AFEF"/>
          </w:tcPr>
          <w:p w14:paraId="3B9A759E" w14:textId="77777777" w:rsidR="008715BE" w:rsidRPr="00EC75B7" w:rsidRDefault="00000000">
            <w:pPr>
              <w:pStyle w:val="TableParagraph"/>
              <w:spacing w:line="190" w:lineRule="exact"/>
              <w:ind w:left="14"/>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2.6</w:t>
            </w:r>
          </w:p>
        </w:tc>
        <w:tc>
          <w:tcPr>
            <w:tcW w:w="1001" w:type="dxa"/>
            <w:shd w:val="clear" w:color="auto" w:fill="00AFEF"/>
          </w:tcPr>
          <w:p w14:paraId="2F9F108E" w14:textId="77777777" w:rsidR="008715BE" w:rsidRPr="00EC75B7" w:rsidRDefault="00000000">
            <w:pPr>
              <w:pStyle w:val="TableParagraph"/>
              <w:spacing w:line="190" w:lineRule="exact"/>
              <w:ind w:left="12"/>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4.5</w:t>
            </w:r>
          </w:p>
        </w:tc>
        <w:tc>
          <w:tcPr>
            <w:tcW w:w="999" w:type="dxa"/>
            <w:shd w:val="clear" w:color="auto" w:fill="00AFEF"/>
          </w:tcPr>
          <w:p w14:paraId="044AEF7B" w14:textId="77777777" w:rsidR="008715BE" w:rsidRPr="00EC75B7" w:rsidRDefault="00000000">
            <w:pPr>
              <w:pStyle w:val="TableParagraph"/>
              <w:spacing w:line="190" w:lineRule="exact"/>
              <w:ind w:left="14"/>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8.5</w:t>
            </w:r>
          </w:p>
        </w:tc>
        <w:tc>
          <w:tcPr>
            <w:tcW w:w="848" w:type="dxa"/>
            <w:vMerge/>
            <w:tcBorders>
              <w:top w:val="nil"/>
              <w:left w:val="nil"/>
              <w:right w:val="nil"/>
            </w:tcBorders>
            <w:shd w:val="clear" w:color="auto" w:fill="001F5F"/>
            <w:textDirection w:val="btLr"/>
          </w:tcPr>
          <w:p w14:paraId="49D1F7A2" w14:textId="77777777" w:rsidR="008715BE" w:rsidRPr="00EC75B7" w:rsidRDefault="008715BE">
            <w:pPr>
              <w:rPr>
                <w:rFonts w:ascii="Verdana" w:hAnsi="Verdana"/>
                <w:sz w:val="18"/>
                <w:szCs w:val="18"/>
              </w:rPr>
            </w:pPr>
          </w:p>
        </w:tc>
        <w:tc>
          <w:tcPr>
            <w:tcW w:w="933" w:type="dxa"/>
            <w:shd w:val="clear" w:color="auto" w:fill="00AFEF"/>
          </w:tcPr>
          <w:p w14:paraId="1715D34D" w14:textId="77777777" w:rsidR="008715BE" w:rsidRPr="00EC75B7" w:rsidRDefault="00000000">
            <w:pPr>
              <w:pStyle w:val="TableParagraph"/>
              <w:spacing w:line="190" w:lineRule="exact"/>
              <w:ind w:left="5"/>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2.6</w:t>
            </w:r>
          </w:p>
        </w:tc>
        <w:tc>
          <w:tcPr>
            <w:tcW w:w="935" w:type="dxa"/>
            <w:shd w:val="clear" w:color="auto" w:fill="00AFEF"/>
          </w:tcPr>
          <w:p w14:paraId="3B57F575" w14:textId="77777777" w:rsidR="008715BE" w:rsidRPr="00EC75B7" w:rsidRDefault="00000000">
            <w:pPr>
              <w:pStyle w:val="TableParagraph"/>
              <w:spacing w:line="190" w:lineRule="exact"/>
              <w:ind w:left="11"/>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4.5</w:t>
            </w:r>
          </w:p>
        </w:tc>
        <w:tc>
          <w:tcPr>
            <w:tcW w:w="935" w:type="dxa"/>
            <w:shd w:val="clear" w:color="auto" w:fill="00AFEF"/>
          </w:tcPr>
          <w:p w14:paraId="38706418" w14:textId="77777777" w:rsidR="008715BE" w:rsidRPr="00EC75B7" w:rsidRDefault="00000000">
            <w:pPr>
              <w:pStyle w:val="TableParagraph"/>
              <w:spacing w:line="190" w:lineRule="exact"/>
              <w:ind w:left="11" w:right="8"/>
              <w:jc w:val="center"/>
              <w:rPr>
                <w:rFonts w:ascii="Verdana" w:hAnsi="Verdana"/>
                <w:b/>
                <w:sz w:val="18"/>
                <w:szCs w:val="18"/>
              </w:rPr>
            </w:pPr>
            <w:r w:rsidRPr="00EC75B7">
              <w:rPr>
                <w:rFonts w:ascii="Verdana" w:hAnsi="Verdana"/>
                <w:b/>
                <w:color w:val="FFFFFF"/>
                <w:sz w:val="18"/>
                <w:szCs w:val="18"/>
              </w:rPr>
              <w:t>RCP</w:t>
            </w:r>
            <w:r w:rsidRPr="00EC75B7">
              <w:rPr>
                <w:rFonts w:ascii="Verdana" w:hAnsi="Verdana"/>
                <w:b/>
                <w:color w:val="FFFFFF"/>
                <w:spacing w:val="-5"/>
                <w:sz w:val="18"/>
                <w:szCs w:val="18"/>
              </w:rPr>
              <w:t xml:space="preserve"> 8.5</w:t>
            </w:r>
          </w:p>
        </w:tc>
      </w:tr>
      <w:tr w:rsidR="008715BE" w:rsidRPr="00EC75B7" w14:paraId="1D4A0BFF" w14:textId="77777777">
        <w:trPr>
          <w:trHeight w:val="299"/>
        </w:trPr>
        <w:tc>
          <w:tcPr>
            <w:tcW w:w="3404" w:type="dxa"/>
          </w:tcPr>
          <w:p w14:paraId="44D2A7E0"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2"/>
                <w:sz w:val="18"/>
                <w:szCs w:val="18"/>
              </w:rPr>
              <w:t xml:space="preserve">Flooding/Heavy </w:t>
            </w:r>
            <w:r w:rsidRPr="00EC75B7">
              <w:rPr>
                <w:rFonts w:ascii="Verdana" w:hAnsi="Verdana"/>
                <w:sz w:val="18"/>
                <w:szCs w:val="18"/>
              </w:rPr>
              <w:t>rainfall</w:t>
            </w:r>
          </w:p>
        </w:tc>
        <w:tc>
          <w:tcPr>
            <w:tcW w:w="998" w:type="dxa"/>
            <w:shd w:val="clear" w:color="auto" w:fill="C5DFB4"/>
          </w:tcPr>
          <w:p w14:paraId="607F0E58"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C5DFB4"/>
          </w:tcPr>
          <w:p w14:paraId="05563B3C"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1</w:t>
            </w:r>
          </w:p>
        </w:tc>
        <w:tc>
          <w:tcPr>
            <w:tcW w:w="999" w:type="dxa"/>
            <w:shd w:val="clear" w:color="auto" w:fill="C5DFB4"/>
          </w:tcPr>
          <w:p w14:paraId="582B2A89"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1</w:t>
            </w:r>
          </w:p>
        </w:tc>
        <w:tc>
          <w:tcPr>
            <w:tcW w:w="848" w:type="dxa"/>
            <w:shd w:val="clear" w:color="auto" w:fill="FFAE9F"/>
          </w:tcPr>
          <w:p w14:paraId="0B0BBD63"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3</w:t>
            </w:r>
          </w:p>
        </w:tc>
        <w:tc>
          <w:tcPr>
            <w:tcW w:w="933" w:type="dxa"/>
            <w:shd w:val="clear" w:color="auto" w:fill="FFC000"/>
          </w:tcPr>
          <w:p w14:paraId="5C6D3CDB"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3</w:t>
            </w:r>
          </w:p>
        </w:tc>
        <w:tc>
          <w:tcPr>
            <w:tcW w:w="935" w:type="dxa"/>
            <w:shd w:val="clear" w:color="auto" w:fill="FFC000"/>
          </w:tcPr>
          <w:p w14:paraId="65C478BF"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3</w:t>
            </w:r>
          </w:p>
        </w:tc>
        <w:tc>
          <w:tcPr>
            <w:tcW w:w="935" w:type="dxa"/>
            <w:shd w:val="clear" w:color="auto" w:fill="FFC000"/>
          </w:tcPr>
          <w:p w14:paraId="3D591366"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3</w:t>
            </w:r>
          </w:p>
        </w:tc>
      </w:tr>
      <w:tr w:rsidR="008715BE" w:rsidRPr="00EC75B7" w14:paraId="6D0725FE" w14:textId="77777777">
        <w:trPr>
          <w:trHeight w:val="299"/>
        </w:trPr>
        <w:tc>
          <w:tcPr>
            <w:tcW w:w="3404" w:type="dxa"/>
          </w:tcPr>
          <w:p w14:paraId="3CBAE43E"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998" w:type="dxa"/>
            <w:shd w:val="clear" w:color="auto" w:fill="C5DFB4"/>
          </w:tcPr>
          <w:p w14:paraId="68D2F79C"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FFF1CC"/>
          </w:tcPr>
          <w:p w14:paraId="00721AC1"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2</w:t>
            </w:r>
          </w:p>
        </w:tc>
        <w:tc>
          <w:tcPr>
            <w:tcW w:w="999" w:type="dxa"/>
            <w:shd w:val="clear" w:color="auto" w:fill="FFF1CC"/>
          </w:tcPr>
          <w:p w14:paraId="347913FD"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2</w:t>
            </w:r>
          </w:p>
        </w:tc>
        <w:tc>
          <w:tcPr>
            <w:tcW w:w="848" w:type="dxa"/>
            <w:shd w:val="clear" w:color="auto" w:fill="FFAE9F"/>
          </w:tcPr>
          <w:p w14:paraId="24009B64"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3</w:t>
            </w:r>
          </w:p>
        </w:tc>
        <w:tc>
          <w:tcPr>
            <w:tcW w:w="933" w:type="dxa"/>
            <w:shd w:val="clear" w:color="auto" w:fill="FFC000"/>
          </w:tcPr>
          <w:p w14:paraId="46561F6F"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3</w:t>
            </w:r>
          </w:p>
        </w:tc>
        <w:tc>
          <w:tcPr>
            <w:tcW w:w="935" w:type="dxa"/>
            <w:shd w:val="clear" w:color="auto" w:fill="FF8F92"/>
          </w:tcPr>
          <w:p w14:paraId="7100CE2F"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6</w:t>
            </w:r>
          </w:p>
        </w:tc>
        <w:tc>
          <w:tcPr>
            <w:tcW w:w="935" w:type="dxa"/>
            <w:shd w:val="clear" w:color="auto" w:fill="FF8F92"/>
          </w:tcPr>
          <w:p w14:paraId="46F2D5F6"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6</w:t>
            </w:r>
          </w:p>
        </w:tc>
      </w:tr>
      <w:tr w:rsidR="008715BE" w:rsidRPr="00EC75B7" w14:paraId="6A5C59C4" w14:textId="77777777">
        <w:trPr>
          <w:trHeight w:val="299"/>
        </w:trPr>
        <w:tc>
          <w:tcPr>
            <w:tcW w:w="3404" w:type="dxa"/>
          </w:tcPr>
          <w:p w14:paraId="46496321"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tc>
        <w:tc>
          <w:tcPr>
            <w:tcW w:w="998" w:type="dxa"/>
            <w:shd w:val="clear" w:color="auto" w:fill="C5DFB4"/>
          </w:tcPr>
          <w:p w14:paraId="086CCB86"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C5DFB4"/>
          </w:tcPr>
          <w:p w14:paraId="50C881AF"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1</w:t>
            </w:r>
          </w:p>
        </w:tc>
        <w:tc>
          <w:tcPr>
            <w:tcW w:w="999" w:type="dxa"/>
            <w:shd w:val="clear" w:color="auto" w:fill="C5DFB4"/>
          </w:tcPr>
          <w:p w14:paraId="372404A5"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1</w:t>
            </w:r>
          </w:p>
        </w:tc>
        <w:tc>
          <w:tcPr>
            <w:tcW w:w="848" w:type="dxa"/>
            <w:shd w:val="clear" w:color="auto" w:fill="FFF1CC"/>
          </w:tcPr>
          <w:p w14:paraId="7BD30142"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2</w:t>
            </w:r>
          </w:p>
        </w:tc>
        <w:tc>
          <w:tcPr>
            <w:tcW w:w="933" w:type="dxa"/>
            <w:shd w:val="clear" w:color="auto" w:fill="7BB455"/>
          </w:tcPr>
          <w:p w14:paraId="68E44094"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2</w:t>
            </w:r>
          </w:p>
        </w:tc>
        <w:tc>
          <w:tcPr>
            <w:tcW w:w="935" w:type="dxa"/>
            <w:shd w:val="clear" w:color="auto" w:fill="7BB455"/>
          </w:tcPr>
          <w:p w14:paraId="178E547F"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2</w:t>
            </w:r>
          </w:p>
        </w:tc>
        <w:tc>
          <w:tcPr>
            <w:tcW w:w="935" w:type="dxa"/>
            <w:shd w:val="clear" w:color="auto" w:fill="7BB455"/>
          </w:tcPr>
          <w:p w14:paraId="4A4C40BC"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2</w:t>
            </w:r>
          </w:p>
        </w:tc>
      </w:tr>
      <w:tr w:rsidR="008715BE" w:rsidRPr="00EC75B7" w14:paraId="00E6B0AF" w14:textId="77777777">
        <w:trPr>
          <w:trHeight w:val="299"/>
        </w:trPr>
        <w:tc>
          <w:tcPr>
            <w:tcW w:w="3404" w:type="dxa"/>
          </w:tcPr>
          <w:p w14:paraId="73EC9C80"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z w:val="18"/>
                <w:szCs w:val="18"/>
              </w:rPr>
              <w:t xml:space="preserve">Changing </w:t>
            </w:r>
            <w:r w:rsidRPr="00EC75B7">
              <w:rPr>
                <w:rFonts w:ascii="Verdana" w:hAnsi="Verdana"/>
                <w:spacing w:val="-4"/>
                <w:sz w:val="18"/>
                <w:szCs w:val="18"/>
              </w:rPr>
              <w:t xml:space="preserve">wind </w:t>
            </w:r>
            <w:r w:rsidRPr="00EC75B7">
              <w:rPr>
                <w:rFonts w:ascii="Verdana" w:hAnsi="Verdana"/>
                <w:sz w:val="18"/>
                <w:szCs w:val="18"/>
              </w:rPr>
              <w:t>patterns</w:t>
            </w:r>
          </w:p>
        </w:tc>
        <w:tc>
          <w:tcPr>
            <w:tcW w:w="998" w:type="dxa"/>
            <w:shd w:val="clear" w:color="auto" w:fill="C5DFB4"/>
          </w:tcPr>
          <w:p w14:paraId="573CD4B5"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C5DFB4"/>
          </w:tcPr>
          <w:p w14:paraId="53B9077C"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1</w:t>
            </w:r>
          </w:p>
        </w:tc>
        <w:tc>
          <w:tcPr>
            <w:tcW w:w="999" w:type="dxa"/>
            <w:shd w:val="clear" w:color="auto" w:fill="C5DFB4"/>
          </w:tcPr>
          <w:p w14:paraId="7C60F0D1"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1</w:t>
            </w:r>
          </w:p>
        </w:tc>
        <w:tc>
          <w:tcPr>
            <w:tcW w:w="848" w:type="dxa"/>
            <w:shd w:val="clear" w:color="auto" w:fill="FFF1CC"/>
          </w:tcPr>
          <w:p w14:paraId="2E037AC9"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2</w:t>
            </w:r>
          </w:p>
        </w:tc>
        <w:tc>
          <w:tcPr>
            <w:tcW w:w="933" w:type="dxa"/>
            <w:shd w:val="clear" w:color="auto" w:fill="7BB455"/>
          </w:tcPr>
          <w:p w14:paraId="568A4A68"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2</w:t>
            </w:r>
          </w:p>
        </w:tc>
        <w:tc>
          <w:tcPr>
            <w:tcW w:w="935" w:type="dxa"/>
            <w:shd w:val="clear" w:color="auto" w:fill="7BB455"/>
          </w:tcPr>
          <w:p w14:paraId="12556C5F"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2</w:t>
            </w:r>
          </w:p>
        </w:tc>
        <w:tc>
          <w:tcPr>
            <w:tcW w:w="935" w:type="dxa"/>
            <w:shd w:val="clear" w:color="auto" w:fill="7BB455"/>
          </w:tcPr>
          <w:p w14:paraId="722B4443"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2</w:t>
            </w:r>
          </w:p>
        </w:tc>
      </w:tr>
      <w:tr w:rsidR="008715BE" w:rsidRPr="00EC75B7" w14:paraId="3589B142" w14:textId="77777777">
        <w:trPr>
          <w:trHeight w:val="390"/>
        </w:trPr>
        <w:tc>
          <w:tcPr>
            <w:tcW w:w="3404" w:type="dxa"/>
          </w:tcPr>
          <w:p w14:paraId="2D14E43F" w14:textId="77777777" w:rsidR="008715BE" w:rsidRPr="00EC75B7" w:rsidRDefault="00000000">
            <w:pPr>
              <w:pStyle w:val="TableParagraph"/>
              <w:spacing w:line="192" w:lineRule="exact"/>
              <w:ind w:left="108"/>
              <w:rPr>
                <w:rFonts w:ascii="Verdana" w:hAnsi="Verdana"/>
                <w:sz w:val="18"/>
                <w:szCs w:val="18"/>
              </w:rPr>
            </w:pPr>
            <w:r w:rsidRPr="00EC75B7">
              <w:rPr>
                <w:rFonts w:ascii="Verdana" w:hAnsi="Verdana"/>
                <w:sz w:val="18"/>
                <w:szCs w:val="18"/>
              </w:rPr>
              <w:t xml:space="preserve">Extreme wind (including storm, </w:t>
            </w:r>
            <w:r w:rsidRPr="00EC75B7">
              <w:rPr>
                <w:rFonts w:ascii="Verdana" w:hAnsi="Verdana"/>
                <w:spacing w:val="-2"/>
                <w:sz w:val="18"/>
                <w:szCs w:val="18"/>
              </w:rPr>
              <w:t>lightning,</w:t>
            </w:r>
          </w:p>
          <w:p w14:paraId="158500FC" w14:textId="77777777" w:rsidR="008715BE" w:rsidRPr="00EC75B7" w:rsidRDefault="00000000">
            <w:pPr>
              <w:pStyle w:val="TableParagraph"/>
              <w:spacing w:line="179" w:lineRule="exact"/>
              <w:ind w:left="108"/>
              <w:rPr>
                <w:rFonts w:ascii="Verdana" w:hAnsi="Verdana"/>
                <w:sz w:val="18"/>
                <w:szCs w:val="18"/>
              </w:rPr>
            </w:pPr>
            <w:r w:rsidRPr="00EC75B7">
              <w:rPr>
                <w:rFonts w:ascii="Verdana" w:hAnsi="Verdana"/>
                <w:sz w:val="18"/>
                <w:szCs w:val="18"/>
              </w:rPr>
              <w:t xml:space="preserve">hurricanes, </w:t>
            </w:r>
            <w:r w:rsidRPr="00EC75B7">
              <w:rPr>
                <w:rFonts w:ascii="Verdana" w:hAnsi="Verdana"/>
                <w:spacing w:val="-2"/>
                <w:sz w:val="18"/>
                <w:szCs w:val="18"/>
              </w:rPr>
              <w:t>tornadoes)</w:t>
            </w:r>
          </w:p>
        </w:tc>
        <w:tc>
          <w:tcPr>
            <w:tcW w:w="998" w:type="dxa"/>
            <w:shd w:val="clear" w:color="auto" w:fill="C5DFB4"/>
          </w:tcPr>
          <w:p w14:paraId="2A837616" w14:textId="77777777" w:rsidR="008715BE" w:rsidRPr="00EC75B7" w:rsidRDefault="00000000">
            <w:pPr>
              <w:pStyle w:val="TableParagraph"/>
              <w:spacing w:before="93"/>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FFF1CC"/>
          </w:tcPr>
          <w:p w14:paraId="10560479" w14:textId="77777777" w:rsidR="008715BE" w:rsidRPr="00EC75B7" w:rsidRDefault="00000000">
            <w:pPr>
              <w:pStyle w:val="TableParagraph"/>
              <w:spacing w:before="93"/>
              <w:ind w:left="12" w:right="3"/>
              <w:jc w:val="center"/>
              <w:rPr>
                <w:rFonts w:ascii="Verdana" w:hAnsi="Verdana"/>
                <w:sz w:val="18"/>
                <w:szCs w:val="18"/>
              </w:rPr>
            </w:pPr>
            <w:r w:rsidRPr="00EC75B7">
              <w:rPr>
                <w:rFonts w:ascii="Verdana" w:hAnsi="Verdana"/>
                <w:spacing w:val="-10"/>
                <w:sz w:val="18"/>
                <w:szCs w:val="18"/>
              </w:rPr>
              <w:t>2</w:t>
            </w:r>
          </w:p>
        </w:tc>
        <w:tc>
          <w:tcPr>
            <w:tcW w:w="999" w:type="dxa"/>
            <w:shd w:val="clear" w:color="auto" w:fill="FFF1CC"/>
          </w:tcPr>
          <w:p w14:paraId="4EF642F3" w14:textId="77777777" w:rsidR="008715BE" w:rsidRPr="00EC75B7" w:rsidRDefault="00000000">
            <w:pPr>
              <w:pStyle w:val="TableParagraph"/>
              <w:spacing w:before="93"/>
              <w:ind w:left="14" w:right="2"/>
              <w:jc w:val="center"/>
              <w:rPr>
                <w:rFonts w:ascii="Verdana" w:hAnsi="Verdana"/>
                <w:sz w:val="18"/>
                <w:szCs w:val="18"/>
              </w:rPr>
            </w:pPr>
            <w:r w:rsidRPr="00EC75B7">
              <w:rPr>
                <w:rFonts w:ascii="Verdana" w:hAnsi="Verdana"/>
                <w:spacing w:val="-10"/>
                <w:sz w:val="18"/>
                <w:szCs w:val="18"/>
              </w:rPr>
              <w:t>2</w:t>
            </w:r>
          </w:p>
        </w:tc>
        <w:tc>
          <w:tcPr>
            <w:tcW w:w="848" w:type="dxa"/>
            <w:shd w:val="clear" w:color="auto" w:fill="FFF1CC"/>
          </w:tcPr>
          <w:p w14:paraId="5873542E" w14:textId="77777777" w:rsidR="008715BE" w:rsidRPr="00EC75B7" w:rsidRDefault="00000000">
            <w:pPr>
              <w:pStyle w:val="TableParagraph"/>
              <w:spacing w:before="93"/>
              <w:ind w:left="13"/>
              <w:jc w:val="center"/>
              <w:rPr>
                <w:rFonts w:ascii="Verdana" w:hAnsi="Verdana"/>
                <w:sz w:val="18"/>
                <w:szCs w:val="18"/>
              </w:rPr>
            </w:pPr>
            <w:r w:rsidRPr="00EC75B7">
              <w:rPr>
                <w:rFonts w:ascii="Verdana" w:hAnsi="Verdana"/>
                <w:spacing w:val="-10"/>
                <w:sz w:val="18"/>
                <w:szCs w:val="18"/>
              </w:rPr>
              <w:t>2</w:t>
            </w:r>
          </w:p>
        </w:tc>
        <w:tc>
          <w:tcPr>
            <w:tcW w:w="933" w:type="dxa"/>
            <w:shd w:val="clear" w:color="auto" w:fill="7BB455"/>
          </w:tcPr>
          <w:p w14:paraId="5B716072" w14:textId="77777777" w:rsidR="008715BE" w:rsidRPr="00EC75B7" w:rsidRDefault="00000000">
            <w:pPr>
              <w:pStyle w:val="TableParagraph"/>
              <w:spacing w:before="93"/>
              <w:ind w:left="5" w:right="2"/>
              <w:jc w:val="center"/>
              <w:rPr>
                <w:rFonts w:ascii="Verdana" w:hAnsi="Verdana"/>
                <w:sz w:val="18"/>
                <w:szCs w:val="18"/>
              </w:rPr>
            </w:pPr>
            <w:r w:rsidRPr="00EC75B7">
              <w:rPr>
                <w:rFonts w:ascii="Verdana" w:hAnsi="Verdana"/>
                <w:spacing w:val="-10"/>
                <w:sz w:val="18"/>
                <w:szCs w:val="18"/>
              </w:rPr>
              <w:t>2</w:t>
            </w:r>
          </w:p>
        </w:tc>
        <w:tc>
          <w:tcPr>
            <w:tcW w:w="935" w:type="dxa"/>
            <w:shd w:val="clear" w:color="auto" w:fill="FFC000"/>
          </w:tcPr>
          <w:p w14:paraId="278DD94C" w14:textId="77777777" w:rsidR="008715BE" w:rsidRPr="00EC75B7" w:rsidRDefault="00000000">
            <w:pPr>
              <w:pStyle w:val="TableParagraph"/>
              <w:spacing w:before="93"/>
              <w:ind w:left="11" w:right="3"/>
              <w:jc w:val="center"/>
              <w:rPr>
                <w:rFonts w:ascii="Verdana" w:hAnsi="Verdana"/>
                <w:sz w:val="18"/>
                <w:szCs w:val="18"/>
              </w:rPr>
            </w:pPr>
            <w:r w:rsidRPr="00EC75B7">
              <w:rPr>
                <w:rFonts w:ascii="Verdana" w:hAnsi="Verdana"/>
                <w:spacing w:val="-10"/>
                <w:sz w:val="18"/>
                <w:szCs w:val="18"/>
              </w:rPr>
              <w:t>4</w:t>
            </w:r>
          </w:p>
        </w:tc>
        <w:tc>
          <w:tcPr>
            <w:tcW w:w="935" w:type="dxa"/>
            <w:shd w:val="clear" w:color="auto" w:fill="FFC000"/>
          </w:tcPr>
          <w:p w14:paraId="07D5F0F6" w14:textId="77777777" w:rsidR="008715BE" w:rsidRPr="00EC75B7" w:rsidRDefault="00000000">
            <w:pPr>
              <w:pStyle w:val="TableParagraph"/>
              <w:spacing w:before="93"/>
              <w:ind w:left="11" w:right="11"/>
              <w:jc w:val="center"/>
              <w:rPr>
                <w:rFonts w:ascii="Verdana" w:hAnsi="Verdana"/>
                <w:sz w:val="18"/>
                <w:szCs w:val="18"/>
              </w:rPr>
            </w:pPr>
            <w:r w:rsidRPr="00EC75B7">
              <w:rPr>
                <w:rFonts w:ascii="Verdana" w:hAnsi="Verdana"/>
                <w:spacing w:val="-10"/>
                <w:sz w:val="18"/>
                <w:szCs w:val="18"/>
              </w:rPr>
              <w:t>4</w:t>
            </w:r>
          </w:p>
        </w:tc>
      </w:tr>
      <w:tr w:rsidR="008715BE" w:rsidRPr="00EC75B7" w14:paraId="6DC7C713" w14:textId="77777777">
        <w:trPr>
          <w:trHeight w:val="388"/>
        </w:trPr>
        <w:tc>
          <w:tcPr>
            <w:tcW w:w="3404" w:type="dxa"/>
          </w:tcPr>
          <w:p w14:paraId="7E620B09" w14:textId="77777777" w:rsidR="008715BE" w:rsidRPr="00EC75B7" w:rsidRDefault="00000000">
            <w:pPr>
              <w:pStyle w:val="TableParagraph"/>
              <w:spacing w:line="189" w:lineRule="exact"/>
              <w:ind w:left="108"/>
              <w:rPr>
                <w:rFonts w:ascii="Verdana" w:hAnsi="Verdana"/>
                <w:sz w:val="18"/>
                <w:szCs w:val="18"/>
              </w:rPr>
            </w:pPr>
            <w:r w:rsidRPr="00EC75B7">
              <w:rPr>
                <w:rFonts w:ascii="Verdana" w:hAnsi="Verdana"/>
                <w:sz w:val="18"/>
                <w:szCs w:val="18"/>
              </w:rPr>
              <w:t>Landslide/</w:t>
            </w:r>
            <w:r w:rsidRPr="00EC75B7">
              <w:rPr>
                <w:rFonts w:ascii="Verdana" w:hAnsi="Verdana"/>
                <w:spacing w:val="-2"/>
                <w:sz w:val="18"/>
                <w:szCs w:val="18"/>
              </w:rPr>
              <w:t>A</w:t>
            </w:r>
            <w:r w:rsidRPr="00EC75B7">
              <w:rPr>
                <w:rFonts w:ascii="Verdana" w:hAnsi="Verdana"/>
                <w:sz w:val="18"/>
                <w:szCs w:val="18"/>
              </w:rPr>
              <w:t>valanche/</w:t>
            </w:r>
          </w:p>
          <w:p w14:paraId="124E6536" w14:textId="77777777" w:rsidR="008715BE" w:rsidRPr="00EC75B7" w:rsidRDefault="00000000">
            <w:pPr>
              <w:pStyle w:val="TableParagraph"/>
              <w:spacing w:line="179" w:lineRule="exact"/>
              <w:ind w:left="108"/>
              <w:rPr>
                <w:rFonts w:ascii="Verdana" w:hAnsi="Verdana"/>
                <w:sz w:val="18"/>
                <w:szCs w:val="18"/>
              </w:rPr>
            </w:pPr>
            <w:r w:rsidRPr="00EC75B7">
              <w:rPr>
                <w:rFonts w:ascii="Verdana" w:hAnsi="Verdana"/>
                <w:spacing w:val="-2"/>
                <w:sz w:val="18"/>
                <w:szCs w:val="18"/>
              </w:rPr>
              <w:t>Subsidence</w:t>
            </w:r>
          </w:p>
        </w:tc>
        <w:tc>
          <w:tcPr>
            <w:tcW w:w="998" w:type="dxa"/>
            <w:tcBorders>
              <w:top w:val="nil"/>
              <w:bottom w:val="nil"/>
            </w:tcBorders>
            <w:shd w:val="clear" w:color="auto" w:fill="D9D9D9"/>
          </w:tcPr>
          <w:p w14:paraId="648D95B7" w14:textId="77777777" w:rsidR="008715BE" w:rsidRPr="00EC75B7" w:rsidRDefault="00000000">
            <w:pPr>
              <w:pStyle w:val="TableParagraph"/>
              <w:spacing w:before="90"/>
              <w:ind w:left="14" w:right="3"/>
              <w:jc w:val="center"/>
              <w:rPr>
                <w:rFonts w:ascii="Verdana" w:hAnsi="Verdana"/>
                <w:sz w:val="18"/>
                <w:szCs w:val="18"/>
              </w:rPr>
            </w:pPr>
            <w:r w:rsidRPr="00EC75B7">
              <w:rPr>
                <w:rFonts w:ascii="Verdana" w:hAnsi="Verdana"/>
                <w:spacing w:val="-10"/>
                <w:sz w:val="18"/>
                <w:szCs w:val="18"/>
              </w:rPr>
              <w:t>0</w:t>
            </w:r>
          </w:p>
        </w:tc>
        <w:tc>
          <w:tcPr>
            <w:tcW w:w="1001" w:type="dxa"/>
            <w:tcBorders>
              <w:top w:val="nil"/>
              <w:bottom w:val="nil"/>
            </w:tcBorders>
            <w:shd w:val="clear" w:color="auto" w:fill="D9D9D9"/>
          </w:tcPr>
          <w:p w14:paraId="26B58A2A" w14:textId="77777777" w:rsidR="008715BE" w:rsidRPr="00EC75B7" w:rsidRDefault="00000000">
            <w:pPr>
              <w:pStyle w:val="TableParagraph"/>
              <w:spacing w:before="90"/>
              <w:ind w:left="12" w:right="3"/>
              <w:jc w:val="center"/>
              <w:rPr>
                <w:rFonts w:ascii="Verdana" w:hAnsi="Verdana"/>
                <w:sz w:val="18"/>
                <w:szCs w:val="18"/>
              </w:rPr>
            </w:pPr>
            <w:r w:rsidRPr="00EC75B7">
              <w:rPr>
                <w:rFonts w:ascii="Verdana" w:hAnsi="Verdana"/>
                <w:spacing w:val="-10"/>
                <w:sz w:val="18"/>
                <w:szCs w:val="18"/>
              </w:rPr>
              <w:t>0</w:t>
            </w:r>
          </w:p>
        </w:tc>
        <w:tc>
          <w:tcPr>
            <w:tcW w:w="999" w:type="dxa"/>
            <w:shd w:val="clear" w:color="auto" w:fill="C5DFB4"/>
          </w:tcPr>
          <w:p w14:paraId="1D822A54" w14:textId="77777777" w:rsidR="008715BE" w:rsidRPr="00EC75B7" w:rsidRDefault="00000000">
            <w:pPr>
              <w:pStyle w:val="TableParagraph"/>
              <w:spacing w:before="90"/>
              <w:ind w:left="14" w:right="2"/>
              <w:jc w:val="center"/>
              <w:rPr>
                <w:rFonts w:ascii="Verdana" w:hAnsi="Verdana"/>
                <w:sz w:val="18"/>
                <w:szCs w:val="18"/>
              </w:rPr>
            </w:pPr>
            <w:r w:rsidRPr="00EC75B7">
              <w:rPr>
                <w:rFonts w:ascii="Verdana" w:hAnsi="Verdana"/>
                <w:spacing w:val="-10"/>
                <w:sz w:val="18"/>
                <w:szCs w:val="18"/>
              </w:rPr>
              <w:t>1</w:t>
            </w:r>
          </w:p>
        </w:tc>
        <w:tc>
          <w:tcPr>
            <w:tcW w:w="848" w:type="dxa"/>
            <w:shd w:val="clear" w:color="auto" w:fill="FFF1CC"/>
          </w:tcPr>
          <w:p w14:paraId="259E8D6B" w14:textId="77777777" w:rsidR="008715BE" w:rsidRPr="00EC75B7" w:rsidRDefault="00000000">
            <w:pPr>
              <w:pStyle w:val="TableParagraph"/>
              <w:spacing w:before="90"/>
              <w:ind w:left="13"/>
              <w:jc w:val="center"/>
              <w:rPr>
                <w:rFonts w:ascii="Verdana" w:hAnsi="Verdana"/>
                <w:sz w:val="18"/>
                <w:szCs w:val="18"/>
              </w:rPr>
            </w:pPr>
            <w:r w:rsidRPr="00EC75B7">
              <w:rPr>
                <w:rFonts w:ascii="Verdana" w:hAnsi="Verdana"/>
                <w:spacing w:val="-10"/>
                <w:sz w:val="18"/>
                <w:szCs w:val="18"/>
              </w:rPr>
              <w:t>2</w:t>
            </w:r>
          </w:p>
        </w:tc>
        <w:tc>
          <w:tcPr>
            <w:tcW w:w="933" w:type="dxa"/>
            <w:tcBorders>
              <w:top w:val="nil"/>
              <w:bottom w:val="nil"/>
            </w:tcBorders>
            <w:shd w:val="clear" w:color="auto" w:fill="D9D9D9"/>
          </w:tcPr>
          <w:p w14:paraId="4EA3FE7D" w14:textId="77777777" w:rsidR="008715BE" w:rsidRPr="00EC75B7" w:rsidRDefault="00000000">
            <w:pPr>
              <w:pStyle w:val="TableParagraph"/>
              <w:spacing w:before="90"/>
              <w:ind w:left="5" w:right="2"/>
              <w:jc w:val="center"/>
              <w:rPr>
                <w:rFonts w:ascii="Verdana" w:hAnsi="Verdana"/>
                <w:sz w:val="18"/>
                <w:szCs w:val="18"/>
              </w:rPr>
            </w:pPr>
            <w:r w:rsidRPr="00EC75B7">
              <w:rPr>
                <w:rFonts w:ascii="Verdana" w:hAnsi="Verdana"/>
                <w:spacing w:val="-10"/>
                <w:sz w:val="18"/>
                <w:szCs w:val="18"/>
              </w:rPr>
              <w:t>0</w:t>
            </w:r>
          </w:p>
        </w:tc>
        <w:tc>
          <w:tcPr>
            <w:tcW w:w="935" w:type="dxa"/>
            <w:tcBorders>
              <w:top w:val="nil"/>
              <w:bottom w:val="nil"/>
            </w:tcBorders>
            <w:shd w:val="clear" w:color="auto" w:fill="D9D9D9"/>
          </w:tcPr>
          <w:p w14:paraId="0466D93B" w14:textId="77777777" w:rsidR="008715BE" w:rsidRPr="00EC75B7" w:rsidRDefault="00000000">
            <w:pPr>
              <w:pStyle w:val="TableParagraph"/>
              <w:spacing w:before="90"/>
              <w:ind w:left="11" w:right="3"/>
              <w:jc w:val="center"/>
              <w:rPr>
                <w:rFonts w:ascii="Verdana" w:hAnsi="Verdana"/>
                <w:sz w:val="18"/>
                <w:szCs w:val="18"/>
              </w:rPr>
            </w:pPr>
            <w:r w:rsidRPr="00EC75B7">
              <w:rPr>
                <w:rFonts w:ascii="Verdana" w:hAnsi="Verdana"/>
                <w:spacing w:val="-10"/>
                <w:sz w:val="18"/>
                <w:szCs w:val="18"/>
              </w:rPr>
              <w:t>0</w:t>
            </w:r>
          </w:p>
        </w:tc>
        <w:tc>
          <w:tcPr>
            <w:tcW w:w="935" w:type="dxa"/>
            <w:shd w:val="clear" w:color="auto" w:fill="7BB455"/>
          </w:tcPr>
          <w:p w14:paraId="78A85B69" w14:textId="77777777" w:rsidR="008715BE" w:rsidRPr="00EC75B7" w:rsidRDefault="00000000">
            <w:pPr>
              <w:pStyle w:val="TableParagraph"/>
              <w:spacing w:before="90"/>
              <w:ind w:left="11" w:right="11"/>
              <w:jc w:val="center"/>
              <w:rPr>
                <w:rFonts w:ascii="Verdana" w:hAnsi="Verdana"/>
                <w:sz w:val="18"/>
                <w:szCs w:val="18"/>
              </w:rPr>
            </w:pPr>
            <w:r w:rsidRPr="00EC75B7">
              <w:rPr>
                <w:rFonts w:ascii="Verdana" w:hAnsi="Verdana"/>
                <w:spacing w:val="-10"/>
                <w:sz w:val="18"/>
                <w:szCs w:val="18"/>
              </w:rPr>
              <w:t>2</w:t>
            </w:r>
          </w:p>
        </w:tc>
      </w:tr>
      <w:tr w:rsidR="008715BE" w:rsidRPr="00EC75B7" w14:paraId="5046FE1A" w14:textId="77777777">
        <w:trPr>
          <w:trHeight w:val="389"/>
        </w:trPr>
        <w:tc>
          <w:tcPr>
            <w:tcW w:w="3404" w:type="dxa"/>
          </w:tcPr>
          <w:p w14:paraId="242D0E87" w14:textId="77777777" w:rsidR="008715BE" w:rsidRPr="00EC75B7" w:rsidRDefault="00000000">
            <w:pPr>
              <w:pStyle w:val="TableParagraph"/>
              <w:spacing w:line="190" w:lineRule="exact"/>
              <w:ind w:left="108"/>
              <w:rPr>
                <w:rFonts w:ascii="Verdana" w:hAnsi="Verdana"/>
                <w:sz w:val="18"/>
                <w:szCs w:val="18"/>
              </w:rPr>
            </w:pPr>
            <w:r w:rsidRPr="00EC75B7">
              <w:rPr>
                <w:rFonts w:ascii="Verdana" w:hAnsi="Verdana"/>
                <w:spacing w:val="-2"/>
                <w:sz w:val="18"/>
                <w:szCs w:val="18"/>
              </w:rPr>
              <w:t xml:space="preserve">Sea </w:t>
            </w:r>
            <w:r w:rsidRPr="00EC75B7">
              <w:rPr>
                <w:rFonts w:ascii="Verdana" w:hAnsi="Verdana"/>
                <w:sz w:val="18"/>
                <w:szCs w:val="18"/>
              </w:rPr>
              <w:t>level rise</w:t>
            </w:r>
          </w:p>
          <w:p w14:paraId="6F9316CC" w14:textId="77777777" w:rsidR="008715BE" w:rsidRPr="00EC75B7" w:rsidRDefault="00000000">
            <w:pPr>
              <w:pStyle w:val="TableParagraph"/>
              <w:spacing w:line="179" w:lineRule="exact"/>
              <w:ind w:left="108"/>
              <w:rPr>
                <w:rFonts w:ascii="Verdana" w:hAnsi="Verdana"/>
                <w:sz w:val="18"/>
                <w:szCs w:val="18"/>
              </w:rPr>
            </w:pPr>
            <w:r w:rsidRPr="00EC75B7">
              <w:rPr>
                <w:rFonts w:ascii="Verdana" w:hAnsi="Verdana"/>
                <w:spacing w:val="-2"/>
                <w:sz w:val="18"/>
                <w:szCs w:val="18"/>
              </w:rPr>
              <w:t xml:space="preserve">Saltwater </w:t>
            </w:r>
            <w:r w:rsidRPr="00EC75B7">
              <w:rPr>
                <w:rFonts w:ascii="Verdana" w:hAnsi="Verdana"/>
                <w:sz w:val="18"/>
                <w:szCs w:val="18"/>
              </w:rPr>
              <w:t>intrusion</w:t>
            </w:r>
          </w:p>
        </w:tc>
        <w:tc>
          <w:tcPr>
            <w:tcW w:w="998" w:type="dxa"/>
            <w:tcBorders>
              <w:top w:val="nil"/>
              <w:bottom w:val="nil"/>
            </w:tcBorders>
            <w:shd w:val="clear" w:color="auto" w:fill="D9D9D9"/>
          </w:tcPr>
          <w:p w14:paraId="78DE946E" w14:textId="77777777" w:rsidR="008715BE" w:rsidRPr="00EC75B7" w:rsidRDefault="00000000">
            <w:pPr>
              <w:pStyle w:val="TableParagraph"/>
              <w:spacing w:before="91"/>
              <w:ind w:left="14" w:right="3"/>
              <w:jc w:val="center"/>
              <w:rPr>
                <w:rFonts w:ascii="Verdana" w:hAnsi="Verdana"/>
                <w:sz w:val="18"/>
                <w:szCs w:val="18"/>
              </w:rPr>
            </w:pPr>
            <w:r w:rsidRPr="00EC75B7">
              <w:rPr>
                <w:rFonts w:ascii="Verdana" w:hAnsi="Verdana"/>
                <w:spacing w:val="-10"/>
                <w:sz w:val="18"/>
                <w:szCs w:val="18"/>
              </w:rPr>
              <w:t>0</w:t>
            </w:r>
          </w:p>
        </w:tc>
        <w:tc>
          <w:tcPr>
            <w:tcW w:w="1001" w:type="dxa"/>
            <w:tcBorders>
              <w:top w:val="nil"/>
              <w:bottom w:val="nil"/>
            </w:tcBorders>
            <w:shd w:val="clear" w:color="auto" w:fill="D9D9D9"/>
          </w:tcPr>
          <w:p w14:paraId="0DF137C6" w14:textId="77777777" w:rsidR="008715BE" w:rsidRPr="00EC75B7" w:rsidRDefault="00000000">
            <w:pPr>
              <w:pStyle w:val="TableParagraph"/>
              <w:spacing w:before="91"/>
              <w:ind w:left="12" w:right="3"/>
              <w:jc w:val="center"/>
              <w:rPr>
                <w:rFonts w:ascii="Verdana" w:hAnsi="Verdana"/>
                <w:sz w:val="18"/>
                <w:szCs w:val="18"/>
              </w:rPr>
            </w:pPr>
            <w:r w:rsidRPr="00EC75B7">
              <w:rPr>
                <w:rFonts w:ascii="Verdana" w:hAnsi="Verdana"/>
                <w:spacing w:val="-10"/>
                <w:sz w:val="18"/>
                <w:szCs w:val="18"/>
              </w:rPr>
              <w:t>0</w:t>
            </w:r>
          </w:p>
        </w:tc>
        <w:tc>
          <w:tcPr>
            <w:tcW w:w="999" w:type="dxa"/>
            <w:tcBorders>
              <w:top w:val="nil"/>
              <w:bottom w:val="nil"/>
            </w:tcBorders>
            <w:shd w:val="clear" w:color="auto" w:fill="D9D9D9"/>
          </w:tcPr>
          <w:p w14:paraId="79F56B7C" w14:textId="77777777" w:rsidR="008715BE" w:rsidRPr="00EC75B7" w:rsidRDefault="00000000">
            <w:pPr>
              <w:pStyle w:val="TableParagraph"/>
              <w:spacing w:before="91"/>
              <w:ind w:left="14" w:right="2"/>
              <w:jc w:val="center"/>
              <w:rPr>
                <w:rFonts w:ascii="Verdana" w:hAnsi="Verdana"/>
                <w:sz w:val="18"/>
                <w:szCs w:val="18"/>
              </w:rPr>
            </w:pPr>
            <w:r w:rsidRPr="00EC75B7">
              <w:rPr>
                <w:rFonts w:ascii="Verdana" w:hAnsi="Verdana"/>
                <w:spacing w:val="-10"/>
                <w:sz w:val="18"/>
                <w:szCs w:val="18"/>
              </w:rPr>
              <w:t>0</w:t>
            </w:r>
          </w:p>
        </w:tc>
        <w:tc>
          <w:tcPr>
            <w:tcW w:w="848" w:type="dxa"/>
            <w:shd w:val="clear" w:color="auto" w:fill="FFF1CC"/>
          </w:tcPr>
          <w:p w14:paraId="57297BF7" w14:textId="77777777" w:rsidR="008715BE" w:rsidRPr="00EC75B7" w:rsidRDefault="00000000">
            <w:pPr>
              <w:pStyle w:val="TableParagraph"/>
              <w:spacing w:before="91"/>
              <w:ind w:left="13"/>
              <w:jc w:val="center"/>
              <w:rPr>
                <w:rFonts w:ascii="Verdana" w:hAnsi="Verdana"/>
                <w:sz w:val="18"/>
                <w:szCs w:val="18"/>
              </w:rPr>
            </w:pPr>
            <w:r w:rsidRPr="00EC75B7">
              <w:rPr>
                <w:rFonts w:ascii="Verdana" w:hAnsi="Verdana"/>
                <w:spacing w:val="-10"/>
                <w:sz w:val="18"/>
                <w:szCs w:val="18"/>
              </w:rPr>
              <w:t>2</w:t>
            </w:r>
          </w:p>
        </w:tc>
        <w:tc>
          <w:tcPr>
            <w:tcW w:w="933" w:type="dxa"/>
            <w:tcBorders>
              <w:top w:val="nil"/>
              <w:bottom w:val="nil"/>
            </w:tcBorders>
            <w:shd w:val="clear" w:color="auto" w:fill="D9D9D9"/>
          </w:tcPr>
          <w:p w14:paraId="6D859FC0" w14:textId="77777777" w:rsidR="008715BE" w:rsidRPr="00EC75B7" w:rsidRDefault="00000000">
            <w:pPr>
              <w:pStyle w:val="TableParagraph"/>
              <w:spacing w:before="91"/>
              <w:ind w:left="5" w:right="2"/>
              <w:jc w:val="center"/>
              <w:rPr>
                <w:rFonts w:ascii="Verdana" w:hAnsi="Verdana"/>
                <w:sz w:val="18"/>
                <w:szCs w:val="18"/>
              </w:rPr>
            </w:pPr>
            <w:r w:rsidRPr="00EC75B7">
              <w:rPr>
                <w:rFonts w:ascii="Verdana" w:hAnsi="Verdana"/>
                <w:spacing w:val="-10"/>
                <w:sz w:val="18"/>
                <w:szCs w:val="18"/>
              </w:rPr>
              <w:t>0</w:t>
            </w:r>
          </w:p>
        </w:tc>
        <w:tc>
          <w:tcPr>
            <w:tcW w:w="935" w:type="dxa"/>
            <w:tcBorders>
              <w:top w:val="nil"/>
              <w:bottom w:val="nil"/>
            </w:tcBorders>
            <w:shd w:val="clear" w:color="auto" w:fill="D9D9D9"/>
          </w:tcPr>
          <w:p w14:paraId="3A4E6D9B" w14:textId="77777777" w:rsidR="008715BE" w:rsidRPr="00EC75B7" w:rsidRDefault="00000000">
            <w:pPr>
              <w:pStyle w:val="TableParagraph"/>
              <w:spacing w:before="91"/>
              <w:ind w:left="11" w:right="3"/>
              <w:jc w:val="center"/>
              <w:rPr>
                <w:rFonts w:ascii="Verdana" w:hAnsi="Verdana"/>
                <w:sz w:val="18"/>
                <w:szCs w:val="18"/>
              </w:rPr>
            </w:pPr>
            <w:r w:rsidRPr="00EC75B7">
              <w:rPr>
                <w:rFonts w:ascii="Verdana" w:hAnsi="Verdana"/>
                <w:spacing w:val="-10"/>
                <w:sz w:val="18"/>
                <w:szCs w:val="18"/>
              </w:rPr>
              <w:t>0</w:t>
            </w:r>
          </w:p>
        </w:tc>
        <w:tc>
          <w:tcPr>
            <w:tcW w:w="935" w:type="dxa"/>
            <w:tcBorders>
              <w:top w:val="nil"/>
              <w:bottom w:val="nil"/>
            </w:tcBorders>
            <w:shd w:val="clear" w:color="auto" w:fill="D9D9D9"/>
          </w:tcPr>
          <w:p w14:paraId="6DCF99AA" w14:textId="77777777" w:rsidR="008715BE" w:rsidRPr="00EC75B7" w:rsidRDefault="00000000">
            <w:pPr>
              <w:pStyle w:val="TableParagraph"/>
              <w:spacing w:before="91"/>
              <w:ind w:left="11" w:right="11"/>
              <w:jc w:val="center"/>
              <w:rPr>
                <w:rFonts w:ascii="Verdana" w:hAnsi="Verdana"/>
                <w:sz w:val="18"/>
                <w:szCs w:val="18"/>
              </w:rPr>
            </w:pPr>
            <w:r w:rsidRPr="00EC75B7">
              <w:rPr>
                <w:rFonts w:ascii="Verdana" w:hAnsi="Verdana"/>
                <w:spacing w:val="-10"/>
                <w:sz w:val="18"/>
                <w:szCs w:val="18"/>
              </w:rPr>
              <w:t>0</w:t>
            </w:r>
          </w:p>
        </w:tc>
      </w:tr>
      <w:tr w:rsidR="008715BE" w:rsidRPr="00EC75B7" w14:paraId="6152A74A" w14:textId="77777777">
        <w:trPr>
          <w:trHeight w:val="299"/>
        </w:trPr>
        <w:tc>
          <w:tcPr>
            <w:tcW w:w="3404" w:type="dxa"/>
          </w:tcPr>
          <w:p w14:paraId="4E8F0249"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2"/>
                <w:sz w:val="18"/>
                <w:szCs w:val="18"/>
              </w:rPr>
              <w:t xml:space="preserve">Permafrost </w:t>
            </w:r>
            <w:r w:rsidRPr="00EC75B7">
              <w:rPr>
                <w:rFonts w:ascii="Verdana" w:hAnsi="Verdana"/>
                <w:sz w:val="18"/>
                <w:szCs w:val="18"/>
              </w:rPr>
              <w:t>thawing</w:t>
            </w:r>
          </w:p>
        </w:tc>
        <w:tc>
          <w:tcPr>
            <w:tcW w:w="998" w:type="dxa"/>
            <w:tcBorders>
              <w:top w:val="nil"/>
              <w:bottom w:val="nil"/>
            </w:tcBorders>
            <w:shd w:val="clear" w:color="auto" w:fill="D9D9D9"/>
          </w:tcPr>
          <w:p w14:paraId="5F57985D"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0</w:t>
            </w:r>
          </w:p>
        </w:tc>
        <w:tc>
          <w:tcPr>
            <w:tcW w:w="1001" w:type="dxa"/>
            <w:tcBorders>
              <w:top w:val="nil"/>
              <w:bottom w:val="nil"/>
            </w:tcBorders>
            <w:shd w:val="clear" w:color="auto" w:fill="D9D9D9"/>
          </w:tcPr>
          <w:p w14:paraId="3E7D0C90"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0</w:t>
            </w:r>
          </w:p>
        </w:tc>
        <w:tc>
          <w:tcPr>
            <w:tcW w:w="999" w:type="dxa"/>
            <w:tcBorders>
              <w:top w:val="nil"/>
              <w:bottom w:val="nil"/>
            </w:tcBorders>
            <w:shd w:val="clear" w:color="auto" w:fill="D9D9D9"/>
          </w:tcPr>
          <w:p w14:paraId="5E57D5EA"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0</w:t>
            </w:r>
          </w:p>
        </w:tc>
        <w:tc>
          <w:tcPr>
            <w:tcW w:w="848" w:type="dxa"/>
            <w:shd w:val="clear" w:color="auto" w:fill="FFF1CC"/>
          </w:tcPr>
          <w:p w14:paraId="6AB65789"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2</w:t>
            </w:r>
          </w:p>
        </w:tc>
        <w:tc>
          <w:tcPr>
            <w:tcW w:w="933" w:type="dxa"/>
            <w:tcBorders>
              <w:top w:val="nil"/>
              <w:bottom w:val="nil"/>
            </w:tcBorders>
            <w:shd w:val="clear" w:color="auto" w:fill="D9D9D9"/>
          </w:tcPr>
          <w:p w14:paraId="70490154"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0</w:t>
            </w:r>
          </w:p>
        </w:tc>
        <w:tc>
          <w:tcPr>
            <w:tcW w:w="935" w:type="dxa"/>
            <w:tcBorders>
              <w:top w:val="nil"/>
              <w:bottom w:val="nil"/>
            </w:tcBorders>
            <w:shd w:val="clear" w:color="auto" w:fill="D9D9D9"/>
          </w:tcPr>
          <w:p w14:paraId="3BC4D632"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0</w:t>
            </w:r>
          </w:p>
        </w:tc>
        <w:tc>
          <w:tcPr>
            <w:tcW w:w="935" w:type="dxa"/>
            <w:tcBorders>
              <w:top w:val="nil"/>
              <w:bottom w:val="nil"/>
            </w:tcBorders>
            <w:shd w:val="clear" w:color="auto" w:fill="D9D9D9"/>
          </w:tcPr>
          <w:p w14:paraId="095A1E8C"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0</w:t>
            </w:r>
          </w:p>
        </w:tc>
      </w:tr>
      <w:tr w:rsidR="008715BE" w:rsidRPr="00EC75B7" w14:paraId="71EEF27C" w14:textId="77777777">
        <w:trPr>
          <w:trHeight w:val="299"/>
        </w:trPr>
        <w:tc>
          <w:tcPr>
            <w:tcW w:w="3404" w:type="dxa"/>
          </w:tcPr>
          <w:p w14:paraId="3AE8B832"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998" w:type="dxa"/>
            <w:shd w:val="clear" w:color="auto" w:fill="FFF1CC"/>
          </w:tcPr>
          <w:p w14:paraId="0CEF28BD"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2</w:t>
            </w:r>
          </w:p>
        </w:tc>
        <w:tc>
          <w:tcPr>
            <w:tcW w:w="1001" w:type="dxa"/>
            <w:shd w:val="clear" w:color="auto" w:fill="FFF1CC"/>
          </w:tcPr>
          <w:p w14:paraId="4DFA9494"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2</w:t>
            </w:r>
          </w:p>
        </w:tc>
        <w:tc>
          <w:tcPr>
            <w:tcW w:w="999" w:type="dxa"/>
            <w:shd w:val="clear" w:color="auto" w:fill="FFAE9F"/>
          </w:tcPr>
          <w:p w14:paraId="2122DB44"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3</w:t>
            </w:r>
          </w:p>
        </w:tc>
        <w:tc>
          <w:tcPr>
            <w:tcW w:w="848" w:type="dxa"/>
            <w:shd w:val="clear" w:color="auto" w:fill="FFF1CC"/>
          </w:tcPr>
          <w:p w14:paraId="51428FF3"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2</w:t>
            </w:r>
          </w:p>
        </w:tc>
        <w:tc>
          <w:tcPr>
            <w:tcW w:w="933" w:type="dxa"/>
            <w:shd w:val="clear" w:color="auto" w:fill="FFC000"/>
          </w:tcPr>
          <w:p w14:paraId="01994BBA"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4</w:t>
            </w:r>
          </w:p>
        </w:tc>
        <w:tc>
          <w:tcPr>
            <w:tcW w:w="935" w:type="dxa"/>
            <w:shd w:val="clear" w:color="auto" w:fill="FFC000"/>
          </w:tcPr>
          <w:p w14:paraId="70FAC801"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4</w:t>
            </w:r>
          </w:p>
        </w:tc>
        <w:tc>
          <w:tcPr>
            <w:tcW w:w="935" w:type="dxa"/>
            <w:shd w:val="clear" w:color="auto" w:fill="FF8F92"/>
          </w:tcPr>
          <w:p w14:paraId="5FD7B95C"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6</w:t>
            </w:r>
          </w:p>
        </w:tc>
      </w:tr>
      <w:tr w:rsidR="008715BE" w:rsidRPr="00EC75B7" w14:paraId="09DD03F1" w14:textId="77777777">
        <w:trPr>
          <w:trHeight w:val="299"/>
        </w:trPr>
        <w:tc>
          <w:tcPr>
            <w:tcW w:w="3404" w:type="dxa"/>
          </w:tcPr>
          <w:p w14:paraId="76D966BF"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998" w:type="dxa"/>
            <w:shd w:val="clear" w:color="auto" w:fill="FFF1CC"/>
          </w:tcPr>
          <w:p w14:paraId="0D479637"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2</w:t>
            </w:r>
          </w:p>
        </w:tc>
        <w:tc>
          <w:tcPr>
            <w:tcW w:w="1001" w:type="dxa"/>
            <w:shd w:val="clear" w:color="auto" w:fill="FFF1CC"/>
          </w:tcPr>
          <w:p w14:paraId="0E5A73F5"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2</w:t>
            </w:r>
          </w:p>
        </w:tc>
        <w:tc>
          <w:tcPr>
            <w:tcW w:w="999" w:type="dxa"/>
            <w:shd w:val="clear" w:color="auto" w:fill="FFAE9F"/>
          </w:tcPr>
          <w:p w14:paraId="3F1F256B"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3</w:t>
            </w:r>
          </w:p>
        </w:tc>
        <w:tc>
          <w:tcPr>
            <w:tcW w:w="848" w:type="dxa"/>
            <w:shd w:val="clear" w:color="auto" w:fill="C5DFB4"/>
          </w:tcPr>
          <w:p w14:paraId="28EB422E"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1</w:t>
            </w:r>
          </w:p>
        </w:tc>
        <w:tc>
          <w:tcPr>
            <w:tcW w:w="933" w:type="dxa"/>
            <w:shd w:val="clear" w:color="auto" w:fill="92D050"/>
          </w:tcPr>
          <w:p w14:paraId="64569D0D"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2</w:t>
            </w:r>
          </w:p>
        </w:tc>
        <w:tc>
          <w:tcPr>
            <w:tcW w:w="935" w:type="dxa"/>
            <w:shd w:val="clear" w:color="auto" w:fill="92D050"/>
          </w:tcPr>
          <w:p w14:paraId="69D3DA5B"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2</w:t>
            </w:r>
          </w:p>
        </w:tc>
        <w:tc>
          <w:tcPr>
            <w:tcW w:w="935" w:type="dxa"/>
            <w:shd w:val="clear" w:color="auto" w:fill="FFC000"/>
          </w:tcPr>
          <w:p w14:paraId="7F6CBEB4"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3</w:t>
            </w:r>
          </w:p>
        </w:tc>
      </w:tr>
      <w:tr w:rsidR="008715BE" w:rsidRPr="00EC75B7" w14:paraId="747A9B6A" w14:textId="77777777">
        <w:trPr>
          <w:trHeight w:val="302"/>
        </w:trPr>
        <w:tc>
          <w:tcPr>
            <w:tcW w:w="3404" w:type="dxa"/>
          </w:tcPr>
          <w:p w14:paraId="7EECF476" w14:textId="77777777" w:rsidR="008715BE" w:rsidRPr="00EC75B7" w:rsidRDefault="00000000">
            <w:pPr>
              <w:pStyle w:val="TableParagraph"/>
              <w:spacing w:before="102" w:line="180" w:lineRule="exact"/>
              <w:ind w:left="108"/>
              <w:rPr>
                <w:rFonts w:ascii="Verdana" w:hAnsi="Verdana"/>
                <w:sz w:val="18"/>
                <w:szCs w:val="18"/>
              </w:rPr>
            </w:pPr>
            <w:r w:rsidRPr="00EC75B7">
              <w:rPr>
                <w:rFonts w:ascii="Verdana" w:hAnsi="Verdana"/>
                <w:spacing w:val="-2"/>
                <w:sz w:val="18"/>
                <w:szCs w:val="18"/>
              </w:rPr>
              <w:t>Drought</w:t>
            </w:r>
          </w:p>
        </w:tc>
        <w:tc>
          <w:tcPr>
            <w:tcW w:w="998" w:type="dxa"/>
            <w:shd w:val="clear" w:color="auto" w:fill="FFF1CC"/>
          </w:tcPr>
          <w:p w14:paraId="636B50BF" w14:textId="77777777" w:rsidR="008715BE" w:rsidRPr="00EC75B7" w:rsidRDefault="00000000">
            <w:pPr>
              <w:pStyle w:val="TableParagraph"/>
              <w:spacing w:before="49"/>
              <w:ind w:left="14" w:right="3"/>
              <w:jc w:val="center"/>
              <w:rPr>
                <w:rFonts w:ascii="Verdana" w:hAnsi="Verdana"/>
                <w:sz w:val="18"/>
                <w:szCs w:val="18"/>
              </w:rPr>
            </w:pPr>
            <w:r w:rsidRPr="00EC75B7">
              <w:rPr>
                <w:rFonts w:ascii="Verdana" w:hAnsi="Verdana"/>
                <w:spacing w:val="-10"/>
                <w:sz w:val="18"/>
                <w:szCs w:val="18"/>
              </w:rPr>
              <w:t>2</w:t>
            </w:r>
          </w:p>
        </w:tc>
        <w:tc>
          <w:tcPr>
            <w:tcW w:w="1001" w:type="dxa"/>
            <w:shd w:val="clear" w:color="auto" w:fill="FFF1CC"/>
          </w:tcPr>
          <w:p w14:paraId="27058F39" w14:textId="77777777" w:rsidR="008715BE" w:rsidRPr="00EC75B7" w:rsidRDefault="00000000">
            <w:pPr>
              <w:pStyle w:val="TableParagraph"/>
              <w:spacing w:before="49"/>
              <w:ind w:left="12" w:right="3"/>
              <w:jc w:val="center"/>
              <w:rPr>
                <w:rFonts w:ascii="Verdana" w:hAnsi="Verdana"/>
                <w:sz w:val="18"/>
                <w:szCs w:val="18"/>
              </w:rPr>
            </w:pPr>
            <w:r w:rsidRPr="00EC75B7">
              <w:rPr>
                <w:rFonts w:ascii="Verdana" w:hAnsi="Verdana"/>
                <w:spacing w:val="-10"/>
                <w:sz w:val="18"/>
                <w:szCs w:val="18"/>
              </w:rPr>
              <w:t>2</w:t>
            </w:r>
          </w:p>
        </w:tc>
        <w:tc>
          <w:tcPr>
            <w:tcW w:w="999" w:type="dxa"/>
            <w:shd w:val="clear" w:color="auto" w:fill="FFAE9F"/>
          </w:tcPr>
          <w:p w14:paraId="1B543D66" w14:textId="77777777" w:rsidR="008715BE" w:rsidRPr="00EC75B7" w:rsidRDefault="00000000">
            <w:pPr>
              <w:pStyle w:val="TableParagraph"/>
              <w:spacing w:before="49"/>
              <w:ind w:left="14" w:right="2"/>
              <w:jc w:val="center"/>
              <w:rPr>
                <w:rFonts w:ascii="Verdana" w:hAnsi="Verdana"/>
                <w:sz w:val="18"/>
                <w:szCs w:val="18"/>
              </w:rPr>
            </w:pPr>
            <w:r w:rsidRPr="00EC75B7">
              <w:rPr>
                <w:rFonts w:ascii="Verdana" w:hAnsi="Verdana"/>
                <w:spacing w:val="-10"/>
                <w:sz w:val="18"/>
                <w:szCs w:val="18"/>
              </w:rPr>
              <w:t>3</w:t>
            </w:r>
          </w:p>
        </w:tc>
        <w:tc>
          <w:tcPr>
            <w:tcW w:w="848" w:type="dxa"/>
            <w:shd w:val="clear" w:color="auto" w:fill="C5DFB4"/>
          </w:tcPr>
          <w:p w14:paraId="09C434AB" w14:textId="77777777" w:rsidR="008715BE" w:rsidRPr="00EC75B7" w:rsidRDefault="00000000">
            <w:pPr>
              <w:pStyle w:val="TableParagraph"/>
              <w:spacing w:before="49"/>
              <w:ind w:left="13"/>
              <w:jc w:val="center"/>
              <w:rPr>
                <w:rFonts w:ascii="Verdana" w:hAnsi="Verdana"/>
                <w:sz w:val="18"/>
                <w:szCs w:val="18"/>
              </w:rPr>
            </w:pPr>
            <w:r w:rsidRPr="00EC75B7">
              <w:rPr>
                <w:rFonts w:ascii="Verdana" w:hAnsi="Verdana"/>
                <w:spacing w:val="-10"/>
                <w:sz w:val="18"/>
                <w:szCs w:val="18"/>
              </w:rPr>
              <w:t>1</w:t>
            </w:r>
          </w:p>
        </w:tc>
        <w:tc>
          <w:tcPr>
            <w:tcW w:w="933" w:type="dxa"/>
            <w:shd w:val="clear" w:color="auto" w:fill="92D050"/>
          </w:tcPr>
          <w:p w14:paraId="472549F4" w14:textId="77777777" w:rsidR="008715BE" w:rsidRPr="00EC75B7" w:rsidRDefault="00000000">
            <w:pPr>
              <w:pStyle w:val="TableParagraph"/>
              <w:spacing w:before="49"/>
              <w:ind w:left="5" w:right="2"/>
              <w:jc w:val="center"/>
              <w:rPr>
                <w:rFonts w:ascii="Verdana" w:hAnsi="Verdana"/>
                <w:sz w:val="18"/>
                <w:szCs w:val="18"/>
              </w:rPr>
            </w:pPr>
            <w:r w:rsidRPr="00EC75B7">
              <w:rPr>
                <w:rFonts w:ascii="Verdana" w:hAnsi="Verdana"/>
                <w:spacing w:val="-10"/>
                <w:sz w:val="18"/>
                <w:szCs w:val="18"/>
              </w:rPr>
              <w:t>2</w:t>
            </w:r>
          </w:p>
        </w:tc>
        <w:tc>
          <w:tcPr>
            <w:tcW w:w="935" w:type="dxa"/>
            <w:shd w:val="clear" w:color="auto" w:fill="92D050"/>
          </w:tcPr>
          <w:p w14:paraId="7C92FA91" w14:textId="77777777" w:rsidR="008715BE" w:rsidRPr="00EC75B7" w:rsidRDefault="00000000">
            <w:pPr>
              <w:pStyle w:val="TableParagraph"/>
              <w:spacing w:before="49"/>
              <w:ind w:left="11" w:right="3"/>
              <w:jc w:val="center"/>
              <w:rPr>
                <w:rFonts w:ascii="Verdana" w:hAnsi="Verdana"/>
                <w:sz w:val="18"/>
                <w:szCs w:val="18"/>
              </w:rPr>
            </w:pPr>
            <w:r w:rsidRPr="00EC75B7">
              <w:rPr>
                <w:rFonts w:ascii="Verdana" w:hAnsi="Verdana"/>
                <w:spacing w:val="-10"/>
                <w:sz w:val="18"/>
                <w:szCs w:val="18"/>
              </w:rPr>
              <w:t>2</w:t>
            </w:r>
          </w:p>
        </w:tc>
        <w:tc>
          <w:tcPr>
            <w:tcW w:w="935" w:type="dxa"/>
            <w:shd w:val="clear" w:color="auto" w:fill="FFC000"/>
          </w:tcPr>
          <w:p w14:paraId="2DA38037" w14:textId="77777777" w:rsidR="008715BE" w:rsidRPr="00EC75B7" w:rsidRDefault="00000000">
            <w:pPr>
              <w:pStyle w:val="TableParagraph"/>
              <w:spacing w:before="49"/>
              <w:ind w:left="11" w:right="11"/>
              <w:jc w:val="center"/>
              <w:rPr>
                <w:rFonts w:ascii="Verdana" w:hAnsi="Verdana"/>
                <w:sz w:val="18"/>
                <w:szCs w:val="18"/>
              </w:rPr>
            </w:pPr>
            <w:r w:rsidRPr="00EC75B7">
              <w:rPr>
                <w:rFonts w:ascii="Verdana" w:hAnsi="Verdana"/>
                <w:spacing w:val="-10"/>
                <w:sz w:val="18"/>
                <w:szCs w:val="18"/>
              </w:rPr>
              <w:t>3</w:t>
            </w:r>
          </w:p>
        </w:tc>
      </w:tr>
      <w:tr w:rsidR="008715BE" w:rsidRPr="00EC75B7" w14:paraId="539BBCA3" w14:textId="77777777">
        <w:trPr>
          <w:trHeight w:val="299"/>
        </w:trPr>
        <w:tc>
          <w:tcPr>
            <w:tcW w:w="3404" w:type="dxa"/>
          </w:tcPr>
          <w:p w14:paraId="1EA91EC1" w14:textId="77777777" w:rsidR="008715BE" w:rsidRPr="00EC75B7" w:rsidRDefault="00000000">
            <w:pPr>
              <w:pStyle w:val="TableParagraph"/>
              <w:spacing w:before="100" w:line="180" w:lineRule="exact"/>
              <w:ind w:left="108"/>
              <w:rPr>
                <w:rFonts w:ascii="Verdana" w:hAnsi="Verdana"/>
                <w:sz w:val="18"/>
                <w:szCs w:val="18"/>
              </w:rPr>
            </w:pPr>
            <w:r w:rsidRPr="00EC75B7">
              <w:rPr>
                <w:rFonts w:ascii="Verdana" w:hAnsi="Verdana"/>
                <w:spacing w:val="-2"/>
                <w:sz w:val="18"/>
                <w:szCs w:val="18"/>
              </w:rPr>
              <w:t>Soil erosion/Coastal erosion</w:t>
            </w:r>
          </w:p>
        </w:tc>
        <w:tc>
          <w:tcPr>
            <w:tcW w:w="998" w:type="dxa"/>
            <w:shd w:val="clear" w:color="auto" w:fill="C5DFB4"/>
          </w:tcPr>
          <w:p w14:paraId="590DA5A8" w14:textId="77777777" w:rsidR="008715BE" w:rsidRPr="00EC75B7" w:rsidRDefault="00000000">
            <w:pPr>
              <w:pStyle w:val="TableParagraph"/>
              <w:spacing w:before="47"/>
              <w:ind w:left="14" w:right="3"/>
              <w:jc w:val="center"/>
              <w:rPr>
                <w:rFonts w:ascii="Verdana" w:hAnsi="Verdana"/>
                <w:sz w:val="18"/>
                <w:szCs w:val="18"/>
              </w:rPr>
            </w:pPr>
            <w:r w:rsidRPr="00EC75B7">
              <w:rPr>
                <w:rFonts w:ascii="Verdana" w:hAnsi="Verdana"/>
                <w:spacing w:val="-10"/>
                <w:sz w:val="18"/>
                <w:szCs w:val="18"/>
              </w:rPr>
              <w:t>1</w:t>
            </w:r>
          </w:p>
        </w:tc>
        <w:tc>
          <w:tcPr>
            <w:tcW w:w="1001" w:type="dxa"/>
            <w:shd w:val="clear" w:color="auto" w:fill="C5DFB4"/>
          </w:tcPr>
          <w:p w14:paraId="7B990C2C" w14:textId="77777777" w:rsidR="008715BE" w:rsidRPr="00EC75B7" w:rsidRDefault="00000000">
            <w:pPr>
              <w:pStyle w:val="TableParagraph"/>
              <w:spacing w:before="47"/>
              <w:ind w:left="12" w:right="3"/>
              <w:jc w:val="center"/>
              <w:rPr>
                <w:rFonts w:ascii="Verdana" w:hAnsi="Verdana"/>
                <w:sz w:val="18"/>
                <w:szCs w:val="18"/>
              </w:rPr>
            </w:pPr>
            <w:r w:rsidRPr="00EC75B7">
              <w:rPr>
                <w:rFonts w:ascii="Verdana" w:hAnsi="Verdana"/>
                <w:spacing w:val="-10"/>
                <w:sz w:val="18"/>
                <w:szCs w:val="18"/>
              </w:rPr>
              <w:t>1</w:t>
            </w:r>
          </w:p>
        </w:tc>
        <w:tc>
          <w:tcPr>
            <w:tcW w:w="999" w:type="dxa"/>
            <w:shd w:val="clear" w:color="auto" w:fill="C5DFB4"/>
          </w:tcPr>
          <w:p w14:paraId="3974F4A3" w14:textId="77777777" w:rsidR="008715BE" w:rsidRPr="00EC75B7" w:rsidRDefault="00000000">
            <w:pPr>
              <w:pStyle w:val="TableParagraph"/>
              <w:spacing w:before="47"/>
              <w:ind w:left="14" w:right="2"/>
              <w:jc w:val="center"/>
              <w:rPr>
                <w:rFonts w:ascii="Verdana" w:hAnsi="Verdana"/>
                <w:sz w:val="18"/>
                <w:szCs w:val="18"/>
              </w:rPr>
            </w:pPr>
            <w:r w:rsidRPr="00EC75B7">
              <w:rPr>
                <w:rFonts w:ascii="Verdana" w:hAnsi="Verdana"/>
                <w:spacing w:val="-10"/>
                <w:sz w:val="18"/>
                <w:szCs w:val="18"/>
              </w:rPr>
              <w:t>1</w:t>
            </w:r>
          </w:p>
        </w:tc>
        <w:tc>
          <w:tcPr>
            <w:tcW w:w="848" w:type="dxa"/>
            <w:shd w:val="clear" w:color="auto" w:fill="C5DFB4"/>
          </w:tcPr>
          <w:p w14:paraId="56D9E668" w14:textId="77777777" w:rsidR="008715BE" w:rsidRPr="00EC75B7" w:rsidRDefault="00000000">
            <w:pPr>
              <w:pStyle w:val="TableParagraph"/>
              <w:spacing w:before="47"/>
              <w:ind w:left="13"/>
              <w:jc w:val="center"/>
              <w:rPr>
                <w:rFonts w:ascii="Verdana" w:hAnsi="Verdana"/>
                <w:sz w:val="18"/>
                <w:szCs w:val="18"/>
              </w:rPr>
            </w:pPr>
            <w:r w:rsidRPr="00EC75B7">
              <w:rPr>
                <w:rFonts w:ascii="Verdana" w:hAnsi="Verdana"/>
                <w:spacing w:val="-10"/>
                <w:sz w:val="18"/>
                <w:szCs w:val="18"/>
              </w:rPr>
              <w:t>1</w:t>
            </w:r>
          </w:p>
        </w:tc>
        <w:tc>
          <w:tcPr>
            <w:tcW w:w="933" w:type="dxa"/>
            <w:shd w:val="clear" w:color="auto" w:fill="92D050"/>
          </w:tcPr>
          <w:p w14:paraId="006911C8" w14:textId="77777777" w:rsidR="008715BE" w:rsidRPr="00EC75B7" w:rsidRDefault="00000000">
            <w:pPr>
              <w:pStyle w:val="TableParagraph"/>
              <w:spacing w:before="47"/>
              <w:ind w:left="5" w:right="2"/>
              <w:jc w:val="center"/>
              <w:rPr>
                <w:rFonts w:ascii="Verdana" w:hAnsi="Verdana"/>
                <w:sz w:val="18"/>
                <w:szCs w:val="18"/>
              </w:rPr>
            </w:pPr>
            <w:r w:rsidRPr="00EC75B7">
              <w:rPr>
                <w:rFonts w:ascii="Verdana" w:hAnsi="Verdana"/>
                <w:spacing w:val="-10"/>
                <w:sz w:val="18"/>
                <w:szCs w:val="18"/>
              </w:rPr>
              <w:t>1</w:t>
            </w:r>
          </w:p>
        </w:tc>
        <w:tc>
          <w:tcPr>
            <w:tcW w:w="935" w:type="dxa"/>
            <w:shd w:val="clear" w:color="auto" w:fill="92D050"/>
          </w:tcPr>
          <w:p w14:paraId="59DBCBA5" w14:textId="77777777" w:rsidR="008715BE" w:rsidRPr="00EC75B7" w:rsidRDefault="00000000">
            <w:pPr>
              <w:pStyle w:val="TableParagraph"/>
              <w:spacing w:before="47"/>
              <w:ind w:left="11" w:right="3"/>
              <w:jc w:val="center"/>
              <w:rPr>
                <w:rFonts w:ascii="Verdana" w:hAnsi="Verdana"/>
                <w:sz w:val="18"/>
                <w:szCs w:val="18"/>
              </w:rPr>
            </w:pPr>
            <w:r w:rsidRPr="00EC75B7">
              <w:rPr>
                <w:rFonts w:ascii="Verdana" w:hAnsi="Verdana"/>
                <w:spacing w:val="-10"/>
                <w:sz w:val="18"/>
                <w:szCs w:val="18"/>
              </w:rPr>
              <w:t>1</w:t>
            </w:r>
          </w:p>
        </w:tc>
        <w:tc>
          <w:tcPr>
            <w:tcW w:w="935" w:type="dxa"/>
            <w:shd w:val="clear" w:color="auto" w:fill="92D050"/>
          </w:tcPr>
          <w:p w14:paraId="6020564D" w14:textId="77777777" w:rsidR="008715BE" w:rsidRPr="00EC75B7" w:rsidRDefault="00000000">
            <w:pPr>
              <w:pStyle w:val="TableParagraph"/>
              <w:spacing w:before="47"/>
              <w:ind w:left="11" w:right="11"/>
              <w:jc w:val="center"/>
              <w:rPr>
                <w:rFonts w:ascii="Verdana" w:hAnsi="Verdana"/>
                <w:sz w:val="18"/>
                <w:szCs w:val="18"/>
              </w:rPr>
            </w:pPr>
            <w:r w:rsidRPr="00EC75B7">
              <w:rPr>
                <w:rFonts w:ascii="Verdana" w:hAnsi="Verdana"/>
                <w:spacing w:val="-10"/>
                <w:sz w:val="18"/>
                <w:szCs w:val="18"/>
              </w:rPr>
              <w:t>1</w:t>
            </w:r>
          </w:p>
        </w:tc>
      </w:tr>
    </w:tbl>
    <w:p w14:paraId="18A08BF0" w14:textId="77777777" w:rsidR="008715BE" w:rsidRPr="00EC75B7" w:rsidRDefault="008715BE">
      <w:pPr>
        <w:pStyle w:val="BodyText"/>
        <w:rPr>
          <w:rFonts w:ascii="Verdana" w:hAnsi="Verdana"/>
          <w:b/>
        </w:rPr>
      </w:pPr>
    </w:p>
    <w:p w14:paraId="62253E0B" w14:textId="77777777" w:rsidR="008715BE" w:rsidRPr="00EC75B7" w:rsidRDefault="008715BE">
      <w:pPr>
        <w:pStyle w:val="BodyText"/>
        <w:spacing w:before="64"/>
        <w:rPr>
          <w:rFonts w:ascii="Verdana" w:hAnsi="Verdana"/>
          <w:b/>
        </w:rPr>
      </w:pPr>
    </w:p>
    <w:p w14:paraId="49CA0D41" w14:textId="77777777" w:rsidR="008715BE" w:rsidRPr="00EC75B7" w:rsidRDefault="00000000">
      <w:pPr>
        <w:pStyle w:val="BodyText"/>
        <w:spacing w:line="357" w:lineRule="auto"/>
        <w:ind w:left="86"/>
        <w:rPr>
          <w:rFonts w:ascii="Verdana" w:hAnsi="Verdana"/>
        </w:rPr>
      </w:pPr>
      <w:r w:rsidRPr="00EC75B7">
        <w:rPr>
          <w:rFonts w:ascii="Verdana" w:hAnsi="Verdana"/>
        </w:rPr>
        <w:t>The vulnerability analysis showed that the project has medium to high vulnerability to the following climate hazards, to which the analyzed area is currently and will be exposed in the future:</w:t>
      </w:r>
    </w:p>
    <w:p w14:paraId="676B479C" w14:textId="77777777" w:rsidR="008715BE" w:rsidRPr="00EC75B7" w:rsidRDefault="008715BE">
      <w:pPr>
        <w:pStyle w:val="BodyText"/>
        <w:spacing w:before="2"/>
        <w:rPr>
          <w:rFonts w:ascii="Verdana" w:hAnsi="Verdana"/>
        </w:rPr>
      </w:pPr>
    </w:p>
    <w:tbl>
      <w:tblPr>
        <w:tblStyle w:val="TableNormal1"/>
        <w:tblW w:w="0" w:type="auto"/>
        <w:tblInd w:w="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9945"/>
      </w:tblGrid>
      <w:tr w:rsidR="008715BE" w:rsidRPr="00EC75B7" w14:paraId="56AC63DC" w14:textId="77777777">
        <w:trPr>
          <w:trHeight w:val="1125"/>
        </w:trPr>
        <w:tc>
          <w:tcPr>
            <w:tcW w:w="9945" w:type="dxa"/>
            <w:shd w:val="clear" w:color="auto" w:fill="FF9999"/>
          </w:tcPr>
          <w:p w14:paraId="19A71313" w14:textId="77777777" w:rsidR="008715BE" w:rsidRPr="00EC75B7" w:rsidRDefault="008715BE">
            <w:pPr>
              <w:pStyle w:val="TableParagraph"/>
              <w:spacing w:before="23"/>
              <w:rPr>
                <w:rFonts w:ascii="Verdana" w:hAnsi="Verdana"/>
                <w:sz w:val="18"/>
                <w:szCs w:val="18"/>
              </w:rPr>
            </w:pPr>
          </w:p>
          <w:p w14:paraId="39938CDB" w14:textId="77777777" w:rsidR="008715BE" w:rsidRPr="00EC75B7" w:rsidRDefault="00000000">
            <w:pPr>
              <w:pStyle w:val="TableParagraph"/>
              <w:spacing w:before="1"/>
              <w:ind w:left="108" w:right="3512"/>
              <w:rPr>
                <w:rFonts w:ascii="Verdana" w:hAnsi="Verdana"/>
                <w:sz w:val="18"/>
                <w:szCs w:val="18"/>
              </w:rPr>
            </w:pPr>
            <w:r w:rsidRPr="00EC75B7">
              <w:rPr>
                <w:rFonts w:ascii="Verdana" w:hAnsi="Verdana"/>
                <w:b/>
                <w:color w:val="009DEF"/>
                <w:sz w:val="18"/>
                <w:szCs w:val="18"/>
              </w:rPr>
              <w:t xml:space="preserve">High vulnerability </w:t>
            </w:r>
            <w:r w:rsidRPr="00EC75B7">
              <w:rPr>
                <w:rFonts w:ascii="Verdana" w:hAnsi="Verdana"/>
                <w:color w:val="009DEF"/>
                <w:sz w:val="18"/>
                <w:szCs w:val="18"/>
              </w:rPr>
              <w:t>to the following climate hazards: RCP 4.5 scenario: Vegetation fire</w:t>
            </w:r>
          </w:p>
          <w:p w14:paraId="6C8F75F0" w14:textId="77777777" w:rsidR="008715BE" w:rsidRPr="00EC75B7" w:rsidRDefault="00000000">
            <w:pPr>
              <w:pStyle w:val="TableParagraph"/>
              <w:spacing w:line="217" w:lineRule="exact"/>
              <w:ind w:left="108"/>
              <w:rPr>
                <w:rFonts w:ascii="Verdana" w:hAnsi="Verdana"/>
                <w:sz w:val="18"/>
                <w:szCs w:val="18"/>
              </w:rPr>
            </w:pPr>
            <w:r w:rsidRPr="00EC75B7">
              <w:rPr>
                <w:rFonts w:ascii="Verdana" w:hAnsi="Verdana"/>
                <w:color w:val="009DEF"/>
                <w:sz w:val="18"/>
                <w:szCs w:val="18"/>
              </w:rPr>
              <w:t xml:space="preserve">RCP 8.5 scenario: Vegetation fire, </w:t>
            </w:r>
            <w:r w:rsidRPr="00EC75B7">
              <w:rPr>
                <w:rFonts w:ascii="Verdana" w:hAnsi="Verdana"/>
                <w:color w:val="009DEF"/>
                <w:spacing w:val="-2"/>
                <w:sz w:val="18"/>
                <w:szCs w:val="18"/>
              </w:rPr>
              <w:t xml:space="preserve">Heat </w:t>
            </w:r>
            <w:r w:rsidRPr="00EC75B7">
              <w:rPr>
                <w:rFonts w:ascii="Verdana" w:hAnsi="Verdana"/>
                <w:color w:val="009DEF"/>
                <w:sz w:val="18"/>
                <w:szCs w:val="18"/>
              </w:rPr>
              <w:t>wave</w:t>
            </w:r>
          </w:p>
        </w:tc>
      </w:tr>
      <w:tr w:rsidR="008715BE" w:rsidRPr="00EC75B7" w14:paraId="77627137" w14:textId="77777777">
        <w:trPr>
          <w:trHeight w:val="217"/>
        </w:trPr>
        <w:tc>
          <w:tcPr>
            <w:tcW w:w="9945" w:type="dxa"/>
            <w:tcBorders>
              <w:left w:val="nil"/>
              <w:right w:val="nil"/>
            </w:tcBorders>
          </w:tcPr>
          <w:p w14:paraId="2E7FC983" w14:textId="77777777" w:rsidR="008715BE" w:rsidRPr="00EC75B7" w:rsidRDefault="008715BE">
            <w:pPr>
              <w:pStyle w:val="TableParagraph"/>
              <w:rPr>
                <w:rFonts w:ascii="Verdana" w:hAnsi="Verdana"/>
                <w:sz w:val="18"/>
                <w:szCs w:val="18"/>
              </w:rPr>
            </w:pPr>
          </w:p>
        </w:tc>
      </w:tr>
      <w:tr w:rsidR="008715BE" w:rsidRPr="00EC75B7" w14:paraId="2B1D6B01" w14:textId="77777777">
        <w:trPr>
          <w:trHeight w:val="1312"/>
        </w:trPr>
        <w:tc>
          <w:tcPr>
            <w:tcW w:w="9945" w:type="dxa"/>
            <w:shd w:val="clear" w:color="auto" w:fill="FFC000"/>
          </w:tcPr>
          <w:p w14:paraId="169E47E4" w14:textId="77777777" w:rsidR="008715BE" w:rsidRPr="00EC75B7" w:rsidRDefault="00000000">
            <w:pPr>
              <w:pStyle w:val="TableParagraph"/>
              <w:spacing w:before="8" w:line="219" w:lineRule="exact"/>
              <w:ind w:left="108"/>
              <w:rPr>
                <w:rFonts w:ascii="Verdana" w:hAnsi="Verdana"/>
                <w:sz w:val="18"/>
                <w:szCs w:val="18"/>
              </w:rPr>
            </w:pPr>
            <w:r w:rsidRPr="00EC75B7">
              <w:rPr>
                <w:rFonts w:ascii="Verdana" w:hAnsi="Verdana"/>
                <w:b/>
                <w:color w:val="009DEF"/>
                <w:sz w:val="18"/>
                <w:szCs w:val="18"/>
              </w:rPr>
              <w:t xml:space="preserve">Moderate vulnerability </w:t>
            </w:r>
            <w:r w:rsidRPr="00EC75B7">
              <w:rPr>
                <w:rFonts w:ascii="Verdana" w:hAnsi="Verdana"/>
                <w:color w:val="009DEF"/>
                <w:sz w:val="18"/>
                <w:szCs w:val="18"/>
              </w:rPr>
              <w:t>to the following climate hazards</w:t>
            </w:r>
            <w:r w:rsidRPr="00EC75B7">
              <w:rPr>
                <w:rFonts w:ascii="Verdana" w:hAnsi="Verdana"/>
                <w:color w:val="009DEF"/>
                <w:spacing w:val="-10"/>
                <w:sz w:val="18"/>
                <w:szCs w:val="18"/>
              </w:rPr>
              <w:t>:</w:t>
            </w:r>
          </w:p>
          <w:p w14:paraId="5138A183" w14:textId="77777777" w:rsidR="008715BE" w:rsidRPr="00EC75B7" w:rsidRDefault="00000000">
            <w:pPr>
              <w:pStyle w:val="TableParagraph"/>
              <w:spacing w:line="218" w:lineRule="exact"/>
              <w:ind w:left="108"/>
              <w:rPr>
                <w:rFonts w:ascii="Verdana" w:hAnsi="Verdana"/>
                <w:sz w:val="18"/>
                <w:szCs w:val="18"/>
              </w:rPr>
            </w:pPr>
            <w:r w:rsidRPr="00EC75B7">
              <w:rPr>
                <w:rFonts w:ascii="Verdana" w:hAnsi="Verdana"/>
                <w:color w:val="009DEF"/>
                <w:sz w:val="18"/>
                <w:szCs w:val="18"/>
              </w:rPr>
              <w:t xml:space="preserve">RCP 2.6 scenario: Flooding/Heavy precipitation, Wildfires, </w:t>
            </w:r>
            <w:r w:rsidRPr="00EC75B7">
              <w:rPr>
                <w:rFonts w:ascii="Verdana" w:hAnsi="Verdana"/>
                <w:color w:val="009DEF"/>
                <w:spacing w:val="-2"/>
                <w:sz w:val="18"/>
                <w:szCs w:val="18"/>
              </w:rPr>
              <w:t xml:space="preserve">Heat </w:t>
            </w:r>
            <w:r w:rsidRPr="00EC75B7">
              <w:rPr>
                <w:rFonts w:ascii="Verdana" w:hAnsi="Verdana"/>
                <w:color w:val="009DEF"/>
                <w:sz w:val="18"/>
                <w:szCs w:val="18"/>
              </w:rPr>
              <w:t>waves</w:t>
            </w:r>
          </w:p>
          <w:p w14:paraId="0498F476" w14:textId="77777777" w:rsidR="008715BE" w:rsidRPr="00EC75B7" w:rsidRDefault="00000000">
            <w:pPr>
              <w:pStyle w:val="TableParagraph"/>
              <w:ind w:left="108"/>
              <w:rPr>
                <w:rFonts w:ascii="Verdana" w:hAnsi="Verdana"/>
                <w:sz w:val="18"/>
                <w:szCs w:val="18"/>
              </w:rPr>
            </w:pPr>
            <w:r w:rsidRPr="00EC75B7">
              <w:rPr>
                <w:rFonts w:ascii="Verdana" w:hAnsi="Verdana"/>
                <w:color w:val="009DEF"/>
                <w:sz w:val="18"/>
                <w:szCs w:val="18"/>
              </w:rPr>
              <w:t>RCP 4.5 scenario: Extreme wind (including storm, lightning, hurricane, tornado), Flooding/Storm surge/Heavy precipitation, Heatwave</w:t>
            </w:r>
          </w:p>
          <w:p w14:paraId="7AE70C7C" w14:textId="77777777" w:rsidR="008715BE" w:rsidRPr="00EC75B7" w:rsidRDefault="00000000">
            <w:pPr>
              <w:pStyle w:val="TableParagraph"/>
              <w:spacing w:line="219" w:lineRule="exact"/>
              <w:ind w:left="108"/>
              <w:rPr>
                <w:rFonts w:ascii="Verdana" w:hAnsi="Verdana"/>
                <w:sz w:val="18"/>
                <w:szCs w:val="18"/>
              </w:rPr>
            </w:pPr>
            <w:r w:rsidRPr="00EC75B7">
              <w:rPr>
                <w:rFonts w:ascii="Verdana" w:hAnsi="Verdana"/>
                <w:color w:val="009DEF"/>
                <w:sz w:val="18"/>
                <w:szCs w:val="18"/>
              </w:rPr>
              <w:t xml:space="preserve">RCP 8.5 scenario: Extreme wind (including storm, lightning, hurricane, tornado). </w:t>
            </w:r>
            <w:r w:rsidRPr="00EC75B7">
              <w:rPr>
                <w:rFonts w:ascii="Verdana" w:hAnsi="Verdana"/>
                <w:color w:val="009DEF"/>
                <w:spacing w:val="-2"/>
                <w:sz w:val="18"/>
                <w:szCs w:val="18"/>
              </w:rPr>
              <w:t>Flooding/Storm surge/</w:t>
            </w:r>
          </w:p>
          <w:p w14:paraId="0CD6E50A" w14:textId="77777777" w:rsidR="008715BE" w:rsidRPr="00EC75B7" w:rsidRDefault="00000000">
            <w:pPr>
              <w:pStyle w:val="TableParagraph"/>
              <w:spacing w:line="189" w:lineRule="exact"/>
              <w:ind w:left="108"/>
              <w:rPr>
                <w:rFonts w:ascii="Verdana" w:hAnsi="Verdana"/>
                <w:sz w:val="18"/>
                <w:szCs w:val="18"/>
              </w:rPr>
            </w:pPr>
            <w:r w:rsidRPr="00EC75B7">
              <w:rPr>
                <w:rFonts w:ascii="Verdana" w:hAnsi="Verdana"/>
                <w:color w:val="009DEF"/>
                <w:sz w:val="18"/>
                <w:szCs w:val="18"/>
              </w:rPr>
              <w:t xml:space="preserve">Heavy rainfall, Heat wave, Temperature variations, </w:t>
            </w:r>
            <w:r w:rsidRPr="00EC75B7">
              <w:rPr>
                <w:rFonts w:ascii="Verdana" w:hAnsi="Verdana"/>
                <w:color w:val="009DEF"/>
                <w:spacing w:val="-2"/>
                <w:sz w:val="18"/>
                <w:szCs w:val="18"/>
              </w:rPr>
              <w:t>Drought</w:t>
            </w:r>
          </w:p>
        </w:tc>
      </w:tr>
    </w:tbl>
    <w:p w14:paraId="229ECBF3" w14:textId="77777777" w:rsidR="008715BE" w:rsidRPr="00EC75B7" w:rsidRDefault="008715BE">
      <w:pPr>
        <w:pStyle w:val="TableParagraph"/>
        <w:spacing w:line="189" w:lineRule="exact"/>
        <w:rPr>
          <w:rFonts w:ascii="Verdana" w:hAnsi="Verdana"/>
          <w:sz w:val="18"/>
          <w:szCs w:val="18"/>
        </w:rPr>
        <w:sectPr w:rsidR="008715BE" w:rsidRPr="00EC75B7">
          <w:pgSz w:w="11910" w:h="16840"/>
          <w:pgMar w:top="1320" w:right="566" w:bottom="1020" w:left="1133" w:header="766" w:footer="824" w:gutter="0"/>
          <w:cols w:space="708"/>
        </w:sectPr>
      </w:pPr>
    </w:p>
    <w:p w14:paraId="4102E0CD" w14:textId="77777777" w:rsidR="008715BE" w:rsidRPr="00EC75B7" w:rsidRDefault="00000000">
      <w:pPr>
        <w:spacing w:before="174" w:after="50"/>
        <w:ind w:left="3963"/>
        <w:rPr>
          <w:rFonts w:ascii="Verdana" w:hAnsi="Verdana"/>
          <w:b/>
          <w:sz w:val="18"/>
          <w:szCs w:val="18"/>
        </w:rPr>
      </w:pPr>
      <w:r w:rsidRPr="00EC75B7">
        <w:rPr>
          <w:rFonts w:ascii="Verdana" w:hAnsi="Verdana"/>
          <w:b/>
          <w:spacing w:val="-2"/>
          <w:sz w:val="18"/>
          <w:szCs w:val="18"/>
        </w:rPr>
        <w:lastRenderedPageBreak/>
        <w:t xml:space="preserve">Wind </w:t>
      </w:r>
      <w:r w:rsidRPr="00EC75B7">
        <w:rPr>
          <w:rFonts w:ascii="Verdana" w:hAnsi="Verdana"/>
          <w:b/>
          <w:sz w:val="18"/>
          <w:szCs w:val="18"/>
        </w:rPr>
        <w:t>farm vulnerability matrix</w:t>
      </w:r>
    </w:p>
    <w:tbl>
      <w:tblPr>
        <w:tblStyle w:val="TableNormal1"/>
        <w:tblW w:w="0" w:type="auto"/>
        <w:tblInd w:w="67" w:type="dxa"/>
        <w:tblBorders>
          <w:top w:val="single" w:sz="8" w:space="0" w:color="F1F1F1"/>
          <w:left w:val="single" w:sz="8" w:space="0" w:color="F1F1F1"/>
          <w:bottom w:val="single" w:sz="8" w:space="0" w:color="F1F1F1"/>
          <w:right w:val="single" w:sz="8" w:space="0" w:color="F1F1F1"/>
          <w:insideH w:val="single" w:sz="8" w:space="0" w:color="F1F1F1"/>
          <w:insideV w:val="single" w:sz="8" w:space="0" w:color="F1F1F1"/>
        </w:tblBorders>
        <w:tblLayout w:type="fixed"/>
        <w:tblLook w:val="01E0" w:firstRow="1" w:lastRow="1" w:firstColumn="1" w:lastColumn="1" w:noHBand="0" w:noVBand="0"/>
      </w:tblPr>
      <w:tblGrid>
        <w:gridCol w:w="278"/>
        <w:gridCol w:w="958"/>
        <w:gridCol w:w="2011"/>
        <w:gridCol w:w="2574"/>
        <w:gridCol w:w="2113"/>
        <w:gridCol w:w="1845"/>
      </w:tblGrid>
      <w:tr w:rsidR="008715BE" w:rsidRPr="00EC75B7" w14:paraId="51099D30" w14:textId="77777777">
        <w:trPr>
          <w:trHeight w:val="330"/>
        </w:trPr>
        <w:tc>
          <w:tcPr>
            <w:tcW w:w="278" w:type="dxa"/>
            <w:vMerge w:val="restart"/>
            <w:shd w:val="clear" w:color="auto" w:fill="808080"/>
            <w:textDirection w:val="btLr"/>
          </w:tcPr>
          <w:p w14:paraId="2676E2CE" w14:textId="77777777" w:rsidR="008715BE" w:rsidRPr="00EC75B7" w:rsidRDefault="00000000">
            <w:pPr>
              <w:pStyle w:val="TableParagraph"/>
              <w:spacing w:before="49" w:line="189" w:lineRule="exact"/>
              <w:ind w:right="16"/>
              <w:jc w:val="center"/>
              <w:rPr>
                <w:rFonts w:ascii="Verdana" w:hAnsi="Verdana"/>
                <w:b/>
                <w:sz w:val="18"/>
                <w:szCs w:val="18"/>
              </w:rPr>
            </w:pPr>
            <w:r w:rsidRPr="00EC75B7">
              <w:rPr>
                <w:rFonts w:ascii="Verdana" w:hAnsi="Verdana"/>
                <w:b/>
                <w:color w:val="FFFFFF"/>
                <w:spacing w:val="-2"/>
                <w:sz w:val="18"/>
                <w:szCs w:val="18"/>
              </w:rPr>
              <w:t>Sensitivity</w:t>
            </w:r>
          </w:p>
        </w:tc>
        <w:tc>
          <w:tcPr>
            <w:tcW w:w="958" w:type="dxa"/>
            <w:vMerge w:val="restart"/>
            <w:shd w:val="clear" w:color="auto" w:fill="00AFEF"/>
          </w:tcPr>
          <w:p w14:paraId="39E7B381" w14:textId="77777777" w:rsidR="008715BE" w:rsidRPr="00EC75B7" w:rsidRDefault="008715BE">
            <w:pPr>
              <w:pStyle w:val="TableParagraph"/>
              <w:rPr>
                <w:rFonts w:ascii="Verdana" w:hAnsi="Verdana"/>
                <w:sz w:val="18"/>
                <w:szCs w:val="18"/>
              </w:rPr>
            </w:pPr>
          </w:p>
        </w:tc>
        <w:tc>
          <w:tcPr>
            <w:tcW w:w="8543" w:type="dxa"/>
            <w:gridSpan w:val="4"/>
            <w:shd w:val="clear" w:color="auto" w:fill="808080"/>
          </w:tcPr>
          <w:p w14:paraId="08DE3E53" w14:textId="77777777" w:rsidR="008715BE" w:rsidRPr="00EC75B7" w:rsidRDefault="00000000">
            <w:pPr>
              <w:pStyle w:val="TableParagraph"/>
              <w:spacing w:before="85"/>
              <w:ind w:left="23" w:right="1"/>
              <w:jc w:val="center"/>
              <w:rPr>
                <w:rFonts w:ascii="Verdana" w:hAnsi="Verdana"/>
                <w:b/>
                <w:sz w:val="18"/>
                <w:szCs w:val="18"/>
              </w:rPr>
            </w:pPr>
            <w:r w:rsidRPr="00EC75B7">
              <w:rPr>
                <w:rFonts w:ascii="Verdana" w:hAnsi="Verdana"/>
                <w:b/>
                <w:color w:val="FFFFFF"/>
                <w:spacing w:val="-2"/>
                <w:sz w:val="18"/>
                <w:szCs w:val="18"/>
              </w:rPr>
              <w:t xml:space="preserve">Current </w:t>
            </w:r>
            <w:r w:rsidRPr="00EC75B7">
              <w:rPr>
                <w:rFonts w:ascii="Verdana" w:hAnsi="Verdana"/>
                <w:b/>
                <w:color w:val="FFFFFF"/>
                <w:sz w:val="18"/>
                <w:szCs w:val="18"/>
              </w:rPr>
              <w:t>exposure</w:t>
            </w:r>
          </w:p>
        </w:tc>
      </w:tr>
      <w:tr w:rsidR="008715BE" w:rsidRPr="00EC75B7" w14:paraId="6F0D5C9D" w14:textId="77777777">
        <w:trPr>
          <w:trHeight w:val="330"/>
        </w:trPr>
        <w:tc>
          <w:tcPr>
            <w:tcW w:w="278" w:type="dxa"/>
            <w:vMerge/>
            <w:tcBorders>
              <w:top w:val="nil"/>
            </w:tcBorders>
            <w:shd w:val="clear" w:color="auto" w:fill="808080"/>
            <w:textDirection w:val="btLr"/>
          </w:tcPr>
          <w:p w14:paraId="78E02CA0"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4B1CEF6F" w14:textId="77777777" w:rsidR="008715BE" w:rsidRPr="00EC75B7" w:rsidRDefault="008715BE">
            <w:pPr>
              <w:rPr>
                <w:rFonts w:ascii="Verdana" w:hAnsi="Verdana"/>
                <w:sz w:val="18"/>
                <w:szCs w:val="18"/>
              </w:rPr>
            </w:pPr>
          </w:p>
        </w:tc>
        <w:tc>
          <w:tcPr>
            <w:tcW w:w="2011" w:type="dxa"/>
            <w:shd w:val="clear" w:color="auto" w:fill="00AFEF"/>
          </w:tcPr>
          <w:p w14:paraId="301A5229" w14:textId="77777777" w:rsidR="008715BE" w:rsidRPr="00EC75B7" w:rsidRDefault="00000000">
            <w:pPr>
              <w:pStyle w:val="TableParagraph"/>
              <w:spacing w:before="85"/>
              <w:ind w:left="14"/>
              <w:jc w:val="center"/>
              <w:rPr>
                <w:rFonts w:ascii="Verdana" w:hAnsi="Verdana"/>
                <w:b/>
                <w:sz w:val="18"/>
                <w:szCs w:val="18"/>
              </w:rPr>
            </w:pPr>
            <w:r w:rsidRPr="00EC75B7">
              <w:rPr>
                <w:rFonts w:ascii="Verdana" w:hAnsi="Verdana"/>
                <w:b/>
                <w:color w:val="FFFFFF"/>
                <w:spacing w:val="-10"/>
                <w:sz w:val="18"/>
                <w:szCs w:val="18"/>
              </w:rPr>
              <w:t>0</w:t>
            </w:r>
          </w:p>
        </w:tc>
        <w:tc>
          <w:tcPr>
            <w:tcW w:w="2574" w:type="dxa"/>
            <w:shd w:val="clear" w:color="auto" w:fill="00AFEF"/>
          </w:tcPr>
          <w:p w14:paraId="7CCECAC1" w14:textId="77777777" w:rsidR="008715BE" w:rsidRPr="00EC75B7" w:rsidRDefault="00000000">
            <w:pPr>
              <w:pStyle w:val="TableParagraph"/>
              <w:spacing w:before="85"/>
              <w:ind w:left="9"/>
              <w:jc w:val="center"/>
              <w:rPr>
                <w:rFonts w:ascii="Verdana" w:hAnsi="Verdana"/>
                <w:b/>
                <w:sz w:val="18"/>
                <w:szCs w:val="18"/>
              </w:rPr>
            </w:pPr>
            <w:r w:rsidRPr="00EC75B7">
              <w:rPr>
                <w:rFonts w:ascii="Verdana" w:hAnsi="Verdana"/>
                <w:b/>
                <w:color w:val="FFFFFF"/>
                <w:spacing w:val="-10"/>
                <w:sz w:val="18"/>
                <w:szCs w:val="18"/>
              </w:rPr>
              <w:t>1</w:t>
            </w:r>
          </w:p>
        </w:tc>
        <w:tc>
          <w:tcPr>
            <w:tcW w:w="2113" w:type="dxa"/>
            <w:shd w:val="clear" w:color="auto" w:fill="00AFEF"/>
          </w:tcPr>
          <w:p w14:paraId="2445427B" w14:textId="77777777" w:rsidR="008715BE" w:rsidRPr="00EC75B7" w:rsidRDefault="00000000">
            <w:pPr>
              <w:pStyle w:val="TableParagraph"/>
              <w:spacing w:before="85"/>
              <w:ind w:left="22"/>
              <w:jc w:val="center"/>
              <w:rPr>
                <w:rFonts w:ascii="Verdana" w:hAnsi="Verdana"/>
                <w:b/>
                <w:sz w:val="18"/>
                <w:szCs w:val="18"/>
              </w:rPr>
            </w:pPr>
            <w:r w:rsidRPr="00EC75B7">
              <w:rPr>
                <w:rFonts w:ascii="Verdana" w:hAnsi="Verdana"/>
                <w:b/>
                <w:color w:val="FFFFFF"/>
                <w:spacing w:val="-10"/>
                <w:sz w:val="18"/>
                <w:szCs w:val="18"/>
              </w:rPr>
              <w:t>2</w:t>
            </w:r>
          </w:p>
        </w:tc>
        <w:tc>
          <w:tcPr>
            <w:tcW w:w="1845" w:type="dxa"/>
            <w:shd w:val="clear" w:color="auto" w:fill="00AFEF"/>
          </w:tcPr>
          <w:p w14:paraId="10141F9C" w14:textId="77777777" w:rsidR="008715BE" w:rsidRPr="00EC75B7" w:rsidRDefault="00000000">
            <w:pPr>
              <w:pStyle w:val="TableParagraph"/>
              <w:spacing w:before="85"/>
              <w:ind w:right="835"/>
              <w:jc w:val="right"/>
              <w:rPr>
                <w:rFonts w:ascii="Verdana" w:hAnsi="Verdana"/>
                <w:b/>
                <w:sz w:val="18"/>
                <w:szCs w:val="18"/>
              </w:rPr>
            </w:pPr>
            <w:r w:rsidRPr="00EC75B7">
              <w:rPr>
                <w:rFonts w:ascii="Verdana" w:hAnsi="Verdana"/>
                <w:b/>
                <w:color w:val="FFFFFF"/>
                <w:spacing w:val="-10"/>
                <w:sz w:val="18"/>
                <w:szCs w:val="18"/>
              </w:rPr>
              <w:t>3</w:t>
            </w:r>
          </w:p>
        </w:tc>
      </w:tr>
      <w:tr w:rsidR="008715BE" w:rsidRPr="00EC75B7" w14:paraId="4FF9620B" w14:textId="77777777">
        <w:trPr>
          <w:trHeight w:val="464"/>
        </w:trPr>
        <w:tc>
          <w:tcPr>
            <w:tcW w:w="278" w:type="dxa"/>
            <w:vMerge/>
            <w:tcBorders>
              <w:top w:val="nil"/>
            </w:tcBorders>
            <w:shd w:val="clear" w:color="auto" w:fill="808080"/>
            <w:textDirection w:val="btLr"/>
          </w:tcPr>
          <w:p w14:paraId="6EA6F509" w14:textId="77777777" w:rsidR="008715BE" w:rsidRPr="00EC75B7" w:rsidRDefault="008715BE">
            <w:pPr>
              <w:rPr>
                <w:rFonts w:ascii="Verdana" w:hAnsi="Verdana"/>
                <w:sz w:val="18"/>
                <w:szCs w:val="18"/>
              </w:rPr>
            </w:pPr>
          </w:p>
        </w:tc>
        <w:tc>
          <w:tcPr>
            <w:tcW w:w="958" w:type="dxa"/>
            <w:tcBorders>
              <w:bottom w:val="single" w:sz="8" w:space="0" w:color="FFFFFF"/>
            </w:tcBorders>
            <w:shd w:val="clear" w:color="auto" w:fill="00AFEF"/>
          </w:tcPr>
          <w:p w14:paraId="161339CE" w14:textId="77777777" w:rsidR="008715BE" w:rsidRPr="00EC75B7" w:rsidRDefault="00000000">
            <w:pPr>
              <w:pStyle w:val="TableParagraph"/>
              <w:spacing w:before="152"/>
              <w:ind w:left="17"/>
              <w:jc w:val="center"/>
              <w:rPr>
                <w:rFonts w:ascii="Verdana" w:hAnsi="Verdana"/>
                <w:b/>
                <w:sz w:val="18"/>
                <w:szCs w:val="18"/>
              </w:rPr>
            </w:pPr>
            <w:r w:rsidRPr="00EC75B7">
              <w:rPr>
                <w:rFonts w:ascii="Verdana" w:hAnsi="Verdana"/>
                <w:b/>
                <w:color w:val="FFFFFF"/>
                <w:spacing w:val="-10"/>
                <w:sz w:val="18"/>
                <w:szCs w:val="18"/>
              </w:rPr>
              <w:t>0</w:t>
            </w:r>
          </w:p>
        </w:tc>
        <w:tc>
          <w:tcPr>
            <w:tcW w:w="2011" w:type="dxa"/>
            <w:tcBorders>
              <w:bottom w:val="single" w:sz="8" w:space="0" w:color="FFFFFF"/>
            </w:tcBorders>
            <w:shd w:val="clear" w:color="auto" w:fill="D9D9D9"/>
          </w:tcPr>
          <w:p w14:paraId="7A9D5E16" w14:textId="77777777" w:rsidR="008715BE" w:rsidRPr="00EC75B7" w:rsidRDefault="008715BE">
            <w:pPr>
              <w:pStyle w:val="TableParagraph"/>
              <w:rPr>
                <w:rFonts w:ascii="Verdana" w:hAnsi="Verdana"/>
                <w:sz w:val="18"/>
                <w:szCs w:val="18"/>
              </w:rPr>
            </w:pPr>
          </w:p>
        </w:tc>
        <w:tc>
          <w:tcPr>
            <w:tcW w:w="2574" w:type="dxa"/>
            <w:tcBorders>
              <w:bottom w:val="single" w:sz="8" w:space="0" w:color="FFFFFF"/>
            </w:tcBorders>
            <w:shd w:val="clear" w:color="auto" w:fill="D9D9D9"/>
          </w:tcPr>
          <w:p w14:paraId="022F726C" w14:textId="77777777" w:rsidR="008715BE" w:rsidRPr="00EC75B7" w:rsidRDefault="00000000">
            <w:pPr>
              <w:pStyle w:val="TableParagraph"/>
              <w:spacing w:before="53"/>
              <w:ind w:left="12"/>
              <w:rPr>
                <w:rFonts w:ascii="Verdana" w:hAnsi="Verdana"/>
                <w:sz w:val="18"/>
                <w:szCs w:val="18"/>
              </w:rPr>
            </w:pPr>
            <w:r w:rsidRPr="00EC75B7">
              <w:rPr>
                <w:rFonts w:ascii="Verdana" w:hAnsi="Verdana"/>
                <w:sz w:val="18"/>
                <w:szCs w:val="18"/>
              </w:rPr>
              <w:t>Landslide/Avalanche</w:t>
            </w:r>
            <w:r w:rsidRPr="00EC75B7">
              <w:rPr>
                <w:rFonts w:ascii="Verdana" w:hAnsi="Verdana"/>
                <w:spacing w:val="-2"/>
                <w:sz w:val="18"/>
                <w:szCs w:val="18"/>
              </w:rPr>
              <w:t>/Subsidence</w:t>
            </w:r>
          </w:p>
        </w:tc>
        <w:tc>
          <w:tcPr>
            <w:tcW w:w="2113" w:type="dxa"/>
            <w:tcBorders>
              <w:bottom w:val="single" w:sz="8" w:space="0" w:color="FFFFFF"/>
            </w:tcBorders>
            <w:shd w:val="clear" w:color="auto" w:fill="D9D9D9"/>
          </w:tcPr>
          <w:p w14:paraId="71455998" w14:textId="77777777" w:rsidR="008715BE" w:rsidRPr="00EC75B7" w:rsidRDefault="008715BE">
            <w:pPr>
              <w:pStyle w:val="TableParagraph"/>
              <w:rPr>
                <w:rFonts w:ascii="Verdana" w:hAnsi="Verdana"/>
                <w:sz w:val="18"/>
                <w:szCs w:val="18"/>
              </w:rPr>
            </w:pPr>
          </w:p>
        </w:tc>
        <w:tc>
          <w:tcPr>
            <w:tcW w:w="1845" w:type="dxa"/>
            <w:tcBorders>
              <w:bottom w:val="single" w:sz="8" w:space="0" w:color="FFFFFF"/>
            </w:tcBorders>
            <w:shd w:val="clear" w:color="auto" w:fill="D9D9D9"/>
          </w:tcPr>
          <w:p w14:paraId="0C8B1D8D" w14:textId="77777777" w:rsidR="008715BE" w:rsidRPr="00EC75B7" w:rsidRDefault="008715BE">
            <w:pPr>
              <w:pStyle w:val="TableParagraph"/>
              <w:rPr>
                <w:rFonts w:ascii="Verdana" w:hAnsi="Verdana"/>
                <w:sz w:val="18"/>
                <w:szCs w:val="18"/>
              </w:rPr>
            </w:pPr>
          </w:p>
        </w:tc>
      </w:tr>
      <w:tr w:rsidR="008715BE" w:rsidRPr="00EC75B7" w14:paraId="6B7A481C" w14:textId="77777777">
        <w:trPr>
          <w:trHeight w:val="783"/>
        </w:trPr>
        <w:tc>
          <w:tcPr>
            <w:tcW w:w="278" w:type="dxa"/>
            <w:vMerge/>
            <w:tcBorders>
              <w:top w:val="nil"/>
            </w:tcBorders>
            <w:shd w:val="clear" w:color="auto" w:fill="808080"/>
            <w:textDirection w:val="btLr"/>
          </w:tcPr>
          <w:p w14:paraId="2D332633" w14:textId="77777777" w:rsidR="008715BE" w:rsidRPr="00EC75B7" w:rsidRDefault="008715BE">
            <w:pPr>
              <w:rPr>
                <w:rFonts w:ascii="Verdana" w:hAnsi="Verdana"/>
                <w:sz w:val="18"/>
                <w:szCs w:val="18"/>
              </w:rPr>
            </w:pPr>
          </w:p>
        </w:tc>
        <w:tc>
          <w:tcPr>
            <w:tcW w:w="958" w:type="dxa"/>
            <w:tcBorders>
              <w:top w:val="single" w:sz="8" w:space="0" w:color="FFFFFF"/>
              <w:bottom w:val="nil"/>
            </w:tcBorders>
            <w:shd w:val="clear" w:color="auto" w:fill="00AFEF"/>
          </w:tcPr>
          <w:p w14:paraId="1E4D4314" w14:textId="77777777" w:rsidR="008715BE" w:rsidRPr="00EC75B7" w:rsidRDefault="00000000">
            <w:pPr>
              <w:pStyle w:val="TableParagraph"/>
              <w:spacing w:before="152"/>
              <w:ind w:left="17"/>
              <w:jc w:val="center"/>
              <w:rPr>
                <w:rFonts w:ascii="Verdana" w:hAnsi="Verdana"/>
                <w:b/>
                <w:sz w:val="18"/>
                <w:szCs w:val="18"/>
              </w:rPr>
            </w:pPr>
            <w:r w:rsidRPr="00EC75B7">
              <w:rPr>
                <w:rFonts w:ascii="Verdana" w:hAnsi="Verdana"/>
                <w:b/>
                <w:color w:val="FFFFFF"/>
                <w:spacing w:val="-10"/>
                <w:sz w:val="18"/>
                <w:szCs w:val="18"/>
              </w:rPr>
              <w:t>1</w:t>
            </w:r>
          </w:p>
        </w:tc>
        <w:tc>
          <w:tcPr>
            <w:tcW w:w="2011" w:type="dxa"/>
            <w:vMerge w:val="restart"/>
            <w:tcBorders>
              <w:top w:val="single" w:sz="8" w:space="0" w:color="FFFFFF"/>
              <w:left w:val="nil"/>
              <w:right w:val="nil"/>
            </w:tcBorders>
            <w:shd w:val="clear" w:color="auto" w:fill="D9D9D9"/>
          </w:tcPr>
          <w:p w14:paraId="151313DC" w14:textId="77777777" w:rsidR="008715BE" w:rsidRPr="00EC75B7" w:rsidRDefault="008715BE">
            <w:pPr>
              <w:pStyle w:val="TableParagraph"/>
              <w:rPr>
                <w:rFonts w:ascii="Verdana" w:hAnsi="Verdana"/>
                <w:b/>
                <w:sz w:val="18"/>
                <w:szCs w:val="18"/>
              </w:rPr>
            </w:pPr>
          </w:p>
          <w:p w14:paraId="17ED9E3D" w14:textId="77777777" w:rsidR="008715BE" w:rsidRPr="00EC75B7" w:rsidRDefault="008715BE">
            <w:pPr>
              <w:pStyle w:val="TableParagraph"/>
              <w:rPr>
                <w:rFonts w:ascii="Verdana" w:hAnsi="Verdana"/>
                <w:b/>
                <w:sz w:val="18"/>
                <w:szCs w:val="18"/>
              </w:rPr>
            </w:pPr>
          </w:p>
          <w:p w14:paraId="11DC504C" w14:textId="77777777" w:rsidR="008715BE" w:rsidRPr="00EC75B7" w:rsidRDefault="008715BE">
            <w:pPr>
              <w:pStyle w:val="TableParagraph"/>
              <w:rPr>
                <w:rFonts w:ascii="Verdana" w:hAnsi="Verdana"/>
                <w:b/>
                <w:sz w:val="18"/>
                <w:szCs w:val="18"/>
              </w:rPr>
            </w:pPr>
          </w:p>
          <w:p w14:paraId="4C0127AF" w14:textId="77777777" w:rsidR="008715BE" w:rsidRPr="00EC75B7" w:rsidRDefault="008715BE">
            <w:pPr>
              <w:pStyle w:val="TableParagraph"/>
              <w:rPr>
                <w:rFonts w:ascii="Verdana" w:hAnsi="Verdana"/>
                <w:b/>
                <w:sz w:val="18"/>
                <w:szCs w:val="18"/>
              </w:rPr>
            </w:pPr>
          </w:p>
          <w:p w14:paraId="635C47A1" w14:textId="77777777" w:rsidR="008715BE" w:rsidRPr="00EC75B7" w:rsidRDefault="008715BE">
            <w:pPr>
              <w:pStyle w:val="TableParagraph"/>
              <w:rPr>
                <w:rFonts w:ascii="Verdana" w:hAnsi="Verdana"/>
                <w:b/>
                <w:sz w:val="18"/>
                <w:szCs w:val="18"/>
              </w:rPr>
            </w:pPr>
          </w:p>
          <w:p w14:paraId="6634CA45" w14:textId="77777777" w:rsidR="008715BE" w:rsidRPr="00EC75B7" w:rsidRDefault="008715BE">
            <w:pPr>
              <w:pStyle w:val="TableParagraph"/>
              <w:rPr>
                <w:rFonts w:ascii="Verdana" w:hAnsi="Verdana"/>
                <w:b/>
                <w:sz w:val="18"/>
                <w:szCs w:val="18"/>
              </w:rPr>
            </w:pPr>
          </w:p>
          <w:p w14:paraId="1240B0A8" w14:textId="77777777" w:rsidR="008715BE" w:rsidRPr="00EC75B7" w:rsidRDefault="008715BE">
            <w:pPr>
              <w:pStyle w:val="TableParagraph"/>
              <w:spacing w:before="83"/>
              <w:rPr>
                <w:rFonts w:ascii="Verdana" w:hAnsi="Verdana"/>
                <w:b/>
                <w:sz w:val="18"/>
                <w:szCs w:val="18"/>
              </w:rPr>
            </w:pPr>
          </w:p>
          <w:p w14:paraId="56C5CC9C" w14:textId="77777777" w:rsidR="008715BE" w:rsidRPr="00EC75B7" w:rsidRDefault="00000000">
            <w:pPr>
              <w:pStyle w:val="TableParagraph"/>
              <w:spacing w:line="195" w:lineRule="exact"/>
              <w:ind w:left="14"/>
              <w:rPr>
                <w:rFonts w:ascii="Verdana" w:hAnsi="Verdana"/>
                <w:sz w:val="18"/>
                <w:szCs w:val="18"/>
              </w:rPr>
            </w:pPr>
            <w:r w:rsidRPr="00EC75B7">
              <w:rPr>
                <w:rFonts w:ascii="Verdana" w:hAnsi="Verdana"/>
                <w:spacing w:val="-2"/>
                <w:sz w:val="18"/>
                <w:szCs w:val="18"/>
              </w:rPr>
              <w:t xml:space="preserve">Sea </w:t>
            </w:r>
            <w:r w:rsidRPr="00EC75B7">
              <w:rPr>
                <w:rFonts w:ascii="Verdana" w:hAnsi="Verdana"/>
                <w:sz w:val="18"/>
                <w:szCs w:val="18"/>
              </w:rPr>
              <w:t>level rise</w:t>
            </w:r>
          </w:p>
          <w:p w14:paraId="7D47639F" w14:textId="77777777" w:rsidR="008715BE" w:rsidRPr="00EC75B7" w:rsidRDefault="00000000">
            <w:pPr>
              <w:pStyle w:val="TableParagraph"/>
              <w:ind w:left="14"/>
              <w:rPr>
                <w:rFonts w:ascii="Verdana" w:hAnsi="Verdana"/>
                <w:sz w:val="18"/>
                <w:szCs w:val="18"/>
              </w:rPr>
            </w:pPr>
            <w:r w:rsidRPr="00EC75B7">
              <w:rPr>
                <w:rFonts w:ascii="Verdana" w:hAnsi="Verdana"/>
                <w:spacing w:val="-2"/>
                <w:sz w:val="18"/>
                <w:szCs w:val="18"/>
              </w:rPr>
              <w:t>/Saline intrusion Permafrost thawing Landslides/Avalanches/Subsidence</w:t>
            </w:r>
          </w:p>
        </w:tc>
        <w:tc>
          <w:tcPr>
            <w:tcW w:w="2574" w:type="dxa"/>
            <w:tcBorders>
              <w:top w:val="single" w:sz="8" w:space="0" w:color="FFFFFF"/>
              <w:bottom w:val="single" w:sz="8" w:space="0" w:color="92D050"/>
            </w:tcBorders>
            <w:shd w:val="clear" w:color="auto" w:fill="92D050"/>
          </w:tcPr>
          <w:p w14:paraId="36C5BAA1" w14:textId="77777777" w:rsidR="008715BE" w:rsidRPr="00EC75B7" w:rsidRDefault="008715BE">
            <w:pPr>
              <w:pStyle w:val="TableParagraph"/>
              <w:rPr>
                <w:rFonts w:ascii="Verdana" w:hAnsi="Verdana"/>
                <w:sz w:val="18"/>
                <w:szCs w:val="18"/>
              </w:rPr>
            </w:pPr>
          </w:p>
        </w:tc>
        <w:tc>
          <w:tcPr>
            <w:tcW w:w="2113" w:type="dxa"/>
            <w:tcBorders>
              <w:top w:val="single" w:sz="8" w:space="0" w:color="FFFFFF"/>
              <w:bottom w:val="single" w:sz="8" w:space="0" w:color="92D050"/>
            </w:tcBorders>
            <w:shd w:val="clear" w:color="auto" w:fill="92D050"/>
          </w:tcPr>
          <w:p w14:paraId="5A9593AB" w14:textId="77777777" w:rsidR="008715BE" w:rsidRPr="00EC75B7" w:rsidRDefault="008715BE">
            <w:pPr>
              <w:pStyle w:val="TableParagraph"/>
              <w:rPr>
                <w:rFonts w:ascii="Verdana" w:hAnsi="Verdana"/>
                <w:sz w:val="18"/>
                <w:szCs w:val="18"/>
              </w:rPr>
            </w:pPr>
          </w:p>
        </w:tc>
        <w:tc>
          <w:tcPr>
            <w:tcW w:w="1845" w:type="dxa"/>
            <w:vMerge w:val="restart"/>
            <w:tcBorders>
              <w:top w:val="single" w:sz="8" w:space="0" w:color="FFFFFF"/>
              <w:left w:val="nil"/>
              <w:right w:val="nil"/>
            </w:tcBorders>
            <w:shd w:val="clear" w:color="auto" w:fill="FFD243"/>
          </w:tcPr>
          <w:p w14:paraId="374EF784" w14:textId="77777777" w:rsidR="008715BE" w:rsidRPr="00EC75B7" w:rsidRDefault="008715BE">
            <w:pPr>
              <w:pStyle w:val="TableParagraph"/>
              <w:rPr>
                <w:rFonts w:ascii="Verdana" w:hAnsi="Verdana"/>
                <w:sz w:val="18"/>
                <w:szCs w:val="18"/>
              </w:rPr>
            </w:pPr>
          </w:p>
        </w:tc>
      </w:tr>
      <w:tr w:rsidR="008715BE" w:rsidRPr="00EC75B7" w14:paraId="6848EFFC" w14:textId="77777777">
        <w:trPr>
          <w:trHeight w:val="556"/>
        </w:trPr>
        <w:tc>
          <w:tcPr>
            <w:tcW w:w="278" w:type="dxa"/>
            <w:vMerge/>
            <w:tcBorders>
              <w:top w:val="nil"/>
            </w:tcBorders>
            <w:shd w:val="clear" w:color="auto" w:fill="808080"/>
            <w:textDirection w:val="btLr"/>
          </w:tcPr>
          <w:p w14:paraId="4D2D4D1D" w14:textId="77777777" w:rsidR="008715BE" w:rsidRPr="00EC75B7" w:rsidRDefault="008715BE">
            <w:pPr>
              <w:rPr>
                <w:rFonts w:ascii="Verdana" w:hAnsi="Verdana"/>
                <w:sz w:val="18"/>
                <w:szCs w:val="18"/>
              </w:rPr>
            </w:pPr>
          </w:p>
        </w:tc>
        <w:tc>
          <w:tcPr>
            <w:tcW w:w="958" w:type="dxa"/>
            <w:tcBorders>
              <w:top w:val="nil"/>
              <w:bottom w:val="nil"/>
            </w:tcBorders>
            <w:shd w:val="clear" w:color="auto" w:fill="00AFEF"/>
          </w:tcPr>
          <w:p w14:paraId="5DF41D96" w14:textId="77777777" w:rsidR="008715BE" w:rsidRPr="00EC75B7" w:rsidRDefault="008715BE">
            <w:pPr>
              <w:pStyle w:val="TableParagraph"/>
              <w:rPr>
                <w:rFonts w:ascii="Verdana" w:hAnsi="Verdana"/>
                <w:sz w:val="18"/>
                <w:szCs w:val="18"/>
              </w:rPr>
            </w:pPr>
          </w:p>
        </w:tc>
        <w:tc>
          <w:tcPr>
            <w:tcW w:w="2011" w:type="dxa"/>
            <w:vMerge/>
            <w:tcBorders>
              <w:top w:val="nil"/>
              <w:left w:val="nil"/>
              <w:right w:val="nil"/>
            </w:tcBorders>
            <w:shd w:val="clear" w:color="auto" w:fill="D9D9D9"/>
          </w:tcPr>
          <w:p w14:paraId="791FEB57" w14:textId="77777777" w:rsidR="008715BE" w:rsidRPr="00EC75B7" w:rsidRDefault="008715BE">
            <w:pPr>
              <w:rPr>
                <w:rFonts w:ascii="Verdana" w:hAnsi="Verdana"/>
                <w:sz w:val="18"/>
                <w:szCs w:val="18"/>
              </w:rPr>
            </w:pPr>
          </w:p>
        </w:tc>
        <w:tc>
          <w:tcPr>
            <w:tcW w:w="2574" w:type="dxa"/>
            <w:tcBorders>
              <w:top w:val="single" w:sz="8" w:space="0" w:color="92D050"/>
              <w:bottom w:val="nil"/>
            </w:tcBorders>
            <w:shd w:val="clear" w:color="auto" w:fill="92D050"/>
          </w:tcPr>
          <w:p w14:paraId="58945F5E" w14:textId="77777777" w:rsidR="008715BE" w:rsidRPr="00EC75B7" w:rsidRDefault="00000000">
            <w:pPr>
              <w:pStyle w:val="TableParagraph"/>
              <w:spacing w:before="92"/>
              <w:ind w:left="12"/>
              <w:rPr>
                <w:rFonts w:ascii="Verdana" w:hAnsi="Verdana"/>
                <w:sz w:val="18"/>
                <w:szCs w:val="18"/>
              </w:rPr>
            </w:pPr>
            <w:r w:rsidRPr="00EC75B7">
              <w:rPr>
                <w:rFonts w:ascii="Verdana" w:hAnsi="Verdana"/>
                <w:spacing w:val="-2"/>
                <w:sz w:val="18"/>
                <w:szCs w:val="18"/>
              </w:rPr>
              <w:t>Soil erosion/Coastal erosion</w:t>
            </w:r>
          </w:p>
        </w:tc>
        <w:tc>
          <w:tcPr>
            <w:tcW w:w="2113" w:type="dxa"/>
            <w:tcBorders>
              <w:top w:val="single" w:sz="8" w:space="0" w:color="92D050"/>
            </w:tcBorders>
            <w:shd w:val="clear" w:color="auto" w:fill="92D050"/>
          </w:tcPr>
          <w:p w14:paraId="4F1B6F3E" w14:textId="77777777" w:rsidR="008715BE" w:rsidRPr="00EC75B7" w:rsidRDefault="00000000">
            <w:pPr>
              <w:pStyle w:val="TableParagraph"/>
              <w:spacing w:before="190"/>
              <w:ind w:left="7"/>
              <w:rPr>
                <w:rFonts w:ascii="Verdana" w:hAnsi="Verdana"/>
                <w:sz w:val="18"/>
                <w:szCs w:val="18"/>
              </w:rPr>
            </w:pPr>
            <w:r w:rsidRPr="00EC75B7">
              <w:rPr>
                <w:rFonts w:ascii="Verdana" w:hAnsi="Verdana"/>
                <w:spacing w:val="-2"/>
                <w:sz w:val="18"/>
                <w:szCs w:val="18"/>
              </w:rPr>
              <w:t>Drought</w:t>
            </w:r>
          </w:p>
        </w:tc>
        <w:tc>
          <w:tcPr>
            <w:tcW w:w="1845" w:type="dxa"/>
            <w:vMerge/>
            <w:tcBorders>
              <w:top w:val="nil"/>
              <w:left w:val="nil"/>
              <w:right w:val="nil"/>
            </w:tcBorders>
            <w:shd w:val="clear" w:color="auto" w:fill="FFD243"/>
          </w:tcPr>
          <w:p w14:paraId="6A876C0C" w14:textId="77777777" w:rsidR="008715BE" w:rsidRPr="00EC75B7" w:rsidRDefault="008715BE">
            <w:pPr>
              <w:rPr>
                <w:rFonts w:ascii="Verdana" w:hAnsi="Verdana"/>
                <w:sz w:val="18"/>
                <w:szCs w:val="18"/>
              </w:rPr>
            </w:pPr>
          </w:p>
        </w:tc>
      </w:tr>
      <w:tr w:rsidR="008715BE" w:rsidRPr="00EC75B7" w14:paraId="05769E31" w14:textId="77777777">
        <w:trPr>
          <w:trHeight w:val="1471"/>
        </w:trPr>
        <w:tc>
          <w:tcPr>
            <w:tcW w:w="278" w:type="dxa"/>
            <w:vMerge/>
            <w:tcBorders>
              <w:top w:val="nil"/>
            </w:tcBorders>
            <w:shd w:val="clear" w:color="auto" w:fill="808080"/>
            <w:textDirection w:val="btLr"/>
          </w:tcPr>
          <w:p w14:paraId="512B7867" w14:textId="77777777" w:rsidR="008715BE" w:rsidRPr="00EC75B7" w:rsidRDefault="008715BE">
            <w:pPr>
              <w:rPr>
                <w:rFonts w:ascii="Verdana" w:hAnsi="Verdana"/>
                <w:sz w:val="18"/>
                <w:szCs w:val="18"/>
              </w:rPr>
            </w:pPr>
          </w:p>
        </w:tc>
        <w:tc>
          <w:tcPr>
            <w:tcW w:w="958" w:type="dxa"/>
            <w:tcBorders>
              <w:top w:val="nil"/>
            </w:tcBorders>
            <w:shd w:val="clear" w:color="auto" w:fill="00AFEF"/>
          </w:tcPr>
          <w:p w14:paraId="0BB6E9CD" w14:textId="77777777" w:rsidR="008715BE" w:rsidRPr="00EC75B7" w:rsidRDefault="008715BE">
            <w:pPr>
              <w:pStyle w:val="TableParagraph"/>
              <w:rPr>
                <w:rFonts w:ascii="Verdana" w:hAnsi="Verdana"/>
                <w:b/>
                <w:sz w:val="18"/>
                <w:szCs w:val="18"/>
              </w:rPr>
            </w:pPr>
          </w:p>
          <w:p w14:paraId="033423E9" w14:textId="77777777" w:rsidR="008715BE" w:rsidRPr="00EC75B7" w:rsidRDefault="008715BE">
            <w:pPr>
              <w:pStyle w:val="TableParagraph"/>
              <w:rPr>
                <w:rFonts w:ascii="Verdana" w:hAnsi="Verdana"/>
                <w:b/>
                <w:sz w:val="18"/>
                <w:szCs w:val="18"/>
              </w:rPr>
            </w:pPr>
          </w:p>
          <w:p w14:paraId="02524B3C" w14:textId="77777777" w:rsidR="008715BE" w:rsidRPr="00EC75B7" w:rsidRDefault="008715BE">
            <w:pPr>
              <w:pStyle w:val="TableParagraph"/>
              <w:spacing w:before="67"/>
              <w:rPr>
                <w:rFonts w:ascii="Verdana" w:hAnsi="Verdana"/>
                <w:b/>
                <w:sz w:val="18"/>
                <w:szCs w:val="18"/>
              </w:rPr>
            </w:pPr>
          </w:p>
          <w:p w14:paraId="2A1CE902"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10"/>
                <w:sz w:val="18"/>
                <w:szCs w:val="18"/>
              </w:rPr>
              <w:t>2</w:t>
            </w:r>
          </w:p>
        </w:tc>
        <w:tc>
          <w:tcPr>
            <w:tcW w:w="2011" w:type="dxa"/>
            <w:vMerge/>
            <w:tcBorders>
              <w:top w:val="nil"/>
              <w:left w:val="nil"/>
              <w:right w:val="nil"/>
            </w:tcBorders>
            <w:shd w:val="clear" w:color="auto" w:fill="D9D9D9"/>
          </w:tcPr>
          <w:p w14:paraId="3223C2A5" w14:textId="77777777" w:rsidR="008715BE" w:rsidRPr="00EC75B7" w:rsidRDefault="008715BE">
            <w:pPr>
              <w:rPr>
                <w:rFonts w:ascii="Verdana" w:hAnsi="Verdana"/>
                <w:sz w:val="18"/>
                <w:szCs w:val="18"/>
              </w:rPr>
            </w:pPr>
          </w:p>
        </w:tc>
        <w:tc>
          <w:tcPr>
            <w:tcW w:w="2574" w:type="dxa"/>
            <w:tcBorders>
              <w:top w:val="nil"/>
            </w:tcBorders>
            <w:shd w:val="clear" w:color="auto" w:fill="92D050"/>
          </w:tcPr>
          <w:p w14:paraId="20EF0CBC" w14:textId="77777777" w:rsidR="008715BE" w:rsidRPr="00EC75B7" w:rsidRDefault="008715BE">
            <w:pPr>
              <w:pStyle w:val="TableParagraph"/>
              <w:spacing w:before="69"/>
              <w:rPr>
                <w:rFonts w:ascii="Verdana" w:hAnsi="Verdana"/>
                <w:b/>
                <w:sz w:val="18"/>
                <w:szCs w:val="18"/>
              </w:rPr>
            </w:pPr>
          </w:p>
          <w:p w14:paraId="0DC84524" w14:textId="77777777" w:rsidR="008715BE" w:rsidRPr="00EC75B7" w:rsidRDefault="00000000">
            <w:pPr>
              <w:pStyle w:val="TableParagraph"/>
              <w:spacing w:line="195" w:lineRule="exact"/>
              <w:ind w:left="12"/>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p w14:paraId="57113C6F" w14:textId="77777777" w:rsidR="008715BE" w:rsidRPr="00EC75B7" w:rsidRDefault="00000000">
            <w:pPr>
              <w:pStyle w:val="TableParagraph"/>
              <w:ind w:left="12" w:right="46"/>
              <w:rPr>
                <w:rFonts w:ascii="Verdana" w:hAnsi="Verdana"/>
                <w:sz w:val="18"/>
                <w:szCs w:val="18"/>
              </w:rPr>
            </w:pPr>
            <w:r w:rsidRPr="00EC75B7">
              <w:rPr>
                <w:rFonts w:ascii="Verdana" w:hAnsi="Verdana"/>
                <w:spacing w:val="-2"/>
                <w:sz w:val="18"/>
                <w:szCs w:val="18"/>
              </w:rPr>
              <w:t xml:space="preserve">Changing wind patterns </w:t>
            </w:r>
            <w:r w:rsidRPr="00EC75B7">
              <w:rPr>
                <w:rFonts w:ascii="Verdana" w:hAnsi="Verdana"/>
                <w:sz w:val="18"/>
                <w:szCs w:val="18"/>
              </w:rPr>
              <w:t>Extreme wind (including storm, lightning, hurricane, tornado) Temperature variations</w:t>
            </w:r>
          </w:p>
        </w:tc>
        <w:tc>
          <w:tcPr>
            <w:tcW w:w="2113" w:type="dxa"/>
            <w:shd w:val="clear" w:color="auto" w:fill="FFD243"/>
          </w:tcPr>
          <w:p w14:paraId="4B485DAB" w14:textId="77777777" w:rsidR="008715BE" w:rsidRPr="00EC75B7" w:rsidRDefault="008715BE">
            <w:pPr>
              <w:pStyle w:val="TableParagraph"/>
              <w:rPr>
                <w:rFonts w:ascii="Verdana" w:hAnsi="Verdana"/>
                <w:b/>
                <w:sz w:val="18"/>
                <w:szCs w:val="18"/>
              </w:rPr>
            </w:pPr>
          </w:p>
          <w:p w14:paraId="323E3FD0" w14:textId="77777777" w:rsidR="008715BE" w:rsidRPr="00EC75B7" w:rsidRDefault="008715BE">
            <w:pPr>
              <w:pStyle w:val="TableParagraph"/>
              <w:rPr>
                <w:rFonts w:ascii="Verdana" w:hAnsi="Verdana"/>
                <w:b/>
                <w:sz w:val="18"/>
                <w:szCs w:val="18"/>
              </w:rPr>
            </w:pPr>
          </w:p>
          <w:p w14:paraId="1922EE79" w14:textId="77777777" w:rsidR="008715BE" w:rsidRPr="00EC75B7" w:rsidRDefault="008715BE">
            <w:pPr>
              <w:pStyle w:val="TableParagraph"/>
              <w:spacing w:before="67"/>
              <w:rPr>
                <w:rFonts w:ascii="Verdana" w:hAnsi="Verdana"/>
                <w:b/>
                <w:sz w:val="18"/>
                <w:szCs w:val="18"/>
              </w:rPr>
            </w:pPr>
          </w:p>
          <w:p w14:paraId="6C235E9D" w14:textId="77777777" w:rsidR="008715BE" w:rsidRPr="00EC75B7" w:rsidRDefault="00000000">
            <w:pPr>
              <w:pStyle w:val="TableParagraph"/>
              <w:ind w:left="7"/>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waves</w:t>
            </w:r>
          </w:p>
        </w:tc>
        <w:tc>
          <w:tcPr>
            <w:tcW w:w="1845" w:type="dxa"/>
            <w:shd w:val="clear" w:color="auto" w:fill="FF8F92"/>
          </w:tcPr>
          <w:p w14:paraId="23F191E4" w14:textId="77777777" w:rsidR="008715BE" w:rsidRPr="00EC75B7" w:rsidRDefault="008715BE">
            <w:pPr>
              <w:pStyle w:val="TableParagraph"/>
              <w:rPr>
                <w:rFonts w:ascii="Verdana" w:hAnsi="Verdana"/>
                <w:sz w:val="18"/>
                <w:szCs w:val="18"/>
              </w:rPr>
            </w:pPr>
          </w:p>
        </w:tc>
      </w:tr>
      <w:tr w:rsidR="008715BE" w:rsidRPr="00EC75B7" w14:paraId="0795EB94" w14:textId="77777777">
        <w:trPr>
          <w:trHeight w:val="313"/>
        </w:trPr>
        <w:tc>
          <w:tcPr>
            <w:tcW w:w="278" w:type="dxa"/>
            <w:vMerge/>
            <w:tcBorders>
              <w:top w:val="nil"/>
            </w:tcBorders>
            <w:shd w:val="clear" w:color="auto" w:fill="808080"/>
            <w:textDirection w:val="btLr"/>
          </w:tcPr>
          <w:p w14:paraId="329F606B" w14:textId="77777777" w:rsidR="008715BE" w:rsidRPr="00EC75B7" w:rsidRDefault="008715BE">
            <w:pPr>
              <w:rPr>
                <w:rFonts w:ascii="Verdana" w:hAnsi="Verdana"/>
                <w:sz w:val="18"/>
                <w:szCs w:val="18"/>
              </w:rPr>
            </w:pPr>
          </w:p>
        </w:tc>
        <w:tc>
          <w:tcPr>
            <w:tcW w:w="958" w:type="dxa"/>
            <w:vMerge w:val="restart"/>
            <w:shd w:val="clear" w:color="auto" w:fill="00AFEF"/>
          </w:tcPr>
          <w:p w14:paraId="2742BF91" w14:textId="77777777" w:rsidR="008715BE" w:rsidRPr="00EC75B7" w:rsidRDefault="008715BE">
            <w:pPr>
              <w:pStyle w:val="TableParagraph"/>
              <w:rPr>
                <w:rFonts w:ascii="Verdana" w:hAnsi="Verdana"/>
                <w:b/>
                <w:sz w:val="18"/>
                <w:szCs w:val="18"/>
              </w:rPr>
            </w:pPr>
          </w:p>
          <w:p w14:paraId="46BBD738" w14:textId="77777777" w:rsidR="008715BE" w:rsidRPr="00EC75B7" w:rsidRDefault="008715BE">
            <w:pPr>
              <w:pStyle w:val="TableParagraph"/>
              <w:spacing w:before="145"/>
              <w:rPr>
                <w:rFonts w:ascii="Verdana" w:hAnsi="Verdana"/>
                <w:b/>
                <w:sz w:val="18"/>
                <w:szCs w:val="18"/>
              </w:rPr>
            </w:pPr>
          </w:p>
          <w:p w14:paraId="2F3C6C5E"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10"/>
                <w:sz w:val="18"/>
                <w:szCs w:val="18"/>
              </w:rPr>
              <w:t>3</w:t>
            </w:r>
          </w:p>
        </w:tc>
        <w:tc>
          <w:tcPr>
            <w:tcW w:w="2011" w:type="dxa"/>
            <w:vMerge w:val="restart"/>
            <w:shd w:val="clear" w:color="auto" w:fill="D9D9D9"/>
          </w:tcPr>
          <w:p w14:paraId="3C1610A4" w14:textId="77777777" w:rsidR="008715BE" w:rsidRPr="00EC75B7" w:rsidRDefault="008715BE">
            <w:pPr>
              <w:pStyle w:val="TableParagraph"/>
              <w:rPr>
                <w:rFonts w:ascii="Verdana" w:hAnsi="Verdana"/>
                <w:sz w:val="18"/>
                <w:szCs w:val="18"/>
              </w:rPr>
            </w:pPr>
          </w:p>
        </w:tc>
        <w:tc>
          <w:tcPr>
            <w:tcW w:w="2574" w:type="dxa"/>
            <w:vMerge w:val="restart"/>
            <w:shd w:val="clear" w:color="auto" w:fill="FFD243"/>
          </w:tcPr>
          <w:p w14:paraId="358929C9" w14:textId="77777777" w:rsidR="008715BE" w:rsidRPr="00EC75B7" w:rsidRDefault="008715BE">
            <w:pPr>
              <w:pStyle w:val="TableParagraph"/>
              <w:spacing w:before="146"/>
              <w:rPr>
                <w:rFonts w:ascii="Verdana" w:hAnsi="Verdana"/>
                <w:b/>
                <w:sz w:val="18"/>
                <w:szCs w:val="18"/>
              </w:rPr>
            </w:pPr>
          </w:p>
          <w:p w14:paraId="6A14E56D" w14:textId="77777777" w:rsidR="008715BE" w:rsidRPr="00EC75B7" w:rsidRDefault="00000000">
            <w:pPr>
              <w:pStyle w:val="TableParagraph"/>
              <w:ind w:left="12"/>
              <w:rPr>
                <w:rFonts w:ascii="Verdana" w:hAnsi="Verdana"/>
                <w:sz w:val="18"/>
                <w:szCs w:val="18"/>
              </w:rPr>
            </w:pPr>
            <w:r w:rsidRPr="00EC75B7">
              <w:rPr>
                <w:rFonts w:ascii="Verdana" w:hAnsi="Verdana"/>
                <w:sz w:val="18"/>
                <w:szCs w:val="18"/>
              </w:rPr>
              <w:t xml:space="preserve">Flooding / </w:t>
            </w:r>
            <w:r w:rsidRPr="00EC75B7">
              <w:rPr>
                <w:rFonts w:ascii="Verdana" w:hAnsi="Verdana"/>
                <w:spacing w:val="-2"/>
                <w:sz w:val="18"/>
                <w:szCs w:val="18"/>
              </w:rPr>
              <w:t>Heavy</w:t>
            </w:r>
            <w:r w:rsidRPr="00EC75B7">
              <w:rPr>
                <w:rFonts w:ascii="Verdana" w:hAnsi="Verdana"/>
                <w:sz w:val="18"/>
                <w:szCs w:val="18"/>
              </w:rPr>
              <w:t xml:space="preserve"> rainfall</w:t>
            </w:r>
          </w:p>
          <w:p w14:paraId="3EB26588" w14:textId="77777777" w:rsidR="008715BE" w:rsidRPr="00EC75B7" w:rsidRDefault="00000000">
            <w:pPr>
              <w:pStyle w:val="TableParagraph"/>
              <w:spacing w:line="193" w:lineRule="exact"/>
              <w:ind w:left="12"/>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2113" w:type="dxa"/>
            <w:tcBorders>
              <w:bottom w:val="single" w:sz="8" w:space="0" w:color="FF8F92"/>
            </w:tcBorders>
            <w:shd w:val="clear" w:color="auto" w:fill="FF8F92"/>
          </w:tcPr>
          <w:p w14:paraId="5CEDF190" w14:textId="77777777" w:rsidR="008715BE" w:rsidRPr="00EC75B7" w:rsidRDefault="008715BE">
            <w:pPr>
              <w:pStyle w:val="TableParagraph"/>
              <w:rPr>
                <w:rFonts w:ascii="Verdana" w:hAnsi="Verdana"/>
                <w:sz w:val="18"/>
                <w:szCs w:val="18"/>
              </w:rPr>
            </w:pPr>
          </w:p>
        </w:tc>
        <w:tc>
          <w:tcPr>
            <w:tcW w:w="1845" w:type="dxa"/>
            <w:vMerge w:val="restart"/>
            <w:shd w:val="clear" w:color="auto" w:fill="FF8F92"/>
          </w:tcPr>
          <w:p w14:paraId="2F591561" w14:textId="77777777" w:rsidR="008715BE" w:rsidRPr="00EC75B7" w:rsidRDefault="008715BE">
            <w:pPr>
              <w:pStyle w:val="TableParagraph"/>
              <w:rPr>
                <w:rFonts w:ascii="Verdana" w:hAnsi="Verdana"/>
                <w:sz w:val="18"/>
                <w:szCs w:val="18"/>
              </w:rPr>
            </w:pPr>
          </w:p>
        </w:tc>
      </w:tr>
      <w:tr w:rsidR="008715BE" w:rsidRPr="00EC75B7" w14:paraId="217ACD58" w14:textId="77777777">
        <w:trPr>
          <w:trHeight w:val="901"/>
        </w:trPr>
        <w:tc>
          <w:tcPr>
            <w:tcW w:w="278" w:type="dxa"/>
            <w:vMerge/>
            <w:tcBorders>
              <w:top w:val="nil"/>
            </w:tcBorders>
            <w:shd w:val="clear" w:color="auto" w:fill="808080"/>
            <w:textDirection w:val="btLr"/>
          </w:tcPr>
          <w:p w14:paraId="1D7B4F3B"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1E9B4255" w14:textId="77777777" w:rsidR="008715BE" w:rsidRPr="00EC75B7" w:rsidRDefault="008715BE">
            <w:pPr>
              <w:rPr>
                <w:rFonts w:ascii="Verdana" w:hAnsi="Verdana"/>
                <w:sz w:val="18"/>
                <w:szCs w:val="18"/>
              </w:rPr>
            </w:pPr>
          </w:p>
        </w:tc>
        <w:tc>
          <w:tcPr>
            <w:tcW w:w="2011" w:type="dxa"/>
            <w:vMerge/>
            <w:tcBorders>
              <w:top w:val="nil"/>
            </w:tcBorders>
            <w:shd w:val="clear" w:color="auto" w:fill="D9D9D9"/>
          </w:tcPr>
          <w:p w14:paraId="454C7DB0" w14:textId="77777777" w:rsidR="008715BE" w:rsidRPr="00EC75B7" w:rsidRDefault="008715BE">
            <w:pPr>
              <w:rPr>
                <w:rFonts w:ascii="Verdana" w:hAnsi="Verdana"/>
                <w:sz w:val="18"/>
                <w:szCs w:val="18"/>
              </w:rPr>
            </w:pPr>
          </w:p>
        </w:tc>
        <w:tc>
          <w:tcPr>
            <w:tcW w:w="2574" w:type="dxa"/>
            <w:vMerge/>
            <w:tcBorders>
              <w:top w:val="nil"/>
            </w:tcBorders>
            <w:shd w:val="clear" w:color="auto" w:fill="FFD243"/>
          </w:tcPr>
          <w:p w14:paraId="227E955E" w14:textId="77777777" w:rsidR="008715BE" w:rsidRPr="00EC75B7" w:rsidRDefault="008715BE">
            <w:pPr>
              <w:rPr>
                <w:rFonts w:ascii="Verdana" w:hAnsi="Verdana"/>
                <w:sz w:val="18"/>
                <w:szCs w:val="18"/>
              </w:rPr>
            </w:pPr>
          </w:p>
        </w:tc>
        <w:tc>
          <w:tcPr>
            <w:tcW w:w="2113" w:type="dxa"/>
            <w:tcBorders>
              <w:top w:val="single" w:sz="8" w:space="0" w:color="FF8F92"/>
            </w:tcBorders>
            <w:shd w:val="clear" w:color="auto" w:fill="FF8F92"/>
          </w:tcPr>
          <w:p w14:paraId="6D34F51D" w14:textId="77777777" w:rsidR="008715BE" w:rsidRPr="00EC75B7" w:rsidRDefault="008715BE">
            <w:pPr>
              <w:pStyle w:val="TableParagraph"/>
              <w:rPr>
                <w:rFonts w:ascii="Verdana" w:hAnsi="Verdana"/>
                <w:sz w:val="18"/>
                <w:szCs w:val="18"/>
              </w:rPr>
            </w:pPr>
          </w:p>
        </w:tc>
        <w:tc>
          <w:tcPr>
            <w:tcW w:w="1845" w:type="dxa"/>
            <w:vMerge/>
            <w:tcBorders>
              <w:top w:val="nil"/>
            </w:tcBorders>
            <w:shd w:val="clear" w:color="auto" w:fill="FF8F92"/>
          </w:tcPr>
          <w:p w14:paraId="23AC3BB1" w14:textId="77777777" w:rsidR="008715BE" w:rsidRPr="00EC75B7" w:rsidRDefault="008715BE">
            <w:pPr>
              <w:rPr>
                <w:rFonts w:ascii="Verdana" w:hAnsi="Verdana"/>
                <w:sz w:val="18"/>
                <w:szCs w:val="18"/>
              </w:rPr>
            </w:pPr>
          </w:p>
        </w:tc>
      </w:tr>
      <w:tr w:rsidR="008715BE" w:rsidRPr="00EC75B7" w14:paraId="165D961B" w14:textId="77777777">
        <w:trPr>
          <w:trHeight w:val="330"/>
        </w:trPr>
        <w:tc>
          <w:tcPr>
            <w:tcW w:w="278" w:type="dxa"/>
            <w:vMerge w:val="restart"/>
            <w:shd w:val="clear" w:color="auto" w:fill="808080"/>
            <w:textDirection w:val="btLr"/>
          </w:tcPr>
          <w:p w14:paraId="7F246CDA" w14:textId="77777777" w:rsidR="008715BE" w:rsidRPr="00EC75B7" w:rsidRDefault="00000000">
            <w:pPr>
              <w:pStyle w:val="TableParagraph"/>
              <w:spacing w:before="49" w:line="189" w:lineRule="exact"/>
              <w:ind w:right="15"/>
              <w:jc w:val="center"/>
              <w:rPr>
                <w:rFonts w:ascii="Verdana" w:hAnsi="Verdana"/>
                <w:b/>
                <w:sz w:val="18"/>
                <w:szCs w:val="18"/>
              </w:rPr>
            </w:pPr>
            <w:r w:rsidRPr="00EC75B7">
              <w:rPr>
                <w:rFonts w:ascii="Verdana" w:hAnsi="Verdana"/>
                <w:b/>
                <w:color w:val="FFFFFF"/>
                <w:spacing w:val="-2"/>
                <w:sz w:val="18"/>
                <w:szCs w:val="18"/>
              </w:rPr>
              <w:t>Sensitivity</w:t>
            </w:r>
          </w:p>
        </w:tc>
        <w:tc>
          <w:tcPr>
            <w:tcW w:w="958" w:type="dxa"/>
            <w:vMerge w:val="restart"/>
            <w:shd w:val="clear" w:color="auto" w:fill="00AFEF"/>
          </w:tcPr>
          <w:p w14:paraId="3370D6C4" w14:textId="77777777" w:rsidR="008715BE" w:rsidRPr="00EC75B7" w:rsidRDefault="008715BE">
            <w:pPr>
              <w:pStyle w:val="TableParagraph"/>
              <w:rPr>
                <w:rFonts w:ascii="Verdana" w:hAnsi="Verdana"/>
                <w:sz w:val="18"/>
                <w:szCs w:val="18"/>
              </w:rPr>
            </w:pPr>
          </w:p>
        </w:tc>
        <w:tc>
          <w:tcPr>
            <w:tcW w:w="8543" w:type="dxa"/>
            <w:gridSpan w:val="4"/>
            <w:shd w:val="clear" w:color="auto" w:fill="808080"/>
          </w:tcPr>
          <w:p w14:paraId="0AEBE284" w14:textId="77777777" w:rsidR="008715BE" w:rsidRPr="00EC75B7" w:rsidRDefault="00000000">
            <w:pPr>
              <w:pStyle w:val="TableParagraph"/>
              <w:spacing w:before="85"/>
              <w:ind w:left="23" w:right="3"/>
              <w:jc w:val="center"/>
              <w:rPr>
                <w:rFonts w:ascii="Verdana" w:hAnsi="Verdana"/>
                <w:b/>
                <w:sz w:val="18"/>
                <w:szCs w:val="18"/>
              </w:rPr>
            </w:pPr>
            <w:r w:rsidRPr="00EC75B7">
              <w:rPr>
                <w:rFonts w:ascii="Verdana" w:hAnsi="Verdana"/>
                <w:b/>
                <w:color w:val="FFFFFF"/>
                <w:spacing w:val="-2"/>
                <w:sz w:val="18"/>
                <w:szCs w:val="18"/>
              </w:rPr>
              <w:t xml:space="preserve">Medium-term </w:t>
            </w:r>
            <w:r w:rsidRPr="00EC75B7">
              <w:rPr>
                <w:rFonts w:ascii="Verdana" w:hAnsi="Verdana"/>
                <w:b/>
                <w:color w:val="FFFFFF"/>
                <w:sz w:val="18"/>
                <w:szCs w:val="18"/>
              </w:rPr>
              <w:t>exposure</w:t>
            </w:r>
          </w:p>
        </w:tc>
      </w:tr>
      <w:tr w:rsidR="008715BE" w:rsidRPr="00EC75B7" w14:paraId="3E19C09E" w14:textId="77777777">
        <w:trPr>
          <w:trHeight w:val="328"/>
        </w:trPr>
        <w:tc>
          <w:tcPr>
            <w:tcW w:w="278" w:type="dxa"/>
            <w:vMerge/>
            <w:tcBorders>
              <w:top w:val="nil"/>
            </w:tcBorders>
            <w:shd w:val="clear" w:color="auto" w:fill="808080"/>
            <w:textDirection w:val="btLr"/>
          </w:tcPr>
          <w:p w14:paraId="1F544D79"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002CCF43" w14:textId="77777777" w:rsidR="008715BE" w:rsidRPr="00EC75B7" w:rsidRDefault="008715BE">
            <w:pPr>
              <w:rPr>
                <w:rFonts w:ascii="Verdana" w:hAnsi="Verdana"/>
                <w:sz w:val="18"/>
                <w:szCs w:val="18"/>
              </w:rPr>
            </w:pPr>
          </w:p>
        </w:tc>
        <w:tc>
          <w:tcPr>
            <w:tcW w:w="2011" w:type="dxa"/>
            <w:shd w:val="clear" w:color="auto" w:fill="00AFEF"/>
          </w:tcPr>
          <w:p w14:paraId="5217E893" w14:textId="77777777" w:rsidR="008715BE" w:rsidRPr="00EC75B7" w:rsidRDefault="00000000">
            <w:pPr>
              <w:pStyle w:val="TableParagraph"/>
              <w:spacing w:before="82"/>
              <w:ind w:left="14"/>
              <w:jc w:val="center"/>
              <w:rPr>
                <w:rFonts w:ascii="Verdana" w:hAnsi="Verdana"/>
                <w:b/>
                <w:sz w:val="18"/>
                <w:szCs w:val="18"/>
              </w:rPr>
            </w:pPr>
            <w:r w:rsidRPr="00EC75B7">
              <w:rPr>
                <w:rFonts w:ascii="Verdana" w:hAnsi="Verdana"/>
                <w:b/>
                <w:color w:val="FFFFFF"/>
                <w:spacing w:val="-10"/>
                <w:sz w:val="18"/>
                <w:szCs w:val="18"/>
              </w:rPr>
              <w:t>0</w:t>
            </w:r>
          </w:p>
        </w:tc>
        <w:tc>
          <w:tcPr>
            <w:tcW w:w="2574" w:type="dxa"/>
            <w:shd w:val="clear" w:color="auto" w:fill="00AFEF"/>
          </w:tcPr>
          <w:p w14:paraId="7A4221D2" w14:textId="77777777" w:rsidR="008715BE" w:rsidRPr="00EC75B7" w:rsidRDefault="00000000">
            <w:pPr>
              <w:pStyle w:val="TableParagraph"/>
              <w:spacing w:before="82"/>
              <w:ind w:left="9"/>
              <w:jc w:val="center"/>
              <w:rPr>
                <w:rFonts w:ascii="Verdana" w:hAnsi="Verdana"/>
                <w:b/>
                <w:sz w:val="18"/>
                <w:szCs w:val="18"/>
              </w:rPr>
            </w:pPr>
            <w:r w:rsidRPr="00EC75B7">
              <w:rPr>
                <w:rFonts w:ascii="Verdana" w:hAnsi="Verdana"/>
                <w:b/>
                <w:color w:val="FFFFFF"/>
                <w:spacing w:val="-10"/>
                <w:sz w:val="18"/>
                <w:szCs w:val="18"/>
              </w:rPr>
              <w:t>1</w:t>
            </w:r>
          </w:p>
        </w:tc>
        <w:tc>
          <w:tcPr>
            <w:tcW w:w="2113" w:type="dxa"/>
            <w:shd w:val="clear" w:color="auto" w:fill="00AFEF"/>
          </w:tcPr>
          <w:p w14:paraId="56187C62" w14:textId="77777777" w:rsidR="008715BE" w:rsidRPr="00EC75B7" w:rsidRDefault="00000000">
            <w:pPr>
              <w:pStyle w:val="TableParagraph"/>
              <w:spacing w:before="82"/>
              <w:ind w:left="22"/>
              <w:jc w:val="center"/>
              <w:rPr>
                <w:rFonts w:ascii="Verdana" w:hAnsi="Verdana"/>
                <w:b/>
                <w:sz w:val="18"/>
                <w:szCs w:val="18"/>
              </w:rPr>
            </w:pPr>
            <w:r w:rsidRPr="00EC75B7">
              <w:rPr>
                <w:rFonts w:ascii="Verdana" w:hAnsi="Verdana"/>
                <w:b/>
                <w:color w:val="FFFFFF"/>
                <w:spacing w:val="-10"/>
                <w:sz w:val="18"/>
                <w:szCs w:val="18"/>
              </w:rPr>
              <w:t>2</w:t>
            </w:r>
          </w:p>
        </w:tc>
        <w:tc>
          <w:tcPr>
            <w:tcW w:w="1845" w:type="dxa"/>
            <w:shd w:val="clear" w:color="auto" w:fill="00AFEF"/>
          </w:tcPr>
          <w:p w14:paraId="0468A8A0" w14:textId="77777777" w:rsidR="008715BE" w:rsidRPr="00EC75B7" w:rsidRDefault="00000000">
            <w:pPr>
              <w:pStyle w:val="TableParagraph"/>
              <w:spacing w:before="82"/>
              <w:ind w:right="835"/>
              <w:jc w:val="right"/>
              <w:rPr>
                <w:rFonts w:ascii="Verdana" w:hAnsi="Verdana"/>
                <w:b/>
                <w:sz w:val="18"/>
                <w:szCs w:val="18"/>
              </w:rPr>
            </w:pPr>
            <w:r w:rsidRPr="00EC75B7">
              <w:rPr>
                <w:rFonts w:ascii="Verdana" w:hAnsi="Verdana"/>
                <w:b/>
                <w:color w:val="FFFFFF"/>
                <w:spacing w:val="-10"/>
                <w:sz w:val="18"/>
                <w:szCs w:val="18"/>
              </w:rPr>
              <w:t>3</w:t>
            </w:r>
          </w:p>
        </w:tc>
      </w:tr>
      <w:tr w:rsidR="008715BE" w:rsidRPr="00EC75B7" w14:paraId="79EA7EF6" w14:textId="77777777">
        <w:trPr>
          <w:trHeight w:val="601"/>
        </w:trPr>
        <w:tc>
          <w:tcPr>
            <w:tcW w:w="278" w:type="dxa"/>
            <w:vMerge/>
            <w:tcBorders>
              <w:top w:val="nil"/>
            </w:tcBorders>
            <w:shd w:val="clear" w:color="auto" w:fill="808080"/>
            <w:textDirection w:val="btLr"/>
          </w:tcPr>
          <w:p w14:paraId="7CFF339A" w14:textId="77777777" w:rsidR="008715BE" w:rsidRPr="00EC75B7" w:rsidRDefault="008715BE">
            <w:pPr>
              <w:rPr>
                <w:rFonts w:ascii="Verdana" w:hAnsi="Verdana"/>
                <w:sz w:val="18"/>
                <w:szCs w:val="18"/>
              </w:rPr>
            </w:pPr>
          </w:p>
        </w:tc>
        <w:tc>
          <w:tcPr>
            <w:tcW w:w="958" w:type="dxa"/>
            <w:shd w:val="clear" w:color="auto" w:fill="00AFEF"/>
          </w:tcPr>
          <w:p w14:paraId="656BA2B7" w14:textId="77777777" w:rsidR="008715BE" w:rsidRPr="00EC75B7" w:rsidRDefault="008715BE">
            <w:pPr>
              <w:pStyle w:val="TableParagraph"/>
              <w:spacing w:before="23"/>
              <w:rPr>
                <w:rFonts w:ascii="Verdana" w:hAnsi="Verdana"/>
                <w:b/>
                <w:sz w:val="18"/>
                <w:szCs w:val="18"/>
              </w:rPr>
            </w:pPr>
          </w:p>
          <w:p w14:paraId="6D4E256A" w14:textId="77777777" w:rsidR="008715BE" w:rsidRPr="00EC75B7" w:rsidRDefault="00000000">
            <w:pPr>
              <w:pStyle w:val="TableParagraph"/>
              <w:spacing w:before="1"/>
              <w:ind w:left="17"/>
              <w:jc w:val="center"/>
              <w:rPr>
                <w:rFonts w:ascii="Verdana" w:hAnsi="Verdana"/>
                <w:b/>
                <w:sz w:val="18"/>
                <w:szCs w:val="18"/>
              </w:rPr>
            </w:pPr>
            <w:r w:rsidRPr="00EC75B7">
              <w:rPr>
                <w:rFonts w:ascii="Verdana" w:hAnsi="Verdana"/>
                <w:b/>
                <w:color w:val="FFFFFF"/>
                <w:spacing w:val="-10"/>
                <w:sz w:val="18"/>
                <w:szCs w:val="18"/>
              </w:rPr>
              <w:t>0</w:t>
            </w:r>
          </w:p>
        </w:tc>
        <w:tc>
          <w:tcPr>
            <w:tcW w:w="2011" w:type="dxa"/>
            <w:shd w:val="clear" w:color="auto" w:fill="D9D9D9"/>
          </w:tcPr>
          <w:p w14:paraId="69FE32AA" w14:textId="77777777" w:rsidR="008715BE" w:rsidRPr="00EC75B7" w:rsidRDefault="008715BE">
            <w:pPr>
              <w:pStyle w:val="TableParagraph"/>
              <w:rPr>
                <w:rFonts w:ascii="Verdana" w:hAnsi="Verdana"/>
                <w:sz w:val="18"/>
                <w:szCs w:val="18"/>
              </w:rPr>
            </w:pPr>
          </w:p>
        </w:tc>
        <w:tc>
          <w:tcPr>
            <w:tcW w:w="2574" w:type="dxa"/>
            <w:shd w:val="clear" w:color="auto" w:fill="D9D9D9"/>
          </w:tcPr>
          <w:p w14:paraId="57EA97F8" w14:textId="77777777" w:rsidR="008715BE" w:rsidRPr="00EC75B7" w:rsidRDefault="00000000">
            <w:pPr>
              <w:pStyle w:val="TableParagraph"/>
              <w:spacing w:before="123"/>
              <w:ind w:left="12"/>
              <w:rPr>
                <w:rFonts w:ascii="Verdana" w:hAnsi="Verdana"/>
                <w:sz w:val="18"/>
                <w:szCs w:val="18"/>
              </w:rPr>
            </w:pPr>
            <w:r w:rsidRPr="00EC75B7">
              <w:rPr>
                <w:rFonts w:ascii="Verdana" w:hAnsi="Verdana"/>
                <w:sz w:val="18"/>
                <w:szCs w:val="18"/>
              </w:rPr>
              <w:t>Landslides/Avalanches</w:t>
            </w:r>
            <w:r w:rsidRPr="00EC75B7">
              <w:rPr>
                <w:rFonts w:ascii="Verdana" w:hAnsi="Verdana"/>
                <w:spacing w:val="-2"/>
                <w:sz w:val="18"/>
                <w:szCs w:val="18"/>
              </w:rPr>
              <w:t>/Subsidence</w:t>
            </w:r>
          </w:p>
        </w:tc>
        <w:tc>
          <w:tcPr>
            <w:tcW w:w="2113" w:type="dxa"/>
            <w:shd w:val="clear" w:color="auto" w:fill="D9D9D9"/>
          </w:tcPr>
          <w:p w14:paraId="5DD4FABB" w14:textId="77777777" w:rsidR="008715BE" w:rsidRPr="00EC75B7" w:rsidRDefault="008715BE">
            <w:pPr>
              <w:pStyle w:val="TableParagraph"/>
              <w:rPr>
                <w:rFonts w:ascii="Verdana" w:hAnsi="Verdana"/>
                <w:sz w:val="18"/>
                <w:szCs w:val="18"/>
              </w:rPr>
            </w:pPr>
          </w:p>
        </w:tc>
        <w:tc>
          <w:tcPr>
            <w:tcW w:w="1845" w:type="dxa"/>
            <w:shd w:val="clear" w:color="auto" w:fill="D9D9D9"/>
          </w:tcPr>
          <w:p w14:paraId="4EA3B884" w14:textId="77777777" w:rsidR="008715BE" w:rsidRPr="00EC75B7" w:rsidRDefault="008715BE">
            <w:pPr>
              <w:pStyle w:val="TableParagraph"/>
              <w:rPr>
                <w:rFonts w:ascii="Verdana" w:hAnsi="Verdana"/>
                <w:sz w:val="18"/>
                <w:szCs w:val="18"/>
              </w:rPr>
            </w:pPr>
          </w:p>
        </w:tc>
      </w:tr>
      <w:tr w:rsidR="008715BE" w:rsidRPr="00EC75B7" w14:paraId="69F6554B" w14:textId="77777777">
        <w:trPr>
          <w:trHeight w:val="388"/>
        </w:trPr>
        <w:tc>
          <w:tcPr>
            <w:tcW w:w="278" w:type="dxa"/>
            <w:vMerge/>
            <w:tcBorders>
              <w:top w:val="nil"/>
            </w:tcBorders>
            <w:shd w:val="clear" w:color="auto" w:fill="808080"/>
            <w:textDirection w:val="btLr"/>
          </w:tcPr>
          <w:p w14:paraId="3415897F" w14:textId="77777777" w:rsidR="008715BE" w:rsidRPr="00EC75B7" w:rsidRDefault="008715BE">
            <w:pPr>
              <w:rPr>
                <w:rFonts w:ascii="Verdana" w:hAnsi="Verdana"/>
                <w:sz w:val="18"/>
                <w:szCs w:val="18"/>
              </w:rPr>
            </w:pPr>
          </w:p>
        </w:tc>
        <w:tc>
          <w:tcPr>
            <w:tcW w:w="958" w:type="dxa"/>
            <w:vMerge w:val="restart"/>
            <w:shd w:val="clear" w:color="auto" w:fill="00AFEF"/>
          </w:tcPr>
          <w:p w14:paraId="394896CB" w14:textId="77777777" w:rsidR="008715BE" w:rsidRPr="00EC75B7" w:rsidRDefault="008715BE">
            <w:pPr>
              <w:pStyle w:val="TableParagraph"/>
              <w:spacing w:before="191"/>
              <w:rPr>
                <w:rFonts w:ascii="Verdana" w:hAnsi="Verdana"/>
                <w:b/>
                <w:sz w:val="18"/>
                <w:szCs w:val="18"/>
              </w:rPr>
            </w:pPr>
          </w:p>
          <w:p w14:paraId="30CDB26E" w14:textId="77777777" w:rsidR="008715BE" w:rsidRPr="00EC75B7" w:rsidRDefault="00000000">
            <w:pPr>
              <w:pStyle w:val="TableParagraph"/>
              <w:spacing w:before="1"/>
              <w:ind w:left="17"/>
              <w:jc w:val="center"/>
              <w:rPr>
                <w:rFonts w:ascii="Verdana" w:hAnsi="Verdana"/>
                <w:b/>
                <w:sz w:val="18"/>
                <w:szCs w:val="18"/>
              </w:rPr>
            </w:pPr>
            <w:r w:rsidRPr="00EC75B7">
              <w:rPr>
                <w:rFonts w:ascii="Verdana" w:hAnsi="Verdana"/>
                <w:b/>
                <w:color w:val="FFFFFF"/>
                <w:spacing w:val="-10"/>
                <w:sz w:val="18"/>
                <w:szCs w:val="18"/>
              </w:rPr>
              <w:t>1</w:t>
            </w:r>
          </w:p>
        </w:tc>
        <w:tc>
          <w:tcPr>
            <w:tcW w:w="2011" w:type="dxa"/>
            <w:vMerge w:val="restart"/>
            <w:shd w:val="clear" w:color="auto" w:fill="D9D9D9"/>
          </w:tcPr>
          <w:p w14:paraId="5E42E0C7" w14:textId="77777777" w:rsidR="008715BE" w:rsidRPr="00EC75B7" w:rsidRDefault="008715BE">
            <w:pPr>
              <w:pStyle w:val="TableParagraph"/>
              <w:rPr>
                <w:rFonts w:ascii="Verdana" w:hAnsi="Verdana"/>
                <w:sz w:val="18"/>
                <w:szCs w:val="18"/>
              </w:rPr>
            </w:pPr>
          </w:p>
        </w:tc>
        <w:tc>
          <w:tcPr>
            <w:tcW w:w="2574" w:type="dxa"/>
            <w:vMerge w:val="restart"/>
            <w:shd w:val="clear" w:color="auto" w:fill="92D050"/>
          </w:tcPr>
          <w:p w14:paraId="46B622AF" w14:textId="77777777" w:rsidR="008715BE" w:rsidRPr="00EC75B7" w:rsidRDefault="00000000">
            <w:pPr>
              <w:pStyle w:val="TableParagraph"/>
              <w:spacing w:before="39"/>
              <w:ind w:left="12"/>
              <w:rPr>
                <w:rFonts w:ascii="Verdana" w:hAnsi="Verdana"/>
                <w:sz w:val="18"/>
                <w:szCs w:val="18"/>
              </w:rPr>
            </w:pPr>
            <w:r w:rsidRPr="00EC75B7">
              <w:rPr>
                <w:rFonts w:ascii="Verdana" w:hAnsi="Verdana"/>
                <w:spacing w:val="-2"/>
                <w:sz w:val="18"/>
                <w:szCs w:val="18"/>
              </w:rPr>
              <w:t>Soil erosion/Coastal erosion</w:t>
            </w:r>
          </w:p>
        </w:tc>
        <w:tc>
          <w:tcPr>
            <w:tcW w:w="2113" w:type="dxa"/>
            <w:tcBorders>
              <w:bottom w:val="nil"/>
            </w:tcBorders>
            <w:shd w:val="clear" w:color="auto" w:fill="92D050"/>
          </w:tcPr>
          <w:p w14:paraId="545D7F18" w14:textId="77777777" w:rsidR="008715BE" w:rsidRPr="00EC75B7" w:rsidRDefault="00000000">
            <w:pPr>
              <w:pStyle w:val="TableParagraph"/>
              <w:spacing w:before="121"/>
              <w:ind w:left="7"/>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1845" w:type="dxa"/>
            <w:vMerge w:val="restart"/>
            <w:shd w:val="clear" w:color="auto" w:fill="FFD243"/>
          </w:tcPr>
          <w:p w14:paraId="21E1AEA9" w14:textId="77777777" w:rsidR="008715BE" w:rsidRPr="00EC75B7" w:rsidRDefault="008715BE">
            <w:pPr>
              <w:pStyle w:val="TableParagraph"/>
              <w:rPr>
                <w:rFonts w:ascii="Verdana" w:hAnsi="Verdana"/>
                <w:sz w:val="18"/>
                <w:szCs w:val="18"/>
              </w:rPr>
            </w:pPr>
          </w:p>
        </w:tc>
      </w:tr>
      <w:tr w:rsidR="008715BE" w:rsidRPr="00EC75B7" w14:paraId="446231B5" w14:textId="77777777">
        <w:trPr>
          <w:trHeight w:val="545"/>
        </w:trPr>
        <w:tc>
          <w:tcPr>
            <w:tcW w:w="278" w:type="dxa"/>
            <w:vMerge/>
            <w:tcBorders>
              <w:top w:val="nil"/>
            </w:tcBorders>
            <w:shd w:val="clear" w:color="auto" w:fill="808080"/>
            <w:textDirection w:val="btLr"/>
          </w:tcPr>
          <w:p w14:paraId="2A331E86"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0626D353" w14:textId="77777777" w:rsidR="008715BE" w:rsidRPr="00EC75B7" w:rsidRDefault="008715BE">
            <w:pPr>
              <w:rPr>
                <w:rFonts w:ascii="Verdana" w:hAnsi="Verdana"/>
                <w:sz w:val="18"/>
                <w:szCs w:val="18"/>
              </w:rPr>
            </w:pPr>
          </w:p>
        </w:tc>
        <w:tc>
          <w:tcPr>
            <w:tcW w:w="2011" w:type="dxa"/>
            <w:vMerge/>
            <w:tcBorders>
              <w:top w:val="nil"/>
            </w:tcBorders>
            <w:shd w:val="clear" w:color="auto" w:fill="D9D9D9"/>
          </w:tcPr>
          <w:p w14:paraId="1A85C60F" w14:textId="77777777" w:rsidR="008715BE" w:rsidRPr="00EC75B7" w:rsidRDefault="008715BE">
            <w:pPr>
              <w:rPr>
                <w:rFonts w:ascii="Verdana" w:hAnsi="Verdana"/>
                <w:sz w:val="18"/>
                <w:szCs w:val="18"/>
              </w:rPr>
            </w:pPr>
          </w:p>
        </w:tc>
        <w:tc>
          <w:tcPr>
            <w:tcW w:w="2574" w:type="dxa"/>
            <w:vMerge/>
            <w:tcBorders>
              <w:top w:val="nil"/>
            </w:tcBorders>
            <w:shd w:val="clear" w:color="auto" w:fill="92D050"/>
          </w:tcPr>
          <w:p w14:paraId="190BFC0D" w14:textId="77777777" w:rsidR="008715BE" w:rsidRPr="00EC75B7" w:rsidRDefault="008715BE">
            <w:pPr>
              <w:rPr>
                <w:rFonts w:ascii="Verdana" w:hAnsi="Verdana"/>
                <w:sz w:val="18"/>
                <w:szCs w:val="18"/>
              </w:rPr>
            </w:pPr>
          </w:p>
        </w:tc>
        <w:tc>
          <w:tcPr>
            <w:tcW w:w="2113" w:type="dxa"/>
            <w:tcBorders>
              <w:top w:val="nil"/>
            </w:tcBorders>
            <w:shd w:val="clear" w:color="auto" w:fill="92D050"/>
          </w:tcPr>
          <w:p w14:paraId="7BD146F3" w14:textId="77777777" w:rsidR="008715BE" w:rsidRPr="00EC75B7" w:rsidRDefault="00000000">
            <w:pPr>
              <w:pStyle w:val="TableParagraph"/>
              <w:spacing w:before="91"/>
              <w:ind w:left="7"/>
              <w:rPr>
                <w:rFonts w:ascii="Verdana" w:hAnsi="Verdana"/>
                <w:sz w:val="18"/>
                <w:szCs w:val="18"/>
              </w:rPr>
            </w:pPr>
            <w:r w:rsidRPr="00EC75B7">
              <w:rPr>
                <w:rFonts w:ascii="Verdana" w:hAnsi="Verdana"/>
                <w:spacing w:val="-2"/>
                <w:sz w:val="18"/>
                <w:szCs w:val="18"/>
              </w:rPr>
              <w:t>Drought</w:t>
            </w:r>
          </w:p>
        </w:tc>
        <w:tc>
          <w:tcPr>
            <w:tcW w:w="1845" w:type="dxa"/>
            <w:vMerge/>
            <w:tcBorders>
              <w:top w:val="nil"/>
            </w:tcBorders>
            <w:shd w:val="clear" w:color="auto" w:fill="FFD243"/>
          </w:tcPr>
          <w:p w14:paraId="269BDC61" w14:textId="77777777" w:rsidR="008715BE" w:rsidRPr="00EC75B7" w:rsidRDefault="008715BE">
            <w:pPr>
              <w:rPr>
                <w:rFonts w:ascii="Verdana" w:hAnsi="Verdana"/>
                <w:sz w:val="18"/>
                <w:szCs w:val="18"/>
              </w:rPr>
            </w:pPr>
          </w:p>
        </w:tc>
      </w:tr>
      <w:tr w:rsidR="008715BE" w:rsidRPr="00EC75B7" w14:paraId="4F60E236" w14:textId="77777777">
        <w:trPr>
          <w:trHeight w:val="1376"/>
        </w:trPr>
        <w:tc>
          <w:tcPr>
            <w:tcW w:w="278" w:type="dxa"/>
            <w:vMerge/>
            <w:tcBorders>
              <w:top w:val="nil"/>
            </w:tcBorders>
            <w:shd w:val="clear" w:color="auto" w:fill="808080"/>
            <w:textDirection w:val="btLr"/>
          </w:tcPr>
          <w:p w14:paraId="0619B6A3" w14:textId="77777777" w:rsidR="008715BE" w:rsidRPr="00EC75B7" w:rsidRDefault="008715BE">
            <w:pPr>
              <w:rPr>
                <w:rFonts w:ascii="Verdana" w:hAnsi="Verdana"/>
                <w:sz w:val="18"/>
                <w:szCs w:val="18"/>
              </w:rPr>
            </w:pPr>
          </w:p>
        </w:tc>
        <w:tc>
          <w:tcPr>
            <w:tcW w:w="958" w:type="dxa"/>
            <w:shd w:val="clear" w:color="auto" w:fill="00AFEF"/>
          </w:tcPr>
          <w:p w14:paraId="23804270" w14:textId="77777777" w:rsidR="008715BE" w:rsidRPr="00EC75B7" w:rsidRDefault="008715BE">
            <w:pPr>
              <w:pStyle w:val="TableParagraph"/>
              <w:rPr>
                <w:rFonts w:ascii="Verdana" w:hAnsi="Verdana"/>
                <w:b/>
                <w:sz w:val="18"/>
                <w:szCs w:val="18"/>
              </w:rPr>
            </w:pPr>
          </w:p>
          <w:p w14:paraId="0A819783" w14:textId="77777777" w:rsidR="008715BE" w:rsidRPr="00EC75B7" w:rsidRDefault="008715BE">
            <w:pPr>
              <w:pStyle w:val="TableParagraph"/>
              <w:rPr>
                <w:rFonts w:ascii="Verdana" w:hAnsi="Verdana"/>
                <w:b/>
                <w:sz w:val="18"/>
                <w:szCs w:val="18"/>
              </w:rPr>
            </w:pPr>
          </w:p>
          <w:p w14:paraId="289E2162" w14:textId="77777777" w:rsidR="008715BE" w:rsidRPr="00EC75B7" w:rsidRDefault="008715BE">
            <w:pPr>
              <w:pStyle w:val="TableParagraph"/>
              <w:spacing w:before="22"/>
              <w:rPr>
                <w:rFonts w:ascii="Verdana" w:hAnsi="Verdana"/>
                <w:b/>
                <w:sz w:val="18"/>
                <w:szCs w:val="18"/>
              </w:rPr>
            </w:pPr>
          </w:p>
          <w:p w14:paraId="55736732"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10"/>
                <w:sz w:val="18"/>
                <w:szCs w:val="18"/>
              </w:rPr>
              <w:t>2</w:t>
            </w:r>
          </w:p>
        </w:tc>
        <w:tc>
          <w:tcPr>
            <w:tcW w:w="2011" w:type="dxa"/>
            <w:shd w:val="clear" w:color="auto" w:fill="D9D9D9"/>
          </w:tcPr>
          <w:p w14:paraId="474AC4A7" w14:textId="77777777" w:rsidR="008715BE" w:rsidRPr="00EC75B7" w:rsidRDefault="00000000">
            <w:pPr>
              <w:pStyle w:val="TableParagraph"/>
              <w:spacing w:before="22"/>
              <w:ind w:left="14" w:right="185"/>
              <w:rPr>
                <w:rFonts w:ascii="Verdana" w:hAnsi="Verdana"/>
                <w:sz w:val="18"/>
                <w:szCs w:val="18"/>
              </w:rPr>
            </w:pPr>
            <w:r w:rsidRPr="00EC75B7">
              <w:rPr>
                <w:rFonts w:ascii="Verdana" w:hAnsi="Verdana"/>
                <w:sz w:val="18"/>
                <w:szCs w:val="18"/>
              </w:rPr>
              <w:t>Lands</w:t>
            </w:r>
            <w:r w:rsidRPr="00EC75B7">
              <w:rPr>
                <w:rFonts w:ascii="Verdana" w:hAnsi="Verdana"/>
                <w:spacing w:val="-2"/>
                <w:sz w:val="18"/>
                <w:szCs w:val="18"/>
              </w:rPr>
              <w:t xml:space="preserve">lides/Avalanches/Subsidence Permafrost thawing </w:t>
            </w:r>
            <w:r w:rsidRPr="00EC75B7">
              <w:rPr>
                <w:rFonts w:ascii="Verdana" w:hAnsi="Verdana"/>
                <w:sz w:val="18"/>
                <w:szCs w:val="18"/>
              </w:rPr>
              <w:t>Sea level rise</w:t>
            </w:r>
          </w:p>
          <w:p w14:paraId="1A670C31" w14:textId="77777777" w:rsidR="008715BE" w:rsidRPr="00EC75B7" w:rsidRDefault="00000000">
            <w:pPr>
              <w:pStyle w:val="TableParagraph"/>
              <w:spacing w:line="162" w:lineRule="exact"/>
              <w:ind w:left="14"/>
              <w:rPr>
                <w:rFonts w:ascii="Verdana" w:hAnsi="Verdana"/>
                <w:sz w:val="18"/>
                <w:szCs w:val="18"/>
              </w:rPr>
            </w:pPr>
            <w:r w:rsidRPr="00EC75B7">
              <w:rPr>
                <w:rFonts w:ascii="Verdana" w:hAnsi="Verdana"/>
                <w:spacing w:val="-2"/>
                <w:sz w:val="18"/>
                <w:szCs w:val="18"/>
              </w:rPr>
              <w:t>/Saltwater intrusion</w:t>
            </w:r>
          </w:p>
        </w:tc>
        <w:tc>
          <w:tcPr>
            <w:tcW w:w="2574" w:type="dxa"/>
            <w:shd w:val="clear" w:color="auto" w:fill="92D050"/>
          </w:tcPr>
          <w:p w14:paraId="7E4B7F40" w14:textId="77777777" w:rsidR="008715BE" w:rsidRPr="00EC75B7" w:rsidRDefault="008715BE">
            <w:pPr>
              <w:pStyle w:val="TableParagraph"/>
              <w:rPr>
                <w:rFonts w:ascii="Verdana" w:hAnsi="Verdana"/>
                <w:b/>
                <w:sz w:val="18"/>
                <w:szCs w:val="18"/>
              </w:rPr>
            </w:pPr>
          </w:p>
          <w:p w14:paraId="315DB715" w14:textId="77777777" w:rsidR="008715BE" w:rsidRPr="00EC75B7" w:rsidRDefault="008715BE">
            <w:pPr>
              <w:pStyle w:val="TableParagraph"/>
              <w:spacing w:before="119"/>
              <w:rPr>
                <w:rFonts w:ascii="Verdana" w:hAnsi="Verdana"/>
                <w:b/>
                <w:sz w:val="18"/>
                <w:szCs w:val="18"/>
              </w:rPr>
            </w:pPr>
          </w:p>
          <w:p w14:paraId="73456BC7" w14:textId="77777777" w:rsidR="008715BE" w:rsidRPr="00EC75B7" w:rsidRDefault="00000000">
            <w:pPr>
              <w:pStyle w:val="TableParagraph"/>
              <w:spacing w:line="195" w:lineRule="exact"/>
              <w:ind w:left="12"/>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p w14:paraId="4944B89D" w14:textId="77777777" w:rsidR="008715BE" w:rsidRPr="00EC75B7" w:rsidRDefault="00000000">
            <w:pPr>
              <w:pStyle w:val="TableParagraph"/>
              <w:spacing w:line="195" w:lineRule="exact"/>
              <w:ind w:left="12"/>
              <w:rPr>
                <w:rFonts w:ascii="Verdana" w:hAnsi="Verdana"/>
                <w:sz w:val="18"/>
                <w:szCs w:val="18"/>
              </w:rPr>
            </w:pPr>
            <w:r w:rsidRPr="00EC75B7">
              <w:rPr>
                <w:rFonts w:ascii="Verdana" w:hAnsi="Verdana"/>
                <w:spacing w:val="-4"/>
                <w:sz w:val="18"/>
                <w:szCs w:val="18"/>
              </w:rPr>
              <w:t xml:space="preserve">Wind </w:t>
            </w:r>
            <w:r w:rsidRPr="00EC75B7">
              <w:rPr>
                <w:rFonts w:ascii="Verdana" w:hAnsi="Verdana"/>
                <w:sz w:val="18"/>
                <w:szCs w:val="18"/>
              </w:rPr>
              <w:t>pattern change</w:t>
            </w:r>
          </w:p>
        </w:tc>
        <w:tc>
          <w:tcPr>
            <w:tcW w:w="2113" w:type="dxa"/>
            <w:shd w:val="clear" w:color="auto" w:fill="FFD243"/>
          </w:tcPr>
          <w:p w14:paraId="6C6B3AAC" w14:textId="77777777" w:rsidR="008715BE" w:rsidRPr="00EC75B7" w:rsidRDefault="008715BE">
            <w:pPr>
              <w:pStyle w:val="TableParagraph"/>
              <w:spacing w:before="119"/>
              <w:rPr>
                <w:rFonts w:ascii="Verdana" w:hAnsi="Verdana"/>
                <w:b/>
                <w:sz w:val="18"/>
                <w:szCs w:val="18"/>
              </w:rPr>
            </w:pPr>
          </w:p>
          <w:p w14:paraId="68B6B7F1" w14:textId="77777777" w:rsidR="008715BE" w:rsidRPr="00EC75B7" w:rsidRDefault="00000000">
            <w:pPr>
              <w:pStyle w:val="TableParagraph"/>
              <w:spacing w:before="1" w:line="195" w:lineRule="exact"/>
              <w:ind w:left="7"/>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waves</w:t>
            </w:r>
          </w:p>
          <w:p w14:paraId="44BB8246" w14:textId="77777777" w:rsidR="008715BE" w:rsidRPr="00EC75B7" w:rsidRDefault="00000000">
            <w:pPr>
              <w:pStyle w:val="TableParagraph"/>
              <w:ind w:left="7"/>
              <w:rPr>
                <w:rFonts w:ascii="Verdana" w:hAnsi="Verdana"/>
                <w:sz w:val="18"/>
                <w:szCs w:val="18"/>
              </w:rPr>
            </w:pPr>
            <w:r w:rsidRPr="00EC75B7">
              <w:rPr>
                <w:rFonts w:ascii="Verdana" w:hAnsi="Verdana"/>
                <w:sz w:val="18"/>
                <w:szCs w:val="18"/>
              </w:rPr>
              <w:t xml:space="preserve">Extreme wind (including storm, lightning, hurricane, </w:t>
            </w:r>
            <w:r w:rsidRPr="00EC75B7">
              <w:rPr>
                <w:rFonts w:ascii="Verdana" w:hAnsi="Verdana"/>
                <w:spacing w:val="-2"/>
                <w:sz w:val="18"/>
                <w:szCs w:val="18"/>
              </w:rPr>
              <w:t>tornado)</w:t>
            </w:r>
          </w:p>
        </w:tc>
        <w:tc>
          <w:tcPr>
            <w:tcW w:w="1845" w:type="dxa"/>
            <w:shd w:val="clear" w:color="auto" w:fill="FF8F92"/>
          </w:tcPr>
          <w:p w14:paraId="68819C95" w14:textId="77777777" w:rsidR="008715BE" w:rsidRPr="00EC75B7" w:rsidRDefault="008715BE">
            <w:pPr>
              <w:pStyle w:val="TableParagraph"/>
              <w:rPr>
                <w:rFonts w:ascii="Verdana" w:hAnsi="Verdana"/>
                <w:sz w:val="18"/>
                <w:szCs w:val="18"/>
              </w:rPr>
            </w:pPr>
          </w:p>
        </w:tc>
      </w:tr>
      <w:tr w:rsidR="008715BE" w:rsidRPr="00EC75B7" w14:paraId="6593583B" w14:textId="77777777">
        <w:trPr>
          <w:trHeight w:val="313"/>
        </w:trPr>
        <w:tc>
          <w:tcPr>
            <w:tcW w:w="278" w:type="dxa"/>
            <w:vMerge/>
            <w:tcBorders>
              <w:top w:val="nil"/>
            </w:tcBorders>
            <w:shd w:val="clear" w:color="auto" w:fill="808080"/>
            <w:textDirection w:val="btLr"/>
          </w:tcPr>
          <w:p w14:paraId="52D3028A" w14:textId="77777777" w:rsidR="008715BE" w:rsidRPr="00EC75B7" w:rsidRDefault="008715BE">
            <w:pPr>
              <w:rPr>
                <w:rFonts w:ascii="Verdana" w:hAnsi="Verdana"/>
                <w:sz w:val="18"/>
                <w:szCs w:val="18"/>
              </w:rPr>
            </w:pPr>
          </w:p>
        </w:tc>
        <w:tc>
          <w:tcPr>
            <w:tcW w:w="958" w:type="dxa"/>
            <w:vMerge w:val="restart"/>
            <w:shd w:val="clear" w:color="auto" w:fill="00AFEF"/>
          </w:tcPr>
          <w:p w14:paraId="04154892" w14:textId="77777777" w:rsidR="008715BE" w:rsidRPr="00EC75B7" w:rsidRDefault="008715BE">
            <w:pPr>
              <w:pStyle w:val="TableParagraph"/>
              <w:rPr>
                <w:rFonts w:ascii="Verdana" w:hAnsi="Verdana"/>
                <w:b/>
                <w:sz w:val="18"/>
                <w:szCs w:val="18"/>
              </w:rPr>
            </w:pPr>
          </w:p>
          <w:p w14:paraId="3F8DB3C0" w14:textId="77777777" w:rsidR="008715BE" w:rsidRPr="00EC75B7" w:rsidRDefault="008715BE">
            <w:pPr>
              <w:pStyle w:val="TableParagraph"/>
              <w:spacing w:before="63"/>
              <w:rPr>
                <w:rFonts w:ascii="Verdana" w:hAnsi="Verdana"/>
                <w:b/>
                <w:sz w:val="18"/>
                <w:szCs w:val="18"/>
              </w:rPr>
            </w:pPr>
          </w:p>
          <w:p w14:paraId="3A3594C2" w14:textId="77777777" w:rsidR="008715BE" w:rsidRPr="00EC75B7" w:rsidRDefault="00000000">
            <w:pPr>
              <w:pStyle w:val="TableParagraph"/>
              <w:spacing w:before="1"/>
              <w:ind w:left="17"/>
              <w:jc w:val="center"/>
              <w:rPr>
                <w:rFonts w:ascii="Verdana" w:hAnsi="Verdana"/>
                <w:b/>
                <w:sz w:val="18"/>
                <w:szCs w:val="18"/>
              </w:rPr>
            </w:pPr>
            <w:r w:rsidRPr="00EC75B7">
              <w:rPr>
                <w:rFonts w:ascii="Verdana" w:hAnsi="Verdana"/>
                <w:b/>
                <w:color w:val="FFFFFF"/>
                <w:spacing w:val="-10"/>
                <w:sz w:val="18"/>
                <w:szCs w:val="18"/>
              </w:rPr>
              <w:t>3</w:t>
            </w:r>
          </w:p>
        </w:tc>
        <w:tc>
          <w:tcPr>
            <w:tcW w:w="2011" w:type="dxa"/>
            <w:vMerge w:val="restart"/>
            <w:shd w:val="clear" w:color="auto" w:fill="D9D9D9"/>
          </w:tcPr>
          <w:p w14:paraId="34989F4F" w14:textId="77777777" w:rsidR="008715BE" w:rsidRPr="00EC75B7" w:rsidRDefault="008715BE">
            <w:pPr>
              <w:pStyle w:val="TableParagraph"/>
              <w:rPr>
                <w:rFonts w:ascii="Verdana" w:hAnsi="Verdana"/>
                <w:sz w:val="18"/>
                <w:szCs w:val="18"/>
              </w:rPr>
            </w:pPr>
          </w:p>
        </w:tc>
        <w:tc>
          <w:tcPr>
            <w:tcW w:w="2574" w:type="dxa"/>
            <w:vMerge w:val="restart"/>
            <w:shd w:val="clear" w:color="auto" w:fill="FFD243"/>
          </w:tcPr>
          <w:p w14:paraId="5E246274" w14:textId="77777777" w:rsidR="008715BE" w:rsidRPr="00EC75B7" w:rsidRDefault="008715BE">
            <w:pPr>
              <w:pStyle w:val="TableParagraph"/>
              <w:spacing w:before="163"/>
              <w:rPr>
                <w:rFonts w:ascii="Verdana" w:hAnsi="Verdana"/>
                <w:b/>
                <w:sz w:val="18"/>
                <w:szCs w:val="18"/>
              </w:rPr>
            </w:pPr>
          </w:p>
          <w:p w14:paraId="34E1E44B" w14:textId="77777777" w:rsidR="008715BE" w:rsidRPr="00EC75B7" w:rsidRDefault="00000000">
            <w:pPr>
              <w:pStyle w:val="TableParagraph"/>
              <w:ind w:left="12"/>
              <w:rPr>
                <w:rFonts w:ascii="Verdana" w:hAnsi="Verdana"/>
                <w:b/>
                <w:sz w:val="18"/>
                <w:szCs w:val="18"/>
              </w:rPr>
            </w:pPr>
            <w:r w:rsidRPr="00EC75B7">
              <w:rPr>
                <w:rFonts w:ascii="Verdana" w:hAnsi="Verdana"/>
                <w:b/>
                <w:color w:val="6F2F9F"/>
                <w:spacing w:val="-2"/>
                <w:sz w:val="18"/>
                <w:szCs w:val="18"/>
              </w:rPr>
              <w:t>Flooding / Heavy rainfall</w:t>
            </w:r>
          </w:p>
        </w:tc>
        <w:tc>
          <w:tcPr>
            <w:tcW w:w="2113" w:type="dxa"/>
            <w:tcBorders>
              <w:bottom w:val="single" w:sz="8" w:space="0" w:color="FF8F92"/>
            </w:tcBorders>
            <w:shd w:val="clear" w:color="auto" w:fill="FF8F92"/>
          </w:tcPr>
          <w:p w14:paraId="58FFD727" w14:textId="77777777" w:rsidR="008715BE" w:rsidRPr="00EC75B7" w:rsidRDefault="008715BE">
            <w:pPr>
              <w:pStyle w:val="TableParagraph"/>
              <w:rPr>
                <w:rFonts w:ascii="Verdana" w:hAnsi="Verdana"/>
                <w:sz w:val="18"/>
                <w:szCs w:val="18"/>
              </w:rPr>
            </w:pPr>
          </w:p>
        </w:tc>
        <w:tc>
          <w:tcPr>
            <w:tcW w:w="1845" w:type="dxa"/>
            <w:vMerge w:val="restart"/>
            <w:shd w:val="clear" w:color="auto" w:fill="FF8F92"/>
          </w:tcPr>
          <w:p w14:paraId="69EDDF10" w14:textId="77777777" w:rsidR="008715BE" w:rsidRPr="00EC75B7" w:rsidRDefault="008715BE">
            <w:pPr>
              <w:pStyle w:val="TableParagraph"/>
              <w:rPr>
                <w:rFonts w:ascii="Verdana" w:hAnsi="Verdana"/>
                <w:sz w:val="18"/>
                <w:szCs w:val="18"/>
              </w:rPr>
            </w:pPr>
          </w:p>
        </w:tc>
      </w:tr>
      <w:tr w:rsidR="008715BE" w:rsidRPr="00EC75B7" w14:paraId="24B8B7F6" w14:textId="77777777">
        <w:trPr>
          <w:trHeight w:val="301"/>
        </w:trPr>
        <w:tc>
          <w:tcPr>
            <w:tcW w:w="278" w:type="dxa"/>
            <w:vMerge/>
            <w:tcBorders>
              <w:top w:val="nil"/>
            </w:tcBorders>
            <w:shd w:val="clear" w:color="auto" w:fill="808080"/>
            <w:textDirection w:val="btLr"/>
          </w:tcPr>
          <w:p w14:paraId="60ACAD18"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5B794D81" w14:textId="77777777" w:rsidR="008715BE" w:rsidRPr="00EC75B7" w:rsidRDefault="008715BE">
            <w:pPr>
              <w:rPr>
                <w:rFonts w:ascii="Verdana" w:hAnsi="Verdana"/>
                <w:sz w:val="18"/>
                <w:szCs w:val="18"/>
              </w:rPr>
            </w:pPr>
          </w:p>
        </w:tc>
        <w:tc>
          <w:tcPr>
            <w:tcW w:w="2011" w:type="dxa"/>
            <w:vMerge/>
            <w:tcBorders>
              <w:top w:val="nil"/>
            </w:tcBorders>
            <w:shd w:val="clear" w:color="auto" w:fill="D9D9D9"/>
          </w:tcPr>
          <w:p w14:paraId="579F3B42" w14:textId="77777777" w:rsidR="008715BE" w:rsidRPr="00EC75B7" w:rsidRDefault="008715BE">
            <w:pPr>
              <w:rPr>
                <w:rFonts w:ascii="Verdana" w:hAnsi="Verdana"/>
                <w:sz w:val="18"/>
                <w:szCs w:val="18"/>
              </w:rPr>
            </w:pPr>
          </w:p>
        </w:tc>
        <w:tc>
          <w:tcPr>
            <w:tcW w:w="2574" w:type="dxa"/>
            <w:vMerge/>
            <w:tcBorders>
              <w:top w:val="nil"/>
            </w:tcBorders>
            <w:shd w:val="clear" w:color="auto" w:fill="FFD243"/>
          </w:tcPr>
          <w:p w14:paraId="12B13450" w14:textId="77777777" w:rsidR="008715BE" w:rsidRPr="00EC75B7" w:rsidRDefault="008715BE">
            <w:pPr>
              <w:rPr>
                <w:rFonts w:ascii="Verdana" w:hAnsi="Verdana"/>
                <w:sz w:val="18"/>
                <w:szCs w:val="18"/>
              </w:rPr>
            </w:pPr>
          </w:p>
        </w:tc>
        <w:tc>
          <w:tcPr>
            <w:tcW w:w="2113" w:type="dxa"/>
            <w:tcBorders>
              <w:top w:val="single" w:sz="8" w:space="0" w:color="FF8F92"/>
              <w:bottom w:val="single" w:sz="8" w:space="0" w:color="FF8F92"/>
            </w:tcBorders>
            <w:shd w:val="clear" w:color="auto" w:fill="FF8F92"/>
          </w:tcPr>
          <w:p w14:paraId="333092AB" w14:textId="77777777" w:rsidR="008715BE" w:rsidRPr="00EC75B7" w:rsidRDefault="00000000">
            <w:pPr>
              <w:pStyle w:val="TableParagraph"/>
              <w:spacing w:before="61"/>
              <w:ind w:left="7"/>
              <w:rPr>
                <w:rFonts w:ascii="Verdana" w:hAnsi="Verdana"/>
                <w:b/>
                <w:sz w:val="18"/>
                <w:szCs w:val="18"/>
              </w:rPr>
            </w:pPr>
            <w:r w:rsidRPr="00EC75B7">
              <w:rPr>
                <w:rFonts w:ascii="Verdana" w:hAnsi="Verdana"/>
                <w:b/>
                <w:color w:val="6F2F9F"/>
                <w:sz w:val="18"/>
                <w:szCs w:val="18"/>
              </w:rPr>
              <w:t xml:space="preserve">Fire </w:t>
            </w:r>
            <w:r w:rsidRPr="00EC75B7">
              <w:rPr>
                <w:rFonts w:ascii="Verdana" w:hAnsi="Verdana"/>
                <w:b/>
                <w:color w:val="6F2F9F"/>
                <w:spacing w:val="-2"/>
                <w:sz w:val="18"/>
                <w:szCs w:val="18"/>
              </w:rPr>
              <w:t>Vegetation</w:t>
            </w:r>
          </w:p>
        </w:tc>
        <w:tc>
          <w:tcPr>
            <w:tcW w:w="1845" w:type="dxa"/>
            <w:vMerge/>
            <w:tcBorders>
              <w:top w:val="nil"/>
            </w:tcBorders>
            <w:shd w:val="clear" w:color="auto" w:fill="FF8F92"/>
          </w:tcPr>
          <w:p w14:paraId="69776709" w14:textId="77777777" w:rsidR="008715BE" w:rsidRPr="00EC75B7" w:rsidRDefault="008715BE">
            <w:pPr>
              <w:rPr>
                <w:rFonts w:ascii="Verdana" w:hAnsi="Verdana"/>
                <w:sz w:val="18"/>
                <w:szCs w:val="18"/>
              </w:rPr>
            </w:pPr>
          </w:p>
        </w:tc>
      </w:tr>
      <w:tr w:rsidR="008715BE" w:rsidRPr="00EC75B7" w14:paraId="07FFD42D" w14:textId="77777777">
        <w:trPr>
          <w:trHeight w:val="419"/>
        </w:trPr>
        <w:tc>
          <w:tcPr>
            <w:tcW w:w="278" w:type="dxa"/>
            <w:vMerge/>
            <w:tcBorders>
              <w:top w:val="nil"/>
            </w:tcBorders>
            <w:shd w:val="clear" w:color="auto" w:fill="808080"/>
            <w:textDirection w:val="btLr"/>
          </w:tcPr>
          <w:p w14:paraId="5D761D3A"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174C1124" w14:textId="77777777" w:rsidR="008715BE" w:rsidRPr="00EC75B7" w:rsidRDefault="008715BE">
            <w:pPr>
              <w:rPr>
                <w:rFonts w:ascii="Verdana" w:hAnsi="Verdana"/>
                <w:sz w:val="18"/>
                <w:szCs w:val="18"/>
              </w:rPr>
            </w:pPr>
          </w:p>
        </w:tc>
        <w:tc>
          <w:tcPr>
            <w:tcW w:w="2011" w:type="dxa"/>
            <w:vMerge/>
            <w:tcBorders>
              <w:top w:val="nil"/>
            </w:tcBorders>
            <w:shd w:val="clear" w:color="auto" w:fill="D9D9D9"/>
          </w:tcPr>
          <w:p w14:paraId="5C3A481A" w14:textId="77777777" w:rsidR="008715BE" w:rsidRPr="00EC75B7" w:rsidRDefault="008715BE">
            <w:pPr>
              <w:rPr>
                <w:rFonts w:ascii="Verdana" w:hAnsi="Verdana"/>
                <w:sz w:val="18"/>
                <w:szCs w:val="18"/>
              </w:rPr>
            </w:pPr>
          </w:p>
        </w:tc>
        <w:tc>
          <w:tcPr>
            <w:tcW w:w="2574" w:type="dxa"/>
            <w:vMerge/>
            <w:tcBorders>
              <w:top w:val="nil"/>
            </w:tcBorders>
            <w:shd w:val="clear" w:color="auto" w:fill="FFD243"/>
          </w:tcPr>
          <w:p w14:paraId="42ECE5DC" w14:textId="77777777" w:rsidR="008715BE" w:rsidRPr="00EC75B7" w:rsidRDefault="008715BE">
            <w:pPr>
              <w:rPr>
                <w:rFonts w:ascii="Verdana" w:hAnsi="Verdana"/>
                <w:sz w:val="18"/>
                <w:szCs w:val="18"/>
              </w:rPr>
            </w:pPr>
          </w:p>
        </w:tc>
        <w:tc>
          <w:tcPr>
            <w:tcW w:w="2113" w:type="dxa"/>
            <w:tcBorders>
              <w:top w:val="single" w:sz="8" w:space="0" w:color="FF8F92"/>
            </w:tcBorders>
            <w:shd w:val="clear" w:color="auto" w:fill="FF8F92"/>
          </w:tcPr>
          <w:p w14:paraId="153B0FA7" w14:textId="77777777" w:rsidR="008715BE" w:rsidRPr="00EC75B7" w:rsidRDefault="008715BE">
            <w:pPr>
              <w:pStyle w:val="TableParagraph"/>
              <w:rPr>
                <w:rFonts w:ascii="Verdana" w:hAnsi="Verdana"/>
                <w:sz w:val="18"/>
                <w:szCs w:val="18"/>
              </w:rPr>
            </w:pPr>
          </w:p>
        </w:tc>
        <w:tc>
          <w:tcPr>
            <w:tcW w:w="1845" w:type="dxa"/>
            <w:vMerge/>
            <w:tcBorders>
              <w:top w:val="nil"/>
            </w:tcBorders>
            <w:shd w:val="clear" w:color="auto" w:fill="FF8F92"/>
          </w:tcPr>
          <w:p w14:paraId="15D42E45" w14:textId="77777777" w:rsidR="008715BE" w:rsidRPr="00EC75B7" w:rsidRDefault="008715BE">
            <w:pPr>
              <w:rPr>
                <w:rFonts w:ascii="Verdana" w:hAnsi="Verdana"/>
                <w:sz w:val="18"/>
                <w:szCs w:val="18"/>
              </w:rPr>
            </w:pPr>
          </w:p>
        </w:tc>
      </w:tr>
      <w:tr w:rsidR="008715BE" w:rsidRPr="00EC75B7" w14:paraId="3617B7BA" w14:textId="77777777">
        <w:trPr>
          <w:trHeight w:val="330"/>
        </w:trPr>
        <w:tc>
          <w:tcPr>
            <w:tcW w:w="278" w:type="dxa"/>
            <w:vMerge w:val="restart"/>
            <w:shd w:val="clear" w:color="auto" w:fill="808080"/>
            <w:textDirection w:val="btLr"/>
          </w:tcPr>
          <w:p w14:paraId="7C7B8448" w14:textId="77777777" w:rsidR="008715BE" w:rsidRPr="00EC75B7" w:rsidRDefault="00000000">
            <w:pPr>
              <w:pStyle w:val="TableParagraph"/>
              <w:spacing w:before="49" w:line="189" w:lineRule="exact"/>
              <w:ind w:left="743"/>
              <w:rPr>
                <w:rFonts w:ascii="Verdana" w:hAnsi="Verdana"/>
                <w:b/>
                <w:sz w:val="18"/>
                <w:szCs w:val="18"/>
              </w:rPr>
            </w:pPr>
            <w:r w:rsidRPr="00EC75B7">
              <w:rPr>
                <w:rFonts w:ascii="Verdana" w:hAnsi="Verdana"/>
                <w:b/>
                <w:color w:val="FFFFFF"/>
                <w:spacing w:val="-2"/>
                <w:sz w:val="18"/>
                <w:szCs w:val="18"/>
              </w:rPr>
              <w:t>Sensitivity</w:t>
            </w:r>
          </w:p>
        </w:tc>
        <w:tc>
          <w:tcPr>
            <w:tcW w:w="958" w:type="dxa"/>
            <w:vMerge w:val="restart"/>
            <w:shd w:val="clear" w:color="auto" w:fill="00AFEF"/>
          </w:tcPr>
          <w:p w14:paraId="298EB85E" w14:textId="77777777" w:rsidR="008715BE" w:rsidRPr="00EC75B7" w:rsidRDefault="008715BE">
            <w:pPr>
              <w:pStyle w:val="TableParagraph"/>
              <w:rPr>
                <w:rFonts w:ascii="Verdana" w:hAnsi="Verdana"/>
                <w:sz w:val="18"/>
                <w:szCs w:val="18"/>
              </w:rPr>
            </w:pPr>
          </w:p>
        </w:tc>
        <w:tc>
          <w:tcPr>
            <w:tcW w:w="8543" w:type="dxa"/>
            <w:gridSpan w:val="4"/>
            <w:shd w:val="clear" w:color="auto" w:fill="808080"/>
          </w:tcPr>
          <w:p w14:paraId="6343AB83" w14:textId="77777777" w:rsidR="008715BE" w:rsidRPr="00EC75B7" w:rsidRDefault="00000000">
            <w:pPr>
              <w:pStyle w:val="TableParagraph"/>
              <w:spacing w:before="85"/>
              <w:ind w:left="23"/>
              <w:jc w:val="center"/>
              <w:rPr>
                <w:rFonts w:ascii="Verdana" w:hAnsi="Verdana"/>
                <w:b/>
                <w:sz w:val="18"/>
                <w:szCs w:val="18"/>
              </w:rPr>
            </w:pPr>
            <w:r w:rsidRPr="00EC75B7">
              <w:rPr>
                <w:rFonts w:ascii="Verdana" w:hAnsi="Verdana"/>
                <w:b/>
                <w:color w:val="FFFFFF"/>
                <w:spacing w:val="-4"/>
                <w:sz w:val="18"/>
                <w:szCs w:val="18"/>
              </w:rPr>
              <w:t xml:space="preserve">Long-term </w:t>
            </w:r>
            <w:r w:rsidRPr="00EC75B7">
              <w:rPr>
                <w:rFonts w:ascii="Verdana" w:hAnsi="Verdana"/>
                <w:b/>
                <w:color w:val="FFFFFF"/>
                <w:sz w:val="18"/>
                <w:szCs w:val="18"/>
              </w:rPr>
              <w:t>exposure</w:t>
            </w:r>
          </w:p>
        </w:tc>
      </w:tr>
      <w:tr w:rsidR="008715BE" w:rsidRPr="00EC75B7" w14:paraId="0C78E75E" w14:textId="77777777">
        <w:trPr>
          <w:trHeight w:val="330"/>
        </w:trPr>
        <w:tc>
          <w:tcPr>
            <w:tcW w:w="278" w:type="dxa"/>
            <w:vMerge/>
            <w:tcBorders>
              <w:top w:val="nil"/>
            </w:tcBorders>
            <w:shd w:val="clear" w:color="auto" w:fill="808080"/>
            <w:textDirection w:val="btLr"/>
          </w:tcPr>
          <w:p w14:paraId="46F02D11"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06FDBE7E" w14:textId="77777777" w:rsidR="008715BE" w:rsidRPr="00EC75B7" w:rsidRDefault="008715BE">
            <w:pPr>
              <w:rPr>
                <w:rFonts w:ascii="Verdana" w:hAnsi="Verdana"/>
                <w:sz w:val="18"/>
                <w:szCs w:val="18"/>
              </w:rPr>
            </w:pPr>
          </w:p>
        </w:tc>
        <w:tc>
          <w:tcPr>
            <w:tcW w:w="2011" w:type="dxa"/>
            <w:shd w:val="clear" w:color="auto" w:fill="00AFEF"/>
          </w:tcPr>
          <w:p w14:paraId="4F81AF08" w14:textId="77777777" w:rsidR="008715BE" w:rsidRPr="00EC75B7" w:rsidRDefault="00000000">
            <w:pPr>
              <w:pStyle w:val="TableParagraph"/>
              <w:spacing w:before="82"/>
              <w:ind w:left="14"/>
              <w:jc w:val="center"/>
              <w:rPr>
                <w:rFonts w:ascii="Verdana" w:hAnsi="Verdana"/>
                <w:b/>
                <w:sz w:val="18"/>
                <w:szCs w:val="18"/>
              </w:rPr>
            </w:pPr>
            <w:r w:rsidRPr="00EC75B7">
              <w:rPr>
                <w:rFonts w:ascii="Verdana" w:hAnsi="Verdana"/>
                <w:b/>
                <w:color w:val="FFFFFF"/>
                <w:spacing w:val="-10"/>
                <w:sz w:val="18"/>
                <w:szCs w:val="18"/>
              </w:rPr>
              <w:t>0</w:t>
            </w:r>
          </w:p>
        </w:tc>
        <w:tc>
          <w:tcPr>
            <w:tcW w:w="2574" w:type="dxa"/>
            <w:shd w:val="clear" w:color="auto" w:fill="00AFEF"/>
          </w:tcPr>
          <w:p w14:paraId="3D2495C8" w14:textId="77777777" w:rsidR="008715BE" w:rsidRPr="00EC75B7" w:rsidRDefault="00000000">
            <w:pPr>
              <w:pStyle w:val="TableParagraph"/>
              <w:spacing w:before="82"/>
              <w:ind w:left="9"/>
              <w:jc w:val="center"/>
              <w:rPr>
                <w:rFonts w:ascii="Verdana" w:hAnsi="Verdana"/>
                <w:b/>
                <w:sz w:val="18"/>
                <w:szCs w:val="18"/>
              </w:rPr>
            </w:pPr>
            <w:r w:rsidRPr="00EC75B7">
              <w:rPr>
                <w:rFonts w:ascii="Verdana" w:hAnsi="Verdana"/>
                <w:b/>
                <w:color w:val="FFFFFF"/>
                <w:spacing w:val="-10"/>
                <w:sz w:val="18"/>
                <w:szCs w:val="18"/>
              </w:rPr>
              <w:t>1</w:t>
            </w:r>
          </w:p>
        </w:tc>
        <w:tc>
          <w:tcPr>
            <w:tcW w:w="2113" w:type="dxa"/>
            <w:shd w:val="clear" w:color="auto" w:fill="00AFEF"/>
          </w:tcPr>
          <w:p w14:paraId="3F92E542" w14:textId="77777777" w:rsidR="008715BE" w:rsidRPr="00EC75B7" w:rsidRDefault="00000000">
            <w:pPr>
              <w:pStyle w:val="TableParagraph"/>
              <w:spacing w:before="82"/>
              <w:ind w:left="22"/>
              <w:jc w:val="center"/>
              <w:rPr>
                <w:rFonts w:ascii="Verdana" w:hAnsi="Verdana"/>
                <w:b/>
                <w:sz w:val="18"/>
                <w:szCs w:val="18"/>
              </w:rPr>
            </w:pPr>
            <w:r w:rsidRPr="00EC75B7">
              <w:rPr>
                <w:rFonts w:ascii="Verdana" w:hAnsi="Verdana"/>
                <w:b/>
                <w:color w:val="FFFFFF"/>
                <w:spacing w:val="-10"/>
                <w:sz w:val="18"/>
                <w:szCs w:val="18"/>
              </w:rPr>
              <w:t>2</w:t>
            </w:r>
          </w:p>
        </w:tc>
        <w:tc>
          <w:tcPr>
            <w:tcW w:w="1845" w:type="dxa"/>
            <w:shd w:val="clear" w:color="auto" w:fill="00AFEF"/>
          </w:tcPr>
          <w:p w14:paraId="0171F962" w14:textId="77777777" w:rsidR="008715BE" w:rsidRPr="00EC75B7" w:rsidRDefault="00000000">
            <w:pPr>
              <w:pStyle w:val="TableParagraph"/>
              <w:spacing w:before="82"/>
              <w:ind w:right="835"/>
              <w:jc w:val="right"/>
              <w:rPr>
                <w:rFonts w:ascii="Verdana" w:hAnsi="Verdana"/>
                <w:b/>
                <w:sz w:val="18"/>
                <w:szCs w:val="18"/>
              </w:rPr>
            </w:pPr>
            <w:r w:rsidRPr="00EC75B7">
              <w:rPr>
                <w:rFonts w:ascii="Verdana" w:hAnsi="Verdana"/>
                <w:b/>
                <w:color w:val="FFFFFF"/>
                <w:spacing w:val="-10"/>
                <w:sz w:val="18"/>
                <w:szCs w:val="18"/>
              </w:rPr>
              <w:t>3</w:t>
            </w:r>
          </w:p>
        </w:tc>
      </w:tr>
      <w:tr w:rsidR="008715BE" w:rsidRPr="00EC75B7" w14:paraId="60B0D565" w14:textId="77777777">
        <w:trPr>
          <w:trHeight w:val="328"/>
        </w:trPr>
        <w:tc>
          <w:tcPr>
            <w:tcW w:w="278" w:type="dxa"/>
            <w:vMerge/>
            <w:tcBorders>
              <w:top w:val="nil"/>
            </w:tcBorders>
            <w:shd w:val="clear" w:color="auto" w:fill="808080"/>
            <w:textDirection w:val="btLr"/>
          </w:tcPr>
          <w:p w14:paraId="1550AE8F" w14:textId="77777777" w:rsidR="008715BE" w:rsidRPr="00EC75B7" w:rsidRDefault="008715BE">
            <w:pPr>
              <w:rPr>
                <w:rFonts w:ascii="Verdana" w:hAnsi="Verdana"/>
                <w:sz w:val="18"/>
                <w:szCs w:val="18"/>
              </w:rPr>
            </w:pPr>
          </w:p>
        </w:tc>
        <w:tc>
          <w:tcPr>
            <w:tcW w:w="958" w:type="dxa"/>
            <w:shd w:val="clear" w:color="auto" w:fill="00AFEF"/>
          </w:tcPr>
          <w:p w14:paraId="534565C6" w14:textId="77777777" w:rsidR="008715BE" w:rsidRPr="00EC75B7" w:rsidRDefault="00000000">
            <w:pPr>
              <w:pStyle w:val="TableParagraph"/>
              <w:spacing w:before="82"/>
              <w:ind w:left="17"/>
              <w:jc w:val="center"/>
              <w:rPr>
                <w:rFonts w:ascii="Verdana" w:hAnsi="Verdana"/>
                <w:b/>
                <w:sz w:val="18"/>
                <w:szCs w:val="18"/>
              </w:rPr>
            </w:pPr>
            <w:r w:rsidRPr="00EC75B7">
              <w:rPr>
                <w:rFonts w:ascii="Verdana" w:hAnsi="Verdana"/>
                <w:b/>
                <w:color w:val="FFFFFF"/>
                <w:spacing w:val="-10"/>
                <w:sz w:val="18"/>
                <w:szCs w:val="18"/>
              </w:rPr>
              <w:t>0</w:t>
            </w:r>
          </w:p>
        </w:tc>
        <w:tc>
          <w:tcPr>
            <w:tcW w:w="2011" w:type="dxa"/>
            <w:shd w:val="clear" w:color="auto" w:fill="D9D9D9"/>
          </w:tcPr>
          <w:p w14:paraId="285E3981" w14:textId="77777777" w:rsidR="008715BE" w:rsidRPr="00EC75B7" w:rsidRDefault="008715BE">
            <w:pPr>
              <w:pStyle w:val="TableParagraph"/>
              <w:rPr>
                <w:rFonts w:ascii="Verdana" w:hAnsi="Verdana"/>
                <w:sz w:val="18"/>
                <w:szCs w:val="18"/>
              </w:rPr>
            </w:pPr>
          </w:p>
        </w:tc>
        <w:tc>
          <w:tcPr>
            <w:tcW w:w="2574" w:type="dxa"/>
            <w:shd w:val="clear" w:color="auto" w:fill="D9D9D9"/>
          </w:tcPr>
          <w:p w14:paraId="41D0E07B" w14:textId="77777777" w:rsidR="008715BE" w:rsidRPr="00EC75B7" w:rsidRDefault="008715BE">
            <w:pPr>
              <w:pStyle w:val="TableParagraph"/>
              <w:rPr>
                <w:rFonts w:ascii="Verdana" w:hAnsi="Verdana"/>
                <w:sz w:val="18"/>
                <w:szCs w:val="18"/>
              </w:rPr>
            </w:pPr>
          </w:p>
        </w:tc>
        <w:tc>
          <w:tcPr>
            <w:tcW w:w="2113" w:type="dxa"/>
            <w:shd w:val="clear" w:color="auto" w:fill="D9D9D9"/>
          </w:tcPr>
          <w:p w14:paraId="0540A7A1" w14:textId="77777777" w:rsidR="008715BE" w:rsidRPr="00EC75B7" w:rsidRDefault="008715BE">
            <w:pPr>
              <w:pStyle w:val="TableParagraph"/>
              <w:rPr>
                <w:rFonts w:ascii="Verdana" w:hAnsi="Verdana"/>
                <w:sz w:val="18"/>
                <w:szCs w:val="18"/>
              </w:rPr>
            </w:pPr>
          </w:p>
        </w:tc>
        <w:tc>
          <w:tcPr>
            <w:tcW w:w="1845" w:type="dxa"/>
            <w:shd w:val="clear" w:color="auto" w:fill="D9D9D9"/>
          </w:tcPr>
          <w:p w14:paraId="1C6B6FE8" w14:textId="77777777" w:rsidR="008715BE" w:rsidRPr="00EC75B7" w:rsidRDefault="008715BE">
            <w:pPr>
              <w:pStyle w:val="TableParagraph"/>
              <w:rPr>
                <w:rFonts w:ascii="Verdana" w:hAnsi="Verdana"/>
                <w:sz w:val="18"/>
                <w:szCs w:val="18"/>
              </w:rPr>
            </w:pPr>
          </w:p>
        </w:tc>
      </w:tr>
      <w:tr w:rsidR="008715BE" w:rsidRPr="00EC75B7" w14:paraId="6E7D7938" w14:textId="77777777">
        <w:trPr>
          <w:trHeight w:val="1072"/>
        </w:trPr>
        <w:tc>
          <w:tcPr>
            <w:tcW w:w="278" w:type="dxa"/>
            <w:vMerge/>
            <w:tcBorders>
              <w:top w:val="nil"/>
            </w:tcBorders>
            <w:shd w:val="clear" w:color="auto" w:fill="808080"/>
            <w:textDirection w:val="btLr"/>
          </w:tcPr>
          <w:p w14:paraId="7AF773C8" w14:textId="77777777" w:rsidR="008715BE" w:rsidRPr="00EC75B7" w:rsidRDefault="008715BE">
            <w:pPr>
              <w:rPr>
                <w:rFonts w:ascii="Verdana" w:hAnsi="Verdana"/>
                <w:sz w:val="18"/>
                <w:szCs w:val="18"/>
              </w:rPr>
            </w:pPr>
          </w:p>
        </w:tc>
        <w:tc>
          <w:tcPr>
            <w:tcW w:w="958" w:type="dxa"/>
            <w:vMerge w:val="restart"/>
            <w:shd w:val="clear" w:color="auto" w:fill="00AFEF"/>
          </w:tcPr>
          <w:p w14:paraId="0221B5AC" w14:textId="77777777" w:rsidR="008715BE" w:rsidRPr="00EC75B7" w:rsidRDefault="008715BE">
            <w:pPr>
              <w:pStyle w:val="TableParagraph"/>
              <w:rPr>
                <w:rFonts w:ascii="Verdana" w:hAnsi="Verdana"/>
                <w:b/>
                <w:sz w:val="18"/>
                <w:szCs w:val="18"/>
              </w:rPr>
            </w:pPr>
          </w:p>
          <w:p w14:paraId="62433E41" w14:textId="77777777" w:rsidR="008715BE" w:rsidRPr="00EC75B7" w:rsidRDefault="008715BE">
            <w:pPr>
              <w:pStyle w:val="TableParagraph"/>
              <w:rPr>
                <w:rFonts w:ascii="Verdana" w:hAnsi="Verdana"/>
                <w:b/>
                <w:sz w:val="18"/>
                <w:szCs w:val="18"/>
              </w:rPr>
            </w:pPr>
          </w:p>
          <w:p w14:paraId="48B83B5A" w14:textId="77777777" w:rsidR="008715BE" w:rsidRPr="00EC75B7" w:rsidRDefault="008715BE">
            <w:pPr>
              <w:pStyle w:val="TableParagraph"/>
              <w:spacing w:before="123"/>
              <w:rPr>
                <w:rFonts w:ascii="Verdana" w:hAnsi="Verdana"/>
                <w:b/>
                <w:sz w:val="18"/>
                <w:szCs w:val="18"/>
              </w:rPr>
            </w:pPr>
          </w:p>
          <w:p w14:paraId="5EC9C036"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10"/>
                <w:sz w:val="18"/>
                <w:szCs w:val="18"/>
              </w:rPr>
              <w:t>1</w:t>
            </w:r>
          </w:p>
        </w:tc>
        <w:tc>
          <w:tcPr>
            <w:tcW w:w="2011" w:type="dxa"/>
            <w:vMerge w:val="restart"/>
            <w:shd w:val="clear" w:color="auto" w:fill="D9D9D9"/>
          </w:tcPr>
          <w:p w14:paraId="7CDFD39F" w14:textId="77777777" w:rsidR="008715BE" w:rsidRPr="00EC75B7" w:rsidRDefault="008715BE">
            <w:pPr>
              <w:pStyle w:val="TableParagraph"/>
              <w:rPr>
                <w:rFonts w:ascii="Verdana" w:hAnsi="Verdana"/>
                <w:sz w:val="18"/>
                <w:szCs w:val="18"/>
              </w:rPr>
            </w:pPr>
          </w:p>
        </w:tc>
        <w:tc>
          <w:tcPr>
            <w:tcW w:w="2574" w:type="dxa"/>
            <w:vMerge w:val="restart"/>
            <w:shd w:val="clear" w:color="auto" w:fill="92D050"/>
          </w:tcPr>
          <w:p w14:paraId="31C66C34" w14:textId="77777777" w:rsidR="008715BE" w:rsidRPr="00EC75B7" w:rsidRDefault="008715BE">
            <w:pPr>
              <w:pStyle w:val="TableParagraph"/>
              <w:rPr>
                <w:rFonts w:ascii="Verdana" w:hAnsi="Verdana"/>
                <w:b/>
                <w:sz w:val="18"/>
                <w:szCs w:val="18"/>
              </w:rPr>
            </w:pPr>
          </w:p>
          <w:p w14:paraId="2431E108" w14:textId="77777777" w:rsidR="008715BE" w:rsidRPr="00EC75B7" w:rsidRDefault="008715BE">
            <w:pPr>
              <w:pStyle w:val="TableParagraph"/>
              <w:rPr>
                <w:rFonts w:ascii="Verdana" w:hAnsi="Verdana"/>
                <w:b/>
                <w:sz w:val="18"/>
                <w:szCs w:val="18"/>
              </w:rPr>
            </w:pPr>
          </w:p>
          <w:p w14:paraId="2892B717" w14:textId="77777777" w:rsidR="008715BE" w:rsidRPr="00EC75B7" w:rsidRDefault="008715BE">
            <w:pPr>
              <w:pStyle w:val="TableParagraph"/>
              <w:spacing w:before="27"/>
              <w:rPr>
                <w:rFonts w:ascii="Verdana" w:hAnsi="Verdana"/>
                <w:b/>
                <w:sz w:val="18"/>
                <w:szCs w:val="18"/>
              </w:rPr>
            </w:pPr>
          </w:p>
          <w:p w14:paraId="1F86B643" w14:textId="77777777" w:rsidR="008715BE" w:rsidRPr="00EC75B7" w:rsidRDefault="00000000">
            <w:pPr>
              <w:pStyle w:val="TableParagraph"/>
              <w:ind w:left="12"/>
              <w:rPr>
                <w:rFonts w:ascii="Verdana" w:hAnsi="Verdana"/>
                <w:sz w:val="18"/>
                <w:szCs w:val="18"/>
              </w:rPr>
            </w:pPr>
            <w:r w:rsidRPr="00EC75B7">
              <w:rPr>
                <w:rFonts w:ascii="Verdana" w:hAnsi="Verdana"/>
                <w:spacing w:val="-2"/>
                <w:sz w:val="18"/>
                <w:szCs w:val="18"/>
              </w:rPr>
              <w:t>Soil erosion/Coastal erosion</w:t>
            </w:r>
          </w:p>
        </w:tc>
        <w:tc>
          <w:tcPr>
            <w:tcW w:w="2113" w:type="dxa"/>
            <w:vMerge w:val="restart"/>
            <w:shd w:val="clear" w:color="auto" w:fill="92D050"/>
          </w:tcPr>
          <w:p w14:paraId="0E0AF811" w14:textId="77777777" w:rsidR="008715BE" w:rsidRPr="00EC75B7" w:rsidRDefault="008715BE">
            <w:pPr>
              <w:pStyle w:val="TableParagraph"/>
              <w:rPr>
                <w:rFonts w:ascii="Verdana" w:hAnsi="Verdana"/>
                <w:sz w:val="18"/>
                <w:szCs w:val="18"/>
              </w:rPr>
            </w:pPr>
          </w:p>
        </w:tc>
        <w:tc>
          <w:tcPr>
            <w:tcW w:w="1845" w:type="dxa"/>
            <w:tcBorders>
              <w:bottom w:val="nil"/>
            </w:tcBorders>
            <w:shd w:val="clear" w:color="auto" w:fill="FFD243"/>
          </w:tcPr>
          <w:p w14:paraId="55DB61D7" w14:textId="77777777" w:rsidR="008715BE" w:rsidRPr="00EC75B7" w:rsidRDefault="008715BE">
            <w:pPr>
              <w:pStyle w:val="TableParagraph"/>
              <w:rPr>
                <w:rFonts w:ascii="Verdana" w:hAnsi="Verdana"/>
                <w:b/>
                <w:sz w:val="18"/>
                <w:szCs w:val="18"/>
              </w:rPr>
            </w:pPr>
          </w:p>
          <w:p w14:paraId="5C4561C0" w14:textId="77777777" w:rsidR="008715BE" w:rsidRPr="00EC75B7" w:rsidRDefault="008715BE">
            <w:pPr>
              <w:pStyle w:val="TableParagraph"/>
              <w:rPr>
                <w:rFonts w:ascii="Verdana" w:hAnsi="Verdana"/>
                <w:b/>
                <w:sz w:val="18"/>
                <w:szCs w:val="18"/>
              </w:rPr>
            </w:pPr>
          </w:p>
          <w:p w14:paraId="6CC3EB1F" w14:textId="77777777" w:rsidR="008715BE" w:rsidRPr="00EC75B7" w:rsidRDefault="008715BE">
            <w:pPr>
              <w:pStyle w:val="TableParagraph"/>
              <w:spacing w:before="77"/>
              <w:rPr>
                <w:rFonts w:ascii="Verdana" w:hAnsi="Verdana"/>
                <w:b/>
                <w:sz w:val="18"/>
                <w:szCs w:val="18"/>
              </w:rPr>
            </w:pPr>
          </w:p>
          <w:p w14:paraId="33200570" w14:textId="77777777" w:rsidR="008715BE" w:rsidRPr="00EC75B7" w:rsidRDefault="00000000">
            <w:pPr>
              <w:pStyle w:val="TableParagraph"/>
              <w:spacing w:line="194" w:lineRule="exact"/>
              <w:ind w:left="25" w:right="53"/>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r>
      <w:tr w:rsidR="008715BE" w:rsidRPr="00EC75B7" w14:paraId="5CD52C73" w14:textId="77777777">
        <w:trPr>
          <w:trHeight w:val="489"/>
        </w:trPr>
        <w:tc>
          <w:tcPr>
            <w:tcW w:w="278" w:type="dxa"/>
            <w:vMerge/>
            <w:tcBorders>
              <w:top w:val="nil"/>
            </w:tcBorders>
            <w:shd w:val="clear" w:color="auto" w:fill="808080"/>
            <w:textDirection w:val="btLr"/>
          </w:tcPr>
          <w:p w14:paraId="5EA049E2" w14:textId="77777777" w:rsidR="008715BE" w:rsidRPr="00EC75B7" w:rsidRDefault="008715BE">
            <w:pPr>
              <w:rPr>
                <w:rFonts w:ascii="Verdana" w:hAnsi="Verdana"/>
                <w:sz w:val="18"/>
                <w:szCs w:val="18"/>
              </w:rPr>
            </w:pPr>
          </w:p>
        </w:tc>
        <w:tc>
          <w:tcPr>
            <w:tcW w:w="958" w:type="dxa"/>
            <w:vMerge/>
            <w:tcBorders>
              <w:top w:val="nil"/>
            </w:tcBorders>
            <w:shd w:val="clear" w:color="auto" w:fill="00AFEF"/>
          </w:tcPr>
          <w:p w14:paraId="463F5CB6" w14:textId="77777777" w:rsidR="008715BE" w:rsidRPr="00EC75B7" w:rsidRDefault="008715BE">
            <w:pPr>
              <w:rPr>
                <w:rFonts w:ascii="Verdana" w:hAnsi="Verdana"/>
                <w:sz w:val="18"/>
                <w:szCs w:val="18"/>
              </w:rPr>
            </w:pPr>
          </w:p>
        </w:tc>
        <w:tc>
          <w:tcPr>
            <w:tcW w:w="2011" w:type="dxa"/>
            <w:vMerge/>
            <w:tcBorders>
              <w:top w:val="nil"/>
            </w:tcBorders>
            <w:shd w:val="clear" w:color="auto" w:fill="D9D9D9"/>
          </w:tcPr>
          <w:p w14:paraId="07D48464" w14:textId="77777777" w:rsidR="008715BE" w:rsidRPr="00EC75B7" w:rsidRDefault="008715BE">
            <w:pPr>
              <w:rPr>
                <w:rFonts w:ascii="Verdana" w:hAnsi="Verdana"/>
                <w:sz w:val="18"/>
                <w:szCs w:val="18"/>
              </w:rPr>
            </w:pPr>
          </w:p>
        </w:tc>
        <w:tc>
          <w:tcPr>
            <w:tcW w:w="2574" w:type="dxa"/>
            <w:vMerge/>
            <w:tcBorders>
              <w:top w:val="nil"/>
            </w:tcBorders>
            <w:shd w:val="clear" w:color="auto" w:fill="92D050"/>
          </w:tcPr>
          <w:p w14:paraId="7EE7B4BC" w14:textId="77777777" w:rsidR="008715BE" w:rsidRPr="00EC75B7" w:rsidRDefault="008715BE">
            <w:pPr>
              <w:rPr>
                <w:rFonts w:ascii="Verdana" w:hAnsi="Verdana"/>
                <w:sz w:val="18"/>
                <w:szCs w:val="18"/>
              </w:rPr>
            </w:pPr>
          </w:p>
        </w:tc>
        <w:tc>
          <w:tcPr>
            <w:tcW w:w="2113" w:type="dxa"/>
            <w:vMerge/>
            <w:tcBorders>
              <w:top w:val="nil"/>
            </w:tcBorders>
            <w:shd w:val="clear" w:color="auto" w:fill="92D050"/>
          </w:tcPr>
          <w:p w14:paraId="1A0D8A48" w14:textId="77777777" w:rsidR="008715BE" w:rsidRPr="00EC75B7" w:rsidRDefault="008715BE">
            <w:pPr>
              <w:rPr>
                <w:rFonts w:ascii="Verdana" w:hAnsi="Verdana"/>
                <w:sz w:val="18"/>
                <w:szCs w:val="18"/>
              </w:rPr>
            </w:pPr>
          </w:p>
        </w:tc>
        <w:tc>
          <w:tcPr>
            <w:tcW w:w="1845" w:type="dxa"/>
            <w:tcBorders>
              <w:top w:val="nil"/>
            </w:tcBorders>
            <w:shd w:val="clear" w:color="auto" w:fill="FFD243"/>
          </w:tcPr>
          <w:p w14:paraId="147EBAE9" w14:textId="77777777" w:rsidR="008715BE" w:rsidRPr="00EC75B7" w:rsidRDefault="00000000">
            <w:pPr>
              <w:pStyle w:val="TableParagraph"/>
              <w:spacing w:before="35"/>
              <w:ind w:left="25"/>
              <w:rPr>
                <w:rFonts w:ascii="Verdana" w:hAnsi="Verdana"/>
                <w:sz w:val="18"/>
                <w:szCs w:val="18"/>
              </w:rPr>
            </w:pPr>
            <w:r w:rsidRPr="00EC75B7">
              <w:rPr>
                <w:rFonts w:ascii="Verdana" w:hAnsi="Verdana"/>
                <w:spacing w:val="-2"/>
                <w:sz w:val="18"/>
                <w:szCs w:val="18"/>
              </w:rPr>
              <w:t>Drought</w:t>
            </w:r>
          </w:p>
        </w:tc>
      </w:tr>
    </w:tbl>
    <w:p w14:paraId="79170D44" w14:textId="77777777" w:rsidR="008715BE" w:rsidRPr="00EC75B7" w:rsidRDefault="008715BE">
      <w:pPr>
        <w:pStyle w:val="TableParagraph"/>
        <w:rPr>
          <w:rFonts w:ascii="Verdana" w:hAnsi="Verdana"/>
          <w:sz w:val="18"/>
          <w:szCs w:val="18"/>
        </w:rPr>
        <w:sectPr w:rsidR="008715BE" w:rsidRPr="00EC75B7">
          <w:pgSz w:w="11910" w:h="16840"/>
          <w:pgMar w:top="1320" w:right="566" w:bottom="1020" w:left="1133" w:header="766" w:footer="824" w:gutter="0"/>
          <w:cols w:space="708"/>
        </w:sectPr>
      </w:pPr>
    </w:p>
    <w:p w14:paraId="0464F393" w14:textId="77777777" w:rsidR="008715BE" w:rsidRPr="00EC75B7" w:rsidRDefault="008715BE">
      <w:pPr>
        <w:pStyle w:val="BodyText"/>
        <w:spacing w:before="5"/>
        <w:rPr>
          <w:rFonts w:ascii="Verdana" w:hAnsi="Verdana"/>
          <w:b/>
        </w:rPr>
      </w:pPr>
    </w:p>
    <w:tbl>
      <w:tblPr>
        <w:tblStyle w:val="TableNormal1"/>
        <w:tblW w:w="0" w:type="auto"/>
        <w:tblInd w:w="67" w:type="dxa"/>
        <w:tblBorders>
          <w:top w:val="single" w:sz="8" w:space="0" w:color="F1F1F1"/>
          <w:left w:val="single" w:sz="8" w:space="0" w:color="F1F1F1"/>
          <w:bottom w:val="single" w:sz="8" w:space="0" w:color="F1F1F1"/>
          <w:right w:val="single" w:sz="8" w:space="0" w:color="F1F1F1"/>
          <w:insideH w:val="single" w:sz="8" w:space="0" w:color="F1F1F1"/>
          <w:insideV w:val="single" w:sz="8" w:space="0" w:color="F1F1F1"/>
        </w:tblBorders>
        <w:tblLayout w:type="fixed"/>
        <w:tblLook w:val="01E0" w:firstRow="1" w:lastRow="1" w:firstColumn="1" w:lastColumn="1" w:noHBand="0" w:noVBand="0"/>
      </w:tblPr>
      <w:tblGrid>
        <w:gridCol w:w="276"/>
        <w:gridCol w:w="959"/>
        <w:gridCol w:w="2006"/>
        <w:gridCol w:w="2570"/>
        <w:gridCol w:w="2130"/>
        <w:gridCol w:w="1835"/>
      </w:tblGrid>
      <w:tr w:rsidR="008715BE" w:rsidRPr="00EC75B7" w14:paraId="4A0ED1A7" w14:textId="77777777">
        <w:trPr>
          <w:trHeight w:val="1365"/>
        </w:trPr>
        <w:tc>
          <w:tcPr>
            <w:tcW w:w="276" w:type="dxa"/>
            <w:vMerge w:val="restart"/>
            <w:tcBorders>
              <w:top w:val="nil"/>
            </w:tcBorders>
            <w:shd w:val="clear" w:color="auto" w:fill="808080"/>
          </w:tcPr>
          <w:p w14:paraId="2FE10A45" w14:textId="77777777" w:rsidR="008715BE" w:rsidRPr="00EC75B7" w:rsidRDefault="008715BE">
            <w:pPr>
              <w:pStyle w:val="TableParagraph"/>
              <w:rPr>
                <w:rFonts w:ascii="Verdana" w:hAnsi="Verdana"/>
                <w:sz w:val="18"/>
                <w:szCs w:val="18"/>
              </w:rPr>
            </w:pPr>
          </w:p>
        </w:tc>
        <w:tc>
          <w:tcPr>
            <w:tcW w:w="959" w:type="dxa"/>
            <w:tcBorders>
              <w:top w:val="nil"/>
            </w:tcBorders>
            <w:shd w:val="clear" w:color="auto" w:fill="00AFEF"/>
          </w:tcPr>
          <w:p w14:paraId="6753D7EC" w14:textId="77777777" w:rsidR="008715BE" w:rsidRPr="00EC75B7" w:rsidRDefault="008715BE">
            <w:pPr>
              <w:pStyle w:val="TableParagraph"/>
              <w:rPr>
                <w:rFonts w:ascii="Verdana" w:hAnsi="Verdana"/>
                <w:b/>
                <w:sz w:val="18"/>
                <w:szCs w:val="18"/>
              </w:rPr>
            </w:pPr>
          </w:p>
          <w:p w14:paraId="168F774B" w14:textId="77777777" w:rsidR="008715BE" w:rsidRPr="00EC75B7" w:rsidRDefault="008715BE">
            <w:pPr>
              <w:pStyle w:val="TableParagraph"/>
              <w:rPr>
                <w:rFonts w:ascii="Verdana" w:hAnsi="Verdana"/>
                <w:b/>
                <w:sz w:val="18"/>
                <w:szCs w:val="18"/>
              </w:rPr>
            </w:pPr>
          </w:p>
          <w:p w14:paraId="18E023B5" w14:textId="77777777" w:rsidR="008715BE" w:rsidRPr="00EC75B7" w:rsidRDefault="008715BE">
            <w:pPr>
              <w:pStyle w:val="TableParagraph"/>
              <w:spacing w:before="15"/>
              <w:rPr>
                <w:rFonts w:ascii="Verdana" w:hAnsi="Verdana"/>
                <w:b/>
                <w:sz w:val="18"/>
                <w:szCs w:val="18"/>
              </w:rPr>
            </w:pPr>
          </w:p>
          <w:p w14:paraId="69C697B7" w14:textId="77777777" w:rsidR="008715BE" w:rsidRPr="00EC75B7" w:rsidRDefault="00000000">
            <w:pPr>
              <w:pStyle w:val="TableParagraph"/>
              <w:ind w:left="20"/>
              <w:jc w:val="center"/>
              <w:rPr>
                <w:rFonts w:ascii="Verdana" w:hAnsi="Verdana"/>
                <w:b/>
                <w:sz w:val="18"/>
                <w:szCs w:val="18"/>
              </w:rPr>
            </w:pPr>
            <w:r w:rsidRPr="00EC75B7">
              <w:rPr>
                <w:rFonts w:ascii="Verdana" w:hAnsi="Verdana"/>
                <w:b/>
                <w:color w:val="FFFFFF"/>
                <w:spacing w:val="-10"/>
                <w:sz w:val="18"/>
                <w:szCs w:val="18"/>
              </w:rPr>
              <w:t>2</w:t>
            </w:r>
          </w:p>
        </w:tc>
        <w:tc>
          <w:tcPr>
            <w:tcW w:w="2006" w:type="dxa"/>
            <w:tcBorders>
              <w:top w:val="nil"/>
            </w:tcBorders>
            <w:shd w:val="clear" w:color="auto" w:fill="D9D9D9"/>
          </w:tcPr>
          <w:p w14:paraId="02B733D5" w14:textId="77777777" w:rsidR="008715BE" w:rsidRPr="00EC75B7" w:rsidRDefault="008715BE">
            <w:pPr>
              <w:pStyle w:val="TableParagraph"/>
              <w:spacing w:before="115"/>
              <w:rPr>
                <w:rFonts w:ascii="Verdana" w:hAnsi="Verdana"/>
                <w:b/>
                <w:sz w:val="18"/>
                <w:szCs w:val="18"/>
              </w:rPr>
            </w:pPr>
          </w:p>
          <w:p w14:paraId="494C1884" w14:textId="77777777" w:rsidR="008715BE" w:rsidRPr="00EC75B7" w:rsidRDefault="00000000">
            <w:pPr>
              <w:pStyle w:val="TableParagraph"/>
              <w:spacing w:line="195" w:lineRule="exact"/>
              <w:ind w:left="15"/>
              <w:rPr>
                <w:rFonts w:ascii="Verdana" w:hAnsi="Verdana"/>
                <w:sz w:val="18"/>
                <w:szCs w:val="18"/>
              </w:rPr>
            </w:pPr>
            <w:r w:rsidRPr="00EC75B7">
              <w:rPr>
                <w:rFonts w:ascii="Verdana" w:hAnsi="Verdana"/>
                <w:spacing w:val="-2"/>
                <w:sz w:val="18"/>
                <w:szCs w:val="18"/>
              </w:rPr>
              <w:t xml:space="preserve">Sea </w:t>
            </w:r>
            <w:r w:rsidRPr="00EC75B7">
              <w:rPr>
                <w:rFonts w:ascii="Verdana" w:hAnsi="Verdana"/>
                <w:sz w:val="18"/>
                <w:szCs w:val="18"/>
              </w:rPr>
              <w:t>level rise</w:t>
            </w:r>
          </w:p>
          <w:p w14:paraId="07556B42" w14:textId="77777777" w:rsidR="008715BE" w:rsidRPr="00EC75B7" w:rsidRDefault="00000000">
            <w:pPr>
              <w:pStyle w:val="TableParagraph"/>
              <w:ind w:left="15"/>
              <w:rPr>
                <w:rFonts w:ascii="Verdana" w:hAnsi="Verdana"/>
                <w:sz w:val="18"/>
                <w:szCs w:val="18"/>
              </w:rPr>
            </w:pPr>
            <w:r w:rsidRPr="00EC75B7">
              <w:rPr>
                <w:rFonts w:ascii="Verdana" w:hAnsi="Verdana"/>
                <w:spacing w:val="-2"/>
                <w:sz w:val="18"/>
                <w:szCs w:val="18"/>
              </w:rPr>
              <w:t>/Saline intrusion Permafrost thawing</w:t>
            </w:r>
          </w:p>
        </w:tc>
        <w:tc>
          <w:tcPr>
            <w:tcW w:w="2570" w:type="dxa"/>
            <w:shd w:val="clear" w:color="auto" w:fill="92D050"/>
          </w:tcPr>
          <w:p w14:paraId="73006B49" w14:textId="77777777" w:rsidR="008715BE" w:rsidRPr="00EC75B7" w:rsidRDefault="008715BE">
            <w:pPr>
              <w:pStyle w:val="TableParagraph"/>
              <w:spacing w:before="115"/>
              <w:rPr>
                <w:rFonts w:ascii="Verdana" w:hAnsi="Verdana"/>
                <w:b/>
                <w:sz w:val="18"/>
                <w:szCs w:val="18"/>
              </w:rPr>
            </w:pPr>
          </w:p>
          <w:p w14:paraId="7220C514" w14:textId="77777777" w:rsidR="008715BE" w:rsidRPr="00EC75B7" w:rsidRDefault="00000000">
            <w:pPr>
              <w:pStyle w:val="TableParagraph"/>
              <w:spacing w:line="195" w:lineRule="exact"/>
              <w:ind w:left="18"/>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p w14:paraId="6E359051" w14:textId="77777777" w:rsidR="008715BE" w:rsidRPr="00EC75B7" w:rsidRDefault="00000000">
            <w:pPr>
              <w:pStyle w:val="TableParagraph"/>
              <w:ind w:left="18"/>
              <w:rPr>
                <w:rFonts w:ascii="Verdana" w:hAnsi="Verdana"/>
                <w:sz w:val="18"/>
                <w:szCs w:val="18"/>
              </w:rPr>
            </w:pPr>
            <w:r w:rsidRPr="00EC75B7">
              <w:rPr>
                <w:rFonts w:ascii="Verdana" w:hAnsi="Verdana"/>
                <w:sz w:val="18"/>
                <w:szCs w:val="18"/>
              </w:rPr>
              <w:t xml:space="preserve">Changing wind patterns </w:t>
            </w:r>
            <w:r w:rsidRPr="00EC75B7">
              <w:rPr>
                <w:rFonts w:ascii="Verdana" w:hAnsi="Verdana"/>
                <w:spacing w:val="-2"/>
                <w:sz w:val="18"/>
                <w:szCs w:val="18"/>
              </w:rPr>
              <w:t>Landslides/Avalanches/Subsidence</w:t>
            </w:r>
          </w:p>
        </w:tc>
        <w:tc>
          <w:tcPr>
            <w:tcW w:w="2130" w:type="dxa"/>
            <w:shd w:val="clear" w:color="auto" w:fill="FFD243"/>
          </w:tcPr>
          <w:p w14:paraId="17EE5D9A" w14:textId="77777777" w:rsidR="008715BE" w:rsidRPr="00EC75B7" w:rsidRDefault="008715BE">
            <w:pPr>
              <w:pStyle w:val="TableParagraph"/>
              <w:rPr>
                <w:rFonts w:ascii="Verdana" w:hAnsi="Verdana"/>
                <w:b/>
                <w:sz w:val="18"/>
                <w:szCs w:val="18"/>
              </w:rPr>
            </w:pPr>
          </w:p>
          <w:p w14:paraId="2E899F42" w14:textId="77777777" w:rsidR="008715BE" w:rsidRPr="00EC75B7" w:rsidRDefault="008715BE">
            <w:pPr>
              <w:pStyle w:val="TableParagraph"/>
              <w:spacing w:before="16"/>
              <w:rPr>
                <w:rFonts w:ascii="Verdana" w:hAnsi="Verdana"/>
                <w:b/>
                <w:sz w:val="18"/>
                <w:szCs w:val="18"/>
              </w:rPr>
            </w:pPr>
          </w:p>
          <w:p w14:paraId="70AF774C" w14:textId="77777777" w:rsidR="008715BE" w:rsidRPr="00EC75B7" w:rsidRDefault="00000000">
            <w:pPr>
              <w:pStyle w:val="TableParagraph"/>
              <w:ind w:left="17"/>
              <w:rPr>
                <w:rFonts w:ascii="Verdana" w:hAnsi="Verdana"/>
                <w:sz w:val="18"/>
                <w:szCs w:val="18"/>
              </w:rPr>
            </w:pPr>
            <w:r w:rsidRPr="00EC75B7">
              <w:rPr>
                <w:rFonts w:ascii="Verdana" w:hAnsi="Verdana"/>
                <w:sz w:val="18"/>
                <w:szCs w:val="18"/>
              </w:rPr>
              <w:t xml:space="preserve">Extreme wind (including storm, lightning, hurricane, </w:t>
            </w:r>
            <w:r w:rsidRPr="00EC75B7">
              <w:rPr>
                <w:rFonts w:ascii="Verdana" w:hAnsi="Verdana"/>
                <w:spacing w:val="-2"/>
                <w:sz w:val="18"/>
                <w:szCs w:val="18"/>
              </w:rPr>
              <w:t>tornado)</w:t>
            </w:r>
          </w:p>
        </w:tc>
        <w:tc>
          <w:tcPr>
            <w:tcW w:w="1835" w:type="dxa"/>
            <w:shd w:val="clear" w:color="auto" w:fill="FF8F92"/>
          </w:tcPr>
          <w:p w14:paraId="16809406" w14:textId="77777777" w:rsidR="008715BE" w:rsidRPr="00EC75B7" w:rsidRDefault="008715BE">
            <w:pPr>
              <w:pStyle w:val="TableParagraph"/>
              <w:rPr>
                <w:rFonts w:ascii="Verdana" w:hAnsi="Verdana"/>
                <w:b/>
                <w:sz w:val="18"/>
                <w:szCs w:val="18"/>
              </w:rPr>
            </w:pPr>
          </w:p>
          <w:p w14:paraId="5DBB75EE" w14:textId="77777777" w:rsidR="008715BE" w:rsidRPr="00EC75B7" w:rsidRDefault="008715BE">
            <w:pPr>
              <w:pStyle w:val="TableParagraph"/>
              <w:rPr>
                <w:rFonts w:ascii="Verdana" w:hAnsi="Verdana"/>
                <w:b/>
                <w:sz w:val="18"/>
                <w:szCs w:val="18"/>
              </w:rPr>
            </w:pPr>
          </w:p>
          <w:p w14:paraId="7BA81DCC" w14:textId="77777777" w:rsidR="008715BE" w:rsidRPr="00EC75B7" w:rsidRDefault="008715BE">
            <w:pPr>
              <w:pStyle w:val="TableParagraph"/>
              <w:spacing w:before="15"/>
              <w:rPr>
                <w:rFonts w:ascii="Verdana" w:hAnsi="Verdana"/>
                <w:b/>
                <w:sz w:val="18"/>
                <w:szCs w:val="18"/>
              </w:rPr>
            </w:pPr>
          </w:p>
          <w:p w14:paraId="7B8C225A" w14:textId="77777777" w:rsidR="008715BE" w:rsidRPr="00EC75B7" w:rsidRDefault="00000000">
            <w:pPr>
              <w:pStyle w:val="TableParagraph"/>
              <w:ind w:left="18"/>
              <w:rPr>
                <w:rFonts w:ascii="Verdana" w:hAnsi="Verdana"/>
                <w:sz w:val="18"/>
                <w:szCs w:val="18"/>
              </w:rPr>
            </w:pPr>
            <w:r w:rsidRPr="00EC75B7">
              <w:rPr>
                <w:rFonts w:ascii="Verdana" w:hAnsi="Verdana"/>
                <w:color w:val="6F2F9F"/>
                <w:spacing w:val="-2"/>
                <w:sz w:val="18"/>
                <w:szCs w:val="18"/>
              </w:rPr>
              <w:t xml:space="preserve">Heat </w:t>
            </w:r>
            <w:r w:rsidRPr="00EC75B7">
              <w:rPr>
                <w:rFonts w:ascii="Verdana" w:hAnsi="Verdana"/>
                <w:color w:val="6F2F9F"/>
                <w:sz w:val="18"/>
                <w:szCs w:val="18"/>
              </w:rPr>
              <w:t>waves</w:t>
            </w:r>
          </w:p>
        </w:tc>
      </w:tr>
      <w:tr w:rsidR="008715BE" w:rsidRPr="00EC75B7" w14:paraId="5FA99F32" w14:textId="77777777">
        <w:trPr>
          <w:trHeight w:val="954"/>
        </w:trPr>
        <w:tc>
          <w:tcPr>
            <w:tcW w:w="276" w:type="dxa"/>
            <w:vMerge/>
            <w:tcBorders>
              <w:top w:val="nil"/>
            </w:tcBorders>
            <w:shd w:val="clear" w:color="auto" w:fill="808080"/>
          </w:tcPr>
          <w:p w14:paraId="358DD05B" w14:textId="77777777" w:rsidR="008715BE" w:rsidRPr="00EC75B7" w:rsidRDefault="008715BE">
            <w:pPr>
              <w:rPr>
                <w:rFonts w:ascii="Verdana" w:hAnsi="Verdana"/>
                <w:sz w:val="18"/>
                <w:szCs w:val="18"/>
              </w:rPr>
            </w:pPr>
          </w:p>
        </w:tc>
        <w:tc>
          <w:tcPr>
            <w:tcW w:w="959" w:type="dxa"/>
            <w:shd w:val="clear" w:color="auto" w:fill="00AFEF"/>
          </w:tcPr>
          <w:p w14:paraId="1C7F00FD" w14:textId="77777777" w:rsidR="008715BE" w:rsidRPr="00EC75B7" w:rsidRDefault="008715BE">
            <w:pPr>
              <w:pStyle w:val="TableParagraph"/>
              <w:rPr>
                <w:rFonts w:ascii="Verdana" w:hAnsi="Verdana"/>
                <w:b/>
                <w:sz w:val="18"/>
                <w:szCs w:val="18"/>
              </w:rPr>
            </w:pPr>
          </w:p>
          <w:p w14:paraId="4F5599CA" w14:textId="77777777" w:rsidR="008715BE" w:rsidRPr="00EC75B7" w:rsidRDefault="008715BE">
            <w:pPr>
              <w:pStyle w:val="TableParagraph"/>
              <w:spacing w:before="6"/>
              <w:rPr>
                <w:rFonts w:ascii="Verdana" w:hAnsi="Verdana"/>
                <w:b/>
                <w:sz w:val="18"/>
                <w:szCs w:val="18"/>
              </w:rPr>
            </w:pPr>
          </w:p>
          <w:p w14:paraId="21F9B6D9" w14:textId="77777777" w:rsidR="008715BE" w:rsidRPr="00EC75B7" w:rsidRDefault="00000000">
            <w:pPr>
              <w:pStyle w:val="TableParagraph"/>
              <w:ind w:left="20"/>
              <w:jc w:val="center"/>
              <w:rPr>
                <w:rFonts w:ascii="Verdana" w:hAnsi="Verdana"/>
                <w:b/>
                <w:sz w:val="18"/>
                <w:szCs w:val="18"/>
              </w:rPr>
            </w:pPr>
            <w:r w:rsidRPr="00EC75B7">
              <w:rPr>
                <w:rFonts w:ascii="Verdana" w:hAnsi="Verdana"/>
                <w:b/>
                <w:color w:val="FFFFFF"/>
                <w:spacing w:val="-10"/>
                <w:sz w:val="18"/>
                <w:szCs w:val="18"/>
              </w:rPr>
              <w:t>3</w:t>
            </w:r>
          </w:p>
        </w:tc>
        <w:tc>
          <w:tcPr>
            <w:tcW w:w="2006" w:type="dxa"/>
            <w:shd w:val="clear" w:color="auto" w:fill="D9D9D9"/>
          </w:tcPr>
          <w:p w14:paraId="03E85BDB" w14:textId="77777777" w:rsidR="008715BE" w:rsidRPr="00EC75B7" w:rsidRDefault="008715BE">
            <w:pPr>
              <w:pStyle w:val="TableParagraph"/>
              <w:rPr>
                <w:rFonts w:ascii="Verdana" w:hAnsi="Verdana"/>
                <w:sz w:val="18"/>
                <w:szCs w:val="18"/>
              </w:rPr>
            </w:pPr>
          </w:p>
        </w:tc>
        <w:tc>
          <w:tcPr>
            <w:tcW w:w="2570" w:type="dxa"/>
            <w:shd w:val="clear" w:color="auto" w:fill="FFD243"/>
          </w:tcPr>
          <w:p w14:paraId="04189CCE" w14:textId="77777777" w:rsidR="008715BE" w:rsidRPr="00EC75B7" w:rsidRDefault="008715BE">
            <w:pPr>
              <w:pStyle w:val="TableParagraph"/>
              <w:spacing w:before="103"/>
              <w:rPr>
                <w:rFonts w:ascii="Verdana" w:hAnsi="Verdana"/>
                <w:b/>
                <w:sz w:val="18"/>
                <w:szCs w:val="18"/>
              </w:rPr>
            </w:pPr>
          </w:p>
          <w:p w14:paraId="3F443FD0" w14:textId="77777777" w:rsidR="008715BE" w:rsidRPr="00EC75B7" w:rsidRDefault="00000000">
            <w:pPr>
              <w:pStyle w:val="TableParagraph"/>
              <w:ind w:left="18" w:right="777"/>
              <w:rPr>
                <w:rFonts w:ascii="Verdana" w:hAnsi="Verdana"/>
                <w:sz w:val="18"/>
                <w:szCs w:val="18"/>
              </w:rPr>
            </w:pPr>
            <w:r w:rsidRPr="00EC75B7">
              <w:rPr>
                <w:rFonts w:ascii="Verdana" w:hAnsi="Verdana"/>
                <w:sz w:val="18"/>
                <w:szCs w:val="18"/>
              </w:rPr>
              <w:t>Flooding/Heavy rainfall</w:t>
            </w:r>
          </w:p>
        </w:tc>
        <w:tc>
          <w:tcPr>
            <w:tcW w:w="2130" w:type="dxa"/>
            <w:shd w:val="clear" w:color="auto" w:fill="FF8F92"/>
          </w:tcPr>
          <w:p w14:paraId="3850D226" w14:textId="77777777" w:rsidR="008715BE" w:rsidRPr="00EC75B7" w:rsidRDefault="008715BE">
            <w:pPr>
              <w:pStyle w:val="TableParagraph"/>
              <w:rPr>
                <w:rFonts w:ascii="Verdana" w:hAnsi="Verdana"/>
                <w:b/>
                <w:sz w:val="18"/>
                <w:szCs w:val="18"/>
              </w:rPr>
            </w:pPr>
          </w:p>
          <w:p w14:paraId="0F9ACF81" w14:textId="77777777" w:rsidR="008715BE" w:rsidRPr="00EC75B7" w:rsidRDefault="008715BE">
            <w:pPr>
              <w:pStyle w:val="TableParagraph"/>
              <w:spacing w:before="6"/>
              <w:rPr>
                <w:rFonts w:ascii="Verdana" w:hAnsi="Verdana"/>
                <w:b/>
                <w:sz w:val="18"/>
                <w:szCs w:val="18"/>
              </w:rPr>
            </w:pPr>
          </w:p>
          <w:p w14:paraId="41173738" w14:textId="77777777" w:rsidR="008715BE" w:rsidRPr="00EC75B7" w:rsidRDefault="00000000">
            <w:pPr>
              <w:pStyle w:val="TableParagraph"/>
              <w:ind w:left="17"/>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1835" w:type="dxa"/>
            <w:shd w:val="clear" w:color="auto" w:fill="FF8F92"/>
          </w:tcPr>
          <w:p w14:paraId="32AE3164" w14:textId="77777777" w:rsidR="008715BE" w:rsidRPr="00EC75B7" w:rsidRDefault="008715BE">
            <w:pPr>
              <w:pStyle w:val="TableParagraph"/>
              <w:rPr>
                <w:rFonts w:ascii="Verdana" w:hAnsi="Verdana"/>
                <w:sz w:val="18"/>
                <w:szCs w:val="18"/>
              </w:rPr>
            </w:pPr>
          </w:p>
        </w:tc>
      </w:tr>
    </w:tbl>
    <w:p w14:paraId="6EFD7C6E" w14:textId="2CE0EF00" w:rsidR="008715BE" w:rsidRPr="00EC75B7" w:rsidRDefault="00000000" w:rsidP="002A4F7C">
      <w:pPr>
        <w:pStyle w:val="BodyText"/>
        <w:spacing w:before="5"/>
        <w:rPr>
          <w:rFonts w:ascii="Verdana" w:hAnsi="Verdana"/>
          <w:b/>
        </w:rPr>
      </w:pPr>
      <w:r w:rsidRPr="00EC75B7">
        <w:rPr>
          <w:rFonts w:ascii="Verdana" w:hAnsi="Verdana"/>
          <w:b/>
          <w:noProof/>
        </w:rPr>
        <mc:AlternateContent>
          <mc:Choice Requires="wps">
            <w:drawing>
              <wp:anchor distT="0" distB="0" distL="0" distR="0" simplePos="0" relativeHeight="251726848" behindDoc="1" locked="0" layoutInCell="1" allowOverlap="1" wp14:anchorId="7A405268" wp14:editId="10A648FC">
                <wp:simplePos x="0" y="0"/>
                <wp:positionH relativeFrom="page">
                  <wp:posOffset>749807</wp:posOffset>
                </wp:positionH>
                <wp:positionV relativeFrom="paragraph">
                  <wp:posOffset>165988</wp:posOffset>
                </wp:positionV>
                <wp:extent cx="2174240" cy="1378585"/>
                <wp:effectExtent l="0" t="0" r="0" b="0"/>
                <wp:wrapTopAndBottom/>
                <wp:docPr id="539" name="Textbox 539"/>
                <wp:cNvGraphicFramePr/>
                <a:graphic xmlns:a="http://schemas.openxmlformats.org/drawingml/2006/main">
                  <a:graphicData uri="http://schemas.microsoft.com/office/word/2010/wordprocessingShape">
                    <wps:wsp>
                      <wps:cNvSpPr txBox="1"/>
                      <wps:spPr>
                        <a:xfrm>
                          <a:off x="0" y="0"/>
                          <a:ext cx="2174240" cy="1378585"/>
                        </a:xfrm>
                        <a:prstGeom prst="rect">
                          <a:avLst/>
                        </a:prstGeom>
                      </wps:spPr>
                      <wps:txbx>
                        <w:txbxContent>
                          <w:tbl>
                            <w:tblPr>
                              <w:tblStyle w:val="TableNormal1"/>
                              <w:tblW w:w="0" w:type="auto"/>
                              <w:tblInd w:w="7" w:type="dxa"/>
                              <w:tblLayout w:type="fixed"/>
                              <w:tblLook w:val="01E0" w:firstRow="1" w:lastRow="1" w:firstColumn="1" w:lastColumn="1" w:noHBand="0" w:noVBand="0"/>
                            </w:tblPr>
                            <w:tblGrid>
                              <w:gridCol w:w="2912"/>
                              <w:gridCol w:w="492"/>
                            </w:tblGrid>
                            <w:tr w:rsidR="008715BE" w14:paraId="14D7B149" w14:textId="77777777">
                              <w:trPr>
                                <w:trHeight w:val="314"/>
                              </w:trPr>
                              <w:tc>
                                <w:tcPr>
                                  <w:tcW w:w="3404" w:type="dxa"/>
                                  <w:gridSpan w:val="2"/>
                                  <w:shd w:val="clear" w:color="auto" w:fill="808080"/>
                                </w:tcPr>
                                <w:p w14:paraId="1BAE9D5D" w14:textId="77777777" w:rsidR="008715BE" w:rsidRDefault="00000000">
                                  <w:pPr>
                                    <w:pStyle w:val="TableParagraph"/>
                                    <w:spacing w:before="75"/>
                                    <w:ind w:left="26"/>
                                    <w:rPr>
                                      <w:b/>
                                      <w:sz w:val="16"/>
                                    </w:rPr>
                                  </w:pPr>
                                  <w:r>
                                    <w:rPr>
                                      <w:b/>
                                      <w:color w:val="FFFFFF"/>
                                      <w:spacing w:val="-2"/>
                                      <w:w w:val="140"/>
                                      <w:sz w:val="10"/>
                                    </w:rPr>
                                    <w:t>Sensitivity * Exposure</w:t>
                                  </w:r>
                                </w:p>
                              </w:tc>
                            </w:tr>
                            <w:tr w:rsidR="008715BE" w14:paraId="3929EE7F" w14:textId="77777777">
                              <w:trPr>
                                <w:trHeight w:val="590"/>
                              </w:trPr>
                              <w:tc>
                                <w:tcPr>
                                  <w:tcW w:w="3404" w:type="dxa"/>
                                  <w:gridSpan w:val="2"/>
                                  <w:shd w:val="clear" w:color="auto" w:fill="00AFEF"/>
                                </w:tcPr>
                                <w:p w14:paraId="31B8EF59" w14:textId="77777777" w:rsidR="008715BE" w:rsidRDefault="008715BE">
                                  <w:pPr>
                                    <w:pStyle w:val="TableParagraph"/>
                                    <w:spacing w:before="19"/>
                                    <w:rPr>
                                      <w:b/>
                                      <w:sz w:val="16"/>
                                    </w:rPr>
                                  </w:pPr>
                                </w:p>
                                <w:p w14:paraId="1EC2FB28" w14:textId="77777777" w:rsidR="008715BE" w:rsidRDefault="00000000">
                                  <w:pPr>
                                    <w:pStyle w:val="TableParagraph"/>
                                    <w:ind w:left="26"/>
                                    <w:rPr>
                                      <w:b/>
                                      <w:sz w:val="16"/>
                                    </w:rPr>
                                  </w:pPr>
                                  <w:r>
                                    <w:rPr>
                                      <w:b/>
                                      <w:color w:val="FFFFFF"/>
                                      <w:spacing w:val="-2"/>
                                      <w:w w:val="135"/>
                                      <w:sz w:val="10"/>
                                    </w:rPr>
                                    <w:t xml:space="preserve">Vulnerability </w:t>
                                  </w:r>
                                  <w:r>
                                    <w:rPr>
                                      <w:b/>
                                      <w:color w:val="FFFFFF"/>
                                      <w:w w:val="135"/>
                                      <w:sz w:val="10"/>
                                    </w:rPr>
                                    <w:t>class</w:t>
                                  </w:r>
                                </w:p>
                              </w:tc>
                            </w:tr>
                            <w:tr w:rsidR="008715BE" w14:paraId="0A169524" w14:textId="77777777">
                              <w:trPr>
                                <w:trHeight w:val="210"/>
                              </w:trPr>
                              <w:tc>
                                <w:tcPr>
                                  <w:tcW w:w="2912" w:type="dxa"/>
                                  <w:tcBorders>
                                    <w:right w:val="single" w:sz="8" w:space="0" w:color="D9D9D9"/>
                                  </w:tcBorders>
                                  <w:shd w:val="clear" w:color="auto" w:fill="FF8F92"/>
                                </w:tcPr>
                                <w:p w14:paraId="18AF441F" w14:textId="77777777" w:rsidR="008715BE" w:rsidRDefault="00000000">
                                  <w:pPr>
                                    <w:pStyle w:val="TableParagraph"/>
                                    <w:spacing w:before="22" w:line="168" w:lineRule="exact"/>
                                    <w:ind w:left="26"/>
                                    <w:rPr>
                                      <w:b/>
                                      <w:sz w:val="16"/>
                                    </w:rPr>
                                  </w:pPr>
                                  <w:r>
                                    <w:rPr>
                                      <w:b/>
                                      <w:spacing w:val="-2"/>
                                      <w:w w:val="135"/>
                                      <w:sz w:val="10"/>
                                    </w:rPr>
                                    <w:t xml:space="preserve">High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16D525C4" w14:textId="77777777" w:rsidR="008715BE" w:rsidRDefault="00000000">
                                  <w:pPr>
                                    <w:pStyle w:val="TableParagraph"/>
                                    <w:spacing w:before="22" w:line="168" w:lineRule="exact"/>
                                    <w:ind w:left="16"/>
                                    <w:rPr>
                                      <w:b/>
                                      <w:sz w:val="16"/>
                                    </w:rPr>
                                  </w:pPr>
                                  <w:r>
                                    <w:rPr>
                                      <w:b/>
                                      <w:color w:val="FFFFFF"/>
                                      <w:spacing w:val="-5"/>
                                      <w:w w:val="155"/>
                                      <w:sz w:val="10"/>
                                    </w:rPr>
                                    <w:t>≥6</w:t>
                                  </w:r>
                                </w:p>
                              </w:tc>
                            </w:tr>
                            <w:tr w:rsidR="008715BE" w14:paraId="505CBD3E" w14:textId="77777777">
                              <w:trPr>
                                <w:trHeight w:val="328"/>
                              </w:trPr>
                              <w:tc>
                                <w:tcPr>
                                  <w:tcW w:w="2912" w:type="dxa"/>
                                  <w:tcBorders>
                                    <w:right w:val="single" w:sz="8" w:space="0" w:color="D9D9D9"/>
                                  </w:tcBorders>
                                  <w:shd w:val="clear" w:color="auto" w:fill="FFC000"/>
                                </w:tcPr>
                                <w:p w14:paraId="1F643DC1" w14:textId="77777777" w:rsidR="008715BE" w:rsidRDefault="00000000">
                                  <w:pPr>
                                    <w:pStyle w:val="TableParagraph"/>
                                    <w:spacing w:before="82"/>
                                    <w:ind w:left="26"/>
                                    <w:rPr>
                                      <w:b/>
                                      <w:sz w:val="16"/>
                                    </w:rPr>
                                  </w:pPr>
                                  <w:r>
                                    <w:rPr>
                                      <w:b/>
                                      <w:spacing w:val="-4"/>
                                      <w:w w:val="135"/>
                                      <w:sz w:val="10"/>
                                    </w:rPr>
                                    <w:t xml:space="preserve">medium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63A1C704" w14:textId="77777777" w:rsidR="008715BE" w:rsidRDefault="00000000">
                                  <w:pPr>
                                    <w:pStyle w:val="TableParagraph"/>
                                    <w:spacing w:before="82"/>
                                    <w:ind w:left="16"/>
                                    <w:rPr>
                                      <w:b/>
                                      <w:sz w:val="16"/>
                                    </w:rPr>
                                  </w:pPr>
                                  <w:r>
                                    <w:rPr>
                                      <w:b/>
                                      <w:color w:val="FFFFFF"/>
                                      <w:spacing w:val="-10"/>
                                      <w:w w:val="145"/>
                                      <w:sz w:val="10"/>
                                    </w:rPr>
                                    <w:t>3</w:t>
                                  </w:r>
                                </w:p>
                              </w:tc>
                            </w:tr>
                            <w:tr w:rsidR="008715BE" w14:paraId="0A4C283B" w14:textId="77777777">
                              <w:trPr>
                                <w:trHeight w:val="330"/>
                              </w:trPr>
                              <w:tc>
                                <w:tcPr>
                                  <w:tcW w:w="2912" w:type="dxa"/>
                                  <w:tcBorders>
                                    <w:right w:val="single" w:sz="8" w:space="0" w:color="D9D9D9"/>
                                  </w:tcBorders>
                                  <w:shd w:val="clear" w:color="auto" w:fill="92D050"/>
                                </w:tcPr>
                                <w:p w14:paraId="10D4D6BB" w14:textId="77777777" w:rsidR="008715BE" w:rsidRDefault="00000000">
                                  <w:pPr>
                                    <w:pStyle w:val="TableParagraph"/>
                                    <w:spacing w:before="85"/>
                                    <w:ind w:left="26"/>
                                    <w:rPr>
                                      <w:b/>
                                      <w:sz w:val="16"/>
                                    </w:rPr>
                                  </w:pPr>
                                  <w:r>
                                    <w:rPr>
                                      <w:b/>
                                      <w:spacing w:val="-2"/>
                                      <w:w w:val="135"/>
                                      <w:sz w:val="10"/>
                                    </w:rPr>
                                    <w:t xml:space="preserve">low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503E8A4A" w14:textId="77777777" w:rsidR="008715BE" w:rsidRDefault="00000000">
                                  <w:pPr>
                                    <w:pStyle w:val="TableParagraph"/>
                                    <w:spacing w:before="85"/>
                                    <w:ind w:left="16"/>
                                    <w:rPr>
                                      <w:b/>
                                      <w:sz w:val="16"/>
                                    </w:rPr>
                                  </w:pPr>
                                  <w:r>
                                    <w:rPr>
                                      <w:b/>
                                      <w:color w:val="FFFFFF"/>
                                      <w:spacing w:val="-10"/>
                                      <w:w w:val="145"/>
                                      <w:sz w:val="10"/>
                                    </w:rPr>
                                    <w:t>1</w:t>
                                  </w:r>
                                </w:p>
                              </w:tc>
                            </w:tr>
                            <w:tr w:rsidR="008715BE" w14:paraId="45530B68" w14:textId="77777777">
                              <w:trPr>
                                <w:trHeight w:val="316"/>
                              </w:trPr>
                              <w:tc>
                                <w:tcPr>
                                  <w:tcW w:w="2912" w:type="dxa"/>
                                  <w:shd w:val="clear" w:color="auto" w:fill="F1F1F1"/>
                                </w:tcPr>
                                <w:p w14:paraId="26B00FC4" w14:textId="77777777" w:rsidR="008715BE" w:rsidRDefault="00000000">
                                  <w:pPr>
                                    <w:pStyle w:val="TableParagraph"/>
                                    <w:spacing w:before="77"/>
                                    <w:ind w:left="26"/>
                                    <w:rPr>
                                      <w:b/>
                                      <w:sz w:val="16"/>
                                    </w:rPr>
                                  </w:pPr>
                                  <w:r>
                                    <w:rPr>
                                      <w:b/>
                                      <w:w w:val="135"/>
                                      <w:sz w:val="10"/>
                                    </w:rPr>
                                    <w:t xml:space="preserve">no </w:t>
                                  </w:r>
                                  <w:r>
                                    <w:rPr>
                                      <w:b/>
                                      <w:spacing w:val="-2"/>
                                      <w:w w:val="135"/>
                                      <w:sz w:val="10"/>
                                    </w:rPr>
                                    <w:t>vulnerability</w:t>
                                  </w:r>
                                </w:p>
                              </w:tc>
                              <w:tc>
                                <w:tcPr>
                                  <w:tcW w:w="492" w:type="dxa"/>
                                  <w:tcBorders>
                                    <w:top w:val="single" w:sz="8" w:space="0" w:color="D9D9D9"/>
                                  </w:tcBorders>
                                  <w:shd w:val="clear" w:color="auto" w:fill="00AFEF"/>
                                </w:tcPr>
                                <w:p w14:paraId="4B598BBF" w14:textId="77777777" w:rsidR="008715BE" w:rsidRDefault="00000000">
                                  <w:pPr>
                                    <w:pStyle w:val="TableParagraph"/>
                                    <w:spacing w:before="77"/>
                                    <w:ind w:left="26"/>
                                    <w:rPr>
                                      <w:b/>
                                      <w:sz w:val="16"/>
                                    </w:rPr>
                                  </w:pPr>
                                  <w:r>
                                    <w:rPr>
                                      <w:b/>
                                      <w:color w:val="FFFFFF"/>
                                      <w:spacing w:val="-10"/>
                                      <w:w w:val="140"/>
                                      <w:sz w:val="10"/>
                                    </w:rPr>
                                    <w:t>0</w:t>
                                  </w:r>
                                </w:p>
                              </w:tc>
                            </w:tr>
                          </w:tbl>
                          <w:p w14:paraId="1DE979A3" w14:textId="77777777" w:rsidR="008715BE" w:rsidRDefault="008715BE">
                            <w:pPr>
                              <w:pStyle w:val="BodyText"/>
                            </w:pPr>
                          </w:p>
                        </w:txbxContent>
                      </wps:txbx>
                      <wps:bodyPr wrap="square" lIns="0" tIns="0" rIns="0" bIns="0" rtlCol="0"/>
                    </wps:wsp>
                  </a:graphicData>
                </a:graphic>
              </wp:anchor>
            </w:drawing>
          </mc:Choice>
          <mc:Fallback>
            <w:pict>
              <v:shape w14:anchorId="7A405268" id="Textbox 539" o:spid="_x0000_s1319" type="#_x0000_t202" style="position:absolute;margin-left:59.05pt;margin-top:13.05pt;width:171.2pt;height:108.55pt;z-index:-25158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" filled="f" stroked="f">
                <v:textbox inset="0,0,0,0">
                  <w:txbxContent>
                    <w:tbl>
                      <w:tblPr>
                        <w:tblStyle w:val="TableNormal1"/>
                        <w:tblW w:w="0" w:type="auto"/>
                        <w:tblInd w:w="7" w:type="dxa"/>
                        <w:tblLayout w:type="fixed"/>
                        <w:tblLook w:val="01E0" w:firstRow="1" w:lastRow="1" w:firstColumn="1" w:lastColumn="1" w:noHBand="0" w:noVBand="0"/>
                      </w:tblPr>
                      <w:tblGrid>
                        <w:gridCol w:w="2912"/>
                        <w:gridCol w:w="492"/>
                      </w:tblGrid>
                      <w:tr w:rsidR="008715BE" w14:paraId="14D7B149" w14:textId="77777777">
                        <w:trPr>
                          <w:trHeight w:val="314"/>
                        </w:trPr>
                        <w:tc>
                          <w:tcPr>
                            <w:tcW w:w="3404" w:type="dxa"/>
                            <w:gridSpan w:val="2"/>
                            <w:shd w:val="clear" w:color="auto" w:fill="808080"/>
                          </w:tcPr>
                          <w:p w14:paraId="1BAE9D5D" w14:textId="77777777" w:rsidR="008715BE" w:rsidRDefault="00000000">
                            <w:pPr>
                              <w:pStyle w:val="TableParagraph"/>
                              <w:spacing w:before="75"/>
                              <w:ind w:left="26"/>
                              <w:rPr>
                                <w:b/>
                                <w:sz w:val="16"/>
                              </w:rPr>
                            </w:pPr>
                            <w:r>
                              <w:rPr>
                                <w:b/>
                                <w:color w:val="FFFFFF"/>
                                <w:spacing w:val="-2"/>
                                <w:w w:val="140"/>
                                <w:sz w:val="10"/>
                              </w:rPr>
                              <w:t>Sensitivity * Exposure</w:t>
                            </w:r>
                          </w:p>
                        </w:tc>
                      </w:tr>
                      <w:tr w:rsidR="008715BE" w14:paraId="3929EE7F" w14:textId="77777777">
                        <w:trPr>
                          <w:trHeight w:val="590"/>
                        </w:trPr>
                        <w:tc>
                          <w:tcPr>
                            <w:tcW w:w="3404" w:type="dxa"/>
                            <w:gridSpan w:val="2"/>
                            <w:shd w:val="clear" w:color="auto" w:fill="00AFEF"/>
                          </w:tcPr>
                          <w:p w14:paraId="31B8EF59" w14:textId="77777777" w:rsidR="008715BE" w:rsidRDefault="008715BE">
                            <w:pPr>
                              <w:pStyle w:val="TableParagraph"/>
                              <w:spacing w:before="19"/>
                              <w:rPr>
                                <w:b/>
                                <w:sz w:val="16"/>
                              </w:rPr>
                            </w:pPr>
                          </w:p>
                          <w:p w14:paraId="1EC2FB28" w14:textId="77777777" w:rsidR="008715BE" w:rsidRDefault="00000000">
                            <w:pPr>
                              <w:pStyle w:val="TableParagraph"/>
                              <w:ind w:left="26"/>
                              <w:rPr>
                                <w:b/>
                                <w:sz w:val="16"/>
                              </w:rPr>
                            </w:pPr>
                            <w:r>
                              <w:rPr>
                                <w:b/>
                                <w:color w:val="FFFFFF"/>
                                <w:spacing w:val="-2"/>
                                <w:w w:val="135"/>
                                <w:sz w:val="10"/>
                              </w:rPr>
                              <w:t xml:space="preserve">Vulnerability </w:t>
                            </w:r>
                            <w:r>
                              <w:rPr>
                                <w:b/>
                                <w:color w:val="FFFFFF"/>
                                <w:w w:val="135"/>
                                <w:sz w:val="10"/>
                              </w:rPr>
                              <w:t>class</w:t>
                            </w:r>
                          </w:p>
                        </w:tc>
                      </w:tr>
                      <w:tr w:rsidR="008715BE" w14:paraId="0A169524" w14:textId="77777777">
                        <w:trPr>
                          <w:trHeight w:val="210"/>
                        </w:trPr>
                        <w:tc>
                          <w:tcPr>
                            <w:tcW w:w="2912" w:type="dxa"/>
                            <w:tcBorders>
                              <w:right w:val="single" w:sz="8" w:space="0" w:color="D9D9D9"/>
                            </w:tcBorders>
                            <w:shd w:val="clear" w:color="auto" w:fill="FF8F92"/>
                          </w:tcPr>
                          <w:p w14:paraId="18AF441F" w14:textId="77777777" w:rsidR="008715BE" w:rsidRDefault="00000000">
                            <w:pPr>
                              <w:pStyle w:val="TableParagraph"/>
                              <w:spacing w:before="22" w:line="168" w:lineRule="exact"/>
                              <w:ind w:left="26"/>
                              <w:rPr>
                                <w:b/>
                                <w:sz w:val="16"/>
                              </w:rPr>
                            </w:pPr>
                            <w:r>
                              <w:rPr>
                                <w:b/>
                                <w:spacing w:val="-2"/>
                                <w:w w:val="135"/>
                                <w:sz w:val="10"/>
                              </w:rPr>
                              <w:t xml:space="preserve">High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16D525C4" w14:textId="77777777" w:rsidR="008715BE" w:rsidRDefault="00000000">
                            <w:pPr>
                              <w:pStyle w:val="TableParagraph"/>
                              <w:spacing w:before="22" w:line="168" w:lineRule="exact"/>
                              <w:ind w:left="16"/>
                              <w:rPr>
                                <w:b/>
                                <w:sz w:val="16"/>
                              </w:rPr>
                            </w:pPr>
                            <w:r>
                              <w:rPr>
                                <w:b/>
                                <w:color w:val="FFFFFF"/>
                                <w:spacing w:val="-5"/>
                                <w:w w:val="155"/>
                                <w:sz w:val="10"/>
                              </w:rPr>
                              <w:t>≥6</w:t>
                            </w:r>
                          </w:p>
                        </w:tc>
                      </w:tr>
                      <w:tr w:rsidR="008715BE" w14:paraId="505CBD3E" w14:textId="77777777">
                        <w:trPr>
                          <w:trHeight w:val="328"/>
                        </w:trPr>
                        <w:tc>
                          <w:tcPr>
                            <w:tcW w:w="2912" w:type="dxa"/>
                            <w:tcBorders>
                              <w:right w:val="single" w:sz="8" w:space="0" w:color="D9D9D9"/>
                            </w:tcBorders>
                            <w:shd w:val="clear" w:color="auto" w:fill="FFC000"/>
                          </w:tcPr>
                          <w:p w14:paraId="1F643DC1" w14:textId="77777777" w:rsidR="008715BE" w:rsidRDefault="00000000">
                            <w:pPr>
                              <w:pStyle w:val="TableParagraph"/>
                              <w:spacing w:before="82"/>
                              <w:ind w:left="26"/>
                              <w:rPr>
                                <w:b/>
                                <w:sz w:val="16"/>
                              </w:rPr>
                            </w:pPr>
                            <w:r>
                              <w:rPr>
                                <w:b/>
                                <w:spacing w:val="-4"/>
                                <w:w w:val="135"/>
                                <w:sz w:val="10"/>
                              </w:rPr>
                              <w:t xml:space="preserve">medium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63A1C704" w14:textId="77777777" w:rsidR="008715BE" w:rsidRDefault="00000000">
                            <w:pPr>
                              <w:pStyle w:val="TableParagraph"/>
                              <w:spacing w:before="82"/>
                              <w:ind w:left="16"/>
                              <w:rPr>
                                <w:b/>
                                <w:sz w:val="16"/>
                              </w:rPr>
                            </w:pPr>
                            <w:r>
                              <w:rPr>
                                <w:b/>
                                <w:color w:val="FFFFFF"/>
                                <w:spacing w:val="-10"/>
                                <w:w w:val="145"/>
                                <w:sz w:val="10"/>
                              </w:rPr>
                              <w:t>3</w:t>
                            </w:r>
                          </w:p>
                        </w:tc>
                      </w:tr>
                      <w:tr w:rsidR="008715BE" w14:paraId="0A4C283B" w14:textId="77777777">
                        <w:trPr>
                          <w:trHeight w:val="330"/>
                        </w:trPr>
                        <w:tc>
                          <w:tcPr>
                            <w:tcW w:w="2912" w:type="dxa"/>
                            <w:tcBorders>
                              <w:right w:val="single" w:sz="8" w:space="0" w:color="D9D9D9"/>
                            </w:tcBorders>
                            <w:shd w:val="clear" w:color="auto" w:fill="92D050"/>
                          </w:tcPr>
                          <w:p w14:paraId="10D4D6BB" w14:textId="77777777" w:rsidR="008715BE" w:rsidRDefault="00000000">
                            <w:pPr>
                              <w:pStyle w:val="TableParagraph"/>
                              <w:spacing w:before="85"/>
                              <w:ind w:left="26"/>
                              <w:rPr>
                                <w:b/>
                                <w:sz w:val="16"/>
                              </w:rPr>
                            </w:pPr>
                            <w:r>
                              <w:rPr>
                                <w:b/>
                                <w:spacing w:val="-2"/>
                                <w:w w:val="135"/>
                                <w:sz w:val="10"/>
                              </w:rPr>
                              <w:t xml:space="preserve">low </w:t>
                            </w:r>
                            <w:r>
                              <w:rPr>
                                <w:b/>
                                <w:w w:val="135"/>
                                <w:sz w:val="10"/>
                              </w:rPr>
                              <w:t>vulnerability</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503E8A4A" w14:textId="77777777" w:rsidR="008715BE" w:rsidRDefault="00000000">
                            <w:pPr>
                              <w:pStyle w:val="TableParagraph"/>
                              <w:spacing w:before="85"/>
                              <w:ind w:left="16"/>
                              <w:rPr>
                                <w:b/>
                                <w:sz w:val="16"/>
                              </w:rPr>
                            </w:pPr>
                            <w:r>
                              <w:rPr>
                                <w:b/>
                                <w:color w:val="FFFFFF"/>
                                <w:spacing w:val="-10"/>
                                <w:w w:val="145"/>
                                <w:sz w:val="10"/>
                              </w:rPr>
                              <w:t>1</w:t>
                            </w:r>
                          </w:p>
                        </w:tc>
                      </w:tr>
                      <w:tr w:rsidR="008715BE" w14:paraId="45530B68" w14:textId="77777777">
                        <w:trPr>
                          <w:trHeight w:val="316"/>
                        </w:trPr>
                        <w:tc>
                          <w:tcPr>
                            <w:tcW w:w="2912" w:type="dxa"/>
                            <w:shd w:val="clear" w:color="auto" w:fill="F1F1F1"/>
                          </w:tcPr>
                          <w:p w14:paraId="26B00FC4" w14:textId="77777777" w:rsidR="008715BE" w:rsidRDefault="00000000">
                            <w:pPr>
                              <w:pStyle w:val="TableParagraph"/>
                              <w:spacing w:before="77"/>
                              <w:ind w:left="26"/>
                              <w:rPr>
                                <w:b/>
                                <w:sz w:val="16"/>
                              </w:rPr>
                            </w:pPr>
                            <w:r>
                              <w:rPr>
                                <w:b/>
                                <w:w w:val="135"/>
                                <w:sz w:val="10"/>
                              </w:rPr>
                              <w:t xml:space="preserve">no </w:t>
                            </w:r>
                            <w:r>
                              <w:rPr>
                                <w:b/>
                                <w:spacing w:val="-2"/>
                                <w:w w:val="135"/>
                                <w:sz w:val="10"/>
                              </w:rPr>
                              <w:t>vulnerability</w:t>
                            </w:r>
                          </w:p>
                        </w:tc>
                        <w:tc>
                          <w:tcPr>
                            <w:tcW w:w="492" w:type="dxa"/>
                            <w:tcBorders>
                              <w:top w:val="single" w:sz="8" w:space="0" w:color="D9D9D9"/>
                            </w:tcBorders>
                            <w:shd w:val="clear" w:color="auto" w:fill="00AFEF"/>
                          </w:tcPr>
                          <w:p w14:paraId="4B598BBF" w14:textId="77777777" w:rsidR="008715BE" w:rsidRDefault="00000000">
                            <w:pPr>
                              <w:pStyle w:val="TableParagraph"/>
                              <w:spacing w:before="77"/>
                              <w:ind w:left="26"/>
                              <w:rPr>
                                <w:b/>
                                <w:sz w:val="16"/>
                              </w:rPr>
                            </w:pPr>
                            <w:r>
                              <w:rPr>
                                <w:b/>
                                <w:color w:val="FFFFFF"/>
                                <w:spacing w:val="-10"/>
                                <w:w w:val="140"/>
                                <w:sz w:val="10"/>
                              </w:rPr>
                              <w:t>0</w:t>
                            </w:r>
                          </w:p>
                        </w:tc>
                      </w:tr>
                    </w:tbl>
                    <w:p w14:paraId="1DE979A3" w14:textId="77777777" w:rsidR="008715BE" w:rsidRDefault="008715BE">
                      <w:pPr>
                        <w:pStyle w:val="BodyText"/>
                      </w:pPr>
                    </w:p>
                  </w:txbxContent>
                </v:textbox>
                <w10:wrap type="topAndBottom" anchorx="page"/>
              </v:shape>
            </w:pict>
          </mc:Fallback>
        </mc:AlternateContent>
      </w:r>
      <w:r w:rsidRPr="00EC75B7">
        <w:rPr>
          <w:rFonts w:ascii="Verdana" w:hAnsi="Verdana"/>
          <w:b/>
          <w:noProof/>
        </w:rPr>
        <mc:AlternateContent>
          <mc:Choice Requires="wps">
            <w:drawing>
              <wp:anchor distT="0" distB="0" distL="0" distR="0" simplePos="0" relativeHeight="251728896" behindDoc="1" locked="0" layoutInCell="1" allowOverlap="1" wp14:anchorId="564A9FEC" wp14:editId="07E5F94E">
                <wp:simplePos x="0" y="0"/>
                <wp:positionH relativeFrom="page">
                  <wp:posOffset>3092830</wp:posOffset>
                </wp:positionH>
                <wp:positionV relativeFrom="paragraph">
                  <wp:posOffset>269620</wp:posOffset>
                </wp:positionV>
                <wp:extent cx="3806190" cy="1223010"/>
                <wp:effectExtent l="0" t="0" r="0" b="0"/>
                <wp:wrapTopAndBottom/>
                <wp:docPr id="540" name="Textbox 540"/>
                <wp:cNvGraphicFramePr/>
                <a:graphic xmlns:a="http://schemas.openxmlformats.org/drawingml/2006/main">
                  <a:graphicData uri="http://schemas.microsoft.com/office/word/2010/wordprocessingShape">
                    <wps:wsp>
                      <wps:cNvSpPr txBox="1"/>
                      <wps:spPr>
                        <a:xfrm>
                          <a:off x="0" y="0"/>
                          <a:ext cx="3806190" cy="1223010"/>
                        </a:xfrm>
                        <a:prstGeom prst="rect">
                          <a:avLst/>
                        </a:prstGeom>
                      </wps:spPr>
                      <wps:txbx>
                        <w:txbxContent>
                          <w:tbl>
                            <w:tblPr>
                              <w:tblStyle w:val="TableNormal1"/>
                              <w:tblW w:w="0" w:type="auto"/>
                              <w:tblInd w:w="7" w:type="dxa"/>
                              <w:tblLayout w:type="fixed"/>
                              <w:tblLook w:val="01E0" w:firstRow="1" w:lastRow="1" w:firstColumn="1" w:lastColumn="1" w:noHBand="0" w:noVBand="0"/>
                            </w:tblPr>
                            <w:tblGrid>
                              <w:gridCol w:w="463"/>
                              <w:gridCol w:w="309"/>
                              <w:gridCol w:w="1305"/>
                              <w:gridCol w:w="1305"/>
                              <w:gridCol w:w="1303"/>
                              <w:gridCol w:w="1305"/>
                            </w:tblGrid>
                            <w:tr w:rsidR="008715BE" w14:paraId="5007AA83" w14:textId="77777777">
                              <w:trPr>
                                <w:trHeight w:val="299"/>
                              </w:trPr>
                              <w:tc>
                                <w:tcPr>
                                  <w:tcW w:w="5990" w:type="dxa"/>
                                  <w:gridSpan w:val="6"/>
                                  <w:shd w:val="clear" w:color="auto" w:fill="808080"/>
                                </w:tcPr>
                                <w:p w14:paraId="1ED798A5" w14:textId="77777777" w:rsidR="008715BE" w:rsidRDefault="00000000">
                                  <w:pPr>
                                    <w:pStyle w:val="TableParagraph"/>
                                    <w:spacing w:before="68"/>
                                    <w:ind w:left="777"/>
                                    <w:jc w:val="center"/>
                                    <w:rPr>
                                      <w:b/>
                                      <w:sz w:val="16"/>
                                    </w:rPr>
                                  </w:pPr>
                                  <w:r>
                                    <w:rPr>
                                      <w:b/>
                                      <w:color w:val="FFFFFF"/>
                                      <w:spacing w:val="-2"/>
                                      <w:w w:val="135"/>
                                      <w:sz w:val="10"/>
                                    </w:rPr>
                                    <w:t>Exposure</w:t>
                                  </w:r>
                                </w:p>
                              </w:tc>
                            </w:tr>
                            <w:tr w:rsidR="008715BE" w14:paraId="0F46B2F5" w14:textId="77777777">
                              <w:trPr>
                                <w:trHeight w:val="359"/>
                              </w:trPr>
                              <w:tc>
                                <w:tcPr>
                                  <w:tcW w:w="463" w:type="dxa"/>
                                  <w:vMerge w:val="restart"/>
                                  <w:tcBorders>
                                    <w:top w:val="single" w:sz="6" w:space="0" w:color="808080"/>
                                  </w:tcBorders>
                                  <w:shd w:val="clear" w:color="auto" w:fill="808080"/>
                                  <w:textDirection w:val="btLr"/>
                                </w:tcPr>
                                <w:p w14:paraId="512542C0" w14:textId="77777777" w:rsidR="008715BE" w:rsidRDefault="00000000">
                                  <w:pPr>
                                    <w:pStyle w:val="TableParagraph"/>
                                    <w:spacing w:before="143"/>
                                    <w:ind w:left="304"/>
                                    <w:rPr>
                                      <w:b/>
                                      <w:sz w:val="16"/>
                                    </w:rPr>
                                  </w:pPr>
                                  <w:bookmarkStart w:id="124" w:name="_bookmark125"/>
                                  <w:bookmarkEnd w:id="124"/>
                                  <w:r>
                                    <w:rPr>
                                      <w:b/>
                                      <w:color w:val="FFFFFF"/>
                                      <w:spacing w:val="-2"/>
                                      <w:w w:val="135"/>
                                      <w:sz w:val="10"/>
                                    </w:rPr>
                                    <w:t>Sensitivity</w:t>
                                  </w:r>
                                </w:p>
                              </w:tc>
                              <w:tc>
                                <w:tcPr>
                                  <w:tcW w:w="309" w:type="dxa"/>
                                  <w:tcBorders>
                                    <w:top w:val="single" w:sz="6" w:space="0" w:color="808080"/>
                                  </w:tcBorders>
                                  <w:shd w:val="clear" w:color="auto" w:fill="808080"/>
                                </w:tcPr>
                                <w:p w14:paraId="1D7E8D74" w14:textId="77777777" w:rsidR="008715BE" w:rsidRDefault="008715BE">
                                  <w:pPr>
                                    <w:pStyle w:val="TableParagraph"/>
                                    <w:rPr>
                                      <w:rFonts w:ascii="Times New Roman"/>
                                      <w:sz w:val="16"/>
                                    </w:rPr>
                                  </w:pPr>
                                </w:p>
                              </w:tc>
                              <w:tc>
                                <w:tcPr>
                                  <w:tcW w:w="1305" w:type="dxa"/>
                                  <w:tcBorders>
                                    <w:bottom w:val="single" w:sz="6" w:space="0" w:color="D9D9D9"/>
                                  </w:tcBorders>
                                  <w:shd w:val="clear" w:color="auto" w:fill="00AFEF"/>
                                </w:tcPr>
                                <w:p w14:paraId="1B055C7B" w14:textId="77777777" w:rsidR="008715BE" w:rsidRDefault="00000000">
                                  <w:pPr>
                                    <w:pStyle w:val="TableParagraph"/>
                                    <w:spacing w:before="94"/>
                                    <w:ind w:left="10" w:right="9"/>
                                    <w:jc w:val="center"/>
                                    <w:rPr>
                                      <w:b/>
                                      <w:sz w:val="16"/>
                                    </w:rPr>
                                  </w:pPr>
                                  <w:r>
                                    <w:rPr>
                                      <w:b/>
                                      <w:color w:val="FFFFFF"/>
                                      <w:spacing w:val="-10"/>
                                      <w:w w:val="140"/>
                                      <w:sz w:val="10"/>
                                    </w:rPr>
                                    <w:t>0</w:t>
                                  </w:r>
                                </w:p>
                              </w:tc>
                              <w:tc>
                                <w:tcPr>
                                  <w:tcW w:w="1305" w:type="dxa"/>
                                  <w:tcBorders>
                                    <w:bottom w:val="single" w:sz="6" w:space="0" w:color="D9D9D9"/>
                                  </w:tcBorders>
                                  <w:shd w:val="clear" w:color="auto" w:fill="00AFEF"/>
                                </w:tcPr>
                                <w:p w14:paraId="37B99D25" w14:textId="77777777" w:rsidR="008715BE" w:rsidRDefault="00000000">
                                  <w:pPr>
                                    <w:pStyle w:val="TableParagraph"/>
                                    <w:spacing w:before="94"/>
                                    <w:ind w:left="10" w:right="7"/>
                                    <w:jc w:val="center"/>
                                    <w:rPr>
                                      <w:b/>
                                      <w:sz w:val="16"/>
                                    </w:rPr>
                                  </w:pPr>
                                  <w:r>
                                    <w:rPr>
                                      <w:b/>
                                      <w:color w:val="FFFFFF"/>
                                      <w:spacing w:val="-10"/>
                                      <w:w w:val="140"/>
                                      <w:sz w:val="10"/>
                                    </w:rPr>
                                    <w:t>1</w:t>
                                  </w:r>
                                </w:p>
                              </w:tc>
                              <w:tc>
                                <w:tcPr>
                                  <w:tcW w:w="1303" w:type="dxa"/>
                                  <w:tcBorders>
                                    <w:bottom w:val="single" w:sz="6" w:space="0" w:color="D9D9D9"/>
                                  </w:tcBorders>
                                  <w:shd w:val="clear" w:color="auto" w:fill="00AFEF"/>
                                </w:tcPr>
                                <w:p w14:paraId="66CE72B3" w14:textId="77777777" w:rsidR="008715BE" w:rsidRDefault="00000000">
                                  <w:pPr>
                                    <w:pStyle w:val="TableParagraph"/>
                                    <w:spacing w:before="94"/>
                                    <w:ind w:left="6"/>
                                    <w:jc w:val="center"/>
                                    <w:rPr>
                                      <w:b/>
                                      <w:sz w:val="16"/>
                                    </w:rPr>
                                  </w:pPr>
                                  <w:r>
                                    <w:rPr>
                                      <w:b/>
                                      <w:color w:val="FFFFFF"/>
                                      <w:spacing w:val="-10"/>
                                      <w:w w:val="140"/>
                                      <w:sz w:val="10"/>
                                    </w:rPr>
                                    <w:t>2</w:t>
                                  </w:r>
                                </w:p>
                              </w:tc>
                              <w:tc>
                                <w:tcPr>
                                  <w:tcW w:w="1305" w:type="dxa"/>
                                  <w:tcBorders>
                                    <w:bottom w:val="single" w:sz="6" w:space="0" w:color="D9D9D9"/>
                                  </w:tcBorders>
                                  <w:shd w:val="clear" w:color="auto" w:fill="00AFEF"/>
                                </w:tcPr>
                                <w:p w14:paraId="19132A33" w14:textId="77777777" w:rsidR="008715BE" w:rsidRDefault="00000000">
                                  <w:pPr>
                                    <w:pStyle w:val="TableParagraph"/>
                                    <w:spacing w:before="94"/>
                                    <w:ind w:left="10"/>
                                    <w:jc w:val="center"/>
                                    <w:rPr>
                                      <w:b/>
                                      <w:sz w:val="16"/>
                                    </w:rPr>
                                  </w:pPr>
                                  <w:r>
                                    <w:rPr>
                                      <w:b/>
                                      <w:color w:val="FFFFFF"/>
                                      <w:spacing w:val="-10"/>
                                      <w:w w:val="140"/>
                                      <w:sz w:val="10"/>
                                    </w:rPr>
                                    <w:t>3</w:t>
                                  </w:r>
                                </w:p>
                              </w:tc>
                            </w:tr>
                            <w:tr w:rsidR="008715BE" w14:paraId="3127EDD4" w14:textId="77777777">
                              <w:trPr>
                                <w:trHeight w:val="306"/>
                              </w:trPr>
                              <w:tc>
                                <w:tcPr>
                                  <w:tcW w:w="463" w:type="dxa"/>
                                  <w:vMerge/>
                                  <w:tcBorders>
                                    <w:top w:val="nil"/>
                                  </w:tcBorders>
                                  <w:shd w:val="clear" w:color="auto" w:fill="808080"/>
                                  <w:textDirection w:val="btLr"/>
                                </w:tcPr>
                                <w:p w14:paraId="264C1EF9" w14:textId="77777777" w:rsidR="008715BE" w:rsidRDefault="008715BE">
                                  <w:pPr>
                                    <w:rPr>
                                      <w:sz w:val="2"/>
                                      <w:szCs w:val="2"/>
                                    </w:rPr>
                                  </w:pPr>
                                </w:p>
                              </w:tc>
                              <w:tc>
                                <w:tcPr>
                                  <w:tcW w:w="309" w:type="dxa"/>
                                  <w:tcBorders>
                                    <w:bottom w:val="single" w:sz="6" w:space="0" w:color="00AFEF"/>
                                  </w:tcBorders>
                                  <w:shd w:val="clear" w:color="auto" w:fill="00AFEF"/>
                                </w:tcPr>
                                <w:p w14:paraId="514CF240" w14:textId="77777777" w:rsidR="008715BE" w:rsidRDefault="00000000">
                                  <w:pPr>
                                    <w:pStyle w:val="TableParagraph"/>
                                    <w:spacing w:before="68"/>
                                    <w:ind w:left="2"/>
                                    <w:jc w:val="center"/>
                                    <w:rPr>
                                      <w:b/>
                                      <w:sz w:val="16"/>
                                    </w:rPr>
                                  </w:pPr>
                                  <w:r>
                                    <w:rPr>
                                      <w:b/>
                                      <w:color w:val="FFFFFF"/>
                                      <w:spacing w:val="-10"/>
                                      <w:w w:val="140"/>
                                      <w:sz w:val="10"/>
                                    </w:rPr>
                                    <w:t>0</w:t>
                                  </w:r>
                                </w:p>
                              </w:tc>
                              <w:tc>
                                <w:tcPr>
                                  <w:tcW w:w="1305" w:type="dxa"/>
                                  <w:shd w:val="clear" w:color="auto" w:fill="D9D9D9"/>
                                </w:tcPr>
                                <w:p w14:paraId="0FF65925" w14:textId="77777777" w:rsidR="008715BE" w:rsidRDefault="00000000">
                                  <w:pPr>
                                    <w:pStyle w:val="TableParagraph"/>
                                    <w:spacing w:before="68"/>
                                    <w:ind w:left="10" w:right="9"/>
                                    <w:jc w:val="center"/>
                                    <w:rPr>
                                      <w:b/>
                                      <w:sz w:val="16"/>
                                    </w:rPr>
                                  </w:pPr>
                                  <w:r>
                                    <w:rPr>
                                      <w:b/>
                                      <w:spacing w:val="-10"/>
                                      <w:w w:val="140"/>
                                      <w:sz w:val="10"/>
                                    </w:rPr>
                                    <w:t>0</w:t>
                                  </w:r>
                                </w:p>
                              </w:tc>
                              <w:tc>
                                <w:tcPr>
                                  <w:tcW w:w="1305" w:type="dxa"/>
                                  <w:shd w:val="clear" w:color="auto" w:fill="D9D9D9"/>
                                </w:tcPr>
                                <w:p w14:paraId="78C69663" w14:textId="77777777" w:rsidR="008715BE" w:rsidRDefault="00000000">
                                  <w:pPr>
                                    <w:pStyle w:val="TableParagraph"/>
                                    <w:spacing w:before="68"/>
                                    <w:ind w:left="10" w:right="7"/>
                                    <w:jc w:val="center"/>
                                    <w:rPr>
                                      <w:b/>
                                      <w:sz w:val="16"/>
                                    </w:rPr>
                                  </w:pPr>
                                  <w:r>
                                    <w:rPr>
                                      <w:b/>
                                      <w:spacing w:val="-10"/>
                                      <w:w w:val="140"/>
                                      <w:sz w:val="10"/>
                                    </w:rPr>
                                    <w:t>0</w:t>
                                  </w:r>
                                </w:p>
                              </w:tc>
                              <w:tc>
                                <w:tcPr>
                                  <w:tcW w:w="1303" w:type="dxa"/>
                                  <w:shd w:val="clear" w:color="auto" w:fill="D9D9D9"/>
                                </w:tcPr>
                                <w:p w14:paraId="75844BC6" w14:textId="77777777" w:rsidR="008715BE" w:rsidRDefault="00000000">
                                  <w:pPr>
                                    <w:pStyle w:val="TableParagraph"/>
                                    <w:spacing w:before="68"/>
                                    <w:ind w:left="6"/>
                                    <w:jc w:val="center"/>
                                    <w:rPr>
                                      <w:b/>
                                      <w:sz w:val="16"/>
                                    </w:rPr>
                                  </w:pPr>
                                  <w:r>
                                    <w:rPr>
                                      <w:b/>
                                      <w:spacing w:val="-10"/>
                                      <w:w w:val="140"/>
                                      <w:sz w:val="10"/>
                                    </w:rPr>
                                    <w:t>0</w:t>
                                  </w:r>
                                </w:p>
                              </w:tc>
                              <w:tc>
                                <w:tcPr>
                                  <w:tcW w:w="1305" w:type="dxa"/>
                                  <w:shd w:val="clear" w:color="auto" w:fill="D9D9D9"/>
                                </w:tcPr>
                                <w:p w14:paraId="6F5BD5DA" w14:textId="77777777" w:rsidR="008715BE" w:rsidRDefault="00000000">
                                  <w:pPr>
                                    <w:pStyle w:val="TableParagraph"/>
                                    <w:spacing w:before="68"/>
                                    <w:ind w:left="10"/>
                                    <w:jc w:val="center"/>
                                    <w:rPr>
                                      <w:b/>
                                      <w:sz w:val="16"/>
                                    </w:rPr>
                                  </w:pPr>
                                  <w:r>
                                    <w:rPr>
                                      <w:b/>
                                      <w:spacing w:val="-10"/>
                                      <w:w w:val="140"/>
                                      <w:sz w:val="10"/>
                                    </w:rPr>
                                    <w:t>0</w:t>
                                  </w:r>
                                </w:p>
                              </w:tc>
                            </w:tr>
                            <w:tr w:rsidR="008715BE" w14:paraId="24722382" w14:textId="77777777">
                              <w:trPr>
                                <w:trHeight w:val="299"/>
                              </w:trPr>
                              <w:tc>
                                <w:tcPr>
                                  <w:tcW w:w="463" w:type="dxa"/>
                                  <w:vMerge/>
                                  <w:tcBorders>
                                    <w:top w:val="nil"/>
                                  </w:tcBorders>
                                  <w:shd w:val="clear" w:color="auto" w:fill="808080"/>
                                  <w:textDirection w:val="btLr"/>
                                </w:tcPr>
                                <w:p w14:paraId="63DBAB91" w14:textId="77777777" w:rsidR="008715BE" w:rsidRDefault="008715BE">
                                  <w:pPr>
                                    <w:rPr>
                                      <w:sz w:val="2"/>
                                      <w:szCs w:val="2"/>
                                    </w:rPr>
                                  </w:pPr>
                                </w:p>
                              </w:tc>
                              <w:tc>
                                <w:tcPr>
                                  <w:tcW w:w="309" w:type="dxa"/>
                                  <w:tcBorders>
                                    <w:top w:val="single" w:sz="6" w:space="0" w:color="00AFEF"/>
                                    <w:bottom w:val="single" w:sz="6" w:space="0" w:color="00AFEF"/>
                                  </w:tcBorders>
                                  <w:shd w:val="clear" w:color="auto" w:fill="00AFEF"/>
                                </w:tcPr>
                                <w:p w14:paraId="7D51B370" w14:textId="77777777" w:rsidR="008715BE" w:rsidRDefault="00000000">
                                  <w:pPr>
                                    <w:pStyle w:val="TableParagraph"/>
                                    <w:spacing w:before="61"/>
                                    <w:ind w:left="2"/>
                                    <w:jc w:val="center"/>
                                    <w:rPr>
                                      <w:b/>
                                      <w:sz w:val="16"/>
                                    </w:rPr>
                                  </w:pPr>
                                  <w:r>
                                    <w:rPr>
                                      <w:b/>
                                      <w:color w:val="FFFFFF"/>
                                      <w:spacing w:val="-10"/>
                                      <w:w w:val="140"/>
                                      <w:sz w:val="10"/>
                                    </w:rPr>
                                    <w:t>1</w:t>
                                  </w:r>
                                </w:p>
                              </w:tc>
                              <w:tc>
                                <w:tcPr>
                                  <w:tcW w:w="1305" w:type="dxa"/>
                                  <w:tcBorders>
                                    <w:bottom w:val="single" w:sz="6" w:space="0" w:color="D9D9D9"/>
                                  </w:tcBorders>
                                  <w:shd w:val="clear" w:color="auto" w:fill="D9D9D9"/>
                                </w:tcPr>
                                <w:p w14:paraId="425DC0C1" w14:textId="77777777" w:rsidR="008715BE" w:rsidRDefault="00000000">
                                  <w:pPr>
                                    <w:pStyle w:val="TableParagraph"/>
                                    <w:spacing w:before="61"/>
                                    <w:ind w:left="10" w:right="9"/>
                                    <w:jc w:val="center"/>
                                    <w:rPr>
                                      <w:b/>
                                      <w:sz w:val="16"/>
                                    </w:rPr>
                                  </w:pPr>
                                  <w:r>
                                    <w:rPr>
                                      <w:b/>
                                      <w:spacing w:val="-10"/>
                                      <w:w w:val="140"/>
                                      <w:sz w:val="10"/>
                                    </w:rPr>
                                    <w:t>0</w:t>
                                  </w:r>
                                </w:p>
                              </w:tc>
                              <w:tc>
                                <w:tcPr>
                                  <w:tcW w:w="1305" w:type="dxa"/>
                                  <w:shd w:val="clear" w:color="auto" w:fill="92D050"/>
                                </w:tcPr>
                                <w:p w14:paraId="21B889B3" w14:textId="77777777" w:rsidR="008715BE" w:rsidRDefault="00000000">
                                  <w:pPr>
                                    <w:pStyle w:val="TableParagraph"/>
                                    <w:spacing w:before="61"/>
                                    <w:ind w:left="10" w:right="7"/>
                                    <w:jc w:val="center"/>
                                    <w:rPr>
                                      <w:b/>
                                      <w:sz w:val="16"/>
                                    </w:rPr>
                                  </w:pPr>
                                  <w:r>
                                    <w:rPr>
                                      <w:b/>
                                      <w:spacing w:val="-10"/>
                                      <w:w w:val="140"/>
                                      <w:sz w:val="10"/>
                                    </w:rPr>
                                    <w:t>1</w:t>
                                  </w:r>
                                </w:p>
                              </w:tc>
                              <w:tc>
                                <w:tcPr>
                                  <w:tcW w:w="1303" w:type="dxa"/>
                                  <w:shd w:val="clear" w:color="auto" w:fill="92D050"/>
                                </w:tcPr>
                                <w:p w14:paraId="3F876CD9" w14:textId="77777777" w:rsidR="008715BE" w:rsidRDefault="00000000">
                                  <w:pPr>
                                    <w:pStyle w:val="TableParagraph"/>
                                    <w:spacing w:before="61"/>
                                    <w:ind w:left="6"/>
                                    <w:jc w:val="center"/>
                                    <w:rPr>
                                      <w:b/>
                                      <w:sz w:val="16"/>
                                    </w:rPr>
                                  </w:pPr>
                                  <w:r>
                                    <w:rPr>
                                      <w:b/>
                                      <w:spacing w:val="-10"/>
                                      <w:w w:val="140"/>
                                      <w:sz w:val="10"/>
                                    </w:rPr>
                                    <w:t>2</w:t>
                                  </w:r>
                                </w:p>
                              </w:tc>
                              <w:tc>
                                <w:tcPr>
                                  <w:tcW w:w="1305" w:type="dxa"/>
                                  <w:shd w:val="clear" w:color="auto" w:fill="FFD243"/>
                                </w:tcPr>
                                <w:p w14:paraId="49678BFC" w14:textId="77777777" w:rsidR="008715BE" w:rsidRDefault="00000000">
                                  <w:pPr>
                                    <w:pStyle w:val="TableParagraph"/>
                                    <w:spacing w:before="61"/>
                                    <w:ind w:left="10"/>
                                    <w:jc w:val="center"/>
                                    <w:rPr>
                                      <w:b/>
                                      <w:sz w:val="16"/>
                                    </w:rPr>
                                  </w:pPr>
                                  <w:r>
                                    <w:rPr>
                                      <w:b/>
                                      <w:spacing w:val="-10"/>
                                      <w:w w:val="140"/>
                                      <w:sz w:val="10"/>
                                    </w:rPr>
                                    <w:t>3</w:t>
                                  </w:r>
                                </w:p>
                              </w:tc>
                            </w:tr>
                            <w:tr w:rsidR="008715BE" w14:paraId="51ED0E01" w14:textId="77777777">
                              <w:trPr>
                                <w:trHeight w:val="299"/>
                              </w:trPr>
                              <w:tc>
                                <w:tcPr>
                                  <w:tcW w:w="463" w:type="dxa"/>
                                  <w:vMerge/>
                                  <w:tcBorders>
                                    <w:top w:val="nil"/>
                                  </w:tcBorders>
                                  <w:shd w:val="clear" w:color="auto" w:fill="808080"/>
                                  <w:textDirection w:val="btLr"/>
                                </w:tcPr>
                                <w:p w14:paraId="49C8E75A" w14:textId="77777777" w:rsidR="008715BE" w:rsidRDefault="008715BE">
                                  <w:pPr>
                                    <w:rPr>
                                      <w:sz w:val="2"/>
                                      <w:szCs w:val="2"/>
                                    </w:rPr>
                                  </w:pPr>
                                </w:p>
                              </w:tc>
                              <w:tc>
                                <w:tcPr>
                                  <w:tcW w:w="309" w:type="dxa"/>
                                  <w:tcBorders>
                                    <w:top w:val="single" w:sz="6" w:space="0" w:color="00AFEF"/>
                                    <w:bottom w:val="single" w:sz="6" w:space="0" w:color="00AFEF"/>
                                  </w:tcBorders>
                                  <w:shd w:val="clear" w:color="auto" w:fill="00AFEF"/>
                                </w:tcPr>
                                <w:p w14:paraId="3B603938" w14:textId="77777777" w:rsidR="008715BE" w:rsidRDefault="00000000">
                                  <w:pPr>
                                    <w:pStyle w:val="TableParagraph"/>
                                    <w:spacing w:before="61"/>
                                    <w:ind w:left="2"/>
                                    <w:jc w:val="center"/>
                                    <w:rPr>
                                      <w:b/>
                                      <w:sz w:val="16"/>
                                    </w:rPr>
                                  </w:pPr>
                                  <w:r>
                                    <w:rPr>
                                      <w:b/>
                                      <w:color w:val="FFFFFF"/>
                                      <w:spacing w:val="-10"/>
                                      <w:w w:val="140"/>
                                      <w:sz w:val="10"/>
                                    </w:rPr>
                                    <w:t>2</w:t>
                                  </w:r>
                                </w:p>
                              </w:tc>
                              <w:tc>
                                <w:tcPr>
                                  <w:tcW w:w="1305" w:type="dxa"/>
                                  <w:tcBorders>
                                    <w:top w:val="single" w:sz="6" w:space="0" w:color="D9D9D9"/>
                                    <w:bottom w:val="single" w:sz="6" w:space="0" w:color="D9D9D9"/>
                                  </w:tcBorders>
                                  <w:shd w:val="clear" w:color="auto" w:fill="D9D9D9"/>
                                </w:tcPr>
                                <w:p w14:paraId="757FE4CB" w14:textId="77777777" w:rsidR="008715BE" w:rsidRDefault="00000000">
                                  <w:pPr>
                                    <w:pStyle w:val="TableParagraph"/>
                                    <w:spacing w:before="61"/>
                                    <w:ind w:left="10" w:right="9"/>
                                    <w:jc w:val="center"/>
                                    <w:rPr>
                                      <w:b/>
                                      <w:sz w:val="16"/>
                                    </w:rPr>
                                  </w:pPr>
                                  <w:r>
                                    <w:rPr>
                                      <w:b/>
                                      <w:spacing w:val="-10"/>
                                      <w:w w:val="140"/>
                                      <w:sz w:val="10"/>
                                    </w:rPr>
                                    <w:t>0</w:t>
                                  </w:r>
                                </w:p>
                              </w:tc>
                              <w:tc>
                                <w:tcPr>
                                  <w:tcW w:w="1305" w:type="dxa"/>
                                  <w:shd w:val="clear" w:color="auto" w:fill="92D050"/>
                                </w:tcPr>
                                <w:p w14:paraId="46793C94" w14:textId="77777777" w:rsidR="008715BE" w:rsidRDefault="00000000">
                                  <w:pPr>
                                    <w:pStyle w:val="TableParagraph"/>
                                    <w:spacing w:before="61"/>
                                    <w:ind w:left="10" w:right="7"/>
                                    <w:jc w:val="center"/>
                                    <w:rPr>
                                      <w:b/>
                                      <w:sz w:val="16"/>
                                    </w:rPr>
                                  </w:pPr>
                                  <w:r>
                                    <w:rPr>
                                      <w:b/>
                                      <w:spacing w:val="-10"/>
                                      <w:w w:val="140"/>
                                      <w:sz w:val="10"/>
                                    </w:rPr>
                                    <w:t>2</w:t>
                                  </w:r>
                                </w:p>
                              </w:tc>
                              <w:tc>
                                <w:tcPr>
                                  <w:tcW w:w="1303" w:type="dxa"/>
                                  <w:tcBorders>
                                    <w:bottom w:val="single" w:sz="6" w:space="0" w:color="FF8F92"/>
                                  </w:tcBorders>
                                  <w:shd w:val="clear" w:color="auto" w:fill="FFD243"/>
                                </w:tcPr>
                                <w:p w14:paraId="3415C4EB" w14:textId="77777777" w:rsidR="008715BE" w:rsidRDefault="00000000">
                                  <w:pPr>
                                    <w:pStyle w:val="TableParagraph"/>
                                    <w:spacing w:before="61"/>
                                    <w:ind w:left="6"/>
                                    <w:jc w:val="center"/>
                                    <w:rPr>
                                      <w:b/>
                                      <w:sz w:val="16"/>
                                    </w:rPr>
                                  </w:pPr>
                                  <w:r>
                                    <w:rPr>
                                      <w:b/>
                                      <w:spacing w:val="-10"/>
                                      <w:w w:val="140"/>
                                      <w:sz w:val="10"/>
                                    </w:rPr>
                                    <w:t>4</w:t>
                                  </w:r>
                                </w:p>
                              </w:tc>
                              <w:tc>
                                <w:tcPr>
                                  <w:tcW w:w="1305" w:type="dxa"/>
                                  <w:tcBorders>
                                    <w:bottom w:val="single" w:sz="6" w:space="0" w:color="FF8F92"/>
                                  </w:tcBorders>
                                  <w:shd w:val="clear" w:color="auto" w:fill="FF8F92"/>
                                </w:tcPr>
                                <w:p w14:paraId="42304C54" w14:textId="77777777" w:rsidR="008715BE" w:rsidRDefault="00000000">
                                  <w:pPr>
                                    <w:pStyle w:val="TableParagraph"/>
                                    <w:spacing w:before="61"/>
                                    <w:ind w:left="10"/>
                                    <w:jc w:val="center"/>
                                    <w:rPr>
                                      <w:b/>
                                      <w:sz w:val="16"/>
                                    </w:rPr>
                                  </w:pPr>
                                  <w:r>
                                    <w:rPr>
                                      <w:b/>
                                      <w:spacing w:val="-10"/>
                                      <w:w w:val="140"/>
                                      <w:sz w:val="10"/>
                                    </w:rPr>
                                    <w:t>6</w:t>
                                  </w:r>
                                </w:p>
                              </w:tc>
                            </w:tr>
                            <w:tr w:rsidR="008715BE" w14:paraId="6D0B222D" w14:textId="77777777">
                              <w:trPr>
                                <w:trHeight w:val="285"/>
                              </w:trPr>
                              <w:tc>
                                <w:tcPr>
                                  <w:tcW w:w="463" w:type="dxa"/>
                                  <w:vMerge/>
                                  <w:tcBorders>
                                    <w:top w:val="nil"/>
                                  </w:tcBorders>
                                  <w:shd w:val="clear" w:color="auto" w:fill="808080"/>
                                  <w:textDirection w:val="btLr"/>
                                </w:tcPr>
                                <w:p w14:paraId="0E3F0DE3" w14:textId="77777777" w:rsidR="008715BE" w:rsidRDefault="008715BE">
                                  <w:pPr>
                                    <w:rPr>
                                      <w:sz w:val="2"/>
                                      <w:szCs w:val="2"/>
                                    </w:rPr>
                                  </w:pPr>
                                </w:p>
                              </w:tc>
                              <w:tc>
                                <w:tcPr>
                                  <w:tcW w:w="309" w:type="dxa"/>
                                  <w:tcBorders>
                                    <w:top w:val="single" w:sz="6" w:space="0" w:color="00AFEF"/>
                                  </w:tcBorders>
                                  <w:shd w:val="clear" w:color="auto" w:fill="00AFEF"/>
                                </w:tcPr>
                                <w:p w14:paraId="240488EB" w14:textId="77777777" w:rsidR="008715BE" w:rsidRDefault="00000000">
                                  <w:pPr>
                                    <w:pStyle w:val="TableParagraph"/>
                                    <w:spacing w:before="53"/>
                                    <w:ind w:left="2"/>
                                    <w:jc w:val="center"/>
                                    <w:rPr>
                                      <w:b/>
                                      <w:sz w:val="16"/>
                                    </w:rPr>
                                  </w:pPr>
                                  <w:r>
                                    <w:rPr>
                                      <w:b/>
                                      <w:color w:val="FFFFFF"/>
                                      <w:spacing w:val="-10"/>
                                      <w:w w:val="140"/>
                                      <w:sz w:val="10"/>
                                    </w:rPr>
                                    <w:t>3</w:t>
                                  </w:r>
                                </w:p>
                              </w:tc>
                              <w:tc>
                                <w:tcPr>
                                  <w:tcW w:w="1305" w:type="dxa"/>
                                  <w:tcBorders>
                                    <w:top w:val="single" w:sz="6" w:space="0" w:color="D9D9D9"/>
                                  </w:tcBorders>
                                  <w:shd w:val="clear" w:color="auto" w:fill="D9D9D9"/>
                                </w:tcPr>
                                <w:p w14:paraId="5D0575D6" w14:textId="77777777" w:rsidR="008715BE" w:rsidRDefault="00000000">
                                  <w:pPr>
                                    <w:pStyle w:val="TableParagraph"/>
                                    <w:spacing w:before="53"/>
                                    <w:ind w:left="10" w:right="9"/>
                                    <w:jc w:val="center"/>
                                    <w:rPr>
                                      <w:b/>
                                      <w:sz w:val="16"/>
                                    </w:rPr>
                                  </w:pPr>
                                  <w:r>
                                    <w:rPr>
                                      <w:b/>
                                      <w:spacing w:val="-10"/>
                                      <w:w w:val="140"/>
                                      <w:sz w:val="10"/>
                                    </w:rPr>
                                    <w:t>0</w:t>
                                  </w:r>
                                </w:p>
                              </w:tc>
                              <w:tc>
                                <w:tcPr>
                                  <w:tcW w:w="1305" w:type="dxa"/>
                                  <w:shd w:val="clear" w:color="auto" w:fill="FFD243"/>
                                </w:tcPr>
                                <w:p w14:paraId="3586841C" w14:textId="77777777" w:rsidR="008715BE" w:rsidRDefault="00000000">
                                  <w:pPr>
                                    <w:pStyle w:val="TableParagraph"/>
                                    <w:spacing w:before="53"/>
                                    <w:ind w:left="10" w:right="7"/>
                                    <w:jc w:val="center"/>
                                    <w:rPr>
                                      <w:b/>
                                      <w:sz w:val="16"/>
                                    </w:rPr>
                                  </w:pPr>
                                  <w:r>
                                    <w:rPr>
                                      <w:b/>
                                      <w:spacing w:val="-10"/>
                                      <w:w w:val="140"/>
                                      <w:sz w:val="10"/>
                                    </w:rPr>
                                    <w:t>3</w:t>
                                  </w:r>
                                </w:p>
                              </w:tc>
                              <w:tc>
                                <w:tcPr>
                                  <w:tcW w:w="1303" w:type="dxa"/>
                                  <w:tcBorders>
                                    <w:top w:val="single" w:sz="6" w:space="0" w:color="FF8F92"/>
                                  </w:tcBorders>
                                  <w:shd w:val="clear" w:color="auto" w:fill="FF8F92"/>
                                </w:tcPr>
                                <w:p w14:paraId="0486F932" w14:textId="77777777" w:rsidR="008715BE" w:rsidRDefault="00000000">
                                  <w:pPr>
                                    <w:pStyle w:val="TableParagraph"/>
                                    <w:spacing w:before="53"/>
                                    <w:ind w:left="6"/>
                                    <w:jc w:val="center"/>
                                    <w:rPr>
                                      <w:b/>
                                      <w:sz w:val="16"/>
                                    </w:rPr>
                                  </w:pPr>
                                  <w:r>
                                    <w:rPr>
                                      <w:b/>
                                      <w:spacing w:val="-10"/>
                                      <w:w w:val="140"/>
                                      <w:sz w:val="10"/>
                                    </w:rPr>
                                    <w:t>6</w:t>
                                  </w:r>
                                </w:p>
                              </w:tc>
                              <w:tc>
                                <w:tcPr>
                                  <w:tcW w:w="1305" w:type="dxa"/>
                                  <w:tcBorders>
                                    <w:top w:val="single" w:sz="6" w:space="0" w:color="FF8F92"/>
                                  </w:tcBorders>
                                  <w:shd w:val="clear" w:color="auto" w:fill="FF8F92"/>
                                </w:tcPr>
                                <w:p w14:paraId="4912B088" w14:textId="77777777" w:rsidR="008715BE" w:rsidRDefault="00000000">
                                  <w:pPr>
                                    <w:pStyle w:val="TableParagraph"/>
                                    <w:spacing w:before="53"/>
                                    <w:ind w:left="10"/>
                                    <w:jc w:val="center"/>
                                    <w:rPr>
                                      <w:b/>
                                      <w:sz w:val="16"/>
                                    </w:rPr>
                                  </w:pPr>
                                  <w:r>
                                    <w:rPr>
                                      <w:b/>
                                      <w:spacing w:val="-10"/>
                                      <w:w w:val="140"/>
                                      <w:sz w:val="10"/>
                                    </w:rPr>
                                    <w:t>9</w:t>
                                  </w:r>
                                </w:p>
                              </w:tc>
                            </w:tr>
                          </w:tbl>
                          <w:p w14:paraId="5F2B1135" w14:textId="77777777" w:rsidR="008715BE" w:rsidRDefault="008715BE">
                            <w:pPr>
                              <w:pStyle w:val="BodyText"/>
                            </w:pPr>
                          </w:p>
                        </w:txbxContent>
                      </wps:txbx>
                      <wps:bodyPr wrap="square" lIns="0" tIns="0" rIns="0" bIns="0" rtlCol="0"/>
                    </wps:wsp>
                  </a:graphicData>
                </a:graphic>
              </wp:anchor>
            </w:drawing>
          </mc:Choice>
          <mc:Fallback>
            <w:pict>
              <v:shape w14:anchorId="564A9FEC" id="Textbox 540" o:spid="_x0000_s1320" type="#_x0000_t202" style="position:absolute;margin-left:243.55pt;margin-top:21.25pt;width:299.7pt;height:96.3pt;z-index:-25158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" filled="f" stroked="f">
                <v:textbox inset="0,0,0,0">
                  <w:txbxContent>
                    <w:tbl>
                      <w:tblPr>
                        <w:tblStyle w:val="TableNormal1"/>
                        <w:tblW w:w="0" w:type="auto"/>
                        <w:tblInd w:w="7" w:type="dxa"/>
                        <w:tblLayout w:type="fixed"/>
                        <w:tblLook w:val="01E0" w:firstRow="1" w:lastRow="1" w:firstColumn="1" w:lastColumn="1" w:noHBand="0" w:noVBand="0"/>
                      </w:tblPr>
                      <w:tblGrid>
                        <w:gridCol w:w="463"/>
                        <w:gridCol w:w="309"/>
                        <w:gridCol w:w="1305"/>
                        <w:gridCol w:w="1305"/>
                        <w:gridCol w:w="1303"/>
                        <w:gridCol w:w="1305"/>
                      </w:tblGrid>
                      <w:tr w:rsidR="008715BE" w14:paraId="5007AA83" w14:textId="77777777">
                        <w:trPr>
                          <w:trHeight w:val="299"/>
                        </w:trPr>
                        <w:tc>
                          <w:tcPr>
                            <w:tcW w:w="5990" w:type="dxa"/>
                            <w:gridSpan w:val="6"/>
                            <w:shd w:val="clear" w:color="auto" w:fill="808080"/>
                          </w:tcPr>
                          <w:p w14:paraId="1ED798A5" w14:textId="77777777" w:rsidR="008715BE" w:rsidRDefault="00000000">
                            <w:pPr>
                              <w:pStyle w:val="TableParagraph"/>
                              <w:spacing w:before="68"/>
                              <w:ind w:left="777"/>
                              <w:jc w:val="center"/>
                              <w:rPr>
                                <w:b/>
                                <w:sz w:val="16"/>
                              </w:rPr>
                            </w:pPr>
                            <w:r>
                              <w:rPr>
                                <w:b/>
                                <w:color w:val="FFFFFF"/>
                                <w:spacing w:val="-2"/>
                                <w:w w:val="135"/>
                                <w:sz w:val="10"/>
                              </w:rPr>
                              <w:t>Exposure</w:t>
                            </w:r>
                          </w:p>
                        </w:tc>
                      </w:tr>
                      <w:tr w:rsidR="008715BE" w14:paraId="0F46B2F5" w14:textId="77777777">
                        <w:trPr>
                          <w:trHeight w:val="359"/>
                        </w:trPr>
                        <w:tc>
                          <w:tcPr>
                            <w:tcW w:w="463" w:type="dxa"/>
                            <w:vMerge w:val="restart"/>
                            <w:tcBorders>
                              <w:top w:val="single" w:sz="6" w:space="0" w:color="808080"/>
                            </w:tcBorders>
                            <w:shd w:val="clear" w:color="auto" w:fill="808080"/>
                            <w:textDirection w:val="btLr"/>
                          </w:tcPr>
                          <w:p w14:paraId="512542C0" w14:textId="77777777" w:rsidR="008715BE" w:rsidRDefault="00000000">
                            <w:pPr>
                              <w:pStyle w:val="TableParagraph"/>
                              <w:spacing w:before="143"/>
                              <w:ind w:left="304"/>
                              <w:rPr>
                                <w:b/>
                                <w:sz w:val="16"/>
                              </w:rPr>
                            </w:pPr>
                            <w:bookmarkStart w:id="125" w:name="_bookmark125"/>
                            <w:bookmarkEnd w:id="125"/>
                            <w:r>
                              <w:rPr>
                                <w:b/>
                                <w:color w:val="FFFFFF"/>
                                <w:spacing w:val="-2"/>
                                <w:w w:val="135"/>
                                <w:sz w:val="10"/>
                              </w:rPr>
                              <w:t>Sensitivity</w:t>
                            </w:r>
                          </w:p>
                        </w:tc>
                        <w:tc>
                          <w:tcPr>
                            <w:tcW w:w="309" w:type="dxa"/>
                            <w:tcBorders>
                              <w:top w:val="single" w:sz="6" w:space="0" w:color="808080"/>
                            </w:tcBorders>
                            <w:shd w:val="clear" w:color="auto" w:fill="808080"/>
                          </w:tcPr>
                          <w:p w14:paraId="1D7E8D74" w14:textId="77777777" w:rsidR="008715BE" w:rsidRDefault="008715BE">
                            <w:pPr>
                              <w:pStyle w:val="TableParagraph"/>
                              <w:rPr>
                                <w:rFonts w:ascii="Times New Roman"/>
                                <w:sz w:val="16"/>
                              </w:rPr>
                            </w:pPr>
                          </w:p>
                        </w:tc>
                        <w:tc>
                          <w:tcPr>
                            <w:tcW w:w="1305" w:type="dxa"/>
                            <w:tcBorders>
                              <w:bottom w:val="single" w:sz="6" w:space="0" w:color="D9D9D9"/>
                            </w:tcBorders>
                            <w:shd w:val="clear" w:color="auto" w:fill="00AFEF"/>
                          </w:tcPr>
                          <w:p w14:paraId="1B055C7B" w14:textId="77777777" w:rsidR="008715BE" w:rsidRDefault="00000000">
                            <w:pPr>
                              <w:pStyle w:val="TableParagraph"/>
                              <w:spacing w:before="94"/>
                              <w:ind w:left="10" w:right="9"/>
                              <w:jc w:val="center"/>
                              <w:rPr>
                                <w:b/>
                                <w:sz w:val="16"/>
                              </w:rPr>
                            </w:pPr>
                            <w:r>
                              <w:rPr>
                                <w:b/>
                                <w:color w:val="FFFFFF"/>
                                <w:spacing w:val="-10"/>
                                <w:w w:val="140"/>
                                <w:sz w:val="10"/>
                              </w:rPr>
                              <w:t>0</w:t>
                            </w:r>
                          </w:p>
                        </w:tc>
                        <w:tc>
                          <w:tcPr>
                            <w:tcW w:w="1305" w:type="dxa"/>
                            <w:tcBorders>
                              <w:bottom w:val="single" w:sz="6" w:space="0" w:color="D9D9D9"/>
                            </w:tcBorders>
                            <w:shd w:val="clear" w:color="auto" w:fill="00AFEF"/>
                          </w:tcPr>
                          <w:p w14:paraId="37B99D25" w14:textId="77777777" w:rsidR="008715BE" w:rsidRDefault="00000000">
                            <w:pPr>
                              <w:pStyle w:val="TableParagraph"/>
                              <w:spacing w:before="94"/>
                              <w:ind w:left="10" w:right="7"/>
                              <w:jc w:val="center"/>
                              <w:rPr>
                                <w:b/>
                                <w:sz w:val="16"/>
                              </w:rPr>
                            </w:pPr>
                            <w:r>
                              <w:rPr>
                                <w:b/>
                                <w:color w:val="FFFFFF"/>
                                <w:spacing w:val="-10"/>
                                <w:w w:val="140"/>
                                <w:sz w:val="10"/>
                              </w:rPr>
                              <w:t>1</w:t>
                            </w:r>
                          </w:p>
                        </w:tc>
                        <w:tc>
                          <w:tcPr>
                            <w:tcW w:w="1303" w:type="dxa"/>
                            <w:tcBorders>
                              <w:bottom w:val="single" w:sz="6" w:space="0" w:color="D9D9D9"/>
                            </w:tcBorders>
                            <w:shd w:val="clear" w:color="auto" w:fill="00AFEF"/>
                          </w:tcPr>
                          <w:p w14:paraId="66CE72B3" w14:textId="77777777" w:rsidR="008715BE" w:rsidRDefault="00000000">
                            <w:pPr>
                              <w:pStyle w:val="TableParagraph"/>
                              <w:spacing w:before="94"/>
                              <w:ind w:left="6"/>
                              <w:jc w:val="center"/>
                              <w:rPr>
                                <w:b/>
                                <w:sz w:val="16"/>
                              </w:rPr>
                            </w:pPr>
                            <w:r>
                              <w:rPr>
                                <w:b/>
                                <w:color w:val="FFFFFF"/>
                                <w:spacing w:val="-10"/>
                                <w:w w:val="140"/>
                                <w:sz w:val="10"/>
                              </w:rPr>
                              <w:t>2</w:t>
                            </w:r>
                          </w:p>
                        </w:tc>
                        <w:tc>
                          <w:tcPr>
                            <w:tcW w:w="1305" w:type="dxa"/>
                            <w:tcBorders>
                              <w:bottom w:val="single" w:sz="6" w:space="0" w:color="D9D9D9"/>
                            </w:tcBorders>
                            <w:shd w:val="clear" w:color="auto" w:fill="00AFEF"/>
                          </w:tcPr>
                          <w:p w14:paraId="19132A33" w14:textId="77777777" w:rsidR="008715BE" w:rsidRDefault="00000000">
                            <w:pPr>
                              <w:pStyle w:val="TableParagraph"/>
                              <w:spacing w:before="94"/>
                              <w:ind w:left="10"/>
                              <w:jc w:val="center"/>
                              <w:rPr>
                                <w:b/>
                                <w:sz w:val="16"/>
                              </w:rPr>
                            </w:pPr>
                            <w:r>
                              <w:rPr>
                                <w:b/>
                                <w:color w:val="FFFFFF"/>
                                <w:spacing w:val="-10"/>
                                <w:w w:val="140"/>
                                <w:sz w:val="10"/>
                              </w:rPr>
                              <w:t>3</w:t>
                            </w:r>
                          </w:p>
                        </w:tc>
                      </w:tr>
                      <w:tr w:rsidR="008715BE" w14:paraId="3127EDD4" w14:textId="77777777">
                        <w:trPr>
                          <w:trHeight w:val="306"/>
                        </w:trPr>
                        <w:tc>
                          <w:tcPr>
                            <w:tcW w:w="463" w:type="dxa"/>
                            <w:vMerge/>
                            <w:tcBorders>
                              <w:top w:val="nil"/>
                            </w:tcBorders>
                            <w:shd w:val="clear" w:color="auto" w:fill="808080"/>
                            <w:textDirection w:val="btLr"/>
                          </w:tcPr>
                          <w:p w14:paraId="264C1EF9" w14:textId="77777777" w:rsidR="008715BE" w:rsidRDefault="008715BE">
                            <w:pPr>
                              <w:rPr>
                                <w:sz w:val="2"/>
                                <w:szCs w:val="2"/>
                              </w:rPr>
                            </w:pPr>
                          </w:p>
                        </w:tc>
                        <w:tc>
                          <w:tcPr>
                            <w:tcW w:w="309" w:type="dxa"/>
                            <w:tcBorders>
                              <w:bottom w:val="single" w:sz="6" w:space="0" w:color="00AFEF"/>
                            </w:tcBorders>
                            <w:shd w:val="clear" w:color="auto" w:fill="00AFEF"/>
                          </w:tcPr>
                          <w:p w14:paraId="514CF240" w14:textId="77777777" w:rsidR="008715BE" w:rsidRDefault="00000000">
                            <w:pPr>
                              <w:pStyle w:val="TableParagraph"/>
                              <w:spacing w:before="68"/>
                              <w:ind w:left="2"/>
                              <w:jc w:val="center"/>
                              <w:rPr>
                                <w:b/>
                                <w:sz w:val="16"/>
                              </w:rPr>
                            </w:pPr>
                            <w:r>
                              <w:rPr>
                                <w:b/>
                                <w:color w:val="FFFFFF"/>
                                <w:spacing w:val="-10"/>
                                <w:w w:val="140"/>
                                <w:sz w:val="10"/>
                              </w:rPr>
                              <w:t>0</w:t>
                            </w:r>
                          </w:p>
                        </w:tc>
                        <w:tc>
                          <w:tcPr>
                            <w:tcW w:w="1305" w:type="dxa"/>
                            <w:shd w:val="clear" w:color="auto" w:fill="D9D9D9"/>
                          </w:tcPr>
                          <w:p w14:paraId="0FF65925" w14:textId="77777777" w:rsidR="008715BE" w:rsidRDefault="00000000">
                            <w:pPr>
                              <w:pStyle w:val="TableParagraph"/>
                              <w:spacing w:before="68"/>
                              <w:ind w:left="10" w:right="9"/>
                              <w:jc w:val="center"/>
                              <w:rPr>
                                <w:b/>
                                <w:sz w:val="16"/>
                              </w:rPr>
                            </w:pPr>
                            <w:r>
                              <w:rPr>
                                <w:b/>
                                <w:spacing w:val="-10"/>
                                <w:w w:val="140"/>
                                <w:sz w:val="10"/>
                              </w:rPr>
                              <w:t>0</w:t>
                            </w:r>
                          </w:p>
                        </w:tc>
                        <w:tc>
                          <w:tcPr>
                            <w:tcW w:w="1305" w:type="dxa"/>
                            <w:shd w:val="clear" w:color="auto" w:fill="D9D9D9"/>
                          </w:tcPr>
                          <w:p w14:paraId="78C69663" w14:textId="77777777" w:rsidR="008715BE" w:rsidRDefault="00000000">
                            <w:pPr>
                              <w:pStyle w:val="TableParagraph"/>
                              <w:spacing w:before="68"/>
                              <w:ind w:left="10" w:right="7"/>
                              <w:jc w:val="center"/>
                              <w:rPr>
                                <w:b/>
                                <w:sz w:val="16"/>
                              </w:rPr>
                            </w:pPr>
                            <w:r>
                              <w:rPr>
                                <w:b/>
                                <w:spacing w:val="-10"/>
                                <w:w w:val="140"/>
                                <w:sz w:val="10"/>
                              </w:rPr>
                              <w:t>0</w:t>
                            </w:r>
                          </w:p>
                        </w:tc>
                        <w:tc>
                          <w:tcPr>
                            <w:tcW w:w="1303" w:type="dxa"/>
                            <w:shd w:val="clear" w:color="auto" w:fill="D9D9D9"/>
                          </w:tcPr>
                          <w:p w14:paraId="75844BC6" w14:textId="77777777" w:rsidR="008715BE" w:rsidRDefault="00000000">
                            <w:pPr>
                              <w:pStyle w:val="TableParagraph"/>
                              <w:spacing w:before="68"/>
                              <w:ind w:left="6"/>
                              <w:jc w:val="center"/>
                              <w:rPr>
                                <w:b/>
                                <w:sz w:val="16"/>
                              </w:rPr>
                            </w:pPr>
                            <w:r>
                              <w:rPr>
                                <w:b/>
                                <w:spacing w:val="-10"/>
                                <w:w w:val="140"/>
                                <w:sz w:val="10"/>
                              </w:rPr>
                              <w:t>0</w:t>
                            </w:r>
                          </w:p>
                        </w:tc>
                        <w:tc>
                          <w:tcPr>
                            <w:tcW w:w="1305" w:type="dxa"/>
                            <w:shd w:val="clear" w:color="auto" w:fill="D9D9D9"/>
                          </w:tcPr>
                          <w:p w14:paraId="6F5BD5DA" w14:textId="77777777" w:rsidR="008715BE" w:rsidRDefault="00000000">
                            <w:pPr>
                              <w:pStyle w:val="TableParagraph"/>
                              <w:spacing w:before="68"/>
                              <w:ind w:left="10"/>
                              <w:jc w:val="center"/>
                              <w:rPr>
                                <w:b/>
                                <w:sz w:val="16"/>
                              </w:rPr>
                            </w:pPr>
                            <w:r>
                              <w:rPr>
                                <w:b/>
                                <w:spacing w:val="-10"/>
                                <w:w w:val="140"/>
                                <w:sz w:val="10"/>
                              </w:rPr>
                              <w:t>0</w:t>
                            </w:r>
                          </w:p>
                        </w:tc>
                      </w:tr>
                      <w:tr w:rsidR="008715BE" w14:paraId="24722382" w14:textId="77777777">
                        <w:trPr>
                          <w:trHeight w:val="299"/>
                        </w:trPr>
                        <w:tc>
                          <w:tcPr>
                            <w:tcW w:w="463" w:type="dxa"/>
                            <w:vMerge/>
                            <w:tcBorders>
                              <w:top w:val="nil"/>
                            </w:tcBorders>
                            <w:shd w:val="clear" w:color="auto" w:fill="808080"/>
                            <w:textDirection w:val="btLr"/>
                          </w:tcPr>
                          <w:p w14:paraId="63DBAB91" w14:textId="77777777" w:rsidR="008715BE" w:rsidRDefault="008715BE">
                            <w:pPr>
                              <w:rPr>
                                <w:sz w:val="2"/>
                                <w:szCs w:val="2"/>
                              </w:rPr>
                            </w:pPr>
                          </w:p>
                        </w:tc>
                        <w:tc>
                          <w:tcPr>
                            <w:tcW w:w="309" w:type="dxa"/>
                            <w:tcBorders>
                              <w:top w:val="single" w:sz="6" w:space="0" w:color="00AFEF"/>
                              <w:bottom w:val="single" w:sz="6" w:space="0" w:color="00AFEF"/>
                            </w:tcBorders>
                            <w:shd w:val="clear" w:color="auto" w:fill="00AFEF"/>
                          </w:tcPr>
                          <w:p w14:paraId="7D51B370" w14:textId="77777777" w:rsidR="008715BE" w:rsidRDefault="00000000">
                            <w:pPr>
                              <w:pStyle w:val="TableParagraph"/>
                              <w:spacing w:before="61"/>
                              <w:ind w:left="2"/>
                              <w:jc w:val="center"/>
                              <w:rPr>
                                <w:b/>
                                <w:sz w:val="16"/>
                              </w:rPr>
                            </w:pPr>
                            <w:r>
                              <w:rPr>
                                <w:b/>
                                <w:color w:val="FFFFFF"/>
                                <w:spacing w:val="-10"/>
                                <w:w w:val="140"/>
                                <w:sz w:val="10"/>
                              </w:rPr>
                              <w:t>1</w:t>
                            </w:r>
                          </w:p>
                        </w:tc>
                        <w:tc>
                          <w:tcPr>
                            <w:tcW w:w="1305" w:type="dxa"/>
                            <w:tcBorders>
                              <w:bottom w:val="single" w:sz="6" w:space="0" w:color="D9D9D9"/>
                            </w:tcBorders>
                            <w:shd w:val="clear" w:color="auto" w:fill="D9D9D9"/>
                          </w:tcPr>
                          <w:p w14:paraId="425DC0C1" w14:textId="77777777" w:rsidR="008715BE" w:rsidRDefault="00000000">
                            <w:pPr>
                              <w:pStyle w:val="TableParagraph"/>
                              <w:spacing w:before="61"/>
                              <w:ind w:left="10" w:right="9"/>
                              <w:jc w:val="center"/>
                              <w:rPr>
                                <w:b/>
                                <w:sz w:val="16"/>
                              </w:rPr>
                            </w:pPr>
                            <w:r>
                              <w:rPr>
                                <w:b/>
                                <w:spacing w:val="-10"/>
                                <w:w w:val="140"/>
                                <w:sz w:val="10"/>
                              </w:rPr>
                              <w:t>0</w:t>
                            </w:r>
                          </w:p>
                        </w:tc>
                        <w:tc>
                          <w:tcPr>
                            <w:tcW w:w="1305" w:type="dxa"/>
                            <w:shd w:val="clear" w:color="auto" w:fill="92D050"/>
                          </w:tcPr>
                          <w:p w14:paraId="21B889B3" w14:textId="77777777" w:rsidR="008715BE" w:rsidRDefault="00000000">
                            <w:pPr>
                              <w:pStyle w:val="TableParagraph"/>
                              <w:spacing w:before="61"/>
                              <w:ind w:left="10" w:right="7"/>
                              <w:jc w:val="center"/>
                              <w:rPr>
                                <w:b/>
                                <w:sz w:val="16"/>
                              </w:rPr>
                            </w:pPr>
                            <w:r>
                              <w:rPr>
                                <w:b/>
                                <w:spacing w:val="-10"/>
                                <w:w w:val="140"/>
                                <w:sz w:val="10"/>
                              </w:rPr>
                              <w:t>1</w:t>
                            </w:r>
                          </w:p>
                        </w:tc>
                        <w:tc>
                          <w:tcPr>
                            <w:tcW w:w="1303" w:type="dxa"/>
                            <w:shd w:val="clear" w:color="auto" w:fill="92D050"/>
                          </w:tcPr>
                          <w:p w14:paraId="3F876CD9" w14:textId="77777777" w:rsidR="008715BE" w:rsidRDefault="00000000">
                            <w:pPr>
                              <w:pStyle w:val="TableParagraph"/>
                              <w:spacing w:before="61"/>
                              <w:ind w:left="6"/>
                              <w:jc w:val="center"/>
                              <w:rPr>
                                <w:b/>
                                <w:sz w:val="16"/>
                              </w:rPr>
                            </w:pPr>
                            <w:r>
                              <w:rPr>
                                <w:b/>
                                <w:spacing w:val="-10"/>
                                <w:w w:val="140"/>
                                <w:sz w:val="10"/>
                              </w:rPr>
                              <w:t>2</w:t>
                            </w:r>
                          </w:p>
                        </w:tc>
                        <w:tc>
                          <w:tcPr>
                            <w:tcW w:w="1305" w:type="dxa"/>
                            <w:shd w:val="clear" w:color="auto" w:fill="FFD243"/>
                          </w:tcPr>
                          <w:p w14:paraId="49678BFC" w14:textId="77777777" w:rsidR="008715BE" w:rsidRDefault="00000000">
                            <w:pPr>
                              <w:pStyle w:val="TableParagraph"/>
                              <w:spacing w:before="61"/>
                              <w:ind w:left="10"/>
                              <w:jc w:val="center"/>
                              <w:rPr>
                                <w:b/>
                                <w:sz w:val="16"/>
                              </w:rPr>
                            </w:pPr>
                            <w:r>
                              <w:rPr>
                                <w:b/>
                                <w:spacing w:val="-10"/>
                                <w:w w:val="140"/>
                                <w:sz w:val="10"/>
                              </w:rPr>
                              <w:t>3</w:t>
                            </w:r>
                          </w:p>
                        </w:tc>
                      </w:tr>
                      <w:tr w:rsidR="008715BE" w14:paraId="51ED0E01" w14:textId="77777777">
                        <w:trPr>
                          <w:trHeight w:val="299"/>
                        </w:trPr>
                        <w:tc>
                          <w:tcPr>
                            <w:tcW w:w="463" w:type="dxa"/>
                            <w:vMerge/>
                            <w:tcBorders>
                              <w:top w:val="nil"/>
                            </w:tcBorders>
                            <w:shd w:val="clear" w:color="auto" w:fill="808080"/>
                            <w:textDirection w:val="btLr"/>
                          </w:tcPr>
                          <w:p w14:paraId="49C8E75A" w14:textId="77777777" w:rsidR="008715BE" w:rsidRDefault="008715BE">
                            <w:pPr>
                              <w:rPr>
                                <w:sz w:val="2"/>
                                <w:szCs w:val="2"/>
                              </w:rPr>
                            </w:pPr>
                          </w:p>
                        </w:tc>
                        <w:tc>
                          <w:tcPr>
                            <w:tcW w:w="309" w:type="dxa"/>
                            <w:tcBorders>
                              <w:top w:val="single" w:sz="6" w:space="0" w:color="00AFEF"/>
                              <w:bottom w:val="single" w:sz="6" w:space="0" w:color="00AFEF"/>
                            </w:tcBorders>
                            <w:shd w:val="clear" w:color="auto" w:fill="00AFEF"/>
                          </w:tcPr>
                          <w:p w14:paraId="3B603938" w14:textId="77777777" w:rsidR="008715BE" w:rsidRDefault="00000000">
                            <w:pPr>
                              <w:pStyle w:val="TableParagraph"/>
                              <w:spacing w:before="61"/>
                              <w:ind w:left="2"/>
                              <w:jc w:val="center"/>
                              <w:rPr>
                                <w:b/>
                                <w:sz w:val="16"/>
                              </w:rPr>
                            </w:pPr>
                            <w:r>
                              <w:rPr>
                                <w:b/>
                                <w:color w:val="FFFFFF"/>
                                <w:spacing w:val="-10"/>
                                <w:w w:val="140"/>
                                <w:sz w:val="10"/>
                              </w:rPr>
                              <w:t>2</w:t>
                            </w:r>
                          </w:p>
                        </w:tc>
                        <w:tc>
                          <w:tcPr>
                            <w:tcW w:w="1305" w:type="dxa"/>
                            <w:tcBorders>
                              <w:top w:val="single" w:sz="6" w:space="0" w:color="D9D9D9"/>
                              <w:bottom w:val="single" w:sz="6" w:space="0" w:color="D9D9D9"/>
                            </w:tcBorders>
                            <w:shd w:val="clear" w:color="auto" w:fill="D9D9D9"/>
                          </w:tcPr>
                          <w:p w14:paraId="757FE4CB" w14:textId="77777777" w:rsidR="008715BE" w:rsidRDefault="00000000">
                            <w:pPr>
                              <w:pStyle w:val="TableParagraph"/>
                              <w:spacing w:before="61"/>
                              <w:ind w:left="10" w:right="9"/>
                              <w:jc w:val="center"/>
                              <w:rPr>
                                <w:b/>
                                <w:sz w:val="16"/>
                              </w:rPr>
                            </w:pPr>
                            <w:r>
                              <w:rPr>
                                <w:b/>
                                <w:spacing w:val="-10"/>
                                <w:w w:val="140"/>
                                <w:sz w:val="10"/>
                              </w:rPr>
                              <w:t>0</w:t>
                            </w:r>
                          </w:p>
                        </w:tc>
                        <w:tc>
                          <w:tcPr>
                            <w:tcW w:w="1305" w:type="dxa"/>
                            <w:shd w:val="clear" w:color="auto" w:fill="92D050"/>
                          </w:tcPr>
                          <w:p w14:paraId="46793C94" w14:textId="77777777" w:rsidR="008715BE" w:rsidRDefault="00000000">
                            <w:pPr>
                              <w:pStyle w:val="TableParagraph"/>
                              <w:spacing w:before="61"/>
                              <w:ind w:left="10" w:right="7"/>
                              <w:jc w:val="center"/>
                              <w:rPr>
                                <w:b/>
                                <w:sz w:val="16"/>
                              </w:rPr>
                            </w:pPr>
                            <w:r>
                              <w:rPr>
                                <w:b/>
                                <w:spacing w:val="-10"/>
                                <w:w w:val="140"/>
                                <w:sz w:val="10"/>
                              </w:rPr>
                              <w:t>2</w:t>
                            </w:r>
                          </w:p>
                        </w:tc>
                        <w:tc>
                          <w:tcPr>
                            <w:tcW w:w="1303" w:type="dxa"/>
                            <w:tcBorders>
                              <w:bottom w:val="single" w:sz="6" w:space="0" w:color="FF8F92"/>
                            </w:tcBorders>
                            <w:shd w:val="clear" w:color="auto" w:fill="FFD243"/>
                          </w:tcPr>
                          <w:p w14:paraId="3415C4EB" w14:textId="77777777" w:rsidR="008715BE" w:rsidRDefault="00000000">
                            <w:pPr>
                              <w:pStyle w:val="TableParagraph"/>
                              <w:spacing w:before="61"/>
                              <w:ind w:left="6"/>
                              <w:jc w:val="center"/>
                              <w:rPr>
                                <w:b/>
                                <w:sz w:val="16"/>
                              </w:rPr>
                            </w:pPr>
                            <w:r>
                              <w:rPr>
                                <w:b/>
                                <w:spacing w:val="-10"/>
                                <w:w w:val="140"/>
                                <w:sz w:val="10"/>
                              </w:rPr>
                              <w:t>4</w:t>
                            </w:r>
                          </w:p>
                        </w:tc>
                        <w:tc>
                          <w:tcPr>
                            <w:tcW w:w="1305" w:type="dxa"/>
                            <w:tcBorders>
                              <w:bottom w:val="single" w:sz="6" w:space="0" w:color="FF8F92"/>
                            </w:tcBorders>
                            <w:shd w:val="clear" w:color="auto" w:fill="FF8F92"/>
                          </w:tcPr>
                          <w:p w14:paraId="42304C54" w14:textId="77777777" w:rsidR="008715BE" w:rsidRDefault="00000000">
                            <w:pPr>
                              <w:pStyle w:val="TableParagraph"/>
                              <w:spacing w:before="61"/>
                              <w:ind w:left="10"/>
                              <w:jc w:val="center"/>
                              <w:rPr>
                                <w:b/>
                                <w:sz w:val="16"/>
                              </w:rPr>
                            </w:pPr>
                            <w:r>
                              <w:rPr>
                                <w:b/>
                                <w:spacing w:val="-10"/>
                                <w:w w:val="140"/>
                                <w:sz w:val="10"/>
                              </w:rPr>
                              <w:t>6</w:t>
                            </w:r>
                          </w:p>
                        </w:tc>
                      </w:tr>
                      <w:tr w:rsidR="008715BE" w14:paraId="6D0B222D" w14:textId="77777777">
                        <w:trPr>
                          <w:trHeight w:val="285"/>
                        </w:trPr>
                        <w:tc>
                          <w:tcPr>
                            <w:tcW w:w="463" w:type="dxa"/>
                            <w:vMerge/>
                            <w:tcBorders>
                              <w:top w:val="nil"/>
                            </w:tcBorders>
                            <w:shd w:val="clear" w:color="auto" w:fill="808080"/>
                            <w:textDirection w:val="btLr"/>
                          </w:tcPr>
                          <w:p w14:paraId="0E3F0DE3" w14:textId="77777777" w:rsidR="008715BE" w:rsidRDefault="008715BE">
                            <w:pPr>
                              <w:rPr>
                                <w:sz w:val="2"/>
                                <w:szCs w:val="2"/>
                              </w:rPr>
                            </w:pPr>
                          </w:p>
                        </w:tc>
                        <w:tc>
                          <w:tcPr>
                            <w:tcW w:w="309" w:type="dxa"/>
                            <w:tcBorders>
                              <w:top w:val="single" w:sz="6" w:space="0" w:color="00AFEF"/>
                            </w:tcBorders>
                            <w:shd w:val="clear" w:color="auto" w:fill="00AFEF"/>
                          </w:tcPr>
                          <w:p w14:paraId="240488EB" w14:textId="77777777" w:rsidR="008715BE" w:rsidRDefault="00000000">
                            <w:pPr>
                              <w:pStyle w:val="TableParagraph"/>
                              <w:spacing w:before="53"/>
                              <w:ind w:left="2"/>
                              <w:jc w:val="center"/>
                              <w:rPr>
                                <w:b/>
                                <w:sz w:val="16"/>
                              </w:rPr>
                            </w:pPr>
                            <w:r>
                              <w:rPr>
                                <w:b/>
                                <w:color w:val="FFFFFF"/>
                                <w:spacing w:val="-10"/>
                                <w:w w:val="140"/>
                                <w:sz w:val="10"/>
                              </w:rPr>
                              <w:t>3</w:t>
                            </w:r>
                          </w:p>
                        </w:tc>
                        <w:tc>
                          <w:tcPr>
                            <w:tcW w:w="1305" w:type="dxa"/>
                            <w:tcBorders>
                              <w:top w:val="single" w:sz="6" w:space="0" w:color="D9D9D9"/>
                            </w:tcBorders>
                            <w:shd w:val="clear" w:color="auto" w:fill="D9D9D9"/>
                          </w:tcPr>
                          <w:p w14:paraId="5D0575D6" w14:textId="77777777" w:rsidR="008715BE" w:rsidRDefault="00000000">
                            <w:pPr>
                              <w:pStyle w:val="TableParagraph"/>
                              <w:spacing w:before="53"/>
                              <w:ind w:left="10" w:right="9"/>
                              <w:jc w:val="center"/>
                              <w:rPr>
                                <w:b/>
                                <w:sz w:val="16"/>
                              </w:rPr>
                            </w:pPr>
                            <w:r>
                              <w:rPr>
                                <w:b/>
                                <w:spacing w:val="-10"/>
                                <w:w w:val="140"/>
                                <w:sz w:val="10"/>
                              </w:rPr>
                              <w:t>0</w:t>
                            </w:r>
                          </w:p>
                        </w:tc>
                        <w:tc>
                          <w:tcPr>
                            <w:tcW w:w="1305" w:type="dxa"/>
                            <w:shd w:val="clear" w:color="auto" w:fill="FFD243"/>
                          </w:tcPr>
                          <w:p w14:paraId="3586841C" w14:textId="77777777" w:rsidR="008715BE" w:rsidRDefault="00000000">
                            <w:pPr>
                              <w:pStyle w:val="TableParagraph"/>
                              <w:spacing w:before="53"/>
                              <w:ind w:left="10" w:right="7"/>
                              <w:jc w:val="center"/>
                              <w:rPr>
                                <w:b/>
                                <w:sz w:val="16"/>
                              </w:rPr>
                            </w:pPr>
                            <w:r>
                              <w:rPr>
                                <w:b/>
                                <w:spacing w:val="-10"/>
                                <w:w w:val="140"/>
                                <w:sz w:val="10"/>
                              </w:rPr>
                              <w:t>3</w:t>
                            </w:r>
                          </w:p>
                        </w:tc>
                        <w:tc>
                          <w:tcPr>
                            <w:tcW w:w="1303" w:type="dxa"/>
                            <w:tcBorders>
                              <w:top w:val="single" w:sz="6" w:space="0" w:color="FF8F92"/>
                            </w:tcBorders>
                            <w:shd w:val="clear" w:color="auto" w:fill="FF8F92"/>
                          </w:tcPr>
                          <w:p w14:paraId="0486F932" w14:textId="77777777" w:rsidR="008715BE" w:rsidRDefault="00000000">
                            <w:pPr>
                              <w:pStyle w:val="TableParagraph"/>
                              <w:spacing w:before="53"/>
                              <w:ind w:left="6"/>
                              <w:jc w:val="center"/>
                              <w:rPr>
                                <w:b/>
                                <w:sz w:val="16"/>
                              </w:rPr>
                            </w:pPr>
                            <w:r>
                              <w:rPr>
                                <w:b/>
                                <w:spacing w:val="-10"/>
                                <w:w w:val="140"/>
                                <w:sz w:val="10"/>
                              </w:rPr>
                              <w:t>6</w:t>
                            </w:r>
                          </w:p>
                        </w:tc>
                        <w:tc>
                          <w:tcPr>
                            <w:tcW w:w="1305" w:type="dxa"/>
                            <w:tcBorders>
                              <w:top w:val="single" w:sz="6" w:space="0" w:color="FF8F92"/>
                            </w:tcBorders>
                            <w:shd w:val="clear" w:color="auto" w:fill="FF8F92"/>
                          </w:tcPr>
                          <w:p w14:paraId="4912B088" w14:textId="77777777" w:rsidR="008715BE" w:rsidRDefault="00000000">
                            <w:pPr>
                              <w:pStyle w:val="TableParagraph"/>
                              <w:spacing w:before="53"/>
                              <w:ind w:left="10"/>
                              <w:jc w:val="center"/>
                              <w:rPr>
                                <w:b/>
                                <w:sz w:val="16"/>
                              </w:rPr>
                            </w:pPr>
                            <w:r>
                              <w:rPr>
                                <w:b/>
                                <w:spacing w:val="-10"/>
                                <w:w w:val="140"/>
                                <w:sz w:val="10"/>
                              </w:rPr>
                              <w:t>9</w:t>
                            </w:r>
                          </w:p>
                        </w:tc>
                      </w:tr>
                    </w:tbl>
                    <w:p w14:paraId="5F2B1135" w14:textId="77777777" w:rsidR="008715BE" w:rsidRDefault="008715BE">
                      <w:pPr>
                        <w:pStyle w:val="BodyText"/>
                      </w:pPr>
                    </w:p>
                  </w:txbxContent>
                </v:textbox>
                <w10:wrap type="topAndBottom" anchorx="page"/>
              </v:shape>
            </w:pict>
          </mc:Fallback>
        </mc:AlternateContent>
      </w:r>
    </w:p>
    <w:p w14:paraId="0D9B68B2" w14:textId="77777777" w:rsidR="008715BE" w:rsidRPr="00EC75B7" w:rsidRDefault="008715BE">
      <w:pPr>
        <w:pStyle w:val="BodyText"/>
        <w:spacing w:before="22"/>
        <w:rPr>
          <w:rFonts w:ascii="Verdana" w:hAnsi="Verdana"/>
          <w:b/>
        </w:rPr>
      </w:pPr>
    </w:p>
    <w:p w14:paraId="1E0C3B53" w14:textId="77777777" w:rsidR="008715BE" w:rsidRPr="00EC75B7" w:rsidRDefault="00000000">
      <w:pPr>
        <w:pStyle w:val="Heading3"/>
        <w:numPr>
          <w:ilvl w:val="2"/>
          <w:numId w:val="34"/>
        </w:numPr>
        <w:tabs>
          <w:tab w:val="left" w:pos="1188"/>
        </w:tabs>
        <w:spacing w:line="357" w:lineRule="auto"/>
        <w:ind w:left="57" w:right="428" w:firstLine="0"/>
        <w:jc w:val="left"/>
        <w:rPr>
          <w:rFonts w:ascii="Verdana" w:hAnsi="Verdana"/>
          <w:sz w:val="18"/>
          <w:szCs w:val="18"/>
        </w:rPr>
      </w:pPr>
      <w:r w:rsidRPr="00EC75B7">
        <w:rPr>
          <w:rFonts w:ascii="Verdana" w:hAnsi="Verdana"/>
          <w:color w:val="00AFEF"/>
          <w:sz w:val="18"/>
          <w:szCs w:val="18"/>
        </w:rPr>
        <w:t xml:space="preserve">Detailed analysis for adaptation to climate change (STAGE 2 </w:t>
      </w:r>
      <w:r w:rsidRPr="00EC75B7">
        <w:rPr>
          <w:rFonts w:ascii="Verdana" w:hAnsi="Verdana"/>
          <w:color w:val="00AFEF"/>
          <w:spacing w:val="-2"/>
          <w:sz w:val="18"/>
          <w:szCs w:val="18"/>
        </w:rPr>
        <w:t>analysis)</w:t>
      </w:r>
    </w:p>
    <w:p w14:paraId="564C9DA4" w14:textId="77777777" w:rsidR="008715BE" w:rsidRPr="00EC75B7" w:rsidRDefault="00000000">
      <w:pPr>
        <w:pStyle w:val="BodyText"/>
        <w:spacing w:before="239" w:line="357" w:lineRule="auto"/>
        <w:ind w:left="57" w:right="429"/>
        <w:jc w:val="both"/>
        <w:rPr>
          <w:rFonts w:ascii="Verdana" w:hAnsi="Verdana"/>
        </w:rPr>
      </w:pPr>
      <w:r w:rsidRPr="00EC75B7">
        <w:rPr>
          <w:rFonts w:ascii="Verdana" w:hAnsi="Verdana"/>
        </w:rPr>
        <w:t>Risk assessment provides a structured method for analyzing climate hazards and their impact on the proposed project. This process works by assessing the probabilities and severity of the impact associated with the hazards identified in the vulnerability assessment (or in the initial examination of relevant hazards) and by assessing the significance of the risk to the success of the project.</w:t>
      </w:r>
    </w:p>
    <w:p w14:paraId="54488926" w14:textId="77777777" w:rsidR="008715BE" w:rsidRPr="00EC75B7" w:rsidRDefault="00000000">
      <w:pPr>
        <w:pStyle w:val="BodyText"/>
        <w:spacing w:before="124" w:line="357" w:lineRule="auto"/>
        <w:ind w:left="57" w:right="433"/>
        <w:jc w:val="both"/>
        <w:rPr>
          <w:rFonts w:ascii="Verdana" w:hAnsi="Verdana"/>
        </w:rPr>
      </w:pPr>
      <w:r w:rsidRPr="00EC75B7">
        <w:rPr>
          <w:rFonts w:ascii="Verdana" w:hAnsi="Verdana"/>
        </w:rPr>
        <w:t>The risk assessment was performed exclusively for climate variables that, according to the results of the vulnerability analysis, show medium or high levels of vulnerability in future climate scenarios, with direct relevance to the operation and integrity of the project.</w:t>
      </w:r>
    </w:p>
    <w:p w14:paraId="7DC25835" w14:textId="77777777" w:rsidR="008715BE" w:rsidRPr="00EC75B7" w:rsidRDefault="008715BE">
      <w:pPr>
        <w:pStyle w:val="BodyText"/>
        <w:spacing w:before="24"/>
        <w:rPr>
          <w:rFonts w:ascii="Verdana" w:hAnsi="Verdana"/>
        </w:rPr>
      </w:pPr>
    </w:p>
    <w:p w14:paraId="23BEEE8E" w14:textId="77777777" w:rsidR="008715BE" w:rsidRPr="00EC75B7" w:rsidRDefault="00000000">
      <w:pPr>
        <w:pStyle w:val="Heading3"/>
        <w:numPr>
          <w:ilvl w:val="3"/>
          <w:numId w:val="34"/>
        </w:numPr>
        <w:tabs>
          <w:tab w:val="left" w:pos="1345"/>
        </w:tabs>
        <w:spacing w:before="1"/>
        <w:ind w:left="1345" w:hanging="1288"/>
        <w:rPr>
          <w:rFonts w:ascii="Verdana" w:hAnsi="Verdana"/>
          <w:sz w:val="18"/>
          <w:szCs w:val="18"/>
        </w:rPr>
      </w:pPr>
      <w:bookmarkStart w:id="126" w:name="_bookmark126"/>
      <w:bookmarkEnd w:id="126"/>
      <w:r w:rsidRPr="00EC75B7">
        <w:rPr>
          <w:rFonts w:ascii="Verdana" w:hAnsi="Verdana"/>
          <w:color w:val="00AFEF"/>
          <w:spacing w:val="-2"/>
          <w:sz w:val="18"/>
          <w:szCs w:val="18"/>
        </w:rPr>
        <w:t xml:space="preserve">Probability </w:t>
      </w:r>
      <w:r w:rsidRPr="00EC75B7">
        <w:rPr>
          <w:rFonts w:ascii="Verdana" w:hAnsi="Verdana"/>
          <w:color w:val="00AFEF"/>
          <w:sz w:val="18"/>
          <w:szCs w:val="18"/>
        </w:rPr>
        <w:t>analysis</w:t>
      </w:r>
    </w:p>
    <w:p w14:paraId="6ED27674" w14:textId="77777777" w:rsidR="008715BE" w:rsidRPr="00EC75B7" w:rsidRDefault="008715BE">
      <w:pPr>
        <w:pStyle w:val="BodyText"/>
        <w:spacing w:before="113"/>
        <w:rPr>
          <w:rFonts w:ascii="Verdana" w:hAnsi="Verdana"/>
          <w:b/>
        </w:rPr>
      </w:pPr>
    </w:p>
    <w:p w14:paraId="1B173B2D" w14:textId="77777777" w:rsidR="008715BE" w:rsidRPr="00EC75B7" w:rsidRDefault="00000000">
      <w:pPr>
        <w:pStyle w:val="BodyText"/>
        <w:spacing w:before="1" w:line="357" w:lineRule="auto"/>
        <w:ind w:left="69" w:right="458"/>
        <w:rPr>
          <w:rFonts w:ascii="Verdana" w:hAnsi="Verdana"/>
        </w:rPr>
      </w:pPr>
      <w:r w:rsidRPr="00EC75B7">
        <w:rPr>
          <w:rFonts w:ascii="Verdana" w:hAnsi="Verdana"/>
        </w:rPr>
        <w:t>The probability of occurrence represents the probability that an event will occur in the area where the proposed works are located. The probability of occurrence of climate hazards was assessed based on the regional climate characteristics of Dobrogea, the local conditions of the site, and observed and projected climate trends, using a five-level qualitative-quantitative scale.</w:t>
      </w:r>
    </w:p>
    <w:p w14:paraId="6545EAB6" w14:textId="77777777" w:rsidR="008715BE" w:rsidRPr="00EC75B7" w:rsidRDefault="00000000">
      <w:pPr>
        <w:pStyle w:val="BodyText"/>
        <w:spacing w:before="3"/>
        <w:ind w:left="69"/>
        <w:rPr>
          <w:rFonts w:ascii="Verdana" w:hAnsi="Verdana"/>
        </w:rPr>
      </w:pPr>
      <w:r w:rsidRPr="00EC75B7">
        <w:rPr>
          <w:rFonts w:ascii="Verdana" w:hAnsi="Verdana"/>
        </w:rPr>
        <w:t xml:space="preserve">The following table presents the results of the analysis of the probability of occurrence of </w:t>
      </w:r>
      <w:r w:rsidRPr="00EC75B7">
        <w:rPr>
          <w:rFonts w:ascii="Verdana" w:hAnsi="Verdana"/>
          <w:spacing w:val="-2"/>
        </w:rPr>
        <w:t xml:space="preserve">climate </w:t>
      </w:r>
      <w:r w:rsidRPr="00EC75B7">
        <w:rPr>
          <w:rFonts w:ascii="Verdana" w:hAnsi="Verdana"/>
        </w:rPr>
        <w:t>hazards</w:t>
      </w:r>
      <w:r w:rsidRPr="00EC75B7">
        <w:rPr>
          <w:rFonts w:ascii="Verdana" w:hAnsi="Verdana"/>
          <w:spacing w:val="-2"/>
        </w:rPr>
        <w:t>.</w:t>
      </w:r>
    </w:p>
    <w:p w14:paraId="464A3F41" w14:textId="77777777" w:rsidR="008715BE" w:rsidRPr="00EC75B7" w:rsidRDefault="008715BE">
      <w:pPr>
        <w:pStyle w:val="BodyText"/>
        <w:spacing w:before="57"/>
        <w:rPr>
          <w:rFonts w:ascii="Verdana" w:hAnsi="Verdana"/>
        </w:rPr>
      </w:pPr>
    </w:p>
    <w:p w14:paraId="2969731C" w14:textId="77777777" w:rsidR="008715BE" w:rsidRPr="00EC75B7" w:rsidRDefault="00000000">
      <w:pPr>
        <w:ind w:left="57"/>
        <w:rPr>
          <w:rFonts w:ascii="Verdana" w:hAnsi="Verdana"/>
          <w:b/>
          <w:sz w:val="18"/>
          <w:szCs w:val="18"/>
        </w:rPr>
      </w:pPr>
      <w:r w:rsidRPr="00EC75B7">
        <w:rPr>
          <w:rFonts w:ascii="Verdana" w:hAnsi="Verdana"/>
          <w:b/>
          <w:color w:val="00AFEF"/>
          <w:sz w:val="18"/>
          <w:szCs w:val="18"/>
        </w:rPr>
        <w:t xml:space="preserve">Table 60 Analysis of the probability of occurrence of </w:t>
      </w:r>
      <w:r w:rsidRPr="00EC75B7">
        <w:rPr>
          <w:rFonts w:ascii="Verdana" w:hAnsi="Verdana"/>
          <w:b/>
          <w:color w:val="00AFEF"/>
          <w:spacing w:val="-2"/>
          <w:sz w:val="18"/>
          <w:szCs w:val="18"/>
        </w:rPr>
        <w:t xml:space="preserve">climate </w:t>
      </w:r>
      <w:r w:rsidRPr="00EC75B7">
        <w:rPr>
          <w:rFonts w:ascii="Verdana" w:hAnsi="Verdana"/>
          <w:b/>
          <w:color w:val="00AFEF"/>
          <w:sz w:val="18"/>
          <w:szCs w:val="18"/>
        </w:rPr>
        <w:t>hazards</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122"/>
        <w:gridCol w:w="994"/>
        <w:gridCol w:w="842"/>
        <w:gridCol w:w="1000"/>
        <w:gridCol w:w="1576"/>
        <w:gridCol w:w="3203"/>
      </w:tblGrid>
      <w:tr w:rsidR="008715BE" w:rsidRPr="00EC75B7" w14:paraId="4376AF31" w14:textId="77777777">
        <w:trPr>
          <w:trHeight w:val="556"/>
        </w:trPr>
        <w:tc>
          <w:tcPr>
            <w:tcW w:w="2122" w:type="dxa"/>
            <w:shd w:val="clear" w:color="auto" w:fill="00AFEF"/>
          </w:tcPr>
          <w:p w14:paraId="4D71D27C" w14:textId="77777777" w:rsidR="008715BE" w:rsidRPr="00EC75B7" w:rsidRDefault="00000000">
            <w:pPr>
              <w:pStyle w:val="TableParagraph"/>
              <w:spacing w:before="182"/>
              <w:ind w:right="352"/>
              <w:jc w:val="right"/>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994" w:type="dxa"/>
            <w:shd w:val="clear" w:color="auto" w:fill="00AFEF"/>
          </w:tcPr>
          <w:p w14:paraId="22A4CCAB" w14:textId="77777777" w:rsidR="008715BE" w:rsidRPr="00EC75B7" w:rsidRDefault="00000000">
            <w:pPr>
              <w:pStyle w:val="TableParagraph"/>
              <w:spacing w:before="182"/>
              <w:ind w:right="255"/>
              <w:jc w:val="right"/>
              <w:rPr>
                <w:rFonts w:ascii="Verdana" w:hAnsi="Verdana"/>
                <w:b/>
                <w:sz w:val="18"/>
                <w:szCs w:val="18"/>
              </w:rPr>
            </w:pPr>
            <w:r w:rsidRPr="00EC75B7">
              <w:rPr>
                <w:rFonts w:ascii="Verdana" w:hAnsi="Verdana"/>
                <w:b/>
                <w:color w:val="FFFFFF"/>
                <w:spacing w:val="-2"/>
                <w:sz w:val="18"/>
                <w:szCs w:val="18"/>
              </w:rPr>
              <w:t>Level</w:t>
            </w:r>
          </w:p>
        </w:tc>
        <w:tc>
          <w:tcPr>
            <w:tcW w:w="842" w:type="dxa"/>
            <w:shd w:val="clear" w:color="auto" w:fill="00AFEF"/>
          </w:tcPr>
          <w:p w14:paraId="274C8BFF" w14:textId="77777777" w:rsidR="008715BE" w:rsidRPr="00EC75B7" w:rsidRDefault="00000000">
            <w:pPr>
              <w:pStyle w:val="TableParagraph"/>
              <w:spacing w:before="182"/>
              <w:ind w:left="18"/>
              <w:jc w:val="center"/>
              <w:rPr>
                <w:rFonts w:ascii="Verdana" w:hAnsi="Verdana"/>
                <w:b/>
                <w:sz w:val="18"/>
                <w:szCs w:val="18"/>
              </w:rPr>
            </w:pPr>
            <w:r w:rsidRPr="00EC75B7">
              <w:rPr>
                <w:rFonts w:ascii="Verdana" w:hAnsi="Verdana"/>
                <w:b/>
                <w:color w:val="FFFFFF"/>
                <w:spacing w:val="-4"/>
                <w:sz w:val="18"/>
                <w:szCs w:val="18"/>
              </w:rPr>
              <w:t>Score</w:t>
            </w:r>
          </w:p>
        </w:tc>
        <w:tc>
          <w:tcPr>
            <w:tcW w:w="1000" w:type="dxa"/>
            <w:shd w:val="clear" w:color="auto" w:fill="00AFEF"/>
          </w:tcPr>
          <w:p w14:paraId="3EA3813D" w14:textId="77777777" w:rsidR="008715BE" w:rsidRPr="00EC75B7" w:rsidRDefault="00000000">
            <w:pPr>
              <w:pStyle w:val="TableParagraph"/>
              <w:spacing w:before="182"/>
              <w:ind w:left="134"/>
              <w:rPr>
                <w:rFonts w:ascii="Verdana" w:hAnsi="Verdana"/>
                <w:b/>
                <w:sz w:val="18"/>
                <w:szCs w:val="18"/>
              </w:rPr>
            </w:pPr>
            <w:r w:rsidRPr="00EC75B7">
              <w:rPr>
                <w:rFonts w:ascii="Verdana" w:hAnsi="Verdana"/>
                <w:b/>
                <w:color w:val="FFFFFF"/>
                <w:spacing w:val="-2"/>
                <w:sz w:val="18"/>
                <w:szCs w:val="18"/>
              </w:rPr>
              <w:t>Qualitative</w:t>
            </w:r>
          </w:p>
        </w:tc>
        <w:tc>
          <w:tcPr>
            <w:tcW w:w="1576" w:type="dxa"/>
            <w:shd w:val="clear" w:color="auto" w:fill="00AFEF"/>
          </w:tcPr>
          <w:p w14:paraId="21A1E591" w14:textId="77777777" w:rsidR="008715BE" w:rsidRPr="00EC75B7" w:rsidRDefault="00000000">
            <w:pPr>
              <w:pStyle w:val="TableParagraph"/>
              <w:spacing w:before="83" w:line="195" w:lineRule="exact"/>
              <w:ind w:left="26"/>
              <w:jc w:val="center"/>
              <w:rPr>
                <w:rFonts w:ascii="Verdana" w:hAnsi="Verdana"/>
                <w:b/>
                <w:sz w:val="18"/>
                <w:szCs w:val="18"/>
              </w:rPr>
            </w:pPr>
            <w:r w:rsidRPr="00EC75B7">
              <w:rPr>
                <w:rFonts w:ascii="Verdana" w:hAnsi="Verdana"/>
                <w:b/>
                <w:color w:val="FFFFFF"/>
                <w:spacing w:val="-2"/>
                <w:sz w:val="18"/>
                <w:szCs w:val="18"/>
              </w:rPr>
              <w:t>Probability</w:t>
            </w:r>
          </w:p>
          <w:p w14:paraId="5AF0AE70" w14:textId="77777777" w:rsidR="008715BE" w:rsidRPr="00EC75B7" w:rsidRDefault="00000000">
            <w:pPr>
              <w:pStyle w:val="TableParagraph"/>
              <w:spacing w:line="195" w:lineRule="exact"/>
              <w:ind w:left="28"/>
              <w:jc w:val="center"/>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occurrence</w:t>
            </w:r>
          </w:p>
        </w:tc>
        <w:tc>
          <w:tcPr>
            <w:tcW w:w="3203" w:type="dxa"/>
            <w:shd w:val="clear" w:color="auto" w:fill="00AFEF"/>
          </w:tcPr>
          <w:p w14:paraId="5E60D275" w14:textId="77777777" w:rsidR="008715BE" w:rsidRPr="00EC75B7" w:rsidRDefault="00000000">
            <w:pPr>
              <w:pStyle w:val="TableParagraph"/>
              <w:spacing w:before="182"/>
              <w:ind w:left="31"/>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3E31C664" w14:textId="77777777">
        <w:trPr>
          <w:trHeight w:val="1166"/>
        </w:trPr>
        <w:tc>
          <w:tcPr>
            <w:tcW w:w="2122" w:type="dxa"/>
          </w:tcPr>
          <w:p w14:paraId="3B2BB8BA" w14:textId="77777777" w:rsidR="008715BE" w:rsidRPr="00EC75B7" w:rsidRDefault="008715BE">
            <w:pPr>
              <w:pStyle w:val="TableParagraph"/>
              <w:spacing w:before="96"/>
              <w:rPr>
                <w:rFonts w:ascii="Verdana" w:hAnsi="Verdana"/>
                <w:b/>
                <w:sz w:val="18"/>
                <w:szCs w:val="18"/>
              </w:rPr>
            </w:pPr>
          </w:p>
          <w:p w14:paraId="175A8DD1" w14:textId="77777777" w:rsidR="008715BE" w:rsidRPr="00EC75B7" w:rsidRDefault="00000000">
            <w:pPr>
              <w:pStyle w:val="TableParagraph"/>
              <w:ind w:left="108" w:right="149"/>
              <w:rPr>
                <w:rFonts w:ascii="Verdana" w:hAnsi="Verdana"/>
                <w:sz w:val="18"/>
                <w:szCs w:val="18"/>
              </w:rPr>
            </w:pPr>
            <w:r w:rsidRPr="00EC75B7">
              <w:rPr>
                <w:rFonts w:ascii="Verdana" w:hAnsi="Verdana"/>
                <w:sz w:val="18"/>
                <w:szCs w:val="18"/>
              </w:rPr>
              <w:t xml:space="preserve">Flood / Storm surge / </w:t>
            </w:r>
            <w:r w:rsidRPr="00EC75B7">
              <w:rPr>
                <w:rFonts w:ascii="Verdana" w:hAnsi="Verdana"/>
                <w:spacing w:val="-2"/>
                <w:sz w:val="18"/>
                <w:szCs w:val="18"/>
              </w:rPr>
              <w:t>Heavy</w:t>
            </w:r>
            <w:r w:rsidRPr="00EC75B7">
              <w:rPr>
                <w:rFonts w:ascii="Verdana" w:hAnsi="Verdana"/>
                <w:sz w:val="18"/>
                <w:szCs w:val="18"/>
              </w:rPr>
              <w:t xml:space="preserve"> rainfall</w:t>
            </w:r>
          </w:p>
        </w:tc>
        <w:tc>
          <w:tcPr>
            <w:tcW w:w="994" w:type="dxa"/>
          </w:tcPr>
          <w:p w14:paraId="07FF4107" w14:textId="77777777" w:rsidR="008715BE" w:rsidRPr="00EC75B7" w:rsidRDefault="008715BE">
            <w:pPr>
              <w:pStyle w:val="TableParagraph"/>
              <w:spacing w:before="192"/>
              <w:rPr>
                <w:rFonts w:ascii="Verdana" w:hAnsi="Verdana"/>
                <w:b/>
                <w:sz w:val="18"/>
                <w:szCs w:val="18"/>
              </w:rPr>
            </w:pPr>
          </w:p>
          <w:p w14:paraId="666E6290"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4"/>
                <w:sz w:val="18"/>
                <w:szCs w:val="18"/>
              </w:rPr>
              <w:t>Low</w:t>
            </w:r>
          </w:p>
          <w:p w14:paraId="33C810EB"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likely</w:t>
            </w:r>
          </w:p>
        </w:tc>
        <w:tc>
          <w:tcPr>
            <w:tcW w:w="842" w:type="dxa"/>
            <w:shd w:val="clear" w:color="auto" w:fill="C5DFB4"/>
          </w:tcPr>
          <w:p w14:paraId="1D3DE2B6" w14:textId="77777777" w:rsidR="008715BE" w:rsidRPr="00EC75B7" w:rsidRDefault="008715BE">
            <w:pPr>
              <w:pStyle w:val="TableParagraph"/>
              <w:rPr>
                <w:rFonts w:ascii="Verdana" w:hAnsi="Verdana"/>
                <w:b/>
                <w:sz w:val="18"/>
                <w:szCs w:val="18"/>
              </w:rPr>
            </w:pPr>
          </w:p>
          <w:p w14:paraId="6A2F23B3" w14:textId="77777777" w:rsidR="008715BE" w:rsidRPr="00EC75B7" w:rsidRDefault="008715BE">
            <w:pPr>
              <w:pStyle w:val="TableParagraph"/>
              <w:spacing w:before="95"/>
              <w:rPr>
                <w:rFonts w:ascii="Verdana" w:hAnsi="Verdana"/>
                <w:b/>
                <w:sz w:val="18"/>
                <w:szCs w:val="18"/>
              </w:rPr>
            </w:pPr>
          </w:p>
          <w:p w14:paraId="2D798416" w14:textId="77777777" w:rsidR="008715BE" w:rsidRPr="00EC75B7" w:rsidRDefault="00000000">
            <w:pPr>
              <w:pStyle w:val="TableParagraph"/>
              <w:ind w:left="18" w:right="9"/>
              <w:jc w:val="center"/>
              <w:rPr>
                <w:rFonts w:ascii="Verdana" w:hAnsi="Verdana"/>
                <w:sz w:val="18"/>
                <w:szCs w:val="18"/>
              </w:rPr>
            </w:pPr>
            <w:r w:rsidRPr="00EC75B7">
              <w:rPr>
                <w:rFonts w:ascii="Verdana" w:hAnsi="Verdana"/>
                <w:spacing w:val="-10"/>
                <w:sz w:val="18"/>
                <w:szCs w:val="18"/>
              </w:rPr>
              <w:t>2</w:t>
            </w:r>
          </w:p>
        </w:tc>
        <w:tc>
          <w:tcPr>
            <w:tcW w:w="1000" w:type="dxa"/>
          </w:tcPr>
          <w:p w14:paraId="29CD15B6" w14:textId="77777777" w:rsidR="008715BE" w:rsidRPr="00EC75B7" w:rsidRDefault="008715BE">
            <w:pPr>
              <w:pStyle w:val="TableParagraph"/>
              <w:spacing w:before="192"/>
              <w:rPr>
                <w:rFonts w:ascii="Verdana" w:hAnsi="Verdana"/>
                <w:b/>
                <w:sz w:val="18"/>
                <w:szCs w:val="18"/>
              </w:rPr>
            </w:pPr>
          </w:p>
          <w:p w14:paraId="3BC6B92A"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4"/>
                <w:sz w:val="18"/>
                <w:szCs w:val="18"/>
              </w:rPr>
              <w:t>Unlikely</w:t>
            </w:r>
          </w:p>
          <w:p w14:paraId="51BA5620"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likely</w:t>
            </w:r>
          </w:p>
        </w:tc>
        <w:tc>
          <w:tcPr>
            <w:tcW w:w="1576" w:type="dxa"/>
          </w:tcPr>
          <w:p w14:paraId="7486E99B" w14:textId="77777777" w:rsidR="008715BE" w:rsidRPr="00EC75B7" w:rsidRDefault="008715BE">
            <w:pPr>
              <w:pStyle w:val="TableParagraph"/>
              <w:rPr>
                <w:rFonts w:ascii="Verdana" w:hAnsi="Verdana"/>
                <w:b/>
                <w:sz w:val="18"/>
                <w:szCs w:val="18"/>
              </w:rPr>
            </w:pPr>
          </w:p>
          <w:p w14:paraId="76BCD34B" w14:textId="77777777" w:rsidR="008715BE" w:rsidRPr="00EC75B7" w:rsidRDefault="008715BE">
            <w:pPr>
              <w:pStyle w:val="TableParagraph"/>
              <w:spacing w:before="95"/>
              <w:rPr>
                <w:rFonts w:ascii="Verdana" w:hAnsi="Verdana"/>
                <w:b/>
                <w:sz w:val="18"/>
                <w:szCs w:val="18"/>
              </w:rPr>
            </w:pPr>
          </w:p>
          <w:p w14:paraId="4502EB58" w14:textId="77777777" w:rsidR="008715BE" w:rsidRPr="00EC75B7" w:rsidRDefault="00000000">
            <w:pPr>
              <w:pStyle w:val="TableParagraph"/>
              <w:ind w:left="109"/>
              <w:rPr>
                <w:rFonts w:ascii="Verdana" w:hAnsi="Verdana"/>
                <w:sz w:val="18"/>
                <w:szCs w:val="18"/>
              </w:rPr>
            </w:pPr>
            <w:r w:rsidRPr="00EC75B7">
              <w:rPr>
                <w:rFonts w:ascii="Verdana" w:hAnsi="Verdana"/>
                <w:spacing w:val="-5"/>
                <w:sz w:val="18"/>
                <w:szCs w:val="18"/>
              </w:rPr>
              <w:t>11–30</w:t>
            </w:r>
          </w:p>
        </w:tc>
        <w:tc>
          <w:tcPr>
            <w:tcW w:w="3203" w:type="dxa"/>
          </w:tcPr>
          <w:p w14:paraId="1C0B55A1" w14:textId="77777777" w:rsidR="008715BE" w:rsidRPr="00EC75B7" w:rsidRDefault="00000000">
            <w:pPr>
              <w:pStyle w:val="TableParagraph"/>
              <w:tabs>
                <w:tab w:val="left" w:pos="1103"/>
                <w:tab w:val="left" w:pos="2578"/>
              </w:tabs>
              <w:ind w:left="110" w:right="88"/>
              <w:jc w:val="both"/>
              <w:rPr>
                <w:rFonts w:ascii="Verdana" w:hAnsi="Verdana"/>
                <w:sz w:val="18"/>
                <w:szCs w:val="18"/>
              </w:rPr>
            </w:pPr>
            <w:r w:rsidRPr="00EC75B7">
              <w:rPr>
                <w:rFonts w:ascii="Verdana" w:hAnsi="Verdana"/>
                <w:spacing w:val="-4"/>
                <w:sz w:val="18"/>
                <w:szCs w:val="18"/>
              </w:rPr>
              <w:t>Rainfall regime</w:t>
            </w:r>
            <w:r w:rsidRPr="00EC75B7">
              <w:rPr>
                <w:rFonts w:ascii="Verdana" w:hAnsi="Verdana"/>
                <w:sz w:val="18"/>
                <w:szCs w:val="18"/>
              </w:rPr>
              <w:tab/>
            </w:r>
            <w:r w:rsidRPr="00EC75B7">
              <w:rPr>
                <w:rFonts w:ascii="Verdana" w:hAnsi="Verdana"/>
                <w:spacing w:val="-2"/>
                <w:sz w:val="18"/>
                <w:szCs w:val="18"/>
              </w:rPr>
              <w:t>rainfall</w:t>
            </w:r>
            <w:r w:rsidRPr="00EC75B7">
              <w:rPr>
                <w:rFonts w:ascii="Verdana" w:hAnsi="Verdana"/>
                <w:sz w:val="18"/>
                <w:szCs w:val="18"/>
              </w:rPr>
              <w:tab/>
            </w:r>
            <w:r w:rsidRPr="00EC75B7">
              <w:rPr>
                <w:rFonts w:ascii="Verdana" w:hAnsi="Verdana"/>
                <w:spacing w:val="-2"/>
                <w:sz w:val="18"/>
                <w:szCs w:val="18"/>
              </w:rPr>
              <w:t xml:space="preserve">Reduced; </w:t>
            </w:r>
            <w:r w:rsidRPr="00EC75B7">
              <w:rPr>
                <w:rFonts w:ascii="Verdana" w:hAnsi="Verdana"/>
                <w:sz w:val="18"/>
                <w:szCs w:val="18"/>
              </w:rPr>
              <w:t>episodes of torrential rain are possible, but localised and short-lived; no major watercourses</w:t>
            </w:r>
            <w:r w:rsidRPr="00EC75B7">
              <w:rPr>
                <w:rFonts w:ascii="Verdana" w:hAnsi="Verdana"/>
                <w:spacing w:val="48"/>
                <w:sz w:val="18"/>
                <w:szCs w:val="18"/>
              </w:rPr>
              <w:t xml:space="preserve">   </w:t>
            </w:r>
            <w:r w:rsidRPr="00EC75B7">
              <w:rPr>
                <w:rFonts w:ascii="Verdana" w:hAnsi="Verdana"/>
                <w:sz w:val="18"/>
                <w:szCs w:val="18"/>
              </w:rPr>
              <w:t xml:space="preserve"> </w:t>
            </w:r>
            <w:r w:rsidRPr="00EC75B7">
              <w:rPr>
                <w:rFonts w:ascii="Verdana" w:hAnsi="Verdana"/>
                <w:spacing w:val="49"/>
                <w:sz w:val="18"/>
                <w:szCs w:val="18"/>
              </w:rPr>
              <w:t xml:space="preserve">   </w:t>
            </w:r>
            <w:r w:rsidRPr="00EC75B7">
              <w:rPr>
                <w:rFonts w:ascii="Verdana" w:hAnsi="Verdana"/>
                <w:sz w:val="18"/>
                <w:szCs w:val="18"/>
              </w:rPr>
              <w:t xml:space="preserve"> </w:t>
            </w:r>
            <w:r w:rsidRPr="00EC75B7">
              <w:rPr>
                <w:rFonts w:ascii="Verdana" w:hAnsi="Verdana"/>
                <w:spacing w:val="49"/>
                <w:sz w:val="18"/>
                <w:szCs w:val="18"/>
              </w:rPr>
              <w:t xml:space="preserve">   </w:t>
            </w:r>
            <w:r w:rsidRPr="00EC75B7">
              <w:rPr>
                <w:rFonts w:ascii="Verdana" w:hAnsi="Verdana"/>
                <w:spacing w:val="-2"/>
                <w:sz w:val="18"/>
                <w:szCs w:val="18"/>
              </w:rPr>
              <w:t xml:space="preserve"> </w:t>
            </w:r>
            <w:r w:rsidRPr="00EC75B7">
              <w:rPr>
                <w:rFonts w:ascii="Verdana" w:hAnsi="Verdana"/>
                <w:spacing w:val="49"/>
                <w:sz w:val="18"/>
                <w:szCs w:val="18"/>
              </w:rPr>
              <w:t xml:space="preserve">   </w:t>
            </w:r>
            <w:r w:rsidRPr="00EC75B7">
              <w:rPr>
                <w:rFonts w:ascii="Verdana" w:hAnsi="Verdana"/>
                <w:spacing w:val="-2"/>
                <w:sz w:val="18"/>
                <w:szCs w:val="18"/>
              </w:rPr>
              <w:t xml:space="preserve"> in the immediate vicinity</w:t>
            </w:r>
          </w:p>
          <w:p w14:paraId="79E0BFFA" w14:textId="77777777" w:rsidR="008715BE" w:rsidRPr="00EC75B7" w:rsidRDefault="00000000">
            <w:pPr>
              <w:pStyle w:val="TableParagraph"/>
              <w:spacing w:line="170" w:lineRule="exact"/>
              <w:ind w:left="110"/>
              <w:rPr>
                <w:rFonts w:ascii="Verdana" w:hAnsi="Verdana"/>
                <w:sz w:val="18"/>
                <w:szCs w:val="18"/>
              </w:rPr>
            </w:pPr>
            <w:r w:rsidRPr="00EC75B7">
              <w:rPr>
                <w:rFonts w:ascii="Verdana" w:hAnsi="Verdana"/>
                <w:spacing w:val="-2"/>
                <w:sz w:val="18"/>
                <w:szCs w:val="18"/>
              </w:rPr>
              <w:t>.</w:t>
            </w:r>
          </w:p>
        </w:tc>
      </w:tr>
      <w:tr w:rsidR="008715BE" w:rsidRPr="00EC75B7" w14:paraId="0F72EB90" w14:textId="77777777">
        <w:trPr>
          <w:trHeight w:val="779"/>
        </w:trPr>
        <w:tc>
          <w:tcPr>
            <w:tcW w:w="2122" w:type="dxa"/>
          </w:tcPr>
          <w:p w14:paraId="1694CBD0" w14:textId="77777777" w:rsidR="008715BE" w:rsidRPr="00EC75B7" w:rsidRDefault="008715BE">
            <w:pPr>
              <w:pStyle w:val="TableParagraph"/>
              <w:spacing w:before="96"/>
              <w:rPr>
                <w:rFonts w:ascii="Verdana" w:hAnsi="Verdana"/>
                <w:b/>
                <w:sz w:val="18"/>
                <w:szCs w:val="18"/>
              </w:rPr>
            </w:pPr>
          </w:p>
          <w:p w14:paraId="655BAA1A" w14:textId="77777777" w:rsidR="008715BE" w:rsidRPr="00EC75B7" w:rsidRDefault="00000000">
            <w:pPr>
              <w:pStyle w:val="TableParagraph"/>
              <w:ind w:right="310"/>
              <w:jc w:val="right"/>
              <w:rPr>
                <w:rFonts w:ascii="Verdana" w:hAnsi="Verdana"/>
                <w:sz w:val="18"/>
                <w:szCs w:val="18"/>
              </w:rPr>
            </w:pPr>
            <w:r w:rsidRPr="00EC75B7">
              <w:rPr>
                <w:rFonts w:ascii="Verdana" w:hAnsi="Verdana"/>
                <w:spacing w:val="-2"/>
                <w:sz w:val="18"/>
                <w:szCs w:val="18"/>
              </w:rPr>
              <w:t xml:space="preserve">Vegetation </w:t>
            </w:r>
            <w:r w:rsidRPr="00EC75B7">
              <w:rPr>
                <w:rFonts w:ascii="Verdana" w:hAnsi="Verdana"/>
                <w:sz w:val="18"/>
                <w:szCs w:val="18"/>
              </w:rPr>
              <w:t>fires</w:t>
            </w:r>
          </w:p>
        </w:tc>
        <w:tc>
          <w:tcPr>
            <w:tcW w:w="994" w:type="dxa"/>
          </w:tcPr>
          <w:p w14:paraId="0899827D" w14:textId="77777777" w:rsidR="008715BE" w:rsidRPr="00EC75B7" w:rsidRDefault="008715BE">
            <w:pPr>
              <w:pStyle w:val="TableParagraph"/>
              <w:spacing w:before="96"/>
              <w:rPr>
                <w:rFonts w:ascii="Verdana" w:hAnsi="Verdana"/>
                <w:b/>
                <w:sz w:val="18"/>
                <w:szCs w:val="18"/>
              </w:rPr>
            </w:pPr>
          </w:p>
          <w:p w14:paraId="042F9D20" w14:textId="77777777" w:rsidR="008715BE" w:rsidRPr="00EC75B7" w:rsidRDefault="00000000">
            <w:pPr>
              <w:pStyle w:val="TableParagraph"/>
              <w:ind w:right="216"/>
              <w:jc w:val="right"/>
              <w:rPr>
                <w:rFonts w:ascii="Verdana" w:hAnsi="Verdana"/>
                <w:sz w:val="18"/>
                <w:szCs w:val="18"/>
              </w:rPr>
            </w:pPr>
            <w:r w:rsidRPr="00EC75B7">
              <w:rPr>
                <w:rFonts w:ascii="Verdana" w:hAnsi="Verdana"/>
                <w:spacing w:val="-2"/>
                <w:sz w:val="18"/>
                <w:szCs w:val="18"/>
              </w:rPr>
              <w:t>Moderate</w:t>
            </w:r>
          </w:p>
        </w:tc>
        <w:tc>
          <w:tcPr>
            <w:tcW w:w="842" w:type="dxa"/>
            <w:shd w:val="clear" w:color="auto" w:fill="FFD966"/>
          </w:tcPr>
          <w:p w14:paraId="31AB9271" w14:textId="77777777" w:rsidR="008715BE" w:rsidRPr="00EC75B7" w:rsidRDefault="008715BE">
            <w:pPr>
              <w:pStyle w:val="TableParagraph"/>
              <w:spacing w:before="96"/>
              <w:rPr>
                <w:rFonts w:ascii="Verdana" w:hAnsi="Verdana"/>
                <w:b/>
                <w:sz w:val="18"/>
                <w:szCs w:val="18"/>
              </w:rPr>
            </w:pPr>
          </w:p>
          <w:p w14:paraId="1E1DCD46" w14:textId="77777777" w:rsidR="008715BE" w:rsidRPr="00EC75B7" w:rsidRDefault="00000000">
            <w:pPr>
              <w:pStyle w:val="TableParagraph"/>
              <w:ind w:left="18" w:right="9"/>
              <w:jc w:val="center"/>
              <w:rPr>
                <w:rFonts w:ascii="Verdana" w:hAnsi="Verdana"/>
                <w:sz w:val="18"/>
                <w:szCs w:val="18"/>
              </w:rPr>
            </w:pPr>
            <w:r w:rsidRPr="00EC75B7">
              <w:rPr>
                <w:rFonts w:ascii="Verdana" w:hAnsi="Verdana"/>
                <w:spacing w:val="-10"/>
                <w:sz w:val="18"/>
                <w:szCs w:val="18"/>
              </w:rPr>
              <w:t>3</w:t>
            </w:r>
          </w:p>
        </w:tc>
        <w:tc>
          <w:tcPr>
            <w:tcW w:w="1000" w:type="dxa"/>
          </w:tcPr>
          <w:p w14:paraId="7858B032" w14:textId="77777777" w:rsidR="008715BE" w:rsidRPr="00EC75B7" w:rsidRDefault="008715BE">
            <w:pPr>
              <w:pStyle w:val="TableParagraph"/>
              <w:spacing w:before="96"/>
              <w:rPr>
                <w:rFonts w:ascii="Verdana" w:hAnsi="Verdana"/>
                <w:b/>
                <w:sz w:val="18"/>
                <w:szCs w:val="18"/>
              </w:rPr>
            </w:pPr>
          </w:p>
          <w:p w14:paraId="7D6C7016"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Possible</w:t>
            </w:r>
          </w:p>
        </w:tc>
        <w:tc>
          <w:tcPr>
            <w:tcW w:w="1576" w:type="dxa"/>
          </w:tcPr>
          <w:p w14:paraId="4414FAFF" w14:textId="77777777" w:rsidR="008715BE" w:rsidRPr="00EC75B7" w:rsidRDefault="008715BE">
            <w:pPr>
              <w:pStyle w:val="TableParagraph"/>
              <w:spacing w:before="96"/>
              <w:rPr>
                <w:rFonts w:ascii="Verdana" w:hAnsi="Verdana"/>
                <w:b/>
                <w:sz w:val="18"/>
                <w:szCs w:val="18"/>
              </w:rPr>
            </w:pPr>
          </w:p>
          <w:p w14:paraId="73EDDDFA" w14:textId="77777777" w:rsidR="008715BE" w:rsidRPr="00EC75B7" w:rsidRDefault="00000000">
            <w:pPr>
              <w:pStyle w:val="TableParagraph"/>
              <w:ind w:left="109"/>
              <w:rPr>
                <w:rFonts w:ascii="Verdana" w:hAnsi="Verdana"/>
                <w:sz w:val="18"/>
                <w:szCs w:val="18"/>
              </w:rPr>
            </w:pPr>
            <w:r w:rsidRPr="00EC75B7">
              <w:rPr>
                <w:rFonts w:ascii="Verdana" w:hAnsi="Verdana"/>
                <w:spacing w:val="-5"/>
                <w:sz w:val="18"/>
                <w:szCs w:val="18"/>
              </w:rPr>
              <w:t>31–60</w:t>
            </w:r>
          </w:p>
        </w:tc>
        <w:tc>
          <w:tcPr>
            <w:tcW w:w="3203" w:type="dxa"/>
          </w:tcPr>
          <w:p w14:paraId="0769BBC1" w14:textId="77777777" w:rsidR="008715BE" w:rsidRPr="00EC75B7" w:rsidRDefault="00000000">
            <w:pPr>
              <w:pStyle w:val="TableParagraph"/>
              <w:ind w:left="110" w:right="89"/>
              <w:jc w:val="both"/>
              <w:rPr>
                <w:rFonts w:ascii="Verdana" w:hAnsi="Verdana"/>
                <w:sz w:val="18"/>
                <w:szCs w:val="18"/>
              </w:rPr>
            </w:pPr>
            <w:r w:rsidRPr="00EC75B7">
              <w:rPr>
                <w:rFonts w:ascii="Verdana" w:hAnsi="Verdana"/>
                <w:sz w:val="18"/>
                <w:szCs w:val="18"/>
              </w:rPr>
              <w:t>Seasonal frequency of drought and high temperatures; grass/agricultural vegetation</w:t>
            </w:r>
            <w:r w:rsidRPr="00EC75B7">
              <w:rPr>
                <w:rFonts w:ascii="Verdana" w:hAnsi="Verdana"/>
                <w:spacing w:val="70"/>
                <w:sz w:val="18"/>
                <w:szCs w:val="18"/>
              </w:rPr>
              <w:t xml:space="preserve">  </w:t>
            </w:r>
            <w:r w:rsidRPr="00EC75B7">
              <w:rPr>
                <w:rFonts w:ascii="Verdana" w:hAnsi="Verdana"/>
                <w:sz w:val="18"/>
                <w:szCs w:val="18"/>
              </w:rPr>
              <w:t xml:space="preserve"> susceptible</w:t>
            </w:r>
            <w:r w:rsidRPr="00EC75B7">
              <w:rPr>
                <w:rFonts w:ascii="Verdana" w:hAnsi="Verdana"/>
                <w:spacing w:val="71"/>
                <w:sz w:val="18"/>
                <w:szCs w:val="18"/>
              </w:rPr>
              <w:t xml:space="preserve">  </w:t>
            </w:r>
            <w:r w:rsidRPr="00EC75B7">
              <w:rPr>
                <w:rFonts w:ascii="Verdana" w:hAnsi="Verdana"/>
                <w:spacing w:val="-5"/>
                <w:sz w:val="18"/>
                <w:szCs w:val="18"/>
              </w:rPr>
              <w:t xml:space="preserve"> to</w:t>
            </w:r>
          </w:p>
          <w:p w14:paraId="7E549F5F"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pacing w:val="-2"/>
                <w:sz w:val="18"/>
                <w:szCs w:val="18"/>
              </w:rPr>
              <w:t>ignition.</w:t>
            </w:r>
          </w:p>
        </w:tc>
      </w:tr>
    </w:tbl>
    <w:p w14:paraId="46C3A417" w14:textId="77777777" w:rsidR="008715BE" w:rsidRPr="00EC75B7" w:rsidRDefault="008715BE">
      <w:pPr>
        <w:pStyle w:val="TableParagraph"/>
        <w:spacing w:line="175" w:lineRule="exact"/>
        <w:rPr>
          <w:rFonts w:ascii="Verdana" w:hAnsi="Verdana"/>
          <w:sz w:val="18"/>
          <w:szCs w:val="18"/>
        </w:rPr>
        <w:sectPr w:rsidR="008715BE" w:rsidRPr="00EC75B7">
          <w:pgSz w:w="11910" w:h="16840"/>
          <w:pgMar w:top="1320" w:right="566" w:bottom="1020" w:left="1133" w:header="766" w:footer="824" w:gutter="0"/>
          <w:cols w:space="708"/>
        </w:sectPr>
      </w:pPr>
    </w:p>
    <w:p w14:paraId="5A7AE9B6" w14:textId="77777777" w:rsidR="008715BE" w:rsidRPr="00EC75B7" w:rsidRDefault="008715BE">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122"/>
        <w:gridCol w:w="991"/>
        <w:gridCol w:w="850"/>
        <w:gridCol w:w="998"/>
        <w:gridCol w:w="1578"/>
        <w:gridCol w:w="3205"/>
      </w:tblGrid>
      <w:tr w:rsidR="008715BE" w:rsidRPr="00EC75B7" w14:paraId="17F3F432" w14:textId="77777777">
        <w:trPr>
          <w:trHeight w:val="554"/>
        </w:trPr>
        <w:tc>
          <w:tcPr>
            <w:tcW w:w="2122" w:type="dxa"/>
            <w:shd w:val="clear" w:color="auto" w:fill="00AFEF"/>
          </w:tcPr>
          <w:p w14:paraId="3864BF6A" w14:textId="77777777" w:rsidR="008715BE" w:rsidRPr="00EC75B7" w:rsidRDefault="00000000">
            <w:pPr>
              <w:pStyle w:val="TableParagraph"/>
              <w:spacing w:before="188"/>
              <w:ind w:left="365"/>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991" w:type="dxa"/>
            <w:shd w:val="clear" w:color="auto" w:fill="00AFEF"/>
          </w:tcPr>
          <w:p w14:paraId="0C100640" w14:textId="77777777" w:rsidR="008715BE" w:rsidRPr="00EC75B7" w:rsidRDefault="00000000">
            <w:pPr>
              <w:pStyle w:val="TableParagraph"/>
              <w:spacing w:before="188"/>
              <w:ind w:left="268"/>
              <w:rPr>
                <w:rFonts w:ascii="Verdana" w:hAnsi="Verdana"/>
                <w:b/>
                <w:sz w:val="18"/>
                <w:szCs w:val="18"/>
              </w:rPr>
            </w:pPr>
            <w:r w:rsidRPr="00EC75B7">
              <w:rPr>
                <w:rFonts w:ascii="Verdana" w:hAnsi="Verdana"/>
                <w:b/>
                <w:color w:val="FFFFFF"/>
                <w:spacing w:val="-2"/>
                <w:sz w:val="18"/>
                <w:szCs w:val="18"/>
              </w:rPr>
              <w:t>Level</w:t>
            </w:r>
          </w:p>
        </w:tc>
        <w:tc>
          <w:tcPr>
            <w:tcW w:w="850" w:type="dxa"/>
            <w:shd w:val="clear" w:color="auto" w:fill="00AFEF"/>
          </w:tcPr>
          <w:p w14:paraId="5DCC7654" w14:textId="77777777" w:rsidR="008715BE" w:rsidRPr="00EC75B7" w:rsidRDefault="00000000">
            <w:pPr>
              <w:pStyle w:val="TableParagraph"/>
              <w:spacing w:before="188"/>
              <w:ind w:left="16"/>
              <w:jc w:val="center"/>
              <w:rPr>
                <w:rFonts w:ascii="Verdana" w:hAnsi="Verdana"/>
                <w:b/>
                <w:sz w:val="18"/>
                <w:szCs w:val="18"/>
              </w:rPr>
            </w:pPr>
            <w:r w:rsidRPr="00EC75B7">
              <w:rPr>
                <w:rFonts w:ascii="Verdana" w:hAnsi="Verdana"/>
                <w:b/>
                <w:color w:val="FFFFFF"/>
                <w:spacing w:val="-4"/>
                <w:sz w:val="18"/>
                <w:szCs w:val="18"/>
              </w:rPr>
              <w:t>Score</w:t>
            </w:r>
          </w:p>
        </w:tc>
        <w:tc>
          <w:tcPr>
            <w:tcW w:w="998" w:type="dxa"/>
            <w:shd w:val="clear" w:color="auto" w:fill="00AFEF"/>
          </w:tcPr>
          <w:p w14:paraId="07E44D62" w14:textId="77777777" w:rsidR="008715BE" w:rsidRPr="00EC75B7" w:rsidRDefault="00000000">
            <w:pPr>
              <w:pStyle w:val="TableParagraph"/>
              <w:spacing w:before="188"/>
              <w:ind w:left="129"/>
              <w:rPr>
                <w:rFonts w:ascii="Verdana" w:hAnsi="Verdana"/>
                <w:b/>
                <w:sz w:val="18"/>
                <w:szCs w:val="18"/>
              </w:rPr>
            </w:pPr>
            <w:r w:rsidRPr="00EC75B7">
              <w:rPr>
                <w:rFonts w:ascii="Verdana" w:hAnsi="Verdana"/>
                <w:b/>
                <w:color w:val="FFFFFF"/>
                <w:spacing w:val="-2"/>
                <w:sz w:val="18"/>
                <w:szCs w:val="18"/>
              </w:rPr>
              <w:t>Qualitative</w:t>
            </w:r>
          </w:p>
        </w:tc>
        <w:tc>
          <w:tcPr>
            <w:tcW w:w="1578" w:type="dxa"/>
            <w:shd w:val="clear" w:color="auto" w:fill="00AFEF"/>
          </w:tcPr>
          <w:p w14:paraId="5C796C69" w14:textId="77777777" w:rsidR="008715BE" w:rsidRPr="00EC75B7" w:rsidRDefault="00000000">
            <w:pPr>
              <w:pStyle w:val="TableParagraph"/>
              <w:spacing w:before="92" w:line="195" w:lineRule="exact"/>
              <w:ind w:left="20" w:right="2"/>
              <w:jc w:val="center"/>
              <w:rPr>
                <w:rFonts w:ascii="Verdana" w:hAnsi="Verdana"/>
                <w:b/>
                <w:sz w:val="18"/>
                <w:szCs w:val="18"/>
              </w:rPr>
            </w:pPr>
            <w:r w:rsidRPr="00EC75B7">
              <w:rPr>
                <w:rFonts w:ascii="Verdana" w:hAnsi="Verdana"/>
                <w:b/>
                <w:color w:val="FFFFFF"/>
                <w:spacing w:val="-2"/>
                <w:sz w:val="18"/>
                <w:szCs w:val="18"/>
              </w:rPr>
              <w:t>Probability</w:t>
            </w:r>
          </w:p>
          <w:p w14:paraId="3940E0BF" w14:textId="77777777" w:rsidR="008715BE" w:rsidRPr="00EC75B7" w:rsidRDefault="00000000">
            <w:pPr>
              <w:pStyle w:val="TableParagraph"/>
              <w:spacing w:line="195" w:lineRule="exact"/>
              <w:ind w:left="20"/>
              <w:jc w:val="center"/>
              <w:rPr>
                <w:rFonts w:ascii="Verdana" w:hAnsi="Verdana"/>
                <w:b/>
                <w:sz w:val="18"/>
                <w:szCs w:val="18"/>
              </w:rPr>
            </w:pPr>
            <w:r w:rsidRPr="00EC75B7">
              <w:rPr>
                <w:rFonts w:ascii="Verdana" w:hAnsi="Verdana"/>
                <w:b/>
                <w:color w:val="FFFFFF"/>
                <w:sz w:val="18"/>
                <w:szCs w:val="18"/>
              </w:rPr>
              <w:t xml:space="preserve">of </w:t>
            </w:r>
            <w:r w:rsidRPr="00EC75B7">
              <w:rPr>
                <w:rFonts w:ascii="Verdana" w:hAnsi="Verdana"/>
                <w:b/>
                <w:color w:val="FFFFFF"/>
                <w:spacing w:val="-2"/>
                <w:sz w:val="18"/>
                <w:szCs w:val="18"/>
              </w:rPr>
              <w:t>occurrence</w:t>
            </w:r>
          </w:p>
        </w:tc>
        <w:tc>
          <w:tcPr>
            <w:tcW w:w="3205" w:type="dxa"/>
            <w:shd w:val="clear" w:color="auto" w:fill="00AFEF"/>
          </w:tcPr>
          <w:p w14:paraId="08FAC8BF" w14:textId="77777777" w:rsidR="008715BE" w:rsidRPr="00EC75B7" w:rsidRDefault="00000000">
            <w:pPr>
              <w:pStyle w:val="TableParagraph"/>
              <w:spacing w:before="188"/>
              <w:ind w:left="19"/>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385422F2" w14:textId="77777777">
        <w:trPr>
          <w:trHeight w:val="582"/>
        </w:trPr>
        <w:tc>
          <w:tcPr>
            <w:tcW w:w="2122" w:type="dxa"/>
          </w:tcPr>
          <w:p w14:paraId="04EBED79" w14:textId="77777777" w:rsidR="008715BE" w:rsidRPr="00EC75B7" w:rsidRDefault="008715BE">
            <w:pPr>
              <w:pStyle w:val="TableParagraph"/>
              <w:spacing w:before="7"/>
              <w:rPr>
                <w:rFonts w:ascii="Verdana" w:hAnsi="Verdana"/>
                <w:b/>
                <w:sz w:val="18"/>
                <w:szCs w:val="18"/>
              </w:rPr>
            </w:pPr>
          </w:p>
          <w:p w14:paraId="6A01DD1F" w14:textId="77777777" w:rsidR="008715BE" w:rsidRPr="00EC75B7" w:rsidRDefault="00000000">
            <w:pPr>
              <w:pStyle w:val="TableParagraph"/>
              <w:ind w:left="108"/>
              <w:rPr>
                <w:rFonts w:ascii="Verdana" w:hAnsi="Verdana"/>
                <w:sz w:val="18"/>
                <w:szCs w:val="18"/>
              </w:rPr>
            </w:pPr>
            <w:r w:rsidRPr="00EC75B7">
              <w:rPr>
                <w:rFonts w:ascii="Verdana" w:hAnsi="Verdana"/>
                <w:spacing w:val="-4"/>
                <w:sz w:val="18"/>
                <w:szCs w:val="18"/>
              </w:rPr>
              <w:t xml:space="preserve">Cold </w:t>
            </w:r>
            <w:r w:rsidRPr="00EC75B7">
              <w:rPr>
                <w:rFonts w:ascii="Verdana" w:hAnsi="Verdana"/>
                <w:sz w:val="18"/>
                <w:szCs w:val="18"/>
              </w:rPr>
              <w:t>wave</w:t>
            </w:r>
          </w:p>
        </w:tc>
        <w:tc>
          <w:tcPr>
            <w:tcW w:w="991" w:type="dxa"/>
          </w:tcPr>
          <w:p w14:paraId="648CE7DE" w14:textId="77777777" w:rsidR="008715BE" w:rsidRPr="00EC75B7" w:rsidRDefault="00000000">
            <w:pPr>
              <w:pStyle w:val="TableParagraph"/>
              <w:spacing w:before="106" w:line="195" w:lineRule="exact"/>
              <w:ind w:left="110"/>
              <w:rPr>
                <w:rFonts w:ascii="Verdana" w:hAnsi="Verdana"/>
                <w:sz w:val="18"/>
                <w:szCs w:val="18"/>
              </w:rPr>
            </w:pPr>
            <w:r w:rsidRPr="00EC75B7">
              <w:rPr>
                <w:rFonts w:ascii="Verdana" w:hAnsi="Verdana"/>
                <w:spacing w:val="-4"/>
                <w:sz w:val="18"/>
                <w:szCs w:val="18"/>
              </w:rPr>
              <w:t>Low</w:t>
            </w:r>
          </w:p>
          <w:p w14:paraId="0CA82849"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likely</w:t>
            </w:r>
          </w:p>
        </w:tc>
        <w:tc>
          <w:tcPr>
            <w:tcW w:w="850" w:type="dxa"/>
            <w:shd w:val="clear" w:color="auto" w:fill="C5DFB4"/>
          </w:tcPr>
          <w:p w14:paraId="2A1E3CEE" w14:textId="77777777" w:rsidR="008715BE" w:rsidRPr="00EC75B7" w:rsidRDefault="008715BE">
            <w:pPr>
              <w:pStyle w:val="TableParagraph"/>
              <w:spacing w:before="7"/>
              <w:rPr>
                <w:rFonts w:ascii="Verdana" w:hAnsi="Verdana"/>
                <w:b/>
                <w:sz w:val="18"/>
                <w:szCs w:val="18"/>
              </w:rPr>
            </w:pPr>
          </w:p>
          <w:p w14:paraId="65144A14"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2</w:t>
            </w:r>
          </w:p>
        </w:tc>
        <w:tc>
          <w:tcPr>
            <w:tcW w:w="998" w:type="dxa"/>
          </w:tcPr>
          <w:p w14:paraId="566AD661" w14:textId="77777777" w:rsidR="008715BE" w:rsidRPr="00EC75B7" w:rsidRDefault="00000000">
            <w:pPr>
              <w:pStyle w:val="TableParagraph"/>
              <w:spacing w:before="106" w:line="195" w:lineRule="exact"/>
              <w:ind w:left="103"/>
              <w:rPr>
                <w:rFonts w:ascii="Verdana" w:hAnsi="Verdana"/>
                <w:sz w:val="18"/>
                <w:szCs w:val="18"/>
              </w:rPr>
            </w:pPr>
            <w:r w:rsidRPr="00EC75B7">
              <w:rPr>
                <w:rFonts w:ascii="Verdana" w:hAnsi="Verdana"/>
                <w:spacing w:val="-4"/>
                <w:sz w:val="18"/>
                <w:szCs w:val="18"/>
              </w:rPr>
              <w:t>Unlikely</w:t>
            </w:r>
          </w:p>
          <w:p w14:paraId="5BAF1D68"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likely</w:t>
            </w:r>
          </w:p>
        </w:tc>
        <w:tc>
          <w:tcPr>
            <w:tcW w:w="1578" w:type="dxa"/>
          </w:tcPr>
          <w:p w14:paraId="6807F446" w14:textId="77777777" w:rsidR="008715BE" w:rsidRPr="00EC75B7" w:rsidRDefault="008715BE">
            <w:pPr>
              <w:pStyle w:val="TableParagraph"/>
              <w:spacing w:before="7"/>
              <w:rPr>
                <w:rFonts w:ascii="Verdana" w:hAnsi="Verdana"/>
                <w:b/>
                <w:sz w:val="18"/>
                <w:szCs w:val="18"/>
              </w:rPr>
            </w:pPr>
          </w:p>
          <w:p w14:paraId="143304F0"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11–30</w:t>
            </w:r>
          </w:p>
        </w:tc>
        <w:tc>
          <w:tcPr>
            <w:tcW w:w="3205" w:type="dxa"/>
          </w:tcPr>
          <w:p w14:paraId="0451270F" w14:textId="77777777" w:rsidR="008715BE" w:rsidRPr="00EC75B7" w:rsidRDefault="00000000">
            <w:pPr>
              <w:pStyle w:val="TableParagraph"/>
              <w:spacing w:line="194" w:lineRule="exact"/>
              <w:ind w:left="105" w:right="97"/>
              <w:jc w:val="both"/>
              <w:rPr>
                <w:rFonts w:ascii="Verdana" w:hAnsi="Verdana"/>
                <w:sz w:val="18"/>
                <w:szCs w:val="18"/>
              </w:rPr>
            </w:pPr>
            <w:r w:rsidRPr="00EC75B7">
              <w:rPr>
                <w:rFonts w:ascii="Verdana" w:hAnsi="Verdana"/>
                <w:sz w:val="18"/>
                <w:szCs w:val="18"/>
              </w:rPr>
              <w:t>Southeastern Romania has milder winters; episodes of extreme cold are rare and short-lived.</w:t>
            </w:r>
          </w:p>
        </w:tc>
      </w:tr>
      <w:tr w:rsidR="008715BE" w:rsidRPr="00EC75B7" w14:paraId="79461B14" w14:textId="77777777">
        <w:trPr>
          <w:trHeight w:val="585"/>
        </w:trPr>
        <w:tc>
          <w:tcPr>
            <w:tcW w:w="2122" w:type="dxa"/>
          </w:tcPr>
          <w:p w14:paraId="0ECD761C" w14:textId="77777777" w:rsidR="008715BE" w:rsidRPr="00EC75B7" w:rsidRDefault="00000000">
            <w:pPr>
              <w:pStyle w:val="TableParagraph"/>
              <w:spacing w:before="106"/>
              <w:ind w:left="108" w:right="149"/>
              <w:rPr>
                <w:rFonts w:ascii="Verdana" w:hAnsi="Verdana"/>
                <w:sz w:val="18"/>
                <w:szCs w:val="18"/>
              </w:rPr>
            </w:pPr>
            <w:r w:rsidRPr="00EC75B7">
              <w:rPr>
                <w:rFonts w:ascii="Verdana" w:hAnsi="Verdana"/>
                <w:sz w:val="18"/>
                <w:szCs w:val="18"/>
              </w:rPr>
              <w:t>Change in wind patterns</w:t>
            </w:r>
          </w:p>
        </w:tc>
        <w:tc>
          <w:tcPr>
            <w:tcW w:w="991" w:type="dxa"/>
          </w:tcPr>
          <w:p w14:paraId="7B38BBA1" w14:textId="77777777" w:rsidR="008715BE" w:rsidRPr="00EC75B7" w:rsidRDefault="008715BE">
            <w:pPr>
              <w:pStyle w:val="TableParagraph"/>
              <w:spacing w:before="9"/>
              <w:rPr>
                <w:rFonts w:ascii="Verdana" w:hAnsi="Verdana"/>
                <w:b/>
                <w:sz w:val="18"/>
                <w:szCs w:val="18"/>
              </w:rPr>
            </w:pPr>
          </w:p>
          <w:p w14:paraId="4A82F6D0" w14:textId="77777777" w:rsidR="008715BE" w:rsidRPr="00EC75B7" w:rsidRDefault="00000000">
            <w:pPr>
              <w:pStyle w:val="TableParagraph"/>
              <w:ind w:left="110"/>
              <w:rPr>
                <w:rFonts w:ascii="Verdana" w:hAnsi="Verdana"/>
                <w:sz w:val="18"/>
                <w:szCs w:val="18"/>
              </w:rPr>
            </w:pPr>
            <w:r w:rsidRPr="00EC75B7">
              <w:rPr>
                <w:rFonts w:ascii="Verdana" w:hAnsi="Verdana"/>
                <w:spacing w:val="-2"/>
                <w:sz w:val="18"/>
                <w:szCs w:val="18"/>
              </w:rPr>
              <w:t>Moderate</w:t>
            </w:r>
          </w:p>
        </w:tc>
        <w:tc>
          <w:tcPr>
            <w:tcW w:w="850" w:type="dxa"/>
            <w:shd w:val="clear" w:color="auto" w:fill="FFD966"/>
          </w:tcPr>
          <w:p w14:paraId="1D4375FC" w14:textId="77777777" w:rsidR="008715BE" w:rsidRPr="00EC75B7" w:rsidRDefault="008715BE">
            <w:pPr>
              <w:pStyle w:val="TableParagraph"/>
              <w:spacing w:before="9"/>
              <w:rPr>
                <w:rFonts w:ascii="Verdana" w:hAnsi="Verdana"/>
                <w:b/>
                <w:sz w:val="18"/>
                <w:szCs w:val="18"/>
              </w:rPr>
            </w:pPr>
          </w:p>
          <w:p w14:paraId="40121804"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3</w:t>
            </w:r>
          </w:p>
        </w:tc>
        <w:tc>
          <w:tcPr>
            <w:tcW w:w="998" w:type="dxa"/>
          </w:tcPr>
          <w:p w14:paraId="113038A2" w14:textId="77777777" w:rsidR="008715BE" w:rsidRPr="00EC75B7" w:rsidRDefault="008715BE">
            <w:pPr>
              <w:pStyle w:val="TableParagraph"/>
              <w:spacing w:before="9"/>
              <w:rPr>
                <w:rFonts w:ascii="Verdana" w:hAnsi="Verdana"/>
                <w:b/>
                <w:sz w:val="18"/>
                <w:szCs w:val="18"/>
              </w:rPr>
            </w:pPr>
          </w:p>
          <w:p w14:paraId="01F956E7" w14:textId="77777777" w:rsidR="008715BE" w:rsidRPr="00EC75B7" w:rsidRDefault="00000000">
            <w:pPr>
              <w:pStyle w:val="TableParagraph"/>
              <w:ind w:left="103"/>
              <w:rPr>
                <w:rFonts w:ascii="Verdana" w:hAnsi="Verdana"/>
                <w:sz w:val="18"/>
                <w:szCs w:val="18"/>
              </w:rPr>
            </w:pPr>
            <w:r w:rsidRPr="00EC75B7">
              <w:rPr>
                <w:rFonts w:ascii="Verdana" w:hAnsi="Verdana"/>
                <w:spacing w:val="-2"/>
                <w:sz w:val="18"/>
                <w:szCs w:val="18"/>
              </w:rPr>
              <w:t>Possible</w:t>
            </w:r>
          </w:p>
        </w:tc>
        <w:tc>
          <w:tcPr>
            <w:tcW w:w="1578" w:type="dxa"/>
          </w:tcPr>
          <w:p w14:paraId="55878A4C" w14:textId="77777777" w:rsidR="008715BE" w:rsidRPr="00EC75B7" w:rsidRDefault="008715BE">
            <w:pPr>
              <w:pStyle w:val="TableParagraph"/>
              <w:spacing w:before="9"/>
              <w:rPr>
                <w:rFonts w:ascii="Verdana" w:hAnsi="Verdana"/>
                <w:b/>
                <w:sz w:val="18"/>
                <w:szCs w:val="18"/>
              </w:rPr>
            </w:pPr>
          </w:p>
          <w:p w14:paraId="4BD17029"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31–60</w:t>
            </w:r>
          </w:p>
        </w:tc>
        <w:tc>
          <w:tcPr>
            <w:tcW w:w="3205" w:type="dxa"/>
          </w:tcPr>
          <w:p w14:paraId="3CC8AA9D" w14:textId="77777777" w:rsidR="008715BE" w:rsidRPr="00EC75B7" w:rsidRDefault="00000000">
            <w:pPr>
              <w:pStyle w:val="TableParagraph"/>
              <w:spacing w:line="194" w:lineRule="exact"/>
              <w:ind w:left="105" w:right="95"/>
              <w:jc w:val="both"/>
              <w:rPr>
                <w:rFonts w:ascii="Verdana" w:hAnsi="Verdana"/>
                <w:sz w:val="18"/>
                <w:szCs w:val="18"/>
              </w:rPr>
            </w:pPr>
            <w:r w:rsidRPr="00EC75B7">
              <w:rPr>
                <w:rFonts w:ascii="Verdana" w:hAnsi="Verdana"/>
                <w:sz w:val="18"/>
                <w:szCs w:val="18"/>
              </w:rPr>
              <w:t>Interannual and seasonal variability specific to Dobrogea; chronic phenomenon associated with climate change.</w:t>
            </w:r>
          </w:p>
        </w:tc>
      </w:tr>
      <w:tr w:rsidR="008715BE" w:rsidRPr="00EC75B7" w14:paraId="7C9A6786" w14:textId="77777777">
        <w:trPr>
          <w:trHeight w:val="582"/>
        </w:trPr>
        <w:tc>
          <w:tcPr>
            <w:tcW w:w="2122" w:type="dxa"/>
          </w:tcPr>
          <w:p w14:paraId="1189CA80" w14:textId="77777777" w:rsidR="008715BE" w:rsidRPr="00EC75B7" w:rsidRDefault="00000000">
            <w:pPr>
              <w:pStyle w:val="TableParagraph"/>
              <w:spacing w:line="194" w:lineRule="exact"/>
              <w:ind w:left="108" w:right="149"/>
              <w:rPr>
                <w:rFonts w:ascii="Verdana" w:hAnsi="Verdana"/>
                <w:sz w:val="18"/>
                <w:szCs w:val="18"/>
              </w:rPr>
            </w:pPr>
            <w:r w:rsidRPr="00EC75B7">
              <w:rPr>
                <w:rFonts w:ascii="Verdana" w:hAnsi="Verdana"/>
                <w:sz w:val="18"/>
                <w:szCs w:val="18"/>
              </w:rPr>
              <w:t xml:space="preserve">Extreme wind (storm, lightning, hurricane, </w:t>
            </w:r>
            <w:r w:rsidRPr="00EC75B7">
              <w:rPr>
                <w:rFonts w:ascii="Verdana" w:hAnsi="Verdana"/>
                <w:spacing w:val="-2"/>
                <w:sz w:val="18"/>
                <w:szCs w:val="18"/>
              </w:rPr>
              <w:t>tornado)</w:t>
            </w:r>
          </w:p>
        </w:tc>
        <w:tc>
          <w:tcPr>
            <w:tcW w:w="991" w:type="dxa"/>
          </w:tcPr>
          <w:p w14:paraId="6E2A4A44" w14:textId="77777777" w:rsidR="008715BE" w:rsidRPr="00EC75B7" w:rsidRDefault="008715BE">
            <w:pPr>
              <w:pStyle w:val="TableParagraph"/>
              <w:spacing w:before="7"/>
              <w:rPr>
                <w:rFonts w:ascii="Verdana" w:hAnsi="Verdana"/>
                <w:b/>
                <w:sz w:val="18"/>
                <w:szCs w:val="18"/>
              </w:rPr>
            </w:pPr>
          </w:p>
          <w:p w14:paraId="677014A0" w14:textId="77777777" w:rsidR="008715BE" w:rsidRPr="00EC75B7" w:rsidRDefault="00000000">
            <w:pPr>
              <w:pStyle w:val="TableParagraph"/>
              <w:ind w:left="110"/>
              <w:rPr>
                <w:rFonts w:ascii="Verdana" w:hAnsi="Verdana"/>
                <w:sz w:val="18"/>
                <w:szCs w:val="18"/>
              </w:rPr>
            </w:pPr>
            <w:r w:rsidRPr="00EC75B7">
              <w:rPr>
                <w:rFonts w:ascii="Verdana" w:hAnsi="Verdana"/>
                <w:spacing w:val="-2"/>
                <w:sz w:val="18"/>
                <w:szCs w:val="18"/>
              </w:rPr>
              <w:t>Moderate</w:t>
            </w:r>
          </w:p>
        </w:tc>
        <w:tc>
          <w:tcPr>
            <w:tcW w:w="850" w:type="dxa"/>
            <w:shd w:val="clear" w:color="auto" w:fill="FFD966"/>
          </w:tcPr>
          <w:p w14:paraId="51D43D21" w14:textId="77777777" w:rsidR="008715BE" w:rsidRPr="00EC75B7" w:rsidRDefault="008715BE">
            <w:pPr>
              <w:pStyle w:val="TableParagraph"/>
              <w:spacing w:before="7"/>
              <w:rPr>
                <w:rFonts w:ascii="Verdana" w:hAnsi="Verdana"/>
                <w:b/>
                <w:sz w:val="18"/>
                <w:szCs w:val="18"/>
              </w:rPr>
            </w:pPr>
          </w:p>
          <w:p w14:paraId="5639F041"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3</w:t>
            </w:r>
          </w:p>
        </w:tc>
        <w:tc>
          <w:tcPr>
            <w:tcW w:w="998" w:type="dxa"/>
          </w:tcPr>
          <w:p w14:paraId="07C2E295" w14:textId="77777777" w:rsidR="008715BE" w:rsidRPr="00EC75B7" w:rsidRDefault="008715BE">
            <w:pPr>
              <w:pStyle w:val="TableParagraph"/>
              <w:spacing w:before="7"/>
              <w:rPr>
                <w:rFonts w:ascii="Verdana" w:hAnsi="Verdana"/>
                <w:b/>
                <w:sz w:val="18"/>
                <w:szCs w:val="18"/>
              </w:rPr>
            </w:pPr>
          </w:p>
          <w:p w14:paraId="5A7B0FFF" w14:textId="77777777" w:rsidR="008715BE" w:rsidRPr="00EC75B7" w:rsidRDefault="00000000">
            <w:pPr>
              <w:pStyle w:val="TableParagraph"/>
              <w:ind w:left="103"/>
              <w:rPr>
                <w:rFonts w:ascii="Verdana" w:hAnsi="Verdana"/>
                <w:sz w:val="18"/>
                <w:szCs w:val="18"/>
              </w:rPr>
            </w:pPr>
            <w:r w:rsidRPr="00EC75B7">
              <w:rPr>
                <w:rFonts w:ascii="Verdana" w:hAnsi="Verdana"/>
                <w:spacing w:val="-2"/>
                <w:sz w:val="18"/>
                <w:szCs w:val="18"/>
              </w:rPr>
              <w:t>Possible</w:t>
            </w:r>
          </w:p>
        </w:tc>
        <w:tc>
          <w:tcPr>
            <w:tcW w:w="1578" w:type="dxa"/>
          </w:tcPr>
          <w:p w14:paraId="3E21875F" w14:textId="77777777" w:rsidR="008715BE" w:rsidRPr="00EC75B7" w:rsidRDefault="008715BE">
            <w:pPr>
              <w:pStyle w:val="TableParagraph"/>
              <w:spacing w:before="7"/>
              <w:rPr>
                <w:rFonts w:ascii="Verdana" w:hAnsi="Verdana"/>
                <w:b/>
                <w:sz w:val="18"/>
                <w:szCs w:val="18"/>
              </w:rPr>
            </w:pPr>
          </w:p>
          <w:p w14:paraId="27532A45"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31–60</w:t>
            </w:r>
          </w:p>
        </w:tc>
        <w:tc>
          <w:tcPr>
            <w:tcW w:w="3205" w:type="dxa"/>
          </w:tcPr>
          <w:p w14:paraId="3C895BFA" w14:textId="77777777" w:rsidR="008715BE" w:rsidRPr="00EC75B7" w:rsidRDefault="00000000">
            <w:pPr>
              <w:pStyle w:val="TableParagraph"/>
              <w:spacing w:line="194" w:lineRule="exact"/>
              <w:ind w:left="105" w:right="95"/>
              <w:jc w:val="both"/>
              <w:rPr>
                <w:rFonts w:ascii="Verdana" w:hAnsi="Verdana"/>
                <w:sz w:val="18"/>
                <w:szCs w:val="18"/>
              </w:rPr>
            </w:pPr>
            <w:r w:rsidRPr="00EC75B7">
              <w:rPr>
                <w:rFonts w:ascii="Verdana" w:hAnsi="Verdana"/>
                <w:sz w:val="18"/>
                <w:szCs w:val="18"/>
              </w:rPr>
              <w:t>Recurring convective storms; rare tornadoes, but historically documented in southeastern Romania.</w:t>
            </w:r>
          </w:p>
        </w:tc>
      </w:tr>
      <w:tr w:rsidR="008715BE" w:rsidRPr="00EC75B7" w14:paraId="603CC8B8" w14:textId="77777777">
        <w:trPr>
          <w:trHeight w:val="777"/>
        </w:trPr>
        <w:tc>
          <w:tcPr>
            <w:tcW w:w="2122" w:type="dxa"/>
          </w:tcPr>
          <w:p w14:paraId="4A827A7D" w14:textId="77777777" w:rsidR="008715BE" w:rsidRPr="00EC75B7" w:rsidRDefault="008715BE">
            <w:pPr>
              <w:pStyle w:val="TableParagraph"/>
              <w:spacing w:before="7"/>
              <w:rPr>
                <w:rFonts w:ascii="Verdana" w:hAnsi="Verdana"/>
                <w:b/>
                <w:sz w:val="18"/>
                <w:szCs w:val="18"/>
              </w:rPr>
            </w:pPr>
          </w:p>
          <w:p w14:paraId="0AA1DC2A"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Landslides / Avalanches / Subsidence</w:t>
            </w:r>
          </w:p>
        </w:tc>
        <w:tc>
          <w:tcPr>
            <w:tcW w:w="991" w:type="dxa"/>
          </w:tcPr>
          <w:p w14:paraId="7E87E70F" w14:textId="77777777" w:rsidR="008715BE" w:rsidRPr="00EC75B7" w:rsidRDefault="008715BE">
            <w:pPr>
              <w:pStyle w:val="TableParagraph"/>
              <w:spacing w:before="105"/>
              <w:rPr>
                <w:rFonts w:ascii="Verdana" w:hAnsi="Verdana"/>
                <w:b/>
                <w:sz w:val="18"/>
                <w:szCs w:val="18"/>
              </w:rPr>
            </w:pPr>
          </w:p>
          <w:p w14:paraId="3EB8264E" w14:textId="77777777" w:rsidR="008715BE" w:rsidRPr="00EC75B7" w:rsidRDefault="00000000">
            <w:pPr>
              <w:pStyle w:val="TableParagraph"/>
              <w:ind w:left="110"/>
              <w:rPr>
                <w:rFonts w:ascii="Verdana" w:hAnsi="Verdana"/>
                <w:sz w:val="18"/>
                <w:szCs w:val="18"/>
              </w:rPr>
            </w:pPr>
            <w:r w:rsidRPr="00EC75B7">
              <w:rPr>
                <w:rFonts w:ascii="Verdana" w:hAnsi="Verdana"/>
                <w:spacing w:val="-5"/>
                <w:sz w:val="18"/>
                <w:szCs w:val="18"/>
              </w:rPr>
              <w:t>Rare</w:t>
            </w:r>
          </w:p>
        </w:tc>
        <w:tc>
          <w:tcPr>
            <w:tcW w:w="850" w:type="dxa"/>
            <w:tcBorders>
              <w:bottom w:val="nil"/>
            </w:tcBorders>
            <w:shd w:val="clear" w:color="auto" w:fill="D9D9D9"/>
          </w:tcPr>
          <w:p w14:paraId="39A261EB" w14:textId="77777777" w:rsidR="008715BE" w:rsidRPr="00EC75B7" w:rsidRDefault="008715BE">
            <w:pPr>
              <w:pStyle w:val="TableParagraph"/>
              <w:spacing w:before="105"/>
              <w:rPr>
                <w:rFonts w:ascii="Verdana" w:hAnsi="Verdana"/>
                <w:b/>
                <w:sz w:val="18"/>
                <w:szCs w:val="18"/>
              </w:rPr>
            </w:pPr>
          </w:p>
          <w:p w14:paraId="25933736"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1</w:t>
            </w:r>
          </w:p>
        </w:tc>
        <w:tc>
          <w:tcPr>
            <w:tcW w:w="998" w:type="dxa"/>
          </w:tcPr>
          <w:p w14:paraId="1BB9C6FF" w14:textId="77777777" w:rsidR="008715BE" w:rsidRPr="00EC75B7" w:rsidRDefault="00000000">
            <w:pPr>
              <w:pStyle w:val="TableParagraph"/>
              <w:spacing w:before="106"/>
              <w:ind w:left="103" w:right="230"/>
              <w:rPr>
                <w:rFonts w:ascii="Verdana" w:hAnsi="Verdana"/>
                <w:sz w:val="18"/>
                <w:szCs w:val="18"/>
              </w:rPr>
            </w:pPr>
            <w:r w:rsidRPr="00EC75B7">
              <w:rPr>
                <w:rFonts w:ascii="Verdana" w:hAnsi="Verdana"/>
                <w:spacing w:val="-2"/>
                <w:sz w:val="18"/>
                <w:szCs w:val="18"/>
              </w:rPr>
              <w:t>Very unlikely</w:t>
            </w:r>
          </w:p>
        </w:tc>
        <w:tc>
          <w:tcPr>
            <w:tcW w:w="1578" w:type="dxa"/>
          </w:tcPr>
          <w:p w14:paraId="4113D6D7" w14:textId="77777777" w:rsidR="008715BE" w:rsidRPr="00EC75B7" w:rsidRDefault="008715BE">
            <w:pPr>
              <w:pStyle w:val="TableParagraph"/>
              <w:spacing w:before="105"/>
              <w:rPr>
                <w:rFonts w:ascii="Verdana" w:hAnsi="Verdana"/>
                <w:b/>
                <w:sz w:val="18"/>
                <w:szCs w:val="18"/>
              </w:rPr>
            </w:pPr>
          </w:p>
          <w:p w14:paraId="3125C468"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0–10</w:t>
            </w:r>
          </w:p>
        </w:tc>
        <w:tc>
          <w:tcPr>
            <w:tcW w:w="3205" w:type="dxa"/>
          </w:tcPr>
          <w:p w14:paraId="10EC9C81" w14:textId="77777777" w:rsidR="008715BE" w:rsidRPr="00EC75B7" w:rsidRDefault="00000000">
            <w:pPr>
              <w:pStyle w:val="TableParagraph"/>
              <w:tabs>
                <w:tab w:val="left" w:pos="2228"/>
              </w:tabs>
              <w:spacing w:line="194" w:lineRule="exact"/>
              <w:ind w:left="105" w:right="95"/>
              <w:jc w:val="both"/>
              <w:rPr>
                <w:rFonts w:ascii="Verdana" w:hAnsi="Verdana"/>
                <w:sz w:val="18"/>
                <w:szCs w:val="18"/>
              </w:rPr>
            </w:pPr>
            <w:r w:rsidRPr="00EC75B7">
              <w:rPr>
                <w:rFonts w:ascii="Verdana" w:hAnsi="Verdana"/>
                <w:sz w:val="18"/>
                <w:szCs w:val="18"/>
              </w:rPr>
              <w:t xml:space="preserve">Predominantly flat terrain; lack of geomorphological conditions for </w:t>
            </w:r>
            <w:r w:rsidRPr="00EC75B7">
              <w:rPr>
                <w:rFonts w:ascii="Verdana" w:hAnsi="Verdana"/>
                <w:spacing w:val="-2"/>
                <w:sz w:val="18"/>
                <w:szCs w:val="18"/>
              </w:rPr>
              <w:t>landslides/avalanches;</w:t>
            </w:r>
            <w:r w:rsidRPr="00EC75B7">
              <w:rPr>
                <w:rFonts w:ascii="Verdana" w:hAnsi="Verdana"/>
                <w:sz w:val="18"/>
                <w:szCs w:val="18"/>
              </w:rPr>
              <w:tab/>
            </w:r>
            <w:r w:rsidRPr="00EC75B7">
              <w:rPr>
                <w:rFonts w:ascii="Verdana" w:hAnsi="Verdana"/>
                <w:spacing w:val="-4"/>
                <w:sz w:val="18"/>
                <w:szCs w:val="18"/>
              </w:rPr>
              <w:t xml:space="preserve">subsidence </w:t>
            </w:r>
            <w:r w:rsidRPr="00EC75B7">
              <w:rPr>
                <w:rFonts w:ascii="Verdana" w:hAnsi="Verdana"/>
                <w:sz w:val="18"/>
                <w:szCs w:val="18"/>
              </w:rPr>
              <w:t>possible only in isolated cases.</w:t>
            </w:r>
          </w:p>
        </w:tc>
      </w:tr>
      <w:tr w:rsidR="008715BE" w:rsidRPr="00EC75B7" w14:paraId="5FEE6930" w14:textId="77777777">
        <w:trPr>
          <w:trHeight w:val="582"/>
        </w:trPr>
        <w:tc>
          <w:tcPr>
            <w:tcW w:w="2122" w:type="dxa"/>
          </w:tcPr>
          <w:p w14:paraId="16ED1C1A" w14:textId="77777777" w:rsidR="008715BE" w:rsidRPr="00EC75B7" w:rsidRDefault="00000000">
            <w:pPr>
              <w:pStyle w:val="TableParagraph"/>
              <w:spacing w:before="106"/>
              <w:ind w:left="108" w:right="149"/>
              <w:rPr>
                <w:rFonts w:ascii="Verdana" w:hAnsi="Verdana"/>
                <w:sz w:val="18"/>
                <w:szCs w:val="18"/>
              </w:rPr>
            </w:pPr>
            <w:r w:rsidRPr="00EC75B7">
              <w:rPr>
                <w:rFonts w:ascii="Verdana" w:hAnsi="Verdana"/>
                <w:sz w:val="18"/>
                <w:szCs w:val="18"/>
              </w:rPr>
              <w:t>Sea level rise / Saltwater intrusion</w:t>
            </w:r>
          </w:p>
        </w:tc>
        <w:tc>
          <w:tcPr>
            <w:tcW w:w="991" w:type="dxa"/>
          </w:tcPr>
          <w:p w14:paraId="215BE272" w14:textId="77777777" w:rsidR="008715BE" w:rsidRPr="00EC75B7" w:rsidRDefault="008715BE">
            <w:pPr>
              <w:pStyle w:val="TableParagraph"/>
              <w:spacing w:before="7"/>
              <w:rPr>
                <w:rFonts w:ascii="Verdana" w:hAnsi="Verdana"/>
                <w:b/>
                <w:sz w:val="18"/>
                <w:szCs w:val="18"/>
              </w:rPr>
            </w:pPr>
          </w:p>
          <w:p w14:paraId="5D0AF073" w14:textId="77777777" w:rsidR="008715BE" w:rsidRPr="00EC75B7" w:rsidRDefault="00000000">
            <w:pPr>
              <w:pStyle w:val="TableParagraph"/>
              <w:ind w:left="110"/>
              <w:rPr>
                <w:rFonts w:ascii="Verdana" w:hAnsi="Verdana"/>
                <w:sz w:val="18"/>
                <w:szCs w:val="18"/>
              </w:rPr>
            </w:pPr>
            <w:r w:rsidRPr="00EC75B7">
              <w:rPr>
                <w:rFonts w:ascii="Verdana" w:hAnsi="Verdana"/>
                <w:spacing w:val="-5"/>
                <w:sz w:val="18"/>
                <w:szCs w:val="18"/>
              </w:rPr>
              <w:t>Rare</w:t>
            </w:r>
          </w:p>
        </w:tc>
        <w:tc>
          <w:tcPr>
            <w:tcW w:w="850" w:type="dxa"/>
            <w:tcBorders>
              <w:top w:val="nil"/>
              <w:bottom w:val="nil"/>
            </w:tcBorders>
            <w:shd w:val="clear" w:color="auto" w:fill="D9D9D9"/>
          </w:tcPr>
          <w:p w14:paraId="07B75F19" w14:textId="77777777" w:rsidR="008715BE" w:rsidRPr="00EC75B7" w:rsidRDefault="008715BE">
            <w:pPr>
              <w:pStyle w:val="TableParagraph"/>
              <w:spacing w:before="7"/>
              <w:rPr>
                <w:rFonts w:ascii="Verdana" w:hAnsi="Verdana"/>
                <w:b/>
                <w:sz w:val="18"/>
                <w:szCs w:val="18"/>
              </w:rPr>
            </w:pPr>
          </w:p>
          <w:p w14:paraId="20C7E41A"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1</w:t>
            </w:r>
          </w:p>
        </w:tc>
        <w:tc>
          <w:tcPr>
            <w:tcW w:w="998" w:type="dxa"/>
          </w:tcPr>
          <w:p w14:paraId="2F867EC1" w14:textId="77777777" w:rsidR="008715BE" w:rsidRPr="00EC75B7" w:rsidRDefault="00000000">
            <w:pPr>
              <w:pStyle w:val="TableParagraph"/>
              <w:spacing w:line="194" w:lineRule="exact"/>
              <w:ind w:left="103" w:right="230"/>
              <w:rPr>
                <w:rFonts w:ascii="Verdana" w:hAnsi="Verdana"/>
                <w:sz w:val="18"/>
                <w:szCs w:val="18"/>
              </w:rPr>
            </w:pPr>
            <w:r w:rsidRPr="00EC75B7">
              <w:rPr>
                <w:rFonts w:ascii="Verdana" w:hAnsi="Verdana"/>
                <w:spacing w:val="-2"/>
                <w:sz w:val="18"/>
                <w:szCs w:val="18"/>
              </w:rPr>
              <w:t>Very unlikely</w:t>
            </w:r>
          </w:p>
        </w:tc>
        <w:tc>
          <w:tcPr>
            <w:tcW w:w="1578" w:type="dxa"/>
          </w:tcPr>
          <w:p w14:paraId="55B98CA0" w14:textId="77777777" w:rsidR="008715BE" w:rsidRPr="00EC75B7" w:rsidRDefault="008715BE">
            <w:pPr>
              <w:pStyle w:val="TableParagraph"/>
              <w:spacing w:before="7"/>
              <w:rPr>
                <w:rFonts w:ascii="Verdana" w:hAnsi="Verdana"/>
                <w:b/>
                <w:sz w:val="18"/>
                <w:szCs w:val="18"/>
              </w:rPr>
            </w:pPr>
          </w:p>
          <w:p w14:paraId="4A54C026"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0</w:t>
            </w:r>
          </w:p>
        </w:tc>
        <w:tc>
          <w:tcPr>
            <w:tcW w:w="3205" w:type="dxa"/>
          </w:tcPr>
          <w:p w14:paraId="305C4C78" w14:textId="77777777" w:rsidR="008715BE" w:rsidRPr="00EC75B7" w:rsidRDefault="00000000">
            <w:pPr>
              <w:pStyle w:val="TableParagraph"/>
              <w:spacing w:line="194" w:lineRule="exact"/>
              <w:ind w:left="105" w:right="95"/>
              <w:jc w:val="both"/>
              <w:rPr>
                <w:rFonts w:ascii="Verdana" w:hAnsi="Verdana"/>
                <w:sz w:val="18"/>
                <w:szCs w:val="18"/>
              </w:rPr>
            </w:pPr>
            <w:r w:rsidRPr="00EC75B7">
              <w:rPr>
                <w:rFonts w:ascii="Verdana" w:hAnsi="Verdana"/>
                <w:sz w:val="18"/>
                <w:szCs w:val="18"/>
              </w:rPr>
              <w:t>The site is located in a coastal area; no direct mechanisms of influence.</w:t>
            </w:r>
          </w:p>
        </w:tc>
      </w:tr>
      <w:tr w:rsidR="008715BE" w:rsidRPr="00EC75B7" w14:paraId="02A6DB04" w14:textId="77777777">
        <w:trPr>
          <w:trHeight w:val="585"/>
        </w:trPr>
        <w:tc>
          <w:tcPr>
            <w:tcW w:w="2122" w:type="dxa"/>
          </w:tcPr>
          <w:p w14:paraId="58464F39" w14:textId="77777777" w:rsidR="008715BE" w:rsidRPr="00EC75B7" w:rsidRDefault="00000000">
            <w:pPr>
              <w:pStyle w:val="TableParagraph"/>
              <w:spacing w:before="106" w:line="195" w:lineRule="exact"/>
              <w:ind w:left="108"/>
              <w:rPr>
                <w:rFonts w:ascii="Verdana" w:hAnsi="Verdana"/>
                <w:sz w:val="18"/>
                <w:szCs w:val="18"/>
              </w:rPr>
            </w:pPr>
            <w:r w:rsidRPr="00EC75B7">
              <w:rPr>
                <w:rFonts w:ascii="Verdana" w:hAnsi="Verdana"/>
                <w:spacing w:val="-2"/>
                <w:sz w:val="18"/>
                <w:szCs w:val="18"/>
              </w:rPr>
              <w:t>Thawing</w:t>
            </w:r>
          </w:p>
          <w:p w14:paraId="1C5A100E"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of permafrost</w:t>
            </w:r>
          </w:p>
        </w:tc>
        <w:tc>
          <w:tcPr>
            <w:tcW w:w="991" w:type="dxa"/>
          </w:tcPr>
          <w:p w14:paraId="4626B477" w14:textId="77777777" w:rsidR="008715BE" w:rsidRPr="00EC75B7" w:rsidRDefault="008715BE">
            <w:pPr>
              <w:pStyle w:val="TableParagraph"/>
              <w:spacing w:before="9"/>
              <w:rPr>
                <w:rFonts w:ascii="Verdana" w:hAnsi="Verdana"/>
                <w:b/>
                <w:sz w:val="18"/>
                <w:szCs w:val="18"/>
              </w:rPr>
            </w:pPr>
          </w:p>
          <w:p w14:paraId="55E608BA" w14:textId="77777777" w:rsidR="008715BE" w:rsidRPr="00EC75B7" w:rsidRDefault="00000000">
            <w:pPr>
              <w:pStyle w:val="TableParagraph"/>
              <w:ind w:left="110"/>
              <w:rPr>
                <w:rFonts w:ascii="Verdana" w:hAnsi="Verdana"/>
                <w:sz w:val="18"/>
                <w:szCs w:val="18"/>
              </w:rPr>
            </w:pPr>
            <w:r w:rsidRPr="00EC75B7">
              <w:rPr>
                <w:rFonts w:ascii="Verdana" w:hAnsi="Verdana"/>
                <w:spacing w:val="-5"/>
                <w:sz w:val="18"/>
                <w:szCs w:val="18"/>
              </w:rPr>
              <w:t>Rare</w:t>
            </w:r>
          </w:p>
        </w:tc>
        <w:tc>
          <w:tcPr>
            <w:tcW w:w="850" w:type="dxa"/>
            <w:tcBorders>
              <w:top w:val="nil"/>
              <w:bottom w:val="nil"/>
            </w:tcBorders>
            <w:shd w:val="clear" w:color="auto" w:fill="D9D9D9"/>
          </w:tcPr>
          <w:p w14:paraId="74E9BD0E" w14:textId="77777777" w:rsidR="008715BE" w:rsidRPr="00EC75B7" w:rsidRDefault="008715BE">
            <w:pPr>
              <w:pStyle w:val="TableParagraph"/>
              <w:spacing w:before="9"/>
              <w:rPr>
                <w:rFonts w:ascii="Verdana" w:hAnsi="Verdana"/>
                <w:b/>
                <w:sz w:val="18"/>
                <w:szCs w:val="18"/>
              </w:rPr>
            </w:pPr>
          </w:p>
          <w:p w14:paraId="4606BB18"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1</w:t>
            </w:r>
          </w:p>
        </w:tc>
        <w:tc>
          <w:tcPr>
            <w:tcW w:w="998" w:type="dxa"/>
          </w:tcPr>
          <w:p w14:paraId="0B446F0C" w14:textId="77777777" w:rsidR="008715BE" w:rsidRPr="00EC75B7" w:rsidRDefault="00000000">
            <w:pPr>
              <w:pStyle w:val="TableParagraph"/>
              <w:spacing w:before="10" w:line="195" w:lineRule="exact"/>
              <w:ind w:left="103"/>
              <w:rPr>
                <w:rFonts w:ascii="Verdana" w:hAnsi="Verdana"/>
                <w:sz w:val="18"/>
                <w:szCs w:val="18"/>
              </w:rPr>
            </w:pPr>
            <w:r w:rsidRPr="00EC75B7">
              <w:rPr>
                <w:rFonts w:ascii="Verdana" w:hAnsi="Verdana"/>
                <w:spacing w:val="-2"/>
                <w:sz w:val="18"/>
                <w:szCs w:val="18"/>
              </w:rPr>
              <w:t>Very</w:t>
            </w:r>
          </w:p>
          <w:p w14:paraId="5B64E557"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little</w:t>
            </w:r>
          </w:p>
          <w:p w14:paraId="48BF2D78" w14:textId="77777777" w:rsidR="008715BE" w:rsidRPr="00EC75B7" w:rsidRDefault="00000000">
            <w:pPr>
              <w:pStyle w:val="TableParagraph"/>
              <w:spacing w:line="166" w:lineRule="exact"/>
              <w:ind w:left="103"/>
              <w:rPr>
                <w:rFonts w:ascii="Verdana" w:hAnsi="Verdana"/>
                <w:sz w:val="18"/>
                <w:szCs w:val="18"/>
              </w:rPr>
            </w:pPr>
            <w:r w:rsidRPr="00EC75B7">
              <w:rPr>
                <w:rFonts w:ascii="Verdana" w:hAnsi="Verdana"/>
                <w:spacing w:val="-2"/>
                <w:sz w:val="18"/>
                <w:szCs w:val="18"/>
              </w:rPr>
              <w:t>likely</w:t>
            </w:r>
          </w:p>
        </w:tc>
        <w:tc>
          <w:tcPr>
            <w:tcW w:w="1578" w:type="dxa"/>
          </w:tcPr>
          <w:p w14:paraId="69403FE4" w14:textId="77777777" w:rsidR="008715BE" w:rsidRPr="00EC75B7" w:rsidRDefault="008715BE">
            <w:pPr>
              <w:pStyle w:val="TableParagraph"/>
              <w:spacing w:before="9"/>
              <w:rPr>
                <w:rFonts w:ascii="Verdana" w:hAnsi="Verdana"/>
                <w:b/>
                <w:sz w:val="18"/>
                <w:szCs w:val="18"/>
              </w:rPr>
            </w:pPr>
          </w:p>
          <w:p w14:paraId="60DFEBDD"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0</w:t>
            </w:r>
          </w:p>
        </w:tc>
        <w:tc>
          <w:tcPr>
            <w:tcW w:w="3205" w:type="dxa"/>
          </w:tcPr>
          <w:p w14:paraId="0968558E" w14:textId="77777777" w:rsidR="008715BE" w:rsidRPr="00EC75B7" w:rsidRDefault="00000000">
            <w:pPr>
              <w:pStyle w:val="TableParagraph"/>
              <w:spacing w:before="106"/>
              <w:ind w:left="105"/>
              <w:rPr>
                <w:rFonts w:ascii="Verdana" w:hAnsi="Verdana"/>
                <w:sz w:val="18"/>
                <w:szCs w:val="18"/>
              </w:rPr>
            </w:pPr>
            <w:r w:rsidRPr="00EC75B7">
              <w:rPr>
                <w:rFonts w:ascii="Verdana" w:hAnsi="Verdana"/>
                <w:sz w:val="18"/>
                <w:szCs w:val="18"/>
              </w:rPr>
              <w:t>Hazard not relevant for Romania (no permafrost).</w:t>
            </w:r>
          </w:p>
        </w:tc>
      </w:tr>
      <w:tr w:rsidR="008715BE" w:rsidRPr="00EC75B7" w14:paraId="12CC915D" w14:textId="77777777">
        <w:trPr>
          <w:trHeight w:val="777"/>
        </w:trPr>
        <w:tc>
          <w:tcPr>
            <w:tcW w:w="2122" w:type="dxa"/>
          </w:tcPr>
          <w:p w14:paraId="562CE54B" w14:textId="77777777" w:rsidR="008715BE" w:rsidRPr="00EC75B7" w:rsidRDefault="008715BE">
            <w:pPr>
              <w:pStyle w:val="TableParagraph"/>
              <w:spacing w:before="103"/>
              <w:rPr>
                <w:rFonts w:ascii="Verdana" w:hAnsi="Verdana"/>
                <w:b/>
                <w:sz w:val="18"/>
                <w:szCs w:val="18"/>
              </w:rPr>
            </w:pPr>
          </w:p>
          <w:p w14:paraId="13655AF9"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991" w:type="dxa"/>
          </w:tcPr>
          <w:p w14:paraId="325FBC14" w14:textId="77777777" w:rsidR="008715BE" w:rsidRPr="00EC75B7" w:rsidRDefault="008715BE">
            <w:pPr>
              <w:pStyle w:val="TableParagraph"/>
              <w:spacing w:before="7"/>
              <w:rPr>
                <w:rFonts w:ascii="Verdana" w:hAnsi="Verdana"/>
                <w:b/>
                <w:sz w:val="18"/>
                <w:szCs w:val="18"/>
              </w:rPr>
            </w:pPr>
          </w:p>
          <w:p w14:paraId="1DBF18E5" w14:textId="77777777" w:rsidR="008715BE" w:rsidRPr="00EC75B7" w:rsidRDefault="00000000">
            <w:pPr>
              <w:pStyle w:val="TableParagraph"/>
              <w:ind w:left="110" w:right="196"/>
              <w:rPr>
                <w:rFonts w:ascii="Verdana" w:hAnsi="Verdana"/>
                <w:sz w:val="18"/>
                <w:szCs w:val="18"/>
              </w:rPr>
            </w:pPr>
            <w:r w:rsidRPr="00EC75B7">
              <w:rPr>
                <w:rFonts w:ascii="Verdana" w:hAnsi="Verdana"/>
                <w:spacing w:val="-2"/>
                <w:sz w:val="18"/>
                <w:szCs w:val="18"/>
              </w:rPr>
              <w:t>Almost certain</w:t>
            </w:r>
          </w:p>
        </w:tc>
        <w:tc>
          <w:tcPr>
            <w:tcW w:w="850" w:type="dxa"/>
            <w:tcBorders>
              <w:top w:val="nil"/>
            </w:tcBorders>
            <w:shd w:val="clear" w:color="auto" w:fill="FF7E60"/>
          </w:tcPr>
          <w:p w14:paraId="472AC38F" w14:textId="77777777" w:rsidR="008715BE" w:rsidRPr="00EC75B7" w:rsidRDefault="008715BE">
            <w:pPr>
              <w:pStyle w:val="TableParagraph"/>
              <w:spacing w:before="103"/>
              <w:rPr>
                <w:rFonts w:ascii="Verdana" w:hAnsi="Verdana"/>
                <w:b/>
                <w:sz w:val="18"/>
                <w:szCs w:val="18"/>
              </w:rPr>
            </w:pPr>
          </w:p>
          <w:p w14:paraId="4E9D31E5"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5</w:t>
            </w:r>
          </w:p>
        </w:tc>
        <w:tc>
          <w:tcPr>
            <w:tcW w:w="998" w:type="dxa"/>
          </w:tcPr>
          <w:p w14:paraId="7F8FFC13" w14:textId="77777777" w:rsidR="008715BE" w:rsidRPr="00EC75B7" w:rsidRDefault="008715BE">
            <w:pPr>
              <w:pStyle w:val="TableParagraph"/>
              <w:spacing w:before="7"/>
              <w:rPr>
                <w:rFonts w:ascii="Verdana" w:hAnsi="Verdana"/>
                <w:b/>
                <w:sz w:val="18"/>
                <w:szCs w:val="18"/>
              </w:rPr>
            </w:pPr>
          </w:p>
          <w:p w14:paraId="51C65598" w14:textId="77777777" w:rsidR="008715BE" w:rsidRPr="00EC75B7" w:rsidRDefault="00000000">
            <w:pPr>
              <w:pStyle w:val="TableParagraph"/>
              <w:ind w:left="103" w:right="230"/>
              <w:rPr>
                <w:rFonts w:ascii="Verdana" w:hAnsi="Verdana"/>
                <w:sz w:val="18"/>
                <w:szCs w:val="18"/>
              </w:rPr>
            </w:pPr>
            <w:r w:rsidRPr="00EC75B7">
              <w:rPr>
                <w:rFonts w:ascii="Verdana" w:hAnsi="Verdana"/>
                <w:spacing w:val="-2"/>
                <w:sz w:val="18"/>
                <w:szCs w:val="18"/>
              </w:rPr>
              <w:t>Very likely</w:t>
            </w:r>
          </w:p>
        </w:tc>
        <w:tc>
          <w:tcPr>
            <w:tcW w:w="1578" w:type="dxa"/>
          </w:tcPr>
          <w:p w14:paraId="40CE8940" w14:textId="77777777" w:rsidR="008715BE" w:rsidRPr="00EC75B7" w:rsidRDefault="008715BE">
            <w:pPr>
              <w:pStyle w:val="TableParagraph"/>
              <w:spacing w:before="103"/>
              <w:rPr>
                <w:rFonts w:ascii="Verdana" w:hAnsi="Verdana"/>
                <w:b/>
                <w:sz w:val="18"/>
                <w:szCs w:val="18"/>
              </w:rPr>
            </w:pPr>
          </w:p>
          <w:p w14:paraId="4E743EB5" w14:textId="77777777" w:rsidR="008715BE" w:rsidRPr="00EC75B7" w:rsidRDefault="00000000">
            <w:pPr>
              <w:pStyle w:val="TableParagraph"/>
              <w:ind w:left="106"/>
              <w:rPr>
                <w:rFonts w:ascii="Verdana" w:hAnsi="Verdana"/>
                <w:sz w:val="18"/>
                <w:szCs w:val="18"/>
              </w:rPr>
            </w:pPr>
            <w:r w:rsidRPr="00EC75B7">
              <w:rPr>
                <w:rFonts w:ascii="Verdana" w:hAnsi="Verdana"/>
                <w:spacing w:val="-4"/>
                <w:sz w:val="18"/>
                <w:szCs w:val="18"/>
              </w:rPr>
              <w:t>91–100</w:t>
            </w:r>
          </w:p>
        </w:tc>
        <w:tc>
          <w:tcPr>
            <w:tcW w:w="3205" w:type="dxa"/>
          </w:tcPr>
          <w:p w14:paraId="5C967327" w14:textId="77777777" w:rsidR="008715BE" w:rsidRPr="00EC75B7" w:rsidRDefault="00000000">
            <w:pPr>
              <w:pStyle w:val="TableParagraph"/>
              <w:spacing w:line="194" w:lineRule="exact"/>
              <w:ind w:left="105" w:right="96"/>
              <w:jc w:val="both"/>
              <w:rPr>
                <w:rFonts w:ascii="Verdana" w:hAnsi="Verdana"/>
                <w:sz w:val="18"/>
                <w:szCs w:val="18"/>
              </w:rPr>
            </w:pPr>
            <w:r w:rsidRPr="00EC75B7">
              <w:rPr>
                <w:rFonts w:ascii="Verdana" w:hAnsi="Verdana"/>
                <w:sz w:val="18"/>
                <w:szCs w:val="18"/>
              </w:rPr>
              <w:t xml:space="preserve">Already a recurring phenomenon; clear increase in frequency and duration in Dobrogea, confirmed by </w:t>
            </w:r>
            <w:r w:rsidRPr="00EC75B7">
              <w:rPr>
                <w:rFonts w:ascii="Verdana" w:hAnsi="Verdana"/>
                <w:spacing w:val="-2"/>
                <w:sz w:val="18"/>
                <w:szCs w:val="18"/>
              </w:rPr>
              <w:t>climate</w:t>
            </w:r>
            <w:r w:rsidRPr="00EC75B7">
              <w:rPr>
                <w:rFonts w:ascii="Verdana" w:hAnsi="Verdana"/>
                <w:sz w:val="18"/>
                <w:szCs w:val="18"/>
              </w:rPr>
              <w:t xml:space="preserve"> projections</w:t>
            </w:r>
            <w:r w:rsidRPr="00EC75B7">
              <w:rPr>
                <w:rFonts w:ascii="Verdana" w:hAnsi="Verdana"/>
                <w:spacing w:val="-2"/>
                <w:sz w:val="18"/>
                <w:szCs w:val="18"/>
              </w:rPr>
              <w:t>.</w:t>
            </w:r>
          </w:p>
        </w:tc>
      </w:tr>
      <w:tr w:rsidR="008715BE" w:rsidRPr="00EC75B7" w14:paraId="1BF72074" w14:textId="77777777">
        <w:trPr>
          <w:trHeight w:val="388"/>
        </w:trPr>
        <w:tc>
          <w:tcPr>
            <w:tcW w:w="2122" w:type="dxa"/>
          </w:tcPr>
          <w:p w14:paraId="4CF1495E" w14:textId="77777777" w:rsidR="008715BE" w:rsidRPr="00EC75B7" w:rsidRDefault="00000000">
            <w:pPr>
              <w:pStyle w:val="TableParagraph"/>
              <w:spacing w:before="106"/>
              <w:ind w:left="108"/>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991" w:type="dxa"/>
          </w:tcPr>
          <w:p w14:paraId="5F9877E8" w14:textId="77777777" w:rsidR="008715BE" w:rsidRPr="00EC75B7" w:rsidRDefault="00000000">
            <w:pPr>
              <w:pStyle w:val="TableParagraph"/>
              <w:spacing w:before="106"/>
              <w:ind w:left="110"/>
              <w:rPr>
                <w:rFonts w:ascii="Verdana" w:hAnsi="Verdana"/>
                <w:sz w:val="18"/>
                <w:szCs w:val="18"/>
              </w:rPr>
            </w:pPr>
            <w:r w:rsidRPr="00EC75B7">
              <w:rPr>
                <w:rFonts w:ascii="Verdana" w:hAnsi="Verdana"/>
                <w:spacing w:val="-2"/>
                <w:sz w:val="18"/>
                <w:szCs w:val="18"/>
              </w:rPr>
              <w:t>Likely</w:t>
            </w:r>
          </w:p>
        </w:tc>
        <w:tc>
          <w:tcPr>
            <w:tcW w:w="850" w:type="dxa"/>
            <w:shd w:val="clear" w:color="auto" w:fill="F8CAAC"/>
          </w:tcPr>
          <w:p w14:paraId="773CFA89" w14:textId="77777777" w:rsidR="008715BE" w:rsidRPr="00EC75B7" w:rsidRDefault="00000000">
            <w:pPr>
              <w:pStyle w:val="TableParagraph"/>
              <w:spacing w:before="106"/>
              <w:ind w:left="16" w:right="9"/>
              <w:jc w:val="center"/>
              <w:rPr>
                <w:rFonts w:ascii="Verdana" w:hAnsi="Verdana"/>
                <w:sz w:val="18"/>
                <w:szCs w:val="18"/>
              </w:rPr>
            </w:pPr>
            <w:r w:rsidRPr="00EC75B7">
              <w:rPr>
                <w:rFonts w:ascii="Verdana" w:hAnsi="Verdana"/>
                <w:spacing w:val="-10"/>
                <w:sz w:val="18"/>
                <w:szCs w:val="18"/>
              </w:rPr>
              <w:t>4</w:t>
            </w:r>
          </w:p>
        </w:tc>
        <w:tc>
          <w:tcPr>
            <w:tcW w:w="998" w:type="dxa"/>
          </w:tcPr>
          <w:p w14:paraId="79645240" w14:textId="77777777" w:rsidR="008715BE" w:rsidRPr="00EC75B7" w:rsidRDefault="00000000">
            <w:pPr>
              <w:pStyle w:val="TableParagraph"/>
              <w:spacing w:before="106"/>
              <w:ind w:left="103"/>
              <w:rPr>
                <w:rFonts w:ascii="Verdana" w:hAnsi="Verdana"/>
                <w:sz w:val="18"/>
                <w:szCs w:val="18"/>
              </w:rPr>
            </w:pPr>
            <w:r w:rsidRPr="00EC75B7">
              <w:rPr>
                <w:rFonts w:ascii="Verdana" w:hAnsi="Verdana"/>
                <w:spacing w:val="-2"/>
                <w:sz w:val="18"/>
                <w:szCs w:val="18"/>
              </w:rPr>
              <w:t>Likely</w:t>
            </w:r>
          </w:p>
        </w:tc>
        <w:tc>
          <w:tcPr>
            <w:tcW w:w="1578" w:type="dxa"/>
          </w:tcPr>
          <w:p w14:paraId="18B46474" w14:textId="77777777" w:rsidR="008715BE" w:rsidRPr="00EC75B7" w:rsidRDefault="00000000">
            <w:pPr>
              <w:pStyle w:val="TableParagraph"/>
              <w:spacing w:before="106"/>
              <w:ind w:left="106"/>
              <w:rPr>
                <w:rFonts w:ascii="Verdana" w:hAnsi="Verdana"/>
                <w:sz w:val="18"/>
                <w:szCs w:val="18"/>
              </w:rPr>
            </w:pPr>
            <w:r w:rsidRPr="00EC75B7">
              <w:rPr>
                <w:rFonts w:ascii="Verdana" w:hAnsi="Verdana"/>
                <w:spacing w:val="-5"/>
                <w:sz w:val="18"/>
                <w:szCs w:val="18"/>
              </w:rPr>
              <w:t>61–90</w:t>
            </w:r>
          </w:p>
        </w:tc>
        <w:tc>
          <w:tcPr>
            <w:tcW w:w="3205" w:type="dxa"/>
          </w:tcPr>
          <w:p w14:paraId="5B7E6BB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Increase in temperature range and rapid transitions between seasons.</w:t>
            </w:r>
          </w:p>
        </w:tc>
      </w:tr>
      <w:tr w:rsidR="008715BE" w:rsidRPr="00EC75B7" w14:paraId="4014D612" w14:textId="77777777">
        <w:trPr>
          <w:trHeight w:val="582"/>
        </w:trPr>
        <w:tc>
          <w:tcPr>
            <w:tcW w:w="2122" w:type="dxa"/>
          </w:tcPr>
          <w:p w14:paraId="72A4B4DD" w14:textId="77777777" w:rsidR="008715BE" w:rsidRPr="00EC75B7" w:rsidRDefault="008715BE">
            <w:pPr>
              <w:pStyle w:val="TableParagraph"/>
              <w:spacing w:before="7"/>
              <w:rPr>
                <w:rFonts w:ascii="Verdana" w:hAnsi="Verdana"/>
                <w:b/>
                <w:sz w:val="18"/>
                <w:szCs w:val="18"/>
              </w:rPr>
            </w:pPr>
          </w:p>
          <w:p w14:paraId="33BB815D"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Drought</w:t>
            </w:r>
          </w:p>
        </w:tc>
        <w:tc>
          <w:tcPr>
            <w:tcW w:w="991" w:type="dxa"/>
          </w:tcPr>
          <w:p w14:paraId="3B5EA906" w14:textId="77777777" w:rsidR="008715BE" w:rsidRPr="00EC75B7" w:rsidRDefault="00000000">
            <w:pPr>
              <w:pStyle w:val="TableParagraph"/>
              <w:spacing w:before="106"/>
              <w:ind w:left="110" w:right="196"/>
              <w:rPr>
                <w:rFonts w:ascii="Verdana" w:hAnsi="Verdana"/>
                <w:sz w:val="18"/>
                <w:szCs w:val="18"/>
              </w:rPr>
            </w:pPr>
            <w:r w:rsidRPr="00EC75B7">
              <w:rPr>
                <w:rFonts w:ascii="Verdana" w:hAnsi="Verdana"/>
                <w:spacing w:val="-2"/>
                <w:sz w:val="18"/>
                <w:szCs w:val="18"/>
              </w:rPr>
              <w:t>Almost certain</w:t>
            </w:r>
          </w:p>
        </w:tc>
        <w:tc>
          <w:tcPr>
            <w:tcW w:w="850" w:type="dxa"/>
            <w:shd w:val="clear" w:color="auto" w:fill="FF7E60"/>
          </w:tcPr>
          <w:p w14:paraId="398715A9" w14:textId="77777777" w:rsidR="008715BE" w:rsidRPr="00EC75B7" w:rsidRDefault="008715BE">
            <w:pPr>
              <w:pStyle w:val="TableParagraph"/>
              <w:spacing w:before="7"/>
              <w:rPr>
                <w:rFonts w:ascii="Verdana" w:hAnsi="Verdana"/>
                <w:b/>
                <w:sz w:val="18"/>
                <w:szCs w:val="18"/>
              </w:rPr>
            </w:pPr>
          </w:p>
          <w:p w14:paraId="0E56BD01"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5</w:t>
            </w:r>
          </w:p>
        </w:tc>
        <w:tc>
          <w:tcPr>
            <w:tcW w:w="998" w:type="dxa"/>
          </w:tcPr>
          <w:p w14:paraId="309D8337" w14:textId="77777777" w:rsidR="008715BE" w:rsidRPr="00EC75B7" w:rsidRDefault="00000000">
            <w:pPr>
              <w:pStyle w:val="TableParagraph"/>
              <w:spacing w:before="106"/>
              <w:ind w:left="103" w:right="230"/>
              <w:rPr>
                <w:rFonts w:ascii="Verdana" w:hAnsi="Verdana"/>
                <w:sz w:val="18"/>
                <w:szCs w:val="18"/>
              </w:rPr>
            </w:pPr>
            <w:r w:rsidRPr="00EC75B7">
              <w:rPr>
                <w:rFonts w:ascii="Verdana" w:hAnsi="Verdana"/>
                <w:spacing w:val="-2"/>
                <w:sz w:val="18"/>
                <w:szCs w:val="18"/>
              </w:rPr>
              <w:t>Very likely</w:t>
            </w:r>
          </w:p>
        </w:tc>
        <w:tc>
          <w:tcPr>
            <w:tcW w:w="1578" w:type="dxa"/>
          </w:tcPr>
          <w:p w14:paraId="25BFA322" w14:textId="77777777" w:rsidR="008715BE" w:rsidRPr="00EC75B7" w:rsidRDefault="008715BE">
            <w:pPr>
              <w:pStyle w:val="TableParagraph"/>
              <w:spacing w:before="7"/>
              <w:rPr>
                <w:rFonts w:ascii="Verdana" w:hAnsi="Verdana"/>
                <w:b/>
                <w:sz w:val="18"/>
                <w:szCs w:val="18"/>
              </w:rPr>
            </w:pPr>
          </w:p>
          <w:p w14:paraId="43E21423" w14:textId="77777777" w:rsidR="008715BE" w:rsidRPr="00EC75B7" w:rsidRDefault="00000000">
            <w:pPr>
              <w:pStyle w:val="TableParagraph"/>
              <w:ind w:left="106"/>
              <w:rPr>
                <w:rFonts w:ascii="Verdana" w:hAnsi="Verdana"/>
                <w:sz w:val="18"/>
                <w:szCs w:val="18"/>
              </w:rPr>
            </w:pPr>
            <w:r w:rsidRPr="00EC75B7">
              <w:rPr>
                <w:rFonts w:ascii="Verdana" w:hAnsi="Verdana"/>
                <w:spacing w:val="-4"/>
                <w:sz w:val="18"/>
                <w:szCs w:val="18"/>
              </w:rPr>
              <w:t>91–100</w:t>
            </w:r>
          </w:p>
        </w:tc>
        <w:tc>
          <w:tcPr>
            <w:tcW w:w="3205" w:type="dxa"/>
          </w:tcPr>
          <w:p w14:paraId="532B52D0" w14:textId="77777777" w:rsidR="008715BE" w:rsidRPr="00EC75B7" w:rsidRDefault="00000000">
            <w:pPr>
              <w:pStyle w:val="TableParagraph"/>
              <w:tabs>
                <w:tab w:val="left" w:pos="1079"/>
                <w:tab w:val="left" w:pos="2036"/>
                <w:tab w:val="left" w:pos="2581"/>
              </w:tabs>
              <w:spacing w:line="194" w:lineRule="exact"/>
              <w:ind w:left="105" w:right="94"/>
              <w:jc w:val="both"/>
              <w:rPr>
                <w:rFonts w:ascii="Verdana" w:hAnsi="Verdana"/>
                <w:sz w:val="18"/>
                <w:szCs w:val="18"/>
              </w:rPr>
            </w:pPr>
            <w:r w:rsidRPr="00EC75B7">
              <w:rPr>
                <w:rFonts w:ascii="Verdana" w:hAnsi="Verdana"/>
                <w:sz w:val="18"/>
                <w:szCs w:val="18"/>
              </w:rPr>
              <w:t xml:space="preserve">Dobrogea is one of the most </w:t>
            </w:r>
            <w:r w:rsidRPr="00EC75B7">
              <w:rPr>
                <w:rFonts w:ascii="Verdana" w:hAnsi="Verdana"/>
                <w:spacing w:val="-2"/>
                <w:sz w:val="18"/>
                <w:szCs w:val="18"/>
              </w:rPr>
              <w:t>exposed</w:t>
            </w:r>
            <w:r w:rsidRPr="00EC75B7">
              <w:rPr>
                <w:rFonts w:ascii="Verdana" w:hAnsi="Verdana"/>
                <w:sz w:val="18"/>
                <w:szCs w:val="18"/>
              </w:rPr>
              <w:tab/>
            </w:r>
            <w:r w:rsidRPr="00EC75B7">
              <w:rPr>
                <w:rFonts w:ascii="Verdana" w:hAnsi="Verdana"/>
                <w:spacing w:val="-2"/>
                <w:sz w:val="18"/>
                <w:szCs w:val="18"/>
              </w:rPr>
              <w:t>regions</w:t>
            </w:r>
            <w:r w:rsidRPr="00EC75B7">
              <w:rPr>
                <w:rFonts w:ascii="Verdana" w:hAnsi="Verdana"/>
                <w:sz w:val="18"/>
                <w:szCs w:val="18"/>
              </w:rPr>
              <w:tab/>
            </w:r>
            <w:r w:rsidRPr="00EC75B7">
              <w:rPr>
                <w:rFonts w:ascii="Verdana" w:hAnsi="Verdana"/>
                <w:spacing w:val="-6"/>
                <w:sz w:val="18"/>
                <w:szCs w:val="18"/>
              </w:rPr>
              <w:t>to</w:t>
            </w:r>
            <w:r w:rsidRPr="00EC75B7">
              <w:rPr>
                <w:rFonts w:ascii="Verdana" w:hAnsi="Verdana"/>
                <w:sz w:val="18"/>
                <w:szCs w:val="18"/>
              </w:rPr>
              <w:tab/>
              <w:t xml:space="preserve">meteorological and pedological </w:t>
            </w:r>
            <w:r w:rsidRPr="00EC75B7">
              <w:rPr>
                <w:rFonts w:ascii="Verdana" w:hAnsi="Verdana"/>
                <w:spacing w:val="-2"/>
                <w:sz w:val="18"/>
                <w:szCs w:val="18"/>
              </w:rPr>
              <w:t>drought</w:t>
            </w:r>
            <w:r w:rsidRPr="00EC75B7">
              <w:rPr>
                <w:rFonts w:ascii="Verdana" w:hAnsi="Verdana"/>
                <w:sz w:val="18"/>
                <w:szCs w:val="18"/>
              </w:rPr>
              <w:t>.</w:t>
            </w:r>
          </w:p>
        </w:tc>
      </w:tr>
      <w:tr w:rsidR="008715BE" w:rsidRPr="00EC75B7" w14:paraId="3D96A346" w14:textId="77777777">
        <w:trPr>
          <w:trHeight w:val="585"/>
        </w:trPr>
        <w:tc>
          <w:tcPr>
            <w:tcW w:w="2122" w:type="dxa"/>
          </w:tcPr>
          <w:p w14:paraId="7A654894" w14:textId="77777777" w:rsidR="008715BE" w:rsidRPr="00EC75B7" w:rsidRDefault="00000000">
            <w:pPr>
              <w:pStyle w:val="TableParagraph"/>
              <w:spacing w:before="106"/>
              <w:ind w:left="108"/>
              <w:rPr>
                <w:rFonts w:ascii="Verdana" w:hAnsi="Verdana"/>
                <w:sz w:val="18"/>
                <w:szCs w:val="18"/>
              </w:rPr>
            </w:pPr>
            <w:r w:rsidRPr="00EC75B7">
              <w:rPr>
                <w:rFonts w:ascii="Verdana" w:hAnsi="Verdana"/>
                <w:sz w:val="18"/>
                <w:szCs w:val="18"/>
              </w:rPr>
              <w:t xml:space="preserve">Soil erosion / </w:t>
            </w:r>
            <w:r w:rsidRPr="00EC75B7">
              <w:rPr>
                <w:rFonts w:ascii="Verdana" w:hAnsi="Verdana"/>
                <w:spacing w:val="-2"/>
                <w:sz w:val="18"/>
                <w:szCs w:val="18"/>
              </w:rPr>
              <w:t xml:space="preserve">Coastal </w:t>
            </w:r>
            <w:r w:rsidRPr="00EC75B7">
              <w:rPr>
                <w:rFonts w:ascii="Verdana" w:hAnsi="Verdana"/>
                <w:sz w:val="18"/>
                <w:szCs w:val="18"/>
              </w:rPr>
              <w:t>erosion</w:t>
            </w:r>
          </w:p>
        </w:tc>
        <w:tc>
          <w:tcPr>
            <w:tcW w:w="991" w:type="dxa"/>
          </w:tcPr>
          <w:p w14:paraId="1A9E4004" w14:textId="77777777" w:rsidR="008715BE" w:rsidRPr="00EC75B7" w:rsidRDefault="00000000">
            <w:pPr>
              <w:pStyle w:val="TableParagraph"/>
              <w:spacing w:before="106" w:line="195" w:lineRule="exact"/>
              <w:ind w:left="110"/>
              <w:rPr>
                <w:rFonts w:ascii="Verdana" w:hAnsi="Verdana"/>
                <w:sz w:val="18"/>
                <w:szCs w:val="18"/>
              </w:rPr>
            </w:pPr>
            <w:r w:rsidRPr="00EC75B7">
              <w:rPr>
                <w:rFonts w:ascii="Verdana" w:hAnsi="Verdana"/>
                <w:spacing w:val="-4"/>
                <w:sz w:val="18"/>
                <w:szCs w:val="18"/>
              </w:rPr>
              <w:t>It is</w:t>
            </w:r>
          </w:p>
          <w:p w14:paraId="440AA2CF"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likely</w:t>
            </w:r>
          </w:p>
        </w:tc>
        <w:tc>
          <w:tcPr>
            <w:tcW w:w="850" w:type="dxa"/>
            <w:tcBorders>
              <w:bottom w:val="nil"/>
            </w:tcBorders>
            <w:shd w:val="clear" w:color="auto" w:fill="D9D9D9"/>
          </w:tcPr>
          <w:p w14:paraId="6714B25E" w14:textId="77777777" w:rsidR="008715BE" w:rsidRPr="00EC75B7" w:rsidRDefault="008715BE">
            <w:pPr>
              <w:pStyle w:val="TableParagraph"/>
              <w:spacing w:before="9"/>
              <w:rPr>
                <w:rFonts w:ascii="Verdana" w:hAnsi="Verdana"/>
                <w:b/>
                <w:sz w:val="18"/>
                <w:szCs w:val="18"/>
              </w:rPr>
            </w:pPr>
          </w:p>
          <w:p w14:paraId="200BB1D1" w14:textId="77777777" w:rsidR="008715BE" w:rsidRPr="00EC75B7" w:rsidRDefault="00000000">
            <w:pPr>
              <w:pStyle w:val="TableParagraph"/>
              <w:ind w:left="16" w:right="9"/>
              <w:jc w:val="center"/>
              <w:rPr>
                <w:rFonts w:ascii="Verdana" w:hAnsi="Verdana"/>
                <w:sz w:val="18"/>
                <w:szCs w:val="18"/>
              </w:rPr>
            </w:pPr>
            <w:r w:rsidRPr="00EC75B7">
              <w:rPr>
                <w:rFonts w:ascii="Verdana" w:hAnsi="Verdana"/>
                <w:spacing w:val="-10"/>
                <w:sz w:val="18"/>
                <w:szCs w:val="18"/>
              </w:rPr>
              <w:t>1</w:t>
            </w:r>
          </w:p>
        </w:tc>
        <w:tc>
          <w:tcPr>
            <w:tcW w:w="998" w:type="dxa"/>
          </w:tcPr>
          <w:p w14:paraId="7BB16774" w14:textId="77777777" w:rsidR="008715BE" w:rsidRPr="00EC75B7" w:rsidRDefault="00000000">
            <w:pPr>
              <w:pStyle w:val="TableParagraph"/>
              <w:spacing w:before="106" w:line="195" w:lineRule="exact"/>
              <w:ind w:left="103"/>
              <w:rPr>
                <w:rFonts w:ascii="Verdana" w:hAnsi="Verdana"/>
                <w:sz w:val="18"/>
                <w:szCs w:val="18"/>
              </w:rPr>
            </w:pPr>
            <w:r w:rsidRPr="00EC75B7">
              <w:rPr>
                <w:rFonts w:ascii="Verdana" w:hAnsi="Verdana"/>
                <w:spacing w:val="-4"/>
                <w:sz w:val="18"/>
                <w:szCs w:val="18"/>
              </w:rPr>
              <w:t>Low</w:t>
            </w:r>
          </w:p>
          <w:p w14:paraId="5FDAC6BF" w14:textId="77777777" w:rsidR="008715BE" w:rsidRPr="00EC75B7" w:rsidRDefault="00000000">
            <w:pPr>
              <w:pStyle w:val="TableParagraph"/>
              <w:spacing w:line="195" w:lineRule="exact"/>
              <w:ind w:left="103"/>
              <w:rPr>
                <w:rFonts w:ascii="Verdana" w:hAnsi="Verdana"/>
                <w:sz w:val="18"/>
                <w:szCs w:val="18"/>
              </w:rPr>
            </w:pPr>
            <w:r w:rsidRPr="00EC75B7">
              <w:rPr>
                <w:rFonts w:ascii="Verdana" w:hAnsi="Verdana"/>
                <w:spacing w:val="-2"/>
                <w:sz w:val="18"/>
                <w:szCs w:val="18"/>
              </w:rPr>
              <w:t>likely</w:t>
            </w:r>
          </w:p>
        </w:tc>
        <w:tc>
          <w:tcPr>
            <w:tcW w:w="1578" w:type="dxa"/>
          </w:tcPr>
          <w:p w14:paraId="67078618" w14:textId="77777777" w:rsidR="008715BE" w:rsidRPr="00EC75B7" w:rsidRDefault="008715BE">
            <w:pPr>
              <w:pStyle w:val="TableParagraph"/>
              <w:spacing w:before="9"/>
              <w:rPr>
                <w:rFonts w:ascii="Verdana" w:hAnsi="Verdana"/>
                <w:b/>
                <w:sz w:val="18"/>
                <w:szCs w:val="18"/>
              </w:rPr>
            </w:pPr>
          </w:p>
          <w:p w14:paraId="26B03876" w14:textId="77777777" w:rsidR="008715BE" w:rsidRPr="00EC75B7" w:rsidRDefault="00000000">
            <w:pPr>
              <w:pStyle w:val="TableParagraph"/>
              <w:ind w:left="106"/>
              <w:rPr>
                <w:rFonts w:ascii="Verdana" w:hAnsi="Verdana"/>
                <w:sz w:val="18"/>
                <w:szCs w:val="18"/>
              </w:rPr>
            </w:pPr>
            <w:r w:rsidRPr="00EC75B7">
              <w:rPr>
                <w:rFonts w:ascii="Verdana" w:hAnsi="Verdana"/>
                <w:spacing w:val="-5"/>
                <w:sz w:val="18"/>
                <w:szCs w:val="18"/>
              </w:rPr>
              <w:t>11–30</w:t>
            </w:r>
          </w:p>
        </w:tc>
        <w:tc>
          <w:tcPr>
            <w:tcW w:w="3205" w:type="dxa"/>
          </w:tcPr>
          <w:p w14:paraId="5172D65E" w14:textId="77777777" w:rsidR="008715BE" w:rsidRPr="00EC75B7" w:rsidRDefault="00000000">
            <w:pPr>
              <w:pStyle w:val="TableParagraph"/>
              <w:spacing w:line="194" w:lineRule="exact"/>
              <w:ind w:left="105" w:right="98"/>
              <w:jc w:val="both"/>
              <w:rPr>
                <w:rFonts w:ascii="Verdana" w:hAnsi="Verdana"/>
                <w:sz w:val="18"/>
                <w:szCs w:val="18"/>
              </w:rPr>
            </w:pPr>
            <w:r w:rsidRPr="00EC75B7">
              <w:rPr>
                <w:rFonts w:ascii="Verdana" w:hAnsi="Verdana"/>
                <w:sz w:val="18"/>
                <w:szCs w:val="18"/>
              </w:rPr>
              <w:t>Coastal erosion not relevant; wind/torrential rain erosion possible locally, but controllable.</w:t>
            </w:r>
          </w:p>
        </w:tc>
      </w:tr>
    </w:tbl>
    <w:p w14:paraId="57028713" w14:textId="77777777" w:rsidR="008715BE" w:rsidRPr="00EC75B7" w:rsidRDefault="008715BE">
      <w:pPr>
        <w:pStyle w:val="BodyText"/>
        <w:rPr>
          <w:rFonts w:ascii="Verdana" w:hAnsi="Verdana"/>
          <w:b/>
        </w:rPr>
      </w:pPr>
    </w:p>
    <w:p w14:paraId="1704CB28" w14:textId="77777777" w:rsidR="008715BE" w:rsidRPr="00EC75B7" w:rsidRDefault="008715BE">
      <w:pPr>
        <w:pStyle w:val="BodyText"/>
        <w:rPr>
          <w:rFonts w:ascii="Verdana" w:hAnsi="Verdana"/>
          <w:b/>
        </w:rPr>
      </w:pPr>
    </w:p>
    <w:p w14:paraId="2DF27C8C" w14:textId="77777777" w:rsidR="008715BE" w:rsidRPr="00EC75B7" w:rsidRDefault="008715BE">
      <w:pPr>
        <w:pStyle w:val="BodyText"/>
        <w:spacing w:before="42"/>
        <w:rPr>
          <w:rFonts w:ascii="Verdana" w:hAnsi="Verdana"/>
          <w:b/>
        </w:rPr>
      </w:pPr>
    </w:p>
    <w:p w14:paraId="4AA0D77B" w14:textId="77777777" w:rsidR="008715BE" w:rsidRPr="00EC75B7" w:rsidRDefault="00000000">
      <w:pPr>
        <w:pStyle w:val="Heading3"/>
        <w:numPr>
          <w:ilvl w:val="3"/>
          <w:numId w:val="34"/>
        </w:numPr>
        <w:tabs>
          <w:tab w:val="left" w:pos="1345"/>
        </w:tabs>
        <w:ind w:left="1345" w:hanging="1288"/>
        <w:jc w:val="both"/>
        <w:rPr>
          <w:rFonts w:ascii="Verdana" w:hAnsi="Verdana"/>
          <w:sz w:val="18"/>
          <w:szCs w:val="18"/>
        </w:rPr>
      </w:pPr>
      <w:bookmarkStart w:id="127" w:name="_bookmark127"/>
      <w:bookmarkEnd w:id="127"/>
      <w:r w:rsidRPr="00EC75B7">
        <w:rPr>
          <w:rFonts w:ascii="Verdana" w:hAnsi="Verdana"/>
          <w:color w:val="00AFEF"/>
          <w:sz w:val="18"/>
          <w:szCs w:val="18"/>
        </w:rPr>
        <w:t xml:space="preserve">Severity and </w:t>
      </w:r>
      <w:r w:rsidRPr="00EC75B7">
        <w:rPr>
          <w:rFonts w:ascii="Verdana" w:hAnsi="Verdana"/>
          <w:color w:val="00AFEF"/>
          <w:spacing w:val="-2"/>
          <w:sz w:val="18"/>
          <w:szCs w:val="18"/>
        </w:rPr>
        <w:t xml:space="preserve">risk </w:t>
      </w:r>
      <w:r w:rsidRPr="00EC75B7">
        <w:rPr>
          <w:rFonts w:ascii="Verdana" w:hAnsi="Verdana"/>
          <w:color w:val="00AFEF"/>
          <w:sz w:val="18"/>
          <w:szCs w:val="18"/>
        </w:rPr>
        <w:t>analysis</w:t>
      </w:r>
    </w:p>
    <w:p w14:paraId="1777749C" w14:textId="77777777" w:rsidR="008715BE" w:rsidRPr="00EC75B7" w:rsidRDefault="008715BE">
      <w:pPr>
        <w:pStyle w:val="BodyText"/>
        <w:spacing w:before="114"/>
        <w:rPr>
          <w:rFonts w:ascii="Verdana" w:hAnsi="Verdana"/>
          <w:b/>
        </w:rPr>
      </w:pPr>
    </w:p>
    <w:p w14:paraId="5CC13FDD" w14:textId="77777777" w:rsidR="008715BE" w:rsidRPr="00EC75B7" w:rsidRDefault="00000000">
      <w:pPr>
        <w:pStyle w:val="BodyText"/>
        <w:spacing w:line="360" w:lineRule="auto"/>
        <w:ind w:left="57" w:right="431"/>
        <w:jc w:val="both"/>
        <w:rPr>
          <w:rFonts w:ascii="Verdana" w:hAnsi="Verdana"/>
        </w:rPr>
      </w:pPr>
      <w:r w:rsidRPr="00EC75B7">
        <w:rPr>
          <w:rFonts w:ascii="Verdana" w:hAnsi="Verdana"/>
        </w:rPr>
        <w:t>The magnitude (severity) of the impact was assessed on the basis of a five-step qualitative and quantitative scale, applied to seven risk areas (RA1–RA7), in accordance with the principles of the European Commission's Technical Guidance on Climate Risk Assessment</w:t>
      </w:r>
    </w:p>
    <w:p w14:paraId="7CBBEE27" w14:textId="77777777" w:rsidR="008715BE" w:rsidRPr="00EC75B7" w:rsidRDefault="008715BE">
      <w:pPr>
        <w:pStyle w:val="BodyText"/>
        <w:spacing w:before="12"/>
        <w:rPr>
          <w:rFonts w:ascii="Verdana" w:hAnsi="Verdana"/>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700"/>
        <w:gridCol w:w="8078"/>
      </w:tblGrid>
      <w:tr w:rsidR="008715BE" w:rsidRPr="00EC75B7" w14:paraId="7CD74939" w14:textId="77777777">
        <w:trPr>
          <w:trHeight w:val="273"/>
        </w:trPr>
        <w:tc>
          <w:tcPr>
            <w:tcW w:w="9778" w:type="dxa"/>
            <w:gridSpan w:val="2"/>
            <w:shd w:val="clear" w:color="auto" w:fill="00AFEF"/>
          </w:tcPr>
          <w:p w14:paraId="50AC4B73" w14:textId="77777777" w:rsidR="008715BE" w:rsidRPr="00EC75B7" w:rsidRDefault="00000000">
            <w:pPr>
              <w:pStyle w:val="TableParagraph"/>
              <w:spacing w:before="73" w:line="180" w:lineRule="exact"/>
              <w:ind w:left="113"/>
              <w:rPr>
                <w:rFonts w:ascii="Verdana" w:hAnsi="Verdana"/>
                <w:b/>
                <w:sz w:val="18"/>
                <w:szCs w:val="18"/>
              </w:rPr>
            </w:pPr>
            <w:r w:rsidRPr="00EC75B7">
              <w:rPr>
                <w:rFonts w:ascii="Verdana" w:hAnsi="Verdana"/>
                <w:b/>
                <w:color w:val="FFFFFF"/>
                <w:sz w:val="18"/>
                <w:szCs w:val="18"/>
              </w:rPr>
              <w:t xml:space="preserve">Risk areas (RA) </w:t>
            </w:r>
            <w:r w:rsidRPr="00EC75B7">
              <w:rPr>
                <w:rFonts w:ascii="Verdana" w:hAnsi="Verdana"/>
                <w:b/>
                <w:color w:val="FFFFFF"/>
                <w:spacing w:val="-2"/>
                <w:sz w:val="18"/>
                <w:szCs w:val="18"/>
              </w:rPr>
              <w:t>Impacts</w:t>
            </w:r>
          </w:p>
        </w:tc>
      </w:tr>
      <w:tr w:rsidR="008715BE" w:rsidRPr="00EC75B7" w14:paraId="3E1E39E8" w14:textId="77777777">
        <w:trPr>
          <w:trHeight w:val="1168"/>
        </w:trPr>
        <w:tc>
          <w:tcPr>
            <w:tcW w:w="1700" w:type="dxa"/>
            <w:shd w:val="clear" w:color="auto" w:fill="00AFEF"/>
          </w:tcPr>
          <w:p w14:paraId="6A2116BA" w14:textId="77777777" w:rsidR="008715BE" w:rsidRPr="00EC75B7" w:rsidRDefault="008715BE">
            <w:pPr>
              <w:pStyle w:val="TableParagraph"/>
              <w:spacing w:before="19"/>
              <w:rPr>
                <w:rFonts w:ascii="Verdana" w:hAnsi="Verdana"/>
                <w:sz w:val="18"/>
                <w:szCs w:val="18"/>
              </w:rPr>
            </w:pPr>
          </w:p>
          <w:p w14:paraId="1271C3B3" w14:textId="77777777" w:rsidR="008715BE" w:rsidRPr="00EC75B7" w:rsidRDefault="00000000">
            <w:pPr>
              <w:pStyle w:val="TableParagraph"/>
              <w:spacing w:line="249" w:lineRule="auto"/>
              <w:ind w:left="113" w:right="63"/>
              <w:rPr>
                <w:rFonts w:ascii="Verdana" w:hAnsi="Verdana"/>
                <w:sz w:val="18"/>
                <w:szCs w:val="18"/>
              </w:rPr>
            </w:pPr>
            <w:r w:rsidRPr="00EC75B7">
              <w:rPr>
                <w:rFonts w:ascii="Verdana" w:hAnsi="Verdana"/>
                <w:b/>
                <w:color w:val="FFFFFF"/>
                <w:sz w:val="18"/>
                <w:szCs w:val="18"/>
              </w:rPr>
              <w:t xml:space="preserve">RA1: </w:t>
            </w:r>
            <w:r w:rsidRPr="00EC75B7">
              <w:rPr>
                <w:rFonts w:ascii="Verdana" w:hAnsi="Verdana"/>
                <w:color w:val="FFFFFF"/>
                <w:sz w:val="18"/>
                <w:szCs w:val="18"/>
              </w:rPr>
              <w:t xml:space="preserve">Damage to </w:t>
            </w:r>
            <w:r w:rsidRPr="00EC75B7">
              <w:rPr>
                <w:rFonts w:ascii="Verdana" w:hAnsi="Verdana"/>
                <w:color w:val="FFFFFF"/>
                <w:spacing w:val="-2"/>
                <w:sz w:val="18"/>
                <w:szCs w:val="18"/>
              </w:rPr>
              <w:t>assets/Engineering/Operational</w:t>
            </w:r>
          </w:p>
        </w:tc>
        <w:tc>
          <w:tcPr>
            <w:tcW w:w="8078" w:type="dxa"/>
            <w:shd w:val="clear" w:color="auto" w:fill="F3F4F8"/>
          </w:tcPr>
          <w:p w14:paraId="316D739C" w14:textId="77777777" w:rsidR="008715BE" w:rsidRPr="00EC75B7" w:rsidRDefault="00000000">
            <w:pPr>
              <w:pStyle w:val="TableParagraph"/>
              <w:spacing w:before="73" w:line="254" w:lineRule="auto"/>
              <w:ind w:left="112" w:right="52"/>
              <w:jc w:val="both"/>
              <w:rPr>
                <w:rFonts w:ascii="Verdana" w:hAnsi="Verdana"/>
                <w:sz w:val="18"/>
                <w:szCs w:val="18"/>
              </w:rPr>
            </w:pPr>
            <w:r w:rsidRPr="00EC75B7">
              <w:rPr>
                <w:rFonts w:ascii="Verdana" w:hAnsi="Verdana"/>
                <w:b/>
                <w:sz w:val="18"/>
                <w:szCs w:val="18"/>
              </w:rPr>
              <w:t>Extensive physical damage</w:t>
            </w:r>
            <w:r w:rsidRPr="00EC75B7">
              <w:rPr>
                <w:rFonts w:ascii="Verdana" w:hAnsi="Verdana"/>
                <w:sz w:val="18"/>
                <w:szCs w:val="18"/>
              </w:rPr>
              <w:t>: Wind turbines are susceptible to damage from extreme weather conditions such as hurricanes, strong winds, and lightning, which can lead to downtime and increased repair costs.</w:t>
            </w:r>
          </w:p>
          <w:p w14:paraId="4EF8E962" w14:textId="77777777" w:rsidR="008715BE" w:rsidRPr="00EC75B7" w:rsidRDefault="00000000">
            <w:pPr>
              <w:pStyle w:val="TableParagraph"/>
              <w:spacing w:line="256" w:lineRule="auto"/>
              <w:ind w:left="112" w:right="47"/>
              <w:jc w:val="both"/>
              <w:rPr>
                <w:rFonts w:ascii="Verdana" w:hAnsi="Verdana"/>
                <w:sz w:val="18"/>
                <w:szCs w:val="18"/>
              </w:rPr>
            </w:pPr>
            <w:r w:rsidRPr="00EC75B7">
              <w:rPr>
                <w:rFonts w:ascii="Verdana" w:hAnsi="Verdana"/>
                <w:b/>
                <w:sz w:val="18"/>
                <w:szCs w:val="18"/>
              </w:rPr>
              <w:t>Turbine component wear</w:t>
            </w:r>
            <w:r w:rsidRPr="00EC75B7">
              <w:rPr>
                <w:rFonts w:ascii="Verdana" w:hAnsi="Verdana"/>
                <w:sz w:val="18"/>
                <w:szCs w:val="18"/>
              </w:rPr>
              <w:t>: The mechanical components of wind turbines, including the gearbox and bearings, are subject to wear over time.</w:t>
            </w:r>
          </w:p>
        </w:tc>
      </w:tr>
      <w:tr w:rsidR="008715BE" w:rsidRPr="00EC75B7" w14:paraId="10686769" w14:textId="77777777">
        <w:trPr>
          <w:trHeight w:val="695"/>
        </w:trPr>
        <w:tc>
          <w:tcPr>
            <w:tcW w:w="1700" w:type="dxa"/>
            <w:shd w:val="clear" w:color="auto" w:fill="00AFEF"/>
          </w:tcPr>
          <w:p w14:paraId="28A042F0" w14:textId="77777777" w:rsidR="008715BE" w:rsidRPr="00EC75B7" w:rsidRDefault="00000000">
            <w:pPr>
              <w:pStyle w:val="TableParagraph"/>
              <w:spacing w:before="178" w:line="256" w:lineRule="auto"/>
              <w:ind w:left="113" w:right="63"/>
              <w:rPr>
                <w:rFonts w:ascii="Verdana" w:hAnsi="Verdana"/>
                <w:sz w:val="18"/>
                <w:szCs w:val="18"/>
              </w:rPr>
            </w:pPr>
            <w:r w:rsidRPr="00EC75B7">
              <w:rPr>
                <w:rFonts w:ascii="Verdana" w:hAnsi="Verdana"/>
                <w:b/>
                <w:color w:val="FFFFFF"/>
                <w:sz w:val="18"/>
                <w:szCs w:val="18"/>
              </w:rPr>
              <w:t xml:space="preserve">RA2: </w:t>
            </w:r>
            <w:r w:rsidRPr="00EC75B7">
              <w:rPr>
                <w:rFonts w:ascii="Verdana" w:hAnsi="Verdana"/>
                <w:color w:val="FFFFFF"/>
                <w:sz w:val="18"/>
                <w:szCs w:val="18"/>
              </w:rPr>
              <w:t xml:space="preserve">Safety and </w:t>
            </w:r>
            <w:r w:rsidRPr="00EC75B7">
              <w:rPr>
                <w:rFonts w:ascii="Verdana" w:hAnsi="Verdana"/>
                <w:color w:val="FFFFFF"/>
                <w:spacing w:val="-2"/>
                <w:sz w:val="18"/>
                <w:szCs w:val="18"/>
              </w:rPr>
              <w:t>health</w:t>
            </w:r>
          </w:p>
        </w:tc>
        <w:tc>
          <w:tcPr>
            <w:tcW w:w="8078" w:type="dxa"/>
          </w:tcPr>
          <w:p w14:paraId="2734B9DF" w14:textId="77777777" w:rsidR="008715BE" w:rsidRPr="00EC75B7" w:rsidRDefault="00000000">
            <w:pPr>
              <w:pStyle w:val="TableParagraph"/>
              <w:spacing w:before="73"/>
              <w:ind w:left="112"/>
              <w:rPr>
                <w:rFonts w:ascii="Verdana" w:hAnsi="Verdana"/>
                <w:sz w:val="18"/>
                <w:szCs w:val="18"/>
              </w:rPr>
            </w:pPr>
            <w:r w:rsidRPr="00EC75B7">
              <w:rPr>
                <w:rFonts w:ascii="Verdana" w:hAnsi="Verdana"/>
                <w:b/>
                <w:spacing w:val="-2"/>
                <w:sz w:val="18"/>
                <w:szCs w:val="18"/>
              </w:rPr>
              <w:t>Maintenance and inspection risks</w:t>
            </w:r>
            <w:r w:rsidRPr="00EC75B7">
              <w:rPr>
                <w:rFonts w:ascii="Verdana" w:hAnsi="Verdana"/>
                <w:spacing w:val="-2"/>
                <w:sz w:val="18"/>
                <w:szCs w:val="18"/>
              </w:rPr>
              <w:t>: Maintenance, repair, and inspection activities on wind turbines</w:t>
            </w:r>
          </w:p>
          <w:p w14:paraId="2CCB5AD5" w14:textId="77777777" w:rsidR="008715BE" w:rsidRPr="00EC75B7" w:rsidRDefault="00000000">
            <w:pPr>
              <w:pStyle w:val="TableParagraph"/>
              <w:spacing w:line="210" w:lineRule="atLeast"/>
              <w:ind w:left="112"/>
              <w:rPr>
                <w:rFonts w:ascii="Verdana" w:hAnsi="Verdana"/>
                <w:sz w:val="18"/>
                <w:szCs w:val="18"/>
              </w:rPr>
            </w:pPr>
            <w:r w:rsidRPr="00EC75B7">
              <w:rPr>
                <w:rFonts w:ascii="Verdana" w:hAnsi="Verdana"/>
                <w:sz w:val="18"/>
                <w:szCs w:val="18"/>
              </w:rPr>
              <w:t>can pose safety risks to workers if precautions are not taken to account for all hazards, electrical risks</w:t>
            </w:r>
            <w:r w:rsidRPr="00EC75B7">
              <w:rPr>
                <w:rFonts w:ascii="Verdana" w:hAnsi="Verdana"/>
                <w:spacing w:val="-2"/>
                <w:sz w:val="18"/>
                <w:szCs w:val="18"/>
              </w:rPr>
              <w:t xml:space="preserve">, </w:t>
            </w:r>
            <w:r w:rsidRPr="00EC75B7">
              <w:rPr>
                <w:rFonts w:ascii="Verdana" w:hAnsi="Verdana"/>
                <w:sz w:val="18"/>
                <w:szCs w:val="18"/>
              </w:rPr>
              <w:t xml:space="preserve">and the remote nature of </w:t>
            </w:r>
            <w:r w:rsidRPr="00EC75B7">
              <w:rPr>
                <w:rFonts w:ascii="Verdana" w:hAnsi="Verdana"/>
                <w:spacing w:val="-2"/>
                <w:sz w:val="18"/>
                <w:szCs w:val="18"/>
              </w:rPr>
              <w:t xml:space="preserve">offshore </w:t>
            </w:r>
            <w:r w:rsidRPr="00EC75B7">
              <w:rPr>
                <w:rFonts w:ascii="Verdana" w:hAnsi="Verdana"/>
                <w:sz w:val="18"/>
                <w:szCs w:val="18"/>
              </w:rPr>
              <w:t>turbines</w:t>
            </w:r>
            <w:r w:rsidRPr="00EC75B7">
              <w:rPr>
                <w:rFonts w:ascii="Verdana" w:hAnsi="Verdana"/>
                <w:spacing w:val="-2"/>
                <w:sz w:val="18"/>
                <w:szCs w:val="18"/>
              </w:rPr>
              <w:t>.</w:t>
            </w:r>
          </w:p>
        </w:tc>
      </w:tr>
      <w:tr w:rsidR="008715BE" w:rsidRPr="00EC75B7" w14:paraId="1428BEE0" w14:textId="77777777">
        <w:trPr>
          <w:trHeight w:val="1675"/>
        </w:trPr>
        <w:tc>
          <w:tcPr>
            <w:tcW w:w="1700" w:type="dxa"/>
            <w:shd w:val="clear" w:color="auto" w:fill="00AFEF"/>
          </w:tcPr>
          <w:p w14:paraId="1053EC4E" w14:textId="77777777" w:rsidR="008715BE" w:rsidRPr="00EC75B7" w:rsidRDefault="008715BE">
            <w:pPr>
              <w:pStyle w:val="TableParagraph"/>
              <w:rPr>
                <w:rFonts w:ascii="Verdana" w:hAnsi="Verdana"/>
                <w:sz w:val="18"/>
                <w:szCs w:val="18"/>
              </w:rPr>
            </w:pPr>
          </w:p>
          <w:p w14:paraId="7E9D38E9" w14:textId="77777777" w:rsidR="008715BE" w:rsidRPr="00EC75B7" w:rsidRDefault="008715BE">
            <w:pPr>
              <w:pStyle w:val="TableParagraph"/>
              <w:rPr>
                <w:rFonts w:ascii="Verdana" w:hAnsi="Verdana"/>
                <w:sz w:val="18"/>
                <w:szCs w:val="18"/>
              </w:rPr>
            </w:pPr>
          </w:p>
          <w:p w14:paraId="709D34E8" w14:textId="77777777" w:rsidR="008715BE" w:rsidRPr="00EC75B7" w:rsidRDefault="008715BE">
            <w:pPr>
              <w:pStyle w:val="TableParagraph"/>
              <w:spacing w:before="188"/>
              <w:rPr>
                <w:rFonts w:ascii="Verdana" w:hAnsi="Verdana"/>
                <w:sz w:val="18"/>
                <w:szCs w:val="18"/>
              </w:rPr>
            </w:pPr>
          </w:p>
          <w:p w14:paraId="5A03A8A2" w14:textId="77777777" w:rsidR="008715BE" w:rsidRPr="00EC75B7" w:rsidRDefault="00000000">
            <w:pPr>
              <w:pStyle w:val="TableParagraph"/>
              <w:ind w:left="113"/>
              <w:rPr>
                <w:rFonts w:ascii="Verdana" w:hAnsi="Verdana"/>
                <w:sz w:val="18"/>
                <w:szCs w:val="18"/>
              </w:rPr>
            </w:pPr>
            <w:r w:rsidRPr="00EC75B7">
              <w:rPr>
                <w:rFonts w:ascii="Verdana" w:hAnsi="Verdana"/>
                <w:b/>
                <w:color w:val="FFFFFF"/>
                <w:sz w:val="18"/>
                <w:szCs w:val="18"/>
              </w:rPr>
              <w:t xml:space="preserve">RA3: </w:t>
            </w:r>
            <w:r w:rsidRPr="00EC75B7">
              <w:rPr>
                <w:rFonts w:ascii="Verdana" w:hAnsi="Verdana"/>
                <w:color w:val="FFFFFF"/>
                <w:spacing w:val="-4"/>
                <w:sz w:val="18"/>
                <w:szCs w:val="18"/>
              </w:rPr>
              <w:t>Environment</w:t>
            </w:r>
          </w:p>
        </w:tc>
        <w:tc>
          <w:tcPr>
            <w:tcW w:w="8078" w:type="dxa"/>
            <w:shd w:val="clear" w:color="auto" w:fill="F3F4F8"/>
          </w:tcPr>
          <w:p w14:paraId="59692E89" w14:textId="77777777" w:rsidR="008715BE" w:rsidRPr="00EC75B7" w:rsidRDefault="00000000">
            <w:pPr>
              <w:pStyle w:val="TableParagraph"/>
              <w:spacing w:before="73" w:line="242" w:lineRule="auto"/>
              <w:ind w:left="112" w:right="115"/>
              <w:jc w:val="both"/>
              <w:rPr>
                <w:rFonts w:ascii="Verdana" w:hAnsi="Verdana"/>
                <w:sz w:val="18"/>
                <w:szCs w:val="18"/>
              </w:rPr>
            </w:pPr>
            <w:r w:rsidRPr="00EC75B7">
              <w:rPr>
                <w:rFonts w:ascii="Verdana" w:hAnsi="Verdana"/>
                <w:b/>
                <w:sz w:val="18"/>
                <w:szCs w:val="18"/>
              </w:rPr>
              <w:t>Manufacturing turbine components</w:t>
            </w:r>
            <w:r w:rsidRPr="00EC75B7">
              <w:rPr>
                <w:rFonts w:ascii="Verdana" w:hAnsi="Verdana"/>
                <w:sz w:val="18"/>
                <w:szCs w:val="18"/>
              </w:rPr>
              <w:t>: The production of wind turbine components, including the manufacture of blades, towers, and nacelles, contributes to embodied carbon. The energy-intensive processes involved in producing materials such as steel and composites release greenhouse gases, adding to the overall carbon footprint of wind farms and contributing to climate change.</w:t>
            </w:r>
          </w:p>
          <w:p w14:paraId="332B15E3" w14:textId="77777777" w:rsidR="008715BE" w:rsidRPr="00EC75B7" w:rsidRDefault="00000000">
            <w:pPr>
              <w:pStyle w:val="TableParagraph"/>
              <w:spacing w:line="189" w:lineRule="exact"/>
              <w:ind w:left="112"/>
              <w:jc w:val="both"/>
              <w:rPr>
                <w:rFonts w:ascii="Verdana" w:hAnsi="Verdana"/>
                <w:sz w:val="18"/>
                <w:szCs w:val="18"/>
              </w:rPr>
            </w:pPr>
            <w:r w:rsidRPr="00EC75B7">
              <w:rPr>
                <w:rFonts w:ascii="Verdana" w:hAnsi="Verdana"/>
                <w:b/>
                <w:sz w:val="18"/>
                <w:szCs w:val="18"/>
              </w:rPr>
              <w:t>Transportation and installation</w:t>
            </w:r>
            <w:r w:rsidRPr="00EC75B7">
              <w:rPr>
                <w:rFonts w:ascii="Verdana" w:hAnsi="Verdana"/>
                <w:sz w:val="18"/>
                <w:szCs w:val="18"/>
              </w:rPr>
              <w:t xml:space="preserve">: Transporting turbine components to construction sites </w:t>
            </w:r>
            <w:r w:rsidRPr="00EC75B7">
              <w:rPr>
                <w:rFonts w:ascii="Verdana" w:hAnsi="Verdana"/>
                <w:spacing w:val="-5"/>
                <w:sz w:val="18"/>
                <w:szCs w:val="18"/>
              </w:rPr>
              <w:t>and</w:t>
            </w:r>
          </w:p>
          <w:p w14:paraId="16F37052" w14:textId="77777777" w:rsidR="008715BE" w:rsidRPr="00EC75B7" w:rsidRDefault="00000000">
            <w:pPr>
              <w:pStyle w:val="TableParagraph"/>
              <w:spacing w:line="210" w:lineRule="atLeast"/>
              <w:ind w:left="112" w:right="55"/>
              <w:jc w:val="both"/>
              <w:rPr>
                <w:rFonts w:ascii="Verdana" w:hAnsi="Verdana"/>
                <w:sz w:val="18"/>
                <w:szCs w:val="18"/>
              </w:rPr>
            </w:pPr>
            <w:r w:rsidRPr="00EC75B7">
              <w:rPr>
                <w:rFonts w:ascii="Verdana" w:hAnsi="Verdana"/>
                <w:sz w:val="18"/>
                <w:szCs w:val="18"/>
              </w:rPr>
              <w:t>subsequent installation involves additional carbon emissions. The logistics of transporting large and heavy components over significant distances contribute to the embodied carbon of wind farms.</w:t>
            </w:r>
          </w:p>
        </w:tc>
      </w:tr>
      <w:tr w:rsidR="008715BE" w:rsidRPr="00EC75B7" w14:paraId="60F3982F" w14:textId="77777777">
        <w:trPr>
          <w:trHeight w:val="1113"/>
        </w:trPr>
        <w:tc>
          <w:tcPr>
            <w:tcW w:w="1700" w:type="dxa"/>
            <w:shd w:val="clear" w:color="auto" w:fill="00AFEF"/>
          </w:tcPr>
          <w:p w14:paraId="7A2F5CFB" w14:textId="77777777" w:rsidR="008715BE" w:rsidRPr="00EC75B7" w:rsidRDefault="008715BE">
            <w:pPr>
              <w:pStyle w:val="TableParagraph"/>
              <w:rPr>
                <w:rFonts w:ascii="Verdana" w:hAnsi="Verdana"/>
                <w:sz w:val="18"/>
                <w:szCs w:val="18"/>
              </w:rPr>
            </w:pPr>
          </w:p>
          <w:p w14:paraId="060EFF93" w14:textId="77777777" w:rsidR="008715BE" w:rsidRPr="00EC75B7" w:rsidRDefault="008715BE">
            <w:pPr>
              <w:pStyle w:val="TableParagraph"/>
              <w:spacing w:before="102"/>
              <w:rPr>
                <w:rFonts w:ascii="Verdana" w:hAnsi="Verdana"/>
                <w:sz w:val="18"/>
                <w:szCs w:val="18"/>
              </w:rPr>
            </w:pPr>
          </w:p>
          <w:p w14:paraId="086F5D95" w14:textId="77777777" w:rsidR="008715BE" w:rsidRPr="00EC75B7" w:rsidRDefault="00000000">
            <w:pPr>
              <w:pStyle w:val="TableParagraph"/>
              <w:ind w:left="113"/>
              <w:rPr>
                <w:rFonts w:ascii="Verdana" w:hAnsi="Verdana"/>
                <w:sz w:val="18"/>
                <w:szCs w:val="18"/>
              </w:rPr>
            </w:pPr>
            <w:r w:rsidRPr="00EC75B7">
              <w:rPr>
                <w:rFonts w:ascii="Verdana" w:hAnsi="Verdana"/>
                <w:b/>
                <w:color w:val="FFFFFF"/>
                <w:sz w:val="18"/>
                <w:szCs w:val="18"/>
              </w:rPr>
              <w:t xml:space="preserve">RA4: </w:t>
            </w:r>
            <w:r w:rsidRPr="00EC75B7">
              <w:rPr>
                <w:rFonts w:ascii="Verdana" w:hAnsi="Verdana"/>
                <w:color w:val="FFFFFF"/>
                <w:spacing w:val="-2"/>
                <w:sz w:val="18"/>
                <w:szCs w:val="18"/>
              </w:rPr>
              <w:t>Social</w:t>
            </w:r>
          </w:p>
        </w:tc>
        <w:tc>
          <w:tcPr>
            <w:tcW w:w="8078" w:type="dxa"/>
          </w:tcPr>
          <w:p w14:paraId="3365D2EE" w14:textId="77777777" w:rsidR="008715BE" w:rsidRPr="00EC75B7" w:rsidRDefault="00000000">
            <w:pPr>
              <w:pStyle w:val="TableParagraph"/>
              <w:spacing w:before="73" w:line="256" w:lineRule="auto"/>
              <w:ind w:left="112" w:right="100"/>
              <w:jc w:val="both"/>
              <w:rPr>
                <w:rFonts w:ascii="Verdana" w:hAnsi="Verdana"/>
                <w:sz w:val="18"/>
                <w:szCs w:val="18"/>
              </w:rPr>
            </w:pPr>
            <w:r w:rsidRPr="00EC75B7">
              <w:rPr>
                <w:rFonts w:ascii="Verdana" w:hAnsi="Verdana"/>
                <w:b/>
                <w:sz w:val="18"/>
                <w:szCs w:val="18"/>
              </w:rPr>
              <w:t>Energy accessibility and social acceptance</w:t>
            </w:r>
            <w:r w:rsidRPr="00EC75B7">
              <w:rPr>
                <w:rFonts w:ascii="Verdana" w:hAnsi="Verdana"/>
                <w:sz w:val="18"/>
                <w:szCs w:val="18"/>
              </w:rPr>
              <w:t xml:space="preserve">: Communities that rely on wind energy may face challenges to energy accessibility if turbines experience frequent outages or malfunctions, affecting energy supply and overall social acceptance of the wind farm. Note that this is quite unlikely in the </w:t>
            </w:r>
            <w:r w:rsidRPr="00EC75B7">
              <w:rPr>
                <w:rFonts w:ascii="Verdana" w:hAnsi="Verdana"/>
                <w:spacing w:val="-2"/>
                <w:sz w:val="18"/>
                <w:szCs w:val="18"/>
              </w:rPr>
              <w:t xml:space="preserve">interconnected European </w:t>
            </w:r>
            <w:r w:rsidRPr="00EC75B7">
              <w:rPr>
                <w:rFonts w:ascii="Verdana" w:hAnsi="Verdana"/>
                <w:sz w:val="18"/>
                <w:szCs w:val="18"/>
              </w:rPr>
              <w:t>system.</w:t>
            </w:r>
          </w:p>
          <w:p w14:paraId="6459B7F8" w14:textId="77777777" w:rsidR="008715BE" w:rsidRPr="00EC75B7" w:rsidRDefault="00000000">
            <w:pPr>
              <w:pStyle w:val="TableParagraph"/>
              <w:spacing w:before="4" w:line="180" w:lineRule="exact"/>
              <w:ind w:left="112"/>
              <w:rPr>
                <w:rFonts w:ascii="Verdana" w:hAnsi="Verdana"/>
                <w:sz w:val="18"/>
                <w:szCs w:val="18"/>
              </w:rPr>
            </w:pPr>
            <w:r w:rsidRPr="00EC75B7">
              <w:rPr>
                <w:rFonts w:ascii="Verdana" w:hAnsi="Verdana"/>
                <w:spacing w:val="-2"/>
                <w:sz w:val="18"/>
                <w:szCs w:val="18"/>
              </w:rPr>
              <w:t>European interconnected system.</w:t>
            </w:r>
          </w:p>
        </w:tc>
      </w:tr>
    </w:tbl>
    <w:p w14:paraId="7C221CE9" w14:textId="77777777" w:rsidR="008715BE" w:rsidRPr="00EC75B7" w:rsidRDefault="008715BE">
      <w:pPr>
        <w:pStyle w:val="TableParagraph"/>
        <w:spacing w:line="180" w:lineRule="exact"/>
        <w:rPr>
          <w:rFonts w:ascii="Verdana" w:hAnsi="Verdana"/>
          <w:sz w:val="18"/>
          <w:szCs w:val="18"/>
        </w:rPr>
        <w:sectPr w:rsidR="008715BE" w:rsidRPr="00EC75B7">
          <w:pgSz w:w="11910" w:h="16840"/>
          <w:pgMar w:top="1320" w:right="566" w:bottom="1020" w:left="1133" w:header="766" w:footer="824" w:gutter="0"/>
          <w:cols w:space="708"/>
        </w:sectPr>
      </w:pPr>
    </w:p>
    <w:p w14:paraId="43BC0EAE" w14:textId="77777777" w:rsidR="008715BE" w:rsidRPr="00EC75B7" w:rsidRDefault="008715BE">
      <w:pPr>
        <w:pStyle w:val="BodyText"/>
        <w:spacing w:before="5"/>
        <w:rPr>
          <w:rFonts w:ascii="Verdana" w:hAnsi="Verdana"/>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700"/>
        <w:gridCol w:w="8078"/>
      </w:tblGrid>
      <w:tr w:rsidR="008715BE" w:rsidRPr="00EC75B7" w14:paraId="36525BEA" w14:textId="77777777">
        <w:trPr>
          <w:trHeight w:val="275"/>
        </w:trPr>
        <w:tc>
          <w:tcPr>
            <w:tcW w:w="9778" w:type="dxa"/>
            <w:gridSpan w:val="2"/>
            <w:shd w:val="clear" w:color="auto" w:fill="00AFEF"/>
          </w:tcPr>
          <w:p w14:paraId="208C02C1" w14:textId="77777777" w:rsidR="008715BE" w:rsidRPr="00EC75B7" w:rsidRDefault="00000000">
            <w:pPr>
              <w:pStyle w:val="TableParagraph"/>
              <w:spacing w:before="73" w:line="183" w:lineRule="exact"/>
              <w:ind w:left="113"/>
              <w:rPr>
                <w:rFonts w:ascii="Verdana" w:hAnsi="Verdana"/>
                <w:b/>
                <w:sz w:val="18"/>
                <w:szCs w:val="18"/>
              </w:rPr>
            </w:pPr>
            <w:r w:rsidRPr="00EC75B7">
              <w:rPr>
                <w:rFonts w:ascii="Verdana" w:hAnsi="Verdana"/>
                <w:b/>
                <w:color w:val="FFFFFF"/>
                <w:sz w:val="18"/>
                <w:szCs w:val="18"/>
              </w:rPr>
              <w:t xml:space="preserve">Risk areas (RA) </w:t>
            </w:r>
            <w:r w:rsidRPr="00EC75B7">
              <w:rPr>
                <w:rFonts w:ascii="Verdana" w:hAnsi="Verdana"/>
                <w:b/>
                <w:color w:val="FFFFFF"/>
                <w:spacing w:val="-2"/>
                <w:sz w:val="18"/>
                <w:szCs w:val="18"/>
              </w:rPr>
              <w:t>Impacts</w:t>
            </w:r>
          </w:p>
        </w:tc>
      </w:tr>
      <w:tr w:rsidR="008715BE" w:rsidRPr="00EC75B7" w14:paraId="4D09609C" w14:textId="77777777">
        <w:trPr>
          <w:trHeight w:val="1322"/>
        </w:trPr>
        <w:tc>
          <w:tcPr>
            <w:tcW w:w="1700" w:type="dxa"/>
            <w:shd w:val="clear" w:color="auto" w:fill="00AFEF"/>
          </w:tcPr>
          <w:p w14:paraId="109CE385" w14:textId="77777777" w:rsidR="008715BE" w:rsidRPr="00EC75B7" w:rsidRDefault="008715BE">
            <w:pPr>
              <w:pStyle w:val="TableParagraph"/>
              <w:rPr>
                <w:rFonts w:ascii="Verdana" w:hAnsi="Verdana"/>
                <w:sz w:val="18"/>
                <w:szCs w:val="18"/>
              </w:rPr>
            </w:pPr>
          </w:p>
          <w:p w14:paraId="6DD1320A" w14:textId="77777777" w:rsidR="008715BE" w:rsidRPr="00EC75B7" w:rsidRDefault="008715BE">
            <w:pPr>
              <w:pStyle w:val="TableParagraph"/>
              <w:spacing w:before="102"/>
              <w:rPr>
                <w:rFonts w:ascii="Verdana" w:hAnsi="Verdana"/>
                <w:sz w:val="18"/>
                <w:szCs w:val="18"/>
              </w:rPr>
            </w:pPr>
          </w:p>
          <w:p w14:paraId="0D79A9D7" w14:textId="77777777" w:rsidR="008715BE" w:rsidRPr="00EC75B7" w:rsidRDefault="00000000">
            <w:pPr>
              <w:pStyle w:val="TableParagraph"/>
              <w:spacing w:before="1" w:line="256" w:lineRule="auto"/>
              <w:ind w:left="113" w:right="299"/>
              <w:rPr>
                <w:rFonts w:ascii="Verdana" w:hAnsi="Verdana"/>
                <w:sz w:val="18"/>
                <w:szCs w:val="18"/>
              </w:rPr>
            </w:pPr>
            <w:r w:rsidRPr="00EC75B7">
              <w:rPr>
                <w:rFonts w:ascii="Verdana" w:hAnsi="Verdana"/>
                <w:b/>
                <w:color w:val="FFFFFF"/>
                <w:sz w:val="18"/>
                <w:szCs w:val="18"/>
              </w:rPr>
              <w:t xml:space="preserve">RA5: </w:t>
            </w:r>
            <w:r w:rsidRPr="00EC75B7">
              <w:rPr>
                <w:rFonts w:ascii="Verdana" w:hAnsi="Verdana"/>
                <w:color w:val="FFFFFF"/>
                <w:spacing w:val="-2"/>
                <w:sz w:val="18"/>
                <w:szCs w:val="18"/>
              </w:rPr>
              <w:t>Financial</w:t>
            </w:r>
            <w:r w:rsidRPr="00EC75B7">
              <w:rPr>
                <w:rFonts w:ascii="Verdana" w:hAnsi="Verdana"/>
                <w:color w:val="FFFFFF"/>
                <w:sz w:val="18"/>
                <w:szCs w:val="18"/>
              </w:rPr>
              <w:t xml:space="preserve"> impacts</w:t>
            </w:r>
          </w:p>
        </w:tc>
        <w:tc>
          <w:tcPr>
            <w:tcW w:w="8078" w:type="dxa"/>
            <w:shd w:val="clear" w:color="auto" w:fill="F3F4F8"/>
          </w:tcPr>
          <w:p w14:paraId="0F75487E" w14:textId="77777777" w:rsidR="008715BE" w:rsidRPr="00EC75B7" w:rsidRDefault="00000000">
            <w:pPr>
              <w:pStyle w:val="TableParagraph"/>
              <w:spacing w:before="73" w:line="259" w:lineRule="auto"/>
              <w:ind w:left="112" w:right="103"/>
              <w:jc w:val="both"/>
              <w:rPr>
                <w:rFonts w:ascii="Verdana" w:hAnsi="Verdana"/>
                <w:sz w:val="18"/>
                <w:szCs w:val="18"/>
              </w:rPr>
            </w:pPr>
            <w:r w:rsidRPr="00EC75B7">
              <w:rPr>
                <w:rFonts w:ascii="Verdana" w:hAnsi="Verdana"/>
                <w:b/>
                <w:sz w:val="18"/>
                <w:szCs w:val="18"/>
              </w:rPr>
              <w:t xml:space="preserve">Energy supply disruptions: </w:t>
            </w:r>
            <w:r w:rsidRPr="00EC75B7">
              <w:rPr>
                <w:rFonts w:ascii="Verdana" w:hAnsi="Verdana"/>
                <w:sz w:val="18"/>
                <w:szCs w:val="18"/>
              </w:rPr>
              <w:t>Downtime at wind farms can disrupt energy supply to the grid, leading to potential financial losses for farm owners/operators, utilities, and energy consumers.</w:t>
            </w:r>
          </w:p>
          <w:p w14:paraId="216AC3C5" w14:textId="77777777" w:rsidR="008715BE" w:rsidRPr="00EC75B7" w:rsidRDefault="00000000">
            <w:pPr>
              <w:pStyle w:val="TableParagraph"/>
              <w:spacing w:line="191" w:lineRule="exact"/>
              <w:ind w:left="112"/>
              <w:jc w:val="both"/>
              <w:rPr>
                <w:rFonts w:ascii="Verdana" w:hAnsi="Verdana"/>
                <w:sz w:val="18"/>
                <w:szCs w:val="18"/>
              </w:rPr>
            </w:pPr>
            <w:r w:rsidRPr="00EC75B7">
              <w:rPr>
                <w:rFonts w:ascii="Verdana" w:hAnsi="Verdana"/>
                <w:b/>
                <w:sz w:val="18"/>
                <w:szCs w:val="18"/>
              </w:rPr>
              <w:t xml:space="preserve">Supply chain disruptions: </w:t>
            </w:r>
            <w:r w:rsidRPr="00EC75B7">
              <w:rPr>
                <w:rFonts w:ascii="Verdana" w:hAnsi="Verdana"/>
                <w:sz w:val="18"/>
                <w:szCs w:val="18"/>
              </w:rPr>
              <w:t xml:space="preserve">Delays in replacing components caused </w:t>
            </w:r>
            <w:r w:rsidRPr="00EC75B7">
              <w:rPr>
                <w:rFonts w:ascii="Verdana" w:hAnsi="Verdana"/>
                <w:spacing w:val="-5"/>
                <w:sz w:val="18"/>
                <w:szCs w:val="18"/>
              </w:rPr>
              <w:t>by</w:t>
            </w:r>
          </w:p>
          <w:p w14:paraId="17E526AC" w14:textId="77777777" w:rsidR="008715BE" w:rsidRPr="00EC75B7" w:rsidRDefault="00000000">
            <w:pPr>
              <w:pStyle w:val="TableParagraph"/>
              <w:spacing w:line="210" w:lineRule="atLeast"/>
              <w:ind w:left="112" w:right="107"/>
              <w:jc w:val="both"/>
              <w:rPr>
                <w:rFonts w:ascii="Verdana" w:hAnsi="Verdana"/>
                <w:sz w:val="18"/>
                <w:szCs w:val="18"/>
              </w:rPr>
            </w:pPr>
            <w:r w:rsidRPr="00EC75B7">
              <w:rPr>
                <w:rFonts w:ascii="Verdana" w:hAnsi="Verdana"/>
                <w:sz w:val="18"/>
                <w:szCs w:val="18"/>
              </w:rPr>
              <w:t>Malfunctions or extreme weather events can further increase revenue losses as well as maintenance and repair costs.</w:t>
            </w:r>
          </w:p>
        </w:tc>
      </w:tr>
      <w:tr w:rsidR="008715BE" w:rsidRPr="00EC75B7" w14:paraId="2C68E644" w14:textId="77777777">
        <w:trPr>
          <w:trHeight w:val="685"/>
        </w:trPr>
        <w:tc>
          <w:tcPr>
            <w:tcW w:w="1700" w:type="dxa"/>
            <w:shd w:val="clear" w:color="auto" w:fill="00AFEF"/>
          </w:tcPr>
          <w:p w14:paraId="7BCC2F7D" w14:textId="77777777" w:rsidR="008715BE" w:rsidRPr="00EC75B7" w:rsidRDefault="00000000">
            <w:pPr>
              <w:pStyle w:val="TableParagraph"/>
              <w:spacing w:before="75"/>
              <w:ind w:left="113"/>
              <w:rPr>
                <w:rFonts w:ascii="Verdana" w:hAnsi="Verdana"/>
                <w:sz w:val="18"/>
                <w:szCs w:val="18"/>
              </w:rPr>
            </w:pPr>
            <w:r w:rsidRPr="00EC75B7">
              <w:rPr>
                <w:rFonts w:ascii="Verdana" w:hAnsi="Verdana"/>
                <w:b/>
                <w:color w:val="FFFFFF"/>
                <w:sz w:val="18"/>
                <w:szCs w:val="18"/>
              </w:rPr>
              <w:t xml:space="preserve">RA6: </w:t>
            </w:r>
            <w:r w:rsidRPr="00EC75B7">
              <w:rPr>
                <w:rFonts w:ascii="Verdana" w:hAnsi="Verdana"/>
                <w:color w:val="FFFFFF"/>
                <w:spacing w:val="-2"/>
                <w:sz w:val="18"/>
                <w:szCs w:val="18"/>
              </w:rPr>
              <w:t>Reputation</w:t>
            </w:r>
          </w:p>
        </w:tc>
        <w:tc>
          <w:tcPr>
            <w:tcW w:w="8078" w:type="dxa"/>
          </w:tcPr>
          <w:p w14:paraId="6346C10C" w14:textId="77777777" w:rsidR="008715BE" w:rsidRPr="00EC75B7" w:rsidRDefault="00000000">
            <w:pPr>
              <w:pStyle w:val="TableParagraph"/>
              <w:spacing w:before="66" w:line="200" w:lineRule="atLeast"/>
              <w:ind w:left="112" w:right="107"/>
              <w:jc w:val="both"/>
              <w:rPr>
                <w:rFonts w:ascii="Verdana" w:hAnsi="Verdana"/>
                <w:sz w:val="18"/>
                <w:szCs w:val="18"/>
              </w:rPr>
            </w:pPr>
            <w:r w:rsidRPr="00EC75B7">
              <w:rPr>
                <w:rFonts w:ascii="Verdana" w:hAnsi="Verdana"/>
                <w:b/>
                <w:sz w:val="18"/>
                <w:szCs w:val="18"/>
              </w:rPr>
              <w:t xml:space="preserve">Reliability and safety: </w:t>
            </w:r>
            <w:r w:rsidRPr="00EC75B7">
              <w:rPr>
                <w:rFonts w:ascii="Verdana" w:hAnsi="Verdana"/>
                <w:sz w:val="18"/>
                <w:szCs w:val="18"/>
              </w:rPr>
              <w:t>Maintaining a positive reputation is based on demonstrating reliability and safety. Frequent turbine failures, downtime, or accidents can damage the reputation of wind farm operators.</w:t>
            </w:r>
          </w:p>
        </w:tc>
      </w:tr>
    </w:tbl>
    <w:p w14:paraId="4F5690AD" w14:textId="77777777" w:rsidR="008715BE" w:rsidRPr="00EC75B7" w:rsidRDefault="008715BE">
      <w:pPr>
        <w:pStyle w:val="BodyText"/>
        <w:rPr>
          <w:rFonts w:ascii="Verdana" w:hAnsi="Verdana"/>
        </w:rPr>
      </w:pPr>
    </w:p>
    <w:p w14:paraId="46F90BBF" w14:textId="77777777" w:rsidR="008715BE" w:rsidRPr="00EC75B7" w:rsidRDefault="008715BE">
      <w:pPr>
        <w:pStyle w:val="BodyText"/>
        <w:spacing w:before="19"/>
        <w:rPr>
          <w:rFonts w:ascii="Verdana" w:hAnsi="Verdana"/>
        </w:rPr>
      </w:pPr>
    </w:p>
    <w:p w14:paraId="5B44827D" w14:textId="77777777" w:rsidR="008715BE" w:rsidRPr="00EC75B7" w:rsidRDefault="00000000">
      <w:pPr>
        <w:pStyle w:val="BodyText"/>
        <w:spacing w:line="357" w:lineRule="auto"/>
        <w:ind w:left="57" w:right="432"/>
        <w:jc w:val="both"/>
        <w:rPr>
          <w:rFonts w:ascii="Verdana" w:hAnsi="Verdana"/>
        </w:rPr>
      </w:pPr>
      <w:r w:rsidRPr="00EC75B7">
        <w:rPr>
          <w:rFonts w:ascii="Verdana" w:hAnsi="Verdana"/>
        </w:rPr>
        <w:t>The risk assessment was carried out for climate variables that, according to the vulnerability analysis, show medium and high levels of vulnerability in future climate scenarios and are relevant to the project under analysis. This allows the risk assessment to focus on the most critical hazards and describe how the built-in resilience measures that are part of the proposed project address multiple climate hazards.</w:t>
      </w:r>
    </w:p>
    <w:p w14:paraId="6E4EE906" w14:textId="77777777" w:rsidR="008715BE" w:rsidRPr="00EC75B7" w:rsidRDefault="00000000">
      <w:pPr>
        <w:pStyle w:val="BodyText"/>
        <w:spacing w:before="123" w:line="360" w:lineRule="auto"/>
        <w:ind w:left="57" w:right="425"/>
        <w:jc w:val="both"/>
        <w:rPr>
          <w:rFonts w:ascii="Verdana" w:hAnsi="Verdana"/>
        </w:rPr>
      </w:pPr>
      <w:r w:rsidRPr="00EC75B7">
        <w:rPr>
          <w:rFonts w:ascii="Verdana" w:hAnsi="Verdana"/>
        </w:rPr>
        <w:t>The risk matrix was developed by combining the probability of occurrence (scale 1–5) with the magnitude of consequences (scale 1–5) assessed for risk areas RA1–RA7. For each hazard, the severity of the impact was determined based on the highest estimated consequence among the relevant RA areas, and the final risk score was calculated as the product P×I</w:t>
      </w:r>
    </w:p>
    <w:p w14:paraId="644E6F6F" w14:textId="77777777" w:rsidR="008715BE" w:rsidRPr="00EC75B7" w:rsidRDefault="00000000">
      <w:pPr>
        <w:pStyle w:val="BodyText"/>
        <w:spacing w:before="115"/>
        <w:ind w:left="57"/>
        <w:jc w:val="both"/>
        <w:rPr>
          <w:rFonts w:ascii="Verdana" w:hAnsi="Verdana"/>
        </w:rPr>
      </w:pPr>
      <w:r w:rsidRPr="00EC75B7">
        <w:rPr>
          <w:rFonts w:ascii="Verdana" w:hAnsi="Verdana"/>
        </w:rPr>
        <w:t xml:space="preserve">The following table shows the </w:t>
      </w:r>
      <w:r w:rsidRPr="00EC75B7">
        <w:rPr>
          <w:rFonts w:ascii="Verdana" w:hAnsi="Verdana"/>
          <w:spacing w:val="-2"/>
        </w:rPr>
        <w:t xml:space="preserve">risk </w:t>
      </w:r>
      <w:r w:rsidRPr="00EC75B7">
        <w:rPr>
          <w:rFonts w:ascii="Verdana" w:hAnsi="Verdana"/>
        </w:rPr>
        <w:t>matrix</w:t>
      </w:r>
      <w:r w:rsidRPr="00EC75B7">
        <w:rPr>
          <w:rFonts w:ascii="Verdana" w:hAnsi="Verdana"/>
          <w:spacing w:val="-2"/>
        </w:rPr>
        <w:t>:</w:t>
      </w:r>
    </w:p>
    <w:p w14:paraId="3015D0AA" w14:textId="77777777" w:rsidR="008715BE" w:rsidRPr="00EC75B7" w:rsidRDefault="008715BE">
      <w:pPr>
        <w:pStyle w:val="BodyText"/>
        <w:spacing w:before="59"/>
        <w:rPr>
          <w:rFonts w:ascii="Verdana" w:hAnsi="Verdana"/>
        </w:rPr>
      </w:pPr>
    </w:p>
    <w:p w14:paraId="4FF2CD58"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61 </w:t>
      </w:r>
      <w:r w:rsidRPr="00EC75B7">
        <w:rPr>
          <w:rFonts w:ascii="Verdana" w:hAnsi="Verdana"/>
          <w:b/>
          <w:color w:val="00AFEF"/>
          <w:spacing w:val="-2"/>
          <w:sz w:val="18"/>
          <w:szCs w:val="18"/>
        </w:rPr>
        <w:t xml:space="preserve">Risk </w:t>
      </w:r>
      <w:r w:rsidRPr="00EC75B7">
        <w:rPr>
          <w:rFonts w:ascii="Verdana" w:hAnsi="Verdana"/>
          <w:b/>
          <w:color w:val="00AFEF"/>
          <w:sz w:val="18"/>
          <w:szCs w:val="18"/>
        </w:rPr>
        <w:t>matrix</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3"/>
        <w:gridCol w:w="422"/>
        <w:gridCol w:w="439"/>
        <w:gridCol w:w="893"/>
        <w:gridCol w:w="1133"/>
        <w:gridCol w:w="4112"/>
      </w:tblGrid>
      <w:tr w:rsidR="008715BE" w:rsidRPr="00EC75B7" w14:paraId="6941B559" w14:textId="77777777">
        <w:trPr>
          <w:trHeight w:val="1680"/>
        </w:trPr>
        <w:tc>
          <w:tcPr>
            <w:tcW w:w="2542" w:type="dxa"/>
            <w:shd w:val="clear" w:color="auto" w:fill="00AFEF"/>
          </w:tcPr>
          <w:p w14:paraId="30BC7CAA" w14:textId="77777777" w:rsidR="008715BE" w:rsidRPr="00EC75B7" w:rsidRDefault="008715BE">
            <w:pPr>
              <w:pStyle w:val="TableParagraph"/>
              <w:rPr>
                <w:rFonts w:ascii="Verdana" w:hAnsi="Verdana"/>
                <w:b/>
                <w:sz w:val="18"/>
                <w:szCs w:val="18"/>
              </w:rPr>
            </w:pPr>
          </w:p>
          <w:p w14:paraId="4A075B7A" w14:textId="77777777" w:rsidR="008715BE" w:rsidRPr="00EC75B7" w:rsidRDefault="008715BE">
            <w:pPr>
              <w:pStyle w:val="TableParagraph"/>
              <w:rPr>
                <w:rFonts w:ascii="Verdana" w:hAnsi="Verdana"/>
                <w:b/>
                <w:sz w:val="18"/>
                <w:szCs w:val="18"/>
              </w:rPr>
            </w:pPr>
          </w:p>
          <w:p w14:paraId="174D295F" w14:textId="77777777" w:rsidR="008715BE" w:rsidRPr="00EC75B7" w:rsidRDefault="008715BE">
            <w:pPr>
              <w:pStyle w:val="TableParagraph"/>
              <w:spacing w:before="157"/>
              <w:rPr>
                <w:rFonts w:ascii="Verdana" w:hAnsi="Verdana"/>
                <w:b/>
                <w:sz w:val="18"/>
                <w:szCs w:val="18"/>
              </w:rPr>
            </w:pPr>
          </w:p>
          <w:p w14:paraId="0638D105"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423" w:type="dxa"/>
            <w:shd w:val="clear" w:color="auto" w:fill="00AFEF"/>
            <w:textDirection w:val="btLr"/>
          </w:tcPr>
          <w:p w14:paraId="4CB76670" w14:textId="77777777" w:rsidR="008715BE" w:rsidRPr="00EC75B7" w:rsidRDefault="00000000">
            <w:pPr>
              <w:pStyle w:val="TableParagraph"/>
              <w:spacing w:before="124"/>
              <w:ind w:left="267"/>
              <w:rPr>
                <w:rFonts w:ascii="Verdana" w:hAnsi="Verdana"/>
                <w:b/>
                <w:sz w:val="18"/>
                <w:szCs w:val="18"/>
              </w:rPr>
            </w:pPr>
            <w:r w:rsidRPr="00EC75B7">
              <w:rPr>
                <w:rFonts w:ascii="Verdana" w:hAnsi="Verdana"/>
                <w:b/>
                <w:color w:val="FFFFFF"/>
                <w:spacing w:val="-2"/>
                <w:sz w:val="18"/>
                <w:szCs w:val="18"/>
              </w:rPr>
              <w:t>Probability</w:t>
            </w:r>
          </w:p>
        </w:tc>
        <w:tc>
          <w:tcPr>
            <w:tcW w:w="422" w:type="dxa"/>
            <w:shd w:val="clear" w:color="auto" w:fill="00AFEF"/>
            <w:textDirection w:val="btLr"/>
          </w:tcPr>
          <w:p w14:paraId="32E1A450" w14:textId="77777777" w:rsidR="008715BE" w:rsidRPr="00EC75B7" w:rsidRDefault="00000000">
            <w:pPr>
              <w:pStyle w:val="TableParagraph"/>
              <w:spacing w:before="123"/>
              <w:ind w:left="385"/>
              <w:rPr>
                <w:rFonts w:ascii="Verdana" w:hAnsi="Verdana"/>
                <w:b/>
                <w:sz w:val="18"/>
                <w:szCs w:val="18"/>
              </w:rPr>
            </w:pPr>
            <w:r w:rsidRPr="00EC75B7">
              <w:rPr>
                <w:rFonts w:ascii="Verdana" w:hAnsi="Verdana"/>
                <w:b/>
                <w:color w:val="FFFFFF"/>
                <w:spacing w:val="-2"/>
                <w:sz w:val="18"/>
                <w:szCs w:val="18"/>
              </w:rPr>
              <w:t>Severity</w:t>
            </w:r>
          </w:p>
        </w:tc>
        <w:tc>
          <w:tcPr>
            <w:tcW w:w="439" w:type="dxa"/>
            <w:shd w:val="clear" w:color="auto" w:fill="00AFEF"/>
            <w:textDirection w:val="btLr"/>
          </w:tcPr>
          <w:p w14:paraId="156971CC" w14:textId="77777777" w:rsidR="008715BE" w:rsidRPr="00EC75B7" w:rsidRDefault="00000000">
            <w:pPr>
              <w:pStyle w:val="TableParagraph"/>
              <w:spacing w:before="131"/>
              <w:ind w:left="18"/>
              <w:jc w:val="center"/>
              <w:rPr>
                <w:rFonts w:ascii="Verdana" w:hAnsi="Verdana"/>
                <w:b/>
                <w:sz w:val="18"/>
                <w:szCs w:val="18"/>
              </w:rPr>
            </w:pPr>
            <w:r w:rsidRPr="00EC75B7">
              <w:rPr>
                <w:rFonts w:ascii="Verdana" w:hAnsi="Verdana"/>
                <w:b/>
                <w:color w:val="FFFFFF"/>
                <w:spacing w:val="-4"/>
                <w:sz w:val="18"/>
                <w:szCs w:val="18"/>
              </w:rPr>
              <w:t>Risk</w:t>
            </w:r>
          </w:p>
        </w:tc>
        <w:tc>
          <w:tcPr>
            <w:tcW w:w="893" w:type="dxa"/>
            <w:shd w:val="clear" w:color="auto" w:fill="00AFEF"/>
            <w:textDirection w:val="btLr"/>
          </w:tcPr>
          <w:p w14:paraId="093F65B2" w14:textId="77777777" w:rsidR="008715BE" w:rsidRPr="00EC75B7" w:rsidRDefault="008715BE">
            <w:pPr>
              <w:pStyle w:val="TableParagraph"/>
              <w:spacing w:before="163"/>
              <w:rPr>
                <w:rFonts w:ascii="Verdana" w:hAnsi="Verdana"/>
                <w:b/>
                <w:sz w:val="18"/>
                <w:szCs w:val="18"/>
              </w:rPr>
            </w:pPr>
          </w:p>
          <w:p w14:paraId="602D152F" w14:textId="77777777" w:rsidR="008715BE" w:rsidRPr="00EC75B7" w:rsidRDefault="00000000">
            <w:pPr>
              <w:pStyle w:val="TableParagraph"/>
              <w:spacing w:before="1"/>
              <w:ind w:left="431"/>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level</w:t>
            </w:r>
          </w:p>
        </w:tc>
        <w:tc>
          <w:tcPr>
            <w:tcW w:w="1133" w:type="dxa"/>
            <w:shd w:val="clear" w:color="auto" w:fill="00AFEF"/>
          </w:tcPr>
          <w:p w14:paraId="3C929CC4" w14:textId="77777777" w:rsidR="008715BE" w:rsidRPr="00EC75B7" w:rsidRDefault="008715BE">
            <w:pPr>
              <w:pStyle w:val="TableParagraph"/>
              <w:rPr>
                <w:rFonts w:ascii="Verdana" w:hAnsi="Verdana"/>
                <w:b/>
                <w:sz w:val="18"/>
                <w:szCs w:val="18"/>
              </w:rPr>
            </w:pPr>
          </w:p>
          <w:p w14:paraId="5F94EC3C" w14:textId="77777777" w:rsidR="008715BE" w:rsidRPr="00EC75B7" w:rsidRDefault="008715BE">
            <w:pPr>
              <w:pStyle w:val="TableParagraph"/>
              <w:spacing w:before="158"/>
              <w:rPr>
                <w:rFonts w:ascii="Verdana" w:hAnsi="Verdana"/>
                <w:b/>
                <w:sz w:val="18"/>
                <w:szCs w:val="18"/>
              </w:rPr>
            </w:pPr>
          </w:p>
          <w:p w14:paraId="6F379C40" w14:textId="77777777" w:rsidR="008715BE" w:rsidRPr="00EC75B7" w:rsidRDefault="00000000">
            <w:pPr>
              <w:pStyle w:val="TableParagraph"/>
              <w:ind w:left="245" w:hanging="82"/>
              <w:rPr>
                <w:rFonts w:ascii="Verdana" w:hAnsi="Verdana"/>
                <w:b/>
                <w:sz w:val="18"/>
                <w:szCs w:val="18"/>
              </w:rPr>
            </w:pPr>
            <w:r w:rsidRPr="00EC75B7">
              <w:rPr>
                <w:rFonts w:ascii="Verdana" w:hAnsi="Verdana"/>
                <w:b/>
                <w:color w:val="FFFFFF"/>
                <w:spacing w:val="-2"/>
                <w:sz w:val="18"/>
                <w:szCs w:val="18"/>
              </w:rPr>
              <w:t>Associated</w:t>
            </w:r>
            <w:r w:rsidRPr="00EC75B7">
              <w:rPr>
                <w:rFonts w:ascii="Verdana" w:hAnsi="Verdana"/>
                <w:b/>
                <w:color w:val="FFFFFF"/>
                <w:sz w:val="18"/>
                <w:szCs w:val="18"/>
              </w:rPr>
              <w:t xml:space="preserve"> risk</w:t>
            </w:r>
            <w:r w:rsidRPr="00EC75B7">
              <w:rPr>
                <w:rFonts w:ascii="Verdana" w:hAnsi="Verdana"/>
                <w:b/>
                <w:color w:val="FFFFFF"/>
                <w:spacing w:val="-2"/>
                <w:sz w:val="18"/>
                <w:szCs w:val="18"/>
              </w:rPr>
              <w:t xml:space="preserve"> area</w:t>
            </w:r>
          </w:p>
        </w:tc>
        <w:tc>
          <w:tcPr>
            <w:tcW w:w="4112" w:type="dxa"/>
            <w:shd w:val="clear" w:color="auto" w:fill="00AFEF"/>
          </w:tcPr>
          <w:p w14:paraId="43723704" w14:textId="77777777" w:rsidR="008715BE" w:rsidRPr="00EC75B7" w:rsidRDefault="008715BE">
            <w:pPr>
              <w:pStyle w:val="TableParagraph"/>
              <w:rPr>
                <w:rFonts w:ascii="Verdana" w:hAnsi="Verdana"/>
                <w:b/>
                <w:sz w:val="18"/>
                <w:szCs w:val="18"/>
              </w:rPr>
            </w:pPr>
          </w:p>
          <w:p w14:paraId="0FB5605C" w14:textId="77777777" w:rsidR="008715BE" w:rsidRPr="00EC75B7" w:rsidRDefault="008715BE">
            <w:pPr>
              <w:pStyle w:val="TableParagraph"/>
              <w:rPr>
                <w:rFonts w:ascii="Verdana" w:hAnsi="Verdana"/>
                <w:b/>
                <w:sz w:val="18"/>
                <w:szCs w:val="18"/>
              </w:rPr>
            </w:pPr>
          </w:p>
          <w:p w14:paraId="3C3E5CF9" w14:textId="77777777" w:rsidR="008715BE" w:rsidRPr="00EC75B7" w:rsidRDefault="008715BE">
            <w:pPr>
              <w:pStyle w:val="TableParagraph"/>
              <w:spacing w:before="157"/>
              <w:rPr>
                <w:rFonts w:ascii="Verdana" w:hAnsi="Verdana"/>
                <w:b/>
                <w:sz w:val="18"/>
                <w:szCs w:val="18"/>
              </w:rPr>
            </w:pPr>
          </w:p>
          <w:p w14:paraId="3F819519"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35B4E8C3" w14:textId="77777777">
        <w:trPr>
          <w:trHeight w:val="1943"/>
        </w:trPr>
        <w:tc>
          <w:tcPr>
            <w:tcW w:w="2542" w:type="dxa"/>
          </w:tcPr>
          <w:p w14:paraId="18D70C4C" w14:textId="77777777" w:rsidR="008715BE" w:rsidRPr="00EC75B7" w:rsidRDefault="008715BE">
            <w:pPr>
              <w:pStyle w:val="TableParagraph"/>
              <w:rPr>
                <w:rFonts w:ascii="Verdana" w:hAnsi="Verdana"/>
                <w:b/>
                <w:sz w:val="18"/>
                <w:szCs w:val="18"/>
              </w:rPr>
            </w:pPr>
          </w:p>
          <w:p w14:paraId="0CFF87D8" w14:textId="77777777" w:rsidR="008715BE" w:rsidRPr="00EC75B7" w:rsidRDefault="008715BE">
            <w:pPr>
              <w:pStyle w:val="TableParagraph"/>
              <w:rPr>
                <w:rFonts w:ascii="Verdana" w:hAnsi="Verdana"/>
                <w:b/>
                <w:sz w:val="18"/>
                <w:szCs w:val="18"/>
              </w:rPr>
            </w:pPr>
          </w:p>
          <w:p w14:paraId="420B20D7" w14:textId="77777777" w:rsidR="008715BE" w:rsidRPr="00EC75B7" w:rsidRDefault="008715BE">
            <w:pPr>
              <w:pStyle w:val="TableParagraph"/>
              <w:spacing w:before="190"/>
              <w:rPr>
                <w:rFonts w:ascii="Verdana" w:hAnsi="Verdana"/>
                <w:b/>
                <w:sz w:val="18"/>
                <w:szCs w:val="18"/>
              </w:rPr>
            </w:pPr>
          </w:p>
          <w:p w14:paraId="3FF7BADC" w14:textId="77777777" w:rsidR="008715BE" w:rsidRPr="00EC75B7" w:rsidRDefault="00000000">
            <w:pPr>
              <w:pStyle w:val="TableParagraph"/>
              <w:spacing w:before="1" w:line="195" w:lineRule="exact"/>
              <w:ind w:left="108"/>
              <w:rPr>
                <w:rFonts w:ascii="Verdana" w:hAnsi="Verdana"/>
                <w:sz w:val="18"/>
                <w:szCs w:val="18"/>
              </w:rPr>
            </w:pPr>
            <w:r w:rsidRPr="00EC75B7">
              <w:rPr>
                <w:rFonts w:ascii="Verdana" w:hAnsi="Verdana"/>
                <w:sz w:val="18"/>
                <w:szCs w:val="18"/>
              </w:rPr>
              <w:t>Flooding</w:t>
            </w:r>
            <w:r w:rsidRPr="00EC75B7">
              <w:rPr>
                <w:rFonts w:ascii="Verdana" w:hAnsi="Verdana"/>
                <w:spacing w:val="-2"/>
                <w:sz w:val="18"/>
                <w:szCs w:val="18"/>
              </w:rPr>
              <w:t>/Precipitation</w:t>
            </w:r>
          </w:p>
          <w:p w14:paraId="1DC8733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Heavy</w:t>
            </w:r>
          </w:p>
        </w:tc>
        <w:tc>
          <w:tcPr>
            <w:tcW w:w="423" w:type="dxa"/>
          </w:tcPr>
          <w:p w14:paraId="2DF826DF" w14:textId="77777777" w:rsidR="008715BE" w:rsidRPr="00EC75B7" w:rsidRDefault="008715BE">
            <w:pPr>
              <w:pStyle w:val="TableParagraph"/>
              <w:rPr>
                <w:rFonts w:ascii="Verdana" w:hAnsi="Verdana"/>
                <w:b/>
                <w:sz w:val="18"/>
                <w:szCs w:val="18"/>
              </w:rPr>
            </w:pPr>
          </w:p>
          <w:p w14:paraId="23F80D75" w14:textId="77777777" w:rsidR="008715BE" w:rsidRPr="00EC75B7" w:rsidRDefault="008715BE">
            <w:pPr>
              <w:pStyle w:val="TableParagraph"/>
              <w:rPr>
                <w:rFonts w:ascii="Verdana" w:hAnsi="Verdana"/>
                <w:b/>
                <w:sz w:val="18"/>
                <w:szCs w:val="18"/>
              </w:rPr>
            </w:pPr>
          </w:p>
          <w:p w14:paraId="7E29102D" w14:textId="77777777" w:rsidR="008715BE" w:rsidRPr="00EC75B7" w:rsidRDefault="008715BE">
            <w:pPr>
              <w:pStyle w:val="TableParagraph"/>
              <w:rPr>
                <w:rFonts w:ascii="Verdana" w:hAnsi="Verdana"/>
                <w:b/>
                <w:sz w:val="18"/>
                <w:szCs w:val="18"/>
              </w:rPr>
            </w:pPr>
          </w:p>
          <w:p w14:paraId="085E83EA" w14:textId="77777777" w:rsidR="008715BE" w:rsidRPr="00EC75B7" w:rsidRDefault="008715BE">
            <w:pPr>
              <w:pStyle w:val="TableParagraph"/>
              <w:spacing w:before="94"/>
              <w:rPr>
                <w:rFonts w:ascii="Verdana" w:hAnsi="Verdana"/>
                <w:b/>
                <w:sz w:val="18"/>
                <w:szCs w:val="18"/>
              </w:rPr>
            </w:pPr>
          </w:p>
          <w:p w14:paraId="2CF75B56" w14:textId="77777777" w:rsidR="008715BE" w:rsidRPr="00EC75B7" w:rsidRDefault="00000000">
            <w:pPr>
              <w:pStyle w:val="TableParagraph"/>
              <w:ind w:left="15"/>
              <w:jc w:val="center"/>
              <w:rPr>
                <w:rFonts w:ascii="Verdana" w:hAnsi="Verdana"/>
                <w:sz w:val="18"/>
                <w:szCs w:val="18"/>
              </w:rPr>
            </w:pPr>
            <w:r w:rsidRPr="00EC75B7">
              <w:rPr>
                <w:rFonts w:ascii="Verdana" w:hAnsi="Verdana"/>
                <w:spacing w:val="-10"/>
                <w:sz w:val="18"/>
                <w:szCs w:val="18"/>
              </w:rPr>
              <w:t>2</w:t>
            </w:r>
          </w:p>
        </w:tc>
        <w:tc>
          <w:tcPr>
            <w:tcW w:w="422" w:type="dxa"/>
          </w:tcPr>
          <w:p w14:paraId="2877B5FB" w14:textId="77777777" w:rsidR="008715BE" w:rsidRPr="00EC75B7" w:rsidRDefault="008715BE">
            <w:pPr>
              <w:pStyle w:val="TableParagraph"/>
              <w:rPr>
                <w:rFonts w:ascii="Verdana" w:hAnsi="Verdana"/>
                <w:b/>
                <w:sz w:val="18"/>
                <w:szCs w:val="18"/>
              </w:rPr>
            </w:pPr>
          </w:p>
          <w:p w14:paraId="138D1974" w14:textId="77777777" w:rsidR="008715BE" w:rsidRPr="00EC75B7" w:rsidRDefault="008715BE">
            <w:pPr>
              <w:pStyle w:val="TableParagraph"/>
              <w:rPr>
                <w:rFonts w:ascii="Verdana" w:hAnsi="Verdana"/>
                <w:b/>
                <w:sz w:val="18"/>
                <w:szCs w:val="18"/>
              </w:rPr>
            </w:pPr>
          </w:p>
          <w:p w14:paraId="2716449E" w14:textId="77777777" w:rsidR="008715BE" w:rsidRPr="00EC75B7" w:rsidRDefault="008715BE">
            <w:pPr>
              <w:pStyle w:val="TableParagraph"/>
              <w:rPr>
                <w:rFonts w:ascii="Verdana" w:hAnsi="Verdana"/>
                <w:b/>
                <w:sz w:val="18"/>
                <w:szCs w:val="18"/>
              </w:rPr>
            </w:pPr>
          </w:p>
          <w:p w14:paraId="1C533432" w14:textId="77777777" w:rsidR="008715BE" w:rsidRPr="00EC75B7" w:rsidRDefault="008715BE">
            <w:pPr>
              <w:pStyle w:val="TableParagraph"/>
              <w:spacing w:before="94"/>
              <w:rPr>
                <w:rFonts w:ascii="Verdana" w:hAnsi="Verdana"/>
                <w:b/>
                <w:sz w:val="18"/>
                <w:szCs w:val="18"/>
              </w:rPr>
            </w:pPr>
          </w:p>
          <w:p w14:paraId="3F0630FD"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39" w:type="dxa"/>
            <w:tcBorders>
              <w:bottom w:val="nil"/>
            </w:tcBorders>
            <w:shd w:val="clear" w:color="auto" w:fill="E1EEDA"/>
          </w:tcPr>
          <w:p w14:paraId="6B92370B" w14:textId="77777777" w:rsidR="008715BE" w:rsidRPr="00EC75B7" w:rsidRDefault="008715BE">
            <w:pPr>
              <w:pStyle w:val="TableParagraph"/>
              <w:rPr>
                <w:rFonts w:ascii="Verdana" w:hAnsi="Verdana"/>
                <w:b/>
                <w:sz w:val="18"/>
                <w:szCs w:val="18"/>
              </w:rPr>
            </w:pPr>
          </w:p>
          <w:p w14:paraId="635698BB" w14:textId="77777777" w:rsidR="008715BE" w:rsidRPr="00EC75B7" w:rsidRDefault="008715BE">
            <w:pPr>
              <w:pStyle w:val="TableParagraph"/>
              <w:rPr>
                <w:rFonts w:ascii="Verdana" w:hAnsi="Verdana"/>
                <w:b/>
                <w:sz w:val="18"/>
                <w:szCs w:val="18"/>
              </w:rPr>
            </w:pPr>
          </w:p>
          <w:p w14:paraId="0C2E21F7" w14:textId="77777777" w:rsidR="008715BE" w:rsidRPr="00EC75B7" w:rsidRDefault="008715BE">
            <w:pPr>
              <w:pStyle w:val="TableParagraph"/>
              <w:spacing w:before="22"/>
              <w:rPr>
                <w:rFonts w:ascii="Verdana" w:hAnsi="Verdana"/>
                <w:b/>
                <w:sz w:val="18"/>
                <w:szCs w:val="18"/>
              </w:rPr>
            </w:pPr>
          </w:p>
          <w:p w14:paraId="60D9C703"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6</w:t>
            </w:r>
          </w:p>
        </w:tc>
        <w:tc>
          <w:tcPr>
            <w:tcW w:w="893" w:type="dxa"/>
          </w:tcPr>
          <w:p w14:paraId="1DB4A678" w14:textId="77777777" w:rsidR="008715BE" w:rsidRPr="00EC75B7" w:rsidRDefault="008715BE">
            <w:pPr>
              <w:pStyle w:val="TableParagraph"/>
              <w:rPr>
                <w:rFonts w:ascii="Verdana" w:hAnsi="Verdana"/>
                <w:b/>
                <w:sz w:val="18"/>
                <w:szCs w:val="18"/>
              </w:rPr>
            </w:pPr>
          </w:p>
          <w:p w14:paraId="3662FE0B" w14:textId="77777777" w:rsidR="008715BE" w:rsidRPr="00EC75B7" w:rsidRDefault="008715BE">
            <w:pPr>
              <w:pStyle w:val="TableParagraph"/>
              <w:rPr>
                <w:rFonts w:ascii="Verdana" w:hAnsi="Verdana"/>
                <w:b/>
                <w:sz w:val="18"/>
                <w:szCs w:val="18"/>
              </w:rPr>
            </w:pPr>
          </w:p>
          <w:p w14:paraId="0EB8CB88" w14:textId="77777777" w:rsidR="008715BE" w:rsidRPr="00EC75B7" w:rsidRDefault="008715BE">
            <w:pPr>
              <w:pStyle w:val="TableParagraph"/>
              <w:rPr>
                <w:rFonts w:ascii="Verdana" w:hAnsi="Verdana"/>
                <w:b/>
                <w:sz w:val="18"/>
                <w:szCs w:val="18"/>
              </w:rPr>
            </w:pPr>
          </w:p>
          <w:p w14:paraId="6264EA95" w14:textId="77777777" w:rsidR="008715BE" w:rsidRPr="00EC75B7" w:rsidRDefault="008715BE">
            <w:pPr>
              <w:pStyle w:val="TableParagraph"/>
              <w:spacing w:before="94"/>
              <w:rPr>
                <w:rFonts w:ascii="Verdana" w:hAnsi="Verdana"/>
                <w:b/>
                <w:sz w:val="18"/>
                <w:szCs w:val="18"/>
              </w:rPr>
            </w:pPr>
          </w:p>
          <w:p w14:paraId="54884F96" w14:textId="77777777" w:rsidR="008715BE" w:rsidRPr="00EC75B7" w:rsidRDefault="00000000">
            <w:pPr>
              <w:pStyle w:val="TableParagraph"/>
              <w:ind w:left="16" w:right="3"/>
              <w:jc w:val="center"/>
              <w:rPr>
                <w:rFonts w:ascii="Verdana" w:hAnsi="Verdana"/>
                <w:sz w:val="18"/>
                <w:szCs w:val="18"/>
              </w:rPr>
            </w:pPr>
            <w:r w:rsidRPr="00EC75B7">
              <w:rPr>
                <w:rFonts w:ascii="Verdana" w:hAnsi="Verdana"/>
                <w:spacing w:val="-2"/>
                <w:sz w:val="18"/>
                <w:szCs w:val="18"/>
              </w:rPr>
              <w:t>low</w:t>
            </w:r>
          </w:p>
        </w:tc>
        <w:tc>
          <w:tcPr>
            <w:tcW w:w="1133" w:type="dxa"/>
          </w:tcPr>
          <w:p w14:paraId="0C621832" w14:textId="77777777" w:rsidR="008715BE" w:rsidRPr="00EC75B7" w:rsidRDefault="008715BE">
            <w:pPr>
              <w:pStyle w:val="TableParagraph"/>
              <w:rPr>
                <w:rFonts w:ascii="Verdana" w:hAnsi="Verdana"/>
                <w:b/>
                <w:sz w:val="18"/>
                <w:szCs w:val="18"/>
              </w:rPr>
            </w:pPr>
          </w:p>
          <w:p w14:paraId="2A46DC74" w14:textId="77777777" w:rsidR="008715BE" w:rsidRPr="00EC75B7" w:rsidRDefault="008715BE">
            <w:pPr>
              <w:pStyle w:val="TableParagraph"/>
              <w:rPr>
                <w:rFonts w:ascii="Verdana" w:hAnsi="Verdana"/>
                <w:b/>
                <w:sz w:val="18"/>
                <w:szCs w:val="18"/>
              </w:rPr>
            </w:pPr>
          </w:p>
          <w:p w14:paraId="7B842102" w14:textId="77777777" w:rsidR="008715BE" w:rsidRPr="00EC75B7" w:rsidRDefault="008715BE">
            <w:pPr>
              <w:pStyle w:val="TableParagraph"/>
              <w:rPr>
                <w:rFonts w:ascii="Verdana" w:hAnsi="Verdana"/>
                <w:b/>
                <w:sz w:val="18"/>
                <w:szCs w:val="18"/>
              </w:rPr>
            </w:pPr>
          </w:p>
          <w:p w14:paraId="16F345E3" w14:textId="77777777" w:rsidR="008715BE" w:rsidRPr="00EC75B7" w:rsidRDefault="008715BE">
            <w:pPr>
              <w:pStyle w:val="TableParagraph"/>
              <w:spacing w:before="94"/>
              <w:rPr>
                <w:rFonts w:ascii="Verdana" w:hAnsi="Verdana"/>
                <w:b/>
                <w:sz w:val="18"/>
                <w:szCs w:val="18"/>
              </w:rPr>
            </w:pPr>
          </w:p>
          <w:p w14:paraId="0DCCC832"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RA1, </w:t>
            </w:r>
            <w:r w:rsidRPr="00EC75B7">
              <w:rPr>
                <w:rFonts w:ascii="Verdana" w:hAnsi="Verdana"/>
                <w:spacing w:val="-5"/>
                <w:sz w:val="18"/>
                <w:szCs w:val="18"/>
              </w:rPr>
              <w:t>RA5</w:t>
            </w:r>
          </w:p>
        </w:tc>
        <w:tc>
          <w:tcPr>
            <w:tcW w:w="4112" w:type="dxa"/>
          </w:tcPr>
          <w:p w14:paraId="0428D885" w14:textId="77777777" w:rsidR="008715BE" w:rsidRPr="00EC75B7" w:rsidRDefault="00000000">
            <w:pPr>
              <w:pStyle w:val="TableParagraph"/>
              <w:ind w:left="110"/>
              <w:rPr>
                <w:rFonts w:ascii="Verdana" w:hAnsi="Verdana"/>
                <w:sz w:val="18"/>
                <w:szCs w:val="18"/>
              </w:rPr>
            </w:pPr>
            <w:r w:rsidRPr="00EC75B7">
              <w:rPr>
                <w:rFonts w:ascii="Verdana" w:hAnsi="Verdana"/>
                <w:spacing w:val="40"/>
                <w:sz w:val="18"/>
                <w:szCs w:val="18"/>
              </w:rPr>
              <w:t xml:space="preserve">  </w:t>
            </w:r>
            <w:r w:rsidRPr="00EC75B7">
              <w:rPr>
                <w:rFonts w:ascii="Verdana" w:hAnsi="Verdana"/>
                <w:sz w:val="18"/>
                <w:szCs w:val="18"/>
              </w:rPr>
              <w:t xml:space="preserve"> may temporarily affect</w:t>
            </w:r>
            <w:r w:rsidRPr="00EC75B7">
              <w:rPr>
                <w:rFonts w:ascii="Verdana" w:hAnsi="Verdana"/>
                <w:spacing w:val="40"/>
                <w:sz w:val="18"/>
                <w:szCs w:val="18"/>
              </w:rPr>
              <w:t xml:space="preserve">  </w:t>
            </w:r>
            <w:r w:rsidRPr="00EC75B7">
              <w:rPr>
                <w:rFonts w:ascii="Verdana" w:hAnsi="Verdana"/>
                <w:sz w:val="18"/>
                <w:szCs w:val="18"/>
              </w:rPr>
              <w:t xml:space="preserve"> </w:t>
            </w:r>
            <w:r w:rsidRPr="00EC75B7">
              <w:rPr>
                <w:rFonts w:ascii="Verdana" w:hAnsi="Verdana"/>
                <w:spacing w:val="40"/>
                <w:sz w:val="18"/>
                <w:szCs w:val="18"/>
              </w:rPr>
              <w:t xml:space="preserve">  </w:t>
            </w:r>
            <w:r w:rsidRPr="00EC75B7">
              <w:rPr>
                <w:rFonts w:ascii="Verdana" w:hAnsi="Verdana"/>
                <w:sz w:val="18"/>
                <w:szCs w:val="18"/>
              </w:rPr>
              <w:t xml:space="preserve"> access roads</w:t>
            </w:r>
            <w:r w:rsidRPr="00EC75B7">
              <w:rPr>
                <w:rFonts w:ascii="Verdana" w:hAnsi="Verdana"/>
                <w:spacing w:val="40"/>
                <w:sz w:val="18"/>
                <w:szCs w:val="18"/>
              </w:rPr>
              <w:t xml:space="preserve">  </w:t>
            </w:r>
            <w:r w:rsidRPr="00EC75B7">
              <w:rPr>
                <w:rFonts w:ascii="Verdana" w:hAnsi="Verdana"/>
                <w:sz w:val="18"/>
                <w:szCs w:val="18"/>
              </w:rPr>
              <w:t xml:space="preserve"> turbine platforms and drainage systems, with limited impact on operational continuity. Heavy rainfall in a short period of time can cause surface water erosion, which can erode the soil and reduce the anchoring capacity of </w:t>
            </w:r>
            <w:r w:rsidRPr="00EC75B7">
              <w:rPr>
                <w:rFonts w:ascii="Verdana" w:hAnsi="Verdana"/>
                <w:spacing w:val="-2"/>
                <w:sz w:val="18"/>
                <w:szCs w:val="18"/>
              </w:rPr>
              <w:t>renewable</w:t>
            </w:r>
            <w:r w:rsidRPr="00EC75B7">
              <w:rPr>
                <w:rFonts w:ascii="Verdana" w:hAnsi="Verdana"/>
                <w:sz w:val="18"/>
                <w:szCs w:val="18"/>
              </w:rPr>
              <w:t xml:space="preserve"> energy production systems</w:t>
            </w:r>
            <w:r w:rsidRPr="00EC75B7">
              <w:rPr>
                <w:rFonts w:ascii="Verdana" w:hAnsi="Verdana"/>
                <w:spacing w:val="-2"/>
                <w:sz w:val="18"/>
                <w:szCs w:val="18"/>
              </w:rPr>
              <w:t>.</w:t>
            </w:r>
          </w:p>
          <w:p w14:paraId="2E071C31" w14:textId="77777777" w:rsidR="008715BE" w:rsidRPr="00EC75B7" w:rsidRDefault="00000000">
            <w:pPr>
              <w:pStyle w:val="TableParagraph"/>
              <w:tabs>
                <w:tab w:val="left" w:pos="1602"/>
                <w:tab w:val="left" w:pos="2615"/>
                <w:tab w:val="left" w:pos="3090"/>
              </w:tabs>
              <w:spacing w:line="188" w:lineRule="exact"/>
              <w:ind w:left="110"/>
              <w:rPr>
                <w:rFonts w:ascii="Verdana" w:hAnsi="Verdana"/>
                <w:sz w:val="18"/>
                <w:szCs w:val="18"/>
              </w:rPr>
            </w:pPr>
            <w:r w:rsidRPr="00EC75B7">
              <w:rPr>
                <w:rFonts w:ascii="Verdana" w:hAnsi="Verdana"/>
                <w:spacing w:val="-2"/>
                <w:sz w:val="18"/>
                <w:szCs w:val="18"/>
              </w:rPr>
              <w:t>Restriction of</w:t>
            </w:r>
            <w:r w:rsidRPr="00EC75B7">
              <w:rPr>
                <w:rFonts w:ascii="Verdana" w:hAnsi="Verdana"/>
                <w:sz w:val="18"/>
                <w:szCs w:val="18"/>
              </w:rPr>
              <w:tab/>
            </w:r>
            <w:r w:rsidRPr="00EC75B7">
              <w:rPr>
                <w:rFonts w:ascii="Verdana" w:hAnsi="Verdana"/>
                <w:spacing w:val="-2"/>
                <w:sz w:val="18"/>
                <w:szCs w:val="18"/>
              </w:rPr>
              <w:t>access</w:t>
            </w:r>
            <w:r w:rsidRPr="00EC75B7">
              <w:rPr>
                <w:rFonts w:ascii="Verdana" w:hAnsi="Verdana"/>
                <w:sz w:val="18"/>
                <w:szCs w:val="18"/>
              </w:rPr>
              <w:tab/>
            </w:r>
            <w:r w:rsidRPr="00EC75B7">
              <w:rPr>
                <w:rFonts w:ascii="Verdana" w:hAnsi="Verdana"/>
                <w:spacing w:val="-5"/>
                <w:sz w:val="18"/>
                <w:szCs w:val="18"/>
              </w:rPr>
              <w:t>to</w:t>
            </w:r>
            <w:r w:rsidRPr="00EC75B7">
              <w:rPr>
                <w:rFonts w:ascii="Verdana" w:hAnsi="Verdana"/>
                <w:sz w:val="18"/>
                <w:szCs w:val="18"/>
              </w:rPr>
              <w:tab/>
            </w:r>
            <w:r w:rsidRPr="00EC75B7">
              <w:rPr>
                <w:rFonts w:ascii="Verdana" w:hAnsi="Verdana"/>
                <w:spacing w:val="-2"/>
                <w:sz w:val="18"/>
                <w:szCs w:val="18"/>
              </w:rPr>
              <w:t>technological</w:t>
            </w:r>
          </w:p>
          <w:p w14:paraId="61D14E47"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during periods of </w:t>
            </w:r>
            <w:r w:rsidRPr="00EC75B7">
              <w:rPr>
                <w:rFonts w:ascii="Verdana" w:hAnsi="Verdana"/>
                <w:spacing w:val="-2"/>
                <w:sz w:val="18"/>
                <w:szCs w:val="18"/>
              </w:rPr>
              <w:t xml:space="preserve">extreme </w:t>
            </w:r>
            <w:r w:rsidRPr="00EC75B7">
              <w:rPr>
                <w:rFonts w:ascii="Verdana" w:hAnsi="Verdana"/>
                <w:sz w:val="18"/>
                <w:szCs w:val="18"/>
              </w:rPr>
              <w:t>rainfall</w:t>
            </w:r>
          </w:p>
        </w:tc>
      </w:tr>
      <w:tr w:rsidR="008715BE" w:rsidRPr="00EC75B7" w14:paraId="4BC9CAAA" w14:textId="77777777">
        <w:trPr>
          <w:trHeight w:val="1168"/>
        </w:trPr>
        <w:tc>
          <w:tcPr>
            <w:tcW w:w="2542" w:type="dxa"/>
          </w:tcPr>
          <w:p w14:paraId="78525B0D" w14:textId="77777777" w:rsidR="008715BE" w:rsidRPr="00EC75B7" w:rsidRDefault="008715BE">
            <w:pPr>
              <w:pStyle w:val="TableParagraph"/>
              <w:rPr>
                <w:rFonts w:ascii="Verdana" w:hAnsi="Verdana"/>
                <w:b/>
                <w:sz w:val="18"/>
                <w:szCs w:val="18"/>
              </w:rPr>
            </w:pPr>
          </w:p>
          <w:p w14:paraId="0A7BF63D" w14:textId="77777777" w:rsidR="008715BE" w:rsidRPr="00EC75B7" w:rsidRDefault="008715BE">
            <w:pPr>
              <w:pStyle w:val="TableParagraph"/>
              <w:spacing w:before="95"/>
              <w:rPr>
                <w:rFonts w:ascii="Verdana" w:hAnsi="Verdana"/>
                <w:b/>
                <w:sz w:val="18"/>
                <w:szCs w:val="18"/>
              </w:rPr>
            </w:pPr>
          </w:p>
          <w:p w14:paraId="50A24705" w14:textId="77777777" w:rsidR="008715BE" w:rsidRPr="00EC75B7" w:rsidRDefault="00000000">
            <w:pPr>
              <w:pStyle w:val="TableParagraph"/>
              <w:spacing w:before="1"/>
              <w:ind w:left="108"/>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423" w:type="dxa"/>
          </w:tcPr>
          <w:p w14:paraId="7C8B61E1" w14:textId="77777777" w:rsidR="008715BE" w:rsidRPr="00EC75B7" w:rsidRDefault="008715BE">
            <w:pPr>
              <w:pStyle w:val="TableParagraph"/>
              <w:rPr>
                <w:rFonts w:ascii="Verdana" w:hAnsi="Verdana"/>
                <w:b/>
                <w:sz w:val="18"/>
                <w:szCs w:val="18"/>
              </w:rPr>
            </w:pPr>
          </w:p>
          <w:p w14:paraId="0A36F77E" w14:textId="77777777" w:rsidR="008715BE" w:rsidRPr="00EC75B7" w:rsidRDefault="008715BE">
            <w:pPr>
              <w:pStyle w:val="TableParagraph"/>
              <w:spacing w:before="95"/>
              <w:rPr>
                <w:rFonts w:ascii="Verdana" w:hAnsi="Verdana"/>
                <w:b/>
                <w:sz w:val="18"/>
                <w:szCs w:val="18"/>
              </w:rPr>
            </w:pPr>
          </w:p>
          <w:p w14:paraId="79C14EE6" w14:textId="77777777" w:rsidR="008715BE" w:rsidRPr="00EC75B7" w:rsidRDefault="00000000">
            <w:pPr>
              <w:pStyle w:val="TableParagraph"/>
              <w:spacing w:before="1"/>
              <w:ind w:left="15"/>
              <w:jc w:val="center"/>
              <w:rPr>
                <w:rFonts w:ascii="Verdana" w:hAnsi="Verdana"/>
                <w:sz w:val="18"/>
                <w:szCs w:val="18"/>
              </w:rPr>
            </w:pPr>
            <w:r w:rsidRPr="00EC75B7">
              <w:rPr>
                <w:rFonts w:ascii="Verdana" w:hAnsi="Verdana"/>
                <w:spacing w:val="-10"/>
                <w:sz w:val="18"/>
                <w:szCs w:val="18"/>
              </w:rPr>
              <w:t>3</w:t>
            </w:r>
          </w:p>
        </w:tc>
        <w:tc>
          <w:tcPr>
            <w:tcW w:w="422" w:type="dxa"/>
          </w:tcPr>
          <w:p w14:paraId="07FCBB41" w14:textId="77777777" w:rsidR="008715BE" w:rsidRPr="00EC75B7" w:rsidRDefault="008715BE">
            <w:pPr>
              <w:pStyle w:val="TableParagraph"/>
              <w:rPr>
                <w:rFonts w:ascii="Verdana" w:hAnsi="Verdana"/>
                <w:b/>
                <w:sz w:val="18"/>
                <w:szCs w:val="18"/>
              </w:rPr>
            </w:pPr>
          </w:p>
          <w:p w14:paraId="05A85D19" w14:textId="77777777" w:rsidR="008715BE" w:rsidRPr="00EC75B7" w:rsidRDefault="008715BE">
            <w:pPr>
              <w:pStyle w:val="TableParagraph"/>
              <w:spacing w:before="95"/>
              <w:rPr>
                <w:rFonts w:ascii="Verdana" w:hAnsi="Verdana"/>
                <w:b/>
                <w:sz w:val="18"/>
                <w:szCs w:val="18"/>
              </w:rPr>
            </w:pPr>
          </w:p>
          <w:p w14:paraId="27082934"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10"/>
                <w:sz w:val="18"/>
                <w:szCs w:val="18"/>
              </w:rPr>
              <w:t>4</w:t>
            </w:r>
          </w:p>
        </w:tc>
        <w:tc>
          <w:tcPr>
            <w:tcW w:w="439" w:type="dxa"/>
            <w:tcBorders>
              <w:top w:val="nil"/>
            </w:tcBorders>
            <w:shd w:val="clear" w:color="auto" w:fill="FAB48D"/>
          </w:tcPr>
          <w:p w14:paraId="7F216E4D" w14:textId="77777777" w:rsidR="008715BE" w:rsidRPr="00EC75B7" w:rsidRDefault="008715BE">
            <w:pPr>
              <w:pStyle w:val="TableParagraph"/>
              <w:spacing w:before="172"/>
              <w:rPr>
                <w:rFonts w:ascii="Verdana" w:hAnsi="Verdana"/>
                <w:b/>
                <w:sz w:val="18"/>
                <w:szCs w:val="18"/>
              </w:rPr>
            </w:pPr>
          </w:p>
          <w:p w14:paraId="40918BF0" w14:textId="77777777" w:rsidR="008715BE" w:rsidRPr="00EC75B7" w:rsidRDefault="00000000">
            <w:pPr>
              <w:pStyle w:val="TableParagraph"/>
              <w:spacing w:before="1"/>
              <w:ind w:left="13" w:right="1"/>
              <w:jc w:val="center"/>
              <w:rPr>
                <w:rFonts w:ascii="Verdana" w:hAnsi="Verdana"/>
                <w:sz w:val="18"/>
                <w:szCs w:val="18"/>
              </w:rPr>
            </w:pPr>
            <w:r w:rsidRPr="00EC75B7">
              <w:rPr>
                <w:rFonts w:ascii="Verdana" w:hAnsi="Verdana"/>
                <w:spacing w:val="-5"/>
                <w:sz w:val="18"/>
                <w:szCs w:val="18"/>
              </w:rPr>
              <w:t>12</w:t>
            </w:r>
          </w:p>
        </w:tc>
        <w:tc>
          <w:tcPr>
            <w:tcW w:w="893" w:type="dxa"/>
          </w:tcPr>
          <w:p w14:paraId="2AB25BB8" w14:textId="77777777" w:rsidR="008715BE" w:rsidRPr="00EC75B7" w:rsidRDefault="008715BE">
            <w:pPr>
              <w:pStyle w:val="TableParagraph"/>
              <w:rPr>
                <w:rFonts w:ascii="Verdana" w:hAnsi="Verdana"/>
                <w:b/>
                <w:sz w:val="18"/>
                <w:szCs w:val="18"/>
              </w:rPr>
            </w:pPr>
          </w:p>
          <w:p w14:paraId="17755A0B" w14:textId="77777777" w:rsidR="008715BE" w:rsidRPr="00EC75B7" w:rsidRDefault="008715BE">
            <w:pPr>
              <w:pStyle w:val="TableParagraph"/>
              <w:spacing w:before="95"/>
              <w:rPr>
                <w:rFonts w:ascii="Verdana" w:hAnsi="Verdana"/>
                <w:b/>
                <w:sz w:val="18"/>
                <w:szCs w:val="18"/>
              </w:rPr>
            </w:pPr>
          </w:p>
          <w:p w14:paraId="0C0C1451" w14:textId="77777777" w:rsidR="008715BE" w:rsidRPr="00EC75B7" w:rsidRDefault="00000000">
            <w:pPr>
              <w:pStyle w:val="TableParagraph"/>
              <w:spacing w:before="1"/>
              <w:ind w:left="16"/>
              <w:jc w:val="center"/>
              <w:rPr>
                <w:rFonts w:ascii="Verdana" w:hAnsi="Verdana"/>
                <w:sz w:val="18"/>
                <w:szCs w:val="18"/>
              </w:rPr>
            </w:pPr>
            <w:r w:rsidRPr="00EC75B7">
              <w:rPr>
                <w:rFonts w:ascii="Verdana" w:hAnsi="Verdana"/>
                <w:spacing w:val="-2"/>
                <w:sz w:val="18"/>
                <w:szCs w:val="18"/>
              </w:rPr>
              <w:t>high</w:t>
            </w:r>
          </w:p>
        </w:tc>
        <w:tc>
          <w:tcPr>
            <w:tcW w:w="1133" w:type="dxa"/>
          </w:tcPr>
          <w:p w14:paraId="4674235E" w14:textId="77777777" w:rsidR="008715BE" w:rsidRPr="00EC75B7" w:rsidRDefault="008715BE">
            <w:pPr>
              <w:pStyle w:val="TableParagraph"/>
              <w:spacing w:before="195"/>
              <w:rPr>
                <w:rFonts w:ascii="Verdana" w:hAnsi="Verdana"/>
                <w:b/>
                <w:sz w:val="18"/>
                <w:szCs w:val="18"/>
              </w:rPr>
            </w:pPr>
          </w:p>
          <w:p w14:paraId="707DB2F9" w14:textId="77777777" w:rsidR="008715BE" w:rsidRPr="00EC75B7" w:rsidRDefault="00000000">
            <w:pPr>
              <w:pStyle w:val="TableParagraph"/>
              <w:ind w:left="108" w:right="192"/>
              <w:rPr>
                <w:rFonts w:ascii="Verdana" w:hAnsi="Verdana"/>
                <w:sz w:val="18"/>
                <w:szCs w:val="18"/>
              </w:rPr>
            </w:pPr>
            <w:r w:rsidRPr="00EC75B7">
              <w:rPr>
                <w:rFonts w:ascii="Verdana" w:hAnsi="Verdana"/>
                <w:spacing w:val="-2"/>
                <w:sz w:val="18"/>
                <w:szCs w:val="18"/>
              </w:rPr>
              <w:t xml:space="preserve">RA1, RA2, </w:t>
            </w:r>
            <w:r w:rsidRPr="00EC75B7">
              <w:rPr>
                <w:rFonts w:ascii="Verdana" w:hAnsi="Verdana"/>
                <w:sz w:val="18"/>
                <w:szCs w:val="18"/>
              </w:rPr>
              <w:t>RA3, RA6</w:t>
            </w:r>
          </w:p>
        </w:tc>
        <w:tc>
          <w:tcPr>
            <w:tcW w:w="4112" w:type="dxa"/>
          </w:tcPr>
          <w:p w14:paraId="2147F4E4" w14:textId="77777777" w:rsidR="008715BE" w:rsidRPr="00EC75B7" w:rsidRDefault="00000000">
            <w:pPr>
              <w:pStyle w:val="TableParagraph"/>
              <w:spacing w:before="1"/>
              <w:ind w:left="110"/>
              <w:rPr>
                <w:rFonts w:ascii="Verdana" w:hAnsi="Verdana"/>
                <w:sz w:val="18"/>
                <w:szCs w:val="18"/>
              </w:rPr>
            </w:pPr>
            <w:r w:rsidRPr="00EC75B7">
              <w:rPr>
                <w:rFonts w:ascii="Verdana" w:hAnsi="Verdana"/>
                <w:sz w:val="18"/>
                <w:szCs w:val="18"/>
              </w:rPr>
              <w:t>May generate OHS risks during interventions and temporary stoppages of operation.</w:t>
            </w:r>
          </w:p>
          <w:p w14:paraId="608AA12C"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Damage to renewable energy production infrastructure</w:t>
            </w:r>
          </w:p>
          <w:p w14:paraId="415606BA" w14:textId="77777777" w:rsidR="008715BE" w:rsidRPr="00EC75B7" w:rsidRDefault="00000000">
            <w:pPr>
              <w:pStyle w:val="TableParagraph"/>
              <w:spacing w:line="193" w:lineRule="exact"/>
              <w:ind w:left="110"/>
              <w:rPr>
                <w:rFonts w:ascii="Verdana" w:hAnsi="Verdana"/>
                <w:sz w:val="18"/>
                <w:szCs w:val="18"/>
              </w:rPr>
            </w:pPr>
            <w:r w:rsidRPr="00EC75B7">
              <w:rPr>
                <w:rFonts w:ascii="Verdana" w:hAnsi="Verdana"/>
                <w:sz w:val="18"/>
                <w:szCs w:val="18"/>
              </w:rPr>
              <w:t xml:space="preserve">Damage to the transmission infrastructure </w:t>
            </w:r>
            <w:r w:rsidRPr="00EC75B7">
              <w:rPr>
                <w:rFonts w:ascii="Verdana" w:hAnsi="Verdana"/>
                <w:spacing w:val="-2"/>
                <w:sz w:val="18"/>
                <w:szCs w:val="18"/>
              </w:rPr>
              <w:t>for</w:t>
            </w:r>
          </w:p>
          <w:p w14:paraId="1C4CDD12"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energy generated by the </w:t>
            </w:r>
            <w:r w:rsidRPr="00EC75B7">
              <w:rPr>
                <w:rFonts w:ascii="Verdana" w:hAnsi="Verdana"/>
                <w:spacing w:val="-2"/>
                <w:sz w:val="18"/>
                <w:szCs w:val="18"/>
              </w:rPr>
              <w:t xml:space="preserve">wind </w:t>
            </w:r>
            <w:r w:rsidRPr="00EC75B7">
              <w:rPr>
                <w:rFonts w:ascii="Verdana" w:hAnsi="Verdana"/>
                <w:sz w:val="18"/>
                <w:szCs w:val="18"/>
              </w:rPr>
              <w:t>farm</w:t>
            </w:r>
          </w:p>
        </w:tc>
      </w:tr>
      <w:tr w:rsidR="008715BE" w:rsidRPr="00EC75B7" w14:paraId="7E6C5773" w14:textId="77777777">
        <w:trPr>
          <w:trHeight w:val="1749"/>
        </w:trPr>
        <w:tc>
          <w:tcPr>
            <w:tcW w:w="2542" w:type="dxa"/>
          </w:tcPr>
          <w:p w14:paraId="1770AE68" w14:textId="77777777" w:rsidR="008715BE" w:rsidRPr="00EC75B7" w:rsidRDefault="008715BE">
            <w:pPr>
              <w:pStyle w:val="TableParagraph"/>
              <w:rPr>
                <w:rFonts w:ascii="Verdana" w:hAnsi="Verdana"/>
                <w:b/>
                <w:sz w:val="18"/>
                <w:szCs w:val="18"/>
              </w:rPr>
            </w:pPr>
          </w:p>
          <w:p w14:paraId="58DF8CAB" w14:textId="77777777" w:rsidR="008715BE" w:rsidRPr="00EC75B7" w:rsidRDefault="008715BE">
            <w:pPr>
              <w:pStyle w:val="TableParagraph"/>
              <w:spacing w:before="192"/>
              <w:rPr>
                <w:rFonts w:ascii="Verdana" w:hAnsi="Verdana"/>
                <w:b/>
                <w:sz w:val="18"/>
                <w:szCs w:val="18"/>
              </w:rPr>
            </w:pPr>
          </w:p>
          <w:p w14:paraId="13246181" w14:textId="77777777" w:rsidR="008715BE" w:rsidRPr="00EC75B7" w:rsidRDefault="00000000">
            <w:pPr>
              <w:pStyle w:val="TableParagraph"/>
              <w:ind w:left="108" w:right="70"/>
              <w:rPr>
                <w:rFonts w:ascii="Verdana" w:hAnsi="Verdana"/>
                <w:sz w:val="18"/>
                <w:szCs w:val="18"/>
              </w:rPr>
            </w:pPr>
            <w:r w:rsidRPr="00EC75B7">
              <w:rPr>
                <w:rFonts w:ascii="Verdana" w:hAnsi="Verdana"/>
                <w:sz w:val="18"/>
                <w:szCs w:val="18"/>
              </w:rPr>
              <w:t xml:space="preserve">Extreme wind (including storm, lightning, hurricane, </w:t>
            </w:r>
            <w:r w:rsidRPr="00EC75B7">
              <w:rPr>
                <w:rFonts w:ascii="Verdana" w:hAnsi="Verdana"/>
                <w:spacing w:val="-2"/>
                <w:sz w:val="18"/>
                <w:szCs w:val="18"/>
              </w:rPr>
              <w:t>tornado)</w:t>
            </w:r>
          </w:p>
        </w:tc>
        <w:tc>
          <w:tcPr>
            <w:tcW w:w="423" w:type="dxa"/>
          </w:tcPr>
          <w:p w14:paraId="75BD3C1F" w14:textId="77777777" w:rsidR="008715BE" w:rsidRPr="00EC75B7" w:rsidRDefault="008715BE">
            <w:pPr>
              <w:pStyle w:val="TableParagraph"/>
              <w:rPr>
                <w:rFonts w:ascii="Verdana" w:hAnsi="Verdana"/>
                <w:b/>
                <w:sz w:val="18"/>
                <w:szCs w:val="18"/>
              </w:rPr>
            </w:pPr>
          </w:p>
          <w:p w14:paraId="77B85C2E" w14:textId="77777777" w:rsidR="008715BE" w:rsidRPr="00EC75B7" w:rsidRDefault="008715BE">
            <w:pPr>
              <w:pStyle w:val="TableParagraph"/>
              <w:rPr>
                <w:rFonts w:ascii="Verdana" w:hAnsi="Verdana"/>
                <w:b/>
                <w:sz w:val="18"/>
                <w:szCs w:val="18"/>
              </w:rPr>
            </w:pPr>
          </w:p>
          <w:p w14:paraId="76B558B4" w14:textId="77777777" w:rsidR="008715BE" w:rsidRPr="00EC75B7" w:rsidRDefault="008715BE">
            <w:pPr>
              <w:pStyle w:val="TableParagraph"/>
              <w:spacing w:before="191"/>
              <w:rPr>
                <w:rFonts w:ascii="Verdana" w:hAnsi="Verdana"/>
                <w:b/>
                <w:sz w:val="18"/>
                <w:szCs w:val="18"/>
              </w:rPr>
            </w:pPr>
          </w:p>
          <w:p w14:paraId="2618E54E" w14:textId="77777777" w:rsidR="008715BE" w:rsidRPr="00EC75B7" w:rsidRDefault="00000000">
            <w:pPr>
              <w:pStyle w:val="TableParagraph"/>
              <w:ind w:left="15"/>
              <w:jc w:val="center"/>
              <w:rPr>
                <w:rFonts w:ascii="Verdana" w:hAnsi="Verdana"/>
                <w:sz w:val="18"/>
                <w:szCs w:val="18"/>
              </w:rPr>
            </w:pPr>
            <w:r w:rsidRPr="00EC75B7">
              <w:rPr>
                <w:rFonts w:ascii="Verdana" w:hAnsi="Verdana"/>
                <w:spacing w:val="-10"/>
                <w:sz w:val="18"/>
                <w:szCs w:val="18"/>
              </w:rPr>
              <w:t>3</w:t>
            </w:r>
          </w:p>
        </w:tc>
        <w:tc>
          <w:tcPr>
            <w:tcW w:w="422" w:type="dxa"/>
          </w:tcPr>
          <w:p w14:paraId="2421BB2D" w14:textId="77777777" w:rsidR="008715BE" w:rsidRPr="00EC75B7" w:rsidRDefault="008715BE">
            <w:pPr>
              <w:pStyle w:val="TableParagraph"/>
              <w:rPr>
                <w:rFonts w:ascii="Verdana" w:hAnsi="Verdana"/>
                <w:b/>
                <w:sz w:val="18"/>
                <w:szCs w:val="18"/>
              </w:rPr>
            </w:pPr>
          </w:p>
          <w:p w14:paraId="3D167F05" w14:textId="77777777" w:rsidR="008715BE" w:rsidRPr="00EC75B7" w:rsidRDefault="008715BE">
            <w:pPr>
              <w:pStyle w:val="TableParagraph"/>
              <w:rPr>
                <w:rFonts w:ascii="Verdana" w:hAnsi="Verdana"/>
                <w:b/>
                <w:sz w:val="18"/>
                <w:szCs w:val="18"/>
              </w:rPr>
            </w:pPr>
          </w:p>
          <w:p w14:paraId="2313BC35" w14:textId="77777777" w:rsidR="008715BE" w:rsidRPr="00EC75B7" w:rsidRDefault="008715BE">
            <w:pPr>
              <w:pStyle w:val="TableParagraph"/>
              <w:spacing w:before="191"/>
              <w:rPr>
                <w:rFonts w:ascii="Verdana" w:hAnsi="Verdana"/>
                <w:b/>
                <w:sz w:val="18"/>
                <w:szCs w:val="18"/>
              </w:rPr>
            </w:pPr>
          </w:p>
          <w:p w14:paraId="47280B7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39" w:type="dxa"/>
            <w:shd w:val="clear" w:color="auto" w:fill="FFD44F"/>
          </w:tcPr>
          <w:p w14:paraId="664D396F" w14:textId="77777777" w:rsidR="008715BE" w:rsidRPr="00EC75B7" w:rsidRDefault="008715BE">
            <w:pPr>
              <w:pStyle w:val="TableParagraph"/>
              <w:rPr>
                <w:rFonts w:ascii="Verdana" w:hAnsi="Verdana"/>
                <w:b/>
                <w:sz w:val="18"/>
                <w:szCs w:val="18"/>
              </w:rPr>
            </w:pPr>
          </w:p>
          <w:p w14:paraId="3BA149AA" w14:textId="77777777" w:rsidR="008715BE" w:rsidRPr="00EC75B7" w:rsidRDefault="008715BE">
            <w:pPr>
              <w:pStyle w:val="TableParagraph"/>
              <w:rPr>
                <w:rFonts w:ascii="Verdana" w:hAnsi="Verdana"/>
                <w:b/>
                <w:sz w:val="18"/>
                <w:szCs w:val="18"/>
              </w:rPr>
            </w:pPr>
          </w:p>
          <w:p w14:paraId="3593DFA4" w14:textId="77777777" w:rsidR="008715BE" w:rsidRPr="00EC75B7" w:rsidRDefault="008715BE">
            <w:pPr>
              <w:pStyle w:val="TableParagraph"/>
              <w:spacing w:before="191"/>
              <w:rPr>
                <w:rFonts w:ascii="Verdana" w:hAnsi="Verdana"/>
                <w:b/>
                <w:sz w:val="18"/>
                <w:szCs w:val="18"/>
              </w:rPr>
            </w:pPr>
          </w:p>
          <w:p w14:paraId="04F76B1A" w14:textId="77777777" w:rsidR="008715BE" w:rsidRPr="00EC75B7" w:rsidRDefault="00000000">
            <w:pPr>
              <w:pStyle w:val="TableParagraph"/>
              <w:ind w:left="13" w:right="1"/>
              <w:jc w:val="center"/>
              <w:rPr>
                <w:rFonts w:ascii="Verdana" w:hAnsi="Verdana"/>
                <w:b/>
                <w:sz w:val="18"/>
                <w:szCs w:val="18"/>
              </w:rPr>
            </w:pPr>
            <w:r w:rsidRPr="00EC75B7">
              <w:rPr>
                <w:rFonts w:ascii="Verdana" w:hAnsi="Verdana"/>
                <w:b/>
                <w:spacing w:val="-10"/>
                <w:sz w:val="18"/>
                <w:szCs w:val="18"/>
              </w:rPr>
              <w:t>9</w:t>
            </w:r>
          </w:p>
        </w:tc>
        <w:tc>
          <w:tcPr>
            <w:tcW w:w="893" w:type="dxa"/>
          </w:tcPr>
          <w:p w14:paraId="22D473BA" w14:textId="77777777" w:rsidR="008715BE" w:rsidRPr="00EC75B7" w:rsidRDefault="008715BE">
            <w:pPr>
              <w:pStyle w:val="TableParagraph"/>
              <w:rPr>
                <w:rFonts w:ascii="Verdana" w:hAnsi="Verdana"/>
                <w:b/>
                <w:sz w:val="18"/>
                <w:szCs w:val="18"/>
              </w:rPr>
            </w:pPr>
          </w:p>
          <w:p w14:paraId="4B6871A6" w14:textId="77777777" w:rsidR="008715BE" w:rsidRPr="00EC75B7" w:rsidRDefault="008715BE">
            <w:pPr>
              <w:pStyle w:val="TableParagraph"/>
              <w:rPr>
                <w:rFonts w:ascii="Verdana" w:hAnsi="Verdana"/>
                <w:b/>
                <w:sz w:val="18"/>
                <w:szCs w:val="18"/>
              </w:rPr>
            </w:pPr>
          </w:p>
          <w:p w14:paraId="00DCC74C" w14:textId="77777777" w:rsidR="008715BE" w:rsidRPr="00EC75B7" w:rsidRDefault="008715BE">
            <w:pPr>
              <w:pStyle w:val="TableParagraph"/>
              <w:spacing w:before="191"/>
              <w:rPr>
                <w:rFonts w:ascii="Verdana" w:hAnsi="Verdana"/>
                <w:b/>
                <w:sz w:val="18"/>
                <w:szCs w:val="18"/>
              </w:rPr>
            </w:pPr>
          </w:p>
          <w:p w14:paraId="30D667DB" w14:textId="77777777" w:rsidR="008715BE" w:rsidRPr="00EC75B7" w:rsidRDefault="00000000">
            <w:pPr>
              <w:pStyle w:val="TableParagraph"/>
              <w:ind w:left="16" w:right="1"/>
              <w:jc w:val="center"/>
              <w:rPr>
                <w:rFonts w:ascii="Verdana" w:hAnsi="Verdana"/>
                <w:sz w:val="18"/>
                <w:szCs w:val="18"/>
              </w:rPr>
            </w:pPr>
            <w:r w:rsidRPr="00EC75B7">
              <w:rPr>
                <w:rFonts w:ascii="Verdana" w:hAnsi="Verdana"/>
                <w:spacing w:val="-2"/>
                <w:sz w:val="18"/>
                <w:szCs w:val="18"/>
              </w:rPr>
              <w:t>Moderate</w:t>
            </w:r>
          </w:p>
        </w:tc>
        <w:tc>
          <w:tcPr>
            <w:tcW w:w="1133" w:type="dxa"/>
          </w:tcPr>
          <w:p w14:paraId="2C5B0DB5" w14:textId="77777777" w:rsidR="008715BE" w:rsidRPr="00EC75B7" w:rsidRDefault="008715BE">
            <w:pPr>
              <w:pStyle w:val="TableParagraph"/>
              <w:rPr>
                <w:rFonts w:ascii="Verdana" w:hAnsi="Verdana"/>
                <w:b/>
                <w:sz w:val="18"/>
                <w:szCs w:val="18"/>
              </w:rPr>
            </w:pPr>
          </w:p>
          <w:p w14:paraId="3C29B33B" w14:textId="77777777" w:rsidR="008715BE" w:rsidRPr="00EC75B7" w:rsidRDefault="008715BE">
            <w:pPr>
              <w:pStyle w:val="TableParagraph"/>
              <w:rPr>
                <w:rFonts w:ascii="Verdana" w:hAnsi="Verdana"/>
                <w:b/>
                <w:sz w:val="18"/>
                <w:szCs w:val="18"/>
              </w:rPr>
            </w:pPr>
          </w:p>
          <w:p w14:paraId="26CDB1CB" w14:textId="77777777" w:rsidR="008715BE" w:rsidRPr="00EC75B7" w:rsidRDefault="008715BE">
            <w:pPr>
              <w:pStyle w:val="TableParagraph"/>
              <w:spacing w:before="93"/>
              <w:rPr>
                <w:rFonts w:ascii="Verdana" w:hAnsi="Verdana"/>
                <w:b/>
                <w:sz w:val="18"/>
                <w:szCs w:val="18"/>
              </w:rPr>
            </w:pPr>
          </w:p>
          <w:p w14:paraId="3C2A8254" w14:textId="77777777" w:rsidR="008715BE" w:rsidRPr="00EC75B7" w:rsidRDefault="00000000">
            <w:pPr>
              <w:pStyle w:val="TableParagraph"/>
              <w:ind w:left="108" w:right="192"/>
              <w:rPr>
                <w:rFonts w:ascii="Verdana" w:hAnsi="Verdana"/>
                <w:sz w:val="18"/>
                <w:szCs w:val="18"/>
              </w:rPr>
            </w:pPr>
            <w:r w:rsidRPr="00EC75B7">
              <w:rPr>
                <w:rFonts w:ascii="Verdana" w:hAnsi="Verdana"/>
                <w:spacing w:val="-2"/>
                <w:sz w:val="18"/>
                <w:szCs w:val="18"/>
              </w:rPr>
              <w:t xml:space="preserve">RA1, RA2, </w:t>
            </w:r>
            <w:r w:rsidRPr="00EC75B7">
              <w:rPr>
                <w:rFonts w:ascii="Verdana" w:hAnsi="Verdana"/>
                <w:spacing w:val="-4"/>
                <w:sz w:val="18"/>
                <w:szCs w:val="18"/>
              </w:rPr>
              <w:t>RA5</w:t>
            </w:r>
          </w:p>
        </w:tc>
        <w:tc>
          <w:tcPr>
            <w:tcW w:w="4112" w:type="dxa"/>
          </w:tcPr>
          <w:p w14:paraId="45D6923A" w14:textId="77777777" w:rsidR="008715BE" w:rsidRPr="00EC75B7" w:rsidRDefault="00000000">
            <w:pPr>
              <w:pStyle w:val="TableParagraph"/>
              <w:ind w:left="110" w:right="90"/>
              <w:jc w:val="both"/>
              <w:rPr>
                <w:rFonts w:ascii="Verdana" w:hAnsi="Verdana"/>
                <w:sz w:val="18"/>
                <w:szCs w:val="18"/>
              </w:rPr>
            </w:pPr>
            <w:r w:rsidRPr="00EC75B7">
              <w:rPr>
                <w:rFonts w:ascii="Verdana" w:hAnsi="Verdana"/>
                <w:sz w:val="18"/>
                <w:szCs w:val="18"/>
              </w:rPr>
              <w:t>Extreme gusts and lightning strikes can cause damage to turbines and equipment, trigger protection systems, and cause unplanned outages.</w:t>
            </w:r>
          </w:p>
          <w:p w14:paraId="53B4A05F" w14:textId="77777777" w:rsidR="008715BE" w:rsidRPr="00EC75B7" w:rsidRDefault="00000000">
            <w:pPr>
              <w:pStyle w:val="TableParagraph"/>
              <w:ind w:left="110" w:right="94"/>
              <w:jc w:val="both"/>
              <w:rPr>
                <w:rFonts w:ascii="Verdana" w:hAnsi="Verdana"/>
                <w:sz w:val="18"/>
                <w:szCs w:val="18"/>
              </w:rPr>
            </w:pPr>
            <w:r w:rsidRPr="00EC75B7">
              <w:rPr>
                <w:rFonts w:ascii="Verdana" w:hAnsi="Verdana"/>
                <w:sz w:val="18"/>
                <w:szCs w:val="18"/>
              </w:rPr>
              <w:t>High wind speeds can break or damage wind turbine blades.</w:t>
            </w:r>
          </w:p>
          <w:p w14:paraId="53794C87" w14:textId="77777777" w:rsidR="008715BE" w:rsidRPr="00EC75B7" w:rsidRDefault="00000000">
            <w:pPr>
              <w:pStyle w:val="TableParagraph"/>
              <w:spacing w:line="193" w:lineRule="exact"/>
              <w:ind w:left="110"/>
              <w:rPr>
                <w:rFonts w:ascii="Verdana" w:hAnsi="Verdana"/>
                <w:sz w:val="18"/>
                <w:szCs w:val="18"/>
              </w:rPr>
            </w:pPr>
            <w:r w:rsidRPr="00EC75B7">
              <w:rPr>
                <w:rFonts w:ascii="Verdana" w:hAnsi="Verdana"/>
                <w:sz w:val="18"/>
                <w:szCs w:val="18"/>
              </w:rPr>
              <w:t>Deactivation</w:t>
            </w:r>
            <w:r w:rsidRPr="00EC75B7">
              <w:rPr>
                <w:rFonts w:ascii="Verdana" w:hAnsi="Verdana"/>
                <w:spacing w:val="31"/>
                <w:sz w:val="18"/>
                <w:szCs w:val="18"/>
              </w:rPr>
              <w:t xml:space="preserve">  </w:t>
            </w:r>
            <w:r w:rsidRPr="00EC75B7">
              <w:rPr>
                <w:rFonts w:ascii="Verdana" w:hAnsi="Verdana"/>
                <w:sz w:val="18"/>
                <w:szCs w:val="18"/>
              </w:rPr>
              <w:t xml:space="preserve"> of the</w:t>
            </w:r>
            <w:r w:rsidRPr="00EC75B7">
              <w:rPr>
                <w:rFonts w:ascii="Verdana" w:hAnsi="Verdana"/>
                <w:spacing w:val="31"/>
                <w:sz w:val="18"/>
                <w:szCs w:val="18"/>
              </w:rPr>
              <w:t xml:space="preserve">  </w:t>
            </w:r>
            <w:r w:rsidRPr="00EC75B7">
              <w:rPr>
                <w:rFonts w:ascii="Verdana" w:hAnsi="Verdana"/>
                <w:sz w:val="18"/>
                <w:szCs w:val="18"/>
              </w:rPr>
              <w:t xml:space="preserve"> system</w:t>
            </w:r>
            <w:r w:rsidRPr="00EC75B7">
              <w:rPr>
                <w:rFonts w:ascii="Verdana" w:hAnsi="Verdana"/>
                <w:spacing w:val="30"/>
                <w:sz w:val="18"/>
                <w:szCs w:val="18"/>
              </w:rPr>
              <w:t xml:space="preserve">  </w:t>
            </w:r>
            <w:r w:rsidRPr="00EC75B7">
              <w:rPr>
                <w:rFonts w:ascii="Verdana" w:hAnsi="Verdana"/>
                <w:sz w:val="18"/>
                <w:szCs w:val="18"/>
              </w:rPr>
              <w:t xml:space="preserve"> due</w:t>
            </w:r>
            <w:r w:rsidRPr="00EC75B7">
              <w:rPr>
                <w:rFonts w:ascii="Verdana" w:hAnsi="Verdana"/>
                <w:spacing w:val="31"/>
                <w:sz w:val="18"/>
                <w:szCs w:val="18"/>
              </w:rPr>
              <w:t xml:space="preserve">  </w:t>
            </w:r>
            <w:r w:rsidRPr="00EC75B7">
              <w:rPr>
                <w:rFonts w:ascii="Verdana" w:hAnsi="Verdana"/>
                <w:spacing w:val="-2"/>
                <w:sz w:val="18"/>
                <w:szCs w:val="18"/>
              </w:rPr>
              <w:t xml:space="preserve"> to exceeding</w:t>
            </w:r>
          </w:p>
          <w:p w14:paraId="6F79C616"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the maximum speeds at which wind turbines </w:t>
            </w:r>
            <w:r w:rsidRPr="00EC75B7">
              <w:rPr>
                <w:rFonts w:ascii="Verdana" w:hAnsi="Verdana"/>
                <w:spacing w:val="-4"/>
                <w:sz w:val="18"/>
                <w:szCs w:val="18"/>
              </w:rPr>
              <w:t>are</w:t>
            </w:r>
          </w:p>
          <w:p w14:paraId="2DB11B2D"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lastRenderedPageBreak/>
              <w:t xml:space="preserve">programmed to shut </w:t>
            </w:r>
            <w:r w:rsidRPr="00EC75B7">
              <w:rPr>
                <w:rFonts w:ascii="Verdana" w:hAnsi="Verdana"/>
                <w:spacing w:val="-2"/>
                <w:sz w:val="18"/>
                <w:szCs w:val="18"/>
              </w:rPr>
              <w:t>down</w:t>
            </w:r>
          </w:p>
        </w:tc>
      </w:tr>
      <w:tr w:rsidR="008715BE" w:rsidRPr="00EC75B7" w14:paraId="0B23EA7F" w14:textId="77777777">
        <w:trPr>
          <w:trHeight w:val="973"/>
        </w:trPr>
        <w:tc>
          <w:tcPr>
            <w:tcW w:w="2542" w:type="dxa"/>
          </w:tcPr>
          <w:p w14:paraId="1D63C945" w14:textId="77777777" w:rsidR="008715BE" w:rsidRPr="00EC75B7" w:rsidRDefault="008715BE">
            <w:pPr>
              <w:pStyle w:val="TableParagraph"/>
              <w:spacing w:before="192"/>
              <w:rPr>
                <w:rFonts w:ascii="Verdana" w:hAnsi="Verdana"/>
                <w:b/>
                <w:sz w:val="18"/>
                <w:szCs w:val="18"/>
              </w:rPr>
            </w:pPr>
          </w:p>
          <w:p w14:paraId="182D2486"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423" w:type="dxa"/>
          </w:tcPr>
          <w:p w14:paraId="16DEF4F6" w14:textId="77777777" w:rsidR="008715BE" w:rsidRPr="00EC75B7" w:rsidRDefault="008715BE">
            <w:pPr>
              <w:pStyle w:val="TableParagraph"/>
              <w:spacing w:before="192"/>
              <w:rPr>
                <w:rFonts w:ascii="Verdana" w:hAnsi="Verdana"/>
                <w:b/>
                <w:sz w:val="18"/>
                <w:szCs w:val="18"/>
              </w:rPr>
            </w:pPr>
          </w:p>
          <w:p w14:paraId="02683166" w14:textId="77777777" w:rsidR="008715BE" w:rsidRPr="00EC75B7" w:rsidRDefault="00000000">
            <w:pPr>
              <w:pStyle w:val="TableParagraph"/>
              <w:ind w:left="15"/>
              <w:jc w:val="center"/>
              <w:rPr>
                <w:rFonts w:ascii="Verdana" w:hAnsi="Verdana"/>
                <w:sz w:val="18"/>
                <w:szCs w:val="18"/>
              </w:rPr>
            </w:pPr>
            <w:r w:rsidRPr="00EC75B7">
              <w:rPr>
                <w:rFonts w:ascii="Verdana" w:hAnsi="Verdana"/>
                <w:spacing w:val="-10"/>
                <w:sz w:val="18"/>
                <w:szCs w:val="18"/>
              </w:rPr>
              <w:t>5</w:t>
            </w:r>
          </w:p>
        </w:tc>
        <w:tc>
          <w:tcPr>
            <w:tcW w:w="422" w:type="dxa"/>
          </w:tcPr>
          <w:p w14:paraId="723BDA16" w14:textId="77777777" w:rsidR="008715BE" w:rsidRPr="00EC75B7" w:rsidRDefault="008715BE">
            <w:pPr>
              <w:pStyle w:val="TableParagraph"/>
              <w:spacing w:before="192"/>
              <w:rPr>
                <w:rFonts w:ascii="Verdana" w:hAnsi="Verdana"/>
                <w:b/>
                <w:sz w:val="18"/>
                <w:szCs w:val="18"/>
              </w:rPr>
            </w:pPr>
          </w:p>
          <w:p w14:paraId="7D2A7B7F"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39" w:type="dxa"/>
            <w:tcBorders>
              <w:bottom w:val="nil"/>
            </w:tcBorders>
            <w:shd w:val="clear" w:color="auto" w:fill="FAB48D"/>
          </w:tcPr>
          <w:p w14:paraId="61D0B17E" w14:textId="77777777" w:rsidR="008715BE" w:rsidRPr="00EC75B7" w:rsidRDefault="008715BE">
            <w:pPr>
              <w:pStyle w:val="TableParagraph"/>
              <w:spacing w:before="74"/>
              <w:rPr>
                <w:rFonts w:ascii="Verdana" w:hAnsi="Verdana"/>
                <w:b/>
                <w:sz w:val="18"/>
                <w:szCs w:val="18"/>
              </w:rPr>
            </w:pPr>
          </w:p>
          <w:p w14:paraId="1E362071" w14:textId="77777777" w:rsidR="008715BE" w:rsidRPr="00EC75B7" w:rsidRDefault="00000000">
            <w:pPr>
              <w:pStyle w:val="TableParagraph"/>
              <w:ind w:left="13" w:right="1"/>
              <w:jc w:val="center"/>
              <w:rPr>
                <w:rFonts w:ascii="Verdana" w:hAnsi="Verdana"/>
                <w:sz w:val="18"/>
                <w:szCs w:val="18"/>
              </w:rPr>
            </w:pPr>
            <w:r w:rsidRPr="00EC75B7">
              <w:rPr>
                <w:rFonts w:ascii="Verdana" w:hAnsi="Verdana"/>
                <w:spacing w:val="-5"/>
                <w:sz w:val="18"/>
                <w:szCs w:val="18"/>
              </w:rPr>
              <w:t>15</w:t>
            </w:r>
          </w:p>
        </w:tc>
        <w:tc>
          <w:tcPr>
            <w:tcW w:w="893" w:type="dxa"/>
          </w:tcPr>
          <w:p w14:paraId="1D875795" w14:textId="77777777" w:rsidR="008715BE" w:rsidRPr="00EC75B7" w:rsidRDefault="008715BE">
            <w:pPr>
              <w:pStyle w:val="TableParagraph"/>
              <w:spacing w:before="192"/>
              <w:rPr>
                <w:rFonts w:ascii="Verdana" w:hAnsi="Verdana"/>
                <w:b/>
                <w:sz w:val="18"/>
                <w:szCs w:val="18"/>
              </w:rPr>
            </w:pPr>
          </w:p>
          <w:p w14:paraId="6C37C25F" w14:textId="77777777" w:rsidR="008715BE" w:rsidRPr="00EC75B7" w:rsidRDefault="00000000">
            <w:pPr>
              <w:pStyle w:val="TableParagraph"/>
              <w:ind w:left="16"/>
              <w:jc w:val="center"/>
              <w:rPr>
                <w:rFonts w:ascii="Verdana" w:hAnsi="Verdana"/>
                <w:sz w:val="18"/>
                <w:szCs w:val="18"/>
              </w:rPr>
            </w:pPr>
            <w:r w:rsidRPr="00EC75B7">
              <w:rPr>
                <w:rFonts w:ascii="Verdana" w:hAnsi="Verdana"/>
                <w:spacing w:val="-2"/>
                <w:sz w:val="18"/>
                <w:szCs w:val="18"/>
              </w:rPr>
              <w:t>high</w:t>
            </w:r>
          </w:p>
        </w:tc>
        <w:tc>
          <w:tcPr>
            <w:tcW w:w="1133" w:type="dxa"/>
          </w:tcPr>
          <w:p w14:paraId="3228AF26" w14:textId="77777777" w:rsidR="008715BE" w:rsidRPr="00EC75B7" w:rsidRDefault="008715BE">
            <w:pPr>
              <w:pStyle w:val="TableParagraph"/>
              <w:spacing w:before="96"/>
              <w:rPr>
                <w:rFonts w:ascii="Verdana" w:hAnsi="Verdana"/>
                <w:b/>
                <w:sz w:val="18"/>
                <w:szCs w:val="18"/>
              </w:rPr>
            </w:pPr>
          </w:p>
          <w:p w14:paraId="5DD4095D" w14:textId="77777777" w:rsidR="008715BE" w:rsidRPr="00EC75B7" w:rsidRDefault="00000000">
            <w:pPr>
              <w:pStyle w:val="TableParagraph"/>
              <w:ind w:left="108" w:right="192"/>
              <w:rPr>
                <w:rFonts w:ascii="Verdana" w:hAnsi="Verdana"/>
                <w:sz w:val="18"/>
                <w:szCs w:val="18"/>
              </w:rPr>
            </w:pPr>
            <w:r w:rsidRPr="00EC75B7">
              <w:rPr>
                <w:rFonts w:ascii="Verdana" w:hAnsi="Verdana"/>
                <w:spacing w:val="-2"/>
                <w:sz w:val="18"/>
                <w:szCs w:val="18"/>
              </w:rPr>
              <w:t xml:space="preserve">RA2, RA1, </w:t>
            </w:r>
            <w:r w:rsidRPr="00EC75B7">
              <w:rPr>
                <w:rFonts w:ascii="Verdana" w:hAnsi="Verdana"/>
                <w:spacing w:val="-4"/>
                <w:sz w:val="18"/>
                <w:szCs w:val="18"/>
              </w:rPr>
              <w:t>RA5</w:t>
            </w:r>
          </w:p>
        </w:tc>
        <w:tc>
          <w:tcPr>
            <w:tcW w:w="4112" w:type="dxa"/>
          </w:tcPr>
          <w:p w14:paraId="2A781658"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Operational limitations and thermal stress </w:t>
            </w:r>
            <w:r w:rsidRPr="00EC75B7">
              <w:rPr>
                <w:rFonts w:ascii="Verdana" w:hAnsi="Verdana"/>
                <w:spacing w:val="-10"/>
                <w:sz w:val="18"/>
                <w:szCs w:val="18"/>
              </w:rPr>
              <w:t>on</w:t>
            </w:r>
          </w:p>
          <w:p w14:paraId="5BFDF47A"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2"/>
                <w:sz w:val="18"/>
                <w:szCs w:val="18"/>
              </w:rPr>
              <w:t>equipment.</w:t>
            </w:r>
          </w:p>
          <w:p w14:paraId="3898C33D" w14:textId="77777777" w:rsidR="008715BE" w:rsidRPr="00EC75B7" w:rsidRDefault="00000000">
            <w:pPr>
              <w:pStyle w:val="TableParagraph"/>
              <w:tabs>
                <w:tab w:val="left" w:pos="1283"/>
                <w:tab w:val="left" w:pos="2579"/>
                <w:tab w:val="left" w:pos="3809"/>
              </w:tabs>
              <w:spacing w:line="194" w:lineRule="exact"/>
              <w:ind w:left="110"/>
              <w:rPr>
                <w:rFonts w:ascii="Verdana" w:hAnsi="Verdana"/>
                <w:sz w:val="18"/>
                <w:szCs w:val="18"/>
              </w:rPr>
            </w:pPr>
            <w:r w:rsidRPr="00EC75B7">
              <w:rPr>
                <w:rFonts w:ascii="Verdana" w:hAnsi="Verdana"/>
                <w:spacing w:val="-2"/>
                <w:sz w:val="18"/>
                <w:szCs w:val="18"/>
              </w:rPr>
              <w:t>Exposure</w:t>
            </w:r>
            <w:r w:rsidRPr="00EC75B7">
              <w:rPr>
                <w:rFonts w:ascii="Verdana" w:hAnsi="Verdana"/>
                <w:sz w:val="18"/>
                <w:szCs w:val="18"/>
              </w:rPr>
              <w:tab/>
            </w:r>
            <w:r w:rsidRPr="00EC75B7">
              <w:rPr>
                <w:rFonts w:ascii="Verdana" w:hAnsi="Verdana"/>
                <w:spacing w:val="-2"/>
                <w:sz w:val="18"/>
                <w:szCs w:val="18"/>
              </w:rPr>
              <w:t>personnel</w:t>
            </w:r>
            <w:r w:rsidRPr="00EC75B7">
              <w:rPr>
                <w:rFonts w:ascii="Verdana" w:hAnsi="Verdana"/>
                <w:sz w:val="18"/>
                <w:szCs w:val="18"/>
              </w:rPr>
              <w:tab/>
            </w:r>
            <w:r w:rsidRPr="00EC75B7">
              <w:rPr>
                <w:rFonts w:ascii="Verdana" w:hAnsi="Verdana"/>
                <w:spacing w:val="-2"/>
                <w:sz w:val="18"/>
                <w:szCs w:val="18"/>
              </w:rPr>
              <w:t>responsible</w:t>
            </w:r>
            <w:r w:rsidRPr="00EC75B7">
              <w:rPr>
                <w:rFonts w:ascii="Verdana" w:hAnsi="Verdana"/>
                <w:sz w:val="18"/>
                <w:szCs w:val="18"/>
              </w:rPr>
              <w:tab/>
            </w:r>
            <w:r w:rsidRPr="00EC75B7">
              <w:rPr>
                <w:rFonts w:ascii="Verdana" w:hAnsi="Verdana"/>
                <w:spacing w:val="-5"/>
                <w:sz w:val="18"/>
                <w:szCs w:val="18"/>
              </w:rPr>
              <w:t>for</w:t>
            </w:r>
          </w:p>
          <w:p w14:paraId="5786C99C"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maintenance of wind turbines to </w:t>
            </w:r>
            <w:r w:rsidRPr="00EC75B7">
              <w:rPr>
                <w:rFonts w:ascii="Verdana" w:hAnsi="Verdana"/>
                <w:spacing w:val="-5"/>
                <w:sz w:val="18"/>
                <w:szCs w:val="18"/>
              </w:rPr>
              <w:t xml:space="preserve">unfavorable environmental </w:t>
            </w:r>
            <w:r w:rsidRPr="00EC75B7">
              <w:rPr>
                <w:rFonts w:ascii="Verdana" w:hAnsi="Verdana"/>
                <w:sz w:val="18"/>
                <w:szCs w:val="18"/>
              </w:rPr>
              <w:t>conditions</w:t>
            </w:r>
          </w:p>
          <w:p w14:paraId="68F14654" w14:textId="77777777" w:rsidR="008715BE" w:rsidRPr="00EC75B7" w:rsidRDefault="00000000">
            <w:pPr>
              <w:pStyle w:val="TableParagraph"/>
              <w:spacing w:line="177" w:lineRule="exact"/>
              <w:ind w:left="110"/>
              <w:rPr>
                <w:rFonts w:ascii="Verdana" w:hAnsi="Verdana"/>
                <w:sz w:val="18"/>
                <w:szCs w:val="18"/>
              </w:rPr>
            </w:pPr>
            <w:r w:rsidRPr="00EC75B7">
              <w:rPr>
                <w:rFonts w:ascii="Verdana" w:hAnsi="Verdana"/>
                <w:spacing w:val="-2"/>
                <w:sz w:val="18"/>
                <w:szCs w:val="18"/>
              </w:rPr>
              <w:t xml:space="preserve">unfavorable </w:t>
            </w:r>
            <w:r w:rsidRPr="00EC75B7">
              <w:rPr>
                <w:rFonts w:ascii="Verdana" w:hAnsi="Verdana"/>
                <w:sz w:val="18"/>
                <w:szCs w:val="18"/>
              </w:rPr>
              <w:t>environmental conditions</w:t>
            </w:r>
          </w:p>
        </w:tc>
      </w:tr>
    </w:tbl>
    <w:p w14:paraId="7BE7C5C7" w14:textId="77777777" w:rsidR="008715BE" w:rsidRPr="00EC75B7" w:rsidRDefault="008715BE">
      <w:pPr>
        <w:pStyle w:val="TableParagraph"/>
        <w:spacing w:line="177" w:lineRule="exact"/>
        <w:rPr>
          <w:rFonts w:ascii="Verdana" w:hAnsi="Verdana"/>
          <w:sz w:val="18"/>
          <w:szCs w:val="18"/>
        </w:rPr>
        <w:sectPr w:rsidR="008715BE" w:rsidRPr="00EC75B7">
          <w:pgSz w:w="11910" w:h="16840"/>
          <w:pgMar w:top="1320" w:right="566" w:bottom="1020" w:left="1133" w:header="766" w:footer="824" w:gutter="0"/>
          <w:cols w:space="708"/>
        </w:sectPr>
      </w:pPr>
    </w:p>
    <w:p w14:paraId="059B539D" w14:textId="77777777" w:rsidR="008715BE" w:rsidRPr="00EC75B7" w:rsidRDefault="008715BE">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3"/>
        <w:gridCol w:w="422"/>
        <w:gridCol w:w="439"/>
        <w:gridCol w:w="893"/>
        <w:gridCol w:w="1133"/>
        <w:gridCol w:w="4112"/>
      </w:tblGrid>
      <w:tr w:rsidR="008715BE" w:rsidRPr="00EC75B7" w14:paraId="44EA8865" w14:textId="77777777">
        <w:trPr>
          <w:trHeight w:val="1679"/>
        </w:trPr>
        <w:tc>
          <w:tcPr>
            <w:tcW w:w="2542" w:type="dxa"/>
            <w:shd w:val="clear" w:color="auto" w:fill="00AFEF"/>
          </w:tcPr>
          <w:p w14:paraId="32E36C4D" w14:textId="77777777" w:rsidR="008715BE" w:rsidRPr="00EC75B7" w:rsidRDefault="008715BE">
            <w:pPr>
              <w:pStyle w:val="TableParagraph"/>
              <w:rPr>
                <w:rFonts w:ascii="Verdana" w:hAnsi="Verdana"/>
                <w:b/>
                <w:sz w:val="18"/>
                <w:szCs w:val="18"/>
              </w:rPr>
            </w:pPr>
          </w:p>
          <w:p w14:paraId="59BE9DA3" w14:textId="77777777" w:rsidR="008715BE" w:rsidRPr="00EC75B7" w:rsidRDefault="008715BE">
            <w:pPr>
              <w:pStyle w:val="TableParagraph"/>
              <w:rPr>
                <w:rFonts w:ascii="Verdana" w:hAnsi="Verdana"/>
                <w:b/>
                <w:sz w:val="18"/>
                <w:szCs w:val="18"/>
              </w:rPr>
            </w:pPr>
          </w:p>
          <w:p w14:paraId="00B263FD" w14:textId="77777777" w:rsidR="008715BE" w:rsidRPr="00EC75B7" w:rsidRDefault="008715BE">
            <w:pPr>
              <w:pStyle w:val="TableParagraph"/>
              <w:spacing w:before="164"/>
              <w:rPr>
                <w:rFonts w:ascii="Verdana" w:hAnsi="Verdana"/>
                <w:b/>
                <w:sz w:val="18"/>
                <w:szCs w:val="18"/>
              </w:rPr>
            </w:pPr>
          </w:p>
          <w:p w14:paraId="56B2985B"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 xml:space="preserve">Climatic </w:t>
            </w:r>
            <w:r w:rsidRPr="00EC75B7">
              <w:rPr>
                <w:rFonts w:ascii="Verdana" w:hAnsi="Verdana"/>
                <w:b/>
                <w:color w:val="FFFFFF"/>
                <w:sz w:val="18"/>
                <w:szCs w:val="18"/>
              </w:rPr>
              <w:t>hazard</w:t>
            </w:r>
          </w:p>
        </w:tc>
        <w:tc>
          <w:tcPr>
            <w:tcW w:w="423" w:type="dxa"/>
            <w:shd w:val="clear" w:color="auto" w:fill="00AFEF"/>
            <w:textDirection w:val="btLr"/>
          </w:tcPr>
          <w:p w14:paraId="1C8BC4C9" w14:textId="77777777" w:rsidR="008715BE" w:rsidRPr="00EC75B7" w:rsidRDefault="00000000">
            <w:pPr>
              <w:pStyle w:val="TableParagraph"/>
              <w:spacing w:before="124"/>
              <w:ind w:left="258"/>
              <w:rPr>
                <w:rFonts w:ascii="Verdana" w:hAnsi="Verdana"/>
                <w:b/>
                <w:sz w:val="18"/>
                <w:szCs w:val="18"/>
              </w:rPr>
            </w:pPr>
            <w:r w:rsidRPr="00EC75B7">
              <w:rPr>
                <w:rFonts w:ascii="Verdana" w:hAnsi="Verdana"/>
                <w:b/>
                <w:color w:val="FFFFFF"/>
                <w:spacing w:val="-2"/>
                <w:sz w:val="18"/>
                <w:szCs w:val="18"/>
              </w:rPr>
              <w:t>Probability</w:t>
            </w:r>
          </w:p>
        </w:tc>
        <w:tc>
          <w:tcPr>
            <w:tcW w:w="422" w:type="dxa"/>
            <w:shd w:val="clear" w:color="auto" w:fill="00AFEF"/>
            <w:textDirection w:val="btLr"/>
          </w:tcPr>
          <w:p w14:paraId="39091D46" w14:textId="77777777" w:rsidR="008715BE" w:rsidRPr="00EC75B7" w:rsidRDefault="00000000">
            <w:pPr>
              <w:pStyle w:val="TableParagraph"/>
              <w:spacing w:before="123"/>
              <w:ind w:left="376"/>
              <w:rPr>
                <w:rFonts w:ascii="Verdana" w:hAnsi="Verdana"/>
                <w:b/>
                <w:sz w:val="18"/>
                <w:szCs w:val="18"/>
              </w:rPr>
            </w:pPr>
            <w:r w:rsidRPr="00EC75B7">
              <w:rPr>
                <w:rFonts w:ascii="Verdana" w:hAnsi="Verdana"/>
                <w:b/>
                <w:color w:val="FFFFFF"/>
                <w:spacing w:val="-2"/>
                <w:sz w:val="18"/>
                <w:szCs w:val="18"/>
              </w:rPr>
              <w:t>Severity</w:t>
            </w:r>
          </w:p>
        </w:tc>
        <w:tc>
          <w:tcPr>
            <w:tcW w:w="439" w:type="dxa"/>
            <w:shd w:val="clear" w:color="auto" w:fill="00AFEF"/>
            <w:textDirection w:val="btLr"/>
          </w:tcPr>
          <w:p w14:paraId="2DB4E07F" w14:textId="77777777" w:rsidR="008715BE" w:rsidRPr="00EC75B7" w:rsidRDefault="00000000">
            <w:pPr>
              <w:pStyle w:val="TableParagraph"/>
              <w:spacing w:before="131"/>
              <w:ind w:left="18" w:right="18"/>
              <w:jc w:val="center"/>
              <w:rPr>
                <w:rFonts w:ascii="Verdana" w:hAnsi="Verdana"/>
                <w:b/>
                <w:sz w:val="18"/>
                <w:szCs w:val="18"/>
              </w:rPr>
            </w:pPr>
            <w:r w:rsidRPr="00EC75B7">
              <w:rPr>
                <w:rFonts w:ascii="Verdana" w:hAnsi="Verdana"/>
                <w:b/>
                <w:color w:val="FFFFFF"/>
                <w:spacing w:val="-4"/>
                <w:sz w:val="18"/>
                <w:szCs w:val="18"/>
              </w:rPr>
              <w:t>Risk</w:t>
            </w:r>
          </w:p>
        </w:tc>
        <w:tc>
          <w:tcPr>
            <w:tcW w:w="893" w:type="dxa"/>
            <w:shd w:val="clear" w:color="auto" w:fill="00AFEF"/>
            <w:textDirection w:val="btLr"/>
          </w:tcPr>
          <w:p w14:paraId="0F15285B" w14:textId="77777777" w:rsidR="008715BE" w:rsidRPr="00EC75B7" w:rsidRDefault="008715BE">
            <w:pPr>
              <w:pStyle w:val="TableParagraph"/>
              <w:spacing w:before="163"/>
              <w:rPr>
                <w:rFonts w:ascii="Verdana" w:hAnsi="Verdana"/>
                <w:b/>
                <w:sz w:val="18"/>
                <w:szCs w:val="18"/>
              </w:rPr>
            </w:pPr>
          </w:p>
          <w:p w14:paraId="39B9D1B9" w14:textId="77777777" w:rsidR="008715BE" w:rsidRPr="00EC75B7" w:rsidRDefault="00000000">
            <w:pPr>
              <w:pStyle w:val="TableParagraph"/>
              <w:spacing w:before="1"/>
              <w:ind w:left="422"/>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level</w:t>
            </w:r>
          </w:p>
        </w:tc>
        <w:tc>
          <w:tcPr>
            <w:tcW w:w="1133" w:type="dxa"/>
            <w:shd w:val="clear" w:color="auto" w:fill="00AFEF"/>
          </w:tcPr>
          <w:p w14:paraId="28AF758F" w14:textId="77777777" w:rsidR="008715BE" w:rsidRPr="00EC75B7" w:rsidRDefault="008715BE">
            <w:pPr>
              <w:pStyle w:val="TableParagraph"/>
              <w:rPr>
                <w:rFonts w:ascii="Verdana" w:hAnsi="Verdana"/>
                <w:b/>
                <w:sz w:val="18"/>
                <w:szCs w:val="18"/>
              </w:rPr>
            </w:pPr>
          </w:p>
          <w:p w14:paraId="6E3DB022" w14:textId="77777777" w:rsidR="008715BE" w:rsidRPr="00EC75B7" w:rsidRDefault="008715BE">
            <w:pPr>
              <w:pStyle w:val="TableParagraph"/>
              <w:spacing w:before="165"/>
              <w:rPr>
                <w:rFonts w:ascii="Verdana" w:hAnsi="Verdana"/>
                <w:b/>
                <w:sz w:val="18"/>
                <w:szCs w:val="18"/>
              </w:rPr>
            </w:pPr>
          </w:p>
          <w:p w14:paraId="4F9B099A" w14:textId="77777777" w:rsidR="008715BE" w:rsidRPr="00EC75B7" w:rsidRDefault="00000000">
            <w:pPr>
              <w:pStyle w:val="TableParagraph"/>
              <w:ind w:left="245" w:hanging="82"/>
              <w:rPr>
                <w:rFonts w:ascii="Verdana" w:hAnsi="Verdana"/>
                <w:b/>
                <w:sz w:val="18"/>
                <w:szCs w:val="18"/>
              </w:rPr>
            </w:pPr>
            <w:r w:rsidRPr="00EC75B7">
              <w:rPr>
                <w:rFonts w:ascii="Verdana" w:hAnsi="Verdana"/>
                <w:b/>
                <w:color w:val="FFFFFF"/>
                <w:spacing w:val="-2"/>
                <w:sz w:val="18"/>
                <w:szCs w:val="18"/>
              </w:rPr>
              <w:t>Associated</w:t>
            </w:r>
            <w:r w:rsidRPr="00EC75B7">
              <w:rPr>
                <w:rFonts w:ascii="Verdana" w:hAnsi="Verdana"/>
                <w:b/>
                <w:color w:val="FFFFFF"/>
                <w:sz w:val="18"/>
                <w:szCs w:val="18"/>
              </w:rPr>
              <w:t xml:space="preserve"> risk</w:t>
            </w:r>
            <w:r w:rsidRPr="00EC75B7">
              <w:rPr>
                <w:rFonts w:ascii="Verdana" w:hAnsi="Verdana"/>
                <w:b/>
                <w:color w:val="FFFFFF"/>
                <w:spacing w:val="-2"/>
                <w:sz w:val="18"/>
                <w:szCs w:val="18"/>
              </w:rPr>
              <w:t xml:space="preserve"> area</w:t>
            </w:r>
          </w:p>
        </w:tc>
        <w:tc>
          <w:tcPr>
            <w:tcW w:w="4112" w:type="dxa"/>
            <w:shd w:val="clear" w:color="auto" w:fill="00AFEF"/>
          </w:tcPr>
          <w:p w14:paraId="09CC3F87" w14:textId="77777777" w:rsidR="008715BE" w:rsidRPr="00EC75B7" w:rsidRDefault="008715BE">
            <w:pPr>
              <w:pStyle w:val="TableParagraph"/>
              <w:rPr>
                <w:rFonts w:ascii="Verdana" w:hAnsi="Verdana"/>
                <w:b/>
                <w:sz w:val="18"/>
                <w:szCs w:val="18"/>
              </w:rPr>
            </w:pPr>
          </w:p>
          <w:p w14:paraId="7BADC4B4" w14:textId="77777777" w:rsidR="008715BE" w:rsidRPr="00EC75B7" w:rsidRDefault="008715BE">
            <w:pPr>
              <w:pStyle w:val="TableParagraph"/>
              <w:rPr>
                <w:rFonts w:ascii="Verdana" w:hAnsi="Verdana"/>
                <w:b/>
                <w:sz w:val="18"/>
                <w:szCs w:val="18"/>
              </w:rPr>
            </w:pPr>
          </w:p>
          <w:p w14:paraId="5460231A" w14:textId="77777777" w:rsidR="008715BE" w:rsidRPr="00EC75B7" w:rsidRDefault="008715BE">
            <w:pPr>
              <w:pStyle w:val="TableParagraph"/>
              <w:spacing w:before="164"/>
              <w:rPr>
                <w:rFonts w:ascii="Verdana" w:hAnsi="Verdana"/>
                <w:b/>
                <w:sz w:val="18"/>
                <w:szCs w:val="18"/>
              </w:rPr>
            </w:pPr>
          </w:p>
          <w:p w14:paraId="072F8413" w14:textId="77777777" w:rsidR="008715BE" w:rsidRPr="00EC75B7" w:rsidRDefault="00000000">
            <w:pPr>
              <w:pStyle w:val="TableParagraph"/>
              <w:ind w:left="15"/>
              <w:jc w:val="center"/>
              <w:rPr>
                <w:rFonts w:ascii="Verdana" w:hAnsi="Verdana"/>
                <w:b/>
                <w:sz w:val="18"/>
                <w:szCs w:val="18"/>
              </w:rPr>
            </w:pPr>
            <w:r w:rsidRPr="00EC75B7">
              <w:rPr>
                <w:rFonts w:ascii="Verdana" w:hAnsi="Verdana"/>
                <w:b/>
                <w:color w:val="FFFFFF"/>
                <w:spacing w:val="-2"/>
                <w:sz w:val="18"/>
                <w:szCs w:val="18"/>
              </w:rPr>
              <w:t>Justification</w:t>
            </w:r>
          </w:p>
        </w:tc>
      </w:tr>
      <w:tr w:rsidR="008715BE" w:rsidRPr="00EC75B7" w14:paraId="4BEB0952" w14:textId="77777777">
        <w:trPr>
          <w:trHeight w:val="599"/>
        </w:trPr>
        <w:tc>
          <w:tcPr>
            <w:tcW w:w="2542" w:type="dxa"/>
          </w:tcPr>
          <w:p w14:paraId="747F6D12" w14:textId="77777777" w:rsidR="008715BE" w:rsidRPr="00EC75B7" w:rsidRDefault="008715BE">
            <w:pPr>
              <w:pStyle w:val="TableParagraph"/>
              <w:rPr>
                <w:rFonts w:ascii="Verdana" w:hAnsi="Verdana"/>
                <w:sz w:val="18"/>
                <w:szCs w:val="18"/>
              </w:rPr>
            </w:pPr>
          </w:p>
        </w:tc>
        <w:tc>
          <w:tcPr>
            <w:tcW w:w="423" w:type="dxa"/>
          </w:tcPr>
          <w:p w14:paraId="57883855" w14:textId="77777777" w:rsidR="008715BE" w:rsidRPr="00EC75B7" w:rsidRDefault="008715BE">
            <w:pPr>
              <w:pStyle w:val="TableParagraph"/>
              <w:rPr>
                <w:rFonts w:ascii="Verdana" w:hAnsi="Verdana"/>
                <w:sz w:val="18"/>
                <w:szCs w:val="18"/>
              </w:rPr>
            </w:pPr>
          </w:p>
        </w:tc>
        <w:tc>
          <w:tcPr>
            <w:tcW w:w="422" w:type="dxa"/>
          </w:tcPr>
          <w:p w14:paraId="1FE60B31" w14:textId="77777777" w:rsidR="008715BE" w:rsidRPr="00EC75B7" w:rsidRDefault="008715BE">
            <w:pPr>
              <w:pStyle w:val="TableParagraph"/>
              <w:rPr>
                <w:rFonts w:ascii="Verdana" w:hAnsi="Verdana"/>
                <w:sz w:val="18"/>
                <w:szCs w:val="18"/>
              </w:rPr>
            </w:pPr>
          </w:p>
        </w:tc>
        <w:tc>
          <w:tcPr>
            <w:tcW w:w="439" w:type="dxa"/>
            <w:vMerge w:val="restart"/>
            <w:shd w:val="clear" w:color="auto" w:fill="FAB48D"/>
          </w:tcPr>
          <w:p w14:paraId="5748295F" w14:textId="77777777" w:rsidR="008715BE" w:rsidRPr="00EC75B7" w:rsidRDefault="008715BE">
            <w:pPr>
              <w:pStyle w:val="TableParagraph"/>
              <w:rPr>
                <w:rFonts w:ascii="Verdana" w:hAnsi="Verdana"/>
                <w:b/>
                <w:sz w:val="18"/>
                <w:szCs w:val="18"/>
              </w:rPr>
            </w:pPr>
          </w:p>
          <w:p w14:paraId="066801CC" w14:textId="77777777" w:rsidR="008715BE" w:rsidRPr="00EC75B7" w:rsidRDefault="008715BE">
            <w:pPr>
              <w:pStyle w:val="TableParagraph"/>
              <w:rPr>
                <w:rFonts w:ascii="Verdana" w:hAnsi="Verdana"/>
                <w:b/>
                <w:sz w:val="18"/>
                <w:szCs w:val="18"/>
              </w:rPr>
            </w:pPr>
          </w:p>
          <w:p w14:paraId="5F19B23E" w14:textId="77777777" w:rsidR="008715BE" w:rsidRPr="00EC75B7" w:rsidRDefault="008715BE">
            <w:pPr>
              <w:pStyle w:val="TableParagraph"/>
              <w:spacing w:before="155"/>
              <w:rPr>
                <w:rFonts w:ascii="Verdana" w:hAnsi="Verdana"/>
                <w:b/>
                <w:sz w:val="18"/>
                <w:szCs w:val="18"/>
              </w:rPr>
            </w:pPr>
          </w:p>
          <w:p w14:paraId="77D7EB22" w14:textId="77777777" w:rsidR="008715BE" w:rsidRPr="00EC75B7" w:rsidRDefault="00000000">
            <w:pPr>
              <w:pStyle w:val="TableParagraph"/>
              <w:spacing w:before="1"/>
              <w:ind w:left="108"/>
              <w:rPr>
                <w:rFonts w:ascii="Verdana" w:hAnsi="Verdana"/>
                <w:sz w:val="18"/>
                <w:szCs w:val="18"/>
              </w:rPr>
            </w:pPr>
            <w:r w:rsidRPr="00EC75B7">
              <w:rPr>
                <w:rFonts w:ascii="Verdana" w:hAnsi="Verdana"/>
                <w:spacing w:val="-5"/>
                <w:sz w:val="18"/>
                <w:szCs w:val="18"/>
              </w:rPr>
              <w:t>12</w:t>
            </w:r>
          </w:p>
        </w:tc>
        <w:tc>
          <w:tcPr>
            <w:tcW w:w="893" w:type="dxa"/>
          </w:tcPr>
          <w:p w14:paraId="316465CC" w14:textId="77777777" w:rsidR="008715BE" w:rsidRPr="00EC75B7" w:rsidRDefault="008715BE">
            <w:pPr>
              <w:pStyle w:val="TableParagraph"/>
              <w:rPr>
                <w:rFonts w:ascii="Verdana" w:hAnsi="Verdana"/>
                <w:sz w:val="18"/>
                <w:szCs w:val="18"/>
              </w:rPr>
            </w:pPr>
          </w:p>
        </w:tc>
        <w:tc>
          <w:tcPr>
            <w:tcW w:w="1133" w:type="dxa"/>
          </w:tcPr>
          <w:p w14:paraId="73A2130E" w14:textId="77777777" w:rsidR="008715BE" w:rsidRPr="00EC75B7" w:rsidRDefault="008715BE">
            <w:pPr>
              <w:pStyle w:val="TableParagraph"/>
              <w:rPr>
                <w:rFonts w:ascii="Verdana" w:hAnsi="Verdana"/>
                <w:sz w:val="18"/>
                <w:szCs w:val="18"/>
              </w:rPr>
            </w:pPr>
          </w:p>
        </w:tc>
        <w:tc>
          <w:tcPr>
            <w:tcW w:w="4112" w:type="dxa"/>
          </w:tcPr>
          <w:p w14:paraId="2BC1F906" w14:textId="77777777" w:rsidR="008715BE" w:rsidRPr="00EC75B7" w:rsidRDefault="00000000">
            <w:pPr>
              <w:pStyle w:val="TableParagraph"/>
              <w:spacing w:before="8" w:line="195" w:lineRule="exact"/>
              <w:ind w:left="110"/>
              <w:rPr>
                <w:rFonts w:ascii="Verdana" w:hAnsi="Verdana"/>
                <w:sz w:val="18"/>
                <w:szCs w:val="18"/>
              </w:rPr>
            </w:pPr>
            <w:r w:rsidRPr="00EC75B7">
              <w:rPr>
                <w:rFonts w:ascii="Verdana" w:hAnsi="Verdana"/>
                <w:sz w:val="18"/>
                <w:szCs w:val="18"/>
              </w:rPr>
              <w:t>Overloading</w:t>
            </w:r>
            <w:r w:rsidRPr="00EC75B7">
              <w:rPr>
                <w:rFonts w:ascii="Verdana" w:hAnsi="Verdana"/>
                <w:spacing w:val="32"/>
                <w:sz w:val="18"/>
                <w:szCs w:val="18"/>
              </w:rPr>
              <w:t xml:space="preserve">  </w:t>
            </w:r>
            <w:r w:rsidRPr="00EC75B7">
              <w:rPr>
                <w:rFonts w:ascii="Verdana" w:hAnsi="Verdana"/>
                <w:sz w:val="18"/>
                <w:szCs w:val="18"/>
              </w:rPr>
              <w:t xml:space="preserve"> of the system</w:t>
            </w:r>
            <w:r w:rsidRPr="00EC75B7">
              <w:rPr>
                <w:rFonts w:ascii="Verdana" w:hAnsi="Verdana"/>
                <w:spacing w:val="33"/>
                <w:sz w:val="18"/>
                <w:szCs w:val="18"/>
              </w:rPr>
              <w:t xml:space="preserve">  </w:t>
            </w:r>
            <w:r w:rsidRPr="00EC75B7">
              <w:rPr>
                <w:rFonts w:ascii="Verdana" w:hAnsi="Verdana"/>
                <w:sz w:val="18"/>
                <w:szCs w:val="18"/>
              </w:rPr>
              <w:t xml:space="preserve"> of</w:t>
            </w:r>
            <w:r w:rsidRPr="00EC75B7">
              <w:rPr>
                <w:rFonts w:ascii="Verdana" w:hAnsi="Verdana"/>
                <w:spacing w:val="31"/>
                <w:sz w:val="18"/>
                <w:szCs w:val="18"/>
              </w:rPr>
              <w:t xml:space="preserve">  </w:t>
            </w:r>
            <w:r w:rsidRPr="00EC75B7">
              <w:rPr>
                <w:rFonts w:ascii="Verdana" w:hAnsi="Verdana"/>
                <w:sz w:val="18"/>
                <w:szCs w:val="18"/>
              </w:rPr>
              <w:t xml:space="preserve"> production</w:t>
            </w:r>
            <w:r w:rsidRPr="00EC75B7">
              <w:rPr>
                <w:rFonts w:ascii="Verdana" w:hAnsi="Verdana"/>
                <w:spacing w:val="32"/>
                <w:sz w:val="18"/>
                <w:szCs w:val="18"/>
              </w:rPr>
              <w:t xml:space="preserve">  </w:t>
            </w:r>
            <w:r w:rsidRPr="00EC75B7">
              <w:rPr>
                <w:rFonts w:ascii="Verdana" w:hAnsi="Verdana"/>
                <w:spacing w:val="-5"/>
                <w:sz w:val="18"/>
                <w:szCs w:val="18"/>
              </w:rPr>
              <w:t xml:space="preserve"> and</w:t>
            </w:r>
          </w:p>
          <w:p w14:paraId="4B7B1540"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 xml:space="preserve">electricity </w:t>
            </w:r>
            <w:r w:rsidRPr="00EC75B7">
              <w:rPr>
                <w:rFonts w:ascii="Verdana" w:hAnsi="Verdana"/>
                <w:sz w:val="18"/>
                <w:szCs w:val="18"/>
              </w:rPr>
              <w:t>transmission</w:t>
            </w:r>
          </w:p>
        </w:tc>
      </w:tr>
      <w:tr w:rsidR="008715BE" w:rsidRPr="00EC75B7" w14:paraId="2961D43E" w14:textId="77777777">
        <w:trPr>
          <w:trHeight w:val="971"/>
        </w:trPr>
        <w:tc>
          <w:tcPr>
            <w:tcW w:w="2542" w:type="dxa"/>
          </w:tcPr>
          <w:p w14:paraId="12D17D29" w14:textId="77777777" w:rsidR="008715BE" w:rsidRPr="00EC75B7" w:rsidRDefault="008715BE">
            <w:pPr>
              <w:pStyle w:val="TableParagraph"/>
              <w:rPr>
                <w:rFonts w:ascii="Verdana" w:hAnsi="Verdana"/>
                <w:b/>
                <w:sz w:val="18"/>
                <w:szCs w:val="18"/>
              </w:rPr>
            </w:pPr>
          </w:p>
          <w:p w14:paraId="09BB56BA" w14:textId="77777777" w:rsidR="008715BE" w:rsidRPr="00EC75B7" w:rsidRDefault="008715BE">
            <w:pPr>
              <w:pStyle w:val="TableParagraph"/>
              <w:spacing w:before="6"/>
              <w:rPr>
                <w:rFonts w:ascii="Verdana" w:hAnsi="Verdana"/>
                <w:b/>
                <w:sz w:val="18"/>
                <w:szCs w:val="18"/>
              </w:rPr>
            </w:pPr>
          </w:p>
          <w:p w14:paraId="72FAE653" w14:textId="77777777" w:rsidR="008715BE" w:rsidRPr="00EC75B7" w:rsidRDefault="00000000">
            <w:pPr>
              <w:pStyle w:val="TableParagraph"/>
              <w:ind w:left="165"/>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423" w:type="dxa"/>
          </w:tcPr>
          <w:p w14:paraId="1E62E64E" w14:textId="77777777" w:rsidR="008715BE" w:rsidRPr="00EC75B7" w:rsidRDefault="008715BE">
            <w:pPr>
              <w:pStyle w:val="TableParagraph"/>
              <w:rPr>
                <w:rFonts w:ascii="Verdana" w:hAnsi="Verdana"/>
                <w:b/>
                <w:sz w:val="18"/>
                <w:szCs w:val="18"/>
              </w:rPr>
            </w:pPr>
          </w:p>
          <w:p w14:paraId="532A0465" w14:textId="77777777" w:rsidR="008715BE" w:rsidRPr="00EC75B7" w:rsidRDefault="008715BE">
            <w:pPr>
              <w:pStyle w:val="TableParagraph"/>
              <w:spacing w:before="6"/>
              <w:rPr>
                <w:rFonts w:ascii="Verdana" w:hAnsi="Verdana"/>
                <w:b/>
                <w:sz w:val="18"/>
                <w:szCs w:val="18"/>
              </w:rPr>
            </w:pPr>
          </w:p>
          <w:p w14:paraId="0DF76A2A" w14:textId="77777777" w:rsidR="008715BE" w:rsidRPr="00EC75B7" w:rsidRDefault="00000000">
            <w:pPr>
              <w:pStyle w:val="TableParagraph"/>
              <w:ind w:left="15"/>
              <w:jc w:val="center"/>
              <w:rPr>
                <w:rFonts w:ascii="Verdana" w:hAnsi="Verdana"/>
                <w:sz w:val="18"/>
                <w:szCs w:val="18"/>
              </w:rPr>
            </w:pPr>
            <w:r w:rsidRPr="00EC75B7">
              <w:rPr>
                <w:rFonts w:ascii="Verdana" w:hAnsi="Verdana"/>
                <w:spacing w:val="-10"/>
                <w:sz w:val="18"/>
                <w:szCs w:val="18"/>
              </w:rPr>
              <w:t>4</w:t>
            </w:r>
          </w:p>
        </w:tc>
        <w:tc>
          <w:tcPr>
            <w:tcW w:w="422" w:type="dxa"/>
          </w:tcPr>
          <w:p w14:paraId="67B08E12" w14:textId="77777777" w:rsidR="008715BE" w:rsidRPr="00EC75B7" w:rsidRDefault="008715BE">
            <w:pPr>
              <w:pStyle w:val="TableParagraph"/>
              <w:rPr>
                <w:rFonts w:ascii="Verdana" w:hAnsi="Verdana"/>
                <w:b/>
                <w:sz w:val="18"/>
                <w:szCs w:val="18"/>
              </w:rPr>
            </w:pPr>
          </w:p>
          <w:p w14:paraId="7B4726F2" w14:textId="77777777" w:rsidR="008715BE" w:rsidRPr="00EC75B7" w:rsidRDefault="008715BE">
            <w:pPr>
              <w:pStyle w:val="TableParagraph"/>
              <w:spacing w:before="6"/>
              <w:rPr>
                <w:rFonts w:ascii="Verdana" w:hAnsi="Verdana"/>
                <w:b/>
                <w:sz w:val="18"/>
                <w:szCs w:val="18"/>
              </w:rPr>
            </w:pPr>
          </w:p>
          <w:p w14:paraId="73AE0D05"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39" w:type="dxa"/>
            <w:vMerge/>
            <w:tcBorders>
              <w:top w:val="nil"/>
            </w:tcBorders>
            <w:shd w:val="clear" w:color="auto" w:fill="FAB48D"/>
          </w:tcPr>
          <w:p w14:paraId="77366370" w14:textId="77777777" w:rsidR="008715BE" w:rsidRPr="00EC75B7" w:rsidRDefault="008715BE">
            <w:pPr>
              <w:rPr>
                <w:rFonts w:ascii="Verdana" w:hAnsi="Verdana"/>
                <w:sz w:val="18"/>
                <w:szCs w:val="18"/>
              </w:rPr>
            </w:pPr>
          </w:p>
        </w:tc>
        <w:tc>
          <w:tcPr>
            <w:tcW w:w="893" w:type="dxa"/>
          </w:tcPr>
          <w:p w14:paraId="7C91ABCE" w14:textId="77777777" w:rsidR="008715BE" w:rsidRPr="00EC75B7" w:rsidRDefault="008715BE">
            <w:pPr>
              <w:pStyle w:val="TableParagraph"/>
              <w:rPr>
                <w:rFonts w:ascii="Verdana" w:hAnsi="Verdana"/>
                <w:b/>
                <w:sz w:val="18"/>
                <w:szCs w:val="18"/>
              </w:rPr>
            </w:pPr>
          </w:p>
          <w:p w14:paraId="7B79023B" w14:textId="77777777" w:rsidR="008715BE" w:rsidRPr="00EC75B7" w:rsidRDefault="008715BE">
            <w:pPr>
              <w:pStyle w:val="TableParagraph"/>
              <w:spacing w:before="6"/>
              <w:rPr>
                <w:rFonts w:ascii="Verdana" w:hAnsi="Verdana"/>
                <w:b/>
                <w:sz w:val="18"/>
                <w:szCs w:val="18"/>
              </w:rPr>
            </w:pPr>
          </w:p>
          <w:p w14:paraId="6C579023" w14:textId="77777777" w:rsidR="008715BE" w:rsidRPr="00EC75B7" w:rsidRDefault="00000000">
            <w:pPr>
              <w:pStyle w:val="TableParagraph"/>
              <w:ind w:left="16"/>
              <w:jc w:val="center"/>
              <w:rPr>
                <w:rFonts w:ascii="Verdana" w:hAnsi="Verdana"/>
                <w:sz w:val="18"/>
                <w:szCs w:val="18"/>
              </w:rPr>
            </w:pPr>
            <w:r w:rsidRPr="00EC75B7">
              <w:rPr>
                <w:rFonts w:ascii="Verdana" w:hAnsi="Verdana"/>
                <w:spacing w:val="-2"/>
                <w:sz w:val="18"/>
                <w:szCs w:val="18"/>
              </w:rPr>
              <w:t>high</w:t>
            </w:r>
          </w:p>
        </w:tc>
        <w:tc>
          <w:tcPr>
            <w:tcW w:w="1133" w:type="dxa"/>
          </w:tcPr>
          <w:p w14:paraId="76416E8C" w14:textId="77777777" w:rsidR="008715BE" w:rsidRPr="00EC75B7" w:rsidRDefault="008715BE">
            <w:pPr>
              <w:pStyle w:val="TableParagraph"/>
              <w:rPr>
                <w:rFonts w:ascii="Verdana" w:hAnsi="Verdana"/>
                <w:b/>
                <w:sz w:val="18"/>
                <w:szCs w:val="18"/>
              </w:rPr>
            </w:pPr>
          </w:p>
          <w:p w14:paraId="473AD6FD" w14:textId="77777777" w:rsidR="008715BE" w:rsidRPr="00EC75B7" w:rsidRDefault="008715BE">
            <w:pPr>
              <w:pStyle w:val="TableParagraph"/>
              <w:spacing w:before="6"/>
              <w:rPr>
                <w:rFonts w:ascii="Verdana" w:hAnsi="Verdana"/>
                <w:b/>
                <w:sz w:val="18"/>
                <w:szCs w:val="18"/>
              </w:rPr>
            </w:pPr>
          </w:p>
          <w:p w14:paraId="37567191"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RA1, </w:t>
            </w:r>
            <w:r w:rsidRPr="00EC75B7">
              <w:rPr>
                <w:rFonts w:ascii="Verdana" w:hAnsi="Verdana"/>
                <w:spacing w:val="-5"/>
                <w:sz w:val="18"/>
                <w:szCs w:val="18"/>
              </w:rPr>
              <w:t>RA2</w:t>
            </w:r>
          </w:p>
        </w:tc>
        <w:tc>
          <w:tcPr>
            <w:tcW w:w="4112" w:type="dxa"/>
          </w:tcPr>
          <w:p w14:paraId="0A4F905C" w14:textId="77777777" w:rsidR="008715BE" w:rsidRPr="00EC75B7" w:rsidRDefault="00000000">
            <w:pPr>
              <w:pStyle w:val="TableParagraph"/>
              <w:spacing w:line="194" w:lineRule="exact"/>
              <w:ind w:left="110" w:right="157"/>
              <w:rPr>
                <w:rFonts w:ascii="Verdana" w:hAnsi="Verdana"/>
                <w:sz w:val="18"/>
                <w:szCs w:val="18"/>
              </w:rPr>
            </w:pPr>
            <w:r w:rsidRPr="00EC75B7">
              <w:rPr>
                <w:rFonts w:ascii="Verdana" w:hAnsi="Verdana"/>
                <w:sz w:val="18"/>
                <w:szCs w:val="18"/>
              </w:rPr>
              <w:t xml:space="preserve">Increased thermal amplitudes can accelerate material wear and affect the thermal comfort of maintenance personnel, with effects that can be managed through </w:t>
            </w:r>
            <w:r w:rsidRPr="00EC75B7">
              <w:rPr>
                <w:rFonts w:ascii="Verdana" w:hAnsi="Verdana"/>
                <w:spacing w:val="-2"/>
                <w:sz w:val="18"/>
                <w:szCs w:val="18"/>
              </w:rPr>
              <w:t>operational</w:t>
            </w:r>
            <w:r w:rsidRPr="00EC75B7">
              <w:rPr>
                <w:rFonts w:ascii="Verdana" w:hAnsi="Verdana"/>
                <w:sz w:val="18"/>
                <w:szCs w:val="18"/>
              </w:rPr>
              <w:t xml:space="preserve"> measures</w:t>
            </w:r>
            <w:r w:rsidRPr="00EC75B7">
              <w:rPr>
                <w:rFonts w:ascii="Verdana" w:hAnsi="Verdana"/>
                <w:spacing w:val="-2"/>
                <w:sz w:val="18"/>
                <w:szCs w:val="18"/>
              </w:rPr>
              <w:t>.</w:t>
            </w:r>
          </w:p>
        </w:tc>
      </w:tr>
      <w:tr w:rsidR="008715BE" w:rsidRPr="00EC75B7" w14:paraId="4618C2C0" w14:textId="77777777">
        <w:trPr>
          <w:trHeight w:val="1557"/>
        </w:trPr>
        <w:tc>
          <w:tcPr>
            <w:tcW w:w="2542" w:type="dxa"/>
          </w:tcPr>
          <w:p w14:paraId="2918188E" w14:textId="77777777" w:rsidR="008715BE" w:rsidRPr="00EC75B7" w:rsidRDefault="008715BE">
            <w:pPr>
              <w:pStyle w:val="TableParagraph"/>
              <w:rPr>
                <w:rFonts w:ascii="Verdana" w:hAnsi="Verdana"/>
                <w:b/>
                <w:sz w:val="18"/>
                <w:szCs w:val="18"/>
              </w:rPr>
            </w:pPr>
          </w:p>
          <w:p w14:paraId="1C72C4BF" w14:textId="77777777" w:rsidR="008715BE" w:rsidRPr="00EC75B7" w:rsidRDefault="008715BE">
            <w:pPr>
              <w:pStyle w:val="TableParagraph"/>
              <w:rPr>
                <w:rFonts w:ascii="Verdana" w:hAnsi="Verdana"/>
                <w:b/>
                <w:sz w:val="18"/>
                <w:szCs w:val="18"/>
              </w:rPr>
            </w:pPr>
          </w:p>
          <w:p w14:paraId="79F29FF6" w14:textId="77777777" w:rsidR="008715BE" w:rsidRPr="00EC75B7" w:rsidRDefault="008715BE">
            <w:pPr>
              <w:pStyle w:val="TableParagraph"/>
              <w:spacing w:before="104"/>
              <w:rPr>
                <w:rFonts w:ascii="Verdana" w:hAnsi="Verdana"/>
                <w:b/>
                <w:sz w:val="18"/>
                <w:szCs w:val="18"/>
              </w:rPr>
            </w:pPr>
          </w:p>
          <w:p w14:paraId="6BEF92A1" w14:textId="77777777" w:rsidR="008715BE" w:rsidRPr="00EC75B7" w:rsidRDefault="00000000">
            <w:pPr>
              <w:pStyle w:val="TableParagraph"/>
              <w:ind w:left="108"/>
              <w:rPr>
                <w:rFonts w:ascii="Verdana" w:hAnsi="Verdana"/>
                <w:sz w:val="18"/>
                <w:szCs w:val="18"/>
              </w:rPr>
            </w:pPr>
            <w:r w:rsidRPr="00EC75B7">
              <w:rPr>
                <w:rFonts w:ascii="Verdana" w:hAnsi="Verdana"/>
                <w:spacing w:val="-2"/>
                <w:sz w:val="18"/>
                <w:szCs w:val="18"/>
              </w:rPr>
              <w:t>Drought</w:t>
            </w:r>
          </w:p>
        </w:tc>
        <w:tc>
          <w:tcPr>
            <w:tcW w:w="423" w:type="dxa"/>
          </w:tcPr>
          <w:p w14:paraId="60D92AD7" w14:textId="77777777" w:rsidR="008715BE" w:rsidRPr="00EC75B7" w:rsidRDefault="008715BE">
            <w:pPr>
              <w:pStyle w:val="TableParagraph"/>
              <w:rPr>
                <w:rFonts w:ascii="Verdana" w:hAnsi="Verdana"/>
                <w:b/>
                <w:sz w:val="18"/>
                <w:szCs w:val="18"/>
              </w:rPr>
            </w:pPr>
          </w:p>
          <w:p w14:paraId="064D59CB" w14:textId="77777777" w:rsidR="008715BE" w:rsidRPr="00EC75B7" w:rsidRDefault="008715BE">
            <w:pPr>
              <w:pStyle w:val="TableParagraph"/>
              <w:rPr>
                <w:rFonts w:ascii="Verdana" w:hAnsi="Verdana"/>
                <w:b/>
                <w:sz w:val="18"/>
                <w:szCs w:val="18"/>
              </w:rPr>
            </w:pPr>
          </w:p>
          <w:p w14:paraId="607A727F" w14:textId="77777777" w:rsidR="008715BE" w:rsidRPr="00EC75B7" w:rsidRDefault="008715BE">
            <w:pPr>
              <w:pStyle w:val="TableParagraph"/>
              <w:spacing w:before="104"/>
              <w:rPr>
                <w:rFonts w:ascii="Verdana" w:hAnsi="Verdana"/>
                <w:b/>
                <w:sz w:val="18"/>
                <w:szCs w:val="18"/>
              </w:rPr>
            </w:pPr>
          </w:p>
          <w:p w14:paraId="5487635A" w14:textId="77777777" w:rsidR="008715BE" w:rsidRPr="00EC75B7" w:rsidRDefault="00000000">
            <w:pPr>
              <w:pStyle w:val="TableParagraph"/>
              <w:ind w:left="15"/>
              <w:jc w:val="center"/>
              <w:rPr>
                <w:rFonts w:ascii="Verdana" w:hAnsi="Verdana"/>
                <w:sz w:val="18"/>
                <w:szCs w:val="18"/>
              </w:rPr>
            </w:pPr>
            <w:r w:rsidRPr="00EC75B7">
              <w:rPr>
                <w:rFonts w:ascii="Verdana" w:hAnsi="Verdana"/>
                <w:spacing w:val="-10"/>
                <w:sz w:val="18"/>
                <w:szCs w:val="18"/>
              </w:rPr>
              <w:t>4</w:t>
            </w:r>
          </w:p>
        </w:tc>
        <w:tc>
          <w:tcPr>
            <w:tcW w:w="422" w:type="dxa"/>
          </w:tcPr>
          <w:p w14:paraId="68FB5F24" w14:textId="77777777" w:rsidR="008715BE" w:rsidRPr="00EC75B7" w:rsidRDefault="008715BE">
            <w:pPr>
              <w:pStyle w:val="TableParagraph"/>
              <w:rPr>
                <w:rFonts w:ascii="Verdana" w:hAnsi="Verdana"/>
                <w:b/>
                <w:sz w:val="18"/>
                <w:szCs w:val="18"/>
              </w:rPr>
            </w:pPr>
          </w:p>
          <w:p w14:paraId="0E7DD40E" w14:textId="77777777" w:rsidR="008715BE" w:rsidRPr="00EC75B7" w:rsidRDefault="008715BE">
            <w:pPr>
              <w:pStyle w:val="TableParagraph"/>
              <w:rPr>
                <w:rFonts w:ascii="Verdana" w:hAnsi="Verdana"/>
                <w:b/>
                <w:sz w:val="18"/>
                <w:szCs w:val="18"/>
              </w:rPr>
            </w:pPr>
          </w:p>
          <w:p w14:paraId="0C3CC6C0" w14:textId="77777777" w:rsidR="008715BE" w:rsidRPr="00EC75B7" w:rsidRDefault="008715BE">
            <w:pPr>
              <w:pStyle w:val="TableParagraph"/>
              <w:spacing w:before="104"/>
              <w:rPr>
                <w:rFonts w:ascii="Verdana" w:hAnsi="Verdana"/>
                <w:b/>
                <w:sz w:val="18"/>
                <w:szCs w:val="18"/>
              </w:rPr>
            </w:pPr>
          </w:p>
          <w:p w14:paraId="12A166EE"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2</w:t>
            </w:r>
          </w:p>
        </w:tc>
        <w:tc>
          <w:tcPr>
            <w:tcW w:w="439" w:type="dxa"/>
            <w:shd w:val="clear" w:color="auto" w:fill="FFD44F"/>
          </w:tcPr>
          <w:p w14:paraId="54F66E42" w14:textId="77777777" w:rsidR="008715BE" w:rsidRPr="00EC75B7" w:rsidRDefault="008715BE">
            <w:pPr>
              <w:pStyle w:val="TableParagraph"/>
              <w:rPr>
                <w:rFonts w:ascii="Verdana" w:hAnsi="Verdana"/>
                <w:b/>
                <w:sz w:val="18"/>
                <w:szCs w:val="18"/>
              </w:rPr>
            </w:pPr>
          </w:p>
          <w:p w14:paraId="0CF0C3DB" w14:textId="77777777" w:rsidR="008715BE" w:rsidRPr="00EC75B7" w:rsidRDefault="008715BE">
            <w:pPr>
              <w:pStyle w:val="TableParagraph"/>
              <w:rPr>
                <w:rFonts w:ascii="Verdana" w:hAnsi="Verdana"/>
                <w:b/>
                <w:sz w:val="18"/>
                <w:szCs w:val="18"/>
              </w:rPr>
            </w:pPr>
          </w:p>
          <w:p w14:paraId="0B964EED" w14:textId="77777777" w:rsidR="008715BE" w:rsidRPr="00EC75B7" w:rsidRDefault="008715BE">
            <w:pPr>
              <w:pStyle w:val="TableParagraph"/>
              <w:spacing w:before="104"/>
              <w:rPr>
                <w:rFonts w:ascii="Verdana" w:hAnsi="Verdana"/>
                <w:b/>
                <w:sz w:val="18"/>
                <w:szCs w:val="18"/>
              </w:rPr>
            </w:pPr>
          </w:p>
          <w:p w14:paraId="205E8D93" w14:textId="77777777" w:rsidR="008715BE" w:rsidRPr="00EC75B7" w:rsidRDefault="00000000">
            <w:pPr>
              <w:pStyle w:val="TableParagraph"/>
              <w:ind w:left="13" w:right="1"/>
              <w:jc w:val="center"/>
              <w:rPr>
                <w:rFonts w:ascii="Verdana" w:hAnsi="Verdana"/>
                <w:b/>
                <w:sz w:val="18"/>
                <w:szCs w:val="18"/>
              </w:rPr>
            </w:pPr>
            <w:r w:rsidRPr="00EC75B7">
              <w:rPr>
                <w:rFonts w:ascii="Verdana" w:hAnsi="Verdana"/>
                <w:b/>
                <w:spacing w:val="-10"/>
                <w:sz w:val="18"/>
                <w:szCs w:val="18"/>
              </w:rPr>
              <w:t>8</w:t>
            </w:r>
          </w:p>
        </w:tc>
        <w:tc>
          <w:tcPr>
            <w:tcW w:w="893" w:type="dxa"/>
          </w:tcPr>
          <w:p w14:paraId="666A1212" w14:textId="77777777" w:rsidR="008715BE" w:rsidRPr="00EC75B7" w:rsidRDefault="008715BE">
            <w:pPr>
              <w:pStyle w:val="TableParagraph"/>
              <w:rPr>
                <w:rFonts w:ascii="Verdana" w:hAnsi="Verdana"/>
                <w:b/>
                <w:sz w:val="18"/>
                <w:szCs w:val="18"/>
              </w:rPr>
            </w:pPr>
          </w:p>
          <w:p w14:paraId="0E443C4C" w14:textId="77777777" w:rsidR="008715BE" w:rsidRPr="00EC75B7" w:rsidRDefault="008715BE">
            <w:pPr>
              <w:pStyle w:val="TableParagraph"/>
              <w:rPr>
                <w:rFonts w:ascii="Verdana" w:hAnsi="Verdana"/>
                <w:b/>
                <w:sz w:val="18"/>
                <w:szCs w:val="18"/>
              </w:rPr>
            </w:pPr>
          </w:p>
          <w:p w14:paraId="6AC9D778" w14:textId="77777777" w:rsidR="008715BE" w:rsidRPr="00EC75B7" w:rsidRDefault="008715BE">
            <w:pPr>
              <w:pStyle w:val="TableParagraph"/>
              <w:spacing w:before="104"/>
              <w:rPr>
                <w:rFonts w:ascii="Verdana" w:hAnsi="Verdana"/>
                <w:b/>
                <w:sz w:val="18"/>
                <w:szCs w:val="18"/>
              </w:rPr>
            </w:pPr>
          </w:p>
          <w:p w14:paraId="5C5C08B5" w14:textId="77777777" w:rsidR="008715BE" w:rsidRPr="00EC75B7" w:rsidRDefault="00000000">
            <w:pPr>
              <w:pStyle w:val="TableParagraph"/>
              <w:ind w:left="16"/>
              <w:jc w:val="center"/>
              <w:rPr>
                <w:rFonts w:ascii="Verdana" w:hAnsi="Verdana"/>
                <w:sz w:val="18"/>
                <w:szCs w:val="18"/>
              </w:rPr>
            </w:pPr>
            <w:r w:rsidRPr="00EC75B7">
              <w:rPr>
                <w:rFonts w:ascii="Verdana" w:hAnsi="Verdana"/>
                <w:spacing w:val="-2"/>
                <w:sz w:val="18"/>
                <w:szCs w:val="18"/>
              </w:rPr>
              <w:t>Moderate</w:t>
            </w:r>
          </w:p>
        </w:tc>
        <w:tc>
          <w:tcPr>
            <w:tcW w:w="1133" w:type="dxa"/>
          </w:tcPr>
          <w:p w14:paraId="51C6FA2B" w14:textId="77777777" w:rsidR="008715BE" w:rsidRPr="00EC75B7" w:rsidRDefault="008715BE">
            <w:pPr>
              <w:pStyle w:val="TableParagraph"/>
              <w:rPr>
                <w:rFonts w:ascii="Verdana" w:hAnsi="Verdana"/>
                <w:b/>
                <w:sz w:val="18"/>
                <w:szCs w:val="18"/>
              </w:rPr>
            </w:pPr>
          </w:p>
          <w:p w14:paraId="59782B78" w14:textId="77777777" w:rsidR="008715BE" w:rsidRPr="00EC75B7" w:rsidRDefault="008715BE">
            <w:pPr>
              <w:pStyle w:val="TableParagraph"/>
              <w:rPr>
                <w:rFonts w:ascii="Verdana" w:hAnsi="Verdana"/>
                <w:b/>
                <w:sz w:val="18"/>
                <w:szCs w:val="18"/>
              </w:rPr>
            </w:pPr>
          </w:p>
          <w:p w14:paraId="7228915A" w14:textId="77777777" w:rsidR="008715BE" w:rsidRPr="00EC75B7" w:rsidRDefault="008715BE">
            <w:pPr>
              <w:pStyle w:val="TableParagraph"/>
              <w:spacing w:before="7"/>
              <w:rPr>
                <w:rFonts w:ascii="Verdana" w:hAnsi="Verdana"/>
                <w:b/>
                <w:sz w:val="18"/>
                <w:szCs w:val="18"/>
              </w:rPr>
            </w:pPr>
          </w:p>
          <w:p w14:paraId="195D2614" w14:textId="77777777" w:rsidR="008715BE" w:rsidRPr="00EC75B7" w:rsidRDefault="00000000">
            <w:pPr>
              <w:pStyle w:val="TableParagraph"/>
              <w:spacing w:before="1"/>
              <w:ind w:left="108" w:right="192"/>
              <w:rPr>
                <w:rFonts w:ascii="Verdana" w:hAnsi="Verdana"/>
                <w:sz w:val="18"/>
                <w:szCs w:val="18"/>
              </w:rPr>
            </w:pPr>
            <w:r w:rsidRPr="00EC75B7">
              <w:rPr>
                <w:rFonts w:ascii="Verdana" w:hAnsi="Verdana"/>
                <w:spacing w:val="-2"/>
                <w:sz w:val="18"/>
                <w:szCs w:val="18"/>
              </w:rPr>
              <w:t xml:space="preserve">RA3, RA1, </w:t>
            </w:r>
            <w:r w:rsidRPr="00EC75B7">
              <w:rPr>
                <w:rFonts w:ascii="Verdana" w:hAnsi="Verdana"/>
                <w:spacing w:val="-4"/>
                <w:sz w:val="18"/>
                <w:szCs w:val="18"/>
              </w:rPr>
              <w:t>RA6</w:t>
            </w:r>
          </w:p>
        </w:tc>
        <w:tc>
          <w:tcPr>
            <w:tcW w:w="4112" w:type="dxa"/>
          </w:tcPr>
          <w:p w14:paraId="258A94D3" w14:textId="77777777" w:rsidR="008715BE" w:rsidRPr="00EC75B7" w:rsidRDefault="00000000">
            <w:pPr>
              <w:pStyle w:val="TableParagraph"/>
              <w:spacing w:before="10"/>
              <w:ind w:left="110" w:right="157"/>
              <w:rPr>
                <w:rFonts w:ascii="Verdana" w:hAnsi="Verdana"/>
                <w:sz w:val="18"/>
                <w:szCs w:val="18"/>
              </w:rPr>
            </w:pPr>
            <w:r w:rsidRPr="00EC75B7">
              <w:rPr>
                <w:rFonts w:ascii="Verdana" w:hAnsi="Verdana"/>
                <w:sz w:val="18"/>
                <w:szCs w:val="18"/>
              </w:rPr>
              <w:t>Although the project does not require water for its operation, drought contributes to the drying of vegetation and increases the risk of vegetation fires - damage to infrastructure/equipment, roads, as well as soil degradation and dust generation, with a potential impact on access,</w:t>
            </w:r>
          </w:p>
          <w:p w14:paraId="507C2809" w14:textId="77777777" w:rsidR="008715BE" w:rsidRPr="00EC75B7" w:rsidRDefault="00000000">
            <w:pPr>
              <w:pStyle w:val="TableParagraph"/>
              <w:spacing w:line="160" w:lineRule="exact"/>
              <w:ind w:left="110"/>
              <w:rPr>
                <w:rFonts w:ascii="Verdana" w:hAnsi="Verdana"/>
                <w:sz w:val="18"/>
                <w:szCs w:val="18"/>
              </w:rPr>
            </w:pPr>
            <w:r w:rsidRPr="00EC75B7">
              <w:rPr>
                <w:rFonts w:ascii="Verdana" w:hAnsi="Verdana"/>
                <w:sz w:val="18"/>
                <w:szCs w:val="18"/>
              </w:rPr>
              <w:t xml:space="preserve">maintenance, and </w:t>
            </w:r>
            <w:r w:rsidRPr="00EC75B7">
              <w:rPr>
                <w:rFonts w:ascii="Verdana" w:hAnsi="Verdana"/>
                <w:spacing w:val="-2"/>
                <w:sz w:val="18"/>
                <w:szCs w:val="18"/>
              </w:rPr>
              <w:t xml:space="preserve">public </w:t>
            </w:r>
            <w:r w:rsidRPr="00EC75B7">
              <w:rPr>
                <w:rFonts w:ascii="Verdana" w:hAnsi="Verdana"/>
                <w:sz w:val="18"/>
                <w:szCs w:val="18"/>
              </w:rPr>
              <w:t>perception</w:t>
            </w:r>
            <w:r w:rsidRPr="00EC75B7">
              <w:rPr>
                <w:rFonts w:ascii="Verdana" w:hAnsi="Verdana"/>
                <w:spacing w:val="-2"/>
                <w:sz w:val="18"/>
                <w:szCs w:val="18"/>
              </w:rPr>
              <w:t>.</w:t>
            </w:r>
          </w:p>
        </w:tc>
      </w:tr>
    </w:tbl>
    <w:p w14:paraId="3EF425A7" w14:textId="77777777" w:rsidR="008715BE" w:rsidRPr="00EC75B7" w:rsidRDefault="008715BE">
      <w:pPr>
        <w:pStyle w:val="BodyText"/>
        <w:spacing w:before="169"/>
        <w:rPr>
          <w:rFonts w:ascii="Verdana" w:hAnsi="Verdana"/>
          <w:b/>
        </w:rPr>
      </w:pPr>
    </w:p>
    <w:p w14:paraId="375552B5" w14:textId="77777777" w:rsidR="008715BE" w:rsidRPr="00EC75B7" w:rsidRDefault="00000000">
      <w:pPr>
        <w:ind w:left="57"/>
        <w:jc w:val="both"/>
        <w:rPr>
          <w:rFonts w:ascii="Verdana" w:hAnsi="Verdana"/>
          <w:b/>
          <w:sz w:val="18"/>
          <w:szCs w:val="18"/>
        </w:rPr>
      </w:pPr>
      <w:r w:rsidRPr="00EC75B7">
        <w:rPr>
          <w:rFonts w:ascii="Verdana" w:hAnsi="Verdana"/>
          <w:sz w:val="18"/>
          <w:szCs w:val="18"/>
        </w:rPr>
        <w:t xml:space="preserve">The risk matrix analysis indicates that, for the wind project, </w:t>
      </w:r>
      <w:r w:rsidRPr="00EC75B7">
        <w:rPr>
          <w:rFonts w:ascii="Verdana" w:hAnsi="Verdana"/>
          <w:b/>
          <w:sz w:val="18"/>
          <w:szCs w:val="18"/>
        </w:rPr>
        <w:t xml:space="preserve">the </w:t>
      </w:r>
      <w:r w:rsidRPr="00EC75B7">
        <w:rPr>
          <w:rFonts w:ascii="Verdana" w:hAnsi="Verdana"/>
          <w:b/>
          <w:spacing w:val="-2"/>
          <w:sz w:val="18"/>
          <w:szCs w:val="18"/>
        </w:rPr>
        <w:t xml:space="preserve">relevant </w:t>
      </w:r>
      <w:r w:rsidRPr="00EC75B7">
        <w:rPr>
          <w:rFonts w:ascii="Verdana" w:hAnsi="Verdana"/>
          <w:b/>
          <w:sz w:val="18"/>
          <w:szCs w:val="18"/>
        </w:rPr>
        <w:t>climate risks</w:t>
      </w:r>
    </w:p>
    <w:p w14:paraId="5F52B7D4" w14:textId="77777777" w:rsidR="008715BE" w:rsidRPr="00EC75B7" w:rsidRDefault="00000000">
      <w:pPr>
        <w:pStyle w:val="BodyText"/>
        <w:spacing w:before="147" w:line="360" w:lineRule="auto"/>
        <w:ind w:left="57" w:right="433"/>
        <w:jc w:val="both"/>
        <w:rPr>
          <w:rFonts w:ascii="Verdana" w:hAnsi="Verdana"/>
        </w:rPr>
      </w:pPr>
      <w:r w:rsidRPr="00EC75B7">
        <w:rPr>
          <w:rFonts w:ascii="Verdana" w:hAnsi="Verdana"/>
        </w:rPr>
        <w:t>Operational risks are those classified as moderate and high risk, which have the potential to affect the operation of facilities, personnel safety, and overall project performance.</w:t>
      </w:r>
    </w:p>
    <w:p w14:paraId="03632433" w14:textId="77777777" w:rsidR="008715BE" w:rsidRPr="00EC75B7" w:rsidRDefault="00000000">
      <w:pPr>
        <w:pStyle w:val="Heading5"/>
        <w:spacing w:before="118"/>
        <w:jc w:val="left"/>
        <w:rPr>
          <w:rFonts w:ascii="Verdana" w:hAnsi="Verdana"/>
        </w:rPr>
      </w:pPr>
      <w:r w:rsidRPr="00EC75B7">
        <w:rPr>
          <w:rFonts w:ascii="Verdana" w:hAnsi="Verdana"/>
        </w:rPr>
        <w:t xml:space="preserve">High-level risks </w:t>
      </w:r>
      <w:r w:rsidRPr="00EC75B7">
        <w:rPr>
          <w:rFonts w:ascii="Verdana" w:hAnsi="Verdana"/>
          <w:spacing w:val="-2"/>
        </w:rPr>
        <w:t>identified</w:t>
      </w:r>
    </w:p>
    <w:p w14:paraId="0D706663" w14:textId="77777777" w:rsidR="008715BE" w:rsidRPr="00EC75B7" w:rsidRDefault="008715BE">
      <w:pPr>
        <w:pStyle w:val="BodyText"/>
        <w:spacing w:before="7"/>
        <w:rPr>
          <w:rFonts w:ascii="Verdana" w:hAnsi="Verdana"/>
          <w:b/>
        </w:rPr>
      </w:pPr>
    </w:p>
    <w:p w14:paraId="2C149DBC" w14:textId="77777777" w:rsidR="008715BE" w:rsidRPr="00EC75B7" w:rsidRDefault="00000000">
      <w:pPr>
        <w:pStyle w:val="ListParagraph"/>
        <w:numPr>
          <w:ilvl w:val="0"/>
          <w:numId w:val="30"/>
        </w:numPr>
        <w:tabs>
          <w:tab w:val="left" w:pos="700"/>
        </w:tabs>
        <w:ind w:left="700" w:hanging="359"/>
        <w:rPr>
          <w:rFonts w:ascii="Verdana" w:hAnsi="Verdana"/>
          <w:sz w:val="18"/>
          <w:szCs w:val="18"/>
        </w:rPr>
      </w:pPr>
      <w:r w:rsidRPr="00EC75B7">
        <w:rPr>
          <w:rFonts w:ascii="Verdana" w:hAnsi="Verdana"/>
          <w:spacing w:val="-2"/>
          <w:sz w:val="18"/>
          <w:szCs w:val="18"/>
        </w:rPr>
        <w:t xml:space="preserve">Vegetation </w:t>
      </w:r>
      <w:r w:rsidRPr="00EC75B7">
        <w:rPr>
          <w:rFonts w:ascii="Verdana" w:hAnsi="Verdana"/>
          <w:sz w:val="18"/>
          <w:szCs w:val="18"/>
        </w:rPr>
        <w:t>fires</w:t>
      </w:r>
    </w:p>
    <w:p w14:paraId="2DF410DC" w14:textId="77777777" w:rsidR="008715BE" w:rsidRPr="00EC75B7" w:rsidRDefault="00000000">
      <w:pPr>
        <w:pStyle w:val="ListParagraph"/>
        <w:numPr>
          <w:ilvl w:val="0"/>
          <w:numId w:val="30"/>
        </w:numPr>
        <w:tabs>
          <w:tab w:val="left" w:pos="700"/>
        </w:tabs>
        <w:spacing w:before="109"/>
        <w:ind w:left="700" w:hanging="359"/>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waves</w:t>
      </w:r>
    </w:p>
    <w:p w14:paraId="0737A06A" w14:textId="77777777" w:rsidR="008715BE" w:rsidRPr="00EC75B7" w:rsidRDefault="00000000">
      <w:pPr>
        <w:pStyle w:val="ListParagraph"/>
        <w:numPr>
          <w:ilvl w:val="0"/>
          <w:numId w:val="30"/>
        </w:numPr>
        <w:tabs>
          <w:tab w:val="left" w:pos="700"/>
        </w:tabs>
        <w:spacing w:before="109"/>
        <w:ind w:left="700" w:hanging="359"/>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p w14:paraId="7C11C9D6" w14:textId="77777777" w:rsidR="008715BE" w:rsidRPr="00EC75B7" w:rsidRDefault="00000000">
      <w:pPr>
        <w:pStyle w:val="Heading5"/>
        <w:spacing w:before="107"/>
        <w:jc w:val="left"/>
        <w:rPr>
          <w:rFonts w:ascii="Verdana" w:hAnsi="Verdana"/>
        </w:rPr>
      </w:pPr>
      <w:r w:rsidRPr="00EC75B7">
        <w:rPr>
          <w:rFonts w:ascii="Verdana" w:hAnsi="Verdana"/>
        </w:rPr>
        <w:t xml:space="preserve">Moderate risks </w:t>
      </w:r>
      <w:r w:rsidRPr="00EC75B7">
        <w:rPr>
          <w:rFonts w:ascii="Verdana" w:hAnsi="Verdana"/>
          <w:spacing w:val="-2"/>
        </w:rPr>
        <w:t>identified</w:t>
      </w:r>
    </w:p>
    <w:p w14:paraId="517913F2" w14:textId="77777777" w:rsidR="008715BE" w:rsidRPr="00EC75B7" w:rsidRDefault="008715BE">
      <w:pPr>
        <w:pStyle w:val="BodyText"/>
        <w:spacing w:before="9"/>
        <w:rPr>
          <w:rFonts w:ascii="Verdana" w:hAnsi="Verdana"/>
          <w:b/>
        </w:rPr>
      </w:pPr>
    </w:p>
    <w:p w14:paraId="2CFF18D6" w14:textId="77777777" w:rsidR="008715BE" w:rsidRPr="00EC75B7" w:rsidRDefault="00000000">
      <w:pPr>
        <w:pStyle w:val="ListParagraph"/>
        <w:numPr>
          <w:ilvl w:val="0"/>
          <w:numId w:val="30"/>
        </w:numPr>
        <w:tabs>
          <w:tab w:val="left" w:pos="700"/>
        </w:tabs>
        <w:spacing w:before="1"/>
        <w:ind w:left="700" w:hanging="359"/>
        <w:jc w:val="both"/>
        <w:rPr>
          <w:rFonts w:ascii="Verdana" w:hAnsi="Verdana"/>
          <w:sz w:val="18"/>
          <w:szCs w:val="18"/>
        </w:rPr>
      </w:pPr>
      <w:r w:rsidRPr="00EC75B7">
        <w:rPr>
          <w:rFonts w:ascii="Verdana" w:hAnsi="Verdana"/>
          <w:sz w:val="18"/>
          <w:szCs w:val="18"/>
        </w:rPr>
        <w:t xml:space="preserve">Floods / </w:t>
      </w:r>
      <w:r w:rsidRPr="00EC75B7">
        <w:rPr>
          <w:rFonts w:ascii="Verdana" w:hAnsi="Verdana"/>
          <w:spacing w:val="-2"/>
          <w:sz w:val="18"/>
          <w:szCs w:val="18"/>
        </w:rPr>
        <w:t xml:space="preserve">heavy </w:t>
      </w:r>
      <w:r w:rsidRPr="00EC75B7">
        <w:rPr>
          <w:rFonts w:ascii="Verdana" w:hAnsi="Verdana"/>
          <w:sz w:val="18"/>
          <w:szCs w:val="18"/>
        </w:rPr>
        <w:t>rainfall</w:t>
      </w:r>
    </w:p>
    <w:p w14:paraId="51688F20" w14:textId="77777777" w:rsidR="008715BE" w:rsidRPr="00EC75B7" w:rsidRDefault="00000000">
      <w:pPr>
        <w:pStyle w:val="ListParagraph"/>
        <w:numPr>
          <w:ilvl w:val="0"/>
          <w:numId w:val="30"/>
        </w:numPr>
        <w:tabs>
          <w:tab w:val="left" w:pos="700"/>
        </w:tabs>
        <w:spacing w:before="109"/>
        <w:ind w:left="700" w:hanging="359"/>
        <w:jc w:val="both"/>
        <w:rPr>
          <w:rFonts w:ascii="Verdana" w:hAnsi="Verdana"/>
          <w:sz w:val="18"/>
          <w:szCs w:val="18"/>
        </w:rPr>
      </w:pPr>
      <w:r w:rsidRPr="00EC75B7">
        <w:rPr>
          <w:rFonts w:ascii="Verdana" w:hAnsi="Verdana"/>
          <w:spacing w:val="-2"/>
          <w:sz w:val="18"/>
          <w:szCs w:val="18"/>
        </w:rPr>
        <w:t>Drought</w:t>
      </w:r>
    </w:p>
    <w:p w14:paraId="3347A01C" w14:textId="77777777" w:rsidR="008715BE" w:rsidRPr="00EC75B7" w:rsidRDefault="00000000">
      <w:pPr>
        <w:pStyle w:val="BodyText"/>
        <w:spacing w:before="109" w:line="357" w:lineRule="auto"/>
        <w:ind w:left="57" w:right="427"/>
        <w:jc w:val="both"/>
        <w:rPr>
          <w:rFonts w:ascii="Verdana" w:hAnsi="Verdana"/>
        </w:rPr>
      </w:pPr>
      <w:r w:rsidRPr="00EC75B7">
        <w:rPr>
          <w:rFonts w:ascii="Verdana" w:hAnsi="Verdana"/>
          <w:b/>
        </w:rPr>
        <w:t xml:space="preserve">Overall conclusion: </w:t>
      </w:r>
      <w:r w:rsidRPr="00EC75B7">
        <w:rPr>
          <w:rFonts w:ascii="Verdana" w:hAnsi="Verdana"/>
        </w:rPr>
        <w:t>Overall, the identified climate risks are manageable, and their impact can be significantly reduced by applying appropriate technical and organizational measures. The most significant potential effects relate to operational continuity, asset integrity, and staff safety, with no critical or catastrophic impacts on the project anticipated, provided that the proposed adaptation measures are implemented.</w:t>
      </w:r>
    </w:p>
    <w:p w14:paraId="5DD611B6"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824" w:gutter="0"/>
          <w:cols w:space="708"/>
        </w:sectPr>
      </w:pPr>
    </w:p>
    <w:p w14:paraId="78724E27" w14:textId="77777777" w:rsidR="008715BE" w:rsidRPr="00EC75B7" w:rsidRDefault="00000000">
      <w:pPr>
        <w:pStyle w:val="Heading3"/>
        <w:numPr>
          <w:ilvl w:val="3"/>
          <w:numId w:val="29"/>
        </w:numPr>
        <w:tabs>
          <w:tab w:val="left" w:pos="1276"/>
        </w:tabs>
        <w:spacing w:before="102"/>
        <w:ind w:left="1276" w:hanging="1219"/>
        <w:rPr>
          <w:rFonts w:ascii="Verdana" w:hAnsi="Verdana"/>
          <w:sz w:val="18"/>
          <w:szCs w:val="18"/>
        </w:rPr>
      </w:pPr>
      <w:bookmarkStart w:id="128" w:name="_bookmark128"/>
      <w:bookmarkEnd w:id="128"/>
      <w:r w:rsidRPr="00EC75B7">
        <w:rPr>
          <w:rFonts w:ascii="Verdana" w:hAnsi="Verdana"/>
          <w:color w:val="00AFEF"/>
          <w:sz w:val="18"/>
          <w:szCs w:val="18"/>
        </w:rPr>
        <w:lastRenderedPageBreak/>
        <w:t xml:space="preserve">Identification of options for adaptation to </w:t>
      </w:r>
      <w:r w:rsidRPr="00EC75B7">
        <w:rPr>
          <w:rFonts w:ascii="Verdana" w:hAnsi="Verdana"/>
          <w:color w:val="00AFEF"/>
          <w:spacing w:val="-2"/>
          <w:sz w:val="18"/>
          <w:szCs w:val="18"/>
        </w:rPr>
        <w:t xml:space="preserve">climate </w:t>
      </w:r>
      <w:r w:rsidRPr="00EC75B7">
        <w:rPr>
          <w:rFonts w:ascii="Verdana" w:hAnsi="Verdana"/>
          <w:color w:val="00AFEF"/>
          <w:sz w:val="18"/>
          <w:szCs w:val="18"/>
        </w:rPr>
        <w:t>change</w:t>
      </w:r>
    </w:p>
    <w:p w14:paraId="542D229B" w14:textId="77777777" w:rsidR="008715BE" w:rsidRPr="00EC75B7" w:rsidRDefault="008715BE">
      <w:pPr>
        <w:pStyle w:val="BodyText"/>
        <w:spacing w:before="114"/>
        <w:rPr>
          <w:rFonts w:ascii="Verdana" w:hAnsi="Verdana"/>
          <w:b/>
        </w:rPr>
      </w:pPr>
    </w:p>
    <w:p w14:paraId="629578A3" w14:textId="77777777" w:rsidR="008715BE" w:rsidRPr="00EC75B7" w:rsidRDefault="00000000">
      <w:pPr>
        <w:pStyle w:val="BodyText"/>
        <w:spacing w:line="357" w:lineRule="auto"/>
        <w:ind w:left="57" w:right="425"/>
        <w:jc w:val="both"/>
        <w:rPr>
          <w:rFonts w:ascii="Verdana" w:hAnsi="Verdana"/>
        </w:rPr>
      </w:pPr>
      <w:r w:rsidRPr="00EC75B7">
        <w:rPr>
          <w:rFonts w:ascii="Verdana" w:hAnsi="Verdana"/>
        </w:rPr>
        <w:t>For climate risks identified as moderate and high, adaptation measures have been proposed, with the main objective of reducing the vulnerability of the project and ensuring long-term operational continuity. These measures were considered as early as the design stage and are integrated into the project's technical solutions through the selection of equipment suitable for future climate conditions, the appropriate sizing of infrastructure, and the adoption of design standards that are resilient to extreme weather events.</w:t>
      </w:r>
    </w:p>
    <w:p w14:paraId="1B41E760" w14:textId="77777777" w:rsidR="008715BE" w:rsidRPr="00EC75B7" w:rsidRDefault="00000000">
      <w:pPr>
        <w:pStyle w:val="BodyText"/>
        <w:spacing w:before="124" w:line="357" w:lineRule="auto"/>
        <w:ind w:left="57" w:right="427"/>
        <w:jc w:val="both"/>
        <w:rPr>
          <w:rFonts w:ascii="Verdana" w:hAnsi="Verdana"/>
        </w:rPr>
      </w:pPr>
      <w:r w:rsidRPr="00EC75B7">
        <w:rPr>
          <w:rFonts w:ascii="Verdana" w:hAnsi="Verdana"/>
        </w:rPr>
        <w:t>At the same time, measures specific to the operational phase—including those related to monitoring, adaptive maintenance, emergency management, and staff training—will be implemented throughout the project's operation, in accordance with applicable operational procedures and management plans. Through this integrated approach, the project ensures proactive management of climate risks, limiting potential impacts on assets, personnel, and overall performance, both under current climate conditions and in future climate scenarios.</w:t>
      </w:r>
    </w:p>
    <w:p w14:paraId="4A55FF67" w14:textId="77777777" w:rsidR="008715BE" w:rsidRPr="00EC75B7" w:rsidRDefault="008715BE">
      <w:pPr>
        <w:pStyle w:val="BodyText"/>
        <w:spacing w:line="357" w:lineRule="auto"/>
        <w:jc w:val="both"/>
        <w:rPr>
          <w:rFonts w:ascii="Verdana" w:hAnsi="Verdana"/>
        </w:rPr>
        <w:sectPr w:rsidR="008715BE" w:rsidRPr="00EC75B7">
          <w:pgSz w:w="11910" w:h="16840"/>
          <w:pgMar w:top="1320" w:right="566" w:bottom="1020" w:left="1133" w:header="766" w:footer="824" w:gutter="0"/>
          <w:cols w:space="708"/>
        </w:sectPr>
      </w:pPr>
    </w:p>
    <w:p w14:paraId="6033EEBA" w14:textId="77777777" w:rsidR="008715BE" w:rsidRPr="00EC75B7" w:rsidRDefault="00000000">
      <w:pPr>
        <w:spacing w:before="99"/>
        <w:ind w:left="2"/>
        <w:rPr>
          <w:rFonts w:ascii="Verdana" w:hAnsi="Verdana"/>
          <w:b/>
          <w:sz w:val="18"/>
          <w:szCs w:val="18"/>
        </w:rPr>
      </w:pPr>
      <w:r w:rsidRPr="00EC75B7">
        <w:rPr>
          <w:rFonts w:ascii="Verdana" w:hAnsi="Verdana"/>
          <w:b/>
          <w:color w:val="00AFEF"/>
          <w:sz w:val="18"/>
          <w:szCs w:val="18"/>
        </w:rPr>
        <w:lastRenderedPageBreak/>
        <w:t xml:space="preserve">Table 62 </w:t>
      </w:r>
      <w:r w:rsidRPr="00EC75B7">
        <w:rPr>
          <w:rFonts w:ascii="Verdana" w:hAnsi="Verdana"/>
          <w:b/>
          <w:color w:val="00AFEF"/>
          <w:spacing w:val="-2"/>
          <w:sz w:val="18"/>
          <w:szCs w:val="18"/>
        </w:rPr>
        <w:t xml:space="preserve">Climate </w:t>
      </w:r>
      <w:r w:rsidRPr="00EC75B7">
        <w:rPr>
          <w:rFonts w:ascii="Verdana" w:hAnsi="Verdana"/>
          <w:b/>
          <w:color w:val="00AFEF"/>
          <w:sz w:val="18"/>
          <w:szCs w:val="18"/>
        </w:rPr>
        <w:t>change adaptation measures</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8715BE" w:rsidRPr="00EC75B7" w14:paraId="158BEA86" w14:textId="77777777">
        <w:trPr>
          <w:trHeight w:val="1679"/>
        </w:trPr>
        <w:tc>
          <w:tcPr>
            <w:tcW w:w="2542" w:type="dxa"/>
            <w:shd w:val="clear" w:color="auto" w:fill="00AFEF"/>
          </w:tcPr>
          <w:p w14:paraId="435A4D61" w14:textId="77777777" w:rsidR="008715BE" w:rsidRPr="00EC75B7" w:rsidRDefault="008715BE">
            <w:pPr>
              <w:pStyle w:val="TableParagraph"/>
              <w:rPr>
                <w:rFonts w:ascii="Verdana" w:hAnsi="Verdana"/>
                <w:b/>
                <w:sz w:val="18"/>
                <w:szCs w:val="18"/>
              </w:rPr>
            </w:pPr>
          </w:p>
          <w:p w14:paraId="7A576D15" w14:textId="77777777" w:rsidR="008715BE" w:rsidRPr="00EC75B7" w:rsidRDefault="008715BE">
            <w:pPr>
              <w:pStyle w:val="TableParagraph"/>
              <w:rPr>
                <w:rFonts w:ascii="Verdana" w:hAnsi="Verdana"/>
                <w:b/>
                <w:sz w:val="18"/>
                <w:szCs w:val="18"/>
              </w:rPr>
            </w:pPr>
          </w:p>
          <w:p w14:paraId="0700BF96" w14:textId="77777777" w:rsidR="008715BE" w:rsidRPr="00EC75B7" w:rsidRDefault="008715BE">
            <w:pPr>
              <w:pStyle w:val="TableParagraph"/>
              <w:spacing w:before="157"/>
              <w:rPr>
                <w:rFonts w:ascii="Verdana" w:hAnsi="Verdana"/>
                <w:b/>
                <w:sz w:val="18"/>
                <w:szCs w:val="18"/>
              </w:rPr>
            </w:pPr>
          </w:p>
          <w:p w14:paraId="42C281D5"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422" w:type="dxa"/>
            <w:shd w:val="clear" w:color="auto" w:fill="00AFEF"/>
            <w:textDirection w:val="btLr"/>
          </w:tcPr>
          <w:p w14:paraId="3AFBA5E4" w14:textId="77777777" w:rsidR="008715BE" w:rsidRPr="00EC75B7" w:rsidRDefault="00000000">
            <w:pPr>
              <w:pStyle w:val="TableParagraph"/>
              <w:spacing w:before="121"/>
              <w:ind w:left="268"/>
              <w:rPr>
                <w:rFonts w:ascii="Verdana" w:hAnsi="Verdana"/>
                <w:b/>
                <w:sz w:val="18"/>
                <w:szCs w:val="18"/>
              </w:rPr>
            </w:pPr>
            <w:r w:rsidRPr="00EC75B7">
              <w:rPr>
                <w:rFonts w:ascii="Verdana" w:hAnsi="Verdana"/>
                <w:b/>
                <w:color w:val="FFFFFF"/>
                <w:spacing w:val="-2"/>
                <w:sz w:val="18"/>
                <w:szCs w:val="18"/>
              </w:rPr>
              <w:t>Probability</w:t>
            </w:r>
          </w:p>
        </w:tc>
        <w:tc>
          <w:tcPr>
            <w:tcW w:w="422" w:type="dxa"/>
            <w:shd w:val="clear" w:color="auto" w:fill="00AFEF"/>
            <w:textDirection w:val="btLr"/>
          </w:tcPr>
          <w:p w14:paraId="6317E9AD" w14:textId="77777777" w:rsidR="008715BE" w:rsidRPr="00EC75B7" w:rsidRDefault="00000000">
            <w:pPr>
              <w:pStyle w:val="TableParagraph"/>
              <w:spacing w:before="121"/>
              <w:ind w:left="385"/>
              <w:rPr>
                <w:rFonts w:ascii="Verdana" w:hAnsi="Verdana"/>
                <w:b/>
                <w:sz w:val="18"/>
                <w:szCs w:val="18"/>
              </w:rPr>
            </w:pPr>
            <w:r w:rsidRPr="00EC75B7">
              <w:rPr>
                <w:rFonts w:ascii="Verdana" w:hAnsi="Verdana"/>
                <w:b/>
                <w:color w:val="FFFFFF"/>
                <w:spacing w:val="-2"/>
                <w:sz w:val="18"/>
                <w:szCs w:val="18"/>
              </w:rPr>
              <w:t>Severity</w:t>
            </w:r>
          </w:p>
        </w:tc>
        <w:tc>
          <w:tcPr>
            <w:tcW w:w="439" w:type="dxa"/>
            <w:shd w:val="clear" w:color="auto" w:fill="00AFEF"/>
            <w:textDirection w:val="btLr"/>
          </w:tcPr>
          <w:p w14:paraId="276C877D" w14:textId="77777777" w:rsidR="008715BE" w:rsidRPr="00EC75B7" w:rsidRDefault="00000000">
            <w:pPr>
              <w:pStyle w:val="TableParagraph"/>
              <w:spacing w:before="131"/>
              <w:ind w:left="18"/>
              <w:jc w:val="center"/>
              <w:rPr>
                <w:rFonts w:ascii="Verdana" w:hAnsi="Verdana"/>
                <w:b/>
                <w:sz w:val="18"/>
                <w:szCs w:val="18"/>
              </w:rPr>
            </w:pPr>
            <w:r w:rsidRPr="00EC75B7">
              <w:rPr>
                <w:rFonts w:ascii="Verdana" w:hAnsi="Verdana"/>
                <w:b/>
                <w:color w:val="FFFFFF"/>
                <w:spacing w:val="-4"/>
                <w:sz w:val="18"/>
                <w:szCs w:val="18"/>
              </w:rPr>
              <w:t>Risk</w:t>
            </w:r>
          </w:p>
        </w:tc>
        <w:tc>
          <w:tcPr>
            <w:tcW w:w="893" w:type="dxa"/>
            <w:shd w:val="clear" w:color="auto" w:fill="00AFEF"/>
            <w:textDirection w:val="btLr"/>
          </w:tcPr>
          <w:p w14:paraId="099680A2" w14:textId="77777777" w:rsidR="008715BE" w:rsidRPr="00EC75B7" w:rsidRDefault="008715BE">
            <w:pPr>
              <w:pStyle w:val="TableParagraph"/>
              <w:spacing w:before="161"/>
              <w:rPr>
                <w:rFonts w:ascii="Verdana" w:hAnsi="Verdana"/>
                <w:b/>
                <w:sz w:val="18"/>
                <w:szCs w:val="18"/>
              </w:rPr>
            </w:pPr>
          </w:p>
          <w:p w14:paraId="6DD17F7F" w14:textId="77777777" w:rsidR="008715BE" w:rsidRPr="00EC75B7" w:rsidRDefault="00000000">
            <w:pPr>
              <w:pStyle w:val="TableParagraph"/>
              <w:spacing w:before="1"/>
              <w:ind w:left="431"/>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level</w:t>
            </w:r>
          </w:p>
        </w:tc>
        <w:tc>
          <w:tcPr>
            <w:tcW w:w="1132" w:type="dxa"/>
            <w:shd w:val="clear" w:color="auto" w:fill="00AFEF"/>
          </w:tcPr>
          <w:p w14:paraId="19151144" w14:textId="77777777" w:rsidR="008715BE" w:rsidRPr="00EC75B7" w:rsidRDefault="008715BE">
            <w:pPr>
              <w:pStyle w:val="TableParagraph"/>
              <w:rPr>
                <w:rFonts w:ascii="Verdana" w:hAnsi="Verdana"/>
                <w:b/>
                <w:sz w:val="18"/>
                <w:szCs w:val="18"/>
              </w:rPr>
            </w:pPr>
          </w:p>
          <w:p w14:paraId="5844275B" w14:textId="77777777" w:rsidR="008715BE" w:rsidRPr="00EC75B7" w:rsidRDefault="008715BE">
            <w:pPr>
              <w:pStyle w:val="TableParagraph"/>
              <w:spacing w:before="158"/>
              <w:rPr>
                <w:rFonts w:ascii="Verdana" w:hAnsi="Verdana"/>
                <w:b/>
                <w:sz w:val="18"/>
                <w:szCs w:val="18"/>
              </w:rPr>
            </w:pPr>
          </w:p>
          <w:p w14:paraId="49A6BD1A" w14:textId="77777777" w:rsidR="008715BE" w:rsidRPr="00EC75B7" w:rsidRDefault="00000000">
            <w:pPr>
              <w:pStyle w:val="TableParagraph"/>
              <w:ind w:left="243" w:hanging="82"/>
              <w:rPr>
                <w:rFonts w:ascii="Verdana" w:hAnsi="Verdana"/>
                <w:b/>
                <w:sz w:val="18"/>
                <w:szCs w:val="18"/>
              </w:rPr>
            </w:pPr>
            <w:r w:rsidRPr="00EC75B7">
              <w:rPr>
                <w:rFonts w:ascii="Verdana" w:hAnsi="Verdana"/>
                <w:b/>
                <w:color w:val="FFFFFF"/>
                <w:spacing w:val="-2"/>
                <w:sz w:val="18"/>
                <w:szCs w:val="18"/>
              </w:rPr>
              <w:t>Associated</w:t>
            </w:r>
            <w:r w:rsidRPr="00EC75B7">
              <w:rPr>
                <w:rFonts w:ascii="Verdana" w:hAnsi="Verdana"/>
                <w:b/>
                <w:color w:val="FFFFFF"/>
                <w:sz w:val="18"/>
                <w:szCs w:val="18"/>
              </w:rPr>
              <w:t xml:space="preserve"> risk</w:t>
            </w:r>
            <w:r w:rsidRPr="00EC75B7">
              <w:rPr>
                <w:rFonts w:ascii="Verdana" w:hAnsi="Verdana"/>
                <w:b/>
                <w:color w:val="FFFFFF"/>
                <w:spacing w:val="-2"/>
                <w:sz w:val="18"/>
                <w:szCs w:val="18"/>
              </w:rPr>
              <w:t xml:space="preserve"> area</w:t>
            </w:r>
          </w:p>
        </w:tc>
        <w:tc>
          <w:tcPr>
            <w:tcW w:w="5059" w:type="dxa"/>
            <w:shd w:val="clear" w:color="auto" w:fill="00AFEF"/>
          </w:tcPr>
          <w:p w14:paraId="1CB16FA1" w14:textId="77777777" w:rsidR="008715BE" w:rsidRPr="00EC75B7" w:rsidRDefault="008715BE">
            <w:pPr>
              <w:pStyle w:val="TableParagraph"/>
              <w:rPr>
                <w:rFonts w:ascii="Verdana" w:hAnsi="Verdana"/>
                <w:b/>
                <w:sz w:val="18"/>
                <w:szCs w:val="18"/>
              </w:rPr>
            </w:pPr>
          </w:p>
          <w:p w14:paraId="5E143D84" w14:textId="77777777" w:rsidR="008715BE" w:rsidRPr="00EC75B7" w:rsidRDefault="008715BE">
            <w:pPr>
              <w:pStyle w:val="TableParagraph"/>
              <w:rPr>
                <w:rFonts w:ascii="Verdana" w:hAnsi="Verdana"/>
                <w:b/>
                <w:sz w:val="18"/>
                <w:szCs w:val="18"/>
              </w:rPr>
            </w:pPr>
          </w:p>
          <w:p w14:paraId="4988DC7A" w14:textId="77777777" w:rsidR="008715BE" w:rsidRPr="00EC75B7" w:rsidRDefault="008715BE">
            <w:pPr>
              <w:pStyle w:val="TableParagraph"/>
              <w:spacing w:before="157"/>
              <w:rPr>
                <w:rFonts w:ascii="Verdana" w:hAnsi="Verdana"/>
                <w:b/>
                <w:sz w:val="18"/>
                <w:szCs w:val="18"/>
              </w:rPr>
            </w:pPr>
          </w:p>
          <w:p w14:paraId="227F00E6" w14:textId="77777777" w:rsidR="008715BE" w:rsidRPr="00EC75B7" w:rsidRDefault="00000000">
            <w:pPr>
              <w:pStyle w:val="TableParagraph"/>
              <w:ind w:left="998"/>
              <w:rPr>
                <w:rFonts w:ascii="Verdana" w:hAnsi="Verdana"/>
                <w:b/>
                <w:sz w:val="18"/>
                <w:szCs w:val="18"/>
              </w:rPr>
            </w:pPr>
            <w:r w:rsidRPr="00EC75B7">
              <w:rPr>
                <w:rFonts w:ascii="Verdana" w:hAnsi="Verdana"/>
                <w:b/>
                <w:color w:val="FFFFFF"/>
                <w:sz w:val="18"/>
                <w:szCs w:val="18"/>
              </w:rPr>
              <w:t xml:space="preserve">Design and </w:t>
            </w:r>
            <w:r w:rsidRPr="00EC75B7">
              <w:rPr>
                <w:rFonts w:ascii="Verdana" w:hAnsi="Verdana"/>
                <w:b/>
                <w:color w:val="FFFFFF"/>
                <w:spacing w:val="-2"/>
                <w:sz w:val="18"/>
                <w:szCs w:val="18"/>
              </w:rPr>
              <w:t xml:space="preserve">construction </w:t>
            </w:r>
            <w:r w:rsidRPr="00EC75B7">
              <w:rPr>
                <w:rFonts w:ascii="Verdana" w:hAnsi="Verdana"/>
                <w:b/>
                <w:color w:val="FFFFFF"/>
                <w:sz w:val="18"/>
                <w:szCs w:val="18"/>
              </w:rPr>
              <w:t>measures</w:t>
            </w:r>
          </w:p>
        </w:tc>
        <w:tc>
          <w:tcPr>
            <w:tcW w:w="3545" w:type="dxa"/>
            <w:shd w:val="clear" w:color="auto" w:fill="00AFEF"/>
          </w:tcPr>
          <w:p w14:paraId="7D524374" w14:textId="77777777" w:rsidR="008715BE" w:rsidRPr="00EC75B7" w:rsidRDefault="008715BE">
            <w:pPr>
              <w:pStyle w:val="TableParagraph"/>
              <w:rPr>
                <w:rFonts w:ascii="Verdana" w:hAnsi="Verdana"/>
                <w:b/>
                <w:sz w:val="18"/>
                <w:szCs w:val="18"/>
              </w:rPr>
            </w:pPr>
          </w:p>
          <w:p w14:paraId="57F2B96B" w14:textId="77777777" w:rsidR="008715BE" w:rsidRPr="00EC75B7" w:rsidRDefault="008715BE">
            <w:pPr>
              <w:pStyle w:val="TableParagraph"/>
              <w:rPr>
                <w:rFonts w:ascii="Verdana" w:hAnsi="Verdana"/>
                <w:b/>
                <w:sz w:val="18"/>
                <w:szCs w:val="18"/>
              </w:rPr>
            </w:pPr>
          </w:p>
          <w:p w14:paraId="15C01684" w14:textId="77777777" w:rsidR="008715BE" w:rsidRPr="00EC75B7" w:rsidRDefault="008715BE">
            <w:pPr>
              <w:pStyle w:val="TableParagraph"/>
              <w:spacing w:before="157"/>
              <w:rPr>
                <w:rFonts w:ascii="Verdana" w:hAnsi="Verdana"/>
                <w:b/>
                <w:sz w:val="18"/>
                <w:szCs w:val="18"/>
              </w:rPr>
            </w:pPr>
          </w:p>
          <w:p w14:paraId="052C74DD" w14:textId="77777777" w:rsidR="008715BE" w:rsidRPr="00EC75B7" w:rsidRDefault="00000000">
            <w:pPr>
              <w:pStyle w:val="TableParagraph"/>
              <w:ind w:left="485"/>
              <w:rPr>
                <w:rFonts w:ascii="Verdana" w:hAnsi="Verdana"/>
                <w:b/>
                <w:sz w:val="18"/>
                <w:szCs w:val="18"/>
              </w:rPr>
            </w:pPr>
            <w:r w:rsidRPr="00EC75B7">
              <w:rPr>
                <w:rFonts w:ascii="Verdana" w:hAnsi="Verdana"/>
                <w:b/>
                <w:color w:val="FFFFFF"/>
                <w:sz w:val="18"/>
                <w:szCs w:val="18"/>
              </w:rPr>
              <w:t xml:space="preserve">Operation and </w:t>
            </w:r>
            <w:r w:rsidRPr="00EC75B7">
              <w:rPr>
                <w:rFonts w:ascii="Verdana" w:hAnsi="Verdana"/>
                <w:b/>
                <w:color w:val="FFFFFF"/>
                <w:spacing w:val="-2"/>
                <w:sz w:val="18"/>
                <w:szCs w:val="18"/>
              </w:rPr>
              <w:t xml:space="preserve">maintenance </w:t>
            </w:r>
            <w:r w:rsidRPr="00EC75B7">
              <w:rPr>
                <w:rFonts w:ascii="Verdana" w:hAnsi="Verdana"/>
                <w:b/>
                <w:color w:val="FFFFFF"/>
                <w:sz w:val="18"/>
                <w:szCs w:val="18"/>
              </w:rPr>
              <w:t>measures</w:t>
            </w:r>
          </w:p>
        </w:tc>
      </w:tr>
      <w:tr w:rsidR="008715BE" w:rsidRPr="00EC75B7" w14:paraId="3741EDAD" w14:textId="77777777">
        <w:trPr>
          <w:trHeight w:val="3502"/>
        </w:trPr>
        <w:tc>
          <w:tcPr>
            <w:tcW w:w="2542" w:type="dxa"/>
          </w:tcPr>
          <w:p w14:paraId="33B0DEE9" w14:textId="77777777" w:rsidR="008715BE" w:rsidRPr="00EC75B7" w:rsidRDefault="008715BE">
            <w:pPr>
              <w:pStyle w:val="TableParagraph"/>
              <w:rPr>
                <w:rFonts w:ascii="Verdana" w:hAnsi="Verdana"/>
                <w:b/>
                <w:sz w:val="18"/>
                <w:szCs w:val="18"/>
              </w:rPr>
            </w:pPr>
          </w:p>
          <w:p w14:paraId="23646E62" w14:textId="77777777" w:rsidR="008715BE" w:rsidRPr="00EC75B7" w:rsidRDefault="008715BE">
            <w:pPr>
              <w:pStyle w:val="TableParagraph"/>
              <w:rPr>
                <w:rFonts w:ascii="Verdana" w:hAnsi="Verdana"/>
                <w:b/>
                <w:sz w:val="18"/>
                <w:szCs w:val="18"/>
              </w:rPr>
            </w:pPr>
          </w:p>
          <w:p w14:paraId="5EEB61FE" w14:textId="77777777" w:rsidR="008715BE" w:rsidRPr="00EC75B7" w:rsidRDefault="008715BE">
            <w:pPr>
              <w:pStyle w:val="TableParagraph"/>
              <w:rPr>
                <w:rFonts w:ascii="Verdana" w:hAnsi="Verdana"/>
                <w:b/>
                <w:sz w:val="18"/>
                <w:szCs w:val="18"/>
              </w:rPr>
            </w:pPr>
          </w:p>
          <w:p w14:paraId="071B368D" w14:textId="77777777" w:rsidR="008715BE" w:rsidRPr="00EC75B7" w:rsidRDefault="008715BE">
            <w:pPr>
              <w:pStyle w:val="TableParagraph"/>
              <w:rPr>
                <w:rFonts w:ascii="Verdana" w:hAnsi="Verdana"/>
                <w:b/>
                <w:sz w:val="18"/>
                <w:szCs w:val="18"/>
              </w:rPr>
            </w:pPr>
          </w:p>
          <w:p w14:paraId="3A087A91" w14:textId="77777777" w:rsidR="008715BE" w:rsidRPr="00EC75B7" w:rsidRDefault="008715BE">
            <w:pPr>
              <w:pStyle w:val="TableParagraph"/>
              <w:rPr>
                <w:rFonts w:ascii="Verdana" w:hAnsi="Verdana"/>
                <w:b/>
                <w:sz w:val="18"/>
                <w:szCs w:val="18"/>
              </w:rPr>
            </w:pPr>
          </w:p>
          <w:p w14:paraId="7252E11E" w14:textId="77777777" w:rsidR="008715BE" w:rsidRPr="00EC75B7" w:rsidRDefault="008715BE">
            <w:pPr>
              <w:pStyle w:val="TableParagraph"/>
              <w:rPr>
                <w:rFonts w:ascii="Verdana" w:hAnsi="Verdana"/>
                <w:b/>
                <w:sz w:val="18"/>
                <w:szCs w:val="18"/>
              </w:rPr>
            </w:pPr>
          </w:p>
          <w:p w14:paraId="709330EF" w14:textId="77777777" w:rsidR="008715BE" w:rsidRPr="00EC75B7" w:rsidRDefault="008715BE">
            <w:pPr>
              <w:pStyle w:val="TableParagraph"/>
              <w:spacing w:before="190"/>
              <w:rPr>
                <w:rFonts w:ascii="Verdana" w:hAnsi="Verdana"/>
                <w:b/>
                <w:sz w:val="18"/>
                <w:szCs w:val="18"/>
              </w:rPr>
            </w:pPr>
          </w:p>
          <w:p w14:paraId="59C93689"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Flooding</w:t>
            </w:r>
            <w:r w:rsidRPr="00EC75B7">
              <w:rPr>
                <w:rFonts w:ascii="Verdana" w:hAnsi="Verdana"/>
                <w:spacing w:val="-2"/>
                <w:sz w:val="18"/>
                <w:szCs w:val="18"/>
              </w:rPr>
              <w:t>/Precipitation</w:t>
            </w:r>
          </w:p>
          <w:p w14:paraId="173E0D66"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Heavy</w:t>
            </w:r>
          </w:p>
        </w:tc>
        <w:tc>
          <w:tcPr>
            <w:tcW w:w="422" w:type="dxa"/>
          </w:tcPr>
          <w:p w14:paraId="4294BD8C" w14:textId="77777777" w:rsidR="008715BE" w:rsidRPr="00EC75B7" w:rsidRDefault="008715BE">
            <w:pPr>
              <w:pStyle w:val="TableParagraph"/>
              <w:rPr>
                <w:rFonts w:ascii="Verdana" w:hAnsi="Verdana"/>
                <w:b/>
                <w:sz w:val="18"/>
                <w:szCs w:val="18"/>
              </w:rPr>
            </w:pPr>
          </w:p>
          <w:p w14:paraId="5F38863D" w14:textId="77777777" w:rsidR="008715BE" w:rsidRPr="00EC75B7" w:rsidRDefault="008715BE">
            <w:pPr>
              <w:pStyle w:val="TableParagraph"/>
              <w:rPr>
                <w:rFonts w:ascii="Verdana" w:hAnsi="Verdana"/>
                <w:b/>
                <w:sz w:val="18"/>
                <w:szCs w:val="18"/>
              </w:rPr>
            </w:pPr>
          </w:p>
          <w:p w14:paraId="1682BEF5" w14:textId="77777777" w:rsidR="008715BE" w:rsidRPr="00EC75B7" w:rsidRDefault="008715BE">
            <w:pPr>
              <w:pStyle w:val="TableParagraph"/>
              <w:rPr>
                <w:rFonts w:ascii="Verdana" w:hAnsi="Verdana"/>
                <w:b/>
                <w:sz w:val="18"/>
                <w:szCs w:val="18"/>
              </w:rPr>
            </w:pPr>
          </w:p>
          <w:p w14:paraId="30E48CF4" w14:textId="77777777" w:rsidR="008715BE" w:rsidRPr="00EC75B7" w:rsidRDefault="008715BE">
            <w:pPr>
              <w:pStyle w:val="TableParagraph"/>
              <w:rPr>
                <w:rFonts w:ascii="Verdana" w:hAnsi="Verdana"/>
                <w:b/>
                <w:sz w:val="18"/>
                <w:szCs w:val="18"/>
              </w:rPr>
            </w:pPr>
          </w:p>
          <w:p w14:paraId="4B003F36" w14:textId="77777777" w:rsidR="008715BE" w:rsidRPr="00EC75B7" w:rsidRDefault="008715BE">
            <w:pPr>
              <w:pStyle w:val="TableParagraph"/>
              <w:rPr>
                <w:rFonts w:ascii="Verdana" w:hAnsi="Verdana"/>
                <w:b/>
                <w:sz w:val="18"/>
                <w:szCs w:val="18"/>
              </w:rPr>
            </w:pPr>
          </w:p>
          <w:p w14:paraId="6385DAE6" w14:textId="77777777" w:rsidR="008715BE" w:rsidRPr="00EC75B7" w:rsidRDefault="008715BE">
            <w:pPr>
              <w:pStyle w:val="TableParagraph"/>
              <w:rPr>
                <w:rFonts w:ascii="Verdana" w:hAnsi="Verdana"/>
                <w:b/>
                <w:sz w:val="18"/>
                <w:szCs w:val="18"/>
              </w:rPr>
            </w:pPr>
          </w:p>
          <w:p w14:paraId="212B930E" w14:textId="77777777" w:rsidR="008715BE" w:rsidRPr="00EC75B7" w:rsidRDefault="008715BE">
            <w:pPr>
              <w:pStyle w:val="TableParagraph"/>
              <w:rPr>
                <w:rFonts w:ascii="Verdana" w:hAnsi="Verdana"/>
                <w:b/>
                <w:sz w:val="18"/>
                <w:szCs w:val="18"/>
              </w:rPr>
            </w:pPr>
          </w:p>
          <w:p w14:paraId="1FB55056" w14:textId="77777777" w:rsidR="008715BE" w:rsidRPr="00EC75B7" w:rsidRDefault="008715BE">
            <w:pPr>
              <w:pStyle w:val="TableParagraph"/>
              <w:spacing w:before="90"/>
              <w:rPr>
                <w:rFonts w:ascii="Verdana" w:hAnsi="Verdana"/>
                <w:b/>
                <w:sz w:val="18"/>
                <w:szCs w:val="18"/>
              </w:rPr>
            </w:pPr>
          </w:p>
          <w:p w14:paraId="09D7BB54"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10"/>
                <w:sz w:val="18"/>
                <w:szCs w:val="18"/>
              </w:rPr>
              <w:t>2</w:t>
            </w:r>
          </w:p>
        </w:tc>
        <w:tc>
          <w:tcPr>
            <w:tcW w:w="422" w:type="dxa"/>
          </w:tcPr>
          <w:p w14:paraId="343A2EF4" w14:textId="77777777" w:rsidR="008715BE" w:rsidRPr="00EC75B7" w:rsidRDefault="008715BE">
            <w:pPr>
              <w:pStyle w:val="TableParagraph"/>
              <w:rPr>
                <w:rFonts w:ascii="Verdana" w:hAnsi="Verdana"/>
                <w:b/>
                <w:sz w:val="18"/>
                <w:szCs w:val="18"/>
              </w:rPr>
            </w:pPr>
          </w:p>
          <w:p w14:paraId="37280B47" w14:textId="77777777" w:rsidR="008715BE" w:rsidRPr="00EC75B7" w:rsidRDefault="008715BE">
            <w:pPr>
              <w:pStyle w:val="TableParagraph"/>
              <w:rPr>
                <w:rFonts w:ascii="Verdana" w:hAnsi="Verdana"/>
                <w:b/>
                <w:sz w:val="18"/>
                <w:szCs w:val="18"/>
              </w:rPr>
            </w:pPr>
          </w:p>
          <w:p w14:paraId="164564F5" w14:textId="77777777" w:rsidR="008715BE" w:rsidRPr="00EC75B7" w:rsidRDefault="008715BE">
            <w:pPr>
              <w:pStyle w:val="TableParagraph"/>
              <w:rPr>
                <w:rFonts w:ascii="Verdana" w:hAnsi="Verdana"/>
                <w:b/>
                <w:sz w:val="18"/>
                <w:szCs w:val="18"/>
              </w:rPr>
            </w:pPr>
          </w:p>
          <w:p w14:paraId="7F3ECD63" w14:textId="77777777" w:rsidR="008715BE" w:rsidRPr="00EC75B7" w:rsidRDefault="008715BE">
            <w:pPr>
              <w:pStyle w:val="TableParagraph"/>
              <w:rPr>
                <w:rFonts w:ascii="Verdana" w:hAnsi="Verdana"/>
                <w:b/>
                <w:sz w:val="18"/>
                <w:szCs w:val="18"/>
              </w:rPr>
            </w:pPr>
          </w:p>
          <w:p w14:paraId="275A4C9F" w14:textId="77777777" w:rsidR="008715BE" w:rsidRPr="00EC75B7" w:rsidRDefault="008715BE">
            <w:pPr>
              <w:pStyle w:val="TableParagraph"/>
              <w:rPr>
                <w:rFonts w:ascii="Verdana" w:hAnsi="Verdana"/>
                <w:b/>
                <w:sz w:val="18"/>
                <w:szCs w:val="18"/>
              </w:rPr>
            </w:pPr>
          </w:p>
          <w:p w14:paraId="4E3A3AC4" w14:textId="77777777" w:rsidR="008715BE" w:rsidRPr="00EC75B7" w:rsidRDefault="008715BE">
            <w:pPr>
              <w:pStyle w:val="TableParagraph"/>
              <w:rPr>
                <w:rFonts w:ascii="Verdana" w:hAnsi="Verdana"/>
                <w:b/>
                <w:sz w:val="18"/>
                <w:szCs w:val="18"/>
              </w:rPr>
            </w:pPr>
          </w:p>
          <w:p w14:paraId="2AED443A" w14:textId="77777777" w:rsidR="008715BE" w:rsidRPr="00EC75B7" w:rsidRDefault="008715BE">
            <w:pPr>
              <w:pStyle w:val="TableParagraph"/>
              <w:rPr>
                <w:rFonts w:ascii="Verdana" w:hAnsi="Verdana"/>
                <w:b/>
                <w:sz w:val="18"/>
                <w:szCs w:val="18"/>
              </w:rPr>
            </w:pPr>
          </w:p>
          <w:p w14:paraId="6B5F226F" w14:textId="77777777" w:rsidR="008715BE" w:rsidRPr="00EC75B7" w:rsidRDefault="008715BE">
            <w:pPr>
              <w:pStyle w:val="TableParagraph"/>
              <w:spacing w:before="90"/>
              <w:rPr>
                <w:rFonts w:ascii="Verdana" w:hAnsi="Verdana"/>
                <w:b/>
                <w:sz w:val="18"/>
                <w:szCs w:val="18"/>
              </w:rPr>
            </w:pPr>
          </w:p>
          <w:p w14:paraId="3BB8F376"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10"/>
                <w:sz w:val="18"/>
                <w:szCs w:val="18"/>
              </w:rPr>
              <w:t>3</w:t>
            </w:r>
          </w:p>
        </w:tc>
        <w:tc>
          <w:tcPr>
            <w:tcW w:w="439" w:type="dxa"/>
            <w:tcBorders>
              <w:bottom w:val="nil"/>
            </w:tcBorders>
            <w:shd w:val="clear" w:color="auto" w:fill="E1EEDA"/>
          </w:tcPr>
          <w:p w14:paraId="4160C883" w14:textId="77777777" w:rsidR="008715BE" w:rsidRPr="00EC75B7" w:rsidRDefault="008715BE">
            <w:pPr>
              <w:pStyle w:val="TableParagraph"/>
              <w:rPr>
                <w:rFonts w:ascii="Verdana" w:hAnsi="Verdana"/>
                <w:b/>
                <w:sz w:val="18"/>
                <w:szCs w:val="18"/>
              </w:rPr>
            </w:pPr>
          </w:p>
          <w:p w14:paraId="38F930D7" w14:textId="77777777" w:rsidR="008715BE" w:rsidRPr="00EC75B7" w:rsidRDefault="008715BE">
            <w:pPr>
              <w:pStyle w:val="TableParagraph"/>
              <w:rPr>
                <w:rFonts w:ascii="Verdana" w:hAnsi="Verdana"/>
                <w:b/>
                <w:sz w:val="18"/>
                <w:szCs w:val="18"/>
              </w:rPr>
            </w:pPr>
          </w:p>
          <w:p w14:paraId="4AD38D7C" w14:textId="77777777" w:rsidR="008715BE" w:rsidRPr="00EC75B7" w:rsidRDefault="008715BE">
            <w:pPr>
              <w:pStyle w:val="TableParagraph"/>
              <w:rPr>
                <w:rFonts w:ascii="Verdana" w:hAnsi="Verdana"/>
                <w:b/>
                <w:sz w:val="18"/>
                <w:szCs w:val="18"/>
              </w:rPr>
            </w:pPr>
          </w:p>
          <w:p w14:paraId="30E79EAC" w14:textId="77777777" w:rsidR="008715BE" w:rsidRPr="00EC75B7" w:rsidRDefault="008715BE">
            <w:pPr>
              <w:pStyle w:val="TableParagraph"/>
              <w:rPr>
                <w:rFonts w:ascii="Verdana" w:hAnsi="Verdana"/>
                <w:b/>
                <w:sz w:val="18"/>
                <w:szCs w:val="18"/>
              </w:rPr>
            </w:pPr>
          </w:p>
          <w:p w14:paraId="40BEF10B" w14:textId="77777777" w:rsidR="008715BE" w:rsidRPr="00EC75B7" w:rsidRDefault="008715BE">
            <w:pPr>
              <w:pStyle w:val="TableParagraph"/>
              <w:spacing w:before="265"/>
              <w:rPr>
                <w:rFonts w:ascii="Verdana" w:hAnsi="Verdana"/>
                <w:b/>
                <w:sz w:val="18"/>
                <w:szCs w:val="18"/>
              </w:rPr>
            </w:pPr>
          </w:p>
          <w:p w14:paraId="7832148D" w14:textId="77777777" w:rsidR="008715BE" w:rsidRPr="00EC75B7" w:rsidRDefault="00000000">
            <w:pPr>
              <w:pStyle w:val="TableParagraph"/>
              <w:ind w:left="13" w:right="3"/>
              <w:jc w:val="center"/>
              <w:rPr>
                <w:rFonts w:ascii="Verdana" w:hAnsi="Verdana"/>
                <w:sz w:val="18"/>
                <w:szCs w:val="18"/>
              </w:rPr>
            </w:pPr>
            <w:r w:rsidRPr="00EC75B7">
              <w:rPr>
                <w:rFonts w:ascii="Verdana" w:hAnsi="Verdana"/>
                <w:spacing w:val="-10"/>
                <w:sz w:val="18"/>
                <w:szCs w:val="18"/>
              </w:rPr>
              <w:t>6</w:t>
            </w:r>
          </w:p>
        </w:tc>
        <w:tc>
          <w:tcPr>
            <w:tcW w:w="893" w:type="dxa"/>
          </w:tcPr>
          <w:p w14:paraId="344B5218" w14:textId="77777777" w:rsidR="008715BE" w:rsidRPr="00EC75B7" w:rsidRDefault="008715BE">
            <w:pPr>
              <w:pStyle w:val="TableParagraph"/>
              <w:rPr>
                <w:rFonts w:ascii="Verdana" w:hAnsi="Verdana"/>
                <w:b/>
                <w:sz w:val="18"/>
                <w:szCs w:val="18"/>
              </w:rPr>
            </w:pPr>
          </w:p>
          <w:p w14:paraId="489939B6" w14:textId="77777777" w:rsidR="008715BE" w:rsidRPr="00EC75B7" w:rsidRDefault="008715BE">
            <w:pPr>
              <w:pStyle w:val="TableParagraph"/>
              <w:rPr>
                <w:rFonts w:ascii="Verdana" w:hAnsi="Verdana"/>
                <w:b/>
                <w:sz w:val="18"/>
                <w:szCs w:val="18"/>
              </w:rPr>
            </w:pPr>
          </w:p>
          <w:p w14:paraId="3947D089" w14:textId="77777777" w:rsidR="008715BE" w:rsidRPr="00EC75B7" w:rsidRDefault="008715BE">
            <w:pPr>
              <w:pStyle w:val="TableParagraph"/>
              <w:rPr>
                <w:rFonts w:ascii="Verdana" w:hAnsi="Verdana"/>
                <w:b/>
                <w:sz w:val="18"/>
                <w:szCs w:val="18"/>
              </w:rPr>
            </w:pPr>
          </w:p>
          <w:p w14:paraId="1317F44F" w14:textId="77777777" w:rsidR="008715BE" w:rsidRPr="00EC75B7" w:rsidRDefault="008715BE">
            <w:pPr>
              <w:pStyle w:val="TableParagraph"/>
              <w:rPr>
                <w:rFonts w:ascii="Verdana" w:hAnsi="Verdana"/>
                <w:b/>
                <w:sz w:val="18"/>
                <w:szCs w:val="18"/>
              </w:rPr>
            </w:pPr>
          </w:p>
          <w:p w14:paraId="19043AB1" w14:textId="77777777" w:rsidR="008715BE" w:rsidRPr="00EC75B7" w:rsidRDefault="008715BE">
            <w:pPr>
              <w:pStyle w:val="TableParagraph"/>
              <w:rPr>
                <w:rFonts w:ascii="Verdana" w:hAnsi="Verdana"/>
                <w:b/>
                <w:sz w:val="18"/>
                <w:szCs w:val="18"/>
              </w:rPr>
            </w:pPr>
          </w:p>
          <w:p w14:paraId="524C506C" w14:textId="77777777" w:rsidR="008715BE" w:rsidRPr="00EC75B7" w:rsidRDefault="008715BE">
            <w:pPr>
              <w:pStyle w:val="TableParagraph"/>
              <w:rPr>
                <w:rFonts w:ascii="Verdana" w:hAnsi="Verdana"/>
                <w:b/>
                <w:sz w:val="18"/>
                <w:szCs w:val="18"/>
              </w:rPr>
            </w:pPr>
          </w:p>
          <w:p w14:paraId="54B61AF2" w14:textId="77777777" w:rsidR="008715BE" w:rsidRPr="00EC75B7" w:rsidRDefault="008715BE">
            <w:pPr>
              <w:pStyle w:val="TableParagraph"/>
              <w:rPr>
                <w:rFonts w:ascii="Verdana" w:hAnsi="Verdana"/>
                <w:b/>
                <w:sz w:val="18"/>
                <w:szCs w:val="18"/>
              </w:rPr>
            </w:pPr>
          </w:p>
          <w:p w14:paraId="69349C57" w14:textId="77777777" w:rsidR="008715BE" w:rsidRPr="00EC75B7" w:rsidRDefault="008715BE">
            <w:pPr>
              <w:pStyle w:val="TableParagraph"/>
              <w:spacing w:before="90"/>
              <w:rPr>
                <w:rFonts w:ascii="Verdana" w:hAnsi="Verdana"/>
                <w:b/>
                <w:sz w:val="18"/>
                <w:szCs w:val="18"/>
              </w:rPr>
            </w:pPr>
          </w:p>
          <w:p w14:paraId="225E9B0F" w14:textId="77777777" w:rsidR="008715BE" w:rsidRPr="00EC75B7" w:rsidRDefault="00000000">
            <w:pPr>
              <w:pStyle w:val="TableParagraph"/>
              <w:spacing w:before="1"/>
              <w:ind w:left="16" w:right="7"/>
              <w:jc w:val="center"/>
              <w:rPr>
                <w:rFonts w:ascii="Verdana" w:hAnsi="Verdana"/>
                <w:sz w:val="18"/>
                <w:szCs w:val="18"/>
              </w:rPr>
            </w:pPr>
            <w:r w:rsidRPr="00EC75B7">
              <w:rPr>
                <w:rFonts w:ascii="Verdana" w:hAnsi="Verdana"/>
                <w:spacing w:val="-2"/>
                <w:sz w:val="18"/>
                <w:szCs w:val="18"/>
              </w:rPr>
              <w:t>low</w:t>
            </w:r>
          </w:p>
        </w:tc>
        <w:tc>
          <w:tcPr>
            <w:tcW w:w="1132" w:type="dxa"/>
          </w:tcPr>
          <w:p w14:paraId="226F660B" w14:textId="77777777" w:rsidR="008715BE" w:rsidRPr="00EC75B7" w:rsidRDefault="008715BE">
            <w:pPr>
              <w:pStyle w:val="TableParagraph"/>
              <w:rPr>
                <w:rFonts w:ascii="Verdana" w:hAnsi="Verdana"/>
                <w:b/>
                <w:sz w:val="18"/>
                <w:szCs w:val="18"/>
              </w:rPr>
            </w:pPr>
          </w:p>
          <w:p w14:paraId="26AA7470" w14:textId="77777777" w:rsidR="008715BE" w:rsidRPr="00EC75B7" w:rsidRDefault="008715BE">
            <w:pPr>
              <w:pStyle w:val="TableParagraph"/>
              <w:rPr>
                <w:rFonts w:ascii="Verdana" w:hAnsi="Verdana"/>
                <w:b/>
                <w:sz w:val="18"/>
                <w:szCs w:val="18"/>
              </w:rPr>
            </w:pPr>
          </w:p>
          <w:p w14:paraId="7441A841" w14:textId="77777777" w:rsidR="008715BE" w:rsidRPr="00EC75B7" w:rsidRDefault="008715BE">
            <w:pPr>
              <w:pStyle w:val="TableParagraph"/>
              <w:rPr>
                <w:rFonts w:ascii="Verdana" w:hAnsi="Verdana"/>
                <w:b/>
                <w:sz w:val="18"/>
                <w:szCs w:val="18"/>
              </w:rPr>
            </w:pPr>
          </w:p>
          <w:p w14:paraId="15E0AEF7" w14:textId="77777777" w:rsidR="008715BE" w:rsidRPr="00EC75B7" w:rsidRDefault="008715BE">
            <w:pPr>
              <w:pStyle w:val="TableParagraph"/>
              <w:rPr>
                <w:rFonts w:ascii="Verdana" w:hAnsi="Verdana"/>
                <w:b/>
                <w:sz w:val="18"/>
                <w:szCs w:val="18"/>
              </w:rPr>
            </w:pPr>
          </w:p>
          <w:p w14:paraId="67A4FC31" w14:textId="77777777" w:rsidR="008715BE" w:rsidRPr="00EC75B7" w:rsidRDefault="008715BE">
            <w:pPr>
              <w:pStyle w:val="TableParagraph"/>
              <w:rPr>
                <w:rFonts w:ascii="Verdana" w:hAnsi="Verdana"/>
                <w:b/>
                <w:sz w:val="18"/>
                <w:szCs w:val="18"/>
              </w:rPr>
            </w:pPr>
          </w:p>
          <w:p w14:paraId="3F6BC210" w14:textId="77777777" w:rsidR="008715BE" w:rsidRPr="00EC75B7" w:rsidRDefault="008715BE">
            <w:pPr>
              <w:pStyle w:val="TableParagraph"/>
              <w:rPr>
                <w:rFonts w:ascii="Verdana" w:hAnsi="Verdana"/>
                <w:b/>
                <w:sz w:val="18"/>
                <w:szCs w:val="18"/>
              </w:rPr>
            </w:pPr>
          </w:p>
          <w:p w14:paraId="2400A69F" w14:textId="77777777" w:rsidR="008715BE" w:rsidRPr="00EC75B7" w:rsidRDefault="008715BE">
            <w:pPr>
              <w:pStyle w:val="TableParagraph"/>
              <w:rPr>
                <w:rFonts w:ascii="Verdana" w:hAnsi="Verdana"/>
                <w:b/>
                <w:sz w:val="18"/>
                <w:szCs w:val="18"/>
              </w:rPr>
            </w:pPr>
          </w:p>
          <w:p w14:paraId="4804EE30" w14:textId="77777777" w:rsidR="008715BE" w:rsidRPr="00EC75B7" w:rsidRDefault="008715BE">
            <w:pPr>
              <w:pStyle w:val="TableParagraph"/>
              <w:spacing w:before="90"/>
              <w:rPr>
                <w:rFonts w:ascii="Verdana" w:hAnsi="Verdana"/>
                <w:b/>
                <w:sz w:val="18"/>
                <w:szCs w:val="18"/>
              </w:rPr>
            </w:pPr>
          </w:p>
          <w:p w14:paraId="00328BC5" w14:textId="77777777" w:rsidR="008715BE" w:rsidRPr="00EC75B7" w:rsidRDefault="00000000">
            <w:pPr>
              <w:pStyle w:val="TableParagraph"/>
              <w:spacing w:before="1"/>
              <w:ind w:left="106"/>
              <w:rPr>
                <w:rFonts w:ascii="Verdana" w:hAnsi="Verdana"/>
                <w:sz w:val="18"/>
                <w:szCs w:val="18"/>
              </w:rPr>
            </w:pPr>
            <w:r w:rsidRPr="00EC75B7">
              <w:rPr>
                <w:rFonts w:ascii="Verdana" w:hAnsi="Verdana"/>
                <w:sz w:val="18"/>
                <w:szCs w:val="18"/>
              </w:rPr>
              <w:t xml:space="preserve">RA1, </w:t>
            </w:r>
            <w:r w:rsidRPr="00EC75B7">
              <w:rPr>
                <w:rFonts w:ascii="Verdana" w:hAnsi="Verdana"/>
                <w:spacing w:val="-5"/>
                <w:sz w:val="18"/>
                <w:szCs w:val="18"/>
              </w:rPr>
              <w:t>RA5</w:t>
            </w:r>
          </w:p>
        </w:tc>
        <w:tc>
          <w:tcPr>
            <w:tcW w:w="5059" w:type="dxa"/>
          </w:tcPr>
          <w:p w14:paraId="2E28C05C" w14:textId="77777777" w:rsidR="008715BE" w:rsidRPr="00EC75B7" w:rsidRDefault="00000000">
            <w:pPr>
              <w:pStyle w:val="TableParagraph"/>
              <w:spacing w:before="1"/>
              <w:ind w:left="110" w:right="92"/>
              <w:jc w:val="both"/>
              <w:rPr>
                <w:rFonts w:ascii="Verdana" w:hAnsi="Verdana"/>
                <w:sz w:val="18"/>
                <w:szCs w:val="18"/>
              </w:rPr>
            </w:pPr>
            <w:r w:rsidRPr="00EC75B7">
              <w:rPr>
                <w:rFonts w:ascii="Verdana" w:hAnsi="Verdana"/>
                <w:sz w:val="18"/>
                <w:szCs w:val="18"/>
              </w:rPr>
              <w:t>Installation of underground cable protection systems, including pipes and mechanical protection layers, as well as erosion protection solutions, so that the electrical infrastructure is protected against the effects of water, soil washing, and friction caused by surface runoff.</w:t>
            </w:r>
          </w:p>
          <w:p w14:paraId="6C686150" w14:textId="77777777" w:rsidR="008715BE" w:rsidRPr="00EC75B7" w:rsidRDefault="00000000">
            <w:pPr>
              <w:pStyle w:val="TableParagraph"/>
              <w:ind w:left="110" w:right="93"/>
              <w:jc w:val="both"/>
              <w:rPr>
                <w:rFonts w:ascii="Verdana" w:hAnsi="Verdana"/>
                <w:sz w:val="18"/>
                <w:szCs w:val="18"/>
              </w:rPr>
            </w:pPr>
            <w:r w:rsidRPr="00EC75B7">
              <w:rPr>
                <w:rFonts w:ascii="Verdana" w:hAnsi="Verdana"/>
                <w:sz w:val="18"/>
                <w:szCs w:val="18"/>
              </w:rPr>
              <w:t xml:space="preserve">Application of land stabilization measures on sloping surfaces, such as terracing, use of anti-erosion blankets, slope reinforcement, and drainage systems, in order to reduce the risk of erosion and landslides during </w:t>
            </w:r>
            <w:r w:rsidRPr="00EC75B7">
              <w:rPr>
                <w:rFonts w:ascii="Verdana" w:hAnsi="Verdana"/>
                <w:spacing w:val="-2"/>
                <w:sz w:val="18"/>
                <w:szCs w:val="18"/>
              </w:rPr>
              <w:t>heavy</w:t>
            </w:r>
            <w:r w:rsidRPr="00EC75B7">
              <w:rPr>
                <w:rFonts w:ascii="Verdana" w:hAnsi="Verdana"/>
                <w:sz w:val="18"/>
                <w:szCs w:val="18"/>
              </w:rPr>
              <w:t xml:space="preserve"> rainfall</w:t>
            </w:r>
            <w:r w:rsidRPr="00EC75B7">
              <w:rPr>
                <w:rFonts w:ascii="Verdana" w:hAnsi="Verdana"/>
                <w:spacing w:val="-2"/>
                <w:sz w:val="18"/>
                <w:szCs w:val="18"/>
              </w:rPr>
              <w:t>.</w:t>
            </w:r>
          </w:p>
          <w:p w14:paraId="7B6A24C2" w14:textId="77777777" w:rsidR="008715BE" w:rsidRPr="00EC75B7" w:rsidRDefault="00000000">
            <w:pPr>
              <w:pStyle w:val="TableParagraph"/>
              <w:ind w:left="110" w:right="92"/>
              <w:jc w:val="both"/>
              <w:rPr>
                <w:rFonts w:ascii="Verdana" w:hAnsi="Verdana"/>
                <w:sz w:val="18"/>
                <w:szCs w:val="18"/>
              </w:rPr>
            </w:pPr>
            <w:r w:rsidRPr="00EC75B7">
              <w:rPr>
                <w:rFonts w:ascii="Verdana" w:hAnsi="Verdana"/>
                <w:sz w:val="18"/>
                <w:szCs w:val="18"/>
              </w:rPr>
              <w:t xml:space="preserve">Implementation of environmentally friendly erosion protection solutions for onshore wind turbine foundations, including vegetation restoration, use of permeable materials and nature-based solutions to ensure long-term stability of foundations and </w:t>
            </w:r>
            <w:r w:rsidRPr="00EC75B7">
              <w:rPr>
                <w:rFonts w:ascii="Verdana" w:hAnsi="Verdana"/>
                <w:spacing w:val="-2"/>
                <w:sz w:val="18"/>
                <w:szCs w:val="18"/>
              </w:rPr>
              <w:t>their integration</w:t>
            </w:r>
          </w:p>
          <w:p w14:paraId="3211197E" w14:textId="77777777" w:rsidR="008715BE" w:rsidRPr="00EC75B7" w:rsidRDefault="00000000">
            <w:pPr>
              <w:pStyle w:val="TableParagraph"/>
              <w:spacing w:line="171" w:lineRule="exact"/>
              <w:ind w:left="110"/>
              <w:jc w:val="both"/>
              <w:rPr>
                <w:rFonts w:ascii="Verdana" w:hAnsi="Verdana"/>
                <w:sz w:val="18"/>
                <w:szCs w:val="18"/>
              </w:rPr>
            </w:pPr>
            <w:r w:rsidRPr="00EC75B7">
              <w:rPr>
                <w:rFonts w:ascii="Verdana" w:hAnsi="Verdana"/>
                <w:sz w:val="18"/>
                <w:szCs w:val="18"/>
              </w:rPr>
              <w:t xml:space="preserve">them into the </w:t>
            </w:r>
            <w:r w:rsidRPr="00EC75B7">
              <w:rPr>
                <w:rFonts w:ascii="Verdana" w:hAnsi="Verdana"/>
                <w:spacing w:val="-2"/>
                <w:sz w:val="18"/>
                <w:szCs w:val="18"/>
              </w:rPr>
              <w:t xml:space="preserve">surrounding </w:t>
            </w:r>
            <w:r w:rsidRPr="00EC75B7">
              <w:rPr>
                <w:rFonts w:ascii="Verdana" w:hAnsi="Verdana"/>
                <w:sz w:val="18"/>
                <w:szCs w:val="18"/>
              </w:rPr>
              <w:t>environment</w:t>
            </w:r>
            <w:r w:rsidRPr="00EC75B7">
              <w:rPr>
                <w:rFonts w:ascii="Verdana" w:hAnsi="Verdana"/>
                <w:spacing w:val="-2"/>
                <w:sz w:val="18"/>
                <w:szCs w:val="18"/>
              </w:rPr>
              <w:t>.</w:t>
            </w:r>
          </w:p>
        </w:tc>
        <w:tc>
          <w:tcPr>
            <w:tcW w:w="3545" w:type="dxa"/>
          </w:tcPr>
          <w:p w14:paraId="550BC9B8" w14:textId="77777777" w:rsidR="008715BE" w:rsidRPr="00EC75B7" w:rsidRDefault="008715BE">
            <w:pPr>
              <w:pStyle w:val="TableParagraph"/>
              <w:rPr>
                <w:rFonts w:ascii="Verdana" w:hAnsi="Verdana"/>
                <w:b/>
                <w:sz w:val="18"/>
                <w:szCs w:val="18"/>
              </w:rPr>
            </w:pPr>
          </w:p>
          <w:p w14:paraId="4046749B" w14:textId="77777777" w:rsidR="008715BE" w:rsidRPr="00EC75B7" w:rsidRDefault="008715BE">
            <w:pPr>
              <w:pStyle w:val="TableParagraph"/>
              <w:rPr>
                <w:rFonts w:ascii="Verdana" w:hAnsi="Verdana"/>
                <w:b/>
                <w:sz w:val="18"/>
                <w:szCs w:val="18"/>
              </w:rPr>
            </w:pPr>
          </w:p>
          <w:p w14:paraId="69F43333" w14:textId="77777777" w:rsidR="008715BE" w:rsidRPr="00EC75B7" w:rsidRDefault="008715BE">
            <w:pPr>
              <w:pStyle w:val="TableParagraph"/>
              <w:rPr>
                <w:rFonts w:ascii="Verdana" w:hAnsi="Verdana"/>
                <w:b/>
                <w:sz w:val="18"/>
                <w:szCs w:val="18"/>
              </w:rPr>
            </w:pPr>
          </w:p>
          <w:p w14:paraId="585D2403" w14:textId="77777777" w:rsidR="008715BE" w:rsidRPr="00EC75B7" w:rsidRDefault="008715BE">
            <w:pPr>
              <w:pStyle w:val="TableParagraph"/>
              <w:rPr>
                <w:rFonts w:ascii="Verdana" w:hAnsi="Verdana"/>
                <w:b/>
                <w:sz w:val="18"/>
                <w:szCs w:val="18"/>
              </w:rPr>
            </w:pPr>
          </w:p>
          <w:p w14:paraId="083B63EE" w14:textId="77777777" w:rsidR="008715BE" w:rsidRPr="00EC75B7" w:rsidRDefault="008715BE">
            <w:pPr>
              <w:pStyle w:val="TableParagraph"/>
              <w:rPr>
                <w:rFonts w:ascii="Verdana" w:hAnsi="Verdana"/>
                <w:b/>
                <w:sz w:val="18"/>
                <w:szCs w:val="18"/>
              </w:rPr>
            </w:pPr>
          </w:p>
          <w:p w14:paraId="697556F5" w14:textId="77777777" w:rsidR="008715BE" w:rsidRPr="00EC75B7" w:rsidRDefault="008715BE">
            <w:pPr>
              <w:pStyle w:val="TableParagraph"/>
              <w:rPr>
                <w:rFonts w:ascii="Verdana" w:hAnsi="Verdana"/>
                <w:b/>
                <w:sz w:val="18"/>
                <w:szCs w:val="18"/>
              </w:rPr>
            </w:pPr>
          </w:p>
          <w:p w14:paraId="5595E95E" w14:textId="77777777" w:rsidR="008715BE" w:rsidRPr="00EC75B7" w:rsidRDefault="008715BE">
            <w:pPr>
              <w:pStyle w:val="TableParagraph"/>
              <w:spacing w:before="190"/>
              <w:rPr>
                <w:rFonts w:ascii="Verdana" w:hAnsi="Verdana"/>
                <w:b/>
                <w:sz w:val="18"/>
                <w:szCs w:val="18"/>
              </w:rPr>
            </w:pPr>
          </w:p>
          <w:p w14:paraId="7326985B" w14:textId="421A6C5A"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monitoring of the level</w:t>
            </w:r>
            <w:r w:rsidRPr="00EC75B7">
              <w:rPr>
                <w:rFonts w:ascii="Verdana" w:hAnsi="Verdana"/>
                <w:spacing w:val="44"/>
                <w:sz w:val="18"/>
                <w:szCs w:val="18"/>
              </w:rPr>
              <w:t xml:space="preserve">  </w:t>
            </w:r>
            <w:r w:rsidRPr="00EC75B7">
              <w:rPr>
                <w:rFonts w:ascii="Verdana" w:hAnsi="Verdana"/>
                <w:sz w:val="18"/>
                <w:szCs w:val="18"/>
              </w:rPr>
              <w:t xml:space="preserve"> of</w:t>
            </w:r>
            <w:r w:rsidRPr="00EC75B7">
              <w:rPr>
                <w:rFonts w:ascii="Verdana" w:hAnsi="Verdana"/>
                <w:spacing w:val="45"/>
                <w:sz w:val="18"/>
                <w:szCs w:val="18"/>
              </w:rPr>
              <w:t xml:space="preserve">  </w:t>
            </w:r>
            <w:r w:rsidRPr="00EC75B7">
              <w:rPr>
                <w:rFonts w:ascii="Verdana" w:hAnsi="Verdana"/>
                <w:sz w:val="18"/>
                <w:szCs w:val="18"/>
              </w:rPr>
              <w:t xml:space="preserve"> drainage</w:t>
            </w:r>
            <w:r w:rsidRPr="00EC75B7">
              <w:rPr>
                <w:rFonts w:ascii="Verdana" w:hAnsi="Verdana"/>
                <w:spacing w:val="45"/>
                <w:sz w:val="18"/>
                <w:szCs w:val="18"/>
              </w:rPr>
              <w:t xml:space="preserve">  </w:t>
            </w:r>
            <w:r w:rsidRPr="00EC75B7">
              <w:rPr>
                <w:rFonts w:ascii="Verdana" w:hAnsi="Verdana"/>
                <w:spacing w:val="-5"/>
                <w:sz w:val="18"/>
                <w:szCs w:val="18"/>
              </w:rPr>
              <w:t xml:space="preserve"> of</w:t>
            </w:r>
          </w:p>
          <w:p w14:paraId="2AAFD9C4"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areas within the </w:t>
            </w:r>
            <w:r w:rsidRPr="00EC75B7">
              <w:rPr>
                <w:rFonts w:ascii="Verdana" w:hAnsi="Verdana"/>
                <w:spacing w:val="-2"/>
                <w:sz w:val="18"/>
                <w:szCs w:val="18"/>
              </w:rPr>
              <w:t>site</w:t>
            </w:r>
          </w:p>
        </w:tc>
      </w:tr>
      <w:tr w:rsidR="008715BE" w:rsidRPr="00EC75B7" w14:paraId="3BCEF309" w14:textId="77777777">
        <w:trPr>
          <w:trHeight w:val="2916"/>
        </w:trPr>
        <w:tc>
          <w:tcPr>
            <w:tcW w:w="2542" w:type="dxa"/>
          </w:tcPr>
          <w:p w14:paraId="7747C589" w14:textId="77777777" w:rsidR="008715BE" w:rsidRPr="00EC75B7" w:rsidRDefault="008715BE">
            <w:pPr>
              <w:pStyle w:val="TableParagraph"/>
              <w:rPr>
                <w:rFonts w:ascii="Verdana" w:hAnsi="Verdana"/>
                <w:b/>
                <w:sz w:val="18"/>
                <w:szCs w:val="18"/>
              </w:rPr>
            </w:pPr>
          </w:p>
          <w:p w14:paraId="177201BF" w14:textId="77777777" w:rsidR="008715BE" w:rsidRPr="00EC75B7" w:rsidRDefault="008715BE">
            <w:pPr>
              <w:pStyle w:val="TableParagraph"/>
              <w:rPr>
                <w:rFonts w:ascii="Verdana" w:hAnsi="Verdana"/>
                <w:b/>
                <w:sz w:val="18"/>
                <w:szCs w:val="18"/>
              </w:rPr>
            </w:pPr>
          </w:p>
          <w:p w14:paraId="0BB9C24C" w14:textId="77777777" w:rsidR="008715BE" w:rsidRPr="00EC75B7" w:rsidRDefault="008715BE">
            <w:pPr>
              <w:pStyle w:val="TableParagraph"/>
              <w:rPr>
                <w:rFonts w:ascii="Verdana" w:hAnsi="Verdana"/>
                <w:b/>
                <w:sz w:val="18"/>
                <w:szCs w:val="18"/>
              </w:rPr>
            </w:pPr>
          </w:p>
          <w:p w14:paraId="705FA324" w14:textId="77777777" w:rsidR="008715BE" w:rsidRPr="00EC75B7" w:rsidRDefault="008715BE">
            <w:pPr>
              <w:pStyle w:val="TableParagraph"/>
              <w:rPr>
                <w:rFonts w:ascii="Verdana" w:hAnsi="Verdana"/>
                <w:b/>
                <w:sz w:val="18"/>
                <w:szCs w:val="18"/>
              </w:rPr>
            </w:pPr>
          </w:p>
          <w:p w14:paraId="20028B80" w14:textId="77777777" w:rsidR="008715BE" w:rsidRPr="00EC75B7" w:rsidRDefault="008715BE">
            <w:pPr>
              <w:pStyle w:val="TableParagraph"/>
              <w:rPr>
                <w:rFonts w:ascii="Verdana" w:hAnsi="Verdana"/>
                <w:b/>
                <w:sz w:val="18"/>
                <w:szCs w:val="18"/>
              </w:rPr>
            </w:pPr>
          </w:p>
          <w:p w14:paraId="1CAE64E0" w14:textId="77777777" w:rsidR="008715BE" w:rsidRPr="00EC75B7" w:rsidRDefault="008715BE">
            <w:pPr>
              <w:pStyle w:val="TableParagraph"/>
              <w:spacing w:before="188"/>
              <w:rPr>
                <w:rFonts w:ascii="Verdana" w:hAnsi="Verdana"/>
                <w:b/>
                <w:sz w:val="18"/>
                <w:szCs w:val="18"/>
              </w:rPr>
            </w:pPr>
          </w:p>
          <w:p w14:paraId="6960A1C4"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Fire </w:t>
            </w:r>
            <w:r w:rsidRPr="00EC75B7">
              <w:rPr>
                <w:rFonts w:ascii="Verdana" w:hAnsi="Verdana"/>
                <w:spacing w:val="-2"/>
                <w:sz w:val="18"/>
                <w:szCs w:val="18"/>
              </w:rPr>
              <w:t>Vegetation</w:t>
            </w:r>
          </w:p>
        </w:tc>
        <w:tc>
          <w:tcPr>
            <w:tcW w:w="422" w:type="dxa"/>
          </w:tcPr>
          <w:p w14:paraId="3B2AC57A" w14:textId="77777777" w:rsidR="008715BE" w:rsidRPr="00EC75B7" w:rsidRDefault="008715BE">
            <w:pPr>
              <w:pStyle w:val="TableParagraph"/>
              <w:rPr>
                <w:rFonts w:ascii="Verdana" w:hAnsi="Verdana"/>
                <w:b/>
                <w:sz w:val="18"/>
                <w:szCs w:val="18"/>
              </w:rPr>
            </w:pPr>
          </w:p>
          <w:p w14:paraId="72E6BB06" w14:textId="77777777" w:rsidR="008715BE" w:rsidRPr="00EC75B7" w:rsidRDefault="008715BE">
            <w:pPr>
              <w:pStyle w:val="TableParagraph"/>
              <w:rPr>
                <w:rFonts w:ascii="Verdana" w:hAnsi="Verdana"/>
                <w:b/>
                <w:sz w:val="18"/>
                <w:szCs w:val="18"/>
              </w:rPr>
            </w:pPr>
          </w:p>
          <w:p w14:paraId="18A1CFFD" w14:textId="77777777" w:rsidR="008715BE" w:rsidRPr="00EC75B7" w:rsidRDefault="008715BE">
            <w:pPr>
              <w:pStyle w:val="TableParagraph"/>
              <w:rPr>
                <w:rFonts w:ascii="Verdana" w:hAnsi="Verdana"/>
                <w:b/>
                <w:sz w:val="18"/>
                <w:szCs w:val="18"/>
              </w:rPr>
            </w:pPr>
          </w:p>
          <w:p w14:paraId="12B4EBAA" w14:textId="77777777" w:rsidR="008715BE" w:rsidRPr="00EC75B7" w:rsidRDefault="008715BE">
            <w:pPr>
              <w:pStyle w:val="TableParagraph"/>
              <w:rPr>
                <w:rFonts w:ascii="Verdana" w:hAnsi="Verdana"/>
                <w:b/>
                <w:sz w:val="18"/>
                <w:szCs w:val="18"/>
              </w:rPr>
            </w:pPr>
          </w:p>
          <w:p w14:paraId="41C18890" w14:textId="77777777" w:rsidR="008715BE" w:rsidRPr="00EC75B7" w:rsidRDefault="008715BE">
            <w:pPr>
              <w:pStyle w:val="TableParagraph"/>
              <w:rPr>
                <w:rFonts w:ascii="Verdana" w:hAnsi="Verdana"/>
                <w:b/>
                <w:sz w:val="18"/>
                <w:szCs w:val="18"/>
              </w:rPr>
            </w:pPr>
          </w:p>
          <w:p w14:paraId="38A0D1CE" w14:textId="77777777" w:rsidR="008715BE" w:rsidRPr="00EC75B7" w:rsidRDefault="008715BE">
            <w:pPr>
              <w:pStyle w:val="TableParagraph"/>
              <w:spacing w:before="188"/>
              <w:rPr>
                <w:rFonts w:ascii="Verdana" w:hAnsi="Verdana"/>
                <w:b/>
                <w:sz w:val="18"/>
                <w:szCs w:val="18"/>
              </w:rPr>
            </w:pPr>
          </w:p>
          <w:p w14:paraId="0C9DAF58"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22" w:type="dxa"/>
          </w:tcPr>
          <w:p w14:paraId="185C7ED7" w14:textId="77777777" w:rsidR="008715BE" w:rsidRPr="00EC75B7" w:rsidRDefault="008715BE">
            <w:pPr>
              <w:pStyle w:val="TableParagraph"/>
              <w:rPr>
                <w:rFonts w:ascii="Verdana" w:hAnsi="Verdana"/>
                <w:b/>
                <w:sz w:val="18"/>
                <w:szCs w:val="18"/>
              </w:rPr>
            </w:pPr>
          </w:p>
          <w:p w14:paraId="2F7AB69A" w14:textId="77777777" w:rsidR="008715BE" w:rsidRPr="00EC75B7" w:rsidRDefault="008715BE">
            <w:pPr>
              <w:pStyle w:val="TableParagraph"/>
              <w:rPr>
                <w:rFonts w:ascii="Verdana" w:hAnsi="Verdana"/>
                <w:b/>
                <w:sz w:val="18"/>
                <w:szCs w:val="18"/>
              </w:rPr>
            </w:pPr>
          </w:p>
          <w:p w14:paraId="11BC0A24" w14:textId="77777777" w:rsidR="008715BE" w:rsidRPr="00EC75B7" w:rsidRDefault="008715BE">
            <w:pPr>
              <w:pStyle w:val="TableParagraph"/>
              <w:rPr>
                <w:rFonts w:ascii="Verdana" w:hAnsi="Verdana"/>
                <w:b/>
                <w:sz w:val="18"/>
                <w:szCs w:val="18"/>
              </w:rPr>
            </w:pPr>
          </w:p>
          <w:p w14:paraId="75DDB289" w14:textId="77777777" w:rsidR="008715BE" w:rsidRPr="00EC75B7" w:rsidRDefault="008715BE">
            <w:pPr>
              <w:pStyle w:val="TableParagraph"/>
              <w:rPr>
                <w:rFonts w:ascii="Verdana" w:hAnsi="Verdana"/>
                <w:b/>
                <w:sz w:val="18"/>
                <w:szCs w:val="18"/>
              </w:rPr>
            </w:pPr>
          </w:p>
          <w:p w14:paraId="55171918" w14:textId="77777777" w:rsidR="008715BE" w:rsidRPr="00EC75B7" w:rsidRDefault="008715BE">
            <w:pPr>
              <w:pStyle w:val="TableParagraph"/>
              <w:rPr>
                <w:rFonts w:ascii="Verdana" w:hAnsi="Verdana"/>
                <w:b/>
                <w:sz w:val="18"/>
                <w:szCs w:val="18"/>
              </w:rPr>
            </w:pPr>
          </w:p>
          <w:p w14:paraId="722A9A23" w14:textId="77777777" w:rsidR="008715BE" w:rsidRPr="00EC75B7" w:rsidRDefault="008715BE">
            <w:pPr>
              <w:pStyle w:val="TableParagraph"/>
              <w:spacing w:before="188"/>
              <w:rPr>
                <w:rFonts w:ascii="Verdana" w:hAnsi="Verdana"/>
                <w:b/>
                <w:sz w:val="18"/>
                <w:szCs w:val="18"/>
              </w:rPr>
            </w:pPr>
          </w:p>
          <w:p w14:paraId="67682A8C"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10"/>
                <w:sz w:val="18"/>
                <w:szCs w:val="18"/>
              </w:rPr>
              <w:t>4</w:t>
            </w:r>
          </w:p>
        </w:tc>
        <w:tc>
          <w:tcPr>
            <w:tcW w:w="439" w:type="dxa"/>
            <w:tcBorders>
              <w:top w:val="nil"/>
            </w:tcBorders>
            <w:shd w:val="clear" w:color="auto" w:fill="FAB48D"/>
          </w:tcPr>
          <w:p w14:paraId="22352430" w14:textId="77777777" w:rsidR="008715BE" w:rsidRPr="00EC75B7" w:rsidRDefault="008715BE">
            <w:pPr>
              <w:pStyle w:val="TableParagraph"/>
              <w:rPr>
                <w:rFonts w:ascii="Verdana" w:hAnsi="Verdana"/>
                <w:b/>
                <w:sz w:val="18"/>
                <w:szCs w:val="18"/>
              </w:rPr>
            </w:pPr>
          </w:p>
          <w:p w14:paraId="6BBA0B6B" w14:textId="77777777" w:rsidR="008715BE" w:rsidRPr="00EC75B7" w:rsidRDefault="008715BE">
            <w:pPr>
              <w:pStyle w:val="TableParagraph"/>
              <w:rPr>
                <w:rFonts w:ascii="Verdana" w:hAnsi="Verdana"/>
                <w:b/>
                <w:sz w:val="18"/>
                <w:szCs w:val="18"/>
              </w:rPr>
            </w:pPr>
          </w:p>
          <w:p w14:paraId="5B54FABC" w14:textId="77777777" w:rsidR="008715BE" w:rsidRPr="00EC75B7" w:rsidRDefault="008715BE">
            <w:pPr>
              <w:pStyle w:val="TableParagraph"/>
              <w:rPr>
                <w:rFonts w:ascii="Verdana" w:hAnsi="Verdana"/>
                <w:b/>
                <w:sz w:val="18"/>
                <w:szCs w:val="18"/>
              </w:rPr>
            </w:pPr>
          </w:p>
          <w:p w14:paraId="6623E9AB" w14:textId="77777777" w:rsidR="008715BE" w:rsidRPr="00EC75B7" w:rsidRDefault="008715BE">
            <w:pPr>
              <w:pStyle w:val="TableParagraph"/>
              <w:spacing w:before="240"/>
              <w:rPr>
                <w:rFonts w:ascii="Verdana" w:hAnsi="Verdana"/>
                <w:b/>
                <w:sz w:val="18"/>
                <w:szCs w:val="18"/>
              </w:rPr>
            </w:pPr>
          </w:p>
          <w:p w14:paraId="0AC82A21" w14:textId="77777777" w:rsidR="008715BE" w:rsidRPr="00EC75B7" w:rsidRDefault="00000000">
            <w:pPr>
              <w:pStyle w:val="TableParagraph"/>
              <w:ind w:left="13"/>
              <w:jc w:val="center"/>
              <w:rPr>
                <w:rFonts w:ascii="Verdana" w:hAnsi="Verdana"/>
                <w:sz w:val="18"/>
                <w:szCs w:val="18"/>
              </w:rPr>
            </w:pPr>
            <w:r w:rsidRPr="00EC75B7">
              <w:rPr>
                <w:rFonts w:ascii="Verdana" w:hAnsi="Verdana"/>
                <w:spacing w:val="-5"/>
                <w:sz w:val="18"/>
                <w:szCs w:val="18"/>
              </w:rPr>
              <w:t>12</w:t>
            </w:r>
          </w:p>
        </w:tc>
        <w:tc>
          <w:tcPr>
            <w:tcW w:w="893" w:type="dxa"/>
          </w:tcPr>
          <w:p w14:paraId="3C04E1C5" w14:textId="77777777" w:rsidR="008715BE" w:rsidRPr="00EC75B7" w:rsidRDefault="008715BE">
            <w:pPr>
              <w:pStyle w:val="TableParagraph"/>
              <w:rPr>
                <w:rFonts w:ascii="Verdana" w:hAnsi="Verdana"/>
                <w:b/>
                <w:sz w:val="18"/>
                <w:szCs w:val="18"/>
              </w:rPr>
            </w:pPr>
          </w:p>
          <w:p w14:paraId="22561BBC" w14:textId="77777777" w:rsidR="008715BE" w:rsidRPr="00EC75B7" w:rsidRDefault="008715BE">
            <w:pPr>
              <w:pStyle w:val="TableParagraph"/>
              <w:rPr>
                <w:rFonts w:ascii="Verdana" w:hAnsi="Verdana"/>
                <w:b/>
                <w:sz w:val="18"/>
                <w:szCs w:val="18"/>
              </w:rPr>
            </w:pPr>
          </w:p>
          <w:p w14:paraId="5C72B49E" w14:textId="77777777" w:rsidR="008715BE" w:rsidRPr="00EC75B7" w:rsidRDefault="008715BE">
            <w:pPr>
              <w:pStyle w:val="TableParagraph"/>
              <w:rPr>
                <w:rFonts w:ascii="Verdana" w:hAnsi="Verdana"/>
                <w:b/>
                <w:sz w:val="18"/>
                <w:szCs w:val="18"/>
              </w:rPr>
            </w:pPr>
          </w:p>
          <w:p w14:paraId="3787E984" w14:textId="77777777" w:rsidR="008715BE" w:rsidRPr="00EC75B7" w:rsidRDefault="008715BE">
            <w:pPr>
              <w:pStyle w:val="TableParagraph"/>
              <w:rPr>
                <w:rFonts w:ascii="Verdana" w:hAnsi="Verdana"/>
                <w:b/>
                <w:sz w:val="18"/>
                <w:szCs w:val="18"/>
              </w:rPr>
            </w:pPr>
          </w:p>
          <w:p w14:paraId="741637CE" w14:textId="77777777" w:rsidR="008715BE" w:rsidRPr="00EC75B7" w:rsidRDefault="008715BE">
            <w:pPr>
              <w:pStyle w:val="TableParagraph"/>
              <w:rPr>
                <w:rFonts w:ascii="Verdana" w:hAnsi="Verdana"/>
                <w:b/>
                <w:sz w:val="18"/>
                <w:szCs w:val="18"/>
              </w:rPr>
            </w:pPr>
          </w:p>
          <w:p w14:paraId="1367C549" w14:textId="77777777" w:rsidR="008715BE" w:rsidRPr="00EC75B7" w:rsidRDefault="008715BE">
            <w:pPr>
              <w:pStyle w:val="TableParagraph"/>
              <w:spacing w:before="188"/>
              <w:rPr>
                <w:rFonts w:ascii="Verdana" w:hAnsi="Verdana"/>
                <w:b/>
                <w:sz w:val="18"/>
                <w:szCs w:val="18"/>
              </w:rPr>
            </w:pPr>
          </w:p>
          <w:p w14:paraId="0F084748" w14:textId="77777777" w:rsidR="008715BE" w:rsidRPr="00EC75B7" w:rsidRDefault="00000000">
            <w:pPr>
              <w:pStyle w:val="TableParagraph"/>
              <w:ind w:left="16" w:right="4"/>
              <w:jc w:val="center"/>
              <w:rPr>
                <w:rFonts w:ascii="Verdana" w:hAnsi="Verdana"/>
                <w:sz w:val="18"/>
                <w:szCs w:val="18"/>
              </w:rPr>
            </w:pPr>
            <w:r w:rsidRPr="00EC75B7">
              <w:rPr>
                <w:rFonts w:ascii="Verdana" w:hAnsi="Verdana"/>
                <w:spacing w:val="-2"/>
                <w:sz w:val="18"/>
                <w:szCs w:val="18"/>
              </w:rPr>
              <w:t>High</w:t>
            </w:r>
          </w:p>
        </w:tc>
        <w:tc>
          <w:tcPr>
            <w:tcW w:w="1132" w:type="dxa"/>
          </w:tcPr>
          <w:p w14:paraId="4BA34CC1" w14:textId="77777777" w:rsidR="008715BE" w:rsidRPr="00EC75B7" w:rsidRDefault="008715BE">
            <w:pPr>
              <w:pStyle w:val="TableParagraph"/>
              <w:rPr>
                <w:rFonts w:ascii="Verdana" w:hAnsi="Verdana"/>
                <w:b/>
                <w:sz w:val="18"/>
                <w:szCs w:val="18"/>
              </w:rPr>
            </w:pPr>
          </w:p>
          <w:p w14:paraId="52C45969" w14:textId="77777777" w:rsidR="008715BE" w:rsidRPr="00EC75B7" w:rsidRDefault="008715BE">
            <w:pPr>
              <w:pStyle w:val="TableParagraph"/>
              <w:rPr>
                <w:rFonts w:ascii="Verdana" w:hAnsi="Verdana"/>
                <w:b/>
                <w:sz w:val="18"/>
                <w:szCs w:val="18"/>
              </w:rPr>
            </w:pPr>
          </w:p>
          <w:p w14:paraId="51A6EE0E" w14:textId="77777777" w:rsidR="008715BE" w:rsidRPr="00EC75B7" w:rsidRDefault="008715BE">
            <w:pPr>
              <w:pStyle w:val="TableParagraph"/>
              <w:rPr>
                <w:rFonts w:ascii="Verdana" w:hAnsi="Verdana"/>
                <w:b/>
                <w:sz w:val="18"/>
                <w:szCs w:val="18"/>
              </w:rPr>
            </w:pPr>
          </w:p>
          <w:p w14:paraId="0C0771EB" w14:textId="77777777" w:rsidR="008715BE" w:rsidRPr="00EC75B7" w:rsidRDefault="008715BE">
            <w:pPr>
              <w:pStyle w:val="TableParagraph"/>
              <w:rPr>
                <w:rFonts w:ascii="Verdana" w:hAnsi="Verdana"/>
                <w:b/>
                <w:sz w:val="18"/>
                <w:szCs w:val="18"/>
              </w:rPr>
            </w:pPr>
          </w:p>
          <w:p w14:paraId="14AA0E41" w14:textId="77777777" w:rsidR="008715BE" w:rsidRPr="00EC75B7" w:rsidRDefault="008715BE">
            <w:pPr>
              <w:pStyle w:val="TableParagraph"/>
              <w:rPr>
                <w:rFonts w:ascii="Verdana" w:hAnsi="Verdana"/>
                <w:b/>
                <w:sz w:val="18"/>
                <w:szCs w:val="18"/>
              </w:rPr>
            </w:pPr>
          </w:p>
          <w:p w14:paraId="5AF18AD6" w14:textId="77777777" w:rsidR="008715BE" w:rsidRPr="00EC75B7" w:rsidRDefault="008715BE">
            <w:pPr>
              <w:pStyle w:val="TableParagraph"/>
              <w:spacing w:before="92"/>
              <w:rPr>
                <w:rFonts w:ascii="Verdana" w:hAnsi="Verdana"/>
                <w:b/>
                <w:sz w:val="18"/>
                <w:szCs w:val="18"/>
              </w:rPr>
            </w:pPr>
          </w:p>
          <w:p w14:paraId="7F68088F" w14:textId="77777777" w:rsidR="008715BE" w:rsidRPr="00EC75B7" w:rsidRDefault="00000000">
            <w:pPr>
              <w:pStyle w:val="TableParagraph"/>
              <w:ind w:left="106" w:right="193"/>
              <w:rPr>
                <w:rFonts w:ascii="Verdana" w:hAnsi="Verdana"/>
                <w:sz w:val="18"/>
                <w:szCs w:val="18"/>
              </w:rPr>
            </w:pPr>
            <w:r w:rsidRPr="00EC75B7">
              <w:rPr>
                <w:rFonts w:ascii="Verdana" w:hAnsi="Verdana"/>
                <w:spacing w:val="-2"/>
                <w:sz w:val="18"/>
                <w:szCs w:val="18"/>
              </w:rPr>
              <w:t xml:space="preserve">RA1, RA2, </w:t>
            </w:r>
            <w:r w:rsidRPr="00EC75B7">
              <w:rPr>
                <w:rFonts w:ascii="Verdana" w:hAnsi="Verdana"/>
                <w:sz w:val="18"/>
                <w:szCs w:val="18"/>
              </w:rPr>
              <w:t>RA3, RA6</w:t>
            </w:r>
          </w:p>
        </w:tc>
        <w:tc>
          <w:tcPr>
            <w:tcW w:w="5059" w:type="dxa"/>
          </w:tcPr>
          <w:p w14:paraId="551D4777" w14:textId="77777777" w:rsidR="008715BE" w:rsidRPr="00EC75B7" w:rsidRDefault="008715BE">
            <w:pPr>
              <w:pStyle w:val="TableParagraph"/>
              <w:rPr>
                <w:rFonts w:ascii="Verdana" w:hAnsi="Verdana"/>
                <w:b/>
                <w:sz w:val="18"/>
                <w:szCs w:val="18"/>
              </w:rPr>
            </w:pPr>
          </w:p>
          <w:p w14:paraId="5F4B8143" w14:textId="77777777" w:rsidR="008715BE" w:rsidRPr="00EC75B7" w:rsidRDefault="008715BE">
            <w:pPr>
              <w:pStyle w:val="TableParagraph"/>
              <w:rPr>
                <w:rFonts w:ascii="Verdana" w:hAnsi="Verdana"/>
                <w:b/>
                <w:sz w:val="18"/>
                <w:szCs w:val="18"/>
              </w:rPr>
            </w:pPr>
          </w:p>
          <w:p w14:paraId="6EAAC9CB" w14:textId="77777777" w:rsidR="008715BE" w:rsidRPr="00EC75B7" w:rsidRDefault="008715BE">
            <w:pPr>
              <w:pStyle w:val="TableParagraph"/>
              <w:spacing w:before="190"/>
              <w:rPr>
                <w:rFonts w:ascii="Verdana" w:hAnsi="Verdana"/>
                <w:b/>
                <w:sz w:val="18"/>
                <w:szCs w:val="18"/>
              </w:rPr>
            </w:pPr>
          </w:p>
          <w:p w14:paraId="290C6483" w14:textId="77777777" w:rsidR="008715BE" w:rsidRPr="00EC75B7" w:rsidRDefault="00000000">
            <w:pPr>
              <w:pStyle w:val="TableParagraph"/>
              <w:spacing w:before="1"/>
              <w:ind w:left="110" w:right="91"/>
              <w:jc w:val="both"/>
              <w:rPr>
                <w:rFonts w:ascii="Verdana" w:hAnsi="Verdana"/>
                <w:sz w:val="18"/>
                <w:szCs w:val="18"/>
              </w:rPr>
            </w:pPr>
            <w:r w:rsidRPr="00EC75B7">
              <w:rPr>
                <w:rFonts w:ascii="Verdana" w:hAnsi="Verdana"/>
                <w:sz w:val="18"/>
                <w:szCs w:val="18"/>
              </w:rPr>
              <w:t xml:space="preserve">Use of appropriate insulation materials and solutions for electricity transmission infrastructure, including cables and equipment designed for extreme weather conditions, in order to limit losses, protect against thermal stress, and increase the system's resilience to temperature variations and </w:t>
            </w:r>
            <w:r w:rsidRPr="00EC75B7">
              <w:rPr>
                <w:rFonts w:ascii="Verdana" w:hAnsi="Verdana"/>
                <w:spacing w:val="-2"/>
                <w:sz w:val="18"/>
                <w:szCs w:val="18"/>
              </w:rPr>
              <w:t>severe</w:t>
            </w:r>
            <w:r w:rsidRPr="00EC75B7">
              <w:rPr>
                <w:rFonts w:ascii="Verdana" w:hAnsi="Verdana"/>
                <w:sz w:val="18"/>
                <w:szCs w:val="18"/>
              </w:rPr>
              <w:t xml:space="preserve"> weather events</w:t>
            </w:r>
            <w:r w:rsidRPr="00EC75B7">
              <w:rPr>
                <w:rFonts w:ascii="Verdana" w:hAnsi="Verdana"/>
                <w:spacing w:val="-2"/>
                <w:sz w:val="18"/>
                <w:szCs w:val="18"/>
              </w:rPr>
              <w:t>.</w:t>
            </w:r>
          </w:p>
        </w:tc>
        <w:tc>
          <w:tcPr>
            <w:tcW w:w="3545" w:type="dxa"/>
          </w:tcPr>
          <w:p w14:paraId="5B78C17E" w14:textId="77777777" w:rsidR="008715BE" w:rsidRPr="00EC75B7" w:rsidRDefault="00000000">
            <w:pPr>
              <w:pStyle w:val="TableParagraph"/>
              <w:ind w:left="108" w:right="92"/>
              <w:jc w:val="both"/>
              <w:rPr>
                <w:rFonts w:ascii="Verdana" w:hAnsi="Verdana"/>
                <w:sz w:val="18"/>
                <w:szCs w:val="18"/>
              </w:rPr>
            </w:pPr>
            <w:r w:rsidRPr="00EC75B7">
              <w:rPr>
                <w:rFonts w:ascii="Verdana" w:hAnsi="Verdana"/>
                <w:sz w:val="18"/>
                <w:szCs w:val="18"/>
              </w:rPr>
              <w:t>Regular vegetation management and maintenance work in the turbine site area and along associated infrastructure routes to reduce the risk of vegetation fires, ensure operational access, and prevent damage to equipment.</w:t>
            </w:r>
          </w:p>
          <w:p w14:paraId="42A3D8B0" w14:textId="77777777" w:rsidR="008715BE" w:rsidRPr="00EC75B7" w:rsidRDefault="00000000">
            <w:pPr>
              <w:pStyle w:val="TableParagraph"/>
              <w:ind w:left="108" w:right="92"/>
              <w:jc w:val="both"/>
              <w:rPr>
                <w:rFonts w:ascii="Verdana" w:hAnsi="Verdana"/>
                <w:sz w:val="18"/>
                <w:szCs w:val="18"/>
              </w:rPr>
            </w:pPr>
            <w:r w:rsidRPr="00EC75B7">
              <w:rPr>
                <w:rFonts w:ascii="Verdana" w:hAnsi="Verdana"/>
                <w:spacing w:val="58"/>
                <w:sz w:val="18"/>
                <w:szCs w:val="18"/>
              </w:rPr>
              <w:t xml:space="preserve">   </w:t>
            </w:r>
            <w:r w:rsidRPr="00EC75B7">
              <w:rPr>
                <w:rFonts w:ascii="Verdana" w:hAnsi="Verdana"/>
                <w:sz w:val="18"/>
                <w:szCs w:val="18"/>
              </w:rPr>
              <w:t>Application of the principle of graded protection of installations by configuring electrical systems so that wind turbines can be selectively and controllably disconnected from the grid in order to prevent overvoltages and limit the risks associated with</w:t>
            </w:r>
            <w:r w:rsidRPr="00EC75B7">
              <w:rPr>
                <w:rFonts w:ascii="Verdana" w:hAnsi="Verdana"/>
                <w:spacing w:val="58"/>
                <w:sz w:val="18"/>
                <w:szCs w:val="18"/>
              </w:rPr>
              <w:t xml:space="preserve">   </w:t>
            </w:r>
            <w:r w:rsidRPr="00EC75B7">
              <w:rPr>
                <w:rFonts w:ascii="Verdana" w:hAnsi="Verdana"/>
                <w:sz w:val="18"/>
                <w:szCs w:val="18"/>
              </w:rPr>
              <w:t xml:space="preserve"> electrical faults</w:t>
            </w:r>
            <w:r w:rsidRPr="00EC75B7">
              <w:rPr>
                <w:rFonts w:ascii="Verdana" w:hAnsi="Verdana"/>
                <w:spacing w:val="58"/>
                <w:sz w:val="18"/>
                <w:szCs w:val="18"/>
              </w:rPr>
              <w:t xml:space="preserve">   </w:t>
            </w:r>
            <w:r w:rsidRPr="00EC75B7">
              <w:rPr>
                <w:rFonts w:ascii="Verdana" w:hAnsi="Verdana"/>
                <w:spacing w:val="-5"/>
                <w:sz w:val="18"/>
                <w:szCs w:val="18"/>
              </w:rPr>
              <w:t xml:space="preserve"> or</w:t>
            </w:r>
          </w:p>
          <w:p w14:paraId="22BCB094" w14:textId="77777777" w:rsidR="008715BE" w:rsidRPr="00EC75B7" w:rsidRDefault="00000000">
            <w:pPr>
              <w:pStyle w:val="TableParagraph"/>
              <w:spacing w:line="169" w:lineRule="exact"/>
              <w:ind w:left="108"/>
              <w:jc w:val="both"/>
              <w:rPr>
                <w:rFonts w:ascii="Verdana" w:hAnsi="Verdana"/>
                <w:sz w:val="18"/>
                <w:szCs w:val="18"/>
              </w:rPr>
            </w:pPr>
            <w:r w:rsidRPr="00EC75B7">
              <w:rPr>
                <w:rFonts w:ascii="Verdana" w:hAnsi="Verdana"/>
                <w:spacing w:val="-2"/>
                <w:sz w:val="18"/>
                <w:szCs w:val="18"/>
              </w:rPr>
              <w:t xml:space="preserve">extreme </w:t>
            </w:r>
            <w:r w:rsidRPr="00EC75B7">
              <w:rPr>
                <w:rFonts w:ascii="Verdana" w:hAnsi="Verdana"/>
                <w:sz w:val="18"/>
                <w:szCs w:val="18"/>
              </w:rPr>
              <w:t>weather events</w:t>
            </w:r>
            <w:r w:rsidRPr="00EC75B7">
              <w:rPr>
                <w:rFonts w:ascii="Verdana" w:hAnsi="Verdana"/>
                <w:spacing w:val="-2"/>
                <w:sz w:val="18"/>
                <w:szCs w:val="18"/>
              </w:rPr>
              <w:t>.</w:t>
            </w:r>
          </w:p>
        </w:tc>
      </w:tr>
      <w:tr w:rsidR="008715BE" w:rsidRPr="00EC75B7" w14:paraId="120933DC" w14:textId="77777777">
        <w:trPr>
          <w:trHeight w:val="973"/>
        </w:trPr>
        <w:tc>
          <w:tcPr>
            <w:tcW w:w="2542" w:type="dxa"/>
          </w:tcPr>
          <w:p w14:paraId="0D4E6EDF" w14:textId="77777777" w:rsidR="008715BE" w:rsidRPr="00EC75B7" w:rsidRDefault="008715BE">
            <w:pPr>
              <w:pStyle w:val="TableParagraph"/>
              <w:rPr>
                <w:rFonts w:ascii="Verdana" w:hAnsi="Verdana"/>
                <w:b/>
                <w:sz w:val="18"/>
                <w:szCs w:val="18"/>
              </w:rPr>
            </w:pPr>
          </w:p>
          <w:p w14:paraId="1500293F" w14:textId="77777777" w:rsidR="008715BE" w:rsidRPr="00EC75B7" w:rsidRDefault="00000000">
            <w:pPr>
              <w:pStyle w:val="TableParagraph"/>
              <w:ind w:left="107" w:right="70"/>
              <w:rPr>
                <w:rFonts w:ascii="Verdana" w:hAnsi="Verdana"/>
                <w:sz w:val="18"/>
                <w:szCs w:val="18"/>
              </w:rPr>
            </w:pPr>
            <w:r w:rsidRPr="00EC75B7">
              <w:rPr>
                <w:rFonts w:ascii="Verdana" w:hAnsi="Verdana"/>
                <w:sz w:val="18"/>
                <w:szCs w:val="18"/>
              </w:rPr>
              <w:t xml:space="preserve">Extreme wind (including storms, lightning, hurricanes, </w:t>
            </w:r>
            <w:r w:rsidRPr="00EC75B7">
              <w:rPr>
                <w:rFonts w:ascii="Verdana" w:hAnsi="Verdana"/>
                <w:spacing w:val="-2"/>
                <w:sz w:val="18"/>
                <w:szCs w:val="18"/>
              </w:rPr>
              <w:t>tornadoes)</w:t>
            </w:r>
          </w:p>
        </w:tc>
        <w:tc>
          <w:tcPr>
            <w:tcW w:w="422" w:type="dxa"/>
          </w:tcPr>
          <w:p w14:paraId="423B0D42" w14:textId="77777777" w:rsidR="008715BE" w:rsidRPr="00EC75B7" w:rsidRDefault="008715BE">
            <w:pPr>
              <w:pStyle w:val="TableParagraph"/>
              <w:spacing w:before="195"/>
              <w:rPr>
                <w:rFonts w:ascii="Verdana" w:hAnsi="Verdana"/>
                <w:b/>
                <w:sz w:val="18"/>
                <w:szCs w:val="18"/>
              </w:rPr>
            </w:pPr>
          </w:p>
          <w:p w14:paraId="6E787FB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3</w:t>
            </w:r>
          </w:p>
        </w:tc>
        <w:tc>
          <w:tcPr>
            <w:tcW w:w="422" w:type="dxa"/>
          </w:tcPr>
          <w:p w14:paraId="1FC91236" w14:textId="77777777" w:rsidR="008715BE" w:rsidRPr="00EC75B7" w:rsidRDefault="008715BE">
            <w:pPr>
              <w:pStyle w:val="TableParagraph"/>
              <w:spacing w:before="195"/>
              <w:rPr>
                <w:rFonts w:ascii="Verdana" w:hAnsi="Verdana"/>
                <w:b/>
                <w:sz w:val="18"/>
                <w:szCs w:val="18"/>
              </w:rPr>
            </w:pPr>
          </w:p>
          <w:p w14:paraId="7FCC5D08"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10"/>
                <w:sz w:val="18"/>
                <w:szCs w:val="18"/>
              </w:rPr>
              <w:t>3</w:t>
            </w:r>
          </w:p>
        </w:tc>
        <w:tc>
          <w:tcPr>
            <w:tcW w:w="439" w:type="dxa"/>
            <w:shd w:val="clear" w:color="auto" w:fill="FFD44F"/>
          </w:tcPr>
          <w:p w14:paraId="5E19FDAE" w14:textId="77777777" w:rsidR="008715BE" w:rsidRPr="00EC75B7" w:rsidRDefault="008715BE">
            <w:pPr>
              <w:pStyle w:val="TableParagraph"/>
              <w:spacing w:before="195"/>
              <w:rPr>
                <w:rFonts w:ascii="Verdana" w:hAnsi="Verdana"/>
                <w:b/>
                <w:sz w:val="18"/>
                <w:szCs w:val="18"/>
              </w:rPr>
            </w:pPr>
          </w:p>
          <w:p w14:paraId="2625ED21" w14:textId="77777777" w:rsidR="008715BE" w:rsidRPr="00EC75B7" w:rsidRDefault="00000000">
            <w:pPr>
              <w:pStyle w:val="TableParagraph"/>
              <w:ind w:left="13" w:right="1"/>
              <w:jc w:val="center"/>
              <w:rPr>
                <w:rFonts w:ascii="Verdana" w:hAnsi="Verdana"/>
                <w:b/>
                <w:sz w:val="18"/>
                <w:szCs w:val="18"/>
              </w:rPr>
            </w:pPr>
            <w:r w:rsidRPr="00EC75B7">
              <w:rPr>
                <w:rFonts w:ascii="Verdana" w:hAnsi="Verdana"/>
                <w:b/>
                <w:spacing w:val="-10"/>
                <w:sz w:val="18"/>
                <w:szCs w:val="18"/>
              </w:rPr>
              <w:t>9</w:t>
            </w:r>
          </w:p>
        </w:tc>
        <w:tc>
          <w:tcPr>
            <w:tcW w:w="893" w:type="dxa"/>
          </w:tcPr>
          <w:p w14:paraId="1806DA91" w14:textId="77777777" w:rsidR="008715BE" w:rsidRPr="00EC75B7" w:rsidRDefault="008715BE">
            <w:pPr>
              <w:pStyle w:val="TableParagraph"/>
              <w:spacing w:before="195"/>
              <w:rPr>
                <w:rFonts w:ascii="Verdana" w:hAnsi="Verdana"/>
                <w:b/>
                <w:sz w:val="18"/>
                <w:szCs w:val="18"/>
              </w:rPr>
            </w:pPr>
          </w:p>
          <w:p w14:paraId="59FB9C67"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2"/>
                <w:sz w:val="18"/>
                <w:szCs w:val="18"/>
              </w:rPr>
              <w:t>Moderate</w:t>
            </w:r>
          </w:p>
        </w:tc>
        <w:tc>
          <w:tcPr>
            <w:tcW w:w="1132" w:type="dxa"/>
          </w:tcPr>
          <w:p w14:paraId="24AC104F" w14:textId="77777777" w:rsidR="008715BE" w:rsidRPr="00EC75B7" w:rsidRDefault="008715BE">
            <w:pPr>
              <w:pStyle w:val="TableParagraph"/>
              <w:spacing w:before="96"/>
              <w:rPr>
                <w:rFonts w:ascii="Verdana" w:hAnsi="Verdana"/>
                <w:b/>
                <w:sz w:val="18"/>
                <w:szCs w:val="18"/>
              </w:rPr>
            </w:pPr>
          </w:p>
          <w:p w14:paraId="77FA67F5" w14:textId="77777777" w:rsidR="008715BE" w:rsidRPr="00EC75B7" w:rsidRDefault="00000000">
            <w:pPr>
              <w:pStyle w:val="TableParagraph"/>
              <w:ind w:left="106" w:right="193"/>
              <w:rPr>
                <w:rFonts w:ascii="Verdana" w:hAnsi="Verdana"/>
                <w:sz w:val="18"/>
                <w:szCs w:val="18"/>
              </w:rPr>
            </w:pPr>
            <w:r w:rsidRPr="00EC75B7">
              <w:rPr>
                <w:rFonts w:ascii="Verdana" w:hAnsi="Verdana"/>
                <w:spacing w:val="-2"/>
                <w:sz w:val="18"/>
                <w:szCs w:val="18"/>
              </w:rPr>
              <w:t xml:space="preserve">RA1, RA2, </w:t>
            </w:r>
            <w:r w:rsidRPr="00EC75B7">
              <w:rPr>
                <w:rFonts w:ascii="Verdana" w:hAnsi="Verdana"/>
                <w:spacing w:val="-4"/>
                <w:sz w:val="18"/>
                <w:szCs w:val="18"/>
              </w:rPr>
              <w:t>RA5</w:t>
            </w:r>
          </w:p>
        </w:tc>
        <w:tc>
          <w:tcPr>
            <w:tcW w:w="5059" w:type="dxa"/>
          </w:tcPr>
          <w:p w14:paraId="5C732A39" w14:textId="77777777" w:rsidR="008715BE" w:rsidRPr="00EC75B7" w:rsidRDefault="00000000">
            <w:pPr>
              <w:pStyle w:val="TableParagraph"/>
              <w:spacing w:before="1"/>
              <w:ind w:left="110" w:right="92"/>
              <w:jc w:val="both"/>
              <w:rPr>
                <w:rFonts w:ascii="Verdana" w:hAnsi="Verdana"/>
                <w:sz w:val="18"/>
                <w:szCs w:val="18"/>
              </w:rPr>
            </w:pPr>
            <w:r w:rsidRPr="00EC75B7">
              <w:rPr>
                <w:rFonts w:ascii="Verdana" w:hAnsi="Verdana"/>
                <w:sz w:val="18"/>
                <w:szCs w:val="18"/>
              </w:rPr>
              <w:t xml:space="preserve">Use of wind turbine blades with flexible structural characteristics and increased strength, designed to withstand high wind speeds and extreme dynamic loads, reducing the risk of structural damage and extending the service life </w:t>
            </w:r>
            <w:r w:rsidRPr="00EC75B7">
              <w:rPr>
                <w:rFonts w:ascii="Verdana" w:hAnsi="Verdana"/>
                <w:spacing w:val="-10"/>
                <w:sz w:val="18"/>
                <w:szCs w:val="18"/>
              </w:rPr>
              <w:t>of</w:t>
            </w:r>
          </w:p>
          <w:p w14:paraId="4927AF3D" w14:textId="77777777" w:rsidR="008715BE" w:rsidRPr="00EC75B7" w:rsidRDefault="00000000">
            <w:pPr>
              <w:pStyle w:val="TableParagraph"/>
              <w:spacing w:line="171" w:lineRule="exact"/>
              <w:ind w:left="110"/>
              <w:rPr>
                <w:rFonts w:ascii="Verdana" w:hAnsi="Verdana"/>
                <w:sz w:val="18"/>
                <w:szCs w:val="18"/>
              </w:rPr>
            </w:pPr>
            <w:r w:rsidRPr="00EC75B7">
              <w:rPr>
                <w:rFonts w:ascii="Verdana" w:hAnsi="Verdana"/>
                <w:spacing w:val="-2"/>
                <w:sz w:val="18"/>
                <w:szCs w:val="18"/>
              </w:rPr>
              <w:t>turbines.</w:t>
            </w:r>
          </w:p>
        </w:tc>
        <w:tc>
          <w:tcPr>
            <w:tcW w:w="3545" w:type="dxa"/>
          </w:tcPr>
          <w:p w14:paraId="127A8B88" w14:textId="77777777" w:rsidR="008715BE" w:rsidRPr="00EC75B7" w:rsidRDefault="00000000">
            <w:pPr>
              <w:pStyle w:val="TableParagraph"/>
              <w:tabs>
                <w:tab w:val="left" w:pos="1686"/>
                <w:tab w:val="left" w:pos="2794"/>
              </w:tabs>
              <w:spacing w:before="1"/>
              <w:ind w:left="108" w:right="94"/>
              <w:jc w:val="both"/>
              <w:rPr>
                <w:rFonts w:ascii="Verdana" w:hAnsi="Verdana"/>
                <w:sz w:val="18"/>
                <w:szCs w:val="18"/>
              </w:rPr>
            </w:pPr>
            <w:r w:rsidRPr="00EC75B7">
              <w:rPr>
                <w:rFonts w:ascii="Verdana" w:hAnsi="Verdana"/>
                <w:sz w:val="18"/>
                <w:szCs w:val="18"/>
              </w:rPr>
              <w:t xml:space="preserve">Taking out adequate insurance policies to cover the costs associated with damage caused by extreme </w:t>
            </w:r>
            <w:r w:rsidRPr="00EC75B7">
              <w:rPr>
                <w:rFonts w:ascii="Verdana" w:hAnsi="Verdana"/>
                <w:spacing w:val="-2"/>
                <w:sz w:val="18"/>
                <w:szCs w:val="18"/>
              </w:rPr>
              <w:t>weather</w:t>
            </w:r>
            <w:r w:rsidRPr="00EC75B7">
              <w:rPr>
                <w:rFonts w:ascii="Verdana" w:hAnsi="Verdana"/>
                <w:sz w:val="18"/>
                <w:szCs w:val="18"/>
              </w:rPr>
              <w:t xml:space="preserve"> events</w:t>
            </w:r>
            <w:r w:rsidRPr="00EC75B7">
              <w:rPr>
                <w:rFonts w:ascii="Verdana" w:hAnsi="Verdana"/>
                <w:sz w:val="18"/>
                <w:szCs w:val="18"/>
              </w:rPr>
              <w:tab/>
            </w:r>
            <w:r w:rsidRPr="00EC75B7">
              <w:rPr>
                <w:rFonts w:ascii="Verdana" w:hAnsi="Verdana"/>
                <w:spacing w:val="-2"/>
                <w:sz w:val="18"/>
                <w:szCs w:val="18"/>
              </w:rPr>
              <w:t>(wind)</w:t>
            </w:r>
            <w:r w:rsidRPr="00EC75B7">
              <w:rPr>
                <w:rFonts w:ascii="Verdana" w:hAnsi="Verdana"/>
                <w:sz w:val="18"/>
                <w:szCs w:val="18"/>
              </w:rPr>
              <w:tab/>
            </w:r>
            <w:r w:rsidRPr="00EC75B7">
              <w:rPr>
                <w:rFonts w:ascii="Verdana" w:hAnsi="Verdana"/>
                <w:spacing w:val="-2"/>
                <w:sz w:val="18"/>
                <w:szCs w:val="18"/>
              </w:rPr>
              <w:t>(strong winds</w:t>
            </w:r>
          </w:p>
          <w:p w14:paraId="0247A81E" w14:textId="77777777" w:rsidR="008715BE" w:rsidRPr="00EC75B7" w:rsidRDefault="00000000">
            <w:pPr>
              <w:pStyle w:val="TableParagraph"/>
              <w:spacing w:line="171" w:lineRule="exact"/>
              <w:ind w:left="108"/>
              <w:jc w:val="both"/>
              <w:rPr>
                <w:rFonts w:ascii="Verdana" w:hAnsi="Verdana"/>
                <w:sz w:val="18"/>
                <w:szCs w:val="18"/>
              </w:rPr>
            </w:pPr>
            <w:r w:rsidRPr="00EC75B7">
              <w:rPr>
                <w:rFonts w:ascii="Verdana" w:hAnsi="Verdana"/>
                <w:sz w:val="18"/>
                <w:szCs w:val="18"/>
              </w:rPr>
              <w:t xml:space="preserve">, storms, lightning), contributing </w:t>
            </w:r>
            <w:r w:rsidRPr="00EC75B7">
              <w:rPr>
                <w:rFonts w:ascii="Verdana" w:hAnsi="Verdana"/>
                <w:spacing w:val="-5"/>
                <w:sz w:val="18"/>
                <w:szCs w:val="18"/>
              </w:rPr>
              <w:t>to</w:t>
            </w:r>
          </w:p>
        </w:tc>
      </w:tr>
    </w:tbl>
    <w:p w14:paraId="061731CE" w14:textId="77777777" w:rsidR="008715BE" w:rsidRPr="00EC75B7" w:rsidRDefault="008715BE">
      <w:pPr>
        <w:pStyle w:val="TableParagraph"/>
        <w:spacing w:line="171" w:lineRule="exact"/>
        <w:jc w:val="both"/>
        <w:rPr>
          <w:rFonts w:ascii="Verdana" w:hAnsi="Verdana"/>
          <w:sz w:val="18"/>
          <w:szCs w:val="18"/>
        </w:rPr>
        <w:sectPr w:rsidR="008715BE" w:rsidRPr="00EC75B7">
          <w:headerReference w:type="default" r:id="rId261"/>
          <w:footerReference w:type="default" r:id="rId262"/>
          <w:pgSz w:w="16840" w:h="11910" w:orient="landscape"/>
          <w:pgMar w:top="1340" w:right="1417" w:bottom="1020" w:left="850" w:header="766" w:footer="824" w:gutter="0"/>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8715BE" w:rsidRPr="00EC75B7" w14:paraId="1C58CBE7" w14:textId="77777777">
        <w:trPr>
          <w:trHeight w:val="1679"/>
        </w:trPr>
        <w:tc>
          <w:tcPr>
            <w:tcW w:w="2542" w:type="dxa"/>
            <w:shd w:val="clear" w:color="auto" w:fill="00AFEF"/>
          </w:tcPr>
          <w:p w14:paraId="42DE5CC4" w14:textId="77777777" w:rsidR="008715BE" w:rsidRPr="00EC75B7" w:rsidRDefault="008715BE">
            <w:pPr>
              <w:pStyle w:val="TableParagraph"/>
              <w:rPr>
                <w:rFonts w:ascii="Verdana" w:hAnsi="Verdana"/>
                <w:b/>
                <w:sz w:val="18"/>
                <w:szCs w:val="18"/>
              </w:rPr>
            </w:pPr>
          </w:p>
          <w:p w14:paraId="67999621" w14:textId="77777777" w:rsidR="008715BE" w:rsidRPr="00EC75B7" w:rsidRDefault="008715BE">
            <w:pPr>
              <w:pStyle w:val="TableParagraph"/>
              <w:rPr>
                <w:rFonts w:ascii="Verdana" w:hAnsi="Verdana"/>
                <w:b/>
                <w:sz w:val="18"/>
                <w:szCs w:val="18"/>
              </w:rPr>
            </w:pPr>
          </w:p>
          <w:p w14:paraId="0A216268" w14:textId="77777777" w:rsidR="008715BE" w:rsidRPr="00EC75B7" w:rsidRDefault="008715BE">
            <w:pPr>
              <w:pStyle w:val="TableParagraph"/>
              <w:spacing w:before="166"/>
              <w:rPr>
                <w:rFonts w:ascii="Verdana" w:hAnsi="Verdana"/>
                <w:b/>
                <w:sz w:val="18"/>
                <w:szCs w:val="18"/>
              </w:rPr>
            </w:pPr>
          </w:p>
          <w:p w14:paraId="3DC8F145"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w:t>
            </w:r>
          </w:p>
        </w:tc>
        <w:tc>
          <w:tcPr>
            <w:tcW w:w="422" w:type="dxa"/>
            <w:shd w:val="clear" w:color="auto" w:fill="00AFEF"/>
            <w:textDirection w:val="btLr"/>
          </w:tcPr>
          <w:p w14:paraId="60DCB476" w14:textId="77777777" w:rsidR="008715BE" w:rsidRPr="00EC75B7" w:rsidRDefault="00000000">
            <w:pPr>
              <w:pStyle w:val="TableParagraph"/>
              <w:spacing w:before="121"/>
              <w:ind w:left="258"/>
              <w:rPr>
                <w:rFonts w:ascii="Verdana" w:hAnsi="Verdana"/>
                <w:b/>
                <w:sz w:val="18"/>
                <w:szCs w:val="18"/>
              </w:rPr>
            </w:pPr>
            <w:r w:rsidRPr="00EC75B7">
              <w:rPr>
                <w:rFonts w:ascii="Verdana" w:hAnsi="Verdana"/>
                <w:b/>
                <w:color w:val="FFFFFF"/>
                <w:spacing w:val="-2"/>
                <w:sz w:val="18"/>
                <w:szCs w:val="18"/>
              </w:rPr>
              <w:t>Probability</w:t>
            </w:r>
          </w:p>
        </w:tc>
        <w:tc>
          <w:tcPr>
            <w:tcW w:w="422" w:type="dxa"/>
            <w:shd w:val="clear" w:color="auto" w:fill="00AFEF"/>
            <w:textDirection w:val="btLr"/>
          </w:tcPr>
          <w:p w14:paraId="0E040F40" w14:textId="77777777" w:rsidR="008715BE" w:rsidRPr="00EC75B7" w:rsidRDefault="00000000">
            <w:pPr>
              <w:pStyle w:val="TableParagraph"/>
              <w:spacing w:before="121"/>
              <w:ind w:left="376"/>
              <w:rPr>
                <w:rFonts w:ascii="Verdana" w:hAnsi="Verdana"/>
                <w:b/>
                <w:sz w:val="18"/>
                <w:szCs w:val="18"/>
              </w:rPr>
            </w:pPr>
            <w:r w:rsidRPr="00EC75B7">
              <w:rPr>
                <w:rFonts w:ascii="Verdana" w:hAnsi="Verdana"/>
                <w:b/>
                <w:color w:val="FFFFFF"/>
                <w:spacing w:val="-2"/>
                <w:sz w:val="18"/>
                <w:szCs w:val="18"/>
              </w:rPr>
              <w:t>Severity</w:t>
            </w:r>
          </w:p>
        </w:tc>
        <w:tc>
          <w:tcPr>
            <w:tcW w:w="439" w:type="dxa"/>
            <w:shd w:val="clear" w:color="auto" w:fill="00AFEF"/>
            <w:textDirection w:val="btLr"/>
          </w:tcPr>
          <w:p w14:paraId="4CC9D1CE" w14:textId="77777777" w:rsidR="008715BE" w:rsidRPr="00EC75B7" w:rsidRDefault="00000000">
            <w:pPr>
              <w:pStyle w:val="TableParagraph"/>
              <w:spacing w:before="131"/>
              <w:ind w:left="18" w:right="18"/>
              <w:jc w:val="center"/>
              <w:rPr>
                <w:rFonts w:ascii="Verdana" w:hAnsi="Verdana"/>
                <w:b/>
                <w:sz w:val="18"/>
                <w:szCs w:val="18"/>
              </w:rPr>
            </w:pPr>
            <w:r w:rsidRPr="00EC75B7">
              <w:rPr>
                <w:rFonts w:ascii="Verdana" w:hAnsi="Verdana"/>
                <w:b/>
                <w:color w:val="FFFFFF"/>
                <w:spacing w:val="-4"/>
                <w:sz w:val="18"/>
                <w:szCs w:val="18"/>
              </w:rPr>
              <w:t>Risk</w:t>
            </w:r>
          </w:p>
        </w:tc>
        <w:tc>
          <w:tcPr>
            <w:tcW w:w="893" w:type="dxa"/>
            <w:shd w:val="clear" w:color="auto" w:fill="00AFEF"/>
            <w:textDirection w:val="btLr"/>
          </w:tcPr>
          <w:p w14:paraId="7582B794" w14:textId="77777777" w:rsidR="008715BE" w:rsidRPr="00EC75B7" w:rsidRDefault="008715BE">
            <w:pPr>
              <w:pStyle w:val="TableParagraph"/>
              <w:spacing w:before="161"/>
              <w:rPr>
                <w:rFonts w:ascii="Verdana" w:hAnsi="Verdana"/>
                <w:b/>
                <w:sz w:val="18"/>
                <w:szCs w:val="18"/>
              </w:rPr>
            </w:pPr>
          </w:p>
          <w:p w14:paraId="32C9B09D" w14:textId="77777777" w:rsidR="008715BE" w:rsidRPr="00EC75B7" w:rsidRDefault="00000000">
            <w:pPr>
              <w:pStyle w:val="TableParagraph"/>
              <w:spacing w:before="1"/>
              <w:ind w:left="422"/>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level</w:t>
            </w:r>
          </w:p>
        </w:tc>
        <w:tc>
          <w:tcPr>
            <w:tcW w:w="1132" w:type="dxa"/>
            <w:shd w:val="clear" w:color="auto" w:fill="00AFEF"/>
          </w:tcPr>
          <w:p w14:paraId="7E8936A5" w14:textId="77777777" w:rsidR="008715BE" w:rsidRPr="00EC75B7" w:rsidRDefault="008715BE">
            <w:pPr>
              <w:pStyle w:val="TableParagraph"/>
              <w:rPr>
                <w:rFonts w:ascii="Verdana" w:hAnsi="Verdana"/>
                <w:b/>
                <w:sz w:val="18"/>
                <w:szCs w:val="18"/>
              </w:rPr>
            </w:pPr>
          </w:p>
          <w:p w14:paraId="7102604F" w14:textId="77777777" w:rsidR="008715BE" w:rsidRPr="00EC75B7" w:rsidRDefault="008715BE">
            <w:pPr>
              <w:pStyle w:val="TableParagraph"/>
              <w:spacing w:before="167"/>
              <w:rPr>
                <w:rFonts w:ascii="Verdana" w:hAnsi="Verdana"/>
                <w:b/>
                <w:sz w:val="18"/>
                <w:szCs w:val="18"/>
              </w:rPr>
            </w:pPr>
          </w:p>
          <w:p w14:paraId="0335A705" w14:textId="77777777" w:rsidR="008715BE" w:rsidRPr="00EC75B7" w:rsidRDefault="00000000">
            <w:pPr>
              <w:pStyle w:val="TableParagraph"/>
              <w:ind w:left="243" w:hanging="82"/>
              <w:rPr>
                <w:rFonts w:ascii="Verdana" w:hAnsi="Verdana"/>
                <w:b/>
                <w:sz w:val="18"/>
                <w:szCs w:val="18"/>
              </w:rPr>
            </w:pPr>
            <w:r w:rsidRPr="00EC75B7">
              <w:rPr>
                <w:rFonts w:ascii="Verdana" w:hAnsi="Verdana"/>
                <w:b/>
                <w:color w:val="FFFFFF"/>
                <w:spacing w:val="-2"/>
                <w:sz w:val="18"/>
                <w:szCs w:val="18"/>
              </w:rPr>
              <w:t>Associated</w:t>
            </w:r>
            <w:r w:rsidRPr="00EC75B7">
              <w:rPr>
                <w:rFonts w:ascii="Verdana" w:hAnsi="Verdana"/>
                <w:b/>
                <w:color w:val="FFFFFF"/>
                <w:sz w:val="18"/>
                <w:szCs w:val="18"/>
              </w:rPr>
              <w:t xml:space="preserve"> risk</w:t>
            </w:r>
            <w:r w:rsidRPr="00EC75B7">
              <w:rPr>
                <w:rFonts w:ascii="Verdana" w:hAnsi="Verdana"/>
                <w:b/>
                <w:color w:val="FFFFFF"/>
                <w:spacing w:val="-2"/>
                <w:sz w:val="18"/>
                <w:szCs w:val="18"/>
              </w:rPr>
              <w:t xml:space="preserve"> area</w:t>
            </w:r>
          </w:p>
        </w:tc>
        <w:tc>
          <w:tcPr>
            <w:tcW w:w="5059" w:type="dxa"/>
            <w:shd w:val="clear" w:color="auto" w:fill="00AFEF"/>
          </w:tcPr>
          <w:p w14:paraId="3C552915" w14:textId="77777777" w:rsidR="008715BE" w:rsidRPr="00EC75B7" w:rsidRDefault="008715BE">
            <w:pPr>
              <w:pStyle w:val="TableParagraph"/>
              <w:rPr>
                <w:rFonts w:ascii="Verdana" w:hAnsi="Verdana"/>
                <w:b/>
                <w:sz w:val="18"/>
                <w:szCs w:val="18"/>
              </w:rPr>
            </w:pPr>
          </w:p>
          <w:p w14:paraId="2A15E24D" w14:textId="77777777" w:rsidR="008715BE" w:rsidRPr="00EC75B7" w:rsidRDefault="008715BE">
            <w:pPr>
              <w:pStyle w:val="TableParagraph"/>
              <w:rPr>
                <w:rFonts w:ascii="Verdana" w:hAnsi="Verdana"/>
                <w:b/>
                <w:sz w:val="18"/>
                <w:szCs w:val="18"/>
              </w:rPr>
            </w:pPr>
          </w:p>
          <w:p w14:paraId="24975C05" w14:textId="77777777" w:rsidR="008715BE" w:rsidRPr="00EC75B7" w:rsidRDefault="008715BE">
            <w:pPr>
              <w:pStyle w:val="TableParagraph"/>
              <w:spacing w:before="166"/>
              <w:rPr>
                <w:rFonts w:ascii="Verdana" w:hAnsi="Verdana"/>
                <w:b/>
                <w:sz w:val="18"/>
                <w:szCs w:val="18"/>
              </w:rPr>
            </w:pPr>
          </w:p>
          <w:p w14:paraId="5DB2008F" w14:textId="77777777" w:rsidR="008715BE" w:rsidRPr="00EC75B7" w:rsidRDefault="00000000">
            <w:pPr>
              <w:pStyle w:val="TableParagraph"/>
              <w:ind w:left="998"/>
              <w:rPr>
                <w:rFonts w:ascii="Verdana" w:hAnsi="Verdana"/>
                <w:b/>
                <w:sz w:val="18"/>
                <w:szCs w:val="18"/>
              </w:rPr>
            </w:pPr>
            <w:r w:rsidRPr="00EC75B7">
              <w:rPr>
                <w:rFonts w:ascii="Verdana" w:hAnsi="Verdana"/>
                <w:b/>
                <w:color w:val="FFFFFF"/>
                <w:sz w:val="18"/>
                <w:szCs w:val="18"/>
              </w:rPr>
              <w:t xml:space="preserve">Design and </w:t>
            </w:r>
            <w:r w:rsidRPr="00EC75B7">
              <w:rPr>
                <w:rFonts w:ascii="Verdana" w:hAnsi="Verdana"/>
                <w:b/>
                <w:color w:val="FFFFFF"/>
                <w:spacing w:val="-2"/>
                <w:sz w:val="18"/>
                <w:szCs w:val="18"/>
              </w:rPr>
              <w:t xml:space="preserve">construction </w:t>
            </w:r>
            <w:r w:rsidRPr="00EC75B7">
              <w:rPr>
                <w:rFonts w:ascii="Verdana" w:hAnsi="Verdana"/>
                <w:b/>
                <w:color w:val="FFFFFF"/>
                <w:sz w:val="18"/>
                <w:szCs w:val="18"/>
              </w:rPr>
              <w:t>measures</w:t>
            </w:r>
          </w:p>
        </w:tc>
        <w:tc>
          <w:tcPr>
            <w:tcW w:w="3545" w:type="dxa"/>
            <w:shd w:val="clear" w:color="auto" w:fill="00AFEF"/>
          </w:tcPr>
          <w:p w14:paraId="10CC5880" w14:textId="77777777" w:rsidR="008715BE" w:rsidRPr="00EC75B7" w:rsidRDefault="008715BE">
            <w:pPr>
              <w:pStyle w:val="TableParagraph"/>
              <w:rPr>
                <w:rFonts w:ascii="Verdana" w:hAnsi="Verdana"/>
                <w:b/>
                <w:sz w:val="18"/>
                <w:szCs w:val="18"/>
              </w:rPr>
            </w:pPr>
          </w:p>
          <w:p w14:paraId="0A6BE538" w14:textId="77777777" w:rsidR="008715BE" w:rsidRPr="00EC75B7" w:rsidRDefault="008715BE">
            <w:pPr>
              <w:pStyle w:val="TableParagraph"/>
              <w:rPr>
                <w:rFonts w:ascii="Verdana" w:hAnsi="Verdana"/>
                <w:b/>
                <w:sz w:val="18"/>
                <w:szCs w:val="18"/>
              </w:rPr>
            </w:pPr>
          </w:p>
          <w:p w14:paraId="68454A17" w14:textId="77777777" w:rsidR="008715BE" w:rsidRPr="00EC75B7" w:rsidRDefault="008715BE">
            <w:pPr>
              <w:pStyle w:val="TableParagraph"/>
              <w:spacing w:before="166"/>
              <w:rPr>
                <w:rFonts w:ascii="Verdana" w:hAnsi="Verdana"/>
                <w:b/>
                <w:sz w:val="18"/>
                <w:szCs w:val="18"/>
              </w:rPr>
            </w:pPr>
          </w:p>
          <w:p w14:paraId="45384FC3" w14:textId="77777777" w:rsidR="008715BE" w:rsidRPr="00EC75B7" w:rsidRDefault="00000000">
            <w:pPr>
              <w:pStyle w:val="TableParagraph"/>
              <w:ind w:left="485"/>
              <w:rPr>
                <w:rFonts w:ascii="Verdana" w:hAnsi="Verdana"/>
                <w:b/>
                <w:sz w:val="18"/>
                <w:szCs w:val="18"/>
              </w:rPr>
            </w:pPr>
            <w:r w:rsidRPr="00EC75B7">
              <w:rPr>
                <w:rFonts w:ascii="Verdana" w:hAnsi="Verdana"/>
                <w:b/>
                <w:color w:val="FFFFFF"/>
                <w:sz w:val="18"/>
                <w:szCs w:val="18"/>
              </w:rPr>
              <w:t xml:space="preserve">Operation and </w:t>
            </w:r>
            <w:r w:rsidRPr="00EC75B7">
              <w:rPr>
                <w:rFonts w:ascii="Verdana" w:hAnsi="Verdana"/>
                <w:b/>
                <w:color w:val="FFFFFF"/>
                <w:spacing w:val="-2"/>
                <w:sz w:val="18"/>
                <w:szCs w:val="18"/>
              </w:rPr>
              <w:t xml:space="preserve">maintenance </w:t>
            </w:r>
            <w:r w:rsidRPr="00EC75B7">
              <w:rPr>
                <w:rFonts w:ascii="Verdana" w:hAnsi="Verdana"/>
                <w:b/>
                <w:color w:val="FFFFFF"/>
                <w:sz w:val="18"/>
                <w:szCs w:val="18"/>
              </w:rPr>
              <w:t>measures</w:t>
            </w:r>
          </w:p>
        </w:tc>
      </w:tr>
      <w:tr w:rsidR="008715BE" w:rsidRPr="00EC75B7" w14:paraId="3E473C15" w14:textId="77777777">
        <w:trPr>
          <w:trHeight w:val="2141"/>
        </w:trPr>
        <w:tc>
          <w:tcPr>
            <w:tcW w:w="2542" w:type="dxa"/>
          </w:tcPr>
          <w:p w14:paraId="15930B27" w14:textId="77777777" w:rsidR="008715BE" w:rsidRPr="00EC75B7" w:rsidRDefault="008715BE">
            <w:pPr>
              <w:pStyle w:val="TableParagraph"/>
              <w:rPr>
                <w:rFonts w:ascii="Verdana" w:hAnsi="Verdana"/>
                <w:sz w:val="18"/>
                <w:szCs w:val="18"/>
              </w:rPr>
            </w:pPr>
          </w:p>
        </w:tc>
        <w:tc>
          <w:tcPr>
            <w:tcW w:w="422" w:type="dxa"/>
          </w:tcPr>
          <w:p w14:paraId="451F8D6B" w14:textId="77777777" w:rsidR="008715BE" w:rsidRPr="00EC75B7" w:rsidRDefault="008715BE">
            <w:pPr>
              <w:pStyle w:val="TableParagraph"/>
              <w:rPr>
                <w:rFonts w:ascii="Verdana" w:hAnsi="Verdana"/>
                <w:sz w:val="18"/>
                <w:szCs w:val="18"/>
              </w:rPr>
            </w:pPr>
          </w:p>
        </w:tc>
        <w:tc>
          <w:tcPr>
            <w:tcW w:w="422" w:type="dxa"/>
          </w:tcPr>
          <w:p w14:paraId="668108D3" w14:textId="77777777" w:rsidR="008715BE" w:rsidRPr="00EC75B7" w:rsidRDefault="008715BE">
            <w:pPr>
              <w:pStyle w:val="TableParagraph"/>
              <w:rPr>
                <w:rFonts w:ascii="Verdana" w:hAnsi="Verdana"/>
                <w:sz w:val="18"/>
                <w:szCs w:val="18"/>
              </w:rPr>
            </w:pPr>
          </w:p>
        </w:tc>
        <w:tc>
          <w:tcPr>
            <w:tcW w:w="439" w:type="dxa"/>
            <w:shd w:val="clear" w:color="auto" w:fill="FFD44F"/>
          </w:tcPr>
          <w:p w14:paraId="7F3C8760" w14:textId="77777777" w:rsidR="008715BE" w:rsidRPr="00EC75B7" w:rsidRDefault="008715BE">
            <w:pPr>
              <w:pStyle w:val="TableParagraph"/>
              <w:rPr>
                <w:rFonts w:ascii="Verdana" w:hAnsi="Verdana"/>
                <w:sz w:val="18"/>
                <w:szCs w:val="18"/>
              </w:rPr>
            </w:pPr>
          </w:p>
        </w:tc>
        <w:tc>
          <w:tcPr>
            <w:tcW w:w="893" w:type="dxa"/>
          </w:tcPr>
          <w:p w14:paraId="50227053" w14:textId="77777777" w:rsidR="008715BE" w:rsidRPr="00EC75B7" w:rsidRDefault="008715BE">
            <w:pPr>
              <w:pStyle w:val="TableParagraph"/>
              <w:rPr>
                <w:rFonts w:ascii="Verdana" w:hAnsi="Verdana"/>
                <w:sz w:val="18"/>
                <w:szCs w:val="18"/>
              </w:rPr>
            </w:pPr>
          </w:p>
        </w:tc>
        <w:tc>
          <w:tcPr>
            <w:tcW w:w="1132" w:type="dxa"/>
          </w:tcPr>
          <w:p w14:paraId="543C0322" w14:textId="77777777" w:rsidR="008715BE" w:rsidRPr="00EC75B7" w:rsidRDefault="008715BE">
            <w:pPr>
              <w:pStyle w:val="TableParagraph"/>
              <w:rPr>
                <w:rFonts w:ascii="Verdana" w:hAnsi="Verdana"/>
                <w:sz w:val="18"/>
                <w:szCs w:val="18"/>
              </w:rPr>
            </w:pPr>
          </w:p>
        </w:tc>
        <w:tc>
          <w:tcPr>
            <w:tcW w:w="5059" w:type="dxa"/>
          </w:tcPr>
          <w:p w14:paraId="1D51072C" w14:textId="77777777" w:rsidR="008715BE" w:rsidRPr="00EC75B7" w:rsidRDefault="00000000">
            <w:pPr>
              <w:pStyle w:val="TableParagraph"/>
              <w:spacing w:before="8"/>
              <w:ind w:left="110" w:right="90"/>
              <w:jc w:val="both"/>
              <w:rPr>
                <w:rFonts w:ascii="Verdana" w:hAnsi="Verdana"/>
                <w:sz w:val="18"/>
                <w:szCs w:val="18"/>
              </w:rPr>
            </w:pPr>
            <w:r w:rsidRPr="00EC75B7">
              <w:rPr>
                <w:rFonts w:ascii="Verdana" w:hAnsi="Verdana"/>
                <w:sz w:val="18"/>
                <w:szCs w:val="18"/>
              </w:rPr>
              <w:t xml:space="preserve">Design and construction of robust foundations, adapted to local conditions and extreme climatic demands, including appropriate dimensioning for wind loads, freeze-thaw cycles, and variations in soil properties, to ensure the long-term stability of the turbines. Implementation of lightning protection systems, dedicated current conduction paths, and appropriately dimensioned grounding systems, in accordance with applicable technical standards, to prevent damage </w:t>
            </w:r>
            <w:r w:rsidRPr="00EC75B7">
              <w:rPr>
                <w:rFonts w:ascii="Verdana" w:hAnsi="Verdana"/>
                <w:spacing w:val="-10"/>
                <w:sz w:val="18"/>
                <w:szCs w:val="18"/>
              </w:rPr>
              <w:t>to</w:t>
            </w:r>
            <w:r w:rsidRPr="00EC75B7">
              <w:rPr>
                <w:rFonts w:ascii="Verdana" w:hAnsi="Verdana"/>
                <w:sz w:val="18"/>
                <w:szCs w:val="18"/>
              </w:rPr>
              <w:t xml:space="preserve"> turbines</w:t>
            </w:r>
            <w:r w:rsidRPr="00EC75B7">
              <w:rPr>
                <w:rFonts w:ascii="Verdana" w:hAnsi="Verdana"/>
                <w:spacing w:val="-10"/>
                <w:sz w:val="18"/>
                <w:szCs w:val="18"/>
              </w:rPr>
              <w:t>,</w:t>
            </w:r>
          </w:p>
          <w:p w14:paraId="488CD1F7" w14:textId="77777777" w:rsidR="008715BE" w:rsidRPr="00EC75B7" w:rsidRDefault="00000000">
            <w:pPr>
              <w:pStyle w:val="TableParagraph"/>
              <w:spacing w:line="160" w:lineRule="exact"/>
              <w:ind w:left="110"/>
              <w:jc w:val="both"/>
              <w:rPr>
                <w:rFonts w:ascii="Verdana" w:hAnsi="Verdana"/>
                <w:sz w:val="18"/>
                <w:szCs w:val="18"/>
              </w:rPr>
            </w:pPr>
            <w:r w:rsidRPr="00EC75B7">
              <w:rPr>
                <w:rFonts w:ascii="Verdana" w:hAnsi="Verdana"/>
                <w:sz w:val="18"/>
                <w:szCs w:val="18"/>
              </w:rPr>
              <w:t xml:space="preserve">electrical equipment and </w:t>
            </w:r>
            <w:r w:rsidRPr="00EC75B7">
              <w:rPr>
                <w:rFonts w:ascii="Verdana" w:hAnsi="Verdana"/>
                <w:spacing w:val="-2"/>
                <w:sz w:val="18"/>
                <w:szCs w:val="18"/>
              </w:rPr>
              <w:t xml:space="preserve">transport </w:t>
            </w:r>
            <w:r w:rsidRPr="00EC75B7">
              <w:rPr>
                <w:rFonts w:ascii="Verdana" w:hAnsi="Verdana"/>
                <w:sz w:val="18"/>
                <w:szCs w:val="18"/>
              </w:rPr>
              <w:t>infrastructure</w:t>
            </w:r>
          </w:p>
        </w:tc>
        <w:tc>
          <w:tcPr>
            <w:tcW w:w="3545" w:type="dxa"/>
          </w:tcPr>
          <w:p w14:paraId="5D5FC64C" w14:textId="77777777" w:rsidR="008715BE" w:rsidRPr="00EC75B7" w:rsidRDefault="00000000">
            <w:pPr>
              <w:pStyle w:val="TableParagraph"/>
              <w:spacing w:before="8"/>
              <w:ind w:left="108" w:right="94"/>
              <w:jc w:val="both"/>
              <w:rPr>
                <w:rFonts w:ascii="Verdana" w:hAnsi="Verdana"/>
                <w:sz w:val="18"/>
                <w:szCs w:val="18"/>
              </w:rPr>
            </w:pPr>
            <w:r w:rsidRPr="00EC75B7">
              <w:rPr>
                <w:rFonts w:ascii="Verdana" w:hAnsi="Verdana"/>
                <w:sz w:val="18"/>
                <w:szCs w:val="18"/>
              </w:rPr>
              <w:t xml:space="preserve">reducing financial risk and ensuring the operational continuity of </w:t>
            </w:r>
            <w:r w:rsidRPr="00EC75B7">
              <w:rPr>
                <w:rFonts w:ascii="Verdana" w:hAnsi="Verdana"/>
                <w:spacing w:val="-2"/>
                <w:sz w:val="18"/>
                <w:szCs w:val="18"/>
              </w:rPr>
              <w:t>the project.</w:t>
            </w:r>
          </w:p>
        </w:tc>
      </w:tr>
      <w:tr w:rsidR="008715BE" w:rsidRPr="00EC75B7" w14:paraId="4D8B4037" w14:textId="77777777">
        <w:trPr>
          <w:trHeight w:val="4083"/>
        </w:trPr>
        <w:tc>
          <w:tcPr>
            <w:tcW w:w="2542" w:type="dxa"/>
          </w:tcPr>
          <w:p w14:paraId="4DD8CFBD" w14:textId="77777777" w:rsidR="008715BE" w:rsidRPr="00EC75B7" w:rsidRDefault="008715BE">
            <w:pPr>
              <w:pStyle w:val="TableParagraph"/>
              <w:rPr>
                <w:rFonts w:ascii="Verdana" w:hAnsi="Verdana"/>
                <w:b/>
                <w:sz w:val="18"/>
                <w:szCs w:val="18"/>
              </w:rPr>
            </w:pPr>
          </w:p>
          <w:p w14:paraId="11A664E6" w14:textId="77777777" w:rsidR="008715BE" w:rsidRPr="00EC75B7" w:rsidRDefault="008715BE">
            <w:pPr>
              <w:pStyle w:val="TableParagraph"/>
              <w:rPr>
                <w:rFonts w:ascii="Verdana" w:hAnsi="Verdana"/>
                <w:b/>
                <w:sz w:val="18"/>
                <w:szCs w:val="18"/>
              </w:rPr>
            </w:pPr>
          </w:p>
          <w:p w14:paraId="377979DC" w14:textId="77777777" w:rsidR="008715BE" w:rsidRPr="00EC75B7" w:rsidRDefault="008715BE">
            <w:pPr>
              <w:pStyle w:val="TableParagraph"/>
              <w:rPr>
                <w:rFonts w:ascii="Verdana" w:hAnsi="Verdana"/>
                <w:b/>
                <w:sz w:val="18"/>
                <w:szCs w:val="18"/>
              </w:rPr>
            </w:pPr>
          </w:p>
          <w:p w14:paraId="4A44D080" w14:textId="77777777" w:rsidR="008715BE" w:rsidRPr="00EC75B7" w:rsidRDefault="008715BE">
            <w:pPr>
              <w:pStyle w:val="TableParagraph"/>
              <w:rPr>
                <w:rFonts w:ascii="Verdana" w:hAnsi="Verdana"/>
                <w:b/>
                <w:sz w:val="18"/>
                <w:szCs w:val="18"/>
              </w:rPr>
            </w:pPr>
          </w:p>
          <w:p w14:paraId="4CFFA7B3" w14:textId="77777777" w:rsidR="008715BE" w:rsidRPr="00EC75B7" w:rsidRDefault="008715BE">
            <w:pPr>
              <w:pStyle w:val="TableParagraph"/>
              <w:rPr>
                <w:rFonts w:ascii="Verdana" w:hAnsi="Verdana"/>
                <w:b/>
                <w:sz w:val="18"/>
                <w:szCs w:val="18"/>
              </w:rPr>
            </w:pPr>
          </w:p>
          <w:p w14:paraId="06D158C5" w14:textId="77777777" w:rsidR="008715BE" w:rsidRPr="00EC75B7" w:rsidRDefault="008715BE">
            <w:pPr>
              <w:pStyle w:val="TableParagraph"/>
              <w:rPr>
                <w:rFonts w:ascii="Verdana" w:hAnsi="Verdana"/>
                <w:b/>
                <w:sz w:val="18"/>
                <w:szCs w:val="18"/>
              </w:rPr>
            </w:pPr>
          </w:p>
          <w:p w14:paraId="28472FC5" w14:textId="77777777" w:rsidR="008715BE" w:rsidRPr="00EC75B7" w:rsidRDefault="008715BE">
            <w:pPr>
              <w:pStyle w:val="TableParagraph"/>
              <w:rPr>
                <w:rFonts w:ascii="Verdana" w:hAnsi="Verdana"/>
                <w:b/>
                <w:sz w:val="18"/>
                <w:szCs w:val="18"/>
              </w:rPr>
            </w:pPr>
          </w:p>
          <w:p w14:paraId="4E0066DE" w14:textId="77777777" w:rsidR="008715BE" w:rsidRPr="00EC75B7" w:rsidRDefault="008715BE">
            <w:pPr>
              <w:pStyle w:val="TableParagraph"/>
              <w:rPr>
                <w:rFonts w:ascii="Verdana" w:hAnsi="Verdana"/>
                <w:b/>
                <w:sz w:val="18"/>
                <w:szCs w:val="18"/>
              </w:rPr>
            </w:pPr>
          </w:p>
          <w:p w14:paraId="00772560" w14:textId="77777777" w:rsidR="008715BE" w:rsidRPr="00EC75B7" w:rsidRDefault="008715BE">
            <w:pPr>
              <w:pStyle w:val="TableParagraph"/>
              <w:spacing w:before="194"/>
              <w:rPr>
                <w:rFonts w:ascii="Verdana" w:hAnsi="Verdana"/>
                <w:b/>
                <w:sz w:val="18"/>
                <w:szCs w:val="18"/>
              </w:rPr>
            </w:pPr>
          </w:p>
          <w:p w14:paraId="75E1755D"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422" w:type="dxa"/>
          </w:tcPr>
          <w:p w14:paraId="65607868" w14:textId="77777777" w:rsidR="008715BE" w:rsidRPr="00EC75B7" w:rsidRDefault="008715BE">
            <w:pPr>
              <w:pStyle w:val="TableParagraph"/>
              <w:rPr>
                <w:rFonts w:ascii="Verdana" w:hAnsi="Verdana"/>
                <w:b/>
                <w:sz w:val="18"/>
                <w:szCs w:val="18"/>
              </w:rPr>
            </w:pPr>
          </w:p>
          <w:p w14:paraId="40F80A51" w14:textId="77777777" w:rsidR="008715BE" w:rsidRPr="00EC75B7" w:rsidRDefault="008715BE">
            <w:pPr>
              <w:pStyle w:val="TableParagraph"/>
              <w:rPr>
                <w:rFonts w:ascii="Verdana" w:hAnsi="Verdana"/>
                <w:b/>
                <w:sz w:val="18"/>
                <w:szCs w:val="18"/>
              </w:rPr>
            </w:pPr>
          </w:p>
          <w:p w14:paraId="06B0ABC8" w14:textId="77777777" w:rsidR="008715BE" w:rsidRPr="00EC75B7" w:rsidRDefault="008715BE">
            <w:pPr>
              <w:pStyle w:val="TableParagraph"/>
              <w:rPr>
                <w:rFonts w:ascii="Verdana" w:hAnsi="Verdana"/>
                <w:b/>
                <w:sz w:val="18"/>
                <w:szCs w:val="18"/>
              </w:rPr>
            </w:pPr>
          </w:p>
          <w:p w14:paraId="42BACFC7" w14:textId="77777777" w:rsidR="008715BE" w:rsidRPr="00EC75B7" w:rsidRDefault="008715BE">
            <w:pPr>
              <w:pStyle w:val="TableParagraph"/>
              <w:rPr>
                <w:rFonts w:ascii="Verdana" w:hAnsi="Verdana"/>
                <w:b/>
                <w:sz w:val="18"/>
                <w:szCs w:val="18"/>
              </w:rPr>
            </w:pPr>
          </w:p>
          <w:p w14:paraId="13C1E102" w14:textId="77777777" w:rsidR="008715BE" w:rsidRPr="00EC75B7" w:rsidRDefault="008715BE">
            <w:pPr>
              <w:pStyle w:val="TableParagraph"/>
              <w:rPr>
                <w:rFonts w:ascii="Verdana" w:hAnsi="Verdana"/>
                <w:b/>
                <w:sz w:val="18"/>
                <w:szCs w:val="18"/>
              </w:rPr>
            </w:pPr>
          </w:p>
          <w:p w14:paraId="0FE1C9CB" w14:textId="77777777" w:rsidR="008715BE" w:rsidRPr="00EC75B7" w:rsidRDefault="008715BE">
            <w:pPr>
              <w:pStyle w:val="TableParagraph"/>
              <w:rPr>
                <w:rFonts w:ascii="Verdana" w:hAnsi="Verdana"/>
                <w:b/>
                <w:sz w:val="18"/>
                <w:szCs w:val="18"/>
              </w:rPr>
            </w:pPr>
          </w:p>
          <w:p w14:paraId="64072FD5" w14:textId="77777777" w:rsidR="008715BE" w:rsidRPr="00EC75B7" w:rsidRDefault="008715BE">
            <w:pPr>
              <w:pStyle w:val="TableParagraph"/>
              <w:rPr>
                <w:rFonts w:ascii="Verdana" w:hAnsi="Verdana"/>
                <w:b/>
                <w:sz w:val="18"/>
                <w:szCs w:val="18"/>
              </w:rPr>
            </w:pPr>
          </w:p>
          <w:p w14:paraId="02C2FC56" w14:textId="77777777" w:rsidR="008715BE" w:rsidRPr="00EC75B7" w:rsidRDefault="008715BE">
            <w:pPr>
              <w:pStyle w:val="TableParagraph"/>
              <w:rPr>
                <w:rFonts w:ascii="Verdana" w:hAnsi="Verdana"/>
                <w:b/>
                <w:sz w:val="18"/>
                <w:szCs w:val="18"/>
              </w:rPr>
            </w:pPr>
          </w:p>
          <w:p w14:paraId="0D572FAF" w14:textId="77777777" w:rsidR="008715BE" w:rsidRPr="00EC75B7" w:rsidRDefault="008715BE">
            <w:pPr>
              <w:pStyle w:val="TableParagraph"/>
              <w:spacing w:before="194"/>
              <w:rPr>
                <w:rFonts w:ascii="Verdana" w:hAnsi="Verdana"/>
                <w:b/>
                <w:sz w:val="18"/>
                <w:szCs w:val="18"/>
              </w:rPr>
            </w:pPr>
          </w:p>
          <w:p w14:paraId="64CD0825"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10"/>
                <w:sz w:val="18"/>
                <w:szCs w:val="18"/>
              </w:rPr>
              <w:t>5</w:t>
            </w:r>
          </w:p>
        </w:tc>
        <w:tc>
          <w:tcPr>
            <w:tcW w:w="422" w:type="dxa"/>
          </w:tcPr>
          <w:p w14:paraId="28BE4D6C" w14:textId="77777777" w:rsidR="008715BE" w:rsidRPr="00EC75B7" w:rsidRDefault="008715BE">
            <w:pPr>
              <w:pStyle w:val="TableParagraph"/>
              <w:rPr>
                <w:rFonts w:ascii="Verdana" w:hAnsi="Verdana"/>
                <w:b/>
                <w:sz w:val="18"/>
                <w:szCs w:val="18"/>
              </w:rPr>
            </w:pPr>
          </w:p>
          <w:p w14:paraId="27ACF88F" w14:textId="77777777" w:rsidR="008715BE" w:rsidRPr="00EC75B7" w:rsidRDefault="008715BE">
            <w:pPr>
              <w:pStyle w:val="TableParagraph"/>
              <w:rPr>
                <w:rFonts w:ascii="Verdana" w:hAnsi="Verdana"/>
                <w:b/>
                <w:sz w:val="18"/>
                <w:szCs w:val="18"/>
              </w:rPr>
            </w:pPr>
          </w:p>
          <w:p w14:paraId="31C85500" w14:textId="77777777" w:rsidR="008715BE" w:rsidRPr="00EC75B7" w:rsidRDefault="008715BE">
            <w:pPr>
              <w:pStyle w:val="TableParagraph"/>
              <w:rPr>
                <w:rFonts w:ascii="Verdana" w:hAnsi="Verdana"/>
                <w:b/>
                <w:sz w:val="18"/>
                <w:szCs w:val="18"/>
              </w:rPr>
            </w:pPr>
          </w:p>
          <w:p w14:paraId="6D71ACAD" w14:textId="77777777" w:rsidR="008715BE" w:rsidRPr="00EC75B7" w:rsidRDefault="008715BE">
            <w:pPr>
              <w:pStyle w:val="TableParagraph"/>
              <w:rPr>
                <w:rFonts w:ascii="Verdana" w:hAnsi="Verdana"/>
                <w:b/>
                <w:sz w:val="18"/>
                <w:szCs w:val="18"/>
              </w:rPr>
            </w:pPr>
          </w:p>
          <w:p w14:paraId="3CFA5438" w14:textId="77777777" w:rsidR="008715BE" w:rsidRPr="00EC75B7" w:rsidRDefault="008715BE">
            <w:pPr>
              <w:pStyle w:val="TableParagraph"/>
              <w:rPr>
                <w:rFonts w:ascii="Verdana" w:hAnsi="Verdana"/>
                <w:b/>
                <w:sz w:val="18"/>
                <w:szCs w:val="18"/>
              </w:rPr>
            </w:pPr>
          </w:p>
          <w:p w14:paraId="6A7DCD6B" w14:textId="77777777" w:rsidR="008715BE" w:rsidRPr="00EC75B7" w:rsidRDefault="008715BE">
            <w:pPr>
              <w:pStyle w:val="TableParagraph"/>
              <w:rPr>
                <w:rFonts w:ascii="Verdana" w:hAnsi="Verdana"/>
                <w:b/>
                <w:sz w:val="18"/>
                <w:szCs w:val="18"/>
              </w:rPr>
            </w:pPr>
          </w:p>
          <w:p w14:paraId="773E8358" w14:textId="77777777" w:rsidR="008715BE" w:rsidRPr="00EC75B7" w:rsidRDefault="008715BE">
            <w:pPr>
              <w:pStyle w:val="TableParagraph"/>
              <w:rPr>
                <w:rFonts w:ascii="Verdana" w:hAnsi="Verdana"/>
                <w:b/>
                <w:sz w:val="18"/>
                <w:szCs w:val="18"/>
              </w:rPr>
            </w:pPr>
          </w:p>
          <w:p w14:paraId="3441C260" w14:textId="77777777" w:rsidR="008715BE" w:rsidRPr="00EC75B7" w:rsidRDefault="008715BE">
            <w:pPr>
              <w:pStyle w:val="TableParagraph"/>
              <w:rPr>
                <w:rFonts w:ascii="Verdana" w:hAnsi="Verdana"/>
                <w:b/>
                <w:sz w:val="18"/>
                <w:szCs w:val="18"/>
              </w:rPr>
            </w:pPr>
          </w:p>
          <w:p w14:paraId="59CABD02" w14:textId="77777777" w:rsidR="008715BE" w:rsidRPr="00EC75B7" w:rsidRDefault="008715BE">
            <w:pPr>
              <w:pStyle w:val="TableParagraph"/>
              <w:spacing w:before="194"/>
              <w:rPr>
                <w:rFonts w:ascii="Verdana" w:hAnsi="Verdana"/>
                <w:b/>
                <w:sz w:val="18"/>
                <w:szCs w:val="18"/>
              </w:rPr>
            </w:pPr>
          </w:p>
          <w:p w14:paraId="51C1D14A"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10"/>
                <w:sz w:val="18"/>
                <w:szCs w:val="18"/>
              </w:rPr>
              <w:t>3</w:t>
            </w:r>
          </w:p>
        </w:tc>
        <w:tc>
          <w:tcPr>
            <w:tcW w:w="439" w:type="dxa"/>
            <w:tcBorders>
              <w:bottom w:val="nil"/>
            </w:tcBorders>
            <w:shd w:val="clear" w:color="auto" w:fill="FAB48D"/>
          </w:tcPr>
          <w:p w14:paraId="1386DC60" w14:textId="77777777" w:rsidR="008715BE" w:rsidRPr="00EC75B7" w:rsidRDefault="008715BE">
            <w:pPr>
              <w:pStyle w:val="TableParagraph"/>
              <w:rPr>
                <w:rFonts w:ascii="Verdana" w:hAnsi="Verdana"/>
                <w:b/>
                <w:sz w:val="18"/>
                <w:szCs w:val="18"/>
              </w:rPr>
            </w:pPr>
          </w:p>
          <w:p w14:paraId="37C11635" w14:textId="77777777" w:rsidR="008715BE" w:rsidRPr="00EC75B7" w:rsidRDefault="008715BE">
            <w:pPr>
              <w:pStyle w:val="TableParagraph"/>
              <w:rPr>
                <w:rFonts w:ascii="Verdana" w:hAnsi="Verdana"/>
                <w:b/>
                <w:sz w:val="18"/>
                <w:szCs w:val="18"/>
              </w:rPr>
            </w:pPr>
          </w:p>
          <w:p w14:paraId="057DC61A" w14:textId="77777777" w:rsidR="008715BE" w:rsidRPr="00EC75B7" w:rsidRDefault="008715BE">
            <w:pPr>
              <w:pStyle w:val="TableParagraph"/>
              <w:rPr>
                <w:rFonts w:ascii="Verdana" w:hAnsi="Verdana"/>
                <w:b/>
                <w:sz w:val="18"/>
                <w:szCs w:val="18"/>
              </w:rPr>
            </w:pPr>
          </w:p>
          <w:p w14:paraId="45257490" w14:textId="77777777" w:rsidR="008715BE" w:rsidRPr="00EC75B7" w:rsidRDefault="008715BE">
            <w:pPr>
              <w:pStyle w:val="TableParagraph"/>
              <w:rPr>
                <w:rFonts w:ascii="Verdana" w:hAnsi="Verdana"/>
                <w:b/>
                <w:sz w:val="18"/>
                <w:szCs w:val="18"/>
              </w:rPr>
            </w:pPr>
          </w:p>
          <w:p w14:paraId="48F59D17" w14:textId="77777777" w:rsidR="008715BE" w:rsidRPr="00EC75B7" w:rsidRDefault="008715BE">
            <w:pPr>
              <w:pStyle w:val="TableParagraph"/>
              <w:rPr>
                <w:rFonts w:ascii="Verdana" w:hAnsi="Verdana"/>
                <w:b/>
                <w:sz w:val="18"/>
                <w:szCs w:val="18"/>
              </w:rPr>
            </w:pPr>
          </w:p>
          <w:p w14:paraId="119860F6" w14:textId="77777777" w:rsidR="008715BE" w:rsidRPr="00EC75B7" w:rsidRDefault="008715BE">
            <w:pPr>
              <w:pStyle w:val="TableParagraph"/>
              <w:rPr>
                <w:rFonts w:ascii="Verdana" w:hAnsi="Verdana"/>
                <w:b/>
                <w:sz w:val="18"/>
                <w:szCs w:val="18"/>
              </w:rPr>
            </w:pPr>
          </w:p>
          <w:p w14:paraId="1DCC7C89" w14:textId="77777777" w:rsidR="008715BE" w:rsidRPr="00EC75B7" w:rsidRDefault="008715BE">
            <w:pPr>
              <w:pStyle w:val="TableParagraph"/>
              <w:spacing w:before="25"/>
              <w:rPr>
                <w:rFonts w:ascii="Verdana" w:hAnsi="Verdana"/>
                <w:b/>
                <w:sz w:val="18"/>
                <w:szCs w:val="18"/>
              </w:rPr>
            </w:pPr>
          </w:p>
          <w:p w14:paraId="48D24BF7" w14:textId="77777777" w:rsidR="008715BE" w:rsidRPr="00EC75B7" w:rsidRDefault="00000000">
            <w:pPr>
              <w:pStyle w:val="TableParagraph"/>
              <w:ind w:left="13"/>
              <w:jc w:val="center"/>
              <w:rPr>
                <w:rFonts w:ascii="Verdana" w:hAnsi="Verdana"/>
                <w:sz w:val="18"/>
                <w:szCs w:val="18"/>
              </w:rPr>
            </w:pPr>
            <w:r w:rsidRPr="00EC75B7">
              <w:rPr>
                <w:rFonts w:ascii="Verdana" w:hAnsi="Verdana"/>
                <w:spacing w:val="-5"/>
                <w:sz w:val="18"/>
                <w:szCs w:val="18"/>
              </w:rPr>
              <w:t>1</w:t>
            </w:r>
          </w:p>
        </w:tc>
        <w:tc>
          <w:tcPr>
            <w:tcW w:w="893" w:type="dxa"/>
          </w:tcPr>
          <w:p w14:paraId="46B92569" w14:textId="77777777" w:rsidR="008715BE" w:rsidRPr="00EC75B7" w:rsidRDefault="008715BE">
            <w:pPr>
              <w:pStyle w:val="TableParagraph"/>
              <w:rPr>
                <w:rFonts w:ascii="Verdana" w:hAnsi="Verdana"/>
                <w:b/>
                <w:sz w:val="18"/>
                <w:szCs w:val="18"/>
              </w:rPr>
            </w:pPr>
          </w:p>
          <w:p w14:paraId="47DD0F73" w14:textId="77777777" w:rsidR="008715BE" w:rsidRPr="00EC75B7" w:rsidRDefault="008715BE">
            <w:pPr>
              <w:pStyle w:val="TableParagraph"/>
              <w:rPr>
                <w:rFonts w:ascii="Verdana" w:hAnsi="Verdana"/>
                <w:b/>
                <w:sz w:val="18"/>
                <w:szCs w:val="18"/>
              </w:rPr>
            </w:pPr>
          </w:p>
          <w:p w14:paraId="06A6949C" w14:textId="77777777" w:rsidR="008715BE" w:rsidRPr="00EC75B7" w:rsidRDefault="008715BE">
            <w:pPr>
              <w:pStyle w:val="TableParagraph"/>
              <w:rPr>
                <w:rFonts w:ascii="Verdana" w:hAnsi="Verdana"/>
                <w:b/>
                <w:sz w:val="18"/>
                <w:szCs w:val="18"/>
              </w:rPr>
            </w:pPr>
          </w:p>
          <w:p w14:paraId="3F9FD261" w14:textId="77777777" w:rsidR="008715BE" w:rsidRPr="00EC75B7" w:rsidRDefault="008715BE">
            <w:pPr>
              <w:pStyle w:val="TableParagraph"/>
              <w:rPr>
                <w:rFonts w:ascii="Verdana" w:hAnsi="Verdana"/>
                <w:b/>
                <w:sz w:val="18"/>
                <w:szCs w:val="18"/>
              </w:rPr>
            </w:pPr>
          </w:p>
          <w:p w14:paraId="7156A56F" w14:textId="77777777" w:rsidR="008715BE" w:rsidRPr="00EC75B7" w:rsidRDefault="008715BE">
            <w:pPr>
              <w:pStyle w:val="TableParagraph"/>
              <w:rPr>
                <w:rFonts w:ascii="Verdana" w:hAnsi="Verdana"/>
                <w:b/>
                <w:sz w:val="18"/>
                <w:szCs w:val="18"/>
              </w:rPr>
            </w:pPr>
          </w:p>
          <w:p w14:paraId="24157721" w14:textId="77777777" w:rsidR="008715BE" w:rsidRPr="00EC75B7" w:rsidRDefault="008715BE">
            <w:pPr>
              <w:pStyle w:val="TableParagraph"/>
              <w:rPr>
                <w:rFonts w:ascii="Verdana" w:hAnsi="Verdana"/>
                <w:b/>
                <w:sz w:val="18"/>
                <w:szCs w:val="18"/>
              </w:rPr>
            </w:pPr>
          </w:p>
          <w:p w14:paraId="668804BA" w14:textId="77777777" w:rsidR="008715BE" w:rsidRPr="00EC75B7" w:rsidRDefault="008715BE">
            <w:pPr>
              <w:pStyle w:val="TableParagraph"/>
              <w:rPr>
                <w:rFonts w:ascii="Verdana" w:hAnsi="Verdana"/>
                <w:b/>
                <w:sz w:val="18"/>
                <w:szCs w:val="18"/>
              </w:rPr>
            </w:pPr>
          </w:p>
          <w:p w14:paraId="0B2A4850" w14:textId="77777777" w:rsidR="008715BE" w:rsidRPr="00EC75B7" w:rsidRDefault="008715BE">
            <w:pPr>
              <w:pStyle w:val="TableParagraph"/>
              <w:rPr>
                <w:rFonts w:ascii="Verdana" w:hAnsi="Verdana"/>
                <w:b/>
                <w:sz w:val="18"/>
                <w:szCs w:val="18"/>
              </w:rPr>
            </w:pPr>
          </w:p>
          <w:p w14:paraId="7024D863" w14:textId="77777777" w:rsidR="008715BE" w:rsidRPr="00EC75B7" w:rsidRDefault="008715BE">
            <w:pPr>
              <w:pStyle w:val="TableParagraph"/>
              <w:spacing w:before="194"/>
              <w:rPr>
                <w:rFonts w:ascii="Verdana" w:hAnsi="Verdana"/>
                <w:b/>
                <w:sz w:val="18"/>
                <w:szCs w:val="18"/>
              </w:rPr>
            </w:pPr>
          </w:p>
          <w:p w14:paraId="508E3810" w14:textId="77777777" w:rsidR="008715BE" w:rsidRPr="00EC75B7" w:rsidRDefault="00000000">
            <w:pPr>
              <w:pStyle w:val="TableParagraph"/>
              <w:spacing w:before="1"/>
              <w:ind w:left="16" w:right="4"/>
              <w:jc w:val="center"/>
              <w:rPr>
                <w:rFonts w:ascii="Verdana" w:hAnsi="Verdana"/>
                <w:sz w:val="18"/>
                <w:szCs w:val="18"/>
              </w:rPr>
            </w:pPr>
            <w:r w:rsidRPr="00EC75B7">
              <w:rPr>
                <w:rFonts w:ascii="Verdana" w:hAnsi="Verdana"/>
                <w:spacing w:val="-2"/>
                <w:sz w:val="18"/>
                <w:szCs w:val="18"/>
              </w:rPr>
              <w:t>high</w:t>
            </w:r>
          </w:p>
        </w:tc>
        <w:tc>
          <w:tcPr>
            <w:tcW w:w="1132" w:type="dxa"/>
          </w:tcPr>
          <w:p w14:paraId="7B099F71" w14:textId="77777777" w:rsidR="008715BE" w:rsidRPr="00EC75B7" w:rsidRDefault="008715BE">
            <w:pPr>
              <w:pStyle w:val="TableParagraph"/>
              <w:rPr>
                <w:rFonts w:ascii="Verdana" w:hAnsi="Verdana"/>
                <w:b/>
                <w:sz w:val="18"/>
                <w:szCs w:val="18"/>
              </w:rPr>
            </w:pPr>
          </w:p>
          <w:p w14:paraId="3B36A5E4" w14:textId="77777777" w:rsidR="008715BE" w:rsidRPr="00EC75B7" w:rsidRDefault="008715BE">
            <w:pPr>
              <w:pStyle w:val="TableParagraph"/>
              <w:rPr>
                <w:rFonts w:ascii="Verdana" w:hAnsi="Verdana"/>
                <w:b/>
                <w:sz w:val="18"/>
                <w:szCs w:val="18"/>
              </w:rPr>
            </w:pPr>
          </w:p>
          <w:p w14:paraId="3A86EEC6" w14:textId="77777777" w:rsidR="008715BE" w:rsidRPr="00EC75B7" w:rsidRDefault="008715BE">
            <w:pPr>
              <w:pStyle w:val="TableParagraph"/>
              <w:rPr>
                <w:rFonts w:ascii="Verdana" w:hAnsi="Verdana"/>
                <w:b/>
                <w:sz w:val="18"/>
                <w:szCs w:val="18"/>
              </w:rPr>
            </w:pPr>
          </w:p>
          <w:p w14:paraId="6582FEB0" w14:textId="77777777" w:rsidR="008715BE" w:rsidRPr="00EC75B7" w:rsidRDefault="008715BE">
            <w:pPr>
              <w:pStyle w:val="TableParagraph"/>
              <w:rPr>
                <w:rFonts w:ascii="Verdana" w:hAnsi="Verdana"/>
                <w:b/>
                <w:sz w:val="18"/>
                <w:szCs w:val="18"/>
              </w:rPr>
            </w:pPr>
          </w:p>
          <w:p w14:paraId="6D71A131" w14:textId="77777777" w:rsidR="008715BE" w:rsidRPr="00EC75B7" w:rsidRDefault="008715BE">
            <w:pPr>
              <w:pStyle w:val="TableParagraph"/>
              <w:rPr>
                <w:rFonts w:ascii="Verdana" w:hAnsi="Verdana"/>
                <w:b/>
                <w:sz w:val="18"/>
                <w:szCs w:val="18"/>
              </w:rPr>
            </w:pPr>
          </w:p>
          <w:p w14:paraId="3B41CD49" w14:textId="77777777" w:rsidR="008715BE" w:rsidRPr="00EC75B7" w:rsidRDefault="008715BE">
            <w:pPr>
              <w:pStyle w:val="TableParagraph"/>
              <w:rPr>
                <w:rFonts w:ascii="Verdana" w:hAnsi="Verdana"/>
                <w:b/>
                <w:sz w:val="18"/>
                <w:szCs w:val="18"/>
              </w:rPr>
            </w:pPr>
          </w:p>
          <w:p w14:paraId="666D465B" w14:textId="77777777" w:rsidR="008715BE" w:rsidRPr="00EC75B7" w:rsidRDefault="008715BE">
            <w:pPr>
              <w:pStyle w:val="TableParagraph"/>
              <w:rPr>
                <w:rFonts w:ascii="Verdana" w:hAnsi="Verdana"/>
                <w:b/>
                <w:sz w:val="18"/>
                <w:szCs w:val="18"/>
              </w:rPr>
            </w:pPr>
          </w:p>
          <w:p w14:paraId="0930ECED" w14:textId="77777777" w:rsidR="008715BE" w:rsidRPr="00EC75B7" w:rsidRDefault="008715BE">
            <w:pPr>
              <w:pStyle w:val="TableParagraph"/>
              <w:rPr>
                <w:rFonts w:ascii="Verdana" w:hAnsi="Verdana"/>
                <w:b/>
                <w:sz w:val="18"/>
                <w:szCs w:val="18"/>
              </w:rPr>
            </w:pPr>
          </w:p>
          <w:p w14:paraId="34FDE7BC" w14:textId="77777777" w:rsidR="008715BE" w:rsidRPr="00EC75B7" w:rsidRDefault="008715BE">
            <w:pPr>
              <w:pStyle w:val="TableParagraph"/>
              <w:spacing w:before="98"/>
              <w:rPr>
                <w:rFonts w:ascii="Verdana" w:hAnsi="Verdana"/>
                <w:b/>
                <w:sz w:val="18"/>
                <w:szCs w:val="18"/>
              </w:rPr>
            </w:pPr>
          </w:p>
          <w:p w14:paraId="0BAFF483" w14:textId="77777777" w:rsidR="008715BE" w:rsidRPr="00EC75B7" w:rsidRDefault="00000000">
            <w:pPr>
              <w:pStyle w:val="TableParagraph"/>
              <w:spacing w:before="1"/>
              <w:ind w:left="106" w:right="193"/>
              <w:rPr>
                <w:rFonts w:ascii="Verdana" w:hAnsi="Verdana"/>
                <w:sz w:val="18"/>
                <w:szCs w:val="18"/>
              </w:rPr>
            </w:pPr>
            <w:r w:rsidRPr="00EC75B7">
              <w:rPr>
                <w:rFonts w:ascii="Verdana" w:hAnsi="Verdana"/>
                <w:spacing w:val="-2"/>
                <w:sz w:val="18"/>
                <w:szCs w:val="18"/>
              </w:rPr>
              <w:t xml:space="preserve">RA2, RA1, </w:t>
            </w:r>
            <w:r w:rsidRPr="00EC75B7">
              <w:rPr>
                <w:rFonts w:ascii="Verdana" w:hAnsi="Verdana"/>
                <w:spacing w:val="-4"/>
                <w:sz w:val="18"/>
                <w:szCs w:val="18"/>
              </w:rPr>
              <w:t>RA5</w:t>
            </w:r>
          </w:p>
        </w:tc>
        <w:tc>
          <w:tcPr>
            <w:tcW w:w="5059" w:type="dxa"/>
          </w:tcPr>
          <w:p w14:paraId="7843F790" w14:textId="77777777" w:rsidR="008715BE" w:rsidRPr="00EC75B7" w:rsidRDefault="008715BE">
            <w:pPr>
              <w:pStyle w:val="TableParagraph"/>
              <w:rPr>
                <w:rFonts w:ascii="Verdana" w:hAnsi="Verdana"/>
                <w:b/>
                <w:sz w:val="18"/>
                <w:szCs w:val="18"/>
              </w:rPr>
            </w:pPr>
          </w:p>
          <w:p w14:paraId="627D556F" w14:textId="77777777" w:rsidR="008715BE" w:rsidRPr="00EC75B7" w:rsidRDefault="008715BE">
            <w:pPr>
              <w:pStyle w:val="TableParagraph"/>
              <w:rPr>
                <w:rFonts w:ascii="Verdana" w:hAnsi="Verdana"/>
                <w:b/>
                <w:sz w:val="18"/>
                <w:szCs w:val="18"/>
              </w:rPr>
            </w:pPr>
          </w:p>
          <w:p w14:paraId="7D43628E" w14:textId="77777777" w:rsidR="008715BE" w:rsidRPr="00EC75B7" w:rsidRDefault="008715BE">
            <w:pPr>
              <w:pStyle w:val="TableParagraph"/>
              <w:rPr>
                <w:rFonts w:ascii="Verdana" w:hAnsi="Verdana"/>
                <w:b/>
                <w:sz w:val="18"/>
                <w:szCs w:val="18"/>
              </w:rPr>
            </w:pPr>
          </w:p>
          <w:p w14:paraId="1D28DC9F" w14:textId="77777777" w:rsidR="008715BE" w:rsidRPr="00EC75B7" w:rsidRDefault="008715BE">
            <w:pPr>
              <w:pStyle w:val="TableParagraph"/>
              <w:rPr>
                <w:rFonts w:ascii="Verdana" w:hAnsi="Verdana"/>
                <w:b/>
                <w:sz w:val="18"/>
                <w:szCs w:val="18"/>
              </w:rPr>
            </w:pPr>
          </w:p>
          <w:p w14:paraId="43A47D21" w14:textId="77777777" w:rsidR="008715BE" w:rsidRPr="00EC75B7" w:rsidRDefault="008715BE">
            <w:pPr>
              <w:pStyle w:val="TableParagraph"/>
              <w:rPr>
                <w:rFonts w:ascii="Verdana" w:hAnsi="Verdana"/>
                <w:b/>
                <w:sz w:val="18"/>
                <w:szCs w:val="18"/>
              </w:rPr>
            </w:pPr>
          </w:p>
          <w:p w14:paraId="18612BC4" w14:textId="77777777" w:rsidR="008715BE" w:rsidRPr="00EC75B7" w:rsidRDefault="008715BE">
            <w:pPr>
              <w:pStyle w:val="TableParagraph"/>
              <w:rPr>
                <w:rFonts w:ascii="Verdana" w:hAnsi="Verdana"/>
                <w:b/>
                <w:sz w:val="18"/>
                <w:szCs w:val="18"/>
              </w:rPr>
            </w:pPr>
          </w:p>
          <w:p w14:paraId="62D8AA56" w14:textId="77777777" w:rsidR="008715BE" w:rsidRPr="00EC75B7" w:rsidRDefault="008715BE">
            <w:pPr>
              <w:pStyle w:val="TableParagraph"/>
              <w:rPr>
                <w:rFonts w:ascii="Verdana" w:hAnsi="Verdana"/>
                <w:b/>
                <w:sz w:val="18"/>
                <w:szCs w:val="18"/>
              </w:rPr>
            </w:pPr>
          </w:p>
          <w:p w14:paraId="2D0B7E8F" w14:textId="77777777" w:rsidR="008715BE" w:rsidRPr="00EC75B7" w:rsidRDefault="008715BE">
            <w:pPr>
              <w:pStyle w:val="TableParagraph"/>
              <w:spacing w:before="1"/>
              <w:rPr>
                <w:rFonts w:ascii="Verdana" w:hAnsi="Verdana"/>
                <w:b/>
                <w:sz w:val="18"/>
                <w:szCs w:val="18"/>
              </w:rPr>
            </w:pPr>
          </w:p>
          <w:p w14:paraId="2D02FB35" w14:textId="77777777" w:rsidR="008715BE" w:rsidRPr="00EC75B7" w:rsidRDefault="00000000">
            <w:pPr>
              <w:pStyle w:val="TableParagraph"/>
              <w:ind w:left="110" w:right="93"/>
              <w:jc w:val="both"/>
              <w:rPr>
                <w:rFonts w:ascii="Verdana" w:hAnsi="Verdana"/>
                <w:sz w:val="18"/>
                <w:szCs w:val="18"/>
              </w:rPr>
            </w:pPr>
            <w:r w:rsidRPr="00EC75B7">
              <w:rPr>
                <w:rFonts w:ascii="Verdana" w:hAnsi="Verdana"/>
                <w:sz w:val="18"/>
                <w:szCs w:val="18"/>
              </w:rPr>
              <w:t>Selecting wind turbines certified for operation in hot climates, by choosing models tested and designed to operate efficiently at high ambient temperatures (above 40°C), in order to ensure reliability and maintain operational performance.</w:t>
            </w:r>
          </w:p>
        </w:tc>
        <w:tc>
          <w:tcPr>
            <w:tcW w:w="3545" w:type="dxa"/>
          </w:tcPr>
          <w:p w14:paraId="666BF020" w14:textId="77777777" w:rsidR="008715BE" w:rsidRPr="00EC75B7" w:rsidRDefault="00000000">
            <w:pPr>
              <w:pStyle w:val="TableParagraph"/>
              <w:spacing w:before="8"/>
              <w:ind w:left="108" w:right="94"/>
              <w:jc w:val="both"/>
              <w:rPr>
                <w:rFonts w:ascii="Verdana" w:hAnsi="Verdana"/>
                <w:sz w:val="18"/>
                <w:szCs w:val="18"/>
              </w:rPr>
            </w:pPr>
            <w:r w:rsidRPr="00EC75B7">
              <w:rPr>
                <w:rFonts w:ascii="Verdana" w:hAnsi="Verdana"/>
                <w:sz w:val="18"/>
                <w:szCs w:val="18"/>
              </w:rPr>
              <w:t>Planning operational and maintenance activities outside peak temperature intervals, scheduling work in the early morning or evening hours to reduce staff exposure to heat stress and increase workplace safety.</w:t>
            </w:r>
          </w:p>
          <w:p w14:paraId="55E7ED97"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Implement adaptive SCADA systems capable of dynamically adjusting turbine operating parameters (including output power, speed, and blade angle) based on thermal conditions and anticipated thermal stress to protect equipment and optimize its service life.</w:t>
            </w:r>
          </w:p>
          <w:p w14:paraId="3D929E43"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 xml:space="preserve">Landscaping and maintenance of green areas with vegetation adapted to drought conditions in the vicinity of the project infrastructure as a complementary measure to reduce the heat island effect </w:t>
            </w:r>
            <w:r w:rsidRPr="00EC75B7">
              <w:rPr>
                <w:rFonts w:ascii="Verdana" w:hAnsi="Verdana"/>
                <w:spacing w:val="-5"/>
                <w:sz w:val="18"/>
                <w:szCs w:val="18"/>
              </w:rPr>
              <w:t>and</w:t>
            </w:r>
          </w:p>
          <w:p w14:paraId="3CCE331A" w14:textId="77777777" w:rsidR="008715BE" w:rsidRPr="00EC75B7" w:rsidRDefault="00000000">
            <w:pPr>
              <w:pStyle w:val="TableParagraph"/>
              <w:spacing w:line="162" w:lineRule="exact"/>
              <w:ind w:left="108"/>
              <w:jc w:val="both"/>
              <w:rPr>
                <w:rFonts w:ascii="Verdana" w:hAnsi="Verdana"/>
                <w:sz w:val="18"/>
                <w:szCs w:val="18"/>
              </w:rPr>
            </w:pPr>
            <w:r w:rsidRPr="00EC75B7">
              <w:rPr>
                <w:rFonts w:ascii="Verdana" w:hAnsi="Verdana"/>
                <w:sz w:val="18"/>
                <w:szCs w:val="18"/>
              </w:rPr>
              <w:t xml:space="preserve">improving the </w:t>
            </w:r>
            <w:r w:rsidRPr="00EC75B7">
              <w:rPr>
                <w:rFonts w:ascii="Verdana" w:hAnsi="Verdana"/>
                <w:spacing w:val="-5"/>
                <w:sz w:val="18"/>
                <w:szCs w:val="18"/>
              </w:rPr>
              <w:t xml:space="preserve">local </w:t>
            </w:r>
            <w:r w:rsidRPr="00EC75B7">
              <w:rPr>
                <w:rFonts w:ascii="Verdana" w:hAnsi="Verdana"/>
                <w:sz w:val="18"/>
                <w:szCs w:val="18"/>
              </w:rPr>
              <w:t>microclimate</w:t>
            </w:r>
          </w:p>
        </w:tc>
      </w:tr>
      <w:tr w:rsidR="008715BE" w:rsidRPr="00EC75B7" w14:paraId="519F5AA5" w14:textId="77777777">
        <w:trPr>
          <w:trHeight w:val="1168"/>
        </w:trPr>
        <w:tc>
          <w:tcPr>
            <w:tcW w:w="2542" w:type="dxa"/>
          </w:tcPr>
          <w:p w14:paraId="722B5AAA" w14:textId="77777777" w:rsidR="008715BE" w:rsidRPr="00EC75B7" w:rsidRDefault="008715BE">
            <w:pPr>
              <w:pStyle w:val="TableParagraph"/>
              <w:rPr>
                <w:rFonts w:ascii="Verdana" w:hAnsi="Verdana"/>
                <w:b/>
                <w:sz w:val="18"/>
                <w:szCs w:val="18"/>
              </w:rPr>
            </w:pPr>
          </w:p>
          <w:p w14:paraId="0442200D" w14:textId="77777777" w:rsidR="008715BE" w:rsidRPr="00EC75B7" w:rsidRDefault="008715BE">
            <w:pPr>
              <w:pStyle w:val="TableParagraph"/>
              <w:spacing w:before="104"/>
              <w:rPr>
                <w:rFonts w:ascii="Verdana" w:hAnsi="Verdana"/>
                <w:b/>
                <w:sz w:val="18"/>
                <w:szCs w:val="18"/>
              </w:rPr>
            </w:pPr>
          </w:p>
          <w:p w14:paraId="77D44299" w14:textId="77777777" w:rsidR="008715BE" w:rsidRPr="00EC75B7" w:rsidRDefault="00000000">
            <w:pPr>
              <w:pStyle w:val="TableParagraph"/>
              <w:ind w:left="165"/>
              <w:rPr>
                <w:rFonts w:ascii="Verdana" w:hAnsi="Verdana"/>
                <w:sz w:val="18"/>
                <w:szCs w:val="18"/>
              </w:rPr>
            </w:pPr>
            <w:r w:rsidRPr="00EC75B7">
              <w:rPr>
                <w:rFonts w:ascii="Verdana" w:hAnsi="Verdana"/>
                <w:spacing w:val="-2"/>
                <w:sz w:val="18"/>
                <w:szCs w:val="18"/>
              </w:rPr>
              <w:t xml:space="preserve">Temperature </w:t>
            </w:r>
            <w:r w:rsidRPr="00EC75B7">
              <w:rPr>
                <w:rFonts w:ascii="Verdana" w:hAnsi="Verdana"/>
                <w:sz w:val="18"/>
                <w:szCs w:val="18"/>
              </w:rPr>
              <w:t>variations</w:t>
            </w:r>
          </w:p>
        </w:tc>
        <w:tc>
          <w:tcPr>
            <w:tcW w:w="422" w:type="dxa"/>
          </w:tcPr>
          <w:p w14:paraId="250BEA69" w14:textId="77777777" w:rsidR="008715BE" w:rsidRPr="00EC75B7" w:rsidRDefault="008715BE">
            <w:pPr>
              <w:pStyle w:val="TableParagraph"/>
              <w:rPr>
                <w:rFonts w:ascii="Verdana" w:hAnsi="Verdana"/>
                <w:b/>
                <w:sz w:val="18"/>
                <w:szCs w:val="18"/>
              </w:rPr>
            </w:pPr>
          </w:p>
          <w:p w14:paraId="552C7750" w14:textId="77777777" w:rsidR="008715BE" w:rsidRPr="00EC75B7" w:rsidRDefault="008715BE">
            <w:pPr>
              <w:pStyle w:val="TableParagraph"/>
              <w:spacing w:before="104"/>
              <w:rPr>
                <w:rFonts w:ascii="Verdana" w:hAnsi="Verdana"/>
                <w:b/>
                <w:sz w:val="18"/>
                <w:szCs w:val="18"/>
              </w:rPr>
            </w:pPr>
          </w:p>
          <w:p w14:paraId="25EA289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10"/>
                <w:sz w:val="18"/>
                <w:szCs w:val="18"/>
              </w:rPr>
              <w:t>4</w:t>
            </w:r>
          </w:p>
        </w:tc>
        <w:tc>
          <w:tcPr>
            <w:tcW w:w="422" w:type="dxa"/>
          </w:tcPr>
          <w:p w14:paraId="23249568" w14:textId="77777777" w:rsidR="008715BE" w:rsidRPr="00EC75B7" w:rsidRDefault="008715BE">
            <w:pPr>
              <w:pStyle w:val="TableParagraph"/>
              <w:rPr>
                <w:rFonts w:ascii="Verdana" w:hAnsi="Verdana"/>
                <w:b/>
                <w:sz w:val="18"/>
                <w:szCs w:val="18"/>
              </w:rPr>
            </w:pPr>
          </w:p>
          <w:p w14:paraId="4D847B1E" w14:textId="77777777" w:rsidR="008715BE" w:rsidRPr="00EC75B7" w:rsidRDefault="008715BE">
            <w:pPr>
              <w:pStyle w:val="TableParagraph"/>
              <w:spacing w:before="104"/>
              <w:rPr>
                <w:rFonts w:ascii="Verdana" w:hAnsi="Verdana"/>
                <w:b/>
                <w:sz w:val="18"/>
                <w:szCs w:val="18"/>
              </w:rPr>
            </w:pPr>
          </w:p>
          <w:p w14:paraId="6E73FA8C"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10"/>
                <w:sz w:val="18"/>
                <w:szCs w:val="18"/>
              </w:rPr>
              <w:t>3</w:t>
            </w:r>
          </w:p>
        </w:tc>
        <w:tc>
          <w:tcPr>
            <w:tcW w:w="439" w:type="dxa"/>
            <w:tcBorders>
              <w:top w:val="nil"/>
              <w:bottom w:val="nil"/>
            </w:tcBorders>
            <w:shd w:val="clear" w:color="auto" w:fill="FAB48D"/>
          </w:tcPr>
          <w:p w14:paraId="725FC617" w14:textId="77777777" w:rsidR="008715BE" w:rsidRPr="00EC75B7" w:rsidRDefault="008715BE">
            <w:pPr>
              <w:pStyle w:val="TableParagraph"/>
              <w:spacing w:before="179"/>
              <w:rPr>
                <w:rFonts w:ascii="Verdana" w:hAnsi="Verdana"/>
                <w:b/>
                <w:sz w:val="18"/>
                <w:szCs w:val="18"/>
              </w:rPr>
            </w:pPr>
          </w:p>
          <w:p w14:paraId="5F3F5CA9" w14:textId="77777777" w:rsidR="008715BE" w:rsidRPr="00EC75B7" w:rsidRDefault="00000000">
            <w:pPr>
              <w:pStyle w:val="TableParagraph"/>
              <w:ind w:left="13"/>
              <w:jc w:val="center"/>
              <w:rPr>
                <w:rFonts w:ascii="Verdana" w:hAnsi="Verdana"/>
                <w:sz w:val="18"/>
                <w:szCs w:val="18"/>
              </w:rPr>
            </w:pPr>
            <w:r w:rsidRPr="00EC75B7">
              <w:rPr>
                <w:rFonts w:ascii="Verdana" w:hAnsi="Verdana"/>
                <w:spacing w:val="-5"/>
                <w:sz w:val="18"/>
                <w:szCs w:val="18"/>
              </w:rPr>
              <w:t>12</w:t>
            </w:r>
          </w:p>
        </w:tc>
        <w:tc>
          <w:tcPr>
            <w:tcW w:w="893" w:type="dxa"/>
          </w:tcPr>
          <w:p w14:paraId="1CD2A66C" w14:textId="77777777" w:rsidR="008715BE" w:rsidRPr="00EC75B7" w:rsidRDefault="008715BE">
            <w:pPr>
              <w:pStyle w:val="TableParagraph"/>
              <w:rPr>
                <w:rFonts w:ascii="Verdana" w:hAnsi="Verdana"/>
                <w:b/>
                <w:sz w:val="18"/>
                <w:szCs w:val="18"/>
              </w:rPr>
            </w:pPr>
          </w:p>
          <w:p w14:paraId="58474DB5" w14:textId="77777777" w:rsidR="008715BE" w:rsidRPr="00EC75B7" w:rsidRDefault="008715BE">
            <w:pPr>
              <w:pStyle w:val="TableParagraph"/>
              <w:spacing w:before="104"/>
              <w:rPr>
                <w:rFonts w:ascii="Verdana" w:hAnsi="Verdana"/>
                <w:b/>
                <w:sz w:val="18"/>
                <w:szCs w:val="18"/>
              </w:rPr>
            </w:pPr>
          </w:p>
          <w:p w14:paraId="427CF5BD" w14:textId="77777777" w:rsidR="008715BE" w:rsidRPr="00EC75B7" w:rsidRDefault="00000000">
            <w:pPr>
              <w:pStyle w:val="TableParagraph"/>
              <w:ind w:left="16" w:right="4"/>
              <w:jc w:val="center"/>
              <w:rPr>
                <w:rFonts w:ascii="Verdana" w:hAnsi="Verdana"/>
                <w:sz w:val="18"/>
                <w:szCs w:val="18"/>
              </w:rPr>
            </w:pPr>
            <w:r w:rsidRPr="00EC75B7">
              <w:rPr>
                <w:rFonts w:ascii="Verdana" w:hAnsi="Verdana"/>
                <w:spacing w:val="-2"/>
                <w:sz w:val="18"/>
                <w:szCs w:val="18"/>
              </w:rPr>
              <w:t>high</w:t>
            </w:r>
          </w:p>
        </w:tc>
        <w:tc>
          <w:tcPr>
            <w:tcW w:w="1132" w:type="dxa"/>
          </w:tcPr>
          <w:p w14:paraId="4EEC3D75" w14:textId="77777777" w:rsidR="008715BE" w:rsidRPr="00EC75B7" w:rsidRDefault="008715BE">
            <w:pPr>
              <w:pStyle w:val="TableParagraph"/>
              <w:rPr>
                <w:rFonts w:ascii="Verdana" w:hAnsi="Verdana"/>
                <w:b/>
                <w:sz w:val="18"/>
                <w:szCs w:val="18"/>
              </w:rPr>
            </w:pPr>
          </w:p>
          <w:p w14:paraId="57FE9DA0" w14:textId="77777777" w:rsidR="008715BE" w:rsidRPr="00EC75B7" w:rsidRDefault="008715BE">
            <w:pPr>
              <w:pStyle w:val="TableParagraph"/>
              <w:spacing w:before="104"/>
              <w:rPr>
                <w:rFonts w:ascii="Verdana" w:hAnsi="Verdana"/>
                <w:b/>
                <w:sz w:val="18"/>
                <w:szCs w:val="18"/>
              </w:rPr>
            </w:pPr>
          </w:p>
          <w:p w14:paraId="5DF1E115" w14:textId="77777777" w:rsidR="008715BE" w:rsidRPr="00EC75B7" w:rsidRDefault="00000000">
            <w:pPr>
              <w:pStyle w:val="TableParagraph"/>
              <w:ind w:left="106"/>
              <w:rPr>
                <w:rFonts w:ascii="Verdana" w:hAnsi="Verdana"/>
                <w:sz w:val="18"/>
                <w:szCs w:val="18"/>
              </w:rPr>
            </w:pPr>
            <w:r w:rsidRPr="00EC75B7">
              <w:rPr>
                <w:rFonts w:ascii="Verdana" w:hAnsi="Verdana"/>
                <w:sz w:val="18"/>
                <w:szCs w:val="18"/>
              </w:rPr>
              <w:t xml:space="preserve">RA1, </w:t>
            </w:r>
            <w:r w:rsidRPr="00EC75B7">
              <w:rPr>
                <w:rFonts w:ascii="Verdana" w:hAnsi="Verdana"/>
                <w:spacing w:val="-5"/>
                <w:sz w:val="18"/>
                <w:szCs w:val="18"/>
              </w:rPr>
              <w:t>RA2</w:t>
            </w:r>
          </w:p>
        </w:tc>
        <w:tc>
          <w:tcPr>
            <w:tcW w:w="5059" w:type="dxa"/>
          </w:tcPr>
          <w:p w14:paraId="2354DA4B" w14:textId="77777777" w:rsidR="008715BE" w:rsidRPr="00EC75B7" w:rsidRDefault="00000000">
            <w:pPr>
              <w:pStyle w:val="TableParagraph"/>
              <w:spacing w:before="8"/>
              <w:ind w:left="110" w:right="92"/>
              <w:jc w:val="both"/>
              <w:rPr>
                <w:rFonts w:ascii="Verdana" w:hAnsi="Verdana"/>
                <w:sz w:val="18"/>
                <w:szCs w:val="18"/>
              </w:rPr>
            </w:pPr>
            <w:r w:rsidRPr="00EC75B7">
              <w:rPr>
                <w:rFonts w:ascii="Verdana" w:hAnsi="Verdana"/>
                <w:sz w:val="18"/>
                <w:szCs w:val="18"/>
              </w:rPr>
              <w:t>Optimization of blade geometry and operating parameters (including tip speed ratio) according to air density variations associated with high temperatures, to maintain aerodynamic efficiency and energy performance in extreme climatic conditions.</w:t>
            </w:r>
          </w:p>
        </w:tc>
        <w:tc>
          <w:tcPr>
            <w:tcW w:w="3545" w:type="dxa"/>
          </w:tcPr>
          <w:p w14:paraId="094725CC" w14:textId="77777777" w:rsidR="008715BE" w:rsidRPr="00EC75B7" w:rsidRDefault="00000000">
            <w:pPr>
              <w:pStyle w:val="TableParagraph"/>
              <w:spacing w:before="8"/>
              <w:ind w:left="108" w:right="94"/>
              <w:jc w:val="both"/>
              <w:rPr>
                <w:rFonts w:ascii="Verdana" w:hAnsi="Verdana"/>
                <w:sz w:val="18"/>
                <w:szCs w:val="18"/>
              </w:rPr>
            </w:pPr>
            <w:r w:rsidRPr="00EC75B7">
              <w:rPr>
                <w:rFonts w:ascii="Verdana" w:hAnsi="Verdana"/>
                <w:sz w:val="18"/>
                <w:szCs w:val="18"/>
              </w:rPr>
              <w:t xml:space="preserve">Increase the frequency of preventive maintenance and cleaning activities, including the removal of dust, particles, and atmospheric pollutants from blades and exposed components, </w:t>
            </w:r>
            <w:r w:rsidRPr="00EC75B7">
              <w:rPr>
                <w:rFonts w:ascii="Verdana" w:hAnsi="Verdana"/>
                <w:spacing w:val="-10"/>
                <w:sz w:val="18"/>
                <w:szCs w:val="18"/>
              </w:rPr>
              <w:t>to</w:t>
            </w:r>
          </w:p>
          <w:p w14:paraId="0981BF95" w14:textId="77777777" w:rsidR="008715BE" w:rsidRPr="00EC75B7" w:rsidRDefault="00000000">
            <w:pPr>
              <w:pStyle w:val="TableParagraph"/>
              <w:spacing w:line="164" w:lineRule="exact"/>
              <w:ind w:left="108"/>
              <w:jc w:val="both"/>
              <w:rPr>
                <w:rFonts w:ascii="Verdana" w:hAnsi="Verdana"/>
                <w:sz w:val="18"/>
                <w:szCs w:val="18"/>
              </w:rPr>
            </w:pPr>
            <w:r w:rsidRPr="00EC75B7">
              <w:rPr>
                <w:rFonts w:ascii="Verdana" w:hAnsi="Verdana"/>
                <w:spacing w:val="31"/>
                <w:sz w:val="18"/>
                <w:szCs w:val="18"/>
              </w:rPr>
              <w:t xml:space="preserve">    </w:t>
            </w:r>
            <w:r w:rsidRPr="00EC75B7">
              <w:rPr>
                <w:rFonts w:ascii="Verdana" w:hAnsi="Verdana"/>
                <w:sz w:val="18"/>
                <w:szCs w:val="18"/>
              </w:rPr>
              <w:t xml:space="preserve"> ly reduce aerodynamic losses,</w:t>
            </w:r>
            <w:r w:rsidRPr="00EC75B7">
              <w:rPr>
                <w:rFonts w:ascii="Verdana" w:hAnsi="Verdana"/>
                <w:spacing w:val="32"/>
                <w:sz w:val="18"/>
                <w:szCs w:val="18"/>
              </w:rPr>
              <w:t xml:space="preserve">  </w:t>
            </w:r>
            <w:r w:rsidRPr="00EC75B7">
              <w:rPr>
                <w:rFonts w:ascii="Verdana" w:hAnsi="Verdana"/>
                <w:spacing w:val="-2"/>
                <w:sz w:val="18"/>
                <w:szCs w:val="18"/>
              </w:rPr>
              <w:t xml:space="preserve"> ly reduce wear</w:t>
            </w:r>
          </w:p>
        </w:tc>
      </w:tr>
    </w:tbl>
    <w:p w14:paraId="69654986" w14:textId="77777777" w:rsidR="008715BE" w:rsidRPr="00EC75B7" w:rsidRDefault="008715BE">
      <w:pPr>
        <w:pStyle w:val="TableParagraph"/>
        <w:spacing w:line="164" w:lineRule="exact"/>
        <w:jc w:val="both"/>
        <w:rPr>
          <w:rFonts w:ascii="Verdana" w:hAnsi="Verdana"/>
          <w:sz w:val="18"/>
          <w:szCs w:val="18"/>
        </w:rPr>
        <w:sectPr w:rsidR="008715BE" w:rsidRPr="00EC75B7">
          <w:type w:val="continuous"/>
          <w:pgSz w:w="16840" w:h="11910" w:orient="landscape"/>
          <w:pgMar w:top="1340" w:right="1417" w:bottom="1020" w:left="850" w:header="766" w:footer="824" w:gutter="0"/>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8715BE" w:rsidRPr="00EC75B7" w14:paraId="1F0D12CE" w14:textId="77777777">
        <w:trPr>
          <w:trHeight w:val="1679"/>
        </w:trPr>
        <w:tc>
          <w:tcPr>
            <w:tcW w:w="2542" w:type="dxa"/>
            <w:shd w:val="clear" w:color="auto" w:fill="00AFEF"/>
          </w:tcPr>
          <w:p w14:paraId="6DC294DC" w14:textId="77777777" w:rsidR="008715BE" w:rsidRPr="00EC75B7" w:rsidRDefault="008715BE">
            <w:pPr>
              <w:pStyle w:val="TableParagraph"/>
              <w:rPr>
                <w:rFonts w:ascii="Verdana" w:hAnsi="Verdana"/>
                <w:b/>
                <w:sz w:val="18"/>
                <w:szCs w:val="18"/>
              </w:rPr>
            </w:pPr>
          </w:p>
          <w:p w14:paraId="5CD5AD70" w14:textId="77777777" w:rsidR="008715BE" w:rsidRPr="00EC75B7" w:rsidRDefault="008715BE">
            <w:pPr>
              <w:pStyle w:val="TableParagraph"/>
              <w:rPr>
                <w:rFonts w:ascii="Verdana" w:hAnsi="Verdana"/>
                <w:b/>
                <w:sz w:val="18"/>
                <w:szCs w:val="18"/>
              </w:rPr>
            </w:pPr>
          </w:p>
          <w:p w14:paraId="0C6B82B9" w14:textId="77777777" w:rsidR="008715BE" w:rsidRPr="00EC75B7" w:rsidRDefault="008715BE">
            <w:pPr>
              <w:pStyle w:val="TableParagraph"/>
              <w:spacing w:before="166"/>
              <w:rPr>
                <w:rFonts w:ascii="Verdana" w:hAnsi="Verdana"/>
                <w:b/>
                <w:sz w:val="18"/>
                <w:szCs w:val="18"/>
              </w:rPr>
            </w:pPr>
          </w:p>
          <w:p w14:paraId="1382AF4D"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pacing w:val="-2"/>
                <w:sz w:val="18"/>
                <w:szCs w:val="18"/>
              </w:rPr>
              <w:t xml:space="preserve">Climatic </w:t>
            </w:r>
            <w:r w:rsidRPr="00EC75B7">
              <w:rPr>
                <w:rFonts w:ascii="Verdana" w:hAnsi="Verdana"/>
                <w:b/>
                <w:color w:val="FFFFFF"/>
                <w:sz w:val="18"/>
                <w:szCs w:val="18"/>
              </w:rPr>
              <w:t>hazard</w:t>
            </w:r>
          </w:p>
        </w:tc>
        <w:tc>
          <w:tcPr>
            <w:tcW w:w="422" w:type="dxa"/>
            <w:shd w:val="clear" w:color="auto" w:fill="00AFEF"/>
            <w:textDirection w:val="btLr"/>
          </w:tcPr>
          <w:p w14:paraId="178BEA60" w14:textId="77777777" w:rsidR="008715BE" w:rsidRPr="00EC75B7" w:rsidRDefault="00000000">
            <w:pPr>
              <w:pStyle w:val="TableParagraph"/>
              <w:spacing w:before="121"/>
              <w:ind w:left="258"/>
              <w:rPr>
                <w:rFonts w:ascii="Verdana" w:hAnsi="Verdana"/>
                <w:b/>
                <w:sz w:val="18"/>
                <w:szCs w:val="18"/>
              </w:rPr>
            </w:pPr>
            <w:r w:rsidRPr="00EC75B7">
              <w:rPr>
                <w:rFonts w:ascii="Verdana" w:hAnsi="Verdana"/>
                <w:b/>
                <w:color w:val="FFFFFF"/>
                <w:spacing w:val="-2"/>
                <w:sz w:val="18"/>
                <w:szCs w:val="18"/>
              </w:rPr>
              <w:t>Probability</w:t>
            </w:r>
          </w:p>
        </w:tc>
        <w:tc>
          <w:tcPr>
            <w:tcW w:w="422" w:type="dxa"/>
            <w:shd w:val="clear" w:color="auto" w:fill="00AFEF"/>
            <w:textDirection w:val="btLr"/>
          </w:tcPr>
          <w:p w14:paraId="6DAB30B3" w14:textId="77777777" w:rsidR="008715BE" w:rsidRPr="00EC75B7" w:rsidRDefault="00000000">
            <w:pPr>
              <w:pStyle w:val="TableParagraph"/>
              <w:spacing w:before="121"/>
              <w:ind w:left="376"/>
              <w:rPr>
                <w:rFonts w:ascii="Verdana" w:hAnsi="Verdana"/>
                <w:b/>
                <w:sz w:val="18"/>
                <w:szCs w:val="18"/>
              </w:rPr>
            </w:pPr>
            <w:r w:rsidRPr="00EC75B7">
              <w:rPr>
                <w:rFonts w:ascii="Verdana" w:hAnsi="Verdana"/>
                <w:b/>
                <w:color w:val="FFFFFF"/>
                <w:spacing w:val="-2"/>
                <w:sz w:val="18"/>
                <w:szCs w:val="18"/>
              </w:rPr>
              <w:t>Severity</w:t>
            </w:r>
          </w:p>
        </w:tc>
        <w:tc>
          <w:tcPr>
            <w:tcW w:w="439" w:type="dxa"/>
            <w:shd w:val="clear" w:color="auto" w:fill="00AFEF"/>
            <w:textDirection w:val="btLr"/>
          </w:tcPr>
          <w:p w14:paraId="5B783C56" w14:textId="77777777" w:rsidR="008715BE" w:rsidRPr="00EC75B7" w:rsidRDefault="00000000">
            <w:pPr>
              <w:pStyle w:val="TableParagraph"/>
              <w:spacing w:before="131"/>
              <w:ind w:left="18" w:right="18"/>
              <w:jc w:val="center"/>
              <w:rPr>
                <w:rFonts w:ascii="Verdana" w:hAnsi="Verdana"/>
                <w:b/>
                <w:sz w:val="18"/>
                <w:szCs w:val="18"/>
              </w:rPr>
            </w:pPr>
            <w:r w:rsidRPr="00EC75B7">
              <w:rPr>
                <w:rFonts w:ascii="Verdana" w:hAnsi="Verdana"/>
                <w:b/>
                <w:color w:val="FFFFFF"/>
                <w:spacing w:val="-4"/>
                <w:sz w:val="18"/>
                <w:szCs w:val="18"/>
              </w:rPr>
              <w:t>Risk</w:t>
            </w:r>
          </w:p>
        </w:tc>
        <w:tc>
          <w:tcPr>
            <w:tcW w:w="893" w:type="dxa"/>
            <w:shd w:val="clear" w:color="auto" w:fill="00AFEF"/>
            <w:textDirection w:val="btLr"/>
          </w:tcPr>
          <w:p w14:paraId="2EAF8C14" w14:textId="77777777" w:rsidR="008715BE" w:rsidRPr="00EC75B7" w:rsidRDefault="008715BE">
            <w:pPr>
              <w:pStyle w:val="TableParagraph"/>
              <w:spacing w:before="161"/>
              <w:rPr>
                <w:rFonts w:ascii="Verdana" w:hAnsi="Verdana"/>
                <w:b/>
                <w:sz w:val="18"/>
                <w:szCs w:val="18"/>
              </w:rPr>
            </w:pPr>
          </w:p>
          <w:p w14:paraId="1F9DB721" w14:textId="77777777" w:rsidR="008715BE" w:rsidRPr="00EC75B7" w:rsidRDefault="00000000">
            <w:pPr>
              <w:pStyle w:val="TableParagraph"/>
              <w:spacing w:before="1"/>
              <w:ind w:left="422"/>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level</w:t>
            </w:r>
          </w:p>
        </w:tc>
        <w:tc>
          <w:tcPr>
            <w:tcW w:w="1132" w:type="dxa"/>
            <w:shd w:val="clear" w:color="auto" w:fill="00AFEF"/>
          </w:tcPr>
          <w:p w14:paraId="00873AFE" w14:textId="77777777" w:rsidR="008715BE" w:rsidRPr="00EC75B7" w:rsidRDefault="008715BE">
            <w:pPr>
              <w:pStyle w:val="TableParagraph"/>
              <w:rPr>
                <w:rFonts w:ascii="Verdana" w:hAnsi="Verdana"/>
                <w:b/>
                <w:sz w:val="18"/>
                <w:szCs w:val="18"/>
              </w:rPr>
            </w:pPr>
          </w:p>
          <w:p w14:paraId="5EEED91F" w14:textId="77777777" w:rsidR="008715BE" w:rsidRPr="00EC75B7" w:rsidRDefault="008715BE">
            <w:pPr>
              <w:pStyle w:val="TableParagraph"/>
              <w:spacing w:before="167"/>
              <w:rPr>
                <w:rFonts w:ascii="Verdana" w:hAnsi="Verdana"/>
                <w:b/>
                <w:sz w:val="18"/>
                <w:szCs w:val="18"/>
              </w:rPr>
            </w:pPr>
          </w:p>
          <w:p w14:paraId="0C0C529B" w14:textId="77777777" w:rsidR="008715BE" w:rsidRPr="00EC75B7" w:rsidRDefault="00000000">
            <w:pPr>
              <w:pStyle w:val="TableParagraph"/>
              <w:ind w:left="243" w:hanging="82"/>
              <w:rPr>
                <w:rFonts w:ascii="Verdana" w:hAnsi="Verdana"/>
                <w:b/>
                <w:sz w:val="18"/>
                <w:szCs w:val="18"/>
              </w:rPr>
            </w:pPr>
            <w:r w:rsidRPr="00EC75B7">
              <w:rPr>
                <w:rFonts w:ascii="Verdana" w:hAnsi="Verdana"/>
                <w:b/>
                <w:color w:val="FFFFFF"/>
                <w:spacing w:val="-2"/>
                <w:sz w:val="18"/>
                <w:szCs w:val="18"/>
              </w:rPr>
              <w:t>Associated</w:t>
            </w:r>
            <w:r w:rsidRPr="00EC75B7">
              <w:rPr>
                <w:rFonts w:ascii="Verdana" w:hAnsi="Verdana"/>
                <w:b/>
                <w:color w:val="FFFFFF"/>
                <w:sz w:val="18"/>
                <w:szCs w:val="18"/>
              </w:rPr>
              <w:t xml:space="preserve"> risk</w:t>
            </w:r>
            <w:r w:rsidRPr="00EC75B7">
              <w:rPr>
                <w:rFonts w:ascii="Verdana" w:hAnsi="Verdana"/>
                <w:b/>
                <w:color w:val="FFFFFF"/>
                <w:spacing w:val="-2"/>
                <w:sz w:val="18"/>
                <w:szCs w:val="18"/>
              </w:rPr>
              <w:t xml:space="preserve"> area</w:t>
            </w:r>
          </w:p>
        </w:tc>
        <w:tc>
          <w:tcPr>
            <w:tcW w:w="5059" w:type="dxa"/>
            <w:shd w:val="clear" w:color="auto" w:fill="00AFEF"/>
          </w:tcPr>
          <w:p w14:paraId="4FC9C92B" w14:textId="77777777" w:rsidR="008715BE" w:rsidRPr="00EC75B7" w:rsidRDefault="008715BE">
            <w:pPr>
              <w:pStyle w:val="TableParagraph"/>
              <w:rPr>
                <w:rFonts w:ascii="Verdana" w:hAnsi="Verdana"/>
                <w:b/>
                <w:sz w:val="18"/>
                <w:szCs w:val="18"/>
              </w:rPr>
            </w:pPr>
          </w:p>
          <w:p w14:paraId="0B374DB1" w14:textId="77777777" w:rsidR="008715BE" w:rsidRPr="00EC75B7" w:rsidRDefault="008715BE">
            <w:pPr>
              <w:pStyle w:val="TableParagraph"/>
              <w:rPr>
                <w:rFonts w:ascii="Verdana" w:hAnsi="Verdana"/>
                <w:b/>
                <w:sz w:val="18"/>
                <w:szCs w:val="18"/>
              </w:rPr>
            </w:pPr>
          </w:p>
          <w:p w14:paraId="63AC3552" w14:textId="77777777" w:rsidR="008715BE" w:rsidRPr="00EC75B7" w:rsidRDefault="008715BE">
            <w:pPr>
              <w:pStyle w:val="TableParagraph"/>
              <w:spacing w:before="166"/>
              <w:rPr>
                <w:rFonts w:ascii="Verdana" w:hAnsi="Verdana"/>
                <w:b/>
                <w:sz w:val="18"/>
                <w:szCs w:val="18"/>
              </w:rPr>
            </w:pPr>
          </w:p>
          <w:p w14:paraId="60868991" w14:textId="77777777" w:rsidR="008715BE" w:rsidRPr="00EC75B7" w:rsidRDefault="00000000">
            <w:pPr>
              <w:pStyle w:val="TableParagraph"/>
              <w:ind w:left="998"/>
              <w:rPr>
                <w:rFonts w:ascii="Verdana" w:hAnsi="Verdana"/>
                <w:b/>
                <w:sz w:val="18"/>
                <w:szCs w:val="18"/>
              </w:rPr>
            </w:pPr>
            <w:r w:rsidRPr="00EC75B7">
              <w:rPr>
                <w:rFonts w:ascii="Verdana" w:hAnsi="Verdana"/>
                <w:b/>
                <w:color w:val="FFFFFF"/>
                <w:sz w:val="18"/>
                <w:szCs w:val="18"/>
              </w:rPr>
              <w:t xml:space="preserve">Design and </w:t>
            </w:r>
            <w:r w:rsidRPr="00EC75B7">
              <w:rPr>
                <w:rFonts w:ascii="Verdana" w:hAnsi="Verdana"/>
                <w:b/>
                <w:color w:val="FFFFFF"/>
                <w:spacing w:val="-2"/>
                <w:sz w:val="18"/>
                <w:szCs w:val="18"/>
              </w:rPr>
              <w:t xml:space="preserve">construction </w:t>
            </w:r>
            <w:r w:rsidRPr="00EC75B7">
              <w:rPr>
                <w:rFonts w:ascii="Verdana" w:hAnsi="Verdana"/>
                <w:b/>
                <w:color w:val="FFFFFF"/>
                <w:sz w:val="18"/>
                <w:szCs w:val="18"/>
              </w:rPr>
              <w:t>measures</w:t>
            </w:r>
          </w:p>
        </w:tc>
        <w:tc>
          <w:tcPr>
            <w:tcW w:w="3545" w:type="dxa"/>
            <w:shd w:val="clear" w:color="auto" w:fill="00AFEF"/>
          </w:tcPr>
          <w:p w14:paraId="24586668" w14:textId="77777777" w:rsidR="008715BE" w:rsidRPr="00EC75B7" w:rsidRDefault="008715BE">
            <w:pPr>
              <w:pStyle w:val="TableParagraph"/>
              <w:rPr>
                <w:rFonts w:ascii="Verdana" w:hAnsi="Verdana"/>
                <w:b/>
                <w:sz w:val="18"/>
                <w:szCs w:val="18"/>
              </w:rPr>
            </w:pPr>
          </w:p>
          <w:p w14:paraId="6E5D5861" w14:textId="77777777" w:rsidR="008715BE" w:rsidRPr="00EC75B7" w:rsidRDefault="008715BE">
            <w:pPr>
              <w:pStyle w:val="TableParagraph"/>
              <w:rPr>
                <w:rFonts w:ascii="Verdana" w:hAnsi="Verdana"/>
                <w:b/>
                <w:sz w:val="18"/>
                <w:szCs w:val="18"/>
              </w:rPr>
            </w:pPr>
          </w:p>
          <w:p w14:paraId="0E146EB6" w14:textId="77777777" w:rsidR="008715BE" w:rsidRPr="00EC75B7" w:rsidRDefault="008715BE">
            <w:pPr>
              <w:pStyle w:val="TableParagraph"/>
              <w:spacing w:before="166"/>
              <w:rPr>
                <w:rFonts w:ascii="Verdana" w:hAnsi="Verdana"/>
                <w:b/>
                <w:sz w:val="18"/>
                <w:szCs w:val="18"/>
              </w:rPr>
            </w:pPr>
          </w:p>
          <w:p w14:paraId="40E7FE21" w14:textId="77777777" w:rsidR="008715BE" w:rsidRPr="00EC75B7" w:rsidRDefault="00000000">
            <w:pPr>
              <w:pStyle w:val="TableParagraph"/>
              <w:ind w:left="485"/>
              <w:rPr>
                <w:rFonts w:ascii="Verdana" w:hAnsi="Verdana"/>
                <w:b/>
                <w:sz w:val="18"/>
                <w:szCs w:val="18"/>
              </w:rPr>
            </w:pPr>
            <w:r w:rsidRPr="00EC75B7">
              <w:rPr>
                <w:rFonts w:ascii="Verdana" w:hAnsi="Verdana"/>
                <w:b/>
                <w:color w:val="FFFFFF"/>
                <w:sz w:val="18"/>
                <w:szCs w:val="18"/>
              </w:rPr>
              <w:t xml:space="preserve">Operation and </w:t>
            </w:r>
            <w:r w:rsidRPr="00EC75B7">
              <w:rPr>
                <w:rFonts w:ascii="Verdana" w:hAnsi="Verdana"/>
                <w:b/>
                <w:color w:val="FFFFFF"/>
                <w:spacing w:val="-2"/>
                <w:sz w:val="18"/>
                <w:szCs w:val="18"/>
              </w:rPr>
              <w:t xml:space="preserve">maintenance </w:t>
            </w:r>
            <w:r w:rsidRPr="00EC75B7">
              <w:rPr>
                <w:rFonts w:ascii="Verdana" w:hAnsi="Verdana"/>
                <w:b/>
                <w:color w:val="FFFFFF"/>
                <w:sz w:val="18"/>
                <w:szCs w:val="18"/>
              </w:rPr>
              <w:t>measures</w:t>
            </w:r>
          </w:p>
        </w:tc>
      </w:tr>
      <w:tr w:rsidR="008715BE" w:rsidRPr="00EC75B7" w14:paraId="435B4B5F" w14:textId="77777777">
        <w:trPr>
          <w:trHeight w:val="388"/>
        </w:trPr>
        <w:tc>
          <w:tcPr>
            <w:tcW w:w="2542" w:type="dxa"/>
          </w:tcPr>
          <w:p w14:paraId="53972201" w14:textId="77777777" w:rsidR="008715BE" w:rsidRPr="00EC75B7" w:rsidRDefault="008715BE">
            <w:pPr>
              <w:pStyle w:val="TableParagraph"/>
              <w:rPr>
                <w:rFonts w:ascii="Verdana" w:hAnsi="Verdana"/>
                <w:sz w:val="18"/>
                <w:szCs w:val="18"/>
              </w:rPr>
            </w:pPr>
          </w:p>
        </w:tc>
        <w:tc>
          <w:tcPr>
            <w:tcW w:w="422" w:type="dxa"/>
          </w:tcPr>
          <w:p w14:paraId="680070E7" w14:textId="77777777" w:rsidR="008715BE" w:rsidRPr="00EC75B7" w:rsidRDefault="008715BE">
            <w:pPr>
              <w:pStyle w:val="TableParagraph"/>
              <w:rPr>
                <w:rFonts w:ascii="Verdana" w:hAnsi="Verdana"/>
                <w:sz w:val="18"/>
                <w:szCs w:val="18"/>
              </w:rPr>
            </w:pPr>
          </w:p>
        </w:tc>
        <w:tc>
          <w:tcPr>
            <w:tcW w:w="422" w:type="dxa"/>
          </w:tcPr>
          <w:p w14:paraId="73F84760" w14:textId="77777777" w:rsidR="008715BE" w:rsidRPr="00EC75B7" w:rsidRDefault="008715BE">
            <w:pPr>
              <w:pStyle w:val="TableParagraph"/>
              <w:rPr>
                <w:rFonts w:ascii="Verdana" w:hAnsi="Verdana"/>
                <w:sz w:val="18"/>
                <w:szCs w:val="18"/>
              </w:rPr>
            </w:pPr>
          </w:p>
        </w:tc>
        <w:tc>
          <w:tcPr>
            <w:tcW w:w="439" w:type="dxa"/>
            <w:shd w:val="clear" w:color="auto" w:fill="FAB48D"/>
          </w:tcPr>
          <w:p w14:paraId="16D71893" w14:textId="77777777" w:rsidR="008715BE" w:rsidRPr="00EC75B7" w:rsidRDefault="008715BE">
            <w:pPr>
              <w:pStyle w:val="TableParagraph"/>
              <w:rPr>
                <w:rFonts w:ascii="Verdana" w:hAnsi="Verdana"/>
                <w:sz w:val="18"/>
                <w:szCs w:val="18"/>
              </w:rPr>
            </w:pPr>
          </w:p>
        </w:tc>
        <w:tc>
          <w:tcPr>
            <w:tcW w:w="893" w:type="dxa"/>
          </w:tcPr>
          <w:p w14:paraId="54D68C0E" w14:textId="77777777" w:rsidR="008715BE" w:rsidRPr="00EC75B7" w:rsidRDefault="008715BE">
            <w:pPr>
              <w:pStyle w:val="TableParagraph"/>
              <w:rPr>
                <w:rFonts w:ascii="Verdana" w:hAnsi="Verdana"/>
                <w:sz w:val="18"/>
                <w:szCs w:val="18"/>
              </w:rPr>
            </w:pPr>
          </w:p>
        </w:tc>
        <w:tc>
          <w:tcPr>
            <w:tcW w:w="1132" w:type="dxa"/>
          </w:tcPr>
          <w:p w14:paraId="45C7C7F5" w14:textId="77777777" w:rsidR="008715BE" w:rsidRPr="00EC75B7" w:rsidRDefault="008715BE">
            <w:pPr>
              <w:pStyle w:val="TableParagraph"/>
              <w:rPr>
                <w:rFonts w:ascii="Verdana" w:hAnsi="Verdana"/>
                <w:sz w:val="18"/>
                <w:szCs w:val="18"/>
              </w:rPr>
            </w:pPr>
          </w:p>
        </w:tc>
        <w:tc>
          <w:tcPr>
            <w:tcW w:w="5059" w:type="dxa"/>
          </w:tcPr>
          <w:p w14:paraId="1C4ED7CD" w14:textId="77777777" w:rsidR="008715BE" w:rsidRPr="00EC75B7" w:rsidRDefault="008715BE">
            <w:pPr>
              <w:pStyle w:val="TableParagraph"/>
              <w:rPr>
                <w:rFonts w:ascii="Verdana" w:hAnsi="Verdana"/>
                <w:sz w:val="18"/>
                <w:szCs w:val="18"/>
              </w:rPr>
            </w:pPr>
          </w:p>
        </w:tc>
        <w:tc>
          <w:tcPr>
            <w:tcW w:w="3545" w:type="dxa"/>
          </w:tcPr>
          <w:p w14:paraId="17B98621"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Accelerated and risk of failure</w:t>
            </w:r>
            <w:r w:rsidRPr="00EC75B7">
              <w:rPr>
                <w:rFonts w:ascii="Verdana" w:hAnsi="Verdana"/>
                <w:spacing w:val="40"/>
                <w:sz w:val="18"/>
                <w:szCs w:val="18"/>
              </w:rPr>
              <w:t xml:space="preserve">  </w:t>
            </w:r>
            <w:r w:rsidRPr="00EC75B7">
              <w:rPr>
                <w:rFonts w:ascii="Verdana" w:hAnsi="Verdana"/>
                <w:sz w:val="18"/>
                <w:szCs w:val="18"/>
              </w:rPr>
              <w:t xml:space="preserve"> during periods of drought and wind.</w:t>
            </w:r>
          </w:p>
        </w:tc>
      </w:tr>
      <w:tr w:rsidR="008715BE" w:rsidRPr="00EC75B7" w14:paraId="71FAC0E4" w14:textId="77777777">
        <w:trPr>
          <w:trHeight w:val="2918"/>
        </w:trPr>
        <w:tc>
          <w:tcPr>
            <w:tcW w:w="2542" w:type="dxa"/>
          </w:tcPr>
          <w:p w14:paraId="20675BDF" w14:textId="77777777" w:rsidR="008715BE" w:rsidRPr="00EC75B7" w:rsidRDefault="008715BE">
            <w:pPr>
              <w:pStyle w:val="TableParagraph"/>
              <w:rPr>
                <w:rFonts w:ascii="Verdana" w:hAnsi="Verdana"/>
                <w:b/>
                <w:sz w:val="18"/>
                <w:szCs w:val="18"/>
              </w:rPr>
            </w:pPr>
          </w:p>
          <w:p w14:paraId="383C441E" w14:textId="77777777" w:rsidR="008715BE" w:rsidRPr="00EC75B7" w:rsidRDefault="008715BE">
            <w:pPr>
              <w:pStyle w:val="TableParagraph"/>
              <w:rPr>
                <w:rFonts w:ascii="Verdana" w:hAnsi="Verdana"/>
                <w:b/>
                <w:sz w:val="18"/>
                <w:szCs w:val="18"/>
              </w:rPr>
            </w:pPr>
          </w:p>
          <w:p w14:paraId="7B0DFF06" w14:textId="77777777" w:rsidR="008715BE" w:rsidRPr="00EC75B7" w:rsidRDefault="008715BE">
            <w:pPr>
              <w:pStyle w:val="TableParagraph"/>
              <w:rPr>
                <w:rFonts w:ascii="Verdana" w:hAnsi="Verdana"/>
                <w:b/>
                <w:sz w:val="18"/>
                <w:szCs w:val="18"/>
              </w:rPr>
            </w:pPr>
          </w:p>
          <w:p w14:paraId="62FD77FF" w14:textId="77777777" w:rsidR="008715BE" w:rsidRPr="00EC75B7" w:rsidRDefault="008715BE">
            <w:pPr>
              <w:pStyle w:val="TableParagraph"/>
              <w:rPr>
                <w:rFonts w:ascii="Verdana" w:hAnsi="Verdana"/>
                <w:b/>
                <w:sz w:val="18"/>
                <w:szCs w:val="18"/>
              </w:rPr>
            </w:pPr>
          </w:p>
          <w:p w14:paraId="30F1645A" w14:textId="77777777" w:rsidR="008715BE" w:rsidRPr="00EC75B7" w:rsidRDefault="008715BE">
            <w:pPr>
              <w:pStyle w:val="TableParagraph"/>
              <w:rPr>
                <w:rFonts w:ascii="Verdana" w:hAnsi="Verdana"/>
                <w:b/>
                <w:sz w:val="18"/>
                <w:szCs w:val="18"/>
              </w:rPr>
            </w:pPr>
          </w:p>
          <w:p w14:paraId="37A3AE0F" w14:textId="77777777" w:rsidR="008715BE" w:rsidRPr="00EC75B7" w:rsidRDefault="008715BE">
            <w:pPr>
              <w:pStyle w:val="TableParagraph"/>
              <w:rPr>
                <w:rFonts w:ascii="Verdana" w:hAnsi="Verdana"/>
                <w:b/>
                <w:sz w:val="18"/>
                <w:szCs w:val="18"/>
              </w:rPr>
            </w:pPr>
          </w:p>
          <w:p w14:paraId="1D59355E" w14:textId="77777777" w:rsidR="008715BE" w:rsidRPr="00EC75B7" w:rsidRDefault="008715BE">
            <w:pPr>
              <w:pStyle w:val="TableParagraph"/>
              <w:spacing w:before="4"/>
              <w:rPr>
                <w:rFonts w:ascii="Verdana" w:hAnsi="Verdana"/>
                <w:b/>
                <w:sz w:val="18"/>
                <w:szCs w:val="18"/>
              </w:rPr>
            </w:pPr>
          </w:p>
          <w:p w14:paraId="0261084E" w14:textId="77777777" w:rsidR="008715BE" w:rsidRPr="00EC75B7" w:rsidRDefault="00000000">
            <w:pPr>
              <w:pStyle w:val="TableParagraph"/>
              <w:spacing w:before="1"/>
              <w:ind w:left="107"/>
              <w:rPr>
                <w:rFonts w:ascii="Verdana" w:hAnsi="Verdana"/>
                <w:sz w:val="18"/>
                <w:szCs w:val="18"/>
              </w:rPr>
            </w:pPr>
            <w:r w:rsidRPr="00EC75B7">
              <w:rPr>
                <w:rFonts w:ascii="Verdana" w:hAnsi="Verdana"/>
                <w:spacing w:val="-2"/>
                <w:sz w:val="18"/>
                <w:szCs w:val="18"/>
              </w:rPr>
              <w:t>Drought</w:t>
            </w:r>
          </w:p>
        </w:tc>
        <w:tc>
          <w:tcPr>
            <w:tcW w:w="422" w:type="dxa"/>
          </w:tcPr>
          <w:p w14:paraId="5F8851CE" w14:textId="77777777" w:rsidR="008715BE" w:rsidRPr="00EC75B7" w:rsidRDefault="008715BE">
            <w:pPr>
              <w:pStyle w:val="TableParagraph"/>
              <w:rPr>
                <w:rFonts w:ascii="Verdana" w:hAnsi="Verdana"/>
                <w:b/>
                <w:sz w:val="18"/>
                <w:szCs w:val="18"/>
              </w:rPr>
            </w:pPr>
          </w:p>
          <w:p w14:paraId="0BB731E5" w14:textId="77777777" w:rsidR="008715BE" w:rsidRPr="00EC75B7" w:rsidRDefault="008715BE">
            <w:pPr>
              <w:pStyle w:val="TableParagraph"/>
              <w:rPr>
                <w:rFonts w:ascii="Verdana" w:hAnsi="Verdana"/>
                <w:b/>
                <w:sz w:val="18"/>
                <w:szCs w:val="18"/>
              </w:rPr>
            </w:pPr>
          </w:p>
          <w:p w14:paraId="0E01D172" w14:textId="77777777" w:rsidR="008715BE" w:rsidRPr="00EC75B7" w:rsidRDefault="008715BE">
            <w:pPr>
              <w:pStyle w:val="TableParagraph"/>
              <w:rPr>
                <w:rFonts w:ascii="Verdana" w:hAnsi="Verdana"/>
                <w:b/>
                <w:sz w:val="18"/>
                <w:szCs w:val="18"/>
              </w:rPr>
            </w:pPr>
          </w:p>
          <w:p w14:paraId="76CCBF2E" w14:textId="77777777" w:rsidR="008715BE" w:rsidRPr="00EC75B7" w:rsidRDefault="008715BE">
            <w:pPr>
              <w:pStyle w:val="TableParagraph"/>
              <w:rPr>
                <w:rFonts w:ascii="Verdana" w:hAnsi="Verdana"/>
                <w:b/>
                <w:sz w:val="18"/>
                <w:szCs w:val="18"/>
              </w:rPr>
            </w:pPr>
          </w:p>
          <w:p w14:paraId="27CF2D77" w14:textId="77777777" w:rsidR="008715BE" w:rsidRPr="00EC75B7" w:rsidRDefault="008715BE">
            <w:pPr>
              <w:pStyle w:val="TableParagraph"/>
              <w:rPr>
                <w:rFonts w:ascii="Verdana" w:hAnsi="Verdana"/>
                <w:b/>
                <w:sz w:val="18"/>
                <w:szCs w:val="18"/>
              </w:rPr>
            </w:pPr>
          </w:p>
          <w:p w14:paraId="520FFB7B" w14:textId="77777777" w:rsidR="008715BE" w:rsidRPr="00EC75B7" w:rsidRDefault="008715BE">
            <w:pPr>
              <w:pStyle w:val="TableParagraph"/>
              <w:rPr>
                <w:rFonts w:ascii="Verdana" w:hAnsi="Verdana"/>
                <w:b/>
                <w:sz w:val="18"/>
                <w:szCs w:val="18"/>
              </w:rPr>
            </w:pPr>
          </w:p>
          <w:p w14:paraId="4A2F81F0" w14:textId="77777777" w:rsidR="008715BE" w:rsidRPr="00EC75B7" w:rsidRDefault="008715BE">
            <w:pPr>
              <w:pStyle w:val="TableParagraph"/>
              <w:spacing w:before="4"/>
              <w:rPr>
                <w:rFonts w:ascii="Verdana" w:hAnsi="Verdana"/>
                <w:b/>
                <w:sz w:val="18"/>
                <w:szCs w:val="18"/>
              </w:rPr>
            </w:pPr>
          </w:p>
          <w:p w14:paraId="1B98AF61"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10"/>
                <w:sz w:val="18"/>
                <w:szCs w:val="18"/>
              </w:rPr>
              <w:t>4</w:t>
            </w:r>
          </w:p>
        </w:tc>
        <w:tc>
          <w:tcPr>
            <w:tcW w:w="422" w:type="dxa"/>
          </w:tcPr>
          <w:p w14:paraId="4B8CD1E3" w14:textId="77777777" w:rsidR="008715BE" w:rsidRPr="00EC75B7" w:rsidRDefault="008715BE">
            <w:pPr>
              <w:pStyle w:val="TableParagraph"/>
              <w:rPr>
                <w:rFonts w:ascii="Verdana" w:hAnsi="Verdana"/>
                <w:b/>
                <w:sz w:val="18"/>
                <w:szCs w:val="18"/>
              </w:rPr>
            </w:pPr>
          </w:p>
          <w:p w14:paraId="745CCD66" w14:textId="77777777" w:rsidR="008715BE" w:rsidRPr="00EC75B7" w:rsidRDefault="008715BE">
            <w:pPr>
              <w:pStyle w:val="TableParagraph"/>
              <w:rPr>
                <w:rFonts w:ascii="Verdana" w:hAnsi="Verdana"/>
                <w:b/>
                <w:sz w:val="18"/>
                <w:szCs w:val="18"/>
              </w:rPr>
            </w:pPr>
          </w:p>
          <w:p w14:paraId="2740BD63" w14:textId="77777777" w:rsidR="008715BE" w:rsidRPr="00EC75B7" w:rsidRDefault="008715BE">
            <w:pPr>
              <w:pStyle w:val="TableParagraph"/>
              <w:rPr>
                <w:rFonts w:ascii="Verdana" w:hAnsi="Verdana"/>
                <w:b/>
                <w:sz w:val="18"/>
                <w:szCs w:val="18"/>
              </w:rPr>
            </w:pPr>
          </w:p>
          <w:p w14:paraId="79AE5834" w14:textId="77777777" w:rsidR="008715BE" w:rsidRPr="00EC75B7" w:rsidRDefault="008715BE">
            <w:pPr>
              <w:pStyle w:val="TableParagraph"/>
              <w:rPr>
                <w:rFonts w:ascii="Verdana" w:hAnsi="Verdana"/>
                <w:b/>
                <w:sz w:val="18"/>
                <w:szCs w:val="18"/>
              </w:rPr>
            </w:pPr>
          </w:p>
          <w:p w14:paraId="307AA98B" w14:textId="77777777" w:rsidR="008715BE" w:rsidRPr="00EC75B7" w:rsidRDefault="008715BE">
            <w:pPr>
              <w:pStyle w:val="TableParagraph"/>
              <w:rPr>
                <w:rFonts w:ascii="Verdana" w:hAnsi="Verdana"/>
                <w:b/>
                <w:sz w:val="18"/>
                <w:szCs w:val="18"/>
              </w:rPr>
            </w:pPr>
          </w:p>
          <w:p w14:paraId="6CC70DA3" w14:textId="77777777" w:rsidR="008715BE" w:rsidRPr="00EC75B7" w:rsidRDefault="008715BE">
            <w:pPr>
              <w:pStyle w:val="TableParagraph"/>
              <w:rPr>
                <w:rFonts w:ascii="Verdana" w:hAnsi="Verdana"/>
                <w:b/>
                <w:sz w:val="18"/>
                <w:szCs w:val="18"/>
              </w:rPr>
            </w:pPr>
          </w:p>
          <w:p w14:paraId="2B6325BF" w14:textId="77777777" w:rsidR="008715BE" w:rsidRPr="00EC75B7" w:rsidRDefault="008715BE">
            <w:pPr>
              <w:pStyle w:val="TableParagraph"/>
              <w:spacing w:before="4"/>
              <w:rPr>
                <w:rFonts w:ascii="Verdana" w:hAnsi="Verdana"/>
                <w:b/>
                <w:sz w:val="18"/>
                <w:szCs w:val="18"/>
              </w:rPr>
            </w:pPr>
          </w:p>
          <w:p w14:paraId="15ABC9DC" w14:textId="77777777" w:rsidR="008715BE" w:rsidRPr="00EC75B7" w:rsidRDefault="00000000">
            <w:pPr>
              <w:pStyle w:val="TableParagraph"/>
              <w:spacing w:before="1"/>
              <w:ind w:left="12"/>
              <w:jc w:val="center"/>
              <w:rPr>
                <w:rFonts w:ascii="Verdana" w:hAnsi="Verdana"/>
                <w:sz w:val="18"/>
                <w:szCs w:val="18"/>
              </w:rPr>
            </w:pPr>
            <w:r w:rsidRPr="00EC75B7">
              <w:rPr>
                <w:rFonts w:ascii="Verdana" w:hAnsi="Verdana"/>
                <w:spacing w:val="-10"/>
                <w:sz w:val="18"/>
                <w:szCs w:val="18"/>
              </w:rPr>
              <w:t>2</w:t>
            </w:r>
          </w:p>
        </w:tc>
        <w:tc>
          <w:tcPr>
            <w:tcW w:w="439" w:type="dxa"/>
            <w:shd w:val="clear" w:color="auto" w:fill="FFD44F"/>
          </w:tcPr>
          <w:p w14:paraId="7A6BBC9C" w14:textId="77777777" w:rsidR="008715BE" w:rsidRPr="00EC75B7" w:rsidRDefault="008715BE">
            <w:pPr>
              <w:pStyle w:val="TableParagraph"/>
              <w:rPr>
                <w:rFonts w:ascii="Verdana" w:hAnsi="Verdana"/>
                <w:b/>
                <w:sz w:val="18"/>
                <w:szCs w:val="18"/>
              </w:rPr>
            </w:pPr>
          </w:p>
          <w:p w14:paraId="122F95A6" w14:textId="77777777" w:rsidR="008715BE" w:rsidRPr="00EC75B7" w:rsidRDefault="008715BE">
            <w:pPr>
              <w:pStyle w:val="TableParagraph"/>
              <w:rPr>
                <w:rFonts w:ascii="Verdana" w:hAnsi="Verdana"/>
                <w:b/>
                <w:sz w:val="18"/>
                <w:szCs w:val="18"/>
              </w:rPr>
            </w:pPr>
          </w:p>
          <w:p w14:paraId="468CC736" w14:textId="77777777" w:rsidR="008715BE" w:rsidRPr="00EC75B7" w:rsidRDefault="008715BE">
            <w:pPr>
              <w:pStyle w:val="TableParagraph"/>
              <w:rPr>
                <w:rFonts w:ascii="Verdana" w:hAnsi="Verdana"/>
                <w:b/>
                <w:sz w:val="18"/>
                <w:szCs w:val="18"/>
              </w:rPr>
            </w:pPr>
          </w:p>
          <w:p w14:paraId="21C34E84" w14:textId="77777777" w:rsidR="008715BE" w:rsidRPr="00EC75B7" w:rsidRDefault="008715BE">
            <w:pPr>
              <w:pStyle w:val="TableParagraph"/>
              <w:rPr>
                <w:rFonts w:ascii="Verdana" w:hAnsi="Verdana"/>
                <w:b/>
                <w:sz w:val="18"/>
                <w:szCs w:val="18"/>
              </w:rPr>
            </w:pPr>
          </w:p>
          <w:p w14:paraId="5CA7E702" w14:textId="77777777" w:rsidR="008715BE" w:rsidRPr="00EC75B7" w:rsidRDefault="008715BE">
            <w:pPr>
              <w:pStyle w:val="TableParagraph"/>
              <w:rPr>
                <w:rFonts w:ascii="Verdana" w:hAnsi="Verdana"/>
                <w:b/>
                <w:sz w:val="18"/>
                <w:szCs w:val="18"/>
              </w:rPr>
            </w:pPr>
          </w:p>
          <w:p w14:paraId="30561563" w14:textId="77777777" w:rsidR="008715BE" w:rsidRPr="00EC75B7" w:rsidRDefault="008715BE">
            <w:pPr>
              <w:pStyle w:val="TableParagraph"/>
              <w:rPr>
                <w:rFonts w:ascii="Verdana" w:hAnsi="Verdana"/>
                <w:b/>
                <w:sz w:val="18"/>
                <w:szCs w:val="18"/>
              </w:rPr>
            </w:pPr>
          </w:p>
          <w:p w14:paraId="717F52C0" w14:textId="77777777" w:rsidR="008715BE" w:rsidRPr="00EC75B7" w:rsidRDefault="008715BE">
            <w:pPr>
              <w:pStyle w:val="TableParagraph"/>
              <w:spacing w:before="4"/>
              <w:rPr>
                <w:rFonts w:ascii="Verdana" w:hAnsi="Verdana"/>
                <w:b/>
                <w:sz w:val="18"/>
                <w:szCs w:val="18"/>
              </w:rPr>
            </w:pPr>
          </w:p>
          <w:p w14:paraId="3C967D25" w14:textId="77777777" w:rsidR="008715BE" w:rsidRPr="00EC75B7" w:rsidRDefault="00000000">
            <w:pPr>
              <w:pStyle w:val="TableParagraph"/>
              <w:spacing w:before="1"/>
              <w:ind w:left="13" w:right="1"/>
              <w:jc w:val="center"/>
              <w:rPr>
                <w:rFonts w:ascii="Verdana" w:hAnsi="Verdana"/>
                <w:b/>
                <w:sz w:val="18"/>
                <w:szCs w:val="18"/>
              </w:rPr>
            </w:pPr>
            <w:r w:rsidRPr="00EC75B7">
              <w:rPr>
                <w:rFonts w:ascii="Verdana" w:hAnsi="Verdana"/>
                <w:b/>
                <w:spacing w:val="-10"/>
                <w:sz w:val="18"/>
                <w:szCs w:val="18"/>
              </w:rPr>
              <w:t>8</w:t>
            </w:r>
          </w:p>
        </w:tc>
        <w:tc>
          <w:tcPr>
            <w:tcW w:w="893" w:type="dxa"/>
          </w:tcPr>
          <w:p w14:paraId="744BD5C5" w14:textId="77777777" w:rsidR="008715BE" w:rsidRPr="00EC75B7" w:rsidRDefault="008715BE">
            <w:pPr>
              <w:pStyle w:val="TableParagraph"/>
              <w:rPr>
                <w:rFonts w:ascii="Verdana" w:hAnsi="Verdana"/>
                <w:b/>
                <w:sz w:val="18"/>
                <w:szCs w:val="18"/>
              </w:rPr>
            </w:pPr>
          </w:p>
          <w:p w14:paraId="1C54E4E6" w14:textId="77777777" w:rsidR="008715BE" w:rsidRPr="00EC75B7" w:rsidRDefault="008715BE">
            <w:pPr>
              <w:pStyle w:val="TableParagraph"/>
              <w:rPr>
                <w:rFonts w:ascii="Verdana" w:hAnsi="Verdana"/>
                <w:b/>
                <w:sz w:val="18"/>
                <w:szCs w:val="18"/>
              </w:rPr>
            </w:pPr>
          </w:p>
          <w:p w14:paraId="7FDE089E" w14:textId="77777777" w:rsidR="008715BE" w:rsidRPr="00EC75B7" w:rsidRDefault="008715BE">
            <w:pPr>
              <w:pStyle w:val="TableParagraph"/>
              <w:rPr>
                <w:rFonts w:ascii="Verdana" w:hAnsi="Verdana"/>
                <w:b/>
                <w:sz w:val="18"/>
                <w:szCs w:val="18"/>
              </w:rPr>
            </w:pPr>
          </w:p>
          <w:p w14:paraId="03FD9707" w14:textId="77777777" w:rsidR="008715BE" w:rsidRPr="00EC75B7" w:rsidRDefault="008715BE">
            <w:pPr>
              <w:pStyle w:val="TableParagraph"/>
              <w:rPr>
                <w:rFonts w:ascii="Verdana" w:hAnsi="Verdana"/>
                <w:b/>
                <w:sz w:val="18"/>
                <w:szCs w:val="18"/>
              </w:rPr>
            </w:pPr>
          </w:p>
          <w:p w14:paraId="3297A450" w14:textId="77777777" w:rsidR="008715BE" w:rsidRPr="00EC75B7" w:rsidRDefault="008715BE">
            <w:pPr>
              <w:pStyle w:val="TableParagraph"/>
              <w:rPr>
                <w:rFonts w:ascii="Verdana" w:hAnsi="Verdana"/>
                <w:b/>
                <w:sz w:val="18"/>
                <w:szCs w:val="18"/>
              </w:rPr>
            </w:pPr>
          </w:p>
          <w:p w14:paraId="7E875073" w14:textId="77777777" w:rsidR="008715BE" w:rsidRPr="00EC75B7" w:rsidRDefault="008715BE">
            <w:pPr>
              <w:pStyle w:val="TableParagraph"/>
              <w:rPr>
                <w:rFonts w:ascii="Verdana" w:hAnsi="Verdana"/>
                <w:b/>
                <w:sz w:val="18"/>
                <w:szCs w:val="18"/>
              </w:rPr>
            </w:pPr>
          </w:p>
          <w:p w14:paraId="28263F3E" w14:textId="77777777" w:rsidR="008715BE" w:rsidRPr="00EC75B7" w:rsidRDefault="008715BE">
            <w:pPr>
              <w:pStyle w:val="TableParagraph"/>
              <w:spacing w:before="4"/>
              <w:rPr>
                <w:rFonts w:ascii="Verdana" w:hAnsi="Verdana"/>
                <w:b/>
                <w:sz w:val="18"/>
                <w:szCs w:val="18"/>
              </w:rPr>
            </w:pPr>
          </w:p>
          <w:p w14:paraId="5E5503EA" w14:textId="77777777" w:rsidR="008715BE" w:rsidRPr="00EC75B7" w:rsidRDefault="00000000">
            <w:pPr>
              <w:pStyle w:val="TableParagraph"/>
              <w:spacing w:before="1"/>
              <w:ind w:left="156"/>
              <w:rPr>
                <w:rFonts w:ascii="Verdana" w:hAnsi="Verdana"/>
                <w:sz w:val="18"/>
                <w:szCs w:val="18"/>
              </w:rPr>
            </w:pPr>
            <w:r w:rsidRPr="00EC75B7">
              <w:rPr>
                <w:rFonts w:ascii="Verdana" w:hAnsi="Verdana"/>
                <w:spacing w:val="-2"/>
                <w:sz w:val="18"/>
                <w:szCs w:val="18"/>
              </w:rPr>
              <w:t>Moderate</w:t>
            </w:r>
          </w:p>
        </w:tc>
        <w:tc>
          <w:tcPr>
            <w:tcW w:w="1132" w:type="dxa"/>
          </w:tcPr>
          <w:p w14:paraId="7E841267" w14:textId="77777777" w:rsidR="008715BE" w:rsidRPr="00EC75B7" w:rsidRDefault="008715BE">
            <w:pPr>
              <w:pStyle w:val="TableParagraph"/>
              <w:rPr>
                <w:rFonts w:ascii="Verdana" w:hAnsi="Verdana"/>
                <w:b/>
                <w:sz w:val="18"/>
                <w:szCs w:val="18"/>
              </w:rPr>
            </w:pPr>
          </w:p>
          <w:p w14:paraId="2BC2F6ED" w14:textId="77777777" w:rsidR="008715BE" w:rsidRPr="00EC75B7" w:rsidRDefault="008715BE">
            <w:pPr>
              <w:pStyle w:val="TableParagraph"/>
              <w:rPr>
                <w:rFonts w:ascii="Verdana" w:hAnsi="Verdana"/>
                <w:b/>
                <w:sz w:val="18"/>
                <w:szCs w:val="18"/>
              </w:rPr>
            </w:pPr>
          </w:p>
          <w:p w14:paraId="71879F29" w14:textId="77777777" w:rsidR="008715BE" w:rsidRPr="00EC75B7" w:rsidRDefault="008715BE">
            <w:pPr>
              <w:pStyle w:val="TableParagraph"/>
              <w:rPr>
                <w:rFonts w:ascii="Verdana" w:hAnsi="Verdana"/>
                <w:b/>
                <w:sz w:val="18"/>
                <w:szCs w:val="18"/>
              </w:rPr>
            </w:pPr>
          </w:p>
          <w:p w14:paraId="7AF1E984" w14:textId="77777777" w:rsidR="008715BE" w:rsidRPr="00EC75B7" w:rsidRDefault="008715BE">
            <w:pPr>
              <w:pStyle w:val="TableParagraph"/>
              <w:rPr>
                <w:rFonts w:ascii="Verdana" w:hAnsi="Verdana"/>
                <w:b/>
                <w:sz w:val="18"/>
                <w:szCs w:val="18"/>
              </w:rPr>
            </w:pPr>
          </w:p>
          <w:p w14:paraId="2D987673" w14:textId="77777777" w:rsidR="008715BE" w:rsidRPr="00EC75B7" w:rsidRDefault="008715BE">
            <w:pPr>
              <w:pStyle w:val="TableParagraph"/>
              <w:rPr>
                <w:rFonts w:ascii="Verdana" w:hAnsi="Verdana"/>
                <w:b/>
                <w:sz w:val="18"/>
                <w:szCs w:val="18"/>
              </w:rPr>
            </w:pPr>
          </w:p>
          <w:p w14:paraId="4D04D93E" w14:textId="77777777" w:rsidR="008715BE" w:rsidRPr="00EC75B7" w:rsidRDefault="008715BE">
            <w:pPr>
              <w:pStyle w:val="TableParagraph"/>
              <w:spacing w:before="101"/>
              <w:rPr>
                <w:rFonts w:ascii="Verdana" w:hAnsi="Verdana"/>
                <w:b/>
                <w:sz w:val="18"/>
                <w:szCs w:val="18"/>
              </w:rPr>
            </w:pPr>
          </w:p>
          <w:p w14:paraId="4E0EF398" w14:textId="77777777" w:rsidR="008715BE" w:rsidRPr="00EC75B7" w:rsidRDefault="00000000">
            <w:pPr>
              <w:pStyle w:val="TableParagraph"/>
              <w:ind w:left="106" w:right="193"/>
              <w:rPr>
                <w:rFonts w:ascii="Verdana" w:hAnsi="Verdana"/>
                <w:sz w:val="18"/>
                <w:szCs w:val="18"/>
              </w:rPr>
            </w:pPr>
            <w:r w:rsidRPr="00EC75B7">
              <w:rPr>
                <w:rFonts w:ascii="Verdana" w:hAnsi="Verdana"/>
                <w:spacing w:val="-2"/>
                <w:sz w:val="18"/>
                <w:szCs w:val="18"/>
              </w:rPr>
              <w:t xml:space="preserve">RA3, RA1, </w:t>
            </w:r>
            <w:r w:rsidRPr="00EC75B7">
              <w:rPr>
                <w:rFonts w:ascii="Verdana" w:hAnsi="Verdana"/>
                <w:spacing w:val="-4"/>
                <w:sz w:val="18"/>
                <w:szCs w:val="18"/>
              </w:rPr>
              <w:t>RA6</w:t>
            </w:r>
          </w:p>
        </w:tc>
        <w:tc>
          <w:tcPr>
            <w:tcW w:w="5059" w:type="dxa"/>
          </w:tcPr>
          <w:p w14:paraId="2EA3E06B" w14:textId="77777777" w:rsidR="008715BE" w:rsidRPr="00EC75B7" w:rsidRDefault="008715BE">
            <w:pPr>
              <w:pStyle w:val="TableParagraph"/>
              <w:rPr>
                <w:rFonts w:ascii="Verdana" w:hAnsi="Verdana"/>
                <w:b/>
                <w:sz w:val="18"/>
                <w:szCs w:val="18"/>
              </w:rPr>
            </w:pPr>
          </w:p>
          <w:p w14:paraId="5FE52650" w14:textId="77777777" w:rsidR="008715BE" w:rsidRPr="00EC75B7" w:rsidRDefault="008715BE">
            <w:pPr>
              <w:pStyle w:val="TableParagraph"/>
              <w:rPr>
                <w:rFonts w:ascii="Verdana" w:hAnsi="Verdana"/>
                <w:b/>
                <w:sz w:val="18"/>
                <w:szCs w:val="18"/>
              </w:rPr>
            </w:pPr>
          </w:p>
          <w:p w14:paraId="74FBA2CD" w14:textId="77777777" w:rsidR="008715BE" w:rsidRPr="00EC75B7" w:rsidRDefault="008715BE">
            <w:pPr>
              <w:pStyle w:val="TableParagraph"/>
              <w:rPr>
                <w:rFonts w:ascii="Verdana" w:hAnsi="Verdana"/>
                <w:b/>
                <w:sz w:val="18"/>
                <w:szCs w:val="18"/>
              </w:rPr>
            </w:pPr>
          </w:p>
          <w:p w14:paraId="74A18735" w14:textId="77777777" w:rsidR="008715BE" w:rsidRPr="00EC75B7" w:rsidRDefault="008715BE">
            <w:pPr>
              <w:pStyle w:val="TableParagraph"/>
              <w:rPr>
                <w:rFonts w:ascii="Verdana" w:hAnsi="Verdana"/>
                <w:b/>
                <w:sz w:val="18"/>
                <w:szCs w:val="18"/>
              </w:rPr>
            </w:pPr>
          </w:p>
          <w:p w14:paraId="73CCFC74" w14:textId="77777777" w:rsidR="008715BE" w:rsidRPr="00EC75B7" w:rsidRDefault="008715BE">
            <w:pPr>
              <w:pStyle w:val="TableParagraph"/>
              <w:spacing w:before="6"/>
              <w:rPr>
                <w:rFonts w:ascii="Verdana" w:hAnsi="Verdana"/>
                <w:b/>
                <w:sz w:val="18"/>
                <w:szCs w:val="18"/>
              </w:rPr>
            </w:pPr>
          </w:p>
          <w:p w14:paraId="19FDE641" w14:textId="77777777" w:rsidR="008715BE" w:rsidRPr="00EC75B7" w:rsidRDefault="00000000">
            <w:pPr>
              <w:pStyle w:val="TableParagraph"/>
              <w:ind w:left="110" w:right="91"/>
              <w:jc w:val="both"/>
              <w:rPr>
                <w:rFonts w:ascii="Verdana" w:hAnsi="Verdana"/>
                <w:sz w:val="18"/>
                <w:szCs w:val="18"/>
              </w:rPr>
            </w:pPr>
            <w:r w:rsidRPr="00EC75B7">
              <w:rPr>
                <w:rFonts w:ascii="Verdana" w:hAnsi="Verdana"/>
                <w:sz w:val="18"/>
                <w:szCs w:val="18"/>
              </w:rPr>
              <w:t>Applying strict design criteria for grounding systems, including proper sizing of grounding electrodes and selection of appropriate materials, to ensure safe operation of installations under variable climatic conditions and extreme electrical events.</w:t>
            </w:r>
          </w:p>
        </w:tc>
        <w:tc>
          <w:tcPr>
            <w:tcW w:w="3545" w:type="dxa"/>
          </w:tcPr>
          <w:p w14:paraId="3C7705AF" w14:textId="77777777" w:rsidR="008715BE" w:rsidRPr="00EC75B7" w:rsidRDefault="00000000">
            <w:pPr>
              <w:pStyle w:val="TableParagraph"/>
              <w:spacing w:before="10"/>
              <w:ind w:left="108" w:right="95"/>
              <w:jc w:val="both"/>
              <w:rPr>
                <w:rFonts w:ascii="Verdana" w:hAnsi="Verdana"/>
                <w:sz w:val="18"/>
                <w:szCs w:val="18"/>
              </w:rPr>
            </w:pPr>
            <w:r w:rsidRPr="00EC75B7">
              <w:rPr>
                <w:rFonts w:ascii="Verdana" w:hAnsi="Verdana"/>
                <w:sz w:val="18"/>
                <w:szCs w:val="18"/>
              </w:rPr>
              <w:t>Regular monitoring of soil grounding resistance and implementation of necessary corrective measures (e.g., improving soil conductivity, expanding the grounding network) if measured values exceed permissible limits.</w:t>
            </w:r>
          </w:p>
          <w:p w14:paraId="3D21DBA6" w14:textId="77777777" w:rsidR="008715BE" w:rsidRPr="00EC75B7" w:rsidRDefault="00000000">
            <w:pPr>
              <w:pStyle w:val="TableParagraph"/>
              <w:ind w:left="108" w:right="92"/>
              <w:jc w:val="both"/>
              <w:rPr>
                <w:rFonts w:ascii="Verdana" w:hAnsi="Verdana"/>
                <w:sz w:val="18"/>
                <w:szCs w:val="18"/>
              </w:rPr>
            </w:pPr>
            <w:r w:rsidRPr="00EC75B7">
              <w:rPr>
                <w:rFonts w:ascii="Verdana" w:hAnsi="Verdana"/>
                <w:sz w:val="18"/>
                <w:szCs w:val="18"/>
              </w:rPr>
              <w:t xml:space="preserve">Implementation and maintenance of vegetation cover along turbine corridors and associated infrastructure as a measure to reduce excessive soil drying and erosion processes, while contributing to land stability and landscape integration </w:t>
            </w:r>
            <w:r w:rsidRPr="00EC75B7">
              <w:rPr>
                <w:rFonts w:ascii="Verdana" w:hAnsi="Verdana"/>
                <w:spacing w:val="-10"/>
                <w:sz w:val="18"/>
                <w:szCs w:val="18"/>
              </w:rPr>
              <w:t>of the</w:t>
            </w:r>
          </w:p>
          <w:p w14:paraId="56F4374F" w14:textId="77777777" w:rsidR="008715BE" w:rsidRPr="00EC75B7" w:rsidRDefault="00000000">
            <w:pPr>
              <w:pStyle w:val="TableParagraph"/>
              <w:spacing w:line="159" w:lineRule="exact"/>
              <w:ind w:left="108"/>
              <w:rPr>
                <w:rFonts w:ascii="Verdana" w:hAnsi="Verdana"/>
                <w:sz w:val="18"/>
                <w:szCs w:val="18"/>
              </w:rPr>
            </w:pPr>
            <w:r w:rsidRPr="00EC75B7">
              <w:rPr>
                <w:rFonts w:ascii="Verdana" w:hAnsi="Verdana"/>
                <w:spacing w:val="-2"/>
                <w:sz w:val="18"/>
                <w:szCs w:val="18"/>
              </w:rPr>
              <w:t>project.</w:t>
            </w:r>
          </w:p>
        </w:tc>
      </w:tr>
    </w:tbl>
    <w:p w14:paraId="3BC6D9F3" w14:textId="77777777" w:rsidR="008715BE" w:rsidRPr="00EC75B7" w:rsidRDefault="008715BE">
      <w:pPr>
        <w:pStyle w:val="TableParagraph"/>
        <w:spacing w:line="159" w:lineRule="exact"/>
        <w:rPr>
          <w:rFonts w:ascii="Verdana" w:hAnsi="Verdana"/>
          <w:sz w:val="18"/>
          <w:szCs w:val="18"/>
        </w:rPr>
        <w:sectPr w:rsidR="008715BE" w:rsidRPr="00EC75B7">
          <w:type w:val="continuous"/>
          <w:pgSz w:w="16840" w:h="11910" w:orient="landscape"/>
          <w:pgMar w:top="1340" w:right="1417" w:bottom="1020" w:left="850" w:header="766" w:footer="824" w:gutter="0"/>
          <w:cols w:space="708"/>
        </w:sectPr>
      </w:pPr>
    </w:p>
    <w:p w14:paraId="56A40123" w14:textId="77777777" w:rsidR="008715BE" w:rsidRPr="00EC75B7" w:rsidRDefault="00000000">
      <w:pPr>
        <w:pStyle w:val="Heading2"/>
        <w:numPr>
          <w:ilvl w:val="1"/>
          <w:numId w:val="110"/>
        </w:numPr>
        <w:tabs>
          <w:tab w:val="left" w:pos="1643"/>
        </w:tabs>
        <w:spacing w:before="224"/>
        <w:ind w:left="1643" w:hanging="1245"/>
        <w:jc w:val="left"/>
        <w:rPr>
          <w:rFonts w:ascii="Verdana" w:hAnsi="Verdana"/>
          <w:color w:val="00AFEF"/>
          <w:sz w:val="18"/>
          <w:szCs w:val="18"/>
        </w:rPr>
      </w:pPr>
      <w:bookmarkStart w:id="129" w:name="_bookmark129"/>
      <w:bookmarkEnd w:id="129"/>
      <w:r w:rsidRPr="00EC75B7">
        <w:rPr>
          <w:rFonts w:ascii="Verdana" w:hAnsi="Verdana"/>
          <w:color w:val="00AFEF"/>
          <w:sz w:val="18"/>
          <w:szCs w:val="18"/>
        </w:rPr>
        <w:lastRenderedPageBreak/>
        <w:t xml:space="preserve">Impact in a </w:t>
      </w:r>
      <w:r w:rsidRPr="00EC75B7">
        <w:rPr>
          <w:rFonts w:ascii="Verdana" w:hAnsi="Verdana"/>
          <w:color w:val="00AFEF"/>
          <w:spacing w:val="-2"/>
          <w:sz w:val="18"/>
          <w:szCs w:val="18"/>
        </w:rPr>
        <w:t xml:space="preserve">cross-border </w:t>
      </w:r>
      <w:r w:rsidRPr="00EC75B7">
        <w:rPr>
          <w:rFonts w:ascii="Verdana" w:hAnsi="Verdana"/>
          <w:color w:val="00AFEF"/>
          <w:sz w:val="18"/>
          <w:szCs w:val="18"/>
        </w:rPr>
        <w:t>context</w:t>
      </w:r>
    </w:p>
    <w:p w14:paraId="6CCC8EF4" w14:textId="77777777" w:rsidR="008715BE" w:rsidRPr="00EC75B7" w:rsidRDefault="008715BE">
      <w:pPr>
        <w:pStyle w:val="BodyText"/>
        <w:spacing w:before="101"/>
        <w:rPr>
          <w:rFonts w:ascii="Verdana" w:hAnsi="Verdana"/>
          <w:b/>
        </w:rPr>
      </w:pPr>
    </w:p>
    <w:p w14:paraId="7E950E6A" w14:textId="77777777" w:rsidR="008715BE" w:rsidRPr="00EC75B7" w:rsidRDefault="00000000">
      <w:pPr>
        <w:pStyle w:val="BodyText"/>
        <w:spacing w:before="1" w:line="357" w:lineRule="auto"/>
        <w:ind w:left="340" w:right="717"/>
        <w:jc w:val="both"/>
        <w:rPr>
          <w:rFonts w:ascii="Verdana" w:hAnsi="Verdana"/>
        </w:rPr>
      </w:pPr>
      <w:r w:rsidRPr="00EC75B7">
        <w:rPr>
          <w:rFonts w:ascii="Verdana" w:hAnsi="Verdana"/>
        </w:rPr>
        <w:t>Given the nature of the project, its location, and its characteristics, we believe that there may be potential for direct or indirect transboundary impacts. The distance between the project and the Romanian border with the Republic of Bulgaria is less than 100 m.</w:t>
      </w:r>
    </w:p>
    <w:p w14:paraId="3756E860" w14:textId="77777777" w:rsidR="008715BE" w:rsidRPr="00EC75B7" w:rsidRDefault="00000000">
      <w:pPr>
        <w:pStyle w:val="BodyText"/>
        <w:spacing w:before="121" w:line="360" w:lineRule="auto"/>
        <w:ind w:left="340" w:right="720"/>
        <w:jc w:val="both"/>
        <w:rPr>
          <w:rFonts w:ascii="Verdana" w:hAnsi="Verdana"/>
        </w:rPr>
      </w:pPr>
      <w:r w:rsidRPr="00EC75B7">
        <w:rPr>
          <w:rFonts w:ascii="Verdana" w:hAnsi="Verdana"/>
        </w:rPr>
        <w:t>Thus, each environmental component likely to be affected by the construction and operation of the project was analyzed, and the information is described below.</w:t>
      </w:r>
    </w:p>
    <w:p w14:paraId="1C1D8C0F" w14:textId="77777777" w:rsidR="008715BE" w:rsidRPr="00EC75B7" w:rsidRDefault="00000000">
      <w:pPr>
        <w:spacing w:before="119"/>
        <w:ind w:left="340"/>
        <w:jc w:val="both"/>
        <w:rPr>
          <w:rFonts w:ascii="Verdana" w:hAnsi="Verdana"/>
          <w:b/>
          <w:sz w:val="18"/>
          <w:szCs w:val="18"/>
        </w:rPr>
      </w:pPr>
      <w:r w:rsidRPr="00EC75B7">
        <w:rPr>
          <w:rFonts w:ascii="Verdana" w:hAnsi="Verdana"/>
          <w:b/>
          <w:color w:val="00AFEF"/>
          <w:sz w:val="18"/>
          <w:szCs w:val="18"/>
        </w:rPr>
        <w:t xml:space="preserve">Population and </w:t>
      </w:r>
      <w:r w:rsidRPr="00EC75B7">
        <w:rPr>
          <w:rFonts w:ascii="Verdana" w:hAnsi="Verdana"/>
          <w:b/>
          <w:color w:val="00AFEF"/>
          <w:spacing w:val="-2"/>
          <w:sz w:val="18"/>
          <w:szCs w:val="18"/>
        </w:rPr>
        <w:t xml:space="preserve">human </w:t>
      </w:r>
      <w:r w:rsidRPr="00EC75B7">
        <w:rPr>
          <w:rFonts w:ascii="Verdana" w:hAnsi="Verdana"/>
          <w:b/>
          <w:color w:val="00AFEF"/>
          <w:sz w:val="18"/>
          <w:szCs w:val="18"/>
        </w:rPr>
        <w:t>health</w:t>
      </w:r>
    </w:p>
    <w:p w14:paraId="3492E57B" w14:textId="77777777" w:rsidR="008715BE" w:rsidRPr="00EC75B7" w:rsidRDefault="008715BE">
      <w:pPr>
        <w:pStyle w:val="BodyText"/>
        <w:spacing w:before="7"/>
        <w:rPr>
          <w:rFonts w:ascii="Verdana" w:hAnsi="Verdana"/>
          <w:b/>
        </w:rPr>
      </w:pPr>
    </w:p>
    <w:p w14:paraId="027A64D9" w14:textId="77777777" w:rsidR="008715BE" w:rsidRPr="00EC75B7" w:rsidRDefault="00000000">
      <w:pPr>
        <w:pStyle w:val="BodyText"/>
        <w:spacing w:line="360" w:lineRule="auto"/>
        <w:ind w:left="340" w:right="715"/>
        <w:jc w:val="both"/>
        <w:rPr>
          <w:rFonts w:ascii="Verdana" w:hAnsi="Verdana"/>
        </w:rPr>
      </w:pPr>
      <w:r w:rsidRPr="00EC75B7">
        <w:rPr>
          <w:rFonts w:ascii="Verdana" w:hAnsi="Verdana"/>
        </w:rPr>
        <w:t xml:space="preserve">The park is being developed on the site of the Cerchezu UAT, outside its built-up area, with the nearest localities on Bulgarian territory being Iovkov, 1.56 km from turbine T3, and Kraiste, 2.1 km from turbine </w:t>
      </w:r>
      <w:r w:rsidRPr="00EC75B7">
        <w:rPr>
          <w:rFonts w:ascii="Verdana" w:hAnsi="Verdana"/>
          <w:spacing w:val="-4"/>
        </w:rPr>
        <w:t>T47.</w:t>
      </w:r>
    </w:p>
    <w:p w14:paraId="2C7B7F0C" w14:textId="77777777" w:rsidR="008715BE" w:rsidRPr="00EC75B7" w:rsidRDefault="00000000">
      <w:pPr>
        <w:pStyle w:val="BodyText"/>
        <w:spacing w:before="116"/>
        <w:ind w:left="340"/>
        <w:jc w:val="both"/>
        <w:rPr>
          <w:rFonts w:ascii="Verdana" w:hAnsi="Verdana"/>
        </w:rPr>
      </w:pPr>
      <w:r w:rsidRPr="00EC75B7">
        <w:rPr>
          <w:rFonts w:ascii="Verdana" w:hAnsi="Verdana"/>
        </w:rPr>
        <w:t xml:space="preserve">Iovkovo and Kraiste are two villages in the municipality of General Toshevo, Dobrich region, </w:t>
      </w:r>
      <w:r w:rsidRPr="00EC75B7">
        <w:rPr>
          <w:rFonts w:ascii="Verdana" w:hAnsi="Verdana"/>
          <w:spacing w:val="-4"/>
        </w:rPr>
        <w:t xml:space="preserve">Southern </w:t>
      </w:r>
      <w:r w:rsidRPr="00EC75B7">
        <w:rPr>
          <w:rFonts w:ascii="Verdana" w:hAnsi="Verdana"/>
        </w:rPr>
        <w:t>Dobruja</w:t>
      </w:r>
      <w:r w:rsidRPr="00EC75B7">
        <w:rPr>
          <w:rFonts w:ascii="Verdana" w:hAnsi="Verdana"/>
          <w:spacing w:val="-4"/>
        </w:rPr>
        <w:t>,</w:t>
      </w:r>
    </w:p>
    <w:p w14:paraId="18C5BB44" w14:textId="77777777" w:rsidR="008715BE" w:rsidRPr="00EC75B7" w:rsidRDefault="00000000">
      <w:pPr>
        <w:pStyle w:val="BodyText"/>
        <w:spacing w:before="106"/>
        <w:ind w:left="340"/>
        <w:jc w:val="both"/>
        <w:rPr>
          <w:rFonts w:ascii="Verdana" w:hAnsi="Verdana"/>
        </w:rPr>
      </w:pPr>
      <w:r w:rsidRPr="00EC75B7">
        <w:rPr>
          <w:rFonts w:ascii="Verdana" w:hAnsi="Verdana"/>
          <w:noProof/>
        </w:rPr>
        <mc:AlternateContent>
          <mc:Choice Requires="wps">
            <w:drawing>
              <wp:anchor distT="0" distB="0" distL="0" distR="0" simplePos="0" relativeHeight="251714560" behindDoc="1" locked="0" layoutInCell="1" allowOverlap="1" wp14:anchorId="1C99CD46" wp14:editId="5364C926">
                <wp:simplePos x="0" y="0"/>
                <wp:positionH relativeFrom="page">
                  <wp:posOffset>1228648</wp:posOffset>
                </wp:positionH>
                <wp:positionV relativeFrom="paragraph">
                  <wp:posOffset>168940</wp:posOffset>
                </wp:positionV>
                <wp:extent cx="17780" cy="12700"/>
                <wp:effectExtent l="0" t="0" r="0" b="0"/>
                <wp:wrapNone/>
                <wp:docPr id="547" name="Textbox 547"/>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B0C432B" w14:textId="77777777" w:rsidR="008715BE" w:rsidRDefault="00000000">
                            <w:pPr>
                              <w:spacing w:line="19" w:lineRule="exact"/>
                              <w:rPr>
                                <w:sz w:val="2"/>
                              </w:rPr>
                            </w:pPr>
                            <w:r>
                              <w:rPr>
                                <w:spacing w:val="-5"/>
                                <w:sz w:val="1"/>
                              </w:rPr>
                              <w:t>38F</w:t>
                            </w:r>
                          </w:p>
                        </w:txbxContent>
                      </wps:txbx>
                      <wps:bodyPr wrap="square" lIns="0" tIns="0" rIns="0" bIns="0" rtlCol="0"/>
                    </wps:wsp>
                  </a:graphicData>
                </a:graphic>
              </wp:anchor>
            </w:drawing>
          </mc:Choice>
          <mc:Fallback>
            <w:pict>
              <v:shape w14:anchorId="1C99CD46" id="Textbox 547" o:spid="_x0000_s1321" type="#_x0000_t202" style="position:absolute;left:0;text-align:left;margin-left:96.75pt;margin-top:13.3pt;width:1.4pt;height:1pt;z-index:-25160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dafQEAAO0CAAAOAAAAZHJzL2Uyb0RvYy54bWysUlGL2zAMfh/sPxi/r0nLuJ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" filled="f" stroked="f">
                <v:textbox inset="0,0,0,0">
                  <w:txbxContent>
                    <w:p w14:paraId="3B0C432B" w14:textId="77777777" w:rsidR="008715BE" w:rsidRDefault="00000000">
                      <w:pPr>
                        <w:spacing w:line="19" w:lineRule="exact"/>
                        <w:rPr>
                          <w:sz w:val="2"/>
                        </w:rPr>
                      </w:pPr>
                      <w:r>
                        <w:rPr>
                          <w:spacing w:val="-5"/>
                          <w:sz w:val="1"/>
                        </w:rPr>
                        <w:t>38F</w:t>
                      </w:r>
                    </w:p>
                  </w:txbxContent>
                </v:textbox>
                <w10:wrap anchorx="page"/>
              </v:shape>
            </w:pict>
          </mc:Fallback>
        </mc:AlternateContent>
      </w:r>
      <w:r w:rsidRPr="00EC75B7">
        <w:rPr>
          <w:rFonts w:ascii="Verdana" w:hAnsi="Verdana"/>
        </w:rPr>
        <w:t xml:space="preserve">Bulgaria </w:t>
      </w:r>
      <w:r w:rsidRPr="00EC75B7">
        <w:rPr>
          <w:rFonts w:ascii="Verdana" w:hAnsi="Verdana"/>
          <w:spacing w:val="-5"/>
          <w:position w:val="6"/>
        </w:rPr>
        <w:t>26</w:t>
      </w:r>
      <w:r w:rsidRPr="00EC75B7">
        <w:rPr>
          <w:rFonts w:ascii="Verdana" w:hAnsi="Verdana"/>
          <w:spacing w:val="-5"/>
        </w:rPr>
        <w:t xml:space="preserve"> .</w:t>
      </w:r>
    </w:p>
    <w:p w14:paraId="74ADEA41" w14:textId="77777777" w:rsidR="008715BE" w:rsidRPr="00EC75B7" w:rsidRDefault="008715BE">
      <w:pPr>
        <w:pStyle w:val="BodyText"/>
        <w:spacing w:before="9"/>
        <w:rPr>
          <w:rFonts w:ascii="Verdana" w:hAnsi="Verdana"/>
        </w:rPr>
      </w:pPr>
    </w:p>
    <w:p w14:paraId="4F00B58D" w14:textId="77777777" w:rsidR="008715BE" w:rsidRPr="00EC75B7" w:rsidRDefault="00000000">
      <w:pPr>
        <w:pStyle w:val="BodyText"/>
        <w:spacing w:line="357" w:lineRule="auto"/>
        <w:ind w:left="340" w:right="711"/>
        <w:jc w:val="both"/>
        <w:rPr>
          <w:rFonts w:ascii="Verdana" w:hAnsi="Verdana"/>
        </w:rPr>
      </w:pPr>
      <w:r w:rsidRPr="00EC75B7">
        <w:rPr>
          <w:rFonts w:ascii="Verdana" w:hAnsi="Verdana"/>
          <w:noProof/>
        </w:rPr>
        <mc:AlternateContent>
          <mc:Choice Requires="wps">
            <w:drawing>
              <wp:anchor distT="0" distB="0" distL="0" distR="0" simplePos="0" relativeHeight="251716608" behindDoc="1" locked="0" layoutInCell="1" allowOverlap="1" wp14:anchorId="5C85A506" wp14:editId="0E18B871">
                <wp:simplePos x="0" y="0"/>
                <wp:positionH relativeFrom="page">
                  <wp:posOffset>1813814</wp:posOffset>
                </wp:positionH>
                <wp:positionV relativeFrom="paragraph">
                  <wp:posOffset>724867</wp:posOffset>
                </wp:positionV>
                <wp:extent cx="17780" cy="12700"/>
                <wp:effectExtent l="0" t="0" r="0" b="0"/>
                <wp:wrapNone/>
                <wp:docPr id="548" name="Textbox 54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33DF2DA" w14:textId="77777777" w:rsidR="008715BE" w:rsidRDefault="00000000">
                            <w:pPr>
                              <w:spacing w:line="19" w:lineRule="exact"/>
                              <w:rPr>
                                <w:sz w:val="2"/>
                              </w:rPr>
                            </w:pPr>
                            <w:r>
                              <w:rPr>
                                <w:spacing w:val="-5"/>
                                <w:sz w:val="1"/>
                              </w:rPr>
                              <w:t>39F</w:t>
                            </w:r>
                          </w:p>
                        </w:txbxContent>
                      </wps:txbx>
                      <wps:bodyPr wrap="square" lIns="0" tIns="0" rIns="0" bIns="0" rtlCol="0"/>
                    </wps:wsp>
                  </a:graphicData>
                </a:graphic>
              </wp:anchor>
            </w:drawing>
          </mc:Choice>
          <mc:Fallback>
            <w:pict>
              <v:shape w14:anchorId="5C85A506" id="Textbox 548" o:spid="_x0000_s1322" type="#_x0000_t202" style="position:absolute;left:0;text-align:left;margin-left:142.8pt;margin-top:57.1pt;width:1.4pt;height:1pt;z-index:-25159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4M4fQEAAO0CAAAOAAAAZHJzL2Uyb0RvYy54bWysUlGL2zAMfh/sPxi/r0kLu5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" filled="f" stroked="f">
                <v:textbox inset="0,0,0,0">
                  <w:txbxContent>
                    <w:p w14:paraId="333DF2DA" w14:textId="77777777" w:rsidR="008715BE" w:rsidRDefault="00000000">
                      <w:pPr>
                        <w:spacing w:line="19" w:lineRule="exact"/>
                        <w:rPr>
                          <w:sz w:val="2"/>
                        </w:rPr>
                      </w:pPr>
                      <w:r>
                        <w:rPr>
                          <w:spacing w:val="-5"/>
                          <w:sz w:val="1"/>
                        </w:rPr>
                        <w:t>39F</w:t>
                      </w:r>
                    </w:p>
                  </w:txbxContent>
                </v:textbox>
                <w10:wrap anchorx="page"/>
              </v:shape>
            </w:pict>
          </mc:Fallback>
        </mc:AlternateContent>
      </w:r>
      <w:r w:rsidRPr="00EC75B7">
        <w:rPr>
          <w:rFonts w:ascii="Verdana" w:hAnsi="Verdana"/>
        </w:rPr>
        <w:t>The total population of the municipality of General Toshevo as of December 31, 2023, is 5,429, of which 2,634 are male and 2,795 are female.</w:t>
      </w:r>
      <w:r w:rsidRPr="00EC75B7">
        <w:rPr>
          <w:rFonts w:ascii="Verdana" w:hAnsi="Verdana"/>
          <w:spacing w:val="-4"/>
        </w:rPr>
        <w:t xml:space="preserve"> </w:t>
      </w:r>
      <w:r w:rsidRPr="00EC75B7">
        <w:rPr>
          <w:rFonts w:ascii="Verdana" w:hAnsi="Verdana"/>
        </w:rPr>
        <w:t xml:space="preserve">Compared to 2011, in 2023 the female population in Gheneral-Toșevo decreased by about 21%, and the male population by 22% </w:t>
      </w:r>
      <w:r w:rsidRPr="00EC75B7">
        <w:rPr>
          <w:rFonts w:ascii="Verdana" w:hAnsi="Verdana"/>
          <w:position w:val="6"/>
        </w:rPr>
        <w:t>27</w:t>
      </w:r>
      <w:r w:rsidRPr="00EC75B7">
        <w:rPr>
          <w:rFonts w:ascii="Verdana" w:hAnsi="Verdana"/>
        </w:rPr>
        <w:t xml:space="preserve"> .</w:t>
      </w:r>
    </w:p>
    <w:p w14:paraId="6941B877" w14:textId="77777777" w:rsidR="008715BE" w:rsidRPr="00EC75B7" w:rsidRDefault="00000000">
      <w:pPr>
        <w:pStyle w:val="BodyText"/>
        <w:spacing w:before="121"/>
        <w:ind w:left="340"/>
        <w:jc w:val="both"/>
        <w:rPr>
          <w:rFonts w:ascii="Verdana" w:hAnsi="Verdana"/>
        </w:rPr>
      </w:pPr>
      <w:r w:rsidRPr="00EC75B7">
        <w:rPr>
          <w:rFonts w:ascii="Verdana" w:hAnsi="Verdana"/>
        </w:rPr>
        <w:t xml:space="preserve">The population structure by age and gender as of December 31, 2023, in the Dobrich region is </w:t>
      </w:r>
      <w:r w:rsidRPr="00EC75B7">
        <w:rPr>
          <w:rFonts w:ascii="Verdana" w:hAnsi="Verdana"/>
          <w:spacing w:val="-2"/>
        </w:rPr>
        <w:t>presented</w:t>
      </w:r>
    </w:p>
    <w:p w14:paraId="194E89B2" w14:textId="77777777" w:rsidR="008715BE" w:rsidRPr="00EC75B7" w:rsidRDefault="00000000">
      <w:pPr>
        <w:pStyle w:val="BodyText"/>
        <w:spacing w:before="109"/>
        <w:ind w:left="340"/>
        <w:jc w:val="both"/>
        <w:rPr>
          <w:rFonts w:ascii="Verdana" w:hAnsi="Verdana"/>
        </w:rPr>
      </w:pPr>
      <w:r w:rsidRPr="00EC75B7">
        <w:rPr>
          <w:rFonts w:ascii="Verdana" w:hAnsi="Verdana"/>
        </w:rPr>
        <w:t xml:space="preserve">in the table </w:t>
      </w:r>
      <w:r w:rsidRPr="00EC75B7">
        <w:rPr>
          <w:rFonts w:ascii="Verdana" w:hAnsi="Verdana"/>
          <w:spacing w:val="-4"/>
        </w:rPr>
        <w:t>below:</w:t>
      </w:r>
    </w:p>
    <w:p w14:paraId="75052AAE" w14:textId="77777777" w:rsidR="008715BE" w:rsidRPr="00EC75B7" w:rsidRDefault="008715BE">
      <w:pPr>
        <w:pStyle w:val="BodyText"/>
        <w:spacing w:before="57"/>
        <w:rPr>
          <w:rFonts w:ascii="Verdana" w:hAnsi="Verdana"/>
        </w:rPr>
      </w:pPr>
    </w:p>
    <w:p w14:paraId="62435E2E" w14:textId="77777777" w:rsidR="008715BE" w:rsidRPr="00EC75B7" w:rsidRDefault="00000000">
      <w:pPr>
        <w:ind w:left="340"/>
        <w:jc w:val="both"/>
        <w:rPr>
          <w:rFonts w:ascii="Verdana" w:hAnsi="Verdana"/>
          <w:b/>
          <w:sz w:val="18"/>
          <w:szCs w:val="18"/>
        </w:rPr>
      </w:pPr>
      <w:r w:rsidRPr="00EC75B7">
        <w:rPr>
          <w:rFonts w:ascii="Verdana" w:hAnsi="Verdana"/>
          <w:b/>
          <w:color w:val="00AFEF"/>
          <w:sz w:val="18"/>
          <w:szCs w:val="18"/>
        </w:rPr>
        <w:t xml:space="preserve">Table 63 Population structure by age group and </w:t>
      </w:r>
      <w:r w:rsidRPr="00EC75B7">
        <w:rPr>
          <w:rFonts w:ascii="Verdana" w:hAnsi="Verdana"/>
          <w:b/>
          <w:color w:val="00AFEF"/>
          <w:spacing w:val="-5"/>
          <w:sz w:val="18"/>
          <w:szCs w:val="18"/>
        </w:rPr>
        <w:t>gender</w:t>
      </w:r>
    </w:p>
    <w:tbl>
      <w:tblPr>
        <w:tblStyle w:val="TableNormal1"/>
        <w:tblW w:w="0" w:type="auto"/>
        <w:tblInd w:w="5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838"/>
        <w:gridCol w:w="677"/>
        <w:gridCol w:w="583"/>
        <w:gridCol w:w="308"/>
        <w:gridCol w:w="560"/>
        <w:gridCol w:w="484"/>
        <w:gridCol w:w="486"/>
        <w:gridCol w:w="484"/>
        <w:gridCol w:w="534"/>
        <w:gridCol w:w="484"/>
        <w:gridCol w:w="506"/>
        <w:gridCol w:w="484"/>
        <w:gridCol w:w="508"/>
        <w:gridCol w:w="484"/>
        <w:gridCol w:w="508"/>
        <w:gridCol w:w="564"/>
        <w:gridCol w:w="484"/>
        <w:gridCol w:w="486"/>
        <w:gridCol w:w="484"/>
        <w:gridCol w:w="647"/>
      </w:tblGrid>
      <w:tr w:rsidR="008715BE" w:rsidRPr="00791B3F" w14:paraId="4A6D1E69" w14:textId="77777777" w:rsidTr="00791B3F">
        <w:trPr>
          <w:trHeight w:val="196"/>
        </w:trPr>
        <w:tc>
          <w:tcPr>
            <w:tcW w:w="838" w:type="dxa"/>
            <w:shd w:val="clear" w:color="auto" w:fill="00AFEF"/>
          </w:tcPr>
          <w:p w14:paraId="4D80E60C" w14:textId="77777777" w:rsidR="008715BE" w:rsidRPr="00791B3F" w:rsidRDefault="008715BE">
            <w:pPr>
              <w:pStyle w:val="TableParagraph"/>
              <w:rPr>
                <w:rFonts w:ascii="Verdana" w:hAnsi="Verdana"/>
                <w:sz w:val="16"/>
                <w:szCs w:val="16"/>
              </w:rPr>
            </w:pPr>
          </w:p>
        </w:tc>
        <w:tc>
          <w:tcPr>
            <w:tcW w:w="677" w:type="dxa"/>
            <w:shd w:val="clear" w:color="auto" w:fill="00AFEF"/>
          </w:tcPr>
          <w:p w14:paraId="6506444E" w14:textId="77777777" w:rsidR="008715BE" w:rsidRPr="00791B3F" w:rsidRDefault="008715BE">
            <w:pPr>
              <w:pStyle w:val="TableParagraph"/>
              <w:rPr>
                <w:rFonts w:ascii="Verdana" w:hAnsi="Verdana"/>
                <w:sz w:val="16"/>
                <w:szCs w:val="16"/>
              </w:rPr>
            </w:pPr>
          </w:p>
        </w:tc>
        <w:tc>
          <w:tcPr>
            <w:tcW w:w="9078" w:type="dxa"/>
            <w:gridSpan w:val="18"/>
            <w:shd w:val="clear" w:color="auto" w:fill="00AFEF"/>
          </w:tcPr>
          <w:p w14:paraId="3C775E65" w14:textId="77777777" w:rsidR="008715BE" w:rsidRPr="00791B3F" w:rsidRDefault="00000000">
            <w:pPr>
              <w:pStyle w:val="TableParagraph"/>
              <w:spacing w:before="25" w:line="151" w:lineRule="exact"/>
              <w:ind w:right="3"/>
              <w:jc w:val="center"/>
              <w:rPr>
                <w:rFonts w:ascii="Verdana" w:hAnsi="Verdana"/>
                <w:b/>
                <w:sz w:val="16"/>
                <w:szCs w:val="16"/>
              </w:rPr>
            </w:pPr>
            <w:r w:rsidRPr="00791B3F">
              <w:rPr>
                <w:rFonts w:ascii="Verdana" w:hAnsi="Verdana"/>
                <w:b/>
                <w:color w:val="FFFFFF"/>
                <w:spacing w:val="-2"/>
                <w:sz w:val="16"/>
                <w:szCs w:val="16"/>
              </w:rPr>
              <w:t xml:space="preserve">AGE </w:t>
            </w:r>
            <w:r w:rsidRPr="00791B3F">
              <w:rPr>
                <w:rFonts w:ascii="Verdana" w:hAnsi="Verdana"/>
                <w:b/>
                <w:color w:val="FFFFFF"/>
                <w:sz w:val="16"/>
                <w:szCs w:val="16"/>
              </w:rPr>
              <w:t>GROUPS</w:t>
            </w:r>
          </w:p>
        </w:tc>
      </w:tr>
      <w:tr w:rsidR="008715BE" w:rsidRPr="00791B3F" w14:paraId="2EA60441" w14:textId="77777777" w:rsidTr="00791B3F">
        <w:trPr>
          <w:trHeight w:val="340"/>
        </w:trPr>
        <w:tc>
          <w:tcPr>
            <w:tcW w:w="838" w:type="dxa"/>
            <w:shd w:val="clear" w:color="auto" w:fill="00AFEF"/>
          </w:tcPr>
          <w:p w14:paraId="57347431" w14:textId="77777777" w:rsidR="008715BE" w:rsidRPr="00791B3F" w:rsidRDefault="008715BE">
            <w:pPr>
              <w:pStyle w:val="TableParagraph"/>
              <w:rPr>
                <w:rFonts w:ascii="Verdana" w:hAnsi="Verdana"/>
                <w:sz w:val="16"/>
                <w:szCs w:val="16"/>
              </w:rPr>
            </w:pPr>
          </w:p>
        </w:tc>
        <w:tc>
          <w:tcPr>
            <w:tcW w:w="677" w:type="dxa"/>
            <w:shd w:val="clear" w:color="auto" w:fill="00AFEF"/>
          </w:tcPr>
          <w:p w14:paraId="125A51AC" w14:textId="77777777" w:rsidR="008715BE" w:rsidRPr="00791B3F" w:rsidRDefault="00000000">
            <w:pPr>
              <w:pStyle w:val="TableParagraph"/>
              <w:spacing w:before="169" w:line="151" w:lineRule="exact"/>
              <w:ind w:left="59" w:right="41"/>
              <w:jc w:val="center"/>
              <w:rPr>
                <w:rFonts w:ascii="Verdana" w:hAnsi="Verdana"/>
                <w:b/>
                <w:sz w:val="16"/>
                <w:szCs w:val="16"/>
              </w:rPr>
            </w:pPr>
            <w:r w:rsidRPr="00791B3F">
              <w:rPr>
                <w:rFonts w:ascii="Verdana" w:hAnsi="Verdana"/>
                <w:b/>
                <w:color w:val="FFFFFF"/>
                <w:spacing w:val="-4"/>
                <w:sz w:val="16"/>
                <w:szCs w:val="16"/>
              </w:rPr>
              <w:t>Total</w:t>
            </w:r>
          </w:p>
        </w:tc>
        <w:tc>
          <w:tcPr>
            <w:tcW w:w="583" w:type="dxa"/>
            <w:shd w:val="clear" w:color="auto" w:fill="00AFEF"/>
          </w:tcPr>
          <w:p w14:paraId="2DFBED1B" w14:textId="77777777" w:rsidR="008715BE" w:rsidRPr="00791B3F" w:rsidRDefault="00000000">
            <w:pPr>
              <w:pStyle w:val="TableParagraph"/>
              <w:spacing w:line="170" w:lineRule="exact"/>
              <w:ind w:left="23" w:right="4"/>
              <w:jc w:val="center"/>
              <w:rPr>
                <w:rFonts w:ascii="Verdana" w:hAnsi="Verdana"/>
                <w:b/>
                <w:sz w:val="16"/>
                <w:szCs w:val="16"/>
              </w:rPr>
            </w:pPr>
            <w:r w:rsidRPr="00791B3F">
              <w:rPr>
                <w:rFonts w:ascii="Verdana" w:hAnsi="Verdana"/>
                <w:b/>
                <w:color w:val="FFFFFF"/>
                <w:spacing w:val="-5"/>
                <w:sz w:val="16"/>
                <w:szCs w:val="16"/>
              </w:rPr>
              <w:t>under</w:t>
            </w:r>
          </w:p>
          <w:p w14:paraId="34C3F26F" w14:textId="77777777" w:rsidR="008715BE" w:rsidRPr="00791B3F" w:rsidRDefault="00000000">
            <w:pPr>
              <w:pStyle w:val="TableParagraph"/>
              <w:spacing w:line="151" w:lineRule="exact"/>
              <w:ind w:left="23"/>
              <w:jc w:val="center"/>
              <w:rPr>
                <w:rFonts w:ascii="Verdana" w:hAnsi="Verdana"/>
                <w:b/>
                <w:sz w:val="16"/>
                <w:szCs w:val="16"/>
              </w:rPr>
            </w:pPr>
            <w:r w:rsidRPr="00791B3F">
              <w:rPr>
                <w:rFonts w:ascii="Verdana" w:hAnsi="Verdana"/>
                <w:b/>
                <w:color w:val="FFFFFF"/>
                <w:spacing w:val="-10"/>
                <w:sz w:val="16"/>
                <w:szCs w:val="16"/>
              </w:rPr>
              <w:t>5</w:t>
            </w:r>
          </w:p>
        </w:tc>
        <w:tc>
          <w:tcPr>
            <w:tcW w:w="308" w:type="dxa"/>
            <w:tcBorders>
              <w:bottom w:val="single" w:sz="8" w:space="0" w:color="BEBEBE"/>
            </w:tcBorders>
            <w:shd w:val="clear" w:color="auto" w:fill="00AFEF"/>
          </w:tcPr>
          <w:p w14:paraId="5C386D0E" w14:textId="77777777" w:rsidR="008715BE" w:rsidRPr="00791B3F" w:rsidRDefault="00000000">
            <w:pPr>
              <w:pStyle w:val="TableParagraph"/>
              <w:spacing w:line="170" w:lineRule="exact"/>
              <w:ind w:left="119"/>
              <w:rPr>
                <w:rFonts w:ascii="Verdana" w:hAnsi="Verdana"/>
                <w:b/>
                <w:sz w:val="16"/>
                <w:szCs w:val="16"/>
              </w:rPr>
            </w:pPr>
            <w:r w:rsidRPr="00791B3F">
              <w:rPr>
                <w:rFonts w:ascii="Verdana" w:hAnsi="Verdana"/>
                <w:b/>
                <w:color w:val="FFFFFF"/>
                <w:sz w:val="16"/>
                <w:szCs w:val="16"/>
              </w:rPr>
              <w:t>5</w:t>
            </w:r>
          </w:p>
          <w:p w14:paraId="7BBC9F07" w14:textId="77777777" w:rsidR="008715BE" w:rsidRPr="00791B3F" w:rsidRDefault="00000000">
            <w:pPr>
              <w:pStyle w:val="TableParagraph"/>
              <w:spacing w:line="151" w:lineRule="exact"/>
              <w:ind w:left="126"/>
              <w:rPr>
                <w:rFonts w:ascii="Verdana" w:hAnsi="Verdana"/>
                <w:b/>
                <w:sz w:val="16"/>
                <w:szCs w:val="16"/>
              </w:rPr>
            </w:pPr>
            <w:r w:rsidRPr="00791B3F">
              <w:rPr>
                <w:rFonts w:ascii="Verdana" w:hAnsi="Verdana"/>
                <w:b/>
                <w:color w:val="FFFFFF"/>
                <w:spacing w:val="-5"/>
                <w:sz w:val="16"/>
                <w:szCs w:val="16"/>
              </w:rPr>
              <w:t>9</w:t>
            </w:r>
          </w:p>
        </w:tc>
        <w:tc>
          <w:tcPr>
            <w:tcW w:w="560" w:type="dxa"/>
            <w:tcBorders>
              <w:bottom w:val="single" w:sz="8" w:space="0" w:color="BEBEBE"/>
            </w:tcBorders>
            <w:shd w:val="clear" w:color="auto" w:fill="00AFEF"/>
          </w:tcPr>
          <w:p w14:paraId="0E2DD3CB" w14:textId="77777777" w:rsidR="008715BE" w:rsidRPr="00791B3F" w:rsidRDefault="00000000">
            <w:pPr>
              <w:pStyle w:val="TableParagraph"/>
              <w:spacing w:line="170" w:lineRule="exact"/>
              <w:ind w:left="150"/>
              <w:rPr>
                <w:rFonts w:ascii="Verdana" w:hAnsi="Verdana"/>
                <w:b/>
                <w:sz w:val="16"/>
                <w:szCs w:val="16"/>
              </w:rPr>
            </w:pPr>
            <w:r w:rsidRPr="00791B3F">
              <w:rPr>
                <w:rFonts w:ascii="Verdana" w:hAnsi="Verdana"/>
                <w:b/>
                <w:color w:val="FFFFFF"/>
                <w:sz w:val="16"/>
                <w:szCs w:val="16"/>
              </w:rPr>
              <w:t>10</w:t>
            </w:r>
          </w:p>
          <w:p w14:paraId="0F22DD27" w14:textId="77777777" w:rsidR="008715BE" w:rsidRPr="00791B3F" w:rsidRDefault="00000000">
            <w:pPr>
              <w:pStyle w:val="TableParagraph"/>
              <w:spacing w:line="151" w:lineRule="exact"/>
              <w:ind w:left="157"/>
              <w:rPr>
                <w:rFonts w:ascii="Verdana" w:hAnsi="Verdana"/>
                <w:b/>
                <w:sz w:val="16"/>
                <w:szCs w:val="16"/>
              </w:rPr>
            </w:pPr>
            <w:r w:rsidRPr="00791B3F">
              <w:rPr>
                <w:rFonts w:ascii="Verdana" w:hAnsi="Verdana"/>
                <w:b/>
                <w:color w:val="FFFFFF"/>
                <w:spacing w:val="-5"/>
                <w:sz w:val="16"/>
                <w:szCs w:val="16"/>
              </w:rPr>
              <w:t>14</w:t>
            </w:r>
          </w:p>
        </w:tc>
        <w:tc>
          <w:tcPr>
            <w:tcW w:w="484" w:type="dxa"/>
            <w:tcBorders>
              <w:bottom w:val="single" w:sz="8" w:space="0" w:color="BEBEBE"/>
            </w:tcBorders>
            <w:shd w:val="clear" w:color="auto" w:fill="00AFEF"/>
          </w:tcPr>
          <w:p w14:paraId="478AE2CE" w14:textId="77777777" w:rsidR="008715BE" w:rsidRPr="00791B3F" w:rsidRDefault="00000000">
            <w:pPr>
              <w:pStyle w:val="TableParagraph"/>
              <w:spacing w:line="170" w:lineRule="exact"/>
              <w:ind w:left="111"/>
              <w:rPr>
                <w:rFonts w:ascii="Verdana" w:hAnsi="Verdana"/>
                <w:b/>
                <w:sz w:val="16"/>
                <w:szCs w:val="16"/>
              </w:rPr>
            </w:pPr>
            <w:r w:rsidRPr="00791B3F">
              <w:rPr>
                <w:rFonts w:ascii="Verdana" w:hAnsi="Verdana"/>
                <w:b/>
                <w:color w:val="FFFFFF"/>
                <w:sz w:val="16"/>
                <w:szCs w:val="16"/>
              </w:rPr>
              <w:t>15</w:t>
            </w:r>
          </w:p>
          <w:p w14:paraId="362BD72C" w14:textId="77777777" w:rsidR="008715BE" w:rsidRPr="00791B3F" w:rsidRDefault="00000000">
            <w:pPr>
              <w:pStyle w:val="TableParagraph"/>
              <w:spacing w:line="151" w:lineRule="exact"/>
              <w:ind w:left="145"/>
              <w:rPr>
                <w:rFonts w:ascii="Verdana" w:hAnsi="Verdana"/>
                <w:b/>
                <w:sz w:val="16"/>
                <w:szCs w:val="16"/>
              </w:rPr>
            </w:pPr>
            <w:r w:rsidRPr="00791B3F">
              <w:rPr>
                <w:rFonts w:ascii="Verdana" w:hAnsi="Verdana"/>
                <w:b/>
                <w:color w:val="FFFFFF"/>
                <w:spacing w:val="-5"/>
                <w:sz w:val="16"/>
                <w:szCs w:val="16"/>
              </w:rPr>
              <w:t>19</w:t>
            </w:r>
          </w:p>
        </w:tc>
        <w:tc>
          <w:tcPr>
            <w:tcW w:w="486" w:type="dxa"/>
            <w:tcBorders>
              <w:bottom w:val="single" w:sz="8" w:space="0" w:color="BEBEBE"/>
            </w:tcBorders>
            <w:shd w:val="clear" w:color="auto" w:fill="00AFEF"/>
          </w:tcPr>
          <w:p w14:paraId="4AEA80C2" w14:textId="77777777" w:rsidR="008715BE" w:rsidRPr="00791B3F" w:rsidRDefault="00000000">
            <w:pPr>
              <w:pStyle w:val="TableParagraph"/>
              <w:spacing w:line="170" w:lineRule="exact"/>
              <w:ind w:left="112"/>
              <w:rPr>
                <w:rFonts w:ascii="Verdana" w:hAnsi="Verdana"/>
                <w:b/>
                <w:sz w:val="16"/>
                <w:szCs w:val="16"/>
              </w:rPr>
            </w:pPr>
            <w:r w:rsidRPr="00791B3F">
              <w:rPr>
                <w:rFonts w:ascii="Verdana" w:hAnsi="Verdana"/>
                <w:b/>
                <w:color w:val="FFFFFF"/>
                <w:sz w:val="16"/>
                <w:szCs w:val="16"/>
              </w:rPr>
              <w:t>20</w:t>
            </w:r>
          </w:p>
          <w:p w14:paraId="215A8126" w14:textId="77777777" w:rsidR="008715BE" w:rsidRPr="00791B3F" w:rsidRDefault="00000000">
            <w:pPr>
              <w:pStyle w:val="TableParagraph"/>
              <w:spacing w:line="151" w:lineRule="exact"/>
              <w:ind w:left="146"/>
              <w:rPr>
                <w:rFonts w:ascii="Verdana" w:hAnsi="Verdana"/>
                <w:b/>
                <w:sz w:val="16"/>
                <w:szCs w:val="16"/>
              </w:rPr>
            </w:pPr>
            <w:r w:rsidRPr="00791B3F">
              <w:rPr>
                <w:rFonts w:ascii="Verdana" w:hAnsi="Verdana"/>
                <w:b/>
                <w:color w:val="FFFFFF"/>
                <w:spacing w:val="-5"/>
                <w:sz w:val="16"/>
                <w:szCs w:val="16"/>
              </w:rPr>
              <w:t>24</w:t>
            </w:r>
          </w:p>
        </w:tc>
        <w:tc>
          <w:tcPr>
            <w:tcW w:w="484" w:type="dxa"/>
            <w:tcBorders>
              <w:bottom w:val="single" w:sz="8" w:space="0" w:color="BEBEBE"/>
            </w:tcBorders>
            <w:shd w:val="clear" w:color="auto" w:fill="00AFEF"/>
          </w:tcPr>
          <w:p w14:paraId="28194D26" w14:textId="77777777" w:rsidR="008715BE" w:rsidRPr="00791B3F" w:rsidRDefault="00000000">
            <w:pPr>
              <w:pStyle w:val="TableParagraph"/>
              <w:spacing w:line="170" w:lineRule="exact"/>
              <w:ind w:left="108"/>
              <w:rPr>
                <w:rFonts w:ascii="Verdana" w:hAnsi="Verdana"/>
                <w:b/>
                <w:sz w:val="16"/>
                <w:szCs w:val="16"/>
              </w:rPr>
            </w:pPr>
            <w:r w:rsidRPr="00791B3F">
              <w:rPr>
                <w:rFonts w:ascii="Verdana" w:hAnsi="Verdana"/>
                <w:b/>
                <w:color w:val="FFFFFF"/>
                <w:sz w:val="16"/>
                <w:szCs w:val="16"/>
              </w:rPr>
              <w:t>25</w:t>
            </w:r>
          </w:p>
          <w:p w14:paraId="6DB16313" w14:textId="77777777" w:rsidR="008715BE" w:rsidRPr="00791B3F" w:rsidRDefault="00000000">
            <w:pPr>
              <w:pStyle w:val="TableParagraph"/>
              <w:spacing w:line="151" w:lineRule="exact"/>
              <w:ind w:left="142"/>
              <w:rPr>
                <w:rFonts w:ascii="Verdana" w:hAnsi="Verdana"/>
                <w:b/>
                <w:sz w:val="16"/>
                <w:szCs w:val="16"/>
              </w:rPr>
            </w:pPr>
            <w:r w:rsidRPr="00791B3F">
              <w:rPr>
                <w:rFonts w:ascii="Verdana" w:hAnsi="Verdana"/>
                <w:b/>
                <w:color w:val="FFFFFF"/>
                <w:spacing w:val="-5"/>
                <w:sz w:val="16"/>
                <w:szCs w:val="16"/>
              </w:rPr>
              <w:t>29</w:t>
            </w:r>
          </w:p>
        </w:tc>
        <w:tc>
          <w:tcPr>
            <w:tcW w:w="534" w:type="dxa"/>
            <w:tcBorders>
              <w:bottom w:val="single" w:sz="8" w:space="0" w:color="BEBEBE"/>
            </w:tcBorders>
            <w:shd w:val="clear" w:color="auto" w:fill="00AFEF"/>
          </w:tcPr>
          <w:p w14:paraId="4932B98D" w14:textId="77777777" w:rsidR="008715BE" w:rsidRPr="00791B3F" w:rsidRDefault="00000000">
            <w:pPr>
              <w:pStyle w:val="TableParagraph"/>
              <w:spacing w:line="170" w:lineRule="exact"/>
              <w:ind w:left="131"/>
              <w:rPr>
                <w:rFonts w:ascii="Verdana" w:hAnsi="Verdana"/>
                <w:b/>
                <w:sz w:val="16"/>
                <w:szCs w:val="16"/>
              </w:rPr>
            </w:pPr>
            <w:r w:rsidRPr="00791B3F">
              <w:rPr>
                <w:rFonts w:ascii="Verdana" w:hAnsi="Verdana"/>
                <w:b/>
                <w:color w:val="FFFFFF"/>
                <w:sz w:val="16"/>
                <w:szCs w:val="16"/>
              </w:rPr>
              <w:t>30</w:t>
            </w:r>
          </w:p>
          <w:p w14:paraId="3A05348F" w14:textId="77777777" w:rsidR="008715BE" w:rsidRPr="00791B3F" w:rsidRDefault="00000000">
            <w:pPr>
              <w:pStyle w:val="TableParagraph"/>
              <w:spacing w:line="151" w:lineRule="exact"/>
              <w:ind w:left="164"/>
              <w:rPr>
                <w:rFonts w:ascii="Verdana" w:hAnsi="Verdana"/>
                <w:b/>
                <w:sz w:val="16"/>
                <w:szCs w:val="16"/>
              </w:rPr>
            </w:pPr>
            <w:r w:rsidRPr="00791B3F">
              <w:rPr>
                <w:rFonts w:ascii="Verdana" w:hAnsi="Verdana"/>
                <w:b/>
                <w:color w:val="FFFFFF"/>
                <w:spacing w:val="-5"/>
                <w:sz w:val="16"/>
                <w:szCs w:val="16"/>
              </w:rPr>
              <w:t>34</w:t>
            </w:r>
          </w:p>
        </w:tc>
        <w:tc>
          <w:tcPr>
            <w:tcW w:w="484" w:type="dxa"/>
            <w:tcBorders>
              <w:bottom w:val="single" w:sz="8" w:space="0" w:color="BEBEBE"/>
            </w:tcBorders>
            <w:shd w:val="clear" w:color="auto" w:fill="00AFEF"/>
          </w:tcPr>
          <w:p w14:paraId="74BE1FB9" w14:textId="77777777" w:rsidR="008715BE" w:rsidRPr="00791B3F" w:rsidRDefault="00000000">
            <w:pPr>
              <w:pStyle w:val="TableParagraph"/>
              <w:spacing w:line="170" w:lineRule="exact"/>
              <w:ind w:left="106"/>
              <w:rPr>
                <w:rFonts w:ascii="Verdana" w:hAnsi="Verdana"/>
                <w:b/>
                <w:sz w:val="16"/>
                <w:szCs w:val="16"/>
              </w:rPr>
            </w:pPr>
            <w:r w:rsidRPr="00791B3F">
              <w:rPr>
                <w:rFonts w:ascii="Verdana" w:hAnsi="Verdana"/>
                <w:b/>
                <w:color w:val="FFFFFF"/>
                <w:sz w:val="16"/>
                <w:szCs w:val="16"/>
              </w:rPr>
              <w:t>35</w:t>
            </w:r>
          </w:p>
          <w:p w14:paraId="3CD3EAE0" w14:textId="77777777" w:rsidR="008715BE" w:rsidRPr="00791B3F" w:rsidRDefault="00000000">
            <w:pPr>
              <w:pStyle w:val="TableParagraph"/>
              <w:spacing w:line="151" w:lineRule="exact"/>
              <w:ind w:left="139"/>
              <w:rPr>
                <w:rFonts w:ascii="Verdana" w:hAnsi="Verdana"/>
                <w:b/>
                <w:sz w:val="16"/>
                <w:szCs w:val="16"/>
              </w:rPr>
            </w:pPr>
            <w:r w:rsidRPr="00791B3F">
              <w:rPr>
                <w:rFonts w:ascii="Verdana" w:hAnsi="Verdana"/>
                <w:b/>
                <w:color w:val="FFFFFF"/>
                <w:spacing w:val="-5"/>
                <w:sz w:val="16"/>
                <w:szCs w:val="16"/>
              </w:rPr>
              <w:t>39</w:t>
            </w:r>
          </w:p>
        </w:tc>
        <w:tc>
          <w:tcPr>
            <w:tcW w:w="506" w:type="dxa"/>
            <w:tcBorders>
              <w:bottom w:val="single" w:sz="8" w:space="0" w:color="BEBEBE"/>
            </w:tcBorders>
            <w:shd w:val="clear" w:color="auto" w:fill="00AFEF"/>
          </w:tcPr>
          <w:p w14:paraId="28E67828" w14:textId="77777777" w:rsidR="008715BE" w:rsidRPr="00791B3F" w:rsidRDefault="00000000">
            <w:pPr>
              <w:pStyle w:val="TableParagraph"/>
              <w:spacing w:line="170" w:lineRule="exact"/>
              <w:ind w:left="114"/>
              <w:rPr>
                <w:rFonts w:ascii="Verdana" w:hAnsi="Verdana"/>
                <w:b/>
                <w:sz w:val="16"/>
                <w:szCs w:val="16"/>
              </w:rPr>
            </w:pPr>
            <w:r w:rsidRPr="00791B3F">
              <w:rPr>
                <w:rFonts w:ascii="Verdana" w:hAnsi="Verdana"/>
                <w:b/>
                <w:color w:val="FFFFFF"/>
                <w:sz w:val="16"/>
                <w:szCs w:val="16"/>
              </w:rPr>
              <w:t>40</w:t>
            </w:r>
          </w:p>
          <w:p w14:paraId="2C9C55C6" w14:textId="77777777" w:rsidR="008715BE" w:rsidRPr="00791B3F" w:rsidRDefault="00000000">
            <w:pPr>
              <w:pStyle w:val="TableParagraph"/>
              <w:spacing w:line="151" w:lineRule="exact"/>
              <w:ind w:left="147"/>
              <w:rPr>
                <w:rFonts w:ascii="Verdana" w:hAnsi="Verdana"/>
                <w:b/>
                <w:sz w:val="16"/>
                <w:szCs w:val="16"/>
              </w:rPr>
            </w:pPr>
            <w:r w:rsidRPr="00791B3F">
              <w:rPr>
                <w:rFonts w:ascii="Verdana" w:hAnsi="Verdana"/>
                <w:b/>
                <w:color w:val="FFFFFF"/>
                <w:spacing w:val="-5"/>
                <w:sz w:val="16"/>
                <w:szCs w:val="16"/>
              </w:rPr>
              <w:t>44</w:t>
            </w:r>
          </w:p>
        </w:tc>
        <w:tc>
          <w:tcPr>
            <w:tcW w:w="484" w:type="dxa"/>
            <w:tcBorders>
              <w:bottom w:val="single" w:sz="8" w:space="0" w:color="BEBEBE"/>
            </w:tcBorders>
            <w:shd w:val="clear" w:color="auto" w:fill="00AFEF"/>
          </w:tcPr>
          <w:p w14:paraId="04934C19" w14:textId="77777777" w:rsidR="008715BE" w:rsidRPr="00791B3F" w:rsidRDefault="00000000">
            <w:pPr>
              <w:pStyle w:val="TableParagraph"/>
              <w:spacing w:line="170" w:lineRule="exact"/>
              <w:ind w:left="102"/>
              <w:rPr>
                <w:rFonts w:ascii="Verdana" w:hAnsi="Verdana"/>
                <w:b/>
                <w:sz w:val="16"/>
                <w:szCs w:val="16"/>
              </w:rPr>
            </w:pPr>
            <w:r w:rsidRPr="00791B3F">
              <w:rPr>
                <w:rFonts w:ascii="Verdana" w:hAnsi="Verdana"/>
                <w:b/>
                <w:color w:val="FFFFFF"/>
                <w:sz w:val="16"/>
                <w:szCs w:val="16"/>
              </w:rPr>
              <w:t>45</w:t>
            </w:r>
          </w:p>
          <w:p w14:paraId="21DB1348" w14:textId="77777777" w:rsidR="008715BE" w:rsidRPr="00791B3F" w:rsidRDefault="00000000">
            <w:pPr>
              <w:pStyle w:val="TableParagraph"/>
              <w:spacing w:line="151" w:lineRule="exact"/>
              <w:ind w:left="136"/>
              <w:rPr>
                <w:rFonts w:ascii="Verdana" w:hAnsi="Verdana"/>
                <w:b/>
                <w:sz w:val="16"/>
                <w:szCs w:val="16"/>
              </w:rPr>
            </w:pPr>
            <w:r w:rsidRPr="00791B3F">
              <w:rPr>
                <w:rFonts w:ascii="Verdana" w:hAnsi="Verdana"/>
                <w:b/>
                <w:color w:val="FFFFFF"/>
                <w:spacing w:val="-5"/>
                <w:sz w:val="16"/>
                <w:szCs w:val="16"/>
              </w:rPr>
              <w:t>49</w:t>
            </w:r>
          </w:p>
        </w:tc>
        <w:tc>
          <w:tcPr>
            <w:tcW w:w="508" w:type="dxa"/>
            <w:tcBorders>
              <w:bottom w:val="single" w:sz="8" w:space="0" w:color="BEBEBE"/>
            </w:tcBorders>
            <w:shd w:val="clear" w:color="auto" w:fill="00AFEF"/>
          </w:tcPr>
          <w:p w14:paraId="6C7F6D79" w14:textId="77777777" w:rsidR="008715BE" w:rsidRPr="00791B3F" w:rsidRDefault="00000000">
            <w:pPr>
              <w:pStyle w:val="TableParagraph"/>
              <w:spacing w:line="170" w:lineRule="exact"/>
              <w:ind w:left="113"/>
              <w:rPr>
                <w:rFonts w:ascii="Verdana" w:hAnsi="Verdana"/>
                <w:b/>
                <w:sz w:val="16"/>
                <w:szCs w:val="16"/>
              </w:rPr>
            </w:pPr>
            <w:r w:rsidRPr="00791B3F">
              <w:rPr>
                <w:rFonts w:ascii="Verdana" w:hAnsi="Verdana"/>
                <w:b/>
                <w:color w:val="FFFFFF"/>
                <w:sz w:val="16"/>
                <w:szCs w:val="16"/>
              </w:rPr>
              <w:t>50</w:t>
            </w:r>
          </w:p>
          <w:p w14:paraId="6F979D43" w14:textId="77777777" w:rsidR="008715BE" w:rsidRPr="00791B3F" w:rsidRDefault="00000000">
            <w:pPr>
              <w:pStyle w:val="TableParagraph"/>
              <w:spacing w:line="151" w:lineRule="exact"/>
              <w:ind w:left="146"/>
              <w:rPr>
                <w:rFonts w:ascii="Verdana" w:hAnsi="Verdana"/>
                <w:b/>
                <w:sz w:val="16"/>
                <w:szCs w:val="16"/>
              </w:rPr>
            </w:pPr>
            <w:r w:rsidRPr="00791B3F">
              <w:rPr>
                <w:rFonts w:ascii="Verdana" w:hAnsi="Verdana"/>
                <w:b/>
                <w:color w:val="FFFFFF"/>
                <w:spacing w:val="-5"/>
                <w:sz w:val="16"/>
                <w:szCs w:val="16"/>
              </w:rPr>
              <w:t>54</w:t>
            </w:r>
          </w:p>
        </w:tc>
        <w:tc>
          <w:tcPr>
            <w:tcW w:w="484" w:type="dxa"/>
            <w:tcBorders>
              <w:bottom w:val="single" w:sz="8" w:space="0" w:color="BEBEBE"/>
            </w:tcBorders>
            <w:shd w:val="clear" w:color="auto" w:fill="00AFEF"/>
          </w:tcPr>
          <w:p w14:paraId="2678F92B" w14:textId="77777777" w:rsidR="008715BE" w:rsidRPr="00791B3F" w:rsidRDefault="00000000">
            <w:pPr>
              <w:pStyle w:val="TableParagraph"/>
              <w:spacing w:line="170" w:lineRule="exact"/>
              <w:ind w:left="99"/>
              <w:rPr>
                <w:rFonts w:ascii="Verdana" w:hAnsi="Verdana"/>
                <w:b/>
                <w:sz w:val="16"/>
                <w:szCs w:val="16"/>
              </w:rPr>
            </w:pPr>
            <w:r w:rsidRPr="00791B3F">
              <w:rPr>
                <w:rFonts w:ascii="Verdana" w:hAnsi="Verdana"/>
                <w:b/>
                <w:color w:val="FFFFFF"/>
                <w:sz w:val="16"/>
                <w:szCs w:val="16"/>
              </w:rPr>
              <w:t>55</w:t>
            </w:r>
          </w:p>
          <w:p w14:paraId="09FBBAC5" w14:textId="77777777" w:rsidR="008715BE" w:rsidRPr="00791B3F" w:rsidRDefault="00000000">
            <w:pPr>
              <w:pStyle w:val="TableParagraph"/>
              <w:spacing w:line="151" w:lineRule="exact"/>
              <w:ind w:left="133"/>
              <w:rPr>
                <w:rFonts w:ascii="Verdana" w:hAnsi="Verdana"/>
                <w:b/>
                <w:sz w:val="16"/>
                <w:szCs w:val="16"/>
              </w:rPr>
            </w:pPr>
            <w:r w:rsidRPr="00791B3F">
              <w:rPr>
                <w:rFonts w:ascii="Verdana" w:hAnsi="Verdana"/>
                <w:b/>
                <w:color w:val="FFFFFF"/>
                <w:spacing w:val="-5"/>
                <w:sz w:val="16"/>
                <w:szCs w:val="16"/>
              </w:rPr>
              <w:t>59</w:t>
            </w:r>
          </w:p>
        </w:tc>
        <w:tc>
          <w:tcPr>
            <w:tcW w:w="508" w:type="dxa"/>
            <w:tcBorders>
              <w:bottom w:val="single" w:sz="8" w:space="0" w:color="BEBEBE"/>
            </w:tcBorders>
            <w:shd w:val="clear" w:color="auto" w:fill="00AFEF"/>
          </w:tcPr>
          <w:p w14:paraId="1938CA5F" w14:textId="77777777" w:rsidR="008715BE" w:rsidRPr="00791B3F" w:rsidRDefault="00000000">
            <w:pPr>
              <w:pStyle w:val="TableParagraph"/>
              <w:spacing w:line="170" w:lineRule="exact"/>
              <w:ind w:left="107"/>
              <w:rPr>
                <w:rFonts w:ascii="Verdana" w:hAnsi="Verdana"/>
                <w:b/>
                <w:sz w:val="16"/>
                <w:szCs w:val="16"/>
              </w:rPr>
            </w:pPr>
            <w:r w:rsidRPr="00791B3F">
              <w:rPr>
                <w:rFonts w:ascii="Verdana" w:hAnsi="Verdana"/>
                <w:b/>
                <w:color w:val="FFFFFF"/>
                <w:sz w:val="16"/>
                <w:szCs w:val="16"/>
              </w:rPr>
              <w:t>60</w:t>
            </w:r>
          </w:p>
          <w:p w14:paraId="32B857D5" w14:textId="77777777" w:rsidR="008715BE" w:rsidRPr="00791B3F" w:rsidRDefault="00000000">
            <w:pPr>
              <w:pStyle w:val="TableParagraph"/>
              <w:spacing w:line="151" w:lineRule="exact"/>
              <w:ind w:left="141"/>
              <w:rPr>
                <w:rFonts w:ascii="Verdana" w:hAnsi="Verdana"/>
                <w:b/>
                <w:sz w:val="16"/>
                <w:szCs w:val="16"/>
              </w:rPr>
            </w:pPr>
            <w:r w:rsidRPr="00791B3F">
              <w:rPr>
                <w:rFonts w:ascii="Verdana" w:hAnsi="Verdana"/>
                <w:b/>
                <w:color w:val="FFFFFF"/>
                <w:spacing w:val="-5"/>
                <w:sz w:val="16"/>
                <w:szCs w:val="16"/>
              </w:rPr>
              <w:t>64</w:t>
            </w:r>
          </w:p>
        </w:tc>
        <w:tc>
          <w:tcPr>
            <w:tcW w:w="564" w:type="dxa"/>
            <w:tcBorders>
              <w:bottom w:val="single" w:sz="8" w:space="0" w:color="BEBEBE"/>
            </w:tcBorders>
            <w:shd w:val="clear" w:color="auto" w:fill="00AFEF"/>
          </w:tcPr>
          <w:p w14:paraId="650E5E7E" w14:textId="77777777" w:rsidR="008715BE" w:rsidRPr="00791B3F" w:rsidRDefault="00000000">
            <w:pPr>
              <w:pStyle w:val="TableParagraph"/>
              <w:spacing w:line="170" w:lineRule="exact"/>
              <w:ind w:left="137"/>
              <w:rPr>
                <w:rFonts w:ascii="Verdana" w:hAnsi="Verdana"/>
                <w:b/>
                <w:sz w:val="16"/>
                <w:szCs w:val="16"/>
              </w:rPr>
            </w:pPr>
            <w:r w:rsidRPr="00791B3F">
              <w:rPr>
                <w:rFonts w:ascii="Verdana" w:hAnsi="Verdana"/>
                <w:b/>
                <w:color w:val="FFFFFF"/>
                <w:sz w:val="16"/>
                <w:szCs w:val="16"/>
              </w:rPr>
              <w:t>65</w:t>
            </w:r>
          </w:p>
          <w:p w14:paraId="734BF8FD" w14:textId="77777777" w:rsidR="008715BE" w:rsidRPr="00791B3F" w:rsidRDefault="00000000">
            <w:pPr>
              <w:pStyle w:val="TableParagraph"/>
              <w:spacing w:line="151" w:lineRule="exact"/>
              <w:ind w:left="170"/>
              <w:rPr>
                <w:rFonts w:ascii="Verdana" w:hAnsi="Verdana"/>
                <w:b/>
                <w:sz w:val="16"/>
                <w:szCs w:val="16"/>
              </w:rPr>
            </w:pPr>
            <w:r w:rsidRPr="00791B3F">
              <w:rPr>
                <w:rFonts w:ascii="Verdana" w:hAnsi="Verdana"/>
                <w:b/>
                <w:color w:val="FFFFFF"/>
                <w:spacing w:val="-5"/>
                <w:sz w:val="16"/>
                <w:szCs w:val="16"/>
              </w:rPr>
              <w:t>69</w:t>
            </w:r>
          </w:p>
        </w:tc>
        <w:tc>
          <w:tcPr>
            <w:tcW w:w="484" w:type="dxa"/>
            <w:tcBorders>
              <w:bottom w:val="single" w:sz="8" w:space="0" w:color="BEBEBE"/>
            </w:tcBorders>
            <w:shd w:val="clear" w:color="auto" w:fill="00AFEF"/>
          </w:tcPr>
          <w:p w14:paraId="449BED5B" w14:textId="77777777" w:rsidR="008715BE" w:rsidRPr="00791B3F" w:rsidRDefault="00000000">
            <w:pPr>
              <w:pStyle w:val="TableParagraph"/>
              <w:spacing w:line="170" w:lineRule="exact"/>
              <w:ind w:left="94"/>
              <w:rPr>
                <w:rFonts w:ascii="Verdana" w:hAnsi="Verdana"/>
                <w:b/>
                <w:sz w:val="16"/>
                <w:szCs w:val="16"/>
              </w:rPr>
            </w:pPr>
            <w:r w:rsidRPr="00791B3F">
              <w:rPr>
                <w:rFonts w:ascii="Verdana" w:hAnsi="Verdana"/>
                <w:b/>
                <w:color w:val="FFFFFF"/>
                <w:sz w:val="16"/>
                <w:szCs w:val="16"/>
              </w:rPr>
              <w:t>70</w:t>
            </w:r>
          </w:p>
          <w:p w14:paraId="2CEDA82E" w14:textId="77777777" w:rsidR="008715BE" w:rsidRPr="00791B3F" w:rsidRDefault="00000000">
            <w:pPr>
              <w:pStyle w:val="TableParagraph"/>
              <w:spacing w:line="151" w:lineRule="exact"/>
              <w:ind w:left="128"/>
              <w:rPr>
                <w:rFonts w:ascii="Verdana" w:hAnsi="Verdana"/>
                <w:b/>
                <w:sz w:val="16"/>
                <w:szCs w:val="16"/>
              </w:rPr>
            </w:pPr>
            <w:r w:rsidRPr="00791B3F">
              <w:rPr>
                <w:rFonts w:ascii="Verdana" w:hAnsi="Verdana"/>
                <w:b/>
                <w:color w:val="FFFFFF"/>
                <w:spacing w:val="-5"/>
                <w:sz w:val="16"/>
                <w:szCs w:val="16"/>
              </w:rPr>
              <w:t>74</w:t>
            </w:r>
          </w:p>
        </w:tc>
        <w:tc>
          <w:tcPr>
            <w:tcW w:w="486" w:type="dxa"/>
            <w:tcBorders>
              <w:bottom w:val="single" w:sz="8" w:space="0" w:color="BEBEBE"/>
            </w:tcBorders>
            <w:shd w:val="clear" w:color="auto" w:fill="00AFEF"/>
          </w:tcPr>
          <w:p w14:paraId="3459CAAC" w14:textId="77777777" w:rsidR="008715BE" w:rsidRPr="00791B3F" w:rsidRDefault="00000000">
            <w:pPr>
              <w:pStyle w:val="TableParagraph"/>
              <w:spacing w:line="170" w:lineRule="exact"/>
              <w:ind w:left="95"/>
              <w:rPr>
                <w:rFonts w:ascii="Verdana" w:hAnsi="Verdana"/>
                <w:b/>
                <w:sz w:val="16"/>
                <w:szCs w:val="16"/>
              </w:rPr>
            </w:pPr>
            <w:r w:rsidRPr="00791B3F">
              <w:rPr>
                <w:rFonts w:ascii="Verdana" w:hAnsi="Verdana"/>
                <w:b/>
                <w:color w:val="FFFFFF"/>
                <w:sz w:val="16"/>
                <w:szCs w:val="16"/>
              </w:rPr>
              <w:t>75</w:t>
            </w:r>
          </w:p>
          <w:p w14:paraId="73C0F9C7" w14:textId="77777777" w:rsidR="008715BE" w:rsidRPr="00791B3F" w:rsidRDefault="00000000">
            <w:pPr>
              <w:pStyle w:val="TableParagraph"/>
              <w:spacing w:line="151" w:lineRule="exact"/>
              <w:ind w:left="129"/>
              <w:rPr>
                <w:rFonts w:ascii="Verdana" w:hAnsi="Verdana"/>
                <w:b/>
                <w:sz w:val="16"/>
                <w:szCs w:val="16"/>
              </w:rPr>
            </w:pPr>
            <w:r w:rsidRPr="00791B3F">
              <w:rPr>
                <w:rFonts w:ascii="Verdana" w:hAnsi="Verdana"/>
                <w:b/>
                <w:color w:val="FFFFFF"/>
                <w:spacing w:val="-5"/>
                <w:sz w:val="16"/>
                <w:szCs w:val="16"/>
              </w:rPr>
              <w:t>79</w:t>
            </w:r>
          </w:p>
        </w:tc>
        <w:tc>
          <w:tcPr>
            <w:tcW w:w="484" w:type="dxa"/>
            <w:tcBorders>
              <w:bottom w:val="single" w:sz="8" w:space="0" w:color="BEBEBE"/>
            </w:tcBorders>
            <w:shd w:val="clear" w:color="auto" w:fill="00AFEF"/>
          </w:tcPr>
          <w:p w14:paraId="4D3B4A91" w14:textId="77777777" w:rsidR="008715BE" w:rsidRPr="00791B3F" w:rsidRDefault="00000000">
            <w:pPr>
              <w:pStyle w:val="TableParagraph"/>
              <w:spacing w:line="170" w:lineRule="exact"/>
              <w:ind w:left="91"/>
              <w:rPr>
                <w:rFonts w:ascii="Verdana" w:hAnsi="Verdana"/>
                <w:b/>
                <w:sz w:val="16"/>
                <w:szCs w:val="16"/>
              </w:rPr>
            </w:pPr>
            <w:r w:rsidRPr="00791B3F">
              <w:rPr>
                <w:rFonts w:ascii="Verdana" w:hAnsi="Verdana"/>
                <w:b/>
                <w:color w:val="FFFFFF"/>
                <w:sz w:val="16"/>
                <w:szCs w:val="16"/>
              </w:rPr>
              <w:t>80</w:t>
            </w:r>
          </w:p>
          <w:p w14:paraId="76A87F81" w14:textId="77777777" w:rsidR="008715BE" w:rsidRPr="00791B3F" w:rsidRDefault="00000000">
            <w:pPr>
              <w:pStyle w:val="TableParagraph"/>
              <w:spacing w:line="151" w:lineRule="exact"/>
              <w:ind w:left="125"/>
              <w:rPr>
                <w:rFonts w:ascii="Verdana" w:hAnsi="Verdana"/>
                <w:b/>
                <w:sz w:val="16"/>
                <w:szCs w:val="16"/>
              </w:rPr>
            </w:pPr>
            <w:r w:rsidRPr="00791B3F">
              <w:rPr>
                <w:rFonts w:ascii="Verdana" w:hAnsi="Verdana"/>
                <w:b/>
                <w:color w:val="FFFFFF"/>
                <w:spacing w:val="-5"/>
                <w:sz w:val="16"/>
                <w:szCs w:val="16"/>
              </w:rPr>
              <w:t>84</w:t>
            </w:r>
          </w:p>
        </w:tc>
        <w:tc>
          <w:tcPr>
            <w:tcW w:w="647" w:type="dxa"/>
            <w:tcBorders>
              <w:bottom w:val="single" w:sz="8" w:space="0" w:color="BEBEBE"/>
            </w:tcBorders>
            <w:shd w:val="clear" w:color="auto" w:fill="00AFEF"/>
          </w:tcPr>
          <w:p w14:paraId="3930681B" w14:textId="77777777" w:rsidR="008715BE" w:rsidRPr="00791B3F" w:rsidRDefault="00000000">
            <w:pPr>
              <w:pStyle w:val="TableParagraph"/>
              <w:spacing w:line="170" w:lineRule="exact"/>
              <w:ind w:left="1" w:right="27"/>
              <w:jc w:val="center"/>
              <w:rPr>
                <w:rFonts w:ascii="Verdana" w:hAnsi="Verdana"/>
                <w:b/>
                <w:sz w:val="16"/>
                <w:szCs w:val="16"/>
              </w:rPr>
            </w:pPr>
            <w:r w:rsidRPr="00791B3F">
              <w:rPr>
                <w:rFonts w:ascii="Verdana" w:hAnsi="Verdana"/>
                <w:b/>
                <w:color w:val="FFFFFF"/>
                <w:spacing w:val="-2"/>
                <w:sz w:val="16"/>
                <w:szCs w:val="16"/>
              </w:rPr>
              <w:t>over</w:t>
            </w:r>
          </w:p>
          <w:p w14:paraId="1116B18C" w14:textId="77777777" w:rsidR="008715BE" w:rsidRPr="00791B3F" w:rsidRDefault="00000000">
            <w:pPr>
              <w:pStyle w:val="TableParagraph"/>
              <w:spacing w:line="151" w:lineRule="exact"/>
              <w:ind w:right="27"/>
              <w:jc w:val="center"/>
              <w:rPr>
                <w:rFonts w:ascii="Verdana" w:hAnsi="Verdana"/>
                <w:b/>
                <w:sz w:val="16"/>
                <w:szCs w:val="16"/>
              </w:rPr>
            </w:pPr>
            <w:r w:rsidRPr="00791B3F">
              <w:rPr>
                <w:rFonts w:ascii="Verdana" w:hAnsi="Verdana"/>
                <w:b/>
                <w:color w:val="FFFFFF"/>
                <w:spacing w:val="-5"/>
                <w:sz w:val="16"/>
                <w:szCs w:val="16"/>
              </w:rPr>
              <w:t>85</w:t>
            </w:r>
          </w:p>
        </w:tc>
      </w:tr>
      <w:tr w:rsidR="008715BE" w:rsidRPr="00791B3F" w14:paraId="1A314CCE" w14:textId="77777777" w:rsidTr="00791B3F">
        <w:trPr>
          <w:trHeight w:val="174"/>
        </w:trPr>
        <w:tc>
          <w:tcPr>
            <w:tcW w:w="838" w:type="dxa"/>
          </w:tcPr>
          <w:p w14:paraId="31FDF487" w14:textId="77777777" w:rsidR="008715BE" w:rsidRPr="00791B3F" w:rsidRDefault="00000000">
            <w:pPr>
              <w:pStyle w:val="TableParagraph"/>
              <w:spacing w:before="3" w:line="151" w:lineRule="exact"/>
              <w:ind w:left="112"/>
              <w:rPr>
                <w:rFonts w:ascii="Verdana" w:hAnsi="Verdana"/>
                <w:b/>
                <w:sz w:val="16"/>
                <w:szCs w:val="16"/>
              </w:rPr>
            </w:pPr>
            <w:r w:rsidRPr="00791B3F">
              <w:rPr>
                <w:rFonts w:ascii="Verdana" w:hAnsi="Verdana"/>
                <w:b/>
                <w:spacing w:val="-4"/>
                <w:sz w:val="16"/>
                <w:szCs w:val="16"/>
              </w:rPr>
              <w:t>Total</w:t>
            </w:r>
          </w:p>
        </w:tc>
        <w:tc>
          <w:tcPr>
            <w:tcW w:w="677" w:type="dxa"/>
          </w:tcPr>
          <w:p w14:paraId="769A9A62" w14:textId="77777777" w:rsidR="008715BE" w:rsidRPr="00791B3F" w:rsidRDefault="00000000">
            <w:pPr>
              <w:pStyle w:val="TableParagraph"/>
              <w:spacing w:before="3" w:line="151" w:lineRule="exact"/>
              <w:ind w:left="59"/>
              <w:jc w:val="center"/>
              <w:rPr>
                <w:rFonts w:ascii="Verdana" w:hAnsi="Verdana"/>
                <w:sz w:val="16"/>
                <w:szCs w:val="16"/>
              </w:rPr>
            </w:pPr>
            <w:r w:rsidRPr="00791B3F">
              <w:rPr>
                <w:rFonts w:ascii="Verdana" w:hAnsi="Verdana"/>
                <w:spacing w:val="-4"/>
                <w:sz w:val="16"/>
                <w:szCs w:val="16"/>
              </w:rPr>
              <w:t>2714</w:t>
            </w:r>
          </w:p>
        </w:tc>
        <w:tc>
          <w:tcPr>
            <w:tcW w:w="583" w:type="dxa"/>
            <w:tcBorders>
              <w:right w:val="single" w:sz="8" w:space="0" w:color="BEBEBE"/>
            </w:tcBorders>
          </w:tcPr>
          <w:p w14:paraId="24219C69" w14:textId="77777777" w:rsidR="008715BE" w:rsidRPr="00791B3F" w:rsidRDefault="00000000">
            <w:pPr>
              <w:pStyle w:val="TableParagraph"/>
              <w:spacing w:before="3" w:line="151" w:lineRule="exact"/>
              <w:ind w:right="84"/>
              <w:jc w:val="right"/>
              <w:rPr>
                <w:rFonts w:ascii="Verdana" w:hAnsi="Verdana"/>
                <w:sz w:val="16"/>
                <w:szCs w:val="16"/>
              </w:rPr>
            </w:pPr>
            <w:r w:rsidRPr="00791B3F">
              <w:rPr>
                <w:rFonts w:ascii="Verdana" w:hAnsi="Verdana"/>
                <w:spacing w:val="-10"/>
                <w:sz w:val="16"/>
                <w:szCs w:val="16"/>
              </w:rPr>
              <w:t>8</w:t>
            </w:r>
          </w:p>
        </w:tc>
        <w:tc>
          <w:tcPr>
            <w:tcW w:w="308" w:type="dxa"/>
            <w:tcBorders>
              <w:top w:val="single" w:sz="8" w:space="0" w:color="BEBEBE"/>
              <w:left w:val="single" w:sz="8" w:space="0" w:color="BEBEBE"/>
              <w:bottom w:val="single" w:sz="8" w:space="0" w:color="BEBEBE"/>
              <w:right w:val="single" w:sz="8" w:space="0" w:color="BEBEBE"/>
            </w:tcBorders>
          </w:tcPr>
          <w:p w14:paraId="387A36E5" w14:textId="77777777" w:rsidR="008715BE" w:rsidRPr="00791B3F" w:rsidRDefault="00000000">
            <w:pPr>
              <w:pStyle w:val="TableParagraph"/>
              <w:spacing w:before="6" w:line="148" w:lineRule="exact"/>
              <w:ind w:right="87"/>
              <w:jc w:val="right"/>
              <w:rPr>
                <w:rFonts w:ascii="Verdana" w:hAnsi="Verdana"/>
                <w:sz w:val="16"/>
                <w:szCs w:val="16"/>
              </w:rPr>
            </w:pPr>
            <w:r w:rsidRPr="00791B3F">
              <w:rPr>
                <w:rFonts w:ascii="Verdana" w:hAnsi="Verdana"/>
                <w:sz w:val="16"/>
                <w:szCs w:val="16"/>
              </w:rPr>
              <w:t>-</w:t>
            </w:r>
          </w:p>
        </w:tc>
        <w:tc>
          <w:tcPr>
            <w:tcW w:w="560" w:type="dxa"/>
            <w:tcBorders>
              <w:top w:val="single" w:sz="8" w:space="0" w:color="BEBEBE"/>
              <w:left w:val="single" w:sz="8" w:space="0" w:color="BEBEBE"/>
              <w:bottom w:val="single" w:sz="8" w:space="0" w:color="BEBEBE"/>
              <w:right w:val="single" w:sz="8" w:space="0" w:color="BEBEBE"/>
            </w:tcBorders>
          </w:tcPr>
          <w:p w14:paraId="4398C55C" w14:textId="77777777" w:rsidR="008715BE" w:rsidRPr="00791B3F" w:rsidRDefault="00000000">
            <w:pPr>
              <w:pStyle w:val="TableParagraph"/>
              <w:spacing w:before="6" w:line="148" w:lineRule="exact"/>
              <w:ind w:right="88"/>
              <w:jc w:val="right"/>
              <w:rPr>
                <w:rFonts w:ascii="Verdana" w:hAnsi="Verdana"/>
                <w:sz w:val="16"/>
                <w:szCs w:val="16"/>
              </w:rPr>
            </w:pPr>
            <w:r w:rsidRPr="00791B3F">
              <w:rPr>
                <w:rFonts w:ascii="Verdana" w:hAnsi="Verdana"/>
                <w:spacing w:val="-10"/>
                <w:sz w:val="16"/>
                <w:szCs w:val="16"/>
              </w:rPr>
              <w:t>1</w:t>
            </w:r>
          </w:p>
        </w:tc>
        <w:tc>
          <w:tcPr>
            <w:tcW w:w="484" w:type="dxa"/>
            <w:tcBorders>
              <w:top w:val="single" w:sz="8" w:space="0" w:color="BEBEBE"/>
              <w:left w:val="single" w:sz="8" w:space="0" w:color="BEBEBE"/>
              <w:bottom w:val="single" w:sz="8" w:space="0" w:color="BEBEBE"/>
              <w:right w:val="single" w:sz="8" w:space="0" w:color="BEBEBE"/>
            </w:tcBorders>
          </w:tcPr>
          <w:p w14:paraId="56D82FEA" w14:textId="77777777" w:rsidR="008715BE" w:rsidRPr="00791B3F" w:rsidRDefault="00000000">
            <w:pPr>
              <w:pStyle w:val="TableParagraph"/>
              <w:spacing w:before="6" w:line="148" w:lineRule="exact"/>
              <w:ind w:right="89"/>
              <w:jc w:val="right"/>
              <w:rPr>
                <w:rFonts w:ascii="Verdana" w:hAnsi="Verdana"/>
                <w:sz w:val="16"/>
                <w:szCs w:val="16"/>
              </w:rPr>
            </w:pPr>
            <w:r w:rsidRPr="00791B3F">
              <w:rPr>
                <w:rFonts w:ascii="Verdana" w:hAnsi="Verdana"/>
                <w:spacing w:val="-10"/>
                <w:sz w:val="16"/>
                <w:szCs w:val="16"/>
              </w:rPr>
              <w:t>3</w:t>
            </w:r>
          </w:p>
        </w:tc>
        <w:tc>
          <w:tcPr>
            <w:tcW w:w="486" w:type="dxa"/>
            <w:tcBorders>
              <w:top w:val="single" w:sz="8" w:space="0" w:color="BEBEBE"/>
              <w:left w:val="single" w:sz="8" w:space="0" w:color="BEBEBE"/>
              <w:bottom w:val="single" w:sz="8" w:space="0" w:color="BEBEBE"/>
              <w:right w:val="single" w:sz="8" w:space="0" w:color="BEBEBE"/>
            </w:tcBorders>
          </w:tcPr>
          <w:p w14:paraId="3EB30783" w14:textId="77777777" w:rsidR="008715BE" w:rsidRPr="00791B3F" w:rsidRDefault="00000000">
            <w:pPr>
              <w:pStyle w:val="TableParagraph"/>
              <w:spacing w:before="6" w:line="148" w:lineRule="exact"/>
              <w:ind w:right="91"/>
              <w:jc w:val="right"/>
              <w:rPr>
                <w:rFonts w:ascii="Verdana" w:hAnsi="Verdana"/>
                <w:sz w:val="16"/>
                <w:szCs w:val="16"/>
              </w:rPr>
            </w:pPr>
            <w:r w:rsidRPr="00791B3F">
              <w:rPr>
                <w:rFonts w:ascii="Verdana" w:hAnsi="Verdana"/>
                <w:spacing w:val="-10"/>
                <w:sz w:val="16"/>
                <w:szCs w:val="16"/>
              </w:rPr>
              <w:t>4</w:t>
            </w:r>
          </w:p>
        </w:tc>
        <w:tc>
          <w:tcPr>
            <w:tcW w:w="484" w:type="dxa"/>
            <w:tcBorders>
              <w:top w:val="single" w:sz="8" w:space="0" w:color="BEBEBE"/>
              <w:left w:val="single" w:sz="8" w:space="0" w:color="BEBEBE"/>
              <w:bottom w:val="single" w:sz="8" w:space="0" w:color="BEBEBE"/>
              <w:right w:val="single" w:sz="8" w:space="0" w:color="BEBEBE"/>
            </w:tcBorders>
          </w:tcPr>
          <w:p w14:paraId="75340ED1" w14:textId="77777777" w:rsidR="008715BE" w:rsidRPr="00791B3F" w:rsidRDefault="00000000">
            <w:pPr>
              <w:pStyle w:val="TableParagraph"/>
              <w:spacing w:before="6" w:line="148" w:lineRule="exact"/>
              <w:ind w:right="92"/>
              <w:jc w:val="right"/>
              <w:rPr>
                <w:rFonts w:ascii="Verdana" w:hAnsi="Verdana"/>
                <w:sz w:val="16"/>
                <w:szCs w:val="16"/>
              </w:rPr>
            </w:pPr>
            <w:r w:rsidRPr="00791B3F">
              <w:rPr>
                <w:rFonts w:ascii="Verdana" w:hAnsi="Verdana"/>
                <w:spacing w:val="-10"/>
                <w:sz w:val="16"/>
                <w:szCs w:val="16"/>
              </w:rPr>
              <w:t>1</w:t>
            </w:r>
          </w:p>
        </w:tc>
        <w:tc>
          <w:tcPr>
            <w:tcW w:w="534" w:type="dxa"/>
            <w:tcBorders>
              <w:top w:val="single" w:sz="8" w:space="0" w:color="BEBEBE"/>
              <w:left w:val="single" w:sz="8" w:space="0" w:color="BEBEBE"/>
              <w:bottom w:val="single" w:sz="8" w:space="0" w:color="BEBEBE"/>
              <w:right w:val="single" w:sz="8" w:space="0" w:color="BEBEBE"/>
            </w:tcBorders>
          </w:tcPr>
          <w:p w14:paraId="69296D25" w14:textId="77777777" w:rsidR="008715BE" w:rsidRPr="00791B3F" w:rsidRDefault="00000000">
            <w:pPr>
              <w:pStyle w:val="TableParagraph"/>
              <w:spacing w:before="6" w:line="148" w:lineRule="exact"/>
              <w:ind w:right="93"/>
              <w:jc w:val="right"/>
              <w:rPr>
                <w:rFonts w:ascii="Verdana" w:hAnsi="Verdana"/>
                <w:sz w:val="16"/>
                <w:szCs w:val="16"/>
              </w:rPr>
            </w:pPr>
            <w:r w:rsidRPr="00791B3F">
              <w:rPr>
                <w:rFonts w:ascii="Verdana" w:hAnsi="Verdana"/>
                <w:spacing w:val="-10"/>
                <w:sz w:val="16"/>
                <w:szCs w:val="16"/>
              </w:rPr>
              <w:t>9</w:t>
            </w:r>
          </w:p>
        </w:tc>
        <w:tc>
          <w:tcPr>
            <w:tcW w:w="484" w:type="dxa"/>
            <w:tcBorders>
              <w:top w:val="single" w:sz="8" w:space="0" w:color="BEBEBE"/>
              <w:left w:val="single" w:sz="8" w:space="0" w:color="BEBEBE"/>
              <w:bottom w:val="single" w:sz="8" w:space="0" w:color="BEBEBE"/>
              <w:right w:val="single" w:sz="8" w:space="0" w:color="BEBEBE"/>
            </w:tcBorders>
          </w:tcPr>
          <w:p w14:paraId="754D2324" w14:textId="77777777" w:rsidR="008715BE" w:rsidRPr="00791B3F" w:rsidRDefault="00000000">
            <w:pPr>
              <w:pStyle w:val="TableParagraph"/>
              <w:spacing w:before="6" w:line="148" w:lineRule="exact"/>
              <w:ind w:right="94"/>
              <w:jc w:val="right"/>
              <w:rPr>
                <w:rFonts w:ascii="Verdana" w:hAnsi="Verdana"/>
                <w:sz w:val="16"/>
                <w:szCs w:val="16"/>
              </w:rPr>
            </w:pPr>
            <w:r w:rsidRPr="00791B3F">
              <w:rPr>
                <w:rFonts w:ascii="Verdana" w:hAnsi="Verdana"/>
                <w:spacing w:val="-5"/>
                <w:sz w:val="16"/>
                <w:szCs w:val="16"/>
              </w:rPr>
              <w:t>14</w:t>
            </w:r>
          </w:p>
        </w:tc>
        <w:tc>
          <w:tcPr>
            <w:tcW w:w="506" w:type="dxa"/>
            <w:tcBorders>
              <w:top w:val="single" w:sz="8" w:space="0" w:color="BEBEBE"/>
              <w:left w:val="single" w:sz="8" w:space="0" w:color="BEBEBE"/>
              <w:bottom w:val="single" w:sz="8" w:space="0" w:color="BEBEBE"/>
              <w:right w:val="single" w:sz="8" w:space="0" w:color="BEBEBE"/>
            </w:tcBorders>
          </w:tcPr>
          <w:p w14:paraId="2B4A2234" w14:textId="77777777" w:rsidR="008715BE" w:rsidRPr="00791B3F" w:rsidRDefault="00000000">
            <w:pPr>
              <w:pStyle w:val="TableParagraph"/>
              <w:spacing w:before="6" w:line="148" w:lineRule="exact"/>
              <w:ind w:left="135"/>
              <w:jc w:val="center"/>
              <w:rPr>
                <w:rFonts w:ascii="Verdana" w:hAnsi="Verdana"/>
                <w:sz w:val="16"/>
                <w:szCs w:val="16"/>
              </w:rPr>
            </w:pPr>
            <w:r w:rsidRPr="00791B3F">
              <w:rPr>
                <w:rFonts w:ascii="Verdana" w:hAnsi="Verdana"/>
                <w:spacing w:val="-5"/>
                <w:sz w:val="16"/>
                <w:szCs w:val="16"/>
              </w:rPr>
              <w:t>33</w:t>
            </w:r>
          </w:p>
        </w:tc>
        <w:tc>
          <w:tcPr>
            <w:tcW w:w="484" w:type="dxa"/>
            <w:tcBorders>
              <w:top w:val="single" w:sz="8" w:space="0" w:color="BEBEBE"/>
              <w:left w:val="single" w:sz="8" w:space="0" w:color="BEBEBE"/>
              <w:bottom w:val="single" w:sz="8" w:space="0" w:color="BEBEBE"/>
              <w:right w:val="single" w:sz="8" w:space="0" w:color="BEBEBE"/>
            </w:tcBorders>
          </w:tcPr>
          <w:p w14:paraId="560EDDC3" w14:textId="77777777" w:rsidR="008715BE" w:rsidRPr="00791B3F" w:rsidRDefault="00000000">
            <w:pPr>
              <w:pStyle w:val="TableParagraph"/>
              <w:spacing w:before="6" w:line="148" w:lineRule="exact"/>
              <w:ind w:left="110"/>
              <w:jc w:val="center"/>
              <w:rPr>
                <w:rFonts w:ascii="Verdana" w:hAnsi="Verdana"/>
                <w:sz w:val="16"/>
                <w:szCs w:val="16"/>
              </w:rPr>
            </w:pPr>
            <w:r w:rsidRPr="00791B3F">
              <w:rPr>
                <w:rFonts w:ascii="Verdana" w:hAnsi="Verdana"/>
                <w:spacing w:val="-5"/>
                <w:sz w:val="16"/>
                <w:szCs w:val="16"/>
              </w:rPr>
              <w:t>54</w:t>
            </w:r>
          </w:p>
        </w:tc>
        <w:tc>
          <w:tcPr>
            <w:tcW w:w="508" w:type="dxa"/>
            <w:tcBorders>
              <w:top w:val="single" w:sz="8" w:space="0" w:color="BEBEBE"/>
              <w:left w:val="single" w:sz="8" w:space="0" w:color="BEBEBE"/>
              <w:bottom w:val="single" w:sz="8" w:space="0" w:color="BEBEBE"/>
              <w:right w:val="single" w:sz="8" w:space="0" w:color="BEBEBE"/>
            </w:tcBorders>
          </w:tcPr>
          <w:p w14:paraId="135E5683" w14:textId="77777777" w:rsidR="008715BE" w:rsidRPr="00791B3F" w:rsidRDefault="00000000">
            <w:pPr>
              <w:pStyle w:val="TableParagraph"/>
              <w:spacing w:before="6" w:line="148" w:lineRule="exact"/>
              <w:ind w:right="99"/>
              <w:jc w:val="right"/>
              <w:rPr>
                <w:rFonts w:ascii="Verdana" w:hAnsi="Verdana"/>
                <w:sz w:val="16"/>
                <w:szCs w:val="16"/>
              </w:rPr>
            </w:pPr>
            <w:r w:rsidRPr="00791B3F">
              <w:rPr>
                <w:rFonts w:ascii="Verdana" w:hAnsi="Verdana"/>
                <w:spacing w:val="-5"/>
                <w:sz w:val="16"/>
                <w:szCs w:val="16"/>
              </w:rPr>
              <w:t>84</w:t>
            </w:r>
          </w:p>
        </w:tc>
        <w:tc>
          <w:tcPr>
            <w:tcW w:w="484" w:type="dxa"/>
            <w:tcBorders>
              <w:top w:val="single" w:sz="8" w:space="0" w:color="BEBEBE"/>
              <w:left w:val="single" w:sz="8" w:space="0" w:color="BEBEBE"/>
              <w:bottom w:val="single" w:sz="8" w:space="0" w:color="BEBEBE"/>
              <w:right w:val="single" w:sz="8" w:space="0" w:color="BEBEBE"/>
            </w:tcBorders>
          </w:tcPr>
          <w:p w14:paraId="25299CCF" w14:textId="77777777" w:rsidR="008715BE" w:rsidRPr="00791B3F" w:rsidRDefault="00000000">
            <w:pPr>
              <w:pStyle w:val="TableParagraph"/>
              <w:spacing w:before="6" w:line="148" w:lineRule="exact"/>
              <w:ind w:left="110" w:right="83"/>
              <w:jc w:val="center"/>
              <w:rPr>
                <w:rFonts w:ascii="Verdana" w:hAnsi="Verdana"/>
                <w:sz w:val="16"/>
                <w:szCs w:val="16"/>
              </w:rPr>
            </w:pPr>
            <w:r w:rsidRPr="00791B3F">
              <w:rPr>
                <w:rFonts w:ascii="Verdana" w:hAnsi="Verdana"/>
                <w:spacing w:val="-5"/>
                <w:sz w:val="16"/>
                <w:szCs w:val="16"/>
              </w:rPr>
              <w:t>137</w:t>
            </w:r>
          </w:p>
        </w:tc>
        <w:tc>
          <w:tcPr>
            <w:tcW w:w="508" w:type="dxa"/>
            <w:tcBorders>
              <w:top w:val="single" w:sz="8" w:space="0" w:color="BEBEBE"/>
              <w:left w:val="single" w:sz="8" w:space="0" w:color="BEBEBE"/>
              <w:bottom w:val="single" w:sz="8" w:space="0" w:color="BEBEBE"/>
              <w:right w:val="single" w:sz="8" w:space="0" w:color="BEBEBE"/>
            </w:tcBorders>
          </w:tcPr>
          <w:p w14:paraId="48717409" w14:textId="77777777" w:rsidR="008715BE" w:rsidRPr="00791B3F" w:rsidRDefault="00000000">
            <w:pPr>
              <w:pStyle w:val="TableParagraph"/>
              <w:spacing w:before="6" w:line="148" w:lineRule="exact"/>
              <w:ind w:left="43"/>
              <w:jc w:val="center"/>
              <w:rPr>
                <w:rFonts w:ascii="Verdana" w:hAnsi="Verdana"/>
                <w:sz w:val="16"/>
                <w:szCs w:val="16"/>
              </w:rPr>
            </w:pPr>
            <w:r w:rsidRPr="00791B3F">
              <w:rPr>
                <w:rFonts w:ascii="Verdana" w:hAnsi="Verdana"/>
                <w:spacing w:val="-5"/>
                <w:sz w:val="16"/>
                <w:szCs w:val="16"/>
              </w:rPr>
              <w:t>224</w:t>
            </w:r>
          </w:p>
        </w:tc>
        <w:tc>
          <w:tcPr>
            <w:tcW w:w="564" w:type="dxa"/>
            <w:tcBorders>
              <w:top w:val="single" w:sz="8" w:space="0" w:color="BEBEBE"/>
              <w:left w:val="single" w:sz="8" w:space="0" w:color="BEBEBE"/>
              <w:bottom w:val="single" w:sz="8" w:space="0" w:color="BEBEBE"/>
              <w:right w:val="single" w:sz="8" w:space="0" w:color="BEBEBE"/>
            </w:tcBorders>
          </w:tcPr>
          <w:p w14:paraId="437D5802" w14:textId="77777777" w:rsidR="008715BE" w:rsidRPr="00791B3F" w:rsidRDefault="00000000">
            <w:pPr>
              <w:pStyle w:val="TableParagraph"/>
              <w:spacing w:before="6" w:line="148" w:lineRule="exact"/>
              <w:ind w:right="102"/>
              <w:jc w:val="right"/>
              <w:rPr>
                <w:rFonts w:ascii="Verdana" w:hAnsi="Verdana"/>
                <w:sz w:val="16"/>
                <w:szCs w:val="16"/>
              </w:rPr>
            </w:pPr>
            <w:r w:rsidRPr="00791B3F">
              <w:rPr>
                <w:rFonts w:ascii="Verdana" w:hAnsi="Verdana"/>
                <w:spacing w:val="-5"/>
                <w:sz w:val="16"/>
                <w:szCs w:val="16"/>
              </w:rPr>
              <w:t>297</w:t>
            </w:r>
          </w:p>
        </w:tc>
        <w:tc>
          <w:tcPr>
            <w:tcW w:w="484" w:type="dxa"/>
            <w:tcBorders>
              <w:top w:val="single" w:sz="8" w:space="0" w:color="BEBEBE"/>
              <w:left w:val="single" w:sz="8" w:space="0" w:color="BEBEBE"/>
              <w:bottom w:val="single" w:sz="8" w:space="0" w:color="BEBEBE"/>
              <w:right w:val="single" w:sz="8" w:space="0" w:color="BEBEBE"/>
            </w:tcBorders>
          </w:tcPr>
          <w:p w14:paraId="3AA61D4B" w14:textId="77777777" w:rsidR="008715BE" w:rsidRPr="00791B3F" w:rsidRDefault="00000000">
            <w:pPr>
              <w:pStyle w:val="TableParagraph"/>
              <w:spacing w:before="6" w:line="148" w:lineRule="exact"/>
              <w:ind w:left="17"/>
              <w:jc w:val="center"/>
              <w:rPr>
                <w:rFonts w:ascii="Verdana" w:hAnsi="Verdana"/>
                <w:sz w:val="16"/>
                <w:szCs w:val="16"/>
              </w:rPr>
            </w:pPr>
            <w:r w:rsidRPr="00791B3F">
              <w:rPr>
                <w:rFonts w:ascii="Verdana" w:hAnsi="Verdana"/>
                <w:spacing w:val="-5"/>
                <w:sz w:val="16"/>
                <w:szCs w:val="16"/>
              </w:rPr>
              <w:t>417</w:t>
            </w:r>
          </w:p>
        </w:tc>
        <w:tc>
          <w:tcPr>
            <w:tcW w:w="486" w:type="dxa"/>
            <w:tcBorders>
              <w:top w:val="single" w:sz="8" w:space="0" w:color="BEBEBE"/>
              <w:left w:val="single" w:sz="8" w:space="0" w:color="BEBEBE"/>
              <w:bottom w:val="single" w:sz="8" w:space="0" w:color="BEBEBE"/>
              <w:right w:val="single" w:sz="8" w:space="0" w:color="BEBEBE"/>
            </w:tcBorders>
          </w:tcPr>
          <w:p w14:paraId="11BE948D" w14:textId="77777777" w:rsidR="008715BE" w:rsidRPr="00791B3F" w:rsidRDefault="00000000">
            <w:pPr>
              <w:pStyle w:val="TableParagraph"/>
              <w:spacing w:before="6" w:line="148" w:lineRule="exact"/>
              <w:ind w:left="17"/>
              <w:jc w:val="center"/>
              <w:rPr>
                <w:rFonts w:ascii="Verdana" w:hAnsi="Verdana"/>
                <w:sz w:val="16"/>
                <w:szCs w:val="16"/>
              </w:rPr>
            </w:pPr>
            <w:r w:rsidRPr="00791B3F">
              <w:rPr>
                <w:rFonts w:ascii="Verdana" w:hAnsi="Verdana"/>
                <w:spacing w:val="-5"/>
                <w:sz w:val="16"/>
                <w:szCs w:val="16"/>
              </w:rPr>
              <w:t>433</w:t>
            </w:r>
          </w:p>
        </w:tc>
        <w:tc>
          <w:tcPr>
            <w:tcW w:w="484" w:type="dxa"/>
            <w:tcBorders>
              <w:top w:val="single" w:sz="8" w:space="0" w:color="BEBEBE"/>
              <w:left w:val="single" w:sz="8" w:space="0" w:color="BEBEBE"/>
              <w:bottom w:val="single" w:sz="8" w:space="0" w:color="BEBEBE"/>
              <w:right w:val="single" w:sz="8" w:space="0" w:color="BEBEBE"/>
            </w:tcBorders>
          </w:tcPr>
          <w:p w14:paraId="57559194" w14:textId="77777777" w:rsidR="008715BE" w:rsidRPr="00791B3F" w:rsidRDefault="00000000">
            <w:pPr>
              <w:pStyle w:val="TableParagraph"/>
              <w:spacing w:before="6" w:line="148" w:lineRule="exact"/>
              <w:ind w:left="11"/>
              <w:jc w:val="center"/>
              <w:rPr>
                <w:rFonts w:ascii="Verdana" w:hAnsi="Verdana"/>
                <w:sz w:val="16"/>
                <w:szCs w:val="16"/>
              </w:rPr>
            </w:pPr>
            <w:r w:rsidRPr="00791B3F">
              <w:rPr>
                <w:rFonts w:ascii="Verdana" w:hAnsi="Verdana"/>
                <w:spacing w:val="-5"/>
                <w:sz w:val="16"/>
                <w:szCs w:val="16"/>
              </w:rPr>
              <w:t>415</w:t>
            </w:r>
          </w:p>
        </w:tc>
        <w:tc>
          <w:tcPr>
            <w:tcW w:w="647" w:type="dxa"/>
            <w:tcBorders>
              <w:top w:val="single" w:sz="8" w:space="0" w:color="BEBEBE"/>
              <w:left w:val="single" w:sz="8" w:space="0" w:color="BEBEBE"/>
              <w:bottom w:val="single" w:sz="8" w:space="0" w:color="BEBEBE"/>
              <w:right w:val="single" w:sz="8" w:space="0" w:color="BEBEBE"/>
            </w:tcBorders>
          </w:tcPr>
          <w:p w14:paraId="08BEC8FD" w14:textId="77777777" w:rsidR="008715BE" w:rsidRPr="00791B3F" w:rsidRDefault="00000000">
            <w:pPr>
              <w:pStyle w:val="TableParagraph"/>
              <w:spacing w:before="6" w:line="148" w:lineRule="exact"/>
              <w:ind w:right="107"/>
              <w:jc w:val="right"/>
              <w:rPr>
                <w:rFonts w:ascii="Verdana" w:hAnsi="Verdana"/>
                <w:sz w:val="16"/>
                <w:szCs w:val="16"/>
              </w:rPr>
            </w:pPr>
            <w:r w:rsidRPr="00791B3F">
              <w:rPr>
                <w:rFonts w:ascii="Verdana" w:hAnsi="Verdana"/>
                <w:spacing w:val="-5"/>
                <w:sz w:val="16"/>
                <w:szCs w:val="16"/>
              </w:rPr>
              <w:t>580</w:t>
            </w:r>
          </w:p>
        </w:tc>
      </w:tr>
      <w:tr w:rsidR="008715BE" w:rsidRPr="00791B3F" w14:paraId="4F6F7F86" w14:textId="77777777" w:rsidTr="00791B3F">
        <w:trPr>
          <w:trHeight w:val="169"/>
        </w:trPr>
        <w:tc>
          <w:tcPr>
            <w:tcW w:w="838" w:type="dxa"/>
          </w:tcPr>
          <w:p w14:paraId="705C4BD5" w14:textId="77777777" w:rsidR="008715BE" w:rsidRPr="00791B3F" w:rsidRDefault="00000000">
            <w:pPr>
              <w:pStyle w:val="TableParagraph"/>
              <w:spacing w:line="150" w:lineRule="exact"/>
              <w:ind w:left="112"/>
              <w:rPr>
                <w:rFonts w:ascii="Verdana" w:hAnsi="Verdana"/>
                <w:b/>
                <w:sz w:val="16"/>
                <w:szCs w:val="16"/>
              </w:rPr>
            </w:pPr>
            <w:r w:rsidRPr="00791B3F">
              <w:rPr>
                <w:rFonts w:ascii="Verdana" w:hAnsi="Verdana"/>
                <w:b/>
                <w:spacing w:val="-2"/>
                <w:sz w:val="16"/>
                <w:szCs w:val="16"/>
              </w:rPr>
              <w:t>Male</w:t>
            </w:r>
          </w:p>
        </w:tc>
        <w:tc>
          <w:tcPr>
            <w:tcW w:w="677" w:type="dxa"/>
          </w:tcPr>
          <w:p w14:paraId="1FD611C8" w14:textId="77777777" w:rsidR="008715BE" w:rsidRPr="00791B3F" w:rsidRDefault="00000000">
            <w:pPr>
              <w:pStyle w:val="TableParagraph"/>
              <w:spacing w:line="150" w:lineRule="exact"/>
              <w:ind w:left="59"/>
              <w:jc w:val="center"/>
              <w:rPr>
                <w:rFonts w:ascii="Verdana" w:hAnsi="Verdana"/>
                <w:sz w:val="16"/>
                <w:szCs w:val="16"/>
              </w:rPr>
            </w:pPr>
            <w:r w:rsidRPr="00791B3F">
              <w:rPr>
                <w:rFonts w:ascii="Verdana" w:hAnsi="Verdana"/>
                <w:spacing w:val="-4"/>
                <w:sz w:val="16"/>
                <w:szCs w:val="16"/>
              </w:rPr>
              <w:t>1433</w:t>
            </w:r>
          </w:p>
        </w:tc>
        <w:tc>
          <w:tcPr>
            <w:tcW w:w="583" w:type="dxa"/>
          </w:tcPr>
          <w:p w14:paraId="7274F29B" w14:textId="77777777" w:rsidR="008715BE" w:rsidRPr="00791B3F" w:rsidRDefault="00000000">
            <w:pPr>
              <w:pStyle w:val="TableParagraph"/>
              <w:spacing w:line="150" w:lineRule="exact"/>
              <w:ind w:right="89"/>
              <w:jc w:val="right"/>
              <w:rPr>
                <w:rFonts w:ascii="Verdana" w:hAnsi="Verdana"/>
                <w:sz w:val="16"/>
                <w:szCs w:val="16"/>
              </w:rPr>
            </w:pPr>
            <w:r w:rsidRPr="00791B3F">
              <w:rPr>
                <w:rFonts w:ascii="Verdana" w:hAnsi="Verdana"/>
                <w:spacing w:val="-10"/>
                <w:sz w:val="16"/>
                <w:szCs w:val="16"/>
              </w:rPr>
              <w:t>3</w:t>
            </w:r>
          </w:p>
        </w:tc>
        <w:tc>
          <w:tcPr>
            <w:tcW w:w="308" w:type="dxa"/>
            <w:tcBorders>
              <w:top w:val="single" w:sz="8" w:space="0" w:color="BEBEBE"/>
            </w:tcBorders>
          </w:tcPr>
          <w:p w14:paraId="0B8C130E" w14:textId="77777777" w:rsidR="008715BE" w:rsidRPr="00791B3F" w:rsidRDefault="00000000">
            <w:pPr>
              <w:pStyle w:val="TableParagraph"/>
              <w:spacing w:before="3" w:line="146" w:lineRule="exact"/>
              <w:ind w:right="92"/>
              <w:jc w:val="right"/>
              <w:rPr>
                <w:rFonts w:ascii="Verdana" w:hAnsi="Verdana"/>
                <w:sz w:val="16"/>
                <w:szCs w:val="16"/>
              </w:rPr>
            </w:pPr>
            <w:r w:rsidRPr="00791B3F">
              <w:rPr>
                <w:rFonts w:ascii="Verdana" w:hAnsi="Verdana"/>
                <w:sz w:val="16"/>
                <w:szCs w:val="16"/>
              </w:rPr>
              <w:t>-</w:t>
            </w:r>
          </w:p>
        </w:tc>
        <w:tc>
          <w:tcPr>
            <w:tcW w:w="560" w:type="dxa"/>
            <w:tcBorders>
              <w:top w:val="single" w:sz="8" w:space="0" w:color="BEBEBE"/>
            </w:tcBorders>
          </w:tcPr>
          <w:p w14:paraId="17C3C58C" w14:textId="77777777" w:rsidR="008715BE" w:rsidRPr="00791B3F" w:rsidRDefault="00000000">
            <w:pPr>
              <w:pStyle w:val="TableParagraph"/>
              <w:spacing w:before="3" w:line="146" w:lineRule="exact"/>
              <w:ind w:right="92"/>
              <w:jc w:val="right"/>
              <w:rPr>
                <w:rFonts w:ascii="Verdana" w:hAnsi="Verdana"/>
                <w:sz w:val="16"/>
                <w:szCs w:val="16"/>
              </w:rPr>
            </w:pPr>
            <w:r w:rsidRPr="00791B3F">
              <w:rPr>
                <w:rFonts w:ascii="Verdana" w:hAnsi="Verdana"/>
                <w:sz w:val="16"/>
                <w:szCs w:val="16"/>
              </w:rPr>
              <w:t>-</w:t>
            </w:r>
          </w:p>
        </w:tc>
        <w:tc>
          <w:tcPr>
            <w:tcW w:w="484" w:type="dxa"/>
            <w:tcBorders>
              <w:top w:val="single" w:sz="8" w:space="0" w:color="BEBEBE"/>
            </w:tcBorders>
          </w:tcPr>
          <w:p w14:paraId="4C7E4DF2" w14:textId="77777777" w:rsidR="008715BE" w:rsidRPr="00791B3F" w:rsidRDefault="00000000">
            <w:pPr>
              <w:pStyle w:val="TableParagraph"/>
              <w:spacing w:before="3" w:line="146" w:lineRule="exact"/>
              <w:ind w:right="94"/>
              <w:jc w:val="right"/>
              <w:rPr>
                <w:rFonts w:ascii="Verdana" w:hAnsi="Verdana"/>
                <w:sz w:val="16"/>
                <w:szCs w:val="16"/>
              </w:rPr>
            </w:pPr>
            <w:r w:rsidRPr="00791B3F">
              <w:rPr>
                <w:rFonts w:ascii="Verdana" w:hAnsi="Verdana"/>
                <w:spacing w:val="-10"/>
                <w:sz w:val="16"/>
                <w:szCs w:val="16"/>
              </w:rPr>
              <w:t>1</w:t>
            </w:r>
          </w:p>
        </w:tc>
        <w:tc>
          <w:tcPr>
            <w:tcW w:w="486" w:type="dxa"/>
            <w:tcBorders>
              <w:top w:val="single" w:sz="8" w:space="0" w:color="BEBEBE"/>
            </w:tcBorders>
          </w:tcPr>
          <w:p w14:paraId="24811EB3" w14:textId="77777777" w:rsidR="008715BE" w:rsidRPr="00791B3F" w:rsidRDefault="00000000">
            <w:pPr>
              <w:pStyle w:val="TableParagraph"/>
              <w:spacing w:before="3" w:line="146" w:lineRule="exact"/>
              <w:ind w:right="96"/>
              <w:jc w:val="right"/>
              <w:rPr>
                <w:rFonts w:ascii="Verdana" w:hAnsi="Verdana"/>
                <w:sz w:val="16"/>
                <w:szCs w:val="16"/>
              </w:rPr>
            </w:pPr>
            <w:r w:rsidRPr="00791B3F">
              <w:rPr>
                <w:rFonts w:ascii="Verdana" w:hAnsi="Verdana"/>
                <w:spacing w:val="-10"/>
                <w:sz w:val="16"/>
                <w:szCs w:val="16"/>
              </w:rPr>
              <w:t>4</w:t>
            </w:r>
          </w:p>
        </w:tc>
        <w:tc>
          <w:tcPr>
            <w:tcW w:w="484" w:type="dxa"/>
            <w:tcBorders>
              <w:top w:val="single" w:sz="8" w:space="0" w:color="BEBEBE"/>
            </w:tcBorders>
          </w:tcPr>
          <w:p w14:paraId="08836E15" w14:textId="77777777" w:rsidR="008715BE" w:rsidRPr="00791B3F" w:rsidRDefault="00000000">
            <w:pPr>
              <w:pStyle w:val="TableParagraph"/>
              <w:spacing w:before="3" w:line="146" w:lineRule="exact"/>
              <w:ind w:right="97"/>
              <w:jc w:val="right"/>
              <w:rPr>
                <w:rFonts w:ascii="Verdana" w:hAnsi="Verdana"/>
                <w:sz w:val="16"/>
                <w:szCs w:val="16"/>
              </w:rPr>
            </w:pPr>
            <w:r w:rsidRPr="00791B3F">
              <w:rPr>
                <w:rFonts w:ascii="Verdana" w:hAnsi="Verdana"/>
                <w:spacing w:val="-10"/>
                <w:sz w:val="16"/>
                <w:szCs w:val="16"/>
              </w:rPr>
              <w:t>1</w:t>
            </w:r>
          </w:p>
        </w:tc>
        <w:tc>
          <w:tcPr>
            <w:tcW w:w="534" w:type="dxa"/>
            <w:tcBorders>
              <w:top w:val="single" w:sz="8" w:space="0" w:color="BEBEBE"/>
            </w:tcBorders>
          </w:tcPr>
          <w:p w14:paraId="3522BFD2" w14:textId="77777777" w:rsidR="008715BE" w:rsidRPr="00791B3F" w:rsidRDefault="00000000">
            <w:pPr>
              <w:pStyle w:val="TableParagraph"/>
              <w:spacing w:before="3" w:line="146" w:lineRule="exact"/>
              <w:ind w:right="98"/>
              <w:jc w:val="right"/>
              <w:rPr>
                <w:rFonts w:ascii="Verdana" w:hAnsi="Verdana"/>
                <w:sz w:val="16"/>
                <w:szCs w:val="16"/>
              </w:rPr>
            </w:pPr>
            <w:r w:rsidRPr="00791B3F">
              <w:rPr>
                <w:rFonts w:ascii="Verdana" w:hAnsi="Verdana"/>
                <w:spacing w:val="-10"/>
                <w:sz w:val="16"/>
                <w:szCs w:val="16"/>
              </w:rPr>
              <w:t>7</w:t>
            </w:r>
          </w:p>
        </w:tc>
        <w:tc>
          <w:tcPr>
            <w:tcW w:w="484" w:type="dxa"/>
            <w:tcBorders>
              <w:top w:val="single" w:sz="8" w:space="0" w:color="BEBEBE"/>
            </w:tcBorders>
          </w:tcPr>
          <w:p w14:paraId="1125AADE" w14:textId="77777777" w:rsidR="008715BE" w:rsidRPr="00791B3F" w:rsidRDefault="00000000">
            <w:pPr>
              <w:pStyle w:val="TableParagraph"/>
              <w:spacing w:before="3" w:line="146" w:lineRule="exact"/>
              <w:ind w:right="99"/>
              <w:jc w:val="right"/>
              <w:rPr>
                <w:rFonts w:ascii="Verdana" w:hAnsi="Verdana"/>
                <w:sz w:val="16"/>
                <w:szCs w:val="16"/>
              </w:rPr>
            </w:pPr>
            <w:r w:rsidRPr="00791B3F">
              <w:rPr>
                <w:rFonts w:ascii="Verdana" w:hAnsi="Verdana"/>
                <w:spacing w:val="-5"/>
                <w:sz w:val="16"/>
                <w:szCs w:val="16"/>
              </w:rPr>
              <w:t>11</w:t>
            </w:r>
          </w:p>
        </w:tc>
        <w:tc>
          <w:tcPr>
            <w:tcW w:w="506" w:type="dxa"/>
            <w:tcBorders>
              <w:top w:val="single" w:sz="8" w:space="0" w:color="BEBEBE"/>
            </w:tcBorders>
          </w:tcPr>
          <w:p w14:paraId="6D18B660" w14:textId="77777777" w:rsidR="008715BE" w:rsidRPr="00791B3F" w:rsidRDefault="00000000">
            <w:pPr>
              <w:pStyle w:val="TableParagraph"/>
              <w:spacing w:before="3" w:line="146" w:lineRule="exact"/>
              <w:ind w:left="135"/>
              <w:jc w:val="center"/>
              <w:rPr>
                <w:rFonts w:ascii="Verdana" w:hAnsi="Verdana"/>
                <w:sz w:val="16"/>
                <w:szCs w:val="16"/>
              </w:rPr>
            </w:pPr>
            <w:r w:rsidRPr="00791B3F">
              <w:rPr>
                <w:rFonts w:ascii="Verdana" w:hAnsi="Verdana"/>
                <w:spacing w:val="-5"/>
                <w:sz w:val="16"/>
                <w:szCs w:val="16"/>
              </w:rPr>
              <w:t>20</w:t>
            </w:r>
          </w:p>
        </w:tc>
        <w:tc>
          <w:tcPr>
            <w:tcW w:w="484" w:type="dxa"/>
            <w:tcBorders>
              <w:top w:val="single" w:sz="8" w:space="0" w:color="BEBEBE"/>
            </w:tcBorders>
          </w:tcPr>
          <w:p w14:paraId="681975C3" w14:textId="77777777" w:rsidR="008715BE" w:rsidRPr="00791B3F" w:rsidRDefault="00000000">
            <w:pPr>
              <w:pStyle w:val="TableParagraph"/>
              <w:spacing w:before="3" w:line="146" w:lineRule="exact"/>
              <w:ind w:left="160" w:right="50"/>
              <w:jc w:val="center"/>
              <w:rPr>
                <w:rFonts w:ascii="Verdana" w:hAnsi="Verdana"/>
                <w:sz w:val="16"/>
                <w:szCs w:val="16"/>
              </w:rPr>
            </w:pPr>
            <w:r w:rsidRPr="00791B3F">
              <w:rPr>
                <w:rFonts w:ascii="Verdana" w:hAnsi="Verdana"/>
                <w:spacing w:val="-5"/>
                <w:sz w:val="16"/>
                <w:szCs w:val="16"/>
              </w:rPr>
              <w:t>42</w:t>
            </w:r>
          </w:p>
        </w:tc>
        <w:tc>
          <w:tcPr>
            <w:tcW w:w="508" w:type="dxa"/>
            <w:tcBorders>
              <w:top w:val="single" w:sz="8" w:space="0" w:color="BEBEBE"/>
            </w:tcBorders>
          </w:tcPr>
          <w:p w14:paraId="33C7A177" w14:textId="77777777" w:rsidR="008715BE" w:rsidRPr="00791B3F" w:rsidRDefault="00000000">
            <w:pPr>
              <w:pStyle w:val="TableParagraph"/>
              <w:spacing w:before="3" w:line="146" w:lineRule="exact"/>
              <w:ind w:right="104"/>
              <w:jc w:val="right"/>
              <w:rPr>
                <w:rFonts w:ascii="Verdana" w:hAnsi="Verdana"/>
                <w:sz w:val="16"/>
                <w:szCs w:val="16"/>
              </w:rPr>
            </w:pPr>
            <w:r w:rsidRPr="00791B3F">
              <w:rPr>
                <w:rFonts w:ascii="Verdana" w:hAnsi="Verdana"/>
                <w:spacing w:val="-5"/>
                <w:sz w:val="16"/>
                <w:szCs w:val="16"/>
              </w:rPr>
              <w:t>60</w:t>
            </w:r>
          </w:p>
        </w:tc>
        <w:tc>
          <w:tcPr>
            <w:tcW w:w="484" w:type="dxa"/>
            <w:tcBorders>
              <w:top w:val="single" w:sz="8" w:space="0" w:color="BEBEBE"/>
            </w:tcBorders>
          </w:tcPr>
          <w:p w14:paraId="0C8A3417" w14:textId="77777777" w:rsidR="008715BE" w:rsidRPr="00791B3F" w:rsidRDefault="00000000">
            <w:pPr>
              <w:pStyle w:val="TableParagraph"/>
              <w:spacing w:before="3" w:line="146" w:lineRule="exact"/>
              <w:ind w:left="160" w:right="56"/>
              <w:jc w:val="center"/>
              <w:rPr>
                <w:rFonts w:ascii="Verdana" w:hAnsi="Verdana"/>
                <w:sz w:val="16"/>
                <w:szCs w:val="16"/>
              </w:rPr>
            </w:pPr>
            <w:r w:rsidRPr="00791B3F">
              <w:rPr>
                <w:rFonts w:ascii="Verdana" w:hAnsi="Verdana"/>
                <w:spacing w:val="-5"/>
                <w:sz w:val="16"/>
                <w:szCs w:val="16"/>
              </w:rPr>
              <w:t>91</w:t>
            </w:r>
          </w:p>
        </w:tc>
        <w:tc>
          <w:tcPr>
            <w:tcW w:w="508" w:type="dxa"/>
            <w:tcBorders>
              <w:top w:val="single" w:sz="8" w:space="0" w:color="BEBEBE"/>
            </w:tcBorders>
          </w:tcPr>
          <w:p w14:paraId="2CFD1260" w14:textId="77777777" w:rsidR="008715BE" w:rsidRPr="00791B3F" w:rsidRDefault="00000000">
            <w:pPr>
              <w:pStyle w:val="TableParagraph"/>
              <w:spacing w:before="3" w:line="146" w:lineRule="exact"/>
              <w:ind w:left="120" w:right="77"/>
              <w:jc w:val="center"/>
              <w:rPr>
                <w:rFonts w:ascii="Verdana" w:hAnsi="Verdana"/>
                <w:sz w:val="16"/>
                <w:szCs w:val="16"/>
              </w:rPr>
            </w:pPr>
            <w:r w:rsidRPr="00791B3F">
              <w:rPr>
                <w:rFonts w:ascii="Verdana" w:hAnsi="Verdana"/>
                <w:spacing w:val="-5"/>
                <w:sz w:val="16"/>
                <w:szCs w:val="16"/>
              </w:rPr>
              <w:t>149</w:t>
            </w:r>
          </w:p>
        </w:tc>
        <w:tc>
          <w:tcPr>
            <w:tcW w:w="564" w:type="dxa"/>
            <w:tcBorders>
              <w:top w:val="single" w:sz="8" w:space="0" w:color="BEBEBE"/>
            </w:tcBorders>
          </w:tcPr>
          <w:p w14:paraId="03B6B350" w14:textId="77777777" w:rsidR="008715BE" w:rsidRPr="00791B3F" w:rsidRDefault="00000000">
            <w:pPr>
              <w:pStyle w:val="TableParagraph"/>
              <w:spacing w:before="3" w:line="146" w:lineRule="exact"/>
              <w:ind w:right="107"/>
              <w:jc w:val="right"/>
              <w:rPr>
                <w:rFonts w:ascii="Verdana" w:hAnsi="Verdana"/>
                <w:sz w:val="16"/>
                <w:szCs w:val="16"/>
              </w:rPr>
            </w:pPr>
            <w:r w:rsidRPr="00791B3F">
              <w:rPr>
                <w:rFonts w:ascii="Verdana" w:hAnsi="Verdana"/>
                <w:spacing w:val="-5"/>
                <w:sz w:val="16"/>
                <w:szCs w:val="16"/>
              </w:rPr>
              <w:t>205</w:t>
            </w:r>
          </w:p>
        </w:tc>
        <w:tc>
          <w:tcPr>
            <w:tcW w:w="484" w:type="dxa"/>
            <w:tcBorders>
              <w:top w:val="single" w:sz="8" w:space="0" w:color="BEBEBE"/>
            </w:tcBorders>
          </w:tcPr>
          <w:p w14:paraId="1309ADA7" w14:textId="77777777" w:rsidR="008715BE" w:rsidRPr="00791B3F" w:rsidRDefault="00000000">
            <w:pPr>
              <w:pStyle w:val="TableParagraph"/>
              <w:spacing w:before="3" w:line="146" w:lineRule="exact"/>
              <w:ind w:left="17"/>
              <w:jc w:val="center"/>
              <w:rPr>
                <w:rFonts w:ascii="Verdana" w:hAnsi="Verdana"/>
                <w:sz w:val="16"/>
                <w:szCs w:val="16"/>
              </w:rPr>
            </w:pPr>
            <w:r w:rsidRPr="00791B3F">
              <w:rPr>
                <w:rFonts w:ascii="Verdana" w:hAnsi="Verdana"/>
                <w:spacing w:val="-5"/>
                <w:sz w:val="16"/>
                <w:szCs w:val="16"/>
              </w:rPr>
              <w:t>252</w:t>
            </w:r>
          </w:p>
        </w:tc>
        <w:tc>
          <w:tcPr>
            <w:tcW w:w="486" w:type="dxa"/>
            <w:tcBorders>
              <w:top w:val="single" w:sz="8" w:space="0" w:color="BEBEBE"/>
            </w:tcBorders>
          </w:tcPr>
          <w:p w14:paraId="75578BDF" w14:textId="77777777" w:rsidR="008715BE" w:rsidRPr="00791B3F" w:rsidRDefault="00000000">
            <w:pPr>
              <w:pStyle w:val="TableParagraph"/>
              <w:spacing w:before="3" w:line="146" w:lineRule="exact"/>
              <w:ind w:left="92" w:right="75"/>
              <w:jc w:val="center"/>
              <w:rPr>
                <w:rFonts w:ascii="Verdana" w:hAnsi="Verdana"/>
                <w:sz w:val="16"/>
                <w:szCs w:val="16"/>
              </w:rPr>
            </w:pPr>
            <w:r w:rsidRPr="00791B3F">
              <w:rPr>
                <w:rFonts w:ascii="Verdana" w:hAnsi="Verdana"/>
                <w:spacing w:val="-5"/>
                <w:sz w:val="16"/>
                <w:szCs w:val="16"/>
              </w:rPr>
              <w:t>210</w:t>
            </w:r>
          </w:p>
        </w:tc>
        <w:tc>
          <w:tcPr>
            <w:tcW w:w="484" w:type="dxa"/>
            <w:tcBorders>
              <w:top w:val="single" w:sz="8" w:space="0" w:color="BEBEBE"/>
            </w:tcBorders>
          </w:tcPr>
          <w:p w14:paraId="3A9DF0A9" w14:textId="77777777" w:rsidR="008715BE" w:rsidRPr="00791B3F" w:rsidRDefault="00000000">
            <w:pPr>
              <w:pStyle w:val="TableParagraph"/>
              <w:spacing w:before="3" w:line="146" w:lineRule="exact"/>
              <w:ind w:left="17" w:right="6"/>
              <w:jc w:val="center"/>
              <w:rPr>
                <w:rFonts w:ascii="Verdana" w:hAnsi="Verdana"/>
                <w:sz w:val="16"/>
                <w:szCs w:val="16"/>
              </w:rPr>
            </w:pPr>
            <w:r w:rsidRPr="00791B3F">
              <w:rPr>
                <w:rFonts w:ascii="Verdana" w:hAnsi="Verdana"/>
                <w:spacing w:val="-5"/>
                <w:sz w:val="16"/>
                <w:szCs w:val="16"/>
              </w:rPr>
              <w:t>175</w:t>
            </w:r>
          </w:p>
        </w:tc>
        <w:tc>
          <w:tcPr>
            <w:tcW w:w="647" w:type="dxa"/>
            <w:tcBorders>
              <w:top w:val="single" w:sz="8" w:space="0" w:color="BEBEBE"/>
            </w:tcBorders>
          </w:tcPr>
          <w:p w14:paraId="5826469B" w14:textId="77777777" w:rsidR="008715BE" w:rsidRPr="00791B3F" w:rsidRDefault="00000000">
            <w:pPr>
              <w:pStyle w:val="TableParagraph"/>
              <w:spacing w:before="3" w:line="146" w:lineRule="exact"/>
              <w:ind w:right="112"/>
              <w:jc w:val="right"/>
              <w:rPr>
                <w:rFonts w:ascii="Verdana" w:hAnsi="Verdana"/>
                <w:sz w:val="16"/>
                <w:szCs w:val="16"/>
              </w:rPr>
            </w:pPr>
            <w:r w:rsidRPr="00791B3F">
              <w:rPr>
                <w:rFonts w:ascii="Verdana" w:hAnsi="Verdana"/>
                <w:spacing w:val="-5"/>
                <w:sz w:val="16"/>
                <w:szCs w:val="16"/>
              </w:rPr>
              <w:t>202</w:t>
            </w:r>
          </w:p>
        </w:tc>
      </w:tr>
      <w:tr w:rsidR="008715BE" w:rsidRPr="00791B3F" w14:paraId="4812F895" w14:textId="77777777" w:rsidTr="00791B3F">
        <w:trPr>
          <w:trHeight w:val="170"/>
        </w:trPr>
        <w:tc>
          <w:tcPr>
            <w:tcW w:w="838" w:type="dxa"/>
          </w:tcPr>
          <w:p w14:paraId="037C2202" w14:textId="77777777" w:rsidR="008715BE" w:rsidRPr="00791B3F" w:rsidRDefault="00000000">
            <w:pPr>
              <w:pStyle w:val="TableParagraph"/>
              <w:spacing w:line="150" w:lineRule="exact"/>
              <w:ind w:left="112"/>
              <w:rPr>
                <w:rFonts w:ascii="Verdana" w:hAnsi="Verdana"/>
                <w:b/>
                <w:sz w:val="16"/>
                <w:szCs w:val="16"/>
              </w:rPr>
            </w:pPr>
            <w:r w:rsidRPr="00791B3F">
              <w:rPr>
                <w:rFonts w:ascii="Verdana" w:hAnsi="Verdana"/>
                <w:b/>
                <w:spacing w:val="-2"/>
                <w:sz w:val="16"/>
                <w:szCs w:val="16"/>
              </w:rPr>
              <w:t>Female</w:t>
            </w:r>
          </w:p>
        </w:tc>
        <w:tc>
          <w:tcPr>
            <w:tcW w:w="677" w:type="dxa"/>
          </w:tcPr>
          <w:p w14:paraId="4C315089" w14:textId="77777777" w:rsidR="008715BE" w:rsidRPr="00791B3F" w:rsidRDefault="00000000">
            <w:pPr>
              <w:pStyle w:val="TableParagraph"/>
              <w:spacing w:line="150" w:lineRule="exact"/>
              <w:ind w:left="59"/>
              <w:jc w:val="center"/>
              <w:rPr>
                <w:rFonts w:ascii="Verdana" w:hAnsi="Verdana"/>
                <w:sz w:val="16"/>
                <w:szCs w:val="16"/>
              </w:rPr>
            </w:pPr>
            <w:r w:rsidRPr="00791B3F">
              <w:rPr>
                <w:rFonts w:ascii="Verdana" w:hAnsi="Verdana"/>
                <w:spacing w:val="-4"/>
                <w:sz w:val="16"/>
                <w:szCs w:val="16"/>
              </w:rPr>
              <w:t>1281</w:t>
            </w:r>
          </w:p>
        </w:tc>
        <w:tc>
          <w:tcPr>
            <w:tcW w:w="583" w:type="dxa"/>
          </w:tcPr>
          <w:p w14:paraId="1AEB7F40" w14:textId="77777777" w:rsidR="008715BE" w:rsidRPr="00791B3F" w:rsidRDefault="00000000">
            <w:pPr>
              <w:pStyle w:val="TableParagraph"/>
              <w:spacing w:line="150" w:lineRule="exact"/>
              <w:ind w:right="89"/>
              <w:jc w:val="right"/>
              <w:rPr>
                <w:rFonts w:ascii="Verdana" w:hAnsi="Verdana"/>
                <w:sz w:val="16"/>
                <w:szCs w:val="16"/>
              </w:rPr>
            </w:pPr>
            <w:r w:rsidRPr="00791B3F">
              <w:rPr>
                <w:rFonts w:ascii="Verdana" w:hAnsi="Verdana"/>
                <w:spacing w:val="-10"/>
                <w:sz w:val="16"/>
                <w:szCs w:val="16"/>
              </w:rPr>
              <w:t>5</w:t>
            </w:r>
          </w:p>
        </w:tc>
        <w:tc>
          <w:tcPr>
            <w:tcW w:w="308" w:type="dxa"/>
          </w:tcPr>
          <w:p w14:paraId="577D67CE" w14:textId="77777777" w:rsidR="008715BE" w:rsidRPr="00791B3F" w:rsidRDefault="00000000">
            <w:pPr>
              <w:pStyle w:val="TableParagraph"/>
              <w:spacing w:before="4" w:line="146" w:lineRule="exact"/>
              <w:ind w:right="92"/>
              <w:jc w:val="right"/>
              <w:rPr>
                <w:rFonts w:ascii="Verdana" w:hAnsi="Verdana"/>
                <w:sz w:val="16"/>
                <w:szCs w:val="16"/>
              </w:rPr>
            </w:pPr>
            <w:r w:rsidRPr="00791B3F">
              <w:rPr>
                <w:rFonts w:ascii="Verdana" w:hAnsi="Verdana"/>
                <w:sz w:val="16"/>
                <w:szCs w:val="16"/>
              </w:rPr>
              <w:t>-</w:t>
            </w:r>
          </w:p>
        </w:tc>
        <w:tc>
          <w:tcPr>
            <w:tcW w:w="560" w:type="dxa"/>
          </w:tcPr>
          <w:p w14:paraId="01043477" w14:textId="77777777" w:rsidR="008715BE" w:rsidRPr="00791B3F" w:rsidRDefault="00000000">
            <w:pPr>
              <w:pStyle w:val="TableParagraph"/>
              <w:spacing w:before="4" w:line="146" w:lineRule="exact"/>
              <w:ind w:right="93"/>
              <w:jc w:val="right"/>
              <w:rPr>
                <w:rFonts w:ascii="Verdana" w:hAnsi="Verdana"/>
                <w:sz w:val="16"/>
                <w:szCs w:val="16"/>
              </w:rPr>
            </w:pPr>
            <w:r w:rsidRPr="00791B3F">
              <w:rPr>
                <w:rFonts w:ascii="Verdana" w:hAnsi="Verdana"/>
                <w:spacing w:val="-10"/>
                <w:sz w:val="16"/>
                <w:szCs w:val="16"/>
              </w:rPr>
              <w:t>1</w:t>
            </w:r>
          </w:p>
        </w:tc>
        <w:tc>
          <w:tcPr>
            <w:tcW w:w="484" w:type="dxa"/>
          </w:tcPr>
          <w:p w14:paraId="195D588E" w14:textId="77777777" w:rsidR="008715BE" w:rsidRPr="00791B3F" w:rsidRDefault="00000000">
            <w:pPr>
              <w:pStyle w:val="TableParagraph"/>
              <w:spacing w:before="4" w:line="146" w:lineRule="exact"/>
              <w:ind w:right="94"/>
              <w:jc w:val="right"/>
              <w:rPr>
                <w:rFonts w:ascii="Verdana" w:hAnsi="Verdana"/>
                <w:sz w:val="16"/>
                <w:szCs w:val="16"/>
              </w:rPr>
            </w:pPr>
            <w:r w:rsidRPr="00791B3F">
              <w:rPr>
                <w:rFonts w:ascii="Verdana" w:hAnsi="Verdana"/>
                <w:spacing w:val="-10"/>
                <w:sz w:val="16"/>
                <w:szCs w:val="16"/>
              </w:rPr>
              <w:t>2</w:t>
            </w:r>
          </w:p>
        </w:tc>
        <w:tc>
          <w:tcPr>
            <w:tcW w:w="486" w:type="dxa"/>
          </w:tcPr>
          <w:p w14:paraId="2D1AF038" w14:textId="77777777" w:rsidR="008715BE" w:rsidRPr="00791B3F" w:rsidRDefault="00000000">
            <w:pPr>
              <w:pStyle w:val="TableParagraph"/>
              <w:spacing w:before="4" w:line="146" w:lineRule="exact"/>
              <w:ind w:right="95"/>
              <w:jc w:val="right"/>
              <w:rPr>
                <w:rFonts w:ascii="Verdana" w:hAnsi="Verdana"/>
                <w:sz w:val="16"/>
                <w:szCs w:val="16"/>
              </w:rPr>
            </w:pPr>
            <w:r w:rsidRPr="00791B3F">
              <w:rPr>
                <w:rFonts w:ascii="Verdana" w:hAnsi="Verdana"/>
                <w:sz w:val="16"/>
                <w:szCs w:val="16"/>
              </w:rPr>
              <w:t>-</w:t>
            </w:r>
          </w:p>
        </w:tc>
        <w:tc>
          <w:tcPr>
            <w:tcW w:w="484" w:type="dxa"/>
          </w:tcPr>
          <w:p w14:paraId="7D7E4EE6" w14:textId="77777777" w:rsidR="008715BE" w:rsidRPr="00791B3F" w:rsidRDefault="00000000">
            <w:pPr>
              <w:pStyle w:val="TableParagraph"/>
              <w:spacing w:before="4" w:line="146" w:lineRule="exact"/>
              <w:ind w:right="96"/>
              <w:jc w:val="right"/>
              <w:rPr>
                <w:rFonts w:ascii="Verdana" w:hAnsi="Verdana"/>
                <w:sz w:val="16"/>
                <w:szCs w:val="16"/>
              </w:rPr>
            </w:pPr>
            <w:r w:rsidRPr="00791B3F">
              <w:rPr>
                <w:rFonts w:ascii="Verdana" w:hAnsi="Verdana"/>
                <w:sz w:val="16"/>
                <w:szCs w:val="16"/>
              </w:rPr>
              <w:t>-</w:t>
            </w:r>
          </w:p>
        </w:tc>
        <w:tc>
          <w:tcPr>
            <w:tcW w:w="534" w:type="dxa"/>
          </w:tcPr>
          <w:p w14:paraId="71A5B8BD" w14:textId="77777777" w:rsidR="008715BE" w:rsidRPr="00791B3F" w:rsidRDefault="00000000">
            <w:pPr>
              <w:pStyle w:val="TableParagraph"/>
              <w:spacing w:before="4" w:line="146" w:lineRule="exact"/>
              <w:ind w:right="98"/>
              <w:jc w:val="right"/>
              <w:rPr>
                <w:rFonts w:ascii="Verdana" w:hAnsi="Verdana"/>
                <w:sz w:val="16"/>
                <w:szCs w:val="16"/>
              </w:rPr>
            </w:pPr>
            <w:r w:rsidRPr="00791B3F">
              <w:rPr>
                <w:rFonts w:ascii="Verdana" w:hAnsi="Verdana"/>
                <w:spacing w:val="-10"/>
                <w:sz w:val="16"/>
                <w:szCs w:val="16"/>
              </w:rPr>
              <w:t>2</w:t>
            </w:r>
          </w:p>
        </w:tc>
        <w:tc>
          <w:tcPr>
            <w:tcW w:w="484" w:type="dxa"/>
          </w:tcPr>
          <w:p w14:paraId="7DAD1189" w14:textId="77777777" w:rsidR="008715BE" w:rsidRPr="00791B3F" w:rsidRDefault="00000000">
            <w:pPr>
              <w:pStyle w:val="TableParagraph"/>
              <w:spacing w:before="4" w:line="146" w:lineRule="exact"/>
              <w:ind w:right="100"/>
              <w:jc w:val="right"/>
              <w:rPr>
                <w:rFonts w:ascii="Verdana" w:hAnsi="Verdana"/>
                <w:sz w:val="16"/>
                <w:szCs w:val="16"/>
              </w:rPr>
            </w:pPr>
            <w:r w:rsidRPr="00791B3F">
              <w:rPr>
                <w:rFonts w:ascii="Verdana" w:hAnsi="Verdana"/>
                <w:spacing w:val="-10"/>
                <w:sz w:val="16"/>
                <w:szCs w:val="16"/>
              </w:rPr>
              <w:t>3</w:t>
            </w:r>
          </w:p>
        </w:tc>
        <w:tc>
          <w:tcPr>
            <w:tcW w:w="506" w:type="dxa"/>
          </w:tcPr>
          <w:p w14:paraId="73869DBE" w14:textId="77777777" w:rsidR="008715BE" w:rsidRPr="00791B3F" w:rsidRDefault="00000000">
            <w:pPr>
              <w:pStyle w:val="TableParagraph"/>
              <w:spacing w:before="4" w:line="146" w:lineRule="exact"/>
              <w:ind w:left="135"/>
              <w:jc w:val="center"/>
              <w:rPr>
                <w:rFonts w:ascii="Verdana" w:hAnsi="Verdana"/>
                <w:sz w:val="16"/>
                <w:szCs w:val="16"/>
              </w:rPr>
            </w:pPr>
            <w:r w:rsidRPr="00791B3F">
              <w:rPr>
                <w:rFonts w:ascii="Verdana" w:hAnsi="Verdana"/>
                <w:spacing w:val="-5"/>
                <w:sz w:val="16"/>
                <w:szCs w:val="16"/>
              </w:rPr>
              <w:t>13</w:t>
            </w:r>
          </w:p>
        </w:tc>
        <w:tc>
          <w:tcPr>
            <w:tcW w:w="484" w:type="dxa"/>
          </w:tcPr>
          <w:p w14:paraId="0E5E6E4C" w14:textId="77777777" w:rsidR="008715BE" w:rsidRPr="00791B3F" w:rsidRDefault="00000000">
            <w:pPr>
              <w:pStyle w:val="TableParagraph"/>
              <w:spacing w:before="4" w:line="146" w:lineRule="exact"/>
              <w:ind w:left="160" w:right="50"/>
              <w:jc w:val="center"/>
              <w:rPr>
                <w:rFonts w:ascii="Verdana" w:hAnsi="Verdana"/>
                <w:sz w:val="16"/>
                <w:szCs w:val="16"/>
              </w:rPr>
            </w:pPr>
            <w:r w:rsidRPr="00791B3F">
              <w:rPr>
                <w:rFonts w:ascii="Verdana" w:hAnsi="Verdana"/>
                <w:spacing w:val="-5"/>
                <w:sz w:val="16"/>
                <w:szCs w:val="16"/>
              </w:rPr>
              <w:t>12</w:t>
            </w:r>
          </w:p>
        </w:tc>
        <w:tc>
          <w:tcPr>
            <w:tcW w:w="508" w:type="dxa"/>
          </w:tcPr>
          <w:p w14:paraId="57BA1F37" w14:textId="77777777" w:rsidR="008715BE" w:rsidRPr="00791B3F" w:rsidRDefault="00000000">
            <w:pPr>
              <w:pStyle w:val="TableParagraph"/>
              <w:spacing w:before="4" w:line="146" w:lineRule="exact"/>
              <w:ind w:right="104"/>
              <w:jc w:val="right"/>
              <w:rPr>
                <w:rFonts w:ascii="Verdana" w:hAnsi="Verdana"/>
                <w:sz w:val="16"/>
                <w:szCs w:val="16"/>
              </w:rPr>
            </w:pPr>
            <w:r w:rsidRPr="00791B3F">
              <w:rPr>
                <w:rFonts w:ascii="Verdana" w:hAnsi="Verdana"/>
                <w:spacing w:val="-5"/>
                <w:sz w:val="16"/>
                <w:szCs w:val="16"/>
              </w:rPr>
              <w:t>24</w:t>
            </w:r>
          </w:p>
        </w:tc>
        <w:tc>
          <w:tcPr>
            <w:tcW w:w="484" w:type="dxa"/>
          </w:tcPr>
          <w:p w14:paraId="1A4C775F" w14:textId="77777777" w:rsidR="008715BE" w:rsidRPr="00791B3F" w:rsidRDefault="00000000">
            <w:pPr>
              <w:pStyle w:val="TableParagraph"/>
              <w:spacing w:before="4" w:line="146" w:lineRule="exact"/>
              <w:ind w:left="160" w:right="56"/>
              <w:jc w:val="center"/>
              <w:rPr>
                <w:rFonts w:ascii="Verdana" w:hAnsi="Verdana"/>
                <w:sz w:val="16"/>
                <w:szCs w:val="16"/>
              </w:rPr>
            </w:pPr>
            <w:r w:rsidRPr="00791B3F">
              <w:rPr>
                <w:rFonts w:ascii="Verdana" w:hAnsi="Verdana"/>
                <w:spacing w:val="-5"/>
                <w:sz w:val="16"/>
                <w:szCs w:val="16"/>
              </w:rPr>
              <w:t>46</w:t>
            </w:r>
          </w:p>
        </w:tc>
        <w:tc>
          <w:tcPr>
            <w:tcW w:w="508" w:type="dxa"/>
          </w:tcPr>
          <w:p w14:paraId="028C2AB1" w14:textId="77777777" w:rsidR="008715BE" w:rsidRPr="00791B3F" w:rsidRDefault="00000000">
            <w:pPr>
              <w:pStyle w:val="TableParagraph"/>
              <w:spacing w:before="4" w:line="146" w:lineRule="exact"/>
              <w:ind w:left="120"/>
              <w:jc w:val="center"/>
              <w:rPr>
                <w:rFonts w:ascii="Verdana" w:hAnsi="Verdana"/>
                <w:sz w:val="16"/>
                <w:szCs w:val="16"/>
              </w:rPr>
            </w:pPr>
            <w:r w:rsidRPr="00791B3F">
              <w:rPr>
                <w:rFonts w:ascii="Verdana" w:hAnsi="Verdana"/>
                <w:spacing w:val="-5"/>
                <w:sz w:val="16"/>
                <w:szCs w:val="16"/>
              </w:rPr>
              <w:t>75</w:t>
            </w:r>
          </w:p>
        </w:tc>
        <w:tc>
          <w:tcPr>
            <w:tcW w:w="564" w:type="dxa"/>
          </w:tcPr>
          <w:p w14:paraId="564E7E19" w14:textId="77777777" w:rsidR="008715BE" w:rsidRPr="00791B3F" w:rsidRDefault="00000000">
            <w:pPr>
              <w:pStyle w:val="TableParagraph"/>
              <w:spacing w:before="4" w:line="146" w:lineRule="exact"/>
              <w:ind w:right="107"/>
              <w:jc w:val="right"/>
              <w:rPr>
                <w:rFonts w:ascii="Verdana" w:hAnsi="Verdana"/>
                <w:sz w:val="16"/>
                <w:szCs w:val="16"/>
              </w:rPr>
            </w:pPr>
            <w:r w:rsidRPr="00791B3F">
              <w:rPr>
                <w:rFonts w:ascii="Verdana" w:hAnsi="Verdana"/>
                <w:spacing w:val="-5"/>
                <w:sz w:val="16"/>
                <w:szCs w:val="16"/>
              </w:rPr>
              <w:t>92</w:t>
            </w:r>
          </w:p>
        </w:tc>
        <w:tc>
          <w:tcPr>
            <w:tcW w:w="484" w:type="dxa"/>
          </w:tcPr>
          <w:p w14:paraId="1C486EF6" w14:textId="77777777" w:rsidR="008715BE" w:rsidRPr="00791B3F" w:rsidRDefault="00000000">
            <w:pPr>
              <w:pStyle w:val="TableParagraph"/>
              <w:spacing w:before="4" w:line="146" w:lineRule="exact"/>
              <w:ind w:left="17"/>
              <w:jc w:val="center"/>
              <w:rPr>
                <w:rFonts w:ascii="Verdana" w:hAnsi="Verdana"/>
                <w:sz w:val="16"/>
                <w:szCs w:val="16"/>
              </w:rPr>
            </w:pPr>
            <w:r w:rsidRPr="00791B3F">
              <w:rPr>
                <w:rFonts w:ascii="Verdana" w:hAnsi="Verdana"/>
                <w:spacing w:val="-5"/>
                <w:sz w:val="16"/>
                <w:szCs w:val="16"/>
              </w:rPr>
              <w:t>165</w:t>
            </w:r>
          </w:p>
        </w:tc>
        <w:tc>
          <w:tcPr>
            <w:tcW w:w="486" w:type="dxa"/>
          </w:tcPr>
          <w:p w14:paraId="21D590BC" w14:textId="77777777" w:rsidR="008715BE" w:rsidRPr="00791B3F" w:rsidRDefault="00000000">
            <w:pPr>
              <w:pStyle w:val="TableParagraph"/>
              <w:spacing w:before="4" w:line="146" w:lineRule="exact"/>
              <w:ind w:left="92" w:right="75"/>
              <w:jc w:val="center"/>
              <w:rPr>
                <w:rFonts w:ascii="Verdana" w:hAnsi="Verdana"/>
                <w:sz w:val="16"/>
                <w:szCs w:val="16"/>
              </w:rPr>
            </w:pPr>
            <w:r w:rsidRPr="00791B3F">
              <w:rPr>
                <w:rFonts w:ascii="Verdana" w:hAnsi="Verdana"/>
                <w:spacing w:val="-5"/>
                <w:sz w:val="16"/>
                <w:szCs w:val="16"/>
              </w:rPr>
              <w:t>223</w:t>
            </w:r>
          </w:p>
        </w:tc>
        <w:tc>
          <w:tcPr>
            <w:tcW w:w="484" w:type="dxa"/>
          </w:tcPr>
          <w:p w14:paraId="191E4D13" w14:textId="77777777" w:rsidR="008715BE" w:rsidRPr="00791B3F" w:rsidRDefault="00000000">
            <w:pPr>
              <w:pStyle w:val="TableParagraph"/>
              <w:spacing w:before="4" w:line="146" w:lineRule="exact"/>
              <w:ind w:left="17" w:right="6"/>
              <w:jc w:val="center"/>
              <w:rPr>
                <w:rFonts w:ascii="Verdana" w:hAnsi="Verdana"/>
                <w:sz w:val="16"/>
                <w:szCs w:val="16"/>
              </w:rPr>
            </w:pPr>
            <w:r w:rsidRPr="00791B3F">
              <w:rPr>
                <w:rFonts w:ascii="Verdana" w:hAnsi="Verdana"/>
                <w:spacing w:val="-5"/>
                <w:sz w:val="16"/>
                <w:szCs w:val="16"/>
              </w:rPr>
              <w:t>240</w:t>
            </w:r>
          </w:p>
        </w:tc>
        <w:tc>
          <w:tcPr>
            <w:tcW w:w="647" w:type="dxa"/>
          </w:tcPr>
          <w:p w14:paraId="3A7F7E09" w14:textId="77777777" w:rsidR="008715BE" w:rsidRPr="00791B3F" w:rsidRDefault="00000000">
            <w:pPr>
              <w:pStyle w:val="TableParagraph"/>
              <w:spacing w:before="4" w:line="146" w:lineRule="exact"/>
              <w:ind w:right="112"/>
              <w:jc w:val="right"/>
              <w:rPr>
                <w:rFonts w:ascii="Verdana" w:hAnsi="Verdana"/>
                <w:sz w:val="16"/>
                <w:szCs w:val="16"/>
              </w:rPr>
            </w:pPr>
            <w:r w:rsidRPr="00791B3F">
              <w:rPr>
                <w:rFonts w:ascii="Verdana" w:hAnsi="Verdana"/>
                <w:spacing w:val="-5"/>
                <w:sz w:val="16"/>
                <w:szCs w:val="16"/>
              </w:rPr>
              <w:t>378</w:t>
            </w:r>
          </w:p>
        </w:tc>
      </w:tr>
    </w:tbl>
    <w:p w14:paraId="1AD759C0" w14:textId="77777777" w:rsidR="008715BE" w:rsidRPr="00791B3F" w:rsidRDefault="00000000">
      <w:pPr>
        <w:spacing w:before="1"/>
        <w:ind w:left="340"/>
        <w:jc w:val="both"/>
        <w:rPr>
          <w:rFonts w:ascii="Verdana" w:hAnsi="Verdana"/>
          <w:i/>
          <w:sz w:val="16"/>
          <w:szCs w:val="16"/>
        </w:rPr>
      </w:pPr>
      <w:r w:rsidRPr="00791B3F">
        <w:rPr>
          <w:rFonts w:ascii="Verdana" w:hAnsi="Verdana"/>
          <w:i/>
          <w:color w:val="00AFEF"/>
          <w:sz w:val="16"/>
          <w:szCs w:val="16"/>
        </w:rPr>
        <w:t>Source: INS Bulgaria (</w:t>
      </w:r>
      <w:hyperlink r:id="rId263">
        <w:r w:rsidR="008715BE" w:rsidRPr="00791B3F">
          <w:rPr>
            <w:rFonts w:ascii="Verdana" w:hAnsi="Verdana"/>
            <w:i/>
            <w:color w:val="009DEF"/>
            <w:spacing w:val="-4"/>
            <w:sz w:val="16"/>
            <w:szCs w:val="16"/>
            <w:u w:val="single" w:color="009DEF"/>
          </w:rPr>
          <w:t>https://www.nsi.bg/en/content/2981/population-towns-and-sex</w:t>
        </w:r>
        <w:r w:rsidR="008715BE" w:rsidRPr="00791B3F">
          <w:rPr>
            <w:rFonts w:ascii="Verdana" w:hAnsi="Verdana"/>
            <w:i/>
            <w:color w:val="00AFEF"/>
            <w:spacing w:val="-4"/>
            <w:sz w:val="16"/>
            <w:szCs w:val="16"/>
          </w:rPr>
          <w:t>)</w:t>
        </w:r>
      </w:hyperlink>
    </w:p>
    <w:p w14:paraId="529AEA9F" w14:textId="77777777" w:rsidR="008715BE" w:rsidRPr="00EC75B7" w:rsidRDefault="008715BE">
      <w:pPr>
        <w:pStyle w:val="BodyText"/>
        <w:rPr>
          <w:rFonts w:ascii="Verdana" w:hAnsi="Verdana"/>
          <w:i/>
        </w:rPr>
      </w:pPr>
    </w:p>
    <w:p w14:paraId="1C27C7BB" w14:textId="77777777" w:rsidR="008715BE" w:rsidRPr="00EC75B7" w:rsidRDefault="008715BE">
      <w:pPr>
        <w:pStyle w:val="BodyText"/>
        <w:spacing w:before="213"/>
        <w:rPr>
          <w:rFonts w:ascii="Verdana" w:hAnsi="Verdana"/>
          <w:i/>
        </w:rPr>
      </w:pPr>
    </w:p>
    <w:p w14:paraId="3D260EFA" w14:textId="77777777" w:rsidR="008715BE" w:rsidRDefault="00000000">
      <w:pPr>
        <w:pStyle w:val="BodyText"/>
        <w:spacing w:line="360" w:lineRule="auto"/>
        <w:ind w:left="340" w:right="716"/>
        <w:rPr>
          <w:rFonts w:ascii="Verdana" w:hAnsi="Verdana"/>
        </w:rPr>
      </w:pPr>
      <w:r w:rsidRPr="00EC75B7">
        <w:rPr>
          <w:rFonts w:ascii="Verdana" w:hAnsi="Verdana"/>
        </w:rPr>
        <w:t>According to data provided by the National Institute of Statistics, the population of the municipality of General Toshevo shows a downward trend between 2010 and 2023, as shown in the graph below:</w:t>
      </w:r>
    </w:p>
    <w:p w14:paraId="70D2772D" w14:textId="77777777" w:rsidR="002A4F7C" w:rsidRDefault="002A4F7C">
      <w:pPr>
        <w:pStyle w:val="BodyText"/>
        <w:spacing w:line="360" w:lineRule="auto"/>
        <w:ind w:left="340" w:right="716"/>
        <w:rPr>
          <w:rFonts w:ascii="Verdana" w:hAnsi="Verdana"/>
        </w:rPr>
      </w:pPr>
    </w:p>
    <w:p w14:paraId="1FBEE66B" w14:textId="77777777" w:rsidR="002A4F7C" w:rsidRDefault="002A4F7C">
      <w:pPr>
        <w:pStyle w:val="BodyText"/>
        <w:spacing w:line="360" w:lineRule="auto"/>
        <w:ind w:left="340" w:right="716"/>
        <w:rPr>
          <w:rFonts w:ascii="Verdana" w:hAnsi="Verdana"/>
        </w:rPr>
      </w:pPr>
    </w:p>
    <w:p w14:paraId="34336FAE" w14:textId="77777777" w:rsidR="002A4F7C" w:rsidRDefault="002A4F7C">
      <w:pPr>
        <w:pStyle w:val="BodyText"/>
        <w:spacing w:line="360" w:lineRule="auto"/>
        <w:ind w:left="340" w:right="716"/>
        <w:rPr>
          <w:rFonts w:ascii="Verdana" w:hAnsi="Verdana"/>
        </w:rPr>
      </w:pPr>
    </w:p>
    <w:p w14:paraId="031562A9" w14:textId="77777777" w:rsidR="002A4F7C" w:rsidRDefault="002A4F7C">
      <w:pPr>
        <w:pStyle w:val="BodyText"/>
        <w:spacing w:line="360" w:lineRule="auto"/>
        <w:ind w:left="340" w:right="716"/>
        <w:rPr>
          <w:rFonts w:ascii="Verdana" w:hAnsi="Verdana"/>
        </w:rPr>
      </w:pPr>
    </w:p>
    <w:p w14:paraId="70BE5468" w14:textId="77777777" w:rsidR="002A4F7C" w:rsidRDefault="002A4F7C">
      <w:pPr>
        <w:pStyle w:val="BodyText"/>
        <w:spacing w:line="360" w:lineRule="auto"/>
        <w:ind w:left="340" w:right="716"/>
        <w:rPr>
          <w:rFonts w:ascii="Verdana" w:hAnsi="Verdana"/>
        </w:rPr>
      </w:pPr>
    </w:p>
    <w:p w14:paraId="66801D3A" w14:textId="77777777" w:rsidR="002A4F7C" w:rsidRDefault="002A4F7C">
      <w:pPr>
        <w:pStyle w:val="BodyText"/>
        <w:spacing w:line="360" w:lineRule="auto"/>
        <w:ind w:left="340" w:right="716"/>
        <w:rPr>
          <w:rFonts w:ascii="Verdana" w:hAnsi="Verdana"/>
        </w:rPr>
      </w:pPr>
    </w:p>
    <w:p w14:paraId="5BF98FB7" w14:textId="77777777" w:rsidR="002A4F7C" w:rsidRDefault="002A4F7C">
      <w:pPr>
        <w:pStyle w:val="BodyText"/>
        <w:spacing w:line="360" w:lineRule="auto"/>
        <w:ind w:left="340" w:right="716"/>
        <w:rPr>
          <w:rFonts w:ascii="Verdana" w:hAnsi="Verdana"/>
        </w:rPr>
      </w:pPr>
    </w:p>
    <w:p w14:paraId="1A5DA80F" w14:textId="77777777" w:rsidR="002A4F7C" w:rsidRDefault="002A4F7C">
      <w:pPr>
        <w:pStyle w:val="BodyText"/>
        <w:spacing w:line="360" w:lineRule="auto"/>
        <w:ind w:left="340" w:right="716"/>
        <w:rPr>
          <w:rFonts w:ascii="Verdana" w:hAnsi="Verdana"/>
        </w:rPr>
      </w:pPr>
    </w:p>
    <w:p w14:paraId="5823C761" w14:textId="77777777" w:rsidR="002A4F7C" w:rsidRDefault="002A4F7C">
      <w:pPr>
        <w:pStyle w:val="BodyText"/>
        <w:spacing w:line="360" w:lineRule="auto"/>
        <w:ind w:left="340" w:right="716"/>
        <w:rPr>
          <w:rFonts w:ascii="Verdana" w:hAnsi="Verdana"/>
        </w:rPr>
      </w:pPr>
    </w:p>
    <w:p w14:paraId="7B89F700" w14:textId="77777777" w:rsidR="002A4F7C" w:rsidRPr="00EC75B7" w:rsidRDefault="002A4F7C">
      <w:pPr>
        <w:pStyle w:val="BodyText"/>
        <w:spacing w:line="360" w:lineRule="auto"/>
        <w:ind w:left="340" w:right="716"/>
        <w:rPr>
          <w:rFonts w:ascii="Verdana" w:hAnsi="Verdana"/>
        </w:rPr>
      </w:pPr>
    </w:p>
    <w:p w14:paraId="2D6CF45E" w14:textId="77777777" w:rsidR="008715BE" w:rsidRPr="00EC75B7" w:rsidRDefault="00000000">
      <w:pPr>
        <w:spacing w:before="1"/>
        <w:ind w:left="340"/>
        <w:rPr>
          <w:rFonts w:ascii="Verdana" w:hAnsi="Verdana"/>
          <w:sz w:val="18"/>
          <w:szCs w:val="18"/>
        </w:rPr>
      </w:pPr>
      <w:r w:rsidRPr="00EC75B7">
        <w:rPr>
          <w:rFonts w:ascii="Verdana" w:hAnsi="Verdana"/>
          <w:color w:val="797766"/>
          <w:position w:val="4"/>
          <w:sz w:val="18"/>
          <w:szCs w:val="18"/>
        </w:rPr>
        <w:t>26</w:t>
      </w:r>
      <w:hyperlink r:id="rId264">
        <w:r w:rsidR="008715BE" w:rsidRPr="00EC75B7">
          <w:rPr>
            <w:rFonts w:ascii="Verdana" w:hAnsi="Verdana"/>
            <w:color w:val="797766"/>
            <w:spacing w:val="-2"/>
            <w:sz w:val="18"/>
            <w:szCs w:val="18"/>
          </w:rPr>
          <w:t>https://ro.wikipedia.org/wiki/Krai%C8%99te,_Dobrici</w:t>
        </w:r>
      </w:hyperlink>
    </w:p>
    <w:p w14:paraId="47E78BD2" w14:textId="77777777" w:rsidR="008715BE" w:rsidRPr="00EC75B7" w:rsidRDefault="00000000">
      <w:pPr>
        <w:spacing w:before="50"/>
        <w:ind w:left="340"/>
        <w:rPr>
          <w:rFonts w:ascii="Verdana" w:hAnsi="Verdana"/>
          <w:sz w:val="18"/>
          <w:szCs w:val="18"/>
        </w:rPr>
      </w:pPr>
      <w:r w:rsidRPr="00EC75B7">
        <w:rPr>
          <w:rFonts w:ascii="Verdana" w:hAnsi="Verdana"/>
          <w:color w:val="797766"/>
          <w:position w:val="4"/>
          <w:sz w:val="18"/>
          <w:szCs w:val="18"/>
        </w:rPr>
        <w:t>27</w:t>
      </w:r>
      <w:hyperlink r:id="rId265">
        <w:r w:rsidR="008715BE" w:rsidRPr="00EC75B7">
          <w:rPr>
            <w:rFonts w:ascii="Verdana" w:hAnsi="Verdana"/>
            <w:color w:val="009DEF"/>
            <w:sz w:val="18"/>
            <w:szCs w:val="18"/>
            <w:u w:val="single" w:color="009DEF"/>
          </w:rPr>
          <w:t xml:space="preserve"> Deaths by districts, municipalities, and sex | National Statistical Institute </w:t>
        </w:r>
        <w:r w:rsidR="008715BE" w:rsidRPr="00EC75B7">
          <w:rPr>
            <w:rFonts w:ascii="Verdana" w:hAnsi="Verdana"/>
            <w:color w:val="009DEF"/>
            <w:spacing w:val="-2"/>
            <w:sz w:val="18"/>
            <w:szCs w:val="18"/>
            <w:u w:val="single" w:color="009DEF"/>
          </w:rPr>
          <w:t>(nsi.bg)</w:t>
        </w:r>
      </w:hyperlink>
    </w:p>
    <w:p w14:paraId="18EBD0AE" w14:textId="77777777" w:rsidR="008715BE" w:rsidRPr="00EC75B7" w:rsidRDefault="008715BE">
      <w:pPr>
        <w:rPr>
          <w:rFonts w:ascii="Verdana" w:hAnsi="Verdana"/>
          <w:sz w:val="18"/>
          <w:szCs w:val="18"/>
        </w:rPr>
        <w:sectPr w:rsidR="008715BE" w:rsidRPr="00EC75B7">
          <w:headerReference w:type="default" r:id="rId266"/>
          <w:footerReference w:type="default" r:id="rId267"/>
          <w:pgSz w:w="11910" w:h="16840"/>
          <w:pgMar w:top="1320" w:right="283" w:bottom="980" w:left="850" w:header="766" w:footer="799" w:gutter="0"/>
          <w:cols w:space="708"/>
        </w:sectPr>
      </w:pPr>
    </w:p>
    <w:p w14:paraId="29B17170" w14:textId="77777777" w:rsidR="008715BE" w:rsidRPr="00EC75B7" w:rsidRDefault="008715BE">
      <w:pPr>
        <w:pStyle w:val="BodyText"/>
        <w:spacing w:before="7" w:after="1"/>
        <w:rPr>
          <w:rFonts w:ascii="Verdana" w:hAnsi="Verdana"/>
        </w:rPr>
      </w:pPr>
    </w:p>
    <w:p w14:paraId="1759A171" w14:textId="77777777" w:rsidR="008715BE" w:rsidRPr="00EC75B7" w:rsidRDefault="00000000">
      <w:pPr>
        <w:ind w:left="341"/>
        <w:rPr>
          <w:rFonts w:ascii="Verdana" w:hAnsi="Verdana"/>
          <w:sz w:val="18"/>
          <w:szCs w:val="18"/>
        </w:rPr>
      </w:pPr>
      <w:r w:rsidRPr="00EC75B7">
        <w:rPr>
          <w:rFonts w:ascii="Verdana" w:hAnsi="Verdana"/>
          <w:noProof/>
          <w:sz w:val="18"/>
          <w:szCs w:val="18"/>
        </w:rPr>
        <w:drawing>
          <wp:inline distT="0" distB="0" distL="0" distR="0" wp14:anchorId="656871AF" wp14:editId="72DE2DF9">
            <wp:extent cx="5853949" cy="2743200"/>
            <wp:effectExtent l="0" t="0" r="0" b="0"/>
            <wp:docPr id="549" name="Image 549" descr="P6567#yIS1"/>
            <wp:cNvGraphicFramePr/>
            <a:graphic xmlns:a="http://schemas.openxmlformats.org/drawingml/2006/main">
              <a:graphicData uri="http://schemas.openxmlformats.org/drawingml/2006/picture">
                <pic:pic xmlns:pic="http://schemas.openxmlformats.org/drawingml/2006/picture">
                  <pic:nvPicPr>
                    <pic:cNvPr id="549" name="Image 549" descr="P6567#yIS1"/>
                    <pic:cNvPicPr/>
                  </pic:nvPicPr>
                  <pic:blipFill>
                    <a:blip r:embed="rId268" cstate="print"/>
                    <a:stretch>
                      <a:fillRect/>
                    </a:stretch>
                  </pic:blipFill>
                  <pic:spPr>
                    <a:xfrm>
                      <a:off x="0" y="0"/>
                      <a:ext cx="5853949" cy="2743200"/>
                    </a:xfrm>
                    <a:prstGeom prst="rect">
                      <a:avLst/>
                    </a:prstGeom>
                  </pic:spPr>
                </pic:pic>
              </a:graphicData>
            </a:graphic>
          </wp:inline>
        </w:drawing>
      </w:r>
    </w:p>
    <w:p w14:paraId="64933807" w14:textId="77777777" w:rsidR="008715BE" w:rsidRPr="00EC75B7" w:rsidRDefault="008715BE">
      <w:pPr>
        <w:pStyle w:val="BodyText"/>
        <w:spacing w:before="152"/>
        <w:rPr>
          <w:rFonts w:ascii="Verdana" w:hAnsi="Verdana"/>
        </w:rPr>
      </w:pPr>
    </w:p>
    <w:p w14:paraId="7ED9456C" w14:textId="77777777" w:rsidR="008715BE" w:rsidRPr="00EC75B7" w:rsidRDefault="00000000">
      <w:pPr>
        <w:ind w:left="285" w:right="367"/>
        <w:jc w:val="center"/>
        <w:rPr>
          <w:rFonts w:ascii="Verdana" w:hAnsi="Verdana"/>
          <w:b/>
          <w:sz w:val="18"/>
          <w:szCs w:val="18"/>
        </w:rPr>
      </w:pPr>
      <w:r w:rsidRPr="00EC75B7">
        <w:rPr>
          <w:rFonts w:ascii="Verdana" w:hAnsi="Verdana"/>
          <w:b/>
          <w:color w:val="009DEF"/>
          <w:sz w:val="18"/>
          <w:szCs w:val="18"/>
        </w:rPr>
        <w:t xml:space="preserve">Figure 67 Total population evolution between 2010 and 2023 in </w:t>
      </w:r>
      <w:r w:rsidRPr="00EC75B7">
        <w:rPr>
          <w:rFonts w:ascii="Verdana" w:hAnsi="Verdana"/>
          <w:b/>
          <w:color w:val="009DEF"/>
          <w:spacing w:val="-2"/>
          <w:sz w:val="18"/>
          <w:szCs w:val="18"/>
        </w:rPr>
        <w:t>Bulgaria</w:t>
      </w:r>
    </w:p>
    <w:p w14:paraId="70493B1D" w14:textId="77777777" w:rsidR="008715BE" w:rsidRPr="00EC75B7" w:rsidRDefault="008715BE">
      <w:pPr>
        <w:pStyle w:val="BodyText"/>
        <w:spacing w:before="22"/>
        <w:rPr>
          <w:rFonts w:ascii="Verdana" w:hAnsi="Verdana"/>
          <w:b/>
        </w:rPr>
      </w:pPr>
    </w:p>
    <w:p w14:paraId="333CE2D2" w14:textId="41DC31BF" w:rsidR="008165EC" w:rsidRPr="0097680B" w:rsidRDefault="00000000" w:rsidP="008165EC">
      <w:pPr>
        <w:spacing w:before="1" w:line="357" w:lineRule="auto"/>
        <w:ind w:left="340" w:right="709"/>
        <w:jc w:val="both"/>
        <w:rPr>
          <w:rFonts w:ascii="Verdana" w:hAnsi="Verdana"/>
          <w:color w:val="000000" w:themeColor="text1"/>
          <w:sz w:val="18"/>
          <w:szCs w:val="18"/>
        </w:rPr>
      </w:pPr>
      <w:r w:rsidRPr="00EC75B7">
        <w:rPr>
          <w:rFonts w:ascii="Verdana" w:hAnsi="Verdana"/>
          <w:b/>
          <w:sz w:val="18"/>
          <w:szCs w:val="18"/>
        </w:rPr>
        <w:t xml:space="preserve">The construction and operation of the wind farm outside the town of Cerchezu won't affect people in Bulgaria. </w:t>
      </w:r>
      <w:r w:rsidRPr="00EC75B7">
        <w:rPr>
          <w:rFonts w:ascii="Verdana" w:hAnsi="Verdana"/>
          <w:sz w:val="18"/>
          <w:szCs w:val="18"/>
        </w:rPr>
        <w:t>As mentioned in the previous chapters, during construction, noise, vibrations, and dust emissions will be local and temporary, with a low impact. During the operational phase, the noise produced by the turbines will be below 40 dB in the reception areas, complying with legal limits. The shadow effect is insignificant, and the visual impact is subjective. During the decommissioning phase, the impact will be similar to that during the construction phase, being local and temporary.</w:t>
      </w:r>
      <w:r w:rsidR="00C96230">
        <w:rPr>
          <w:rFonts w:ascii="Verdana" w:hAnsi="Verdana"/>
          <w:sz w:val="18"/>
          <w:szCs w:val="18"/>
        </w:rPr>
        <w:t xml:space="preserve"> </w:t>
      </w:r>
      <w:r w:rsidR="00C96230" w:rsidRPr="0097680B">
        <w:rPr>
          <w:rFonts w:ascii="Verdana" w:hAnsi="Verdana"/>
          <w:color w:val="000000" w:themeColor="text1"/>
          <w:sz w:val="18"/>
          <w:szCs w:val="18"/>
        </w:rPr>
        <w:t xml:space="preserve">In this respect was elaborated </w:t>
      </w:r>
      <w:r w:rsidR="008165EC" w:rsidRPr="0097680B">
        <w:rPr>
          <w:rFonts w:ascii="Verdana" w:hAnsi="Verdana"/>
          <w:color w:val="000000" w:themeColor="text1"/>
          <w:sz w:val="18"/>
          <w:szCs w:val="18"/>
        </w:rPr>
        <w:t>the ,,Shadow Flickering Study</w:t>
      </w:r>
      <w:r w:rsidR="008165EC" w:rsidRPr="0097680B">
        <w:rPr>
          <w:rFonts w:ascii="Verdana" w:hAnsi="Verdana"/>
          <w:color w:val="000000" w:themeColor="text1"/>
          <w:sz w:val="18"/>
          <w:szCs w:val="18"/>
          <w:lang w:val="en-US"/>
        </w:rPr>
        <w:t>”</w:t>
      </w:r>
      <w:r w:rsidR="008165EC" w:rsidRPr="0097680B">
        <w:rPr>
          <w:rFonts w:ascii="Verdana" w:hAnsi="Verdana"/>
          <w:color w:val="000000" w:themeColor="text1"/>
          <w:sz w:val="18"/>
          <w:szCs w:val="18"/>
        </w:rPr>
        <w:t xml:space="preserve"> </w:t>
      </w:r>
      <w:r w:rsidR="00C96230" w:rsidRPr="0097680B">
        <w:rPr>
          <w:rFonts w:ascii="Verdana" w:hAnsi="Verdana"/>
          <w:color w:val="000000" w:themeColor="text1"/>
          <w:sz w:val="18"/>
          <w:szCs w:val="18"/>
        </w:rPr>
        <w:t xml:space="preserve">in order to accomplish the condition imposed </w:t>
      </w:r>
      <w:r w:rsidR="008165EC" w:rsidRPr="0097680B">
        <w:rPr>
          <w:rFonts w:ascii="Verdana" w:hAnsi="Verdana"/>
          <w:color w:val="000000" w:themeColor="text1"/>
          <w:sz w:val="18"/>
          <w:szCs w:val="18"/>
        </w:rPr>
        <w:t>by the letter of the Ministry of Environment and Water of the Republic of Bulgaria, no. 99.00.268-40/17.09.2025 the mandatory conditions to be included in the regulatory act to be issued by the competent authorities in Romania for the investment in question, both in the planning, design phase, and the monitoring measures subsequent to the implementation of the investment proposal, respectively after the construction of the proposed investment:</w:t>
      </w:r>
    </w:p>
    <w:p w14:paraId="446DC38B" w14:textId="2610EF83" w:rsidR="008715BE" w:rsidRPr="0097680B" w:rsidRDefault="008165EC" w:rsidP="008165EC">
      <w:pPr>
        <w:spacing w:before="1" w:line="357" w:lineRule="auto"/>
        <w:ind w:left="340" w:right="709"/>
        <w:jc w:val="both"/>
        <w:rPr>
          <w:rFonts w:ascii="Verdana" w:hAnsi="Verdana"/>
          <w:i/>
          <w:iCs/>
          <w:color w:val="000000" w:themeColor="text1"/>
          <w:sz w:val="18"/>
          <w:szCs w:val="18"/>
          <w:lang w:val="en-US"/>
        </w:rPr>
      </w:pPr>
      <w:r w:rsidRPr="0097680B">
        <w:rPr>
          <w:rFonts w:ascii="Verdana" w:hAnsi="Verdana"/>
          <w:color w:val="000000" w:themeColor="text1"/>
          <w:sz w:val="18"/>
          <w:szCs w:val="18"/>
        </w:rPr>
        <w:t xml:space="preserve">,, </w:t>
      </w:r>
      <w:r w:rsidRPr="0097680B">
        <w:rPr>
          <w:rFonts w:ascii="Verdana" w:hAnsi="Verdana"/>
          <w:i/>
          <w:iCs/>
          <w:color w:val="000000" w:themeColor="text1"/>
          <w:sz w:val="18"/>
          <w:szCs w:val="18"/>
        </w:rPr>
        <w:t>... 2.</w:t>
      </w:r>
      <w:r w:rsidRPr="0097680B">
        <w:rPr>
          <w:rFonts w:ascii="Verdana" w:hAnsi="Verdana"/>
          <w:i/>
          <w:iCs/>
          <w:color w:val="000000" w:themeColor="text1"/>
          <w:sz w:val="18"/>
          <w:szCs w:val="18"/>
        </w:rPr>
        <w:tab/>
        <w:t xml:space="preserve">"The Wind Farm 48 (46) wind turbines, transformer stations, electrical connection networks, construction and modernization of communication and access roads" – will be implemented in compliance with all the measures provided in the Environmental Report submitted, in order to prevent, reduce and eliminate adverse effects on the environment, the living environment and the health of the population, as a result of the implementation of the project...”. </w:t>
      </w:r>
      <w:r w:rsidR="00F979AE" w:rsidRPr="0097680B">
        <w:rPr>
          <w:rFonts w:ascii="Verdana" w:hAnsi="Verdana"/>
          <w:i/>
          <w:iCs/>
          <w:color w:val="000000" w:themeColor="text1"/>
          <w:sz w:val="18"/>
          <w:szCs w:val="18"/>
        </w:rPr>
        <w:t>The studiy conclusions are: ,, ...</w:t>
      </w:r>
      <w:r w:rsidRPr="0097680B">
        <w:rPr>
          <w:rFonts w:ascii="Verdana" w:hAnsi="Verdana"/>
          <w:i/>
          <w:iCs/>
          <w:color w:val="000000" w:themeColor="text1"/>
          <w:sz w:val="18"/>
          <w:szCs w:val="18"/>
        </w:rPr>
        <w:t xml:space="preserve">The </w:t>
      </w:r>
      <w:r w:rsidR="00CD5C78" w:rsidRPr="0097680B">
        <w:rPr>
          <w:rFonts w:ascii="Verdana" w:hAnsi="Verdana"/>
          <w:i/>
          <w:iCs/>
          <w:color w:val="000000" w:themeColor="text1"/>
          <w:sz w:val="18"/>
          <w:szCs w:val="18"/>
        </w:rPr>
        <w:t xml:space="preserve">shadow flicker assesment was conducted using a conservative worst – case scenario, asuming continuous turbine opration, uninterrupted sunlight and full visibility from all receptor directions. Despite de unrealistic conditions, the results confirm that none of the modeled receptors – either the road crossing Romania and Vulgaria or receptors near the boundary – exceed the IFC </w:t>
      </w:r>
      <w:r w:rsidR="00F979AE" w:rsidRPr="0097680B">
        <w:rPr>
          <w:rFonts w:ascii="Verdana" w:hAnsi="Verdana"/>
          <w:i/>
          <w:iCs/>
          <w:color w:val="000000" w:themeColor="text1"/>
          <w:sz w:val="18"/>
          <w:szCs w:val="18"/>
        </w:rPr>
        <w:t>thresholds of 30 hours per year or 30 minutes per day. This indicated full compliance with interational standards. The negligile impact observed within the study area, including bith transboundary roadside and receptors, is further supported by conservative modelling approach, which was based on the largest turbine configuration and an extended study radius.”</w:t>
      </w:r>
    </w:p>
    <w:p w14:paraId="279E9D3C" w14:textId="344DE9F8" w:rsidR="00E1605F" w:rsidRPr="008165EC" w:rsidRDefault="00E1605F" w:rsidP="008165EC">
      <w:pPr>
        <w:spacing w:before="1" w:line="357" w:lineRule="auto"/>
        <w:ind w:left="340" w:right="709"/>
        <w:jc w:val="both"/>
        <w:rPr>
          <w:rFonts w:ascii="Verdana" w:hAnsi="Verdana"/>
          <w:color w:val="FF0000"/>
          <w:sz w:val="18"/>
          <w:szCs w:val="18"/>
        </w:rPr>
      </w:pPr>
    </w:p>
    <w:p w14:paraId="41F376A6" w14:textId="77777777" w:rsidR="008715BE" w:rsidRPr="00EC75B7" w:rsidRDefault="00000000">
      <w:pPr>
        <w:spacing w:before="123"/>
        <w:ind w:left="340"/>
        <w:rPr>
          <w:rFonts w:ascii="Verdana" w:hAnsi="Verdana"/>
          <w:b/>
          <w:sz w:val="18"/>
          <w:szCs w:val="18"/>
        </w:rPr>
      </w:pPr>
      <w:r w:rsidRPr="00EC75B7">
        <w:rPr>
          <w:rFonts w:ascii="Verdana" w:hAnsi="Verdana"/>
          <w:b/>
          <w:color w:val="00AFEF"/>
          <w:spacing w:val="-2"/>
          <w:sz w:val="18"/>
          <w:szCs w:val="18"/>
        </w:rPr>
        <w:t>Biodiversity</w:t>
      </w:r>
    </w:p>
    <w:p w14:paraId="341B9F43" w14:textId="77777777" w:rsidR="008715BE" w:rsidRPr="00EC75B7" w:rsidRDefault="008715BE">
      <w:pPr>
        <w:pStyle w:val="BodyText"/>
        <w:spacing w:before="9"/>
        <w:rPr>
          <w:rFonts w:ascii="Verdana" w:hAnsi="Verdana"/>
          <w:b/>
        </w:rPr>
      </w:pPr>
    </w:p>
    <w:p w14:paraId="22B9A8D4" w14:textId="77777777" w:rsidR="008715BE" w:rsidRPr="00EC75B7" w:rsidRDefault="00000000">
      <w:pPr>
        <w:pStyle w:val="BodyText"/>
        <w:spacing w:before="1" w:line="357" w:lineRule="auto"/>
        <w:ind w:left="340" w:right="707"/>
        <w:jc w:val="both"/>
        <w:rPr>
          <w:rFonts w:ascii="Verdana" w:hAnsi="Verdana"/>
        </w:rPr>
      </w:pPr>
      <w:r w:rsidRPr="00EC75B7">
        <w:rPr>
          <w:rFonts w:ascii="Verdana" w:hAnsi="Verdana"/>
        </w:rPr>
        <w:t xml:space="preserve">A number of </w:t>
      </w:r>
      <w:r w:rsidRPr="00EC75B7">
        <w:rPr>
          <w:rFonts w:ascii="Verdana" w:hAnsi="Verdana"/>
          <w:b/>
        </w:rPr>
        <w:t xml:space="preserve">natural areas of community interest in Bulgaria </w:t>
      </w:r>
      <w:r w:rsidRPr="00EC75B7">
        <w:rPr>
          <w:rFonts w:ascii="Verdana" w:hAnsi="Verdana"/>
        </w:rPr>
        <w:t>have been identified in the vicinity of the project</w:t>
      </w:r>
      <w:r w:rsidRPr="00EC75B7">
        <w:rPr>
          <w:rFonts w:ascii="Verdana" w:hAnsi="Verdana"/>
          <w:b/>
        </w:rPr>
        <w:t xml:space="preserve">, </w:t>
      </w:r>
      <w:r w:rsidRPr="00EC75B7">
        <w:rPr>
          <w:rFonts w:ascii="Verdana" w:hAnsi="Verdana"/>
        </w:rPr>
        <w:t>at a distance of less than</w:t>
      </w:r>
      <w:r w:rsidRPr="00EC75B7">
        <w:rPr>
          <w:rFonts w:ascii="Verdana" w:hAnsi="Verdana"/>
          <w:b/>
        </w:rPr>
        <w:t xml:space="preserve"> 5 </w:t>
      </w:r>
      <w:r w:rsidRPr="00EC75B7">
        <w:rPr>
          <w:rFonts w:ascii="Verdana" w:hAnsi="Verdana"/>
        </w:rPr>
        <w:t>km</w:t>
      </w:r>
      <w:r w:rsidRPr="00EC75B7">
        <w:rPr>
          <w:rFonts w:ascii="Verdana" w:hAnsi="Verdana"/>
          <w:b/>
        </w:rPr>
        <w:t>:</w:t>
      </w:r>
      <w:r w:rsidRPr="00EC75B7">
        <w:rPr>
          <w:rFonts w:ascii="Verdana" w:hAnsi="Verdana"/>
          <w:b/>
          <w:spacing w:val="40"/>
        </w:rPr>
        <w:t xml:space="preserve"> </w:t>
      </w:r>
      <w:r w:rsidRPr="00EC75B7">
        <w:rPr>
          <w:rFonts w:ascii="Verdana" w:hAnsi="Verdana"/>
        </w:rPr>
        <w:t xml:space="preserve">BG0000569 Kardam, located approximately 410 m from the project </w:t>
      </w:r>
      <w:r w:rsidRPr="00EC75B7">
        <w:rPr>
          <w:rFonts w:ascii="Verdana" w:hAnsi="Verdana"/>
        </w:rPr>
        <w:lastRenderedPageBreak/>
        <w:t>boundary, and BG0000570 Izvorovo – Kraishte, located approximately 3.64 km from the project boundary.</w:t>
      </w:r>
    </w:p>
    <w:p w14:paraId="478E9E8A" w14:textId="77777777" w:rsidR="008715BE" w:rsidRDefault="00000000">
      <w:pPr>
        <w:pStyle w:val="BodyText"/>
        <w:spacing w:before="122" w:line="357" w:lineRule="auto"/>
        <w:ind w:left="340" w:right="706"/>
        <w:jc w:val="both"/>
        <w:rPr>
          <w:rFonts w:ascii="Verdana" w:hAnsi="Verdana"/>
        </w:rPr>
      </w:pPr>
      <w:r w:rsidRPr="00EC75B7">
        <w:rPr>
          <w:rFonts w:ascii="Verdana" w:hAnsi="Verdana"/>
        </w:rPr>
        <w:t>A significant negative impact is expected on some species within protected natural areas: ROSCI0071/ROSAC0071 Dumbrăveni - Valea Urluia - Lacul Vederoasa, ROSCI0157/ROSAC157 Pădurea Hagieni - Cotul Văii, ROSPA0036 Dumbrăveni, ROSPA0166 Plopeni-Chirnogeni, ROSPA0094 Hagieni Forest-Cotul Văii, BG0000569 Kardam, BG0000570 Izvorovo – Kraishte. The groups potentially significantly affected by the implementation and operation of the wind energy project will be terrestrial mammals, chiroptera, and avifauna.</w:t>
      </w:r>
    </w:p>
    <w:p w14:paraId="19902903" w14:textId="1A1D0A71" w:rsidR="00F979AE" w:rsidRPr="0097680B" w:rsidRDefault="00F979AE">
      <w:pPr>
        <w:pStyle w:val="BodyText"/>
        <w:spacing w:before="122" w:line="357" w:lineRule="auto"/>
        <w:ind w:left="340" w:right="706"/>
        <w:jc w:val="both"/>
        <w:rPr>
          <w:rFonts w:ascii="Verdana" w:hAnsi="Verdana"/>
          <w:i/>
          <w:iCs/>
          <w:color w:val="000000" w:themeColor="text1"/>
        </w:rPr>
      </w:pPr>
      <w:r w:rsidRPr="0097680B">
        <w:rPr>
          <w:rFonts w:ascii="Verdana" w:hAnsi="Verdana"/>
          <w:color w:val="000000" w:themeColor="text1"/>
        </w:rPr>
        <w:t xml:space="preserve">A detailed analysis of the project's impact on biodiversity components for the two areas in Bulgaria was carried out in the Appropriate Assessment Study prepared at the PUZ stage, as well as in the annexes to this study, and was submitted to the Bulgarian side as part of the cross-border environmental impact assessment procedure with Bulgaria for the PUZ stage. By letter No. 99-00-268-22/26.06.2025, the Ministry of Environment and Water of the Republic of Bulgaria communicated that, </w:t>
      </w:r>
      <w:r w:rsidRPr="0097680B">
        <w:rPr>
          <w:rFonts w:ascii="Verdana" w:hAnsi="Verdana"/>
          <w:i/>
          <w:iCs/>
          <w:color w:val="000000" w:themeColor="text1"/>
        </w:rPr>
        <w:t>" The impact analysis of the project to build 46 turbines near the border with Bulgaria is objective and the proposed measures are sufficient to minimize/eliminate the negative impact on biodiversity and in particular on Natura 2000 protected areas.”</w:t>
      </w:r>
    </w:p>
    <w:p w14:paraId="4564DF96" w14:textId="77777777" w:rsidR="008715BE" w:rsidRPr="00EC75B7" w:rsidRDefault="00000000">
      <w:pPr>
        <w:spacing w:before="123"/>
        <w:ind w:left="340"/>
        <w:rPr>
          <w:rFonts w:ascii="Verdana" w:hAnsi="Verdana"/>
          <w:b/>
          <w:sz w:val="18"/>
          <w:szCs w:val="18"/>
        </w:rPr>
      </w:pPr>
      <w:r w:rsidRPr="00EC75B7">
        <w:rPr>
          <w:rFonts w:ascii="Verdana" w:hAnsi="Verdana"/>
          <w:b/>
          <w:color w:val="00AFEF"/>
          <w:spacing w:val="-2"/>
          <w:sz w:val="18"/>
          <w:szCs w:val="18"/>
        </w:rPr>
        <w:t>Soil/subsoil</w:t>
      </w:r>
    </w:p>
    <w:p w14:paraId="49E253F6" w14:textId="77777777" w:rsidR="008715BE" w:rsidRPr="00EC75B7" w:rsidRDefault="008715BE">
      <w:pPr>
        <w:pStyle w:val="BodyText"/>
        <w:spacing w:before="10"/>
        <w:rPr>
          <w:rFonts w:ascii="Verdana" w:hAnsi="Verdana"/>
          <w:b/>
        </w:rPr>
      </w:pPr>
    </w:p>
    <w:p w14:paraId="0ABBCF60" w14:textId="77777777" w:rsidR="008715BE" w:rsidRPr="00EC75B7" w:rsidRDefault="00000000">
      <w:pPr>
        <w:pStyle w:val="BodyText"/>
        <w:spacing w:line="357" w:lineRule="auto"/>
        <w:ind w:left="340" w:right="715"/>
        <w:jc w:val="both"/>
        <w:rPr>
          <w:rFonts w:ascii="Verdana" w:hAnsi="Verdana"/>
        </w:rPr>
      </w:pPr>
      <w:r w:rsidRPr="00EC75B7">
        <w:rPr>
          <w:rFonts w:ascii="Verdana" w:hAnsi="Verdana"/>
        </w:rPr>
        <w:t>The northern part of Bulgaria, on the border with Romania, is relatively anthropized and has predominantly fertile soils. The distribution of land use categories in the coverage area, on Bulgarian territory, in the vicinity of the proposed project, shows an area of arable land (majority), with small intercalations of deciduous forests, predominantly agricultural land mixed with natural vegetation, discontinuous urban space, and industrial or commercial units.</w:t>
      </w:r>
    </w:p>
    <w:p w14:paraId="0033E33B" w14:textId="761B789D" w:rsidR="008165EC" w:rsidRPr="008165EC" w:rsidRDefault="00000000" w:rsidP="008165EC">
      <w:pPr>
        <w:spacing w:before="125" w:line="357" w:lineRule="auto"/>
        <w:ind w:left="340" w:right="708"/>
        <w:jc w:val="both"/>
        <w:rPr>
          <w:rFonts w:ascii="Verdana" w:hAnsi="Verdana"/>
          <w:sz w:val="18"/>
          <w:szCs w:val="18"/>
        </w:rPr>
      </w:pPr>
      <w:r w:rsidRPr="00EC75B7">
        <w:rPr>
          <w:rFonts w:ascii="Verdana" w:hAnsi="Verdana"/>
          <w:sz w:val="18"/>
          <w:szCs w:val="18"/>
        </w:rPr>
        <w:t xml:space="preserve">In terms of impact on soil and subsoil, </w:t>
      </w:r>
      <w:r w:rsidRPr="00EC75B7">
        <w:rPr>
          <w:rFonts w:ascii="Verdana" w:hAnsi="Verdana"/>
          <w:b/>
          <w:sz w:val="18"/>
          <w:szCs w:val="18"/>
        </w:rPr>
        <w:t>there is no significant impact on soil and subsoil in the neighboring territory of Bulgaria</w:t>
      </w:r>
      <w:r w:rsidRPr="00EC75B7">
        <w:rPr>
          <w:rFonts w:ascii="Verdana" w:hAnsi="Verdana"/>
          <w:sz w:val="18"/>
          <w:szCs w:val="18"/>
        </w:rPr>
        <w:t>.</w:t>
      </w:r>
      <w:r w:rsidRPr="00EC75B7">
        <w:rPr>
          <w:rFonts w:ascii="Verdana" w:hAnsi="Verdana"/>
          <w:spacing w:val="40"/>
          <w:sz w:val="18"/>
          <w:szCs w:val="18"/>
        </w:rPr>
        <w:t xml:space="preserve"> </w:t>
      </w:r>
      <w:r w:rsidRPr="00EC75B7">
        <w:rPr>
          <w:rFonts w:ascii="Verdana" w:hAnsi="Verdana"/>
          <w:sz w:val="18"/>
          <w:szCs w:val="18"/>
        </w:rPr>
        <w:t>During the execution phase, the impact on the soil is temporary and reversible, limited to the perimeter of the construction works (on Romanian territory). Any sources of pollution from vehicle and machinery activities are monitored and controlled to prevent</w:t>
      </w:r>
      <w:r w:rsidR="008165EC" w:rsidRPr="008165EC">
        <w:t xml:space="preserve"> </w:t>
      </w:r>
      <w:r w:rsidR="008165EC" w:rsidRPr="008165EC">
        <w:rPr>
          <w:rFonts w:ascii="Verdana" w:hAnsi="Verdana"/>
          <w:sz w:val="18"/>
          <w:szCs w:val="18"/>
        </w:rPr>
        <w:t>contamination. In addition, wind turbines have a small footprint compared to other forms of energy, which limits soil erosion and compaction.</w:t>
      </w:r>
    </w:p>
    <w:p w14:paraId="7E783F22" w14:textId="61A0EFC6" w:rsidR="008715BE" w:rsidRPr="00EC75B7" w:rsidRDefault="008165EC" w:rsidP="008165EC">
      <w:pPr>
        <w:spacing w:before="125" w:line="357" w:lineRule="auto"/>
        <w:ind w:left="340" w:right="708"/>
        <w:jc w:val="both"/>
        <w:rPr>
          <w:rFonts w:ascii="Verdana" w:hAnsi="Verdana"/>
          <w:sz w:val="18"/>
          <w:szCs w:val="18"/>
        </w:rPr>
        <w:sectPr w:rsidR="008715BE" w:rsidRPr="00EC75B7">
          <w:pgSz w:w="11910" w:h="16840"/>
          <w:pgMar w:top="1320" w:right="283" w:bottom="1020" w:left="850" w:header="766" w:footer="799" w:gutter="0"/>
          <w:cols w:space="708"/>
        </w:sectPr>
      </w:pPr>
      <w:r w:rsidRPr="008165EC">
        <w:rPr>
          <w:rFonts w:ascii="Verdana" w:hAnsi="Verdana"/>
          <w:sz w:val="18"/>
          <w:szCs w:val="18"/>
        </w:rPr>
        <w:t>During operation, the wind farm does not generate pollutants that affect soil or subsoil quality, thus ensuring long-term environmental protection.</w:t>
      </w:r>
    </w:p>
    <w:p w14:paraId="426B9856" w14:textId="77777777" w:rsidR="008715BE" w:rsidRPr="00EC75B7" w:rsidRDefault="00000000">
      <w:pPr>
        <w:pStyle w:val="Heading6"/>
        <w:spacing w:before="121"/>
        <w:rPr>
          <w:rFonts w:ascii="Verdana" w:hAnsi="Verdana"/>
          <w:u w:val="none"/>
        </w:rPr>
      </w:pPr>
      <w:r w:rsidRPr="00EC75B7">
        <w:rPr>
          <w:rFonts w:ascii="Verdana" w:hAnsi="Verdana"/>
          <w:color w:val="009DEF"/>
          <w:spacing w:val="-5"/>
          <w:u w:val="none"/>
        </w:rPr>
        <w:lastRenderedPageBreak/>
        <w:t>Water</w:t>
      </w:r>
    </w:p>
    <w:p w14:paraId="34C0009F" w14:textId="77777777" w:rsidR="008715BE" w:rsidRPr="00EC75B7" w:rsidRDefault="008715BE">
      <w:pPr>
        <w:pStyle w:val="BodyText"/>
        <w:spacing w:before="12"/>
        <w:rPr>
          <w:rFonts w:ascii="Verdana" w:hAnsi="Verdana"/>
          <w:b/>
          <w:i/>
        </w:rPr>
      </w:pPr>
    </w:p>
    <w:p w14:paraId="44E4A462" w14:textId="77777777" w:rsidR="008715BE" w:rsidRPr="00EC75B7" w:rsidRDefault="00000000">
      <w:pPr>
        <w:pStyle w:val="BodyText"/>
        <w:spacing w:line="360" w:lineRule="auto"/>
        <w:ind w:left="340" w:right="706"/>
        <w:jc w:val="both"/>
        <w:rPr>
          <w:rFonts w:ascii="Verdana" w:hAnsi="Verdana"/>
        </w:rPr>
      </w:pPr>
      <w:r w:rsidRPr="00EC75B7">
        <w:rPr>
          <w:rFonts w:ascii="Verdana" w:hAnsi="Verdana"/>
        </w:rPr>
        <w:t xml:space="preserve">The closest surface water bodies identified in the project area on Bulgarian territory are located south of the site boundary: BG1DJ900R1015 at a distance of approx. 1 km, BG2DO700L017 at a distance of approx. 34 km, and BG2BS000C001 at a distance of approx. 36 km, southeast of </w:t>
      </w:r>
      <w:r w:rsidRPr="00EC75B7">
        <w:rPr>
          <w:rFonts w:ascii="Verdana" w:hAnsi="Verdana"/>
          <w:spacing w:val="-2"/>
        </w:rPr>
        <w:t>the site</w:t>
      </w:r>
      <w:r w:rsidRPr="00EC75B7">
        <w:rPr>
          <w:rFonts w:ascii="Verdana" w:hAnsi="Verdana"/>
        </w:rPr>
        <w:t xml:space="preserve"> boundary</w:t>
      </w:r>
      <w:r w:rsidRPr="00EC75B7">
        <w:rPr>
          <w:rFonts w:ascii="Verdana" w:hAnsi="Verdana"/>
          <w:spacing w:val="-2"/>
        </w:rPr>
        <w:t>.</w:t>
      </w:r>
    </w:p>
    <w:p w14:paraId="12832E87" w14:textId="77777777" w:rsidR="008715BE" w:rsidRPr="00EC75B7" w:rsidRDefault="00000000">
      <w:pPr>
        <w:pStyle w:val="BodyText"/>
        <w:spacing w:before="114" w:line="360" w:lineRule="auto"/>
        <w:ind w:left="340" w:right="715"/>
        <w:jc w:val="both"/>
        <w:rPr>
          <w:rFonts w:ascii="Verdana" w:hAnsi="Verdana"/>
        </w:rPr>
      </w:pPr>
      <w:r w:rsidRPr="00EC75B7">
        <w:rPr>
          <w:rFonts w:ascii="Verdana" w:hAnsi="Verdana"/>
        </w:rPr>
        <w:t>The project area is located in the vicinity of two groundwater bodies in Bulgaria (BG1G000000N049 and BG1G0000J3K051).</w:t>
      </w:r>
    </w:p>
    <w:p w14:paraId="4D9CAC3C" w14:textId="77777777" w:rsidR="008715BE" w:rsidRPr="00EC75B7" w:rsidRDefault="00000000" w:rsidP="008165EC">
      <w:pPr>
        <w:pStyle w:val="BodyText"/>
        <w:spacing w:line="360" w:lineRule="auto"/>
        <w:ind w:left="346" w:right="708"/>
        <w:jc w:val="both"/>
        <w:rPr>
          <w:rFonts w:ascii="Verdana" w:hAnsi="Verdana"/>
        </w:rPr>
      </w:pPr>
      <w:r w:rsidRPr="00EC75B7">
        <w:rPr>
          <w:rFonts w:ascii="Verdana" w:hAnsi="Verdana"/>
        </w:rPr>
        <w:t>The construction and operation of the Cerchezu wind farm will not involve the extraction of water from underground or surface sources in the area, so there will be no impact on the hydrology of the area, nor will other activities dependent on this resource be affected.</w:t>
      </w:r>
    </w:p>
    <w:p w14:paraId="21D7850A" w14:textId="491C882E" w:rsidR="008715BE" w:rsidRPr="008165EC" w:rsidRDefault="00000000" w:rsidP="008165EC">
      <w:pPr>
        <w:spacing w:line="360" w:lineRule="auto"/>
        <w:ind w:left="346" w:right="787"/>
        <w:jc w:val="both"/>
        <w:rPr>
          <w:rFonts w:ascii="Verdana" w:hAnsi="Verdana"/>
          <w:sz w:val="18"/>
          <w:szCs w:val="18"/>
        </w:rPr>
      </w:pPr>
      <w:r w:rsidRPr="00EC75B7">
        <w:rPr>
          <w:rFonts w:ascii="Verdana" w:hAnsi="Verdana"/>
          <w:sz w:val="18"/>
          <w:szCs w:val="18"/>
        </w:rPr>
        <w:t xml:space="preserve">The construction of the wind farm outside the built-up area of Cerchezu </w:t>
      </w:r>
      <w:r w:rsidRPr="008165EC">
        <w:rPr>
          <w:rFonts w:ascii="Verdana" w:hAnsi="Verdana"/>
          <w:b/>
          <w:bCs/>
          <w:sz w:val="18"/>
          <w:szCs w:val="18"/>
        </w:rPr>
        <w:t>will not have a significant negative impact</w:t>
      </w:r>
      <w:r w:rsidR="008165EC" w:rsidRPr="008165EC">
        <w:rPr>
          <w:rFonts w:ascii="Verdana" w:hAnsi="Verdana"/>
          <w:b/>
          <w:bCs/>
          <w:sz w:val="18"/>
          <w:szCs w:val="18"/>
        </w:rPr>
        <w:t xml:space="preserve"> </w:t>
      </w:r>
      <w:r w:rsidRPr="008165EC">
        <w:rPr>
          <w:rFonts w:ascii="Verdana" w:hAnsi="Verdana"/>
          <w:b/>
          <w:bCs/>
          <w:sz w:val="18"/>
          <w:szCs w:val="18"/>
        </w:rPr>
        <w:t>on the quality of surface or groundwater bodies in Bulgaria.</w:t>
      </w:r>
    </w:p>
    <w:p w14:paraId="64179F15" w14:textId="77777777" w:rsidR="008715BE" w:rsidRPr="00EC75B7" w:rsidRDefault="008715BE" w:rsidP="008165EC">
      <w:pPr>
        <w:pStyle w:val="BodyText"/>
        <w:spacing w:before="10"/>
        <w:ind w:right="787"/>
        <w:rPr>
          <w:rFonts w:ascii="Verdana" w:hAnsi="Verdana"/>
        </w:rPr>
      </w:pPr>
    </w:p>
    <w:p w14:paraId="793EC949" w14:textId="77777777" w:rsidR="008715BE" w:rsidRPr="00EC75B7" w:rsidRDefault="00000000" w:rsidP="008165EC">
      <w:pPr>
        <w:pStyle w:val="Heading6"/>
        <w:ind w:right="787"/>
        <w:rPr>
          <w:rFonts w:ascii="Verdana" w:hAnsi="Verdana"/>
          <w:u w:val="none"/>
        </w:rPr>
      </w:pPr>
      <w:r w:rsidRPr="00EC75B7">
        <w:rPr>
          <w:rFonts w:ascii="Verdana" w:hAnsi="Verdana"/>
          <w:color w:val="009DEF"/>
          <w:spacing w:val="-5"/>
          <w:u w:val="none"/>
        </w:rPr>
        <w:t>Air</w:t>
      </w:r>
    </w:p>
    <w:p w14:paraId="78BCDB7E" w14:textId="77777777" w:rsidR="008715BE" w:rsidRPr="00EC75B7" w:rsidRDefault="008715BE" w:rsidP="008165EC">
      <w:pPr>
        <w:pStyle w:val="BodyText"/>
        <w:spacing w:before="14"/>
        <w:ind w:right="787"/>
        <w:rPr>
          <w:rFonts w:ascii="Verdana" w:hAnsi="Verdana"/>
          <w:b/>
          <w:i/>
        </w:rPr>
      </w:pPr>
    </w:p>
    <w:p w14:paraId="003D7939" w14:textId="77777777" w:rsidR="008715BE" w:rsidRPr="00EC75B7" w:rsidRDefault="00000000" w:rsidP="008165EC">
      <w:pPr>
        <w:pStyle w:val="BodyText"/>
        <w:spacing w:line="360" w:lineRule="auto"/>
        <w:ind w:left="340" w:right="787"/>
        <w:jc w:val="both"/>
        <w:rPr>
          <w:rFonts w:ascii="Verdana" w:hAnsi="Verdana"/>
        </w:rPr>
      </w:pPr>
      <w:r w:rsidRPr="00EC75B7">
        <w:rPr>
          <w:rFonts w:ascii="Verdana" w:hAnsi="Verdana"/>
        </w:rPr>
        <w:t>According to the info published in the area of Bulgaria where the project is located (the North region), the following aspects have been highlighted:</w:t>
      </w:r>
    </w:p>
    <w:p w14:paraId="71453301" w14:textId="1B7857FB" w:rsidR="008715BE" w:rsidRPr="008165EC" w:rsidRDefault="00000000" w:rsidP="008165EC">
      <w:pPr>
        <w:pStyle w:val="ListParagraph"/>
        <w:numPr>
          <w:ilvl w:val="0"/>
          <w:numId w:val="28"/>
        </w:numPr>
        <w:tabs>
          <w:tab w:val="left" w:pos="1060"/>
        </w:tabs>
        <w:spacing w:before="117"/>
        <w:ind w:right="787"/>
        <w:jc w:val="both"/>
        <w:rPr>
          <w:rFonts w:ascii="Verdana" w:hAnsi="Verdana"/>
          <w:position w:val="2"/>
          <w:sz w:val="18"/>
          <w:szCs w:val="18"/>
        </w:rPr>
      </w:pPr>
      <w:r w:rsidRPr="00EC75B7">
        <w:rPr>
          <w:rFonts w:ascii="Verdana" w:hAnsi="Verdana"/>
          <w:position w:val="2"/>
          <w:sz w:val="18"/>
          <w:szCs w:val="18"/>
        </w:rPr>
        <w:t>Sulfur dioxide (</w:t>
      </w:r>
      <w:r w:rsidRPr="00EC75B7">
        <w:rPr>
          <w:rFonts w:ascii="Verdana" w:hAnsi="Verdana"/>
          <w:sz w:val="18"/>
          <w:szCs w:val="18"/>
        </w:rPr>
        <w:t>SO2</w:t>
      </w:r>
      <w:r w:rsidRPr="00EC75B7">
        <w:rPr>
          <w:rFonts w:ascii="Verdana" w:hAnsi="Verdana"/>
          <w:position w:val="2"/>
          <w:sz w:val="18"/>
          <w:szCs w:val="18"/>
        </w:rPr>
        <w:t xml:space="preserve">): According to reports for the fourth quarter of 2022, </w:t>
      </w:r>
      <w:r w:rsidRPr="00EC75B7">
        <w:rPr>
          <w:rFonts w:ascii="Verdana" w:hAnsi="Verdana"/>
          <w:spacing w:val="-2"/>
          <w:position w:val="2"/>
          <w:sz w:val="18"/>
          <w:szCs w:val="18"/>
        </w:rPr>
        <w:t xml:space="preserve">SO2 standards </w:t>
      </w:r>
      <w:r w:rsidRPr="00EC75B7">
        <w:rPr>
          <w:rFonts w:ascii="Verdana" w:hAnsi="Verdana"/>
          <w:position w:val="2"/>
          <w:sz w:val="18"/>
          <w:szCs w:val="18"/>
        </w:rPr>
        <w:t>were not exceeded</w:t>
      </w:r>
    </w:p>
    <w:p w14:paraId="06C2AF11" w14:textId="77777777" w:rsidR="008715BE" w:rsidRPr="00EC75B7" w:rsidRDefault="00000000" w:rsidP="008165EC">
      <w:pPr>
        <w:pStyle w:val="ListParagraph"/>
        <w:numPr>
          <w:ilvl w:val="0"/>
          <w:numId w:val="28"/>
        </w:numPr>
        <w:tabs>
          <w:tab w:val="left" w:pos="1060"/>
        </w:tabs>
        <w:spacing w:before="109"/>
        <w:ind w:right="787"/>
        <w:jc w:val="both"/>
        <w:rPr>
          <w:rFonts w:ascii="Verdana" w:hAnsi="Verdana"/>
          <w:position w:val="2"/>
          <w:sz w:val="18"/>
          <w:szCs w:val="18"/>
        </w:rPr>
      </w:pPr>
      <w:r w:rsidRPr="00EC75B7">
        <w:rPr>
          <w:rFonts w:ascii="Verdana" w:hAnsi="Verdana"/>
          <w:position w:val="2"/>
          <w:sz w:val="18"/>
          <w:szCs w:val="18"/>
        </w:rPr>
        <w:t>Nitrogen dioxide (</w:t>
      </w:r>
      <w:r w:rsidRPr="00EC75B7">
        <w:rPr>
          <w:rFonts w:ascii="Verdana" w:hAnsi="Verdana"/>
          <w:sz w:val="18"/>
          <w:szCs w:val="18"/>
        </w:rPr>
        <w:t>NO2</w:t>
      </w:r>
      <w:r w:rsidRPr="00EC75B7">
        <w:rPr>
          <w:rFonts w:ascii="Verdana" w:hAnsi="Verdana"/>
          <w:position w:val="2"/>
          <w:sz w:val="18"/>
          <w:szCs w:val="18"/>
        </w:rPr>
        <w:t xml:space="preserve">): NO2 levels were within the permitted limits and did not </w:t>
      </w:r>
      <w:r w:rsidRPr="00EC75B7">
        <w:rPr>
          <w:rFonts w:ascii="Verdana" w:hAnsi="Verdana"/>
          <w:spacing w:val="-2"/>
          <w:position w:val="2"/>
          <w:sz w:val="18"/>
          <w:szCs w:val="18"/>
        </w:rPr>
        <w:t xml:space="preserve">exceed them </w:t>
      </w:r>
      <w:r w:rsidRPr="00EC75B7">
        <w:rPr>
          <w:rFonts w:ascii="Verdana" w:hAnsi="Verdana"/>
          <w:position w:val="2"/>
          <w:sz w:val="18"/>
          <w:szCs w:val="18"/>
        </w:rPr>
        <w:t>significantly</w:t>
      </w:r>
    </w:p>
    <w:p w14:paraId="75C2E2D5" w14:textId="77777777" w:rsidR="008715BE" w:rsidRPr="00EC75B7" w:rsidRDefault="00000000" w:rsidP="008165EC">
      <w:pPr>
        <w:pStyle w:val="BodyText"/>
        <w:spacing w:before="106"/>
        <w:ind w:left="1060" w:right="787"/>
        <w:jc w:val="both"/>
        <w:rPr>
          <w:rFonts w:ascii="Verdana" w:hAnsi="Verdana"/>
        </w:rPr>
      </w:pPr>
      <w:r w:rsidRPr="00EC75B7">
        <w:rPr>
          <w:rFonts w:ascii="Verdana" w:hAnsi="Verdana"/>
          <w:spacing w:val="-2"/>
        </w:rPr>
        <w:t>significant exceedances.</w:t>
      </w:r>
    </w:p>
    <w:p w14:paraId="50850668" w14:textId="77777777" w:rsidR="008715BE" w:rsidRPr="00EC75B7" w:rsidRDefault="00000000" w:rsidP="008165EC">
      <w:pPr>
        <w:pStyle w:val="ListParagraph"/>
        <w:numPr>
          <w:ilvl w:val="0"/>
          <w:numId w:val="28"/>
        </w:numPr>
        <w:tabs>
          <w:tab w:val="left" w:pos="1060"/>
        </w:tabs>
        <w:spacing w:before="108"/>
        <w:ind w:right="787"/>
        <w:jc w:val="both"/>
        <w:rPr>
          <w:rFonts w:ascii="Verdana" w:hAnsi="Verdana"/>
          <w:position w:val="2"/>
          <w:sz w:val="18"/>
          <w:szCs w:val="18"/>
        </w:rPr>
      </w:pPr>
      <w:r w:rsidRPr="00EC75B7">
        <w:rPr>
          <w:rFonts w:ascii="Verdana" w:hAnsi="Verdana"/>
          <w:position w:val="2"/>
          <w:sz w:val="18"/>
          <w:szCs w:val="18"/>
        </w:rPr>
        <w:t>Fine particulate matter (</w:t>
      </w:r>
      <w:r w:rsidRPr="00EC75B7">
        <w:rPr>
          <w:rFonts w:ascii="Verdana" w:hAnsi="Verdana"/>
          <w:sz w:val="18"/>
          <w:szCs w:val="18"/>
        </w:rPr>
        <w:t xml:space="preserve">PM10 </w:t>
      </w:r>
      <w:r w:rsidRPr="00EC75B7">
        <w:rPr>
          <w:rFonts w:ascii="Verdana" w:hAnsi="Verdana"/>
          <w:position w:val="2"/>
          <w:sz w:val="18"/>
          <w:szCs w:val="18"/>
        </w:rPr>
        <w:t xml:space="preserve">and </w:t>
      </w:r>
      <w:r w:rsidRPr="00EC75B7">
        <w:rPr>
          <w:rFonts w:ascii="Verdana" w:hAnsi="Verdana"/>
          <w:sz w:val="18"/>
          <w:szCs w:val="18"/>
        </w:rPr>
        <w:t>PM2.5</w:t>
      </w:r>
      <w:r w:rsidRPr="00EC75B7">
        <w:rPr>
          <w:rFonts w:ascii="Verdana" w:hAnsi="Verdana"/>
          <w:position w:val="2"/>
          <w:sz w:val="18"/>
          <w:szCs w:val="18"/>
        </w:rPr>
        <w:t xml:space="preserve">): Problems related to </w:t>
      </w:r>
      <w:r w:rsidRPr="00EC75B7">
        <w:rPr>
          <w:rFonts w:ascii="Verdana" w:hAnsi="Verdana"/>
          <w:sz w:val="18"/>
          <w:szCs w:val="18"/>
        </w:rPr>
        <w:t xml:space="preserve">PM10 </w:t>
      </w:r>
      <w:r w:rsidRPr="00EC75B7">
        <w:rPr>
          <w:rFonts w:ascii="Verdana" w:hAnsi="Verdana"/>
          <w:position w:val="2"/>
          <w:sz w:val="18"/>
          <w:szCs w:val="18"/>
        </w:rPr>
        <w:t xml:space="preserve">pollution continued, with occasional </w:t>
      </w:r>
      <w:r w:rsidRPr="00EC75B7">
        <w:rPr>
          <w:rFonts w:ascii="Verdana" w:hAnsi="Verdana"/>
          <w:spacing w:val="-2"/>
          <w:position w:val="2"/>
          <w:sz w:val="18"/>
          <w:szCs w:val="18"/>
        </w:rPr>
        <w:t>exceedances</w:t>
      </w:r>
    </w:p>
    <w:p w14:paraId="1A539588" w14:textId="77777777" w:rsidR="008715BE" w:rsidRPr="00EC75B7" w:rsidRDefault="00000000" w:rsidP="008165EC">
      <w:pPr>
        <w:pStyle w:val="BodyText"/>
        <w:spacing w:before="104"/>
        <w:ind w:left="1060" w:right="787"/>
        <w:jc w:val="both"/>
        <w:rPr>
          <w:rFonts w:ascii="Verdana" w:hAnsi="Verdana"/>
        </w:rPr>
      </w:pPr>
      <w:r w:rsidRPr="00EC75B7">
        <w:rPr>
          <w:rFonts w:ascii="Verdana" w:hAnsi="Verdana"/>
        </w:rPr>
        <w:t xml:space="preserve">occasional exceedances of the standards, especially during the </w:t>
      </w:r>
      <w:r w:rsidRPr="00EC75B7">
        <w:rPr>
          <w:rFonts w:ascii="Verdana" w:hAnsi="Verdana"/>
          <w:spacing w:val="-2"/>
        </w:rPr>
        <w:t xml:space="preserve">cold </w:t>
      </w:r>
      <w:r w:rsidRPr="00EC75B7">
        <w:rPr>
          <w:rFonts w:ascii="Verdana" w:hAnsi="Verdana"/>
        </w:rPr>
        <w:t>season</w:t>
      </w:r>
      <w:r w:rsidRPr="00EC75B7">
        <w:rPr>
          <w:rFonts w:ascii="Verdana" w:hAnsi="Verdana"/>
          <w:spacing w:val="-2"/>
        </w:rPr>
        <w:t>.</w:t>
      </w:r>
    </w:p>
    <w:p w14:paraId="139C3C67" w14:textId="77777777" w:rsidR="008715BE" w:rsidRPr="00EC75B7" w:rsidRDefault="008715BE">
      <w:pPr>
        <w:pStyle w:val="BodyText"/>
        <w:spacing w:before="9"/>
        <w:rPr>
          <w:rFonts w:ascii="Verdana" w:hAnsi="Verdana"/>
        </w:rPr>
      </w:pPr>
    </w:p>
    <w:p w14:paraId="6BC60585" w14:textId="77777777" w:rsidR="008715BE" w:rsidRPr="00EC75B7" w:rsidRDefault="00000000">
      <w:pPr>
        <w:pStyle w:val="BodyText"/>
        <w:spacing w:line="360" w:lineRule="auto"/>
        <w:ind w:left="340" w:right="709"/>
        <w:jc w:val="both"/>
        <w:rPr>
          <w:rFonts w:ascii="Verdana" w:hAnsi="Verdana"/>
        </w:rPr>
      </w:pPr>
      <w:r w:rsidRPr="00EC75B7">
        <w:rPr>
          <w:rFonts w:ascii="Verdana" w:hAnsi="Verdana"/>
        </w:rPr>
        <w:t>As can be seen above, no significant exceedances of the limit values set by the legislation in force in Bulgaria were found in the project implementation area.</w:t>
      </w:r>
    </w:p>
    <w:p w14:paraId="26CEB1CF" w14:textId="77777777" w:rsidR="008715BE" w:rsidRPr="00EC75B7" w:rsidRDefault="00000000">
      <w:pPr>
        <w:pStyle w:val="BodyText"/>
        <w:spacing w:before="116" w:line="360" w:lineRule="auto"/>
        <w:ind w:left="340" w:right="719"/>
        <w:jc w:val="both"/>
        <w:rPr>
          <w:rFonts w:ascii="Verdana" w:hAnsi="Verdana"/>
        </w:rPr>
      </w:pPr>
      <w:r w:rsidRPr="00EC75B7">
        <w:rPr>
          <w:rFonts w:ascii="Verdana" w:hAnsi="Verdana"/>
        </w:rPr>
        <w:t>Taking into account the activities currently carried out, air quality can be considered generally good, as it is an open rural area uncluttered by urban construction and without intense industrial activity.</w:t>
      </w:r>
    </w:p>
    <w:p w14:paraId="62881AA7" w14:textId="77777777" w:rsidR="008715BE" w:rsidRPr="00EC75B7" w:rsidRDefault="00000000">
      <w:pPr>
        <w:pStyle w:val="BodyText"/>
        <w:spacing w:before="118" w:line="357" w:lineRule="auto"/>
        <w:ind w:left="340" w:right="708"/>
        <w:jc w:val="both"/>
        <w:rPr>
          <w:rFonts w:ascii="Verdana" w:hAnsi="Verdana"/>
        </w:rPr>
      </w:pPr>
      <w:r w:rsidRPr="00EC75B7">
        <w:rPr>
          <w:rFonts w:ascii="Verdana" w:hAnsi="Verdana"/>
        </w:rPr>
        <w:t xml:space="preserve">The construction of the wind farm outside the village of Cerchezu </w:t>
      </w:r>
      <w:r w:rsidRPr="00EC75B7">
        <w:rPr>
          <w:rFonts w:ascii="Verdana" w:hAnsi="Verdana"/>
          <w:b/>
        </w:rPr>
        <w:t>will not have a significant negative impact on air quality in Bulgaria</w:t>
      </w:r>
      <w:r w:rsidRPr="00EC75B7">
        <w:rPr>
          <w:rFonts w:ascii="Verdana" w:hAnsi="Verdana"/>
        </w:rPr>
        <w:t>. During the construction phase, dust emissions from excavation, vehicle traffic, and the installation of construction materials, as well as emissions of pollutants specific to the combustion of fossil fuels associated with machinery and means of transport, are the main sources of emissions. Erosion caused by excavation work may also alter local air quality.</w:t>
      </w:r>
    </w:p>
    <w:p w14:paraId="1A736B50" w14:textId="77777777" w:rsidR="008715BE" w:rsidRPr="00EC75B7" w:rsidRDefault="00000000">
      <w:pPr>
        <w:pStyle w:val="BodyText"/>
        <w:spacing w:before="123" w:line="360" w:lineRule="auto"/>
        <w:ind w:left="340" w:right="715"/>
        <w:jc w:val="both"/>
        <w:rPr>
          <w:rFonts w:ascii="Verdana" w:hAnsi="Verdana"/>
        </w:rPr>
      </w:pPr>
      <w:r w:rsidRPr="00EC75B7">
        <w:rPr>
          <w:rFonts w:ascii="Verdana" w:hAnsi="Verdana"/>
          <w:b/>
        </w:rPr>
        <w:t>During operation</w:t>
      </w:r>
      <w:r w:rsidRPr="00EC75B7">
        <w:rPr>
          <w:rFonts w:ascii="Verdana" w:hAnsi="Verdana"/>
        </w:rPr>
        <w:t>, wind turbines contribute to reducing greenhouse gas (GHG) emissions by replacing a quantity of electricity produced from fossil fuels, thus contributing to climate change mitigation and having a significant positive impact on air quality.</w:t>
      </w:r>
    </w:p>
    <w:p w14:paraId="58E88C17" w14:textId="77777777" w:rsidR="008715BE" w:rsidRPr="00EC75B7" w:rsidRDefault="008715BE">
      <w:pPr>
        <w:pStyle w:val="BodyText"/>
        <w:spacing w:line="360" w:lineRule="auto"/>
        <w:jc w:val="both"/>
        <w:rPr>
          <w:rFonts w:ascii="Verdana" w:hAnsi="Verdana"/>
        </w:rPr>
        <w:sectPr w:rsidR="008715BE" w:rsidRPr="00EC75B7">
          <w:pgSz w:w="11910" w:h="16840"/>
          <w:pgMar w:top="1320" w:right="283" w:bottom="1020" w:left="850" w:header="766" w:footer="799" w:gutter="0"/>
          <w:cols w:space="708"/>
        </w:sectPr>
      </w:pPr>
    </w:p>
    <w:p w14:paraId="6C5338C0" w14:textId="77777777" w:rsidR="008715BE" w:rsidRPr="00EC75B7" w:rsidRDefault="00000000">
      <w:pPr>
        <w:spacing w:before="102"/>
        <w:ind w:left="340"/>
        <w:jc w:val="both"/>
        <w:rPr>
          <w:rFonts w:ascii="Verdana" w:hAnsi="Verdana"/>
          <w:b/>
          <w:sz w:val="18"/>
          <w:szCs w:val="18"/>
        </w:rPr>
      </w:pPr>
      <w:r w:rsidRPr="00EC75B7">
        <w:rPr>
          <w:rFonts w:ascii="Verdana" w:hAnsi="Verdana"/>
          <w:b/>
          <w:color w:val="00AFEF"/>
          <w:sz w:val="18"/>
          <w:szCs w:val="18"/>
        </w:rPr>
        <w:lastRenderedPageBreak/>
        <w:t xml:space="preserve">Noise and </w:t>
      </w:r>
      <w:r w:rsidRPr="00EC75B7">
        <w:rPr>
          <w:rFonts w:ascii="Verdana" w:hAnsi="Verdana"/>
          <w:b/>
          <w:color w:val="00AFEF"/>
          <w:spacing w:val="-2"/>
          <w:sz w:val="18"/>
          <w:szCs w:val="18"/>
        </w:rPr>
        <w:t>vibrations</w:t>
      </w:r>
    </w:p>
    <w:p w14:paraId="4FB51B41" w14:textId="77777777" w:rsidR="008715BE" w:rsidRPr="00EC75B7" w:rsidRDefault="008715BE">
      <w:pPr>
        <w:pStyle w:val="BodyText"/>
        <w:spacing w:before="9"/>
        <w:rPr>
          <w:rFonts w:ascii="Verdana" w:hAnsi="Verdana"/>
          <w:b/>
        </w:rPr>
      </w:pPr>
    </w:p>
    <w:p w14:paraId="71E3700A" w14:textId="77777777" w:rsidR="008715BE" w:rsidRPr="00EC75B7" w:rsidRDefault="00000000">
      <w:pPr>
        <w:pStyle w:val="BodyText"/>
        <w:spacing w:line="357" w:lineRule="auto"/>
        <w:ind w:left="340" w:right="709"/>
        <w:jc w:val="both"/>
        <w:rPr>
          <w:rFonts w:ascii="Verdana" w:hAnsi="Verdana"/>
        </w:rPr>
      </w:pPr>
      <w:r w:rsidRPr="00EC75B7">
        <w:rPr>
          <w:rFonts w:ascii="Verdana" w:hAnsi="Verdana"/>
        </w:rPr>
        <w:t xml:space="preserve">During the construction phase, the means of transport and machinery used, as well as the activities at the work site, will generate noise and vibrations. However, given that the area is crossed by local roads and agricultural land, the impact will be local, temporary, and insignificant, </w:t>
      </w:r>
      <w:r w:rsidRPr="00EC75B7">
        <w:rPr>
          <w:rFonts w:ascii="Verdana" w:hAnsi="Verdana"/>
          <w:b/>
        </w:rPr>
        <w:t>with no impact on the territory of neighboring Bulgaria</w:t>
      </w:r>
      <w:r w:rsidRPr="00EC75B7">
        <w:rPr>
          <w:rFonts w:ascii="Verdana" w:hAnsi="Verdana"/>
        </w:rPr>
        <w:t>.</w:t>
      </w:r>
    </w:p>
    <w:p w14:paraId="3D4E3142" w14:textId="77777777" w:rsidR="008715BE" w:rsidRPr="00EC75B7" w:rsidRDefault="00000000">
      <w:pPr>
        <w:pStyle w:val="BodyText"/>
        <w:spacing w:before="121" w:line="360" w:lineRule="auto"/>
        <w:ind w:left="340" w:right="710"/>
        <w:jc w:val="both"/>
        <w:rPr>
          <w:rFonts w:ascii="Verdana" w:hAnsi="Verdana"/>
        </w:rPr>
      </w:pPr>
      <w:r w:rsidRPr="00EC75B7">
        <w:rPr>
          <w:rFonts w:ascii="Verdana" w:hAnsi="Verdana"/>
          <w:b/>
        </w:rPr>
        <w:t>During the operational phase</w:t>
      </w:r>
      <w:r w:rsidRPr="00EC75B7">
        <w:rPr>
          <w:rFonts w:ascii="Verdana" w:hAnsi="Verdana"/>
        </w:rPr>
        <w:t>, the noise produced by the wind turbines will increase with the wind speed and the rotation speed of the blades. The modern design of the turbine includes nacelle insulation to prevent the transmission of mechanical noise and vibrations. The noise level varies between 92 and 107.7 dB, and noise modeling shows that in the reception areas the level will be below 40 dB.</w:t>
      </w:r>
    </w:p>
    <w:p w14:paraId="7BC4941A" w14:textId="77777777" w:rsidR="008715BE" w:rsidRPr="00EC75B7" w:rsidRDefault="00000000">
      <w:pPr>
        <w:spacing w:before="115" w:line="360" w:lineRule="auto"/>
        <w:ind w:left="340" w:right="709"/>
        <w:jc w:val="both"/>
        <w:rPr>
          <w:rFonts w:ascii="Verdana" w:hAnsi="Verdana"/>
          <w:sz w:val="18"/>
          <w:szCs w:val="18"/>
        </w:rPr>
      </w:pPr>
      <w:r w:rsidRPr="00EC75B7">
        <w:rPr>
          <w:rFonts w:ascii="Verdana" w:hAnsi="Verdana"/>
          <w:sz w:val="18"/>
          <w:szCs w:val="18"/>
        </w:rPr>
        <w:t xml:space="preserve">Thus, the construction and operation of the wind farm </w:t>
      </w:r>
      <w:r w:rsidRPr="00EC75B7">
        <w:rPr>
          <w:rFonts w:ascii="Verdana" w:hAnsi="Verdana"/>
          <w:b/>
          <w:sz w:val="18"/>
          <w:szCs w:val="18"/>
        </w:rPr>
        <w:t>will not generate significant noise and vibrations that would affect the territory of Bulgaria</w:t>
      </w:r>
      <w:r w:rsidRPr="00EC75B7">
        <w:rPr>
          <w:rFonts w:ascii="Verdana" w:hAnsi="Verdana"/>
          <w:sz w:val="18"/>
          <w:szCs w:val="18"/>
        </w:rPr>
        <w:t>. Mitigation measures, such as the strategic placement of turbines and the use of modern technologies, will reduce noise and vibration emissions. Thus, communities and the environment in Bulgaria will not be affected.</w:t>
      </w:r>
    </w:p>
    <w:p w14:paraId="3F72B590" w14:textId="77777777" w:rsidR="008715BE" w:rsidRPr="00EC75B7" w:rsidRDefault="00000000">
      <w:pPr>
        <w:pStyle w:val="Heading6"/>
        <w:spacing w:before="118"/>
        <w:rPr>
          <w:rFonts w:ascii="Verdana" w:hAnsi="Verdana"/>
          <w:u w:val="none"/>
        </w:rPr>
      </w:pPr>
      <w:r w:rsidRPr="00EC75B7">
        <w:rPr>
          <w:rFonts w:ascii="Verdana" w:hAnsi="Verdana"/>
          <w:color w:val="009DEF"/>
          <w:spacing w:val="-2"/>
          <w:u w:val="none"/>
        </w:rPr>
        <w:t xml:space="preserve">Cultural </w:t>
      </w:r>
      <w:r w:rsidRPr="00EC75B7">
        <w:rPr>
          <w:rFonts w:ascii="Verdana" w:hAnsi="Verdana"/>
          <w:color w:val="009DEF"/>
          <w:u w:val="none"/>
        </w:rPr>
        <w:t>heritage</w:t>
      </w:r>
    </w:p>
    <w:p w14:paraId="2EAC2291" w14:textId="77777777" w:rsidR="008715BE" w:rsidRPr="00EC75B7" w:rsidRDefault="008715BE">
      <w:pPr>
        <w:pStyle w:val="BodyText"/>
        <w:spacing w:before="13"/>
        <w:rPr>
          <w:rFonts w:ascii="Verdana" w:hAnsi="Verdana"/>
          <w:b/>
          <w:i/>
        </w:rPr>
      </w:pPr>
    </w:p>
    <w:p w14:paraId="1CB6D292" w14:textId="77777777" w:rsidR="008715BE" w:rsidRPr="00EC75B7" w:rsidRDefault="00000000">
      <w:pPr>
        <w:pStyle w:val="BodyText"/>
        <w:spacing w:line="357" w:lineRule="auto"/>
        <w:ind w:left="340" w:right="715"/>
        <w:jc w:val="both"/>
        <w:rPr>
          <w:rFonts w:ascii="Verdana" w:hAnsi="Verdana"/>
        </w:rPr>
      </w:pPr>
      <w:r w:rsidRPr="00EC75B7">
        <w:rPr>
          <w:rFonts w:ascii="Verdana" w:hAnsi="Verdana"/>
        </w:rPr>
        <w:t>No data sources have been found that comprehensively list all historical monuments in Bulgaria by region, as is the case in Romania. However, the construction of the proposed park will not affect the territory of Bulgaria, thus ensuring the preservation of the country's cultural and historical heritage.</w:t>
      </w:r>
    </w:p>
    <w:p w14:paraId="2CB8DFDD" w14:textId="77777777" w:rsidR="008715BE" w:rsidRPr="00EC75B7" w:rsidRDefault="00000000">
      <w:pPr>
        <w:pStyle w:val="BodyText"/>
        <w:spacing w:before="122" w:line="357" w:lineRule="auto"/>
        <w:ind w:left="369" w:right="708"/>
        <w:jc w:val="both"/>
        <w:rPr>
          <w:rFonts w:ascii="Verdana" w:hAnsi="Verdana"/>
        </w:rPr>
      </w:pPr>
      <w:r w:rsidRPr="00EC75B7">
        <w:rPr>
          <w:rFonts w:ascii="Verdana" w:hAnsi="Verdana"/>
        </w:rPr>
        <w:t>In accordance with Law 22/2001 ratifying the Convention on Access to Information, Public Participation in Decision-Making and Access to Justice in Environmental Matters (the Aarhus Convention), it is essential to ensure full transparency and the involvement of the local and cross-border community in all stages of the project. This includes access to relevant information on environmental and health impacts and active public participation in the decision-making process. Compliance with this law ensures that all stakeholders are informed and have the opportunity to contribute to decision-making, thus ensuring effective and equitable management of environmental impacts.</w:t>
      </w:r>
    </w:p>
    <w:p w14:paraId="4B70FD4C" w14:textId="77777777" w:rsidR="008715BE" w:rsidRPr="00EC75B7" w:rsidRDefault="00000000">
      <w:pPr>
        <w:pStyle w:val="Heading6"/>
        <w:spacing w:before="129"/>
        <w:rPr>
          <w:rFonts w:ascii="Verdana" w:hAnsi="Verdana"/>
          <w:u w:val="none"/>
        </w:rPr>
      </w:pPr>
      <w:r w:rsidRPr="00EC75B7">
        <w:rPr>
          <w:rFonts w:ascii="Verdana" w:hAnsi="Verdana"/>
          <w:color w:val="009DEF"/>
          <w:spacing w:val="-2"/>
          <w:u w:val="none"/>
        </w:rPr>
        <w:t>Landscape</w:t>
      </w:r>
    </w:p>
    <w:p w14:paraId="48B2288C" w14:textId="77777777" w:rsidR="008715BE" w:rsidRPr="00EC75B7" w:rsidRDefault="008715BE">
      <w:pPr>
        <w:pStyle w:val="BodyText"/>
        <w:spacing w:before="13"/>
        <w:rPr>
          <w:rFonts w:ascii="Verdana" w:hAnsi="Verdana"/>
          <w:b/>
          <w:i/>
        </w:rPr>
      </w:pPr>
    </w:p>
    <w:p w14:paraId="60D39999" w14:textId="196CDA1D" w:rsidR="008715BE" w:rsidRPr="00EC75B7" w:rsidRDefault="00791B3F" w:rsidP="00791B3F">
      <w:pPr>
        <w:pStyle w:val="BodyText"/>
        <w:spacing w:before="109" w:line="360" w:lineRule="auto"/>
        <w:ind w:left="346" w:right="691"/>
        <w:jc w:val="both"/>
        <w:rPr>
          <w:rFonts w:ascii="Verdana" w:hAnsi="Verdana"/>
        </w:rPr>
      </w:pPr>
      <w:r w:rsidRPr="00791B3F">
        <w:rPr>
          <w:rFonts w:ascii="Verdana" w:hAnsi="Verdana"/>
        </w:rPr>
        <w:t>According to the map showing the types of landscape characteristic of the area where the project is proposed, it can be seen that the types of landscape in the project area are similar for both countries, as follows:</w:t>
      </w:r>
    </w:p>
    <w:p w14:paraId="30B865DD" w14:textId="77777777" w:rsidR="008715BE" w:rsidRPr="00EC75B7" w:rsidRDefault="00000000" w:rsidP="00791B3F">
      <w:pPr>
        <w:pStyle w:val="ListParagraph"/>
        <w:numPr>
          <w:ilvl w:val="0"/>
          <w:numId w:val="28"/>
        </w:numPr>
        <w:tabs>
          <w:tab w:val="left" w:pos="1060"/>
        </w:tabs>
        <w:spacing w:line="360" w:lineRule="auto"/>
        <w:ind w:right="715"/>
        <w:jc w:val="both"/>
        <w:rPr>
          <w:rFonts w:ascii="Verdana" w:hAnsi="Verdana"/>
          <w:sz w:val="18"/>
          <w:szCs w:val="18"/>
        </w:rPr>
      </w:pPr>
      <w:r w:rsidRPr="00EC75B7">
        <w:rPr>
          <w:rFonts w:ascii="Verdana" w:hAnsi="Verdana"/>
          <w:sz w:val="18"/>
          <w:szCs w:val="18"/>
        </w:rPr>
        <w:t>Continental landscape - this area consists of hills and arable land with sedimentary soils. It is predominant in most of the project coverage area.</w:t>
      </w:r>
    </w:p>
    <w:p w14:paraId="2D289C9D" w14:textId="77777777" w:rsidR="008715BE" w:rsidRPr="00EC75B7" w:rsidRDefault="00000000" w:rsidP="00791B3F">
      <w:pPr>
        <w:pStyle w:val="ListParagraph"/>
        <w:numPr>
          <w:ilvl w:val="0"/>
          <w:numId w:val="28"/>
        </w:numPr>
        <w:tabs>
          <w:tab w:val="left" w:pos="1060"/>
        </w:tabs>
        <w:spacing w:line="218" w:lineRule="exact"/>
        <w:jc w:val="both"/>
        <w:rPr>
          <w:rFonts w:ascii="Verdana" w:hAnsi="Verdana"/>
          <w:sz w:val="18"/>
          <w:szCs w:val="18"/>
        </w:rPr>
      </w:pPr>
      <w:r w:rsidRPr="00EC75B7">
        <w:rPr>
          <w:rFonts w:ascii="Verdana" w:hAnsi="Verdana"/>
          <w:sz w:val="18"/>
          <w:szCs w:val="18"/>
        </w:rPr>
        <w:t xml:space="preserve">Steppe landscape - this area represents a steppe landscape with hills and </w:t>
      </w:r>
      <w:r w:rsidRPr="00EC75B7">
        <w:rPr>
          <w:rFonts w:ascii="Verdana" w:hAnsi="Verdana"/>
          <w:spacing w:val="-2"/>
          <w:sz w:val="18"/>
          <w:szCs w:val="18"/>
        </w:rPr>
        <w:t xml:space="preserve">sedimentary </w:t>
      </w:r>
      <w:r w:rsidRPr="00EC75B7">
        <w:rPr>
          <w:rFonts w:ascii="Verdana" w:hAnsi="Verdana"/>
          <w:sz w:val="18"/>
          <w:szCs w:val="18"/>
        </w:rPr>
        <w:t>soils</w:t>
      </w:r>
      <w:r w:rsidRPr="00EC75B7">
        <w:rPr>
          <w:rFonts w:ascii="Verdana" w:hAnsi="Verdana"/>
          <w:spacing w:val="-2"/>
          <w:sz w:val="18"/>
          <w:szCs w:val="18"/>
        </w:rPr>
        <w:t>.</w:t>
      </w:r>
    </w:p>
    <w:p w14:paraId="0A0CF7E6" w14:textId="77777777" w:rsidR="008715BE" w:rsidRPr="00EC75B7" w:rsidRDefault="008715BE">
      <w:pPr>
        <w:pStyle w:val="BodyText"/>
        <w:spacing w:before="10"/>
        <w:rPr>
          <w:rFonts w:ascii="Verdana" w:hAnsi="Verdana"/>
        </w:rPr>
      </w:pPr>
    </w:p>
    <w:p w14:paraId="2E8EE342" w14:textId="77777777" w:rsidR="008715BE" w:rsidRPr="00EC75B7" w:rsidRDefault="00000000">
      <w:pPr>
        <w:pStyle w:val="BodyText"/>
        <w:spacing w:line="357" w:lineRule="auto"/>
        <w:ind w:left="340" w:right="716"/>
        <w:jc w:val="both"/>
        <w:rPr>
          <w:rFonts w:ascii="Verdana" w:hAnsi="Verdana"/>
        </w:rPr>
      </w:pPr>
      <w:r w:rsidRPr="00EC75B7">
        <w:rPr>
          <w:rFonts w:ascii="Verdana" w:hAnsi="Verdana"/>
        </w:rPr>
        <w:t>Land fragmentation and relief energy are essential for understanding potential environmental impacts and for planning infrastructure projects.</w:t>
      </w:r>
    </w:p>
    <w:p w14:paraId="3AB1375D" w14:textId="77777777" w:rsidR="008715BE" w:rsidRPr="00EC75B7" w:rsidRDefault="00000000">
      <w:pPr>
        <w:pStyle w:val="BodyText"/>
        <w:spacing w:before="121" w:line="357" w:lineRule="auto"/>
        <w:ind w:left="340" w:right="716"/>
        <w:jc w:val="both"/>
        <w:rPr>
          <w:rFonts w:ascii="Verdana" w:hAnsi="Verdana"/>
        </w:rPr>
      </w:pPr>
      <w:r w:rsidRPr="00EC75B7">
        <w:rPr>
          <w:rFonts w:ascii="Verdana" w:hAnsi="Verdana"/>
        </w:rPr>
        <w:t>In Bulgaria, in the vicinity of the project perimeter, very low fragmentation prevails. The relief is moderately fragmented, suggesting the presence of low hills and valleys. This type of landscape can support diversified agricultural activities and has moderate biodiversity.</w:t>
      </w:r>
    </w:p>
    <w:p w14:paraId="613E6241" w14:textId="1A6CC4CE" w:rsidR="008715BE" w:rsidRPr="00F979AE" w:rsidRDefault="00000000" w:rsidP="00F979AE">
      <w:pPr>
        <w:pStyle w:val="BodyText"/>
        <w:spacing w:before="121" w:line="357" w:lineRule="auto"/>
        <w:ind w:left="340" w:right="716"/>
        <w:jc w:val="both"/>
        <w:rPr>
          <w:rFonts w:ascii="Verdana" w:hAnsi="Verdana"/>
          <w:b/>
          <w:bCs/>
        </w:rPr>
      </w:pPr>
      <w:r w:rsidRPr="00F979AE">
        <w:rPr>
          <w:rFonts w:ascii="Verdana" w:hAnsi="Verdana"/>
          <w:b/>
          <w:bCs/>
        </w:rPr>
        <w:t xml:space="preserve">The construction and operation of the wind farm outside the town of Cerchezu won't mess </w:t>
      </w:r>
      <w:r w:rsidR="00F979AE" w:rsidRPr="00F979AE">
        <w:rPr>
          <w:rFonts w:ascii="Verdana" w:hAnsi="Verdana"/>
          <w:b/>
          <w:bCs/>
        </w:rPr>
        <w:t xml:space="preserve"> </w:t>
      </w:r>
      <w:r w:rsidRPr="00F979AE">
        <w:rPr>
          <w:rFonts w:ascii="Verdana" w:hAnsi="Verdana"/>
          <w:b/>
          <w:bCs/>
        </w:rPr>
        <w:t>with the landscape</w:t>
      </w:r>
      <w:r w:rsidR="00F979AE" w:rsidRPr="00F979AE">
        <w:rPr>
          <w:rFonts w:ascii="Verdana" w:hAnsi="Verdana"/>
          <w:b/>
          <w:bCs/>
        </w:rPr>
        <w:t xml:space="preserve"> </w:t>
      </w:r>
      <w:r w:rsidRPr="00F979AE">
        <w:rPr>
          <w:rFonts w:ascii="Verdana" w:hAnsi="Verdana"/>
          <w:b/>
          <w:bCs/>
        </w:rPr>
        <w:t>in Bulgaria.</w:t>
      </w:r>
    </w:p>
    <w:p w14:paraId="314C3294" w14:textId="77777777" w:rsidR="008715BE" w:rsidRPr="00EC75B7" w:rsidRDefault="008715BE">
      <w:pPr>
        <w:jc w:val="both"/>
        <w:rPr>
          <w:rFonts w:ascii="Verdana" w:hAnsi="Verdana"/>
          <w:b/>
          <w:sz w:val="18"/>
          <w:szCs w:val="18"/>
        </w:rPr>
        <w:sectPr w:rsidR="008715BE" w:rsidRPr="00EC75B7">
          <w:pgSz w:w="11910" w:h="16840"/>
          <w:pgMar w:top="1320" w:right="283" w:bottom="1020" w:left="850" w:header="766" w:footer="799" w:gutter="0"/>
          <w:cols w:space="708"/>
        </w:sectPr>
      </w:pPr>
    </w:p>
    <w:p w14:paraId="533D1EDF" w14:textId="77777777" w:rsidR="008715BE" w:rsidRPr="00EC75B7" w:rsidRDefault="00000000">
      <w:pPr>
        <w:pStyle w:val="Heading6"/>
        <w:spacing w:before="105"/>
        <w:rPr>
          <w:rFonts w:ascii="Verdana" w:hAnsi="Verdana"/>
          <w:u w:val="none"/>
        </w:rPr>
      </w:pPr>
      <w:r w:rsidRPr="00EC75B7">
        <w:rPr>
          <w:rFonts w:ascii="Verdana" w:hAnsi="Verdana"/>
          <w:color w:val="009DEF"/>
          <w:u w:val="none"/>
        </w:rPr>
        <w:lastRenderedPageBreak/>
        <w:t xml:space="preserve">Use of </w:t>
      </w:r>
      <w:r w:rsidRPr="00EC75B7">
        <w:rPr>
          <w:rFonts w:ascii="Verdana" w:hAnsi="Verdana"/>
          <w:color w:val="009DEF"/>
          <w:spacing w:val="-2"/>
          <w:u w:val="none"/>
        </w:rPr>
        <w:t xml:space="preserve">natural </w:t>
      </w:r>
      <w:r w:rsidRPr="00EC75B7">
        <w:rPr>
          <w:rFonts w:ascii="Verdana" w:hAnsi="Verdana"/>
          <w:color w:val="009DEF"/>
          <w:u w:val="none"/>
        </w:rPr>
        <w:t>resources</w:t>
      </w:r>
    </w:p>
    <w:p w14:paraId="6AD6394F" w14:textId="77777777" w:rsidR="008715BE" w:rsidRPr="00EC75B7" w:rsidRDefault="008715BE">
      <w:pPr>
        <w:pStyle w:val="BodyText"/>
        <w:spacing w:before="14"/>
        <w:rPr>
          <w:rFonts w:ascii="Verdana" w:hAnsi="Verdana"/>
          <w:b/>
          <w:i/>
        </w:rPr>
      </w:pPr>
    </w:p>
    <w:p w14:paraId="376185E8" w14:textId="77777777" w:rsidR="008715BE" w:rsidRPr="00EC75B7" w:rsidRDefault="00000000">
      <w:pPr>
        <w:pStyle w:val="BodyText"/>
        <w:spacing w:line="357" w:lineRule="auto"/>
        <w:ind w:left="321" w:right="689"/>
        <w:jc w:val="both"/>
        <w:rPr>
          <w:rFonts w:ascii="Verdana" w:hAnsi="Verdana"/>
        </w:rPr>
      </w:pPr>
      <w:r w:rsidRPr="00EC75B7">
        <w:rPr>
          <w:rFonts w:ascii="Verdana" w:hAnsi="Verdana"/>
        </w:rPr>
        <w:t>The implementation of the wind farm in the municipality of Cerchezu, Romania, provides an opportunity to capitalize on renewable energy resources. The following resources will be used to build the park: topsoil from stripping (approximately 108,600 m³), natural soil from excavation (24,350 m³), crushed stone fill (114,250 m³), and insignificant amounts of water for various activities on site.</w:t>
      </w:r>
    </w:p>
    <w:p w14:paraId="335AF903" w14:textId="77777777" w:rsidR="008715BE" w:rsidRPr="00EC75B7" w:rsidRDefault="00000000">
      <w:pPr>
        <w:spacing w:before="121" w:line="360" w:lineRule="auto"/>
        <w:ind w:left="340" w:right="709"/>
        <w:jc w:val="both"/>
        <w:rPr>
          <w:rFonts w:ascii="Verdana" w:hAnsi="Verdana"/>
          <w:sz w:val="18"/>
          <w:szCs w:val="18"/>
        </w:rPr>
      </w:pPr>
      <w:r w:rsidRPr="00EC75B7">
        <w:rPr>
          <w:rFonts w:ascii="Verdana" w:hAnsi="Verdana"/>
          <w:sz w:val="18"/>
          <w:szCs w:val="18"/>
        </w:rPr>
        <w:t xml:space="preserve">The construction of the wind farm </w:t>
      </w:r>
      <w:r w:rsidRPr="00EC75B7">
        <w:rPr>
          <w:rFonts w:ascii="Verdana" w:hAnsi="Verdana"/>
          <w:b/>
          <w:sz w:val="18"/>
          <w:szCs w:val="18"/>
        </w:rPr>
        <w:t>will not use natural resources from Bulgarian territory, nor will it affect its natural resources</w:t>
      </w:r>
      <w:r w:rsidRPr="00EC75B7">
        <w:rPr>
          <w:rFonts w:ascii="Verdana" w:hAnsi="Verdana"/>
          <w:sz w:val="18"/>
          <w:szCs w:val="18"/>
        </w:rPr>
        <w:t>. All resources necessary for the project will be extracted and managed on Romanian territory. Thus, Bulgarian soils and subsoils will remain unaffected by activities related to the construction and operation of the wind farm outside the village of Cerchezu.</w:t>
      </w:r>
    </w:p>
    <w:p w14:paraId="440FB8DD" w14:textId="77777777" w:rsidR="008715BE" w:rsidRPr="00EC75B7" w:rsidRDefault="00000000">
      <w:pPr>
        <w:pStyle w:val="Heading6"/>
        <w:spacing w:before="117"/>
        <w:rPr>
          <w:rFonts w:ascii="Verdana" w:hAnsi="Verdana"/>
          <w:u w:val="none"/>
        </w:rPr>
      </w:pPr>
      <w:r w:rsidRPr="00EC75B7">
        <w:rPr>
          <w:rFonts w:ascii="Verdana" w:hAnsi="Verdana"/>
          <w:color w:val="009DEF"/>
          <w:spacing w:val="-2"/>
          <w:u w:val="none"/>
        </w:rPr>
        <w:t xml:space="preserve">Waste </w:t>
      </w:r>
      <w:r w:rsidRPr="00EC75B7">
        <w:rPr>
          <w:rFonts w:ascii="Verdana" w:hAnsi="Verdana"/>
          <w:color w:val="009DEF"/>
          <w:u w:val="none"/>
        </w:rPr>
        <w:t>management</w:t>
      </w:r>
    </w:p>
    <w:p w14:paraId="2A33C8C8" w14:textId="77777777" w:rsidR="008715BE" w:rsidRPr="00EC75B7" w:rsidRDefault="008715BE">
      <w:pPr>
        <w:pStyle w:val="BodyText"/>
        <w:spacing w:before="14"/>
        <w:rPr>
          <w:rFonts w:ascii="Verdana" w:hAnsi="Verdana"/>
          <w:b/>
          <w:i/>
        </w:rPr>
      </w:pPr>
    </w:p>
    <w:p w14:paraId="1FAA79F9" w14:textId="77777777" w:rsidR="008715BE" w:rsidRPr="00EC75B7" w:rsidRDefault="00000000">
      <w:pPr>
        <w:spacing w:line="357" w:lineRule="auto"/>
        <w:ind w:left="340" w:right="706"/>
        <w:jc w:val="both"/>
        <w:rPr>
          <w:rFonts w:ascii="Verdana" w:hAnsi="Verdana"/>
          <w:b/>
          <w:sz w:val="18"/>
          <w:szCs w:val="18"/>
        </w:rPr>
      </w:pPr>
      <w:r w:rsidRPr="00EC75B7">
        <w:rPr>
          <w:rFonts w:ascii="Verdana" w:hAnsi="Verdana"/>
          <w:sz w:val="18"/>
          <w:szCs w:val="18"/>
        </w:rPr>
        <w:t>As part of the implementation of the wind farm project in Cerchezu, Romania, adequate waste management will be ensured through proper collection, storage, and disposal. The waste generated will include construction materials, packaging, and household waste, all of which will be managed in accordance with Romanian legislation.</w:t>
      </w:r>
      <w:r w:rsidRPr="00EC75B7">
        <w:rPr>
          <w:rFonts w:ascii="Verdana" w:hAnsi="Verdana"/>
          <w:spacing w:val="-13"/>
          <w:sz w:val="18"/>
          <w:szCs w:val="18"/>
        </w:rPr>
        <w:t xml:space="preserve"> </w:t>
      </w:r>
      <w:r w:rsidRPr="00EC75B7">
        <w:rPr>
          <w:rFonts w:ascii="Verdana" w:hAnsi="Verdana"/>
          <w:sz w:val="18"/>
          <w:szCs w:val="18"/>
        </w:rPr>
        <w:t xml:space="preserve">No waste will be transported or managed on Bulgarian territory, thus ensuring that </w:t>
      </w:r>
      <w:r w:rsidRPr="00EC75B7">
        <w:rPr>
          <w:rFonts w:ascii="Verdana" w:hAnsi="Verdana"/>
          <w:b/>
          <w:sz w:val="18"/>
          <w:szCs w:val="18"/>
        </w:rPr>
        <w:t>Bulgaria's resources and environment will not be affected by activities related to the construction and operation of the wind farm.</w:t>
      </w:r>
    </w:p>
    <w:p w14:paraId="6A160CB6" w14:textId="77777777" w:rsidR="008715BE" w:rsidRPr="00EC75B7" w:rsidRDefault="00000000">
      <w:pPr>
        <w:pStyle w:val="Heading6"/>
        <w:spacing w:before="127"/>
        <w:rPr>
          <w:rFonts w:ascii="Verdana" w:hAnsi="Verdana"/>
          <w:u w:val="none"/>
        </w:rPr>
      </w:pPr>
      <w:r w:rsidRPr="00EC75B7">
        <w:rPr>
          <w:rFonts w:ascii="Verdana" w:hAnsi="Verdana"/>
          <w:color w:val="009DEF"/>
          <w:spacing w:val="-2"/>
          <w:u w:val="none"/>
        </w:rPr>
        <w:t xml:space="preserve">Climate </w:t>
      </w:r>
      <w:r w:rsidRPr="00EC75B7">
        <w:rPr>
          <w:rFonts w:ascii="Verdana" w:hAnsi="Verdana"/>
          <w:color w:val="009DEF"/>
          <w:u w:val="none"/>
        </w:rPr>
        <w:t>change</w:t>
      </w:r>
    </w:p>
    <w:p w14:paraId="6AF2985A" w14:textId="77777777" w:rsidR="008715BE" w:rsidRPr="00EC75B7" w:rsidRDefault="008715BE">
      <w:pPr>
        <w:pStyle w:val="BodyText"/>
        <w:spacing w:before="13"/>
        <w:rPr>
          <w:rFonts w:ascii="Verdana" w:hAnsi="Verdana"/>
          <w:b/>
          <w:i/>
        </w:rPr>
      </w:pPr>
    </w:p>
    <w:p w14:paraId="77CBA6A8" w14:textId="77777777" w:rsidR="008715BE" w:rsidRPr="00EC75B7" w:rsidRDefault="00000000">
      <w:pPr>
        <w:pStyle w:val="BodyText"/>
        <w:spacing w:before="1" w:line="357" w:lineRule="auto"/>
        <w:ind w:left="333" w:right="1000" w:hanging="10"/>
        <w:jc w:val="both"/>
        <w:rPr>
          <w:rFonts w:ascii="Verdana" w:hAnsi="Verdana"/>
        </w:rPr>
      </w:pPr>
      <w:r w:rsidRPr="00EC75B7">
        <w:rPr>
          <w:rFonts w:ascii="Verdana" w:hAnsi="Verdana"/>
        </w:rPr>
        <w:t>Bulgaria's national climate policy is determined, on the one hand, by the country's international commitments under the United Nations Framework Convention on Climate Change (UNFCCC), the Kyoto Protocol (KP) and the Paris Agreement, which provide the general framework for international efforts to address the challenges posed by climate change, and, on the other hand, by the obligations arising from the country's membership of the EU and from current and recently adopted European legislation in this area.</w:t>
      </w:r>
    </w:p>
    <w:p w14:paraId="5AC585DF" w14:textId="77777777" w:rsidR="008715BE" w:rsidRPr="00EC75B7" w:rsidRDefault="00000000">
      <w:pPr>
        <w:pStyle w:val="BodyText"/>
        <w:spacing w:before="126" w:line="357" w:lineRule="auto"/>
        <w:ind w:left="340" w:right="710"/>
        <w:jc w:val="both"/>
        <w:rPr>
          <w:rFonts w:ascii="Verdana" w:hAnsi="Verdana"/>
        </w:rPr>
      </w:pPr>
      <w:r w:rsidRPr="00EC75B7">
        <w:rPr>
          <w:rFonts w:ascii="Verdana" w:hAnsi="Verdana"/>
        </w:rPr>
        <w:t>As an EU member state, Bulgaria has committed to reducing greenhouse gas (GHG) emissions by 55% by 2030 compared to 1990 levels, as part of the EU's goal to achieve climate neutrality by</w:t>
      </w:r>
      <w:r w:rsidRPr="00EC75B7">
        <w:rPr>
          <w:rFonts w:ascii="Verdana" w:hAnsi="Verdana"/>
          <w:spacing w:val="-2"/>
          <w:position w:val="6"/>
        </w:rPr>
        <w:t>2050</w:t>
      </w:r>
      <w:r w:rsidRPr="00EC75B7">
        <w:rPr>
          <w:rFonts w:ascii="Verdana" w:hAnsi="Verdana"/>
          <w:spacing w:val="-2"/>
        </w:rPr>
        <w:t>.</w:t>
      </w:r>
    </w:p>
    <w:p w14:paraId="66ADAC2D" w14:textId="77777777" w:rsidR="008715BE" w:rsidRPr="00EC75B7" w:rsidRDefault="00000000">
      <w:pPr>
        <w:pStyle w:val="BodyText"/>
        <w:spacing w:before="118" w:line="357" w:lineRule="auto"/>
        <w:ind w:left="340" w:right="704"/>
        <w:jc w:val="both"/>
        <w:rPr>
          <w:rFonts w:ascii="Verdana" w:hAnsi="Verdana"/>
        </w:rPr>
      </w:pPr>
      <w:r w:rsidRPr="00EC75B7">
        <w:rPr>
          <w:rFonts w:ascii="Verdana" w:hAnsi="Verdana"/>
          <w:noProof/>
        </w:rPr>
        <mc:AlternateContent>
          <mc:Choice Requires="wps">
            <w:drawing>
              <wp:anchor distT="0" distB="0" distL="0" distR="0" simplePos="0" relativeHeight="251718656" behindDoc="1" locked="0" layoutInCell="1" allowOverlap="1" wp14:anchorId="50969CC5" wp14:editId="3D092063">
                <wp:simplePos x="0" y="0"/>
                <wp:positionH relativeFrom="page">
                  <wp:posOffset>5165725</wp:posOffset>
                </wp:positionH>
                <wp:positionV relativeFrom="paragraph">
                  <wp:posOffset>176569</wp:posOffset>
                </wp:positionV>
                <wp:extent cx="17780" cy="12700"/>
                <wp:effectExtent l="0" t="0" r="0" b="0"/>
                <wp:wrapNone/>
                <wp:docPr id="554" name="Textbox 554"/>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42B0B1C9" w14:textId="77777777" w:rsidR="008715BE" w:rsidRDefault="00000000">
                            <w:pPr>
                              <w:spacing w:line="19" w:lineRule="exact"/>
                              <w:rPr>
                                <w:sz w:val="2"/>
                              </w:rPr>
                            </w:pPr>
                            <w:r>
                              <w:rPr>
                                <w:spacing w:val="-5"/>
                                <w:sz w:val="1"/>
                              </w:rPr>
                              <w:t>41F</w:t>
                            </w:r>
                          </w:p>
                        </w:txbxContent>
                      </wps:txbx>
                      <wps:bodyPr wrap="square" lIns="0" tIns="0" rIns="0" bIns="0" rtlCol="0"/>
                    </wps:wsp>
                  </a:graphicData>
                </a:graphic>
              </wp:anchor>
            </w:drawing>
          </mc:Choice>
          <mc:Fallback>
            <w:pict>
              <v:shape w14:anchorId="50969CC5" id="Textbox 554" o:spid="_x0000_s1323" type="#_x0000_t202" style="position:absolute;left:0;text-align:left;margin-left:406.75pt;margin-top:13.9pt;width:1.4pt;height:1pt;z-index:-25159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" filled="f" stroked="f">
                <v:textbox inset="0,0,0,0">
                  <w:txbxContent>
                    <w:p w14:paraId="42B0B1C9" w14:textId="77777777" w:rsidR="008715BE" w:rsidRDefault="00000000">
                      <w:pPr>
                        <w:spacing w:line="19" w:lineRule="exact"/>
                        <w:rPr>
                          <w:sz w:val="2"/>
                        </w:rPr>
                      </w:pPr>
                      <w:r>
                        <w:rPr>
                          <w:spacing w:val="-5"/>
                          <w:sz w:val="1"/>
                        </w:rPr>
                        <w:t>41F</w:t>
                      </w:r>
                    </w:p>
                  </w:txbxContent>
                </v:textbox>
                <w10:wrap anchorx="page"/>
              </v:shape>
            </w:pict>
          </mc:Fallback>
        </mc:AlternateContent>
      </w:r>
      <w:r w:rsidRPr="00EC75B7">
        <w:rPr>
          <w:rFonts w:ascii="Verdana" w:hAnsi="Verdana"/>
        </w:rPr>
        <w:t xml:space="preserve">According to the National Report on the State and Protection </w:t>
      </w:r>
      <w:r w:rsidRPr="00EC75B7">
        <w:rPr>
          <w:rFonts w:ascii="Verdana" w:hAnsi="Verdana"/>
          <w:b/>
        </w:rPr>
        <w:t>of</w:t>
      </w:r>
      <w:r w:rsidRPr="00EC75B7">
        <w:rPr>
          <w:rFonts w:ascii="Verdana" w:hAnsi="Verdana"/>
        </w:rPr>
        <w:t xml:space="preserve"> the Environment in Bulgaria </w:t>
      </w:r>
      <w:r w:rsidRPr="00EC75B7">
        <w:rPr>
          <w:rFonts w:ascii="Verdana" w:hAnsi="Verdana"/>
          <w:position w:val="6"/>
        </w:rPr>
        <w:t>29</w:t>
      </w:r>
      <w:r w:rsidRPr="00EC75B7">
        <w:rPr>
          <w:rFonts w:ascii="Verdana" w:hAnsi="Verdana"/>
          <w:b/>
        </w:rPr>
        <w:t xml:space="preserve">, major GHG emissions </w:t>
      </w:r>
      <w:r w:rsidRPr="00EC75B7">
        <w:rPr>
          <w:rFonts w:ascii="Verdana" w:hAnsi="Verdana"/>
        </w:rPr>
        <w:t>for the period 1988-2021 are trending downward.</w:t>
      </w:r>
      <w:r w:rsidRPr="00EC75B7">
        <w:rPr>
          <w:rFonts w:ascii="Verdana" w:hAnsi="Verdana"/>
          <w:spacing w:val="-5"/>
        </w:rPr>
        <w:t xml:space="preserve"> </w:t>
      </w:r>
      <w:r w:rsidRPr="00EC75B7">
        <w:rPr>
          <w:rFonts w:ascii="Verdana" w:hAnsi="Verdana"/>
        </w:rPr>
        <w:t>In 2021, total GHG emissions amounted to 53,917</w:t>
      </w:r>
      <w:r w:rsidRPr="00EC75B7">
        <w:rPr>
          <w:rFonts w:ascii="Verdana" w:hAnsi="Verdana"/>
          <w:position w:val="2"/>
        </w:rPr>
        <w:t>.</w:t>
      </w:r>
      <w:r w:rsidRPr="00EC75B7">
        <w:rPr>
          <w:rFonts w:ascii="Verdana" w:hAnsi="Verdana"/>
        </w:rPr>
        <w:t>27 Gg CO2-eq</w:t>
      </w:r>
      <w:r w:rsidRPr="00EC75B7">
        <w:rPr>
          <w:rFonts w:ascii="Verdana" w:hAnsi="Verdana"/>
          <w:position w:val="2"/>
        </w:rPr>
        <w:t>. This means that GHG emissions have decreased by 52.55% compared to emissions in the reference year</w:t>
      </w:r>
      <w:r w:rsidRPr="00EC75B7">
        <w:rPr>
          <w:rFonts w:ascii="Verdana" w:hAnsi="Verdana"/>
          <w:spacing w:val="-2"/>
        </w:rPr>
        <w:t xml:space="preserve"> 1988.</w:t>
      </w:r>
    </w:p>
    <w:p w14:paraId="2FB33754" w14:textId="77777777" w:rsidR="008715BE" w:rsidRPr="00EC75B7" w:rsidRDefault="00000000">
      <w:pPr>
        <w:pStyle w:val="BodyText"/>
        <w:spacing w:before="160"/>
        <w:ind w:left="340"/>
        <w:jc w:val="both"/>
        <w:rPr>
          <w:rFonts w:ascii="Verdana" w:hAnsi="Verdana"/>
        </w:rPr>
      </w:pPr>
      <w:r w:rsidRPr="00EC75B7">
        <w:rPr>
          <w:rFonts w:ascii="Verdana" w:hAnsi="Verdana"/>
        </w:rPr>
        <w:t xml:space="preserve">The following three graphs show the quantities of the main GHGs emitted by different sectors in </w:t>
      </w:r>
      <w:r w:rsidRPr="00EC75B7">
        <w:rPr>
          <w:rFonts w:ascii="Verdana" w:hAnsi="Verdana"/>
          <w:spacing w:val="-2"/>
        </w:rPr>
        <w:t>Bulgaria.</w:t>
      </w:r>
    </w:p>
    <w:p w14:paraId="095E6A76" w14:textId="77777777" w:rsidR="008715BE" w:rsidRPr="00EC75B7" w:rsidRDefault="008715BE">
      <w:pPr>
        <w:pStyle w:val="BodyText"/>
        <w:rPr>
          <w:rFonts w:ascii="Verdana" w:hAnsi="Verdana"/>
        </w:rPr>
      </w:pPr>
    </w:p>
    <w:p w14:paraId="0626D549" w14:textId="77777777" w:rsidR="008715BE" w:rsidRPr="00EC75B7" w:rsidRDefault="008715BE">
      <w:pPr>
        <w:pStyle w:val="BodyText"/>
        <w:rPr>
          <w:rFonts w:ascii="Verdana" w:hAnsi="Verdana"/>
        </w:rPr>
      </w:pPr>
    </w:p>
    <w:p w14:paraId="1AD10FA3" w14:textId="77777777" w:rsidR="008715BE" w:rsidRPr="00EC75B7" w:rsidRDefault="008715BE">
      <w:pPr>
        <w:pStyle w:val="BodyText"/>
        <w:rPr>
          <w:rFonts w:ascii="Verdana" w:hAnsi="Verdana"/>
        </w:rPr>
      </w:pPr>
    </w:p>
    <w:p w14:paraId="6151A9F1" w14:textId="77777777" w:rsidR="008715BE" w:rsidRPr="00EC75B7" w:rsidRDefault="008715BE">
      <w:pPr>
        <w:pStyle w:val="BodyText"/>
        <w:rPr>
          <w:rFonts w:ascii="Verdana" w:hAnsi="Verdana"/>
        </w:rPr>
      </w:pPr>
    </w:p>
    <w:p w14:paraId="14F17891" w14:textId="77777777" w:rsidR="008715BE" w:rsidRPr="00EC75B7" w:rsidRDefault="008715BE">
      <w:pPr>
        <w:pStyle w:val="BodyText"/>
        <w:rPr>
          <w:rFonts w:ascii="Verdana" w:hAnsi="Verdana"/>
        </w:rPr>
      </w:pPr>
    </w:p>
    <w:p w14:paraId="52937247" w14:textId="77777777" w:rsidR="008715BE" w:rsidRPr="00EC75B7" w:rsidRDefault="008715BE">
      <w:pPr>
        <w:pStyle w:val="BodyText"/>
        <w:rPr>
          <w:rFonts w:ascii="Verdana" w:hAnsi="Verdana"/>
        </w:rPr>
      </w:pPr>
    </w:p>
    <w:p w14:paraId="7D93F5CA" w14:textId="77777777" w:rsidR="008715BE" w:rsidRPr="00EC75B7" w:rsidRDefault="008715BE">
      <w:pPr>
        <w:pStyle w:val="BodyText"/>
        <w:rPr>
          <w:rFonts w:ascii="Verdana" w:hAnsi="Verdana"/>
        </w:rPr>
      </w:pPr>
    </w:p>
    <w:p w14:paraId="30494B15" w14:textId="77777777" w:rsidR="008715BE" w:rsidRPr="00EC75B7" w:rsidRDefault="008715BE">
      <w:pPr>
        <w:pStyle w:val="BodyText"/>
        <w:rPr>
          <w:rFonts w:ascii="Verdana" w:hAnsi="Verdana"/>
        </w:rPr>
      </w:pPr>
    </w:p>
    <w:p w14:paraId="06D2327C" w14:textId="77777777" w:rsidR="008715BE" w:rsidRPr="00EC75B7" w:rsidRDefault="008715BE">
      <w:pPr>
        <w:pStyle w:val="BodyText"/>
        <w:rPr>
          <w:rFonts w:ascii="Verdana" w:hAnsi="Verdana"/>
        </w:rPr>
      </w:pPr>
    </w:p>
    <w:p w14:paraId="48E767F5" w14:textId="77777777" w:rsidR="008715BE" w:rsidRPr="00EC75B7" w:rsidRDefault="008715BE">
      <w:pPr>
        <w:pStyle w:val="BodyText"/>
        <w:rPr>
          <w:rFonts w:ascii="Verdana" w:hAnsi="Verdana"/>
        </w:rPr>
      </w:pPr>
    </w:p>
    <w:p w14:paraId="708C0295" w14:textId="77777777" w:rsidR="008715BE" w:rsidRPr="00EC75B7" w:rsidRDefault="008715BE">
      <w:pPr>
        <w:pStyle w:val="BodyText"/>
        <w:spacing w:before="168"/>
        <w:rPr>
          <w:rFonts w:ascii="Verdana" w:hAnsi="Verdana"/>
        </w:rPr>
      </w:pPr>
    </w:p>
    <w:p w14:paraId="464C1380" w14:textId="77777777" w:rsidR="008715BE" w:rsidRPr="00EC75B7" w:rsidRDefault="00000000">
      <w:pPr>
        <w:ind w:left="340"/>
        <w:rPr>
          <w:rFonts w:ascii="Verdana" w:hAnsi="Verdana"/>
          <w:sz w:val="18"/>
          <w:szCs w:val="18"/>
        </w:rPr>
      </w:pPr>
      <w:r w:rsidRPr="00EC75B7">
        <w:rPr>
          <w:rFonts w:ascii="Verdana" w:hAnsi="Verdana"/>
          <w:color w:val="797766"/>
          <w:position w:val="4"/>
          <w:sz w:val="18"/>
          <w:szCs w:val="18"/>
        </w:rPr>
        <w:t>28</w:t>
      </w:r>
      <w:hyperlink r:id="rId269">
        <w:r w:rsidR="008715BE" w:rsidRPr="00EC75B7">
          <w:rPr>
            <w:rFonts w:ascii="Verdana" w:hAnsi="Verdana"/>
            <w:color w:val="797766"/>
            <w:spacing w:val="-2"/>
            <w:sz w:val="18"/>
            <w:szCs w:val="18"/>
          </w:rPr>
          <w:t>https://ec.europa.eu/regional_policy/whats-new/newsroom/21-12-2023-eu-supports-just-climate-transition-in-bulgaria-with-a-budget-of-eur1-2-billion_en</w:t>
        </w:r>
      </w:hyperlink>
    </w:p>
    <w:p w14:paraId="6F94FBA0" w14:textId="77777777" w:rsidR="008715BE" w:rsidRPr="00EC75B7" w:rsidRDefault="008715BE">
      <w:pPr>
        <w:rPr>
          <w:rFonts w:ascii="Verdana" w:hAnsi="Verdana"/>
          <w:sz w:val="18"/>
          <w:szCs w:val="18"/>
        </w:rPr>
        <w:sectPr w:rsidR="008715BE" w:rsidRPr="00EC75B7">
          <w:headerReference w:type="default" r:id="rId270"/>
          <w:footerReference w:type="default" r:id="rId271"/>
          <w:pgSz w:w="11910" w:h="16840"/>
          <w:pgMar w:top="1320" w:right="283" w:bottom="1180" w:left="850" w:header="766" w:footer="998" w:gutter="0"/>
          <w:pgNumType w:start="29"/>
          <w:cols w:space="708"/>
        </w:sectPr>
      </w:pPr>
    </w:p>
    <w:p w14:paraId="41861911" w14:textId="77777777" w:rsidR="008715BE" w:rsidRPr="00EC75B7" w:rsidRDefault="008715BE">
      <w:pPr>
        <w:pStyle w:val="BodyText"/>
        <w:rPr>
          <w:rFonts w:ascii="Verdana" w:hAnsi="Verdana"/>
        </w:rPr>
      </w:pPr>
    </w:p>
    <w:p w14:paraId="507C8966" w14:textId="77777777" w:rsidR="008715BE" w:rsidRPr="00EC75B7" w:rsidRDefault="008715BE">
      <w:pPr>
        <w:pStyle w:val="BodyText"/>
        <w:spacing w:before="199"/>
        <w:rPr>
          <w:rFonts w:ascii="Verdana" w:hAnsi="Verdana"/>
        </w:rPr>
      </w:pPr>
    </w:p>
    <w:p w14:paraId="54B0014B" w14:textId="77777777" w:rsidR="008715BE" w:rsidRPr="00EC75B7" w:rsidRDefault="00000000">
      <w:pPr>
        <w:ind w:left="822"/>
        <w:rPr>
          <w:rFonts w:ascii="Verdana" w:hAnsi="Verdana"/>
          <w:sz w:val="18"/>
          <w:szCs w:val="18"/>
        </w:rPr>
      </w:pPr>
      <w:r w:rsidRPr="00EC75B7">
        <w:rPr>
          <w:rFonts w:ascii="Verdana" w:hAnsi="Verdana"/>
          <w:noProof/>
          <w:sz w:val="18"/>
          <w:szCs w:val="18"/>
        </w:rPr>
        <w:drawing>
          <wp:inline distT="0" distB="0" distL="0" distR="0" wp14:anchorId="222C423E" wp14:editId="16F61AEB">
            <wp:extent cx="5601007" cy="1868804"/>
            <wp:effectExtent l="0" t="0" r="0" b="0"/>
            <wp:docPr id="559" name="Image 559" descr="P6582#yIS1"/>
            <wp:cNvGraphicFramePr/>
            <a:graphic xmlns:a="http://schemas.openxmlformats.org/drawingml/2006/main">
              <a:graphicData uri="http://schemas.openxmlformats.org/drawingml/2006/picture">
                <pic:pic xmlns:pic="http://schemas.openxmlformats.org/drawingml/2006/picture">
                  <pic:nvPicPr>
                    <pic:cNvPr id="559" name="Image 559" descr="P6582#yIS1"/>
                    <pic:cNvPicPr/>
                  </pic:nvPicPr>
                  <pic:blipFill>
                    <a:blip r:embed="rId272" cstate="print"/>
                    <a:stretch>
                      <a:fillRect/>
                    </a:stretch>
                  </pic:blipFill>
                  <pic:spPr>
                    <a:xfrm>
                      <a:off x="0" y="0"/>
                      <a:ext cx="5601007" cy="1868804"/>
                    </a:xfrm>
                    <a:prstGeom prst="rect">
                      <a:avLst/>
                    </a:prstGeom>
                  </pic:spPr>
                </pic:pic>
              </a:graphicData>
            </a:graphic>
          </wp:inline>
        </w:drawing>
      </w:r>
    </w:p>
    <w:p w14:paraId="7F2E8205" w14:textId="77777777" w:rsidR="008715BE" w:rsidRPr="00EC75B7" w:rsidRDefault="008715BE">
      <w:pPr>
        <w:pStyle w:val="BodyText"/>
        <w:rPr>
          <w:rFonts w:ascii="Verdana" w:hAnsi="Verdana"/>
        </w:rPr>
      </w:pPr>
    </w:p>
    <w:p w14:paraId="363EE99C" w14:textId="77777777" w:rsidR="008715BE" w:rsidRPr="00EC75B7" w:rsidRDefault="008715BE">
      <w:pPr>
        <w:pStyle w:val="BodyText"/>
        <w:spacing w:before="109"/>
        <w:rPr>
          <w:rFonts w:ascii="Verdana" w:hAnsi="Verdana"/>
        </w:rPr>
      </w:pPr>
    </w:p>
    <w:p w14:paraId="2694DFD0" w14:textId="77777777" w:rsidR="008715BE" w:rsidRPr="00EC75B7" w:rsidRDefault="00000000">
      <w:pPr>
        <w:ind w:left="340"/>
        <w:rPr>
          <w:rFonts w:ascii="Verdana" w:hAnsi="Verdana"/>
          <w:i/>
          <w:sz w:val="18"/>
          <w:szCs w:val="18"/>
        </w:rPr>
      </w:pPr>
      <w:r w:rsidRPr="00EC75B7">
        <w:rPr>
          <w:rFonts w:ascii="Verdana" w:hAnsi="Verdana"/>
          <w:i/>
          <w:color w:val="009DEF"/>
          <w:sz w:val="18"/>
          <w:szCs w:val="18"/>
        </w:rPr>
        <w:t>Source: National GHG Inventory Report</w:t>
      </w:r>
      <w:r w:rsidRPr="00EC75B7">
        <w:rPr>
          <w:rFonts w:ascii="Verdana" w:hAnsi="Verdana"/>
          <w:i/>
          <w:color w:val="009DEF"/>
          <w:spacing w:val="-4"/>
          <w:sz w:val="18"/>
          <w:szCs w:val="18"/>
        </w:rPr>
        <w:t xml:space="preserve"> 2021</w:t>
      </w:r>
    </w:p>
    <w:p w14:paraId="385AF5BF" w14:textId="77777777" w:rsidR="008715BE" w:rsidRPr="00EC75B7" w:rsidRDefault="00000000">
      <w:pPr>
        <w:spacing w:before="170"/>
        <w:ind w:left="281" w:right="367"/>
        <w:jc w:val="center"/>
        <w:rPr>
          <w:rFonts w:ascii="Verdana" w:hAnsi="Verdana"/>
          <w:b/>
          <w:sz w:val="18"/>
          <w:szCs w:val="18"/>
        </w:rPr>
      </w:pPr>
      <w:r w:rsidRPr="00EC75B7">
        <w:rPr>
          <w:rFonts w:ascii="Verdana" w:hAnsi="Verdana"/>
          <w:b/>
          <w:color w:val="009DEF"/>
          <w:spacing w:val="-2"/>
          <w:sz w:val="18"/>
          <w:szCs w:val="18"/>
        </w:rPr>
        <w:t xml:space="preserve">Figure 68 Share of main sources of GHG emissions in 2021, </w:t>
      </w:r>
      <w:r w:rsidRPr="00EC75B7">
        <w:rPr>
          <w:rFonts w:ascii="Verdana" w:hAnsi="Verdana"/>
          <w:b/>
          <w:color w:val="009DEF"/>
          <w:spacing w:val="-10"/>
          <w:sz w:val="18"/>
          <w:szCs w:val="18"/>
        </w:rPr>
        <w:t>%</w:t>
      </w:r>
    </w:p>
    <w:p w14:paraId="1492694C" w14:textId="77777777" w:rsidR="008715BE" w:rsidRPr="00EC75B7" w:rsidRDefault="008715BE">
      <w:pPr>
        <w:pStyle w:val="BodyText"/>
        <w:spacing w:before="17"/>
        <w:rPr>
          <w:rFonts w:ascii="Verdana" w:hAnsi="Verdana"/>
          <w:b/>
        </w:rPr>
      </w:pPr>
    </w:p>
    <w:p w14:paraId="4FDE31F8" w14:textId="77777777" w:rsidR="008715BE" w:rsidRPr="00EC75B7" w:rsidRDefault="00000000">
      <w:pPr>
        <w:pStyle w:val="BodyText"/>
        <w:ind w:left="340"/>
        <w:rPr>
          <w:rFonts w:ascii="Verdana" w:hAnsi="Verdana"/>
        </w:rPr>
      </w:pPr>
      <w:r w:rsidRPr="00EC75B7">
        <w:rPr>
          <w:rFonts w:ascii="Verdana" w:hAnsi="Verdana"/>
          <w:noProof/>
        </w:rPr>
        <mc:AlternateContent>
          <mc:Choice Requires="wps">
            <w:drawing>
              <wp:anchor distT="0" distB="0" distL="0" distR="0" simplePos="0" relativeHeight="251720704" behindDoc="1" locked="0" layoutInCell="1" allowOverlap="1" wp14:anchorId="7A736D67" wp14:editId="393905EC">
                <wp:simplePos x="0" y="0"/>
                <wp:positionH relativeFrom="page">
                  <wp:posOffset>4623180</wp:posOffset>
                </wp:positionH>
                <wp:positionV relativeFrom="paragraph">
                  <wp:posOffset>101971</wp:posOffset>
                </wp:positionV>
                <wp:extent cx="17780" cy="12700"/>
                <wp:effectExtent l="0" t="0" r="0" b="0"/>
                <wp:wrapNone/>
                <wp:docPr id="560" name="Textbox 56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860E1D6" w14:textId="77777777" w:rsidR="008715BE" w:rsidRDefault="00000000">
                            <w:pPr>
                              <w:spacing w:line="19" w:lineRule="exact"/>
                              <w:rPr>
                                <w:sz w:val="2"/>
                              </w:rPr>
                            </w:pPr>
                            <w:r>
                              <w:rPr>
                                <w:spacing w:val="-5"/>
                                <w:sz w:val="1"/>
                              </w:rPr>
                              <w:t>42F</w:t>
                            </w:r>
                          </w:p>
                        </w:txbxContent>
                      </wps:txbx>
                      <wps:bodyPr wrap="square" lIns="0" tIns="0" rIns="0" bIns="0" rtlCol="0"/>
                    </wps:wsp>
                  </a:graphicData>
                </a:graphic>
              </wp:anchor>
            </w:drawing>
          </mc:Choice>
          <mc:Fallback>
            <w:pict>
              <v:shape w14:anchorId="7A736D67" id="Textbox 560" o:spid="_x0000_s1324" type="#_x0000_t202" style="position:absolute;left:0;text-align:left;margin-left:364.05pt;margin-top:8.05pt;width:1.4pt;height:1pt;z-index:-2515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" filled="f" stroked="f">
                <v:textbox inset="0,0,0,0">
                  <w:txbxContent>
                    <w:p w14:paraId="3860E1D6" w14:textId="77777777" w:rsidR="008715BE" w:rsidRDefault="00000000">
                      <w:pPr>
                        <w:spacing w:line="19" w:lineRule="exact"/>
                        <w:rPr>
                          <w:sz w:val="2"/>
                        </w:rPr>
                      </w:pPr>
                      <w:r>
                        <w:rPr>
                          <w:spacing w:val="-5"/>
                          <w:sz w:val="1"/>
                        </w:rPr>
                        <w:t>42F</w:t>
                      </w:r>
                    </w:p>
                  </w:txbxContent>
                </v:textbox>
                <w10:wrap anchorx="page"/>
              </v:shape>
            </w:pict>
          </mc:Fallback>
        </mc:AlternateContent>
      </w:r>
      <w:r w:rsidRPr="00EC75B7">
        <w:rPr>
          <w:rFonts w:ascii="Verdana" w:hAnsi="Verdana"/>
        </w:rPr>
        <w:t xml:space="preserve">The National Report on the State and Protection of the Environment in Bulgaria </w:t>
      </w:r>
      <w:r w:rsidRPr="00EC75B7">
        <w:rPr>
          <w:rFonts w:ascii="Verdana" w:hAnsi="Verdana"/>
          <w:position w:val="6"/>
        </w:rPr>
        <w:t>30</w:t>
      </w:r>
      <w:r w:rsidRPr="00EC75B7">
        <w:rPr>
          <w:rFonts w:ascii="Verdana" w:hAnsi="Verdana"/>
        </w:rPr>
        <w:t xml:space="preserve">presents the following aspects </w:t>
      </w:r>
      <w:r w:rsidRPr="00EC75B7">
        <w:rPr>
          <w:rFonts w:ascii="Verdana" w:hAnsi="Verdana"/>
          <w:spacing w:val="-2"/>
        </w:rPr>
        <w:t>regarding</w:t>
      </w:r>
    </w:p>
    <w:p w14:paraId="1A2FDB20" w14:textId="77777777" w:rsidR="008715BE" w:rsidRPr="00EC75B7" w:rsidRDefault="00000000">
      <w:pPr>
        <w:pStyle w:val="BodyText"/>
        <w:spacing w:before="110"/>
        <w:ind w:left="340"/>
        <w:rPr>
          <w:rFonts w:ascii="Verdana" w:hAnsi="Verdana"/>
        </w:rPr>
      </w:pPr>
      <w:r w:rsidRPr="00EC75B7">
        <w:rPr>
          <w:rFonts w:ascii="Verdana" w:hAnsi="Verdana"/>
          <w:spacing w:val="-2"/>
        </w:rPr>
        <w:t xml:space="preserve">climate </w:t>
      </w:r>
      <w:r w:rsidRPr="00EC75B7">
        <w:rPr>
          <w:rFonts w:ascii="Verdana" w:hAnsi="Verdana"/>
        </w:rPr>
        <w:t>factors</w:t>
      </w:r>
      <w:r w:rsidRPr="00EC75B7">
        <w:rPr>
          <w:rFonts w:ascii="Verdana" w:hAnsi="Verdana"/>
          <w:spacing w:val="-2"/>
        </w:rPr>
        <w:t>:</w:t>
      </w:r>
    </w:p>
    <w:p w14:paraId="38F620E9" w14:textId="77777777" w:rsidR="008715BE" w:rsidRPr="00EC75B7" w:rsidRDefault="008715BE">
      <w:pPr>
        <w:pStyle w:val="BodyText"/>
        <w:spacing w:before="9"/>
        <w:rPr>
          <w:rFonts w:ascii="Verdana" w:hAnsi="Verdana"/>
        </w:rPr>
      </w:pPr>
    </w:p>
    <w:p w14:paraId="55594CA8" w14:textId="77777777" w:rsidR="008715BE" w:rsidRPr="00EC75B7" w:rsidRDefault="00000000">
      <w:pPr>
        <w:pStyle w:val="ListParagraph"/>
        <w:numPr>
          <w:ilvl w:val="0"/>
          <w:numId w:val="28"/>
        </w:numPr>
        <w:tabs>
          <w:tab w:val="left" w:pos="1060"/>
        </w:tabs>
        <w:spacing w:line="357" w:lineRule="auto"/>
        <w:ind w:right="709"/>
        <w:rPr>
          <w:rFonts w:ascii="Verdana" w:hAnsi="Verdana"/>
          <w:sz w:val="18"/>
          <w:szCs w:val="18"/>
        </w:rPr>
      </w:pPr>
      <w:r w:rsidRPr="00EC75B7">
        <w:rPr>
          <w:rFonts w:ascii="Verdana" w:hAnsi="Verdana"/>
          <w:b/>
          <w:sz w:val="18"/>
          <w:szCs w:val="18"/>
        </w:rPr>
        <w:t xml:space="preserve">average annual temperature </w:t>
      </w:r>
      <w:r w:rsidRPr="00EC75B7">
        <w:rPr>
          <w:rFonts w:ascii="Verdana" w:hAnsi="Verdana"/>
          <w:sz w:val="18"/>
          <w:szCs w:val="18"/>
        </w:rPr>
        <w:t>- between 1988 and 2021, the average annual air temperature for the lower part of the country fluctuates between 10.6°C and 13.3°C, as shown in the graph below</w:t>
      </w:r>
    </w:p>
    <w:p w14:paraId="5DDEA3D8" w14:textId="77777777" w:rsidR="008715BE" w:rsidRPr="00EC75B7" w:rsidRDefault="00000000">
      <w:pPr>
        <w:pStyle w:val="BodyText"/>
        <w:spacing w:before="1"/>
        <w:rPr>
          <w:rFonts w:ascii="Verdana" w:hAnsi="Verdana"/>
        </w:rPr>
      </w:pPr>
      <w:r w:rsidRPr="00EC75B7">
        <w:rPr>
          <w:rFonts w:ascii="Verdana" w:hAnsi="Verdana"/>
          <w:noProof/>
        </w:rPr>
        <w:drawing>
          <wp:anchor distT="0" distB="0" distL="0" distR="0" simplePos="0" relativeHeight="251834368" behindDoc="1" locked="0" layoutInCell="1" allowOverlap="1" wp14:anchorId="5BA5122A" wp14:editId="66B6B085">
            <wp:simplePos x="0" y="0"/>
            <wp:positionH relativeFrom="page">
              <wp:posOffset>952677</wp:posOffset>
            </wp:positionH>
            <wp:positionV relativeFrom="paragraph">
              <wp:posOffset>70579</wp:posOffset>
            </wp:positionV>
            <wp:extent cx="5442081" cy="2149125"/>
            <wp:effectExtent l="0" t="0" r="0" b="0"/>
            <wp:wrapTopAndBottom/>
            <wp:docPr id="561" name="Image 561" descr="P6588#yIS1"/>
            <wp:cNvGraphicFramePr/>
            <a:graphic xmlns:a="http://schemas.openxmlformats.org/drawingml/2006/main">
              <a:graphicData uri="http://schemas.openxmlformats.org/drawingml/2006/picture">
                <pic:pic xmlns:pic="http://schemas.openxmlformats.org/drawingml/2006/picture">
                  <pic:nvPicPr>
                    <pic:cNvPr id="561" name="Image 561" descr="P6588#yIS1"/>
                    <pic:cNvPicPr/>
                  </pic:nvPicPr>
                  <pic:blipFill>
                    <a:blip r:embed="rId273" cstate="print"/>
                    <a:stretch>
                      <a:fillRect/>
                    </a:stretch>
                  </pic:blipFill>
                  <pic:spPr>
                    <a:xfrm>
                      <a:off x="0" y="0"/>
                      <a:ext cx="5442081" cy="2149125"/>
                    </a:xfrm>
                    <a:prstGeom prst="rect">
                      <a:avLst/>
                    </a:prstGeom>
                  </pic:spPr>
                </pic:pic>
              </a:graphicData>
            </a:graphic>
          </wp:anchor>
        </w:drawing>
      </w:r>
    </w:p>
    <w:p w14:paraId="41407501" w14:textId="77777777" w:rsidR="008715BE" w:rsidRPr="00EC75B7" w:rsidRDefault="008715BE">
      <w:pPr>
        <w:pStyle w:val="BodyText"/>
        <w:rPr>
          <w:rFonts w:ascii="Verdana" w:hAnsi="Verdana"/>
        </w:rPr>
      </w:pPr>
    </w:p>
    <w:p w14:paraId="60D5718A" w14:textId="77777777" w:rsidR="008715BE" w:rsidRPr="00EC75B7" w:rsidRDefault="008715BE">
      <w:pPr>
        <w:pStyle w:val="BodyText"/>
        <w:spacing w:before="22"/>
        <w:rPr>
          <w:rFonts w:ascii="Verdana" w:hAnsi="Verdana"/>
        </w:rPr>
      </w:pPr>
    </w:p>
    <w:p w14:paraId="7771B497" w14:textId="77777777" w:rsidR="008715BE" w:rsidRPr="00EC75B7" w:rsidRDefault="00000000">
      <w:pPr>
        <w:ind w:left="340"/>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4"/>
          <w:sz w:val="18"/>
          <w:szCs w:val="18"/>
        </w:rPr>
        <w:t>NIMH</w:t>
      </w:r>
    </w:p>
    <w:p w14:paraId="6029EF8D" w14:textId="77777777" w:rsidR="008715BE" w:rsidRPr="00EC75B7" w:rsidRDefault="00000000">
      <w:pPr>
        <w:spacing w:before="170"/>
        <w:ind w:left="284" w:right="367"/>
        <w:jc w:val="center"/>
        <w:rPr>
          <w:rFonts w:ascii="Verdana" w:hAnsi="Verdana"/>
          <w:b/>
          <w:sz w:val="18"/>
          <w:szCs w:val="18"/>
        </w:rPr>
      </w:pPr>
      <w:r w:rsidRPr="00EC75B7">
        <w:rPr>
          <w:rFonts w:ascii="Verdana" w:hAnsi="Verdana"/>
          <w:b/>
          <w:color w:val="009DEF"/>
          <w:sz w:val="18"/>
          <w:szCs w:val="18"/>
        </w:rPr>
        <w:t>Figure 69 Fluctuations in average annual air temperature (oC) between</w:t>
      </w:r>
      <w:r w:rsidRPr="00EC75B7">
        <w:rPr>
          <w:rFonts w:ascii="Verdana" w:hAnsi="Verdana"/>
          <w:b/>
          <w:color w:val="009DEF"/>
          <w:spacing w:val="-4"/>
          <w:sz w:val="18"/>
          <w:szCs w:val="18"/>
        </w:rPr>
        <w:t xml:space="preserve"> 1988 and 2021</w:t>
      </w:r>
    </w:p>
    <w:p w14:paraId="43D7E73D" w14:textId="77777777" w:rsidR="008715BE" w:rsidRPr="00EC75B7" w:rsidRDefault="00000000">
      <w:pPr>
        <w:pStyle w:val="BodyText"/>
        <w:spacing w:before="215" w:line="360" w:lineRule="auto"/>
        <w:ind w:left="333" w:right="1049"/>
        <w:rPr>
          <w:rFonts w:ascii="Verdana" w:hAnsi="Verdana"/>
        </w:rPr>
      </w:pPr>
      <w:r w:rsidRPr="00EC75B7">
        <w:rPr>
          <w:rFonts w:ascii="Verdana" w:hAnsi="Verdana"/>
        </w:rPr>
        <w:t>In 2021, the average annual temperature for the lower part of the country was 12.3 °C, which is 0.3 °C above normal. This is the thirteenth warmest year in the period 1988-2021, and January is the fifth warmest since 1930 – an average of 2.5 °C above the monthly norm (from +1.2 °C in the village of Kostenets to +3.7 °C in Ruse).</w:t>
      </w:r>
    </w:p>
    <w:p w14:paraId="4CCEE208" w14:textId="77777777" w:rsidR="008715BE" w:rsidRPr="00EC75B7" w:rsidRDefault="008715BE">
      <w:pPr>
        <w:pStyle w:val="BodyText"/>
        <w:spacing w:line="360" w:lineRule="auto"/>
        <w:rPr>
          <w:rFonts w:ascii="Verdana" w:hAnsi="Verdana"/>
        </w:rPr>
        <w:sectPr w:rsidR="008715BE" w:rsidRPr="00EC75B7">
          <w:headerReference w:type="default" r:id="rId274"/>
          <w:footerReference w:type="default" r:id="rId275"/>
          <w:pgSz w:w="11910" w:h="16840"/>
          <w:pgMar w:top="1320" w:right="283" w:bottom="1220" w:left="850" w:header="766" w:footer="1025" w:gutter="0"/>
          <w:cols w:space="708"/>
        </w:sectPr>
      </w:pPr>
    </w:p>
    <w:p w14:paraId="37C222B3" w14:textId="77777777" w:rsidR="008715BE" w:rsidRPr="00EC75B7" w:rsidRDefault="008715BE">
      <w:pPr>
        <w:pStyle w:val="BodyText"/>
        <w:spacing w:before="4"/>
        <w:rPr>
          <w:rFonts w:ascii="Verdana" w:hAnsi="Verdana"/>
        </w:rPr>
      </w:pPr>
    </w:p>
    <w:p w14:paraId="2DBA060B" w14:textId="77777777" w:rsidR="008715BE" w:rsidRPr="00EC75B7" w:rsidRDefault="00000000">
      <w:pPr>
        <w:ind w:left="1752"/>
        <w:rPr>
          <w:rFonts w:ascii="Verdana" w:hAnsi="Verdana"/>
          <w:sz w:val="18"/>
          <w:szCs w:val="18"/>
        </w:rPr>
      </w:pPr>
      <w:r w:rsidRPr="00EC75B7">
        <w:rPr>
          <w:rFonts w:ascii="Verdana" w:hAnsi="Verdana"/>
          <w:noProof/>
          <w:sz w:val="18"/>
          <w:szCs w:val="18"/>
        </w:rPr>
        <w:drawing>
          <wp:inline distT="0" distB="0" distL="0" distR="0" wp14:anchorId="099EC14D" wp14:editId="2A6A586D">
            <wp:extent cx="4409031" cy="2568321"/>
            <wp:effectExtent l="0" t="0" r="0" b="0"/>
            <wp:docPr id="565" name="Image 565" descr="P6594#yIS1"/>
            <wp:cNvGraphicFramePr/>
            <a:graphic xmlns:a="http://schemas.openxmlformats.org/drawingml/2006/main">
              <a:graphicData uri="http://schemas.openxmlformats.org/drawingml/2006/picture">
                <pic:pic xmlns:pic="http://schemas.openxmlformats.org/drawingml/2006/picture">
                  <pic:nvPicPr>
                    <pic:cNvPr id="565" name="Image 565" descr="P6594#yIS1"/>
                    <pic:cNvPicPr/>
                  </pic:nvPicPr>
                  <pic:blipFill>
                    <a:blip r:embed="rId276" cstate="print"/>
                    <a:stretch>
                      <a:fillRect/>
                    </a:stretch>
                  </pic:blipFill>
                  <pic:spPr>
                    <a:xfrm>
                      <a:off x="0" y="0"/>
                      <a:ext cx="4409031" cy="2568321"/>
                    </a:xfrm>
                    <a:prstGeom prst="rect">
                      <a:avLst/>
                    </a:prstGeom>
                  </pic:spPr>
                </pic:pic>
              </a:graphicData>
            </a:graphic>
          </wp:inline>
        </w:drawing>
      </w:r>
    </w:p>
    <w:p w14:paraId="5486A5BE" w14:textId="77777777" w:rsidR="008715BE" w:rsidRPr="00EC75B7" w:rsidRDefault="00000000">
      <w:pPr>
        <w:spacing w:before="80"/>
        <w:ind w:left="340"/>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4"/>
          <w:sz w:val="18"/>
          <w:szCs w:val="18"/>
        </w:rPr>
        <w:t>NIMH</w:t>
      </w:r>
    </w:p>
    <w:p w14:paraId="4C914A61" w14:textId="77777777" w:rsidR="008715BE" w:rsidRPr="00EC75B7" w:rsidRDefault="00000000">
      <w:pPr>
        <w:spacing w:before="170"/>
        <w:ind w:left="276" w:right="367"/>
        <w:jc w:val="center"/>
        <w:rPr>
          <w:rFonts w:ascii="Verdana" w:hAnsi="Verdana"/>
          <w:b/>
          <w:sz w:val="18"/>
          <w:szCs w:val="18"/>
        </w:rPr>
      </w:pPr>
      <w:r w:rsidRPr="00EC75B7">
        <w:rPr>
          <w:rFonts w:ascii="Verdana" w:hAnsi="Verdana"/>
          <w:b/>
          <w:color w:val="009DEF"/>
          <w:sz w:val="18"/>
          <w:szCs w:val="18"/>
        </w:rPr>
        <w:t xml:space="preserve">Figure 70 Deviations of the average annual air temperature (°C) in 2021 from the </w:t>
      </w:r>
      <w:r w:rsidRPr="00EC75B7">
        <w:rPr>
          <w:rFonts w:ascii="Verdana" w:hAnsi="Verdana"/>
          <w:b/>
          <w:color w:val="009DEF"/>
          <w:spacing w:val="-2"/>
          <w:sz w:val="18"/>
          <w:szCs w:val="18"/>
        </w:rPr>
        <w:t xml:space="preserve">climate </w:t>
      </w:r>
      <w:r w:rsidRPr="00EC75B7">
        <w:rPr>
          <w:rFonts w:ascii="Verdana" w:hAnsi="Verdana"/>
          <w:b/>
          <w:color w:val="009DEF"/>
          <w:sz w:val="18"/>
          <w:szCs w:val="18"/>
        </w:rPr>
        <w:t>norm</w:t>
      </w:r>
    </w:p>
    <w:p w14:paraId="7CDF5BB4" w14:textId="77777777" w:rsidR="008715BE" w:rsidRPr="00EC75B7" w:rsidRDefault="00000000">
      <w:pPr>
        <w:spacing w:before="95"/>
        <w:ind w:right="367"/>
        <w:jc w:val="center"/>
        <w:rPr>
          <w:rFonts w:ascii="Verdana" w:hAnsi="Verdana"/>
          <w:b/>
          <w:sz w:val="18"/>
          <w:szCs w:val="18"/>
        </w:rPr>
      </w:pPr>
      <w:r w:rsidRPr="00EC75B7">
        <w:rPr>
          <w:rFonts w:ascii="Verdana" w:hAnsi="Verdana"/>
          <w:b/>
          <w:color w:val="009DEF"/>
          <w:sz w:val="18"/>
          <w:szCs w:val="18"/>
        </w:rPr>
        <w:t>for the period</w:t>
      </w:r>
      <w:r w:rsidRPr="00EC75B7">
        <w:rPr>
          <w:rFonts w:ascii="Verdana" w:hAnsi="Verdana"/>
          <w:b/>
          <w:color w:val="009DEF"/>
          <w:spacing w:val="-4"/>
          <w:sz w:val="18"/>
          <w:szCs w:val="18"/>
        </w:rPr>
        <w:t xml:space="preserve"> 1991-2020</w:t>
      </w:r>
    </w:p>
    <w:p w14:paraId="1FCDFAE2" w14:textId="77777777" w:rsidR="008715BE" w:rsidRPr="00EC75B7" w:rsidRDefault="008715BE">
      <w:pPr>
        <w:pStyle w:val="BodyText"/>
        <w:spacing w:before="22"/>
        <w:rPr>
          <w:rFonts w:ascii="Verdana" w:hAnsi="Verdana"/>
          <w:b/>
        </w:rPr>
      </w:pPr>
    </w:p>
    <w:p w14:paraId="3C1E788F" w14:textId="318A03A8" w:rsidR="008715BE" w:rsidRPr="00EC75B7" w:rsidRDefault="002A4F7C">
      <w:pPr>
        <w:pStyle w:val="ListParagraph"/>
        <w:numPr>
          <w:ilvl w:val="0"/>
          <w:numId w:val="28"/>
        </w:numPr>
        <w:tabs>
          <w:tab w:val="left" w:pos="1060"/>
        </w:tabs>
        <w:spacing w:line="357" w:lineRule="auto"/>
        <w:ind w:right="709"/>
        <w:jc w:val="both"/>
        <w:rPr>
          <w:rFonts w:ascii="Verdana" w:hAnsi="Verdana"/>
          <w:sz w:val="18"/>
          <w:szCs w:val="18"/>
        </w:rPr>
      </w:pPr>
      <w:r w:rsidRPr="00EC75B7">
        <w:rPr>
          <w:rFonts w:ascii="Verdana" w:hAnsi="Verdana"/>
          <w:noProof/>
        </w:rPr>
        <w:drawing>
          <wp:anchor distT="0" distB="0" distL="0" distR="0" simplePos="0" relativeHeight="251835392" behindDoc="1" locked="0" layoutInCell="1" allowOverlap="1" wp14:anchorId="4CCF22F1" wp14:editId="213FC41A">
            <wp:simplePos x="0" y="0"/>
            <wp:positionH relativeFrom="page">
              <wp:posOffset>1418590</wp:posOffset>
            </wp:positionH>
            <wp:positionV relativeFrom="paragraph">
              <wp:posOffset>897255</wp:posOffset>
            </wp:positionV>
            <wp:extent cx="4834890" cy="2474595"/>
            <wp:effectExtent l="0" t="0" r="3810" b="1905"/>
            <wp:wrapTopAndBottom/>
            <wp:docPr id="566" name="Image 566" descr="P6599#yIS1"/>
            <wp:cNvGraphicFramePr/>
            <a:graphic xmlns:a="http://schemas.openxmlformats.org/drawingml/2006/main">
              <a:graphicData uri="http://schemas.openxmlformats.org/drawingml/2006/picture">
                <pic:pic xmlns:pic="http://schemas.openxmlformats.org/drawingml/2006/picture">
                  <pic:nvPicPr>
                    <pic:cNvPr id="566" name="Image 566" descr="P6599#yIS1"/>
                    <pic:cNvPicPr/>
                  </pic:nvPicPr>
                  <pic:blipFill>
                    <a:blip r:embed="rId277" cstate="print"/>
                    <a:stretch>
                      <a:fillRect/>
                    </a:stretch>
                  </pic:blipFill>
                  <pic:spPr>
                    <a:xfrm>
                      <a:off x="0" y="0"/>
                      <a:ext cx="4834890" cy="2474595"/>
                    </a:xfrm>
                    <a:prstGeom prst="rect">
                      <a:avLst/>
                    </a:prstGeom>
                  </pic:spPr>
                </pic:pic>
              </a:graphicData>
            </a:graphic>
            <wp14:sizeRelH relativeFrom="margin">
              <wp14:pctWidth>0</wp14:pctWidth>
            </wp14:sizeRelH>
            <wp14:sizeRelV relativeFrom="margin">
              <wp14:pctHeight>0</wp14:pctHeight>
            </wp14:sizeRelV>
          </wp:anchor>
        </w:drawing>
      </w:r>
      <w:r w:rsidRPr="00EC75B7">
        <w:rPr>
          <w:rFonts w:ascii="Verdana" w:hAnsi="Verdana"/>
          <w:b/>
          <w:sz w:val="18"/>
          <w:szCs w:val="18"/>
        </w:rPr>
        <w:t xml:space="preserve">The average annual precipitation </w:t>
      </w:r>
      <w:r w:rsidRPr="00EC75B7">
        <w:rPr>
          <w:rFonts w:ascii="Verdana" w:hAnsi="Verdana"/>
          <w:sz w:val="18"/>
          <w:szCs w:val="18"/>
        </w:rPr>
        <w:t>for the period 1988-2021 for regions with an altitude of up to 800 m varies between 377 mm and 1013 mm, while maintaining the positive trend of this indicator (+4.2 mm/year). In 2021, the average annual precipitation was 741 mm, which is about 20% above the norm for the period 1991-2020.</w:t>
      </w:r>
    </w:p>
    <w:p w14:paraId="7803D239" w14:textId="0B8CBF0D" w:rsidR="008715BE" w:rsidRPr="00EC75B7" w:rsidRDefault="008715BE">
      <w:pPr>
        <w:pStyle w:val="BodyText"/>
        <w:spacing w:before="4"/>
        <w:rPr>
          <w:rFonts w:ascii="Verdana" w:hAnsi="Verdana"/>
        </w:rPr>
      </w:pPr>
    </w:p>
    <w:p w14:paraId="45A4D176" w14:textId="77777777" w:rsidR="008715BE" w:rsidRPr="00EC75B7" w:rsidRDefault="00000000">
      <w:pPr>
        <w:spacing w:before="62"/>
        <w:ind w:left="340"/>
        <w:rPr>
          <w:rFonts w:ascii="Verdana" w:hAnsi="Verdana"/>
          <w:i/>
          <w:sz w:val="18"/>
          <w:szCs w:val="18"/>
        </w:rPr>
      </w:pPr>
      <w:r w:rsidRPr="00EC75B7">
        <w:rPr>
          <w:rFonts w:ascii="Verdana" w:hAnsi="Verdana"/>
          <w:i/>
          <w:color w:val="009DEF"/>
          <w:sz w:val="18"/>
          <w:szCs w:val="18"/>
        </w:rPr>
        <w:t xml:space="preserve">Source: </w:t>
      </w:r>
      <w:r w:rsidRPr="00EC75B7">
        <w:rPr>
          <w:rFonts w:ascii="Verdana" w:hAnsi="Verdana"/>
          <w:i/>
          <w:color w:val="009DEF"/>
          <w:spacing w:val="-4"/>
          <w:sz w:val="18"/>
          <w:szCs w:val="18"/>
        </w:rPr>
        <w:t>NIMH</w:t>
      </w:r>
    </w:p>
    <w:p w14:paraId="5F048657" w14:textId="77777777" w:rsidR="008715BE" w:rsidRPr="00EC75B7" w:rsidRDefault="00000000">
      <w:pPr>
        <w:spacing w:before="170" w:line="360" w:lineRule="auto"/>
        <w:ind w:left="3509" w:right="876" w:hanging="2725"/>
        <w:jc w:val="both"/>
        <w:rPr>
          <w:rFonts w:ascii="Verdana" w:hAnsi="Verdana"/>
          <w:b/>
          <w:sz w:val="18"/>
          <w:szCs w:val="18"/>
        </w:rPr>
      </w:pPr>
      <w:r w:rsidRPr="00EC75B7">
        <w:rPr>
          <w:rFonts w:ascii="Verdana" w:hAnsi="Verdana"/>
          <w:b/>
          <w:color w:val="009DEF"/>
          <w:sz w:val="18"/>
          <w:szCs w:val="18"/>
        </w:rPr>
        <w:t>Figure 71 Fluctuations in average annual precipitation (mm) for regions with an altitude of up to 800 m in the period 1988-2021</w:t>
      </w:r>
    </w:p>
    <w:p w14:paraId="4BA295B7" w14:textId="77777777" w:rsidR="008715BE" w:rsidRPr="00EC75B7" w:rsidRDefault="00000000">
      <w:pPr>
        <w:pStyle w:val="ListParagraph"/>
        <w:numPr>
          <w:ilvl w:val="0"/>
          <w:numId w:val="28"/>
        </w:numPr>
        <w:tabs>
          <w:tab w:val="left" w:pos="1060"/>
        </w:tabs>
        <w:spacing w:before="118" w:line="360" w:lineRule="auto"/>
        <w:ind w:right="704"/>
        <w:jc w:val="both"/>
        <w:rPr>
          <w:rFonts w:ascii="Verdana" w:hAnsi="Verdana"/>
          <w:sz w:val="18"/>
          <w:szCs w:val="18"/>
        </w:rPr>
      </w:pPr>
      <w:r w:rsidRPr="00EC75B7">
        <w:rPr>
          <w:rFonts w:ascii="Verdana" w:hAnsi="Verdana"/>
          <w:b/>
          <w:sz w:val="18"/>
          <w:szCs w:val="18"/>
        </w:rPr>
        <w:t xml:space="preserve">Snow - </w:t>
      </w:r>
      <w:r w:rsidRPr="00EC75B7">
        <w:rPr>
          <w:rFonts w:ascii="Verdana" w:hAnsi="Verdana"/>
          <w:sz w:val="18"/>
          <w:szCs w:val="18"/>
        </w:rPr>
        <w:t>during the period 1988-2021, there was no significant downward trend in fluctuations in the average maximum snow depth in areas with an altitude between 800 and 1800 m. The value for 2021 is 43 cm – below the average for the period 1991-2020.</w:t>
      </w:r>
    </w:p>
    <w:p w14:paraId="37566CB7" w14:textId="77777777" w:rsidR="008715BE" w:rsidRPr="00EC75B7" w:rsidRDefault="00000000">
      <w:pPr>
        <w:pStyle w:val="BodyText"/>
        <w:spacing w:line="360" w:lineRule="auto"/>
        <w:ind w:left="1053" w:right="1011"/>
        <w:jc w:val="both"/>
        <w:rPr>
          <w:rFonts w:ascii="Verdana" w:hAnsi="Verdana"/>
        </w:rPr>
      </w:pPr>
      <w:r w:rsidRPr="00EC75B7">
        <w:rPr>
          <w:rFonts w:ascii="Verdana" w:hAnsi="Verdana"/>
          <w:b/>
        </w:rPr>
        <w:t xml:space="preserve">Climate phenomena - </w:t>
      </w:r>
      <w:r w:rsidRPr="00EC75B7">
        <w:rPr>
          <w:rFonts w:ascii="Verdana" w:hAnsi="Verdana"/>
        </w:rPr>
        <w:t>Between January 8 and 12, 2021, torrential and river flooding was recorded, mainly in western and southeastern Bulgaria, due to heavy rainfall, combined in some places with snowmelt. In the districts of Sofia, Blagoevgrad, Yambol, and Burgas, the amount of rainfall over 72 hours exceeded the monthly norm by three times. A state of disaster due to</w:t>
      </w:r>
    </w:p>
    <w:p w14:paraId="09957D27" w14:textId="77777777" w:rsidR="008715BE" w:rsidRPr="00EC75B7" w:rsidRDefault="008715BE">
      <w:pPr>
        <w:pStyle w:val="BodyText"/>
        <w:spacing w:line="360" w:lineRule="auto"/>
        <w:jc w:val="both"/>
        <w:rPr>
          <w:rFonts w:ascii="Verdana" w:hAnsi="Verdana"/>
        </w:rPr>
        <w:sectPr w:rsidR="008715BE" w:rsidRPr="00EC75B7">
          <w:headerReference w:type="default" r:id="rId278"/>
          <w:footerReference w:type="default" r:id="rId279"/>
          <w:pgSz w:w="11910" w:h="16840"/>
          <w:pgMar w:top="1320" w:right="283" w:bottom="1020" w:left="850" w:header="766" w:footer="824" w:gutter="0"/>
          <w:pgNumType w:start="269"/>
          <w:cols w:space="708"/>
        </w:sectPr>
      </w:pPr>
    </w:p>
    <w:p w14:paraId="46EEFE62" w14:textId="77777777" w:rsidR="008715BE" w:rsidRPr="00EC75B7" w:rsidRDefault="00000000">
      <w:pPr>
        <w:pStyle w:val="BodyText"/>
        <w:spacing w:before="102"/>
        <w:ind w:left="1053"/>
        <w:rPr>
          <w:rFonts w:ascii="Verdana" w:hAnsi="Verdana"/>
        </w:rPr>
      </w:pPr>
      <w:r w:rsidRPr="00EC75B7">
        <w:rPr>
          <w:rFonts w:ascii="Verdana" w:hAnsi="Verdana"/>
        </w:rPr>
        <w:lastRenderedPageBreak/>
        <w:t xml:space="preserve">flooding, destroyed bridges, and broken roads was declared in eight districts. </w:t>
      </w:r>
      <w:r w:rsidRPr="00EC75B7">
        <w:rPr>
          <w:rFonts w:ascii="Verdana" w:hAnsi="Verdana"/>
          <w:spacing w:val="-2"/>
        </w:rPr>
        <w:t>Heavy snowfall</w:t>
      </w:r>
    </w:p>
    <w:p w14:paraId="59A1DECD" w14:textId="77777777" w:rsidR="008715BE" w:rsidRPr="00EC75B7" w:rsidRDefault="00000000">
      <w:pPr>
        <w:pStyle w:val="BodyText"/>
        <w:spacing w:before="109"/>
        <w:ind w:left="1053"/>
        <w:rPr>
          <w:rFonts w:ascii="Verdana" w:hAnsi="Verdana"/>
        </w:rPr>
      </w:pPr>
      <w:r w:rsidRPr="00EC75B7">
        <w:rPr>
          <w:rFonts w:ascii="Verdana" w:hAnsi="Verdana"/>
        </w:rPr>
        <w:t xml:space="preserve">in northwestern Bulgaria led to power outages in many </w:t>
      </w:r>
      <w:r w:rsidRPr="00EC75B7">
        <w:rPr>
          <w:rFonts w:ascii="Verdana" w:hAnsi="Verdana"/>
          <w:spacing w:val="-2"/>
        </w:rPr>
        <w:t>places.</w:t>
      </w:r>
    </w:p>
    <w:p w14:paraId="31ED3936" w14:textId="77777777" w:rsidR="008715BE" w:rsidRPr="00EC75B7" w:rsidRDefault="008715BE">
      <w:pPr>
        <w:pStyle w:val="BodyText"/>
        <w:spacing w:before="7"/>
        <w:rPr>
          <w:rFonts w:ascii="Verdana" w:hAnsi="Verdana"/>
        </w:rPr>
      </w:pPr>
    </w:p>
    <w:p w14:paraId="74B8A52E" w14:textId="77777777" w:rsidR="008715BE" w:rsidRPr="00EC75B7" w:rsidRDefault="00000000">
      <w:pPr>
        <w:pStyle w:val="BodyText"/>
        <w:spacing w:line="357" w:lineRule="auto"/>
        <w:ind w:left="369" w:right="703"/>
        <w:jc w:val="both"/>
        <w:rPr>
          <w:rFonts w:ascii="Verdana" w:hAnsi="Verdana"/>
        </w:rPr>
      </w:pPr>
      <w:r w:rsidRPr="001A2884">
        <w:rPr>
          <w:rFonts w:ascii="Verdana" w:hAnsi="Verdana"/>
          <w:b/>
          <w:bCs/>
        </w:rPr>
        <w:t>A comprehensive analysis of the construction, operation, and decommissioning phases shows</w:t>
      </w:r>
      <w:r w:rsidRPr="00EC75B7">
        <w:rPr>
          <w:rFonts w:ascii="Verdana" w:hAnsi="Verdana"/>
        </w:rPr>
        <w:t xml:space="preserve"> </w:t>
      </w:r>
      <w:r w:rsidRPr="001A2884">
        <w:rPr>
          <w:rFonts w:ascii="Verdana" w:hAnsi="Verdana"/>
          <w:b/>
          <w:bCs/>
        </w:rPr>
        <w:t>that noise, air quality, water, and other environmental components at the border remain permanently below the limits permitted by European standards, meaning that the project does not pose any significant risks to the population or ecosystems of the neighboring country</w:t>
      </w:r>
      <w:r w:rsidRPr="00EC75B7">
        <w:rPr>
          <w:rFonts w:ascii="Verdana" w:hAnsi="Verdana"/>
        </w:rPr>
        <w:t>.</w:t>
      </w:r>
    </w:p>
    <w:p w14:paraId="6AA5CA5F" w14:textId="77777777" w:rsidR="008715BE" w:rsidRPr="00EC75B7" w:rsidRDefault="00000000">
      <w:pPr>
        <w:pStyle w:val="BodyText"/>
        <w:spacing w:before="123" w:line="357" w:lineRule="auto"/>
        <w:ind w:left="369" w:right="712"/>
        <w:jc w:val="both"/>
        <w:rPr>
          <w:rFonts w:ascii="Verdana" w:hAnsi="Verdana"/>
        </w:rPr>
      </w:pPr>
      <w:r w:rsidRPr="00EC75B7">
        <w:rPr>
          <w:rFonts w:ascii="Verdana" w:hAnsi="Verdana"/>
        </w:rPr>
        <w:t>To clarify the extent to which the operation, construction, and decommissioning of the wind farm may affect the health of the population in the neighboring country, the following paragraphs summarize the results of noise, air, water, and vibration modeling, reported in relation to internationally established safety thresholds and European legislation, as well as the potential associated climate benefits.</w:t>
      </w:r>
    </w:p>
    <w:p w14:paraId="755197AB" w14:textId="77777777" w:rsidR="008715BE" w:rsidRPr="00EC75B7" w:rsidRDefault="00000000">
      <w:pPr>
        <w:pStyle w:val="ListParagraph"/>
        <w:numPr>
          <w:ilvl w:val="0"/>
          <w:numId w:val="27"/>
        </w:numPr>
        <w:tabs>
          <w:tab w:val="left" w:pos="1643"/>
        </w:tabs>
        <w:spacing w:before="123"/>
        <w:ind w:left="1643" w:hanging="1274"/>
        <w:jc w:val="both"/>
        <w:rPr>
          <w:rFonts w:ascii="Verdana" w:hAnsi="Verdana"/>
          <w:sz w:val="18"/>
          <w:szCs w:val="18"/>
        </w:rPr>
      </w:pPr>
      <w:r w:rsidRPr="00EC75B7">
        <w:rPr>
          <w:rFonts w:ascii="Verdana" w:hAnsi="Verdana"/>
          <w:sz w:val="18"/>
          <w:szCs w:val="18"/>
        </w:rPr>
        <w:t xml:space="preserve">Noise and </w:t>
      </w:r>
      <w:r w:rsidRPr="00EC75B7">
        <w:rPr>
          <w:rFonts w:ascii="Verdana" w:hAnsi="Verdana"/>
          <w:spacing w:val="-2"/>
          <w:sz w:val="18"/>
          <w:szCs w:val="18"/>
        </w:rPr>
        <w:t>vibrations</w:t>
      </w:r>
    </w:p>
    <w:p w14:paraId="5634704F" w14:textId="77777777" w:rsidR="008715BE" w:rsidRPr="00EC75B7" w:rsidRDefault="008715BE">
      <w:pPr>
        <w:pStyle w:val="BodyText"/>
        <w:spacing w:before="10"/>
        <w:rPr>
          <w:rFonts w:ascii="Verdana" w:hAnsi="Verdana"/>
        </w:rPr>
      </w:pPr>
    </w:p>
    <w:p w14:paraId="34C563D6" w14:textId="77777777" w:rsidR="008715BE" w:rsidRPr="00EC75B7" w:rsidRDefault="00000000">
      <w:pPr>
        <w:pStyle w:val="BodyText"/>
        <w:spacing w:line="357" w:lineRule="auto"/>
        <w:ind w:left="369" w:right="708"/>
        <w:jc w:val="both"/>
        <w:rPr>
          <w:rFonts w:ascii="Verdana" w:hAnsi="Verdana"/>
        </w:rPr>
      </w:pPr>
      <w:r w:rsidRPr="00EC75B7">
        <w:rPr>
          <w:rFonts w:ascii="Verdana" w:hAnsi="Verdana"/>
        </w:rPr>
        <w:t>Construction/decommissioning. SoundPLANnoise modeling shows that, at the most exposed point of the Romanian localities, the equivalent continuous level reaches ≈ 36 dB(A) – below the limit of 55 dB(A) per day and more than 1 km from the border; the area where 55 dB(A) could be exceeded is limited to &lt; 5 ha, directly on the work front and at a maximum of 300 m from it.</w:t>
      </w:r>
    </w:p>
    <w:p w14:paraId="1393DA1E" w14:textId="77777777" w:rsidR="008715BE" w:rsidRPr="00EC75B7" w:rsidRDefault="00000000">
      <w:pPr>
        <w:pStyle w:val="BodyText"/>
        <w:spacing w:before="124" w:line="357" w:lineRule="auto"/>
        <w:ind w:left="369" w:right="711"/>
        <w:jc w:val="both"/>
        <w:rPr>
          <w:rFonts w:ascii="Verdana" w:hAnsi="Verdana"/>
        </w:rPr>
      </w:pPr>
      <w:r w:rsidRPr="00EC75B7">
        <w:rPr>
          <w:rFonts w:ascii="Verdana" w:hAnsi="Verdana"/>
        </w:rPr>
        <w:t>Operation. After commissioning, the cumulative noise of the 46 turbines is modeled at &lt; 40 dB(A) in villages and 27 dB(A) at the Natura 2000 site BG0000569 "Kardam" in Bulgaria, i.e. +0.2 dB above the natural background and well below the WHO guideline of 40 dB(A) at night. The calculated increase in the nearest households is only 0.008-0.016 dB – clinically imperceptible.</w:t>
      </w:r>
    </w:p>
    <w:p w14:paraId="2A236E6B" w14:textId="77777777" w:rsidR="008715BE" w:rsidRPr="00EC75B7" w:rsidRDefault="00000000">
      <w:pPr>
        <w:pStyle w:val="BodyText"/>
        <w:spacing w:before="123" w:line="357" w:lineRule="auto"/>
        <w:ind w:left="369" w:right="704"/>
        <w:jc w:val="both"/>
        <w:rPr>
          <w:rFonts w:ascii="Verdana" w:hAnsi="Verdana"/>
        </w:rPr>
      </w:pPr>
      <w:r w:rsidRPr="00EC75B7">
        <w:rPr>
          <w:rFonts w:ascii="Verdana" w:hAnsi="Verdana"/>
        </w:rPr>
        <w:t>Thus, the potential cumulative impact of the plan with the activities in the area (agriculture around the plan, transport infrastructure Road II-29 Dobrich–border - 1.5 km and energy infrastructure – Karnobat wind farm – 5.6 km) will be low, insignificant.</w:t>
      </w:r>
    </w:p>
    <w:p w14:paraId="2C4FB738" w14:textId="77777777" w:rsidR="008715BE" w:rsidRPr="00EC75B7" w:rsidRDefault="00000000">
      <w:pPr>
        <w:pStyle w:val="BodyText"/>
        <w:spacing w:before="122" w:line="357" w:lineRule="auto"/>
        <w:ind w:left="369" w:right="706"/>
        <w:jc w:val="both"/>
        <w:rPr>
          <w:rFonts w:ascii="Verdana" w:hAnsi="Verdana"/>
        </w:rPr>
      </w:pPr>
      <w:r w:rsidRPr="00EC75B7">
        <w:rPr>
          <w:rFonts w:ascii="Verdana" w:hAnsi="Verdana"/>
        </w:rPr>
        <w:t>Health implications. The literature cited in the report mentions cardiovascular effects at chronic exposures &gt; 45 dB(A); the value at the border (27 dB(A)) remains ~18 dB below this threshold, resulting in a virtually zero risk for the Bulgarian population.</w:t>
      </w:r>
    </w:p>
    <w:p w14:paraId="0934A99A" w14:textId="77777777" w:rsidR="008715BE" w:rsidRPr="00EC75B7" w:rsidRDefault="00000000">
      <w:pPr>
        <w:pStyle w:val="ListParagraph"/>
        <w:numPr>
          <w:ilvl w:val="0"/>
          <w:numId w:val="27"/>
        </w:numPr>
        <w:tabs>
          <w:tab w:val="left" w:pos="1643"/>
        </w:tabs>
        <w:spacing w:before="122"/>
        <w:ind w:left="1643" w:hanging="1274"/>
        <w:jc w:val="both"/>
        <w:rPr>
          <w:rFonts w:ascii="Verdana" w:hAnsi="Verdana"/>
          <w:sz w:val="18"/>
          <w:szCs w:val="18"/>
        </w:rPr>
      </w:pPr>
      <w:r w:rsidRPr="00EC75B7">
        <w:rPr>
          <w:rFonts w:ascii="Verdana" w:hAnsi="Verdana"/>
          <w:spacing w:val="-2"/>
          <w:sz w:val="18"/>
          <w:szCs w:val="18"/>
        </w:rPr>
        <w:t xml:space="preserve">Air </w:t>
      </w:r>
      <w:r w:rsidRPr="00EC75B7">
        <w:rPr>
          <w:rFonts w:ascii="Verdana" w:hAnsi="Verdana"/>
          <w:sz w:val="18"/>
          <w:szCs w:val="18"/>
        </w:rPr>
        <w:t>quality</w:t>
      </w:r>
    </w:p>
    <w:p w14:paraId="445B2CA5" w14:textId="77777777" w:rsidR="008715BE" w:rsidRPr="00EC75B7" w:rsidRDefault="008715BE">
      <w:pPr>
        <w:pStyle w:val="BodyText"/>
        <w:spacing w:before="9"/>
        <w:rPr>
          <w:rFonts w:ascii="Verdana" w:hAnsi="Verdana"/>
        </w:rPr>
      </w:pPr>
    </w:p>
    <w:p w14:paraId="78CC9C84" w14:textId="77777777" w:rsidR="008715BE" w:rsidRPr="00EC75B7" w:rsidRDefault="00000000">
      <w:pPr>
        <w:pStyle w:val="BodyText"/>
        <w:spacing w:line="357" w:lineRule="auto"/>
        <w:ind w:left="369" w:right="717"/>
        <w:jc w:val="both"/>
        <w:rPr>
          <w:rFonts w:ascii="Verdana" w:hAnsi="Verdana"/>
        </w:rPr>
      </w:pPr>
      <w:r w:rsidRPr="00EC75B7">
        <w:rPr>
          <w:rFonts w:ascii="Verdana" w:hAnsi="Verdana"/>
        </w:rPr>
        <w:t>Construction activities produce dust and exhaust gases, but ADMS modeling indicates a contribution below detectable levels at the boundary line; locally, the PM₁₀ background level in the municipality is ~12 µg/m³, which is less than half the European limit of 40 µg/m³.</w:t>
      </w:r>
    </w:p>
    <w:p w14:paraId="5C9D6757" w14:textId="77777777" w:rsidR="008715BE" w:rsidRPr="00EC75B7" w:rsidRDefault="00000000">
      <w:pPr>
        <w:pStyle w:val="BodyText"/>
        <w:spacing w:before="122"/>
        <w:ind w:left="369"/>
        <w:jc w:val="both"/>
        <w:rPr>
          <w:rFonts w:ascii="Verdana" w:hAnsi="Verdana"/>
        </w:rPr>
      </w:pPr>
      <w:r w:rsidRPr="00EC75B7">
        <w:rPr>
          <w:rFonts w:ascii="Verdana" w:hAnsi="Verdana"/>
        </w:rPr>
        <w:t xml:space="preserve">During operation, the turbines do not emit pollutants, and the energy produced replaces gas or </w:t>
      </w:r>
      <w:r w:rsidRPr="00EC75B7">
        <w:rPr>
          <w:rFonts w:ascii="Verdana" w:hAnsi="Verdana"/>
          <w:spacing w:val="-2"/>
        </w:rPr>
        <w:t xml:space="preserve">coal </w:t>
      </w:r>
      <w:r w:rsidRPr="00EC75B7">
        <w:rPr>
          <w:rFonts w:ascii="Verdana" w:hAnsi="Verdana"/>
        </w:rPr>
        <w:t>generation</w:t>
      </w:r>
      <w:r w:rsidRPr="00EC75B7">
        <w:rPr>
          <w:rFonts w:ascii="Verdana" w:hAnsi="Verdana"/>
          <w:spacing w:val="-2"/>
        </w:rPr>
        <w:t>,</w:t>
      </w:r>
    </w:p>
    <w:p w14:paraId="1D926A52" w14:textId="77777777" w:rsidR="008715BE" w:rsidRPr="00EC75B7" w:rsidRDefault="00000000">
      <w:pPr>
        <w:pStyle w:val="BodyText"/>
        <w:spacing w:before="109"/>
        <w:ind w:left="369"/>
        <w:jc w:val="both"/>
        <w:rPr>
          <w:rFonts w:ascii="Verdana" w:hAnsi="Verdana"/>
        </w:rPr>
      </w:pPr>
      <w:r w:rsidRPr="00EC75B7">
        <w:rPr>
          <w:rFonts w:ascii="Verdana" w:hAnsi="Verdana"/>
        </w:rPr>
        <w:t xml:space="preserve">reducing </w:t>
      </w:r>
      <w:r w:rsidRPr="00EC75B7">
        <w:rPr>
          <w:rFonts w:ascii="Verdana" w:hAnsi="Verdana"/>
          <w:spacing w:val="-2"/>
        </w:rPr>
        <w:t xml:space="preserve">regional </w:t>
      </w:r>
      <w:r w:rsidRPr="00EC75B7">
        <w:rPr>
          <w:rFonts w:ascii="Verdana" w:hAnsi="Verdana"/>
        </w:rPr>
        <w:t>emissions</w:t>
      </w:r>
      <w:r w:rsidRPr="00EC75B7">
        <w:rPr>
          <w:rFonts w:ascii="Verdana" w:hAnsi="Verdana"/>
          <w:spacing w:val="-2"/>
        </w:rPr>
        <w:t>.</w:t>
      </w:r>
    </w:p>
    <w:p w14:paraId="15058CFB" w14:textId="77777777" w:rsidR="008715BE" w:rsidRPr="00EC75B7" w:rsidRDefault="008715BE">
      <w:pPr>
        <w:pStyle w:val="BodyText"/>
        <w:spacing w:before="8"/>
        <w:rPr>
          <w:rFonts w:ascii="Verdana" w:hAnsi="Verdana"/>
        </w:rPr>
      </w:pPr>
    </w:p>
    <w:p w14:paraId="10FE2DB6" w14:textId="77777777" w:rsidR="008715BE" w:rsidRPr="00EC75B7" w:rsidRDefault="00000000">
      <w:pPr>
        <w:pStyle w:val="BodyText"/>
        <w:spacing w:line="360" w:lineRule="auto"/>
        <w:ind w:left="369" w:right="704"/>
        <w:jc w:val="both"/>
        <w:rPr>
          <w:rFonts w:ascii="Verdana" w:hAnsi="Verdana"/>
        </w:rPr>
      </w:pPr>
      <w:r w:rsidRPr="00EC75B7">
        <w:rPr>
          <w:rFonts w:ascii="Verdana" w:hAnsi="Verdana"/>
        </w:rPr>
        <w:t>Thus, the potential cumulative impact of the plan with activities in the area (agriculture around the plan, transport infrastructure Road II-29 Dobrich–border - 1.5 km and energy infrastructure – Karnobat wind farm – 5.6 km) will be reduced and insignificant.</w:t>
      </w:r>
    </w:p>
    <w:p w14:paraId="022C5F43" w14:textId="77777777" w:rsidR="008715BE" w:rsidRPr="00EC75B7" w:rsidRDefault="00000000">
      <w:pPr>
        <w:pStyle w:val="BodyText"/>
        <w:spacing w:before="115"/>
        <w:ind w:left="369"/>
        <w:jc w:val="both"/>
        <w:rPr>
          <w:rFonts w:ascii="Verdana" w:hAnsi="Verdana"/>
        </w:rPr>
      </w:pPr>
      <w:r w:rsidRPr="00EC75B7">
        <w:rPr>
          <w:rFonts w:ascii="Verdana" w:hAnsi="Verdana"/>
        </w:rPr>
        <w:t xml:space="preserve">Health implications. Additional exposure to particulate matter and NO₂ is practically </w:t>
      </w:r>
      <w:r w:rsidRPr="00EC75B7">
        <w:rPr>
          <w:rFonts w:ascii="Verdana" w:hAnsi="Verdana"/>
          <w:spacing w:val="-2"/>
        </w:rPr>
        <w:t>zero.</w:t>
      </w:r>
    </w:p>
    <w:p w14:paraId="7B4F2D08" w14:textId="77777777" w:rsidR="008715BE" w:rsidRPr="00EC75B7" w:rsidRDefault="008715BE">
      <w:pPr>
        <w:pStyle w:val="BodyText"/>
        <w:spacing w:before="9"/>
        <w:rPr>
          <w:rFonts w:ascii="Verdana" w:hAnsi="Verdana"/>
        </w:rPr>
      </w:pPr>
    </w:p>
    <w:p w14:paraId="277F85BE" w14:textId="77777777" w:rsidR="008715BE" w:rsidRPr="00EC75B7" w:rsidRDefault="00000000">
      <w:pPr>
        <w:pStyle w:val="ListParagraph"/>
        <w:numPr>
          <w:ilvl w:val="0"/>
          <w:numId w:val="27"/>
        </w:numPr>
        <w:tabs>
          <w:tab w:val="left" w:pos="1643"/>
        </w:tabs>
        <w:ind w:left="1643" w:hanging="1274"/>
        <w:rPr>
          <w:rFonts w:ascii="Verdana" w:hAnsi="Verdana"/>
          <w:sz w:val="18"/>
          <w:szCs w:val="18"/>
        </w:rPr>
      </w:pPr>
      <w:r w:rsidRPr="00EC75B7">
        <w:rPr>
          <w:rFonts w:ascii="Verdana" w:hAnsi="Verdana"/>
          <w:sz w:val="18"/>
          <w:szCs w:val="18"/>
        </w:rPr>
        <w:t xml:space="preserve">Drinking water and </w:t>
      </w:r>
      <w:r w:rsidRPr="00EC75B7">
        <w:rPr>
          <w:rFonts w:ascii="Verdana" w:hAnsi="Verdana"/>
          <w:spacing w:val="-2"/>
          <w:sz w:val="18"/>
          <w:szCs w:val="18"/>
        </w:rPr>
        <w:t xml:space="preserve">surface </w:t>
      </w:r>
      <w:r w:rsidRPr="00EC75B7">
        <w:rPr>
          <w:rFonts w:ascii="Verdana" w:hAnsi="Verdana"/>
          <w:sz w:val="18"/>
          <w:szCs w:val="18"/>
        </w:rPr>
        <w:t>water</w:t>
      </w:r>
    </w:p>
    <w:p w14:paraId="7E626A51" w14:textId="77777777" w:rsidR="008715BE" w:rsidRPr="00EC75B7" w:rsidRDefault="00000000">
      <w:pPr>
        <w:pStyle w:val="BodyText"/>
        <w:spacing w:before="102" w:line="357" w:lineRule="auto"/>
        <w:ind w:left="369" w:right="716"/>
        <w:jc w:val="both"/>
        <w:rPr>
          <w:rFonts w:ascii="Verdana" w:hAnsi="Verdana"/>
        </w:rPr>
      </w:pPr>
      <w:r w:rsidRPr="00EC75B7">
        <w:rPr>
          <w:rFonts w:ascii="Verdana" w:hAnsi="Verdana"/>
        </w:rPr>
        <w:t>Construction activities do not include technological discharges; rainwater is collected in gutters and infiltrates the site. There is no connection to transboundary water bodies, and DSP Constanţa monitoring shows compliant drinking water parameters throughout the Cerchezu commune.</w:t>
      </w:r>
    </w:p>
    <w:p w14:paraId="20959D3D" w14:textId="77777777" w:rsidR="008715BE" w:rsidRPr="00EC75B7" w:rsidRDefault="00000000">
      <w:pPr>
        <w:pStyle w:val="BodyText"/>
        <w:spacing w:before="122" w:line="357" w:lineRule="auto"/>
        <w:ind w:left="369" w:right="717"/>
        <w:jc w:val="both"/>
        <w:rPr>
          <w:rFonts w:ascii="Verdana" w:hAnsi="Verdana"/>
        </w:rPr>
      </w:pPr>
      <w:r w:rsidRPr="00EC75B7">
        <w:rPr>
          <w:rFonts w:ascii="Verdana" w:hAnsi="Verdana"/>
        </w:rPr>
        <w:lastRenderedPageBreak/>
        <w:t>During operation, maintenance work is carried out on platforms equipped with retention trays sized to collect any oil spills in their entirety, thus eliminating any discharge of liquid substances into the environment.</w:t>
      </w:r>
    </w:p>
    <w:p w14:paraId="26BDF1B9" w14:textId="77777777" w:rsidR="008715BE" w:rsidRPr="00EC75B7" w:rsidRDefault="00000000">
      <w:pPr>
        <w:pStyle w:val="BodyText"/>
        <w:spacing w:before="122" w:line="360" w:lineRule="auto"/>
        <w:ind w:left="369" w:right="705"/>
        <w:jc w:val="both"/>
        <w:rPr>
          <w:rFonts w:ascii="Verdana" w:hAnsi="Verdana"/>
        </w:rPr>
      </w:pPr>
      <w:r w:rsidRPr="00EC75B7">
        <w:rPr>
          <w:rFonts w:ascii="Verdana" w:hAnsi="Verdana"/>
        </w:rPr>
        <w:t>Therefore, the cumulative impact with activities in the area (agriculture around the plan, transport infrastructure Road II-29 Dobrich–border - 1.5 km and energy infrastructure – Karnobat wind farm – 5.6 km) is insignificant, as there is no vector for the transport of contaminants to Bulgaria.</w:t>
      </w:r>
    </w:p>
    <w:p w14:paraId="5FEF0166" w14:textId="77777777" w:rsidR="008715BE" w:rsidRPr="00EC75B7" w:rsidRDefault="00000000">
      <w:pPr>
        <w:pStyle w:val="BodyText"/>
        <w:spacing w:before="115"/>
        <w:ind w:left="369"/>
        <w:jc w:val="both"/>
        <w:rPr>
          <w:rFonts w:ascii="Verdana" w:hAnsi="Verdana"/>
        </w:rPr>
      </w:pPr>
      <w:r w:rsidRPr="00EC75B7">
        <w:rPr>
          <w:rFonts w:ascii="Verdana" w:hAnsi="Verdana"/>
        </w:rPr>
        <w:t xml:space="preserve">Health implications. The safety of drinking water sources in the neighbouring country remains </w:t>
      </w:r>
      <w:r w:rsidRPr="00EC75B7">
        <w:rPr>
          <w:rFonts w:ascii="Verdana" w:hAnsi="Verdana"/>
          <w:spacing w:val="-2"/>
        </w:rPr>
        <w:t>unaffected.</w:t>
      </w:r>
    </w:p>
    <w:p w14:paraId="6F1592EC" w14:textId="77777777" w:rsidR="008715BE" w:rsidRPr="00EC75B7" w:rsidRDefault="008715BE">
      <w:pPr>
        <w:pStyle w:val="BodyText"/>
        <w:spacing w:before="9"/>
        <w:rPr>
          <w:rFonts w:ascii="Verdana" w:hAnsi="Verdana"/>
        </w:rPr>
      </w:pPr>
    </w:p>
    <w:p w14:paraId="29B26504" w14:textId="77777777" w:rsidR="008715BE" w:rsidRPr="00EC75B7" w:rsidRDefault="00000000">
      <w:pPr>
        <w:pStyle w:val="ListParagraph"/>
        <w:numPr>
          <w:ilvl w:val="0"/>
          <w:numId w:val="27"/>
        </w:numPr>
        <w:tabs>
          <w:tab w:val="left" w:pos="1643"/>
        </w:tabs>
        <w:ind w:left="1643" w:hanging="1274"/>
        <w:jc w:val="both"/>
        <w:rPr>
          <w:rFonts w:ascii="Verdana" w:hAnsi="Verdana"/>
          <w:sz w:val="18"/>
          <w:szCs w:val="18"/>
        </w:rPr>
      </w:pPr>
      <w:r w:rsidRPr="00EC75B7">
        <w:rPr>
          <w:rFonts w:ascii="Verdana" w:hAnsi="Verdana"/>
          <w:sz w:val="18"/>
          <w:szCs w:val="18"/>
        </w:rPr>
        <w:t xml:space="preserve">Soil and </w:t>
      </w:r>
      <w:r w:rsidRPr="00EC75B7">
        <w:rPr>
          <w:rFonts w:ascii="Verdana" w:hAnsi="Verdana"/>
          <w:spacing w:val="-2"/>
          <w:sz w:val="18"/>
          <w:szCs w:val="18"/>
        </w:rPr>
        <w:t xml:space="preserve">seismic </w:t>
      </w:r>
      <w:r w:rsidRPr="00EC75B7">
        <w:rPr>
          <w:rFonts w:ascii="Verdana" w:hAnsi="Verdana"/>
          <w:sz w:val="18"/>
          <w:szCs w:val="18"/>
        </w:rPr>
        <w:t>vibrations</w:t>
      </w:r>
    </w:p>
    <w:p w14:paraId="3BDA18E7" w14:textId="77777777" w:rsidR="008715BE" w:rsidRPr="00EC75B7" w:rsidRDefault="008715BE">
      <w:pPr>
        <w:pStyle w:val="BodyText"/>
        <w:spacing w:before="10"/>
        <w:rPr>
          <w:rFonts w:ascii="Verdana" w:hAnsi="Verdana"/>
        </w:rPr>
      </w:pPr>
    </w:p>
    <w:p w14:paraId="38FA3694" w14:textId="77777777" w:rsidR="008715BE" w:rsidRPr="00EC75B7" w:rsidRDefault="00000000">
      <w:pPr>
        <w:pStyle w:val="BodyText"/>
        <w:spacing w:line="360" w:lineRule="auto"/>
        <w:ind w:left="369" w:right="716"/>
        <w:rPr>
          <w:rFonts w:ascii="Verdana" w:hAnsi="Verdana"/>
        </w:rPr>
      </w:pPr>
      <w:r w:rsidRPr="00EC75B7">
        <w:rPr>
          <w:rFonts w:ascii="Verdana" w:hAnsi="Verdana"/>
        </w:rPr>
        <w:t>During the construction phase, limited excavations and isolated foundations are carried out; the excavated soil remains on site, and the vibrations caused by the machinery are limited in time.</w:t>
      </w:r>
    </w:p>
    <w:p w14:paraId="720C8B61" w14:textId="77777777" w:rsidR="008715BE" w:rsidRPr="00EC75B7" w:rsidRDefault="00000000">
      <w:pPr>
        <w:pStyle w:val="BodyText"/>
        <w:spacing w:before="116" w:line="360" w:lineRule="auto"/>
        <w:ind w:left="369" w:right="716"/>
        <w:rPr>
          <w:rFonts w:ascii="Verdana" w:hAnsi="Verdana"/>
        </w:rPr>
      </w:pPr>
      <w:r w:rsidRPr="00EC75B7">
        <w:rPr>
          <w:rFonts w:ascii="Verdana" w:hAnsi="Verdana"/>
        </w:rPr>
        <w:t>During operation, there is no further work on the ground, and the vibrations generated by the turbines dissipate rapidly in the geological layer, falling below the threshold of human perception at the boundary.</w:t>
      </w:r>
    </w:p>
    <w:p w14:paraId="664BEA3E" w14:textId="77777777" w:rsidR="008715BE" w:rsidRPr="00EC75B7" w:rsidRDefault="00000000">
      <w:pPr>
        <w:pStyle w:val="BodyText"/>
        <w:spacing w:before="119"/>
        <w:ind w:left="369"/>
        <w:rPr>
          <w:rFonts w:ascii="Verdana" w:hAnsi="Verdana"/>
        </w:rPr>
      </w:pPr>
      <w:r w:rsidRPr="00EC75B7">
        <w:rPr>
          <w:rFonts w:ascii="Verdana" w:hAnsi="Verdana"/>
        </w:rPr>
        <w:t xml:space="preserve">Cumulative potential. The sum of all sources does not exceed 0.2 mm/s at the boundary, so the effect </w:t>
      </w:r>
      <w:r w:rsidRPr="00EC75B7">
        <w:rPr>
          <w:rFonts w:ascii="Verdana" w:hAnsi="Verdana"/>
          <w:spacing w:val="-2"/>
        </w:rPr>
        <w:t>remains</w:t>
      </w:r>
    </w:p>
    <w:p w14:paraId="09663CD8" w14:textId="77777777" w:rsidR="008715BE" w:rsidRPr="00EC75B7" w:rsidRDefault="00000000">
      <w:pPr>
        <w:pStyle w:val="BodyText"/>
        <w:spacing w:before="106"/>
        <w:ind w:left="369"/>
        <w:rPr>
          <w:rFonts w:ascii="Verdana" w:hAnsi="Verdana"/>
        </w:rPr>
      </w:pPr>
      <w:r w:rsidRPr="00EC75B7">
        <w:rPr>
          <w:rFonts w:ascii="Verdana" w:hAnsi="Verdana"/>
          <w:spacing w:val="-2"/>
        </w:rPr>
        <w:t>insignificant.</w:t>
      </w:r>
    </w:p>
    <w:p w14:paraId="3238E8A9" w14:textId="77777777" w:rsidR="008715BE" w:rsidRPr="00EC75B7" w:rsidRDefault="008715BE">
      <w:pPr>
        <w:pStyle w:val="BodyText"/>
        <w:spacing w:before="9"/>
        <w:rPr>
          <w:rFonts w:ascii="Verdana" w:hAnsi="Verdana"/>
        </w:rPr>
      </w:pPr>
    </w:p>
    <w:p w14:paraId="4C426C18" w14:textId="77777777" w:rsidR="008715BE" w:rsidRPr="00EC75B7" w:rsidRDefault="00000000">
      <w:pPr>
        <w:pStyle w:val="ListParagraph"/>
        <w:numPr>
          <w:ilvl w:val="0"/>
          <w:numId w:val="27"/>
        </w:numPr>
        <w:tabs>
          <w:tab w:val="left" w:pos="1643"/>
        </w:tabs>
        <w:spacing w:before="1"/>
        <w:ind w:left="1643" w:hanging="1274"/>
        <w:jc w:val="both"/>
        <w:rPr>
          <w:rFonts w:ascii="Verdana" w:hAnsi="Verdana"/>
          <w:sz w:val="18"/>
          <w:szCs w:val="18"/>
        </w:rPr>
      </w:pPr>
      <w:r w:rsidRPr="00EC75B7">
        <w:rPr>
          <w:rFonts w:ascii="Verdana" w:hAnsi="Verdana"/>
          <w:sz w:val="18"/>
          <w:szCs w:val="18"/>
        </w:rPr>
        <w:t xml:space="preserve">Shadow flicker and </w:t>
      </w:r>
      <w:r w:rsidRPr="00EC75B7">
        <w:rPr>
          <w:rFonts w:ascii="Verdana" w:hAnsi="Verdana"/>
          <w:spacing w:val="-2"/>
          <w:sz w:val="18"/>
          <w:szCs w:val="18"/>
        </w:rPr>
        <w:t xml:space="preserve">visual </w:t>
      </w:r>
      <w:r w:rsidRPr="00EC75B7">
        <w:rPr>
          <w:rFonts w:ascii="Verdana" w:hAnsi="Verdana"/>
          <w:sz w:val="18"/>
          <w:szCs w:val="18"/>
        </w:rPr>
        <w:t>effect</w:t>
      </w:r>
    </w:p>
    <w:p w14:paraId="2B39A040" w14:textId="77777777" w:rsidR="008715BE" w:rsidRPr="00EC75B7" w:rsidRDefault="008715BE">
      <w:pPr>
        <w:pStyle w:val="BodyText"/>
        <w:spacing w:before="9"/>
        <w:rPr>
          <w:rFonts w:ascii="Verdana" w:hAnsi="Verdana"/>
        </w:rPr>
      </w:pPr>
    </w:p>
    <w:p w14:paraId="5CC56E52" w14:textId="77777777" w:rsidR="008715BE" w:rsidRPr="00EC75B7" w:rsidRDefault="00000000">
      <w:pPr>
        <w:pStyle w:val="BodyText"/>
        <w:spacing w:line="357" w:lineRule="auto"/>
        <w:ind w:left="369" w:right="701"/>
        <w:jc w:val="both"/>
        <w:rPr>
          <w:rFonts w:ascii="Verdana" w:hAnsi="Verdana"/>
        </w:rPr>
      </w:pPr>
      <w:r w:rsidRPr="00EC75B7">
        <w:rPr>
          <w:rFonts w:ascii="Verdana" w:hAnsi="Verdana"/>
        </w:rPr>
        <w:t>Modeling indicates 0.1–8 h/year of intermittent shadows at the closest Romanian households; at the border, the duration falls below the detection limit. The Karnobat wind farm adds an apparent angle of only 0.3–0.4°, insufficient for shadow overlap.</w:t>
      </w:r>
    </w:p>
    <w:p w14:paraId="1D262D09" w14:textId="77777777" w:rsidR="008715BE" w:rsidRPr="00EC75B7" w:rsidRDefault="00000000">
      <w:pPr>
        <w:pStyle w:val="BodyText"/>
        <w:spacing w:before="122" w:line="360" w:lineRule="auto"/>
        <w:ind w:left="369" w:right="717"/>
        <w:jc w:val="both"/>
        <w:rPr>
          <w:rFonts w:ascii="Verdana" w:hAnsi="Verdana"/>
        </w:rPr>
      </w:pPr>
      <w:r w:rsidRPr="00EC75B7">
        <w:rPr>
          <w:rFonts w:ascii="Verdana" w:hAnsi="Verdana"/>
        </w:rPr>
        <w:t>Cumulative potential: even if both farms were to generate shadows simultaneously, the total would remain &lt; 10 h/year, well below the international threshold of 30 h/year, resulting in an insignificant cumulative visual impact.</w:t>
      </w:r>
    </w:p>
    <w:p w14:paraId="5C9A85AA" w14:textId="77777777" w:rsidR="008715BE" w:rsidRPr="00EC75B7" w:rsidRDefault="00000000">
      <w:pPr>
        <w:pStyle w:val="ListParagraph"/>
        <w:numPr>
          <w:ilvl w:val="0"/>
          <w:numId w:val="27"/>
        </w:numPr>
        <w:tabs>
          <w:tab w:val="left" w:pos="1643"/>
        </w:tabs>
        <w:spacing w:before="119"/>
        <w:ind w:left="1643" w:hanging="1274"/>
        <w:jc w:val="both"/>
        <w:rPr>
          <w:rFonts w:ascii="Verdana" w:hAnsi="Verdana"/>
          <w:sz w:val="18"/>
          <w:szCs w:val="18"/>
        </w:rPr>
      </w:pPr>
      <w:r w:rsidRPr="00EC75B7">
        <w:rPr>
          <w:rFonts w:ascii="Verdana" w:hAnsi="Verdana"/>
          <w:sz w:val="18"/>
          <w:szCs w:val="18"/>
        </w:rPr>
        <w:t xml:space="preserve">Traffic and </w:t>
      </w:r>
      <w:r w:rsidRPr="00EC75B7">
        <w:rPr>
          <w:rFonts w:ascii="Verdana" w:hAnsi="Verdana"/>
          <w:spacing w:val="-2"/>
          <w:sz w:val="18"/>
          <w:szCs w:val="18"/>
        </w:rPr>
        <w:t xml:space="preserve">road </w:t>
      </w:r>
      <w:r w:rsidRPr="00EC75B7">
        <w:rPr>
          <w:rFonts w:ascii="Verdana" w:hAnsi="Verdana"/>
          <w:sz w:val="18"/>
          <w:szCs w:val="18"/>
        </w:rPr>
        <w:t>pollution</w:t>
      </w:r>
    </w:p>
    <w:p w14:paraId="2F06AAF8" w14:textId="77777777" w:rsidR="008715BE" w:rsidRPr="00EC75B7" w:rsidRDefault="008715BE">
      <w:pPr>
        <w:pStyle w:val="BodyText"/>
        <w:spacing w:before="6"/>
        <w:rPr>
          <w:rFonts w:ascii="Verdana" w:hAnsi="Verdana"/>
        </w:rPr>
      </w:pPr>
    </w:p>
    <w:p w14:paraId="2DD9A843" w14:textId="77777777" w:rsidR="008715BE" w:rsidRPr="00EC75B7" w:rsidRDefault="00000000" w:rsidP="009069FA">
      <w:pPr>
        <w:pStyle w:val="BodyText"/>
        <w:spacing w:before="1" w:line="360" w:lineRule="auto"/>
        <w:ind w:left="369" w:right="738"/>
        <w:jc w:val="both"/>
        <w:rPr>
          <w:rFonts w:ascii="Verdana" w:hAnsi="Verdana"/>
        </w:rPr>
      </w:pPr>
      <w:r w:rsidRPr="00EC75B7">
        <w:rPr>
          <w:rFonts w:ascii="Verdana" w:hAnsi="Verdana"/>
        </w:rPr>
        <w:t>The increase in traffic on DJ 391 during the construction phase adds &lt; 3 µg/m³ NO₂ and &lt; 2 µg/m³ PM₁₀, values that dissipate before reaching the neighboring country's border.</w:t>
      </w:r>
    </w:p>
    <w:p w14:paraId="1218E6B6" w14:textId="77777777" w:rsidR="008715BE" w:rsidRPr="00EC75B7" w:rsidRDefault="00000000" w:rsidP="009069FA">
      <w:pPr>
        <w:pStyle w:val="BodyText"/>
        <w:spacing w:before="118" w:line="357" w:lineRule="auto"/>
        <w:ind w:left="369" w:right="716"/>
        <w:jc w:val="both"/>
        <w:rPr>
          <w:rFonts w:ascii="Verdana" w:hAnsi="Verdana"/>
        </w:rPr>
      </w:pPr>
      <w:r w:rsidRPr="00EC75B7">
        <w:rPr>
          <w:rFonts w:ascii="Verdana" w:hAnsi="Verdana"/>
        </w:rPr>
        <w:t>During operation, service visits amount to only a few commercial vehicles per day, and during decommissioning, the flow of trucks is lower than during construction and limited in time.</w:t>
      </w:r>
    </w:p>
    <w:p w14:paraId="60579BD2" w14:textId="77777777" w:rsidR="008715BE" w:rsidRPr="00EC75B7" w:rsidRDefault="00000000" w:rsidP="009069FA">
      <w:pPr>
        <w:pStyle w:val="BodyText"/>
        <w:spacing w:before="120" w:line="360" w:lineRule="auto"/>
        <w:ind w:left="369" w:right="716"/>
        <w:jc w:val="both"/>
        <w:rPr>
          <w:rFonts w:ascii="Verdana" w:hAnsi="Verdana"/>
        </w:rPr>
      </w:pPr>
      <w:r w:rsidRPr="00EC75B7">
        <w:rPr>
          <w:rFonts w:ascii="Verdana" w:hAnsi="Verdana"/>
        </w:rPr>
        <w:t>Health implications. Pollutant concentrations remain below the limits set at European level; thus, there are no exceedances of the existing values at the level of Bulgarian communities.</w:t>
      </w:r>
    </w:p>
    <w:p w14:paraId="1C01C0FA" w14:textId="77777777" w:rsidR="008715BE" w:rsidRPr="00EC75B7" w:rsidRDefault="00000000" w:rsidP="009069FA">
      <w:pPr>
        <w:pStyle w:val="ListParagraph"/>
        <w:numPr>
          <w:ilvl w:val="0"/>
          <w:numId w:val="27"/>
        </w:numPr>
        <w:tabs>
          <w:tab w:val="left" w:pos="1643"/>
        </w:tabs>
        <w:spacing w:before="119"/>
        <w:ind w:left="1643" w:hanging="1274"/>
        <w:jc w:val="both"/>
        <w:rPr>
          <w:rFonts w:ascii="Verdana" w:hAnsi="Verdana"/>
          <w:sz w:val="18"/>
          <w:szCs w:val="18"/>
        </w:rPr>
      </w:pPr>
      <w:r w:rsidRPr="00EC75B7">
        <w:rPr>
          <w:rFonts w:ascii="Verdana" w:hAnsi="Verdana"/>
          <w:sz w:val="18"/>
          <w:szCs w:val="18"/>
        </w:rPr>
        <w:t xml:space="preserve">Climate benefit, with indirect </w:t>
      </w:r>
      <w:r w:rsidRPr="00EC75B7">
        <w:rPr>
          <w:rFonts w:ascii="Verdana" w:hAnsi="Verdana"/>
          <w:spacing w:val="-2"/>
          <w:sz w:val="18"/>
          <w:szCs w:val="18"/>
        </w:rPr>
        <w:t xml:space="preserve">health </w:t>
      </w:r>
      <w:r w:rsidRPr="00EC75B7">
        <w:rPr>
          <w:rFonts w:ascii="Verdana" w:hAnsi="Verdana"/>
          <w:sz w:val="18"/>
          <w:szCs w:val="18"/>
        </w:rPr>
        <w:t>effects</w:t>
      </w:r>
    </w:p>
    <w:p w14:paraId="0A54E9B3" w14:textId="77777777" w:rsidR="008715BE" w:rsidRPr="00EC75B7" w:rsidRDefault="008715BE" w:rsidP="009069FA">
      <w:pPr>
        <w:pStyle w:val="BodyText"/>
        <w:spacing w:before="7"/>
        <w:jc w:val="both"/>
        <w:rPr>
          <w:rFonts w:ascii="Verdana" w:hAnsi="Verdana"/>
        </w:rPr>
      </w:pPr>
    </w:p>
    <w:p w14:paraId="76963850" w14:textId="77777777" w:rsidR="008715BE" w:rsidRPr="00EC75B7" w:rsidRDefault="00000000" w:rsidP="009069FA">
      <w:pPr>
        <w:pStyle w:val="BodyText"/>
        <w:spacing w:line="360" w:lineRule="auto"/>
        <w:ind w:left="369" w:right="716"/>
        <w:jc w:val="both"/>
        <w:rPr>
          <w:rFonts w:ascii="Verdana" w:hAnsi="Verdana"/>
        </w:rPr>
      </w:pPr>
      <w:r w:rsidRPr="00EC75B7">
        <w:rPr>
          <w:rFonts w:ascii="Verdana" w:hAnsi="Verdana"/>
        </w:rPr>
        <w:t>The installed capacity (≈ 303 MW) will avoid ~0.55 Mt CO₂ at regional level over its lifetime, reducing the risk factors associated with mortality from fine particles and heat waves</w:t>
      </w:r>
    </w:p>
    <w:p w14:paraId="7BFB4F6B" w14:textId="77777777" w:rsidR="008715BE" w:rsidRPr="00EC75B7" w:rsidRDefault="00000000" w:rsidP="009069FA">
      <w:pPr>
        <w:pStyle w:val="BodyText"/>
        <w:spacing w:before="119" w:line="357" w:lineRule="auto"/>
        <w:ind w:left="369" w:right="716"/>
        <w:jc w:val="both"/>
        <w:rPr>
          <w:rFonts w:ascii="Verdana" w:hAnsi="Verdana"/>
        </w:rPr>
      </w:pPr>
      <w:r w:rsidRPr="00EC75B7">
        <w:rPr>
          <w:rFonts w:ascii="Verdana" w:hAnsi="Verdana"/>
        </w:rPr>
        <w:t>During construction and decommissioning, CO₂ emissions from diesel fuel used in machinery are sporadic and low compared to the total carbon economy.</w:t>
      </w:r>
    </w:p>
    <w:p w14:paraId="7322AD89" w14:textId="77777777" w:rsidR="008715BE" w:rsidRPr="00EC75B7" w:rsidRDefault="00000000" w:rsidP="009069FA">
      <w:pPr>
        <w:pStyle w:val="BodyText"/>
        <w:spacing w:before="120" w:line="360" w:lineRule="auto"/>
        <w:ind w:left="369" w:right="716"/>
        <w:jc w:val="both"/>
        <w:rPr>
          <w:rFonts w:ascii="Verdana" w:hAnsi="Verdana"/>
        </w:rPr>
      </w:pPr>
      <w:r w:rsidRPr="00EC75B7">
        <w:rPr>
          <w:rFonts w:ascii="Verdana" w:hAnsi="Verdana"/>
        </w:rPr>
        <w:t xml:space="preserve">Health implications. By contributing to the decarbonisation of the regional energy mix, the project reduces the population's exposure to fossil-based air pollutants and limits the intensity of extreme </w:t>
      </w:r>
      <w:r w:rsidRPr="00EC75B7">
        <w:rPr>
          <w:rFonts w:ascii="Verdana" w:hAnsi="Verdana"/>
          <w:spacing w:val="-2"/>
        </w:rPr>
        <w:t xml:space="preserve">heat </w:t>
      </w:r>
      <w:r w:rsidRPr="00EC75B7">
        <w:rPr>
          <w:rFonts w:ascii="Verdana" w:hAnsi="Verdana"/>
        </w:rPr>
        <w:t>waves</w:t>
      </w:r>
    </w:p>
    <w:p w14:paraId="14684FBE" w14:textId="77777777" w:rsidR="008715BE" w:rsidRPr="00EC75B7" w:rsidRDefault="008715BE">
      <w:pPr>
        <w:pStyle w:val="BodyText"/>
        <w:spacing w:line="360" w:lineRule="auto"/>
        <w:rPr>
          <w:rFonts w:ascii="Verdana" w:hAnsi="Verdana"/>
        </w:rPr>
        <w:sectPr w:rsidR="008715BE" w:rsidRPr="00EC75B7">
          <w:pgSz w:w="11910" w:h="16840"/>
          <w:pgMar w:top="1320" w:right="283" w:bottom="1020" w:left="850" w:header="766" w:footer="824" w:gutter="0"/>
          <w:cols w:space="708"/>
        </w:sectPr>
      </w:pPr>
    </w:p>
    <w:p w14:paraId="00C7DFF4" w14:textId="77777777" w:rsidR="008715BE" w:rsidRPr="00EC75B7" w:rsidRDefault="00000000">
      <w:pPr>
        <w:pStyle w:val="BodyText"/>
        <w:spacing w:before="102" w:line="357" w:lineRule="auto"/>
        <w:ind w:left="369" w:right="712"/>
        <w:jc w:val="both"/>
        <w:rPr>
          <w:rFonts w:ascii="Verdana" w:hAnsi="Verdana"/>
        </w:rPr>
      </w:pPr>
      <w:r w:rsidRPr="00EC75B7">
        <w:rPr>
          <w:rFonts w:ascii="Verdana" w:hAnsi="Verdana"/>
        </w:rPr>
        <w:lastRenderedPageBreak/>
        <w:t>; these factors, which are epidemiologically correlated with the incidence of cardiovascular and respiratory diseases, are mitigated, which supports increased life expectancy and reduced public health costs on both sides of the border.</w:t>
      </w:r>
    </w:p>
    <w:p w14:paraId="0EE74266" w14:textId="77777777" w:rsidR="008715BE" w:rsidRPr="00EC75B7" w:rsidRDefault="00000000">
      <w:pPr>
        <w:pStyle w:val="BodyText"/>
        <w:spacing w:before="122"/>
        <w:ind w:left="369"/>
        <w:jc w:val="both"/>
        <w:rPr>
          <w:rFonts w:ascii="Verdana" w:hAnsi="Verdana"/>
        </w:rPr>
      </w:pPr>
      <w:r w:rsidRPr="00EC75B7">
        <w:rPr>
          <w:rFonts w:ascii="Verdana" w:hAnsi="Verdana"/>
        </w:rPr>
        <w:t xml:space="preserve">A comparative assessment of the three stages shows </w:t>
      </w:r>
      <w:r w:rsidRPr="00EC75B7">
        <w:rPr>
          <w:rFonts w:ascii="Verdana" w:hAnsi="Verdana"/>
          <w:spacing w:val="-5"/>
        </w:rPr>
        <w:t>that:</w:t>
      </w:r>
    </w:p>
    <w:p w14:paraId="58EB03B8" w14:textId="77777777" w:rsidR="008715BE" w:rsidRPr="00EC75B7" w:rsidRDefault="008715BE">
      <w:pPr>
        <w:pStyle w:val="BodyText"/>
        <w:spacing w:before="9"/>
        <w:rPr>
          <w:rFonts w:ascii="Verdana" w:hAnsi="Verdana"/>
        </w:rPr>
      </w:pPr>
    </w:p>
    <w:p w14:paraId="4AFA85D1" w14:textId="77777777" w:rsidR="008715BE" w:rsidRPr="00EC75B7" w:rsidRDefault="00000000">
      <w:pPr>
        <w:pStyle w:val="ListParagraph"/>
        <w:numPr>
          <w:ilvl w:val="0"/>
          <w:numId w:val="26"/>
        </w:numPr>
        <w:tabs>
          <w:tab w:val="left" w:pos="1643"/>
        </w:tabs>
        <w:spacing w:line="357" w:lineRule="auto"/>
        <w:ind w:right="712" w:firstLine="0"/>
        <w:jc w:val="both"/>
        <w:rPr>
          <w:rFonts w:ascii="Verdana" w:hAnsi="Verdana"/>
          <w:sz w:val="18"/>
          <w:szCs w:val="18"/>
        </w:rPr>
      </w:pPr>
      <w:r w:rsidRPr="00EC75B7">
        <w:rPr>
          <w:rFonts w:ascii="Verdana" w:hAnsi="Verdana"/>
          <w:sz w:val="18"/>
          <w:szCs w:val="18"/>
        </w:rPr>
        <w:t>Construction causes localised temporary disturbances (dust, noise, inert waste), but these dissipate before reaching the border; there are no exceedances of international standards for air or noise, and water works are controlled by horizontal drilling and emergency plans.</w:t>
      </w:r>
    </w:p>
    <w:p w14:paraId="07EC8E87" w14:textId="77777777" w:rsidR="008715BE" w:rsidRPr="00EC75B7" w:rsidRDefault="00000000">
      <w:pPr>
        <w:pStyle w:val="ListParagraph"/>
        <w:numPr>
          <w:ilvl w:val="0"/>
          <w:numId w:val="26"/>
        </w:numPr>
        <w:tabs>
          <w:tab w:val="left" w:pos="1643"/>
        </w:tabs>
        <w:spacing w:before="122" w:line="357" w:lineRule="auto"/>
        <w:ind w:right="715" w:firstLine="0"/>
        <w:jc w:val="both"/>
        <w:rPr>
          <w:rFonts w:ascii="Verdana" w:hAnsi="Verdana"/>
          <w:sz w:val="18"/>
          <w:szCs w:val="18"/>
        </w:rPr>
      </w:pPr>
      <w:r w:rsidRPr="00EC75B7">
        <w:rPr>
          <w:rFonts w:ascii="Verdana" w:hAnsi="Verdana"/>
          <w:sz w:val="18"/>
          <w:szCs w:val="18"/>
        </w:rPr>
        <w:t>Operation has the lowest degree of pressure: the turbines do not emit liquid or gaseous pollutants, the noise calculated at the border is 18 dB below the maximum permissible threshold, and the project generates a net climate gain by avoiding fossil fuels.</w:t>
      </w:r>
    </w:p>
    <w:p w14:paraId="19247E3A" w14:textId="77777777" w:rsidR="008715BE" w:rsidRPr="00EC75B7" w:rsidRDefault="00000000">
      <w:pPr>
        <w:pStyle w:val="ListParagraph"/>
        <w:numPr>
          <w:ilvl w:val="0"/>
          <w:numId w:val="26"/>
        </w:numPr>
        <w:tabs>
          <w:tab w:val="left" w:pos="1643"/>
        </w:tabs>
        <w:spacing w:before="122" w:line="360" w:lineRule="auto"/>
        <w:ind w:right="712" w:firstLine="0"/>
        <w:jc w:val="both"/>
        <w:rPr>
          <w:rFonts w:ascii="Verdana" w:hAnsi="Verdana"/>
          <w:sz w:val="18"/>
          <w:szCs w:val="18"/>
        </w:rPr>
      </w:pPr>
      <w:r w:rsidRPr="00EC75B7">
        <w:rPr>
          <w:rFonts w:ascii="Verdana" w:hAnsi="Verdana"/>
          <w:sz w:val="18"/>
          <w:szCs w:val="18"/>
        </w:rPr>
        <w:t>Decommissioning repeats the disturbances caused by construction, but over a shorter period and with the possibility of recycling over 90% of the dismantled materials; waste transport and treatment are managed exclusively within the national territory, eliminating the cross-border vector.</w:t>
      </w:r>
    </w:p>
    <w:p w14:paraId="280B3EDA" w14:textId="77777777" w:rsidR="008715BE" w:rsidRPr="00EC75B7" w:rsidRDefault="00000000">
      <w:pPr>
        <w:spacing w:before="116" w:line="357" w:lineRule="auto"/>
        <w:ind w:left="369" w:right="708"/>
        <w:jc w:val="both"/>
        <w:rPr>
          <w:rFonts w:ascii="Verdana" w:hAnsi="Verdana"/>
          <w:b/>
          <w:sz w:val="18"/>
          <w:szCs w:val="18"/>
        </w:rPr>
      </w:pPr>
      <w:r w:rsidRPr="00EC75B7">
        <w:rPr>
          <w:rFonts w:ascii="Verdana" w:hAnsi="Verdana"/>
          <w:sz w:val="18"/>
          <w:szCs w:val="18"/>
        </w:rPr>
        <w:t xml:space="preserve">Therefore, no environmental factor combined over the life cycle exceeds the maximum permissible values at European level. The effects remain local, temporary, and low in intensity, and in terms of climate and energy, the balance is positive for both countries. </w:t>
      </w:r>
      <w:r w:rsidRPr="00EC75B7">
        <w:rPr>
          <w:rFonts w:ascii="Verdana" w:hAnsi="Verdana"/>
          <w:b/>
          <w:sz w:val="18"/>
          <w:szCs w:val="18"/>
        </w:rPr>
        <w:t>Thus, the project has an insignificant cross-border impact throughout its operational life.</w:t>
      </w:r>
    </w:p>
    <w:p w14:paraId="52770B7C" w14:textId="77777777" w:rsidR="008715BE" w:rsidRPr="00EC75B7" w:rsidRDefault="00000000">
      <w:pPr>
        <w:spacing w:before="123" w:line="357" w:lineRule="auto"/>
        <w:ind w:left="340" w:right="705"/>
        <w:jc w:val="both"/>
        <w:rPr>
          <w:rFonts w:ascii="Verdana" w:hAnsi="Verdana"/>
          <w:i/>
          <w:sz w:val="18"/>
          <w:szCs w:val="18"/>
        </w:rPr>
      </w:pPr>
      <w:r w:rsidRPr="00EC75B7">
        <w:rPr>
          <w:rFonts w:ascii="Verdana" w:hAnsi="Verdana"/>
          <w:sz w:val="18"/>
          <w:szCs w:val="18"/>
        </w:rPr>
        <w:t xml:space="preserve">A detailed analysis of the project's impact on biodiversity components for the two areas in Bulgaria was carried out in the Appropriate Assessment Study prepared at the PUZ stage, as well as in the annexes to this study, and was submitted to the Bulgarian side as part of the cross-border environmental impact assessment procedure with Bulgaria for the PUZ stage. By letter No. 99-00-268-22/26.06.2025, the Ministry of Environment and Water of the Republic of Bulgaria communicated that, </w:t>
      </w:r>
      <w:r w:rsidRPr="00EC75B7">
        <w:rPr>
          <w:rFonts w:ascii="Verdana" w:hAnsi="Verdana"/>
          <w:i/>
          <w:sz w:val="18"/>
          <w:szCs w:val="18"/>
        </w:rPr>
        <w:t>" The impact analysis of the project to build 46 turbines near the border with Bulgaria is objective and the proposed measures are sufficient to minimize/eliminate the negative impact on biodiversity and in particular on Natura 2000 protected areas."</w:t>
      </w:r>
    </w:p>
    <w:p w14:paraId="3C00692A" w14:textId="77777777" w:rsidR="008715BE" w:rsidRPr="00EC75B7" w:rsidRDefault="00000000">
      <w:pPr>
        <w:pStyle w:val="BodyText"/>
        <w:spacing w:before="127" w:line="357" w:lineRule="auto"/>
        <w:ind w:left="340" w:right="705"/>
        <w:jc w:val="both"/>
        <w:rPr>
          <w:rFonts w:ascii="Verdana" w:hAnsi="Verdana"/>
        </w:rPr>
      </w:pPr>
      <w:r w:rsidRPr="00EC75B7">
        <w:rPr>
          <w:rFonts w:ascii="Verdana" w:hAnsi="Verdana"/>
        </w:rPr>
        <w:t>The environmental impact assessment procedure in a cross-border context at the PUZ stage was completed after analyzing all studies and requests for clarification. The Ministry of Environment and Water of the Republic of Bulgaria, by letter no. 99.00.268-40/17.09.2025, communicated the mandatory conditions to be included in the regulatory act to be issued by the competent authorities in Romania for the investment in question, both in the planning and design phase and in the monitoring measures following the implementation of the investment proposal, i.e. after the construction of the proposed investment, namely:</w:t>
      </w:r>
    </w:p>
    <w:p w14:paraId="76CF5748" w14:textId="77777777" w:rsidR="008715BE" w:rsidRPr="00EC75B7" w:rsidRDefault="00000000">
      <w:pPr>
        <w:tabs>
          <w:tab w:val="left" w:pos="1643"/>
        </w:tabs>
        <w:spacing w:before="123" w:line="357" w:lineRule="auto"/>
        <w:ind w:left="340" w:right="707"/>
        <w:jc w:val="both"/>
        <w:rPr>
          <w:rFonts w:ascii="Verdana" w:hAnsi="Verdana"/>
          <w:i/>
          <w:sz w:val="18"/>
          <w:szCs w:val="18"/>
        </w:rPr>
      </w:pPr>
      <w:r w:rsidRPr="00EC75B7">
        <w:rPr>
          <w:rFonts w:ascii="Verdana" w:hAnsi="Verdana"/>
          <w:i/>
          <w:sz w:val="18"/>
          <w:szCs w:val="18"/>
        </w:rPr>
        <w:t>,, 1.</w:t>
      </w:r>
      <w:r w:rsidRPr="00EC75B7">
        <w:rPr>
          <w:rFonts w:ascii="Verdana" w:hAnsi="Verdana"/>
          <w:i/>
          <w:sz w:val="18"/>
          <w:szCs w:val="18"/>
        </w:rPr>
        <w:tab/>
        <w:t xml:space="preserve">"Wind Farm 48 (46) wind turbines, transformer stations, electrical connection networks, construction and modernization of communication and access roads" – will be implemented in compliance with all measures provided for in the submitted Environmental Report, with a view to preventing, reducing, and eliminating adverse effects on the environment, the living environment, and the health of the population as a result of the </w:t>
      </w:r>
      <w:r w:rsidRPr="00EC75B7">
        <w:rPr>
          <w:rFonts w:ascii="Verdana" w:hAnsi="Verdana"/>
          <w:i/>
          <w:spacing w:val="-2"/>
          <w:sz w:val="18"/>
          <w:szCs w:val="18"/>
        </w:rPr>
        <w:t>project's</w:t>
      </w:r>
      <w:r w:rsidRPr="00EC75B7">
        <w:rPr>
          <w:rFonts w:ascii="Verdana" w:hAnsi="Verdana"/>
          <w:i/>
          <w:sz w:val="18"/>
          <w:szCs w:val="18"/>
        </w:rPr>
        <w:t xml:space="preserve"> implementation</w:t>
      </w:r>
      <w:r w:rsidRPr="00EC75B7">
        <w:rPr>
          <w:rFonts w:ascii="Verdana" w:hAnsi="Verdana"/>
          <w:i/>
          <w:spacing w:val="-2"/>
          <w:sz w:val="18"/>
          <w:szCs w:val="18"/>
        </w:rPr>
        <w:t>;</w:t>
      </w:r>
    </w:p>
    <w:p w14:paraId="0B545BFF" w14:textId="77777777" w:rsidR="008715BE" w:rsidRPr="00EC75B7" w:rsidRDefault="00000000">
      <w:pPr>
        <w:pStyle w:val="ListParagraph"/>
        <w:numPr>
          <w:ilvl w:val="0"/>
          <w:numId w:val="25"/>
        </w:numPr>
        <w:tabs>
          <w:tab w:val="left" w:pos="1643"/>
        </w:tabs>
        <w:spacing w:before="126" w:line="357" w:lineRule="auto"/>
        <w:ind w:right="708" w:firstLine="0"/>
        <w:jc w:val="both"/>
        <w:rPr>
          <w:rFonts w:ascii="Verdana" w:hAnsi="Verdana"/>
          <w:i/>
          <w:sz w:val="18"/>
          <w:szCs w:val="18"/>
        </w:rPr>
      </w:pPr>
      <w:r w:rsidRPr="00EC75B7">
        <w:rPr>
          <w:rFonts w:ascii="Verdana" w:hAnsi="Verdana"/>
          <w:i/>
          <w:sz w:val="18"/>
          <w:szCs w:val="18"/>
        </w:rPr>
        <w:t>Given that the energy park is located in the immediate vicinity of the border with the Republic of Bulgaria, an assessment of the impact of physical factors in a cross-border context, in particular light effects, will be carried out during the design phase. The assessment will be forwarded to the Republic of Bulgaria;</w:t>
      </w:r>
    </w:p>
    <w:p w14:paraId="3E59FC69" w14:textId="77777777" w:rsidR="008715BE" w:rsidRPr="00EC75B7" w:rsidRDefault="008715BE">
      <w:pPr>
        <w:pStyle w:val="ListParagraph"/>
        <w:spacing w:line="357" w:lineRule="auto"/>
        <w:jc w:val="both"/>
        <w:rPr>
          <w:rFonts w:ascii="Verdana" w:hAnsi="Verdana"/>
          <w:i/>
          <w:sz w:val="18"/>
          <w:szCs w:val="18"/>
        </w:rPr>
        <w:sectPr w:rsidR="008715BE" w:rsidRPr="00EC75B7">
          <w:pgSz w:w="11910" w:h="16840"/>
          <w:pgMar w:top="1320" w:right="283" w:bottom="1020" w:left="850" w:header="766" w:footer="824" w:gutter="0"/>
          <w:cols w:space="708"/>
        </w:sectPr>
      </w:pPr>
    </w:p>
    <w:p w14:paraId="1D351985" w14:textId="77777777" w:rsidR="008715BE" w:rsidRPr="00EC75B7" w:rsidRDefault="00000000">
      <w:pPr>
        <w:pStyle w:val="ListParagraph"/>
        <w:numPr>
          <w:ilvl w:val="0"/>
          <w:numId w:val="25"/>
        </w:numPr>
        <w:tabs>
          <w:tab w:val="left" w:pos="1643"/>
        </w:tabs>
        <w:spacing w:before="102" w:line="360" w:lineRule="auto"/>
        <w:ind w:right="714" w:firstLine="0"/>
        <w:jc w:val="both"/>
        <w:rPr>
          <w:rFonts w:ascii="Verdana" w:hAnsi="Verdana"/>
          <w:i/>
          <w:sz w:val="18"/>
          <w:szCs w:val="18"/>
        </w:rPr>
      </w:pPr>
      <w:r w:rsidRPr="00EC75B7">
        <w:rPr>
          <w:rFonts w:ascii="Verdana" w:hAnsi="Verdana"/>
          <w:i/>
          <w:sz w:val="18"/>
          <w:szCs w:val="18"/>
        </w:rPr>
        <w:lastRenderedPageBreak/>
        <w:t>The paint used for wind turbines (tower and rotor) must be of the "absorbent" type, so as not to create conditions for reflections of incident light;</w:t>
      </w:r>
    </w:p>
    <w:p w14:paraId="1920C0D6" w14:textId="77777777" w:rsidR="008715BE" w:rsidRPr="00EC75B7" w:rsidRDefault="00000000">
      <w:pPr>
        <w:pStyle w:val="ListParagraph"/>
        <w:numPr>
          <w:ilvl w:val="0"/>
          <w:numId w:val="25"/>
        </w:numPr>
        <w:tabs>
          <w:tab w:val="left" w:pos="1643"/>
        </w:tabs>
        <w:spacing w:before="116" w:line="360" w:lineRule="auto"/>
        <w:ind w:right="715" w:firstLine="0"/>
        <w:jc w:val="both"/>
        <w:rPr>
          <w:rFonts w:ascii="Verdana" w:hAnsi="Verdana"/>
          <w:i/>
          <w:sz w:val="18"/>
          <w:szCs w:val="18"/>
        </w:rPr>
      </w:pPr>
      <w:r w:rsidRPr="00EC75B7">
        <w:rPr>
          <w:rFonts w:ascii="Verdana" w:hAnsi="Verdana"/>
          <w:i/>
          <w:sz w:val="18"/>
          <w:szCs w:val="18"/>
        </w:rPr>
        <w:t>After implementation of the investment proposal, controlled monitoring of noise levels, non-ionising radiation and light effects at the border with the affected Bulgarian localities will be ensured. The results of the monitoring will be transmitted to the Republic of Bulgaria.</w:t>
      </w:r>
    </w:p>
    <w:p w14:paraId="18928A17" w14:textId="76BA6D7E" w:rsidR="008715BE" w:rsidRPr="0097680B" w:rsidRDefault="00000000">
      <w:pPr>
        <w:pStyle w:val="BodyText"/>
        <w:spacing w:before="115" w:line="360" w:lineRule="auto"/>
        <w:ind w:left="340" w:right="715"/>
        <w:jc w:val="both"/>
        <w:rPr>
          <w:rFonts w:ascii="Verdana" w:hAnsi="Verdana"/>
          <w:color w:val="000000" w:themeColor="text1"/>
        </w:rPr>
      </w:pPr>
      <w:r w:rsidRPr="00EC75B7">
        <w:rPr>
          <w:rFonts w:ascii="Verdana" w:hAnsi="Verdana"/>
        </w:rPr>
        <w:t>The conditions imposed by the Bulgarian state were included in Environmental Notice No. 8/20.11.2025, issued by the Constanța County Directorate for Environmental Protection, a document that was translated into Bulgarian and English and sent, in accordance with the procedures in force, to the Ministry of Environment and Water of the Republic of Bulgaria.</w:t>
      </w:r>
      <w:r w:rsidR="001A2884">
        <w:rPr>
          <w:rFonts w:ascii="Verdana" w:hAnsi="Verdana"/>
        </w:rPr>
        <w:t xml:space="preserve"> </w:t>
      </w:r>
      <w:r w:rsidR="001A2884" w:rsidRPr="0097680B">
        <w:rPr>
          <w:rFonts w:ascii="Verdana" w:hAnsi="Verdana"/>
          <w:color w:val="000000" w:themeColor="text1"/>
        </w:rPr>
        <w:t xml:space="preserve">Also, the conditions will be </w:t>
      </w:r>
      <w:r w:rsidR="00427308" w:rsidRPr="0097680B">
        <w:rPr>
          <w:rFonts w:ascii="Verdana" w:hAnsi="Verdana"/>
          <w:color w:val="000000" w:themeColor="text1"/>
        </w:rPr>
        <w:t>included</w:t>
      </w:r>
      <w:r w:rsidR="001A2884" w:rsidRPr="0097680B">
        <w:rPr>
          <w:rFonts w:ascii="Verdana" w:hAnsi="Verdana"/>
          <w:color w:val="000000" w:themeColor="text1"/>
        </w:rPr>
        <w:t xml:space="preserve"> into the Environmetal Permit for project phase and all the </w:t>
      </w:r>
      <w:r w:rsidR="00427308" w:rsidRPr="0097680B">
        <w:rPr>
          <w:rFonts w:ascii="Verdana" w:hAnsi="Verdana"/>
          <w:color w:val="000000" w:themeColor="text1"/>
        </w:rPr>
        <w:t>monitoring during construction and operation will be submitted also to the Republic of Bulgaria.</w:t>
      </w:r>
    </w:p>
    <w:p w14:paraId="48C85E9C" w14:textId="77777777" w:rsidR="008715BE" w:rsidRDefault="00000000">
      <w:pPr>
        <w:pStyle w:val="BodyText"/>
        <w:spacing w:before="118" w:line="357" w:lineRule="auto"/>
        <w:ind w:left="340" w:right="713"/>
        <w:jc w:val="both"/>
        <w:rPr>
          <w:rFonts w:ascii="Verdana" w:hAnsi="Verdana"/>
        </w:rPr>
      </w:pPr>
      <w:r w:rsidRPr="00EC75B7">
        <w:rPr>
          <w:rFonts w:ascii="Verdana" w:hAnsi="Verdana"/>
        </w:rPr>
        <w:t>Also, for condition no. 2 mentioned above, the Shadow Study was submitted, whose conclusions indicate that the results show a negligible impact on the analyzed area, including in the case of cross-border roads and the evaluated receptors, a conclusion supported by the use of a conservative modeling scenario based on the largest turbine configuration and an extended analysis radius.</w:t>
      </w:r>
    </w:p>
    <w:p w14:paraId="1C9A5DB6" w14:textId="6909C031" w:rsidR="00427308" w:rsidRDefault="00427308">
      <w:pPr>
        <w:rPr>
          <w:rFonts w:ascii="Verdana" w:eastAsia="Verdana" w:hAnsi="Verdana" w:cs="Verdana"/>
          <w:color w:val="FF0000"/>
          <w:sz w:val="18"/>
          <w:szCs w:val="18"/>
        </w:rPr>
      </w:pPr>
      <w:r>
        <w:rPr>
          <w:rFonts w:ascii="Verdana" w:eastAsia="Verdana" w:hAnsi="Verdana" w:cs="Verdana"/>
          <w:color w:val="FF0000"/>
          <w:sz w:val="18"/>
          <w:szCs w:val="18"/>
        </w:rPr>
        <w:br w:type="page"/>
      </w:r>
    </w:p>
    <w:p w14:paraId="012F42FD" w14:textId="77777777" w:rsidR="00427308" w:rsidRDefault="00427308" w:rsidP="001A2884">
      <w:pPr>
        <w:spacing w:after="120" w:line="360" w:lineRule="auto"/>
        <w:ind w:right="-20"/>
        <w:jc w:val="both"/>
        <w:rPr>
          <w:rFonts w:ascii="Verdana" w:eastAsia="Verdana" w:hAnsi="Verdana" w:cs="Verdana"/>
          <w:color w:val="FF0000"/>
          <w:sz w:val="18"/>
          <w:szCs w:val="18"/>
        </w:rPr>
        <w:sectPr w:rsidR="00427308">
          <w:headerReference w:type="default" r:id="rId280"/>
          <w:footerReference w:type="default" r:id="rId281"/>
          <w:pgSz w:w="11910" w:h="16850"/>
          <w:pgMar w:top="1320" w:right="283" w:bottom="1020" w:left="850" w:header="834" w:footer="823" w:gutter="0"/>
          <w:cols w:space="708"/>
        </w:sectPr>
      </w:pPr>
    </w:p>
    <w:p w14:paraId="361F1708" w14:textId="77777777" w:rsidR="00427308" w:rsidRPr="001A2884" w:rsidRDefault="00427308" w:rsidP="001A2884">
      <w:pPr>
        <w:spacing w:after="120" w:line="360" w:lineRule="auto"/>
        <w:ind w:right="-20"/>
        <w:jc w:val="both"/>
        <w:rPr>
          <w:rFonts w:ascii="Verdana" w:eastAsia="Verdana" w:hAnsi="Verdana" w:cs="Verdana"/>
          <w:color w:val="FF0000"/>
          <w:sz w:val="18"/>
          <w:szCs w:val="18"/>
        </w:rPr>
      </w:pPr>
    </w:p>
    <w:p w14:paraId="6A544104" w14:textId="77777777" w:rsidR="001A2884" w:rsidRPr="001A2884" w:rsidRDefault="001A2884" w:rsidP="001A2884">
      <w:pPr>
        <w:widowControl/>
        <w:autoSpaceDE/>
        <w:autoSpaceDN/>
        <w:spacing w:line="260" w:lineRule="atLeast"/>
        <w:rPr>
          <w:rFonts w:ascii="Verdana" w:eastAsia="Verdana" w:hAnsi="Verdana" w:cs="Times New Roman"/>
          <w:color w:val="FF0000"/>
          <w:sz w:val="18"/>
          <w:szCs w:val="18"/>
        </w:rPr>
      </w:pPr>
    </w:p>
    <w:tbl>
      <w:tblPr>
        <w:tblStyle w:val="TableGrid"/>
        <w:tblW w:w="5384" w:type="pct"/>
        <w:tblInd w:w="-702"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787"/>
        <w:gridCol w:w="1541"/>
        <w:gridCol w:w="1599"/>
        <w:gridCol w:w="1665"/>
        <w:gridCol w:w="1294"/>
        <w:gridCol w:w="1297"/>
        <w:gridCol w:w="1415"/>
        <w:gridCol w:w="1419"/>
        <w:gridCol w:w="1172"/>
        <w:gridCol w:w="1228"/>
        <w:gridCol w:w="1172"/>
      </w:tblGrid>
      <w:tr w:rsidR="001A2884" w:rsidRPr="001A2884" w14:paraId="2556A2B0" w14:textId="77777777" w:rsidTr="00FB179F">
        <w:trPr>
          <w:tblHeader/>
        </w:trPr>
        <w:tc>
          <w:tcPr>
            <w:tcW w:w="573" w:type="pct"/>
            <w:vMerge w:val="restart"/>
            <w:shd w:val="clear" w:color="auto" w:fill="009DF0"/>
          </w:tcPr>
          <w:p w14:paraId="3D4F2127" w14:textId="77777777" w:rsidR="001A2884" w:rsidRPr="0097680B" w:rsidRDefault="001A2884" w:rsidP="001A2884">
            <w:pPr>
              <w:rPr>
                <w:rFonts w:ascii="Verdana" w:eastAsia="Verdana" w:hAnsi="Verdana" w:cs="Times New Roman"/>
                <w:b/>
                <w:bCs/>
                <w:color w:val="000000" w:themeColor="text1"/>
              </w:rPr>
            </w:pPr>
            <w:r w:rsidRPr="0097680B">
              <w:rPr>
                <w:rFonts w:ascii="Verdana" w:eastAsia="Verdana" w:hAnsi="Verdana" w:cs="Times New Roman"/>
                <w:b/>
                <w:bCs/>
                <w:color w:val="000000" w:themeColor="text1"/>
              </w:rPr>
              <w:t>Project phase</w:t>
            </w:r>
          </w:p>
        </w:tc>
        <w:tc>
          <w:tcPr>
            <w:tcW w:w="494" w:type="pct"/>
            <w:vMerge w:val="restart"/>
            <w:shd w:val="clear" w:color="auto" w:fill="009DF0"/>
          </w:tcPr>
          <w:p w14:paraId="1FB7A1D2" w14:textId="77777777" w:rsidR="001A2884" w:rsidRPr="0097680B" w:rsidRDefault="001A2884" w:rsidP="001A2884">
            <w:pPr>
              <w:rPr>
                <w:rFonts w:ascii="Verdana" w:eastAsia="Verdana" w:hAnsi="Verdana" w:cs="Times New Roman"/>
                <w:b/>
                <w:bCs/>
                <w:color w:val="000000" w:themeColor="text1"/>
              </w:rPr>
            </w:pPr>
            <w:r w:rsidRPr="0097680B">
              <w:rPr>
                <w:rFonts w:ascii="Verdana" w:eastAsia="Verdana" w:hAnsi="Verdana" w:cs="Times New Roman"/>
                <w:b/>
                <w:bCs/>
                <w:color w:val="000000" w:themeColor="text1"/>
              </w:rPr>
              <w:t>Activities in the vicinity of the plan</w:t>
            </w:r>
          </w:p>
        </w:tc>
        <w:tc>
          <w:tcPr>
            <w:tcW w:w="3933" w:type="pct"/>
            <w:gridSpan w:val="9"/>
            <w:shd w:val="clear" w:color="auto" w:fill="009DF0"/>
            <w:vAlign w:val="center"/>
          </w:tcPr>
          <w:p w14:paraId="62C7C828"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Cumulative cross-border impact</w:t>
            </w:r>
          </w:p>
        </w:tc>
      </w:tr>
      <w:tr w:rsidR="001A2884" w:rsidRPr="001A2884" w14:paraId="5D2A7117" w14:textId="77777777" w:rsidTr="00FB179F">
        <w:trPr>
          <w:tblHeader/>
        </w:trPr>
        <w:tc>
          <w:tcPr>
            <w:tcW w:w="573" w:type="pct"/>
            <w:vMerge/>
            <w:shd w:val="clear" w:color="auto" w:fill="009DF0"/>
          </w:tcPr>
          <w:p w14:paraId="07AC12F5" w14:textId="77777777" w:rsidR="001A2884" w:rsidRPr="0097680B" w:rsidRDefault="001A2884" w:rsidP="001A2884">
            <w:pPr>
              <w:rPr>
                <w:rFonts w:ascii="Verdana" w:eastAsia="Verdana" w:hAnsi="Verdana" w:cs="Times New Roman"/>
                <w:b/>
                <w:bCs/>
                <w:color w:val="000000" w:themeColor="text1"/>
              </w:rPr>
            </w:pPr>
          </w:p>
        </w:tc>
        <w:tc>
          <w:tcPr>
            <w:tcW w:w="494" w:type="pct"/>
            <w:vMerge/>
            <w:shd w:val="clear" w:color="auto" w:fill="009DF0"/>
          </w:tcPr>
          <w:p w14:paraId="6F5FEC63" w14:textId="77777777" w:rsidR="001A2884" w:rsidRPr="0097680B" w:rsidRDefault="001A2884" w:rsidP="001A2884">
            <w:pPr>
              <w:rPr>
                <w:rFonts w:ascii="Verdana" w:eastAsia="Verdana" w:hAnsi="Verdana" w:cs="Times New Roman"/>
                <w:b/>
                <w:bCs/>
                <w:color w:val="000000" w:themeColor="text1"/>
              </w:rPr>
            </w:pPr>
          </w:p>
        </w:tc>
        <w:tc>
          <w:tcPr>
            <w:tcW w:w="513" w:type="pct"/>
            <w:shd w:val="clear" w:color="auto" w:fill="009DF0"/>
            <w:vAlign w:val="center"/>
          </w:tcPr>
          <w:p w14:paraId="4DFC7252"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Water</w:t>
            </w:r>
          </w:p>
        </w:tc>
        <w:tc>
          <w:tcPr>
            <w:tcW w:w="534" w:type="pct"/>
            <w:shd w:val="clear" w:color="auto" w:fill="009DF0"/>
            <w:vAlign w:val="center"/>
          </w:tcPr>
          <w:p w14:paraId="68BAA467"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Air</w:t>
            </w:r>
          </w:p>
        </w:tc>
        <w:tc>
          <w:tcPr>
            <w:tcW w:w="415" w:type="pct"/>
            <w:shd w:val="clear" w:color="auto" w:fill="009DF0"/>
            <w:vAlign w:val="center"/>
          </w:tcPr>
          <w:p w14:paraId="5B4203D8"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Ground/Basement</w:t>
            </w:r>
          </w:p>
        </w:tc>
        <w:tc>
          <w:tcPr>
            <w:tcW w:w="416" w:type="pct"/>
            <w:shd w:val="clear" w:color="auto" w:fill="009DF0"/>
            <w:vAlign w:val="center"/>
          </w:tcPr>
          <w:p w14:paraId="0E9A5C0D"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Natural resources</w:t>
            </w:r>
          </w:p>
        </w:tc>
        <w:tc>
          <w:tcPr>
            <w:tcW w:w="454" w:type="pct"/>
            <w:shd w:val="clear" w:color="auto" w:fill="009DF0"/>
            <w:vAlign w:val="center"/>
          </w:tcPr>
          <w:p w14:paraId="52CA0563"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Waste</w:t>
            </w:r>
          </w:p>
        </w:tc>
        <w:tc>
          <w:tcPr>
            <w:tcW w:w="455" w:type="pct"/>
            <w:shd w:val="clear" w:color="auto" w:fill="009DF0"/>
            <w:vAlign w:val="center"/>
          </w:tcPr>
          <w:p w14:paraId="2B3D7651"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Noise and vibration</w:t>
            </w:r>
          </w:p>
        </w:tc>
        <w:tc>
          <w:tcPr>
            <w:tcW w:w="376" w:type="pct"/>
            <w:shd w:val="clear" w:color="auto" w:fill="009DF0"/>
            <w:vAlign w:val="center"/>
          </w:tcPr>
          <w:p w14:paraId="6FF0C29C"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Population and human health</w:t>
            </w:r>
          </w:p>
        </w:tc>
        <w:tc>
          <w:tcPr>
            <w:tcW w:w="394" w:type="pct"/>
            <w:shd w:val="clear" w:color="auto" w:fill="009DF0"/>
            <w:vAlign w:val="center"/>
          </w:tcPr>
          <w:p w14:paraId="0266DBED"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Climate</w:t>
            </w:r>
          </w:p>
        </w:tc>
        <w:tc>
          <w:tcPr>
            <w:tcW w:w="376" w:type="pct"/>
            <w:shd w:val="clear" w:color="auto" w:fill="009DF0"/>
            <w:vAlign w:val="center"/>
          </w:tcPr>
          <w:p w14:paraId="3F0FD350" w14:textId="77777777" w:rsidR="001A2884" w:rsidRPr="0097680B" w:rsidRDefault="001A2884" w:rsidP="001A2884">
            <w:pPr>
              <w:jc w:val="center"/>
              <w:rPr>
                <w:rFonts w:ascii="Verdana" w:eastAsia="Verdana" w:hAnsi="Verdana" w:cs="Times New Roman"/>
                <w:b/>
                <w:bCs/>
                <w:color w:val="000000" w:themeColor="text1"/>
              </w:rPr>
            </w:pPr>
            <w:r w:rsidRPr="0097680B">
              <w:rPr>
                <w:rFonts w:ascii="Verdana" w:eastAsia="Verdana" w:hAnsi="Verdana" w:cs="Times New Roman"/>
                <w:b/>
                <w:bCs/>
                <w:color w:val="000000" w:themeColor="text1"/>
              </w:rPr>
              <w:t>Cultural heritage</w:t>
            </w:r>
          </w:p>
        </w:tc>
      </w:tr>
      <w:tr w:rsidR="001A2884" w:rsidRPr="001A2884" w14:paraId="7BBC748C" w14:textId="77777777" w:rsidTr="00FB179F">
        <w:tc>
          <w:tcPr>
            <w:tcW w:w="573" w:type="pct"/>
            <w:vMerge w:val="restart"/>
            <w:vAlign w:val="center"/>
          </w:tcPr>
          <w:p w14:paraId="404165B5" w14:textId="77777777" w:rsidR="001A2884" w:rsidRPr="0097680B" w:rsidRDefault="001A2884" w:rsidP="001A2884">
            <w:pPr>
              <w:rPr>
                <w:rFonts w:ascii="Verdana" w:eastAsia="Verdana" w:hAnsi="Verdana" w:cs="Times New Roman"/>
                <w:b/>
                <w:bCs/>
                <w:color w:val="000000" w:themeColor="text1"/>
              </w:rPr>
            </w:pPr>
            <w:r w:rsidRPr="0097680B">
              <w:rPr>
                <w:rFonts w:ascii="Verdana" w:eastAsia="Verdana" w:hAnsi="Verdana" w:cs="Times New Roman"/>
                <w:b/>
                <w:bCs/>
                <w:color w:val="000000" w:themeColor="text1"/>
              </w:rPr>
              <w:t>Construction/decommissioning</w:t>
            </w:r>
          </w:p>
        </w:tc>
        <w:tc>
          <w:tcPr>
            <w:tcW w:w="494" w:type="pct"/>
            <w:vAlign w:val="center"/>
          </w:tcPr>
          <w:p w14:paraId="27E7AF3E"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Agricultural activities – immediate vicinity</w:t>
            </w:r>
          </w:p>
        </w:tc>
        <w:tc>
          <w:tcPr>
            <w:tcW w:w="513" w:type="pct"/>
          </w:tcPr>
          <w:p w14:paraId="7E3A92D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 xml:space="preserve">Rainwater infiltrates the soil and does not reach the transboundary rivers </w:t>
            </w:r>
          </w:p>
          <w:p w14:paraId="28215B71" w14:textId="77777777" w:rsidR="001A2884" w:rsidRPr="0097680B" w:rsidRDefault="001A2884" w:rsidP="001A2884">
            <w:pPr>
              <w:jc w:val="both"/>
              <w:rPr>
                <w:rFonts w:ascii="Verdana" w:eastAsia="Verdana" w:hAnsi="Verdana" w:cs="Times New Roman"/>
                <w:color w:val="000000" w:themeColor="text1"/>
              </w:rPr>
            </w:pPr>
          </w:p>
          <w:p w14:paraId="22BDBD38"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No wastewater is discharged into surface water bodies crossing the border, and the regional groundwater has no significant transboundary flow.</w:t>
            </w:r>
          </w:p>
        </w:tc>
        <w:tc>
          <w:tcPr>
            <w:tcW w:w="534" w:type="pct"/>
            <w:vAlign w:val="center"/>
          </w:tcPr>
          <w:p w14:paraId="6410C58A"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relevant emissions are dust and exhaust gases from machinery; dissipates quickly, and the distance to the border (&gt; 1.5 km) and the short duration do not allow the limit concentrations to be exceeded on the territory of the neighboring state</w:t>
            </w:r>
          </w:p>
        </w:tc>
        <w:tc>
          <w:tcPr>
            <w:tcW w:w="415" w:type="pct"/>
            <w:vAlign w:val="center"/>
          </w:tcPr>
          <w:p w14:paraId="727721D0"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excavations only produce temporary storage of earth and gravel on site; There is no mechanism for the effect to cross the border.</w:t>
            </w:r>
          </w:p>
        </w:tc>
        <w:tc>
          <w:tcPr>
            <w:tcW w:w="416" w:type="pct"/>
            <w:vAlign w:val="center"/>
          </w:tcPr>
          <w:p w14:paraId="5F590AD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materials (ballast, cement, steel) come from the local market of the host country; their extraction/reduction of availability does not affect resources across the border.</w:t>
            </w:r>
          </w:p>
        </w:tc>
        <w:tc>
          <w:tcPr>
            <w:tcW w:w="454" w:type="pct"/>
            <w:vAlign w:val="center"/>
          </w:tcPr>
          <w:p w14:paraId="7602CC79"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Plant and construction debris are collected and disposed of at nearby licensed facilities. No waste is transported or deposited across the border.</w:t>
            </w:r>
          </w:p>
        </w:tc>
        <w:tc>
          <w:tcPr>
            <w:tcW w:w="455" w:type="pct"/>
            <w:vAlign w:val="center"/>
          </w:tcPr>
          <w:p w14:paraId="646B3863"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t>Site noise levels (70-75 dB(A) at source) fall below 35-40 dB(A) at 1 km; at the border are below the WHO materiality thresholds, so there is no cross-border health impact.</w:t>
            </w:r>
          </w:p>
        </w:tc>
        <w:tc>
          <w:tcPr>
            <w:tcW w:w="376" w:type="pct"/>
            <w:vAlign w:val="center"/>
          </w:tcPr>
          <w:p w14:paraId="005F26A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Direct exposure is limited to nearby rural areas; The population across the border is not exposed to any additional risk factors.</w:t>
            </w:r>
          </w:p>
        </w:tc>
        <w:tc>
          <w:tcPr>
            <w:tcW w:w="394" w:type="pct"/>
            <w:vAlign w:val="center"/>
          </w:tcPr>
          <w:p w14:paraId="5D5B8639"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GHG emissions from construction (diesel machinery) are negligible compared to the national inventory and irrelevant on a transboundary scale.</w:t>
            </w:r>
          </w:p>
        </w:tc>
        <w:tc>
          <w:tcPr>
            <w:tcW w:w="376" w:type="pct"/>
            <w:vAlign w:val="center"/>
          </w:tcPr>
          <w:p w14:paraId="1B392E93"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There are no common archaeological sites on the border that are influenced by the works.</w:t>
            </w:r>
          </w:p>
        </w:tc>
      </w:tr>
      <w:tr w:rsidR="001A2884" w:rsidRPr="001A2884" w14:paraId="26C5070F" w14:textId="77777777" w:rsidTr="00FB179F">
        <w:tc>
          <w:tcPr>
            <w:tcW w:w="573" w:type="pct"/>
            <w:vMerge/>
          </w:tcPr>
          <w:p w14:paraId="07D01314" w14:textId="77777777" w:rsidR="001A2884" w:rsidRPr="0097680B" w:rsidRDefault="001A2884" w:rsidP="001A2884">
            <w:pPr>
              <w:rPr>
                <w:rFonts w:ascii="Verdana" w:eastAsia="Verdana" w:hAnsi="Verdana" w:cs="Times New Roman"/>
                <w:b/>
                <w:bCs/>
                <w:color w:val="000000" w:themeColor="text1"/>
              </w:rPr>
            </w:pPr>
          </w:p>
        </w:tc>
        <w:tc>
          <w:tcPr>
            <w:tcW w:w="494" w:type="pct"/>
            <w:vAlign w:val="center"/>
          </w:tcPr>
          <w:p w14:paraId="54788F40"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Power generation activities (Karnobat Wind Farm) – 5.6 km</w:t>
            </w:r>
          </w:p>
        </w:tc>
        <w:tc>
          <w:tcPr>
            <w:tcW w:w="513" w:type="pct"/>
            <w:vAlign w:val="center"/>
          </w:tcPr>
          <w:p w14:paraId="301C71CD"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Bulgarian turbines do not discharge water; The direction of the underground flow is opposite to the border</w:t>
            </w:r>
          </w:p>
        </w:tc>
        <w:tc>
          <w:tcPr>
            <w:tcW w:w="534" w:type="pct"/>
            <w:vAlign w:val="center"/>
          </w:tcPr>
          <w:p w14:paraId="4E46A05C"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air is not loaded with pollutants, and there are no odor sources.</w:t>
            </w:r>
          </w:p>
        </w:tc>
        <w:tc>
          <w:tcPr>
            <w:tcW w:w="415" w:type="pct"/>
            <w:vAlign w:val="center"/>
          </w:tcPr>
          <w:p w14:paraId="0682CFED"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 xml:space="preserve">The foundations are stable; no particles are transported to Romania, the cross-border </w:t>
            </w:r>
            <w:r w:rsidRPr="0097680B">
              <w:rPr>
                <w:rFonts w:ascii="Verdana" w:eastAsia="Verdana" w:hAnsi="Verdana" w:cs="Times New Roman"/>
                <w:color w:val="000000" w:themeColor="text1"/>
              </w:rPr>
              <w:lastRenderedPageBreak/>
              <w:t xml:space="preserve">impact being zero </w:t>
            </w:r>
          </w:p>
        </w:tc>
        <w:tc>
          <w:tcPr>
            <w:tcW w:w="416" w:type="pct"/>
            <w:vAlign w:val="center"/>
          </w:tcPr>
          <w:p w14:paraId="636F7D27"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In the process of operating the park, no natural resources related to the Romanian state are used</w:t>
            </w:r>
          </w:p>
        </w:tc>
        <w:tc>
          <w:tcPr>
            <w:tcW w:w="454" w:type="pct"/>
            <w:vAlign w:val="center"/>
          </w:tcPr>
          <w:p w14:paraId="47213B00"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waste is not transported across borders, so the impact is zero</w:t>
            </w:r>
          </w:p>
        </w:tc>
        <w:tc>
          <w:tcPr>
            <w:tcW w:w="455" w:type="pct"/>
            <w:vAlign w:val="center"/>
          </w:tcPr>
          <w:p w14:paraId="60E1562D"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t xml:space="preserve">Given the distance from the border and the fact that the disturbance caused by the noise produced by a wind farm </w:t>
            </w:r>
            <w:r w:rsidRPr="0097680B">
              <w:rPr>
                <w:rFonts w:ascii="Verdana" w:eastAsia="Verdana" w:hAnsi="Verdana" w:cs="Times New Roman"/>
                <w:color w:val="000000" w:themeColor="text1"/>
              </w:rPr>
              <w:lastRenderedPageBreak/>
              <w:t>is felt at a maximum of 500 m, the transboundary impact is zero</w:t>
            </w:r>
          </w:p>
        </w:tc>
        <w:tc>
          <w:tcPr>
            <w:tcW w:w="376" w:type="pct"/>
            <w:vAlign w:val="center"/>
          </w:tcPr>
          <w:p w14:paraId="3FB3DAC2"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The localities in the immediate vicinity, given the distance from the wind infrastructure, are </w:t>
            </w:r>
            <w:r w:rsidRPr="0097680B">
              <w:rPr>
                <w:rFonts w:ascii="Verdana" w:eastAsia="Verdana" w:hAnsi="Verdana" w:cs="Times New Roman"/>
                <w:color w:val="000000" w:themeColor="text1"/>
              </w:rPr>
              <w:lastRenderedPageBreak/>
              <w:t>not affected</w:t>
            </w:r>
          </w:p>
        </w:tc>
        <w:tc>
          <w:tcPr>
            <w:tcW w:w="394" w:type="pct"/>
            <w:vAlign w:val="center"/>
          </w:tcPr>
          <w:p w14:paraId="71DC1938"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The operation of the park does not bring a GHG contribution to the local level</w:t>
            </w:r>
          </w:p>
        </w:tc>
        <w:tc>
          <w:tcPr>
            <w:tcW w:w="376" w:type="pct"/>
            <w:vAlign w:val="center"/>
          </w:tcPr>
          <w:p w14:paraId="23C063E5"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Turbines do not influence Romanian historical sites</w:t>
            </w:r>
          </w:p>
        </w:tc>
      </w:tr>
      <w:tr w:rsidR="001A2884" w:rsidRPr="001A2884" w14:paraId="5B841F52" w14:textId="77777777" w:rsidTr="00FB179F">
        <w:tc>
          <w:tcPr>
            <w:tcW w:w="573" w:type="pct"/>
            <w:vMerge/>
          </w:tcPr>
          <w:p w14:paraId="6FAC8D22" w14:textId="77777777" w:rsidR="001A2884" w:rsidRPr="0097680B" w:rsidRDefault="001A2884" w:rsidP="001A2884">
            <w:pPr>
              <w:rPr>
                <w:rFonts w:ascii="Verdana" w:eastAsia="Verdana" w:hAnsi="Verdana" w:cs="Times New Roman"/>
                <w:b/>
                <w:bCs/>
                <w:color w:val="000000" w:themeColor="text1"/>
              </w:rPr>
            </w:pPr>
          </w:p>
        </w:tc>
        <w:tc>
          <w:tcPr>
            <w:tcW w:w="494" w:type="pct"/>
            <w:vAlign w:val="center"/>
          </w:tcPr>
          <w:p w14:paraId="49AF4484"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Transport infrastructure Road II – 29 Dobrich – Border with Romania – 1.5 km</w:t>
            </w:r>
          </w:p>
        </w:tc>
        <w:tc>
          <w:tcPr>
            <w:tcW w:w="513" w:type="pct"/>
            <w:vAlign w:val="center"/>
          </w:tcPr>
          <w:p w14:paraId="63E45CD5"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Road gutters prevent cumulative cross-border impacts</w:t>
            </w:r>
          </w:p>
        </w:tc>
        <w:tc>
          <w:tcPr>
            <w:tcW w:w="534" w:type="pct"/>
            <w:vAlign w:val="center"/>
          </w:tcPr>
          <w:p w14:paraId="4ACA5243"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Possible temporary impact due to site traffic and construction work</w:t>
            </w:r>
          </w:p>
        </w:tc>
        <w:tc>
          <w:tcPr>
            <w:tcW w:w="415" w:type="pct"/>
            <w:vAlign w:val="center"/>
          </w:tcPr>
          <w:p w14:paraId="4EC2A9FB"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Existing infrastructure has no potential to have a cross-border impact</w:t>
            </w:r>
          </w:p>
        </w:tc>
        <w:tc>
          <w:tcPr>
            <w:tcW w:w="416" w:type="pct"/>
            <w:vAlign w:val="center"/>
          </w:tcPr>
          <w:p w14:paraId="1CFFF3A1"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existing infrastructure does not use natural resources other than local ones</w:t>
            </w:r>
          </w:p>
        </w:tc>
        <w:tc>
          <w:tcPr>
            <w:tcW w:w="454" w:type="pct"/>
            <w:vAlign w:val="center"/>
          </w:tcPr>
          <w:p w14:paraId="22321B1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No cross-border waste is conveyed</w:t>
            </w:r>
          </w:p>
        </w:tc>
        <w:tc>
          <w:tcPr>
            <w:tcW w:w="455" w:type="pct"/>
            <w:vAlign w:val="center"/>
          </w:tcPr>
          <w:p w14:paraId="77470724"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t>Even if the noise level will increase locally, it does not cumulate with the existing infrastructure</w:t>
            </w:r>
          </w:p>
        </w:tc>
        <w:tc>
          <w:tcPr>
            <w:tcW w:w="376" w:type="pct"/>
            <w:vAlign w:val="center"/>
          </w:tcPr>
          <w:p w14:paraId="7AE9E796"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Romanian population will not perceive changes, the exposure remaining unchanged</w:t>
            </w:r>
          </w:p>
        </w:tc>
        <w:tc>
          <w:tcPr>
            <w:tcW w:w="394" w:type="pct"/>
            <w:vAlign w:val="center"/>
          </w:tcPr>
          <w:p w14:paraId="7A665AE7"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climate impact will be insignificant</w:t>
            </w:r>
          </w:p>
        </w:tc>
        <w:tc>
          <w:tcPr>
            <w:tcW w:w="376" w:type="pct"/>
            <w:vAlign w:val="center"/>
          </w:tcPr>
          <w:p w14:paraId="43BA4209"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existing infrastructure does not affect common cultural areas or historical landscapes</w:t>
            </w:r>
          </w:p>
        </w:tc>
      </w:tr>
      <w:tr w:rsidR="001A2884" w:rsidRPr="001A2884" w14:paraId="540104D8" w14:textId="77777777" w:rsidTr="00FB179F">
        <w:tc>
          <w:tcPr>
            <w:tcW w:w="573" w:type="pct"/>
            <w:vMerge w:val="restart"/>
            <w:vAlign w:val="center"/>
          </w:tcPr>
          <w:p w14:paraId="76B274A3" w14:textId="77777777" w:rsidR="001A2884" w:rsidRPr="0097680B" w:rsidRDefault="001A2884" w:rsidP="001A2884">
            <w:pPr>
              <w:rPr>
                <w:rFonts w:ascii="Verdana" w:eastAsia="Verdana" w:hAnsi="Verdana" w:cs="Times New Roman"/>
                <w:b/>
                <w:bCs/>
                <w:color w:val="000000" w:themeColor="text1"/>
              </w:rPr>
            </w:pPr>
            <w:r w:rsidRPr="0097680B">
              <w:rPr>
                <w:rFonts w:ascii="Verdana" w:eastAsia="Verdana" w:hAnsi="Verdana" w:cs="Times New Roman"/>
                <w:b/>
                <w:bCs/>
                <w:color w:val="000000" w:themeColor="text1"/>
              </w:rPr>
              <w:t>Operation</w:t>
            </w:r>
          </w:p>
        </w:tc>
        <w:tc>
          <w:tcPr>
            <w:tcW w:w="494" w:type="pct"/>
            <w:vAlign w:val="center"/>
          </w:tcPr>
          <w:p w14:paraId="373187FA"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Agricultural activities – immediate vicinity</w:t>
            </w:r>
          </w:p>
        </w:tc>
        <w:tc>
          <w:tcPr>
            <w:tcW w:w="513" w:type="pct"/>
            <w:vAlign w:val="center"/>
          </w:tcPr>
          <w:p w14:paraId="023A57EB"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Rainwater penetrates the ground and does not reach the border rivers.</w:t>
            </w:r>
          </w:p>
        </w:tc>
        <w:tc>
          <w:tcPr>
            <w:tcW w:w="534" w:type="pct"/>
            <w:vAlign w:val="center"/>
          </w:tcPr>
          <w:p w14:paraId="134B7A89"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dust produced dissipates quickly and does not increase pollution at the border.</w:t>
            </w:r>
          </w:p>
        </w:tc>
        <w:tc>
          <w:tcPr>
            <w:tcW w:w="415" w:type="pct"/>
            <w:vAlign w:val="center"/>
          </w:tcPr>
          <w:p w14:paraId="51A89B09"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Light tillage does not create erosion that influences transboundary soiling.</w:t>
            </w:r>
            <w:r w:rsidRPr="0097680B">
              <w:rPr>
                <w:rFonts w:ascii="Verdana" w:eastAsia="Verdana" w:hAnsi="Verdana" w:cs="Times New Roman"/>
                <w:color w:val="000000" w:themeColor="text1"/>
              </w:rPr>
              <w:tab/>
            </w:r>
          </w:p>
        </w:tc>
        <w:tc>
          <w:tcPr>
            <w:tcW w:w="416" w:type="pct"/>
            <w:vAlign w:val="center"/>
          </w:tcPr>
          <w:p w14:paraId="4C507AC4"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Fertilizers and fuel come from the local market; no resources from the neighboring country are used.</w:t>
            </w:r>
          </w:p>
        </w:tc>
        <w:tc>
          <w:tcPr>
            <w:tcW w:w="454" w:type="pct"/>
            <w:vAlign w:val="center"/>
          </w:tcPr>
          <w:p w14:paraId="46828A84"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straw remains in the field and is briquetted or incorporated; No waste is transported across the border.</w:t>
            </w:r>
          </w:p>
        </w:tc>
        <w:tc>
          <w:tcPr>
            <w:tcW w:w="455" w:type="pct"/>
            <w:vAlign w:val="center"/>
          </w:tcPr>
          <w:p w14:paraId="1908D793"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t>The sound of the machines fades before the border and remains below the level allowed in rural areas.</w:t>
            </w:r>
          </w:p>
        </w:tc>
        <w:tc>
          <w:tcPr>
            <w:tcW w:w="376" w:type="pct"/>
            <w:vAlign w:val="center"/>
          </w:tcPr>
          <w:p w14:paraId="0342F248"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distance to the villages in the neighboring country is too long for risks or discomfort to occur.</w:t>
            </w:r>
          </w:p>
        </w:tc>
        <w:tc>
          <w:tcPr>
            <w:tcW w:w="394" w:type="pct"/>
            <w:vAlign w:val="center"/>
          </w:tcPr>
          <w:p w14:paraId="3A555965"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Emissions from agriculture are very low and do not influence the climate abroad.</w:t>
            </w:r>
          </w:p>
        </w:tc>
        <w:tc>
          <w:tcPr>
            <w:tcW w:w="376" w:type="pct"/>
            <w:vAlign w:val="center"/>
          </w:tcPr>
          <w:p w14:paraId="77535C18"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agricultural landscape does not contain common cultural objectives that could be affected.</w:t>
            </w:r>
          </w:p>
        </w:tc>
      </w:tr>
      <w:tr w:rsidR="001A2884" w:rsidRPr="001A2884" w14:paraId="1C03E8FA" w14:textId="77777777" w:rsidTr="00FB179F">
        <w:tc>
          <w:tcPr>
            <w:tcW w:w="573" w:type="pct"/>
            <w:vMerge/>
          </w:tcPr>
          <w:p w14:paraId="4623C3AF" w14:textId="77777777" w:rsidR="001A2884" w:rsidRPr="0097680B" w:rsidRDefault="001A2884" w:rsidP="001A2884">
            <w:pPr>
              <w:rPr>
                <w:rFonts w:ascii="Verdana" w:eastAsia="Verdana" w:hAnsi="Verdana" w:cs="Times New Roman"/>
                <w:b/>
                <w:bCs/>
                <w:color w:val="000000" w:themeColor="text1"/>
              </w:rPr>
            </w:pPr>
          </w:p>
        </w:tc>
        <w:tc>
          <w:tcPr>
            <w:tcW w:w="494" w:type="pct"/>
            <w:vAlign w:val="center"/>
          </w:tcPr>
          <w:p w14:paraId="6516FC05"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 xml:space="preserve">Power generation activities (Karnobat </w:t>
            </w:r>
            <w:r w:rsidRPr="0097680B">
              <w:rPr>
                <w:rFonts w:ascii="Verdana" w:eastAsia="Verdana" w:hAnsi="Verdana" w:cs="Times New Roman"/>
                <w:color w:val="000000" w:themeColor="text1"/>
              </w:rPr>
              <w:lastRenderedPageBreak/>
              <w:t>Wind Farm) – 5.6 km</w:t>
            </w:r>
          </w:p>
        </w:tc>
        <w:tc>
          <w:tcPr>
            <w:tcW w:w="513" w:type="pct"/>
            <w:vAlign w:val="center"/>
          </w:tcPr>
          <w:p w14:paraId="3DCF37CA"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Turbines do not generate wastewater; Any hydraulic oil is in closed </w:t>
            </w:r>
            <w:r w:rsidRPr="0097680B">
              <w:rPr>
                <w:rFonts w:ascii="Verdana" w:eastAsia="Verdana" w:hAnsi="Verdana" w:cs="Times New Roman"/>
                <w:color w:val="000000" w:themeColor="text1"/>
              </w:rPr>
              <w:lastRenderedPageBreak/>
              <w:t>circuits, with retention systems, so the risk of cross-border contamination is non-existent.</w:t>
            </w:r>
          </w:p>
        </w:tc>
        <w:tc>
          <w:tcPr>
            <w:tcW w:w="534" w:type="pct"/>
            <w:vAlign w:val="center"/>
          </w:tcPr>
          <w:p w14:paraId="519C1068"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The operation does not produce atmospheric emissions; in </w:t>
            </w:r>
            <w:r w:rsidRPr="0097680B">
              <w:rPr>
                <w:rFonts w:ascii="Verdana" w:eastAsia="Verdana" w:hAnsi="Verdana" w:cs="Times New Roman"/>
                <w:color w:val="000000" w:themeColor="text1"/>
              </w:rPr>
              <w:lastRenderedPageBreak/>
              <w:t>fact, it replaces fossil sources and reduces regional pollution.</w:t>
            </w:r>
          </w:p>
        </w:tc>
        <w:tc>
          <w:tcPr>
            <w:tcW w:w="415" w:type="pct"/>
            <w:vAlign w:val="center"/>
          </w:tcPr>
          <w:p w14:paraId="6B2E3F51"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Minimal contact with the ground after the </w:t>
            </w:r>
            <w:r w:rsidRPr="0097680B">
              <w:rPr>
                <w:rFonts w:ascii="Verdana" w:eastAsia="Verdana" w:hAnsi="Verdana" w:cs="Times New Roman"/>
                <w:color w:val="000000" w:themeColor="text1"/>
              </w:rPr>
              <w:lastRenderedPageBreak/>
              <w:t>completion of the foundations; there are no erosion or contamination processes that cross the border.</w:t>
            </w:r>
          </w:p>
        </w:tc>
        <w:tc>
          <w:tcPr>
            <w:tcW w:w="416" w:type="pct"/>
            <w:vAlign w:val="center"/>
          </w:tcPr>
          <w:p w14:paraId="684008F3"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The consumption of resources is limited to </w:t>
            </w:r>
            <w:r w:rsidRPr="0097680B">
              <w:rPr>
                <w:rFonts w:ascii="Verdana" w:eastAsia="Verdana" w:hAnsi="Verdana" w:cs="Times New Roman"/>
                <w:color w:val="000000" w:themeColor="text1"/>
              </w:rPr>
              <w:lastRenderedPageBreak/>
              <w:t>spare parts; their extraction is not related to territories in the neighboring state.</w:t>
            </w:r>
          </w:p>
        </w:tc>
        <w:tc>
          <w:tcPr>
            <w:tcW w:w="454" w:type="pct"/>
            <w:vAlign w:val="center"/>
          </w:tcPr>
          <w:p w14:paraId="7BA43C4C"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Maintenance waste (filters, oils) is small in volume and </w:t>
            </w:r>
            <w:r w:rsidRPr="0097680B">
              <w:rPr>
                <w:rFonts w:ascii="Verdana" w:eastAsia="Verdana" w:hAnsi="Verdana" w:cs="Times New Roman"/>
                <w:color w:val="000000" w:themeColor="text1"/>
              </w:rPr>
              <w:lastRenderedPageBreak/>
              <w:t>is managed by authorized operators in the host country.</w:t>
            </w:r>
          </w:p>
        </w:tc>
        <w:tc>
          <w:tcPr>
            <w:tcW w:w="455" w:type="pct"/>
            <w:vAlign w:val="center"/>
          </w:tcPr>
          <w:p w14:paraId="66AA30A2"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lastRenderedPageBreak/>
              <w:t xml:space="preserve">Acoustic modelling for turbines shows &lt; 35 dB(A) at </w:t>
            </w:r>
            <w:r w:rsidRPr="0097680B">
              <w:rPr>
                <w:rFonts w:ascii="Verdana" w:eastAsia="Verdana" w:hAnsi="Verdana" w:cs="Times New Roman"/>
                <w:color w:val="000000" w:themeColor="text1"/>
              </w:rPr>
              <w:lastRenderedPageBreak/>
              <w:t>distances &gt; 1 km; The border is far enough, so the reception limits in the neighboring state are not exceeded.</w:t>
            </w:r>
          </w:p>
        </w:tc>
        <w:tc>
          <w:tcPr>
            <w:tcW w:w="376" w:type="pct"/>
            <w:vAlign w:val="center"/>
          </w:tcPr>
          <w:p w14:paraId="2A18AEF7"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Possible visual discomfort for the inhabitant</w:t>
            </w:r>
            <w:r w:rsidRPr="0097680B">
              <w:rPr>
                <w:rFonts w:ascii="Verdana" w:eastAsia="Verdana" w:hAnsi="Verdana" w:cs="Times New Roman"/>
                <w:color w:val="000000" w:themeColor="text1"/>
              </w:rPr>
              <w:lastRenderedPageBreak/>
              <w:t>s of the vicinity (&lt; 2 km), but the settlements across the border are further away; There are no proven medical or psychological effects at that distance.</w:t>
            </w:r>
          </w:p>
        </w:tc>
        <w:tc>
          <w:tcPr>
            <w:tcW w:w="394" w:type="pct"/>
            <w:vAlign w:val="center"/>
          </w:tcPr>
          <w:p w14:paraId="0FFCF3BA"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The impact is positive (reduction of CO₂ emissions)</w:t>
            </w:r>
            <w:r w:rsidRPr="0097680B">
              <w:rPr>
                <w:rFonts w:ascii="Verdana" w:eastAsia="Verdana" w:hAnsi="Verdana" w:cs="Times New Roman"/>
                <w:color w:val="000000" w:themeColor="text1"/>
              </w:rPr>
              <w:lastRenderedPageBreak/>
              <w:t>; The benefit is global, so it does not generate negative cross-border "impacts".</w:t>
            </w:r>
          </w:p>
        </w:tc>
        <w:tc>
          <w:tcPr>
            <w:tcW w:w="376" w:type="pct"/>
            <w:vAlign w:val="center"/>
          </w:tcPr>
          <w:p w14:paraId="761EF0AC"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lastRenderedPageBreak/>
              <w:t xml:space="preserve">No cross-border sight-line heritage sites were </w:t>
            </w:r>
            <w:r w:rsidRPr="0097680B">
              <w:rPr>
                <w:rFonts w:ascii="Verdana" w:eastAsia="Verdana" w:hAnsi="Verdana" w:cs="Times New Roman"/>
                <w:color w:val="000000" w:themeColor="text1"/>
              </w:rPr>
              <w:lastRenderedPageBreak/>
              <w:t>identified that would be affected by the presence of turbines.</w:t>
            </w:r>
          </w:p>
        </w:tc>
      </w:tr>
      <w:tr w:rsidR="001A2884" w:rsidRPr="001A2884" w14:paraId="1390C1B6" w14:textId="77777777" w:rsidTr="00FB179F">
        <w:tc>
          <w:tcPr>
            <w:tcW w:w="573" w:type="pct"/>
            <w:vMerge/>
          </w:tcPr>
          <w:p w14:paraId="5D0D8746" w14:textId="77777777" w:rsidR="001A2884" w:rsidRPr="0097680B" w:rsidRDefault="001A2884" w:rsidP="001A2884">
            <w:pPr>
              <w:rPr>
                <w:rFonts w:ascii="Verdana" w:eastAsia="Verdana" w:hAnsi="Verdana" w:cs="Times New Roman"/>
                <w:b/>
                <w:bCs/>
                <w:color w:val="000000" w:themeColor="text1"/>
              </w:rPr>
            </w:pPr>
          </w:p>
        </w:tc>
        <w:tc>
          <w:tcPr>
            <w:tcW w:w="494" w:type="pct"/>
            <w:vAlign w:val="center"/>
          </w:tcPr>
          <w:p w14:paraId="6B0B7B11" w14:textId="77777777" w:rsidR="001A2884" w:rsidRPr="0097680B" w:rsidRDefault="001A2884" w:rsidP="001A2884">
            <w:pPr>
              <w:rPr>
                <w:rFonts w:ascii="Verdana" w:eastAsia="Verdana" w:hAnsi="Verdana" w:cs="Times New Roman"/>
                <w:color w:val="000000" w:themeColor="text1"/>
              </w:rPr>
            </w:pPr>
            <w:r w:rsidRPr="0097680B">
              <w:rPr>
                <w:rFonts w:ascii="Verdana" w:eastAsia="Verdana" w:hAnsi="Verdana" w:cs="Times New Roman"/>
                <w:color w:val="000000" w:themeColor="text1"/>
              </w:rPr>
              <w:t>Transport infrastructure Road II – 29 Dobrich – Border with Romania – 1.5 km</w:t>
            </w:r>
          </w:p>
        </w:tc>
        <w:tc>
          <w:tcPr>
            <w:tcW w:w="513" w:type="pct"/>
            <w:vAlign w:val="center"/>
          </w:tcPr>
          <w:p w14:paraId="327D37EF"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water from the road drains into the gutters next to the road and does not cross the border.</w:t>
            </w:r>
          </w:p>
        </w:tc>
        <w:tc>
          <w:tcPr>
            <w:tcW w:w="534" w:type="pct"/>
            <w:vAlign w:val="center"/>
          </w:tcPr>
          <w:p w14:paraId="08D78FF0"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normal level of traffic does not produce an increase in air pollution beyond background values.</w:t>
            </w:r>
          </w:p>
        </w:tc>
        <w:tc>
          <w:tcPr>
            <w:tcW w:w="415" w:type="pct"/>
            <w:vAlign w:val="center"/>
          </w:tcPr>
          <w:p w14:paraId="50B9A1EF"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infrastructure does not bring a contribution of dangerous substances to the Romanian soil.</w:t>
            </w:r>
          </w:p>
        </w:tc>
        <w:tc>
          <w:tcPr>
            <w:tcW w:w="416" w:type="pct"/>
            <w:vAlign w:val="center"/>
          </w:tcPr>
          <w:p w14:paraId="7C862D0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Only local resources are used</w:t>
            </w:r>
          </w:p>
        </w:tc>
        <w:tc>
          <w:tcPr>
            <w:tcW w:w="454" w:type="pct"/>
            <w:vAlign w:val="center"/>
          </w:tcPr>
          <w:p w14:paraId="427B6D1E"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resulting waste is disposed of locally through authorised operators</w:t>
            </w:r>
          </w:p>
        </w:tc>
        <w:tc>
          <w:tcPr>
            <w:tcW w:w="455" w:type="pct"/>
            <w:vAlign w:val="center"/>
          </w:tcPr>
          <w:p w14:paraId="1415FBA2" w14:textId="77777777" w:rsidR="001A2884" w:rsidRPr="0097680B" w:rsidRDefault="001A2884" w:rsidP="001A2884">
            <w:pPr>
              <w:jc w:val="both"/>
              <w:rPr>
                <w:rFonts w:ascii="Verdana" w:eastAsia="Verdana" w:hAnsi="Verdana" w:cs="Times New Roman"/>
                <w:b/>
                <w:bCs/>
                <w:color w:val="000000" w:themeColor="text1"/>
              </w:rPr>
            </w:pPr>
            <w:r w:rsidRPr="0097680B">
              <w:rPr>
                <w:rFonts w:ascii="Verdana" w:eastAsia="Verdana" w:hAnsi="Verdana" w:cs="Times New Roman"/>
                <w:color w:val="000000" w:themeColor="text1"/>
              </w:rPr>
              <w:t>The existing noise will not be cumulated with the noise produced by the operation of the park</w:t>
            </w:r>
          </w:p>
        </w:tc>
        <w:tc>
          <w:tcPr>
            <w:tcW w:w="376" w:type="pct"/>
            <w:vAlign w:val="center"/>
          </w:tcPr>
          <w:p w14:paraId="2A632043"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level of comfort and health for the inhabitants of the immediate vicinity will not change</w:t>
            </w:r>
          </w:p>
        </w:tc>
        <w:tc>
          <w:tcPr>
            <w:tcW w:w="394" w:type="pct"/>
            <w:vAlign w:val="center"/>
          </w:tcPr>
          <w:p w14:paraId="37D97CD6"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The operation of the existing infrastructure will not lead to an influence on the transboundary climate balance</w:t>
            </w:r>
          </w:p>
        </w:tc>
        <w:tc>
          <w:tcPr>
            <w:tcW w:w="376" w:type="pct"/>
            <w:vAlign w:val="center"/>
          </w:tcPr>
          <w:p w14:paraId="2D96F70F" w14:textId="77777777" w:rsidR="001A2884" w:rsidRPr="0097680B" w:rsidRDefault="001A2884" w:rsidP="001A2884">
            <w:pPr>
              <w:jc w:val="both"/>
              <w:rPr>
                <w:rFonts w:ascii="Verdana" w:eastAsia="Verdana" w:hAnsi="Verdana" w:cs="Times New Roman"/>
                <w:color w:val="000000" w:themeColor="text1"/>
              </w:rPr>
            </w:pPr>
            <w:r w:rsidRPr="0097680B">
              <w:rPr>
                <w:rFonts w:ascii="Verdana" w:eastAsia="Verdana" w:hAnsi="Verdana" w:cs="Times New Roman"/>
                <w:color w:val="000000" w:themeColor="text1"/>
              </w:rPr>
              <w:t>Common cultural objectives will not be affected</w:t>
            </w:r>
          </w:p>
        </w:tc>
      </w:tr>
    </w:tbl>
    <w:p w14:paraId="33640CA1" w14:textId="77777777" w:rsidR="001A2884" w:rsidRPr="001A2884" w:rsidRDefault="001A2884" w:rsidP="001A2884">
      <w:pPr>
        <w:widowControl/>
        <w:autoSpaceDE/>
        <w:autoSpaceDN/>
        <w:spacing w:line="260" w:lineRule="atLeast"/>
        <w:rPr>
          <w:rFonts w:ascii="Verdana" w:eastAsia="Verdana" w:hAnsi="Verdana" w:cs="Times New Roman"/>
          <w:color w:val="FF0000"/>
          <w:sz w:val="18"/>
          <w:szCs w:val="18"/>
        </w:rPr>
      </w:pPr>
    </w:p>
    <w:p w14:paraId="0D29913F" w14:textId="77777777" w:rsidR="00427308" w:rsidRDefault="00427308" w:rsidP="001A2884">
      <w:pPr>
        <w:widowControl/>
        <w:autoSpaceDE/>
        <w:autoSpaceDN/>
        <w:spacing w:line="260" w:lineRule="atLeast"/>
        <w:rPr>
          <w:rFonts w:ascii="Verdana" w:eastAsia="Verdana" w:hAnsi="Verdana" w:cs="Times New Roman"/>
          <w:color w:val="FF0000"/>
          <w:sz w:val="18"/>
          <w:szCs w:val="18"/>
        </w:rPr>
        <w:sectPr w:rsidR="00427308" w:rsidSect="00791B3F">
          <w:pgSz w:w="16834" w:h="11909" w:orient="landscape" w:code="9"/>
          <w:pgMar w:top="850" w:right="1325" w:bottom="288" w:left="1022" w:header="835" w:footer="821" w:gutter="0"/>
          <w:cols w:space="708"/>
        </w:sectPr>
      </w:pPr>
    </w:p>
    <w:p w14:paraId="20454818" w14:textId="77777777" w:rsidR="001A2884" w:rsidRPr="001A2884" w:rsidRDefault="001A2884" w:rsidP="001A2884">
      <w:pPr>
        <w:widowControl/>
        <w:autoSpaceDE/>
        <w:autoSpaceDN/>
        <w:spacing w:line="260" w:lineRule="atLeast"/>
        <w:rPr>
          <w:rFonts w:ascii="Verdana" w:eastAsia="Verdana" w:hAnsi="Verdana" w:cs="Times New Roman"/>
          <w:color w:val="FF0000"/>
          <w:sz w:val="18"/>
          <w:szCs w:val="18"/>
        </w:rPr>
      </w:pPr>
    </w:p>
    <w:p w14:paraId="1FB2D103" w14:textId="1CEB7EC3" w:rsidR="002A4F7C" w:rsidRPr="001A2884" w:rsidRDefault="002A4F7C">
      <w:pPr>
        <w:pStyle w:val="BodyText"/>
        <w:spacing w:before="118" w:line="357" w:lineRule="auto"/>
        <w:ind w:left="340" w:right="713"/>
        <w:jc w:val="both"/>
        <w:rPr>
          <w:rFonts w:ascii="Verdana" w:hAnsi="Verdana"/>
          <w:color w:val="FF0000"/>
        </w:rPr>
      </w:pPr>
    </w:p>
    <w:p w14:paraId="55634866" w14:textId="77777777" w:rsidR="008715BE" w:rsidRPr="00EC75B7" w:rsidRDefault="00000000">
      <w:pPr>
        <w:pStyle w:val="Heading1"/>
        <w:numPr>
          <w:ilvl w:val="0"/>
          <w:numId w:val="110"/>
        </w:numPr>
        <w:tabs>
          <w:tab w:val="left" w:pos="1060"/>
        </w:tabs>
        <w:spacing w:before="1"/>
        <w:ind w:left="1060" w:hanging="1027"/>
        <w:jc w:val="left"/>
        <w:rPr>
          <w:rFonts w:ascii="Verdana" w:hAnsi="Verdana"/>
          <w:sz w:val="18"/>
          <w:szCs w:val="18"/>
        </w:rPr>
      </w:pPr>
      <w:bookmarkStart w:id="130" w:name="_bookmark130"/>
      <w:bookmarkEnd w:id="130"/>
      <w:r w:rsidRPr="00EC75B7">
        <w:rPr>
          <w:rFonts w:ascii="Verdana" w:hAnsi="Verdana"/>
          <w:color w:val="00AFEF"/>
          <w:sz w:val="18"/>
          <w:szCs w:val="18"/>
        </w:rPr>
        <w:t xml:space="preserve">DESCRIPTION OF </w:t>
      </w:r>
      <w:r w:rsidRPr="00EC75B7">
        <w:rPr>
          <w:rFonts w:ascii="Verdana" w:hAnsi="Verdana"/>
          <w:color w:val="00AFEF"/>
          <w:spacing w:val="-2"/>
          <w:sz w:val="18"/>
          <w:szCs w:val="18"/>
        </w:rPr>
        <w:t xml:space="preserve">FORECASTING </w:t>
      </w:r>
      <w:r w:rsidRPr="00EC75B7">
        <w:rPr>
          <w:rFonts w:ascii="Verdana" w:hAnsi="Verdana"/>
          <w:color w:val="00AFEF"/>
          <w:sz w:val="18"/>
          <w:szCs w:val="18"/>
        </w:rPr>
        <w:t>METHODS</w:t>
      </w:r>
    </w:p>
    <w:p w14:paraId="5CDD66C4" w14:textId="77777777" w:rsidR="008715BE" w:rsidRPr="00EC75B7" w:rsidRDefault="008715BE">
      <w:pPr>
        <w:pStyle w:val="BodyText"/>
        <w:spacing w:before="59"/>
        <w:rPr>
          <w:rFonts w:ascii="Verdana" w:hAnsi="Verdana"/>
          <w:b/>
        </w:rPr>
      </w:pPr>
    </w:p>
    <w:p w14:paraId="34BC54C1" w14:textId="77777777" w:rsidR="008715BE" w:rsidRPr="00EC75B7" w:rsidRDefault="00000000">
      <w:pPr>
        <w:pStyle w:val="Heading3"/>
        <w:numPr>
          <w:ilvl w:val="1"/>
          <w:numId w:val="110"/>
        </w:numPr>
        <w:tabs>
          <w:tab w:val="left" w:pos="1331"/>
        </w:tabs>
        <w:spacing w:line="357" w:lineRule="auto"/>
        <w:ind w:left="340" w:right="1135" w:firstLine="57"/>
        <w:jc w:val="left"/>
        <w:rPr>
          <w:rFonts w:ascii="Verdana" w:hAnsi="Verdana"/>
          <w:color w:val="00AFEF"/>
          <w:sz w:val="18"/>
          <w:szCs w:val="18"/>
        </w:rPr>
      </w:pPr>
      <w:bookmarkStart w:id="131" w:name="_bookmark131"/>
      <w:bookmarkEnd w:id="131"/>
      <w:r w:rsidRPr="00EC75B7">
        <w:rPr>
          <w:rFonts w:ascii="Verdana" w:hAnsi="Verdana"/>
          <w:color w:val="00AFEF"/>
          <w:sz w:val="18"/>
          <w:szCs w:val="18"/>
        </w:rPr>
        <w:t>Description of the methodology used to assess the environmental effects of the project</w:t>
      </w:r>
    </w:p>
    <w:p w14:paraId="380C4B01" w14:textId="77777777" w:rsidR="008715BE" w:rsidRPr="00EC75B7" w:rsidRDefault="00000000">
      <w:pPr>
        <w:pStyle w:val="BodyText"/>
        <w:spacing w:before="240" w:line="360" w:lineRule="auto"/>
        <w:ind w:left="340" w:right="1136"/>
        <w:jc w:val="both"/>
        <w:rPr>
          <w:rFonts w:ascii="Verdana" w:hAnsi="Verdana"/>
        </w:rPr>
      </w:pPr>
      <w:r w:rsidRPr="00EC75B7">
        <w:rPr>
          <w:rFonts w:ascii="Verdana" w:hAnsi="Verdana"/>
        </w:rPr>
        <w:t>National and European environmental protection regulations were taken into account in the preparation of this documentation. The size of the project, the types of interventions proposed by the project, its location, and the specific characteristics of the project site were also considered.</w:t>
      </w:r>
    </w:p>
    <w:p w14:paraId="4AA62580" w14:textId="77777777" w:rsidR="008715BE" w:rsidRPr="00EC75B7" w:rsidRDefault="00000000">
      <w:pPr>
        <w:spacing w:before="115" w:line="357" w:lineRule="auto"/>
        <w:ind w:left="340" w:right="1131"/>
        <w:jc w:val="both"/>
        <w:rPr>
          <w:rFonts w:ascii="Verdana" w:hAnsi="Verdana"/>
          <w:sz w:val="18"/>
          <w:szCs w:val="18"/>
        </w:rPr>
      </w:pPr>
      <w:r w:rsidRPr="00EC75B7">
        <w:rPr>
          <w:rFonts w:ascii="Verdana" w:hAnsi="Verdana"/>
          <w:sz w:val="18"/>
          <w:szCs w:val="18"/>
        </w:rPr>
        <w:t xml:space="preserve">Particular attention was paid to the works proposed by the project that are likely to have a significant impact on the environment, as provided for in </w:t>
      </w:r>
      <w:r w:rsidRPr="00EC75B7">
        <w:rPr>
          <w:rFonts w:ascii="Verdana" w:hAnsi="Verdana"/>
          <w:i/>
          <w:sz w:val="18"/>
          <w:szCs w:val="18"/>
        </w:rPr>
        <w:t>the General Guide for Environmental Impact Assessment approved by Order No. 269/2020</w:t>
      </w:r>
      <w:r w:rsidRPr="00EC75B7">
        <w:rPr>
          <w:rFonts w:ascii="Verdana" w:hAnsi="Verdana"/>
          <w:sz w:val="18"/>
          <w:szCs w:val="18"/>
        </w:rPr>
        <w:t xml:space="preserve">, as well as the requirements of other existing European guidelines, such as </w:t>
      </w:r>
      <w:r w:rsidRPr="00EC75B7">
        <w:rPr>
          <w:rFonts w:ascii="Verdana" w:hAnsi="Verdana"/>
          <w:i/>
          <w:sz w:val="18"/>
          <w:szCs w:val="18"/>
        </w:rPr>
        <w:t>the Millieu/COWI-2017 Guide</w:t>
      </w:r>
      <w:r w:rsidRPr="00EC75B7">
        <w:rPr>
          <w:rFonts w:ascii="Verdana" w:hAnsi="Verdana"/>
          <w:sz w:val="18"/>
          <w:szCs w:val="18"/>
        </w:rPr>
        <w:t>.</w:t>
      </w:r>
    </w:p>
    <w:p w14:paraId="5F029624" w14:textId="77777777" w:rsidR="002A4F7C" w:rsidRDefault="00000000" w:rsidP="002A4F7C">
      <w:pPr>
        <w:pStyle w:val="BodyText"/>
        <w:spacing w:before="124"/>
        <w:ind w:left="340"/>
        <w:jc w:val="both"/>
        <w:rPr>
          <w:rFonts w:ascii="Verdana" w:hAnsi="Verdana"/>
          <w:spacing w:val="-2"/>
        </w:rPr>
      </w:pPr>
      <w:r w:rsidRPr="00EC75B7">
        <w:rPr>
          <w:rFonts w:ascii="Verdana" w:hAnsi="Verdana"/>
          <w:spacing w:val="-2"/>
        </w:rPr>
        <w:t xml:space="preserve">The </w:t>
      </w:r>
      <w:r w:rsidRPr="00EC75B7">
        <w:rPr>
          <w:rFonts w:ascii="Verdana" w:hAnsi="Verdana"/>
        </w:rPr>
        <w:t xml:space="preserve">following </w:t>
      </w:r>
      <w:r w:rsidRPr="00EC75B7">
        <w:rPr>
          <w:rFonts w:ascii="Verdana" w:hAnsi="Verdana"/>
          <w:spacing w:val="-2"/>
        </w:rPr>
        <w:t xml:space="preserve">steps </w:t>
      </w:r>
      <w:r w:rsidRPr="00EC75B7">
        <w:rPr>
          <w:rFonts w:ascii="Verdana" w:hAnsi="Verdana"/>
        </w:rPr>
        <w:t>were taken to identify and quantify the effects</w:t>
      </w:r>
      <w:r w:rsidRPr="00EC75B7">
        <w:rPr>
          <w:rFonts w:ascii="Verdana" w:hAnsi="Verdana"/>
          <w:spacing w:val="-2"/>
        </w:rPr>
        <w:t>:</w:t>
      </w:r>
    </w:p>
    <w:p w14:paraId="1A79B035" w14:textId="391B1508" w:rsidR="008715BE" w:rsidRPr="00EC75B7" w:rsidRDefault="00000000" w:rsidP="002A4F7C">
      <w:pPr>
        <w:pStyle w:val="BodyText"/>
        <w:spacing w:before="124"/>
        <w:ind w:left="340"/>
        <w:jc w:val="both"/>
        <w:rPr>
          <w:rFonts w:ascii="Verdana" w:hAnsi="Verdana"/>
        </w:rPr>
      </w:pPr>
      <w:r w:rsidRPr="00EC75B7">
        <w:rPr>
          <w:rFonts w:ascii="Verdana" w:hAnsi="Verdana"/>
          <w:noProof/>
        </w:rPr>
        <mc:AlternateContent>
          <mc:Choice Requires="wpg">
            <w:drawing>
              <wp:anchor distT="0" distB="0" distL="0" distR="0" simplePos="0" relativeHeight="251836416" behindDoc="1" locked="0" layoutInCell="1" allowOverlap="1" wp14:anchorId="58A7625F" wp14:editId="2875B4A0">
                <wp:simplePos x="0" y="0"/>
                <wp:positionH relativeFrom="page">
                  <wp:posOffset>775334</wp:posOffset>
                </wp:positionH>
                <wp:positionV relativeFrom="paragraph">
                  <wp:posOffset>139234</wp:posOffset>
                </wp:positionV>
                <wp:extent cx="6053455" cy="4274820"/>
                <wp:effectExtent l="0" t="0" r="0" b="0"/>
                <wp:wrapTopAndBottom/>
                <wp:docPr id="570" name="Group 570"/>
                <wp:cNvGraphicFramePr/>
                <a:graphic xmlns:a="http://schemas.openxmlformats.org/drawingml/2006/main">
                  <a:graphicData uri="http://schemas.microsoft.com/office/word/2010/wordprocessingGroup">
                    <wpg:wgp>
                      <wpg:cNvGrpSpPr/>
                      <wpg:grpSpPr>
                        <a:xfrm>
                          <a:off x="0" y="0"/>
                          <a:ext cx="6053455" cy="4274820"/>
                          <a:chOff x="0" y="0"/>
                          <a:chExt cx="6053455" cy="4274820"/>
                        </a:xfrm>
                      </wpg:grpSpPr>
                      <wps:wsp>
                        <wps:cNvPr id="571" name="Graphic 571"/>
                        <wps:cNvSpPr/>
                        <wps:spPr>
                          <a:xfrm>
                            <a:off x="0" y="0"/>
                            <a:ext cx="5009515" cy="1645920"/>
                          </a:xfrm>
                          <a:custGeom>
                            <a:avLst/>
                            <a:gdLst/>
                            <a:ahLst/>
                            <a:cxnLst/>
                            <a:rect l="l" t="t" r="r" b="b"/>
                            <a:pathLst>
                              <a:path w="5009515" h="1645920">
                                <a:moveTo>
                                  <a:pt x="4661154" y="76962"/>
                                </a:moveTo>
                                <a:lnTo>
                                  <a:pt x="4655109" y="47053"/>
                                </a:lnTo>
                                <a:lnTo>
                                  <a:pt x="4638624" y="22580"/>
                                </a:lnTo>
                                <a:lnTo>
                                  <a:pt x="4614164" y="6070"/>
                                </a:lnTo>
                                <a:lnTo>
                                  <a:pt x="4584192" y="0"/>
                                </a:lnTo>
                                <a:lnTo>
                                  <a:pt x="76949" y="0"/>
                                </a:lnTo>
                                <a:lnTo>
                                  <a:pt x="46990" y="6070"/>
                                </a:lnTo>
                                <a:lnTo>
                                  <a:pt x="22529" y="22580"/>
                                </a:lnTo>
                                <a:lnTo>
                                  <a:pt x="6045" y="47053"/>
                                </a:lnTo>
                                <a:lnTo>
                                  <a:pt x="0" y="76962"/>
                                </a:lnTo>
                                <a:lnTo>
                                  <a:pt x="0" y="692531"/>
                                </a:lnTo>
                                <a:lnTo>
                                  <a:pt x="6045" y="722515"/>
                                </a:lnTo>
                                <a:lnTo>
                                  <a:pt x="22529" y="746975"/>
                                </a:lnTo>
                                <a:lnTo>
                                  <a:pt x="46990" y="763460"/>
                                </a:lnTo>
                                <a:lnTo>
                                  <a:pt x="76949" y="769493"/>
                                </a:lnTo>
                                <a:lnTo>
                                  <a:pt x="4584192" y="769493"/>
                                </a:lnTo>
                                <a:lnTo>
                                  <a:pt x="4614164" y="763460"/>
                                </a:lnTo>
                                <a:lnTo>
                                  <a:pt x="4638624" y="746975"/>
                                </a:lnTo>
                                <a:lnTo>
                                  <a:pt x="4655109" y="722515"/>
                                </a:lnTo>
                                <a:lnTo>
                                  <a:pt x="4661154" y="692531"/>
                                </a:lnTo>
                                <a:lnTo>
                                  <a:pt x="4661154" y="76962"/>
                                </a:lnTo>
                                <a:close/>
                              </a:path>
                              <a:path w="5009515" h="1645920">
                                <a:moveTo>
                                  <a:pt x="5009261" y="953389"/>
                                </a:moveTo>
                                <a:lnTo>
                                  <a:pt x="5003216" y="923417"/>
                                </a:lnTo>
                                <a:lnTo>
                                  <a:pt x="4986731" y="898956"/>
                                </a:lnTo>
                                <a:lnTo>
                                  <a:pt x="4962271" y="882472"/>
                                </a:lnTo>
                                <a:lnTo>
                                  <a:pt x="4932299" y="876427"/>
                                </a:lnTo>
                                <a:lnTo>
                                  <a:pt x="425018" y="876427"/>
                                </a:lnTo>
                                <a:lnTo>
                                  <a:pt x="395058" y="882472"/>
                                </a:lnTo>
                                <a:lnTo>
                                  <a:pt x="370598" y="898956"/>
                                </a:lnTo>
                                <a:lnTo>
                                  <a:pt x="354114" y="923417"/>
                                </a:lnTo>
                                <a:lnTo>
                                  <a:pt x="348068" y="953389"/>
                                </a:lnTo>
                                <a:lnTo>
                                  <a:pt x="348068" y="1568958"/>
                                </a:lnTo>
                                <a:lnTo>
                                  <a:pt x="354114" y="1598866"/>
                                </a:lnTo>
                                <a:lnTo>
                                  <a:pt x="370598" y="1623288"/>
                                </a:lnTo>
                                <a:lnTo>
                                  <a:pt x="395058" y="1639760"/>
                                </a:lnTo>
                                <a:lnTo>
                                  <a:pt x="425018" y="1645793"/>
                                </a:lnTo>
                                <a:lnTo>
                                  <a:pt x="4932299" y="1645793"/>
                                </a:lnTo>
                                <a:lnTo>
                                  <a:pt x="4962271" y="1639760"/>
                                </a:lnTo>
                                <a:lnTo>
                                  <a:pt x="4986731" y="1623288"/>
                                </a:lnTo>
                                <a:lnTo>
                                  <a:pt x="5003216" y="1598866"/>
                                </a:lnTo>
                                <a:lnTo>
                                  <a:pt x="5009261" y="1568958"/>
                                </a:lnTo>
                                <a:lnTo>
                                  <a:pt x="5009261" y="953389"/>
                                </a:lnTo>
                                <a:close/>
                              </a:path>
                            </a:pathLst>
                          </a:custGeom>
                          <a:solidFill>
                            <a:srgbClr val="04316D"/>
                          </a:solidFill>
                        </wps:spPr>
                        <wps:bodyPr wrap="square" lIns="0" tIns="0" rIns="0" bIns="0" rtlCol="0">
                          <a:prstTxWarp prst="textNoShape">
                            <a:avLst/>
                          </a:prstTxWarp>
                        </wps:bodyPr>
                      </wps:wsp>
                      <wps:wsp>
                        <wps:cNvPr id="572" name="Graphic 572"/>
                        <wps:cNvSpPr/>
                        <wps:spPr>
                          <a:xfrm>
                            <a:off x="696087" y="1752726"/>
                            <a:ext cx="5357495" cy="2522220"/>
                          </a:xfrm>
                          <a:custGeom>
                            <a:avLst/>
                            <a:gdLst/>
                            <a:ahLst/>
                            <a:cxnLst/>
                            <a:rect l="l" t="t" r="r" b="b"/>
                            <a:pathLst>
                              <a:path w="5357495" h="2522220">
                                <a:moveTo>
                                  <a:pt x="4661281" y="76962"/>
                                </a:moveTo>
                                <a:lnTo>
                                  <a:pt x="4655210" y="46990"/>
                                </a:lnTo>
                                <a:lnTo>
                                  <a:pt x="4638700" y="22529"/>
                                </a:lnTo>
                                <a:lnTo>
                                  <a:pt x="4614227" y="6045"/>
                                </a:lnTo>
                                <a:lnTo>
                                  <a:pt x="4584319" y="0"/>
                                </a:lnTo>
                                <a:lnTo>
                                  <a:pt x="76962" y="0"/>
                                </a:lnTo>
                                <a:lnTo>
                                  <a:pt x="47040" y="6045"/>
                                </a:lnTo>
                                <a:lnTo>
                                  <a:pt x="22567" y="22529"/>
                                </a:lnTo>
                                <a:lnTo>
                                  <a:pt x="6057" y="46990"/>
                                </a:lnTo>
                                <a:lnTo>
                                  <a:pt x="0" y="76962"/>
                                </a:lnTo>
                                <a:lnTo>
                                  <a:pt x="0" y="692531"/>
                                </a:lnTo>
                                <a:lnTo>
                                  <a:pt x="6057" y="722452"/>
                                </a:lnTo>
                                <a:lnTo>
                                  <a:pt x="22567" y="746925"/>
                                </a:lnTo>
                                <a:lnTo>
                                  <a:pt x="47040" y="763435"/>
                                </a:lnTo>
                                <a:lnTo>
                                  <a:pt x="76962" y="769493"/>
                                </a:lnTo>
                                <a:lnTo>
                                  <a:pt x="4584319" y="769493"/>
                                </a:lnTo>
                                <a:lnTo>
                                  <a:pt x="4614227" y="763435"/>
                                </a:lnTo>
                                <a:lnTo>
                                  <a:pt x="4638700" y="746925"/>
                                </a:lnTo>
                                <a:lnTo>
                                  <a:pt x="4655210" y="722452"/>
                                </a:lnTo>
                                <a:lnTo>
                                  <a:pt x="4661281" y="692531"/>
                                </a:lnTo>
                                <a:lnTo>
                                  <a:pt x="4661281" y="76962"/>
                                </a:lnTo>
                                <a:close/>
                              </a:path>
                              <a:path w="5357495" h="2522220">
                                <a:moveTo>
                                  <a:pt x="5009261" y="953262"/>
                                </a:moveTo>
                                <a:lnTo>
                                  <a:pt x="5003216" y="923290"/>
                                </a:lnTo>
                                <a:lnTo>
                                  <a:pt x="4986731" y="898829"/>
                                </a:lnTo>
                                <a:lnTo>
                                  <a:pt x="4962271" y="882345"/>
                                </a:lnTo>
                                <a:lnTo>
                                  <a:pt x="4932299" y="876300"/>
                                </a:lnTo>
                                <a:lnTo>
                                  <a:pt x="425069" y="876300"/>
                                </a:lnTo>
                                <a:lnTo>
                                  <a:pt x="395084" y="882345"/>
                                </a:lnTo>
                                <a:lnTo>
                                  <a:pt x="370624" y="898829"/>
                                </a:lnTo>
                                <a:lnTo>
                                  <a:pt x="354139" y="923290"/>
                                </a:lnTo>
                                <a:lnTo>
                                  <a:pt x="348107" y="953262"/>
                                </a:lnTo>
                                <a:lnTo>
                                  <a:pt x="348107" y="1568831"/>
                                </a:lnTo>
                                <a:lnTo>
                                  <a:pt x="354139" y="1598815"/>
                                </a:lnTo>
                                <a:lnTo>
                                  <a:pt x="370624" y="1623275"/>
                                </a:lnTo>
                                <a:lnTo>
                                  <a:pt x="395084" y="1639760"/>
                                </a:lnTo>
                                <a:lnTo>
                                  <a:pt x="425069" y="1645793"/>
                                </a:lnTo>
                                <a:lnTo>
                                  <a:pt x="4932299" y="1645793"/>
                                </a:lnTo>
                                <a:lnTo>
                                  <a:pt x="4962271" y="1639760"/>
                                </a:lnTo>
                                <a:lnTo>
                                  <a:pt x="4986731" y="1623275"/>
                                </a:lnTo>
                                <a:lnTo>
                                  <a:pt x="5003216" y="1598815"/>
                                </a:lnTo>
                                <a:lnTo>
                                  <a:pt x="5009261" y="1568831"/>
                                </a:lnTo>
                                <a:lnTo>
                                  <a:pt x="5009261" y="953262"/>
                                </a:lnTo>
                                <a:close/>
                              </a:path>
                              <a:path w="5357495" h="2522220">
                                <a:moveTo>
                                  <a:pt x="5357368" y="1829562"/>
                                </a:moveTo>
                                <a:lnTo>
                                  <a:pt x="5351323" y="1799653"/>
                                </a:lnTo>
                                <a:lnTo>
                                  <a:pt x="5334838" y="1775180"/>
                                </a:lnTo>
                                <a:lnTo>
                                  <a:pt x="5310378" y="1758670"/>
                                </a:lnTo>
                                <a:lnTo>
                                  <a:pt x="5280406" y="1752600"/>
                                </a:lnTo>
                                <a:lnTo>
                                  <a:pt x="773176" y="1752600"/>
                                </a:lnTo>
                                <a:lnTo>
                                  <a:pt x="743191" y="1758670"/>
                                </a:lnTo>
                                <a:lnTo>
                                  <a:pt x="718731" y="1775180"/>
                                </a:lnTo>
                                <a:lnTo>
                                  <a:pt x="702246" y="1799653"/>
                                </a:lnTo>
                                <a:lnTo>
                                  <a:pt x="696214" y="1829562"/>
                                </a:lnTo>
                                <a:lnTo>
                                  <a:pt x="696214" y="2445131"/>
                                </a:lnTo>
                                <a:lnTo>
                                  <a:pt x="702246" y="2475115"/>
                                </a:lnTo>
                                <a:lnTo>
                                  <a:pt x="718731" y="2499576"/>
                                </a:lnTo>
                                <a:lnTo>
                                  <a:pt x="743191" y="2516060"/>
                                </a:lnTo>
                                <a:lnTo>
                                  <a:pt x="773176" y="2522093"/>
                                </a:lnTo>
                                <a:lnTo>
                                  <a:pt x="5280406" y="2522093"/>
                                </a:lnTo>
                                <a:lnTo>
                                  <a:pt x="5310378" y="2516060"/>
                                </a:lnTo>
                                <a:lnTo>
                                  <a:pt x="5334838" y="2499576"/>
                                </a:lnTo>
                                <a:lnTo>
                                  <a:pt x="5351323" y="2475115"/>
                                </a:lnTo>
                                <a:lnTo>
                                  <a:pt x="5357368" y="2445131"/>
                                </a:lnTo>
                                <a:lnTo>
                                  <a:pt x="5357368" y="1829562"/>
                                </a:lnTo>
                                <a:close/>
                              </a:path>
                            </a:pathLst>
                          </a:custGeom>
                          <a:solidFill>
                            <a:srgbClr val="04316D"/>
                          </a:solidFill>
                        </wps:spPr>
                        <wps:bodyPr wrap="square" lIns="0" tIns="0" rIns="0" bIns="0" rtlCol="0">
                          <a:prstTxWarp prst="textNoShape">
                            <a:avLst/>
                          </a:prstTxWarp>
                        </wps:bodyPr>
                      </wps:wsp>
                      <wps:wsp>
                        <wps:cNvPr id="573" name="Graphic 573"/>
                        <wps:cNvSpPr/>
                        <wps:spPr>
                          <a:xfrm>
                            <a:off x="4161028" y="562229"/>
                            <a:ext cx="500380" cy="500380"/>
                          </a:xfrm>
                          <a:custGeom>
                            <a:avLst/>
                            <a:gdLst/>
                            <a:ahLst/>
                            <a:cxnLst/>
                            <a:rect l="l" t="t" r="r" b="b"/>
                            <a:pathLst>
                              <a:path w="500380" h="500380">
                                <a:moveTo>
                                  <a:pt x="387603" y="0"/>
                                </a:moveTo>
                                <a:lnTo>
                                  <a:pt x="112522" y="0"/>
                                </a:lnTo>
                                <a:lnTo>
                                  <a:pt x="112522" y="275082"/>
                                </a:lnTo>
                                <a:lnTo>
                                  <a:pt x="0" y="275082"/>
                                </a:lnTo>
                                <a:lnTo>
                                  <a:pt x="250062" y="500125"/>
                                </a:lnTo>
                                <a:lnTo>
                                  <a:pt x="500125"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4" name="Graphic 574"/>
                        <wps:cNvSpPr/>
                        <wps:spPr>
                          <a:xfrm>
                            <a:off x="4161028" y="562229"/>
                            <a:ext cx="500380" cy="500380"/>
                          </a:xfrm>
                          <a:custGeom>
                            <a:avLst/>
                            <a:gdLst/>
                            <a:ahLst/>
                            <a:cxnLst/>
                            <a:rect l="l" t="t" r="r" b="b"/>
                            <a:pathLst>
                              <a:path w="500380" h="500380">
                                <a:moveTo>
                                  <a:pt x="0" y="275082"/>
                                </a:moveTo>
                                <a:lnTo>
                                  <a:pt x="112522" y="275082"/>
                                </a:lnTo>
                                <a:lnTo>
                                  <a:pt x="112522" y="0"/>
                                </a:lnTo>
                                <a:lnTo>
                                  <a:pt x="387603" y="0"/>
                                </a:lnTo>
                                <a:lnTo>
                                  <a:pt x="387603" y="275082"/>
                                </a:lnTo>
                                <a:lnTo>
                                  <a:pt x="500125"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5" name="Graphic 575"/>
                        <wps:cNvSpPr/>
                        <wps:spPr>
                          <a:xfrm>
                            <a:off x="4509134" y="1438528"/>
                            <a:ext cx="500380" cy="500380"/>
                          </a:xfrm>
                          <a:custGeom>
                            <a:avLst/>
                            <a:gdLst/>
                            <a:ahLst/>
                            <a:cxnLst/>
                            <a:rect l="l" t="t" r="r" b="b"/>
                            <a:pathLst>
                              <a:path w="500380" h="500380">
                                <a:moveTo>
                                  <a:pt x="387603" y="0"/>
                                </a:moveTo>
                                <a:lnTo>
                                  <a:pt x="112521" y="0"/>
                                </a:lnTo>
                                <a:lnTo>
                                  <a:pt x="112521" y="275082"/>
                                </a:lnTo>
                                <a:lnTo>
                                  <a:pt x="0" y="275082"/>
                                </a:lnTo>
                                <a:lnTo>
                                  <a:pt x="250062" y="500125"/>
                                </a:lnTo>
                                <a:lnTo>
                                  <a:pt x="500125"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6" name="Graphic 576"/>
                        <wps:cNvSpPr/>
                        <wps:spPr>
                          <a:xfrm>
                            <a:off x="4509134" y="1438528"/>
                            <a:ext cx="500380" cy="500380"/>
                          </a:xfrm>
                          <a:custGeom>
                            <a:avLst/>
                            <a:gdLst/>
                            <a:ahLst/>
                            <a:cxnLst/>
                            <a:rect l="l" t="t" r="r" b="b"/>
                            <a:pathLst>
                              <a:path w="500380" h="500380">
                                <a:moveTo>
                                  <a:pt x="0" y="275082"/>
                                </a:moveTo>
                                <a:lnTo>
                                  <a:pt x="112521" y="275082"/>
                                </a:lnTo>
                                <a:lnTo>
                                  <a:pt x="112521" y="0"/>
                                </a:lnTo>
                                <a:lnTo>
                                  <a:pt x="387603" y="0"/>
                                </a:lnTo>
                                <a:lnTo>
                                  <a:pt x="387603" y="275082"/>
                                </a:lnTo>
                                <a:lnTo>
                                  <a:pt x="500125"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7" name="Graphic 577"/>
                        <wps:cNvSpPr/>
                        <wps:spPr>
                          <a:xfrm>
                            <a:off x="4857115" y="2302001"/>
                            <a:ext cx="500380" cy="500380"/>
                          </a:xfrm>
                          <a:custGeom>
                            <a:avLst/>
                            <a:gdLst/>
                            <a:ahLst/>
                            <a:cxnLst/>
                            <a:rect l="l" t="t" r="r" b="b"/>
                            <a:pathLst>
                              <a:path w="500380" h="500380">
                                <a:moveTo>
                                  <a:pt x="387603" y="0"/>
                                </a:moveTo>
                                <a:lnTo>
                                  <a:pt x="112522" y="0"/>
                                </a:lnTo>
                                <a:lnTo>
                                  <a:pt x="112522" y="275082"/>
                                </a:lnTo>
                                <a:lnTo>
                                  <a:pt x="0" y="275082"/>
                                </a:lnTo>
                                <a:lnTo>
                                  <a:pt x="250062" y="500125"/>
                                </a:lnTo>
                                <a:lnTo>
                                  <a:pt x="500252"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8" name="Graphic 578"/>
                        <wps:cNvSpPr/>
                        <wps:spPr>
                          <a:xfrm>
                            <a:off x="4857115" y="2302001"/>
                            <a:ext cx="500380" cy="500380"/>
                          </a:xfrm>
                          <a:custGeom>
                            <a:avLst/>
                            <a:gdLst/>
                            <a:ahLst/>
                            <a:cxnLst/>
                            <a:rect l="l" t="t" r="r" b="b"/>
                            <a:pathLst>
                              <a:path w="500380" h="500380">
                                <a:moveTo>
                                  <a:pt x="0" y="275082"/>
                                </a:moveTo>
                                <a:lnTo>
                                  <a:pt x="112522" y="275082"/>
                                </a:lnTo>
                                <a:lnTo>
                                  <a:pt x="112522" y="0"/>
                                </a:lnTo>
                                <a:lnTo>
                                  <a:pt x="387603" y="0"/>
                                </a:lnTo>
                                <a:lnTo>
                                  <a:pt x="387603" y="275082"/>
                                </a:lnTo>
                                <a:lnTo>
                                  <a:pt x="500252"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9" name="Graphic 579"/>
                        <wps:cNvSpPr/>
                        <wps:spPr>
                          <a:xfrm>
                            <a:off x="5205221" y="3186938"/>
                            <a:ext cx="500380" cy="500380"/>
                          </a:xfrm>
                          <a:custGeom>
                            <a:avLst/>
                            <a:gdLst/>
                            <a:ahLst/>
                            <a:cxnLst/>
                            <a:rect l="l" t="t" r="r" b="b"/>
                            <a:pathLst>
                              <a:path w="500380" h="500380">
                                <a:moveTo>
                                  <a:pt x="387603" y="0"/>
                                </a:moveTo>
                                <a:lnTo>
                                  <a:pt x="112521" y="0"/>
                                </a:lnTo>
                                <a:lnTo>
                                  <a:pt x="112521" y="275081"/>
                                </a:lnTo>
                                <a:lnTo>
                                  <a:pt x="0" y="275081"/>
                                </a:lnTo>
                                <a:lnTo>
                                  <a:pt x="250062" y="500125"/>
                                </a:lnTo>
                                <a:lnTo>
                                  <a:pt x="500125" y="275081"/>
                                </a:lnTo>
                                <a:lnTo>
                                  <a:pt x="387603" y="275081"/>
                                </a:lnTo>
                                <a:lnTo>
                                  <a:pt x="387603" y="0"/>
                                </a:lnTo>
                                <a:close/>
                              </a:path>
                            </a:pathLst>
                          </a:custGeom>
                          <a:solidFill>
                            <a:srgbClr val="CCCDD4">
                              <a:alpha val="90194"/>
                            </a:srgbClr>
                          </a:solidFill>
                        </wps:spPr>
                        <wps:bodyPr wrap="square" lIns="0" tIns="0" rIns="0" bIns="0" rtlCol="0">
                          <a:prstTxWarp prst="textNoShape">
                            <a:avLst/>
                          </a:prstTxWarp>
                        </wps:bodyPr>
                      </wps:wsp>
                      <wps:wsp>
                        <wps:cNvPr id="580" name="Graphic 580"/>
                        <wps:cNvSpPr/>
                        <wps:spPr>
                          <a:xfrm>
                            <a:off x="5205221" y="3186938"/>
                            <a:ext cx="500380" cy="500380"/>
                          </a:xfrm>
                          <a:custGeom>
                            <a:avLst/>
                            <a:gdLst/>
                            <a:ahLst/>
                            <a:cxnLst/>
                            <a:rect l="l" t="t" r="r" b="b"/>
                            <a:pathLst>
                              <a:path w="500380" h="500380">
                                <a:moveTo>
                                  <a:pt x="0" y="275081"/>
                                </a:moveTo>
                                <a:lnTo>
                                  <a:pt x="112521" y="275081"/>
                                </a:lnTo>
                                <a:lnTo>
                                  <a:pt x="112521" y="0"/>
                                </a:lnTo>
                                <a:lnTo>
                                  <a:pt x="387603" y="0"/>
                                </a:lnTo>
                                <a:lnTo>
                                  <a:pt x="387603" y="275081"/>
                                </a:lnTo>
                                <a:lnTo>
                                  <a:pt x="500125" y="275081"/>
                                </a:lnTo>
                                <a:lnTo>
                                  <a:pt x="250062" y="500125"/>
                                </a:lnTo>
                                <a:lnTo>
                                  <a:pt x="0" y="275081"/>
                                </a:lnTo>
                                <a:close/>
                              </a:path>
                            </a:pathLst>
                          </a:custGeom>
                          <a:ln w="25400">
                            <a:solidFill>
                              <a:srgbClr val="CCCDD4"/>
                            </a:solidFill>
                            <a:prstDash val="solid"/>
                          </a:ln>
                        </wps:spPr>
                        <wps:bodyPr wrap="square" lIns="0" tIns="0" rIns="0" bIns="0" rtlCol="0">
                          <a:prstTxWarp prst="textNoShape">
                            <a:avLst/>
                          </a:prstTxWarp>
                        </wps:bodyPr>
                      </wps:wsp>
                      <wps:wsp>
                        <wps:cNvPr id="581" name="Textbox 581"/>
                        <wps:cNvSpPr txBox="1"/>
                        <wps:spPr>
                          <a:xfrm>
                            <a:off x="57073" y="246274"/>
                            <a:ext cx="3315970" cy="264160"/>
                          </a:xfrm>
                          <a:prstGeom prst="rect">
                            <a:avLst/>
                          </a:prstGeom>
                        </wps:spPr>
                        <wps:txbx>
                          <w:txbxContent>
                            <w:p w14:paraId="4E89ED8B" w14:textId="77777777" w:rsidR="008715BE" w:rsidRDefault="00000000">
                              <w:pPr>
                                <w:spacing w:before="20" w:line="216" w:lineRule="auto"/>
                                <w:ind w:right="18"/>
                                <w:rPr>
                                  <w:sz w:val="18"/>
                                </w:rPr>
                              </w:pPr>
                              <w:r>
                                <w:rPr>
                                  <w:color w:val="FFFFFF"/>
                                  <w:w w:val="120"/>
                                  <w:sz w:val="12"/>
                                </w:rPr>
                                <w:t>Analysis of the interventions proposed by the project and the specific activities of the execution and exploitation stages</w:t>
                              </w:r>
                            </w:p>
                          </w:txbxContent>
                        </wps:txbx>
                        <wps:bodyPr wrap="square" lIns="0" tIns="0" rIns="0" bIns="0" rtlCol="0"/>
                      </wps:wsp>
                      <wps:wsp>
                        <wps:cNvPr id="582" name="Textbox 582"/>
                        <wps:cNvSpPr txBox="1"/>
                        <wps:spPr>
                          <a:xfrm>
                            <a:off x="405155" y="1060090"/>
                            <a:ext cx="3680460" cy="389255"/>
                          </a:xfrm>
                          <a:prstGeom prst="rect">
                            <a:avLst/>
                          </a:prstGeom>
                        </wps:spPr>
                        <wps:txbx>
                          <w:txbxContent>
                            <w:p w14:paraId="46208EEA" w14:textId="77777777" w:rsidR="008715BE" w:rsidRDefault="00000000">
                              <w:pPr>
                                <w:spacing w:before="19" w:line="216" w:lineRule="auto"/>
                                <w:ind w:right="18"/>
                                <w:rPr>
                                  <w:sz w:val="18"/>
                                </w:rPr>
                              </w:pPr>
                              <w:r>
                                <w:rPr>
                                  <w:color w:val="FFFFFF"/>
                                  <w:w w:val="120"/>
                                  <w:sz w:val="12"/>
                                </w:rPr>
                                <w:t>Identification of the effects on the physical and socio-economic environment resulting from the execution and operation of the interventions proposed by the project</w:t>
                              </w:r>
                            </w:p>
                          </w:txbxContent>
                        </wps:txbx>
                        <wps:bodyPr wrap="square" lIns="0" tIns="0" rIns="0" bIns="0" rtlCol="0"/>
                      </wps:wsp>
                      <wps:wsp>
                        <wps:cNvPr id="583" name="Textbox 583"/>
                        <wps:cNvSpPr txBox="1"/>
                        <wps:spPr>
                          <a:xfrm>
                            <a:off x="753237" y="1999128"/>
                            <a:ext cx="3330575" cy="264160"/>
                          </a:xfrm>
                          <a:prstGeom prst="rect">
                            <a:avLst/>
                          </a:prstGeom>
                        </wps:spPr>
                        <wps:txbx>
                          <w:txbxContent>
                            <w:p w14:paraId="254BF8C3" w14:textId="77777777" w:rsidR="008715BE" w:rsidRDefault="00000000">
                              <w:pPr>
                                <w:spacing w:before="20" w:line="216" w:lineRule="auto"/>
                                <w:ind w:right="18"/>
                                <w:rPr>
                                  <w:sz w:val="18"/>
                                </w:rPr>
                              </w:pPr>
                              <w:r>
                                <w:rPr>
                                  <w:color w:val="FFFFFF"/>
                                  <w:w w:val="120"/>
                                  <w:sz w:val="12"/>
                                </w:rPr>
                                <w:t>Identification of receptors that may be affected and classification of their sensitivity</w:t>
                              </w:r>
                            </w:p>
                          </w:txbxContent>
                        </wps:txbx>
                        <wps:bodyPr wrap="square" lIns="0" tIns="0" rIns="0" bIns="0" rtlCol="0"/>
                      </wps:wsp>
                      <wps:wsp>
                        <wps:cNvPr id="584" name="Textbox 584"/>
                        <wps:cNvSpPr txBox="1"/>
                        <wps:spPr>
                          <a:xfrm>
                            <a:off x="1101344" y="2875428"/>
                            <a:ext cx="3573779" cy="264160"/>
                          </a:xfrm>
                          <a:prstGeom prst="rect">
                            <a:avLst/>
                          </a:prstGeom>
                        </wps:spPr>
                        <wps:txbx>
                          <w:txbxContent>
                            <w:p w14:paraId="1AB7567A" w14:textId="77777777" w:rsidR="008715BE" w:rsidRDefault="00000000">
                              <w:pPr>
                                <w:spacing w:before="20" w:line="216" w:lineRule="auto"/>
                                <w:ind w:right="18"/>
                                <w:rPr>
                                  <w:sz w:val="18"/>
                                </w:rPr>
                              </w:pPr>
                              <w:r>
                                <w:rPr>
                                  <w:color w:val="FFFFFF"/>
                                  <w:spacing w:val="-2"/>
                                  <w:w w:val="125"/>
                                  <w:sz w:val="12"/>
                                </w:rPr>
                                <w:t xml:space="preserve">Impact assessment - identification of quantitative and </w:t>
                              </w:r>
                              <w:r>
                                <w:rPr>
                                  <w:color w:val="FFFFFF"/>
                                  <w:w w:val="125"/>
                                  <w:sz w:val="12"/>
                                </w:rPr>
                                <w:t>qualitative</w:t>
                              </w:r>
                              <w:r>
                                <w:rPr>
                                  <w:color w:val="FFFFFF"/>
                                  <w:spacing w:val="-2"/>
                                  <w:w w:val="125"/>
                                  <w:sz w:val="12"/>
                                </w:rPr>
                                <w:t xml:space="preserve"> changes </w:t>
                              </w:r>
                              <w:r>
                                <w:rPr>
                                  <w:color w:val="FFFFFF"/>
                                  <w:w w:val="125"/>
                                  <w:sz w:val="12"/>
                                </w:rPr>
                                <w:t>at the level of sensitive receptors</w:t>
                              </w:r>
                            </w:p>
                          </w:txbxContent>
                        </wps:txbx>
                        <wps:bodyPr wrap="square" lIns="0" tIns="0" rIns="0" bIns="0" rtlCol="0"/>
                      </wps:wsp>
                      <wps:wsp>
                        <wps:cNvPr id="585" name="Textbox 585"/>
                        <wps:cNvSpPr txBox="1"/>
                        <wps:spPr>
                          <a:xfrm>
                            <a:off x="1449450" y="3689244"/>
                            <a:ext cx="3670300" cy="389255"/>
                          </a:xfrm>
                          <a:prstGeom prst="rect">
                            <a:avLst/>
                          </a:prstGeom>
                        </wps:spPr>
                        <wps:txbx>
                          <w:txbxContent>
                            <w:p w14:paraId="10217620" w14:textId="77777777" w:rsidR="008715BE" w:rsidRDefault="00000000">
                              <w:pPr>
                                <w:spacing w:before="19" w:line="216" w:lineRule="auto"/>
                                <w:ind w:right="18"/>
                                <w:rPr>
                                  <w:sz w:val="18"/>
                                </w:rPr>
                              </w:pPr>
                              <w:r>
                                <w:rPr>
                                  <w:color w:val="FFFFFF"/>
                                  <w:w w:val="120"/>
                                  <w:sz w:val="12"/>
                                </w:rPr>
                                <w:t>The criteria used to assess the significance of the impact include the magnitude of the effect produced and the sensitivity of the receiving environment likely to be affected</w:t>
                              </w:r>
                            </w:p>
                          </w:txbxContent>
                        </wps:txbx>
                        <wps:bodyPr wrap="square" lIns="0" tIns="0" rIns="0" bIns="0" rtlCol="0"/>
                      </wps:wsp>
                    </wpg:wgp>
                  </a:graphicData>
                </a:graphic>
              </wp:anchor>
            </w:drawing>
          </mc:Choice>
          <mc:Fallback>
            <w:pict>
              <v:group w14:anchorId="58A7625F" id="Group 570" o:spid="_x0000_s1325" style="position:absolute;left:0;text-align:left;margin-left:61.05pt;margin-top:10.95pt;width:476.65pt;height:336.6pt;z-index:-251480064;mso-wrap-distance-left:0;mso-wrap-distance-right:0;mso-position-horizontal-relative:page;mso-position-vertical-relative:text" coordsize="60534,4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">
                <v:shape id="Graphic 571" o:spid="_x0000_s1326" style="position:absolute;width:50095;height:16459;visibility:visible;mso-wrap-style:square;v-text-anchor:top" coordsize="500951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" path="m4661154,76962r-6045,-29909l4638624,22580,4614164,6070,4584192,,76949,,46990,6070,22529,22580,6045,47053,,76962,,692531r6045,29984l22529,746975r24461,16485l76949,769493r4507243,l4614164,763460r24460,-16485l4655109,722515r6045,-29984l4661154,76962xem5009261,953389r-6045,-29972l4986731,898956r-24460,-16484l4932299,876427r-4507281,l395058,882472r-24460,16484l354114,923417r-6046,29972l348068,1568958r6046,29908l370598,1623288r24460,16472l425018,1645793r4507281,l4962271,1639760r24460,-16472l5003216,1598866r6045,-29908l5009261,953389xe" fillcolor="#04316d" stroked="f">
                  <v:path arrowok="t"/>
                </v:shape>
                <v:shape id="Graphic 572" o:spid="_x0000_s1327" style="position:absolute;left:6960;top:17527;width:53575;height:25222;visibility:visible;mso-wrap-style:square;v-text-anchor:top" coordsize="5357495,25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" path="m4661281,76962r-6071,-29972l4638700,22529,4614227,6045,4584319,,76962,,47040,6045,22567,22529,6057,46990,,76962,,692531r6057,29921l22567,746925r24473,16510l76962,769493r4507357,l4614227,763435r24473,-16510l4655210,722452r6071,-29921l4661281,76962xem5009261,953262r-6045,-29972l4986731,898829r-24460,-16484l4932299,876300r-4507230,l395084,882345r-24460,16484l354139,923290r-6032,29972l348107,1568831r6032,29984l370624,1623275r24460,16485l425069,1645793r4507230,l4962271,1639760r24460,-16485l5003216,1598815r6045,-29984l5009261,953262xem5357368,1829562r-6045,-29909l5334838,1775180r-24460,-16510l5280406,1752600r-4507230,l743191,1758670r-24460,16510l702246,1799653r-6032,29909l696214,2445131r6032,29984l718731,2499576r24460,16484l773176,2522093r4507230,l5310378,2516060r24460,-16484l5351323,2475115r6045,-29984l5357368,1829562xe" fillcolor="#04316d" stroked="f">
                  <v:path arrowok="t"/>
                </v:shape>
                <v:shape id="Graphic 573" o:spid="_x0000_s1328" style="position:absolute;left:41610;top:5622;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" path="m387603,l112522,r,275082l,275082,250062,500125,500125,275082r-112522,l387603,xe" fillcolor="#cccdd4" stroked="f">
                  <v:fill opacity="59110f"/>
                  <v:path arrowok="t"/>
                </v:shape>
                <v:shape id="Graphic 574" o:spid="_x0000_s1329" style="position:absolute;left:41610;top:5622;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" path="m,275082r112522,l112522,,387603,r,275082l500125,275082,250062,500125,,275082xe" filled="f" strokecolor="#cccdd4" strokeweight="2pt">
                  <v:path arrowok="t"/>
                </v:shape>
                <v:shape id="Graphic 575" o:spid="_x0000_s1330" style="position:absolute;left:45091;top:14385;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" path="m387603,l112521,r,275082l,275082,250062,500125,500125,275082r-112522,l387603,xe" fillcolor="#cccdd4" stroked="f">
                  <v:fill opacity="59110f"/>
                  <v:path arrowok="t"/>
                </v:shape>
                <v:shape id="Graphic 576" o:spid="_x0000_s1331" style="position:absolute;left:45091;top:14385;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" path="m,275082r112521,l112521,,387603,r,275082l500125,275082,250062,500125,,275082xe" filled="f" strokecolor="#cccdd4" strokeweight="2pt">
                  <v:path arrowok="t"/>
                </v:shape>
                <v:shape id="Graphic 577" o:spid="_x0000_s1332" style="position:absolute;left:48571;top:23020;width:5003;height:5003;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" path="m387603,l112522,r,275082l,275082,250062,500125,500252,275082r-112649,l387603,xe" fillcolor="#cccdd4" stroked="f">
                  <v:fill opacity="59110f"/>
                  <v:path arrowok="t"/>
                </v:shape>
                <v:shape id="Graphic 578" o:spid="_x0000_s1333" style="position:absolute;left:48571;top:23020;width:5003;height:5003;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" path="m,275082r112522,l112522,,387603,r,275082l500252,275082,250062,500125,,275082xe" filled="f" strokecolor="#cccdd4" strokeweight="2pt">
                  <v:path arrowok="t"/>
                </v:shape>
                <v:shape id="Graphic 579" o:spid="_x0000_s1334" style="position:absolute;left:52052;top:31869;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" path="m387603,l112521,r,275081l,275081,250062,500125,500125,275081r-112522,l387603,xe" fillcolor="#cccdd4" stroked="f">
                  <v:fill opacity="59110f"/>
                  <v:path arrowok="t"/>
                </v:shape>
                <v:shape id="Graphic 580" o:spid="_x0000_s1335" style="position:absolute;left:52052;top:31869;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" path="m,275081r112521,l112521,,387603,r,275081l500125,275081,250062,500125,,275081xe" filled="f" strokecolor="#cccdd4" strokeweight="2pt">
                  <v:path arrowok="t"/>
                </v:shape>
                <v:shape id="Textbox 581" o:spid="_x0000_s1336" type="#_x0000_t202" style="position:absolute;left:570;top:2462;width:3316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4E89ED8B" w14:textId="77777777" w:rsidR="008715BE" w:rsidRDefault="00000000">
                        <w:pPr>
                          <w:spacing w:before="20" w:line="216" w:lineRule="auto"/>
                          <w:ind w:right="18"/>
                          <w:rPr>
                            <w:sz w:val="18"/>
                          </w:rPr>
                        </w:pPr>
                        <w:r>
                          <w:rPr>
                            <w:color w:val="FFFFFF"/>
                            <w:w w:val="120"/>
                            <w:sz w:val="12"/>
                          </w:rPr>
                          <w:t>Analysis of the interventions proposed by the project and the specific activities of the execution and exploitation stages</w:t>
                        </w:r>
                      </w:p>
                    </w:txbxContent>
                  </v:textbox>
                </v:shape>
                <v:shape id="Textbox 582" o:spid="_x0000_s1337" type="#_x0000_t202" style="position:absolute;left:4051;top:10600;width:3680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46208EEA" w14:textId="77777777" w:rsidR="008715BE" w:rsidRDefault="00000000">
                        <w:pPr>
                          <w:spacing w:before="19" w:line="216" w:lineRule="auto"/>
                          <w:ind w:right="18"/>
                          <w:rPr>
                            <w:sz w:val="18"/>
                          </w:rPr>
                        </w:pPr>
                        <w:r>
                          <w:rPr>
                            <w:color w:val="FFFFFF"/>
                            <w:w w:val="120"/>
                            <w:sz w:val="12"/>
                          </w:rPr>
                          <w:t>Identification of the effects on the physical and socio-economic environment resulting from the execution and operation of the interventions proposed by the project</w:t>
                        </w:r>
                      </w:p>
                    </w:txbxContent>
                  </v:textbox>
                </v:shape>
                <v:shape id="Textbox 583" o:spid="_x0000_s1338" type="#_x0000_t202" style="position:absolute;left:7532;top:19991;width:33306;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254BF8C3" w14:textId="77777777" w:rsidR="008715BE" w:rsidRDefault="00000000">
                        <w:pPr>
                          <w:spacing w:before="20" w:line="216" w:lineRule="auto"/>
                          <w:ind w:right="18"/>
                          <w:rPr>
                            <w:sz w:val="18"/>
                          </w:rPr>
                        </w:pPr>
                        <w:r>
                          <w:rPr>
                            <w:color w:val="FFFFFF"/>
                            <w:w w:val="120"/>
                            <w:sz w:val="12"/>
                          </w:rPr>
                          <w:t>Identification of receptors that may be affected and classification of their sensitivity</w:t>
                        </w:r>
                      </w:p>
                    </w:txbxContent>
                  </v:textbox>
                </v:shape>
                <v:shape id="Textbox 584" o:spid="_x0000_s1339" type="#_x0000_t202" style="position:absolute;left:11013;top:28754;width:3573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1AB7567A" w14:textId="77777777" w:rsidR="008715BE" w:rsidRDefault="00000000">
                        <w:pPr>
                          <w:spacing w:before="20" w:line="216" w:lineRule="auto"/>
                          <w:ind w:right="18"/>
                          <w:rPr>
                            <w:sz w:val="18"/>
                          </w:rPr>
                        </w:pPr>
                        <w:r>
                          <w:rPr>
                            <w:color w:val="FFFFFF"/>
                            <w:spacing w:val="-2"/>
                            <w:w w:val="125"/>
                            <w:sz w:val="12"/>
                          </w:rPr>
                          <w:t xml:space="preserve">Impact assessment - identification of quantitative and </w:t>
                        </w:r>
                        <w:r>
                          <w:rPr>
                            <w:color w:val="FFFFFF"/>
                            <w:w w:val="125"/>
                            <w:sz w:val="12"/>
                          </w:rPr>
                          <w:t>qualitative</w:t>
                        </w:r>
                        <w:r>
                          <w:rPr>
                            <w:color w:val="FFFFFF"/>
                            <w:spacing w:val="-2"/>
                            <w:w w:val="125"/>
                            <w:sz w:val="12"/>
                          </w:rPr>
                          <w:t xml:space="preserve"> changes </w:t>
                        </w:r>
                        <w:r>
                          <w:rPr>
                            <w:color w:val="FFFFFF"/>
                            <w:w w:val="125"/>
                            <w:sz w:val="12"/>
                          </w:rPr>
                          <w:t>at the level of sensitive receptors</w:t>
                        </w:r>
                      </w:p>
                    </w:txbxContent>
                  </v:textbox>
                </v:shape>
                <v:shape id="Textbox 585" o:spid="_x0000_s1340" type="#_x0000_t202" style="position:absolute;left:14494;top:36892;width:36703;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10217620" w14:textId="77777777" w:rsidR="008715BE" w:rsidRDefault="00000000">
                        <w:pPr>
                          <w:spacing w:before="19" w:line="216" w:lineRule="auto"/>
                          <w:ind w:right="18"/>
                          <w:rPr>
                            <w:sz w:val="18"/>
                          </w:rPr>
                        </w:pPr>
                        <w:r>
                          <w:rPr>
                            <w:color w:val="FFFFFF"/>
                            <w:w w:val="120"/>
                            <w:sz w:val="12"/>
                          </w:rPr>
                          <w:t>The criteria used to assess the significance of the impact include the magnitude of the effect produced and the sensitivity of the receiving environment likely to be affected</w:t>
                        </w:r>
                      </w:p>
                    </w:txbxContent>
                  </v:textbox>
                </v:shape>
                <w10:wrap type="topAndBottom" anchorx="page"/>
              </v:group>
            </w:pict>
          </mc:Fallback>
        </mc:AlternateContent>
      </w:r>
    </w:p>
    <w:p w14:paraId="4969A211" w14:textId="77777777" w:rsidR="008715BE" w:rsidRPr="00EC75B7" w:rsidRDefault="008715BE">
      <w:pPr>
        <w:pStyle w:val="BodyText"/>
        <w:spacing w:before="74"/>
        <w:rPr>
          <w:rFonts w:ascii="Verdana" w:hAnsi="Verdana"/>
        </w:rPr>
      </w:pPr>
    </w:p>
    <w:p w14:paraId="747B4495" w14:textId="77777777" w:rsidR="008715BE" w:rsidRPr="00EC75B7" w:rsidRDefault="00000000">
      <w:pPr>
        <w:ind w:left="2409"/>
        <w:rPr>
          <w:rFonts w:ascii="Verdana" w:hAnsi="Verdana"/>
          <w:b/>
          <w:sz w:val="18"/>
          <w:szCs w:val="18"/>
        </w:rPr>
      </w:pPr>
      <w:r w:rsidRPr="00EC75B7">
        <w:rPr>
          <w:rFonts w:ascii="Verdana" w:hAnsi="Verdana"/>
          <w:b/>
          <w:color w:val="009DEF"/>
          <w:sz w:val="18"/>
          <w:szCs w:val="18"/>
        </w:rPr>
        <w:t xml:space="preserve">Figure 72 Steps taken to quantify </w:t>
      </w:r>
      <w:r w:rsidRPr="00EC75B7">
        <w:rPr>
          <w:rFonts w:ascii="Verdana" w:hAnsi="Verdana"/>
          <w:b/>
          <w:color w:val="009DEF"/>
          <w:spacing w:val="-2"/>
          <w:sz w:val="18"/>
          <w:szCs w:val="18"/>
        </w:rPr>
        <w:t>the impact</w:t>
      </w:r>
    </w:p>
    <w:p w14:paraId="3803033D" w14:textId="77777777" w:rsidR="008715BE" w:rsidRPr="00EC75B7" w:rsidRDefault="008715BE">
      <w:pPr>
        <w:pStyle w:val="BodyText"/>
        <w:spacing w:before="22"/>
        <w:rPr>
          <w:rFonts w:ascii="Verdana" w:hAnsi="Verdana"/>
          <w:b/>
        </w:rPr>
      </w:pPr>
    </w:p>
    <w:p w14:paraId="669FFF6B" w14:textId="77777777" w:rsidR="008715BE" w:rsidRPr="00EC75B7" w:rsidRDefault="00000000">
      <w:pPr>
        <w:pStyle w:val="BodyText"/>
        <w:spacing w:line="357" w:lineRule="auto"/>
        <w:ind w:left="340" w:right="1126"/>
        <w:jc w:val="both"/>
        <w:rPr>
          <w:rFonts w:ascii="Verdana" w:hAnsi="Verdana"/>
        </w:rPr>
      </w:pPr>
      <w:r w:rsidRPr="00EC75B7">
        <w:rPr>
          <w:rFonts w:ascii="Verdana" w:hAnsi="Verdana"/>
        </w:rPr>
        <w:t>The effects were assessed using an impact matrix, and the criteria presented in the table below were taken into account in the impact assessment:</w:t>
      </w:r>
    </w:p>
    <w:p w14:paraId="231697EB" w14:textId="77777777" w:rsidR="008715BE" w:rsidRPr="00EC75B7" w:rsidRDefault="008715BE">
      <w:pPr>
        <w:pStyle w:val="BodyText"/>
        <w:spacing w:line="357" w:lineRule="auto"/>
        <w:jc w:val="both"/>
        <w:rPr>
          <w:rFonts w:ascii="Verdana" w:hAnsi="Verdana"/>
        </w:rPr>
        <w:sectPr w:rsidR="008715BE" w:rsidRPr="00EC75B7">
          <w:pgSz w:w="11910" w:h="16850"/>
          <w:pgMar w:top="1320" w:right="283" w:bottom="1020" w:left="850" w:header="834" w:footer="823" w:gutter="0"/>
          <w:cols w:space="708"/>
        </w:sectPr>
      </w:pPr>
    </w:p>
    <w:p w14:paraId="34CEE95D" w14:textId="77777777" w:rsidR="008715BE" w:rsidRPr="00EC75B7" w:rsidRDefault="00000000">
      <w:pPr>
        <w:spacing w:before="99"/>
        <w:ind w:left="340"/>
        <w:rPr>
          <w:rFonts w:ascii="Verdana" w:hAnsi="Verdana"/>
          <w:b/>
          <w:sz w:val="18"/>
          <w:szCs w:val="18"/>
        </w:rPr>
      </w:pPr>
      <w:r w:rsidRPr="00EC75B7">
        <w:rPr>
          <w:rFonts w:ascii="Verdana" w:hAnsi="Verdana"/>
          <w:b/>
          <w:color w:val="00AFEF"/>
          <w:sz w:val="18"/>
          <w:szCs w:val="18"/>
        </w:rPr>
        <w:lastRenderedPageBreak/>
        <w:t xml:space="preserve">Table 64 Criteria for assessing </w:t>
      </w:r>
      <w:r w:rsidRPr="00EC75B7">
        <w:rPr>
          <w:rFonts w:ascii="Verdana" w:hAnsi="Verdana"/>
          <w:b/>
          <w:color w:val="00AFEF"/>
          <w:spacing w:val="-2"/>
          <w:sz w:val="18"/>
          <w:szCs w:val="18"/>
        </w:rPr>
        <w:t xml:space="preserve">environmental </w:t>
      </w:r>
      <w:r w:rsidRPr="00EC75B7">
        <w:rPr>
          <w:rFonts w:ascii="Verdana" w:hAnsi="Verdana"/>
          <w:b/>
          <w:color w:val="00AFEF"/>
          <w:sz w:val="18"/>
          <w:szCs w:val="18"/>
        </w:rPr>
        <w:t>impact</w:t>
      </w:r>
    </w:p>
    <w:tbl>
      <w:tblPr>
        <w:tblStyle w:val="TableNormal1"/>
        <w:tblW w:w="0" w:type="auto"/>
        <w:tblInd w:w="350"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690"/>
        <w:gridCol w:w="1397"/>
        <w:gridCol w:w="6409"/>
      </w:tblGrid>
      <w:tr w:rsidR="008715BE" w:rsidRPr="00EC75B7" w14:paraId="342CF44D" w14:textId="77777777">
        <w:trPr>
          <w:trHeight w:val="679"/>
        </w:trPr>
        <w:tc>
          <w:tcPr>
            <w:tcW w:w="1690" w:type="dxa"/>
            <w:shd w:val="clear" w:color="auto" w:fill="00AFEF"/>
          </w:tcPr>
          <w:p w14:paraId="00DB6A35" w14:textId="77777777" w:rsidR="008715BE" w:rsidRPr="00EC75B7" w:rsidRDefault="00000000">
            <w:pPr>
              <w:pStyle w:val="TableParagraph"/>
              <w:ind w:left="108"/>
              <w:rPr>
                <w:rFonts w:ascii="Verdana" w:hAnsi="Verdana"/>
                <w:b/>
                <w:sz w:val="18"/>
                <w:szCs w:val="18"/>
              </w:rPr>
            </w:pPr>
            <w:r w:rsidRPr="00EC75B7">
              <w:rPr>
                <w:rFonts w:ascii="Verdana" w:hAnsi="Verdana"/>
                <w:b/>
                <w:color w:val="FFFFFF"/>
                <w:spacing w:val="-2"/>
                <w:sz w:val="18"/>
                <w:szCs w:val="18"/>
              </w:rPr>
              <w:t xml:space="preserve">Assessment </w:t>
            </w:r>
            <w:r w:rsidRPr="00EC75B7">
              <w:rPr>
                <w:rFonts w:ascii="Verdana" w:hAnsi="Verdana"/>
                <w:b/>
                <w:color w:val="FFFFFF"/>
                <w:sz w:val="18"/>
                <w:szCs w:val="18"/>
              </w:rPr>
              <w:t>criteria</w:t>
            </w:r>
          </w:p>
        </w:tc>
        <w:tc>
          <w:tcPr>
            <w:tcW w:w="1397" w:type="dxa"/>
            <w:shd w:val="clear" w:color="auto" w:fill="00AFEF"/>
          </w:tcPr>
          <w:p w14:paraId="7C86296C"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color w:val="FFFFFF"/>
                <w:spacing w:val="-2"/>
                <w:sz w:val="18"/>
                <w:szCs w:val="18"/>
              </w:rPr>
              <w:t>Variability</w:t>
            </w:r>
          </w:p>
        </w:tc>
        <w:tc>
          <w:tcPr>
            <w:tcW w:w="6409" w:type="dxa"/>
            <w:shd w:val="clear" w:color="auto" w:fill="00AFEF"/>
          </w:tcPr>
          <w:p w14:paraId="41F020F3" w14:textId="77777777" w:rsidR="008715BE" w:rsidRPr="00EC75B7" w:rsidRDefault="00000000">
            <w:pPr>
              <w:pStyle w:val="TableParagraph"/>
              <w:spacing w:line="195" w:lineRule="exact"/>
              <w:ind w:left="110"/>
              <w:rPr>
                <w:rFonts w:ascii="Verdana" w:hAnsi="Verdana"/>
                <w:b/>
                <w:sz w:val="18"/>
                <w:szCs w:val="18"/>
              </w:rPr>
            </w:pPr>
            <w:r w:rsidRPr="00EC75B7">
              <w:rPr>
                <w:rFonts w:ascii="Verdana" w:hAnsi="Verdana"/>
                <w:b/>
                <w:color w:val="FFFFFF"/>
                <w:spacing w:val="-2"/>
                <w:sz w:val="18"/>
                <w:szCs w:val="18"/>
              </w:rPr>
              <w:t>Description</w:t>
            </w:r>
          </w:p>
        </w:tc>
      </w:tr>
      <w:tr w:rsidR="008715BE" w:rsidRPr="00EC75B7" w14:paraId="433854E5" w14:textId="77777777">
        <w:trPr>
          <w:trHeight w:val="194"/>
        </w:trPr>
        <w:tc>
          <w:tcPr>
            <w:tcW w:w="1690" w:type="dxa"/>
            <w:vMerge w:val="restart"/>
          </w:tcPr>
          <w:p w14:paraId="3BA508A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 xml:space="preserve">Impact </w:t>
            </w:r>
            <w:r w:rsidRPr="00EC75B7">
              <w:rPr>
                <w:rFonts w:ascii="Verdana" w:hAnsi="Verdana"/>
                <w:sz w:val="18"/>
                <w:szCs w:val="18"/>
              </w:rPr>
              <w:t>type</w:t>
            </w:r>
          </w:p>
        </w:tc>
        <w:tc>
          <w:tcPr>
            <w:tcW w:w="1397" w:type="dxa"/>
          </w:tcPr>
          <w:p w14:paraId="454926D0"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Positive</w:t>
            </w:r>
          </w:p>
        </w:tc>
        <w:tc>
          <w:tcPr>
            <w:tcW w:w="6409" w:type="dxa"/>
          </w:tcPr>
          <w:p w14:paraId="2262CBFC"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Change that contributes to improving the </w:t>
            </w:r>
            <w:r w:rsidRPr="00EC75B7">
              <w:rPr>
                <w:rFonts w:ascii="Verdana" w:hAnsi="Verdana"/>
                <w:spacing w:val="-2"/>
                <w:sz w:val="18"/>
                <w:szCs w:val="18"/>
              </w:rPr>
              <w:t xml:space="preserve">initial </w:t>
            </w:r>
            <w:r w:rsidRPr="00EC75B7">
              <w:rPr>
                <w:rFonts w:ascii="Verdana" w:hAnsi="Verdana"/>
                <w:sz w:val="18"/>
                <w:szCs w:val="18"/>
              </w:rPr>
              <w:t>conditions</w:t>
            </w:r>
            <w:r w:rsidRPr="00EC75B7">
              <w:rPr>
                <w:rFonts w:ascii="Verdana" w:hAnsi="Verdana"/>
                <w:spacing w:val="-2"/>
                <w:sz w:val="18"/>
                <w:szCs w:val="18"/>
              </w:rPr>
              <w:t>.</w:t>
            </w:r>
          </w:p>
        </w:tc>
      </w:tr>
      <w:tr w:rsidR="008715BE" w:rsidRPr="00EC75B7" w14:paraId="1D8F6FA1" w14:textId="77777777">
        <w:trPr>
          <w:trHeight w:val="434"/>
        </w:trPr>
        <w:tc>
          <w:tcPr>
            <w:tcW w:w="1690" w:type="dxa"/>
            <w:vMerge/>
            <w:tcBorders>
              <w:top w:val="nil"/>
            </w:tcBorders>
          </w:tcPr>
          <w:p w14:paraId="631DA091" w14:textId="77777777" w:rsidR="008715BE" w:rsidRPr="00EC75B7" w:rsidRDefault="008715BE">
            <w:pPr>
              <w:rPr>
                <w:rFonts w:ascii="Verdana" w:hAnsi="Verdana"/>
                <w:sz w:val="18"/>
                <w:szCs w:val="18"/>
              </w:rPr>
            </w:pPr>
          </w:p>
        </w:tc>
        <w:tc>
          <w:tcPr>
            <w:tcW w:w="1397" w:type="dxa"/>
          </w:tcPr>
          <w:p w14:paraId="02A5D08B"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Negative</w:t>
            </w:r>
          </w:p>
        </w:tc>
        <w:tc>
          <w:tcPr>
            <w:tcW w:w="6409" w:type="dxa"/>
          </w:tcPr>
          <w:p w14:paraId="2E3E0D42"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Change that contributes to worsening the initial conditions or introduces a new, undesirable factor.</w:t>
            </w:r>
          </w:p>
        </w:tc>
      </w:tr>
      <w:tr w:rsidR="008715BE" w:rsidRPr="00EC75B7" w14:paraId="4E15D127" w14:textId="77777777">
        <w:trPr>
          <w:trHeight w:val="431"/>
        </w:trPr>
        <w:tc>
          <w:tcPr>
            <w:tcW w:w="1690" w:type="dxa"/>
            <w:vMerge/>
            <w:tcBorders>
              <w:top w:val="nil"/>
            </w:tcBorders>
          </w:tcPr>
          <w:p w14:paraId="22BA2505" w14:textId="77777777" w:rsidR="008715BE" w:rsidRPr="00EC75B7" w:rsidRDefault="008715BE">
            <w:pPr>
              <w:rPr>
                <w:rFonts w:ascii="Verdana" w:hAnsi="Verdana"/>
                <w:sz w:val="18"/>
                <w:szCs w:val="18"/>
              </w:rPr>
            </w:pPr>
          </w:p>
        </w:tc>
        <w:tc>
          <w:tcPr>
            <w:tcW w:w="1397" w:type="dxa"/>
          </w:tcPr>
          <w:p w14:paraId="5A2AE6C3"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Neutral</w:t>
            </w:r>
          </w:p>
        </w:tc>
        <w:tc>
          <w:tcPr>
            <w:tcW w:w="6409" w:type="dxa"/>
          </w:tcPr>
          <w:p w14:paraId="3AE3BEA7" w14:textId="77777777" w:rsidR="008715BE" w:rsidRPr="00EC75B7" w:rsidRDefault="00000000">
            <w:pPr>
              <w:pStyle w:val="TableParagraph"/>
              <w:ind w:left="110" w:right="113"/>
              <w:rPr>
                <w:rFonts w:ascii="Verdana" w:hAnsi="Verdana"/>
                <w:sz w:val="18"/>
                <w:szCs w:val="18"/>
              </w:rPr>
            </w:pPr>
            <w:r w:rsidRPr="00EC75B7">
              <w:rPr>
                <w:rFonts w:ascii="Verdana" w:hAnsi="Verdana"/>
                <w:sz w:val="18"/>
                <w:szCs w:val="18"/>
              </w:rPr>
              <w:t>No changes/An impact that involves a negative (adverse) change but also a positive change in the initial conditions.</w:t>
            </w:r>
          </w:p>
        </w:tc>
      </w:tr>
      <w:tr w:rsidR="008715BE" w:rsidRPr="00EC75B7" w14:paraId="516D5705" w14:textId="77777777">
        <w:trPr>
          <w:trHeight w:val="390"/>
        </w:trPr>
        <w:tc>
          <w:tcPr>
            <w:tcW w:w="1690" w:type="dxa"/>
            <w:vMerge w:val="restart"/>
          </w:tcPr>
          <w:p w14:paraId="36059FC2"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Nature of </w:t>
            </w:r>
            <w:r w:rsidRPr="00EC75B7">
              <w:rPr>
                <w:rFonts w:ascii="Verdana" w:hAnsi="Verdana"/>
                <w:spacing w:val="-2"/>
                <w:sz w:val="18"/>
                <w:szCs w:val="18"/>
              </w:rPr>
              <w:t>impact</w:t>
            </w:r>
          </w:p>
        </w:tc>
        <w:tc>
          <w:tcPr>
            <w:tcW w:w="1397" w:type="dxa"/>
          </w:tcPr>
          <w:p w14:paraId="10CEA01C"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Direct</w:t>
            </w:r>
          </w:p>
        </w:tc>
        <w:tc>
          <w:tcPr>
            <w:tcW w:w="6409" w:type="dxa"/>
          </w:tcPr>
          <w:p w14:paraId="61E10259"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Results from the direct interaction between a project activity and an environmental </w:t>
            </w:r>
            <w:r w:rsidRPr="00EC75B7">
              <w:rPr>
                <w:rFonts w:ascii="Verdana" w:hAnsi="Verdana"/>
                <w:spacing w:val="-2"/>
                <w:sz w:val="18"/>
                <w:szCs w:val="18"/>
              </w:rPr>
              <w:t>factor</w:t>
            </w:r>
          </w:p>
          <w:p w14:paraId="102408AC" w14:textId="77777777" w:rsidR="008715BE" w:rsidRPr="00EC75B7" w:rsidRDefault="00000000">
            <w:pPr>
              <w:pStyle w:val="TableParagraph"/>
              <w:spacing w:line="177" w:lineRule="exact"/>
              <w:ind w:left="110"/>
              <w:rPr>
                <w:rFonts w:ascii="Verdana" w:hAnsi="Verdana"/>
                <w:sz w:val="18"/>
                <w:szCs w:val="18"/>
              </w:rPr>
            </w:pPr>
            <w:r w:rsidRPr="00EC75B7">
              <w:rPr>
                <w:rFonts w:ascii="Verdana" w:hAnsi="Verdana"/>
                <w:sz w:val="18"/>
                <w:szCs w:val="18"/>
              </w:rPr>
              <w:t xml:space="preserve">(e.g., permanent occupation of </w:t>
            </w:r>
            <w:r w:rsidRPr="00EC75B7">
              <w:rPr>
                <w:rFonts w:ascii="Verdana" w:hAnsi="Verdana"/>
                <w:spacing w:val="-2"/>
                <w:sz w:val="18"/>
                <w:szCs w:val="18"/>
              </w:rPr>
              <w:t xml:space="preserve">land </w:t>
            </w:r>
            <w:r w:rsidRPr="00EC75B7">
              <w:rPr>
                <w:rFonts w:ascii="Verdana" w:hAnsi="Verdana"/>
                <w:sz w:val="18"/>
                <w:szCs w:val="18"/>
              </w:rPr>
              <w:t>areas</w:t>
            </w:r>
            <w:r w:rsidRPr="00EC75B7">
              <w:rPr>
                <w:rFonts w:ascii="Verdana" w:hAnsi="Verdana"/>
                <w:spacing w:val="-2"/>
                <w:sz w:val="18"/>
                <w:szCs w:val="18"/>
              </w:rPr>
              <w:t>).</w:t>
            </w:r>
          </w:p>
        </w:tc>
      </w:tr>
      <w:tr w:rsidR="008715BE" w:rsidRPr="00EC75B7" w14:paraId="1F106EAA" w14:textId="77777777">
        <w:trPr>
          <w:trHeight w:val="433"/>
        </w:trPr>
        <w:tc>
          <w:tcPr>
            <w:tcW w:w="1690" w:type="dxa"/>
            <w:vMerge/>
            <w:tcBorders>
              <w:top w:val="nil"/>
            </w:tcBorders>
          </w:tcPr>
          <w:p w14:paraId="6AB03EEB" w14:textId="77777777" w:rsidR="008715BE" w:rsidRPr="00EC75B7" w:rsidRDefault="008715BE">
            <w:pPr>
              <w:rPr>
                <w:rFonts w:ascii="Verdana" w:hAnsi="Verdana"/>
                <w:sz w:val="18"/>
                <w:szCs w:val="18"/>
              </w:rPr>
            </w:pPr>
          </w:p>
        </w:tc>
        <w:tc>
          <w:tcPr>
            <w:tcW w:w="1397" w:type="dxa"/>
          </w:tcPr>
          <w:p w14:paraId="066AB0FD"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Indirect</w:t>
            </w:r>
          </w:p>
        </w:tc>
        <w:tc>
          <w:tcPr>
            <w:tcW w:w="6409" w:type="dxa"/>
          </w:tcPr>
          <w:p w14:paraId="461497CD"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Results from other activities or as a consequence or circumstance of the project (e.g., increased road traffic in the project area).</w:t>
            </w:r>
          </w:p>
        </w:tc>
      </w:tr>
      <w:tr w:rsidR="008715BE" w:rsidRPr="00EC75B7" w14:paraId="3F4437D7" w14:textId="77777777">
        <w:trPr>
          <w:trHeight w:val="777"/>
        </w:trPr>
        <w:tc>
          <w:tcPr>
            <w:tcW w:w="1690" w:type="dxa"/>
            <w:vMerge/>
            <w:tcBorders>
              <w:top w:val="nil"/>
            </w:tcBorders>
          </w:tcPr>
          <w:p w14:paraId="54722568" w14:textId="77777777" w:rsidR="008715BE" w:rsidRPr="00EC75B7" w:rsidRDefault="008715BE">
            <w:pPr>
              <w:rPr>
                <w:rFonts w:ascii="Verdana" w:hAnsi="Verdana"/>
                <w:sz w:val="18"/>
                <w:szCs w:val="18"/>
              </w:rPr>
            </w:pPr>
          </w:p>
        </w:tc>
        <w:tc>
          <w:tcPr>
            <w:tcW w:w="1397" w:type="dxa"/>
          </w:tcPr>
          <w:p w14:paraId="3A11E2B8"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Secondary</w:t>
            </w:r>
          </w:p>
        </w:tc>
        <w:tc>
          <w:tcPr>
            <w:tcW w:w="6409" w:type="dxa"/>
          </w:tcPr>
          <w:p w14:paraId="5B3381D0"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 xml:space="preserve">Direct or indirect impact as a result of repeated interaction between project components and environmental factors (e.g. </w:t>
            </w:r>
            <w:r w:rsidRPr="00EC75B7">
              <w:rPr>
                <w:rFonts w:ascii="Verdana" w:hAnsi="Verdana"/>
                <w:spacing w:val="-2"/>
                <w:sz w:val="18"/>
                <w:szCs w:val="18"/>
              </w:rPr>
              <w:t xml:space="preserve">direct </w:t>
            </w:r>
            <w:r w:rsidRPr="00EC75B7">
              <w:rPr>
                <w:rFonts w:ascii="Verdana" w:hAnsi="Verdana"/>
                <w:sz w:val="18"/>
                <w:szCs w:val="18"/>
              </w:rPr>
              <w:t>secondary impact</w:t>
            </w:r>
          </w:p>
          <w:p w14:paraId="6207E1A7" w14:textId="77777777" w:rsidR="008715BE" w:rsidRPr="00EC75B7" w:rsidRDefault="00000000">
            <w:pPr>
              <w:pStyle w:val="TableParagraph"/>
              <w:spacing w:line="193" w:lineRule="exact"/>
              <w:ind w:left="110"/>
              <w:rPr>
                <w:rFonts w:ascii="Verdana" w:hAnsi="Verdana"/>
                <w:sz w:val="18"/>
                <w:szCs w:val="18"/>
              </w:rPr>
            </w:pPr>
            <w:r w:rsidRPr="00EC75B7">
              <w:rPr>
                <w:rFonts w:ascii="Verdana" w:hAnsi="Verdana"/>
                <w:sz w:val="18"/>
                <w:szCs w:val="18"/>
              </w:rPr>
              <w:t xml:space="preserve">- an impact on wildlife due to collisions; indirect secondary impact </w:t>
            </w:r>
            <w:r w:rsidRPr="00EC75B7">
              <w:rPr>
                <w:rFonts w:ascii="Verdana" w:hAnsi="Verdana"/>
                <w:spacing w:val="-10"/>
                <w:sz w:val="18"/>
                <w:szCs w:val="18"/>
              </w:rPr>
              <w:t>-</w:t>
            </w:r>
          </w:p>
          <w:p w14:paraId="63689C62"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impact on wildlife due to </w:t>
            </w:r>
            <w:r w:rsidRPr="00EC75B7">
              <w:rPr>
                <w:rFonts w:ascii="Verdana" w:hAnsi="Verdana"/>
                <w:spacing w:val="-2"/>
                <w:sz w:val="18"/>
                <w:szCs w:val="18"/>
              </w:rPr>
              <w:t xml:space="preserve">habitat </w:t>
            </w:r>
            <w:r w:rsidRPr="00EC75B7">
              <w:rPr>
                <w:rFonts w:ascii="Verdana" w:hAnsi="Verdana"/>
                <w:sz w:val="18"/>
                <w:szCs w:val="18"/>
              </w:rPr>
              <w:t>loss</w:t>
            </w:r>
            <w:r w:rsidRPr="00EC75B7">
              <w:rPr>
                <w:rFonts w:ascii="Verdana" w:hAnsi="Verdana"/>
                <w:spacing w:val="-2"/>
                <w:sz w:val="18"/>
                <w:szCs w:val="18"/>
              </w:rPr>
              <w:t>).</w:t>
            </w:r>
          </w:p>
        </w:tc>
      </w:tr>
      <w:tr w:rsidR="008715BE" w:rsidRPr="00EC75B7" w14:paraId="0B3F52C3" w14:textId="77777777">
        <w:trPr>
          <w:trHeight w:val="679"/>
        </w:trPr>
        <w:tc>
          <w:tcPr>
            <w:tcW w:w="1690" w:type="dxa"/>
            <w:vMerge/>
            <w:tcBorders>
              <w:top w:val="nil"/>
            </w:tcBorders>
          </w:tcPr>
          <w:p w14:paraId="371EFD96" w14:textId="77777777" w:rsidR="008715BE" w:rsidRPr="00EC75B7" w:rsidRDefault="008715BE">
            <w:pPr>
              <w:rPr>
                <w:rFonts w:ascii="Verdana" w:hAnsi="Verdana"/>
                <w:sz w:val="18"/>
                <w:szCs w:val="18"/>
              </w:rPr>
            </w:pPr>
          </w:p>
        </w:tc>
        <w:tc>
          <w:tcPr>
            <w:tcW w:w="1397" w:type="dxa"/>
          </w:tcPr>
          <w:p w14:paraId="3AF32C19"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Cumulative</w:t>
            </w:r>
          </w:p>
        </w:tc>
        <w:tc>
          <w:tcPr>
            <w:tcW w:w="6409" w:type="dxa"/>
          </w:tcPr>
          <w:p w14:paraId="1DEF954C" w14:textId="77777777" w:rsidR="008715BE" w:rsidRPr="00EC75B7" w:rsidRDefault="00000000">
            <w:pPr>
              <w:pStyle w:val="TableParagraph"/>
              <w:ind w:left="110" w:right="96"/>
              <w:jc w:val="both"/>
              <w:rPr>
                <w:rFonts w:ascii="Verdana" w:hAnsi="Verdana"/>
                <w:sz w:val="18"/>
                <w:szCs w:val="18"/>
              </w:rPr>
            </w:pPr>
            <w:r w:rsidRPr="00EC75B7">
              <w:rPr>
                <w:rFonts w:ascii="Verdana" w:hAnsi="Verdana"/>
                <w:sz w:val="18"/>
                <w:szCs w:val="18"/>
              </w:rPr>
              <w:t>The impact has the potential to generate, together with other effects/impacts from the same project or from different projects, greater changes to the environmental component under analysis.</w:t>
            </w:r>
          </w:p>
        </w:tc>
      </w:tr>
      <w:tr w:rsidR="008715BE" w:rsidRPr="00EC75B7" w14:paraId="76DA9961" w14:textId="77777777">
        <w:trPr>
          <w:trHeight w:val="388"/>
        </w:trPr>
        <w:tc>
          <w:tcPr>
            <w:tcW w:w="1690" w:type="dxa"/>
            <w:vMerge w:val="restart"/>
          </w:tcPr>
          <w:p w14:paraId="1756C7A0"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pacing w:val="-2"/>
                <w:sz w:val="18"/>
                <w:szCs w:val="18"/>
              </w:rPr>
              <w:t>Temporal</w:t>
            </w:r>
          </w:p>
          <w:p w14:paraId="77351538"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temporal</w:t>
            </w:r>
          </w:p>
        </w:tc>
        <w:tc>
          <w:tcPr>
            <w:tcW w:w="1397" w:type="dxa"/>
          </w:tcPr>
          <w:p w14:paraId="4A7C0C37"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Period </w:t>
            </w:r>
            <w:r w:rsidRPr="00EC75B7">
              <w:rPr>
                <w:rFonts w:ascii="Verdana" w:hAnsi="Verdana"/>
                <w:spacing w:val="-5"/>
                <w:sz w:val="18"/>
                <w:szCs w:val="18"/>
              </w:rPr>
              <w:t>of</w:t>
            </w:r>
          </w:p>
          <w:p w14:paraId="13ED7206"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execution</w:t>
            </w:r>
          </w:p>
        </w:tc>
        <w:tc>
          <w:tcPr>
            <w:tcW w:w="6409" w:type="dxa"/>
          </w:tcPr>
          <w:p w14:paraId="173C1411"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z w:val="18"/>
                <w:szCs w:val="18"/>
              </w:rPr>
              <w:t xml:space="preserve">The impact manifests itself during the </w:t>
            </w:r>
            <w:r w:rsidRPr="00EC75B7">
              <w:rPr>
                <w:rFonts w:ascii="Verdana" w:hAnsi="Verdana"/>
                <w:spacing w:val="-2"/>
                <w:sz w:val="18"/>
                <w:szCs w:val="18"/>
              </w:rPr>
              <w:t xml:space="preserve">implementation </w:t>
            </w:r>
            <w:r w:rsidRPr="00EC75B7">
              <w:rPr>
                <w:rFonts w:ascii="Verdana" w:hAnsi="Verdana"/>
                <w:sz w:val="18"/>
                <w:szCs w:val="18"/>
              </w:rPr>
              <w:t>period</w:t>
            </w:r>
            <w:r w:rsidRPr="00EC75B7">
              <w:rPr>
                <w:rFonts w:ascii="Verdana" w:hAnsi="Verdana"/>
                <w:spacing w:val="-2"/>
                <w:sz w:val="18"/>
                <w:szCs w:val="18"/>
              </w:rPr>
              <w:t>.</w:t>
            </w:r>
          </w:p>
        </w:tc>
      </w:tr>
      <w:tr w:rsidR="008715BE" w:rsidRPr="00EC75B7" w14:paraId="44B0458E" w14:textId="77777777">
        <w:trPr>
          <w:trHeight w:val="388"/>
        </w:trPr>
        <w:tc>
          <w:tcPr>
            <w:tcW w:w="1690" w:type="dxa"/>
            <w:vMerge/>
            <w:tcBorders>
              <w:top w:val="nil"/>
            </w:tcBorders>
          </w:tcPr>
          <w:p w14:paraId="3B3B09D6" w14:textId="77777777" w:rsidR="008715BE" w:rsidRPr="00EC75B7" w:rsidRDefault="008715BE">
            <w:pPr>
              <w:rPr>
                <w:rFonts w:ascii="Verdana" w:hAnsi="Verdana"/>
                <w:sz w:val="18"/>
                <w:szCs w:val="18"/>
              </w:rPr>
            </w:pPr>
          </w:p>
        </w:tc>
        <w:tc>
          <w:tcPr>
            <w:tcW w:w="1397" w:type="dxa"/>
          </w:tcPr>
          <w:p w14:paraId="62F52A49"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pacing w:val="-5"/>
                <w:sz w:val="18"/>
                <w:szCs w:val="18"/>
              </w:rPr>
              <w:t>Operational</w:t>
            </w:r>
          </w:p>
          <w:p w14:paraId="726420A9"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operation</w:t>
            </w:r>
          </w:p>
        </w:tc>
        <w:tc>
          <w:tcPr>
            <w:tcW w:w="6409" w:type="dxa"/>
          </w:tcPr>
          <w:p w14:paraId="0645F40D"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z w:val="18"/>
                <w:szCs w:val="18"/>
              </w:rPr>
              <w:t xml:space="preserve">The impact manifests itself during the </w:t>
            </w:r>
            <w:r w:rsidRPr="00EC75B7">
              <w:rPr>
                <w:rFonts w:ascii="Verdana" w:hAnsi="Verdana"/>
                <w:spacing w:val="-2"/>
                <w:sz w:val="18"/>
                <w:szCs w:val="18"/>
              </w:rPr>
              <w:t xml:space="preserve">operation </w:t>
            </w:r>
            <w:r w:rsidRPr="00EC75B7">
              <w:rPr>
                <w:rFonts w:ascii="Verdana" w:hAnsi="Verdana"/>
                <w:sz w:val="18"/>
                <w:szCs w:val="18"/>
              </w:rPr>
              <w:t>period</w:t>
            </w:r>
            <w:r w:rsidRPr="00EC75B7">
              <w:rPr>
                <w:rFonts w:ascii="Verdana" w:hAnsi="Verdana"/>
                <w:spacing w:val="-2"/>
                <w:sz w:val="18"/>
                <w:szCs w:val="18"/>
              </w:rPr>
              <w:t>.</w:t>
            </w:r>
          </w:p>
        </w:tc>
      </w:tr>
      <w:tr w:rsidR="008715BE" w:rsidRPr="00EC75B7" w14:paraId="2F073E75" w14:textId="77777777">
        <w:trPr>
          <w:trHeight w:val="438"/>
        </w:trPr>
        <w:tc>
          <w:tcPr>
            <w:tcW w:w="1690" w:type="dxa"/>
            <w:vMerge/>
            <w:tcBorders>
              <w:top w:val="nil"/>
            </w:tcBorders>
          </w:tcPr>
          <w:p w14:paraId="39692038" w14:textId="77777777" w:rsidR="008715BE" w:rsidRPr="00EC75B7" w:rsidRDefault="008715BE">
            <w:pPr>
              <w:rPr>
                <w:rFonts w:ascii="Verdana" w:hAnsi="Verdana"/>
                <w:sz w:val="18"/>
                <w:szCs w:val="18"/>
              </w:rPr>
            </w:pPr>
          </w:p>
        </w:tc>
        <w:tc>
          <w:tcPr>
            <w:tcW w:w="1397" w:type="dxa"/>
          </w:tcPr>
          <w:p w14:paraId="1105D0B3" w14:textId="77777777" w:rsidR="008715BE" w:rsidRPr="00EC75B7" w:rsidRDefault="00000000">
            <w:pPr>
              <w:pStyle w:val="TableParagraph"/>
              <w:ind w:left="107"/>
              <w:rPr>
                <w:rFonts w:ascii="Verdana" w:hAnsi="Verdana"/>
                <w:sz w:val="18"/>
                <w:szCs w:val="18"/>
              </w:rPr>
            </w:pPr>
            <w:r w:rsidRPr="00EC75B7">
              <w:rPr>
                <w:rFonts w:ascii="Verdana" w:hAnsi="Verdana"/>
                <w:spacing w:val="-2"/>
                <w:sz w:val="18"/>
                <w:szCs w:val="18"/>
              </w:rPr>
              <w:t xml:space="preserve">Decommissioning </w:t>
            </w:r>
            <w:r w:rsidRPr="00EC75B7">
              <w:rPr>
                <w:rFonts w:ascii="Verdana" w:hAnsi="Verdana"/>
                <w:sz w:val="18"/>
                <w:szCs w:val="18"/>
              </w:rPr>
              <w:t>period</w:t>
            </w:r>
          </w:p>
        </w:tc>
        <w:tc>
          <w:tcPr>
            <w:tcW w:w="6409" w:type="dxa"/>
          </w:tcPr>
          <w:p w14:paraId="27241A07"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z w:val="18"/>
                <w:szCs w:val="18"/>
              </w:rPr>
              <w:t xml:space="preserve">The impact manifests itself during the </w:t>
            </w:r>
            <w:r w:rsidRPr="00EC75B7">
              <w:rPr>
                <w:rFonts w:ascii="Verdana" w:hAnsi="Verdana"/>
                <w:spacing w:val="-2"/>
                <w:sz w:val="18"/>
                <w:szCs w:val="18"/>
              </w:rPr>
              <w:t xml:space="preserve">decommissioning </w:t>
            </w:r>
            <w:r w:rsidRPr="00EC75B7">
              <w:rPr>
                <w:rFonts w:ascii="Verdana" w:hAnsi="Verdana"/>
                <w:sz w:val="18"/>
                <w:szCs w:val="18"/>
              </w:rPr>
              <w:t>period</w:t>
            </w:r>
            <w:r w:rsidRPr="00EC75B7">
              <w:rPr>
                <w:rFonts w:ascii="Verdana" w:hAnsi="Verdana"/>
                <w:spacing w:val="-2"/>
                <w:sz w:val="18"/>
                <w:szCs w:val="18"/>
              </w:rPr>
              <w:t>.</w:t>
            </w:r>
          </w:p>
        </w:tc>
      </w:tr>
      <w:tr w:rsidR="008715BE" w:rsidRPr="00EC75B7" w14:paraId="667C11EB" w14:textId="77777777">
        <w:trPr>
          <w:trHeight w:val="196"/>
        </w:trPr>
        <w:tc>
          <w:tcPr>
            <w:tcW w:w="1690" w:type="dxa"/>
            <w:vMerge w:val="restart"/>
          </w:tcPr>
          <w:p w14:paraId="43F3E605" w14:textId="77777777" w:rsidR="008715BE" w:rsidRPr="00EC75B7" w:rsidRDefault="00000000">
            <w:pPr>
              <w:pStyle w:val="TableParagraph"/>
              <w:spacing w:before="1" w:line="195" w:lineRule="exact"/>
              <w:ind w:left="108"/>
              <w:rPr>
                <w:rFonts w:ascii="Verdana" w:hAnsi="Verdana"/>
                <w:sz w:val="18"/>
                <w:szCs w:val="18"/>
              </w:rPr>
            </w:pPr>
            <w:r w:rsidRPr="00EC75B7">
              <w:rPr>
                <w:rFonts w:ascii="Verdana" w:hAnsi="Verdana"/>
                <w:spacing w:val="-2"/>
                <w:sz w:val="18"/>
                <w:szCs w:val="18"/>
              </w:rPr>
              <w:t>Expansion</w:t>
            </w:r>
          </w:p>
          <w:p w14:paraId="7ECC2DA5"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spatial</w:t>
            </w:r>
          </w:p>
        </w:tc>
        <w:tc>
          <w:tcPr>
            <w:tcW w:w="1397" w:type="dxa"/>
          </w:tcPr>
          <w:p w14:paraId="7A001F5B" w14:textId="77777777" w:rsidR="008715BE" w:rsidRPr="00EC75B7" w:rsidRDefault="00000000">
            <w:pPr>
              <w:pStyle w:val="TableParagraph"/>
              <w:spacing w:before="1" w:line="175" w:lineRule="exact"/>
              <w:ind w:left="107"/>
              <w:rPr>
                <w:rFonts w:ascii="Verdana" w:hAnsi="Verdana"/>
                <w:sz w:val="18"/>
                <w:szCs w:val="18"/>
              </w:rPr>
            </w:pPr>
            <w:r w:rsidRPr="00EC75B7">
              <w:rPr>
                <w:rFonts w:ascii="Verdana" w:hAnsi="Verdana"/>
                <w:spacing w:val="-2"/>
                <w:sz w:val="18"/>
                <w:szCs w:val="18"/>
              </w:rPr>
              <w:t>Local</w:t>
            </w:r>
          </w:p>
        </w:tc>
        <w:tc>
          <w:tcPr>
            <w:tcW w:w="6409" w:type="dxa"/>
          </w:tcPr>
          <w:p w14:paraId="71BFCF2E" w14:textId="77777777" w:rsidR="008715BE" w:rsidRPr="00EC75B7" w:rsidRDefault="00000000">
            <w:pPr>
              <w:pStyle w:val="TableParagraph"/>
              <w:spacing w:before="1" w:line="175" w:lineRule="exact"/>
              <w:ind w:left="110"/>
              <w:rPr>
                <w:rFonts w:ascii="Verdana" w:hAnsi="Verdana"/>
                <w:sz w:val="18"/>
                <w:szCs w:val="18"/>
              </w:rPr>
            </w:pPr>
            <w:r w:rsidRPr="00EC75B7">
              <w:rPr>
                <w:rFonts w:ascii="Verdana" w:hAnsi="Verdana"/>
                <w:sz w:val="18"/>
                <w:szCs w:val="18"/>
              </w:rPr>
              <w:t xml:space="preserve">The impact manifests itself locally at distances of up to 500 </w:t>
            </w:r>
            <w:r w:rsidRPr="00EC75B7">
              <w:rPr>
                <w:rFonts w:ascii="Verdana" w:hAnsi="Verdana"/>
                <w:spacing w:val="-5"/>
                <w:sz w:val="18"/>
                <w:szCs w:val="18"/>
              </w:rPr>
              <w:t>m.</w:t>
            </w:r>
          </w:p>
        </w:tc>
      </w:tr>
      <w:tr w:rsidR="008715BE" w:rsidRPr="00EC75B7" w14:paraId="0C8BFD6C" w14:textId="77777777">
        <w:trPr>
          <w:trHeight w:val="193"/>
        </w:trPr>
        <w:tc>
          <w:tcPr>
            <w:tcW w:w="1690" w:type="dxa"/>
            <w:vMerge/>
            <w:tcBorders>
              <w:top w:val="nil"/>
            </w:tcBorders>
          </w:tcPr>
          <w:p w14:paraId="40C8481A" w14:textId="77777777" w:rsidR="008715BE" w:rsidRPr="00EC75B7" w:rsidRDefault="008715BE">
            <w:pPr>
              <w:rPr>
                <w:rFonts w:ascii="Verdana" w:hAnsi="Verdana"/>
                <w:sz w:val="18"/>
                <w:szCs w:val="18"/>
              </w:rPr>
            </w:pPr>
          </w:p>
        </w:tc>
        <w:tc>
          <w:tcPr>
            <w:tcW w:w="1397" w:type="dxa"/>
          </w:tcPr>
          <w:p w14:paraId="5E82DE37"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Regional</w:t>
            </w:r>
          </w:p>
        </w:tc>
        <w:tc>
          <w:tcPr>
            <w:tcW w:w="6409" w:type="dxa"/>
          </w:tcPr>
          <w:p w14:paraId="5D93DCD7"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The impact is felt at distances &gt; 5 </w:t>
            </w:r>
            <w:r w:rsidRPr="00EC75B7">
              <w:rPr>
                <w:rFonts w:ascii="Verdana" w:hAnsi="Verdana"/>
                <w:spacing w:val="-5"/>
                <w:sz w:val="18"/>
                <w:szCs w:val="18"/>
              </w:rPr>
              <w:t>km.</w:t>
            </w:r>
          </w:p>
        </w:tc>
      </w:tr>
      <w:tr w:rsidR="008715BE" w:rsidRPr="00EC75B7" w14:paraId="6AAADB6D" w14:textId="77777777">
        <w:trPr>
          <w:trHeight w:val="194"/>
        </w:trPr>
        <w:tc>
          <w:tcPr>
            <w:tcW w:w="1690" w:type="dxa"/>
            <w:vMerge/>
            <w:tcBorders>
              <w:top w:val="nil"/>
            </w:tcBorders>
          </w:tcPr>
          <w:p w14:paraId="7185DF7D" w14:textId="77777777" w:rsidR="008715BE" w:rsidRPr="00EC75B7" w:rsidRDefault="008715BE">
            <w:pPr>
              <w:rPr>
                <w:rFonts w:ascii="Verdana" w:hAnsi="Verdana"/>
                <w:sz w:val="18"/>
                <w:szCs w:val="18"/>
              </w:rPr>
            </w:pPr>
          </w:p>
        </w:tc>
        <w:tc>
          <w:tcPr>
            <w:tcW w:w="1397" w:type="dxa"/>
          </w:tcPr>
          <w:p w14:paraId="37DBB4A6"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National</w:t>
            </w:r>
          </w:p>
        </w:tc>
        <w:tc>
          <w:tcPr>
            <w:tcW w:w="6409" w:type="dxa"/>
          </w:tcPr>
          <w:p w14:paraId="02AE1010"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The impact is felt across several </w:t>
            </w:r>
            <w:r w:rsidRPr="00EC75B7">
              <w:rPr>
                <w:rFonts w:ascii="Verdana" w:hAnsi="Verdana"/>
                <w:spacing w:val="-2"/>
                <w:sz w:val="18"/>
                <w:szCs w:val="18"/>
              </w:rPr>
              <w:t>counties.</w:t>
            </w:r>
          </w:p>
        </w:tc>
      </w:tr>
      <w:tr w:rsidR="008715BE" w:rsidRPr="00EC75B7" w14:paraId="2C2EE348" w14:textId="77777777">
        <w:trPr>
          <w:trHeight w:val="193"/>
        </w:trPr>
        <w:tc>
          <w:tcPr>
            <w:tcW w:w="1690" w:type="dxa"/>
            <w:vMerge/>
            <w:tcBorders>
              <w:top w:val="nil"/>
            </w:tcBorders>
          </w:tcPr>
          <w:p w14:paraId="37B0C57C" w14:textId="77777777" w:rsidR="008715BE" w:rsidRPr="00EC75B7" w:rsidRDefault="008715BE">
            <w:pPr>
              <w:rPr>
                <w:rFonts w:ascii="Verdana" w:hAnsi="Verdana"/>
                <w:sz w:val="18"/>
                <w:szCs w:val="18"/>
              </w:rPr>
            </w:pPr>
          </w:p>
        </w:tc>
        <w:tc>
          <w:tcPr>
            <w:tcW w:w="1397" w:type="dxa"/>
          </w:tcPr>
          <w:p w14:paraId="1394EB35"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Cross-border</w:t>
            </w:r>
          </w:p>
        </w:tc>
        <w:tc>
          <w:tcPr>
            <w:tcW w:w="6409" w:type="dxa"/>
          </w:tcPr>
          <w:p w14:paraId="53101CD4"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The impact is felt in </w:t>
            </w:r>
            <w:r w:rsidRPr="00EC75B7">
              <w:rPr>
                <w:rFonts w:ascii="Verdana" w:hAnsi="Verdana"/>
                <w:spacing w:val="-2"/>
                <w:sz w:val="18"/>
                <w:szCs w:val="18"/>
              </w:rPr>
              <w:t xml:space="preserve">neighboring </w:t>
            </w:r>
            <w:r w:rsidRPr="00EC75B7">
              <w:rPr>
                <w:rFonts w:ascii="Verdana" w:hAnsi="Verdana"/>
                <w:sz w:val="18"/>
                <w:szCs w:val="18"/>
              </w:rPr>
              <w:t>countries</w:t>
            </w:r>
            <w:r w:rsidRPr="00EC75B7">
              <w:rPr>
                <w:rFonts w:ascii="Verdana" w:hAnsi="Verdana"/>
                <w:spacing w:val="-2"/>
                <w:sz w:val="18"/>
                <w:szCs w:val="18"/>
              </w:rPr>
              <w:t>.</w:t>
            </w:r>
          </w:p>
        </w:tc>
      </w:tr>
      <w:tr w:rsidR="008715BE" w:rsidRPr="00EC75B7" w14:paraId="4FB9C953" w14:textId="77777777">
        <w:trPr>
          <w:trHeight w:val="388"/>
        </w:trPr>
        <w:tc>
          <w:tcPr>
            <w:tcW w:w="1690" w:type="dxa"/>
            <w:vMerge w:val="restart"/>
          </w:tcPr>
          <w:p w14:paraId="1DD21B13"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Duration</w:t>
            </w:r>
          </w:p>
        </w:tc>
        <w:tc>
          <w:tcPr>
            <w:tcW w:w="1397" w:type="dxa"/>
          </w:tcPr>
          <w:p w14:paraId="20655A2E"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Temporary</w:t>
            </w:r>
          </w:p>
        </w:tc>
        <w:tc>
          <w:tcPr>
            <w:tcW w:w="6409" w:type="dxa"/>
          </w:tcPr>
          <w:p w14:paraId="6B416BFA"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pacing w:val="48"/>
                <w:sz w:val="18"/>
                <w:szCs w:val="18"/>
              </w:rPr>
              <w:t xml:space="preserve">  </w:t>
            </w:r>
            <w:r w:rsidRPr="00EC75B7">
              <w:rPr>
                <w:rFonts w:ascii="Verdana" w:hAnsi="Verdana"/>
                <w:sz w:val="18"/>
                <w:szCs w:val="18"/>
              </w:rPr>
              <w:t xml:space="preserve"> impact</w:t>
            </w:r>
            <w:r w:rsidRPr="00EC75B7">
              <w:rPr>
                <w:rFonts w:ascii="Verdana" w:hAnsi="Verdana"/>
                <w:spacing w:val="50"/>
                <w:sz w:val="18"/>
                <w:szCs w:val="18"/>
              </w:rPr>
              <w:t xml:space="preserve">  </w:t>
            </w:r>
            <w:r w:rsidRPr="00EC75B7">
              <w:rPr>
                <w:rFonts w:ascii="Verdana" w:hAnsi="Verdana"/>
                <w:sz w:val="18"/>
                <w:szCs w:val="18"/>
              </w:rPr>
              <w:t xml:space="preserve"> manifests itself</w:t>
            </w:r>
            <w:r w:rsidRPr="00EC75B7">
              <w:rPr>
                <w:rFonts w:ascii="Verdana" w:hAnsi="Verdana"/>
                <w:spacing w:val="48"/>
                <w:sz w:val="18"/>
                <w:szCs w:val="18"/>
              </w:rPr>
              <w:t xml:space="preserve">  </w:t>
            </w:r>
            <w:r w:rsidRPr="00EC75B7">
              <w:rPr>
                <w:rFonts w:ascii="Verdana" w:hAnsi="Verdana"/>
                <w:sz w:val="18"/>
                <w:szCs w:val="18"/>
              </w:rPr>
              <w:t xml:space="preserve"> on</w:t>
            </w:r>
            <w:r w:rsidRPr="00EC75B7">
              <w:rPr>
                <w:rFonts w:ascii="Verdana" w:hAnsi="Verdana"/>
                <w:spacing w:val="49"/>
                <w:sz w:val="18"/>
                <w:szCs w:val="18"/>
              </w:rPr>
              <w:t xml:space="preserve">  </w:t>
            </w:r>
            <w:r w:rsidRPr="00EC75B7">
              <w:rPr>
                <w:rFonts w:ascii="Verdana" w:hAnsi="Verdana"/>
                <w:sz w:val="18"/>
                <w:szCs w:val="18"/>
              </w:rPr>
              <w:t xml:space="preserve"> a</w:t>
            </w:r>
            <w:r w:rsidRPr="00EC75B7">
              <w:rPr>
                <w:rFonts w:ascii="Verdana" w:hAnsi="Verdana"/>
                <w:spacing w:val="51"/>
                <w:sz w:val="18"/>
                <w:szCs w:val="18"/>
              </w:rPr>
              <w:t xml:space="preserve">  </w:t>
            </w:r>
            <w:r w:rsidRPr="00EC75B7">
              <w:rPr>
                <w:rFonts w:ascii="Verdana" w:hAnsi="Verdana"/>
                <w:sz w:val="18"/>
                <w:szCs w:val="18"/>
              </w:rPr>
              <w:t xml:space="preserve"> short</w:t>
            </w:r>
            <w:r w:rsidRPr="00EC75B7">
              <w:rPr>
                <w:rFonts w:ascii="Verdana" w:hAnsi="Verdana"/>
                <w:spacing w:val="50"/>
                <w:sz w:val="18"/>
                <w:szCs w:val="18"/>
              </w:rPr>
              <w:t xml:space="preserve">  </w:t>
            </w:r>
            <w:r w:rsidRPr="00EC75B7">
              <w:rPr>
                <w:rFonts w:ascii="Verdana" w:hAnsi="Verdana"/>
                <w:sz w:val="18"/>
                <w:szCs w:val="18"/>
              </w:rPr>
              <w:t xml:space="preserve"> duration</w:t>
            </w:r>
            <w:r w:rsidRPr="00EC75B7">
              <w:rPr>
                <w:rFonts w:ascii="Verdana" w:hAnsi="Verdana"/>
                <w:spacing w:val="50"/>
                <w:sz w:val="18"/>
                <w:szCs w:val="18"/>
              </w:rPr>
              <w:t xml:space="preserve">  </w:t>
            </w:r>
            <w:r w:rsidRPr="00EC75B7">
              <w:rPr>
                <w:rFonts w:ascii="Verdana" w:hAnsi="Verdana"/>
                <w:sz w:val="18"/>
                <w:szCs w:val="18"/>
              </w:rPr>
              <w:t xml:space="preserve"> of</w:t>
            </w:r>
            <w:r w:rsidRPr="00EC75B7">
              <w:rPr>
                <w:rFonts w:ascii="Verdana" w:hAnsi="Verdana"/>
                <w:spacing w:val="50"/>
                <w:sz w:val="18"/>
                <w:szCs w:val="18"/>
              </w:rPr>
              <w:t xml:space="preserve">  </w:t>
            </w:r>
            <w:r w:rsidRPr="00EC75B7">
              <w:rPr>
                <w:rFonts w:ascii="Verdana" w:hAnsi="Verdana"/>
                <w:sz w:val="18"/>
                <w:szCs w:val="18"/>
              </w:rPr>
              <w:t xml:space="preserve"> time</w:t>
            </w:r>
            <w:r w:rsidRPr="00EC75B7">
              <w:rPr>
                <w:rFonts w:ascii="Verdana" w:hAnsi="Verdana"/>
                <w:spacing w:val="50"/>
                <w:sz w:val="18"/>
                <w:szCs w:val="18"/>
              </w:rPr>
              <w:t xml:space="preserve">  </w:t>
            </w:r>
            <w:r w:rsidRPr="00EC75B7">
              <w:rPr>
                <w:rFonts w:ascii="Verdana" w:hAnsi="Verdana"/>
                <w:sz w:val="18"/>
                <w:szCs w:val="18"/>
              </w:rPr>
              <w:t xml:space="preserve"> and</w:t>
            </w:r>
            <w:r w:rsidRPr="00EC75B7">
              <w:rPr>
                <w:rFonts w:ascii="Verdana" w:hAnsi="Verdana"/>
                <w:spacing w:val="50"/>
                <w:sz w:val="18"/>
                <w:szCs w:val="18"/>
              </w:rPr>
              <w:t xml:space="preserve">  </w:t>
            </w:r>
            <w:r w:rsidRPr="00EC75B7">
              <w:rPr>
                <w:rFonts w:ascii="Verdana" w:hAnsi="Verdana"/>
                <w:spacing w:val="-2"/>
                <w:sz w:val="18"/>
                <w:szCs w:val="18"/>
              </w:rPr>
              <w:t xml:space="preserve"> possibly</w:t>
            </w:r>
          </w:p>
          <w:p w14:paraId="47D84AC9"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2"/>
                <w:sz w:val="18"/>
                <w:szCs w:val="18"/>
              </w:rPr>
              <w:t>intermittent/occasional.</w:t>
            </w:r>
          </w:p>
        </w:tc>
      </w:tr>
      <w:tr w:rsidR="008715BE" w:rsidRPr="00EC75B7" w14:paraId="1939BA50" w14:textId="77777777">
        <w:trPr>
          <w:trHeight w:val="585"/>
        </w:trPr>
        <w:tc>
          <w:tcPr>
            <w:tcW w:w="1690" w:type="dxa"/>
            <w:vMerge/>
            <w:tcBorders>
              <w:top w:val="nil"/>
            </w:tcBorders>
          </w:tcPr>
          <w:p w14:paraId="256D59DC" w14:textId="77777777" w:rsidR="008715BE" w:rsidRPr="00EC75B7" w:rsidRDefault="008715BE">
            <w:pPr>
              <w:rPr>
                <w:rFonts w:ascii="Verdana" w:hAnsi="Verdana"/>
                <w:sz w:val="18"/>
                <w:szCs w:val="18"/>
              </w:rPr>
            </w:pPr>
          </w:p>
        </w:tc>
        <w:tc>
          <w:tcPr>
            <w:tcW w:w="1397" w:type="dxa"/>
          </w:tcPr>
          <w:p w14:paraId="6F1D0531"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 xml:space="preserve">Short </w:t>
            </w:r>
            <w:r w:rsidRPr="00EC75B7">
              <w:rPr>
                <w:rFonts w:ascii="Verdana" w:hAnsi="Verdana"/>
                <w:sz w:val="18"/>
                <w:szCs w:val="18"/>
              </w:rPr>
              <w:t>term</w:t>
            </w:r>
          </w:p>
        </w:tc>
        <w:tc>
          <w:tcPr>
            <w:tcW w:w="6409" w:type="dxa"/>
          </w:tcPr>
          <w:p w14:paraId="475D1273" w14:textId="77777777" w:rsidR="008715BE" w:rsidRPr="00EC75B7" w:rsidRDefault="00000000">
            <w:pPr>
              <w:pStyle w:val="TableParagraph"/>
              <w:ind w:left="110"/>
              <w:rPr>
                <w:rFonts w:ascii="Verdana" w:hAnsi="Verdana"/>
                <w:sz w:val="18"/>
                <w:szCs w:val="18"/>
              </w:rPr>
            </w:pPr>
            <w:r w:rsidRPr="00EC75B7">
              <w:rPr>
                <w:rFonts w:ascii="Verdana" w:hAnsi="Verdana"/>
                <w:sz w:val="18"/>
                <w:szCs w:val="18"/>
              </w:rPr>
              <w:t>The impact is expected to be active for a limited, short period of time and will cease entirely upon completion of the activity causing it (e</w:t>
            </w:r>
            <w:r w:rsidRPr="00EC75B7">
              <w:rPr>
                <w:rFonts w:ascii="Verdana" w:hAnsi="Verdana"/>
                <w:spacing w:val="-5"/>
                <w:sz w:val="18"/>
                <w:szCs w:val="18"/>
              </w:rPr>
              <w:t>.g.</w:t>
            </w:r>
          </w:p>
          <w:p w14:paraId="5899A41C" w14:textId="77777777" w:rsidR="008715BE" w:rsidRPr="00EC75B7" w:rsidRDefault="00000000">
            <w:pPr>
              <w:pStyle w:val="TableParagraph"/>
              <w:spacing w:line="175" w:lineRule="exact"/>
              <w:ind w:left="110"/>
              <w:rPr>
                <w:rFonts w:ascii="Verdana" w:hAnsi="Verdana"/>
                <w:sz w:val="18"/>
                <w:szCs w:val="18"/>
              </w:rPr>
            </w:pPr>
            <w:r w:rsidRPr="00EC75B7">
              <w:rPr>
                <w:rFonts w:ascii="Verdana" w:hAnsi="Verdana"/>
                <w:sz w:val="18"/>
                <w:szCs w:val="18"/>
              </w:rPr>
              <w:t xml:space="preserve">noise and vibrations generated during </w:t>
            </w:r>
            <w:r w:rsidRPr="00EC75B7">
              <w:rPr>
                <w:rFonts w:ascii="Verdana" w:hAnsi="Verdana"/>
                <w:spacing w:val="-2"/>
                <w:sz w:val="18"/>
                <w:szCs w:val="18"/>
              </w:rPr>
              <w:t>construction).</w:t>
            </w:r>
          </w:p>
        </w:tc>
      </w:tr>
      <w:tr w:rsidR="008715BE" w:rsidRPr="00EC75B7" w14:paraId="527707F1" w14:textId="77777777">
        <w:trPr>
          <w:trHeight w:val="388"/>
        </w:trPr>
        <w:tc>
          <w:tcPr>
            <w:tcW w:w="1690" w:type="dxa"/>
            <w:vMerge/>
            <w:tcBorders>
              <w:top w:val="nil"/>
            </w:tcBorders>
          </w:tcPr>
          <w:p w14:paraId="56AD575E" w14:textId="77777777" w:rsidR="008715BE" w:rsidRPr="00EC75B7" w:rsidRDefault="008715BE">
            <w:pPr>
              <w:rPr>
                <w:rFonts w:ascii="Verdana" w:hAnsi="Verdana"/>
                <w:sz w:val="18"/>
                <w:szCs w:val="18"/>
              </w:rPr>
            </w:pPr>
          </w:p>
        </w:tc>
        <w:tc>
          <w:tcPr>
            <w:tcW w:w="1397" w:type="dxa"/>
          </w:tcPr>
          <w:p w14:paraId="52FD95D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4"/>
                <w:sz w:val="18"/>
                <w:szCs w:val="18"/>
              </w:rPr>
              <w:t xml:space="preserve">Long </w:t>
            </w:r>
            <w:r w:rsidRPr="00EC75B7">
              <w:rPr>
                <w:rFonts w:ascii="Verdana" w:hAnsi="Verdana"/>
                <w:sz w:val="18"/>
                <w:szCs w:val="18"/>
              </w:rPr>
              <w:t>term</w:t>
            </w:r>
          </w:p>
        </w:tc>
        <w:tc>
          <w:tcPr>
            <w:tcW w:w="6409" w:type="dxa"/>
          </w:tcPr>
          <w:p w14:paraId="656AAAD4"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The impact manifests itself over a long period of time, but ceases </w:t>
            </w:r>
            <w:r w:rsidRPr="00EC75B7">
              <w:rPr>
                <w:rFonts w:ascii="Verdana" w:hAnsi="Verdana"/>
                <w:spacing w:val="-5"/>
                <w:sz w:val="18"/>
                <w:szCs w:val="18"/>
              </w:rPr>
              <w:t>upon</w:t>
            </w:r>
          </w:p>
          <w:p w14:paraId="482870AA"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2"/>
                <w:sz w:val="18"/>
                <w:szCs w:val="18"/>
              </w:rPr>
              <w:t xml:space="preserve">the project is </w:t>
            </w:r>
            <w:r w:rsidRPr="00EC75B7">
              <w:rPr>
                <w:rFonts w:ascii="Verdana" w:hAnsi="Verdana"/>
                <w:sz w:val="18"/>
                <w:szCs w:val="18"/>
              </w:rPr>
              <w:t>completed</w:t>
            </w:r>
            <w:r w:rsidRPr="00EC75B7">
              <w:rPr>
                <w:rFonts w:ascii="Verdana" w:hAnsi="Verdana"/>
                <w:spacing w:val="-2"/>
                <w:sz w:val="18"/>
                <w:szCs w:val="18"/>
              </w:rPr>
              <w:t>.</w:t>
            </w:r>
          </w:p>
        </w:tc>
      </w:tr>
      <w:tr w:rsidR="008715BE" w:rsidRPr="00EC75B7" w14:paraId="4E57CE39" w14:textId="77777777">
        <w:trPr>
          <w:trHeight w:val="388"/>
        </w:trPr>
        <w:tc>
          <w:tcPr>
            <w:tcW w:w="1690" w:type="dxa"/>
            <w:vMerge/>
            <w:tcBorders>
              <w:top w:val="nil"/>
            </w:tcBorders>
          </w:tcPr>
          <w:p w14:paraId="3B788EC1" w14:textId="77777777" w:rsidR="008715BE" w:rsidRPr="00EC75B7" w:rsidRDefault="008715BE">
            <w:pPr>
              <w:rPr>
                <w:rFonts w:ascii="Verdana" w:hAnsi="Verdana"/>
                <w:sz w:val="18"/>
                <w:szCs w:val="18"/>
              </w:rPr>
            </w:pPr>
          </w:p>
        </w:tc>
        <w:tc>
          <w:tcPr>
            <w:tcW w:w="1397" w:type="dxa"/>
          </w:tcPr>
          <w:p w14:paraId="1B0952AA"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Permanent</w:t>
            </w:r>
          </w:p>
        </w:tc>
        <w:tc>
          <w:tcPr>
            <w:tcW w:w="6409" w:type="dxa"/>
          </w:tcPr>
          <w:p w14:paraId="4FB50159"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The impact manifests itself in all phases of the project and remains active even </w:t>
            </w:r>
            <w:r w:rsidRPr="00EC75B7">
              <w:rPr>
                <w:rFonts w:ascii="Verdana" w:hAnsi="Verdana"/>
                <w:spacing w:val="-4"/>
                <w:sz w:val="18"/>
                <w:szCs w:val="18"/>
              </w:rPr>
              <w:t>after</w:t>
            </w:r>
          </w:p>
          <w:p w14:paraId="6E019902"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2"/>
                <w:sz w:val="18"/>
                <w:szCs w:val="18"/>
              </w:rPr>
              <w:t xml:space="preserve">the project </w:t>
            </w:r>
            <w:r w:rsidRPr="00EC75B7">
              <w:rPr>
                <w:rFonts w:ascii="Verdana" w:hAnsi="Verdana"/>
                <w:sz w:val="18"/>
                <w:szCs w:val="18"/>
              </w:rPr>
              <w:t>closes</w:t>
            </w:r>
            <w:r w:rsidRPr="00EC75B7">
              <w:rPr>
                <w:rFonts w:ascii="Verdana" w:hAnsi="Verdana"/>
                <w:spacing w:val="-2"/>
                <w:sz w:val="18"/>
                <w:szCs w:val="18"/>
              </w:rPr>
              <w:t>.</w:t>
            </w:r>
          </w:p>
        </w:tc>
      </w:tr>
      <w:tr w:rsidR="008715BE" w:rsidRPr="00EC75B7" w14:paraId="277D41F5" w14:textId="77777777">
        <w:trPr>
          <w:trHeight w:val="1166"/>
        </w:trPr>
        <w:tc>
          <w:tcPr>
            <w:tcW w:w="1690" w:type="dxa"/>
            <w:vMerge w:val="restart"/>
          </w:tcPr>
          <w:p w14:paraId="198F3B26"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Magnitude</w:t>
            </w:r>
          </w:p>
        </w:tc>
        <w:tc>
          <w:tcPr>
            <w:tcW w:w="1397" w:type="dxa"/>
          </w:tcPr>
          <w:p w14:paraId="26DCDD80"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4"/>
                <w:sz w:val="18"/>
                <w:szCs w:val="18"/>
              </w:rPr>
              <w:t>Small</w:t>
            </w:r>
          </w:p>
        </w:tc>
        <w:tc>
          <w:tcPr>
            <w:tcW w:w="6409" w:type="dxa"/>
          </w:tcPr>
          <w:p w14:paraId="022A2FED" w14:textId="77777777" w:rsidR="008715BE" w:rsidRPr="00EC75B7" w:rsidRDefault="00000000">
            <w:pPr>
              <w:pStyle w:val="TableParagraph"/>
              <w:ind w:left="110" w:right="93"/>
              <w:jc w:val="both"/>
              <w:rPr>
                <w:rFonts w:ascii="Verdana" w:hAnsi="Verdana"/>
                <w:sz w:val="18"/>
                <w:szCs w:val="18"/>
              </w:rPr>
            </w:pPr>
            <w:r w:rsidRPr="00EC75B7">
              <w:rPr>
                <w:rFonts w:ascii="Verdana" w:hAnsi="Verdana"/>
                <w:sz w:val="18"/>
                <w:szCs w:val="18"/>
              </w:rPr>
              <w:t xml:space="preserve">When the environmental factor has a low value and/or sensitivity. The impact can be predicted but is usually at the limit of detection and does not lead to permanent changes in the structures and functions of the receptor. In other words, the effects of the impact fall within the natural limits of variability of the receptor, without the need to restore </w:t>
            </w:r>
            <w:r w:rsidRPr="00EC75B7">
              <w:rPr>
                <w:rFonts w:ascii="Verdana" w:hAnsi="Verdana"/>
                <w:spacing w:val="-2"/>
                <w:sz w:val="18"/>
                <w:szCs w:val="18"/>
              </w:rPr>
              <w:t>the receptor.</w:t>
            </w:r>
          </w:p>
        </w:tc>
      </w:tr>
      <w:tr w:rsidR="008715BE" w:rsidRPr="00EC75B7" w14:paraId="6EAF92B5" w14:textId="77777777">
        <w:trPr>
          <w:trHeight w:val="623"/>
        </w:trPr>
        <w:tc>
          <w:tcPr>
            <w:tcW w:w="1690" w:type="dxa"/>
            <w:vMerge/>
            <w:tcBorders>
              <w:top w:val="nil"/>
            </w:tcBorders>
          </w:tcPr>
          <w:p w14:paraId="0B5829F4" w14:textId="77777777" w:rsidR="008715BE" w:rsidRPr="00EC75B7" w:rsidRDefault="008715BE">
            <w:pPr>
              <w:rPr>
                <w:rFonts w:ascii="Verdana" w:hAnsi="Verdana"/>
                <w:sz w:val="18"/>
                <w:szCs w:val="18"/>
              </w:rPr>
            </w:pPr>
          </w:p>
        </w:tc>
        <w:tc>
          <w:tcPr>
            <w:tcW w:w="1397" w:type="dxa"/>
          </w:tcPr>
          <w:p w14:paraId="504E26DE"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Medium</w:t>
            </w:r>
          </w:p>
        </w:tc>
        <w:tc>
          <w:tcPr>
            <w:tcW w:w="6409" w:type="dxa"/>
          </w:tcPr>
          <w:p w14:paraId="6135F973" w14:textId="77777777" w:rsidR="008715BE" w:rsidRPr="00EC75B7" w:rsidRDefault="00000000">
            <w:pPr>
              <w:pStyle w:val="TableParagraph"/>
              <w:ind w:left="110" w:right="96"/>
              <w:jc w:val="both"/>
              <w:rPr>
                <w:rFonts w:ascii="Verdana" w:hAnsi="Verdana"/>
                <w:sz w:val="18"/>
                <w:szCs w:val="18"/>
              </w:rPr>
            </w:pPr>
            <w:r w:rsidRPr="00EC75B7">
              <w:rPr>
                <w:rFonts w:ascii="Verdana" w:hAnsi="Verdana"/>
                <w:sz w:val="18"/>
                <w:szCs w:val="18"/>
              </w:rPr>
              <w:t>When the environmental factor has a medium value and/or sensitivity. The structures and functions of the receptor are affected, but the basic structure/function is not affected.</w:t>
            </w:r>
          </w:p>
        </w:tc>
      </w:tr>
      <w:tr w:rsidR="008715BE" w:rsidRPr="00EC75B7" w14:paraId="26CC2B95" w14:textId="77777777">
        <w:trPr>
          <w:trHeight w:val="972"/>
        </w:trPr>
        <w:tc>
          <w:tcPr>
            <w:tcW w:w="1690" w:type="dxa"/>
            <w:vMerge/>
            <w:tcBorders>
              <w:top w:val="nil"/>
            </w:tcBorders>
          </w:tcPr>
          <w:p w14:paraId="609C131A" w14:textId="77777777" w:rsidR="008715BE" w:rsidRPr="00EC75B7" w:rsidRDefault="008715BE">
            <w:pPr>
              <w:rPr>
                <w:rFonts w:ascii="Verdana" w:hAnsi="Verdana"/>
                <w:sz w:val="18"/>
                <w:szCs w:val="18"/>
              </w:rPr>
            </w:pPr>
          </w:p>
        </w:tc>
        <w:tc>
          <w:tcPr>
            <w:tcW w:w="1397" w:type="dxa"/>
          </w:tcPr>
          <w:p w14:paraId="5E95B54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4"/>
                <w:sz w:val="18"/>
                <w:szCs w:val="18"/>
              </w:rPr>
              <w:t>High</w:t>
            </w:r>
          </w:p>
        </w:tc>
        <w:tc>
          <w:tcPr>
            <w:tcW w:w="6409" w:type="dxa"/>
          </w:tcPr>
          <w:p w14:paraId="3057F654" w14:textId="77777777" w:rsidR="008715BE" w:rsidRPr="00EC75B7" w:rsidRDefault="00000000">
            <w:pPr>
              <w:pStyle w:val="TableParagraph"/>
              <w:ind w:left="110" w:right="92"/>
              <w:jc w:val="both"/>
              <w:rPr>
                <w:rFonts w:ascii="Verdana" w:hAnsi="Verdana"/>
                <w:sz w:val="18"/>
                <w:szCs w:val="18"/>
              </w:rPr>
            </w:pPr>
            <w:r w:rsidRPr="00EC75B7">
              <w:rPr>
                <w:rFonts w:ascii="Verdana" w:hAnsi="Verdana"/>
                <w:sz w:val="18"/>
                <w:szCs w:val="18"/>
              </w:rPr>
              <w:t xml:space="preserve">Impact on receptors (resources) that may cause irreversible changes beyond acceptable limits, locally or on a larger scale. The changes may alter the long-term character of the receptor (resource) and other </w:t>
            </w:r>
            <w:r w:rsidRPr="00EC75B7">
              <w:rPr>
                <w:rFonts w:ascii="Verdana" w:hAnsi="Verdana"/>
                <w:spacing w:val="-2"/>
                <w:sz w:val="18"/>
                <w:szCs w:val="18"/>
              </w:rPr>
              <w:t>dependent receptors. An impact that persists after the cessation of the activity that</w:t>
            </w:r>
          </w:p>
          <w:p w14:paraId="3991BB53" w14:textId="77777777" w:rsidR="008715BE" w:rsidRPr="00EC75B7" w:rsidRDefault="00000000">
            <w:pPr>
              <w:pStyle w:val="TableParagraph"/>
              <w:spacing w:line="172" w:lineRule="exact"/>
              <w:ind w:left="110"/>
              <w:jc w:val="both"/>
              <w:rPr>
                <w:rFonts w:ascii="Verdana" w:hAnsi="Verdana"/>
                <w:sz w:val="18"/>
                <w:szCs w:val="18"/>
              </w:rPr>
            </w:pPr>
            <w:r w:rsidRPr="00EC75B7">
              <w:rPr>
                <w:rFonts w:ascii="Verdana" w:hAnsi="Verdana"/>
                <w:sz w:val="18"/>
                <w:szCs w:val="18"/>
              </w:rPr>
              <w:t xml:space="preserve">causes it has a </w:t>
            </w:r>
            <w:r w:rsidRPr="00EC75B7">
              <w:rPr>
                <w:rFonts w:ascii="Verdana" w:hAnsi="Verdana"/>
                <w:spacing w:val="-2"/>
                <w:sz w:val="18"/>
                <w:szCs w:val="18"/>
              </w:rPr>
              <w:t xml:space="preserve">large </w:t>
            </w:r>
            <w:r w:rsidRPr="00EC75B7">
              <w:rPr>
                <w:rFonts w:ascii="Verdana" w:hAnsi="Verdana"/>
                <w:sz w:val="18"/>
                <w:szCs w:val="18"/>
              </w:rPr>
              <w:t>magnitude</w:t>
            </w:r>
            <w:r w:rsidRPr="00EC75B7">
              <w:rPr>
                <w:rFonts w:ascii="Verdana" w:hAnsi="Verdana"/>
                <w:spacing w:val="-2"/>
                <w:sz w:val="18"/>
                <w:szCs w:val="18"/>
              </w:rPr>
              <w:t>.</w:t>
            </w:r>
          </w:p>
        </w:tc>
      </w:tr>
      <w:tr w:rsidR="008715BE" w:rsidRPr="00EC75B7" w14:paraId="16F799D7" w14:textId="77777777">
        <w:trPr>
          <w:trHeight w:val="390"/>
        </w:trPr>
        <w:tc>
          <w:tcPr>
            <w:tcW w:w="1690" w:type="dxa"/>
            <w:vMerge w:val="restart"/>
          </w:tcPr>
          <w:p w14:paraId="01B0B119"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Probability </w:t>
            </w:r>
            <w:r w:rsidRPr="00EC75B7">
              <w:rPr>
                <w:rFonts w:ascii="Verdana" w:hAnsi="Verdana"/>
                <w:spacing w:val="-5"/>
                <w:sz w:val="18"/>
                <w:szCs w:val="18"/>
              </w:rPr>
              <w:t>of</w:t>
            </w:r>
          </w:p>
          <w:p w14:paraId="7286C7DF"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t>occurrence</w:t>
            </w:r>
          </w:p>
        </w:tc>
        <w:tc>
          <w:tcPr>
            <w:tcW w:w="1397" w:type="dxa"/>
          </w:tcPr>
          <w:p w14:paraId="37AEB44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Uncertain</w:t>
            </w:r>
          </w:p>
        </w:tc>
        <w:tc>
          <w:tcPr>
            <w:tcW w:w="6409" w:type="dxa"/>
          </w:tcPr>
          <w:p w14:paraId="44468805"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The probability of the impact occurring is unknown/it </w:t>
            </w:r>
            <w:r w:rsidRPr="00EC75B7">
              <w:rPr>
                <w:rFonts w:ascii="Verdana" w:hAnsi="Verdana"/>
                <w:spacing w:val="-5"/>
                <w:sz w:val="18"/>
                <w:szCs w:val="18"/>
              </w:rPr>
              <w:t xml:space="preserve">is </w:t>
            </w:r>
            <w:r w:rsidRPr="00EC75B7">
              <w:rPr>
                <w:rFonts w:ascii="Verdana" w:hAnsi="Verdana"/>
                <w:sz w:val="18"/>
                <w:szCs w:val="18"/>
              </w:rPr>
              <w:t xml:space="preserve">most likely not </w:t>
            </w:r>
            <w:r w:rsidRPr="00EC75B7">
              <w:rPr>
                <w:rFonts w:ascii="Verdana" w:hAnsi="Verdana"/>
                <w:spacing w:val="-5"/>
                <w:sz w:val="18"/>
                <w:szCs w:val="18"/>
              </w:rPr>
              <w:t>to</w:t>
            </w:r>
          </w:p>
          <w:p w14:paraId="60DCF032" w14:textId="77777777" w:rsidR="008715BE" w:rsidRPr="00EC75B7" w:rsidRDefault="00000000">
            <w:pPr>
              <w:pStyle w:val="TableParagraph"/>
              <w:spacing w:line="177" w:lineRule="exact"/>
              <w:ind w:left="110"/>
              <w:rPr>
                <w:rFonts w:ascii="Verdana" w:hAnsi="Verdana"/>
                <w:sz w:val="18"/>
                <w:szCs w:val="18"/>
              </w:rPr>
            </w:pPr>
            <w:r w:rsidRPr="00EC75B7">
              <w:rPr>
                <w:rFonts w:ascii="Verdana" w:hAnsi="Verdana"/>
                <w:spacing w:val="-2"/>
                <w:sz w:val="18"/>
                <w:szCs w:val="18"/>
              </w:rPr>
              <w:t>occur.</w:t>
            </w:r>
          </w:p>
        </w:tc>
      </w:tr>
      <w:tr w:rsidR="008715BE" w:rsidRPr="00EC75B7" w14:paraId="6925CDA9" w14:textId="77777777">
        <w:trPr>
          <w:trHeight w:val="388"/>
        </w:trPr>
        <w:tc>
          <w:tcPr>
            <w:tcW w:w="1690" w:type="dxa"/>
            <w:vMerge/>
            <w:tcBorders>
              <w:top w:val="nil"/>
            </w:tcBorders>
          </w:tcPr>
          <w:p w14:paraId="33D58142" w14:textId="77777777" w:rsidR="008715BE" w:rsidRPr="00EC75B7" w:rsidRDefault="008715BE">
            <w:pPr>
              <w:rPr>
                <w:rFonts w:ascii="Verdana" w:hAnsi="Verdana"/>
                <w:sz w:val="18"/>
                <w:szCs w:val="18"/>
              </w:rPr>
            </w:pPr>
          </w:p>
        </w:tc>
        <w:tc>
          <w:tcPr>
            <w:tcW w:w="1397" w:type="dxa"/>
          </w:tcPr>
          <w:p w14:paraId="20CC84A4"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Un</w:t>
            </w:r>
            <w:r w:rsidRPr="00EC75B7">
              <w:rPr>
                <w:rFonts w:ascii="Verdana" w:hAnsi="Verdana"/>
                <w:spacing w:val="-2"/>
                <w:sz w:val="18"/>
                <w:szCs w:val="18"/>
              </w:rPr>
              <w:t>likely</w:t>
            </w:r>
          </w:p>
        </w:tc>
        <w:tc>
          <w:tcPr>
            <w:tcW w:w="6409" w:type="dxa"/>
          </w:tcPr>
          <w:p w14:paraId="61093BE0"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It is possible that it will occur/manifest itself, </w:t>
            </w:r>
            <w:r w:rsidRPr="00EC75B7">
              <w:rPr>
                <w:rFonts w:ascii="Verdana" w:hAnsi="Verdana"/>
                <w:spacing w:val="-10"/>
                <w:sz w:val="18"/>
                <w:szCs w:val="18"/>
              </w:rPr>
              <w:t xml:space="preserve">but </w:t>
            </w:r>
            <w:r w:rsidRPr="00EC75B7">
              <w:rPr>
                <w:rFonts w:ascii="Verdana" w:hAnsi="Verdana"/>
                <w:sz w:val="18"/>
                <w:szCs w:val="18"/>
              </w:rPr>
              <w:t xml:space="preserve">the probability of impact </w:t>
            </w:r>
            <w:r w:rsidRPr="00EC75B7">
              <w:rPr>
                <w:rFonts w:ascii="Verdana" w:hAnsi="Verdana"/>
                <w:spacing w:val="-10"/>
                <w:sz w:val="18"/>
                <w:szCs w:val="18"/>
              </w:rPr>
              <w:t>is low.</w:t>
            </w:r>
          </w:p>
          <w:p w14:paraId="3A4AF856"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impact is </w:t>
            </w:r>
            <w:r w:rsidRPr="00EC75B7">
              <w:rPr>
                <w:rFonts w:ascii="Verdana" w:hAnsi="Verdana"/>
                <w:spacing w:val="-2"/>
                <w:sz w:val="18"/>
                <w:szCs w:val="18"/>
              </w:rPr>
              <w:t>low.</w:t>
            </w:r>
          </w:p>
        </w:tc>
      </w:tr>
      <w:tr w:rsidR="008715BE" w:rsidRPr="00EC75B7" w14:paraId="45DF6E50" w14:textId="77777777">
        <w:trPr>
          <w:trHeight w:val="194"/>
        </w:trPr>
        <w:tc>
          <w:tcPr>
            <w:tcW w:w="1690" w:type="dxa"/>
            <w:vMerge/>
            <w:tcBorders>
              <w:top w:val="nil"/>
            </w:tcBorders>
          </w:tcPr>
          <w:p w14:paraId="6A4FC51A" w14:textId="77777777" w:rsidR="008715BE" w:rsidRPr="00EC75B7" w:rsidRDefault="008715BE">
            <w:pPr>
              <w:rPr>
                <w:rFonts w:ascii="Verdana" w:hAnsi="Verdana"/>
                <w:sz w:val="18"/>
                <w:szCs w:val="18"/>
              </w:rPr>
            </w:pPr>
          </w:p>
        </w:tc>
        <w:tc>
          <w:tcPr>
            <w:tcW w:w="1397" w:type="dxa"/>
          </w:tcPr>
          <w:p w14:paraId="11496831"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Likely</w:t>
            </w:r>
          </w:p>
        </w:tc>
        <w:tc>
          <w:tcPr>
            <w:tcW w:w="6409" w:type="dxa"/>
          </w:tcPr>
          <w:p w14:paraId="482EC8F0"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It is very likely to occur, the probability of manifestation is </w:t>
            </w:r>
            <w:r w:rsidRPr="00EC75B7">
              <w:rPr>
                <w:rFonts w:ascii="Verdana" w:hAnsi="Verdana"/>
                <w:spacing w:val="-2"/>
                <w:sz w:val="18"/>
                <w:szCs w:val="18"/>
              </w:rPr>
              <w:t>high.</w:t>
            </w:r>
          </w:p>
        </w:tc>
      </w:tr>
      <w:tr w:rsidR="008715BE" w:rsidRPr="00EC75B7" w14:paraId="2DFFA0A6" w14:textId="77777777">
        <w:trPr>
          <w:trHeight w:val="193"/>
        </w:trPr>
        <w:tc>
          <w:tcPr>
            <w:tcW w:w="1690" w:type="dxa"/>
            <w:vMerge/>
            <w:tcBorders>
              <w:top w:val="nil"/>
            </w:tcBorders>
          </w:tcPr>
          <w:p w14:paraId="2797C5B6" w14:textId="77777777" w:rsidR="008715BE" w:rsidRPr="00EC75B7" w:rsidRDefault="008715BE">
            <w:pPr>
              <w:rPr>
                <w:rFonts w:ascii="Verdana" w:hAnsi="Verdana"/>
                <w:sz w:val="18"/>
                <w:szCs w:val="18"/>
              </w:rPr>
            </w:pPr>
          </w:p>
        </w:tc>
        <w:tc>
          <w:tcPr>
            <w:tcW w:w="1397" w:type="dxa"/>
          </w:tcPr>
          <w:p w14:paraId="04889802"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Continuous</w:t>
            </w:r>
          </w:p>
        </w:tc>
        <w:tc>
          <w:tcPr>
            <w:tcW w:w="6409" w:type="dxa"/>
          </w:tcPr>
          <w:p w14:paraId="073C43BF"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The occurrence and manifestation of the impact is </w:t>
            </w:r>
            <w:r w:rsidRPr="00EC75B7">
              <w:rPr>
                <w:rFonts w:ascii="Verdana" w:hAnsi="Verdana"/>
                <w:spacing w:val="-2"/>
                <w:sz w:val="18"/>
                <w:szCs w:val="18"/>
              </w:rPr>
              <w:t>certain.</w:t>
            </w:r>
          </w:p>
        </w:tc>
      </w:tr>
      <w:tr w:rsidR="008715BE" w:rsidRPr="00EC75B7" w14:paraId="7BDE5D1B" w14:textId="77777777">
        <w:trPr>
          <w:trHeight w:val="388"/>
        </w:trPr>
        <w:tc>
          <w:tcPr>
            <w:tcW w:w="1690" w:type="dxa"/>
            <w:vMerge w:val="restart"/>
          </w:tcPr>
          <w:p w14:paraId="42C2C4DD"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pacing w:val="-2"/>
                <w:sz w:val="18"/>
                <w:szCs w:val="18"/>
              </w:rPr>
              <w:lastRenderedPageBreak/>
              <w:t>Reversibility</w:t>
            </w:r>
          </w:p>
        </w:tc>
        <w:tc>
          <w:tcPr>
            <w:tcW w:w="1397" w:type="dxa"/>
          </w:tcPr>
          <w:p w14:paraId="450733D8"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Reversible</w:t>
            </w:r>
          </w:p>
        </w:tc>
        <w:tc>
          <w:tcPr>
            <w:tcW w:w="6409" w:type="dxa"/>
          </w:tcPr>
          <w:p w14:paraId="405CABFA"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When the affected environmental factor (receptor) can return to its </w:t>
            </w:r>
            <w:r w:rsidRPr="00EC75B7">
              <w:rPr>
                <w:rFonts w:ascii="Verdana" w:hAnsi="Verdana"/>
                <w:spacing w:val="-2"/>
                <w:sz w:val="18"/>
                <w:szCs w:val="18"/>
              </w:rPr>
              <w:t xml:space="preserve">initial </w:t>
            </w:r>
            <w:r w:rsidRPr="00EC75B7">
              <w:rPr>
                <w:rFonts w:ascii="Verdana" w:hAnsi="Verdana"/>
                <w:sz w:val="18"/>
                <w:szCs w:val="18"/>
              </w:rPr>
              <w:t>state</w:t>
            </w:r>
          </w:p>
          <w:p w14:paraId="3E3E6CBD"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(before the </w:t>
            </w:r>
            <w:r w:rsidRPr="00EC75B7">
              <w:rPr>
                <w:rFonts w:ascii="Verdana" w:hAnsi="Verdana"/>
                <w:spacing w:val="-2"/>
                <w:sz w:val="18"/>
                <w:szCs w:val="18"/>
              </w:rPr>
              <w:t>impact).</w:t>
            </w:r>
          </w:p>
        </w:tc>
      </w:tr>
      <w:tr w:rsidR="008715BE" w:rsidRPr="00EC75B7" w14:paraId="6FE19A21" w14:textId="77777777">
        <w:trPr>
          <w:trHeight w:val="390"/>
        </w:trPr>
        <w:tc>
          <w:tcPr>
            <w:tcW w:w="1690" w:type="dxa"/>
            <w:vMerge/>
            <w:tcBorders>
              <w:top w:val="nil"/>
            </w:tcBorders>
          </w:tcPr>
          <w:p w14:paraId="1CA6DBD5" w14:textId="77777777" w:rsidR="008715BE" w:rsidRPr="00EC75B7" w:rsidRDefault="008715BE">
            <w:pPr>
              <w:rPr>
                <w:rFonts w:ascii="Verdana" w:hAnsi="Verdana"/>
                <w:sz w:val="18"/>
                <w:szCs w:val="18"/>
              </w:rPr>
            </w:pPr>
          </w:p>
        </w:tc>
        <w:tc>
          <w:tcPr>
            <w:tcW w:w="1397" w:type="dxa"/>
          </w:tcPr>
          <w:p w14:paraId="484C3A25"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Irreversible</w:t>
            </w:r>
          </w:p>
        </w:tc>
        <w:tc>
          <w:tcPr>
            <w:tcW w:w="6409" w:type="dxa"/>
          </w:tcPr>
          <w:p w14:paraId="2F5F6706" w14:textId="77777777"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 xml:space="preserve">When the environmental factor can no longer return to its initial state (e.g., </w:t>
            </w:r>
            <w:r w:rsidRPr="00EC75B7">
              <w:rPr>
                <w:rFonts w:ascii="Verdana" w:hAnsi="Verdana"/>
                <w:spacing w:val="-2"/>
                <w:sz w:val="18"/>
                <w:szCs w:val="18"/>
              </w:rPr>
              <w:t>permanent occupation of land</w:t>
            </w:r>
            <w:r w:rsidRPr="00EC75B7">
              <w:rPr>
                <w:rFonts w:ascii="Verdana" w:hAnsi="Verdana"/>
                <w:sz w:val="18"/>
                <w:szCs w:val="18"/>
              </w:rPr>
              <w:t>).</w:t>
            </w:r>
          </w:p>
          <w:p w14:paraId="7A0012E3" w14:textId="77777777" w:rsidR="008715BE" w:rsidRPr="00EC75B7" w:rsidRDefault="00000000">
            <w:pPr>
              <w:pStyle w:val="TableParagraph"/>
              <w:spacing w:line="177" w:lineRule="exact"/>
              <w:ind w:left="110"/>
              <w:rPr>
                <w:rFonts w:ascii="Verdana" w:hAnsi="Verdana"/>
                <w:sz w:val="18"/>
                <w:szCs w:val="18"/>
              </w:rPr>
            </w:pPr>
            <w:r w:rsidRPr="00EC75B7">
              <w:rPr>
                <w:rFonts w:ascii="Verdana" w:hAnsi="Verdana"/>
                <w:spacing w:val="-2"/>
                <w:sz w:val="18"/>
                <w:szCs w:val="18"/>
              </w:rPr>
              <w:t xml:space="preserve">land </w:t>
            </w:r>
            <w:r w:rsidRPr="00EC75B7">
              <w:rPr>
                <w:rFonts w:ascii="Verdana" w:hAnsi="Verdana"/>
                <w:sz w:val="18"/>
                <w:szCs w:val="18"/>
              </w:rPr>
              <w:t>occupation</w:t>
            </w:r>
            <w:r w:rsidRPr="00EC75B7">
              <w:rPr>
                <w:rFonts w:ascii="Verdana" w:hAnsi="Verdana"/>
                <w:spacing w:val="-2"/>
                <w:sz w:val="18"/>
                <w:szCs w:val="18"/>
              </w:rPr>
              <w:t>).</w:t>
            </w:r>
          </w:p>
        </w:tc>
      </w:tr>
      <w:tr w:rsidR="008715BE" w:rsidRPr="00EC75B7" w14:paraId="4F27B6A6" w14:textId="77777777">
        <w:trPr>
          <w:trHeight w:val="194"/>
        </w:trPr>
        <w:tc>
          <w:tcPr>
            <w:tcW w:w="1690" w:type="dxa"/>
            <w:vMerge w:val="restart"/>
          </w:tcPr>
          <w:p w14:paraId="3CE2D402" w14:textId="77777777" w:rsidR="008715BE" w:rsidRPr="00EC75B7" w:rsidRDefault="00000000">
            <w:pPr>
              <w:pStyle w:val="TableParagraph"/>
              <w:ind w:left="108"/>
              <w:rPr>
                <w:rFonts w:ascii="Verdana" w:hAnsi="Verdana"/>
                <w:sz w:val="18"/>
                <w:szCs w:val="18"/>
              </w:rPr>
            </w:pPr>
            <w:r w:rsidRPr="00EC75B7">
              <w:rPr>
                <w:rFonts w:ascii="Verdana" w:hAnsi="Verdana"/>
                <w:sz w:val="18"/>
                <w:szCs w:val="18"/>
              </w:rPr>
              <w:t xml:space="preserve">Probability of </w:t>
            </w:r>
            <w:r w:rsidRPr="00EC75B7">
              <w:rPr>
                <w:rFonts w:ascii="Verdana" w:hAnsi="Verdana"/>
                <w:spacing w:val="-2"/>
                <w:sz w:val="18"/>
                <w:szCs w:val="18"/>
              </w:rPr>
              <w:t>diminution</w:t>
            </w:r>
          </w:p>
        </w:tc>
        <w:tc>
          <w:tcPr>
            <w:tcW w:w="1397" w:type="dxa"/>
          </w:tcPr>
          <w:p w14:paraId="64EC197B"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2"/>
                <w:sz w:val="18"/>
                <w:szCs w:val="18"/>
              </w:rPr>
              <w:t>Total</w:t>
            </w:r>
          </w:p>
        </w:tc>
        <w:tc>
          <w:tcPr>
            <w:tcW w:w="6409" w:type="dxa"/>
          </w:tcPr>
          <w:p w14:paraId="509A6BD5"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z w:val="18"/>
                <w:szCs w:val="18"/>
              </w:rPr>
              <w:t xml:space="preserve">Measures can be implemented to completely eliminate </w:t>
            </w:r>
            <w:r w:rsidRPr="00EC75B7">
              <w:rPr>
                <w:rFonts w:ascii="Verdana" w:hAnsi="Verdana"/>
                <w:spacing w:val="-2"/>
                <w:sz w:val="18"/>
                <w:szCs w:val="18"/>
              </w:rPr>
              <w:t>the</w:t>
            </w:r>
            <w:r w:rsidRPr="00EC75B7">
              <w:rPr>
                <w:rFonts w:ascii="Verdana" w:hAnsi="Verdana"/>
                <w:sz w:val="18"/>
                <w:szCs w:val="18"/>
              </w:rPr>
              <w:t xml:space="preserve"> impact</w:t>
            </w:r>
            <w:r w:rsidRPr="00EC75B7">
              <w:rPr>
                <w:rFonts w:ascii="Verdana" w:hAnsi="Verdana"/>
                <w:spacing w:val="-2"/>
                <w:sz w:val="18"/>
                <w:szCs w:val="18"/>
              </w:rPr>
              <w:t>.</w:t>
            </w:r>
          </w:p>
        </w:tc>
      </w:tr>
      <w:tr w:rsidR="008715BE" w:rsidRPr="00EC75B7" w14:paraId="7452DD30" w14:textId="77777777">
        <w:trPr>
          <w:trHeight w:val="582"/>
        </w:trPr>
        <w:tc>
          <w:tcPr>
            <w:tcW w:w="1690" w:type="dxa"/>
            <w:vMerge/>
            <w:tcBorders>
              <w:top w:val="nil"/>
            </w:tcBorders>
          </w:tcPr>
          <w:p w14:paraId="4196EA34" w14:textId="77777777" w:rsidR="008715BE" w:rsidRPr="00EC75B7" w:rsidRDefault="008715BE">
            <w:pPr>
              <w:rPr>
                <w:rFonts w:ascii="Verdana" w:hAnsi="Verdana"/>
                <w:sz w:val="18"/>
                <w:szCs w:val="18"/>
              </w:rPr>
            </w:pPr>
          </w:p>
        </w:tc>
        <w:tc>
          <w:tcPr>
            <w:tcW w:w="1397" w:type="dxa"/>
          </w:tcPr>
          <w:p w14:paraId="55A395F2"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pacing w:val="-2"/>
                <w:sz w:val="18"/>
                <w:szCs w:val="18"/>
              </w:rPr>
              <w:t>Partial</w:t>
            </w:r>
          </w:p>
        </w:tc>
        <w:tc>
          <w:tcPr>
            <w:tcW w:w="6409" w:type="dxa"/>
          </w:tcPr>
          <w:p w14:paraId="7FBC4292" w14:textId="77777777" w:rsidR="008715BE" w:rsidRPr="00EC75B7" w:rsidRDefault="00000000">
            <w:pPr>
              <w:pStyle w:val="TableParagraph"/>
              <w:ind w:left="110" w:right="92"/>
              <w:rPr>
                <w:rFonts w:ascii="Verdana" w:hAnsi="Verdana"/>
                <w:sz w:val="18"/>
                <w:szCs w:val="18"/>
              </w:rPr>
            </w:pPr>
            <w:r w:rsidRPr="00EC75B7">
              <w:rPr>
                <w:rFonts w:ascii="Verdana" w:hAnsi="Verdana"/>
                <w:sz w:val="18"/>
                <w:szCs w:val="18"/>
              </w:rPr>
              <w:t>Measures can be implemented to partially eliminate the impact, in compliance with legal limits.</w:t>
            </w:r>
          </w:p>
        </w:tc>
      </w:tr>
      <w:tr w:rsidR="008715BE" w:rsidRPr="00EC75B7" w14:paraId="62D7D800" w14:textId="77777777">
        <w:trPr>
          <w:trHeight w:val="194"/>
        </w:trPr>
        <w:tc>
          <w:tcPr>
            <w:tcW w:w="1690" w:type="dxa"/>
          </w:tcPr>
          <w:p w14:paraId="29FC67E9" w14:textId="77777777" w:rsidR="008715BE" w:rsidRPr="00EC75B7" w:rsidRDefault="008715BE">
            <w:pPr>
              <w:pStyle w:val="TableParagraph"/>
              <w:rPr>
                <w:rFonts w:ascii="Verdana" w:hAnsi="Verdana"/>
                <w:sz w:val="18"/>
                <w:szCs w:val="18"/>
              </w:rPr>
            </w:pPr>
          </w:p>
        </w:tc>
        <w:tc>
          <w:tcPr>
            <w:tcW w:w="1397" w:type="dxa"/>
          </w:tcPr>
          <w:p w14:paraId="532B17A8" w14:textId="77777777" w:rsidR="008715BE" w:rsidRPr="00EC75B7" w:rsidRDefault="00000000">
            <w:pPr>
              <w:pStyle w:val="TableParagraph"/>
              <w:spacing w:line="174" w:lineRule="exact"/>
              <w:ind w:left="107"/>
              <w:rPr>
                <w:rFonts w:ascii="Verdana" w:hAnsi="Verdana"/>
                <w:sz w:val="18"/>
                <w:szCs w:val="18"/>
              </w:rPr>
            </w:pPr>
            <w:r w:rsidRPr="00EC75B7">
              <w:rPr>
                <w:rFonts w:ascii="Verdana" w:hAnsi="Verdana"/>
                <w:spacing w:val="-5"/>
                <w:sz w:val="18"/>
                <w:szCs w:val="18"/>
              </w:rPr>
              <w:t>Yes</w:t>
            </w:r>
          </w:p>
        </w:tc>
        <w:tc>
          <w:tcPr>
            <w:tcW w:w="6409" w:type="dxa"/>
          </w:tcPr>
          <w:p w14:paraId="373762D8" w14:textId="77777777" w:rsidR="008715BE" w:rsidRPr="00EC75B7" w:rsidRDefault="00000000">
            <w:pPr>
              <w:pStyle w:val="TableParagraph"/>
              <w:spacing w:line="174" w:lineRule="exact"/>
              <w:ind w:left="110"/>
              <w:rPr>
                <w:rFonts w:ascii="Verdana" w:hAnsi="Verdana"/>
                <w:sz w:val="18"/>
                <w:szCs w:val="18"/>
              </w:rPr>
            </w:pPr>
            <w:r w:rsidRPr="00EC75B7">
              <w:rPr>
                <w:rFonts w:ascii="Verdana" w:hAnsi="Verdana"/>
                <w:spacing w:val="-2"/>
                <w:sz w:val="18"/>
                <w:szCs w:val="18"/>
              </w:rPr>
              <w:t xml:space="preserve">Control </w:t>
            </w:r>
            <w:r w:rsidRPr="00EC75B7">
              <w:rPr>
                <w:rFonts w:ascii="Verdana" w:hAnsi="Verdana"/>
                <w:sz w:val="18"/>
                <w:szCs w:val="18"/>
              </w:rPr>
              <w:t>measures may be applied</w:t>
            </w:r>
            <w:r w:rsidRPr="00EC75B7">
              <w:rPr>
                <w:rFonts w:ascii="Verdana" w:hAnsi="Verdana"/>
                <w:spacing w:val="-2"/>
                <w:sz w:val="18"/>
                <w:szCs w:val="18"/>
              </w:rPr>
              <w:t>.</w:t>
            </w:r>
          </w:p>
        </w:tc>
      </w:tr>
    </w:tbl>
    <w:p w14:paraId="0D86688C" w14:textId="77777777" w:rsidR="008715BE" w:rsidRPr="00EC75B7" w:rsidRDefault="008715BE">
      <w:pPr>
        <w:pStyle w:val="TableParagraph"/>
        <w:spacing w:line="174" w:lineRule="exact"/>
        <w:rPr>
          <w:rFonts w:ascii="Verdana" w:hAnsi="Verdana"/>
          <w:sz w:val="18"/>
          <w:szCs w:val="18"/>
        </w:rPr>
        <w:sectPr w:rsidR="008715BE" w:rsidRPr="00EC75B7">
          <w:pgSz w:w="11910" w:h="16850"/>
          <w:pgMar w:top="1320" w:right="283" w:bottom="1020" w:left="850" w:header="834" w:footer="823" w:gutter="0"/>
          <w:cols w:space="708"/>
        </w:sectPr>
      </w:pPr>
    </w:p>
    <w:p w14:paraId="78656F97" w14:textId="77777777" w:rsidR="008715BE" w:rsidRPr="00EC75B7" w:rsidRDefault="008715BE">
      <w:pPr>
        <w:pStyle w:val="BodyText"/>
        <w:spacing w:before="5"/>
        <w:rPr>
          <w:rFonts w:ascii="Verdana" w:hAnsi="Verdana"/>
          <w:b/>
        </w:rPr>
      </w:pPr>
    </w:p>
    <w:tbl>
      <w:tblPr>
        <w:tblStyle w:val="TableNormal1"/>
        <w:tblW w:w="0" w:type="auto"/>
        <w:tblInd w:w="350"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690"/>
        <w:gridCol w:w="1397"/>
        <w:gridCol w:w="6409"/>
      </w:tblGrid>
      <w:tr w:rsidR="008715BE" w:rsidRPr="00EC75B7" w14:paraId="6EFACDD9" w14:textId="77777777">
        <w:trPr>
          <w:trHeight w:val="679"/>
        </w:trPr>
        <w:tc>
          <w:tcPr>
            <w:tcW w:w="1690" w:type="dxa"/>
            <w:shd w:val="clear" w:color="auto" w:fill="00AFEF"/>
          </w:tcPr>
          <w:p w14:paraId="6676DE8D"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z w:val="18"/>
                <w:szCs w:val="18"/>
              </w:rPr>
              <w:t>Ev</w:t>
            </w:r>
            <w:r w:rsidRPr="00EC75B7">
              <w:rPr>
                <w:rFonts w:ascii="Verdana" w:hAnsi="Verdana"/>
                <w:b/>
                <w:color w:val="FFFFFF"/>
                <w:spacing w:val="-2"/>
                <w:sz w:val="18"/>
                <w:szCs w:val="18"/>
              </w:rPr>
              <w:t xml:space="preserve">aluation </w:t>
            </w:r>
            <w:r w:rsidRPr="00EC75B7">
              <w:rPr>
                <w:rFonts w:ascii="Verdana" w:hAnsi="Verdana"/>
                <w:b/>
                <w:color w:val="FFFFFF"/>
                <w:sz w:val="18"/>
                <w:szCs w:val="18"/>
              </w:rPr>
              <w:t>criteria</w:t>
            </w:r>
          </w:p>
        </w:tc>
        <w:tc>
          <w:tcPr>
            <w:tcW w:w="1397" w:type="dxa"/>
            <w:shd w:val="clear" w:color="auto" w:fill="00AFEF"/>
          </w:tcPr>
          <w:p w14:paraId="7944BA3C"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Variability</w:t>
            </w:r>
          </w:p>
        </w:tc>
        <w:tc>
          <w:tcPr>
            <w:tcW w:w="6409" w:type="dxa"/>
            <w:shd w:val="clear" w:color="auto" w:fill="00AFEF"/>
          </w:tcPr>
          <w:p w14:paraId="5CA98908" w14:textId="77777777" w:rsidR="008715BE" w:rsidRPr="00EC75B7" w:rsidRDefault="00000000">
            <w:pPr>
              <w:pStyle w:val="TableParagraph"/>
              <w:spacing w:before="8"/>
              <w:ind w:left="110"/>
              <w:rPr>
                <w:rFonts w:ascii="Verdana" w:hAnsi="Verdana"/>
                <w:b/>
                <w:sz w:val="18"/>
                <w:szCs w:val="18"/>
              </w:rPr>
            </w:pPr>
            <w:r w:rsidRPr="00EC75B7">
              <w:rPr>
                <w:rFonts w:ascii="Verdana" w:hAnsi="Verdana"/>
                <w:b/>
                <w:color w:val="FFFFFF"/>
                <w:spacing w:val="-2"/>
                <w:sz w:val="18"/>
                <w:szCs w:val="18"/>
              </w:rPr>
              <w:t>Description</w:t>
            </w:r>
          </w:p>
        </w:tc>
      </w:tr>
      <w:tr w:rsidR="008715BE" w:rsidRPr="00EC75B7" w14:paraId="28BE7960" w14:textId="77777777">
        <w:trPr>
          <w:trHeight w:val="388"/>
        </w:trPr>
        <w:tc>
          <w:tcPr>
            <w:tcW w:w="1690" w:type="dxa"/>
          </w:tcPr>
          <w:p w14:paraId="26B7E4C9"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Probability of </w:t>
            </w:r>
            <w:r w:rsidRPr="00EC75B7">
              <w:rPr>
                <w:rFonts w:ascii="Verdana" w:hAnsi="Verdana"/>
                <w:spacing w:val="-2"/>
                <w:sz w:val="18"/>
                <w:szCs w:val="18"/>
              </w:rPr>
              <w:t>monitoring</w:t>
            </w:r>
          </w:p>
        </w:tc>
        <w:tc>
          <w:tcPr>
            <w:tcW w:w="1397" w:type="dxa"/>
          </w:tcPr>
          <w:p w14:paraId="77D0BCAC"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No</w:t>
            </w:r>
          </w:p>
        </w:tc>
        <w:tc>
          <w:tcPr>
            <w:tcW w:w="6409" w:type="dxa"/>
          </w:tcPr>
          <w:p w14:paraId="1DE30188"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control </w:t>
            </w:r>
            <w:r w:rsidRPr="00EC75B7">
              <w:rPr>
                <w:rFonts w:ascii="Verdana" w:hAnsi="Verdana"/>
                <w:sz w:val="18"/>
                <w:szCs w:val="18"/>
              </w:rPr>
              <w:t>measures can be applied</w:t>
            </w:r>
            <w:r w:rsidRPr="00EC75B7">
              <w:rPr>
                <w:rFonts w:ascii="Verdana" w:hAnsi="Verdana"/>
                <w:spacing w:val="-2"/>
                <w:sz w:val="18"/>
                <w:szCs w:val="18"/>
              </w:rPr>
              <w:t>.</w:t>
            </w:r>
          </w:p>
        </w:tc>
      </w:tr>
      <w:tr w:rsidR="008715BE" w:rsidRPr="00EC75B7" w14:paraId="77B5571A" w14:textId="77777777">
        <w:trPr>
          <w:trHeight w:val="311"/>
        </w:trPr>
        <w:tc>
          <w:tcPr>
            <w:tcW w:w="1690" w:type="dxa"/>
            <w:vMerge w:val="restart"/>
          </w:tcPr>
          <w:p w14:paraId="2E432FD8" w14:textId="77777777" w:rsidR="008715BE" w:rsidRPr="00EC75B7" w:rsidRDefault="00000000">
            <w:pPr>
              <w:pStyle w:val="TableParagraph"/>
              <w:spacing w:line="194" w:lineRule="exact"/>
              <w:ind w:left="108" w:right="482"/>
              <w:rPr>
                <w:rFonts w:ascii="Verdana" w:hAnsi="Verdana"/>
                <w:sz w:val="18"/>
                <w:szCs w:val="18"/>
              </w:rPr>
            </w:pPr>
            <w:r w:rsidRPr="00EC75B7">
              <w:rPr>
                <w:rFonts w:ascii="Verdana" w:hAnsi="Verdana"/>
                <w:sz w:val="18"/>
                <w:szCs w:val="18"/>
              </w:rPr>
              <w:t xml:space="preserve">There is </w:t>
            </w:r>
            <w:r w:rsidRPr="00EC75B7">
              <w:rPr>
                <w:rFonts w:ascii="Verdana" w:hAnsi="Verdana"/>
                <w:spacing w:val="-2"/>
                <w:sz w:val="18"/>
                <w:szCs w:val="18"/>
              </w:rPr>
              <w:t>residual</w:t>
            </w:r>
            <w:r w:rsidRPr="00EC75B7">
              <w:rPr>
                <w:rFonts w:ascii="Verdana" w:hAnsi="Verdana"/>
                <w:sz w:val="18"/>
                <w:szCs w:val="18"/>
              </w:rPr>
              <w:t xml:space="preserve"> impact </w:t>
            </w:r>
            <w:r w:rsidRPr="00EC75B7">
              <w:rPr>
                <w:rFonts w:ascii="Verdana" w:hAnsi="Verdana"/>
                <w:spacing w:val="-2"/>
                <w:sz w:val="18"/>
                <w:szCs w:val="18"/>
              </w:rPr>
              <w:t>after the measures are applied.</w:t>
            </w:r>
          </w:p>
        </w:tc>
        <w:tc>
          <w:tcPr>
            <w:tcW w:w="1397" w:type="dxa"/>
          </w:tcPr>
          <w:p w14:paraId="628F2E62"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Yes</w:t>
            </w:r>
          </w:p>
        </w:tc>
        <w:tc>
          <w:tcPr>
            <w:tcW w:w="6409" w:type="dxa"/>
          </w:tcPr>
          <w:p w14:paraId="29F3594B"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There is </w:t>
            </w:r>
            <w:r w:rsidRPr="00EC75B7">
              <w:rPr>
                <w:rFonts w:ascii="Verdana" w:hAnsi="Verdana"/>
                <w:spacing w:val="-2"/>
                <w:sz w:val="18"/>
                <w:szCs w:val="18"/>
              </w:rPr>
              <w:t xml:space="preserve">residual </w:t>
            </w:r>
            <w:r w:rsidRPr="00EC75B7">
              <w:rPr>
                <w:rFonts w:ascii="Verdana" w:hAnsi="Verdana"/>
                <w:sz w:val="18"/>
                <w:szCs w:val="18"/>
              </w:rPr>
              <w:t>impact after the measures are applied</w:t>
            </w:r>
            <w:r w:rsidRPr="00EC75B7">
              <w:rPr>
                <w:rFonts w:ascii="Verdana" w:hAnsi="Verdana"/>
                <w:spacing w:val="-2"/>
                <w:sz w:val="18"/>
                <w:szCs w:val="18"/>
              </w:rPr>
              <w:t>.</w:t>
            </w:r>
          </w:p>
        </w:tc>
      </w:tr>
      <w:tr w:rsidR="008715BE" w:rsidRPr="00EC75B7" w14:paraId="144FC221" w14:textId="77777777">
        <w:trPr>
          <w:trHeight w:val="457"/>
        </w:trPr>
        <w:tc>
          <w:tcPr>
            <w:tcW w:w="1690" w:type="dxa"/>
            <w:vMerge/>
            <w:tcBorders>
              <w:top w:val="nil"/>
            </w:tcBorders>
          </w:tcPr>
          <w:p w14:paraId="02DB7DE1" w14:textId="77777777" w:rsidR="008715BE" w:rsidRPr="00EC75B7" w:rsidRDefault="008715BE">
            <w:pPr>
              <w:rPr>
                <w:rFonts w:ascii="Verdana" w:hAnsi="Verdana"/>
                <w:sz w:val="18"/>
                <w:szCs w:val="18"/>
              </w:rPr>
            </w:pPr>
          </w:p>
        </w:tc>
        <w:tc>
          <w:tcPr>
            <w:tcW w:w="1397" w:type="dxa"/>
          </w:tcPr>
          <w:p w14:paraId="3978D6EA" w14:textId="77777777" w:rsidR="008715BE" w:rsidRPr="00EC75B7" w:rsidRDefault="00000000">
            <w:pPr>
              <w:pStyle w:val="TableParagraph"/>
              <w:spacing w:before="8"/>
              <w:ind w:left="107"/>
              <w:rPr>
                <w:rFonts w:ascii="Verdana" w:hAnsi="Verdana"/>
                <w:sz w:val="18"/>
                <w:szCs w:val="18"/>
              </w:rPr>
            </w:pPr>
            <w:r w:rsidRPr="00EC75B7">
              <w:rPr>
                <w:rFonts w:ascii="Verdana" w:hAnsi="Verdana"/>
                <w:spacing w:val="-5"/>
                <w:sz w:val="18"/>
                <w:szCs w:val="18"/>
              </w:rPr>
              <w:t>No</w:t>
            </w:r>
          </w:p>
        </w:tc>
        <w:tc>
          <w:tcPr>
            <w:tcW w:w="6409" w:type="dxa"/>
          </w:tcPr>
          <w:p w14:paraId="6BD98EFF"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 xml:space="preserve">After the measures are applied, there is no </w:t>
            </w:r>
            <w:r w:rsidRPr="00EC75B7">
              <w:rPr>
                <w:rFonts w:ascii="Verdana" w:hAnsi="Verdana"/>
                <w:spacing w:val="-2"/>
                <w:sz w:val="18"/>
                <w:szCs w:val="18"/>
              </w:rPr>
              <w:t xml:space="preserve">residual </w:t>
            </w:r>
            <w:r w:rsidRPr="00EC75B7">
              <w:rPr>
                <w:rFonts w:ascii="Verdana" w:hAnsi="Verdana"/>
                <w:sz w:val="18"/>
                <w:szCs w:val="18"/>
              </w:rPr>
              <w:t>impact</w:t>
            </w:r>
            <w:r w:rsidRPr="00EC75B7">
              <w:rPr>
                <w:rFonts w:ascii="Verdana" w:hAnsi="Verdana"/>
                <w:spacing w:val="-2"/>
                <w:sz w:val="18"/>
                <w:szCs w:val="18"/>
              </w:rPr>
              <w:t>.</w:t>
            </w:r>
          </w:p>
        </w:tc>
      </w:tr>
    </w:tbl>
    <w:p w14:paraId="52D71845" w14:textId="77777777" w:rsidR="008715BE" w:rsidRPr="00EC75B7" w:rsidRDefault="008715BE">
      <w:pPr>
        <w:pStyle w:val="BodyText"/>
        <w:rPr>
          <w:rFonts w:ascii="Verdana" w:hAnsi="Verdana"/>
          <w:b/>
        </w:rPr>
      </w:pPr>
    </w:p>
    <w:p w14:paraId="20CAF652" w14:textId="77777777" w:rsidR="008715BE" w:rsidRPr="00EC75B7" w:rsidRDefault="008715BE">
      <w:pPr>
        <w:pStyle w:val="BodyText"/>
        <w:spacing w:before="17"/>
        <w:rPr>
          <w:rFonts w:ascii="Verdana" w:hAnsi="Verdana"/>
          <w:b/>
        </w:rPr>
      </w:pPr>
    </w:p>
    <w:p w14:paraId="255866CE" w14:textId="77777777" w:rsidR="008715BE" w:rsidRPr="00EC75B7" w:rsidRDefault="00000000">
      <w:pPr>
        <w:pStyle w:val="BodyText"/>
        <w:spacing w:line="357" w:lineRule="auto"/>
        <w:ind w:left="340" w:right="1130"/>
        <w:jc w:val="both"/>
        <w:rPr>
          <w:rFonts w:ascii="Verdana" w:hAnsi="Verdana"/>
        </w:rPr>
      </w:pPr>
      <w:r w:rsidRPr="00EC75B7">
        <w:rPr>
          <w:rFonts w:ascii="Verdana" w:hAnsi="Verdana"/>
        </w:rPr>
        <w:t xml:space="preserve">For the purposes of the assessment, </w:t>
      </w:r>
      <w:r w:rsidRPr="00EC75B7">
        <w:rPr>
          <w:rFonts w:ascii="Verdana" w:hAnsi="Verdana"/>
          <w:b/>
        </w:rPr>
        <w:t xml:space="preserve">sensitivity </w:t>
      </w:r>
      <w:r w:rsidRPr="00EC75B7">
        <w:rPr>
          <w:rFonts w:ascii="Verdana" w:hAnsi="Verdana"/>
        </w:rPr>
        <w:t>was defined as the sensitivity of the receiving environment on which the effect is manifested, including its ability to adapt to the changes that the projects may bring to the environment. Five sensitivity classes were defined for the environmental factors assessed (shown separately in the analysis below).</w:t>
      </w:r>
    </w:p>
    <w:p w14:paraId="4B6CBD75" w14:textId="77777777" w:rsidR="008715BE" w:rsidRPr="00EC75B7" w:rsidRDefault="00000000">
      <w:pPr>
        <w:pStyle w:val="BodyText"/>
        <w:spacing w:before="124"/>
        <w:ind w:left="340"/>
        <w:jc w:val="both"/>
        <w:rPr>
          <w:rFonts w:ascii="Verdana" w:hAnsi="Verdana"/>
        </w:rPr>
      </w:pPr>
      <w:r w:rsidRPr="00EC75B7">
        <w:rPr>
          <w:rFonts w:ascii="Verdana" w:hAnsi="Verdana"/>
        </w:rPr>
        <w:t xml:space="preserve">The starting point for establishing these sensitivity classes is the current state of the environment </w:t>
      </w:r>
      <w:r w:rsidRPr="00EC75B7">
        <w:rPr>
          <w:rFonts w:ascii="Verdana" w:hAnsi="Verdana"/>
          <w:spacing w:val="-7"/>
        </w:rPr>
        <w:t>in</w:t>
      </w:r>
    </w:p>
    <w:p w14:paraId="25AD1C6E" w14:textId="77777777" w:rsidR="008715BE" w:rsidRPr="00EC75B7" w:rsidRDefault="00000000">
      <w:pPr>
        <w:pStyle w:val="BodyText"/>
        <w:spacing w:before="109"/>
        <w:ind w:left="340"/>
        <w:jc w:val="both"/>
        <w:rPr>
          <w:rFonts w:ascii="Verdana" w:hAnsi="Verdana"/>
        </w:rPr>
      </w:pPr>
      <w:r w:rsidRPr="00EC75B7">
        <w:rPr>
          <w:rFonts w:ascii="Verdana" w:hAnsi="Verdana"/>
          <w:spacing w:val="-2"/>
        </w:rPr>
        <w:t xml:space="preserve">project </w:t>
      </w:r>
      <w:r w:rsidRPr="00EC75B7">
        <w:rPr>
          <w:rFonts w:ascii="Verdana" w:hAnsi="Verdana"/>
        </w:rPr>
        <w:t>area</w:t>
      </w:r>
      <w:r w:rsidRPr="00EC75B7">
        <w:rPr>
          <w:rFonts w:ascii="Verdana" w:hAnsi="Verdana"/>
          <w:spacing w:val="-2"/>
        </w:rPr>
        <w:t>.</w:t>
      </w:r>
    </w:p>
    <w:p w14:paraId="7D286327" w14:textId="77777777" w:rsidR="008715BE" w:rsidRPr="00EC75B7" w:rsidRDefault="008715BE">
      <w:pPr>
        <w:pStyle w:val="BodyText"/>
        <w:jc w:val="both"/>
        <w:rPr>
          <w:rFonts w:ascii="Verdana" w:hAnsi="Verdana"/>
        </w:rPr>
        <w:sectPr w:rsidR="008715BE" w:rsidRPr="00EC75B7">
          <w:pgSz w:w="11910" w:h="16850"/>
          <w:pgMar w:top="1320" w:right="283" w:bottom="1020" w:left="850" w:header="834" w:footer="823" w:gutter="0"/>
          <w:cols w:space="708"/>
        </w:sectPr>
      </w:pPr>
    </w:p>
    <w:p w14:paraId="1170BC0B" w14:textId="77777777" w:rsidR="008715BE" w:rsidRPr="00EC75B7" w:rsidRDefault="00000000">
      <w:pPr>
        <w:spacing w:before="108"/>
        <w:ind w:left="1"/>
        <w:rPr>
          <w:rFonts w:ascii="Verdana" w:hAnsi="Verdana"/>
          <w:b/>
          <w:sz w:val="18"/>
          <w:szCs w:val="18"/>
        </w:rPr>
      </w:pPr>
      <w:r w:rsidRPr="00EC75B7">
        <w:rPr>
          <w:rFonts w:ascii="Verdana" w:hAnsi="Verdana"/>
          <w:b/>
          <w:color w:val="00AFEF"/>
          <w:sz w:val="18"/>
          <w:szCs w:val="18"/>
        </w:rPr>
        <w:lastRenderedPageBreak/>
        <w:t xml:space="preserve">Table 65 Sensitivity classes used for </w:t>
      </w:r>
      <w:r w:rsidRPr="00EC75B7">
        <w:rPr>
          <w:rFonts w:ascii="Verdana" w:hAnsi="Verdana"/>
          <w:b/>
          <w:color w:val="00AFEF"/>
          <w:spacing w:val="-2"/>
          <w:sz w:val="18"/>
          <w:szCs w:val="18"/>
        </w:rPr>
        <w:t xml:space="preserve">environmental </w:t>
      </w:r>
      <w:r w:rsidRPr="00EC75B7">
        <w:rPr>
          <w:rFonts w:ascii="Verdana" w:hAnsi="Verdana"/>
          <w:b/>
          <w:color w:val="00AFEF"/>
          <w:sz w:val="18"/>
          <w:szCs w:val="18"/>
        </w:rPr>
        <w:t>impact assessment</w:t>
      </w: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8715BE" w:rsidRPr="00EC75B7" w14:paraId="19701743" w14:textId="77777777">
        <w:trPr>
          <w:trHeight w:val="450"/>
        </w:trPr>
        <w:tc>
          <w:tcPr>
            <w:tcW w:w="1608" w:type="dxa"/>
            <w:vMerge w:val="restart"/>
            <w:shd w:val="clear" w:color="auto" w:fill="00AFEF"/>
          </w:tcPr>
          <w:p w14:paraId="2CEAA2A0" w14:textId="77777777" w:rsidR="008715BE" w:rsidRPr="00EC75B7" w:rsidRDefault="008715BE">
            <w:pPr>
              <w:pStyle w:val="TableParagraph"/>
              <w:spacing w:before="48"/>
              <w:rPr>
                <w:rFonts w:ascii="Verdana" w:hAnsi="Verdana"/>
                <w:b/>
                <w:sz w:val="18"/>
                <w:szCs w:val="18"/>
              </w:rPr>
            </w:pPr>
          </w:p>
          <w:p w14:paraId="406DA98B" w14:textId="77777777" w:rsidR="008715BE" w:rsidRPr="00EC75B7" w:rsidRDefault="00000000">
            <w:pPr>
              <w:pStyle w:val="TableParagraph"/>
              <w:spacing w:before="1"/>
              <w:ind w:left="525" w:right="372" w:hanging="144"/>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factor</w:t>
            </w:r>
          </w:p>
        </w:tc>
        <w:tc>
          <w:tcPr>
            <w:tcW w:w="13384" w:type="dxa"/>
            <w:gridSpan w:val="5"/>
            <w:shd w:val="clear" w:color="auto" w:fill="00AFEF"/>
          </w:tcPr>
          <w:p w14:paraId="4A0E1608" w14:textId="77777777" w:rsidR="008715BE" w:rsidRPr="00EC75B7" w:rsidRDefault="00000000">
            <w:pPr>
              <w:pStyle w:val="TableParagraph"/>
              <w:spacing w:before="126"/>
              <w:ind w:left="10"/>
              <w:jc w:val="center"/>
              <w:rPr>
                <w:rFonts w:ascii="Verdana" w:hAnsi="Verdana"/>
                <w:b/>
                <w:sz w:val="18"/>
                <w:szCs w:val="18"/>
              </w:rPr>
            </w:pPr>
            <w:r w:rsidRPr="00EC75B7">
              <w:rPr>
                <w:rFonts w:ascii="Verdana" w:hAnsi="Verdana"/>
                <w:b/>
                <w:color w:val="FFFFFF"/>
                <w:spacing w:val="-2"/>
                <w:sz w:val="18"/>
                <w:szCs w:val="18"/>
              </w:rPr>
              <w:t xml:space="preserve">Sensitivity </w:t>
            </w:r>
            <w:r w:rsidRPr="00EC75B7">
              <w:rPr>
                <w:rFonts w:ascii="Verdana" w:hAnsi="Verdana"/>
                <w:b/>
                <w:color w:val="FFFFFF"/>
                <w:sz w:val="18"/>
                <w:szCs w:val="18"/>
              </w:rPr>
              <w:t>classes</w:t>
            </w:r>
          </w:p>
        </w:tc>
      </w:tr>
      <w:tr w:rsidR="008715BE" w:rsidRPr="00EC75B7" w14:paraId="712EAE1A" w14:textId="77777777">
        <w:trPr>
          <w:trHeight w:val="417"/>
        </w:trPr>
        <w:tc>
          <w:tcPr>
            <w:tcW w:w="1608" w:type="dxa"/>
            <w:vMerge/>
            <w:tcBorders>
              <w:top w:val="nil"/>
            </w:tcBorders>
            <w:shd w:val="clear" w:color="auto" w:fill="00AFEF"/>
          </w:tcPr>
          <w:p w14:paraId="7C391D75" w14:textId="77777777" w:rsidR="008715BE" w:rsidRPr="00EC75B7" w:rsidRDefault="008715BE">
            <w:pPr>
              <w:rPr>
                <w:rFonts w:ascii="Verdana" w:hAnsi="Verdana"/>
                <w:sz w:val="18"/>
                <w:szCs w:val="18"/>
              </w:rPr>
            </w:pPr>
          </w:p>
        </w:tc>
        <w:tc>
          <w:tcPr>
            <w:tcW w:w="2287" w:type="dxa"/>
            <w:shd w:val="clear" w:color="auto" w:fill="E1EED9"/>
          </w:tcPr>
          <w:p w14:paraId="362C1395" w14:textId="77777777" w:rsidR="008715BE" w:rsidRPr="00EC75B7" w:rsidRDefault="00000000">
            <w:pPr>
              <w:pStyle w:val="TableParagraph"/>
              <w:spacing w:before="109"/>
              <w:ind w:left="614"/>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low</w:t>
            </w:r>
          </w:p>
        </w:tc>
        <w:tc>
          <w:tcPr>
            <w:tcW w:w="2517" w:type="dxa"/>
            <w:shd w:val="clear" w:color="auto" w:fill="528135"/>
          </w:tcPr>
          <w:p w14:paraId="53F7FB31" w14:textId="77777777" w:rsidR="008715BE" w:rsidRPr="00EC75B7" w:rsidRDefault="00000000">
            <w:pPr>
              <w:pStyle w:val="TableParagraph"/>
              <w:spacing w:before="109"/>
              <w:ind w:left="11"/>
              <w:jc w:val="center"/>
              <w:rPr>
                <w:rFonts w:ascii="Verdana" w:hAnsi="Verdana"/>
                <w:b/>
                <w:sz w:val="18"/>
                <w:szCs w:val="18"/>
              </w:rPr>
            </w:pPr>
            <w:r w:rsidRPr="00EC75B7">
              <w:rPr>
                <w:rFonts w:ascii="Verdana" w:hAnsi="Verdana"/>
                <w:b/>
                <w:spacing w:val="-4"/>
                <w:sz w:val="18"/>
                <w:szCs w:val="18"/>
              </w:rPr>
              <w:t>Low</w:t>
            </w:r>
          </w:p>
        </w:tc>
        <w:tc>
          <w:tcPr>
            <w:tcW w:w="2479" w:type="dxa"/>
            <w:shd w:val="clear" w:color="auto" w:fill="FFFF00"/>
          </w:tcPr>
          <w:p w14:paraId="6B6C6C40" w14:textId="77777777" w:rsidR="008715BE" w:rsidRPr="00EC75B7" w:rsidRDefault="00000000">
            <w:pPr>
              <w:pStyle w:val="TableParagraph"/>
              <w:spacing w:before="109"/>
              <w:ind w:left="817"/>
              <w:rPr>
                <w:rFonts w:ascii="Verdana" w:hAnsi="Verdana"/>
                <w:b/>
                <w:sz w:val="18"/>
                <w:szCs w:val="18"/>
              </w:rPr>
            </w:pPr>
            <w:r w:rsidRPr="00EC75B7">
              <w:rPr>
                <w:rFonts w:ascii="Verdana" w:hAnsi="Verdana"/>
                <w:b/>
                <w:spacing w:val="-2"/>
                <w:sz w:val="18"/>
                <w:szCs w:val="18"/>
              </w:rPr>
              <w:t>Moderate</w:t>
            </w:r>
          </w:p>
        </w:tc>
        <w:tc>
          <w:tcPr>
            <w:tcW w:w="2926" w:type="dxa"/>
            <w:shd w:val="clear" w:color="auto" w:fill="F7C9AC"/>
          </w:tcPr>
          <w:p w14:paraId="3981D135" w14:textId="77777777" w:rsidR="008715BE" w:rsidRPr="00EC75B7" w:rsidRDefault="00000000">
            <w:pPr>
              <w:pStyle w:val="TableParagraph"/>
              <w:spacing w:before="109"/>
              <w:ind w:left="14"/>
              <w:jc w:val="center"/>
              <w:rPr>
                <w:rFonts w:ascii="Verdana" w:hAnsi="Verdana"/>
                <w:b/>
                <w:sz w:val="18"/>
                <w:szCs w:val="18"/>
              </w:rPr>
            </w:pPr>
            <w:r w:rsidRPr="00EC75B7">
              <w:rPr>
                <w:rFonts w:ascii="Verdana" w:hAnsi="Verdana"/>
                <w:b/>
                <w:spacing w:val="-4"/>
                <w:sz w:val="18"/>
                <w:szCs w:val="18"/>
              </w:rPr>
              <w:t>High</w:t>
            </w:r>
          </w:p>
        </w:tc>
        <w:tc>
          <w:tcPr>
            <w:tcW w:w="3175" w:type="dxa"/>
            <w:shd w:val="clear" w:color="auto" w:fill="FF0000"/>
          </w:tcPr>
          <w:p w14:paraId="44439EC4" w14:textId="77777777" w:rsidR="008715BE" w:rsidRPr="00EC75B7" w:rsidRDefault="00000000">
            <w:pPr>
              <w:pStyle w:val="TableParagraph"/>
              <w:spacing w:before="109"/>
              <w:ind w:left="1041"/>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r>
      <w:tr w:rsidR="008715BE" w:rsidRPr="00EC75B7" w14:paraId="7F99FB1A" w14:textId="77777777">
        <w:trPr>
          <w:trHeight w:val="4860"/>
        </w:trPr>
        <w:tc>
          <w:tcPr>
            <w:tcW w:w="1608" w:type="dxa"/>
          </w:tcPr>
          <w:p w14:paraId="26DA00AD"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spacing w:val="-5"/>
                <w:sz w:val="18"/>
                <w:szCs w:val="18"/>
              </w:rPr>
              <w:t>Water</w:t>
            </w:r>
          </w:p>
        </w:tc>
        <w:tc>
          <w:tcPr>
            <w:tcW w:w="2287" w:type="dxa"/>
          </w:tcPr>
          <w:p w14:paraId="1458AF9D" w14:textId="77777777" w:rsidR="008715BE" w:rsidRPr="00EC75B7" w:rsidRDefault="00000000">
            <w:pPr>
              <w:pStyle w:val="TableParagraph"/>
              <w:tabs>
                <w:tab w:val="left" w:pos="1478"/>
              </w:tabs>
              <w:ind w:left="108" w:right="94"/>
              <w:jc w:val="both"/>
              <w:rPr>
                <w:rFonts w:ascii="Verdana" w:hAnsi="Verdana"/>
                <w:sz w:val="18"/>
                <w:szCs w:val="18"/>
              </w:rPr>
            </w:pPr>
            <w:r w:rsidRPr="00EC75B7">
              <w:rPr>
                <w:rFonts w:ascii="Verdana" w:hAnsi="Verdana"/>
                <w:sz w:val="18"/>
                <w:szCs w:val="18"/>
              </w:rPr>
              <w:t xml:space="preserve">Surface water bodies with </w:t>
            </w:r>
            <w:r w:rsidRPr="00EC75B7">
              <w:rPr>
                <w:rFonts w:ascii="Verdana" w:hAnsi="Verdana"/>
                <w:spacing w:val="-2"/>
                <w:sz w:val="18"/>
                <w:szCs w:val="18"/>
              </w:rPr>
              <w:t>ecological</w:t>
            </w:r>
            <w:r w:rsidRPr="00EC75B7">
              <w:rPr>
                <w:rFonts w:ascii="Verdana" w:hAnsi="Verdana"/>
                <w:sz w:val="18"/>
                <w:szCs w:val="18"/>
              </w:rPr>
              <w:t xml:space="preserve"> status</w:t>
            </w:r>
            <w:r w:rsidRPr="00EC75B7">
              <w:rPr>
                <w:rFonts w:ascii="Verdana" w:hAnsi="Verdana"/>
                <w:spacing w:val="-2"/>
                <w:sz w:val="18"/>
                <w:szCs w:val="18"/>
              </w:rPr>
              <w:t>,</w:t>
            </w:r>
            <w:r w:rsidRPr="00EC75B7">
              <w:rPr>
                <w:rFonts w:ascii="Verdana" w:hAnsi="Verdana"/>
                <w:sz w:val="18"/>
                <w:szCs w:val="18"/>
              </w:rPr>
              <w:tab/>
            </w:r>
            <w:r w:rsidRPr="00EC75B7">
              <w:rPr>
                <w:rFonts w:ascii="Verdana" w:hAnsi="Verdana"/>
                <w:spacing w:val="-2"/>
                <w:sz w:val="18"/>
                <w:szCs w:val="18"/>
              </w:rPr>
              <w:t xml:space="preserve">potentially </w:t>
            </w:r>
            <w:r w:rsidRPr="00EC75B7">
              <w:rPr>
                <w:rFonts w:ascii="Verdana" w:hAnsi="Verdana"/>
                <w:sz w:val="18"/>
                <w:szCs w:val="18"/>
              </w:rPr>
              <w:t>poor/bad and poor chemical status</w:t>
            </w:r>
          </w:p>
          <w:p w14:paraId="2955C772" w14:textId="77777777" w:rsidR="008715BE" w:rsidRPr="00EC75B7" w:rsidRDefault="00000000">
            <w:pPr>
              <w:pStyle w:val="TableParagraph"/>
              <w:ind w:left="108" w:right="95"/>
              <w:jc w:val="both"/>
              <w:rPr>
                <w:rFonts w:ascii="Verdana" w:hAnsi="Verdana"/>
                <w:sz w:val="18"/>
                <w:szCs w:val="18"/>
              </w:rPr>
            </w:pPr>
            <w:r w:rsidRPr="00EC75B7">
              <w:rPr>
                <w:rFonts w:ascii="Verdana" w:hAnsi="Verdana"/>
                <w:sz w:val="18"/>
                <w:szCs w:val="18"/>
              </w:rPr>
              <w:t xml:space="preserve">Heavily </w:t>
            </w:r>
            <w:r w:rsidRPr="00EC75B7">
              <w:rPr>
                <w:rFonts w:ascii="Verdana" w:hAnsi="Verdana"/>
                <w:spacing w:val="-2"/>
                <w:sz w:val="18"/>
                <w:szCs w:val="18"/>
              </w:rPr>
              <w:t xml:space="preserve">modified </w:t>
            </w:r>
            <w:r w:rsidRPr="00EC75B7">
              <w:rPr>
                <w:rFonts w:ascii="Verdana" w:hAnsi="Verdana"/>
                <w:sz w:val="18"/>
                <w:szCs w:val="18"/>
              </w:rPr>
              <w:t>water bodies</w:t>
            </w:r>
          </w:p>
          <w:p w14:paraId="5AD116BC" w14:textId="77777777" w:rsidR="008715BE" w:rsidRPr="00EC75B7" w:rsidRDefault="00000000">
            <w:pPr>
              <w:pStyle w:val="TableParagraph"/>
              <w:ind w:left="108" w:right="94"/>
              <w:jc w:val="both"/>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groundwater </w:t>
            </w:r>
            <w:r w:rsidRPr="00EC75B7">
              <w:rPr>
                <w:rFonts w:ascii="Verdana" w:hAnsi="Verdana"/>
                <w:sz w:val="18"/>
                <w:szCs w:val="18"/>
              </w:rPr>
              <w:t>bodies</w:t>
            </w:r>
          </w:p>
        </w:tc>
        <w:tc>
          <w:tcPr>
            <w:tcW w:w="2517" w:type="dxa"/>
          </w:tcPr>
          <w:p w14:paraId="22621E96" w14:textId="77777777" w:rsidR="008715BE" w:rsidRPr="00EC75B7" w:rsidRDefault="00000000">
            <w:pPr>
              <w:pStyle w:val="TableParagraph"/>
              <w:ind w:left="109" w:right="94"/>
              <w:jc w:val="both"/>
              <w:rPr>
                <w:rFonts w:ascii="Verdana" w:hAnsi="Verdana"/>
                <w:sz w:val="18"/>
                <w:szCs w:val="18"/>
              </w:rPr>
            </w:pPr>
            <w:r w:rsidRPr="00EC75B7">
              <w:rPr>
                <w:rFonts w:ascii="Verdana" w:hAnsi="Verdana"/>
                <w:sz w:val="18"/>
                <w:szCs w:val="18"/>
              </w:rPr>
              <w:t xml:space="preserve">Surface water bodies with ecological status, poor ecological potential, and </w:t>
            </w:r>
            <w:r w:rsidRPr="00EC75B7">
              <w:rPr>
                <w:rFonts w:ascii="Verdana" w:hAnsi="Verdana"/>
                <w:spacing w:val="-2"/>
                <w:sz w:val="18"/>
                <w:szCs w:val="18"/>
              </w:rPr>
              <w:t>poor</w:t>
            </w:r>
            <w:r w:rsidRPr="00EC75B7">
              <w:rPr>
                <w:rFonts w:ascii="Verdana" w:hAnsi="Verdana"/>
                <w:sz w:val="18"/>
                <w:szCs w:val="18"/>
              </w:rPr>
              <w:t xml:space="preserve"> chemical status</w:t>
            </w:r>
          </w:p>
          <w:p w14:paraId="293C36BD" w14:textId="77777777" w:rsidR="008715BE" w:rsidRPr="00EC75B7" w:rsidRDefault="00000000">
            <w:pPr>
              <w:pStyle w:val="TableParagraph"/>
              <w:ind w:left="109" w:right="95"/>
              <w:jc w:val="both"/>
              <w:rPr>
                <w:rFonts w:ascii="Verdana" w:hAnsi="Verdana"/>
                <w:sz w:val="18"/>
                <w:szCs w:val="18"/>
              </w:rPr>
            </w:pPr>
            <w:r w:rsidRPr="00EC75B7">
              <w:rPr>
                <w:rFonts w:ascii="Verdana" w:hAnsi="Verdana"/>
                <w:sz w:val="18"/>
                <w:szCs w:val="18"/>
              </w:rPr>
              <w:t>Surface water bodies with good ecological status, good ecological potential but poor chemical status</w:t>
            </w:r>
          </w:p>
          <w:p w14:paraId="060CA6C3" w14:textId="77777777" w:rsidR="008715BE" w:rsidRPr="00EC75B7" w:rsidRDefault="00000000">
            <w:pPr>
              <w:pStyle w:val="TableParagraph"/>
              <w:ind w:left="109" w:right="95"/>
              <w:jc w:val="both"/>
              <w:rPr>
                <w:rFonts w:ascii="Verdana" w:hAnsi="Verdana"/>
                <w:sz w:val="18"/>
                <w:szCs w:val="18"/>
              </w:rPr>
            </w:pPr>
            <w:r w:rsidRPr="00EC75B7">
              <w:rPr>
                <w:rFonts w:ascii="Verdana" w:hAnsi="Verdana"/>
                <w:sz w:val="18"/>
                <w:szCs w:val="18"/>
              </w:rPr>
              <w:t xml:space="preserve">Groundwater bodies with </w:t>
            </w:r>
            <w:r w:rsidRPr="00EC75B7">
              <w:rPr>
                <w:rFonts w:ascii="Verdana" w:hAnsi="Verdana"/>
                <w:spacing w:val="-2"/>
                <w:sz w:val="18"/>
                <w:szCs w:val="18"/>
              </w:rPr>
              <w:t xml:space="preserve">poor </w:t>
            </w:r>
            <w:r w:rsidRPr="00EC75B7">
              <w:rPr>
                <w:rFonts w:ascii="Verdana" w:hAnsi="Verdana"/>
                <w:sz w:val="18"/>
                <w:szCs w:val="18"/>
              </w:rPr>
              <w:t>quantitative and chemical status</w:t>
            </w:r>
          </w:p>
          <w:p w14:paraId="2E663FDD" w14:textId="77777777" w:rsidR="008715BE" w:rsidRPr="00EC75B7" w:rsidRDefault="00000000">
            <w:pPr>
              <w:pStyle w:val="TableParagraph"/>
              <w:ind w:left="109" w:right="94"/>
              <w:jc w:val="both"/>
              <w:rPr>
                <w:rFonts w:ascii="Verdana" w:hAnsi="Verdana"/>
                <w:sz w:val="18"/>
                <w:szCs w:val="18"/>
              </w:rPr>
            </w:pPr>
            <w:r w:rsidRPr="00EC75B7">
              <w:rPr>
                <w:rFonts w:ascii="Verdana" w:hAnsi="Verdana"/>
                <w:sz w:val="18"/>
                <w:szCs w:val="18"/>
              </w:rPr>
              <w:t>Project location more than 1 km away from watercourses</w:t>
            </w:r>
          </w:p>
        </w:tc>
        <w:tc>
          <w:tcPr>
            <w:tcW w:w="2479" w:type="dxa"/>
          </w:tcPr>
          <w:p w14:paraId="23ACBD88" w14:textId="77777777" w:rsidR="008715BE" w:rsidRPr="00EC75B7" w:rsidRDefault="00000000">
            <w:pPr>
              <w:pStyle w:val="TableParagraph"/>
              <w:ind w:left="109" w:right="93"/>
              <w:jc w:val="both"/>
              <w:rPr>
                <w:rFonts w:ascii="Verdana" w:hAnsi="Verdana"/>
                <w:sz w:val="18"/>
                <w:szCs w:val="18"/>
              </w:rPr>
            </w:pPr>
            <w:r w:rsidRPr="00EC75B7">
              <w:rPr>
                <w:rFonts w:ascii="Verdana" w:hAnsi="Verdana"/>
                <w:sz w:val="18"/>
                <w:szCs w:val="18"/>
              </w:rPr>
              <w:t>Surface water bodies with moderate ecological status, moderate ecological potential, and moderate chemical status</w:t>
            </w:r>
          </w:p>
          <w:p w14:paraId="34EFBF62" w14:textId="77777777" w:rsidR="008715BE" w:rsidRPr="00EC75B7" w:rsidRDefault="00000000">
            <w:pPr>
              <w:pStyle w:val="TableParagraph"/>
              <w:ind w:left="109" w:right="92"/>
              <w:jc w:val="both"/>
              <w:rPr>
                <w:rFonts w:ascii="Verdana" w:hAnsi="Verdana"/>
                <w:sz w:val="18"/>
                <w:szCs w:val="18"/>
              </w:rPr>
            </w:pPr>
            <w:r w:rsidRPr="00EC75B7">
              <w:rPr>
                <w:rFonts w:ascii="Verdana" w:hAnsi="Verdana"/>
                <w:sz w:val="18"/>
                <w:szCs w:val="18"/>
              </w:rPr>
              <w:t xml:space="preserve">Groundwater bodies with </w:t>
            </w:r>
            <w:r w:rsidRPr="00EC75B7">
              <w:rPr>
                <w:rFonts w:ascii="Verdana" w:hAnsi="Verdana"/>
                <w:spacing w:val="-2"/>
                <w:sz w:val="18"/>
                <w:szCs w:val="18"/>
              </w:rPr>
              <w:t xml:space="preserve">moderate </w:t>
            </w:r>
            <w:r w:rsidRPr="00EC75B7">
              <w:rPr>
                <w:rFonts w:ascii="Verdana" w:hAnsi="Verdana"/>
                <w:sz w:val="18"/>
                <w:szCs w:val="18"/>
              </w:rPr>
              <w:t>quantitative and chemical status</w:t>
            </w:r>
          </w:p>
          <w:p w14:paraId="6C8DD62F" w14:textId="77777777" w:rsidR="008715BE" w:rsidRPr="00EC75B7" w:rsidRDefault="00000000">
            <w:pPr>
              <w:pStyle w:val="TableParagraph"/>
              <w:ind w:left="109" w:right="93"/>
              <w:jc w:val="both"/>
              <w:rPr>
                <w:rFonts w:ascii="Verdana" w:hAnsi="Verdana"/>
                <w:sz w:val="18"/>
                <w:szCs w:val="18"/>
              </w:rPr>
            </w:pPr>
            <w:r w:rsidRPr="00EC75B7">
              <w:rPr>
                <w:rFonts w:ascii="Verdana" w:hAnsi="Verdana"/>
                <w:sz w:val="18"/>
                <w:szCs w:val="18"/>
              </w:rPr>
              <w:t>Surface water bodies with good ecological status, good ecological potential but poor chemical status</w:t>
            </w:r>
          </w:p>
          <w:p w14:paraId="185EC323" w14:textId="77777777" w:rsidR="008715BE" w:rsidRPr="00EC75B7" w:rsidRDefault="00000000">
            <w:pPr>
              <w:pStyle w:val="TableParagraph"/>
              <w:ind w:left="109" w:right="92"/>
              <w:jc w:val="both"/>
              <w:rPr>
                <w:rFonts w:ascii="Verdana" w:hAnsi="Verdana"/>
                <w:sz w:val="18"/>
                <w:szCs w:val="18"/>
              </w:rPr>
            </w:pPr>
            <w:r w:rsidRPr="00EC75B7">
              <w:rPr>
                <w:rFonts w:ascii="Verdana" w:hAnsi="Verdana"/>
                <w:sz w:val="18"/>
                <w:szCs w:val="18"/>
              </w:rPr>
              <w:t>Surface water bodies with ecological status, poor ecological potential but good chemical status</w:t>
            </w:r>
          </w:p>
        </w:tc>
        <w:tc>
          <w:tcPr>
            <w:tcW w:w="2926" w:type="dxa"/>
          </w:tcPr>
          <w:p w14:paraId="0670C526" w14:textId="77777777" w:rsidR="008715BE" w:rsidRPr="00EC75B7" w:rsidRDefault="00000000">
            <w:pPr>
              <w:pStyle w:val="TableParagraph"/>
              <w:tabs>
                <w:tab w:val="left" w:pos="918"/>
                <w:tab w:val="left" w:pos="2115"/>
              </w:tabs>
              <w:ind w:left="110" w:right="92"/>
              <w:jc w:val="both"/>
              <w:rPr>
                <w:rFonts w:ascii="Verdana" w:hAnsi="Verdana"/>
                <w:sz w:val="18"/>
                <w:szCs w:val="18"/>
              </w:rPr>
            </w:pPr>
            <w:r w:rsidRPr="00EC75B7">
              <w:rPr>
                <w:rFonts w:ascii="Verdana" w:hAnsi="Verdana"/>
                <w:sz w:val="18"/>
                <w:szCs w:val="18"/>
              </w:rPr>
              <w:t xml:space="preserve">Surface water bodies </w:t>
            </w:r>
            <w:r w:rsidRPr="00EC75B7">
              <w:rPr>
                <w:rFonts w:ascii="Verdana" w:hAnsi="Verdana"/>
                <w:spacing w:val="-2"/>
                <w:sz w:val="18"/>
                <w:szCs w:val="18"/>
              </w:rPr>
              <w:t>with</w:t>
            </w:r>
            <w:r w:rsidRPr="00EC75B7">
              <w:rPr>
                <w:rFonts w:ascii="Verdana" w:hAnsi="Verdana"/>
                <w:sz w:val="18"/>
                <w:szCs w:val="18"/>
              </w:rPr>
              <w:tab/>
            </w:r>
            <w:r w:rsidRPr="00EC75B7">
              <w:rPr>
                <w:rFonts w:ascii="Verdana" w:hAnsi="Verdana"/>
                <w:spacing w:val="-2"/>
                <w:sz w:val="18"/>
                <w:szCs w:val="18"/>
              </w:rPr>
              <w:t>ecological status,</w:t>
            </w:r>
            <w:r w:rsidRPr="00EC75B7">
              <w:rPr>
                <w:rFonts w:ascii="Verdana" w:hAnsi="Verdana"/>
                <w:sz w:val="18"/>
                <w:szCs w:val="18"/>
              </w:rPr>
              <w:tab/>
              <w:t>good ecological</w:t>
            </w:r>
            <w:r w:rsidRPr="00EC75B7">
              <w:rPr>
                <w:rFonts w:ascii="Verdana" w:hAnsi="Verdana"/>
                <w:spacing w:val="-2"/>
                <w:sz w:val="18"/>
                <w:szCs w:val="18"/>
              </w:rPr>
              <w:t xml:space="preserve"> potential </w:t>
            </w:r>
            <w:r w:rsidRPr="00EC75B7">
              <w:rPr>
                <w:rFonts w:ascii="Verdana" w:hAnsi="Verdana"/>
                <w:sz w:val="18"/>
                <w:szCs w:val="18"/>
              </w:rPr>
              <w:t xml:space="preserve">and </w:t>
            </w:r>
            <w:r w:rsidRPr="00EC75B7">
              <w:rPr>
                <w:rFonts w:ascii="Verdana" w:hAnsi="Verdana"/>
                <w:spacing w:val="-4"/>
                <w:sz w:val="18"/>
                <w:szCs w:val="18"/>
              </w:rPr>
              <w:t>good</w:t>
            </w:r>
            <w:r w:rsidRPr="00EC75B7">
              <w:rPr>
                <w:rFonts w:ascii="Verdana" w:hAnsi="Verdana"/>
                <w:sz w:val="18"/>
                <w:szCs w:val="18"/>
              </w:rPr>
              <w:t xml:space="preserve"> chemical status</w:t>
            </w:r>
          </w:p>
          <w:p w14:paraId="2F47F575" w14:textId="77777777" w:rsidR="008715BE" w:rsidRPr="00EC75B7" w:rsidRDefault="00000000">
            <w:pPr>
              <w:pStyle w:val="TableParagraph"/>
              <w:ind w:left="110" w:right="93"/>
              <w:jc w:val="both"/>
              <w:rPr>
                <w:rFonts w:ascii="Verdana" w:hAnsi="Verdana"/>
                <w:sz w:val="18"/>
                <w:szCs w:val="18"/>
              </w:rPr>
            </w:pPr>
            <w:r w:rsidRPr="00EC75B7">
              <w:rPr>
                <w:rFonts w:ascii="Verdana" w:hAnsi="Verdana"/>
                <w:sz w:val="18"/>
                <w:szCs w:val="18"/>
              </w:rPr>
              <w:t>Groundwater bodies with good quantitative and chemical status</w:t>
            </w:r>
          </w:p>
        </w:tc>
        <w:tc>
          <w:tcPr>
            <w:tcW w:w="3175" w:type="dxa"/>
          </w:tcPr>
          <w:p w14:paraId="76A05B3F" w14:textId="77777777" w:rsidR="008715BE" w:rsidRPr="00EC75B7" w:rsidRDefault="00000000">
            <w:pPr>
              <w:pStyle w:val="TableParagraph"/>
              <w:ind w:left="110" w:right="90"/>
              <w:jc w:val="both"/>
              <w:rPr>
                <w:rFonts w:ascii="Verdana" w:hAnsi="Verdana"/>
                <w:sz w:val="18"/>
                <w:szCs w:val="18"/>
              </w:rPr>
            </w:pPr>
            <w:r w:rsidRPr="00EC75B7">
              <w:rPr>
                <w:rFonts w:ascii="Verdana" w:hAnsi="Verdana"/>
                <w:sz w:val="18"/>
                <w:szCs w:val="18"/>
              </w:rPr>
              <w:t xml:space="preserve">If </w:t>
            </w:r>
            <w:r w:rsidRPr="00EC75B7">
              <w:rPr>
                <w:rFonts w:ascii="Verdana" w:hAnsi="Verdana"/>
                <w:spacing w:val="-2"/>
                <w:sz w:val="18"/>
                <w:szCs w:val="18"/>
              </w:rPr>
              <w:t>protected</w:t>
            </w:r>
            <w:r w:rsidRPr="00EC75B7">
              <w:rPr>
                <w:rFonts w:ascii="Verdana" w:hAnsi="Verdana"/>
                <w:sz w:val="18"/>
                <w:szCs w:val="18"/>
              </w:rPr>
              <w:t xml:space="preserve"> areas have been identified in the area where the works are to be carried out</w:t>
            </w:r>
            <w:r w:rsidRPr="00EC75B7">
              <w:rPr>
                <w:rFonts w:ascii="Verdana" w:hAnsi="Verdana"/>
                <w:spacing w:val="-2"/>
                <w:sz w:val="18"/>
                <w:szCs w:val="18"/>
              </w:rPr>
              <w:t>:</w:t>
            </w:r>
          </w:p>
          <w:p w14:paraId="00D9869D" w14:textId="77777777" w:rsidR="008715BE" w:rsidRPr="00EC75B7" w:rsidRDefault="00000000">
            <w:pPr>
              <w:pStyle w:val="TableParagraph"/>
              <w:numPr>
                <w:ilvl w:val="0"/>
                <w:numId w:val="24"/>
              </w:numPr>
              <w:tabs>
                <w:tab w:val="left" w:pos="246"/>
              </w:tabs>
              <w:ind w:right="91" w:firstLine="0"/>
              <w:jc w:val="both"/>
              <w:rPr>
                <w:rFonts w:ascii="Verdana" w:hAnsi="Verdana"/>
                <w:sz w:val="18"/>
                <w:szCs w:val="18"/>
              </w:rPr>
            </w:pPr>
            <w:r w:rsidRPr="00EC75B7">
              <w:rPr>
                <w:rFonts w:ascii="Verdana" w:hAnsi="Verdana"/>
                <w:sz w:val="18"/>
                <w:szCs w:val="18"/>
              </w:rPr>
              <w:t xml:space="preserve">areas designated for water abstraction for </w:t>
            </w:r>
            <w:r w:rsidRPr="00EC75B7">
              <w:rPr>
                <w:rFonts w:ascii="Verdana" w:hAnsi="Verdana"/>
                <w:spacing w:val="-2"/>
                <w:sz w:val="18"/>
                <w:szCs w:val="18"/>
              </w:rPr>
              <w:t>drinking</w:t>
            </w:r>
            <w:r w:rsidRPr="00EC75B7">
              <w:rPr>
                <w:rFonts w:ascii="Verdana" w:hAnsi="Verdana"/>
                <w:sz w:val="18"/>
                <w:szCs w:val="18"/>
              </w:rPr>
              <w:t xml:space="preserve"> water purposes</w:t>
            </w:r>
            <w:r w:rsidRPr="00EC75B7">
              <w:rPr>
                <w:rFonts w:ascii="Verdana" w:hAnsi="Verdana"/>
                <w:spacing w:val="-2"/>
                <w:sz w:val="18"/>
                <w:szCs w:val="18"/>
              </w:rPr>
              <w:t>;</w:t>
            </w:r>
          </w:p>
          <w:p w14:paraId="340DD8ED" w14:textId="77777777" w:rsidR="008715BE" w:rsidRPr="00EC75B7" w:rsidRDefault="00000000">
            <w:pPr>
              <w:pStyle w:val="TableParagraph"/>
              <w:numPr>
                <w:ilvl w:val="0"/>
                <w:numId w:val="24"/>
              </w:numPr>
              <w:tabs>
                <w:tab w:val="left" w:pos="244"/>
              </w:tabs>
              <w:ind w:right="93" w:firstLine="0"/>
              <w:jc w:val="both"/>
              <w:rPr>
                <w:rFonts w:ascii="Verdana" w:hAnsi="Verdana"/>
                <w:sz w:val="18"/>
                <w:szCs w:val="18"/>
              </w:rPr>
            </w:pPr>
            <w:r w:rsidRPr="00EC75B7">
              <w:rPr>
                <w:rFonts w:ascii="Verdana" w:hAnsi="Verdana"/>
                <w:sz w:val="18"/>
                <w:szCs w:val="18"/>
              </w:rPr>
              <w:t>areas designated for the protection of economically important species;</w:t>
            </w:r>
          </w:p>
          <w:p w14:paraId="1247D62A" w14:textId="77777777" w:rsidR="008715BE" w:rsidRPr="00EC75B7" w:rsidRDefault="00000000">
            <w:pPr>
              <w:pStyle w:val="TableParagraph"/>
              <w:numPr>
                <w:ilvl w:val="0"/>
                <w:numId w:val="24"/>
              </w:numPr>
              <w:tabs>
                <w:tab w:val="left" w:pos="239"/>
              </w:tabs>
              <w:ind w:right="90" w:firstLine="0"/>
              <w:jc w:val="both"/>
              <w:rPr>
                <w:rFonts w:ascii="Verdana" w:hAnsi="Verdana"/>
                <w:sz w:val="18"/>
                <w:szCs w:val="18"/>
              </w:rPr>
            </w:pPr>
            <w:r w:rsidRPr="00EC75B7">
              <w:rPr>
                <w:rFonts w:ascii="Verdana" w:hAnsi="Verdana"/>
                <w:sz w:val="18"/>
                <w:szCs w:val="18"/>
              </w:rPr>
              <w:t>water bodies designated as recreational waters, including areas designated as bathing waters;</w:t>
            </w:r>
          </w:p>
          <w:p w14:paraId="68EFD4F8" w14:textId="77777777" w:rsidR="008715BE" w:rsidRPr="00EC75B7" w:rsidRDefault="00000000">
            <w:pPr>
              <w:pStyle w:val="TableParagraph"/>
              <w:numPr>
                <w:ilvl w:val="0"/>
                <w:numId w:val="24"/>
              </w:numPr>
              <w:tabs>
                <w:tab w:val="left" w:pos="383"/>
              </w:tabs>
              <w:ind w:right="91" w:firstLine="0"/>
              <w:jc w:val="both"/>
              <w:rPr>
                <w:rFonts w:ascii="Verdana" w:hAnsi="Verdana"/>
                <w:sz w:val="18"/>
                <w:szCs w:val="18"/>
              </w:rPr>
            </w:pPr>
            <w:r w:rsidRPr="00EC75B7">
              <w:rPr>
                <w:rFonts w:ascii="Verdana" w:hAnsi="Verdana"/>
                <w:sz w:val="18"/>
                <w:szCs w:val="18"/>
              </w:rPr>
              <w:t xml:space="preserve">nutrient-sensitive areas, including areas designated as </w:t>
            </w:r>
            <w:r w:rsidRPr="00EC75B7">
              <w:rPr>
                <w:rFonts w:ascii="Verdana" w:hAnsi="Verdana"/>
                <w:spacing w:val="-2"/>
                <w:sz w:val="18"/>
                <w:szCs w:val="18"/>
              </w:rPr>
              <w:t>vulnerable</w:t>
            </w:r>
            <w:r w:rsidRPr="00EC75B7">
              <w:rPr>
                <w:rFonts w:ascii="Verdana" w:hAnsi="Verdana"/>
                <w:sz w:val="18"/>
                <w:szCs w:val="18"/>
              </w:rPr>
              <w:t xml:space="preserve"> zones</w:t>
            </w:r>
            <w:r w:rsidRPr="00EC75B7">
              <w:rPr>
                <w:rFonts w:ascii="Verdana" w:hAnsi="Verdana"/>
                <w:spacing w:val="-2"/>
                <w:sz w:val="18"/>
                <w:szCs w:val="18"/>
              </w:rPr>
              <w:t>;</w:t>
            </w:r>
          </w:p>
          <w:p w14:paraId="53CA3022" w14:textId="77777777" w:rsidR="008715BE" w:rsidRPr="00EC75B7" w:rsidRDefault="00000000">
            <w:pPr>
              <w:pStyle w:val="TableParagraph"/>
              <w:numPr>
                <w:ilvl w:val="0"/>
                <w:numId w:val="24"/>
              </w:numPr>
              <w:tabs>
                <w:tab w:val="left" w:pos="474"/>
              </w:tabs>
              <w:ind w:right="92" w:firstLine="0"/>
              <w:jc w:val="both"/>
              <w:rPr>
                <w:rFonts w:ascii="Verdana" w:hAnsi="Verdana"/>
                <w:sz w:val="18"/>
                <w:szCs w:val="18"/>
              </w:rPr>
            </w:pPr>
            <w:r w:rsidRPr="00EC75B7">
              <w:rPr>
                <w:rFonts w:ascii="Verdana" w:hAnsi="Verdana"/>
                <w:sz w:val="18"/>
                <w:szCs w:val="18"/>
              </w:rPr>
              <w:t>areas designated for the protection of habitats or species where maintaining or improving the status of waters is an important factor for their protection, including areas important for Natura</w:t>
            </w:r>
            <w:r w:rsidRPr="00EC75B7">
              <w:rPr>
                <w:rFonts w:ascii="Verdana" w:hAnsi="Verdana"/>
                <w:spacing w:val="-4"/>
                <w:sz w:val="18"/>
                <w:szCs w:val="18"/>
              </w:rPr>
              <w:t xml:space="preserve"> 2000.</w:t>
            </w:r>
          </w:p>
          <w:p w14:paraId="0EA55814" w14:textId="77777777" w:rsidR="008715BE" w:rsidRPr="00EC75B7" w:rsidRDefault="00000000">
            <w:pPr>
              <w:pStyle w:val="TableParagraph"/>
              <w:ind w:left="110" w:right="93"/>
              <w:jc w:val="both"/>
              <w:rPr>
                <w:rFonts w:ascii="Verdana" w:hAnsi="Verdana"/>
                <w:sz w:val="18"/>
                <w:szCs w:val="18"/>
              </w:rPr>
            </w:pPr>
            <w:r w:rsidRPr="00EC75B7">
              <w:rPr>
                <w:rFonts w:ascii="Verdana" w:hAnsi="Verdana"/>
                <w:sz w:val="18"/>
                <w:szCs w:val="18"/>
              </w:rPr>
              <w:t xml:space="preserve">Surface water bodies with good ecological status, </w:t>
            </w:r>
            <w:r w:rsidRPr="00EC75B7">
              <w:rPr>
                <w:rFonts w:ascii="Verdana" w:hAnsi="Verdana"/>
                <w:spacing w:val="-2"/>
                <w:sz w:val="18"/>
                <w:szCs w:val="18"/>
              </w:rPr>
              <w:t xml:space="preserve">very good </w:t>
            </w:r>
            <w:r w:rsidRPr="00EC75B7">
              <w:rPr>
                <w:rFonts w:ascii="Verdana" w:hAnsi="Verdana"/>
                <w:sz w:val="18"/>
                <w:szCs w:val="18"/>
              </w:rPr>
              <w:t>ecological potential</w:t>
            </w:r>
          </w:p>
          <w:p w14:paraId="7830B4EE" w14:textId="77777777" w:rsidR="008715BE" w:rsidRPr="00EC75B7" w:rsidRDefault="00000000">
            <w:pPr>
              <w:pStyle w:val="TableParagraph"/>
              <w:spacing w:line="173" w:lineRule="exact"/>
              <w:ind w:left="110"/>
              <w:jc w:val="both"/>
              <w:rPr>
                <w:rFonts w:ascii="Verdana" w:hAnsi="Verdana"/>
                <w:sz w:val="18"/>
                <w:szCs w:val="18"/>
              </w:rPr>
            </w:pPr>
            <w:r w:rsidRPr="00EC75B7">
              <w:rPr>
                <w:rFonts w:ascii="Verdana" w:hAnsi="Verdana"/>
                <w:sz w:val="18"/>
                <w:szCs w:val="18"/>
              </w:rPr>
              <w:t xml:space="preserve">and </w:t>
            </w:r>
            <w:r w:rsidRPr="00EC75B7">
              <w:rPr>
                <w:rFonts w:ascii="Verdana" w:hAnsi="Verdana"/>
                <w:spacing w:val="-4"/>
                <w:sz w:val="18"/>
                <w:szCs w:val="18"/>
              </w:rPr>
              <w:t xml:space="preserve">good </w:t>
            </w:r>
            <w:r w:rsidRPr="00EC75B7">
              <w:rPr>
                <w:rFonts w:ascii="Verdana" w:hAnsi="Verdana"/>
                <w:sz w:val="18"/>
                <w:szCs w:val="18"/>
              </w:rPr>
              <w:t>chemical status</w:t>
            </w:r>
          </w:p>
        </w:tc>
      </w:tr>
      <w:tr w:rsidR="008715BE" w:rsidRPr="00EC75B7" w14:paraId="13E53E42" w14:textId="77777777">
        <w:trPr>
          <w:trHeight w:val="2335"/>
        </w:trPr>
        <w:tc>
          <w:tcPr>
            <w:tcW w:w="1608" w:type="dxa"/>
          </w:tcPr>
          <w:p w14:paraId="51432355"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spacing w:val="-5"/>
                <w:sz w:val="18"/>
                <w:szCs w:val="18"/>
              </w:rPr>
              <w:lastRenderedPageBreak/>
              <w:t>Air</w:t>
            </w:r>
          </w:p>
        </w:tc>
        <w:tc>
          <w:tcPr>
            <w:tcW w:w="2287" w:type="dxa"/>
          </w:tcPr>
          <w:p w14:paraId="17AF5CB5" w14:textId="77777777" w:rsidR="008715BE" w:rsidRPr="00EC75B7" w:rsidRDefault="00000000">
            <w:pPr>
              <w:pStyle w:val="TableParagraph"/>
              <w:tabs>
                <w:tab w:val="left" w:pos="971"/>
                <w:tab w:val="left" w:pos="1391"/>
                <w:tab w:val="left" w:pos="2041"/>
              </w:tabs>
              <w:ind w:left="108" w:right="93"/>
              <w:jc w:val="both"/>
              <w:rPr>
                <w:rFonts w:ascii="Verdana" w:hAnsi="Verdana"/>
                <w:sz w:val="18"/>
                <w:szCs w:val="18"/>
              </w:rPr>
            </w:pPr>
            <w:r w:rsidRPr="00EC75B7">
              <w:rPr>
                <w:rFonts w:ascii="Verdana" w:hAnsi="Verdana"/>
                <w:sz w:val="18"/>
                <w:szCs w:val="18"/>
              </w:rPr>
              <w:t xml:space="preserve">Agglomerations and areas where the lower assessment threshold </w:t>
            </w:r>
            <w:r w:rsidRPr="00EC75B7">
              <w:rPr>
                <w:rFonts w:ascii="Verdana" w:hAnsi="Verdana"/>
                <w:spacing w:val="-2"/>
                <w:sz w:val="18"/>
                <w:szCs w:val="18"/>
              </w:rPr>
              <w:t>for</w:t>
            </w:r>
            <w:r w:rsidRPr="00EC75B7">
              <w:rPr>
                <w:rFonts w:ascii="Verdana" w:hAnsi="Verdana"/>
                <w:sz w:val="18"/>
                <w:szCs w:val="18"/>
              </w:rPr>
              <w:tab/>
            </w:r>
            <w:r w:rsidRPr="00EC75B7">
              <w:rPr>
                <w:rFonts w:ascii="Verdana" w:hAnsi="Verdana"/>
                <w:sz w:val="18"/>
                <w:szCs w:val="18"/>
              </w:rPr>
              <w:tab/>
              <w:t>public</w:t>
            </w:r>
            <w:r w:rsidRPr="00EC75B7">
              <w:rPr>
                <w:rFonts w:ascii="Verdana" w:hAnsi="Verdana"/>
                <w:spacing w:val="-2"/>
                <w:sz w:val="18"/>
                <w:szCs w:val="18"/>
              </w:rPr>
              <w:t xml:space="preserve"> health </w:t>
            </w:r>
            <w:r w:rsidRPr="00EC75B7">
              <w:rPr>
                <w:rFonts w:ascii="Verdana" w:hAnsi="Verdana"/>
                <w:sz w:val="18"/>
                <w:szCs w:val="18"/>
              </w:rPr>
              <w:t xml:space="preserve">is not exceeded and there are no activities in the area that </w:t>
            </w:r>
            <w:r w:rsidRPr="00EC75B7">
              <w:rPr>
                <w:rFonts w:ascii="Verdana" w:hAnsi="Verdana"/>
                <w:spacing w:val="-2"/>
                <w:sz w:val="18"/>
                <w:szCs w:val="18"/>
              </w:rPr>
              <w:t>could</w:t>
            </w:r>
            <w:r w:rsidRPr="00EC75B7">
              <w:rPr>
                <w:rFonts w:ascii="Verdana" w:hAnsi="Verdana"/>
                <w:sz w:val="18"/>
                <w:szCs w:val="18"/>
              </w:rPr>
              <w:tab/>
            </w:r>
            <w:r w:rsidRPr="00EC75B7">
              <w:rPr>
                <w:rFonts w:ascii="Verdana" w:hAnsi="Verdana"/>
                <w:spacing w:val="-2"/>
                <w:sz w:val="18"/>
                <w:szCs w:val="18"/>
              </w:rPr>
              <w:t>lead</w:t>
            </w:r>
            <w:r w:rsidRPr="00EC75B7">
              <w:rPr>
                <w:rFonts w:ascii="Verdana" w:hAnsi="Verdana"/>
                <w:sz w:val="18"/>
                <w:szCs w:val="18"/>
              </w:rPr>
              <w:tab/>
            </w:r>
            <w:r w:rsidRPr="00EC75B7">
              <w:rPr>
                <w:rFonts w:ascii="Verdana" w:hAnsi="Verdana"/>
                <w:spacing w:val="-6"/>
                <w:sz w:val="18"/>
                <w:szCs w:val="18"/>
              </w:rPr>
              <w:t xml:space="preserve">to </w:t>
            </w:r>
            <w:r w:rsidRPr="00EC75B7">
              <w:rPr>
                <w:rFonts w:ascii="Verdana" w:hAnsi="Verdana"/>
                <w:sz w:val="18"/>
                <w:szCs w:val="18"/>
              </w:rPr>
              <w:t>an increase in the level of pollutants in the atmosphere</w:t>
            </w:r>
          </w:p>
        </w:tc>
        <w:tc>
          <w:tcPr>
            <w:tcW w:w="2517" w:type="dxa"/>
          </w:tcPr>
          <w:p w14:paraId="3D8443A7" w14:textId="77777777" w:rsidR="008715BE" w:rsidRPr="00EC75B7" w:rsidRDefault="00000000">
            <w:pPr>
              <w:pStyle w:val="TableParagraph"/>
              <w:ind w:left="109" w:right="94"/>
              <w:jc w:val="both"/>
              <w:rPr>
                <w:rFonts w:ascii="Verdana" w:hAnsi="Verdana"/>
                <w:sz w:val="18"/>
                <w:szCs w:val="18"/>
              </w:rPr>
            </w:pPr>
            <w:r w:rsidRPr="00EC75B7">
              <w:rPr>
                <w:rFonts w:ascii="Verdana" w:hAnsi="Verdana"/>
                <w:sz w:val="18"/>
                <w:szCs w:val="18"/>
              </w:rPr>
              <w:t xml:space="preserve">Agglomerations and areas where maximum concentrations are not exceeded, but the recorded values are between the lower and upper assessment thresholds for </w:t>
            </w:r>
            <w:r w:rsidRPr="00EC75B7">
              <w:rPr>
                <w:rFonts w:ascii="Verdana" w:hAnsi="Verdana"/>
                <w:spacing w:val="-2"/>
                <w:sz w:val="18"/>
                <w:szCs w:val="18"/>
              </w:rPr>
              <w:t>public</w:t>
            </w:r>
            <w:r w:rsidRPr="00EC75B7">
              <w:rPr>
                <w:rFonts w:ascii="Verdana" w:hAnsi="Verdana"/>
                <w:sz w:val="18"/>
                <w:szCs w:val="18"/>
              </w:rPr>
              <w:t xml:space="preserve"> health</w:t>
            </w:r>
          </w:p>
        </w:tc>
        <w:tc>
          <w:tcPr>
            <w:tcW w:w="2479" w:type="dxa"/>
          </w:tcPr>
          <w:p w14:paraId="1624247A" w14:textId="77777777" w:rsidR="008715BE" w:rsidRPr="00EC75B7" w:rsidRDefault="00000000">
            <w:pPr>
              <w:pStyle w:val="TableParagraph"/>
              <w:tabs>
                <w:tab w:val="left" w:pos="1412"/>
                <w:tab w:val="left" w:pos="1486"/>
                <w:tab w:val="left" w:pos="2179"/>
              </w:tabs>
              <w:ind w:left="109" w:right="91"/>
              <w:jc w:val="both"/>
              <w:rPr>
                <w:rFonts w:ascii="Verdana" w:hAnsi="Verdana"/>
                <w:sz w:val="18"/>
                <w:szCs w:val="18"/>
              </w:rPr>
            </w:pPr>
            <w:r w:rsidRPr="00EC75B7">
              <w:rPr>
                <w:rFonts w:ascii="Verdana" w:hAnsi="Verdana"/>
                <w:sz w:val="18"/>
                <w:szCs w:val="18"/>
              </w:rPr>
              <w:t>Agglomerations and areas where no exceedances of the maximum concentrations set by Law No.</w:t>
            </w:r>
            <w:r w:rsidRPr="00EC75B7">
              <w:rPr>
                <w:rFonts w:ascii="Verdana" w:hAnsi="Verdana"/>
                <w:spacing w:val="-2"/>
                <w:sz w:val="18"/>
                <w:szCs w:val="18"/>
              </w:rPr>
              <w:t xml:space="preserve"> 104/2011 </w:t>
            </w:r>
            <w:r w:rsidRPr="00EC75B7">
              <w:rPr>
                <w:rFonts w:ascii="Verdana" w:hAnsi="Verdana"/>
                <w:sz w:val="18"/>
                <w:szCs w:val="18"/>
              </w:rPr>
              <w:t>are recorded</w:t>
            </w:r>
            <w:r w:rsidRPr="00EC75B7">
              <w:rPr>
                <w:rFonts w:ascii="Verdana" w:hAnsi="Verdana"/>
                <w:sz w:val="18"/>
                <w:szCs w:val="18"/>
              </w:rPr>
              <w:tab/>
            </w:r>
            <w:r w:rsidRPr="00EC75B7">
              <w:rPr>
                <w:rFonts w:ascii="Verdana" w:hAnsi="Verdana"/>
                <w:spacing w:val="-4"/>
                <w:sz w:val="18"/>
                <w:szCs w:val="18"/>
              </w:rPr>
              <w:t>but</w:t>
            </w:r>
            <w:r w:rsidRPr="00EC75B7">
              <w:rPr>
                <w:rFonts w:ascii="Verdana" w:hAnsi="Verdana"/>
                <w:sz w:val="18"/>
                <w:szCs w:val="18"/>
              </w:rPr>
              <w:tab/>
              <w:t xml:space="preserve"> exceedances of the upper assessment threshold</w:t>
            </w:r>
            <w:r w:rsidRPr="00EC75B7">
              <w:rPr>
                <w:rFonts w:ascii="Verdana" w:hAnsi="Verdana"/>
                <w:spacing w:val="80"/>
                <w:sz w:val="18"/>
                <w:szCs w:val="18"/>
              </w:rPr>
              <w:t xml:space="preserve">  </w:t>
            </w:r>
            <w:r w:rsidRPr="00EC75B7">
              <w:rPr>
                <w:rFonts w:ascii="Verdana" w:hAnsi="Verdana"/>
                <w:sz w:val="18"/>
                <w:szCs w:val="18"/>
              </w:rPr>
              <w:t xml:space="preserve"> </w:t>
            </w:r>
            <w:r w:rsidRPr="00EC75B7">
              <w:rPr>
                <w:rFonts w:ascii="Verdana" w:hAnsi="Verdana"/>
                <w:sz w:val="18"/>
                <w:szCs w:val="18"/>
              </w:rPr>
              <w:tab/>
              <w:t xml:space="preserve">for the protection of human health for relevant atmospheric </w:t>
            </w:r>
            <w:r w:rsidRPr="00EC75B7">
              <w:rPr>
                <w:rFonts w:ascii="Verdana" w:hAnsi="Verdana"/>
                <w:spacing w:val="-2"/>
                <w:sz w:val="18"/>
                <w:szCs w:val="18"/>
              </w:rPr>
              <w:t>pollutants</w:t>
            </w:r>
            <w:r w:rsidRPr="00EC75B7">
              <w:rPr>
                <w:rFonts w:ascii="Verdana" w:hAnsi="Verdana"/>
                <w:sz w:val="18"/>
                <w:szCs w:val="18"/>
              </w:rPr>
              <w:tab/>
            </w:r>
            <w:r w:rsidRPr="00EC75B7">
              <w:rPr>
                <w:rFonts w:ascii="Verdana" w:hAnsi="Verdana"/>
                <w:sz w:val="18"/>
                <w:szCs w:val="18"/>
              </w:rPr>
              <w:tab/>
              <w:t>relevant</w:t>
            </w:r>
            <w:r w:rsidRPr="00EC75B7">
              <w:rPr>
                <w:rFonts w:ascii="Verdana" w:hAnsi="Verdana"/>
                <w:spacing w:val="-2"/>
                <w:sz w:val="18"/>
                <w:szCs w:val="18"/>
              </w:rPr>
              <w:t xml:space="preserve"> atmospheric </w:t>
            </w:r>
            <w:r w:rsidRPr="00EC75B7">
              <w:rPr>
                <w:rFonts w:ascii="Verdana" w:hAnsi="Verdana"/>
                <w:sz w:val="18"/>
                <w:szCs w:val="18"/>
              </w:rPr>
              <w:t>pollutants</w:t>
            </w:r>
            <w:r w:rsidRPr="00EC75B7">
              <w:rPr>
                <w:rFonts w:ascii="Verdana" w:hAnsi="Verdana"/>
                <w:spacing w:val="42"/>
                <w:sz w:val="18"/>
                <w:szCs w:val="18"/>
              </w:rPr>
              <w:t xml:space="preserve">  </w:t>
            </w:r>
            <w:r w:rsidRPr="00EC75B7">
              <w:rPr>
                <w:rFonts w:ascii="Verdana" w:hAnsi="Verdana"/>
                <w:sz w:val="18"/>
                <w:szCs w:val="18"/>
              </w:rPr>
              <w:t xml:space="preserve"> for</w:t>
            </w:r>
            <w:r w:rsidRPr="00EC75B7">
              <w:rPr>
                <w:rFonts w:ascii="Verdana" w:hAnsi="Verdana"/>
                <w:spacing w:val="42"/>
                <w:sz w:val="18"/>
                <w:szCs w:val="18"/>
              </w:rPr>
              <w:t xml:space="preserve">  </w:t>
            </w:r>
            <w:r w:rsidRPr="00EC75B7">
              <w:rPr>
                <w:rFonts w:ascii="Verdana" w:hAnsi="Verdana"/>
                <w:spacing w:val="-2"/>
                <w:sz w:val="18"/>
                <w:szCs w:val="18"/>
              </w:rPr>
              <w:t xml:space="preserve"> the proposed project</w:t>
            </w:r>
          </w:p>
          <w:p w14:paraId="039828C0" w14:textId="77777777" w:rsidR="008715BE" w:rsidRPr="00EC75B7" w:rsidRDefault="00000000">
            <w:pPr>
              <w:pStyle w:val="TableParagraph"/>
              <w:spacing w:line="168" w:lineRule="exact"/>
              <w:ind w:left="109"/>
              <w:rPr>
                <w:rFonts w:ascii="Verdana" w:hAnsi="Verdana"/>
                <w:sz w:val="18"/>
                <w:szCs w:val="18"/>
              </w:rPr>
            </w:pPr>
            <w:r w:rsidRPr="00EC75B7">
              <w:rPr>
                <w:rFonts w:ascii="Verdana" w:hAnsi="Verdana"/>
                <w:spacing w:val="-2"/>
                <w:sz w:val="18"/>
                <w:szCs w:val="18"/>
              </w:rPr>
              <w:t>project</w:t>
            </w:r>
          </w:p>
        </w:tc>
        <w:tc>
          <w:tcPr>
            <w:tcW w:w="2926" w:type="dxa"/>
          </w:tcPr>
          <w:p w14:paraId="7F600BB6" w14:textId="77777777" w:rsidR="008715BE" w:rsidRPr="00EC75B7" w:rsidRDefault="00000000">
            <w:pPr>
              <w:pStyle w:val="TableParagraph"/>
              <w:ind w:left="110" w:right="92"/>
              <w:jc w:val="both"/>
              <w:rPr>
                <w:rFonts w:ascii="Verdana" w:hAnsi="Verdana"/>
                <w:sz w:val="18"/>
                <w:szCs w:val="18"/>
              </w:rPr>
            </w:pPr>
            <w:r w:rsidRPr="00EC75B7">
              <w:rPr>
                <w:rFonts w:ascii="Verdana" w:hAnsi="Verdana"/>
                <w:sz w:val="18"/>
                <w:szCs w:val="18"/>
              </w:rPr>
              <w:t xml:space="preserve">Agglomerations and areas where the maximum concentration values set by Law No. 104/2011 for one or more </w:t>
            </w:r>
            <w:r w:rsidRPr="00EC75B7">
              <w:rPr>
                <w:rFonts w:ascii="Verdana" w:hAnsi="Verdana"/>
                <w:spacing w:val="-2"/>
                <w:sz w:val="18"/>
                <w:szCs w:val="18"/>
              </w:rPr>
              <w:t>monitored</w:t>
            </w:r>
            <w:r w:rsidRPr="00EC75B7">
              <w:rPr>
                <w:rFonts w:ascii="Verdana" w:hAnsi="Verdana"/>
                <w:sz w:val="18"/>
                <w:szCs w:val="18"/>
              </w:rPr>
              <w:t xml:space="preserve"> pollutants are occasionally exceeded</w:t>
            </w:r>
          </w:p>
        </w:tc>
        <w:tc>
          <w:tcPr>
            <w:tcW w:w="3175" w:type="dxa"/>
          </w:tcPr>
          <w:p w14:paraId="22AE4DA3" w14:textId="77777777" w:rsidR="008715BE" w:rsidRPr="00EC75B7" w:rsidRDefault="00000000">
            <w:pPr>
              <w:pStyle w:val="TableParagraph"/>
              <w:ind w:left="110" w:right="92"/>
              <w:jc w:val="both"/>
              <w:rPr>
                <w:rFonts w:ascii="Verdana" w:hAnsi="Verdana"/>
                <w:sz w:val="18"/>
                <w:szCs w:val="18"/>
              </w:rPr>
            </w:pPr>
            <w:r w:rsidRPr="00EC75B7">
              <w:rPr>
                <w:rFonts w:ascii="Verdana" w:hAnsi="Verdana"/>
                <w:sz w:val="18"/>
                <w:szCs w:val="18"/>
              </w:rPr>
              <w:t>Agglomerations and areas where the maximum concentration values set by Law No. 204/2011 for one or more monitored pollutants are frequently exceeded</w:t>
            </w:r>
          </w:p>
        </w:tc>
      </w:tr>
      <w:tr w:rsidR="008715BE" w:rsidRPr="00EC75B7" w14:paraId="4DF665BE" w14:textId="77777777">
        <w:trPr>
          <w:trHeight w:val="777"/>
        </w:trPr>
        <w:tc>
          <w:tcPr>
            <w:tcW w:w="1608" w:type="dxa"/>
          </w:tcPr>
          <w:p w14:paraId="5C922DDC"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spacing w:val="-2"/>
                <w:sz w:val="18"/>
                <w:szCs w:val="18"/>
              </w:rPr>
              <w:t>Noise</w:t>
            </w:r>
          </w:p>
        </w:tc>
        <w:tc>
          <w:tcPr>
            <w:tcW w:w="2287" w:type="dxa"/>
          </w:tcPr>
          <w:p w14:paraId="6EF6407D" w14:textId="77777777" w:rsidR="008715BE" w:rsidRPr="00EC75B7" w:rsidRDefault="00000000">
            <w:pPr>
              <w:pStyle w:val="TableParagraph"/>
              <w:ind w:left="108" w:right="92"/>
              <w:jc w:val="both"/>
              <w:rPr>
                <w:rFonts w:ascii="Verdana" w:hAnsi="Verdana"/>
                <w:sz w:val="18"/>
                <w:szCs w:val="18"/>
              </w:rPr>
            </w:pPr>
            <w:r w:rsidRPr="00EC75B7">
              <w:rPr>
                <w:rFonts w:ascii="Verdana" w:hAnsi="Verdana"/>
                <w:sz w:val="18"/>
                <w:szCs w:val="18"/>
              </w:rPr>
              <w:t xml:space="preserve">Natural areas where there are no </w:t>
            </w:r>
            <w:r w:rsidRPr="00EC75B7">
              <w:rPr>
                <w:rFonts w:ascii="Verdana" w:hAnsi="Verdana"/>
                <w:spacing w:val="-2"/>
                <w:sz w:val="18"/>
                <w:szCs w:val="18"/>
              </w:rPr>
              <w:t>anthropogenic</w:t>
            </w:r>
            <w:r w:rsidRPr="00EC75B7">
              <w:rPr>
                <w:rFonts w:ascii="Verdana" w:hAnsi="Verdana"/>
                <w:sz w:val="18"/>
                <w:szCs w:val="18"/>
              </w:rPr>
              <w:t xml:space="preserve"> noise sources</w:t>
            </w:r>
          </w:p>
        </w:tc>
        <w:tc>
          <w:tcPr>
            <w:tcW w:w="2517" w:type="dxa"/>
          </w:tcPr>
          <w:p w14:paraId="7814E701" w14:textId="77777777" w:rsidR="008715BE" w:rsidRPr="00EC75B7" w:rsidRDefault="00000000" w:rsidP="00791B3F">
            <w:pPr>
              <w:pStyle w:val="TableParagraph"/>
              <w:ind w:left="109" w:right="94"/>
              <w:jc w:val="both"/>
              <w:rPr>
                <w:rFonts w:ascii="Verdana" w:hAnsi="Verdana"/>
                <w:sz w:val="18"/>
                <w:szCs w:val="18"/>
              </w:rPr>
            </w:pPr>
            <w:r w:rsidRPr="00EC75B7">
              <w:rPr>
                <w:rFonts w:ascii="Verdana" w:hAnsi="Verdana"/>
                <w:spacing w:val="-2"/>
                <w:sz w:val="18"/>
                <w:szCs w:val="18"/>
              </w:rPr>
              <w:t xml:space="preserve">Agglomerations and areas where </w:t>
            </w:r>
            <w:r w:rsidRPr="00EC75B7">
              <w:rPr>
                <w:rFonts w:ascii="Verdana" w:hAnsi="Verdana"/>
                <w:sz w:val="18"/>
                <w:szCs w:val="18"/>
              </w:rPr>
              <w:t>there are</w:t>
            </w:r>
            <w:r w:rsidRPr="00EC75B7">
              <w:rPr>
                <w:rFonts w:ascii="Verdana" w:hAnsi="Verdana"/>
                <w:spacing w:val="-2"/>
                <w:sz w:val="18"/>
                <w:szCs w:val="18"/>
              </w:rPr>
              <w:t xml:space="preserve"> no </w:t>
            </w:r>
            <w:r w:rsidRPr="00EC75B7">
              <w:rPr>
                <w:rFonts w:ascii="Verdana" w:hAnsi="Verdana"/>
                <w:sz w:val="18"/>
                <w:szCs w:val="18"/>
              </w:rPr>
              <w:t>exceedances of the</w:t>
            </w:r>
            <w:r w:rsidRPr="00EC75B7">
              <w:rPr>
                <w:rFonts w:ascii="Verdana" w:hAnsi="Verdana"/>
                <w:spacing w:val="52"/>
                <w:sz w:val="18"/>
                <w:szCs w:val="18"/>
              </w:rPr>
              <w:t xml:space="preserve">  </w:t>
            </w:r>
            <w:r w:rsidRPr="00EC75B7">
              <w:rPr>
                <w:rFonts w:ascii="Verdana" w:hAnsi="Verdana"/>
                <w:sz w:val="18"/>
                <w:szCs w:val="18"/>
              </w:rPr>
              <w:t xml:space="preserve"> level of</w:t>
            </w:r>
            <w:r w:rsidRPr="00EC75B7">
              <w:rPr>
                <w:rFonts w:ascii="Verdana" w:hAnsi="Verdana"/>
                <w:spacing w:val="53"/>
                <w:sz w:val="18"/>
                <w:szCs w:val="18"/>
              </w:rPr>
              <w:t xml:space="preserve">  </w:t>
            </w:r>
            <w:r w:rsidRPr="00EC75B7">
              <w:rPr>
                <w:rFonts w:ascii="Verdana" w:hAnsi="Verdana"/>
                <w:sz w:val="18"/>
                <w:szCs w:val="18"/>
              </w:rPr>
              <w:t xml:space="preserve"> noise</w:t>
            </w:r>
            <w:r w:rsidRPr="00EC75B7">
              <w:rPr>
                <w:rFonts w:ascii="Verdana" w:hAnsi="Verdana"/>
                <w:spacing w:val="53"/>
                <w:sz w:val="18"/>
                <w:szCs w:val="18"/>
              </w:rPr>
              <w:t xml:space="preserve">  </w:t>
            </w:r>
            <w:r w:rsidRPr="00EC75B7">
              <w:rPr>
                <w:rFonts w:ascii="Verdana" w:hAnsi="Verdana"/>
                <w:spacing w:val="-5"/>
                <w:sz w:val="18"/>
                <w:szCs w:val="18"/>
              </w:rPr>
              <w:t xml:space="preserve"> during</w:t>
            </w:r>
          </w:p>
          <w:p w14:paraId="54EF0B45" w14:textId="77777777" w:rsidR="008715BE" w:rsidRPr="00EC75B7" w:rsidRDefault="00000000" w:rsidP="00791B3F">
            <w:pPr>
              <w:pStyle w:val="TableParagraph"/>
              <w:spacing w:line="172" w:lineRule="exact"/>
              <w:ind w:left="109"/>
              <w:jc w:val="both"/>
              <w:rPr>
                <w:rFonts w:ascii="Verdana" w:hAnsi="Verdana"/>
                <w:sz w:val="18"/>
                <w:szCs w:val="18"/>
              </w:rPr>
            </w:pPr>
            <w:r w:rsidRPr="00EC75B7">
              <w:rPr>
                <w:rFonts w:ascii="Verdana" w:hAnsi="Verdana"/>
                <w:sz w:val="18"/>
                <w:szCs w:val="18"/>
              </w:rPr>
              <w:t xml:space="preserve">during the day and night and </w:t>
            </w:r>
            <w:r w:rsidRPr="00EC75B7">
              <w:rPr>
                <w:rFonts w:ascii="Verdana" w:hAnsi="Verdana"/>
                <w:spacing w:val="-5"/>
                <w:sz w:val="18"/>
                <w:szCs w:val="18"/>
              </w:rPr>
              <w:t>no</w:t>
            </w:r>
          </w:p>
        </w:tc>
        <w:tc>
          <w:tcPr>
            <w:tcW w:w="2479" w:type="dxa"/>
          </w:tcPr>
          <w:p w14:paraId="469885C7" w14:textId="109785F5" w:rsidR="008715BE" w:rsidRPr="00EC75B7" w:rsidRDefault="00000000" w:rsidP="00791B3F">
            <w:pPr>
              <w:pStyle w:val="TableParagraph"/>
              <w:ind w:left="109" w:right="91"/>
              <w:jc w:val="both"/>
              <w:rPr>
                <w:rFonts w:ascii="Verdana" w:hAnsi="Verdana"/>
                <w:sz w:val="18"/>
                <w:szCs w:val="18"/>
              </w:rPr>
            </w:pPr>
            <w:r w:rsidRPr="00EC75B7">
              <w:rPr>
                <w:rFonts w:ascii="Verdana" w:hAnsi="Verdana"/>
                <w:spacing w:val="-5"/>
                <w:sz w:val="18"/>
                <w:szCs w:val="18"/>
              </w:rPr>
              <w:t>A</w:t>
            </w:r>
            <w:r w:rsidRPr="00EC75B7">
              <w:rPr>
                <w:rFonts w:ascii="Verdana" w:hAnsi="Verdana"/>
                <w:sz w:val="18"/>
                <w:szCs w:val="18"/>
              </w:rPr>
              <w:t>gglomerations and areas where noise levels are not exceeded</w:t>
            </w:r>
            <w:r w:rsidR="00791B3F">
              <w:rPr>
                <w:rFonts w:ascii="Verdana" w:hAnsi="Verdana"/>
                <w:sz w:val="18"/>
                <w:szCs w:val="18"/>
              </w:rPr>
              <w:t xml:space="preserve"> </w:t>
            </w:r>
            <w:r w:rsidRPr="00EC75B7">
              <w:rPr>
                <w:rFonts w:ascii="Verdana" w:hAnsi="Verdana"/>
                <w:sz w:val="18"/>
                <w:szCs w:val="18"/>
              </w:rPr>
              <w:t xml:space="preserve">during the day and night </w:t>
            </w:r>
            <w:r w:rsidRPr="00EC75B7">
              <w:rPr>
                <w:rFonts w:ascii="Verdana" w:hAnsi="Verdana"/>
                <w:spacing w:val="-5"/>
                <w:sz w:val="18"/>
                <w:szCs w:val="18"/>
              </w:rPr>
              <w:t>but</w:t>
            </w:r>
          </w:p>
        </w:tc>
        <w:tc>
          <w:tcPr>
            <w:tcW w:w="2926" w:type="dxa"/>
          </w:tcPr>
          <w:p w14:paraId="6450F470" w14:textId="77777777" w:rsidR="008715BE" w:rsidRPr="00EC75B7" w:rsidRDefault="00000000">
            <w:pPr>
              <w:pStyle w:val="TableParagraph"/>
              <w:ind w:left="110" w:right="96"/>
              <w:jc w:val="both"/>
              <w:rPr>
                <w:rFonts w:ascii="Verdana" w:hAnsi="Verdana"/>
                <w:sz w:val="18"/>
                <w:szCs w:val="18"/>
              </w:rPr>
            </w:pPr>
            <w:r w:rsidRPr="00EC75B7">
              <w:rPr>
                <w:rFonts w:ascii="Verdana" w:hAnsi="Verdana"/>
                <w:sz w:val="18"/>
                <w:szCs w:val="18"/>
              </w:rPr>
              <w:t xml:space="preserve">Agglomerations and areas where noise levels are occasionally exceeded during the day </w:t>
            </w:r>
            <w:r w:rsidRPr="00EC75B7">
              <w:rPr>
                <w:rFonts w:ascii="Verdana" w:hAnsi="Verdana"/>
                <w:spacing w:val="-12"/>
                <w:sz w:val="18"/>
                <w:szCs w:val="18"/>
              </w:rPr>
              <w:t>and</w:t>
            </w:r>
          </w:p>
          <w:p w14:paraId="10BE6207" w14:textId="77777777" w:rsidR="008715BE" w:rsidRPr="00EC75B7" w:rsidRDefault="00000000">
            <w:pPr>
              <w:pStyle w:val="TableParagraph"/>
              <w:spacing w:line="172" w:lineRule="exact"/>
              <w:ind w:left="110"/>
              <w:rPr>
                <w:rFonts w:ascii="Verdana" w:hAnsi="Verdana"/>
                <w:sz w:val="18"/>
                <w:szCs w:val="18"/>
              </w:rPr>
            </w:pPr>
            <w:r w:rsidRPr="00EC75B7">
              <w:rPr>
                <w:rFonts w:ascii="Verdana" w:hAnsi="Verdana"/>
                <w:spacing w:val="-2"/>
                <w:sz w:val="18"/>
                <w:szCs w:val="18"/>
              </w:rPr>
              <w:t>night</w:t>
            </w:r>
          </w:p>
        </w:tc>
        <w:tc>
          <w:tcPr>
            <w:tcW w:w="3175" w:type="dxa"/>
          </w:tcPr>
          <w:p w14:paraId="72C36B40" w14:textId="77777777" w:rsidR="008715BE" w:rsidRPr="00EC75B7" w:rsidRDefault="00000000">
            <w:pPr>
              <w:pStyle w:val="TableParagraph"/>
              <w:ind w:left="110" w:right="94"/>
              <w:jc w:val="both"/>
              <w:rPr>
                <w:rFonts w:ascii="Verdana" w:hAnsi="Verdana"/>
                <w:sz w:val="18"/>
                <w:szCs w:val="18"/>
              </w:rPr>
            </w:pPr>
            <w:r w:rsidRPr="00EC75B7">
              <w:rPr>
                <w:rFonts w:ascii="Verdana" w:hAnsi="Verdana"/>
                <w:sz w:val="18"/>
                <w:szCs w:val="18"/>
              </w:rPr>
              <w:t>Agglomerations and areas where noise levels are frequently exceeded during the day and at night</w:t>
            </w:r>
          </w:p>
        </w:tc>
      </w:tr>
    </w:tbl>
    <w:p w14:paraId="00AA0EA8" w14:textId="77777777" w:rsidR="008715BE" w:rsidRPr="00EC75B7" w:rsidRDefault="008715BE">
      <w:pPr>
        <w:pStyle w:val="TableParagraph"/>
        <w:jc w:val="both"/>
        <w:rPr>
          <w:rFonts w:ascii="Verdana" w:hAnsi="Verdana"/>
          <w:sz w:val="18"/>
          <w:szCs w:val="18"/>
        </w:rPr>
        <w:sectPr w:rsidR="008715BE" w:rsidRPr="00EC75B7">
          <w:headerReference w:type="default" r:id="rId282"/>
          <w:footerReference w:type="default" r:id="rId283"/>
          <w:pgSz w:w="16850" w:h="11910" w:orient="landscape"/>
          <w:pgMar w:top="1220" w:right="283" w:bottom="1262" w:left="1417" w:header="834" w:footer="824" w:gutter="0"/>
          <w:cols w:space="708"/>
        </w:sectPr>
      </w:pP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8715BE" w:rsidRPr="00EC75B7" w14:paraId="7101C268" w14:textId="77777777">
        <w:trPr>
          <w:trHeight w:val="450"/>
        </w:trPr>
        <w:tc>
          <w:tcPr>
            <w:tcW w:w="1608" w:type="dxa"/>
            <w:vMerge w:val="restart"/>
            <w:shd w:val="clear" w:color="auto" w:fill="00AFEF"/>
          </w:tcPr>
          <w:p w14:paraId="1700F456" w14:textId="77777777" w:rsidR="008715BE" w:rsidRPr="00EC75B7" w:rsidRDefault="008715BE">
            <w:pPr>
              <w:pStyle w:val="TableParagraph"/>
              <w:spacing w:before="48"/>
              <w:rPr>
                <w:rFonts w:ascii="Verdana" w:hAnsi="Verdana"/>
                <w:b/>
                <w:sz w:val="18"/>
                <w:szCs w:val="18"/>
              </w:rPr>
            </w:pPr>
          </w:p>
          <w:p w14:paraId="1AAA4EA7" w14:textId="77777777" w:rsidR="008715BE" w:rsidRPr="00EC75B7" w:rsidRDefault="00000000">
            <w:pPr>
              <w:pStyle w:val="TableParagraph"/>
              <w:ind w:left="525" w:right="372" w:hanging="144"/>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factor</w:t>
            </w:r>
          </w:p>
        </w:tc>
        <w:tc>
          <w:tcPr>
            <w:tcW w:w="13384" w:type="dxa"/>
            <w:gridSpan w:val="5"/>
            <w:shd w:val="clear" w:color="auto" w:fill="00AFEF"/>
          </w:tcPr>
          <w:p w14:paraId="12981F9F" w14:textId="77777777" w:rsidR="008715BE" w:rsidRPr="00EC75B7" w:rsidRDefault="00000000">
            <w:pPr>
              <w:pStyle w:val="TableParagraph"/>
              <w:spacing w:before="126"/>
              <w:ind w:left="10"/>
              <w:jc w:val="center"/>
              <w:rPr>
                <w:rFonts w:ascii="Verdana" w:hAnsi="Verdana"/>
                <w:b/>
                <w:sz w:val="18"/>
                <w:szCs w:val="18"/>
              </w:rPr>
            </w:pPr>
            <w:r w:rsidRPr="00EC75B7">
              <w:rPr>
                <w:rFonts w:ascii="Verdana" w:hAnsi="Verdana"/>
                <w:b/>
                <w:color w:val="FFFFFF"/>
                <w:spacing w:val="-2"/>
                <w:sz w:val="18"/>
                <w:szCs w:val="18"/>
              </w:rPr>
              <w:t xml:space="preserve">Sensitivity </w:t>
            </w:r>
            <w:r w:rsidRPr="00EC75B7">
              <w:rPr>
                <w:rFonts w:ascii="Verdana" w:hAnsi="Verdana"/>
                <w:b/>
                <w:color w:val="FFFFFF"/>
                <w:sz w:val="18"/>
                <w:szCs w:val="18"/>
              </w:rPr>
              <w:t>classes</w:t>
            </w:r>
          </w:p>
        </w:tc>
      </w:tr>
      <w:tr w:rsidR="008715BE" w:rsidRPr="00EC75B7" w14:paraId="5A38C9F8" w14:textId="77777777">
        <w:trPr>
          <w:trHeight w:val="417"/>
        </w:trPr>
        <w:tc>
          <w:tcPr>
            <w:tcW w:w="1608" w:type="dxa"/>
            <w:vMerge/>
            <w:tcBorders>
              <w:top w:val="nil"/>
            </w:tcBorders>
            <w:shd w:val="clear" w:color="auto" w:fill="00AFEF"/>
          </w:tcPr>
          <w:p w14:paraId="6B8BF558" w14:textId="77777777" w:rsidR="008715BE" w:rsidRPr="00EC75B7" w:rsidRDefault="008715BE">
            <w:pPr>
              <w:rPr>
                <w:rFonts w:ascii="Verdana" w:hAnsi="Verdana"/>
                <w:sz w:val="18"/>
                <w:szCs w:val="18"/>
              </w:rPr>
            </w:pPr>
          </w:p>
        </w:tc>
        <w:tc>
          <w:tcPr>
            <w:tcW w:w="2287" w:type="dxa"/>
            <w:shd w:val="clear" w:color="auto" w:fill="E1EED9"/>
          </w:tcPr>
          <w:p w14:paraId="7350263B" w14:textId="77777777" w:rsidR="008715BE" w:rsidRPr="00EC75B7" w:rsidRDefault="00000000">
            <w:pPr>
              <w:pStyle w:val="TableParagraph"/>
              <w:spacing w:before="109"/>
              <w:ind w:left="614"/>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low</w:t>
            </w:r>
          </w:p>
        </w:tc>
        <w:tc>
          <w:tcPr>
            <w:tcW w:w="2517" w:type="dxa"/>
            <w:shd w:val="clear" w:color="auto" w:fill="528135"/>
          </w:tcPr>
          <w:p w14:paraId="64D7899C" w14:textId="77777777" w:rsidR="008715BE" w:rsidRPr="00EC75B7" w:rsidRDefault="00000000">
            <w:pPr>
              <w:pStyle w:val="TableParagraph"/>
              <w:spacing w:before="109"/>
              <w:ind w:left="11"/>
              <w:jc w:val="center"/>
              <w:rPr>
                <w:rFonts w:ascii="Verdana" w:hAnsi="Verdana"/>
                <w:b/>
                <w:sz w:val="18"/>
                <w:szCs w:val="18"/>
              </w:rPr>
            </w:pPr>
            <w:r w:rsidRPr="00EC75B7">
              <w:rPr>
                <w:rFonts w:ascii="Verdana" w:hAnsi="Verdana"/>
                <w:b/>
                <w:spacing w:val="-4"/>
                <w:sz w:val="18"/>
                <w:szCs w:val="18"/>
              </w:rPr>
              <w:t>Low</w:t>
            </w:r>
          </w:p>
        </w:tc>
        <w:tc>
          <w:tcPr>
            <w:tcW w:w="2479" w:type="dxa"/>
            <w:shd w:val="clear" w:color="auto" w:fill="FFFF00"/>
          </w:tcPr>
          <w:p w14:paraId="3BC72054" w14:textId="77777777" w:rsidR="008715BE" w:rsidRPr="00EC75B7" w:rsidRDefault="00000000">
            <w:pPr>
              <w:pStyle w:val="TableParagraph"/>
              <w:spacing w:before="109"/>
              <w:ind w:left="817"/>
              <w:rPr>
                <w:rFonts w:ascii="Verdana" w:hAnsi="Verdana"/>
                <w:b/>
                <w:sz w:val="18"/>
                <w:szCs w:val="18"/>
              </w:rPr>
            </w:pPr>
            <w:r w:rsidRPr="00EC75B7">
              <w:rPr>
                <w:rFonts w:ascii="Verdana" w:hAnsi="Verdana"/>
                <w:b/>
                <w:spacing w:val="-2"/>
                <w:sz w:val="18"/>
                <w:szCs w:val="18"/>
              </w:rPr>
              <w:t>Moderate</w:t>
            </w:r>
          </w:p>
        </w:tc>
        <w:tc>
          <w:tcPr>
            <w:tcW w:w="2926" w:type="dxa"/>
            <w:shd w:val="clear" w:color="auto" w:fill="F7C9AC"/>
          </w:tcPr>
          <w:p w14:paraId="61301D9E" w14:textId="77777777" w:rsidR="008715BE" w:rsidRPr="00EC75B7" w:rsidRDefault="00000000">
            <w:pPr>
              <w:pStyle w:val="TableParagraph"/>
              <w:spacing w:before="109"/>
              <w:ind w:left="14"/>
              <w:jc w:val="center"/>
              <w:rPr>
                <w:rFonts w:ascii="Verdana" w:hAnsi="Verdana"/>
                <w:b/>
                <w:sz w:val="18"/>
                <w:szCs w:val="18"/>
              </w:rPr>
            </w:pPr>
            <w:r w:rsidRPr="00EC75B7">
              <w:rPr>
                <w:rFonts w:ascii="Verdana" w:hAnsi="Verdana"/>
                <w:b/>
                <w:spacing w:val="-4"/>
                <w:sz w:val="18"/>
                <w:szCs w:val="18"/>
              </w:rPr>
              <w:t>High</w:t>
            </w:r>
          </w:p>
        </w:tc>
        <w:tc>
          <w:tcPr>
            <w:tcW w:w="3175" w:type="dxa"/>
            <w:shd w:val="clear" w:color="auto" w:fill="FF0000"/>
          </w:tcPr>
          <w:p w14:paraId="0DED0DD8" w14:textId="77777777" w:rsidR="008715BE" w:rsidRPr="00EC75B7" w:rsidRDefault="00000000">
            <w:pPr>
              <w:pStyle w:val="TableParagraph"/>
              <w:spacing w:before="109"/>
              <w:ind w:left="1041"/>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r>
      <w:tr w:rsidR="008715BE" w:rsidRPr="00EC75B7" w14:paraId="7215BAA8" w14:textId="77777777">
        <w:trPr>
          <w:trHeight w:val="582"/>
        </w:trPr>
        <w:tc>
          <w:tcPr>
            <w:tcW w:w="1608" w:type="dxa"/>
          </w:tcPr>
          <w:p w14:paraId="4FA91944" w14:textId="77777777" w:rsidR="008715BE" w:rsidRPr="00EC75B7" w:rsidRDefault="008715BE">
            <w:pPr>
              <w:pStyle w:val="TableParagraph"/>
              <w:rPr>
                <w:rFonts w:ascii="Verdana" w:hAnsi="Verdana"/>
                <w:sz w:val="18"/>
                <w:szCs w:val="18"/>
              </w:rPr>
            </w:pPr>
          </w:p>
        </w:tc>
        <w:tc>
          <w:tcPr>
            <w:tcW w:w="2287" w:type="dxa"/>
          </w:tcPr>
          <w:p w14:paraId="253B2E4E" w14:textId="77777777" w:rsidR="008715BE" w:rsidRPr="00EC75B7" w:rsidRDefault="008715BE">
            <w:pPr>
              <w:pStyle w:val="TableParagraph"/>
              <w:rPr>
                <w:rFonts w:ascii="Verdana" w:hAnsi="Verdana"/>
                <w:sz w:val="18"/>
                <w:szCs w:val="18"/>
              </w:rPr>
            </w:pPr>
          </w:p>
        </w:tc>
        <w:tc>
          <w:tcPr>
            <w:tcW w:w="2517" w:type="dxa"/>
          </w:tcPr>
          <w:p w14:paraId="6A6C2FB0" w14:textId="77777777" w:rsidR="008715BE" w:rsidRPr="00EC75B7" w:rsidRDefault="00000000">
            <w:pPr>
              <w:pStyle w:val="TableParagraph"/>
              <w:ind w:left="109"/>
              <w:rPr>
                <w:rFonts w:ascii="Verdana" w:hAnsi="Verdana"/>
                <w:sz w:val="18"/>
                <w:szCs w:val="18"/>
              </w:rPr>
            </w:pPr>
            <w:r w:rsidRPr="00EC75B7">
              <w:rPr>
                <w:rFonts w:ascii="Verdana" w:hAnsi="Verdana"/>
                <w:sz w:val="18"/>
                <w:szCs w:val="18"/>
              </w:rPr>
              <w:t>There is a prospect of being exceeded in the short term (</w:t>
            </w:r>
            <w:r w:rsidRPr="00EC75B7">
              <w:rPr>
                <w:rFonts w:ascii="Verdana" w:hAnsi="Verdana"/>
                <w:spacing w:val="-10"/>
                <w:sz w:val="18"/>
                <w:szCs w:val="18"/>
              </w:rPr>
              <w:t>1-3</w:t>
            </w:r>
          </w:p>
          <w:p w14:paraId="536E6C78" w14:textId="77777777" w:rsidR="008715BE" w:rsidRPr="00EC75B7" w:rsidRDefault="00000000">
            <w:pPr>
              <w:pStyle w:val="TableParagraph"/>
              <w:spacing w:line="174" w:lineRule="exact"/>
              <w:ind w:left="109"/>
              <w:rPr>
                <w:rFonts w:ascii="Verdana" w:hAnsi="Verdana"/>
                <w:sz w:val="18"/>
                <w:szCs w:val="18"/>
              </w:rPr>
            </w:pPr>
            <w:r w:rsidRPr="00EC75B7">
              <w:rPr>
                <w:rFonts w:ascii="Verdana" w:hAnsi="Verdana"/>
                <w:spacing w:val="-4"/>
                <w:sz w:val="18"/>
                <w:szCs w:val="18"/>
              </w:rPr>
              <w:t>years)</w:t>
            </w:r>
          </w:p>
        </w:tc>
        <w:tc>
          <w:tcPr>
            <w:tcW w:w="2479" w:type="dxa"/>
          </w:tcPr>
          <w:p w14:paraId="4E442942" w14:textId="77777777" w:rsidR="008715BE" w:rsidRPr="00EC75B7" w:rsidRDefault="00000000">
            <w:pPr>
              <w:pStyle w:val="TableParagraph"/>
              <w:ind w:left="109" w:right="90"/>
              <w:rPr>
                <w:rFonts w:ascii="Verdana" w:hAnsi="Verdana"/>
                <w:sz w:val="18"/>
                <w:szCs w:val="18"/>
              </w:rPr>
            </w:pPr>
            <w:r w:rsidRPr="00EC75B7">
              <w:rPr>
                <w:rFonts w:ascii="Verdana" w:hAnsi="Verdana"/>
                <w:sz w:val="18"/>
                <w:szCs w:val="18"/>
              </w:rPr>
              <w:t xml:space="preserve">There is a prospect of being exceeded in the short term </w:t>
            </w:r>
            <w:r w:rsidRPr="00EC75B7">
              <w:rPr>
                <w:rFonts w:ascii="Verdana" w:hAnsi="Verdana"/>
                <w:spacing w:val="-5"/>
                <w:sz w:val="18"/>
                <w:szCs w:val="18"/>
              </w:rPr>
              <w:t>(1-</w:t>
            </w:r>
          </w:p>
          <w:p w14:paraId="27EFB7DF" w14:textId="77777777" w:rsidR="008715BE" w:rsidRPr="00EC75B7" w:rsidRDefault="00000000">
            <w:pPr>
              <w:pStyle w:val="TableParagraph"/>
              <w:spacing w:line="174" w:lineRule="exact"/>
              <w:ind w:left="109"/>
              <w:rPr>
                <w:rFonts w:ascii="Verdana" w:hAnsi="Verdana"/>
                <w:sz w:val="18"/>
                <w:szCs w:val="18"/>
              </w:rPr>
            </w:pPr>
            <w:r w:rsidRPr="00EC75B7">
              <w:rPr>
                <w:rFonts w:ascii="Verdana" w:hAnsi="Verdana"/>
                <w:sz w:val="18"/>
                <w:szCs w:val="18"/>
              </w:rPr>
              <w:t xml:space="preserve">3 </w:t>
            </w:r>
            <w:r w:rsidRPr="00EC75B7">
              <w:rPr>
                <w:rFonts w:ascii="Verdana" w:hAnsi="Verdana"/>
                <w:spacing w:val="-4"/>
                <w:sz w:val="18"/>
                <w:szCs w:val="18"/>
              </w:rPr>
              <w:t>years)</w:t>
            </w:r>
          </w:p>
        </w:tc>
        <w:tc>
          <w:tcPr>
            <w:tcW w:w="2926" w:type="dxa"/>
          </w:tcPr>
          <w:p w14:paraId="326DB942" w14:textId="77777777" w:rsidR="008715BE" w:rsidRPr="00EC75B7" w:rsidRDefault="008715BE">
            <w:pPr>
              <w:pStyle w:val="TableParagraph"/>
              <w:rPr>
                <w:rFonts w:ascii="Verdana" w:hAnsi="Verdana"/>
                <w:sz w:val="18"/>
                <w:szCs w:val="18"/>
              </w:rPr>
            </w:pPr>
          </w:p>
        </w:tc>
        <w:tc>
          <w:tcPr>
            <w:tcW w:w="3175" w:type="dxa"/>
          </w:tcPr>
          <w:p w14:paraId="3668EB40" w14:textId="77777777" w:rsidR="008715BE" w:rsidRPr="00EC75B7" w:rsidRDefault="008715BE">
            <w:pPr>
              <w:pStyle w:val="TableParagraph"/>
              <w:rPr>
                <w:rFonts w:ascii="Verdana" w:hAnsi="Verdana"/>
                <w:sz w:val="18"/>
                <w:szCs w:val="18"/>
              </w:rPr>
            </w:pPr>
          </w:p>
        </w:tc>
      </w:tr>
      <w:tr w:rsidR="008715BE" w:rsidRPr="00EC75B7" w14:paraId="0E3754A1" w14:textId="77777777">
        <w:trPr>
          <w:trHeight w:val="971"/>
        </w:trPr>
        <w:tc>
          <w:tcPr>
            <w:tcW w:w="1608" w:type="dxa"/>
          </w:tcPr>
          <w:p w14:paraId="46A6B904"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spacing w:val="-2"/>
                <w:sz w:val="18"/>
                <w:szCs w:val="18"/>
              </w:rPr>
              <w:t>Soil/subsoil</w:t>
            </w:r>
          </w:p>
        </w:tc>
        <w:tc>
          <w:tcPr>
            <w:tcW w:w="2287" w:type="dxa"/>
          </w:tcPr>
          <w:p w14:paraId="05149D35" w14:textId="2D42C97C" w:rsidR="008715BE" w:rsidRPr="00EC75B7" w:rsidRDefault="00000000">
            <w:pPr>
              <w:pStyle w:val="TableParagraph"/>
              <w:tabs>
                <w:tab w:val="left" w:pos="787"/>
                <w:tab w:val="left" w:pos="1900"/>
              </w:tabs>
              <w:ind w:left="108" w:right="92"/>
              <w:rPr>
                <w:rFonts w:ascii="Verdana" w:hAnsi="Verdana"/>
                <w:sz w:val="18"/>
                <w:szCs w:val="18"/>
              </w:rPr>
            </w:pPr>
            <w:r w:rsidRPr="00EC75B7">
              <w:rPr>
                <w:rFonts w:ascii="Verdana" w:hAnsi="Verdana"/>
                <w:spacing w:val="-4"/>
                <w:sz w:val="18"/>
                <w:szCs w:val="18"/>
              </w:rPr>
              <w:t>Industrial</w:t>
            </w:r>
            <w:r w:rsidR="00791B3F">
              <w:rPr>
                <w:rFonts w:ascii="Verdana" w:hAnsi="Verdana"/>
                <w:sz w:val="18"/>
                <w:szCs w:val="18"/>
              </w:rPr>
              <w:t xml:space="preserve"> </w:t>
            </w:r>
            <w:r w:rsidRPr="00EC75B7">
              <w:rPr>
                <w:rFonts w:ascii="Verdana" w:hAnsi="Verdana"/>
                <w:spacing w:val="-4"/>
                <w:sz w:val="18"/>
                <w:szCs w:val="18"/>
              </w:rPr>
              <w:t xml:space="preserve">or </w:t>
            </w:r>
            <w:r w:rsidRPr="00EC75B7">
              <w:rPr>
                <w:rFonts w:ascii="Verdana" w:hAnsi="Verdana"/>
                <w:sz w:val="18"/>
                <w:szCs w:val="18"/>
              </w:rPr>
              <w:t>heavily urbanized</w:t>
            </w:r>
          </w:p>
          <w:p w14:paraId="02DFAA10" w14:textId="77777777" w:rsidR="008715BE" w:rsidRPr="00EC75B7" w:rsidRDefault="00000000">
            <w:pPr>
              <w:pStyle w:val="TableParagraph"/>
              <w:spacing w:before="173" w:line="194" w:lineRule="exact"/>
              <w:ind w:left="108"/>
              <w:rPr>
                <w:rFonts w:ascii="Verdana" w:hAnsi="Verdana"/>
                <w:sz w:val="18"/>
                <w:szCs w:val="18"/>
              </w:rPr>
            </w:pPr>
            <w:r w:rsidRPr="00EC75B7">
              <w:rPr>
                <w:rFonts w:ascii="Verdana" w:hAnsi="Verdana"/>
                <w:spacing w:val="-2"/>
                <w:sz w:val="18"/>
                <w:szCs w:val="18"/>
              </w:rPr>
              <w:t>Areas without high geological interest</w:t>
            </w:r>
          </w:p>
        </w:tc>
        <w:tc>
          <w:tcPr>
            <w:tcW w:w="2517" w:type="dxa"/>
          </w:tcPr>
          <w:p w14:paraId="598BD6F1" w14:textId="77777777" w:rsidR="008715BE" w:rsidRPr="00EC75B7" w:rsidRDefault="00000000">
            <w:pPr>
              <w:pStyle w:val="TableParagraph"/>
              <w:tabs>
                <w:tab w:val="left" w:pos="1568"/>
              </w:tabs>
              <w:ind w:left="109" w:right="93"/>
              <w:jc w:val="both"/>
              <w:rPr>
                <w:rFonts w:ascii="Verdana" w:hAnsi="Verdana"/>
                <w:sz w:val="18"/>
                <w:szCs w:val="18"/>
              </w:rPr>
            </w:pPr>
            <w:r w:rsidRPr="00EC75B7">
              <w:rPr>
                <w:rFonts w:ascii="Verdana" w:hAnsi="Verdana"/>
                <w:sz w:val="18"/>
                <w:szCs w:val="18"/>
              </w:rPr>
              <w:t xml:space="preserve">Land used for </w:t>
            </w:r>
            <w:r w:rsidRPr="00EC75B7">
              <w:rPr>
                <w:rFonts w:ascii="Verdana" w:hAnsi="Verdana"/>
                <w:spacing w:val="-2"/>
                <w:sz w:val="18"/>
                <w:szCs w:val="18"/>
              </w:rPr>
              <w:t>grazing</w:t>
            </w:r>
            <w:r w:rsidRPr="00EC75B7">
              <w:rPr>
                <w:rFonts w:ascii="Verdana" w:hAnsi="Verdana"/>
                <w:sz w:val="18"/>
                <w:szCs w:val="18"/>
              </w:rPr>
              <w:tab/>
            </w:r>
            <w:r w:rsidRPr="00EC75B7">
              <w:rPr>
                <w:rFonts w:ascii="Verdana" w:hAnsi="Verdana"/>
                <w:spacing w:val="-2"/>
                <w:sz w:val="18"/>
                <w:szCs w:val="18"/>
              </w:rPr>
              <w:t>domestic animals</w:t>
            </w:r>
          </w:p>
          <w:p w14:paraId="64C1BF0E" w14:textId="77777777" w:rsidR="008715BE" w:rsidRPr="00EC75B7" w:rsidRDefault="00000000">
            <w:pPr>
              <w:pStyle w:val="TableParagraph"/>
              <w:spacing w:line="192" w:lineRule="exact"/>
              <w:ind w:left="109"/>
              <w:rPr>
                <w:rFonts w:ascii="Verdana" w:hAnsi="Verdana"/>
                <w:sz w:val="18"/>
                <w:szCs w:val="18"/>
              </w:rPr>
            </w:pPr>
            <w:r w:rsidRPr="00EC75B7">
              <w:rPr>
                <w:rFonts w:ascii="Verdana" w:hAnsi="Verdana"/>
                <w:sz w:val="18"/>
                <w:szCs w:val="18"/>
              </w:rPr>
              <w:t xml:space="preserve">Arable land </w:t>
            </w:r>
            <w:r w:rsidRPr="00EC75B7">
              <w:rPr>
                <w:rFonts w:ascii="Verdana" w:hAnsi="Verdana"/>
                <w:spacing w:val="-2"/>
                <w:sz w:val="18"/>
                <w:szCs w:val="18"/>
              </w:rPr>
              <w:t>along</w:t>
            </w:r>
          </w:p>
          <w:p w14:paraId="77CB7551" w14:textId="77777777" w:rsidR="008715BE" w:rsidRPr="00EC75B7" w:rsidRDefault="00000000">
            <w:pPr>
              <w:pStyle w:val="TableParagraph"/>
              <w:spacing w:line="175" w:lineRule="exact"/>
              <w:ind w:left="109"/>
              <w:rPr>
                <w:rFonts w:ascii="Verdana" w:hAnsi="Verdana"/>
                <w:sz w:val="18"/>
                <w:szCs w:val="18"/>
              </w:rPr>
            </w:pPr>
            <w:r w:rsidRPr="00EC75B7">
              <w:rPr>
                <w:rFonts w:ascii="Verdana" w:hAnsi="Verdana"/>
                <w:spacing w:val="-2"/>
                <w:sz w:val="18"/>
                <w:szCs w:val="18"/>
              </w:rPr>
              <w:t>rivers</w:t>
            </w:r>
          </w:p>
        </w:tc>
        <w:tc>
          <w:tcPr>
            <w:tcW w:w="2479" w:type="dxa"/>
          </w:tcPr>
          <w:p w14:paraId="5360A095" w14:textId="21E43AA5" w:rsidR="008715BE" w:rsidRPr="00EC75B7" w:rsidRDefault="00000000">
            <w:pPr>
              <w:pStyle w:val="TableParagraph"/>
              <w:tabs>
                <w:tab w:val="left" w:pos="1174"/>
                <w:tab w:val="left" w:pos="1603"/>
                <w:tab w:val="left" w:pos="2189"/>
              </w:tabs>
              <w:ind w:left="109" w:right="91"/>
              <w:jc w:val="both"/>
              <w:rPr>
                <w:rFonts w:ascii="Verdana" w:hAnsi="Verdana"/>
                <w:sz w:val="18"/>
                <w:szCs w:val="18"/>
              </w:rPr>
            </w:pPr>
            <w:r w:rsidRPr="00EC75B7">
              <w:rPr>
                <w:rFonts w:ascii="Verdana" w:hAnsi="Verdana"/>
                <w:spacing w:val="-2"/>
                <w:sz w:val="18"/>
                <w:szCs w:val="18"/>
              </w:rPr>
              <w:t>Agricultural</w:t>
            </w:r>
            <w:r w:rsidR="00791B3F">
              <w:rPr>
                <w:rFonts w:ascii="Verdana" w:hAnsi="Verdana"/>
                <w:spacing w:val="-2"/>
                <w:sz w:val="18"/>
                <w:szCs w:val="18"/>
              </w:rPr>
              <w:t xml:space="preserve"> </w:t>
            </w:r>
            <w:r w:rsidRPr="00EC75B7">
              <w:rPr>
                <w:rFonts w:ascii="Verdana" w:hAnsi="Verdana"/>
                <w:spacing w:val="-2"/>
                <w:sz w:val="18"/>
                <w:szCs w:val="18"/>
              </w:rPr>
              <w:t>land</w:t>
            </w:r>
            <w:r w:rsidR="00791B3F">
              <w:rPr>
                <w:rFonts w:ascii="Verdana" w:hAnsi="Verdana"/>
                <w:sz w:val="18"/>
                <w:szCs w:val="18"/>
              </w:rPr>
              <w:t xml:space="preserve"> </w:t>
            </w:r>
            <w:r w:rsidRPr="00EC75B7">
              <w:rPr>
                <w:rFonts w:ascii="Verdana" w:hAnsi="Verdana"/>
                <w:spacing w:val="-2"/>
                <w:sz w:val="18"/>
                <w:szCs w:val="18"/>
              </w:rPr>
              <w:t>agricultural</w:t>
            </w:r>
            <w:r w:rsidRPr="00EC75B7">
              <w:rPr>
                <w:rFonts w:ascii="Verdana" w:hAnsi="Verdana"/>
                <w:sz w:val="18"/>
                <w:szCs w:val="18"/>
              </w:rPr>
              <w:tab/>
            </w:r>
            <w:r w:rsidRPr="00EC75B7">
              <w:rPr>
                <w:rFonts w:ascii="Verdana" w:hAnsi="Verdana"/>
                <w:spacing w:val="-6"/>
                <w:sz w:val="18"/>
                <w:szCs w:val="18"/>
              </w:rPr>
              <w:t xml:space="preserve">with moderate </w:t>
            </w:r>
            <w:r w:rsidRPr="00EC75B7">
              <w:rPr>
                <w:rFonts w:ascii="Verdana" w:hAnsi="Verdana"/>
                <w:spacing w:val="-2"/>
                <w:sz w:val="18"/>
                <w:szCs w:val="18"/>
              </w:rPr>
              <w:t>productivity</w:t>
            </w:r>
            <w:r w:rsidR="00791B3F">
              <w:rPr>
                <w:rFonts w:ascii="Verdana" w:hAnsi="Verdana"/>
                <w:sz w:val="18"/>
                <w:szCs w:val="18"/>
              </w:rPr>
              <w:t xml:space="preserve"> </w:t>
            </w:r>
            <w:r w:rsidRPr="00EC75B7">
              <w:rPr>
                <w:rFonts w:ascii="Verdana" w:hAnsi="Verdana"/>
                <w:sz w:val="18"/>
                <w:szCs w:val="18"/>
              </w:rPr>
              <w:t xml:space="preserve">(used for </w:t>
            </w:r>
            <w:r w:rsidRPr="00EC75B7">
              <w:rPr>
                <w:rFonts w:ascii="Verdana" w:hAnsi="Verdana"/>
                <w:spacing w:val="-2"/>
                <w:sz w:val="18"/>
                <w:szCs w:val="18"/>
              </w:rPr>
              <w:t>cereal</w:t>
            </w:r>
            <w:r w:rsidRPr="00EC75B7">
              <w:rPr>
                <w:rFonts w:ascii="Verdana" w:hAnsi="Verdana"/>
                <w:sz w:val="18"/>
                <w:szCs w:val="18"/>
              </w:rPr>
              <w:t xml:space="preserve"> crops</w:t>
            </w:r>
            <w:r w:rsidRPr="00EC75B7">
              <w:rPr>
                <w:rFonts w:ascii="Verdana" w:hAnsi="Verdana"/>
                <w:spacing w:val="-2"/>
                <w:sz w:val="18"/>
                <w:szCs w:val="18"/>
              </w:rPr>
              <w:t>)</w:t>
            </w:r>
          </w:p>
        </w:tc>
        <w:tc>
          <w:tcPr>
            <w:tcW w:w="2926" w:type="dxa"/>
          </w:tcPr>
          <w:p w14:paraId="3CFD4D38" w14:textId="7837CEF3" w:rsidR="008715BE" w:rsidRPr="00EC75B7" w:rsidRDefault="00000000">
            <w:pPr>
              <w:pStyle w:val="TableParagraph"/>
              <w:tabs>
                <w:tab w:val="left" w:pos="1396"/>
                <w:tab w:val="left" w:pos="2636"/>
              </w:tabs>
              <w:ind w:left="110" w:right="91"/>
              <w:rPr>
                <w:rFonts w:ascii="Verdana" w:hAnsi="Verdana"/>
                <w:sz w:val="18"/>
                <w:szCs w:val="18"/>
              </w:rPr>
            </w:pPr>
            <w:r w:rsidRPr="00EC75B7">
              <w:rPr>
                <w:rFonts w:ascii="Verdana" w:hAnsi="Verdana"/>
                <w:spacing w:val="-2"/>
                <w:sz w:val="18"/>
                <w:szCs w:val="18"/>
              </w:rPr>
              <w:t>Agricultural</w:t>
            </w:r>
            <w:r w:rsidRPr="00EC75B7">
              <w:rPr>
                <w:rFonts w:ascii="Verdana" w:hAnsi="Verdana"/>
                <w:sz w:val="18"/>
                <w:szCs w:val="18"/>
              </w:rPr>
              <w:tab/>
            </w:r>
            <w:r w:rsidRPr="00EC75B7">
              <w:rPr>
                <w:rFonts w:ascii="Verdana" w:hAnsi="Verdana"/>
                <w:spacing w:val="-2"/>
                <w:sz w:val="18"/>
                <w:szCs w:val="18"/>
              </w:rPr>
              <w:t>with</w:t>
            </w:r>
            <w:r w:rsidR="00791B3F">
              <w:rPr>
                <w:rFonts w:ascii="Verdana" w:hAnsi="Verdana"/>
                <w:sz w:val="18"/>
                <w:szCs w:val="18"/>
              </w:rPr>
              <w:t xml:space="preserve"> </w:t>
            </w:r>
            <w:r w:rsidRPr="00EC75B7">
              <w:rPr>
                <w:rFonts w:ascii="Verdana" w:hAnsi="Verdana"/>
                <w:sz w:val="18"/>
                <w:szCs w:val="18"/>
              </w:rPr>
              <w:t>high productivity</w:t>
            </w:r>
          </w:p>
          <w:p w14:paraId="5C88360F" w14:textId="77777777" w:rsidR="008715BE" w:rsidRPr="00EC75B7" w:rsidRDefault="00000000">
            <w:pPr>
              <w:pStyle w:val="TableParagraph"/>
              <w:spacing w:line="193" w:lineRule="exact"/>
              <w:ind w:left="110"/>
              <w:rPr>
                <w:rFonts w:ascii="Verdana" w:hAnsi="Verdana"/>
                <w:sz w:val="18"/>
                <w:szCs w:val="18"/>
              </w:rPr>
            </w:pPr>
            <w:r w:rsidRPr="00EC75B7">
              <w:rPr>
                <w:rFonts w:ascii="Verdana" w:hAnsi="Verdana"/>
                <w:sz w:val="18"/>
                <w:szCs w:val="18"/>
              </w:rPr>
              <w:t xml:space="preserve">Land with </w:t>
            </w:r>
            <w:r w:rsidRPr="00EC75B7">
              <w:rPr>
                <w:rFonts w:ascii="Verdana" w:hAnsi="Verdana"/>
                <w:spacing w:val="-2"/>
                <w:sz w:val="18"/>
                <w:szCs w:val="18"/>
              </w:rPr>
              <w:t>orchards</w:t>
            </w:r>
          </w:p>
        </w:tc>
        <w:tc>
          <w:tcPr>
            <w:tcW w:w="3175" w:type="dxa"/>
          </w:tcPr>
          <w:p w14:paraId="708EB9AF" w14:textId="77777777" w:rsidR="008715BE" w:rsidRPr="00EC75B7" w:rsidRDefault="00000000" w:rsidP="00791B3F">
            <w:pPr>
              <w:pStyle w:val="TableParagraph"/>
              <w:ind w:left="110"/>
              <w:jc w:val="both"/>
              <w:rPr>
                <w:rFonts w:ascii="Verdana" w:hAnsi="Verdana"/>
                <w:sz w:val="18"/>
                <w:szCs w:val="18"/>
              </w:rPr>
            </w:pPr>
            <w:r w:rsidRPr="00EC75B7">
              <w:rPr>
                <w:rFonts w:ascii="Verdana" w:hAnsi="Verdana"/>
                <w:sz w:val="18"/>
                <w:szCs w:val="18"/>
              </w:rPr>
              <w:t>Areas protected from a pedological and/or geological point of view</w:t>
            </w:r>
          </w:p>
          <w:p w14:paraId="2E765F6B" w14:textId="77777777" w:rsidR="008715BE" w:rsidRPr="00EC75B7" w:rsidRDefault="00000000" w:rsidP="00791B3F">
            <w:pPr>
              <w:pStyle w:val="TableParagraph"/>
              <w:spacing w:line="193" w:lineRule="exact"/>
              <w:ind w:left="110"/>
              <w:jc w:val="both"/>
              <w:rPr>
                <w:rFonts w:ascii="Verdana" w:hAnsi="Verdana"/>
                <w:sz w:val="18"/>
                <w:szCs w:val="18"/>
              </w:rPr>
            </w:pPr>
            <w:r w:rsidRPr="00EC75B7">
              <w:rPr>
                <w:rFonts w:ascii="Verdana" w:hAnsi="Verdana"/>
                <w:sz w:val="18"/>
                <w:szCs w:val="18"/>
              </w:rPr>
              <w:t xml:space="preserve">Inhabited areas and </w:t>
            </w:r>
            <w:r w:rsidRPr="00EC75B7">
              <w:rPr>
                <w:rFonts w:ascii="Verdana" w:hAnsi="Verdana"/>
                <w:spacing w:val="-2"/>
                <w:sz w:val="18"/>
                <w:szCs w:val="18"/>
              </w:rPr>
              <w:t xml:space="preserve">farm </w:t>
            </w:r>
            <w:r w:rsidRPr="00EC75B7">
              <w:rPr>
                <w:rFonts w:ascii="Verdana" w:hAnsi="Verdana"/>
                <w:sz w:val="18"/>
                <w:szCs w:val="18"/>
              </w:rPr>
              <w:t>buildings</w:t>
            </w:r>
          </w:p>
        </w:tc>
      </w:tr>
      <w:tr w:rsidR="008715BE" w:rsidRPr="00EC75B7" w14:paraId="1726A2E1" w14:textId="77777777">
        <w:trPr>
          <w:trHeight w:val="3502"/>
        </w:trPr>
        <w:tc>
          <w:tcPr>
            <w:tcW w:w="1608" w:type="dxa"/>
          </w:tcPr>
          <w:p w14:paraId="7BB66646"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spacing w:val="-2"/>
                <w:sz w:val="18"/>
                <w:szCs w:val="18"/>
              </w:rPr>
              <w:lastRenderedPageBreak/>
              <w:t>Biodiversity</w:t>
            </w:r>
          </w:p>
        </w:tc>
        <w:tc>
          <w:tcPr>
            <w:tcW w:w="2287" w:type="dxa"/>
          </w:tcPr>
          <w:p w14:paraId="1F7E77B4" w14:textId="2E70FB29" w:rsidR="008715BE" w:rsidRPr="00EC75B7" w:rsidRDefault="00000000">
            <w:pPr>
              <w:pStyle w:val="TableParagraph"/>
              <w:tabs>
                <w:tab w:val="left" w:pos="1490"/>
                <w:tab w:val="left" w:pos="1528"/>
              </w:tabs>
              <w:ind w:left="108" w:right="93"/>
              <w:jc w:val="both"/>
              <w:rPr>
                <w:rFonts w:ascii="Verdana" w:hAnsi="Verdana"/>
                <w:sz w:val="18"/>
                <w:szCs w:val="18"/>
              </w:rPr>
            </w:pPr>
            <w:r w:rsidRPr="00EC75B7">
              <w:rPr>
                <w:rFonts w:ascii="Verdana" w:hAnsi="Verdana"/>
                <w:sz w:val="18"/>
                <w:szCs w:val="18"/>
              </w:rPr>
              <w:t xml:space="preserve">Habitats affected by anthropogenic </w:t>
            </w:r>
            <w:r w:rsidRPr="00EC75B7">
              <w:rPr>
                <w:rFonts w:ascii="Verdana" w:hAnsi="Verdana"/>
                <w:spacing w:val="-2"/>
                <w:sz w:val="18"/>
                <w:szCs w:val="18"/>
              </w:rPr>
              <w:t>impact</w:t>
            </w:r>
            <w:r w:rsidR="00791B3F">
              <w:rPr>
                <w:rFonts w:ascii="Verdana" w:hAnsi="Verdana"/>
                <w:sz w:val="18"/>
                <w:szCs w:val="18"/>
              </w:rPr>
              <w:t xml:space="preserve"> </w:t>
            </w:r>
            <w:r w:rsidRPr="00EC75B7">
              <w:rPr>
                <w:rFonts w:ascii="Verdana" w:hAnsi="Verdana"/>
                <w:spacing w:val="-2"/>
                <w:sz w:val="18"/>
                <w:szCs w:val="18"/>
              </w:rPr>
              <w:t>(urbanization,</w:t>
            </w:r>
            <w:r w:rsidR="00791B3F">
              <w:rPr>
                <w:rFonts w:ascii="Verdana" w:hAnsi="Verdana"/>
                <w:sz w:val="18"/>
                <w:szCs w:val="18"/>
              </w:rPr>
              <w:t xml:space="preserve"> </w:t>
            </w:r>
            <w:r w:rsidRPr="00EC75B7">
              <w:rPr>
                <w:rFonts w:ascii="Verdana" w:hAnsi="Verdana"/>
                <w:spacing w:val="-2"/>
                <w:sz w:val="18"/>
                <w:szCs w:val="18"/>
              </w:rPr>
              <w:t>industrial</w:t>
            </w:r>
            <w:r w:rsidRPr="00EC75B7">
              <w:rPr>
                <w:rFonts w:ascii="Verdana" w:hAnsi="Verdana"/>
                <w:spacing w:val="-4"/>
                <w:sz w:val="18"/>
                <w:szCs w:val="18"/>
              </w:rPr>
              <w:t xml:space="preserve"> activities</w:t>
            </w:r>
            <w:r w:rsidRPr="00EC75B7">
              <w:rPr>
                <w:rFonts w:ascii="Verdana" w:hAnsi="Verdana"/>
                <w:spacing w:val="-2"/>
                <w:sz w:val="18"/>
                <w:szCs w:val="18"/>
              </w:rPr>
              <w:t>)</w:t>
            </w:r>
          </w:p>
        </w:tc>
        <w:tc>
          <w:tcPr>
            <w:tcW w:w="2517" w:type="dxa"/>
          </w:tcPr>
          <w:p w14:paraId="51C2FA00" w14:textId="534ABA8E" w:rsidR="008715BE" w:rsidRPr="00EC75B7" w:rsidRDefault="00000000">
            <w:pPr>
              <w:pStyle w:val="TableParagraph"/>
              <w:tabs>
                <w:tab w:val="left" w:pos="1039"/>
                <w:tab w:val="left" w:pos="1922"/>
              </w:tabs>
              <w:ind w:left="109" w:right="95"/>
              <w:rPr>
                <w:rFonts w:ascii="Verdana" w:hAnsi="Verdana"/>
                <w:sz w:val="18"/>
                <w:szCs w:val="18"/>
              </w:rPr>
            </w:pPr>
            <w:r w:rsidRPr="00EC75B7">
              <w:rPr>
                <w:rFonts w:ascii="Verdana" w:hAnsi="Verdana"/>
                <w:spacing w:val="-2"/>
                <w:sz w:val="18"/>
                <w:szCs w:val="18"/>
              </w:rPr>
              <w:t>Agricultural land</w:t>
            </w:r>
            <w:r w:rsidR="00791B3F">
              <w:rPr>
                <w:rFonts w:ascii="Verdana" w:hAnsi="Verdana"/>
                <w:sz w:val="18"/>
                <w:szCs w:val="18"/>
              </w:rPr>
              <w:t xml:space="preserve"> </w:t>
            </w:r>
            <w:r w:rsidRPr="00EC75B7">
              <w:rPr>
                <w:rFonts w:ascii="Verdana" w:hAnsi="Verdana"/>
                <w:spacing w:val="-2"/>
                <w:sz w:val="18"/>
                <w:szCs w:val="18"/>
              </w:rPr>
              <w:t>agricultural</w:t>
            </w:r>
            <w:r w:rsidR="00791B3F">
              <w:rPr>
                <w:rFonts w:ascii="Verdana" w:hAnsi="Verdana"/>
                <w:sz w:val="18"/>
                <w:szCs w:val="18"/>
              </w:rPr>
              <w:t xml:space="preserve"> </w:t>
            </w:r>
            <w:r w:rsidRPr="00EC75B7">
              <w:rPr>
                <w:rFonts w:ascii="Verdana" w:hAnsi="Verdana"/>
                <w:spacing w:val="-2"/>
                <w:sz w:val="18"/>
                <w:szCs w:val="18"/>
              </w:rPr>
              <w:t>intensively cultivated</w:t>
            </w:r>
          </w:p>
          <w:p w14:paraId="3FFDA206" w14:textId="77777777" w:rsidR="008715BE" w:rsidRPr="00EC75B7" w:rsidRDefault="00000000">
            <w:pPr>
              <w:pStyle w:val="TableParagraph"/>
              <w:ind w:left="109" w:right="201"/>
              <w:rPr>
                <w:rFonts w:ascii="Verdana" w:hAnsi="Verdana"/>
                <w:sz w:val="18"/>
                <w:szCs w:val="18"/>
              </w:rPr>
            </w:pPr>
            <w:r w:rsidRPr="00EC75B7">
              <w:rPr>
                <w:rFonts w:ascii="Verdana" w:hAnsi="Verdana"/>
                <w:sz w:val="18"/>
                <w:szCs w:val="18"/>
              </w:rPr>
              <w:t xml:space="preserve">Land covered with </w:t>
            </w:r>
            <w:r w:rsidRPr="00EC75B7">
              <w:rPr>
                <w:rFonts w:ascii="Verdana" w:hAnsi="Verdana"/>
                <w:spacing w:val="-2"/>
                <w:sz w:val="18"/>
                <w:szCs w:val="18"/>
              </w:rPr>
              <w:t xml:space="preserve">ruderal/spontaneous </w:t>
            </w:r>
            <w:r w:rsidRPr="00EC75B7">
              <w:rPr>
                <w:rFonts w:ascii="Verdana" w:hAnsi="Verdana"/>
                <w:sz w:val="18"/>
                <w:szCs w:val="18"/>
              </w:rPr>
              <w:t>vegetation</w:t>
            </w:r>
          </w:p>
          <w:p w14:paraId="003D99B9" w14:textId="77777777" w:rsidR="008715BE" w:rsidRPr="00EC75B7" w:rsidRDefault="00000000">
            <w:pPr>
              <w:pStyle w:val="TableParagraph"/>
              <w:spacing w:line="193" w:lineRule="exact"/>
              <w:ind w:left="109"/>
              <w:rPr>
                <w:rFonts w:ascii="Verdana" w:hAnsi="Verdana"/>
                <w:sz w:val="18"/>
                <w:szCs w:val="18"/>
              </w:rPr>
            </w:pPr>
            <w:r w:rsidRPr="00EC75B7">
              <w:rPr>
                <w:rFonts w:ascii="Verdana" w:hAnsi="Verdana"/>
                <w:spacing w:val="-2"/>
                <w:sz w:val="18"/>
                <w:szCs w:val="18"/>
              </w:rPr>
              <w:t xml:space="preserve">Unproductive </w:t>
            </w:r>
            <w:r w:rsidRPr="00EC75B7">
              <w:rPr>
                <w:rFonts w:ascii="Verdana" w:hAnsi="Verdana"/>
                <w:sz w:val="18"/>
                <w:szCs w:val="18"/>
              </w:rPr>
              <w:t>land</w:t>
            </w:r>
          </w:p>
        </w:tc>
        <w:tc>
          <w:tcPr>
            <w:tcW w:w="2479" w:type="dxa"/>
          </w:tcPr>
          <w:p w14:paraId="563F0401" w14:textId="77777777" w:rsidR="008715BE" w:rsidRPr="00EC75B7" w:rsidRDefault="00000000">
            <w:pPr>
              <w:pStyle w:val="TableParagraph"/>
              <w:ind w:left="109"/>
              <w:rPr>
                <w:rFonts w:ascii="Verdana" w:hAnsi="Verdana"/>
                <w:sz w:val="18"/>
                <w:szCs w:val="18"/>
              </w:rPr>
            </w:pPr>
            <w:r w:rsidRPr="00EC75B7">
              <w:rPr>
                <w:rFonts w:ascii="Verdana" w:hAnsi="Verdana"/>
                <w:sz w:val="18"/>
                <w:szCs w:val="18"/>
              </w:rPr>
              <w:t xml:space="preserve">Land from the </w:t>
            </w:r>
            <w:r w:rsidRPr="00EC75B7">
              <w:rPr>
                <w:rFonts w:ascii="Verdana" w:hAnsi="Verdana"/>
                <w:spacing w:val="-2"/>
                <w:sz w:val="18"/>
                <w:szCs w:val="18"/>
              </w:rPr>
              <w:t>national</w:t>
            </w:r>
            <w:r w:rsidRPr="00EC75B7">
              <w:rPr>
                <w:rFonts w:ascii="Verdana" w:hAnsi="Verdana"/>
                <w:sz w:val="18"/>
                <w:szCs w:val="18"/>
              </w:rPr>
              <w:t xml:space="preserve"> forest fund</w:t>
            </w:r>
          </w:p>
        </w:tc>
        <w:tc>
          <w:tcPr>
            <w:tcW w:w="2926" w:type="dxa"/>
          </w:tcPr>
          <w:p w14:paraId="4A89843D" w14:textId="4D9DB90C" w:rsidR="008715BE" w:rsidRPr="00EC75B7" w:rsidRDefault="00000000">
            <w:pPr>
              <w:pStyle w:val="TableParagraph"/>
              <w:spacing w:line="194" w:lineRule="exact"/>
              <w:ind w:left="110"/>
              <w:rPr>
                <w:rFonts w:ascii="Verdana" w:hAnsi="Verdana"/>
                <w:sz w:val="18"/>
                <w:szCs w:val="18"/>
              </w:rPr>
            </w:pPr>
            <w:r w:rsidRPr="00EC75B7">
              <w:rPr>
                <w:rFonts w:ascii="Verdana" w:hAnsi="Verdana"/>
                <w:sz w:val="18"/>
                <w:szCs w:val="18"/>
              </w:rPr>
              <w:t>protected natural areas</w:t>
            </w:r>
            <w:r w:rsidRPr="00EC75B7">
              <w:rPr>
                <w:rFonts w:ascii="Verdana" w:hAnsi="Verdana"/>
                <w:spacing w:val="23"/>
                <w:sz w:val="18"/>
                <w:szCs w:val="18"/>
              </w:rPr>
              <w:t xml:space="preserve">  </w:t>
            </w:r>
            <w:r w:rsidRPr="00EC75B7">
              <w:rPr>
                <w:rFonts w:ascii="Verdana" w:hAnsi="Verdana"/>
                <w:sz w:val="18"/>
                <w:szCs w:val="18"/>
              </w:rPr>
              <w:t xml:space="preserve"> at</w:t>
            </w:r>
            <w:r w:rsidRPr="00EC75B7">
              <w:rPr>
                <w:rFonts w:ascii="Verdana" w:hAnsi="Verdana"/>
                <w:spacing w:val="24"/>
                <w:sz w:val="18"/>
                <w:szCs w:val="18"/>
              </w:rPr>
              <w:t xml:space="preserve">  </w:t>
            </w:r>
            <w:r w:rsidRPr="00EC75B7">
              <w:rPr>
                <w:rFonts w:ascii="Verdana" w:hAnsi="Verdana"/>
                <w:spacing w:val="-2"/>
                <w:sz w:val="18"/>
                <w:szCs w:val="18"/>
              </w:rPr>
              <w:t xml:space="preserve"> local and national level</w:t>
            </w:r>
          </w:p>
          <w:p w14:paraId="26F8A2E1" w14:textId="77777777" w:rsidR="00791B3F" w:rsidRDefault="00000000">
            <w:pPr>
              <w:pStyle w:val="TableParagraph"/>
              <w:tabs>
                <w:tab w:val="left" w:pos="995"/>
                <w:tab w:val="left" w:pos="1868"/>
                <w:tab w:val="left" w:pos="2269"/>
              </w:tabs>
              <w:ind w:left="110" w:right="92"/>
              <w:rPr>
                <w:rFonts w:ascii="Verdana" w:hAnsi="Verdana"/>
                <w:sz w:val="18"/>
                <w:szCs w:val="18"/>
              </w:rPr>
            </w:pPr>
            <w:r w:rsidRPr="00EC75B7">
              <w:rPr>
                <w:rFonts w:ascii="Verdana" w:hAnsi="Verdana"/>
                <w:sz w:val="18"/>
                <w:szCs w:val="18"/>
              </w:rPr>
              <w:t xml:space="preserve">Sustainable development areas within Natura 2000 sites </w:t>
            </w:r>
            <w:r w:rsidRPr="00EC75B7">
              <w:rPr>
                <w:rFonts w:ascii="Verdana" w:hAnsi="Verdana"/>
                <w:spacing w:val="-2"/>
                <w:sz w:val="18"/>
                <w:szCs w:val="18"/>
              </w:rPr>
              <w:t>Natural habitats</w:t>
            </w:r>
          </w:p>
          <w:p w14:paraId="3E5B9979" w14:textId="6277BF74" w:rsidR="008715BE" w:rsidRPr="00EC75B7" w:rsidRDefault="00000000">
            <w:pPr>
              <w:pStyle w:val="TableParagraph"/>
              <w:tabs>
                <w:tab w:val="left" w:pos="995"/>
                <w:tab w:val="left" w:pos="1868"/>
                <w:tab w:val="left" w:pos="2269"/>
              </w:tabs>
              <w:ind w:left="110" w:right="92"/>
              <w:rPr>
                <w:rFonts w:ascii="Verdana" w:hAnsi="Verdana"/>
                <w:sz w:val="18"/>
                <w:szCs w:val="18"/>
              </w:rPr>
            </w:pPr>
            <w:r w:rsidRPr="00EC75B7">
              <w:rPr>
                <w:rFonts w:ascii="Verdana" w:hAnsi="Verdana"/>
                <w:spacing w:val="-2"/>
                <w:sz w:val="18"/>
                <w:szCs w:val="18"/>
              </w:rPr>
              <w:t>Natural</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t>national</w:t>
            </w:r>
            <w:r w:rsidRPr="00EC75B7">
              <w:rPr>
                <w:rFonts w:ascii="Verdana" w:hAnsi="Verdana"/>
                <w:spacing w:val="-2"/>
                <w:sz w:val="18"/>
                <w:szCs w:val="18"/>
              </w:rPr>
              <w:t xml:space="preserve"> interest</w:t>
            </w:r>
            <w:r w:rsidRPr="00EC75B7">
              <w:rPr>
                <w:rFonts w:ascii="Verdana" w:hAnsi="Verdana"/>
                <w:sz w:val="18"/>
                <w:szCs w:val="18"/>
              </w:rPr>
              <w:t>, located outside the boundaries of protected natural areas</w:t>
            </w:r>
          </w:p>
          <w:p w14:paraId="5B1B9704" w14:textId="77777777" w:rsidR="008715BE" w:rsidRPr="00EC75B7" w:rsidRDefault="00000000">
            <w:pPr>
              <w:pStyle w:val="TableParagraph"/>
              <w:ind w:left="110" w:right="95"/>
              <w:jc w:val="both"/>
              <w:rPr>
                <w:rFonts w:ascii="Verdana" w:hAnsi="Verdana"/>
                <w:sz w:val="18"/>
                <w:szCs w:val="18"/>
              </w:rPr>
            </w:pPr>
            <w:r w:rsidRPr="00EC75B7">
              <w:rPr>
                <w:rFonts w:ascii="Verdana" w:hAnsi="Verdana"/>
                <w:sz w:val="18"/>
                <w:szCs w:val="18"/>
              </w:rPr>
              <w:t>Areas where nationally protected flora/fauna species and nationally protected fish species have been identified</w:t>
            </w:r>
          </w:p>
          <w:p w14:paraId="4C7D490C" w14:textId="77777777" w:rsidR="008715BE" w:rsidRPr="00EC75B7" w:rsidRDefault="00000000">
            <w:pPr>
              <w:pStyle w:val="TableParagraph"/>
              <w:ind w:left="110" w:right="95"/>
              <w:jc w:val="both"/>
              <w:rPr>
                <w:rFonts w:ascii="Verdana" w:hAnsi="Verdana"/>
                <w:sz w:val="18"/>
                <w:szCs w:val="18"/>
              </w:rPr>
            </w:pPr>
            <w:r w:rsidRPr="00EC75B7">
              <w:rPr>
                <w:rFonts w:ascii="Verdana" w:hAnsi="Verdana"/>
                <w:sz w:val="18"/>
                <w:szCs w:val="18"/>
              </w:rPr>
              <w:t>Grasslands of high natural value (e.g., grasslands important for feeding/nesting of certain bird species)</w:t>
            </w:r>
          </w:p>
          <w:p w14:paraId="7D682DF8" w14:textId="77777777" w:rsidR="008715BE" w:rsidRPr="00EC75B7" w:rsidRDefault="00000000">
            <w:pPr>
              <w:pStyle w:val="TableParagraph"/>
              <w:ind w:left="110" w:right="94"/>
              <w:jc w:val="both"/>
              <w:rPr>
                <w:rFonts w:ascii="Verdana" w:hAnsi="Verdana"/>
                <w:sz w:val="18"/>
                <w:szCs w:val="18"/>
              </w:rPr>
            </w:pPr>
            <w:r w:rsidRPr="00EC75B7">
              <w:rPr>
                <w:rFonts w:ascii="Verdana" w:hAnsi="Verdana"/>
                <w:sz w:val="18"/>
                <w:szCs w:val="18"/>
              </w:rPr>
              <w:t xml:space="preserve">Semi-natural ecosystems without </w:t>
            </w:r>
            <w:r w:rsidRPr="00EC75B7">
              <w:rPr>
                <w:rFonts w:ascii="Verdana" w:hAnsi="Verdana"/>
                <w:spacing w:val="-2"/>
                <w:sz w:val="18"/>
                <w:szCs w:val="18"/>
              </w:rPr>
              <w:t xml:space="preserve">high </w:t>
            </w:r>
            <w:r w:rsidRPr="00EC75B7">
              <w:rPr>
                <w:rFonts w:ascii="Verdana" w:hAnsi="Verdana"/>
                <w:sz w:val="18"/>
                <w:szCs w:val="18"/>
              </w:rPr>
              <w:t>conservation value</w:t>
            </w:r>
            <w:r w:rsidRPr="00EC75B7">
              <w:rPr>
                <w:rFonts w:ascii="Verdana" w:hAnsi="Verdana"/>
                <w:spacing w:val="48"/>
                <w:sz w:val="18"/>
                <w:szCs w:val="18"/>
              </w:rPr>
              <w:t xml:space="preserve">  </w:t>
            </w:r>
            <w:r w:rsidRPr="00EC75B7">
              <w:rPr>
                <w:rFonts w:ascii="Verdana" w:hAnsi="Verdana"/>
                <w:sz w:val="18"/>
                <w:szCs w:val="18"/>
              </w:rPr>
              <w:t xml:space="preserve"> </w:t>
            </w:r>
            <w:r w:rsidRPr="00EC75B7">
              <w:rPr>
                <w:rFonts w:ascii="Verdana" w:hAnsi="Verdana"/>
                <w:spacing w:val="48"/>
                <w:sz w:val="18"/>
                <w:szCs w:val="18"/>
              </w:rPr>
              <w:t xml:space="preserve">  </w:t>
            </w:r>
            <w:r w:rsidRPr="00EC75B7">
              <w:rPr>
                <w:rFonts w:ascii="Verdana" w:hAnsi="Verdana"/>
                <w:spacing w:val="-2"/>
                <w:sz w:val="18"/>
                <w:szCs w:val="18"/>
              </w:rPr>
              <w:t xml:space="preserve"> </w:t>
            </w:r>
          </w:p>
          <w:p w14:paraId="20B8706B" w14:textId="77777777" w:rsidR="008715BE" w:rsidRPr="00EC75B7" w:rsidRDefault="00000000">
            <w:pPr>
              <w:pStyle w:val="TableParagraph"/>
              <w:spacing w:line="174" w:lineRule="exact"/>
              <w:ind w:left="110"/>
              <w:jc w:val="both"/>
              <w:rPr>
                <w:rFonts w:ascii="Verdana" w:hAnsi="Verdana"/>
                <w:sz w:val="18"/>
                <w:szCs w:val="18"/>
              </w:rPr>
            </w:pPr>
            <w:r w:rsidRPr="00EC75B7">
              <w:rPr>
                <w:rFonts w:ascii="Verdana" w:hAnsi="Verdana"/>
                <w:sz w:val="18"/>
                <w:szCs w:val="18"/>
              </w:rPr>
              <w:t xml:space="preserve">(orchards, parks, </w:t>
            </w:r>
            <w:r w:rsidRPr="00EC75B7">
              <w:rPr>
                <w:rFonts w:ascii="Verdana" w:hAnsi="Verdana"/>
                <w:spacing w:val="-2"/>
                <w:sz w:val="18"/>
                <w:szCs w:val="18"/>
              </w:rPr>
              <w:t>gardens)</w:t>
            </w:r>
          </w:p>
        </w:tc>
        <w:tc>
          <w:tcPr>
            <w:tcW w:w="3175" w:type="dxa"/>
          </w:tcPr>
          <w:p w14:paraId="240962F9" w14:textId="3513CCFF" w:rsidR="008715BE" w:rsidRPr="00EC75B7" w:rsidRDefault="00000000" w:rsidP="00791B3F">
            <w:pPr>
              <w:pStyle w:val="TableParagraph"/>
              <w:ind w:left="110"/>
              <w:jc w:val="both"/>
              <w:rPr>
                <w:rFonts w:ascii="Verdana" w:hAnsi="Verdana"/>
                <w:sz w:val="18"/>
                <w:szCs w:val="18"/>
              </w:rPr>
            </w:pPr>
            <w:r w:rsidRPr="00EC75B7">
              <w:rPr>
                <w:rFonts w:ascii="Verdana" w:hAnsi="Verdana"/>
                <w:sz w:val="18"/>
                <w:szCs w:val="18"/>
              </w:rPr>
              <w:t>Natura 2000 sites – areas with high conservation status</w:t>
            </w:r>
            <w:r w:rsidR="00791B3F">
              <w:rPr>
                <w:rFonts w:ascii="Verdana" w:hAnsi="Verdana"/>
                <w:sz w:val="18"/>
                <w:szCs w:val="18"/>
              </w:rPr>
              <w:t xml:space="preserve"> </w:t>
            </w:r>
            <w:r w:rsidRPr="00EC75B7">
              <w:rPr>
                <w:rFonts w:ascii="Verdana" w:hAnsi="Verdana"/>
                <w:sz w:val="18"/>
                <w:szCs w:val="18"/>
              </w:rPr>
              <w:t>RAMSAR wetlands Protected natural parks Species of Community interest Priority natural habitats Protective forests</w:t>
            </w:r>
          </w:p>
        </w:tc>
      </w:tr>
      <w:tr w:rsidR="008715BE" w:rsidRPr="00EC75B7" w14:paraId="5D5644AE" w14:textId="77777777">
        <w:trPr>
          <w:trHeight w:val="1554"/>
        </w:trPr>
        <w:tc>
          <w:tcPr>
            <w:tcW w:w="1608" w:type="dxa"/>
          </w:tcPr>
          <w:p w14:paraId="404362F6" w14:textId="77777777" w:rsidR="008715BE" w:rsidRPr="00EC75B7" w:rsidRDefault="00000000">
            <w:pPr>
              <w:pStyle w:val="TableParagraph"/>
              <w:ind w:left="107" w:right="436"/>
              <w:rPr>
                <w:rFonts w:ascii="Verdana" w:hAnsi="Verdana"/>
                <w:b/>
                <w:sz w:val="18"/>
                <w:szCs w:val="18"/>
              </w:rPr>
            </w:pPr>
            <w:r w:rsidRPr="00EC75B7">
              <w:rPr>
                <w:rFonts w:ascii="Verdana" w:hAnsi="Verdana"/>
                <w:b/>
                <w:spacing w:val="-2"/>
                <w:sz w:val="18"/>
                <w:szCs w:val="18"/>
              </w:rPr>
              <w:t>Cultural heritage Landscape</w:t>
            </w:r>
          </w:p>
        </w:tc>
        <w:tc>
          <w:tcPr>
            <w:tcW w:w="2287" w:type="dxa"/>
          </w:tcPr>
          <w:p w14:paraId="74384D4F" w14:textId="77777777" w:rsidR="008715BE" w:rsidRPr="00EC75B7" w:rsidRDefault="00000000">
            <w:pPr>
              <w:pStyle w:val="TableParagraph"/>
              <w:tabs>
                <w:tab w:val="left" w:pos="1437"/>
              </w:tabs>
              <w:ind w:left="108" w:right="93"/>
              <w:jc w:val="both"/>
              <w:rPr>
                <w:rFonts w:ascii="Verdana" w:hAnsi="Verdana"/>
                <w:sz w:val="18"/>
                <w:szCs w:val="18"/>
              </w:rPr>
            </w:pPr>
            <w:r w:rsidRPr="00EC75B7">
              <w:rPr>
                <w:rFonts w:ascii="Verdana" w:hAnsi="Verdana"/>
                <w:spacing w:val="-2"/>
                <w:sz w:val="18"/>
                <w:szCs w:val="18"/>
              </w:rPr>
              <w:t>A</w:t>
            </w:r>
            <w:r w:rsidRPr="00EC75B7">
              <w:rPr>
                <w:rFonts w:ascii="Verdana" w:hAnsi="Verdana"/>
                <w:sz w:val="18"/>
                <w:szCs w:val="18"/>
              </w:rPr>
              <w:t>reas where</w:t>
            </w:r>
            <w:r w:rsidRPr="00EC75B7">
              <w:rPr>
                <w:rFonts w:ascii="Verdana" w:hAnsi="Verdana"/>
                <w:sz w:val="18"/>
                <w:szCs w:val="18"/>
              </w:rPr>
              <w:tab/>
              <w:t xml:space="preserve">abandoned or </w:t>
            </w:r>
            <w:r w:rsidRPr="00EC75B7">
              <w:rPr>
                <w:rFonts w:ascii="Verdana" w:hAnsi="Verdana"/>
                <w:spacing w:val="-2"/>
                <w:sz w:val="18"/>
                <w:szCs w:val="18"/>
              </w:rPr>
              <w:t xml:space="preserve">degraded </w:t>
            </w:r>
            <w:r w:rsidRPr="00EC75B7">
              <w:rPr>
                <w:rFonts w:ascii="Verdana" w:hAnsi="Verdana"/>
                <w:sz w:val="18"/>
                <w:szCs w:val="18"/>
              </w:rPr>
              <w:t>built</w:t>
            </w:r>
            <w:r w:rsidRPr="00EC75B7">
              <w:rPr>
                <w:rFonts w:ascii="Verdana" w:hAnsi="Verdana"/>
                <w:spacing w:val="-2"/>
                <w:sz w:val="18"/>
                <w:szCs w:val="18"/>
              </w:rPr>
              <w:t xml:space="preserve"> </w:t>
            </w:r>
            <w:r w:rsidRPr="00EC75B7">
              <w:rPr>
                <w:rFonts w:ascii="Verdana" w:hAnsi="Verdana"/>
                <w:sz w:val="18"/>
                <w:szCs w:val="18"/>
              </w:rPr>
              <w:t>elements</w:t>
            </w:r>
          </w:p>
        </w:tc>
        <w:tc>
          <w:tcPr>
            <w:tcW w:w="2517" w:type="dxa"/>
          </w:tcPr>
          <w:p w14:paraId="2EFAB6A7" w14:textId="77777777" w:rsidR="008715BE" w:rsidRPr="00EC75B7" w:rsidRDefault="00000000">
            <w:pPr>
              <w:pStyle w:val="TableParagraph"/>
              <w:ind w:left="109"/>
              <w:rPr>
                <w:rFonts w:ascii="Verdana" w:hAnsi="Verdana"/>
                <w:sz w:val="18"/>
                <w:szCs w:val="18"/>
              </w:rPr>
            </w:pPr>
            <w:r w:rsidRPr="00EC75B7">
              <w:rPr>
                <w:rFonts w:ascii="Verdana" w:hAnsi="Verdana"/>
                <w:sz w:val="18"/>
                <w:szCs w:val="18"/>
              </w:rPr>
              <w:t xml:space="preserve">Areas with high </w:t>
            </w:r>
            <w:r w:rsidRPr="00EC75B7">
              <w:rPr>
                <w:rFonts w:ascii="Verdana" w:hAnsi="Verdana"/>
                <w:spacing w:val="-2"/>
                <w:sz w:val="18"/>
                <w:szCs w:val="18"/>
              </w:rPr>
              <w:t xml:space="preserve">building </w:t>
            </w:r>
            <w:r w:rsidRPr="00EC75B7">
              <w:rPr>
                <w:rFonts w:ascii="Verdana" w:hAnsi="Verdana"/>
                <w:sz w:val="18"/>
                <w:szCs w:val="18"/>
              </w:rPr>
              <w:t>density</w:t>
            </w:r>
          </w:p>
          <w:p w14:paraId="633DEE52" w14:textId="77777777" w:rsidR="008715BE" w:rsidRPr="00EC75B7" w:rsidRDefault="00000000">
            <w:pPr>
              <w:pStyle w:val="TableParagraph"/>
              <w:tabs>
                <w:tab w:val="left" w:pos="737"/>
                <w:tab w:val="left" w:pos="1013"/>
                <w:tab w:val="left" w:pos="1142"/>
                <w:tab w:val="left" w:pos="1557"/>
                <w:tab w:val="left" w:pos="1841"/>
              </w:tabs>
              <w:ind w:left="109" w:right="93"/>
              <w:rPr>
                <w:rFonts w:ascii="Verdana" w:hAnsi="Verdana"/>
                <w:sz w:val="18"/>
                <w:szCs w:val="18"/>
              </w:rPr>
            </w:pPr>
            <w:r w:rsidRPr="00EC75B7">
              <w:rPr>
                <w:rFonts w:ascii="Verdana" w:hAnsi="Verdana"/>
                <w:spacing w:val="-4"/>
                <w:sz w:val="18"/>
                <w:szCs w:val="18"/>
              </w:rPr>
              <w:t>Areas</w:t>
            </w:r>
            <w:r w:rsidRPr="00EC75B7">
              <w:rPr>
                <w:rFonts w:ascii="Verdana" w:hAnsi="Verdana"/>
                <w:sz w:val="18"/>
                <w:szCs w:val="18"/>
              </w:rPr>
              <w:tab/>
            </w:r>
            <w:r w:rsidRPr="00EC75B7">
              <w:rPr>
                <w:rFonts w:ascii="Verdana" w:hAnsi="Verdana"/>
                <w:spacing w:val="-6"/>
                <w:sz w:val="18"/>
                <w:szCs w:val="18"/>
              </w:rPr>
              <w:t>with</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landscape</w:t>
            </w:r>
            <w:r w:rsidRPr="00EC75B7">
              <w:rPr>
                <w:rFonts w:ascii="Verdana" w:hAnsi="Verdana"/>
                <w:sz w:val="18"/>
                <w:szCs w:val="18"/>
              </w:rPr>
              <w:tab/>
            </w:r>
            <w:r w:rsidRPr="00EC75B7">
              <w:rPr>
                <w:rFonts w:ascii="Verdana" w:hAnsi="Verdana"/>
                <w:spacing w:val="-2"/>
                <w:sz w:val="18"/>
                <w:szCs w:val="18"/>
              </w:rPr>
              <w:t>affected</w:t>
            </w:r>
            <w:r w:rsidRPr="00EC75B7">
              <w:rPr>
                <w:rFonts w:ascii="Verdana" w:hAnsi="Verdana"/>
                <w:sz w:val="18"/>
                <w:szCs w:val="18"/>
              </w:rPr>
              <w:tab/>
            </w:r>
            <w:r w:rsidRPr="00EC75B7">
              <w:rPr>
                <w:rFonts w:ascii="Verdana" w:hAnsi="Verdana"/>
                <w:sz w:val="18"/>
                <w:szCs w:val="18"/>
              </w:rPr>
              <w:tab/>
            </w:r>
            <w:r w:rsidRPr="00EC75B7">
              <w:rPr>
                <w:rFonts w:ascii="Verdana" w:hAnsi="Verdana"/>
                <w:spacing w:val="-6"/>
                <w:sz w:val="18"/>
                <w:szCs w:val="18"/>
              </w:rPr>
              <w:t>by</w:t>
            </w:r>
            <w:r w:rsidRPr="00EC75B7">
              <w:rPr>
                <w:rFonts w:ascii="Verdana" w:hAnsi="Verdana"/>
                <w:sz w:val="18"/>
                <w:szCs w:val="18"/>
              </w:rPr>
              <w:tab/>
            </w:r>
            <w:r w:rsidRPr="00EC75B7">
              <w:rPr>
                <w:rFonts w:ascii="Verdana" w:hAnsi="Verdana"/>
                <w:spacing w:val="-2"/>
                <w:sz w:val="18"/>
                <w:szCs w:val="18"/>
              </w:rPr>
              <w:t>urbanization/industrialization</w:t>
            </w:r>
            <w:r w:rsidRPr="00EC75B7">
              <w:rPr>
                <w:rFonts w:ascii="Verdana" w:hAnsi="Verdana"/>
                <w:spacing w:val="-4"/>
                <w:sz w:val="18"/>
                <w:szCs w:val="18"/>
              </w:rPr>
              <w:t xml:space="preserve"> expansion </w:t>
            </w:r>
            <w:r w:rsidRPr="00EC75B7">
              <w:rPr>
                <w:rFonts w:ascii="Verdana" w:hAnsi="Verdana"/>
                <w:sz w:val="18"/>
                <w:szCs w:val="18"/>
              </w:rPr>
              <w:t xml:space="preserve">Areas located more than 1 km away from </w:t>
            </w:r>
            <w:r w:rsidRPr="00EC75B7">
              <w:rPr>
                <w:rFonts w:ascii="Verdana" w:hAnsi="Verdana"/>
                <w:spacing w:val="-2"/>
                <w:sz w:val="18"/>
                <w:szCs w:val="18"/>
              </w:rPr>
              <w:t>cultural and historical sites</w:t>
            </w:r>
          </w:p>
          <w:p w14:paraId="59ECAED5" w14:textId="77777777" w:rsidR="008715BE" w:rsidRPr="00EC75B7" w:rsidRDefault="00000000">
            <w:pPr>
              <w:pStyle w:val="TableParagraph"/>
              <w:spacing w:line="171" w:lineRule="exact"/>
              <w:ind w:left="109"/>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 xml:space="preserve">historical </w:t>
            </w:r>
            <w:r w:rsidRPr="00EC75B7">
              <w:rPr>
                <w:rFonts w:ascii="Verdana" w:hAnsi="Verdana"/>
                <w:sz w:val="18"/>
                <w:szCs w:val="18"/>
              </w:rPr>
              <w:t>sites</w:t>
            </w:r>
          </w:p>
        </w:tc>
        <w:tc>
          <w:tcPr>
            <w:tcW w:w="2479" w:type="dxa"/>
          </w:tcPr>
          <w:p w14:paraId="67FC028F" w14:textId="77777777" w:rsidR="008715BE" w:rsidRPr="00EC75B7" w:rsidRDefault="00000000">
            <w:pPr>
              <w:pStyle w:val="TableParagraph"/>
              <w:ind w:left="109" w:right="91"/>
              <w:jc w:val="both"/>
              <w:rPr>
                <w:rFonts w:ascii="Verdana" w:hAnsi="Verdana"/>
                <w:sz w:val="18"/>
                <w:szCs w:val="18"/>
              </w:rPr>
            </w:pPr>
            <w:r w:rsidRPr="00EC75B7">
              <w:rPr>
                <w:rFonts w:ascii="Verdana" w:hAnsi="Verdana"/>
                <w:sz w:val="18"/>
                <w:szCs w:val="18"/>
              </w:rPr>
              <w:t xml:space="preserve">Areas in the vicinity of historical monuments and archaeological sites that require special </w:t>
            </w:r>
            <w:r w:rsidRPr="00EC75B7">
              <w:rPr>
                <w:rFonts w:ascii="Verdana" w:hAnsi="Verdana"/>
                <w:spacing w:val="-2"/>
                <w:sz w:val="18"/>
                <w:szCs w:val="18"/>
              </w:rPr>
              <w:t xml:space="preserve">protection </w:t>
            </w:r>
            <w:r w:rsidRPr="00EC75B7">
              <w:rPr>
                <w:rFonts w:ascii="Verdana" w:hAnsi="Verdana"/>
                <w:sz w:val="18"/>
                <w:szCs w:val="18"/>
              </w:rPr>
              <w:t>measures</w:t>
            </w:r>
          </w:p>
        </w:tc>
        <w:tc>
          <w:tcPr>
            <w:tcW w:w="2926" w:type="dxa"/>
          </w:tcPr>
          <w:p w14:paraId="49FB1857" w14:textId="77777777" w:rsidR="008715BE" w:rsidRPr="00EC75B7" w:rsidRDefault="00000000">
            <w:pPr>
              <w:pStyle w:val="TableParagraph"/>
              <w:ind w:left="110" w:right="95"/>
              <w:jc w:val="both"/>
              <w:rPr>
                <w:rFonts w:ascii="Verdana" w:hAnsi="Verdana"/>
                <w:sz w:val="18"/>
                <w:szCs w:val="18"/>
              </w:rPr>
            </w:pPr>
            <w:r w:rsidRPr="00EC75B7">
              <w:rPr>
                <w:rFonts w:ascii="Verdana" w:hAnsi="Verdana"/>
                <w:sz w:val="18"/>
                <w:szCs w:val="18"/>
              </w:rPr>
              <w:t>Areas within the protection zone of historical monuments and archaeological sites</w:t>
            </w:r>
          </w:p>
          <w:p w14:paraId="40E1AD21" w14:textId="77777777" w:rsidR="008715BE" w:rsidRPr="00EC75B7" w:rsidRDefault="00000000">
            <w:pPr>
              <w:pStyle w:val="TableParagraph"/>
              <w:spacing w:line="193" w:lineRule="exact"/>
              <w:ind w:left="110"/>
              <w:jc w:val="both"/>
              <w:rPr>
                <w:rFonts w:ascii="Verdana" w:hAnsi="Verdana"/>
                <w:sz w:val="18"/>
                <w:szCs w:val="18"/>
              </w:rPr>
            </w:pPr>
            <w:r w:rsidRPr="00EC75B7">
              <w:rPr>
                <w:rFonts w:ascii="Verdana" w:hAnsi="Verdana"/>
                <w:sz w:val="18"/>
                <w:szCs w:val="18"/>
              </w:rPr>
              <w:t xml:space="preserve">Natural areas valued by </w:t>
            </w:r>
            <w:r w:rsidRPr="00EC75B7">
              <w:rPr>
                <w:rFonts w:ascii="Verdana" w:hAnsi="Verdana"/>
                <w:spacing w:val="-5"/>
                <w:sz w:val="18"/>
                <w:szCs w:val="18"/>
              </w:rPr>
              <w:t>ee/</w:t>
            </w:r>
          </w:p>
        </w:tc>
        <w:tc>
          <w:tcPr>
            <w:tcW w:w="3175" w:type="dxa"/>
          </w:tcPr>
          <w:p w14:paraId="2CBB9791" w14:textId="77777777" w:rsidR="008715BE" w:rsidRPr="00EC75B7" w:rsidRDefault="00000000">
            <w:pPr>
              <w:pStyle w:val="TableParagraph"/>
              <w:ind w:left="110" w:right="92"/>
              <w:jc w:val="both"/>
              <w:rPr>
                <w:rFonts w:ascii="Verdana" w:hAnsi="Verdana"/>
                <w:sz w:val="18"/>
                <w:szCs w:val="18"/>
              </w:rPr>
            </w:pPr>
            <w:r w:rsidRPr="00EC75B7">
              <w:rPr>
                <w:rFonts w:ascii="Verdana" w:hAnsi="Verdana"/>
                <w:sz w:val="18"/>
                <w:szCs w:val="18"/>
              </w:rPr>
              <w:t xml:space="preserve">Areas of high landscape value Areas with cultural heritage sites included in the </w:t>
            </w:r>
            <w:r w:rsidRPr="00EC75B7">
              <w:rPr>
                <w:rFonts w:ascii="Verdana" w:hAnsi="Verdana"/>
                <w:spacing w:val="-2"/>
                <w:sz w:val="18"/>
                <w:szCs w:val="18"/>
              </w:rPr>
              <w:t>UNESCO</w:t>
            </w:r>
            <w:r w:rsidRPr="00EC75B7">
              <w:rPr>
                <w:rFonts w:ascii="Verdana" w:hAnsi="Verdana"/>
                <w:sz w:val="18"/>
                <w:szCs w:val="18"/>
              </w:rPr>
              <w:t xml:space="preserve"> heritage</w:t>
            </w:r>
          </w:p>
          <w:p w14:paraId="33B26194" w14:textId="77777777" w:rsidR="008715BE" w:rsidRPr="00EC75B7" w:rsidRDefault="00000000">
            <w:pPr>
              <w:pStyle w:val="TableParagraph"/>
              <w:spacing w:line="192" w:lineRule="exact"/>
              <w:ind w:left="110"/>
              <w:jc w:val="both"/>
              <w:rPr>
                <w:rFonts w:ascii="Verdana" w:hAnsi="Verdana"/>
                <w:sz w:val="18"/>
                <w:szCs w:val="18"/>
              </w:rPr>
            </w:pPr>
            <w:r w:rsidRPr="00EC75B7">
              <w:rPr>
                <w:rFonts w:ascii="Verdana" w:hAnsi="Verdana"/>
                <w:sz w:val="18"/>
                <w:szCs w:val="18"/>
              </w:rPr>
              <w:t xml:space="preserve">Areas with </w:t>
            </w:r>
            <w:r w:rsidRPr="00EC75B7">
              <w:rPr>
                <w:rFonts w:ascii="Verdana" w:hAnsi="Verdana"/>
                <w:spacing w:val="-2"/>
                <w:sz w:val="18"/>
                <w:szCs w:val="18"/>
              </w:rPr>
              <w:t xml:space="preserve">protected </w:t>
            </w:r>
            <w:r w:rsidRPr="00EC75B7">
              <w:rPr>
                <w:rFonts w:ascii="Verdana" w:hAnsi="Verdana"/>
                <w:sz w:val="18"/>
                <w:szCs w:val="18"/>
              </w:rPr>
              <w:t>natural areas</w:t>
            </w:r>
          </w:p>
        </w:tc>
      </w:tr>
      <w:tr w:rsidR="008715BE" w:rsidRPr="00EC75B7" w14:paraId="6F660995" w14:textId="77777777">
        <w:trPr>
          <w:trHeight w:val="1557"/>
        </w:trPr>
        <w:tc>
          <w:tcPr>
            <w:tcW w:w="1608" w:type="dxa"/>
          </w:tcPr>
          <w:p w14:paraId="51959FDA" w14:textId="77777777" w:rsidR="008715BE" w:rsidRPr="00EC75B7" w:rsidRDefault="00000000">
            <w:pPr>
              <w:pStyle w:val="TableParagraph"/>
              <w:ind w:left="107"/>
              <w:rPr>
                <w:rFonts w:ascii="Verdana" w:hAnsi="Verdana"/>
                <w:b/>
                <w:sz w:val="18"/>
                <w:szCs w:val="18"/>
              </w:rPr>
            </w:pPr>
            <w:r w:rsidRPr="00EC75B7">
              <w:rPr>
                <w:rFonts w:ascii="Verdana" w:hAnsi="Verdana"/>
                <w:b/>
                <w:sz w:val="18"/>
                <w:szCs w:val="18"/>
              </w:rPr>
              <w:t xml:space="preserve">Social and </w:t>
            </w:r>
            <w:r w:rsidRPr="00EC75B7">
              <w:rPr>
                <w:rFonts w:ascii="Verdana" w:hAnsi="Verdana"/>
                <w:b/>
                <w:spacing w:val="-2"/>
                <w:sz w:val="18"/>
                <w:szCs w:val="18"/>
              </w:rPr>
              <w:t xml:space="preserve">economic </w:t>
            </w:r>
            <w:r w:rsidRPr="00EC75B7">
              <w:rPr>
                <w:rFonts w:ascii="Verdana" w:hAnsi="Verdana"/>
                <w:b/>
                <w:sz w:val="18"/>
                <w:szCs w:val="18"/>
              </w:rPr>
              <w:t>environment</w:t>
            </w:r>
          </w:p>
        </w:tc>
        <w:tc>
          <w:tcPr>
            <w:tcW w:w="2287" w:type="dxa"/>
          </w:tcPr>
          <w:p w14:paraId="74224376" w14:textId="77777777" w:rsidR="008715BE" w:rsidRPr="00EC75B7" w:rsidRDefault="00000000">
            <w:pPr>
              <w:pStyle w:val="TableParagraph"/>
              <w:ind w:left="108" w:right="93"/>
              <w:jc w:val="both"/>
              <w:rPr>
                <w:rFonts w:ascii="Verdana" w:hAnsi="Verdana"/>
                <w:sz w:val="18"/>
                <w:szCs w:val="18"/>
              </w:rPr>
            </w:pPr>
            <w:r w:rsidRPr="00EC75B7">
              <w:rPr>
                <w:rFonts w:ascii="Verdana" w:hAnsi="Verdana"/>
                <w:sz w:val="18"/>
                <w:szCs w:val="18"/>
              </w:rPr>
              <w:t xml:space="preserve">Areas with </w:t>
            </w:r>
            <w:r w:rsidRPr="00EC75B7">
              <w:rPr>
                <w:rFonts w:ascii="Verdana" w:hAnsi="Verdana"/>
                <w:spacing w:val="-2"/>
                <w:sz w:val="18"/>
                <w:szCs w:val="18"/>
              </w:rPr>
              <w:t xml:space="preserve">low </w:t>
            </w:r>
            <w:r w:rsidRPr="00EC75B7">
              <w:rPr>
                <w:rFonts w:ascii="Verdana" w:hAnsi="Verdana"/>
                <w:sz w:val="18"/>
                <w:szCs w:val="18"/>
              </w:rPr>
              <w:t>population density per km</w:t>
            </w:r>
            <w:r w:rsidRPr="00EC75B7">
              <w:rPr>
                <w:rFonts w:ascii="Verdana" w:hAnsi="Verdana"/>
                <w:sz w:val="18"/>
                <w:szCs w:val="18"/>
                <w:vertAlign w:val="superscript"/>
              </w:rPr>
              <w:t>2</w:t>
            </w:r>
          </w:p>
        </w:tc>
        <w:tc>
          <w:tcPr>
            <w:tcW w:w="2517" w:type="dxa"/>
          </w:tcPr>
          <w:p w14:paraId="6182FAD4" w14:textId="77777777" w:rsidR="008715BE" w:rsidRPr="00EC75B7" w:rsidRDefault="00000000">
            <w:pPr>
              <w:pStyle w:val="TableParagraph"/>
              <w:ind w:left="109" w:right="94"/>
              <w:jc w:val="both"/>
              <w:rPr>
                <w:rFonts w:ascii="Verdana" w:hAnsi="Verdana"/>
                <w:sz w:val="18"/>
                <w:szCs w:val="18"/>
              </w:rPr>
            </w:pPr>
            <w:r w:rsidRPr="00EC75B7">
              <w:rPr>
                <w:rFonts w:ascii="Verdana" w:hAnsi="Verdana"/>
                <w:sz w:val="18"/>
                <w:szCs w:val="18"/>
              </w:rPr>
              <w:t xml:space="preserve">Areas where other external factors oppose the implementation of </w:t>
            </w:r>
            <w:r w:rsidRPr="00EC75B7">
              <w:rPr>
                <w:rFonts w:ascii="Verdana" w:hAnsi="Verdana"/>
                <w:spacing w:val="-2"/>
                <w:sz w:val="18"/>
                <w:szCs w:val="18"/>
              </w:rPr>
              <w:t>the project</w:t>
            </w:r>
          </w:p>
          <w:p w14:paraId="78DD85AE" w14:textId="77777777" w:rsidR="008715BE" w:rsidRPr="00EC75B7" w:rsidRDefault="00000000">
            <w:pPr>
              <w:pStyle w:val="TableParagraph"/>
              <w:spacing w:before="191"/>
              <w:ind w:left="109" w:right="94"/>
              <w:jc w:val="both"/>
              <w:rPr>
                <w:rFonts w:ascii="Verdana" w:hAnsi="Verdana"/>
                <w:sz w:val="18"/>
                <w:szCs w:val="18"/>
              </w:rPr>
            </w:pPr>
            <w:r w:rsidRPr="00EC75B7">
              <w:rPr>
                <w:rFonts w:ascii="Verdana" w:hAnsi="Verdana"/>
                <w:sz w:val="18"/>
                <w:szCs w:val="18"/>
              </w:rPr>
              <w:t>Areas located more than 500 m from the boundary of the site under study</w:t>
            </w:r>
          </w:p>
        </w:tc>
        <w:tc>
          <w:tcPr>
            <w:tcW w:w="2479" w:type="dxa"/>
          </w:tcPr>
          <w:p w14:paraId="655E6F47" w14:textId="77777777" w:rsidR="008715BE" w:rsidRPr="00EC75B7" w:rsidRDefault="00000000">
            <w:pPr>
              <w:pStyle w:val="TableParagraph"/>
              <w:tabs>
                <w:tab w:val="left" w:pos="1145"/>
                <w:tab w:val="left" w:pos="1690"/>
              </w:tabs>
              <w:ind w:left="109" w:right="91"/>
              <w:jc w:val="both"/>
              <w:rPr>
                <w:rFonts w:ascii="Verdana" w:hAnsi="Verdana"/>
                <w:sz w:val="18"/>
                <w:szCs w:val="18"/>
              </w:rPr>
            </w:pPr>
            <w:r w:rsidRPr="00EC75B7">
              <w:rPr>
                <w:rFonts w:ascii="Verdana" w:hAnsi="Verdana"/>
                <w:sz w:val="18"/>
                <w:szCs w:val="18"/>
              </w:rPr>
              <w:t xml:space="preserve">Areas where stakeholders express concern about possible impacts on the local community as </w:t>
            </w:r>
            <w:r w:rsidRPr="00EC75B7">
              <w:rPr>
                <w:rFonts w:ascii="Verdana" w:hAnsi="Verdana"/>
                <w:spacing w:val="-2"/>
                <w:sz w:val="18"/>
                <w:szCs w:val="18"/>
              </w:rPr>
              <w:t>a result of</w:t>
            </w:r>
            <w:r w:rsidRPr="00EC75B7">
              <w:rPr>
                <w:rFonts w:ascii="Verdana" w:hAnsi="Verdana"/>
                <w:sz w:val="18"/>
                <w:szCs w:val="18"/>
              </w:rPr>
              <w:tab/>
            </w:r>
            <w:r w:rsidRPr="00EC75B7">
              <w:rPr>
                <w:rFonts w:ascii="Verdana" w:hAnsi="Verdana"/>
                <w:spacing w:val="-10"/>
                <w:sz w:val="18"/>
                <w:szCs w:val="18"/>
              </w:rPr>
              <w:t>of</w:t>
            </w:r>
            <w:r w:rsidRPr="00EC75B7">
              <w:rPr>
                <w:rFonts w:ascii="Verdana" w:hAnsi="Verdana"/>
                <w:sz w:val="18"/>
                <w:szCs w:val="18"/>
              </w:rPr>
              <w:tab/>
            </w:r>
            <w:r w:rsidRPr="00EC75B7">
              <w:rPr>
                <w:rFonts w:ascii="Verdana" w:hAnsi="Verdana"/>
                <w:spacing w:val="-2"/>
                <w:sz w:val="18"/>
                <w:szCs w:val="18"/>
              </w:rPr>
              <w:t>the implementation of the project</w:t>
            </w:r>
          </w:p>
        </w:tc>
        <w:tc>
          <w:tcPr>
            <w:tcW w:w="2926" w:type="dxa"/>
          </w:tcPr>
          <w:p w14:paraId="72DFD56D" w14:textId="77777777" w:rsidR="008715BE" w:rsidRPr="00EC75B7" w:rsidRDefault="00000000">
            <w:pPr>
              <w:pStyle w:val="TableParagraph"/>
              <w:ind w:left="110" w:right="94"/>
              <w:jc w:val="both"/>
              <w:rPr>
                <w:rFonts w:ascii="Verdana" w:hAnsi="Verdana"/>
                <w:sz w:val="18"/>
                <w:szCs w:val="18"/>
              </w:rPr>
            </w:pPr>
            <w:r w:rsidRPr="00EC75B7">
              <w:rPr>
                <w:rFonts w:ascii="Verdana" w:hAnsi="Verdana"/>
                <w:sz w:val="18"/>
                <w:szCs w:val="18"/>
              </w:rPr>
              <w:t>Areas dependent on a specific resource that will be used for the project and could affect the local community</w:t>
            </w:r>
          </w:p>
          <w:p w14:paraId="100BA040" w14:textId="77777777" w:rsidR="008715BE" w:rsidRPr="00EC75B7" w:rsidRDefault="00000000">
            <w:pPr>
              <w:pStyle w:val="TableParagraph"/>
              <w:tabs>
                <w:tab w:val="left" w:pos="1933"/>
              </w:tabs>
              <w:ind w:left="110" w:right="92"/>
              <w:jc w:val="both"/>
              <w:rPr>
                <w:rFonts w:ascii="Verdana" w:hAnsi="Verdana"/>
                <w:sz w:val="18"/>
                <w:szCs w:val="18"/>
              </w:rPr>
            </w:pPr>
            <w:r w:rsidRPr="00EC75B7">
              <w:rPr>
                <w:rFonts w:ascii="Verdana" w:hAnsi="Verdana"/>
                <w:sz w:val="18"/>
                <w:szCs w:val="18"/>
              </w:rPr>
              <w:t>Areas</w:t>
            </w:r>
            <w:r w:rsidRPr="00EC75B7">
              <w:rPr>
                <w:rFonts w:ascii="Verdana" w:hAnsi="Verdana"/>
                <w:spacing w:val="40"/>
                <w:sz w:val="18"/>
                <w:szCs w:val="18"/>
              </w:rPr>
              <w:t xml:space="preserve">  </w:t>
            </w:r>
            <w:r w:rsidRPr="00EC75B7">
              <w:rPr>
                <w:rFonts w:ascii="Verdana" w:hAnsi="Verdana"/>
                <w:sz w:val="18"/>
                <w:szCs w:val="18"/>
              </w:rPr>
              <w:t xml:space="preserve"> in</w:t>
            </w:r>
            <w:r w:rsidRPr="00EC75B7">
              <w:rPr>
                <w:rFonts w:ascii="Verdana" w:hAnsi="Verdana"/>
                <w:spacing w:val="40"/>
                <w:sz w:val="18"/>
                <w:szCs w:val="18"/>
              </w:rPr>
              <w:t xml:space="preserve">  </w:t>
            </w:r>
            <w:r w:rsidRPr="00EC75B7">
              <w:rPr>
                <w:rFonts w:ascii="Verdana" w:hAnsi="Verdana"/>
                <w:sz w:val="18"/>
                <w:szCs w:val="18"/>
              </w:rPr>
              <w:t xml:space="preserve"> where</w:t>
            </w:r>
            <w:r w:rsidRPr="00EC75B7">
              <w:rPr>
                <w:rFonts w:ascii="Verdana" w:hAnsi="Verdana"/>
                <w:sz w:val="18"/>
                <w:szCs w:val="18"/>
              </w:rPr>
              <w:tab/>
              <w:t xml:space="preserve">landowners oppose the implementation of this project and consider that </w:t>
            </w:r>
            <w:r w:rsidRPr="00EC75B7">
              <w:rPr>
                <w:rFonts w:ascii="Verdana" w:hAnsi="Verdana"/>
                <w:spacing w:val="-5"/>
                <w:sz w:val="18"/>
                <w:szCs w:val="18"/>
              </w:rPr>
              <w:t>their</w:t>
            </w:r>
          </w:p>
        </w:tc>
        <w:tc>
          <w:tcPr>
            <w:tcW w:w="3175" w:type="dxa"/>
          </w:tcPr>
          <w:p w14:paraId="290F6F39" w14:textId="77777777" w:rsidR="008715BE" w:rsidRPr="00EC75B7" w:rsidRDefault="00000000" w:rsidP="00791B3F">
            <w:pPr>
              <w:pStyle w:val="TableParagraph"/>
              <w:ind w:left="110"/>
              <w:jc w:val="both"/>
              <w:rPr>
                <w:rFonts w:ascii="Verdana" w:hAnsi="Verdana"/>
                <w:sz w:val="18"/>
                <w:szCs w:val="18"/>
              </w:rPr>
            </w:pPr>
            <w:r w:rsidRPr="00EC75B7">
              <w:rPr>
                <w:rFonts w:ascii="Verdana" w:hAnsi="Verdana"/>
                <w:sz w:val="18"/>
                <w:szCs w:val="18"/>
              </w:rPr>
              <w:t>Areas at risk of flooding for transport infrastructure</w:t>
            </w:r>
          </w:p>
          <w:p w14:paraId="502AAB7B" w14:textId="77777777" w:rsidR="008715BE" w:rsidRPr="00EC75B7" w:rsidRDefault="00000000" w:rsidP="00791B3F">
            <w:pPr>
              <w:pStyle w:val="TableParagraph"/>
              <w:ind w:left="110"/>
              <w:jc w:val="both"/>
              <w:rPr>
                <w:rFonts w:ascii="Verdana" w:hAnsi="Verdana"/>
                <w:sz w:val="18"/>
                <w:szCs w:val="18"/>
              </w:rPr>
            </w:pPr>
            <w:r w:rsidRPr="00EC75B7">
              <w:rPr>
                <w:rFonts w:ascii="Verdana" w:hAnsi="Verdana"/>
                <w:sz w:val="18"/>
                <w:szCs w:val="18"/>
              </w:rPr>
              <w:t>Areas at risk of flooding for economic activities</w:t>
            </w:r>
          </w:p>
          <w:p w14:paraId="10017C5B" w14:textId="77777777" w:rsidR="008715BE" w:rsidRPr="00EC75B7" w:rsidRDefault="00000000" w:rsidP="00791B3F">
            <w:pPr>
              <w:pStyle w:val="TableParagraph"/>
              <w:ind w:left="110"/>
              <w:jc w:val="both"/>
              <w:rPr>
                <w:rFonts w:ascii="Verdana" w:hAnsi="Verdana"/>
                <w:sz w:val="18"/>
                <w:szCs w:val="18"/>
              </w:rPr>
            </w:pPr>
            <w:r w:rsidRPr="00EC75B7">
              <w:rPr>
                <w:rFonts w:ascii="Verdana" w:hAnsi="Verdana"/>
                <w:sz w:val="18"/>
                <w:szCs w:val="18"/>
              </w:rPr>
              <w:t>Areas at risk of flooding for agricultural land</w:t>
            </w:r>
          </w:p>
          <w:p w14:paraId="240C6D67" w14:textId="77777777" w:rsidR="008715BE" w:rsidRPr="00EC75B7" w:rsidRDefault="00000000" w:rsidP="00791B3F">
            <w:pPr>
              <w:pStyle w:val="TableParagraph"/>
              <w:spacing w:line="193" w:lineRule="exact"/>
              <w:ind w:left="110"/>
              <w:jc w:val="both"/>
              <w:rPr>
                <w:rFonts w:ascii="Verdana" w:hAnsi="Verdana"/>
                <w:sz w:val="18"/>
                <w:szCs w:val="18"/>
              </w:rPr>
            </w:pPr>
            <w:r w:rsidRPr="00EC75B7">
              <w:rPr>
                <w:rFonts w:ascii="Verdana" w:hAnsi="Verdana"/>
                <w:sz w:val="18"/>
                <w:szCs w:val="18"/>
              </w:rPr>
              <w:t xml:space="preserve">Areas at risk of flooding </w:t>
            </w:r>
            <w:r w:rsidRPr="00EC75B7">
              <w:rPr>
                <w:rFonts w:ascii="Verdana" w:hAnsi="Verdana"/>
                <w:spacing w:val="-2"/>
                <w:sz w:val="18"/>
                <w:szCs w:val="18"/>
              </w:rPr>
              <w:t>for</w:t>
            </w:r>
          </w:p>
          <w:p w14:paraId="0BCDC0B1" w14:textId="77777777" w:rsidR="008715BE" w:rsidRPr="00EC75B7" w:rsidRDefault="00000000" w:rsidP="00791B3F">
            <w:pPr>
              <w:pStyle w:val="TableParagraph"/>
              <w:spacing w:line="177" w:lineRule="exact"/>
              <w:ind w:left="110"/>
              <w:jc w:val="both"/>
              <w:rPr>
                <w:rFonts w:ascii="Verdana" w:hAnsi="Verdana"/>
                <w:sz w:val="18"/>
                <w:szCs w:val="18"/>
              </w:rPr>
            </w:pPr>
            <w:r w:rsidRPr="00EC75B7">
              <w:rPr>
                <w:rFonts w:ascii="Verdana" w:hAnsi="Verdana"/>
                <w:spacing w:val="-2"/>
                <w:sz w:val="18"/>
                <w:szCs w:val="18"/>
              </w:rPr>
              <w:t xml:space="preserve">public </w:t>
            </w:r>
            <w:r w:rsidRPr="00EC75B7">
              <w:rPr>
                <w:rFonts w:ascii="Verdana" w:hAnsi="Verdana"/>
                <w:sz w:val="18"/>
                <w:szCs w:val="18"/>
              </w:rPr>
              <w:t>utility networks</w:t>
            </w:r>
          </w:p>
        </w:tc>
      </w:tr>
    </w:tbl>
    <w:p w14:paraId="388A9DAE" w14:textId="77777777" w:rsidR="008715BE" w:rsidRPr="00EC75B7" w:rsidRDefault="008715BE">
      <w:pPr>
        <w:pStyle w:val="TableParagraph"/>
        <w:spacing w:line="177" w:lineRule="exact"/>
        <w:rPr>
          <w:rFonts w:ascii="Verdana" w:hAnsi="Verdana"/>
          <w:sz w:val="18"/>
          <w:szCs w:val="18"/>
        </w:rPr>
        <w:sectPr w:rsidR="008715BE" w:rsidRPr="00EC75B7">
          <w:type w:val="continuous"/>
          <w:pgSz w:w="16850" w:h="11910" w:orient="landscape"/>
          <w:pgMar w:top="1280" w:right="283" w:bottom="1020" w:left="1417" w:header="834" w:footer="824" w:gutter="0"/>
          <w:cols w:space="708"/>
        </w:sectPr>
      </w:pPr>
    </w:p>
    <w:p w14:paraId="38CFDC20" w14:textId="77777777" w:rsidR="008715BE" w:rsidRPr="00EC75B7" w:rsidRDefault="008715BE">
      <w:pPr>
        <w:pStyle w:val="BodyText"/>
        <w:rPr>
          <w:rFonts w:ascii="Verdana" w:hAnsi="Verdana"/>
          <w:b/>
        </w:rPr>
      </w:pP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8715BE" w:rsidRPr="00EC75B7" w14:paraId="38D854A4" w14:textId="77777777">
        <w:trPr>
          <w:trHeight w:val="450"/>
        </w:trPr>
        <w:tc>
          <w:tcPr>
            <w:tcW w:w="1608" w:type="dxa"/>
            <w:vMerge w:val="restart"/>
            <w:shd w:val="clear" w:color="auto" w:fill="00AFEF"/>
          </w:tcPr>
          <w:p w14:paraId="193C8F25" w14:textId="77777777" w:rsidR="008715BE" w:rsidRPr="00EC75B7" w:rsidRDefault="008715BE">
            <w:pPr>
              <w:pStyle w:val="TableParagraph"/>
              <w:spacing w:before="57"/>
              <w:rPr>
                <w:rFonts w:ascii="Verdana" w:hAnsi="Verdana"/>
                <w:b/>
                <w:sz w:val="18"/>
                <w:szCs w:val="18"/>
              </w:rPr>
            </w:pPr>
          </w:p>
          <w:p w14:paraId="434C37E9" w14:textId="77777777" w:rsidR="008715BE" w:rsidRPr="00EC75B7" w:rsidRDefault="00000000">
            <w:pPr>
              <w:pStyle w:val="TableParagraph"/>
              <w:ind w:left="525" w:right="372" w:hanging="144"/>
              <w:rPr>
                <w:rFonts w:ascii="Verdana" w:hAnsi="Verdana"/>
                <w:b/>
                <w:sz w:val="18"/>
                <w:szCs w:val="18"/>
              </w:rPr>
            </w:pPr>
            <w:r w:rsidRPr="00EC75B7">
              <w:rPr>
                <w:rFonts w:ascii="Verdana" w:hAnsi="Verdana"/>
                <w:b/>
                <w:color w:val="FFFFFF"/>
                <w:spacing w:val="-2"/>
                <w:sz w:val="18"/>
                <w:szCs w:val="18"/>
              </w:rPr>
              <w:t xml:space="preserve">Environmental </w:t>
            </w:r>
            <w:r w:rsidRPr="00EC75B7">
              <w:rPr>
                <w:rFonts w:ascii="Verdana" w:hAnsi="Verdana"/>
                <w:b/>
                <w:color w:val="FFFFFF"/>
                <w:sz w:val="18"/>
                <w:szCs w:val="18"/>
              </w:rPr>
              <w:t>factor</w:t>
            </w:r>
          </w:p>
        </w:tc>
        <w:tc>
          <w:tcPr>
            <w:tcW w:w="13384" w:type="dxa"/>
            <w:gridSpan w:val="5"/>
            <w:shd w:val="clear" w:color="auto" w:fill="00AFEF"/>
          </w:tcPr>
          <w:p w14:paraId="5E09CBB2" w14:textId="77777777" w:rsidR="008715BE" w:rsidRPr="00EC75B7" w:rsidRDefault="00000000">
            <w:pPr>
              <w:pStyle w:val="TableParagraph"/>
              <w:spacing w:before="135"/>
              <w:ind w:left="10"/>
              <w:jc w:val="center"/>
              <w:rPr>
                <w:rFonts w:ascii="Verdana" w:hAnsi="Verdana"/>
                <w:b/>
                <w:sz w:val="18"/>
                <w:szCs w:val="18"/>
              </w:rPr>
            </w:pPr>
            <w:r w:rsidRPr="00EC75B7">
              <w:rPr>
                <w:rFonts w:ascii="Verdana" w:hAnsi="Verdana"/>
                <w:b/>
                <w:color w:val="FFFFFF"/>
                <w:spacing w:val="-2"/>
                <w:sz w:val="18"/>
                <w:szCs w:val="18"/>
              </w:rPr>
              <w:t xml:space="preserve">Sensitivity </w:t>
            </w:r>
            <w:r w:rsidRPr="00EC75B7">
              <w:rPr>
                <w:rFonts w:ascii="Verdana" w:hAnsi="Verdana"/>
                <w:b/>
                <w:color w:val="FFFFFF"/>
                <w:sz w:val="18"/>
                <w:szCs w:val="18"/>
              </w:rPr>
              <w:t>classes</w:t>
            </w:r>
          </w:p>
        </w:tc>
      </w:tr>
      <w:tr w:rsidR="008715BE" w:rsidRPr="00EC75B7" w14:paraId="64FF2287" w14:textId="77777777">
        <w:trPr>
          <w:trHeight w:val="417"/>
        </w:trPr>
        <w:tc>
          <w:tcPr>
            <w:tcW w:w="1608" w:type="dxa"/>
            <w:vMerge/>
            <w:tcBorders>
              <w:top w:val="nil"/>
            </w:tcBorders>
            <w:shd w:val="clear" w:color="auto" w:fill="00AFEF"/>
          </w:tcPr>
          <w:p w14:paraId="5E33DD69" w14:textId="77777777" w:rsidR="008715BE" w:rsidRPr="00EC75B7" w:rsidRDefault="008715BE">
            <w:pPr>
              <w:rPr>
                <w:rFonts w:ascii="Verdana" w:hAnsi="Verdana"/>
                <w:sz w:val="18"/>
                <w:szCs w:val="18"/>
              </w:rPr>
            </w:pPr>
          </w:p>
        </w:tc>
        <w:tc>
          <w:tcPr>
            <w:tcW w:w="2287" w:type="dxa"/>
            <w:shd w:val="clear" w:color="auto" w:fill="E1EED9"/>
          </w:tcPr>
          <w:p w14:paraId="06C1EA14" w14:textId="77777777" w:rsidR="008715BE" w:rsidRPr="00EC75B7" w:rsidRDefault="00000000">
            <w:pPr>
              <w:pStyle w:val="TableParagraph"/>
              <w:spacing w:before="118"/>
              <w:ind w:left="614"/>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low</w:t>
            </w:r>
          </w:p>
        </w:tc>
        <w:tc>
          <w:tcPr>
            <w:tcW w:w="2517" w:type="dxa"/>
            <w:shd w:val="clear" w:color="auto" w:fill="528135"/>
          </w:tcPr>
          <w:p w14:paraId="583DA814" w14:textId="77777777" w:rsidR="008715BE" w:rsidRPr="00EC75B7" w:rsidRDefault="00000000">
            <w:pPr>
              <w:pStyle w:val="TableParagraph"/>
              <w:spacing w:before="118"/>
              <w:ind w:left="11"/>
              <w:jc w:val="center"/>
              <w:rPr>
                <w:rFonts w:ascii="Verdana" w:hAnsi="Verdana"/>
                <w:b/>
                <w:sz w:val="18"/>
                <w:szCs w:val="18"/>
              </w:rPr>
            </w:pPr>
            <w:r w:rsidRPr="00EC75B7">
              <w:rPr>
                <w:rFonts w:ascii="Verdana" w:hAnsi="Verdana"/>
                <w:b/>
                <w:spacing w:val="-4"/>
                <w:sz w:val="18"/>
                <w:szCs w:val="18"/>
              </w:rPr>
              <w:t>Low</w:t>
            </w:r>
          </w:p>
        </w:tc>
        <w:tc>
          <w:tcPr>
            <w:tcW w:w="2479" w:type="dxa"/>
            <w:shd w:val="clear" w:color="auto" w:fill="FFFF00"/>
          </w:tcPr>
          <w:p w14:paraId="5065E48D" w14:textId="77777777" w:rsidR="008715BE" w:rsidRPr="00EC75B7" w:rsidRDefault="00000000">
            <w:pPr>
              <w:pStyle w:val="TableParagraph"/>
              <w:spacing w:before="118"/>
              <w:ind w:left="817"/>
              <w:rPr>
                <w:rFonts w:ascii="Verdana" w:hAnsi="Verdana"/>
                <w:b/>
                <w:sz w:val="18"/>
                <w:szCs w:val="18"/>
              </w:rPr>
            </w:pPr>
            <w:r w:rsidRPr="00EC75B7">
              <w:rPr>
                <w:rFonts w:ascii="Verdana" w:hAnsi="Verdana"/>
                <w:b/>
                <w:spacing w:val="-2"/>
                <w:sz w:val="18"/>
                <w:szCs w:val="18"/>
              </w:rPr>
              <w:t>Moderate</w:t>
            </w:r>
          </w:p>
        </w:tc>
        <w:tc>
          <w:tcPr>
            <w:tcW w:w="2926" w:type="dxa"/>
            <w:shd w:val="clear" w:color="auto" w:fill="F7C9AC"/>
          </w:tcPr>
          <w:p w14:paraId="6FFDD487" w14:textId="77777777" w:rsidR="008715BE" w:rsidRPr="00EC75B7" w:rsidRDefault="00000000">
            <w:pPr>
              <w:pStyle w:val="TableParagraph"/>
              <w:spacing w:before="118"/>
              <w:ind w:left="14"/>
              <w:jc w:val="center"/>
              <w:rPr>
                <w:rFonts w:ascii="Verdana" w:hAnsi="Verdana"/>
                <w:b/>
                <w:sz w:val="18"/>
                <w:szCs w:val="18"/>
              </w:rPr>
            </w:pPr>
            <w:r w:rsidRPr="00EC75B7">
              <w:rPr>
                <w:rFonts w:ascii="Verdana" w:hAnsi="Verdana"/>
                <w:b/>
                <w:spacing w:val="-4"/>
                <w:sz w:val="18"/>
                <w:szCs w:val="18"/>
              </w:rPr>
              <w:t>High</w:t>
            </w:r>
          </w:p>
        </w:tc>
        <w:tc>
          <w:tcPr>
            <w:tcW w:w="3175" w:type="dxa"/>
            <w:shd w:val="clear" w:color="auto" w:fill="FF0000"/>
          </w:tcPr>
          <w:p w14:paraId="77CF410A" w14:textId="77777777" w:rsidR="008715BE" w:rsidRPr="00EC75B7" w:rsidRDefault="00000000">
            <w:pPr>
              <w:pStyle w:val="TableParagraph"/>
              <w:spacing w:before="118"/>
              <w:ind w:left="1041"/>
              <w:rPr>
                <w:rFonts w:ascii="Verdana" w:hAnsi="Verdana"/>
                <w:b/>
                <w:sz w:val="18"/>
                <w:szCs w:val="18"/>
              </w:rPr>
            </w:pPr>
            <w:r w:rsidRPr="00EC75B7">
              <w:rPr>
                <w:rFonts w:ascii="Verdana" w:hAnsi="Verdana"/>
                <w:b/>
                <w:sz w:val="18"/>
                <w:szCs w:val="18"/>
              </w:rPr>
              <w:t xml:space="preserve">Very </w:t>
            </w:r>
            <w:r w:rsidRPr="00EC75B7">
              <w:rPr>
                <w:rFonts w:ascii="Verdana" w:hAnsi="Verdana"/>
                <w:b/>
                <w:spacing w:val="-4"/>
                <w:sz w:val="18"/>
                <w:szCs w:val="18"/>
              </w:rPr>
              <w:t>high</w:t>
            </w:r>
          </w:p>
        </w:tc>
      </w:tr>
      <w:tr w:rsidR="008715BE" w:rsidRPr="00EC75B7" w14:paraId="51CF798D" w14:textId="77777777">
        <w:trPr>
          <w:trHeight w:val="971"/>
        </w:trPr>
        <w:tc>
          <w:tcPr>
            <w:tcW w:w="1608" w:type="dxa"/>
          </w:tcPr>
          <w:p w14:paraId="2ADC85A9" w14:textId="77777777" w:rsidR="008715BE" w:rsidRPr="00EC75B7" w:rsidRDefault="008715BE">
            <w:pPr>
              <w:pStyle w:val="TableParagraph"/>
              <w:rPr>
                <w:rFonts w:ascii="Verdana" w:hAnsi="Verdana"/>
                <w:sz w:val="18"/>
                <w:szCs w:val="18"/>
              </w:rPr>
            </w:pPr>
          </w:p>
        </w:tc>
        <w:tc>
          <w:tcPr>
            <w:tcW w:w="2287" w:type="dxa"/>
          </w:tcPr>
          <w:p w14:paraId="69007E75" w14:textId="77777777" w:rsidR="008715BE" w:rsidRPr="00EC75B7" w:rsidRDefault="008715BE">
            <w:pPr>
              <w:pStyle w:val="TableParagraph"/>
              <w:rPr>
                <w:rFonts w:ascii="Verdana" w:hAnsi="Verdana"/>
                <w:sz w:val="18"/>
                <w:szCs w:val="18"/>
              </w:rPr>
            </w:pPr>
          </w:p>
        </w:tc>
        <w:tc>
          <w:tcPr>
            <w:tcW w:w="2517" w:type="dxa"/>
          </w:tcPr>
          <w:p w14:paraId="53003514" w14:textId="77777777" w:rsidR="008715BE" w:rsidRPr="00EC75B7" w:rsidRDefault="008715BE">
            <w:pPr>
              <w:pStyle w:val="TableParagraph"/>
              <w:rPr>
                <w:rFonts w:ascii="Verdana" w:hAnsi="Verdana"/>
                <w:sz w:val="18"/>
                <w:szCs w:val="18"/>
              </w:rPr>
            </w:pPr>
          </w:p>
        </w:tc>
        <w:tc>
          <w:tcPr>
            <w:tcW w:w="2479" w:type="dxa"/>
          </w:tcPr>
          <w:p w14:paraId="4A0133A8" w14:textId="77777777" w:rsidR="008715BE" w:rsidRPr="00EC75B7" w:rsidRDefault="008715BE">
            <w:pPr>
              <w:pStyle w:val="TableParagraph"/>
              <w:rPr>
                <w:rFonts w:ascii="Verdana" w:hAnsi="Verdana"/>
                <w:sz w:val="18"/>
                <w:szCs w:val="18"/>
              </w:rPr>
            </w:pPr>
          </w:p>
        </w:tc>
        <w:tc>
          <w:tcPr>
            <w:tcW w:w="2926" w:type="dxa"/>
          </w:tcPr>
          <w:p w14:paraId="2B278362" w14:textId="77777777" w:rsidR="008715BE" w:rsidRPr="00EC75B7" w:rsidRDefault="00000000">
            <w:pPr>
              <w:pStyle w:val="TableParagraph"/>
              <w:tabs>
                <w:tab w:val="left" w:pos="481"/>
                <w:tab w:val="left" w:pos="791"/>
                <w:tab w:val="left" w:pos="1647"/>
                <w:tab w:val="left" w:pos="2691"/>
              </w:tabs>
              <w:spacing w:before="8" w:line="195" w:lineRule="exact"/>
              <w:ind w:left="110"/>
              <w:rPr>
                <w:rFonts w:ascii="Verdana" w:hAnsi="Verdana"/>
                <w:sz w:val="18"/>
                <w:szCs w:val="18"/>
              </w:rPr>
            </w:pPr>
            <w:r w:rsidRPr="00EC75B7">
              <w:rPr>
                <w:rFonts w:ascii="Verdana" w:hAnsi="Verdana"/>
                <w:spacing w:val="-5"/>
                <w:sz w:val="18"/>
                <w:szCs w:val="18"/>
              </w:rPr>
              <w:t>would</w:t>
            </w:r>
            <w:r w:rsidRPr="00EC75B7">
              <w:rPr>
                <w:rFonts w:ascii="Verdana" w:hAnsi="Verdana"/>
                <w:sz w:val="18"/>
                <w:szCs w:val="18"/>
              </w:rPr>
              <w:tab/>
            </w:r>
            <w:r w:rsidRPr="00EC75B7">
              <w:rPr>
                <w:rFonts w:ascii="Verdana" w:hAnsi="Verdana"/>
                <w:spacing w:val="-5"/>
                <w:sz w:val="18"/>
                <w:szCs w:val="18"/>
              </w:rPr>
              <w:t>be</w:t>
            </w:r>
            <w:r w:rsidRPr="00EC75B7">
              <w:rPr>
                <w:rFonts w:ascii="Verdana" w:hAnsi="Verdana"/>
                <w:sz w:val="18"/>
                <w:szCs w:val="18"/>
              </w:rPr>
              <w:tab/>
            </w:r>
            <w:r w:rsidRPr="00EC75B7">
              <w:rPr>
                <w:rFonts w:ascii="Verdana" w:hAnsi="Verdana"/>
                <w:spacing w:val="-2"/>
                <w:sz w:val="18"/>
                <w:szCs w:val="18"/>
              </w:rPr>
              <w:t>affected</w:t>
            </w:r>
            <w:r w:rsidRPr="00EC75B7">
              <w:rPr>
                <w:rFonts w:ascii="Verdana" w:hAnsi="Verdana"/>
                <w:sz w:val="18"/>
                <w:szCs w:val="18"/>
              </w:rPr>
              <w:tab/>
            </w:r>
            <w:r w:rsidRPr="00EC75B7">
              <w:rPr>
                <w:rFonts w:ascii="Verdana" w:hAnsi="Verdana"/>
                <w:spacing w:val="-2"/>
                <w:sz w:val="18"/>
                <w:szCs w:val="18"/>
              </w:rPr>
              <w:t>the</w:t>
            </w:r>
            <w:r w:rsidRPr="00EC75B7">
              <w:rPr>
                <w:rFonts w:ascii="Verdana" w:hAnsi="Verdana"/>
                <w:sz w:val="18"/>
                <w:szCs w:val="18"/>
              </w:rPr>
              <w:tab/>
            </w:r>
            <w:r w:rsidRPr="00EC75B7">
              <w:rPr>
                <w:rFonts w:ascii="Verdana" w:hAnsi="Verdana"/>
                <w:spacing w:val="-5"/>
                <w:sz w:val="18"/>
                <w:szCs w:val="18"/>
              </w:rPr>
              <w:t>and</w:t>
            </w:r>
          </w:p>
          <w:p w14:paraId="25E807CB" w14:textId="77777777" w:rsidR="008715BE" w:rsidRPr="00EC75B7" w:rsidRDefault="00000000">
            <w:pPr>
              <w:pStyle w:val="TableParagraph"/>
              <w:spacing w:line="195" w:lineRule="exact"/>
              <w:ind w:left="110"/>
              <w:rPr>
                <w:rFonts w:ascii="Verdana" w:hAnsi="Verdana"/>
                <w:sz w:val="18"/>
                <w:szCs w:val="18"/>
              </w:rPr>
            </w:pPr>
            <w:r w:rsidRPr="00EC75B7">
              <w:rPr>
                <w:rFonts w:ascii="Verdana" w:hAnsi="Verdana"/>
                <w:spacing w:val="-2"/>
                <w:sz w:val="18"/>
                <w:szCs w:val="18"/>
              </w:rPr>
              <w:t>quality</w:t>
            </w:r>
          </w:p>
        </w:tc>
        <w:tc>
          <w:tcPr>
            <w:tcW w:w="3175" w:type="dxa"/>
          </w:tcPr>
          <w:p w14:paraId="517FAB45" w14:textId="77777777" w:rsidR="008715BE" w:rsidRPr="00EC75B7" w:rsidRDefault="00000000">
            <w:pPr>
              <w:pStyle w:val="TableParagraph"/>
              <w:spacing w:before="8"/>
              <w:ind w:left="110"/>
              <w:rPr>
                <w:rFonts w:ascii="Verdana" w:hAnsi="Verdana"/>
                <w:sz w:val="18"/>
                <w:szCs w:val="18"/>
              </w:rPr>
            </w:pPr>
            <w:r w:rsidRPr="00EC75B7">
              <w:rPr>
                <w:rFonts w:ascii="Verdana" w:hAnsi="Verdana"/>
                <w:sz w:val="18"/>
                <w:szCs w:val="18"/>
              </w:rPr>
              <w:t>Areas at risk of flooding for health and life</w:t>
            </w:r>
          </w:p>
          <w:p w14:paraId="391E1319" w14:textId="74CE4320" w:rsidR="008715BE" w:rsidRPr="00EC75B7" w:rsidRDefault="00000000" w:rsidP="00791B3F">
            <w:pPr>
              <w:pStyle w:val="TableParagraph"/>
              <w:ind w:left="110"/>
              <w:rPr>
                <w:rFonts w:ascii="Verdana" w:hAnsi="Verdana"/>
                <w:sz w:val="18"/>
                <w:szCs w:val="18"/>
              </w:rPr>
            </w:pPr>
            <w:r w:rsidRPr="00EC75B7">
              <w:rPr>
                <w:rFonts w:ascii="Verdana" w:hAnsi="Verdana"/>
                <w:sz w:val="18"/>
                <w:szCs w:val="18"/>
              </w:rPr>
              <w:t xml:space="preserve">Areas where the health of the population is affected by environmental </w:t>
            </w:r>
            <w:r w:rsidRPr="00EC75B7">
              <w:rPr>
                <w:rFonts w:ascii="Verdana" w:hAnsi="Verdana"/>
                <w:spacing w:val="-2"/>
                <w:sz w:val="18"/>
                <w:szCs w:val="18"/>
              </w:rPr>
              <w:t>conditions</w:t>
            </w:r>
          </w:p>
        </w:tc>
      </w:tr>
    </w:tbl>
    <w:p w14:paraId="1F76FD67" w14:textId="77777777" w:rsidR="008715BE" w:rsidRPr="00EC75B7" w:rsidRDefault="008715BE">
      <w:pPr>
        <w:pStyle w:val="TableParagraph"/>
        <w:spacing w:line="164" w:lineRule="exact"/>
        <w:rPr>
          <w:rFonts w:ascii="Verdana" w:hAnsi="Verdana"/>
          <w:sz w:val="18"/>
          <w:szCs w:val="18"/>
        </w:rPr>
        <w:sectPr w:rsidR="008715BE" w:rsidRPr="00EC75B7">
          <w:pgSz w:w="16850" w:h="11910" w:orient="landscape"/>
          <w:pgMar w:top="1220" w:right="283" w:bottom="1020" w:left="1417" w:header="834" w:footer="824" w:gutter="0"/>
          <w:cols w:space="708"/>
        </w:sectPr>
      </w:pPr>
    </w:p>
    <w:p w14:paraId="32E41077" w14:textId="77777777" w:rsidR="008715BE" w:rsidRPr="00EC75B7" w:rsidRDefault="00000000">
      <w:pPr>
        <w:pStyle w:val="BodyText"/>
        <w:spacing w:before="99" w:line="357" w:lineRule="auto"/>
        <w:ind w:left="57" w:right="143"/>
        <w:jc w:val="both"/>
        <w:rPr>
          <w:rFonts w:ascii="Verdana" w:hAnsi="Verdana"/>
        </w:rPr>
      </w:pPr>
      <w:r w:rsidRPr="00EC75B7">
        <w:rPr>
          <w:rFonts w:ascii="Verdana" w:hAnsi="Verdana"/>
        </w:rPr>
        <w:lastRenderedPageBreak/>
        <w:t>To assess the magnitude of the impact, a color-coded rating system was used, on a scale ranging from significantly negative to significantly positive, with intermediate values: weak and moderate, as follows:</w:t>
      </w:r>
    </w:p>
    <w:p w14:paraId="725879F9" w14:textId="77777777" w:rsidR="008715BE" w:rsidRPr="00EC75B7" w:rsidRDefault="00000000">
      <w:pPr>
        <w:spacing w:before="171"/>
        <w:ind w:left="57"/>
        <w:jc w:val="both"/>
        <w:rPr>
          <w:rFonts w:ascii="Verdana" w:hAnsi="Verdana"/>
          <w:b/>
          <w:sz w:val="18"/>
          <w:szCs w:val="18"/>
        </w:rPr>
      </w:pPr>
      <w:r w:rsidRPr="00EC75B7">
        <w:rPr>
          <w:rFonts w:ascii="Verdana" w:hAnsi="Verdana"/>
          <w:b/>
          <w:color w:val="00AFEF"/>
          <w:sz w:val="18"/>
          <w:szCs w:val="18"/>
        </w:rPr>
        <w:t xml:space="preserve">Table 66 Magnitude of impact on </w:t>
      </w:r>
      <w:r w:rsidRPr="00EC75B7">
        <w:rPr>
          <w:rFonts w:ascii="Verdana" w:hAnsi="Verdana"/>
          <w:b/>
          <w:color w:val="00AFEF"/>
          <w:spacing w:val="-4"/>
          <w:sz w:val="18"/>
          <w:szCs w:val="18"/>
        </w:rPr>
        <w:t xml:space="preserve">environmental </w:t>
      </w:r>
      <w:r w:rsidRPr="00EC75B7">
        <w:rPr>
          <w:rFonts w:ascii="Verdana" w:hAnsi="Verdana"/>
          <w:b/>
          <w:color w:val="00AFEF"/>
          <w:sz w:val="18"/>
          <w:szCs w:val="18"/>
        </w:rPr>
        <w:t>factors</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56"/>
        <w:gridCol w:w="1700"/>
        <w:gridCol w:w="1769"/>
        <w:gridCol w:w="1081"/>
        <w:gridCol w:w="1772"/>
        <w:gridCol w:w="1698"/>
      </w:tblGrid>
      <w:tr w:rsidR="008715BE" w:rsidRPr="00EC75B7" w14:paraId="3F209F60" w14:textId="77777777">
        <w:trPr>
          <w:trHeight w:val="388"/>
        </w:trPr>
        <w:tc>
          <w:tcPr>
            <w:tcW w:w="1556" w:type="dxa"/>
            <w:shd w:val="clear" w:color="auto" w:fill="00AFEF"/>
          </w:tcPr>
          <w:p w14:paraId="474C3001" w14:textId="77777777" w:rsidR="008715BE" w:rsidRPr="00EC75B7" w:rsidRDefault="00000000">
            <w:pPr>
              <w:pStyle w:val="TableParagraph"/>
              <w:spacing w:line="194" w:lineRule="exact"/>
              <w:ind w:left="108"/>
              <w:rPr>
                <w:rFonts w:ascii="Verdana" w:hAnsi="Verdana"/>
                <w:b/>
                <w:sz w:val="18"/>
                <w:szCs w:val="18"/>
              </w:rPr>
            </w:pPr>
            <w:r w:rsidRPr="00EC75B7">
              <w:rPr>
                <w:rFonts w:ascii="Verdana" w:hAnsi="Verdana"/>
                <w:b/>
                <w:color w:val="FFFFFF"/>
                <w:spacing w:val="-2"/>
                <w:sz w:val="18"/>
                <w:szCs w:val="18"/>
              </w:rPr>
              <w:t>SIGNIFICANT</w:t>
            </w:r>
          </w:p>
          <w:p w14:paraId="50DA7B97" w14:textId="77777777" w:rsidR="008715BE" w:rsidRPr="00EC75B7" w:rsidRDefault="00000000">
            <w:pPr>
              <w:pStyle w:val="TableParagraph"/>
              <w:spacing w:line="174" w:lineRule="exact"/>
              <w:ind w:left="108"/>
              <w:rPr>
                <w:rFonts w:ascii="Verdana" w:hAnsi="Verdana"/>
                <w:b/>
                <w:sz w:val="18"/>
                <w:szCs w:val="18"/>
              </w:rPr>
            </w:pPr>
            <w:r w:rsidRPr="00EC75B7">
              <w:rPr>
                <w:rFonts w:ascii="Verdana" w:hAnsi="Verdana"/>
                <w:b/>
                <w:color w:val="FFFFFF"/>
                <w:sz w:val="18"/>
                <w:szCs w:val="18"/>
              </w:rPr>
              <w:t>IMP</w:t>
            </w:r>
            <w:r w:rsidRPr="00EC75B7">
              <w:rPr>
                <w:rFonts w:ascii="Verdana" w:hAnsi="Verdana"/>
                <w:b/>
                <w:color w:val="FFFFFF"/>
                <w:spacing w:val="-2"/>
                <w:sz w:val="18"/>
                <w:szCs w:val="18"/>
              </w:rPr>
              <w:t>ACT</w:t>
            </w:r>
          </w:p>
        </w:tc>
        <w:tc>
          <w:tcPr>
            <w:tcW w:w="1700" w:type="dxa"/>
            <w:shd w:val="clear" w:color="auto" w:fill="FF0000"/>
          </w:tcPr>
          <w:p w14:paraId="68C438E7" w14:textId="77777777" w:rsidR="008715BE" w:rsidRPr="00EC75B7" w:rsidRDefault="00000000">
            <w:pPr>
              <w:pStyle w:val="TableParagraph"/>
              <w:spacing w:line="194" w:lineRule="exact"/>
              <w:ind w:left="9" w:right="5"/>
              <w:jc w:val="center"/>
              <w:rPr>
                <w:rFonts w:ascii="Verdana" w:hAnsi="Verdana"/>
                <w:b/>
                <w:sz w:val="18"/>
                <w:szCs w:val="18"/>
              </w:rPr>
            </w:pPr>
            <w:r w:rsidRPr="00EC75B7">
              <w:rPr>
                <w:rFonts w:ascii="Verdana" w:hAnsi="Verdana"/>
                <w:b/>
                <w:spacing w:val="-2"/>
                <w:sz w:val="18"/>
                <w:szCs w:val="18"/>
              </w:rPr>
              <w:t>Negative</w:t>
            </w:r>
          </w:p>
          <w:p w14:paraId="4AC7E915" w14:textId="77777777" w:rsidR="008715BE" w:rsidRPr="00EC75B7" w:rsidRDefault="00000000">
            <w:pPr>
              <w:pStyle w:val="TableParagraph"/>
              <w:spacing w:line="174" w:lineRule="exact"/>
              <w:ind w:left="9" w:right="1"/>
              <w:jc w:val="center"/>
              <w:rPr>
                <w:rFonts w:ascii="Verdana" w:hAnsi="Verdana"/>
                <w:b/>
                <w:sz w:val="18"/>
                <w:szCs w:val="18"/>
              </w:rPr>
            </w:pPr>
            <w:r w:rsidRPr="00EC75B7">
              <w:rPr>
                <w:rFonts w:ascii="Verdana" w:hAnsi="Verdana"/>
                <w:b/>
                <w:spacing w:val="-2"/>
                <w:sz w:val="18"/>
                <w:szCs w:val="18"/>
              </w:rPr>
              <w:t>Significant</w:t>
            </w:r>
          </w:p>
        </w:tc>
        <w:tc>
          <w:tcPr>
            <w:tcW w:w="1769" w:type="dxa"/>
            <w:shd w:val="clear" w:color="auto" w:fill="FFF1CC"/>
          </w:tcPr>
          <w:p w14:paraId="7245AB6F" w14:textId="77777777" w:rsidR="008715BE" w:rsidRPr="00EC75B7" w:rsidRDefault="00000000">
            <w:pPr>
              <w:pStyle w:val="TableParagraph"/>
              <w:spacing w:line="194" w:lineRule="exact"/>
              <w:ind w:left="11" w:right="5"/>
              <w:jc w:val="center"/>
              <w:rPr>
                <w:rFonts w:ascii="Verdana" w:hAnsi="Verdana"/>
                <w:b/>
                <w:sz w:val="18"/>
                <w:szCs w:val="18"/>
              </w:rPr>
            </w:pPr>
            <w:r w:rsidRPr="00EC75B7">
              <w:rPr>
                <w:rFonts w:ascii="Verdana" w:hAnsi="Verdana"/>
                <w:b/>
                <w:spacing w:val="-2"/>
                <w:sz w:val="18"/>
                <w:szCs w:val="18"/>
              </w:rPr>
              <w:t>Negative</w:t>
            </w:r>
          </w:p>
          <w:p w14:paraId="75CEB53C" w14:textId="77777777" w:rsidR="008715BE" w:rsidRPr="00EC75B7" w:rsidRDefault="00000000">
            <w:pPr>
              <w:pStyle w:val="TableParagraph"/>
              <w:spacing w:line="174" w:lineRule="exact"/>
              <w:ind w:left="11" w:right="5"/>
              <w:jc w:val="center"/>
              <w:rPr>
                <w:rFonts w:ascii="Verdana" w:hAnsi="Verdana"/>
                <w:b/>
                <w:sz w:val="18"/>
                <w:szCs w:val="18"/>
              </w:rPr>
            </w:pPr>
            <w:r w:rsidRPr="00EC75B7">
              <w:rPr>
                <w:rFonts w:ascii="Verdana" w:hAnsi="Verdana"/>
                <w:b/>
                <w:spacing w:val="-2"/>
                <w:sz w:val="18"/>
                <w:szCs w:val="18"/>
              </w:rPr>
              <w:t>Insignificant</w:t>
            </w:r>
          </w:p>
        </w:tc>
        <w:tc>
          <w:tcPr>
            <w:tcW w:w="1081" w:type="dxa"/>
            <w:shd w:val="clear" w:color="auto" w:fill="FFFF00"/>
          </w:tcPr>
          <w:p w14:paraId="160BBF01" w14:textId="77777777" w:rsidR="008715BE" w:rsidRPr="00EC75B7" w:rsidRDefault="00000000">
            <w:pPr>
              <w:pStyle w:val="TableParagraph"/>
              <w:spacing w:before="97"/>
              <w:ind w:left="227"/>
              <w:rPr>
                <w:rFonts w:ascii="Verdana" w:hAnsi="Verdana"/>
                <w:b/>
                <w:sz w:val="18"/>
                <w:szCs w:val="18"/>
              </w:rPr>
            </w:pPr>
            <w:r w:rsidRPr="00EC75B7">
              <w:rPr>
                <w:rFonts w:ascii="Verdana" w:hAnsi="Verdana"/>
                <w:b/>
                <w:spacing w:val="-2"/>
                <w:sz w:val="18"/>
                <w:szCs w:val="18"/>
              </w:rPr>
              <w:t>Neutral</w:t>
            </w:r>
          </w:p>
        </w:tc>
        <w:tc>
          <w:tcPr>
            <w:tcW w:w="1772" w:type="dxa"/>
            <w:shd w:val="clear" w:color="auto" w:fill="C5DFB3"/>
          </w:tcPr>
          <w:p w14:paraId="5BAB34BF" w14:textId="77777777" w:rsidR="008715BE" w:rsidRPr="00EC75B7" w:rsidRDefault="00000000">
            <w:pPr>
              <w:pStyle w:val="TableParagraph"/>
              <w:spacing w:line="194" w:lineRule="exact"/>
              <w:ind w:left="11" w:right="4"/>
              <w:jc w:val="center"/>
              <w:rPr>
                <w:rFonts w:ascii="Verdana" w:hAnsi="Verdana"/>
                <w:b/>
                <w:sz w:val="18"/>
                <w:szCs w:val="18"/>
              </w:rPr>
            </w:pPr>
            <w:r w:rsidRPr="00EC75B7">
              <w:rPr>
                <w:rFonts w:ascii="Verdana" w:hAnsi="Verdana"/>
                <w:b/>
                <w:spacing w:val="-2"/>
                <w:sz w:val="18"/>
                <w:szCs w:val="18"/>
              </w:rPr>
              <w:t>Positive</w:t>
            </w:r>
          </w:p>
          <w:p w14:paraId="521363BE" w14:textId="77777777" w:rsidR="008715BE" w:rsidRPr="00EC75B7" w:rsidRDefault="00000000">
            <w:pPr>
              <w:pStyle w:val="TableParagraph"/>
              <w:spacing w:line="174" w:lineRule="exact"/>
              <w:ind w:left="11" w:right="5"/>
              <w:jc w:val="center"/>
              <w:rPr>
                <w:rFonts w:ascii="Verdana" w:hAnsi="Verdana"/>
                <w:b/>
                <w:sz w:val="18"/>
                <w:szCs w:val="18"/>
              </w:rPr>
            </w:pPr>
            <w:r w:rsidRPr="00EC75B7">
              <w:rPr>
                <w:rFonts w:ascii="Verdana" w:hAnsi="Verdana"/>
                <w:b/>
                <w:spacing w:val="-2"/>
                <w:sz w:val="18"/>
                <w:szCs w:val="18"/>
              </w:rPr>
              <w:t>insignificant</w:t>
            </w:r>
          </w:p>
        </w:tc>
        <w:tc>
          <w:tcPr>
            <w:tcW w:w="1698" w:type="dxa"/>
            <w:shd w:val="clear" w:color="auto" w:fill="92D050"/>
          </w:tcPr>
          <w:p w14:paraId="4CE6607E" w14:textId="77777777" w:rsidR="008715BE" w:rsidRPr="00EC75B7" w:rsidRDefault="00000000">
            <w:pPr>
              <w:pStyle w:val="TableParagraph"/>
              <w:spacing w:line="194" w:lineRule="exact"/>
              <w:ind w:left="8"/>
              <w:jc w:val="center"/>
              <w:rPr>
                <w:rFonts w:ascii="Verdana" w:hAnsi="Verdana"/>
                <w:b/>
                <w:sz w:val="18"/>
                <w:szCs w:val="18"/>
              </w:rPr>
            </w:pPr>
            <w:r w:rsidRPr="00EC75B7">
              <w:rPr>
                <w:rFonts w:ascii="Verdana" w:hAnsi="Verdana"/>
                <w:b/>
                <w:spacing w:val="-2"/>
                <w:sz w:val="18"/>
                <w:szCs w:val="18"/>
              </w:rPr>
              <w:t>Positive</w:t>
            </w:r>
          </w:p>
          <w:p w14:paraId="3D108DE7" w14:textId="77777777" w:rsidR="008715BE" w:rsidRPr="00EC75B7" w:rsidRDefault="00000000">
            <w:pPr>
              <w:pStyle w:val="TableParagraph"/>
              <w:spacing w:line="174" w:lineRule="exact"/>
              <w:ind w:left="8"/>
              <w:jc w:val="center"/>
              <w:rPr>
                <w:rFonts w:ascii="Verdana" w:hAnsi="Verdana"/>
                <w:b/>
                <w:sz w:val="18"/>
                <w:szCs w:val="18"/>
              </w:rPr>
            </w:pPr>
            <w:r w:rsidRPr="00EC75B7">
              <w:rPr>
                <w:rFonts w:ascii="Verdana" w:hAnsi="Verdana"/>
                <w:b/>
                <w:spacing w:val="-2"/>
                <w:sz w:val="18"/>
                <w:szCs w:val="18"/>
              </w:rPr>
              <w:t>Significant</w:t>
            </w:r>
          </w:p>
        </w:tc>
      </w:tr>
      <w:tr w:rsidR="008715BE" w:rsidRPr="00EC75B7" w14:paraId="70BCF5B8" w14:textId="77777777">
        <w:trPr>
          <w:trHeight w:val="388"/>
        </w:trPr>
        <w:tc>
          <w:tcPr>
            <w:tcW w:w="1556" w:type="dxa"/>
            <w:shd w:val="clear" w:color="auto" w:fill="F1F1F1"/>
          </w:tcPr>
          <w:p w14:paraId="618EF226" w14:textId="77777777" w:rsidR="008715BE" w:rsidRPr="00EC75B7" w:rsidRDefault="00000000">
            <w:pPr>
              <w:pStyle w:val="TableParagraph"/>
              <w:spacing w:before="97"/>
              <w:ind w:left="12" w:right="4"/>
              <w:jc w:val="center"/>
              <w:rPr>
                <w:rFonts w:ascii="Verdana" w:hAnsi="Verdana"/>
                <w:sz w:val="18"/>
                <w:szCs w:val="18"/>
              </w:rPr>
            </w:pPr>
            <w:r w:rsidRPr="00EC75B7">
              <w:rPr>
                <w:rFonts w:ascii="Verdana" w:hAnsi="Verdana"/>
                <w:sz w:val="18"/>
                <w:szCs w:val="18"/>
              </w:rPr>
              <w:t xml:space="preserve">Type of </w:t>
            </w:r>
            <w:r w:rsidRPr="00EC75B7">
              <w:rPr>
                <w:rFonts w:ascii="Verdana" w:hAnsi="Verdana"/>
                <w:spacing w:val="-2"/>
                <w:sz w:val="18"/>
                <w:szCs w:val="18"/>
              </w:rPr>
              <w:t>impact</w:t>
            </w:r>
          </w:p>
        </w:tc>
        <w:tc>
          <w:tcPr>
            <w:tcW w:w="1700" w:type="dxa"/>
          </w:tcPr>
          <w:p w14:paraId="43EC988F" w14:textId="77777777" w:rsidR="008715BE" w:rsidRPr="00EC75B7" w:rsidRDefault="00000000">
            <w:pPr>
              <w:pStyle w:val="TableParagraph"/>
              <w:spacing w:line="194" w:lineRule="exact"/>
              <w:ind w:left="517"/>
              <w:rPr>
                <w:rFonts w:ascii="Verdana" w:hAnsi="Verdana"/>
                <w:sz w:val="18"/>
                <w:szCs w:val="18"/>
              </w:rPr>
            </w:pPr>
            <w:r w:rsidRPr="00EC75B7">
              <w:rPr>
                <w:rFonts w:ascii="Verdana" w:hAnsi="Verdana"/>
                <w:sz w:val="18"/>
                <w:szCs w:val="18"/>
              </w:rPr>
              <w:t xml:space="preserve">Direct </w:t>
            </w:r>
            <w:r w:rsidRPr="00EC75B7">
              <w:rPr>
                <w:rFonts w:ascii="Verdana" w:hAnsi="Verdana"/>
                <w:spacing w:val="-7"/>
                <w:sz w:val="18"/>
                <w:szCs w:val="18"/>
              </w:rPr>
              <w:t>and</w:t>
            </w:r>
          </w:p>
          <w:p w14:paraId="66A59058" w14:textId="77777777" w:rsidR="008715BE" w:rsidRPr="00EC75B7" w:rsidRDefault="00000000">
            <w:pPr>
              <w:pStyle w:val="TableParagraph"/>
              <w:spacing w:line="174" w:lineRule="exact"/>
              <w:ind w:left="457"/>
              <w:rPr>
                <w:rFonts w:ascii="Verdana" w:hAnsi="Verdana"/>
                <w:sz w:val="18"/>
                <w:szCs w:val="18"/>
              </w:rPr>
            </w:pPr>
            <w:r w:rsidRPr="00EC75B7">
              <w:rPr>
                <w:rFonts w:ascii="Verdana" w:hAnsi="Verdana"/>
                <w:spacing w:val="-2"/>
                <w:sz w:val="18"/>
                <w:szCs w:val="18"/>
              </w:rPr>
              <w:t>cumulative</w:t>
            </w:r>
          </w:p>
        </w:tc>
        <w:tc>
          <w:tcPr>
            <w:tcW w:w="1769" w:type="dxa"/>
          </w:tcPr>
          <w:p w14:paraId="789F7D78" w14:textId="77777777" w:rsidR="008715BE" w:rsidRPr="00EC75B7" w:rsidRDefault="00000000">
            <w:pPr>
              <w:pStyle w:val="TableParagraph"/>
              <w:spacing w:before="97"/>
              <w:ind w:left="11" w:right="4"/>
              <w:jc w:val="center"/>
              <w:rPr>
                <w:rFonts w:ascii="Verdana" w:hAnsi="Verdana"/>
                <w:sz w:val="18"/>
                <w:szCs w:val="18"/>
              </w:rPr>
            </w:pPr>
            <w:r w:rsidRPr="00EC75B7">
              <w:rPr>
                <w:rFonts w:ascii="Verdana" w:hAnsi="Verdana"/>
                <w:sz w:val="18"/>
                <w:szCs w:val="18"/>
              </w:rPr>
              <w:t xml:space="preserve">Direct and </w:t>
            </w:r>
            <w:r w:rsidRPr="00EC75B7">
              <w:rPr>
                <w:rFonts w:ascii="Verdana" w:hAnsi="Verdana"/>
                <w:spacing w:val="-2"/>
                <w:sz w:val="18"/>
                <w:szCs w:val="18"/>
              </w:rPr>
              <w:t>indirect</w:t>
            </w:r>
          </w:p>
        </w:tc>
        <w:tc>
          <w:tcPr>
            <w:tcW w:w="1081" w:type="dxa"/>
          </w:tcPr>
          <w:p w14:paraId="199D6E51" w14:textId="77777777" w:rsidR="008715BE" w:rsidRPr="00EC75B7" w:rsidRDefault="00000000">
            <w:pPr>
              <w:pStyle w:val="TableParagraph"/>
              <w:spacing w:line="194" w:lineRule="exact"/>
              <w:ind w:left="361"/>
              <w:rPr>
                <w:rFonts w:ascii="Verdana" w:hAnsi="Verdana"/>
                <w:sz w:val="18"/>
                <w:szCs w:val="18"/>
              </w:rPr>
            </w:pPr>
            <w:r w:rsidRPr="00EC75B7">
              <w:rPr>
                <w:rFonts w:ascii="Verdana" w:hAnsi="Verdana"/>
                <w:spacing w:val="-4"/>
                <w:sz w:val="18"/>
                <w:szCs w:val="18"/>
              </w:rPr>
              <w:t>None</w:t>
            </w:r>
          </w:p>
          <w:p w14:paraId="479DC782" w14:textId="77777777" w:rsidR="008715BE" w:rsidRPr="00EC75B7" w:rsidRDefault="00000000">
            <w:pPr>
              <w:pStyle w:val="TableParagraph"/>
              <w:spacing w:line="174" w:lineRule="exact"/>
              <w:ind w:left="267"/>
              <w:rPr>
                <w:rFonts w:ascii="Verdana" w:hAnsi="Verdana"/>
                <w:sz w:val="18"/>
                <w:szCs w:val="18"/>
              </w:rPr>
            </w:pPr>
            <w:r w:rsidRPr="00EC75B7">
              <w:rPr>
                <w:rFonts w:ascii="Verdana" w:hAnsi="Verdana"/>
                <w:spacing w:val="-2"/>
                <w:sz w:val="18"/>
                <w:szCs w:val="18"/>
              </w:rPr>
              <w:t>impact</w:t>
            </w:r>
          </w:p>
        </w:tc>
        <w:tc>
          <w:tcPr>
            <w:tcW w:w="1772" w:type="dxa"/>
          </w:tcPr>
          <w:p w14:paraId="0AFB94E8" w14:textId="77777777" w:rsidR="008715BE" w:rsidRPr="00EC75B7" w:rsidRDefault="00000000">
            <w:pPr>
              <w:pStyle w:val="TableParagraph"/>
              <w:spacing w:before="97"/>
              <w:ind w:left="11" w:right="4"/>
              <w:jc w:val="center"/>
              <w:rPr>
                <w:rFonts w:ascii="Verdana" w:hAnsi="Verdana"/>
                <w:sz w:val="18"/>
                <w:szCs w:val="18"/>
              </w:rPr>
            </w:pPr>
            <w:r w:rsidRPr="00EC75B7">
              <w:rPr>
                <w:rFonts w:ascii="Verdana" w:hAnsi="Verdana"/>
                <w:sz w:val="18"/>
                <w:szCs w:val="18"/>
              </w:rPr>
              <w:t xml:space="preserve">Direct and </w:t>
            </w:r>
            <w:r w:rsidRPr="00EC75B7">
              <w:rPr>
                <w:rFonts w:ascii="Verdana" w:hAnsi="Verdana"/>
                <w:spacing w:val="-2"/>
                <w:sz w:val="18"/>
                <w:szCs w:val="18"/>
              </w:rPr>
              <w:t>indirect</w:t>
            </w:r>
          </w:p>
        </w:tc>
        <w:tc>
          <w:tcPr>
            <w:tcW w:w="1698" w:type="dxa"/>
          </w:tcPr>
          <w:p w14:paraId="708C311D" w14:textId="77777777" w:rsidR="008715BE" w:rsidRPr="00EC75B7" w:rsidRDefault="00000000">
            <w:pPr>
              <w:pStyle w:val="TableParagraph"/>
              <w:spacing w:line="194" w:lineRule="exact"/>
              <w:ind w:left="516"/>
              <w:rPr>
                <w:rFonts w:ascii="Verdana" w:hAnsi="Verdana"/>
                <w:sz w:val="18"/>
                <w:szCs w:val="18"/>
              </w:rPr>
            </w:pPr>
            <w:r w:rsidRPr="00EC75B7">
              <w:rPr>
                <w:rFonts w:ascii="Verdana" w:hAnsi="Verdana"/>
                <w:sz w:val="18"/>
                <w:szCs w:val="18"/>
              </w:rPr>
              <w:t xml:space="preserve">Direct </w:t>
            </w:r>
            <w:r w:rsidRPr="00EC75B7">
              <w:rPr>
                <w:rFonts w:ascii="Verdana" w:hAnsi="Verdana"/>
                <w:spacing w:val="-7"/>
                <w:sz w:val="18"/>
                <w:szCs w:val="18"/>
              </w:rPr>
              <w:t>and</w:t>
            </w:r>
          </w:p>
          <w:p w14:paraId="4D452583" w14:textId="77777777" w:rsidR="008715BE" w:rsidRPr="00EC75B7" w:rsidRDefault="00000000">
            <w:pPr>
              <w:pStyle w:val="TableParagraph"/>
              <w:spacing w:line="174" w:lineRule="exact"/>
              <w:ind w:left="456"/>
              <w:rPr>
                <w:rFonts w:ascii="Verdana" w:hAnsi="Verdana"/>
                <w:sz w:val="18"/>
                <w:szCs w:val="18"/>
              </w:rPr>
            </w:pPr>
            <w:r w:rsidRPr="00EC75B7">
              <w:rPr>
                <w:rFonts w:ascii="Verdana" w:hAnsi="Verdana"/>
                <w:spacing w:val="-2"/>
                <w:sz w:val="18"/>
                <w:szCs w:val="18"/>
              </w:rPr>
              <w:t>Cumulative</w:t>
            </w:r>
          </w:p>
        </w:tc>
      </w:tr>
      <w:tr w:rsidR="008715BE" w:rsidRPr="00EC75B7" w14:paraId="7D14458A" w14:textId="77777777">
        <w:trPr>
          <w:trHeight w:val="390"/>
        </w:trPr>
        <w:tc>
          <w:tcPr>
            <w:tcW w:w="1556" w:type="dxa"/>
            <w:shd w:val="clear" w:color="auto" w:fill="F1F1F1"/>
          </w:tcPr>
          <w:p w14:paraId="1C2B7999" w14:textId="77777777" w:rsidR="008715BE" w:rsidRPr="00EC75B7" w:rsidRDefault="00000000">
            <w:pPr>
              <w:pStyle w:val="TableParagraph"/>
              <w:spacing w:before="1" w:line="195" w:lineRule="exact"/>
              <w:ind w:left="12" w:right="6"/>
              <w:jc w:val="center"/>
              <w:rPr>
                <w:rFonts w:ascii="Verdana" w:hAnsi="Verdana"/>
                <w:sz w:val="18"/>
                <w:szCs w:val="18"/>
              </w:rPr>
            </w:pPr>
            <w:r w:rsidRPr="00EC75B7">
              <w:rPr>
                <w:rFonts w:ascii="Verdana" w:hAnsi="Verdana"/>
                <w:spacing w:val="-2"/>
                <w:sz w:val="18"/>
                <w:szCs w:val="18"/>
              </w:rPr>
              <w:t>Reversibility</w:t>
            </w:r>
          </w:p>
          <w:p w14:paraId="4AE4AFD5" w14:textId="77777777" w:rsidR="008715BE" w:rsidRPr="00EC75B7" w:rsidRDefault="00000000">
            <w:pPr>
              <w:pStyle w:val="TableParagraph"/>
              <w:spacing w:line="174" w:lineRule="exact"/>
              <w:ind w:left="12" w:right="7"/>
              <w:jc w:val="center"/>
              <w:rPr>
                <w:rFonts w:ascii="Verdana" w:hAnsi="Verdana"/>
                <w:sz w:val="18"/>
                <w:szCs w:val="18"/>
              </w:rPr>
            </w:pPr>
            <w:r w:rsidRPr="00EC75B7">
              <w:rPr>
                <w:rFonts w:ascii="Verdana" w:hAnsi="Verdana"/>
                <w:spacing w:val="-2"/>
                <w:sz w:val="18"/>
                <w:szCs w:val="18"/>
              </w:rPr>
              <w:t>of impact</w:t>
            </w:r>
          </w:p>
        </w:tc>
        <w:tc>
          <w:tcPr>
            <w:tcW w:w="1700" w:type="dxa"/>
            <w:shd w:val="clear" w:color="auto" w:fill="E7E6E6"/>
          </w:tcPr>
          <w:p w14:paraId="423A62A2" w14:textId="77777777" w:rsidR="008715BE" w:rsidRPr="00EC75B7" w:rsidRDefault="00000000">
            <w:pPr>
              <w:pStyle w:val="TableParagraph"/>
              <w:spacing w:before="97"/>
              <w:ind w:left="9" w:right="4"/>
              <w:jc w:val="center"/>
              <w:rPr>
                <w:rFonts w:ascii="Verdana" w:hAnsi="Verdana"/>
                <w:sz w:val="18"/>
                <w:szCs w:val="18"/>
              </w:rPr>
            </w:pPr>
            <w:r w:rsidRPr="00EC75B7">
              <w:rPr>
                <w:rFonts w:ascii="Verdana" w:hAnsi="Verdana"/>
                <w:spacing w:val="-2"/>
                <w:sz w:val="18"/>
                <w:szCs w:val="18"/>
              </w:rPr>
              <w:t>Irreversible</w:t>
            </w:r>
          </w:p>
        </w:tc>
        <w:tc>
          <w:tcPr>
            <w:tcW w:w="1769" w:type="dxa"/>
            <w:shd w:val="clear" w:color="auto" w:fill="E7E6E6"/>
          </w:tcPr>
          <w:p w14:paraId="54E6BC0A" w14:textId="77777777" w:rsidR="008715BE" w:rsidRPr="00EC75B7" w:rsidRDefault="00000000">
            <w:pPr>
              <w:pStyle w:val="TableParagraph"/>
              <w:spacing w:before="1" w:line="195" w:lineRule="exact"/>
              <w:ind w:left="11" w:right="4"/>
              <w:jc w:val="center"/>
              <w:rPr>
                <w:rFonts w:ascii="Verdana" w:hAnsi="Verdana"/>
                <w:sz w:val="18"/>
                <w:szCs w:val="18"/>
              </w:rPr>
            </w:pPr>
            <w:r w:rsidRPr="00EC75B7">
              <w:rPr>
                <w:rFonts w:ascii="Verdana" w:hAnsi="Verdana"/>
                <w:sz w:val="18"/>
                <w:szCs w:val="18"/>
              </w:rPr>
              <w:t xml:space="preserve">Momentary </w:t>
            </w:r>
            <w:r w:rsidRPr="00EC75B7">
              <w:rPr>
                <w:rFonts w:ascii="Verdana" w:hAnsi="Verdana"/>
                <w:spacing w:val="-5"/>
                <w:sz w:val="18"/>
                <w:szCs w:val="18"/>
              </w:rPr>
              <w:t>and</w:t>
            </w:r>
          </w:p>
          <w:p w14:paraId="32C8A7A5" w14:textId="77777777" w:rsidR="008715BE" w:rsidRPr="00EC75B7" w:rsidRDefault="00000000">
            <w:pPr>
              <w:pStyle w:val="TableParagraph"/>
              <w:spacing w:line="174" w:lineRule="exact"/>
              <w:ind w:left="11" w:right="3"/>
              <w:jc w:val="center"/>
              <w:rPr>
                <w:rFonts w:ascii="Verdana" w:hAnsi="Verdana"/>
                <w:sz w:val="18"/>
                <w:szCs w:val="18"/>
              </w:rPr>
            </w:pPr>
            <w:r w:rsidRPr="00EC75B7">
              <w:rPr>
                <w:rFonts w:ascii="Verdana" w:hAnsi="Verdana"/>
                <w:spacing w:val="-2"/>
                <w:sz w:val="18"/>
                <w:szCs w:val="18"/>
              </w:rPr>
              <w:t>reversible</w:t>
            </w:r>
          </w:p>
        </w:tc>
        <w:tc>
          <w:tcPr>
            <w:tcW w:w="1081" w:type="dxa"/>
            <w:shd w:val="clear" w:color="auto" w:fill="E7E6E6"/>
          </w:tcPr>
          <w:p w14:paraId="56D440E1" w14:textId="77777777" w:rsidR="008715BE" w:rsidRPr="00EC75B7" w:rsidRDefault="00000000">
            <w:pPr>
              <w:pStyle w:val="TableParagraph"/>
              <w:spacing w:before="1" w:line="195" w:lineRule="exact"/>
              <w:ind w:left="361"/>
              <w:rPr>
                <w:rFonts w:ascii="Verdana" w:hAnsi="Verdana"/>
                <w:sz w:val="18"/>
                <w:szCs w:val="18"/>
              </w:rPr>
            </w:pPr>
            <w:r w:rsidRPr="00EC75B7">
              <w:rPr>
                <w:rFonts w:ascii="Verdana" w:hAnsi="Verdana"/>
                <w:spacing w:val="-4"/>
                <w:sz w:val="18"/>
                <w:szCs w:val="18"/>
              </w:rPr>
              <w:t>No</w:t>
            </w:r>
          </w:p>
          <w:p w14:paraId="27C9CCB5" w14:textId="77777777" w:rsidR="008715BE" w:rsidRPr="00EC75B7" w:rsidRDefault="00000000">
            <w:pPr>
              <w:pStyle w:val="TableParagraph"/>
              <w:spacing w:line="174" w:lineRule="exact"/>
              <w:ind w:left="267"/>
              <w:rPr>
                <w:rFonts w:ascii="Verdana" w:hAnsi="Verdana"/>
                <w:sz w:val="18"/>
                <w:szCs w:val="18"/>
              </w:rPr>
            </w:pPr>
            <w:r w:rsidRPr="00EC75B7">
              <w:rPr>
                <w:rFonts w:ascii="Verdana" w:hAnsi="Verdana"/>
                <w:spacing w:val="-2"/>
                <w:sz w:val="18"/>
                <w:szCs w:val="18"/>
              </w:rPr>
              <w:t>impact</w:t>
            </w:r>
          </w:p>
        </w:tc>
        <w:tc>
          <w:tcPr>
            <w:tcW w:w="1772" w:type="dxa"/>
            <w:shd w:val="clear" w:color="auto" w:fill="E7E6E6"/>
          </w:tcPr>
          <w:p w14:paraId="03BF14D9" w14:textId="77777777" w:rsidR="008715BE" w:rsidRPr="00EC75B7" w:rsidRDefault="00000000">
            <w:pPr>
              <w:pStyle w:val="TableParagraph"/>
              <w:spacing w:before="1" w:line="195" w:lineRule="exact"/>
              <w:ind w:left="11" w:right="5"/>
              <w:jc w:val="center"/>
              <w:rPr>
                <w:rFonts w:ascii="Verdana" w:hAnsi="Verdana"/>
                <w:sz w:val="18"/>
                <w:szCs w:val="18"/>
              </w:rPr>
            </w:pPr>
            <w:r w:rsidRPr="00EC75B7">
              <w:rPr>
                <w:rFonts w:ascii="Verdana" w:hAnsi="Verdana"/>
                <w:spacing w:val="-2"/>
                <w:sz w:val="18"/>
                <w:szCs w:val="18"/>
              </w:rPr>
              <w:t xml:space="preserve">Immediate </w:t>
            </w:r>
            <w:r w:rsidRPr="00EC75B7">
              <w:rPr>
                <w:rFonts w:ascii="Verdana" w:hAnsi="Verdana"/>
                <w:sz w:val="18"/>
                <w:szCs w:val="18"/>
              </w:rPr>
              <w:t>impact</w:t>
            </w:r>
          </w:p>
          <w:p w14:paraId="548F7B2F" w14:textId="77777777" w:rsidR="008715BE" w:rsidRPr="00EC75B7" w:rsidRDefault="00000000">
            <w:pPr>
              <w:pStyle w:val="TableParagraph"/>
              <w:spacing w:line="174" w:lineRule="exact"/>
              <w:ind w:left="11" w:right="2"/>
              <w:jc w:val="center"/>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reversible</w:t>
            </w:r>
          </w:p>
        </w:tc>
        <w:tc>
          <w:tcPr>
            <w:tcW w:w="1698" w:type="dxa"/>
            <w:shd w:val="clear" w:color="auto" w:fill="E7E6E6"/>
          </w:tcPr>
          <w:p w14:paraId="1F759650" w14:textId="77777777" w:rsidR="008715BE" w:rsidRPr="00EC75B7" w:rsidRDefault="00000000">
            <w:pPr>
              <w:pStyle w:val="TableParagraph"/>
              <w:spacing w:before="97"/>
              <w:ind w:left="8" w:right="3"/>
              <w:jc w:val="center"/>
              <w:rPr>
                <w:rFonts w:ascii="Verdana" w:hAnsi="Verdana"/>
                <w:sz w:val="18"/>
                <w:szCs w:val="18"/>
              </w:rPr>
            </w:pPr>
            <w:r w:rsidRPr="00EC75B7">
              <w:rPr>
                <w:rFonts w:ascii="Verdana" w:hAnsi="Verdana"/>
                <w:spacing w:val="-2"/>
                <w:sz w:val="18"/>
                <w:szCs w:val="18"/>
              </w:rPr>
              <w:t>Irreversible</w:t>
            </w:r>
          </w:p>
        </w:tc>
      </w:tr>
      <w:tr w:rsidR="008715BE" w:rsidRPr="00EC75B7" w14:paraId="61157835" w14:textId="77777777">
        <w:trPr>
          <w:trHeight w:val="388"/>
        </w:trPr>
        <w:tc>
          <w:tcPr>
            <w:tcW w:w="1556" w:type="dxa"/>
            <w:shd w:val="clear" w:color="auto" w:fill="F1F1F1"/>
          </w:tcPr>
          <w:p w14:paraId="0DBCAE1B" w14:textId="77777777" w:rsidR="008715BE" w:rsidRPr="00EC75B7" w:rsidRDefault="00000000">
            <w:pPr>
              <w:pStyle w:val="TableParagraph"/>
              <w:spacing w:line="194" w:lineRule="exact"/>
              <w:ind w:left="396"/>
              <w:rPr>
                <w:rFonts w:ascii="Verdana" w:hAnsi="Verdana"/>
                <w:sz w:val="18"/>
                <w:szCs w:val="18"/>
              </w:rPr>
            </w:pPr>
            <w:r w:rsidRPr="00EC75B7">
              <w:rPr>
                <w:rFonts w:ascii="Verdana" w:hAnsi="Verdana"/>
                <w:spacing w:val="-2"/>
                <w:sz w:val="18"/>
                <w:szCs w:val="18"/>
              </w:rPr>
              <w:t>Temporal</w:t>
            </w:r>
          </w:p>
          <w:p w14:paraId="1A6FF5BD" w14:textId="77777777" w:rsidR="008715BE" w:rsidRPr="00EC75B7" w:rsidRDefault="00000000">
            <w:pPr>
              <w:pStyle w:val="TableParagraph"/>
              <w:spacing w:line="174" w:lineRule="exact"/>
              <w:ind w:left="369"/>
              <w:rPr>
                <w:rFonts w:ascii="Verdana" w:hAnsi="Verdana"/>
                <w:sz w:val="18"/>
                <w:szCs w:val="18"/>
              </w:rPr>
            </w:pPr>
            <w:r w:rsidRPr="00EC75B7">
              <w:rPr>
                <w:rFonts w:ascii="Verdana" w:hAnsi="Verdana"/>
                <w:spacing w:val="-2"/>
                <w:sz w:val="18"/>
                <w:szCs w:val="18"/>
              </w:rPr>
              <w:t>temporal</w:t>
            </w:r>
          </w:p>
        </w:tc>
        <w:tc>
          <w:tcPr>
            <w:tcW w:w="1700" w:type="dxa"/>
          </w:tcPr>
          <w:p w14:paraId="5433026A" w14:textId="77777777" w:rsidR="008715BE" w:rsidRPr="00EC75B7" w:rsidRDefault="00000000">
            <w:pPr>
              <w:pStyle w:val="TableParagraph"/>
              <w:spacing w:line="194" w:lineRule="exact"/>
              <w:ind w:left="9" w:right="4"/>
              <w:jc w:val="center"/>
              <w:rPr>
                <w:rFonts w:ascii="Verdana" w:hAnsi="Verdana"/>
                <w:sz w:val="18"/>
                <w:szCs w:val="18"/>
              </w:rPr>
            </w:pPr>
            <w:r w:rsidRPr="00EC75B7">
              <w:rPr>
                <w:rFonts w:ascii="Verdana" w:hAnsi="Verdana"/>
                <w:spacing w:val="-2"/>
                <w:sz w:val="18"/>
                <w:szCs w:val="18"/>
              </w:rPr>
              <w:t xml:space="preserve">Temporary </w:t>
            </w:r>
            <w:r w:rsidRPr="00EC75B7">
              <w:rPr>
                <w:rFonts w:ascii="Verdana" w:hAnsi="Verdana"/>
                <w:sz w:val="18"/>
                <w:szCs w:val="18"/>
              </w:rPr>
              <w:t>scale</w:t>
            </w:r>
          </w:p>
          <w:p w14:paraId="43F08389" w14:textId="77777777" w:rsidR="008715BE" w:rsidRPr="00EC75B7" w:rsidRDefault="00000000">
            <w:pPr>
              <w:pStyle w:val="TableParagraph"/>
              <w:spacing w:line="174" w:lineRule="exact"/>
              <w:ind w:left="9" w:right="4"/>
              <w:jc w:val="center"/>
              <w:rPr>
                <w:rFonts w:ascii="Verdana" w:hAnsi="Verdana"/>
                <w:sz w:val="18"/>
                <w:szCs w:val="18"/>
              </w:rPr>
            </w:pPr>
            <w:r w:rsidRPr="00EC75B7">
              <w:rPr>
                <w:rFonts w:ascii="Verdana" w:hAnsi="Verdana"/>
                <w:spacing w:val="-2"/>
                <w:sz w:val="18"/>
                <w:szCs w:val="18"/>
              </w:rPr>
              <w:t>extended</w:t>
            </w:r>
          </w:p>
        </w:tc>
        <w:tc>
          <w:tcPr>
            <w:tcW w:w="1769" w:type="dxa"/>
          </w:tcPr>
          <w:p w14:paraId="7CF2EF3D" w14:textId="77777777" w:rsidR="008715BE" w:rsidRPr="00EC75B7" w:rsidRDefault="00000000">
            <w:pPr>
              <w:pStyle w:val="TableParagraph"/>
              <w:spacing w:line="194" w:lineRule="exact"/>
              <w:ind w:left="517"/>
              <w:rPr>
                <w:rFonts w:ascii="Verdana" w:hAnsi="Verdana"/>
                <w:sz w:val="18"/>
                <w:szCs w:val="18"/>
              </w:rPr>
            </w:pPr>
            <w:r w:rsidRPr="00EC75B7">
              <w:rPr>
                <w:rFonts w:ascii="Verdana" w:hAnsi="Verdana"/>
                <w:spacing w:val="-2"/>
                <w:sz w:val="18"/>
                <w:szCs w:val="18"/>
              </w:rPr>
              <w:t>During</w:t>
            </w:r>
          </w:p>
          <w:p w14:paraId="0ED0FA83" w14:textId="77777777" w:rsidR="008715BE" w:rsidRPr="00EC75B7" w:rsidRDefault="00000000">
            <w:pPr>
              <w:pStyle w:val="TableParagraph"/>
              <w:spacing w:line="174" w:lineRule="exact"/>
              <w:ind w:left="484"/>
              <w:rPr>
                <w:rFonts w:ascii="Verdana" w:hAnsi="Verdana"/>
                <w:sz w:val="18"/>
                <w:szCs w:val="18"/>
              </w:rPr>
            </w:pPr>
            <w:r w:rsidRPr="00EC75B7">
              <w:rPr>
                <w:rFonts w:ascii="Verdana" w:hAnsi="Verdana"/>
                <w:spacing w:val="-2"/>
                <w:sz w:val="18"/>
                <w:szCs w:val="18"/>
              </w:rPr>
              <w:t>construction</w:t>
            </w:r>
          </w:p>
        </w:tc>
        <w:tc>
          <w:tcPr>
            <w:tcW w:w="1081" w:type="dxa"/>
          </w:tcPr>
          <w:p w14:paraId="0227371B" w14:textId="77777777" w:rsidR="008715BE" w:rsidRPr="00EC75B7" w:rsidRDefault="00000000">
            <w:pPr>
              <w:pStyle w:val="TableParagraph"/>
              <w:spacing w:line="194" w:lineRule="exact"/>
              <w:ind w:left="361"/>
              <w:rPr>
                <w:rFonts w:ascii="Verdana" w:hAnsi="Verdana"/>
                <w:sz w:val="18"/>
                <w:szCs w:val="18"/>
              </w:rPr>
            </w:pPr>
            <w:r w:rsidRPr="00EC75B7">
              <w:rPr>
                <w:rFonts w:ascii="Verdana" w:hAnsi="Verdana"/>
                <w:spacing w:val="-4"/>
                <w:sz w:val="18"/>
                <w:szCs w:val="18"/>
              </w:rPr>
              <w:t>Without</w:t>
            </w:r>
          </w:p>
          <w:p w14:paraId="3579AD2C" w14:textId="77777777" w:rsidR="008715BE" w:rsidRPr="00EC75B7" w:rsidRDefault="00000000">
            <w:pPr>
              <w:pStyle w:val="TableParagraph"/>
              <w:spacing w:line="174" w:lineRule="exact"/>
              <w:ind w:left="267"/>
              <w:rPr>
                <w:rFonts w:ascii="Verdana" w:hAnsi="Verdana"/>
                <w:sz w:val="18"/>
                <w:szCs w:val="18"/>
              </w:rPr>
            </w:pPr>
            <w:r w:rsidRPr="00EC75B7">
              <w:rPr>
                <w:rFonts w:ascii="Verdana" w:hAnsi="Verdana"/>
                <w:spacing w:val="-2"/>
                <w:sz w:val="18"/>
                <w:szCs w:val="18"/>
              </w:rPr>
              <w:t>impact</w:t>
            </w:r>
          </w:p>
        </w:tc>
        <w:tc>
          <w:tcPr>
            <w:tcW w:w="1772" w:type="dxa"/>
          </w:tcPr>
          <w:p w14:paraId="17F54AD4" w14:textId="77777777" w:rsidR="008715BE" w:rsidRPr="00EC75B7" w:rsidRDefault="00000000">
            <w:pPr>
              <w:pStyle w:val="TableParagraph"/>
              <w:spacing w:line="194" w:lineRule="exact"/>
              <w:ind w:left="519"/>
              <w:rPr>
                <w:rFonts w:ascii="Verdana" w:hAnsi="Verdana"/>
                <w:sz w:val="18"/>
                <w:szCs w:val="18"/>
              </w:rPr>
            </w:pPr>
            <w:r w:rsidRPr="00EC75B7">
              <w:rPr>
                <w:rFonts w:ascii="Verdana" w:hAnsi="Verdana"/>
                <w:spacing w:val="-2"/>
                <w:sz w:val="18"/>
                <w:szCs w:val="18"/>
              </w:rPr>
              <w:t>During</w:t>
            </w:r>
          </w:p>
          <w:p w14:paraId="38446954" w14:textId="77777777" w:rsidR="008715BE" w:rsidRPr="00EC75B7" w:rsidRDefault="00000000">
            <w:pPr>
              <w:pStyle w:val="TableParagraph"/>
              <w:spacing w:line="174" w:lineRule="exact"/>
              <w:ind w:left="485"/>
              <w:rPr>
                <w:rFonts w:ascii="Verdana" w:hAnsi="Verdana"/>
                <w:sz w:val="18"/>
                <w:szCs w:val="18"/>
              </w:rPr>
            </w:pPr>
            <w:r w:rsidRPr="00EC75B7">
              <w:rPr>
                <w:rFonts w:ascii="Verdana" w:hAnsi="Verdana"/>
                <w:spacing w:val="-2"/>
                <w:sz w:val="18"/>
                <w:szCs w:val="18"/>
              </w:rPr>
              <w:t>construction</w:t>
            </w:r>
          </w:p>
        </w:tc>
        <w:tc>
          <w:tcPr>
            <w:tcW w:w="1698" w:type="dxa"/>
          </w:tcPr>
          <w:p w14:paraId="33898BD7" w14:textId="77777777" w:rsidR="008715BE" w:rsidRPr="00EC75B7" w:rsidRDefault="00000000">
            <w:pPr>
              <w:pStyle w:val="TableParagraph"/>
              <w:spacing w:line="194" w:lineRule="exact"/>
              <w:ind w:left="8" w:right="5"/>
              <w:jc w:val="center"/>
              <w:rPr>
                <w:rFonts w:ascii="Verdana" w:hAnsi="Verdana"/>
                <w:sz w:val="18"/>
                <w:szCs w:val="18"/>
              </w:rPr>
            </w:pPr>
            <w:r w:rsidRPr="00EC75B7">
              <w:rPr>
                <w:rFonts w:ascii="Verdana" w:hAnsi="Verdana"/>
                <w:spacing w:val="-2"/>
                <w:sz w:val="18"/>
                <w:szCs w:val="18"/>
              </w:rPr>
              <w:t xml:space="preserve">Temporary </w:t>
            </w:r>
            <w:r w:rsidRPr="00EC75B7">
              <w:rPr>
                <w:rFonts w:ascii="Verdana" w:hAnsi="Verdana"/>
                <w:sz w:val="18"/>
                <w:szCs w:val="18"/>
              </w:rPr>
              <w:t>staircase</w:t>
            </w:r>
          </w:p>
          <w:p w14:paraId="3EC68628" w14:textId="77777777" w:rsidR="008715BE" w:rsidRPr="00EC75B7" w:rsidRDefault="00000000">
            <w:pPr>
              <w:pStyle w:val="TableParagraph"/>
              <w:spacing w:line="174" w:lineRule="exact"/>
              <w:ind w:left="8" w:right="3"/>
              <w:jc w:val="center"/>
              <w:rPr>
                <w:rFonts w:ascii="Verdana" w:hAnsi="Verdana"/>
                <w:sz w:val="18"/>
                <w:szCs w:val="18"/>
              </w:rPr>
            </w:pPr>
            <w:r w:rsidRPr="00EC75B7">
              <w:rPr>
                <w:rFonts w:ascii="Verdana" w:hAnsi="Verdana"/>
                <w:spacing w:val="-2"/>
                <w:sz w:val="18"/>
                <w:szCs w:val="18"/>
              </w:rPr>
              <w:t>Extended</w:t>
            </w:r>
          </w:p>
        </w:tc>
      </w:tr>
      <w:tr w:rsidR="008715BE" w:rsidRPr="00EC75B7" w14:paraId="60FAD20F" w14:textId="77777777">
        <w:trPr>
          <w:trHeight w:val="582"/>
        </w:trPr>
        <w:tc>
          <w:tcPr>
            <w:tcW w:w="1556" w:type="dxa"/>
            <w:shd w:val="clear" w:color="auto" w:fill="F1F1F1"/>
          </w:tcPr>
          <w:p w14:paraId="0FB174A1" w14:textId="77777777" w:rsidR="008715BE" w:rsidRPr="00EC75B7" w:rsidRDefault="00000000">
            <w:pPr>
              <w:pStyle w:val="TableParagraph"/>
              <w:spacing w:before="97" w:line="195" w:lineRule="exact"/>
              <w:ind w:left="396"/>
              <w:rPr>
                <w:rFonts w:ascii="Verdana" w:hAnsi="Verdana"/>
                <w:sz w:val="18"/>
                <w:szCs w:val="18"/>
              </w:rPr>
            </w:pPr>
            <w:r w:rsidRPr="00EC75B7">
              <w:rPr>
                <w:rFonts w:ascii="Verdana" w:hAnsi="Verdana"/>
                <w:spacing w:val="-2"/>
                <w:sz w:val="18"/>
                <w:szCs w:val="18"/>
              </w:rPr>
              <w:t>Spatial</w:t>
            </w:r>
          </w:p>
          <w:p w14:paraId="25D40321" w14:textId="77777777" w:rsidR="008715BE" w:rsidRPr="00EC75B7" w:rsidRDefault="00000000">
            <w:pPr>
              <w:pStyle w:val="TableParagraph"/>
              <w:spacing w:line="195" w:lineRule="exact"/>
              <w:ind w:left="465"/>
              <w:rPr>
                <w:rFonts w:ascii="Verdana" w:hAnsi="Verdana"/>
                <w:sz w:val="18"/>
                <w:szCs w:val="18"/>
              </w:rPr>
            </w:pPr>
            <w:r w:rsidRPr="00EC75B7">
              <w:rPr>
                <w:rFonts w:ascii="Verdana" w:hAnsi="Verdana"/>
                <w:spacing w:val="-2"/>
                <w:sz w:val="18"/>
                <w:szCs w:val="18"/>
              </w:rPr>
              <w:t>spatial</w:t>
            </w:r>
          </w:p>
        </w:tc>
        <w:tc>
          <w:tcPr>
            <w:tcW w:w="1700" w:type="dxa"/>
            <w:shd w:val="clear" w:color="auto" w:fill="E7E6E6"/>
          </w:tcPr>
          <w:p w14:paraId="5188DD22" w14:textId="77777777" w:rsidR="008715BE" w:rsidRPr="00EC75B7" w:rsidRDefault="00000000">
            <w:pPr>
              <w:pStyle w:val="TableParagraph"/>
              <w:spacing w:line="194" w:lineRule="exact"/>
              <w:ind w:left="9" w:right="6"/>
              <w:jc w:val="center"/>
              <w:rPr>
                <w:rFonts w:ascii="Verdana" w:hAnsi="Verdana"/>
                <w:sz w:val="18"/>
                <w:szCs w:val="18"/>
              </w:rPr>
            </w:pPr>
            <w:r w:rsidRPr="00EC75B7">
              <w:rPr>
                <w:rFonts w:ascii="Verdana" w:hAnsi="Verdana"/>
                <w:spacing w:val="-2"/>
                <w:sz w:val="18"/>
                <w:szCs w:val="18"/>
              </w:rPr>
              <w:t>Regional/National</w:t>
            </w:r>
          </w:p>
          <w:p w14:paraId="0A983A85" w14:textId="77777777" w:rsidR="008715BE" w:rsidRPr="00EC75B7" w:rsidRDefault="00000000">
            <w:pPr>
              <w:pStyle w:val="TableParagraph"/>
              <w:spacing w:line="194" w:lineRule="exact"/>
              <w:ind w:left="9"/>
              <w:jc w:val="center"/>
              <w:rPr>
                <w:rFonts w:ascii="Verdana" w:hAnsi="Verdana"/>
                <w:sz w:val="18"/>
                <w:szCs w:val="18"/>
              </w:rPr>
            </w:pPr>
            <w:r w:rsidRPr="00EC75B7">
              <w:rPr>
                <w:rFonts w:ascii="Verdana" w:hAnsi="Verdana"/>
                <w:spacing w:val="-10"/>
                <w:sz w:val="18"/>
                <w:szCs w:val="18"/>
              </w:rPr>
              <w:t>/</w:t>
            </w:r>
          </w:p>
          <w:p w14:paraId="0D09B9A4" w14:textId="77777777" w:rsidR="008715BE" w:rsidRPr="00EC75B7" w:rsidRDefault="00000000">
            <w:pPr>
              <w:pStyle w:val="TableParagraph"/>
              <w:spacing w:line="174" w:lineRule="exact"/>
              <w:ind w:left="9"/>
              <w:jc w:val="center"/>
              <w:rPr>
                <w:rFonts w:ascii="Verdana" w:hAnsi="Verdana"/>
                <w:sz w:val="18"/>
                <w:szCs w:val="18"/>
              </w:rPr>
            </w:pPr>
            <w:r w:rsidRPr="00EC75B7">
              <w:rPr>
                <w:rFonts w:ascii="Verdana" w:hAnsi="Verdana"/>
                <w:spacing w:val="-2"/>
                <w:sz w:val="18"/>
                <w:szCs w:val="18"/>
              </w:rPr>
              <w:t>Cross-border</w:t>
            </w:r>
          </w:p>
        </w:tc>
        <w:tc>
          <w:tcPr>
            <w:tcW w:w="1769" w:type="dxa"/>
            <w:shd w:val="clear" w:color="auto" w:fill="E7E6E6"/>
          </w:tcPr>
          <w:p w14:paraId="49237A55" w14:textId="77777777" w:rsidR="008715BE" w:rsidRPr="00EC75B7" w:rsidRDefault="00000000">
            <w:pPr>
              <w:pStyle w:val="TableParagraph"/>
              <w:spacing w:before="97"/>
              <w:ind w:left="11" w:right="3"/>
              <w:jc w:val="center"/>
              <w:rPr>
                <w:rFonts w:ascii="Verdana" w:hAnsi="Verdana"/>
                <w:sz w:val="18"/>
                <w:szCs w:val="18"/>
              </w:rPr>
            </w:pPr>
            <w:r w:rsidRPr="00EC75B7">
              <w:rPr>
                <w:rFonts w:ascii="Verdana" w:hAnsi="Verdana"/>
                <w:spacing w:val="-2"/>
                <w:sz w:val="18"/>
                <w:szCs w:val="18"/>
              </w:rPr>
              <w:t>Local</w:t>
            </w:r>
          </w:p>
        </w:tc>
        <w:tc>
          <w:tcPr>
            <w:tcW w:w="1081" w:type="dxa"/>
            <w:shd w:val="clear" w:color="auto" w:fill="E7E6E6"/>
          </w:tcPr>
          <w:p w14:paraId="7118D9BB" w14:textId="77777777" w:rsidR="008715BE" w:rsidRPr="00EC75B7" w:rsidRDefault="00000000">
            <w:pPr>
              <w:pStyle w:val="TableParagraph"/>
              <w:spacing w:before="97" w:line="195" w:lineRule="exact"/>
              <w:ind w:left="361"/>
              <w:rPr>
                <w:rFonts w:ascii="Verdana" w:hAnsi="Verdana"/>
                <w:sz w:val="18"/>
                <w:szCs w:val="18"/>
              </w:rPr>
            </w:pPr>
            <w:r w:rsidRPr="00EC75B7">
              <w:rPr>
                <w:rFonts w:ascii="Verdana" w:hAnsi="Verdana"/>
                <w:spacing w:val="-4"/>
                <w:sz w:val="18"/>
                <w:szCs w:val="18"/>
              </w:rPr>
              <w:t>None</w:t>
            </w:r>
          </w:p>
          <w:p w14:paraId="6165C661" w14:textId="77777777" w:rsidR="008715BE" w:rsidRPr="00EC75B7" w:rsidRDefault="00000000">
            <w:pPr>
              <w:pStyle w:val="TableParagraph"/>
              <w:spacing w:line="195" w:lineRule="exact"/>
              <w:ind w:left="267"/>
              <w:rPr>
                <w:rFonts w:ascii="Verdana" w:hAnsi="Verdana"/>
                <w:sz w:val="18"/>
                <w:szCs w:val="18"/>
              </w:rPr>
            </w:pPr>
            <w:r w:rsidRPr="00EC75B7">
              <w:rPr>
                <w:rFonts w:ascii="Verdana" w:hAnsi="Verdana"/>
                <w:spacing w:val="-2"/>
                <w:sz w:val="18"/>
                <w:szCs w:val="18"/>
              </w:rPr>
              <w:t>impact</w:t>
            </w:r>
          </w:p>
        </w:tc>
        <w:tc>
          <w:tcPr>
            <w:tcW w:w="1772" w:type="dxa"/>
            <w:shd w:val="clear" w:color="auto" w:fill="E7E6E6"/>
          </w:tcPr>
          <w:p w14:paraId="1878635D" w14:textId="77777777" w:rsidR="008715BE" w:rsidRPr="00EC75B7" w:rsidRDefault="00000000">
            <w:pPr>
              <w:pStyle w:val="TableParagraph"/>
              <w:spacing w:before="97"/>
              <w:ind w:left="11" w:right="3"/>
              <w:jc w:val="center"/>
              <w:rPr>
                <w:rFonts w:ascii="Verdana" w:hAnsi="Verdana"/>
                <w:sz w:val="18"/>
                <w:szCs w:val="18"/>
              </w:rPr>
            </w:pPr>
            <w:r w:rsidRPr="00EC75B7">
              <w:rPr>
                <w:rFonts w:ascii="Verdana" w:hAnsi="Verdana"/>
                <w:spacing w:val="-2"/>
                <w:sz w:val="18"/>
                <w:szCs w:val="18"/>
              </w:rPr>
              <w:t>Local</w:t>
            </w:r>
          </w:p>
        </w:tc>
        <w:tc>
          <w:tcPr>
            <w:tcW w:w="1698" w:type="dxa"/>
            <w:shd w:val="clear" w:color="auto" w:fill="E7E6E6"/>
          </w:tcPr>
          <w:p w14:paraId="5D889E61" w14:textId="77777777" w:rsidR="008715BE" w:rsidRPr="00EC75B7" w:rsidRDefault="00000000">
            <w:pPr>
              <w:pStyle w:val="TableParagraph"/>
              <w:spacing w:line="194" w:lineRule="exact"/>
              <w:ind w:left="8" w:right="6"/>
              <w:jc w:val="center"/>
              <w:rPr>
                <w:rFonts w:ascii="Verdana" w:hAnsi="Verdana"/>
                <w:sz w:val="18"/>
                <w:szCs w:val="18"/>
              </w:rPr>
            </w:pPr>
            <w:r w:rsidRPr="00EC75B7">
              <w:rPr>
                <w:rFonts w:ascii="Verdana" w:hAnsi="Verdana"/>
                <w:spacing w:val="-2"/>
                <w:sz w:val="18"/>
                <w:szCs w:val="18"/>
              </w:rPr>
              <w:t>Regional/National</w:t>
            </w:r>
          </w:p>
          <w:p w14:paraId="5D30E6E6" w14:textId="77777777" w:rsidR="008715BE" w:rsidRPr="00EC75B7" w:rsidRDefault="00000000">
            <w:pPr>
              <w:pStyle w:val="TableParagraph"/>
              <w:spacing w:line="194" w:lineRule="exact"/>
              <w:ind w:left="8"/>
              <w:jc w:val="center"/>
              <w:rPr>
                <w:rFonts w:ascii="Verdana" w:hAnsi="Verdana"/>
                <w:sz w:val="18"/>
                <w:szCs w:val="18"/>
              </w:rPr>
            </w:pPr>
            <w:r w:rsidRPr="00EC75B7">
              <w:rPr>
                <w:rFonts w:ascii="Verdana" w:hAnsi="Verdana"/>
                <w:spacing w:val="-10"/>
                <w:sz w:val="18"/>
                <w:szCs w:val="18"/>
              </w:rPr>
              <w:t>/</w:t>
            </w:r>
          </w:p>
          <w:p w14:paraId="3816E277" w14:textId="77777777" w:rsidR="008715BE" w:rsidRPr="00EC75B7" w:rsidRDefault="00000000">
            <w:pPr>
              <w:pStyle w:val="TableParagraph"/>
              <w:spacing w:line="174" w:lineRule="exact"/>
              <w:ind w:left="8" w:right="2"/>
              <w:jc w:val="center"/>
              <w:rPr>
                <w:rFonts w:ascii="Verdana" w:hAnsi="Verdana"/>
                <w:sz w:val="18"/>
                <w:szCs w:val="18"/>
              </w:rPr>
            </w:pPr>
            <w:r w:rsidRPr="00EC75B7">
              <w:rPr>
                <w:rFonts w:ascii="Verdana" w:hAnsi="Verdana"/>
                <w:spacing w:val="-2"/>
                <w:sz w:val="18"/>
                <w:szCs w:val="18"/>
              </w:rPr>
              <w:t>Cross-border</w:t>
            </w:r>
          </w:p>
        </w:tc>
      </w:tr>
      <w:tr w:rsidR="008715BE" w:rsidRPr="00EC75B7" w14:paraId="063B005C" w14:textId="77777777">
        <w:trPr>
          <w:trHeight w:val="446"/>
        </w:trPr>
        <w:tc>
          <w:tcPr>
            <w:tcW w:w="1556" w:type="dxa"/>
            <w:shd w:val="clear" w:color="auto" w:fill="F1F1F1"/>
          </w:tcPr>
          <w:p w14:paraId="115979B2" w14:textId="77777777" w:rsidR="008715BE" w:rsidRPr="00EC75B7" w:rsidRDefault="00000000">
            <w:pPr>
              <w:pStyle w:val="TableParagraph"/>
              <w:spacing w:before="124"/>
              <w:ind w:left="12"/>
              <w:jc w:val="center"/>
              <w:rPr>
                <w:rFonts w:ascii="Verdana" w:hAnsi="Verdana"/>
                <w:sz w:val="18"/>
                <w:szCs w:val="18"/>
              </w:rPr>
            </w:pPr>
            <w:r w:rsidRPr="00EC75B7">
              <w:rPr>
                <w:rFonts w:ascii="Verdana" w:hAnsi="Verdana"/>
                <w:spacing w:val="-2"/>
                <w:sz w:val="18"/>
                <w:szCs w:val="18"/>
              </w:rPr>
              <w:t>Duration</w:t>
            </w:r>
          </w:p>
        </w:tc>
        <w:tc>
          <w:tcPr>
            <w:tcW w:w="1700" w:type="dxa"/>
          </w:tcPr>
          <w:p w14:paraId="309E58E3" w14:textId="77777777" w:rsidR="008715BE" w:rsidRPr="00EC75B7" w:rsidRDefault="00000000">
            <w:pPr>
              <w:pStyle w:val="TableParagraph"/>
              <w:spacing w:before="124"/>
              <w:ind w:left="9" w:right="2"/>
              <w:jc w:val="center"/>
              <w:rPr>
                <w:rFonts w:ascii="Verdana" w:hAnsi="Verdana"/>
                <w:sz w:val="18"/>
                <w:szCs w:val="18"/>
              </w:rPr>
            </w:pPr>
            <w:r w:rsidRPr="00EC75B7">
              <w:rPr>
                <w:rFonts w:ascii="Verdana" w:hAnsi="Verdana"/>
                <w:spacing w:val="-4"/>
                <w:sz w:val="18"/>
                <w:szCs w:val="18"/>
              </w:rPr>
              <w:t xml:space="preserve">Long </w:t>
            </w:r>
            <w:r w:rsidRPr="00EC75B7">
              <w:rPr>
                <w:rFonts w:ascii="Verdana" w:hAnsi="Verdana"/>
                <w:sz w:val="18"/>
                <w:szCs w:val="18"/>
              </w:rPr>
              <w:t>term</w:t>
            </w:r>
          </w:p>
        </w:tc>
        <w:tc>
          <w:tcPr>
            <w:tcW w:w="1769" w:type="dxa"/>
          </w:tcPr>
          <w:p w14:paraId="45C4D149" w14:textId="77777777" w:rsidR="008715BE" w:rsidRPr="00EC75B7" w:rsidRDefault="00000000">
            <w:pPr>
              <w:pStyle w:val="TableParagraph"/>
              <w:spacing w:before="28"/>
              <w:ind w:left="400" w:firstLine="175"/>
              <w:rPr>
                <w:rFonts w:ascii="Verdana" w:hAnsi="Verdana"/>
                <w:sz w:val="18"/>
                <w:szCs w:val="18"/>
              </w:rPr>
            </w:pPr>
            <w:r w:rsidRPr="00EC75B7">
              <w:rPr>
                <w:rFonts w:ascii="Verdana" w:hAnsi="Verdana"/>
                <w:spacing w:val="-2"/>
                <w:sz w:val="18"/>
                <w:szCs w:val="18"/>
              </w:rPr>
              <w:t>Short/medium term</w:t>
            </w:r>
          </w:p>
        </w:tc>
        <w:tc>
          <w:tcPr>
            <w:tcW w:w="1081" w:type="dxa"/>
          </w:tcPr>
          <w:p w14:paraId="2A9DA8AD" w14:textId="77777777" w:rsidR="008715BE" w:rsidRPr="00EC75B7" w:rsidRDefault="00000000">
            <w:pPr>
              <w:pStyle w:val="TableParagraph"/>
              <w:spacing w:before="28" w:line="195" w:lineRule="exact"/>
              <w:ind w:left="361"/>
              <w:rPr>
                <w:rFonts w:ascii="Verdana" w:hAnsi="Verdana"/>
                <w:sz w:val="18"/>
                <w:szCs w:val="18"/>
              </w:rPr>
            </w:pPr>
            <w:r w:rsidRPr="00EC75B7">
              <w:rPr>
                <w:rFonts w:ascii="Verdana" w:hAnsi="Verdana"/>
                <w:spacing w:val="-4"/>
                <w:sz w:val="18"/>
                <w:szCs w:val="18"/>
              </w:rPr>
              <w:t>None</w:t>
            </w:r>
          </w:p>
          <w:p w14:paraId="7D5CAF70" w14:textId="77777777" w:rsidR="008715BE" w:rsidRPr="00EC75B7" w:rsidRDefault="00000000">
            <w:pPr>
              <w:pStyle w:val="TableParagraph"/>
              <w:ind w:left="267"/>
              <w:rPr>
                <w:rFonts w:ascii="Verdana" w:hAnsi="Verdana"/>
                <w:sz w:val="18"/>
                <w:szCs w:val="18"/>
              </w:rPr>
            </w:pPr>
            <w:r w:rsidRPr="00EC75B7">
              <w:rPr>
                <w:rFonts w:ascii="Verdana" w:hAnsi="Verdana"/>
                <w:spacing w:val="-2"/>
                <w:sz w:val="18"/>
                <w:szCs w:val="18"/>
              </w:rPr>
              <w:t>impact</w:t>
            </w:r>
          </w:p>
        </w:tc>
        <w:tc>
          <w:tcPr>
            <w:tcW w:w="1772" w:type="dxa"/>
          </w:tcPr>
          <w:p w14:paraId="67C35D89" w14:textId="77777777" w:rsidR="008715BE" w:rsidRPr="00EC75B7" w:rsidRDefault="00000000">
            <w:pPr>
              <w:pStyle w:val="TableParagraph"/>
              <w:spacing w:before="28"/>
              <w:ind w:left="401" w:firstLine="175"/>
              <w:rPr>
                <w:rFonts w:ascii="Verdana" w:hAnsi="Verdana"/>
                <w:sz w:val="18"/>
                <w:szCs w:val="18"/>
              </w:rPr>
            </w:pPr>
            <w:r w:rsidRPr="00EC75B7">
              <w:rPr>
                <w:rFonts w:ascii="Verdana" w:hAnsi="Verdana"/>
                <w:spacing w:val="-2"/>
                <w:sz w:val="18"/>
                <w:szCs w:val="18"/>
              </w:rPr>
              <w:t>Short/medium term</w:t>
            </w:r>
          </w:p>
        </w:tc>
        <w:tc>
          <w:tcPr>
            <w:tcW w:w="1698" w:type="dxa"/>
          </w:tcPr>
          <w:p w14:paraId="4CE848BB" w14:textId="77777777" w:rsidR="008715BE" w:rsidRPr="00EC75B7" w:rsidRDefault="00000000">
            <w:pPr>
              <w:pStyle w:val="TableParagraph"/>
              <w:spacing w:before="124"/>
              <w:ind w:left="8" w:right="2"/>
              <w:jc w:val="center"/>
              <w:rPr>
                <w:rFonts w:ascii="Verdana" w:hAnsi="Verdana"/>
                <w:sz w:val="18"/>
                <w:szCs w:val="18"/>
              </w:rPr>
            </w:pPr>
            <w:r w:rsidRPr="00EC75B7">
              <w:rPr>
                <w:rFonts w:ascii="Verdana" w:hAnsi="Verdana"/>
                <w:spacing w:val="-4"/>
                <w:sz w:val="18"/>
                <w:szCs w:val="18"/>
              </w:rPr>
              <w:t xml:space="preserve">Long </w:t>
            </w:r>
            <w:r w:rsidRPr="00EC75B7">
              <w:rPr>
                <w:rFonts w:ascii="Verdana" w:hAnsi="Verdana"/>
                <w:sz w:val="18"/>
                <w:szCs w:val="18"/>
              </w:rPr>
              <w:t>term</w:t>
            </w:r>
          </w:p>
        </w:tc>
      </w:tr>
      <w:tr w:rsidR="008715BE" w:rsidRPr="00EC75B7" w14:paraId="7C6362C2" w14:textId="77777777">
        <w:trPr>
          <w:trHeight w:val="971"/>
        </w:trPr>
        <w:tc>
          <w:tcPr>
            <w:tcW w:w="1556" w:type="dxa"/>
            <w:shd w:val="clear" w:color="auto" w:fill="F1F1F1"/>
          </w:tcPr>
          <w:p w14:paraId="20897568" w14:textId="77777777" w:rsidR="008715BE" w:rsidRPr="00EC75B7" w:rsidRDefault="00000000">
            <w:pPr>
              <w:pStyle w:val="TableParagraph"/>
              <w:spacing w:before="193"/>
              <w:ind w:left="473" w:hanging="216"/>
              <w:rPr>
                <w:rFonts w:ascii="Verdana" w:hAnsi="Verdana"/>
                <w:sz w:val="18"/>
                <w:szCs w:val="18"/>
              </w:rPr>
            </w:pPr>
            <w:r w:rsidRPr="00EC75B7">
              <w:rPr>
                <w:rFonts w:ascii="Verdana" w:hAnsi="Verdana"/>
                <w:sz w:val="18"/>
                <w:szCs w:val="18"/>
              </w:rPr>
              <w:t xml:space="preserve">Frequency of </w:t>
            </w:r>
            <w:r w:rsidRPr="00EC75B7">
              <w:rPr>
                <w:rFonts w:ascii="Verdana" w:hAnsi="Verdana"/>
                <w:spacing w:val="-2"/>
                <w:sz w:val="18"/>
                <w:szCs w:val="18"/>
              </w:rPr>
              <w:t>occurrence</w:t>
            </w:r>
          </w:p>
        </w:tc>
        <w:tc>
          <w:tcPr>
            <w:tcW w:w="1700" w:type="dxa"/>
            <w:shd w:val="clear" w:color="auto" w:fill="F1F1F1"/>
          </w:tcPr>
          <w:p w14:paraId="5469E228" w14:textId="77777777" w:rsidR="008715BE" w:rsidRPr="00EC75B7" w:rsidRDefault="008715BE">
            <w:pPr>
              <w:pStyle w:val="TableParagraph"/>
              <w:spacing w:before="94"/>
              <w:rPr>
                <w:rFonts w:ascii="Verdana" w:hAnsi="Verdana"/>
                <w:b/>
                <w:sz w:val="18"/>
                <w:szCs w:val="18"/>
              </w:rPr>
            </w:pPr>
          </w:p>
          <w:p w14:paraId="7D160E64" w14:textId="77777777" w:rsidR="008715BE" w:rsidRPr="00EC75B7" w:rsidRDefault="00000000">
            <w:pPr>
              <w:pStyle w:val="TableParagraph"/>
              <w:ind w:left="412" w:right="63" w:firstLine="122"/>
              <w:rPr>
                <w:rFonts w:ascii="Verdana" w:hAnsi="Verdana"/>
                <w:sz w:val="18"/>
                <w:szCs w:val="18"/>
              </w:rPr>
            </w:pPr>
            <w:r w:rsidRPr="00EC75B7">
              <w:rPr>
                <w:rFonts w:ascii="Verdana" w:hAnsi="Verdana"/>
                <w:spacing w:val="-2"/>
                <w:sz w:val="18"/>
                <w:szCs w:val="18"/>
              </w:rPr>
              <w:t>Periodic Permanent</w:t>
            </w:r>
          </w:p>
        </w:tc>
        <w:tc>
          <w:tcPr>
            <w:tcW w:w="1769" w:type="dxa"/>
            <w:shd w:val="clear" w:color="auto" w:fill="F1F1F1"/>
          </w:tcPr>
          <w:p w14:paraId="523307D1" w14:textId="77777777" w:rsidR="008715BE" w:rsidRPr="00EC75B7" w:rsidRDefault="00000000">
            <w:pPr>
              <w:pStyle w:val="TableParagraph"/>
              <w:ind w:left="424" w:right="415" w:firstLine="5"/>
              <w:jc w:val="center"/>
              <w:rPr>
                <w:rFonts w:ascii="Verdana" w:hAnsi="Verdana"/>
                <w:sz w:val="18"/>
                <w:szCs w:val="18"/>
              </w:rPr>
            </w:pPr>
            <w:r w:rsidRPr="00EC75B7">
              <w:rPr>
                <w:rFonts w:ascii="Verdana" w:hAnsi="Verdana"/>
                <w:spacing w:val="-2"/>
                <w:sz w:val="18"/>
                <w:szCs w:val="18"/>
              </w:rPr>
              <w:t>Accidental Intermittent</w:t>
            </w:r>
          </w:p>
          <w:p w14:paraId="0ABFAF93" w14:textId="77777777" w:rsidR="008715BE" w:rsidRPr="00EC75B7" w:rsidRDefault="00000000">
            <w:pPr>
              <w:pStyle w:val="TableParagraph"/>
              <w:ind w:left="11"/>
              <w:jc w:val="center"/>
              <w:rPr>
                <w:rFonts w:ascii="Verdana" w:hAnsi="Verdana"/>
                <w:sz w:val="18"/>
                <w:szCs w:val="18"/>
              </w:rPr>
            </w:pPr>
            <w:r w:rsidRPr="00EC75B7">
              <w:rPr>
                <w:rFonts w:ascii="Verdana" w:hAnsi="Verdana"/>
                <w:sz w:val="18"/>
                <w:szCs w:val="18"/>
              </w:rPr>
              <w:t>Once/</w:t>
            </w:r>
            <w:r w:rsidRPr="00EC75B7">
              <w:rPr>
                <w:rFonts w:ascii="Verdana" w:hAnsi="Verdana"/>
                <w:spacing w:val="-2"/>
                <w:sz w:val="18"/>
                <w:szCs w:val="18"/>
              </w:rPr>
              <w:t>temporary</w:t>
            </w:r>
          </w:p>
        </w:tc>
        <w:tc>
          <w:tcPr>
            <w:tcW w:w="1081" w:type="dxa"/>
            <w:shd w:val="clear" w:color="auto" w:fill="F1F1F1"/>
          </w:tcPr>
          <w:p w14:paraId="76BF5B4A" w14:textId="77777777" w:rsidR="008715BE" w:rsidRPr="00EC75B7" w:rsidRDefault="00000000">
            <w:pPr>
              <w:pStyle w:val="TableParagraph"/>
              <w:spacing w:before="193"/>
              <w:ind w:left="15" w:right="5"/>
              <w:jc w:val="center"/>
              <w:rPr>
                <w:rFonts w:ascii="Verdana" w:hAnsi="Verdana"/>
                <w:sz w:val="18"/>
                <w:szCs w:val="18"/>
              </w:rPr>
            </w:pPr>
            <w:r w:rsidRPr="00EC75B7">
              <w:rPr>
                <w:rFonts w:ascii="Verdana" w:hAnsi="Verdana"/>
                <w:sz w:val="18"/>
                <w:szCs w:val="18"/>
              </w:rPr>
              <w:t>Once</w:t>
            </w:r>
            <w:r w:rsidRPr="00EC75B7">
              <w:rPr>
                <w:rFonts w:ascii="Verdana" w:hAnsi="Verdana"/>
                <w:spacing w:val="-2"/>
                <w:sz w:val="18"/>
                <w:szCs w:val="18"/>
              </w:rPr>
              <w:t>/temporary</w:t>
            </w:r>
          </w:p>
        </w:tc>
        <w:tc>
          <w:tcPr>
            <w:tcW w:w="1772" w:type="dxa"/>
            <w:shd w:val="clear" w:color="auto" w:fill="F1F1F1"/>
          </w:tcPr>
          <w:p w14:paraId="261E0B43" w14:textId="77777777" w:rsidR="008715BE" w:rsidRPr="00EC75B7" w:rsidRDefault="00000000">
            <w:pPr>
              <w:pStyle w:val="TableParagraph"/>
              <w:spacing w:before="95"/>
              <w:ind w:left="425" w:right="417" w:firstLine="5"/>
              <w:jc w:val="center"/>
              <w:rPr>
                <w:rFonts w:ascii="Verdana" w:hAnsi="Verdana"/>
                <w:sz w:val="18"/>
                <w:szCs w:val="18"/>
              </w:rPr>
            </w:pPr>
            <w:r w:rsidRPr="00EC75B7">
              <w:rPr>
                <w:rFonts w:ascii="Verdana" w:hAnsi="Verdana"/>
                <w:spacing w:val="-2"/>
                <w:sz w:val="18"/>
                <w:szCs w:val="18"/>
              </w:rPr>
              <w:t>Accidental Intermittent</w:t>
            </w:r>
          </w:p>
          <w:p w14:paraId="69A2DA09" w14:textId="77777777" w:rsidR="008715BE" w:rsidRPr="00EC75B7" w:rsidRDefault="00000000">
            <w:pPr>
              <w:pStyle w:val="TableParagraph"/>
              <w:ind w:left="11"/>
              <w:jc w:val="center"/>
              <w:rPr>
                <w:rFonts w:ascii="Verdana" w:hAnsi="Verdana"/>
                <w:sz w:val="18"/>
                <w:szCs w:val="18"/>
              </w:rPr>
            </w:pPr>
            <w:r w:rsidRPr="00EC75B7">
              <w:rPr>
                <w:rFonts w:ascii="Verdana" w:hAnsi="Verdana"/>
                <w:sz w:val="18"/>
                <w:szCs w:val="18"/>
              </w:rPr>
              <w:t>Once/</w:t>
            </w:r>
            <w:r w:rsidRPr="00EC75B7">
              <w:rPr>
                <w:rFonts w:ascii="Verdana" w:hAnsi="Verdana"/>
                <w:spacing w:val="-2"/>
                <w:sz w:val="18"/>
                <w:szCs w:val="18"/>
              </w:rPr>
              <w:t>temporary</w:t>
            </w:r>
          </w:p>
        </w:tc>
        <w:tc>
          <w:tcPr>
            <w:tcW w:w="1698" w:type="dxa"/>
            <w:shd w:val="clear" w:color="auto" w:fill="F1F1F1"/>
          </w:tcPr>
          <w:p w14:paraId="27937D2A" w14:textId="77777777" w:rsidR="008715BE" w:rsidRPr="00EC75B7" w:rsidRDefault="008715BE">
            <w:pPr>
              <w:pStyle w:val="TableParagraph"/>
              <w:spacing w:before="94"/>
              <w:rPr>
                <w:rFonts w:ascii="Verdana" w:hAnsi="Verdana"/>
                <w:b/>
                <w:sz w:val="18"/>
                <w:szCs w:val="18"/>
              </w:rPr>
            </w:pPr>
          </w:p>
          <w:p w14:paraId="60356B54" w14:textId="77777777" w:rsidR="008715BE" w:rsidRPr="00EC75B7" w:rsidRDefault="00000000">
            <w:pPr>
              <w:pStyle w:val="TableParagraph"/>
              <w:ind w:left="411" w:firstLine="122"/>
              <w:rPr>
                <w:rFonts w:ascii="Verdana" w:hAnsi="Verdana"/>
                <w:sz w:val="18"/>
                <w:szCs w:val="18"/>
              </w:rPr>
            </w:pPr>
            <w:r w:rsidRPr="00EC75B7">
              <w:rPr>
                <w:rFonts w:ascii="Verdana" w:hAnsi="Verdana"/>
                <w:spacing w:val="-2"/>
                <w:sz w:val="18"/>
                <w:szCs w:val="18"/>
              </w:rPr>
              <w:t>Periodic Permanent</w:t>
            </w:r>
          </w:p>
        </w:tc>
      </w:tr>
      <w:tr w:rsidR="008715BE" w:rsidRPr="00EC75B7" w14:paraId="3028B273" w14:textId="77777777">
        <w:trPr>
          <w:trHeight w:val="582"/>
        </w:trPr>
        <w:tc>
          <w:tcPr>
            <w:tcW w:w="1556" w:type="dxa"/>
            <w:shd w:val="clear" w:color="auto" w:fill="F1F1F1"/>
          </w:tcPr>
          <w:p w14:paraId="0BD0A63D" w14:textId="77777777" w:rsidR="008715BE" w:rsidRPr="00EC75B7" w:rsidRDefault="00000000">
            <w:pPr>
              <w:pStyle w:val="TableParagraph"/>
              <w:spacing w:line="194" w:lineRule="exact"/>
              <w:ind w:left="12" w:right="5"/>
              <w:jc w:val="center"/>
              <w:rPr>
                <w:rFonts w:ascii="Verdana" w:hAnsi="Verdana"/>
                <w:sz w:val="18"/>
                <w:szCs w:val="18"/>
              </w:rPr>
            </w:pPr>
            <w:r w:rsidRPr="00EC75B7">
              <w:rPr>
                <w:rFonts w:ascii="Verdana" w:hAnsi="Verdana"/>
                <w:spacing w:val="-2"/>
                <w:sz w:val="18"/>
                <w:szCs w:val="18"/>
              </w:rPr>
              <w:t>Probability</w:t>
            </w:r>
          </w:p>
          <w:p w14:paraId="5E862C14" w14:textId="77777777" w:rsidR="008715BE" w:rsidRPr="00EC75B7" w:rsidRDefault="00000000">
            <w:pPr>
              <w:pStyle w:val="TableParagraph"/>
              <w:spacing w:line="195" w:lineRule="exact"/>
              <w:ind w:left="12" w:right="3"/>
              <w:jc w:val="center"/>
              <w:rPr>
                <w:rFonts w:ascii="Verdana" w:hAnsi="Verdana"/>
                <w:sz w:val="18"/>
                <w:szCs w:val="18"/>
              </w:rPr>
            </w:pPr>
            <w:r w:rsidRPr="00EC75B7">
              <w:rPr>
                <w:rFonts w:ascii="Verdana" w:hAnsi="Verdana"/>
                <w:sz w:val="18"/>
                <w:szCs w:val="18"/>
              </w:rPr>
              <w:t xml:space="preserve">of </w:t>
            </w:r>
            <w:r w:rsidRPr="00EC75B7">
              <w:rPr>
                <w:rFonts w:ascii="Verdana" w:hAnsi="Verdana"/>
                <w:spacing w:val="-2"/>
                <w:sz w:val="18"/>
                <w:szCs w:val="18"/>
              </w:rPr>
              <w:t>occurrence</w:t>
            </w:r>
          </w:p>
        </w:tc>
        <w:tc>
          <w:tcPr>
            <w:tcW w:w="1700" w:type="dxa"/>
          </w:tcPr>
          <w:p w14:paraId="5C55E4C3" w14:textId="77777777" w:rsidR="008715BE" w:rsidRPr="00EC75B7" w:rsidRDefault="00000000">
            <w:pPr>
              <w:pStyle w:val="TableParagraph"/>
              <w:spacing w:before="193"/>
              <w:ind w:left="9" w:right="4"/>
              <w:jc w:val="center"/>
              <w:rPr>
                <w:rFonts w:ascii="Verdana" w:hAnsi="Verdana"/>
                <w:sz w:val="18"/>
                <w:szCs w:val="18"/>
              </w:rPr>
            </w:pPr>
            <w:r w:rsidRPr="00EC75B7">
              <w:rPr>
                <w:rFonts w:ascii="Verdana" w:hAnsi="Verdana"/>
                <w:sz w:val="18"/>
                <w:szCs w:val="18"/>
              </w:rPr>
              <w:t xml:space="preserve">Very </w:t>
            </w:r>
            <w:r w:rsidRPr="00EC75B7">
              <w:rPr>
                <w:rFonts w:ascii="Verdana" w:hAnsi="Verdana"/>
                <w:spacing w:val="-2"/>
                <w:sz w:val="18"/>
                <w:szCs w:val="18"/>
              </w:rPr>
              <w:t>likely</w:t>
            </w:r>
          </w:p>
        </w:tc>
        <w:tc>
          <w:tcPr>
            <w:tcW w:w="1769" w:type="dxa"/>
          </w:tcPr>
          <w:p w14:paraId="66360373" w14:textId="77777777" w:rsidR="008715BE" w:rsidRPr="00EC75B7" w:rsidRDefault="00000000">
            <w:pPr>
              <w:pStyle w:val="TableParagraph"/>
              <w:spacing w:before="97"/>
              <w:ind w:left="860" w:right="111" w:hanging="740"/>
              <w:rPr>
                <w:rFonts w:ascii="Verdana" w:hAnsi="Verdana"/>
                <w:sz w:val="18"/>
                <w:szCs w:val="18"/>
              </w:rPr>
            </w:pPr>
            <w:r w:rsidRPr="00EC75B7">
              <w:rPr>
                <w:rFonts w:ascii="Verdana" w:hAnsi="Verdana"/>
                <w:spacing w:val="-2"/>
                <w:sz w:val="18"/>
                <w:szCs w:val="18"/>
              </w:rPr>
              <w:t>Probable</w:t>
            </w:r>
            <w:r w:rsidRPr="00EC75B7">
              <w:rPr>
                <w:rFonts w:ascii="Verdana" w:hAnsi="Verdana"/>
                <w:spacing w:val="-10"/>
                <w:sz w:val="18"/>
                <w:szCs w:val="18"/>
              </w:rPr>
              <w:t>/</w:t>
            </w:r>
            <w:r w:rsidRPr="00EC75B7">
              <w:rPr>
                <w:rFonts w:ascii="Verdana" w:hAnsi="Verdana"/>
                <w:spacing w:val="-2"/>
                <w:sz w:val="18"/>
                <w:szCs w:val="18"/>
              </w:rPr>
              <w:t>unlikely</w:t>
            </w:r>
          </w:p>
        </w:tc>
        <w:tc>
          <w:tcPr>
            <w:tcW w:w="1081" w:type="dxa"/>
          </w:tcPr>
          <w:p w14:paraId="412F4139" w14:textId="77777777" w:rsidR="008715BE" w:rsidRPr="00EC75B7" w:rsidRDefault="00000000">
            <w:pPr>
              <w:pStyle w:val="TableParagraph"/>
              <w:spacing w:before="97"/>
              <w:ind w:left="517" w:right="117" w:hanging="394"/>
              <w:rPr>
                <w:rFonts w:ascii="Verdana" w:hAnsi="Verdana"/>
                <w:sz w:val="18"/>
                <w:szCs w:val="18"/>
              </w:rPr>
            </w:pPr>
            <w:r w:rsidRPr="00EC75B7">
              <w:rPr>
                <w:rFonts w:ascii="Verdana" w:hAnsi="Verdana"/>
                <w:spacing w:val="-2"/>
                <w:sz w:val="18"/>
                <w:szCs w:val="18"/>
              </w:rPr>
              <w:t>Un</w:t>
            </w:r>
            <w:r w:rsidRPr="00EC75B7">
              <w:rPr>
                <w:rFonts w:ascii="Verdana" w:hAnsi="Verdana"/>
                <w:spacing w:val="-10"/>
                <w:sz w:val="18"/>
                <w:szCs w:val="18"/>
              </w:rPr>
              <w:t>likely</w:t>
            </w:r>
          </w:p>
        </w:tc>
        <w:tc>
          <w:tcPr>
            <w:tcW w:w="1772" w:type="dxa"/>
          </w:tcPr>
          <w:p w14:paraId="4CE5F781" w14:textId="77777777" w:rsidR="008715BE" w:rsidRPr="00EC75B7" w:rsidRDefault="00000000">
            <w:pPr>
              <w:pStyle w:val="TableParagraph"/>
              <w:spacing w:before="97"/>
              <w:ind w:left="862" w:right="112" w:hanging="740"/>
              <w:rPr>
                <w:rFonts w:ascii="Verdana" w:hAnsi="Verdana"/>
                <w:sz w:val="18"/>
                <w:szCs w:val="18"/>
              </w:rPr>
            </w:pPr>
            <w:r w:rsidRPr="00EC75B7">
              <w:rPr>
                <w:rFonts w:ascii="Verdana" w:hAnsi="Verdana"/>
                <w:spacing w:val="-2"/>
                <w:sz w:val="18"/>
                <w:szCs w:val="18"/>
              </w:rPr>
              <w:t>Lik</w:t>
            </w:r>
            <w:r w:rsidRPr="00EC75B7">
              <w:rPr>
                <w:rFonts w:ascii="Verdana" w:hAnsi="Verdana"/>
                <w:spacing w:val="-10"/>
                <w:sz w:val="18"/>
                <w:szCs w:val="18"/>
              </w:rPr>
              <w:t>ely</w:t>
            </w:r>
            <w:r w:rsidRPr="00EC75B7">
              <w:rPr>
                <w:rFonts w:ascii="Verdana" w:hAnsi="Verdana"/>
                <w:spacing w:val="-2"/>
                <w:sz w:val="18"/>
                <w:szCs w:val="18"/>
              </w:rPr>
              <w:t>/unlikely</w:t>
            </w:r>
          </w:p>
        </w:tc>
        <w:tc>
          <w:tcPr>
            <w:tcW w:w="1698" w:type="dxa"/>
          </w:tcPr>
          <w:p w14:paraId="2D54FADD" w14:textId="77777777" w:rsidR="008715BE" w:rsidRPr="00EC75B7" w:rsidRDefault="00000000">
            <w:pPr>
              <w:pStyle w:val="TableParagraph"/>
              <w:spacing w:before="193"/>
              <w:ind w:left="8" w:right="3"/>
              <w:jc w:val="center"/>
              <w:rPr>
                <w:rFonts w:ascii="Verdana" w:hAnsi="Verdana"/>
                <w:sz w:val="18"/>
                <w:szCs w:val="18"/>
              </w:rPr>
            </w:pPr>
            <w:r w:rsidRPr="00EC75B7">
              <w:rPr>
                <w:rFonts w:ascii="Verdana" w:hAnsi="Verdana"/>
                <w:sz w:val="18"/>
                <w:szCs w:val="18"/>
              </w:rPr>
              <w:t xml:space="preserve">Very </w:t>
            </w:r>
            <w:r w:rsidRPr="00EC75B7">
              <w:rPr>
                <w:rFonts w:ascii="Verdana" w:hAnsi="Verdana"/>
                <w:spacing w:val="-2"/>
                <w:sz w:val="18"/>
                <w:szCs w:val="18"/>
              </w:rPr>
              <w:t>likely</w:t>
            </w:r>
          </w:p>
        </w:tc>
      </w:tr>
      <w:tr w:rsidR="008715BE" w:rsidRPr="00EC75B7" w14:paraId="2D541E67" w14:textId="77777777">
        <w:trPr>
          <w:trHeight w:val="582"/>
        </w:trPr>
        <w:tc>
          <w:tcPr>
            <w:tcW w:w="1556" w:type="dxa"/>
            <w:shd w:val="clear" w:color="auto" w:fill="F1F1F1"/>
          </w:tcPr>
          <w:p w14:paraId="2452A82A" w14:textId="77777777" w:rsidR="008715BE" w:rsidRPr="00EC75B7" w:rsidRDefault="00000000">
            <w:pPr>
              <w:pStyle w:val="TableParagraph"/>
              <w:spacing w:line="194" w:lineRule="exact"/>
              <w:ind w:left="12" w:right="3"/>
              <w:jc w:val="center"/>
              <w:rPr>
                <w:rFonts w:ascii="Verdana" w:hAnsi="Verdana"/>
                <w:sz w:val="18"/>
                <w:szCs w:val="18"/>
              </w:rPr>
            </w:pPr>
            <w:r w:rsidRPr="00EC75B7">
              <w:rPr>
                <w:rFonts w:ascii="Verdana" w:hAnsi="Verdana"/>
                <w:spacing w:val="-5"/>
                <w:sz w:val="18"/>
                <w:szCs w:val="18"/>
              </w:rPr>
              <w:t xml:space="preserve">Significance </w:t>
            </w:r>
            <w:r w:rsidRPr="00EC75B7">
              <w:rPr>
                <w:rFonts w:ascii="Verdana" w:hAnsi="Verdana"/>
                <w:sz w:val="18"/>
                <w:szCs w:val="18"/>
              </w:rPr>
              <w:t>threshold</w:t>
            </w:r>
          </w:p>
          <w:p w14:paraId="120A2A8D" w14:textId="77777777" w:rsidR="008715BE" w:rsidRPr="00EC75B7" w:rsidRDefault="00000000">
            <w:pPr>
              <w:pStyle w:val="TableParagraph"/>
              <w:spacing w:line="195" w:lineRule="exact"/>
              <w:ind w:left="12" w:right="6"/>
              <w:jc w:val="center"/>
              <w:rPr>
                <w:rFonts w:ascii="Verdana" w:hAnsi="Verdana"/>
                <w:sz w:val="18"/>
                <w:szCs w:val="18"/>
              </w:rPr>
            </w:pPr>
            <w:r w:rsidRPr="00EC75B7">
              <w:rPr>
                <w:rFonts w:ascii="Verdana" w:hAnsi="Verdana"/>
                <w:spacing w:val="-2"/>
                <w:sz w:val="18"/>
                <w:szCs w:val="18"/>
              </w:rPr>
              <w:t>significance</w:t>
            </w:r>
          </w:p>
        </w:tc>
        <w:tc>
          <w:tcPr>
            <w:tcW w:w="1700" w:type="dxa"/>
            <w:shd w:val="clear" w:color="auto" w:fill="F1F1F1"/>
          </w:tcPr>
          <w:p w14:paraId="2B0F2E27" w14:textId="77777777" w:rsidR="008715BE" w:rsidRPr="00EC75B7" w:rsidRDefault="00000000">
            <w:pPr>
              <w:pStyle w:val="TableParagraph"/>
              <w:spacing w:before="193"/>
              <w:ind w:left="9" w:right="1"/>
              <w:jc w:val="center"/>
              <w:rPr>
                <w:rFonts w:ascii="Verdana" w:hAnsi="Verdana"/>
                <w:b/>
                <w:sz w:val="18"/>
                <w:szCs w:val="18"/>
              </w:rPr>
            </w:pPr>
            <w:r w:rsidRPr="00EC75B7">
              <w:rPr>
                <w:rFonts w:ascii="Verdana" w:hAnsi="Verdana"/>
                <w:b/>
                <w:spacing w:val="-2"/>
                <w:sz w:val="18"/>
                <w:szCs w:val="18"/>
              </w:rPr>
              <w:t>Significant</w:t>
            </w:r>
          </w:p>
        </w:tc>
        <w:tc>
          <w:tcPr>
            <w:tcW w:w="1769" w:type="dxa"/>
            <w:shd w:val="clear" w:color="auto" w:fill="F1F1F1"/>
          </w:tcPr>
          <w:p w14:paraId="006A5A39" w14:textId="77777777" w:rsidR="008715BE" w:rsidRPr="00EC75B7" w:rsidRDefault="00000000">
            <w:pPr>
              <w:pStyle w:val="TableParagraph"/>
              <w:spacing w:before="193"/>
              <w:ind w:left="11" w:right="3"/>
              <w:jc w:val="center"/>
              <w:rPr>
                <w:rFonts w:ascii="Verdana" w:hAnsi="Verdana"/>
                <w:b/>
                <w:sz w:val="18"/>
                <w:szCs w:val="18"/>
              </w:rPr>
            </w:pPr>
            <w:r w:rsidRPr="00EC75B7">
              <w:rPr>
                <w:rFonts w:ascii="Verdana" w:hAnsi="Verdana"/>
                <w:b/>
                <w:spacing w:val="-2"/>
                <w:sz w:val="18"/>
                <w:szCs w:val="18"/>
              </w:rPr>
              <w:t>Not significant</w:t>
            </w:r>
          </w:p>
        </w:tc>
        <w:tc>
          <w:tcPr>
            <w:tcW w:w="1081" w:type="dxa"/>
            <w:shd w:val="clear" w:color="auto" w:fill="F1F1F1"/>
          </w:tcPr>
          <w:p w14:paraId="0B13FE33" w14:textId="77777777" w:rsidR="008715BE" w:rsidRPr="00EC75B7" w:rsidRDefault="00000000">
            <w:pPr>
              <w:pStyle w:val="TableParagraph"/>
              <w:spacing w:before="97" w:line="195" w:lineRule="exact"/>
              <w:ind w:left="15" w:right="7"/>
              <w:jc w:val="center"/>
              <w:rPr>
                <w:rFonts w:ascii="Verdana" w:hAnsi="Verdana"/>
                <w:b/>
                <w:sz w:val="18"/>
                <w:szCs w:val="18"/>
              </w:rPr>
            </w:pPr>
            <w:r w:rsidRPr="00EC75B7">
              <w:rPr>
                <w:rFonts w:ascii="Verdana" w:hAnsi="Verdana"/>
                <w:b/>
                <w:spacing w:val="-4"/>
                <w:sz w:val="18"/>
                <w:szCs w:val="18"/>
              </w:rPr>
              <w:t>No</w:t>
            </w:r>
          </w:p>
          <w:p w14:paraId="190B9491" w14:textId="77777777" w:rsidR="008715BE" w:rsidRPr="00EC75B7" w:rsidRDefault="00000000">
            <w:pPr>
              <w:pStyle w:val="TableParagraph"/>
              <w:spacing w:line="195" w:lineRule="exact"/>
              <w:ind w:left="15" w:right="7"/>
              <w:jc w:val="center"/>
              <w:rPr>
                <w:rFonts w:ascii="Verdana" w:hAnsi="Verdana"/>
                <w:b/>
                <w:sz w:val="18"/>
                <w:szCs w:val="18"/>
              </w:rPr>
            </w:pPr>
            <w:r w:rsidRPr="00EC75B7">
              <w:rPr>
                <w:rFonts w:ascii="Verdana" w:hAnsi="Verdana"/>
                <w:b/>
                <w:spacing w:val="-2"/>
                <w:sz w:val="18"/>
                <w:szCs w:val="18"/>
              </w:rPr>
              <w:t>impact</w:t>
            </w:r>
          </w:p>
        </w:tc>
        <w:tc>
          <w:tcPr>
            <w:tcW w:w="1772" w:type="dxa"/>
            <w:shd w:val="clear" w:color="auto" w:fill="F1F1F1"/>
          </w:tcPr>
          <w:p w14:paraId="6C4F39D4" w14:textId="77777777" w:rsidR="008715BE" w:rsidRPr="00EC75B7" w:rsidRDefault="00000000">
            <w:pPr>
              <w:pStyle w:val="TableParagraph"/>
              <w:spacing w:line="194" w:lineRule="exact"/>
              <w:ind w:left="11" w:right="5"/>
              <w:jc w:val="center"/>
              <w:rPr>
                <w:rFonts w:ascii="Verdana" w:hAnsi="Verdana"/>
                <w:b/>
                <w:sz w:val="18"/>
                <w:szCs w:val="18"/>
              </w:rPr>
            </w:pPr>
            <w:r w:rsidRPr="00EC75B7">
              <w:rPr>
                <w:rFonts w:ascii="Verdana" w:hAnsi="Verdana"/>
                <w:b/>
                <w:spacing w:val="-2"/>
                <w:sz w:val="18"/>
                <w:szCs w:val="18"/>
              </w:rPr>
              <w:t>Significant</w:t>
            </w:r>
          </w:p>
        </w:tc>
        <w:tc>
          <w:tcPr>
            <w:tcW w:w="1698" w:type="dxa"/>
            <w:shd w:val="clear" w:color="auto" w:fill="F1F1F1"/>
          </w:tcPr>
          <w:p w14:paraId="366A7696" w14:textId="77777777" w:rsidR="008715BE" w:rsidRPr="00EC75B7" w:rsidRDefault="00000000">
            <w:pPr>
              <w:pStyle w:val="TableParagraph"/>
              <w:spacing w:line="194" w:lineRule="exact"/>
              <w:ind w:left="8" w:right="4"/>
              <w:jc w:val="center"/>
              <w:rPr>
                <w:rFonts w:ascii="Verdana" w:hAnsi="Verdana"/>
                <w:b/>
                <w:sz w:val="18"/>
                <w:szCs w:val="18"/>
              </w:rPr>
            </w:pPr>
            <w:r w:rsidRPr="00EC75B7">
              <w:rPr>
                <w:rFonts w:ascii="Verdana" w:hAnsi="Verdana"/>
                <w:b/>
                <w:spacing w:val="-2"/>
                <w:sz w:val="18"/>
                <w:szCs w:val="18"/>
              </w:rPr>
              <w:t>Not really</w:t>
            </w:r>
          </w:p>
        </w:tc>
      </w:tr>
      <w:tr w:rsidR="008715BE" w:rsidRPr="00EC75B7" w14:paraId="4CC3F1D3" w14:textId="77777777">
        <w:trPr>
          <w:trHeight w:val="585"/>
        </w:trPr>
        <w:tc>
          <w:tcPr>
            <w:tcW w:w="1556" w:type="dxa"/>
            <w:shd w:val="clear" w:color="auto" w:fill="F1F1F1"/>
          </w:tcPr>
          <w:p w14:paraId="0F1F1AF4" w14:textId="77777777" w:rsidR="008715BE" w:rsidRPr="00EC75B7" w:rsidRDefault="00000000">
            <w:pPr>
              <w:pStyle w:val="TableParagraph"/>
              <w:spacing w:before="1"/>
              <w:ind w:left="374" w:hanging="159"/>
              <w:rPr>
                <w:rFonts w:ascii="Verdana" w:hAnsi="Verdana"/>
                <w:sz w:val="18"/>
                <w:szCs w:val="18"/>
              </w:rPr>
            </w:pPr>
            <w:r w:rsidRPr="00EC75B7">
              <w:rPr>
                <w:rFonts w:ascii="Verdana" w:hAnsi="Verdana"/>
                <w:sz w:val="18"/>
                <w:szCs w:val="18"/>
              </w:rPr>
              <w:t xml:space="preserve">Possibility of </w:t>
            </w:r>
            <w:r w:rsidRPr="00EC75B7">
              <w:rPr>
                <w:rFonts w:ascii="Verdana" w:hAnsi="Verdana"/>
                <w:spacing w:val="-2"/>
                <w:sz w:val="18"/>
                <w:szCs w:val="18"/>
              </w:rPr>
              <w:t>reduction</w:t>
            </w:r>
          </w:p>
        </w:tc>
        <w:tc>
          <w:tcPr>
            <w:tcW w:w="1700" w:type="dxa"/>
          </w:tcPr>
          <w:p w14:paraId="3759CBB2" w14:textId="77777777" w:rsidR="008715BE" w:rsidRPr="00EC75B7" w:rsidRDefault="008715BE">
            <w:pPr>
              <w:pStyle w:val="TableParagraph"/>
              <w:rPr>
                <w:rFonts w:ascii="Verdana" w:hAnsi="Verdana"/>
                <w:b/>
                <w:sz w:val="18"/>
                <w:szCs w:val="18"/>
              </w:rPr>
            </w:pPr>
          </w:p>
          <w:p w14:paraId="0AE84954" w14:textId="77777777" w:rsidR="008715BE" w:rsidRPr="00EC75B7" w:rsidRDefault="00000000">
            <w:pPr>
              <w:pStyle w:val="TableParagraph"/>
              <w:ind w:left="9" w:right="1"/>
              <w:jc w:val="center"/>
              <w:rPr>
                <w:rFonts w:ascii="Verdana" w:hAnsi="Verdana"/>
                <w:sz w:val="18"/>
                <w:szCs w:val="18"/>
              </w:rPr>
            </w:pPr>
            <w:r w:rsidRPr="00EC75B7">
              <w:rPr>
                <w:rFonts w:ascii="Verdana" w:hAnsi="Verdana"/>
                <w:spacing w:val="-4"/>
                <w:sz w:val="18"/>
                <w:szCs w:val="18"/>
              </w:rPr>
              <w:t>None</w:t>
            </w:r>
          </w:p>
        </w:tc>
        <w:tc>
          <w:tcPr>
            <w:tcW w:w="1769" w:type="dxa"/>
          </w:tcPr>
          <w:p w14:paraId="0C51D0F1" w14:textId="77777777" w:rsidR="008715BE" w:rsidRPr="00EC75B7" w:rsidRDefault="008715BE">
            <w:pPr>
              <w:pStyle w:val="TableParagraph"/>
              <w:rPr>
                <w:rFonts w:ascii="Verdana" w:hAnsi="Verdana"/>
                <w:b/>
                <w:sz w:val="18"/>
                <w:szCs w:val="18"/>
              </w:rPr>
            </w:pPr>
          </w:p>
          <w:p w14:paraId="39C97495" w14:textId="77777777" w:rsidR="008715BE" w:rsidRPr="00EC75B7" w:rsidRDefault="00000000">
            <w:pPr>
              <w:pStyle w:val="TableParagraph"/>
              <w:ind w:left="11" w:right="5"/>
              <w:jc w:val="center"/>
              <w:rPr>
                <w:rFonts w:ascii="Verdana" w:hAnsi="Verdana"/>
                <w:sz w:val="18"/>
                <w:szCs w:val="18"/>
              </w:rPr>
            </w:pPr>
            <w:r w:rsidRPr="00EC75B7">
              <w:rPr>
                <w:rFonts w:ascii="Verdana" w:hAnsi="Verdana"/>
                <w:spacing w:val="-2"/>
                <w:sz w:val="18"/>
                <w:szCs w:val="18"/>
              </w:rPr>
              <w:t>Total</w:t>
            </w:r>
          </w:p>
        </w:tc>
        <w:tc>
          <w:tcPr>
            <w:tcW w:w="1081" w:type="dxa"/>
          </w:tcPr>
          <w:p w14:paraId="008A5977" w14:textId="77777777" w:rsidR="008715BE" w:rsidRPr="00EC75B7" w:rsidRDefault="00000000">
            <w:pPr>
              <w:pStyle w:val="TableParagraph"/>
              <w:spacing w:before="97" w:line="195" w:lineRule="exact"/>
              <w:ind w:left="361"/>
              <w:rPr>
                <w:rFonts w:ascii="Verdana" w:hAnsi="Verdana"/>
                <w:sz w:val="18"/>
                <w:szCs w:val="18"/>
              </w:rPr>
            </w:pPr>
            <w:r w:rsidRPr="00EC75B7">
              <w:rPr>
                <w:rFonts w:ascii="Verdana" w:hAnsi="Verdana"/>
                <w:spacing w:val="-4"/>
                <w:sz w:val="18"/>
                <w:szCs w:val="18"/>
              </w:rPr>
              <w:t>None</w:t>
            </w:r>
          </w:p>
          <w:p w14:paraId="5696DBD5" w14:textId="77777777" w:rsidR="008715BE" w:rsidRPr="00EC75B7" w:rsidRDefault="00000000">
            <w:pPr>
              <w:pStyle w:val="TableParagraph"/>
              <w:spacing w:line="195" w:lineRule="exact"/>
              <w:ind w:left="267"/>
              <w:rPr>
                <w:rFonts w:ascii="Verdana" w:hAnsi="Verdana"/>
                <w:sz w:val="18"/>
                <w:szCs w:val="18"/>
              </w:rPr>
            </w:pPr>
            <w:r w:rsidRPr="00EC75B7">
              <w:rPr>
                <w:rFonts w:ascii="Verdana" w:hAnsi="Verdana"/>
                <w:spacing w:val="-2"/>
                <w:sz w:val="18"/>
                <w:szCs w:val="18"/>
              </w:rPr>
              <w:t>impact</w:t>
            </w:r>
          </w:p>
        </w:tc>
        <w:tc>
          <w:tcPr>
            <w:tcW w:w="1772" w:type="dxa"/>
          </w:tcPr>
          <w:p w14:paraId="747C5DA8" w14:textId="77777777" w:rsidR="008715BE" w:rsidRPr="00EC75B7" w:rsidRDefault="008715BE">
            <w:pPr>
              <w:pStyle w:val="TableParagraph"/>
              <w:rPr>
                <w:rFonts w:ascii="Verdana" w:hAnsi="Verdana"/>
                <w:b/>
                <w:sz w:val="18"/>
                <w:szCs w:val="18"/>
              </w:rPr>
            </w:pPr>
          </w:p>
          <w:p w14:paraId="6221F52F" w14:textId="77777777" w:rsidR="008715BE" w:rsidRPr="00EC75B7" w:rsidRDefault="00000000">
            <w:pPr>
              <w:pStyle w:val="TableParagraph"/>
              <w:ind w:left="11" w:right="5"/>
              <w:jc w:val="center"/>
              <w:rPr>
                <w:rFonts w:ascii="Verdana" w:hAnsi="Verdana"/>
                <w:sz w:val="18"/>
                <w:szCs w:val="18"/>
              </w:rPr>
            </w:pPr>
            <w:r w:rsidRPr="00EC75B7">
              <w:rPr>
                <w:rFonts w:ascii="Verdana" w:hAnsi="Verdana"/>
                <w:spacing w:val="-2"/>
                <w:sz w:val="18"/>
                <w:szCs w:val="18"/>
              </w:rPr>
              <w:t>Total</w:t>
            </w:r>
          </w:p>
        </w:tc>
        <w:tc>
          <w:tcPr>
            <w:tcW w:w="1698" w:type="dxa"/>
          </w:tcPr>
          <w:p w14:paraId="4BC7EF5B" w14:textId="77777777" w:rsidR="008715BE" w:rsidRPr="00EC75B7" w:rsidRDefault="008715BE">
            <w:pPr>
              <w:pStyle w:val="TableParagraph"/>
              <w:rPr>
                <w:rFonts w:ascii="Verdana" w:hAnsi="Verdana"/>
                <w:b/>
                <w:sz w:val="18"/>
                <w:szCs w:val="18"/>
              </w:rPr>
            </w:pPr>
          </w:p>
          <w:p w14:paraId="50364362" w14:textId="77777777" w:rsidR="008715BE" w:rsidRPr="00EC75B7" w:rsidRDefault="00000000">
            <w:pPr>
              <w:pStyle w:val="TableParagraph"/>
              <w:ind w:left="8" w:right="1"/>
              <w:jc w:val="center"/>
              <w:rPr>
                <w:rFonts w:ascii="Verdana" w:hAnsi="Verdana"/>
                <w:sz w:val="18"/>
                <w:szCs w:val="18"/>
              </w:rPr>
            </w:pPr>
            <w:r w:rsidRPr="00EC75B7">
              <w:rPr>
                <w:rFonts w:ascii="Verdana" w:hAnsi="Verdana"/>
                <w:spacing w:val="-4"/>
                <w:sz w:val="18"/>
                <w:szCs w:val="18"/>
              </w:rPr>
              <w:t>None</w:t>
            </w:r>
          </w:p>
        </w:tc>
      </w:tr>
      <w:tr w:rsidR="008715BE" w:rsidRPr="00EC75B7" w14:paraId="1F6B098F" w14:textId="77777777">
        <w:trPr>
          <w:trHeight w:val="388"/>
        </w:trPr>
        <w:tc>
          <w:tcPr>
            <w:tcW w:w="1556" w:type="dxa"/>
            <w:shd w:val="clear" w:color="auto" w:fill="F1F1F1"/>
          </w:tcPr>
          <w:p w14:paraId="142102B9" w14:textId="77777777" w:rsidR="008715BE" w:rsidRPr="00EC75B7" w:rsidRDefault="00000000">
            <w:pPr>
              <w:pStyle w:val="TableParagraph"/>
              <w:spacing w:line="194" w:lineRule="exact"/>
              <w:ind w:left="216"/>
              <w:rPr>
                <w:rFonts w:ascii="Verdana" w:hAnsi="Verdana"/>
                <w:sz w:val="18"/>
                <w:szCs w:val="18"/>
              </w:rPr>
            </w:pPr>
            <w:r w:rsidRPr="00EC75B7">
              <w:rPr>
                <w:rFonts w:ascii="Verdana" w:hAnsi="Verdana"/>
                <w:sz w:val="18"/>
                <w:szCs w:val="18"/>
              </w:rPr>
              <w:t xml:space="preserve">Possibility </w:t>
            </w:r>
            <w:r w:rsidRPr="00EC75B7">
              <w:rPr>
                <w:rFonts w:ascii="Verdana" w:hAnsi="Verdana"/>
                <w:spacing w:val="-5"/>
                <w:sz w:val="18"/>
                <w:szCs w:val="18"/>
              </w:rPr>
              <w:t>of</w:t>
            </w:r>
          </w:p>
          <w:p w14:paraId="5172293B" w14:textId="77777777" w:rsidR="008715BE" w:rsidRPr="00EC75B7" w:rsidRDefault="00000000">
            <w:pPr>
              <w:pStyle w:val="TableParagraph"/>
              <w:spacing w:line="174" w:lineRule="exact"/>
              <w:ind w:left="269"/>
              <w:rPr>
                <w:rFonts w:ascii="Verdana" w:hAnsi="Verdana"/>
                <w:sz w:val="18"/>
                <w:szCs w:val="18"/>
              </w:rPr>
            </w:pPr>
            <w:r w:rsidRPr="00EC75B7">
              <w:rPr>
                <w:rFonts w:ascii="Verdana" w:hAnsi="Verdana"/>
                <w:spacing w:val="-2"/>
                <w:sz w:val="18"/>
                <w:szCs w:val="18"/>
              </w:rPr>
              <w:t>monitoring</w:t>
            </w:r>
          </w:p>
        </w:tc>
        <w:tc>
          <w:tcPr>
            <w:tcW w:w="1700" w:type="dxa"/>
            <w:shd w:val="clear" w:color="auto" w:fill="F1F1F1"/>
          </w:tcPr>
          <w:p w14:paraId="23A494DA" w14:textId="77777777" w:rsidR="008715BE" w:rsidRPr="00EC75B7" w:rsidRDefault="00000000">
            <w:pPr>
              <w:pStyle w:val="TableParagraph"/>
              <w:spacing w:before="95"/>
              <w:ind w:left="9" w:right="1"/>
              <w:jc w:val="center"/>
              <w:rPr>
                <w:rFonts w:ascii="Verdana" w:hAnsi="Verdana"/>
                <w:sz w:val="18"/>
                <w:szCs w:val="18"/>
              </w:rPr>
            </w:pPr>
            <w:r w:rsidRPr="00EC75B7">
              <w:rPr>
                <w:rFonts w:ascii="Verdana" w:hAnsi="Verdana"/>
                <w:spacing w:val="-4"/>
                <w:sz w:val="18"/>
                <w:szCs w:val="18"/>
              </w:rPr>
              <w:t>None</w:t>
            </w:r>
          </w:p>
        </w:tc>
        <w:tc>
          <w:tcPr>
            <w:tcW w:w="1769" w:type="dxa"/>
            <w:shd w:val="clear" w:color="auto" w:fill="F1F1F1"/>
          </w:tcPr>
          <w:p w14:paraId="7BEF2F8E" w14:textId="77777777" w:rsidR="008715BE" w:rsidRPr="00EC75B7" w:rsidRDefault="00000000">
            <w:pPr>
              <w:pStyle w:val="TableParagraph"/>
              <w:spacing w:before="95"/>
              <w:ind w:left="11" w:right="5"/>
              <w:jc w:val="center"/>
              <w:rPr>
                <w:rFonts w:ascii="Verdana" w:hAnsi="Verdana"/>
                <w:sz w:val="18"/>
                <w:szCs w:val="18"/>
              </w:rPr>
            </w:pPr>
            <w:r w:rsidRPr="00EC75B7">
              <w:rPr>
                <w:rFonts w:ascii="Verdana" w:hAnsi="Verdana"/>
                <w:spacing w:val="-2"/>
                <w:sz w:val="18"/>
                <w:szCs w:val="18"/>
              </w:rPr>
              <w:t>Total</w:t>
            </w:r>
          </w:p>
        </w:tc>
        <w:tc>
          <w:tcPr>
            <w:tcW w:w="1081" w:type="dxa"/>
            <w:shd w:val="clear" w:color="auto" w:fill="F1F1F1"/>
          </w:tcPr>
          <w:p w14:paraId="22005BEA" w14:textId="77777777" w:rsidR="008715BE" w:rsidRPr="00EC75B7" w:rsidRDefault="00000000">
            <w:pPr>
              <w:pStyle w:val="TableParagraph"/>
              <w:spacing w:line="194" w:lineRule="exact"/>
              <w:ind w:left="361"/>
              <w:rPr>
                <w:rFonts w:ascii="Verdana" w:hAnsi="Verdana"/>
                <w:sz w:val="18"/>
                <w:szCs w:val="18"/>
              </w:rPr>
            </w:pPr>
            <w:r w:rsidRPr="00EC75B7">
              <w:rPr>
                <w:rFonts w:ascii="Verdana" w:hAnsi="Verdana"/>
                <w:spacing w:val="-4"/>
                <w:sz w:val="18"/>
                <w:szCs w:val="18"/>
              </w:rPr>
              <w:t>None</w:t>
            </w:r>
          </w:p>
          <w:p w14:paraId="02D2E745" w14:textId="77777777" w:rsidR="008715BE" w:rsidRPr="00EC75B7" w:rsidRDefault="00000000">
            <w:pPr>
              <w:pStyle w:val="TableParagraph"/>
              <w:spacing w:line="174" w:lineRule="exact"/>
              <w:ind w:left="267"/>
              <w:rPr>
                <w:rFonts w:ascii="Verdana" w:hAnsi="Verdana"/>
                <w:sz w:val="18"/>
                <w:szCs w:val="18"/>
              </w:rPr>
            </w:pPr>
            <w:r w:rsidRPr="00EC75B7">
              <w:rPr>
                <w:rFonts w:ascii="Verdana" w:hAnsi="Verdana"/>
                <w:spacing w:val="-2"/>
                <w:sz w:val="18"/>
                <w:szCs w:val="18"/>
              </w:rPr>
              <w:t>impact</w:t>
            </w:r>
          </w:p>
        </w:tc>
        <w:tc>
          <w:tcPr>
            <w:tcW w:w="1772" w:type="dxa"/>
            <w:shd w:val="clear" w:color="auto" w:fill="F1F1F1"/>
          </w:tcPr>
          <w:p w14:paraId="6FFEEB93" w14:textId="77777777" w:rsidR="008715BE" w:rsidRPr="00EC75B7" w:rsidRDefault="00000000">
            <w:pPr>
              <w:pStyle w:val="TableParagraph"/>
              <w:spacing w:before="95"/>
              <w:ind w:left="11" w:right="5"/>
              <w:jc w:val="center"/>
              <w:rPr>
                <w:rFonts w:ascii="Verdana" w:hAnsi="Verdana"/>
                <w:sz w:val="18"/>
                <w:szCs w:val="18"/>
              </w:rPr>
            </w:pPr>
            <w:r w:rsidRPr="00EC75B7">
              <w:rPr>
                <w:rFonts w:ascii="Verdana" w:hAnsi="Verdana"/>
                <w:spacing w:val="-2"/>
                <w:sz w:val="18"/>
                <w:szCs w:val="18"/>
              </w:rPr>
              <w:t>Total</w:t>
            </w:r>
          </w:p>
        </w:tc>
        <w:tc>
          <w:tcPr>
            <w:tcW w:w="1698" w:type="dxa"/>
            <w:shd w:val="clear" w:color="auto" w:fill="F1F1F1"/>
          </w:tcPr>
          <w:p w14:paraId="21A0585F" w14:textId="77777777" w:rsidR="008715BE" w:rsidRPr="00EC75B7" w:rsidRDefault="00000000">
            <w:pPr>
              <w:pStyle w:val="TableParagraph"/>
              <w:spacing w:before="95"/>
              <w:ind w:left="8" w:right="1"/>
              <w:jc w:val="center"/>
              <w:rPr>
                <w:rFonts w:ascii="Verdana" w:hAnsi="Verdana"/>
                <w:sz w:val="18"/>
                <w:szCs w:val="18"/>
              </w:rPr>
            </w:pPr>
            <w:r w:rsidRPr="00EC75B7">
              <w:rPr>
                <w:rFonts w:ascii="Verdana" w:hAnsi="Verdana"/>
                <w:spacing w:val="-4"/>
                <w:sz w:val="18"/>
                <w:szCs w:val="18"/>
              </w:rPr>
              <w:t>None</w:t>
            </w:r>
          </w:p>
        </w:tc>
      </w:tr>
    </w:tbl>
    <w:p w14:paraId="685A6CA4" w14:textId="77777777" w:rsidR="008715BE" w:rsidRPr="00EC75B7" w:rsidRDefault="008715BE">
      <w:pPr>
        <w:pStyle w:val="BodyText"/>
        <w:spacing w:before="69"/>
        <w:rPr>
          <w:rFonts w:ascii="Verdana" w:hAnsi="Verdana"/>
          <w:b/>
        </w:rPr>
      </w:pPr>
    </w:p>
    <w:p w14:paraId="7006CA88" w14:textId="77777777" w:rsidR="008715BE" w:rsidRPr="00EC75B7" w:rsidRDefault="00000000">
      <w:pPr>
        <w:pStyle w:val="BodyText"/>
        <w:spacing w:line="360" w:lineRule="auto"/>
        <w:ind w:left="57" w:right="145"/>
        <w:jc w:val="both"/>
        <w:rPr>
          <w:rFonts w:ascii="Verdana" w:hAnsi="Verdana"/>
        </w:rPr>
      </w:pPr>
      <w:r w:rsidRPr="00EC75B7">
        <w:rPr>
          <w:rFonts w:ascii="Verdana" w:hAnsi="Verdana"/>
        </w:rPr>
        <w:t>The environmental impact assessment was carried out separately for each relevant environmental component, during the project's operation and decommissioning phases.</w:t>
      </w:r>
    </w:p>
    <w:p w14:paraId="4F94C661" w14:textId="77777777" w:rsidR="008715BE" w:rsidRPr="00EC75B7" w:rsidRDefault="00000000">
      <w:pPr>
        <w:pStyle w:val="BodyText"/>
        <w:spacing w:before="119" w:line="357" w:lineRule="auto"/>
        <w:ind w:left="57" w:right="146"/>
        <w:jc w:val="both"/>
        <w:rPr>
          <w:rFonts w:ascii="Verdana" w:hAnsi="Verdana"/>
        </w:rPr>
      </w:pPr>
      <w:r w:rsidRPr="00EC75B7">
        <w:rPr>
          <w:rFonts w:ascii="Verdana" w:hAnsi="Verdana"/>
        </w:rPr>
        <w:t>Estimates of the potential impacts of the project were made using standardised methodologies and internationally recognised modelling tools, supplemented by project-specific data and the professional experience of the consulting team.</w:t>
      </w:r>
    </w:p>
    <w:p w14:paraId="198B6490" w14:textId="77777777" w:rsidR="008715BE" w:rsidRPr="00EC75B7" w:rsidRDefault="00000000">
      <w:pPr>
        <w:pStyle w:val="BodyText"/>
        <w:spacing w:before="2" w:line="357" w:lineRule="auto"/>
        <w:ind w:left="57" w:right="148"/>
        <w:jc w:val="both"/>
        <w:rPr>
          <w:rFonts w:ascii="Verdana" w:hAnsi="Verdana"/>
        </w:rPr>
      </w:pPr>
      <w:r w:rsidRPr="00EC75B7">
        <w:rPr>
          <w:rFonts w:ascii="Verdana" w:hAnsi="Verdana"/>
        </w:rPr>
        <w:t>Calculations related to the estimation of pollutant emissions into the atmosphere were performed based on EMEP/EEA methodologies, and the dispersion of pollutants in the air was modeled using dedicated software, ADMS 6, widely used in environmental impact assessments.</w:t>
      </w:r>
    </w:p>
    <w:p w14:paraId="139D9C51" w14:textId="77777777" w:rsidR="008715BE" w:rsidRPr="00EC75B7" w:rsidRDefault="00000000">
      <w:pPr>
        <w:pStyle w:val="BodyText"/>
        <w:spacing w:before="1" w:line="360" w:lineRule="auto"/>
        <w:ind w:left="57" w:right="136"/>
        <w:jc w:val="both"/>
        <w:rPr>
          <w:rFonts w:ascii="Verdana" w:hAnsi="Verdana"/>
        </w:rPr>
      </w:pPr>
      <w:r w:rsidRPr="00EC75B7">
        <w:rPr>
          <w:rFonts w:ascii="Verdana" w:hAnsi="Verdana"/>
        </w:rPr>
        <w:t>Ambient noise modeling was performed using the SoundPLANnoise application, both for the execution phase and for the operation phase, in accordance with the ISO 9613-2 calculation model, taking into account the maximum capacity operating scenario.</w:t>
      </w:r>
    </w:p>
    <w:p w14:paraId="20828527" w14:textId="77777777" w:rsidR="008715BE" w:rsidRPr="00EC75B7" w:rsidRDefault="00000000">
      <w:pPr>
        <w:pStyle w:val="BodyText"/>
        <w:spacing w:line="357" w:lineRule="auto"/>
        <w:ind w:left="57" w:right="146"/>
        <w:jc w:val="both"/>
        <w:rPr>
          <w:rFonts w:ascii="Verdana" w:hAnsi="Verdana"/>
        </w:rPr>
      </w:pPr>
      <w:r w:rsidRPr="00EC75B7">
        <w:rPr>
          <w:rFonts w:ascii="Verdana" w:hAnsi="Verdana"/>
        </w:rPr>
        <w:t>The analyses were based on technical data provided by the designer, including the spatial location of the project, the areas affected temporarily and permanently, the type and number of heavy machinery and vehicles used, the volumes of work, the quantities of materials involved, and the estimated volumes of waste generated. In addition, estimates and assumptions based on the experience of the consultant and the designer, obtained from similar projects and the results of other relevant assessments and simulations, were used, thus ensuring a consistent and realistic approach to impact forecasts.</w:t>
      </w:r>
    </w:p>
    <w:p w14:paraId="4A3AE5B6" w14:textId="77777777" w:rsidR="008715BE" w:rsidRPr="00EC75B7" w:rsidRDefault="008715BE">
      <w:pPr>
        <w:pStyle w:val="BodyText"/>
        <w:spacing w:line="357" w:lineRule="auto"/>
        <w:jc w:val="both"/>
        <w:rPr>
          <w:rFonts w:ascii="Verdana" w:hAnsi="Verdana"/>
        </w:rPr>
        <w:sectPr w:rsidR="008715BE" w:rsidRPr="00EC75B7">
          <w:headerReference w:type="default" r:id="rId284"/>
          <w:footerReference w:type="default" r:id="rId285"/>
          <w:pgSz w:w="11910" w:h="16840"/>
          <w:pgMar w:top="1920" w:right="992" w:bottom="1020" w:left="1133" w:header="766" w:footer="824" w:gutter="0"/>
          <w:cols w:space="708"/>
        </w:sectPr>
      </w:pPr>
    </w:p>
    <w:p w14:paraId="0A54A833" w14:textId="3228BC8B" w:rsidR="008715BE" w:rsidRPr="00791B3F" w:rsidRDefault="00000000" w:rsidP="00791B3F">
      <w:pPr>
        <w:pStyle w:val="Heading3"/>
        <w:numPr>
          <w:ilvl w:val="1"/>
          <w:numId w:val="110"/>
        </w:numPr>
        <w:tabs>
          <w:tab w:val="left" w:pos="1049"/>
          <w:tab w:val="left" w:pos="4117"/>
          <w:tab w:val="left" w:pos="6183"/>
          <w:tab w:val="left" w:pos="8871"/>
        </w:tabs>
        <w:spacing w:before="102"/>
        <w:ind w:left="1049" w:hanging="934"/>
        <w:jc w:val="left"/>
        <w:rPr>
          <w:rFonts w:ascii="Verdana" w:hAnsi="Verdana"/>
          <w:color w:val="00AFEF"/>
          <w:sz w:val="18"/>
          <w:szCs w:val="18"/>
        </w:rPr>
      </w:pPr>
      <w:bookmarkStart w:id="132" w:name="_bookmark132"/>
      <w:bookmarkEnd w:id="132"/>
      <w:r w:rsidRPr="00EC75B7">
        <w:rPr>
          <w:rFonts w:ascii="Verdana" w:hAnsi="Verdana"/>
          <w:color w:val="00AFEF"/>
          <w:spacing w:val="38"/>
          <w:sz w:val="18"/>
          <w:szCs w:val="18"/>
        </w:rPr>
        <w:lastRenderedPageBreak/>
        <w:t xml:space="preserve">  </w:t>
      </w:r>
      <w:r w:rsidRPr="00EC75B7">
        <w:rPr>
          <w:rFonts w:ascii="Verdana" w:hAnsi="Verdana"/>
          <w:color w:val="00AFEF"/>
          <w:spacing w:val="-2"/>
          <w:sz w:val="18"/>
          <w:szCs w:val="18"/>
        </w:rPr>
        <w:t xml:space="preserve"> </w:t>
      </w:r>
      <w:r w:rsidR="00791B3F">
        <w:rPr>
          <w:rFonts w:ascii="Verdana" w:hAnsi="Verdana"/>
          <w:color w:val="00AFEF"/>
          <w:sz w:val="18"/>
          <w:szCs w:val="18"/>
        </w:rPr>
        <w:t>D</w:t>
      </w:r>
      <w:r w:rsidRPr="00EC75B7">
        <w:rPr>
          <w:rFonts w:ascii="Verdana" w:hAnsi="Verdana"/>
          <w:color w:val="00AFEF"/>
          <w:sz w:val="18"/>
          <w:szCs w:val="18"/>
        </w:rPr>
        <w:t xml:space="preserve">escription </w:t>
      </w:r>
      <w:r w:rsidRPr="00EC75B7">
        <w:rPr>
          <w:rFonts w:ascii="Verdana" w:hAnsi="Verdana"/>
          <w:color w:val="00AFEF"/>
          <w:spacing w:val="-2"/>
          <w:sz w:val="18"/>
          <w:szCs w:val="18"/>
        </w:rPr>
        <w:t>of the methodology</w:t>
      </w:r>
      <w:r w:rsidR="00791B3F">
        <w:rPr>
          <w:rFonts w:ascii="Verdana" w:hAnsi="Verdana"/>
          <w:color w:val="00AFEF"/>
          <w:sz w:val="18"/>
          <w:szCs w:val="18"/>
        </w:rPr>
        <w:t xml:space="preserve"> </w:t>
      </w:r>
      <w:r w:rsidRPr="00EC75B7">
        <w:rPr>
          <w:rFonts w:ascii="Verdana" w:hAnsi="Verdana"/>
          <w:color w:val="00AFEF"/>
          <w:sz w:val="18"/>
          <w:szCs w:val="18"/>
        </w:rPr>
        <w:t>use</w:t>
      </w:r>
      <w:r w:rsidR="00791B3F">
        <w:rPr>
          <w:rFonts w:ascii="Verdana" w:hAnsi="Verdana"/>
          <w:color w:val="00AFEF"/>
          <w:sz w:val="18"/>
          <w:szCs w:val="18"/>
        </w:rPr>
        <w:t xml:space="preserve">d for </w:t>
      </w:r>
      <w:r w:rsidRPr="00EC75B7">
        <w:rPr>
          <w:rFonts w:ascii="Verdana" w:hAnsi="Verdana"/>
          <w:color w:val="00AFEF"/>
          <w:spacing w:val="-2"/>
          <w:sz w:val="18"/>
          <w:szCs w:val="18"/>
        </w:rPr>
        <w:t xml:space="preserve">impact </w:t>
      </w:r>
      <w:r w:rsidRPr="00EC75B7">
        <w:rPr>
          <w:rFonts w:ascii="Verdana" w:hAnsi="Verdana"/>
          <w:color w:val="00AFEF"/>
          <w:sz w:val="18"/>
          <w:szCs w:val="18"/>
        </w:rPr>
        <w:t>assessment</w:t>
      </w:r>
      <w:r w:rsidR="00791B3F">
        <w:rPr>
          <w:rFonts w:ascii="Verdana" w:hAnsi="Verdana"/>
          <w:color w:val="00AFEF"/>
          <w:sz w:val="18"/>
          <w:szCs w:val="18"/>
        </w:rPr>
        <w:t xml:space="preserve"> </w:t>
      </w:r>
      <w:r w:rsidRPr="00EC75B7">
        <w:rPr>
          <w:rFonts w:ascii="Verdana" w:hAnsi="Verdana"/>
          <w:color w:val="00AFEF"/>
          <w:spacing w:val="-2"/>
          <w:sz w:val="18"/>
          <w:szCs w:val="18"/>
        </w:rPr>
        <w:t>on</w:t>
      </w:r>
      <w:r w:rsidR="00791B3F">
        <w:rPr>
          <w:rFonts w:ascii="Verdana" w:hAnsi="Verdana"/>
          <w:color w:val="00AFEF"/>
          <w:sz w:val="18"/>
          <w:szCs w:val="18"/>
        </w:rPr>
        <w:t xml:space="preserve"> </w:t>
      </w:r>
      <w:r w:rsidRPr="00791B3F">
        <w:rPr>
          <w:rFonts w:ascii="Verdana" w:hAnsi="Verdana"/>
          <w:color w:val="00AFEF"/>
          <w:spacing w:val="-2"/>
          <w:sz w:val="18"/>
          <w:szCs w:val="18"/>
        </w:rPr>
        <w:t xml:space="preserve">climate </w:t>
      </w:r>
      <w:r w:rsidRPr="00791B3F">
        <w:rPr>
          <w:rFonts w:ascii="Verdana" w:hAnsi="Verdana"/>
          <w:color w:val="00AFEF"/>
          <w:sz w:val="18"/>
          <w:szCs w:val="18"/>
        </w:rPr>
        <w:t>change</w:t>
      </w:r>
    </w:p>
    <w:p w14:paraId="6CC55B5B" w14:textId="77777777" w:rsidR="008715BE" w:rsidRPr="00EC75B7" w:rsidRDefault="008715BE">
      <w:pPr>
        <w:pStyle w:val="BodyText"/>
        <w:spacing w:before="114"/>
        <w:rPr>
          <w:rFonts w:ascii="Verdana" w:hAnsi="Verdana"/>
          <w:b/>
        </w:rPr>
      </w:pPr>
    </w:p>
    <w:p w14:paraId="6A4EA00D" w14:textId="77777777" w:rsidR="008715BE" w:rsidRPr="00EC75B7" w:rsidRDefault="00000000">
      <w:pPr>
        <w:pStyle w:val="BodyText"/>
        <w:spacing w:line="357" w:lineRule="auto"/>
        <w:ind w:left="57" w:right="135"/>
        <w:jc w:val="both"/>
        <w:rPr>
          <w:rFonts w:ascii="Verdana" w:hAnsi="Verdana"/>
        </w:rPr>
      </w:pPr>
      <w:r w:rsidRPr="00EC75B7">
        <w:rPr>
          <w:rFonts w:ascii="Verdana" w:hAnsi="Verdana"/>
        </w:rPr>
        <w:t>The climate change impact assessment took into account Commission Communication No. 373/01/2021 Technical Guidelines on Climate Resilient Infrastructure for 2021-2027 and the JASPERS Practical Sector Guides on Climate Resilience Energy – Municipal Solid Waste – Transport.</w:t>
      </w:r>
      <w:r w:rsidRPr="00EC75B7">
        <w:rPr>
          <w:rFonts w:ascii="Verdana" w:hAnsi="Verdana"/>
          <w:spacing w:val="39"/>
        </w:rPr>
        <w:t xml:space="preserve"> </w:t>
      </w:r>
      <w:r w:rsidRPr="00EC75B7">
        <w:rPr>
          <w:rFonts w:ascii="Verdana" w:hAnsi="Verdana"/>
        </w:rPr>
        <w:t>version 1.0 - November 2024</w:t>
      </w:r>
    </w:p>
    <w:p w14:paraId="655F0570" w14:textId="77777777" w:rsidR="008715BE" w:rsidRPr="00EC75B7" w:rsidRDefault="00000000">
      <w:pPr>
        <w:pStyle w:val="BodyText"/>
        <w:spacing w:before="121"/>
        <w:ind w:left="57"/>
        <w:jc w:val="both"/>
        <w:rPr>
          <w:rFonts w:ascii="Verdana" w:hAnsi="Verdana"/>
        </w:rPr>
      </w:pPr>
      <w:r w:rsidRPr="00EC75B7">
        <w:rPr>
          <w:rFonts w:ascii="Verdana" w:hAnsi="Verdana"/>
        </w:rPr>
        <w:t xml:space="preserve">The assessment process was based on two </w:t>
      </w:r>
      <w:r w:rsidRPr="00EC75B7">
        <w:rPr>
          <w:rFonts w:ascii="Verdana" w:hAnsi="Verdana"/>
          <w:spacing w:val="-2"/>
        </w:rPr>
        <w:t>components:</w:t>
      </w:r>
    </w:p>
    <w:p w14:paraId="0960770D" w14:textId="77777777" w:rsidR="008715BE" w:rsidRPr="00EC75B7" w:rsidRDefault="008715BE">
      <w:pPr>
        <w:pStyle w:val="BodyText"/>
        <w:spacing w:before="9"/>
        <w:rPr>
          <w:rFonts w:ascii="Verdana" w:hAnsi="Verdana"/>
        </w:rPr>
      </w:pPr>
    </w:p>
    <w:p w14:paraId="54C3EDA3" w14:textId="77777777" w:rsidR="008715BE" w:rsidRPr="00EC75B7" w:rsidRDefault="00000000">
      <w:pPr>
        <w:pStyle w:val="ListParagraph"/>
        <w:numPr>
          <w:ilvl w:val="0"/>
          <w:numId w:val="23"/>
        </w:numPr>
        <w:tabs>
          <w:tab w:val="left" w:pos="624"/>
        </w:tabs>
        <w:spacing w:before="1"/>
        <w:rPr>
          <w:rFonts w:ascii="Verdana" w:hAnsi="Verdana"/>
          <w:sz w:val="18"/>
          <w:szCs w:val="18"/>
        </w:rPr>
      </w:pPr>
      <w:r w:rsidRPr="00EC75B7">
        <w:rPr>
          <w:rFonts w:ascii="Verdana" w:hAnsi="Verdana"/>
          <w:sz w:val="18"/>
          <w:szCs w:val="18"/>
        </w:rPr>
        <w:t>Climate change mitigation (</w:t>
      </w:r>
      <w:r w:rsidRPr="00EC75B7">
        <w:rPr>
          <w:rFonts w:ascii="Verdana" w:hAnsi="Verdana"/>
          <w:spacing w:val="-2"/>
          <w:sz w:val="18"/>
          <w:szCs w:val="18"/>
        </w:rPr>
        <w:t xml:space="preserve">climate </w:t>
      </w:r>
      <w:r w:rsidRPr="00EC75B7">
        <w:rPr>
          <w:rFonts w:ascii="Verdana" w:hAnsi="Verdana"/>
          <w:sz w:val="18"/>
          <w:szCs w:val="18"/>
        </w:rPr>
        <w:t>neutrality</w:t>
      </w:r>
      <w:r w:rsidRPr="00EC75B7">
        <w:rPr>
          <w:rFonts w:ascii="Verdana" w:hAnsi="Verdana"/>
          <w:spacing w:val="-2"/>
          <w:sz w:val="18"/>
          <w:szCs w:val="18"/>
        </w:rPr>
        <w:t>)</w:t>
      </w:r>
    </w:p>
    <w:p w14:paraId="7B805DBA" w14:textId="77777777" w:rsidR="008715BE" w:rsidRPr="00EC75B7" w:rsidRDefault="00000000">
      <w:pPr>
        <w:pStyle w:val="ListParagraph"/>
        <w:numPr>
          <w:ilvl w:val="0"/>
          <w:numId w:val="23"/>
        </w:numPr>
        <w:tabs>
          <w:tab w:val="left" w:pos="624"/>
        </w:tabs>
        <w:spacing w:before="103"/>
        <w:rPr>
          <w:rFonts w:ascii="Verdana" w:hAnsi="Verdana"/>
          <w:sz w:val="18"/>
          <w:szCs w:val="18"/>
        </w:rPr>
      </w:pPr>
      <w:r w:rsidRPr="00EC75B7">
        <w:rPr>
          <w:rFonts w:ascii="Verdana" w:hAnsi="Verdana"/>
          <w:spacing w:val="-2"/>
          <w:sz w:val="18"/>
          <w:szCs w:val="18"/>
        </w:rPr>
        <w:t xml:space="preserve">Climate </w:t>
      </w:r>
      <w:r w:rsidRPr="00EC75B7">
        <w:rPr>
          <w:rFonts w:ascii="Verdana" w:hAnsi="Verdana"/>
          <w:sz w:val="18"/>
          <w:szCs w:val="18"/>
        </w:rPr>
        <w:t>change adaptation</w:t>
      </w:r>
      <w:r w:rsidRPr="00EC75B7">
        <w:rPr>
          <w:rFonts w:ascii="Verdana" w:hAnsi="Verdana"/>
          <w:spacing w:val="-2"/>
          <w:sz w:val="18"/>
          <w:szCs w:val="18"/>
        </w:rPr>
        <w:t>.</w:t>
      </w:r>
    </w:p>
    <w:p w14:paraId="0698AEC5" w14:textId="77777777" w:rsidR="008715BE" w:rsidRPr="00EC75B7" w:rsidRDefault="008715BE">
      <w:pPr>
        <w:pStyle w:val="BodyText"/>
        <w:spacing w:before="78"/>
        <w:rPr>
          <w:rFonts w:ascii="Verdana" w:hAnsi="Verdana"/>
        </w:rPr>
      </w:pPr>
    </w:p>
    <w:p w14:paraId="2A757B55" w14:textId="77777777" w:rsidR="008715BE" w:rsidRPr="00EC75B7" w:rsidRDefault="00000000">
      <w:pPr>
        <w:pStyle w:val="Heading5"/>
        <w:spacing w:before="1"/>
        <w:jc w:val="left"/>
        <w:rPr>
          <w:rFonts w:ascii="Verdana" w:hAnsi="Verdana"/>
        </w:rPr>
      </w:pPr>
      <w:r w:rsidRPr="00EC75B7">
        <w:rPr>
          <w:rFonts w:ascii="Verdana" w:hAnsi="Verdana"/>
        </w:rPr>
        <w:t>Climate change mitigation (</w:t>
      </w:r>
      <w:r w:rsidRPr="00EC75B7">
        <w:rPr>
          <w:rFonts w:ascii="Verdana" w:hAnsi="Verdana"/>
          <w:spacing w:val="-2"/>
        </w:rPr>
        <w:t xml:space="preserve">climate </w:t>
      </w:r>
      <w:r w:rsidRPr="00EC75B7">
        <w:rPr>
          <w:rFonts w:ascii="Verdana" w:hAnsi="Verdana"/>
        </w:rPr>
        <w:t>neutrality</w:t>
      </w:r>
      <w:r w:rsidRPr="00EC75B7">
        <w:rPr>
          <w:rFonts w:ascii="Verdana" w:hAnsi="Verdana"/>
          <w:spacing w:val="-2"/>
        </w:rPr>
        <w:t>)</w:t>
      </w:r>
    </w:p>
    <w:p w14:paraId="78093575" w14:textId="77777777" w:rsidR="008715BE" w:rsidRPr="00EC75B7" w:rsidRDefault="008715BE">
      <w:pPr>
        <w:pStyle w:val="BodyText"/>
        <w:spacing w:before="93"/>
        <w:rPr>
          <w:rFonts w:ascii="Verdana" w:hAnsi="Verdana"/>
          <w:b/>
        </w:rPr>
      </w:pPr>
    </w:p>
    <w:p w14:paraId="1454B195" w14:textId="77777777" w:rsidR="008715BE" w:rsidRPr="00EC75B7" w:rsidRDefault="00000000">
      <w:pPr>
        <w:pStyle w:val="BodyText"/>
        <w:spacing w:line="357" w:lineRule="auto"/>
        <w:ind w:left="57" w:right="146"/>
        <w:jc w:val="both"/>
        <w:rPr>
          <w:rFonts w:ascii="Verdana" w:hAnsi="Verdana"/>
        </w:rPr>
      </w:pPr>
      <w:r w:rsidRPr="00EC75B7">
        <w:rPr>
          <w:rFonts w:ascii="Verdana" w:hAnsi="Verdana"/>
        </w:rPr>
        <w:t>Wind farms themselves are not included among the categories of projects that have an explicit obligation to calculate and report their carbon footprint, according to Romanian national legislation or standard European environmental regulations (e.g., EIA Directive 2011/92/EU amended by 2014/52/EU).</w:t>
      </w:r>
    </w:p>
    <w:p w14:paraId="102D6026" w14:textId="77777777" w:rsidR="008715BE" w:rsidRPr="00EC75B7" w:rsidRDefault="00000000">
      <w:pPr>
        <w:pStyle w:val="BodyText"/>
        <w:spacing w:before="122" w:line="357" w:lineRule="auto"/>
        <w:ind w:left="57" w:right="146"/>
        <w:jc w:val="both"/>
        <w:rPr>
          <w:rFonts w:ascii="Verdana" w:hAnsi="Verdana"/>
        </w:rPr>
      </w:pPr>
      <w:r w:rsidRPr="00EC75B7">
        <w:rPr>
          <w:rFonts w:ascii="Verdana" w:hAnsi="Verdana"/>
        </w:rPr>
        <w:t>Wind farms contribute directly and significantly to climate change mitigation by producing electricity from renewable sources, with very low greenhouse gas (GHG) emissions during operation. Wind energy replaces electricity production from conventional fossil fuel sources, thus contributing to the reduction of CO₂ emissions and other atmospheric pollutants at the energy system level.</w:t>
      </w:r>
    </w:p>
    <w:p w14:paraId="37CE3C11" w14:textId="77777777" w:rsidR="008715BE" w:rsidRPr="00EC75B7" w:rsidRDefault="00000000">
      <w:pPr>
        <w:pStyle w:val="BodyText"/>
        <w:spacing w:before="124" w:line="357" w:lineRule="auto"/>
        <w:ind w:left="57" w:right="139"/>
        <w:jc w:val="both"/>
        <w:rPr>
          <w:rFonts w:ascii="Verdana" w:hAnsi="Verdana"/>
        </w:rPr>
      </w:pPr>
      <w:r w:rsidRPr="00EC75B7">
        <w:rPr>
          <w:rFonts w:ascii="Verdana" w:hAnsi="Verdana"/>
        </w:rPr>
        <w:t>Although there are emissions associated with the wind farm's life cycle, mainly in the turbine manufacturing, transport, construction, and decommissioning phases, these emissions are recovered in a relatively short period of time (carbon payback), usually estimated at 1–2 years of operation, depending on the technical characteristics of the project and the national energy mix. Over the entire life of the project, the net balance of emissions is strongly positive, contributing to the decarbonization of the energy sector.</w:t>
      </w:r>
    </w:p>
    <w:p w14:paraId="7DE31CBB" w14:textId="77777777" w:rsidR="008715BE" w:rsidRPr="00EC75B7" w:rsidRDefault="00000000">
      <w:pPr>
        <w:pStyle w:val="BodyText"/>
        <w:spacing w:before="123" w:line="357" w:lineRule="auto"/>
        <w:ind w:left="57" w:right="145"/>
        <w:jc w:val="both"/>
        <w:rPr>
          <w:rFonts w:ascii="Verdana" w:hAnsi="Verdana"/>
        </w:rPr>
      </w:pPr>
      <w:r w:rsidRPr="00EC75B7">
        <w:rPr>
          <w:rFonts w:ascii="Verdana" w:hAnsi="Verdana"/>
        </w:rPr>
        <w:t>By producing renewable electricity on a large scale, wind farms support the increase in the share of renewable energy in the national energy mix and reduce dependence on fossil fuel power plants, including those used to cover peak consumption. This reduces both direct GHG emissions and indirect emissions associated with the extraction, transport, and combustion of fossil fuels.</w:t>
      </w:r>
    </w:p>
    <w:p w14:paraId="0CD239DB" w14:textId="77777777" w:rsidR="008715BE" w:rsidRPr="00EC75B7" w:rsidRDefault="00000000">
      <w:pPr>
        <w:pStyle w:val="BodyText"/>
        <w:spacing w:before="125" w:line="357" w:lineRule="auto"/>
        <w:ind w:left="57" w:right="143"/>
        <w:jc w:val="both"/>
        <w:rPr>
          <w:rFonts w:ascii="Verdana" w:hAnsi="Verdana"/>
        </w:rPr>
      </w:pPr>
      <w:r w:rsidRPr="00EC75B7">
        <w:rPr>
          <w:rFonts w:ascii="Verdana" w:hAnsi="Verdana"/>
        </w:rPr>
        <w:t>Emissions avoided as a result of the wind farm's operation refer to the amount of GHG emissions (expressed in tCO₂e) that are no longer generated because electricity produced from wind sources replaces high-carbon energy in the energy system. The level of emissions avoided depends on the estimated annual production of the farm and the emissions factor of the replaced electricity.</w:t>
      </w:r>
    </w:p>
    <w:p w14:paraId="78024D36" w14:textId="77777777" w:rsidR="008715BE" w:rsidRPr="00EC75B7" w:rsidRDefault="00000000">
      <w:pPr>
        <w:spacing w:before="124"/>
        <w:ind w:left="57"/>
        <w:rPr>
          <w:rFonts w:ascii="Verdana" w:hAnsi="Verdana"/>
          <w:sz w:val="18"/>
          <w:szCs w:val="18"/>
        </w:rPr>
      </w:pPr>
      <w:r w:rsidRPr="00EC75B7">
        <w:rPr>
          <w:rFonts w:ascii="Verdana" w:hAnsi="Verdana"/>
          <w:spacing w:val="-10"/>
          <w:sz w:val="18"/>
          <w:szCs w:val="18"/>
        </w:rPr>
        <w:t>.</w:t>
      </w:r>
    </w:p>
    <w:p w14:paraId="0B591BD6" w14:textId="77777777" w:rsidR="008715BE" w:rsidRPr="00EC75B7" w:rsidRDefault="008715BE">
      <w:pPr>
        <w:rPr>
          <w:rFonts w:ascii="Verdana" w:hAnsi="Verdana"/>
          <w:sz w:val="18"/>
          <w:szCs w:val="18"/>
        </w:rPr>
        <w:sectPr w:rsidR="008715BE" w:rsidRPr="00EC75B7">
          <w:pgSz w:w="11910" w:h="16840"/>
          <w:pgMar w:top="1920" w:right="992" w:bottom="1020" w:left="1133" w:header="766" w:footer="824" w:gutter="0"/>
          <w:cols w:space="708"/>
        </w:sectPr>
      </w:pPr>
    </w:p>
    <w:p w14:paraId="748DA719" w14:textId="77777777" w:rsidR="008715BE" w:rsidRPr="00EC75B7" w:rsidRDefault="00000000">
      <w:pPr>
        <w:spacing w:before="93" w:line="264" w:lineRule="auto"/>
        <w:ind w:left="1" w:right="407" w:firstLine="1133"/>
        <w:rPr>
          <w:rFonts w:ascii="Verdana" w:hAnsi="Verdana"/>
          <w:b/>
          <w:sz w:val="18"/>
          <w:szCs w:val="18"/>
        </w:rPr>
      </w:pPr>
      <w:r w:rsidRPr="00EC75B7">
        <w:rPr>
          <w:rFonts w:ascii="Verdana" w:hAnsi="Verdana"/>
          <w:b/>
          <w:noProof/>
          <w:sz w:val="18"/>
          <w:szCs w:val="18"/>
        </w:rPr>
        <w:lastRenderedPageBreak/>
        <w:drawing>
          <wp:anchor distT="0" distB="0" distL="0" distR="0" simplePos="0" relativeHeight="251677696" behindDoc="0" locked="0" layoutInCell="1" allowOverlap="1" wp14:anchorId="469F16FF" wp14:editId="6042094E">
            <wp:simplePos x="0" y="0"/>
            <wp:positionH relativeFrom="page">
              <wp:posOffset>900430</wp:posOffset>
            </wp:positionH>
            <wp:positionV relativeFrom="paragraph">
              <wp:posOffset>-253</wp:posOffset>
            </wp:positionV>
            <wp:extent cx="651078" cy="177800"/>
            <wp:effectExtent l="0" t="0" r="0" b="0"/>
            <wp:wrapNone/>
            <wp:docPr id="593" name="Image 593"/>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Environmental Impact Report Wind Farm Project 48 (46) wind turbines approx. 316.8MW (303.6MW), transformer stations, connection grids, construction and modernization of communication and access roads</w:t>
      </w:r>
    </w:p>
    <w:p w14:paraId="7950596C" w14:textId="77777777" w:rsidR="008715BE" w:rsidRPr="00EC75B7" w:rsidRDefault="00000000">
      <w:pPr>
        <w:pStyle w:val="Heading5"/>
        <w:spacing w:before="17"/>
        <w:ind w:left="1"/>
        <w:jc w:val="left"/>
        <w:rPr>
          <w:rFonts w:ascii="Verdana" w:hAnsi="Verdana"/>
        </w:rPr>
      </w:pPr>
      <w:bookmarkStart w:id="133" w:name="_Hlk221111161"/>
      <w:r w:rsidRPr="00EC75B7">
        <w:rPr>
          <w:rFonts w:ascii="Verdana" w:hAnsi="Verdana"/>
        </w:rPr>
        <w:t>Climate change mitigation (</w:t>
      </w:r>
      <w:r w:rsidRPr="00EC75B7">
        <w:rPr>
          <w:rFonts w:ascii="Verdana" w:hAnsi="Verdana"/>
          <w:spacing w:val="-2"/>
        </w:rPr>
        <w:t xml:space="preserve">climate </w:t>
      </w:r>
      <w:r w:rsidRPr="00EC75B7">
        <w:rPr>
          <w:rFonts w:ascii="Verdana" w:hAnsi="Verdana"/>
        </w:rPr>
        <w:t>neutrality</w:t>
      </w:r>
      <w:r w:rsidRPr="00EC75B7">
        <w:rPr>
          <w:rFonts w:ascii="Verdana" w:hAnsi="Verdana"/>
          <w:spacing w:val="-2"/>
        </w:rPr>
        <w:t>)</w:t>
      </w:r>
    </w:p>
    <w:p w14:paraId="1A838171" w14:textId="77777777" w:rsidR="008715BE" w:rsidRPr="00EC75B7" w:rsidRDefault="00000000">
      <w:pPr>
        <w:pStyle w:val="BodyText"/>
        <w:spacing w:before="110" w:line="360" w:lineRule="auto"/>
        <w:ind w:left="1" w:right="407"/>
        <w:rPr>
          <w:rFonts w:ascii="Verdana" w:hAnsi="Verdana"/>
        </w:rPr>
      </w:pPr>
      <w:r w:rsidRPr="00EC75B7">
        <w:rPr>
          <w:rFonts w:ascii="Verdana" w:hAnsi="Verdana"/>
        </w:rPr>
        <w:t>In order to identify the climate risks to which the project will be exposed and to identify measures for adapting to climate change, two stages are followed:</w:t>
      </w:r>
    </w:p>
    <w:p w14:paraId="4209939C" w14:textId="2506E43A" w:rsidR="008715BE" w:rsidRPr="00EC75B7" w:rsidRDefault="000B67C7">
      <w:pPr>
        <w:pStyle w:val="BodyText"/>
        <w:spacing w:before="64"/>
        <w:rPr>
          <w:rFonts w:ascii="Verdana" w:hAnsi="Verdana"/>
        </w:rPr>
      </w:pPr>
      <w:r w:rsidRPr="00EC75B7">
        <w:rPr>
          <w:rFonts w:ascii="Verdana" w:hAnsi="Verdana"/>
          <w:noProof/>
        </w:rPr>
        <mc:AlternateContent>
          <mc:Choice Requires="wpg">
            <w:drawing>
              <wp:anchor distT="0" distB="0" distL="0" distR="0" simplePos="0" relativeHeight="251722752" behindDoc="1" locked="0" layoutInCell="1" allowOverlap="1" wp14:anchorId="606BD8EA" wp14:editId="60C22750">
                <wp:simplePos x="0" y="0"/>
                <wp:positionH relativeFrom="page">
                  <wp:posOffset>770890</wp:posOffset>
                </wp:positionH>
                <wp:positionV relativeFrom="page">
                  <wp:posOffset>1644015</wp:posOffset>
                </wp:positionV>
                <wp:extent cx="9413875" cy="5634990"/>
                <wp:effectExtent l="0" t="0" r="0" b="0"/>
                <wp:wrapNone/>
                <wp:docPr id="594" name="Group 594"/>
                <wp:cNvGraphicFramePr/>
                <a:graphic xmlns:a="http://schemas.openxmlformats.org/drawingml/2006/main">
                  <a:graphicData uri="http://schemas.microsoft.com/office/word/2010/wordprocessingGroup">
                    <wpg:wgp>
                      <wpg:cNvGrpSpPr/>
                      <wpg:grpSpPr>
                        <a:xfrm>
                          <a:off x="0" y="0"/>
                          <a:ext cx="9413875" cy="5634990"/>
                          <a:chOff x="0" y="0"/>
                          <a:chExt cx="9413875" cy="5634990"/>
                        </a:xfrm>
                      </wpg:grpSpPr>
                      <wps:wsp>
                        <wps:cNvPr id="595" name="Graphic 595"/>
                        <wps:cNvSpPr/>
                        <wps:spPr>
                          <a:xfrm>
                            <a:off x="979538" y="0"/>
                            <a:ext cx="3584575" cy="342900"/>
                          </a:xfrm>
                          <a:custGeom>
                            <a:avLst/>
                            <a:gdLst/>
                            <a:ahLst/>
                            <a:cxnLst/>
                            <a:rect l="l" t="t" r="r" b="b"/>
                            <a:pathLst>
                              <a:path w="3584575" h="342900">
                                <a:moveTo>
                                  <a:pt x="3527043" y="0"/>
                                </a:moveTo>
                                <a:lnTo>
                                  <a:pt x="57150" y="0"/>
                                </a:lnTo>
                                <a:lnTo>
                                  <a:pt x="34879" y="4500"/>
                                </a:lnTo>
                                <a:lnTo>
                                  <a:pt x="16716" y="16763"/>
                                </a:lnTo>
                                <a:lnTo>
                                  <a:pt x="4482" y="34932"/>
                                </a:lnTo>
                                <a:lnTo>
                                  <a:pt x="0" y="57150"/>
                                </a:lnTo>
                                <a:lnTo>
                                  <a:pt x="0" y="285750"/>
                                </a:lnTo>
                                <a:lnTo>
                                  <a:pt x="4482" y="307967"/>
                                </a:lnTo>
                                <a:lnTo>
                                  <a:pt x="16716" y="326136"/>
                                </a:lnTo>
                                <a:lnTo>
                                  <a:pt x="34879" y="338399"/>
                                </a:lnTo>
                                <a:lnTo>
                                  <a:pt x="57150" y="342900"/>
                                </a:lnTo>
                                <a:lnTo>
                                  <a:pt x="3527043" y="342900"/>
                                </a:lnTo>
                                <a:lnTo>
                                  <a:pt x="3549314" y="338399"/>
                                </a:lnTo>
                                <a:lnTo>
                                  <a:pt x="3567477" y="326136"/>
                                </a:lnTo>
                                <a:lnTo>
                                  <a:pt x="3579711" y="307967"/>
                                </a:lnTo>
                                <a:lnTo>
                                  <a:pt x="3584193" y="285750"/>
                                </a:lnTo>
                                <a:lnTo>
                                  <a:pt x="3584193" y="57150"/>
                                </a:lnTo>
                                <a:lnTo>
                                  <a:pt x="3579711" y="34932"/>
                                </a:lnTo>
                                <a:lnTo>
                                  <a:pt x="3567477" y="16763"/>
                                </a:lnTo>
                                <a:lnTo>
                                  <a:pt x="3549314" y="4500"/>
                                </a:lnTo>
                                <a:lnTo>
                                  <a:pt x="3527043" y="0"/>
                                </a:lnTo>
                                <a:close/>
                              </a:path>
                            </a:pathLst>
                          </a:custGeom>
                          <a:solidFill>
                            <a:srgbClr val="00AFEF"/>
                          </a:solidFill>
                        </wps:spPr>
                        <wps:bodyPr wrap="square" lIns="0" tIns="0" rIns="0" bIns="0" rtlCol="0">
                          <a:prstTxWarp prst="textNoShape">
                            <a:avLst/>
                          </a:prstTxWarp>
                        </wps:bodyPr>
                      </wps:wsp>
                      <wps:wsp>
                        <wps:cNvPr id="596" name="Graphic 596"/>
                        <wps:cNvSpPr/>
                        <wps:spPr>
                          <a:xfrm>
                            <a:off x="879589" y="1399285"/>
                            <a:ext cx="3813175" cy="1524000"/>
                          </a:xfrm>
                          <a:custGeom>
                            <a:avLst/>
                            <a:gdLst/>
                            <a:ahLst/>
                            <a:cxnLst/>
                            <a:rect l="l" t="t" r="r" b="b"/>
                            <a:pathLst>
                              <a:path w="3813175" h="1524000">
                                <a:moveTo>
                                  <a:pt x="3812921" y="144145"/>
                                </a:moveTo>
                                <a:lnTo>
                                  <a:pt x="3805567" y="98577"/>
                                </a:lnTo>
                                <a:lnTo>
                                  <a:pt x="3785108" y="59016"/>
                                </a:lnTo>
                                <a:lnTo>
                                  <a:pt x="3753904" y="27813"/>
                                </a:lnTo>
                                <a:lnTo>
                                  <a:pt x="3714343" y="7353"/>
                                </a:lnTo>
                                <a:lnTo>
                                  <a:pt x="3668776" y="0"/>
                                </a:lnTo>
                                <a:lnTo>
                                  <a:pt x="144145" y="0"/>
                                </a:lnTo>
                                <a:lnTo>
                                  <a:pt x="98564" y="7353"/>
                                </a:lnTo>
                                <a:lnTo>
                                  <a:pt x="59004" y="27813"/>
                                </a:lnTo>
                                <a:lnTo>
                                  <a:pt x="27800" y="59016"/>
                                </a:lnTo>
                                <a:lnTo>
                                  <a:pt x="7340" y="98577"/>
                                </a:lnTo>
                                <a:lnTo>
                                  <a:pt x="0" y="144145"/>
                                </a:lnTo>
                                <a:lnTo>
                                  <a:pt x="0" y="1379867"/>
                                </a:lnTo>
                                <a:lnTo>
                                  <a:pt x="7340" y="1425435"/>
                                </a:lnTo>
                                <a:lnTo>
                                  <a:pt x="27800" y="1464995"/>
                                </a:lnTo>
                                <a:lnTo>
                                  <a:pt x="59004" y="1496199"/>
                                </a:lnTo>
                                <a:lnTo>
                                  <a:pt x="98564" y="1516659"/>
                                </a:lnTo>
                                <a:lnTo>
                                  <a:pt x="144145" y="1524000"/>
                                </a:lnTo>
                                <a:lnTo>
                                  <a:pt x="3668776" y="1524000"/>
                                </a:lnTo>
                                <a:lnTo>
                                  <a:pt x="3714343" y="1516659"/>
                                </a:lnTo>
                                <a:lnTo>
                                  <a:pt x="3753904" y="1496199"/>
                                </a:lnTo>
                                <a:lnTo>
                                  <a:pt x="3785108" y="1464995"/>
                                </a:lnTo>
                                <a:lnTo>
                                  <a:pt x="3805567" y="1425435"/>
                                </a:lnTo>
                                <a:lnTo>
                                  <a:pt x="3812921" y="1379867"/>
                                </a:lnTo>
                                <a:lnTo>
                                  <a:pt x="3812921" y="144145"/>
                                </a:lnTo>
                                <a:close/>
                              </a:path>
                            </a:pathLst>
                          </a:custGeom>
                          <a:solidFill>
                            <a:srgbClr val="F1F1F1"/>
                          </a:solidFill>
                        </wps:spPr>
                        <wps:bodyPr wrap="square" lIns="0" tIns="0" rIns="0" bIns="0" rtlCol="0">
                          <a:prstTxWarp prst="textNoShape">
                            <a:avLst/>
                          </a:prstTxWarp>
                        </wps:bodyPr>
                      </wps:wsp>
                      <wps:wsp>
                        <wps:cNvPr id="597" name="Graphic 597"/>
                        <wps:cNvSpPr/>
                        <wps:spPr>
                          <a:xfrm>
                            <a:off x="5587225" y="323215"/>
                            <a:ext cx="3826510" cy="4358640"/>
                          </a:xfrm>
                          <a:custGeom>
                            <a:avLst/>
                            <a:gdLst/>
                            <a:ahLst/>
                            <a:cxnLst/>
                            <a:rect l="l" t="t" r="r" b="b"/>
                            <a:pathLst>
                              <a:path w="3826510" h="4358640">
                                <a:moveTo>
                                  <a:pt x="3464306" y="0"/>
                                </a:moveTo>
                                <a:lnTo>
                                  <a:pt x="361822" y="0"/>
                                </a:lnTo>
                                <a:lnTo>
                                  <a:pt x="312738" y="3304"/>
                                </a:lnTo>
                                <a:lnTo>
                                  <a:pt x="265656" y="12928"/>
                                </a:lnTo>
                                <a:lnTo>
                                  <a:pt x="221009" y="28442"/>
                                </a:lnTo>
                                <a:lnTo>
                                  <a:pt x="179229" y="49412"/>
                                </a:lnTo>
                                <a:lnTo>
                                  <a:pt x="140748" y="75408"/>
                                </a:lnTo>
                                <a:lnTo>
                                  <a:pt x="105997" y="105997"/>
                                </a:lnTo>
                                <a:lnTo>
                                  <a:pt x="75408" y="140748"/>
                                </a:lnTo>
                                <a:lnTo>
                                  <a:pt x="49412" y="179229"/>
                                </a:lnTo>
                                <a:lnTo>
                                  <a:pt x="28442" y="221009"/>
                                </a:lnTo>
                                <a:lnTo>
                                  <a:pt x="12928" y="265656"/>
                                </a:lnTo>
                                <a:lnTo>
                                  <a:pt x="3304" y="312738"/>
                                </a:lnTo>
                                <a:lnTo>
                                  <a:pt x="0" y="361822"/>
                                </a:lnTo>
                                <a:lnTo>
                                  <a:pt x="0" y="3996562"/>
                                </a:lnTo>
                                <a:lnTo>
                                  <a:pt x="3304" y="4045647"/>
                                </a:lnTo>
                                <a:lnTo>
                                  <a:pt x="12928" y="4092729"/>
                                </a:lnTo>
                                <a:lnTo>
                                  <a:pt x="28442" y="4137376"/>
                                </a:lnTo>
                                <a:lnTo>
                                  <a:pt x="49412" y="4179156"/>
                                </a:lnTo>
                                <a:lnTo>
                                  <a:pt x="75408" y="4217637"/>
                                </a:lnTo>
                                <a:lnTo>
                                  <a:pt x="105997" y="4252388"/>
                                </a:lnTo>
                                <a:lnTo>
                                  <a:pt x="140748" y="4282977"/>
                                </a:lnTo>
                                <a:lnTo>
                                  <a:pt x="179229" y="4308973"/>
                                </a:lnTo>
                                <a:lnTo>
                                  <a:pt x="221009" y="4329943"/>
                                </a:lnTo>
                                <a:lnTo>
                                  <a:pt x="265656" y="4345457"/>
                                </a:lnTo>
                                <a:lnTo>
                                  <a:pt x="312738" y="4355081"/>
                                </a:lnTo>
                                <a:lnTo>
                                  <a:pt x="361822" y="4358385"/>
                                </a:lnTo>
                                <a:lnTo>
                                  <a:pt x="3464306" y="4358385"/>
                                </a:lnTo>
                                <a:lnTo>
                                  <a:pt x="3513417" y="4355081"/>
                                </a:lnTo>
                                <a:lnTo>
                                  <a:pt x="3560516" y="4345457"/>
                                </a:lnTo>
                                <a:lnTo>
                                  <a:pt x="3605172" y="4329943"/>
                                </a:lnTo>
                                <a:lnTo>
                                  <a:pt x="3646955" y="4308973"/>
                                </a:lnTo>
                                <a:lnTo>
                                  <a:pt x="3685434" y="4282977"/>
                                </a:lnTo>
                                <a:lnTo>
                                  <a:pt x="3720179" y="4252388"/>
                                </a:lnTo>
                                <a:lnTo>
                                  <a:pt x="3750759" y="4217637"/>
                                </a:lnTo>
                                <a:lnTo>
                                  <a:pt x="3776744" y="4179156"/>
                                </a:lnTo>
                                <a:lnTo>
                                  <a:pt x="3797704" y="4137376"/>
                                </a:lnTo>
                                <a:lnTo>
                                  <a:pt x="3813209" y="4092729"/>
                                </a:lnTo>
                                <a:lnTo>
                                  <a:pt x="3822827" y="4045647"/>
                                </a:lnTo>
                                <a:lnTo>
                                  <a:pt x="3826129" y="3996562"/>
                                </a:lnTo>
                                <a:lnTo>
                                  <a:pt x="3826129" y="361822"/>
                                </a:lnTo>
                                <a:lnTo>
                                  <a:pt x="3822827" y="312738"/>
                                </a:lnTo>
                                <a:lnTo>
                                  <a:pt x="3813209" y="265656"/>
                                </a:lnTo>
                                <a:lnTo>
                                  <a:pt x="3797704" y="221009"/>
                                </a:lnTo>
                                <a:lnTo>
                                  <a:pt x="3776744" y="179229"/>
                                </a:lnTo>
                                <a:lnTo>
                                  <a:pt x="3750759" y="140748"/>
                                </a:lnTo>
                                <a:lnTo>
                                  <a:pt x="3720179" y="105997"/>
                                </a:lnTo>
                                <a:lnTo>
                                  <a:pt x="3685434" y="75408"/>
                                </a:lnTo>
                                <a:lnTo>
                                  <a:pt x="3646955" y="49412"/>
                                </a:lnTo>
                                <a:lnTo>
                                  <a:pt x="3605172" y="28442"/>
                                </a:lnTo>
                                <a:lnTo>
                                  <a:pt x="3560516" y="12928"/>
                                </a:lnTo>
                                <a:lnTo>
                                  <a:pt x="3513417" y="3304"/>
                                </a:lnTo>
                                <a:lnTo>
                                  <a:pt x="3464306" y="0"/>
                                </a:lnTo>
                                <a:close/>
                              </a:path>
                            </a:pathLst>
                          </a:custGeom>
                          <a:solidFill>
                            <a:srgbClr val="C8EBFF"/>
                          </a:solidFill>
                        </wps:spPr>
                        <wps:bodyPr wrap="square" lIns="0" tIns="0" rIns="0" bIns="0" rtlCol="0">
                          <a:prstTxWarp prst="textNoShape">
                            <a:avLst/>
                          </a:prstTxWarp>
                        </wps:bodyPr>
                      </wps:wsp>
                      <pic:pic xmlns:pic="http://schemas.openxmlformats.org/drawingml/2006/picture">
                        <pic:nvPicPr>
                          <pic:cNvPr id="598" name="Image 598"/>
                          <pic:cNvPicPr/>
                        </pic:nvPicPr>
                        <pic:blipFill>
                          <a:blip r:embed="rId286" cstate="print"/>
                          <a:stretch>
                            <a:fillRect/>
                          </a:stretch>
                        </pic:blipFill>
                        <pic:spPr>
                          <a:xfrm>
                            <a:off x="5039575" y="5349106"/>
                            <a:ext cx="349402" cy="239086"/>
                          </a:xfrm>
                          <a:prstGeom prst="rect">
                            <a:avLst/>
                          </a:prstGeom>
                        </pic:spPr>
                      </pic:pic>
                      <pic:pic xmlns:pic="http://schemas.openxmlformats.org/drawingml/2006/picture">
                        <pic:nvPicPr>
                          <pic:cNvPr id="599" name="Image 599"/>
                          <pic:cNvPicPr/>
                        </pic:nvPicPr>
                        <pic:blipFill>
                          <a:blip r:embed="rId287" cstate="print"/>
                          <a:stretch>
                            <a:fillRect/>
                          </a:stretch>
                        </pic:blipFill>
                        <pic:spPr>
                          <a:xfrm>
                            <a:off x="7425550" y="1451483"/>
                            <a:ext cx="76200" cy="243712"/>
                          </a:xfrm>
                          <a:prstGeom prst="rect">
                            <a:avLst/>
                          </a:prstGeom>
                        </pic:spPr>
                      </pic:pic>
                      <wps:wsp>
                        <wps:cNvPr id="600" name="Graphic 600"/>
                        <wps:cNvSpPr/>
                        <wps:spPr>
                          <a:xfrm>
                            <a:off x="4626470" y="73025"/>
                            <a:ext cx="3030220" cy="2021839"/>
                          </a:xfrm>
                          <a:custGeom>
                            <a:avLst/>
                            <a:gdLst/>
                            <a:ahLst/>
                            <a:cxnLst/>
                            <a:rect l="l" t="t" r="r" b="b"/>
                            <a:pathLst>
                              <a:path w="3030220" h="2021839">
                                <a:moveTo>
                                  <a:pt x="38100" y="1945132"/>
                                </a:moveTo>
                                <a:lnTo>
                                  <a:pt x="23306" y="1948120"/>
                                </a:lnTo>
                                <a:lnTo>
                                  <a:pt x="11191" y="1956276"/>
                                </a:lnTo>
                                <a:lnTo>
                                  <a:pt x="3006" y="1968384"/>
                                </a:lnTo>
                                <a:lnTo>
                                  <a:pt x="0" y="1983232"/>
                                </a:lnTo>
                                <a:lnTo>
                                  <a:pt x="3006" y="1998025"/>
                                </a:lnTo>
                                <a:lnTo>
                                  <a:pt x="11191" y="2010140"/>
                                </a:lnTo>
                                <a:lnTo>
                                  <a:pt x="23306" y="2018325"/>
                                </a:lnTo>
                                <a:lnTo>
                                  <a:pt x="38100" y="2021332"/>
                                </a:lnTo>
                                <a:lnTo>
                                  <a:pt x="52947" y="2018325"/>
                                </a:lnTo>
                                <a:lnTo>
                                  <a:pt x="65055" y="2010140"/>
                                </a:lnTo>
                                <a:lnTo>
                                  <a:pt x="73211" y="1998025"/>
                                </a:lnTo>
                                <a:lnTo>
                                  <a:pt x="74275" y="1992757"/>
                                </a:lnTo>
                                <a:lnTo>
                                  <a:pt x="38100" y="1992757"/>
                                </a:lnTo>
                                <a:lnTo>
                                  <a:pt x="38100" y="1973707"/>
                                </a:lnTo>
                                <a:lnTo>
                                  <a:pt x="74282" y="1973707"/>
                                </a:lnTo>
                                <a:lnTo>
                                  <a:pt x="73211" y="1968384"/>
                                </a:lnTo>
                                <a:lnTo>
                                  <a:pt x="65055" y="1956276"/>
                                </a:lnTo>
                                <a:lnTo>
                                  <a:pt x="52947" y="1948120"/>
                                </a:lnTo>
                                <a:lnTo>
                                  <a:pt x="38100" y="1945132"/>
                                </a:lnTo>
                                <a:close/>
                              </a:path>
                              <a:path w="3030220" h="2021839">
                                <a:moveTo>
                                  <a:pt x="74282" y="1973707"/>
                                </a:moveTo>
                                <a:lnTo>
                                  <a:pt x="38100" y="1973707"/>
                                </a:lnTo>
                                <a:lnTo>
                                  <a:pt x="38100" y="1992757"/>
                                </a:lnTo>
                                <a:lnTo>
                                  <a:pt x="74275" y="1992757"/>
                                </a:lnTo>
                                <a:lnTo>
                                  <a:pt x="76200" y="1983232"/>
                                </a:lnTo>
                                <a:lnTo>
                                  <a:pt x="74282" y="1973707"/>
                                </a:lnTo>
                                <a:close/>
                              </a:path>
                              <a:path w="3030220" h="2021839">
                                <a:moveTo>
                                  <a:pt x="549021" y="1973707"/>
                                </a:moveTo>
                                <a:lnTo>
                                  <a:pt x="74282" y="1973707"/>
                                </a:lnTo>
                                <a:lnTo>
                                  <a:pt x="76200" y="1983232"/>
                                </a:lnTo>
                                <a:lnTo>
                                  <a:pt x="74275" y="1992757"/>
                                </a:lnTo>
                                <a:lnTo>
                                  <a:pt x="563880" y="1992757"/>
                                </a:lnTo>
                                <a:lnTo>
                                  <a:pt x="568071" y="1988439"/>
                                </a:lnTo>
                                <a:lnTo>
                                  <a:pt x="568071" y="1983232"/>
                                </a:lnTo>
                                <a:lnTo>
                                  <a:pt x="549021" y="1983232"/>
                                </a:lnTo>
                                <a:lnTo>
                                  <a:pt x="549021" y="1973707"/>
                                </a:lnTo>
                                <a:close/>
                              </a:path>
                              <a:path w="3030220" h="2021839">
                                <a:moveTo>
                                  <a:pt x="2997454" y="0"/>
                                </a:moveTo>
                                <a:lnTo>
                                  <a:pt x="553339" y="0"/>
                                </a:lnTo>
                                <a:lnTo>
                                  <a:pt x="549021" y="4191"/>
                                </a:lnTo>
                                <a:lnTo>
                                  <a:pt x="549021" y="1983232"/>
                                </a:lnTo>
                                <a:lnTo>
                                  <a:pt x="558546" y="1973707"/>
                                </a:lnTo>
                                <a:lnTo>
                                  <a:pt x="568071" y="1973707"/>
                                </a:lnTo>
                                <a:lnTo>
                                  <a:pt x="568071" y="19050"/>
                                </a:lnTo>
                                <a:lnTo>
                                  <a:pt x="558546" y="19050"/>
                                </a:lnTo>
                                <a:lnTo>
                                  <a:pt x="568071" y="9525"/>
                                </a:lnTo>
                                <a:lnTo>
                                  <a:pt x="3001645" y="9525"/>
                                </a:lnTo>
                                <a:lnTo>
                                  <a:pt x="3001645" y="4191"/>
                                </a:lnTo>
                                <a:lnTo>
                                  <a:pt x="2997454" y="0"/>
                                </a:lnTo>
                                <a:close/>
                              </a:path>
                              <a:path w="3030220" h="2021839">
                                <a:moveTo>
                                  <a:pt x="568071" y="1973707"/>
                                </a:moveTo>
                                <a:lnTo>
                                  <a:pt x="558546" y="1973707"/>
                                </a:lnTo>
                                <a:lnTo>
                                  <a:pt x="549021" y="1983232"/>
                                </a:lnTo>
                                <a:lnTo>
                                  <a:pt x="568071" y="1983232"/>
                                </a:lnTo>
                                <a:lnTo>
                                  <a:pt x="568071" y="1973707"/>
                                </a:lnTo>
                                <a:close/>
                              </a:path>
                              <a:path w="3030220" h="2021839">
                                <a:moveTo>
                                  <a:pt x="2982595" y="161925"/>
                                </a:moveTo>
                                <a:lnTo>
                                  <a:pt x="2954020" y="161925"/>
                                </a:lnTo>
                                <a:lnTo>
                                  <a:pt x="2992120" y="238125"/>
                                </a:lnTo>
                                <a:lnTo>
                                  <a:pt x="3023870" y="174625"/>
                                </a:lnTo>
                                <a:lnTo>
                                  <a:pt x="2982595" y="174625"/>
                                </a:lnTo>
                                <a:lnTo>
                                  <a:pt x="2982595" y="161925"/>
                                </a:lnTo>
                                <a:close/>
                              </a:path>
                              <a:path w="3030220" h="2021839">
                                <a:moveTo>
                                  <a:pt x="2982595" y="9525"/>
                                </a:moveTo>
                                <a:lnTo>
                                  <a:pt x="2982595" y="174625"/>
                                </a:lnTo>
                                <a:lnTo>
                                  <a:pt x="3001645" y="174625"/>
                                </a:lnTo>
                                <a:lnTo>
                                  <a:pt x="3001645" y="19050"/>
                                </a:lnTo>
                                <a:lnTo>
                                  <a:pt x="2992120" y="19050"/>
                                </a:lnTo>
                                <a:lnTo>
                                  <a:pt x="2982595" y="9525"/>
                                </a:lnTo>
                                <a:close/>
                              </a:path>
                              <a:path w="3030220" h="2021839">
                                <a:moveTo>
                                  <a:pt x="3030220" y="161925"/>
                                </a:moveTo>
                                <a:lnTo>
                                  <a:pt x="3001645" y="161925"/>
                                </a:lnTo>
                                <a:lnTo>
                                  <a:pt x="3001645" y="174625"/>
                                </a:lnTo>
                                <a:lnTo>
                                  <a:pt x="3023870" y="174625"/>
                                </a:lnTo>
                                <a:lnTo>
                                  <a:pt x="3030220" y="161925"/>
                                </a:lnTo>
                                <a:close/>
                              </a:path>
                              <a:path w="3030220" h="2021839">
                                <a:moveTo>
                                  <a:pt x="568071" y="9525"/>
                                </a:moveTo>
                                <a:lnTo>
                                  <a:pt x="558546" y="19050"/>
                                </a:lnTo>
                                <a:lnTo>
                                  <a:pt x="568071" y="19050"/>
                                </a:lnTo>
                                <a:lnTo>
                                  <a:pt x="568071" y="9525"/>
                                </a:lnTo>
                                <a:close/>
                              </a:path>
                              <a:path w="3030220" h="2021839">
                                <a:moveTo>
                                  <a:pt x="2982595" y="9525"/>
                                </a:moveTo>
                                <a:lnTo>
                                  <a:pt x="568071" y="9525"/>
                                </a:lnTo>
                                <a:lnTo>
                                  <a:pt x="568071" y="19050"/>
                                </a:lnTo>
                                <a:lnTo>
                                  <a:pt x="2982595" y="19050"/>
                                </a:lnTo>
                                <a:lnTo>
                                  <a:pt x="2982595" y="9525"/>
                                </a:lnTo>
                                <a:close/>
                              </a:path>
                              <a:path w="3030220" h="2021839">
                                <a:moveTo>
                                  <a:pt x="3001645" y="9525"/>
                                </a:moveTo>
                                <a:lnTo>
                                  <a:pt x="2982595" y="9525"/>
                                </a:lnTo>
                                <a:lnTo>
                                  <a:pt x="2992120" y="19050"/>
                                </a:lnTo>
                                <a:lnTo>
                                  <a:pt x="3001645" y="19050"/>
                                </a:lnTo>
                                <a:lnTo>
                                  <a:pt x="3001645" y="9525"/>
                                </a:lnTo>
                                <a:close/>
                              </a:path>
                            </a:pathLst>
                          </a:custGeom>
                          <a:solidFill>
                            <a:srgbClr val="BEBEBE"/>
                          </a:solidFill>
                        </wps:spPr>
                        <wps:bodyPr wrap="square" lIns="0" tIns="0" rIns="0" bIns="0" rtlCol="0">
                          <a:prstTxWarp prst="textNoShape">
                            <a:avLst/>
                          </a:prstTxWarp>
                        </wps:bodyPr>
                      </wps:wsp>
                      <wps:wsp>
                        <wps:cNvPr id="601" name="Graphic 601"/>
                        <wps:cNvSpPr/>
                        <wps:spPr>
                          <a:xfrm>
                            <a:off x="5797537" y="1042923"/>
                            <a:ext cx="3361054" cy="3296285"/>
                          </a:xfrm>
                          <a:custGeom>
                            <a:avLst/>
                            <a:gdLst/>
                            <a:ahLst/>
                            <a:cxnLst/>
                            <a:rect l="l" t="t" r="r" b="b"/>
                            <a:pathLst>
                              <a:path w="3361054" h="3296285">
                                <a:moveTo>
                                  <a:pt x="3332734" y="2714117"/>
                                </a:moveTo>
                                <a:lnTo>
                                  <a:pt x="3323590" y="2668841"/>
                                </a:lnTo>
                                <a:lnTo>
                                  <a:pt x="3298660" y="2631859"/>
                                </a:lnTo>
                                <a:lnTo>
                                  <a:pt x="3261677" y="2606929"/>
                                </a:lnTo>
                                <a:lnTo>
                                  <a:pt x="3216402" y="2597785"/>
                                </a:lnTo>
                                <a:lnTo>
                                  <a:pt x="155829" y="2597785"/>
                                </a:lnTo>
                                <a:lnTo>
                                  <a:pt x="110515" y="2606929"/>
                                </a:lnTo>
                                <a:lnTo>
                                  <a:pt x="73494" y="2631859"/>
                                </a:lnTo>
                                <a:lnTo>
                                  <a:pt x="48526" y="2668841"/>
                                </a:lnTo>
                                <a:lnTo>
                                  <a:pt x="39370" y="2714117"/>
                                </a:lnTo>
                                <a:lnTo>
                                  <a:pt x="39370" y="3179445"/>
                                </a:lnTo>
                                <a:lnTo>
                                  <a:pt x="48526" y="3224733"/>
                                </a:lnTo>
                                <a:lnTo>
                                  <a:pt x="73494" y="3261715"/>
                                </a:lnTo>
                                <a:lnTo>
                                  <a:pt x="110515" y="3286645"/>
                                </a:lnTo>
                                <a:lnTo>
                                  <a:pt x="155829" y="3295777"/>
                                </a:lnTo>
                                <a:lnTo>
                                  <a:pt x="3216402" y="3295777"/>
                                </a:lnTo>
                                <a:lnTo>
                                  <a:pt x="3261677" y="3286645"/>
                                </a:lnTo>
                                <a:lnTo>
                                  <a:pt x="3298660" y="3261715"/>
                                </a:lnTo>
                                <a:lnTo>
                                  <a:pt x="3323590" y="3224733"/>
                                </a:lnTo>
                                <a:lnTo>
                                  <a:pt x="3332734" y="3179445"/>
                                </a:lnTo>
                                <a:lnTo>
                                  <a:pt x="3332734" y="2714117"/>
                                </a:lnTo>
                                <a:close/>
                              </a:path>
                              <a:path w="3361054" h="3296285">
                                <a:moveTo>
                                  <a:pt x="3349752" y="1706499"/>
                                </a:moveTo>
                                <a:lnTo>
                                  <a:pt x="3342627" y="1662391"/>
                                </a:lnTo>
                                <a:lnTo>
                                  <a:pt x="3322815" y="1624076"/>
                                </a:lnTo>
                                <a:lnTo>
                                  <a:pt x="3292602" y="1593862"/>
                                </a:lnTo>
                                <a:lnTo>
                                  <a:pt x="3254286" y="1574050"/>
                                </a:lnTo>
                                <a:lnTo>
                                  <a:pt x="3210179" y="1566926"/>
                                </a:lnTo>
                                <a:lnTo>
                                  <a:pt x="155956" y="1566926"/>
                                </a:lnTo>
                                <a:lnTo>
                                  <a:pt x="111836" y="1574050"/>
                                </a:lnTo>
                                <a:lnTo>
                                  <a:pt x="73520" y="1593862"/>
                                </a:lnTo>
                                <a:lnTo>
                                  <a:pt x="43307" y="1624076"/>
                                </a:lnTo>
                                <a:lnTo>
                                  <a:pt x="23495" y="1662391"/>
                                </a:lnTo>
                                <a:lnTo>
                                  <a:pt x="16383" y="1706499"/>
                                </a:lnTo>
                                <a:lnTo>
                                  <a:pt x="16383" y="2264537"/>
                                </a:lnTo>
                                <a:lnTo>
                                  <a:pt x="23495" y="2308656"/>
                                </a:lnTo>
                                <a:lnTo>
                                  <a:pt x="43307" y="2346972"/>
                                </a:lnTo>
                                <a:lnTo>
                                  <a:pt x="73520" y="2377186"/>
                                </a:lnTo>
                                <a:lnTo>
                                  <a:pt x="111836" y="2396998"/>
                                </a:lnTo>
                                <a:lnTo>
                                  <a:pt x="155956" y="2404110"/>
                                </a:lnTo>
                                <a:lnTo>
                                  <a:pt x="3210179" y="2404110"/>
                                </a:lnTo>
                                <a:lnTo>
                                  <a:pt x="3254286" y="2396998"/>
                                </a:lnTo>
                                <a:lnTo>
                                  <a:pt x="3292602" y="2377186"/>
                                </a:lnTo>
                                <a:lnTo>
                                  <a:pt x="3322815" y="2346972"/>
                                </a:lnTo>
                                <a:lnTo>
                                  <a:pt x="3342627" y="2308656"/>
                                </a:lnTo>
                                <a:lnTo>
                                  <a:pt x="3349752" y="2264537"/>
                                </a:lnTo>
                                <a:lnTo>
                                  <a:pt x="3349752" y="1706499"/>
                                </a:lnTo>
                                <a:close/>
                              </a:path>
                              <a:path w="3361054" h="3296285">
                                <a:moveTo>
                                  <a:pt x="3349752" y="901827"/>
                                </a:moveTo>
                                <a:lnTo>
                                  <a:pt x="3340379" y="855560"/>
                                </a:lnTo>
                                <a:lnTo>
                                  <a:pt x="3314865" y="817778"/>
                                </a:lnTo>
                                <a:lnTo>
                                  <a:pt x="3277044" y="792302"/>
                                </a:lnTo>
                                <a:lnTo>
                                  <a:pt x="3230753" y="782955"/>
                                </a:lnTo>
                                <a:lnTo>
                                  <a:pt x="121526" y="782955"/>
                                </a:lnTo>
                                <a:lnTo>
                                  <a:pt x="75260" y="792302"/>
                                </a:lnTo>
                                <a:lnTo>
                                  <a:pt x="37477" y="817778"/>
                                </a:lnTo>
                                <a:lnTo>
                                  <a:pt x="12001" y="855560"/>
                                </a:lnTo>
                                <a:lnTo>
                                  <a:pt x="2667" y="901827"/>
                                </a:lnTo>
                                <a:lnTo>
                                  <a:pt x="2667" y="1377569"/>
                                </a:lnTo>
                                <a:lnTo>
                                  <a:pt x="12001" y="1423847"/>
                                </a:lnTo>
                                <a:lnTo>
                                  <a:pt x="37477" y="1461630"/>
                                </a:lnTo>
                                <a:lnTo>
                                  <a:pt x="75260" y="1487106"/>
                                </a:lnTo>
                                <a:lnTo>
                                  <a:pt x="121526" y="1496441"/>
                                </a:lnTo>
                                <a:lnTo>
                                  <a:pt x="3230753" y="1496441"/>
                                </a:lnTo>
                                <a:lnTo>
                                  <a:pt x="3277044" y="1487106"/>
                                </a:lnTo>
                                <a:lnTo>
                                  <a:pt x="3314865" y="1461630"/>
                                </a:lnTo>
                                <a:lnTo>
                                  <a:pt x="3340379" y="1423847"/>
                                </a:lnTo>
                                <a:lnTo>
                                  <a:pt x="3349752" y="1377569"/>
                                </a:lnTo>
                                <a:lnTo>
                                  <a:pt x="3349752" y="901827"/>
                                </a:lnTo>
                                <a:close/>
                              </a:path>
                              <a:path w="3361054" h="3296285">
                                <a:moveTo>
                                  <a:pt x="3360801" y="113665"/>
                                </a:moveTo>
                                <a:lnTo>
                                  <a:pt x="3351860" y="69443"/>
                                </a:lnTo>
                                <a:lnTo>
                                  <a:pt x="3327489" y="33312"/>
                                </a:lnTo>
                                <a:lnTo>
                                  <a:pt x="3291357" y="8940"/>
                                </a:lnTo>
                                <a:lnTo>
                                  <a:pt x="3247136" y="0"/>
                                </a:lnTo>
                                <a:lnTo>
                                  <a:pt x="113665" y="0"/>
                                </a:lnTo>
                                <a:lnTo>
                                  <a:pt x="69430" y="8940"/>
                                </a:lnTo>
                                <a:lnTo>
                                  <a:pt x="33299" y="33312"/>
                                </a:lnTo>
                                <a:lnTo>
                                  <a:pt x="8928" y="69443"/>
                                </a:lnTo>
                                <a:lnTo>
                                  <a:pt x="0" y="113665"/>
                                </a:lnTo>
                                <a:lnTo>
                                  <a:pt x="0" y="568452"/>
                                </a:lnTo>
                                <a:lnTo>
                                  <a:pt x="8928" y="612686"/>
                                </a:lnTo>
                                <a:lnTo>
                                  <a:pt x="33299" y="648817"/>
                                </a:lnTo>
                                <a:lnTo>
                                  <a:pt x="69430" y="673188"/>
                                </a:lnTo>
                                <a:lnTo>
                                  <a:pt x="113665" y="682117"/>
                                </a:lnTo>
                                <a:lnTo>
                                  <a:pt x="3247136" y="682117"/>
                                </a:lnTo>
                                <a:lnTo>
                                  <a:pt x="3291357" y="673188"/>
                                </a:lnTo>
                                <a:lnTo>
                                  <a:pt x="3327489" y="648817"/>
                                </a:lnTo>
                                <a:lnTo>
                                  <a:pt x="3351860" y="612686"/>
                                </a:lnTo>
                                <a:lnTo>
                                  <a:pt x="3360801" y="568452"/>
                                </a:lnTo>
                                <a:lnTo>
                                  <a:pt x="3360801" y="113665"/>
                                </a:lnTo>
                                <a:close/>
                              </a:path>
                            </a:pathLst>
                          </a:custGeom>
                          <a:solidFill>
                            <a:srgbClr val="C8EBFF"/>
                          </a:solidFill>
                        </wps:spPr>
                        <wps:bodyPr wrap="square" lIns="0" tIns="0" rIns="0" bIns="0" rtlCol="0">
                          <a:prstTxWarp prst="textNoShape">
                            <a:avLst/>
                          </a:prstTxWarp>
                        </wps:bodyPr>
                      </wps:wsp>
                      <wps:wsp>
                        <wps:cNvPr id="602" name="Graphic 602"/>
                        <wps:cNvSpPr/>
                        <wps:spPr>
                          <a:xfrm>
                            <a:off x="2592946" y="285115"/>
                            <a:ext cx="76200" cy="1114425"/>
                          </a:xfrm>
                          <a:custGeom>
                            <a:avLst/>
                            <a:gdLst/>
                            <a:ahLst/>
                            <a:cxnLst/>
                            <a:rect l="l" t="t" r="r" b="b"/>
                            <a:pathLst>
                              <a:path w="76200" h="1114425">
                                <a:moveTo>
                                  <a:pt x="33383" y="75250"/>
                                </a:moveTo>
                                <a:lnTo>
                                  <a:pt x="33273" y="1114170"/>
                                </a:lnTo>
                                <a:lnTo>
                                  <a:pt x="42798" y="1114170"/>
                                </a:lnTo>
                                <a:lnTo>
                                  <a:pt x="42798" y="76200"/>
                                </a:lnTo>
                                <a:lnTo>
                                  <a:pt x="38100" y="76200"/>
                                </a:lnTo>
                                <a:lnTo>
                                  <a:pt x="33383" y="75250"/>
                                </a:lnTo>
                                <a:close/>
                              </a:path>
                              <a:path w="76200" h="1114425">
                                <a:moveTo>
                                  <a:pt x="42798" y="38100"/>
                                </a:moveTo>
                                <a:lnTo>
                                  <a:pt x="33273" y="38100"/>
                                </a:lnTo>
                                <a:lnTo>
                                  <a:pt x="33383" y="75250"/>
                                </a:lnTo>
                                <a:lnTo>
                                  <a:pt x="38100" y="76200"/>
                                </a:lnTo>
                                <a:lnTo>
                                  <a:pt x="42798" y="75250"/>
                                </a:lnTo>
                                <a:lnTo>
                                  <a:pt x="42798" y="38100"/>
                                </a:lnTo>
                                <a:close/>
                              </a:path>
                              <a:path w="76200" h="1114425">
                                <a:moveTo>
                                  <a:pt x="42798" y="75250"/>
                                </a:moveTo>
                                <a:lnTo>
                                  <a:pt x="38100" y="76200"/>
                                </a:lnTo>
                                <a:lnTo>
                                  <a:pt x="42798" y="76200"/>
                                </a:lnTo>
                                <a:lnTo>
                                  <a:pt x="42798" y="75250"/>
                                </a:lnTo>
                                <a:close/>
                              </a:path>
                              <a:path w="76200" h="1114425">
                                <a:moveTo>
                                  <a:pt x="38100" y="0"/>
                                </a:moveTo>
                                <a:lnTo>
                                  <a:pt x="23252" y="3006"/>
                                </a:lnTo>
                                <a:lnTo>
                                  <a:pt x="11144" y="11191"/>
                                </a:lnTo>
                                <a:lnTo>
                                  <a:pt x="2988" y="23306"/>
                                </a:lnTo>
                                <a:lnTo>
                                  <a:pt x="0" y="38100"/>
                                </a:lnTo>
                                <a:lnTo>
                                  <a:pt x="2988" y="52947"/>
                                </a:lnTo>
                                <a:lnTo>
                                  <a:pt x="11144" y="65055"/>
                                </a:lnTo>
                                <a:lnTo>
                                  <a:pt x="23252" y="73211"/>
                                </a:lnTo>
                                <a:lnTo>
                                  <a:pt x="33383" y="75250"/>
                                </a:lnTo>
                                <a:lnTo>
                                  <a:pt x="33273" y="38100"/>
                                </a:lnTo>
                                <a:lnTo>
                                  <a:pt x="76200" y="38100"/>
                                </a:lnTo>
                                <a:lnTo>
                                  <a:pt x="73193" y="23306"/>
                                </a:lnTo>
                                <a:lnTo>
                                  <a:pt x="65008" y="11191"/>
                                </a:lnTo>
                                <a:lnTo>
                                  <a:pt x="52893" y="3006"/>
                                </a:lnTo>
                                <a:lnTo>
                                  <a:pt x="38100" y="0"/>
                                </a:lnTo>
                                <a:close/>
                              </a:path>
                              <a:path w="76200" h="1114425">
                                <a:moveTo>
                                  <a:pt x="76200" y="38100"/>
                                </a:moveTo>
                                <a:lnTo>
                                  <a:pt x="42798" y="38100"/>
                                </a:lnTo>
                                <a:lnTo>
                                  <a:pt x="42798" y="75250"/>
                                </a:lnTo>
                                <a:lnTo>
                                  <a:pt x="52893" y="73211"/>
                                </a:lnTo>
                                <a:lnTo>
                                  <a:pt x="65008" y="65055"/>
                                </a:lnTo>
                                <a:lnTo>
                                  <a:pt x="73193" y="52947"/>
                                </a:lnTo>
                                <a:lnTo>
                                  <a:pt x="76200" y="38100"/>
                                </a:lnTo>
                                <a:close/>
                              </a:path>
                            </a:pathLst>
                          </a:custGeom>
                          <a:solidFill>
                            <a:srgbClr val="A6A6A6"/>
                          </a:solidFill>
                        </wps:spPr>
                        <wps:bodyPr wrap="square" lIns="0" tIns="0" rIns="0" bIns="0" rtlCol="0">
                          <a:prstTxWarp prst="textNoShape">
                            <a:avLst/>
                          </a:prstTxWarp>
                        </wps:bodyPr>
                      </wps:wsp>
                      <pic:pic xmlns:pic="http://schemas.openxmlformats.org/drawingml/2006/picture">
                        <pic:nvPicPr>
                          <pic:cNvPr id="603" name="Image 603"/>
                          <pic:cNvPicPr/>
                        </pic:nvPicPr>
                        <pic:blipFill>
                          <a:blip r:embed="rId288" cstate="print"/>
                          <a:stretch>
                            <a:fillRect/>
                          </a:stretch>
                        </pic:blipFill>
                        <pic:spPr>
                          <a:xfrm>
                            <a:off x="7435201" y="2426461"/>
                            <a:ext cx="76200" cy="243840"/>
                          </a:xfrm>
                          <a:prstGeom prst="rect">
                            <a:avLst/>
                          </a:prstGeom>
                        </pic:spPr>
                      </pic:pic>
                      <pic:pic xmlns:pic="http://schemas.openxmlformats.org/drawingml/2006/picture">
                        <pic:nvPicPr>
                          <pic:cNvPr id="604" name="Image 604"/>
                          <pic:cNvPicPr/>
                        </pic:nvPicPr>
                        <pic:blipFill>
                          <a:blip r:embed="rId289" cstate="print"/>
                          <a:stretch>
                            <a:fillRect/>
                          </a:stretch>
                        </pic:blipFill>
                        <pic:spPr>
                          <a:xfrm>
                            <a:off x="7468857" y="3398901"/>
                            <a:ext cx="76200" cy="243839"/>
                          </a:xfrm>
                          <a:prstGeom prst="rect">
                            <a:avLst/>
                          </a:prstGeom>
                        </pic:spPr>
                      </pic:pic>
                      <wps:wsp>
                        <wps:cNvPr id="605" name="Graphic 605"/>
                        <wps:cNvSpPr/>
                        <wps:spPr>
                          <a:xfrm>
                            <a:off x="0" y="2123439"/>
                            <a:ext cx="1101090" cy="1552575"/>
                          </a:xfrm>
                          <a:custGeom>
                            <a:avLst/>
                            <a:gdLst/>
                            <a:ahLst/>
                            <a:cxnLst/>
                            <a:rect l="l" t="t" r="r" b="b"/>
                            <a:pathLst>
                              <a:path w="1101090" h="1552575">
                                <a:moveTo>
                                  <a:pt x="541528" y="1476247"/>
                                </a:moveTo>
                                <a:lnTo>
                                  <a:pt x="541528" y="1552447"/>
                                </a:lnTo>
                                <a:lnTo>
                                  <a:pt x="608064" y="1519173"/>
                                </a:lnTo>
                                <a:lnTo>
                                  <a:pt x="554228" y="1519173"/>
                                </a:lnTo>
                                <a:lnTo>
                                  <a:pt x="554228" y="1509648"/>
                                </a:lnTo>
                                <a:lnTo>
                                  <a:pt x="608318" y="1509648"/>
                                </a:lnTo>
                                <a:lnTo>
                                  <a:pt x="541528" y="1476247"/>
                                </a:lnTo>
                                <a:close/>
                              </a:path>
                              <a:path w="1101090" h="1552575">
                                <a:moveTo>
                                  <a:pt x="1025340" y="33274"/>
                                </a:moveTo>
                                <a:lnTo>
                                  <a:pt x="2133" y="33274"/>
                                </a:lnTo>
                                <a:lnTo>
                                  <a:pt x="0" y="35432"/>
                                </a:lnTo>
                                <a:lnTo>
                                  <a:pt x="0" y="1517014"/>
                                </a:lnTo>
                                <a:lnTo>
                                  <a:pt x="2133" y="1519173"/>
                                </a:lnTo>
                                <a:lnTo>
                                  <a:pt x="541528" y="1519173"/>
                                </a:lnTo>
                                <a:lnTo>
                                  <a:pt x="541528" y="1514347"/>
                                </a:lnTo>
                                <a:lnTo>
                                  <a:pt x="9525" y="1514347"/>
                                </a:lnTo>
                                <a:lnTo>
                                  <a:pt x="4762" y="1509648"/>
                                </a:lnTo>
                                <a:lnTo>
                                  <a:pt x="9525" y="1509648"/>
                                </a:lnTo>
                                <a:lnTo>
                                  <a:pt x="9525" y="42799"/>
                                </a:lnTo>
                                <a:lnTo>
                                  <a:pt x="4762" y="42799"/>
                                </a:lnTo>
                                <a:lnTo>
                                  <a:pt x="9525" y="38100"/>
                                </a:lnTo>
                                <a:lnTo>
                                  <a:pt x="1024369" y="38100"/>
                                </a:lnTo>
                                <a:lnTo>
                                  <a:pt x="1025340" y="33274"/>
                                </a:lnTo>
                                <a:close/>
                              </a:path>
                              <a:path w="1101090" h="1552575">
                                <a:moveTo>
                                  <a:pt x="608318" y="1509648"/>
                                </a:moveTo>
                                <a:lnTo>
                                  <a:pt x="554228" y="1509648"/>
                                </a:lnTo>
                                <a:lnTo>
                                  <a:pt x="554228" y="1519173"/>
                                </a:lnTo>
                                <a:lnTo>
                                  <a:pt x="608064" y="1519173"/>
                                </a:lnTo>
                                <a:lnTo>
                                  <a:pt x="617715" y="1514347"/>
                                </a:lnTo>
                                <a:lnTo>
                                  <a:pt x="608318" y="1509648"/>
                                </a:lnTo>
                                <a:close/>
                              </a:path>
                              <a:path w="1101090" h="1552575">
                                <a:moveTo>
                                  <a:pt x="9525" y="1509648"/>
                                </a:moveTo>
                                <a:lnTo>
                                  <a:pt x="4762" y="1509648"/>
                                </a:lnTo>
                                <a:lnTo>
                                  <a:pt x="9525" y="1514347"/>
                                </a:lnTo>
                                <a:lnTo>
                                  <a:pt x="9525" y="1509648"/>
                                </a:lnTo>
                                <a:close/>
                              </a:path>
                              <a:path w="1101090" h="1552575">
                                <a:moveTo>
                                  <a:pt x="541528" y="1509648"/>
                                </a:moveTo>
                                <a:lnTo>
                                  <a:pt x="9525" y="1509648"/>
                                </a:lnTo>
                                <a:lnTo>
                                  <a:pt x="9525" y="1514347"/>
                                </a:lnTo>
                                <a:lnTo>
                                  <a:pt x="541528" y="1514347"/>
                                </a:lnTo>
                                <a:lnTo>
                                  <a:pt x="541528" y="1509648"/>
                                </a:lnTo>
                                <a:close/>
                              </a:path>
                              <a:path w="1101090" h="1552575">
                                <a:moveTo>
                                  <a:pt x="1062469" y="0"/>
                                </a:moveTo>
                                <a:lnTo>
                                  <a:pt x="1047622" y="2988"/>
                                </a:lnTo>
                                <a:lnTo>
                                  <a:pt x="1035513" y="11144"/>
                                </a:lnTo>
                                <a:lnTo>
                                  <a:pt x="1027357" y="23252"/>
                                </a:lnTo>
                                <a:lnTo>
                                  <a:pt x="1024369" y="38100"/>
                                </a:lnTo>
                                <a:lnTo>
                                  <a:pt x="1027357" y="52947"/>
                                </a:lnTo>
                                <a:lnTo>
                                  <a:pt x="1035513" y="65055"/>
                                </a:lnTo>
                                <a:lnTo>
                                  <a:pt x="1047622" y="73211"/>
                                </a:lnTo>
                                <a:lnTo>
                                  <a:pt x="1062469" y="76200"/>
                                </a:lnTo>
                                <a:lnTo>
                                  <a:pt x="1077316" y="73211"/>
                                </a:lnTo>
                                <a:lnTo>
                                  <a:pt x="1089425" y="65055"/>
                                </a:lnTo>
                                <a:lnTo>
                                  <a:pt x="1097580" y="52947"/>
                                </a:lnTo>
                                <a:lnTo>
                                  <a:pt x="1099623" y="42799"/>
                                </a:lnTo>
                                <a:lnTo>
                                  <a:pt x="1062469" y="42799"/>
                                </a:lnTo>
                                <a:lnTo>
                                  <a:pt x="1062469" y="33274"/>
                                </a:lnTo>
                                <a:lnTo>
                                  <a:pt x="1099597" y="33274"/>
                                </a:lnTo>
                                <a:lnTo>
                                  <a:pt x="1097580" y="23252"/>
                                </a:lnTo>
                                <a:lnTo>
                                  <a:pt x="1089425" y="11144"/>
                                </a:lnTo>
                                <a:lnTo>
                                  <a:pt x="1077316" y="2988"/>
                                </a:lnTo>
                                <a:lnTo>
                                  <a:pt x="1062469" y="0"/>
                                </a:lnTo>
                                <a:close/>
                              </a:path>
                              <a:path w="1101090" h="1552575">
                                <a:moveTo>
                                  <a:pt x="9525" y="38100"/>
                                </a:moveTo>
                                <a:lnTo>
                                  <a:pt x="4762" y="42799"/>
                                </a:lnTo>
                                <a:lnTo>
                                  <a:pt x="9525" y="42799"/>
                                </a:lnTo>
                                <a:lnTo>
                                  <a:pt x="9525" y="38100"/>
                                </a:lnTo>
                                <a:close/>
                              </a:path>
                              <a:path w="1101090" h="1552575">
                                <a:moveTo>
                                  <a:pt x="1024369" y="38100"/>
                                </a:moveTo>
                                <a:lnTo>
                                  <a:pt x="9525" y="38100"/>
                                </a:lnTo>
                                <a:lnTo>
                                  <a:pt x="9525" y="42799"/>
                                </a:lnTo>
                                <a:lnTo>
                                  <a:pt x="1025315" y="42799"/>
                                </a:lnTo>
                                <a:lnTo>
                                  <a:pt x="1024369" y="38100"/>
                                </a:lnTo>
                                <a:close/>
                              </a:path>
                              <a:path w="1101090" h="1552575">
                                <a:moveTo>
                                  <a:pt x="1099597" y="33274"/>
                                </a:moveTo>
                                <a:lnTo>
                                  <a:pt x="1062469" y="33274"/>
                                </a:lnTo>
                                <a:lnTo>
                                  <a:pt x="1062469" y="42799"/>
                                </a:lnTo>
                                <a:lnTo>
                                  <a:pt x="1099623" y="42799"/>
                                </a:lnTo>
                                <a:lnTo>
                                  <a:pt x="1100569" y="38100"/>
                                </a:lnTo>
                                <a:lnTo>
                                  <a:pt x="1099597" y="33274"/>
                                </a:lnTo>
                                <a:close/>
                              </a:path>
                            </a:pathLst>
                          </a:custGeom>
                          <a:solidFill>
                            <a:srgbClr val="A6A6A6"/>
                          </a:solidFill>
                        </wps:spPr>
                        <wps:bodyPr wrap="square" lIns="0" tIns="0" rIns="0" bIns="0" rtlCol="0">
                          <a:prstTxWarp prst="textNoShape">
                            <a:avLst/>
                          </a:prstTxWarp>
                        </wps:bodyPr>
                      </wps:wsp>
                      <wps:wsp>
                        <wps:cNvPr id="606" name="Graphic 606"/>
                        <wps:cNvSpPr/>
                        <wps:spPr>
                          <a:xfrm>
                            <a:off x="5563628" y="4498721"/>
                            <a:ext cx="1981835" cy="923290"/>
                          </a:xfrm>
                          <a:custGeom>
                            <a:avLst/>
                            <a:gdLst/>
                            <a:ahLst/>
                            <a:cxnLst/>
                            <a:rect l="l" t="t" r="r" b="b"/>
                            <a:pathLst>
                              <a:path w="1981835" h="923290">
                                <a:moveTo>
                                  <a:pt x="76174" y="846899"/>
                                </a:moveTo>
                                <a:lnTo>
                                  <a:pt x="0" y="885012"/>
                                </a:lnTo>
                                <a:lnTo>
                                  <a:pt x="76174" y="923099"/>
                                </a:lnTo>
                                <a:lnTo>
                                  <a:pt x="52891" y="888174"/>
                                </a:lnTo>
                                <a:lnTo>
                                  <a:pt x="50774" y="888174"/>
                                </a:lnTo>
                                <a:lnTo>
                                  <a:pt x="50774" y="881824"/>
                                </a:lnTo>
                                <a:lnTo>
                                  <a:pt x="52891" y="881824"/>
                                </a:lnTo>
                                <a:lnTo>
                                  <a:pt x="76174" y="846899"/>
                                </a:lnTo>
                                <a:close/>
                              </a:path>
                              <a:path w="1981835" h="923290">
                                <a:moveTo>
                                  <a:pt x="50783" y="885012"/>
                                </a:moveTo>
                                <a:lnTo>
                                  <a:pt x="50774" y="888174"/>
                                </a:lnTo>
                                <a:lnTo>
                                  <a:pt x="52891" y="888174"/>
                                </a:lnTo>
                                <a:lnTo>
                                  <a:pt x="50783" y="885012"/>
                                </a:lnTo>
                                <a:close/>
                              </a:path>
                              <a:path w="1981835" h="923290">
                                <a:moveTo>
                                  <a:pt x="1941924" y="881824"/>
                                </a:moveTo>
                                <a:lnTo>
                                  <a:pt x="52891" y="881824"/>
                                </a:lnTo>
                                <a:lnTo>
                                  <a:pt x="50783" y="885012"/>
                                </a:lnTo>
                                <a:lnTo>
                                  <a:pt x="52891" y="888174"/>
                                </a:lnTo>
                                <a:lnTo>
                                  <a:pt x="1945995" y="888174"/>
                                </a:lnTo>
                                <a:lnTo>
                                  <a:pt x="1946757" y="887844"/>
                                </a:lnTo>
                                <a:lnTo>
                                  <a:pt x="1948027" y="886650"/>
                                </a:lnTo>
                                <a:lnTo>
                                  <a:pt x="1948281" y="885837"/>
                                </a:lnTo>
                                <a:lnTo>
                                  <a:pt x="1948279" y="885012"/>
                                </a:lnTo>
                                <a:lnTo>
                                  <a:pt x="1941931" y="885012"/>
                                </a:lnTo>
                                <a:lnTo>
                                  <a:pt x="1941924" y="881824"/>
                                </a:lnTo>
                                <a:close/>
                              </a:path>
                              <a:path w="1981835" h="923290">
                                <a:moveTo>
                                  <a:pt x="52891" y="881824"/>
                                </a:moveTo>
                                <a:lnTo>
                                  <a:pt x="50774" y="881824"/>
                                </a:lnTo>
                                <a:lnTo>
                                  <a:pt x="50774" y="885012"/>
                                </a:lnTo>
                                <a:lnTo>
                                  <a:pt x="52891" y="881824"/>
                                </a:lnTo>
                                <a:close/>
                              </a:path>
                              <a:path w="1981835" h="923290">
                                <a:moveTo>
                                  <a:pt x="1940232" y="75328"/>
                                </a:moveTo>
                                <a:lnTo>
                                  <a:pt x="1941851" y="846899"/>
                                </a:lnTo>
                                <a:lnTo>
                                  <a:pt x="1941931" y="885012"/>
                                </a:lnTo>
                                <a:lnTo>
                                  <a:pt x="1945106" y="881824"/>
                                </a:lnTo>
                                <a:lnTo>
                                  <a:pt x="1948273" y="881824"/>
                                </a:lnTo>
                                <a:lnTo>
                                  <a:pt x="1946583" y="76073"/>
                                </a:lnTo>
                                <a:lnTo>
                                  <a:pt x="1945106" y="76073"/>
                                </a:lnTo>
                                <a:lnTo>
                                  <a:pt x="1940232" y="75328"/>
                                </a:lnTo>
                                <a:close/>
                              </a:path>
                              <a:path w="1981835" h="923290">
                                <a:moveTo>
                                  <a:pt x="1948273" y="881824"/>
                                </a:moveTo>
                                <a:lnTo>
                                  <a:pt x="1945106" y="881824"/>
                                </a:lnTo>
                                <a:lnTo>
                                  <a:pt x="1941931" y="885012"/>
                                </a:lnTo>
                                <a:lnTo>
                                  <a:pt x="1948279" y="885012"/>
                                </a:lnTo>
                                <a:lnTo>
                                  <a:pt x="1948273" y="881824"/>
                                </a:lnTo>
                                <a:close/>
                              </a:path>
                              <a:path w="1981835" h="923290">
                                <a:moveTo>
                                  <a:pt x="1946503" y="37973"/>
                                </a:moveTo>
                                <a:lnTo>
                                  <a:pt x="1940153" y="37973"/>
                                </a:lnTo>
                                <a:lnTo>
                                  <a:pt x="1940232" y="75328"/>
                                </a:lnTo>
                                <a:lnTo>
                                  <a:pt x="1945106" y="76073"/>
                                </a:lnTo>
                                <a:lnTo>
                                  <a:pt x="1946582" y="75702"/>
                                </a:lnTo>
                                <a:lnTo>
                                  <a:pt x="1946503" y="37973"/>
                                </a:lnTo>
                                <a:close/>
                              </a:path>
                              <a:path w="1981835" h="923290">
                                <a:moveTo>
                                  <a:pt x="1946582" y="75702"/>
                                </a:moveTo>
                                <a:lnTo>
                                  <a:pt x="1945106" y="76073"/>
                                </a:lnTo>
                                <a:lnTo>
                                  <a:pt x="1946583" y="76073"/>
                                </a:lnTo>
                                <a:lnTo>
                                  <a:pt x="1946582" y="75702"/>
                                </a:lnTo>
                                <a:close/>
                              </a:path>
                              <a:path w="1981835" h="923290">
                                <a:moveTo>
                                  <a:pt x="1981157" y="37973"/>
                                </a:moveTo>
                                <a:lnTo>
                                  <a:pt x="1946503" y="37973"/>
                                </a:lnTo>
                                <a:lnTo>
                                  <a:pt x="1946582" y="75702"/>
                                </a:lnTo>
                                <a:lnTo>
                                  <a:pt x="1959818" y="72378"/>
                                </a:lnTo>
                                <a:lnTo>
                                  <a:pt x="1971554" y="63658"/>
                                </a:lnTo>
                                <a:lnTo>
                                  <a:pt x="1979146" y="51177"/>
                                </a:lnTo>
                                <a:lnTo>
                                  <a:pt x="1981157" y="37973"/>
                                </a:lnTo>
                                <a:close/>
                              </a:path>
                              <a:path w="1981835" h="923290">
                                <a:moveTo>
                                  <a:pt x="1941550" y="0"/>
                                </a:moveTo>
                                <a:lnTo>
                                  <a:pt x="1926911" y="3694"/>
                                </a:lnTo>
                                <a:lnTo>
                                  <a:pt x="1915213" y="12414"/>
                                </a:lnTo>
                                <a:lnTo>
                                  <a:pt x="1907635" y="24895"/>
                                </a:lnTo>
                                <a:lnTo>
                                  <a:pt x="1905355" y="39878"/>
                                </a:lnTo>
                                <a:lnTo>
                                  <a:pt x="1908994" y="54516"/>
                                </a:lnTo>
                                <a:lnTo>
                                  <a:pt x="1917706" y="66214"/>
                                </a:lnTo>
                                <a:lnTo>
                                  <a:pt x="1930180" y="73792"/>
                                </a:lnTo>
                                <a:lnTo>
                                  <a:pt x="1940232" y="75328"/>
                                </a:lnTo>
                                <a:lnTo>
                                  <a:pt x="1940153" y="37973"/>
                                </a:lnTo>
                                <a:lnTo>
                                  <a:pt x="1981157" y="37973"/>
                                </a:lnTo>
                                <a:lnTo>
                                  <a:pt x="1981428" y="36195"/>
                                </a:lnTo>
                                <a:lnTo>
                                  <a:pt x="1977733" y="21556"/>
                                </a:lnTo>
                                <a:lnTo>
                                  <a:pt x="1969014" y="9858"/>
                                </a:lnTo>
                                <a:lnTo>
                                  <a:pt x="1956532" y="2280"/>
                                </a:lnTo>
                                <a:lnTo>
                                  <a:pt x="1941550" y="0"/>
                                </a:lnTo>
                                <a:close/>
                              </a:path>
                            </a:pathLst>
                          </a:custGeom>
                          <a:solidFill>
                            <a:srgbClr val="92D050"/>
                          </a:solidFill>
                        </wps:spPr>
                        <wps:bodyPr wrap="square" lIns="0" tIns="0" rIns="0" bIns="0" rtlCol="0">
                          <a:prstTxWarp prst="textNoShape">
                            <a:avLst/>
                          </a:prstTxWarp>
                        </wps:bodyPr>
                      </wps:wsp>
                      <pic:pic xmlns:pic="http://schemas.openxmlformats.org/drawingml/2006/picture">
                        <pic:nvPicPr>
                          <pic:cNvPr id="607" name="Image 607"/>
                          <pic:cNvPicPr/>
                        </pic:nvPicPr>
                        <pic:blipFill>
                          <a:blip r:embed="rId290" cstate="print"/>
                          <a:stretch>
                            <a:fillRect/>
                          </a:stretch>
                        </pic:blipFill>
                        <pic:spPr>
                          <a:xfrm>
                            <a:off x="159499" y="2968459"/>
                            <a:ext cx="571372" cy="571411"/>
                          </a:xfrm>
                          <a:prstGeom prst="rect">
                            <a:avLst/>
                          </a:prstGeom>
                        </pic:spPr>
                      </pic:pic>
                      <pic:pic xmlns:pic="http://schemas.openxmlformats.org/drawingml/2006/picture">
                        <pic:nvPicPr>
                          <pic:cNvPr id="608" name="Image 608"/>
                          <pic:cNvPicPr/>
                        </pic:nvPicPr>
                        <pic:blipFill>
                          <a:blip r:embed="rId291" cstate="print"/>
                          <a:stretch>
                            <a:fillRect/>
                          </a:stretch>
                        </pic:blipFill>
                        <pic:spPr>
                          <a:xfrm>
                            <a:off x="4739627" y="4786858"/>
                            <a:ext cx="847890" cy="847966"/>
                          </a:xfrm>
                          <a:prstGeom prst="rect">
                            <a:avLst/>
                          </a:prstGeom>
                        </pic:spPr>
                      </pic:pic>
                      <wps:wsp>
                        <wps:cNvPr id="609" name="Graphic 609"/>
                        <wps:cNvSpPr/>
                        <wps:spPr>
                          <a:xfrm>
                            <a:off x="769099" y="0"/>
                            <a:ext cx="210820" cy="342900"/>
                          </a:xfrm>
                          <a:custGeom>
                            <a:avLst/>
                            <a:gdLst/>
                            <a:ahLst/>
                            <a:cxnLst/>
                            <a:rect l="l" t="t" r="r" b="b"/>
                            <a:pathLst>
                              <a:path w="210820" h="342900">
                                <a:moveTo>
                                  <a:pt x="0" y="0"/>
                                </a:moveTo>
                                <a:lnTo>
                                  <a:pt x="0" y="342900"/>
                                </a:lnTo>
                                <a:lnTo>
                                  <a:pt x="210439" y="171450"/>
                                </a:lnTo>
                                <a:lnTo>
                                  <a:pt x="0" y="0"/>
                                </a:lnTo>
                                <a:close/>
                              </a:path>
                            </a:pathLst>
                          </a:custGeom>
                          <a:solidFill>
                            <a:srgbClr val="04316D"/>
                          </a:solidFill>
                        </wps:spPr>
                        <wps:bodyPr wrap="square" lIns="0" tIns="0" rIns="0" bIns="0" rtlCol="0">
                          <a:prstTxWarp prst="textNoShape">
                            <a:avLst/>
                          </a:prstTxWarp>
                        </wps:bodyPr>
                      </wps:wsp>
                      <pic:pic xmlns:pic="http://schemas.openxmlformats.org/drawingml/2006/picture">
                        <pic:nvPicPr>
                          <pic:cNvPr id="610" name="Image 610"/>
                          <pic:cNvPicPr/>
                        </pic:nvPicPr>
                        <pic:blipFill>
                          <a:blip r:embed="rId292" cstate="print"/>
                          <a:stretch>
                            <a:fillRect/>
                          </a:stretch>
                        </pic:blipFill>
                        <pic:spPr>
                          <a:xfrm>
                            <a:off x="248132" y="3126117"/>
                            <a:ext cx="560654" cy="560692"/>
                          </a:xfrm>
                          <a:prstGeom prst="rect">
                            <a:avLst/>
                          </a:prstGeom>
                        </pic:spPr>
                      </pic:pic>
                      <pic:pic xmlns:pic="http://schemas.openxmlformats.org/drawingml/2006/picture">
                        <pic:nvPicPr>
                          <pic:cNvPr id="611" name="Image 611"/>
                          <pic:cNvPicPr/>
                        </pic:nvPicPr>
                        <pic:blipFill>
                          <a:blip r:embed="rId288" cstate="print"/>
                          <a:stretch>
                            <a:fillRect/>
                          </a:stretch>
                        </pic:blipFill>
                        <pic:spPr>
                          <a:xfrm>
                            <a:off x="7435201" y="1673351"/>
                            <a:ext cx="76200" cy="243839"/>
                          </a:xfrm>
                          <a:prstGeom prst="rect">
                            <a:avLst/>
                          </a:prstGeom>
                        </pic:spPr>
                      </pic:pic>
                    </wpg:wgp>
                  </a:graphicData>
                </a:graphic>
              </wp:anchor>
            </w:drawing>
          </mc:Choice>
          <mc:Fallback>
            <w:pict>
              <v:group w14:anchorId="0162D5D1" id="Group 594" o:spid="_x0000_s1026" style="position:absolute;margin-left:60.7pt;margin-top:129.45pt;width:741.25pt;height:443.7pt;z-index:-251593728;mso-wrap-distance-left:0;mso-wrap-distance-right:0;mso-position-horizontal-relative:page;mso-position-vertical-relative:page" coordsize="94138,56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">
                <v:shape id="Graphic 595" o:spid="_x0000_s1027" style="position:absolute;left:9795;width:35846;height:3429;visibility:visible;mso-wrap-style:square;v-text-anchor:top" coordsize="35845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" path="m3527043,l57150,,34879,4500,16716,16763,4482,34932,,57150,,285750r4482,22217l16716,326136r18163,12263l57150,342900r3469893,l3549314,338399r18163,-12263l3579711,307967r4482,-22217l3584193,57150r-4482,-22218l3567477,16763,3549314,4500,3527043,xe" fillcolor="#00afef" stroked="f">
                  <v:path arrowok="t"/>
                </v:shape>
                <v:shape id="Graphic 596" o:spid="_x0000_s1028" style="position:absolute;left:8795;top:13992;width:38132;height:15240;visibility:visible;mso-wrap-style:square;v-text-anchor:top" coordsize="381317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" path="m3812921,144145r-7354,-45568l3785108,59016,3753904,27813,3714343,7353,3668776,,144145,,98564,7353,59004,27813,27800,59016,7340,98577,,144145,,1379867r7340,45568l27800,1464995r31204,31204l98564,1516659r45581,7341l3668776,1524000r45567,-7341l3753904,1496199r31204,-31204l3805567,1425435r7354,-45568l3812921,144145xe" fillcolor="#f1f1f1" stroked="f">
                  <v:path arrowok="t"/>
                </v:shape>
                <v:shape id="Graphic 597" o:spid="_x0000_s1029" style="position:absolute;left:55872;top:3232;width:38265;height:43586;visibility:visible;mso-wrap-style:square;v-text-anchor:top" coordsize="3826510,435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" path="m3464306,l361822,,312738,3304r-47082,9624l221009,28442,179229,49412,140748,75408r-34751,30589l75408,140748,49412,179229,28442,221009,12928,265656,3304,312738,,361822,,3996562r3304,49085l12928,4092729r15514,44647l49412,4179156r25996,38481l105997,4252388r34751,30589l179229,4308973r41780,20970l265656,4345457r47082,9624l361822,4358385r3102484,l3513417,4355081r47099,-9624l3605172,4329943r41783,-20970l3685434,4282977r34745,-30589l3750759,4217637r25985,-38481l3797704,4137376r15505,-44647l3822827,4045647r3302,-49085l3826129,361822r-3302,-49084l3813209,265656r-15505,-44647l3776744,179229r-25985,-38481l3720179,105997,3685434,75408,3646955,49412,3605172,28442,3560516,12928,3513417,3304,3464306,xe" fillcolor="#c8ebf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8" o:spid="_x0000_s1030" type="#_x0000_t75" style="position:absolute;left:50395;top:53491;width:3494;height: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">
                  <v:imagedata r:id="rId293" o:title=""/>
                </v:shape>
                <v:shape id="Image 599" o:spid="_x0000_s1031" type="#_x0000_t75" style="position:absolute;left:74255;top:14514;width:762;height: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">
                  <v:imagedata r:id="rId294" o:title=""/>
                </v:shape>
                <v:shape id="Graphic 600" o:spid="_x0000_s1032" style="position:absolute;left:46264;top:730;width:30302;height:20218;visibility:visible;mso-wrap-style:square;v-text-anchor:top" coordsize="3030220,202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" path="m38100,1945132r-14794,2988l11191,1956276r-8185,12108l,1983232r3006,14793l11191,2010140r12115,8185l38100,2021332r14847,-3007l65055,2010140r8156,-12115l74275,1992757r-36175,l38100,1973707r36182,l73211,1968384r-8156,-12108l52947,1948120r-14847,-2988xem74282,1973707r-36182,l38100,1992757r36175,l76200,1983232r-1918,-9525xem549021,1973707r-474739,l76200,1983232r-1925,9525l563880,1992757r4191,-4318l568071,1983232r-19050,l549021,1973707xem2997454,l553339,r-4318,4191l549021,1983232r9525,-9525l568071,1973707r,-1954657l558546,19050r9525,-9525l3001645,9525r,-5334l2997454,xem568071,1973707r-9525,l549021,1983232r19050,l568071,1973707xem2982595,161925r-28575,l2992120,238125r31750,-63500l2982595,174625r,-12700xem2982595,9525r,165100l3001645,174625r,-155575l2992120,19050r-9525,-9525xem3030220,161925r-28575,l3001645,174625r22225,l3030220,161925xem568071,9525r-9525,9525l568071,19050r,-9525xem2982595,9525r-2414524,l568071,19050r2414524,l2982595,9525xem3001645,9525r-19050,l2992120,19050r9525,l3001645,9525xe" fillcolor="#bebebe" stroked="f">
                  <v:path arrowok="t"/>
                </v:shape>
                <v:shape id="Graphic 601" o:spid="_x0000_s1033" style="position:absolute;left:57975;top:10429;width:33610;height:32963;visibility:visible;mso-wrap-style:square;v-text-anchor:top" coordsize="3361054,329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" path="m3332734,2714117r-9144,-45276l3298660,2631859r-36983,-24930l3216402,2597785r-3060573,l110515,2606929r-37021,24930l48526,2668841r-9156,45276l39370,3179445r9156,45288l73494,3261715r37021,24930l155829,3295777r3060573,l3261677,3286645r36983,-24930l3323590,3224733r9144,-45288l3332734,2714117xem3349752,1706499r-7125,-44108l3322815,1624076r-30213,-30214l3254286,1574050r-44107,-7124l155956,1566926r-44120,7124l73520,1593862r-30213,30214l23495,1662391r-7112,44108l16383,2264537r7112,44119l43307,2346972r30213,30214l111836,2396998r44120,7112l3210179,2404110r44107,-7112l3292602,2377186r30213,-30214l3342627,2308656r7125,-44119l3349752,1706499xem3349752,901827r-9373,-46267l3314865,817778r-37821,-25476l3230753,782955r-3109227,l75260,792302,37477,817778,12001,855560,2667,901827r,475742l12001,1423847r25476,37783l75260,1487106r46266,9335l3230753,1496441r46291,-9335l3314865,1461630r25514,-37783l3349752,1377569r,-475742xem3360801,113665r-8941,-44222l3327489,33312,3291357,8940,3247136,,113665,,69430,8940,33299,33312,8928,69443,,113665,,568452r8928,44234l33299,648817r36131,24371l113665,682117r3133471,l3291357,673188r36132,-24371l3351860,612686r8941,-44234l3360801,113665xe" fillcolor="#c8ebff" stroked="f">
                  <v:path arrowok="t"/>
                </v:shape>
                <v:shape id="Graphic 602" o:spid="_x0000_s1034" style="position:absolute;left:25929;top:2851;width:762;height:11144;visibility:visible;mso-wrap-style:square;v-text-anchor:top" coordsize="76200,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" path="m33383,75250r-110,1038920l42798,1114170r,-1037970l38100,76200r-4717,-950xem42798,38100r-9525,l33383,75250r4717,950l42798,75250r,-37150xem42798,75250r-4698,950l42798,76200r,-950xem38100,l23252,3006,11144,11191,2988,23306,,38100,2988,52947r8156,12108l23252,73211r10131,2039l33273,38100r42927,l73193,23306,65008,11191,52893,3006,38100,xem76200,38100r-33402,l42798,75250,52893,73211,65008,65055,73193,52947,76200,38100xe" fillcolor="#a6a6a6" stroked="f">
                  <v:path arrowok="t"/>
                </v:shape>
                <v:shape id="Image 603" o:spid="_x0000_s1035" type="#_x0000_t75" style="position:absolute;left:74352;top:24264;width:762;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">
                  <v:imagedata r:id="rId295" o:title=""/>
                </v:shape>
                <v:shape id="Image 604" o:spid="_x0000_s1036" type="#_x0000_t75" style="position:absolute;left:74688;top:33989;width:7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">
                  <v:imagedata r:id="rId296" o:title=""/>
                </v:shape>
                <v:shape id="Graphic 605" o:spid="_x0000_s1037" style="position:absolute;top:21234;width:11010;height:15526;visibility:visible;mso-wrap-style:square;v-text-anchor:top" coordsize="1101090,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" path="m541528,1476247r,76200l608064,1519173r-53836,l554228,1509648r54090,l541528,1476247xem1025340,33274r-1023207,l,35432,,1517014r2133,2159l541528,1519173r,-4826l9525,1514347r-4763,-4699l9525,1509648r,-1466849l4762,42799,9525,38100r1014844,l1025340,33274xem608318,1509648r-54090,l554228,1519173r53836,l617715,1514347r-9397,-4699xem9525,1509648r-4763,l9525,1514347r,-4699xem541528,1509648r-532003,l9525,1514347r532003,l541528,1509648xem1062469,r-14847,2988l1035513,11144r-8156,12108l1024369,38100r2988,14847l1035513,65055r12109,8156l1062469,76200r14847,-2989l1089425,65055r8155,-12108l1099623,42799r-37154,l1062469,33274r37128,l1097580,23252r-8155,-12108l1077316,2988,1062469,xem9525,38100l4762,42799r4763,l9525,38100xem1024369,38100r-1014844,l9525,42799r1015790,l1024369,38100xem1099597,33274r-37128,l1062469,42799r37154,l1100569,38100r-972,-4826xe" fillcolor="#a6a6a6" stroked="f">
                  <v:path arrowok="t"/>
                </v:shape>
                <v:shape id="Graphic 606" o:spid="_x0000_s1038" style="position:absolute;left:55636;top:44987;width:19818;height:9233;visibility:visible;mso-wrap-style:square;v-text-anchor:top" coordsize="1981835,9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" path="m76174,846899l,885012r76174,38087l52891,888174r-2117,l50774,881824r2117,l76174,846899xem50783,885012r-9,3162l52891,888174r-2108,-3162xem1941924,881824r-1889033,l50783,885012r2108,3162l1945995,888174r762,-330l1948027,886650r254,-813l1948279,885012r-6348,l1941924,881824xem52891,881824r-2117,l50774,885012r2117,-3188xem1940232,75328r1619,771571l1941931,885012r3175,-3188l1948273,881824,1946583,76073r-1477,l1940232,75328xem1948273,881824r-3167,l1941931,885012r6348,l1948273,881824xem1946503,37973r-6350,l1940232,75328r4874,745l1946582,75702r-79,-37729xem1946582,75702r-1476,371l1946583,76073r-1,-371xem1981157,37973r-34654,l1946582,75702r13236,-3324l1971554,63658r7592,-12481l1981157,37973xem1941550,r-14639,3694l1915213,12414r-7578,12481l1905355,39878r3639,14638l1917706,66214r12474,7578l1940232,75328r-79,-37355l1981157,37973r271,-1778l1977733,21556,1969014,9858,1956532,2280,1941550,xe" fillcolor="#92d050" stroked="f">
                  <v:path arrowok="t"/>
                </v:shape>
                <v:shape id="Image 607" o:spid="_x0000_s1039" type="#_x0000_t75" style="position:absolute;left:1594;top:29684;width:5714;height:5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">
                  <v:imagedata r:id="rId297" o:title=""/>
                </v:shape>
                <v:shape id="Image 608" o:spid="_x0000_s1040" type="#_x0000_t75" style="position:absolute;left:47396;top:47868;width:8479;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">
                  <v:imagedata r:id="rId298" o:title=""/>
                </v:shape>
                <v:shape id="Graphic 609" o:spid="_x0000_s1041" style="position:absolute;left:7690;width:2109;height:3429;visibility:visible;mso-wrap-style:square;v-text-anchor:top" coordsize="21082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" path="m,l,342900,210439,171450,,xe" fillcolor="#04316d" stroked="f">
                  <v:path arrowok="t"/>
                </v:shape>
                <v:shape id="Image 610" o:spid="_x0000_s1042" type="#_x0000_t75" style="position:absolute;left:2481;top:31261;width:5606;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">
                  <v:imagedata r:id="rId299" o:title=""/>
                </v:shape>
                <v:shape id="Image 611" o:spid="_x0000_s1043" type="#_x0000_t75" style="position:absolute;left:74352;top:16733;width:7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">
                  <v:imagedata r:id="rId295" o:title=""/>
                </v:shape>
                <w10:wrap anchorx="page" anchory="page"/>
              </v:group>
            </w:pict>
          </mc:Fallback>
        </mc:AlternateContent>
      </w:r>
    </w:p>
    <w:p w14:paraId="04708D0F" w14:textId="5C4D857D" w:rsidR="008715BE" w:rsidRPr="00EC75B7" w:rsidRDefault="00000000">
      <w:pPr>
        <w:ind w:left="3529"/>
        <w:rPr>
          <w:rFonts w:ascii="Verdana" w:hAnsi="Verdana"/>
          <w:b/>
          <w:sz w:val="18"/>
          <w:szCs w:val="18"/>
        </w:rPr>
      </w:pPr>
      <w:r w:rsidRPr="00EC75B7">
        <w:rPr>
          <w:rFonts w:ascii="Verdana" w:hAnsi="Verdana"/>
          <w:b/>
          <w:color w:val="FFFFFF"/>
          <w:spacing w:val="-2"/>
          <w:sz w:val="18"/>
          <w:szCs w:val="18"/>
        </w:rPr>
        <w:t>Preparation,</w:t>
      </w:r>
    </w:p>
    <w:p w14:paraId="6CE03391" w14:textId="77777777" w:rsidR="008715BE" w:rsidRPr="00EC75B7" w:rsidRDefault="008715BE">
      <w:pPr>
        <w:pStyle w:val="BodyText"/>
        <w:rPr>
          <w:rFonts w:ascii="Verdana" w:hAnsi="Verdana"/>
          <w:b/>
        </w:rPr>
      </w:pPr>
    </w:p>
    <w:p w14:paraId="70272793" w14:textId="424BF037" w:rsidR="008715BE" w:rsidRPr="00EC75B7" w:rsidRDefault="000B67C7" w:rsidP="000B67C7">
      <w:pPr>
        <w:pStyle w:val="BodyText"/>
        <w:tabs>
          <w:tab w:val="left" w:pos="4370"/>
        </w:tabs>
        <w:spacing w:before="190"/>
        <w:rPr>
          <w:rFonts w:ascii="Verdana" w:hAnsi="Verdana"/>
          <w:b/>
        </w:rPr>
      </w:pPr>
      <w:r>
        <w:rPr>
          <w:rFonts w:ascii="Verdana" w:hAnsi="Verdana"/>
          <w:b/>
        </w:rPr>
        <w:tab/>
      </w:r>
    </w:p>
    <w:p w14:paraId="292633CE" w14:textId="77777777" w:rsidR="008715BE" w:rsidRPr="00EC75B7" w:rsidRDefault="00000000">
      <w:pPr>
        <w:ind w:left="9077"/>
        <w:rPr>
          <w:rFonts w:ascii="Verdana" w:hAnsi="Verdana"/>
          <w:b/>
          <w:sz w:val="18"/>
          <w:szCs w:val="18"/>
        </w:rPr>
      </w:pPr>
      <w:r w:rsidRPr="00EC75B7">
        <w:rPr>
          <w:rFonts w:ascii="Verdana" w:hAnsi="Verdana"/>
          <w:b/>
          <w:sz w:val="18"/>
          <w:szCs w:val="18"/>
        </w:rPr>
        <w:t xml:space="preserve">Detailed assessment – STAGE </w:t>
      </w:r>
      <w:r w:rsidRPr="00EC75B7">
        <w:rPr>
          <w:rFonts w:ascii="Verdana" w:hAnsi="Verdana"/>
          <w:b/>
          <w:spacing w:val="-5"/>
          <w:sz w:val="18"/>
          <w:szCs w:val="18"/>
        </w:rPr>
        <w:t>II</w:t>
      </w:r>
    </w:p>
    <w:p w14:paraId="399E33FD" w14:textId="77777777" w:rsidR="008715BE" w:rsidRPr="00EC75B7" w:rsidRDefault="008715BE">
      <w:pPr>
        <w:pStyle w:val="BodyText"/>
        <w:spacing w:before="80"/>
        <w:rPr>
          <w:rFonts w:ascii="Verdana" w:hAnsi="Verdana"/>
          <w:b/>
        </w:rPr>
      </w:pPr>
    </w:p>
    <w:p w14:paraId="053D35B3" w14:textId="77777777" w:rsidR="008715BE" w:rsidRPr="00EC75B7" w:rsidRDefault="00000000">
      <w:pPr>
        <w:ind w:left="1221"/>
        <w:jc w:val="center"/>
        <w:rPr>
          <w:rFonts w:ascii="Verdana" w:hAnsi="Verdana"/>
          <w:b/>
          <w:sz w:val="18"/>
          <w:szCs w:val="18"/>
        </w:rPr>
      </w:pPr>
      <w:r w:rsidRPr="00EC75B7">
        <w:rPr>
          <w:rFonts w:ascii="Verdana" w:hAnsi="Verdana"/>
          <w:b/>
          <w:color w:val="00AFEF"/>
          <w:spacing w:val="-5"/>
          <w:sz w:val="18"/>
          <w:szCs w:val="18"/>
        </w:rPr>
        <w:t>YES</w:t>
      </w:r>
    </w:p>
    <w:p w14:paraId="1841BDC4" w14:textId="77777777" w:rsidR="008715BE" w:rsidRPr="00EC75B7" w:rsidRDefault="008715BE">
      <w:pPr>
        <w:pStyle w:val="BodyText"/>
        <w:spacing w:before="9"/>
        <w:rPr>
          <w:rFonts w:ascii="Verdana" w:hAnsi="Verdana"/>
          <w:b/>
        </w:rPr>
      </w:pPr>
    </w:p>
    <w:p w14:paraId="2D19C259" w14:textId="77777777" w:rsidR="008715BE" w:rsidRPr="00EC75B7" w:rsidRDefault="008715BE">
      <w:pPr>
        <w:pStyle w:val="BodyText"/>
        <w:rPr>
          <w:rFonts w:ascii="Verdana" w:hAnsi="Verdana"/>
          <w:b/>
        </w:rPr>
        <w:sectPr w:rsidR="008715BE" w:rsidRPr="00EC75B7">
          <w:headerReference w:type="default" r:id="rId300"/>
          <w:footerReference w:type="default" r:id="rId301"/>
          <w:pgSz w:w="16840" w:h="11910" w:orient="landscape"/>
          <w:pgMar w:top="760" w:right="1417" w:bottom="940" w:left="1417" w:header="0" w:footer="745" w:gutter="0"/>
          <w:cols w:space="708"/>
        </w:sectPr>
      </w:pPr>
    </w:p>
    <w:p w14:paraId="5041A85F" w14:textId="77777777" w:rsidR="008715BE" w:rsidRPr="00EC75B7" w:rsidRDefault="008715BE">
      <w:pPr>
        <w:pStyle w:val="BodyText"/>
        <w:rPr>
          <w:rFonts w:ascii="Verdana" w:hAnsi="Verdana"/>
          <w:b/>
        </w:rPr>
      </w:pPr>
    </w:p>
    <w:p w14:paraId="01E52EC4" w14:textId="77777777" w:rsidR="008715BE" w:rsidRPr="00EC75B7" w:rsidRDefault="008715BE">
      <w:pPr>
        <w:pStyle w:val="BodyText"/>
        <w:rPr>
          <w:rFonts w:ascii="Verdana" w:hAnsi="Verdana"/>
          <w:b/>
        </w:rPr>
      </w:pPr>
    </w:p>
    <w:p w14:paraId="503FB80B" w14:textId="77777777" w:rsidR="008715BE" w:rsidRPr="00EC75B7" w:rsidRDefault="008715BE">
      <w:pPr>
        <w:pStyle w:val="BodyText"/>
        <w:rPr>
          <w:rFonts w:ascii="Verdana" w:hAnsi="Verdana"/>
          <w:b/>
        </w:rPr>
      </w:pPr>
    </w:p>
    <w:p w14:paraId="37846999" w14:textId="77777777" w:rsidR="008715BE" w:rsidRPr="00EC75B7" w:rsidRDefault="00000000">
      <w:pPr>
        <w:ind w:left="1564"/>
        <w:rPr>
          <w:rFonts w:ascii="Verdana" w:hAnsi="Verdana"/>
          <w:b/>
          <w:sz w:val="18"/>
          <w:szCs w:val="18"/>
        </w:rPr>
      </w:pPr>
      <w:r w:rsidRPr="00EC75B7">
        <w:rPr>
          <w:rFonts w:ascii="Verdana" w:hAnsi="Verdana"/>
          <w:b/>
          <w:spacing w:val="-2"/>
          <w:sz w:val="18"/>
          <w:szCs w:val="18"/>
        </w:rPr>
        <w:t>Review – STAGE 1 (adaptation)</w:t>
      </w:r>
    </w:p>
    <w:p w14:paraId="6DD3D6C4" w14:textId="77777777" w:rsidR="008715BE" w:rsidRPr="00EC75B7" w:rsidRDefault="008715BE">
      <w:pPr>
        <w:pStyle w:val="BodyText"/>
        <w:spacing w:before="89"/>
        <w:rPr>
          <w:rFonts w:ascii="Verdana" w:hAnsi="Verdana"/>
          <w:b/>
        </w:rPr>
      </w:pPr>
    </w:p>
    <w:p w14:paraId="72E30247" w14:textId="77777777" w:rsidR="008715BE" w:rsidRPr="00EC75B7" w:rsidRDefault="00000000">
      <w:pPr>
        <w:tabs>
          <w:tab w:val="left" w:pos="1573"/>
        </w:tabs>
        <w:spacing w:line="316" w:lineRule="auto"/>
        <w:ind w:left="1573" w:right="38" w:hanging="1422"/>
        <w:jc w:val="both"/>
        <w:rPr>
          <w:rFonts w:ascii="Verdana" w:hAnsi="Verdana"/>
          <w:sz w:val="18"/>
          <w:szCs w:val="18"/>
        </w:rPr>
      </w:pPr>
      <w:r w:rsidRPr="00EC75B7">
        <w:rPr>
          <w:rFonts w:ascii="Verdana" w:hAnsi="Verdana"/>
          <w:b/>
          <w:color w:val="00AF50"/>
          <w:spacing w:val="-6"/>
          <w:position w:val="10"/>
          <w:sz w:val="18"/>
          <w:szCs w:val="18"/>
        </w:rPr>
        <w:t>NO</w:t>
      </w:r>
      <w:r w:rsidRPr="00EC75B7">
        <w:rPr>
          <w:rFonts w:ascii="Verdana" w:hAnsi="Verdana"/>
          <w:b/>
          <w:color w:val="00AF50"/>
          <w:position w:val="10"/>
          <w:sz w:val="18"/>
          <w:szCs w:val="18"/>
        </w:rPr>
        <w:tab/>
      </w:r>
      <w:r w:rsidRPr="00EC75B7">
        <w:rPr>
          <w:rFonts w:ascii="Verdana" w:hAnsi="Verdana"/>
          <w:sz w:val="18"/>
          <w:szCs w:val="18"/>
        </w:rPr>
        <w:t>Based on sensitivity, exposure, and vulnerability analysis, there are climate risks to the project that warrant detailed analysis</w:t>
      </w:r>
    </w:p>
    <w:p w14:paraId="09DB5F59" w14:textId="77777777" w:rsidR="008715BE" w:rsidRPr="00EC75B7" w:rsidRDefault="00000000">
      <w:pPr>
        <w:spacing w:before="109" w:line="324" w:lineRule="auto"/>
        <w:ind w:left="152" w:right="94"/>
        <w:jc w:val="both"/>
        <w:rPr>
          <w:rFonts w:ascii="Verdana" w:hAnsi="Verdana"/>
          <w:sz w:val="18"/>
          <w:szCs w:val="18"/>
        </w:rPr>
      </w:pPr>
      <w:r w:rsidRPr="00EC75B7">
        <w:rPr>
          <w:rFonts w:ascii="Verdana" w:hAnsi="Verdana"/>
          <w:sz w:val="18"/>
          <w:szCs w:val="18"/>
        </w:rPr>
        <w:br w:type="column"/>
      </w:r>
      <w:r w:rsidRPr="00EC75B7">
        <w:rPr>
          <w:rFonts w:ascii="Verdana" w:hAnsi="Verdana"/>
          <w:sz w:val="18"/>
          <w:szCs w:val="18"/>
        </w:rPr>
        <w:t>Climate risk assessment, including analysis of probability of occurrence and impact</w:t>
      </w:r>
    </w:p>
    <w:p w14:paraId="3FE58F0E" w14:textId="77777777" w:rsidR="008715BE" w:rsidRPr="00EC75B7" w:rsidRDefault="008715BE">
      <w:pPr>
        <w:pStyle w:val="BodyText"/>
        <w:rPr>
          <w:rFonts w:ascii="Verdana" w:hAnsi="Verdana"/>
        </w:rPr>
      </w:pPr>
    </w:p>
    <w:p w14:paraId="64ADEEFD" w14:textId="77777777" w:rsidR="008715BE" w:rsidRPr="00EC75B7" w:rsidRDefault="008715BE">
      <w:pPr>
        <w:pStyle w:val="BodyText"/>
        <w:rPr>
          <w:rFonts w:ascii="Verdana" w:hAnsi="Verdana"/>
        </w:rPr>
      </w:pPr>
    </w:p>
    <w:p w14:paraId="7FB6571E" w14:textId="77777777" w:rsidR="008715BE" w:rsidRPr="00EC75B7" w:rsidRDefault="008715BE">
      <w:pPr>
        <w:pStyle w:val="BodyText"/>
        <w:spacing w:before="15"/>
        <w:rPr>
          <w:rFonts w:ascii="Verdana" w:hAnsi="Verdana"/>
        </w:rPr>
      </w:pPr>
    </w:p>
    <w:p w14:paraId="113919BB" w14:textId="77777777" w:rsidR="008715BE" w:rsidRPr="00EC75B7" w:rsidRDefault="00000000">
      <w:pPr>
        <w:spacing w:line="319" w:lineRule="auto"/>
        <w:ind w:left="157" w:right="114"/>
        <w:jc w:val="both"/>
        <w:rPr>
          <w:rFonts w:ascii="Verdana" w:hAnsi="Verdana"/>
          <w:sz w:val="18"/>
          <w:szCs w:val="18"/>
        </w:rPr>
      </w:pPr>
      <w:r w:rsidRPr="00EC75B7">
        <w:rPr>
          <w:rFonts w:ascii="Verdana" w:hAnsi="Verdana"/>
          <w:sz w:val="18"/>
          <w:szCs w:val="18"/>
        </w:rPr>
        <w:t>Addressing significant climate risks by identifying, assessing, planning, and implementing relevant adaptation measures</w:t>
      </w:r>
    </w:p>
    <w:p w14:paraId="569CC9EA" w14:textId="77777777" w:rsidR="008715BE" w:rsidRPr="00EC75B7" w:rsidRDefault="008715BE">
      <w:pPr>
        <w:spacing w:line="319" w:lineRule="auto"/>
        <w:jc w:val="both"/>
        <w:rPr>
          <w:rFonts w:ascii="Verdana" w:hAnsi="Verdana"/>
          <w:sz w:val="18"/>
          <w:szCs w:val="18"/>
        </w:rPr>
        <w:sectPr w:rsidR="008715BE" w:rsidRPr="00EC75B7">
          <w:type w:val="continuous"/>
          <w:pgSz w:w="16840" w:h="11910" w:orient="landscape"/>
          <w:pgMar w:top="1280" w:right="1417" w:bottom="280" w:left="1417" w:header="0" w:footer="745" w:gutter="0"/>
          <w:cols w:num="2" w:space="708" w:equalWidth="0">
            <w:col w:w="6534" w:space="2299"/>
            <w:col w:w="5173" w:space="0"/>
          </w:cols>
        </w:sectPr>
      </w:pPr>
    </w:p>
    <w:p w14:paraId="57FAEB93" w14:textId="77777777" w:rsidR="008715BE" w:rsidRPr="00EC75B7" w:rsidRDefault="008715BE">
      <w:pPr>
        <w:pStyle w:val="BodyText"/>
        <w:spacing w:before="1"/>
        <w:rPr>
          <w:rFonts w:ascii="Verdana" w:hAnsi="Verdana"/>
        </w:rPr>
      </w:pPr>
    </w:p>
    <w:p w14:paraId="502C50E0" w14:textId="77777777" w:rsidR="008715BE" w:rsidRPr="00EC75B7" w:rsidRDefault="008715BE">
      <w:pPr>
        <w:pStyle w:val="BodyText"/>
        <w:rPr>
          <w:rFonts w:ascii="Verdana" w:hAnsi="Verdana"/>
        </w:rPr>
        <w:sectPr w:rsidR="008715BE" w:rsidRPr="00EC75B7">
          <w:type w:val="continuous"/>
          <w:pgSz w:w="16840" w:h="11910" w:orient="landscape"/>
          <w:pgMar w:top="1280" w:right="1417" w:bottom="280" w:left="1417" w:header="0" w:footer="745" w:gutter="0"/>
          <w:cols w:space="708"/>
        </w:sectPr>
      </w:pPr>
    </w:p>
    <w:p w14:paraId="4F277F7C" w14:textId="77777777" w:rsidR="008715BE" w:rsidRPr="00EC75B7" w:rsidRDefault="008715BE">
      <w:pPr>
        <w:pStyle w:val="BodyText"/>
        <w:rPr>
          <w:rFonts w:ascii="Verdana" w:hAnsi="Verdana"/>
        </w:rPr>
      </w:pPr>
    </w:p>
    <w:p w14:paraId="39529748" w14:textId="77777777" w:rsidR="008715BE" w:rsidRPr="00EC75B7" w:rsidRDefault="008715BE">
      <w:pPr>
        <w:pStyle w:val="BodyText"/>
        <w:rPr>
          <w:rFonts w:ascii="Verdana" w:hAnsi="Verdana"/>
        </w:rPr>
      </w:pPr>
    </w:p>
    <w:p w14:paraId="308279D4" w14:textId="77777777" w:rsidR="008715BE" w:rsidRPr="00EC75B7" w:rsidRDefault="008715BE">
      <w:pPr>
        <w:pStyle w:val="BodyText"/>
        <w:rPr>
          <w:rFonts w:ascii="Verdana" w:hAnsi="Verdana"/>
        </w:rPr>
      </w:pPr>
    </w:p>
    <w:p w14:paraId="1888773C" w14:textId="77777777" w:rsidR="008715BE" w:rsidRPr="00EC75B7" w:rsidRDefault="008715BE">
      <w:pPr>
        <w:pStyle w:val="BodyText"/>
        <w:rPr>
          <w:rFonts w:ascii="Verdana" w:hAnsi="Verdana"/>
        </w:rPr>
      </w:pPr>
    </w:p>
    <w:p w14:paraId="4652FBA2" w14:textId="77777777" w:rsidR="008715BE" w:rsidRPr="00EC75B7" w:rsidRDefault="008715BE">
      <w:pPr>
        <w:pStyle w:val="BodyText"/>
        <w:rPr>
          <w:rFonts w:ascii="Verdana" w:hAnsi="Verdana"/>
        </w:rPr>
      </w:pPr>
    </w:p>
    <w:p w14:paraId="788C5096" w14:textId="77777777" w:rsidR="008715BE" w:rsidRPr="00EC75B7" w:rsidRDefault="008715BE">
      <w:pPr>
        <w:pStyle w:val="BodyText"/>
        <w:spacing w:before="94"/>
        <w:rPr>
          <w:rFonts w:ascii="Verdana" w:hAnsi="Verdana"/>
        </w:rPr>
      </w:pPr>
    </w:p>
    <w:p w14:paraId="39FC896C" w14:textId="0CDB28F8" w:rsidR="008715BE" w:rsidRPr="00EC75B7" w:rsidRDefault="00791B3F">
      <w:pPr>
        <w:spacing w:line="319" w:lineRule="auto"/>
        <w:ind w:left="856" w:right="38"/>
        <w:rPr>
          <w:rFonts w:ascii="Verdana" w:hAnsi="Verdana"/>
          <w:sz w:val="18"/>
          <w:szCs w:val="18"/>
        </w:rPr>
      </w:pPr>
      <w:r>
        <w:rPr>
          <w:rFonts w:ascii="Verdana" w:hAnsi="Verdana"/>
          <w:color w:val="00AF50"/>
          <w:spacing w:val="-2"/>
          <w:sz w:val="18"/>
          <w:szCs w:val="18"/>
        </w:rPr>
        <w:t xml:space="preserve">                  </w:t>
      </w:r>
    </w:p>
    <w:p w14:paraId="2830C2B0" w14:textId="77777777" w:rsidR="008715BE" w:rsidRPr="00EC75B7" w:rsidRDefault="00000000">
      <w:pPr>
        <w:spacing w:before="110" w:line="319" w:lineRule="auto"/>
        <w:ind w:left="856" w:right="125"/>
        <w:jc w:val="both"/>
        <w:rPr>
          <w:rFonts w:ascii="Verdana" w:hAnsi="Verdana"/>
          <w:sz w:val="18"/>
          <w:szCs w:val="18"/>
        </w:rPr>
      </w:pPr>
      <w:r w:rsidRPr="00EC75B7">
        <w:rPr>
          <w:rFonts w:ascii="Verdana" w:hAnsi="Verdana"/>
          <w:sz w:val="18"/>
          <w:szCs w:val="18"/>
        </w:rPr>
        <w:br w:type="column"/>
      </w:r>
      <w:r w:rsidRPr="00EC75B7">
        <w:rPr>
          <w:rFonts w:ascii="Verdana" w:hAnsi="Verdana"/>
          <w:sz w:val="18"/>
          <w:szCs w:val="18"/>
        </w:rPr>
        <w:t xml:space="preserve">Assessment of the scope and need for regular monitoring and follow-up, for example of critical assumptions regarding future </w:t>
      </w:r>
      <w:r w:rsidRPr="00EC75B7">
        <w:rPr>
          <w:rFonts w:ascii="Verdana" w:hAnsi="Verdana"/>
          <w:spacing w:val="-2"/>
          <w:sz w:val="18"/>
          <w:szCs w:val="18"/>
        </w:rPr>
        <w:t>climate</w:t>
      </w:r>
      <w:r w:rsidRPr="00EC75B7">
        <w:rPr>
          <w:rFonts w:ascii="Verdana" w:hAnsi="Verdana"/>
          <w:sz w:val="18"/>
          <w:szCs w:val="18"/>
        </w:rPr>
        <w:t xml:space="preserve"> change</w:t>
      </w:r>
    </w:p>
    <w:p w14:paraId="71A9943B" w14:textId="77777777" w:rsidR="008715BE" w:rsidRPr="00EC75B7" w:rsidRDefault="008715BE">
      <w:pPr>
        <w:pStyle w:val="BodyText"/>
        <w:rPr>
          <w:rFonts w:ascii="Verdana" w:hAnsi="Verdana"/>
        </w:rPr>
      </w:pPr>
    </w:p>
    <w:p w14:paraId="11A8816A" w14:textId="77777777" w:rsidR="008715BE" w:rsidRPr="00EC75B7" w:rsidRDefault="008715BE">
      <w:pPr>
        <w:pStyle w:val="BodyText"/>
        <w:rPr>
          <w:rFonts w:ascii="Verdana" w:hAnsi="Verdana"/>
        </w:rPr>
      </w:pPr>
    </w:p>
    <w:p w14:paraId="08797B3B" w14:textId="77777777" w:rsidR="008715BE" w:rsidRPr="00EC75B7" w:rsidRDefault="008715BE">
      <w:pPr>
        <w:pStyle w:val="BodyText"/>
        <w:spacing w:before="16"/>
        <w:rPr>
          <w:rFonts w:ascii="Verdana" w:hAnsi="Verdana"/>
        </w:rPr>
      </w:pPr>
    </w:p>
    <w:p w14:paraId="377930FE" w14:textId="77777777" w:rsidR="008715BE" w:rsidRPr="00EC75B7" w:rsidRDefault="00000000">
      <w:pPr>
        <w:spacing w:line="319" w:lineRule="auto"/>
        <w:ind w:left="882" w:right="141"/>
        <w:jc w:val="both"/>
        <w:rPr>
          <w:rFonts w:ascii="Verdana" w:hAnsi="Verdana"/>
          <w:sz w:val="18"/>
          <w:szCs w:val="18"/>
        </w:rPr>
      </w:pPr>
      <w:r w:rsidRPr="00EC75B7">
        <w:rPr>
          <w:rFonts w:ascii="Verdana" w:hAnsi="Verdana"/>
          <w:sz w:val="18"/>
          <w:szCs w:val="18"/>
        </w:rPr>
        <w:t>Verification of consistency with EU and, where appropriate, national, regional, and local strategies and plans on adaptation to climate change</w:t>
      </w:r>
    </w:p>
    <w:p w14:paraId="3F5960B5" w14:textId="77777777" w:rsidR="008715BE" w:rsidRPr="00EC75B7" w:rsidRDefault="008715BE">
      <w:pPr>
        <w:spacing w:line="319" w:lineRule="auto"/>
        <w:jc w:val="both"/>
        <w:rPr>
          <w:rFonts w:ascii="Verdana" w:hAnsi="Verdana"/>
          <w:sz w:val="18"/>
          <w:szCs w:val="18"/>
        </w:rPr>
        <w:sectPr w:rsidR="008715BE" w:rsidRPr="00EC75B7">
          <w:type w:val="continuous"/>
          <w:pgSz w:w="16840" w:h="11910" w:orient="landscape"/>
          <w:pgMar w:top="1280" w:right="1417" w:bottom="280" w:left="1417" w:header="0" w:footer="745" w:gutter="0"/>
          <w:cols w:num="2" w:space="708" w:equalWidth="0">
            <w:col w:w="2574" w:space="5591"/>
            <w:col w:w="5841" w:space="0"/>
          </w:cols>
        </w:sectPr>
      </w:pPr>
    </w:p>
    <w:p w14:paraId="6E60353E" w14:textId="77777777" w:rsidR="00E90322" w:rsidRDefault="00E90322">
      <w:pPr>
        <w:pStyle w:val="BodyText"/>
        <w:rPr>
          <w:rFonts w:ascii="Verdana" w:hAnsi="Verdana"/>
          <w:color w:val="00AF50"/>
          <w:spacing w:val="-2"/>
        </w:rPr>
      </w:pPr>
      <w:r>
        <w:rPr>
          <w:rFonts w:ascii="Verdana" w:hAnsi="Verdana"/>
          <w:color w:val="00AF50"/>
          <w:spacing w:val="-2"/>
        </w:rPr>
        <w:t xml:space="preserve">  </w:t>
      </w:r>
    </w:p>
    <w:p w14:paraId="7941FA6B" w14:textId="77777777" w:rsidR="00E90322" w:rsidRDefault="00E90322">
      <w:pPr>
        <w:pStyle w:val="BodyText"/>
        <w:rPr>
          <w:rFonts w:ascii="Verdana" w:hAnsi="Verdana"/>
          <w:color w:val="00AF50"/>
          <w:spacing w:val="-2"/>
        </w:rPr>
      </w:pPr>
    </w:p>
    <w:p w14:paraId="35D82810" w14:textId="77777777" w:rsidR="00E90322" w:rsidRDefault="00E90322">
      <w:pPr>
        <w:pStyle w:val="BodyText"/>
        <w:rPr>
          <w:rFonts w:ascii="Verdana" w:hAnsi="Verdana"/>
          <w:color w:val="00AF50"/>
          <w:spacing w:val="-2"/>
        </w:rPr>
      </w:pPr>
    </w:p>
    <w:p w14:paraId="688F6A13" w14:textId="77777777" w:rsidR="000B67C7" w:rsidRDefault="00E90322" w:rsidP="00E90322">
      <w:pPr>
        <w:pStyle w:val="BodyText"/>
        <w:rPr>
          <w:rFonts w:ascii="Verdana" w:hAnsi="Verdana"/>
          <w:color w:val="00AF50"/>
          <w:spacing w:val="-2"/>
        </w:rPr>
      </w:pPr>
      <w:r>
        <w:rPr>
          <w:rFonts w:ascii="Verdana" w:hAnsi="Verdana"/>
          <w:color w:val="00AF50"/>
          <w:spacing w:val="-2"/>
        </w:rPr>
        <w:t xml:space="preserve">                                 </w:t>
      </w:r>
    </w:p>
    <w:p w14:paraId="56A351FC" w14:textId="77777777" w:rsidR="000B67C7" w:rsidRDefault="000B67C7" w:rsidP="00E90322">
      <w:pPr>
        <w:pStyle w:val="BodyText"/>
        <w:rPr>
          <w:rFonts w:ascii="Verdana" w:hAnsi="Verdana"/>
          <w:color w:val="00AF50"/>
          <w:spacing w:val="-2"/>
        </w:rPr>
      </w:pPr>
    </w:p>
    <w:p w14:paraId="62DFD0D3" w14:textId="2D069556" w:rsidR="008715BE" w:rsidRPr="00EC75B7" w:rsidRDefault="000B67C7" w:rsidP="000B67C7">
      <w:pPr>
        <w:pStyle w:val="BodyText"/>
        <w:rPr>
          <w:rFonts w:ascii="Verdana" w:hAnsi="Verdana"/>
        </w:rPr>
      </w:pPr>
      <w:bookmarkStart w:id="134" w:name="_Hlk221111299"/>
      <w:r>
        <w:rPr>
          <w:rFonts w:ascii="Verdana" w:hAnsi="Verdana"/>
          <w:color w:val="00AF50"/>
          <w:spacing w:val="-2"/>
        </w:rPr>
        <w:t xml:space="preserve">                              </w:t>
      </w:r>
      <w:r w:rsidR="00E90322">
        <w:rPr>
          <w:rFonts w:ascii="Verdana" w:hAnsi="Verdana"/>
          <w:color w:val="00AF50"/>
          <w:spacing w:val="-2"/>
        </w:rPr>
        <w:t xml:space="preserve"> </w:t>
      </w:r>
      <w:r w:rsidR="00E90322" w:rsidRPr="00EC75B7">
        <w:rPr>
          <w:rFonts w:ascii="Verdana" w:hAnsi="Verdana"/>
          <w:color w:val="00AF50"/>
          <w:spacing w:val="-2"/>
        </w:rPr>
        <w:t xml:space="preserve">Documentation </w:t>
      </w:r>
      <w:r w:rsidR="00E90322" w:rsidRPr="00EC75B7">
        <w:rPr>
          <w:rFonts w:ascii="Verdana" w:hAnsi="Verdana"/>
          <w:color w:val="00AF50"/>
        </w:rPr>
        <w:t xml:space="preserve">of the review of climate </w:t>
      </w:r>
      <w:bookmarkEnd w:id="133"/>
      <w:r w:rsidR="00E90322" w:rsidRPr="00EC75B7">
        <w:rPr>
          <w:rFonts w:ascii="Verdana" w:hAnsi="Verdana"/>
          <w:color w:val="00AF50"/>
        </w:rPr>
        <w:t>change resilience</w:t>
      </w:r>
      <w:r w:rsidR="00E90322" w:rsidRPr="00EC75B7">
        <w:rPr>
          <w:rFonts w:ascii="Verdana" w:hAnsi="Verdana"/>
          <w:noProof/>
        </w:rPr>
        <w:t xml:space="preserve"> </w:t>
      </w:r>
    </w:p>
    <w:bookmarkEnd w:id="134"/>
    <w:p w14:paraId="6048E6DF" w14:textId="77777777" w:rsidR="008715BE" w:rsidRPr="00EC75B7" w:rsidRDefault="008715BE" w:rsidP="00E90322">
      <w:pPr>
        <w:spacing w:line="193" w:lineRule="exact"/>
        <w:rPr>
          <w:rFonts w:ascii="Verdana" w:hAnsi="Verdana"/>
          <w:sz w:val="18"/>
          <w:szCs w:val="18"/>
        </w:rPr>
        <w:sectPr w:rsidR="008715BE" w:rsidRPr="00EC75B7">
          <w:type w:val="continuous"/>
          <w:pgSz w:w="16840" w:h="11910" w:orient="landscape"/>
          <w:pgMar w:top="1280" w:right="1417" w:bottom="280" w:left="1417" w:header="0" w:footer="745" w:gutter="0"/>
          <w:cols w:space="708"/>
        </w:sectPr>
      </w:pPr>
    </w:p>
    <w:p w14:paraId="67CDD6AC" w14:textId="77777777" w:rsidR="008715BE" w:rsidRPr="00EC75B7" w:rsidRDefault="00000000">
      <w:pPr>
        <w:spacing w:before="99"/>
        <w:ind w:left="57"/>
        <w:jc w:val="both"/>
        <w:rPr>
          <w:rFonts w:ascii="Verdana" w:hAnsi="Verdana"/>
          <w:sz w:val="18"/>
          <w:szCs w:val="18"/>
        </w:rPr>
      </w:pPr>
      <w:r w:rsidRPr="00EC75B7">
        <w:rPr>
          <w:rFonts w:ascii="Verdana" w:hAnsi="Verdana"/>
          <w:b/>
          <w:color w:val="009DEF"/>
          <w:spacing w:val="-2"/>
          <w:sz w:val="18"/>
          <w:szCs w:val="18"/>
        </w:rPr>
        <w:lastRenderedPageBreak/>
        <w:t xml:space="preserve">Stage 1 (Review) </w:t>
      </w:r>
      <w:r w:rsidRPr="00EC75B7">
        <w:rPr>
          <w:rFonts w:ascii="Verdana" w:hAnsi="Verdana"/>
          <w:spacing w:val="-2"/>
          <w:sz w:val="18"/>
          <w:szCs w:val="18"/>
        </w:rPr>
        <w:t>- the analysis is divided into</w:t>
      </w:r>
      <w:r w:rsidRPr="00EC75B7">
        <w:rPr>
          <w:rFonts w:ascii="Verdana" w:hAnsi="Verdana"/>
          <w:spacing w:val="-10"/>
          <w:sz w:val="18"/>
          <w:szCs w:val="18"/>
        </w:rPr>
        <w:t>:</w:t>
      </w:r>
    </w:p>
    <w:p w14:paraId="5EB16045" w14:textId="77777777" w:rsidR="008715BE" w:rsidRPr="00EC75B7" w:rsidRDefault="008715BE">
      <w:pPr>
        <w:pStyle w:val="BodyText"/>
        <w:spacing w:before="10"/>
        <w:rPr>
          <w:rFonts w:ascii="Verdana" w:hAnsi="Verdana"/>
        </w:rPr>
      </w:pPr>
    </w:p>
    <w:p w14:paraId="55C72476" w14:textId="77777777" w:rsidR="008715BE" w:rsidRPr="00EC75B7" w:rsidRDefault="00000000">
      <w:pPr>
        <w:pStyle w:val="ListParagraph"/>
        <w:numPr>
          <w:ilvl w:val="0"/>
          <w:numId w:val="22"/>
        </w:numPr>
        <w:tabs>
          <w:tab w:val="left" w:pos="984"/>
        </w:tabs>
        <w:rPr>
          <w:rFonts w:ascii="Verdana" w:hAnsi="Verdana"/>
          <w:sz w:val="18"/>
          <w:szCs w:val="18"/>
        </w:rPr>
      </w:pPr>
      <w:r w:rsidRPr="00EC75B7">
        <w:rPr>
          <w:rFonts w:ascii="Verdana" w:hAnsi="Verdana"/>
          <w:spacing w:val="-2"/>
          <w:sz w:val="18"/>
          <w:szCs w:val="18"/>
        </w:rPr>
        <w:t xml:space="preserve">Sensitivity </w:t>
      </w:r>
      <w:r w:rsidRPr="00EC75B7">
        <w:rPr>
          <w:rFonts w:ascii="Verdana" w:hAnsi="Verdana"/>
          <w:sz w:val="18"/>
          <w:szCs w:val="18"/>
        </w:rPr>
        <w:t>Analysis</w:t>
      </w:r>
      <w:r w:rsidRPr="00EC75B7">
        <w:rPr>
          <w:rFonts w:ascii="Verdana" w:hAnsi="Verdana"/>
          <w:spacing w:val="-2"/>
          <w:sz w:val="18"/>
          <w:szCs w:val="18"/>
        </w:rPr>
        <w:t>;</w:t>
      </w:r>
    </w:p>
    <w:p w14:paraId="53CEA433" w14:textId="77777777" w:rsidR="008715BE" w:rsidRPr="00EC75B7" w:rsidRDefault="00000000">
      <w:pPr>
        <w:pStyle w:val="ListParagraph"/>
        <w:numPr>
          <w:ilvl w:val="0"/>
          <w:numId w:val="22"/>
        </w:numPr>
        <w:tabs>
          <w:tab w:val="left" w:pos="984"/>
        </w:tabs>
        <w:spacing w:before="107"/>
        <w:rPr>
          <w:rFonts w:ascii="Verdana" w:hAnsi="Verdana"/>
          <w:sz w:val="18"/>
          <w:szCs w:val="18"/>
        </w:rPr>
      </w:pPr>
      <w:r w:rsidRPr="00EC75B7">
        <w:rPr>
          <w:rFonts w:ascii="Verdana" w:hAnsi="Verdana"/>
          <w:spacing w:val="-2"/>
          <w:sz w:val="18"/>
          <w:szCs w:val="18"/>
        </w:rPr>
        <w:t xml:space="preserve">Risk </w:t>
      </w:r>
      <w:r w:rsidRPr="00EC75B7">
        <w:rPr>
          <w:rFonts w:ascii="Verdana" w:hAnsi="Verdana"/>
          <w:sz w:val="18"/>
          <w:szCs w:val="18"/>
        </w:rPr>
        <w:t>Exposure Assessment</w:t>
      </w:r>
      <w:r w:rsidRPr="00EC75B7">
        <w:rPr>
          <w:rFonts w:ascii="Verdana" w:hAnsi="Verdana"/>
          <w:spacing w:val="-2"/>
          <w:sz w:val="18"/>
          <w:szCs w:val="18"/>
        </w:rPr>
        <w:t>;</w:t>
      </w:r>
    </w:p>
    <w:p w14:paraId="397E107E" w14:textId="77777777" w:rsidR="008715BE" w:rsidRPr="00EC75B7" w:rsidRDefault="00000000">
      <w:pPr>
        <w:pStyle w:val="ListParagraph"/>
        <w:numPr>
          <w:ilvl w:val="0"/>
          <w:numId w:val="22"/>
        </w:numPr>
        <w:tabs>
          <w:tab w:val="left" w:pos="984"/>
        </w:tabs>
        <w:spacing w:before="109"/>
        <w:rPr>
          <w:rFonts w:ascii="Verdana" w:hAnsi="Verdana"/>
          <w:sz w:val="18"/>
          <w:szCs w:val="18"/>
        </w:rPr>
      </w:pPr>
      <w:r w:rsidRPr="00EC75B7">
        <w:rPr>
          <w:rFonts w:ascii="Verdana" w:hAnsi="Verdana"/>
          <w:spacing w:val="-2"/>
          <w:sz w:val="18"/>
          <w:szCs w:val="18"/>
        </w:rPr>
        <w:t xml:space="preserve">Vulnerability </w:t>
      </w:r>
      <w:r w:rsidRPr="00EC75B7">
        <w:rPr>
          <w:rFonts w:ascii="Verdana" w:hAnsi="Verdana"/>
          <w:sz w:val="18"/>
          <w:szCs w:val="18"/>
        </w:rPr>
        <w:t>Analysis</w:t>
      </w:r>
      <w:r w:rsidRPr="00EC75B7">
        <w:rPr>
          <w:rFonts w:ascii="Verdana" w:hAnsi="Verdana"/>
          <w:spacing w:val="-2"/>
          <w:sz w:val="18"/>
          <w:szCs w:val="18"/>
        </w:rPr>
        <w:t>;</w:t>
      </w:r>
    </w:p>
    <w:p w14:paraId="344B950E" w14:textId="77777777" w:rsidR="008715BE" w:rsidRPr="00EC75B7" w:rsidRDefault="00000000">
      <w:pPr>
        <w:pStyle w:val="BodyText"/>
        <w:spacing w:before="109" w:line="357" w:lineRule="auto"/>
        <w:ind w:left="57" w:right="714"/>
        <w:jc w:val="both"/>
        <w:rPr>
          <w:rFonts w:ascii="Verdana" w:hAnsi="Verdana"/>
        </w:rPr>
      </w:pPr>
      <w:r w:rsidRPr="00EC75B7">
        <w:rPr>
          <w:rFonts w:ascii="Verdana" w:hAnsi="Verdana"/>
        </w:rPr>
        <w:t>Regardless of the planned location of the project, the purpose of this stage is to assess the extent to which a type of infrastructure could be affected by a particular climate risk. This stage refers to the type of infrastructure proposed without taking into account the specific characteristics of the project location.</w:t>
      </w:r>
    </w:p>
    <w:p w14:paraId="52A20769" w14:textId="77777777" w:rsidR="008715BE" w:rsidRPr="00EC75B7" w:rsidRDefault="00000000">
      <w:pPr>
        <w:pStyle w:val="BodyText"/>
        <w:spacing w:before="122"/>
        <w:ind w:left="57"/>
        <w:jc w:val="both"/>
        <w:rPr>
          <w:rFonts w:ascii="Verdana" w:hAnsi="Verdana"/>
        </w:rPr>
      </w:pPr>
      <w:r w:rsidRPr="00EC75B7">
        <w:rPr>
          <w:rFonts w:ascii="Verdana" w:hAnsi="Verdana"/>
        </w:rPr>
        <w:t xml:space="preserve">If the sensitivity analysis of risk exposure and vulnerability assessment reveals climate </w:t>
      </w:r>
      <w:r w:rsidRPr="00EC75B7">
        <w:rPr>
          <w:rFonts w:ascii="Verdana" w:hAnsi="Verdana"/>
          <w:spacing w:val="-2"/>
        </w:rPr>
        <w:t>risks</w:t>
      </w:r>
    </w:p>
    <w:p w14:paraId="2D03325E" w14:textId="77777777" w:rsidR="008715BE" w:rsidRPr="00EC75B7" w:rsidRDefault="00000000">
      <w:pPr>
        <w:pStyle w:val="BodyText"/>
        <w:spacing w:before="109"/>
        <w:ind w:left="57"/>
        <w:jc w:val="both"/>
        <w:rPr>
          <w:rFonts w:ascii="Verdana" w:hAnsi="Verdana"/>
        </w:rPr>
      </w:pPr>
      <w:r w:rsidRPr="00EC75B7">
        <w:rPr>
          <w:rFonts w:ascii="Verdana" w:hAnsi="Verdana"/>
        </w:rPr>
        <w:t xml:space="preserve">(significant potential), then proceed to </w:t>
      </w:r>
      <w:r w:rsidRPr="00EC75B7">
        <w:rPr>
          <w:rFonts w:ascii="Verdana" w:hAnsi="Verdana"/>
          <w:b/>
        </w:rPr>
        <w:t>step</w:t>
      </w:r>
      <w:r w:rsidRPr="00EC75B7">
        <w:rPr>
          <w:rFonts w:ascii="Verdana" w:hAnsi="Verdana"/>
          <w:b/>
          <w:spacing w:val="-5"/>
        </w:rPr>
        <w:t xml:space="preserve"> 2</w:t>
      </w:r>
      <w:r w:rsidRPr="00EC75B7">
        <w:rPr>
          <w:rFonts w:ascii="Verdana" w:hAnsi="Verdana"/>
          <w:spacing w:val="-5"/>
        </w:rPr>
        <w:t>.</w:t>
      </w:r>
    </w:p>
    <w:p w14:paraId="6EB01736" w14:textId="77777777" w:rsidR="008715BE" w:rsidRPr="00EC75B7" w:rsidRDefault="008715BE">
      <w:pPr>
        <w:pStyle w:val="BodyText"/>
        <w:spacing w:before="6"/>
        <w:rPr>
          <w:rFonts w:ascii="Verdana" w:hAnsi="Verdana"/>
        </w:rPr>
      </w:pPr>
    </w:p>
    <w:p w14:paraId="7477755D" w14:textId="77777777" w:rsidR="008715BE" w:rsidRPr="00EC75B7" w:rsidRDefault="00000000">
      <w:pPr>
        <w:pStyle w:val="BodyText"/>
        <w:spacing w:before="1"/>
        <w:ind w:left="57"/>
        <w:jc w:val="both"/>
        <w:rPr>
          <w:rFonts w:ascii="Verdana" w:hAnsi="Verdana"/>
        </w:rPr>
      </w:pPr>
      <w:r w:rsidRPr="00EC75B7">
        <w:rPr>
          <w:rFonts w:ascii="Verdana" w:hAnsi="Verdana"/>
        </w:rPr>
        <w:t xml:space="preserve">The list of climate risks taken into account is presented in the </w:t>
      </w:r>
      <w:r w:rsidRPr="00EC75B7">
        <w:rPr>
          <w:rFonts w:ascii="Verdana" w:hAnsi="Verdana"/>
          <w:spacing w:val="-2"/>
        </w:rPr>
        <w:t xml:space="preserve">following </w:t>
      </w:r>
      <w:r w:rsidRPr="00EC75B7">
        <w:rPr>
          <w:rFonts w:ascii="Verdana" w:hAnsi="Verdana"/>
        </w:rPr>
        <w:t>table</w:t>
      </w:r>
      <w:r w:rsidRPr="00EC75B7">
        <w:rPr>
          <w:rFonts w:ascii="Verdana" w:hAnsi="Verdana"/>
          <w:spacing w:val="-2"/>
        </w:rPr>
        <w:t>.</w:t>
      </w:r>
    </w:p>
    <w:p w14:paraId="25DE6FA4" w14:textId="77777777" w:rsidR="008715BE" w:rsidRPr="00EC75B7" w:rsidRDefault="008715BE">
      <w:pPr>
        <w:pStyle w:val="BodyText"/>
        <w:spacing w:before="59"/>
        <w:rPr>
          <w:rFonts w:ascii="Verdana" w:hAnsi="Verdana"/>
        </w:rPr>
      </w:pPr>
    </w:p>
    <w:p w14:paraId="616DADFC"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67 List of </w:t>
      </w:r>
      <w:r w:rsidRPr="00EC75B7">
        <w:rPr>
          <w:rFonts w:ascii="Verdana" w:hAnsi="Verdana"/>
          <w:b/>
          <w:color w:val="00AFEF"/>
          <w:spacing w:val="-2"/>
          <w:sz w:val="18"/>
          <w:szCs w:val="18"/>
        </w:rPr>
        <w:t xml:space="preserve">climate </w:t>
      </w:r>
      <w:r w:rsidRPr="00EC75B7">
        <w:rPr>
          <w:rFonts w:ascii="Verdana" w:hAnsi="Verdana"/>
          <w:b/>
          <w:color w:val="00AFEF"/>
          <w:sz w:val="18"/>
          <w:szCs w:val="18"/>
        </w:rPr>
        <w:t>risks</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141"/>
        <w:gridCol w:w="1920"/>
      </w:tblGrid>
      <w:tr w:rsidR="008715BE" w:rsidRPr="00EC75B7" w14:paraId="6C8183CF" w14:textId="77777777">
        <w:trPr>
          <w:trHeight w:val="300"/>
        </w:trPr>
        <w:tc>
          <w:tcPr>
            <w:tcW w:w="7141" w:type="dxa"/>
            <w:shd w:val="clear" w:color="auto" w:fill="00AFEF"/>
          </w:tcPr>
          <w:p w14:paraId="47B87A5B" w14:textId="77777777" w:rsidR="008715BE" w:rsidRPr="00EC75B7" w:rsidRDefault="00000000">
            <w:pPr>
              <w:pStyle w:val="TableParagraph"/>
              <w:spacing w:before="105" w:line="175" w:lineRule="exact"/>
              <w:ind w:left="7"/>
              <w:jc w:val="center"/>
              <w:rPr>
                <w:rFonts w:ascii="Verdana" w:hAnsi="Verdana"/>
                <w:b/>
                <w:sz w:val="18"/>
                <w:szCs w:val="18"/>
              </w:rPr>
            </w:pPr>
            <w:r w:rsidRPr="00EC75B7">
              <w:rPr>
                <w:rFonts w:ascii="Verdana" w:hAnsi="Verdana"/>
                <w:b/>
                <w:color w:val="FFFFFF"/>
                <w:spacing w:val="-2"/>
                <w:sz w:val="18"/>
                <w:szCs w:val="18"/>
              </w:rPr>
              <w:t xml:space="preserve">Climate </w:t>
            </w:r>
            <w:r w:rsidRPr="00EC75B7">
              <w:rPr>
                <w:rFonts w:ascii="Verdana" w:hAnsi="Verdana"/>
                <w:b/>
                <w:color w:val="FFFFFF"/>
                <w:sz w:val="18"/>
                <w:szCs w:val="18"/>
              </w:rPr>
              <w:t>hazards</w:t>
            </w:r>
          </w:p>
        </w:tc>
        <w:tc>
          <w:tcPr>
            <w:tcW w:w="1920" w:type="dxa"/>
            <w:shd w:val="clear" w:color="auto" w:fill="00AFEF"/>
          </w:tcPr>
          <w:p w14:paraId="0B3ADEC9" w14:textId="77777777" w:rsidR="008715BE" w:rsidRPr="00EC75B7" w:rsidRDefault="00000000">
            <w:pPr>
              <w:pStyle w:val="TableParagraph"/>
              <w:spacing w:before="105" w:line="175" w:lineRule="exact"/>
              <w:ind w:left="280"/>
              <w:rPr>
                <w:rFonts w:ascii="Verdana" w:hAnsi="Verdana"/>
                <w:b/>
                <w:sz w:val="18"/>
                <w:szCs w:val="18"/>
              </w:rPr>
            </w:pPr>
            <w:r w:rsidRPr="00EC75B7">
              <w:rPr>
                <w:rFonts w:ascii="Verdana" w:hAnsi="Verdana"/>
                <w:b/>
                <w:color w:val="FFFFFF"/>
                <w:spacing w:val="-2"/>
                <w:sz w:val="18"/>
                <w:szCs w:val="18"/>
              </w:rPr>
              <w:t xml:space="preserve">Wind </w:t>
            </w:r>
            <w:r w:rsidRPr="00EC75B7">
              <w:rPr>
                <w:rFonts w:ascii="Verdana" w:hAnsi="Verdana"/>
                <w:b/>
                <w:color w:val="FFFFFF"/>
                <w:sz w:val="18"/>
                <w:szCs w:val="18"/>
              </w:rPr>
              <w:t>farms</w:t>
            </w:r>
          </w:p>
        </w:tc>
      </w:tr>
      <w:tr w:rsidR="008715BE" w:rsidRPr="00EC75B7" w14:paraId="0ABB6128" w14:textId="77777777">
        <w:trPr>
          <w:trHeight w:val="299"/>
        </w:trPr>
        <w:tc>
          <w:tcPr>
            <w:tcW w:w="9061" w:type="dxa"/>
            <w:gridSpan w:val="2"/>
            <w:shd w:val="clear" w:color="auto" w:fill="001F5F"/>
          </w:tcPr>
          <w:p w14:paraId="3FAA7E48" w14:textId="77777777" w:rsidR="008715BE" w:rsidRPr="00EC75B7" w:rsidRDefault="00000000">
            <w:pPr>
              <w:pStyle w:val="TableParagraph"/>
              <w:spacing w:before="105" w:line="175" w:lineRule="exact"/>
              <w:ind w:left="12" w:right="3"/>
              <w:jc w:val="center"/>
              <w:rPr>
                <w:rFonts w:ascii="Verdana" w:hAnsi="Verdana"/>
                <w:b/>
                <w:sz w:val="18"/>
                <w:szCs w:val="18"/>
              </w:rPr>
            </w:pPr>
            <w:r w:rsidRPr="00EC75B7">
              <w:rPr>
                <w:rFonts w:ascii="Verdana" w:hAnsi="Verdana"/>
                <w:b/>
                <w:color w:val="FFFFFF"/>
                <w:spacing w:val="-2"/>
                <w:sz w:val="18"/>
                <w:szCs w:val="18"/>
              </w:rPr>
              <w:t>CHRONIC</w:t>
            </w:r>
          </w:p>
        </w:tc>
      </w:tr>
      <w:tr w:rsidR="008715BE" w:rsidRPr="00EC75B7" w14:paraId="42A58DA8" w14:textId="77777777">
        <w:trPr>
          <w:trHeight w:val="270"/>
        </w:trPr>
        <w:tc>
          <w:tcPr>
            <w:tcW w:w="7141" w:type="dxa"/>
          </w:tcPr>
          <w:p w14:paraId="518AFC91" w14:textId="77777777" w:rsidR="008715BE" w:rsidRPr="00EC75B7" w:rsidRDefault="00000000">
            <w:pPr>
              <w:pStyle w:val="TableParagraph"/>
              <w:spacing w:before="76" w:line="175" w:lineRule="exact"/>
              <w:ind w:left="108"/>
              <w:rPr>
                <w:rFonts w:ascii="Verdana" w:hAnsi="Verdana"/>
                <w:sz w:val="18"/>
                <w:szCs w:val="18"/>
              </w:rPr>
            </w:pPr>
            <w:r w:rsidRPr="00EC75B7">
              <w:rPr>
                <w:rFonts w:ascii="Verdana" w:hAnsi="Verdana"/>
                <w:sz w:val="18"/>
                <w:szCs w:val="18"/>
              </w:rPr>
              <w:t xml:space="preserve">Temperature change/temperature </w:t>
            </w:r>
            <w:r w:rsidRPr="00EC75B7">
              <w:rPr>
                <w:rFonts w:ascii="Verdana" w:hAnsi="Verdana"/>
                <w:spacing w:val="-2"/>
                <w:sz w:val="18"/>
                <w:szCs w:val="18"/>
              </w:rPr>
              <w:t>variability</w:t>
            </w:r>
          </w:p>
        </w:tc>
        <w:tc>
          <w:tcPr>
            <w:tcW w:w="1920" w:type="dxa"/>
            <w:shd w:val="clear" w:color="auto" w:fill="C5DFB4"/>
          </w:tcPr>
          <w:p w14:paraId="5C0839FD" w14:textId="77777777" w:rsidR="008715BE" w:rsidRPr="00EC75B7" w:rsidRDefault="008715BE">
            <w:pPr>
              <w:pStyle w:val="TableParagraph"/>
              <w:rPr>
                <w:rFonts w:ascii="Verdana" w:hAnsi="Verdana"/>
                <w:sz w:val="18"/>
                <w:szCs w:val="18"/>
              </w:rPr>
            </w:pPr>
          </w:p>
        </w:tc>
      </w:tr>
      <w:tr w:rsidR="008715BE" w:rsidRPr="00EC75B7" w14:paraId="0829FFED" w14:textId="77777777">
        <w:trPr>
          <w:trHeight w:val="299"/>
        </w:trPr>
        <w:tc>
          <w:tcPr>
            <w:tcW w:w="7141" w:type="dxa"/>
          </w:tcPr>
          <w:p w14:paraId="64382B57"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 xml:space="preserve">Permafrost </w:t>
            </w:r>
            <w:r w:rsidRPr="00EC75B7">
              <w:rPr>
                <w:rFonts w:ascii="Verdana" w:hAnsi="Verdana"/>
                <w:sz w:val="18"/>
                <w:szCs w:val="18"/>
              </w:rPr>
              <w:t>thawing</w:t>
            </w:r>
          </w:p>
        </w:tc>
        <w:tc>
          <w:tcPr>
            <w:tcW w:w="1920" w:type="dxa"/>
            <w:shd w:val="clear" w:color="auto" w:fill="FFD44F"/>
          </w:tcPr>
          <w:p w14:paraId="59E3831E" w14:textId="77777777" w:rsidR="008715BE" w:rsidRPr="00EC75B7" w:rsidRDefault="008715BE">
            <w:pPr>
              <w:pStyle w:val="TableParagraph"/>
              <w:rPr>
                <w:rFonts w:ascii="Verdana" w:hAnsi="Verdana"/>
                <w:sz w:val="18"/>
                <w:szCs w:val="18"/>
              </w:rPr>
            </w:pPr>
          </w:p>
        </w:tc>
      </w:tr>
      <w:tr w:rsidR="008715BE" w:rsidRPr="00EC75B7" w14:paraId="7F753E16" w14:textId="77777777">
        <w:trPr>
          <w:trHeight w:val="299"/>
        </w:trPr>
        <w:tc>
          <w:tcPr>
            <w:tcW w:w="7141" w:type="dxa"/>
          </w:tcPr>
          <w:p w14:paraId="4E4BDB66"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Changing </w:t>
            </w:r>
            <w:r w:rsidRPr="00EC75B7">
              <w:rPr>
                <w:rFonts w:ascii="Verdana" w:hAnsi="Verdana"/>
                <w:spacing w:val="-4"/>
                <w:sz w:val="18"/>
                <w:szCs w:val="18"/>
              </w:rPr>
              <w:t xml:space="preserve">wind </w:t>
            </w:r>
            <w:r w:rsidRPr="00EC75B7">
              <w:rPr>
                <w:rFonts w:ascii="Verdana" w:hAnsi="Verdana"/>
                <w:sz w:val="18"/>
                <w:szCs w:val="18"/>
              </w:rPr>
              <w:t>patterns</w:t>
            </w:r>
          </w:p>
        </w:tc>
        <w:tc>
          <w:tcPr>
            <w:tcW w:w="1920" w:type="dxa"/>
            <w:shd w:val="clear" w:color="auto" w:fill="FFD44F"/>
          </w:tcPr>
          <w:p w14:paraId="4F2CA9A7" w14:textId="77777777" w:rsidR="008715BE" w:rsidRPr="00EC75B7" w:rsidRDefault="008715BE">
            <w:pPr>
              <w:pStyle w:val="TableParagraph"/>
              <w:rPr>
                <w:rFonts w:ascii="Verdana" w:hAnsi="Verdana"/>
                <w:sz w:val="18"/>
                <w:szCs w:val="18"/>
              </w:rPr>
            </w:pPr>
          </w:p>
        </w:tc>
      </w:tr>
      <w:tr w:rsidR="008715BE" w:rsidRPr="00EC75B7" w14:paraId="0D6B02F0" w14:textId="77777777">
        <w:trPr>
          <w:trHeight w:val="285"/>
        </w:trPr>
        <w:tc>
          <w:tcPr>
            <w:tcW w:w="7141" w:type="dxa"/>
          </w:tcPr>
          <w:p w14:paraId="4FDBCAB3" w14:textId="77777777" w:rsidR="008715BE" w:rsidRPr="00EC75B7" w:rsidRDefault="00000000">
            <w:pPr>
              <w:pStyle w:val="TableParagraph"/>
              <w:spacing w:before="90" w:line="175" w:lineRule="exact"/>
              <w:ind w:left="108"/>
              <w:rPr>
                <w:rFonts w:ascii="Verdana" w:hAnsi="Verdana"/>
                <w:sz w:val="18"/>
                <w:szCs w:val="18"/>
              </w:rPr>
            </w:pPr>
            <w:r w:rsidRPr="00EC75B7">
              <w:rPr>
                <w:rFonts w:ascii="Verdana" w:hAnsi="Verdana"/>
                <w:sz w:val="18"/>
                <w:szCs w:val="18"/>
              </w:rPr>
              <w:t xml:space="preserve">Precipitation pattern change/Precipitation or hydrological </w:t>
            </w:r>
            <w:r w:rsidRPr="00EC75B7">
              <w:rPr>
                <w:rFonts w:ascii="Verdana" w:hAnsi="Verdana"/>
                <w:spacing w:val="-2"/>
                <w:sz w:val="18"/>
                <w:szCs w:val="18"/>
              </w:rPr>
              <w:t>variability</w:t>
            </w:r>
          </w:p>
        </w:tc>
        <w:tc>
          <w:tcPr>
            <w:tcW w:w="1920" w:type="dxa"/>
            <w:shd w:val="clear" w:color="auto" w:fill="F1F1F1"/>
          </w:tcPr>
          <w:p w14:paraId="3DFC26D8" w14:textId="77777777" w:rsidR="008715BE" w:rsidRPr="00EC75B7" w:rsidRDefault="008715BE">
            <w:pPr>
              <w:pStyle w:val="TableParagraph"/>
              <w:rPr>
                <w:rFonts w:ascii="Verdana" w:hAnsi="Verdana"/>
                <w:sz w:val="18"/>
                <w:szCs w:val="18"/>
              </w:rPr>
            </w:pPr>
          </w:p>
        </w:tc>
      </w:tr>
      <w:tr w:rsidR="008715BE" w:rsidRPr="00EC75B7" w14:paraId="08E4FA06" w14:textId="77777777">
        <w:trPr>
          <w:trHeight w:val="299"/>
        </w:trPr>
        <w:tc>
          <w:tcPr>
            <w:tcW w:w="7141" w:type="dxa"/>
          </w:tcPr>
          <w:p w14:paraId="5D5C7C30"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Sea level rise; </w:t>
            </w:r>
            <w:r w:rsidRPr="00EC75B7">
              <w:rPr>
                <w:rFonts w:ascii="Verdana" w:hAnsi="Verdana"/>
                <w:spacing w:val="-2"/>
                <w:sz w:val="18"/>
                <w:szCs w:val="18"/>
              </w:rPr>
              <w:t xml:space="preserve">Saltwater </w:t>
            </w:r>
            <w:r w:rsidRPr="00EC75B7">
              <w:rPr>
                <w:rFonts w:ascii="Verdana" w:hAnsi="Verdana"/>
                <w:sz w:val="18"/>
                <w:szCs w:val="18"/>
              </w:rPr>
              <w:t>intrusion</w:t>
            </w:r>
          </w:p>
        </w:tc>
        <w:tc>
          <w:tcPr>
            <w:tcW w:w="1920" w:type="dxa"/>
            <w:shd w:val="clear" w:color="auto" w:fill="C5DFB4"/>
          </w:tcPr>
          <w:p w14:paraId="401536D2" w14:textId="77777777" w:rsidR="008715BE" w:rsidRPr="00EC75B7" w:rsidRDefault="008715BE">
            <w:pPr>
              <w:pStyle w:val="TableParagraph"/>
              <w:rPr>
                <w:rFonts w:ascii="Verdana" w:hAnsi="Verdana"/>
                <w:sz w:val="18"/>
                <w:szCs w:val="18"/>
              </w:rPr>
            </w:pPr>
          </w:p>
        </w:tc>
      </w:tr>
      <w:tr w:rsidR="008715BE" w:rsidRPr="00EC75B7" w14:paraId="08CC0F03" w14:textId="77777777">
        <w:trPr>
          <w:trHeight w:val="302"/>
        </w:trPr>
        <w:tc>
          <w:tcPr>
            <w:tcW w:w="7141" w:type="dxa"/>
          </w:tcPr>
          <w:p w14:paraId="53586297" w14:textId="77777777" w:rsidR="008715BE" w:rsidRPr="00EC75B7" w:rsidRDefault="00000000">
            <w:pPr>
              <w:pStyle w:val="TableParagraph"/>
              <w:spacing w:before="105" w:line="177" w:lineRule="exact"/>
              <w:ind w:left="108"/>
              <w:rPr>
                <w:rFonts w:ascii="Verdana" w:hAnsi="Verdana"/>
                <w:sz w:val="18"/>
                <w:szCs w:val="18"/>
              </w:rPr>
            </w:pPr>
            <w:r w:rsidRPr="00EC75B7">
              <w:rPr>
                <w:rFonts w:ascii="Verdana" w:hAnsi="Verdana"/>
                <w:sz w:val="18"/>
                <w:szCs w:val="18"/>
              </w:rPr>
              <w:t xml:space="preserve">Coastal </w:t>
            </w:r>
            <w:r w:rsidRPr="00EC75B7">
              <w:rPr>
                <w:rFonts w:ascii="Verdana" w:hAnsi="Verdana"/>
                <w:spacing w:val="-2"/>
                <w:sz w:val="18"/>
                <w:szCs w:val="18"/>
              </w:rPr>
              <w:t xml:space="preserve">erosion/soil </w:t>
            </w:r>
            <w:r w:rsidRPr="00EC75B7">
              <w:rPr>
                <w:rFonts w:ascii="Verdana" w:hAnsi="Verdana"/>
                <w:sz w:val="18"/>
                <w:szCs w:val="18"/>
              </w:rPr>
              <w:t>erosion</w:t>
            </w:r>
          </w:p>
        </w:tc>
        <w:tc>
          <w:tcPr>
            <w:tcW w:w="1920" w:type="dxa"/>
            <w:shd w:val="clear" w:color="auto" w:fill="C5DFB4"/>
          </w:tcPr>
          <w:p w14:paraId="00CB0D5B" w14:textId="77777777" w:rsidR="008715BE" w:rsidRPr="00EC75B7" w:rsidRDefault="008715BE">
            <w:pPr>
              <w:pStyle w:val="TableParagraph"/>
              <w:rPr>
                <w:rFonts w:ascii="Verdana" w:hAnsi="Verdana"/>
                <w:sz w:val="18"/>
                <w:szCs w:val="18"/>
              </w:rPr>
            </w:pPr>
          </w:p>
        </w:tc>
      </w:tr>
      <w:tr w:rsidR="008715BE" w:rsidRPr="00EC75B7" w14:paraId="25CF0AB6" w14:textId="77777777">
        <w:trPr>
          <w:trHeight w:val="299"/>
        </w:trPr>
        <w:tc>
          <w:tcPr>
            <w:tcW w:w="9061" w:type="dxa"/>
            <w:gridSpan w:val="2"/>
            <w:shd w:val="clear" w:color="auto" w:fill="001F5F"/>
          </w:tcPr>
          <w:p w14:paraId="1768AD5A" w14:textId="77777777" w:rsidR="008715BE" w:rsidRPr="00EC75B7" w:rsidRDefault="00000000">
            <w:pPr>
              <w:pStyle w:val="TableParagraph"/>
              <w:spacing w:before="105" w:line="175" w:lineRule="exact"/>
              <w:ind w:left="12"/>
              <w:jc w:val="center"/>
              <w:rPr>
                <w:rFonts w:ascii="Verdana" w:hAnsi="Verdana"/>
                <w:b/>
                <w:sz w:val="18"/>
                <w:szCs w:val="18"/>
              </w:rPr>
            </w:pPr>
            <w:r w:rsidRPr="00EC75B7">
              <w:rPr>
                <w:rFonts w:ascii="Verdana" w:hAnsi="Verdana"/>
                <w:b/>
                <w:color w:val="FFFFFF"/>
                <w:spacing w:val="-4"/>
                <w:sz w:val="18"/>
                <w:szCs w:val="18"/>
              </w:rPr>
              <w:t>ACUTE</w:t>
            </w:r>
          </w:p>
        </w:tc>
      </w:tr>
      <w:tr w:rsidR="008715BE" w:rsidRPr="00EC75B7" w14:paraId="7543359D" w14:textId="77777777">
        <w:trPr>
          <w:trHeight w:val="299"/>
        </w:trPr>
        <w:tc>
          <w:tcPr>
            <w:tcW w:w="7141" w:type="dxa"/>
          </w:tcPr>
          <w:p w14:paraId="12DA9C02"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 xml:space="preserve">Heat </w:t>
            </w:r>
            <w:r w:rsidRPr="00EC75B7">
              <w:rPr>
                <w:rFonts w:ascii="Verdana" w:hAnsi="Verdana"/>
                <w:sz w:val="18"/>
                <w:szCs w:val="18"/>
              </w:rPr>
              <w:t>wave</w:t>
            </w:r>
          </w:p>
        </w:tc>
        <w:tc>
          <w:tcPr>
            <w:tcW w:w="1920" w:type="dxa"/>
            <w:shd w:val="clear" w:color="auto" w:fill="C5DFB4"/>
          </w:tcPr>
          <w:p w14:paraId="679FB72D" w14:textId="77777777" w:rsidR="008715BE" w:rsidRPr="00EC75B7" w:rsidRDefault="008715BE">
            <w:pPr>
              <w:pStyle w:val="TableParagraph"/>
              <w:rPr>
                <w:rFonts w:ascii="Verdana" w:hAnsi="Verdana"/>
                <w:sz w:val="18"/>
                <w:szCs w:val="18"/>
              </w:rPr>
            </w:pPr>
          </w:p>
        </w:tc>
      </w:tr>
      <w:tr w:rsidR="008715BE" w:rsidRPr="00EC75B7" w14:paraId="7AA745A7" w14:textId="77777777">
        <w:trPr>
          <w:trHeight w:val="299"/>
        </w:trPr>
        <w:tc>
          <w:tcPr>
            <w:tcW w:w="7141" w:type="dxa"/>
          </w:tcPr>
          <w:p w14:paraId="2E6CBEB9"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Cold wave/frost</w:t>
            </w:r>
          </w:p>
        </w:tc>
        <w:tc>
          <w:tcPr>
            <w:tcW w:w="1920" w:type="dxa"/>
            <w:shd w:val="clear" w:color="auto" w:fill="FFD44F"/>
          </w:tcPr>
          <w:p w14:paraId="1CDD8E42" w14:textId="77777777" w:rsidR="008715BE" w:rsidRPr="00EC75B7" w:rsidRDefault="008715BE">
            <w:pPr>
              <w:pStyle w:val="TableParagraph"/>
              <w:rPr>
                <w:rFonts w:ascii="Verdana" w:hAnsi="Verdana"/>
                <w:sz w:val="18"/>
                <w:szCs w:val="18"/>
              </w:rPr>
            </w:pPr>
          </w:p>
        </w:tc>
      </w:tr>
      <w:tr w:rsidR="008715BE" w:rsidRPr="00EC75B7" w14:paraId="66DBD04E" w14:textId="77777777">
        <w:trPr>
          <w:trHeight w:val="299"/>
        </w:trPr>
        <w:tc>
          <w:tcPr>
            <w:tcW w:w="7141" w:type="dxa"/>
          </w:tcPr>
          <w:p w14:paraId="7E280309"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Fires</w:t>
            </w:r>
          </w:p>
        </w:tc>
        <w:tc>
          <w:tcPr>
            <w:tcW w:w="1920" w:type="dxa"/>
            <w:shd w:val="clear" w:color="auto" w:fill="F89D80"/>
          </w:tcPr>
          <w:p w14:paraId="60097BB6" w14:textId="77777777" w:rsidR="008715BE" w:rsidRPr="00EC75B7" w:rsidRDefault="008715BE">
            <w:pPr>
              <w:pStyle w:val="TableParagraph"/>
              <w:rPr>
                <w:rFonts w:ascii="Verdana" w:hAnsi="Verdana"/>
                <w:sz w:val="18"/>
                <w:szCs w:val="18"/>
              </w:rPr>
            </w:pPr>
          </w:p>
        </w:tc>
      </w:tr>
      <w:tr w:rsidR="008715BE" w:rsidRPr="00EC75B7" w14:paraId="5D745209" w14:textId="77777777">
        <w:trPr>
          <w:trHeight w:val="300"/>
        </w:trPr>
        <w:tc>
          <w:tcPr>
            <w:tcW w:w="7141" w:type="dxa"/>
          </w:tcPr>
          <w:p w14:paraId="19D31C5A"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 xml:space="preserve">Extreme wind (including storm, hurricane, </w:t>
            </w:r>
            <w:r w:rsidRPr="00EC75B7">
              <w:rPr>
                <w:rFonts w:ascii="Verdana" w:hAnsi="Verdana"/>
                <w:spacing w:val="-2"/>
                <w:sz w:val="18"/>
                <w:szCs w:val="18"/>
              </w:rPr>
              <w:t>tornado)</w:t>
            </w:r>
          </w:p>
        </w:tc>
        <w:tc>
          <w:tcPr>
            <w:tcW w:w="1920" w:type="dxa"/>
            <w:shd w:val="clear" w:color="auto" w:fill="FFD243"/>
          </w:tcPr>
          <w:p w14:paraId="52F35E45" w14:textId="77777777" w:rsidR="008715BE" w:rsidRPr="00EC75B7" w:rsidRDefault="008715BE">
            <w:pPr>
              <w:pStyle w:val="TableParagraph"/>
              <w:rPr>
                <w:rFonts w:ascii="Verdana" w:hAnsi="Verdana"/>
                <w:sz w:val="18"/>
                <w:szCs w:val="18"/>
              </w:rPr>
            </w:pPr>
          </w:p>
        </w:tc>
      </w:tr>
      <w:tr w:rsidR="008715BE" w:rsidRPr="00EC75B7" w14:paraId="382FD0F4" w14:textId="77777777">
        <w:trPr>
          <w:trHeight w:val="301"/>
        </w:trPr>
        <w:tc>
          <w:tcPr>
            <w:tcW w:w="7141" w:type="dxa"/>
          </w:tcPr>
          <w:p w14:paraId="527BFC5C" w14:textId="77777777" w:rsidR="008715BE" w:rsidRPr="00EC75B7" w:rsidRDefault="00000000">
            <w:pPr>
              <w:pStyle w:val="TableParagraph"/>
              <w:spacing w:before="105" w:line="177" w:lineRule="exact"/>
              <w:ind w:left="108"/>
              <w:rPr>
                <w:rFonts w:ascii="Verdana" w:hAnsi="Verdana"/>
                <w:sz w:val="18"/>
                <w:szCs w:val="18"/>
              </w:rPr>
            </w:pPr>
            <w:r w:rsidRPr="00EC75B7">
              <w:rPr>
                <w:rFonts w:ascii="Verdana" w:hAnsi="Verdana"/>
                <w:spacing w:val="-2"/>
                <w:sz w:val="18"/>
                <w:szCs w:val="18"/>
              </w:rPr>
              <w:t>Drought</w:t>
            </w:r>
          </w:p>
        </w:tc>
        <w:tc>
          <w:tcPr>
            <w:tcW w:w="1920" w:type="dxa"/>
            <w:shd w:val="clear" w:color="auto" w:fill="C5DFB4"/>
          </w:tcPr>
          <w:p w14:paraId="798D2E22" w14:textId="77777777" w:rsidR="008715BE" w:rsidRPr="00EC75B7" w:rsidRDefault="008715BE">
            <w:pPr>
              <w:pStyle w:val="TableParagraph"/>
              <w:rPr>
                <w:rFonts w:ascii="Verdana" w:hAnsi="Verdana"/>
                <w:sz w:val="18"/>
                <w:szCs w:val="18"/>
              </w:rPr>
            </w:pPr>
          </w:p>
        </w:tc>
      </w:tr>
      <w:tr w:rsidR="008715BE" w:rsidRPr="00EC75B7" w14:paraId="0755A4C2" w14:textId="77777777">
        <w:trPr>
          <w:trHeight w:val="299"/>
        </w:trPr>
        <w:tc>
          <w:tcPr>
            <w:tcW w:w="7141" w:type="dxa"/>
          </w:tcPr>
          <w:p w14:paraId="1D6FEB32"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pacing w:val="-2"/>
                <w:sz w:val="18"/>
                <w:szCs w:val="18"/>
              </w:rPr>
              <w:t xml:space="preserve">Flooding/Heavy </w:t>
            </w:r>
            <w:r w:rsidRPr="00EC75B7">
              <w:rPr>
                <w:rFonts w:ascii="Verdana" w:hAnsi="Verdana"/>
                <w:sz w:val="18"/>
                <w:szCs w:val="18"/>
              </w:rPr>
              <w:t>rainfall</w:t>
            </w:r>
          </w:p>
        </w:tc>
        <w:tc>
          <w:tcPr>
            <w:tcW w:w="1920" w:type="dxa"/>
            <w:shd w:val="clear" w:color="auto" w:fill="F89D80"/>
          </w:tcPr>
          <w:p w14:paraId="699EACBC" w14:textId="77777777" w:rsidR="008715BE" w:rsidRPr="00EC75B7" w:rsidRDefault="008715BE">
            <w:pPr>
              <w:pStyle w:val="TableParagraph"/>
              <w:rPr>
                <w:rFonts w:ascii="Verdana" w:hAnsi="Verdana"/>
                <w:sz w:val="18"/>
                <w:szCs w:val="18"/>
              </w:rPr>
            </w:pPr>
          </w:p>
        </w:tc>
      </w:tr>
      <w:tr w:rsidR="008715BE" w:rsidRPr="00EC75B7" w14:paraId="2315DC0A" w14:textId="77777777">
        <w:trPr>
          <w:trHeight w:val="299"/>
        </w:trPr>
        <w:tc>
          <w:tcPr>
            <w:tcW w:w="7141" w:type="dxa"/>
          </w:tcPr>
          <w:p w14:paraId="7B9E4EA3" w14:textId="77777777" w:rsidR="008715BE" w:rsidRPr="00EC75B7" w:rsidRDefault="00000000">
            <w:pPr>
              <w:pStyle w:val="TableParagraph"/>
              <w:spacing w:before="105" w:line="175" w:lineRule="exact"/>
              <w:ind w:left="108"/>
              <w:rPr>
                <w:rFonts w:ascii="Verdana" w:hAnsi="Verdana"/>
                <w:sz w:val="18"/>
                <w:szCs w:val="18"/>
              </w:rPr>
            </w:pPr>
            <w:r w:rsidRPr="00EC75B7">
              <w:rPr>
                <w:rFonts w:ascii="Verdana" w:hAnsi="Verdana"/>
                <w:sz w:val="18"/>
                <w:szCs w:val="18"/>
              </w:rPr>
              <w:t>Landslides/Avalanches</w:t>
            </w:r>
            <w:r w:rsidRPr="00EC75B7">
              <w:rPr>
                <w:rFonts w:ascii="Verdana" w:hAnsi="Verdana"/>
                <w:spacing w:val="-2"/>
                <w:sz w:val="18"/>
                <w:szCs w:val="18"/>
              </w:rPr>
              <w:t>/Subsidence</w:t>
            </w:r>
          </w:p>
        </w:tc>
        <w:tc>
          <w:tcPr>
            <w:tcW w:w="1920" w:type="dxa"/>
            <w:shd w:val="clear" w:color="auto" w:fill="FFD44F"/>
          </w:tcPr>
          <w:p w14:paraId="033BAAD8" w14:textId="77777777" w:rsidR="008715BE" w:rsidRPr="00EC75B7" w:rsidRDefault="008715BE">
            <w:pPr>
              <w:pStyle w:val="TableParagraph"/>
              <w:rPr>
                <w:rFonts w:ascii="Verdana" w:hAnsi="Verdana"/>
                <w:sz w:val="18"/>
                <w:szCs w:val="18"/>
              </w:rPr>
            </w:pPr>
          </w:p>
        </w:tc>
      </w:tr>
    </w:tbl>
    <w:p w14:paraId="18A72EA0" w14:textId="77777777" w:rsidR="008715BE" w:rsidRPr="00EC75B7" w:rsidRDefault="008715BE">
      <w:pPr>
        <w:pStyle w:val="BodyText"/>
        <w:rPr>
          <w:rFonts w:ascii="Verdana" w:hAnsi="Verdana"/>
          <w:b/>
        </w:rPr>
      </w:pPr>
    </w:p>
    <w:p w14:paraId="60B46313" w14:textId="77777777" w:rsidR="008715BE" w:rsidRPr="00EC75B7" w:rsidRDefault="008715BE">
      <w:pPr>
        <w:pStyle w:val="BodyText"/>
        <w:spacing w:before="65"/>
        <w:rPr>
          <w:rFonts w:ascii="Verdana" w:hAnsi="Verdana"/>
          <w:b/>
        </w:rPr>
      </w:pPr>
    </w:p>
    <w:p w14:paraId="0349BD87" w14:textId="77777777" w:rsidR="008715BE" w:rsidRPr="00EC75B7" w:rsidRDefault="00000000">
      <w:pPr>
        <w:spacing w:line="357" w:lineRule="auto"/>
        <w:ind w:left="57" w:right="704"/>
        <w:jc w:val="both"/>
        <w:rPr>
          <w:rFonts w:ascii="Verdana" w:hAnsi="Verdana"/>
          <w:sz w:val="18"/>
          <w:szCs w:val="18"/>
        </w:rPr>
      </w:pPr>
      <w:r w:rsidRPr="00EC75B7">
        <w:rPr>
          <w:rFonts w:ascii="Verdana" w:hAnsi="Verdana"/>
          <w:sz w:val="18"/>
          <w:szCs w:val="18"/>
        </w:rPr>
        <w:t xml:space="preserve">COMMISSION COMMUNICATION - </w:t>
      </w:r>
      <w:r w:rsidRPr="00EC75B7">
        <w:rPr>
          <w:rFonts w:ascii="Verdana" w:hAnsi="Verdana"/>
          <w:i/>
          <w:sz w:val="18"/>
          <w:szCs w:val="18"/>
        </w:rPr>
        <w:t xml:space="preserve">Technical guidance on climate-proofing infrastructure for 2021-2027 </w:t>
      </w:r>
      <w:r w:rsidRPr="00EC75B7">
        <w:rPr>
          <w:rFonts w:ascii="Verdana" w:hAnsi="Verdana"/>
          <w:sz w:val="18"/>
          <w:szCs w:val="18"/>
        </w:rPr>
        <w:t>(2021/C 373/01) recommends four categories of sensitivity scores, as presented in the table below.</w:t>
      </w:r>
    </w:p>
    <w:p w14:paraId="3EF88D8E" w14:textId="77777777" w:rsidR="008715BE" w:rsidRPr="00EC75B7" w:rsidRDefault="00000000">
      <w:pPr>
        <w:spacing w:before="173" w:after="7"/>
        <w:ind w:left="57"/>
        <w:jc w:val="both"/>
        <w:rPr>
          <w:rFonts w:ascii="Verdana" w:hAnsi="Verdana"/>
          <w:b/>
          <w:sz w:val="18"/>
          <w:szCs w:val="18"/>
        </w:rPr>
      </w:pPr>
      <w:r w:rsidRPr="00EC75B7">
        <w:rPr>
          <w:rFonts w:ascii="Verdana" w:hAnsi="Verdana"/>
          <w:b/>
          <w:color w:val="00AFEF"/>
          <w:sz w:val="18"/>
          <w:szCs w:val="18"/>
        </w:rPr>
        <w:t xml:space="preserve">Table 68 </w:t>
      </w:r>
      <w:r w:rsidRPr="00EC75B7">
        <w:rPr>
          <w:rFonts w:ascii="Verdana" w:hAnsi="Verdana"/>
          <w:b/>
          <w:color w:val="00AFEF"/>
          <w:spacing w:val="-2"/>
          <w:sz w:val="18"/>
          <w:szCs w:val="18"/>
        </w:rPr>
        <w:t xml:space="preserve">Sensitivity </w:t>
      </w:r>
      <w:r w:rsidRPr="00EC75B7">
        <w:rPr>
          <w:rFonts w:ascii="Verdana" w:hAnsi="Verdana"/>
          <w:b/>
          <w:color w:val="00AFEF"/>
          <w:sz w:val="18"/>
          <w:szCs w:val="18"/>
        </w:rPr>
        <w:t>scoring system</w:t>
      </w:r>
    </w:p>
    <w:tbl>
      <w:tblPr>
        <w:tblStyle w:val="TableNormal1"/>
        <w:tblW w:w="0" w:type="auto"/>
        <w:tblInd w:w="6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335"/>
        <w:gridCol w:w="955"/>
        <w:gridCol w:w="341"/>
        <w:gridCol w:w="7295"/>
      </w:tblGrid>
      <w:tr w:rsidR="008715BE" w:rsidRPr="00EC75B7" w14:paraId="518F52D3" w14:textId="77777777">
        <w:trPr>
          <w:trHeight w:val="283"/>
        </w:trPr>
        <w:tc>
          <w:tcPr>
            <w:tcW w:w="1335" w:type="dxa"/>
            <w:tcBorders>
              <w:top w:val="nil"/>
              <w:left w:val="nil"/>
              <w:right w:val="nil"/>
            </w:tcBorders>
            <w:shd w:val="clear" w:color="auto" w:fill="00AFEF"/>
          </w:tcPr>
          <w:p w14:paraId="605B4C30" w14:textId="77777777" w:rsidR="008715BE" w:rsidRPr="00EC75B7" w:rsidRDefault="00000000">
            <w:pPr>
              <w:pStyle w:val="TableParagraph"/>
              <w:spacing w:before="97" w:line="166" w:lineRule="exact"/>
              <w:ind w:left="113"/>
              <w:rPr>
                <w:rFonts w:ascii="Verdana" w:hAnsi="Verdana"/>
                <w:b/>
                <w:sz w:val="18"/>
                <w:szCs w:val="18"/>
              </w:rPr>
            </w:pPr>
            <w:r w:rsidRPr="00EC75B7">
              <w:rPr>
                <w:rFonts w:ascii="Verdana" w:hAnsi="Verdana"/>
                <w:b/>
                <w:color w:val="FFFFFF"/>
                <w:spacing w:val="-4"/>
                <w:sz w:val="18"/>
                <w:szCs w:val="18"/>
              </w:rPr>
              <w:t>Class</w:t>
            </w:r>
          </w:p>
        </w:tc>
        <w:tc>
          <w:tcPr>
            <w:tcW w:w="955" w:type="dxa"/>
            <w:tcBorders>
              <w:top w:val="nil"/>
              <w:left w:val="nil"/>
              <w:right w:val="nil"/>
            </w:tcBorders>
            <w:shd w:val="clear" w:color="auto" w:fill="00AFEF"/>
          </w:tcPr>
          <w:p w14:paraId="2986C8D9" w14:textId="77777777" w:rsidR="008715BE" w:rsidRPr="00EC75B7" w:rsidRDefault="00000000">
            <w:pPr>
              <w:pStyle w:val="TableParagraph"/>
              <w:spacing w:before="97" w:line="166" w:lineRule="exact"/>
              <w:ind w:left="453"/>
              <w:rPr>
                <w:rFonts w:ascii="Verdana" w:hAnsi="Verdana"/>
                <w:b/>
                <w:sz w:val="18"/>
                <w:szCs w:val="18"/>
              </w:rPr>
            </w:pPr>
            <w:r w:rsidRPr="00EC75B7">
              <w:rPr>
                <w:rFonts w:ascii="Verdana" w:hAnsi="Verdana"/>
                <w:b/>
                <w:color w:val="FFFFFF"/>
                <w:spacing w:val="-4"/>
                <w:sz w:val="18"/>
                <w:szCs w:val="18"/>
              </w:rPr>
              <w:t>Score</w:t>
            </w:r>
          </w:p>
        </w:tc>
        <w:tc>
          <w:tcPr>
            <w:tcW w:w="341" w:type="dxa"/>
            <w:tcBorders>
              <w:top w:val="nil"/>
              <w:left w:val="nil"/>
              <w:right w:val="nil"/>
            </w:tcBorders>
            <w:shd w:val="clear" w:color="auto" w:fill="00AFEF"/>
          </w:tcPr>
          <w:p w14:paraId="32D3E687" w14:textId="77777777" w:rsidR="008715BE" w:rsidRPr="00EC75B7" w:rsidRDefault="008715BE">
            <w:pPr>
              <w:pStyle w:val="TableParagraph"/>
              <w:rPr>
                <w:rFonts w:ascii="Verdana" w:hAnsi="Verdana"/>
                <w:sz w:val="18"/>
                <w:szCs w:val="18"/>
              </w:rPr>
            </w:pPr>
          </w:p>
        </w:tc>
        <w:tc>
          <w:tcPr>
            <w:tcW w:w="7295" w:type="dxa"/>
            <w:tcBorders>
              <w:top w:val="nil"/>
              <w:left w:val="nil"/>
              <w:right w:val="nil"/>
            </w:tcBorders>
            <w:shd w:val="clear" w:color="auto" w:fill="00AFEF"/>
          </w:tcPr>
          <w:p w14:paraId="063F9DA4" w14:textId="77777777" w:rsidR="008715BE" w:rsidRPr="00EC75B7" w:rsidRDefault="00000000">
            <w:pPr>
              <w:pStyle w:val="TableParagraph"/>
              <w:spacing w:before="97" w:line="166" w:lineRule="exact"/>
              <w:ind w:left="113"/>
              <w:rPr>
                <w:rFonts w:ascii="Verdana" w:hAnsi="Verdana"/>
                <w:b/>
                <w:sz w:val="18"/>
                <w:szCs w:val="18"/>
              </w:rPr>
            </w:pPr>
            <w:r w:rsidRPr="00EC75B7">
              <w:rPr>
                <w:rFonts w:ascii="Verdana" w:hAnsi="Verdana"/>
                <w:b/>
                <w:color w:val="FFFFFF"/>
                <w:spacing w:val="-2"/>
                <w:sz w:val="18"/>
                <w:szCs w:val="18"/>
              </w:rPr>
              <w:t>Description</w:t>
            </w:r>
          </w:p>
        </w:tc>
      </w:tr>
      <w:tr w:rsidR="008715BE" w:rsidRPr="00EC75B7" w14:paraId="62566676" w14:textId="77777777">
        <w:trPr>
          <w:trHeight w:val="592"/>
        </w:trPr>
        <w:tc>
          <w:tcPr>
            <w:tcW w:w="1335" w:type="dxa"/>
          </w:tcPr>
          <w:p w14:paraId="026955FA" w14:textId="77777777" w:rsidR="008715BE" w:rsidRPr="00EC75B7" w:rsidRDefault="00000000">
            <w:pPr>
              <w:pStyle w:val="TableParagraph"/>
              <w:spacing w:before="109" w:line="195" w:lineRule="exact"/>
              <w:ind w:left="108"/>
              <w:rPr>
                <w:rFonts w:ascii="Verdana" w:hAnsi="Verdana"/>
                <w:b/>
                <w:sz w:val="18"/>
                <w:szCs w:val="18"/>
              </w:rPr>
            </w:pPr>
            <w:r w:rsidRPr="00EC75B7">
              <w:rPr>
                <w:rFonts w:ascii="Verdana" w:hAnsi="Verdana"/>
                <w:b/>
                <w:spacing w:val="-2"/>
                <w:sz w:val="18"/>
                <w:szCs w:val="18"/>
              </w:rPr>
              <w:t>Sensitivity</w:t>
            </w:r>
          </w:p>
          <w:p w14:paraId="1E140BD3"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High</w:t>
            </w:r>
          </w:p>
        </w:tc>
        <w:tc>
          <w:tcPr>
            <w:tcW w:w="955" w:type="dxa"/>
            <w:shd w:val="clear" w:color="auto" w:fill="F4AF84"/>
          </w:tcPr>
          <w:p w14:paraId="02165362" w14:textId="77777777" w:rsidR="008715BE" w:rsidRPr="00EC75B7" w:rsidRDefault="008715BE">
            <w:pPr>
              <w:pStyle w:val="TableParagraph"/>
              <w:spacing w:before="12"/>
              <w:rPr>
                <w:rFonts w:ascii="Verdana" w:hAnsi="Verdana"/>
                <w:b/>
                <w:sz w:val="18"/>
                <w:szCs w:val="18"/>
              </w:rPr>
            </w:pPr>
          </w:p>
          <w:p w14:paraId="2D8983C9"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High</w:t>
            </w:r>
          </w:p>
        </w:tc>
        <w:tc>
          <w:tcPr>
            <w:tcW w:w="341" w:type="dxa"/>
            <w:shd w:val="clear" w:color="auto" w:fill="F4AF84"/>
          </w:tcPr>
          <w:p w14:paraId="0F917DCE" w14:textId="77777777" w:rsidR="008715BE" w:rsidRPr="00EC75B7" w:rsidRDefault="008715BE">
            <w:pPr>
              <w:pStyle w:val="TableParagraph"/>
              <w:spacing w:before="12"/>
              <w:rPr>
                <w:rFonts w:ascii="Verdana" w:hAnsi="Verdana"/>
                <w:b/>
                <w:sz w:val="18"/>
                <w:szCs w:val="18"/>
              </w:rPr>
            </w:pPr>
          </w:p>
          <w:p w14:paraId="5B9412C3" w14:textId="77777777" w:rsidR="008715BE" w:rsidRPr="00EC75B7" w:rsidRDefault="00000000">
            <w:pPr>
              <w:pStyle w:val="TableParagraph"/>
              <w:ind w:left="8"/>
              <w:jc w:val="center"/>
              <w:rPr>
                <w:rFonts w:ascii="Verdana" w:hAnsi="Verdana"/>
                <w:b/>
                <w:sz w:val="18"/>
                <w:szCs w:val="18"/>
              </w:rPr>
            </w:pPr>
            <w:r w:rsidRPr="00EC75B7">
              <w:rPr>
                <w:rFonts w:ascii="Verdana" w:hAnsi="Verdana"/>
                <w:b/>
                <w:spacing w:val="-10"/>
                <w:sz w:val="18"/>
                <w:szCs w:val="18"/>
              </w:rPr>
              <w:t>3</w:t>
            </w:r>
          </w:p>
        </w:tc>
        <w:tc>
          <w:tcPr>
            <w:tcW w:w="7295" w:type="dxa"/>
          </w:tcPr>
          <w:p w14:paraId="5AA0B541" w14:textId="77777777" w:rsidR="008715BE" w:rsidRPr="00EC75B7" w:rsidRDefault="00000000">
            <w:pPr>
              <w:pStyle w:val="TableParagraph"/>
              <w:spacing w:line="194" w:lineRule="exact"/>
              <w:ind w:left="108" w:right="92"/>
              <w:jc w:val="both"/>
              <w:rPr>
                <w:rFonts w:ascii="Verdana" w:hAnsi="Verdana"/>
                <w:sz w:val="18"/>
                <w:szCs w:val="18"/>
              </w:rPr>
            </w:pPr>
            <w:r w:rsidRPr="00EC75B7">
              <w:rPr>
                <w:rFonts w:ascii="Verdana" w:hAnsi="Verdana"/>
                <w:sz w:val="18"/>
                <w:szCs w:val="18"/>
              </w:rPr>
              <w:t>Climate hazards could have a significant impact on assets and processes, inputs, outputs, and interdependencies as a result of climate risk arising from the proposed investment's operation being interrupted for more than 2 days</w:t>
            </w:r>
          </w:p>
        </w:tc>
      </w:tr>
      <w:tr w:rsidR="008715BE" w:rsidRPr="00EC75B7" w14:paraId="0F515F54" w14:textId="77777777">
        <w:trPr>
          <w:trHeight w:val="756"/>
        </w:trPr>
        <w:tc>
          <w:tcPr>
            <w:tcW w:w="1335" w:type="dxa"/>
          </w:tcPr>
          <w:p w14:paraId="27A5B3A1" w14:textId="77777777" w:rsidR="008715BE" w:rsidRPr="00EC75B7" w:rsidRDefault="00000000">
            <w:pPr>
              <w:pStyle w:val="TableParagraph"/>
              <w:spacing w:before="193"/>
              <w:ind w:left="108"/>
              <w:rPr>
                <w:rFonts w:ascii="Verdana" w:hAnsi="Verdana"/>
                <w:b/>
                <w:sz w:val="18"/>
                <w:szCs w:val="18"/>
              </w:rPr>
            </w:pPr>
            <w:r w:rsidRPr="00EC75B7">
              <w:rPr>
                <w:rFonts w:ascii="Verdana" w:hAnsi="Verdana"/>
                <w:b/>
                <w:spacing w:val="-2"/>
                <w:sz w:val="18"/>
                <w:szCs w:val="18"/>
              </w:rPr>
              <w:t>Medium sensitivity</w:t>
            </w:r>
          </w:p>
        </w:tc>
        <w:tc>
          <w:tcPr>
            <w:tcW w:w="955" w:type="dxa"/>
            <w:shd w:val="clear" w:color="auto" w:fill="FFD44F"/>
          </w:tcPr>
          <w:p w14:paraId="1AE8FD82" w14:textId="77777777" w:rsidR="008715BE" w:rsidRPr="00EC75B7" w:rsidRDefault="008715BE">
            <w:pPr>
              <w:pStyle w:val="TableParagraph"/>
              <w:spacing w:before="94"/>
              <w:rPr>
                <w:rFonts w:ascii="Verdana" w:hAnsi="Verdana"/>
                <w:b/>
                <w:sz w:val="18"/>
                <w:szCs w:val="18"/>
              </w:rPr>
            </w:pPr>
          </w:p>
          <w:p w14:paraId="77522BC8"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Moderate</w:t>
            </w:r>
          </w:p>
        </w:tc>
        <w:tc>
          <w:tcPr>
            <w:tcW w:w="341" w:type="dxa"/>
            <w:shd w:val="clear" w:color="auto" w:fill="FFD44F"/>
          </w:tcPr>
          <w:p w14:paraId="26668368" w14:textId="77777777" w:rsidR="008715BE" w:rsidRPr="00EC75B7" w:rsidRDefault="008715BE">
            <w:pPr>
              <w:pStyle w:val="TableParagraph"/>
              <w:spacing w:before="94"/>
              <w:rPr>
                <w:rFonts w:ascii="Verdana" w:hAnsi="Verdana"/>
                <w:b/>
                <w:sz w:val="18"/>
                <w:szCs w:val="18"/>
              </w:rPr>
            </w:pPr>
          </w:p>
          <w:p w14:paraId="45CBE80D" w14:textId="77777777" w:rsidR="008715BE" w:rsidRPr="00EC75B7" w:rsidRDefault="00000000">
            <w:pPr>
              <w:pStyle w:val="TableParagraph"/>
              <w:ind w:left="8"/>
              <w:jc w:val="center"/>
              <w:rPr>
                <w:rFonts w:ascii="Verdana" w:hAnsi="Verdana"/>
                <w:b/>
                <w:sz w:val="18"/>
                <w:szCs w:val="18"/>
              </w:rPr>
            </w:pPr>
            <w:r w:rsidRPr="00EC75B7">
              <w:rPr>
                <w:rFonts w:ascii="Verdana" w:hAnsi="Verdana"/>
                <w:b/>
                <w:spacing w:val="-10"/>
                <w:sz w:val="18"/>
                <w:szCs w:val="18"/>
              </w:rPr>
              <w:t>2</w:t>
            </w:r>
          </w:p>
        </w:tc>
        <w:tc>
          <w:tcPr>
            <w:tcW w:w="7295" w:type="dxa"/>
          </w:tcPr>
          <w:p w14:paraId="3A920833" w14:textId="77777777" w:rsidR="008715BE" w:rsidRPr="00EC75B7" w:rsidRDefault="00000000">
            <w:pPr>
              <w:pStyle w:val="TableParagraph"/>
              <w:spacing w:before="154" w:line="194" w:lineRule="exact"/>
              <w:ind w:left="108" w:right="95"/>
              <w:jc w:val="both"/>
              <w:rPr>
                <w:rFonts w:ascii="Verdana" w:hAnsi="Verdana"/>
                <w:sz w:val="18"/>
                <w:szCs w:val="18"/>
              </w:rPr>
            </w:pPr>
            <w:r w:rsidRPr="00EC75B7">
              <w:rPr>
                <w:rFonts w:ascii="Verdana" w:hAnsi="Verdana"/>
                <w:sz w:val="18"/>
                <w:szCs w:val="18"/>
              </w:rPr>
              <w:t>Climate hazards could have a minor impact on assets and processes, inputs, outputs, and interdependencies, as a result of climate risk, the operation of the proposed investments will be interrupted for 1-2 days.</w:t>
            </w:r>
          </w:p>
        </w:tc>
      </w:tr>
      <w:tr w:rsidR="008715BE" w:rsidRPr="00EC75B7" w14:paraId="686DDC5E" w14:textId="77777777">
        <w:trPr>
          <w:trHeight w:val="779"/>
        </w:trPr>
        <w:tc>
          <w:tcPr>
            <w:tcW w:w="1335" w:type="dxa"/>
          </w:tcPr>
          <w:p w14:paraId="3FC2C1FA" w14:textId="77777777" w:rsidR="008715BE" w:rsidRPr="00EC75B7" w:rsidRDefault="008715BE">
            <w:pPr>
              <w:pStyle w:val="TableParagraph"/>
              <w:spacing w:before="7"/>
              <w:rPr>
                <w:rFonts w:ascii="Verdana" w:hAnsi="Verdana"/>
                <w:b/>
                <w:sz w:val="18"/>
                <w:szCs w:val="18"/>
              </w:rPr>
            </w:pPr>
          </w:p>
          <w:p w14:paraId="2D9870F5"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Sensitivity</w:t>
            </w:r>
          </w:p>
          <w:p w14:paraId="4C323860"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Low</w:t>
            </w:r>
          </w:p>
        </w:tc>
        <w:tc>
          <w:tcPr>
            <w:tcW w:w="955" w:type="dxa"/>
            <w:shd w:val="clear" w:color="auto" w:fill="E1EEDA"/>
          </w:tcPr>
          <w:p w14:paraId="3DA99EC1" w14:textId="77777777" w:rsidR="008715BE" w:rsidRPr="00EC75B7" w:rsidRDefault="008715BE">
            <w:pPr>
              <w:pStyle w:val="TableParagraph"/>
              <w:spacing w:before="105"/>
              <w:rPr>
                <w:rFonts w:ascii="Verdana" w:hAnsi="Verdana"/>
                <w:b/>
                <w:sz w:val="18"/>
                <w:szCs w:val="18"/>
              </w:rPr>
            </w:pPr>
          </w:p>
          <w:p w14:paraId="2F3C30D3"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Low</w:t>
            </w:r>
          </w:p>
        </w:tc>
        <w:tc>
          <w:tcPr>
            <w:tcW w:w="341" w:type="dxa"/>
            <w:shd w:val="clear" w:color="auto" w:fill="E1EEDA"/>
          </w:tcPr>
          <w:p w14:paraId="3329D8E8" w14:textId="77777777" w:rsidR="008715BE" w:rsidRPr="00EC75B7" w:rsidRDefault="008715BE">
            <w:pPr>
              <w:pStyle w:val="TableParagraph"/>
              <w:spacing w:before="105"/>
              <w:rPr>
                <w:rFonts w:ascii="Verdana" w:hAnsi="Verdana"/>
                <w:b/>
                <w:sz w:val="18"/>
                <w:szCs w:val="18"/>
              </w:rPr>
            </w:pPr>
          </w:p>
          <w:p w14:paraId="67731658" w14:textId="77777777" w:rsidR="008715BE" w:rsidRPr="00EC75B7" w:rsidRDefault="00000000">
            <w:pPr>
              <w:pStyle w:val="TableParagraph"/>
              <w:ind w:left="8"/>
              <w:jc w:val="center"/>
              <w:rPr>
                <w:rFonts w:ascii="Verdana" w:hAnsi="Verdana"/>
                <w:b/>
                <w:sz w:val="18"/>
                <w:szCs w:val="18"/>
              </w:rPr>
            </w:pPr>
            <w:r w:rsidRPr="00EC75B7">
              <w:rPr>
                <w:rFonts w:ascii="Verdana" w:hAnsi="Verdana"/>
                <w:b/>
                <w:spacing w:val="-10"/>
                <w:sz w:val="18"/>
                <w:szCs w:val="18"/>
              </w:rPr>
              <w:t>1</w:t>
            </w:r>
          </w:p>
        </w:tc>
        <w:tc>
          <w:tcPr>
            <w:tcW w:w="7295" w:type="dxa"/>
          </w:tcPr>
          <w:p w14:paraId="452D148C" w14:textId="77777777" w:rsidR="008715BE" w:rsidRPr="00EC75B7" w:rsidRDefault="00000000">
            <w:pPr>
              <w:pStyle w:val="TableParagraph"/>
              <w:spacing w:before="8" w:line="195" w:lineRule="exact"/>
              <w:ind w:left="108"/>
              <w:rPr>
                <w:rFonts w:ascii="Verdana" w:hAnsi="Verdana"/>
                <w:sz w:val="18"/>
                <w:szCs w:val="18"/>
              </w:rPr>
            </w:pPr>
            <w:r w:rsidRPr="00EC75B7">
              <w:rPr>
                <w:rFonts w:ascii="Verdana" w:hAnsi="Verdana"/>
                <w:sz w:val="18"/>
                <w:szCs w:val="18"/>
              </w:rPr>
              <w:t>Climate hazard</w:t>
            </w:r>
            <w:r w:rsidRPr="00EC75B7">
              <w:rPr>
                <w:rFonts w:ascii="Verdana" w:hAnsi="Verdana"/>
                <w:spacing w:val="33"/>
                <w:sz w:val="18"/>
                <w:szCs w:val="18"/>
              </w:rPr>
              <w:t xml:space="preserve">  </w:t>
            </w:r>
            <w:r w:rsidRPr="00EC75B7">
              <w:rPr>
                <w:rFonts w:ascii="Verdana" w:hAnsi="Verdana"/>
                <w:sz w:val="18"/>
                <w:szCs w:val="18"/>
              </w:rPr>
              <w:t xml:space="preserve"> climatic</w:t>
            </w:r>
            <w:r w:rsidRPr="00EC75B7">
              <w:rPr>
                <w:rFonts w:ascii="Verdana" w:hAnsi="Verdana"/>
                <w:spacing w:val="34"/>
                <w:sz w:val="18"/>
                <w:szCs w:val="18"/>
              </w:rPr>
              <w:t xml:space="preserve">  </w:t>
            </w:r>
            <w:r w:rsidRPr="00EC75B7">
              <w:rPr>
                <w:rFonts w:ascii="Verdana" w:hAnsi="Verdana"/>
                <w:sz w:val="18"/>
                <w:szCs w:val="18"/>
              </w:rPr>
              <w:t xml:space="preserve"> no</w:t>
            </w:r>
            <w:r w:rsidRPr="00EC75B7">
              <w:rPr>
                <w:rFonts w:ascii="Verdana" w:hAnsi="Verdana"/>
                <w:spacing w:val="34"/>
                <w:sz w:val="18"/>
                <w:szCs w:val="18"/>
              </w:rPr>
              <w:t xml:space="preserve">  </w:t>
            </w:r>
            <w:r w:rsidRPr="00EC75B7">
              <w:rPr>
                <w:rFonts w:ascii="Verdana" w:hAnsi="Verdana"/>
                <w:sz w:val="18"/>
                <w:szCs w:val="18"/>
              </w:rPr>
              <w:t xml:space="preserve"> has</w:t>
            </w:r>
            <w:r w:rsidRPr="00EC75B7">
              <w:rPr>
                <w:rFonts w:ascii="Verdana" w:hAnsi="Verdana"/>
                <w:spacing w:val="33"/>
                <w:sz w:val="18"/>
                <w:szCs w:val="18"/>
              </w:rPr>
              <w:t xml:space="preserve">  </w:t>
            </w:r>
            <w:r w:rsidRPr="00EC75B7">
              <w:rPr>
                <w:rFonts w:ascii="Verdana" w:hAnsi="Verdana"/>
                <w:sz w:val="18"/>
                <w:szCs w:val="18"/>
              </w:rPr>
              <w:t xml:space="preserve"> no</w:t>
            </w:r>
            <w:r w:rsidRPr="00EC75B7">
              <w:rPr>
                <w:rFonts w:ascii="Verdana" w:hAnsi="Verdana"/>
                <w:spacing w:val="33"/>
                <w:sz w:val="18"/>
                <w:szCs w:val="18"/>
              </w:rPr>
              <w:t xml:space="preserve">  </w:t>
            </w:r>
            <w:r w:rsidRPr="00EC75B7">
              <w:rPr>
                <w:rFonts w:ascii="Verdana" w:hAnsi="Verdana"/>
                <w:sz w:val="18"/>
                <w:szCs w:val="18"/>
              </w:rPr>
              <w:t xml:space="preserve"> impact</w:t>
            </w:r>
            <w:r w:rsidRPr="00EC75B7">
              <w:rPr>
                <w:rFonts w:ascii="Verdana" w:hAnsi="Verdana"/>
                <w:spacing w:val="34"/>
                <w:sz w:val="18"/>
                <w:szCs w:val="18"/>
              </w:rPr>
              <w:t xml:space="preserve">  </w:t>
            </w:r>
            <w:r w:rsidRPr="00EC75B7">
              <w:rPr>
                <w:rFonts w:ascii="Verdana" w:hAnsi="Verdana"/>
                <w:sz w:val="18"/>
                <w:szCs w:val="18"/>
              </w:rPr>
              <w:t xml:space="preserve"> (or</w:t>
            </w:r>
            <w:r w:rsidRPr="00EC75B7">
              <w:rPr>
                <w:rFonts w:ascii="Verdana" w:hAnsi="Verdana"/>
                <w:spacing w:val="32"/>
                <w:sz w:val="18"/>
                <w:szCs w:val="18"/>
              </w:rPr>
              <w:t xml:space="preserve">  </w:t>
            </w:r>
            <w:r w:rsidRPr="00EC75B7">
              <w:rPr>
                <w:rFonts w:ascii="Verdana" w:hAnsi="Verdana"/>
                <w:sz w:val="18"/>
                <w:szCs w:val="18"/>
              </w:rPr>
              <w:t xml:space="preserve"> has</w:t>
            </w:r>
            <w:r w:rsidRPr="00EC75B7">
              <w:rPr>
                <w:rFonts w:ascii="Verdana" w:hAnsi="Verdana"/>
                <w:spacing w:val="33"/>
                <w:sz w:val="18"/>
                <w:szCs w:val="18"/>
              </w:rPr>
              <w:t xml:space="preserve">  </w:t>
            </w:r>
            <w:r w:rsidRPr="00EC75B7">
              <w:rPr>
                <w:rFonts w:ascii="Verdana" w:hAnsi="Verdana"/>
                <w:sz w:val="18"/>
                <w:szCs w:val="18"/>
              </w:rPr>
              <w:t xml:space="preserve"> an</w:t>
            </w:r>
            <w:r w:rsidRPr="00EC75B7">
              <w:rPr>
                <w:rFonts w:ascii="Verdana" w:hAnsi="Verdana"/>
                <w:spacing w:val="34"/>
                <w:sz w:val="18"/>
                <w:szCs w:val="18"/>
              </w:rPr>
              <w:t xml:space="preserve">  </w:t>
            </w:r>
            <w:r w:rsidRPr="00EC75B7">
              <w:rPr>
                <w:rFonts w:ascii="Verdana" w:hAnsi="Verdana"/>
                <w:sz w:val="18"/>
                <w:szCs w:val="18"/>
              </w:rPr>
              <w:t xml:space="preserve"> impact</w:t>
            </w:r>
            <w:r w:rsidRPr="00EC75B7">
              <w:rPr>
                <w:rFonts w:ascii="Verdana" w:hAnsi="Verdana"/>
                <w:spacing w:val="32"/>
                <w:sz w:val="18"/>
                <w:szCs w:val="18"/>
              </w:rPr>
              <w:t xml:space="preserve">  </w:t>
            </w:r>
            <w:r w:rsidRPr="00EC75B7">
              <w:rPr>
                <w:rFonts w:ascii="Verdana" w:hAnsi="Verdana"/>
                <w:spacing w:val="-2"/>
                <w:sz w:val="18"/>
                <w:szCs w:val="18"/>
              </w:rPr>
              <w:t xml:space="preserve"> insignificant)</w:t>
            </w:r>
          </w:p>
          <w:p w14:paraId="6D7A0BE2" w14:textId="77777777" w:rsidR="008715BE" w:rsidRPr="00EC75B7" w:rsidRDefault="00000000">
            <w:pPr>
              <w:pStyle w:val="TableParagraph"/>
              <w:spacing w:line="194" w:lineRule="exact"/>
              <w:ind w:left="108"/>
              <w:rPr>
                <w:rFonts w:ascii="Verdana" w:hAnsi="Verdana"/>
                <w:sz w:val="18"/>
                <w:szCs w:val="18"/>
              </w:rPr>
            </w:pPr>
            <w:r w:rsidRPr="00EC75B7">
              <w:rPr>
                <w:rFonts w:ascii="Verdana" w:hAnsi="Verdana"/>
                <w:sz w:val="18"/>
                <w:szCs w:val="18"/>
              </w:rPr>
              <w:t xml:space="preserve">Operation of the proposed investments will be interrupted for up to 24 </w:t>
            </w:r>
            <w:r w:rsidRPr="00EC75B7">
              <w:rPr>
                <w:rFonts w:ascii="Verdana" w:hAnsi="Verdana"/>
                <w:spacing w:val="-5"/>
                <w:sz w:val="18"/>
                <w:szCs w:val="18"/>
              </w:rPr>
              <w:t>hours</w:t>
            </w:r>
          </w:p>
          <w:p w14:paraId="7E26D2CF" w14:textId="77777777" w:rsidR="008715BE" w:rsidRPr="00EC75B7" w:rsidRDefault="00000000">
            <w:pPr>
              <w:pStyle w:val="TableParagraph"/>
              <w:spacing w:line="195" w:lineRule="exact"/>
              <w:ind w:left="108"/>
              <w:rPr>
                <w:rFonts w:ascii="Verdana" w:hAnsi="Verdana"/>
                <w:sz w:val="18"/>
                <w:szCs w:val="18"/>
              </w:rPr>
            </w:pPr>
            <w:r w:rsidRPr="00EC75B7">
              <w:rPr>
                <w:rFonts w:ascii="Verdana" w:hAnsi="Verdana"/>
                <w:sz w:val="18"/>
                <w:szCs w:val="18"/>
              </w:rPr>
              <w:t xml:space="preserve">Non-critical assets/operations may temporarily lose functionality, but </w:t>
            </w:r>
            <w:r w:rsidRPr="00EC75B7">
              <w:rPr>
                <w:rFonts w:ascii="Verdana" w:hAnsi="Verdana"/>
                <w:spacing w:val="-2"/>
                <w:sz w:val="18"/>
                <w:szCs w:val="18"/>
              </w:rPr>
              <w:t>the repercussions</w:t>
            </w:r>
          </w:p>
          <w:p w14:paraId="32725D31" w14:textId="77777777" w:rsidR="008715BE" w:rsidRPr="00EC75B7" w:rsidRDefault="00000000">
            <w:pPr>
              <w:pStyle w:val="TableParagraph"/>
              <w:spacing w:before="1" w:line="166" w:lineRule="exact"/>
              <w:ind w:left="108"/>
              <w:rPr>
                <w:rFonts w:ascii="Verdana" w:hAnsi="Verdana"/>
                <w:sz w:val="18"/>
                <w:szCs w:val="18"/>
              </w:rPr>
            </w:pPr>
            <w:r w:rsidRPr="00EC75B7">
              <w:rPr>
                <w:rFonts w:ascii="Verdana" w:hAnsi="Verdana"/>
                <w:sz w:val="18"/>
                <w:szCs w:val="18"/>
              </w:rPr>
              <w:t xml:space="preserve">are considered </w:t>
            </w:r>
            <w:r w:rsidRPr="00EC75B7">
              <w:rPr>
                <w:rFonts w:ascii="Verdana" w:hAnsi="Verdana"/>
                <w:spacing w:val="-2"/>
                <w:sz w:val="18"/>
                <w:szCs w:val="18"/>
              </w:rPr>
              <w:t>minimal</w:t>
            </w:r>
          </w:p>
        </w:tc>
      </w:tr>
      <w:tr w:rsidR="008715BE" w:rsidRPr="00EC75B7" w14:paraId="73191F3D" w14:textId="77777777">
        <w:trPr>
          <w:trHeight w:val="582"/>
        </w:trPr>
        <w:tc>
          <w:tcPr>
            <w:tcW w:w="1335" w:type="dxa"/>
          </w:tcPr>
          <w:p w14:paraId="59ABEB7F" w14:textId="77777777" w:rsidR="008715BE" w:rsidRPr="00EC75B7" w:rsidRDefault="00000000">
            <w:pPr>
              <w:pStyle w:val="TableParagraph"/>
              <w:spacing w:before="104" w:line="195" w:lineRule="exact"/>
              <w:ind w:left="108"/>
              <w:rPr>
                <w:rFonts w:ascii="Verdana" w:hAnsi="Verdana"/>
                <w:b/>
                <w:sz w:val="18"/>
                <w:szCs w:val="18"/>
              </w:rPr>
            </w:pPr>
            <w:r w:rsidRPr="00EC75B7">
              <w:rPr>
                <w:rFonts w:ascii="Verdana" w:hAnsi="Verdana"/>
                <w:b/>
                <w:spacing w:val="-2"/>
                <w:sz w:val="18"/>
                <w:szCs w:val="18"/>
              </w:rPr>
              <w:t>No</w:t>
            </w:r>
          </w:p>
          <w:p w14:paraId="33764FD0"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sensitivity</w:t>
            </w:r>
          </w:p>
        </w:tc>
        <w:tc>
          <w:tcPr>
            <w:tcW w:w="955" w:type="dxa"/>
            <w:shd w:val="clear" w:color="auto" w:fill="F1F1F1"/>
          </w:tcPr>
          <w:p w14:paraId="5CE0AEE2" w14:textId="77777777" w:rsidR="008715BE" w:rsidRPr="00EC75B7" w:rsidRDefault="00000000">
            <w:pPr>
              <w:pStyle w:val="TableParagraph"/>
              <w:spacing w:before="104" w:line="195" w:lineRule="exact"/>
              <w:ind w:left="107"/>
              <w:rPr>
                <w:rFonts w:ascii="Verdana" w:hAnsi="Verdana"/>
                <w:b/>
                <w:sz w:val="18"/>
                <w:szCs w:val="18"/>
              </w:rPr>
            </w:pPr>
            <w:r w:rsidRPr="00EC75B7">
              <w:rPr>
                <w:rFonts w:ascii="Verdana" w:hAnsi="Verdana"/>
                <w:b/>
                <w:spacing w:val="-4"/>
                <w:sz w:val="18"/>
                <w:szCs w:val="18"/>
              </w:rPr>
              <w:t>No</w:t>
            </w:r>
          </w:p>
          <w:p w14:paraId="32A20984"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spacing w:val="-2"/>
                <w:sz w:val="18"/>
                <w:szCs w:val="18"/>
              </w:rPr>
              <w:t>impact</w:t>
            </w:r>
          </w:p>
        </w:tc>
        <w:tc>
          <w:tcPr>
            <w:tcW w:w="341" w:type="dxa"/>
            <w:shd w:val="clear" w:color="auto" w:fill="F1F1F1"/>
          </w:tcPr>
          <w:p w14:paraId="0D53D8A2" w14:textId="77777777" w:rsidR="008715BE" w:rsidRPr="00EC75B7" w:rsidRDefault="008715BE">
            <w:pPr>
              <w:pStyle w:val="TableParagraph"/>
              <w:spacing w:before="7"/>
              <w:rPr>
                <w:rFonts w:ascii="Verdana" w:hAnsi="Verdana"/>
                <w:b/>
                <w:sz w:val="18"/>
                <w:szCs w:val="18"/>
              </w:rPr>
            </w:pPr>
          </w:p>
          <w:p w14:paraId="64AA83DC" w14:textId="77777777" w:rsidR="008715BE" w:rsidRPr="00EC75B7" w:rsidRDefault="00000000">
            <w:pPr>
              <w:pStyle w:val="TableParagraph"/>
              <w:ind w:left="8"/>
              <w:jc w:val="center"/>
              <w:rPr>
                <w:rFonts w:ascii="Verdana" w:hAnsi="Verdana"/>
                <w:b/>
                <w:sz w:val="18"/>
                <w:szCs w:val="18"/>
              </w:rPr>
            </w:pPr>
            <w:r w:rsidRPr="00EC75B7">
              <w:rPr>
                <w:rFonts w:ascii="Verdana" w:hAnsi="Verdana"/>
                <w:b/>
                <w:spacing w:val="-10"/>
                <w:sz w:val="18"/>
                <w:szCs w:val="18"/>
              </w:rPr>
              <w:t>0</w:t>
            </w:r>
          </w:p>
        </w:tc>
        <w:tc>
          <w:tcPr>
            <w:tcW w:w="7295" w:type="dxa"/>
          </w:tcPr>
          <w:p w14:paraId="7C9173EC" w14:textId="77777777" w:rsidR="008715BE" w:rsidRPr="00EC75B7" w:rsidRDefault="00000000">
            <w:pPr>
              <w:pStyle w:val="TableParagraph"/>
              <w:spacing w:line="194" w:lineRule="exact"/>
              <w:ind w:left="108" w:right="95"/>
              <w:jc w:val="both"/>
              <w:rPr>
                <w:rFonts w:ascii="Verdana" w:hAnsi="Verdana"/>
                <w:sz w:val="18"/>
                <w:szCs w:val="18"/>
              </w:rPr>
            </w:pPr>
            <w:r w:rsidRPr="00EC75B7">
              <w:rPr>
                <w:rFonts w:ascii="Verdana" w:hAnsi="Verdana"/>
                <w:sz w:val="18"/>
                <w:szCs w:val="18"/>
              </w:rPr>
              <w:t xml:space="preserve">No possible impact of climate hazards on any component of the project No impact on the ability to manage the infrastructure – under normal </w:t>
            </w:r>
            <w:r w:rsidRPr="00EC75B7">
              <w:rPr>
                <w:rFonts w:ascii="Verdana" w:hAnsi="Verdana"/>
                <w:spacing w:val="-2"/>
                <w:sz w:val="18"/>
                <w:szCs w:val="18"/>
              </w:rPr>
              <w:t xml:space="preserve">operating </w:t>
            </w:r>
            <w:r w:rsidRPr="00EC75B7">
              <w:rPr>
                <w:rFonts w:ascii="Verdana" w:hAnsi="Verdana"/>
                <w:sz w:val="18"/>
                <w:szCs w:val="18"/>
              </w:rPr>
              <w:t>conditions</w:t>
            </w:r>
          </w:p>
        </w:tc>
      </w:tr>
    </w:tbl>
    <w:p w14:paraId="25D066C4" w14:textId="77777777" w:rsidR="008715BE" w:rsidRPr="00EC75B7" w:rsidRDefault="008715BE">
      <w:pPr>
        <w:pStyle w:val="TableParagraph"/>
        <w:spacing w:line="194" w:lineRule="exact"/>
        <w:jc w:val="both"/>
        <w:rPr>
          <w:rFonts w:ascii="Verdana" w:hAnsi="Verdana"/>
          <w:sz w:val="18"/>
          <w:szCs w:val="18"/>
        </w:rPr>
        <w:sectPr w:rsidR="008715BE" w:rsidRPr="00EC75B7">
          <w:headerReference w:type="default" r:id="rId302"/>
          <w:footerReference w:type="default" r:id="rId303"/>
          <w:pgSz w:w="11910" w:h="16840"/>
          <w:pgMar w:top="1320" w:right="283" w:bottom="1020" w:left="1133" w:header="766" w:footer="824" w:gutter="0"/>
          <w:pgNumType w:start="283"/>
          <w:cols w:space="708"/>
        </w:sectPr>
      </w:pPr>
    </w:p>
    <w:p w14:paraId="47032D91" w14:textId="77777777" w:rsidR="008715BE" w:rsidRPr="00EC75B7" w:rsidRDefault="00000000">
      <w:pPr>
        <w:pStyle w:val="BodyText"/>
        <w:spacing w:before="99" w:line="360" w:lineRule="auto"/>
        <w:ind w:left="57" w:right="627"/>
        <w:rPr>
          <w:rFonts w:ascii="Verdana" w:hAnsi="Verdana"/>
        </w:rPr>
      </w:pPr>
      <w:r w:rsidRPr="00EC75B7">
        <w:rPr>
          <w:rFonts w:ascii="Verdana" w:hAnsi="Verdana"/>
        </w:rPr>
        <w:lastRenderedPageBreak/>
        <w:t>The purpose of the exposure analysis is to identify hazards that are relevant to the site of the "Regional water and wastewater infrastructure development project in Vaslui County," regardless of the type of project.</w:t>
      </w:r>
    </w:p>
    <w:p w14:paraId="5FF7EEA3" w14:textId="77777777" w:rsidR="008715BE" w:rsidRPr="00EC75B7" w:rsidRDefault="00000000">
      <w:pPr>
        <w:pStyle w:val="BodyText"/>
        <w:spacing w:before="117" w:line="360" w:lineRule="auto"/>
        <w:ind w:left="57" w:right="627"/>
        <w:rPr>
          <w:rFonts w:ascii="Verdana" w:hAnsi="Verdana"/>
        </w:rPr>
      </w:pPr>
      <w:r w:rsidRPr="00EC75B7">
        <w:rPr>
          <w:rFonts w:ascii="Verdana" w:hAnsi="Verdana"/>
        </w:rPr>
        <w:t>The exposure analysis focuses on the site, while the sensitivity analysis focused on the type of project.</w:t>
      </w:r>
    </w:p>
    <w:p w14:paraId="458AD0AF" w14:textId="77777777" w:rsidR="008715BE" w:rsidRPr="00EC75B7" w:rsidRDefault="00000000">
      <w:pPr>
        <w:pStyle w:val="BodyText"/>
        <w:spacing w:before="118"/>
        <w:ind w:left="57"/>
        <w:rPr>
          <w:rFonts w:ascii="Verdana" w:hAnsi="Verdana"/>
        </w:rPr>
      </w:pPr>
      <w:r w:rsidRPr="00EC75B7">
        <w:rPr>
          <w:rFonts w:ascii="Verdana" w:hAnsi="Verdana"/>
        </w:rPr>
        <w:t xml:space="preserve">The exposure analysis is structured in two </w:t>
      </w:r>
      <w:r w:rsidRPr="00EC75B7">
        <w:rPr>
          <w:rFonts w:ascii="Verdana" w:hAnsi="Verdana"/>
          <w:spacing w:val="-2"/>
        </w:rPr>
        <w:t>parts:</w:t>
      </w:r>
    </w:p>
    <w:p w14:paraId="7974B1DF" w14:textId="77777777" w:rsidR="008715BE" w:rsidRPr="00EC75B7" w:rsidRDefault="008715BE">
      <w:pPr>
        <w:pStyle w:val="BodyText"/>
        <w:spacing w:before="7"/>
        <w:rPr>
          <w:rFonts w:ascii="Verdana" w:hAnsi="Verdana"/>
        </w:rPr>
      </w:pPr>
    </w:p>
    <w:p w14:paraId="0CD8B239" w14:textId="77777777" w:rsidR="008715BE" w:rsidRPr="00EC75B7" w:rsidRDefault="00000000">
      <w:pPr>
        <w:pStyle w:val="Heading5"/>
        <w:numPr>
          <w:ilvl w:val="0"/>
          <w:numId w:val="21"/>
        </w:numPr>
        <w:tabs>
          <w:tab w:val="left" w:pos="484"/>
        </w:tabs>
        <w:ind w:left="484" w:hanging="427"/>
        <w:rPr>
          <w:rFonts w:ascii="Verdana" w:hAnsi="Verdana"/>
        </w:rPr>
      </w:pPr>
      <w:r w:rsidRPr="00EC75B7">
        <w:rPr>
          <w:rFonts w:ascii="Verdana" w:hAnsi="Verdana"/>
        </w:rPr>
        <w:t xml:space="preserve">exposure to the </w:t>
      </w:r>
      <w:r w:rsidRPr="00EC75B7">
        <w:rPr>
          <w:rFonts w:ascii="Verdana" w:hAnsi="Verdana"/>
          <w:spacing w:val="-2"/>
        </w:rPr>
        <w:t xml:space="preserve">current </w:t>
      </w:r>
      <w:r w:rsidRPr="00EC75B7">
        <w:rPr>
          <w:rFonts w:ascii="Verdana" w:hAnsi="Verdana"/>
        </w:rPr>
        <w:t>climate</w:t>
      </w:r>
    </w:p>
    <w:p w14:paraId="7039F212" w14:textId="77777777" w:rsidR="008715BE" w:rsidRPr="00EC75B7" w:rsidRDefault="00000000">
      <w:pPr>
        <w:pStyle w:val="ListParagraph"/>
        <w:numPr>
          <w:ilvl w:val="0"/>
          <w:numId w:val="21"/>
        </w:numPr>
        <w:tabs>
          <w:tab w:val="left" w:pos="484"/>
        </w:tabs>
        <w:spacing w:before="109" w:line="360" w:lineRule="auto"/>
        <w:ind w:right="705" w:firstLine="0"/>
        <w:jc w:val="both"/>
        <w:rPr>
          <w:rFonts w:ascii="Verdana" w:hAnsi="Verdana"/>
          <w:sz w:val="18"/>
          <w:szCs w:val="18"/>
        </w:rPr>
      </w:pPr>
      <w:r w:rsidRPr="00EC75B7">
        <w:rPr>
          <w:rFonts w:ascii="Verdana" w:hAnsi="Verdana"/>
          <w:b/>
          <w:sz w:val="18"/>
          <w:szCs w:val="18"/>
        </w:rPr>
        <w:t>exposure to future climate (medium term – RCP 4.5 scenario and long term – RCP8.5 scenario)</w:t>
      </w:r>
      <w:r w:rsidRPr="00EC75B7">
        <w:rPr>
          <w:rFonts w:ascii="Verdana" w:hAnsi="Verdana"/>
          <w:sz w:val="18"/>
          <w:szCs w:val="18"/>
        </w:rPr>
        <w:t>. Historical and current data available for the project site were taken into account for the assessment of current and past exposure.</w:t>
      </w:r>
    </w:p>
    <w:p w14:paraId="3616267F" w14:textId="43326DD2" w:rsidR="008715BE" w:rsidRPr="00EC75B7" w:rsidRDefault="00000000" w:rsidP="0058402D">
      <w:pPr>
        <w:pStyle w:val="BodyText"/>
        <w:spacing w:line="360" w:lineRule="auto"/>
        <w:ind w:left="58" w:right="691"/>
        <w:jc w:val="both"/>
        <w:rPr>
          <w:rFonts w:ascii="Verdana" w:hAnsi="Verdana"/>
        </w:rPr>
      </w:pPr>
      <w:r w:rsidRPr="00EC75B7">
        <w:rPr>
          <w:rFonts w:ascii="Verdana" w:hAnsi="Verdana"/>
        </w:rPr>
        <w:t xml:space="preserve">Given that the project development period began in 2018, data for this year was also analyzed for </w:t>
      </w:r>
      <w:r w:rsidRPr="00EC75B7">
        <w:rPr>
          <w:rFonts w:ascii="Verdana" w:hAnsi="Verdana"/>
          <w:spacing w:val="-2"/>
        </w:rPr>
        <w:t>the assessment of</w:t>
      </w:r>
      <w:r w:rsidR="0058402D">
        <w:rPr>
          <w:rFonts w:ascii="Verdana" w:hAnsi="Verdana"/>
        </w:rPr>
        <w:t xml:space="preserve"> </w:t>
      </w:r>
      <w:r w:rsidRPr="00EC75B7">
        <w:rPr>
          <w:rFonts w:ascii="Verdana" w:hAnsi="Verdana"/>
        </w:rPr>
        <w:t xml:space="preserve">current exposure, data for this </w:t>
      </w:r>
      <w:r w:rsidRPr="00EC75B7">
        <w:rPr>
          <w:rFonts w:ascii="Verdana" w:hAnsi="Verdana"/>
          <w:spacing w:val="-5"/>
        </w:rPr>
        <w:t xml:space="preserve">year </w:t>
      </w:r>
      <w:r w:rsidRPr="00EC75B7">
        <w:rPr>
          <w:rFonts w:ascii="Verdana" w:hAnsi="Verdana"/>
        </w:rPr>
        <w:t>was also analyzed</w:t>
      </w:r>
      <w:r w:rsidRPr="00EC75B7">
        <w:rPr>
          <w:rFonts w:ascii="Verdana" w:hAnsi="Verdana"/>
          <w:spacing w:val="-5"/>
        </w:rPr>
        <w:t>.</w:t>
      </w:r>
    </w:p>
    <w:p w14:paraId="0ACF971A" w14:textId="77777777" w:rsidR="008715BE" w:rsidRPr="00EC75B7" w:rsidRDefault="008715BE">
      <w:pPr>
        <w:pStyle w:val="BodyText"/>
        <w:spacing w:before="10"/>
        <w:rPr>
          <w:rFonts w:ascii="Verdana" w:hAnsi="Verdana"/>
        </w:rPr>
      </w:pPr>
    </w:p>
    <w:p w14:paraId="58E4866D" w14:textId="77777777" w:rsidR="008715BE" w:rsidRPr="00EC75B7" w:rsidRDefault="00000000">
      <w:pPr>
        <w:pStyle w:val="BodyText"/>
        <w:spacing w:line="360" w:lineRule="auto"/>
        <w:ind w:left="57" w:right="712"/>
        <w:jc w:val="both"/>
        <w:rPr>
          <w:rFonts w:ascii="Verdana" w:hAnsi="Verdana"/>
        </w:rPr>
      </w:pPr>
      <w:r w:rsidRPr="00EC75B7">
        <w:rPr>
          <w:rFonts w:ascii="Verdana" w:hAnsi="Verdana"/>
        </w:rPr>
        <w:t>Climate model projections were analyzed to understand future exposure. Particular attention was paid to changes in the frequency and intensity of extreme weather events.</w:t>
      </w:r>
    </w:p>
    <w:p w14:paraId="5205F676" w14:textId="77777777" w:rsidR="008715BE" w:rsidRPr="00EC75B7" w:rsidRDefault="00000000">
      <w:pPr>
        <w:pStyle w:val="BodyText"/>
        <w:spacing w:before="116" w:line="357" w:lineRule="auto"/>
        <w:ind w:left="57" w:right="712"/>
        <w:jc w:val="both"/>
        <w:rPr>
          <w:rFonts w:ascii="Verdana" w:hAnsi="Verdana"/>
        </w:rPr>
      </w:pPr>
      <w:r w:rsidRPr="00EC75B7">
        <w:rPr>
          <w:rFonts w:ascii="Verdana" w:hAnsi="Verdana"/>
        </w:rPr>
        <w:t>According to the "COMMISSION COMMUNICATION Technical guidelines on climate-proofing infrastructure for 2021-2027 (2021/C 373/01)", the projected increase in global average temperature is essential for selecting global and regional climate data sets. It is important to note that for a given project location, local climate variables may change differently than the global average.</w:t>
      </w:r>
    </w:p>
    <w:p w14:paraId="49CCF82A" w14:textId="77777777" w:rsidR="008715BE" w:rsidRPr="00EC75B7" w:rsidRDefault="00000000">
      <w:pPr>
        <w:pStyle w:val="BodyText"/>
        <w:spacing w:before="125" w:line="357" w:lineRule="auto"/>
        <w:ind w:left="57" w:right="705"/>
        <w:jc w:val="both"/>
        <w:rPr>
          <w:rFonts w:ascii="Verdana" w:hAnsi="Verdana"/>
        </w:rPr>
      </w:pPr>
      <w:r w:rsidRPr="00EC75B7">
        <w:rPr>
          <w:rFonts w:ascii="Verdana" w:hAnsi="Verdana"/>
        </w:rPr>
        <w:t>The European Commission's technical guidance on integrating climate considerations requires examination (adaptation in phase 1) to cover exposure at the project site and other places where project interdependencies may be affected, e.g., water supply projects where water resources are distant from treatment and distribution facilities. This could be extended to cover a project's area of influence on climate hazards, as evidence to support cumulative impact assessment in the environmental impact assessment.</w:t>
      </w:r>
    </w:p>
    <w:p w14:paraId="5759414B" w14:textId="77777777" w:rsidR="008715BE" w:rsidRPr="00EC75B7" w:rsidRDefault="008715BE">
      <w:pPr>
        <w:pStyle w:val="BodyText"/>
        <w:spacing w:line="357" w:lineRule="auto"/>
        <w:jc w:val="both"/>
        <w:rPr>
          <w:rFonts w:ascii="Verdana" w:hAnsi="Verdana"/>
        </w:rPr>
        <w:sectPr w:rsidR="008715BE" w:rsidRPr="00EC75B7">
          <w:pgSz w:w="11910" w:h="16840"/>
          <w:pgMar w:top="1320" w:right="283" w:bottom="1020" w:left="1133" w:header="766" w:footer="824" w:gutter="0"/>
          <w:cols w:space="708"/>
        </w:sectPr>
      </w:pPr>
    </w:p>
    <w:p w14:paraId="162AB284" w14:textId="77777777" w:rsidR="008715BE" w:rsidRPr="00EC75B7" w:rsidRDefault="00000000">
      <w:pPr>
        <w:pStyle w:val="BodyText"/>
        <w:spacing w:before="99"/>
        <w:ind w:left="57"/>
        <w:rPr>
          <w:rFonts w:ascii="Verdana" w:hAnsi="Verdana"/>
        </w:rPr>
      </w:pPr>
      <w:r w:rsidRPr="00EC75B7">
        <w:rPr>
          <w:rFonts w:ascii="Verdana" w:hAnsi="Verdana"/>
        </w:rPr>
        <w:lastRenderedPageBreak/>
        <w:t xml:space="preserve">The specific steps of an exposure assessment are shown in the </w:t>
      </w:r>
      <w:r w:rsidRPr="00EC75B7">
        <w:rPr>
          <w:rFonts w:ascii="Verdana" w:hAnsi="Verdana"/>
          <w:spacing w:val="-2"/>
        </w:rPr>
        <w:t xml:space="preserve">following </w:t>
      </w:r>
      <w:r w:rsidRPr="00EC75B7">
        <w:rPr>
          <w:rFonts w:ascii="Verdana" w:hAnsi="Verdana"/>
        </w:rPr>
        <w:t>diagram</w:t>
      </w:r>
      <w:r w:rsidRPr="00EC75B7">
        <w:rPr>
          <w:rFonts w:ascii="Verdana" w:hAnsi="Verdana"/>
          <w:spacing w:val="-2"/>
        </w:rPr>
        <w:t>:</w:t>
      </w:r>
    </w:p>
    <w:p w14:paraId="7F0F2460" w14:textId="77777777" w:rsidR="008715BE" w:rsidRPr="00EC75B7" w:rsidRDefault="008715BE">
      <w:pPr>
        <w:pStyle w:val="BodyText"/>
        <w:spacing w:before="1"/>
        <w:rPr>
          <w:rFonts w:ascii="Verdana" w:hAnsi="Verdana"/>
        </w:rPr>
      </w:pPr>
    </w:p>
    <w:tbl>
      <w:tblPr>
        <w:tblStyle w:val="TableNormal1"/>
        <w:tblW w:w="0" w:type="auto"/>
        <w:tblInd w:w="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171"/>
        <w:gridCol w:w="302"/>
        <w:gridCol w:w="3326"/>
        <w:gridCol w:w="299"/>
        <w:gridCol w:w="3321"/>
      </w:tblGrid>
      <w:tr w:rsidR="008715BE" w:rsidRPr="00EC75B7" w14:paraId="1131D3B8" w14:textId="77777777">
        <w:trPr>
          <w:trHeight w:val="462"/>
        </w:trPr>
        <w:tc>
          <w:tcPr>
            <w:tcW w:w="3171" w:type="dxa"/>
            <w:tcBorders>
              <w:bottom w:val="nil"/>
            </w:tcBorders>
            <w:shd w:val="clear" w:color="auto" w:fill="00AFEF"/>
          </w:tcPr>
          <w:p w14:paraId="02F38073" w14:textId="77777777" w:rsidR="008715BE" w:rsidRPr="00EC75B7" w:rsidRDefault="00000000">
            <w:pPr>
              <w:pStyle w:val="TableParagraph"/>
              <w:spacing w:before="8"/>
              <w:ind w:left="11"/>
              <w:jc w:val="center"/>
              <w:rPr>
                <w:rFonts w:ascii="Verdana" w:hAnsi="Verdana"/>
                <w:b/>
                <w:sz w:val="18"/>
                <w:szCs w:val="18"/>
              </w:rPr>
            </w:pPr>
            <w:r w:rsidRPr="00EC75B7">
              <w:rPr>
                <w:rFonts w:ascii="Verdana" w:hAnsi="Verdana"/>
                <w:b/>
                <w:noProof/>
                <w:sz w:val="18"/>
                <w:szCs w:val="18"/>
              </w:rPr>
              <mc:AlternateContent>
                <mc:Choice Requires="wpg">
                  <w:drawing>
                    <wp:anchor distT="0" distB="0" distL="0" distR="0" simplePos="0" relativeHeight="251678720" behindDoc="0" locked="0" layoutInCell="1" allowOverlap="1" wp14:anchorId="15C335FF" wp14:editId="7CFB29D6">
                      <wp:simplePos x="0" y="0"/>
                      <wp:positionH relativeFrom="column">
                        <wp:posOffset>118730</wp:posOffset>
                      </wp:positionH>
                      <wp:positionV relativeFrom="paragraph">
                        <wp:posOffset>15647</wp:posOffset>
                      </wp:positionV>
                      <wp:extent cx="244475" cy="195580"/>
                      <wp:effectExtent l="0" t="0" r="0" b="0"/>
                      <wp:wrapNone/>
                      <wp:docPr id="615" name="Group 615"/>
                      <wp:cNvGraphicFramePr/>
                      <a:graphic xmlns:a="http://schemas.openxmlformats.org/drawingml/2006/main">
                        <a:graphicData uri="http://schemas.microsoft.com/office/word/2010/wordprocessingGroup">
                          <wpg:wgp>
                            <wpg:cNvGrpSpPr/>
                            <wpg:grpSpPr>
                              <a:xfrm>
                                <a:off x="0" y="0"/>
                                <a:ext cx="244475" cy="195580"/>
                                <a:chOff x="0" y="0"/>
                                <a:chExt cx="244475" cy="195580"/>
                              </a:xfrm>
                            </wpg:grpSpPr>
                            <pic:pic xmlns:pic="http://schemas.openxmlformats.org/drawingml/2006/picture">
                              <pic:nvPicPr>
                                <pic:cNvPr id="616" name="Image 616"/>
                                <pic:cNvPicPr/>
                              </pic:nvPicPr>
                              <pic:blipFill>
                                <a:blip r:embed="rId304" cstate="print"/>
                                <a:stretch>
                                  <a:fillRect/>
                                </a:stretch>
                              </pic:blipFill>
                              <pic:spPr>
                                <a:xfrm>
                                  <a:off x="0" y="0"/>
                                  <a:ext cx="243869" cy="194956"/>
                                </a:xfrm>
                                <a:prstGeom prst="rect">
                                  <a:avLst/>
                                </a:prstGeom>
                              </pic:spPr>
                            </pic:pic>
                            <wps:wsp>
                              <wps:cNvPr id="617" name="Graphic 617"/>
                              <wps:cNvSpPr/>
                              <wps:spPr>
                                <a:xfrm>
                                  <a:off x="26410" y="101993"/>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s:wsp>
                              <wps:cNvPr id="618" name="Graphic 618"/>
                              <wps:cNvSpPr/>
                              <wps:spPr>
                                <a:xfrm>
                                  <a:off x="26410" y="128253"/>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s:wsp>
                              <wps:cNvPr id="619" name="Graphic 619"/>
                              <wps:cNvSpPr/>
                              <wps:spPr>
                                <a:xfrm>
                                  <a:off x="26410" y="154510"/>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g:wgp>
                        </a:graphicData>
                      </a:graphic>
                    </wp:anchor>
                  </w:drawing>
                </mc:Choice>
                <mc:Fallback>
                  <w:pict>
                    <v:group w14:anchorId="5312BB14" id="Group 615" o:spid="_x0000_s1026" style="position:absolute;margin-left:9.35pt;margin-top:1.25pt;width:19.25pt;height:15.4pt;z-index:251678720;mso-wrap-distance-left:0;mso-wrap-distance-right:0" coordsize="244475,195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">
                      <v:shape id="Image 616" o:spid="_x0000_s1027" type="#_x0000_t75" style="position:absolute;width:243869;height:19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">
                        <v:imagedata r:id="rId305" o:title=""/>
                      </v:shape>
                      <v:shape id="Graphic 617" o:spid="_x0000_s1028" style="position:absolute;left:26410;top:101993;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" path="m,l191040,e" filled="f" strokecolor="white" strokeweight=".17611mm">
                        <v:stroke dashstyle="dash"/>
                        <v:path arrowok="t"/>
                      </v:shape>
                      <v:shape id="Graphic 618" o:spid="_x0000_s1029" style="position:absolute;left:26410;top:128253;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" path="m,l191040,e" filled="f" strokecolor="white" strokeweight=".17611mm">
                        <v:stroke dashstyle="dash"/>
                        <v:path arrowok="t"/>
                      </v:shape>
                      <v:shape id="Graphic 619" o:spid="_x0000_s1030" style="position:absolute;left:26410;top:154510;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" path="m,l191040,e" filled="f" strokecolor="white" strokeweight=".17611mm">
                        <v:stroke dashstyle="dash"/>
                        <v:path arrowok="t"/>
                      </v:shape>
                    </v:group>
                  </w:pict>
                </mc:Fallback>
              </mc:AlternateContent>
            </w:r>
            <w:r w:rsidRPr="00EC75B7">
              <w:rPr>
                <w:rFonts w:ascii="Verdana" w:hAnsi="Verdana"/>
                <w:b/>
                <w:color w:val="FFFFFF"/>
                <w:spacing w:val="-2"/>
                <w:sz w:val="18"/>
                <w:szCs w:val="18"/>
              </w:rPr>
              <w:t>Period</w:t>
            </w:r>
          </w:p>
        </w:tc>
        <w:tc>
          <w:tcPr>
            <w:tcW w:w="302" w:type="dxa"/>
            <w:tcBorders>
              <w:top w:val="nil"/>
              <w:bottom w:val="nil"/>
            </w:tcBorders>
          </w:tcPr>
          <w:p w14:paraId="52935BC5" w14:textId="77777777" w:rsidR="008715BE" w:rsidRPr="00EC75B7" w:rsidRDefault="008715BE">
            <w:pPr>
              <w:pStyle w:val="TableParagraph"/>
              <w:rPr>
                <w:rFonts w:ascii="Verdana" w:hAnsi="Verdana"/>
                <w:sz w:val="18"/>
                <w:szCs w:val="18"/>
              </w:rPr>
            </w:pPr>
          </w:p>
        </w:tc>
        <w:tc>
          <w:tcPr>
            <w:tcW w:w="3326" w:type="dxa"/>
            <w:tcBorders>
              <w:bottom w:val="nil"/>
            </w:tcBorders>
            <w:shd w:val="clear" w:color="auto" w:fill="00AFEF"/>
          </w:tcPr>
          <w:p w14:paraId="7A3483E9" w14:textId="77777777" w:rsidR="008715BE" w:rsidRPr="00EC75B7" w:rsidRDefault="00000000">
            <w:pPr>
              <w:pStyle w:val="TableParagraph"/>
              <w:spacing w:before="8" w:line="195" w:lineRule="exact"/>
              <w:ind w:right="97"/>
              <w:jc w:val="right"/>
              <w:rPr>
                <w:rFonts w:ascii="Verdana" w:hAnsi="Verdana"/>
                <w:b/>
                <w:sz w:val="18"/>
                <w:szCs w:val="18"/>
              </w:rPr>
            </w:pPr>
            <w:r w:rsidRPr="00EC75B7">
              <w:rPr>
                <w:rFonts w:ascii="Verdana" w:hAnsi="Verdana"/>
                <w:b/>
                <w:noProof/>
                <w:sz w:val="18"/>
                <w:szCs w:val="18"/>
              </w:rPr>
              <mc:AlternateContent>
                <mc:Choice Requires="wpg">
                  <w:drawing>
                    <wp:anchor distT="0" distB="0" distL="0" distR="0" simplePos="0" relativeHeight="251680768" behindDoc="0" locked="0" layoutInCell="1" allowOverlap="1" wp14:anchorId="4A80EB68" wp14:editId="4ED3C794">
                      <wp:simplePos x="0" y="0"/>
                      <wp:positionH relativeFrom="column">
                        <wp:posOffset>71067</wp:posOffset>
                      </wp:positionH>
                      <wp:positionV relativeFrom="paragraph">
                        <wp:posOffset>27705</wp:posOffset>
                      </wp:positionV>
                      <wp:extent cx="276225" cy="275590"/>
                      <wp:effectExtent l="0" t="0" r="0" b="0"/>
                      <wp:wrapNone/>
                      <wp:docPr id="620" name="Group 620"/>
                      <wp:cNvGraphicFramePr/>
                      <a:graphic xmlns:a="http://schemas.openxmlformats.org/drawingml/2006/main">
                        <a:graphicData uri="http://schemas.microsoft.com/office/word/2010/wordprocessingGroup">
                          <wpg:wgp>
                            <wpg:cNvGrpSpPr/>
                            <wpg:grpSpPr>
                              <a:xfrm>
                                <a:off x="0" y="0"/>
                                <a:ext cx="276225" cy="275590"/>
                                <a:chOff x="0" y="0"/>
                                <a:chExt cx="276225" cy="275590"/>
                              </a:xfrm>
                            </wpg:grpSpPr>
                            <pic:pic xmlns:pic="http://schemas.openxmlformats.org/drawingml/2006/picture">
                              <pic:nvPicPr>
                                <pic:cNvPr id="621" name="Image 621"/>
                                <pic:cNvPicPr/>
                              </pic:nvPicPr>
                              <pic:blipFill>
                                <a:blip r:embed="rId306" cstate="print"/>
                                <a:stretch>
                                  <a:fillRect/>
                                </a:stretch>
                              </pic:blipFill>
                              <pic:spPr>
                                <a:xfrm>
                                  <a:off x="0" y="0"/>
                                  <a:ext cx="238991" cy="236054"/>
                                </a:xfrm>
                                <a:prstGeom prst="rect">
                                  <a:avLst/>
                                </a:prstGeom>
                              </pic:spPr>
                            </pic:pic>
                            <wps:wsp>
                              <wps:cNvPr id="622" name="Graphic 622"/>
                              <wps:cNvSpPr/>
                              <wps:spPr>
                                <a:xfrm>
                                  <a:off x="56067" y="257102"/>
                                  <a:ext cx="220345" cy="18415"/>
                                </a:xfrm>
                                <a:custGeom>
                                  <a:avLst/>
                                  <a:gdLst/>
                                  <a:ahLst/>
                                  <a:cxnLst/>
                                  <a:rect l="l" t="t" r="r" b="b"/>
                                  <a:pathLst>
                                    <a:path w="220345" h="18415">
                                      <a:moveTo>
                                        <a:pt x="218317" y="0"/>
                                      </a:moveTo>
                                      <a:lnTo>
                                        <a:pt x="206459" y="0"/>
                                      </a:lnTo>
                                      <a:lnTo>
                                        <a:pt x="188718" y="10762"/>
                                      </a:lnTo>
                                      <a:lnTo>
                                        <a:pt x="173008" y="10762"/>
                                      </a:lnTo>
                                      <a:lnTo>
                                        <a:pt x="155266" y="0"/>
                                      </a:lnTo>
                                      <a:lnTo>
                                        <a:pt x="135554" y="0"/>
                                      </a:lnTo>
                                      <a:lnTo>
                                        <a:pt x="117806" y="10762"/>
                                      </a:lnTo>
                                      <a:lnTo>
                                        <a:pt x="102084" y="10762"/>
                                      </a:lnTo>
                                      <a:lnTo>
                                        <a:pt x="84358" y="0"/>
                                      </a:lnTo>
                                      <a:lnTo>
                                        <a:pt x="64624" y="0"/>
                                      </a:lnTo>
                                      <a:lnTo>
                                        <a:pt x="46898" y="10762"/>
                                      </a:lnTo>
                                      <a:lnTo>
                                        <a:pt x="31175" y="10762"/>
                                      </a:lnTo>
                                      <a:lnTo>
                                        <a:pt x="13449" y="0"/>
                                      </a:lnTo>
                                      <a:lnTo>
                                        <a:pt x="1603" y="0"/>
                                      </a:lnTo>
                                      <a:lnTo>
                                        <a:pt x="0" y="1602"/>
                                      </a:lnTo>
                                      <a:lnTo>
                                        <a:pt x="0" y="5566"/>
                                      </a:lnTo>
                                      <a:lnTo>
                                        <a:pt x="1603" y="7174"/>
                                      </a:lnTo>
                                      <a:lnTo>
                                        <a:pt x="11445" y="7174"/>
                                      </a:lnTo>
                                      <a:lnTo>
                                        <a:pt x="29168" y="17936"/>
                                      </a:lnTo>
                                      <a:lnTo>
                                        <a:pt x="48902" y="17936"/>
                                      </a:lnTo>
                                      <a:lnTo>
                                        <a:pt x="66631" y="7174"/>
                                      </a:lnTo>
                                      <a:lnTo>
                                        <a:pt x="82353" y="7174"/>
                                      </a:lnTo>
                                      <a:lnTo>
                                        <a:pt x="100077" y="17936"/>
                                      </a:lnTo>
                                      <a:lnTo>
                                        <a:pt x="119813" y="17936"/>
                                      </a:lnTo>
                                      <a:lnTo>
                                        <a:pt x="137555" y="7174"/>
                                      </a:lnTo>
                                      <a:lnTo>
                                        <a:pt x="153265" y="7174"/>
                                      </a:lnTo>
                                      <a:lnTo>
                                        <a:pt x="171006" y="17936"/>
                                      </a:lnTo>
                                      <a:lnTo>
                                        <a:pt x="180863" y="17936"/>
                                      </a:lnTo>
                                      <a:lnTo>
                                        <a:pt x="190719" y="17936"/>
                                      </a:lnTo>
                                      <a:lnTo>
                                        <a:pt x="208460" y="7174"/>
                                      </a:lnTo>
                                      <a:lnTo>
                                        <a:pt x="218317" y="7174"/>
                                      </a:lnTo>
                                      <a:lnTo>
                                        <a:pt x="219900" y="5566"/>
                                      </a:lnTo>
                                      <a:lnTo>
                                        <a:pt x="219900" y="1602"/>
                                      </a:lnTo>
                                      <a:lnTo>
                                        <a:pt x="218317"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20DE63EF" id="Group 620" o:spid="_x0000_s1026" style="position:absolute;margin-left:5.6pt;margin-top:2.2pt;width:21.75pt;height:21.7pt;z-index:251680768;mso-wrap-distance-left:0;mso-wrap-distance-right:0" coordsize="276225,27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">
                      <v:shape id="Image 621" o:spid="_x0000_s1027" type="#_x0000_t75" style="position:absolute;width:238991;height:236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">
                        <v:imagedata r:id="rId307" o:title=""/>
                      </v:shape>
                      <v:shape id="Graphic 622" o:spid="_x0000_s1028" style="position:absolute;left:56067;top:257102;width:220345;height:18415;visibility:visible;mso-wrap-style:square;v-text-anchor:top" coordsize="2203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" path="m218317,l206459,,188718,10762r-15710,l155266,,135554,,117806,10762r-15722,l84358,,64624,,46898,10762r-15723,l13449,,1603,,,1602,,5566,1603,7174r9842,l29168,17936r19734,l66631,7174r15722,l100077,17936r19736,l137555,7174r15710,l171006,17936r9857,l190719,17936,208460,7174r9857,l219900,5566r,-3964l218317,xe" stroked="f">
                        <v:path arrowok="t"/>
                      </v:shape>
                    </v:group>
                  </w:pict>
                </mc:Fallback>
              </mc:AlternateContent>
            </w:r>
            <w:r w:rsidRPr="00EC75B7">
              <w:rPr>
                <w:rFonts w:ascii="Verdana" w:hAnsi="Verdana"/>
                <w:b/>
                <w:color w:val="FFFFFF"/>
                <w:spacing w:val="-2"/>
                <w:sz w:val="18"/>
                <w:szCs w:val="18"/>
              </w:rPr>
              <w:t xml:space="preserve">Climate </w:t>
            </w:r>
            <w:r w:rsidRPr="00EC75B7">
              <w:rPr>
                <w:rFonts w:ascii="Verdana" w:hAnsi="Verdana"/>
                <w:b/>
                <w:color w:val="FFFFFF"/>
                <w:sz w:val="18"/>
                <w:szCs w:val="18"/>
              </w:rPr>
              <w:t>projection/scenario</w:t>
            </w:r>
          </w:p>
          <w:p w14:paraId="4BB56F57" w14:textId="77777777" w:rsidR="008715BE" w:rsidRPr="00EC75B7" w:rsidRDefault="00000000">
            <w:pPr>
              <w:pStyle w:val="TableParagraph"/>
              <w:spacing w:line="195" w:lineRule="exact"/>
              <w:ind w:right="91"/>
              <w:jc w:val="right"/>
              <w:rPr>
                <w:rFonts w:ascii="Verdana" w:hAnsi="Verdana"/>
                <w:b/>
                <w:sz w:val="18"/>
                <w:szCs w:val="18"/>
              </w:rPr>
            </w:pPr>
            <w:r w:rsidRPr="00EC75B7">
              <w:rPr>
                <w:rFonts w:ascii="Verdana" w:hAnsi="Verdana"/>
                <w:b/>
                <w:color w:val="FFFFFF"/>
                <w:spacing w:val="-2"/>
                <w:sz w:val="18"/>
                <w:szCs w:val="18"/>
              </w:rPr>
              <w:t>Climate</w:t>
            </w:r>
          </w:p>
        </w:tc>
        <w:tc>
          <w:tcPr>
            <w:tcW w:w="299" w:type="dxa"/>
            <w:tcBorders>
              <w:top w:val="nil"/>
              <w:bottom w:val="nil"/>
            </w:tcBorders>
          </w:tcPr>
          <w:p w14:paraId="0A7D3373" w14:textId="77777777" w:rsidR="008715BE" w:rsidRPr="00EC75B7" w:rsidRDefault="008715BE">
            <w:pPr>
              <w:pStyle w:val="TableParagraph"/>
              <w:rPr>
                <w:rFonts w:ascii="Verdana" w:hAnsi="Verdana"/>
                <w:sz w:val="18"/>
                <w:szCs w:val="18"/>
              </w:rPr>
            </w:pPr>
          </w:p>
        </w:tc>
        <w:tc>
          <w:tcPr>
            <w:tcW w:w="3321" w:type="dxa"/>
            <w:tcBorders>
              <w:bottom w:val="nil"/>
            </w:tcBorders>
            <w:shd w:val="clear" w:color="auto" w:fill="00AFEF"/>
          </w:tcPr>
          <w:p w14:paraId="002B8A43" w14:textId="77777777" w:rsidR="008715BE" w:rsidRPr="00EC75B7" w:rsidRDefault="00000000">
            <w:pPr>
              <w:pStyle w:val="TableParagraph"/>
              <w:spacing w:before="73" w:line="195" w:lineRule="exact"/>
              <w:ind w:right="91"/>
              <w:jc w:val="right"/>
              <w:rPr>
                <w:rFonts w:ascii="Verdana" w:hAnsi="Verdana"/>
                <w:b/>
                <w:sz w:val="18"/>
                <w:szCs w:val="18"/>
              </w:rPr>
            </w:pPr>
            <w:r w:rsidRPr="00EC75B7">
              <w:rPr>
                <w:rFonts w:ascii="Verdana" w:hAnsi="Verdana"/>
                <w:b/>
                <w:noProof/>
                <w:sz w:val="18"/>
                <w:szCs w:val="18"/>
              </w:rPr>
              <mc:AlternateContent>
                <mc:Choice Requires="wpg">
                  <w:drawing>
                    <wp:anchor distT="0" distB="0" distL="0" distR="0" simplePos="0" relativeHeight="251682816" behindDoc="0" locked="0" layoutInCell="1" allowOverlap="1" wp14:anchorId="2D9C4797" wp14:editId="5F7348FD">
                      <wp:simplePos x="0" y="0"/>
                      <wp:positionH relativeFrom="column">
                        <wp:posOffset>56501</wp:posOffset>
                      </wp:positionH>
                      <wp:positionV relativeFrom="paragraph">
                        <wp:posOffset>33056</wp:posOffset>
                      </wp:positionV>
                      <wp:extent cx="226060" cy="189865"/>
                      <wp:effectExtent l="0" t="0" r="0" b="0"/>
                      <wp:wrapNone/>
                      <wp:docPr id="623" name="Group 623"/>
                      <wp:cNvGraphicFramePr/>
                      <a:graphic xmlns:a="http://schemas.openxmlformats.org/drawingml/2006/main">
                        <a:graphicData uri="http://schemas.microsoft.com/office/word/2010/wordprocessingGroup">
                          <wpg:wgp>
                            <wpg:cNvGrpSpPr/>
                            <wpg:grpSpPr>
                              <a:xfrm>
                                <a:off x="0" y="0"/>
                                <a:ext cx="226060" cy="189865"/>
                                <a:chOff x="0" y="0"/>
                                <a:chExt cx="226060" cy="189865"/>
                              </a:xfrm>
                            </wpg:grpSpPr>
                            <pic:pic xmlns:pic="http://schemas.openxmlformats.org/drawingml/2006/picture">
                              <pic:nvPicPr>
                                <pic:cNvPr id="624" name="Image 624"/>
                                <pic:cNvPicPr/>
                              </pic:nvPicPr>
                              <pic:blipFill>
                                <a:blip r:embed="rId308" cstate="print"/>
                                <a:stretch>
                                  <a:fillRect/>
                                </a:stretch>
                              </pic:blipFill>
                              <pic:spPr>
                                <a:xfrm>
                                  <a:off x="0" y="0"/>
                                  <a:ext cx="225986" cy="189729"/>
                                </a:xfrm>
                                <a:prstGeom prst="rect">
                                  <a:avLst/>
                                </a:prstGeom>
                              </pic:spPr>
                            </pic:pic>
                          </wpg:wgp>
                        </a:graphicData>
                      </a:graphic>
                    </wp:anchor>
                  </w:drawing>
                </mc:Choice>
                <mc:Fallback>
                  <w:pict>
                    <v:group w14:anchorId="02E1CC48" id="Group 623" o:spid="_x0000_s1026" style="position:absolute;margin-left:4.45pt;margin-top:2.6pt;width:17.8pt;height:14.95pt;z-index:251682816;mso-wrap-distance-left:0;mso-wrap-distance-right:0" coordsize="226060,189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">
                      <v:shape id="Image 624" o:spid="_x0000_s1027" type="#_x0000_t75" style="position:absolute;width:225986;height:18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">
                        <v:imagedata r:id="rId309" o:title=""/>
                      </v:shape>
                    </v:group>
                  </w:pict>
                </mc:Fallback>
              </mc:AlternateContent>
            </w:r>
            <w:r w:rsidRPr="00EC75B7">
              <w:rPr>
                <w:rFonts w:ascii="Verdana" w:hAnsi="Verdana"/>
                <w:b/>
                <w:color w:val="FFFFFF"/>
                <w:spacing w:val="-2"/>
                <w:sz w:val="18"/>
                <w:szCs w:val="18"/>
              </w:rPr>
              <w:t>Changes in exposure indices,</w:t>
            </w:r>
          </w:p>
          <w:p w14:paraId="2163EAC2" w14:textId="77777777" w:rsidR="008715BE" w:rsidRPr="00EC75B7" w:rsidRDefault="00000000">
            <w:pPr>
              <w:pStyle w:val="TableParagraph"/>
              <w:spacing w:line="175" w:lineRule="exact"/>
              <w:ind w:right="89"/>
              <w:jc w:val="right"/>
              <w:rPr>
                <w:rFonts w:ascii="Verdana" w:hAnsi="Verdana"/>
                <w:b/>
                <w:sz w:val="18"/>
                <w:szCs w:val="18"/>
              </w:rPr>
            </w:pPr>
            <w:r w:rsidRPr="00EC75B7">
              <w:rPr>
                <w:rFonts w:ascii="Verdana" w:hAnsi="Verdana"/>
                <w:b/>
                <w:color w:val="FFFFFF"/>
                <w:spacing w:val="-2"/>
                <w:sz w:val="18"/>
                <w:szCs w:val="18"/>
              </w:rPr>
              <w:t>Hazards</w:t>
            </w:r>
          </w:p>
        </w:tc>
      </w:tr>
      <w:tr w:rsidR="008715BE" w:rsidRPr="00EC75B7" w14:paraId="6655D55C" w14:textId="77777777">
        <w:trPr>
          <w:trHeight w:val="57"/>
        </w:trPr>
        <w:tc>
          <w:tcPr>
            <w:tcW w:w="3171" w:type="dxa"/>
            <w:tcBorders>
              <w:top w:val="nil"/>
            </w:tcBorders>
            <w:shd w:val="clear" w:color="auto" w:fill="00AFEF"/>
          </w:tcPr>
          <w:p w14:paraId="3F940765" w14:textId="77777777" w:rsidR="008715BE" w:rsidRPr="00EC75B7" w:rsidRDefault="008715BE">
            <w:pPr>
              <w:pStyle w:val="TableParagraph"/>
              <w:rPr>
                <w:rFonts w:ascii="Verdana" w:hAnsi="Verdana"/>
                <w:sz w:val="18"/>
                <w:szCs w:val="18"/>
              </w:rPr>
            </w:pPr>
          </w:p>
        </w:tc>
        <w:tc>
          <w:tcPr>
            <w:tcW w:w="302" w:type="dxa"/>
            <w:tcBorders>
              <w:top w:val="nil"/>
              <w:bottom w:val="nil"/>
            </w:tcBorders>
          </w:tcPr>
          <w:p w14:paraId="2CEC8775" w14:textId="77777777" w:rsidR="008715BE" w:rsidRPr="00EC75B7" w:rsidRDefault="008715BE">
            <w:pPr>
              <w:pStyle w:val="TableParagraph"/>
              <w:rPr>
                <w:rFonts w:ascii="Verdana" w:hAnsi="Verdana"/>
                <w:sz w:val="18"/>
                <w:szCs w:val="18"/>
              </w:rPr>
            </w:pPr>
          </w:p>
        </w:tc>
        <w:tc>
          <w:tcPr>
            <w:tcW w:w="3326" w:type="dxa"/>
            <w:tcBorders>
              <w:top w:val="nil"/>
            </w:tcBorders>
            <w:shd w:val="clear" w:color="auto" w:fill="00AFEF"/>
          </w:tcPr>
          <w:p w14:paraId="09155E36" w14:textId="77777777" w:rsidR="008715BE" w:rsidRPr="00EC75B7" w:rsidRDefault="008715BE">
            <w:pPr>
              <w:pStyle w:val="TableParagraph"/>
              <w:rPr>
                <w:rFonts w:ascii="Verdana" w:hAnsi="Verdana"/>
                <w:sz w:val="18"/>
                <w:szCs w:val="18"/>
              </w:rPr>
            </w:pPr>
          </w:p>
        </w:tc>
        <w:tc>
          <w:tcPr>
            <w:tcW w:w="299" w:type="dxa"/>
            <w:tcBorders>
              <w:top w:val="nil"/>
              <w:bottom w:val="nil"/>
            </w:tcBorders>
          </w:tcPr>
          <w:p w14:paraId="13CBF4C4" w14:textId="77777777" w:rsidR="008715BE" w:rsidRPr="00EC75B7" w:rsidRDefault="008715BE">
            <w:pPr>
              <w:pStyle w:val="TableParagraph"/>
              <w:rPr>
                <w:rFonts w:ascii="Verdana" w:hAnsi="Verdana"/>
                <w:sz w:val="18"/>
                <w:szCs w:val="18"/>
              </w:rPr>
            </w:pPr>
          </w:p>
        </w:tc>
        <w:tc>
          <w:tcPr>
            <w:tcW w:w="3321" w:type="dxa"/>
            <w:tcBorders>
              <w:top w:val="nil"/>
            </w:tcBorders>
            <w:shd w:val="clear" w:color="auto" w:fill="00AFEF"/>
          </w:tcPr>
          <w:p w14:paraId="1279D10F" w14:textId="77777777" w:rsidR="008715BE" w:rsidRPr="00EC75B7" w:rsidRDefault="008715BE">
            <w:pPr>
              <w:pStyle w:val="TableParagraph"/>
              <w:rPr>
                <w:rFonts w:ascii="Verdana" w:hAnsi="Verdana"/>
                <w:sz w:val="18"/>
                <w:szCs w:val="18"/>
              </w:rPr>
            </w:pPr>
          </w:p>
        </w:tc>
      </w:tr>
      <w:tr w:rsidR="008715BE" w:rsidRPr="00EC75B7" w14:paraId="57D9A09C" w14:textId="77777777">
        <w:trPr>
          <w:trHeight w:val="217"/>
        </w:trPr>
        <w:tc>
          <w:tcPr>
            <w:tcW w:w="3171" w:type="dxa"/>
            <w:tcBorders>
              <w:left w:val="nil"/>
              <w:right w:val="nil"/>
            </w:tcBorders>
          </w:tcPr>
          <w:p w14:paraId="05E70B02" w14:textId="77777777" w:rsidR="008715BE" w:rsidRPr="00EC75B7" w:rsidRDefault="008715BE">
            <w:pPr>
              <w:pStyle w:val="TableParagraph"/>
              <w:rPr>
                <w:rFonts w:ascii="Verdana" w:hAnsi="Verdana"/>
                <w:sz w:val="18"/>
                <w:szCs w:val="18"/>
              </w:rPr>
            </w:pPr>
          </w:p>
        </w:tc>
        <w:tc>
          <w:tcPr>
            <w:tcW w:w="302" w:type="dxa"/>
            <w:tcBorders>
              <w:top w:val="nil"/>
              <w:left w:val="nil"/>
              <w:bottom w:val="nil"/>
              <w:right w:val="nil"/>
            </w:tcBorders>
          </w:tcPr>
          <w:p w14:paraId="0B9E0460" w14:textId="77777777" w:rsidR="008715BE" w:rsidRPr="00EC75B7" w:rsidRDefault="008715BE">
            <w:pPr>
              <w:pStyle w:val="TableParagraph"/>
              <w:rPr>
                <w:rFonts w:ascii="Verdana" w:hAnsi="Verdana"/>
                <w:sz w:val="18"/>
                <w:szCs w:val="18"/>
              </w:rPr>
            </w:pPr>
          </w:p>
        </w:tc>
        <w:tc>
          <w:tcPr>
            <w:tcW w:w="3326" w:type="dxa"/>
            <w:tcBorders>
              <w:left w:val="nil"/>
              <w:right w:val="nil"/>
            </w:tcBorders>
          </w:tcPr>
          <w:p w14:paraId="481A96A4" w14:textId="77777777" w:rsidR="008715BE" w:rsidRPr="00EC75B7" w:rsidRDefault="008715BE">
            <w:pPr>
              <w:pStyle w:val="TableParagraph"/>
              <w:rPr>
                <w:rFonts w:ascii="Verdana" w:hAnsi="Verdana"/>
                <w:sz w:val="18"/>
                <w:szCs w:val="18"/>
              </w:rPr>
            </w:pPr>
          </w:p>
        </w:tc>
        <w:tc>
          <w:tcPr>
            <w:tcW w:w="299" w:type="dxa"/>
            <w:tcBorders>
              <w:top w:val="nil"/>
              <w:left w:val="nil"/>
              <w:bottom w:val="nil"/>
              <w:right w:val="nil"/>
            </w:tcBorders>
          </w:tcPr>
          <w:p w14:paraId="3F11DB28" w14:textId="77777777" w:rsidR="008715BE" w:rsidRPr="00EC75B7" w:rsidRDefault="008715BE">
            <w:pPr>
              <w:pStyle w:val="TableParagraph"/>
              <w:rPr>
                <w:rFonts w:ascii="Verdana" w:hAnsi="Verdana"/>
                <w:sz w:val="18"/>
                <w:szCs w:val="18"/>
              </w:rPr>
            </w:pPr>
          </w:p>
        </w:tc>
        <w:tc>
          <w:tcPr>
            <w:tcW w:w="3321" w:type="dxa"/>
            <w:tcBorders>
              <w:left w:val="nil"/>
              <w:right w:val="nil"/>
            </w:tcBorders>
          </w:tcPr>
          <w:p w14:paraId="2B11759C" w14:textId="77777777" w:rsidR="008715BE" w:rsidRPr="00EC75B7" w:rsidRDefault="008715BE">
            <w:pPr>
              <w:pStyle w:val="TableParagraph"/>
              <w:rPr>
                <w:rFonts w:ascii="Verdana" w:hAnsi="Verdana"/>
                <w:sz w:val="18"/>
                <w:szCs w:val="18"/>
              </w:rPr>
            </w:pPr>
          </w:p>
        </w:tc>
      </w:tr>
      <w:tr w:rsidR="008715BE" w:rsidRPr="00EC75B7" w14:paraId="3FC378B7" w14:textId="77777777">
        <w:trPr>
          <w:trHeight w:val="2723"/>
        </w:trPr>
        <w:tc>
          <w:tcPr>
            <w:tcW w:w="3171" w:type="dxa"/>
          </w:tcPr>
          <w:p w14:paraId="52F370B0" w14:textId="77777777" w:rsidR="008715BE" w:rsidRPr="00EC75B7" w:rsidRDefault="00000000">
            <w:pPr>
              <w:pStyle w:val="TableParagraph"/>
              <w:numPr>
                <w:ilvl w:val="0"/>
                <w:numId w:val="20"/>
              </w:numPr>
              <w:tabs>
                <w:tab w:val="left" w:pos="276"/>
              </w:tabs>
              <w:spacing w:before="8"/>
              <w:ind w:right="97"/>
              <w:jc w:val="both"/>
              <w:rPr>
                <w:rFonts w:ascii="Verdana" w:hAnsi="Verdana"/>
                <w:sz w:val="18"/>
                <w:szCs w:val="18"/>
              </w:rPr>
            </w:pPr>
            <w:r w:rsidRPr="00EC75B7">
              <w:rPr>
                <w:rFonts w:ascii="Verdana" w:hAnsi="Verdana"/>
                <w:sz w:val="18"/>
                <w:szCs w:val="18"/>
              </w:rPr>
              <w:t xml:space="preserve">Define and document the life span of the proposed infrastructure. This should reflect the operational life span of </w:t>
            </w:r>
            <w:r w:rsidRPr="00EC75B7">
              <w:rPr>
                <w:rFonts w:ascii="Verdana" w:hAnsi="Verdana"/>
                <w:spacing w:val="-2"/>
                <w:sz w:val="18"/>
                <w:szCs w:val="18"/>
              </w:rPr>
              <w:t>the project.</w:t>
            </w:r>
          </w:p>
          <w:p w14:paraId="6036FEFB" w14:textId="77777777" w:rsidR="008715BE" w:rsidRPr="00EC75B7" w:rsidRDefault="00000000">
            <w:pPr>
              <w:pStyle w:val="TableParagraph"/>
              <w:numPr>
                <w:ilvl w:val="0"/>
                <w:numId w:val="20"/>
              </w:numPr>
              <w:tabs>
                <w:tab w:val="left" w:pos="276"/>
              </w:tabs>
              <w:ind w:right="97"/>
              <w:jc w:val="both"/>
              <w:rPr>
                <w:rFonts w:ascii="Verdana" w:hAnsi="Verdana"/>
                <w:sz w:val="18"/>
                <w:szCs w:val="18"/>
              </w:rPr>
            </w:pPr>
            <w:r w:rsidRPr="00EC75B7">
              <w:rPr>
                <w:rFonts w:ascii="Verdana" w:hAnsi="Verdana"/>
                <w:sz w:val="18"/>
                <w:szCs w:val="18"/>
              </w:rPr>
              <w:t>It is considered that economic development in response to the project is longer than the life of the project investment.</w:t>
            </w:r>
          </w:p>
          <w:p w14:paraId="38E0C45E" w14:textId="77777777" w:rsidR="008715BE" w:rsidRPr="00EC75B7" w:rsidRDefault="00000000">
            <w:pPr>
              <w:pStyle w:val="TableParagraph"/>
              <w:numPr>
                <w:ilvl w:val="0"/>
                <w:numId w:val="20"/>
              </w:numPr>
              <w:tabs>
                <w:tab w:val="left" w:pos="276"/>
              </w:tabs>
              <w:ind w:right="97"/>
              <w:jc w:val="both"/>
              <w:rPr>
                <w:rFonts w:ascii="Verdana" w:hAnsi="Verdana"/>
                <w:sz w:val="18"/>
                <w:szCs w:val="18"/>
              </w:rPr>
            </w:pPr>
            <w:r w:rsidRPr="00EC75B7">
              <w:rPr>
                <w:rFonts w:ascii="Verdana" w:hAnsi="Verdana"/>
                <w:sz w:val="18"/>
                <w:szCs w:val="18"/>
              </w:rPr>
              <w:t>Based on these, select a time period for future exposure assessment. It should always be more than</w:t>
            </w:r>
          </w:p>
          <w:p w14:paraId="21DA142E" w14:textId="77777777" w:rsidR="008715BE" w:rsidRPr="00EC75B7" w:rsidRDefault="00000000">
            <w:pPr>
              <w:pStyle w:val="TableParagraph"/>
              <w:spacing w:line="164" w:lineRule="exact"/>
              <w:ind w:left="276"/>
              <w:jc w:val="both"/>
              <w:rPr>
                <w:rFonts w:ascii="Verdana" w:hAnsi="Verdana"/>
                <w:sz w:val="18"/>
                <w:szCs w:val="18"/>
              </w:rPr>
            </w:pPr>
            <w:r w:rsidRPr="00EC75B7">
              <w:rPr>
                <w:rFonts w:ascii="Verdana" w:hAnsi="Verdana"/>
                <w:sz w:val="18"/>
                <w:szCs w:val="18"/>
              </w:rPr>
              <w:t xml:space="preserve">50 </w:t>
            </w:r>
            <w:r w:rsidRPr="00EC75B7">
              <w:rPr>
                <w:rFonts w:ascii="Verdana" w:hAnsi="Verdana"/>
                <w:spacing w:val="-4"/>
                <w:sz w:val="18"/>
                <w:szCs w:val="18"/>
              </w:rPr>
              <w:t>years.</w:t>
            </w:r>
          </w:p>
        </w:tc>
        <w:tc>
          <w:tcPr>
            <w:tcW w:w="302" w:type="dxa"/>
            <w:tcBorders>
              <w:top w:val="nil"/>
              <w:bottom w:val="nil"/>
            </w:tcBorders>
          </w:tcPr>
          <w:p w14:paraId="4644EDDF" w14:textId="77777777" w:rsidR="008715BE" w:rsidRPr="00EC75B7" w:rsidRDefault="008715BE">
            <w:pPr>
              <w:pStyle w:val="TableParagraph"/>
              <w:rPr>
                <w:rFonts w:ascii="Verdana" w:hAnsi="Verdana"/>
                <w:sz w:val="18"/>
                <w:szCs w:val="18"/>
              </w:rPr>
            </w:pPr>
          </w:p>
        </w:tc>
        <w:tc>
          <w:tcPr>
            <w:tcW w:w="3326" w:type="dxa"/>
          </w:tcPr>
          <w:p w14:paraId="5D665096" w14:textId="77777777" w:rsidR="008715BE" w:rsidRPr="00EC75B7" w:rsidRDefault="00000000">
            <w:pPr>
              <w:pStyle w:val="TableParagraph"/>
              <w:numPr>
                <w:ilvl w:val="0"/>
                <w:numId w:val="19"/>
              </w:numPr>
              <w:tabs>
                <w:tab w:val="left" w:pos="276"/>
                <w:tab w:val="left" w:pos="1360"/>
                <w:tab w:val="left" w:pos="2303"/>
              </w:tabs>
              <w:spacing w:before="8"/>
              <w:ind w:right="95"/>
              <w:jc w:val="both"/>
              <w:rPr>
                <w:rFonts w:ascii="Verdana" w:hAnsi="Verdana"/>
                <w:sz w:val="18"/>
                <w:szCs w:val="18"/>
              </w:rPr>
            </w:pPr>
            <w:r w:rsidRPr="00EC75B7">
              <w:rPr>
                <w:rFonts w:ascii="Verdana" w:hAnsi="Verdana"/>
                <w:sz w:val="18"/>
                <w:szCs w:val="18"/>
              </w:rPr>
              <w:t xml:space="preserve">Choose the most appropriate </w:t>
            </w:r>
            <w:r w:rsidRPr="00EC75B7">
              <w:rPr>
                <w:rFonts w:ascii="Verdana" w:hAnsi="Verdana"/>
                <w:spacing w:val="-2"/>
                <w:sz w:val="18"/>
                <w:szCs w:val="18"/>
              </w:rPr>
              <w:t>projection</w:t>
            </w:r>
            <w:r w:rsidRPr="00EC75B7">
              <w:rPr>
                <w:rFonts w:ascii="Verdana" w:hAnsi="Verdana"/>
                <w:sz w:val="18"/>
                <w:szCs w:val="18"/>
              </w:rPr>
              <w:tab/>
            </w:r>
            <w:r w:rsidRPr="00EC75B7">
              <w:rPr>
                <w:rFonts w:ascii="Verdana" w:hAnsi="Verdana"/>
                <w:spacing w:val="-2"/>
                <w:sz w:val="18"/>
                <w:szCs w:val="18"/>
              </w:rPr>
              <w:t>regarding</w:t>
            </w:r>
            <w:r w:rsidRPr="00EC75B7">
              <w:rPr>
                <w:rFonts w:ascii="Verdana" w:hAnsi="Verdana"/>
                <w:sz w:val="18"/>
                <w:szCs w:val="18"/>
              </w:rPr>
              <w:tab/>
            </w:r>
            <w:r w:rsidRPr="00EC75B7">
              <w:rPr>
                <w:rFonts w:ascii="Verdana" w:hAnsi="Verdana"/>
                <w:spacing w:val="-2"/>
                <w:sz w:val="18"/>
                <w:szCs w:val="18"/>
              </w:rPr>
              <w:t>climate change.</w:t>
            </w:r>
          </w:p>
          <w:p w14:paraId="392E7CC2" w14:textId="77777777" w:rsidR="008715BE" w:rsidRPr="00EC75B7" w:rsidRDefault="00000000">
            <w:pPr>
              <w:pStyle w:val="TableParagraph"/>
              <w:numPr>
                <w:ilvl w:val="0"/>
                <w:numId w:val="19"/>
              </w:numPr>
              <w:tabs>
                <w:tab w:val="left" w:pos="276"/>
              </w:tabs>
              <w:ind w:right="93"/>
              <w:jc w:val="both"/>
              <w:rPr>
                <w:rFonts w:ascii="Verdana" w:hAnsi="Verdana"/>
                <w:sz w:val="18"/>
                <w:szCs w:val="18"/>
              </w:rPr>
            </w:pPr>
            <w:r w:rsidRPr="00EC75B7">
              <w:rPr>
                <w:rFonts w:ascii="Verdana" w:hAnsi="Verdana"/>
                <w:sz w:val="18"/>
                <w:szCs w:val="18"/>
              </w:rPr>
              <w:t>Looking 50 years into the future, all scenarios have a very similar projection of sea level rise. However, in 100 years there are notable differences in impact between scenarios.</w:t>
            </w:r>
          </w:p>
        </w:tc>
        <w:tc>
          <w:tcPr>
            <w:tcW w:w="299" w:type="dxa"/>
            <w:tcBorders>
              <w:top w:val="nil"/>
              <w:bottom w:val="nil"/>
            </w:tcBorders>
          </w:tcPr>
          <w:p w14:paraId="4774F864" w14:textId="77777777" w:rsidR="008715BE" w:rsidRPr="00EC75B7" w:rsidRDefault="008715BE">
            <w:pPr>
              <w:pStyle w:val="TableParagraph"/>
              <w:rPr>
                <w:rFonts w:ascii="Verdana" w:hAnsi="Verdana"/>
                <w:sz w:val="18"/>
                <w:szCs w:val="18"/>
              </w:rPr>
            </w:pPr>
          </w:p>
        </w:tc>
        <w:tc>
          <w:tcPr>
            <w:tcW w:w="3321" w:type="dxa"/>
          </w:tcPr>
          <w:p w14:paraId="6D69ECF7" w14:textId="77777777" w:rsidR="008715BE" w:rsidRPr="00EC75B7" w:rsidRDefault="00000000">
            <w:pPr>
              <w:pStyle w:val="TableParagraph"/>
              <w:numPr>
                <w:ilvl w:val="0"/>
                <w:numId w:val="18"/>
              </w:numPr>
              <w:tabs>
                <w:tab w:val="left" w:pos="280"/>
              </w:tabs>
              <w:spacing w:before="8"/>
              <w:ind w:right="91"/>
              <w:jc w:val="both"/>
              <w:rPr>
                <w:rFonts w:ascii="Verdana" w:hAnsi="Verdana"/>
                <w:sz w:val="18"/>
                <w:szCs w:val="18"/>
              </w:rPr>
            </w:pPr>
            <w:r w:rsidRPr="00EC75B7">
              <w:rPr>
                <w:rFonts w:ascii="Verdana" w:hAnsi="Verdana"/>
                <w:sz w:val="18"/>
                <w:szCs w:val="18"/>
              </w:rPr>
              <w:t xml:space="preserve">Specific hazard analyses and existing hazard and risk maps (e.g., flood hazard maps) have already translated climate change indicators into a </w:t>
            </w:r>
            <w:r w:rsidRPr="00EC75B7">
              <w:rPr>
                <w:rFonts w:ascii="Verdana" w:hAnsi="Verdana"/>
                <w:spacing w:val="-2"/>
                <w:sz w:val="18"/>
                <w:szCs w:val="18"/>
              </w:rPr>
              <w:t>hazard.</w:t>
            </w:r>
          </w:p>
          <w:p w14:paraId="13B4BB5D" w14:textId="77777777" w:rsidR="008715BE" w:rsidRPr="00EC75B7" w:rsidRDefault="00000000">
            <w:pPr>
              <w:pStyle w:val="TableParagraph"/>
              <w:numPr>
                <w:ilvl w:val="0"/>
                <w:numId w:val="18"/>
              </w:numPr>
              <w:tabs>
                <w:tab w:val="left" w:pos="280"/>
                <w:tab w:val="left" w:pos="1403"/>
                <w:tab w:val="left" w:pos="2451"/>
              </w:tabs>
              <w:ind w:right="90"/>
              <w:jc w:val="both"/>
              <w:rPr>
                <w:rFonts w:ascii="Verdana" w:hAnsi="Verdana"/>
                <w:sz w:val="18"/>
                <w:szCs w:val="18"/>
              </w:rPr>
            </w:pPr>
            <w:r w:rsidRPr="00EC75B7">
              <w:rPr>
                <w:rFonts w:ascii="Verdana" w:hAnsi="Verdana"/>
                <w:sz w:val="18"/>
                <w:szCs w:val="18"/>
              </w:rPr>
              <w:t xml:space="preserve">For other climate impacts, indicators, expert opinion, and interpretation of how </w:t>
            </w:r>
            <w:r w:rsidRPr="00EC75B7">
              <w:rPr>
                <w:rFonts w:ascii="Verdana" w:hAnsi="Verdana"/>
                <w:spacing w:val="-2"/>
                <w:sz w:val="18"/>
                <w:szCs w:val="18"/>
              </w:rPr>
              <w:t xml:space="preserve">climate impacts </w:t>
            </w:r>
            <w:r w:rsidRPr="00EC75B7">
              <w:rPr>
                <w:rFonts w:ascii="Verdana" w:hAnsi="Verdana"/>
                <w:sz w:val="18"/>
                <w:szCs w:val="18"/>
              </w:rPr>
              <w:t>will affect the environment will be needed.</w:t>
            </w:r>
            <w:r w:rsidRPr="00EC75B7">
              <w:rPr>
                <w:rFonts w:ascii="Verdana" w:hAnsi="Verdana"/>
                <w:sz w:val="18"/>
                <w:szCs w:val="18"/>
              </w:rPr>
              <w:tab/>
            </w:r>
            <w:r w:rsidRPr="00EC75B7">
              <w:rPr>
                <w:rFonts w:ascii="Verdana" w:hAnsi="Verdana"/>
                <w:spacing w:val="-2"/>
                <w:sz w:val="18"/>
                <w:szCs w:val="18"/>
              </w:rPr>
              <w:t>affect</w:t>
            </w:r>
            <w:r w:rsidRPr="00EC75B7">
              <w:rPr>
                <w:rFonts w:ascii="Verdana" w:hAnsi="Verdana"/>
                <w:sz w:val="18"/>
                <w:szCs w:val="18"/>
              </w:rPr>
              <w:tab/>
            </w:r>
            <w:r w:rsidRPr="00EC75B7">
              <w:rPr>
                <w:rFonts w:ascii="Verdana" w:hAnsi="Verdana"/>
                <w:spacing w:val="-2"/>
                <w:sz w:val="18"/>
                <w:szCs w:val="18"/>
              </w:rPr>
              <w:t xml:space="preserve">affects </w:t>
            </w:r>
            <w:r w:rsidRPr="00EC75B7">
              <w:rPr>
                <w:rFonts w:ascii="Verdana" w:hAnsi="Verdana"/>
                <w:sz w:val="18"/>
                <w:szCs w:val="18"/>
              </w:rPr>
              <w:t>climate-related hazards.</w:t>
            </w:r>
          </w:p>
          <w:p w14:paraId="1784AD8A" w14:textId="77777777" w:rsidR="008715BE" w:rsidRPr="00EC75B7" w:rsidRDefault="00000000">
            <w:pPr>
              <w:pStyle w:val="TableParagraph"/>
              <w:numPr>
                <w:ilvl w:val="0"/>
                <w:numId w:val="18"/>
              </w:numPr>
              <w:tabs>
                <w:tab w:val="left" w:pos="279"/>
              </w:tabs>
              <w:spacing w:line="193" w:lineRule="exact"/>
              <w:ind w:left="279" w:hanging="167"/>
              <w:jc w:val="both"/>
              <w:rPr>
                <w:rFonts w:ascii="Verdana" w:hAnsi="Verdana"/>
                <w:sz w:val="18"/>
                <w:szCs w:val="18"/>
              </w:rPr>
            </w:pPr>
            <w:r w:rsidRPr="00EC75B7">
              <w:rPr>
                <w:rFonts w:ascii="Verdana" w:hAnsi="Verdana"/>
                <w:sz w:val="18"/>
                <w:szCs w:val="18"/>
              </w:rPr>
              <w:t xml:space="preserve">Defining a rating level </w:t>
            </w:r>
            <w:r w:rsidRPr="00EC75B7">
              <w:rPr>
                <w:rFonts w:ascii="Verdana" w:hAnsi="Verdana"/>
                <w:spacing w:val="-2"/>
                <w:sz w:val="18"/>
                <w:szCs w:val="18"/>
              </w:rPr>
              <w:t>for</w:t>
            </w:r>
          </w:p>
          <w:p w14:paraId="580236F0" w14:textId="77777777" w:rsidR="008715BE" w:rsidRPr="00EC75B7" w:rsidRDefault="00000000">
            <w:pPr>
              <w:pStyle w:val="TableParagraph"/>
              <w:spacing w:line="194" w:lineRule="exact"/>
              <w:ind w:left="280"/>
              <w:jc w:val="both"/>
              <w:rPr>
                <w:rFonts w:ascii="Verdana" w:hAnsi="Verdana"/>
                <w:sz w:val="18"/>
                <w:szCs w:val="18"/>
              </w:rPr>
            </w:pPr>
            <w:r w:rsidRPr="00EC75B7">
              <w:rPr>
                <w:rFonts w:ascii="Verdana" w:hAnsi="Verdana"/>
                <w:spacing w:val="69"/>
                <w:sz w:val="18"/>
                <w:szCs w:val="18"/>
              </w:rPr>
              <w:t xml:space="preserve">  </w:t>
            </w:r>
            <w:r w:rsidRPr="00EC75B7">
              <w:rPr>
                <w:rFonts w:ascii="Verdana" w:hAnsi="Verdana"/>
                <w:sz w:val="18"/>
                <w:szCs w:val="18"/>
              </w:rPr>
              <w:t xml:space="preserve"> ssessment</w:t>
            </w:r>
            <w:r w:rsidRPr="00EC75B7">
              <w:rPr>
                <w:rFonts w:ascii="Verdana" w:hAnsi="Verdana"/>
                <w:spacing w:val="70"/>
                <w:sz w:val="18"/>
                <w:szCs w:val="18"/>
              </w:rPr>
              <w:t xml:space="preserve">  </w:t>
            </w:r>
            <w:r w:rsidRPr="00EC75B7">
              <w:rPr>
                <w:rFonts w:ascii="Verdana" w:hAnsi="Verdana"/>
                <w:sz w:val="18"/>
                <w:szCs w:val="18"/>
              </w:rPr>
              <w:t xml:space="preserve"> initial</w:t>
            </w:r>
            <w:r w:rsidRPr="00EC75B7">
              <w:rPr>
                <w:rFonts w:ascii="Verdana" w:hAnsi="Verdana"/>
                <w:spacing w:val="70"/>
                <w:sz w:val="18"/>
                <w:szCs w:val="18"/>
              </w:rPr>
              <w:t xml:space="preserve">  </w:t>
            </w:r>
            <w:r w:rsidRPr="00EC75B7">
              <w:rPr>
                <w:rFonts w:ascii="Verdana" w:hAnsi="Verdana"/>
                <w:spacing w:val="-5"/>
                <w:sz w:val="18"/>
                <w:szCs w:val="18"/>
              </w:rPr>
              <w:t xml:space="preserve"> and</w:t>
            </w:r>
          </w:p>
          <w:p w14:paraId="68026AAE" w14:textId="77777777" w:rsidR="008715BE" w:rsidRPr="00EC75B7" w:rsidRDefault="00000000">
            <w:pPr>
              <w:pStyle w:val="TableParagraph"/>
              <w:spacing w:line="165" w:lineRule="exact"/>
              <w:ind w:left="280"/>
              <w:jc w:val="both"/>
              <w:rPr>
                <w:rFonts w:ascii="Verdana" w:hAnsi="Verdana"/>
                <w:sz w:val="18"/>
                <w:szCs w:val="18"/>
              </w:rPr>
            </w:pPr>
            <w:r w:rsidRPr="00EC75B7">
              <w:rPr>
                <w:rFonts w:ascii="Verdana" w:hAnsi="Verdana"/>
                <w:sz w:val="18"/>
                <w:szCs w:val="18"/>
              </w:rPr>
              <w:t>future exposure (from 0 to</w:t>
            </w:r>
            <w:r w:rsidRPr="00EC75B7">
              <w:rPr>
                <w:rFonts w:ascii="Verdana" w:hAnsi="Verdana"/>
                <w:spacing w:val="-5"/>
                <w:sz w:val="18"/>
                <w:szCs w:val="18"/>
              </w:rPr>
              <w:t xml:space="preserve"> 3).</w:t>
            </w:r>
          </w:p>
        </w:tc>
      </w:tr>
    </w:tbl>
    <w:p w14:paraId="48FAE6B6" w14:textId="77777777" w:rsidR="008715BE" w:rsidRPr="00EC75B7" w:rsidRDefault="008715BE">
      <w:pPr>
        <w:pStyle w:val="BodyText"/>
        <w:spacing w:before="202"/>
        <w:rPr>
          <w:rFonts w:ascii="Verdana" w:hAnsi="Verdana"/>
        </w:rPr>
      </w:pPr>
    </w:p>
    <w:p w14:paraId="5C71B2FA" w14:textId="77777777" w:rsidR="008715BE" w:rsidRPr="00EC75B7" w:rsidRDefault="00000000">
      <w:pPr>
        <w:pStyle w:val="Heading5"/>
        <w:jc w:val="left"/>
        <w:rPr>
          <w:rFonts w:ascii="Verdana" w:hAnsi="Verdana"/>
        </w:rPr>
      </w:pPr>
      <w:r w:rsidRPr="00EC75B7">
        <w:rPr>
          <w:rFonts w:ascii="Verdana" w:hAnsi="Verdana"/>
        </w:rPr>
        <w:t xml:space="preserve">Climate projection of scenarios considered for </w:t>
      </w:r>
      <w:r w:rsidRPr="00EC75B7">
        <w:rPr>
          <w:rFonts w:ascii="Verdana" w:hAnsi="Verdana"/>
          <w:spacing w:val="-2"/>
        </w:rPr>
        <w:t>assessment</w:t>
      </w:r>
    </w:p>
    <w:p w14:paraId="10EBF904" w14:textId="77777777" w:rsidR="008715BE" w:rsidRPr="00EC75B7" w:rsidRDefault="008715BE">
      <w:pPr>
        <w:pStyle w:val="BodyText"/>
        <w:spacing w:before="9"/>
        <w:rPr>
          <w:rFonts w:ascii="Verdana" w:hAnsi="Verdana"/>
          <w:b/>
        </w:rPr>
      </w:pPr>
    </w:p>
    <w:p w14:paraId="1CE30AE7" w14:textId="77777777" w:rsidR="002A4F7C" w:rsidRDefault="00000000" w:rsidP="002A4F7C">
      <w:pPr>
        <w:pStyle w:val="BodyText"/>
        <w:spacing w:before="1" w:line="357" w:lineRule="auto"/>
        <w:ind w:left="57" w:right="706"/>
        <w:jc w:val="both"/>
        <w:rPr>
          <w:rFonts w:ascii="Verdana" w:hAnsi="Verdana"/>
        </w:rPr>
      </w:pPr>
      <w:r w:rsidRPr="00EC75B7">
        <w:rPr>
          <w:rFonts w:ascii="Verdana" w:hAnsi="Verdana"/>
        </w:rPr>
        <w:t>The exposure assessment took into account the latest available IPCC reports (currently the 6th Assessment Report AR6) in terms of shared socio-economic pathways (SSPs).</w:t>
      </w:r>
    </w:p>
    <w:p w14:paraId="2E3506F9" w14:textId="627E2875" w:rsidR="008715BE" w:rsidRPr="00EC75B7" w:rsidRDefault="00000000" w:rsidP="002A4F7C">
      <w:pPr>
        <w:pStyle w:val="BodyText"/>
        <w:spacing w:before="1" w:line="357" w:lineRule="auto"/>
        <w:ind w:left="57" w:right="706"/>
        <w:jc w:val="both"/>
        <w:rPr>
          <w:rFonts w:ascii="Verdana" w:hAnsi="Verdana"/>
        </w:rPr>
      </w:pPr>
      <w:r w:rsidRPr="00EC75B7">
        <w:rPr>
          <w:rFonts w:ascii="Verdana" w:hAnsi="Verdana"/>
          <w:spacing w:val="-2"/>
        </w:rPr>
        <w:t xml:space="preserve">For Romania, data for RCP (Representative Concentration </w:t>
      </w:r>
      <w:r w:rsidRPr="00EC75B7">
        <w:rPr>
          <w:rFonts w:ascii="Verdana" w:hAnsi="Verdana"/>
        </w:rPr>
        <w:t xml:space="preserve">Pathways) </w:t>
      </w:r>
      <w:r w:rsidRPr="00EC75B7">
        <w:rPr>
          <w:rFonts w:ascii="Verdana" w:hAnsi="Verdana"/>
          <w:spacing w:val="-2"/>
        </w:rPr>
        <w:t>scenarios were available at the local level</w:t>
      </w:r>
      <w:r w:rsidRPr="00EC75B7">
        <w:rPr>
          <w:rFonts w:ascii="Verdana" w:hAnsi="Verdana"/>
        </w:rPr>
        <w:t>. These selected RCP scenarios are comparable to SSPs. RCP scenarios are used in climate change modeling to predict the impact of greenhouse gas emissions on the climate.</w:t>
      </w:r>
    </w:p>
    <w:p w14:paraId="43594471" w14:textId="77777777" w:rsidR="008715BE" w:rsidRPr="00EC75B7" w:rsidRDefault="00000000">
      <w:pPr>
        <w:pStyle w:val="BodyText"/>
        <w:spacing w:before="116"/>
        <w:ind w:left="57"/>
        <w:jc w:val="both"/>
        <w:rPr>
          <w:rFonts w:ascii="Verdana" w:hAnsi="Verdana"/>
        </w:rPr>
      </w:pPr>
      <w:r w:rsidRPr="00EC75B7">
        <w:rPr>
          <w:rFonts w:ascii="Verdana" w:hAnsi="Verdana"/>
        </w:rPr>
        <w:t xml:space="preserve">It is expected that the wind farm will continue to operate for a period of 25 years, so more extreme projections were taken </w:t>
      </w:r>
      <w:r w:rsidRPr="00EC75B7">
        <w:rPr>
          <w:rFonts w:ascii="Verdana" w:hAnsi="Verdana"/>
          <w:spacing w:val="-5"/>
        </w:rPr>
        <w:t>into account.</w:t>
      </w:r>
    </w:p>
    <w:p w14:paraId="52A36F8D" w14:textId="77777777" w:rsidR="008715BE" w:rsidRPr="00EC75B7" w:rsidRDefault="00000000">
      <w:pPr>
        <w:pStyle w:val="BodyText"/>
        <w:spacing w:before="109"/>
        <w:ind w:left="57"/>
        <w:jc w:val="both"/>
        <w:rPr>
          <w:rFonts w:ascii="Verdana" w:hAnsi="Verdana"/>
        </w:rPr>
      </w:pPr>
      <w:r w:rsidRPr="00EC75B7">
        <w:rPr>
          <w:rFonts w:ascii="Verdana" w:hAnsi="Verdana"/>
        </w:rPr>
        <w:t xml:space="preserve">The </w:t>
      </w:r>
      <w:r w:rsidRPr="00EC75B7">
        <w:rPr>
          <w:rFonts w:ascii="Verdana" w:hAnsi="Verdana"/>
          <w:spacing w:val="-2"/>
        </w:rPr>
        <w:t xml:space="preserve">exposure </w:t>
      </w:r>
      <w:r w:rsidRPr="00EC75B7">
        <w:rPr>
          <w:rFonts w:ascii="Verdana" w:hAnsi="Verdana"/>
        </w:rPr>
        <w:t xml:space="preserve">assessment was based on the following </w:t>
      </w:r>
      <w:r w:rsidRPr="00EC75B7">
        <w:rPr>
          <w:rFonts w:ascii="Verdana" w:hAnsi="Verdana"/>
          <w:spacing w:val="-2"/>
        </w:rPr>
        <w:t xml:space="preserve">climate </w:t>
      </w:r>
      <w:r w:rsidRPr="00EC75B7">
        <w:rPr>
          <w:rFonts w:ascii="Verdana" w:hAnsi="Verdana"/>
        </w:rPr>
        <w:t>projections</w:t>
      </w:r>
      <w:r w:rsidRPr="00EC75B7">
        <w:rPr>
          <w:rFonts w:ascii="Verdana" w:hAnsi="Verdana"/>
          <w:spacing w:val="-2"/>
        </w:rPr>
        <w:t>:</w:t>
      </w:r>
    </w:p>
    <w:p w14:paraId="62FB5F85" w14:textId="77777777" w:rsidR="008715BE" w:rsidRPr="00EC75B7" w:rsidRDefault="008715BE">
      <w:pPr>
        <w:pStyle w:val="BodyText"/>
        <w:spacing w:before="9"/>
        <w:rPr>
          <w:rFonts w:ascii="Verdana" w:hAnsi="Verdana"/>
        </w:rPr>
      </w:pPr>
    </w:p>
    <w:p w14:paraId="608C4F5A" w14:textId="77777777" w:rsidR="008715BE" w:rsidRPr="00EC75B7" w:rsidRDefault="00000000">
      <w:pPr>
        <w:pStyle w:val="BodyText"/>
        <w:ind w:left="57"/>
        <w:jc w:val="both"/>
        <w:rPr>
          <w:rFonts w:ascii="Verdana" w:hAnsi="Verdana"/>
        </w:rPr>
      </w:pPr>
      <w:r w:rsidRPr="00EC75B7">
        <w:rPr>
          <w:rFonts w:ascii="Verdana" w:hAnsi="Verdana"/>
        </w:rPr>
        <w:t xml:space="preserve">The exposure assessment was based on the following </w:t>
      </w:r>
      <w:r w:rsidRPr="00EC75B7">
        <w:rPr>
          <w:rFonts w:ascii="Verdana" w:hAnsi="Verdana"/>
          <w:spacing w:val="-2"/>
        </w:rPr>
        <w:t xml:space="preserve">climate </w:t>
      </w:r>
      <w:r w:rsidRPr="00EC75B7">
        <w:rPr>
          <w:rFonts w:ascii="Verdana" w:hAnsi="Verdana"/>
        </w:rPr>
        <w:t>projections</w:t>
      </w:r>
      <w:r w:rsidRPr="00EC75B7">
        <w:rPr>
          <w:rFonts w:ascii="Verdana" w:hAnsi="Verdana"/>
          <w:spacing w:val="-2"/>
        </w:rPr>
        <w:t>:</w:t>
      </w:r>
    </w:p>
    <w:p w14:paraId="01CD07F7" w14:textId="77777777" w:rsidR="008715BE" w:rsidRPr="00EC75B7" w:rsidRDefault="008715BE">
      <w:pPr>
        <w:pStyle w:val="BodyText"/>
        <w:spacing w:before="10"/>
        <w:rPr>
          <w:rFonts w:ascii="Verdana" w:hAnsi="Verdana"/>
        </w:rPr>
      </w:pPr>
    </w:p>
    <w:p w14:paraId="31B74129" w14:textId="77777777" w:rsidR="008715BE" w:rsidRPr="00EC75B7" w:rsidRDefault="00000000">
      <w:pPr>
        <w:pStyle w:val="ListParagraph"/>
        <w:numPr>
          <w:ilvl w:val="0"/>
          <w:numId w:val="21"/>
        </w:numPr>
        <w:tabs>
          <w:tab w:val="left" w:pos="341"/>
        </w:tabs>
        <w:spacing w:line="357" w:lineRule="auto"/>
        <w:ind w:left="341" w:right="712" w:hanging="284"/>
        <w:rPr>
          <w:rFonts w:ascii="Verdana" w:hAnsi="Verdana"/>
          <w:sz w:val="18"/>
          <w:szCs w:val="18"/>
        </w:rPr>
      </w:pPr>
      <w:r w:rsidRPr="00EC75B7">
        <w:rPr>
          <w:rFonts w:ascii="Verdana" w:hAnsi="Verdana"/>
          <w:sz w:val="18"/>
          <w:szCs w:val="18"/>
        </w:rPr>
        <w:t>RCP 2.6 for current exposure (2025-2040) represents the stringent trajectory and assumes that CO2 emissions will begin to decline starting in 2020, reaching 0 in 2100.</w:t>
      </w:r>
    </w:p>
    <w:p w14:paraId="5E4B7EBD" w14:textId="77777777" w:rsidR="008715BE" w:rsidRPr="00EC75B7" w:rsidRDefault="00000000">
      <w:pPr>
        <w:pStyle w:val="ListParagraph"/>
        <w:numPr>
          <w:ilvl w:val="0"/>
          <w:numId w:val="21"/>
        </w:numPr>
        <w:tabs>
          <w:tab w:val="left" w:pos="340"/>
        </w:tabs>
        <w:ind w:left="340" w:hanging="283"/>
        <w:rPr>
          <w:rFonts w:ascii="Verdana" w:hAnsi="Verdana"/>
          <w:sz w:val="18"/>
          <w:szCs w:val="18"/>
        </w:rPr>
      </w:pPr>
      <w:r w:rsidRPr="00EC75B7">
        <w:rPr>
          <w:rFonts w:ascii="Verdana" w:hAnsi="Verdana"/>
          <w:sz w:val="18"/>
          <w:szCs w:val="18"/>
        </w:rPr>
        <w:t xml:space="preserve">RCP 4.5 for medium-term exposure (2041-2070) – in this scenario, emissions </w:t>
      </w:r>
      <w:r w:rsidRPr="00EC75B7">
        <w:rPr>
          <w:rFonts w:ascii="Verdana" w:hAnsi="Verdana"/>
          <w:spacing w:val="-2"/>
          <w:sz w:val="18"/>
          <w:szCs w:val="18"/>
        </w:rPr>
        <w:t>peak</w:t>
      </w:r>
    </w:p>
    <w:p w14:paraId="1149F606" w14:textId="77777777" w:rsidR="008715BE" w:rsidRPr="00EC75B7" w:rsidRDefault="00000000">
      <w:pPr>
        <w:pStyle w:val="BodyText"/>
        <w:spacing w:before="109"/>
        <w:ind w:left="341"/>
        <w:rPr>
          <w:rFonts w:ascii="Verdana" w:hAnsi="Verdana"/>
        </w:rPr>
      </w:pPr>
      <w:r w:rsidRPr="00EC75B7">
        <w:rPr>
          <w:rFonts w:ascii="Verdana" w:hAnsi="Verdana"/>
        </w:rPr>
        <w:t xml:space="preserve">in 2040, followed by a slow decline </w:t>
      </w:r>
      <w:r w:rsidRPr="00EC75B7">
        <w:rPr>
          <w:rFonts w:ascii="Verdana" w:hAnsi="Verdana"/>
          <w:spacing w:val="-2"/>
        </w:rPr>
        <w:t>thereafter</w:t>
      </w:r>
    </w:p>
    <w:p w14:paraId="5D700418" w14:textId="77777777" w:rsidR="008715BE" w:rsidRPr="00EC75B7" w:rsidRDefault="00000000">
      <w:pPr>
        <w:pStyle w:val="ListParagraph"/>
        <w:numPr>
          <w:ilvl w:val="0"/>
          <w:numId w:val="21"/>
        </w:numPr>
        <w:tabs>
          <w:tab w:val="left" w:pos="340"/>
        </w:tabs>
        <w:spacing w:before="107"/>
        <w:ind w:left="340" w:hanging="283"/>
        <w:rPr>
          <w:rFonts w:ascii="Verdana" w:hAnsi="Verdana"/>
          <w:sz w:val="18"/>
          <w:szCs w:val="18"/>
        </w:rPr>
      </w:pPr>
      <w:r w:rsidRPr="00EC75B7">
        <w:rPr>
          <w:rFonts w:ascii="Verdana" w:hAnsi="Verdana"/>
          <w:sz w:val="18"/>
          <w:szCs w:val="18"/>
        </w:rPr>
        <w:t xml:space="preserve">RCP 8.5 for long-term exposure (2071-2100) – the most pessimistic scenario in which </w:t>
      </w:r>
      <w:r w:rsidRPr="00EC75B7">
        <w:rPr>
          <w:rFonts w:ascii="Verdana" w:hAnsi="Verdana"/>
          <w:spacing w:val="-2"/>
          <w:sz w:val="18"/>
          <w:szCs w:val="18"/>
        </w:rPr>
        <w:t>emissions</w:t>
      </w:r>
    </w:p>
    <w:p w14:paraId="6C95B1A1" w14:textId="0146D2CD" w:rsidR="008715BE" w:rsidRDefault="00000000" w:rsidP="002A4F7C">
      <w:pPr>
        <w:pStyle w:val="BodyText"/>
        <w:spacing w:before="109"/>
        <w:ind w:left="341"/>
        <w:rPr>
          <w:rFonts w:ascii="Verdana" w:hAnsi="Verdana"/>
        </w:rPr>
      </w:pPr>
      <w:r w:rsidRPr="00EC75B7">
        <w:rPr>
          <w:rFonts w:ascii="Verdana" w:hAnsi="Verdana"/>
        </w:rPr>
        <w:t>continue to rise throughout the</w:t>
      </w:r>
      <w:r w:rsidRPr="00EC75B7">
        <w:rPr>
          <w:rFonts w:ascii="Verdana" w:hAnsi="Verdana"/>
          <w:spacing w:val="-5"/>
        </w:rPr>
        <w:t xml:space="preserve"> 21st </w:t>
      </w:r>
      <w:r w:rsidRPr="00EC75B7">
        <w:rPr>
          <w:rFonts w:ascii="Verdana" w:hAnsi="Verdana"/>
        </w:rPr>
        <w:t>century</w:t>
      </w:r>
    </w:p>
    <w:p w14:paraId="229B1B23" w14:textId="77777777" w:rsidR="00E90322" w:rsidRPr="00EC75B7" w:rsidRDefault="00E90322" w:rsidP="002A4F7C">
      <w:pPr>
        <w:pStyle w:val="BodyText"/>
        <w:spacing w:before="109"/>
        <w:ind w:left="341"/>
        <w:rPr>
          <w:rFonts w:ascii="Verdana" w:hAnsi="Verdana"/>
        </w:rPr>
      </w:pPr>
    </w:p>
    <w:p w14:paraId="45CC538A" w14:textId="77777777" w:rsidR="008715BE" w:rsidRPr="00EC75B7" w:rsidRDefault="00000000">
      <w:pPr>
        <w:pStyle w:val="BodyText"/>
        <w:spacing w:line="357" w:lineRule="auto"/>
        <w:ind w:left="57" w:right="710"/>
        <w:jc w:val="both"/>
        <w:rPr>
          <w:rFonts w:ascii="Verdana" w:hAnsi="Verdana"/>
        </w:rPr>
      </w:pPr>
      <w:r w:rsidRPr="00EC75B7">
        <w:rPr>
          <w:rFonts w:ascii="Verdana" w:hAnsi="Verdana"/>
        </w:rPr>
        <w:t>It is anticipated that the first year of project operation will be in the middle of the short-term period (2026-2040) and therefore the conditions of a 1.5 °C warmer world will be used as the current exposure data. If RCP 1-2.6 is followed, this will also reflect the long-term future exposure of the project location.</w:t>
      </w:r>
    </w:p>
    <w:p w14:paraId="4AADBE42" w14:textId="77777777" w:rsidR="008715BE" w:rsidRPr="00EC75B7" w:rsidRDefault="00000000">
      <w:pPr>
        <w:pStyle w:val="BodyText"/>
        <w:spacing w:before="124" w:line="357" w:lineRule="auto"/>
        <w:ind w:left="57" w:right="713"/>
        <w:jc w:val="both"/>
        <w:rPr>
          <w:rFonts w:ascii="Verdana" w:hAnsi="Verdana"/>
        </w:rPr>
      </w:pPr>
      <w:r w:rsidRPr="00EC75B7">
        <w:rPr>
          <w:rFonts w:ascii="Verdana" w:hAnsi="Verdana"/>
        </w:rPr>
        <w:t>RCP4.5 is considered a stabilization scenario, which means that it assumes that mitigation measures will be sufficient to stabilize radiative forcing at approximately 4.5 W/m² by the year 2100 (higher radiative forcing leads to a warmer climate).</w:t>
      </w:r>
      <w:r w:rsidRPr="00EC75B7">
        <w:rPr>
          <w:rFonts w:ascii="Verdana" w:hAnsi="Verdana"/>
          <w:spacing w:val="25"/>
        </w:rPr>
        <w:t xml:space="preserve"> </w:t>
      </w:r>
      <w:r w:rsidRPr="00EC75B7">
        <w:rPr>
          <w:rFonts w:ascii="Verdana" w:hAnsi="Verdana"/>
        </w:rPr>
        <w:t>It assumes a moderate increase in greenhouse gas emissions over the coming decades, followed by a significant reduction over the course of the century, thanks to the adoption of clean energy technologies and effective environmental policy.</w:t>
      </w:r>
    </w:p>
    <w:p w14:paraId="7B442512" w14:textId="07413D50" w:rsidR="008715BE" w:rsidRPr="00EC75B7" w:rsidRDefault="00000000" w:rsidP="00E90322">
      <w:pPr>
        <w:pStyle w:val="BodyText"/>
        <w:spacing w:before="116" w:line="360" w:lineRule="auto"/>
        <w:ind w:left="57" w:right="718"/>
        <w:jc w:val="both"/>
        <w:rPr>
          <w:rFonts w:ascii="Verdana" w:hAnsi="Verdana"/>
        </w:rPr>
        <w:sectPr w:rsidR="008715BE" w:rsidRPr="00EC75B7">
          <w:pgSz w:w="11910" w:h="16840"/>
          <w:pgMar w:top="1320" w:right="283" w:bottom="1020" w:left="1133" w:header="766" w:footer="824" w:gutter="0"/>
          <w:cols w:space="708"/>
        </w:sectPr>
      </w:pPr>
      <w:r w:rsidRPr="00EC75B7">
        <w:rPr>
          <w:rFonts w:ascii="Verdana" w:hAnsi="Verdana"/>
        </w:rPr>
        <w:t>On the other hand, RCP8.5 is a high emissions scenario, sometimes described as a "business as usual" scenario, assuming that no major changes will be made to emissions policy, leading to</w:t>
      </w:r>
      <w:r w:rsidR="00E90322">
        <w:rPr>
          <w:rFonts w:ascii="Verdana" w:hAnsi="Verdana"/>
        </w:rPr>
        <w:t xml:space="preserve"> a  </w:t>
      </w:r>
      <w:r w:rsidR="00E90322" w:rsidRPr="00EC75B7">
        <w:rPr>
          <w:rFonts w:ascii="Verdana" w:hAnsi="Verdana"/>
        </w:rPr>
        <w:t>continuous</w:t>
      </w:r>
      <w:r w:rsidR="00E90322" w:rsidRPr="00E90322">
        <w:rPr>
          <w:rFonts w:ascii="Verdana" w:hAnsi="Verdana"/>
        </w:rPr>
        <w:t xml:space="preserve"> </w:t>
      </w:r>
      <w:r w:rsidR="00E90322" w:rsidRPr="00EC75B7">
        <w:rPr>
          <w:rFonts w:ascii="Verdana" w:hAnsi="Verdana"/>
        </w:rPr>
        <w:t>increase</w:t>
      </w:r>
    </w:p>
    <w:p w14:paraId="004F17D5" w14:textId="1B3C856B" w:rsidR="008715BE" w:rsidRPr="00EC75B7" w:rsidRDefault="00000000">
      <w:pPr>
        <w:pStyle w:val="BodyText"/>
        <w:spacing w:before="99" w:line="357" w:lineRule="auto"/>
        <w:ind w:left="57" w:right="717"/>
        <w:jc w:val="both"/>
        <w:rPr>
          <w:rFonts w:ascii="Verdana" w:hAnsi="Verdana"/>
        </w:rPr>
      </w:pPr>
      <w:r w:rsidRPr="00EC75B7">
        <w:rPr>
          <w:rFonts w:ascii="Verdana" w:hAnsi="Verdana"/>
        </w:rPr>
        <w:lastRenderedPageBreak/>
        <w:t>in greenhouse gas emissions throughout the 21st century. This scenario projects a radiative forcing of approximately 8.5 W/m² by the end of the century, leading to significant increases in global temperature and severe climate change.</w:t>
      </w:r>
    </w:p>
    <w:p w14:paraId="7551F641" w14:textId="77777777" w:rsidR="008715BE" w:rsidRPr="00EC75B7" w:rsidRDefault="00000000">
      <w:pPr>
        <w:pStyle w:val="BodyText"/>
        <w:spacing w:before="123" w:line="357" w:lineRule="auto"/>
        <w:ind w:left="57" w:right="706"/>
        <w:jc w:val="both"/>
        <w:rPr>
          <w:rFonts w:ascii="Verdana" w:hAnsi="Verdana"/>
        </w:rPr>
      </w:pPr>
      <w:r w:rsidRPr="00EC75B7">
        <w:rPr>
          <w:rFonts w:ascii="Verdana" w:hAnsi="Verdana"/>
          <w:spacing w:val="-2"/>
        </w:rPr>
        <w:t xml:space="preserve">Data available on RO-ADAPT was used to assess future exposure. Up to 2005, </w:t>
      </w:r>
      <w:r w:rsidRPr="00EC75B7">
        <w:rPr>
          <w:rFonts w:ascii="Verdana" w:hAnsi="Verdana"/>
        </w:rPr>
        <w:t>the data is based on measurements taken by the National Meteorological Administration.</w:t>
      </w:r>
      <w:r w:rsidRPr="00EC75B7">
        <w:rPr>
          <w:rFonts w:ascii="Verdana" w:hAnsi="Verdana"/>
          <w:spacing w:val="-10"/>
        </w:rPr>
        <w:t xml:space="preserve"> </w:t>
      </w:r>
      <w:r w:rsidRPr="00EC75B7">
        <w:rPr>
          <w:rFonts w:ascii="Verdana" w:hAnsi="Verdana"/>
        </w:rPr>
        <w:t>After 2005, the data are fully simulated using the RCP4.5 and RCP8.5 forecast scenarios, as defined by the Intergovernmental Panel on Climate Change (IPCC).</w:t>
      </w:r>
    </w:p>
    <w:p w14:paraId="64611E70" w14:textId="77777777" w:rsidR="008715BE" w:rsidRPr="00EC75B7" w:rsidRDefault="00000000">
      <w:pPr>
        <w:pStyle w:val="Heading5"/>
        <w:spacing w:before="123"/>
        <w:rPr>
          <w:rFonts w:ascii="Verdana" w:hAnsi="Verdana"/>
        </w:rPr>
      </w:pPr>
      <w:r w:rsidRPr="00EC75B7">
        <w:rPr>
          <w:rFonts w:ascii="Verdana" w:hAnsi="Verdana"/>
        </w:rPr>
        <w:t xml:space="preserve">Transposing climate change impact indices to exposure to </w:t>
      </w:r>
      <w:r w:rsidRPr="00EC75B7">
        <w:rPr>
          <w:rFonts w:ascii="Verdana" w:hAnsi="Verdana"/>
          <w:spacing w:val="-2"/>
        </w:rPr>
        <w:t xml:space="preserve">climate </w:t>
      </w:r>
      <w:r w:rsidRPr="00EC75B7">
        <w:rPr>
          <w:rFonts w:ascii="Verdana" w:hAnsi="Verdana"/>
        </w:rPr>
        <w:t>hazards</w:t>
      </w:r>
    </w:p>
    <w:p w14:paraId="7CD99C74" w14:textId="77777777" w:rsidR="008715BE" w:rsidRPr="00EC75B7" w:rsidRDefault="008715BE">
      <w:pPr>
        <w:pStyle w:val="BodyText"/>
        <w:spacing w:before="9"/>
        <w:rPr>
          <w:rFonts w:ascii="Verdana" w:hAnsi="Verdana"/>
          <w:b/>
        </w:rPr>
      </w:pPr>
    </w:p>
    <w:p w14:paraId="43541250" w14:textId="77777777" w:rsidR="008715BE" w:rsidRPr="00EC75B7" w:rsidRDefault="00000000">
      <w:pPr>
        <w:pStyle w:val="BodyText"/>
        <w:spacing w:line="357" w:lineRule="auto"/>
        <w:ind w:left="57" w:right="710"/>
        <w:jc w:val="both"/>
        <w:rPr>
          <w:rFonts w:ascii="Verdana" w:hAnsi="Verdana"/>
        </w:rPr>
      </w:pPr>
      <w:r w:rsidRPr="00EC75B7">
        <w:rPr>
          <w:rFonts w:ascii="Verdana" w:hAnsi="Verdana"/>
        </w:rPr>
        <w:t xml:space="preserve">Past and recent climate trends were not used to assess future exposure because the future trajectory of climate change impacts is often not captured. They were used to inform current exposure. Relying solely on trends to assess impact could lead to the development of projects that are not resilient to climate impacts across a range of </w:t>
      </w:r>
      <w:r w:rsidRPr="00EC75B7">
        <w:rPr>
          <w:rFonts w:ascii="Verdana" w:hAnsi="Verdana"/>
          <w:spacing w:val="-2"/>
        </w:rPr>
        <w:t>plausible</w:t>
      </w:r>
      <w:r w:rsidRPr="00EC75B7">
        <w:rPr>
          <w:rFonts w:ascii="Verdana" w:hAnsi="Verdana"/>
        </w:rPr>
        <w:t xml:space="preserve"> futures</w:t>
      </w:r>
      <w:r w:rsidRPr="00EC75B7">
        <w:rPr>
          <w:rFonts w:ascii="Verdana" w:hAnsi="Verdana"/>
          <w:spacing w:val="-2"/>
        </w:rPr>
        <w:t>.</w:t>
      </w:r>
    </w:p>
    <w:p w14:paraId="0B4F70CA" w14:textId="77777777" w:rsidR="008715BE" w:rsidRPr="00EC75B7" w:rsidRDefault="00000000">
      <w:pPr>
        <w:pStyle w:val="BodyText"/>
        <w:spacing w:before="123" w:line="360" w:lineRule="auto"/>
        <w:ind w:left="57" w:right="715"/>
        <w:jc w:val="both"/>
        <w:rPr>
          <w:rFonts w:ascii="Verdana" w:hAnsi="Verdana"/>
        </w:rPr>
      </w:pPr>
      <w:r w:rsidRPr="00EC75B7">
        <w:rPr>
          <w:rFonts w:ascii="Verdana" w:hAnsi="Verdana"/>
        </w:rPr>
        <w:t>The following table shows the scoring system established for exposure assessment, the method used to assign exposure scores for each climate hazard.</w:t>
      </w:r>
    </w:p>
    <w:p w14:paraId="01A6B42D" w14:textId="77777777" w:rsidR="008715BE" w:rsidRPr="00EC75B7" w:rsidRDefault="00000000">
      <w:pPr>
        <w:spacing w:before="169"/>
        <w:ind w:left="57"/>
        <w:jc w:val="both"/>
        <w:rPr>
          <w:rFonts w:ascii="Verdana" w:hAnsi="Verdana"/>
          <w:b/>
          <w:sz w:val="18"/>
          <w:szCs w:val="18"/>
        </w:rPr>
      </w:pPr>
      <w:r w:rsidRPr="00EC75B7">
        <w:rPr>
          <w:rFonts w:ascii="Verdana" w:hAnsi="Verdana"/>
          <w:b/>
          <w:color w:val="00AFEF"/>
          <w:sz w:val="18"/>
          <w:szCs w:val="18"/>
        </w:rPr>
        <w:t xml:space="preserve">Table 69 </w:t>
      </w:r>
      <w:r w:rsidRPr="00EC75B7">
        <w:rPr>
          <w:rFonts w:ascii="Verdana" w:hAnsi="Verdana"/>
          <w:b/>
          <w:color w:val="00AFEF"/>
          <w:spacing w:val="-2"/>
          <w:sz w:val="18"/>
          <w:szCs w:val="18"/>
        </w:rPr>
        <w:t xml:space="preserve">Exposure </w:t>
      </w:r>
      <w:r w:rsidRPr="00EC75B7">
        <w:rPr>
          <w:rFonts w:ascii="Verdana" w:hAnsi="Verdana"/>
          <w:b/>
          <w:color w:val="00AFEF"/>
          <w:sz w:val="18"/>
          <w:szCs w:val="18"/>
        </w:rPr>
        <w:t>assessment rating system</w:t>
      </w:r>
    </w:p>
    <w:tbl>
      <w:tblPr>
        <w:tblStyle w:val="TableNormal1"/>
        <w:tblW w:w="0" w:type="auto"/>
        <w:tblInd w:w="62"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634"/>
        <w:gridCol w:w="1139"/>
        <w:gridCol w:w="279"/>
        <w:gridCol w:w="6986"/>
      </w:tblGrid>
      <w:tr w:rsidR="008715BE" w:rsidRPr="00EC75B7" w14:paraId="74DD105D" w14:textId="77777777" w:rsidTr="002A4F7C">
        <w:trPr>
          <w:trHeight w:val="388"/>
        </w:trPr>
        <w:tc>
          <w:tcPr>
            <w:tcW w:w="1634" w:type="dxa"/>
            <w:shd w:val="clear" w:color="auto" w:fill="00AFEF"/>
          </w:tcPr>
          <w:p w14:paraId="735ADE10" w14:textId="77777777" w:rsidR="008715BE" w:rsidRPr="00EC75B7" w:rsidRDefault="00000000">
            <w:pPr>
              <w:pStyle w:val="TableParagraph"/>
              <w:spacing w:before="193" w:line="175" w:lineRule="exact"/>
              <w:ind w:left="34" w:right="28"/>
              <w:jc w:val="center"/>
              <w:rPr>
                <w:rFonts w:ascii="Verdana" w:hAnsi="Verdana"/>
                <w:b/>
                <w:sz w:val="18"/>
                <w:szCs w:val="18"/>
              </w:rPr>
            </w:pPr>
            <w:r w:rsidRPr="00EC75B7">
              <w:rPr>
                <w:rFonts w:ascii="Verdana" w:hAnsi="Verdana"/>
                <w:b/>
                <w:color w:val="FFFFFF"/>
                <w:spacing w:val="-2"/>
                <w:sz w:val="18"/>
                <w:szCs w:val="18"/>
              </w:rPr>
              <w:t xml:space="preserve">Exposure </w:t>
            </w:r>
            <w:r w:rsidRPr="00EC75B7">
              <w:rPr>
                <w:rFonts w:ascii="Verdana" w:hAnsi="Verdana"/>
                <w:b/>
                <w:color w:val="FFFFFF"/>
                <w:sz w:val="18"/>
                <w:szCs w:val="18"/>
              </w:rPr>
              <w:t>type</w:t>
            </w:r>
          </w:p>
        </w:tc>
        <w:tc>
          <w:tcPr>
            <w:tcW w:w="1418" w:type="dxa"/>
            <w:gridSpan w:val="2"/>
            <w:shd w:val="clear" w:color="auto" w:fill="00AFEF"/>
          </w:tcPr>
          <w:p w14:paraId="0006031B" w14:textId="77777777" w:rsidR="008715BE" w:rsidRPr="00EC75B7" w:rsidRDefault="00000000">
            <w:pPr>
              <w:pStyle w:val="TableParagraph"/>
              <w:spacing w:line="194" w:lineRule="exact"/>
              <w:ind w:left="9" w:right="3"/>
              <w:jc w:val="center"/>
              <w:rPr>
                <w:rFonts w:ascii="Verdana" w:hAnsi="Verdana"/>
                <w:b/>
                <w:sz w:val="18"/>
                <w:szCs w:val="18"/>
              </w:rPr>
            </w:pPr>
            <w:r w:rsidRPr="00EC75B7">
              <w:rPr>
                <w:rFonts w:ascii="Verdana" w:hAnsi="Verdana"/>
                <w:b/>
                <w:color w:val="FFFFFF"/>
                <w:spacing w:val="-5"/>
                <w:sz w:val="18"/>
                <w:szCs w:val="18"/>
              </w:rPr>
              <w:t xml:space="preserve">Scoring </w:t>
            </w:r>
            <w:r w:rsidRPr="00EC75B7">
              <w:rPr>
                <w:rFonts w:ascii="Verdana" w:hAnsi="Verdana"/>
                <w:b/>
                <w:color w:val="FFFFFF"/>
                <w:sz w:val="18"/>
                <w:szCs w:val="18"/>
              </w:rPr>
              <w:t>system</w:t>
            </w:r>
          </w:p>
          <w:p w14:paraId="01B1C20F" w14:textId="77777777" w:rsidR="008715BE" w:rsidRPr="00EC75B7" w:rsidRDefault="00000000">
            <w:pPr>
              <w:pStyle w:val="TableParagraph"/>
              <w:spacing w:line="175" w:lineRule="exact"/>
              <w:ind w:left="9"/>
              <w:jc w:val="center"/>
              <w:rPr>
                <w:rFonts w:ascii="Verdana" w:hAnsi="Verdana"/>
                <w:b/>
                <w:sz w:val="18"/>
                <w:szCs w:val="18"/>
              </w:rPr>
            </w:pPr>
            <w:r w:rsidRPr="00EC75B7">
              <w:rPr>
                <w:rFonts w:ascii="Verdana" w:hAnsi="Verdana"/>
                <w:b/>
                <w:color w:val="FFFFFF"/>
                <w:spacing w:val="-2"/>
                <w:sz w:val="18"/>
                <w:szCs w:val="18"/>
              </w:rPr>
              <w:t>for</w:t>
            </w:r>
          </w:p>
        </w:tc>
        <w:tc>
          <w:tcPr>
            <w:tcW w:w="6986" w:type="dxa"/>
            <w:shd w:val="clear" w:color="auto" w:fill="00AFEF"/>
          </w:tcPr>
          <w:p w14:paraId="1B6E631D" w14:textId="77777777" w:rsidR="008715BE" w:rsidRPr="00EC75B7" w:rsidRDefault="00000000">
            <w:pPr>
              <w:pStyle w:val="TableParagraph"/>
              <w:spacing w:before="94"/>
              <w:ind w:left="5"/>
              <w:jc w:val="center"/>
              <w:rPr>
                <w:rFonts w:ascii="Verdana" w:hAnsi="Verdana"/>
                <w:b/>
                <w:sz w:val="18"/>
                <w:szCs w:val="18"/>
              </w:rPr>
            </w:pPr>
            <w:r w:rsidRPr="00EC75B7">
              <w:rPr>
                <w:rFonts w:ascii="Verdana" w:hAnsi="Verdana"/>
                <w:b/>
                <w:color w:val="FFFFFF"/>
                <w:spacing w:val="-2"/>
                <w:sz w:val="18"/>
                <w:szCs w:val="18"/>
              </w:rPr>
              <w:t>Description</w:t>
            </w:r>
          </w:p>
        </w:tc>
      </w:tr>
      <w:tr w:rsidR="008715BE" w:rsidRPr="00EC75B7" w14:paraId="0F409219" w14:textId="77777777" w:rsidTr="002A4F7C">
        <w:trPr>
          <w:trHeight w:val="2138"/>
        </w:trPr>
        <w:tc>
          <w:tcPr>
            <w:tcW w:w="1634" w:type="dxa"/>
          </w:tcPr>
          <w:p w14:paraId="5FC9BCB0" w14:textId="77777777" w:rsidR="008715BE" w:rsidRPr="00EC75B7" w:rsidRDefault="008715BE">
            <w:pPr>
              <w:pStyle w:val="TableParagraph"/>
              <w:rPr>
                <w:rFonts w:ascii="Verdana" w:hAnsi="Verdana"/>
                <w:b/>
                <w:sz w:val="18"/>
                <w:szCs w:val="18"/>
              </w:rPr>
            </w:pPr>
          </w:p>
          <w:p w14:paraId="5958A459" w14:textId="77777777" w:rsidR="008715BE" w:rsidRPr="00EC75B7" w:rsidRDefault="008715BE">
            <w:pPr>
              <w:pStyle w:val="TableParagraph"/>
              <w:rPr>
                <w:rFonts w:ascii="Verdana" w:hAnsi="Verdana"/>
                <w:b/>
                <w:sz w:val="18"/>
                <w:szCs w:val="18"/>
              </w:rPr>
            </w:pPr>
          </w:p>
          <w:p w14:paraId="38A5C033" w14:textId="77777777" w:rsidR="008715BE" w:rsidRPr="00EC75B7" w:rsidRDefault="008715BE">
            <w:pPr>
              <w:pStyle w:val="TableParagraph"/>
              <w:rPr>
                <w:rFonts w:ascii="Verdana" w:hAnsi="Verdana"/>
                <w:b/>
                <w:sz w:val="18"/>
                <w:szCs w:val="18"/>
              </w:rPr>
            </w:pPr>
          </w:p>
          <w:p w14:paraId="49CB4483" w14:textId="77777777" w:rsidR="008715BE" w:rsidRPr="00EC75B7" w:rsidRDefault="008715BE">
            <w:pPr>
              <w:pStyle w:val="TableParagraph"/>
              <w:spacing w:before="93"/>
              <w:rPr>
                <w:rFonts w:ascii="Verdana" w:hAnsi="Verdana"/>
                <w:b/>
                <w:sz w:val="18"/>
                <w:szCs w:val="18"/>
              </w:rPr>
            </w:pPr>
          </w:p>
          <w:p w14:paraId="16102338"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High</w:t>
            </w:r>
          </w:p>
          <w:p w14:paraId="0423D5B8"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High</w:t>
            </w:r>
          </w:p>
        </w:tc>
        <w:tc>
          <w:tcPr>
            <w:tcW w:w="1139" w:type="dxa"/>
            <w:shd w:val="clear" w:color="auto" w:fill="F4AF84"/>
          </w:tcPr>
          <w:p w14:paraId="6DCA940F" w14:textId="77777777" w:rsidR="008715BE" w:rsidRPr="00EC75B7" w:rsidRDefault="008715BE">
            <w:pPr>
              <w:pStyle w:val="TableParagraph"/>
              <w:rPr>
                <w:rFonts w:ascii="Verdana" w:hAnsi="Verdana"/>
                <w:b/>
                <w:sz w:val="18"/>
                <w:szCs w:val="18"/>
              </w:rPr>
            </w:pPr>
          </w:p>
          <w:p w14:paraId="0F9F07B3" w14:textId="77777777" w:rsidR="008715BE" w:rsidRPr="00EC75B7" w:rsidRDefault="008715BE">
            <w:pPr>
              <w:pStyle w:val="TableParagraph"/>
              <w:rPr>
                <w:rFonts w:ascii="Verdana" w:hAnsi="Verdana"/>
                <w:b/>
                <w:sz w:val="18"/>
                <w:szCs w:val="18"/>
              </w:rPr>
            </w:pPr>
          </w:p>
          <w:p w14:paraId="62F7286E" w14:textId="77777777" w:rsidR="008715BE" w:rsidRPr="00EC75B7" w:rsidRDefault="008715BE">
            <w:pPr>
              <w:pStyle w:val="TableParagraph"/>
              <w:rPr>
                <w:rFonts w:ascii="Verdana" w:hAnsi="Verdana"/>
                <w:b/>
                <w:sz w:val="18"/>
                <w:szCs w:val="18"/>
              </w:rPr>
            </w:pPr>
          </w:p>
          <w:p w14:paraId="3ED6EBF6" w14:textId="77777777" w:rsidR="008715BE" w:rsidRPr="00EC75B7" w:rsidRDefault="008715BE">
            <w:pPr>
              <w:pStyle w:val="TableParagraph"/>
              <w:spacing w:before="189"/>
              <w:rPr>
                <w:rFonts w:ascii="Verdana" w:hAnsi="Verdana"/>
                <w:b/>
                <w:sz w:val="18"/>
                <w:szCs w:val="18"/>
              </w:rPr>
            </w:pPr>
          </w:p>
          <w:p w14:paraId="56271AB3"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High</w:t>
            </w:r>
          </w:p>
        </w:tc>
        <w:tc>
          <w:tcPr>
            <w:tcW w:w="279" w:type="dxa"/>
            <w:shd w:val="clear" w:color="auto" w:fill="F4AF84"/>
          </w:tcPr>
          <w:p w14:paraId="3538392B" w14:textId="77777777" w:rsidR="008715BE" w:rsidRPr="00EC75B7" w:rsidRDefault="008715BE">
            <w:pPr>
              <w:pStyle w:val="TableParagraph"/>
              <w:rPr>
                <w:rFonts w:ascii="Verdana" w:hAnsi="Verdana"/>
                <w:b/>
                <w:sz w:val="18"/>
                <w:szCs w:val="18"/>
              </w:rPr>
            </w:pPr>
          </w:p>
          <w:p w14:paraId="48F5EEED" w14:textId="77777777" w:rsidR="008715BE" w:rsidRPr="00EC75B7" w:rsidRDefault="008715BE">
            <w:pPr>
              <w:pStyle w:val="TableParagraph"/>
              <w:rPr>
                <w:rFonts w:ascii="Verdana" w:hAnsi="Verdana"/>
                <w:b/>
                <w:sz w:val="18"/>
                <w:szCs w:val="18"/>
              </w:rPr>
            </w:pPr>
          </w:p>
          <w:p w14:paraId="1DDBDECE" w14:textId="77777777" w:rsidR="008715BE" w:rsidRPr="00EC75B7" w:rsidRDefault="008715BE">
            <w:pPr>
              <w:pStyle w:val="TableParagraph"/>
              <w:rPr>
                <w:rFonts w:ascii="Verdana" w:hAnsi="Verdana"/>
                <w:b/>
                <w:sz w:val="18"/>
                <w:szCs w:val="18"/>
              </w:rPr>
            </w:pPr>
          </w:p>
          <w:p w14:paraId="16FF3D1C" w14:textId="77777777" w:rsidR="008715BE" w:rsidRPr="00EC75B7" w:rsidRDefault="008715BE">
            <w:pPr>
              <w:pStyle w:val="TableParagraph"/>
              <w:spacing w:before="189"/>
              <w:rPr>
                <w:rFonts w:ascii="Verdana" w:hAnsi="Verdana"/>
                <w:b/>
                <w:sz w:val="18"/>
                <w:szCs w:val="18"/>
              </w:rPr>
            </w:pPr>
          </w:p>
          <w:p w14:paraId="58D81E75" w14:textId="77777777" w:rsidR="008715BE" w:rsidRPr="00EC75B7" w:rsidRDefault="00000000">
            <w:pPr>
              <w:pStyle w:val="TableParagraph"/>
              <w:ind w:right="21"/>
              <w:jc w:val="center"/>
              <w:rPr>
                <w:rFonts w:ascii="Verdana" w:hAnsi="Verdana"/>
                <w:b/>
                <w:sz w:val="18"/>
                <w:szCs w:val="18"/>
              </w:rPr>
            </w:pPr>
            <w:r w:rsidRPr="00EC75B7">
              <w:rPr>
                <w:rFonts w:ascii="Verdana" w:hAnsi="Verdana"/>
                <w:b/>
                <w:spacing w:val="-10"/>
                <w:sz w:val="18"/>
                <w:szCs w:val="18"/>
              </w:rPr>
              <w:t>3</w:t>
            </w:r>
          </w:p>
        </w:tc>
        <w:tc>
          <w:tcPr>
            <w:tcW w:w="6986" w:type="dxa"/>
          </w:tcPr>
          <w:p w14:paraId="76154CB0" w14:textId="77777777" w:rsidR="008715BE" w:rsidRPr="00EC75B7" w:rsidRDefault="00000000">
            <w:pPr>
              <w:pStyle w:val="TableParagraph"/>
              <w:numPr>
                <w:ilvl w:val="0"/>
                <w:numId w:val="17"/>
              </w:numPr>
              <w:tabs>
                <w:tab w:val="left" w:pos="385"/>
              </w:tabs>
              <w:ind w:right="96"/>
              <w:jc w:val="both"/>
              <w:rPr>
                <w:rFonts w:ascii="Verdana" w:hAnsi="Verdana"/>
                <w:sz w:val="18"/>
                <w:szCs w:val="18"/>
              </w:rPr>
            </w:pPr>
            <w:r w:rsidRPr="00EC75B7">
              <w:rPr>
                <w:rFonts w:ascii="Verdana" w:hAnsi="Verdana"/>
                <w:b/>
                <w:sz w:val="18"/>
                <w:szCs w:val="18"/>
              </w:rPr>
              <w:t>Any hazard</w:t>
            </w:r>
            <w:r w:rsidRPr="00EC75B7">
              <w:rPr>
                <w:rFonts w:ascii="Verdana" w:hAnsi="Verdana"/>
                <w:sz w:val="18"/>
                <w:szCs w:val="18"/>
              </w:rPr>
              <w:t>: has occurred (current exposure) or is expected to occur (future exposure) several times in five years</w:t>
            </w:r>
          </w:p>
          <w:p w14:paraId="2A2BE224" w14:textId="77777777" w:rsidR="008715BE" w:rsidRPr="00EC75B7" w:rsidRDefault="00000000">
            <w:pPr>
              <w:pStyle w:val="TableParagraph"/>
              <w:numPr>
                <w:ilvl w:val="0"/>
                <w:numId w:val="17"/>
              </w:numPr>
              <w:tabs>
                <w:tab w:val="left" w:pos="385"/>
              </w:tabs>
              <w:ind w:right="97"/>
              <w:jc w:val="both"/>
              <w:rPr>
                <w:rFonts w:ascii="Verdana" w:hAnsi="Verdana"/>
                <w:sz w:val="18"/>
                <w:szCs w:val="18"/>
              </w:rPr>
            </w:pPr>
            <w:r w:rsidRPr="00EC75B7">
              <w:rPr>
                <w:rFonts w:ascii="Verdana" w:hAnsi="Verdana"/>
                <w:b/>
                <w:sz w:val="18"/>
                <w:szCs w:val="18"/>
              </w:rPr>
              <w:t>Flood hazard</w:t>
            </w:r>
            <w:r w:rsidRPr="00EC75B7">
              <w:rPr>
                <w:rFonts w:ascii="Verdana" w:hAnsi="Verdana"/>
                <w:sz w:val="18"/>
                <w:szCs w:val="18"/>
              </w:rPr>
              <w:t xml:space="preserve">: For climate hazards for which hazard or risk mapping is available, this would be the exposure in maps with a high probability of occurrence [e.g., for flood hazard and risk maps, this may be 10% AEP (annual </w:t>
            </w:r>
            <w:r w:rsidRPr="00EC75B7">
              <w:rPr>
                <w:rFonts w:ascii="Verdana" w:hAnsi="Verdana"/>
                <w:spacing w:val="-2"/>
                <w:sz w:val="18"/>
                <w:szCs w:val="18"/>
              </w:rPr>
              <w:t xml:space="preserve">exceedance </w:t>
            </w:r>
            <w:r w:rsidRPr="00EC75B7">
              <w:rPr>
                <w:rFonts w:ascii="Verdana" w:hAnsi="Verdana"/>
                <w:sz w:val="18"/>
                <w:szCs w:val="18"/>
              </w:rPr>
              <w:t>probability</w:t>
            </w:r>
            <w:r w:rsidRPr="00EC75B7">
              <w:rPr>
                <w:rFonts w:ascii="Verdana" w:hAnsi="Verdana"/>
                <w:spacing w:val="-2"/>
                <w:sz w:val="18"/>
                <w:szCs w:val="18"/>
              </w:rPr>
              <w:t>)].</w:t>
            </w:r>
          </w:p>
          <w:p w14:paraId="708F4FA0" w14:textId="77777777" w:rsidR="008715BE" w:rsidRPr="00EC75B7" w:rsidRDefault="00000000">
            <w:pPr>
              <w:pStyle w:val="TableParagraph"/>
              <w:numPr>
                <w:ilvl w:val="0"/>
                <w:numId w:val="17"/>
              </w:numPr>
              <w:tabs>
                <w:tab w:val="left" w:pos="385"/>
              </w:tabs>
              <w:ind w:right="97"/>
              <w:jc w:val="both"/>
              <w:rPr>
                <w:rFonts w:ascii="Verdana" w:hAnsi="Verdana"/>
                <w:sz w:val="18"/>
                <w:szCs w:val="18"/>
              </w:rPr>
            </w:pPr>
            <w:r w:rsidRPr="00EC75B7">
              <w:rPr>
                <w:rFonts w:ascii="Verdana" w:hAnsi="Verdana"/>
                <w:b/>
                <w:spacing w:val="-2"/>
                <w:sz w:val="18"/>
                <w:szCs w:val="18"/>
              </w:rPr>
              <w:t>Extreme temperature</w:t>
            </w:r>
            <w:r w:rsidRPr="00EC75B7">
              <w:rPr>
                <w:rFonts w:ascii="Verdana" w:hAnsi="Verdana"/>
                <w:spacing w:val="-2"/>
                <w:sz w:val="18"/>
                <w:szCs w:val="18"/>
              </w:rPr>
              <w:t xml:space="preserve">: region with very high average temperatures in </w:t>
            </w:r>
            <w:r w:rsidRPr="00EC75B7">
              <w:rPr>
                <w:rFonts w:ascii="Verdana" w:hAnsi="Verdana"/>
                <w:sz w:val="18"/>
                <w:szCs w:val="18"/>
              </w:rPr>
              <w:t>summer (above 23 °C) and a large number of hot days (Tmax≥35 °C). Very high average temperatures in summer (above 23 °C). Heat waves have a</w:t>
            </w:r>
          </w:p>
          <w:p w14:paraId="44EE9114" w14:textId="77777777" w:rsidR="008715BE" w:rsidRPr="00EC75B7" w:rsidRDefault="00000000">
            <w:pPr>
              <w:pStyle w:val="TableParagraph"/>
              <w:spacing w:line="173" w:lineRule="exact"/>
              <w:ind w:left="385"/>
              <w:jc w:val="both"/>
              <w:rPr>
                <w:rFonts w:ascii="Verdana" w:hAnsi="Verdana"/>
                <w:sz w:val="18"/>
                <w:szCs w:val="18"/>
              </w:rPr>
            </w:pPr>
            <w:r w:rsidRPr="00EC75B7">
              <w:rPr>
                <w:rFonts w:ascii="Verdana" w:hAnsi="Verdana"/>
                <w:sz w:val="18"/>
                <w:szCs w:val="18"/>
              </w:rPr>
              <w:t xml:space="preserve">frequency of ≥ 1 event per </w:t>
            </w:r>
            <w:r w:rsidRPr="00EC75B7">
              <w:rPr>
                <w:rFonts w:ascii="Verdana" w:hAnsi="Verdana"/>
                <w:spacing w:val="-5"/>
                <w:sz w:val="18"/>
                <w:szCs w:val="18"/>
              </w:rPr>
              <w:t>year</w:t>
            </w:r>
          </w:p>
        </w:tc>
      </w:tr>
      <w:tr w:rsidR="008715BE" w:rsidRPr="00EC75B7" w14:paraId="5D42B920" w14:textId="77777777" w:rsidTr="002A4F7C">
        <w:trPr>
          <w:trHeight w:val="1557"/>
        </w:trPr>
        <w:tc>
          <w:tcPr>
            <w:tcW w:w="1634" w:type="dxa"/>
          </w:tcPr>
          <w:p w14:paraId="3B3176CA" w14:textId="77777777" w:rsidR="008715BE" w:rsidRPr="00EC75B7" w:rsidRDefault="008715BE">
            <w:pPr>
              <w:pStyle w:val="TableParagraph"/>
              <w:rPr>
                <w:rFonts w:ascii="Verdana" w:hAnsi="Verdana"/>
                <w:b/>
                <w:sz w:val="18"/>
                <w:szCs w:val="18"/>
              </w:rPr>
            </w:pPr>
          </w:p>
          <w:p w14:paraId="73A6F594" w14:textId="77777777" w:rsidR="008715BE" w:rsidRPr="00EC75B7" w:rsidRDefault="008715BE">
            <w:pPr>
              <w:pStyle w:val="TableParagraph"/>
              <w:rPr>
                <w:rFonts w:ascii="Verdana" w:hAnsi="Verdana"/>
                <w:b/>
                <w:sz w:val="18"/>
                <w:szCs w:val="18"/>
              </w:rPr>
            </w:pPr>
          </w:p>
          <w:p w14:paraId="67281291" w14:textId="77777777" w:rsidR="008715BE" w:rsidRPr="00EC75B7" w:rsidRDefault="008715BE">
            <w:pPr>
              <w:pStyle w:val="TableParagraph"/>
              <w:spacing w:before="94"/>
              <w:rPr>
                <w:rFonts w:ascii="Verdana" w:hAnsi="Verdana"/>
                <w:b/>
                <w:sz w:val="18"/>
                <w:szCs w:val="18"/>
              </w:rPr>
            </w:pPr>
          </w:p>
          <w:p w14:paraId="075D42C9" w14:textId="77777777" w:rsidR="008715BE" w:rsidRPr="00EC75B7" w:rsidRDefault="00000000">
            <w:pPr>
              <w:pStyle w:val="TableParagraph"/>
              <w:ind w:left="6" w:right="34"/>
              <w:jc w:val="center"/>
              <w:rPr>
                <w:rFonts w:ascii="Verdana" w:hAnsi="Verdana"/>
                <w:b/>
                <w:sz w:val="18"/>
                <w:szCs w:val="18"/>
              </w:rPr>
            </w:pPr>
            <w:r w:rsidRPr="00EC75B7">
              <w:rPr>
                <w:rFonts w:ascii="Verdana" w:hAnsi="Verdana"/>
                <w:b/>
                <w:spacing w:val="-2"/>
                <w:sz w:val="18"/>
                <w:szCs w:val="18"/>
              </w:rPr>
              <w:t xml:space="preserve">Moderate </w:t>
            </w:r>
            <w:r w:rsidRPr="00EC75B7">
              <w:rPr>
                <w:rFonts w:ascii="Verdana" w:hAnsi="Verdana"/>
                <w:b/>
                <w:sz w:val="18"/>
                <w:szCs w:val="18"/>
              </w:rPr>
              <w:t>exposure</w:t>
            </w:r>
          </w:p>
        </w:tc>
        <w:tc>
          <w:tcPr>
            <w:tcW w:w="1139" w:type="dxa"/>
            <w:shd w:val="clear" w:color="auto" w:fill="FFD44F"/>
          </w:tcPr>
          <w:p w14:paraId="1FD7C109" w14:textId="77777777" w:rsidR="008715BE" w:rsidRPr="00EC75B7" w:rsidRDefault="008715BE">
            <w:pPr>
              <w:pStyle w:val="TableParagraph"/>
              <w:rPr>
                <w:rFonts w:ascii="Verdana" w:hAnsi="Verdana"/>
                <w:b/>
                <w:sz w:val="18"/>
                <w:szCs w:val="18"/>
              </w:rPr>
            </w:pPr>
          </w:p>
          <w:p w14:paraId="33152999" w14:textId="77777777" w:rsidR="008715BE" w:rsidRPr="00EC75B7" w:rsidRDefault="008715BE">
            <w:pPr>
              <w:pStyle w:val="TableParagraph"/>
              <w:rPr>
                <w:rFonts w:ascii="Verdana" w:hAnsi="Verdana"/>
                <w:b/>
                <w:sz w:val="18"/>
                <w:szCs w:val="18"/>
              </w:rPr>
            </w:pPr>
          </w:p>
          <w:p w14:paraId="4DE99651" w14:textId="77777777" w:rsidR="008715BE" w:rsidRPr="00EC75B7" w:rsidRDefault="008715BE">
            <w:pPr>
              <w:pStyle w:val="TableParagraph"/>
              <w:spacing w:before="94"/>
              <w:rPr>
                <w:rFonts w:ascii="Verdana" w:hAnsi="Verdana"/>
                <w:b/>
                <w:sz w:val="18"/>
                <w:szCs w:val="18"/>
              </w:rPr>
            </w:pPr>
          </w:p>
          <w:p w14:paraId="1538830F"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Moderate</w:t>
            </w:r>
          </w:p>
        </w:tc>
        <w:tc>
          <w:tcPr>
            <w:tcW w:w="279" w:type="dxa"/>
            <w:shd w:val="clear" w:color="auto" w:fill="FFD44F"/>
          </w:tcPr>
          <w:p w14:paraId="3408A3ED" w14:textId="77777777" w:rsidR="008715BE" w:rsidRPr="00EC75B7" w:rsidRDefault="008715BE">
            <w:pPr>
              <w:pStyle w:val="TableParagraph"/>
              <w:rPr>
                <w:rFonts w:ascii="Verdana" w:hAnsi="Verdana"/>
                <w:b/>
                <w:sz w:val="18"/>
                <w:szCs w:val="18"/>
              </w:rPr>
            </w:pPr>
          </w:p>
          <w:p w14:paraId="4A858DE5" w14:textId="77777777" w:rsidR="008715BE" w:rsidRPr="00EC75B7" w:rsidRDefault="008715BE">
            <w:pPr>
              <w:pStyle w:val="TableParagraph"/>
              <w:rPr>
                <w:rFonts w:ascii="Verdana" w:hAnsi="Verdana"/>
                <w:b/>
                <w:sz w:val="18"/>
                <w:szCs w:val="18"/>
              </w:rPr>
            </w:pPr>
          </w:p>
          <w:p w14:paraId="00A15905" w14:textId="77777777" w:rsidR="008715BE" w:rsidRPr="00EC75B7" w:rsidRDefault="008715BE">
            <w:pPr>
              <w:pStyle w:val="TableParagraph"/>
              <w:spacing w:before="94"/>
              <w:rPr>
                <w:rFonts w:ascii="Verdana" w:hAnsi="Verdana"/>
                <w:b/>
                <w:sz w:val="18"/>
                <w:szCs w:val="18"/>
              </w:rPr>
            </w:pPr>
          </w:p>
          <w:p w14:paraId="48E0CB97" w14:textId="77777777" w:rsidR="008715BE" w:rsidRPr="00EC75B7" w:rsidRDefault="00000000">
            <w:pPr>
              <w:pStyle w:val="TableParagraph"/>
              <w:ind w:right="21"/>
              <w:jc w:val="center"/>
              <w:rPr>
                <w:rFonts w:ascii="Verdana" w:hAnsi="Verdana"/>
                <w:b/>
                <w:sz w:val="18"/>
                <w:szCs w:val="18"/>
              </w:rPr>
            </w:pPr>
            <w:r w:rsidRPr="00EC75B7">
              <w:rPr>
                <w:rFonts w:ascii="Verdana" w:hAnsi="Verdana"/>
                <w:b/>
                <w:spacing w:val="-10"/>
                <w:sz w:val="18"/>
                <w:szCs w:val="18"/>
              </w:rPr>
              <w:t>2</w:t>
            </w:r>
          </w:p>
        </w:tc>
        <w:tc>
          <w:tcPr>
            <w:tcW w:w="6986" w:type="dxa"/>
          </w:tcPr>
          <w:p w14:paraId="72EF313A" w14:textId="77777777" w:rsidR="008715BE" w:rsidRPr="00EC75B7" w:rsidRDefault="00000000">
            <w:pPr>
              <w:pStyle w:val="TableParagraph"/>
              <w:numPr>
                <w:ilvl w:val="0"/>
                <w:numId w:val="16"/>
              </w:numPr>
              <w:tabs>
                <w:tab w:val="left" w:pos="385"/>
              </w:tabs>
              <w:ind w:right="98"/>
              <w:jc w:val="both"/>
              <w:rPr>
                <w:rFonts w:ascii="Verdana" w:hAnsi="Verdana"/>
                <w:sz w:val="18"/>
                <w:szCs w:val="18"/>
              </w:rPr>
            </w:pPr>
            <w:r w:rsidRPr="00EC75B7">
              <w:rPr>
                <w:rFonts w:ascii="Verdana" w:hAnsi="Verdana"/>
                <w:b/>
                <w:sz w:val="18"/>
                <w:szCs w:val="18"/>
              </w:rPr>
              <w:t>Any hazard</w:t>
            </w:r>
            <w:r w:rsidRPr="00EC75B7">
              <w:rPr>
                <w:rFonts w:ascii="Verdana" w:hAnsi="Verdana"/>
                <w:sz w:val="18"/>
                <w:szCs w:val="18"/>
              </w:rPr>
              <w:t>: has occurred (current exposure) or is expected to occur (future exposure) twice in 10 years</w:t>
            </w:r>
          </w:p>
          <w:p w14:paraId="5D406D6A" w14:textId="77777777" w:rsidR="008715BE" w:rsidRPr="00EC75B7" w:rsidRDefault="00000000">
            <w:pPr>
              <w:pStyle w:val="TableParagraph"/>
              <w:numPr>
                <w:ilvl w:val="0"/>
                <w:numId w:val="16"/>
              </w:numPr>
              <w:tabs>
                <w:tab w:val="left" w:pos="385"/>
              </w:tabs>
              <w:ind w:right="97"/>
              <w:jc w:val="both"/>
              <w:rPr>
                <w:rFonts w:ascii="Verdana" w:hAnsi="Verdana"/>
                <w:sz w:val="18"/>
                <w:szCs w:val="18"/>
              </w:rPr>
            </w:pPr>
            <w:r w:rsidRPr="00EC75B7">
              <w:rPr>
                <w:rFonts w:ascii="Verdana" w:hAnsi="Verdana"/>
                <w:b/>
                <w:sz w:val="18"/>
                <w:szCs w:val="18"/>
              </w:rPr>
              <w:t>Flood hazard</w:t>
            </w:r>
            <w:r w:rsidRPr="00EC75B7">
              <w:rPr>
                <w:rFonts w:ascii="Verdana" w:hAnsi="Verdana"/>
                <w:sz w:val="18"/>
                <w:szCs w:val="18"/>
              </w:rPr>
              <w:t>: For climate hazards for which hazard or risk mapping is available, this would be the exposure in the medium probability maps (e.g., for flood hazard and risk maps, this may be 1% of AEP)</w:t>
            </w:r>
          </w:p>
          <w:p w14:paraId="0BB2525A" w14:textId="77777777" w:rsidR="008715BE" w:rsidRPr="00EC75B7" w:rsidRDefault="00000000">
            <w:pPr>
              <w:pStyle w:val="TableParagraph"/>
              <w:numPr>
                <w:ilvl w:val="0"/>
                <w:numId w:val="16"/>
              </w:numPr>
              <w:tabs>
                <w:tab w:val="left" w:pos="385"/>
              </w:tabs>
              <w:spacing w:line="192" w:lineRule="exact"/>
              <w:ind w:hanging="278"/>
              <w:jc w:val="both"/>
              <w:rPr>
                <w:rFonts w:ascii="Verdana" w:hAnsi="Verdana"/>
                <w:sz w:val="18"/>
                <w:szCs w:val="18"/>
              </w:rPr>
            </w:pPr>
            <w:r w:rsidRPr="00EC75B7">
              <w:rPr>
                <w:rFonts w:ascii="Verdana" w:hAnsi="Verdana"/>
                <w:b/>
                <w:sz w:val="18"/>
                <w:szCs w:val="18"/>
              </w:rPr>
              <w:t>Extreme temperature</w:t>
            </w:r>
            <w:r w:rsidRPr="00EC75B7">
              <w:rPr>
                <w:rFonts w:ascii="Verdana" w:hAnsi="Verdana"/>
                <w:sz w:val="18"/>
                <w:szCs w:val="18"/>
              </w:rPr>
              <w:t xml:space="preserve">: the average summer temperature exceeds 20 °C. Heat </w:t>
            </w:r>
            <w:r w:rsidRPr="00EC75B7">
              <w:rPr>
                <w:rFonts w:ascii="Verdana" w:hAnsi="Verdana"/>
                <w:spacing w:val="-2"/>
                <w:sz w:val="18"/>
                <w:szCs w:val="18"/>
              </w:rPr>
              <w:t>waves</w:t>
            </w:r>
          </w:p>
          <w:p w14:paraId="530E0E2D" w14:textId="77777777" w:rsidR="008715BE" w:rsidRPr="00EC75B7" w:rsidRDefault="00000000">
            <w:pPr>
              <w:pStyle w:val="TableParagraph"/>
              <w:spacing w:line="175" w:lineRule="exact"/>
              <w:ind w:left="385"/>
              <w:jc w:val="both"/>
              <w:rPr>
                <w:rFonts w:ascii="Verdana" w:hAnsi="Verdana"/>
                <w:sz w:val="18"/>
                <w:szCs w:val="18"/>
              </w:rPr>
            </w:pPr>
            <w:r w:rsidRPr="00EC75B7">
              <w:rPr>
                <w:rFonts w:ascii="Verdana" w:hAnsi="Verdana"/>
                <w:sz w:val="18"/>
                <w:szCs w:val="18"/>
              </w:rPr>
              <w:t xml:space="preserve">occur once every 1-5 </w:t>
            </w:r>
            <w:r w:rsidRPr="00EC75B7">
              <w:rPr>
                <w:rFonts w:ascii="Verdana" w:hAnsi="Verdana"/>
                <w:spacing w:val="-5"/>
                <w:sz w:val="18"/>
                <w:szCs w:val="18"/>
              </w:rPr>
              <w:t>years</w:t>
            </w:r>
          </w:p>
        </w:tc>
      </w:tr>
      <w:tr w:rsidR="008715BE" w:rsidRPr="00EC75B7" w14:paraId="40418894" w14:textId="77777777" w:rsidTr="002A4F7C">
        <w:trPr>
          <w:trHeight w:val="1749"/>
        </w:trPr>
        <w:tc>
          <w:tcPr>
            <w:tcW w:w="1634" w:type="dxa"/>
          </w:tcPr>
          <w:p w14:paraId="63C4E63A" w14:textId="77777777" w:rsidR="008715BE" w:rsidRPr="00EC75B7" w:rsidRDefault="008715BE">
            <w:pPr>
              <w:pStyle w:val="TableParagraph"/>
              <w:rPr>
                <w:rFonts w:ascii="Verdana" w:hAnsi="Verdana"/>
                <w:b/>
                <w:sz w:val="18"/>
                <w:szCs w:val="18"/>
              </w:rPr>
            </w:pPr>
          </w:p>
          <w:p w14:paraId="13C1249A" w14:textId="77777777" w:rsidR="008715BE" w:rsidRPr="00EC75B7" w:rsidRDefault="008715BE">
            <w:pPr>
              <w:pStyle w:val="TableParagraph"/>
              <w:rPr>
                <w:rFonts w:ascii="Verdana" w:hAnsi="Verdana"/>
                <w:b/>
                <w:sz w:val="18"/>
                <w:szCs w:val="18"/>
              </w:rPr>
            </w:pPr>
          </w:p>
          <w:p w14:paraId="73A5E024" w14:textId="77777777" w:rsidR="008715BE" w:rsidRPr="00EC75B7" w:rsidRDefault="008715BE">
            <w:pPr>
              <w:pStyle w:val="TableParagraph"/>
              <w:spacing w:before="92"/>
              <w:rPr>
                <w:rFonts w:ascii="Verdana" w:hAnsi="Verdana"/>
                <w:b/>
                <w:sz w:val="18"/>
                <w:szCs w:val="18"/>
              </w:rPr>
            </w:pPr>
          </w:p>
          <w:p w14:paraId="3D94A7C2"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Exposure</w:t>
            </w:r>
          </w:p>
          <w:p w14:paraId="0AF49FDC" w14:textId="77777777" w:rsidR="008715BE" w:rsidRPr="00EC75B7" w:rsidRDefault="00000000">
            <w:pPr>
              <w:pStyle w:val="TableParagraph"/>
              <w:spacing w:line="195" w:lineRule="exact"/>
              <w:ind w:left="108"/>
              <w:rPr>
                <w:rFonts w:ascii="Verdana" w:hAnsi="Verdana"/>
                <w:b/>
                <w:sz w:val="18"/>
                <w:szCs w:val="18"/>
              </w:rPr>
            </w:pPr>
            <w:r w:rsidRPr="00EC75B7">
              <w:rPr>
                <w:rFonts w:ascii="Verdana" w:hAnsi="Verdana"/>
                <w:b/>
                <w:spacing w:val="-2"/>
                <w:sz w:val="18"/>
                <w:szCs w:val="18"/>
              </w:rPr>
              <w:t>Low</w:t>
            </w:r>
          </w:p>
        </w:tc>
        <w:tc>
          <w:tcPr>
            <w:tcW w:w="1139" w:type="dxa"/>
            <w:shd w:val="clear" w:color="auto" w:fill="E1EEDA"/>
          </w:tcPr>
          <w:p w14:paraId="65A5815A" w14:textId="77777777" w:rsidR="008715BE" w:rsidRPr="00EC75B7" w:rsidRDefault="008715BE">
            <w:pPr>
              <w:pStyle w:val="TableParagraph"/>
              <w:rPr>
                <w:rFonts w:ascii="Verdana" w:hAnsi="Verdana"/>
                <w:b/>
                <w:sz w:val="18"/>
                <w:szCs w:val="18"/>
              </w:rPr>
            </w:pPr>
          </w:p>
          <w:p w14:paraId="19605002" w14:textId="77777777" w:rsidR="008715BE" w:rsidRPr="00EC75B7" w:rsidRDefault="008715BE">
            <w:pPr>
              <w:pStyle w:val="TableParagraph"/>
              <w:rPr>
                <w:rFonts w:ascii="Verdana" w:hAnsi="Verdana"/>
                <w:b/>
                <w:sz w:val="18"/>
                <w:szCs w:val="18"/>
              </w:rPr>
            </w:pPr>
          </w:p>
          <w:p w14:paraId="1EEA2F4D" w14:textId="77777777" w:rsidR="008715BE" w:rsidRPr="00EC75B7" w:rsidRDefault="008715BE">
            <w:pPr>
              <w:pStyle w:val="TableParagraph"/>
              <w:spacing w:before="190"/>
              <w:rPr>
                <w:rFonts w:ascii="Verdana" w:hAnsi="Verdana"/>
                <w:b/>
                <w:sz w:val="18"/>
                <w:szCs w:val="18"/>
              </w:rPr>
            </w:pPr>
          </w:p>
          <w:p w14:paraId="192556E5" w14:textId="77777777" w:rsidR="008715BE" w:rsidRPr="00EC75B7" w:rsidRDefault="00000000">
            <w:pPr>
              <w:pStyle w:val="TableParagraph"/>
              <w:ind w:left="107"/>
              <w:rPr>
                <w:rFonts w:ascii="Verdana" w:hAnsi="Verdana"/>
                <w:b/>
                <w:sz w:val="18"/>
                <w:szCs w:val="18"/>
              </w:rPr>
            </w:pPr>
            <w:r w:rsidRPr="00EC75B7">
              <w:rPr>
                <w:rFonts w:ascii="Verdana" w:hAnsi="Verdana"/>
                <w:b/>
                <w:spacing w:val="-2"/>
                <w:sz w:val="18"/>
                <w:szCs w:val="18"/>
              </w:rPr>
              <w:t>Low</w:t>
            </w:r>
          </w:p>
        </w:tc>
        <w:tc>
          <w:tcPr>
            <w:tcW w:w="279" w:type="dxa"/>
            <w:shd w:val="clear" w:color="auto" w:fill="E1EEDA"/>
          </w:tcPr>
          <w:p w14:paraId="48835254" w14:textId="77777777" w:rsidR="008715BE" w:rsidRPr="00EC75B7" w:rsidRDefault="008715BE">
            <w:pPr>
              <w:pStyle w:val="TableParagraph"/>
              <w:rPr>
                <w:rFonts w:ascii="Verdana" w:hAnsi="Verdana"/>
                <w:b/>
                <w:sz w:val="18"/>
                <w:szCs w:val="18"/>
              </w:rPr>
            </w:pPr>
          </w:p>
          <w:p w14:paraId="70FA30C3" w14:textId="77777777" w:rsidR="008715BE" w:rsidRPr="00EC75B7" w:rsidRDefault="008715BE">
            <w:pPr>
              <w:pStyle w:val="TableParagraph"/>
              <w:rPr>
                <w:rFonts w:ascii="Verdana" w:hAnsi="Verdana"/>
                <w:b/>
                <w:sz w:val="18"/>
                <w:szCs w:val="18"/>
              </w:rPr>
            </w:pPr>
          </w:p>
          <w:p w14:paraId="492D9749" w14:textId="77777777" w:rsidR="008715BE" w:rsidRPr="00EC75B7" w:rsidRDefault="008715BE">
            <w:pPr>
              <w:pStyle w:val="TableParagraph"/>
              <w:spacing w:before="190"/>
              <w:rPr>
                <w:rFonts w:ascii="Verdana" w:hAnsi="Verdana"/>
                <w:b/>
                <w:sz w:val="18"/>
                <w:szCs w:val="18"/>
              </w:rPr>
            </w:pPr>
          </w:p>
          <w:p w14:paraId="75119B77" w14:textId="77777777" w:rsidR="008715BE" w:rsidRPr="00EC75B7" w:rsidRDefault="00000000">
            <w:pPr>
              <w:pStyle w:val="TableParagraph"/>
              <w:ind w:right="21"/>
              <w:jc w:val="center"/>
              <w:rPr>
                <w:rFonts w:ascii="Verdana" w:hAnsi="Verdana"/>
                <w:b/>
                <w:sz w:val="18"/>
                <w:szCs w:val="18"/>
              </w:rPr>
            </w:pPr>
            <w:r w:rsidRPr="00EC75B7">
              <w:rPr>
                <w:rFonts w:ascii="Verdana" w:hAnsi="Verdana"/>
                <w:b/>
                <w:spacing w:val="-10"/>
                <w:sz w:val="18"/>
                <w:szCs w:val="18"/>
              </w:rPr>
              <w:t>1</w:t>
            </w:r>
          </w:p>
        </w:tc>
        <w:tc>
          <w:tcPr>
            <w:tcW w:w="6986" w:type="dxa"/>
          </w:tcPr>
          <w:p w14:paraId="3F861D2A" w14:textId="77777777" w:rsidR="008715BE" w:rsidRPr="00EC75B7" w:rsidRDefault="00000000">
            <w:pPr>
              <w:pStyle w:val="TableParagraph"/>
              <w:numPr>
                <w:ilvl w:val="0"/>
                <w:numId w:val="15"/>
              </w:numPr>
              <w:tabs>
                <w:tab w:val="left" w:pos="385"/>
              </w:tabs>
              <w:ind w:right="97"/>
              <w:jc w:val="both"/>
              <w:rPr>
                <w:rFonts w:ascii="Verdana" w:hAnsi="Verdana"/>
                <w:sz w:val="18"/>
                <w:szCs w:val="18"/>
              </w:rPr>
            </w:pPr>
            <w:r w:rsidRPr="00EC75B7">
              <w:rPr>
                <w:rFonts w:ascii="Verdana" w:hAnsi="Verdana"/>
                <w:b/>
                <w:sz w:val="18"/>
                <w:szCs w:val="18"/>
              </w:rPr>
              <w:t>Any hazard</w:t>
            </w:r>
            <w:r w:rsidRPr="00EC75B7">
              <w:rPr>
                <w:rFonts w:ascii="Verdana" w:hAnsi="Verdana"/>
                <w:sz w:val="18"/>
                <w:szCs w:val="18"/>
              </w:rPr>
              <w:t>: a hazard has occurred (current exposure) or is expected to occur (future exposure) once every 25 years</w:t>
            </w:r>
          </w:p>
          <w:p w14:paraId="1719B4B1" w14:textId="77777777" w:rsidR="008715BE" w:rsidRPr="00EC75B7" w:rsidRDefault="00000000">
            <w:pPr>
              <w:pStyle w:val="TableParagraph"/>
              <w:numPr>
                <w:ilvl w:val="0"/>
                <w:numId w:val="15"/>
              </w:numPr>
              <w:tabs>
                <w:tab w:val="left" w:pos="385"/>
              </w:tabs>
              <w:ind w:right="97"/>
              <w:jc w:val="both"/>
              <w:rPr>
                <w:rFonts w:ascii="Verdana" w:hAnsi="Verdana"/>
                <w:sz w:val="18"/>
                <w:szCs w:val="18"/>
              </w:rPr>
            </w:pPr>
            <w:r w:rsidRPr="00EC75B7">
              <w:rPr>
                <w:rFonts w:ascii="Verdana" w:hAnsi="Verdana"/>
                <w:b/>
                <w:sz w:val="18"/>
                <w:szCs w:val="18"/>
              </w:rPr>
              <w:t>Flood risk</w:t>
            </w:r>
            <w:r w:rsidRPr="00EC75B7">
              <w:rPr>
                <w:rFonts w:ascii="Verdana" w:hAnsi="Verdana"/>
                <w:sz w:val="18"/>
                <w:szCs w:val="18"/>
              </w:rPr>
              <w:t>: For climate hazards for which hazard or risk mapping is available, this would be the exposure in low probability maps (e.g., for flood hazard and risk maps, this may be 0.1% of flood risk programs)</w:t>
            </w:r>
          </w:p>
          <w:p w14:paraId="5035BB5F" w14:textId="77777777" w:rsidR="008715BE" w:rsidRPr="00EC75B7" w:rsidRDefault="00000000">
            <w:pPr>
              <w:pStyle w:val="TableParagraph"/>
              <w:numPr>
                <w:ilvl w:val="0"/>
                <w:numId w:val="15"/>
              </w:numPr>
              <w:tabs>
                <w:tab w:val="left" w:pos="385"/>
              </w:tabs>
              <w:spacing w:line="191" w:lineRule="exact"/>
              <w:ind w:hanging="278"/>
              <w:jc w:val="both"/>
              <w:rPr>
                <w:rFonts w:ascii="Verdana" w:hAnsi="Verdana"/>
                <w:sz w:val="18"/>
                <w:szCs w:val="18"/>
              </w:rPr>
            </w:pPr>
            <w:r w:rsidRPr="00EC75B7">
              <w:rPr>
                <w:rFonts w:ascii="Verdana" w:hAnsi="Verdana"/>
                <w:b/>
                <w:sz w:val="18"/>
                <w:szCs w:val="18"/>
              </w:rPr>
              <w:t>Extreme temperature</w:t>
            </w:r>
            <w:r w:rsidRPr="00EC75B7">
              <w:rPr>
                <w:rFonts w:ascii="Verdana" w:hAnsi="Verdana"/>
                <w:b/>
                <w:spacing w:val="32"/>
                <w:sz w:val="18"/>
                <w:szCs w:val="18"/>
              </w:rPr>
              <w:t xml:space="preserve">  </w:t>
            </w:r>
            <w:r w:rsidRPr="00EC75B7">
              <w:rPr>
                <w:rFonts w:ascii="Verdana" w:hAnsi="Verdana"/>
                <w:b/>
                <w:sz w:val="18"/>
                <w:szCs w:val="18"/>
              </w:rPr>
              <w:t xml:space="preserve"> </w:t>
            </w:r>
            <w:r w:rsidRPr="00EC75B7">
              <w:rPr>
                <w:rFonts w:ascii="Verdana" w:hAnsi="Verdana"/>
                <w:sz w:val="18"/>
                <w:szCs w:val="18"/>
              </w:rPr>
              <w:t>:</w:t>
            </w:r>
            <w:r w:rsidRPr="00EC75B7">
              <w:rPr>
                <w:rFonts w:ascii="Verdana" w:hAnsi="Verdana"/>
                <w:spacing w:val="34"/>
                <w:sz w:val="18"/>
                <w:szCs w:val="18"/>
              </w:rPr>
              <w:t xml:space="preserve">  </w:t>
            </w:r>
            <w:r w:rsidRPr="00EC75B7">
              <w:rPr>
                <w:rFonts w:ascii="Verdana" w:hAnsi="Verdana"/>
                <w:sz w:val="18"/>
                <w:szCs w:val="18"/>
              </w:rPr>
              <w:t xml:space="preserve"> average temperature</w:t>
            </w:r>
            <w:r w:rsidRPr="00EC75B7">
              <w:rPr>
                <w:rFonts w:ascii="Verdana" w:hAnsi="Verdana"/>
                <w:spacing w:val="32"/>
                <w:sz w:val="18"/>
                <w:szCs w:val="18"/>
              </w:rPr>
              <w:t xml:space="preserve">  </w:t>
            </w:r>
            <w:r w:rsidRPr="00EC75B7">
              <w:rPr>
                <w:rFonts w:ascii="Verdana" w:hAnsi="Verdana"/>
                <w:sz w:val="18"/>
                <w:szCs w:val="18"/>
              </w:rPr>
              <w:t xml:space="preserve"> </w:t>
            </w:r>
            <w:r w:rsidRPr="00EC75B7">
              <w:rPr>
                <w:rFonts w:ascii="Verdana" w:hAnsi="Verdana"/>
                <w:spacing w:val="33"/>
                <w:sz w:val="18"/>
                <w:szCs w:val="18"/>
              </w:rPr>
              <w:t xml:space="preserve">  </w:t>
            </w:r>
            <w:r w:rsidRPr="00EC75B7">
              <w:rPr>
                <w:rFonts w:ascii="Verdana" w:hAnsi="Verdana"/>
                <w:sz w:val="18"/>
                <w:szCs w:val="18"/>
              </w:rPr>
              <w:t xml:space="preserve"> in</w:t>
            </w:r>
            <w:r w:rsidRPr="00EC75B7">
              <w:rPr>
                <w:rFonts w:ascii="Verdana" w:hAnsi="Verdana"/>
                <w:spacing w:val="33"/>
                <w:sz w:val="18"/>
                <w:szCs w:val="18"/>
              </w:rPr>
              <w:t xml:space="preserve">  </w:t>
            </w:r>
            <w:r w:rsidRPr="00EC75B7">
              <w:rPr>
                <w:rFonts w:ascii="Verdana" w:hAnsi="Verdana"/>
                <w:sz w:val="18"/>
                <w:szCs w:val="18"/>
              </w:rPr>
              <w:t xml:space="preserve"> during</w:t>
            </w:r>
            <w:r w:rsidRPr="00EC75B7">
              <w:rPr>
                <w:rFonts w:ascii="Verdana" w:hAnsi="Verdana"/>
                <w:spacing w:val="34"/>
                <w:sz w:val="18"/>
                <w:szCs w:val="18"/>
              </w:rPr>
              <w:t xml:space="preserve">  </w:t>
            </w:r>
            <w:r w:rsidRPr="00EC75B7">
              <w:rPr>
                <w:rFonts w:ascii="Verdana" w:hAnsi="Verdana"/>
                <w:sz w:val="18"/>
                <w:szCs w:val="18"/>
              </w:rPr>
              <w:t xml:space="preserve"> summer</w:t>
            </w:r>
            <w:r w:rsidRPr="00EC75B7">
              <w:rPr>
                <w:rFonts w:ascii="Verdana" w:hAnsi="Verdana"/>
                <w:spacing w:val="33"/>
                <w:sz w:val="18"/>
                <w:szCs w:val="18"/>
              </w:rPr>
              <w:t xml:space="preserve">  </w:t>
            </w:r>
            <w:r w:rsidRPr="00EC75B7">
              <w:rPr>
                <w:rFonts w:ascii="Verdana" w:hAnsi="Verdana"/>
                <w:sz w:val="18"/>
                <w:szCs w:val="18"/>
              </w:rPr>
              <w:t xml:space="preserve"> has</w:t>
            </w:r>
            <w:r w:rsidRPr="00EC75B7">
              <w:rPr>
                <w:rFonts w:ascii="Verdana" w:hAnsi="Verdana"/>
                <w:spacing w:val="32"/>
                <w:sz w:val="18"/>
                <w:szCs w:val="18"/>
              </w:rPr>
              <w:t xml:space="preserve">  </w:t>
            </w:r>
            <w:r w:rsidRPr="00EC75B7">
              <w:rPr>
                <w:rFonts w:ascii="Verdana" w:hAnsi="Verdana"/>
                <w:spacing w:val="-2"/>
                <w:sz w:val="18"/>
                <w:szCs w:val="18"/>
              </w:rPr>
              <w:t xml:space="preserve"> acceptable values</w:t>
            </w:r>
          </w:p>
          <w:p w14:paraId="386219E2" w14:textId="77777777" w:rsidR="008715BE" w:rsidRPr="00EC75B7" w:rsidRDefault="00000000">
            <w:pPr>
              <w:pStyle w:val="TableParagraph"/>
              <w:spacing w:line="194" w:lineRule="exact"/>
              <w:ind w:left="385"/>
              <w:jc w:val="both"/>
              <w:rPr>
                <w:rFonts w:ascii="Verdana" w:hAnsi="Verdana"/>
                <w:sz w:val="18"/>
                <w:szCs w:val="18"/>
              </w:rPr>
            </w:pPr>
            <w:r w:rsidRPr="00EC75B7">
              <w:rPr>
                <w:rFonts w:ascii="Verdana" w:hAnsi="Verdana"/>
                <w:sz w:val="18"/>
                <w:szCs w:val="18"/>
              </w:rPr>
              <w:t xml:space="preserve">acceptable (≤20 ºC). Heat waves have a frequency of ≤ 1 event </w:t>
            </w:r>
            <w:r w:rsidRPr="00EC75B7">
              <w:rPr>
                <w:rFonts w:ascii="Verdana" w:hAnsi="Verdana"/>
                <w:spacing w:val="-5"/>
                <w:sz w:val="18"/>
                <w:szCs w:val="18"/>
              </w:rPr>
              <w:t>every</w:t>
            </w:r>
          </w:p>
          <w:p w14:paraId="2687BBEF" w14:textId="77777777" w:rsidR="008715BE" w:rsidRPr="00EC75B7" w:rsidRDefault="00000000">
            <w:pPr>
              <w:pStyle w:val="TableParagraph"/>
              <w:spacing w:line="175" w:lineRule="exact"/>
              <w:ind w:left="385"/>
              <w:jc w:val="both"/>
              <w:rPr>
                <w:rFonts w:ascii="Verdana" w:hAnsi="Verdana"/>
                <w:sz w:val="18"/>
                <w:szCs w:val="18"/>
              </w:rPr>
            </w:pPr>
            <w:r w:rsidRPr="00EC75B7">
              <w:rPr>
                <w:rFonts w:ascii="Verdana" w:hAnsi="Verdana"/>
                <w:sz w:val="18"/>
                <w:szCs w:val="18"/>
              </w:rPr>
              <w:t xml:space="preserve">every 5 </w:t>
            </w:r>
            <w:r w:rsidRPr="00EC75B7">
              <w:rPr>
                <w:rFonts w:ascii="Verdana" w:hAnsi="Verdana"/>
                <w:spacing w:val="-4"/>
                <w:sz w:val="18"/>
                <w:szCs w:val="18"/>
              </w:rPr>
              <w:t>years.</w:t>
            </w:r>
          </w:p>
        </w:tc>
      </w:tr>
      <w:tr w:rsidR="008715BE" w:rsidRPr="00EC75B7" w14:paraId="36243B39" w14:textId="77777777" w:rsidTr="002A4F7C">
        <w:trPr>
          <w:trHeight w:val="1555"/>
        </w:trPr>
        <w:tc>
          <w:tcPr>
            <w:tcW w:w="1634" w:type="dxa"/>
          </w:tcPr>
          <w:p w14:paraId="2D217DEB" w14:textId="77777777" w:rsidR="008715BE" w:rsidRPr="00EC75B7" w:rsidRDefault="008715BE">
            <w:pPr>
              <w:pStyle w:val="TableParagraph"/>
              <w:rPr>
                <w:rFonts w:ascii="Verdana" w:hAnsi="Verdana"/>
                <w:b/>
                <w:sz w:val="18"/>
                <w:szCs w:val="18"/>
              </w:rPr>
            </w:pPr>
          </w:p>
          <w:p w14:paraId="78E86647" w14:textId="77777777" w:rsidR="008715BE" w:rsidRPr="00EC75B7" w:rsidRDefault="008715BE">
            <w:pPr>
              <w:pStyle w:val="TableParagraph"/>
              <w:spacing w:before="191"/>
              <w:rPr>
                <w:rFonts w:ascii="Verdana" w:hAnsi="Verdana"/>
                <w:b/>
                <w:sz w:val="18"/>
                <w:szCs w:val="18"/>
              </w:rPr>
            </w:pPr>
          </w:p>
          <w:p w14:paraId="06A89DB2" w14:textId="77777777" w:rsidR="008715BE" w:rsidRPr="00EC75B7" w:rsidRDefault="00000000">
            <w:pPr>
              <w:pStyle w:val="TableParagraph"/>
              <w:spacing w:before="1"/>
              <w:ind w:left="108"/>
              <w:rPr>
                <w:rFonts w:ascii="Verdana" w:hAnsi="Verdana"/>
                <w:b/>
                <w:sz w:val="18"/>
                <w:szCs w:val="18"/>
              </w:rPr>
            </w:pPr>
            <w:r w:rsidRPr="00EC75B7">
              <w:rPr>
                <w:rFonts w:ascii="Verdana" w:hAnsi="Verdana"/>
                <w:b/>
                <w:sz w:val="18"/>
                <w:szCs w:val="18"/>
              </w:rPr>
              <w:t xml:space="preserve">There is no </w:t>
            </w:r>
            <w:r w:rsidRPr="00EC75B7">
              <w:rPr>
                <w:rFonts w:ascii="Verdana" w:hAnsi="Verdana"/>
                <w:b/>
                <w:spacing w:val="-2"/>
                <w:sz w:val="18"/>
                <w:szCs w:val="18"/>
              </w:rPr>
              <w:t>exposure</w:t>
            </w:r>
          </w:p>
        </w:tc>
        <w:tc>
          <w:tcPr>
            <w:tcW w:w="1139" w:type="dxa"/>
            <w:shd w:val="clear" w:color="auto" w:fill="F1F1F1"/>
          </w:tcPr>
          <w:p w14:paraId="0DB6585C" w14:textId="77777777" w:rsidR="008715BE" w:rsidRPr="00EC75B7" w:rsidRDefault="008715BE">
            <w:pPr>
              <w:pStyle w:val="TableParagraph"/>
              <w:rPr>
                <w:rFonts w:ascii="Verdana" w:hAnsi="Verdana"/>
                <w:b/>
                <w:sz w:val="18"/>
                <w:szCs w:val="18"/>
              </w:rPr>
            </w:pPr>
          </w:p>
          <w:p w14:paraId="276878B9" w14:textId="77777777" w:rsidR="008715BE" w:rsidRPr="00EC75B7" w:rsidRDefault="008715BE">
            <w:pPr>
              <w:pStyle w:val="TableParagraph"/>
              <w:spacing w:before="191"/>
              <w:rPr>
                <w:rFonts w:ascii="Verdana" w:hAnsi="Verdana"/>
                <w:b/>
                <w:sz w:val="18"/>
                <w:szCs w:val="18"/>
              </w:rPr>
            </w:pPr>
          </w:p>
          <w:p w14:paraId="6DEC06A1" w14:textId="77777777" w:rsidR="008715BE" w:rsidRPr="00EC75B7" w:rsidRDefault="00000000">
            <w:pPr>
              <w:pStyle w:val="TableParagraph"/>
              <w:spacing w:before="1" w:line="195" w:lineRule="exact"/>
              <w:ind w:left="107"/>
              <w:rPr>
                <w:rFonts w:ascii="Verdana" w:hAnsi="Verdana"/>
                <w:b/>
                <w:sz w:val="18"/>
                <w:szCs w:val="18"/>
              </w:rPr>
            </w:pPr>
            <w:r w:rsidRPr="00EC75B7">
              <w:rPr>
                <w:rFonts w:ascii="Verdana" w:hAnsi="Verdana"/>
                <w:b/>
                <w:spacing w:val="-4"/>
                <w:sz w:val="18"/>
                <w:szCs w:val="18"/>
              </w:rPr>
              <w:t>No</w:t>
            </w:r>
          </w:p>
          <w:p w14:paraId="12C73BE3" w14:textId="77777777" w:rsidR="008715BE" w:rsidRPr="00EC75B7" w:rsidRDefault="00000000">
            <w:pPr>
              <w:pStyle w:val="TableParagraph"/>
              <w:spacing w:line="195" w:lineRule="exact"/>
              <w:ind w:left="107"/>
              <w:rPr>
                <w:rFonts w:ascii="Verdana" w:hAnsi="Verdana"/>
                <w:b/>
                <w:sz w:val="18"/>
                <w:szCs w:val="18"/>
              </w:rPr>
            </w:pPr>
            <w:r w:rsidRPr="00EC75B7">
              <w:rPr>
                <w:rFonts w:ascii="Verdana" w:hAnsi="Verdana"/>
                <w:b/>
                <w:spacing w:val="-2"/>
                <w:sz w:val="18"/>
                <w:szCs w:val="18"/>
              </w:rPr>
              <w:t>exposure</w:t>
            </w:r>
          </w:p>
        </w:tc>
        <w:tc>
          <w:tcPr>
            <w:tcW w:w="279" w:type="dxa"/>
            <w:shd w:val="clear" w:color="auto" w:fill="F1F1F1"/>
          </w:tcPr>
          <w:p w14:paraId="00512E70" w14:textId="77777777" w:rsidR="008715BE" w:rsidRPr="00EC75B7" w:rsidRDefault="008715BE">
            <w:pPr>
              <w:pStyle w:val="TableParagraph"/>
              <w:rPr>
                <w:rFonts w:ascii="Verdana" w:hAnsi="Verdana"/>
                <w:b/>
                <w:sz w:val="18"/>
                <w:szCs w:val="18"/>
              </w:rPr>
            </w:pPr>
          </w:p>
          <w:p w14:paraId="456F304A" w14:textId="77777777" w:rsidR="008715BE" w:rsidRPr="00EC75B7" w:rsidRDefault="008715BE">
            <w:pPr>
              <w:pStyle w:val="TableParagraph"/>
              <w:rPr>
                <w:rFonts w:ascii="Verdana" w:hAnsi="Verdana"/>
                <w:b/>
                <w:sz w:val="18"/>
                <w:szCs w:val="18"/>
              </w:rPr>
            </w:pPr>
          </w:p>
          <w:p w14:paraId="559C6A2A" w14:textId="77777777" w:rsidR="008715BE" w:rsidRPr="00EC75B7" w:rsidRDefault="008715BE">
            <w:pPr>
              <w:pStyle w:val="TableParagraph"/>
              <w:spacing w:before="95"/>
              <w:rPr>
                <w:rFonts w:ascii="Verdana" w:hAnsi="Verdana"/>
                <w:b/>
                <w:sz w:val="18"/>
                <w:szCs w:val="18"/>
              </w:rPr>
            </w:pPr>
          </w:p>
          <w:p w14:paraId="6CA1A8F8" w14:textId="77777777" w:rsidR="008715BE" w:rsidRPr="00EC75B7" w:rsidRDefault="00000000">
            <w:pPr>
              <w:pStyle w:val="TableParagraph"/>
              <w:ind w:right="21"/>
              <w:jc w:val="center"/>
              <w:rPr>
                <w:rFonts w:ascii="Verdana" w:hAnsi="Verdana"/>
                <w:b/>
                <w:sz w:val="18"/>
                <w:szCs w:val="18"/>
              </w:rPr>
            </w:pPr>
            <w:r w:rsidRPr="00EC75B7">
              <w:rPr>
                <w:rFonts w:ascii="Verdana" w:hAnsi="Verdana"/>
                <w:b/>
                <w:spacing w:val="-10"/>
                <w:sz w:val="18"/>
                <w:szCs w:val="18"/>
              </w:rPr>
              <w:t>0</w:t>
            </w:r>
          </w:p>
        </w:tc>
        <w:tc>
          <w:tcPr>
            <w:tcW w:w="6986" w:type="dxa"/>
          </w:tcPr>
          <w:p w14:paraId="10DC1886" w14:textId="77777777" w:rsidR="008715BE" w:rsidRPr="00EC75B7" w:rsidRDefault="00000000">
            <w:pPr>
              <w:pStyle w:val="TableParagraph"/>
              <w:numPr>
                <w:ilvl w:val="0"/>
                <w:numId w:val="14"/>
              </w:numPr>
              <w:tabs>
                <w:tab w:val="left" w:pos="385"/>
              </w:tabs>
              <w:ind w:right="100"/>
              <w:jc w:val="both"/>
              <w:rPr>
                <w:rFonts w:ascii="Verdana" w:hAnsi="Verdana"/>
                <w:sz w:val="18"/>
                <w:szCs w:val="18"/>
              </w:rPr>
            </w:pPr>
            <w:r w:rsidRPr="00EC75B7">
              <w:rPr>
                <w:rFonts w:ascii="Verdana" w:hAnsi="Verdana"/>
                <w:b/>
                <w:sz w:val="18"/>
                <w:szCs w:val="18"/>
              </w:rPr>
              <w:t>Any hazard</w:t>
            </w:r>
            <w:r w:rsidRPr="00EC75B7">
              <w:rPr>
                <w:rFonts w:ascii="Verdana" w:hAnsi="Verdana"/>
                <w:sz w:val="18"/>
                <w:szCs w:val="18"/>
              </w:rPr>
              <w:t>: there is no possibility of the hazard occurring at the project location (e.g., an inland project cannot be exposed to coastal erosion)</w:t>
            </w:r>
          </w:p>
          <w:p w14:paraId="66A58BD8" w14:textId="77777777" w:rsidR="008715BE" w:rsidRPr="00EC75B7" w:rsidRDefault="00000000">
            <w:pPr>
              <w:pStyle w:val="TableParagraph"/>
              <w:numPr>
                <w:ilvl w:val="0"/>
                <w:numId w:val="14"/>
              </w:numPr>
              <w:tabs>
                <w:tab w:val="left" w:pos="385"/>
              </w:tabs>
              <w:ind w:right="97"/>
              <w:jc w:val="both"/>
              <w:rPr>
                <w:rFonts w:ascii="Verdana" w:hAnsi="Verdana"/>
                <w:sz w:val="18"/>
                <w:szCs w:val="18"/>
              </w:rPr>
            </w:pPr>
            <w:r w:rsidRPr="00EC75B7">
              <w:rPr>
                <w:rFonts w:ascii="Verdana" w:hAnsi="Verdana"/>
                <w:b/>
                <w:sz w:val="18"/>
                <w:szCs w:val="18"/>
              </w:rPr>
              <w:t>Flood hazard</w:t>
            </w:r>
            <w:r w:rsidRPr="00EC75B7">
              <w:rPr>
                <w:rFonts w:ascii="Verdana" w:hAnsi="Verdana"/>
                <w:sz w:val="18"/>
                <w:szCs w:val="18"/>
              </w:rPr>
              <w:t xml:space="preserve">: For climate hazards for which hazard or risk mapping is available, the project location is outside the low probability maps (e.g., for flood hazard and risk maps, this may be 0.1% of </w:t>
            </w:r>
            <w:r w:rsidRPr="00EC75B7">
              <w:rPr>
                <w:rFonts w:ascii="Verdana" w:hAnsi="Verdana"/>
                <w:spacing w:val="-2"/>
                <w:sz w:val="18"/>
                <w:szCs w:val="18"/>
              </w:rPr>
              <w:t xml:space="preserve">flood </w:t>
            </w:r>
            <w:r w:rsidRPr="00EC75B7">
              <w:rPr>
                <w:rFonts w:ascii="Verdana" w:hAnsi="Verdana"/>
                <w:sz w:val="18"/>
                <w:szCs w:val="18"/>
              </w:rPr>
              <w:t>risk programs</w:t>
            </w:r>
            <w:r w:rsidRPr="00EC75B7">
              <w:rPr>
                <w:rFonts w:ascii="Verdana" w:hAnsi="Verdana"/>
                <w:spacing w:val="-2"/>
                <w:sz w:val="18"/>
                <w:szCs w:val="18"/>
              </w:rPr>
              <w:t>)</w:t>
            </w:r>
          </w:p>
          <w:p w14:paraId="77F2BC06" w14:textId="77777777" w:rsidR="008715BE" w:rsidRPr="00EC75B7" w:rsidRDefault="00000000">
            <w:pPr>
              <w:pStyle w:val="TableParagraph"/>
              <w:numPr>
                <w:ilvl w:val="0"/>
                <w:numId w:val="14"/>
              </w:numPr>
              <w:tabs>
                <w:tab w:val="left" w:pos="385"/>
              </w:tabs>
              <w:spacing w:line="171" w:lineRule="exact"/>
              <w:ind w:hanging="278"/>
              <w:jc w:val="both"/>
              <w:rPr>
                <w:rFonts w:ascii="Verdana" w:hAnsi="Verdana"/>
                <w:sz w:val="18"/>
                <w:szCs w:val="18"/>
              </w:rPr>
            </w:pPr>
            <w:r w:rsidRPr="00EC75B7">
              <w:rPr>
                <w:rFonts w:ascii="Verdana" w:hAnsi="Verdana"/>
                <w:b/>
                <w:sz w:val="18"/>
                <w:szCs w:val="18"/>
              </w:rPr>
              <w:t>Extreme temperature</w:t>
            </w:r>
            <w:r w:rsidRPr="00EC75B7">
              <w:rPr>
                <w:rFonts w:ascii="Verdana" w:hAnsi="Verdana"/>
                <w:sz w:val="18"/>
                <w:szCs w:val="18"/>
              </w:rPr>
              <w:t xml:space="preserve">: No </w:t>
            </w:r>
            <w:r w:rsidRPr="00EC75B7">
              <w:rPr>
                <w:rFonts w:ascii="Verdana" w:hAnsi="Verdana"/>
                <w:spacing w:val="-2"/>
                <w:sz w:val="18"/>
                <w:szCs w:val="18"/>
              </w:rPr>
              <w:t xml:space="preserve">heat </w:t>
            </w:r>
            <w:r w:rsidRPr="00EC75B7">
              <w:rPr>
                <w:rFonts w:ascii="Verdana" w:hAnsi="Verdana"/>
                <w:sz w:val="18"/>
                <w:szCs w:val="18"/>
              </w:rPr>
              <w:t>waves are expected</w:t>
            </w:r>
          </w:p>
        </w:tc>
      </w:tr>
    </w:tbl>
    <w:p w14:paraId="2700DC17" w14:textId="77777777" w:rsidR="008715BE" w:rsidRPr="00EC75B7" w:rsidRDefault="00000000">
      <w:pPr>
        <w:pStyle w:val="BodyText"/>
        <w:spacing w:line="360" w:lineRule="auto"/>
        <w:ind w:left="57" w:right="713"/>
        <w:jc w:val="both"/>
        <w:rPr>
          <w:rFonts w:ascii="Verdana" w:hAnsi="Verdana"/>
        </w:rPr>
      </w:pPr>
      <w:r w:rsidRPr="00EC75B7">
        <w:rPr>
          <w:rFonts w:ascii="Verdana" w:hAnsi="Verdana"/>
        </w:rPr>
        <w:t>For the current climate (i.e., the first year of operation of the proposed project), exposure was assessed by considering the recent history of the project site and where it has been affected by climate hazards such as floods, drought, high temperatures, or coastal erosion.</w:t>
      </w:r>
    </w:p>
    <w:p w14:paraId="670824C9" w14:textId="77777777" w:rsidR="008715BE" w:rsidRPr="00EC75B7" w:rsidRDefault="008715BE">
      <w:pPr>
        <w:pStyle w:val="BodyText"/>
        <w:spacing w:line="360" w:lineRule="auto"/>
        <w:jc w:val="both"/>
        <w:rPr>
          <w:rFonts w:ascii="Verdana" w:hAnsi="Verdana"/>
        </w:rPr>
        <w:sectPr w:rsidR="008715BE" w:rsidRPr="00EC75B7">
          <w:pgSz w:w="11910" w:h="16840"/>
          <w:pgMar w:top="1320" w:right="283" w:bottom="1020" w:left="1133" w:header="766" w:footer="824" w:gutter="0"/>
          <w:cols w:space="708"/>
        </w:sectPr>
      </w:pPr>
    </w:p>
    <w:p w14:paraId="3E782955" w14:textId="77777777" w:rsidR="008715BE" w:rsidRPr="00EC75B7" w:rsidRDefault="00000000">
      <w:pPr>
        <w:pStyle w:val="BodyText"/>
        <w:spacing w:before="99" w:line="357" w:lineRule="auto"/>
        <w:ind w:left="57" w:right="705"/>
        <w:jc w:val="both"/>
        <w:rPr>
          <w:rFonts w:ascii="Verdana" w:hAnsi="Verdana"/>
        </w:rPr>
      </w:pPr>
      <w:r w:rsidRPr="00EC75B7">
        <w:rPr>
          <w:rFonts w:ascii="Verdana" w:hAnsi="Verdana"/>
        </w:rPr>
        <w:lastRenderedPageBreak/>
        <w:t>For climate hazards, for which detailed hazard and risk mapping data were not available, the exposure level assigned to these climate hazards was based on the most exposed component of the project.</w:t>
      </w:r>
    </w:p>
    <w:p w14:paraId="22D67474" w14:textId="77777777" w:rsidR="008715BE" w:rsidRPr="00EC75B7" w:rsidRDefault="00000000">
      <w:pPr>
        <w:pStyle w:val="BodyText"/>
        <w:spacing w:before="123" w:line="357" w:lineRule="auto"/>
        <w:ind w:left="57" w:right="712"/>
        <w:jc w:val="both"/>
        <w:rPr>
          <w:rFonts w:ascii="Verdana" w:hAnsi="Verdana"/>
        </w:rPr>
      </w:pPr>
      <w:r w:rsidRPr="00EC75B7">
        <w:rPr>
          <w:rFonts w:ascii="Verdana" w:hAnsi="Verdana"/>
        </w:rPr>
        <w:t>The purpose of the vulnerability analysis is to identify the climate hazards relevant to the specific type of project at the planned site. The vulnerability of a project is a combination of two aspects: how sensitive the project components are to climate hazards in general (sensitivity) and the likelihood that these hazards will occur at the project site now and in the future (exposure). These two aspects can be assessed separately or together.</w:t>
      </w:r>
    </w:p>
    <w:p w14:paraId="183E4010" w14:textId="77777777" w:rsidR="008715BE" w:rsidRPr="00EC75B7" w:rsidRDefault="00000000">
      <w:pPr>
        <w:pStyle w:val="BodyText"/>
        <w:spacing w:before="124" w:line="357" w:lineRule="auto"/>
        <w:ind w:left="57" w:right="721"/>
        <w:jc w:val="both"/>
        <w:rPr>
          <w:rFonts w:ascii="Verdana" w:hAnsi="Verdana"/>
        </w:rPr>
      </w:pPr>
      <w:r w:rsidRPr="00EC75B7">
        <w:rPr>
          <w:rFonts w:ascii="Verdana" w:hAnsi="Verdana"/>
        </w:rPr>
        <w:t>An initial examination may focus on climate hazards classified as "high" in the sensitivity analysis and/or exposure analysis as input for the vulnerability assessment.</w:t>
      </w:r>
    </w:p>
    <w:p w14:paraId="272C68F3" w14:textId="77777777" w:rsidR="008715BE" w:rsidRPr="00EC75B7" w:rsidRDefault="00000000">
      <w:pPr>
        <w:pStyle w:val="BodyText"/>
        <w:spacing w:before="121"/>
        <w:ind w:left="57"/>
        <w:jc w:val="both"/>
        <w:rPr>
          <w:rFonts w:ascii="Verdana" w:hAnsi="Verdana"/>
        </w:rPr>
      </w:pPr>
      <w:r w:rsidRPr="00EC75B7">
        <w:rPr>
          <w:rFonts w:ascii="Verdana" w:hAnsi="Verdana"/>
        </w:rPr>
        <w:t xml:space="preserve">Vulnerability scoring is based on the methodology in the </w:t>
      </w:r>
      <w:r w:rsidRPr="00EC75B7">
        <w:rPr>
          <w:rFonts w:ascii="Verdana" w:hAnsi="Verdana"/>
          <w:spacing w:val="-2"/>
        </w:rPr>
        <w:t xml:space="preserve">following </w:t>
      </w:r>
      <w:r w:rsidRPr="00EC75B7">
        <w:rPr>
          <w:rFonts w:ascii="Verdana" w:hAnsi="Verdana"/>
        </w:rPr>
        <w:t>figure</w:t>
      </w:r>
      <w:r w:rsidRPr="00EC75B7">
        <w:rPr>
          <w:rFonts w:ascii="Verdana" w:hAnsi="Verdana"/>
          <w:spacing w:val="-2"/>
        </w:rPr>
        <w:t>.</w:t>
      </w:r>
    </w:p>
    <w:p w14:paraId="6DC30286" w14:textId="77777777" w:rsidR="008715BE" w:rsidRPr="00EC75B7" w:rsidRDefault="008715BE">
      <w:pPr>
        <w:pStyle w:val="BodyText"/>
        <w:spacing w:before="60"/>
        <w:rPr>
          <w:rFonts w:ascii="Verdana" w:hAnsi="Verdana"/>
        </w:rPr>
      </w:pPr>
    </w:p>
    <w:p w14:paraId="6D44BD1F" w14:textId="77777777" w:rsidR="008715BE" w:rsidRPr="00EC75B7" w:rsidRDefault="00000000">
      <w:pPr>
        <w:ind w:left="57"/>
        <w:jc w:val="both"/>
        <w:rPr>
          <w:rFonts w:ascii="Verdana" w:hAnsi="Verdana"/>
          <w:b/>
          <w:sz w:val="18"/>
          <w:szCs w:val="18"/>
        </w:rPr>
      </w:pPr>
      <w:r w:rsidRPr="00EC75B7">
        <w:rPr>
          <w:rFonts w:ascii="Verdana" w:hAnsi="Verdana"/>
          <w:b/>
          <w:color w:val="00AFEF"/>
          <w:sz w:val="18"/>
          <w:szCs w:val="18"/>
        </w:rPr>
        <w:t xml:space="preserve">Table 70 Vulnerability matrix – </w:t>
      </w:r>
      <w:r w:rsidRPr="00EC75B7">
        <w:rPr>
          <w:rFonts w:ascii="Verdana" w:hAnsi="Verdana"/>
          <w:b/>
          <w:color w:val="00AFEF"/>
          <w:spacing w:val="-2"/>
          <w:sz w:val="18"/>
          <w:szCs w:val="18"/>
        </w:rPr>
        <w:t xml:space="preserve">scoring </w:t>
      </w:r>
      <w:r w:rsidRPr="00EC75B7">
        <w:rPr>
          <w:rFonts w:ascii="Verdana" w:hAnsi="Verdana"/>
          <w:b/>
          <w:color w:val="00AFEF"/>
          <w:sz w:val="18"/>
          <w:szCs w:val="18"/>
        </w:rPr>
        <w:t>system</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15"/>
        <w:gridCol w:w="2590"/>
        <w:gridCol w:w="6010"/>
      </w:tblGrid>
      <w:tr w:rsidR="008715BE" w:rsidRPr="00EC75B7" w14:paraId="1B0B8E0D" w14:textId="77777777">
        <w:trPr>
          <w:trHeight w:val="407"/>
        </w:trPr>
        <w:tc>
          <w:tcPr>
            <w:tcW w:w="9215" w:type="dxa"/>
            <w:gridSpan w:val="3"/>
            <w:tcBorders>
              <w:top w:val="nil"/>
              <w:left w:val="nil"/>
              <w:right w:val="nil"/>
            </w:tcBorders>
            <w:shd w:val="clear" w:color="auto" w:fill="00AFEF"/>
          </w:tcPr>
          <w:p w14:paraId="01184494" w14:textId="77777777" w:rsidR="008715BE" w:rsidRPr="00EC75B7" w:rsidRDefault="00000000">
            <w:pPr>
              <w:pStyle w:val="TableParagraph"/>
              <w:spacing w:before="116"/>
              <w:ind w:left="118"/>
              <w:rPr>
                <w:rFonts w:ascii="Verdana" w:hAnsi="Verdana"/>
                <w:b/>
                <w:sz w:val="18"/>
                <w:szCs w:val="18"/>
              </w:rPr>
            </w:pPr>
            <w:r w:rsidRPr="00EC75B7">
              <w:rPr>
                <w:rFonts w:ascii="Verdana" w:hAnsi="Verdana"/>
                <w:b/>
                <w:color w:val="FFFFFF"/>
                <w:sz w:val="18"/>
                <w:szCs w:val="18"/>
              </w:rPr>
              <w:t xml:space="preserve">Vulnerability = Sensitivity * </w:t>
            </w:r>
            <w:r w:rsidRPr="00EC75B7">
              <w:rPr>
                <w:rFonts w:ascii="Verdana" w:hAnsi="Verdana"/>
                <w:b/>
                <w:color w:val="FFFFFF"/>
                <w:spacing w:val="-2"/>
                <w:sz w:val="18"/>
                <w:szCs w:val="18"/>
              </w:rPr>
              <w:t>Exposure</w:t>
            </w:r>
          </w:p>
        </w:tc>
      </w:tr>
      <w:tr w:rsidR="008715BE" w:rsidRPr="00EC75B7" w14:paraId="1934BE7F" w14:textId="77777777">
        <w:trPr>
          <w:trHeight w:val="191"/>
        </w:trPr>
        <w:tc>
          <w:tcPr>
            <w:tcW w:w="615" w:type="dxa"/>
            <w:tcBorders>
              <w:bottom w:val="single" w:sz="8" w:space="0" w:color="D9D9D9"/>
            </w:tcBorders>
            <w:shd w:val="clear" w:color="auto" w:fill="00AFEF"/>
          </w:tcPr>
          <w:p w14:paraId="2555499D" w14:textId="77777777" w:rsidR="008715BE" w:rsidRPr="00EC75B7" w:rsidRDefault="00000000">
            <w:pPr>
              <w:pStyle w:val="TableParagraph"/>
              <w:spacing w:line="171" w:lineRule="exact"/>
              <w:ind w:left="113"/>
              <w:rPr>
                <w:rFonts w:ascii="Verdana" w:hAnsi="Verdana"/>
                <w:b/>
                <w:sz w:val="18"/>
                <w:szCs w:val="18"/>
              </w:rPr>
            </w:pPr>
            <w:r w:rsidRPr="00EC75B7">
              <w:rPr>
                <w:rFonts w:ascii="Verdana" w:hAnsi="Verdana"/>
                <w:b/>
                <w:color w:val="FFFFFF"/>
                <w:spacing w:val="-4"/>
                <w:sz w:val="18"/>
                <w:szCs w:val="18"/>
              </w:rPr>
              <w:t>Score</w:t>
            </w:r>
          </w:p>
        </w:tc>
        <w:tc>
          <w:tcPr>
            <w:tcW w:w="8600" w:type="dxa"/>
            <w:gridSpan w:val="2"/>
            <w:shd w:val="clear" w:color="auto" w:fill="00AFEF"/>
          </w:tcPr>
          <w:p w14:paraId="53F5D68D" w14:textId="77777777" w:rsidR="008715BE" w:rsidRPr="00EC75B7" w:rsidRDefault="00000000">
            <w:pPr>
              <w:pStyle w:val="TableParagraph"/>
              <w:spacing w:line="171" w:lineRule="exact"/>
              <w:ind w:left="112"/>
              <w:rPr>
                <w:rFonts w:ascii="Verdana" w:hAnsi="Verdana"/>
                <w:b/>
                <w:sz w:val="18"/>
                <w:szCs w:val="18"/>
              </w:rPr>
            </w:pPr>
            <w:r w:rsidRPr="00EC75B7">
              <w:rPr>
                <w:rFonts w:ascii="Verdana" w:hAnsi="Verdana"/>
                <w:b/>
                <w:color w:val="FFFFFF"/>
                <w:spacing w:val="-2"/>
                <w:sz w:val="18"/>
                <w:szCs w:val="18"/>
              </w:rPr>
              <w:t xml:space="preserve">Vulnerability </w:t>
            </w:r>
            <w:r w:rsidRPr="00EC75B7">
              <w:rPr>
                <w:rFonts w:ascii="Verdana" w:hAnsi="Verdana"/>
                <w:b/>
                <w:color w:val="FFFFFF"/>
                <w:sz w:val="18"/>
                <w:szCs w:val="18"/>
              </w:rPr>
              <w:t>class</w:t>
            </w:r>
          </w:p>
        </w:tc>
      </w:tr>
      <w:tr w:rsidR="008715BE" w:rsidRPr="00EC75B7" w14:paraId="41988FDA" w14:textId="77777777">
        <w:trPr>
          <w:trHeight w:val="388"/>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177CD313" w14:textId="77777777" w:rsidR="008715BE" w:rsidRPr="00EC75B7" w:rsidRDefault="00000000">
            <w:pPr>
              <w:pStyle w:val="TableParagraph"/>
              <w:spacing w:before="97"/>
              <w:ind w:left="108"/>
              <w:rPr>
                <w:rFonts w:ascii="Verdana" w:hAnsi="Verdana"/>
                <w:b/>
                <w:sz w:val="18"/>
                <w:szCs w:val="18"/>
              </w:rPr>
            </w:pPr>
            <w:r w:rsidRPr="00EC75B7">
              <w:rPr>
                <w:rFonts w:ascii="Verdana" w:hAnsi="Verdana"/>
                <w:b/>
                <w:color w:val="FFFFFF"/>
                <w:spacing w:val="-5"/>
                <w:sz w:val="18"/>
                <w:szCs w:val="18"/>
              </w:rPr>
              <w:t>≥6</w:t>
            </w:r>
          </w:p>
        </w:tc>
        <w:tc>
          <w:tcPr>
            <w:tcW w:w="2590" w:type="dxa"/>
            <w:tcBorders>
              <w:left w:val="single" w:sz="8" w:space="0" w:color="D9D9D9"/>
              <w:bottom w:val="nil"/>
            </w:tcBorders>
            <w:shd w:val="clear" w:color="auto" w:fill="FF8F92"/>
          </w:tcPr>
          <w:p w14:paraId="2ABA3793" w14:textId="77777777" w:rsidR="008715BE" w:rsidRPr="00EC75B7" w:rsidRDefault="00000000">
            <w:pPr>
              <w:pStyle w:val="TableParagraph"/>
              <w:spacing w:before="97"/>
              <w:ind w:left="107"/>
              <w:rPr>
                <w:rFonts w:ascii="Verdana" w:hAnsi="Verdana"/>
                <w:b/>
                <w:sz w:val="18"/>
                <w:szCs w:val="18"/>
              </w:rPr>
            </w:pPr>
            <w:r w:rsidRPr="00EC75B7">
              <w:rPr>
                <w:rFonts w:ascii="Verdana" w:hAnsi="Verdana"/>
                <w:b/>
                <w:spacing w:val="-2"/>
                <w:sz w:val="18"/>
                <w:szCs w:val="18"/>
              </w:rPr>
              <w:t xml:space="preserve">High </w:t>
            </w:r>
            <w:r w:rsidRPr="00EC75B7">
              <w:rPr>
                <w:rFonts w:ascii="Verdana" w:hAnsi="Verdana"/>
                <w:b/>
                <w:sz w:val="18"/>
                <w:szCs w:val="18"/>
              </w:rPr>
              <w:t>vulnerability</w:t>
            </w:r>
          </w:p>
        </w:tc>
        <w:tc>
          <w:tcPr>
            <w:tcW w:w="6010" w:type="dxa"/>
          </w:tcPr>
          <w:p w14:paraId="44F2DAAB" w14:textId="77777777" w:rsidR="008715BE" w:rsidRPr="00EC75B7" w:rsidRDefault="00000000">
            <w:pPr>
              <w:pStyle w:val="TableParagraph"/>
              <w:spacing w:line="194" w:lineRule="exact"/>
              <w:ind w:left="112"/>
              <w:rPr>
                <w:rFonts w:ascii="Verdana" w:hAnsi="Verdana"/>
                <w:sz w:val="18"/>
                <w:szCs w:val="18"/>
              </w:rPr>
            </w:pPr>
            <w:r w:rsidRPr="00EC75B7">
              <w:rPr>
                <w:rFonts w:ascii="Verdana" w:hAnsi="Verdana"/>
                <w:sz w:val="18"/>
                <w:szCs w:val="18"/>
              </w:rPr>
              <w:t xml:space="preserve">The project is vulnerable to this </w:t>
            </w:r>
            <w:r w:rsidRPr="00EC75B7">
              <w:rPr>
                <w:rFonts w:ascii="Verdana" w:hAnsi="Verdana"/>
                <w:spacing w:val="-2"/>
                <w:sz w:val="18"/>
                <w:szCs w:val="18"/>
              </w:rPr>
              <w:t xml:space="preserve">climate </w:t>
            </w:r>
            <w:r w:rsidRPr="00EC75B7">
              <w:rPr>
                <w:rFonts w:ascii="Verdana" w:hAnsi="Verdana"/>
                <w:sz w:val="18"/>
                <w:szCs w:val="18"/>
              </w:rPr>
              <w:t>risk</w:t>
            </w:r>
          </w:p>
          <w:p w14:paraId="33BBAAEA" w14:textId="77777777" w:rsidR="008715BE" w:rsidRPr="00EC75B7" w:rsidRDefault="00000000">
            <w:pPr>
              <w:pStyle w:val="TableParagraph"/>
              <w:spacing w:line="174" w:lineRule="exact"/>
              <w:ind w:left="112"/>
              <w:rPr>
                <w:rFonts w:ascii="Verdana" w:hAnsi="Verdana"/>
                <w:sz w:val="18"/>
                <w:szCs w:val="18"/>
              </w:rPr>
            </w:pPr>
            <w:r w:rsidRPr="00EC75B7">
              <w:rPr>
                <w:rFonts w:ascii="Verdana" w:hAnsi="Verdana"/>
                <w:sz w:val="18"/>
                <w:szCs w:val="18"/>
              </w:rPr>
              <w:t>Move to detailed assessment (phase</w:t>
            </w:r>
            <w:r w:rsidRPr="00EC75B7">
              <w:rPr>
                <w:rFonts w:ascii="Verdana" w:hAnsi="Verdana"/>
                <w:spacing w:val="-5"/>
                <w:sz w:val="18"/>
                <w:szCs w:val="18"/>
              </w:rPr>
              <w:t xml:space="preserve"> 2)</w:t>
            </w:r>
          </w:p>
        </w:tc>
      </w:tr>
      <w:tr w:rsidR="008715BE" w:rsidRPr="00EC75B7" w14:paraId="588A311B" w14:textId="77777777">
        <w:trPr>
          <w:trHeight w:val="387"/>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14D3648E" w14:textId="77777777" w:rsidR="008715BE" w:rsidRPr="00EC75B7" w:rsidRDefault="00000000">
            <w:pPr>
              <w:pStyle w:val="TableParagraph"/>
              <w:spacing w:before="97"/>
              <w:ind w:left="108"/>
              <w:rPr>
                <w:rFonts w:ascii="Verdana" w:hAnsi="Verdana"/>
                <w:b/>
                <w:sz w:val="18"/>
                <w:szCs w:val="18"/>
              </w:rPr>
            </w:pPr>
            <w:r w:rsidRPr="00EC75B7">
              <w:rPr>
                <w:rFonts w:ascii="Verdana" w:hAnsi="Verdana"/>
                <w:b/>
                <w:color w:val="FFFFFF"/>
                <w:spacing w:val="-10"/>
                <w:sz w:val="18"/>
                <w:szCs w:val="18"/>
              </w:rPr>
              <w:t>3</w:t>
            </w:r>
          </w:p>
        </w:tc>
        <w:tc>
          <w:tcPr>
            <w:tcW w:w="2590" w:type="dxa"/>
            <w:tcBorders>
              <w:top w:val="nil"/>
              <w:left w:val="single" w:sz="8" w:space="0" w:color="D9D9D9"/>
              <w:bottom w:val="nil"/>
            </w:tcBorders>
            <w:shd w:val="clear" w:color="auto" w:fill="FFC000"/>
          </w:tcPr>
          <w:p w14:paraId="0CC56492" w14:textId="77777777" w:rsidR="008715BE" w:rsidRPr="00EC75B7" w:rsidRDefault="00000000">
            <w:pPr>
              <w:pStyle w:val="TableParagraph"/>
              <w:spacing w:before="97"/>
              <w:ind w:left="107"/>
              <w:rPr>
                <w:rFonts w:ascii="Verdana" w:hAnsi="Verdana"/>
                <w:b/>
                <w:sz w:val="18"/>
                <w:szCs w:val="18"/>
              </w:rPr>
            </w:pPr>
            <w:r w:rsidRPr="00EC75B7">
              <w:rPr>
                <w:rFonts w:ascii="Verdana" w:hAnsi="Verdana"/>
                <w:b/>
                <w:spacing w:val="-4"/>
                <w:sz w:val="18"/>
                <w:szCs w:val="18"/>
              </w:rPr>
              <w:t xml:space="preserve">medium </w:t>
            </w:r>
            <w:r w:rsidRPr="00EC75B7">
              <w:rPr>
                <w:rFonts w:ascii="Verdana" w:hAnsi="Verdana"/>
                <w:b/>
                <w:sz w:val="18"/>
                <w:szCs w:val="18"/>
              </w:rPr>
              <w:t>vulnerability</w:t>
            </w:r>
          </w:p>
        </w:tc>
        <w:tc>
          <w:tcPr>
            <w:tcW w:w="6010" w:type="dxa"/>
          </w:tcPr>
          <w:p w14:paraId="0BAFE55F" w14:textId="77777777" w:rsidR="008715BE" w:rsidRPr="00EC75B7" w:rsidRDefault="00000000">
            <w:pPr>
              <w:pStyle w:val="TableParagraph"/>
              <w:spacing w:line="194" w:lineRule="exact"/>
              <w:ind w:left="112"/>
              <w:rPr>
                <w:rFonts w:ascii="Verdana" w:hAnsi="Verdana"/>
                <w:sz w:val="18"/>
                <w:szCs w:val="18"/>
              </w:rPr>
            </w:pPr>
            <w:r w:rsidRPr="00EC75B7">
              <w:rPr>
                <w:rFonts w:ascii="Verdana" w:hAnsi="Verdana"/>
                <w:sz w:val="18"/>
                <w:szCs w:val="18"/>
              </w:rPr>
              <w:t xml:space="preserve">The project may be vulnerable to this </w:t>
            </w:r>
            <w:r w:rsidRPr="00EC75B7">
              <w:rPr>
                <w:rFonts w:ascii="Verdana" w:hAnsi="Verdana"/>
                <w:spacing w:val="-2"/>
                <w:sz w:val="18"/>
                <w:szCs w:val="18"/>
              </w:rPr>
              <w:t xml:space="preserve">climate </w:t>
            </w:r>
            <w:r w:rsidRPr="00EC75B7">
              <w:rPr>
                <w:rFonts w:ascii="Verdana" w:hAnsi="Verdana"/>
                <w:sz w:val="18"/>
                <w:szCs w:val="18"/>
              </w:rPr>
              <w:t>risk</w:t>
            </w:r>
          </w:p>
          <w:p w14:paraId="75FF270E" w14:textId="77777777" w:rsidR="008715BE" w:rsidRPr="00EC75B7" w:rsidRDefault="00000000">
            <w:pPr>
              <w:pStyle w:val="TableParagraph"/>
              <w:spacing w:line="174" w:lineRule="exact"/>
              <w:ind w:left="112"/>
              <w:rPr>
                <w:rFonts w:ascii="Verdana" w:hAnsi="Verdana"/>
                <w:sz w:val="18"/>
                <w:szCs w:val="18"/>
              </w:rPr>
            </w:pPr>
            <w:r w:rsidRPr="00EC75B7">
              <w:rPr>
                <w:rFonts w:ascii="Verdana" w:hAnsi="Verdana"/>
                <w:sz w:val="18"/>
                <w:szCs w:val="18"/>
              </w:rPr>
              <w:t>Consideration is given to moving to a detailed assessment (phase</w:t>
            </w:r>
            <w:r w:rsidRPr="00EC75B7">
              <w:rPr>
                <w:rFonts w:ascii="Verdana" w:hAnsi="Verdana"/>
                <w:spacing w:val="-5"/>
                <w:sz w:val="18"/>
                <w:szCs w:val="18"/>
              </w:rPr>
              <w:t xml:space="preserve"> 2)</w:t>
            </w:r>
          </w:p>
        </w:tc>
      </w:tr>
      <w:tr w:rsidR="008715BE" w:rsidRPr="00EC75B7" w14:paraId="0B64C6DB" w14:textId="77777777">
        <w:trPr>
          <w:trHeight w:val="344"/>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488ABDBD" w14:textId="77777777" w:rsidR="008715BE" w:rsidRPr="00EC75B7" w:rsidRDefault="00000000">
            <w:pPr>
              <w:pStyle w:val="TableParagraph"/>
              <w:spacing w:before="73"/>
              <w:ind w:left="108"/>
              <w:rPr>
                <w:rFonts w:ascii="Verdana" w:hAnsi="Verdana"/>
                <w:b/>
                <w:sz w:val="18"/>
                <w:szCs w:val="18"/>
              </w:rPr>
            </w:pPr>
            <w:r w:rsidRPr="00EC75B7">
              <w:rPr>
                <w:rFonts w:ascii="Verdana" w:hAnsi="Verdana"/>
                <w:b/>
                <w:color w:val="FFFFFF"/>
                <w:spacing w:val="-10"/>
                <w:sz w:val="18"/>
                <w:szCs w:val="18"/>
              </w:rPr>
              <w:t>1-</w:t>
            </w:r>
          </w:p>
        </w:tc>
        <w:tc>
          <w:tcPr>
            <w:tcW w:w="2590" w:type="dxa"/>
            <w:tcBorders>
              <w:top w:val="nil"/>
              <w:left w:val="single" w:sz="8" w:space="0" w:color="D9D9D9"/>
              <w:bottom w:val="nil"/>
            </w:tcBorders>
            <w:shd w:val="clear" w:color="auto" w:fill="92D050"/>
          </w:tcPr>
          <w:p w14:paraId="0D9DC8D7" w14:textId="77777777" w:rsidR="008715BE" w:rsidRPr="00EC75B7" w:rsidRDefault="00000000">
            <w:pPr>
              <w:pStyle w:val="TableParagraph"/>
              <w:spacing w:before="73"/>
              <w:ind w:left="107"/>
              <w:rPr>
                <w:rFonts w:ascii="Verdana" w:hAnsi="Verdana"/>
                <w:b/>
                <w:sz w:val="18"/>
                <w:szCs w:val="18"/>
              </w:rPr>
            </w:pPr>
            <w:r w:rsidRPr="00EC75B7">
              <w:rPr>
                <w:rFonts w:ascii="Verdana" w:hAnsi="Verdana"/>
                <w:b/>
                <w:spacing w:val="-2"/>
                <w:sz w:val="18"/>
                <w:szCs w:val="18"/>
              </w:rPr>
              <w:t xml:space="preserve">low </w:t>
            </w:r>
            <w:r w:rsidRPr="00EC75B7">
              <w:rPr>
                <w:rFonts w:ascii="Verdana" w:hAnsi="Verdana"/>
                <w:b/>
                <w:sz w:val="18"/>
                <w:szCs w:val="18"/>
              </w:rPr>
              <w:t>vulnerability</w:t>
            </w:r>
          </w:p>
        </w:tc>
        <w:tc>
          <w:tcPr>
            <w:tcW w:w="6010" w:type="dxa"/>
            <w:vMerge w:val="restart"/>
          </w:tcPr>
          <w:p w14:paraId="792E9706" w14:textId="77777777" w:rsidR="008715BE" w:rsidRPr="00EC75B7" w:rsidRDefault="00000000">
            <w:pPr>
              <w:pStyle w:val="TableParagraph"/>
              <w:spacing w:before="1"/>
              <w:ind w:left="112" w:right="1958"/>
              <w:rPr>
                <w:rFonts w:ascii="Verdana" w:hAnsi="Verdana"/>
                <w:sz w:val="18"/>
                <w:szCs w:val="18"/>
              </w:rPr>
            </w:pPr>
            <w:r w:rsidRPr="00EC75B7">
              <w:rPr>
                <w:rFonts w:ascii="Verdana" w:hAnsi="Verdana"/>
                <w:sz w:val="18"/>
                <w:szCs w:val="18"/>
              </w:rPr>
              <w:t>The project is not vulnerable to this climate risk No transition to detailed assessment</w:t>
            </w:r>
          </w:p>
        </w:tc>
      </w:tr>
      <w:tr w:rsidR="008715BE" w:rsidRPr="00EC75B7" w14:paraId="688207A4" w14:textId="77777777">
        <w:trPr>
          <w:trHeight w:val="224"/>
        </w:trPr>
        <w:tc>
          <w:tcPr>
            <w:tcW w:w="615" w:type="dxa"/>
            <w:tcBorders>
              <w:top w:val="single" w:sz="8" w:space="0" w:color="D9D9D9"/>
              <w:left w:val="nil"/>
              <w:bottom w:val="nil"/>
              <w:right w:val="nil"/>
            </w:tcBorders>
            <w:shd w:val="clear" w:color="auto" w:fill="00AFEF"/>
          </w:tcPr>
          <w:p w14:paraId="342D74D5" w14:textId="77777777" w:rsidR="008715BE" w:rsidRPr="00EC75B7" w:rsidRDefault="00000000">
            <w:pPr>
              <w:pStyle w:val="TableParagraph"/>
              <w:spacing w:before="10" w:line="194" w:lineRule="exact"/>
              <w:ind w:left="118"/>
              <w:rPr>
                <w:rFonts w:ascii="Verdana" w:hAnsi="Verdana"/>
                <w:b/>
                <w:sz w:val="18"/>
                <w:szCs w:val="18"/>
              </w:rPr>
            </w:pPr>
            <w:r w:rsidRPr="00EC75B7">
              <w:rPr>
                <w:rFonts w:ascii="Verdana" w:hAnsi="Verdana"/>
                <w:b/>
                <w:color w:val="FFFFFF"/>
                <w:spacing w:val="-10"/>
                <w:sz w:val="18"/>
                <w:szCs w:val="18"/>
              </w:rPr>
              <w:t>0</w:t>
            </w:r>
          </w:p>
        </w:tc>
        <w:tc>
          <w:tcPr>
            <w:tcW w:w="2590" w:type="dxa"/>
            <w:tcBorders>
              <w:top w:val="nil"/>
              <w:left w:val="nil"/>
              <w:bottom w:val="nil"/>
            </w:tcBorders>
            <w:shd w:val="clear" w:color="auto" w:fill="F1F1F1"/>
          </w:tcPr>
          <w:p w14:paraId="4EE7EED6" w14:textId="77777777" w:rsidR="008715BE" w:rsidRPr="00EC75B7" w:rsidRDefault="00000000">
            <w:pPr>
              <w:pStyle w:val="TableParagraph"/>
              <w:spacing w:before="10" w:line="194" w:lineRule="exact"/>
              <w:ind w:left="117"/>
              <w:rPr>
                <w:rFonts w:ascii="Verdana" w:hAnsi="Verdana"/>
                <w:b/>
                <w:sz w:val="18"/>
                <w:szCs w:val="18"/>
              </w:rPr>
            </w:pPr>
            <w:r w:rsidRPr="00EC75B7">
              <w:rPr>
                <w:rFonts w:ascii="Verdana" w:hAnsi="Verdana"/>
                <w:b/>
                <w:sz w:val="18"/>
                <w:szCs w:val="18"/>
              </w:rPr>
              <w:t xml:space="preserve">No </w:t>
            </w:r>
            <w:r w:rsidRPr="00EC75B7">
              <w:rPr>
                <w:rFonts w:ascii="Verdana" w:hAnsi="Verdana"/>
                <w:b/>
                <w:spacing w:val="-2"/>
                <w:sz w:val="18"/>
                <w:szCs w:val="18"/>
              </w:rPr>
              <w:t>vulnerability</w:t>
            </w:r>
          </w:p>
        </w:tc>
        <w:tc>
          <w:tcPr>
            <w:tcW w:w="6010" w:type="dxa"/>
            <w:vMerge/>
            <w:tcBorders>
              <w:top w:val="nil"/>
            </w:tcBorders>
          </w:tcPr>
          <w:p w14:paraId="32C27151" w14:textId="77777777" w:rsidR="008715BE" w:rsidRPr="00EC75B7" w:rsidRDefault="008715BE">
            <w:pPr>
              <w:rPr>
                <w:rFonts w:ascii="Verdana" w:hAnsi="Verdana"/>
                <w:sz w:val="18"/>
                <w:szCs w:val="18"/>
              </w:rPr>
            </w:pPr>
          </w:p>
        </w:tc>
      </w:tr>
    </w:tbl>
    <w:p w14:paraId="5F6C08E6" w14:textId="77777777" w:rsidR="008715BE" w:rsidRPr="00EC75B7" w:rsidRDefault="008715BE">
      <w:pPr>
        <w:pStyle w:val="BodyText"/>
        <w:rPr>
          <w:rFonts w:ascii="Verdana" w:hAnsi="Verdana"/>
          <w:b/>
        </w:rPr>
      </w:pPr>
    </w:p>
    <w:tbl>
      <w:tblPr>
        <w:tblStyle w:val="TableNormal1"/>
        <w:tblW w:w="0" w:type="auto"/>
        <w:tblInd w:w="64" w:type="dxa"/>
        <w:tblLayout w:type="fixed"/>
        <w:tblLook w:val="01E0" w:firstRow="1" w:lastRow="1" w:firstColumn="1" w:lastColumn="1" w:noHBand="0" w:noVBand="0"/>
      </w:tblPr>
      <w:tblGrid>
        <w:gridCol w:w="464"/>
        <w:gridCol w:w="310"/>
        <w:gridCol w:w="1306"/>
        <w:gridCol w:w="1307"/>
        <w:gridCol w:w="1306"/>
        <w:gridCol w:w="1304"/>
      </w:tblGrid>
      <w:tr w:rsidR="008715BE" w:rsidRPr="00EC75B7" w14:paraId="2B5997D5" w14:textId="77777777">
        <w:trPr>
          <w:trHeight w:val="314"/>
        </w:trPr>
        <w:tc>
          <w:tcPr>
            <w:tcW w:w="5997" w:type="dxa"/>
            <w:gridSpan w:val="6"/>
            <w:shd w:val="clear" w:color="auto" w:fill="808080"/>
          </w:tcPr>
          <w:p w14:paraId="4E9E5617" w14:textId="77777777" w:rsidR="008715BE" w:rsidRPr="00EC75B7" w:rsidRDefault="00000000">
            <w:pPr>
              <w:pStyle w:val="TableParagraph"/>
              <w:spacing w:before="68"/>
              <w:ind w:left="771"/>
              <w:jc w:val="center"/>
              <w:rPr>
                <w:rFonts w:ascii="Verdana" w:hAnsi="Verdana"/>
                <w:b/>
                <w:sz w:val="18"/>
                <w:szCs w:val="18"/>
              </w:rPr>
            </w:pPr>
            <w:r w:rsidRPr="00EC75B7">
              <w:rPr>
                <w:rFonts w:ascii="Verdana" w:hAnsi="Verdana"/>
                <w:b/>
                <w:color w:val="FFFFFF"/>
                <w:spacing w:val="-2"/>
                <w:sz w:val="18"/>
                <w:szCs w:val="18"/>
              </w:rPr>
              <w:t>Exposure</w:t>
            </w:r>
          </w:p>
        </w:tc>
      </w:tr>
      <w:tr w:rsidR="008715BE" w:rsidRPr="00EC75B7" w14:paraId="08AB81EC" w14:textId="77777777">
        <w:trPr>
          <w:trHeight w:val="359"/>
        </w:trPr>
        <w:tc>
          <w:tcPr>
            <w:tcW w:w="464" w:type="dxa"/>
            <w:vMerge w:val="restart"/>
            <w:shd w:val="clear" w:color="auto" w:fill="808080"/>
            <w:textDirection w:val="btLr"/>
          </w:tcPr>
          <w:p w14:paraId="27229A4D" w14:textId="77777777" w:rsidR="008715BE" w:rsidRPr="00EC75B7" w:rsidRDefault="00000000">
            <w:pPr>
              <w:pStyle w:val="TableParagraph"/>
              <w:spacing w:before="143"/>
              <w:ind w:left="304"/>
              <w:rPr>
                <w:rFonts w:ascii="Verdana" w:hAnsi="Verdana"/>
                <w:b/>
                <w:sz w:val="18"/>
                <w:szCs w:val="18"/>
              </w:rPr>
            </w:pPr>
            <w:r w:rsidRPr="00EC75B7">
              <w:rPr>
                <w:rFonts w:ascii="Verdana" w:hAnsi="Verdana"/>
                <w:b/>
                <w:color w:val="FFFFFF"/>
                <w:spacing w:val="-2"/>
                <w:sz w:val="18"/>
                <w:szCs w:val="18"/>
              </w:rPr>
              <w:t>Sensitivity</w:t>
            </w:r>
          </w:p>
        </w:tc>
        <w:tc>
          <w:tcPr>
            <w:tcW w:w="310" w:type="dxa"/>
            <w:shd w:val="clear" w:color="auto" w:fill="808080"/>
          </w:tcPr>
          <w:p w14:paraId="7586403B" w14:textId="77777777" w:rsidR="008715BE" w:rsidRPr="00EC75B7" w:rsidRDefault="008715BE">
            <w:pPr>
              <w:pStyle w:val="TableParagraph"/>
              <w:rPr>
                <w:rFonts w:ascii="Verdana" w:hAnsi="Verdana"/>
                <w:sz w:val="18"/>
                <w:szCs w:val="18"/>
              </w:rPr>
            </w:pPr>
          </w:p>
        </w:tc>
        <w:tc>
          <w:tcPr>
            <w:tcW w:w="1306" w:type="dxa"/>
            <w:tcBorders>
              <w:bottom w:val="single" w:sz="6" w:space="0" w:color="D9D9D9"/>
            </w:tcBorders>
            <w:shd w:val="clear" w:color="auto" w:fill="00AFEF"/>
          </w:tcPr>
          <w:p w14:paraId="3A5B037B" w14:textId="77777777" w:rsidR="008715BE" w:rsidRPr="00EC75B7" w:rsidRDefault="00000000">
            <w:pPr>
              <w:pStyle w:val="TableParagraph"/>
              <w:spacing w:before="95"/>
              <w:ind w:left="3" w:right="3"/>
              <w:jc w:val="center"/>
              <w:rPr>
                <w:rFonts w:ascii="Verdana" w:hAnsi="Verdana"/>
                <w:b/>
                <w:sz w:val="18"/>
                <w:szCs w:val="18"/>
              </w:rPr>
            </w:pPr>
            <w:r w:rsidRPr="00EC75B7">
              <w:rPr>
                <w:rFonts w:ascii="Verdana" w:hAnsi="Verdana"/>
                <w:b/>
                <w:color w:val="FFFFFF"/>
                <w:spacing w:val="-10"/>
                <w:sz w:val="18"/>
                <w:szCs w:val="18"/>
              </w:rPr>
              <w:t>0</w:t>
            </w:r>
          </w:p>
        </w:tc>
        <w:tc>
          <w:tcPr>
            <w:tcW w:w="1307" w:type="dxa"/>
            <w:tcBorders>
              <w:bottom w:val="single" w:sz="6" w:space="0" w:color="D9D9D9"/>
            </w:tcBorders>
            <w:shd w:val="clear" w:color="auto" w:fill="00AFEF"/>
          </w:tcPr>
          <w:p w14:paraId="50A15CD3" w14:textId="77777777" w:rsidR="008715BE" w:rsidRPr="00EC75B7" w:rsidRDefault="00000000">
            <w:pPr>
              <w:pStyle w:val="TableParagraph"/>
              <w:spacing w:before="95"/>
              <w:ind w:right="2"/>
              <w:jc w:val="center"/>
              <w:rPr>
                <w:rFonts w:ascii="Verdana" w:hAnsi="Verdana"/>
                <w:b/>
                <w:sz w:val="18"/>
                <w:szCs w:val="18"/>
              </w:rPr>
            </w:pPr>
            <w:r w:rsidRPr="00EC75B7">
              <w:rPr>
                <w:rFonts w:ascii="Verdana" w:hAnsi="Verdana"/>
                <w:b/>
                <w:color w:val="FFFFFF"/>
                <w:spacing w:val="-10"/>
                <w:sz w:val="18"/>
                <w:szCs w:val="18"/>
              </w:rPr>
              <w:t>1</w:t>
            </w:r>
          </w:p>
        </w:tc>
        <w:tc>
          <w:tcPr>
            <w:tcW w:w="1306" w:type="dxa"/>
            <w:tcBorders>
              <w:bottom w:val="single" w:sz="6" w:space="0" w:color="D9D9D9"/>
            </w:tcBorders>
            <w:shd w:val="clear" w:color="auto" w:fill="00AFEF"/>
          </w:tcPr>
          <w:p w14:paraId="5972EE02" w14:textId="77777777" w:rsidR="008715BE" w:rsidRPr="00EC75B7" w:rsidRDefault="00000000">
            <w:pPr>
              <w:pStyle w:val="TableParagraph"/>
              <w:spacing w:before="95"/>
              <w:ind w:right="3"/>
              <w:jc w:val="center"/>
              <w:rPr>
                <w:rFonts w:ascii="Verdana" w:hAnsi="Verdana"/>
                <w:b/>
                <w:sz w:val="18"/>
                <w:szCs w:val="18"/>
              </w:rPr>
            </w:pPr>
            <w:r w:rsidRPr="00EC75B7">
              <w:rPr>
                <w:rFonts w:ascii="Verdana" w:hAnsi="Verdana"/>
                <w:b/>
                <w:color w:val="FFFFFF"/>
                <w:spacing w:val="-10"/>
                <w:sz w:val="18"/>
                <w:szCs w:val="18"/>
              </w:rPr>
              <w:t>2</w:t>
            </w:r>
          </w:p>
        </w:tc>
        <w:tc>
          <w:tcPr>
            <w:tcW w:w="1304" w:type="dxa"/>
            <w:tcBorders>
              <w:bottom w:val="single" w:sz="6" w:space="0" w:color="D9D9D9"/>
            </w:tcBorders>
            <w:shd w:val="clear" w:color="auto" w:fill="00AFEF"/>
          </w:tcPr>
          <w:p w14:paraId="29219706" w14:textId="77777777" w:rsidR="008715BE" w:rsidRPr="00EC75B7" w:rsidRDefault="00000000">
            <w:pPr>
              <w:pStyle w:val="TableParagraph"/>
              <w:spacing w:before="95"/>
              <w:ind w:right="2"/>
              <w:jc w:val="center"/>
              <w:rPr>
                <w:rFonts w:ascii="Verdana" w:hAnsi="Verdana"/>
                <w:b/>
                <w:sz w:val="18"/>
                <w:szCs w:val="18"/>
              </w:rPr>
            </w:pPr>
            <w:r w:rsidRPr="00EC75B7">
              <w:rPr>
                <w:rFonts w:ascii="Verdana" w:hAnsi="Verdana"/>
                <w:b/>
                <w:color w:val="FFFFFF"/>
                <w:spacing w:val="-10"/>
                <w:sz w:val="18"/>
                <w:szCs w:val="18"/>
              </w:rPr>
              <w:t>3</w:t>
            </w:r>
          </w:p>
        </w:tc>
      </w:tr>
      <w:tr w:rsidR="008715BE" w:rsidRPr="00EC75B7" w14:paraId="1ADA0673" w14:textId="77777777">
        <w:trPr>
          <w:trHeight w:val="306"/>
        </w:trPr>
        <w:tc>
          <w:tcPr>
            <w:tcW w:w="464" w:type="dxa"/>
            <w:vMerge/>
            <w:tcBorders>
              <w:top w:val="nil"/>
            </w:tcBorders>
            <w:shd w:val="clear" w:color="auto" w:fill="808080"/>
            <w:textDirection w:val="btLr"/>
          </w:tcPr>
          <w:p w14:paraId="36A3EBD0" w14:textId="77777777" w:rsidR="008715BE" w:rsidRPr="00EC75B7" w:rsidRDefault="008715BE">
            <w:pPr>
              <w:rPr>
                <w:rFonts w:ascii="Verdana" w:hAnsi="Verdana"/>
                <w:sz w:val="18"/>
                <w:szCs w:val="18"/>
              </w:rPr>
            </w:pPr>
          </w:p>
        </w:tc>
        <w:tc>
          <w:tcPr>
            <w:tcW w:w="310" w:type="dxa"/>
            <w:tcBorders>
              <w:bottom w:val="single" w:sz="6" w:space="0" w:color="00AFEF"/>
            </w:tcBorders>
            <w:shd w:val="clear" w:color="auto" w:fill="00AFEF"/>
          </w:tcPr>
          <w:p w14:paraId="499A636D" w14:textId="77777777" w:rsidR="008715BE" w:rsidRPr="00EC75B7" w:rsidRDefault="00000000">
            <w:pPr>
              <w:pStyle w:val="TableParagraph"/>
              <w:spacing w:before="68"/>
              <w:jc w:val="center"/>
              <w:rPr>
                <w:rFonts w:ascii="Verdana" w:hAnsi="Verdana"/>
                <w:b/>
                <w:sz w:val="18"/>
                <w:szCs w:val="18"/>
              </w:rPr>
            </w:pPr>
            <w:r w:rsidRPr="00EC75B7">
              <w:rPr>
                <w:rFonts w:ascii="Verdana" w:hAnsi="Verdana"/>
                <w:b/>
                <w:color w:val="FFFFFF"/>
                <w:spacing w:val="-10"/>
                <w:sz w:val="18"/>
                <w:szCs w:val="18"/>
              </w:rPr>
              <w:t>0</w:t>
            </w:r>
          </w:p>
        </w:tc>
        <w:tc>
          <w:tcPr>
            <w:tcW w:w="1306" w:type="dxa"/>
            <w:shd w:val="clear" w:color="auto" w:fill="D9D9D9"/>
          </w:tcPr>
          <w:p w14:paraId="42E536C5" w14:textId="77777777" w:rsidR="008715BE" w:rsidRPr="00EC75B7" w:rsidRDefault="00000000">
            <w:pPr>
              <w:pStyle w:val="TableParagraph"/>
              <w:spacing w:before="68"/>
              <w:ind w:left="3" w:right="3"/>
              <w:jc w:val="center"/>
              <w:rPr>
                <w:rFonts w:ascii="Verdana" w:hAnsi="Verdana"/>
                <w:b/>
                <w:sz w:val="18"/>
                <w:szCs w:val="18"/>
              </w:rPr>
            </w:pPr>
            <w:r w:rsidRPr="00EC75B7">
              <w:rPr>
                <w:rFonts w:ascii="Verdana" w:hAnsi="Verdana"/>
                <w:b/>
                <w:spacing w:val="-10"/>
                <w:sz w:val="18"/>
                <w:szCs w:val="18"/>
              </w:rPr>
              <w:t>0</w:t>
            </w:r>
          </w:p>
        </w:tc>
        <w:tc>
          <w:tcPr>
            <w:tcW w:w="1307" w:type="dxa"/>
            <w:shd w:val="clear" w:color="auto" w:fill="D9D9D9"/>
          </w:tcPr>
          <w:p w14:paraId="6E730C2A" w14:textId="77777777" w:rsidR="008715BE" w:rsidRPr="00EC75B7" w:rsidRDefault="00000000">
            <w:pPr>
              <w:pStyle w:val="TableParagraph"/>
              <w:spacing w:before="68"/>
              <w:ind w:right="2"/>
              <w:jc w:val="center"/>
              <w:rPr>
                <w:rFonts w:ascii="Verdana" w:hAnsi="Verdana"/>
                <w:b/>
                <w:sz w:val="18"/>
                <w:szCs w:val="18"/>
              </w:rPr>
            </w:pPr>
            <w:r w:rsidRPr="00EC75B7">
              <w:rPr>
                <w:rFonts w:ascii="Verdana" w:hAnsi="Verdana"/>
                <w:b/>
                <w:spacing w:val="-10"/>
                <w:sz w:val="18"/>
                <w:szCs w:val="18"/>
              </w:rPr>
              <w:t>0</w:t>
            </w:r>
          </w:p>
        </w:tc>
        <w:tc>
          <w:tcPr>
            <w:tcW w:w="1306" w:type="dxa"/>
            <w:shd w:val="clear" w:color="auto" w:fill="D9D9D9"/>
          </w:tcPr>
          <w:p w14:paraId="4EA696FA" w14:textId="77777777" w:rsidR="008715BE" w:rsidRPr="00EC75B7" w:rsidRDefault="00000000">
            <w:pPr>
              <w:pStyle w:val="TableParagraph"/>
              <w:spacing w:before="68"/>
              <w:ind w:right="3"/>
              <w:jc w:val="center"/>
              <w:rPr>
                <w:rFonts w:ascii="Verdana" w:hAnsi="Verdana"/>
                <w:b/>
                <w:sz w:val="18"/>
                <w:szCs w:val="18"/>
              </w:rPr>
            </w:pPr>
            <w:r w:rsidRPr="00EC75B7">
              <w:rPr>
                <w:rFonts w:ascii="Verdana" w:hAnsi="Verdana"/>
                <w:b/>
                <w:spacing w:val="-10"/>
                <w:sz w:val="18"/>
                <w:szCs w:val="18"/>
              </w:rPr>
              <w:t>0</w:t>
            </w:r>
          </w:p>
        </w:tc>
        <w:tc>
          <w:tcPr>
            <w:tcW w:w="1304" w:type="dxa"/>
            <w:shd w:val="clear" w:color="auto" w:fill="D9D9D9"/>
          </w:tcPr>
          <w:p w14:paraId="67FAC810" w14:textId="77777777" w:rsidR="008715BE" w:rsidRPr="00EC75B7" w:rsidRDefault="00000000">
            <w:pPr>
              <w:pStyle w:val="TableParagraph"/>
              <w:spacing w:before="68"/>
              <w:ind w:right="2"/>
              <w:jc w:val="center"/>
              <w:rPr>
                <w:rFonts w:ascii="Verdana" w:hAnsi="Verdana"/>
                <w:b/>
                <w:sz w:val="18"/>
                <w:szCs w:val="18"/>
              </w:rPr>
            </w:pPr>
            <w:r w:rsidRPr="00EC75B7">
              <w:rPr>
                <w:rFonts w:ascii="Verdana" w:hAnsi="Verdana"/>
                <w:b/>
                <w:spacing w:val="-10"/>
                <w:sz w:val="18"/>
                <w:szCs w:val="18"/>
              </w:rPr>
              <w:t>0</w:t>
            </w:r>
          </w:p>
        </w:tc>
      </w:tr>
      <w:tr w:rsidR="008715BE" w:rsidRPr="00EC75B7" w14:paraId="6443A6B4" w14:textId="77777777">
        <w:trPr>
          <w:trHeight w:val="299"/>
        </w:trPr>
        <w:tc>
          <w:tcPr>
            <w:tcW w:w="464" w:type="dxa"/>
            <w:vMerge/>
            <w:tcBorders>
              <w:top w:val="nil"/>
            </w:tcBorders>
            <w:shd w:val="clear" w:color="auto" w:fill="808080"/>
            <w:textDirection w:val="btLr"/>
          </w:tcPr>
          <w:p w14:paraId="39362E30" w14:textId="77777777" w:rsidR="008715BE" w:rsidRPr="00EC75B7" w:rsidRDefault="008715BE">
            <w:pPr>
              <w:rPr>
                <w:rFonts w:ascii="Verdana" w:hAnsi="Verdana"/>
                <w:sz w:val="18"/>
                <w:szCs w:val="18"/>
              </w:rPr>
            </w:pPr>
          </w:p>
        </w:tc>
        <w:tc>
          <w:tcPr>
            <w:tcW w:w="310" w:type="dxa"/>
            <w:tcBorders>
              <w:top w:val="single" w:sz="6" w:space="0" w:color="00AFEF"/>
            </w:tcBorders>
            <w:shd w:val="clear" w:color="auto" w:fill="00AFEF"/>
          </w:tcPr>
          <w:p w14:paraId="6E96BB0E" w14:textId="77777777" w:rsidR="008715BE" w:rsidRPr="00EC75B7" w:rsidRDefault="00000000">
            <w:pPr>
              <w:pStyle w:val="TableParagraph"/>
              <w:spacing w:before="61"/>
              <w:jc w:val="center"/>
              <w:rPr>
                <w:rFonts w:ascii="Verdana" w:hAnsi="Verdana"/>
                <w:b/>
                <w:sz w:val="18"/>
                <w:szCs w:val="18"/>
              </w:rPr>
            </w:pPr>
            <w:r w:rsidRPr="00EC75B7">
              <w:rPr>
                <w:rFonts w:ascii="Verdana" w:hAnsi="Verdana"/>
                <w:b/>
                <w:color w:val="FFFFFF"/>
                <w:spacing w:val="-10"/>
                <w:sz w:val="18"/>
                <w:szCs w:val="18"/>
              </w:rPr>
              <w:t>1</w:t>
            </w:r>
          </w:p>
        </w:tc>
        <w:tc>
          <w:tcPr>
            <w:tcW w:w="1306" w:type="dxa"/>
            <w:shd w:val="clear" w:color="auto" w:fill="D9D9D9"/>
          </w:tcPr>
          <w:p w14:paraId="2792FD33" w14:textId="77777777" w:rsidR="008715BE" w:rsidRPr="00EC75B7" w:rsidRDefault="00000000">
            <w:pPr>
              <w:pStyle w:val="TableParagraph"/>
              <w:spacing w:before="61"/>
              <w:ind w:left="3" w:right="3"/>
              <w:jc w:val="center"/>
              <w:rPr>
                <w:rFonts w:ascii="Verdana" w:hAnsi="Verdana"/>
                <w:b/>
                <w:sz w:val="18"/>
                <w:szCs w:val="18"/>
              </w:rPr>
            </w:pPr>
            <w:r w:rsidRPr="00EC75B7">
              <w:rPr>
                <w:rFonts w:ascii="Verdana" w:hAnsi="Verdana"/>
                <w:b/>
                <w:spacing w:val="-10"/>
                <w:sz w:val="18"/>
                <w:szCs w:val="18"/>
              </w:rPr>
              <w:t>0</w:t>
            </w:r>
          </w:p>
        </w:tc>
        <w:tc>
          <w:tcPr>
            <w:tcW w:w="1307" w:type="dxa"/>
            <w:shd w:val="clear" w:color="auto" w:fill="92D050"/>
          </w:tcPr>
          <w:p w14:paraId="4D0863C5" w14:textId="77777777" w:rsidR="008715BE" w:rsidRPr="00EC75B7" w:rsidRDefault="00000000">
            <w:pPr>
              <w:pStyle w:val="TableParagraph"/>
              <w:spacing w:before="61"/>
              <w:ind w:right="2"/>
              <w:jc w:val="center"/>
              <w:rPr>
                <w:rFonts w:ascii="Verdana" w:hAnsi="Verdana"/>
                <w:b/>
                <w:sz w:val="18"/>
                <w:szCs w:val="18"/>
              </w:rPr>
            </w:pPr>
            <w:r w:rsidRPr="00EC75B7">
              <w:rPr>
                <w:rFonts w:ascii="Verdana" w:hAnsi="Verdana"/>
                <w:b/>
                <w:spacing w:val="-10"/>
                <w:sz w:val="18"/>
                <w:szCs w:val="18"/>
              </w:rPr>
              <w:t>1</w:t>
            </w:r>
          </w:p>
        </w:tc>
        <w:tc>
          <w:tcPr>
            <w:tcW w:w="1306" w:type="dxa"/>
            <w:shd w:val="clear" w:color="auto" w:fill="92D050"/>
          </w:tcPr>
          <w:p w14:paraId="55E85907" w14:textId="77777777" w:rsidR="008715BE" w:rsidRPr="00EC75B7" w:rsidRDefault="00000000">
            <w:pPr>
              <w:pStyle w:val="TableParagraph"/>
              <w:spacing w:before="61"/>
              <w:ind w:right="3"/>
              <w:jc w:val="center"/>
              <w:rPr>
                <w:rFonts w:ascii="Verdana" w:hAnsi="Verdana"/>
                <w:b/>
                <w:sz w:val="18"/>
                <w:szCs w:val="18"/>
              </w:rPr>
            </w:pPr>
            <w:r w:rsidRPr="00EC75B7">
              <w:rPr>
                <w:rFonts w:ascii="Verdana" w:hAnsi="Verdana"/>
                <w:b/>
                <w:spacing w:val="-10"/>
                <w:sz w:val="18"/>
                <w:szCs w:val="18"/>
              </w:rPr>
              <w:t>2</w:t>
            </w:r>
          </w:p>
        </w:tc>
        <w:tc>
          <w:tcPr>
            <w:tcW w:w="1304" w:type="dxa"/>
            <w:shd w:val="clear" w:color="auto" w:fill="FFD243"/>
          </w:tcPr>
          <w:p w14:paraId="4DAC40ED" w14:textId="77777777" w:rsidR="008715BE" w:rsidRPr="00EC75B7" w:rsidRDefault="00000000">
            <w:pPr>
              <w:pStyle w:val="TableParagraph"/>
              <w:spacing w:before="61"/>
              <w:ind w:right="2"/>
              <w:jc w:val="center"/>
              <w:rPr>
                <w:rFonts w:ascii="Verdana" w:hAnsi="Verdana"/>
                <w:b/>
                <w:sz w:val="18"/>
                <w:szCs w:val="18"/>
              </w:rPr>
            </w:pPr>
            <w:r w:rsidRPr="00EC75B7">
              <w:rPr>
                <w:rFonts w:ascii="Verdana" w:hAnsi="Verdana"/>
                <w:b/>
                <w:spacing w:val="-10"/>
                <w:sz w:val="18"/>
                <w:szCs w:val="18"/>
              </w:rPr>
              <w:t>3</w:t>
            </w:r>
          </w:p>
        </w:tc>
      </w:tr>
      <w:tr w:rsidR="008715BE" w:rsidRPr="00EC75B7" w14:paraId="276619F8" w14:textId="77777777">
        <w:trPr>
          <w:trHeight w:val="314"/>
        </w:trPr>
        <w:tc>
          <w:tcPr>
            <w:tcW w:w="464" w:type="dxa"/>
            <w:vMerge/>
            <w:tcBorders>
              <w:top w:val="nil"/>
            </w:tcBorders>
            <w:shd w:val="clear" w:color="auto" w:fill="808080"/>
            <w:textDirection w:val="btLr"/>
          </w:tcPr>
          <w:p w14:paraId="125F22BB" w14:textId="77777777" w:rsidR="008715BE" w:rsidRPr="00EC75B7" w:rsidRDefault="008715BE">
            <w:pPr>
              <w:rPr>
                <w:rFonts w:ascii="Verdana" w:hAnsi="Verdana"/>
                <w:sz w:val="18"/>
                <w:szCs w:val="18"/>
              </w:rPr>
            </w:pPr>
          </w:p>
        </w:tc>
        <w:tc>
          <w:tcPr>
            <w:tcW w:w="310" w:type="dxa"/>
            <w:tcBorders>
              <w:bottom w:val="single" w:sz="6" w:space="0" w:color="00AFEF"/>
            </w:tcBorders>
            <w:shd w:val="clear" w:color="auto" w:fill="00AFEF"/>
          </w:tcPr>
          <w:p w14:paraId="66C42384" w14:textId="77777777" w:rsidR="008715BE" w:rsidRPr="00EC75B7" w:rsidRDefault="00000000">
            <w:pPr>
              <w:pStyle w:val="TableParagraph"/>
              <w:spacing w:before="76"/>
              <w:jc w:val="center"/>
              <w:rPr>
                <w:rFonts w:ascii="Verdana" w:hAnsi="Verdana"/>
                <w:b/>
                <w:sz w:val="18"/>
                <w:szCs w:val="18"/>
              </w:rPr>
            </w:pPr>
            <w:r w:rsidRPr="00EC75B7">
              <w:rPr>
                <w:rFonts w:ascii="Verdana" w:hAnsi="Verdana"/>
                <w:b/>
                <w:color w:val="FFFFFF"/>
                <w:spacing w:val="-10"/>
                <w:sz w:val="18"/>
                <w:szCs w:val="18"/>
              </w:rPr>
              <w:t>2</w:t>
            </w:r>
          </w:p>
        </w:tc>
        <w:tc>
          <w:tcPr>
            <w:tcW w:w="1306" w:type="dxa"/>
            <w:tcBorders>
              <w:bottom w:val="single" w:sz="6" w:space="0" w:color="D9D9D9"/>
            </w:tcBorders>
            <w:shd w:val="clear" w:color="auto" w:fill="D9D9D9"/>
          </w:tcPr>
          <w:p w14:paraId="0D937904" w14:textId="77777777" w:rsidR="008715BE" w:rsidRPr="00EC75B7" w:rsidRDefault="00000000">
            <w:pPr>
              <w:pStyle w:val="TableParagraph"/>
              <w:spacing w:before="76"/>
              <w:ind w:left="3" w:right="3"/>
              <w:jc w:val="center"/>
              <w:rPr>
                <w:rFonts w:ascii="Verdana" w:hAnsi="Verdana"/>
                <w:b/>
                <w:sz w:val="18"/>
                <w:szCs w:val="18"/>
              </w:rPr>
            </w:pPr>
            <w:r w:rsidRPr="00EC75B7">
              <w:rPr>
                <w:rFonts w:ascii="Verdana" w:hAnsi="Verdana"/>
                <w:b/>
                <w:spacing w:val="-10"/>
                <w:sz w:val="18"/>
                <w:szCs w:val="18"/>
              </w:rPr>
              <w:t>0</w:t>
            </w:r>
          </w:p>
        </w:tc>
        <w:tc>
          <w:tcPr>
            <w:tcW w:w="1307" w:type="dxa"/>
            <w:shd w:val="clear" w:color="auto" w:fill="92D050"/>
          </w:tcPr>
          <w:p w14:paraId="6D963DCE" w14:textId="77777777" w:rsidR="008715BE" w:rsidRPr="00EC75B7" w:rsidRDefault="00000000">
            <w:pPr>
              <w:pStyle w:val="TableParagraph"/>
              <w:spacing w:before="76"/>
              <w:ind w:right="2"/>
              <w:jc w:val="center"/>
              <w:rPr>
                <w:rFonts w:ascii="Verdana" w:hAnsi="Verdana"/>
                <w:b/>
                <w:sz w:val="18"/>
                <w:szCs w:val="18"/>
              </w:rPr>
            </w:pPr>
            <w:r w:rsidRPr="00EC75B7">
              <w:rPr>
                <w:rFonts w:ascii="Verdana" w:hAnsi="Verdana"/>
                <w:b/>
                <w:spacing w:val="-10"/>
                <w:sz w:val="18"/>
                <w:szCs w:val="18"/>
              </w:rPr>
              <w:t>2</w:t>
            </w:r>
          </w:p>
        </w:tc>
        <w:tc>
          <w:tcPr>
            <w:tcW w:w="1306" w:type="dxa"/>
            <w:tcBorders>
              <w:bottom w:val="single" w:sz="6" w:space="0" w:color="FF8F92"/>
            </w:tcBorders>
            <w:shd w:val="clear" w:color="auto" w:fill="FFD243"/>
          </w:tcPr>
          <w:p w14:paraId="37CE003F" w14:textId="77777777" w:rsidR="008715BE" w:rsidRPr="00EC75B7" w:rsidRDefault="00000000">
            <w:pPr>
              <w:pStyle w:val="TableParagraph"/>
              <w:spacing w:before="76"/>
              <w:ind w:right="3"/>
              <w:jc w:val="center"/>
              <w:rPr>
                <w:rFonts w:ascii="Verdana" w:hAnsi="Verdana"/>
                <w:b/>
                <w:sz w:val="18"/>
                <w:szCs w:val="18"/>
              </w:rPr>
            </w:pPr>
            <w:r w:rsidRPr="00EC75B7">
              <w:rPr>
                <w:rFonts w:ascii="Verdana" w:hAnsi="Verdana"/>
                <w:b/>
                <w:spacing w:val="-10"/>
                <w:sz w:val="18"/>
                <w:szCs w:val="18"/>
              </w:rPr>
              <w:t>4</w:t>
            </w:r>
          </w:p>
        </w:tc>
        <w:tc>
          <w:tcPr>
            <w:tcW w:w="1304" w:type="dxa"/>
            <w:tcBorders>
              <w:bottom w:val="single" w:sz="6" w:space="0" w:color="FF8F92"/>
            </w:tcBorders>
            <w:shd w:val="clear" w:color="auto" w:fill="FF8F92"/>
          </w:tcPr>
          <w:p w14:paraId="74EC46D4" w14:textId="77777777" w:rsidR="008715BE" w:rsidRPr="00EC75B7" w:rsidRDefault="00000000">
            <w:pPr>
              <w:pStyle w:val="TableParagraph"/>
              <w:spacing w:before="76"/>
              <w:ind w:right="2"/>
              <w:jc w:val="center"/>
              <w:rPr>
                <w:rFonts w:ascii="Verdana" w:hAnsi="Verdana"/>
                <w:b/>
                <w:sz w:val="18"/>
                <w:szCs w:val="18"/>
              </w:rPr>
            </w:pPr>
            <w:r w:rsidRPr="00EC75B7">
              <w:rPr>
                <w:rFonts w:ascii="Verdana" w:hAnsi="Verdana"/>
                <w:b/>
                <w:spacing w:val="-10"/>
                <w:sz w:val="18"/>
                <w:szCs w:val="18"/>
              </w:rPr>
              <w:t>6</w:t>
            </w:r>
          </w:p>
        </w:tc>
      </w:tr>
      <w:tr w:rsidR="008715BE" w:rsidRPr="00EC75B7" w14:paraId="59AA6618" w14:textId="77777777">
        <w:trPr>
          <w:trHeight w:val="285"/>
        </w:trPr>
        <w:tc>
          <w:tcPr>
            <w:tcW w:w="464" w:type="dxa"/>
            <w:vMerge/>
            <w:tcBorders>
              <w:top w:val="nil"/>
            </w:tcBorders>
            <w:shd w:val="clear" w:color="auto" w:fill="808080"/>
            <w:textDirection w:val="btLr"/>
          </w:tcPr>
          <w:p w14:paraId="12FF08C0" w14:textId="77777777" w:rsidR="008715BE" w:rsidRPr="00EC75B7" w:rsidRDefault="008715BE">
            <w:pPr>
              <w:rPr>
                <w:rFonts w:ascii="Verdana" w:hAnsi="Verdana"/>
                <w:sz w:val="18"/>
                <w:szCs w:val="18"/>
              </w:rPr>
            </w:pPr>
          </w:p>
        </w:tc>
        <w:tc>
          <w:tcPr>
            <w:tcW w:w="310" w:type="dxa"/>
            <w:tcBorders>
              <w:top w:val="single" w:sz="6" w:space="0" w:color="00AFEF"/>
            </w:tcBorders>
            <w:shd w:val="clear" w:color="auto" w:fill="00AFEF"/>
          </w:tcPr>
          <w:p w14:paraId="5CFF766E" w14:textId="77777777" w:rsidR="008715BE" w:rsidRPr="00EC75B7" w:rsidRDefault="00000000">
            <w:pPr>
              <w:pStyle w:val="TableParagraph"/>
              <w:spacing w:before="53"/>
              <w:jc w:val="center"/>
              <w:rPr>
                <w:rFonts w:ascii="Verdana" w:hAnsi="Verdana"/>
                <w:b/>
                <w:sz w:val="18"/>
                <w:szCs w:val="18"/>
              </w:rPr>
            </w:pPr>
            <w:r w:rsidRPr="00EC75B7">
              <w:rPr>
                <w:rFonts w:ascii="Verdana" w:hAnsi="Verdana"/>
                <w:b/>
                <w:color w:val="FFFFFF"/>
                <w:spacing w:val="-10"/>
                <w:sz w:val="18"/>
                <w:szCs w:val="18"/>
              </w:rPr>
              <w:t>3</w:t>
            </w:r>
          </w:p>
        </w:tc>
        <w:tc>
          <w:tcPr>
            <w:tcW w:w="1306" w:type="dxa"/>
            <w:tcBorders>
              <w:top w:val="single" w:sz="6" w:space="0" w:color="D9D9D9"/>
            </w:tcBorders>
            <w:shd w:val="clear" w:color="auto" w:fill="D9D9D9"/>
          </w:tcPr>
          <w:p w14:paraId="4F6F3B24" w14:textId="77777777" w:rsidR="008715BE" w:rsidRPr="00EC75B7" w:rsidRDefault="00000000">
            <w:pPr>
              <w:pStyle w:val="TableParagraph"/>
              <w:spacing w:before="53"/>
              <w:ind w:left="3" w:right="3"/>
              <w:jc w:val="center"/>
              <w:rPr>
                <w:rFonts w:ascii="Verdana" w:hAnsi="Verdana"/>
                <w:b/>
                <w:sz w:val="18"/>
                <w:szCs w:val="18"/>
              </w:rPr>
            </w:pPr>
            <w:r w:rsidRPr="00EC75B7">
              <w:rPr>
                <w:rFonts w:ascii="Verdana" w:hAnsi="Verdana"/>
                <w:b/>
                <w:spacing w:val="-10"/>
                <w:sz w:val="18"/>
                <w:szCs w:val="18"/>
              </w:rPr>
              <w:t>0</w:t>
            </w:r>
          </w:p>
        </w:tc>
        <w:tc>
          <w:tcPr>
            <w:tcW w:w="1307" w:type="dxa"/>
            <w:shd w:val="clear" w:color="auto" w:fill="FFD243"/>
          </w:tcPr>
          <w:p w14:paraId="793CC478" w14:textId="77777777" w:rsidR="008715BE" w:rsidRPr="00EC75B7" w:rsidRDefault="00000000">
            <w:pPr>
              <w:pStyle w:val="TableParagraph"/>
              <w:spacing w:before="53"/>
              <w:ind w:right="2"/>
              <w:jc w:val="center"/>
              <w:rPr>
                <w:rFonts w:ascii="Verdana" w:hAnsi="Verdana"/>
                <w:b/>
                <w:sz w:val="18"/>
                <w:szCs w:val="18"/>
              </w:rPr>
            </w:pPr>
            <w:r w:rsidRPr="00EC75B7">
              <w:rPr>
                <w:rFonts w:ascii="Verdana" w:hAnsi="Verdana"/>
                <w:b/>
                <w:spacing w:val="-10"/>
                <w:sz w:val="18"/>
                <w:szCs w:val="18"/>
              </w:rPr>
              <w:t>3</w:t>
            </w:r>
          </w:p>
        </w:tc>
        <w:tc>
          <w:tcPr>
            <w:tcW w:w="1306" w:type="dxa"/>
            <w:tcBorders>
              <w:top w:val="single" w:sz="6" w:space="0" w:color="FF8F92"/>
            </w:tcBorders>
            <w:shd w:val="clear" w:color="auto" w:fill="FF8F92"/>
          </w:tcPr>
          <w:p w14:paraId="2B4A1B1E" w14:textId="77777777" w:rsidR="008715BE" w:rsidRPr="00EC75B7" w:rsidRDefault="00000000">
            <w:pPr>
              <w:pStyle w:val="TableParagraph"/>
              <w:spacing w:before="53"/>
              <w:ind w:right="3"/>
              <w:jc w:val="center"/>
              <w:rPr>
                <w:rFonts w:ascii="Verdana" w:hAnsi="Verdana"/>
                <w:b/>
                <w:sz w:val="18"/>
                <w:szCs w:val="18"/>
              </w:rPr>
            </w:pPr>
            <w:r w:rsidRPr="00EC75B7">
              <w:rPr>
                <w:rFonts w:ascii="Verdana" w:hAnsi="Verdana"/>
                <w:b/>
                <w:spacing w:val="-10"/>
                <w:sz w:val="18"/>
                <w:szCs w:val="18"/>
              </w:rPr>
              <w:t>6</w:t>
            </w:r>
          </w:p>
        </w:tc>
        <w:tc>
          <w:tcPr>
            <w:tcW w:w="1304" w:type="dxa"/>
            <w:tcBorders>
              <w:top w:val="single" w:sz="6" w:space="0" w:color="FF8F92"/>
            </w:tcBorders>
            <w:shd w:val="clear" w:color="auto" w:fill="FF8F92"/>
          </w:tcPr>
          <w:p w14:paraId="54FF1A8D" w14:textId="77777777" w:rsidR="008715BE" w:rsidRPr="00EC75B7" w:rsidRDefault="00000000">
            <w:pPr>
              <w:pStyle w:val="TableParagraph"/>
              <w:spacing w:before="53"/>
              <w:ind w:right="2"/>
              <w:jc w:val="center"/>
              <w:rPr>
                <w:rFonts w:ascii="Verdana" w:hAnsi="Verdana"/>
                <w:b/>
                <w:sz w:val="18"/>
                <w:szCs w:val="18"/>
              </w:rPr>
            </w:pPr>
            <w:r w:rsidRPr="00EC75B7">
              <w:rPr>
                <w:rFonts w:ascii="Verdana" w:hAnsi="Verdana"/>
                <w:b/>
                <w:spacing w:val="-10"/>
                <w:sz w:val="18"/>
                <w:szCs w:val="18"/>
              </w:rPr>
              <w:t>9</w:t>
            </w:r>
          </w:p>
        </w:tc>
      </w:tr>
    </w:tbl>
    <w:p w14:paraId="791B7C82" w14:textId="77777777" w:rsidR="008715BE" w:rsidRPr="00EC75B7" w:rsidRDefault="00000000">
      <w:pPr>
        <w:pStyle w:val="BodyText"/>
        <w:spacing w:before="127"/>
        <w:ind w:left="57"/>
        <w:jc w:val="both"/>
        <w:rPr>
          <w:rFonts w:ascii="Verdana" w:hAnsi="Verdana"/>
        </w:rPr>
      </w:pPr>
      <w:r w:rsidRPr="00EC75B7">
        <w:rPr>
          <w:rFonts w:ascii="Verdana" w:hAnsi="Verdana"/>
        </w:rPr>
        <w:t xml:space="preserve">The results of the vulnerability assessment are presented </w:t>
      </w:r>
      <w:r w:rsidRPr="00EC75B7">
        <w:rPr>
          <w:rFonts w:ascii="Verdana" w:hAnsi="Verdana"/>
          <w:spacing w:val="-2"/>
        </w:rPr>
        <w:t>below.</w:t>
      </w:r>
    </w:p>
    <w:p w14:paraId="2E84869B" w14:textId="77777777" w:rsidR="008715BE" w:rsidRPr="00EC75B7" w:rsidRDefault="008715BE">
      <w:pPr>
        <w:pStyle w:val="BodyText"/>
        <w:spacing w:before="6"/>
        <w:rPr>
          <w:rFonts w:ascii="Verdana" w:hAnsi="Verdana"/>
        </w:rPr>
      </w:pPr>
    </w:p>
    <w:p w14:paraId="2D2CBA0F" w14:textId="77777777" w:rsidR="008715BE" w:rsidRPr="00EC75B7" w:rsidRDefault="00000000">
      <w:pPr>
        <w:pStyle w:val="BodyText"/>
        <w:spacing w:before="1" w:line="360" w:lineRule="auto"/>
        <w:ind w:left="57" w:right="722"/>
        <w:jc w:val="both"/>
        <w:rPr>
          <w:rFonts w:ascii="Verdana" w:hAnsi="Verdana"/>
        </w:rPr>
      </w:pPr>
      <w:r w:rsidRPr="00EC75B7">
        <w:rPr>
          <w:rFonts w:ascii="Verdana" w:hAnsi="Verdana"/>
        </w:rPr>
        <w:t>The vulnerability analysis showed that the project has medium to high vulnerability to the climate hazards to which the site may be exposed now and in the future.</w:t>
      </w:r>
    </w:p>
    <w:p w14:paraId="27EA8B72" w14:textId="77777777" w:rsidR="008715BE" w:rsidRPr="00EC75B7" w:rsidRDefault="00000000">
      <w:pPr>
        <w:pStyle w:val="BodyText"/>
        <w:spacing w:before="118"/>
        <w:ind w:left="57"/>
        <w:rPr>
          <w:rFonts w:ascii="Verdana" w:hAnsi="Verdana"/>
        </w:rPr>
      </w:pPr>
      <w:r w:rsidRPr="00EC75B7">
        <w:rPr>
          <w:rFonts w:ascii="Verdana" w:hAnsi="Verdana"/>
        </w:rPr>
        <w:t>For</w:t>
      </w:r>
      <w:r w:rsidRPr="00EC75B7">
        <w:rPr>
          <w:rFonts w:ascii="Verdana" w:hAnsi="Verdana"/>
          <w:spacing w:val="23"/>
        </w:rPr>
        <w:t xml:space="preserve">  </w:t>
      </w:r>
      <w:r w:rsidRPr="00EC75B7">
        <w:rPr>
          <w:rFonts w:ascii="Verdana" w:hAnsi="Verdana"/>
        </w:rPr>
        <w:t xml:space="preserve"> , this study took into account the period</w:t>
      </w:r>
      <w:r w:rsidRPr="00EC75B7">
        <w:rPr>
          <w:rFonts w:ascii="Verdana" w:hAnsi="Verdana"/>
          <w:spacing w:val="-2"/>
        </w:rPr>
        <w:t xml:space="preserve"> 2025-2100 </w:t>
      </w:r>
      <w:r w:rsidRPr="00EC75B7">
        <w:rPr>
          <w:rFonts w:ascii="Verdana" w:hAnsi="Verdana"/>
        </w:rPr>
        <w:t>in the vulnerability assessment</w:t>
      </w:r>
      <w:r w:rsidRPr="00EC75B7">
        <w:rPr>
          <w:rFonts w:ascii="Verdana" w:hAnsi="Verdana"/>
          <w:spacing w:val="-2"/>
        </w:rPr>
        <w:t>.</w:t>
      </w:r>
    </w:p>
    <w:p w14:paraId="6BF45E84" w14:textId="77777777" w:rsidR="008715BE" w:rsidRPr="00EC75B7" w:rsidRDefault="008715BE">
      <w:pPr>
        <w:pStyle w:val="BodyText"/>
        <w:spacing w:before="9"/>
        <w:rPr>
          <w:rFonts w:ascii="Verdana" w:hAnsi="Verdana"/>
        </w:rPr>
      </w:pPr>
    </w:p>
    <w:p w14:paraId="18DAE072" w14:textId="77777777" w:rsidR="008715BE" w:rsidRPr="00EC75B7" w:rsidRDefault="00000000">
      <w:pPr>
        <w:pStyle w:val="ListParagraph"/>
        <w:numPr>
          <w:ilvl w:val="0"/>
          <w:numId w:val="21"/>
        </w:numPr>
        <w:tabs>
          <w:tab w:val="left" w:pos="340"/>
        </w:tabs>
        <w:ind w:left="340" w:hanging="283"/>
        <w:rPr>
          <w:rFonts w:ascii="Verdana" w:hAnsi="Verdana"/>
          <w:sz w:val="18"/>
          <w:szCs w:val="18"/>
        </w:rPr>
      </w:pPr>
      <w:r w:rsidRPr="00EC75B7">
        <w:rPr>
          <w:rFonts w:ascii="Verdana" w:hAnsi="Verdana"/>
          <w:sz w:val="18"/>
          <w:szCs w:val="18"/>
        </w:rPr>
        <w:t>Current vulnerability (</w:t>
      </w:r>
      <w:r w:rsidRPr="00EC75B7">
        <w:rPr>
          <w:rFonts w:ascii="Verdana" w:hAnsi="Verdana"/>
          <w:spacing w:val="-2"/>
          <w:sz w:val="18"/>
          <w:szCs w:val="18"/>
        </w:rPr>
        <w:t>2025-2040),</w:t>
      </w:r>
    </w:p>
    <w:p w14:paraId="1FE13DDF" w14:textId="77777777" w:rsidR="008715BE" w:rsidRPr="00EC75B7" w:rsidRDefault="00000000">
      <w:pPr>
        <w:pStyle w:val="ListParagraph"/>
        <w:numPr>
          <w:ilvl w:val="0"/>
          <w:numId w:val="21"/>
        </w:numPr>
        <w:tabs>
          <w:tab w:val="left" w:pos="340"/>
        </w:tabs>
        <w:spacing w:before="107"/>
        <w:ind w:left="340" w:hanging="283"/>
        <w:rPr>
          <w:rFonts w:ascii="Verdana" w:hAnsi="Verdana"/>
          <w:sz w:val="18"/>
          <w:szCs w:val="18"/>
        </w:rPr>
      </w:pPr>
      <w:r w:rsidRPr="00EC75B7">
        <w:rPr>
          <w:rFonts w:ascii="Verdana" w:hAnsi="Verdana"/>
          <w:sz w:val="18"/>
          <w:szCs w:val="18"/>
        </w:rPr>
        <w:t>Medium-term vulnerability (2041-2070)</w:t>
      </w:r>
      <w:r w:rsidRPr="00EC75B7">
        <w:rPr>
          <w:rFonts w:ascii="Verdana" w:hAnsi="Verdana"/>
          <w:spacing w:val="-10"/>
          <w:sz w:val="18"/>
          <w:szCs w:val="18"/>
        </w:rPr>
        <w:t>,</w:t>
      </w:r>
    </w:p>
    <w:p w14:paraId="1F0F604B" w14:textId="77777777" w:rsidR="008715BE" w:rsidRPr="00EC75B7" w:rsidRDefault="00000000">
      <w:pPr>
        <w:pStyle w:val="ListParagraph"/>
        <w:numPr>
          <w:ilvl w:val="0"/>
          <w:numId w:val="21"/>
        </w:numPr>
        <w:tabs>
          <w:tab w:val="left" w:pos="340"/>
        </w:tabs>
        <w:spacing w:before="109"/>
        <w:ind w:left="340" w:hanging="283"/>
        <w:rPr>
          <w:rFonts w:ascii="Verdana" w:hAnsi="Verdana"/>
          <w:sz w:val="18"/>
          <w:szCs w:val="18"/>
        </w:rPr>
      </w:pPr>
      <w:r w:rsidRPr="00EC75B7">
        <w:rPr>
          <w:rFonts w:ascii="Verdana" w:hAnsi="Verdana"/>
          <w:sz w:val="18"/>
          <w:szCs w:val="18"/>
        </w:rPr>
        <w:t>Long-term vulnerability (</w:t>
      </w:r>
      <w:r w:rsidRPr="00EC75B7">
        <w:rPr>
          <w:rFonts w:ascii="Verdana" w:hAnsi="Verdana"/>
          <w:spacing w:val="-2"/>
          <w:sz w:val="18"/>
          <w:szCs w:val="18"/>
        </w:rPr>
        <w:t>2071-2100).</w:t>
      </w:r>
    </w:p>
    <w:p w14:paraId="5CE8E0D4" w14:textId="77777777" w:rsidR="008715BE" w:rsidRPr="00EC75B7" w:rsidRDefault="008715BE">
      <w:pPr>
        <w:pStyle w:val="BodyText"/>
        <w:spacing w:before="117"/>
        <w:rPr>
          <w:rFonts w:ascii="Verdana" w:hAnsi="Verdana"/>
        </w:rPr>
      </w:pPr>
    </w:p>
    <w:p w14:paraId="6D05FC28" w14:textId="77777777" w:rsidR="008715BE" w:rsidRPr="00EC75B7" w:rsidRDefault="00000000">
      <w:pPr>
        <w:ind w:left="57"/>
        <w:rPr>
          <w:rFonts w:ascii="Verdana" w:hAnsi="Verdana"/>
          <w:sz w:val="18"/>
          <w:szCs w:val="18"/>
        </w:rPr>
      </w:pPr>
      <w:r w:rsidRPr="00EC75B7">
        <w:rPr>
          <w:rFonts w:ascii="Verdana" w:hAnsi="Verdana"/>
          <w:b/>
          <w:color w:val="009DEF"/>
          <w:sz w:val="18"/>
          <w:szCs w:val="18"/>
        </w:rPr>
        <w:t xml:space="preserve">Stage 2 (Detailed Risk Analysis) </w:t>
      </w:r>
      <w:r w:rsidRPr="00EC75B7">
        <w:rPr>
          <w:rFonts w:ascii="Verdana" w:hAnsi="Verdana"/>
          <w:sz w:val="18"/>
          <w:szCs w:val="18"/>
        </w:rPr>
        <w:t xml:space="preserve">- to quantify the impact of risk on the project </w:t>
      </w:r>
      <w:r w:rsidRPr="00EC75B7">
        <w:rPr>
          <w:rFonts w:ascii="Verdana" w:hAnsi="Verdana"/>
          <w:spacing w:val="-2"/>
          <w:sz w:val="18"/>
          <w:szCs w:val="18"/>
        </w:rPr>
        <w:t>under</w:t>
      </w:r>
    </w:p>
    <w:p w14:paraId="19A76DE4" w14:textId="77777777" w:rsidR="008715BE" w:rsidRPr="00EC75B7" w:rsidRDefault="00000000">
      <w:pPr>
        <w:pStyle w:val="BodyText"/>
        <w:spacing w:before="109"/>
        <w:ind w:left="57"/>
        <w:rPr>
          <w:rFonts w:ascii="Verdana" w:hAnsi="Verdana"/>
        </w:rPr>
      </w:pPr>
      <w:r w:rsidRPr="00EC75B7">
        <w:rPr>
          <w:rFonts w:ascii="Verdana" w:hAnsi="Verdana"/>
        </w:rPr>
        <w:t>current and future climate conditions, the analysis involves</w:t>
      </w:r>
      <w:r w:rsidRPr="00EC75B7">
        <w:rPr>
          <w:rFonts w:ascii="Verdana" w:hAnsi="Verdana"/>
          <w:spacing w:val="-10"/>
        </w:rPr>
        <w:t>:</w:t>
      </w:r>
    </w:p>
    <w:p w14:paraId="472F71E9" w14:textId="77777777" w:rsidR="008715BE" w:rsidRPr="00EC75B7" w:rsidRDefault="008715BE">
      <w:pPr>
        <w:pStyle w:val="BodyText"/>
        <w:spacing w:before="9"/>
        <w:rPr>
          <w:rFonts w:ascii="Verdana" w:hAnsi="Verdana"/>
        </w:rPr>
      </w:pPr>
    </w:p>
    <w:p w14:paraId="0231C653" w14:textId="77777777" w:rsidR="008715BE" w:rsidRPr="00EC75B7" w:rsidRDefault="00000000">
      <w:pPr>
        <w:pStyle w:val="ListParagraph"/>
        <w:numPr>
          <w:ilvl w:val="1"/>
          <w:numId w:val="21"/>
        </w:numPr>
        <w:tabs>
          <w:tab w:val="left" w:pos="984"/>
        </w:tabs>
        <w:rPr>
          <w:rFonts w:ascii="Verdana" w:hAnsi="Verdana"/>
          <w:sz w:val="18"/>
          <w:szCs w:val="18"/>
        </w:rPr>
      </w:pPr>
      <w:r w:rsidRPr="00EC75B7">
        <w:rPr>
          <w:rFonts w:ascii="Verdana" w:hAnsi="Verdana"/>
          <w:spacing w:val="-2"/>
          <w:sz w:val="18"/>
          <w:szCs w:val="18"/>
        </w:rPr>
        <w:t xml:space="preserve">Probability </w:t>
      </w:r>
      <w:r w:rsidRPr="00EC75B7">
        <w:rPr>
          <w:rFonts w:ascii="Verdana" w:hAnsi="Verdana"/>
          <w:sz w:val="18"/>
          <w:szCs w:val="18"/>
        </w:rPr>
        <w:t>Analysis</w:t>
      </w:r>
      <w:r w:rsidRPr="00EC75B7">
        <w:rPr>
          <w:rFonts w:ascii="Verdana" w:hAnsi="Verdana"/>
          <w:spacing w:val="-2"/>
          <w:sz w:val="18"/>
          <w:szCs w:val="18"/>
        </w:rPr>
        <w:t>;</w:t>
      </w:r>
    </w:p>
    <w:p w14:paraId="4A9206FD" w14:textId="77777777" w:rsidR="008715BE" w:rsidRPr="00EC75B7" w:rsidRDefault="00000000">
      <w:pPr>
        <w:pStyle w:val="ListParagraph"/>
        <w:numPr>
          <w:ilvl w:val="1"/>
          <w:numId w:val="21"/>
        </w:numPr>
        <w:tabs>
          <w:tab w:val="left" w:pos="984"/>
        </w:tabs>
        <w:spacing w:before="109"/>
        <w:rPr>
          <w:rFonts w:ascii="Verdana" w:hAnsi="Verdana"/>
          <w:sz w:val="18"/>
          <w:szCs w:val="18"/>
        </w:rPr>
      </w:pPr>
      <w:r w:rsidRPr="00EC75B7">
        <w:rPr>
          <w:rFonts w:ascii="Verdana" w:hAnsi="Verdana"/>
          <w:spacing w:val="-2"/>
          <w:sz w:val="18"/>
          <w:szCs w:val="18"/>
        </w:rPr>
        <w:t xml:space="preserve">Impact </w:t>
      </w:r>
      <w:r w:rsidRPr="00EC75B7">
        <w:rPr>
          <w:rFonts w:ascii="Verdana" w:hAnsi="Verdana"/>
          <w:sz w:val="18"/>
          <w:szCs w:val="18"/>
        </w:rPr>
        <w:t>Analysis</w:t>
      </w:r>
      <w:r w:rsidRPr="00EC75B7">
        <w:rPr>
          <w:rFonts w:ascii="Verdana" w:hAnsi="Verdana"/>
          <w:spacing w:val="-2"/>
          <w:sz w:val="18"/>
          <w:szCs w:val="18"/>
        </w:rPr>
        <w:t>;</w:t>
      </w:r>
    </w:p>
    <w:p w14:paraId="5F22F186" w14:textId="77777777" w:rsidR="008715BE" w:rsidRPr="00EC75B7" w:rsidRDefault="00000000">
      <w:pPr>
        <w:pStyle w:val="ListParagraph"/>
        <w:numPr>
          <w:ilvl w:val="1"/>
          <w:numId w:val="21"/>
        </w:numPr>
        <w:tabs>
          <w:tab w:val="left" w:pos="984"/>
        </w:tabs>
        <w:spacing w:before="107"/>
        <w:rPr>
          <w:rFonts w:ascii="Verdana" w:hAnsi="Verdana"/>
          <w:sz w:val="18"/>
          <w:szCs w:val="18"/>
        </w:rPr>
      </w:pPr>
      <w:r w:rsidRPr="00EC75B7">
        <w:rPr>
          <w:rFonts w:ascii="Verdana" w:hAnsi="Verdana"/>
          <w:spacing w:val="-2"/>
          <w:sz w:val="18"/>
          <w:szCs w:val="18"/>
        </w:rPr>
        <w:t xml:space="preserve">Risk </w:t>
      </w:r>
      <w:r w:rsidRPr="00EC75B7">
        <w:rPr>
          <w:rFonts w:ascii="Verdana" w:hAnsi="Verdana"/>
          <w:sz w:val="18"/>
          <w:szCs w:val="18"/>
        </w:rPr>
        <w:t>Assessment</w:t>
      </w:r>
      <w:r w:rsidRPr="00EC75B7">
        <w:rPr>
          <w:rFonts w:ascii="Verdana" w:hAnsi="Verdana"/>
          <w:spacing w:val="-2"/>
          <w:sz w:val="18"/>
          <w:szCs w:val="18"/>
        </w:rPr>
        <w:t>.</w:t>
      </w:r>
    </w:p>
    <w:p w14:paraId="5A989BD0" w14:textId="77777777" w:rsidR="008715BE" w:rsidRPr="00EC75B7" w:rsidRDefault="00000000">
      <w:pPr>
        <w:pStyle w:val="BodyText"/>
        <w:spacing w:before="109" w:line="360" w:lineRule="auto"/>
        <w:ind w:left="57" w:right="627"/>
        <w:rPr>
          <w:rFonts w:ascii="Verdana" w:hAnsi="Verdana"/>
        </w:rPr>
      </w:pPr>
      <w:r w:rsidRPr="00EC75B7">
        <w:rPr>
          <w:rFonts w:ascii="Verdana" w:hAnsi="Verdana"/>
        </w:rPr>
        <w:t xml:space="preserve">If the Risk Assessment concludes that there are significant climate risks to the project, these will be managed and reduced to an acceptable level. For each significant risk identified, a risk mitigation strategy </w:t>
      </w:r>
      <w:r w:rsidRPr="00EC75B7">
        <w:rPr>
          <w:rFonts w:ascii="Verdana" w:hAnsi="Verdana"/>
          <w:spacing w:val="-5"/>
        </w:rPr>
        <w:t xml:space="preserve">will be developed </w:t>
      </w:r>
      <w:r w:rsidRPr="00EC75B7">
        <w:rPr>
          <w:rFonts w:ascii="Verdana" w:hAnsi="Verdana"/>
        </w:rPr>
        <w:t>and implemented.</w:t>
      </w:r>
    </w:p>
    <w:p w14:paraId="2B9E5740" w14:textId="77777777" w:rsidR="008715BE" w:rsidRPr="00EC75B7" w:rsidRDefault="008715BE">
      <w:pPr>
        <w:pStyle w:val="BodyText"/>
        <w:spacing w:line="360" w:lineRule="auto"/>
        <w:rPr>
          <w:rFonts w:ascii="Verdana" w:hAnsi="Verdana"/>
        </w:rPr>
        <w:sectPr w:rsidR="008715BE" w:rsidRPr="00EC75B7">
          <w:pgSz w:w="11910" w:h="16840"/>
          <w:pgMar w:top="1320" w:right="283" w:bottom="1020" w:left="1133" w:header="766" w:footer="824" w:gutter="0"/>
          <w:cols w:space="708"/>
        </w:sectPr>
      </w:pPr>
    </w:p>
    <w:p w14:paraId="7486002C" w14:textId="77777777" w:rsidR="008715BE" w:rsidRPr="00EC75B7" w:rsidRDefault="00000000">
      <w:pPr>
        <w:pStyle w:val="BodyText"/>
        <w:spacing w:before="99" w:line="360" w:lineRule="auto"/>
        <w:ind w:left="57" w:right="716"/>
        <w:jc w:val="both"/>
        <w:rPr>
          <w:rFonts w:ascii="Verdana" w:hAnsi="Verdana"/>
        </w:rPr>
      </w:pPr>
      <w:r w:rsidRPr="00EC75B7">
        <w:rPr>
          <w:rFonts w:ascii="Verdana" w:hAnsi="Verdana"/>
        </w:rPr>
        <w:lastRenderedPageBreak/>
        <w:t>assess specific adaptation measures. The measures identified should then be integrated into the design and/or operation of the project to improve its resilience to climate change.</w:t>
      </w:r>
    </w:p>
    <w:p w14:paraId="53C19497" w14:textId="77777777" w:rsidR="008715BE" w:rsidRPr="00EC75B7" w:rsidRDefault="00000000">
      <w:pPr>
        <w:pStyle w:val="BodyText"/>
        <w:spacing w:before="117" w:line="357" w:lineRule="auto"/>
        <w:ind w:left="57" w:right="712"/>
        <w:jc w:val="both"/>
        <w:rPr>
          <w:rFonts w:ascii="Verdana" w:hAnsi="Verdana"/>
        </w:rPr>
      </w:pPr>
      <w:r w:rsidRPr="00EC75B7">
        <w:rPr>
          <w:rFonts w:ascii="Verdana" w:hAnsi="Verdana"/>
        </w:rPr>
        <w:t>Risk assessment provides a structured method for analyzing climate hazards and their impact on the proposed project. This process works by assessing the probabilities and severity of the impact associated with the hazards identified in the vulnerability assessment (or in the initial examination of relevant hazards) and by assessing the significance of the risk to the success of the project.</w:t>
      </w:r>
    </w:p>
    <w:p w14:paraId="446E4164" w14:textId="77777777" w:rsidR="008715BE" w:rsidRPr="00EC75B7" w:rsidRDefault="00000000">
      <w:pPr>
        <w:pStyle w:val="BodyText"/>
        <w:spacing w:before="123" w:line="357" w:lineRule="auto"/>
        <w:ind w:left="57" w:right="713"/>
        <w:jc w:val="both"/>
        <w:rPr>
          <w:rFonts w:ascii="Verdana" w:hAnsi="Verdana"/>
        </w:rPr>
      </w:pPr>
      <w:r w:rsidRPr="00EC75B7">
        <w:rPr>
          <w:rFonts w:ascii="Verdana" w:hAnsi="Verdana"/>
        </w:rPr>
        <w:t>The acceptable level of risk will be determined in order to identify measures for adapting to climate change, so that all risks can be managed at an acceptable level.</w:t>
      </w:r>
      <w:r w:rsidRPr="00EC75B7">
        <w:rPr>
          <w:rFonts w:ascii="Verdana" w:hAnsi="Verdana"/>
          <w:spacing w:val="31"/>
        </w:rPr>
        <w:t xml:space="preserve"> </w:t>
      </w:r>
      <w:r w:rsidRPr="00EC75B7">
        <w:rPr>
          <w:rFonts w:ascii="Verdana" w:hAnsi="Verdana"/>
        </w:rPr>
        <w:t>Some acceptable risks may already be defined in construction/design standards and are therefore already taken into account in the project. The acceptable level of risk varies depending on the climate hazard and is identified in climate change scenarios or described in qualitative terms.</w:t>
      </w:r>
    </w:p>
    <w:p w14:paraId="54CF7FAE" w14:textId="77777777" w:rsidR="008715BE" w:rsidRPr="00EC75B7" w:rsidRDefault="00000000">
      <w:pPr>
        <w:pStyle w:val="BodyText"/>
        <w:spacing w:before="125" w:line="357" w:lineRule="auto"/>
        <w:ind w:left="57" w:right="717"/>
        <w:jc w:val="both"/>
        <w:rPr>
          <w:rFonts w:ascii="Verdana" w:hAnsi="Verdana"/>
        </w:rPr>
      </w:pPr>
      <w:r w:rsidRPr="00EC75B7">
        <w:rPr>
          <w:rFonts w:ascii="Verdana" w:hAnsi="Verdana"/>
        </w:rPr>
        <w:t>The approach used to assess the risk and establish appropriate measures to mitigate and improve the potential impact that climate change and its adverse effects may have on the works proposed in this project is presented below.</w:t>
      </w:r>
    </w:p>
    <w:p w14:paraId="376214B2" w14:textId="77777777" w:rsidR="008715BE" w:rsidRPr="00EC75B7" w:rsidRDefault="00000000">
      <w:pPr>
        <w:pStyle w:val="Heading5"/>
        <w:spacing w:before="122"/>
        <w:rPr>
          <w:rFonts w:ascii="Verdana" w:hAnsi="Verdana"/>
        </w:rPr>
      </w:pPr>
      <w:r w:rsidRPr="00EC75B7">
        <w:rPr>
          <w:rFonts w:ascii="Verdana" w:hAnsi="Verdana"/>
        </w:rPr>
        <w:t xml:space="preserve">Probability of </w:t>
      </w:r>
      <w:r w:rsidRPr="00EC75B7">
        <w:rPr>
          <w:rFonts w:ascii="Verdana" w:hAnsi="Verdana"/>
          <w:spacing w:val="-2"/>
        </w:rPr>
        <w:t>occurrence</w:t>
      </w:r>
    </w:p>
    <w:p w14:paraId="48C0CC60" w14:textId="77777777" w:rsidR="008715BE" w:rsidRPr="00EC75B7" w:rsidRDefault="008715BE">
      <w:pPr>
        <w:pStyle w:val="BodyText"/>
        <w:spacing w:before="9"/>
        <w:rPr>
          <w:rFonts w:ascii="Verdana" w:hAnsi="Verdana"/>
          <w:b/>
        </w:rPr>
      </w:pPr>
    </w:p>
    <w:p w14:paraId="276D654E" w14:textId="77777777" w:rsidR="008715BE" w:rsidRPr="00EC75B7" w:rsidRDefault="00000000">
      <w:pPr>
        <w:pStyle w:val="BodyText"/>
        <w:spacing w:line="357" w:lineRule="auto"/>
        <w:ind w:left="57" w:right="707"/>
        <w:jc w:val="both"/>
        <w:rPr>
          <w:rFonts w:ascii="Verdana" w:hAnsi="Verdana"/>
        </w:rPr>
      </w:pPr>
      <w:r w:rsidRPr="00EC75B7">
        <w:rPr>
          <w:rFonts w:ascii="Verdana" w:hAnsi="Verdana"/>
        </w:rPr>
        <w:t>The probability of occurrence represents the probability that an event will occur in the area where the proposed works are located. To assess the probability of occurrence of a hazard, a rating scale from 1 to 5 is used, the meanings of which are shown in the table below.</w:t>
      </w:r>
    </w:p>
    <w:p w14:paraId="2AD4206D" w14:textId="77777777" w:rsidR="008715BE" w:rsidRPr="00EC75B7" w:rsidRDefault="00000000">
      <w:pPr>
        <w:spacing w:before="172"/>
        <w:ind w:left="57"/>
        <w:jc w:val="both"/>
        <w:rPr>
          <w:rFonts w:ascii="Verdana" w:hAnsi="Verdana"/>
          <w:b/>
          <w:sz w:val="18"/>
          <w:szCs w:val="18"/>
        </w:rPr>
      </w:pPr>
      <w:r w:rsidRPr="00EC75B7">
        <w:rPr>
          <w:rFonts w:ascii="Verdana" w:hAnsi="Verdana"/>
          <w:b/>
          <w:color w:val="00AFEF"/>
          <w:sz w:val="18"/>
          <w:szCs w:val="18"/>
        </w:rPr>
        <w:t xml:space="preserve">Table 71 </w:t>
      </w:r>
      <w:r w:rsidRPr="00EC75B7">
        <w:rPr>
          <w:rFonts w:ascii="Verdana" w:hAnsi="Verdana"/>
          <w:b/>
          <w:color w:val="00AFEF"/>
          <w:spacing w:val="-4"/>
          <w:sz w:val="18"/>
          <w:szCs w:val="18"/>
        </w:rPr>
        <w:t xml:space="preserve">Risk </w:t>
      </w:r>
      <w:r w:rsidRPr="00EC75B7">
        <w:rPr>
          <w:rFonts w:ascii="Verdana" w:hAnsi="Verdana"/>
          <w:b/>
          <w:color w:val="00AFEF"/>
          <w:sz w:val="18"/>
          <w:szCs w:val="18"/>
        </w:rPr>
        <w:t>exposure probability assessment scale</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7"/>
        <w:gridCol w:w="8502"/>
      </w:tblGrid>
      <w:tr w:rsidR="008715BE" w:rsidRPr="00EC75B7" w14:paraId="6588913D" w14:textId="77777777">
        <w:trPr>
          <w:trHeight w:val="407"/>
        </w:trPr>
        <w:tc>
          <w:tcPr>
            <w:tcW w:w="9069" w:type="dxa"/>
            <w:gridSpan w:val="2"/>
            <w:shd w:val="clear" w:color="auto" w:fill="00AFEF"/>
          </w:tcPr>
          <w:p w14:paraId="26ECCD31" w14:textId="77777777" w:rsidR="008715BE" w:rsidRPr="00EC75B7" w:rsidRDefault="00000000">
            <w:pPr>
              <w:pStyle w:val="TableParagraph"/>
              <w:spacing w:before="105"/>
              <w:ind w:left="7"/>
              <w:jc w:val="center"/>
              <w:rPr>
                <w:rFonts w:ascii="Verdana" w:hAnsi="Verdana"/>
                <w:b/>
                <w:sz w:val="18"/>
                <w:szCs w:val="18"/>
              </w:rPr>
            </w:pPr>
            <w:r w:rsidRPr="00EC75B7">
              <w:rPr>
                <w:rFonts w:ascii="Verdana" w:hAnsi="Verdana"/>
                <w:b/>
                <w:color w:val="FFFFFF"/>
                <w:spacing w:val="-2"/>
                <w:sz w:val="18"/>
                <w:szCs w:val="18"/>
              </w:rPr>
              <w:t xml:space="preserve">Rating </w:t>
            </w:r>
            <w:r w:rsidRPr="00EC75B7">
              <w:rPr>
                <w:rFonts w:ascii="Verdana" w:hAnsi="Verdana"/>
                <w:b/>
                <w:color w:val="FFFFFF"/>
                <w:sz w:val="18"/>
                <w:szCs w:val="18"/>
              </w:rPr>
              <w:t>system</w:t>
            </w:r>
          </w:p>
        </w:tc>
      </w:tr>
      <w:tr w:rsidR="008715BE" w:rsidRPr="00EC75B7" w14:paraId="0E467C12" w14:textId="77777777">
        <w:trPr>
          <w:trHeight w:val="263"/>
        </w:trPr>
        <w:tc>
          <w:tcPr>
            <w:tcW w:w="567" w:type="dxa"/>
            <w:shd w:val="clear" w:color="auto" w:fill="FFB799"/>
          </w:tcPr>
          <w:p w14:paraId="4338B317" w14:textId="77777777" w:rsidR="008715BE" w:rsidRPr="00EC75B7" w:rsidRDefault="00000000">
            <w:pPr>
              <w:pStyle w:val="TableParagraph"/>
              <w:spacing w:before="35"/>
              <w:ind w:left="108"/>
              <w:rPr>
                <w:rFonts w:ascii="Verdana" w:hAnsi="Verdana"/>
                <w:b/>
                <w:sz w:val="18"/>
                <w:szCs w:val="18"/>
              </w:rPr>
            </w:pPr>
            <w:r w:rsidRPr="00EC75B7">
              <w:rPr>
                <w:rFonts w:ascii="Verdana" w:hAnsi="Verdana"/>
                <w:b/>
                <w:spacing w:val="-10"/>
                <w:sz w:val="18"/>
                <w:szCs w:val="18"/>
              </w:rPr>
              <w:t>5</w:t>
            </w:r>
          </w:p>
        </w:tc>
        <w:tc>
          <w:tcPr>
            <w:tcW w:w="8502" w:type="dxa"/>
          </w:tcPr>
          <w:p w14:paraId="713B62B4" w14:textId="77777777" w:rsidR="008715BE" w:rsidRPr="00EC75B7" w:rsidRDefault="00000000">
            <w:pPr>
              <w:pStyle w:val="TableParagraph"/>
              <w:spacing w:before="35"/>
              <w:ind w:left="110"/>
              <w:rPr>
                <w:rFonts w:ascii="Verdana" w:hAnsi="Verdana"/>
                <w:b/>
                <w:sz w:val="18"/>
                <w:szCs w:val="18"/>
              </w:rPr>
            </w:pPr>
            <w:r w:rsidRPr="00EC75B7">
              <w:rPr>
                <w:rFonts w:ascii="Verdana" w:hAnsi="Verdana"/>
                <w:b/>
                <w:sz w:val="18"/>
                <w:szCs w:val="18"/>
              </w:rPr>
              <w:t xml:space="preserve">Almost </w:t>
            </w:r>
            <w:r w:rsidRPr="00EC75B7">
              <w:rPr>
                <w:rFonts w:ascii="Verdana" w:hAnsi="Verdana"/>
                <w:b/>
                <w:spacing w:val="-4"/>
                <w:sz w:val="18"/>
                <w:szCs w:val="18"/>
              </w:rPr>
              <w:t>certain</w:t>
            </w:r>
          </w:p>
        </w:tc>
      </w:tr>
      <w:tr w:rsidR="008715BE" w:rsidRPr="00EC75B7" w14:paraId="0B9BDF58" w14:textId="77777777">
        <w:trPr>
          <w:trHeight w:val="777"/>
        </w:trPr>
        <w:tc>
          <w:tcPr>
            <w:tcW w:w="9069" w:type="dxa"/>
            <w:gridSpan w:val="2"/>
          </w:tcPr>
          <w:p w14:paraId="41126893" w14:textId="77777777" w:rsidR="008715BE" w:rsidRPr="00EC75B7" w:rsidRDefault="00000000">
            <w:pPr>
              <w:pStyle w:val="TableParagraph"/>
              <w:numPr>
                <w:ilvl w:val="0"/>
                <w:numId w:val="13"/>
              </w:numPr>
              <w:tabs>
                <w:tab w:val="left" w:pos="828"/>
              </w:tabs>
              <w:spacing w:line="195" w:lineRule="exact"/>
              <w:rPr>
                <w:rFonts w:ascii="Verdana" w:hAnsi="Verdana"/>
                <w:sz w:val="18"/>
                <w:szCs w:val="18"/>
              </w:rPr>
            </w:pPr>
            <w:r w:rsidRPr="00EC75B7">
              <w:rPr>
                <w:rFonts w:ascii="Verdana" w:hAnsi="Verdana"/>
                <w:sz w:val="18"/>
                <w:szCs w:val="18"/>
              </w:rPr>
              <w:t xml:space="preserve">The incident is very likely to occur, even </w:t>
            </w:r>
            <w:r w:rsidRPr="00EC75B7">
              <w:rPr>
                <w:rFonts w:ascii="Verdana" w:hAnsi="Verdana"/>
                <w:spacing w:val="-2"/>
                <w:sz w:val="18"/>
                <w:szCs w:val="18"/>
              </w:rPr>
              <w:t>repeatedly</w:t>
            </w:r>
          </w:p>
          <w:p w14:paraId="7A42A56B" w14:textId="77777777" w:rsidR="008715BE" w:rsidRPr="00EC75B7" w:rsidRDefault="00000000">
            <w:pPr>
              <w:pStyle w:val="TableParagraph"/>
              <w:numPr>
                <w:ilvl w:val="0"/>
                <w:numId w:val="13"/>
              </w:numPr>
              <w:tabs>
                <w:tab w:val="left" w:pos="828"/>
              </w:tabs>
              <w:spacing w:line="195" w:lineRule="exact"/>
              <w:rPr>
                <w:rFonts w:ascii="Verdana" w:hAnsi="Verdana"/>
                <w:sz w:val="18"/>
                <w:szCs w:val="18"/>
              </w:rPr>
            </w:pPr>
            <w:r w:rsidRPr="00EC75B7">
              <w:rPr>
                <w:rFonts w:ascii="Verdana" w:hAnsi="Verdana"/>
                <w:sz w:val="18"/>
                <w:szCs w:val="18"/>
              </w:rPr>
              <w:t xml:space="preserve">95% probability over the lifetime of </w:t>
            </w:r>
            <w:r w:rsidRPr="00EC75B7">
              <w:rPr>
                <w:rFonts w:ascii="Verdana" w:hAnsi="Verdana"/>
                <w:spacing w:val="-2"/>
                <w:sz w:val="18"/>
                <w:szCs w:val="18"/>
              </w:rPr>
              <w:t>the project</w:t>
            </w:r>
          </w:p>
          <w:p w14:paraId="69D0E7CA" w14:textId="77777777" w:rsidR="008715BE" w:rsidRPr="00EC75B7" w:rsidRDefault="00000000">
            <w:pPr>
              <w:pStyle w:val="TableParagraph"/>
              <w:numPr>
                <w:ilvl w:val="0"/>
                <w:numId w:val="13"/>
              </w:numPr>
              <w:tabs>
                <w:tab w:val="left" w:pos="828"/>
              </w:tabs>
              <w:spacing w:line="194" w:lineRule="exact"/>
              <w:rPr>
                <w:rFonts w:ascii="Verdana" w:hAnsi="Verdana"/>
                <w:sz w:val="18"/>
                <w:szCs w:val="18"/>
              </w:rPr>
            </w:pPr>
            <w:r w:rsidRPr="00EC75B7">
              <w:rPr>
                <w:rFonts w:ascii="Verdana" w:hAnsi="Verdana"/>
                <w:sz w:val="18"/>
                <w:szCs w:val="18"/>
              </w:rPr>
              <w:t xml:space="preserve">The project component is presented as being exposed in risk/hazard maps with a </w:t>
            </w:r>
            <w:r w:rsidRPr="00EC75B7">
              <w:rPr>
                <w:rFonts w:ascii="Verdana" w:hAnsi="Verdana"/>
                <w:spacing w:val="-4"/>
                <w:sz w:val="18"/>
                <w:szCs w:val="18"/>
              </w:rPr>
              <w:t xml:space="preserve">high </w:t>
            </w:r>
            <w:r w:rsidRPr="00EC75B7">
              <w:rPr>
                <w:rFonts w:ascii="Verdana" w:hAnsi="Verdana"/>
                <w:sz w:val="18"/>
                <w:szCs w:val="18"/>
              </w:rPr>
              <w:t>probability</w:t>
            </w:r>
          </w:p>
          <w:p w14:paraId="0E591C35" w14:textId="77777777" w:rsidR="008715BE" w:rsidRPr="00EC75B7" w:rsidRDefault="00000000">
            <w:pPr>
              <w:pStyle w:val="TableParagraph"/>
              <w:spacing w:line="174" w:lineRule="exact"/>
              <w:ind w:left="828"/>
              <w:rPr>
                <w:rFonts w:ascii="Verdana" w:hAnsi="Verdana"/>
                <w:sz w:val="18"/>
                <w:szCs w:val="18"/>
              </w:rPr>
            </w:pPr>
            <w:r w:rsidRPr="00EC75B7">
              <w:rPr>
                <w:rFonts w:ascii="Verdana" w:hAnsi="Verdana"/>
                <w:sz w:val="18"/>
                <w:szCs w:val="18"/>
              </w:rPr>
              <w:t xml:space="preserve">of occurrence (e.g., current/future map with 10% AEP of </w:t>
            </w:r>
            <w:r w:rsidRPr="00EC75B7">
              <w:rPr>
                <w:rFonts w:ascii="Verdana" w:hAnsi="Verdana"/>
                <w:spacing w:val="-2"/>
                <w:sz w:val="18"/>
                <w:szCs w:val="18"/>
              </w:rPr>
              <w:t xml:space="preserve">flood </w:t>
            </w:r>
            <w:r w:rsidRPr="00EC75B7">
              <w:rPr>
                <w:rFonts w:ascii="Verdana" w:hAnsi="Verdana"/>
                <w:sz w:val="18"/>
                <w:szCs w:val="18"/>
              </w:rPr>
              <w:t>risk</w:t>
            </w:r>
            <w:r w:rsidRPr="00EC75B7">
              <w:rPr>
                <w:rFonts w:ascii="Verdana" w:hAnsi="Verdana"/>
                <w:spacing w:val="-2"/>
                <w:sz w:val="18"/>
                <w:szCs w:val="18"/>
              </w:rPr>
              <w:t>)</w:t>
            </w:r>
          </w:p>
        </w:tc>
      </w:tr>
      <w:tr w:rsidR="008715BE" w:rsidRPr="00EC75B7" w14:paraId="1C8C7ECB" w14:textId="77777777">
        <w:trPr>
          <w:trHeight w:val="263"/>
        </w:trPr>
        <w:tc>
          <w:tcPr>
            <w:tcW w:w="567" w:type="dxa"/>
            <w:shd w:val="clear" w:color="auto" w:fill="FFE699"/>
          </w:tcPr>
          <w:p w14:paraId="75D3EE62" w14:textId="77777777" w:rsidR="008715BE" w:rsidRPr="00EC75B7" w:rsidRDefault="00000000">
            <w:pPr>
              <w:pStyle w:val="TableParagraph"/>
              <w:spacing w:before="35"/>
              <w:ind w:left="108"/>
              <w:rPr>
                <w:rFonts w:ascii="Verdana" w:hAnsi="Verdana"/>
                <w:b/>
                <w:sz w:val="18"/>
                <w:szCs w:val="18"/>
              </w:rPr>
            </w:pPr>
            <w:r w:rsidRPr="00EC75B7">
              <w:rPr>
                <w:rFonts w:ascii="Verdana" w:hAnsi="Verdana"/>
                <w:b/>
                <w:spacing w:val="-10"/>
                <w:sz w:val="18"/>
                <w:szCs w:val="18"/>
              </w:rPr>
              <w:t>4</w:t>
            </w:r>
          </w:p>
        </w:tc>
        <w:tc>
          <w:tcPr>
            <w:tcW w:w="8502" w:type="dxa"/>
          </w:tcPr>
          <w:p w14:paraId="5E6D2760" w14:textId="77777777" w:rsidR="008715BE" w:rsidRPr="00EC75B7" w:rsidRDefault="00000000">
            <w:pPr>
              <w:pStyle w:val="TableParagraph"/>
              <w:spacing w:before="35"/>
              <w:ind w:left="110"/>
              <w:rPr>
                <w:rFonts w:ascii="Verdana" w:hAnsi="Verdana"/>
                <w:b/>
                <w:sz w:val="18"/>
                <w:szCs w:val="18"/>
              </w:rPr>
            </w:pPr>
            <w:r w:rsidRPr="00EC75B7">
              <w:rPr>
                <w:rFonts w:ascii="Verdana" w:hAnsi="Verdana"/>
                <w:b/>
                <w:spacing w:val="-2"/>
                <w:sz w:val="18"/>
                <w:szCs w:val="18"/>
              </w:rPr>
              <w:t>Probable</w:t>
            </w:r>
          </w:p>
        </w:tc>
      </w:tr>
      <w:tr w:rsidR="008715BE" w:rsidRPr="00EC75B7" w14:paraId="77ECDC9A" w14:textId="77777777">
        <w:trPr>
          <w:trHeight w:val="779"/>
        </w:trPr>
        <w:tc>
          <w:tcPr>
            <w:tcW w:w="9069" w:type="dxa"/>
            <w:gridSpan w:val="2"/>
          </w:tcPr>
          <w:p w14:paraId="54E90152" w14:textId="77777777" w:rsidR="008715BE" w:rsidRPr="00EC75B7" w:rsidRDefault="00000000">
            <w:pPr>
              <w:pStyle w:val="TableParagraph"/>
              <w:numPr>
                <w:ilvl w:val="0"/>
                <w:numId w:val="12"/>
              </w:numPr>
              <w:tabs>
                <w:tab w:val="left" w:pos="828"/>
              </w:tabs>
              <w:spacing w:before="2" w:line="195" w:lineRule="exact"/>
              <w:rPr>
                <w:rFonts w:ascii="Verdana" w:hAnsi="Verdana"/>
                <w:sz w:val="18"/>
                <w:szCs w:val="18"/>
              </w:rPr>
            </w:pPr>
            <w:r w:rsidRPr="00EC75B7">
              <w:rPr>
                <w:rFonts w:ascii="Verdana" w:hAnsi="Verdana"/>
                <w:sz w:val="18"/>
                <w:szCs w:val="18"/>
              </w:rPr>
              <w:t xml:space="preserve">The incident is likely to </w:t>
            </w:r>
            <w:r w:rsidRPr="00EC75B7">
              <w:rPr>
                <w:rFonts w:ascii="Verdana" w:hAnsi="Verdana"/>
                <w:spacing w:val="-4"/>
                <w:sz w:val="18"/>
                <w:szCs w:val="18"/>
              </w:rPr>
              <w:t>occur</w:t>
            </w:r>
          </w:p>
          <w:p w14:paraId="09E47CE3" w14:textId="77777777" w:rsidR="008715BE" w:rsidRPr="00EC75B7" w:rsidRDefault="00000000">
            <w:pPr>
              <w:pStyle w:val="TableParagraph"/>
              <w:numPr>
                <w:ilvl w:val="0"/>
                <w:numId w:val="12"/>
              </w:numPr>
              <w:tabs>
                <w:tab w:val="left" w:pos="828"/>
              </w:tabs>
              <w:spacing w:line="194" w:lineRule="exact"/>
              <w:rPr>
                <w:rFonts w:ascii="Verdana" w:hAnsi="Verdana"/>
                <w:sz w:val="18"/>
                <w:szCs w:val="18"/>
              </w:rPr>
            </w:pPr>
            <w:r w:rsidRPr="00EC75B7">
              <w:rPr>
                <w:rFonts w:ascii="Verdana" w:hAnsi="Verdana"/>
                <w:sz w:val="18"/>
                <w:szCs w:val="18"/>
              </w:rPr>
              <w:t xml:space="preserve">80% probability of occurrence during the </w:t>
            </w:r>
            <w:r w:rsidRPr="00EC75B7">
              <w:rPr>
                <w:rFonts w:ascii="Verdana" w:hAnsi="Verdana"/>
                <w:spacing w:val="-2"/>
                <w:sz w:val="18"/>
                <w:szCs w:val="18"/>
              </w:rPr>
              <w:t xml:space="preserve">project's </w:t>
            </w:r>
            <w:r w:rsidRPr="00EC75B7">
              <w:rPr>
                <w:rFonts w:ascii="Verdana" w:hAnsi="Verdana"/>
                <w:sz w:val="18"/>
                <w:szCs w:val="18"/>
              </w:rPr>
              <w:t>lifetime</w:t>
            </w:r>
          </w:p>
          <w:p w14:paraId="1D97B8A1" w14:textId="77777777" w:rsidR="008715BE" w:rsidRPr="00EC75B7" w:rsidRDefault="00000000">
            <w:pPr>
              <w:pStyle w:val="TableParagraph"/>
              <w:numPr>
                <w:ilvl w:val="0"/>
                <w:numId w:val="12"/>
              </w:numPr>
              <w:tabs>
                <w:tab w:val="left" w:pos="828"/>
              </w:tabs>
              <w:spacing w:line="194" w:lineRule="exact"/>
              <w:rPr>
                <w:rFonts w:ascii="Verdana" w:hAnsi="Verdana"/>
                <w:sz w:val="18"/>
                <w:szCs w:val="18"/>
              </w:rPr>
            </w:pPr>
            <w:r w:rsidRPr="00EC75B7">
              <w:rPr>
                <w:rFonts w:ascii="Verdana" w:hAnsi="Verdana"/>
                <w:sz w:val="18"/>
                <w:szCs w:val="18"/>
              </w:rPr>
              <w:t xml:space="preserve">The project component is shown as being exposed in risk/hazard maps with a </w:t>
            </w:r>
            <w:r w:rsidRPr="00EC75B7">
              <w:rPr>
                <w:rFonts w:ascii="Verdana" w:hAnsi="Verdana"/>
                <w:spacing w:val="-2"/>
                <w:sz w:val="18"/>
                <w:szCs w:val="18"/>
              </w:rPr>
              <w:t xml:space="preserve">medium </w:t>
            </w:r>
            <w:r w:rsidRPr="00EC75B7">
              <w:rPr>
                <w:rFonts w:ascii="Verdana" w:hAnsi="Verdana"/>
                <w:sz w:val="18"/>
                <w:szCs w:val="18"/>
              </w:rPr>
              <w:t>probability</w:t>
            </w:r>
          </w:p>
          <w:p w14:paraId="6092B9C0" w14:textId="77777777" w:rsidR="008715BE" w:rsidRPr="00EC75B7" w:rsidRDefault="00000000">
            <w:pPr>
              <w:pStyle w:val="TableParagraph"/>
              <w:spacing w:line="174" w:lineRule="exact"/>
              <w:ind w:left="828"/>
              <w:rPr>
                <w:rFonts w:ascii="Verdana" w:hAnsi="Verdana"/>
                <w:sz w:val="18"/>
                <w:szCs w:val="18"/>
              </w:rPr>
            </w:pPr>
            <w:r w:rsidRPr="00EC75B7">
              <w:rPr>
                <w:rFonts w:ascii="Verdana" w:hAnsi="Verdana"/>
                <w:sz w:val="18"/>
                <w:szCs w:val="18"/>
              </w:rPr>
              <w:t xml:space="preserve">of occurrence (e.g., current/future map with 2% AEP of </w:t>
            </w:r>
            <w:r w:rsidRPr="00EC75B7">
              <w:rPr>
                <w:rFonts w:ascii="Verdana" w:hAnsi="Verdana"/>
                <w:spacing w:val="-2"/>
                <w:sz w:val="18"/>
                <w:szCs w:val="18"/>
              </w:rPr>
              <w:t xml:space="preserve">flood </w:t>
            </w:r>
            <w:r w:rsidRPr="00EC75B7">
              <w:rPr>
                <w:rFonts w:ascii="Verdana" w:hAnsi="Verdana"/>
                <w:sz w:val="18"/>
                <w:szCs w:val="18"/>
              </w:rPr>
              <w:t>hazard</w:t>
            </w:r>
            <w:r w:rsidRPr="00EC75B7">
              <w:rPr>
                <w:rFonts w:ascii="Verdana" w:hAnsi="Verdana"/>
                <w:spacing w:val="-2"/>
                <w:sz w:val="18"/>
                <w:szCs w:val="18"/>
              </w:rPr>
              <w:t>)</w:t>
            </w:r>
          </w:p>
        </w:tc>
      </w:tr>
      <w:tr w:rsidR="008715BE" w:rsidRPr="00EC75B7" w14:paraId="6140C01D" w14:textId="77777777">
        <w:trPr>
          <w:trHeight w:val="263"/>
        </w:trPr>
        <w:tc>
          <w:tcPr>
            <w:tcW w:w="567" w:type="dxa"/>
            <w:shd w:val="clear" w:color="auto" w:fill="FFFF99"/>
          </w:tcPr>
          <w:p w14:paraId="54D808B0" w14:textId="77777777" w:rsidR="008715BE" w:rsidRPr="00EC75B7" w:rsidRDefault="00000000">
            <w:pPr>
              <w:pStyle w:val="TableParagraph"/>
              <w:spacing w:before="33"/>
              <w:ind w:left="108"/>
              <w:rPr>
                <w:rFonts w:ascii="Verdana" w:hAnsi="Verdana"/>
                <w:b/>
                <w:sz w:val="18"/>
                <w:szCs w:val="18"/>
              </w:rPr>
            </w:pPr>
            <w:r w:rsidRPr="00EC75B7">
              <w:rPr>
                <w:rFonts w:ascii="Verdana" w:hAnsi="Verdana"/>
                <w:b/>
                <w:spacing w:val="-10"/>
                <w:sz w:val="18"/>
                <w:szCs w:val="18"/>
              </w:rPr>
              <w:t>3</w:t>
            </w:r>
          </w:p>
        </w:tc>
        <w:tc>
          <w:tcPr>
            <w:tcW w:w="8502" w:type="dxa"/>
          </w:tcPr>
          <w:p w14:paraId="7ED234CE" w14:textId="77777777" w:rsidR="008715BE" w:rsidRPr="00EC75B7" w:rsidRDefault="00000000">
            <w:pPr>
              <w:pStyle w:val="TableParagraph"/>
              <w:spacing w:before="33"/>
              <w:ind w:left="110"/>
              <w:rPr>
                <w:rFonts w:ascii="Verdana" w:hAnsi="Verdana"/>
                <w:b/>
                <w:sz w:val="18"/>
                <w:szCs w:val="18"/>
              </w:rPr>
            </w:pPr>
            <w:r w:rsidRPr="00EC75B7">
              <w:rPr>
                <w:rFonts w:ascii="Verdana" w:hAnsi="Verdana"/>
                <w:b/>
                <w:spacing w:val="-2"/>
                <w:sz w:val="18"/>
                <w:szCs w:val="18"/>
              </w:rPr>
              <w:t>Possible</w:t>
            </w:r>
          </w:p>
        </w:tc>
      </w:tr>
      <w:tr w:rsidR="008715BE" w:rsidRPr="00EC75B7" w14:paraId="08C68BC9" w14:textId="77777777">
        <w:trPr>
          <w:trHeight w:val="777"/>
        </w:trPr>
        <w:tc>
          <w:tcPr>
            <w:tcW w:w="9069" w:type="dxa"/>
            <w:gridSpan w:val="2"/>
          </w:tcPr>
          <w:p w14:paraId="0C170D5A" w14:textId="77777777" w:rsidR="008715BE" w:rsidRPr="00EC75B7" w:rsidRDefault="00000000">
            <w:pPr>
              <w:pStyle w:val="TableParagraph"/>
              <w:numPr>
                <w:ilvl w:val="0"/>
                <w:numId w:val="11"/>
              </w:numPr>
              <w:tabs>
                <w:tab w:val="left" w:pos="828"/>
              </w:tabs>
              <w:spacing w:line="194" w:lineRule="exact"/>
              <w:rPr>
                <w:rFonts w:ascii="Verdana" w:hAnsi="Verdana"/>
                <w:sz w:val="18"/>
                <w:szCs w:val="18"/>
              </w:rPr>
            </w:pPr>
            <w:r w:rsidRPr="00EC75B7">
              <w:rPr>
                <w:rFonts w:ascii="Verdana" w:hAnsi="Verdana"/>
                <w:sz w:val="18"/>
                <w:szCs w:val="18"/>
              </w:rPr>
              <w:t xml:space="preserve">The incident occurred in another country with </w:t>
            </w:r>
            <w:r w:rsidRPr="00EC75B7">
              <w:rPr>
                <w:rFonts w:ascii="Verdana" w:hAnsi="Verdana"/>
                <w:spacing w:val="-2"/>
                <w:sz w:val="18"/>
                <w:szCs w:val="18"/>
              </w:rPr>
              <w:t xml:space="preserve">similar </w:t>
            </w:r>
            <w:r w:rsidRPr="00EC75B7">
              <w:rPr>
                <w:rFonts w:ascii="Verdana" w:hAnsi="Verdana"/>
                <w:sz w:val="18"/>
                <w:szCs w:val="18"/>
              </w:rPr>
              <w:t>climatic characteristics</w:t>
            </w:r>
          </w:p>
          <w:p w14:paraId="6B67EFFD" w14:textId="77777777" w:rsidR="008715BE" w:rsidRPr="00EC75B7" w:rsidRDefault="00000000">
            <w:pPr>
              <w:pStyle w:val="TableParagraph"/>
              <w:numPr>
                <w:ilvl w:val="0"/>
                <w:numId w:val="11"/>
              </w:numPr>
              <w:tabs>
                <w:tab w:val="left" w:pos="828"/>
              </w:tabs>
              <w:spacing w:line="194" w:lineRule="exact"/>
              <w:rPr>
                <w:rFonts w:ascii="Verdana" w:hAnsi="Verdana"/>
                <w:sz w:val="18"/>
                <w:szCs w:val="18"/>
              </w:rPr>
            </w:pPr>
            <w:r w:rsidRPr="00EC75B7">
              <w:rPr>
                <w:rFonts w:ascii="Verdana" w:hAnsi="Verdana"/>
                <w:sz w:val="18"/>
                <w:szCs w:val="18"/>
              </w:rPr>
              <w:t xml:space="preserve">50% probability of occurrence during the </w:t>
            </w:r>
            <w:r w:rsidRPr="00EC75B7">
              <w:rPr>
                <w:rFonts w:ascii="Verdana" w:hAnsi="Verdana"/>
                <w:spacing w:val="-2"/>
                <w:sz w:val="18"/>
                <w:szCs w:val="18"/>
              </w:rPr>
              <w:t xml:space="preserve">project </w:t>
            </w:r>
            <w:r w:rsidRPr="00EC75B7">
              <w:rPr>
                <w:rFonts w:ascii="Verdana" w:hAnsi="Verdana"/>
                <w:sz w:val="18"/>
                <w:szCs w:val="18"/>
              </w:rPr>
              <w:t>lifetime</w:t>
            </w:r>
          </w:p>
          <w:p w14:paraId="0D6EA2E4" w14:textId="77777777" w:rsidR="008715BE" w:rsidRPr="00EC75B7" w:rsidRDefault="00000000">
            <w:pPr>
              <w:pStyle w:val="TableParagraph"/>
              <w:numPr>
                <w:ilvl w:val="0"/>
                <w:numId w:val="11"/>
              </w:numPr>
              <w:tabs>
                <w:tab w:val="left" w:pos="828"/>
              </w:tabs>
              <w:spacing w:line="194" w:lineRule="exact"/>
              <w:rPr>
                <w:rFonts w:ascii="Verdana" w:hAnsi="Verdana"/>
                <w:sz w:val="18"/>
                <w:szCs w:val="18"/>
              </w:rPr>
            </w:pPr>
            <w:r w:rsidRPr="00EC75B7">
              <w:rPr>
                <w:rFonts w:ascii="Verdana" w:hAnsi="Verdana"/>
                <w:sz w:val="18"/>
                <w:szCs w:val="18"/>
              </w:rPr>
              <w:t xml:space="preserve">The project component is shown as being exposed in risk/hazard maps with a </w:t>
            </w:r>
            <w:r w:rsidRPr="00EC75B7">
              <w:rPr>
                <w:rFonts w:ascii="Verdana" w:hAnsi="Verdana"/>
                <w:spacing w:val="-2"/>
                <w:sz w:val="18"/>
                <w:szCs w:val="18"/>
              </w:rPr>
              <w:t xml:space="preserve">medium </w:t>
            </w:r>
            <w:r w:rsidRPr="00EC75B7">
              <w:rPr>
                <w:rFonts w:ascii="Verdana" w:hAnsi="Verdana"/>
                <w:sz w:val="18"/>
                <w:szCs w:val="18"/>
              </w:rPr>
              <w:t>probability</w:t>
            </w:r>
          </w:p>
          <w:p w14:paraId="686BC08B" w14:textId="77777777" w:rsidR="008715BE" w:rsidRPr="00EC75B7" w:rsidRDefault="00000000">
            <w:pPr>
              <w:pStyle w:val="TableParagraph"/>
              <w:spacing w:line="174" w:lineRule="exact"/>
              <w:ind w:left="828"/>
              <w:rPr>
                <w:rFonts w:ascii="Verdana" w:hAnsi="Verdana"/>
                <w:sz w:val="18"/>
                <w:szCs w:val="18"/>
              </w:rPr>
            </w:pPr>
            <w:r w:rsidRPr="00EC75B7">
              <w:rPr>
                <w:rFonts w:ascii="Verdana" w:hAnsi="Verdana"/>
                <w:sz w:val="18"/>
                <w:szCs w:val="18"/>
              </w:rPr>
              <w:t xml:space="preserve">of occurrence (e.g., current/future map with 1% AEP of </w:t>
            </w:r>
            <w:r w:rsidRPr="00EC75B7">
              <w:rPr>
                <w:rFonts w:ascii="Verdana" w:hAnsi="Verdana"/>
                <w:spacing w:val="-2"/>
                <w:sz w:val="18"/>
                <w:szCs w:val="18"/>
              </w:rPr>
              <w:t xml:space="preserve">flood </w:t>
            </w:r>
            <w:r w:rsidRPr="00EC75B7">
              <w:rPr>
                <w:rFonts w:ascii="Verdana" w:hAnsi="Verdana"/>
                <w:sz w:val="18"/>
                <w:szCs w:val="18"/>
              </w:rPr>
              <w:t>hazard</w:t>
            </w:r>
            <w:r w:rsidRPr="00EC75B7">
              <w:rPr>
                <w:rFonts w:ascii="Verdana" w:hAnsi="Verdana"/>
                <w:spacing w:val="-2"/>
                <w:sz w:val="18"/>
                <w:szCs w:val="18"/>
              </w:rPr>
              <w:t>)</w:t>
            </w:r>
          </w:p>
        </w:tc>
      </w:tr>
      <w:tr w:rsidR="008715BE" w:rsidRPr="00EC75B7" w14:paraId="1149B2F8" w14:textId="77777777">
        <w:trPr>
          <w:trHeight w:val="263"/>
        </w:trPr>
        <w:tc>
          <w:tcPr>
            <w:tcW w:w="567" w:type="dxa"/>
            <w:shd w:val="clear" w:color="auto" w:fill="CDE1BE"/>
          </w:tcPr>
          <w:p w14:paraId="43ED5817" w14:textId="77777777" w:rsidR="008715BE" w:rsidRPr="00EC75B7" w:rsidRDefault="00000000">
            <w:pPr>
              <w:pStyle w:val="TableParagraph"/>
              <w:spacing w:before="35"/>
              <w:ind w:left="108"/>
              <w:rPr>
                <w:rFonts w:ascii="Verdana" w:hAnsi="Verdana"/>
                <w:b/>
                <w:sz w:val="18"/>
                <w:szCs w:val="18"/>
              </w:rPr>
            </w:pPr>
            <w:r w:rsidRPr="00EC75B7">
              <w:rPr>
                <w:rFonts w:ascii="Verdana" w:hAnsi="Verdana"/>
                <w:b/>
                <w:spacing w:val="-10"/>
                <w:sz w:val="18"/>
                <w:szCs w:val="18"/>
              </w:rPr>
              <w:t>2</w:t>
            </w:r>
          </w:p>
        </w:tc>
        <w:tc>
          <w:tcPr>
            <w:tcW w:w="8502" w:type="dxa"/>
          </w:tcPr>
          <w:p w14:paraId="03593B6F" w14:textId="77777777" w:rsidR="008715BE" w:rsidRPr="00EC75B7" w:rsidRDefault="00000000">
            <w:pPr>
              <w:pStyle w:val="TableParagraph"/>
              <w:spacing w:before="35"/>
              <w:ind w:left="110"/>
              <w:rPr>
                <w:rFonts w:ascii="Verdana" w:hAnsi="Verdana"/>
                <w:b/>
                <w:sz w:val="18"/>
                <w:szCs w:val="18"/>
              </w:rPr>
            </w:pPr>
            <w:r w:rsidRPr="00EC75B7">
              <w:rPr>
                <w:rFonts w:ascii="Verdana" w:hAnsi="Verdana"/>
                <w:b/>
                <w:spacing w:val="-2"/>
                <w:sz w:val="18"/>
                <w:szCs w:val="18"/>
              </w:rPr>
              <w:t>Unlikely</w:t>
            </w:r>
          </w:p>
        </w:tc>
      </w:tr>
      <w:tr w:rsidR="008715BE" w:rsidRPr="00EC75B7" w14:paraId="0C717F0F" w14:textId="77777777">
        <w:trPr>
          <w:trHeight w:val="779"/>
        </w:trPr>
        <w:tc>
          <w:tcPr>
            <w:tcW w:w="9069" w:type="dxa"/>
            <w:gridSpan w:val="2"/>
          </w:tcPr>
          <w:p w14:paraId="53639CEC" w14:textId="77777777" w:rsidR="008715BE" w:rsidRPr="00EC75B7" w:rsidRDefault="00000000">
            <w:pPr>
              <w:pStyle w:val="TableParagraph"/>
              <w:numPr>
                <w:ilvl w:val="0"/>
                <w:numId w:val="10"/>
              </w:numPr>
              <w:tabs>
                <w:tab w:val="left" w:pos="828"/>
              </w:tabs>
              <w:spacing w:line="195" w:lineRule="exact"/>
              <w:rPr>
                <w:rFonts w:ascii="Verdana" w:hAnsi="Verdana"/>
                <w:sz w:val="18"/>
                <w:szCs w:val="18"/>
              </w:rPr>
            </w:pPr>
            <w:r w:rsidRPr="00EC75B7">
              <w:rPr>
                <w:rFonts w:ascii="Verdana" w:hAnsi="Verdana"/>
                <w:sz w:val="18"/>
                <w:szCs w:val="18"/>
              </w:rPr>
              <w:t xml:space="preserve">Considering current practices and procedures, this incident is unlikely to </w:t>
            </w:r>
            <w:r w:rsidRPr="00EC75B7">
              <w:rPr>
                <w:rFonts w:ascii="Verdana" w:hAnsi="Verdana"/>
                <w:spacing w:val="-2"/>
                <w:sz w:val="18"/>
                <w:szCs w:val="18"/>
              </w:rPr>
              <w:t>occur</w:t>
            </w:r>
          </w:p>
          <w:p w14:paraId="2F87F8DB" w14:textId="77777777" w:rsidR="008715BE" w:rsidRPr="00EC75B7" w:rsidRDefault="00000000">
            <w:pPr>
              <w:pStyle w:val="TableParagraph"/>
              <w:numPr>
                <w:ilvl w:val="0"/>
                <w:numId w:val="10"/>
              </w:numPr>
              <w:tabs>
                <w:tab w:val="left" w:pos="828"/>
              </w:tabs>
              <w:spacing w:before="1" w:line="195" w:lineRule="exact"/>
              <w:rPr>
                <w:rFonts w:ascii="Verdana" w:hAnsi="Verdana"/>
                <w:sz w:val="18"/>
                <w:szCs w:val="18"/>
              </w:rPr>
            </w:pPr>
            <w:r w:rsidRPr="00EC75B7">
              <w:rPr>
                <w:rFonts w:ascii="Verdana" w:hAnsi="Verdana"/>
                <w:sz w:val="18"/>
                <w:szCs w:val="18"/>
              </w:rPr>
              <w:t xml:space="preserve">20% probability of occurrence over the lifetime of </w:t>
            </w:r>
            <w:r w:rsidRPr="00EC75B7">
              <w:rPr>
                <w:rFonts w:ascii="Verdana" w:hAnsi="Verdana"/>
                <w:spacing w:val="-2"/>
                <w:sz w:val="18"/>
                <w:szCs w:val="18"/>
              </w:rPr>
              <w:t>the project</w:t>
            </w:r>
          </w:p>
          <w:p w14:paraId="0E62AB59" w14:textId="77777777" w:rsidR="008715BE" w:rsidRPr="00EC75B7" w:rsidRDefault="00000000">
            <w:pPr>
              <w:pStyle w:val="TableParagraph"/>
              <w:numPr>
                <w:ilvl w:val="0"/>
                <w:numId w:val="10"/>
              </w:numPr>
              <w:tabs>
                <w:tab w:val="left" w:pos="828"/>
              </w:tabs>
              <w:spacing w:line="194" w:lineRule="exact"/>
              <w:rPr>
                <w:rFonts w:ascii="Verdana" w:hAnsi="Verdana"/>
                <w:sz w:val="18"/>
                <w:szCs w:val="18"/>
              </w:rPr>
            </w:pPr>
            <w:r w:rsidRPr="00EC75B7">
              <w:rPr>
                <w:rFonts w:ascii="Verdana" w:hAnsi="Verdana"/>
                <w:sz w:val="18"/>
                <w:szCs w:val="18"/>
              </w:rPr>
              <w:t xml:space="preserve">The project component is presented as being exposed in risk/hazard maps with </w:t>
            </w:r>
            <w:r w:rsidRPr="00EC75B7">
              <w:rPr>
                <w:rFonts w:ascii="Verdana" w:hAnsi="Verdana"/>
                <w:spacing w:val="-2"/>
                <w:sz w:val="18"/>
                <w:szCs w:val="18"/>
              </w:rPr>
              <w:t xml:space="preserve">medium </w:t>
            </w:r>
            <w:r w:rsidRPr="00EC75B7">
              <w:rPr>
                <w:rFonts w:ascii="Verdana" w:hAnsi="Verdana"/>
                <w:sz w:val="18"/>
                <w:szCs w:val="18"/>
              </w:rPr>
              <w:t>probability</w:t>
            </w:r>
          </w:p>
          <w:p w14:paraId="7A543B3D" w14:textId="77777777" w:rsidR="008715BE" w:rsidRPr="00EC75B7" w:rsidRDefault="00000000">
            <w:pPr>
              <w:pStyle w:val="TableParagraph"/>
              <w:spacing w:line="174" w:lineRule="exact"/>
              <w:ind w:left="828"/>
              <w:rPr>
                <w:rFonts w:ascii="Verdana" w:hAnsi="Verdana"/>
                <w:sz w:val="18"/>
                <w:szCs w:val="18"/>
              </w:rPr>
            </w:pPr>
            <w:r w:rsidRPr="00EC75B7">
              <w:rPr>
                <w:rFonts w:ascii="Verdana" w:hAnsi="Verdana"/>
                <w:sz w:val="18"/>
                <w:szCs w:val="18"/>
              </w:rPr>
              <w:t xml:space="preserve">of occurrence (e.g., current/future map with 0.1% AEP of </w:t>
            </w:r>
            <w:r w:rsidRPr="00EC75B7">
              <w:rPr>
                <w:rFonts w:ascii="Verdana" w:hAnsi="Verdana"/>
                <w:spacing w:val="-2"/>
                <w:sz w:val="18"/>
                <w:szCs w:val="18"/>
              </w:rPr>
              <w:t xml:space="preserve">flood </w:t>
            </w:r>
            <w:r w:rsidRPr="00EC75B7">
              <w:rPr>
                <w:rFonts w:ascii="Verdana" w:hAnsi="Verdana"/>
                <w:sz w:val="18"/>
                <w:szCs w:val="18"/>
              </w:rPr>
              <w:t>risk</w:t>
            </w:r>
            <w:r w:rsidRPr="00EC75B7">
              <w:rPr>
                <w:rFonts w:ascii="Verdana" w:hAnsi="Verdana"/>
                <w:spacing w:val="-2"/>
                <w:sz w:val="18"/>
                <w:szCs w:val="18"/>
              </w:rPr>
              <w:t>)</w:t>
            </w:r>
          </w:p>
        </w:tc>
      </w:tr>
      <w:tr w:rsidR="008715BE" w:rsidRPr="00EC75B7" w14:paraId="2363DD9E" w14:textId="77777777">
        <w:trPr>
          <w:trHeight w:val="264"/>
        </w:trPr>
        <w:tc>
          <w:tcPr>
            <w:tcW w:w="567" w:type="dxa"/>
            <w:shd w:val="clear" w:color="auto" w:fill="F1F1F1"/>
          </w:tcPr>
          <w:p w14:paraId="79242B80" w14:textId="77777777" w:rsidR="008715BE" w:rsidRPr="00EC75B7" w:rsidRDefault="00000000">
            <w:pPr>
              <w:pStyle w:val="TableParagraph"/>
              <w:spacing w:before="33"/>
              <w:ind w:left="108"/>
              <w:rPr>
                <w:rFonts w:ascii="Verdana" w:hAnsi="Verdana"/>
                <w:b/>
                <w:sz w:val="18"/>
                <w:szCs w:val="18"/>
              </w:rPr>
            </w:pPr>
            <w:r w:rsidRPr="00EC75B7">
              <w:rPr>
                <w:rFonts w:ascii="Verdana" w:hAnsi="Verdana"/>
                <w:b/>
                <w:spacing w:val="-10"/>
                <w:sz w:val="18"/>
                <w:szCs w:val="18"/>
              </w:rPr>
              <w:t>1</w:t>
            </w:r>
          </w:p>
        </w:tc>
        <w:tc>
          <w:tcPr>
            <w:tcW w:w="8502" w:type="dxa"/>
          </w:tcPr>
          <w:p w14:paraId="7BA5D185" w14:textId="77777777" w:rsidR="008715BE" w:rsidRPr="00EC75B7" w:rsidRDefault="00000000">
            <w:pPr>
              <w:pStyle w:val="TableParagraph"/>
              <w:spacing w:before="33"/>
              <w:ind w:left="110"/>
              <w:rPr>
                <w:rFonts w:ascii="Verdana" w:hAnsi="Verdana"/>
                <w:b/>
                <w:sz w:val="18"/>
                <w:szCs w:val="18"/>
              </w:rPr>
            </w:pPr>
            <w:r w:rsidRPr="00EC75B7">
              <w:rPr>
                <w:rFonts w:ascii="Verdana" w:hAnsi="Verdana"/>
                <w:b/>
                <w:spacing w:val="-5"/>
                <w:sz w:val="18"/>
                <w:szCs w:val="18"/>
              </w:rPr>
              <w:t>Rare</w:t>
            </w:r>
          </w:p>
        </w:tc>
      </w:tr>
      <w:tr w:rsidR="008715BE" w:rsidRPr="00EC75B7" w14:paraId="613A03E2" w14:textId="77777777">
        <w:trPr>
          <w:trHeight w:val="777"/>
        </w:trPr>
        <w:tc>
          <w:tcPr>
            <w:tcW w:w="9069" w:type="dxa"/>
            <w:gridSpan w:val="2"/>
          </w:tcPr>
          <w:p w14:paraId="4939CB71" w14:textId="77777777" w:rsidR="008715BE" w:rsidRPr="00EC75B7" w:rsidRDefault="00000000">
            <w:pPr>
              <w:pStyle w:val="TableParagraph"/>
              <w:numPr>
                <w:ilvl w:val="0"/>
                <w:numId w:val="9"/>
              </w:numPr>
              <w:tabs>
                <w:tab w:val="left" w:pos="828"/>
              </w:tabs>
              <w:spacing w:line="194" w:lineRule="exact"/>
              <w:rPr>
                <w:rFonts w:ascii="Verdana" w:hAnsi="Verdana"/>
                <w:sz w:val="18"/>
                <w:szCs w:val="18"/>
              </w:rPr>
            </w:pPr>
            <w:r w:rsidRPr="00EC75B7">
              <w:rPr>
                <w:rFonts w:ascii="Verdana" w:hAnsi="Verdana"/>
                <w:sz w:val="18"/>
                <w:szCs w:val="18"/>
              </w:rPr>
              <w:t xml:space="preserve">Very unlikely for the risk to </w:t>
            </w:r>
            <w:r w:rsidRPr="00EC75B7">
              <w:rPr>
                <w:rFonts w:ascii="Verdana" w:hAnsi="Verdana"/>
                <w:spacing w:val="-2"/>
                <w:sz w:val="18"/>
                <w:szCs w:val="18"/>
              </w:rPr>
              <w:t>occur</w:t>
            </w:r>
          </w:p>
          <w:p w14:paraId="493E8E1C" w14:textId="77777777" w:rsidR="008715BE" w:rsidRPr="00EC75B7" w:rsidRDefault="00000000">
            <w:pPr>
              <w:pStyle w:val="TableParagraph"/>
              <w:numPr>
                <w:ilvl w:val="0"/>
                <w:numId w:val="9"/>
              </w:numPr>
              <w:tabs>
                <w:tab w:val="left" w:pos="828"/>
              </w:tabs>
              <w:spacing w:line="194" w:lineRule="exact"/>
              <w:rPr>
                <w:rFonts w:ascii="Verdana" w:hAnsi="Verdana"/>
                <w:sz w:val="18"/>
                <w:szCs w:val="18"/>
              </w:rPr>
            </w:pPr>
            <w:r w:rsidRPr="00EC75B7">
              <w:rPr>
                <w:rFonts w:ascii="Verdana" w:hAnsi="Verdana"/>
                <w:sz w:val="18"/>
                <w:szCs w:val="18"/>
              </w:rPr>
              <w:t xml:space="preserve">5% probability of occurrence during the </w:t>
            </w:r>
            <w:r w:rsidRPr="00EC75B7">
              <w:rPr>
                <w:rFonts w:ascii="Verdana" w:hAnsi="Verdana"/>
                <w:spacing w:val="-2"/>
                <w:sz w:val="18"/>
                <w:szCs w:val="18"/>
              </w:rPr>
              <w:t xml:space="preserve">project's </w:t>
            </w:r>
            <w:r w:rsidRPr="00EC75B7">
              <w:rPr>
                <w:rFonts w:ascii="Verdana" w:hAnsi="Verdana"/>
                <w:sz w:val="18"/>
                <w:szCs w:val="18"/>
              </w:rPr>
              <w:t>lifetime</w:t>
            </w:r>
          </w:p>
          <w:p w14:paraId="7FDE9CC3" w14:textId="77777777" w:rsidR="008715BE" w:rsidRPr="00EC75B7" w:rsidRDefault="00000000">
            <w:pPr>
              <w:pStyle w:val="TableParagraph"/>
              <w:numPr>
                <w:ilvl w:val="0"/>
                <w:numId w:val="9"/>
              </w:numPr>
              <w:tabs>
                <w:tab w:val="left" w:pos="828"/>
              </w:tabs>
              <w:spacing w:line="194" w:lineRule="exact"/>
              <w:rPr>
                <w:rFonts w:ascii="Verdana" w:hAnsi="Verdana"/>
                <w:sz w:val="18"/>
                <w:szCs w:val="18"/>
              </w:rPr>
            </w:pPr>
            <w:r w:rsidRPr="00EC75B7">
              <w:rPr>
                <w:rFonts w:ascii="Verdana" w:hAnsi="Verdana"/>
                <w:sz w:val="18"/>
                <w:szCs w:val="18"/>
              </w:rPr>
              <w:t>The project component is not presented as being</w:t>
            </w:r>
            <w:r w:rsidRPr="00EC75B7">
              <w:rPr>
                <w:rFonts w:ascii="Verdana" w:hAnsi="Verdana"/>
                <w:spacing w:val="28"/>
                <w:sz w:val="18"/>
                <w:szCs w:val="18"/>
              </w:rPr>
              <w:t xml:space="preserve">  </w:t>
            </w:r>
            <w:r w:rsidRPr="00EC75B7">
              <w:rPr>
                <w:rFonts w:ascii="Verdana" w:hAnsi="Verdana"/>
                <w:sz w:val="18"/>
                <w:szCs w:val="18"/>
              </w:rPr>
              <w:t xml:space="preserve"> exposed in risk/hazard maps with </w:t>
            </w:r>
            <w:r w:rsidRPr="00EC75B7">
              <w:rPr>
                <w:rFonts w:ascii="Verdana" w:hAnsi="Verdana"/>
                <w:spacing w:val="-2"/>
                <w:sz w:val="18"/>
                <w:szCs w:val="18"/>
              </w:rPr>
              <w:t>probability</w:t>
            </w:r>
          </w:p>
          <w:p w14:paraId="1A30E7D1" w14:textId="77777777" w:rsidR="008715BE" w:rsidRPr="00EC75B7" w:rsidRDefault="00000000">
            <w:pPr>
              <w:pStyle w:val="TableParagraph"/>
              <w:spacing w:line="174" w:lineRule="exact"/>
              <w:ind w:left="828"/>
              <w:rPr>
                <w:rFonts w:ascii="Verdana" w:hAnsi="Verdana"/>
                <w:sz w:val="18"/>
                <w:szCs w:val="18"/>
              </w:rPr>
            </w:pPr>
            <w:r w:rsidRPr="00EC75B7">
              <w:rPr>
                <w:rFonts w:ascii="Verdana" w:hAnsi="Verdana"/>
                <w:sz w:val="18"/>
                <w:szCs w:val="18"/>
              </w:rPr>
              <w:t xml:space="preserve">(e.g., current/future map less than 0.1% AEP of </w:t>
            </w:r>
            <w:r w:rsidRPr="00EC75B7">
              <w:rPr>
                <w:rFonts w:ascii="Verdana" w:hAnsi="Verdana"/>
                <w:spacing w:val="-2"/>
                <w:sz w:val="18"/>
                <w:szCs w:val="18"/>
              </w:rPr>
              <w:t xml:space="preserve">flood </w:t>
            </w:r>
            <w:r w:rsidRPr="00EC75B7">
              <w:rPr>
                <w:rFonts w:ascii="Verdana" w:hAnsi="Verdana"/>
                <w:sz w:val="18"/>
                <w:szCs w:val="18"/>
              </w:rPr>
              <w:t>hazard</w:t>
            </w:r>
            <w:r w:rsidRPr="00EC75B7">
              <w:rPr>
                <w:rFonts w:ascii="Verdana" w:hAnsi="Verdana"/>
                <w:spacing w:val="-2"/>
                <w:sz w:val="18"/>
                <w:szCs w:val="18"/>
              </w:rPr>
              <w:t>)</w:t>
            </w:r>
          </w:p>
        </w:tc>
      </w:tr>
    </w:tbl>
    <w:p w14:paraId="09B3CF78" w14:textId="77777777" w:rsidR="008715BE" w:rsidRPr="00EC75B7" w:rsidRDefault="00000000">
      <w:pPr>
        <w:spacing w:before="69"/>
        <w:ind w:left="57"/>
        <w:jc w:val="both"/>
        <w:rPr>
          <w:rFonts w:ascii="Verdana" w:hAnsi="Verdana"/>
          <w:b/>
          <w:sz w:val="18"/>
          <w:szCs w:val="18"/>
        </w:rPr>
      </w:pPr>
      <w:r w:rsidRPr="00EC75B7">
        <w:rPr>
          <w:rFonts w:ascii="Verdana" w:hAnsi="Verdana"/>
          <w:b/>
          <w:color w:val="00AFEF"/>
          <w:sz w:val="18"/>
          <w:szCs w:val="18"/>
        </w:rPr>
        <w:t xml:space="preserve">Table 72 Risk areas and severity for </w:t>
      </w:r>
      <w:r w:rsidRPr="00EC75B7">
        <w:rPr>
          <w:rFonts w:ascii="Verdana" w:hAnsi="Verdana"/>
          <w:b/>
          <w:color w:val="00AFEF"/>
          <w:spacing w:val="-2"/>
          <w:sz w:val="18"/>
          <w:szCs w:val="18"/>
        </w:rPr>
        <w:t xml:space="preserve">wind </w:t>
      </w:r>
      <w:r w:rsidRPr="00EC75B7">
        <w:rPr>
          <w:rFonts w:ascii="Verdana" w:hAnsi="Verdana"/>
          <w:b/>
          <w:color w:val="00AFEF"/>
          <w:sz w:val="18"/>
          <w:szCs w:val="18"/>
        </w:rPr>
        <w:t>farms</w:t>
      </w:r>
    </w:p>
    <w:p w14:paraId="522AE451" w14:textId="77777777" w:rsidR="008715BE" w:rsidRPr="00EC75B7" w:rsidRDefault="00000000">
      <w:pPr>
        <w:ind w:left="57"/>
        <w:rPr>
          <w:rFonts w:ascii="Verdana" w:hAnsi="Verdana"/>
          <w:sz w:val="18"/>
          <w:szCs w:val="18"/>
        </w:rPr>
      </w:pPr>
      <w:r w:rsidRPr="00EC75B7">
        <w:rPr>
          <w:rFonts w:ascii="Verdana" w:hAnsi="Verdana"/>
          <w:noProof/>
          <w:sz w:val="18"/>
          <w:szCs w:val="18"/>
        </w:rPr>
        <mc:AlternateContent>
          <mc:Choice Requires="wps">
            <w:drawing>
              <wp:inline distT="0" distB="0" distL="0" distR="0" wp14:anchorId="64C409A5" wp14:editId="4FB2E2D2">
                <wp:extent cx="6209030" cy="340360"/>
                <wp:effectExtent l="9525" t="0" r="1270" b="12064"/>
                <wp:docPr id="625" name="Textbox 625"/>
                <wp:cNvGraphicFramePr/>
                <a:graphic xmlns:a="http://schemas.openxmlformats.org/drawingml/2006/main">
                  <a:graphicData uri="http://schemas.microsoft.com/office/word/2010/wordprocessingShape">
                    <wps:wsp>
                      <wps:cNvSpPr txBox="1"/>
                      <wps:spPr>
                        <a:xfrm>
                          <a:off x="0" y="0"/>
                          <a:ext cx="6209030" cy="340360"/>
                        </a:xfrm>
                        <a:prstGeom prst="rect">
                          <a:avLst/>
                        </a:prstGeom>
                        <a:solidFill>
                          <a:srgbClr val="00AFEF"/>
                        </a:solidFill>
                        <a:ln w="6096">
                          <a:solidFill>
                            <a:srgbClr val="D9D9D9"/>
                          </a:solidFill>
                          <a:prstDash val="solid"/>
                        </a:ln>
                      </wps:spPr>
                      <wps:txbx>
                        <w:txbxContent>
                          <w:p w14:paraId="72CEB2EC" w14:textId="77777777" w:rsidR="008715BE" w:rsidRDefault="008715BE">
                            <w:pPr>
                              <w:pStyle w:val="BodyText"/>
                              <w:spacing w:before="26"/>
                              <w:rPr>
                                <w:b/>
                                <w:color w:val="000000"/>
                                <w:sz w:val="16"/>
                              </w:rPr>
                            </w:pPr>
                          </w:p>
                          <w:p w14:paraId="7EB30922" w14:textId="77777777" w:rsidR="008715BE" w:rsidRDefault="00000000">
                            <w:pPr>
                              <w:tabs>
                                <w:tab w:val="left" w:pos="2717"/>
                              </w:tabs>
                              <w:ind w:left="108"/>
                              <w:rPr>
                                <w:b/>
                                <w:color w:val="000000"/>
                                <w:sz w:val="16"/>
                              </w:rPr>
                            </w:pPr>
                            <w:r>
                              <w:rPr>
                                <w:b/>
                                <w:color w:val="FFFFFF"/>
                                <w:spacing w:val="-4"/>
                                <w:w w:val="135"/>
                                <w:sz w:val="10"/>
                              </w:rPr>
                              <w:t xml:space="preserve">Risk </w:t>
                            </w:r>
                            <w:r>
                              <w:rPr>
                                <w:b/>
                                <w:color w:val="FFFFFF"/>
                                <w:spacing w:val="-2"/>
                                <w:w w:val="135"/>
                                <w:sz w:val="10"/>
                              </w:rPr>
                              <w:t>area</w:t>
                            </w:r>
                            <w:r>
                              <w:rPr>
                                <w:b/>
                                <w:color w:val="FFFFFF"/>
                                <w:sz w:val="10"/>
                              </w:rPr>
                              <w:tab/>
                            </w:r>
                            <w:r>
                              <w:rPr>
                                <w:b/>
                                <w:color w:val="FFFFFF"/>
                                <w:spacing w:val="-2"/>
                                <w:w w:val="135"/>
                                <w:sz w:val="10"/>
                              </w:rPr>
                              <w:t>Severity</w:t>
                            </w:r>
                          </w:p>
                        </w:txbxContent>
                      </wps:txbx>
                      <wps:bodyPr wrap="square" lIns="0" tIns="0" rIns="0" bIns="0" rtlCol="0"/>
                    </wps:wsp>
                  </a:graphicData>
                </a:graphic>
              </wp:inline>
            </w:drawing>
          </mc:Choice>
          <mc:Fallback>
            <w:pict>
              <v:shape w14:anchorId="64C409A5" id="Textbox 625" o:spid="_x0000_s1341" type="#_x0000_t202" style="width:488.9pt;height:2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" fillcolor="#00afef" strokecolor="#d9d9d9" strokeweight=".48pt">
                <v:textbox inset="0,0,0,0">
                  <w:txbxContent>
                    <w:p w14:paraId="72CEB2EC" w14:textId="77777777" w:rsidR="008715BE" w:rsidRDefault="008715BE">
                      <w:pPr>
                        <w:pStyle w:val="BodyText"/>
                        <w:spacing w:before="26"/>
                        <w:rPr>
                          <w:b/>
                          <w:color w:val="000000"/>
                          <w:sz w:val="16"/>
                        </w:rPr>
                      </w:pPr>
                    </w:p>
                    <w:p w14:paraId="7EB30922" w14:textId="77777777" w:rsidR="008715BE" w:rsidRDefault="00000000">
                      <w:pPr>
                        <w:tabs>
                          <w:tab w:val="left" w:pos="2717"/>
                        </w:tabs>
                        <w:ind w:left="108"/>
                        <w:rPr>
                          <w:b/>
                          <w:color w:val="000000"/>
                          <w:sz w:val="16"/>
                        </w:rPr>
                      </w:pPr>
                      <w:r>
                        <w:rPr>
                          <w:b/>
                          <w:color w:val="FFFFFF"/>
                          <w:spacing w:val="-4"/>
                          <w:w w:val="135"/>
                          <w:sz w:val="10"/>
                        </w:rPr>
                        <w:t xml:space="preserve">Risk </w:t>
                      </w:r>
                      <w:r>
                        <w:rPr>
                          <w:b/>
                          <w:color w:val="FFFFFF"/>
                          <w:spacing w:val="-2"/>
                          <w:w w:val="135"/>
                          <w:sz w:val="10"/>
                        </w:rPr>
                        <w:t>area</w:t>
                      </w:r>
                      <w:r>
                        <w:rPr>
                          <w:b/>
                          <w:color w:val="FFFFFF"/>
                          <w:sz w:val="10"/>
                        </w:rPr>
                        <w:tab/>
                      </w:r>
                      <w:r>
                        <w:rPr>
                          <w:b/>
                          <w:color w:val="FFFFFF"/>
                          <w:spacing w:val="-2"/>
                          <w:w w:val="135"/>
                          <w:sz w:val="10"/>
                        </w:rPr>
                        <w:t>Severity</w:t>
                      </w:r>
                    </w:p>
                  </w:txbxContent>
                </v:textbox>
                <w10:anchorlock/>
              </v:shape>
            </w:pict>
          </mc:Fallback>
        </mc:AlternateContent>
      </w:r>
    </w:p>
    <w:p w14:paraId="5285DA55" w14:textId="77777777" w:rsidR="008715BE" w:rsidRPr="00EC75B7" w:rsidRDefault="008715BE">
      <w:pPr>
        <w:rPr>
          <w:rFonts w:ascii="Verdana" w:hAnsi="Verdana"/>
          <w:sz w:val="18"/>
          <w:szCs w:val="18"/>
        </w:rPr>
        <w:sectPr w:rsidR="008715BE" w:rsidRPr="00EC75B7">
          <w:pgSz w:w="11910" w:h="16840"/>
          <w:pgMar w:top="1320" w:right="283" w:bottom="1020" w:left="1133" w:header="766" w:footer="824" w:gutter="0"/>
          <w:cols w:space="708"/>
        </w:sectPr>
      </w:pPr>
    </w:p>
    <w:p w14:paraId="7415BFB9" w14:textId="77777777" w:rsidR="008715BE" w:rsidRPr="00EC75B7" w:rsidRDefault="008715BE">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643"/>
        <w:gridCol w:w="7135"/>
      </w:tblGrid>
      <w:tr w:rsidR="008715BE" w:rsidRPr="00EC75B7" w14:paraId="1E071FE3" w14:textId="77777777">
        <w:trPr>
          <w:trHeight w:val="1562"/>
        </w:trPr>
        <w:tc>
          <w:tcPr>
            <w:tcW w:w="2643" w:type="dxa"/>
            <w:shd w:val="clear" w:color="auto" w:fill="00AFEF"/>
          </w:tcPr>
          <w:p w14:paraId="01691C0A" w14:textId="77777777" w:rsidR="008715BE" w:rsidRPr="00EC75B7" w:rsidRDefault="00000000">
            <w:pPr>
              <w:pStyle w:val="TableParagraph"/>
              <w:spacing w:before="104"/>
              <w:ind w:left="113"/>
              <w:rPr>
                <w:rFonts w:ascii="Verdana" w:hAnsi="Verdana"/>
                <w:sz w:val="18"/>
                <w:szCs w:val="18"/>
              </w:rPr>
            </w:pPr>
            <w:r w:rsidRPr="00EC75B7">
              <w:rPr>
                <w:rFonts w:ascii="Verdana" w:hAnsi="Verdana"/>
                <w:b/>
                <w:color w:val="FFFFFF"/>
                <w:sz w:val="18"/>
                <w:szCs w:val="18"/>
              </w:rPr>
              <w:t xml:space="preserve">RA1: </w:t>
            </w:r>
            <w:r w:rsidRPr="00EC75B7">
              <w:rPr>
                <w:rFonts w:ascii="Verdana" w:hAnsi="Verdana"/>
                <w:color w:val="FFFFFF"/>
                <w:sz w:val="18"/>
                <w:szCs w:val="18"/>
              </w:rPr>
              <w:t>Asset damage/Process disruption</w:t>
            </w:r>
          </w:p>
        </w:tc>
        <w:tc>
          <w:tcPr>
            <w:tcW w:w="7135" w:type="dxa"/>
            <w:shd w:val="clear" w:color="auto" w:fill="F3F4F8"/>
          </w:tcPr>
          <w:p w14:paraId="38655A9D" w14:textId="77777777" w:rsidR="008715BE" w:rsidRPr="00EC75B7" w:rsidRDefault="00000000">
            <w:pPr>
              <w:pStyle w:val="TableParagraph"/>
              <w:spacing w:before="95"/>
              <w:ind w:left="110" w:right="136"/>
              <w:rPr>
                <w:rFonts w:ascii="Verdana" w:hAnsi="Verdana"/>
                <w:sz w:val="18"/>
                <w:szCs w:val="18"/>
              </w:rPr>
            </w:pPr>
            <w:r w:rsidRPr="00EC75B7">
              <w:rPr>
                <w:rFonts w:ascii="Verdana" w:hAnsi="Verdana"/>
                <w:b/>
                <w:sz w:val="18"/>
                <w:szCs w:val="18"/>
              </w:rPr>
              <w:t>Extensive physical damage</w:t>
            </w:r>
            <w:r w:rsidRPr="00EC75B7">
              <w:rPr>
                <w:rFonts w:ascii="Verdana" w:hAnsi="Verdana"/>
                <w:sz w:val="18"/>
                <w:szCs w:val="18"/>
              </w:rPr>
              <w:t xml:space="preserve">: Wind turbines are susceptible to damage from extreme weather conditions such as hurricanes, strong winds, and lightning, which can lead to downtime and increased </w:t>
            </w:r>
            <w:r w:rsidRPr="00EC75B7">
              <w:rPr>
                <w:rFonts w:ascii="Verdana" w:hAnsi="Verdana"/>
                <w:spacing w:val="-2"/>
                <w:sz w:val="18"/>
                <w:szCs w:val="18"/>
              </w:rPr>
              <w:t>repair</w:t>
            </w:r>
            <w:r w:rsidRPr="00EC75B7">
              <w:rPr>
                <w:rFonts w:ascii="Verdana" w:hAnsi="Verdana"/>
                <w:sz w:val="18"/>
                <w:szCs w:val="18"/>
              </w:rPr>
              <w:t xml:space="preserve"> costs</w:t>
            </w:r>
            <w:r w:rsidRPr="00EC75B7">
              <w:rPr>
                <w:rFonts w:ascii="Verdana" w:hAnsi="Verdana"/>
                <w:spacing w:val="-2"/>
                <w:sz w:val="18"/>
                <w:szCs w:val="18"/>
              </w:rPr>
              <w:t>.</w:t>
            </w:r>
          </w:p>
          <w:p w14:paraId="23520E9B" w14:textId="77777777" w:rsidR="008715BE" w:rsidRPr="00EC75B7" w:rsidRDefault="00000000">
            <w:pPr>
              <w:pStyle w:val="TableParagraph"/>
              <w:spacing w:line="240" w:lineRule="atLeast"/>
              <w:ind w:left="110" w:right="136"/>
              <w:rPr>
                <w:rFonts w:ascii="Verdana" w:hAnsi="Verdana"/>
                <w:sz w:val="18"/>
                <w:szCs w:val="18"/>
              </w:rPr>
            </w:pPr>
            <w:r w:rsidRPr="00EC75B7">
              <w:rPr>
                <w:rFonts w:ascii="Verdana" w:hAnsi="Verdana"/>
                <w:b/>
                <w:sz w:val="18"/>
                <w:szCs w:val="18"/>
              </w:rPr>
              <w:t>Turbine component wear</w:t>
            </w:r>
            <w:r w:rsidRPr="00EC75B7">
              <w:rPr>
                <w:rFonts w:ascii="Verdana" w:hAnsi="Verdana"/>
                <w:sz w:val="18"/>
                <w:szCs w:val="18"/>
              </w:rPr>
              <w:t>: The mechanical components of wind turbines, including the gearbox and bearings, are subject to wear over time.</w:t>
            </w:r>
          </w:p>
        </w:tc>
      </w:tr>
      <w:tr w:rsidR="008715BE" w:rsidRPr="00EC75B7" w14:paraId="3C6830CC" w14:textId="77777777">
        <w:trPr>
          <w:trHeight w:val="1072"/>
        </w:trPr>
        <w:tc>
          <w:tcPr>
            <w:tcW w:w="2643" w:type="dxa"/>
            <w:shd w:val="clear" w:color="auto" w:fill="00AFEF"/>
          </w:tcPr>
          <w:p w14:paraId="125EF733" w14:textId="77777777" w:rsidR="008715BE" w:rsidRPr="00EC75B7" w:rsidRDefault="008715BE">
            <w:pPr>
              <w:pStyle w:val="TableParagraph"/>
              <w:rPr>
                <w:rFonts w:ascii="Verdana" w:hAnsi="Verdana"/>
                <w:b/>
                <w:sz w:val="18"/>
                <w:szCs w:val="18"/>
              </w:rPr>
            </w:pPr>
          </w:p>
          <w:p w14:paraId="603E07B0" w14:textId="77777777" w:rsidR="008715BE" w:rsidRPr="00EC75B7" w:rsidRDefault="008715BE">
            <w:pPr>
              <w:pStyle w:val="TableParagraph"/>
              <w:spacing w:before="104"/>
              <w:rPr>
                <w:rFonts w:ascii="Verdana" w:hAnsi="Verdana"/>
                <w:b/>
                <w:sz w:val="18"/>
                <w:szCs w:val="18"/>
              </w:rPr>
            </w:pPr>
          </w:p>
          <w:p w14:paraId="46B9D290" w14:textId="77777777" w:rsidR="008715BE" w:rsidRPr="00EC75B7" w:rsidRDefault="00000000">
            <w:pPr>
              <w:pStyle w:val="TableParagraph"/>
              <w:spacing w:before="1"/>
              <w:ind w:left="113"/>
              <w:rPr>
                <w:rFonts w:ascii="Verdana" w:hAnsi="Verdana"/>
                <w:sz w:val="18"/>
                <w:szCs w:val="18"/>
              </w:rPr>
            </w:pPr>
            <w:r w:rsidRPr="00EC75B7">
              <w:rPr>
                <w:rFonts w:ascii="Verdana" w:hAnsi="Verdana"/>
                <w:b/>
                <w:color w:val="FFFFFF"/>
                <w:sz w:val="18"/>
                <w:szCs w:val="18"/>
              </w:rPr>
              <w:t xml:space="preserve">RA2: </w:t>
            </w:r>
            <w:r w:rsidRPr="00EC75B7">
              <w:rPr>
                <w:rFonts w:ascii="Verdana" w:hAnsi="Verdana"/>
                <w:color w:val="FFFFFF"/>
                <w:sz w:val="18"/>
                <w:szCs w:val="18"/>
              </w:rPr>
              <w:t xml:space="preserve">Safety and </w:t>
            </w:r>
            <w:r w:rsidRPr="00EC75B7">
              <w:rPr>
                <w:rFonts w:ascii="Verdana" w:hAnsi="Verdana"/>
                <w:color w:val="FFFFFF"/>
                <w:spacing w:val="-2"/>
                <w:sz w:val="18"/>
                <w:szCs w:val="18"/>
              </w:rPr>
              <w:t>health</w:t>
            </w:r>
          </w:p>
        </w:tc>
        <w:tc>
          <w:tcPr>
            <w:tcW w:w="7135" w:type="dxa"/>
          </w:tcPr>
          <w:p w14:paraId="61CFC02B" w14:textId="77777777" w:rsidR="008715BE" w:rsidRPr="00EC75B7" w:rsidRDefault="00000000">
            <w:pPr>
              <w:pStyle w:val="TableParagraph"/>
              <w:spacing w:before="95"/>
              <w:ind w:left="110" w:right="52"/>
              <w:jc w:val="both"/>
              <w:rPr>
                <w:rFonts w:ascii="Verdana" w:hAnsi="Verdana"/>
                <w:sz w:val="18"/>
                <w:szCs w:val="18"/>
              </w:rPr>
            </w:pPr>
            <w:r w:rsidRPr="00EC75B7">
              <w:rPr>
                <w:rFonts w:ascii="Verdana" w:hAnsi="Verdana"/>
                <w:b/>
                <w:sz w:val="18"/>
                <w:szCs w:val="18"/>
              </w:rPr>
              <w:t>Maintenance and inspection risks</w:t>
            </w:r>
            <w:r w:rsidRPr="00EC75B7">
              <w:rPr>
                <w:rFonts w:ascii="Verdana" w:hAnsi="Verdana"/>
                <w:sz w:val="18"/>
                <w:szCs w:val="18"/>
              </w:rPr>
              <w:t>: Maintenance, repair, and inspection activities on wind turbines can pose safety risks to workers if precautions are not taken to account for all hazards, electrical risks</w:t>
            </w:r>
          </w:p>
          <w:p w14:paraId="7A0C1400" w14:textId="77777777" w:rsidR="008715BE" w:rsidRPr="00EC75B7" w:rsidRDefault="00000000">
            <w:pPr>
              <w:pStyle w:val="TableParagraph"/>
              <w:spacing w:line="225" w:lineRule="exact"/>
              <w:ind w:left="110"/>
              <w:jc w:val="both"/>
              <w:rPr>
                <w:rFonts w:ascii="Verdana" w:hAnsi="Verdana"/>
                <w:sz w:val="18"/>
                <w:szCs w:val="18"/>
              </w:rPr>
            </w:pPr>
            <w:r w:rsidRPr="00EC75B7">
              <w:rPr>
                <w:rFonts w:ascii="Verdana" w:hAnsi="Verdana"/>
                <w:sz w:val="18"/>
                <w:szCs w:val="18"/>
              </w:rPr>
              <w:t xml:space="preserve">and the remote nature of </w:t>
            </w:r>
            <w:r w:rsidRPr="00EC75B7">
              <w:rPr>
                <w:rFonts w:ascii="Verdana" w:hAnsi="Verdana"/>
                <w:spacing w:val="-2"/>
                <w:sz w:val="18"/>
                <w:szCs w:val="18"/>
              </w:rPr>
              <w:t xml:space="preserve">offshore </w:t>
            </w:r>
            <w:r w:rsidRPr="00EC75B7">
              <w:rPr>
                <w:rFonts w:ascii="Verdana" w:hAnsi="Verdana"/>
                <w:sz w:val="18"/>
                <w:szCs w:val="18"/>
              </w:rPr>
              <w:t>turbines</w:t>
            </w:r>
            <w:r w:rsidRPr="00EC75B7">
              <w:rPr>
                <w:rFonts w:ascii="Verdana" w:hAnsi="Verdana"/>
                <w:spacing w:val="-2"/>
                <w:sz w:val="18"/>
                <w:szCs w:val="18"/>
              </w:rPr>
              <w:t>.</w:t>
            </w:r>
          </w:p>
        </w:tc>
      </w:tr>
      <w:tr w:rsidR="008715BE" w:rsidRPr="00EC75B7" w14:paraId="661F4855" w14:textId="77777777">
        <w:trPr>
          <w:trHeight w:val="2539"/>
        </w:trPr>
        <w:tc>
          <w:tcPr>
            <w:tcW w:w="2643" w:type="dxa"/>
            <w:shd w:val="clear" w:color="auto" w:fill="00AFEF"/>
          </w:tcPr>
          <w:p w14:paraId="0424D210" w14:textId="77777777" w:rsidR="008715BE" w:rsidRPr="00EC75B7" w:rsidRDefault="008715BE">
            <w:pPr>
              <w:pStyle w:val="TableParagraph"/>
              <w:rPr>
                <w:rFonts w:ascii="Verdana" w:hAnsi="Verdana"/>
                <w:b/>
                <w:sz w:val="18"/>
                <w:szCs w:val="18"/>
              </w:rPr>
            </w:pPr>
          </w:p>
          <w:p w14:paraId="139B5C06" w14:textId="77777777" w:rsidR="008715BE" w:rsidRPr="00EC75B7" w:rsidRDefault="008715BE">
            <w:pPr>
              <w:pStyle w:val="TableParagraph"/>
              <w:rPr>
                <w:rFonts w:ascii="Verdana" w:hAnsi="Verdana"/>
                <w:b/>
                <w:sz w:val="18"/>
                <w:szCs w:val="18"/>
              </w:rPr>
            </w:pPr>
          </w:p>
          <w:p w14:paraId="4A260C19" w14:textId="77777777" w:rsidR="008715BE" w:rsidRPr="00EC75B7" w:rsidRDefault="008715BE">
            <w:pPr>
              <w:pStyle w:val="TableParagraph"/>
              <w:rPr>
                <w:rFonts w:ascii="Verdana" w:hAnsi="Verdana"/>
                <w:b/>
                <w:sz w:val="18"/>
                <w:szCs w:val="18"/>
              </w:rPr>
            </w:pPr>
          </w:p>
          <w:p w14:paraId="30AB0495" w14:textId="77777777" w:rsidR="008715BE" w:rsidRPr="00EC75B7" w:rsidRDefault="008715BE">
            <w:pPr>
              <w:pStyle w:val="TableParagraph"/>
              <w:rPr>
                <w:rFonts w:ascii="Verdana" w:hAnsi="Verdana"/>
                <w:b/>
                <w:sz w:val="18"/>
                <w:szCs w:val="18"/>
              </w:rPr>
            </w:pPr>
          </w:p>
          <w:p w14:paraId="2BDB9861" w14:textId="77777777" w:rsidR="008715BE" w:rsidRPr="00EC75B7" w:rsidRDefault="008715BE">
            <w:pPr>
              <w:pStyle w:val="TableParagraph"/>
              <w:rPr>
                <w:rFonts w:ascii="Verdana" w:hAnsi="Verdana"/>
                <w:b/>
                <w:sz w:val="18"/>
                <w:szCs w:val="18"/>
              </w:rPr>
            </w:pPr>
          </w:p>
          <w:p w14:paraId="22718952" w14:textId="77777777" w:rsidR="008715BE" w:rsidRPr="00EC75B7" w:rsidRDefault="008715BE">
            <w:pPr>
              <w:pStyle w:val="TableParagraph"/>
              <w:spacing w:before="57"/>
              <w:rPr>
                <w:rFonts w:ascii="Verdana" w:hAnsi="Verdana"/>
                <w:b/>
                <w:sz w:val="18"/>
                <w:szCs w:val="18"/>
              </w:rPr>
            </w:pPr>
          </w:p>
          <w:p w14:paraId="78ADDE96" w14:textId="77777777" w:rsidR="008715BE" w:rsidRPr="00EC75B7" w:rsidRDefault="00000000">
            <w:pPr>
              <w:pStyle w:val="TableParagraph"/>
              <w:spacing w:before="1"/>
              <w:ind w:left="113"/>
              <w:rPr>
                <w:rFonts w:ascii="Verdana" w:hAnsi="Verdana"/>
                <w:sz w:val="18"/>
                <w:szCs w:val="18"/>
              </w:rPr>
            </w:pPr>
            <w:r w:rsidRPr="00EC75B7">
              <w:rPr>
                <w:rFonts w:ascii="Verdana" w:hAnsi="Verdana"/>
                <w:b/>
                <w:color w:val="FFFFFF"/>
                <w:sz w:val="18"/>
                <w:szCs w:val="18"/>
              </w:rPr>
              <w:t xml:space="preserve">RA3: </w:t>
            </w:r>
            <w:r w:rsidRPr="00EC75B7">
              <w:rPr>
                <w:rFonts w:ascii="Verdana" w:hAnsi="Verdana"/>
                <w:color w:val="FFFFFF"/>
                <w:spacing w:val="-4"/>
                <w:sz w:val="18"/>
                <w:szCs w:val="18"/>
              </w:rPr>
              <w:t>Environment</w:t>
            </w:r>
          </w:p>
        </w:tc>
        <w:tc>
          <w:tcPr>
            <w:tcW w:w="7135" w:type="dxa"/>
            <w:shd w:val="clear" w:color="auto" w:fill="F3F4F8"/>
          </w:tcPr>
          <w:p w14:paraId="41410B7D" w14:textId="77777777" w:rsidR="008715BE" w:rsidRPr="00EC75B7" w:rsidRDefault="00000000">
            <w:pPr>
              <w:pStyle w:val="TableParagraph"/>
              <w:spacing w:before="97"/>
              <w:ind w:left="110" w:right="268"/>
              <w:jc w:val="both"/>
              <w:rPr>
                <w:rFonts w:ascii="Verdana" w:hAnsi="Verdana"/>
                <w:sz w:val="18"/>
                <w:szCs w:val="18"/>
              </w:rPr>
            </w:pPr>
            <w:r w:rsidRPr="00EC75B7">
              <w:rPr>
                <w:rFonts w:ascii="Verdana" w:hAnsi="Verdana"/>
                <w:b/>
                <w:sz w:val="18"/>
                <w:szCs w:val="18"/>
              </w:rPr>
              <w:t>Manufacturing turbine components</w:t>
            </w:r>
            <w:r w:rsidRPr="00EC75B7">
              <w:rPr>
                <w:rFonts w:ascii="Verdana" w:hAnsi="Verdana"/>
                <w:sz w:val="18"/>
                <w:szCs w:val="18"/>
              </w:rPr>
              <w:t>: The production of wind turbine components, including the manufacture of blades, towers, and nacelles, contributes to embodied carbon. The energy-intensive processes involved in</w:t>
            </w:r>
          </w:p>
          <w:p w14:paraId="7762A2EF" w14:textId="77777777" w:rsidR="008715BE" w:rsidRPr="00EC75B7" w:rsidRDefault="00000000">
            <w:pPr>
              <w:pStyle w:val="TableParagraph"/>
              <w:ind w:left="110" w:right="136"/>
              <w:rPr>
                <w:rFonts w:ascii="Verdana" w:hAnsi="Verdana"/>
                <w:sz w:val="18"/>
                <w:szCs w:val="18"/>
              </w:rPr>
            </w:pPr>
            <w:r w:rsidRPr="00EC75B7">
              <w:rPr>
                <w:rFonts w:ascii="Verdana" w:hAnsi="Verdana"/>
                <w:sz w:val="18"/>
                <w:szCs w:val="18"/>
              </w:rPr>
              <w:t>producing materials such as steel and composites release greenhouse gases, adding to the overall carbon footprint of wind farms and contributing to climate change.</w:t>
            </w:r>
          </w:p>
          <w:p w14:paraId="1E119394" w14:textId="77777777" w:rsidR="008715BE" w:rsidRPr="00EC75B7" w:rsidRDefault="00000000">
            <w:pPr>
              <w:pStyle w:val="TableParagraph"/>
              <w:ind w:left="110" w:right="57"/>
              <w:jc w:val="both"/>
              <w:rPr>
                <w:rFonts w:ascii="Verdana" w:hAnsi="Verdana"/>
                <w:sz w:val="18"/>
                <w:szCs w:val="18"/>
              </w:rPr>
            </w:pPr>
            <w:r w:rsidRPr="00EC75B7">
              <w:rPr>
                <w:rFonts w:ascii="Verdana" w:hAnsi="Verdana"/>
                <w:b/>
                <w:sz w:val="18"/>
                <w:szCs w:val="18"/>
              </w:rPr>
              <w:t>Transportation and installation</w:t>
            </w:r>
            <w:r w:rsidRPr="00EC75B7">
              <w:rPr>
                <w:rFonts w:ascii="Verdana" w:hAnsi="Verdana"/>
                <w:sz w:val="18"/>
                <w:szCs w:val="18"/>
              </w:rPr>
              <w:t xml:space="preserve">: Transporting turbine components to construction sites and subsequent installation involves additional carbon emissions. The logistics of transporting large and heavy components over </w:t>
            </w:r>
            <w:r w:rsidRPr="00EC75B7">
              <w:rPr>
                <w:rFonts w:ascii="Verdana" w:hAnsi="Verdana"/>
                <w:spacing w:val="-2"/>
                <w:sz w:val="18"/>
                <w:szCs w:val="18"/>
              </w:rPr>
              <w:t xml:space="preserve">significant </w:t>
            </w:r>
            <w:r w:rsidRPr="00EC75B7">
              <w:rPr>
                <w:rFonts w:ascii="Verdana" w:hAnsi="Verdana"/>
                <w:sz w:val="18"/>
                <w:szCs w:val="18"/>
              </w:rPr>
              <w:t>distances</w:t>
            </w:r>
          </w:p>
          <w:p w14:paraId="235745D9" w14:textId="77777777" w:rsidR="008715BE" w:rsidRPr="00EC75B7" w:rsidRDefault="00000000">
            <w:pPr>
              <w:pStyle w:val="TableParagraph"/>
              <w:spacing w:line="225" w:lineRule="exact"/>
              <w:ind w:left="110"/>
              <w:jc w:val="both"/>
              <w:rPr>
                <w:rFonts w:ascii="Verdana" w:hAnsi="Verdana"/>
                <w:sz w:val="18"/>
                <w:szCs w:val="18"/>
              </w:rPr>
            </w:pPr>
            <w:r w:rsidRPr="00EC75B7">
              <w:rPr>
                <w:rFonts w:ascii="Verdana" w:hAnsi="Verdana"/>
                <w:sz w:val="18"/>
                <w:szCs w:val="18"/>
              </w:rPr>
              <w:t xml:space="preserve">contributes to the embodied carbon of </w:t>
            </w:r>
            <w:r w:rsidRPr="00EC75B7">
              <w:rPr>
                <w:rFonts w:ascii="Verdana" w:hAnsi="Verdana"/>
                <w:spacing w:val="-2"/>
                <w:sz w:val="18"/>
                <w:szCs w:val="18"/>
              </w:rPr>
              <w:t xml:space="preserve">wind </w:t>
            </w:r>
            <w:r w:rsidRPr="00EC75B7">
              <w:rPr>
                <w:rFonts w:ascii="Verdana" w:hAnsi="Verdana"/>
                <w:sz w:val="18"/>
                <w:szCs w:val="18"/>
              </w:rPr>
              <w:t>farms</w:t>
            </w:r>
            <w:r w:rsidRPr="00EC75B7">
              <w:rPr>
                <w:rFonts w:ascii="Verdana" w:hAnsi="Verdana"/>
                <w:spacing w:val="-2"/>
                <w:sz w:val="18"/>
                <w:szCs w:val="18"/>
              </w:rPr>
              <w:t>.</w:t>
            </w:r>
          </w:p>
        </w:tc>
      </w:tr>
      <w:tr w:rsidR="008715BE" w:rsidRPr="00EC75B7" w14:paraId="60D7A9C1" w14:textId="77777777">
        <w:trPr>
          <w:trHeight w:val="1317"/>
        </w:trPr>
        <w:tc>
          <w:tcPr>
            <w:tcW w:w="2643" w:type="dxa"/>
            <w:shd w:val="clear" w:color="auto" w:fill="00AFEF"/>
          </w:tcPr>
          <w:p w14:paraId="5926CF0D" w14:textId="77777777" w:rsidR="008715BE" w:rsidRPr="00EC75B7" w:rsidRDefault="008715BE">
            <w:pPr>
              <w:pStyle w:val="TableParagraph"/>
              <w:rPr>
                <w:rFonts w:ascii="Verdana" w:hAnsi="Verdana"/>
                <w:b/>
                <w:sz w:val="18"/>
                <w:szCs w:val="18"/>
              </w:rPr>
            </w:pPr>
          </w:p>
          <w:p w14:paraId="40E20E53" w14:textId="77777777" w:rsidR="008715BE" w:rsidRPr="00EC75B7" w:rsidRDefault="008715BE">
            <w:pPr>
              <w:pStyle w:val="TableParagraph"/>
              <w:rPr>
                <w:rFonts w:ascii="Verdana" w:hAnsi="Verdana"/>
                <w:b/>
                <w:sz w:val="18"/>
                <w:szCs w:val="18"/>
              </w:rPr>
            </w:pPr>
          </w:p>
          <w:p w14:paraId="3B4C4F82" w14:textId="77777777" w:rsidR="008715BE" w:rsidRPr="00EC75B7" w:rsidRDefault="008715BE">
            <w:pPr>
              <w:pStyle w:val="TableParagraph"/>
              <w:spacing w:before="31"/>
              <w:rPr>
                <w:rFonts w:ascii="Verdana" w:hAnsi="Verdana"/>
                <w:b/>
                <w:sz w:val="18"/>
                <w:szCs w:val="18"/>
              </w:rPr>
            </w:pPr>
          </w:p>
          <w:p w14:paraId="79930165" w14:textId="77777777" w:rsidR="008715BE" w:rsidRPr="00EC75B7" w:rsidRDefault="00000000">
            <w:pPr>
              <w:pStyle w:val="TableParagraph"/>
              <w:spacing w:before="1"/>
              <w:ind w:left="113"/>
              <w:rPr>
                <w:rFonts w:ascii="Verdana" w:hAnsi="Verdana"/>
                <w:sz w:val="18"/>
                <w:szCs w:val="18"/>
              </w:rPr>
            </w:pPr>
            <w:r w:rsidRPr="00EC75B7">
              <w:rPr>
                <w:rFonts w:ascii="Verdana" w:hAnsi="Verdana"/>
                <w:b/>
                <w:color w:val="FFFFFF"/>
                <w:sz w:val="18"/>
                <w:szCs w:val="18"/>
              </w:rPr>
              <w:t xml:space="preserve">RA4: </w:t>
            </w:r>
            <w:r w:rsidRPr="00EC75B7">
              <w:rPr>
                <w:rFonts w:ascii="Verdana" w:hAnsi="Verdana"/>
                <w:color w:val="FFFFFF"/>
                <w:spacing w:val="-2"/>
                <w:sz w:val="18"/>
                <w:szCs w:val="18"/>
              </w:rPr>
              <w:t>Social</w:t>
            </w:r>
          </w:p>
        </w:tc>
        <w:tc>
          <w:tcPr>
            <w:tcW w:w="7135" w:type="dxa"/>
          </w:tcPr>
          <w:p w14:paraId="17A9715C" w14:textId="77777777" w:rsidR="008715BE" w:rsidRPr="00EC75B7" w:rsidRDefault="00000000">
            <w:pPr>
              <w:pStyle w:val="TableParagraph"/>
              <w:spacing w:before="95"/>
              <w:ind w:left="110" w:right="51"/>
              <w:jc w:val="both"/>
              <w:rPr>
                <w:rFonts w:ascii="Verdana" w:hAnsi="Verdana"/>
                <w:sz w:val="18"/>
                <w:szCs w:val="18"/>
              </w:rPr>
            </w:pPr>
            <w:r w:rsidRPr="00EC75B7">
              <w:rPr>
                <w:rFonts w:ascii="Verdana" w:hAnsi="Verdana"/>
                <w:b/>
                <w:sz w:val="18"/>
                <w:szCs w:val="18"/>
              </w:rPr>
              <w:t>Energy affordability and social acceptance</w:t>
            </w:r>
            <w:r w:rsidRPr="00EC75B7">
              <w:rPr>
                <w:rFonts w:ascii="Verdana" w:hAnsi="Verdana"/>
                <w:sz w:val="18"/>
                <w:szCs w:val="18"/>
              </w:rPr>
              <w:t xml:space="preserve">: Communities that rely on wind energy may face challenges to energy affordability if turbines experience frequent outages or malfunctions, affecting energy supply and overall social acceptance of the wind farm. Note that </w:t>
            </w:r>
            <w:r w:rsidRPr="00EC75B7">
              <w:rPr>
                <w:rFonts w:ascii="Verdana" w:hAnsi="Verdana"/>
                <w:spacing w:val="-2"/>
                <w:sz w:val="18"/>
                <w:szCs w:val="18"/>
              </w:rPr>
              <w:t>this</w:t>
            </w:r>
          </w:p>
          <w:p w14:paraId="5A6E9F07" w14:textId="77777777" w:rsidR="008715BE" w:rsidRPr="00EC75B7" w:rsidRDefault="00000000">
            <w:pPr>
              <w:pStyle w:val="TableParagraph"/>
              <w:spacing w:line="225" w:lineRule="exact"/>
              <w:ind w:left="110"/>
              <w:jc w:val="both"/>
              <w:rPr>
                <w:rFonts w:ascii="Verdana" w:hAnsi="Verdana"/>
                <w:sz w:val="18"/>
                <w:szCs w:val="18"/>
              </w:rPr>
            </w:pPr>
            <w:r w:rsidRPr="00EC75B7">
              <w:rPr>
                <w:rFonts w:ascii="Verdana" w:hAnsi="Verdana"/>
                <w:sz w:val="18"/>
                <w:szCs w:val="18"/>
              </w:rPr>
              <w:t xml:space="preserve">is quite unlikely in the </w:t>
            </w:r>
            <w:r w:rsidRPr="00EC75B7">
              <w:rPr>
                <w:rFonts w:ascii="Verdana" w:hAnsi="Verdana"/>
                <w:spacing w:val="-2"/>
                <w:sz w:val="18"/>
                <w:szCs w:val="18"/>
              </w:rPr>
              <w:t xml:space="preserve">European </w:t>
            </w:r>
            <w:r w:rsidRPr="00EC75B7">
              <w:rPr>
                <w:rFonts w:ascii="Verdana" w:hAnsi="Verdana"/>
                <w:sz w:val="18"/>
                <w:szCs w:val="18"/>
              </w:rPr>
              <w:t>interconnected system</w:t>
            </w:r>
            <w:r w:rsidRPr="00EC75B7">
              <w:rPr>
                <w:rFonts w:ascii="Verdana" w:hAnsi="Verdana"/>
                <w:spacing w:val="-2"/>
                <w:sz w:val="18"/>
                <w:szCs w:val="18"/>
              </w:rPr>
              <w:t>.</w:t>
            </w:r>
          </w:p>
        </w:tc>
      </w:tr>
      <w:tr w:rsidR="008715BE" w:rsidRPr="00EC75B7" w14:paraId="0779780D" w14:textId="77777777">
        <w:trPr>
          <w:trHeight w:val="1807"/>
        </w:trPr>
        <w:tc>
          <w:tcPr>
            <w:tcW w:w="2643" w:type="dxa"/>
            <w:shd w:val="clear" w:color="auto" w:fill="00AFEF"/>
          </w:tcPr>
          <w:p w14:paraId="4C9845A0" w14:textId="77777777" w:rsidR="008715BE" w:rsidRPr="00EC75B7" w:rsidRDefault="008715BE">
            <w:pPr>
              <w:pStyle w:val="TableParagraph"/>
              <w:rPr>
                <w:rFonts w:ascii="Verdana" w:hAnsi="Verdana"/>
                <w:b/>
                <w:sz w:val="18"/>
                <w:szCs w:val="18"/>
              </w:rPr>
            </w:pPr>
          </w:p>
          <w:p w14:paraId="08B3F647" w14:textId="77777777" w:rsidR="008715BE" w:rsidRPr="00EC75B7" w:rsidRDefault="008715BE">
            <w:pPr>
              <w:pStyle w:val="TableParagraph"/>
              <w:rPr>
                <w:rFonts w:ascii="Verdana" w:hAnsi="Verdana"/>
                <w:b/>
                <w:sz w:val="18"/>
                <w:szCs w:val="18"/>
              </w:rPr>
            </w:pPr>
          </w:p>
          <w:p w14:paraId="7AFBAB86" w14:textId="77777777" w:rsidR="008715BE" w:rsidRPr="00EC75B7" w:rsidRDefault="008715BE">
            <w:pPr>
              <w:pStyle w:val="TableParagraph"/>
              <w:rPr>
                <w:rFonts w:ascii="Verdana" w:hAnsi="Verdana"/>
                <w:b/>
                <w:sz w:val="18"/>
                <w:szCs w:val="18"/>
              </w:rPr>
            </w:pPr>
          </w:p>
          <w:p w14:paraId="23F03A8D" w14:textId="77777777" w:rsidR="008715BE" w:rsidRPr="00EC75B7" w:rsidRDefault="008715BE">
            <w:pPr>
              <w:pStyle w:val="TableParagraph"/>
              <w:spacing w:before="81"/>
              <w:rPr>
                <w:rFonts w:ascii="Verdana" w:hAnsi="Verdana"/>
                <w:b/>
                <w:sz w:val="18"/>
                <w:szCs w:val="18"/>
              </w:rPr>
            </w:pPr>
          </w:p>
          <w:p w14:paraId="52030B43" w14:textId="77777777" w:rsidR="008715BE" w:rsidRPr="00EC75B7" w:rsidRDefault="00000000">
            <w:pPr>
              <w:pStyle w:val="TableParagraph"/>
              <w:ind w:left="113"/>
              <w:rPr>
                <w:rFonts w:ascii="Verdana" w:hAnsi="Verdana"/>
                <w:sz w:val="18"/>
                <w:szCs w:val="18"/>
              </w:rPr>
            </w:pPr>
            <w:r w:rsidRPr="00EC75B7">
              <w:rPr>
                <w:rFonts w:ascii="Verdana" w:hAnsi="Verdana"/>
                <w:b/>
                <w:color w:val="FFFFFF"/>
                <w:sz w:val="18"/>
                <w:szCs w:val="18"/>
              </w:rPr>
              <w:t xml:space="preserve">RA5: </w:t>
            </w:r>
            <w:r w:rsidRPr="00EC75B7">
              <w:rPr>
                <w:rFonts w:ascii="Verdana" w:hAnsi="Verdana"/>
                <w:color w:val="FFFFFF"/>
                <w:spacing w:val="-2"/>
                <w:sz w:val="18"/>
                <w:szCs w:val="18"/>
              </w:rPr>
              <w:t xml:space="preserve">Financial </w:t>
            </w:r>
            <w:r w:rsidRPr="00EC75B7">
              <w:rPr>
                <w:rFonts w:ascii="Verdana" w:hAnsi="Verdana"/>
                <w:color w:val="FFFFFF"/>
                <w:sz w:val="18"/>
                <w:szCs w:val="18"/>
              </w:rPr>
              <w:t>impact</w:t>
            </w:r>
          </w:p>
        </w:tc>
        <w:tc>
          <w:tcPr>
            <w:tcW w:w="7135" w:type="dxa"/>
            <w:shd w:val="clear" w:color="auto" w:fill="F3F4F8"/>
          </w:tcPr>
          <w:p w14:paraId="59D3F396" w14:textId="77777777" w:rsidR="008715BE" w:rsidRPr="00EC75B7" w:rsidRDefault="00000000">
            <w:pPr>
              <w:pStyle w:val="TableParagraph"/>
              <w:spacing w:before="97"/>
              <w:ind w:left="110" w:right="51"/>
              <w:jc w:val="both"/>
              <w:rPr>
                <w:rFonts w:ascii="Verdana" w:hAnsi="Verdana"/>
                <w:sz w:val="18"/>
                <w:szCs w:val="18"/>
              </w:rPr>
            </w:pPr>
            <w:r w:rsidRPr="00EC75B7">
              <w:rPr>
                <w:rFonts w:ascii="Verdana" w:hAnsi="Verdana"/>
                <w:b/>
                <w:sz w:val="18"/>
                <w:szCs w:val="18"/>
              </w:rPr>
              <w:t xml:space="preserve">Power outages: </w:t>
            </w:r>
            <w:r w:rsidRPr="00EC75B7">
              <w:rPr>
                <w:rFonts w:ascii="Verdana" w:hAnsi="Verdana"/>
                <w:sz w:val="18"/>
                <w:szCs w:val="18"/>
              </w:rPr>
              <w:t xml:space="preserve">Downtime at wind farms can disrupt power supply to the grid, leading to potential financial losses for farm owners/operators, utilities, and energy consumers. </w:t>
            </w:r>
            <w:r w:rsidRPr="00EC75B7">
              <w:rPr>
                <w:rFonts w:ascii="Verdana" w:hAnsi="Verdana"/>
                <w:b/>
                <w:sz w:val="18"/>
                <w:szCs w:val="18"/>
              </w:rPr>
              <w:t xml:space="preserve">Supply chain disruptions: </w:t>
            </w:r>
            <w:r w:rsidRPr="00EC75B7">
              <w:rPr>
                <w:rFonts w:ascii="Verdana" w:hAnsi="Verdana"/>
                <w:sz w:val="18"/>
                <w:szCs w:val="18"/>
              </w:rPr>
              <w:t xml:space="preserve">Delays in replacing components caused by breakdowns or extreme weather events can further increase revenue losses as well as </w:t>
            </w:r>
            <w:r w:rsidRPr="00EC75B7">
              <w:rPr>
                <w:rFonts w:ascii="Verdana" w:hAnsi="Verdana"/>
                <w:spacing w:val="-5"/>
                <w:sz w:val="18"/>
                <w:szCs w:val="18"/>
              </w:rPr>
              <w:t xml:space="preserve">maintenance and repair </w:t>
            </w:r>
            <w:r w:rsidRPr="00EC75B7">
              <w:rPr>
                <w:rFonts w:ascii="Verdana" w:hAnsi="Verdana"/>
                <w:sz w:val="18"/>
                <w:szCs w:val="18"/>
              </w:rPr>
              <w:t>costs.</w:t>
            </w:r>
          </w:p>
          <w:p w14:paraId="3334B110" w14:textId="77777777" w:rsidR="008715BE" w:rsidRPr="00EC75B7" w:rsidRDefault="00000000">
            <w:pPr>
              <w:pStyle w:val="TableParagraph"/>
              <w:spacing w:line="225" w:lineRule="exact"/>
              <w:ind w:left="110"/>
              <w:jc w:val="both"/>
              <w:rPr>
                <w:rFonts w:ascii="Verdana" w:hAnsi="Verdana"/>
                <w:sz w:val="18"/>
                <w:szCs w:val="18"/>
              </w:rPr>
            </w:pPr>
            <w:r w:rsidRPr="00EC75B7">
              <w:rPr>
                <w:rFonts w:ascii="Verdana" w:hAnsi="Verdana"/>
                <w:sz w:val="18"/>
                <w:szCs w:val="18"/>
              </w:rPr>
              <w:t xml:space="preserve">RA6: </w:t>
            </w:r>
            <w:r w:rsidRPr="00EC75B7">
              <w:rPr>
                <w:rFonts w:ascii="Verdana" w:hAnsi="Verdana"/>
                <w:spacing w:val="-2"/>
                <w:sz w:val="18"/>
                <w:szCs w:val="18"/>
              </w:rPr>
              <w:t>Reputation</w:t>
            </w:r>
          </w:p>
        </w:tc>
      </w:tr>
      <w:tr w:rsidR="008715BE" w:rsidRPr="00EC75B7" w14:paraId="18720A15" w14:textId="77777777">
        <w:trPr>
          <w:trHeight w:val="1295"/>
        </w:trPr>
        <w:tc>
          <w:tcPr>
            <w:tcW w:w="2643" w:type="dxa"/>
            <w:shd w:val="clear" w:color="auto" w:fill="00AFEF"/>
          </w:tcPr>
          <w:p w14:paraId="59FF37E7" w14:textId="77777777" w:rsidR="008715BE" w:rsidRPr="00EC75B7" w:rsidRDefault="008715BE">
            <w:pPr>
              <w:pStyle w:val="TableParagraph"/>
              <w:rPr>
                <w:rFonts w:ascii="Verdana" w:hAnsi="Verdana"/>
                <w:b/>
                <w:sz w:val="18"/>
                <w:szCs w:val="18"/>
              </w:rPr>
            </w:pPr>
          </w:p>
          <w:p w14:paraId="2F108710" w14:textId="77777777" w:rsidR="008715BE" w:rsidRPr="00EC75B7" w:rsidRDefault="008715BE">
            <w:pPr>
              <w:pStyle w:val="TableParagraph"/>
              <w:rPr>
                <w:rFonts w:ascii="Verdana" w:hAnsi="Verdana"/>
                <w:b/>
                <w:sz w:val="18"/>
                <w:szCs w:val="18"/>
              </w:rPr>
            </w:pPr>
          </w:p>
          <w:p w14:paraId="281A4B1A" w14:textId="77777777" w:rsidR="008715BE" w:rsidRPr="00EC75B7" w:rsidRDefault="008715BE">
            <w:pPr>
              <w:pStyle w:val="TableParagraph"/>
              <w:spacing w:before="22"/>
              <w:rPr>
                <w:rFonts w:ascii="Verdana" w:hAnsi="Verdana"/>
                <w:b/>
                <w:sz w:val="18"/>
                <w:szCs w:val="18"/>
              </w:rPr>
            </w:pPr>
          </w:p>
          <w:p w14:paraId="13BFF991" w14:textId="77777777" w:rsidR="008715BE" w:rsidRPr="00EC75B7" w:rsidRDefault="00000000">
            <w:pPr>
              <w:pStyle w:val="TableParagraph"/>
              <w:ind w:left="113"/>
              <w:rPr>
                <w:rFonts w:ascii="Verdana" w:hAnsi="Verdana"/>
                <w:sz w:val="18"/>
                <w:szCs w:val="18"/>
              </w:rPr>
            </w:pPr>
            <w:r w:rsidRPr="00EC75B7">
              <w:rPr>
                <w:rFonts w:ascii="Verdana" w:hAnsi="Verdana"/>
                <w:b/>
                <w:color w:val="FFFFFF"/>
                <w:sz w:val="18"/>
                <w:szCs w:val="18"/>
              </w:rPr>
              <w:t xml:space="preserve">RA6: </w:t>
            </w:r>
            <w:r w:rsidRPr="00EC75B7">
              <w:rPr>
                <w:rFonts w:ascii="Verdana" w:hAnsi="Verdana"/>
                <w:color w:val="FFFFFF"/>
                <w:spacing w:val="-2"/>
                <w:sz w:val="18"/>
                <w:szCs w:val="18"/>
              </w:rPr>
              <w:t>Reputation</w:t>
            </w:r>
          </w:p>
        </w:tc>
        <w:tc>
          <w:tcPr>
            <w:tcW w:w="7135" w:type="dxa"/>
          </w:tcPr>
          <w:p w14:paraId="46D5F057" w14:textId="77777777" w:rsidR="008715BE" w:rsidRPr="00EC75B7" w:rsidRDefault="00000000">
            <w:pPr>
              <w:pStyle w:val="TableParagraph"/>
              <w:spacing w:before="95"/>
              <w:ind w:left="110" w:right="136"/>
              <w:rPr>
                <w:rFonts w:ascii="Verdana" w:hAnsi="Verdana"/>
                <w:sz w:val="18"/>
                <w:szCs w:val="18"/>
              </w:rPr>
            </w:pPr>
            <w:r w:rsidRPr="00EC75B7">
              <w:rPr>
                <w:rFonts w:ascii="Verdana" w:hAnsi="Verdana"/>
                <w:b/>
                <w:sz w:val="18"/>
                <w:szCs w:val="18"/>
              </w:rPr>
              <w:t xml:space="preserve">Reliability and safety: </w:t>
            </w:r>
            <w:r w:rsidRPr="00EC75B7">
              <w:rPr>
                <w:rFonts w:ascii="Verdana" w:hAnsi="Verdana"/>
                <w:sz w:val="18"/>
                <w:szCs w:val="18"/>
              </w:rPr>
              <w:t>Maintaining a positive reputation is based on demonstrating reliability and safety. Frequent turbine failures, downtime, or accidents can damage the reputation of wind farm operators.</w:t>
            </w:r>
          </w:p>
        </w:tc>
      </w:tr>
    </w:tbl>
    <w:p w14:paraId="69F97E40" w14:textId="77777777" w:rsidR="008715BE" w:rsidRPr="00EC75B7" w:rsidRDefault="008715BE">
      <w:pPr>
        <w:pStyle w:val="TableParagraph"/>
        <w:rPr>
          <w:rFonts w:ascii="Verdana" w:hAnsi="Verdana"/>
          <w:sz w:val="18"/>
          <w:szCs w:val="18"/>
        </w:rPr>
        <w:sectPr w:rsidR="008715BE" w:rsidRPr="00EC75B7">
          <w:pgSz w:w="11910" w:h="16840"/>
          <w:pgMar w:top="1320" w:right="283" w:bottom="1020" w:left="1133" w:header="766" w:footer="824" w:gutter="0"/>
          <w:cols w:space="708"/>
        </w:sectPr>
      </w:pPr>
    </w:p>
    <w:p w14:paraId="236D470D" w14:textId="77777777" w:rsidR="008715BE" w:rsidRPr="00EC75B7" w:rsidRDefault="00000000">
      <w:pPr>
        <w:spacing w:before="93" w:line="264" w:lineRule="auto"/>
        <w:ind w:left="2" w:right="669" w:firstLine="1133"/>
        <w:rPr>
          <w:rFonts w:ascii="Verdana" w:hAnsi="Verdana"/>
          <w:b/>
          <w:sz w:val="18"/>
          <w:szCs w:val="18"/>
        </w:rPr>
      </w:pPr>
      <w:r w:rsidRPr="00EC75B7">
        <w:rPr>
          <w:rFonts w:ascii="Verdana" w:hAnsi="Verdana"/>
          <w:b/>
          <w:noProof/>
          <w:sz w:val="18"/>
          <w:szCs w:val="18"/>
        </w:rPr>
        <w:lastRenderedPageBreak/>
        <w:drawing>
          <wp:anchor distT="0" distB="0" distL="0" distR="0" simplePos="0" relativeHeight="251684864" behindDoc="0" locked="0" layoutInCell="1" allowOverlap="1" wp14:anchorId="1CB47100" wp14:editId="515FD741">
            <wp:simplePos x="0" y="0"/>
            <wp:positionH relativeFrom="page">
              <wp:posOffset>540384</wp:posOffset>
            </wp:positionH>
            <wp:positionV relativeFrom="paragraph">
              <wp:posOffset>-253</wp:posOffset>
            </wp:positionV>
            <wp:extent cx="651078" cy="177800"/>
            <wp:effectExtent l="0" t="0" r="0" b="0"/>
            <wp:wrapNone/>
            <wp:docPr id="627" name="Image 627"/>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Environmental Impact Report Wind Farm Project 48 (46) wind turbines approx. 316.8MW (303.6MW), transformer stations, connection grids, construction and modernization of communication and access roads</w:t>
      </w:r>
    </w:p>
    <w:p w14:paraId="324B837B" w14:textId="77777777" w:rsidR="008715BE" w:rsidRPr="00EC75B7" w:rsidRDefault="00000000">
      <w:pPr>
        <w:pStyle w:val="BodyText"/>
        <w:spacing w:before="58" w:line="285" w:lineRule="auto"/>
        <w:ind w:left="2" w:right="915"/>
        <w:rPr>
          <w:rFonts w:ascii="Verdana" w:hAnsi="Verdana"/>
        </w:rPr>
      </w:pPr>
      <w:r w:rsidRPr="00EC75B7">
        <w:rPr>
          <w:rFonts w:ascii="Verdana" w:hAnsi="Verdana"/>
        </w:rPr>
        <w:t>Depending on the hazards identified during the examination stages, levels from 1 to 5 are used to assess the severity of exposure of the designed works to these hazards, the meanings of which are shown in the table below.</w:t>
      </w:r>
    </w:p>
    <w:p w14:paraId="15FFE3A6" w14:textId="77777777" w:rsidR="008715BE" w:rsidRPr="00EC75B7" w:rsidRDefault="008715BE">
      <w:pPr>
        <w:pStyle w:val="BodyText"/>
        <w:spacing w:before="61"/>
        <w:rPr>
          <w:rFonts w:ascii="Verdana" w:hAnsi="Verdana"/>
        </w:rPr>
      </w:pPr>
    </w:p>
    <w:p w14:paraId="14CD023E" w14:textId="77777777" w:rsidR="008715BE" w:rsidRPr="00EC75B7" w:rsidRDefault="00000000">
      <w:pPr>
        <w:ind w:left="2"/>
        <w:rPr>
          <w:rFonts w:ascii="Verdana" w:hAnsi="Verdana"/>
          <w:b/>
          <w:sz w:val="18"/>
          <w:szCs w:val="18"/>
        </w:rPr>
      </w:pPr>
      <w:r w:rsidRPr="00EC75B7">
        <w:rPr>
          <w:rFonts w:ascii="Verdana" w:hAnsi="Verdana"/>
          <w:b/>
          <w:color w:val="00AFEF"/>
          <w:sz w:val="18"/>
          <w:szCs w:val="18"/>
        </w:rPr>
        <w:t xml:space="preserve">Table 73 Magnitude (severity) </w:t>
      </w:r>
      <w:r w:rsidRPr="00EC75B7">
        <w:rPr>
          <w:rFonts w:ascii="Verdana" w:hAnsi="Verdana"/>
          <w:b/>
          <w:color w:val="00AFEF"/>
          <w:spacing w:val="-2"/>
          <w:sz w:val="18"/>
          <w:szCs w:val="18"/>
        </w:rPr>
        <w:t>of impact</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861"/>
        <w:gridCol w:w="1147"/>
        <w:gridCol w:w="746"/>
        <w:gridCol w:w="629"/>
        <w:gridCol w:w="810"/>
        <w:gridCol w:w="271"/>
        <w:gridCol w:w="450"/>
        <w:gridCol w:w="700"/>
        <w:gridCol w:w="279"/>
        <w:gridCol w:w="2860"/>
        <w:gridCol w:w="894"/>
        <w:gridCol w:w="1372"/>
        <w:gridCol w:w="2446"/>
      </w:tblGrid>
      <w:tr w:rsidR="008715BE" w:rsidRPr="00EC75B7" w14:paraId="2470ABEA" w14:textId="77777777" w:rsidTr="00E90322">
        <w:trPr>
          <w:trHeight w:val="388"/>
        </w:trPr>
        <w:tc>
          <w:tcPr>
            <w:tcW w:w="2861" w:type="dxa"/>
            <w:vMerge w:val="restart"/>
            <w:shd w:val="clear" w:color="auto" w:fill="00AFEF"/>
          </w:tcPr>
          <w:p w14:paraId="17DBBB13" w14:textId="77777777" w:rsidR="008715BE" w:rsidRPr="00EC75B7" w:rsidRDefault="008715BE">
            <w:pPr>
              <w:pStyle w:val="TableParagraph"/>
              <w:spacing w:before="190"/>
              <w:rPr>
                <w:rFonts w:ascii="Verdana" w:hAnsi="Verdana"/>
                <w:b/>
                <w:sz w:val="18"/>
                <w:szCs w:val="18"/>
              </w:rPr>
            </w:pPr>
          </w:p>
          <w:p w14:paraId="63A4845E" w14:textId="77777777" w:rsidR="008715BE" w:rsidRPr="00EC75B7" w:rsidRDefault="00000000">
            <w:pPr>
              <w:pStyle w:val="TableParagraph"/>
              <w:ind w:left="643"/>
              <w:rPr>
                <w:rFonts w:ascii="Verdana" w:hAnsi="Verdana"/>
                <w:b/>
                <w:sz w:val="18"/>
                <w:szCs w:val="18"/>
              </w:rPr>
            </w:pPr>
            <w:r w:rsidRPr="00EC75B7">
              <w:rPr>
                <w:rFonts w:ascii="Verdana" w:hAnsi="Verdana"/>
                <w:b/>
                <w:color w:val="FFFFFF"/>
                <w:sz w:val="18"/>
                <w:szCs w:val="18"/>
              </w:rPr>
              <w:t xml:space="preserve">Risk areas </w:t>
            </w:r>
            <w:r w:rsidRPr="00EC75B7">
              <w:rPr>
                <w:rFonts w:ascii="Verdana" w:hAnsi="Verdana"/>
                <w:b/>
                <w:color w:val="FFFFFF"/>
                <w:spacing w:val="-4"/>
                <w:sz w:val="18"/>
                <w:szCs w:val="18"/>
              </w:rPr>
              <w:t>(RA)</w:t>
            </w:r>
          </w:p>
        </w:tc>
        <w:tc>
          <w:tcPr>
            <w:tcW w:w="12604" w:type="dxa"/>
            <w:gridSpan w:val="12"/>
            <w:shd w:val="clear" w:color="auto" w:fill="00AFEF"/>
          </w:tcPr>
          <w:p w14:paraId="3976FA64" w14:textId="77777777" w:rsidR="008715BE" w:rsidRPr="00EC75B7" w:rsidRDefault="00000000">
            <w:pPr>
              <w:pStyle w:val="TableParagraph"/>
              <w:spacing w:before="2"/>
              <w:ind w:left="18"/>
              <w:jc w:val="center"/>
              <w:rPr>
                <w:rFonts w:ascii="Verdana" w:hAnsi="Verdana"/>
                <w:b/>
                <w:sz w:val="18"/>
                <w:szCs w:val="18"/>
              </w:rPr>
            </w:pPr>
            <w:r w:rsidRPr="00EC75B7">
              <w:rPr>
                <w:rFonts w:ascii="Verdana" w:hAnsi="Verdana"/>
                <w:b/>
                <w:color w:val="FFFFFF"/>
                <w:sz w:val="18"/>
                <w:szCs w:val="18"/>
              </w:rPr>
              <w:t xml:space="preserve">Magnitude </w:t>
            </w:r>
            <w:r w:rsidRPr="00EC75B7">
              <w:rPr>
                <w:rFonts w:ascii="Verdana" w:hAnsi="Verdana"/>
                <w:b/>
                <w:color w:val="FFFFFF"/>
                <w:spacing w:val="-2"/>
                <w:sz w:val="18"/>
                <w:szCs w:val="18"/>
              </w:rPr>
              <w:t>of impact</w:t>
            </w:r>
          </w:p>
        </w:tc>
      </w:tr>
      <w:tr w:rsidR="008715BE" w:rsidRPr="00EC75B7" w14:paraId="433BA47E" w14:textId="77777777" w:rsidTr="00E90322">
        <w:trPr>
          <w:trHeight w:val="299"/>
        </w:trPr>
        <w:tc>
          <w:tcPr>
            <w:tcW w:w="2861" w:type="dxa"/>
            <w:vMerge/>
            <w:tcBorders>
              <w:top w:val="nil"/>
            </w:tcBorders>
            <w:shd w:val="clear" w:color="auto" w:fill="00AFEF"/>
          </w:tcPr>
          <w:p w14:paraId="118004D4" w14:textId="77777777" w:rsidR="008715BE" w:rsidRPr="00EC75B7" w:rsidRDefault="008715BE">
            <w:pPr>
              <w:rPr>
                <w:rFonts w:ascii="Verdana" w:hAnsi="Verdana"/>
                <w:sz w:val="18"/>
                <w:szCs w:val="18"/>
              </w:rPr>
            </w:pPr>
          </w:p>
        </w:tc>
        <w:tc>
          <w:tcPr>
            <w:tcW w:w="2522" w:type="dxa"/>
            <w:gridSpan w:val="3"/>
            <w:shd w:val="clear" w:color="auto" w:fill="F1F1F1"/>
          </w:tcPr>
          <w:p w14:paraId="7746042A" w14:textId="77777777" w:rsidR="008715BE" w:rsidRPr="00EC75B7" w:rsidRDefault="00000000">
            <w:pPr>
              <w:pStyle w:val="TableParagraph"/>
              <w:spacing w:before="55"/>
              <w:ind w:left="7"/>
              <w:jc w:val="center"/>
              <w:rPr>
                <w:rFonts w:ascii="Verdana" w:hAnsi="Verdana"/>
                <w:b/>
                <w:sz w:val="18"/>
                <w:szCs w:val="18"/>
              </w:rPr>
            </w:pPr>
            <w:r w:rsidRPr="00EC75B7">
              <w:rPr>
                <w:rFonts w:ascii="Verdana" w:hAnsi="Verdana"/>
                <w:b/>
                <w:spacing w:val="-10"/>
                <w:sz w:val="18"/>
                <w:szCs w:val="18"/>
              </w:rPr>
              <w:t>1</w:t>
            </w:r>
          </w:p>
        </w:tc>
        <w:tc>
          <w:tcPr>
            <w:tcW w:w="2510" w:type="dxa"/>
            <w:gridSpan w:val="5"/>
            <w:shd w:val="clear" w:color="auto" w:fill="BDD192"/>
          </w:tcPr>
          <w:p w14:paraId="541AC694" w14:textId="77777777" w:rsidR="008715BE" w:rsidRPr="00EC75B7" w:rsidRDefault="00000000">
            <w:pPr>
              <w:pStyle w:val="TableParagraph"/>
              <w:spacing w:before="55"/>
              <w:ind w:left="12"/>
              <w:jc w:val="center"/>
              <w:rPr>
                <w:rFonts w:ascii="Verdana" w:hAnsi="Verdana"/>
                <w:b/>
                <w:sz w:val="18"/>
                <w:szCs w:val="18"/>
              </w:rPr>
            </w:pPr>
            <w:r w:rsidRPr="00EC75B7">
              <w:rPr>
                <w:rFonts w:ascii="Verdana" w:hAnsi="Verdana"/>
                <w:b/>
                <w:spacing w:val="-10"/>
                <w:sz w:val="18"/>
                <w:szCs w:val="18"/>
              </w:rPr>
              <w:t>2</w:t>
            </w:r>
          </w:p>
        </w:tc>
        <w:tc>
          <w:tcPr>
            <w:tcW w:w="2860" w:type="dxa"/>
            <w:shd w:val="clear" w:color="auto" w:fill="FFE699"/>
          </w:tcPr>
          <w:p w14:paraId="2240F768" w14:textId="77777777" w:rsidR="008715BE" w:rsidRPr="00EC75B7" w:rsidRDefault="00000000">
            <w:pPr>
              <w:pStyle w:val="TableParagraph"/>
              <w:spacing w:before="55"/>
              <w:ind w:left="20"/>
              <w:jc w:val="center"/>
              <w:rPr>
                <w:rFonts w:ascii="Verdana" w:hAnsi="Verdana"/>
                <w:b/>
                <w:sz w:val="18"/>
                <w:szCs w:val="18"/>
              </w:rPr>
            </w:pPr>
            <w:r w:rsidRPr="00EC75B7">
              <w:rPr>
                <w:rFonts w:ascii="Verdana" w:hAnsi="Verdana"/>
                <w:b/>
                <w:spacing w:val="-10"/>
                <w:sz w:val="18"/>
                <w:szCs w:val="18"/>
              </w:rPr>
              <w:t>3</w:t>
            </w:r>
          </w:p>
        </w:tc>
        <w:tc>
          <w:tcPr>
            <w:tcW w:w="2266" w:type="dxa"/>
            <w:gridSpan w:val="2"/>
            <w:shd w:val="clear" w:color="auto" w:fill="EEB58D"/>
          </w:tcPr>
          <w:p w14:paraId="316009E1" w14:textId="77777777" w:rsidR="008715BE" w:rsidRPr="00EC75B7" w:rsidRDefault="00000000">
            <w:pPr>
              <w:pStyle w:val="TableParagraph"/>
              <w:spacing w:before="55"/>
              <w:ind w:left="25"/>
              <w:jc w:val="center"/>
              <w:rPr>
                <w:rFonts w:ascii="Verdana" w:hAnsi="Verdana"/>
                <w:b/>
                <w:sz w:val="18"/>
                <w:szCs w:val="18"/>
              </w:rPr>
            </w:pPr>
            <w:r w:rsidRPr="00EC75B7">
              <w:rPr>
                <w:rFonts w:ascii="Verdana" w:hAnsi="Verdana"/>
                <w:b/>
                <w:spacing w:val="-10"/>
                <w:sz w:val="18"/>
                <w:szCs w:val="18"/>
              </w:rPr>
              <w:t>4</w:t>
            </w:r>
          </w:p>
        </w:tc>
        <w:tc>
          <w:tcPr>
            <w:tcW w:w="2446" w:type="dxa"/>
            <w:shd w:val="clear" w:color="auto" w:fill="F7968D"/>
          </w:tcPr>
          <w:p w14:paraId="4C67BFF3" w14:textId="77777777" w:rsidR="008715BE" w:rsidRPr="00EC75B7" w:rsidRDefault="00000000">
            <w:pPr>
              <w:pStyle w:val="TableParagraph"/>
              <w:spacing w:before="55"/>
              <w:ind w:left="28"/>
              <w:jc w:val="center"/>
              <w:rPr>
                <w:rFonts w:ascii="Verdana" w:hAnsi="Verdana"/>
                <w:b/>
                <w:sz w:val="18"/>
                <w:szCs w:val="18"/>
              </w:rPr>
            </w:pPr>
            <w:r w:rsidRPr="00EC75B7">
              <w:rPr>
                <w:rFonts w:ascii="Verdana" w:hAnsi="Verdana"/>
                <w:b/>
                <w:spacing w:val="-10"/>
                <w:sz w:val="18"/>
                <w:szCs w:val="18"/>
              </w:rPr>
              <w:t>5</w:t>
            </w:r>
          </w:p>
        </w:tc>
      </w:tr>
      <w:tr w:rsidR="008715BE" w:rsidRPr="00EC75B7" w14:paraId="6042808E" w14:textId="77777777" w:rsidTr="00E90322">
        <w:trPr>
          <w:trHeight w:val="253"/>
        </w:trPr>
        <w:tc>
          <w:tcPr>
            <w:tcW w:w="2861" w:type="dxa"/>
            <w:vMerge/>
            <w:tcBorders>
              <w:top w:val="nil"/>
            </w:tcBorders>
            <w:shd w:val="clear" w:color="auto" w:fill="00AFEF"/>
          </w:tcPr>
          <w:p w14:paraId="62226018" w14:textId="77777777" w:rsidR="008715BE" w:rsidRPr="00EC75B7" w:rsidRDefault="008715BE">
            <w:pPr>
              <w:rPr>
                <w:rFonts w:ascii="Verdana" w:hAnsi="Verdana"/>
                <w:sz w:val="18"/>
                <w:szCs w:val="18"/>
              </w:rPr>
            </w:pPr>
          </w:p>
        </w:tc>
        <w:tc>
          <w:tcPr>
            <w:tcW w:w="2522" w:type="dxa"/>
            <w:gridSpan w:val="3"/>
            <w:shd w:val="clear" w:color="auto" w:fill="F1F1F1"/>
          </w:tcPr>
          <w:p w14:paraId="5BCD6F41" w14:textId="77777777" w:rsidR="008715BE" w:rsidRPr="00EC75B7" w:rsidRDefault="00000000">
            <w:pPr>
              <w:pStyle w:val="TableParagraph"/>
              <w:spacing w:before="33"/>
              <w:ind w:left="590"/>
              <w:rPr>
                <w:rFonts w:ascii="Verdana" w:hAnsi="Verdana"/>
                <w:b/>
                <w:sz w:val="18"/>
                <w:szCs w:val="18"/>
              </w:rPr>
            </w:pPr>
            <w:r w:rsidRPr="00EC75B7">
              <w:rPr>
                <w:rFonts w:ascii="Verdana" w:hAnsi="Verdana"/>
                <w:b/>
                <w:spacing w:val="-2"/>
                <w:sz w:val="18"/>
                <w:szCs w:val="18"/>
              </w:rPr>
              <w:t>Insignificant</w:t>
            </w:r>
          </w:p>
        </w:tc>
        <w:tc>
          <w:tcPr>
            <w:tcW w:w="2510" w:type="dxa"/>
            <w:gridSpan w:val="5"/>
            <w:shd w:val="clear" w:color="auto" w:fill="BDD192"/>
          </w:tcPr>
          <w:p w14:paraId="7331F816" w14:textId="77777777" w:rsidR="008715BE" w:rsidRPr="00EC75B7" w:rsidRDefault="00000000">
            <w:pPr>
              <w:pStyle w:val="TableParagraph"/>
              <w:spacing w:before="33"/>
              <w:ind w:left="12" w:right="1"/>
              <w:jc w:val="center"/>
              <w:rPr>
                <w:rFonts w:ascii="Verdana" w:hAnsi="Verdana"/>
                <w:b/>
                <w:sz w:val="18"/>
                <w:szCs w:val="18"/>
              </w:rPr>
            </w:pPr>
            <w:r w:rsidRPr="00EC75B7">
              <w:rPr>
                <w:rFonts w:ascii="Verdana" w:hAnsi="Verdana"/>
                <w:b/>
                <w:spacing w:val="-2"/>
                <w:sz w:val="18"/>
                <w:szCs w:val="18"/>
              </w:rPr>
              <w:t>Minor</w:t>
            </w:r>
          </w:p>
        </w:tc>
        <w:tc>
          <w:tcPr>
            <w:tcW w:w="2860" w:type="dxa"/>
            <w:shd w:val="clear" w:color="auto" w:fill="FFE699"/>
          </w:tcPr>
          <w:p w14:paraId="5F075E46" w14:textId="77777777" w:rsidR="008715BE" w:rsidRPr="00EC75B7" w:rsidRDefault="00000000">
            <w:pPr>
              <w:pStyle w:val="TableParagraph"/>
              <w:spacing w:before="33"/>
              <w:ind w:left="113"/>
              <w:rPr>
                <w:rFonts w:ascii="Verdana" w:hAnsi="Verdana"/>
                <w:b/>
                <w:sz w:val="18"/>
                <w:szCs w:val="18"/>
              </w:rPr>
            </w:pPr>
            <w:r w:rsidRPr="00EC75B7">
              <w:rPr>
                <w:rFonts w:ascii="Verdana" w:hAnsi="Verdana"/>
                <w:b/>
                <w:spacing w:val="-2"/>
                <w:sz w:val="18"/>
                <w:szCs w:val="18"/>
              </w:rPr>
              <w:t>Moderate</w:t>
            </w:r>
          </w:p>
        </w:tc>
        <w:tc>
          <w:tcPr>
            <w:tcW w:w="2266" w:type="dxa"/>
            <w:gridSpan w:val="2"/>
            <w:shd w:val="clear" w:color="auto" w:fill="EEB58D"/>
          </w:tcPr>
          <w:p w14:paraId="38B88E0E" w14:textId="77777777" w:rsidR="008715BE" w:rsidRPr="00EC75B7" w:rsidRDefault="00000000">
            <w:pPr>
              <w:pStyle w:val="TableParagraph"/>
              <w:spacing w:before="33"/>
              <w:ind w:left="25" w:right="3"/>
              <w:jc w:val="center"/>
              <w:rPr>
                <w:rFonts w:ascii="Verdana" w:hAnsi="Verdana"/>
                <w:b/>
                <w:sz w:val="18"/>
                <w:szCs w:val="18"/>
              </w:rPr>
            </w:pPr>
            <w:r w:rsidRPr="00EC75B7">
              <w:rPr>
                <w:rFonts w:ascii="Verdana" w:hAnsi="Verdana"/>
                <w:b/>
                <w:spacing w:val="-2"/>
                <w:sz w:val="18"/>
                <w:szCs w:val="18"/>
              </w:rPr>
              <w:t>Major</w:t>
            </w:r>
          </w:p>
        </w:tc>
        <w:tc>
          <w:tcPr>
            <w:tcW w:w="2446" w:type="dxa"/>
            <w:shd w:val="clear" w:color="auto" w:fill="F7968D"/>
          </w:tcPr>
          <w:p w14:paraId="1B2E74C6" w14:textId="77777777" w:rsidR="008715BE" w:rsidRPr="00EC75B7" w:rsidRDefault="00000000">
            <w:pPr>
              <w:pStyle w:val="TableParagraph"/>
              <w:spacing w:before="33"/>
              <w:ind w:left="736"/>
              <w:rPr>
                <w:rFonts w:ascii="Verdana" w:hAnsi="Verdana"/>
                <w:b/>
                <w:sz w:val="18"/>
                <w:szCs w:val="18"/>
              </w:rPr>
            </w:pPr>
            <w:r w:rsidRPr="00EC75B7">
              <w:rPr>
                <w:rFonts w:ascii="Verdana" w:hAnsi="Verdana"/>
                <w:b/>
                <w:spacing w:val="-2"/>
                <w:sz w:val="18"/>
                <w:szCs w:val="18"/>
              </w:rPr>
              <w:t>Catastrophic</w:t>
            </w:r>
          </w:p>
        </w:tc>
      </w:tr>
      <w:tr w:rsidR="008715BE" w:rsidRPr="00EC75B7" w14:paraId="4199D18A" w14:textId="77777777" w:rsidTr="00E90322">
        <w:trPr>
          <w:trHeight w:val="2522"/>
        </w:trPr>
        <w:tc>
          <w:tcPr>
            <w:tcW w:w="2861" w:type="dxa"/>
            <w:shd w:val="clear" w:color="auto" w:fill="00AFEF"/>
          </w:tcPr>
          <w:p w14:paraId="724AC35D" w14:textId="77777777" w:rsidR="008715BE" w:rsidRPr="00EC75B7" w:rsidRDefault="008715BE">
            <w:pPr>
              <w:pStyle w:val="TableParagraph"/>
              <w:rPr>
                <w:rFonts w:ascii="Verdana" w:hAnsi="Verdana"/>
                <w:b/>
                <w:sz w:val="18"/>
                <w:szCs w:val="18"/>
              </w:rPr>
            </w:pPr>
          </w:p>
          <w:p w14:paraId="3935C9B0" w14:textId="77777777" w:rsidR="008715BE" w:rsidRPr="00EC75B7" w:rsidRDefault="008715BE">
            <w:pPr>
              <w:pStyle w:val="TableParagraph"/>
              <w:rPr>
                <w:rFonts w:ascii="Verdana" w:hAnsi="Verdana"/>
                <w:b/>
                <w:sz w:val="18"/>
                <w:szCs w:val="18"/>
              </w:rPr>
            </w:pPr>
          </w:p>
          <w:p w14:paraId="5F872500" w14:textId="77777777" w:rsidR="008715BE" w:rsidRPr="00EC75B7" w:rsidRDefault="008715BE">
            <w:pPr>
              <w:pStyle w:val="TableParagraph"/>
              <w:rPr>
                <w:rFonts w:ascii="Verdana" w:hAnsi="Verdana"/>
                <w:b/>
                <w:sz w:val="18"/>
                <w:szCs w:val="18"/>
              </w:rPr>
            </w:pPr>
          </w:p>
          <w:p w14:paraId="5EA35674" w14:textId="77777777" w:rsidR="008715BE" w:rsidRPr="00EC75B7" w:rsidRDefault="008715BE">
            <w:pPr>
              <w:pStyle w:val="TableParagraph"/>
              <w:rPr>
                <w:rFonts w:ascii="Verdana" w:hAnsi="Verdana"/>
                <w:b/>
                <w:sz w:val="18"/>
                <w:szCs w:val="18"/>
              </w:rPr>
            </w:pPr>
          </w:p>
          <w:p w14:paraId="3B3877BB" w14:textId="77777777" w:rsidR="008715BE" w:rsidRPr="00EC75B7" w:rsidRDefault="008715BE">
            <w:pPr>
              <w:pStyle w:val="TableParagraph"/>
              <w:spacing w:before="180"/>
              <w:rPr>
                <w:rFonts w:ascii="Verdana" w:hAnsi="Verdana"/>
                <w:b/>
                <w:sz w:val="18"/>
                <w:szCs w:val="18"/>
              </w:rPr>
            </w:pPr>
          </w:p>
          <w:p w14:paraId="005627BD"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z w:val="18"/>
                <w:szCs w:val="18"/>
              </w:rPr>
              <w:t xml:space="preserve">RA1: Damage to </w:t>
            </w:r>
            <w:r w:rsidRPr="00EC75B7">
              <w:rPr>
                <w:rFonts w:ascii="Verdana" w:hAnsi="Verdana"/>
                <w:b/>
                <w:color w:val="FFFFFF"/>
                <w:spacing w:val="-2"/>
                <w:sz w:val="18"/>
                <w:szCs w:val="18"/>
              </w:rPr>
              <w:t>assets/processes</w:t>
            </w:r>
          </w:p>
        </w:tc>
        <w:tc>
          <w:tcPr>
            <w:tcW w:w="2522" w:type="dxa"/>
            <w:gridSpan w:val="3"/>
          </w:tcPr>
          <w:p w14:paraId="043F393B" w14:textId="77777777" w:rsidR="008715BE" w:rsidRPr="00EC75B7" w:rsidRDefault="00000000">
            <w:pPr>
              <w:pStyle w:val="TableParagraph"/>
              <w:tabs>
                <w:tab w:val="left" w:pos="873"/>
                <w:tab w:val="left" w:pos="1007"/>
                <w:tab w:val="left" w:pos="1504"/>
                <w:tab w:val="left" w:pos="1970"/>
              </w:tabs>
              <w:ind w:left="105" w:right="96"/>
              <w:jc w:val="both"/>
              <w:rPr>
                <w:rFonts w:ascii="Verdana" w:hAnsi="Verdana"/>
                <w:sz w:val="18"/>
                <w:szCs w:val="18"/>
              </w:rPr>
            </w:pPr>
            <w:r w:rsidRPr="00EC75B7">
              <w:rPr>
                <w:rFonts w:ascii="Verdana" w:hAnsi="Verdana"/>
                <w:b/>
                <w:sz w:val="18"/>
                <w:szCs w:val="18"/>
              </w:rPr>
              <w:t xml:space="preserve">Qualitative: </w:t>
            </w:r>
            <w:r w:rsidRPr="00EC75B7">
              <w:rPr>
                <w:rFonts w:ascii="Verdana" w:hAnsi="Verdana"/>
                <w:sz w:val="18"/>
                <w:szCs w:val="18"/>
              </w:rPr>
              <w:t xml:space="preserve">Impact can be absorbed through normal activity, with possible minor </w:t>
            </w:r>
            <w:r w:rsidRPr="00EC75B7">
              <w:rPr>
                <w:rFonts w:ascii="Verdana" w:hAnsi="Verdana"/>
                <w:spacing w:val="-2"/>
                <w:sz w:val="18"/>
                <w:szCs w:val="18"/>
              </w:rPr>
              <w:t>damage</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minor</w:t>
            </w:r>
            <w:r w:rsidRPr="00EC75B7">
              <w:rPr>
                <w:rFonts w:ascii="Verdana" w:hAnsi="Verdana"/>
                <w:sz w:val="18"/>
                <w:szCs w:val="18"/>
              </w:rPr>
              <w:tab/>
            </w:r>
            <w:r w:rsidRPr="00EC75B7">
              <w:rPr>
                <w:rFonts w:ascii="Verdana" w:hAnsi="Verdana"/>
                <w:sz w:val="18"/>
                <w:szCs w:val="18"/>
              </w:rPr>
              <w:tab/>
            </w:r>
            <w:r w:rsidRPr="00EC75B7">
              <w:rPr>
                <w:rFonts w:ascii="Verdana" w:hAnsi="Verdana"/>
                <w:spacing w:val="-2"/>
                <w:sz w:val="18"/>
                <w:szCs w:val="18"/>
              </w:rPr>
              <w:t xml:space="preserve">to </w:t>
            </w:r>
            <w:r w:rsidRPr="00EC75B7">
              <w:rPr>
                <w:rFonts w:ascii="Verdana" w:hAnsi="Verdana"/>
                <w:sz w:val="18"/>
                <w:szCs w:val="18"/>
              </w:rPr>
              <w:t xml:space="preserve">components, with no consequences for project operation. </w:t>
            </w:r>
            <w:r w:rsidRPr="00EC75B7">
              <w:rPr>
                <w:rFonts w:ascii="Verdana" w:hAnsi="Verdana"/>
                <w:b/>
                <w:sz w:val="18"/>
                <w:szCs w:val="18"/>
              </w:rPr>
              <w:t xml:space="preserve">Quantitative: </w:t>
            </w:r>
            <w:r w:rsidRPr="00EC75B7">
              <w:rPr>
                <w:rFonts w:ascii="Verdana" w:hAnsi="Verdana"/>
                <w:sz w:val="18"/>
                <w:szCs w:val="18"/>
              </w:rPr>
              <w:t xml:space="preserve">Damage &lt; 5% of </w:t>
            </w:r>
            <w:r w:rsidRPr="00EC75B7">
              <w:rPr>
                <w:rFonts w:ascii="Verdana" w:hAnsi="Verdana"/>
                <w:spacing w:val="-2"/>
                <w:sz w:val="18"/>
                <w:szCs w:val="18"/>
              </w:rPr>
              <w:t xml:space="preserve">total project </w:t>
            </w:r>
            <w:r w:rsidRPr="00EC75B7">
              <w:rPr>
                <w:rFonts w:ascii="Verdana" w:hAnsi="Verdana"/>
                <w:sz w:val="18"/>
                <w:szCs w:val="18"/>
              </w:rPr>
              <w:t>cost</w:t>
            </w:r>
            <w:r w:rsidRPr="00EC75B7">
              <w:rPr>
                <w:rFonts w:ascii="Verdana" w:hAnsi="Verdana"/>
                <w:sz w:val="18"/>
                <w:szCs w:val="18"/>
              </w:rPr>
              <w:tab/>
            </w:r>
            <w:r w:rsidRPr="00EC75B7">
              <w:rPr>
                <w:rFonts w:ascii="Verdana" w:hAnsi="Verdana"/>
                <w:spacing w:val="-6"/>
                <w:sz w:val="18"/>
                <w:szCs w:val="18"/>
              </w:rPr>
              <w:t>of</w:t>
            </w:r>
            <w:r w:rsidRPr="00EC75B7">
              <w:rPr>
                <w:rFonts w:ascii="Verdana" w:hAnsi="Verdana"/>
                <w:sz w:val="18"/>
                <w:szCs w:val="18"/>
              </w:rPr>
              <w:tab/>
            </w:r>
            <w:r w:rsidRPr="00EC75B7">
              <w:rPr>
                <w:rFonts w:ascii="Verdana" w:hAnsi="Verdana"/>
                <w:spacing w:val="-2"/>
                <w:sz w:val="18"/>
                <w:szCs w:val="18"/>
              </w:rPr>
              <w:t xml:space="preserve">reconstruction. </w:t>
            </w:r>
            <w:r w:rsidRPr="00EC75B7">
              <w:rPr>
                <w:rFonts w:ascii="Verdana" w:hAnsi="Verdana"/>
                <w:sz w:val="18"/>
                <w:szCs w:val="18"/>
              </w:rPr>
              <w:t>Immediate recovery possible.</w:t>
            </w:r>
          </w:p>
        </w:tc>
        <w:tc>
          <w:tcPr>
            <w:tcW w:w="2510" w:type="dxa"/>
            <w:gridSpan w:val="5"/>
          </w:tcPr>
          <w:p w14:paraId="08834F6D" w14:textId="77777777" w:rsidR="008715BE" w:rsidRPr="00EC75B7" w:rsidRDefault="00000000">
            <w:pPr>
              <w:pStyle w:val="TableParagraph"/>
              <w:tabs>
                <w:tab w:val="left" w:pos="1016"/>
                <w:tab w:val="left" w:pos="1774"/>
              </w:tabs>
              <w:ind w:left="106" w:right="90"/>
              <w:jc w:val="both"/>
              <w:rPr>
                <w:rFonts w:ascii="Verdana" w:hAnsi="Verdana"/>
                <w:sz w:val="18"/>
                <w:szCs w:val="18"/>
              </w:rPr>
            </w:pPr>
            <w:r w:rsidRPr="00EC75B7">
              <w:rPr>
                <w:rFonts w:ascii="Verdana" w:hAnsi="Verdana"/>
                <w:b/>
                <w:sz w:val="18"/>
                <w:szCs w:val="18"/>
              </w:rPr>
              <w:t xml:space="preserve">Qualitative: </w:t>
            </w:r>
            <w:r w:rsidRPr="00EC75B7">
              <w:rPr>
                <w:rFonts w:ascii="Verdana" w:hAnsi="Verdana"/>
                <w:sz w:val="18"/>
                <w:szCs w:val="18"/>
              </w:rPr>
              <w:t xml:space="preserve">Adverse event that can be absorbed through </w:t>
            </w:r>
            <w:r w:rsidRPr="00EC75B7">
              <w:rPr>
                <w:rFonts w:ascii="Verdana" w:hAnsi="Verdana"/>
                <w:spacing w:val="-2"/>
                <w:sz w:val="18"/>
                <w:szCs w:val="18"/>
              </w:rPr>
              <w:t>routine</w:t>
            </w:r>
            <w:r w:rsidRPr="00EC75B7">
              <w:rPr>
                <w:rFonts w:ascii="Verdana" w:hAnsi="Verdana"/>
                <w:sz w:val="18"/>
                <w:szCs w:val="18"/>
              </w:rPr>
              <w:t xml:space="preserve"> activities</w:t>
            </w:r>
            <w:r w:rsidRPr="00EC75B7">
              <w:rPr>
                <w:rFonts w:ascii="Verdana" w:hAnsi="Verdana"/>
                <w:sz w:val="18"/>
                <w:szCs w:val="18"/>
              </w:rPr>
              <w:tab/>
            </w:r>
            <w:r w:rsidRPr="00EC75B7">
              <w:rPr>
                <w:rFonts w:ascii="Verdana" w:hAnsi="Verdana"/>
                <w:spacing w:val="-4"/>
                <w:sz w:val="18"/>
                <w:szCs w:val="18"/>
              </w:rPr>
              <w:t>(e.g.</w:t>
            </w:r>
            <w:r w:rsidRPr="00EC75B7">
              <w:rPr>
                <w:rFonts w:ascii="Verdana" w:hAnsi="Verdana"/>
                <w:sz w:val="18"/>
                <w:szCs w:val="18"/>
              </w:rPr>
              <w:tab/>
            </w:r>
            <w:r w:rsidRPr="00EC75B7">
              <w:rPr>
                <w:rFonts w:ascii="Verdana" w:hAnsi="Verdana"/>
                <w:spacing w:val="-2"/>
                <w:sz w:val="18"/>
                <w:szCs w:val="18"/>
              </w:rPr>
              <w:t xml:space="preserve">use </w:t>
            </w:r>
            <w:r w:rsidRPr="00EC75B7">
              <w:rPr>
                <w:rFonts w:ascii="Verdana" w:hAnsi="Verdana"/>
                <w:sz w:val="18"/>
                <w:szCs w:val="18"/>
              </w:rPr>
              <w:t xml:space="preserve">of redundancies), with minor consequences on operation. </w:t>
            </w:r>
            <w:r w:rsidRPr="00EC75B7">
              <w:rPr>
                <w:rFonts w:ascii="Verdana" w:hAnsi="Verdana"/>
                <w:b/>
                <w:sz w:val="18"/>
                <w:szCs w:val="18"/>
              </w:rPr>
              <w:t xml:space="preserve">Quantitative: </w:t>
            </w:r>
            <w:r w:rsidRPr="00EC75B7">
              <w:rPr>
                <w:rFonts w:ascii="Verdana" w:hAnsi="Verdana"/>
                <w:sz w:val="18"/>
                <w:szCs w:val="18"/>
              </w:rPr>
              <w:t>Damage 5–10%. Recovery within a few days (1–2 days).</w:t>
            </w:r>
          </w:p>
        </w:tc>
        <w:tc>
          <w:tcPr>
            <w:tcW w:w="2860" w:type="dxa"/>
          </w:tcPr>
          <w:p w14:paraId="308AB2EB" w14:textId="77777777" w:rsidR="008715BE" w:rsidRPr="00EC75B7" w:rsidRDefault="00000000">
            <w:pPr>
              <w:pStyle w:val="TableParagraph"/>
              <w:ind w:left="113" w:right="89"/>
              <w:jc w:val="both"/>
              <w:rPr>
                <w:rFonts w:ascii="Verdana" w:hAnsi="Verdana"/>
                <w:sz w:val="18"/>
                <w:szCs w:val="18"/>
              </w:rPr>
            </w:pPr>
            <w:r w:rsidRPr="00EC75B7">
              <w:rPr>
                <w:rFonts w:ascii="Verdana" w:hAnsi="Verdana"/>
                <w:b/>
                <w:sz w:val="18"/>
                <w:szCs w:val="18"/>
              </w:rPr>
              <w:t xml:space="preserve">Qualitative: </w:t>
            </w:r>
            <w:r w:rsidRPr="00EC75B7">
              <w:rPr>
                <w:rFonts w:ascii="Verdana" w:hAnsi="Verdana"/>
                <w:sz w:val="18"/>
                <w:szCs w:val="18"/>
              </w:rPr>
              <w:t xml:space="preserve">Serious event requiring additional emergency and business continuity actions, with moderate consequences on operations. </w:t>
            </w:r>
            <w:r w:rsidRPr="00EC75B7">
              <w:rPr>
                <w:rFonts w:ascii="Verdana" w:hAnsi="Verdana"/>
                <w:b/>
                <w:sz w:val="18"/>
                <w:szCs w:val="18"/>
              </w:rPr>
              <w:t xml:space="preserve">Quantitative: </w:t>
            </w:r>
            <w:r w:rsidRPr="00EC75B7">
              <w:rPr>
                <w:rFonts w:ascii="Verdana" w:hAnsi="Verdana"/>
                <w:sz w:val="18"/>
                <w:szCs w:val="18"/>
              </w:rPr>
              <w:t>Damage 10–25%. Recovery in a few days (5–10 days).</w:t>
            </w:r>
          </w:p>
        </w:tc>
        <w:tc>
          <w:tcPr>
            <w:tcW w:w="2266" w:type="dxa"/>
            <w:gridSpan w:val="2"/>
          </w:tcPr>
          <w:p w14:paraId="53FEBC5F" w14:textId="77777777" w:rsidR="008715BE" w:rsidRPr="00EC75B7" w:rsidRDefault="00000000">
            <w:pPr>
              <w:pStyle w:val="TableParagraph"/>
              <w:ind w:left="114" w:right="86"/>
              <w:jc w:val="both"/>
              <w:rPr>
                <w:rFonts w:ascii="Verdana" w:hAnsi="Verdana"/>
                <w:sz w:val="18"/>
                <w:szCs w:val="18"/>
              </w:rPr>
            </w:pPr>
            <w:r w:rsidRPr="00EC75B7">
              <w:rPr>
                <w:rFonts w:ascii="Verdana" w:hAnsi="Verdana"/>
                <w:b/>
                <w:sz w:val="18"/>
                <w:szCs w:val="18"/>
              </w:rPr>
              <w:t xml:space="preserve">Qualitative: </w:t>
            </w:r>
            <w:r w:rsidRPr="00EC75B7">
              <w:rPr>
                <w:rFonts w:ascii="Verdana" w:hAnsi="Verdana"/>
                <w:sz w:val="18"/>
                <w:szCs w:val="18"/>
              </w:rPr>
              <w:t xml:space="preserve">Critical event requiring extraordinary business continuity actions, with significant consequences for operations. </w:t>
            </w:r>
            <w:r w:rsidRPr="00EC75B7">
              <w:rPr>
                <w:rFonts w:ascii="Verdana" w:hAnsi="Verdana"/>
                <w:b/>
                <w:sz w:val="18"/>
                <w:szCs w:val="18"/>
              </w:rPr>
              <w:t xml:space="preserve">Quantitative: </w:t>
            </w:r>
            <w:r w:rsidRPr="00EC75B7">
              <w:rPr>
                <w:rFonts w:ascii="Verdana" w:hAnsi="Verdana"/>
                <w:sz w:val="18"/>
                <w:szCs w:val="18"/>
              </w:rPr>
              <w:t xml:space="preserve">Damage up to ~50%. Slow recovery (e.g., 20–100 </w:t>
            </w:r>
            <w:r w:rsidRPr="00EC75B7">
              <w:rPr>
                <w:rFonts w:ascii="Verdana" w:hAnsi="Verdana"/>
                <w:spacing w:val="-2"/>
                <w:sz w:val="18"/>
                <w:szCs w:val="18"/>
              </w:rPr>
              <w:t>days).</w:t>
            </w:r>
          </w:p>
        </w:tc>
        <w:tc>
          <w:tcPr>
            <w:tcW w:w="2446" w:type="dxa"/>
          </w:tcPr>
          <w:p w14:paraId="6E8D6648" w14:textId="77777777" w:rsidR="008715BE" w:rsidRPr="00EC75B7" w:rsidRDefault="00000000">
            <w:pPr>
              <w:pStyle w:val="TableParagraph"/>
              <w:ind w:left="116" w:right="82"/>
              <w:jc w:val="both"/>
              <w:rPr>
                <w:rFonts w:ascii="Verdana" w:hAnsi="Verdana"/>
                <w:sz w:val="18"/>
                <w:szCs w:val="18"/>
              </w:rPr>
            </w:pPr>
            <w:r w:rsidRPr="00EC75B7">
              <w:rPr>
                <w:rFonts w:ascii="Verdana" w:hAnsi="Verdana"/>
                <w:b/>
                <w:sz w:val="18"/>
                <w:szCs w:val="18"/>
              </w:rPr>
              <w:t xml:space="preserve">Qualitative: </w:t>
            </w:r>
            <w:r w:rsidRPr="00EC75B7">
              <w:rPr>
                <w:rFonts w:ascii="Verdana" w:hAnsi="Verdana"/>
                <w:sz w:val="18"/>
                <w:szCs w:val="18"/>
              </w:rPr>
              <w:t xml:space="preserve">Disaster with the potential to halt operations, collapse, or loss of assets/network. </w:t>
            </w:r>
            <w:r w:rsidRPr="00EC75B7">
              <w:rPr>
                <w:rFonts w:ascii="Verdana" w:hAnsi="Verdana"/>
                <w:b/>
                <w:sz w:val="18"/>
                <w:szCs w:val="18"/>
              </w:rPr>
              <w:t xml:space="preserve">Quantitative: </w:t>
            </w:r>
            <w:r w:rsidRPr="00EC75B7">
              <w:rPr>
                <w:rFonts w:ascii="Verdana" w:hAnsi="Verdana"/>
                <w:sz w:val="18"/>
                <w:szCs w:val="18"/>
              </w:rPr>
              <w:t>Damage &gt; 50%. Recovery time undetermined.</w:t>
            </w:r>
          </w:p>
        </w:tc>
      </w:tr>
      <w:tr w:rsidR="008715BE" w:rsidRPr="00EC75B7" w14:paraId="07822312" w14:textId="77777777" w:rsidTr="00E90322">
        <w:trPr>
          <w:trHeight w:val="599"/>
        </w:trPr>
        <w:tc>
          <w:tcPr>
            <w:tcW w:w="2861" w:type="dxa"/>
            <w:shd w:val="clear" w:color="auto" w:fill="00AFEF"/>
          </w:tcPr>
          <w:p w14:paraId="45087EDD" w14:textId="77777777" w:rsidR="008715BE" w:rsidRPr="00EC75B7" w:rsidRDefault="00000000">
            <w:pPr>
              <w:pStyle w:val="TableParagraph"/>
              <w:spacing w:before="194"/>
              <w:ind w:left="107"/>
              <w:rPr>
                <w:rFonts w:ascii="Verdana" w:hAnsi="Verdana"/>
                <w:b/>
                <w:sz w:val="18"/>
                <w:szCs w:val="18"/>
              </w:rPr>
            </w:pPr>
            <w:r w:rsidRPr="00EC75B7">
              <w:rPr>
                <w:rFonts w:ascii="Verdana" w:hAnsi="Verdana"/>
                <w:b/>
                <w:color w:val="FFFFFF"/>
                <w:sz w:val="18"/>
                <w:szCs w:val="18"/>
              </w:rPr>
              <w:t xml:space="preserve">RA2: Health and </w:t>
            </w:r>
            <w:r w:rsidRPr="00EC75B7">
              <w:rPr>
                <w:rFonts w:ascii="Verdana" w:hAnsi="Verdana"/>
                <w:b/>
                <w:color w:val="FFFFFF"/>
                <w:spacing w:val="-2"/>
                <w:sz w:val="18"/>
                <w:szCs w:val="18"/>
              </w:rPr>
              <w:t>safety</w:t>
            </w:r>
          </w:p>
        </w:tc>
        <w:tc>
          <w:tcPr>
            <w:tcW w:w="2522" w:type="dxa"/>
            <w:gridSpan w:val="3"/>
          </w:tcPr>
          <w:p w14:paraId="71F7B50E" w14:textId="77777777" w:rsidR="008715BE" w:rsidRPr="00EC75B7" w:rsidRDefault="00000000">
            <w:pPr>
              <w:pStyle w:val="TableParagraph"/>
              <w:spacing w:line="188" w:lineRule="exact"/>
              <w:ind w:left="105"/>
              <w:rPr>
                <w:rFonts w:ascii="Verdana" w:hAnsi="Verdana"/>
                <w:sz w:val="18"/>
                <w:szCs w:val="18"/>
              </w:rPr>
            </w:pPr>
            <w:r w:rsidRPr="00EC75B7">
              <w:rPr>
                <w:rFonts w:ascii="Verdana" w:hAnsi="Verdana"/>
                <w:sz w:val="18"/>
                <w:szCs w:val="18"/>
              </w:rPr>
              <w:t xml:space="preserve">First </w:t>
            </w:r>
            <w:r w:rsidRPr="00EC75B7">
              <w:rPr>
                <w:rFonts w:ascii="Verdana" w:hAnsi="Verdana"/>
                <w:spacing w:val="-2"/>
                <w:sz w:val="18"/>
                <w:szCs w:val="18"/>
              </w:rPr>
              <w:t xml:space="preserve">aid </w:t>
            </w:r>
            <w:r w:rsidRPr="00EC75B7">
              <w:rPr>
                <w:rFonts w:ascii="Verdana" w:hAnsi="Verdana"/>
                <w:sz w:val="18"/>
                <w:szCs w:val="18"/>
              </w:rPr>
              <w:t>case</w:t>
            </w:r>
            <w:r w:rsidRPr="00EC75B7">
              <w:rPr>
                <w:rFonts w:ascii="Verdana" w:hAnsi="Verdana"/>
                <w:spacing w:val="-2"/>
                <w:sz w:val="18"/>
                <w:szCs w:val="18"/>
              </w:rPr>
              <w:t>.</w:t>
            </w:r>
          </w:p>
        </w:tc>
        <w:tc>
          <w:tcPr>
            <w:tcW w:w="810" w:type="dxa"/>
            <w:tcBorders>
              <w:right w:val="nil"/>
            </w:tcBorders>
          </w:tcPr>
          <w:p w14:paraId="46E9D2F2" w14:textId="79573EF5" w:rsidR="008715BE" w:rsidRPr="00EC75B7" w:rsidRDefault="00E90322" w:rsidP="00E90322">
            <w:pPr>
              <w:pStyle w:val="TableParagraph"/>
              <w:ind w:left="106" w:right="-1530"/>
              <w:rPr>
                <w:rFonts w:ascii="Verdana" w:hAnsi="Verdana"/>
                <w:sz w:val="18"/>
                <w:szCs w:val="18"/>
              </w:rPr>
            </w:pPr>
            <w:r>
              <w:rPr>
                <w:rFonts w:ascii="Verdana" w:hAnsi="Verdana"/>
                <w:sz w:val="18"/>
                <w:szCs w:val="18"/>
              </w:rPr>
              <w:t>Medical tr</w:t>
            </w:r>
          </w:p>
        </w:tc>
        <w:tc>
          <w:tcPr>
            <w:tcW w:w="271" w:type="dxa"/>
            <w:tcBorders>
              <w:left w:val="nil"/>
              <w:right w:val="nil"/>
            </w:tcBorders>
          </w:tcPr>
          <w:p w14:paraId="134E674E" w14:textId="251D26D6" w:rsidR="008715BE" w:rsidRPr="00EC75B7" w:rsidRDefault="008715BE" w:rsidP="00E90322">
            <w:pPr>
              <w:pStyle w:val="TableParagraph"/>
              <w:spacing w:line="188" w:lineRule="exact"/>
              <w:ind w:left="-720" w:right="-830"/>
              <w:rPr>
                <w:rFonts w:ascii="Verdana" w:hAnsi="Verdana"/>
                <w:sz w:val="18"/>
                <w:szCs w:val="18"/>
              </w:rPr>
            </w:pPr>
          </w:p>
        </w:tc>
        <w:tc>
          <w:tcPr>
            <w:tcW w:w="450" w:type="dxa"/>
            <w:tcBorders>
              <w:left w:val="nil"/>
              <w:right w:val="nil"/>
            </w:tcBorders>
          </w:tcPr>
          <w:p w14:paraId="41DDE990" w14:textId="5E38C1F4" w:rsidR="008715BE" w:rsidRPr="00EC75B7" w:rsidRDefault="00E90322" w:rsidP="00E90322">
            <w:pPr>
              <w:pStyle w:val="TableParagraph"/>
              <w:ind w:right="-910"/>
              <w:rPr>
                <w:rFonts w:ascii="Verdana" w:hAnsi="Verdana"/>
                <w:sz w:val="18"/>
                <w:szCs w:val="18"/>
              </w:rPr>
            </w:pPr>
            <w:r>
              <w:rPr>
                <w:rFonts w:ascii="Verdana" w:hAnsi="Verdana"/>
                <w:sz w:val="18"/>
                <w:szCs w:val="18"/>
              </w:rPr>
              <w:t>treatme</w:t>
            </w:r>
          </w:p>
        </w:tc>
        <w:tc>
          <w:tcPr>
            <w:tcW w:w="979" w:type="dxa"/>
            <w:gridSpan w:val="2"/>
            <w:tcBorders>
              <w:left w:val="nil"/>
            </w:tcBorders>
          </w:tcPr>
          <w:p w14:paraId="79560510" w14:textId="272E273A" w:rsidR="008715BE" w:rsidRPr="00E90322" w:rsidRDefault="00E90322" w:rsidP="00E90322">
            <w:pPr>
              <w:pStyle w:val="TableParagraph"/>
              <w:spacing w:line="188" w:lineRule="exact"/>
              <w:rPr>
                <w:rFonts w:ascii="Verdana" w:hAnsi="Verdana"/>
                <w:sz w:val="18"/>
                <w:szCs w:val="18"/>
              </w:rPr>
            </w:pPr>
            <w:r w:rsidRPr="00E90322">
              <w:rPr>
                <w:rFonts w:ascii="Verdana" w:hAnsi="Verdana"/>
                <w:sz w:val="18"/>
                <w:szCs w:val="18"/>
              </w:rPr>
              <w:t>ment</w:t>
            </w:r>
          </w:p>
        </w:tc>
        <w:tc>
          <w:tcPr>
            <w:tcW w:w="2860" w:type="dxa"/>
          </w:tcPr>
          <w:p w14:paraId="740D2926" w14:textId="72DA0921" w:rsidR="008715BE" w:rsidRPr="00EC75B7" w:rsidRDefault="00000000">
            <w:pPr>
              <w:pStyle w:val="TableParagraph"/>
              <w:tabs>
                <w:tab w:val="left" w:pos="936"/>
                <w:tab w:val="left" w:pos="1478"/>
                <w:tab w:val="left" w:pos="1960"/>
              </w:tabs>
              <w:spacing w:line="187" w:lineRule="exact"/>
              <w:ind w:left="113"/>
              <w:rPr>
                <w:rFonts w:ascii="Verdana" w:hAnsi="Verdana"/>
                <w:sz w:val="18"/>
                <w:szCs w:val="18"/>
              </w:rPr>
            </w:pPr>
            <w:r w:rsidRPr="00EC75B7">
              <w:rPr>
                <w:rFonts w:ascii="Verdana" w:hAnsi="Verdana"/>
                <w:spacing w:val="-2"/>
                <w:sz w:val="18"/>
                <w:szCs w:val="18"/>
              </w:rPr>
              <w:t>Accident</w:t>
            </w:r>
            <w:r w:rsidRPr="00EC75B7">
              <w:rPr>
                <w:rFonts w:ascii="Verdana" w:hAnsi="Verdana"/>
                <w:sz w:val="18"/>
                <w:szCs w:val="18"/>
              </w:rPr>
              <w:tab/>
            </w:r>
            <w:r w:rsidRPr="00EC75B7">
              <w:rPr>
                <w:rFonts w:ascii="Verdana" w:hAnsi="Verdana"/>
                <w:spacing w:val="-4"/>
                <w:sz w:val="18"/>
                <w:szCs w:val="18"/>
              </w:rPr>
              <w:t>Serious</w:t>
            </w:r>
            <w:r w:rsidRPr="00EC75B7">
              <w:rPr>
                <w:rFonts w:ascii="Verdana" w:hAnsi="Verdana"/>
                <w:sz w:val="18"/>
                <w:szCs w:val="18"/>
              </w:rPr>
              <w:tab/>
            </w:r>
            <w:r w:rsidRPr="00EC75B7">
              <w:rPr>
                <w:rFonts w:ascii="Verdana" w:hAnsi="Verdana"/>
                <w:spacing w:val="-5"/>
                <w:sz w:val="18"/>
                <w:szCs w:val="18"/>
              </w:rPr>
              <w:t>or</w:t>
            </w:r>
            <w:r w:rsidR="00E90322">
              <w:rPr>
                <w:rFonts w:ascii="Verdana" w:hAnsi="Verdana"/>
                <w:sz w:val="18"/>
                <w:szCs w:val="18"/>
              </w:rPr>
              <w:t xml:space="preserve"> </w:t>
            </w:r>
            <w:r w:rsidRPr="00EC75B7">
              <w:rPr>
                <w:rFonts w:ascii="Verdana" w:hAnsi="Verdana"/>
                <w:spacing w:val="-2"/>
                <w:sz w:val="18"/>
                <w:szCs w:val="18"/>
              </w:rPr>
              <w:t>temporary</w:t>
            </w:r>
          </w:p>
          <w:p w14:paraId="37F09E33" w14:textId="77777777" w:rsidR="008715BE" w:rsidRPr="00EC75B7" w:rsidRDefault="00000000">
            <w:pPr>
              <w:pStyle w:val="TableParagraph"/>
              <w:spacing w:line="195" w:lineRule="exact"/>
              <w:ind w:left="113"/>
              <w:rPr>
                <w:rFonts w:ascii="Verdana" w:hAnsi="Verdana"/>
                <w:sz w:val="18"/>
                <w:szCs w:val="18"/>
              </w:rPr>
            </w:pPr>
            <w:r w:rsidRPr="00EC75B7">
              <w:rPr>
                <w:rFonts w:ascii="Verdana" w:hAnsi="Verdana"/>
                <w:sz w:val="18"/>
                <w:szCs w:val="18"/>
              </w:rPr>
              <w:t xml:space="preserve">temporary incapacity for </w:t>
            </w:r>
            <w:r w:rsidRPr="00EC75B7">
              <w:rPr>
                <w:rFonts w:ascii="Verdana" w:hAnsi="Verdana"/>
                <w:spacing w:val="-2"/>
                <w:sz w:val="18"/>
                <w:szCs w:val="18"/>
              </w:rPr>
              <w:t>work.</w:t>
            </w:r>
          </w:p>
        </w:tc>
        <w:tc>
          <w:tcPr>
            <w:tcW w:w="894" w:type="dxa"/>
            <w:tcBorders>
              <w:right w:val="nil"/>
            </w:tcBorders>
          </w:tcPr>
          <w:p w14:paraId="24F1ED0F" w14:textId="77777777" w:rsidR="008715BE" w:rsidRPr="00EC75B7" w:rsidRDefault="00000000">
            <w:pPr>
              <w:pStyle w:val="TableParagraph"/>
              <w:spacing w:line="187" w:lineRule="exact"/>
              <w:ind w:left="114"/>
              <w:rPr>
                <w:rFonts w:ascii="Verdana" w:hAnsi="Verdana"/>
                <w:sz w:val="18"/>
                <w:szCs w:val="18"/>
              </w:rPr>
            </w:pPr>
            <w:r w:rsidRPr="00EC75B7">
              <w:rPr>
                <w:rFonts w:ascii="Verdana" w:hAnsi="Verdana"/>
                <w:spacing w:val="-2"/>
                <w:sz w:val="18"/>
                <w:szCs w:val="18"/>
              </w:rPr>
              <w:t>Injuries</w:t>
            </w:r>
          </w:p>
          <w:p w14:paraId="70202CD1" w14:textId="77777777" w:rsidR="008715BE" w:rsidRPr="00EC75B7" w:rsidRDefault="00000000">
            <w:pPr>
              <w:pStyle w:val="TableParagraph"/>
              <w:spacing w:line="194" w:lineRule="exact"/>
              <w:ind w:left="114"/>
              <w:rPr>
                <w:rFonts w:ascii="Verdana" w:hAnsi="Verdana"/>
                <w:sz w:val="18"/>
                <w:szCs w:val="18"/>
              </w:rPr>
            </w:pPr>
            <w:r w:rsidRPr="00EC75B7">
              <w:rPr>
                <w:rFonts w:ascii="Verdana" w:hAnsi="Verdana"/>
                <w:spacing w:val="-2"/>
                <w:sz w:val="18"/>
                <w:szCs w:val="18"/>
              </w:rPr>
              <w:t>injury</w:t>
            </w:r>
          </w:p>
          <w:p w14:paraId="1D643BFF" w14:textId="77777777" w:rsidR="008715BE" w:rsidRPr="00EC75B7" w:rsidRDefault="00000000">
            <w:pPr>
              <w:pStyle w:val="TableParagraph"/>
              <w:spacing w:line="195" w:lineRule="exact"/>
              <w:ind w:left="114"/>
              <w:rPr>
                <w:rFonts w:ascii="Verdana" w:hAnsi="Verdana"/>
                <w:sz w:val="18"/>
                <w:szCs w:val="18"/>
              </w:rPr>
            </w:pPr>
            <w:r w:rsidRPr="00EC75B7">
              <w:rPr>
                <w:rFonts w:ascii="Verdana" w:hAnsi="Verdana"/>
                <w:spacing w:val="-2"/>
                <w:sz w:val="18"/>
                <w:szCs w:val="18"/>
              </w:rPr>
              <w:t>disability.</w:t>
            </w:r>
          </w:p>
        </w:tc>
        <w:tc>
          <w:tcPr>
            <w:tcW w:w="1372" w:type="dxa"/>
            <w:tcBorders>
              <w:left w:val="nil"/>
            </w:tcBorders>
          </w:tcPr>
          <w:p w14:paraId="295E7909" w14:textId="77777777" w:rsidR="008715BE" w:rsidRPr="00EC75B7" w:rsidRDefault="00000000">
            <w:pPr>
              <w:pStyle w:val="TableParagraph"/>
              <w:tabs>
                <w:tab w:val="left" w:pos="1053"/>
              </w:tabs>
              <w:ind w:left="48" w:right="87" w:firstLine="122"/>
              <w:rPr>
                <w:rFonts w:ascii="Verdana" w:hAnsi="Verdana"/>
                <w:sz w:val="18"/>
                <w:szCs w:val="18"/>
              </w:rPr>
            </w:pPr>
            <w:r w:rsidRPr="00EC75B7">
              <w:rPr>
                <w:rFonts w:ascii="Verdana" w:hAnsi="Verdana"/>
                <w:spacing w:val="-2"/>
                <w:sz w:val="18"/>
                <w:szCs w:val="18"/>
              </w:rPr>
              <w:t>major/multiple, permanent</w:t>
            </w:r>
            <w:r w:rsidRPr="00EC75B7">
              <w:rPr>
                <w:rFonts w:ascii="Verdana" w:hAnsi="Verdana"/>
                <w:sz w:val="18"/>
                <w:szCs w:val="18"/>
              </w:rPr>
              <w:tab/>
            </w:r>
            <w:r w:rsidRPr="00EC75B7">
              <w:rPr>
                <w:rFonts w:ascii="Verdana" w:hAnsi="Verdana"/>
                <w:spacing w:val="-5"/>
                <w:sz w:val="18"/>
                <w:szCs w:val="18"/>
              </w:rPr>
              <w:t>or</w:t>
            </w:r>
          </w:p>
        </w:tc>
        <w:tc>
          <w:tcPr>
            <w:tcW w:w="2446" w:type="dxa"/>
          </w:tcPr>
          <w:p w14:paraId="2856081E" w14:textId="77777777" w:rsidR="008715BE" w:rsidRPr="00EC75B7" w:rsidRDefault="00000000">
            <w:pPr>
              <w:pStyle w:val="TableParagraph"/>
              <w:spacing w:line="188" w:lineRule="exact"/>
              <w:ind w:left="116"/>
              <w:rPr>
                <w:rFonts w:ascii="Verdana" w:hAnsi="Verdana"/>
                <w:sz w:val="18"/>
                <w:szCs w:val="18"/>
              </w:rPr>
            </w:pPr>
            <w:r w:rsidRPr="00EC75B7">
              <w:rPr>
                <w:rFonts w:ascii="Verdana" w:hAnsi="Verdana"/>
                <w:sz w:val="18"/>
                <w:szCs w:val="18"/>
              </w:rPr>
              <w:t xml:space="preserve">One or more </w:t>
            </w:r>
            <w:r w:rsidRPr="00EC75B7">
              <w:rPr>
                <w:rFonts w:ascii="Verdana" w:hAnsi="Verdana"/>
                <w:spacing w:val="-2"/>
                <w:sz w:val="18"/>
                <w:szCs w:val="18"/>
              </w:rPr>
              <w:t>deaths.</w:t>
            </w:r>
          </w:p>
        </w:tc>
      </w:tr>
      <w:tr w:rsidR="008715BE" w:rsidRPr="00EC75B7" w14:paraId="7F99E120" w14:textId="77777777" w:rsidTr="00E90322">
        <w:trPr>
          <w:trHeight w:val="900"/>
        </w:trPr>
        <w:tc>
          <w:tcPr>
            <w:tcW w:w="2861" w:type="dxa"/>
            <w:shd w:val="clear" w:color="auto" w:fill="00AFEF"/>
          </w:tcPr>
          <w:p w14:paraId="2688178C" w14:textId="77777777" w:rsidR="008715BE" w:rsidRPr="00EC75B7" w:rsidRDefault="008715BE">
            <w:pPr>
              <w:pStyle w:val="TableParagraph"/>
              <w:spacing w:before="150"/>
              <w:rPr>
                <w:rFonts w:ascii="Verdana" w:hAnsi="Verdana"/>
                <w:b/>
                <w:sz w:val="18"/>
                <w:szCs w:val="18"/>
              </w:rPr>
            </w:pPr>
          </w:p>
          <w:p w14:paraId="4DFC1D91"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z w:val="18"/>
                <w:szCs w:val="18"/>
              </w:rPr>
              <w:t xml:space="preserve">RA3: </w:t>
            </w:r>
            <w:r w:rsidRPr="00EC75B7">
              <w:rPr>
                <w:rFonts w:ascii="Verdana" w:hAnsi="Verdana"/>
                <w:b/>
                <w:color w:val="FFFFFF"/>
                <w:spacing w:val="-2"/>
                <w:sz w:val="18"/>
                <w:szCs w:val="18"/>
              </w:rPr>
              <w:t>Environment</w:t>
            </w:r>
          </w:p>
        </w:tc>
        <w:tc>
          <w:tcPr>
            <w:tcW w:w="2522" w:type="dxa"/>
            <w:gridSpan w:val="3"/>
          </w:tcPr>
          <w:p w14:paraId="5C0716FF" w14:textId="77777777" w:rsidR="008715BE" w:rsidRPr="00EC75B7" w:rsidRDefault="00000000">
            <w:pPr>
              <w:pStyle w:val="TableParagraph"/>
              <w:ind w:left="105" w:right="98"/>
              <w:jc w:val="both"/>
              <w:rPr>
                <w:rFonts w:ascii="Verdana" w:hAnsi="Verdana"/>
                <w:sz w:val="18"/>
                <w:szCs w:val="18"/>
              </w:rPr>
            </w:pPr>
            <w:r w:rsidRPr="00EC75B7">
              <w:rPr>
                <w:rFonts w:ascii="Verdana" w:hAnsi="Verdana"/>
                <w:sz w:val="18"/>
                <w:szCs w:val="18"/>
              </w:rPr>
              <w:t>No impact on the reference environment. Impact localized at the source. No recovery necessary.</w:t>
            </w:r>
          </w:p>
        </w:tc>
        <w:tc>
          <w:tcPr>
            <w:tcW w:w="1531" w:type="dxa"/>
            <w:gridSpan w:val="3"/>
            <w:tcBorders>
              <w:right w:val="nil"/>
            </w:tcBorders>
          </w:tcPr>
          <w:p w14:paraId="170A0DE1" w14:textId="77777777" w:rsidR="008715BE" w:rsidRPr="00EC75B7" w:rsidRDefault="00000000">
            <w:pPr>
              <w:pStyle w:val="TableParagraph"/>
              <w:ind w:left="106" w:right="17"/>
              <w:rPr>
                <w:rFonts w:ascii="Verdana" w:hAnsi="Verdana"/>
                <w:sz w:val="18"/>
                <w:szCs w:val="18"/>
              </w:rPr>
            </w:pPr>
            <w:r w:rsidRPr="00EC75B7">
              <w:rPr>
                <w:rFonts w:ascii="Verdana" w:hAnsi="Verdana"/>
                <w:sz w:val="18"/>
                <w:szCs w:val="18"/>
              </w:rPr>
              <w:t xml:space="preserve">Impact localized to </w:t>
            </w:r>
            <w:r w:rsidRPr="00EC75B7">
              <w:rPr>
                <w:rFonts w:ascii="Verdana" w:hAnsi="Verdana"/>
                <w:spacing w:val="-2"/>
                <w:sz w:val="18"/>
                <w:szCs w:val="18"/>
              </w:rPr>
              <w:t xml:space="preserve">the site. </w:t>
            </w:r>
            <w:r w:rsidRPr="00EC75B7">
              <w:rPr>
                <w:rFonts w:ascii="Verdana" w:hAnsi="Verdana"/>
                <w:sz w:val="18"/>
                <w:szCs w:val="18"/>
              </w:rPr>
              <w:t>Measurable in &lt; 1 month.</w:t>
            </w:r>
          </w:p>
        </w:tc>
        <w:tc>
          <w:tcPr>
            <w:tcW w:w="979" w:type="dxa"/>
            <w:gridSpan w:val="2"/>
            <w:tcBorders>
              <w:left w:val="nil"/>
            </w:tcBorders>
          </w:tcPr>
          <w:p w14:paraId="77C33106" w14:textId="6CD9E6B9" w:rsidR="008715BE" w:rsidRPr="00EC75B7" w:rsidRDefault="00000000">
            <w:pPr>
              <w:pStyle w:val="TableParagraph"/>
              <w:ind w:left="38" w:firstLine="54"/>
              <w:rPr>
                <w:rFonts w:ascii="Verdana" w:hAnsi="Verdana"/>
                <w:sz w:val="18"/>
                <w:szCs w:val="18"/>
              </w:rPr>
            </w:pPr>
            <w:r w:rsidRPr="00EC75B7">
              <w:rPr>
                <w:rFonts w:ascii="Verdana" w:hAnsi="Verdana"/>
                <w:spacing w:val="-2"/>
                <w:sz w:val="18"/>
                <w:szCs w:val="18"/>
              </w:rPr>
              <w:t>Perimete Recovery</w:t>
            </w:r>
          </w:p>
        </w:tc>
        <w:tc>
          <w:tcPr>
            <w:tcW w:w="2860" w:type="dxa"/>
          </w:tcPr>
          <w:p w14:paraId="163CAD8A" w14:textId="77777777" w:rsidR="008715BE" w:rsidRPr="00EC75B7" w:rsidRDefault="00000000">
            <w:pPr>
              <w:pStyle w:val="TableParagraph"/>
              <w:spacing w:line="187" w:lineRule="exact"/>
              <w:ind w:left="113"/>
              <w:rPr>
                <w:rFonts w:ascii="Verdana" w:hAnsi="Verdana"/>
                <w:sz w:val="18"/>
                <w:szCs w:val="18"/>
              </w:rPr>
            </w:pPr>
            <w:r w:rsidRPr="00EC75B7">
              <w:rPr>
                <w:rFonts w:ascii="Verdana" w:hAnsi="Verdana"/>
                <w:sz w:val="18"/>
                <w:szCs w:val="18"/>
              </w:rPr>
              <w:t xml:space="preserve">Moderate damage with possible </w:t>
            </w:r>
            <w:r w:rsidRPr="00EC75B7">
              <w:rPr>
                <w:rFonts w:ascii="Verdana" w:hAnsi="Verdana"/>
                <w:spacing w:val="-2"/>
                <w:sz w:val="18"/>
                <w:szCs w:val="18"/>
              </w:rPr>
              <w:t xml:space="preserve">widespread </w:t>
            </w:r>
            <w:r w:rsidRPr="00EC75B7">
              <w:rPr>
                <w:rFonts w:ascii="Verdana" w:hAnsi="Verdana"/>
                <w:sz w:val="18"/>
                <w:szCs w:val="18"/>
              </w:rPr>
              <w:t>effect</w:t>
            </w:r>
            <w:r w:rsidRPr="00EC75B7">
              <w:rPr>
                <w:rFonts w:ascii="Verdana" w:hAnsi="Verdana"/>
                <w:spacing w:val="-2"/>
                <w:sz w:val="18"/>
                <w:szCs w:val="18"/>
              </w:rPr>
              <w:t>.</w:t>
            </w:r>
          </w:p>
          <w:p w14:paraId="30DA5270" w14:textId="77777777" w:rsidR="008715BE" w:rsidRPr="00EC75B7" w:rsidRDefault="00000000">
            <w:pPr>
              <w:pStyle w:val="TableParagraph"/>
              <w:spacing w:line="195" w:lineRule="exact"/>
              <w:ind w:left="113"/>
              <w:rPr>
                <w:rFonts w:ascii="Verdana" w:hAnsi="Verdana"/>
                <w:sz w:val="18"/>
                <w:szCs w:val="18"/>
              </w:rPr>
            </w:pPr>
            <w:r w:rsidRPr="00EC75B7">
              <w:rPr>
                <w:rFonts w:ascii="Verdana" w:hAnsi="Verdana"/>
                <w:sz w:val="18"/>
                <w:szCs w:val="18"/>
              </w:rPr>
              <w:t xml:space="preserve">Recovery in ≤ 1 </w:t>
            </w:r>
            <w:r w:rsidRPr="00EC75B7">
              <w:rPr>
                <w:rFonts w:ascii="Verdana" w:hAnsi="Verdana"/>
                <w:spacing w:val="-5"/>
                <w:sz w:val="18"/>
                <w:szCs w:val="18"/>
              </w:rPr>
              <w:t>year.</w:t>
            </w:r>
          </w:p>
        </w:tc>
        <w:tc>
          <w:tcPr>
            <w:tcW w:w="2266" w:type="dxa"/>
            <w:gridSpan w:val="2"/>
          </w:tcPr>
          <w:p w14:paraId="42995B38" w14:textId="76193307" w:rsidR="008715BE" w:rsidRPr="00EC75B7" w:rsidRDefault="00000000">
            <w:pPr>
              <w:pStyle w:val="TableParagraph"/>
              <w:tabs>
                <w:tab w:val="left" w:pos="2012"/>
              </w:tabs>
              <w:ind w:left="114" w:right="89"/>
              <w:jc w:val="both"/>
              <w:rPr>
                <w:rFonts w:ascii="Verdana" w:hAnsi="Verdana"/>
                <w:sz w:val="18"/>
                <w:szCs w:val="18"/>
              </w:rPr>
            </w:pPr>
            <w:r w:rsidRPr="00EC75B7">
              <w:rPr>
                <w:rFonts w:ascii="Verdana" w:hAnsi="Verdana"/>
                <w:sz w:val="18"/>
                <w:szCs w:val="18"/>
              </w:rPr>
              <w:t xml:space="preserve">Significant damage with local effect. Recovery &gt; 1 year. </w:t>
            </w:r>
            <w:r w:rsidRPr="00EC75B7">
              <w:rPr>
                <w:rFonts w:ascii="Verdana" w:hAnsi="Verdana"/>
                <w:spacing w:val="-2"/>
                <w:sz w:val="18"/>
                <w:szCs w:val="18"/>
              </w:rPr>
              <w:t>Non-compliance</w:t>
            </w:r>
            <w:r w:rsidR="00E90322">
              <w:rPr>
                <w:rFonts w:ascii="Verdana" w:hAnsi="Verdana"/>
                <w:sz w:val="18"/>
                <w:szCs w:val="18"/>
              </w:rPr>
              <w:t xml:space="preserve"> </w:t>
            </w:r>
            <w:r w:rsidRPr="00EC75B7">
              <w:rPr>
                <w:rFonts w:ascii="Verdana" w:hAnsi="Verdana"/>
                <w:spacing w:val="-6"/>
                <w:sz w:val="18"/>
                <w:szCs w:val="18"/>
              </w:rPr>
              <w:t xml:space="preserve">with </w:t>
            </w:r>
            <w:r w:rsidRPr="00EC75B7">
              <w:rPr>
                <w:rFonts w:ascii="Verdana" w:hAnsi="Verdana"/>
                <w:sz w:val="18"/>
                <w:szCs w:val="18"/>
              </w:rPr>
              <w:t>environmental regulations.</w:t>
            </w:r>
          </w:p>
        </w:tc>
        <w:tc>
          <w:tcPr>
            <w:tcW w:w="2446" w:type="dxa"/>
          </w:tcPr>
          <w:p w14:paraId="104D4698" w14:textId="77777777" w:rsidR="008715BE" w:rsidRPr="00EC75B7" w:rsidRDefault="00000000">
            <w:pPr>
              <w:pStyle w:val="TableParagraph"/>
              <w:ind w:left="116"/>
              <w:rPr>
                <w:rFonts w:ascii="Verdana" w:hAnsi="Verdana"/>
                <w:sz w:val="18"/>
                <w:szCs w:val="18"/>
              </w:rPr>
            </w:pPr>
            <w:r w:rsidRPr="00EC75B7">
              <w:rPr>
                <w:rFonts w:ascii="Verdana" w:hAnsi="Verdana"/>
                <w:sz w:val="18"/>
                <w:szCs w:val="18"/>
              </w:rPr>
              <w:t>Significant damage with widespread effect. Recovery &gt; 1 year.</w:t>
            </w:r>
          </w:p>
        </w:tc>
      </w:tr>
      <w:tr w:rsidR="008715BE" w:rsidRPr="00EC75B7" w14:paraId="76A90281" w14:textId="77777777" w:rsidTr="00E90322">
        <w:trPr>
          <w:trHeight w:val="599"/>
        </w:trPr>
        <w:tc>
          <w:tcPr>
            <w:tcW w:w="2861" w:type="dxa"/>
            <w:shd w:val="clear" w:color="auto" w:fill="00AFEF"/>
          </w:tcPr>
          <w:p w14:paraId="4D5E7366" w14:textId="77777777" w:rsidR="008715BE" w:rsidRPr="00EC75B7" w:rsidRDefault="00000000">
            <w:pPr>
              <w:pStyle w:val="TableParagraph"/>
              <w:spacing w:before="194"/>
              <w:ind w:left="107"/>
              <w:rPr>
                <w:rFonts w:ascii="Verdana" w:hAnsi="Verdana"/>
                <w:b/>
                <w:sz w:val="18"/>
                <w:szCs w:val="18"/>
              </w:rPr>
            </w:pPr>
            <w:r w:rsidRPr="00EC75B7">
              <w:rPr>
                <w:rFonts w:ascii="Verdana" w:hAnsi="Verdana"/>
                <w:b/>
                <w:color w:val="FFFFFF"/>
                <w:sz w:val="18"/>
                <w:szCs w:val="18"/>
              </w:rPr>
              <w:t xml:space="preserve">RA4: </w:t>
            </w:r>
            <w:r w:rsidRPr="00EC75B7">
              <w:rPr>
                <w:rFonts w:ascii="Verdana" w:hAnsi="Verdana"/>
                <w:b/>
                <w:color w:val="FFFFFF"/>
                <w:spacing w:val="-2"/>
                <w:sz w:val="18"/>
                <w:szCs w:val="18"/>
              </w:rPr>
              <w:t>Social</w:t>
            </w:r>
          </w:p>
        </w:tc>
        <w:tc>
          <w:tcPr>
            <w:tcW w:w="2522" w:type="dxa"/>
            <w:gridSpan w:val="3"/>
          </w:tcPr>
          <w:p w14:paraId="3B7DE3C0" w14:textId="77777777" w:rsidR="008715BE" w:rsidRPr="00EC75B7" w:rsidRDefault="00000000">
            <w:pPr>
              <w:pStyle w:val="TableParagraph"/>
              <w:spacing w:line="188" w:lineRule="exact"/>
              <w:ind w:left="105"/>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 xml:space="preserve">negative </w:t>
            </w:r>
            <w:r w:rsidRPr="00EC75B7">
              <w:rPr>
                <w:rFonts w:ascii="Verdana" w:hAnsi="Verdana"/>
                <w:sz w:val="18"/>
                <w:szCs w:val="18"/>
              </w:rPr>
              <w:t>social impact</w:t>
            </w:r>
            <w:r w:rsidRPr="00EC75B7">
              <w:rPr>
                <w:rFonts w:ascii="Verdana" w:hAnsi="Verdana"/>
                <w:spacing w:val="-2"/>
                <w:sz w:val="18"/>
                <w:szCs w:val="18"/>
              </w:rPr>
              <w:t>.</w:t>
            </w:r>
          </w:p>
        </w:tc>
        <w:tc>
          <w:tcPr>
            <w:tcW w:w="810" w:type="dxa"/>
            <w:tcBorders>
              <w:right w:val="nil"/>
            </w:tcBorders>
          </w:tcPr>
          <w:p w14:paraId="67971277" w14:textId="77777777" w:rsidR="008715BE" w:rsidRPr="00EC75B7" w:rsidRDefault="00000000">
            <w:pPr>
              <w:pStyle w:val="TableParagraph"/>
              <w:spacing w:line="187" w:lineRule="exact"/>
              <w:ind w:left="106"/>
              <w:rPr>
                <w:rFonts w:ascii="Verdana" w:hAnsi="Verdana"/>
                <w:sz w:val="18"/>
                <w:szCs w:val="18"/>
              </w:rPr>
            </w:pPr>
            <w:r w:rsidRPr="00EC75B7">
              <w:rPr>
                <w:rFonts w:ascii="Verdana" w:hAnsi="Verdana"/>
                <w:spacing w:val="-2"/>
                <w:sz w:val="18"/>
                <w:szCs w:val="18"/>
              </w:rPr>
              <w:t>Localized impacts</w:t>
            </w:r>
          </w:p>
          <w:p w14:paraId="29AC57A4"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2"/>
                <w:sz w:val="18"/>
                <w:szCs w:val="18"/>
              </w:rPr>
              <w:t>Localized.</w:t>
            </w:r>
          </w:p>
        </w:tc>
        <w:tc>
          <w:tcPr>
            <w:tcW w:w="271" w:type="dxa"/>
            <w:tcBorders>
              <w:left w:val="nil"/>
              <w:right w:val="nil"/>
            </w:tcBorders>
          </w:tcPr>
          <w:p w14:paraId="53AB0472" w14:textId="77777777" w:rsidR="008715BE" w:rsidRPr="00EC75B7" w:rsidRDefault="00000000">
            <w:pPr>
              <w:pStyle w:val="TableParagraph"/>
              <w:spacing w:line="188" w:lineRule="exact"/>
              <w:ind w:left="62"/>
              <w:rPr>
                <w:rFonts w:ascii="Verdana" w:hAnsi="Verdana"/>
                <w:sz w:val="18"/>
                <w:szCs w:val="18"/>
              </w:rPr>
            </w:pPr>
            <w:r w:rsidRPr="00EC75B7">
              <w:rPr>
                <w:rFonts w:ascii="Verdana" w:hAnsi="Verdana"/>
                <w:spacing w:val="-2"/>
                <w:sz w:val="18"/>
                <w:szCs w:val="18"/>
              </w:rPr>
              <w:t>Social</w:t>
            </w:r>
          </w:p>
        </w:tc>
        <w:tc>
          <w:tcPr>
            <w:tcW w:w="1150" w:type="dxa"/>
            <w:gridSpan w:val="2"/>
            <w:tcBorders>
              <w:left w:val="nil"/>
              <w:right w:val="nil"/>
            </w:tcBorders>
          </w:tcPr>
          <w:p w14:paraId="62D66965" w14:textId="77777777" w:rsidR="008715BE" w:rsidRPr="00EC75B7" w:rsidRDefault="00000000">
            <w:pPr>
              <w:pStyle w:val="TableParagraph"/>
              <w:spacing w:line="188" w:lineRule="exact"/>
              <w:ind w:left="27"/>
              <w:rPr>
                <w:rFonts w:ascii="Verdana" w:hAnsi="Verdana"/>
                <w:sz w:val="18"/>
                <w:szCs w:val="18"/>
              </w:rPr>
            </w:pPr>
            <w:r w:rsidRPr="00EC75B7">
              <w:rPr>
                <w:rFonts w:ascii="Verdana" w:hAnsi="Verdana"/>
                <w:spacing w:val="-2"/>
                <w:sz w:val="18"/>
                <w:szCs w:val="18"/>
              </w:rPr>
              <w:t>temporary</w:t>
            </w:r>
          </w:p>
        </w:tc>
        <w:tc>
          <w:tcPr>
            <w:tcW w:w="279" w:type="dxa"/>
            <w:tcBorders>
              <w:left w:val="nil"/>
            </w:tcBorders>
          </w:tcPr>
          <w:p w14:paraId="56963BAE" w14:textId="77777777" w:rsidR="008715BE" w:rsidRPr="00EC75B7" w:rsidRDefault="00000000">
            <w:pPr>
              <w:pStyle w:val="TableParagraph"/>
              <w:spacing w:line="188" w:lineRule="exact"/>
              <w:ind w:left="77"/>
              <w:rPr>
                <w:rFonts w:ascii="Verdana" w:hAnsi="Verdana"/>
                <w:sz w:val="18"/>
                <w:szCs w:val="18"/>
              </w:rPr>
            </w:pPr>
            <w:r w:rsidRPr="00EC75B7">
              <w:rPr>
                <w:rFonts w:ascii="Verdana" w:hAnsi="Verdana"/>
                <w:spacing w:val="-5"/>
                <w:sz w:val="18"/>
                <w:szCs w:val="18"/>
              </w:rPr>
              <w:t>and</w:t>
            </w:r>
          </w:p>
        </w:tc>
        <w:tc>
          <w:tcPr>
            <w:tcW w:w="2860" w:type="dxa"/>
          </w:tcPr>
          <w:p w14:paraId="5C7C62F1" w14:textId="77777777" w:rsidR="008715BE" w:rsidRPr="00EC75B7" w:rsidRDefault="00000000">
            <w:pPr>
              <w:pStyle w:val="TableParagraph"/>
              <w:ind w:left="113"/>
              <w:rPr>
                <w:rFonts w:ascii="Verdana" w:hAnsi="Verdana"/>
                <w:sz w:val="18"/>
                <w:szCs w:val="18"/>
              </w:rPr>
            </w:pPr>
            <w:r w:rsidRPr="00EC75B7">
              <w:rPr>
                <w:rFonts w:ascii="Verdana" w:hAnsi="Verdana"/>
                <w:sz w:val="18"/>
                <w:szCs w:val="18"/>
              </w:rPr>
              <w:t xml:space="preserve">Long-term, </w:t>
            </w:r>
            <w:r w:rsidRPr="00EC75B7">
              <w:rPr>
                <w:rFonts w:ascii="Verdana" w:hAnsi="Verdana"/>
                <w:spacing w:val="-2"/>
                <w:sz w:val="18"/>
                <w:szCs w:val="18"/>
              </w:rPr>
              <w:t xml:space="preserve">localized </w:t>
            </w:r>
            <w:r w:rsidRPr="00EC75B7">
              <w:rPr>
                <w:rFonts w:ascii="Verdana" w:hAnsi="Verdana"/>
                <w:sz w:val="18"/>
                <w:szCs w:val="18"/>
              </w:rPr>
              <w:t>social impacts</w:t>
            </w:r>
            <w:r w:rsidRPr="00EC75B7">
              <w:rPr>
                <w:rFonts w:ascii="Verdana" w:hAnsi="Verdana"/>
                <w:spacing w:val="-2"/>
                <w:sz w:val="18"/>
                <w:szCs w:val="18"/>
              </w:rPr>
              <w:t>.</w:t>
            </w:r>
          </w:p>
        </w:tc>
        <w:tc>
          <w:tcPr>
            <w:tcW w:w="2266" w:type="dxa"/>
            <w:gridSpan w:val="2"/>
          </w:tcPr>
          <w:p w14:paraId="2AECA480" w14:textId="77777777" w:rsidR="008715BE" w:rsidRPr="00EC75B7" w:rsidRDefault="00000000">
            <w:pPr>
              <w:pStyle w:val="TableParagraph"/>
              <w:ind w:left="114" w:right="89"/>
              <w:jc w:val="both"/>
              <w:rPr>
                <w:rFonts w:ascii="Verdana" w:hAnsi="Verdana"/>
                <w:sz w:val="18"/>
                <w:szCs w:val="18"/>
              </w:rPr>
            </w:pPr>
            <w:r w:rsidRPr="00EC75B7">
              <w:rPr>
                <w:rFonts w:ascii="Verdana" w:hAnsi="Verdana"/>
                <w:sz w:val="18"/>
                <w:szCs w:val="18"/>
              </w:rPr>
              <w:t>Failure to protect vulnerable groups. Long-term national social impacts.</w:t>
            </w:r>
          </w:p>
        </w:tc>
        <w:tc>
          <w:tcPr>
            <w:tcW w:w="2446" w:type="dxa"/>
          </w:tcPr>
          <w:p w14:paraId="536F7A05" w14:textId="77777777" w:rsidR="008715BE" w:rsidRPr="00EC75B7" w:rsidRDefault="00000000">
            <w:pPr>
              <w:pStyle w:val="TableParagraph"/>
              <w:ind w:left="116"/>
              <w:rPr>
                <w:rFonts w:ascii="Verdana" w:hAnsi="Verdana"/>
                <w:sz w:val="18"/>
                <w:szCs w:val="18"/>
              </w:rPr>
            </w:pPr>
            <w:r w:rsidRPr="00EC75B7">
              <w:rPr>
                <w:rFonts w:ascii="Verdana" w:hAnsi="Verdana"/>
                <w:sz w:val="18"/>
                <w:szCs w:val="18"/>
              </w:rPr>
              <w:t>Loss of social license to operate. Community protests.</w:t>
            </w:r>
          </w:p>
        </w:tc>
      </w:tr>
      <w:tr w:rsidR="008715BE" w:rsidRPr="00EC75B7" w14:paraId="5C4741B9" w14:textId="77777777" w:rsidTr="00E90322">
        <w:trPr>
          <w:trHeight w:val="599"/>
        </w:trPr>
        <w:tc>
          <w:tcPr>
            <w:tcW w:w="2861" w:type="dxa"/>
            <w:shd w:val="clear" w:color="auto" w:fill="00AFEF"/>
          </w:tcPr>
          <w:p w14:paraId="4CD21642" w14:textId="77777777" w:rsidR="008715BE" w:rsidRPr="00EC75B7" w:rsidRDefault="008715BE">
            <w:pPr>
              <w:pStyle w:val="TableParagraph"/>
              <w:spacing w:before="1"/>
              <w:rPr>
                <w:rFonts w:ascii="Verdana" w:hAnsi="Verdana"/>
                <w:b/>
                <w:sz w:val="18"/>
                <w:szCs w:val="18"/>
              </w:rPr>
            </w:pPr>
          </w:p>
          <w:p w14:paraId="32ACC482"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z w:val="18"/>
                <w:szCs w:val="18"/>
              </w:rPr>
              <w:t xml:space="preserve">RA5: </w:t>
            </w:r>
            <w:r w:rsidRPr="00EC75B7">
              <w:rPr>
                <w:rFonts w:ascii="Verdana" w:hAnsi="Verdana"/>
                <w:b/>
                <w:color w:val="FFFFFF"/>
                <w:spacing w:val="-2"/>
                <w:sz w:val="18"/>
                <w:szCs w:val="18"/>
              </w:rPr>
              <w:t xml:space="preserve">Financial </w:t>
            </w:r>
            <w:r w:rsidRPr="00EC75B7">
              <w:rPr>
                <w:rFonts w:ascii="Verdana" w:hAnsi="Verdana"/>
                <w:b/>
                <w:color w:val="FFFFFF"/>
                <w:sz w:val="18"/>
                <w:szCs w:val="18"/>
              </w:rPr>
              <w:t>impacts</w:t>
            </w:r>
          </w:p>
        </w:tc>
        <w:tc>
          <w:tcPr>
            <w:tcW w:w="2522" w:type="dxa"/>
            <w:gridSpan w:val="3"/>
          </w:tcPr>
          <w:p w14:paraId="28FB8399" w14:textId="77777777" w:rsidR="008715BE" w:rsidRPr="00EC75B7" w:rsidRDefault="00000000">
            <w:pPr>
              <w:pStyle w:val="TableParagraph"/>
              <w:spacing w:line="242" w:lineRule="auto"/>
              <w:ind w:left="105"/>
              <w:rPr>
                <w:rFonts w:ascii="Verdana" w:hAnsi="Verdana"/>
                <w:sz w:val="18"/>
                <w:szCs w:val="18"/>
              </w:rPr>
            </w:pPr>
            <w:r w:rsidRPr="00EC75B7">
              <w:rPr>
                <w:rFonts w:ascii="Verdana" w:hAnsi="Verdana"/>
                <w:sz w:val="18"/>
                <w:szCs w:val="18"/>
              </w:rPr>
              <w:t>Direct and indirect costs &lt; 2% of annual turnover.</w:t>
            </w:r>
          </w:p>
        </w:tc>
        <w:tc>
          <w:tcPr>
            <w:tcW w:w="2510" w:type="dxa"/>
            <w:gridSpan w:val="5"/>
          </w:tcPr>
          <w:p w14:paraId="53F44C4A" w14:textId="77777777" w:rsidR="008715BE" w:rsidRPr="00EC75B7" w:rsidRDefault="00000000">
            <w:pPr>
              <w:pStyle w:val="TableParagraph"/>
              <w:spacing w:line="242" w:lineRule="auto"/>
              <w:ind w:left="106"/>
              <w:rPr>
                <w:rFonts w:ascii="Verdana" w:hAnsi="Verdana"/>
                <w:sz w:val="18"/>
                <w:szCs w:val="18"/>
              </w:rPr>
            </w:pPr>
            <w:r w:rsidRPr="00EC75B7">
              <w:rPr>
                <w:rFonts w:ascii="Verdana" w:hAnsi="Verdana"/>
                <w:sz w:val="18"/>
                <w:szCs w:val="18"/>
              </w:rPr>
              <w:t>Direct and indirect costs 2–10% of annual turnover.</w:t>
            </w:r>
          </w:p>
        </w:tc>
        <w:tc>
          <w:tcPr>
            <w:tcW w:w="2860" w:type="dxa"/>
          </w:tcPr>
          <w:p w14:paraId="5E1F8634" w14:textId="77777777" w:rsidR="008715BE" w:rsidRPr="00EC75B7" w:rsidRDefault="00000000">
            <w:pPr>
              <w:pStyle w:val="TableParagraph"/>
              <w:spacing w:line="242" w:lineRule="auto"/>
              <w:ind w:left="113"/>
              <w:rPr>
                <w:rFonts w:ascii="Verdana" w:hAnsi="Verdana"/>
                <w:sz w:val="18"/>
                <w:szCs w:val="18"/>
              </w:rPr>
            </w:pPr>
            <w:r w:rsidRPr="00EC75B7">
              <w:rPr>
                <w:rFonts w:ascii="Verdana" w:hAnsi="Verdana"/>
                <w:sz w:val="18"/>
                <w:szCs w:val="18"/>
              </w:rPr>
              <w:t>Direct and indirect costs 10–25% of annual turnover.</w:t>
            </w:r>
          </w:p>
        </w:tc>
        <w:tc>
          <w:tcPr>
            <w:tcW w:w="2266" w:type="dxa"/>
            <w:gridSpan w:val="2"/>
          </w:tcPr>
          <w:p w14:paraId="7A6C5221" w14:textId="77777777" w:rsidR="008715BE" w:rsidRPr="00EC75B7" w:rsidRDefault="00000000">
            <w:pPr>
              <w:pStyle w:val="TableParagraph"/>
              <w:ind w:left="114" w:right="88"/>
              <w:jc w:val="both"/>
              <w:rPr>
                <w:rFonts w:ascii="Verdana" w:hAnsi="Verdana"/>
                <w:sz w:val="18"/>
                <w:szCs w:val="18"/>
              </w:rPr>
            </w:pPr>
            <w:r w:rsidRPr="00EC75B7">
              <w:rPr>
                <w:rFonts w:ascii="Verdana" w:hAnsi="Verdana"/>
                <w:sz w:val="18"/>
                <w:szCs w:val="18"/>
              </w:rPr>
              <w:t>Direct and indirect costs 25–50% of the facility's annual turnover.</w:t>
            </w:r>
          </w:p>
        </w:tc>
        <w:tc>
          <w:tcPr>
            <w:tcW w:w="2446" w:type="dxa"/>
          </w:tcPr>
          <w:p w14:paraId="2897A2A4" w14:textId="77777777" w:rsidR="008715BE" w:rsidRPr="00EC75B7" w:rsidRDefault="00000000">
            <w:pPr>
              <w:pStyle w:val="TableParagraph"/>
              <w:spacing w:line="242" w:lineRule="auto"/>
              <w:ind w:left="116"/>
              <w:rPr>
                <w:rFonts w:ascii="Verdana" w:hAnsi="Verdana"/>
                <w:sz w:val="18"/>
                <w:szCs w:val="18"/>
              </w:rPr>
            </w:pPr>
            <w:r w:rsidRPr="00EC75B7">
              <w:rPr>
                <w:rFonts w:ascii="Verdana" w:hAnsi="Verdana"/>
                <w:sz w:val="18"/>
                <w:szCs w:val="18"/>
              </w:rPr>
              <w:t>Direct and indirect costs &gt; 50% of annual turnover.</w:t>
            </w:r>
          </w:p>
        </w:tc>
      </w:tr>
      <w:tr w:rsidR="008715BE" w:rsidRPr="00EC75B7" w14:paraId="1FF69A21" w14:textId="77777777" w:rsidTr="00E90322">
        <w:trPr>
          <w:trHeight w:val="900"/>
        </w:trPr>
        <w:tc>
          <w:tcPr>
            <w:tcW w:w="2861" w:type="dxa"/>
            <w:shd w:val="clear" w:color="auto" w:fill="00AFEF"/>
          </w:tcPr>
          <w:p w14:paraId="34B12F5F" w14:textId="77777777" w:rsidR="008715BE" w:rsidRPr="00EC75B7" w:rsidRDefault="008715BE">
            <w:pPr>
              <w:pStyle w:val="TableParagraph"/>
              <w:spacing w:before="149"/>
              <w:rPr>
                <w:rFonts w:ascii="Verdana" w:hAnsi="Verdana"/>
                <w:b/>
                <w:sz w:val="18"/>
                <w:szCs w:val="18"/>
              </w:rPr>
            </w:pPr>
          </w:p>
          <w:p w14:paraId="0C732F33" w14:textId="77777777" w:rsidR="008715BE" w:rsidRPr="00EC75B7" w:rsidRDefault="00000000">
            <w:pPr>
              <w:pStyle w:val="TableParagraph"/>
              <w:spacing w:before="1"/>
              <w:ind w:left="107"/>
              <w:rPr>
                <w:rFonts w:ascii="Verdana" w:hAnsi="Verdana"/>
                <w:b/>
                <w:sz w:val="18"/>
                <w:szCs w:val="18"/>
              </w:rPr>
            </w:pPr>
            <w:r w:rsidRPr="00EC75B7">
              <w:rPr>
                <w:rFonts w:ascii="Verdana" w:hAnsi="Verdana"/>
                <w:b/>
                <w:color w:val="FFFFFF"/>
                <w:sz w:val="18"/>
                <w:szCs w:val="18"/>
              </w:rPr>
              <w:t xml:space="preserve">RA6: </w:t>
            </w:r>
            <w:r w:rsidRPr="00EC75B7">
              <w:rPr>
                <w:rFonts w:ascii="Verdana" w:hAnsi="Verdana"/>
                <w:b/>
                <w:color w:val="FFFFFF"/>
                <w:spacing w:val="-2"/>
                <w:sz w:val="18"/>
                <w:szCs w:val="18"/>
              </w:rPr>
              <w:t>Reputational</w:t>
            </w:r>
          </w:p>
        </w:tc>
        <w:tc>
          <w:tcPr>
            <w:tcW w:w="1147" w:type="dxa"/>
            <w:tcBorders>
              <w:right w:val="nil"/>
            </w:tcBorders>
          </w:tcPr>
          <w:p w14:paraId="39E66948" w14:textId="77777777" w:rsidR="008715BE" w:rsidRPr="00EC75B7" w:rsidRDefault="00000000">
            <w:pPr>
              <w:pStyle w:val="TableParagraph"/>
              <w:spacing w:line="242" w:lineRule="auto"/>
              <w:ind w:left="105" w:right="45"/>
              <w:rPr>
                <w:rFonts w:ascii="Verdana" w:hAnsi="Verdana"/>
                <w:sz w:val="18"/>
                <w:szCs w:val="18"/>
              </w:rPr>
            </w:pPr>
            <w:r w:rsidRPr="00EC75B7">
              <w:rPr>
                <w:rFonts w:ascii="Verdana" w:hAnsi="Verdana"/>
                <w:sz w:val="18"/>
                <w:szCs w:val="18"/>
              </w:rPr>
              <w:t xml:space="preserve">Local impact, </w:t>
            </w:r>
            <w:r w:rsidRPr="00EC75B7">
              <w:rPr>
                <w:rFonts w:ascii="Verdana" w:hAnsi="Verdana"/>
                <w:spacing w:val="-2"/>
                <w:sz w:val="18"/>
                <w:szCs w:val="18"/>
              </w:rPr>
              <w:t xml:space="preserve">public </w:t>
            </w:r>
            <w:r w:rsidRPr="00EC75B7">
              <w:rPr>
                <w:rFonts w:ascii="Verdana" w:hAnsi="Verdana"/>
                <w:sz w:val="18"/>
                <w:szCs w:val="18"/>
              </w:rPr>
              <w:t>opinion</w:t>
            </w:r>
            <w:r w:rsidRPr="00EC75B7">
              <w:rPr>
                <w:rFonts w:ascii="Verdana" w:hAnsi="Verdana"/>
                <w:spacing w:val="-2"/>
                <w:sz w:val="18"/>
                <w:szCs w:val="18"/>
              </w:rPr>
              <w:t>.</w:t>
            </w:r>
          </w:p>
        </w:tc>
        <w:tc>
          <w:tcPr>
            <w:tcW w:w="746" w:type="dxa"/>
            <w:tcBorders>
              <w:left w:val="nil"/>
              <w:right w:val="nil"/>
            </w:tcBorders>
          </w:tcPr>
          <w:p w14:paraId="5761BA02" w14:textId="77777777" w:rsidR="008715BE" w:rsidRPr="00EC75B7" w:rsidRDefault="00000000">
            <w:pPr>
              <w:pStyle w:val="TableParagraph"/>
              <w:spacing w:line="188" w:lineRule="exact"/>
              <w:ind w:left="57"/>
              <w:rPr>
                <w:rFonts w:ascii="Verdana" w:hAnsi="Verdana"/>
                <w:sz w:val="18"/>
                <w:szCs w:val="18"/>
              </w:rPr>
            </w:pPr>
            <w:r w:rsidRPr="00EC75B7">
              <w:rPr>
                <w:rFonts w:ascii="Verdana" w:hAnsi="Verdana"/>
                <w:spacing w:val="-2"/>
                <w:sz w:val="18"/>
                <w:szCs w:val="18"/>
              </w:rPr>
              <w:t>Temporary</w:t>
            </w:r>
          </w:p>
        </w:tc>
        <w:tc>
          <w:tcPr>
            <w:tcW w:w="629" w:type="dxa"/>
            <w:tcBorders>
              <w:left w:val="nil"/>
            </w:tcBorders>
          </w:tcPr>
          <w:p w14:paraId="5B29CA2C" w14:textId="77777777" w:rsidR="008715BE" w:rsidRPr="00EC75B7" w:rsidRDefault="00000000">
            <w:pPr>
              <w:pStyle w:val="TableParagraph"/>
              <w:spacing w:line="188" w:lineRule="exact"/>
              <w:ind w:left="81"/>
              <w:rPr>
                <w:rFonts w:ascii="Verdana" w:hAnsi="Verdana"/>
                <w:sz w:val="18"/>
                <w:szCs w:val="18"/>
              </w:rPr>
            </w:pPr>
            <w:r w:rsidRPr="00EC75B7">
              <w:rPr>
                <w:rFonts w:ascii="Verdana" w:hAnsi="Verdana"/>
                <w:spacing w:val="-2"/>
                <w:sz w:val="18"/>
                <w:szCs w:val="18"/>
              </w:rPr>
              <w:t>on</w:t>
            </w:r>
          </w:p>
        </w:tc>
        <w:tc>
          <w:tcPr>
            <w:tcW w:w="2510" w:type="dxa"/>
            <w:gridSpan w:val="5"/>
          </w:tcPr>
          <w:p w14:paraId="6D3DE5F4" w14:textId="77777777" w:rsidR="008715BE" w:rsidRPr="00EC75B7" w:rsidRDefault="00000000">
            <w:pPr>
              <w:pStyle w:val="TableParagraph"/>
              <w:spacing w:line="242" w:lineRule="auto"/>
              <w:ind w:left="106"/>
              <w:rPr>
                <w:rFonts w:ascii="Verdana" w:hAnsi="Verdana"/>
                <w:sz w:val="18"/>
                <w:szCs w:val="18"/>
              </w:rPr>
            </w:pPr>
            <w:r w:rsidRPr="00EC75B7">
              <w:rPr>
                <w:rFonts w:ascii="Verdana" w:hAnsi="Verdana"/>
                <w:sz w:val="18"/>
                <w:szCs w:val="18"/>
              </w:rPr>
              <w:t>Local, short-term impact on public opinion.</w:t>
            </w:r>
          </w:p>
        </w:tc>
        <w:tc>
          <w:tcPr>
            <w:tcW w:w="2860" w:type="dxa"/>
          </w:tcPr>
          <w:p w14:paraId="7AABB806" w14:textId="77777777" w:rsidR="008715BE" w:rsidRPr="00EC75B7" w:rsidRDefault="00000000">
            <w:pPr>
              <w:pStyle w:val="TableParagraph"/>
              <w:ind w:left="113" w:right="91"/>
              <w:jc w:val="both"/>
              <w:rPr>
                <w:rFonts w:ascii="Verdana" w:hAnsi="Verdana"/>
                <w:sz w:val="18"/>
                <w:szCs w:val="18"/>
              </w:rPr>
            </w:pPr>
            <w:r w:rsidRPr="00EC75B7">
              <w:rPr>
                <w:rFonts w:ascii="Verdana" w:hAnsi="Verdana"/>
                <w:sz w:val="18"/>
                <w:szCs w:val="18"/>
              </w:rPr>
              <w:t>Local, long-term impact on public opinion, with negative local media coverage.</w:t>
            </w:r>
          </w:p>
        </w:tc>
        <w:tc>
          <w:tcPr>
            <w:tcW w:w="2266" w:type="dxa"/>
            <w:gridSpan w:val="2"/>
          </w:tcPr>
          <w:p w14:paraId="28BFBE16" w14:textId="77777777" w:rsidR="008715BE" w:rsidRPr="00EC75B7" w:rsidRDefault="00000000">
            <w:pPr>
              <w:pStyle w:val="TableParagraph"/>
              <w:ind w:left="114" w:right="88"/>
              <w:jc w:val="both"/>
              <w:rPr>
                <w:rFonts w:ascii="Verdana" w:hAnsi="Verdana"/>
                <w:sz w:val="18"/>
                <w:szCs w:val="18"/>
              </w:rPr>
            </w:pPr>
            <w:r w:rsidRPr="00EC75B7">
              <w:rPr>
                <w:rFonts w:ascii="Verdana" w:hAnsi="Verdana"/>
                <w:sz w:val="18"/>
                <w:szCs w:val="18"/>
              </w:rPr>
              <w:t xml:space="preserve">Short-term national impact on public opinion, with </w:t>
            </w:r>
            <w:r w:rsidRPr="00EC75B7">
              <w:rPr>
                <w:rFonts w:ascii="Verdana" w:hAnsi="Verdana"/>
                <w:spacing w:val="-2"/>
                <w:sz w:val="18"/>
                <w:szCs w:val="18"/>
              </w:rPr>
              <w:t xml:space="preserve">negative </w:t>
            </w:r>
            <w:r w:rsidRPr="00EC75B7">
              <w:rPr>
                <w:rFonts w:ascii="Verdana" w:hAnsi="Verdana"/>
                <w:sz w:val="18"/>
                <w:szCs w:val="18"/>
              </w:rPr>
              <w:t>national media coverage</w:t>
            </w:r>
            <w:r w:rsidRPr="00EC75B7">
              <w:rPr>
                <w:rFonts w:ascii="Verdana" w:hAnsi="Verdana"/>
                <w:spacing w:val="-2"/>
                <w:sz w:val="18"/>
                <w:szCs w:val="18"/>
              </w:rPr>
              <w:t>.</w:t>
            </w:r>
          </w:p>
        </w:tc>
        <w:tc>
          <w:tcPr>
            <w:tcW w:w="2446" w:type="dxa"/>
          </w:tcPr>
          <w:p w14:paraId="5EEC07DD" w14:textId="77777777" w:rsidR="008715BE" w:rsidRPr="00EC75B7" w:rsidRDefault="00000000">
            <w:pPr>
              <w:pStyle w:val="TableParagraph"/>
              <w:ind w:left="116" w:right="84"/>
              <w:jc w:val="both"/>
              <w:rPr>
                <w:rFonts w:ascii="Verdana" w:hAnsi="Verdana"/>
                <w:sz w:val="18"/>
                <w:szCs w:val="18"/>
              </w:rPr>
            </w:pPr>
            <w:r w:rsidRPr="00EC75B7">
              <w:rPr>
                <w:rFonts w:ascii="Verdana" w:hAnsi="Verdana"/>
                <w:sz w:val="18"/>
                <w:szCs w:val="18"/>
              </w:rPr>
              <w:t>Long-term national impact, with potential to affect government stability.</w:t>
            </w:r>
          </w:p>
        </w:tc>
      </w:tr>
      <w:tr w:rsidR="008715BE" w:rsidRPr="00EC75B7" w14:paraId="343DCF7C" w14:textId="77777777" w:rsidTr="00E90322">
        <w:trPr>
          <w:trHeight w:val="601"/>
        </w:trPr>
        <w:tc>
          <w:tcPr>
            <w:tcW w:w="2861" w:type="dxa"/>
            <w:shd w:val="clear" w:color="auto" w:fill="00AFEF"/>
          </w:tcPr>
          <w:p w14:paraId="5283AC98" w14:textId="77777777" w:rsidR="008715BE" w:rsidRPr="00EC75B7" w:rsidRDefault="008715BE">
            <w:pPr>
              <w:pStyle w:val="TableParagraph"/>
              <w:spacing w:before="1"/>
              <w:rPr>
                <w:rFonts w:ascii="Verdana" w:hAnsi="Verdana"/>
                <w:b/>
                <w:sz w:val="18"/>
                <w:szCs w:val="18"/>
              </w:rPr>
            </w:pPr>
          </w:p>
          <w:p w14:paraId="20811D6F" w14:textId="77777777" w:rsidR="008715BE" w:rsidRPr="00EC75B7" w:rsidRDefault="00000000">
            <w:pPr>
              <w:pStyle w:val="TableParagraph"/>
              <w:ind w:left="107"/>
              <w:rPr>
                <w:rFonts w:ascii="Verdana" w:hAnsi="Verdana"/>
                <w:b/>
                <w:sz w:val="18"/>
                <w:szCs w:val="18"/>
              </w:rPr>
            </w:pPr>
            <w:r w:rsidRPr="00EC75B7">
              <w:rPr>
                <w:rFonts w:ascii="Verdana" w:hAnsi="Verdana"/>
                <w:b/>
                <w:color w:val="FFFFFF"/>
                <w:sz w:val="18"/>
                <w:szCs w:val="18"/>
              </w:rPr>
              <w:t xml:space="preserve">RA7: </w:t>
            </w:r>
            <w:r w:rsidRPr="00EC75B7">
              <w:rPr>
                <w:rFonts w:ascii="Verdana" w:hAnsi="Verdana"/>
                <w:b/>
                <w:color w:val="FFFFFF"/>
                <w:spacing w:val="-2"/>
                <w:sz w:val="18"/>
                <w:szCs w:val="18"/>
              </w:rPr>
              <w:t xml:space="preserve">Cultural </w:t>
            </w:r>
            <w:r w:rsidRPr="00EC75B7">
              <w:rPr>
                <w:rFonts w:ascii="Verdana" w:hAnsi="Verdana"/>
                <w:b/>
                <w:color w:val="FFFFFF"/>
                <w:sz w:val="18"/>
                <w:szCs w:val="18"/>
              </w:rPr>
              <w:t>heritage</w:t>
            </w:r>
          </w:p>
        </w:tc>
        <w:tc>
          <w:tcPr>
            <w:tcW w:w="2522" w:type="dxa"/>
            <w:gridSpan w:val="3"/>
          </w:tcPr>
          <w:p w14:paraId="1452F97A" w14:textId="77777777" w:rsidR="008715BE" w:rsidRPr="00EC75B7" w:rsidRDefault="00000000">
            <w:pPr>
              <w:pStyle w:val="TableParagraph"/>
              <w:spacing w:line="190" w:lineRule="exact"/>
              <w:ind w:left="105"/>
              <w:rPr>
                <w:rFonts w:ascii="Verdana" w:hAnsi="Verdana"/>
                <w:sz w:val="18"/>
                <w:szCs w:val="18"/>
              </w:rPr>
            </w:pPr>
            <w:r w:rsidRPr="00EC75B7">
              <w:rPr>
                <w:rFonts w:ascii="Verdana" w:hAnsi="Verdana"/>
                <w:spacing w:val="-2"/>
                <w:sz w:val="18"/>
                <w:szCs w:val="18"/>
              </w:rPr>
              <w:t xml:space="preserve">Insignificant </w:t>
            </w:r>
            <w:r w:rsidRPr="00EC75B7">
              <w:rPr>
                <w:rFonts w:ascii="Verdana" w:hAnsi="Verdana"/>
                <w:sz w:val="18"/>
                <w:szCs w:val="18"/>
              </w:rPr>
              <w:t>impact</w:t>
            </w:r>
            <w:r w:rsidRPr="00EC75B7">
              <w:rPr>
                <w:rFonts w:ascii="Verdana" w:hAnsi="Verdana"/>
                <w:spacing w:val="-2"/>
                <w:sz w:val="18"/>
                <w:szCs w:val="18"/>
              </w:rPr>
              <w:t>.</w:t>
            </w:r>
          </w:p>
        </w:tc>
        <w:tc>
          <w:tcPr>
            <w:tcW w:w="2510" w:type="dxa"/>
            <w:gridSpan w:val="5"/>
          </w:tcPr>
          <w:p w14:paraId="4E39821B" w14:textId="77777777" w:rsidR="008715BE" w:rsidRPr="00EC75B7" w:rsidRDefault="00000000">
            <w:pPr>
              <w:pStyle w:val="TableParagraph"/>
              <w:ind w:left="106"/>
              <w:rPr>
                <w:rFonts w:ascii="Verdana" w:hAnsi="Verdana"/>
                <w:sz w:val="18"/>
                <w:szCs w:val="18"/>
              </w:rPr>
            </w:pPr>
            <w:r w:rsidRPr="00EC75B7">
              <w:rPr>
                <w:rFonts w:ascii="Verdana" w:hAnsi="Verdana"/>
                <w:sz w:val="18"/>
                <w:szCs w:val="18"/>
              </w:rPr>
              <w:t>Short-term impact. Possible recovery or repair.</w:t>
            </w:r>
          </w:p>
        </w:tc>
        <w:tc>
          <w:tcPr>
            <w:tcW w:w="2860" w:type="dxa"/>
          </w:tcPr>
          <w:p w14:paraId="0F4115E9" w14:textId="77777777" w:rsidR="008715BE" w:rsidRPr="00EC75B7" w:rsidRDefault="00000000">
            <w:pPr>
              <w:pStyle w:val="TableParagraph"/>
              <w:ind w:left="113"/>
              <w:rPr>
                <w:rFonts w:ascii="Verdana" w:hAnsi="Verdana"/>
                <w:sz w:val="18"/>
                <w:szCs w:val="18"/>
              </w:rPr>
            </w:pPr>
            <w:r w:rsidRPr="00EC75B7">
              <w:rPr>
                <w:rFonts w:ascii="Verdana" w:hAnsi="Verdana"/>
                <w:sz w:val="18"/>
                <w:szCs w:val="18"/>
              </w:rPr>
              <w:t xml:space="preserve">Serious damage with widespread impact on </w:t>
            </w:r>
            <w:r w:rsidRPr="00EC75B7">
              <w:rPr>
                <w:rFonts w:ascii="Verdana" w:hAnsi="Verdana"/>
                <w:spacing w:val="-2"/>
                <w:sz w:val="18"/>
                <w:szCs w:val="18"/>
              </w:rPr>
              <w:t>tourism.</w:t>
            </w:r>
          </w:p>
        </w:tc>
        <w:tc>
          <w:tcPr>
            <w:tcW w:w="2266" w:type="dxa"/>
            <w:gridSpan w:val="2"/>
          </w:tcPr>
          <w:p w14:paraId="4EF245CA" w14:textId="77777777" w:rsidR="008715BE" w:rsidRPr="00EC75B7" w:rsidRDefault="00000000">
            <w:pPr>
              <w:pStyle w:val="TableParagraph"/>
              <w:ind w:left="114"/>
              <w:rPr>
                <w:rFonts w:ascii="Verdana" w:hAnsi="Verdana"/>
                <w:sz w:val="18"/>
                <w:szCs w:val="18"/>
              </w:rPr>
            </w:pPr>
            <w:r w:rsidRPr="00EC75B7">
              <w:rPr>
                <w:rFonts w:ascii="Verdana" w:hAnsi="Verdana"/>
                <w:sz w:val="18"/>
                <w:szCs w:val="18"/>
              </w:rPr>
              <w:t>Significant damage with national and international impact.</w:t>
            </w:r>
          </w:p>
        </w:tc>
        <w:tc>
          <w:tcPr>
            <w:tcW w:w="2446" w:type="dxa"/>
          </w:tcPr>
          <w:p w14:paraId="3F6C2E6D" w14:textId="77777777" w:rsidR="008715BE" w:rsidRPr="00EC75B7" w:rsidRDefault="00000000">
            <w:pPr>
              <w:pStyle w:val="TableParagraph"/>
              <w:ind w:left="116"/>
              <w:rPr>
                <w:rFonts w:ascii="Verdana" w:hAnsi="Verdana"/>
                <w:sz w:val="18"/>
                <w:szCs w:val="18"/>
              </w:rPr>
            </w:pPr>
            <w:r w:rsidRPr="00EC75B7">
              <w:rPr>
                <w:rFonts w:ascii="Verdana" w:hAnsi="Verdana"/>
                <w:sz w:val="18"/>
                <w:szCs w:val="18"/>
              </w:rPr>
              <w:t>Permanent loss with major impact on society.</w:t>
            </w:r>
          </w:p>
        </w:tc>
      </w:tr>
    </w:tbl>
    <w:p w14:paraId="424D9141" w14:textId="77777777" w:rsidR="008715BE" w:rsidRPr="00EC75B7" w:rsidRDefault="008715BE">
      <w:pPr>
        <w:pStyle w:val="TableParagraph"/>
        <w:rPr>
          <w:rFonts w:ascii="Verdana" w:hAnsi="Verdana"/>
          <w:sz w:val="18"/>
          <w:szCs w:val="18"/>
        </w:rPr>
        <w:sectPr w:rsidR="008715BE" w:rsidRPr="00EC75B7">
          <w:headerReference w:type="default" r:id="rId310"/>
          <w:footerReference w:type="default" r:id="rId311"/>
          <w:pgSz w:w="16840" w:h="11910" w:orient="landscape"/>
          <w:pgMar w:top="760" w:right="425" w:bottom="1020" w:left="850" w:header="0" w:footer="824" w:gutter="0"/>
          <w:cols w:space="708"/>
        </w:sectPr>
      </w:pPr>
    </w:p>
    <w:p w14:paraId="34CA2FD9" w14:textId="77777777" w:rsidR="008715BE" w:rsidRPr="00EC75B7" w:rsidRDefault="00000000">
      <w:pPr>
        <w:pStyle w:val="BodyText"/>
        <w:spacing w:before="99" w:line="360" w:lineRule="auto"/>
        <w:ind w:left="57" w:right="64"/>
        <w:rPr>
          <w:rFonts w:ascii="Verdana" w:hAnsi="Verdana"/>
        </w:rPr>
      </w:pPr>
      <w:r w:rsidRPr="00EC75B7">
        <w:rPr>
          <w:rFonts w:ascii="Verdana" w:hAnsi="Verdana"/>
        </w:rPr>
        <w:lastRenderedPageBreak/>
        <w:t>According to the Guide to Climate Change Adaptation and Risk Assessment in the Danube Macroregion (SEERISK, 2014), the methodological steps of a risk analysis are:</w:t>
      </w:r>
    </w:p>
    <w:p w14:paraId="4B9A6B60" w14:textId="77777777" w:rsidR="008715BE" w:rsidRPr="00EC75B7" w:rsidRDefault="00000000">
      <w:pPr>
        <w:pStyle w:val="ListParagraph"/>
        <w:numPr>
          <w:ilvl w:val="0"/>
          <w:numId w:val="8"/>
        </w:numPr>
        <w:tabs>
          <w:tab w:val="left" w:pos="340"/>
        </w:tabs>
        <w:spacing w:before="117"/>
        <w:ind w:left="340" w:hanging="283"/>
        <w:rPr>
          <w:rFonts w:ascii="Verdana" w:hAnsi="Verdana"/>
          <w:sz w:val="18"/>
          <w:szCs w:val="18"/>
        </w:rPr>
      </w:pPr>
      <w:r w:rsidRPr="00EC75B7">
        <w:rPr>
          <w:rFonts w:ascii="Verdana" w:hAnsi="Verdana"/>
          <w:sz w:val="18"/>
          <w:szCs w:val="18"/>
        </w:rPr>
        <w:t xml:space="preserve">establishing the context and identifying </w:t>
      </w:r>
      <w:r w:rsidRPr="00EC75B7">
        <w:rPr>
          <w:rFonts w:ascii="Verdana" w:hAnsi="Verdana"/>
          <w:spacing w:val="-2"/>
          <w:sz w:val="18"/>
          <w:szCs w:val="18"/>
        </w:rPr>
        <w:t>the risk;</w:t>
      </w:r>
    </w:p>
    <w:p w14:paraId="7E163004" w14:textId="77777777" w:rsidR="008715BE" w:rsidRPr="00EC75B7" w:rsidRDefault="00000000">
      <w:pPr>
        <w:pStyle w:val="ListParagraph"/>
        <w:numPr>
          <w:ilvl w:val="0"/>
          <w:numId w:val="8"/>
        </w:numPr>
        <w:tabs>
          <w:tab w:val="left" w:pos="340"/>
        </w:tabs>
        <w:spacing w:before="109"/>
        <w:ind w:left="340" w:hanging="283"/>
        <w:rPr>
          <w:rFonts w:ascii="Verdana" w:hAnsi="Verdana"/>
          <w:sz w:val="18"/>
          <w:szCs w:val="18"/>
        </w:rPr>
      </w:pPr>
      <w:r w:rsidRPr="00EC75B7">
        <w:rPr>
          <w:rFonts w:ascii="Verdana" w:hAnsi="Verdana"/>
          <w:sz w:val="18"/>
          <w:szCs w:val="18"/>
        </w:rPr>
        <w:t xml:space="preserve">developing scenarios with the determination of the probability of occurrence of a particular </w:t>
      </w:r>
      <w:r w:rsidRPr="00EC75B7">
        <w:rPr>
          <w:rFonts w:ascii="Verdana" w:hAnsi="Verdana"/>
          <w:spacing w:val="-2"/>
          <w:sz w:val="18"/>
          <w:szCs w:val="18"/>
        </w:rPr>
        <w:t>hazard;</w:t>
      </w:r>
    </w:p>
    <w:p w14:paraId="343D0A1B" w14:textId="77777777" w:rsidR="008715BE" w:rsidRPr="00EC75B7" w:rsidRDefault="00000000">
      <w:pPr>
        <w:pStyle w:val="ListParagraph"/>
        <w:numPr>
          <w:ilvl w:val="0"/>
          <w:numId w:val="8"/>
        </w:numPr>
        <w:tabs>
          <w:tab w:val="left" w:pos="340"/>
        </w:tabs>
        <w:spacing w:before="109"/>
        <w:ind w:left="340" w:hanging="283"/>
        <w:rPr>
          <w:rFonts w:ascii="Verdana" w:hAnsi="Verdana"/>
          <w:sz w:val="18"/>
          <w:szCs w:val="18"/>
        </w:rPr>
      </w:pPr>
      <w:r w:rsidRPr="00EC75B7">
        <w:rPr>
          <w:rFonts w:ascii="Verdana" w:hAnsi="Verdana"/>
          <w:sz w:val="18"/>
          <w:szCs w:val="18"/>
        </w:rPr>
        <w:t xml:space="preserve">assessing the impact of this specific hazard on the selected element at </w:t>
      </w:r>
      <w:r w:rsidRPr="00EC75B7">
        <w:rPr>
          <w:rFonts w:ascii="Verdana" w:hAnsi="Verdana"/>
          <w:spacing w:val="-2"/>
          <w:sz w:val="18"/>
          <w:szCs w:val="18"/>
        </w:rPr>
        <w:t>risk;</w:t>
      </w:r>
    </w:p>
    <w:p w14:paraId="24B98301" w14:textId="77777777" w:rsidR="008715BE" w:rsidRPr="00EC75B7" w:rsidRDefault="00000000">
      <w:pPr>
        <w:pStyle w:val="ListParagraph"/>
        <w:numPr>
          <w:ilvl w:val="0"/>
          <w:numId w:val="8"/>
        </w:numPr>
        <w:tabs>
          <w:tab w:val="left" w:pos="340"/>
        </w:tabs>
        <w:spacing w:before="107"/>
        <w:ind w:left="340" w:hanging="283"/>
        <w:rPr>
          <w:rFonts w:ascii="Verdana" w:hAnsi="Verdana"/>
          <w:sz w:val="18"/>
          <w:szCs w:val="18"/>
        </w:rPr>
      </w:pPr>
      <w:r w:rsidRPr="00EC75B7">
        <w:rPr>
          <w:rFonts w:ascii="Verdana" w:hAnsi="Verdana"/>
          <w:sz w:val="18"/>
          <w:szCs w:val="18"/>
        </w:rPr>
        <w:t xml:space="preserve">defining risk levels/risk classification (quantitative or </w:t>
      </w:r>
      <w:r w:rsidRPr="00EC75B7">
        <w:rPr>
          <w:rFonts w:ascii="Verdana" w:hAnsi="Verdana"/>
          <w:spacing w:val="-2"/>
          <w:sz w:val="18"/>
          <w:szCs w:val="18"/>
        </w:rPr>
        <w:t>qualitative).</w:t>
      </w:r>
    </w:p>
    <w:p w14:paraId="7BE384FE" w14:textId="77777777" w:rsidR="008715BE" w:rsidRPr="00EC75B7" w:rsidRDefault="00000000">
      <w:pPr>
        <w:pStyle w:val="BodyText"/>
        <w:spacing w:before="170"/>
        <w:rPr>
          <w:rFonts w:ascii="Verdana" w:hAnsi="Verdana"/>
        </w:rPr>
      </w:pPr>
      <w:r w:rsidRPr="00EC75B7">
        <w:rPr>
          <w:rFonts w:ascii="Verdana" w:hAnsi="Verdana"/>
          <w:noProof/>
        </w:rPr>
        <w:drawing>
          <wp:anchor distT="0" distB="0" distL="0" distR="0" simplePos="0" relativeHeight="251838464" behindDoc="1" locked="0" layoutInCell="1" allowOverlap="1" wp14:anchorId="64D1B2AD" wp14:editId="5BC07D6C">
            <wp:simplePos x="0" y="0"/>
            <wp:positionH relativeFrom="page">
              <wp:posOffset>1018423</wp:posOffset>
            </wp:positionH>
            <wp:positionV relativeFrom="paragraph">
              <wp:posOffset>278816</wp:posOffset>
            </wp:positionV>
            <wp:extent cx="5991579" cy="3614928"/>
            <wp:effectExtent l="0" t="0" r="0" b="0"/>
            <wp:wrapTopAndBottom/>
            <wp:docPr id="631" name="Image 631"/>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312" cstate="print"/>
                    <a:stretch>
                      <a:fillRect/>
                    </a:stretch>
                  </pic:blipFill>
                  <pic:spPr>
                    <a:xfrm>
                      <a:off x="0" y="0"/>
                      <a:ext cx="5991579" cy="3614928"/>
                    </a:xfrm>
                    <a:prstGeom prst="rect">
                      <a:avLst/>
                    </a:prstGeom>
                  </pic:spPr>
                </pic:pic>
              </a:graphicData>
            </a:graphic>
          </wp:anchor>
        </w:drawing>
      </w:r>
    </w:p>
    <w:p w14:paraId="6271F6FD" w14:textId="77777777" w:rsidR="008715BE" w:rsidRPr="00EC75B7" w:rsidRDefault="008715BE">
      <w:pPr>
        <w:pStyle w:val="BodyText"/>
        <w:rPr>
          <w:rFonts w:ascii="Verdana" w:hAnsi="Verdana"/>
        </w:rPr>
      </w:pPr>
    </w:p>
    <w:p w14:paraId="491D2558" w14:textId="77777777" w:rsidR="008715BE" w:rsidRPr="00EC75B7" w:rsidRDefault="008715BE">
      <w:pPr>
        <w:pStyle w:val="BodyText"/>
        <w:rPr>
          <w:rFonts w:ascii="Verdana" w:hAnsi="Verdana"/>
        </w:rPr>
      </w:pPr>
    </w:p>
    <w:p w14:paraId="7E2E8E36" w14:textId="77777777" w:rsidR="008715BE" w:rsidRPr="00EC75B7" w:rsidRDefault="008715BE">
      <w:pPr>
        <w:pStyle w:val="BodyText"/>
        <w:rPr>
          <w:rFonts w:ascii="Verdana" w:hAnsi="Verdana"/>
        </w:rPr>
      </w:pPr>
    </w:p>
    <w:p w14:paraId="5B12A760" w14:textId="77777777" w:rsidR="008715BE" w:rsidRPr="00EC75B7" w:rsidRDefault="008715BE">
      <w:pPr>
        <w:pStyle w:val="BodyText"/>
        <w:spacing w:before="51"/>
        <w:rPr>
          <w:rFonts w:ascii="Verdana" w:hAnsi="Verdana"/>
        </w:rPr>
      </w:pPr>
    </w:p>
    <w:p w14:paraId="75ABEE28" w14:textId="77777777" w:rsidR="008715BE" w:rsidRPr="00EC75B7" w:rsidRDefault="00000000">
      <w:pPr>
        <w:ind w:left="878" w:right="1103"/>
        <w:jc w:val="center"/>
        <w:rPr>
          <w:rFonts w:ascii="Verdana" w:hAnsi="Verdana"/>
          <w:b/>
          <w:sz w:val="18"/>
          <w:szCs w:val="18"/>
        </w:rPr>
      </w:pPr>
      <w:r w:rsidRPr="00EC75B7">
        <w:rPr>
          <w:rFonts w:ascii="Verdana" w:hAnsi="Verdana"/>
          <w:b/>
          <w:color w:val="009DEF"/>
          <w:sz w:val="18"/>
          <w:szCs w:val="18"/>
        </w:rPr>
        <w:t xml:space="preserve">Figure 73 Illustrative diagram for defining </w:t>
      </w:r>
      <w:r w:rsidRPr="00EC75B7">
        <w:rPr>
          <w:rFonts w:ascii="Verdana" w:hAnsi="Verdana"/>
          <w:b/>
          <w:color w:val="009DEF"/>
          <w:spacing w:val="-2"/>
          <w:sz w:val="18"/>
          <w:szCs w:val="18"/>
        </w:rPr>
        <w:t>risk</w:t>
      </w:r>
    </w:p>
    <w:p w14:paraId="5FDC5E07" w14:textId="77777777" w:rsidR="008715BE" w:rsidRPr="00EC75B7" w:rsidRDefault="00000000">
      <w:pPr>
        <w:spacing w:before="100"/>
        <w:ind w:left="878" w:right="1104"/>
        <w:jc w:val="center"/>
        <w:rPr>
          <w:rFonts w:ascii="Verdana" w:hAnsi="Verdana"/>
          <w:sz w:val="18"/>
          <w:szCs w:val="18"/>
        </w:rPr>
      </w:pPr>
      <w:r w:rsidRPr="00EC75B7">
        <w:rPr>
          <w:rFonts w:ascii="Verdana" w:hAnsi="Verdana"/>
          <w:color w:val="009DEF"/>
          <w:sz w:val="18"/>
          <w:szCs w:val="18"/>
        </w:rPr>
        <w:t xml:space="preserve">Source: IPPC, </w:t>
      </w:r>
      <w:r w:rsidRPr="00EC75B7">
        <w:rPr>
          <w:rFonts w:ascii="Verdana" w:hAnsi="Verdana"/>
          <w:color w:val="009DEF"/>
          <w:spacing w:val="-5"/>
          <w:sz w:val="18"/>
          <w:szCs w:val="18"/>
        </w:rPr>
        <w:t>AR5</w:t>
      </w:r>
    </w:p>
    <w:p w14:paraId="24102928" w14:textId="77777777" w:rsidR="008715BE" w:rsidRPr="00EC75B7" w:rsidRDefault="008715BE">
      <w:pPr>
        <w:pStyle w:val="BodyText"/>
        <w:spacing w:before="63"/>
        <w:rPr>
          <w:rFonts w:ascii="Verdana" w:hAnsi="Verdana"/>
        </w:rPr>
      </w:pPr>
    </w:p>
    <w:p w14:paraId="1B07AB9D" w14:textId="77777777" w:rsidR="008715BE" w:rsidRPr="00EC75B7" w:rsidRDefault="00000000">
      <w:pPr>
        <w:pStyle w:val="BodyText"/>
        <w:spacing w:line="360" w:lineRule="auto"/>
        <w:ind w:left="57" w:right="291"/>
        <w:jc w:val="both"/>
        <w:rPr>
          <w:rFonts w:ascii="Verdana" w:hAnsi="Verdana"/>
        </w:rPr>
      </w:pPr>
      <w:r w:rsidRPr="00EC75B7">
        <w:rPr>
          <w:rFonts w:ascii="Verdana" w:hAnsi="Verdana"/>
        </w:rPr>
        <w:t>In this case, risk is assessed as a function of the probability of damage occurring and the likely consequences/severity, and is thus understood as a measure of the magnitude of a natural hazard. In this context, the identified risk has the meaning presented below.</w:t>
      </w:r>
    </w:p>
    <w:p w14:paraId="104F75D6" w14:textId="77777777" w:rsidR="008715BE" w:rsidRPr="00EC75B7" w:rsidRDefault="008715BE">
      <w:pPr>
        <w:pStyle w:val="BodyText"/>
        <w:spacing w:line="360" w:lineRule="auto"/>
        <w:jc w:val="both"/>
        <w:rPr>
          <w:rFonts w:ascii="Verdana" w:hAnsi="Verdana"/>
        </w:rPr>
        <w:sectPr w:rsidR="008715BE" w:rsidRPr="00EC75B7">
          <w:headerReference w:type="default" r:id="rId313"/>
          <w:footerReference w:type="default" r:id="rId314"/>
          <w:pgSz w:w="11910" w:h="16840"/>
          <w:pgMar w:top="1320" w:right="708" w:bottom="1020" w:left="1133" w:header="766" w:footer="824" w:gutter="0"/>
          <w:pgNumType w:start="291"/>
          <w:cols w:space="708"/>
        </w:sectPr>
      </w:pPr>
    </w:p>
    <w:p w14:paraId="53685760" w14:textId="77777777" w:rsidR="008715BE" w:rsidRPr="00EC75B7" w:rsidRDefault="00000000">
      <w:pPr>
        <w:spacing w:before="164"/>
        <w:ind w:left="57"/>
        <w:jc w:val="both"/>
        <w:rPr>
          <w:rFonts w:ascii="Verdana" w:hAnsi="Verdana"/>
          <w:b/>
          <w:sz w:val="18"/>
          <w:szCs w:val="18"/>
        </w:rPr>
      </w:pPr>
      <w:r w:rsidRPr="00EC75B7">
        <w:rPr>
          <w:rFonts w:ascii="Verdana" w:hAnsi="Verdana"/>
          <w:b/>
          <w:color w:val="00AFEF"/>
          <w:sz w:val="18"/>
          <w:szCs w:val="18"/>
        </w:rPr>
        <w:lastRenderedPageBreak/>
        <w:t xml:space="preserve">Table 74 </w:t>
      </w:r>
      <w:r w:rsidRPr="00EC75B7">
        <w:rPr>
          <w:rFonts w:ascii="Verdana" w:hAnsi="Verdana"/>
          <w:b/>
          <w:color w:val="00AFEF"/>
          <w:spacing w:val="-2"/>
          <w:sz w:val="18"/>
          <w:szCs w:val="18"/>
        </w:rPr>
        <w:t xml:space="preserve">Risk </w:t>
      </w:r>
      <w:r w:rsidRPr="00EC75B7">
        <w:rPr>
          <w:rFonts w:ascii="Verdana" w:hAnsi="Verdana"/>
          <w:b/>
          <w:color w:val="00AFEF"/>
          <w:sz w:val="18"/>
          <w:szCs w:val="18"/>
        </w:rPr>
        <w:t>assessment matrix</w:t>
      </w:r>
    </w:p>
    <w:tbl>
      <w:tblPr>
        <w:tblStyle w:val="TableNormal1"/>
        <w:tblW w:w="0" w:type="auto"/>
        <w:tblInd w:w="60" w:type="dxa"/>
        <w:tblLayout w:type="fixed"/>
        <w:tblLook w:val="01E0" w:firstRow="1" w:lastRow="1" w:firstColumn="1" w:lastColumn="1" w:noHBand="0" w:noVBand="0"/>
      </w:tblPr>
      <w:tblGrid>
        <w:gridCol w:w="440"/>
        <w:gridCol w:w="1551"/>
        <w:gridCol w:w="335"/>
        <w:gridCol w:w="988"/>
        <w:gridCol w:w="1214"/>
        <w:gridCol w:w="958"/>
        <w:gridCol w:w="1118"/>
        <w:gridCol w:w="1053"/>
      </w:tblGrid>
      <w:tr w:rsidR="008715BE" w:rsidRPr="00EC75B7" w14:paraId="6F4FBFCD" w14:textId="77777777">
        <w:trPr>
          <w:trHeight w:val="290"/>
        </w:trPr>
        <w:tc>
          <w:tcPr>
            <w:tcW w:w="7657" w:type="dxa"/>
            <w:gridSpan w:val="8"/>
            <w:shd w:val="clear" w:color="auto" w:fill="00AFEF"/>
          </w:tcPr>
          <w:p w14:paraId="64ECE666" w14:textId="77777777" w:rsidR="008715BE" w:rsidRPr="00EC75B7" w:rsidRDefault="00000000">
            <w:pPr>
              <w:pStyle w:val="TableParagraph"/>
              <w:spacing w:before="76" w:line="194" w:lineRule="exact"/>
              <w:ind w:left="2102"/>
              <w:rPr>
                <w:rFonts w:ascii="Verdana" w:hAnsi="Verdana"/>
                <w:b/>
                <w:sz w:val="18"/>
                <w:szCs w:val="18"/>
              </w:rPr>
            </w:pPr>
            <w:r w:rsidRPr="00EC75B7">
              <w:rPr>
                <w:rFonts w:ascii="Verdana" w:hAnsi="Verdana"/>
                <w:b/>
                <w:color w:val="FFFFFF"/>
                <w:spacing w:val="-2"/>
                <w:sz w:val="18"/>
                <w:szCs w:val="18"/>
              </w:rPr>
              <w:t xml:space="preserve">Probability x Severity = </w:t>
            </w:r>
            <w:r w:rsidRPr="00EC75B7">
              <w:rPr>
                <w:rFonts w:ascii="Verdana" w:hAnsi="Verdana"/>
                <w:b/>
                <w:color w:val="FFFFFF"/>
                <w:spacing w:val="-4"/>
                <w:sz w:val="18"/>
                <w:szCs w:val="18"/>
              </w:rPr>
              <w:t>RISK</w:t>
            </w:r>
          </w:p>
        </w:tc>
      </w:tr>
      <w:tr w:rsidR="008715BE" w:rsidRPr="00EC75B7" w14:paraId="5E02D04B" w14:textId="77777777">
        <w:trPr>
          <w:trHeight w:val="225"/>
        </w:trPr>
        <w:tc>
          <w:tcPr>
            <w:tcW w:w="440" w:type="dxa"/>
            <w:vMerge w:val="restart"/>
            <w:shd w:val="clear" w:color="auto" w:fill="00AFEF"/>
            <w:textDirection w:val="btLr"/>
          </w:tcPr>
          <w:p w14:paraId="617E1920" w14:textId="77777777" w:rsidR="008715BE" w:rsidRPr="00EC75B7" w:rsidRDefault="00000000">
            <w:pPr>
              <w:pStyle w:val="TableParagraph"/>
              <w:spacing w:before="136"/>
              <w:ind w:left="527"/>
              <w:rPr>
                <w:rFonts w:ascii="Verdana" w:hAnsi="Verdana"/>
                <w:b/>
                <w:sz w:val="18"/>
                <w:szCs w:val="18"/>
              </w:rPr>
            </w:pPr>
            <w:r w:rsidRPr="00EC75B7">
              <w:rPr>
                <w:rFonts w:ascii="Verdana" w:hAnsi="Verdana"/>
                <w:b/>
                <w:color w:val="FFFFFF"/>
                <w:spacing w:val="-2"/>
                <w:sz w:val="18"/>
                <w:szCs w:val="18"/>
              </w:rPr>
              <w:t xml:space="preserve">Severity </w:t>
            </w:r>
            <w:r w:rsidRPr="00EC75B7">
              <w:rPr>
                <w:rFonts w:ascii="Verdana" w:hAnsi="Verdana"/>
                <w:b/>
                <w:color w:val="FFFFFF"/>
                <w:sz w:val="18"/>
                <w:szCs w:val="18"/>
              </w:rPr>
              <w:t>score</w:t>
            </w:r>
          </w:p>
        </w:tc>
        <w:tc>
          <w:tcPr>
            <w:tcW w:w="7217" w:type="dxa"/>
            <w:gridSpan w:val="7"/>
            <w:shd w:val="clear" w:color="auto" w:fill="00AFEF"/>
          </w:tcPr>
          <w:p w14:paraId="3D96D1FE" w14:textId="77777777" w:rsidR="008715BE" w:rsidRPr="00EC75B7" w:rsidRDefault="00000000">
            <w:pPr>
              <w:pStyle w:val="TableParagraph"/>
              <w:spacing w:before="11" w:line="194" w:lineRule="exact"/>
              <w:ind w:left="1662"/>
              <w:rPr>
                <w:rFonts w:ascii="Verdana" w:hAnsi="Verdana"/>
                <w:b/>
                <w:sz w:val="18"/>
                <w:szCs w:val="18"/>
              </w:rPr>
            </w:pPr>
            <w:r w:rsidRPr="00EC75B7">
              <w:rPr>
                <w:rFonts w:ascii="Verdana" w:hAnsi="Verdana"/>
                <w:b/>
                <w:color w:val="FFFFFF"/>
                <w:spacing w:val="-2"/>
                <w:sz w:val="18"/>
                <w:szCs w:val="18"/>
              </w:rPr>
              <w:t xml:space="preserve">Probability </w:t>
            </w:r>
            <w:r w:rsidRPr="00EC75B7">
              <w:rPr>
                <w:rFonts w:ascii="Verdana" w:hAnsi="Verdana"/>
                <w:b/>
                <w:color w:val="FFFFFF"/>
                <w:sz w:val="18"/>
                <w:szCs w:val="18"/>
              </w:rPr>
              <w:t>Score</w:t>
            </w:r>
          </w:p>
        </w:tc>
      </w:tr>
      <w:tr w:rsidR="008715BE" w:rsidRPr="00EC75B7" w14:paraId="22F5692D" w14:textId="77777777">
        <w:trPr>
          <w:trHeight w:val="388"/>
        </w:trPr>
        <w:tc>
          <w:tcPr>
            <w:tcW w:w="440" w:type="dxa"/>
            <w:vMerge/>
            <w:tcBorders>
              <w:top w:val="nil"/>
            </w:tcBorders>
            <w:shd w:val="clear" w:color="auto" w:fill="00AFEF"/>
            <w:textDirection w:val="btLr"/>
          </w:tcPr>
          <w:p w14:paraId="2CFDB0FA" w14:textId="77777777" w:rsidR="008715BE" w:rsidRPr="00EC75B7" w:rsidRDefault="008715BE">
            <w:pPr>
              <w:rPr>
                <w:rFonts w:ascii="Verdana" w:hAnsi="Verdana"/>
                <w:sz w:val="18"/>
                <w:szCs w:val="18"/>
              </w:rPr>
            </w:pPr>
          </w:p>
        </w:tc>
        <w:tc>
          <w:tcPr>
            <w:tcW w:w="1551" w:type="dxa"/>
            <w:shd w:val="clear" w:color="auto" w:fill="001F5F"/>
          </w:tcPr>
          <w:p w14:paraId="1B7B3798" w14:textId="77777777" w:rsidR="008715BE" w:rsidRPr="00EC75B7" w:rsidRDefault="008715BE">
            <w:pPr>
              <w:pStyle w:val="TableParagraph"/>
              <w:rPr>
                <w:rFonts w:ascii="Verdana" w:hAnsi="Verdana"/>
                <w:sz w:val="18"/>
                <w:szCs w:val="18"/>
              </w:rPr>
            </w:pPr>
          </w:p>
        </w:tc>
        <w:tc>
          <w:tcPr>
            <w:tcW w:w="335" w:type="dxa"/>
            <w:shd w:val="clear" w:color="auto" w:fill="001F5F"/>
          </w:tcPr>
          <w:p w14:paraId="611094B7" w14:textId="77777777" w:rsidR="008715BE" w:rsidRPr="00EC75B7" w:rsidRDefault="008715BE">
            <w:pPr>
              <w:pStyle w:val="TableParagraph"/>
              <w:rPr>
                <w:rFonts w:ascii="Verdana" w:hAnsi="Verdana"/>
                <w:sz w:val="18"/>
                <w:szCs w:val="18"/>
              </w:rPr>
            </w:pPr>
          </w:p>
        </w:tc>
        <w:tc>
          <w:tcPr>
            <w:tcW w:w="988" w:type="dxa"/>
            <w:tcBorders>
              <w:bottom w:val="single" w:sz="4" w:space="0" w:color="D9D9D9"/>
            </w:tcBorders>
            <w:shd w:val="clear" w:color="auto" w:fill="001F5F"/>
          </w:tcPr>
          <w:p w14:paraId="542609CB" w14:textId="77777777" w:rsidR="008715BE" w:rsidRPr="00EC75B7" w:rsidRDefault="00000000">
            <w:pPr>
              <w:pStyle w:val="TableParagraph"/>
              <w:spacing w:before="93"/>
              <w:ind w:left="14" w:right="13"/>
              <w:jc w:val="center"/>
              <w:rPr>
                <w:rFonts w:ascii="Verdana" w:hAnsi="Verdana"/>
                <w:b/>
                <w:sz w:val="18"/>
                <w:szCs w:val="18"/>
              </w:rPr>
            </w:pPr>
            <w:r w:rsidRPr="00EC75B7">
              <w:rPr>
                <w:rFonts w:ascii="Verdana" w:hAnsi="Verdana"/>
                <w:b/>
                <w:color w:val="FFFFFF"/>
                <w:spacing w:val="-5"/>
                <w:sz w:val="18"/>
                <w:szCs w:val="18"/>
              </w:rPr>
              <w:t>Rare</w:t>
            </w:r>
          </w:p>
        </w:tc>
        <w:tc>
          <w:tcPr>
            <w:tcW w:w="1214" w:type="dxa"/>
            <w:tcBorders>
              <w:bottom w:val="single" w:sz="4" w:space="0" w:color="D9D9D9"/>
            </w:tcBorders>
            <w:shd w:val="clear" w:color="auto" w:fill="001F5F"/>
          </w:tcPr>
          <w:p w14:paraId="52529E5E" w14:textId="77777777" w:rsidR="008715BE" w:rsidRPr="00EC75B7" w:rsidRDefault="00000000">
            <w:pPr>
              <w:pStyle w:val="TableParagraph"/>
              <w:spacing w:before="93"/>
              <w:ind w:left="9"/>
              <w:jc w:val="center"/>
              <w:rPr>
                <w:rFonts w:ascii="Verdana" w:hAnsi="Verdana"/>
                <w:b/>
                <w:sz w:val="18"/>
                <w:szCs w:val="18"/>
              </w:rPr>
            </w:pPr>
            <w:r w:rsidRPr="00EC75B7">
              <w:rPr>
                <w:rFonts w:ascii="Verdana" w:hAnsi="Verdana"/>
                <w:b/>
                <w:color w:val="FFFFFF"/>
                <w:spacing w:val="-2"/>
                <w:sz w:val="18"/>
                <w:szCs w:val="18"/>
              </w:rPr>
              <w:t>Unlikely</w:t>
            </w:r>
          </w:p>
        </w:tc>
        <w:tc>
          <w:tcPr>
            <w:tcW w:w="958" w:type="dxa"/>
            <w:tcBorders>
              <w:bottom w:val="single" w:sz="4" w:space="0" w:color="D9D9D9"/>
            </w:tcBorders>
            <w:shd w:val="clear" w:color="auto" w:fill="001F5F"/>
          </w:tcPr>
          <w:p w14:paraId="46924C06" w14:textId="77777777" w:rsidR="008715BE" w:rsidRPr="00EC75B7" w:rsidRDefault="00000000">
            <w:pPr>
              <w:pStyle w:val="TableParagraph"/>
              <w:spacing w:before="93"/>
              <w:ind w:left="112"/>
              <w:rPr>
                <w:rFonts w:ascii="Verdana" w:hAnsi="Verdana"/>
                <w:b/>
                <w:sz w:val="18"/>
                <w:szCs w:val="18"/>
              </w:rPr>
            </w:pPr>
            <w:r w:rsidRPr="00EC75B7">
              <w:rPr>
                <w:rFonts w:ascii="Verdana" w:hAnsi="Verdana"/>
                <w:b/>
                <w:color w:val="FFFFFF"/>
                <w:spacing w:val="-2"/>
                <w:sz w:val="18"/>
                <w:szCs w:val="18"/>
              </w:rPr>
              <w:t>Possible</w:t>
            </w:r>
          </w:p>
        </w:tc>
        <w:tc>
          <w:tcPr>
            <w:tcW w:w="1118" w:type="dxa"/>
            <w:tcBorders>
              <w:bottom w:val="single" w:sz="4" w:space="0" w:color="D9D9D9"/>
            </w:tcBorders>
            <w:shd w:val="clear" w:color="auto" w:fill="001F5F"/>
          </w:tcPr>
          <w:p w14:paraId="757B4DC8" w14:textId="77777777" w:rsidR="008715BE" w:rsidRPr="00EC75B7" w:rsidRDefault="00000000">
            <w:pPr>
              <w:pStyle w:val="TableParagraph"/>
              <w:spacing w:before="93"/>
              <w:ind w:left="13"/>
              <w:jc w:val="center"/>
              <w:rPr>
                <w:rFonts w:ascii="Verdana" w:hAnsi="Verdana"/>
                <w:b/>
                <w:sz w:val="18"/>
                <w:szCs w:val="18"/>
              </w:rPr>
            </w:pPr>
            <w:r w:rsidRPr="00EC75B7">
              <w:rPr>
                <w:rFonts w:ascii="Verdana" w:hAnsi="Verdana"/>
                <w:b/>
                <w:color w:val="FFFFFF"/>
                <w:spacing w:val="-2"/>
                <w:sz w:val="18"/>
                <w:szCs w:val="18"/>
              </w:rPr>
              <w:t>Likely</w:t>
            </w:r>
          </w:p>
        </w:tc>
        <w:tc>
          <w:tcPr>
            <w:tcW w:w="1053" w:type="dxa"/>
            <w:tcBorders>
              <w:bottom w:val="single" w:sz="4" w:space="0" w:color="D9D9D9"/>
            </w:tcBorders>
            <w:shd w:val="clear" w:color="auto" w:fill="001F5F"/>
          </w:tcPr>
          <w:p w14:paraId="1663D610" w14:textId="77777777" w:rsidR="008715BE" w:rsidRPr="00EC75B7" w:rsidRDefault="00000000">
            <w:pPr>
              <w:pStyle w:val="TableParagraph"/>
              <w:spacing w:line="189" w:lineRule="exact"/>
              <w:ind w:left="8" w:right="3"/>
              <w:jc w:val="center"/>
              <w:rPr>
                <w:rFonts w:ascii="Verdana" w:hAnsi="Verdana"/>
                <w:b/>
                <w:sz w:val="18"/>
                <w:szCs w:val="18"/>
              </w:rPr>
            </w:pPr>
            <w:r w:rsidRPr="00EC75B7">
              <w:rPr>
                <w:rFonts w:ascii="Verdana" w:hAnsi="Verdana"/>
                <w:b/>
                <w:color w:val="FFFFFF"/>
                <w:spacing w:val="-2"/>
                <w:sz w:val="18"/>
                <w:szCs w:val="18"/>
              </w:rPr>
              <w:t>Almost</w:t>
            </w:r>
          </w:p>
          <w:p w14:paraId="0F17E694" w14:textId="77777777" w:rsidR="008715BE" w:rsidRPr="00EC75B7" w:rsidRDefault="00000000">
            <w:pPr>
              <w:pStyle w:val="TableParagraph"/>
              <w:spacing w:line="179" w:lineRule="exact"/>
              <w:ind w:left="8" w:right="1"/>
              <w:jc w:val="center"/>
              <w:rPr>
                <w:rFonts w:ascii="Verdana" w:hAnsi="Verdana"/>
                <w:b/>
                <w:sz w:val="18"/>
                <w:szCs w:val="18"/>
              </w:rPr>
            </w:pPr>
            <w:r w:rsidRPr="00EC75B7">
              <w:rPr>
                <w:rFonts w:ascii="Verdana" w:hAnsi="Verdana"/>
                <w:b/>
                <w:color w:val="FFFFFF"/>
                <w:spacing w:val="-2"/>
                <w:sz w:val="18"/>
                <w:szCs w:val="18"/>
              </w:rPr>
              <w:t>Certain</w:t>
            </w:r>
          </w:p>
        </w:tc>
      </w:tr>
      <w:tr w:rsidR="008715BE" w:rsidRPr="00EC75B7" w14:paraId="796B54CA" w14:textId="77777777">
        <w:trPr>
          <w:trHeight w:val="193"/>
        </w:trPr>
        <w:tc>
          <w:tcPr>
            <w:tcW w:w="440" w:type="dxa"/>
            <w:vMerge/>
            <w:tcBorders>
              <w:top w:val="nil"/>
            </w:tcBorders>
            <w:shd w:val="clear" w:color="auto" w:fill="00AFEF"/>
            <w:textDirection w:val="btLr"/>
          </w:tcPr>
          <w:p w14:paraId="3BD099AC" w14:textId="77777777" w:rsidR="008715BE" w:rsidRPr="00EC75B7" w:rsidRDefault="008715BE">
            <w:pPr>
              <w:rPr>
                <w:rFonts w:ascii="Verdana" w:hAnsi="Verdana"/>
                <w:sz w:val="18"/>
                <w:szCs w:val="18"/>
              </w:rPr>
            </w:pPr>
          </w:p>
        </w:tc>
        <w:tc>
          <w:tcPr>
            <w:tcW w:w="1886" w:type="dxa"/>
            <w:gridSpan w:val="2"/>
            <w:tcBorders>
              <w:right w:val="single" w:sz="4" w:space="0" w:color="D9D9D9"/>
            </w:tcBorders>
            <w:shd w:val="clear" w:color="auto" w:fill="001F5F"/>
          </w:tcPr>
          <w:p w14:paraId="4CA42969" w14:textId="77777777" w:rsidR="008715BE" w:rsidRPr="00EC75B7" w:rsidRDefault="008715BE">
            <w:pPr>
              <w:pStyle w:val="TableParagraph"/>
              <w:rPr>
                <w:rFonts w:ascii="Verdana" w:hAnsi="Verdana"/>
                <w:sz w:val="18"/>
                <w:szCs w:val="18"/>
              </w:rPr>
            </w:pPr>
          </w:p>
        </w:tc>
        <w:tc>
          <w:tcPr>
            <w:tcW w:w="988" w:type="dxa"/>
            <w:tcBorders>
              <w:top w:val="single" w:sz="4" w:space="0" w:color="D9D9D9"/>
              <w:left w:val="single" w:sz="4" w:space="0" w:color="D9D9D9"/>
              <w:bottom w:val="single" w:sz="4" w:space="0" w:color="D9D9D9"/>
            </w:tcBorders>
            <w:shd w:val="clear" w:color="auto" w:fill="001F5F"/>
          </w:tcPr>
          <w:p w14:paraId="50D57763" w14:textId="77777777" w:rsidR="008715BE" w:rsidRPr="00EC75B7" w:rsidRDefault="00000000">
            <w:pPr>
              <w:pStyle w:val="TableParagraph"/>
              <w:spacing w:line="174" w:lineRule="exact"/>
              <w:ind w:left="1" w:right="1"/>
              <w:jc w:val="center"/>
              <w:rPr>
                <w:rFonts w:ascii="Verdana" w:hAnsi="Verdana"/>
                <w:b/>
                <w:sz w:val="18"/>
                <w:szCs w:val="18"/>
              </w:rPr>
            </w:pPr>
            <w:r w:rsidRPr="00EC75B7">
              <w:rPr>
                <w:rFonts w:ascii="Verdana" w:hAnsi="Verdana"/>
                <w:b/>
                <w:color w:val="FFFFFF"/>
                <w:spacing w:val="-10"/>
                <w:sz w:val="18"/>
                <w:szCs w:val="18"/>
              </w:rPr>
              <w:t>1</w:t>
            </w:r>
          </w:p>
        </w:tc>
        <w:tc>
          <w:tcPr>
            <w:tcW w:w="1214" w:type="dxa"/>
            <w:tcBorders>
              <w:top w:val="single" w:sz="4" w:space="0" w:color="D9D9D9"/>
              <w:bottom w:val="single" w:sz="4" w:space="0" w:color="D9D9D9"/>
            </w:tcBorders>
            <w:shd w:val="clear" w:color="auto" w:fill="001F5F"/>
          </w:tcPr>
          <w:p w14:paraId="2851ED6E" w14:textId="77777777" w:rsidR="008715BE" w:rsidRPr="00EC75B7" w:rsidRDefault="00000000">
            <w:pPr>
              <w:pStyle w:val="TableParagraph"/>
              <w:spacing w:line="174" w:lineRule="exact"/>
              <w:ind w:left="9" w:right="2"/>
              <w:jc w:val="center"/>
              <w:rPr>
                <w:rFonts w:ascii="Verdana" w:hAnsi="Verdana"/>
                <w:b/>
                <w:sz w:val="18"/>
                <w:szCs w:val="18"/>
              </w:rPr>
            </w:pPr>
            <w:r w:rsidRPr="00EC75B7">
              <w:rPr>
                <w:rFonts w:ascii="Verdana" w:hAnsi="Verdana"/>
                <w:b/>
                <w:color w:val="FFFFFF"/>
                <w:spacing w:val="-10"/>
                <w:sz w:val="18"/>
                <w:szCs w:val="18"/>
              </w:rPr>
              <w:t>2</w:t>
            </w:r>
          </w:p>
        </w:tc>
        <w:tc>
          <w:tcPr>
            <w:tcW w:w="958" w:type="dxa"/>
            <w:tcBorders>
              <w:top w:val="single" w:sz="4" w:space="0" w:color="D9D9D9"/>
              <w:bottom w:val="single" w:sz="4" w:space="0" w:color="D9D9D9"/>
            </w:tcBorders>
            <w:shd w:val="clear" w:color="auto" w:fill="001F5F"/>
          </w:tcPr>
          <w:p w14:paraId="6A0E4DFB" w14:textId="77777777" w:rsidR="008715BE" w:rsidRPr="00EC75B7" w:rsidRDefault="00000000">
            <w:pPr>
              <w:pStyle w:val="TableParagraph"/>
              <w:spacing w:line="174" w:lineRule="exact"/>
              <w:ind w:left="10" w:right="1"/>
              <w:jc w:val="center"/>
              <w:rPr>
                <w:rFonts w:ascii="Verdana" w:hAnsi="Verdana"/>
                <w:b/>
                <w:sz w:val="18"/>
                <w:szCs w:val="18"/>
              </w:rPr>
            </w:pPr>
            <w:r w:rsidRPr="00EC75B7">
              <w:rPr>
                <w:rFonts w:ascii="Verdana" w:hAnsi="Verdana"/>
                <w:b/>
                <w:color w:val="FFFFFF"/>
                <w:spacing w:val="-10"/>
                <w:sz w:val="18"/>
                <w:szCs w:val="18"/>
              </w:rPr>
              <w:t>3</w:t>
            </w:r>
          </w:p>
        </w:tc>
        <w:tc>
          <w:tcPr>
            <w:tcW w:w="1118" w:type="dxa"/>
            <w:tcBorders>
              <w:top w:val="single" w:sz="4" w:space="0" w:color="D9D9D9"/>
              <w:bottom w:val="single" w:sz="4" w:space="0" w:color="D9D9D9"/>
            </w:tcBorders>
            <w:shd w:val="clear" w:color="auto" w:fill="001F5F"/>
          </w:tcPr>
          <w:p w14:paraId="41D278CA" w14:textId="77777777" w:rsidR="008715BE" w:rsidRPr="00EC75B7" w:rsidRDefault="00000000">
            <w:pPr>
              <w:pStyle w:val="TableParagraph"/>
              <w:spacing w:line="174" w:lineRule="exact"/>
              <w:ind w:left="13" w:right="1"/>
              <w:jc w:val="center"/>
              <w:rPr>
                <w:rFonts w:ascii="Verdana" w:hAnsi="Verdana"/>
                <w:b/>
                <w:sz w:val="18"/>
                <w:szCs w:val="18"/>
              </w:rPr>
            </w:pPr>
            <w:r w:rsidRPr="00EC75B7">
              <w:rPr>
                <w:rFonts w:ascii="Verdana" w:hAnsi="Verdana"/>
                <w:b/>
                <w:color w:val="FFFFFF"/>
                <w:spacing w:val="-10"/>
                <w:sz w:val="18"/>
                <w:szCs w:val="18"/>
              </w:rPr>
              <w:t>4</w:t>
            </w:r>
          </w:p>
        </w:tc>
        <w:tc>
          <w:tcPr>
            <w:tcW w:w="1053" w:type="dxa"/>
            <w:tcBorders>
              <w:top w:val="single" w:sz="4" w:space="0" w:color="D9D9D9"/>
              <w:bottom w:val="single" w:sz="4" w:space="0" w:color="D9D9D9"/>
              <w:right w:val="single" w:sz="4" w:space="0" w:color="D9D9D9"/>
            </w:tcBorders>
            <w:shd w:val="clear" w:color="auto" w:fill="001F5F"/>
          </w:tcPr>
          <w:p w14:paraId="4270B8B8" w14:textId="77777777" w:rsidR="008715BE" w:rsidRPr="00EC75B7" w:rsidRDefault="00000000">
            <w:pPr>
              <w:pStyle w:val="TableParagraph"/>
              <w:spacing w:line="174" w:lineRule="exact"/>
              <w:ind w:left="11"/>
              <w:jc w:val="center"/>
              <w:rPr>
                <w:rFonts w:ascii="Verdana" w:hAnsi="Verdana"/>
                <w:b/>
                <w:sz w:val="18"/>
                <w:szCs w:val="18"/>
              </w:rPr>
            </w:pPr>
            <w:r w:rsidRPr="00EC75B7">
              <w:rPr>
                <w:rFonts w:ascii="Verdana" w:hAnsi="Verdana"/>
                <w:b/>
                <w:color w:val="FFFFFF"/>
                <w:spacing w:val="-10"/>
                <w:sz w:val="18"/>
                <w:szCs w:val="18"/>
              </w:rPr>
              <w:t>5</w:t>
            </w:r>
          </w:p>
        </w:tc>
      </w:tr>
      <w:tr w:rsidR="008715BE" w:rsidRPr="00EC75B7" w14:paraId="6CFA9726" w14:textId="77777777">
        <w:trPr>
          <w:trHeight w:val="316"/>
        </w:trPr>
        <w:tc>
          <w:tcPr>
            <w:tcW w:w="440" w:type="dxa"/>
            <w:vMerge/>
            <w:tcBorders>
              <w:top w:val="nil"/>
            </w:tcBorders>
            <w:shd w:val="clear" w:color="auto" w:fill="00AFEF"/>
            <w:textDirection w:val="btLr"/>
          </w:tcPr>
          <w:p w14:paraId="25A0C371" w14:textId="77777777" w:rsidR="008715BE" w:rsidRPr="00EC75B7" w:rsidRDefault="008715BE">
            <w:pPr>
              <w:rPr>
                <w:rFonts w:ascii="Verdana" w:hAnsi="Verdana"/>
                <w:sz w:val="18"/>
                <w:szCs w:val="18"/>
              </w:rPr>
            </w:pPr>
          </w:p>
        </w:tc>
        <w:tc>
          <w:tcPr>
            <w:tcW w:w="1551" w:type="dxa"/>
            <w:tcBorders>
              <w:right w:val="single" w:sz="4" w:space="0" w:color="D9D9D9"/>
            </w:tcBorders>
            <w:shd w:val="clear" w:color="auto" w:fill="001F5F"/>
          </w:tcPr>
          <w:p w14:paraId="23769BD9" w14:textId="77777777" w:rsidR="008715BE" w:rsidRPr="00EC75B7" w:rsidRDefault="00000000">
            <w:pPr>
              <w:pStyle w:val="TableParagraph"/>
              <w:spacing w:line="192" w:lineRule="exact"/>
              <w:ind w:left="112"/>
              <w:rPr>
                <w:rFonts w:ascii="Verdana" w:hAnsi="Verdana"/>
                <w:b/>
                <w:sz w:val="18"/>
                <w:szCs w:val="18"/>
              </w:rPr>
            </w:pPr>
            <w:r w:rsidRPr="00EC75B7">
              <w:rPr>
                <w:rFonts w:ascii="Verdana" w:hAnsi="Verdana"/>
                <w:b/>
                <w:color w:val="FFFFFF"/>
                <w:spacing w:val="-2"/>
                <w:sz w:val="18"/>
                <w:szCs w:val="18"/>
              </w:rPr>
              <w:t>Not significant</w:t>
            </w:r>
          </w:p>
        </w:tc>
        <w:tc>
          <w:tcPr>
            <w:tcW w:w="335" w:type="dxa"/>
            <w:tcBorders>
              <w:top w:val="single" w:sz="4" w:space="0" w:color="D9D9D9"/>
              <w:left w:val="single" w:sz="4" w:space="0" w:color="D9D9D9"/>
              <w:right w:val="single" w:sz="4" w:space="0" w:color="D9D9D9"/>
            </w:tcBorders>
            <w:shd w:val="clear" w:color="auto" w:fill="001F5F"/>
          </w:tcPr>
          <w:p w14:paraId="1845867C" w14:textId="77777777" w:rsidR="008715BE" w:rsidRPr="00EC75B7" w:rsidRDefault="00000000">
            <w:pPr>
              <w:pStyle w:val="TableParagraph"/>
              <w:spacing w:before="56"/>
              <w:ind w:left="2"/>
              <w:jc w:val="center"/>
              <w:rPr>
                <w:rFonts w:ascii="Verdana" w:hAnsi="Verdana"/>
                <w:b/>
                <w:sz w:val="18"/>
                <w:szCs w:val="18"/>
              </w:rPr>
            </w:pPr>
            <w:r w:rsidRPr="00EC75B7">
              <w:rPr>
                <w:rFonts w:ascii="Verdana" w:hAnsi="Verdana"/>
                <w:b/>
                <w:color w:val="FFFFFF"/>
                <w:spacing w:val="-10"/>
                <w:sz w:val="18"/>
                <w:szCs w:val="18"/>
              </w:rPr>
              <w:t>1</w:t>
            </w:r>
          </w:p>
        </w:tc>
        <w:tc>
          <w:tcPr>
            <w:tcW w:w="988" w:type="dxa"/>
            <w:tcBorders>
              <w:top w:val="single" w:sz="4" w:space="0" w:color="D9D9D9"/>
              <w:left w:val="single" w:sz="4" w:space="0" w:color="D9D9D9"/>
            </w:tcBorders>
            <w:shd w:val="clear" w:color="auto" w:fill="F1F1F1"/>
          </w:tcPr>
          <w:p w14:paraId="3E4514CB" w14:textId="77777777" w:rsidR="008715BE" w:rsidRPr="00EC75B7" w:rsidRDefault="00000000">
            <w:pPr>
              <w:pStyle w:val="TableParagraph"/>
              <w:spacing w:before="56"/>
              <w:ind w:right="1"/>
              <w:jc w:val="center"/>
              <w:rPr>
                <w:rFonts w:ascii="Verdana" w:hAnsi="Verdana"/>
                <w:sz w:val="18"/>
                <w:szCs w:val="18"/>
              </w:rPr>
            </w:pPr>
            <w:r w:rsidRPr="00EC75B7">
              <w:rPr>
                <w:rFonts w:ascii="Verdana" w:hAnsi="Verdana"/>
                <w:spacing w:val="-10"/>
                <w:sz w:val="18"/>
                <w:szCs w:val="18"/>
              </w:rPr>
              <w:t>1</w:t>
            </w:r>
          </w:p>
        </w:tc>
        <w:tc>
          <w:tcPr>
            <w:tcW w:w="1214" w:type="dxa"/>
            <w:tcBorders>
              <w:top w:val="single" w:sz="4" w:space="0" w:color="D9D9D9"/>
            </w:tcBorders>
            <w:shd w:val="clear" w:color="auto" w:fill="F1F1F1"/>
          </w:tcPr>
          <w:p w14:paraId="7B3B901A" w14:textId="77777777" w:rsidR="008715BE" w:rsidRPr="00EC75B7" w:rsidRDefault="00000000">
            <w:pPr>
              <w:pStyle w:val="TableParagraph"/>
              <w:spacing w:before="56"/>
              <w:ind w:left="9"/>
              <w:jc w:val="center"/>
              <w:rPr>
                <w:rFonts w:ascii="Verdana" w:hAnsi="Verdana"/>
                <w:sz w:val="18"/>
                <w:szCs w:val="18"/>
              </w:rPr>
            </w:pPr>
            <w:r w:rsidRPr="00EC75B7">
              <w:rPr>
                <w:rFonts w:ascii="Verdana" w:hAnsi="Verdana"/>
                <w:spacing w:val="-10"/>
                <w:sz w:val="18"/>
                <w:szCs w:val="18"/>
              </w:rPr>
              <w:t>2</w:t>
            </w:r>
          </w:p>
        </w:tc>
        <w:tc>
          <w:tcPr>
            <w:tcW w:w="958" w:type="dxa"/>
            <w:tcBorders>
              <w:top w:val="single" w:sz="4" w:space="0" w:color="D9D9D9"/>
            </w:tcBorders>
            <w:shd w:val="clear" w:color="auto" w:fill="F1F1F1"/>
          </w:tcPr>
          <w:p w14:paraId="371425EA" w14:textId="77777777" w:rsidR="008715BE" w:rsidRPr="00EC75B7" w:rsidRDefault="00000000">
            <w:pPr>
              <w:pStyle w:val="TableParagraph"/>
              <w:spacing w:before="56"/>
              <w:ind w:left="10" w:right="3"/>
              <w:jc w:val="center"/>
              <w:rPr>
                <w:rFonts w:ascii="Verdana" w:hAnsi="Verdana"/>
                <w:sz w:val="18"/>
                <w:szCs w:val="18"/>
              </w:rPr>
            </w:pPr>
            <w:r w:rsidRPr="00EC75B7">
              <w:rPr>
                <w:rFonts w:ascii="Verdana" w:hAnsi="Verdana"/>
                <w:spacing w:val="-10"/>
                <w:sz w:val="18"/>
                <w:szCs w:val="18"/>
              </w:rPr>
              <w:t>3</w:t>
            </w:r>
          </w:p>
        </w:tc>
        <w:tc>
          <w:tcPr>
            <w:tcW w:w="1118" w:type="dxa"/>
            <w:tcBorders>
              <w:top w:val="single" w:sz="4" w:space="0" w:color="D9D9D9"/>
            </w:tcBorders>
            <w:shd w:val="clear" w:color="auto" w:fill="CDE1BE"/>
          </w:tcPr>
          <w:p w14:paraId="1AFF4E36" w14:textId="77777777" w:rsidR="008715BE" w:rsidRPr="00EC75B7" w:rsidRDefault="00000000">
            <w:pPr>
              <w:pStyle w:val="TableParagraph"/>
              <w:spacing w:before="56"/>
              <w:ind w:left="13" w:right="3"/>
              <w:jc w:val="center"/>
              <w:rPr>
                <w:rFonts w:ascii="Verdana" w:hAnsi="Verdana"/>
                <w:sz w:val="18"/>
                <w:szCs w:val="18"/>
              </w:rPr>
            </w:pPr>
            <w:r w:rsidRPr="00EC75B7">
              <w:rPr>
                <w:rFonts w:ascii="Verdana" w:hAnsi="Verdana"/>
                <w:spacing w:val="-10"/>
                <w:sz w:val="18"/>
                <w:szCs w:val="18"/>
              </w:rPr>
              <w:t>4</w:t>
            </w:r>
          </w:p>
        </w:tc>
        <w:tc>
          <w:tcPr>
            <w:tcW w:w="1053" w:type="dxa"/>
            <w:tcBorders>
              <w:top w:val="single" w:sz="4" w:space="0" w:color="D9D9D9"/>
            </w:tcBorders>
            <w:shd w:val="clear" w:color="auto" w:fill="CDE1BE"/>
          </w:tcPr>
          <w:p w14:paraId="4F683D0A" w14:textId="77777777" w:rsidR="008715BE" w:rsidRPr="00EC75B7" w:rsidRDefault="00000000">
            <w:pPr>
              <w:pStyle w:val="TableParagraph"/>
              <w:spacing w:before="56"/>
              <w:ind w:left="9" w:right="1"/>
              <w:jc w:val="center"/>
              <w:rPr>
                <w:rFonts w:ascii="Verdana" w:hAnsi="Verdana"/>
                <w:sz w:val="18"/>
                <w:szCs w:val="18"/>
              </w:rPr>
            </w:pPr>
            <w:r w:rsidRPr="00EC75B7">
              <w:rPr>
                <w:rFonts w:ascii="Verdana" w:hAnsi="Verdana"/>
                <w:spacing w:val="-10"/>
                <w:sz w:val="18"/>
                <w:szCs w:val="18"/>
              </w:rPr>
              <w:t>5</w:t>
            </w:r>
          </w:p>
        </w:tc>
      </w:tr>
      <w:tr w:rsidR="008715BE" w:rsidRPr="00EC75B7" w14:paraId="5F600BFF" w14:textId="77777777">
        <w:trPr>
          <w:trHeight w:val="314"/>
        </w:trPr>
        <w:tc>
          <w:tcPr>
            <w:tcW w:w="440" w:type="dxa"/>
            <w:vMerge/>
            <w:tcBorders>
              <w:top w:val="nil"/>
            </w:tcBorders>
            <w:shd w:val="clear" w:color="auto" w:fill="00AFEF"/>
            <w:textDirection w:val="btLr"/>
          </w:tcPr>
          <w:p w14:paraId="648589EF" w14:textId="77777777" w:rsidR="008715BE" w:rsidRPr="00EC75B7" w:rsidRDefault="008715BE">
            <w:pPr>
              <w:rPr>
                <w:rFonts w:ascii="Verdana" w:hAnsi="Verdana"/>
                <w:sz w:val="18"/>
                <w:szCs w:val="18"/>
              </w:rPr>
            </w:pPr>
          </w:p>
        </w:tc>
        <w:tc>
          <w:tcPr>
            <w:tcW w:w="1551" w:type="dxa"/>
            <w:tcBorders>
              <w:right w:val="single" w:sz="4" w:space="0" w:color="D9D9D9"/>
            </w:tcBorders>
            <w:shd w:val="clear" w:color="auto" w:fill="001F5F"/>
          </w:tcPr>
          <w:p w14:paraId="72097CD9" w14:textId="77777777" w:rsidR="008715BE" w:rsidRPr="00EC75B7" w:rsidRDefault="00000000">
            <w:pPr>
              <w:pStyle w:val="TableParagraph"/>
              <w:spacing w:line="190" w:lineRule="exact"/>
              <w:ind w:left="112"/>
              <w:rPr>
                <w:rFonts w:ascii="Verdana" w:hAnsi="Verdana"/>
                <w:b/>
                <w:sz w:val="18"/>
                <w:szCs w:val="18"/>
              </w:rPr>
            </w:pPr>
            <w:r w:rsidRPr="00EC75B7">
              <w:rPr>
                <w:rFonts w:ascii="Verdana" w:hAnsi="Verdana"/>
                <w:b/>
                <w:color w:val="FFFFFF"/>
                <w:spacing w:val="-2"/>
                <w:sz w:val="18"/>
                <w:szCs w:val="18"/>
              </w:rPr>
              <w:t>Minor</w:t>
            </w:r>
          </w:p>
        </w:tc>
        <w:tc>
          <w:tcPr>
            <w:tcW w:w="335" w:type="dxa"/>
            <w:tcBorders>
              <w:left w:val="single" w:sz="4" w:space="0" w:color="D9D9D9"/>
              <w:right w:val="single" w:sz="4" w:space="0" w:color="D9D9D9"/>
            </w:tcBorders>
            <w:shd w:val="clear" w:color="auto" w:fill="001F5F"/>
          </w:tcPr>
          <w:p w14:paraId="710787AA" w14:textId="77777777" w:rsidR="008715BE" w:rsidRPr="00EC75B7" w:rsidRDefault="00000000">
            <w:pPr>
              <w:pStyle w:val="TableParagraph"/>
              <w:spacing w:before="54"/>
              <w:ind w:left="2"/>
              <w:jc w:val="center"/>
              <w:rPr>
                <w:rFonts w:ascii="Verdana" w:hAnsi="Verdana"/>
                <w:b/>
                <w:sz w:val="18"/>
                <w:szCs w:val="18"/>
              </w:rPr>
            </w:pPr>
            <w:r w:rsidRPr="00EC75B7">
              <w:rPr>
                <w:rFonts w:ascii="Verdana" w:hAnsi="Verdana"/>
                <w:b/>
                <w:color w:val="FFFFFF"/>
                <w:spacing w:val="-10"/>
                <w:sz w:val="18"/>
                <w:szCs w:val="18"/>
              </w:rPr>
              <w:t>2</w:t>
            </w:r>
          </w:p>
        </w:tc>
        <w:tc>
          <w:tcPr>
            <w:tcW w:w="988" w:type="dxa"/>
            <w:tcBorders>
              <w:left w:val="single" w:sz="4" w:space="0" w:color="D9D9D9"/>
            </w:tcBorders>
            <w:shd w:val="clear" w:color="auto" w:fill="F1F1F1"/>
          </w:tcPr>
          <w:p w14:paraId="48EC8842" w14:textId="77777777" w:rsidR="008715BE" w:rsidRPr="00EC75B7" w:rsidRDefault="00000000">
            <w:pPr>
              <w:pStyle w:val="TableParagraph"/>
              <w:spacing w:before="54"/>
              <w:ind w:right="1"/>
              <w:jc w:val="center"/>
              <w:rPr>
                <w:rFonts w:ascii="Verdana" w:hAnsi="Verdana"/>
                <w:sz w:val="18"/>
                <w:szCs w:val="18"/>
              </w:rPr>
            </w:pPr>
            <w:r w:rsidRPr="00EC75B7">
              <w:rPr>
                <w:rFonts w:ascii="Verdana" w:hAnsi="Verdana"/>
                <w:spacing w:val="-10"/>
                <w:sz w:val="18"/>
                <w:szCs w:val="18"/>
              </w:rPr>
              <w:t>2</w:t>
            </w:r>
          </w:p>
        </w:tc>
        <w:tc>
          <w:tcPr>
            <w:tcW w:w="1214" w:type="dxa"/>
            <w:shd w:val="clear" w:color="auto" w:fill="CDE1BE"/>
          </w:tcPr>
          <w:p w14:paraId="35341D6D" w14:textId="77777777" w:rsidR="008715BE" w:rsidRPr="00EC75B7" w:rsidRDefault="00000000">
            <w:pPr>
              <w:pStyle w:val="TableParagraph"/>
              <w:spacing w:before="54"/>
              <w:ind w:left="9"/>
              <w:jc w:val="center"/>
              <w:rPr>
                <w:rFonts w:ascii="Verdana" w:hAnsi="Verdana"/>
                <w:sz w:val="18"/>
                <w:szCs w:val="18"/>
              </w:rPr>
            </w:pPr>
            <w:r w:rsidRPr="00EC75B7">
              <w:rPr>
                <w:rFonts w:ascii="Verdana" w:hAnsi="Verdana"/>
                <w:spacing w:val="-10"/>
                <w:sz w:val="18"/>
                <w:szCs w:val="18"/>
              </w:rPr>
              <w:t>4</w:t>
            </w:r>
          </w:p>
        </w:tc>
        <w:tc>
          <w:tcPr>
            <w:tcW w:w="958" w:type="dxa"/>
            <w:shd w:val="clear" w:color="auto" w:fill="CDE1BE"/>
          </w:tcPr>
          <w:p w14:paraId="2B59A315" w14:textId="77777777" w:rsidR="008715BE" w:rsidRPr="00EC75B7" w:rsidRDefault="00000000">
            <w:pPr>
              <w:pStyle w:val="TableParagraph"/>
              <w:spacing w:before="54"/>
              <w:ind w:left="10" w:right="3"/>
              <w:jc w:val="center"/>
              <w:rPr>
                <w:rFonts w:ascii="Verdana" w:hAnsi="Verdana"/>
                <w:sz w:val="18"/>
                <w:szCs w:val="18"/>
              </w:rPr>
            </w:pPr>
            <w:r w:rsidRPr="00EC75B7">
              <w:rPr>
                <w:rFonts w:ascii="Verdana" w:hAnsi="Verdana"/>
                <w:spacing w:val="-10"/>
                <w:sz w:val="18"/>
                <w:szCs w:val="18"/>
              </w:rPr>
              <w:t>6</w:t>
            </w:r>
          </w:p>
        </w:tc>
        <w:tc>
          <w:tcPr>
            <w:tcW w:w="1118" w:type="dxa"/>
            <w:shd w:val="clear" w:color="auto" w:fill="FFFF99"/>
          </w:tcPr>
          <w:p w14:paraId="28D23738" w14:textId="77777777" w:rsidR="008715BE" w:rsidRPr="00EC75B7" w:rsidRDefault="00000000">
            <w:pPr>
              <w:pStyle w:val="TableParagraph"/>
              <w:spacing w:before="54"/>
              <w:ind w:left="13" w:right="3"/>
              <w:jc w:val="center"/>
              <w:rPr>
                <w:rFonts w:ascii="Verdana" w:hAnsi="Verdana"/>
                <w:sz w:val="18"/>
                <w:szCs w:val="18"/>
              </w:rPr>
            </w:pPr>
            <w:r w:rsidRPr="00EC75B7">
              <w:rPr>
                <w:rFonts w:ascii="Verdana" w:hAnsi="Verdana"/>
                <w:spacing w:val="-10"/>
                <w:sz w:val="18"/>
                <w:szCs w:val="18"/>
              </w:rPr>
              <w:t>8</w:t>
            </w:r>
          </w:p>
        </w:tc>
        <w:tc>
          <w:tcPr>
            <w:tcW w:w="1053" w:type="dxa"/>
            <w:shd w:val="clear" w:color="auto" w:fill="FFFF99"/>
          </w:tcPr>
          <w:p w14:paraId="239D29F9" w14:textId="77777777" w:rsidR="008715BE" w:rsidRPr="00EC75B7" w:rsidRDefault="00000000">
            <w:pPr>
              <w:pStyle w:val="TableParagraph"/>
              <w:spacing w:before="54"/>
              <w:ind w:left="8" w:right="1"/>
              <w:jc w:val="center"/>
              <w:rPr>
                <w:rFonts w:ascii="Verdana" w:hAnsi="Verdana"/>
                <w:sz w:val="18"/>
                <w:szCs w:val="18"/>
              </w:rPr>
            </w:pPr>
            <w:r w:rsidRPr="00EC75B7">
              <w:rPr>
                <w:rFonts w:ascii="Verdana" w:hAnsi="Verdana"/>
                <w:spacing w:val="-5"/>
                <w:sz w:val="18"/>
                <w:szCs w:val="18"/>
              </w:rPr>
              <w:t>10</w:t>
            </w:r>
          </w:p>
        </w:tc>
      </w:tr>
      <w:tr w:rsidR="008715BE" w:rsidRPr="00EC75B7" w14:paraId="7F3A0424" w14:textId="77777777">
        <w:trPr>
          <w:trHeight w:val="314"/>
        </w:trPr>
        <w:tc>
          <w:tcPr>
            <w:tcW w:w="440" w:type="dxa"/>
            <w:vMerge/>
            <w:tcBorders>
              <w:top w:val="nil"/>
            </w:tcBorders>
            <w:shd w:val="clear" w:color="auto" w:fill="00AFEF"/>
            <w:textDirection w:val="btLr"/>
          </w:tcPr>
          <w:p w14:paraId="02B92DFA" w14:textId="77777777" w:rsidR="008715BE" w:rsidRPr="00EC75B7" w:rsidRDefault="008715BE">
            <w:pPr>
              <w:rPr>
                <w:rFonts w:ascii="Verdana" w:hAnsi="Verdana"/>
                <w:sz w:val="18"/>
                <w:szCs w:val="18"/>
              </w:rPr>
            </w:pPr>
          </w:p>
        </w:tc>
        <w:tc>
          <w:tcPr>
            <w:tcW w:w="1551" w:type="dxa"/>
            <w:tcBorders>
              <w:right w:val="single" w:sz="4" w:space="0" w:color="D9D9D9"/>
            </w:tcBorders>
            <w:shd w:val="clear" w:color="auto" w:fill="001F5F"/>
          </w:tcPr>
          <w:p w14:paraId="1525785C" w14:textId="77777777" w:rsidR="008715BE" w:rsidRPr="00EC75B7" w:rsidRDefault="00000000">
            <w:pPr>
              <w:pStyle w:val="TableParagraph"/>
              <w:spacing w:line="190" w:lineRule="exact"/>
              <w:ind w:left="112"/>
              <w:rPr>
                <w:rFonts w:ascii="Verdana" w:hAnsi="Verdana"/>
                <w:b/>
                <w:sz w:val="18"/>
                <w:szCs w:val="18"/>
              </w:rPr>
            </w:pPr>
            <w:r w:rsidRPr="00EC75B7">
              <w:rPr>
                <w:rFonts w:ascii="Verdana" w:hAnsi="Verdana"/>
                <w:b/>
                <w:color w:val="FFFFFF"/>
                <w:spacing w:val="-2"/>
                <w:sz w:val="18"/>
                <w:szCs w:val="18"/>
              </w:rPr>
              <w:t>Moderate</w:t>
            </w:r>
          </w:p>
        </w:tc>
        <w:tc>
          <w:tcPr>
            <w:tcW w:w="335" w:type="dxa"/>
            <w:tcBorders>
              <w:left w:val="single" w:sz="4" w:space="0" w:color="D9D9D9"/>
              <w:right w:val="single" w:sz="4" w:space="0" w:color="D9D9D9"/>
            </w:tcBorders>
            <w:shd w:val="clear" w:color="auto" w:fill="001F5F"/>
          </w:tcPr>
          <w:p w14:paraId="59871F2A" w14:textId="77777777" w:rsidR="008715BE" w:rsidRPr="00EC75B7" w:rsidRDefault="00000000">
            <w:pPr>
              <w:pStyle w:val="TableParagraph"/>
              <w:spacing w:before="54"/>
              <w:ind w:left="2"/>
              <w:jc w:val="center"/>
              <w:rPr>
                <w:rFonts w:ascii="Verdana" w:hAnsi="Verdana"/>
                <w:b/>
                <w:sz w:val="18"/>
                <w:szCs w:val="18"/>
              </w:rPr>
            </w:pPr>
            <w:r w:rsidRPr="00EC75B7">
              <w:rPr>
                <w:rFonts w:ascii="Verdana" w:hAnsi="Verdana"/>
                <w:b/>
                <w:color w:val="FFFFFF"/>
                <w:spacing w:val="-10"/>
                <w:sz w:val="18"/>
                <w:szCs w:val="18"/>
              </w:rPr>
              <w:t>3</w:t>
            </w:r>
          </w:p>
        </w:tc>
        <w:tc>
          <w:tcPr>
            <w:tcW w:w="988" w:type="dxa"/>
            <w:tcBorders>
              <w:left w:val="single" w:sz="4" w:space="0" w:color="D9D9D9"/>
            </w:tcBorders>
            <w:shd w:val="clear" w:color="auto" w:fill="F1F1F1"/>
          </w:tcPr>
          <w:p w14:paraId="2FC37283" w14:textId="77777777" w:rsidR="008715BE" w:rsidRPr="00EC75B7" w:rsidRDefault="00000000">
            <w:pPr>
              <w:pStyle w:val="TableParagraph"/>
              <w:spacing w:before="54"/>
              <w:ind w:right="1"/>
              <w:jc w:val="center"/>
              <w:rPr>
                <w:rFonts w:ascii="Verdana" w:hAnsi="Verdana"/>
                <w:sz w:val="18"/>
                <w:szCs w:val="18"/>
              </w:rPr>
            </w:pPr>
            <w:r w:rsidRPr="00EC75B7">
              <w:rPr>
                <w:rFonts w:ascii="Verdana" w:hAnsi="Verdana"/>
                <w:spacing w:val="-10"/>
                <w:sz w:val="18"/>
                <w:szCs w:val="18"/>
              </w:rPr>
              <w:t>3</w:t>
            </w:r>
          </w:p>
        </w:tc>
        <w:tc>
          <w:tcPr>
            <w:tcW w:w="1214" w:type="dxa"/>
            <w:shd w:val="clear" w:color="auto" w:fill="CDE1BE"/>
          </w:tcPr>
          <w:p w14:paraId="780CE6C6" w14:textId="77777777" w:rsidR="008715BE" w:rsidRPr="00EC75B7" w:rsidRDefault="00000000">
            <w:pPr>
              <w:pStyle w:val="TableParagraph"/>
              <w:spacing w:before="54"/>
              <w:ind w:left="9"/>
              <w:jc w:val="center"/>
              <w:rPr>
                <w:rFonts w:ascii="Verdana" w:hAnsi="Verdana"/>
                <w:sz w:val="18"/>
                <w:szCs w:val="18"/>
              </w:rPr>
            </w:pPr>
            <w:r w:rsidRPr="00EC75B7">
              <w:rPr>
                <w:rFonts w:ascii="Verdana" w:hAnsi="Verdana"/>
                <w:spacing w:val="-10"/>
                <w:sz w:val="18"/>
                <w:szCs w:val="18"/>
              </w:rPr>
              <w:t>6</w:t>
            </w:r>
          </w:p>
        </w:tc>
        <w:tc>
          <w:tcPr>
            <w:tcW w:w="958" w:type="dxa"/>
            <w:shd w:val="clear" w:color="auto" w:fill="FFFF99"/>
          </w:tcPr>
          <w:p w14:paraId="21FE3C4F" w14:textId="77777777" w:rsidR="008715BE" w:rsidRPr="00EC75B7" w:rsidRDefault="00000000">
            <w:pPr>
              <w:pStyle w:val="TableParagraph"/>
              <w:spacing w:before="54"/>
              <w:ind w:left="10" w:right="3"/>
              <w:jc w:val="center"/>
              <w:rPr>
                <w:rFonts w:ascii="Verdana" w:hAnsi="Verdana"/>
                <w:sz w:val="18"/>
                <w:szCs w:val="18"/>
              </w:rPr>
            </w:pPr>
            <w:r w:rsidRPr="00EC75B7">
              <w:rPr>
                <w:rFonts w:ascii="Verdana" w:hAnsi="Verdana"/>
                <w:spacing w:val="-10"/>
                <w:sz w:val="18"/>
                <w:szCs w:val="18"/>
              </w:rPr>
              <w:t>9</w:t>
            </w:r>
          </w:p>
        </w:tc>
        <w:tc>
          <w:tcPr>
            <w:tcW w:w="1118" w:type="dxa"/>
            <w:shd w:val="clear" w:color="auto" w:fill="FFDF9F"/>
          </w:tcPr>
          <w:p w14:paraId="315C5846" w14:textId="77777777" w:rsidR="008715BE" w:rsidRPr="00EC75B7" w:rsidRDefault="00000000">
            <w:pPr>
              <w:pStyle w:val="TableParagraph"/>
              <w:spacing w:before="54"/>
              <w:ind w:left="13"/>
              <w:jc w:val="center"/>
              <w:rPr>
                <w:rFonts w:ascii="Verdana" w:hAnsi="Verdana"/>
                <w:sz w:val="18"/>
                <w:szCs w:val="18"/>
              </w:rPr>
            </w:pPr>
            <w:r w:rsidRPr="00EC75B7">
              <w:rPr>
                <w:rFonts w:ascii="Verdana" w:hAnsi="Verdana"/>
                <w:spacing w:val="-5"/>
                <w:sz w:val="18"/>
                <w:szCs w:val="18"/>
              </w:rPr>
              <w:t>12</w:t>
            </w:r>
          </w:p>
        </w:tc>
        <w:tc>
          <w:tcPr>
            <w:tcW w:w="1053" w:type="dxa"/>
            <w:shd w:val="clear" w:color="auto" w:fill="FFDF9F"/>
          </w:tcPr>
          <w:p w14:paraId="3EB34A66" w14:textId="77777777" w:rsidR="008715BE" w:rsidRPr="00EC75B7" w:rsidRDefault="00000000">
            <w:pPr>
              <w:pStyle w:val="TableParagraph"/>
              <w:spacing w:before="54"/>
              <w:ind w:left="8" w:right="1"/>
              <w:jc w:val="center"/>
              <w:rPr>
                <w:rFonts w:ascii="Verdana" w:hAnsi="Verdana"/>
                <w:sz w:val="18"/>
                <w:szCs w:val="18"/>
              </w:rPr>
            </w:pPr>
            <w:r w:rsidRPr="00EC75B7">
              <w:rPr>
                <w:rFonts w:ascii="Verdana" w:hAnsi="Verdana"/>
                <w:spacing w:val="-5"/>
                <w:sz w:val="18"/>
                <w:szCs w:val="18"/>
              </w:rPr>
              <w:t>15</w:t>
            </w:r>
          </w:p>
        </w:tc>
      </w:tr>
      <w:tr w:rsidR="008715BE" w:rsidRPr="00EC75B7" w14:paraId="337353C4" w14:textId="77777777">
        <w:trPr>
          <w:trHeight w:val="316"/>
        </w:trPr>
        <w:tc>
          <w:tcPr>
            <w:tcW w:w="440" w:type="dxa"/>
            <w:vMerge/>
            <w:tcBorders>
              <w:top w:val="nil"/>
            </w:tcBorders>
            <w:shd w:val="clear" w:color="auto" w:fill="00AFEF"/>
            <w:textDirection w:val="btLr"/>
          </w:tcPr>
          <w:p w14:paraId="6FBDD827" w14:textId="77777777" w:rsidR="008715BE" w:rsidRPr="00EC75B7" w:rsidRDefault="008715BE">
            <w:pPr>
              <w:rPr>
                <w:rFonts w:ascii="Verdana" w:hAnsi="Verdana"/>
                <w:sz w:val="18"/>
                <w:szCs w:val="18"/>
              </w:rPr>
            </w:pPr>
          </w:p>
        </w:tc>
        <w:tc>
          <w:tcPr>
            <w:tcW w:w="1551" w:type="dxa"/>
            <w:tcBorders>
              <w:right w:val="single" w:sz="4" w:space="0" w:color="D9D9D9"/>
            </w:tcBorders>
            <w:shd w:val="clear" w:color="auto" w:fill="001F5F"/>
          </w:tcPr>
          <w:p w14:paraId="611A52C4" w14:textId="77777777" w:rsidR="008715BE" w:rsidRPr="00EC75B7" w:rsidRDefault="00000000">
            <w:pPr>
              <w:pStyle w:val="TableParagraph"/>
              <w:spacing w:line="190" w:lineRule="exact"/>
              <w:ind w:left="112"/>
              <w:rPr>
                <w:rFonts w:ascii="Verdana" w:hAnsi="Verdana"/>
                <w:b/>
                <w:sz w:val="18"/>
                <w:szCs w:val="18"/>
              </w:rPr>
            </w:pPr>
            <w:r w:rsidRPr="00EC75B7">
              <w:rPr>
                <w:rFonts w:ascii="Verdana" w:hAnsi="Verdana"/>
                <w:b/>
                <w:color w:val="FFFFFF"/>
                <w:spacing w:val="-2"/>
                <w:sz w:val="18"/>
                <w:szCs w:val="18"/>
              </w:rPr>
              <w:t>Major</w:t>
            </w:r>
          </w:p>
        </w:tc>
        <w:tc>
          <w:tcPr>
            <w:tcW w:w="335" w:type="dxa"/>
            <w:tcBorders>
              <w:left w:val="single" w:sz="4" w:space="0" w:color="D9D9D9"/>
              <w:right w:val="single" w:sz="4" w:space="0" w:color="D9D9D9"/>
            </w:tcBorders>
            <w:shd w:val="clear" w:color="auto" w:fill="001F5F"/>
          </w:tcPr>
          <w:p w14:paraId="49E61A1F" w14:textId="77777777" w:rsidR="008715BE" w:rsidRPr="00EC75B7" w:rsidRDefault="00000000">
            <w:pPr>
              <w:pStyle w:val="TableParagraph"/>
              <w:spacing w:before="54"/>
              <w:ind w:left="2"/>
              <w:jc w:val="center"/>
              <w:rPr>
                <w:rFonts w:ascii="Verdana" w:hAnsi="Verdana"/>
                <w:b/>
                <w:sz w:val="18"/>
                <w:szCs w:val="18"/>
              </w:rPr>
            </w:pPr>
            <w:r w:rsidRPr="00EC75B7">
              <w:rPr>
                <w:rFonts w:ascii="Verdana" w:hAnsi="Verdana"/>
                <w:b/>
                <w:color w:val="FFFFFF"/>
                <w:spacing w:val="-10"/>
                <w:sz w:val="18"/>
                <w:szCs w:val="18"/>
              </w:rPr>
              <w:t>4</w:t>
            </w:r>
          </w:p>
        </w:tc>
        <w:tc>
          <w:tcPr>
            <w:tcW w:w="988" w:type="dxa"/>
            <w:tcBorders>
              <w:left w:val="single" w:sz="4" w:space="0" w:color="D9D9D9"/>
            </w:tcBorders>
            <w:shd w:val="clear" w:color="auto" w:fill="CDE1BE"/>
          </w:tcPr>
          <w:p w14:paraId="1B84E6D7" w14:textId="77777777" w:rsidR="008715BE" w:rsidRPr="00EC75B7" w:rsidRDefault="00000000">
            <w:pPr>
              <w:pStyle w:val="TableParagraph"/>
              <w:spacing w:before="54"/>
              <w:ind w:right="1"/>
              <w:jc w:val="center"/>
              <w:rPr>
                <w:rFonts w:ascii="Verdana" w:hAnsi="Verdana"/>
                <w:sz w:val="18"/>
                <w:szCs w:val="18"/>
              </w:rPr>
            </w:pPr>
            <w:r w:rsidRPr="00EC75B7">
              <w:rPr>
                <w:rFonts w:ascii="Verdana" w:hAnsi="Verdana"/>
                <w:spacing w:val="-10"/>
                <w:sz w:val="18"/>
                <w:szCs w:val="18"/>
              </w:rPr>
              <w:t>4</w:t>
            </w:r>
          </w:p>
        </w:tc>
        <w:tc>
          <w:tcPr>
            <w:tcW w:w="1214" w:type="dxa"/>
            <w:shd w:val="clear" w:color="auto" w:fill="FFFF99"/>
          </w:tcPr>
          <w:p w14:paraId="549875D5" w14:textId="77777777" w:rsidR="008715BE" w:rsidRPr="00EC75B7" w:rsidRDefault="00000000">
            <w:pPr>
              <w:pStyle w:val="TableParagraph"/>
              <w:spacing w:before="54"/>
              <w:ind w:left="9"/>
              <w:jc w:val="center"/>
              <w:rPr>
                <w:rFonts w:ascii="Verdana" w:hAnsi="Verdana"/>
                <w:sz w:val="18"/>
                <w:szCs w:val="18"/>
              </w:rPr>
            </w:pPr>
            <w:r w:rsidRPr="00EC75B7">
              <w:rPr>
                <w:rFonts w:ascii="Verdana" w:hAnsi="Verdana"/>
                <w:spacing w:val="-10"/>
                <w:sz w:val="18"/>
                <w:szCs w:val="18"/>
              </w:rPr>
              <w:t>8</w:t>
            </w:r>
          </w:p>
        </w:tc>
        <w:tc>
          <w:tcPr>
            <w:tcW w:w="958" w:type="dxa"/>
            <w:shd w:val="clear" w:color="auto" w:fill="FFDF9F"/>
          </w:tcPr>
          <w:p w14:paraId="77ED6144" w14:textId="77777777" w:rsidR="008715BE" w:rsidRPr="00EC75B7" w:rsidRDefault="00000000">
            <w:pPr>
              <w:pStyle w:val="TableParagraph"/>
              <w:spacing w:before="54"/>
              <w:ind w:left="10"/>
              <w:jc w:val="center"/>
              <w:rPr>
                <w:rFonts w:ascii="Verdana" w:hAnsi="Verdana"/>
                <w:sz w:val="18"/>
                <w:szCs w:val="18"/>
              </w:rPr>
            </w:pPr>
            <w:r w:rsidRPr="00EC75B7">
              <w:rPr>
                <w:rFonts w:ascii="Verdana" w:hAnsi="Verdana"/>
                <w:spacing w:val="-5"/>
                <w:sz w:val="18"/>
                <w:szCs w:val="18"/>
              </w:rPr>
              <w:t>12</w:t>
            </w:r>
          </w:p>
        </w:tc>
        <w:tc>
          <w:tcPr>
            <w:tcW w:w="1118" w:type="dxa"/>
            <w:shd w:val="clear" w:color="auto" w:fill="FFDF9F"/>
          </w:tcPr>
          <w:p w14:paraId="68B95554" w14:textId="77777777" w:rsidR="008715BE" w:rsidRPr="00EC75B7" w:rsidRDefault="00000000">
            <w:pPr>
              <w:pStyle w:val="TableParagraph"/>
              <w:spacing w:before="54"/>
              <w:ind w:left="13"/>
              <w:jc w:val="center"/>
              <w:rPr>
                <w:rFonts w:ascii="Verdana" w:hAnsi="Verdana"/>
                <w:sz w:val="18"/>
                <w:szCs w:val="18"/>
              </w:rPr>
            </w:pPr>
            <w:r w:rsidRPr="00EC75B7">
              <w:rPr>
                <w:rFonts w:ascii="Verdana" w:hAnsi="Verdana"/>
                <w:spacing w:val="-5"/>
                <w:sz w:val="18"/>
                <w:szCs w:val="18"/>
              </w:rPr>
              <w:t>16</w:t>
            </w:r>
          </w:p>
        </w:tc>
        <w:tc>
          <w:tcPr>
            <w:tcW w:w="1053" w:type="dxa"/>
            <w:shd w:val="clear" w:color="auto" w:fill="FFB799"/>
          </w:tcPr>
          <w:p w14:paraId="290B5973" w14:textId="77777777" w:rsidR="008715BE" w:rsidRPr="00EC75B7" w:rsidRDefault="00000000">
            <w:pPr>
              <w:pStyle w:val="TableParagraph"/>
              <w:spacing w:before="117" w:line="180" w:lineRule="exact"/>
              <w:ind w:left="8" w:right="1"/>
              <w:jc w:val="center"/>
              <w:rPr>
                <w:rFonts w:ascii="Verdana" w:hAnsi="Verdana"/>
                <w:sz w:val="18"/>
                <w:szCs w:val="18"/>
              </w:rPr>
            </w:pPr>
            <w:r w:rsidRPr="00EC75B7">
              <w:rPr>
                <w:rFonts w:ascii="Verdana" w:hAnsi="Verdana"/>
                <w:spacing w:val="-5"/>
                <w:sz w:val="18"/>
                <w:szCs w:val="18"/>
              </w:rPr>
              <w:t>20</w:t>
            </w:r>
          </w:p>
        </w:tc>
      </w:tr>
      <w:tr w:rsidR="008715BE" w:rsidRPr="00EC75B7" w14:paraId="553296D3" w14:textId="77777777">
        <w:trPr>
          <w:trHeight w:val="314"/>
        </w:trPr>
        <w:tc>
          <w:tcPr>
            <w:tcW w:w="440" w:type="dxa"/>
            <w:vMerge/>
            <w:tcBorders>
              <w:top w:val="nil"/>
            </w:tcBorders>
            <w:shd w:val="clear" w:color="auto" w:fill="00AFEF"/>
            <w:textDirection w:val="btLr"/>
          </w:tcPr>
          <w:p w14:paraId="6A614883" w14:textId="77777777" w:rsidR="008715BE" w:rsidRPr="00EC75B7" w:rsidRDefault="008715BE">
            <w:pPr>
              <w:rPr>
                <w:rFonts w:ascii="Verdana" w:hAnsi="Verdana"/>
                <w:sz w:val="18"/>
                <w:szCs w:val="18"/>
              </w:rPr>
            </w:pPr>
          </w:p>
        </w:tc>
        <w:tc>
          <w:tcPr>
            <w:tcW w:w="1551" w:type="dxa"/>
            <w:tcBorders>
              <w:right w:val="single" w:sz="4" w:space="0" w:color="D9D9D9"/>
            </w:tcBorders>
            <w:shd w:val="clear" w:color="auto" w:fill="001F5F"/>
          </w:tcPr>
          <w:p w14:paraId="3127C047" w14:textId="77777777" w:rsidR="008715BE" w:rsidRPr="00EC75B7" w:rsidRDefault="00000000">
            <w:pPr>
              <w:pStyle w:val="TableParagraph"/>
              <w:spacing w:line="190" w:lineRule="exact"/>
              <w:ind w:left="112"/>
              <w:rPr>
                <w:rFonts w:ascii="Verdana" w:hAnsi="Verdana"/>
                <w:b/>
                <w:sz w:val="18"/>
                <w:szCs w:val="18"/>
              </w:rPr>
            </w:pPr>
            <w:r w:rsidRPr="00EC75B7">
              <w:rPr>
                <w:rFonts w:ascii="Verdana" w:hAnsi="Verdana"/>
                <w:b/>
                <w:color w:val="FFFFFF"/>
                <w:spacing w:val="-2"/>
                <w:sz w:val="18"/>
                <w:szCs w:val="18"/>
              </w:rPr>
              <w:t>Catastrophic</w:t>
            </w:r>
          </w:p>
        </w:tc>
        <w:tc>
          <w:tcPr>
            <w:tcW w:w="335" w:type="dxa"/>
            <w:tcBorders>
              <w:left w:val="single" w:sz="4" w:space="0" w:color="D9D9D9"/>
              <w:bottom w:val="single" w:sz="4" w:space="0" w:color="D9D9D9"/>
              <w:right w:val="single" w:sz="4" w:space="0" w:color="D9D9D9"/>
            </w:tcBorders>
            <w:shd w:val="clear" w:color="auto" w:fill="001F5F"/>
          </w:tcPr>
          <w:p w14:paraId="5D0832D7" w14:textId="77777777" w:rsidR="008715BE" w:rsidRPr="00EC75B7" w:rsidRDefault="00000000">
            <w:pPr>
              <w:pStyle w:val="TableParagraph"/>
              <w:spacing w:before="54"/>
              <w:ind w:left="2"/>
              <w:jc w:val="center"/>
              <w:rPr>
                <w:rFonts w:ascii="Verdana" w:hAnsi="Verdana"/>
                <w:b/>
                <w:sz w:val="18"/>
                <w:szCs w:val="18"/>
              </w:rPr>
            </w:pPr>
            <w:r w:rsidRPr="00EC75B7">
              <w:rPr>
                <w:rFonts w:ascii="Verdana" w:hAnsi="Verdana"/>
                <w:b/>
                <w:color w:val="FFFFFF"/>
                <w:spacing w:val="-10"/>
                <w:sz w:val="18"/>
                <w:szCs w:val="18"/>
              </w:rPr>
              <w:t>5</w:t>
            </w:r>
          </w:p>
        </w:tc>
        <w:tc>
          <w:tcPr>
            <w:tcW w:w="988" w:type="dxa"/>
            <w:tcBorders>
              <w:left w:val="single" w:sz="4" w:space="0" w:color="D9D9D9"/>
            </w:tcBorders>
            <w:shd w:val="clear" w:color="auto" w:fill="CDE1BE"/>
          </w:tcPr>
          <w:p w14:paraId="1E935426" w14:textId="77777777" w:rsidR="008715BE" w:rsidRPr="00EC75B7" w:rsidRDefault="00000000">
            <w:pPr>
              <w:pStyle w:val="TableParagraph"/>
              <w:spacing w:before="54"/>
              <w:ind w:right="1"/>
              <w:jc w:val="center"/>
              <w:rPr>
                <w:rFonts w:ascii="Verdana" w:hAnsi="Verdana"/>
                <w:sz w:val="18"/>
                <w:szCs w:val="18"/>
              </w:rPr>
            </w:pPr>
            <w:r w:rsidRPr="00EC75B7">
              <w:rPr>
                <w:rFonts w:ascii="Verdana" w:hAnsi="Verdana"/>
                <w:spacing w:val="-10"/>
                <w:sz w:val="18"/>
                <w:szCs w:val="18"/>
              </w:rPr>
              <w:t>5</w:t>
            </w:r>
          </w:p>
        </w:tc>
        <w:tc>
          <w:tcPr>
            <w:tcW w:w="1214" w:type="dxa"/>
            <w:shd w:val="clear" w:color="auto" w:fill="FFFF99"/>
          </w:tcPr>
          <w:p w14:paraId="150FFAD1" w14:textId="77777777" w:rsidR="008715BE" w:rsidRPr="00EC75B7" w:rsidRDefault="00000000">
            <w:pPr>
              <w:pStyle w:val="TableParagraph"/>
              <w:spacing w:before="54"/>
              <w:ind w:left="9" w:right="1"/>
              <w:jc w:val="center"/>
              <w:rPr>
                <w:rFonts w:ascii="Verdana" w:hAnsi="Verdana"/>
                <w:sz w:val="18"/>
                <w:szCs w:val="18"/>
              </w:rPr>
            </w:pPr>
            <w:r w:rsidRPr="00EC75B7">
              <w:rPr>
                <w:rFonts w:ascii="Verdana" w:hAnsi="Verdana"/>
                <w:spacing w:val="-5"/>
                <w:sz w:val="18"/>
                <w:szCs w:val="18"/>
              </w:rPr>
              <w:t>10</w:t>
            </w:r>
          </w:p>
        </w:tc>
        <w:tc>
          <w:tcPr>
            <w:tcW w:w="958" w:type="dxa"/>
            <w:shd w:val="clear" w:color="auto" w:fill="FFDF9F"/>
          </w:tcPr>
          <w:p w14:paraId="2115E291" w14:textId="77777777" w:rsidR="008715BE" w:rsidRPr="00EC75B7" w:rsidRDefault="00000000">
            <w:pPr>
              <w:pStyle w:val="TableParagraph"/>
              <w:spacing w:before="54"/>
              <w:ind w:left="10"/>
              <w:jc w:val="center"/>
              <w:rPr>
                <w:rFonts w:ascii="Verdana" w:hAnsi="Verdana"/>
                <w:sz w:val="18"/>
                <w:szCs w:val="18"/>
              </w:rPr>
            </w:pPr>
            <w:r w:rsidRPr="00EC75B7">
              <w:rPr>
                <w:rFonts w:ascii="Verdana" w:hAnsi="Verdana"/>
                <w:spacing w:val="-5"/>
                <w:sz w:val="18"/>
                <w:szCs w:val="18"/>
              </w:rPr>
              <w:t>15</w:t>
            </w:r>
          </w:p>
        </w:tc>
        <w:tc>
          <w:tcPr>
            <w:tcW w:w="1118" w:type="dxa"/>
            <w:shd w:val="clear" w:color="auto" w:fill="FFB799"/>
          </w:tcPr>
          <w:p w14:paraId="5FA1A8D2" w14:textId="77777777" w:rsidR="008715BE" w:rsidRPr="00EC75B7" w:rsidRDefault="00000000">
            <w:pPr>
              <w:pStyle w:val="TableParagraph"/>
              <w:spacing w:before="114" w:line="180" w:lineRule="exact"/>
              <w:ind w:left="13"/>
              <w:jc w:val="center"/>
              <w:rPr>
                <w:rFonts w:ascii="Verdana" w:hAnsi="Verdana"/>
                <w:sz w:val="18"/>
                <w:szCs w:val="18"/>
              </w:rPr>
            </w:pPr>
            <w:r w:rsidRPr="00EC75B7">
              <w:rPr>
                <w:rFonts w:ascii="Verdana" w:hAnsi="Verdana"/>
                <w:spacing w:val="-5"/>
                <w:sz w:val="18"/>
                <w:szCs w:val="18"/>
              </w:rPr>
              <w:t>20</w:t>
            </w:r>
          </w:p>
        </w:tc>
        <w:tc>
          <w:tcPr>
            <w:tcW w:w="1053" w:type="dxa"/>
            <w:shd w:val="clear" w:color="auto" w:fill="FFB799"/>
          </w:tcPr>
          <w:p w14:paraId="57D65974" w14:textId="77777777" w:rsidR="008715BE" w:rsidRPr="00EC75B7" w:rsidRDefault="00000000">
            <w:pPr>
              <w:pStyle w:val="TableParagraph"/>
              <w:spacing w:before="114" w:line="180" w:lineRule="exact"/>
              <w:ind w:left="8" w:right="1"/>
              <w:jc w:val="center"/>
              <w:rPr>
                <w:rFonts w:ascii="Verdana" w:hAnsi="Verdana"/>
                <w:sz w:val="18"/>
                <w:szCs w:val="18"/>
              </w:rPr>
            </w:pPr>
            <w:r w:rsidRPr="00EC75B7">
              <w:rPr>
                <w:rFonts w:ascii="Verdana" w:hAnsi="Verdana"/>
                <w:spacing w:val="-5"/>
                <w:sz w:val="18"/>
                <w:szCs w:val="18"/>
              </w:rPr>
              <w:t>25</w:t>
            </w:r>
          </w:p>
        </w:tc>
      </w:tr>
    </w:tbl>
    <w:p w14:paraId="10D0F4C5" w14:textId="77777777" w:rsidR="008715BE" w:rsidRPr="00EC75B7" w:rsidRDefault="008715BE">
      <w:pPr>
        <w:pStyle w:val="BodyText"/>
        <w:spacing w:before="3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275"/>
        <w:gridCol w:w="1416"/>
        <w:gridCol w:w="7230"/>
      </w:tblGrid>
      <w:tr w:rsidR="008715BE" w:rsidRPr="00EC75B7" w14:paraId="30D34766" w14:textId="77777777">
        <w:trPr>
          <w:trHeight w:val="193"/>
        </w:trPr>
        <w:tc>
          <w:tcPr>
            <w:tcW w:w="2691" w:type="dxa"/>
            <w:gridSpan w:val="2"/>
            <w:shd w:val="clear" w:color="auto" w:fill="00AFEF"/>
          </w:tcPr>
          <w:p w14:paraId="3B4AF46C"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color w:val="FFFFFF"/>
                <w:spacing w:val="-4"/>
                <w:sz w:val="18"/>
                <w:szCs w:val="18"/>
              </w:rPr>
              <w:t>RISK</w:t>
            </w:r>
          </w:p>
        </w:tc>
        <w:tc>
          <w:tcPr>
            <w:tcW w:w="7230" w:type="dxa"/>
            <w:shd w:val="clear" w:color="auto" w:fill="00AFEF"/>
          </w:tcPr>
          <w:p w14:paraId="458F9851" w14:textId="77777777" w:rsidR="008715BE" w:rsidRPr="00EC75B7" w:rsidRDefault="00000000">
            <w:pPr>
              <w:pStyle w:val="TableParagraph"/>
              <w:spacing w:before="8" w:line="166" w:lineRule="exact"/>
              <w:ind w:left="9"/>
              <w:rPr>
                <w:rFonts w:ascii="Verdana" w:hAnsi="Verdana"/>
                <w:b/>
                <w:sz w:val="18"/>
                <w:szCs w:val="18"/>
              </w:rPr>
            </w:pPr>
            <w:r w:rsidRPr="00EC75B7">
              <w:rPr>
                <w:rFonts w:ascii="Verdana" w:hAnsi="Verdana"/>
                <w:b/>
                <w:color w:val="FFFFFF"/>
                <w:spacing w:val="-2"/>
                <w:sz w:val="18"/>
                <w:szCs w:val="18"/>
              </w:rPr>
              <w:t>Description</w:t>
            </w:r>
          </w:p>
        </w:tc>
      </w:tr>
      <w:tr w:rsidR="008715BE" w:rsidRPr="00EC75B7" w14:paraId="65BCBE82" w14:textId="77777777">
        <w:trPr>
          <w:trHeight w:val="194"/>
        </w:trPr>
        <w:tc>
          <w:tcPr>
            <w:tcW w:w="1275" w:type="dxa"/>
            <w:shd w:val="clear" w:color="auto" w:fill="F1F1F1"/>
          </w:tcPr>
          <w:p w14:paraId="3466E414"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10"/>
                <w:sz w:val="18"/>
                <w:szCs w:val="18"/>
              </w:rPr>
              <w:t>1-3</w:t>
            </w:r>
          </w:p>
        </w:tc>
        <w:tc>
          <w:tcPr>
            <w:tcW w:w="1416" w:type="dxa"/>
          </w:tcPr>
          <w:p w14:paraId="6A48ACCD"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pacing w:val="-2"/>
                <w:sz w:val="18"/>
                <w:szCs w:val="18"/>
              </w:rPr>
              <w:t xml:space="preserve">Negligible </w:t>
            </w:r>
            <w:r w:rsidRPr="00EC75B7">
              <w:rPr>
                <w:rFonts w:ascii="Verdana" w:hAnsi="Verdana"/>
                <w:sz w:val="18"/>
                <w:szCs w:val="18"/>
              </w:rPr>
              <w:t>risk</w:t>
            </w:r>
          </w:p>
        </w:tc>
        <w:tc>
          <w:tcPr>
            <w:tcW w:w="7230" w:type="dxa"/>
          </w:tcPr>
          <w:p w14:paraId="011A3700" w14:textId="77777777" w:rsidR="008715BE" w:rsidRPr="00EC75B7" w:rsidRDefault="00000000">
            <w:pPr>
              <w:pStyle w:val="TableParagraph"/>
              <w:spacing w:before="8" w:line="166" w:lineRule="exact"/>
              <w:ind w:left="9"/>
              <w:rPr>
                <w:rFonts w:ascii="Verdana" w:hAnsi="Verdana"/>
                <w:sz w:val="18"/>
                <w:szCs w:val="18"/>
              </w:rPr>
            </w:pPr>
            <w:r w:rsidRPr="00EC75B7">
              <w:rPr>
                <w:rFonts w:ascii="Verdana" w:hAnsi="Verdana"/>
                <w:sz w:val="18"/>
                <w:szCs w:val="18"/>
              </w:rPr>
              <w:t xml:space="preserve">No adaptation plan is likely to be necessary for these </w:t>
            </w:r>
            <w:r w:rsidRPr="00EC75B7">
              <w:rPr>
                <w:rFonts w:ascii="Verdana" w:hAnsi="Verdana"/>
                <w:spacing w:val="-2"/>
                <w:sz w:val="18"/>
                <w:szCs w:val="18"/>
              </w:rPr>
              <w:t>risks</w:t>
            </w:r>
          </w:p>
        </w:tc>
      </w:tr>
      <w:tr w:rsidR="008715BE" w:rsidRPr="00EC75B7" w14:paraId="085B288A" w14:textId="77777777">
        <w:trPr>
          <w:trHeight w:val="198"/>
        </w:trPr>
        <w:tc>
          <w:tcPr>
            <w:tcW w:w="1275" w:type="dxa"/>
            <w:shd w:val="clear" w:color="auto" w:fill="CDE1BE"/>
          </w:tcPr>
          <w:p w14:paraId="14E57452" w14:textId="77777777" w:rsidR="008715BE" w:rsidRPr="00EC75B7" w:rsidRDefault="00000000">
            <w:pPr>
              <w:pStyle w:val="TableParagraph"/>
              <w:spacing w:before="10" w:line="168" w:lineRule="exact"/>
              <w:ind w:left="108"/>
              <w:rPr>
                <w:rFonts w:ascii="Verdana" w:hAnsi="Verdana"/>
                <w:b/>
                <w:sz w:val="18"/>
                <w:szCs w:val="18"/>
              </w:rPr>
            </w:pPr>
            <w:r w:rsidRPr="00EC75B7">
              <w:rPr>
                <w:rFonts w:ascii="Verdana" w:hAnsi="Verdana"/>
                <w:b/>
                <w:spacing w:val="-10"/>
                <w:sz w:val="18"/>
                <w:szCs w:val="18"/>
              </w:rPr>
              <w:t>4-6</w:t>
            </w:r>
          </w:p>
        </w:tc>
        <w:tc>
          <w:tcPr>
            <w:tcW w:w="1416" w:type="dxa"/>
          </w:tcPr>
          <w:p w14:paraId="41AC2CBB" w14:textId="77777777" w:rsidR="008715BE" w:rsidRPr="00EC75B7" w:rsidRDefault="00000000">
            <w:pPr>
              <w:pStyle w:val="TableParagraph"/>
              <w:spacing w:before="10" w:line="168" w:lineRule="exact"/>
              <w:ind w:left="107"/>
              <w:rPr>
                <w:rFonts w:ascii="Verdana" w:hAnsi="Verdana"/>
                <w:sz w:val="18"/>
                <w:szCs w:val="18"/>
              </w:rPr>
            </w:pPr>
            <w:r w:rsidRPr="00EC75B7">
              <w:rPr>
                <w:rFonts w:ascii="Verdana" w:hAnsi="Verdana"/>
                <w:spacing w:val="-2"/>
                <w:sz w:val="18"/>
                <w:szCs w:val="18"/>
              </w:rPr>
              <w:t xml:space="preserve">Low </w:t>
            </w:r>
            <w:r w:rsidRPr="00EC75B7">
              <w:rPr>
                <w:rFonts w:ascii="Verdana" w:hAnsi="Verdana"/>
                <w:sz w:val="18"/>
                <w:szCs w:val="18"/>
              </w:rPr>
              <w:t>risk</w:t>
            </w:r>
          </w:p>
        </w:tc>
        <w:tc>
          <w:tcPr>
            <w:tcW w:w="7230" w:type="dxa"/>
          </w:tcPr>
          <w:p w14:paraId="053CCB98" w14:textId="77777777" w:rsidR="008715BE" w:rsidRPr="00EC75B7" w:rsidRDefault="00000000">
            <w:pPr>
              <w:pStyle w:val="TableParagraph"/>
              <w:spacing w:before="8" w:line="171" w:lineRule="exact"/>
              <w:ind w:left="9"/>
              <w:rPr>
                <w:rFonts w:ascii="Verdana" w:hAnsi="Verdana"/>
                <w:sz w:val="18"/>
                <w:szCs w:val="18"/>
              </w:rPr>
            </w:pPr>
            <w:r w:rsidRPr="00EC75B7">
              <w:rPr>
                <w:rFonts w:ascii="Verdana" w:hAnsi="Verdana"/>
                <w:sz w:val="18"/>
                <w:szCs w:val="18"/>
              </w:rPr>
              <w:t xml:space="preserve">Monitoring of these risks should be part of the </w:t>
            </w:r>
            <w:r w:rsidRPr="00EC75B7">
              <w:rPr>
                <w:rFonts w:ascii="Verdana" w:hAnsi="Verdana"/>
                <w:spacing w:val="-2"/>
                <w:sz w:val="18"/>
                <w:szCs w:val="18"/>
              </w:rPr>
              <w:t xml:space="preserve">project </w:t>
            </w:r>
            <w:r w:rsidRPr="00EC75B7">
              <w:rPr>
                <w:rFonts w:ascii="Verdana" w:hAnsi="Verdana"/>
                <w:sz w:val="18"/>
                <w:szCs w:val="18"/>
              </w:rPr>
              <w:t>adaptation plan</w:t>
            </w:r>
            <w:r w:rsidRPr="00EC75B7">
              <w:rPr>
                <w:rFonts w:ascii="Verdana" w:hAnsi="Verdana"/>
                <w:spacing w:val="-2"/>
                <w:sz w:val="18"/>
                <w:szCs w:val="18"/>
              </w:rPr>
              <w:t>.</w:t>
            </w:r>
          </w:p>
        </w:tc>
      </w:tr>
      <w:tr w:rsidR="008715BE" w:rsidRPr="00EC75B7" w14:paraId="3DB13D38" w14:textId="77777777">
        <w:trPr>
          <w:trHeight w:val="389"/>
        </w:trPr>
        <w:tc>
          <w:tcPr>
            <w:tcW w:w="1275" w:type="dxa"/>
            <w:shd w:val="clear" w:color="auto" w:fill="FFFF99"/>
          </w:tcPr>
          <w:p w14:paraId="2C2EF0F4" w14:textId="77777777" w:rsidR="008715BE" w:rsidRPr="00EC75B7" w:rsidRDefault="00000000">
            <w:pPr>
              <w:pStyle w:val="TableParagraph"/>
              <w:spacing w:before="105"/>
              <w:ind w:left="108"/>
              <w:rPr>
                <w:rFonts w:ascii="Verdana" w:hAnsi="Verdana"/>
                <w:b/>
                <w:sz w:val="18"/>
                <w:szCs w:val="18"/>
              </w:rPr>
            </w:pPr>
            <w:r w:rsidRPr="00EC75B7">
              <w:rPr>
                <w:rFonts w:ascii="Verdana" w:hAnsi="Verdana"/>
                <w:b/>
                <w:spacing w:val="-5"/>
                <w:sz w:val="18"/>
                <w:szCs w:val="18"/>
              </w:rPr>
              <w:t>7</w:t>
            </w:r>
          </w:p>
        </w:tc>
        <w:tc>
          <w:tcPr>
            <w:tcW w:w="1416" w:type="dxa"/>
          </w:tcPr>
          <w:p w14:paraId="1FDE8AAC" w14:textId="77777777" w:rsidR="008715BE" w:rsidRPr="00EC75B7" w:rsidRDefault="00000000">
            <w:pPr>
              <w:pStyle w:val="TableParagraph"/>
              <w:spacing w:before="105"/>
              <w:ind w:left="107"/>
              <w:rPr>
                <w:rFonts w:ascii="Verdana" w:hAnsi="Verdana"/>
                <w:sz w:val="18"/>
                <w:szCs w:val="18"/>
              </w:rPr>
            </w:pPr>
            <w:r w:rsidRPr="00EC75B7">
              <w:rPr>
                <w:rFonts w:ascii="Verdana" w:hAnsi="Verdana"/>
                <w:spacing w:val="-2"/>
                <w:sz w:val="18"/>
                <w:szCs w:val="18"/>
              </w:rPr>
              <w:t>Med</w:t>
            </w:r>
            <w:r w:rsidRPr="00EC75B7">
              <w:rPr>
                <w:rFonts w:ascii="Verdana" w:hAnsi="Verdana"/>
                <w:sz w:val="18"/>
                <w:szCs w:val="18"/>
              </w:rPr>
              <w:t>ium</w:t>
            </w:r>
          </w:p>
        </w:tc>
        <w:tc>
          <w:tcPr>
            <w:tcW w:w="7230" w:type="dxa"/>
          </w:tcPr>
          <w:p w14:paraId="377AADA5" w14:textId="77777777" w:rsidR="008715BE" w:rsidRPr="00EC75B7" w:rsidRDefault="00000000">
            <w:pPr>
              <w:pStyle w:val="TableParagraph"/>
              <w:spacing w:before="8" w:line="195" w:lineRule="exact"/>
              <w:ind w:left="9"/>
              <w:rPr>
                <w:rFonts w:ascii="Verdana" w:hAnsi="Verdana"/>
                <w:sz w:val="18"/>
                <w:szCs w:val="18"/>
              </w:rPr>
            </w:pPr>
            <w:r w:rsidRPr="00EC75B7">
              <w:rPr>
                <w:rFonts w:ascii="Verdana" w:hAnsi="Verdana"/>
                <w:sz w:val="18"/>
                <w:szCs w:val="18"/>
              </w:rPr>
              <w:t xml:space="preserve">Measures to mitigate major risks to </w:t>
            </w:r>
            <w:r w:rsidRPr="00EC75B7">
              <w:rPr>
                <w:rFonts w:ascii="Verdana" w:hAnsi="Verdana"/>
                <w:spacing w:val="-2"/>
                <w:sz w:val="18"/>
                <w:szCs w:val="18"/>
              </w:rPr>
              <w:t xml:space="preserve">the project </w:t>
            </w:r>
            <w:r w:rsidRPr="00EC75B7">
              <w:rPr>
                <w:rFonts w:ascii="Verdana" w:hAnsi="Verdana"/>
                <w:sz w:val="18"/>
                <w:szCs w:val="18"/>
              </w:rPr>
              <w:t>should be considered</w:t>
            </w:r>
            <w:r w:rsidRPr="00EC75B7">
              <w:rPr>
                <w:rFonts w:ascii="Verdana" w:hAnsi="Verdana"/>
                <w:spacing w:val="-2"/>
                <w:sz w:val="18"/>
                <w:szCs w:val="18"/>
              </w:rPr>
              <w:t>.</w:t>
            </w:r>
          </w:p>
          <w:p w14:paraId="78645F84" w14:textId="77777777" w:rsidR="008715BE" w:rsidRPr="00EC75B7" w:rsidRDefault="00000000">
            <w:pPr>
              <w:pStyle w:val="TableParagraph"/>
              <w:spacing w:line="166" w:lineRule="exact"/>
              <w:ind w:left="9"/>
              <w:rPr>
                <w:rFonts w:ascii="Verdana" w:hAnsi="Verdana"/>
                <w:sz w:val="18"/>
                <w:szCs w:val="18"/>
              </w:rPr>
            </w:pPr>
            <w:r w:rsidRPr="00EC75B7">
              <w:rPr>
                <w:rFonts w:ascii="Verdana" w:hAnsi="Verdana"/>
                <w:sz w:val="18"/>
                <w:szCs w:val="18"/>
              </w:rPr>
              <w:t xml:space="preserve">Monitoring these risks may be </w:t>
            </w:r>
            <w:r w:rsidRPr="00EC75B7">
              <w:rPr>
                <w:rFonts w:ascii="Verdana" w:hAnsi="Verdana"/>
                <w:spacing w:val="-2"/>
                <w:sz w:val="18"/>
                <w:szCs w:val="18"/>
              </w:rPr>
              <w:t>sufficient.</w:t>
            </w:r>
          </w:p>
        </w:tc>
      </w:tr>
      <w:tr w:rsidR="008715BE" w:rsidRPr="00EC75B7" w14:paraId="3EBF97ED" w14:textId="77777777">
        <w:trPr>
          <w:trHeight w:val="193"/>
        </w:trPr>
        <w:tc>
          <w:tcPr>
            <w:tcW w:w="1275" w:type="dxa"/>
            <w:shd w:val="clear" w:color="auto" w:fill="FFE288"/>
          </w:tcPr>
          <w:p w14:paraId="53866755" w14:textId="77777777" w:rsidR="008715BE" w:rsidRPr="00EC75B7" w:rsidRDefault="00000000">
            <w:pPr>
              <w:pStyle w:val="TableParagraph"/>
              <w:spacing w:before="8" w:line="166" w:lineRule="exact"/>
              <w:ind w:left="108"/>
              <w:rPr>
                <w:rFonts w:ascii="Verdana" w:hAnsi="Verdana"/>
                <w:b/>
                <w:sz w:val="18"/>
                <w:szCs w:val="18"/>
              </w:rPr>
            </w:pPr>
            <w:r w:rsidRPr="00EC75B7">
              <w:rPr>
                <w:rFonts w:ascii="Verdana" w:hAnsi="Verdana"/>
                <w:b/>
                <w:spacing w:val="-5"/>
                <w:sz w:val="18"/>
                <w:szCs w:val="18"/>
              </w:rPr>
              <w:t>12-19</w:t>
            </w:r>
          </w:p>
        </w:tc>
        <w:tc>
          <w:tcPr>
            <w:tcW w:w="1416" w:type="dxa"/>
          </w:tcPr>
          <w:p w14:paraId="6637077C"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pacing w:val="-2"/>
                <w:sz w:val="18"/>
                <w:szCs w:val="18"/>
              </w:rPr>
              <w:t xml:space="preserve">High </w:t>
            </w:r>
            <w:r w:rsidRPr="00EC75B7">
              <w:rPr>
                <w:rFonts w:ascii="Verdana" w:hAnsi="Verdana"/>
                <w:sz w:val="18"/>
                <w:szCs w:val="18"/>
              </w:rPr>
              <w:t>risk</w:t>
            </w:r>
          </w:p>
        </w:tc>
        <w:tc>
          <w:tcPr>
            <w:tcW w:w="7230" w:type="dxa"/>
          </w:tcPr>
          <w:p w14:paraId="6827178E" w14:textId="77777777" w:rsidR="008715BE" w:rsidRPr="00EC75B7" w:rsidRDefault="00000000">
            <w:pPr>
              <w:pStyle w:val="TableParagraph"/>
              <w:spacing w:before="8" w:line="166" w:lineRule="exact"/>
              <w:ind w:left="9"/>
              <w:rPr>
                <w:rFonts w:ascii="Verdana" w:hAnsi="Verdana"/>
                <w:sz w:val="18"/>
                <w:szCs w:val="18"/>
              </w:rPr>
            </w:pPr>
            <w:r w:rsidRPr="00EC75B7">
              <w:rPr>
                <w:rFonts w:ascii="Verdana" w:hAnsi="Verdana"/>
                <w:sz w:val="18"/>
                <w:szCs w:val="18"/>
              </w:rPr>
              <w:t xml:space="preserve">Measures to mitigate major risks to </w:t>
            </w:r>
            <w:r w:rsidRPr="00EC75B7">
              <w:rPr>
                <w:rFonts w:ascii="Verdana" w:hAnsi="Verdana"/>
                <w:spacing w:val="-2"/>
                <w:sz w:val="18"/>
                <w:szCs w:val="18"/>
              </w:rPr>
              <w:t xml:space="preserve">the project </w:t>
            </w:r>
            <w:r w:rsidRPr="00EC75B7">
              <w:rPr>
                <w:rFonts w:ascii="Verdana" w:hAnsi="Verdana"/>
                <w:sz w:val="18"/>
                <w:szCs w:val="18"/>
              </w:rPr>
              <w:t>should be considered</w:t>
            </w:r>
            <w:r w:rsidRPr="00EC75B7">
              <w:rPr>
                <w:rFonts w:ascii="Verdana" w:hAnsi="Verdana"/>
                <w:spacing w:val="-2"/>
                <w:sz w:val="18"/>
                <w:szCs w:val="18"/>
              </w:rPr>
              <w:t>.</w:t>
            </w:r>
          </w:p>
        </w:tc>
      </w:tr>
      <w:tr w:rsidR="008715BE" w:rsidRPr="00EC75B7" w14:paraId="626D7F1B" w14:textId="77777777">
        <w:trPr>
          <w:trHeight w:val="230"/>
        </w:trPr>
        <w:tc>
          <w:tcPr>
            <w:tcW w:w="1275" w:type="dxa"/>
            <w:shd w:val="clear" w:color="auto" w:fill="FFB799"/>
          </w:tcPr>
          <w:p w14:paraId="573423CE" w14:textId="77777777" w:rsidR="008715BE" w:rsidRPr="00EC75B7" w:rsidRDefault="00000000">
            <w:pPr>
              <w:pStyle w:val="TableParagraph"/>
              <w:spacing w:before="25" w:line="185" w:lineRule="exact"/>
              <w:ind w:left="108"/>
              <w:rPr>
                <w:rFonts w:ascii="Verdana" w:hAnsi="Verdana"/>
                <w:b/>
                <w:sz w:val="18"/>
                <w:szCs w:val="18"/>
              </w:rPr>
            </w:pPr>
            <w:r w:rsidRPr="00EC75B7">
              <w:rPr>
                <w:rFonts w:ascii="Verdana" w:hAnsi="Verdana"/>
                <w:b/>
                <w:spacing w:val="-5"/>
                <w:sz w:val="18"/>
                <w:szCs w:val="18"/>
              </w:rPr>
              <w:t>20-25</w:t>
            </w:r>
          </w:p>
        </w:tc>
        <w:tc>
          <w:tcPr>
            <w:tcW w:w="1416" w:type="dxa"/>
          </w:tcPr>
          <w:p w14:paraId="064E8555" w14:textId="77777777" w:rsidR="008715BE" w:rsidRPr="00EC75B7" w:rsidRDefault="00000000">
            <w:pPr>
              <w:pStyle w:val="TableParagraph"/>
              <w:spacing w:before="25" w:line="185" w:lineRule="exact"/>
              <w:ind w:left="107"/>
              <w:rPr>
                <w:rFonts w:ascii="Verdana" w:hAnsi="Verdana"/>
                <w:sz w:val="18"/>
                <w:szCs w:val="18"/>
              </w:rPr>
            </w:pPr>
            <w:r w:rsidRPr="00EC75B7">
              <w:rPr>
                <w:rFonts w:ascii="Verdana" w:hAnsi="Verdana"/>
                <w:spacing w:val="-2"/>
                <w:sz w:val="18"/>
                <w:szCs w:val="18"/>
              </w:rPr>
              <w:t xml:space="preserve">Extreme </w:t>
            </w:r>
            <w:r w:rsidRPr="00EC75B7">
              <w:rPr>
                <w:rFonts w:ascii="Verdana" w:hAnsi="Verdana"/>
                <w:sz w:val="18"/>
                <w:szCs w:val="18"/>
              </w:rPr>
              <w:t>risk</w:t>
            </w:r>
          </w:p>
        </w:tc>
        <w:tc>
          <w:tcPr>
            <w:tcW w:w="7230" w:type="dxa"/>
          </w:tcPr>
          <w:p w14:paraId="0D5DCC26" w14:textId="77777777" w:rsidR="008715BE" w:rsidRPr="00EC75B7" w:rsidRDefault="00000000">
            <w:pPr>
              <w:pStyle w:val="TableParagraph"/>
              <w:spacing w:before="8"/>
              <w:ind w:left="9"/>
              <w:rPr>
                <w:rFonts w:ascii="Verdana" w:hAnsi="Verdana"/>
                <w:sz w:val="18"/>
                <w:szCs w:val="18"/>
              </w:rPr>
            </w:pPr>
            <w:r w:rsidRPr="00EC75B7">
              <w:rPr>
                <w:rFonts w:ascii="Verdana" w:hAnsi="Verdana"/>
                <w:sz w:val="18"/>
                <w:szCs w:val="18"/>
              </w:rPr>
              <w:t xml:space="preserve">Measures to mitigate major risks to </w:t>
            </w:r>
            <w:r w:rsidRPr="00EC75B7">
              <w:rPr>
                <w:rFonts w:ascii="Verdana" w:hAnsi="Verdana"/>
                <w:spacing w:val="-2"/>
                <w:sz w:val="18"/>
                <w:szCs w:val="18"/>
              </w:rPr>
              <w:t xml:space="preserve">the project </w:t>
            </w:r>
            <w:r w:rsidRPr="00EC75B7">
              <w:rPr>
                <w:rFonts w:ascii="Verdana" w:hAnsi="Verdana"/>
                <w:sz w:val="18"/>
                <w:szCs w:val="18"/>
              </w:rPr>
              <w:t>must be considered</w:t>
            </w:r>
            <w:r w:rsidRPr="00EC75B7">
              <w:rPr>
                <w:rFonts w:ascii="Verdana" w:hAnsi="Verdana"/>
                <w:spacing w:val="-2"/>
                <w:sz w:val="18"/>
                <w:szCs w:val="18"/>
              </w:rPr>
              <w:t>.</w:t>
            </w:r>
          </w:p>
        </w:tc>
      </w:tr>
    </w:tbl>
    <w:p w14:paraId="1DB21C95" w14:textId="77777777" w:rsidR="008715BE" w:rsidRPr="00EC75B7" w:rsidRDefault="008715BE">
      <w:pPr>
        <w:pStyle w:val="BodyText"/>
        <w:rPr>
          <w:rFonts w:ascii="Verdana" w:hAnsi="Verdana"/>
          <w:b/>
        </w:rPr>
      </w:pPr>
    </w:p>
    <w:p w14:paraId="54FF3793" w14:textId="77777777" w:rsidR="008715BE" w:rsidRPr="00EC75B7" w:rsidRDefault="008715BE">
      <w:pPr>
        <w:pStyle w:val="BodyText"/>
        <w:spacing w:before="69"/>
        <w:rPr>
          <w:rFonts w:ascii="Verdana" w:hAnsi="Verdana"/>
          <w:b/>
        </w:rPr>
      </w:pPr>
    </w:p>
    <w:p w14:paraId="5E03EC20" w14:textId="77777777" w:rsidR="008715BE" w:rsidRPr="00EC75B7" w:rsidRDefault="00000000">
      <w:pPr>
        <w:pStyle w:val="BodyText"/>
        <w:spacing w:line="357" w:lineRule="auto"/>
        <w:ind w:left="57" w:right="285"/>
        <w:jc w:val="both"/>
        <w:rPr>
          <w:rFonts w:ascii="Verdana" w:hAnsi="Verdana"/>
        </w:rPr>
      </w:pPr>
      <w:r w:rsidRPr="00EC75B7">
        <w:rPr>
          <w:rFonts w:ascii="Verdana" w:hAnsi="Verdana"/>
        </w:rPr>
        <w:t>The overall risk category for each climate hazard and component is derived using the matrix in the figure above and tabulated where the risk assessment for each hazard with medium or high vulnerability will be presented. Components are grouped together to simplify the assessment process.</w:t>
      </w:r>
      <w:r w:rsidRPr="00EC75B7">
        <w:rPr>
          <w:rFonts w:ascii="Verdana" w:hAnsi="Verdana"/>
          <w:spacing w:val="24"/>
        </w:rPr>
        <w:t xml:space="preserve"> </w:t>
      </w:r>
      <w:r w:rsidRPr="00EC75B7">
        <w:rPr>
          <w:rFonts w:ascii="Verdana" w:hAnsi="Verdana"/>
        </w:rPr>
        <w:t xml:space="preserve">These risk assessment tables include details on the probability and severity scoring approach, relevant built-in resilience measures, proposed adaptation strategies, and the </w:t>
      </w:r>
      <w:r w:rsidRPr="00EC75B7">
        <w:rPr>
          <w:rFonts w:ascii="Verdana" w:hAnsi="Verdana"/>
          <w:spacing w:val="-2"/>
        </w:rPr>
        <w:t>resulting</w:t>
      </w:r>
      <w:r w:rsidRPr="00EC75B7">
        <w:rPr>
          <w:rFonts w:ascii="Verdana" w:hAnsi="Verdana"/>
        </w:rPr>
        <w:t xml:space="preserve"> residual risk.</w:t>
      </w:r>
    </w:p>
    <w:p w14:paraId="57866CC7" w14:textId="77777777" w:rsidR="008715BE" w:rsidRPr="00EC75B7" w:rsidRDefault="00000000">
      <w:pPr>
        <w:pStyle w:val="Heading5"/>
        <w:spacing w:before="124"/>
        <w:rPr>
          <w:rFonts w:ascii="Verdana" w:hAnsi="Verdana"/>
        </w:rPr>
      </w:pPr>
      <w:r w:rsidRPr="00EC75B7">
        <w:rPr>
          <w:rFonts w:ascii="Verdana" w:hAnsi="Verdana"/>
          <w:spacing w:val="-2"/>
        </w:rPr>
        <w:t xml:space="preserve">Adaptation </w:t>
      </w:r>
      <w:r w:rsidRPr="00EC75B7">
        <w:rPr>
          <w:rFonts w:ascii="Verdana" w:hAnsi="Verdana"/>
        </w:rPr>
        <w:t>measures</w:t>
      </w:r>
    </w:p>
    <w:p w14:paraId="5B07F05F" w14:textId="77777777" w:rsidR="008715BE" w:rsidRPr="00EC75B7" w:rsidRDefault="008715BE">
      <w:pPr>
        <w:pStyle w:val="BodyText"/>
        <w:spacing w:before="9"/>
        <w:rPr>
          <w:rFonts w:ascii="Verdana" w:hAnsi="Verdana"/>
          <w:b/>
        </w:rPr>
      </w:pPr>
    </w:p>
    <w:p w14:paraId="5A9D63CC" w14:textId="77777777" w:rsidR="008715BE" w:rsidRPr="00EC75B7" w:rsidRDefault="00000000">
      <w:pPr>
        <w:pStyle w:val="BodyText"/>
        <w:spacing w:line="357" w:lineRule="auto"/>
        <w:ind w:left="86" w:right="287"/>
        <w:jc w:val="both"/>
        <w:rPr>
          <w:rFonts w:ascii="Verdana" w:hAnsi="Verdana"/>
        </w:rPr>
      </w:pPr>
      <w:r w:rsidRPr="00EC75B7">
        <w:rPr>
          <w:rFonts w:ascii="Verdana" w:hAnsi="Verdana"/>
        </w:rPr>
        <w:t>All risks with a medium, high, or extreme risk score must be managed to an acceptable level through climate change adaptation measures. The adaptation solutions selected must be proportionate to the identified risk level and aligned with the technical, financial, and operational resources available for the project.</w:t>
      </w:r>
    </w:p>
    <w:p w14:paraId="630A698A" w14:textId="77777777" w:rsidR="008715BE" w:rsidRPr="00EC75B7" w:rsidRDefault="00000000">
      <w:pPr>
        <w:pStyle w:val="BodyText"/>
        <w:spacing w:before="122" w:line="360" w:lineRule="auto"/>
        <w:ind w:left="86" w:right="287"/>
        <w:jc w:val="both"/>
        <w:rPr>
          <w:rFonts w:ascii="Verdana" w:hAnsi="Verdana"/>
        </w:rPr>
      </w:pPr>
      <w:r w:rsidRPr="00EC75B7">
        <w:rPr>
          <w:rFonts w:ascii="Verdana" w:hAnsi="Verdana"/>
        </w:rPr>
        <w:t>Depending on the nature of the selected adaptation options, their implementation may lead to the following outcomes in terms of climate risk management:</w:t>
      </w:r>
    </w:p>
    <w:p w14:paraId="217FCA92" w14:textId="77777777" w:rsidR="008715BE" w:rsidRPr="00EC75B7" w:rsidRDefault="00000000">
      <w:pPr>
        <w:pStyle w:val="ListParagraph"/>
        <w:numPr>
          <w:ilvl w:val="0"/>
          <w:numId w:val="7"/>
        </w:numPr>
        <w:tabs>
          <w:tab w:val="left" w:pos="776"/>
          <w:tab w:val="left" w:pos="806"/>
        </w:tabs>
        <w:spacing w:before="119" w:line="357" w:lineRule="auto"/>
        <w:ind w:right="296" w:hanging="360"/>
        <w:jc w:val="both"/>
        <w:rPr>
          <w:rFonts w:ascii="Verdana" w:hAnsi="Verdana"/>
          <w:sz w:val="18"/>
          <w:szCs w:val="18"/>
        </w:rPr>
      </w:pPr>
      <w:r w:rsidRPr="00EC75B7">
        <w:rPr>
          <w:rFonts w:ascii="Verdana" w:hAnsi="Verdana"/>
          <w:sz w:val="18"/>
          <w:szCs w:val="18"/>
        </w:rPr>
        <w:t xml:space="preserve">risk reduction, by decreasing the probability of occurrence and/or the potential consequences of </w:t>
      </w:r>
      <w:r w:rsidRPr="00EC75B7">
        <w:rPr>
          <w:rFonts w:ascii="Verdana" w:hAnsi="Verdana"/>
          <w:spacing w:val="-2"/>
          <w:sz w:val="18"/>
          <w:szCs w:val="18"/>
        </w:rPr>
        <w:t>impacts;</w:t>
      </w:r>
    </w:p>
    <w:p w14:paraId="3E8B0B0C" w14:textId="77777777" w:rsidR="008715BE" w:rsidRPr="00EC75B7" w:rsidRDefault="00000000">
      <w:pPr>
        <w:pStyle w:val="ListParagraph"/>
        <w:numPr>
          <w:ilvl w:val="0"/>
          <w:numId w:val="7"/>
        </w:numPr>
        <w:tabs>
          <w:tab w:val="left" w:pos="776"/>
        </w:tabs>
        <w:ind w:left="776" w:hanging="330"/>
        <w:jc w:val="both"/>
        <w:rPr>
          <w:rFonts w:ascii="Verdana" w:hAnsi="Verdana"/>
          <w:sz w:val="18"/>
          <w:szCs w:val="18"/>
        </w:rPr>
      </w:pPr>
      <w:r w:rsidRPr="00EC75B7">
        <w:rPr>
          <w:rFonts w:ascii="Verdana" w:hAnsi="Verdana"/>
          <w:sz w:val="18"/>
          <w:szCs w:val="18"/>
        </w:rPr>
        <w:t xml:space="preserve">risk sharing, for example through insurance mechanisms or other </w:t>
      </w:r>
      <w:r w:rsidRPr="00EC75B7">
        <w:rPr>
          <w:rFonts w:ascii="Verdana" w:hAnsi="Verdana"/>
          <w:spacing w:val="-2"/>
          <w:sz w:val="18"/>
          <w:szCs w:val="18"/>
        </w:rPr>
        <w:t xml:space="preserve">financial </w:t>
      </w:r>
      <w:r w:rsidRPr="00EC75B7">
        <w:rPr>
          <w:rFonts w:ascii="Verdana" w:hAnsi="Verdana"/>
          <w:sz w:val="18"/>
          <w:szCs w:val="18"/>
        </w:rPr>
        <w:t>instruments</w:t>
      </w:r>
      <w:r w:rsidRPr="00EC75B7">
        <w:rPr>
          <w:rFonts w:ascii="Verdana" w:hAnsi="Verdana"/>
          <w:spacing w:val="-2"/>
          <w:sz w:val="18"/>
          <w:szCs w:val="18"/>
        </w:rPr>
        <w:t>;</w:t>
      </w:r>
    </w:p>
    <w:p w14:paraId="77339430" w14:textId="77777777" w:rsidR="008715BE" w:rsidRPr="00EC75B7" w:rsidRDefault="00000000">
      <w:pPr>
        <w:pStyle w:val="ListParagraph"/>
        <w:numPr>
          <w:ilvl w:val="0"/>
          <w:numId w:val="7"/>
        </w:numPr>
        <w:tabs>
          <w:tab w:val="left" w:pos="776"/>
          <w:tab w:val="left" w:pos="806"/>
        </w:tabs>
        <w:spacing w:before="109" w:line="357" w:lineRule="auto"/>
        <w:ind w:right="291" w:hanging="360"/>
        <w:jc w:val="both"/>
        <w:rPr>
          <w:rFonts w:ascii="Verdana" w:hAnsi="Verdana"/>
          <w:sz w:val="18"/>
          <w:szCs w:val="18"/>
        </w:rPr>
      </w:pPr>
      <w:r w:rsidRPr="00EC75B7">
        <w:rPr>
          <w:rFonts w:ascii="Verdana" w:hAnsi="Verdana"/>
          <w:sz w:val="18"/>
          <w:szCs w:val="18"/>
        </w:rPr>
        <w:t>risk avoidance, including through relocation, redesign of components, or exclusion of certain exposed activities.</w:t>
      </w:r>
    </w:p>
    <w:p w14:paraId="10C8E48F" w14:textId="77777777" w:rsidR="008715BE" w:rsidRPr="00EC75B7" w:rsidRDefault="00000000">
      <w:pPr>
        <w:spacing w:before="123" w:line="360" w:lineRule="auto"/>
        <w:ind w:left="86" w:right="295"/>
        <w:jc w:val="both"/>
        <w:rPr>
          <w:rFonts w:ascii="Verdana" w:hAnsi="Verdana"/>
          <w:sz w:val="18"/>
          <w:szCs w:val="18"/>
        </w:rPr>
      </w:pPr>
      <w:r w:rsidRPr="00EC75B7">
        <w:rPr>
          <w:rFonts w:ascii="Verdana" w:hAnsi="Verdana"/>
          <w:sz w:val="18"/>
          <w:szCs w:val="18"/>
        </w:rPr>
        <w:t>Appropriate measures for adapting to climate change are described in the risk assessment tables, and responsibility for implementation lies with the project owner.</w:t>
      </w:r>
    </w:p>
    <w:p w14:paraId="05F503D1" w14:textId="77777777" w:rsidR="008715BE" w:rsidRPr="00EC75B7" w:rsidRDefault="008715BE">
      <w:pPr>
        <w:pStyle w:val="BodyText"/>
        <w:rPr>
          <w:rFonts w:ascii="Verdana" w:hAnsi="Verdana"/>
        </w:rPr>
      </w:pPr>
    </w:p>
    <w:p w14:paraId="23A00F71" w14:textId="77777777" w:rsidR="008715BE" w:rsidRPr="00EC75B7" w:rsidRDefault="008715BE">
      <w:pPr>
        <w:pStyle w:val="BodyText"/>
        <w:spacing w:before="234"/>
        <w:rPr>
          <w:rFonts w:ascii="Verdana" w:hAnsi="Verdana"/>
        </w:rPr>
      </w:pPr>
    </w:p>
    <w:p w14:paraId="4E7D2376" w14:textId="77777777" w:rsidR="008715BE" w:rsidRPr="00EC75B7" w:rsidRDefault="00000000">
      <w:pPr>
        <w:pStyle w:val="Heading3"/>
        <w:numPr>
          <w:ilvl w:val="1"/>
          <w:numId w:val="110"/>
        </w:numPr>
        <w:tabs>
          <w:tab w:val="left" w:pos="1048"/>
          <w:tab w:val="left" w:pos="2454"/>
          <w:tab w:val="left" w:pos="4126"/>
          <w:tab w:val="left" w:pos="5246"/>
          <w:tab w:val="left" w:pos="6197"/>
          <w:tab w:val="left" w:pos="7713"/>
          <w:tab w:val="left" w:pos="8668"/>
        </w:tabs>
        <w:spacing w:line="357" w:lineRule="auto"/>
        <w:ind w:left="57" w:right="288" w:firstLine="57"/>
        <w:jc w:val="left"/>
        <w:rPr>
          <w:rFonts w:ascii="Verdana" w:hAnsi="Verdana"/>
          <w:color w:val="00AFEF"/>
          <w:sz w:val="18"/>
          <w:szCs w:val="18"/>
        </w:rPr>
      </w:pPr>
      <w:bookmarkStart w:id="135" w:name="_bookmark133"/>
      <w:bookmarkEnd w:id="135"/>
      <w:r w:rsidRPr="00EC75B7">
        <w:rPr>
          <w:rFonts w:ascii="Verdana" w:hAnsi="Verdana"/>
          <w:color w:val="00AFEF"/>
          <w:spacing w:val="-2"/>
          <w:sz w:val="18"/>
          <w:szCs w:val="18"/>
        </w:rPr>
        <w:t>Description</w:t>
      </w:r>
      <w:r w:rsidRPr="00EC75B7">
        <w:rPr>
          <w:rFonts w:ascii="Verdana" w:hAnsi="Verdana"/>
          <w:color w:val="00AFEF"/>
          <w:sz w:val="18"/>
          <w:szCs w:val="18"/>
        </w:rPr>
        <w:tab/>
      </w:r>
      <w:r w:rsidRPr="00EC75B7">
        <w:rPr>
          <w:rFonts w:ascii="Verdana" w:hAnsi="Verdana"/>
          <w:color w:val="00AFEF"/>
          <w:spacing w:val="-2"/>
          <w:sz w:val="18"/>
          <w:szCs w:val="18"/>
        </w:rPr>
        <w:t>methodology</w:t>
      </w:r>
      <w:r w:rsidRPr="00EC75B7">
        <w:rPr>
          <w:rFonts w:ascii="Verdana" w:hAnsi="Verdana"/>
          <w:color w:val="00AFEF"/>
          <w:sz w:val="18"/>
          <w:szCs w:val="18"/>
        </w:rPr>
        <w:tab/>
      </w:r>
      <w:r w:rsidRPr="00EC75B7">
        <w:rPr>
          <w:rFonts w:ascii="Verdana" w:hAnsi="Verdana"/>
          <w:color w:val="00AFEF"/>
          <w:spacing w:val="-2"/>
          <w:sz w:val="18"/>
          <w:szCs w:val="18"/>
        </w:rPr>
        <w:t>used</w:t>
      </w:r>
      <w:r w:rsidRPr="00EC75B7">
        <w:rPr>
          <w:rFonts w:ascii="Verdana" w:hAnsi="Verdana"/>
          <w:color w:val="00AFEF"/>
          <w:sz w:val="18"/>
          <w:szCs w:val="18"/>
        </w:rPr>
        <w:tab/>
      </w:r>
      <w:r w:rsidRPr="00EC75B7">
        <w:rPr>
          <w:rFonts w:ascii="Verdana" w:hAnsi="Verdana"/>
          <w:color w:val="00AFEF"/>
          <w:spacing w:val="-2"/>
          <w:sz w:val="18"/>
          <w:szCs w:val="18"/>
        </w:rPr>
        <w:t>for</w:t>
      </w:r>
      <w:r w:rsidRPr="00EC75B7">
        <w:rPr>
          <w:rFonts w:ascii="Verdana" w:hAnsi="Verdana"/>
          <w:color w:val="00AFEF"/>
          <w:sz w:val="18"/>
          <w:szCs w:val="18"/>
        </w:rPr>
        <w:tab/>
      </w:r>
      <w:r w:rsidRPr="00EC75B7">
        <w:rPr>
          <w:rFonts w:ascii="Verdana" w:hAnsi="Verdana"/>
          <w:color w:val="00AFEF"/>
          <w:spacing w:val="-2"/>
          <w:sz w:val="18"/>
          <w:szCs w:val="18"/>
        </w:rPr>
        <w:t>assessing</w:t>
      </w:r>
      <w:r w:rsidRPr="00EC75B7">
        <w:rPr>
          <w:rFonts w:ascii="Verdana" w:hAnsi="Verdana"/>
          <w:color w:val="00AFEF"/>
          <w:sz w:val="18"/>
          <w:szCs w:val="18"/>
        </w:rPr>
        <w:tab/>
      </w:r>
      <w:r w:rsidRPr="00EC75B7">
        <w:rPr>
          <w:rFonts w:ascii="Verdana" w:hAnsi="Verdana"/>
          <w:color w:val="00AFEF"/>
          <w:spacing w:val="-2"/>
          <w:sz w:val="18"/>
          <w:szCs w:val="18"/>
        </w:rPr>
        <w:t>for</w:t>
      </w:r>
      <w:r w:rsidRPr="00EC75B7">
        <w:rPr>
          <w:rFonts w:ascii="Verdana" w:hAnsi="Verdana"/>
          <w:color w:val="00AFEF"/>
          <w:sz w:val="18"/>
          <w:szCs w:val="18"/>
        </w:rPr>
        <w:tab/>
      </w:r>
      <w:r w:rsidRPr="00EC75B7">
        <w:rPr>
          <w:rFonts w:ascii="Verdana" w:hAnsi="Verdana"/>
          <w:color w:val="00AFEF"/>
          <w:spacing w:val="-2"/>
          <w:sz w:val="18"/>
          <w:szCs w:val="18"/>
        </w:rPr>
        <w:t xml:space="preserve">assessing </w:t>
      </w:r>
      <w:r w:rsidRPr="00EC75B7">
        <w:rPr>
          <w:rFonts w:ascii="Verdana" w:hAnsi="Verdana"/>
          <w:color w:val="00AFEF"/>
          <w:sz w:val="18"/>
          <w:szCs w:val="18"/>
        </w:rPr>
        <w:t>the impact on protected natural areas</w:t>
      </w:r>
    </w:p>
    <w:p w14:paraId="31C655A9" w14:textId="77777777" w:rsidR="008715BE" w:rsidRPr="00EC75B7" w:rsidRDefault="00000000">
      <w:pPr>
        <w:pStyle w:val="BodyText"/>
        <w:spacing w:before="204" w:line="357" w:lineRule="auto"/>
        <w:ind w:left="57" w:right="290"/>
        <w:jc w:val="both"/>
        <w:rPr>
          <w:rFonts w:ascii="Verdana" w:hAnsi="Verdana"/>
        </w:rPr>
      </w:pPr>
      <w:r w:rsidRPr="00EC75B7">
        <w:rPr>
          <w:rFonts w:ascii="Verdana" w:hAnsi="Verdana"/>
        </w:rPr>
        <w:t>The assessment of impacts on ANPICs was carried out based on the conservation objectives of each ANPIC established by the authority responsible for the management/administration of protected natural areas of</w:t>
      </w:r>
    </w:p>
    <w:p w14:paraId="20D10E89" w14:textId="77777777" w:rsidR="008715BE" w:rsidRPr="00EC75B7" w:rsidRDefault="008715BE">
      <w:pPr>
        <w:pStyle w:val="BodyText"/>
        <w:spacing w:line="357" w:lineRule="auto"/>
        <w:jc w:val="both"/>
        <w:rPr>
          <w:rFonts w:ascii="Verdana" w:hAnsi="Verdana"/>
        </w:rPr>
        <w:sectPr w:rsidR="008715BE" w:rsidRPr="00EC75B7">
          <w:pgSz w:w="11910" w:h="16840"/>
          <w:pgMar w:top="1320" w:right="708" w:bottom="1020" w:left="1133" w:header="766" w:footer="824" w:gutter="0"/>
          <w:cols w:space="708"/>
        </w:sectPr>
      </w:pPr>
    </w:p>
    <w:p w14:paraId="0F2764F4" w14:textId="77777777" w:rsidR="008715BE" w:rsidRPr="00EC75B7" w:rsidRDefault="00000000">
      <w:pPr>
        <w:pStyle w:val="BodyText"/>
        <w:spacing w:before="99" w:line="360" w:lineRule="auto"/>
        <w:ind w:left="57" w:right="64"/>
        <w:rPr>
          <w:rFonts w:ascii="Verdana" w:hAnsi="Verdana"/>
        </w:rPr>
      </w:pPr>
      <w:r w:rsidRPr="00EC75B7">
        <w:rPr>
          <w:rFonts w:ascii="Verdana" w:hAnsi="Verdana"/>
        </w:rPr>
        <w:lastRenderedPageBreak/>
        <w:t>The assessment was carried out for all habitats and species for whose protection the ANPICs were designated as potentially affected by the project, at the level of each OSC parameter.</w:t>
      </w:r>
    </w:p>
    <w:p w14:paraId="7558AD8B" w14:textId="77777777" w:rsidR="008715BE" w:rsidRPr="00EC75B7" w:rsidRDefault="00000000">
      <w:pPr>
        <w:pStyle w:val="BodyText"/>
        <w:spacing w:before="117" w:line="360" w:lineRule="auto"/>
        <w:ind w:left="57" w:right="64"/>
        <w:rPr>
          <w:rFonts w:ascii="Verdana" w:hAnsi="Verdana"/>
        </w:rPr>
      </w:pPr>
      <w:r w:rsidRPr="00EC75B7">
        <w:rPr>
          <w:rFonts w:ascii="Verdana" w:hAnsi="Verdana"/>
        </w:rPr>
        <w:t>At this stage, the potentially affected ANPICs are known and therefore the specific conservation objectives (OSC) of the habitats and species of Community interest in these sites are available.</w:t>
      </w:r>
    </w:p>
    <w:p w14:paraId="6606A395" w14:textId="77777777" w:rsidR="008715BE" w:rsidRPr="00EC75B7" w:rsidRDefault="00000000">
      <w:pPr>
        <w:spacing w:before="121"/>
        <w:ind w:left="57"/>
        <w:rPr>
          <w:rFonts w:ascii="Verdana" w:hAnsi="Verdana"/>
          <w:b/>
          <w:sz w:val="18"/>
          <w:szCs w:val="18"/>
        </w:rPr>
      </w:pPr>
      <w:r w:rsidRPr="00EC75B7">
        <w:rPr>
          <w:rFonts w:ascii="Verdana" w:hAnsi="Verdana"/>
          <w:b/>
          <w:color w:val="009DEF"/>
          <w:sz w:val="18"/>
          <w:szCs w:val="18"/>
        </w:rPr>
        <w:t xml:space="preserve">Identifying and quantifying </w:t>
      </w:r>
      <w:r w:rsidRPr="00EC75B7">
        <w:rPr>
          <w:rFonts w:ascii="Verdana" w:hAnsi="Verdana"/>
          <w:b/>
          <w:color w:val="009DEF"/>
          <w:spacing w:val="-2"/>
          <w:sz w:val="18"/>
          <w:szCs w:val="18"/>
        </w:rPr>
        <w:t>the impact</w:t>
      </w:r>
    </w:p>
    <w:p w14:paraId="27BE6F29" w14:textId="77777777" w:rsidR="008715BE" w:rsidRPr="00EC75B7" w:rsidRDefault="00000000">
      <w:pPr>
        <w:pStyle w:val="BodyText"/>
        <w:spacing w:before="118" w:line="357" w:lineRule="auto"/>
        <w:ind w:left="57" w:right="64"/>
        <w:rPr>
          <w:rFonts w:ascii="Verdana" w:hAnsi="Verdana"/>
        </w:rPr>
      </w:pPr>
      <w:r w:rsidRPr="00EC75B7">
        <w:rPr>
          <w:rFonts w:ascii="Verdana" w:hAnsi="Verdana"/>
        </w:rPr>
        <w:t>The type and extent of the impact depends largely on the species involved, their ecology and conservation status, as well as the location, size, and design of the entire project.</w:t>
      </w:r>
    </w:p>
    <w:p w14:paraId="4FBB3E2D" w14:textId="77777777" w:rsidR="008715BE" w:rsidRPr="00EC75B7" w:rsidRDefault="00000000">
      <w:pPr>
        <w:pStyle w:val="BodyText"/>
        <w:spacing w:before="120"/>
        <w:ind w:left="57"/>
        <w:rPr>
          <w:rFonts w:ascii="Verdana" w:hAnsi="Verdana"/>
        </w:rPr>
      </w:pPr>
      <w:r w:rsidRPr="00EC75B7">
        <w:rPr>
          <w:rFonts w:ascii="Verdana" w:hAnsi="Verdana"/>
        </w:rPr>
        <w:t xml:space="preserve">The approach proposed in this study is based on the relationship: CAUSE – EFFECTS – </w:t>
      </w:r>
      <w:r w:rsidRPr="00EC75B7">
        <w:rPr>
          <w:rFonts w:ascii="Verdana" w:hAnsi="Verdana"/>
          <w:spacing w:val="-2"/>
        </w:rPr>
        <w:t>IMPACTS.</w:t>
      </w:r>
    </w:p>
    <w:p w14:paraId="5D4D2CB9" w14:textId="77777777" w:rsidR="008715BE" w:rsidRPr="00EC75B7" w:rsidRDefault="008715BE">
      <w:pPr>
        <w:pStyle w:val="BodyText"/>
        <w:spacing w:before="9"/>
        <w:rPr>
          <w:rFonts w:ascii="Verdana" w:hAnsi="Verdana"/>
        </w:rPr>
      </w:pPr>
    </w:p>
    <w:p w14:paraId="74B99004" w14:textId="77777777" w:rsidR="008715BE" w:rsidRPr="00EC75B7" w:rsidRDefault="00000000">
      <w:pPr>
        <w:pStyle w:val="ListParagraph"/>
        <w:numPr>
          <w:ilvl w:val="0"/>
          <w:numId w:val="6"/>
        </w:numPr>
        <w:tabs>
          <w:tab w:val="left" w:pos="776"/>
        </w:tabs>
        <w:spacing w:before="1"/>
        <w:ind w:left="776" w:hanging="359"/>
        <w:jc w:val="both"/>
        <w:rPr>
          <w:rFonts w:ascii="Verdana" w:hAnsi="Verdana"/>
          <w:sz w:val="18"/>
          <w:szCs w:val="18"/>
        </w:rPr>
      </w:pPr>
      <w:r w:rsidRPr="00EC75B7">
        <w:rPr>
          <w:rFonts w:ascii="Verdana" w:hAnsi="Verdana"/>
          <w:b/>
          <w:sz w:val="18"/>
          <w:szCs w:val="18"/>
        </w:rPr>
        <w:t xml:space="preserve">The causes </w:t>
      </w:r>
      <w:r w:rsidRPr="00EC75B7">
        <w:rPr>
          <w:rFonts w:ascii="Verdana" w:hAnsi="Verdana"/>
          <w:sz w:val="18"/>
          <w:szCs w:val="18"/>
        </w:rPr>
        <w:t xml:space="preserve">are represented by the interventions proposed within the </w:t>
      </w:r>
      <w:r w:rsidRPr="00EC75B7">
        <w:rPr>
          <w:rFonts w:ascii="Verdana" w:hAnsi="Verdana"/>
          <w:spacing w:val="-2"/>
          <w:sz w:val="18"/>
          <w:szCs w:val="18"/>
        </w:rPr>
        <w:t>project.</w:t>
      </w:r>
    </w:p>
    <w:p w14:paraId="0DD6EF5A" w14:textId="77777777" w:rsidR="008715BE" w:rsidRPr="00EC75B7" w:rsidRDefault="00000000">
      <w:pPr>
        <w:pStyle w:val="ListParagraph"/>
        <w:numPr>
          <w:ilvl w:val="0"/>
          <w:numId w:val="6"/>
        </w:numPr>
        <w:tabs>
          <w:tab w:val="left" w:pos="777"/>
        </w:tabs>
        <w:spacing w:before="109" w:line="357" w:lineRule="auto"/>
        <w:ind w:right="289"/>
        <w:jc w:val="both"/>
        <w:rPr>
          <w:rFonts w:ascii="Verdana" w:hAnsi="Verdana"/>
          <w:sz w:val="18"/>
          <w:szCs w:val="18"/>
        </w:rPr>
      </w:pPr>
      <w:r w:rsidRPr="00EC75B7">
        <w:rPr>
          <w:rFonts w:ascii="Verdana" w:hAnsi="Verdana"/>
          <w:b/>
          <w:sz w:val="18"/>
          <w:szCs w:val="18"/>
        </w:rPr>
        <w:t xml:space="preserve">Effects </w:t>
      </w:r>
      <w:r w:rsidRPr="00EC75B7">
        <w:rPr>
          <w:rFonts w:ascii="Verdana" w:hAnsi="Verdana"/>
          <w:sz w:val="18"/>
          <w:szCs w:val="18"/>
        </w:rPr>
        <w:t>are physical, chemical, and biological changes in the environment resulting from a cause (examples: increased noise levels, increased concentrations of pollutants in the air, water, or soil, increased light intensity, invasion of invasive species, other effects).</w:t>
      </w:r>
    </w:p>
    <w:p w14:paraId="09A919F4" w14:textId="77777777" w:rsidR="008715BE" w:rsidRPr="00EC75B7" w:rsidRDefault="00000000">
      <w:pPr>
        <w:pStyle w:val="ListParagraph"/>
        <w:numPr>
          <w:ilvl w:val="0"/>
          <w:numId w:val="6"/>
        </w:numPr>
        <w:tabs>
          <w:tab w:val="left" w:pos="777"/>
        </w:tabs>
        <w:spacing w:before="2" w:line="357" w:lineRule="auto"/>
        <w:ind w:right="290"/>
        <w:jc w:val="both"/>
        <w:rPr>
          <w:rFonts w:ascii="Verdana" w:hAnsi="Verdana"/>
          <w:sz w:val="18"/>
          <w:szCs w:val="18"/>
        </w:rPr>
      </w:pPr>
      <w:r w:rsidRPr="00EC75B7">
        <w:rPr>
          <w:rFonts w:ascii="Verdana" w:hAnsi="Verdana"/>
          <w:b/>
          <w:sz w:val="18"/>
          <w:szCs w:val="18"/>
        </w:rPr>
        <w:t xml:space="preserve">Impacts </w:t>
      </w:r>
      <w:r w:rsidRPr="00EC75B7">
        <w:rPr>
          <w:rFonts w:ascii="Verdana" w:hAnsi="Verdana"/>
          <w:sz w:val="18"/>
          <w:szCs w:val="18"/>
        </w:rPr>
        <w:t>are changes occurring at the level of sensitive receptors (habitats and species) as a result of interaction with effects.</w:t>
      </w:r>
    </w:p>
    <w:p w14:paraId="37555958" w14:textId="77777777" w:rsidR="008715BE" w:rsidRPr="00EC75B7" w:rsidRDefault="00000000">
      <w:pPr>
        <w:pStyle w:val="BodyText"/>
        <w:spacing w:line="360" w:lineRule="auto"/>
        <w:ind w:left="57" w:right="293"/>
        <w:jc w:val="both"/>
        <w:rPr>
          <w:rFonts w:ascii="Verdana" w:hAnsi="Verdana"/>
        </w:rPr>
      </w:pPr>
      <w:r w:rsidRPr="00EC75B7">
        <w:rPr>
          <w:rFonts w:ascii="Verdana" w:hAnsi="Verdana"/>
        </w:rPr>
        <w:t>The main forms of impact that could affect the structure and functions of the protected natural areas identified for the proposed project are as follows:</w:t>
      </w:r>
    </w:p>
    <w:p w14:paraId="6051452E" w14:textId="77777777" w:rsidR="008715BE" w:rsidRPr="00EC75B7" w:rsidRDefault="00000000">
      <w:pPr>
        <w:pStyle w:val="Heading5"/>
        <w:numPr>
          <w:ilvl w:val="0"/>
          <w:numId w:val="5"/>
        </w:numPr>
        <w:tabs>
          <w:tab w:val="left" w:pos="775"/>
        </w:tabs>
        <w:spacing w:before="119"/>
        <w:ind w:left="775" w:hanging="358"/>
        <w:rPr>
          <w:rFonts w:ascii="Verdana" w:hAnsi="Verdana"/>
        </w:rPr>
      </w:pPr>
      <w:r w:rsidRPr="00EC75B7">
        <w:rPr>
          <w:rFonts w:ascii="Verdana" w:hAnsi="Verdana"/>
          <w:spacing w:val="-2"/>
        </w:rPr>
        <w:t xml:space="preserve">Habitat </w:t>
      </w:r>
      <w:r w:rsidRPr="00EC75B7">
        <w:rPr>
          <w:rFonts w:ascii="Verdana" w:hAnsi="Verdana"/>
        </w:rPr>
        <w:t>loss</w:t>
      </w:r>
    </w:p>
    <w:p w14:paraId="28D7E91A" w14:textId="77777777" w:rsidR="008715BE" w:rsidRPr="00EC75B7" w:rsidRDefault="00000000">
      <w:pPr>
        <w:pStyle w:val="BodyText"/>
        <w:spacing w:before="107" w:line="360" w:lineRule="auto"/>
        <w:ind w:left="57" w:right="288"/>
        <w:jc w:val="both"/>
        <w:rPr>
          <w:rFonts w:ascii="Verdana" w:hAnsi="Verdana"/>
        </w:rPr>
      </w:pPr>
      <w:r w:rsidRPr="00EC75B7">
        <w:rPr>
          <w:rFonts w:ascii="Verdana" w:hAnsi="Verdana"/>
        </w:rPr>
        <w:t>This form of impact consists of the loss of areas of habitat of Community interest, i.e., areas of habitat favorable to the various stages of development and activities of species of Community interest (reproduction, rest, feeding, etc.), as a result of works.</w:t>
      </w:r>
    </w:p>
    <w:p w14:paraId="7E1659CA" w14:textId="77777777" w:rsidR="008715BE" w:rsidRPr="00EC75B7" w:rsidRDefault="00000000">
      <w:pPr>
        <w:pStyle w:val="BodyText"/>
        <w:spacing w:before="117" w:line="357" w:lineRule="auto"/>
        <w:ind w:left="57" w:right="282"/>
        <w:jc w:val="both"/>
        <w:rPr>
          <w:rFonts w:ascii="Verdana" w:hAnsi="Verdana"/>
        </w:rPr>
      </w:pPr>
      <w:r w:rsidRPr="00EC75B7">
        <w:rPr>
          <w:rFonts w:ascii="Verdana" w:hAnsi="Verdana"/>
        </w:rPr>
        <w:t>The significance of habitat loss depends on the rarity and vulnerability of the habitats affected and/or their importance as areas used by certain species for feeding, breeding, or resting, particularly in relation to the conservation of species of European interest. The potential role of certain habitats as components of corridors or important crossing points for dispersal and migration, as well as for various local movements, for example between feeding and nesting sites, should also be taken into account.</w:t>
      </w:r>
    </w:p>
    <w:p w14:paraId="3A7FA84C" w14:textId="77777777" w:rsidR="008715BE" w:rsidRPr="00EC75B7" w:rsidRDefault="00000000">
      <w:pPr>
        <w:pStyle w:val="Heading5"/>
        <w:numPr>
          <w:ilvl w:val="0"/>
          <w:numId w:val="5"/>
        </w:numPr>
        <w:tabs>
          <w:tab w:val="left" w:pos="775"/>
        </w:tabs>
        <w:spacing w:before="124"/>
        <w:ind w:left="775" w:hanging="358"/>
        <w:rPr>
          <w:rFonts w:ascii="Verdana" w:hAnsi="Verdana"/>
        </w:rPr>
      </w:pPr>
      <w:r w:rsidRPr="00EC75B7">
        <w:rPr>
          <w:rFonts w:ascii="Verdana" w:hAnsi="Verdana"/>
          <w:spacing w:val="-2"/>
        </w:rPr>
        <w:t xml:space="preserve">Habitat </w:t>
      </w:r>
      <w:r w:rsidRPr="00EC75B7">
        <w:rPr>
          <w:rFonts w:ascii="Verdana" w:hAnsi="Verdana"/>
        </w:rPr>
        <w:t>alteration</w:t>
      </w:r>
    </w:p>
    <w:p w14:paraId="4E6846A6" w14:textId="77777777" w:rsidR="008715BE" w:rsidRPr="00EC75B7" w:rsidRDefault="00000000">
      <w:pPr>
        <w:pStyle w:val="BodyText"/>
        <w:spacing w:before="109" w:line="357" w:lineRule="auto"/>
        <w:ind w:left="57" w:right="289"/>
        <w:jc w:val="both"/>
        <w:rPr>
          <w:rFonts w:ascii="Verdana" w:hAnsi="Verdana"/>
        </w:rPr>
      </w:pPr>
      <w:r w:rsidRPr="00EC75B7">
        <w:rPr>
          <w:rFonts w:ascii="Verdana" w:hAnsi="Verdana"/>
        </w:rPr>
        <w:t>This form of impact arises as a result of physical, chemical, and biological changes to terrestrial and aquatic habitats, and includes those structural and functional changes that lead to a decrease in their carrying capacity (e.g., populations of flora species of Community interest suffer changes as a result of reduced trophic support or increased competition with alien/invasive species). Over time, altered habitats can lead to habitat loss for species of Community interest.</w:t>
      </w:r>
    </w:p>
    <w:p w14:paraId="116B1C62" w14:textId="77777777" w:rsidR="008715BE" w:rsidRPr="00EC75B7" w:rsidRDefault="00000000">
      <w:pPr>
        <w:pStyle w:val="BodyText"/>
        <w:spacing w:before="123" w:line="357" w:lineRule="auto"/>
        <w:ind w:left="57" w:right="290"/>
        <w:jc w:val="both"/>
        <w:rPr>
          <w:rFonts w:ascii="Verdana" w:hAnsi="Verdana"/>
        </w:rPr>
      </w:pPr>
      <w:r w:rsidRPr="00EC75B7">
        <w:rPr>
          <w:rFonts w:ascii="Verdana" w:hAnsi="Verdana"/>
        </w:rPr>
        <w:t>Habitat alteration broadly refers to a process of temporary or long-term loss of the initial, characteristic qualities of the affected areas, expressed through changes that diminish both their structure and composition and their suitability for fauna species.</w:t>
      </w:r>
      <w:r w:rsidRPr="00EC75B7">
        <w:rPr>
          <w:rFonts w:ascii="Verdana" w:hAnsi="Verdana"/>
          <w:spacing w:val="40"/>
        </w:rPr>
        <w:t xml:space="preserve"> </w:t>
      </w:r>
      <w:r w:rsidRPr="00EC75B7">
        <w:rPr>
          <w:rFonts w:ascii="Verdana" w:hAnsi="Verdana"/>
        </w:rPr>
        <w:t>Habitat alteration refers to both Natura 2000 habitat types and species habitats (environments defined by abiotic and biotic factors in which species live at any stage of their biological cycle).</w:t>
      </w:r>
    </w:p>
    <w:p w14:paraId="552C996B" w14:textId="77777777" w:rsidR="008715BE" w:rsidRPr="00EC75B7" w:rsidRDefault="00000000">
      <w:pPr>
        <w:pStyle w:val="BodyText"/>
        <w:spacing w:before="125" w:line="357" w:lineRule="auto"/>
        <w:ind w:left="57" w:right="293"/>
        <w:jc w:val="both"/>
        <w:rPr>
          <w:rFonts w:ascii="Verdana" w:hAnsi="Verdana"/>
        </w:rPr>
      </w:pPr>
      <w:r w:rsidRPr="00EC75B7">
        <w:rPr>
          <w:rFonts w:ascii="Verdana" w:hAnsi="Verdana"/>
        </w:rPr>
        <w:t>During the construction phase, habitat alteration occurs both on the areas where work is carried out and in the areas adjacent to them. During the operational phase, habitat alteration occurs mainly on the areas affected by the presence of pollutants.</w:t>
      </w:r>
    </w:p>
    <w:p w14:paraId="2B067218" w14:textId="77777777" w:rsidR="008715BE" w:rsidRPr="00EC75B7" w:rsidRDefault="008715BE">
      <w:pPr>
        <w:pStyle w:val="BodyText"/>
        <w:spacing w:line="357" w:lineRule="auto"/>
        <w:jc w:val="both"/>
        <w:rPr>
          <w:rFonts w:ascii="Verdana" w:hAnsi="Verdana"/>
        </w:rPr>
        <w:sectPr w:rsidR="008715BE" w:rsidRPr="00EC75B7">
          <w:pgSz w:w="11910" w:h="16840"/>
          <w:pgMar w:top="1320" w:right="708" w:bottom="1020" w:left="1133" w:header="766" w:footer="824" w:gutter="0"/>
          <w:cols w:space="708"/>
        </w:sectPr>
      </w:pPr>
    </w:p>
    <w:p w14:paraId="3153BC7D" w14:textId="77777777" w:rsidR="008715BE" w:rsidRPr="00EC75B7" w:rsidRDefault="00000000">
      <w:pPr>
        <w:pStyle w:val="BodyText"/>
        <w:spacing w:before="99" w:line="360" w:lineRule="auto"/>
        <w:ind w:left="57" w:right="293"/>
        <w:jc w:val="both"/>
        <w:rPr>
          <w:rFonts w:ascii="Verdana" w:hAnsi="Verdana"/>
        </w:rPr>
      </w:pPr>
      <w:r w:rsidRPr="00EC75B7">
        <w:rPr>
          <w:rFonts w:ascii="Verdana" w:hAnsi="Verdana"/>
        </w:rPr>
        <w:lastRenderedPageBreak/>
        <w:t>Interventions that may lead to habitat alteration during the construction, operation, and decommissioning phases may include:</w:t>
      </w:r>
    </w:p>
    <w:p w14:paraId="7472E2F8" w14:textId="77777777" w:rsidR="008715BE" w:rsidRPr="00EC75B7" w:rsidRDefault="00000000">
      <w:pPr>
        <w:pStyle w:val="ListParagraph"/>
        <w:numPr>
          <w:ilvl w:val="0"/>
          <w:numId w:val="6"/>
        </w:numPr>
        <w:tabs>
          <w:tab w:val="left" w:pos="777"/>
        </w:tabs>
        <w:spacing w:before="117" w:line="360" w:lineRule="auto"/>
        <w:ind w:right="288"/>
        <w:jc w:val="both"/>
        <w:rPr>
          <w:rFonts w:ascii="Verdana" w:hAnsi="Verdana"/>
          <w:sz w:val="18"/>
          <w:szCs w:val="18"/>
        </w:rPr>
      </w:pPr>
      <w:r w:rsidRPr="00EC75B7">
        <w:rPr>
          <w:rFonts w:ascii="Verdana" w:hAnsi="Verdana"/>
          <w:sz w:val="18"/>
          <w:szCs w:val="18"/>
        </w:rPr>
        <w:t xml:space="preserve">Temporary occupation of a habitat area with materials or equipment without removing </w:t>
      </w:r>
      <w:r w:rsidRPr="00EC75B7">
        <w:rPr>
          <w:rFonts w:ascii="Verdana" w:hAnsi="Verdana"/>
          <w:spacing w:val="-2"/>
          <w:sz w:val="18"/>
          <w:szCs w:val="18"/>
        </w:rPr>
        <w:t>natural</w:t>
      </w:r>
      <w:r w:rsidRPr="00EC75B7">
        <w:rPr>
          <w:rFonts w:ascii="Verdana" w:hAnsi="Verdana"/>
          <w:sz w:val="18"/>
          <w:szCs w:val="18"/>
        </w:rPr>
        <w:t xml:space="preserve"> vegetation</w:t>
      </w:r>
      <w:r w:rsidRPr="00EC75B7">
        <w:rPr>
          <w:rFonts w:ascii="Verdana" w:hAnsi="Verdana"/>
          <w:spacing w:val="-2"/>
          <w:sz w:val="18"/>
          <w:szCs w:val="18"/>
        </w:rPr>
        <w:t>;</w:t>
      </w:r>
    </w:p>
    <w:p w14:paraId="767A42F2" w14:textId="77777777" w:rsidR="008715BE" w:rsidRPr="00EC75B7" w:rsidRDefault="00000000">
      <w:pPr>
        <w:pStyle w:val="ListParagraph"/>
        <w:numPr>
          <w:ilvl w:val="0"/>
          <w:numId w:val="6"/>
        </w:numPr>
        <w:tabs>
          <w:tab w:val="left" w:pos="776"/>
        </w:tabs>
        <w:spacing w:line="218" w:lineRule="exact"/>
        <w:ind w:left="776" w:hanging="359"/>
        <w:jc w:val="both"/>
        <w:rPr>
          <w:rFonts w:ascii="Verdana" w:hAnsi="Verdana"/>
          <w:sz w:val="18"/>
          <w:szCs w:val="18"/>
        </w:rPr>
      </w:pPr>
      <w:r w:rsidRPr="00EC75B7">
        <w:rPr>
          <w:rFonts w:ascii="Verdana" w:hAnsi="Verdana"/>
          <w:sz w:val="18"/>
          <w:szCs w:val="18"/>
        </w:rPr>
        <w:t xml:space="preserve">Crossing a habitat area with vehicles without destroying/removing </w:t>
      </w:r>
      <w:r w:rsidRPr="00EC75B7">
        <w:rPr>
          <w:rFonts w:ascii="Verdana" w:hAnsi="Verdana"/>
          <w:spacing w:val="-2"/>
          <w:sz w:val="18"/>
          <w:szCs w:val="18"/>
        </w:rPr>
        <w:t xml:space="preserve">natural </w:t>
      </w:r>
      <w:r w:rsidRPr="00EC75B7">
        <w:rPr>
          <w:rFonts w:ascii="Verdana" w:hAnsi="Verdana"/>
          <w:sz w:val="18"/>
          <w:szCs w:val="18"/>
        </w:rPr>
        <w:t>vegetation</w:t>
      </w:r>
      <w:r w:rsidRPr="00EC75B7">
        <w:rPr>
          <w:rFonts w:ascii="Verdana" w:hAnsi="Verdana"/>
          <w:spacing w:val="-2"/>
          <w:sz w:val="18"/>
          <w:szCs w:val="18"/>
        </w:rPr>
        <w:t>;</w:t>
      </w:r>
    </w:p>
    <w:p w14:paraId="4B672BAF" w14:textId="77777777" w:rsidR="008715BE" w:rsidRPr="00EC75B7" w:rsidRDefault="00000000">
      <w:pPr>
        <w:pStyle w:val="ListParagraph"/>
        <w:numPr>
          <w:ilvl w:val="0"/>
          <w:numId w:val="6"/>
        </w:numPr>
        <w:tabs>
          <w:tab w:val="left" w:pos="777"/>
        </w:tabs>
        <w:spacing w:before="106" w:line="360" w:lineRule="auto"/>
        <w:ind w:right="289"/>
        <w:jc w:val="both"/>
        <w:rPr>
          <w:rFonts w:ascii="Verdana" w:hAnsi="Verdana"/>
          <w:sz w:val="18"/>
          <w:szCs w:val="18"/>
        </w:rPr>
      </w:pPr>
      <w:r w:rsidRPr="00EC75B7">
        <w:rPr>
          <w:rFonts w:ascii="Verdana" w:hAnsi="Verdana"/>
          <w:sz w:val="18"/>
          <w:szCs w:val="18"/>
        </w:rPr>
        <w:t xml:space="preserve">The presence of pollutants that may inhibit the growth of vegetation or other organisms without destroying </w:t>
      </w:r>
      <w:r w:rsidRPr="00EC75B7">
        <w:rPr>
          <w:rFonts w:ascii="Verdana" w:hAnsi="Verdana"/>
          <w:spacing w:val="-2"/>
          <w:sz w:val="18"/>
          <w:szCs w:val="18"/>
        </w:rPr>
        <w:t>them;</w:t>
      </w:r>
    </w:p>
    <w:p w14:paraId="5003B675" w14:textId="77777777" w:rsidR="008715BE" w:rsidRPr="00EC75B7" w:rsidRDefault="00000000">
      <w:pPr>
        <w:pStyle w:val="ListParagraph"/>
        <w:numPr>
          <w:ilvl w:val="0"/>
          <w:numId w:val="6"/>
        </w:numPr>
        <w:tabs>
          <w:tab w:val="left" w:pos="776"/>
        </w:tabs>
        <w:spacing w:line="218" w:lineRule="exact"/>
        <w:ind w:left="776" w:hanging="359"/>
        <w:jc w:val="both"/>
        <w:rPr>
          <w:rFonts w:ascii="Verdana" w:hAnsi="Verdana"/>
          <w:sz w:val="18"/>
          <w:szCs w:val="18"/>
        </w:rPr>
      </w:pPr>
      <w:r w:rsidRPr="00EC75B7">
        <w:rPr>
          <w:rFonts w:ascii="Verdana" w:hAnsi="Verdana"/>
          <w:sz w:val="18"/>
          <w:szCs w:val="18"/>
        </w:rPr>
        <w:t xml:space="preserve">The introduction and spread of </w:t>
      </w:r>
      <w:r w:rsidRPr="00EC75B7">
        <w:rPr>
          <w:rFonts w:ascii="Verdana" w:hAnsi="Verdana"/>
          <w:spacing w:val="-2"/>
          <w:sz w:val="18"/>
          <w:szCs w:val="18"/>
        </w:rPr>
        <w:t xml:space="preserve">invasive </w:t>
      </w:r>
      <w:r w:rsidRPr="00EC75B7">
        <w:rPr>
          <w:rFonts w:ascii="Verdana" w:hAnsi="Verdana"/>
          <w:sz w:val="18"/>
          <w:szCs w:val="18"/>
        </w:rPr>
        <w:t>species</w:t>
      </w:r>
      <w:r w:rsidRPr="00EC75B7">
        <w:rPr>
          <w:rFonts w:ascii="Verdana" w:hAnsi="Verdana"/>
          <w:spacing w:val="-2"/>
          <w:sz w:val="18"/>
          <w:szCs w:val="18"/>
        </w:rPr>
        <w:t>;</w:t>
      </w:r>
    </w:p>
    <w:p w14:paraId="397B9732" w14:textId="77777777" w:rsidR="008715BE" w:rsidRPr="00EC75B7" w:rsidRDefault="00000000">
      <w:pPr>
        <w:pStyle w:val="ListParagraph"/>
        <w:numPr>
          <w:ilvl w:val="0"/>
          <w:numId w:val="6"/>
        </w:numPr>
        <w:tabs>
          <w:tab w:val="left" w:pos="777"/>
        </w:tabs>
        <w:spacing w:before="109" w:line="357" w:lineRule="auto"/>
        <w:ind w:right="292"/>
        <w:jc w:val="both"/>
        <w:rPr>
          <w:rFonts w:ascii="Verdana" w:hAnsi="Verdana"/>
          <w:sz w:val="18"/>
          <w:szCs w:val="18"/>
        </w:rPr>
      </w:pPr>
      <w:r w:rsidRPr="00EC75B7">
        <w:rPr>
          <w:rFonts w:ascii="Verdana" w:hAnsi="Verdana"/>
          <w:sz w:val="18"/>
          <w:szCs w:val="18"/>
        </w:rPr>
        <w:t>Modification of the physical, chemical, and biological parameters of the habitat without removing individuals belonging to species characteristic of the habitat.</w:t>
      </w:r>
    </w:p>
    <w:p w14:paraId="55643A32" w14:textId="77777777" w:rsidR="008715BE" w:rsidRPr="00EC75B7" w:rsidRDefault="00000000">
      <w:pPr>
        <w:pStyle w:val="Heading5"/>
        <w:numPr>
          <w:ilvl w:val="0"/>
          <w:numId w:val="5"/>
        </w:numPr>
        <w:tabs>
          <w:tab w:val="left" w:pos="776"/>
        </w:tabs>
        <w:spacing w:before="1"/>
        <w:ind w:left="776" w:hanging="359"/>
        <w:rPr>
          <w:rFonts w:ascii="Verdana" w:hAnsi="Verdana"/>
        </w:rPr>
      </w:pPr>
      <w:r w:rsidRPr="00EC75B7">
        <w:rPr>
          <w:rFonts w:ascii="Verdana" w:hAnsi="Verdana"/>
        </w:rPr>
        <w:t xml:space="preserve">Fragmentation of </w:t>
      </w:r>
      <w:r w:rsidRPr="00EC75B7">
        <w:rPr>
          <w:rFonts w:ascii="Verdana" w:hAnsi="Verdana"/>
          <w:spacing w:val="-2"/>
        </w:rPr>
        <w:t xml:space="preserve">specific </w:t>
      </w:r>
      <w:r w:rsidRPr="00EC75B7">
        <w:rPr>
          <w:rFonts w:ascii="Verdana" w:hAnsi="Verdana"/>
        </w:rPr>
        <w:t>habitats</w:t>
      </w:r>
    </w:p>
    <w:p w14:paraId="011972A0" w14:textId="77777777" w:rsidR="008715BE" w:rsidRPr="00EC75B7" w:rsidRDefault="00000000">
      <w:pPr>
        <w:pStyle w:val="BodyText"/>
        <w:spacing w:before="109" w:line="357" w:lineRule="auto"/>
        <w:ind w:left="57" w:right="282"/>
        <w:jc w:val="both"/>
        <w:rPr>
          <w:rFonts w:ascii="Verdana" w:hAnsi="Verdana"/>
        </w:rPr>
      </w:pPr>
      <w:r w:rsidRPr="00EC75B7">
        <w:rPr>
          <w:rFonts w:ascii="Verdana" w:hAnsi="Verdana"/>
        </w:rPr>
        <w:t>While activities related to project implementation (construction and assembly phases) may result in local destruction of natural habitats on the areas occupied by the related structures, during the operational phase, habitat degradation ceases and the impact becomes negligible.</w:t>
      </w:r>
    </w:p>
    <w:p w14:paraId="484F0B2A" w14:textId="77777777" w:rsidR="008715BE" w:rsidRPr="00EC75B7" w:rsidRDefault="00000000">
      <w:pPr>
        <w:pStyle w:val="BodyText"/>
        <w:spacing w:before="122"/>
        <w:ind w:left="57"/>
        <w:jc w:val="both"/>
        <w:rPr>
          <w:rFonts w:ascii="Verdana" w:hAnsi="Verdana"/>
        </w:rPr>
      </w:pPr>
      <w:r w:rsidRPr="00EC75B7">
        <w:rPr>
          <w:rFonts w:ascii="Verdana" w:hAnsi="Verdana"/>
        </w:rPr>
        <w:t>In this project</w:t>
      </w:r>
      <w:r w:rsidRPr="00EC75B7">
        <w:rPr>
          <w:rFonts w:ascii="Verdana" w:hAnsi="Verdana"/>
          <w:spacing w:val="-5"/>
        </w:rPr>
        <w:t xml:space="preserve">, </w:t>
      </w:r>
      <w:r w:rsidRPr="00EC75B7">
        <w:rPr>
          <w:rFonts w:ascii="Verdana" w:hAnsi="Verdana"/>
        </w:rPr>
        <w:t xml:space="preserve">habitat fragmentation may be caused </w:t>
      </w:r>
      <w:r w:rsidRPr="00EC75B7">
        <w:rPr>
          <w:rFonts w:ascii="Verdana" w:hAnsi="Verdana"/>
          <w:spacing w:val="-5"/>
        </w:rPr>
        <w:t>by:</w:t>
      </w:r>
    </w:p>
    <w:p w14:paraId="1B6C1617" w14:textId="77777777" w:rsidR="008715BE" w:rsidRPr="00EC75B7" w:rsidRDefault="008715BE">
      <w:pPr>
        <w:pStyle w:val="BodyText"/>
        <w:spacing w:before="10"/>
        <w:rPr>
          <w:rFonts w:ascii="Verdana" w:hAnsi="Verdana"/>
        </w:rPr>
      </w:pPr>
    </w:p>
    <w:p w14:paraId="1C982868" w14:textId="77777777" w:rsidR="008715BE" w:rsidRPr="00EC75B7" w:rsidRDefault="00000000">
      <w:pPr>
        <w:pStyle w:val="ListParagraph"/>
        <w:numPr>
          <w:ilvl w:val="0"/>
          <w:numId w:val="6"/>
        </w:numPr>
        <w:tabs>
          <w:tab w:val="left" w:pos="776"/>
        </w:tabs>
        <w:ind w:left="776" w:hanging="359"/>
        <w:jc w:val="both"/>
        <w:rPr>
          <w:rFonts w:ascii="Verdana" w:hAnsi="Verdana"/>
          <w:sz w:val="18"/>
          <w:szCs w:val="18"/>
        </w:rPr>
      </w:pPr>
      <w:r w:rsidRPr="00EC75B7">
        <w:rPr>
          <w:rFonts w:ascii="Verdana" w:hAnsi="Verdana"/>
          <w:spacing w:val="-2"/>
          <w:sz w:val="18"/>
          <w:szCs w:val="18"/>
        </w:rPr>
        <w:t>The creation of physical barriers (fences);</w:t>
      </w:r>
    </w:p>
    <w:p w14:paraId="1452CC2A" w14:textId="77777777" w:rsidR="008715BE" w:rsidRPr="00EC75B7" w:rsidRDefault="00000000">
      <w:pPr>
        <w:pStyle w:val="ListParagraph"/>
        <w:numPr>
          <w:ilvl w:val="0"/>
          <w:numId w:val="6"/>
        </w:numPr>
        <w:tabs>
          <w:tab w:val="left" w:pos="777"/>
        </w:tabs>
        <w:spacing w:before="106" w:line="360" w:lineRule="auto"/>
        <w:ind w:right="293"/>
        <w:jc w:val="both"/>
        <w:rPr>
          <w:rFonts w:ascii="Verdana" w:hAnsi="Verdana"/>
          <w:sz w:val="18"/>
          <w:szCs w:val="18"/>
        </w:rPr>
      </w:pPr>
      <w:r w:rsidRPr="00EC75B7">
        <w:rPr>
          <w:rFonts w:ascii="Verdana" w:hAnsi="Verdana"/>
          <w:sz w:val="18"/>
          <w:szCs w:val="18"/>
        </w:rPr>
        <w:t>The emergence of behavioral barriers (e.g., as a result of noise, artificial lighting, human presence, and others).</w:t>
      </w:r>
    </w:p>
    <w:p w14:paraId="476F2B71" w14:textId="77777777" w:rsidR="008715BE" w:rsidRPr="00EC75B7" w:rsidRDefault="00000000">
      <w:pPr>
        <w:pStyle w:val="BodyText"/>
        <w:spacing w:line="357" w:lineRule="auto"/>
        <w:ind w:left="57" w:right="291"/>
        <w:jc w:val="both"/>
        <w:rPr>
          <w:rFonts w:ascii="Verdana" w:hAnsi="Verdana"/>
        </w:rPr>
      </w:pPr>
      <w:r w:rsidRPr="00EC75B7">
        <w:rPr>
          <w:rFonts w:ascii="Verdana" w:hAnsi="Verdana"/>
        </w:rPr>
        <w:t>Noise, artificial lighting, and human presence are factors that are conventionally analyzed under the impact category "disturbance of species activity," as they are easier to quantify from this perspective.</w:t>
      </w:r>
    </w:p>
    <w:p w14:paraId="0EE27322" w14:textId="77777777" w:rsidR="008715BE" w:rsidRPr="00EC75B7" w:rsidRDefault="00000000">
      <w:pPr>
        <w:pStyle w:val="Heading5"/>
        <w:numPr>
          <w:ilvl w:val="0"/>
          <w:numId w:val="5"/>
        </w:numPr>
        <w:tabs>
          <w:tab w:val="left" w:pos="776"/>
        </w:tabs>
        <w:spacing w:before="121"/>
        <w:ind w:left="776" w:hanging="359"/>
        <w:rPr>
          <w:rFonts w:ascii="Verdana" w:hAnsi="Verdana"/>
        </w:rPr>
      </w:pPr>
      <w:r w:rsidRPr="00EC75B7">
        <w:rPr>
          <w:rFonts w:ascii="Verdana" w:hAnsi="Verdana"/>
        </w:rPr>
        <w:t xml:space="preserve">Disturbance of </w:t>
      </w:r>
      <w:r w:rsidRPr="00EC75B7">
        <w:rPr>
          <w:rFonts w:ascii="Verdana" w:hAnsi="Verdana"/>
          <w:spacing w:val="-2"/>
        </w:rPr>
        <w:t xml:space="preserve">wildlife </w:t>
      </w:r>
      <w:r w:rsidRPr="00EC75B7">
        <w:rPr>
          <w:rFonts w:ascii="Verdana" w:hAnsi="Verdana"/>
        </w:rPr>
        <w:t>activity</w:t>
      </w:r>
    </w:p>
    <w:p w14:paraId="2067941A" w14:textId="77777777" w:rsidR="008715BE" w:rsidRPr="00EC75B7" w:rsidRDefault="00000000">
      <w:pPr>
        <w:pStyle w:val="BodyText"/>
        <w:spacing w:before="109" w:line="360" w:lineRule="auto"/>
        <w:ind w:left="57" w:right="290"/>
        <w:jc w:val="both"/>
        <w:rPr>
          <w:rFonts w:ascii="Verdana" w:hAnsi="Verdana"/>
        </w:rPr>
      </w:pPr>
      <w:r w:rsidRPr="00EC75B7">
        <w:rPr>
          <w:rFonts w:ascii="Verdana" w:hAnsi="Verdana"/>
        </w:rPr>
        <w:t>This form of impact is associated with human presence and human activity and occurs during both the construction and operation phases.</w:t>
      </w:r>
    </w:p>
    <w:p w14:paraId="40A97E7D" w14:textId="77777777" w:rsidR="008715BE" w:rsidRPr="00EC75B7" w:rsidRDefault="00000000">
      <w:pPr>
        <w:pStyle w:val="BodyText"/>
        <w:spacing w:before="116"/>
        <w:ind w:left="57"/>
        <w:jc w:val="both"/>
        <w:rPr>
          <w:rFonts w:ascii="Verdana" w:hAnsi="Verdana"/>
        </w:rPr>
      </w:pPr>
      <w:r w:rsidRPr="00EC75B7">
        <w:rPr>
          <w:rFonts w:ascii="Verdana" w:hAnsi="Verdana"/>
          <w:spacing w:val="-2"/>
        </w:rPr>
        <w:t>In the case of project implementation</w:t>
      </w:r>
      <w:r w:rsidRPr="00EC75B7">
        <w:rPr>
          <w:rFonts w:ascii="Verdana" w:hAnsi="Verdana"/>
          <w:spacing w:val="-10"/>
        </w:rPr>
        <w:t xml:space="preserve">, </w:t>
      </w:r>
      <w:r w:rsidRPr="00EC75B7">
        <w:rPr>
          <w:rFonts w:ascii="Verdana" w:hAnsi="Verdana"/>
          <w:spacing w:val="-2"/>
        </w:rPr>
        <w:t>the disturbance of wildlife species is due to</w:t>
      </w:r>
      <w:r w:rsidRPr="00EC75B7">
        <w:rPr>
          <w:rFonts w:ascii="Verdana" w:hAnsi="Verdana"/>
          <w:spacing w:val="-10"/>
        </w:rPr>
        <w:t>:</w:t>
      </w:r>
    </w:p>
    <w:p w14:paraId="41666178" w14:textId="77777777" w:rsidR="008715BE" w:rsidRPr="00EC75B7" w:rsidRDefault="008715BE">
      <w:pPr>
        <w:pStyle w:val="BodyText"/>
        <w:spacing w:before="9"/>
        <w:rPr>
          <w:rFonts w:ascii="Verdana" w:hAnsi="Verdana"/>
        </w:rPr>
      </w:pPr>
    </w:p>
    <w:p w14:paraId="0FB60D31" w14:textId="77777777" w:rsidR="008715BE" w:rsidRPr="00EC75B7" w:rsidRDefault="00000000">
      <w:pPr>
        <w:pStyle w:val="ListParagraph"/>
        <w:numPr>
          <w:ilvl w:val="0"/>
          <w:numId w:val="6"/>
        </w:numPr>
        <w:tabs>
          <w:tab w:val="left" w:pos="777"/>
        </w:tabs>
        <w:spacing w:line="360" w:lineRule="auto"/>
        <w:ind w:right="288"/>
        <w:jc w:val="both"/>
        <w:rPr>
          <w:rFonts w:ascii="Verdana" w:hAnsi="Verdana"/>
          <w:sz w:val="18"/>
          <w:szCs w:val="18"/>
        </w:rPr>
      </w:pPr>
      <w:r w:rsidRPr="00EC75B7">
        <w:rPr>
          <w:rFonts w:ascii="Verdana" w:hAnsi="Verdana"/>
          <w:sz w:val="18"/>
          <w:szCs w:val="18"/>
        </w:rPr>
        <w:t>increased noise levels - noise disturbance affects not only nesting, but also inter- and intraspecific communication, reproduction, and feeding of wildlife species;</w:t>
      </w:r>
    </w:p>
    <w:p w14:paraId="5624C70C" w14:textId="77777777" w:rsidR="008715BE" w:rsidRPr="00EC75B7" w:rsidRDefault="00000000">
      <w:pPr>
        <w:pStyle w:val="ListParagraph"/>
        <w:numPr>
          <w:ilvl w:val="0"/>
          <w:numId w:val="6"/>
        </w:numPr>
        <w:tabs>
          <w:tab w:val="left" w:pos="777"/>
        </w:tabs>
        <w:spacing w:line="360" w:lineRule="auto"/>
        <w:ind w:right="287"/>
        <w:jc w:val="both"/>
        <w:rPr>
          <w:rFonts w:ascii="Verdana" w:hAnsi="Verdana"/>
          <w:sz w:val="18"/>
          <w:szCs w:val="18"/>
        </w:rPr>
      </w:pPr>
      <w:r w:rsidRPr="00EC75B7">
        <w:rPr>
          <w:rFonts w:ascii="Verdana" w:hAnsi="Verdana"/>
          <w:sz w:val="18"/>
          <w:szCs w:val="18"/>
        </w:rPr>
        <w:t>artificial lighting - affecting the nesting and feeding activities of certain bird species, or inducing behavioral changes in the activity of nocturnal species such as invertebrates, amphibians, birds, or bats;</w:t>
      </w:r>
    </w:p>
    <w:p w14:paraId="5BF504AE" w14:textId="77777777" w:rsidR="008715BE" w:rsidRPr="00EC75B7" w:rsidRDefault="00000000">
      <w:pPr>
        <w:pStyle w:val="ListParagraph"/>
        <w:numPr>
          <w:ilvl w:val="0"/>
          <w:numId w:val="6"/>
        </w:numPr>
        <w:tabs>
          <w:tab w:val="left" w:pos="776"/>
        </w:tabs>
        <w:spacing w:line="217" w:lineRule="exact"/>
        <w:ind w:left="776" w:hanging="359"/>
        <w:jc w:val="both"/>
        <w:rPr>
          <w:rFonts w:ascii="Verdana" w:hAnsi="Verdana"/>
          <w:sz w:val="18"/>
          <w:szCs w:val="18"/>
        </w:rPr>
      </w:pPr>
      <w:r w:rsidRPr="00EC75B7">
        <w:rPr>
          <w:rFonts w:ascii="Verdana" w:hAnsi="Verdana"/>
          <w:spacing w:val="-2"/>
          <w:sz w:val="18"/>
          <w:szCs w:val="18"/>
        </w:rPr>
        <w:t xml:space="preserve">human </w:t>
      </w:r>
      <w:r w:rsidRPr="00EC75B7">
        <w:rPr>
          <w:rFonts w:ascii="Verdana" w:hAnsi="Verdana"/>
          <w:sz w:val="18"/>
          <w:szCs w:val="18"/>
        </w:rPr>
        <w:t>presence</w:t>
      </w:r>
      <w:r w:rsidRPr="00EC75B7">
        <w:rPr>
          <w:rFonts w:ascii="Verdana" w:hAnsi="Verdana"/>
          <w:spacing w:val="-2"/>
          <w:sz w:val="18"/>
          <w:szCs w:val="18"/>
        </w:rPr>
        <w:t>.</w:t>
      </w:r>
    </w:p>
    <w:p w14:paraId="61C16193" w14:textId="77777777" w:rsidR="008715BE" w:rsidRPr="00EC75B7" w:rsidRDefault="00000000">
      <w:pPr>
        <w:pStyle w:val="BodyText"/>
        <w:spacing w:before="103" w:line="360" w:lineRule="auto"/>
        <w:ind w:left="57" w:right="294"/>
        <w:jc w:val="both"/>
        <w:rPr>
          <w:rFonts w:ascii="Verdana" w:hAnsi="Verdana"/>
        </w:rPr>
      </w:pPr>
      <w:r w:rsidRPr="00EC75B7">
        <w:rPr>
          <w:rFonts w:ascii="Verdana" w:hAnsi="Verdana"/>
        </w:rPr>
        <w:t>As a result of land occupation, human presence, increased noise levels, the appearance of artificial light sources, or the contribution of other effects, the following changes may occur:</w:t>
      </w:r>
    </w:p>
    <w:p w14:paraId="52C9207D" w14:textId="77777777" w:rsidR="008715BE" w:rsidRPr="00EC75B7" w:rsidRDefault="00000000">
      <w:pPr>
        <w:pStyle w:val="ListParagraph"/>
        <w:numPr>
          <w:ilvl w:val="0"/>
          <w:numId w:val="6"/>
        </w:numPr>
        <w:tabs>
          <w:tab w:val="left" w:pos="777"/>
        </w:tabs>
        <w:spacing w:before="119"/>
        <w:rPr>
          <w:rFonts w:ascii="Verdana" w:hAnsi="Verdana"/>
          <w:sz w:val="18"/>
          <w:szCs w:val="18"/>
        </w:rPr>
      </w:pPr>
      <w:r w:rsidRPr="00EC75B7">
        <w:rPr>
          <w:rFonts w:ascii="Verdana" w:hAnsi="Verdana"/>
          <w:sz w:val="18"/>
          <w:szCs w:val="18"/>
        </w:rPr>
        <w:t xml:space="preserve">Impairment of inter- and </w:t>
      </w:r>
      <w:r w:rsidRPr="00EC75B7">
        <w:rPr>
          <w:rFonts w:ascii="Verdana" w:hAnsi="Verdana"/>
          <w:spacing w:val="-2"/>
          <w:sz w:val="18"/>
          <w:szCs w:val="18"/>
        </w:rPr>
        <w:t xml:space="preserve">intraspecific </w:t>
      </w:r>
      <w:r w:rsidRPr="00EC75B7">
        <w:rPr>
          <w:rFonts w:ascii="Verdana" w:hAnsi="Verdana"/>
          <w:sz w:val="18"/>
          <w:szCs w:val="18"/>
        </w:rPr>
        <w:t>communication</w:t>
      </w:r>
      <w:r w:rsidRPr="00EC75B7">
        <w:rPr>
          <w:rFonts w:ascii="Verdana" w:hAnsi="Verdana"/>
          <w:spacing w:val="-2"/>
          <w:sz w:val="18"/>
          <w:szCs w:val="18"/>
        </w:rPr>
        <w:t>;</w:t>
      </w:r>
    </w:p>
    <w:p w14:paraId="08F03E52" w14:textId="77777777" w:rsidR="008715BE" w:rsidRPr="00EC75B7" w:rsidRDefault="00000000">
      <w:pPr>
        <w:pStyle w:val="ListParagraph"/>
        <w:numPr>
          <w:ilvl w:val="0"/>
          <w:numId w:val="6"/>
        </w:numPr>
        <w:tabs>
          <w:tab w:val="left" w:pos="777"/>
        </w:tabs>
        <w:spacing w:before="107"/>
        <w:rPr>
          <w:rFonts w:ascii="Verdana" w:hAnsi="Verdana"/>
          <w:sz w:val="18"/>
          <w:szCs w:val="18"/>
        </w:rPr>
      </w:pPr>
      <w:r w:rsidRPr="00EC75B7">
        <w:rPr>
          <w:rFonts w:ascii="Verdana" w:hAnsi="Verdana"/>
          <w:sz w:val="18"/>
          <w:szCs w:val="18"/>
        </w:rPr>
        <w:t xml:space="preserve">Abandonment of </w:t>
      </w:r>
      <w:r w:rsidRPr="00EC75B7">
        <w:rPr>
          <w:rFonts w:ascii="Verdana" w:hAnsi="Verdana"/>
          <w:spacing w:val="-2"/>
          <w:sz w:val="18"/>
          <w:szCs w:val="18"/>
        </w:rPr>
        <w:t xml:space="preserve">nests/breeding </w:t>
      </w:r>
      <w:r w:rsidRPr="00EC75B7">
        <w:rPr>
          <w:rFonts w:ascii="Verdana" w:hAnsi="Verdana"/>
          <w:sz w:val="18"/>
          <w:szCs w:val="18"/>
        </w:rPr>
        <w:t>areas</w:t>
      </w:r>
      <w:r w:rsidRPr="00EC75B7">
        <w:rPr>
          <w:rFonts w:ascii="Verdana" w:hAnsi="Verdana"/>
          <w:spacing w:val="-2"/>
          <w:sz w:val="18"/>
          <w:szCs w:val="18"/>
        </w:rPr>
        <w:t>;</w:t>
      </w:r>
    </w:p>
    <w:p w14:paraId="03937A47" w14:textId="77777777" w:rsidR="008715BE" w:rsidRPr="00EC75B7" w:rsidRDefault="00000000">
      <w:pPr>
        <w:pStyle w:val="ListParagraph"/>
        <w:numPr>
          <w:ilvl w:val="0"/>
          <w:numId w:val="6"/>
        </w:numPr>
        <w:tabs>
          <w:tab w:val="left" w:pos="777"/>
        </w:tabs>
        <w:spacing w:before="109"/>
        <w:rPr>
          <w:rFonts w:ascii="Verdana" w:hAnsi="Verdana"/>
          <w:sz w:val="18"/>
          <w:szCs w:val="18"/>
        </w:rPr>
      </w:pPr>
      <w:r w:rsidRPr="00EC75B7">
        <w:rPr>
          <w:rFonts w:ascii="Verdana" w:hAnsi="Verdana"/>
          <w:sz w:val="18"/>
          <w:szCs w:val="18"/>
        </w:rPr>
        <w:t xml:space="preserve">Changing travel routes, increasing the energy consumption of the individuals </w:t>
      </w:r>
      <w:r w:rsidRPr="00EC75B7">
        <w:rPr>
          <w:rFonts w:ascii="Verdana" w:hAnsi="Verdana"/>
          <w:spacing w:val="-2"/>
          <w:sz w:val="18"/>
          <w:szCs w:val="18"/>
        </w:rPr>
        <w:t>affected;</w:t>
      </w:r>
    </w:p>
    <w:p w14:paraId="4BC6A8E5" w14:textId="77777777" w:rsidR="008715BE" w:rsidRPr="00EC75B7" w:rsidRDefault="00000000">
      <w:pPr>
        <w:pStyle w:val="ListParagraph"/>
        <w:numPr>
          <w:ilvl w:val="0"/>
          <w:numId w:val="6"/>
        </w:numPr>
        <w:tabs>
          <w:tab w:val="left" w:pos="777"/>
        </w:tabs>
        <w:spacing w:before="109" w:line="360" w:lineRule="auto"/>
        <w:ind w:right="289"/>
        <w:rPr>
          <w:rFonts w:ascii="Verdana" w:hAnsi="Verdana"/>
          <w:sz w:val="18"/>
          <w:szCs w:val="18"/>
        </w:rPr>
      </w:pPr>
      <w:r w:rsidRPr="00EC75B7">
        <w:rPr>
          <w:rFonts w:ascii="Verdana" w:hAnsi="Verdana"/>
          <w:sz w:val="18"/>
          <w:szCs w:val="18"/>
        </w:rPr>
        <w:t>Removal of individuals of a species (with their relocation inside or outside the Natura</w:t>
      </w:r>
      <w:r w:rsidRPr="00EC75B7">
        <w:rPr>
          <w:rFonts w:ascii="Verdana" w:hAnsi="Verdana"/>
          <w:spacing w:val="-2"/>
          <w:sz w:val="18"/>
          <w:szCs w:val="18"/>
        </w:rPr>
        <w:t xml:space="preserve"> 2000 </w:t>
      </w:r>
      <w:r w:rsidRPr="00EC75B7">
        <w:rPr>
          <w:rFonts w:ascii="Verdana" w:hAnsi="Verdana"/>
          <w:sz w:val="18"/>
          <w:szCs w:val="18"/>
        </w:rPr>
        <w:t>site</w:t>
      </w:r>
      <w:r w:rsidRPr="00EC75B7">
        <w:rPr>
          <w:rFonts w:ascii="Verdana" w:hAnsi="Verdana"/>
          <w:spacing w:val="-2"/>
          <w:sz w:val="18"/>
          <w:szCs w:val="18"/>
        </w:rPr>
        <w:t>).</w:t>
      </w:r>
    </w:p>
    <w:p w14:paraId="1F4A2E63" w14:textId="77777777" w:rsidR="008715BE" w:rsidRPr="00EC75B7" w:rsidRDefault="00000000">
      <w:pPr>
        <w:pStyle w:val="Heading5"/>
        <w:numPr>
          <w:ilvl w:val="0"/>
          <w:numId w:val="5"/>
        </w:numPr>
        <w:tabs>
          <w:tab w:val="left" w:pos="775"/>
        </w:tabs>
        <w:spacing w:line="216" w:lineRule="exact"/>
        <w:ind w:left="775" w:hanging="358"/>
        <w:rPr>
          <w:rFonts w:ascii="Verdana" w:hAnsi="Verdana"/>
        </w:rPr>
      </w:pPr>
      <w:r w:rsidRPr="00EC75B7">
        <w:rPr>
          <w:rFonts w:ascii="Verdana" w:hAnsi="Verdana"/>
        </w:rPr>
        <w:t xml:space="preserve">Reducing </w:t>
      </w:r>
      <w:r w:rsidRPr="00EC75B7">
        <w:rPr>
          <w:rFonts w:ascii="Verdana" w:hAnsi="Verdana"/>
          <w:spacing w:val="-2"/>
        </w:rPr>
        <w:t xml:space="preserve">population </w:t>
      </w:r>
      <w:r w:rsidRPr="00EC75B7">
        <w:rPr>
          <w:rFonts w:ascii="Verdana" w:hAnsi="Verdana"/>
        </w:rPr>
        <w:t>numbers</w:t>
      </w:r>
    </w:p>
    <w:p w14:paraId="7BE25398" w14:textId="77777777" w:rsidR="008715BE" w:rsidRPr="00EC75B7" w:rsidRDefault="00000000">
      <w:pPr>
        <w:pStyle w:val="BodyText"/>
        <w:spacing w:before="109"/>
        <w:ind w:left="57"/>
        <w:rPr>
          <w:rFonts w:ascii="Verdana" w:hAnsi="Verdana"/>
        </w:rPr>
      </w:pPr>
      <w:r w:rsidRPr="00EC75B7">
        <w:rPr>
          <w:rFonts w:ascii="Verdana" w:hAnsi="Verdana"/>
        </w:rPr>
        <w:t xml:space="preserve">At the level of a Natura 2000 site, population reduction may </w:t>
      </w:r>
      <w:r w:rsidRPr="00EC75B7">
        <w:rPr>
          <w:rFonts w:ascii="Verdana" w:hAnsi="Verdana"/>
          <w:spacing w:val="-2"/>
        </w:rPr>
        <w:t>occur:</w:t>
      </w:r>
    </w:p>
    <w:p w14:paraId="34ADE0EF" w14:textId="77777777" w:rsidR="008715BE" w:rsidRPr="00EC75B7" w:rsidRDefault="008715BE">
      <w:pPr>
        <w:pStyle w:val="BodyText"/>
        <w:spacing w:before="9"/>
        <w:rPr>
          <w:rFonts w:ascii="Verdana" w:hAnsi="Verdana"/>
        </w:rPr>
      </w:pPr>
    </w:p>
    <w:p w14:paraId="0D9B0E43" w14:textId="77777777" w:rsidR="008715BE" w:rsidRPr="00EC75B7" w:rsidRDefault="00000000">
      <w:pPr>
        <w:pStyle w:val="BodyText"/>
        <w:ind w:left="57"/>
        <w:rPr>
          <w:rFonts w:ascii="Verdana" w:hAnsi="Verdana"/>
        </w:rPr>
      </w:pPr>
      <w:r w:rsidRPr="00EC75B7">
        <w:rPr>
          <w:rFonts w:ascii="Verdana" w:hAnsi="Verdana"/>
        </w:rPr>
        <w:t xml:space="preserve">Directly, as a result </w:t>
      </w:r>
      <w:r w:rsidRPr="00EC75B7">
        <w:rPr>
          <w:rFonts w:ascii="Verdana" w:hAnsi="Verdana"/>
          <w:spacing w:val="-5"/>
        </w:rPr>
        <w:t>of:</w:t>
      </w:r>
    </w:p>
    <w:p w14:paraId="107EE73A" w14:textId="77777777" w:rsidR="008715BE" w:rsidRPr="00EC75B7" w:rsidRDefault="008715BE">
      <w:pPr>
        <w:pStyle w:val="BodyText"/>
        <w:rPr>
          <w:rFonts w:ascii="Verdana" w:hAnsi="Verdana"/>
        </w:rPr>
        <w:sectPr w:rsidR="008715BE" w:rsidRPr="00EC75B7">
          <w:pgSz w:w="11910" w:h="16840"/>
          <w:pgMar w:top="1320" w:right="708" w:bottom="1020" w:left="1133" w:header="766" w:footer="824" w:gutter="0"/>
          <w:cols w:space="708"/>
        </w:sectPr>
      </w:pPr>
    </w:p>
    <w:p w14:paraId="6F79491A" w14:textId="77777777" w:rsidR="008715BE" w:rsidRPr="00EC75B7" w:rsidRDefault="00000000">
      <w:pPr>
        <w:pStyle w:val="ListParagraph"/>
        <w:numPr>
          <w:ilvl w:val="0"/>
          <w:numId w:val="6"/>
        </w:numPr>
        <w:tabs>
          <w:tab w:val="left" w:pos="777"/>
        </w:tabs>
        <w:spacing w:before="99"/>
        <w:rPr>
          <w:rFonts w:ascii="Verdana" w:hAnsi="Verdana"/>
          <w:sz w:val="18"/>
          <w:szCs w:val="18"/>
        </w:rPr>
      </w:pPr>
      <w:r w:rsidRPr="00EC75B7">
        <w:rPr>
          <w:rFonts w:ascii="Verdana" w:hAnsi="Verdana"/>
          <w:sz w:val="18"/>
          <w:szCs w:val="18"/>
        </w:rPr>
        <w:lastRenderedPageBreak/>
        <w:t xml:space="preserve">accidental/intentional killing of </w:t>
      </w:r>
      <w:r w:rsidRPr="00EC75B7">
        <w:rPr>
          <w:rFonts w:ascii="Verdana" w:hAnsi="Verdana"/>
          <w:spacing w:val="-2"/>
          <w:sz w:val="18"/>
          <w:szCs w:val="18"/>
        </w:rPr>
        <w:t>individuals;</w:t>
      </w:r>
    </w:p>
    <w:p w14:paraId="1AF64AA8" w14:textId="77777777" w:rsidR="008715BE" w:rsidRPr="00EC75B7" w:rsidRDefault="00000000">
      <w:pPr>
        <w:pStyle w:val="ListParagraph"/>
        <w:numPr>
          <w:ilvl w:val="0"/>
          <w:numId w:val="6"/>
        </w:numPr>
        <w:tabs>
          <w:tab w:val="left" w:pos="777"/>
        </w:tabs>
        <w:spacing w:before="110"/>
        <w:rPr>
          <w:rFonts w:ascii="Verdana" w:hAnsi="Verdana"/>
          <w:sz w:val="18"/>
          <w:szCs w:val="18"/>
        </w:rPr>
      </w:pPr>
      <w:r w:rsidRPr="00EC75B7">
        <w:rPr>
          <w:rFonts w:ascii="Verdana" w:hAnsi="Verdana"/>
          <w:sz w:val="18"/>
          <w:szCs w:val="18"/>
        </w:rPr>
        <w:t xml:space="preserve">accidental/intentional destruction of eggs, </w:t>
      </w:r>
      <w:r w:rsidRPr="00EC75B7">
        <w:rPr>
          <w:rFonts w:ascii="Verdana" w:hAnsi="Verdana"/>
          <w:spacing w:val="-2"/>
          <w:sz w:val="18"/>
          <w:szCs w:val="18"/>
        </w:rPr>
        <w:t>nests.</w:t>
      </w:r>
    </w:p>
    <w:p w14:paraId="759ACB32" w14:textId="77777777" w:rsidR="008715BE" w:rsidRPr="00EC75B7" w:rsidRDefault="00000000">
      <w:pPr>
        <w:pStyle w:val="BodyText"/>
        <w:spacing w:before="106"/>
        <w:ind w:left="57"/>
        <w:rPr>
          <w:rFonts w:ascii="Verdana" w:hAnsi="Verdana"/>
        </w:rPr>
      </w:pPr>
      <w:r w:rsidRPr="00EC75B7">
        <w:rPr>
          <w:rFonts w:ascii="Verdana" w:hAnsi="Verdana"/>
          <w:b/>
        </w:rPr>
        <w:t>Indirectly</w:t>
      </w:r>
      <w:r w:rsidRPr="00EC75B7">
        <w:rPr>
          <w:rFonts w:ascii="Verdana" w:hAnsi="Verdana"/>
        </w:rPr>
        <w:t xml:space="preserve">, as a result of other forms of </w:t>
      </w:r>
      <w:r w:rsidRPr="00EC75B7">
        <w:rPr>
          <w:rFonts w:ascii="Verdana" w:hAnsi="Verdana"/>
          <w:spacing w:val="-2"/>
        </w:rPr>
        <w:t>impact:</w:t>
      </w:r>
    </w:p>
    <w:p w14:paraId="4E7237E5" w14:textId="77777777" w:rsidR="008715BE" w:rsidRPr="00EC75B7" w:rsidRDefault="008715BE">
      <w:pPr>
        <w:pStyle w:val="BodyText"/>
        <w:rPr>
          <w:rFonts w:ascii="Verdana" w:hAnsi="Verdana"/>
        </w:rPr>
      </w:pPr>
    </w:p>
    <w:p w14:paraId="0ED73A6A" w14:textId="77777777" w:rsidR="008715BE" w:rsidRPr="00EC75B7" w:rsidRDefault="00000000">
      <w:pPr>
        <w:pStyle w:val="ListParagraph"/>
        <w:numPr>
          <w:ilvl w:val="0"/>
          <w:numId w:val="6"/>
        </w:numPr>
        <w:tabs>
          <w:tab w:val="left" w:pos="777"/>
        </w:tabs>
        <w:spacing w:line="357" w:lineRule="auto"/>
        <w:ind w:right="292"/>
        <w:rPr>
          <w:rFonts w:ascii="Verdana" w:hAnsi="Verdana"/>
          <w:sz w:val="18"/>
          <w:szCs w:val="18"/>
        </w:rPr>
      </w:pPr>
      <w:r w:rsidRPr="00EC75B7">
        <w:rPr>
          <w:rFonts w:ascii="Verdana" w:hAnsi="Verdana"/>
          <w:sz w:val="18"/>
          <w:szCs w:val="18"/>
        </w:rPr>
        <w:t>Loss of habitat area (including destruction of habitats/breeding sites). Reduction in habitat area can lead to a decline in population numbers;</w:t>
      </w:r>
    </w:p>
    <w:p w14:paraId="71E8AF66" w14:textId="77777777" w:rsidR="008715BE" w:rsidRPr="00EC75B7" w:rsidRDefault="00000000">
      <w:pPr>
        <w:pStyle w:val="ListParagraph"/>
        <w:numPr>
          <w:ilvl w:val="0"/>
          <w:numId w:val="6"/>
        </w:numPr>
        <w:tabs>
          <w:tab w:val="left" w:pos="777"/>
        </w:tabs>
        <w:spacing w:before="1" w:line="360" w:lineRule="auto"/>
        <w:ind w:right="290"/>
        <w:rPr>
          <w:rFonts w:ascii="Verdana" w:hAnsi="Verdana"/>
          <w:sz w:val="18"/>
          <w:szCs w:val="18"/>
        </w:rPr>
      </w:pPr>
      <w:r w:rsidRPr="00EC75B7">
        <w:rPr>
          <w:rFonts w:ascii="Verdana" w:hAnsi="Verdana"/>
          <w:sz w:val="18"/>
          <w:szCs w:val="18"/>
        </w:rPr>
        <w:t>Alteration of habitats, which can lead to a reduction in food resources and indirectly to a reduction in population numbers;</w:t>
      </w:r>
    </w:p>
    <w:p w14:paraId="069DD36B" w14:textId="77777777" w:rsidR="008715BE" w:rsidRPr="00EC75B7" w:rsidRDefault="00000000">
      <w:pPr>
        <w:pStyle w:val="ListParagraph"/>
        <w:numPr>
          <w:ilvl w:val="0"/>
          <w:numId w:val="6"/>
        </w:numPr>
        <w:tabs>
          <w:tab w:val="left" w:pos="777"/>
        </w:tabs>
        <w:spacing w:line="360" w:lineRule="auto"/>
        <w:ind w:right="290"/>
        <w:rPr>
          <w:rFonts w:ascii="Verdana" w:hAnsi="Verdana"/>
          <w:sz w:val="18"/>
          <w:szCs w:val="18"/>
        </w:rPr>
      </w:pPr>
      <w:r w:rsidRPr="00EC75B7">
        <w:rPr>
          <w:rFonts w:ascii="Verdana" w:hAnsi="Verdana"/>
          <w:sz w:val="18"/>
          <w:szCs w:val="18"/>
        </w:rPr>
        <w:t>Habitat fragmentation, which can affect the reproduction of individuals or prevent them from accessing favorable habitats within the site;</w:t>
      </w:r>
    </w:p>
    <w:p w14:paraId="6FC470FB" w14:textId="77777777" w:rsidR="008715BE" w:rsidRPr="00EC75B7" w:rsidRDefault="00000000">
      <w:pPr>
        <w:pStyle w:val="ListParagraph"/>
        <w:numPr>
          <w:ilvl w:val="0"/>
          <w:numId w:val="6"/>
        </w:numPr>
        <w:tabs>
          <w:tab w:val="left" w:pos="777"/>
        </w:tabs>
        <w:spacing w:line="218" w:lineRule="exact"/>
        <w:rPr>
          <w:rFonts w:ascii="Verdana" w:hAnsi="Verdana"/>
          <w:sz w:val="18"/>
          <w:szCs w:val="18"/>
        </w:rPr>
      </w:pPr>
      <w:r w:rsidRPr="00EC75B7">
        <w:rPr>
          <w:rFonts w:ascii="Verdana" w:hAnsi="Verdana"/>
          <w:sz w:val="18"/>
          <w:szCs w:val="18"/>
        </w:rPr>
        <w:t xml:space="preserve">Disturbance of species activity, which may lead to the relocation of individuals outside </w:t>
      </w:r>
      <w:r w:rsidRPr="00EC75B7">
        <w:rPr>
          <w:rFonts w:ascii="Verdana" w:hAnsi="Verdana"/>
          <w:spacing w:val="-2"/>
          <w:sz w:val="18"/>
          <w:szCs w:val="18"/>
        </w:rPr>
        <w:t>the site.</w:t>
      </w:r>
    </w:p>
    <w:p w14:paraId="5E2F4777" w14:textId="77777777" w:rsidR="008715BE" w:rsidRPr="00EC75B7" w:rsidRDefault="00000000">
      <w:pPr>
        <w:pStyle w:val="BodyText"/>
        <w:spacing w:before="105" w:line="357" w:lineRule="auto"/>
        <w:ind w:left="57" w:right="64"/>
        <w:rPr>
          <w:rFonts w:ascii="Verdana" w:hAnsi="Verdana"/>
        </w:rPr>
      </w:pPr>
      <w:r w:rsidRPr="00EC75B7">
        <w:rPr>
          <w:rFonts w:ascii="Verdana" w:hAnsi="Verdana"/>
        </w:rPr>
        <w:t>The risk of mortality of individuals belonging to fauna species may occur at all stages of the project (construction, operation, decommissioning).</w:t>
      </w:r>
    </w:p>
    <w:p w14:paraId="56D58ADA" w14:textId="77777777" w:rsidR="008715BE" w:rsidRPr="00EC75B7" w:rsidRDefault="00000000">
      <w:pPr>
        <w:pStyle w:val="Heading5"/>
        <w:spacing w:before="121"/>
        <w:jc w:val="left"/>
        <w:rPr>
          <w:rFonts w:ascii="Verdana" w:hAnsi="Verdana"/>
        </w:rPr>
      </w:pPr>
      <w:r w:rsidRPr="00EC75B7">
        <w:rPr>
          <w:rFonts w:ascii="Verdana" w:hAnsi="Verdana"/>
        </w:rPr>
        <w:t xml:space="preserve">Mortality risk – </w:t>
      </w:r>
      <w:r w:rsidRPr="00EC75B7">
        <w:rPr>
          <w:rFonts w:ascii="Verdana" w:hAnsi="Verdana"/>
          <w:spacing w:val="-2"/>
        </w:rPr>
        <w:t>bats</w:t>
      </w:r>
    </w:p>
    <w:p w14:paraId="593CB93E" w14:textId="77777777" w:rsidR="008715BE" w:rsidRPr="00EC75B7" w:rsidRDefault="008715BE">
      <w:pPr>
        <w:pStyle w:val="BodyText"/>
        <w:spacing w:before="9"/>
        <w:rPr>
          <w:rFonts w:ascii="Verdana" w:hAnsi="Verdana"/>
          <w:b/>
        </w:rPr>
      </w:pPr>
    </w:p>
    <w:p w14:paraId="099B5685" w14:textId="77777777" w:rsidR="008715BE" w:rsidRPr="00EC75B7" w:rsidRDefault="00000000">
      <w:pPr>
        <w:pStyle w:val="BodyText"/>
        <w:spacing w:line="357" w:lineRule="auto"/>
        <w:ind w:left="57" w:right="284"/>
        <w:jc w:val="both"/>
        <w:rPr>
          <w:rFonts w:ascii="Verdana" w:hAnsi="Verdana"/>
        </w:rPr>
      </w:pPr>
      <w:r w:rsidRPr="00EC75B7">
        <w:rPr>
          <w:rFonts w:ascii="Verdana" w:hAnsi="Verdana"/>
        </w:rPr>
        <w:t xml:space="preserve">The mortality risk analysis for bat species was carried out using </w:t>
      </w:r>
      <w:r w:rsidRPr="00EC75B7">
        <w:rPr>
          <w:rFonts w:ascii="Verdana" w:hAnsi="Verdana"/>
          <w:i/>
        </w:rPr>
        <w:t xml:space="preserve">Bats and onshore wind turbines - survey, assessment, and mitigation </w:t>
      </w:r>
      <w:r w:rsidRPr="00EC75B7">
        <w:rPr>
          <w:rFonts w:ascii="Verdana" w:hAnsi="Verdana"/>
        </w:rPr>
        <w:t>developed by NatureScot and takes into account both the collision risk of bat species and the risk of barotrauma due to pressure differences generated by wind turbine operation, species vulnerability, their activity in the project area (assessed based on field observations), the location of the project, and the types of interventions proposed.</w:t>
      </w:r>
    </w:p>
    <w:p w14:paraId="2752DB60" w14:textId="77777777" w:rsidR="008715BE" w:rsidRPr="00EC75B7" w:rsidRDefault="00000000">
      <w:pPr>
        <w:pStyle w:val="BodyText"/>
        <w:spacing w:before="124" w:line="357" w:lineRule="auto"/>
        <w:ind w:left="57" w:right="282"/>
        <w:jc w:val="both"/>
        <w:rPr>
          <w:rFonts w:ascii="Verdana" w:hAnsi="Verdana"/>
        </w:rPr>
      </w:pPr>
      <w:r w:rsidRPr="00EC75B7">
        <w:rPr>
          <w:rFonts w:ascii="Verdana" w:hAnsi="Verdana"/>
        </w:rPr>
        <w:t>Based on the methodology described, the project site presents a habitat of moderate value, i.e., an area with buildings, trees, or other structures with moderate to high potential to serve as shelters, which can be widely used by bats searching for food.</w:t>
      </w:r>
      <w:r w:rsidRPr="00EC75B7">
        <w:rPr>
          <w:rFonts w:ascii="Verdana" w:hAnsi="Verdana"/>
          <w:spacing w:val="15"/>
        </w:rPr>
        <w:t xml:space="preserve"> </w:t>
      </w:r>
      <w:r w:rsidRPr="00EC75B7">
        <w:rPr>
          <w:rFonts w:ascii="Verdana" w:hAnsi="Verdana"/>
        </w:rPr>
        <w:t>In terms of size, the project falls into the category of large projects (&gt; 40 turbines) with other wind energy projects under development within a 5 km radius, with turbines taller than 100 m. Based on the initial risk assessment matrix, the project site falls into the high-risk category.</w:t>
      </w:r>
    </w:p>
    <w:p w14:paraId="30B6A80D" w14:textId="77777777" w:rsidR="008715BE" w:rsidRPr="00EC75B7" w:rsidRDefault="00000000">
      <w:pPr>
        <w:pStyle w:val="BodyText"/>
        <w:spacing w:before="126" w:line="357" w:lineRule="auto"/>
        <w:ind w:left="57" w:right="282"/>
        <w:jc w:val="both"/>
        <w:rPr>
          <w:rFonts w:ascii="Verdana" w:hAnsi="Verdana"/>
        </w:rPr>
      </w:pPr>
      <w:r w:rsidRPr="00EC75B7">
        <w:rPr>
          <w:rFonts w:ascii="Verdana" w:hAnsi="Verdana"/>
        </w:rPr>
        <w:t>Taking into account the information listed above and the data obtained from monitoring, and using the general risk assessment matrix, the project site has a high risk in terms of collision and, implicitly, mortality for bats.</w:t>
      </w:r>
    </w:p>
    <w:p w14:paraId="6A59BAB6" w14:textId="77777777" w:rsidR="008715BE" w:rsidRPr="00EC75B7" w:rsidRDefault="00000000">
      <w:pPr>
        <w:pStyle w:val="BodyText"/>
        <w:spacing w:before="122" w:line="357" w:lineRule="auto"/>
        <w:ind w:left="57" w:right="292"/>
        <w:jc w:val="both"/>
        <w:rPr>
          <w:rFonts w:ascii="Verdana" w:hAnsi="Verdana"/>
        </w:rPr>
      </w:pPr>
      <w:r w:rsidRPr="00EC75B7">
        <w:rPr>
          <w:rFonts w:ascii="Verdana" w:hAnsi="Verdana"/>
        </w:rPr>
        <w:t>However, existing methodologies do not allow for the calculation of a potential number of victims for bat species, as is done for bird species.</w:t>
      </w:r>
    </w:p>
    <w:p w14:paraId="0F5CB69B" w14:textId="77777777" w:rsidR="008715BE" w:rsidRPr="00EC75B7" w:rsidRDefault="00000000">
      <w:pPr>
        <w:pStyle w:val="Heading5"/>
        <w:spacing w:before="120"/>
        <w:rPr>
          <w:rFonts w:ascii="Verdana" w:hAnsi="Verdana"/>
        </w:rPr>
      </w:pPr>
      <w:r w:rsidRPr="00EC75B7">
        <w:rPr>
          <w:rFonts w:ascii="Verdana" w:hAnsi="Verdana"/>
        </w:rPr>
        <w:t xml:space="preserve">Mortality risk – </w:t>
      </w:r>
      <w:r w:rsidRPr="00EC75B7">
        <w:rPr>
          <w:rFonts w:ascii="Verdana" w:hAnsi="Verdana"/>
          <w:spacing w:val="-2"/>
        </w:rPr>
        <w:t>avifauna</w:t>
      </w:r>
    </w:p>
    <w:p w14:paraId="72D60DA8" w14:textId="77777777" w:rsidR="008715BE" w:rsidRPr="00EC75B7" w:rsidRDefault="008715BE">
      <w:pPr>
        <w:pStyle w:val="BodyText"/>
        <w:spacing w:before="10"/>
        <w:rPr>
          <w:rFonts w:ascii="Verdana" w:hAnsi="Verdana"/>
          <w:b/>
        </w:rPr>
      </w:pPr>
    </w:p>
    <w:p w14:paraId="18D6CC76" w14:textId="77777777" w:rsidR="008715BE" w:rsidRPr="00EC75B7" w:rsidRDefault="00000000">
      <w:pPr>
        <w:spacing w:line="360" w:lineRule="auto"/>
        <w:ind w:left="57" w:right="64"/>
        <w:rPr>
          <w:rFonts w:ascii="Verdana" w:hAnsi="Verdana"/>
          <w:sz w:val="18"/>
          <w:szCs w:val="18"/>
        </w:rPr>
      </w:pPr>
      <w:r w:rsidRPr="00EC75B7">
        <w:rPr>
          <w:rFonts w:ascii="Verdana" w:hAnsi="Verdana"/>
          <w:sz w:val="18"/>
          <w:szCs w:val="18"/>
        </w:rPr>
        <w:t>The collision risk of the observed species is calculated according to the Scottish National Heritage guide: "</w:t>
      </w:r>
      <w:r w:rsidRPr="00EC75B7">
        <w:rPr>
          <w:rFonts w:ascii="Verdana" w:hAnsi="Verdana"/>
          <w:i/>
          <w:sz w:val="18"/>
          <w:szCs w:val="18"/>
        </w:rPr>
        <w:t>Wind farms and Birds: Calculating a theoretical collision risk assuming no avoiding action</w:t>
      </w:r>
      <w:r w:rsidRPr="00EC75B7">
        <w:rPr>
          <w:rFonts w:ascii="Verdana" w:hAnsi="Verdana"/>
          <w:sz w:val="18"/>
          <w:szCs w:val="18"/>
        </w:rPr>
        <w:t>.</w:t>
      </w:r>
      <w:r w:rsidRPr="00EC75B7">
        <w:rPr>
          <w:rFonts w:ascii="Verdana" w:hAnsi="Verdana"/>
          <w:i/>
          <w:sz w:val="18"/>
          <w:szCs w:val="18"/>
        </w:rPr>
        <w:t>"</w:t>
      </w:r>
    </w:p>
    <w:p w14:paraId="036E8A09" w14:textId="77777777" w:rsidR="008715BE" w:rsidRPr="00EC75B7" w:rsidRDefault="00000000">
      <w:pPr>
        <w:pStyle w:val="BodyText"/>
        <w:spacing w:before="116" w:line="360" w:lineRule="auto"/>
        <w:ind w:left="57" w:right="64"/>
        <w:rPr>
          <w:rFonts w:ascii="Verdana" w:hAnsi="Verdana"/>
        </w:rPr>
      </w:pPr>
      <w:r w:rsidRPr="00EC75B7">
        <w:rPr>
          <w:rFonts w:ascii="Verdana" w:hAnsi="Verdana"/>
        </w:rPr>
        <w:t>In a first stage, the collision risk was assessed using two different calculation models, depending on the species phenology (migratory species or resident/migratory breeding species):</w:t>
      </w:r>
    </w:p>
    <w:p w14:paraId="42B23377" w14:textId="77777777" w:rsidR="008715BE" w:rsidRPr="00EC75B7" w:rsidRDefault="00000000">
      <w:pPr>
        <w:pStyle w:val="ListParagraph"/>
        <w:numPr>
          <w:ilvl w:val="0"/>
          <w:numId w:val="6"/>
        </w:numPr>
        <w:tabs>
          <w:tab w:val="left" w:pos="777"/>
        </w:tabs>
        <w:spacing w:before="119" w:line="360" w:lineRule="auto"/>
        <w:ind w:right="287"/>
        <w:rPr>
          <w:rFonts w:ascii="Verdana" w:hAnsi="Verdana"/>
          <w:sz w:val="18"/>
          <w:szCs w:val="18"/>
        </w:rPr>
      </w:pPr>
      <w:r w:rsidRPr="00EC75B7">
        <w:rPr>
          <w:rFonts w:ascii="Verdana" w:hAnsi="Verdana"/>
          <w:b/>
          <w:sz w:val="18"/>
          <w:szCs w:val="18"/>
        </w:rPr>
        <w:t>Calculation model 1</w:t>
      </w:r>
      <w:r w:rsidRPr="00EC75B7">
        <w:rPr>
          <w:rFonts w:ascii="Verdana" w:hAnsi="Verdana"/>
          <w:sz w:val="18"/>
          <w:szCs w:val="18"/>
        </w:rPr>
        <w:t xml:space="preserve">: used for flights during migration and </w:t>
      </w:r>
      <w:r w:rsidRPr="00EC75B7">
        <w:rPr>
          <w:rFonts w:ascii="Verdana" w:hAnsi="Verdana"/>
          <w:spacing w:val="-2"/>
          <w:sz w:val="18"/>
          <w:szCs w:val="18"/>
        </w:rPr>
        <w:t xml:space="preserve">transit </w:t>
      </w:r>
      <w:r w:rsidRPr="00EC75B7">
        <w:rPr>
          <w:rFonts w:ascii="Verdana" w:hAnsi="Verdana"/>
          <w:sz w:val="18"/>
          <w:szCs w:val="18"/>
        </w:rPr>
        <w:t>flights</w:t>
      </w:r>
    </w:p>
    <w:p w14:paraId="496D3EE9" w14:textId="77777777" w:rsidR="008715BE" w:rsidRPr="00EC75B7" w:rsidRDefault="00000000">
      <w:pPr>
        <w:pStyle w:val="ListParagraph"/>
        <w:numPr>
          <w:ilvl w:val="0"/>
          <w:numId w:val="6"/>
        </w:numPr>
        <w:tabs>
          <w:tab w:val="left" w:pos="777"/>
        </w:tabs>
        <w:spacing w:line="216" w:lineRule="exact"/>
        <w:rPr>
          <w:rFonts w:ascii="Verdana" w:hAnsi="Verdana"/>
          <w:sz w:val="18"/>
          <w:szCs w:val="18"/>
        </w:rPr>
      </w:pPr>
      <w:r w:rsidRPr="00EC75B7">
        <w:rPr>
          <w:rFonts w:ascii="Verdana" w:hAnsi="Verdana"/>
          <w:b/>
          <w:sz w:val="18"/>
          <w:szCs w:val="18"/>
        </w:rPr>
        <w:t>Calculation model 2</w:t>
      </w:r>
      <w:r w:rsidRPr="00EC75B7">
        <w:rPr>
          <w:rFonts w:ascii="Verdana" w:hAnsi="Verdana"/>
          <w:sz w:val="18"/>
          <w:szCs w:val="18"/>
        </w:rPr>
        <w:t xml:space="preserve">: used for </w:t>
      </w:r>
      <w:r w:rsidRPr="00EC75B7">
        <w:rPr>
          <w:rFonts w:ascii="Verdana" w:hAnsi="Verdana"/>
          <w:spacing w:val="-2"/>
          <w:sz w:val="18"/>
          <w:szCs w:val="18"/>
        </w:rPr>
        <w:t xml:space="preserve">irregular </w:t>
      </w:r>
      <w:r w:rsidRPr="00EC75B7">
        <w:rPr>
          <w:rFonts w:ascii="Verdana" w:hAnsi="Verdana"/>
          <w:sz w:val="18"/>
          <w:szCs w:val="18"/>
        </w:rPr>
        <w:t>flights</w:t>
      </w:r>
      <w:r w:rsidRPr="00EC75B7">
        <w:rPr>
          <w:rFonts w:ascii="Verdana" w:hAnsi="Verdana"/>
          <w:spacing w:val="-2"/>
          <w:sz w:val="18"/>
          <w:szCs w:val="18"/>
        </w:rPr>
        <w:t>.</w:t>
      </w:r>
    </w:p>
    <w:p w14:paraId="7F1352F2" w14:textId="77777777" w:rsidR="008715BE" w:rsidRPr="00EC75B7" w:rsidRDefault="00000000">
      <w:pPr>
        <w:pStyle w:val="Heading5"/>
        <w:numPr>
          <w:ilvl w:val="1"/>
          <w:numId w:val="5"/>
        </w:numPr>
        <w:tabs>
          <w:tab w:val="left" w:pos="777"/>
        </w:tabs>
        <w:spacing w:before="109" w:line="360" w:lineRule="auto"/>
        <w:ind w:right="286"/>
        <w:rPr>
          <w:rFonts w:ascii="Verdana" w:hAnsi="Verdana"/>
        </w:rPr>
      </w:pPr>
      <w:r w:rsidRPr="00EC75B7">
        <w:rPr>
          <w:rFonts w:ascii="Verdana" w:hAnsi="Verdana"/>
        </w:rPr>
        <w:t>Calculation model for the risk of bird collisions with wind turbines during migration flights</w:t>
      </w:r>
    </w:p>
    <w:p w14:paraId="23621A1B" w14:textId="77777777" w:rsidR="008715BE" w:rsidRPr="00EC75B7" w:rsidRDefault="008715BE">
      <w:pPr>
        <w:pStyle w:val="Heading5"/>
        <w:spacing w:line="360" w:lineRule="auto"/>
        <w:jc w:val="left"/>
        <w:rPr>
          <w:rFonts w:ascii="Verdana" w:hAnsi="Verdana"/>
        </w:rPr>
        <w:sectPr w:rsidR="008715BE" w:rsidRPr="00EC75B7">
          <w:pgSz w:w="11910" w:h="16840"/>
          <w:pgMar w:top="1320" w:right="708" w:bottom="1020" w:left="1133" w:header="766" w:footer="824" w:gutter="0"/>
          <w:cols w:space="708"/>
        </w:sectPr>
      </w:pPr>
    </w:p>
    <w:p w14:paraId="059051F5" w14:textId="77777777" w:rsidR="008715BE" w:rsidRPr="00EC75B7" w:rsidRDefault="00000000">
      <w:pPr>
        <w:pStyle w:val="BodyText"/>
        <w:spacing w:before="99" w:line="357" w:lineRule="auto"/>
        <w:ind w:left="57" w:right="280"/>
        <w:jc w:val="both"/>
        <w:rPr>
          <w:rFonts w:ascii="Verdana" w:hAnsi="Verdana"/>
        </w:rPr>
      </w:pPr>
      <w:r w:rsidRPr="00EC75B7">
        <w:rPr>
          <w:rFonts w:ascii="Verdana" w:hAnsi="Verdana"/>
        </w:rPr>
        <w:lastRenderedPageBreak/>
        <w:t xml:space="preserve">This approach is used for birds that fly regularly through the wind farm in a defined and known direction. This applies, for example, to birds that migrate seasonally. </w:t>
      </w:r>
      <w:r w:rsidRPr="00EC75B7">
        <w:rPr>
          <w:rFonts w:ascii="Verdana" w:hAnsi="Verdana"/>
          <w:strike/>
        </w:rPr>
        <w:t xml:space="preserve">The </w:t>
      </w:r>
      <w:r w:rsidRPr="00EC75B7">
        <w:rPr>
          <w:rFonts w:ascii="Verdana" w:hAnsi="Verdana"/>
        </w:rPr>
        <w:t>calculation method consists of five steps:</w:t>
      </w:r>
    </w:p>
    <w:p w14:paraId="0CA4D6CF" w14:textId="77777777" w:rsidR="008715BE" w:rsidRPr="00EC75B7" w:rsidRDefault="00000000">
      <w:pPr>
        <w:pStyle w:val="ListParagraph"/>
        <w:numPr>
          <w:ilvl w:val="2"/>
          <w:numId w:val="5"/>
        </w:numPr>
        <w:tabs>
          <w:tab w:val="left" w:pos="775"/>
          <w:tab w:val="left" w:pos="777"/>
        </w:tabs>
        <w:spacing w:before="123"/>
        <w:ind w:right="295"/>
        <w:rPr>
          <w:rFonts w:ascii="Verdana" w:hAnsi="Verdana"/>
          <w:sz w:val="18"/>
          <w:szCs w:val="18"/>
        </w:rPr>
      </w:pPr>
      <w:r w:rsidRPr="00EC75B7">
        <w:rPr>
          <w:rFonts w:ascii="Verdana" w:hAnsi="Verdana"/>
          <w:sz w:val="18"/>
          <w:szCs w:val="18"/>
        </w:rPr>
        <w:t xml:space="preserve">Defining a "risk zone" equal to the width of the wind farm and equal in height to the maximum height of the tallest wind turbine. Cross-sectional area </w:t>
      </w:r>
      <w:r w:rsidRPr="00EC75B7">
        <w:rPr>
          <w:rFonts w:ascii="Verdana" w:hAnsi="Verdana"/>
          <w:b/>
          <w:sz w:val="18"/>
          <w:szCs w:val="18"/>
        </w:rPr>
        <w:t>W = width x height</w:t>
      </w:r>
      <w:r w:rsidRPr="00EC75B7">
        <w:rPr>
          <w:rFonts w:ascii="Verdana" w:hAnsi="Verdana"/>
          <w:sz w:val="18"/>
          <w:szCs w:val="18"/>
        </w:rPr>
        <w:t>.</w:t>
      </w:r>
    </w:p>
    <w:p w14:paraId="2AD17C85" w14:textId="77777777" w:rsidR="008715BE" w:rsidRPr="00EC75B7" w:rsidRDefault="00000000">
      <w:pPr>
        <w:pStyle w:val="ListParagraph"/>
        <w:numPr>
          <w:ilvl w:val="2"/>
          <w:numId w:val="5"/>
        </w:numPr>
        <w:tabs>
          <w:tab w:val="left" w:pos="775"/>
        </w:tabs>
        <w:spacing w:before="117"/>
        <w:ind w:left="775" w:hanging="358"/>
        <w:rPr>
          <w:rFonts w:ascii="Verdana" w:hAnsi="Verdana"/>
          <w:sz w:val="18"/>
          <w:szCs w:val="18"/>
        </w:rPr>
      </w:pPr>
      <w:r w:rsidRPr="00EC75B7">
        <w:rPr>
          <w:rFonts w:ascii="Verdana" w:hAnsi="Verdana"/>
          <w:sz w:val="18"/>
          <w:szCs w:val="18"/>
        </w:rPr>
        <w:t xml:space="preserve">Estimating the number of birds n flying through this risk window per </w:t>
      </w:r>
      <w:r w:rsidRPr="00EC75B7">
        <w:rPr>
          <w:rFonts w:ascii="Verdana" w:hAnsi="Verdana"/>
          <w:spacing w:val="-5"/>
          <w:sz w:val="18"/>
          <w:szCs w:val="18"/>
        </w:rPr>
        <w:t>year</w:t>
      </w:r>
    </w:p>
    <w:p w14:paraId="41A2D26F" w14:textId="77777777" w:rsidR="008715BE" w:rsidRPr="00EC75B7" w:rsidRDefault="00000000">
      <w:pPr>
        <w:pStyle w:val="ListParagraph"/>
        <w:numPr>
          <w:ilvl w:val="2"/>
          <w:numId w:val="5"/>
        </w:numPr>
        <w:tabs>
          <w:tab w:val="left" w:pos="775"/>
          <w:tab w:val="left" w:pos="777"/>
        </w:tabs>
        <w:spacing w:before="116"/>
        <w:ind w:right="283"/>
        <w:rPr>
          <w:rFonts w:ascii="Verdana" w:hAnsi="Verdana"/>
          <w:sz w:val="18"/>
          <w:szCs w:val="18"/>
        </w:rPr>
      </w:pPr>
      <w:r w:rsidRPr="00EC75B7">
        <w:rPr>
          <w:rFonts w:ascii="Verdana" w:hAnsi="Verdana"/>
          <w:sz w:val="18"/>
          <w:szCs w:val="18"/>
        </w:rPr>
        <w:t xml:space="preserve">Calculating the area </w:t>
      </w:r>
      <w:r w:rsidRPr="00EC75B7">
        <w:rPr>
          <w:rFonts w:ascii="Verdana" w:hAnsi="Verdana"/>
          <w:b/>
          <w:sz w:val="18"/>
          <w:szCs w:val="18"/>
        </w:rPr>
        <w:t xml:space="preserve">A </w:t>
      </w:r>
      <w:r w:rsidRPr="00EC75B7">
        <w:rPr>
          <w:rFonts w:ascii="Verdana" w:hAnsi="Verdana"/>
          <w:sz w:val="18"/>
          <w:szCs w:val="18"/>
        </w:rPr>
        <w:t xml:space="preserve">described by the wind farm turbines. </w:t>
      </w:r>
      <w:r w:rsidRPr="00EC75B7">
        <w:rPr>
          <w:rFonts w:ascii="Verdana" w:hAnsi="Verdana"/>
          <w:b/>
          <w:sz w:val="18"/>
          <w:szCs w:val="18"/>
        </w:rPr>
        <w:t>A = N x πR</w:t>
      </w:r>
      <w:r w:rsidRPr="00EC75B7">
        <w:rPr>
          <w:rFonts w:ascii="Verdana" w:hAnsi="Verdana"/>
          <w:b/>
          <w:position w:val="6"/>
          <w:sz w:val="18"/>
          <w:szCs w:val="18"/>
        </w:rPr>
        <w:t>2</w:t>
      </w:r>
      <w:r w:rsidRPr="00EC75B7">
        <w:rPr>
          <w:rFonts w:ascii="Verdana" w:hAnsi="Verdana"/>
          <w:sz w:val="18"/>
          <w:szCs w:val="18"/>
        </w:rPr>
        <w:t xml:space="preserve">  where N is the number of rotors and R is the radius of the rotor</w:t>
      </w:r>
    </w:p>
    <w:p w14:paraId="1E6FB72E" w14:textId="77777777" w:rsidR="008715BE" w:rsidRPr="00EC75B7" w:rsidRDefault="00000000">
      <w:pPr>
        <w:pStyle w:val="ListParagraph"/>
        <w:numPr>
          <w:ilvl w:val="2"/>
          <w:numId w:val="5"/>
        </w:numPr>
        <w:tabs>
          <w:tab w:val="left" w:pos="775"/>
        </w:tabs>
        <w:spacing w:before="119"/>
        <w:ind w:left="775" w:hanging="358"/>
        <w:rPr>
          <w:rFonts w:ascii="Verdana" w:hAnsi="Verdana"/>
          <w:sz w:val="18"/>
          <w:szCs w:val="18"/>
        </w:rPr>
      </w:pPr>
      <w:r w:rsidRPr="00EC75B7">
        <w:rPr>
          <w:rFonts w:ascii="Verdana" w:hAnsi="Verdana"/>
          <w:sz w:val="18"/>
          <w:szCs w:val="18"/>
        </w:rPr>
        <w:t xml:space="preserve">Expressing the total area of the rotor as a proportion </w:t>
      </w:r>
      <w:r w:rsidRPr="00EC75B7">
        <w:rPr>
          <w:rFonts w:ascii="Verdana" w:hAnsi="Verdana"/>
          <w:b/>
          <w:sz w:val="18"/>
          <w:szCs w:val="18"/>
        </w:rPr>
        <w:t xml:space="preserve">A/W </w:t>
      </w:r>
      <w:r w:rsidRPr="00EC75B7">
        <w:rPr>
          <w:rFonts w:ascii="Verdana" w:hAnsi="Verdana"/>
          <w:sz w:val="18"/>
          <w:szCs w:val="18"/>
        </w:rPr>
        <w:t xml:space="preserve">of the </w:t>
      </w:r>
      <w:r w:rsidRPr="00EC75B7">
        <w:rPr>
          <w:rFonts w:ascii="Verdana" w:hAnsi="Verdana"/>
          <w:spacing w:val="-4"/>
          <w:sz w:val="18"/>
          <w:szCs w:val="18"/>
        </w:rPr>
        <w:t xml:space="preserve">risk </w:t>
      </w:r>
      <w:r w:rsidRPr="00EC75B7">
        <w:rPr>
          <w:rFonts w:ascii="Verdana" w:hAnsi="Verdana"/>
          <w:sz w:val="18"/>
          <w:szCs w:val="18"/>
        </w:rPr>
        <w:t>window</w:t>
      </w:r>
    </w:p>
    <w:p w14:paraId="3ED324CC" w14:textId="77777777" w:rsidR="008715BE" w:rsidRPr="00EC75B7" w:rsidRDefault="00000000">
      <w:pPr>
        <w:pStyle w:val="ListParagraph"/>
        <w:numPr>
          <w:ilvl w:val="2"/>
          <w:numId w:val="5"/>
        </w:numPr>
        <w:tabs>
          <w:tab w:val="left" w:pos="775"/>
          <w:tab w:val="left" w:pos="777"/>
        </w:tabs>
        <w:spacing w:before="119"/>
        <w:ind w:right="292"/>
        <w:rPr>
          <w:rFonts w:ascii="Verdana" w:hAnsi="Verdana"/>
          <w:b/>
          <w:sz w:val="18"/>
          <w:szCs w:val="18"/>
        </w:rPr>
      </w:pPr>
      <w:r w:rsidRPr="00EC75B7">
        <w:rPr>
          <w:rFonts w:ascii="Verdana" w:hAnsi="Verdana"/>
          <w:sz w:val="18"/>
          <w:szCs w:val="18"/>
        </w:rPr>
        <w:t xml:space="preserve">Identification of the number of birds passing through the rotors as the number of birds in the risk window x proportion occupied by the rotors = </w:t>
      </w:r>
      <w:r w:rsidRPr="00EC75B7">
        <w:rPr>
          <w:rFonts w:ascii="Verdana" w:hAnsi="Verdana"/>
          <w:b/>
          <w:sz w:val="18"/>
          <w:szCs w:val="18"/>
        </w:rPr>
        <w:t>n x (A / W)</w:t>
      </w:r>
    </w:p>
    <w:p w14:paraId="45376BB8" w14:textId="77777777" w:rsidR="008715BE" w:rsidRPr="00EC75B7" w:rsidRDefault="00000000">
      <w:pPr>
        <w:pStyle w:val="BodyText"/>
        <w:spacing w:before="117"/>
        <w:ind w:left="57"/>
        <w:jc w:val="both"/>
        <w:rPr>
          <w:rFonts w:ascii="Verdana" w:hAnsi="Verdana"/>
        </w:rPr>
      </w:pPr>
      <w:r w:rsidRPr="00EC75B7">
        <w:rPr>
          <w:rFonts w:ascii="Verdana" w:hAnsi="Verdana"/>
        </w:rPr>
        <w:t xml:space="preserve">In the case of the Cerchezu wind farm, the following input data were </w:t>
      </w:r>
      <w:r w:rsidRPr="00EC75B7">
        <w:rPr>
          <w:rFonts w:ascii="Verdana" w:hAnsi="Verdana"/>
          <w:spacing w:val="-2"/>
        </w:rPr>
        <w:t>used:</w:t>
      </w:r>
    </w:p>
    <w:p w14:paraId="7A2C41DD" w14:textId="77777777" w:rsidR="008715BE" w:rsidRPr="00EC75B7" w:rsidRDefault="008715BE">
      <w:pPr>
        <w:pStyle w:val="BodyText"/>
        <w:spacing w:before="10"/>
        <w:rPr>
          <w:rFonts w:ascii="Verdana" w:hAnsi="Verdana"/>
        </w:rPr>
      </w:pPr>
    </w:p>
    <w:p w14:paraId="0EE7BB31" w14:textId="77777777" w:rsidR="008715BE" w:rsidRPr="00EC75B7" w:rsidRDefault="00000000">
      <w:pPr>
        <w:pStyle w:val="ListParagraph"/>
        <w:numPr>
          <w:ilvl w:val="3"/>
          <w:numId w:val="5"/>
        </w:numPr>
        <w:tabs>
          <w:tab w:val="left" w:pos="777"/>
        </w:tabs>
        <w:rPr>
          <w:rFonts w:ascii="Verdana" w:hAnsi="Verdana"/>
          <w:sz w:val="18"/>
          <w:szCs w:val="18"/>
        </w:rPr>
      </w:pPr>
      <w:r w:rsidRPr="00EC75B7">
        <w:rPr>
          <w:rFonts w:ascii="Verdana" w:hAnsi="Verdana"/>
          <w:sz w:val="18"/>
          <w:szCs w:val="18"/>
        </w:rPr>
        <w:t>Number of turbines (N):</w:t>
      </w:r>
      <w:r w:rsidRPr="00EC75B7">
        <w:rPr>
          <w:rFonts w:ascii="Verdana" w:hAnsi="Verdana"/>
          <w:spacing w:val="-5"/>
          <w:sz w:val="18"/>
          <w:szCs w:val="18"/>
        </w:rPr>
        <w:t xml:space="preserve"> 46;</w:t>
      </w:r>
    </w:p>
    <w:p w14:paraId="6B04FCAC" w14:textId="77777777" w:rsidR="008715BE" w:rsidRPr="00EC75B7" w:rsidRDefault="00000000">
      <w:pPr>
        <w:pStyle w:val="ListParagraph"/>
        <w:numPr>
          <w:ilvl w:val="3"/>
          <w:numId w:val="5"/>
        </w:numPr>
        <w:tabs>
          <w:tab w:val="left" w:pos="777"/>
        </w:tabs>
        <w:spacing w:before="109"/>
        <w:rPr>
          <w:rFonts w:ascii="Verdana" w:hAnsi="Verdana"/>
          <w:sz w:val="18"/>
          <w:szCs w:val="18"/>
        </w:rPr>
      </w:pPr>
      <w:r w:rsidRPr="00EC75B7">
        <w:rPr>
          <w:rFonts w:ascii="Verdana" w:hAnsi="Verdana"/>
          <w:sz w:val="18"/>
          <w:szCs w:val="18"/>
        </w:rPr>
        <w:t xml:space="preserve">Maximum height of wind turbines: 170 </w:t>
      </w:r>
      <w:r w:rsidRPr="00EC75B7">
        <w:rPr>
          <w:rFonts w:ascii="Verdana" w:hAnsi="Verdana"/>
          <w:spacing w:val="-5"/>
          <w:sz w:val="18"/>
          <w:szCs w:val="18"/>
        </w:rPr>
        <w:t>m;</w:t>
      </w:r>
    </w:p>
    <w:p w14:paraId="395E4354" w14:textId="77777777" w:rsidR="008715BE" w:rsidRPr="00EC75B7" w:rsidRDefault="00000000">
      <w:pPr>
        <w:pStyle w:val="ListParagraph"/>
        <w:numPr>
          <w:ilvl w:val="3"/>
          <w:numId w:val="5"/>
        </w:numPr>
        <w:tabs>
          <w:tab w:val="left" w:pos="777"/>
        </w:tabs>
        <w:spacing w:before="107"/>
        <w:rPr>
          <w:rFonts w:ascii="Verdana" w:hAnsi="Verdana"/>
          <w:sz w:val="18"/>
          <w:szCs w:val="18"/>
        </w:rPr>
      </w:pPr>
      <w:r w:rsidRPr="00EC75B7">
        <w:rPr>
          <w:rFonts w:ascii="Verdana" w:hAnsi="Verdana"/>
          <w:sz w:val="18"/>
          <w:szCs w:val="18"/>
        </w:rPr>
        <w:t xml:space="preserve">Rotor radius (R): 56 </w:t>
      </w:r>
      <w:r w:rsidRPr="00EC75B7">
        <w:rPr>
          <w:rFonts w:ascii="Verdana" w:hAnsi="Verdana"/>
          <w:spacing w:val="-7"/>
          <w:sz w:val="18"/>
          <w:szCs w:val="18"/>
        </w:rPr>
        <w:t>m;</w:t>
      </w:r>
    </w:p>
    <w:p w14:paraId="7049B645" w14:textId="77777777" w:rsidR="008715BE" w:rsidRPr="00EC75B7" w:rsidRDefault="00000000">
      <w:pPr>
        <w:pStyle w:val="ListParagraph"/>
        <w:numPr>
          <w:ilvl w:val="3"/>
          <w:numId w:val="5"/>
        </w:numPr>
        <w:tabs>
          <w:tab w:val="left" w:pos="777"/>
        </w:tabs>
        <w:spacing w:before="109"/>
        <w:rPr>
          <w:rFonts w:ascii="Verdana" w:hAnsi="Verdana"/>
          <w:sz w:val="18"/>
          <w:szCs w:val="18"/>
        </w:rPr>
      </w:pPr>
      <w:r w:rsidRPr="00EC75B7">
        <w:rPr>
          <w:rFonts w:ascii="Verdana" w:hAnsi="Verdana"/>
          <w:sz w:val="18"/>
          <w:szCs w:val="18"/>
        </w:rPr>
        <w:t xml:space="preserve">Average width of the risk area: 9764 </w:t>
      </w:r>
      <w:r w:rsidRPr="00EC75B7">
        <w:rPr>
          <w:rFonts w:ascii="Verdana" w:hAnsi="Verdana"/>
          <w:spacing w:val="-5"/>
          <w:sz w:val="18"/>
          <w:szCs w:val="18"/>
        </w:rPr>
        <w:t>m;</w:t>
      </w:r>
    </w:p>
    <w:p w14:paraId="56E25D37" w14:textId="77777777" w:rsidR="008715BE" w:rsidRPr="00EC75B7" w:rsidRDefault="00000000">
      <w:pPr>
        <w:pStyle w:val="ListParagraph"/>
        <w:numPr>
          <w:ilvl w:val="3"/>
          <w:numId w:val="5"/>
        </w:numPr>
        <w:tabs>
          <w:tab w:val="left" w:pos="777"/>
        </w:tabs>
        <w:spacing w:before="106"/>
        <w:rPr>
          <w:rFonts w:ascii="Verdana" w:hAnsi="Verdana"/>
          <w:sz w:val="18"/>
          <w:szCs w:val="18"/>
        </w:rPr>
      </w:pPr>
      <w:r w:rsidRPr="00EC75B7">
        <w:rPr>
          <w:rFonts w:ascii="Verdana" w:hAnsi="Verdana"/>
          <w:sz w:val="18"/>
          <w:szCs w:val="18"/>
        </w:rPr>
        <w:t>Area covered by the wind farm turbines: 82</w:t>
      </w:r>
      <w:r w:rsidRPr="00EC75B7">
        <w:rPr>
          <w:rFonts w:ascii="Verdana" w:hAnsi="Verdana"/>
          <w:spacing w:val="-5"/>
          <w:position w:val="6"/>
          <w:sz w:val="18"/>
          <w:szCs w:val="18"/>
        </w:rPr>
        <w:t>,354,461</w:t>
      </w:r>
      <w:r w:rsidRPr="00EC75B7">
        <w:rPr>
          <w:rFonts w:ascii="Verdana" w:hAnsi="Verdana"/>
          <w:spacing w:val="-5"/>
          <w:sz w:val="18"/>
          <w:szCs w:val="18"/>
        </w:rPr>
        <w:t>m</w:t>
      </w:r>
      <w:r w:rsidRPr="00EC75B7">
        <w:rPr>
          <w:rFonts w:ascii="Verdana" w:hAnsi="Verdana"/>
          <w:spacing w:val="-5"/>
          <w:position w:val="6"/>
          <w:sz w:val="18"/>
          <w:szCs w:val="18"/>
        </w:rPr>
        <w:t>²</w:t>
      </w:r>
      <w:r w:rsidRPr="00EC75B7">
        <w:rPr>
          <w:rFonts w:ascii="Verdana" w:hAnsi="Verdana"/>
          <w:spacing w:val="-5"/>
          <w:sz w:val="18"/>
          <w:szCs w:val="18"/>
        </w:rPr>
        <w:t>;</w:t>
      </w:r>
    </w:p>
    <w:p w14:paraId="451EF367" w14:textId="77777777" w:rsidR="008715BE" w:rsidRPr="00EC75B7" w:rsidRDefault="00000000">
      <w:pPr>
        <w:pStyle w:val="ListParagraph"/>
        <w:numPr>
          <w:ilvl w:val="3"/>
          <w:numId w:val="5"/>
        </w:numPr>
        <w:tabs>
          <w:tab w:val="left" w:pos="777"/>
        </w:tabs>
        <w:spacing w:before="107"/>
        <w:rPr>
          <w:rFonts w:ascii="Verdana" w:hAnsi="Verdana"/>
          <w:sz w:val="18"/>
          <w:szCs w:val="18"/>
        </w:rPr>
      </w:pPr>
      <w:r w:rsidRPr="00EC75B7">
        <w:rPr>
          <w:rFonts w:ascii="Verdana" w:hAnsi="Verdana"/>
          <w:sz w:val="18"/>
          <w:szCs w:val="18"/>
        </w:rPr>
        <w:t xml:space="preserve">Risk area surface (W): 2011384 </w:t>
      </w:r>
      <w:r w:rsidRPr="00EC75B7">
        <w:rPr>
          <w:rFonts w:ascii="Verdana" w:hAnsi="Verdana"/>
          <w:spacing w:val="-5"/>
          <w:sz w:val="18"/>
          <w:szCs w:val="18"/>
        </w:rPr>
        <w:t>m</w:t>
      </w:r>
      <w:r w:rsidRPr="00EC75B7">
        <w:rPr>
          <w:rFonts w:ascii="Verdana" w:hAnsi="Verdana"/>
          <w:spacing w:val="-5"/>
          <w:position w:val="6"/>
          <w:sz w:val="18"/>
          <w:szCs w:val="18"/>
        </w:rPr>
        <w:t>²</w:t>
      </w:r>
      <w:r w:rsidRPr="00EC75B7">
        <w:rPr>
          <w:rFonts w:ascii="Verdana" w:hAnsi="Verdana"/>
          <w:spacing w:val="-5"/>
          <w:sz w:val="18"/>
          <w:szCs w:val="18"/>
        </w:rPr>
        <w:t>;</w:t>
      </w:r>
    </w:p>
    <w:p w14:paraId="4F6C89E3" w14:textId="77777777" w:rsidR="008715BE" w:rsidRPr="00EC75B7" w:rsidRDefault="00000000">
      <w:pPr>
        <w:pStyle w:val="Heading5"/>
        <w:numPr>
          <w:ilvl w:val="1"/>
          <w:numId w:val="5"/>
        </w:numPr>
        <w:tabs>
          <w:tab w:val="left" w:pos="775"/>
          <w:tab w:val="left" w:pos="777"/>
        </w:tabs>
        <w:spacing w:before="106" w:line="360" w:lineRule="auto"/>
        <w:ind w:right="283"/>
        <w:rPr>
          <w:rFonts w:ascii="Verdana" w:hAnsi="Verdana"/>
        </w:rPr>
      </w:pPr>
      <w:r w:rsidRPr="00EC75B7">
        <w:rPr>
          <w:rFonts w:ascii="Verdana" w:hAnsi="Verdana"/>
        </w:rPr>
        <w:t xml:space="preserve">Model for calculating the risk of bird collisions with wind turbines in the case of </w:t>
      </w:r>
      <w:r w:rsidRPr="00EC75B7">
        <w:rPr>
          <w:rFonts w:ascii="Verdana" w:hAnsi="Verdana"/>
          <w:spacing w:val="-2"/>
        </w:rPr>
        <w:t>irregular</w:t>
      </w:r>
      <w:r w:rsidRPr="00EC75B7">
        <w:rPr>
          <w:rFonts w:ascii="Verdana" w:hAnsi="Verdana"/>
        </w:rPr>
        <w:t xml:space="preserve"> flights</w:t>
      </w:r>
    </w:p>
    <w:p w14:paraId="11F2B0A5" w14:textId="77777777" w:rsidR="008715BE" w:rsidRPr="00EC75B7" w:rsidRDefault="00000000">
      <w:pPr>
        <w:pStyle w:val="BodyText"/>
        <w:spacing w:line="357" w:lineRule="auto"/>
        <w:ind w:left="57" w:right="288"/>
        <w:jc w:val="both"/>
        <w:rPr>
          <w:rFonts w:ascii="Verdana" w:hAnsi="Verdana"/>
        </w:rPr>
      </w:pPr>
      <w:r w:rsidRPr="00EC75B7">
        <w:rPr>
          <w:rFonts w:ascii="Verdana" w:hAnsi="Verdana"/>
        </w:rPr>
        <w:t>This approach is suitable for birds such as birds of prey that occupy a recognized territory and where observations have led to a certain understanding of the probability of flight distribution in this territory. The calculation method consists of six steps:</w:t>
      </w:r>
    </w:p>
    <w:p w14:paraId="266F61FD" w14:textId="77777777" w:rsidR="008715BE" w:rsidRPr="00EC75B7" w:rsidRDefault="00000000">
      <w:pPr>
        <w:pStyle w:val="ListParagraph"/>
        <w:numPr>
          <w:ilvl w:val="2"/>
          <w:numId w:val="5"/>
        </w:numPr>
        <w:tabs>
          <w:tab w:val="left" w:pos="775"/>
          <w:tab w:val="left" w:pos="777"/>
        </w:tabs>
        <w:spacing w:before="121" w:line="360" w:lineRule="auto"/>
        <w:ind w:right="284"/>
        <w:jc w:val="both"/>
        <w:rPr>
          <w:rFonts w:ascii="Verdana" w:hAnsi="Verdana"/>
          <w:sz w:val="18"/>
          <w:szCs w:val="18"/>
        </w:rPr>
      </w:pPr>
      <w:r w:rsidRPr="00EC75B7">
        <w:rPr>
          <w:rFonts w:ascii="Verdana" w:hAnsi="Verdana"/>
          <w:sz w:val="18"/>
          <w:szCs w:val="18"/>
        </w:rPr>
        <w:t xml:space="preserve">Identification of a "flight risk volume" </w:t>
      </w:r>
      <w:r w:rsidRPr="00EC75B7">
        <w:rPr>
          <w:rFonts w:ascii="Verdana" w:hAnsi="Verdana"/>
          <w:b/>
          <w:sz w:val="18"/>
          <w:szCs w:val="18"/>
        </w:rPr>
        <w:t xml:space="preserve">Vw, </w:t>
      </w:r>
      <w:r w:rsidRPr="00EC75B7">
        <w:rPr>
          <w:rFonts w:ascii="Verdana" w:hAnsi="Verdana"/>
          <w:sz w:val="18"/>
          <w:szCs w:val="18"/>
        </w:rPr>
        <w:t>which is represented by the area of the wind farm multiplied by the height of the turbines.</w:t>
      </w:r>
    </w:p>
    <w:p w14:paraId="1A0EFBA8" w14:textId="77777777" w:rsidR="008715BE" w:rsidRPr="00EC75B7" w:rsidRDefault="00000000">
      <w:pPr>
        <w:pStyle w:val="ListParagraph"/>
        <w:numPr>
          <w:ilvl w:val="2"/>
          <w:numId w:val="5"/>
        </w:numPr>
        <w:tabs>
          <w:tab w:val="left" w:pos="775"/>
          <w:tab w:val="left" w:pos="777"/>
        </w:tabs>
        <w:spacing w:before="113" w:line="360" w:lineRule="auto"/>
        <w:ind w:right="279"/>
        <w:jc w:val="both"/>
        <w:rPr>
          <w:rFonts w:ascii="Verdana" w:hAnsi="Verdana"/>
          <w:sz w:val="18"/>
          <w:szCs w:val="18"/>
        </w:rPr>
      </w:pPr>
      <w:r w:rsidRPr="00EC75B7">
        <w:rPr>
          <w:rFonts w:ascii="Verdana" w:hAnsi="Verdana"/>
          <w:sz w:val="18"/>
          <w:szCs w:val="18"/>
        </w:rPr>
        <w:t xml:space="preserve">Calculate the combined volume of the wind farm's rotor action area </w:t>
      </w:r>
      <w:r w:rsidRPr="00EC75B7">
        <w:rPr>
          <w:rFonts w:ascii="Verdana" w:hAnsi="Verdana"/>
          <w:b/>
          <w:sz w:val="18"/>
          <w:szCs w:val="18"/>
        </w:rPr>
        <w:t>Vr = N x πR</w:t>
      </w:r>
      <w:r w:rsidRPr="00EC75B7">
        <w:rPr>
          <w:rFonts w:ascii="Verdana" w:hAnsi="Verdana"/>
          <w:b/>
          <w:position w:val="6"/>
          <w:sz w:val="18"/>
          <w:szCs w:val="18"/>
        </w:rPr>
        <w:t>2</w:t>
      </w:r>
      <w:r w:rsidRPr="00EC75B7">
        <w:rPr>
          <w:rFonts w:ascii="Verdana" w:hAnsi="Verdana"/>
          <w:b/>
          <w:sz w:val="18"/>
          <w:szCs w:val="18"/>
        </w:rPr>
        <w:t xml:space="preserve">  x (d + l ) </w:t>
      </w:r>
      <w:r w:rsidRPr="00EC75B7">
        <w:rPr>
          <w:rFonts w:ascii="Verdana" w:hAnsi="Verdana"/>
          <w:sz w:val="18"/>
          <w:szCs w:val="18"/>
        </w:rPr>
        <w:t>where N is the number of wind turbines, d is the rotor depth, and l is the length of the bird.</w:t>
      </w:r>
    </w:p>
    <w:p w14:paraId="4BD92037" w14:textId="77777777" w:rsidR="008715BE" w:rsidRPr="00EC75B7" w:rsidRDefault="00000000">
      <w:pPr>
        <w:pStyle w:val="ListParagraph"/>
        <w:numPr>
          <w:ilvl w:val="2"/>
          <w:numId w:val="5"/>
        </w:numPr>
        <w:tabs>
          <w:tab w:val="left" w:pos="775"/>
          <w:tab w:val="left" w:pos="777"/>
        </w:tabs>
        <w:spacing w:before="118" w:line="357" w:lineRule="auto"/>
        <w:ind w:right="288"/>
        <w:jc w:val="both"/>
        <w:rPr>
          <w:rFonts w:ascii="Verdana" w:hAnsi="Verdana"/>
          <w:sz w:val="18"/>
          <w:szCs w:val="18"/>
        </w:rPr>
      </w:pPr>
      <w:r w:rsidRPr="00EC75B7">
        <w:rPr>
          <w:rFonts w:ascii="Verdana" w:hAnsi="Verdana"/>
          <w:b/>
          <w:sz w:val="18"/>
          <w:szCs w:val="18"/>
        </w:rPr>
        <w:t>Estim</w:t>
      </w:r>
      <w:r w:rsidRPr="00EC75B7">
        <w:rPr>
          <w:rFonts w:ascii="Verdana" w:hAnsi="Verdana"/>
          <w:sz w:val="18"/>
          <w:szCs w:val="18"/>
        </w:rPr>
        <w:t>ating bird occupancy within the flight risk volume. This is the number of birds present multiplied by the time spent flying within the flight risk volume during the period for which the collision estimate is made.</w:t>
      </w:r>
    </w:p>
    <w:p w14:paraId="63B5C30F" w14:textId="77777777" w:rsidR="008715BE" w:rsidRPr="00EC75B7" w:rsidRDefault="00000000">
      <w:pPr>
        <w:pStyle w:val="ListParagraph"/>
        <w:numPr>
          <w:ilvl w:val="2"/>
          <w:numId w:val="5"/>
        </w:numPr>
        <w:tabs>
          <w:tab w:val="left" w:pos="775"/>
        </w:tabs>
        <w:spacing w:before="122"/>
        <w:ind w:left="775" w:hanging="358"/>
        <w:jc w:val="both"/>
        <w:rPr>
          <w:rFonts w:ascii="Verdana" w:hAnsi="Verdana"/>
          <w:sz w:val="18"/>
          <w:szCs w:val="18"/>
        </w:rPr>
      </w:pPr>
      <w:r w:rsidRPr="00EC75B7">
        <w:rPr>
          <w:rFonts w:ascii="Verdana" w:hAnsi="Verdana"/>
          <w:sz w:val="18"/>
          <w:szCs w:val="18"/>
        </w:rPr>
        <w:t xml:space="preserve">Determination of the volume occupied by birds within the volume of the </w:t>
      </w:r>
      <w:r w:rsidRPr="00EC75B7">
        <w:rPr>
          <w:rFonts w:ascii="Verdana" w:hAnsi="Verdana"/>
          <w:spacing w:val="-2"/>
          <w:sz w:val="18"/>
          <w:szCs w:val="18"/>
        </w:rPr>
        <w:t xml:space="preserve">wind farm's </w:t>
      </w:r>
      <w:r w:rsidRPr="00EC75B7">
        <w:rPr>
          <w:rFonts w:ascii="Verdana" w:hAnsi="Verdana"/>
          <w:sz w:val="18"/>
          <w:szCs w:val="18"/>
        </w:rPr>
        <w:t>rotor action area</w:t>
      </w:r>
    </w:p>
    <w:p w14:paraId="4F08F190" w14:textId="77777777" w:rsidR="008715BE" w:rsidRPr="00EC75B7" w:rsidRDefault="00000000">
      <w:pPr>
        <w:pStyle w:val="BodyText"/>
        <w:spacing w:before="109"/>
        <w:ind w:left="777"/>
        <w:rPr>
          <w:rFonts w:ascii="Verdana" w:hAnsi="Verdana"/>
        </w:rPr>
      </w:pPr>
      <w:r w:rsidRPr="00EC75B7">
        <w:rPr>
          <w:rFonts w:ascii="Verdana" w:hAnsi="Verdana"/>
          <w:spacing w:val="-2"/>
        </w:rPr>
        <w:t>eolian</w:t>
      </w:r>
    </w:p>
    <w:p w14:paraId="2527F65C" w14:textId="77777777" w:rsidR="008715BE" w:rsidRPr="00EC75B7" w:rsidRDefault="008715BE">
      <w:pPr>
        <w:pStyle w:val="BodyText"/>
        <w:spacing w:before="48"/>
        <w:rPr>
          <w:rFonts w:ascii="Verdana" w:hAnsi="Verdana"/>
        </w:rPr>
      </w:pPr>
    </w:p>
    <w:p w14:paraId="0922E11F" w14:textId="77777777" w:rsidR="008715BE" w:rsidRPr="00EC75B7" w:rsidRDefault="00000000">
      <w:pPr>
        <w:pStyle w:val="Heading5"/>
        <w:tabs>
          <w:tab w:val="left" w:pos="3737"/>
          <w:tab w:val="left" w:pos="9810"/>
        </w:tabs>
        <w:ind w:left="28"/>
        <w:jc w:val="left"/>
        <w:rPr>
          <w:rFonts w:ascii="Verdana" w:hAnsi="Verdana"/>
        </w:rPr>
      </w:pPr>
      <w:r w:rsidRPr="00EC75B7">
        <w:rPr>
          <w:rFonts w:ascii="Verdana" w:hAnsi="Verdana"/>
          <w:color w:val="000000"/>
          <w:shd w:val="clear" w:color="auto" w:fill="7BB455"/>
        </w:rPr>
        <w:tab/>
        <w:t xml:space="preserve">n x ( Vr / Vw ) </w:t>
      </w:r>
      <w:r w:rsidRPr="00EC75B7">
        <w:rPr>
          <w:rFonts w:ascii="Verdana" w:hAnsi="Verdana"/>
          <w:color w:val="000000"/>
          <w:spacing w:val="-5"/>
          <w:shd w:val="clear" w:color="auto" w:fill="7BB455"/>
        </w:rPr>
        <w:t>bird-sec</w:t>
      </w:r>
      <w:r w:rsidRPr="00EC75B7">
        <w:rPr>
          <w:rFonts w:ascii="Verdana" w:hAnsi="Verdana"/>
          <w:color w:val="000000"/>
          <w:shd w:val="clear" w:color="auto" w:fill="7BB455"/>
        </w:rPr>
        <w:tab/>
      </w:r>
    </w:p>
    <w:p w14:paraId="1A23107F" w14:textId="77777777" w:rsidR="008715BE" w:rsidRPr="00EC75B7" w:rsidRDefault="00000000">
      <w:pPr>
        <w:pStyle w:val="ListParagraph"/>
        <w:numPr>
          <w:ilvl w:val="2"/>
          <w:numId w:val="5"/>
        </w:numPr>
        <w:tabs>
          <w:tab w:val="left" w:pos="775"/>
        </w:tabs>
        <w:spacing w:before="121"/>
        <w:ind w:left="775" w:hanging="358"/>
        <w:rPr>
          <w:rFonts w:ascii="Verdana" w:hAnsi="Verdana"/>
          <w:sz w:val="18"/>
          <w:szCs w:val="18"/>
        </w:rPr>
      </w:pPr>
      <w:r w:rsidRPr="00EC75B7">
        <w:rPr>
          <w:rFonts w:ascii="Verdana" w:hAnsi="Verdana"/>
          <w:sz w:val="18"/>
          <w:szCs w:val="18"/>
        </w:rPr>
        <w:t xml:space="preserve">Calculating the time required for a bird to make a complete transit through </w:t>
      </w:r>
      <w:r w:rsidRPr="00EC75B7">
        <w:rPr>
          <w:rFonts w:ascii="Verdana" w:hAnsi="Verdana"/>
          <w:spacing w:val="-2"/>
          <w:sz w:val="18"/>
          <w:szCs w:val="18"/>
        </w:rPr>
        <w:t>the rotor:</w:t>
      </w:r>
    </w:p>
    <w:p w14:paraId="4E3C8E62" w14:textId="77777777" w:rsidR="008715BE" w:rsidRPr="00EC75B7" w:rsidRDefault="00000000">
      <w:pPr>
        <w:tabs>
          <w:tab w:val="left" w:pos="2232"/>
          <w:tab w:val="left" w:pos="9810"/>
        </w:tabs>
        <w:spacing w:before="160"/>
        <w:ind w:left="28"/>
        <w:rPr>
          <w:rFonts w:ascii="Verdana" w:hAnsi="Verdana"/>
          <w:sz w:val="18"/>
          <w:szCs w:val="18"/>
        </w:rPr>
      </w:pPr>
      <w:r w:rsidRPr="00EC75B7">
        <w:rPr>
          <w:rFonts w:ascii="Verdana" w:hAnsi="Verdana"/>
          <w:b/>
          <w:color w:val="000000"/>
          <w:sz w:val="18"/>
          <w:szCs w:val="18"/>
          <w:shd w:val="clear" w:color="auto" w:fill="7BB455"/>
        </w:rPr>
        <w:tab/>
        <w:t xml:space="preserve">t = (d + l ) / v </w:t>
      </w:r>
      <w:r w:rsidRPr="00EC75B7">
        <w:rPr>
          <w:rFonts w:ascii="Verdana" w:hAnsi="Verdana"/>
          <w:color w:val="000000"/>
          <w:sz w:val="18"/>
          <w:szCs w:val="18"/>
          <w:shd w:val="clear" w:color="auto" w:fill="7BB455"/>
        </w:rPr>
        <w:t xml:space="preserve">where v m/sec is the speed of the bird through </w:t>
      </w:r>
      <w:r w:rsidRPr="00EC75B7">
        <w:rPr>
          <w:rFonts w:ascii="Verdana" w:hAnsi="Verdana"/>
          <w:color w:val="000000"/>
          <w:spacing w:val="-2"/>
          <w:sz w:val="18"/>
          <w:szCs w:val="18"/>
          <w:shd w:val="clear" w:color="auto" w:fill="7BB455"/>
        </w:rPr>
        <w:t>the rotor</w:t>
      </w:r>
      <w:r w:rsidRPr="00EC75B7">
        <w:rPr>
          <w:rFonts w:ascii="Verdana" w:hAnsi="Verdana"/>
          <w:color w:val="000000"/>
          <w:sz w:val="18"/>
          <w:szCs w:val="18"/>
          <w:shd w:val="clear" w:color="auto" w:fill="7BB455"/>
        </w:rPr>
        <w:tab/>
      </w:r>
    </w:p>
    <w:p w14:paraId="042F32ED" w14:textId="77777777" w:rsidR="008715BE" w:rsidRPr="00EC75B7" w:rsidRDefault="008715BE">
      <w:pPr>
        <w:pStyle w:val="BodyText"/>
        <w:spacing w:before="41"/>
        <w:rPr>
          <w:rFonts w:ascii="Verdana" w:hAnsi="Verdana"/>
        </w:rPr>
      </w:pPr>
    </w:p>
    <w:p w14:paraId="21C1621A" w14:textId="77777777" w:rsidR="008715BE" w:rsidRPr="00EC75B7" w:rsidRDefault="00000000">
      <w:pPr>
        <w:pStyle w:val="ListParagraph"/>
        <w:numPr>
          <w:ilvl w:val="2"/>
          <w:numId w:val="5"/>
        </w:numPr>
        <w:tabs>
          <w:tab w:val="left" w:pos="775"/>
          <w:tab w:val="left" w:pos="777"/>
        </w:tabs>
        <w:spacing w:line="357" w:lineRule="auto"/>
        <w:ind w:right="291"/>
        <w:rPr>
          <w:rFonts w:ascii="Verdana" w:hAnsi="Verdana"/>
          <w:sz w:val="18"/>
          <w:szCs w:val="18"/>
        </w:rPr>
      </w:pPr>
      <w:r w:rsidRPr="00EC75B7">
        <w:rPr>
          <w:rFonts w:ascii="Verdana" w:hAnsi="Verdana"/>
          <w:sz w:val="18"/>
          <w:szCs w:val="18"/>
        </w:rPr>
        <w:t>Calculation of the number of bird passages through the rotors, dividing the total occupancy of the wind farm rotor action area in bird-seconds by the transit time t</w:t>
      </w:r>
    </w:p>
    <w:p w14:paraId="12DD352C" w14:textId="77777777" w:rsidR="008715BE" w:rsidRPr="00EC75B7" w:rsidRDefault="008715BE">
      <w:pPr>
        <w:pStyle w:val="BodyText"/>
        <w:spacing w:before="200"/>
        <w:rPr>
          <w:rFonts w:ascii="Verdana" w:hAnsi="Verdana"/>
        </w:rPr>
      </w:pPr>
    </w:p>
    <w:p w14:paraId="4B4D9587" w14:textId="77777777" w:rsidR="008715BE" w:rsidRPr="00EC75B7" w:rsidRDefault="00000000">
      <w:pPr>
        <w:tabs>
          <w:tab w:val="left" w:pos="1920"/>
          <w:tab w:val="left" w:pos="9810"/>
        </w:tabs>
        <w:ind w:left="28"/>
        <w:rPr>
          <w:rFonts w:ascii="Verdana" w:hAnsi="Verdana"/>
          <w:b/>
          <w:sz w:val="18"/>
          <w:szCs w:val="18"/>
        </w:rPr>
      </w:pPr>
      <w:r w:rsidRPr="00EC75B7">
        <w:rPr>
          <w:rFonts w:ascii="Verdana" w:hAnsi="Verdana"/>
          <w:color w:val="000000"/>
          <w:sz w:val="18"/>
          <w:szCs w:val="18"/>
          <w:shd w:val="clear" w:color="auto" w:fill="7BB455"/>
        </w:rPr>
        <w:tab/>
      </w:r>
      <w:r w:rsidRPr="00EC75B7">
        <w:rPr>
          <w:rFonts w:ascii="Verdana" w:hAnsi="Verdana"/>
          <w:b/>
          <w:color w:val="000000"/>
          <w:sz w:val="18"/>
          <w:szCs w:val="18"/>
          <w:shd w:val="clear" w:color="auto" w:fill="7BB455"/>
        </w:rPr>
        <w:t xml:space="preserve">Number of birds passing through the rotors = n x ( Vr / Vw ) </w:t>
      </w:r>
      <w:r w:rsidRPr="00EC75B7">
        <w:rPr>
          <w:rFonts w:ascii="Verdana" w:hAnsi="Verdana"/>
          <w:b/>
          <w:color w:val="000000"/>
          <w:spacing w:val="-10"/>
          <w:sz w:val="18"/>
          <w:szCs w:val="18"/>
          <w:shd w:val="clear" w:color="auto" w:fill="7BB455"/>
        </w:rPr>
        <w:t>t</w:t>
      </w:r>
      <w:r w:rsidRPr="00EC75B7">
        <w:rPr>
          <w:rFonts w:ascii="Verdana" w:hAnsi="Verdana"/>
          <w:b/>
          <w:color w:val="000000"/>
          <w:sz w:val="18"/>
          <w:szCs w:val="18"/>
          <w:shd w:val="clear" w:color="auto" w:fill="7BB455"/>
        </w:rPr>
        <w:tab/>
      </w:r>
    </w:p>
    <w:p w14:paraId="7A6E2CE3" w14:textId="77777777" w:rsidR="008715BE" w:rsidRPr="00EC75B7" w:rsidRDefault="008715BE">
      <w:pPr>
        <w:pStyle w:val="BodyText"/>
        <w:spacing w:before="82"/>
        <w:rPr>
          <w:rFonts w:ascii="Verdana" w:hAnsi="Verdana"/>
          <w:b/>
        </w:rPr>
      </w:pPr>
    </w:p>
    <w:p w14:paraId="6FBD004A" w14:textId="77777777" w:rsidR="008715BE" w:rsidRPr="00EC75B7" w:rsidRDefault="00000000">
      <w:pPr>
        <w:pStyle w:val="BodyText"/>
        <w:ind w:left="57"/>
        <w:rPr>
          <w:rFonts w:ascii="Verdana" w:hAnsi="Verdana"/>
        </w:rPr>
      </w:pPr>
      <w:r w:rsidRPr="00EC75B7">
        <w:rPr>
          <w:rFonts w:ascii="Verdana" w:hAnsi="Verdana"/>
        </w:rPr>
        <w:t xml:space="preserve">In the case of the Cerchezu wind farm, the following input data were </w:t>
      </w:r>
      <w:r w:rsidRPr="00EC75B7">
        <w:rPr>
          <w:rFonts w:ascii="Verdana" w:hAnsi="Verdana"/>
          <w:spacing w:val="-2"/>
        </w:rPr>
        <w:t>used:</w:t>
      </w:r>
    </w:p>
    <w:p w14:paraId="40C11297" w14:textId="77777777" w:rsidR="008715BE" w:rsidRPr="00EC75B7" w:rsidRDefault="008715BE">
      <w:pPr>
        <w:pStyle w:val="BodyText"/>
        <w:rPr>
          <w:rFonts w:ascii="Verdana" w:hAnsi="Verdana"/>
        </w:rPr>
        <w:sectPr w:rsidR="008715BE" w:rsidRPr="00EC75B7">
          <w:pgSz w:w="11910" w:h="16840"/>
          <w:pgMar w:top="1320" w:right="708" w:bottom="1020" w:left="1133" w:header="766" w:footer="824" w:gutter="0"/>
          <w:cols w:space="708"/>
        </w:sectPr>
      </w:pPr>
    </w:p>
    <w:p w14:paraId="49F30080" w14:textId="77777777" w:rsidR="008715BE" w:rsidRPr="00EC75B7" w:rsidRDefault="008715BE">
      <w:pPr>
        <w:pStyle w:val="BodyText"/>
        <w:spacing w:before="139"/>
        <w:rPr>
          <w:rFonts w:ascii="Verdana" w:hAnsi="Verdana"/>
        </w:rPr>
      </w:pPr>
    </w:p>
    <w:p w14:paraId="0A66F995" w14:textId="77777777" w:rsidR="008715BE" w:rsidRPr="00EC75B7" w:rsidRDefault="00000000">
      <w:pPr>
        <w:pStyle w:val="ListParagraph"/>
        <w:numPr>
          <w:ilvl w:val="3"/>
          <w:numId w:val="5"/>
        </w:numPr>
        <w:tabs>
          <w:tab w:val="left" w:pos="777"/>
        </w:tabs>
        <w:rPr>
          <w:rFonts w:ascii="Verdana" w:hAnsi="Verdana"/>
          <w:sz w:val="18"/>
          <w:szCs w:val="18"/>
        </w:rPr>
      </w:pPr>
      <w:r w:rsidRPr="00EC75B7">
        <w:rPr>
          <w:rFonts w:ascii="Verdana" w:hAnsi="Verdana"/>
          <w:sz w:val="18"/>
          <w:szCs w:val="18"/>
        </w:rPr>
        <w:t xml:space="preserve">Maximum height of wind turbines: 170 </w:t>
      </w:r>
      <w:r w:rsidRPr="00EC75B7">
        <w:rPr>
          <w:rFonts w:ascii="Verdana" w:hAnsi="Verdana"/>
          <w:spacing w:val="-5"/>
          <w:sz w:val="18"/>
          <w:szCs w:val="18"/>
        </w:rPr>
        <w:t>m;</w:t>
      </w:r>
    </w:p>
    <w:p w14:paraId="2B817CC2" w14:textId="77777777" w:rsidR="008715BE" w:rsidRPr="00EC75B7" w:rsidRDefault="00000000">
      <w:pPr>
        <w:pStyle w:val="ListParagraph"/>
        <w:numPr>
          <w:ilvl w:val="3"/>
          <w:numId w:val="5"/>
        </w:numPr>
        <w:tabs>
          <w:tab w:val="left" w:pos="777"/>
        </w:tabs>
        <w:spacing w:before="106"/>
        <w:rPr>
          <w:rFonts w:ascii="Verdana" w:hAnsi="Verdana"/>
          <w:sz w:val="18"/>
          <w:szCs w:val="18"/>
        </w:rPr>
      </w:pPr>
      <w:r w:rsidRPr="00EC75B7">
        <w:rPr>
          <w:rFonts w:ascii="Verdana" w:hAnsi="Verdana"/>
          <w:sz w:val="18"/>
          <w:szCs w:val="18"/>
        </w:rPr>
        <w:t xml:space="preserve">Wind farm area – 82354461 </w:t>
      </w:r>
      <w:r w:rsidRPr="00EC75B7">
        <w:rPr>
          <w:rFonts w:ascii="Verdana" w:hAnsi="Verdana"/>
          <w:spacing w:val="-5"/>
          <w:sz w:val="18"/>
          <w:szCs w:val="18"/>
        </w:rPr>
        <w:t>m</w:t>
      </w:r>
      <w:r w:rsidRPr="00EC75B7">
        <w:rPr>
          <w:rFonts w:ascii="Verdana" w:hAnsi="Verdana"/>
          <w:spacing w:val="-5"/>
          <w:position w:val="6"/>
          <w:sz w:val="18"/>
          <w:szCs w:val="18"/>
        </w:rPr>
        <w:t>3</w:t>
      </w:r>
      <w:r w:rsidRPr="00EC75B7">
        <w:rPr>
          <w:rFonts w:ascii="Verdana" w:hAnsi="Verdana"/>
          <w:spacing w:val="-5"/>
          <w:sz w:val="18"/>
          <w:szCs w:val="18"/>
        </w:rPr>
        <w:t xml:space="preserve"> ;</w:t>
      </w:r>
    </w:p>
    <w:p w14:paraId="219BD7B9" w14:textId="77777777" w:rsidR="008715BE" w:rsidRPr="00EC75B7" w:rsidRDefault="00000000">
      <w:pPr>
        <w:pStyle w:val="ListParagraph"/>
        <w:numPr>
          <w:ilvl w:val="3"/>
          <w:numId w:val="5"/>
        </w:numPr>
        <w:tabs>
          <w:tab w:val="left" w:pos="777"/>
        </w:tabs>
        <w:spacing w:before="107"/>
        <w:rPr>
          <w:rFonts w:ascii="Verdana" w:hAnsi="Verdana"/>
          <w:sz w:val="18"/>
          <w:szCs w:val="18"/>
        </w:rPr>
      </w:pPr>
      <w:r w:rsidRPr="00EC75B7">
        <w:rPr>
          <w:rFonts w:ascii="Verdana" w:hAnsi="Verdana"/>
          <w:sz w:val="18"/>
          <w:szCs w:val="18"/>
        </w:rPr>
        <w:t xml:space="preserve">"Flight risk volume" (Vw) – 16965019042 </w:t>
      </w:r>
      <w:r w:rsidRPr="00EC75B7">
        <w:rPr>
          <w:rFonts w:ascii="Verdana" w:hAnsi="Verdana"/>
          <w:spacing w:val="-5"/>
          <w:position w:val="6"/>
          <w:sz w:val="18"/>
          <w:szCs w:val="18"/>
        </w:rPr>
        <w:t>m³</w:t>
      </w:r>
      <w:r w:rsidRPr="00EC75B7">
        <w:rPr>
          <w:rFonts w:ascii="Verdana" w:hAnsi="Verdana"/>
          <w:spacing w:val="-5"/>
          <w:sz w:val="18"/>
          <w:szCs w:val="18"/>
        </w:rPr>
        <w:t>;</w:t>
      </w:r>
    </w:p>
    <w:p w14:paraId="72AFA55A" w14:textId="77777777" w:rsidR="008715BE" w:rsidRPr="00EC75B7" w:rsidRDefault="00000000">
      <w:pPr>
        <w:pStyle w:val="ListParagraph"/>
        <w:numPr>
          <w:ilvl w:val="3"/>
          <w:numId w:val="5"/>
        </w:numPr>
        <w:tabs>
          <w:tab w:val="left" w:pos="777"/>
        </w:tabs>
        <w:spacing w:before="106"/>
        <w:rPr>
          <w:rFonts w:ascii="Verdana" w:hAnsi="Verdana"/>
          <w:sz w:val="18"/>
          <w:szCs w:val="18"/>
        </w:rPr>
      </w:pPr>
      <w:r w:rsidRPr="00EC75B7">
        <w:rPr>
          <w:rFonts w:ascii="Verdana" w:hAnsi="Verdana"/>
          <w:sz w:val="18"/>
          <w:szCs w:val="18"/>
        </w:rPr>
        <w:t xml:space="preserve">Rotor radius (R): 56 </w:t>
      </w:r>
      <w:r w:rsidRPr="00EC75B7">
        <w:rPr>
          <w:rFonts w:ascii="Verdana" w:hAnsi="Verdana"/>
          <w:spacing w:val="-7"/>
          <w:sz w:val="18"/>
          <w:szCs w:val="18"/>
        </w:rPr>
        <w:t>m;</w:t>
      </w:r>
    </w:p>
    <w:p w14:paraId="57676308" w14:textId="77777777" w:rsidR="008715BE" w:rsidRPr="00EC75B7" w:rsidRDefault="00000000">
      <w:pPr>
        <w:pStyle w:val="ListParagraph"/>
        <w:numPr>
          <w:ilvl w:val="3"/>
          <w:numId w:val="5"/>
        </w:numPr>
        <w:tabs>
          <w:tab w:val="left" w:pos="777"/>
        </w:tabs>
        <w:spacing w:before="109"/>
        <w:rPr>
          <w:rFonts w:ascii="Verdana" w:hAnsi="Verdana"/>
          <w:sz w:val="18"/>
          <w:szCs w:val="18"/>
        </w:rPr>
      </w:pPr>
      <w:r w:rsidRPr="00EC75B7">
        <w:rPr>
          <w:rFonts w:ascii="Verdana" w:hAnsi="Verdana"/>
          <w:sz w:val="18"/>
          <w:szCs w:val="18"/>
        </w:rPr>
        <w:t xml:space="preserve">Rotor depth (d) – 4 </w:t>
      </w:r>
      <w:r w:rsidRPr="00EC75B7">
        <w:rPr>
          <w:rFonts w:ascii="Verdana" w:hAnsi="Verdana"/>
          <w:spacing w:val="-5"/>
          <w:sz w:val="18"/>
          <w:szCs w:val="18"/>
        </w:rPr>
        <w:t>m.</w:t>
      </w:r>
    </w:p>
    <w:p w14:paraId="344F1521" w14:textId="77777777" w:rsidR="008715BE" w:rsidRPr="00EC75B7" w:rsidRDefault="00000000">
      <w:pPr>
        <w:pStyle w:val="BodyText"/>
        <w:spacing w:before="109" w:line="360" w:lineRule="auto"/>
        <w:ind w:left="57" w:right="64"/>
        <w:rPr>
          <w:rFonts w:ascii="Verdana" w:hAnsi="Verdana"/>
        </w:rPr>
      </w:pPr>
      <w:r w:rsidRPr="00EC75B7">
        <w:rPr>
          <w:rFonts w:ascii="Verdana" w:hAnsi="Verdana"/>
        </w:rPr>
        <w:t>The second step, regardless of the calculation model used, was to calculate the probability of the bird being struck when flying through the rotor area.</w:t>
      </w:r>
    </w:p>
    <w:p w14:paraId="58EA6A0E" w14:textId="77777777" w:rsidR="008715BE" w:rsidRPr="00EC75B7" w:rsidRDefault="008715BE">
      <w:pPr>
        <w:pStyle w:val="BodyText"/>
        <w:spacing w:before="186"/>
        <w:rPr>
          <w:rFonts w:ascii="Verdana" w:hAnsi="Verdana"/>
        </w:rPr>
      </w:pPr>
    </w:p>
    <w:p w14:paraId="33F37779" w14:textId="02F7B89C" w:rsidR="008715BE" w:rsidRPr="00EC75B7" w:rsidRDefault="00000000" w:rsidP="00E90322">
      <w:pPr>
        <w:tabs>
          <w:tab w:val="left" w:pos="9810"/>
        </w:tabs>
        <w:spacing w:before="1"/>
        <w:ind w:left="57"/>
        <w:jc w:val="center"/>
        <w:rPr>
          <w:rFonts w:ascii="Verdana" w:hAnsi="Verdana"/>
          <w:b/>
          <w:bCs/>
          <w:sz w:val="18"/>
          <w:szCs w:val="18"/>
        </w:rPr>
      </w:pPr>
      <w:r w:rsidRPr="00EC75B7">
        <w:rPr>
          <w:rFonts w:ascii="Verdana" w:hAnsi="Verdana"/>
          <w:color w:val="000000"/>
          <w:sz w:val="18"/>
          <w:szCs w:val="18"/>
          <w:shd w:val="clear" w:color="auto" w:fill="7BB455"/>
        </w:rPr>
        <w:t xml:space="preserve">Total probability = </w:t>
      </w:r>
      <w:r w:rsidRPr="00EC75B7">
        <w:rPr>
          <w:rFonts w:ascii="Verdana" w:hAnsi="Verdana"/>
          <w:b/>
          <w:bCs/>
          <w:color w:val="000000"/>
          <w:sz w:val="18"/>
          <w:szCs w:val="18"/>
          <w:shd w:val="clear" w:color="auto" w:fill="7BB455"/>
        </w:rPr>
        <w:t>(1/πR</w:t>
      </w:r>
      <w:r w:rsidRPr="00EC75B7">
        <w:rPr>
          <w:rFonts w:ascii="Verdana" w:hAnsi="Verdana"/>
          <w:b/>
          <w:bCs/>
          <w:color w:val="000000"/>
          <w:position w:val="6"/>
          <w:sz w:val="18"/>
          <w:szCs w:val="18"/>
          <w:shd w:val="clear" w:color="auto" w:fill="7BB455"/>
        </w:rPr>
        <w:t>2</w:t>
      </w:r>
      <w:r w:rsidRPr="00EC75B7">
        <w:rPr>
          <w:rFonts w:ascii="Verdana" w:hAnsi="Verdana"/>
          <w:b/>
          <w:bCs/>
          <w:color w:val="000000"/>
          <w:sz w:val="18"/>
          <w:szCs w:val="18"/>
          <w:shd w:val="clear" w:color="auto" w:fill="7BB455"/>
        </w:rPr>
        <w:t xml:space="preserve"> ) // p(r, </w:t>
      </w:r>
      <w:r w:rsidRPr="00EC75B7">
        <w:rPr>
          <w:b/>
          <w:bCs/>
          <w:color w:val="000000"/>
          <w:sz w:val="18"/>
          <w:szCs w:val="18"/>
          <w:shd w:val="clear" w:color="auto" w:fill="7BB455"/>
        </w:rPr>
        <w:t>ϕ</w:t>
      </w:r>
      <w:r w:rsidRPr="00EC75B7">
        <w:rPr>
          <w:rFonts w:ascii="Verdana" w:hAnsi="Verdana"/>
          <w:b/>
          <w:bCs/>
          <w:color w:val="000000"/>
          <w:sz w:val="18"/>
          <w:szCs w:val="18"/>
          <w:shd w:val="clear" w:color="auto" w:fill="7BB455"/>
        </w:rPr>
        <w:t xml:space="preserve">) r dr </w:t>
      </w:r>
      <w:r w:rsidRPr="00EC75B7">
        <w:rPr>
          <w:rFonts w:ascii="Verdana" w:hAnsi="Verdana"/>
          <w:b/>
          <w:bCs/>
          <w:color w:val="000000"/>
          <w:spacing w:val="-7"/>
          <w:sz w:val="18"/>
          <w:szCs w:val="18"/>
          <w:shd w:val="clear" w:color="auto" w:fill="7BB455"/>
        </w:rPr>
        <w:t>d</w:t>
      </w:r>
      <w:r w:rsidRPr="00EC75B7">
        <w:rPr>
          <w:b/>
          <w:bCs/>
          <w:color w:val="000000"/>
          <w:spacing w:val="-7"/>
          <w:sz w:val="18"/>
          <w:szCs w:val="18"/>
          <w:shd w:val="clear" w:color="auto" w:fill="7BB455"/>
        </w:rPr>
        <w:t>ϕ</w:t>
      </w:r>
    </w:p>
    <w:p w14:paraId="1E3B3560" w14:textId="77777777" w:rsidR="008715BE" w:rsidRPr="00EC75B7" w:rsidRDefault="008715BE">
      <w:pPr>
        <w:pStyle w:val="BodyText"/>
        <w:spacing w:before="47"/>
        <w:rPr>
          <w:rFonts w:ascii="Verdana" w:hAnsi="Verdana"/>
          <w:b/>
        </w:rPr>
      </w:pPr>
    </w:p>
    <w:p w14:paraId="607B643D" w14:textId="77777777" w:rsidR="008715BE" w:rsidRPr="00EC75B7" w:rsidRDefault="00000000">
      <w:pPr>
        <w:pStyle w:val="BodyText"/>
        <w:ind w:left="57"/>
        <w:rPr>
          <w:rFonts w:ascii="Verdana" w:hAnsi="Verdana"/>
        </w:rPr>
      </w:pPr>
      <w:r w:rsidRPr="00EC75B7">
        <w:rPr>
          <w:rFonts w:ascii="Verdana" w:hAnsi="Verdana"/>
          <w:spacing w:val="-4"/>
        </w:rPr>
        <w:t>And,</w:t>
      </w:r>
    </w:p>
    <w:p w14:paraId="78C1531F" w14:textId="77777777" w:rsidR="008715BE" w:rsidRPr="00EC75B7" w:rsidRDefault="00000000">
      <w:pPr>
        <w:pStyle w:val="BodyText"/>
        <w:spacing w:before="109"/>
        <w:ind w:left="57"/>
        <w:rPr>
          <w:rFonts w:ascii="Verdana" w:hAnsi="Verdana"/>
        </w:rPr>
      </w:pPr>
      <w:r w:rsidRPr="00EC75B7">
        <w:rPr>
          <w:rFonts w:ascii="Verdana" w:hAnsi="Verdana"/>
        </w:rPr>
        <w:t xml:space="preserve">Probability </w:t>
      </w:r>
      <w:r w:rsidRPr="00EC75B7">
        <w:rPr>
          <w:rFonts w:ascii="Verdana" w:hAnsi="Verdana"/>
          <w:b/>
        </w:rPr>
        <w:t xml:space="preserve">p </w:t>
      </w:r>
      <w:r w:rsidRPr="00EC75B7">
        <w:rPr>
          <w:rFonts w:ascii="Verdana" w:hAnsi="Verdana"/>
        </w:rPr>
        <w:t xml:space="preserve">of collision for a bird at a radius </w:t>
      </w:r>
      <w:r w:rsidRPr="00EC75B7">
        <w:rPr>
          <w:rFonts w:ascii="Verdana" w:hAnsi="Verdana"/>
          <w:b/>
        </w:rPr>
        <w:t xml:space="preserve">r </w:t>
      </w:r>
      <w:r w:rsidRPr="00EC75B7">
        <w:rPr>
          <w:rFonts w:ascii="Verdana" w:hAnsi="Verdana"/>
        </w:rPr>
        <w:t xml:space="preserve">from </w:t>
      </w:r>
      <w:r w:rsidRPr="00EC75B7">
        <w:rPr>
          <w:rFonts w:ascii="Verdana" w:hAnsi="Verdana"/>
          <w:spacing w:val="-2"/>
        </w:rPr>
        <w:t>the hub</w:t>
      </w:r>
    </w:p>
    <w:p w14:paraId="2B9EB9BC" w14:textId="4FD6B27D" w:rsidR="008715BE" w:rsidRPr="00EC75B7" w:rsidRDefault="00000000" w:rsidP="00E90322">
      <w:pPr>
        <w:tabs>
          <w:tab w:val="left" w:pos="417"/>
          <w:tab w:val="left" w:pos="9810"/>
        </w:tabs>
        <w:spacing w:before="47" w:line="369" w:lineRule="exact"/>
        <w:ind w:left="28"/>
        <w:jc w:val="center"/>
        <w:rPr>
          <w:rFonts w:ascii="Verdana" w:hAnsi="Verdana"/>
          <w:sz w:val="18"/>
          <w:szCs w:val="18"/>
        </w:rPr>
      </w:pPr>
      <w:r w:rsidRPr="00EC75B7">
        <w:rPr>
          <w:rFonts w:ascii="Verdana" w:hAnsi="Verdana"/>
          <w:color w:val="000000"/>
          <w:sz w:val="18"/>
          <w:szCs w:val="18"/>
          <w:shd w:val="clear" w:color="auto" w:fill="7BB455"/>
        </w:rPr>
        <w:t xml:space="preserve">p(r) = ( bΩ/2πv ) [ K | ± c sinγ + α c cosγ | + l for α &lt; </w:t>
      </w:r>
      <w:r w:rsidRPr="00EC75B7">
        <w:rPr>
          <w:rFonts w:ascii="Verdana" w:hAnsi="Verdana"/>
          <w:color w:val="000000"/>
          <w:spacing w:val="-10"/>
          <w:sz w:val="18"/>
          <w:szCs w:val="18"/>
          <w:shd w:val="clear" w:color="auto" w:fill="7BB455"/>
        </w:rPr>
        <w:t>β</w:t>
      </w:r>
    </w:p>
    <w:p w14:paraId="03482350" w14:textId="77777777" w:rsidR="008715BE" w:rsidRPr="00EC75B7" w:rsidRDefault="00000000">
      <w:pPr>
        <w:spacing w:line="369" w:lineRule="exact"/>
        <w:ind w:left="1104" w:right="226"/>
        <w:jc w:val="center"/>
        <w:rPr>
          <w:rFonts w:ascii="Verdana" w:hAnsi="Verdana"/>
          <w:sz w:val="18"/>
          <w:szCs w:val="18"/>
        </w:rPr>
      </w:pPr>
      <w:r w:rsidRPr="00EC75B7">
        <w:rPr>
          <w:rFonts w:ascii="Verdana" w:hAnsi="Verdana"/>
          <w:sz w:val="18"/>
          <w:szCs w:val="18"/>
        </w:rPr>
        <w:t xml:space="preserve">w α F for α &gt; </w:t>
      </w:r>
      <w:r w:rsidRPr="00EC75B7">
        <w:rPr>
          <w:rFonts w:ascii="Verdana" w:hAnsi="Verdana"/>
          <w:spacing w:val="-10"/>
          <w:sz w:val="18"/>
          <w:szCs w:val="18"/>
        </w:rPr>
        <w:t xml:space="preserve">β </w:t>
      </w:r>
    </w:p>
    <w:p w14:paraId="017F6884" w14:textId="77777777" w:rsidR="008715BE" w:rsidRPr="00EC75B7" w:rsidRDefault="00000000">
      <w:pPr>
        <w:pStyle w:val="BodyText"/>
        <w:spacing w:before="33"/>
        <w:ind w:left="417"/>
        <w:rPr>
          <w:rFonts w:ascii="Verdana" w:hAnsi="Verdana"/>
        </w:rPr>
      </w:pPr>
      <w:r w:rsidRPr="00EC75B7">
        <w:rPr>
          <w:rFonts w:ascii="Verdana" w:hAnsi="Verdana"/>
        </w:rPr>
        <w:t xml:space="preserve">where b = number of blades in </w:t>
      </w:r>
      <w:r w:rsidRPr="00EC75B7">
        <w:rPr>
          <w:rFonts w:ascii="Verdana" w:hAnsi="Verdana"/>
          <w:spacing w:val="-4"/>
        </w:rPr>
        <w:t>the rotor</w:t>
      </w:r>
    </w:p>
    <w:p w14:paraId="0FD94921" w14:textId="77777777" w:rsidR="008715BE" w:rsidRPr="00EC75B7" w:rsidRDefault="00000000">
      <w:pPr>
        <w:pStyle w:val="BodyText"/>
        <w:spacing w:before="42" w:line="283" w:lineRule="auto"/>
        <w:ind w:left="417" w:right="5423"/>
        <w:rPr>
          <w:rFonts w:ascii="Verdana" w:hAnsi="Verdana"/>
        </w:rPr>
      </w:pPr>
      <w:r w:rsidRPr="00EC75B7">
        <w:rPr>
          <w:rFonts w:ascii="Verdana" w:hAnsi="Verdana"/>
        </w:rPr>
        <w:t>Ω = angular velocity of the rotor (radians/sec) c = chord width of the blade</w:t>
      </w:r>
    </w:p>
    <w:p w14:paraId="1DD731CE" w14:textId="77777777" w:rsidR="008715BE" w:rsidRPr="00EC75B7" w:rsidRDefault="00000000">
      <w:pPr>
        <w:pStyle w:val="BodyText"/>
        <w:ind w:left="417"/>
        <w:rPr>
          <w:rFonts w:ascii="Verdana" w:hAnsi="Verdana"/>
        </w:rPr>
      </w:pPr>
      <w:r w:rsidRPr="00EC75B7">
        <w:rPr>
          <w:rFonts w:ascii="Verdana" w:hAnsi="Verdana"/>
        </w:rPr>
        <w:t xml:space="preserve">γ = </w:t>
      </w:r>
      <w:r w:rsidRPr="00EC75B7">
        <w:rPr>
          <w:rFonts w:ascii="Verdana" w:hAnsi="Verdana"/>
          <w:spacing w:val="-4"/>
        </w:rPr>
        <w:t xml:space="preserve">blade </w:t>
      </w:r>
      <w:r w:rsidRPr="00EC75B7">
        <w:rPr>
          <w:rFonts w:ascii="Verdana" w:hAnsi="Verdana"/>
        </w:rPr>
        <w:t>pitch angle</w:t>
      </w:r>
    </w:p>
    <w:p w14:paraId="639E62BD" w14:textId="77777777" w:rsidR="008715BE" w:rsidRPr="00EC75B7" w:rsidRDefault="00000000">
      <w:pPr>
        <w:pStyle w:val="BodyText"/>
        <w:spacing w:before="41" w:line="219" w:lineRule="exact"/>
        <w:ind w:left="417"/>
        <w:rPr>
          <w:rFonts w:ascii="Verdana" w:hAnsi="Verdana"/>
        </w:rPr>
      </w:pPr>
      <w:r w:rsidRPr="00EC75B7">
        <w:rPr>
          <w:rFonts w:ascii="Verdana" w:hAnsi="Verdana"/>
        </w:rPr>
        <w:t xml:space="preserve">R = outer radius of </w:t>
      </w:r>
      <w:r w:rsidRPr="00EC75B7">
        <w:rPr>
          <w:rFonts w:ascii="Verdana" w:hAnsi="Verdana"/>
          <w:spacing w:val="-2"/>
        </w:rPr>
        <w:t>the rotor</w:t>
      </w:r>
    </w:p>
    <w:p w14:paraId="4E3ED3D6" w14:textId="77777777" w:rsidR="008715BE" w:rsidRPr="00EC75B7" w:rsidRDefault="00000000">
      <w:pPr>
        <w:pStyle w:val="BodyText"/>
        <w:spacing w:line="357" w:lineRule="auto"/>
        <w:ind w:left="57" w:right="287"/>
        <w:jc w:val="both"/>
        <w:rPr>
          <w:rFonts w:ascii="Verdana" w:hAnsi="Verdana"/>
        </w:rPr>
      </w:pPr>
      <w:r w:rsidRPr="00EC75B7">
        <w:rPr>
          <w:rFonts w:ascii="Verdana" w:hAnsi="Verdana"/>
        </w:rPr>
        <w:t>To obtain a more realistic collision risk value, both for model 1 and model 2, an avoidance rate recommended by Scottish National Heritage was taken into account: "Use of Avoidance Rates in the SNH Wind Farm Collision Risk Model."This avoidance rate is different for each species and is presented in the table in the following section.</w:t>
      </w:r>
    </w:p>
    <w:p w14:paraId="5B519727" w14:textId="77777777" w:rsidR="008715BE" w:rsidRPr="00EC75B7" w:rsidRDefault="008715BE">
      <w:pPr>
        <w:pStyle w:val="BodyText"/>
        <w:spacing w:line="357" w:lineRule="auto"/>
        <w:jc w:val="both"/>
        <w:rPr>
          <w:rFonts w:ascii="Verdana" w:hAnsi="Verdana"/>
        </w:rPr>
        <w:sectPr w:rsidR="008715BE" w:rsidRPr="00EC75B7">
          <w:pgSz w:w="11910" w:h="16840"/>
          <w:pgMar w:top="1320" w:right="708" w:bottom="1020" w:left="1133" w:header="766" w:footer="824" w:gutter="0"/>
          <w:cols w:space="708"/>
        </w:sectPr>
      </w:pPr>
    </w:p>
    <w:p w14:paraId="642087E9" w14:textId="77777777" w:rsidR="008715BE" w:rsidRPr="00EC75B7" w:rsidRDefault="008715BE">
      <w:pPr>
        <w:pStyle w:val="BodyText"/>
        <w:spacing w:before="334"/>
        <w:rPr>
          <w:rFonts w:ascii="Verdana" w:hAnsi="Verdana"/>
        </w:rPr>
      </w:pPr>
    </w:p>
    <w:p w14:paraId="4F0AE031" w14:textId="77777777" w:rsidR="008715BE" w:rsidRPr="00EC75B7" w:rsidRDefault="00000000">
      <w:pPr>
        <w:pStyle w:val="Heading1"/>
        <w:numPr>
          <w:ilvl w:val="0"/>
          <w:numId w:val="110"/>
        </w:numPr>
        <w:tabs>
          <w:tab w:val="left" w:pos="777"/>
        </w:tabs>
        <w:spacing w:before="1"/>
        <w:ind w:left="777" w:hanging="763"/>
        <w:jc w:val="left"/>
        <w:rPr>
          <w:rFonts w:ascii="Verdana" w:hAnsi="Verdana"/>
          <w:sz w:val="18"/>
          <w:szCs w:val="18"/>
        </w:rPr>
      </w:pPr>
      <w:bookmarkStart w:id="136" w:name="_bookmark134"/>
      <w:bookmarkEnd w:id="136"/>
      <w:r w:rsidRPr="00EC75B7">
        <w:rPr>
          <w:rFonts w:ascii="Verdana" w:hAnsi="Verdana"/>
          <w:color w:val="00AFEF"/>
          <w:spacing w:val="-2"/>
          <w:sz w:val="18"/>
          <w:szCs w:val="18"/>
        </w:rPr>
        <w:t xml:space="preserve">MEASURES TO AVOID AND REDUCE IMPACT </w:t>
      </w:r>
      <w:r w:rsidRPr="00EC75B7">
        <w:rPr>
          <w:rFonts w:ascii="Verdana" w:hAnsi="Verdana"/>
          <w:color w:val="00AFEF"/>
          <w:spacing w:val="-5"/>
          <w:sz w:val="18"/>
          <w:szCs w:val="18"/>
        </w:rPr>
        <w:t>AND</w:t>
      </w:r>
    </w:p>
    <w:p w14:paraId="6F479CE0" w14:textId="77777777" w:rsidR="008715BE" w:rsidRPr="00EC75B7" w:rsidRDefault="00000000">
      <w:pPr>
        <w:spacing w:before="167"/>
        <w:ind w:left="777"/>
        <w:rPr>
          <w:rFonts w:ascii="Verdana" w:hAnsi="Verdana"/>
          <w:b/>
          <w:sz w:val="18"/>
          <w:szCs w:val="18"/>
        </w:rPr>
      </w:pPr>
      <w:r w:rsidRPr="00EC75B7">
        <w:rPr>
          <w:rFonts w:ascii="Verdana" w:hAnsi="Verdana"/>
          <w:b/>
          <w:color w:val="00AFEF"/>
          <w:sz w:val="18"/>
          <w:szCs w:val="18"/>
        </w:rPr>
        <w:t xml:space="preserve">MONITORING – who is </w:t>
      </w:r>
      <w:r w:rsidRPr="00EC75B7">
        <w:rPr>
          <w:rFonts w:ascii="Verdana" w:hAnsi="Verdana"/>
          <w:b/>
          <w:color w:val="00AFEF"/>
          <w:spacing w:val="-2"/>
          <w:sz w:val="18"/>
          <w:szCs w:val="18"/>
        </w:rPr>
        <w:t xml:space="preserve">responsible </w:t>
      </w:r>
      <w:r w:rsidRPr="00EC75B7">
        <w:rPr>
          <w:rFonts w:ascii="Verdana" w:hAnsi="Verdana"/>
          <w:b/>
          <w:color w:val="00AFEF"/>
          <w:sz w:val="18"/>
          <w:szCs w:val="18"/>
        </w:rPr>
        <w:t>for each factor</w:t>
      </w:r>
    </w:p>
    <w:p w14:paraId="295A3EDA" w14:textId="77777777" w:rsidR="008715BE" w:rsidRPr="00EC75B7" w:rsidRDefault="008715BE">
      <w:pPr>
        <w:pStyle w:val="BodyText"/>
        <w:spacing w:before="62"/>
        <w:rPr>
          <w:rFonts w:ascii="Verdana" w:hAnsi="Verdana"/>
          <w:b/>
        </w:rPr>
      </w:pPr>
    </w:p>
    <w:p w14:paraId="062A063E" w14:textId="77777777" w:rsidR="008715BE" w:rsidRPr="00EC75B7" w:rsidRDefault="00000000">
      <w:pPr>
        <w:pStyle w:val="Heading2"/>
        <w:numPr>
          <w:ilvl w:val="1"/>
          <w:numId w:val="110"/>
        </w:numPr>
        <w:tabs>
          <w:tab w:val="left" w:pos="834"/>
        </w:tabs>
        <w:ind w:left="834" w:hanging="719"/>
        <w:jc w:val="left"/>
        <w:rPr>
          <w:rFonts w:ascii="Verdana" w:hAnsi="Verdana"/>
          <w:color w:val="00AFEF"/>
          <w:sz w:val="18"/>
          <w:szCs w:val="18"/>
        </w:rPr>
      </w:pPr>
      <w:bookmarkStart w:id="137" w:name="_bookmark135"/>
      <w:bookmarkEnd w:id="137"/>
      <w:r w:rsidRPr="00EC75B7">
        <w:rPr>
          <w:rFonts w:ascii="Verdana" w:hAnsi="Verdana"/>
          <w:color w:val="00AFEF"/>
          <w:sz w:val="18"/>
          <w:szCs w:val="18"/>
        </w:rPr>
        <w:t xml:space="preserve">Measures to avoid and reduce significant </w:t>
      </w:r>
      <w:r w:rsidRPr="00EC75B7">
        <w:rPr>
          <w:rFonts w:ascii="Verdana" w:hAnsi="Verdana"/>
          <w:color w:val="00AFEF"/>
          <w:spacing w:val="-2"/>
          <w:sz w:val="18"/>
          <w:szCs w:val="18"/>
        </w:rPr>
        <w:t xml:space="preserve">environmental </w:t>
      </w:r>
      <w:r w:rsidRPr="00EC75B7">
        <w:rPr>
          <w:rFonts w:ascii="Verdana" w:hAnsi="Verdana"/>
          <w:color w:val="00AFEF"/>
          <w:sz w:val="18"/>
          <w:szCs w:val="18"/>
        </w:rPr>
        <w:t>impact</w:t>
      </w:r>
    </w:p>
    <w:p w14:paraId="153E3239" w14:textId="77777777" w:rsidR="008715BE" w:rsidRPr="00EC75B7" w:rsidRDefault="008715BE">
      <w:pPr>
        <w:pStyle w:val="BodyText"/>
        <w:spacing w:before="101"/>
        <w:rPr>
          <w:rFonts w:ascii="Verdana" w:hAnsi="Verdana"/>
          <w:b/>
        </w:rPr>
      </w:pPr>
    </w:p>
    <w:p w14:paraId="0E1962F1" w14:textId="77777777" w:rsidR="008715BE" w:rsidRPr="00EC75B7" w:rsidRDefault="00000000">
      <w:pPr>
        <w:pStyle w:val="BodyText"/>
        <w:spacing w:line="357" w:lineRule="auto"/>
        <w:ind w:left="86" w:right="280"/>
        <w:jc w:val="both"/>
        <w:rPr>
          <w:rFonts w:ascii="Verdana" w:hAnsi="Verdana"/>
        </w:rPr>
      </w:pPr>
      <w:r w:rsidRPr="00EC75B7">
        <w:rPr>
          <w:rFonts w:ascii="Verdana" w:hAnsi="Verdana"/>
        </w:rPr>
        <w:t>Within the documentation, the analysis was structured according to each environmental component likely to be affected, considering the potential effects related to the construction phase, the operation phase and, where applicable, the decommissioning phase, and specific measures for avoidance, reduction and control were established for the effects identified as relevant. The measures applicable to limit the effects on biodiversity (including technical and operational conditions) are presented in detail in the chapter on the impact on biodiversity, as they represent preconditions for implementation, and their application is expected to reduce the intensity, duration, and extent of the initially estimated impacts.</w:t>
      </w:r>
    </w:p>
    <w:p w14:paraId="7EF56DCC" w14:textId="77777777" w:rsidR="008715BE" w:rsidRPr="00EC75B7" w:rsidRDefault="00000000">
      <w:pPr>
        <w:pStyle w:val="BodyText"/>
        <w:spacing w:before="126" w:line="357" w:lineRule="auto"/>
        <w:ind w:left="86" w:right="283"/>
        <w:jc w:val="both"/>
        <w:rPr>
          <w:rFonts w:ascii="Verdana" w:hAnsi="Verdana"/>
        </w:rPr>
      </w:pPr>
      <w:r w:rsidRPr="00EC75B7">
        <w:rPr>
          <w:rFonts w:ascii="Verdana" w:hAnsi="Verdana"/>
        </w:rPr>
        <w:t>The effects that may persist after the application of avoidance and mitigation measures are treated as residual impact, which at this stage can only be estimated based on the characteristics of the project, operating scenarios, and analyses performed. Confirming the effectiveness of the measures and verifying the level of residual impact requires the implementation of an appropriate monitoring program, carried out both during the execution and post-construction periods, with parameters, frequency, and duration adapted to the components analyzed (especially avifauna and chiroptera).</w:t>
      </w:r>
    </w:p>
    <w:p w14:paraId="2882186E" w14:textId="77777777" w:rsidR="008715BE" w:rsidRPr="00EC75B7" w:rsidRDefault="00000000">
      <w:pPr>
        <w:pStyle w:val="BodyText"/>
        <w:spacing w:before="123" w:line="360" w:lineRule="auto"/>
        <w:ind w:left="86" w:right="291"/>
        <w:jc w:val="both"/>
        <w:rPr>
          <w:rFonts w:ascii="Verdana" w:hAnsi="Verdana"/>
        </w:rPr>
      </w:pPr>
      <w:r w:rsidRPr="00EC75B7">
        <w:rPr>
          <w:rFonts w:ascii="Verdana" w:hAnsi="Verdana"/>
        </w:rPr>
        <w:t>In addition, given the project's location in the immediate vicinity of the border, the environmental impact assessment procedure was also carried out in a cross-border context with the Republic of Bulgaria.</w:t>
      </w:r>
    </w:p>
    <w:p w14:paraId="21F00E67" w14:textId="77777777" w:rsidR="008715BE" w:rsidRPr="00EC75B7" w:rsidRDefault="00000000">
      <w:pPr>
        <w:pStyle w:val="BodyText"/>
        <w:spacing w:before="119" w:line="357" w:lineRule="auto"/>
        <w:ind w:left="86" w:right="283"/>
        <w:jc w:val="both"/>
        <w:rPr>
          <w:rFonts w:ascii="Verdana" w:hAnsi="Verdana"/>
        </w:rPr>
      </w:pPr>
      <w:r w:rsidRPr="00EC75B7">
        <w:rPr>
          <w:rFonts w:ascii="Verdana" w:hAnsi="Verdana"/>
        </w:rPr>
        <w:t>The cross-border procedure was completed after analyzing the technical documentation provided and the responses to the requests for clarification made during the consultations.</w:t>
      </w:r>
      <w:r w:rsidRPr="00EC75B7">
        <w:rPr>
          <w:rFonts w:ascii="Verdana" w:hAnsi="Verdana"/>
          <w:spacing w:val="40"/>
        </w:rPr>
        <w:t xml:space="preserve"> </w:t>
      </w:r>
      <w:r w:rsidRPr="00EC75B7">
        <w:rPr>
          <w:rFonts w:ascii="Verdana" w:hAnsi="Verdana"/>
        </w:rPr>
        <w:t>In this context, the Ministry of Environment and Water of the Republic of Bulgaria sent letter no. 99.00.268-40/17.09.2025, communicating the mandatory conditions to be included in the normative act to be issued by the competent authorities in Romania for the investment under review, as follows:</w:t>
      </w:r>
    </w:p>
    <w:p w14:paraId="1165421D" w14:textId="77777777" w:rsidR="008715BE" w:rsidRPr="00EC75B7" w:rsidRDefault="00000000">
      <w:pPr>
        <w:pStyle w:val="ListParagraph"/>
        <w:numPr>
          <w:ilvl w:val="0"/>
          <w:numId w:val="4"/>
        </w:numPr>
        <w:tabs>
          <w:tab w:val="left" w:pos="804"/>
          <w:tab w:val="left" w:pos="806"/>
        </w:tabs>
        <w:spacing w:before="125" w:line="357" w:lineRule="auto"/>
        <w:ind w:right="284"/>
        <w:jc w:val="both"/>
        <w:rPr>
          <w:rFonts w:ascii="Verdana" w:hAnsi="Verdana"/>
          <w:i/>
          <w:sz w:val="18"/>
          <w:szCs w:val="18"/>
        </w:rPr>
      </w:pPr>
      <w:r w:rsidRPr="00EC75B7">
        <w:rPr>
          <w:rFonts w:ascii="Verdana" w:hAnsi="Verdana"/>
          <w:i/>
          <w:sz w:val="18"/>
          <w:szCs w:val="18"/>
        </w:rPr>
        <w:t xml:space="preserve">Full implementation of the measures in the Environmental Report: the project will be carried out in compliance with all the measures set out in the Environmental Report, in order to prevent, reduce, and eliminate the negative effects on the environment, the living environment, and the health of the population as a result of </w:t>
      </w:r>
      <w:r w:rsidRPr="00EC75B7">
        <w:rPr>
          <w:rFonts w:ascii="Verdana" w:hAnsi="Verdana"/>
          <w:i/>
          <w:spacing w:val="-2"/>
          <w:sz w:val="18"/>
          <w:szCs w:val="18"/>
        </w:rPr>
        <w:t>the project's</w:t>
      </w:r>
      <w:r w:rsidRPr="00EC75B7">
        <w:rPr>
          <w:rFonts w:ascii="Verdana" w:hAnsi="Verdana"/>
          <w:i/>
          <w:sz w:val="18"/>
          <w:szCs w:val="18"/>
        </w:rPr>
        <w:t xml:space="preserve"> implementation</w:t>
      </w:r>
      <w:r w:rsidRPr="00EC75B7">
        <w:rPr>
          <w:rFonts w:ascii="Verdana" w:hAnsi="Verdana"/>
          <w:i/>
          <w:spacing w:val="-2"/>
          <w:sz w:val="18"/>
          <w:szCs w:val="18"/>
        </w:rPr>
        <w:t>.</w:t>
      </w:r>
    </w:p>
    <w:p w14:paraId="74A60AF4" w14:textId="77777777" w:rsidR="008715BE" w:rsidRPr="00EC75B7" w:rsidRDefault="00000000">
      <w:pPr>
        <w:pStyle w:val="ListParagraph"/>
        <w:numPr>
          <w:ilvl w:val="0"/>
          <w:numId w:val="4"/>
        </w:numPr>
        <w:tabs>
          <w:tab w:val="left" w:pos="804"/>
          <w:tab w:val="left" w:pos="806"/>
        </w:tabs>
        <w:spacing w:before="1" w:line="360" w:lineRule="auto"/>
        <w:ind w:right="284"/>
        <w:jc w:val="both"/>
        <w:rPr>
          <w:rFonts w:ascii="Verdana" w:hAnsi="Verdana"/>
          <w:i/>
          <w:sz w:val="18"/>
          <w:szCs w:val="18"/>
        </w:rPr>
      </w:pPr>
      <w:r w:rsidRPr="00EC75B7">
        <w:rPr>
          <w:rFonts w:ascii="Verdana" w:hAnsi="Verdana"/>
          <w:i/>
          <w:sz w:val="18"/>
          <w:szCs w:val="18"/>
        </w:rPr>
        <w:t>Cross-border assessment of physical factors during the design phase, with a focus on light effects: given the proximity to the border, a dedicated assessment of the impact of physical factors in a cross-border context, in particular light effects, will be carried out during the design phase, and this assessment will be forwarded to the Bulgarian side.</w:t>
      </w:r>
    </w:p>
    <w:p w14:paraId="20FF2A3A" w14:textId="77777777" w:rsidR="008715BE" w:rsidRPr="00EC75B7" w:rsidRDefault="00000000">
      <w:pPr>
        <w:pStyle w:val="ListParagraph"/>
        <w:numPr>
          <w:ilvl w:val="0"/>
          <w:numId w:val="4"/>
        </w:numPr>
        <w:tabs>
          <w:tab w:val="left" w:pos="804"/>
          <w:tab w:val="left" w:pos="806"/>
        </w:tabs>
        <w:spacing w:line="360" w:lineRule="auto"/>
        <w:ind w:right="290"/>
        <w:jc w:val="both"/>
        <w:rPr>
          <w:rFonts w:ascii="Verdana" w:hAnsi="Verdana"/>
          <w:i/>
          <w:sz w:val="18"/>
          <w:szCs w:val="18"/>
        </w:rPr>
      </w:pPr>
      <w:r w:rsidRPr="00EC75B7">
        <w:rPr>
          <w:rFonts w:ascii="Verdana" w:hAnsi="Verdana"/>
          <w:i/>
          <w:sz w:val="18"/>
          <w:szCs w:val="18"/>
        </w:rPr>
        <w:t>Requirements for turbine finishes: the paint used for wind turbines (tower and rotor) must be of the "absorbent" type so as not to create conditions for the reflection of incident light.</w:t>
      </w:r>
    </w:p>
    <w:p w14:paraId="7803C903" w14:textId="77777777" w:rsidR="008715BE" w:rsidRPr="00EC75B7" w:rsidRDefault="00000000">
      <w:pPr>
        <w:pStyle w:val="ListParagraph"/>
        <w:numPr>
          <w:ilvl w:val="0"/>
          <w:numId w:val="4"/>
        </w:numPr>
        <w:tabs>
          <w:tab w:val="left" w:pos="804"/>
          <w:tab w:val="left" w:pos="806"/>
        </w:tabs>
        <w:spacing w:line="357" w:lineRule="auto"/>
        <w:ind w:right="284"/>
        <w:jc w:val="both"/>
        <w:rPr>
          <w:rFonts w:ascii="Verdana" w:hAnsi="Verdana"/>
          <w:i/>
          <w:sz w:val="18"/>
          <w:szCs w:val="18"/>
        </w:rPr>
      </w:pPr>
      <w:r w:rsidRPr="00EC75B7">
        <w:rPr>
          <w:rFonts w:ascii="Verdana" w:hAnsi="Verdana"/>
          <w:i/>
          <w:sz w:val="18"/>
          <w:szCs w:val="18"/>
        </w:rPr>
        <w:t xml:space="preserve">Post-implementation monitoring at the border: after the investment is put into operation, controlled monitoring of noise levels, non-ionising radiation and light effects at the border with the affected Bulgarian localities will be ensured, and the results of the monitoring will be transmitted to the Republic </w:t>
      </w:r>
      <w:r w:rsidRPr="00EC75B7">
        <w:rPr>
          <w:rFonts w:ascii="Verdana" w:hAnsi="Verdana"/>
          <w:i/>
          <w:spacing w:val="-2"/>
          <w:sz w:val="18"/>
          <w:szCs w:val="18"/>
        </w:rPr>
        <w:t>of Bulgaria.</w:t>
      </w:r>
    </w:p>
    <w:p w14:paraId="44435F0B" w14:textId="77777777" w:rsidR="008715BE" w:rsidRPr="00EC75B7" w:rsidRDefault="008715BE">
      <w:pPr>
        <w:pStyle w:val="ListParagraph"/>
        <w:spacing w:line="357" w:lineRule="auto"/>
        <w:jc w:val="both"/>
        <w:rPr>
          <w:rFonts w:ascii="Verdana" w:hAnsi="Verdana"/>
          <w:i/>
          <w:sz w:val="18"/>
          <w:szCs w:val="18"/>
        </w:rPr>
        <w:sectPr w:rsidR="008715BE" w:rsidRPr="00EC75B7">
          <w:pgSz w:w="11910" w:h="16840"/>
          <w:pgMar w:top="1320" w:right="708" w:bottom="1020" w:left="1133" w:header="766" w:footer="824" w:gutter="0"/>
          <w:cols w:space="708"/>
        </w:sectPr>
      </w:pPr>
    </w:p>
    <w:p w14:paraId="67A1F2A6" w14:textId="77777777" w:rsidR="008715BE" w:rsidRPr="00EC75B7" w:rsidRDefault="00000000">
      <w:pPr>
        <w:spacing w:before="99" w:line="357" w:lineRule="auto"/>
        <w:ind w:left="57" w:right="282"/>
        <w:jc w:val="both"/>
        <w:rPr>
          <w:rFonts w:ascii="Verdana" w:hAnsi="Verdana"/>
          <w:i/>
          <w:sz w:val="18"/>
          <w:szCs w:val="18"/>
        </w:rPr>
      </w:pPr>
      <w:r w:rsidRPr="00EC75B7">
        <w:rPr>
          <w:rFonts w:ascii="Verdana" w:hAnsi="Verdana"/>
          <w:sz w:val="18"/>
          <w:szCs w:val="18"/>
        </w:rPr>
        <w:lastRenderedPageBreak/>
        <w:t xml:space="preserve">Therefore, the documentation developed at the PUZ stage and the associated procedure provide a comprehensive framework for assessing and managing the effects by: defining the relevant receptors and areas of influence, identifying and addressing the impact mechanisms in stages, establishing avoidance/reduction measures (detailed in the biodiversity chapter), estimating the residual impact and establishing a monitoring program, including specific cross-border requirements and obligations set by the Bulgarian authorities. Also, for condition no. 2 mentioned above, the Shadow Study was submitted, whose conclusions indicate that </w:t>
      </w:r>
      <w:r w:rsidRPr="00EC75B7">
        <w:rPr>
          <w:rFonts w:ascii="Verdana" w:hAnsi="Verdana"/>
          <w:i/>
          <w:sz w:val="18"/>
          <w:szCs w:val="18"/>
        </w:rPr>
        <w:t>the results show a negligible impact on the analyzed area, including in the case of cross-border roads and the assessed receptors, a conclusion supported by the use of a conservative modeling scenario based on the largest turbine configuration and an extended analysis radius.</w:t>
      </w:r>
    </w:p>
    <w:p w14:paraId="10616C84" w14:textId="77777777" w:rsidR="008715BE" w:rsidRPr="00EC75B7" w:rsidRDefault="008715BE">
      <w:pPr>
        <w:pStyle w:val="BodyText"/>
        <w:rPr>
          <w:rFonts w:ascii="Verdana" w:hAnsi="Verdana"/>
          <w:i/>
        </w:rPr>
      </w:pPr>
    </w:p>
    <w:p w14:paraId="048CCDFC" w14:textId="77777777" w:rsidR="008715BE" w:rsidRPr="00EC75B7" w:rsidRDefault="008715BE">
      <w:pPr>
        <w:pStyle w:val="BodyText"/>
        <w:spacing w:before="38"/>
        <w:rPr>
          <w:rFonts w:ascii="Verdana" w:hAnsi="Verdana"/>
          <w:i/>
        </w:rPr>
      </w:pPr>
    </w:p>
    <w:p w14:paraId="28C701B5" w14:textId="77777777" w:rsidR="008715BE" w:rsidRPr="00EC75B7" w:rsidRDefault="00000000">
      <w:pPr>
        <w:pStyle w:val="Heading2"/>
        <w:numPr>
          <w:ilvl w:val="1"/>
          <w:numId w:val="110"/>
        </w:numPr>
        <w:tabs>
          <w:tab w:val="left" w:pos="834"/>
        </w:tabs>
        <w:ind w:left="834" w:hanging="719"/>
        <w:jc w:val="left"/>
        <w:rPr>
          <w:rFonts w:ascii="Verdana" w:hAnsi="Verdana"/>
          <w:color w:val="00AFEF"/>
          <w:sz w:val="18"/>
          <w:szCs w:val="18"/>
        </w:rPr>
      </w:pPr>
      <w:bookmarkStart w:id="138" w:name="_bookmark136"/>
      <w:bookmarkEnd w:id="138"/>
      <w:r w:rsidRPr="00EC75B7">
        <w:rPr>
          <w:rFonts w:ascii="Verdana" w:hAnsi="Verdana"/>
          <w:color w:val="00AFEF"/>
          <w:spacing w:val="-2"/>
          <w:sz w:val="18"/>
          <w:szCs w:val="18"/>
        </w:rPr>
        <w:t>Monitoring</w:t>
      </w:r>
    </w:p>
    <w:p w14:paraId="75994954" w14:textId="77777777" w:rsidR="008715BE" w:rsidRPr="00EC75B7" w:rsidRDefault="008715BE">
      <w:pPr>
        <w:pStyle w:val="BodyText"/>
        <w:spacing w:before="102"/>
        <w:rPr>
          <w:rFonts w:ascii="Verdana" w:hAnsi="Verdana"/>
          <w:b/>
        </w:rPr>
      </w:pPr>
    </w:p>
    <w:p w14:paraId="149F0DC9" w14:textId="77777777" w:rsidR="008715BE" w:rsidRPr="00EC75B7" w:rsidRDefault="00000000">
      <w:pPr>
        <w:pStyle w:val="BodyText"/>
        <w:spacing w:line="357" w:lineRule="auto"/>
        <w:ind w:left="86" w:right="279"/>
        <w:jc w:val="both"/>
        <w:rPr>
          <w:rFonts w:ascii="Verdana" w:hAnsi="Verdana"/>
        </w:rPr>
      </w:pPr>
      <w:r w:rsidRPr="00EC75B7">
        <w:rPr>
          <w:rFonts w:ascii="Verdana" w:hAnsi="Verdana"/>
        </w:rPr>
        <w:t>Monitoring the impact generated by the execution and operation of the project serves to objectively verify the estimates made prior to implementation (including the level of residual impact), to quantify the effectiveness of the avoidance and mitigation measures already applied, and to identify, where necessary, the need for additional measures or adjustments to existing ones. The monitoring program is designed to cover both the implementation and operation periods (and, where applicable, the decommissioning phase), with a focus on the identified sensitive receptors.</w:t>
      </w:r>
    </w:p>
    <w:p w14:paraId="34E08BA5" w14:textId="77777777" w:rsidR="008715BE" w:rsidRPr="00EC75B7" w:rsidRDefault="00000000">
      <w:pPr>
        <w:pStyle w:val="BodyText"/>
        <w:spacing w:before="126" w:line="357" w:lineRule="auto"/>
        <w:ind w:left="86" w:right="287"/>
        <w:jc w:val="both"/>
        <w:rPr>
          <w:rFonts w:ascii="Verdana" w:hAnsi="Verdana"/>
        </w:rPr>
      </w:pPr>
      <w:r w:rsidRPr="00EC75B7">
        <w:rPr>
          <w:rFonts w:ascii="Verdana" w:hAnsi="Verdana"/>
        </w:rPr>
        <w:t>The monitoring results will be integrated into a unified database, which will allow tracking the evolution of indicators over time, comparison with applicable reference/limit values, and substantiation of decisions regarding the implementation of additional measures or the expansion/optimization of monitoring locations and methods, so as to reflect the actual situation at the site and in the area of influence, including in the vicinity of the border.</w:t>
      </w:r>
    </w:p>
    <w:p w14:paraId="255A188D" w14:textId="77777777" w:rsidR="008715BE" w:rsidRPr="00EC75B7" w:rsidRDefault="00000000">
      <w:pPr>
        <w:pStyle w:val="BodyText"/>
        <w:spacing w:before="123" w:line="357" w:lineRule="auto"/>
        <w:ind w:left="86" w:right="287"/>
        <w:jc w:val="both"/>
        <w:rPr>
          <w:rFonts w:ascii="Verdana" w:hAnsi="Verdana"/>
        </w:rPr>
      </w:pPr>
      <w:r w:rsidRPr="00EC75B7">
        <w:rPr>
          <w:rFonts w:ascii="Verdana" w:hAnsi="Verdana"/>
        </w:rPr>
        <w:t>The team(s) contracted to carry out the monitoring are required to perform their activities in accordance with best practices and the requirements of the applicable guidelines, to prepare periodic monitoring reports and, depending on the results, to prepare residual impact assessment reports highlighting the effectiveness of the measures implemented and any deviations from the estimated scenarios.</w:t>
      </w:r>
    </w:p>
    <w:p w14:paraId="0C6CAA60" w14:textId="77777777" w:rsidR="008715BE" w:rsidRPr="00EC75B7" w:rsidRDefault="00000000">
      <w:pPr>
        <w:pStyle w:val="BodyText"/>
        <w:spacing w:before="123" w:line="357" w:lineRule="auto"/>
        <w:ind w:left="86" w:right="287"/>
        <w:jc w:val="both"/>
        <w:rPr>
          <w:rFonts w:ascii="Verdana" w:hAnsi="Verdana"/>
        </w:rPr>
      </w:pPr>
      <w:r w:rsidRPr="00EC75B7">
        <w:rPr>
          <w:rFonts w:ascii="Verdana" w:hAnsi="Verdana"/>
        </w:rPr>
        <w:t>Regardless of the monitoring program, the holder is required to report, in accordance with the legislation in force, any accidental killing of bird species and strictly protected species, including those listed in the relevant annexes to GEO No. 57/2007, as well as any incident with the potential to affect the environment associated with the project activities.</w:t>
      </w:r>
    </w:p>
    <w:p w14:paraId="3FD0CD7D" w14:textId="77777777" w:rsidR="008715BE" w:rsidRPr="00EC75B7" w:rsidRDefault="00000000">
      <w:pPr>
        <w:pStyle w:val="BodyText"/>
        <w:spacing w:before="123" w:line="357" w:lineRule="auto"/>
        <w:ind w:left="86" w:right="280"/>
        <w:jc w:val="both"/>
        <w:rPr>
          <w:rFonts w:ascii="Verdana" w:hAnsi="Verdana"/>
        </w:rPr>
      </w:pPr>
      <w:r w:rsidRPr="00EC75B7">
        <w:rPr>
          <w:rFonts w:ascii="Verdana" w:hAnsi="Verdana"/>
        </w:rPr>
        <w:t>The scope of the monitoring activities (number of campaigns, duration, intensity, and spatial coverage) will be scaled so that the data collected is representative of the entire site and the area of influence, relative to the methods applied and the seasonality of the monitored components.</w:t>
      </w:r>
      <w:r w:rsidRPr="00EC75B7">
        <w:rPr>
          <w:rFonts w:ascii="Verdana" w:hAnsi="Verdana"/>
          <w:spacing w:val="-13"/>
        </w:rPr>
        <w:t xml:space="preserve"> </w:t>
      </w:r>
      <w:r w:rsidRPr="00EC75B7">
        <w:rPr>
          <w:rFonts w:ascii="Verdana" w:hAnsi="Verdana"/>
        </w:rPr>
        <w:t>In this regard, a monitoring plan structured by components and subcomponents (e.g., biodiversity – avifauna/chiroptera; physical factors – noise, light effects), with the establishment of indicators, minimum duration, minimum frequency of field campaigns and reporting frequency, as well as the indication of monitoring locations/stations for each element monitored.</w:t>
      </w:r>
    </w:p>
    <w:p w14:paraId="4867F91F" w14:textId="77777777" w:rsidR="008715BE" w:rsidRPr="00EC75B7" w:rsidRDefault="00000000">
      <w:pPr>
        <w:pStyle w:val="BodyText"/>
        <w:spacing w:before="116" w:line="357" w:lineRule="auto"/>
        <w:ind w:left="86" w:right="286"/>
        <w:jc w:val="both"/>
        <w:rPr>
          <w:rFonts w:ascii="Verdana" w:hAnsi="Verdana"/>
        </w:rPr>
      </w:pPr>
      <w:r w:rsidRPr="00EC75B7">
        <w:rPr>
          <w:rFonts w:ascii="Verdana" w:hAnsi="Verdana"/>
        </w:rPr>
        <w:t>The responsibility for implementing the monitoring program lies with the project owner, who will contract teams of experts, ensure the integration of data in a uniform format, and report the results to the competent authorities, including in accordance with applicable cross-border requirements (where applicable).</w:t>
      </w:r>
    </w:p>
    <w:p w14:paraId="57CCE364" w14:textId="77777777" w:rsidR="008715BE" w:rsidRPr="00EC75B7" w:rsidRDefault="008715BE">
      <w:pPr>
        <w:pStyle w:val="BodyText"/>
        <w:spacing w:line="357" w:lineRule="auto"/>
        <w:jc w:val="both"/>
        <w:rPr>
          <w:rFonts w:ascii="Verdana" w:hAnsi="Verdana"/>
        </w:rPr>
        <w:sectPr w:rsidR="008715BE" w:rsidRPr="00EC75B7">
          <w:pgSz w:w="11910" w:h="16840"/>
          <w:pgMar w:top="1320" w:right="708" w:bottom="1020" w:left="1133" w:header="766" w:footer="824" w:gutter="0"/>
          <w:cols w:space="708"/>
        </w:sectPr>
      </w:pPr>
    </w:p>
    <w:p w14:paraId="6A3C57F4" w14:textId="77777777" w:rsidR="008715BE" w:rsidRPr="00EC75B7" w:rsidRDefault="00000000">
      <w:pPr>
        <w:pStyle w:val="BodyText"/>
        <w:spacing w:before="99" w:line="357" w:lineRule="auto"/>
        <w:ind w:left="86" w:right="295"/>
        <w:jc w:val="both"/>
        <w:rPr>
          <w:rFonts w:ascii="Verdana" w:hAnsi="Verdana"/>
        </w:rPr>
      </w:pPr>
      <w:r w:rsidRPr="00EC75B7">
        <w:rPr>
          <w:rFonts w:ascii="Verdana" w:hAnsi="Verdana"/>
        </w:rPr>
        <w:lastRenderedPageBreak/>
        <w:t>applicable). Responsibility for the quality of the data collected and reported lies with the experts involved and the authors of the reports, which is why the project owner will include in the terms of reference for monitoring services the methodological requirements and quality standards set out in the environmental documentation.</w:t>
      </w:r>
    </w:p>
    <w:p w14:paraId="35D672E4" w14:textId="77777777" w:rsidR="008715BE" w:rsidRPr="00EC75B7" w:rsidRDefault="008715BE">
      <w:pPr>
        <w:pStyle w:val="BodyText"/>
        <w:spacing w:before="132"/>
        <w:rPr>
          <w:rFonts w:ascii="Verdana" w:hAnsi="Verdana"/>
        </w:rPr>
      </w:pPr>
    </w:p>
    <w:p w14:paraId="7F0272A3" w14:textId="77777777" w:rsidR="008715BE" w:rsidRPr="00EC75B7" w:rsidRDefault="00000000">
      <w:pPr>
        <w:pStyle w:val="BodyText"/>
        <w:spacing w:line="357" w:lineRule="auto"/>
        <w:ind w:left="86" w:right="287"/>
        <w:jc w:val="both"/>
        <w:rPr>
          <w:rFonts w:ascii="Verdana" w:hAnsi="Verdana"/>
        </w:rPr>
      </w:pPr>
      <w:r w:rsidRPr="00EC75B7">
        <w:rPr>
          <w:rFonts w:ascii="Verdana" w:hAnsi="Verdana"/>
        </w:rPr>
        <w:t>If, during monitoring, exceedances of the maximum permissible values for the monitored indicators (e.g., noise, non-ionizing radiation, light effects) are found, these will be promptly communicated to the National Environmental Guard – Constanța County Commissariat, and the licensee will initiate the necessary corrective measures to bring the parameters back within the limits imposed by the applicable regulations and the conditions in the regulatory documents.</w:t>
      </w:r>
    </w:p>
    <w:p w14:paraId="1BF4C0F1" w14:textId="77777777" w:rsidR="008715BE" w:rsidRPr="00EC75B7" w:rsidRDefault="00000000">
      <w:pPr>
        <w:pStyle w:val="BodyText"/>
        <w:spacing w:before="122" w:line="357" w:lineRule="auto"/>
        <w:ind w:left="86" w:right="288"/>
        <w:jc w:val="both"/>
        <w:rPr>
          <w:rFonts w:ascii="Verdana" w:hAnsi="Verdana"/>
        </w:rPr>
      </w:pPr>
      <w:r w:rsidRPr="00EC75B7">
        <w:rPr>
          <w:rFonts w:ascii="Verdana" w:hAnsi="Verdana"/>
        </w:rPr>
        <w:t>Depending on the results obtained during project monitoring, in the event of unforeseen circumstances or effects that require additional measures, the holder shall notify DJM Constanța of the proposed measures and how they will be implemented, and the monitoring program will be reviewed and updated periodically, in agreement with the competent environmental authority, so as to reflect the actual conditions on the ground and the requirements of the regulatory acts.</w:t>
      </w:r>
    </w:p>
    <w:p w14:paraId="179A9C6B" w14:textId="77777777" w:rsidR="008715BE" w:rsidRPr="00EC75B7" w:rsidRDefault="00000000">
      <w:pPr>
        <w:pStyle w:val="BodyText"/>
        <w:spacing w:before="125" w:line="357" w:lineRule="auto"/>
        <w:ind w:left="86" w:right="282"/>
        <w:jc w:val="both"/>
        <w:rPr>
          <w:rFonts w:ascii="Verdana" w:hAnsi="Verdana"/>
        </w:rPr>
      </w:pPr>
      <w:r w:rsidRPr="00EC75B7">
        <w:rPr>
          <w:rFonts w:ascii="Verdana" w:hAnsi="Verdana"/>
        </w:rPr>
        <w:t>All data and information collected under the monitoring program will be reported quantitatively, with explicit indication of the units of measurement, the areas/sectors investigated, the methodology applied (including the equipment used, the sampling effort, and the working conditions), and the time intervals during which the activities were carried out (including time references where relevant, e.g., for nighttime monitoring or for parameters that vary between day and night). The results will be presented both as raw data (tables) and in graphical and spatial form, by representing the monitoring points/sectors and the distribution of the monitored indicators on maps.</w:t>
      </w:r>
    </w:p>
    <w:p w14:paraId="216F778F" w14:textId="77777777" w:rsidR="008715BE" w:rsidRPr="00EC75B7" w:rsidRDefault="00000000">
      <w:pPr>
        <w:pStyle w:val="BodyText"/>
        <w:spacing w:before="125" w:line="357" w:lineRule="auto"/>
        <w:ind w:left="86" w:right="285"/>
        <w:jc w:val="both"/>
        <w:rPr>
          <w:rFonts w:ascii="Verdana" w:hAnsi="Verdana"/>
        </w:rPr>
      </w:pPr>
      <w:r w:rsidRPr="00EC75B7">
        <w:rPr>
          <w:rFonts w:ascii="Verdana" w:hAnsi="Verdana"/>
        </w:rPr>
        <w:t>Each data set will be accompanied by an interpretation of the results, which will include qualitative and quantitative assessments of the recorded values, comparison with applicable reference/limit values, highlighting of observed trends, and formulation of assessments regarding the likely evolution of the monitored indicators, including in relation to the avoidance and reduction measures implemented.</w:t>
      </w:r>
    </w:p>
    <w:p w14:paraId="4C4A75C0" w14:textId="77777777" w:rsidR="008715BE" w:rsidRPr="00EC75B7" w:rsidRDefault="00000000">
      <w:pPr>
        <w:pStyle w:val="BodyText"/>
        <w:spacing w:before="124" w:line="357" w:lineRule="auto"/>
        <w:ind w:left="86" w:right="287"/>
        <w:jc w:val="both"/>
        <w:rPr>
          <w:rFonts w:ascii="Verdana" w:hAnsi="Verdana"/>
        </w:rPr>
      </w:pPr>
      <w:r w:rsidRPr="00EC75B7">
        <w:rPr>
          <w:rFonts w:ascii="Verdana" w:hAnsi="Verdana"/>
        </w:rPr>
        <w:t>The following is the program for monitoring the impact on environmental components, with components/subcomponents, indicators, monitoring locations, minimum durations, minimum campaign frequencies, and reporting frequencies.</w:t>
      </w:r>
    </w:p>
    <w:p w14:paraId="5F94278E" w14:textId="77777777" w:rsidR="008715BE" w:rsidRPr="00EC75B7" w:rsidRDefault="008715BE">
      <w:pPr>
        <w:pStyle w:val="BodyText"/>
        <w:spacing w:line="357" w:lineRule="auto"/>
        <w:jc w:val="both"/>
        <w:rPr>
          <w:rFonts w:ascii="Verdana" w:hAnsi="Verdana"/>
        </w:rPr>
        <w:sectPr w:rsidR="008715BE" w:rsidRPr="00EC75B7">
          <w:pgSz w:w="11910" w:h="16840"/>
          <w:pgMar w:top="1320" w:right="708" w:bottom="1020" w:left="1133" w:header="766" w:footer="824" w:gutter="0"/>
          <w:cols w:space="708"/>
        </w:sectPr>
      </w:pPr>
    </w:p>
    <w:p w14:paraId="10B5F969" w14:textId="77777777" w:rsidR="008715BE" w:rsidRPr="00EC75B7" w:rsidRDefault="00000000">
      <w:pPr>
        <w:spacing w:before="99"/>
        <w:ind w:left="30"/>
        <w:rPr>
          <w:rFonts w:ascii="Verdana" w:hAnsi="Verdana"/>
          <w:b/>
          <w:sz w:val="18"/>
          <w:szCs w:val="18"/>
        </w:rPr>
      </w:pPr>
      <w:r w:rsidRPr="00EC75B7">
        <w:rPr>
          <w:rFonts w:ascii="Verdana" w:hAnsi="Verdana"/>
          <w:b/>
          <w:color w:val="00AFEF"/>
          <w:sz w:val="18"/>
          <w:szCs w:val="18"/>
        </w:rPr>
        <w:lastRenderedPageBreak/>
        <w:t xml:space="preserve">Table 75 Proposed monitoring program for </w:t>
      </w:r>
      <w:r w:rsidRPr="00EC75B7">
        <w:rPr>
          <w:rFonts w:ascii="Verdana" w:hAnsi="Verdana"/>
          <w:b/>
          <w:color w:val="00AFEF"/>
          <w:spacing w:val="-2"/>
          <w:sz w:val="18"/>
          <w:szCs w:val="18"/>
        </w:rPr>
        <w:t>the project</w:t>
      </w:r>
    </w:p>
    <w:p w14:paraId="302DE84B" w14:textId="77777777" w:rsidR="008715BE" w:rsidRPr="00EC75B7" w:rsidRDefault="008715BE">
      <w:pPr>
        <w:pStyle w:val="BodyText"/>
        <w:spacing w:before="1" w:after="1"/>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8715BE" w:rsidRPr="00EC75B7" w14:paraId="109CEA8D" w14:textId="77777777">
        <w:trPr>
          <w:trHeight w:val="300"/>
        </w:trPr>
        <w:tc>
          <w:tcPr>
            <w:tcW w:w="6645" w:type="dxa"/>
            <w:gridSpan w:val="2"/>
            <w:vMerge w:val="restart"/>
            <w:shd w:val="clear" w:color="auto" w:fill="00AFEF"/>
          </w:tcPr>
          <w:p w14:paraId="6C355318" w14:textId="77777777" w:rsidR="008715BE" w:rsidRPr="00EC75B7" w:rsidRDefault="008715BE">
            <w:pPr>
              <w:pStyle w:val="TableParagraph"/>
              <w:rPr>
                <w:rFonts w:ascii="Verdana" w:hAnsi="Verdana"/>
                <w:b/>
                <w:sz w:val="18"/>
                <w:szCs w:val="18"/>
              </w:rPr>
            </w:pPr>
          </w:p>
          <w:p w14:paraId="54C1B55B" w14:textId="77777777" w:rsidR="008715BE" w:rsidRPr="00EC75B7" w:rsidRDefault="008715BE">
            <w:pPr>
              <w:pStyle w:val="TableParagraph"/>
              <w:spacing w:before="177"/>
              <w:rPr>
                <w:rFonts w:ascii="Verdana" w:hAnsi="Verdana"/>
                <w:b/>
                <w:sz w:val="18"/>
                <w:szCs w:val="18"/>
              </w:rPr>
            </w:pPr>
          </w:p>
          <w:p w14:paraId="265744CB"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Measure</w:t>
            </w:r>
          </w:p>
        </w:tc>
        <w:tc>
          <w:tcPr>
            <w:tcW w:w="1809" w:type="dxa"/>
            <w:vMerge w:val="restart"/>
            <w:shd w:val="clear" w:color="auto" w:fill="00AFEF"/>
          </w:tcPr>
          <w:p w14:paraId="7CF6E653" w14:textId="77777777" w:rsidR="008715BE" w:rsidRPr="00EC75B7" w:rsidRDefault="008715BE">
            <w:pPr>
              <w:pStyle w:val="TableParagraph"/>
              <w:spacing w:before="178"/>
              <w:rPr>
                <w:rFonts w:ascii="Verdana" w:hAnsi="Verdana"/>
                <w:b/>
                <w:sz w:val="18"/>
                <w:szCs w:val="18"/>
              </w:rPr>
            </w:pPr>
          </w:p>
          <w:p w14:paraId="26EF0267" w14:textId="77777777" w:rsidR="008715BE" w:rsidRPr="00EC75B7" w:rsidRDefault="00000000">
            <w:pPr>
              <w:pStyle w:val="TableParagraph"/>
              <w:ind w:left="483" w:right="411" w:firstLine="72"/>
              <w:rPr>
                <w:rFonts w:ascii="Verdana" w:hAnsi="Verdana"/>
                <w:b/>
                <w:sz w:val="18"/>
                <w:szCs w:val="18"/>
              </w:rPr>
            </w:pPr>
            <w:r w:rsidRPr="00EC75B7">
              <w:rPr>
                <w:rFonts w:ascii="Verdana" w:hAnsi="Verdana"/>
                <w:b/>
                <w:color w:val="FFFFFF"/>
                <w:spacing w:val="-10"/>
                <w:sz w:val="18"/>
                <w:szCs w:val="18"/>
              </w:rPr>
              <w:t>Affected</w:t>
            </w:r>
            <w:r w:rsidRPr="00EC75B7">
              <w:rPr>
                <w:rFonts w:ascii="Verdana" w:hAnsi="Verdana"/>
                <w:b/>
                <w:color w:val="FFFFFF"/>
                <w:spacing w:val="-2"/>
                <w:sz w:val="18"/>
                <w:szCs w:val="18"/>
              </w:rPr>
              <w:t xml:space="preserve"> species/habitat</w:t>
            </w:r>
          </w:p>
        </w:tc>
        <w:tc>
          <w:tcPr>
            <w:tcW w:w="1440" w:type="dxa"/>
            <w:vMerge w:val="restart"/>
            <w:shd w:val="clear" w:color="auto" w:fill="00AFEF"/>
          </w:tcPr>
          <w:p w14:paraId="3A3BF3D3" w14:textId="77777777" w:rsidR="008715BE" w:rsidRPr="00EC75B7" w:rsidRDefault="008715BE">
            <w:pPr>
              <w:pStyle w:val="TableParagraph"/>
              <w:spacing w:before="82"/>
              <w:rPr>
                <w:rFonts w:ascii="Verdana" w:hAnsi="Verdana"/>
                <w:b/>
                <w:sz w:val="18"/>
                <w:szCs w:val="18"/>
              </w:rPr>
            </w:pPr>
          </w:p>
          <w:p w14:paraId="2905A74B"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2"/>
                <w:sz w:val="18"/>
                <w:szCs w:val="18"/>
              </w:rPr>
              <w:t>Parameter addressed</w:t>
            </w:r>
            <w:r w:rsidRPr="00EC75B7">
              <w:rPr>
                <w:rFonts w:ascii="Verdana" w:hAnsi="Verdana"/>
                <w:b/>
                <w:color w:val="FFFFFF"/>
                <w:sz w:val="18"/>
                <w:szCs w:val="18"/>
              </w:rPr>
              <w:t xml:space="preserve"> by </w:t>
            </w:r>
            <w:r w:rsidRPr="00EC75B7">
              <w:rPr>
                <w:rFonts w:ascii="Verdana" w:hAnsi="Verdana"/>
                <w:b/>
                <w:color w:val="FFFFFF"/>
                <w:spacing w:val="-2"/>
                <w:sz w:val="18"/>
                <w:szCs w:val="18"/>
              </w:rPr>
              <w:t>the measure</w:t>
            </w:r>
          </w:p>
        </w:tc>
        <w:tc>
          <w:tcPr>
            <w:tcW w:w="1351" w:type="dxa"/>
            <w:vMerge w:val="restart"/>
            <w:shd w:val="clear" w:color="auto" w:fill="00AFEF"/>
          </w:tcPr>
          <w:p w14:paraId="58EFA037" w14:textId="77777777" w:rsidR="008715BE" w:rsidRPr="00EC75B7" w:rsidRDefault="00000000">
            <w:pPr>
              <w:pStyle w:val="TableParagraph"/>
              <w:spacing w:before="179"/>
              <w:ind w:left="218" w:right="205"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4230" w:type="dxa"/>
            <w:gridSpan w:val="12"/>
            <w:shd w:val="clear" w:color="auto" w:fill="00AFEF"/>
          </w:tcPr>
          <w:p w14:paraId="7BE2521E" w14:textId="77777777" w:rsidR="008715BE" w:rsidRPr="00EC75B7" w:rsidRDefault="00000000">
            <w:pPr>
              <w:pStyle w:val="TableParagraph"/>
              <w:spacing w:before="61"/>
              <w:ind w:left="302"/>
              <w:rPr>
                <w:rFonts w:ascii="Verdana" w:hAnsi="Verdana"/>
                <w:b/>
                <w:sz w:val="18"/>
                <w:szCs w:val="18"/>
              </w:rPr>
            </w:pPr>
            <w:r w:rsidRPr="00EC75B7">
              <w:rPr>
                <w:rFonts w:ascii="Verdana" w:hAnsi="Verdana"/>
                <w:b/>
                <w:color w:val="FFFFFF"/>
                <w:sz w:val="18"/>
                <w:szCs w:val="18"/>
              </w:rPr>
              <w:t xml:space="preserve">Timeline for implementation of </w:t>
            </w:r>
            <w:r w:rsidRPr="00EC75B7">
              <w:rPr>
                <w:rFonts w:ascii="Verdana" w:hAnsi="Verdana"/>
                <w:b/>
                <w:color w:val="FFFFFF"/>
                <w:spacing w:val="-2"/>
                <w:sz w:val="18"/>
                <w:szCs w:val="18"/>
              </w:rPr>
              <w:t>measures</w:t>
            </w:r>
          </w:p>
        </w:tc>
        <w:tc>
          <w:tcPr>
            <w:tcW w:w="1891" w:type="dxa"/>
            <w:vMerge w:val="restart"/>
            <w:shd w:val="clear" w:color="auto" w:fill="00AFEF"/>
          </w:tcPr>
          <w:p w14:paraId="34753792" w14:textId="77777777" w:rsidR="008715BE" w:rsidRPr="00EC75B7" w:rsidRDefault="008715BE">
            <w:pPr>
              <w:pStyle w:val="TableParagraph"/>
              <w:rPr>
                <w:rFonts w:ascii="Verdana" w:hAnsi="Verdana"/>
                <w:b/>
                <w:sz w:val="18"/>
                <w:szCs w:val="18"/>
              </w:rPr>
            </w:pPr>
          </w:p>
          <w:p w14:paraId="0FE19A75" w14:textId="77777777" w:rsidR="008715BE" w:rsidRPr="00EC75B7" w:rsidRDefault="008715BE">
            <w:pPr>
              <w:pStyle w:val="TableParagraph"/>
              <w:spacing w:before="177"/>
              <w:rPr>
                <w:rFonts w:ascii="Verdana" w:hAnsi="Verdana"/>
                <w:b/>
                <w:sz w:val="18"/>
                <w:szCs w:val="18"/>
              </w:rPr>
            </w:pPr>
          </w:p>
          <w:p w14:paraId="5CEF39BE" w14:textId="77777777" w:rsidR="008715BE" w:rsidRPr="00EC75B7" w:rsidRDefault="00000000">
            <w:pPr>
              <w:pStyle w:val="TableParagraph"/>
              <w:ind w:left="402"/>
              <w:rPr>
                <w:rFonts w:ascii="Verdana" w:hAnsi="Verdana"/>
                <w:b/>
                <w:sz w:val="18"/>
                <w:szCs w:val="18"/>
              </w:rPr>
            </w:pPr>
            <w:r w:rsidRPr="00EC75B7">
              <w:rPr>
                <w:rFonts w:ascii="Verdana" w:hAnsi="Verdana"/>
                <w:b/>
                <w:color w:val="FFFFFF"/>
                <w:spacing w:val="-2"/>
                <w:sz w:val="18"/>
                <w:szCs w:val="18"/>
              </w:rPr>
              <w:t>Responsible</w:t>
            </w:r>
          </w:p>
        </w:tc>
        <w:tc>
          <w:tcPr>
            <w:tcW w:w="1440" w:type="dxa"/>
            <w:vMerge w:val="restart"/>
            <w:shd w:val="clear" w:color="auto" w:fill="00AFEF"/>
          </w:tcPr>
          <w:p w14:paraId="6087138D" w14:textId="77777777" w:rsidR="008715BE" w:rsidRPr="00EC75B7" w:rsidRDefault="008715BE">
            <w:pPr>
              <w:pStyle w:val="TableParagraph"/>
              <w:rPr>
                <w:rFonts w:ascii="Verdana" w:hAnsi="Verdana"/>
                <w:b/>
                <w:sz w:val="18"/>
                <w:szCs w:val="18"/>
              </w:rPr>
            </w:pPr>
          </w:p>
          <w:p w14:paraId="3905E6C8" w14:textId="77777777" w:rsidR="008715BE" w:rsidRPr="00EC75B7" w:rsidRDefault="008715BE">
            <w:pPr>
              <w:pStyle w:val="TableParagraph"/>
              <w:spacing w:before="177"/>
              <w:rPr>
                <w:rFonts w:ascii="Verdana" w:hAnsi="Verdana"/>
                <w:b/>
                <w:sz w:val="18"/>
                <w:szCs w:val="18"/>
              </w:rPr>
            </w:pPr>
          </w:p>
          <w:p w14:paraId="32736957" w14:textId="77777777" w:rsidR="008715BE" w:rsidRPr="00EC75B7" w:rsidRDefault="00000000">
            <w:pPr>
              <w:pStyle w:val="TableParagraph"/>
              <w:ind w:left="455"/>
              <w:rPr>
                <w:rFonts w:ascii="Verdana" w:hAnsi="Verdana"/>
                <w:b/>
                <w:sz w:val="18"/>
                <w:szCs w:val="18"/>
              </w:rPr>
            </w:pPr>
            <w:r w:rsidRPr="00EC75B7">
              <w:rPr>
                <w:rFonts w:ascii="Verdana" w:hAnsi="Verdana"/>
                <w:b/>
                <w:color w:val="FFFFFF"/>
                <w:spacing w:val="-2"/>
                <w:sz w:val="18"/>
                <w:szCs w:val="18"/>
              </w:rPr>
              <w:t>Budget</w:t>
            </w:r>
          </w:p>
        </w:tc>
      </w:tr>
      <w:tr w:rsidR="008715BE" w:rsidRPr="00EC75B7" w14:paraId="78300F48" w14:textId="77777777">
        <w:trPr>
          <w:trHeight w:val="1005"/>
        </w:trPr>
        <w:tc>
          <w:tcPr>
            <w:tcW w:w="6645" w:type="dxa"/>
            <w:gridSpan w:val="2"/>
            <w:vMerge/>
            <w:tcBorders>
              <w:top w:val="nil"/>
            </w:tcBorders>
            <w:shd w:val="clear" w:color="auto" w:fill="00AFEF"/>
          </w:tcPr>
          <w:p w14:paraId="6EDEE2AF" w14:textId="77777777" w:rsidR="008715BE" w:rsidRPr="00EC75B7" w:rsidRDefault="008715BE">
            <w:pPr>
              <w:rPr>
                <w:rFonts w:ascii="Verdana" w:hAnsi="Verdana"/>
                <w:sz w:val="18"/>
                <w:szCs w:val="18"/>
              </w:rPr>
            </w:pPr>
          </w:p>
        </w:tc>
        <w:tc>
          <w:tcPr>
            <w:tcW w:w="1809" w:type="dxa"/>
            <w:vMerge/>
            <w:tcBorders>
              <w:top w:val="nil"/>
            </w:tcBorders>
            <w:shd w:val="clear" w:color="auto" w:fill="00AFEF"/>
          </w:tcPr>
          <w:p w14:paraId="77AB4E01"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01DC7514" w14:textId="77777777" w:rsidR="008715BE" w:rsidRPr="00EC75B7" w:rsidRDefault="008715BE">
            <w:pPr>
              <w:rPr>
                <w:rFonts w:ascii="Verdana" w:hAnsi="Verdana"/>
                <w:sz w:val="18"/>
                <w:szCs w:val="18"/>
              </w:rPr>
            </w:pPr>
          </w:p>
        </w:tc>
        <w:tc>
          <w:tcPr>
            <w:tcW w:w="1351" w:type="dxa"/>
            <w:vMerge/>
            <w:tcBorders>
              <w:top w:val="nil"/>
            </w:tcBorders>
            <w:shd w:val="clear" w:color="auto" w:fill="00AFEF"/>
          </w:tcPr>
          <w:p w14:paraId="0184255C" w14:textId="77777777" w:rsidR="008715BE" w:rsidRPr="00EC75B7" w:rsidRDefault="008715BE">
            <w:pPr>
              <w:rPr>
                <w:rFonts w:ascii="Verdana" w:hAnsi="Verdana"/>
                <w:sz w:val="18"/>
                <w:szCs w:val="18"/>
              </w:rPr>
            </w:pPr>
          </w:p>
        </w:tc>
        <w:tc>
          <w:tcPr>
            <w:tcW w:w="269" w:type="dxa"/>
            <w:shd w:val="clear" w:color="auto" w:fill="00AFEF"/>
          </w:tcPr>
          <w:p w14:paraId="4599EA87" w14:textId="77777777" w:rsidR="008715BE" w:rsidRPr="00EC75B7" w:rsidRDefault="008715BE">
            <w:pPr>
              <w:pStyle w:val="TableParagraph"/>
              <w:rPr>
                <w:rFonts w:ascii="Verdana" w:hAnsi="Verdana"/>
                <w:b/>
                <w:sz w:val="18"/>
                <w:szCs w:val="18"/>
              </w:rPr>
            </w:pPr>
          </w:p>
          <w:p w14:paraId="3CC71F0B" w14:textId="77777777" w:rsidR="008715BE" w:rsidRPr="00EC75B7" w:rsidRDefault="008715BE">
            <w:pPr>
              <w:pStyle w:val="TableParagraph"/>
              <w:spacing w:before="23"/>
              <w:rPr>
                <w:rFonts w:ascii="Verdana" w:hAnsi="Verdana"/>
                <w:b/>
                <w:sz w:val="18"/>
                <w:szCs w:val="18"/>
              </w:rPr>
            </w:pPr>
          </w:p>
          <w:p w14:paraId="3DFEC635" w14:textId="77777777" w:rsidR="008715BE" w:rsidRPr="00EC75B7" w:rsidRDefault="00000000">
            <w:pPr>
              <w:pStyle w:val="TableParagraph"/>
              <w:ind w:left="70"/>
              <w:jc w:val="center"/>
              <w:rPr>
                <w:rFonts w:ascii="Verdana" w:hAnsi="Verdana"/>
                <w:b/>
                <w:sz w:val="18"/>
                <w:szCs w:val="18"/>
              </w:rPr>
            </w:pPr>
            <w:r w:rsidRPr="00EC75B7">
              <w:rPr>
                <w:rFonts w:ascii="Verdana" w:hAnsi="Verdana"/>
                <w:b/>
                <w:color w:val="FFFFFF"/>
                <w:spacing w:val="-10"/>
                <w:sz w:val="18"/>
                <w:szCs w:val="18"/>
              </w:rPr>
              <w:t>1</w:t>
            </w:r>
          </w:p>
        </w:tc>
        <w:tc>
          <w:tcPr>
            <w:tcW w:w="295" w:type="dxa"/>
            <w:shd w:val="clear" w:color="auto" w:fill="00AFEF"/>
          </w:tcPr>
          <w:p w14:paraId="7206B797" w14:textId="77777777" w:rsidR="008715BE" w:rsidRPr="00EC75B7" w:rsidRDefault="008715BE">
            <w:pPr>
              <w:pStyle w:val="TableParagraph"/>
              <w:rPr>
                <w:rFonts w:ascii="Verdana" w:hAnsi="Verdana"/>
                <w:b/>
                <w:sz w:val="18"/>
                <w:szCs w:val="18"/>
              </w:rPr>
            </w:pPr>
          </w:p>
          <w:p w14:paraId="06BE21FB" w14:textId="77777777" w:rsidR="008715BE" w:rsidRPr="00EC75B7" w:rsidRDefault="008715BE">
            <w:pPr>
              <w:pStyle w:val="TableParagraph"/>
              <w:spacing w:before="23"/>
              <w:rPr>
                <w:rFonts w:ascii="Verdana" w:hAnsi="Verdana"/>
                <w:b/>
                <w:sz w:val="18"/>
                <w:szCs w:val="18"/>
              </w:rPr>
            </w:pPr>
          </w:p>
          <w:p w14:paraId="472A530E" w14:textId="77777777" w:rsidR="008715BE" w:rsidRPr="00EC75B7" w:rsidRDefault="00000000">
            <w:pPr>
              <w:pStyle w:val="TableParagraph"/>
              <w:ind w:left="49"/>
              <w:jc w:val="center"/>
              <w:rPr>
                <w:rFonts w:ascii="Verdana" w:hAnsi="Verdana"/>
                <w:b/>
                <w:sz w:val="18"/>
                <w:szCs w:val="18"/>
              </w:rPr>
            </w:pPr>
            <w:r w:rsidRPr="00EC75B7">
              <w:rPr>
                <w:rFonts w:ascii="Verdana" w:hAnsi="Verdana"/>
                <w:b/>
                <w:color w:val="FFFFFF"/>
                <w:spacing w:val="-10"/>
                <w:sz w:val="18"/>
                <w:szCs w:val="18"/>
              </w:rPr>
              <w:t>2</w:t>
            </w:r>
          </w:p>
        </w:tc>
        <w:tc>
          <w:tcPr>
            <w:tcW w:w="331" w:type="dxa"/>
            <w:shd w:val="clear" w:color="auto" w:fill="00AFEF"/>
          </w:tcPr>
          <w:p w14:paraId="3DC114C1" w14:textId="77777777" w:rsidR="008715BE" w:rsidRPr="00EC75B7" w:rsidRDefault="008715BE">
            <w:pPr>
              <w:pStyle w:val="TableParagraph"/>
              <w:rPr>
                <w:rFonts w:ascii="Verdana" w:hAnsi="Verdana"/>
                <w:b/>
                <w:sz w:val="18"/>
                <w:szCs w:val="18"/>
              </w:rPr>
            </w:pPr>
          </w:p>
          <w:p w14:paraId="334613B2" w14:textId="77777777" w:rsidR="008715BE" w:rsidRPr="00EC75B7" w:rsidRDefault="008715BE">
            <w:pPr>
              <w:pStyle w:val="TableParagraph"/>
              <w:spacing w:before="23"/>
              <w:rPr>
                <w:rFonts w:ascii="Verdana" w:hAnsi="Verdana"/>
                <w:b/>
                <w:sz w:val="18"/>
                <w:szCs w:val="18"/>
              </w:rPr>
            </w:pPr>
          </w:p>
          <w:p w14:paraId="226E5681"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3</w:t>
            </w:r>
          </w:p>
        </w:tc>
        <w:tc>
          <w:tcPr>
            <w:tcW w:w="329" w:type="dxa"/>
            <w:shd w:val="clear" w:color="auto" w:fill="00AFEF"/>
          </w:tcPr>
          <w:p w14:paraId="7DF9473C" w14:textId="77777777" w:rsidR="008715BE" w:rsidRPr="00EC75B7" w:rsidRDefault="008715BE">
            <w:pPr>
              <w:pStyle w:val="TableParagraph"/>
              <w:rPr>
                <w:rFonts w:ascii="Verdana" w:hAnsi="Verdana"/>
                <w:b/>
                <w:sz w:val="18"/>
                <w:szCs w:val="18"/>
              </w:rPr>
            </w:pPr>
          </w:p>
          <w:p w14:paraId="5F2EC7B9" w14:textId="77777777" w:rsidR="008715BE" w:rsidRPr="00EC75B7" w:rsidRDefault="008715BE">
            <w:pPr>
              <w:pStyle w:val="TableParagraph"/>
              <w:spacing w:before="23"/>
              <w:rPr>
                <w:rFonts w:ascii="Verdana" w:hAnsi="Verdana"/>
                <w:b/>
                <w:sz w:val="18"/>
                <w:szCs w:val="18"/>
              </w:rPr>
            </w:pPr>
          </w:p>
          <w:p w14:paraId="20B0F906"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4</w:t>
            </w:r>
          </w:p>
        </w:tc>
        <w:tc>
          <w:tcPr>
            <w:tcW w:w="331" w:type="dxa"/>
            <w:shd w:val="clear" w:color="auto" w:fill="00AFEF"/>
          </w:tcPr>
          <w:p w14:paraId="404E1579" w14:textId="77777777" w:rsidR="008715BE" w:rsidRPr="00EC75B7" w:rsidRDefault="008715BE">
            <w:pPr>
              <w:pStyle w:val="TableParagraph"/>
              <w:rPr>
                <w:rFonts w:ascii="Verdana" w:hAnsi="Verdana"/>
                <w:b/>
                <w:sz w:val="18"/>
                <w:szCs w:val="18"/>
              </w:rPr>
            </w:pPr>
          </w:p>
          <w:p w14:paraId="0E9AA8F0" w14:textId="77777777" w:rsidR="008715BE" w:rsidRPr="00EC75B7" w:rsidRDefault="008715BE">
            <w:pPr>
              <w:pStyle w:val="TableParagraph"/>
              <w:spacing w:before="23"/>
              <w:rPr>
                <w:rFonts w:ascii="Verdana" w:hAnsi="Verdana"/>
                <w:b/>
                <w:sz w:val="18"/>
                <w:szCs w:val="18"/>
              </w:rPr>
            </w:pPr>
          </w:p>
          <w:p w14:paraId="5E4FBAD4"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5</w:t>
            </w:r>
          </w:p>
        </w:tc>
        <w:tc>
          <w:tcPr>
            <w:tcW w:w="329" w:type="dxa"/>
            <w:shd w:val="clear" w:color="auto" w:fill="00AFEF"/>
          </w:tcPr>
          <w:p w14:paraId="33BF4756" w14:textId="77777777" w:rsidR="008715BE" w:rsidRPr="00EC75B7" w:rsidRDefault="008715BE">
            <w:pPr>
              <w:pStyle w:val="TableParagraph"/>
              <w:rPr>
                <w:rFonts w:ascii="Verdana" w:hAnsi="Verdana"/>
                <w:b/>
                <w:sz w:val="18"/>
                <w:szCs w:val="18"/>
              </w:rPr>
            </w:pPr>
          </w:p>
          <w:p w14:paraId="4C206C6F" w14:textId="77777777" w:rsidR="008715BE" w:rsidRPr="00EC75B7" w:rsidRDefault="008715BE">
            <w:pPr>
              <w:pStyle w:val="TableParagraph"/>
              <w:spacing w:before="23"/>
              <w:rPr>
                <w:rFonts w:ascii="Verdana" w:hAnsi="Verdana"/>
                <w:b/>
                <w:sz w:val="18"/>
                <w:szCs w:val="18"/>
              </w:rPr>
            </w:pPr>
          </w:p>
          <w:p w14:paraId="12ECAF06"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6</w:t>
            </w:r>
          </w:p>
        </w:tc>
        <w:tc>
          <w:tcPr>
            <w:tcW w:w="332" w:type="dxa"/>
            <w:shd w:val="clear" w:color="auto" w:fill="00AFEF"/>
          </w:tcPr>
          <w:p w14:paraId="1D0344B6" w14:textId="77777777" w:rsidR="008715BE" w:rsidRPr="00EC75B7" w:rsidRDefault="008715BE">
            <w:pPr>
              <w:pStyle w:val="TableParagraph"/>
              <w:rPr>
                <w:rFonts w:ascii="Verdana" w:hAnsi="Verdana"/>
                <w:b/>
                <w:sz w:val="18"/>
                <w:szCs w:val="18"/>
              </w:rPr>
            </w:pPr>
          </w:p>
          <w:p w14:paraId="216FB131" w14:textId="77777777" w:rsidR="008715BE" w:rsidRPr="00EC75B7" w:rsidRDefault="008715BE">
            <w:pPr>
              <w:pStyle w:val="TableParagraph"/>
              <w:spacing w:before="23"/>
              <w:rPr>
                <w:rFonts w:ascii="Verdana" w:hAnsi="Verdana"/>
                <w:b/>
                <w:sz w:val="18"/>
                <w:szCs w:val="18"/>
              </w:rPr>
            </w:pPr>
          </w:p>
          <w:p w14:paraId="54ED6BAF"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7</w:t>
            </w:r>
          </w:p>
        </w:tc>
        <w:tc>
          <w:tcPr>
            <w:tcW w:w="329" w:type="dxa"/>
            <w:shd w:val="clear" w:color="auto" w:fill="00AFEF"/>
          </w:tcPr>
          <w:p w14:paraId="3348EBF8" w14:textId="77777777" w:rsidR="008715BE" w:rsidRPr="00EC75B7" w:rsidRDefault="008715BE">
            <w:pPr>
              <w:pStyle w:val="TableParagraph"/>
              <w:rPr>
                <w:rFonts w:ascii="Verdana" w:hAnsi="Verdana"/>
                <w:b/>
                <w:sz w:val="18"/>
                <w:szCs w:val="18"/>
              </w:rPr>
            </w:pPr>
          </w:p>
          <w:p w14:paraId="0F91694E" w14:textId="77777777" w:rsidR="008715BE" w:rsidRPr="00EC75B7" w:rsidRDefault="008715BE">
            <w:pPr>
              <w:pStyle w:val="TableParagraph"/>
              <w:spacing w:before="23"/>
              <w:rPr>
                <w:rFonts w:ascii="Verdana" w:hAnsi="Verdana"/>
                <w:b/>
                <w:sz w:val="18"/>
                <w:szCs w:val="18"/>
              </w:rPr>
            </w:pPr>
          </w:p>
          <w:p w14:paraId="58819181" w14:textId="77777777" w:rsidR="008715BE" w:rsidRPr="00EC75B7" w:rsidRDefault="00000000">
            <w:pPr>
              <w:pStyle w:val="TableParagraph"/>
              <w:ind w:left="16" w:right="1"/>
              <w:jc w:val="center"/>
              <w:rPr>
                <w:rFonts w:ascii="Verdana" w:hAnsi="Verdana"/>
                <w:b/>
                <w:sz w:val="18"/>
                <w:szCs w:val="18"/>
              </w:rPr>
            </w:pPr>
            <w:r w:rsidRPr="00EC75B7">
              <w:rPr>
                <w:rFonts w:ascii="Verdana" w:hAnsi="Verdana"/>
                <w:b/>
                <w:color w:val="FFFFFF"/>
                <w:spacing w:val="-10"/>
                <w:sz w:val="18"/>
                <w:szCs w:val="18"/>
              </w:rPr>
              <w:t>8</w:t>
            </w:r>
          </w:p>
        </w:tc>
        <w:tc>
          <w:tcPr>
            <w:tcW w:w="336" w:type="dxa"/>
            <w:shd w:val="clear" w:color="auto" w:fill="00AFEF"/>
          </w:tcPr>
          <w:p w14:paraId="7DB7D63B" w14:textId="77777777" w:rsidR="008715BE" w:rsidRPr="00EC75B7" w:rsidRDefault="008715BE">
            <w:pPr>
              <w:pStyle w:val="TableParagraph"/>
              <w:rPr>
                <w:rFonts w:ascii="Verdana" w:hAnsi="Verdana"/>
                <w:b/>
                <w:sz w:val="18"/>
                <w:szCs w:val="18"/>
              </w:rPr>
            </w:pPr>
          </w:p>
          <w:p w14:paraId="10A28382" w14:textId="77777777" w:rsidR="008715BE" w:rsidRPr="00EC75B7" w:rsidRDefault="008715BE">
            <w:pPr>
              <w:pStyle w:val="TableParagraph"/>
              <w:spacing w:before="23"/>
              <w:rPr>
                <w:rFonts w:ascii="Verdana" w:hAnsi="Verdana"/>
                <w:b/>
                <w:sz w:val="18"/>
                <w:szCs w:val="18"/>
              </w:rPr>
            </w:pPr>
          </w:p>
          <w:p w14:paraId="459BBF42"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10"/>
                <w:sz w:val="18"/>
                <w:szCs w:val="18"/>
              </w:rPr>
              <w:t>9</w:t>
            </w:r>
          </w:p>
        </w:tc>
        <w:tc>
          <w:tcPr>
            <w:tcW w:w="449" w:type="dxa"/>
            <w:shd w:val="clear" w:color="auto" w:fill="00AFEF"/>
          </w:tcPr>
          <w:p w14:paraId="03052730" w14:textId="77777777" w:rsidR="008715BE" w:rsidRPr="00EC75B7" w:rsidRDefault="008715BE">
            <w:pPr>
              <w:pStyle w:val="TableParagraph"/>
              <w:rPr>
                <w:rFonts w:ascii="Verdana" w:hAnsi="Verdana"/>
                <w:b/>
                <w:sz w:val="18"/>
                <w:szCs w:val="18"/>
              </w:rPr>
            </w:pPr>
          </w:p>
          <w:p w14:paraId="77BD189A" w14:textId="77777777" w:rsidR="008715BE" w:rsidRPr="00EC75B7" w:rsidRDefault="008715BE">
            <w:pPr>
              <w:pStyle w:val="TableParagraph"/>
              <w:spacing w:before="23"/>
              <w:rPr>
                <w:rFonts w:ascii="Verdana" w:hAnsi="Verdana"/>
                <w:b/>
                <w:sz w:val="18"/>
                <w:szCs w:val="18"/>
              </w:rPr>
            </w:pPr>
          </w:p>
          <w:p w14:paraId="2C65C6AF"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10</w:t>
            </w:r>
          </w:p>
        </w:tc>
        <w:tc>
          <w:tcPr>
            <w:tcW w:w="451" w:type="dxa"/>
            <w:shd w:val="clear" w:color="auto" w:fill="00AFEF"/>
          </w:tcPr>
          <w:p w14:paraId="5783DFFE" w14:textId="77777777" w:rsidR="008715BE" w:rsidRPr="00EC75B7" w:rsidRDefault="008715BE">
            <w:pPr>
              <w:pStyle w:val="TableParagraph"/>
              <w:rPr>
                <w:rFonts w:ascii="Verdana" w:hAnsi="Verdana"/>
                <w:b/>
                <w:sz w:val="18"/>
                <w:szCs w:val="18"/>
              </w:rPr>
            </w:pPr>
          </w:p>
          <w:p w14:paraId="79350ADB" w14:textId="77777777" w:rsidR="008715BE" w:rsidRPr="00EC75B7" w:rsidRDefault="008715BE">
            <w:pPr>
              <w:pStyle w:val="TableParagraph"/>
              <w:spacing w:before="23"/>
              <w:rPr>
                <w:rFonts w:ascii="Verdana" w:hAnsi="Verdana"/>
                <w:b/>
                <w:sz w:val="18"/>
                <w:szCs w:val="18"/>
              </w:rPr>
            </w:pPr>
          </w:p>
          <w:p w14:paraId="02EE6FDE"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5"/>
                <w:sz w:val="18"/>
                <w:szCs w:val="18"/>
              </w:rPr>
              <w:t>11</w:t>
            </w:r>
          </w:p>
        </w:tc>
        <w:tc>
          <w:tcPr>
            <w:tcW w:w="449" w:type="dxa"/>
            <w:shd w:val="clear" w:color="auto" w:fill="00AFEF"/>
          </w:tcPr>
          <w:p w14:paraId="10465851" w14:textId="77777777" w:rsidR="008715BE" w:rsidRPr="00EC75B7" w:rsidRDefault="008715BE">
            <w:pPr>
              <w:pStyle w:val="TableParagraph"/>
              <w:rPr>
                <w:rFonts w:ascii="Verdana" w:hAnsi="Verdana"/>
                <w:b/>
                <w:sz w:val="18"/>
                <w:szCs w:val="18"/>
              </w:rPr>
            </w:pPr>
          </w:p>
          <w:p w14:paraId="75B6C589" w14:textId="77777777" w:rsidR="008715BE" w:rsidRPr="00EC75B7" w:rsidRDefault="008715BE">
            <w:pPr>
              <w:pStyle w:val="TableParagraph"/>
              <w:spacing w:before="23"/>
              <w:rPr>
                <w:rFonts w:ascii="Verdana" w:hAnsi="Verdana"/>
                <w:b/>
                <w:sz w:val="18"/>
                <w:szCs w:val="18"/>
              </w:rPr>
            </w:pPr>
          </w:p>
          <w:p w14:paraId="7FC50CC1"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12</w:t>
            </w:r>
          </w:p>
        </w:tc>
        <w:tc>
          <w:tcPr>
            <w:tcW w:w="1891" w:type="dxa"/>
            <w:vMerge/>
            <w:tcBorders>
              <w:top w:val="nil"/>
            </w:tcBorders>
            <w:shd w:val="clear" w:color="auto" w:fill="00AFEF"/>
          </w:tcPr>
          <w:p w14:paraId="45874F35"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72F69146" w14:textId="77777777" w:rsidR="008715BE" w:rsidRPr="00EC75B7" w:rsidRDefault="008715BE">
            <w:pPr>
              <w:rPr>
                <w:rFonts w:ascii="Verdana" w:hAnsi="Verdana"/>
                <w:sz w:val="18"/>
                <w:szCs w:val="18"/>
              </w:rPr>
            </w:pPr>
          </w:p>
        </w:tc>
      </w:tr>
      <w:tr w:rsidR="008715BE" w:rsidRPr="00EC75B7" w14:paraId="019E65CC" w14:textId="77777777">
        <w:trPr>
          <w:trHeight w:val="299"/>
        </w:trPr>
        <w:tc>
          <w:tcPr>
            <w:tcW w:w="18806" w:type="dxa"/>
            <w:gridSpan w:val="19"/>
          </w:tcPr>
          <w:p w14:paraId="66C729E0" w14:textId="77777777" w:rsidR="008715BE" w:rsidRPr="00EC75B7" w:rsidRDefault="00000000">
            <w:pPr>
              <w:pStyle w:val="TableParagraph"/>
              <w:spacing w:before="61"/>
              <w:ind w:left="9"/>
              <w:jc w:val="center"/>
              <w:rPr>
                <w:rFonts w:ascii="Verdana" w:hAnsi="Verdana"/>
                <w:b/>
                <w:sz w:val="18"/>
                <w:szCs w:val="18"/>
              </w:rPr>
            </w:pPr>
            <w:r w:rsidRPr="00EC75B7">
              <w:rPr>
                <w:rFonts w:ascii="Verdana" w:hAnsi="Verdana"/>
                <w:b/>
                <w:spacing w:val="-2"/>
                <w:sz w:val="18"/>
                <w:szCs w:val="18"/>
              </w:rPr>
              <w:t xml:space="preserve">General </w:t>
            </w:r>
            <w:r w:rsidRPr="00EC75B7">
              <w:rPr>
                <w:rFonts w:ascii="Verdana" w:hAnsi="Verdana"/>
                <w:b/>
                <w:sz w:val="18"/>
                <w:szCs w:val="18"/>
              </w:rPr>
              <w:t>measures</w:t>
            </w:r>
          </w:p>
        </w:tc>
      </w:tr>
      <w:tr w:rsidR="008715BE" w:rsidRPr="00EC75B7" w14:paraId="6CB4F500" w14:textId="77777777">
        <w:trPr>
          <w:trHeight w:val="2138"/>
        </w:trPr>
        <w:tc>
          <w:tcPr>
            <w:tcW w:w="554" w:type="dxa"/>
          </w:tcPr>
          <w:p w14:paraId="34B3FA68" w14:textId="77777777" w:rsidR="008715BE" w:rsidRPr="00EC75B7" w:rsidRDefault="008715BE">
            <w:pPr>
              <w:pStyle w:val="TableParagraph"/>
              <w:rPr>
                <w:rFonts w:ascii="Verdana" w:hAnsi="Verdana"/>
                <w:b/>
                <w:sz w:val="18"/>
                <w:szCs w:val="18"/>
              </w:rPr>
            </w:pPr>
          </w:p>
          <w:p w14:paraId="779A4391" w14:textId="77777777" w:rsidR="008715BE" w:rsidRPr="00EC75B7" w:rsidRDefault="008715BE">
            <w:pPr>
              <w:pStyle w:val="TableParagraph"/>
              <w:rPr>
                <w:rFonts w:ascii="Verdana" w:hAnsi="Verdana"/>
                <w:b/>
                <w:sz w:val="18"/>
                <w:szCs w:val="18"/>
              </w:rPr>
            </w:pPr>
          </w:p>
          <w:p w14:paraId="741F0A92" w14:textId="77777777" w:rsidR="008715BE" w:rsidRPr="00EC75B7" w:rsidRDefault="008715BE">
            <w:pPr>
              <w:pStyle w:val="TableParagraph"/>
              <w:rPr>
                <w:rFonts w:ascii="Verdana" w:hAnsi="Verdana"/>
                <w:b/>
                <w:sz w:val="18"/>
                <w:szCs w:val="18"/>
              </w:rPr>
            </w:pPr>
          </w:p>
          <w:p w14:paraId="65E5730E" w14:textId="77777777" w:rsidR="008715BE" w:rsidRPr="00EC75B7" w:rsidRDefault="008715BE">
            <w:pPr>
              <w:pStyle w:val="TableParagraph"/>
              <w:rPr>
                <w:rFonts w:ascii="Verdana" w:hAnsi="Verdana"/>
                <w:b/>
                <w:sz w:val="18"/>
                <w:szCs w:val="18"/>
              </w:rPr>
            </w:pPr>
          </w:p>
          <w:p w14:paraId="2E7BCF35" w14:textId="77777777" w:rsidR="008715BE" w:rsidRPr="00EC75B7" w:rsidRDefault="008715BE">
            <w:pPr>
              <w:pStyle w:val="TableParagraph"/>
              <w:spacing w:before="3"/>
              <w:rPr>
                <w:rFonts w:ascii="Verdana" w:hAnsi="Verdana"/>
                <w:b/>
                <w:sz w:val="18"/>
                <w:szCs w:val="18"/>
              </w:rPr>
            </w:pPr>
          </w:p>
          <w:p w14:paraId="5EC8E60A"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M1</w:t>
            </w:r>
          </w:p>
        </w:tc>
        <w:tc>
          <w:tcPr>
            <w:tcW w:w="6091" w:type="dxa"/>
          </w:tcPr>
          <w:p w14:paraId="5C2DF9E7" w14:textId="77777777" w:rsidR="008715BE" w:rsidRPr="00EC75B7" w:rsidRDefault="008715BE">
            <w:pPr>
              <w:pStyle w:val="TableParagraph"/>
              <w:rPr>
                <w:rFonts w:ascii="Verdana" w:hAnsi="Verdana"/>
                <w:b/>
                <w:sz w:val="18"/>
                <w:szCs w:val="18"/>
              </w:rPr>
            </w:pPr>
          </w:p>
          <w:p w14:paraId="6AD8FED0" w14:textId="77777777" w:rsidR="008715BE" w:rsidRPr="00EC75B7" w:rsidRDefault="008715BE">
            <w:pPr>
              <w:pStyle w:val="TableParagraph"/>
              <w:spacing w:before="104"/>
              <w:rPr>
                <w:rFonts w:ascii="Verdana" w:hAnsi="Verdana"/>
                <w:b/>
                <w:sz w:val="18"/>
                <w:szCs w:val="18"/>
              </w:rPr>
            </w:pPr>
          </w:p>
          <w:p w14:paraId="21B460FC" w14:textId="77777777" w:rsidR="008715BE" w:rsidRPr="00EC75B7" w:rsidRDefault="00000000">
            <w:pPr>
              <w:pStyle w:val="TableParagraph"/>
              <w:spacing w:before="1"/>
              <w:ind w:left="108" w:right="168"/>
              <w:rPr>
                <w:rFonts w:ascii="Verdana" w:hAnsi="Verdana"/>
                <w:sz w:val="18"/>
                <w:szCs w:val="18"/>
              </w:rPr>
            </w:pPr>
            <w:r w:rsidRPr="00EC75B7">
              <w:rPr>
                <w:rFonts w:ascii="Verdana" w:hAnsi="Verdana"/>
                <w:sz w:val="18"/>
                <w:szCs w:val="18"/>
              </w:rPr>
              <w:t>Conduct regular training for all personnel involved in construction/decommissioning works on general environmental issues, habitats and protected species, and measures to avoid and reduce impacts. Particular attention shall be paid to issues related to the prohibition of collecting plants and animals or deliberately injuring/killing protected species.</w:t>
            </w:r>
          </w:p>
        </w:tc>
        <w:tc>
          <w:tcPr>
            <w:tcW w:w="1809" w:type="dxa"/>
          </w:tcPr>
          <w:p w14:paraId="1FF95AEC"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3C21CC21"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77A0D0E5"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6F7AE942" w14:textId="77777777" w:rsidR="008715BE" w:rsidRPr="00EC75B7" w:rsidRDefault="008715BE">
            <w:pPr>
              <w:pStyle w:val="TableParagraph"/>
              <w:spacing w:before="105"/>
              <w:rPr>
                <w:rFonts w:ascii="Verdana" w:hAnsi="Verdana"/>
                <w:b/>
                <w:sz w:val="18"/>
                <w:szCs w:val="18"/>
              </w:rPr>
            </w:pPr>
          </w:p>
          <w:p w14:paraId="595383C8"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73F384C4" w14:textId="77777777" w:rsidR="008715BE" w:rsidRPr="00EC75B7" w:rsidRDefault="008715BE">
            <w:pPr>
              <w:pStyle w:val="TableParagraph"/>
              <w:rPr>
                <w:rFonts w:ascii="Verdana" w:hAnsi="Verdana"/>
                <w:b/>
                <w:sz w:val="18"/>
                <w:szCs w:val="18"/>
              </w:rPr>
            </w:pPr>
          </w:p>
          <w:p w14:paraId="60394FBB" w14:textId="77777777" w:rsidR="008715BE" w:rsidRPr="00EC75B7" w:rsidRDefault="008715BE">
            <w:pPr>
              <w:pStyle w:val="TableParagraph"/>
              <w:rPr>
                <w:rFonts w:ascii="Verdana" w:hAnsi="Verdana"/>
                <w:b/>
                <w:sz w:val="18"/>
                <w:szCs w:val="18"/>
              </w:rPr>
            </w:pPr>
          </w:p>
          <w:p w14:paraId="11B4B4F1" w14:textId="77777777" w:rsidR="008715BE" w:rsidRPr="00EC75B7" w:rsidRDefault="008715BE">
            <w:pPr>
              <w:pStyle w:val="TableParagraph"/>
              <w:rPr>
                <w:rFonts w:ascii="Verdana" w:hAnsi="Verdana"/>
                <w:b/>
                <w:sz w:val="18"/>
                <w:szCs w:val="18"/>
              </w:rPr>
            </w:pPr>
          </w:p>
          <w:p w14:paraId="5C8E4CA1" w14:textId="77777777" w:rsidR="008715BE" w:rsidRPr="00EC75B7" w:rsidRDefault="008715BE">
            <w:pPr>
              <w:pStyle w:val="TableParagraph"/>
              <w:spacing w:before="103"/>
              <w:rPr>
                <w:rFonts w:ascii="Verdana" w:hAnsi="Verdana"/>
                <w:b/>
                <w:sz w:val="18"/>
                <w:szCs w:val="18"/>
              </w:rPr>
            </w:pPr>
          </w:p>
          <w:p w14:paraId="5A1E967A" w14:textId="77777777" w:rsidR="008715BE" w:rsidRPr="00EC75B7" w:rsidRDefault="00000000">
            <w:pPr>
              <w:pStyle w:val="TableParagraph"/>
              <w:ind w:left="280" w:right="102" w:hanging="164"/>
              <w:rPr>
                <w:rFonts w:ascii="Verdana" w:hAnsi="Verdana"/>
                <w:sz w:val="18"/>
                <w:szCs w:val="18"/>
              </w:rPr>
            </w:pPr>
            <w:r w:rsidRPr="00EC75B7">
              <w:rPr>
                <w:rFonts w:ascii="Verdana" w:hAnsi="Verdana"/>
                <w:sz w:val="18"/>
                <w:szCs w:val="18"/>
              </w:rPr>
              <w:t>All forms of impact</w:t>
            </w:r>
          </w:p>
        </w:tc>
        <w:tc>
          <w:tcPr>
            <w:tcW w:w="269" w:type="dxa"/>
          </w:tcPr>
          <w:p w14:paraId="627FA5ED" w14:textId="77777777" w:rsidR="008715BE" w:rsidRPr="00EC75B7" w:rsidRDefault="008715BE">
            <w:pPr>
              <w:pStyle w:val="TableParagraph"/>
              <w:rPr>
                <w:rFonts w:ascii="Verdana" w:hAnsi="Verdana"/>
                <w:b/>
                <w:sz w:val="18"/>
                <w:szCs w:val="18"/>
              </w:rPr>
            </w:pPr>
          </w:p>
          <w:p w14:paraId="560D6C9B" w14:textId="77777777" w:rsidR="008715BE" w:rsidRPr="00EC75B7" w:rsidRDefault="008715BE">
            <w:pPr>
              <w:pStyle w:val="TableParagraph"/>
              <w:rPr>
                <w:rFonts w:ascii="Verdana" w:hAnsi="Verdana"/>
                <w:b/>
                <w:sz w:val="18"/>
                <w:szCs w:val="18"/>
              </w:rPr>
            </w:pPr>
          </w:p>
          <w:p w14:paraId="5C0C6BA5" w14:textId="77777777" w:rsidR="008715BE" w:rsidRPr="00EC75B7" w:rsidRDefault="008715BE">
            <w:pPr>
              <w:pStyle w:val="TableParagraph"/>
              <w:rPr>
                <w:rFonts w:ascii="Verdana" w:hAnsi="Verdana"/>
                <w:b/>
                <w:sz w:val="18"/>
                <w:szCs w:val="18"/>
              </w:rPr>
            </w:pPr>
          </w:p>
          <w:p w14:paraId="638A8403" w14:textId="77777777" w:rsidR="008715BE" w:rsidRPr="00EC75B7" w:rsidRDefault="008715BE">
            <w:pPr>
              <w:pStyle w:val="TableParagraph"/>
              <w:rPr>
                <w:rFonts w:ascii="Verdana" w:hAnsi="Verdana"/>
                <w:b/>
                <w:sz w:val="18"/>
                <w:szCs w:val="18"/>
              </w:rPr>
            </w:pPr>
          </w:p>
          <w:p w14:paraId="53F75695" w14:textId="77777777" w:rsidR="008715BE" w:rsidRPr="00EC75B7" w:rsidRDefault="008715BE">
            <w:pPr>
              <w:pStyle w:val="TableParagraph"/>
              <w:spacing w:before="3"/>
              <w:rPr>
                <w:rFonts w:ascii="Verdana" w:hAnsi="Verdana"/>
                <w:b/>
                <w:sz w:val="18"/>
                <w:szCs w:val="18"/>
              </w:rPr>
            </w:pPr>
          </w:p>
          <w:p w14:paraId="52C176C2"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62F5C824" w14:textId="77777777" w:rsidR="008715BE" w:rsidRPr="00EC75B7" w:rsidRDefault="008715BE">
            <w:pPr>
              <w:pStyle w:val="TableParagraph"/>
              <w:rPr>
                <w:rFonts w:ascii="Verdana" w:hAnsi="Verdana"/>
                <w:b/>
                <w:sz w:val="18"/>
                <w:szCs w:val="18"/>
              </w:rPr>
            </w:pPr>
          </w:p>
          <w:p w14:paraId="0A0BFADA" w14:textId="77777777" w:rsidR="008715BE" w:rsidRPr="00EC75B7" w:rsidRDefault="008715BE">
            <w:pPr>
              <w:pStyle w:val="TableParagraph"/>
              <w:rPr>
                <w:rFonts w:ascii="Verdana" w:hAnsi="Verdana"/>
                <w:b/>
                <w:sz w:val="18"/>
                <w:szCs w:val="18"/>
              </w:rPr>
            </w:pPr>
          </w:p>
          <w:p w14:paraId="08A334A5" w14:textId="77777777" w:rsidR="008715BE" w:rsidRPr="00EC75B7" w:rsidRDefault="008715BE">
            <w:pPr>
              <w:pStyle w:val="TableParagraph"/>
              <w:rPr>
                <w:rFonts w:ascii="Verdana" w:hAnsi="Verdana"/>
                <w:b/>
                <w:sz w:val="18"/>
                <w:szCs w:val="18"/>
              </w:rPr>
            </w:pPr>
          </w:p>
          <w:p w14:paraId="7827614D" w14:textId="77777777" w:rsidR="008715BE" w:rsidRPr="00EC75B7" w:rsidRDefault="008715BE">
            <w:pPr>
              <w:pStyle w:val="TableParagraph"/>
              <w:rPr>
                <w:rFonts w:ascii="Verdana" w:hAnsi="Verdana"/>
                <w:b/>
                <w:sz w:val="18"/>
                <w:szCs w:val="18"/>
              </w:rPr>
            </w:pPr>
          </w:p>
          <w:p w14:paraId="19CCAC21" w14:textId="77777777" w:rsidR="008715BE" w:rsidRPr="00EC75B7" w:rsidRDefault="008715BE">
            <w:pPr>
              <w:pStyle w:val="TableParagraph"/>
              <w:spacing w:before="3"/>
              <w:rPr>
                <w:rFonts w:ascii="Verdana" w:hAnsi="Verdana"/>
                <w:b/>
                <w:sz w:val="18"/>
                <w:szCs w:val="18"/>
              </w:rPr>
            </w:pPr>
          </w:p>
          <w:p w14:paraId="5BF429DB"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40F6956B" w14:textId="77777777" w:rsidR="008715BE" w:rsidRPr="00EC75B7" w:rsidRDefault="008715BE">
            <w:pPr>
              <w:pStyle w:val="TableParagraph"/>
              <w:rPr>
                <w:rFonts w:ascii="Verdana" w:hAnsi="Verdana"/>
                <w:b/>
                <w:sz w:val="18"/>
                <w:szCs w:val="18"/>
              </w:rPr>
            </w:pPr>
          </w:p>
          <w:p w14:paraId="4ECF0210" w14:textId="77777777" w:rsidR="008715BE" w:rsidRPr="00EC75B7" w:rsidRDefault="008715BE">
            <w:pPr>
              <w:pStyle w:val="TableParagraph"/>
              <w:rPr>
                <w:rFonts w:ascii="Verdana" w:hAnsi="Verdana"/>
                <w:b/>
                <w:sz w:val="18"/>
                <w:szCs w:val="18"/>
              </w:rPr>
            </w:pPr>
          </w:p>
          <w:p w14:paraId="768EF1A2" w14:textId="77777777" w:rsidR="008715BE" w:rsidRPr="00EC75B7" w:rsidRDefault="008715BE">
            <w:pPr>
              <w:pStyle w:val="TableParagraph"/>
              <w:rPr>
                <w:rFonts w:ascii="Verdana" w:hAnsi="Verdana"/>
                <w:b/>
                <w:sz w:val="18"/>
                <w:szCs w:val="18"/>
              </w:rPr>
            </w:pPr>
          </w:p>
          <w:p w14:paraId="64D8BB2D" w14:textId="77777777" w:rsidR="008715BE" w:rsidRPr="00EC75B7" w:rsidRDefault="008715BE">
            <w:pPr>
              <w:pStyle w:val="TableParagraph"/>
              <w:rPr>
                <w:rFonts w:ascii="Verdana" w:hAnsi="Verdana"/>
                <w:b/>
                <w:sz w:val="18"/>
                <w:szCs w:val="18"/>
              </w:rPr>
            </w:pPr>
          </w:p>
          <w:p w14:paraId="699199C4" w14:textId="77777777" w:rsidR="008715BE" w:rsidRPr="00EC75B7" w:rsidRDefault="008715BE">
            <w:pPr>
              <w:pStyle w:val="TableParagraph"/>
              <w:spacing w:before="3"/>
              <w:rPr>
                <w:rFonts w:ascii="Verdana" w:hAnsi="Verdana"/>
                <w:b/>
                <w:sz w:val="18"/>
                <w:szCs w:val="18"/>
              </w:rPr>
            </w:pPr>
          </w:p>
          <w:p w14:paraId="11C4EE0A"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4AECB672" w14:textId="77777777" w:rsidR="008715BE" w:rsidRPr="00EC75B7" w:rsidRDefault="008715BE">
            <w:pPr>
              <w:pStyle w:val="TableParagraph"/>
              <w:rPr>
                <w:rFonts w:ascii="Verdana" w:hAnsi="Verdana"/>
                <w:b/>
                <w:sz w:val="18"/>
                <w:szCs w:val="18"/>
              </w:rPr>
            </w:pPr>
          </w:p>
          <w:p w14:paraId="762011D2" w14:textId="77777777" w:rsidR="008715BE" w:rsidRPr="00EC75B7" w:rsidRDefault="008715BE">
            <w:pPr>
              <w:pStyle w:val="TableParagraph"/>
              <w:rPr>
                <w:rFonts w:ascii="Verdana" w:hAnsi="Verdana"/>
                <w:b/>
                <w:sz w:val="18"/>
                <w:szCs w:val="18"/>
              </w:rPr>
            </w:pPr>
          </w:p>
          <w:p w14:paraId="4758A065" w14:textId="77777777" w:rsidR="008715BE" w:rsidRPr="00EC75B7" w:rsidRDefault="008715BE">
            <w:pPr>
              <w:pStyle w:val="TableParagraph"/>
              <w:rPr>
                <w:rFonts w:ascii="Verdana" w:hAnsi="Verdana"/>
                <w:b/>
                <w:sz w:val="18"/>
                <w:szCs w:val="18"/>
              </w:rPr>
            </w:pPr>
          </w:p>
          <w:p w14:paraId="2E0E2D51" w14:textId="77777777" w:rsidR="008715BE" w:rsidRPr="00EC75B7" w:rsidRDefault="008715BE">
            <w:pPr>
              <w:pStyle w:val="TableParagraph"/>
              <w:rPr>
                <w:rFonts w:ascii="Verdana" w:hAnsi="Verdana"/>
                <w:b/>
                <w:sz w:val="18"/>
                <w:szCs w:val="18"/>
              </w:rPr>
            </w:pPr>
          </w:p>
          <w:p w14:paraId="70ED421B" w14:textId="77777777" w:rsidR="008715BE" w:rsidRPr="00EC75B7" w:rsidRDefault="008715BE">
            <w:pPr>
              <w:pStyle w:val="TableParagraph"/>
              <w:spacing w:before="3"/>
              <w:rPr>
                <w:rFonts w:ascii="Verdana" w:hAnsi="Verdana"/>
                <w:b/>
                <w:sz w:val="18"/>
                <w:szCs w:val="18"/>
              </w:rPr>
            </w:pPr>
          </w:p>
          <w:p w14:paraId="590E032A"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099C37C1" w14:textId="77777777" w:rsidR="008715BE" w:rsidRPr="00EC75B7" w:rsidRDefault="008715BE">
            <w:pPr>
              <w:pStyle w:val="TableParagraph"/>
              <w:rPr>
                <w:rFonts w:ascii="Verdana" w:hAnsi="Verdana"/>
                <w:b/>
                <w:sz w:val="18"/>
                <w:szCs w:val="18"/>
              </w:rPr>
            </w:pPr>
          </w:p>
          <w:p w14:paraId="4913A441" w14:textId="77777777" w:rsidR="008715BE" w:rsidRPr="00EC75B7" w:rsidRDefault="008715BE">
            <w:pPr>
              <w:pStyle w:val="TableParagraph"/>
              <w:rPr>
                <w:rFonts w:ascii="Verdana" w:hAnsi="Verdana"/>
                <w:b/>
                <w:sz w:val="18"/>
                <w:szCs w:val="18"/>
              </w:rPr>
            </w:pPr>
          </w:p>
          <w:p w14:paraId="119133D9" w14:textId="77777777" w:rsidR="008715BE" w:rsidRPr="00EC75B7" w:rsidRDefault="008715BE">
            <w:pPr>
              <w:pStyle w:val="TableParagraph"/>
              <w:rPr>
                <w:rFonts w:ascii="Verdana" w:hAnsi="Verdana"/>
                <w:b/>
                <w:sz w:val="18"/>
                <w:szCs w:val="18"/>
              </w:rPr>
            </w:pPr>
          </w:p>
          <w:p w14:paraId="0A7EC455" w14:textId="77777777" w:rsidR="008715BE" w:rsidRPr="00EC75B7" w:rsidRDefault="008715BE">
            <w:pPr>
              <w:pStyle w:val="TableParagraph"/>
              <w:rPr>
                <w:rFonts w:ascii="Verdana" w:hAnsi="Verdana"/>
                <w:b/>
                <w:sz w:val="18"/>
                <w:szCs w:val="18"/>
              </w:rPr>
            </w:pPr>
          </w:p>
          <w:p w14:paraId="3C3EA2B5" w14:textId="77777777" w:rsidR="008715BE" w:rsidRPr="00EC75B7" w:rsidRDefault="008715BE">
            <w:pPr>
              <w:pStyle w:val="TableParagraph"/>
              <w:spacing w:before="3"/>
              <w:rPr>
                <w:rFonts w:ascii="Verdana" w:hAnsi="Verdana"/>
                <w:b/>
                <w:sz w:val="18"/>
                <w:szCs w:val="18"/>
              </w:rPr>
            </w:pPr>
          </w:p>
          <w:p w14:paraId="49F4CB93"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4F32ADBA" w14:textId="77777777" w:rsidR="008715BE" w:rsidRPr="00EC75B7" w:rsidRDefault="008715BE">
            <w:pPr>
              <w:pStyle w:val="TableParagraph"/>
              <w:rPr>
                <w:rFonts w:ascii="Verdana" w:hAnsi="Verdana"/>
                <w:b/>
                <w:sz w:val="18"/>
                <w:szCs w:val="18"/>
              </w:rPr>
            </w:pPr>
          </w:p>
          <w:p w14:paraId="663FA4EA" w14:textId="77777777" w:rsidR="008715BE" w:rsidRPr="00EC75B7" w:rsidRDefault="008715BE">
            <w:pPr>
              <w:pStyle w:val="TableParagraph"/>
              <w:rPr>
                <w:rFonts w:ascii="Verdana" w:hAnsi="Verdana"/>
                <w:b/>
                <w:sz w:val="18"/>
                <w:szCs w:val="18"/>
              </w:rPr>
            </w:pPr>
          </w:p>
          <w:p w14:paraId="32A697E0" w14:textId="77777777" w:rsidR="008715BE" w:rsidRPr="00EC75B7" w:rsidRDefault="008715BE">
            <w:pPr>
              <w:pStyle w:val="TableParagraph"/>
              <w:rPr>
                <w:rFonts w:ascii="Verdana" w:hAnsi="Verdana"/>
                <w:b/>
                <w:sz w:val="18"/>
                <w:szCs w:val="18"/>
              </w:rPr>
            </w:pPr>
          </w:p>
          <w:p w14:paraId="3C1D314F" w14:textId="77777777" w:rsidR="008715BE" w:rsidRPr="00EC75B7" w:rsidRDefault="008715BE">
            <w:pPr>
              <w:pStyle w:val="TableParagraph"/>
              <w:rPr>
                <w:rFonts w:ascii="Verdana" w:hAnsi="Verdana"/>
                <w:b/>
                <w:sz w:val="18"/>
                <w:szCs w:val="18"/>
              </w:rPr>
            </w:pPr>
          </w:p>
          <w:p w14:paraId="46F981BC" w14:textId="77777777" w:rsidR="008715BE" w:rsidRPr="00EC75B7" w:rsidRDefault="008715BE">
            <w:pPr>
              <w:pStyle w:val="TableParagraph"/>
              <w:spacing w:before="3"/>
              <w:rPr>
                <w:rFonts w:ascii="Verdana" w:hAnsi="Verdana"/>
                <w:b/>
                <w:sz w:val="18"/>
                <w:szCs w:val="18"/>
              </w:rPr>
            </w:pPr>
          </w:p>
          <w:p w14:paraId="6CF2E18F"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3CC42A1A" w14:textId="77777777" w:rsidR="008715BE" w:rsidRPr="00EC75B7" w:rsidRDefault="008715BE">
            <w:pPr>
              <w:pStyle w:val="TableParagraph"/>
              <w:rPr>
                <w:rFonts w:ascii="Verdana" w:hAnsi="Verdana"/>
                <w:b/>
                <w:sz w:val="18"/>
                <w:szCs w:val="18"/>
              </w:rPr>
            </w:pPr>
          </w:p>
          <w:p w14:paraId="4C900ABA" w14:textId="77777777" w:rsidR="008715BE" w:rsidRPr="00EC75B7" w:rsidRDefault="008715BE">
            <w:pPr>
              <w:pStyle w:val="TableParagraph"/>
              <w:rPr>
                <w:rFonts w:ascii="Verdana" w:hAnsi="Verdana"/>
                <w:b/>
                <w:sz w:val="18"/>
                <w:szCs w:val="18"/>
              </w:rPr>
            </w:pPr>
          </w:p>
          <w:p w14:paraId="4CF84EE5" w14:textId="77777777" w:rsidR="008715BE" w:rsidRPr="00EC75B7" w:rsidRDefault="008715BE">
            <w:pPr>
              <w:pStyle w:val="TableParagraph"/>
              <w:rPr>
                <w:rFonts w:ascii="Verdana" w:hAnsi="Verdana"/>
                <w:b/>
                <w:sz w:val="18"/>
                <w:szCs w:val="18"/>
              </w:rPr>
            </w:pPr>
          </w:p>
          <w:p w14:paraId="6CF79269" w14:textId="77777777" w:rsidR="008715BE" w:rsidRPr="00EC75B7" w:rsidRDefault="008715BE">
            <w:pPr>
              <w:pStyle w:val="TableParagraph"/>
              <w:rPr>
                <w:rFonts w:ascii="Verdana" w:hAnsi="Verdana"/>
                <w:b/>
                <w:sz w:val="18"/>
                <w:szCs w:val="18"/>
              </w:rPr>
            </w:pPr>
          </w:p>
          <w:p w14:paraId="70B8C392" w14:textId="77777777" w:rsidR="008715BE" w:rsidRPr="00EC75B7" w:rsidRDefault="008715BE">
            <w:pPr>
              <w:pStyle w:val="TableParagraph"/>
              <w:spacing w:before="3"/>
              <w:rPr>
                <w:rFonts w:ascii="Verdana" w:hAnsi="Verdana"/>
                <w:b/>
                <w:sz w:val="18"/>
                <w:szCs w:val="18"/>
              </w:rPr>
            </w:pPr>
          </w:p>
          <w:p w14:paraId="7B33BAEF"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A976F9E" w14:textId="77777777" w:rsidR="008715BE" w:rsidRPr="00EC75B7" w:rsidRDefault="008715BE">
            <w:pPr>
              <w:pStyle w:val="TableParagraph"/>
              <w:rPr>
                <w:rFonts w:ascii="Verdana" w:hAnsi="Verdana"/>
                <w:b/>
                <w:sz w:val="18"/>
                <w:szCs w:val="18"/>
              </w:rPr>
            </w:pPr>
          </w:p>
          <w:p w14:paraId="6EA1BF8F" w14:textId="77777777" w:rsidR="008715BE" w:rsidRPr="00EC75B7" w:rsidRDefault="008715BE">
            <w:pPr>
              <w:pStyle w:val="TableParagraph"/>
              <w:rPr>
                <w:rFonts w:ascii="Verdana" w:hAnsi="Verdana"/>
                <w:b/>
                <w:sz w:val="18"/>
                <w:szCs w:val="18"/>
              </w:rPr>
            </w:pPr>
          </w:p>
          <w:p w14:paraId="4E3ED5DF" w14:textId="77777777" w:rsidR="008715BE" w:rsidRPr="00EC75B7" w:rsidRDefault="008715BE">
            <w:pPr>
              <w:pStyle w:val="TableParagraph"/>
              <w:rPr>
                <w:rFonts w:ascii="Verdana" w:hAnsi="Verdana"/>
                <w:b/>
                <w:sz w:val="18"/>
                <w:szCs w:val="18"/>
              </w:rPr>
            </w:pPr>
          </w:p>
          <w:p w14:paraId="5B9FAED7" w14:textId="77777777" w:rsidR="008715BE" w:rsidRPr="00EC75B7" w:rsidRDefault="008715BE">
            <w:pPr>
              <w:pStyle w:val="TableParagraph"/>
              <w:rPr>
                <w:rFonts w:ascii="Verdana" w:hAnsi="Verdana"/>
                <w:b/>
                <w:sz w:val="18"/>
                <w:szCs w:val="18"/>
              </w:rPr>
            </w:pPr>
          </w:p>
          <w:p w14:paraId="18035E5A" w14:textId="77777777" w:rsidR="008715BE" w:rsidRPr="00EC75B7" w:rsidRDefault="008715BE">
            <w:pPr>
              <w:pStyle w:val="TableParagraph"/>
              <w:spacing w:before="3"/>
              <w:rPr>
                <w:rFonts w:ascii="Verdana" w:hAnsi="Verdana"/>
                <w:b/>
                <w:sz w:val="18"/>
                <w:szCs w:val="18"/>
              </w:rPr>
            </w:pPr>
          </w:p>
          <w:p w14:paraId="544759EB"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50516130" w14:textId="77777777" w:rsidR="008715BE" w:rsidRPr="00EC75B7" w:rsidRDefault="008715BE">
            <w:pPr>
              <w:pStyle w:val="TableParagraph"/>
              <w:rPr>
                <w:rFonts w:ascii="Verdana" w:hAnsi="Verdana"/>
                <w:b/>
                <w:sz w:val="18"/>
                <w:szCs w:val="18"/>
              </w:rPr>
            </w:pPr>
          </w:p>
          <w:p w14:paraId="5D0A5FF4" w14:textId="77777777" w:rsidR="008715BE" w:rsidRPr="00EC75B7" w:rsidRDefault="008715BE">
            <w:pPr>
              <w:pStyle w:val="TableParagraph"/>
              <w:rPr>
                <w:rFonts w:ascii="Verdana" w:hAnsi="Verdana"/>
                <w:b/>
                <w:sz w:val="18"/>
                <w:szCs w:val="18"/>
              </w:rPr>
            </w:pPr>
          </w:p>
          <w:p w14:paraId="720FF498" w14:textId="77777777" w:rsidR="008715BE" w:rsidRPr="00EC75B7" w:rsidRDefault="008715BE">
            <w:pPr>
              <w:pStyle w:val="TableParagraph"/>
              <w:rPr>
                <w:rFonts w:ascii="Verdana" w:hAnsi="Verdana"/>
                <w:b/>
                <w:sz w:val="18"/>
                <w:szCs w:val="18"/>
              </w:rPr>
            </w:pPr>
          </w:p>
          <w:p w14:paraId="69276D11" w14:textId="77777777" w:rsidR="008715BE" w:rsidRPr="00EC75B7" w:rsidRDefault="008715BE">
            <w:pPr>
              <w:pStyle w:val="TableParagraph"/>
              <w:rPr>
                <w:rFonts w:ascii="Verdana" w:hAnsi="Verdana"/>
                <w:b/>
                <w:sz w:val="18"/>
                <w:szCs w:val="18"/>
              </w:rPr>
            </w:pPr>
          </w:p>
          <w:p w14:paraId="28901D23" w14:textId="77777777" w:rsidR="008715BE" w:rsidRPr="00EC75B7" w:rsidRDefault="008715BE">
            <w:pPr>
              <w:pStyle w:val="TableParagraph"/>
              <w:spacing w:before="3"/>
              <w:rPr>
                <w:rFonts w:ascii="Verdana" w:hAnsi="Verdana"/>
                <w:b/>
                <w:sz w:val="18"/>
                <w:szCs w:val="18"/>
              </w:rPr>
            </w:pPr>
          </w:p>
          <w:p w14:paraId="3BBA9A23"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00B80311" w14:textId="77777777" w:rsidR="008715BE" w:rsidRPr="00EC75B7" w:rsidRDefault="008715BE">
            <w:pPr>
              <w:pStyle w:val="TableParagraph"/>
              <w:rPr>
                <w:rFonts w:ascii="Verdana" w:hAnsi="Verdana"/>
                <w:b/>
                <w:sz w:val="18"/>
                <w:szCs w:val="18"/>
              </w:rPr>
            </w:pPr>
          </w:p>
          <w:p w14:paraId="2E5A4831" w14:textId="77777777" w:rsidR="008715BE" w:rsidRPr="00EC75B7" w:rsidRDefault="008715BE">
            <w:pPr>
              <w:pStyle w:val="TableParagraph"/>
              <w:rPr>
                <w:rFonts w:ascii="Verdana" w:hAnsi="Verdana"/>
                <w:b/>
                <w:sz w:val="18"/>
                <w:szCs w:val="18"/>
              </w:rPr>
            </w:pPr>
          </w:p>
          <w:p w14:paraId="58904F4D" w14:textId="77777777" w:rsidR="008715BE" w:rsidRPr="00EC75B7" w:rsidRDefault="008715BE">
            <w:pPr>
              <w:pStyle w:val="TableParagraph"/>
              <w:rPr>
                <w:rFonts w:ascii="Verdana" w:hAnsi="Verdana"/>
                <w:b/>
                <w:sz w:val="18"/>
                <w:szCs w:val="18"/>
              </w:rPr>
            </w:pPr>
          </w:p>
          <w:p w14:paraId="333F1799" w14:textId="77777777" w:rsidR="008715BE" w:rsidRPr="00EC75B7" w:rsidRDefault="008715BE">
            <w:pPr>
              <w:pStyle w:val="TableParagraph"/>
              <w:rPr>
                <w:rFonts w:ascii="Verdana" w:hAnsi="Verdana"/>
                <w:b/>
                <w:sz w:val="18"/>
                <w:szCs w:val="18"/>
              </w:rPr>
            </w:pPr>
          </w:p>
          <w:p w14:paraId="167929D8" w14:textId="77777777" w:rsidR="008715BE" w:rsidRPr="00EC75B7" w:rsidRDefault="008715BE">
            <w:pPr>
              <w:pStyle w:val="TableParagraph"/>
              <w:spacing w:before="3"/>
              <w:rPr>
                <w:rFonts w:ascii="Verdana" w:hAnsi="Verdana"/>
                <w:b/>
                <w:sz w:val="18"/>
                <w:szCs w:val="18"/>
              </w:rPr>
            </w:pPr>
          </w:p>
          <w:p w14:paraId="4146EE1A"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92942D8" w14:textId="77777777" w:rsidR="008715BE" w:rsidRPr="00EC75B7" w:rsidRDefault="008715BE">
            <w:pPr>
              <w:pStyle w:val="TableParagraph"/>
              <w:rPr>
                <w:rFonts w:ascii="Verdana" w:hAnsi="Verdana"/>
                <w:b/>
                <w:sz w:val="18"/>
                <w:szCs w:val="18"/>
              </w:rPr>
            </w:pPr>
          </w:p>
          <w:p w14:paraId="1EF64BC9" w14:textId="77777777" w:rsidR="008715BE" w:rsidRPr="00EC75B7" w:rsidRDefault="008715BE">
            <w:pPr>
              <w:pStyle w:val="TableParagraph"/>
              <w:rPr>
                <w:rFonts w:ascii="Verdana" w:hAnsi="Verdana"/>
                <w:b/>
                <w:sz w:val="18"/>
                <w:szCs w:val="18"/>
              </w:rPr>
            </w:pPr>
          </w:p>
          <w:p w14:paraId="69C62666" w14:textId="77777777" w:rsidR="008715BE" w:rsidRPr="00EC75B7" w:rsidRDefault="008715BE">
            <w:pPr>
              <w:pStyle w:val="TableParagraph"/>
              <w:rPr>
                <w:rFonts w:ascii="Verdana" w:hAnsi="Verdana"/>
                <w:b/>
                <w:sz w:val="18"/>
                <w:szCs w:val="18"/>
              </w:rPr>
            </w:pPr>
          </w:p>
          <w:p w14:paraId="71BC02B9" w14:textId="77777777" w:rsidR="008715BE" w:rsidRPr="00EC75B7" w:rsidRDefault="008715BE">
            <w:pPr>
              <w:pStyle w:val="TableParagraph"/>
              <w:rPr>
                <w:rFonts w:ascii="Verdana" w:hAnsi="Verdana"/>
                <w:b/>
                <w:sz w:val="18"/>
                <w:szCs w:val="18"/>
              </w:rPr>
            </w:pPr>
          </w:p>
          <w:p w14:paraId="54C17415" w14:textId="77777777" w:rsidR="008715BE" w:rsidRPr="00EC75B7" w:rsidRDefault="008715BE">
            <w:pPr>
              <w:pStyle w:val="TableParagraph"/>
              <w:spacing w:before="3"/>
              <w:rPr>
                <w:rFonts w:ascii="Verdana" w:hAnsi="Verdana"/>
                <w:b/>
                <w:sz w:val="18"/>
                <w:szCs w:val="18"/>
              </w:rPr>
            </w:pPr>
          </w:p>
          <w:p w14:paraId="1C8F33A8"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3CBD6855" w14:textId="77777777" w:rsidR="008715BE" w:rsidRPr="00EC75B7" w:rsidRDefault="008715BE">
            <w:pPr>
              <w:pStyle w:val="TableParagraph"/>
              <w:rPr>
                <w:rFonts w:ascii="Verdana" w:hAnsi="Verdana"/>
                <w:b/>
                <w:sz w:val="18"/>
                <w:szCs w:val="18"/>
              </w:rPr>
            </w:pPr>
          </w:p>
          <w:p w14:paraId="4958567A" w14:textId="77777777" w:rsidR="008715BE" w:rsidRPr="00EC75B7" w:rsidRDefault="008715BE">
            <w:pPr>
              <w:pStyle w:val="TableParagraph"/>
              <w:rPr>
                <w:rFonts w:ascii="Verdana" w:hAnsi="Verdana"/>
                <w:b/>
                <w:sz w:val="18"/>
                <w:szCs w:val="18"/>
              </w:rPr>
            </w:pPr>
          </w:p>
          <w:p w14:paraId="5CFA58BD" w14:textId="77777777" w:rsidR="008715BE" w:rsidRPr="00EC75B7" w:rsidRDefault="008715BE">
            <w:pPr>
              <w:pStyle w:val="TableParagraph"/>
              <w:rPr>
                <w:rFonts w:ascii="Verdana" w:hAnsi="Verdana"/>
                <w:b/>
                <w:sz w:val="18"/>
                <w:szCs w:val="18"/>
              </w:rPr>
            </w:pPr>
          </w:p>
          <w:p w14:paraId="0B2B4360" w14:textId="77777777" w:rsidR="008715BE" w:rsidRPr="00EC75B7" w:rsidRDefault="008715BE">
            <w:pPr>
              <w:pStyle w:val="TableParagraph"/>
              <w:rPr>
                <w:rFonts w:ascii="Verdana" w:hAnsi="Verdana"/>
                <w:b/>
                <w:sz w:val="18"/>
                <w:szCs w:val="18"/>
              </w:rPr>
            </w:pPr>
          </w:p>
          <w:p w14:paraId="15C45EE4" w14:textId="77777777" w:rsidR="008715BE" w:rsidRPr="00EC75B7" w:rsidRDefault="008715BE">
            <w:pPr>
              <w:pStyle w:val="TableParagraph"/>
              <w:spacing w:before="3"/>
              <w:rPr>
                <w:rFonts w:ascii="Verdana" w:hAnsi="Verdana"/>
                <w:b/>
                <w:sz w:val="18"/>
                <w:szCs w:val="18"/>
              </w:rPr>
            </w:pPr>
          </w:p>
          <w:p w14:paraId="29792054"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26DA05A4" w14:textId="77777777" w:rsidR="008715BE" w:rsidRPr="00EC75B7" w:rsidRDefault="008715BE">
            <w:pPr>
              <w:pStyle w:val="TableParagraph"/>
              <w:rPr>
                <w:rFonts w:ascii="Verdana" w:hAnsi="Verdana"/>
                <w:b/>
                <w:sz w:val="18"/>
                <w:szCs w:val="18"/>
              </w:rPr>
            </w:pPr>
          </w:p>
          <w:p w14:paraId="1517373A" w14:textId="77777777" w:rsidR="008715BE" w:rsidRPr="00EC75B7" w:rsidRDefault="008715BE">
            <w:pPr>
              <w:pStyle w:val="TableParagraph"/>
              <w:rPr>
                <w:rFonts w:ascii="Verdana" w:hAnsi="Verdana"/>
                <w:b/>
                <w:sz w:val="18"/>
                <w:szCs w:val="18"/>
              </w:rPr>
            </w:pPr>
          </w:p>
          <w:p w14:paraId="36AE6CF6" w14:textId="77777777" w:rsidR="008715BE" w:rsidRPr="00EC75B7" w:rsidRDefault="008715BE">
            <w:pPr>
              <w:pStyle w:val="TableParagraph"/>
              <w:rPr>
                <w:rFonts w:ascii="Verdana" w:hAnsi="Verdana"/>
                <w:b/>
                <w:sz w:val="18"/>
                <w:szCs w:val="18"/>
              </w:rPr>
            </w:pPr>
          </w:p>
          <w:p w14:paraId="5C96D861" w14:textId="77777777" w:rsidR="008715BE" w:rsidRPr="00EC75B7" w:rsidRDefault="008715BE">
            <w:pPr>
              <w:pStyle w:val="TableParagraph"/>
              <w:rPr>
                <w:rFonts w:ascii="Verdana" w:hAnsi="Verdana"/>
                <w:b/>
                <w:sz w:val="18"/>
                <w:szCs w:val="18"/>
              </w:rPr>
            </w:pPr>
          </w:p>
          <w:p w14:paraId="21F7F83A" w14:textId="77777777" w:rsidR="008715BE" w:rsidRPr="00EC75B7" w:rsidRDefault="008715BE">
            <w:pPr>
              <w:pStyle w:val="TableParagraph"/>
              <w:spacing w:before="3"/>
              <w:rPr>
                <w:rFonts w:ascii="Verdana" w:hAnsi="Verdana"/>
                <w:b/>
                <w:sz w:val="18"/>
                <w:szCs w:val="18"/>
              </w:rPr>
            </w:pPr>
          </w:p>
          <w:p w14:paraId="40FA8DA1"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67183B0B" w14:textId="77777777" w:rsidR="008715BE" w:rsidRPr="00EC75B7" w:rsidRDefault="008715BE">
            <w:pPr>
              <w:pStyle w:val="TableParagraph"/>
              <w:rPr>
                <w:rFonts w:ascii="Verdana" w:hAnsi="Verdana"/>
                <w:b/>
                <w:sz w:val="18"/>
                <w:szCs w:val="18"/>
              </w:rPr>
            </w:pPr>
          </w:p>
          <w:p w14:paraId="279E01DE" w14:textId="77777777" w:rsidR="008715BE" w:rsidRPr="00EC75B7" w:rsidRDefault="008715BE">
            <w:pPr>
              <w:pStyle w:val="TableParagraph"/>
              <w:rPr>
                <w:rFonts w:ascii="Verdana" w:hAnsi="Verdana"/>
                <w:b/>
                <w:sz w:val="18"/>
                <w:szCs w:val="18"/>
              </w:rPr>
            </w:pPr>
          </w:p>
          <w:p w14:paraId="73BA7890" w14:textId="77777777" w:rsidR="008715BE" w:rsidRPr="00EC75B7" w:rsidRDefault="008715BE">
            <w:pPr>
              <w:pStyle w:val="TableParagraph"/>
              <w:rPr>
                <w:rFonts w:ascii="Verdana" w:hAnsi="Verdana"/>
                <w:b/>
                <w:sz w:val="18"/>
                <w:szCs w:val="18"/>
              </w:rPr>
            </w:pPr>
          </w:p>
          <w:p w14:paraId="53B02120" w14:textId="77777777" w:rsidR="008715BE" w:rsidRPr="00EC75B7" w:rsidRDefault="008715BE">
            <w:pPr>
              <w:pStyle w:val="TableParagraph"/>
              <w:spacing w:before="103"/>
              <w:rPr>
                <w:rFonts w:ascii="Verdana" w:hAnsi="Verdana"/>
                <w:b/>
                <w:sz w:val="18"/>
                <w:szCs w:val="18"/>
              </w:rPr>
            </w:pPr>
          </w:p>
          <w:p w14:paraId="26F3A95C"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41AE72AB" w14:textId="77777777">
        <w:trPr>
          <w:trHeight w:val="2140"/>
        </w:trPr>
        <w:tc>
          <w:tcPr>
            <w:tcW w:w="554" w:type="dxa"/>
          </w:tcPr>
          <w:p w14:paraId="7528053F" w14:textId="77777777" w:rsidR="008715BE" w:rsidRPr="00EC75B7" w:rsidRDefault="008715BE">
            <w:pPr>
              <w:pStyle w:val="TableParagraph"/>
              <w:rPr>
                <w:rFonts w:ascii="Verdana" w:hAnsi="Verdana"/>
                <w:b/>
                <w:sz w:val="18"/>
                <w:szCs w:val="18"/>
              </w:rPr>
            </w:pPr>
          </w:p>
          <w:p w14:paraId="1B5E32A8" w14:textId="77777777" w:rsidR="008715BE" w:rsidRPr="00EC75B7" w:rsidRDefault="008715BE">
            <w:pPr>
              <w:pStyle w:val="TableParagraph"/>
              <w:rPr>
                <w:rFonts w:ascii="Verdana" w:hAnsi="Verdana"/>
                <w:b/>
                <w:sz w:val="18"/>
                <w:szCs w:val="18"/>
              </w:rPr>
            </w:pPr>
          </w:p>
          <w:p w14:paraId="07CA18BF" w14:textId="77777777" w:rsidR="008715BE" w:rsidRPr="00EC75B7" w:rsidRDefault="008715BE">
            <w:pPr>
              <w:pStyle w:val="TableParagraph"/>
              <w:rPr>
                <w:rFonts w:ascii="Verdana" w:hAnsi="Verdana"/>
                <w:b/>
                <w:sz w:val="18"/>
                <w:szCs w:val="18"/>
              </w:rPr>
            </w:pPr>
          </w:p>
          <w:p w14:paraId="6F241653" w14:textId="77777777" w:rsidR="008715BE" w:rsidRPr="00EC75B7" w:rsidRDefault="008715BE">
            <w:pPr>
              <w:pStyle w:val="TableParagraph"/>
              <w:rPr>
                <w:rFonts w:ascii="Verdana" w:hAnsi="Verdana"/>
                <w:b/>
                <w:sz w:val="18"/>
                <w:szCs w:val="18"/>
              </w:rPr>
            </w:pPr>
          </w:p>
          <w:p w14:paraId="56795E2B" w14:textId="77777777" w:rsidR="008715BE" w:rsidRPr="00EC75B7" w:rsidRDefault="008715BE">
            <w:pPr>
              <w:pStyle w:val="TableParagraph"/>
              <w:spacing w:before="6"/>
              <w:rPr>
                <w:rFonts w:ascii="Verdana" w:hAnsi="Verdana"/>
                <w:b/>
                <w:sz w:val="18"/>
                <w:szCs w:val="18"/>
              </w:rPr>
            </w:pPr>
          </w:p>
          <w:p w14:paraId="091E86BE"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M2</w:t>
            </w:r>
          </w:p>
        </w:tc>
        <w:tc>
          <w:tcPr>
            <w:tcW w:w="6091" w:type="dxa"/>
          </w:tcPr>
          <w:p w14:paraId="7323E8CF" w14:textId="77777777" w:rsidR="008715BE" w:rsidRPr="00EC75B7" w:rsidRDefault="008715BE">
            <w:pPr>
              <w:pStyle w:val="TableParagraph"/>
              <w:rPr>
                <w:rFonts w:ascii="Verdana" w:hAnsi="Verdana"/>
                <w:b/>
                <w:sz w:val="18"/>
                <w:szCs w:val="18"/>
              </w:rPr>
            </w:pPr>
          </w:p>
          <w:p w14:paraId="43A73979" w14:textId="77777777" w:rsidR="008715BE" w:rsidRPr="00EC75B7" w:rsidRDefault="008715BE">
            <w:pPr>
              <w:pStyle w:val="TableParagraph"/>
              <w:rPr>
                <w:rFonts w:ascii="Verdana" w:hAnsi="Verdana"/>
                <w:b/>
                <w:sz w:val="18"/>
                <w:szCs w:val="18"/>
              </w:rPr>
            </w:pPr>
          </w:p>
          <w:p w14:paraId="01549C92" w14:textId="77777777" w:rsidR="008715BE" w:rsidRPr="00EC75B7" w:rsidRDefault="008715BE">
            <w:pPr>
              <w:pStyle w:val="TableParagraph"/>
              <w:rPr>
                <w:rFonts w:ascii="Verdana" w:hAnsi="Verdana"/>
                <w:b/>
                <w:sz w:val="18"/>
                <w:szCs w:val="18"/>
              </w:rPr>
            </w:pPr>
          </w:p>
          <w:p w14:paraId="260736B3" w14:textId="77777777" w:rsidR="008715BE" w:rsidRPr="00EC75B7" w:rsidRDefault="008715BE">
            <w:pPr>
              <w:pStyle w:val="TableParagraph"/>
              <w:spacing w:before="7"/>
              <w:rPr>
                <w:rFonts w:ascii="Verdana" w:hAnsi="Verdana"/>
                <w:b/>
                <w:sz w:val="18"/>
                <w:szCs w:val="18"/>
              </w:rPr>
            </w:pPr>
          </w:p>
          <w:p w14:paraId="7DCA4A90"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Implementation of low-attractiveness lighting systems with exclusive dispersion on the ground (exclusion of incandescent bodies that generate heat)</w:t>
            </w:r>
          </w:p>
        </w:tc>
        <w:tc>
          <w:tcPr>
            <w:tcW w:w="1809" w:type="dxa"/>
          </w:tcPr>
          <w:p w14:paraId="549B8457" w14:textId="77777777" w:rsidR="008715BE" w:rsidRPr="00EC75B7" w:rsidRDefault="00000000" w:rsidP="00C96230">
            <w:pPr>
              <w:pStyle w:val="TableParagraph"/>
              <w:spacing w:before="11"/>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6D30CFCD"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04A0CF48"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283CAE89" w14:textId="77777777" w:rsidR="008715BE" w:rsidRPr="00EC75B7" w:rsidRDefault="008715BE">
            <w:pPr>
              <w:pStyle w:val="TableParagraph"/>
              <w:rPr>
                <w:rFonts w:ascii="Verdana" w:hAnsi="Verdana"/>
                <w:b/>
                <w:sz w:val="18"/>
                <w:szCs w:val="18"/>
              </w:rPr>
            </w:pPr>
          </w:p>
          <w:p w14:paraId="3B008C25" w14:textId="77777777" w:rsidR="008715BE" w:rsidRPr="00EC75B7" w:rsidRDefault="008715BE">
            <w:pPr>
              <w:pStyle w:val="TableParagraph"/>
              <w:spacing w:before="105"/>
              <w:rPr>
                <w:rFonts w:ascii="Verdana" w:hAnsi="Verdana"/>
                <w:b/>
                <w:sz w:val="18"/>
                <w:szCs w:val="18"/>
              </w:rPr>
            </w:pPr>
          </w:p>
          <w:p w14:paraId="1F0D4122" w14:textId="77777777" w:rsidR="008715BE" w:rsidRPr="00EC75B7" w:rsidRDefault="00000000">
            <w:pPr>
              <w:pStyle w:val="TableParagraph"/>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5A887916" w14:textId="77777777" w:rsidR="008715BE" w:rsidRPr="00EC75B7" w:rsidRDefault="008715BE">
            <w:pPr>
              <w:pStyle w:val="TableParagraph"/>
              <w:rPr>
                <w:rFonts w:ascii="Verdana" w:hAnsi="Verdana"/>
                <w:b/>
                <w:sz w:val="18"/>
                <w:szCs w:val="18"/>
              </w:rPr>
            </w:pPr>
          </w:p>
          <w:p w14:paraId="409A22A0" w14:textId="77777777" w:rsidR="008715BE" w:rsidRPr="00EC75B7" w:rsidRDefault="008715BE">
            <w:pPr>
              <w:pStyle w:val="TableParagraph"/>
              <w:rPr>
                <w:rFonts w:ascii="Verdana" w:hAnsi="Verdana"/>
                <w:b/>
                <w:sz w:val="18"/>
                <w:szCs w:val="18"/>
              </w:rPr>
            </w:pPr>
          </w:p>
          <w:p w14:paraId="742F2199" w14:textId="77777777" w:rsidR="008715BE" w:rsidRPr="00EC75B7" w:rsidRDefault="008715BE">
            <w:pPr>
              <w:pStyle w:val="TableParagraph"/>
              <w:rPr>
                <w:rFonts w:ascii="Verdana" w:hAnsi="Verdana"/>
                <w:b/>
                <w:sz w:val="18"/>
                <w:szCs w:val="18"/>
              </w:rPr>
            </w:pPr>
          </w:p>
          <w:p w14:paraId="4F28E3BE" w14:textId="77777777" w:rsidR="008715BE" w:rsidRPr="00EC75B7" w:rsidRDefault="008715BE">
            <w:pPr>
              <w:pStyle w:val="TableParagraph"/>
              <w:rPr>
                <w:rFonts w:ascii="Verdana" w:hAnsi="Verdana"/>
                <w:b/>
                <w:sz w:val="18"/>
                <w:szCs w:val="18"/>
              </w:rPr>
            </w:pPr>
          </w:p>
          <w:p w14:paraId="6EB5BEEC" w14:textId="77777777" w:rsidR="008715BE" w:rsidRPr="00EC75B7" w:rsidRDefault="008715BE">
            <w:pPr>
              <w:pStyle w:val="TableParagraph"/>
              <w:spacing w:before="6"/>
              <w:rPr>
                <w:rFonts w:ascii="Verdana" w:hAnsi="Verdana"/>
                <w:b/>
                <w:sz w:val="18"/>
                <w:szCs w:val="18"/>
              </w:rPr>
            </w:pPr>
          </w:p>
          <w:p w14:paraId="4D6A47D7" w14:textId="77777777" w:rsidR="008715BE" w:rsidRPr="00EC75B7" w:rsidRDefault="00000000">
            <w:pPr>
              <w:pStyle w:val="TableParagraph"/>
              <w:ind w:left="12"/>
              <w:jc w:val="center"/>
              <w:rPr>
                <w:rFonts w:ascii="Verdana" w:hAnsi="Verdana"/>
                <w:sz w:val="18"/>
                <w:szCs w:val="18"/>
              </w:rPr>
            </w:pPr>
            <w:r w:rsidRPr="00EC75B7">
              <w:rPr>
                <w:rFonts w:ascii="Verdana" w:hAnsi="Verdana"/>
                <w:sz w:val="18"/>
                <w:szCs w:val="18"/>
              </w:rPr>
              <w:t xml:space="preserve">PAS, </w:t>
            </w:r>
            <w:r w:rsidRPr="00EC75B7">
              <w:rPr>
                <w:rFonts w:ascii="Verdana" w:hAnsi="Verdana"/>
                <w:spacing w:val="-5"/>
                <w:sz w:val="18"/>
                <w:szCs w:val="18"/>
              </w:rPr>
              <w:t>REP</w:t>
            </w:r>
          </w:p>
        </w:tc>
        <w:tc>
          <w:tcPr>
            <w:tcW w:w="269" w:type="dxa"/>
          </w:tcPr>
          <w:p w14:paraId="0152D05C" w14:textId="77777777" w:rsidR="008715BE" w:rsidRPr="00EC75B7" w:rsidRDefault="008715BE">
            <w:pPr>
              <w:pStyle w:val="TableParagraph"/>
              <w:rPr>
                <w:rFonts w:ascii="Verdana" w:hAnsi="Verdana"/>
                <w:b/>
                <w:sz w:val="18"/>
                <w:szCs w:val="18"/>
              </w:rPr>
            </w:pPr>
          </w:p>
          <w:p w14:paraId="61101750" w14:textId="77777777" w:rsidR="008715BE" w:rsidRPr="00EC75B7" w:rsidRDefault="008715BE">
            <w:pPr>
              <w:pStyle w:val="TableParagraph"/>
              <w:rPr>
                <w:rFonts w:ascii="Verdana" w:hAnsi="Verdana"/>
                <w:b/>
                <w:sz w:val="18"/>
                <w:szCs w:val="18"/>
              </w:rPr>
            </w:pPr>
          </w:p>
          <w:p w14:paraId="415B3340" w14:textId="77777777" w:rsidR="008715BE" w:rsidRPr="00EC75B7" w:rsidRDefault="008715BE">
            <w:pPr>
              <w:pStyle w:val="TableParagraph"/>
              <w:rPr>
                <w:rFonts w:ascii="Verdana" w:hAnsi="Verdana"/>
                <w:b/>
                <w:sz w:val="18"/>
                <w:szCs w:val="18"/>
              </w:rPr>
            </w:pPr>
          </w:p>
          <w:p w14:paraId="62CA05B9" w14:textId="77777777" w:rsidR="008715BE" w:rsidRPr="00EC75B7" w:rsidRDefault="008715BE">
            <w:pPr>
              <w:pStyle w:val="TableParagraph"/>
              <w:rPr>
                <w:rFonts w:ascii="Verdana" w:hAnsi="Verdana"/>
                <w:b/>
                <w:sz w:val="18"/>
                <w:szCs w:val="18"/>
              </w:rPr>
            </w:pPr>
          </w:p>
          <w:p w14:paraId="7B4A847D" w14:textId="77777777" w:rsidR="008715BE" w:rsidRPr="00EC75B7" w:rsidRDefault="008715BE">
            <w:pPr>
              <w:pStyle w:val="TableParagraph"/>
              <w:spacing w:before="6"/>
              <w:rPr>
                <w:rFonts w:ascii="Verdana" w:hAnsi="Verdana"/>
                <w:b/>
                <w:sz w:val="18"/>
                <w:szCs w:val="18"/>
              </w:rPr>
            </w:pPr>
          </w:p>
          <w:p w14:paraId="74C99A08"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75271106" w14:textId="77777777" w:rsidR="008715BE" w:rsidRPr="00EC75B7" w:rsidRDefault="008715BE">
            <w:pPr>
              <w:pStyle w:val="TableParagraph"/>
              <w:rPr>
                <w:rFonts w:ascii="Verdana" w:hAnsi="Verdana"/>
                <w:b/>
                <w:sz w:val="18"/>
                <w:szCs w:val="18"/>
              </w:rPr>
            </w:pPr>
          </w:p>
          <w:p w14:paraId="76C51793" w14:textId="77777777" w:rsidR="008715BE" w:rsidRPr="00EC75B7" w:rsidRDefault="008715BE">
            <w:pPr>
              <w:pStyle w:val="TableParagraph"/>
              <w:rPr>
                <w:rFonts w:ascii="Verdana" w:hAnsi="Verdana"/>
                <w:b/>
                <w:sz w:val="18"/>
                <w:szCs w:val="18"/>
              </w:rPr>
            </w:pPr>
          </w:p>
          <w:p w14:paraId="0226611C" w14:textId="77777777" w:rsidR="008715BE" w:rsidRPr="00EC75B7" w:rsidRDefault="008715BE">
            <w:pPr>
              <w:pStyle w:val="TableParagraph"/>
              <w:rPr>
                <w:rFonts w:ascii="Verdana" w:hAnsi="Verdana"/>
                <w:b/>
                <w:sz w:val="18"/>
                <w:szCs w:val="18"/>
              </w:rPr>
            </w:pPr>
          </w:p>
          <w:p w14:paraId="156828A5" w14:textId="77777777" w:rsidR="008715BE" w:rsidRPr="00EC75B7" w:rsidRDefault="008715BE">
            <w:pPr>
              <w:pStyle w:val="TableParagraph"/>
              <w:rPr>
                <w:rFonts w:ascii="Verdana" w:hAnsi="Verdana"/>
                <w:b/>
                <w:sz w:val="18"/>
                <w:szCs w:val="18"/>
              </w:rPr>
            </w:pPr>
          </w:p>
          <w:p w14:paraId="57EC01A2" w14:textId="77777777" w:rsidR="008715BE" w:rsidRPr="00EC75B7" w:rsidRDefault="008715BE">
            <w:pPr>
              <w:pStyle w:val="TableParagraph"/>
              <w:spacing w:before="6"/>
              <w:rPr>
                <w:rFonts w:ascii="Verdana" w:hAnsi="Verdana"/>
                <w:b/>
                <w:sz w:val="18"/>
                <w:szCs w:val="18"/>
              </w:rPr>
            </w:pPr>
          </w:p>
          <w:p w14:paraId="14077D78"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7E65215B" w14:textId="77777777" w:rsidR="008715BE" w:rsidRPr="00EC75B7" w:rsidRDefault="008715BE">
            <w:pPr>
              <w:pStyle w:val="TableParagraph"/>
              <w:rPr>
                <w:rFonts w:ascii="Verdana" w:hAnsi="Verdana"/>
                <w:b/>
                <w:sz w:val="18"/>
                <w:szCs w:val="18"/>
              </w:rPr>
            </w:pPr>
          </w:p>
          <w:p w14:paraId="08BDAC2E" w14:textId="77777777" w:rsidR="008715BE" w:rsidRPr="00EC75B7" w:rsidRDefault="008715BE">
            <w:pPr>
              <w:pStyle w:val="TableParagraph"/>
              <w:rPr>
                <w:rFonts w:ascii="Verdana" w:hAnsi="Verdana"/>
                <w:b/>
                <w:sz w:val="18"/>
                <w:szCs w:val="18"/>
              </w:rPr>
            </w:pPr>
          </w:p>
          <w:p w14:paraId="6F830799" w14:textId="77777777" w:rsidR="008715BE" w:rsidRPr="00EC75B7" w:rsidRDefault="008715BE">
            <w:pPr>
              <w:pStyle w:val="TableParagraph"/>
              <w:rPr>
                <w:rFonts w:ascii="Verdana" w:hAnsi="Verdana"/>
                <w:b/>
                <w:sz w:val="18"/>
                <w:szCs w:val="18"/>
              </w:rPr>
            </w:pPr>
          </w:p>
          <w:p w14:paraId="10C75CD7" w14:textId="77777777" w:rsidR="008715BE" w:rsidRPr="00EC75B7" w:rsidRDefault="008715BE">
            <w:pPr>
              <w:pStyle w:val="TableParagraph"/>
              <w:rPr>
                <w:rFonts w:ascii="Verdana" w:hAnsi="Verdana"/>
                <w:b/>
                <w:sz w:val="18"/>
                <w:szCs w:val="18"/>
              </w:rPr>
            </w:pPr>
          </w:p>
          <w:p w14:paraId="4B415914" w14:textId="77777777" w:rsidR="008715BE" w:rsidRPr="00EC75B7" w:rsidRDefault="008715BE">
            <w:pPr>
              <w:pStyle w:val="TableParagraph"/>
              <w:spacing w:before="6"/>
              <w:rPr>
                <w:rFonts w:ascii="Verdana" w:hAnsi="Verdana"/>
                <w:b/>
                <w:sz w:val="18"/>
                <w:szCs w:val="18"/>
              </w:rPr>
            </w:pPr>
          </w:p>
          <w:p w14:paraId="25033E37"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87697AE" w14:textId="77777777" w:rsidR="008715BE" w:rsidRPr="00EC75B7" w:rsidRDefault="008715BE">
            <w:pPr>
              <w:pStyle w:val="TableParagraph"/>
              <w:rPr>
                <w:rFonts w:ascii="Verdana" w:hAnsi="Verdana"/>
                <w:b/>
                <w:sz w:val="18"/>
                <w:szCs w:val="18"/>
              </w:rPr>
            </w:pPr>
          </w:p>
          <w:p w14:paraId="48A59D91" w14:textId="77777777" w:rsidR="008715BE" w:rsidRPr="00EC75B7" w:rsidRDefault="008715BE">
            <w:pPr>
              <w:pStyle w:val="TableParagraph"/>
              <w:rPr>
                <w:rFonts w:ascii="Verdana" w:hAnsi="Verdana"/>
                <w:b/>
                <w:sz w:val="18"/>
                <w:szCs w:val="18"/>
              </w:rPr>
            </w:pPr>
          </w:p>
          <w:p w14:paraId="149A95BA" w14:textId="77777777" w:rsidR="008715BE" w:rsidRPr="00EC75B7" w:rsidRDefault="008715BE">
            <w:pPr>
              <w:pStyle w:val="TableParagraph"/>
              <w:rPr>
                <w:rFonts w:ascii="Verdana" w:hAnsi="Verdana"/>
                <w:b/>
                <w:sz w:val="18"/>
                <w:szCs w:val="18"/>
              </w:rPr>
            </w:pPr>
          </w:p>
          <w:p w14:paraId="096EB014" w14:textId="77777777" w:rsidR="008715BE" w:rsidRPr="00EC75B7" w:rsidRDefault="008715BE">
            <w:pPr>
              <w:pStyle w:val="TableParagraph"/>
              <w:rPr>
                <w:rFonts w:ascii="Verdana" w:hAnsi="Verdana"/>
                <w:b/>
                <w:sz w:val="18"/>
                <w:szCs w:val="18"/>
              </w:rPr>
            </w:pPr>
          </w:p>
          <w:p w14:paraId="7665A8E2" w14:textId="77777777" w:rsidR="008715BE" w:rsidRPr="00EC75B7" w:rsidRDefault="008715BE">
            <w:pPr>
              <w:pStyle w:val="TableParagraph"/>
              <w:spacing w:before="6"/>
              <w:rPr>
                <w:rFonts w:ascii="Verdana" w:hAnsi="Verdana"/>
                <w:b/>
                <w:sz w:val="18"/>
                <w:szCs w:val="18"/>
              </w:rPr>
            </w:pPr>
          </w:p>
          <w:p w14:paraId="350CDA17"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49178516" w14:textId="77777777" w:rsidR="008715BE" w:rsidRPr="00EC75B7" w:rsidRDefault="008715BE">
            <w:pPr>
              <w:pStyle w:val="TableParagraph"/>
              <w:rPr>
                <w:rFonts w:ascii="Verdana" w:hAnsi="Verdana"/>
                <w:b/>
                <w:sz w:val="18"/>
                <w:szCs w:val="18"/>
              </w:rPr>
            </w:pPr>
          </w:p>
          <w:p w14:paraId="265989F1" w14:textId="77777777" w:rsidR="008715BE" w:rsidRPr="00EC75B7" w:rsidRDefault="008715BE">
            <w:pPr>
              <w:pStyle w:val="TableParagraph"/>
              <w:rPr>
                <w:rFonts w:ascii="Verdana" w:hAnsi="Verdana"/>
                <w:b/>
                <w:sz w:val="18"/>
                <w:szCs w:val="18"/>
              </w:rPr>
            </w:pPr>
          </w:p>
          <w:p w14:paraId="540D9A12" w14:textId="77777777" w:rsidR="008715BE" w:rsidRPr="00EC75B7" w:rsidRDefault="008715BE">
            <w:pPr>
              <w:pStyle w:val="TableParagraph"/>
              <w:rPr>
                <w:rFonts w:ascii="Verdana" w:hAnsi="Verdana"/>
                <w:b/>
                <w:sz w:val="18"/>
                <w:szCs w:val="18"/>
              </w:rPr>
            </w:pPr>
          </w:p>
          <w:p w14:paraId="28DC953C" w14:textId="77777777" w:rsidR="008715BE" w:rsidRPr="00EC75B7" w:rsidRDefault="008715BE">
            <w:pPr>
              <w:pStyle w:val="TableParagraph"/>
              <w:rPr>
                <w:rFonts w:ascii="Verdana" w:hAnsi="Verdana"/>
                <w:b/>
                <w:sz w:val="18"/>
                <w:szCs w:val="18"/>
              </w:rPr>
            </w:pPr>
          </w:p>
          <w:p w14:paraId="3155D978" w14:textId="77777777" w:rsidR="008715BE" w:rsidRPr="00EC75B7" w:rsidRDefault="008715BE">
            <w:pPr>
              <w:pStyle w:val="TableParagraph"/>
              <w:spacing w:before="6"/>
              <w:rPr>
                <w:rFonts w:ascii="Verdana" w:hAnsi="Verdana"/>
                <w:b/>
                <w:sz w:val="18"/>
                <w:szCs w:val="18"/>
              </w:rPr>
            </w:pPr>
          </w:p>
          <w:p w14:paraId="45848CB0"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9160958" w14:textId="77777777" w:rsidR="008715BE" w:rsidRPr="00EC75B7" w:rsidRDefault="008715BE">
            <w:pPr>
              <w:pStyle w:val="TableParagraph"/>
              <w:rPr>
                <w:rFonts w:ascii="Verdana" w:hAnsi="Verdana"/>
                <w:b/>
                <w:sz w:val="18"/>
                <w:szCs w:val="18"/>
              </w:rPr>
            </w:pPr>
          </w:p>
          <w:p w14:paraId="2D711A6F" w14:textId="77777777" w:rsidR="008715BE" w:rsidRPr="00EC75B7" w:rsidRDefault="008715BE">
            <w:pPr>
              <w:pStyle w:val="TableParagraph"/>
              <w:rPr>
                <w:rFonts w:ascii="Verdana" w:hAnsi="Verdana"/>
                <w:b/>
                <w:sz w:val="18"/>
                <w:szCs w:val="18"/>
              </w:rPr>
            </w:pPr>
          </w:p>
          <w:p w14:paraId="670FE745" w14:textId="77777777" w:rsidR="008715BE" w:rsidRPr="00EC75B7" w:rsidRDefault="008715BE">
            <w:pPr>
              <w:pStyle w:val="TableParagraph"/>
              <w:rPr>
                <w:rFonts w:ascii="Verdana" w:hAnsi="Verdana"/>
                <w:b/>
                <w:sz w:val="18"/>
                <w:szCs w:val="18"/>
              </w:rPr>
            </w:pPr>
          </w:p>
          <w:p w14:paraId="68281ED3" w14:textId="77777777" w:rsidR="008715BE" w:rsidRPr="00EC75B7" w:rsidRDefault="008715BE">
            <w:pPr>
              <w:pStyle w:val="TableParagraph"/>
              <w:rPr>
                <w:rFonts w:ascii="Verdana" w:hAnsi="Verdana"/>
                <w:b/>
                <w:sz w:val="18"/>
                <w:szCs w:val="18"/>
              </w:rPr>
            </w:pPr>
          </w:p>
          <w:p w14:paraId="66337FE8" w14:textId="77777777" w:rsidR="008715BE" w:rsidRPr="00EC75B7" w:rsidRDefault="008715BE">
            <w:pPr>
              <w:pStyle w:val="TableParagraph"/>
              <w:spacing w:before="6"/>
              <w:rPr>
                <w:rFonts w:ascii="Verdana" w:hAnsi="Verdana"/>
                <w:b/>
                <w:sz w:val="18"/>
                <w:szCs w:val="18"/>
              </w:rPr>
            </w:pPr>
          </w:p>
          <w:p w14:paraId="60BEDFC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159B3F0B" w14:textId="77777777" w:rsidR="008715BE" w:rsidRPr="00EC75B7" w:rsidRDefault="008715BE">
            <w:pPr>
              <w:pStyle w:val="TableParagraph"/>
              <w:rPr>
                <w:rFonts w:ascii="Verdana" w:hAnsi="Verdana"/>
                <w:b/>
                <w:sz w:val="18"/>
                <w:szCs w:val="18"/>
              </w:rPr>
            </w:pPr>
          </w:p>
          <w:p w14:paraId="7FCE3E7E" w14:textId="77777777" w:rsidR="008715BE" w:rsidRPr="00EC75B7" w:rsidRDefault="008715BE">
            <w:pPr>
              <w:pStyle w:val="TableParagraph"/>
              <w:rPr>
                <w:rFonts w:ascii="Verdana" w:hAnsi="Verdana"/>
                <w:b/>
                <w:sz w:val="18"/>
                <w:szCs w:val="18"/>
              </w:rPr>
            </w:pPr>
          </w:p>
          <w:p w14:paraId="26405C24" w14:textId="77777777" w:rsidR="008715BE" w:rsidRPr="00EC75B7" w:rsidRDefault="008715BE">
            <w:pPr>
              <w:pStyle w:val="TableParagraph"/>
              <w:rPr>
                <w:rFonts w:ascii="Verdana" w:hAnsi="Verdana"/>
                <w:b/>
                <w:sz w:val="18"/>
                <w:szCs w:val="18"/>
              </w:rPr>
            </w:pPr>
          </w:p>
          <w:p w14:paraId="0E1B8801" w14:textId="77777777" w:rsidR="008715BE" w:rsidRPr="00EC75B7" w:rsidRDefault="008715BE">
            <w:pPr>
              <w:pStyle w:val="TableParagraph"/>
              <w:rPr>
                <w:rFonts w:ascii="Verdana" w:hAnsi="Verdana"/>
                <w:b/>
                <w:sz w:val="18"/>
                <w:szCs w:val="18"/>
              </w:rPr>
            </w:pPr>
          </w:p>
          <w:p w14:paraId="513D474F" w14:textId="77777777" w:rsidR="008715BE" w:rsidRPr="00EC75B7" w:rsidRDefault="008715BE">
            <w:pPr>
              <w:pStyle w:val="TableParagraph"/>
              <w:spacing w:before="6"/>
              <w:rPr>
                <w:rFonts w:ascii="Verdana" w:hAnsi="Verdana"/>
                <w:b/>
                <w:sz w:val="18"/>
                <w:szCs w:val="18"/>
              </w:rPr>
            </w:pPr>
          </w:p>
          <w:p w14:paraId="36E57D56"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D062BB4" w14:textId="77777777" w:rsidR="008715BE" w:rsidRPr="00EC75B7" w:rsidRDefault="008715BE">
            <w:pPr>
              <w:pStyle w:val="TableParagraph"/>
              <w:rPr>
                <w:rFonts w:ascii="Verdana" w:hAnsi="Verdana"/>
                <w:b/>
                <w:sz w:val="18"/>
                <w:szCs w:val="18"/>
              </w:rPr>
            </w:pPr>
          </w:p>
          <w:p w14:paraId="10C75B9B" w14:textId="77777777" w:rsidR="008715BE" w:rsidRPr="00EC75B7" w:rsidRDefault="008715BE">
            <w:pPr>
              <w:pStyle w:val="TableParagraph"/>
              <w:rPr>
                <w:rFonts w:ascii="Verdana" w:hAnsi="Verdana"/>
                <w:b/>
                <w:sz w:val="18"/>
                <w:szCs w:val="18"/>
              </w:rPr>
            </w:pPr>
          </w:p>
          <w:p w14:paraId="4B11FA29" w14:textId="77777777" w:rsidR="008715BE" w:rsidRPr="00EC75B7" w:rsidRDefault="008715BE">
            <w:pPr>
              <w:pStyle w:val="TableParagraph"/>
              <w:rPr>
                <w:rFonts w:ascii="Verdana" w:hAnsi="Verdana"/>
                <w:b/>
                <w:sz w:val="18"/>
                <w:szCs w:val="18"/>
              </w:rPr>
            </w:pPr>
          </w:p>
          <w:p w14:paraId="0BB6E139" w14:textId="77777777" w:rsidR="008715BE" w:rsidRPr="00EC75B7" w:rsidRDefault="008715BE">
            <w:pPr>
              <w:pStyle w:val="TableParagraph"/>
              <w:rPr>
                <w:rFonts w:ascii="Verdana" w:hAnsi="Verdana"/>
                <w:b/>
                <w:sz w:val="18"/>
                <w:szCs w:val="18"/>
              </w:rPr>
            </w:pPr>
          </w:p>
          <w:p w14:paraId="01EAF185" w14:textId="77777777" w:rsidR="008715BE" w:rsidRPr="00EC75B7" w:rsidRDefault="008715BE">
            <w:pPr>
              <w:pStyle w:val="TableParagraph"/>
              <w:spacing w:before="6"/>
              <w:rPr>
                <w:rFonts w:ascii="Verdana" w:hAnsi="Verdana"/>
                <w:b/>
                <w:sz w:val="18"/>
                <w:szCs w:val="18"/>
              </w:rPr>
            </w:pPr>
          </w:p>
          <w:p w14:paraId="2D403C6E"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145B1BE3" w14:textId="77777777" w:rsidR="008715BE" w:rsidRPr="00EC75B7" w:rsidRDefault="008715BE">
            <w:pPr>
              <w:pStyle w:val="TableParagraph"/>
              <w:rPr>
                <w:rFonts w:ascii="Verdana" w:hAnsi="Verdana"/>
                <w:b/>
                <w:sz w:val="18"/>
                <w:szCs w:val="18"/>
              </w:rPr>
            </w:pPr>
          </w:p>
          <w:p w14:paraId="0649885E" w14:textId="77777777" w:rsidR="008715BE" w:rsidRPr="00EC75B7" w:rsidRDefault="008715BE">
            <w:pPr>
              <w:pStyle w:val="TableParagraph"/>
              <w:rPr>
                <w:rFonts w:ascii="Verdana" w:hAnsi="Verdana"/>
                <w:b/>
                <w:sz w:val="18"/>
                <w:szCs w:val="18"/>
              </w:rPr>
            </w:pPr>
          </w:p>
          <w:p w14:paraId="4E013AC4" w14:textId="77777777" w:rsidR="008715BE" w:rsidRPr="00EC75B7" w:rsidRDefault="008715BE">
            <w:pPr>
              <w:pStyle w:val="TableParagraph"/>
              <w:rPr>
                <w:rFonts w:ascii="Verdana" w:hAnsi="Verdana"/>
                <w:b/>
                <w:sz w:val="18"/>
                <w:szCs w:val="18"/>
              </w:rPr>
            </w:pPr>
          </w:p>
          <w:p w14:paraId="20384905" w14:textId="77777777" w:rsidR="008715BE" w:rsidRPr="00EC75B7" w:rsidRDefault="008715BE">
            <w:pPr>
              <w:pStyle w:val="TableParagraph"/>
              <w:rPr>
                <w:rFonts w:ascii="Verdana" w:hAnsi="Verdana"/>
                <w:b/>
                <w:sz w:val="18"/>
                <w:szCs w:val="18"/>
              </w:rPr>
            </w:pPr>
          </w:p>
          <w:p w14:paraId="2A561A29" w14:textId="77777777" w:rsidR="008715BE" w:rsidRPr="00EC75B7" w:rsidRDefault="008715BE">
            <w:pPr>
              <w:pStyle w:val="TableParagraph"/>
              <w:spacing w:before="6"/>
              <w:rPr>
                <w:rFonts w:ascii="Verdana" w:hAnsi="Verdana"/>
                <w:b/>
                <w:sz w:val="18"/>
                <w:szCs w:val="18"/>
              </w:rPr>
            </w:pPr>
          </w:p>
          <w:p w14:paraId="44366C76"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76EBD556" w14:textId="77777777" w:rsidR="008715BE" w:rsidRPr="00EC75B7" w:rsidRDefault="008715BE">
            <w:pPr>
              <w:pStyle w:val="TableParagraph"/>
              <w:rPr>
                <w:rFonts w:ascii="Verdana" w:hAnsi="Verdana"/>
                <w:b/>
                <w:sz w:val="18"/>
                <w:szCs w:val="18"/>
              </w:rPr>
            </w:pPr>
          </w:p>
          <w:p w14:paraId="506448B7" w14:textId="77777777" w:rsidR="008715BE" w:rsidRPr="00EC75B7" w:rsidRDefault="008715BE">
            <w:pPr>
              <w:pStyle w:val="TableParagraph"/>
              <w:rPr>
                <w:rFonts w:ascii="Verdana" w:hAnsi="Verdana"/>
                <w:b/>
                <w:sz w:val="18"/>
                <w:szCs w:val="18"/>
              </w:rPr>
            </w:pPr>
          </w:p>
          <w:p w14:paraId="324673B7" w14:textId="77777777" w:rsidR="008715BE" w:rsidRPr="00EC75B7" w:rsidRDefault="008715BE">
            <w:pPr>
              <w:pStyle w:val="TableParagraph"/>
              <w:rPr>
                <w:rFonts w:ascii="Verdana" w:hAnsi="Verdana"/>
                <w:b/>
                <w:sz w:val="18"/>
                <w:szCs w:val="18"/>
              </w:rPr>
            </w:pPr>
          </w:p>
          <w:p w14:paraId="53D20826" w14:textId="77777777" w:rsidR="008715BE" w:rsidRPr="00EC75B7" w:rsidRDefault="008715BE">
            <w:pPr>
              <w:pStyle w:val="TableParagraph"/>
              <w:rPr>
                <w:rFonts w:ascii="Verdana" w:hAnsi="Verdana"/>
                <w:b/>
                <w:sz w:val="18"/>
                <w:szCs w:val="18"/>
              </w:rPr>
            </w:pPr>
          </w:p>
          <w:p w14:paraId="3B8F7D63" w14:textId="77777777" w:rsidR="008715BE" w:rsidRPr="00EC75B7" w:rsidRDefault="008715BE">
            <w:pPr>
              <w:pStyle w:val="TableParagraph"/>
              <w:spacing w:before="6"/>
              <w:rPr>
                <w:rFonts w:ascii="Verdana" w:hAnsi="Verdana"/>
                <w:b/>
                <w:sz w:val="18"/>
                <w:szCs w:val="18"/>
              </w:rPr>
            </w:pPr>
          </w:p>
          <w:p w14:paraId="0ACA01CE"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02B3F037" w14:textId="77777777" w:rsidR="008715BE" w:rsidRPr="00EC75B7" w:rsidRDefault="008715BE">
            <w:pPr>
              <w:pStyle w:val="TableParagraph"/>
              <w:rPr>
                <w:rFonts w:ascii="Verdana" w:hAnsi="Verdana"/>
                <w:b/>
                <w:sz w:val="18"/>
                <w:szCs w:val="18"/>
              </w:rPr>
            </w:pPr>
          </w:p>
          <w:p w14:paraId="4C13202F" w14:textId="77777777" w:rsidR="008715BE" w:rsidRPr="00EC75B7" w:rsidRDefault="008715BE">
            <w:pPr>
              <w:pStyle w:val="TableParagraph"/>
              <w:rPr>
                <w:rFonts w:ascii="Verdana" w:hAnsi="Verdana"/>
                <w:b/>
                <w:sz w:val="18"/>
                <w:szCs w:val="18"/>
              </w:rPr>
            </w:pPr>
          </w:p>
          <w:p w14:paraId="14C67961" w14:textId="77777777" w:rsidR="008715BE" w:rsidRPr="00EC75B7" w:rsidRDefault="008715BE">
            <w:pPr>
              <w:pStyle w:val="TableParagraph"/>
              <w:rPr>
                <w:rFonts w:ascii="Verdana" w:hAnsi="Verdana"/>
                <w:b/>
                <w:sz w:val="18"/>
                <w:szCs w:val="18"/>
              </w:rPr>
            </w:pPr>
          </w:p>
          <w:p w14:paraId="1D2B419A" w14:textId="77777777" w:rsidR="008715BE" w:rsidRPr="00EC75B7" w:rsidRDefault="008715BE">
            <w:pPr>
              <w:pStyle w:val="TableParagraph"/>
              <w:rPr>
                <w:rFonts w:ascii="Verdana" w:hAnsi="Verdana"/>
                <w:b/>
                <w:sz w:val="18"/>
                <w:szCs w:val="18"/>
              </w:rPr>
            </w:pPr>
          </w:p>
          <w:p w14:paraId="1F806FBD" w14:textId="77777777" w:rsidR="008715BE" w:rsidRPr="00EC75B7" w:rsidRDefault="008715BE">
            <w:pPr>
              <w:pStyle w:val="TableParagraph"/>
              <w:spacing w:before="6"/>
              <w:rPr>
                <w:rFonts w:ascii="Verdana" w:hAnsi="Verdana"/>
                <w:b/>
                <w:sz w:val="18"/>
                <w:szCs w:val="18"/>
              </w:rPr>
            </w:pPr>
          </w:p>
          <w:p w14:paraId="1D4B6161"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6FE39729" w14:textId="77777777" w:rsidR="008715BE" w:rsidRPr="00EC75B7" w:rsidRDefault="008715BE">
            <w:pPr>
              <w:pStyle w:val="TableParagraph"/>
              <w:rPr>
                <w:rFonts w:ascii="Verdana" w:hAnsi="Verdana"/>
                <w:b/>
                <w:sz w:val="18"/>
                <w:szCs w:val="18"/>
              </w:rPr>
            </w:pPr>
          </w:p>
          <w:p w14:paraId="092AE055" w14:textId="77777777" w:rsidR="008715BE" w:rsidRPr="00EC75B7" w:rsidRDefault="008715BE">
            <w:pPr>
              <w:pStyle w:val="TableParagraph"/>
              <w:rPr>
                <w:rFonts w:ascii="Verdana" w:hAnsi="Verdana"/>
                <w:b/>
                <w:sz w:val="18"/>
                <w:szCs w:val="18"/>
              </w:rPr>
            </w:pPr>
          </w:p>
          <w:p w14:paraId="4CECC7AA" w14:textId="77777777" w:rsidR="008715BE" w:rsidRPr="00EC75B7" w:rsidRDefault="008715BE">
            <w:pPr>
              <w:pStyle w:val="TableParagraph"/>
              <w:rPr>
                <w:rFonts w:ascii="Verdana" w:hAnsi="Verdana"/>
                <w:b/>
                <w:sz w:val="18"/>
                <w:szCs w:val="18"/>
              </w:rPr>
            </w:pPr>
          </w:p>
          <w:p w14:paraId="32B493BC" w14:textId="77777777" w:rsidR="008715BE" w:rsidRPr="00EC75B7" w:rsidRDefault="008715BE">
            <w:pPr>
              <w:pStyle w:val="TableParagraph"/>
              <w:rPr>
                <w:rFonts w:ascii="Verdana" w:hAnsi="Verdana"/>
                <w:b/>
                <w:sz w:val="18"/>
                <w:szCs w:val="18"/>
              </w:rPr>
            </w:pPr>
          </w:p>
          <w:p w14:paraId="54945801" w14:textId="77777777" w:rsidR="008715BE" w:rsidRPr="00EC75B7" w:rsidRDefault="008715BE">
            <w:pPr>
              <w:pStyle w:val="TableParagraph"/>
              <w:spacing w:before="6"/>
              <w:rPr>
                <w:rFonts w:ascii="Verdana" w:hAnsi="Verdana"/>
                <w:b/>
                <w:sz w:val="18"/>
                <w:szCs w:val="18"/>
              </w:rPr>
            </w:pPr>
          </w:p>
          <w:p w14:paraId="5A010DDB"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757D6F2F" w14:textId="77777777" w:rsidR="008715BE" w:rsidRPr="00EC75B7" w:rsidRDefault="008715BE">
            <w:pPr>
              <w:pStyle w:val="TableParagraph"/>
              <w:rPr>
                <w:rFonts w:ascii="Verdana" w:hAnsi="Verdana"/>
                <w:b/>
                <w:sz w:val="18"/>
                <w:szCs w:val="18"/>
              </w:rPr>
            </w:pPr>
          </w:p>
          <w:p w14:paraId="681F5C1A" w14:textId="77777777" w:rsidR="008715BE" w:rsidRPr="00EC75B7" w:rsidRDefault="008715BE">
            <w:pPr>
              <w:pStyle w:val="TableParagraph"/>
              <w:rPr>
                <w:rFonts w:ascii="Verdana" w:hAnsi="Verdana"/>
                <w:b/>
                <w:sz w:val="18"/>
                <w:szCs w:val="18"/>
              </w:rPr>
            </w:pPr>
          </w:p>
          <w:p w14:paraId="161D3F5E" w14:textId="77777777" w:rsidR="008715BE" w:rsidRPr="00EC75B7" w:rsidRDefault="008715BE">
            <w:pPr>
              <w:pStyle w:val="TableParagraph"/>
              <w:rPr>
                <w:rFonts w:ascii="Verdana" w:hAnsi="Verdana"/>
                <w:b/>
                <w:sz w:val="18"/>
                <w:szCs w:val="18"/>
              </w:rPr>
            </w:pPr>
          </w:p>
          <w:p w14:paraId="7B14BE87" w14:textId="77777777" w:rsidR="008715BE" w:rsidRPr="00EC75B7" w:rsidRDefault="008715BE">
            <w:pPr>
              <w:pStyle w:val="TableParagraph"/>
              <w:rPr>
                <w:rFonts w:ascii="Verdana" w:hAnsi="Verdana"/>
                <w:b/>
                <w:sz w:val="18"/>
                <w:szCs w:val="18"/>
              </w:rPr>
            </w:pPr>
          </w:p>
          <w:p w14:paraId="65DE48E3" w14:textId="77777777" w:rsidR="008715BE" w:rsidRPr="00EC75B7" w:rsidRDefault="008715BE">
            <w:pPr>
              <w:pStyle w:val="TableParagraph"/>
              <w:spacing w:before="6"/>
              <w:rPr>
                <w:rFonts w:ascii="Verdana" w:hAnsi="Verdana"/>
                <w:b/>
                <w:sz w:val="18"/>
                <w:szCs w:val="18"/>
              </w:rPr>
            </w:pPr>
          </w:p>
          <w:p w14:paraId="1B9F1272"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40935B0F" w14:textId="77777777" w:rsidR="008715BE" w:rsidRPr="00EC75B7" w:rsidRDefault="008715BE">
            <w:pPr>
              <w:pStyle w:val="TableParagraph"/>
              <w:rPr>
                <w:rFonts w:ascii="Verdana" w:hAnsi="Verdana"/>
                <w:b/>
                <w:sz w:val="18"/>
                <w:szCs w:val="18"/>
              </w:rPr>
            </w:pPr>
          </w:p>
          <w:p w14:paraId="70191867" w14:textId="77777777" w:rsidR="008715BE" w:rsidRPr="00EC75B7" w:rsidRDefault="008715BE">
            <w:pPr>
              <w:pStyle w:val="TableParagraph"/>
              <w:rPr>
                <w:rFonts w:ascii="Verdana" w:hAnsi="Verdana"/>
                <w:b/>
                <w:sz w:val="18"/>
                <w:szCs w:val="18"/>
              </w:rPr>
            </w:pPr>
          </w:p>
          <w:p w14:paraId="0DCA0BFA" w14:textId="77777777" w:rsidR="008715BE" w:rsidRPr="00EC75B7" w:rsidRDefault="008715BE">
            <w:pPr>
              <w:pStyle w:val="TableParagraph"/>
              <w:rPr>
                <w:rFonts w:ascii="Verdana" w:hAnsi="Verdana"/>
                <w:b/>
                <w:sz w:val="18"/>
                <w:szCs w:val="18"/>
              </w:rPr>
            </w:pPr>
          </w:p>
          <w:p w14:paraId="1B3A204F" w14:textId="77777777" w:rsidR="008715BE" w:rsidRPr="00EC75B7" w:rsidRDefault="008715BE">
            <w:pPr>
              <w:pStyle w:val="TableParagraph"/>
              <w:spacing w:before="103"/>
              <w:rPr>
                <w:rFonts w:ascii="Verdana" w:hAnsi="Verdana"/>
                <w:b/>
                <w:sz w:val="18"/>
                <w:szCs w:val="18"/>
              </w:rPr>
            </w:pPr>
          </w:p>
          <w:p w14:paraId="1FF629CD"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0F87F70C" w14:textId="77777777">
        <w:trPr>
          <w:trHeight w:val="2138"/>
        </w:trPr>
        <w:tc>
          <w:tcPr>
            <w:tcW w:w="554" w:type="dxa"/>
          </w:tcPr>
          <w:p w14:paraId="5C71D1C0" w14:textId="77777777" w:rsidR="008715BE" w:rsidRPr="00EC75B7" w:rsidRDefault="008715BE">
            <w:pPr>
              <w:pStyle w:val="TableParagraph"/>
              <w:rPr>
                <w:rFonts w:ascii="Verdana" w:hAnsi="Verdana"/>
                <w:b/>
                <w:sz w:val="18"/>
                <w:szCs w:val="18"/>
              </w:rPr>
            </w:pPr>
          </w:p>
          <w:p w14:paraId="1588A578" w14:textId="77777777" w:rsidR="008715BE" w:rsidRPr="00EC75B7" w:rsidRDefault="008715BE">
            <w:pPr>
              <w:pStyle w:val="TableParagraph"/>
              <w:rPr>
                <w:rFonts w:ascii="Verdana" w:hAnsi="Verdana"/>
                <w:b/>
                <w:sz w:val="18"/>
                <w:szCs w:val="18"/>
              </w:rPr>
            </w:pPr>
          </w:p>
          <w:p w14:paraId="3640A398" w14:textId="77777777" w:rsidR="008715BE" w:rsidRPr="00EC75B7" w:rsidRDefault="008715BE">
            <w:pPr>
              <w:pStyle w:val="TableParagraph"/>
              <w:rPr>
                <w:rFonts w:ascii="Verdana" w:hAnsi="Verdana"/>
                <w:b/>
                <w:sz w:val="18"/>
                <w:szCs w:val="18"/>
              </w:rPr>
            </w:pPr>
          </w:p>
          <w:p w14:paraId="68D0BE21" w14:textId="77777777" w:rsidR="008715BE" w:rsidRPr="00EC75B7" w:rsidRDefault="008715BE">
            <w:pPr>
              <w:pStyle w:val="TableParagraph"/>
              <w:rPr>
                <w:rFonts w:ascii="Verdana" w:hAnsi="Verdana"/>
                <w:b/>
                <w:sz w:val="18"/>
                <w:szCs w:val="18"/>
              </w:rPr>
            </w:pPr>
          </w:p>
          <w:p w14:paraId="2B1AF5DF" w14:textId="77777777" w:rsidR="008715BE" w:rsidRPr="00EC75B7" w:rsidRDefault="008715BE">
            <w:pPr>
              <w:pStyle w:val="TableParagraph"/>
              <w:spacing w:before="3"/>
              <w:rPr>
                <w:rFonts w:ascii="Verdana" w:hAnsi="Verdana"/>
                <w:b/>
                <w:sz w:val="18"/>
                <w:szCs w:val="18"/>
              </w:rPr>
            </w:pPr>
          </w:p>
          <w:p w14:paraId="4457257B"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M3</w:t>
            </w:r>
          </w:p>
        </w:tc>
        <w:tc>
          <w:tcPr>
            <w:tcW w:w="6091" w:type="dxa"/>
          </w:tcPr>
          <w:p w14:paraId="5E45C5BC" w14:textId="77777777" w:rsidR="008715BE" w:rsidRPr="00EC75B7" w:rsidRDefault="008715BE">
            <w:pPr>
              <w:pStyle w:val="TableParagraph"/>
              <w:rPr>
                <w:rFonts w:ascii="Verdana" w:hAnsi="Verdana"/>
                <w:b/>
                <w:sz w:val="18"/>
                <w:szCs w:val="18"/>
              </w:rPr>
            </w:pPr>
          </w:p>
          <w:p w14:paraId="35BFA646" w14:textId="77777777" w:rsidR="008715BE" w:rsidRPr="00EC75B7" w:rsidRDefault="008715BE">
            <w:pPr>
              <w:pStyle w:val="TableParagraph"/>
              <w:rPr>
                <w:rFonts w:ascii="Verdana" w:hAnsi="Verdana"/>
                <w:b/>
                <w:sz w:val="18"/>
                <w:szCs w:val="18"/>
              </w:rPr>
            </w:pPr>
          </w:p>
          <w:p w14:paraId="145A9144" w14:textId="77777777" w:rsidR="008715BE" w:rsidRPr="00EC75B7" w:rsidRDefault="008715BE">
            <w:pPr>
              <w:pStyle w:val="TableParagraph"/>
              <w:rPr>
                <w:rFonts w:ascii="Verdana" w:hAnsi="Verdana"/>
                <w:b/>
                <w:sz w:val="18"/>
                <w:szCs w:val="18"/>
              </w:rPr>
            </w:pPr>
          </w:p>
          <w:p w14:paraId="71839C44" w14:textId="77777777" w:rsidR="008715BE" w:rsidRPr="00EC75B7" w:rsidRDefault="008715BE">
            <w:pPr>
              <w:pStyle w:val="TableParagraph"/>
              <w:spacing w:before="103"/>
              <w:rPr>
                <w:rFonts w:ascii="Verdana" w:hAnsi="Verdana"/>
                <w:b/>
                <w:sz w:val="18"/>
                <w:szCs w:val="18"/>
              </w:rPr>
            </w:pPr>
          </w:p>
          <w:p w14:paraId="610ED03E"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Compliance with the proposed work schedule and the period proposed in this project.</w:t>
            </w:r>
          </w:p>
        </w:tc>
        <w:tc>
          <w:tcPr>
            <w:tcW w:w="1809" w:type="dxa"/>
          </w:tcPr>
          <w:p w14:paraId="1057B7F6"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10391F41"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7A70ADA4" w14:textId="77777777" w:rsidR="008715BE" w:rsidRPr="00EC75B7" w:rsidRDefault="00000000" w:rsidP="00C96230">
            <w:pPr>
              <w:pStyle w:val="TableParagraph"/>
              <w:spacing w:line="159"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4FC27326" w14:textId="77777777" w:rsidR="008715BE" w:rsidRPr="00EC75B7" w:rsidRDefault="008715BE">
            <w:pPr>
              <w:pStyle w:val="TableParagraph"/>
              <w:rPr>
                <w:rFonts w:ascii="Verdana" w:hAnsi="Verdana"/>
                <w:b/>
                <w:sz w:val="18"/>
                <w:szCs w:val="18"/>
              </w:rPr>
            </w:pPr>
          </w:p>
          <w:p w14:paraId="71C85B55" w14:textId="77777777" w:rsidR="008715BE" w:rsidRPr="00EC75B7" w:rsidRDefault="008715BE">
            <w:pPr>
              <w:pStyle w:val="TableParagraph"/>
              <w:spacing w:before="104"/>
              <w:rPr>
                <w:rFonts w:ascii="Verdana" w:hAnsi="Verdana"/>
                <w:b/>
                <w:sz w:val="18"/>
                <w:szCs w:val="18"/>
              </w:rPr>
            </w:pPr>
          </w:p>
          <w:p w14:paraId="2E64C69D"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6B243CE4" w14:textId="77777777" w:rsidR="008715BE" w:rsidRPr="00EC75B7" w:rsidRDefault="008715BE">
            <w:pPr>
              <w:pStyle w:val="TableParagraph"/>
              <w:rPr>
                <w:rFonts w:ascii="Verdana" w:hAnsi="Verdana"/>
                <w:b/>
                <w:sz w:val="18"/>
                <w:szCs w:val="18"/>
              </w:rPr>
            </w:pPr>
          </w:p>
          <w:p w14:paraId="6840D815" w14:textId="77777777" w:rsidR="008715BE" w:rsidRPr="00EC75B7" w:rsidRDefault="008715BE">
            <w:pPr>
              <w:pStyle w:val="TableParagraph"/>
              <w:rPr>
                <w:rFonts w:ascii="Verdana" w:hAnsi="Verdana"/>
                <w:b/>
                <w:sz w:val="18"/>
                <w:szCs w:val="18"/>
              </w:rPr>
            </w:pPr>
          </w:p>
          <w:p w14:paraId="1AAE9524" w14:textId="77777777" w:rsidR="008715BE" w:rsidRPr="00EC75B7" w:rsidRDefault="008715BE">
            <w:pPr>
              <w:pStyle w:val="TableParagraph"/>
              <w:rPr>
                <w:rFonts w:ascii="Verdana" w:hAnsi="Verdana"/>
                <w:b/>
                <w:sz w:val="18"/>
                <w:szCs w:val="18"/>
              </w:rPr>
            </w:pPr>
          </w:p>
          <w:p w14:paraId="369C550E" w14:textId="77777777" w:rsidR="008715BE" w:rsidRPr="00EC75B7" w:rsidRDefault="008715BE">
            <w:pPr>
              <w:pStyle w:val="TableParagraph"/>
              <w:rPr>
                <w:rFonts w:ascii="Verdana" w:hAnsi="Verdana"/>
                <w:b/>
                <w:sz w:val="18"/>
                <w:szCs w:val="18"/>
              </w:rPr>
            </w:pPr>
          </w:p>
          <w:p w14:paraId="2677BECC" w14:textId="77777777" w:rsidR="008715BE" w:rsidRPr="00EC75B7" w:rsidRDefault="008715BE">
            <w:pPr>
              <w:pStyle w:val="TableParagraph"/>
              <w:spacing w:before="3"/>
              <w:rPr>
                <w:rFonts w:ascii="Verdana" w:hAnsi="Verdana"/>
                <w:b/>
                <w:sz w:val="18"/>
                <w:szCs w:val="18"/>
              </w:rPr>
            </w:pPr>
          </w:p>
          <w:p w14:paraId="5ADF613D"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PAS</w:t>
            </w:r>
          </w:p>
        </w:tc>
        <w:tc>
          <w:tcPr>
            <w:tcW w:w="269" w:type="dxa"/>
          </w:tcPr>
          <w:p w14:paraId="46A245CA" w14:textId="77777777" w:rsidR="008715BE" w:rsidRPr="00EC75B7" w:rsidRDefault="008715BE">
            <w:pPr>
              <w:pStyle w:val="TableParagraph"/>
              <w:rPr>
                <w:rFonts w:ascii="Verdana" w:hAnsi="Verdana"/>
                <w:b/>
                <w:sz w:val="18"/>
                <w:szCs w:val="18"/>
              </w:rPr>
            </w:pPr>
          </w:p>
          <w:p w14:paraId="5A5C2E0C" w14:textId="77777777" w:rsidR="008715BE" w:rsidRPr="00EC75B7" w:rsidRDefault="008715BE">
            <w:pPr>
              <w:pStyle w:val="TableParagraph"/>
              <w:rPr>
                <w:rFonts w:ascii="Verdana" w:hAnsi="Verdana"/>
                <w:b/>
                <w:sz w:val="18"/>
                <w:szCs w:val="18"/>
              </w:rPr>
            </w:pPr>
          </w:p>
          <w:p w14:paraId="1D5F7022" w14:textId="77777777" w:rsidR="008715BE" w:rsidRPr="00EC75B7" w:rsidRDefault="008715BE">
            <w:pPr>
              <w:pStyle w:val="TableParagraph"/>
              <w:rPr>
                <w:rFonts w:ascii="Verdana" w:hAnsi="Verdana"/>
                <w:b/>
                <w:sz w:val="18"/>
                <w:szCs w:val="18"/>
              </w:rPr>
            </w:pPr>
          </w:p>
          <w:p w14:paraId="715D7FCC" w14:textId="77777777" w:rsidR="008715BE" w:rsidRPr="00EC75B7" w:rsidRDefault="008715BE">
            <w:pPr>
              <w:pStyle w:val="TableParagraph"/>
              <w:rPr>
                <w:rFonts w:ascii="Verdana" w:hAnsi="Verdana"/>
                <w:b/>
                <w:sz w:val="18"/>
                <w:szCs w:val="18"/>
              </w:rPr>
            </w:pPr>
          </w:p>
          <w:p w14:paraId="2AFC9ED6" w14:textId="77777777" w:rsidR="008715BE" w:rsidRPr="00EC75B7" w:rsidRDefault="008715BE">
            <w:pPr>
              <w:pStyle w:val="TableParagraph"/>
              <w:spacing w:before="3"/>
              <w:rPr>
                <w:rFonts w:ascii="Verdana" w:hAnsi="Verdana"/>
                <w:b/>
                <w:sz w:val="18"/>
                <w:szCs w:val="18"/>
              </w:rPr>
            </w:pPr>
          </w:p>
          <w:p w14:paraId="3866369C"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4449C15C" w14:textId="77777777" w:rsidR="008715BE" w:rsidRPr="00EC75B7" w:rsidRDefault="008715BE">
            <w:pPr>
              <w:pStyle w:val="TableParagraph"/>
              <w:rPr>
                <w:rFonts w:ascii="Verdana" w:hAnsi="Verdana"/>
                <w:b/>
                <w:sz w:val="18"/>
                <w:szCs w:val="18"/>
              </w:rPr>
            </w:pPr>
          </w:p>
          <w:p w14:paraId="5C8BB339" w14:textId="77777777" w:rsidR="008715BE" w:rsidRPr="00EC75B7" w:rsidRDefault="008715BE">
            <w:pPr>
              <w:pStyle w:val="TableParagraph"/>
              <w:rPr>
                <w:rFonts w:ascii="Verdana" w:hAnsi="Verdana"/>
                <w:b/>
                <w:sz w:val="18"/>
                <w:szCs w:val="18"/>
              </w:rPr>
            </w:pPr>
          </w:p>
          <w:p w14:paraId="76677283" w14:textId="77777777" w:rsidR="008715BE" w:rsidRPr="00EC75B7" w:rsidRDefault="008715BE">
            <w:pPr>
              <w:pStyle w:val="TableParagraph"/>
              <w:rPr>
                <w:rFonts w:ascii="Verdana" w:hAnsi="Verdana"/>
                <w:b/>
                <w:sz w:val="18"/>
                <w:szCs w:val="18"/>
              </w:rPr>
            </w:pPr>
          </w:p>
          <w:p w14:paraId="79A0FF80" w14:textId="77777777" w:rsidR="008715BE" w:rsidRPr="00EC75B7" w:rsidRDefault="008715BE">
            <w:pPr>
              <w:pStyle w:val="TableParagraph"/>
              <w:rPr>
                <w:rFonts w:ascii="Verdana" w:hAnsi="Verdana"/>
                <w:b/>
                <w:sz w:val="18"/>
                <w:szCs w:val="18"/>
              </w:rPr>
            </w:pPr>
          </w:p>
          <w:p w14:paraId="3076D1B4" w14:textId="77777777" w:rsidR="008715BE" w:rsidRPr="00EC75B7" w:rsidRDefault="008715BE">
            <w:pPr>
              <w:pStyle w:val="TableParagraph"/>
              <w:spacing w:before="3"/>
              <w:rPr>
                <w:rFonts w:ascii="Verdana" w:hAnsi="Verdana"/>
                <w:b/>
                <w:sz w:val="18"/>
                <w:szCs w:val="18"/>
              </w:rPr>
            </w:pPr>
          </w:p>
          <w:p w14:paraId="5957B823"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153FF713" w14:textId="77777777" w:rsidR="008715BE" w:rsidRPr="00EC75B7" w:rsidRDefault="008715BE">
            <w:pPr>
              <w:pStyle w:val="TableParagraph"/>
              <w:rPr>
                <w:rFonts w:ascii="Verdana" w:hAnsi="Verdana"/>
                <w:b/>
                <w:sz w:val="18"/>
                <w:szCs w:val="18"/>
              </w:rPr>
            </w:pPr>
          </w:p>
          <w:p w14:paraId="51F65E01" w14:textId="77777777" w:rsidR="008715BE" w:rsidRPr="00EC75B7" w:rsidRDefault="008715BE">
            <w:pPr>
              <w:pStyle w:val="TableParagraph"/>
              <w:rPr>
                <w:rFonts w:ascii="Verdana" w:hAnsi="Verdana"/>
                <w:b/>
                <w:sz w:val="18"/>
                <w:szCs w:val="18"/>
              </w:rPr>
            </w:pPr>
          </w:p>
          <w:p w14:paraId="73813EDA" w14:textId="77777777" w:rsidR="008715BE" w:rsidRPr="00EC75B7" w:rsidRDefault="008715BE">
            <w:pPr>
              <w:pStyle w:val="TableParagraph"/>
              <w:rPr>
                <w:rFonts w:ascii="Verdana" w:hAnsi="Verdana"/>
                <w:b/>
                <w:sz w:val="18"/>
                <w:szCs w:val="18"/>
              </w:rPr>
            </w:pPr>
          </w:p>
          <w:p w14:paraId="40552004" w14:textId="77777777" w:rsidR="008715BE" w:rsidRPr="00EC75B7" w:rsidRDefault="008715BE">
            <w:pPr>
              <w:pStyle w:val="TableParagraph"/>
              <w:rPr>
                <w:rFonts w:ascii="Verdana" w:hAnsi="Verdana"/>
                <w:b/>
                <w:sz w:val="18"/>
                <w:szCs w:val="18"/>
              </w:rPr>
            </w:pPr>
          </w:p>
          <w:p w14:paraId="1CBA05CF" w14:textId="77777777" w:rsidR="008715BE" w:rsidRPr="00EC75B7" w:rsidRDefault="008715BE">
            <w:pPr>
              <w:pStyle w:val="TableParagraph"/>
              <w:spacing w:before="3"/>
              <w:rPr>
                <w:rFonts w:ascii="Verdana" w:hAnsi="Verdana"/>
                <w:b/>
                <w:sz w:val="18"/>
                <w:szCs w:val="18"/>
              </w:rPr>
            </w:pPr>
          </w:p>
          <w:p w14:paraId="277D8D33"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69E9D72" w14:textId="77777777" w:rsidR="008715BE" w:rsidRPr="00EC75B7" w:rsidRDefault="008715BE">
            <w:pPr>
              <w:pStyle w:val="TableParagraph"/>
              <w:rPr>
                <w:rFonts w:ascii="Verdana" w:hAnsi="Verdana"/>
                <w:b/>
                <w:sz w:val="18"/>
                <w:szCs w:val="18"/>
              </w:rPr>
            </w:pPr>
          </w:p>
          <w:p w14:paraId="5E0ACF91" w14:textId="77777777" w:rsidR="008715BE" w:rsidRPr="00EC75B7" w:rsidRDefault="008715BE">
            <w:pPr>
              <w:pStyle w:val="TableParagraph"/>
              <w:rPr>
                <w:rFonts w:ascii="Verdana" w:hAnsi="Verdana"/>
                <w:b/>
                <w:sz w:val="18"/>
                <w:szCs w:val="18"/>
              </w:rPr>
            </w:pPr>
          </w:p>
          <w:p w14:paraId="5FC9CD82" w14:textId="77777777" w:rsidR="008715BE" w:rsidRPr="00EC75B7" w:rsidRDefault="008715BE">
            <w:pPr>
              <w:pStyle w:val="TableParagraph"/>
              <w:rPr>
                <w:rFonts w:ascii="Verdana" w:hAnsi="Verdana"/>
                <w:b/>
                <w:sz w:val="18"/>
                <w:szCs w:val="18"/>
              </w:rPr>
            </w:pPr>
          </w:p>
          <w:p w14:paraId="5BDDDA47" w14:textId="77777777" w:rsidR="008715BE" w:rsidRPr="00EC75B7" w:rsidRDefault="008715BE">
            <w:pPr>
              <w:pStyle w:val="TableParagraph"/>
              <w:rPr>
                <w:rFonts w:ascii="Verdana" w:hAnsi="Verdana"/>
                <w:b/>
                <w:sz w:val="18"/>
                <w:szCs w:val="18"/>
              </w:rPr>
            </w:pPr>
          </w:p>
          <w:p w14:paraId="690BBEC4" w14:textId="77777777" w:rsidR="008715BE" w:rsidRPr="00EC75B7" w:rsidRDefault="008715BE">
            <w:pPr>
              <w:pStyle w:val="TableParagraph"/>
              <w:spacing w:before="3"/>
              <w:rPr>
                <w:rFonts w:ascii="Verdana" w:hAnsi="Verdana"/>
                <w:b/>
                <w:sz w:val="18"/>
                <w:szCs w:val="18"/>
              </w:rPr>
            </w:pPr>
          </w:p>
          <w:p w14:paraId="02A25167"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28199AFC" w14:textId="77777777" w:rsidR="008715BE" w:rsidRPr="00EC75B7" w:rsidRDefault="008715BE">
            <w:pPr>
              <w:pStyle w:val="TableParagraph"/>
              <w:rPr>
                <w:rFonts w:ascii="Verdana" w:hAnsi="Verdana"/>
                <w:b/>
                <w:sz w:val="18"/>
                <w:szCs w:val="18"/>
              </w:rPr>
            </w:pPr>
          </w:p>
          <w:p w14:paraId="795B82B9" w14:textId="77777777" w:rsidR="008715BE" w:rsidRPr="00EC75B7" w:rsidRDefault="008715BE">
            <w:pPr>
              <w:pStyle w:val="TableParagraph"/>
              <w:rPr>
                <w:rFonts w:ascii="Verdana" w:hAnsi="Verdana"/>
                <w:b/>
                <w:sz w:val="18"/>
                <w:szCs w:val="18"/>
              </w:rPr>
            </w:pPr>
          </w:p>
          <w:p w14:paraId="46B2E77F" w14:textId="77777777" w:rsidR="008715BE" w:rsidRPr="00EC75B7" w:rsidRDefault="008715BE">
            <w:pPr>
              <w:pStyle w:val="TableParagraph"/>
              <w:rPr>
                <w:rFonts w:ascii="Verdana" w:hAnsi="Verdana"/>
                <w:b/>
                <w:sz w:val="18"/>
                <w:szCs w:val="18"/>
              </w:rPr>
            </w:pPr>
          </w:p>
          <w:p w14:paraId="5867C961" w14:textId="77777777" w:rsidR="008715BE" w:rsidRPr="00EC75B7" w:rsidRDefault="008715BE">
            <w:pPr>
              <w:pStyle w:val="TableParagraph"/>
              <w:rPr>
                <w:rFonts w:ascii="Verdana" w:hAnsi="Verdana"/>
                <w:b/>
                <w:sz w:val="18"/>
                <w:szCs w:val="18"/>
              </w:rPr>
            </w:pPr>
          </w:p>
          <w:p w14:paraId="20A56AB4" w14:textId="77777777" w:rsidR="008715BE" w:rsidRPr="00EC75B7" w:rsidRDefault="008715BE">
            <w:pPr>
              <w:pStyle w:val="TableParagraph"/>
              <w:spacing w:before="3"/>
              <w:rPr>
                <w:rFonts w:ascii="Verdana" w:hAnsi="Verdana"/>
                <w:b/>
                <w:sz w:val="18"/>
                <w:szCs w:val="18"/>
              </w:rPr>
            </w:pPr>
          </w:p>
          <w:p w14:paraId="04FB346A"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41682C0" w14:textId="77777777" w:rsidR="008715BE" w:rsidRPr="00EC75B7" w:rsidRDefault="008715BE">
            <w:pPr>
              <w:pStyle w:val="TableParagraph"/>
              <w:rPr>
                <w:rFonts w:ascii="Verdana" w:hAnsi="Verdana"/>
                <w:b/>
                <w:sz w:val="18"/>
                <w:szCs w:val="18"/>
              </w:rPr>
            </w:pPr>
          </w:p>
          <w:p w14:paraId="5EA2DB16" w14:textId="77777777" w:rsidR="008715BE" w:rsidRPr="00EC75B7" w:rsidRDefault="008715BE">
            <w:pPr>
              <w:pStyle w:val="TableParagraph"/>
              <w:rPr>
                <w:rFonts w:ascii="Verdana" w:hAnsi="Verdana"/>
                <w:b/>
                <w:sz w:val="18"/>
                <w:szCs w:val="18"/>
              </w:rPr>
            </w:pPr>
          </w:p>
          <w:p w14:paraId="28BBC4F1" w14:textId="77777777" w:rsidR="008715BE" w:rsidRPr="00EC75B7" w:rsidRDefault="008715BE">
            <w:pPr>
              <w:pStyle w:val="TableParagraph"/>
              <w:rPr>
                <w:rFonts w:ascii="Verdana" w:hAnsi="Verdana"/>
                <w:b/>
                <w:sz w:val="18"/>
                <w:szCs w:val="18"/>
              </w:rPr>
            </w:pPr>
          </w:p>
          <w:p w14:paraId="467F253F" w14:textId="77777777" w:rsidR="008715BE" w:rsidRPr="00EC75B7" w:rsidRDefault="008715BE">
            <w:pPr>
              <w:pStyle w:val="TableParagraph"/>
              <w:rPr>
                <w:rFonts w:ascii="Verdana" w:hAnsi="Verdana"/>
                <w:b/>
                <w:sz w:val="18"/>
                <w:szCs w:val="18"/>
              </w:rPr>
            </w:pPr>
          </w:p>
          <w:p w14:paraId="16C4B79C" w14:textId="77777777" w:rsidR="008715BE" w:rsidRPr="00EC75B7" w:rsidRDefault="008715BE">
            <w:pPr>
              <w:pStyle w:val="TableParagraph"/>
              <w:spacing w:before="3"/>
              <w:rPr>
                <w:rFonts w:ascii="Verdana" w:hAnsi="Verdana"/>
                <w:b/>
                <w:sz w:val="18"/>
                <w:szCs w:val="18"/>
              </w:rPr>
            </w:pPr>
          </w:p>
          <w:p w14:paraId="13C4875C"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758983EC" w14:textId="77777777" w:rsidR="008715BE" w:rsidRPr="00EC75B7" w:rsidRDefault="008715BE">
            <w:pPr>
              <w:pStyle w:val="TableParagraph"/>
              <w:rPr>
                <w:rFonts w:ascii="Verdana" w:hAnsi="Verdana"/>
                <w:b/>
                <w:sz w:val="18"/>
                <w:szCs w:val="18"/>
              </w:rPr>
            </w:pPr>
          </w:p>
          <w:p w14:paraId="3796FB15" w14:textId="77777777" w:rsidR="008715BE" w:rsidRPr="00EC75B7" w:rsidRDefault="008715BE">
            <w:pPr>
              <w:pStyle w:val="TableParagraph"/>
              <w:rPr>
                <w:rFonts w:ascii="Verdana" w:hAnsi="Verdana"/>
                <w:b/>
                <w:sz w:val="18"/>
                <w:szCs w:val="18"/>
              </w:rPr>
            </w:pPr>
          </w:p>
          <w:p w14:paraId="362B2255" w14:textId="77777777" w:rsidR="008715BE" w:rsidRPr="00EC75B7" w:rsidRDefault="008715BE">
            <w:pPr>
              <w:pStyle w:val="TableParagraph"/>
              <w:rPr>
                <w:rFonts w:ascii="Verdana" w:hAnsi="Verdana"/>
                <w:b/>
                <w:sz w:val="18"/>
                <w:szCs w:val="18"/>
              </w:rPr>
            </w:pPr>
          </w:p>
          <w:p w14:paraId="2FD0D838" w14:textId="77777777" w:rsidR="008715BE" w:rsidRPr="00EC75B7" w:rsidRDefault="008715BE">
            <w:pPr>
              <w:pStyle w:val="TableParagraph"/>
              <w:rPr>
                <w:rFonts w:ascii="Verdana" w:hAnsi="Verdana"/>
                <w:b/>
                <w:sz w:val="18"/>
                <w:szCs w:val="18"/>
              </w:rPr>
            </w:pPr>
          </w:p>
          <w:p w14:paraId="7A039ECD" w14:textId="77777777" w:rsidR="008715BE" w:rsidRPr="00EC75B7" w:rsidRDefault="008715BE">
            <w:pPr>
              <w:pStyle w:val="TableParagraph"/>
              <w:spacing w:before="3"/>
              <w:rPr>
                <w:rFonts w:ascii="Verdana" w:hAnsi="Verdana"/>
                <w:b/>
                <w:sz w:val="18"/>
                <w:szCs w:val="18"/>
              </w:rPr>
            </w:pPr>
          </w:p>
          <w:p w14:paraId="77F02318"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27F3D0A" w14:textId="77777777" w:rsidR="008715BE" w:rsidRPr="00EC75B7" w:rsidRDefault="008715BE">
            <w:pPr>
              <w:pStyle w:val="TableParagraph"/>
              <w:rPr>
                <w:rFonts w:ascii="Verdana" w:hAnsi="Verdana"/>
                <w:b/>
                <w:sz w:val="18"/>
                <w:szCs w:val="18"/>
              </w:rPr>
            </w:pPr>
          </w:p>
          <w:p w14:paraId="76558311" w14:textId="77777777" w:rsidR="008715BE" w:rsidRPr="00EC75B7" w:rsidRDefault="008715BE">
            <w:pPr>
              <w:pStyle w:val="TableParagraph"/>
              <w:rPr>
                <w:rFonts w:ascii="Verdana" w:hAnsi="Verdana"/>
                <w:b/>
                <w:sz w:val="18"/>
                <w:szCs w:val="18"/>
              </w:rPr>
            </w:pPr>
          </w:p>
          <w:p w14:paraId="49922C98" w14:textId="77777777" w:rsidR="008715BE" w:rsidRPr="00EC75B7" w:rsidRDefault="008715BE">
            <w:pPr>
              <w:pStyle w:val="TableParagraph"/>
              <w:rPr>
                <w:rFonts w:ascii="Verdana" w:hAnsi="Verdana"/>
                <w:b/>
                <w:sz w:val="18"/>
                <w:szCs w:val="18"/>
              </w:rPr>
            </w:pPr>
          </w:p>
          <w:p w14:paraId="07C5A228" w14:textId="77777777" w:rsidR="008715BE" w:rsidRPr="00EC75B7" w:rsidRDefault="008715BE">
            <w:pPr>
              <w:pStyle w:val="TableParagraph"/>
              <w:rPr>
                <w:rFonts w:ascii="Verdana" w:hAnsi="Verdana"/>
                <w:b/>
                <w:sz w:val="18"/>
                <w:szCs w:val="18"/>
              </w:rPr>
            </w:pPr>
          </w:p>
          <w:p w14:paraId="43EA9154" w14:textId="77777777" w:rsidR="008715BE" w:rsidRPr="00EC75B7" w:rsidRDefault="008715BE">
            <w:pPr>
              <w:pStyle w:val="TableParagraph"/>
              <w:spacing w:before="3"/>
              <w:rPr>
                <w:rFonts w:ascii="Verdana" w:hAnsi="Verdana"/>
                <w:b/>
                <w:sz w:val="18"/>
                <w:szCs w:val="18"/>
              </w:rPr>
            </w:pPr>
          </w:p>
          <w:p w14:paraId="18D61138"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675F52AE" w14:textId="77777777" w:rsidR="008715BE" w:rsidRPr="00EC75B7" w:rsidRDefault="008715BE">
            <w:pPr>
              <w:pStyle w:val="TableParagraph"/>
              <w:rPr>
                <w:rFonts w:ascii="Verdana" w:hAnsi="Verdana"/>
                <w:b/>
                <w:sz w:val="18"/>
                <w:szCs w:val="18"/>
              </w:rPr>
            </w:pPr>
          </w:p>
          <w:p w14:paraId="4EF3C609" w14:textId="77777777" w:rsidR="008715BE" w:rsidRPr="00EC75B7" w:rsidRDefault="008715BE">
            <w:pPr>
              <w:pStyle w:val="TableParagraph"/>
              <w:rPr>
                <w:rFonts w:ascii="Verdana" w:hAnsi="Verdana"/>
                <w:b/>
                <w:sz w:val="18"/>
                <w:szCs w:val="18"/>
              </w:rPr>
            </w:pPr>
          </w:p>
          <w:p w14:paraId="79012587" w14:textId="77777777" w:rsidR="008715BE" w:rsidRPr="00EC75B7" w:rsidRDefault="008715BE">
            <w:pPr>
              <w:pStyle w:val="TableParagraph"/>
              <w:rPr>
                <w:rFonts w:ascii="Verdana" w:hAnsi="Verdana"/>
                <w:b/>
                <w:sz w:val="18"/>
                <w:szCs w:val="18"/>
              </w:rPr>
            </w:pPr>
          </w:p>
          <w:p w14:paraId="3C099937" w14:textId="77777777" w:rsidR="008715BE" w:rsidRPr="00EC75B7" w:rsidRDefault="008715BE">
            <w:pPr>
              <w:pStyle w:val="TableParagraph"/>
              <w:rPr>
                <w:rFonts w:ascii="Verdana" w:hAnsi="Verdana"/>
                <w:b/>
                <w:sz w:val="18"/>
                <w:szCs w:val="18"/>
              </w:rPr>
            </w:pPr>
          </w:p>
          <w:p w14:paraId="57479F7B" w14:textId="77777777" w:rsidR="008715BE" w:rsidRPr="00EC75B7" w:rsidRDefault="008715BE">
            <w:pPr>
              <w:pStyle w:val="TableParagraph"/>
              <w:spacing w:before="3"/>
              <w:rPr>
                <w:rFonts w:ascii="Verdana" w:hAnsi="Verdana"/>
                <w:b/>
                <w:sz w:val="18"/>
                <w:szCs w:val="18"/>
              </w:rPr>
            </w:pPr>
          </w:p>
          <w:p w14:paraId="71BE1CFA"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256AA738" w14:textId="77777777" w:rsidR="008715BE" w:rsidRPr="00EC75B7" w:rsidRDefault="008715BE">
            <w:pPr>
              <w:pStyle w:val="TableParagraph"/>
              <w:rPr>
                <w:rFonts w:ascii="Verdana" w:hAnsi="Verdana"/>
                <w:b/>
                <w:sz w:val="18"/>
                <w:szCs w:val="18"/>
              </w:rPr>
            </w:pPr>
          </w:p>
          <w:p w14:paraId="079DE7B0" w14:textId="77777777" w:rsidR="008715BE" w:rsidRPr="00EC75B7" w:rsidRDefault="008715BE">
            <w:pPr>
              <w:pStyle w:val="TableParagraph"/>
              <w:rPr>
                <w:rFonts w:ascii="Verdana" w:hAnsi="Verdana"/>
                <w:b/>
                <w:sz w:val="18"/>
                <w:szCs w:val="18"/>
              </w:rPr>
            </w:pPr>
          </w:p>
          <w:p w14:paraId="4FCE0455" w14:textId="77777777" w:rsidR="008715BE" w:rsidRPr="00EC75B7" w:rsidRDefault="008715BE">
            <w:pPr>
              <w:pStyle w:val="TableParagraph"/>
              <w:rPr>
                <w:rFonts w:ascii="Verdana" w:hAnsi="Verdana"/>
                <w:b/>
                <w:sz w:val="18"/>
                <w:szCs w:val="18"/>
              </w:rPr>
            </w:pPr>
          </w:p>
          <w:p w14:paraId="2D890FF7" w14:textId="77777777" w:rsidR="008715BE" w:rsidRPr="00EC75B7" w:rsidRDefault="008715BE">
            <w:pPr>
              <w:pStyle w:val="TableParagraph"/>
              <w:rPr>
                <w:rFonts w:ascii="Verdana" w:hAnsi="Verdana"/>
                <w:b/>
                <w:sz w:val="18"/>
                <w:szCs w:val="18"/>
              </w:rPr>
            </w:pPr>
          </w:p>
          <w:p w14:paraId="7E363D76" w14:textId="77777777" w:rsidR="008715BE" w:rsidRPr="00EC75B7" w:rsidRDefault="008715BE">
            <w:pPr>
              <w:pStyle w:val="TableParagraph"/>
              <w:spacing w:before="3"/>
              <w:rPr>
                <w:rFonts w:ascii="Verdana" w:hAnsi="Verdana"/>
                <w:b/>
                <w:sz w:val="18"/>
                <w:szCs w:val="18"/>
              </w:rPr>
            </w:pPr>
          </w:p>
          <w:p w14:paraId="01E0C3B1"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26C01F77" w14:textId="77777777" w:rsidR="008715BE" w:rsidRPr="00EC75B7" w:rsidRDefault="008715BE">
            <w:pPr>
              <w:pStyle w:val="TableParagraph"/>
              <w:rPr>
                <w:rFonts w:ascii="Verdana" w:hAnsi="Verdana"/>
                <w:b/>
                <w:sz w:val="18"/>
                <w:szCs w:val="18"/>
              </w:rPr>
            </w:pPr>
          </w:p>
          <w:p w14:paraId="3383DA9F" w14:textId="77777777" w:rsidR="008715BE" w:rsidRPr="00EC75B7" w:rsidRDefault="008715BE">
            <w:pPr>
              <w:pStyle w:val="TableParagraph"/>
              <w:rPr>
                <w:rFonts w:ascii="Verdana" w:hAnsi="Verdana"/>
                <w:b/>
                <w:sz w:val="18"/>
                <w:szCs w:val="18"/>
              </w:rPr>
            </w:pPr>
          </w:p>
          <w:p w14:paraId="6466CDB1" w14:textId="77777777" w:rsidR="008715BE" w:rsidRPr="00EC75B7" w:rsidRDefault="008715BE">
            <w:pPr>
              <w:pStyle w:val="TableParagraph"/>
              <w:rPr>
                <w:rFonts w:ascii="Verdana" w:hAnsi="Verdana"/>
                <w:b/>
                <w:sz w:val="18"/>
                <w:szCs w:val="18"/>
              </w:rPr>
            </w:pPr>
          </w:p>
          <w:p w14:paraId="56EDE786" w14:textId="77777777" w:rsidR="008715BE" w:rsidRPr="00EC75B7" w:rsidRDefault="008715BE">
            <w:pPr>
              <w:pStyle w:val="TableParagraph"/>
              <w:rPr>
                <w:rFonts w:ascii="Verdana" w:hAnsi="Verdana"/>
                <w:b/>
                <w:sz w:val="18"/>
                <w:szCs w:val="18"/>
              </w:rPr>
            </w:pPr>
          </w:p>
          <w:p w14:paraId="7FD7F2EA" w14:textId="77777777" w:rsidR="008715BE" w:rsidRPr="00EC75B7" w:rsidRDefault="008715BE">
            <w:pPr>
              <w:pStyle w:val="TableParagraph"/>
              <w:spacing w:before="3"/>
              <w:rPr>
                <w:rFonts w:ascii="Verdana" w:hAnsi="Verdana"/>
                <w:b/>
                <w:sz w:val="18"/>
                <w:szCs w:val="18"/>
              </w:rPr>
            </w:pPr>
          </w:p>
          <w:p w14:paraId="1A8F0926"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7C5EC04E" w14:textId="77777777" w:rsidR="008715BE" w:rsidRPr="00EC75B7" w:rsidRDefault="008715BE">
            <w:pPr>
              <w:pStyle w:val="TableParagraph"/>
              <w:rPr>
                <w:rFonts w:ascii="Verdana" w:hAnsi="Verdana"/>
                <w:b/>
                <w:sz w:val="18"/>
                <w:szCs w:val="18"/>
              </w:rPr>
            </w:pPr>
          </w:p>
          <w:p w14:paraId="5A0477CE" w14:textId="77777777" w:rsidR="008715BE" w:rsidRPr="00EC75B7" w:rsidRDefault="008715BE">
            <w:pPr>
              <w:pStyle w:val="TableParagraph"/>
              <w:rPr>
                <w:rFonts w:ascii="Verdana" w:hAnsi="Verdana"/>
                <w:b/>
                <w:sz w:val="18"/>
                <w:szCs w:val="18"/>
              </w:rPr>
            </w:pPr>
          </w:p>
          <w:p w14:paraId="78750342" w14:textId="77777777" w:rsidR="008715BE" w:rsidRPr="00EC75B7" w:rsidRDefault="008715BE">
            <w:pPr>
              <w:pStyle w:val="TableParagraph"/>
              <w:rPr>
                <w:rFonts w:ascii="Verdana" w:hAnsi="Verdana"/>
                <w:b/>
                <w:sz w:val="18"/>
                <w:szCs w:val="18"/>
              </w:rPr>
            </w:pPr>
          </w:p>
          <w:p w14:paraId="3C0AEA9F" w14:textId="77777777" w:rsidR="008715BE" w:rsidRPr="00EC75B7" w:rsidRDefault="008715BE">
            <w:pPr>
              <w:pStyle w:val="TableParagraph"/>
              <w:rPr>
                <w:rFonts w:ascii="Verdana" w:hAnsi="Verdana"/>
                <w:b/>
                <w:sz w:val="18"/>
                <w:szCs w:val="18"/>
              </w:rPr>
            </w:pPr>
          </w:p>
          <w:p w14:paraId="09D7A21E" w14:textId="77777777" w:rsidR="008715BE" w:rsidRPr="00EC75B7" w:rsidRDefault="008715BE">
            <w:pPr>
              <w:pStyle w:val="TableParagraph"/>
              <w:spacing w:before="3"/>
              <w:rPr>
                <w:rFonts w:ascii="Verdana" w:hAnsi="Verdana"/>
                <w:b/>
                <w:sz w:val="18"/>
                <w:szCs w:val="18"/>
              </w:rPr>
            </w:pPr>
          </w:p>
          <w:p w14:paraId="30730FE6"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4935AA78" w14:textId="77777777" w:rsidR="008715BE" w:rsidRPr="00EC75B7" w:rsidRDefault="008715BE">
            <w:pPr>
              <w:pStyle w:val="TableParagraph"/>
              <w:rPr>
                <w:rFonts w:ascii="Verdana" w:hAnsi="Verdana"/>
                <w:b/>
                <w:sz w:val="18"/>
                <w:szCs w:val="18"/>
              </w:rPr>
            </w:pPr>
          </w:p>
          <w:p w14:paraId="2AD9951D" w14:textId="77777777" w:rsidR="008715BE" w:rsidRPr="00EC75B7" w:rsidRDefault="008715BE">
            <w:pPr>
              <w:pStyle w:val="TableParagraph"/>
              <w:rPr>
                <w:rFonts w:ascii="Verdana" w:hAnsi="Verdana"/>
                <w:b/>
                <w:sz w:val="18"/>
                <w:szCs w:val="18"/>
              </w:rPr>
            </w:pPr>
          </w:p>
          <w:p w14:paraId="783A3301" w14:textId="77777777" w:rsidR="008715BE" w:rsidRPr="00EC75B7" w:rsidRDefault="008715BE">
            <w:pPr>
              <w:pStyle w:val="TableParagraph"/>
              <w:rPr>
                <w:rFonts w:ascii="Verdana" w:hAnsi="Verdana"/>
                <w:b/>
                <w:sz w:val="18"/>
                <w:szCs w:val="18"/>
              </w:rPr>
            </w:pPr>
          </w:p>
          <w:p w14:paraId="6BC3936A" w14:textId="77777777" w:rsidR="008715BE" w:rsidRPr="00EC75B7" w:rsidRDefault="008715BE">
            <w:pPr>
              <w:pStyle w:val="TableParagraph"/>
              <w:rPr>
                <w:rFonts w:ascii="Verdana" w:hAnsi="Verdana"/>
                <w:b/>
                <w:sz w:val="18"/>
                <w:szCs w:val="18"/>
              </w:rPr>
            </w:pPr>
          </w:p>
          <w:p w14:paraId="48FB32A2" w14:textId="77777777" w:rsidR="008715BE" w:rsidRPr="00EC75B7" w:rsidRDefault="008715BE">
            <w:pPr>
              <w:pStyle w:val="TableParagraph"/>
              <w:spacing w:before="3"/>
              <w:rPr>
                <w:rFonts w:ascii="Verdana" w:hAnsi="Verdana"/>
                <w:b/>
                <w:sz w:val="18"/>
                <w:szCs w:val="18"/>
              </w:rPr>
            </w:pPr>
          </w:p>
          <w:p w14:paraId="67D244B2"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08A24453" w14:textId="77777777" w:rsidR="008715BE" w:rsidRPr="00EC75B7" w:rsidRDefault="008715BE">
            <w:pPr>
              <w:pStyle w:val="TableParagraph"/>
              <w:rPr>
                <w:rFonts w:ascii="Verdana" w:hAnsi="Verdana"/>
                <w:b/>
                <w:sz w:val="18"/>
                <w:szCs w:val="18"/>
              </w:rPr>
            </w:pPr>
          </w:p>
          <w:p w14:paraId="5423C798" w14:textId="77777777" w:rsidR="008715BE" w:rsidRPr="00EC75B7" w:rsidRDefault="008715BE">
            <w:pPr>
              <w:pStyle w:val="TableParagraph"/>
              <w:rPr>
                <w:rFonts w:ascii="Verdana" w:hAnsi="Verdana"/>
                <w:b/>
                <w:sz w:val="18"/>
                <w:szCs w:val="18"/>
              </w:rPr>
            </w:pPr>
          </w:p>
          <w:p w14:paraId="7BACE8D5" w14:textId="77777777" w:rsidR="008715BE" w:rsidRPr="00EC75B7" w:rsidRDefault="008715BE">
            <w:pPr>
              <w:pStyle w:val="TableParagraph"/>
              <w:rPr>
                <w:rFonts w:ascii="Verdana" w:hAnsi="Verdana"/>
                <w:b/>
                <w:sz w:val="18"/>
                <w:szCs w:val="18"/>
              </w:rPr>
            </w:pPr>
          </w:p>
          <w:p w14:paraId="336D32AF" w14:textId="77777777" w:rsidR="008715BE" w:rsidRPr="00EC75B7" w:rsidRDefault="008715BE">
            <w:pPr>
              <w:pStyle w:val="TableParagraph"/>
              <w:spacing w:before="103"/>
              <w:rPr>
                <w:rFonts w:ascii="Verdana" w:hAnsi="Verdana"/>
                <w:b/>
                <w:sz w:val="18"/>
                <w:szCs w:val="18"/>
              </w:rPr>
            </w:pPr>
          </w:p>
          <w:p w14:paraId="7F3E2E6D"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17CA166F" w14:textId="77777777">
        <w:trPr>
          <w:trHeight w:val="2334"/>
        </w:trPr>
        <w:tc>
          <w:tcPr>
            <w:tcW w:w="554" w:type="dxa"/>
          </w:tcPr>
          <w:p w14:paraId="6E1D4D1D" w14:textId="77777777" w:rsidR="008715BE" w:rsidRPr="00EC75B7" w:rsidRDefault="008715BE">
            <w:pPr>
              <w:pStyle w:val="TableParagraph"/>
              <w:rPr>
                <w:rFonts w:ascii="Verdana" w:hAnsi="Verdana"/>
                <w:b/>
                <w:sz w:val="18"/>
                <w:szCs w:val="18"/>
              </w:rPr>
            </w:pPr>
          </w:p>
          <w:p w14:paraId="752455DB" w14:textId="77777777" w:rsidR="008715BE" w:rsidRPr="00EC75B7" w:rsidRDefault="008715BE">
            <w:pPr>
              <w:pStyle w:val="TableParagraph"/>
              <w:rPr>
                <w:rFonts w:ascii="Verdana" w:hAnsi="Verdana"/>
                <w:b/>
                <w:sz w:val="18"/>
                <w:szCs w:val="18"/>
              </w:rPr>
            </w:pPr>
          </w:p>
          <w:p w14:paraId="0DFEAA5F" w14:textId="77777777" w:rsidR="008715BE" w:rsidRPr="00EC75B7" w:rsidRDefault="008715BE">
            <w:pPr>
              <w:pStyle w:val="TableParagraph"/>
              <w:rPr>
                <w:rFonts w:ascii="Verdana" w:hAnsi="Verdana"/>
                <w:b/>
                <w:sz w:val="18"/>
                <w:szCs w:val="18"/>
              </w:rPr>
            </w:pPr>
          </w:p>
          <w:p w14:paraId="7DDAC311" w14:textId="77777777" w:rsidR="008715BE" w:rsidRPr="00EC75B7" w:rsidRDefault="008715BE">
            <w:pPr>
              <w:pStyle w:val="TableParagraph"/>
              <w:rPr>
                <w:rFonts w:ascii="Verdana" w:hAnsi="Verdana"/>
                <w:b/>
                <w:sz w:val="18"/>
                <w:szCs w:val="18"/>
              </w:rPr>
            </w:pPr>
          </w:p>
          <w:p w14:paraId="4C7A6B18" w14:textId="77777777" w:rsidR="008715BE" w:rsidRPr="00EC75B7" w:rsidRDefault="008715BE">
            <w:pPr>
              <w:pStyle w:val="TableParagraph"/>
              <w:spacing w:before="102"/>
              <w:rPr>
                <w:rFonts w:ascii="Verdana" w:hAnsi="Verdana"/>
                <w:b/>
                <w:sz w:val="18"/>
                <w:szCs w:val="18"/>
              </w:rPr>
            </w:pPr>
          </w:p>
          <w:p w14:paraId="0F6B64BE"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M4</w:t>
            </w:r>
          </w:p>
        </w:tc>
        <w:tc>
          <w:tcPr>
            <w:tcW w:w="6091" w:type="dxa"/>
          </w:tcPr>
          <w:p w14:paraId="26048B84" w14:textId="77777777" w:rsidR="008715BE" w:rsidRPr="00EC75B7" w:rsidRDefault="008715BE">
            <w:pPr>
              <w:pStyle w:val="TableParagraph"/>
              <w:rPr>
                <w:rFonts w:ascii="Verdana" w:hAnsi="Verdana"/>
                <w:b/>
                <w:sz w:val="18"/>
                <w:szCs w:val="18"/>
              </w:rPr>
            </w:pPr>
          </w:p>
          <w:p w14:paraId="17690D2A" w14:textId="77777777" w:rsidR="008715BE" w:rsidRPr="00EC75B7" w:rsidRDefault="008715BE">
            <w:pPr>
              <w:pStyle w:val="TableParagraph"/>
              <w:rPr>
                <w:rFonts w:ascii="Verdana" w:hAnsi="Verdana"/>
                <w:b/>
                <w:sz w:val="18"/>
                <w:szCs w:val="18"/>
              </w:rPr>
            </w:pPr>
          </w:p>
          <w:p w14:paraId="342ABF4D" w14:textId="77777777" w:rsidR="008715BE" w:rsidRPr="00EC75B7" w:rsidRDefault="008715BE">
            <w:pPr>
              <w:pStyle w:val="TableParagraph"/>
              <w:rPr>
                <w:rFonts w:ascii="Verdana" w:hAnsi="Verdana"/>
                <w:b/>
                <w:sz w:val="18"/>
                <w:szCs w:val="18"/>
              </w:rPr>
            </w:pPr>
          </w:p>
          <w:p w14:paraId="66F9CBE8" w14:textId="77777777" w:rsidR="008715BE" w:rsidRPr="00EC75B7" w:rsidRDefault="008715BE">
            <w:pPr>
              <w:pStyle w:val="TableParagraph"/>
              <w:rPr>
                <w:rFonts w:ascii="Verdana" w:hAnsi="Verdana"/>
                <w:b/>
                <w:sz w:val="18"/>
                <w:szCs w:val="18"/>
              </w:rPr>
            </w:pPr>
          </w:p>
          <w:p w14:paraId="18106271" w14:textId="77777777" w:rsidR="008715BE" w:rsidRPr="00EC75B7" w:rsidRDefault="008715BE">
            <w:pPr>
              <w:pStyle w:val="TableParagraph"/>
              <w:spacing w:before="6"/>
              <w:rPr>
                <w:rFonts w:ascii="Verdana" w:hAnsi="Verdana"/>
                <w:b/>
                <w:sz w:val="18"/>
                <w:szCs w:val="18"/>
              </w:rPr>
            </w:pPr>
          </w:p>
          <w:p w14:paraId="479D56C0"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Compliance with the perimeter of the proposed construction site to be located in the immediate vicinity of the work area.</w:t>
            </w:r>
          </w:p>
        </w:tc>
        <w:tc>
          <w:tcPr>
            <w:tcW w:w="1809" w:type="dxa"/>
          </w:tcPr>
          <w:p w14:paraId="7A15EB73"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35F6839A"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4D238948" w14:textId="77777777" w:rsidR="008715BE" w:rsidRPr="00EC75B7" w:rsidRDefault="00000000" w:rsidP="00C96230">
            <w:pPr>
              <w:pStyle w:val="TableParagraph"/>
              <w:spacing w:line="160"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67565CEE" w14:textId="77777777" w:rsidR="008715BE" w:rsidRPr="00EC75B7" w:rsidRDefault="008715BE">
            <w:pPr>
              <w:pStyle w:val="TableParagraph"/>
              <w:rPr>
                <w:rFonts w:ascii="Verdana" w:hAnsi="Verdana"/>
                <w:b/>
                <w:sz w:val="18"/>
                <w:szCs w:val="18"/>
              </w:rPr>
            </w:pPr>
          </w:p>
          <w:p w14:paraId="77380521" w14:textId="77777777" w:rsidR="008715BE" w:rsidRPr="00EC75B7" w:rsidRDefault="008715BE">
            <w:pPr>
              <w:pStyle w:val="TableParagraph"/>
              <w:rPr>
                <w:rFonts w:ascii="Verdana" w:hAnsi="Verdana"/>
                <w:b/>
                <w:sz w:val="18"/>
                <w:szCs w:val="18"/>
              </w:rPr>
            </w:pPr>
          </w:p>
          <w:p w14:paraId="3B29A7B1" w14:textId="77777777" w:rsidR="008715BE" w:rsidRPr="00EC75B7" w:rsidRDefault="008715BE">
            <w:pPr>
              <w:pStyle w:val="TableParagraph"/>
              <w:spacing w:before="103"/>
              <w:rPr>
                <w:rFonts w:ascii="Verdana" w:hAnsi="Verdana"/>
                <w:b/>
                <w:sz w:val="18"/>
                <w:szCs w:val="18"/>
              </w:rPr>
            </w:pPr>
          </w:p>
          <w:p w14:paraId="48130FEF"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1E572D7A" w14:textId="77777777" w:rsidR="008715BE" w:rsidRPr="00EC75B7" w:rsidRDefault="008715BE">
            <w:pPr>
              <w:pStyle w:val="TableParagraph"/>
              <w:rPr>
                <w:rFonts w:ascii="Verdana" w:hAnsi="Verdana"/>
                <w:b/>
                <w:sz w:val="18"/>
                <w:szCs w:val="18"/>
              </w:rPr>
            </w:pPr>
          </w:p>
          <w:p w14:paraId="11785925" w14:textId="77777777" w:rsidR="008715BE" w:rsidRPr="00EC75B7" w:rsidRDefault="008715BE">
            <w:pPr>
              <w:pStyle w:val="TableParagraph"/>
              <w:rPr>
                <w:rFonts w:ascii="Verdana" w:hAnsi="Verdana"/>
                <w:b/>
                <w:sz w:val="18"/>
                <w:szCs w:val="18"/>
              </w:rPr>
            </w:pPr>
          </w:p>
          <w:p w14:paraId="5100A048" w14:textId="77777777" w:rsidR="008715BE" w:rsidRPr="00EC75B7" w:rsidRDefault="008715BE">
            <w:pPr>
              <w:pStyle w:val="TableParagraph"/>
              <w:rPr>
                <w:rFonts w:ascii="Verdana" w:hAnsi="Verdana"/>
                <w:b/>
                <w:sz w:val="18"/>
                <w:szCs w:val="18"/>
              </w:rPr>
            </w:pPr>
          </w:p>
          <w:p w14:paraId="2011BAB5" w14:textId="77777777" w:rsidR="008715BE" w:rsidRPr="00EC75B7" w:rsidRDefault="008715BE">
            <w:pPr>
              <w:pStyle w:val="TableParagraph"/>
              <w:rPr>
                <w:rFonts w:ascii="Verdana" w:hAnsi="Verdana"/>
                <w:b/>
                <w:sz w:val="18"/>
                <w:szCs w:val="18"/>
              </w:rPr>
            </w:pPr>
          </w:p>
          <w:p w14:paraId="63346F58" w14:textId="77777777" w:rsidR="008715BE" w:rsidRPr="00EC75B7" w:rsidRDefault="008715BE">
            <w:pPr>
              <w:pStyle w:val="TableParagraph"/>
              <w:spacing w:before="102"/>
              <w:rPr>
                <w:rFonts w:ascii="Verdana" w:hAnsi="Verdana"/>
                <w:b/>
                <w:sz w:val="18"/>
                <w:szCs w:val="18"/>
              </w:rPr>
            </w:pPr>
          </w:p>
          <w:p w14:paraId="6DA068A5"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PAS</w:t>
            </w:r>
          </w:p>
        </w:tc>
        <w:tc>
          <w:tcPr>
            <w:tcW w:w="269" w:type="dxa"/>
          </w:tcPr>
          <w:p w14:paraId="3DDB6E70" w14:textId="77777777" w:rsidR="008715BE" w:rsidRPr="00EC75B7" w:rsidRDefault="008715BE">
            <w:pPr>
              <w:pStyle w:val="TableParagraph"/>
              <w:rPr>
                <w:rFonts w:ascii="Verdana" w:hAnsi="Verdana"/>
                <w:b/>
                <w:sz w:val="18"/>
                <w:szCs w:val="18"/>
              </w:rPr>
            </w:pPr>
          </w:p>
          <w:p w14:paraId="26289921" w14:textId="77777777" w:rsidR="008715BE" w:rsidRPr="00EC75B7" w:rsidRDefault="008715BE">
            <w:pPr>
              <w:pStyle w:val="TableParagraph"/>
              <w:rPr>
                <w:rFonts w:ascii="Verdana" w:hAnsi="Verdana"/>
                <w:b/>
                <w:sz w:val="18"/>
                <w:szCs w:val="18"/>
              </w:rPr>
            </w:pPr>
          </w:p>
          <w:p w14:paraId="7E8743AD" w14:textId="77777777" w:rsidR="008715BE" w:rsidRPr="00EC75B7" w:rsidRDefault="008715BE">
            <w:pPr>
              <w:pStyle w:val="TableParagraph"/>
              <w:rPr>
                <w:rFonts w:ascii="Verdana" w:hAnsi="Verdana"/>
                <w:b/>
                <w:sz w:val="18"/>
                <w:szCs w:val="18"/>
              </w:rPr>
            </w:pPr>
          </w:p>
          <w:p w14:paraId="263C48FF" w14:textId="77777777" w:rsidR="008715BE" w:rsidRPr="00EC75B7" w:rsidRDefault="008715BE">
            <w:pPr>
              <w:pStyle w:val="TableParagraph"/>
              <w:rPr>
                <w:rFonts w:ascii="Verdana" w:hAnsi="Verdana"/>
                <w:b/>
                <w:sz w:val="18"/>
                <w:szCs w:val="18"/>
              </w:rPr>
            </w:pPr>
          </w:p>
          <w:p w14:paraId="71C92FEE" w14:textId="77777777" w:rsidR="008715BE" w:rsidRPr="00EC75B7" w:rsidRDefault="008715BE">
            <w:pPr>
              <w:pStyle w:val="TableParagraph"/>
              <w:spacing w:before="102"/>
              <w:rPr>
                <w:rFonts w:ascii="Verdana" w:hAnsi="Verdana"/>
                <w:b/>
                <w:sz w:val="18"/>
                <w:szCs w:val="18"/>
              </w:rPr>
            </w:pPr>
          </w:p>
          <w:p w14:paraId="4E40C0BC"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252ECF21" w14:textId="77777777" w:rsidR="008715BE" w:rsidRPr="00EC75B7" w:rsidRDefault="008715BE">
            <w:pPr>
              <w:pStyle w:val="TableParagraph"/>
              <w:rPr>
                <w:rFonts w:ascii="Verdana" w:hAnsi="Verdana"/>
                <w:b/>
                <w:sz w:val="18"/>
                <w:szCs w:val="18"/>
              </w:rPr>
            </w:pPr>
          </w:p>
          <w:p w14:paraId="0FCCEEDF" w14:textId="77777777" w:rsidR="008715BE" w:rsidRPr="00EC75B7" w:rsidRDefault="008715BE">
            <w:pPr>
              <w:pStyle w:val="TableParagraph"/>
              <w:rPr>
                <w:rFonts w:ascii="Verdana" w:hAnsi="Verdana"/>
                <w:b/>
                <w:sz w:val="18"/>
                <w:szCs w:val="18"/>
              </w:rPr>
            </w:pPr>
          </w:p>
          <w:p w14:paraId="43F4983C" w14:textId="77777777" w:rsidR="008715BE" w:rsidRPr="00EC75B7" w:rsidRDefault="008715BE">
            <w:pPr>
              <w:pStyle w:val="TableParagraph"/>
              <w:rPr>
                <w:rFonts w:ascii="Verdana" w:hAnsi="Verdana"/>
                <w:b/>
                <w:sz w:val="18"/>
                <w:szCs w:val="18"/>
              </w:rPr>
            </w:pPr>
          </w:p>
          <w:p w14:paraId="19810A9E" w14:textId="77777777" w:rsidR="008715BE" w:rsidRPr="00EC75B7" w:rsidRDefault="008715BE">
            <w:pPr>
              <w:pStyle w:val="TableParagraph"/>
              <w:rPr>
                <w:rFonts w:ascii="Verdana" w:hAnsi="Verdana"/>
                <w:b/>
                <w:sz w:val="18"/>
                <w:szCs w:val="18"/>
              </w:rPr>
            </w:pPr>
          </w:p>
          <w:p w14:paraId="06811A8E" w14:textId="77777777" w:rsidR="008715BE" w:rsidRPr="00EC75B7" w:rsidRDefault="008715BE">
            <w:pPr>
              <w:pStyle w:val="TableParagraph"/>
              <w:spacing w:before="102"/>
              <w:rPr>
                <w:rFonts w:ascii="Verdana" w:hAnsi="Verdana"/>
                <w:b/>
                <w:sz w:val="18"/>
                <w:szCs w:val="18"/>
              </w:rPr>
            </w:pPr>
          </w:p>
          <w:p w14:paraId="21E4742F"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5449E433" w14:textId="77777777" w:rsidR="008715BE" w:rsidRPr="00EC75B7" w:rsidRDefault="008715BE">
            <w:pPr>
              <w:pStyle w:val="TableParagraph"/>
              <w:rPr>
                <w:rFonts w:ascii="Verdana" w:hAnsi="Verdana"/>
                <w:b/>
                <w:sz w:val="18"/>
                <w:szCs w:val="18"/>
              </w:rPr>
            </w:pPr>
          </w:p>
          <w:p w14:paraId="31C44A0D" w14:textId="77777777" w:rsidR="008715BE" w:rsidRPr="00EC75B7" w:rsidRDefault="008715BE">
            <w:pPr>
              <w:pStyle w:val="TableParagraph"/>
              <w:rPr>
                <w:rFonts w:ascii="Verdana" w:hAnsi="Verdana"/>
                <w:b/>
                <w:sz w:val="18"/>
                <w:szCs w:val="18"/>
              </w:rPr>
            </w:pPr>
          </w:p>
          <w:p w14:paraId="5259A02D" w14:textId="77777777" w:rsidR="008715BE" w:rsidRPr="00EC75B7" w:rsidRDefault="008715BE">
            <w:pPr>
              <w:pStyle w:val="TableParagraph"/>
              <w:rPr>
                <w:rFonts w:ascii="Verdana" w:hAnsi="Verdana"/>
                <w:b/>
                <w:sz w:val="18"/>
                <w:szCs w:val="18"/>
              </w:rPr>
            </w:pPr>
          </w:p>
          <w:p w14:paraId="5362B4D0" w14:textId="77777777" w:rsidR="008715BE" w:rsidRPr="00EC75B7" w:rsidRDefault="008715BE">
            <w:pPr>
              <w:pStyle w:val="TableParagraph"/>
              <w:rPr>
                <w:rFonts w:ascii="Verdana" w:hAnsi="Verdana"/>
                <w:b/>
                <w:sz w:val="18"/>
                <w:szCs w:val="18"/>
              </w:rPr>
            </w:pPr>
          </w:p>
          <w:p w14:paraId="0CBF80EF" w14:textId="77777777" w:rsidR="008715BE" w:rsidRPr="00EC75B7" w:rsidRDefault="008715BE">
            <w:pPr>
              <w:pStyle w:val="TableParagraph"/>
              <w:spacing w:before="102"/>
              <w:rPr>
                <w:rFonts w:ascii="Verdana" w:hAnsi="Verdana"/>
                <w:b/>
                <w:sz w:val="18"/>
                <w:szCs w:val="18"/>
              </w:rPr>
            </w:pPr>
          </w:p>
          <w:p w14:paraId="29C1FD7C"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2263B6B" w14:textId="77777777" w:rsidR="008715BE" w:rsidRPr="00EC75B7" w:rsidRDefault="008715BE">
            <w:pPr>
              <w:pStyle w:val="TableParagraph"/>
              <w:rPr>
                <w:rFonts w:ascii="Verdana" w:hAnsi="Verdana"/>
                <w:b/>
                <w:sz w:val="18"/>
                <w:szCs w:val="18"/>
              </w:rPr>
            </w:pPr>
          </w:p>
          <w:p w14:paraId="5FC22247" w14:textId="77777777" w:rsidR="008715BE" w:rsidRPr="00EC75B7" w:rsidRDefault="008715BE">
            <w:pPr>
              <w:pStyle w:val="TableParagraph"/>
              <w:rPr>
                <w:rFonts w:ascii="Verdana" w:hAnsi="Verdana"/>
                <w:b/>
                <w:sz w:val="18"/>
                <w:szCs w:val="18"/>
              </w:rPr>
            </w:pPr>
          </w:p>
          <w:p w14:paraId="35A9F6A7" w14:textId="77777777" w:rsidR="008715BE" w:rsidRPr="00EC75B7" w:rsidRDefault="008715BE">
            <w:pPr>
              <w:pStyle w:val="TableParagraph"/>
              <w:rPr>
                <w:rFonts w:ascii="Verdana" w:hAnsi="Verdana"/>
                <w:b/>
                <w:sz w:val="18"/>
                <w:szCs w:val="18"/>
              </w:rPr>
            </w:pPr>
          </w:p>
          <w:p w14:paraId="54683DFB" w14:textId="77777777" w:rsidR="008715BE" w:rsidRPr="00EC75B7" w:rsidRDefault="008715BE">
            <w:pPr>
              <w:pStyle w:val="TableParagraph"/>
              <w:rPr>
                <w:rFonts w:ascii="Verdana" w:hAnsi="Verdana"/>
                <w:b/>
                <w:sz w:val="18"/>
                <w:szCs w:val="18"/>
              </w:rPr>
            </w:pPr>
          </w:p>
          <w:p w14:paraId="3E1EB3CE" w14:textId="77777777" w:rsidR="008715BE" w:rsidRPr="00EC75B7" w:rsidRDefault="008715BE">
            <w:pPr>
              <w:pStyle w:val="TableParagraph"/>
              <w:spacing w:before="102"/>
              <w:rPr>
                <w:rFonts w:ascii="Verdana" w:hAnsi="Verdana"/>
                <w:b/>
                <w:sz w:val="18"/>
                <w:szCs w:val="18"/>
              </w:rPr>
            </w:pPr>
          </w:p>
          <w:p w14:paraId="3AE4B5B6"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731BD2B8" w14:textId="77777777" w:rsidR="008715BE" w:rsidRPr="00EC75B7" w:rsidRDefault="008715BE">
            <w:pPr>
              <w:pStyle w:val="TableParagraph"/>
              <w:rPr>
                <w:rFonts w:ascii="Verdana" w:hAnsi="Verdana"/>
                <w:b/>
                <w:sz w:val="18"/>
                <w:szCs w:val="18"/>
              </w:rPr>
            </w:pPr>
          </w:p>
          <w:p w14:paraId="0D6FC140" w14:textId="77777777" w:rsidR="008715BE" w:rsidRPr="00EC75B7" w:rsidRDefault="008715BE">
            <w:pPr>
              <w:pStyle w:val="TableParagraph"/>
              <w:rPr>
                <w:rFonts w:ascii="Verdana" w:hAnsi="Verdana"/>
                <w:b/>
                <w:sz w:val="18"/>
                <w:szCs w:val="18"/>
              </w:rPr>
            </w:pPr>
          </w:p>
          <w:p w14:paraId="13557704" w14:textId="77777777" w:rsidR="008715BE" w:rsidRPr="00EC75B7" w:rsidRDefault="008715BE">
            <w:pPr>
              <w:pStyle w:val="TableParagraph"/>
              <w:rPr>
                <w:rFonts w:ascii="Verdana" w:hAnsi="Verdana"/>
                <w:b/>
                <w:sz w:val="18"/>
                <w:szCs w:val="18"/>
              </w:rPr>
            </w:pPr>
          </w:p>
          <w:p w14:paraId="50C381DC" w14:textId="77777777" w:rsidR="008715BE" w:rsidRPr="00EC75B7" w:rsidRDefault="008715BE">
            <w:pPr>
              <w:pStyle w:val="TableParagraph"/>
              <w:rPr>
                <w:rFonts w:ascii="Verdana" w:hAnsi="Verdana"/>
                <w:b/>
                <w:sz w:val="18"/>
                <w:szCs w:val="18"/>
              </w:rPr>
            </w:pPr>
          </w:p>
          <w:p w14:paraId="7759B19B" w14:textId="77777777" w:rsidR="008715BE" w:rsidRPr="00EC75B7" w:rsidRDefault="008715BE">
            <w:pPr>
              <w:pStyle w:val="TableParagraph"/>
              <w:spacing w:before="102"/>
              <w:rPr>
                <w:rFonts w:ascii="Verdana" w:hAnsi="Verdana"/>
                <w:b/>
                <w:sz w:val="18"/>
                <w:szCs w:val="18"/>
              </w:rPr>
            </w:pPr>
          </w:p>
          <w:p w14:paraId="46FF7B99"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23572D3" w14:textId="77777777" w:rsidR="008715BE" w:rsidRPr="00EC75B7" w:rsidRDefault="008715BE">
            <w:pPr>
              <w:pStyle w:val="TableParagraph"/>
              <w:rPr>
                <w:rFonts w:ascii="Verdana" w:hAnsi="Verdana"/>
                <w:b/>
                <w:sz w:val="18"/>
                <w:szCs w:val="18"/>
              </w:rPr>
            </w:pPr>
          </w:p>
          <w:p w14:paraId="6782E51D" w14:textId="77777777" w:rsidR="008715BE" w:rsidRPr="00EC75B7" w:rsidRDefault="008715BE">
            <w:pPr>
              <w:pStyle w:val="TableParagraph"/>
              <w:rPr>
                <w:rFonts w:ascii="Verdana" w:hAnsi="Verdana"/>
                <w:b/>
                <w:sz w:val="18"/>
                <w:szCs w:val="18"/>
              </w:rPr>
            </w:pPr>
          </w:p>
          <w:p w14:paraId="239C68EC" w14:textId="77777777" w:rsidR="008715BE" w:rsidRPr="00EC75B7" w:rsidRDefault="008715BE">
            <w:pPr>
              <w:pStyle w:val="TableParagraph"/>
              <w:rPr>
                <w:rFonts w:ascii="Verdana" w:hAnsi="Verdana"/>
                <w:b/>
                <w:sz w:val="18"/>
                <w:szCs w:val="18"/>
              </w:rPr>
            </w:pPr>
          </w:p>
          <w:p w14:paraId="4271E1FA" w14:textId="77777777" w:rsidR="008715BE" w:rsidRPr="00EC75B7" w:rsidRDefault="008715BE">
            <w:pPr>
              <w:pStyle w:val="TableParagraph"/>
              <w:rPr>
                <w:rFonts w:ascii="Verdana" w:hAnsi="Verdana"/>
                <w:b/>
                <w:sz w:val="18"/>
                <w:szCs w:val="18"/>
              </w:rPr>
            </w:pPr>
          </w:p>
          <w:p w14:paraId="25F70F29" w14:textId="77777777" w:rsidR="008715BE" w:rsidRPr="00EC75B7" w:rsidRDefault="008715BE">
            <w:pPr>
              <w:pStyle w:val="TableParagraph"/>
              <w:spacing w:before="102"/>
              <w:rPr>
                <w:rFonts w:ascii="Verdana" w:hAnsi="Verdana"/>
                <w:b/>
                <w:sz w:val="18"/>
                <w:szCs w:val="18"/>
              </w:rPr>
            </w:pPr>
          </w:p>
          <w:p w14:paraId="120D5B7C"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257B5161" w14:textId="77777777" w:rsidR="008715BE" w:rsidRPr="00EC75B7" w:rsidRDefault="008715BE">
            <w:pPr>
              <w:pStyle w:val="TableParagraph"/>
              <w:rPr>
                <w:rFonts w:ascii="Verdana" w:hAnsi="Verdana"/>
                <w:b/>
                <w:sz w:val="18"/>
                <w:szCs w:val="18"/>
              </w:rPr>
            </w:pPr>
          </w:p>
          <w:p w14:paraId="06EDCBF6" w14:textId="77777777" w:rsidR="008715BE" w:rsidRPr="00EC75B7" w:rsidRDefault="008715BE">
            <w:pPr>
              <w:pStyle w:val="TableParagraph"/>
              <w:rPr>
                <w:rFonts w:ascii="Verdana" w:hAnsi="Verdana"/>
                <w:b/>
                <w:sz w:val="18"/>
                <w:szCs w:val="18"/>
              </w:rPr>
            </w:pPr>
          </w:p>
          <w:p w14:paraId="6BB6480C" w14:textId="77777777" w:rsidR="008715BE" w:rsidRPr="00EC75B7" w:rsidRDefault="008715BE">
            <w:pPr>
              <w:pStyle w:val="TableParagraph"/>
              <w:rPr>
                <w:rFonts w:ascii="Verdana" w:hAnsi="Verdana"/>
                <w:b/>
                <w:sz w:val="18"/>
                <w:szCs w:val="18"/>
              </w:rPr>
            </w:pPr>
          </w:p>
          <w:p w14:paraId="4AF6F097" w14:textId="77777777" w:rsidR="008715BE" w:rsidRPr="00EC75B7" w:rsidRDefault="008715BE">
            <w:pPr>
              <w:pStyle w:val="TableParagraph"/>
              <w:rPr>
                <w:rFonts w:ascii="Verdana" w:hAnsi="Verdana"/>
                <w:b/>
                <w:sz w:val="18"/>
                <w:szCs w:val="18"/>
              </w:rPr>
            </w:pPr>
          </w:p>
          <w:p w14:paraId="7E78B0FC" w14:textId="77777777" w:rsidR="008715BE" w:rsidRPr="00EC75B7" w:rsidRDefault="008715BE">
            <w:pPr>
              <w:pStyle w:val="TableParagraph"/>
              <w:spacing w:before="102"/>
              <w:rPr>
                <w:rFonts w:ascii="Verdana" w:hAnsi="Verdana"/>
                <w:b/>
                <w:sz w:val="18"/>
                <w:szCs w:val="18"/>
              </w:rPr>
            </w:pPr>
          </w:p>
          <w:p w14:paraId="772AB578"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C80BB99" w14:textId="77777777" w:rsidR="008715BE" w:rsidRPr="00EC75B7" w:rsidRDefault="008715BE">
            <w:pPr>
              <w:pStyle w:val="TableParagraph"/>
              <w:rPr>
                <w:rFonts w:ascii="Verdana" w:hAnsi="Verdana"/>
                <w:b/>
                <w:sz w:val="18"/>
                <w:szCs w:val="18"/>
              </w:rPr>
            </w:pPr>
          </w:p>
          <w:p w14:paraId="31A9B1ED" w14:textId="77777777" w:rsidR="008715BE" w:rsidRPr="00EC75B7" w:rsidRDefault="008715BE">
            <w:pPr>
              <w:pStyle w:val="TableParagraph"/>
              <w:rPr>
                <w:rFonts w:ascii="Verdana" w:hAnsi="Verdana"/>
                <w:b/>
                <w:sz w:val="18"/>
                <w:szCs w:val="18"/>
              </w:rPr>
            </w:pPr>
          </w:p>
          <w:p w14:paraId="561BA6AA" w14:textId="77777777" w:rsidR="008715BE" w:rsidRPr="00EC75B7" w:rsidRDefault="008715BE">
            <w:pPr>
              <w:pStyle w:val="TableParagraph"/>
              <w:rPr>
                <w:rFonts w:ascii="Verdana" w:hAnsi="Verdana"/>
                <w:b/>
                <w:sz w:val="18"/>
                <w:szCs w:val="18"/>
              </w:rPr>
            </w:pPr>
          </w:p>
          <w:p w14:paraId="7DD5B23A" w14:textId="77777777" w:rsidR="008715BE" w:rsidRPr="00EC75B7" w:rsidRDefault="008715BE">
            <w:pPr>
              <w:pStyle w:val="TableParagraph"/>
              <w:rPr>
                <w:rFonts w:ascii="Verdana" w:hAnsi="Verdana"/>
                <w:b/>
                <w:sz w:val="18"/>
                <w:szCs w:val="18"/>
              </w:rPr>
            </w:pPr>
          </w:p>
          <w:p w14:paraId="0A235F8C" w14:textId="77777777" w:rsidR="008715BE" w:rsidRPr="00EC75B7" w:rsidRDefault="008715BE">
            <w:pPr>
              <w:pStyle w:val="TableParagraph"/>
              <w:spacing w:before="102"/>
              <w:rPr>
                <w:rFonts w:ascii="Verdana" w:hAnsi="Verdana"/>
                <w:b/>
                <w:sz w:val="18"/>
                <w:szCs w:val="18"/>
              </w:rPr>
            </w:pPr>
          </w:p>
          <w:p w14:paraId="0A1536BC"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6AE1789A" w14:textId="77777777" w:rsidR="008715BE" w:rsidRPr="00EC75B7" w:rsidRDefault="008715BE">
            <w:pPr>
              <w:pStyle w:val="TableParagraph"/>
              <w:rPr>
                <w:rFonts w:ascii="Verdana" w:hAnsi="Verdana"/>
                <w:b/>
                <w:sz w:val="18"/>
                <w:szCs w:val="18"/>
              </w:rPr>
            </w:pPr>
          </w:p>
          <w:p w14:paraId="66DC8F86" w14:textId="77777777" w:rsidR="008715BE" w:rsidRPr="00EC75B7" w:rsidRDefault="008715BE">
            <w:pPr>
              <w:pStyle w:val="TableParagraph"/>
              <w:rPr>
                <w:rFonts w:ascii="Verdana" w:hAnsi="Verdana"/>
                <w:b/>
                <w:sz w:val="18"/>
                <w:szCs w:val="18"/>
              </w:rPr>
            </w:pPr>
          </w:p>
          <w:p w14:paraId="367AF0F4" w14:textId="77777777" w:rsidR="008715BE" w:rsidRPr="00EC75B7" w:rsidRDefault="008715BE">
            <w:pPr>
              <w:pStyle w:val="TableParagraph"/>
              <w:rPr>
                <w:rFonts w:ascii="Verdana" w:hAnsi="Verdana"/>
                <w:b/>
                <w:sz w:val="18"/>
                <w:szCs w:val="18"/>
              </w:rPr>
            </w:pPr>
          </w:p>
          <w:p w14:paraId="257AA259" w14:textId="77777777" w:rsidR="008715BE" w:rsidRPr="00EC75B7" w:rsidRDefault="008715BE">
            <w:pPr>
              <w:pStyle w:val="TableParagraph"/>
              <w:rPr>
                <w:rFonts w:ascii="Verdana" w:hAnsi="Verdana"/>
                <w:b/>
                <w:sz w:val="18"/>
                <w:szCs w:val="18"/>
              </w:rPr>
            </w:pPr>
          </w:p>
          <w:p w14:paraId="6CB304C6" w14:textId="77777777" w:rsidR="008715BE" w:rsidRPr="00EC75B7" w:rsidRDefault="008715BE">
            <w:pPr>
              <w:pStyle w:val="TableParagraph"/>
              <w:spacing w:before="102"/>
              <w:rPr>
                <w:rFonts w:ascii="Verdana" w:hAnsi="Verdana"/>
                <w:b/>
                <w:sz w:val="18"/>
                <w:szCs w:val="18"/>
              </w:rPr>
            </w:pPr>
          </w:p>
          <w:p w14:paraId="2ACB14F8"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4BF03D71" w14:textId="77777777" w:rsidR="008715BE" w:rsidRPr="00EC75B7" w:rsidRDefault="008715BE">
            <w:pPr>
              <w:pStyle w:val="TableParagraph"/>
              <w:rPr>
                <w:rFonts w:ascii="Verdana" w:hAnsi="Verdana"/>
                <w:b/>
                <w:sz w:val="18"/>
                <w:szCs w:val="18"/>
              </w:rPr>
            </w:pPr>
          </w:p>
          <w:p w14:paraId="5A71FF9A" w14:textId="77777777" w:rsidR="008715BE" w:rsidRPr="00EC75B7" w:rsidRDefault="008715BE">
            <w:pPr>
              <w:pStyle w:val="TableParagraph"/>
              <w:rPr>
                <w:rFonts w:ascii="Verdana" w:hAnsi="Verdana"/>
                <w:b/>
                <w:sz w:val="18"/>
                <w:szCs w:val="18"/>
              </w:rPr>
            </w:pPr>
          </w:p>
          <w:p w14:paraId="626791D5" w14:textId="77777777" w:rsidR="008715BE" w:rsidRPr="00EC75B7" w:rsidRDefault="008715BE">
            <w:pPr>
              <w:pStyle w:val="TableParagraph"/>
              <w:rPr>
                <w:rFonts w:ascii="Verdana" w:hAnsi="Verdana"/>
                <w:b/>
                <w:sz w:val="18"/>
                <w:szCs w:val="18"/>
              </w:rPr>
            </w:pPr>
          </w:p>
          <w:p w14:paraId="3A527EE2" w14:textId="77777777" w:rsidR="008715BE" w:rsidRPr="00EC75B7" w:rsidRDefault="008715BE">
            <w:pPr>
              <w:pStyle w:val="TableParagraph"/>
              <w:rPr>
                <w:rFonts w:ascii="Verdana" w:hAnsi="Verdana"/>
                <w:b/>
                <w:sz w:val="18"/>
                <w:szCs w:val="18"/>
              </w:rPr>
            </w:pPr>
          </w:p>
          <w:p w14:paraId="09DA6A2A" w14:textId="77777777" w:rsidR="008715BE" w:rsidRPr="00EC75B7" w:rsidRDefault="008715BE">
            <w:pPr>
              <w:pStyle w:val="TableParagraph"/>
              <w:spacing w:before="102"/>
              <w:rPr>
                <w:rFonts w:ascii="Verdana" w:hAnsi="Verdana"/>
                <w:b/>
                <w:sz w:val="18"/>
                <w:szCs w:val="18"/>
              </w:rPr>
            </w:pPr>
          </w:p>
          <w:p w14:paraId="1B277A5E"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48E28F6" w14:textId="77777777" w:rsidR="008715BE" w:rsidRPr="00EC75B7" w:rsidRDefault="008715BE">
            <w:pPr>
              <w:pStyle w:val="TableParagraph"/>
              <w:rPr>
                <w:rFonts w:ascii="Verdana" w:hAnsi="Verdana"/>
                <w:b/>
                <w:sz w:val="18"/>
                <w:szCs w:val="18"/>
              </w:rPr>
            </w:pPr>
          </w:p>
          <w:p w14:paraId="6CC643C6" w14:textId="77777777" w:rsidR="008715BE" w:rsidRPr="00EC75B7" w:rsidRDefault="008715BE">
            <w:pPr>
              <w:pStyle w:val="TableParagraph"/>
              <w:rPr>
                <w:rFonts w:ascii="Verdana" w:hAnsi="Verdana"/>
                <w:b/>
                <w:sz w:val="18"/>
                <w:szCs w:val="18"/>
              </w:rPr>
            </w:pPr>
          </w:p>
          <w:p w14:paraId="0D22FE0A" w14:textId="77777777" w:rsidR="008715BE" w:rsidRPr="00EC75B7" w:rsidRDefault="008715BE">
            <w:pPr>
              <w:pStyle w:val="TableParagraph"/>
              <w:rPr>
                <w:rFonts w:ascii="Verdana" w:hAnsi="Verdana"/>
                <w:b/>
                <w:sz w:val="18"/>
                <w:szCs w:val="18"/>
              </w:rPr>
            </w:pPr>
          </w:p>
          <w:p w14:paraId="127889E5" w14:textId="77777777" w:rsidR="008715BE" w:rsidRPr="00EC75B7" w:rsidRDefault="008715BE">
            <w:pPr>
              <w:pStyle w:val="TableParagraph"/>
              <w:rPr>
                <w:rFonts w:ascii="Verdana" w:hAnsi="Verdana"/>
                <w:b/>
                <w:sz w:val="18"/>
                <w:szCs w:val="18"/>
              </w:rPr>
            </w:pPr>
          </w:p>
          <w:p w14:paraId="354EDBE0" w14:textId="77777777" w:rsidR="008715BE" w:rsidRPr="00EC75B7" w:rsidRDefault="008715BE">
            <w:pPr>
              <w:pStyle w:val="TableParagraph"/>
              <w:spacing w:before="102"/>
              <w:rPr>
                <w:rFonts w:ascii="Verdana" w:hAnsi="Verdana"/>
                <w:b/>
                <w:sz w:val="18"/>
                <w:szCs w:val="18"/>
              </w:rPr>
            </w:pPr>
          </w:p>
          <w:p w14:paraId="2D55F75E"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55FFA691" w14:textId="77777777" w:rsidR="008715BE" w:rsidRPr="00EC75B7" w:rsidRDefault="008715BE">
            <w:pPr>
              <w:pStyle w:val="TableParagraph"/>
              <w:rPr>
                <w:rFonts w:ascii="Verdana" w:hAnsi="Verdana"/>
                <w:b/>
                <w:sz w:val="18"/>
                <w:szCs w:val="18"/>
              </w:rPr>
            </w:pPr>
          </w:p>
          <w:p w14:paraId="4BA5E536" w14:textId="77777777" w:rsidR="008715BE" w:rsidRPr="00EC75B7" w:rsidRDefault="008715BE">
            <w:pPr>
              <w:pStyle w:val="TableParagraph"/>
              <w:rPr>
                <w:rFonts w:ascii="Verdana" w:hAnsi="Verdana"/>
                <w:b/>
                <w:sz w:val="18"/>
                <w:szCs w:val="18"/>
              </w:rPr>
            </w:pPr>
          </w:p>
          <w:p w14:paraId="36572EF8" w14:textId="77777777" w:rsidR="008715BE" w:rsidRPr="00EC75B7" w:rsidRDefault="008715BE">
            <w:pPr>
              <w:pStyle w:val="TableParagraph"/>
              <w:rPr>
                <w:rFonts w:ascii="Verdana" w:hAnsi="Verdana"/>
                <w:b/>
                <w:sz w:val="18"/>
                <w:szCs w:val="18"/>
              </w:rPr>
            </w:pPr>
          </w:p>
          <w:p w14:paraId="49B1BE94" w14:textId="77777777" w:rsidR="008715BE" w:rsidRPr="00EC75B7" w:rsidRDefault="008715BE">
            <w:pPr>
              <w:pStyle w:val="TableParagraph"/>
              <w:rPr>
                <w:rFonts w:ascii="Verdana" w:hAnsi="Verdana"/>
                <w:b/>
                <w:sz w:val="18"/>
                <w:szCs w:val="18"/>
              </w:rPr>
            </w:pPr>
          </w:p>
          <w:p w14:paraId="42E90F7A" w14:textId="77777777" w:rsidR="008715BE" w:rsidRPr="00EC75B7" w:rsidRDefault="008715BE">
            <w:pPr>
              <w:pStyle w:val="TableParagraph"/>
              <w:spacing w:before="102"/>
              <w:rPr>
                <w:rFonts w:ascii="Verdana" w:hAnsi="Verdana"/>
                <w:b/>
                <w:sz w:val="18"/>
                <w:szCs w:val="18"/>
              </w:rPr>
            </w:pPr>
          </w:p>
          <w:p w14:paraId="0203A1C0"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606101D7" w14:textId="77777777" w:rsidR="008715BE" w:rsidRPr="00EC75B7" w:rsidRDefault="008715BE">
            <w:pPr>
              <w:pStyle w:val="TableParagraph"/>
              <w:rPr>
                <w:rFonts w:ascii="Verdana" w:hAnsi="Verdana"/>
                <w:b/>
                <w:sz w:val="18"/>
                <w:szCs w:val="18"/>
              </w:rPr>
            </w:pPr>
          </w:p>
          <w:p w14:paraId="04906CB4" w14:textId="77777777" w:rsidR="008715BE" w:rsidRPr="00EC75B7" w:rsidRDefault="008715BE">
            <w:pPr>
              <w:pStyle w:val="TableParagraph"/>
              <w:rPr>
                <w:rFonts w:ascii="Verdana" w:hAnsi="Verdana"/>
                <w:b/>
                <w:sz w:val="18"/>
                <w:szCs w:val="18"/>
              </w:rPr>
            </w:pPr>
          </w:p>
          <w:p w14:paraId="33A6E678" w14:textId="77777777" w:rsidR="008715BE" w:rsidRPr="00EC75B7" w:rsidRDefault="008715BE">
            <w:pPr>
              <w:pStyle w:val="TableParagraph"/>
              <w:rPr>
                <w:rFonts w:ascii="Verdana" w:hAnsi="Verdana"/>
                <w:b/>
                <w:sz w:val="18"/>
                <w:szCs w:val="18"/>
              </w:rPr>
            </w:pPr>
          </w:p>
          <w:p w14:paraId="24E46276" w14:textId="77777777" w:rsidR="008715BE" w:rsidRPr="00EC75B7" w:rsidRDefault="008715BE">
            <w:pPr>
              <w:pStyle w:val="TableParagraph"/>
              <w:rPr>
                <w:rFonts w:ascii="Verdana" w:hAnsi="Verdana"/>
                <w:b/>
                <w:sz w:val="18"/>
                <w:szCs w:val="18"/>
              </w:rPr>
            </w:pPr>
          </w:p>
          <w:p w14:paraId="68A20CAD" w14:textId="77777777" w:rsidR="008715BE" w:rsidRPr="00EC75B7" w:rsidRDefault="008715BE">
            <w:pPr>
              <w:pStyle w:val="TableParagraph"/>
              <w:spacing w:before="102"/>
              <w:rPr>
                <w:rFonts w:ascii="Verdana" w:hAnsi="Verdana"/>
                <w:b/>
                <w:sz w:val="18"/>
                <w:szCs w:val="18"/>
              </w:rPr>
            </w:pPr>
          </w:p>
          <w:p w14:paraId="2BCD3173"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79EED221" w14:textId="77777777" w:rsidR="008715BE" w:rsidRPr="00EC75B7" w:rsidRDefault="008715BE">
            <w:pPr>
              <w:pStyle w:val="TableParagraph"/>
              <w:rPr>
                <w:rFonts w:ascii="Verdana" w:hAnsi="Verdana"/>
                <w:b/>
                <w:sz w:val="18"/>
                <w:szCs w:val="18"/>
              </w:rPr>
            </w:pPr>
          </w:p>
          <w:p w14:paraId="5A003585" w14:textId="77777777" w:rsidR="008715BE" w:rsidRPr="00EC75B7" w:rsidRDefault="008715BE">
            <w:pPr>
              <w:pStyle w:val="TableParagraph"/>
              <w:rPr>
                <w:rFonts w:ascii="Verdana" w:hAnsi="Verdana"/>
                <w:b/>
                <w:sz w:val="18"/>
                <w:szCs w:val="18"/>
              </w:rPr>
            </w:pPr>
          </w:p>
          <w:p w14:paraId="55122122" w14:textId="77777777" w:rsidR="008715BE" w:rsidRPr="00EC75B7" w:rsidRDefault="008715BE">
            <w:pPr>
              <w:pStyle w:val="TableParagraph"/>
              <w:rPr>
                <w:rFonts w:ascii="Verdana" w:hAnsi="Verdana"/>
                <w:b/>
                <w:sz w:val="18"/>
                <w:szCs w:val="18"/>
              </w:rPr>
            </w:pPr>
          </w:p>
          <w:p w14:paraId="338DEBD2" w14:textId="77777777" w:rsidR="008715BE" w:rsidRPr="00EC75B7" w:rsidRDefault="008715BE">
            <w:pPr>
              <w:pStyle w:val="TableParagraph"/>
              <w:rPr>
                <w:rFonts w:ascii="Verdana" w:hAnsi="Verdana"/>
                <w:b/>
                <w:sz w:val="18"/>
                <w:szCs w:val="18"/>
              </w:rPr>
            </w:pPr>
          </w:p>
          <w:p w14:paraId="669CA24A" w14:textId="77777777" w:rsidR="008715BE" w:rsidRPr="00EC75B7" w:rsidRDefault="008715BE">
            <w:pPr>
              <w:pStyle w:val="TableParagraph"/>
              <w:spacing w:before="6"/>
              <w:rPr>
                <w:rFonts w:ascii="Verdana" w:hAnsi="Verdana"/>
                <w:b/>
                <w:sz w:val="18"/>
                <w:szCs w:val="18"/>
              </w:rPr>
            </w:pPr>
          </w:p>
          <w:p w14:paraId="220AEA45"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4E8DD759" w14:textId="77777777">
        <w:trPr>
          <w:trHeight w:val="2333"/>
        </w:trPr>
        <w:tc>
          <w:tcPr>
            <w:tcW w:w="554" w:type="dxa"/>
          </w:tcPr>
          <w:p w14:paraId="3ECB7119" w14:textId="77777777" w:rsidR="008715BE" w:rsidRPr="00EC75B7" w:rsidRDefault="008715BE">
            <w:pPr>
              <w:pStyle w:val="TableParagraph"/>
              <w:rPr>
                <w:rFonts w:ascii="Verdana" w:hAnsi="Verdana"/>
                <w:b/>
                <w:sz w:val="18"/>
                <w:szCs w:val="18"/>
              </w:rPr>
            </w:pPr>
          </w:p>
          <w:p w14:paraId="1DBE9E95" w14:textId="77777777" w:rsidR="008715BE" w:rsidRPr="00EC75B7" w:rsidRDefault="008715BE">
            <w:pPr>
              <w:pStyle w:val="TableParagraph"/>
              <w:rPr>
                <w:rFonts w:ascii="Verdana" w:hAnsi="Verdana"/>
                <w:b/>
                <w:sz w:val="18"/>
                <w:szCs w:val="18"/>
              </w:rPr>
            </w:pPr>
          </w:p>
          <w:p w14:paraId="34D66D15" w14:textId="77777777" w:rsidR="008715BE" w:rsidRPr="00EC75B7" w:rsidRDefault="008715BE">
            <w:pPr>
              <w:pStyle w:val="TableParagraph"/>
              <w:rPr>
                <w:rFonts w:ascii="Verdana" w:hAnsi="Verdana"/>
                <w:b/>
                <w:sz w:val="18"/>
                <w:szCs w:val="18"/>
              </w:rPr>
            </w:pPr>
          </w:p>
          <w:p w14:paraId="212385E3" w14:textId="77777777" w:rsidR="008715BE" w:rsidRPr="00EC75B7" w:rsidRDefault="008715BE">
            <w:pPr>
              <w:pStyle w:val="TableParagraph"/>
              <w:rPr>
                <w:rFonts w:ascii="Verdana" w:hAnsi="Verdana"/>
                <w:b/>
                <w:sz w:val="18"/>
                <w:szCs w:val="18"/>
              </w:rPr>
            </w:pPr>
          </w:p>
          <w:p w14:paraId="6AD42556" w14:textId="77777777" w:rsidR="008715BE" w:rsidRPr="00EC75B7" w:rsidRDefault="008715BE">
            <w:pPr>
              <w:pStyle w:val="TableParagraph"/>
              <w:spacing w:before="100"/>
              <w:rPr>
                <w:rFonts w:ascii="Verdana" w:hAnsi="Verdana"/>
                <w:b/>
                <w:sz w:val="18"/>
                <w:szCs w:val="18"/>
              </w:rPr>
            </w:pPr>
          </w:p>
          <w:p w14:paraId="67A94635"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M5</w:t>
            </w:r>
          </w:p>
        </w:tc>
        <w:tc>
          <w:tcPr>
            <w:tcW w:w="6091" w:type="dxa"/>
          </w:tcPr>
          <w:p w14:paraId="63F743BB" w14:textId="77777777" w:rsidR="008715BE" w:rsidRPr="00EC75B7" w:rsidRDefault="008715BE">
            <w:pPr>
              <w:pStyle w:val="TableParagraph"/>
              <w:rPr>
                <w:rFonts w:ascii="Verdana" w:hAnsi="Verdana"/>
                <w:b/>
                <w:sz w:val="18"/>
                <w:szCs w:val="18"/>
              </w:rPr>
            </w:pPr>
          </w:p>
          <w:p w14:paraId="1FEE4D07" w14:textId="77777777" w:rsidR="008715BE" w:rsidRPr="00EC75B7" w:rsidRDefault="008715BE">
            <w:pPr>
              <w:pStyle w:val="TableParagraph"/>
              <w:rPr>
                <w:rFonts w:ascii="Verdana" w:hAnsi="Verdana"/>
                <w:b/>
                <w:sz w:val="18"/>
                <w:szCs w:val="18"/>
              </w:rPr>
            </w:pPr>
          </w:p>
          <w:p w14:paraId="140DD532" w14:textId="77777777" w:rsidR="008715BE" w:rsidRPr="00EC75B7" w:rsidRDefault="008715BE">
            <w:pPr>
              <w:pStyle w:val="TableParagraph"/>
              <w:rPr>
                <w:rFonts w:ascii="Verdana" w:hAnsi="Verdana"/>
                <w:b/>
                <w:sz w:val="18"/>
                <w:szCs w:val="18"/>
              </w:rPr>
            </w:pPr>
          </w:p>
          <w:p w14:paraId="71B895DC" w14:textId="77777777" w:rsidR="008715BE" w:rsidRPr="00EC75B7" w:rsidRDefault="008715BE">
            <w:pPr>
              <w:pStyle w:val="TableParagraph"/>
              <w:rPr>
                <w:rFonts w:ascii="Verdana" w:hAnsi="Verdana"/>
                <w:b/>
                <w:sz w:val="18"/>
                <w:szCs w:val="18"/>
              </w:rPr>
            </w:pPr>
          </w:p>
          <w:p w14:paraId="515A09B0" w14:textId="77777777" w:rsidR="008715BE" w:rsidRPr="00EC75B7" w:rsidRDefault="008715BE">
            <w:pPr>
              <w:pStyle w:val="TableParagraph"/>
              <w:spacing w:before="4"/>
              <w:rPr>
                <w:rFonts w:ascii="Verdana" w:hAnsi="Verdana"/>
                <w:b/>
                <w:sz w:val="18"/>
                <w:szCs w:val="18"/>
              </w:rPr>
            </w:pPr>
          </w:p>
          <w:p w14:paraId="06328D04"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 xml:space="preserve">Carrying out activities within the perimeter on the strictly </w:t>
            </w:r>
            <w:r w:rsidRPr="00EC75B7">
              <w:rPr>
                <w:rFonts w:ascii="Verdana" w:hAnsi="Verdana"/>
                <w:spacing w:val="-2"/>
                <w:sz w:val="18"/>
                <w:szCs w:val="18"/>
              </w:rPr>
              <w:t xml:space="preserve">necessary </w:t>
            </w:r>
            <w:r w:rsidRPr="00EC75B7">
              <w:rPr>
                <w:rFonts w:ascii="Verdana" w:hAnsi="Verdana"/>
                <w:sz w:val="18"/>
                <w:szCs w:val="18"/>
              </w:rPr>
              <w:t>areas</w:t>
            </w:r>
            <w:r w:rsidRPr="00EC75B7">
              <w:rPr>
                <w:rFonts w:ascii="Verdana" w:hAnsi="Verdana"/>
                <w:spacing w:val="-2"/>
                <w:sz w:val="18"/>
                <w:szCs w:val="18"/>
              </w:rPr>
              <w:t>.</w:t>
            </w:r>
          </w:p>
        </w:tc>
        <w:tc>
          <w:tcPr>
            <w:tcW w:w="1809" w:type="dxa"/>
          </w:tcPr>
          <w:p w14:paraId="5C589164"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4CCE9958"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2CDDB404"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504FB845" w14:textId="77777777" w:rsidR="008715BE" w:rsidRPr="00EC75B7" w:rsidRDefault="008715BE">
            <w:pPr>
              <w:pStyle w:val="TableParagraph"/>
              <w:rPr>
                <w:rFonts w:ascii="Verdana" w:hAnsi="Verdana"/>
                <w:b/>
                <w:sz w:val="18"/>
                <w:szCs w:val="18"/>
              </w:rPr>
            </w:pPr>
          </w:p>
          <w:p w14:paraId="1D5D1F76" w14:textId="77777777" w:rsidR="008715BE" w:rsidRPr="00EC75B7" w:rsidRDefault="008715BE">
            <w:pPr>
              <w:pStyle w:val="TableParagraph"/>
              <w:rPr>
                <w:rFonts w:ascii="Verdana" w:hAnsi="Verdana"/>
                <w:b/>
                <w:sz w:val="18"/>
                <w:szCs w:val="18"/>
              </w:rPr>
            </w:pPr>
          </w:p>
          <w:p w14:paraId="188CB707" w14:textId="77777777" w:rsidR="008715BE" w:rsidRPr="00EC75B7" w:rsidRDefault="008715BE">
            <w:pPr>
              <w:pStyle w:val="TableParagraph"/>
              <w:spacing w:before="101"/>
              <w:rPr>
                <w:rFonts w:ascii="Verdana" w:hAnsi="Verdana"/>
                <w:b/>
                <w:sz w:val="18"/>
                <w:szCs w:val="18"/>
              </w:rPr>
            </w:pPr>
          </w:p>
          <w:p w14:paraId="6956541E" w14:textId="77777777" w:rsidR="008715BE" w:rsidRPr="00EC75B7" w:rsidRDefault="00000000">
            <w:pPr>
              <w:pStyle w:val="TableParagraph"/>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2FE5F52A" w14:textId="77777777" w:rsidR="008715BE" w:rsidRPr="00EC75B7" w:rsidRDefault="008715BE">
            <w:pPr>
              <w:pStyle w:val="TableParagraph"/>
              <w:rPr>
                <w:rFonts w:ascii="Verdana" w:hAnsi="Verdana"/>
                <w:b/>
                <w:sz w:val="18"/>
                <w:szCs w:val="18"/>
              </w:rPr>
            </w:pPr>
          </w:p>
          <w:p w14:paraId="23FB262C" w14:textId="77777777" w:rsidR="008715BE" w:rsidRPr="00EC75B7" w:rsidRDefault="008715BE">
            <w:pPr>
              <w:pStyle w:val="TableParagraph"/>
              <w:rPr>
                <w:rFonts w:ascii="Verdana" w:hAnsi="Verdana"/>
                <w:b/>
                <w:sz w:val="18"/>
                <w:szCs w:val="18"/>
              </w:rPr>
            </w:pPr>
          </w:p>
          <w:p w14:paraId="74F43E9F" w14:textId="77777777" w:rsidR="008715BE" w:rsidRPr="00EC75B7" w:rsidRDefault="008715BE">
            <w:pPr>
              <w:pStyle w:val="TableParagraph"/>
              <w:rPr>
                <w:rFonts w:ascii="Verdana" w:hAnsi="Verdana"/>
                <w:b/>
                <w:sz w:val="18"/>
                <w:szCs w:val="18"/>
              </w:rPr>
            </w:pPr>
          </w:p>
          <w:p w14:paraId="59135564" w14:textId="77777777" w:rsidR="008715BE" w:rsidRPr="00EC75B7" w:rsidRDefault="008715BE">
            <w:pPr>
              <w:pStyle w:val="TableParagraph"/>
              <w:rPr>
                <w:rFonts w:ascii="Verdana" w:hAnsi="Verdana"/>
                <w:b/>
                <w:sz w:val="18"/>
                <w:szCs w:val="18"/>
              </w:rPr>
            </w:pPr>
          </w:p>
          <w:p w14:paraId="55BFD271" w14:textId="77777777" w:rsidR="008715BE" w:rsidRPr="00EC75B7" w:rsidRDefault="008715BE">
            <w:pPr>
              <w:pStyle w:val="TableParagraph"/>
              <w:spacing w:before="100"/>
              <w:rPr>
                <w:rFonts w:ascii="Verdana" w:hAnsi="Verdana"/>
                <w:b/>
                <w:sz w:val="18"/>
                <w:szCs w:val="18"/>
              </w:rPr>
            </w:pPr>
          </w:p>
          <w:p w14:paraId="3AF90F38"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2"/>
                <w:sz w:val="18"/>
                <w:szCs w:val="18"/>
              </w:rPr>
              <w:t>AH,PAS</w:t>
            </w:r>
          </w:p>
        </w:tc>
        <w:tc>
          <w:tcPr>
            <w:tcW w:w="269" w:type="dxa"/>
          </w:tcPr>
          <w:p w14:paraId="7FC9ACD5" w14:textId="77777777" w:rsidR="008715BE" w:rsidRPr="00EC75B7" w:rsidRDefault="008715BE">
            <w:pPr>
              <w:pStyle w:val="TableParagraph"/>
              <w:rPr>
                <w:rFonts w:ascii="Verdana" w:hAnsi="Verdana"/>
                <w:b/>
                <w:sz w:val="18"/>
                <w:szCs w:val="18"/>
              </w:rPr>
            </w:pPr>
          </w:p>
          <w:p w14:paraId="76F8713E" w14:textId="77777777" w:rsidR="008715BE" w:rsidRPr="00EC75B7" w:rsidRDefault="008715BE">
            <w:pPr>
              <w:pStyle w:val="TableParagraph"/>
              <w:rPr>
                <w:rFonts w:ascii="Verdana" w:hAnsi="Verdana"/>
                <w:b/>
                <w:sz w:val="18"/>
                <w:szCs w:val="18"/>
              </w:rPr>
            </w:pPr>
          </w:p>
          <w:p w14:paraId="341D601E" w14:textId="77777777" w:rsidR="008715BE" w:rsidRPr="00EC75B7" w:rsidRDefault="008715BE">
            <w:pPr>
              <w:pStyle w:val="TableParagraph"/>
              <w:rPr>
                <w:rFonts w:ascii="Verdana" w:hAnsi="Verdana"/>
                <w:b/>
                <w:sz w:val="18"/>
                <w:szCs w:val="18"/>
              </w:rPr>
            </w:pPr>
          </w:p>
          <w:p w14:paraId="65FD3DD5" w14:textId="77777777" w:rsidR="008715BE" w:rsidRPr="00EC75B7" w:rsidRDefault="008715BE">
            <w:pPr>
              <w:pStyle w:val="TableParagraph"/>
              <w:rPr>
                <w:rFonts w:ascii="Verdana" w:hAnsi="Verdana"/>
                <w:b/>
                <w:sz w:val="18"/>
                <w:szCs w:val="18"/>
              </w:rPr>
            </w:pPr>
          </w:p>
          <w:p w14:paraId="3F39F38A" w14:textId="77777777" w:rsidR="008715BE" w:rsidRPr="00EC75B7" w:rsidRDefault="008715BE">
            <w:pPr>
              <w:pStyle w:val="TableParagraph"/>
              <w:spacing w:before="100"/>
              <w:rPr>
                <w:rFonts w:ascii="Verdana" w:hAnsi="Verdana"/>
                <w:b/>
                <w:sz w:val="18"/>
                <w:szCs w:val="18"/>
              </w:rPr>
            </w:pPr>
          </w:p>
          <w:p w14:paraId="2D40C2D6"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287F4D15" w14:textId="77777777" w:rsidR="008715BE" w:rsidRPr="00EC75B7" w:rsidRDefault="008715BE">
            <w:pPr>
              <w:pStyle w:val="TableParagraph"/>
              <w:rPr>
                <w:rFonts w:ascii="Verdana" w:hAnsi="Verdana"/>
                <w:b/>
                <w:sz w:val="18"/>
                <w:szCs w:val="18"/>
              </w:rPr>
            </w:pPr>
          </w:p>
          <w:p w14:paraId="36BCE117" w14:textId="77777777" w:rsidR="008715BE" w:rsidRPr="00EC75B7" w:rsidRDefault="008715BE">
            <w:pPr>
              <w:pStyle w:val="TableParagraph"/>
              <w:rPr>
                <w:rFonts w:ascii="Verdana" w:hAnsi="Verdana"/>
                <w:b/>
                <w:sz w:val="18"/>
                <w:szCs w:val="18"/>
              </w:rPr>
            </w:pPr>
          </w:p>
          <w:p w14:paraId="07140D9E" w14:textId="77777777" w:rsidR="008715BE" w:rsidRPr="00EC75B7" w:rsidRDefault="008715BE">
            <w:pPr>
              <w:pStyle w:val="TableParagraph"/>
              <w:rPr>
                <w:rFonts w:ascii="Verdana" w:hAnsi="Verdana"/>
                <w:b/>
                <w:sz w:val="18"/>
                <w:szCs w:val="18"/>
              </w:rPr>
            </w:pPr>
          </w:p>
          <w:p w14:paraId="275B2D35" w14:textId="77777777" w:rsidR="008715BE" w:rsidRPr="00EC75B7" w:rsidRDefault="008715BE">
            <w:pPr>
              <w:pStyle w:val="TableParagraph"/>
              <w:rPr>
                <w:rFonts w:ascii="Verdana" w:hAnsi="Verdana"/>
                <w:b/>
                <w:sz w:val="18"/>
                <w:szCs w:val="18"/>
              </w:rPr>
            </w:pPr>
          </w:p>
          <w:p w14:paraId="6FE216AE" w14:textId="77777777" w:rsidR="008715BE" w:rsidRPr="00EC75B7" w:rsidRDefault="008715BE">
            <w:pPr>
              <w:pStyle w:val="TableParagraph"/>
              <w:spacing w:before="100"/>
              <w:rPr>
                <w:rFonts w:ascii="Verdana" w:hAnsi="Verdana"/>
                <w:b/>
                <w:sz w:val="18"/>
                <w:szCs w:val="18"/>
              </w:rPr>
            </w:pPr>
          </w:p>
          <w:p w14:paraId="4F8CF58A"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6DB4915D" w14:textId="77777777" w:rsidR="008715BE" w:rsidRPr="00EC75B7" w:rsidRDefault="008715BE">
            <w:pPr>
              <w:pStyle w:val="TableParagraph"/>
              <w:rPr>
                <w:rFonts w:ascii="Verdana" w:hAnsi="Verdana"/>
                <w:b/>
                <w:sz w:val="18"/>
                <w:szCs w:val="18"/>
              </w:rPr>
            </w:pPr>
          </w:p>
          <w:p w14:paraId="43397BA5" w14:textId="77777777" w:rsidR="008715BE" w:rsidRPr="00EC75B7" w:rsidRDefault="008715BE">
            <w:pPr>
              <w:pStyle w:val="TableParagraph"/>
              <w:rPr>
                <w:rFonts w:ascii="Verdana" w:hAnsi="Verdana"/>
                <w:b/>
                <w:sz w:val="18"/>
                <w:szCs w:val="18"/>
              </w:rPr>
            </w:pPr>
          </w:p>
          <w:p w14:paraId="0F494149" w14:textId="77777777" w:rsidR="008715BE" w:rsidRPr="00EC75B7" w:rsidRDefault="008715BE">
            <w:pPr>
              <w:pStyle w:val="TableParagraph"/>
              <w:rPr>
                <w:rFonts w:ascii="Verdana" w:hAnsi="Verdana"/>
                <w:b/>
                <w:sz w:val="18"/>
                <w:szCs w:val="18"/>
              </w:rPr>
            </w:pPr>
          </w:p>
          <w:p w14:paraId="085A46EB" w14:textId="77777777" w:rsidR="008715BE" w:rsidRPr="00EC75B7" w:rsidRDefault="008715BE">
            <w:pPr>
              <w:pStyle w:val="TableParagraph"/>
              <w:rPr>
                <w:rFonts w:ascii="Verdana" w:hAnsi="Verdana"/>
                <w:b/>
                <w:sz w:val="18"/>
                <w:szCs w:val="18"/>
              </w:rPr>
            </w:pPr>
          </w:p>
          <w:p w14:paraId="0A5F5E18" w14:textId="77777777" w:rsidR="008715BE" w:rsidRPr="00EC75B7" w:rsidRDefault="008715BE">
            <w:pPr>
              <w:pStyle w:val="TableParagraph"/>
              <w:spacing w:before="100"/>
              <w:rPr>
                <w:rFonts w:ascii="Verdana" w:hAnsi="Verdana"/>
                <w:b/>
                <w:sz w:val="18"/>
                <w:szCs w:val="18"/>
              </w:rPr>
            </w:pPr>
          </w:p>
          <w:p w14:paraId="07A98574"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D71789A" w14:textId="77777777" w:rsidR="008715BE" w:rsidRPr="00EC75B7" w:rsidRDefault="008715BE">
            <w:pPr>
              <w:pStyle w:val="TableParagraph"/>
              <w:rPr>
                <w:rFonts w:ascii="Verdana" w:hAnsi="Verdana"/>
                <w:b/>
                <w:sz w:val="18"/>
                <w:szCs w:val="18"/>
              </w:rPr>
            </w:pPr>
          </w:p>
          <w:p w14:paraId="552C6E08" w14:textId="77777777" w:rsidR="008715BE" w:rsidRPr="00EC75B7" w:rsidRDefault="008715BE">
            <w:pPr>
              <w:pStyle w:val="TableParagraph"/>
              <w:rPr>
                <w:rFonts w:ascii="Verdana" w:hAnsi="Verdana"/>
                <w:b/>
                <w:sz w:val="18"/>
                <w:szCs w:val="18"/>
              </w:rPr>
            </w:pPr>
          </w:p>
          <w:p w14:paraId="24860AB1" w14:textId="77777777" w:rsidR="008715BE" w:rsidRPr="00EC75B7" w:rsidRDefault="008715BE">
            <w:pPr>
              <w:pStyle w:val="TableParagraph"/>
              <w:rPr>
                <w:rFonts w:ascii="Verdana" w:hAnsi="Verdana"/>
                <w:b/>
                <w:sz w:val="18"/>
                <w:szCs w:val="18"/>
              </w:rPr>
            </w:pPr>
          </w:p>
          <w:p w14:paraId="4554DD5A" w14:textId="77777777" w:rsidR="008715BE" w:rsidRPr="00EC75B7" w:rsidRDefault="008715BE">
            <w:pPr>
              <w:pStyle w:val="TableParagraph"/>
              <w:rPr>
                <w:rFonts w:ascii="Verdana" w:hAnsi="Verdana"/>
                <w:b/>
                <w:sz w:val="18"/>
                <w:szCs w:val="18"/>
              </w:rPr>
            </w:pPr>
          </w:p>
          <w:p w14:paraId="63BC903F" w14:textId="77777777" w:rsidR="008715BE" w:rsidRPr="00EC75B7" w:rsidRDefault="008715BE">
            <w:pPr>
              <w:pStyle w:val="TableParagraph"/>
              <w:spacing w:before="100"/>
              <w:rPr>
                <w:rFonts w:ascii="Verdana" w:hAnsi="Verdana"/>
                <w:b/>
                <w:sz w:val="18"/>
                <w:szCs w:val="18"/>
              </w:rPr>
            </w:pPr>
          </w:p>
          <w:p w14:paraId="53F6B6D3"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3AD092BF" w14:textId="77777777" w:rsidR="008715BE" w:rsidRPr="00EC75B7" w:rsidRDefault="008715BE">
            <w:pPr>
              <w:pStyle w:val="TableParagraph"/>
              <w:rPr>
                <w:rFonts w:ascii="Verdana" w:hAnsi="Verdana"/>
                <w:b/>
                <w:sz w:val="18"/>
                <w:szCs w:val="18"/>
              </w:rPr>
            </w:pPr>
          </w:p>
          <w:p w14:paraId="6E9A77E9" w14:textId="77777777" w:rsidR="008715BE" w:rsidRPr="00EC75B7" w:rsidRDefault="008715BE">
            <w:pPr>
              <w:pStyle w:val="TableParagraph"/>
              <w:rPr>
                <w:rFonts w:ascii="Verdana" w:hAnsi="Verdana"/>
                <w:b/>
                <w:sz w:val="18"/>
                <w:szCs w:val="18"/>
              </w:rPr>
            </w:pPr>
          </w:p>
          <w:p w14:paraId="36F70D45" w14:textId="77777777" w:rsidR="008715BE" w:rsidRPr="00EC75B7" w:rsidRDefault="008715BE">
            <w:pPr>
              <w:pStyle w:val="TableParagraph"/>
              <w:rPr>
                <w:rFonts w:ascii="Verdana" w:hAnsi="Verdana"/>
                <w:b/>
                <w:sz w:val="18"/>
                <w:szCs w:val="18"/>
              </w:rPr>
            </w:pPr>
          </w:p>
          <w:p w14:paraId="3EC4F200" w14:textId="77777777" w:rsidR="008715BE" w:rsidRPr="00EC75B7" w:rsidRDefault="008715BE">
            <w:pPr>
              <w:pStyle w:val="TableParagraph"/>
              <w:rPr>
                <w:rFonts w:ascii="Verdana" w:hAnsi="Verdana"/>
                <w:b/>
                <w:sz w:val="18"/>
                <w:szCs w:val="18"/>
              </w:rPr>
            </w:pPr>
          </w:p>
          <w:p w14:paraId="2484ACFD" w14:textId="77777777" w:rsidR="008715BE" w:rsidRPr="00EC75B7" w:rsidRDefault="008715BE">
            <w:pPr>
              <w:pStyle w:val="TableParagraph"/>
              <w:spacing w:before="100"/>
              <w:rPr>
                <w:rFonts w:ascii="Verdana" w:hAnsi="Verdana"/>
                <w:b/>
                <w:sz w:val="18"/>
                <w:szCs w:val="18"/>
              </w:rPr>
            </w:pPr>
          </w:p>
          <w:p w14:paraId="10ED283A"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752CE307" w14:textId="77777777" w:rsidR="008715BE" w:rsidRPr="00EC75B7" w:rsidRDefault="008715BE">
            <w:pPr>
              <w:pStyle w:val="TableParagraph"/>
              <w:rPr>
                <w:rFonts w:ascii="Verdana" w:hAnsi="Verdana"/>
                <w:b/>
                <w:sz w:val="18"/>
                <w:szCs w:val="18"/>
              </w:rPr>
            </w:pPr>
          </w:p>
          <w:p w14:paraId="560E78F4" w14:textId="77777777" w:rsidR="008715BE" w:rsidRPr="00EC75B7" w:rsidRDefault="008715BE">
            <w:pPr>
              <w:pStyle w:val="TableParagraph"/>
              <w:rPr>
                <w:rFonts w:ascii="Verdana" w:hAnsi="Verdana"/>
                <w:b/>
                <w:sz w:val="18"/>
                <w:szCs w:val="18"/>
              </w:rPr>
            </w:pPr>
          </w:p>
          <w:p w14:paraId="04431AC3" w14:textId="77777777" w:rsidR="008715BE" w:rsidRPr="00EC75B7" w:rsidRDefault="008715BE">
            <w:pPr>
              <w:pStyle w:val="TableParagraph"/>
              <w:rPr>
                <w:rFonts w:ascii="Verdana" w:hAnsi="Verdana"/>
                <w:b/>
                <w:sz w:val="18"/>
                <w:szCs w:val="18"/>
              </w:rPr>
            </w:pPr>
          </w:p>
          <w:p w14:paraId="1D665075" w14:textId="77777777" w:rsidR="008715BE" w:rsidRPr="00EC75B7" w:rsidRDefault="008715BE">
            <w:pPr>
              <w:pStyle w:val="TableParagraph"/>
              <w:rPr>
                <w:rFonts w:ascii="Verdana" w:hAnsi="Verdana"/>
                <w:b/>
                <w:sz w:val="18"/>
                <w:szCs w:val="18"/>
              </w:rPr>
            </w:pPr>
          </w:p>
          <w:p w14:paraId="79295305" w14:textId="77777777" w:rsidR="008715BE" w:rsidRPr="00EC75B7" w:rsidRDefault="008715BE">
            <w:pPr>
              <w:pStyle w:val="TableParagraph"/>
              <w:spacing w:before="100"/>
              <w:rPr>
                <w:rFonts w:ascii="Verdana" w:hAnsi="Verdana"/>
                <w:b/>
                <w:sz w:val="18"/>
                <w:szCs w:val="18"/>
              </w:rPr>
            </w:pPr>
          </w:p>
          <w:p w14:paraId="4162E1B3"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097965AD" w14:textId="77777777" w:rsidR="008715BE" w:rsidRPr="00EC75B7" w:rsidRDefault="008715BE">
            <w:pPr>
              <w:pStyle w:val="TableParagraph"/>
              <w:rPr>
                <w:rFonts w:ascii="Verdana" w:hAnsi="Verdana"/>
                <w:b/>
                <w:sz w:val="18"/>
                <w:szCs w:val="18"/>
              </w:rPr>
            </w:pPr>
          </w:p>
          <w:p w14:paraId="113E4291" w14:textId="77777777" w:rsidR="008715BE" w:rsidRPr="00EC75B7" w:rsidRDefault="008715BE">
            <w:pPr>
              <w:pStyle w:val="TableParagraph"/>
              <w:rPr>
                <w:rFonts w:ascii="Verdana" w:hAnsi="Verdana"/>
                <w:b/>
                <w:sz w:val="18"/>
                <w:szCs w:val="18"/>
              </w:rPr>
            </w:pPr>
          </w:p>
          <w:p w14:paraId="1C8C684E" w14:textId="77777777" w:rsidR="008715BE" w:rsidRPr="00EC75B7" w:rsidRDefault="008715BE">
            <w:pPr>
              <w:pStyle w:val="TableParagraph"/>
              <w:rPr>
                <w:rFonts w:ascii="Verdana" w:hAnsi="Verdana"/>
                <w:b/>
                <w:sz w:val="18"/>
                <w:szCs w:val="18"/>
              </w:rPr>
            </w:pPr>
          </w:p>
          <w:p w14:paraId="518A3195" w14:textId="77777777" w:rsidR="008715BE" w:rsidRPr="00EC75B7" w:rsidRDefault="008715BE">
            <w:pPr>
              <w:pStyle w:val="TableParagraph"/>
              <w:rPr>
                <w:rFonts w:ascii="Verdana" w:hAnsi="Verdana"/>
                <w:b/>
                <w:sz w:val="18"/>
                <w:szCs w:val="18"/>
              </w:rPr>
            </w:pPr>
          </w:p>
          <w:p w14:paraId="3D9CF247" w14:textId="77777777" w:rsidR="008715BE" w:rsidRPr="00EC75B7" w:rsidRDefault="008715BE">
            <w:pPr>
              <w:pStyle w:val="TableParagraph"/>
              <w:spacing w:before="100"/>
              <w:rPr>
                <w:rFonts w:ascii="Verdana" w:hAnsi="Verdana"/>
                <w:b/>
                <w:sz w:val="18"/>
                <w:szCs w:val="18"/>
              </w:rPr>
            </w:pPr>
          </w:p>
          <w:p w14:paraId="49075CC4"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A7EB647" w14:textId="77777777" w:rsidR="008715BE" w:rsidRPr="00EC75B7" w:rsidRDefault="008715BE">
            <w:pPr>
              <w:pStyle w:val="TableParagraph"/>
              <w:rPr>
                <w:rFonts w:ascii="Verdana" w:hAnsi="Verdana"/>
                <w:b/>
                <w:sz w:val="18"/>
                <w:szCs w:val="18"/>
              </w:rPr>
            </w:pPr>
          </w:p>
          <w:p w14:paraId="2A238AED" w14:textId="77777777" w:rsidR="008715BE" w:rsidRPr="00EC75B7" w:rsidRDefault="008715BE">
            <w:pPr>
              <w:pStyle w:val="TableParagraph"/>
              <w:rPr>
                <w:rFonts w:ascii="Verdana" w:hAnsi="Verdana"/>
                <w:b/>
                <w:sz w:val="18"/>
                <w:szCs w:val="18"/>
              </w:rPr>
            </w:pPr>
          </w:p>
          <w:p w14:paraId="3095645D" w14:textId="77777777" w:rsidR="008715BE" w:rsidRPr="00EC75B7" w:rsidRDefault="008715BE">
            <w:pPr>
              <w:pStyle w:val="TableParagraph"/>
              <w:rPr>
                <w:rFonts w:ascii="Verdana" w:hAnsi="Verdana"/>
                <w:b/>
                <w:sz w:val="18"/>
                <w:szCs w:val="18"/>
              </w:rPr>
            </w:pPr>
          </w:p>
          <w:p w14:paraId="6E381B73" w14:textId="77777777" w:rsidR="008715BE" w:rsidRPr="00EC75B7" w:rsidRDefault="008715BE">
            <w:pPr>
              <w:pStyle w:val="TableParagraph"/>
              <w:rPr>
                <w:rFonts w:ascii="Verdana" w:hAnsi="Verdana"/>
                <w:b/>
                <w:sz w:val="18"/>
                <w:szCs w:val="18"/>
              </w:rPr>
            </w:pPr>
          </w:p>
          <w:p w14:paraId="7981F88B" w14:textId="77777777" w:rsidR="008715BE" w:rsidRPr="00EC75B7" w:rsidRDefault="008715BE">
            <w:pPr>
              <w:pStyle w:val="TableParagraph"/>
              <w:spacing w:before="100"/>
              <w:rPr>
                <w:rFonts w:ascii="Verdana" w:hAnsi="Verdana"/>
                <w:b/>
                <w:sz w:val="18"/>
                <w:szCs w:val="18"/>
              </w:rPr>
            </w:pPr>
          </w:p>
          <w:p w14:paraId="0A28F0C0"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5FA899CA" w14:textId="77777777" w:rsidR="008715BE" w:rsidRPr="00EC75B7" w:rsidRDefault="008715BE">
            <w:pPr>
              <w:pStyle w:val="TableParagraph"/>
              <w:rPr>
                <w:rFonts w:ascii="Verdana" w:hAnsi="Verdana"/>
                <w:b/>
                <w:sz w:val="18"/>
                <w:szCs w:val="18"/>
              </w:rPr>
            </w:pPr>
          </w:p>
          <w:p w14:paraId="6220C262" w14:textId="77777777" w:rsidR="008715BE" w:rsidRPr="00EC75B7" w:rsidRDefault="008715BE">
            <w:pPr>
              <w:pStyle w:val="TableParagraph"/>
              <w:rPr>
                <w:rFonts w:ascii="Verdana" w:hAnsi="Verdana"/>
                <w:b/>
                <w:sz w:val="18"/>
                <w:szCs w:val="18"/>
              </w:rPr>
            </w:pPr>
          </w:p>
          <w:p w14:paraId="1DCE07F0" w14:textId="77777777" w:rsidR="008715BE" w:rsidRPr="00EC75B7" w:rsidRDefault="008715BE">
            <w:pPr>
              <w:pStyle w:val="TableParagraph"/>
              <w:rPr>
                <w:rFonts w:ascii="Verdana" w:hAnsi="Verdana"/>
                <w:b/>
                <w:sz w:val="18"/>
                <w:szCs w:val="18"/>
              </w:rPr>
            </w:pPr>
          </w:p>
          <w:p w14:paraId="04134FF8" w14:textId="77777777" w:rsidR="008715BE" w:rsidRPr="00EC75B7" w:rsidRDefault="008715BE">
            <w:pPr>
              <w:pStyle w:val="TableParagraph"/>
              <w:rPr>
                <w:rFonts w:ascii="Verdana" w:hAnsi="Verdana"/>
                <w:b/>
                <w:sz w:val="18"/>
                <w:szCs w:val="18"/>
              </w:rPr>
            </w:pPr>
          </w:p>
          <w:p w14:paraId="73EF7F09" w14:textId="77777777" w:rsidR="008715BE" w:rsidRPr="00EC75B7" w:rsidRDefault="008715BE">
            <w:pPr>
              <w:pStyle w:val="TableParagraph"/>
              <w:spacing w:before="100"/>
              <w:rPr>
                <w:rFonts w:ascii="Verdana" w:hAnsi="Verdana"/>
                <w:b/>
                <w:sz w:val="18"/>
                <w:szCs w:val="18"/>
              </w:rPr>
            </w:pPr>
          </w:p>
          <w:p w14:paraId="45E960F9"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253A0F18" w14:textId="77777777" w:rsidR="008715BE" w:rsidRPr="00EC75B7" w:rsidRDefault="008715BE">
            <w:pPr>
              <w:pStyle w:val="TableParagraph"/>
              <w:rPr>
                <w:rFonts w:ascii="Verdana" w:hAnsi="Verdana"/>
                <w:b/>
                <w:sz w:val="18"/>
                <w:szCs w:val="18"/>
              </w:rPr>
            </w:pPr>
          </w:p>
          <w:p w14:paraId="3F61CF01" w14:textId="77777777" w:rsidR="008715BE" w:rsidRPr="00EC75B7" w:rsidRDefault="008715BE">
            <w:pPr>
              <w:pStyle w:val="TableParagraph"/>
              <w:rPr>
                <w:rFonts w:ascii="Verdana" w:hAnsi="Verdana"/>
                <w:b/>
                <w:sz w:val="18"/>
                <w:szCs w:val="18"/>
              </w:rPr>
            </w:pPr>
          </w:p>
          <w:p w14:paraId="264F378D" w14:textId="77777777" w:rsidR="008715BE" w:rsidRPr="00EC75B7" w:rsidRDefault="008715BE">
            <w:pPr>
              <w:pStyle w:val="TableParagraph"/>
              <w:rPr>
                <w:rFonts w:ascii="Verdana" w:hAnsi="Verdana"/>
                <w:b/>
                <w:sz w:val="18"/>
                <w:szCs w:val="18"/>
              </w:rPr>
            </w:pPr>
          </w:p>
          <w:p w14:paraId="4812DC10" w14:textId="77777777" w:rsidR="008715BE" w:rsidRPr="00EC75B7" w:rsidRDefault="008715BE">
            <w:pPr>
              <w:pStyle w:val="TableParagraph"/>
              <w:rPr>
                <w:rFonts w:ascii="Verdana" w:hAnsi="Verdana"/>
                <w:b/>
                <w:sz w:val="18"/>
                <w:szCs w:val="18"/>
              </w:rPr>
            </w:pPr>
          </w:p>
          <w:p w14:paraId="1691225D" w14:textId="77777777" w:rsidR="008715BE" w:rsidRPr="00EC75B7" w:rsidRDefault="008715BE">
            <w:pPr>
              <w:pStyle w:val="TableParagraph"/>
              <w:spacing w:before="100"/>
              <w:rPr>
                <w:rFonts w:ascii="Verdana" w:hAnsi="Verdana"/>
                <w:b/>
                <w:sz w:val="18"/>
                <w:szCs w:val="18"/>
              </w:rPr>
            </w:pPr>
          </w:p>
          <w:p w14:paraId="58E00760"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2587D38E" w14:textId="77777777" w:rsidR="008715BE" w:rsidRPr="00EC75B7" w:rsidRDefault="008715BE">
            <w:pPr>
              <w:pStyle w:val="TableParagraph"/>
              <w:rPr>
                <w:rFonts w:ascii="Verdana" w:hAnsi="Verdana"/>
                <w:b/>
                <w:sz w:val="18"/>
                <w:szCs w:val="18"/>
              </w:rPr>
            </w:pPr>
          </w:p>
          <w:p w14:paraId="66CBB4B7" w14:textId="77777777" w:rsidR="008715BE" w:rsidRPr="00EC75B7" w:rsidRDefault="008715BE">
            <w:pPr>
              <w:pStyle w:val="TableParagraph"/>
              <w:rPr>
                <w:rFonts w:ascii="Verdana" w:hAnsi="Verdana"/>
                <w:b/>
                <w:sz w:val="18"/>
                <w:szCs w:val="18"/>
              </w:rPr>
            </w:pPr>
          </w:p>
          <w:p w14:paraId="2FE0D149" w14:textId="77777777" w:rsidR="008715BE" w:rsidRPr="00EC75B7" w:rsidRDefault="008715BE">
            <w:pPr>
              <w:pStyle w:val="TableParagraph"/>
              <w:rPr>
                <w:rFonts w:ascii="Verdana" w:hAnsi="Verdana"/>
                <w:b/>
                <w:sz w:val="18"/>
                <w:szCs w:val="18"/>
              </w:rPr>
            </w:pPr>
          </w:p>
          <w:p w14:paraId="5EC99A36" w14:textId="77777777" w:rsidR="008715BE" w:rsidRPr="00EC75B7" w:rsidRDefault="008715BE">
            <w:pPr>
              <w:pStyle w:val="TableParagraph"/>
              <w:rPr>
                <w:rFonts w:ascii="Verdana" w:hAnsi="Verdana"/>
                <w:b/>
                <w:sz w:val="18"/>
                <w:szCs w:val="18"/>
              </w:rPr>
            </w:pPr>
          </w:p>
          <w:p w14:paraId="772DE866" w14:textId="77777777" w:rsidR="008715BE" w:rsidRPr="00EC75B7" w:rsidRDefault="008715BE">
            <w:pPr>
              <w:pStyle w:val="TableParagraph"/>
              <w:spacing w:before="100"/>
              <w:rPr>
                <w:rFonts w:ascii="Verdana" w:hAnsi="Verdana"/>
                <w:b/>
                <w:sz w:val="18"/>
                <w:szCs w:val="18"/>
              </w:rPr>
            </w:pPr>
          </w:p>
          <w:p w14:paraId="373988A4"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353BD186" w14:textId="77777777" w:rsidR="008715BE" w:rsidRPr="00EC75B7" w:rsidRDefault="008715BE">
            <w:pPr>
              <w:pStyle w:val="TableParagraph"/>
              <w:rPr>
                <w:rFonts w:ascii="Verdana" w:hAnsi="Verdana"/>
                <w:b/>
                <w:sz w:val="18"/>
                <w:szCs w:val="18"/>
              </w:rPr>
            </w:pPr>
          </w:p>
          <w:p w14:paraId="52E1C244" w14:textId="77777777" w:rsidR="008715BE" w:rsidRPr="00EC75B7" w:rsidRDefault="008715BE">
            <w:pPr>
              <w:pStyle w:val="TableParagraph"/>
              <w:rPr>
                <w:rFonts w:ascii="Verdana" w:hAnsi="Verdana"/>
                <w:b/>
                <w:sz w:val="18"/>
                <w:szCs w:val="18"/>
              </w:rPr>
            </w:pPr>
          </w:p>
          <w:p w14:paraId="39E69A92" w14:textId="77777777" w:rsidR="008715BE" w:rsidRPr="00EC75B7" w:rsidRDefault="008715BE">
            <w:pPr>
              <w:pStyle w:val="TableParagraph"/>
              <w:rPr>
                <w:rFonts w:ascii="Verdana" w:hAnsi="Verdana"/>
                <w:b/>
                <w:sz w:val="18"/>
                <w:szCs w:val="18"/>
              </w:rPr>
            </w:pPr>
          </w:p>
          <w:p w14:paraId="5EC4B425" w14:textId="77777777" w:rsidR="008715BE" w:rsidRPr="00EC75B7" w:rsidRDefault="008715BE">
            <w:pPr>
              <w:pStyle w:val="TableParagraph"/>
              <w:rPr>
                <w:rFonts w:ascii="Verdana" w:hAnsi="Verdana"/>
                <w:b/>
                <w:sz w:val="18"/>
                <w:szCs w:val="18"/>
              </w:rPr>
            </w:pPr>
          </w:p>
          <w:p w14:paraId="3B3FD8DE" w14:textId="77777777" w:rsidR="008715BE" w:rsidRPr="00EC75B7" w:rsidRDefault="008715BE">
            <w:pPr>
              <w:pStyle w:val="TableParagraph"/>
              <w:spacing w:before="100"/>
              <w:rPr>
                <w:rFonts w:ascii="Verdana" w:hAnsi="Verdana"/>
                <w:b/>
                <w:sz w:val="18"/>
                <w:szCs w:val="18"/>
              </w:rPr>
            </w:pPr>
          </w:p>
          <w:p w14:paraId="1B6F85EE"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2071C7AA" w14:textId="77777777" w:rsidR="008715BE" w:rsidRPr="00EC75B7" w:rsidRDefault="008715BE">
            <w:pPr>
              <w:pStyle w:val="TableParagraph"/>
              <w:rPr>
                <w:rFonts w:ascii="Verdana" w:hAnsi="Verdana"/>
                <w:b/>
                <w:sz w:val="18"/>
                <w:szCs w:val="18"/>
              </w:rPr>
            </w:pPr>
          </w:p>
          <w:p w14:paraId="4805942E" w14:textId="77777777" w:rsidR="008715BE" w:rsidRPr="00EC75B7" w:rsidRDefault="008715BE">
            <w:pPr>
              <w:pStyle w:val="TableParagraph"/>
              <w:rPr>
                <w:rFonts w:ascii="Verdana" w:hAnsi="Verdana"/>
                <w:b/>
                <w:sz w:val="18"/>
                <w:szCs w:val="18"/>
              </w:rPr>
            </w:pPr>
          </w:p>
          <w:p w14:paraId="1912973C" w14:textId="77777777" w:rsidR="008715BE" w:rsidRPr="00EC75B7" w:rsidRDefault="008715BE">
            <w:pPr>
              <w:pStyle w:val="TableParagraph"/>
              <w:rPr>
                <w:rFonts w:ascii="Verdana" w:hAnsi="Verdana"/>
                <w:b/>
                <w:sz w:val="18"/>
                <w:szCs w:val="18"/>
              </w:rPr>
            </w:pPr>
          </w:p>
          <w:p w14:paraId="79408933" w14:textId="77777777" w:rsidR="008715BE" w:rsidRPr="00EC75B7" w:rsidRDefault="008715BE">
            <w:pPr>
              <w:pStyle w:val="TableParagraph"/>
              <w:rPr>
                <w:rFonts w:ascii="Verdana" w:hAnsi="Verdana"/>
                <w:b/>
                <w:sz w:val="18"/>
                <w:szCs w:val="18"/>
              </w:rPr>
            </w:pPr>
          </w:p>
          <w:p w14:paraId="3BDC5068" w14:textId="77777777" w:rsidR="008715BE" w:rsidRPr="00EC75B7" w:rsidRDefault="008715BE">
            <w:pPr>
              <w:pStyle w:val="TableParagraph"/>
              <w:spacing w:before="100"/>
              <w:rPr>
                <w:rFonts w:ascii="Verdana" w:hAnsi="Verdana"/>
                <w:b/>
                <w:sz w:val="18"/>
                <w:szCs w:val="18"/>
              </w:rPr>
            </w:pPr>
          </w:p>
          <w:p w14:paraId="0E056865"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0082B087" w14:textId="77777777" w:rsidR="008715BE" w:rsidRPr="00EC75B7" w:rsidRDefault="008715BE">
            <w:pPr>
              <w:pStyle w:val="TableParagraph"/>
              <w:rPr>
                <w:rFonts w:ascii="Verdana" w:hAnsi="Verdana"/>
                <w:b/>
                <w:sz w:val="18"/>
                <w:szCs w:val="18"/>
              </w:rPr>
            </w:pPr>
          </w:p>
          <w:p w14:paraId="30BAE99C" w14:textId="77777777" w:rsidR="008715BE" w:rsidRPr="00EC75B7" w:rsidRDefault="008715BE">
            <w:pPr>
              <w:pStyle w:val="TableParagraph"/>
              <w:rPr>
                <w:rFonts w:ascii="Verdana" w:hAnsi="Verdana"/>
                <w:b/>
                <w:sz w:val="18"/>
                <w:szCs w:val="18"/>
              </w:rPr>
            </w:pPr>
          </w:p>
          <w:p w14:paraId="0DA0D2DA" w14:textId="77777777" w:rsidR="008715BE" w:rsidRPr="00EC75B7" w:rsidRDefault="008715BE">
            <w:pPr>
              <w:pStyle w:val="TableParagraph"/>
              <w:rPr>
                <w:rFonts w:ascii="Verdana" w:hAnsi="Verdana"/>
                <w:b/>
                <w:sz w:val="18"/>
                <w:szCs w:val="18"/>
              </w:rPr>
            </w:pPr>
          </w:p>
          <w:p w14:paraId="6DC5B79E" w14:textId="77777777" w:rsidR="008715BE" w:rsidRPr="00EC75B7" w:rsidRDefault="008715BE">
            <w:pPr>
              <w:pStyle w:val="TableParagraph"/>
              <w:rPr>
                <w:rFonts w:ascii="Verdana" w:hAnsi="Verdana"/>
                <w:b/>
                <w:sz w:val="18"/>
                <w:szCs w:val="18"/>
              </w:rPr>
            </w:pPr>
          </w:p>
          <w:p w14:paraId="5522165B" w14:textId="77777777" w:rsidR="008715BE" w:rsidRPr="00EC75B7" w:rsidRDefault="008715BE">
            <w:pPr>
              <w:pStyle w:val="TableParagraph"/>
              <w:spacing w:before="4"/>
              <w:rPr>
                <w:rFonts w:ascii="Verdana" w:hAnsi="Verdana"/>
                <w:b/>
                <w:sz w:val="18"/>
                <w:szCs w:val="18"/>
              </w:rPr>
            </w:pPr>
          </w:p>
          <w:p w14:paraId="17C07D26"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1D1C97BE" w14:textId="77777777">
        <w:trPr>
          <w:trHeight w:val="1362"/>
        </w:trPr>
        <w:tc>
          <w:tcPr>
            <w:tcW w:w="554" w:type="dxa"/>
          </w:tcPr>
          <w:p w14:paraId="328B422E" w14:textId="77777777" w:rsidR="008715BE" w:rsidRPr="00EC75B7" w:rsidRDefault="008715BE">
            <w:pPr>
              <w:pStyle w:val="TableParagraph"/>
              <w:rPr>
                <w:rFonts w:ascii="Verdana" w:hAnsi="Verdana"/>
                <w:b/>
                <w:sz w:val="18"/>
                <w:szCs w:val="18"/>
              </w:rPr>
            </w:pPr>
          </w:p>
          <w:p w14:paraId="2376B82D" w14:textId="77777777" w:rsidR="008715BE" w:rsidRPr="00EC75B7" w:rsidRDefault="008715BE">
            <w:pPr>
              <w:pStyle w:val="TableParagraph"/>
              <w:rPr>
                <w:rFonts w:ascii="Verdana" w:hAnsi="Verdana"/>
                <w:b/>
                <w:sz w:val="18"/>
                <w:szCs w:val="18"/>
              </w:rPr>
            </w:pPr>
          </w:p>
          <w:p w14:paraId="1C846B8B" w14:textId="77777777" w:rsidR="008715BE" w:rsidRPr="00EC75B7" w:rsidRDefault="008715BE">
            <w:pPr>
              <w:pStyle w:val="TableParagraph"/>
              <w:spacing w:before="5"/>
              <w:rPr>
                <w:rFonts w:ascii="Verdana" w:hAnsi="Verdana"/>
                <w:b/>
                <w:sz w:val="18"/>
                <w:szCs w:val="18"/>
              </w:rPr>
            </w:pPr>
          </w:p>
          <w:p w14:paraId="1F1E7B21"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M6</w:t>
            </w:r>
          </w:p>
        </w:tc>
        <w:tc>
          <w:tcPr>
            <w:tcW w:w="6091" w:type="dxa"/>
          </w:tcPr>
          <w:p w14:paraId="6F666D56" w14:textId="77777777" w:rsidR="008715BE" w:rsidRPr="00EC75B7" w:rsidRDefault="008715BE">
            <w:pPr>
              <w:pStyle w:val="TableParagraph"/>
              <w:rPr>
                <w:rFonts w:ascii="Verdana" w:hAnsi="Verdana"/>
                <w:b/>
                <w:sz w:val="18"/>
                <w:szCs w:val="18"/>
              </w:rPr>
            </w:pPr>
          </w:p>
          <w:p w14:paraId="477D7FF7" w14:textId="77777777" w:rsidR="008715BE" w:rsidRPr="00EC75B7" w:rsidRDefault="008715BE">
            <w:pPr>
              <w:pStyle w:val="TableParagraph"/>
              <w:spacing w:before="6"/>
              <w:rPr>
                <w:rFonts w:ascii="Verdana" w:hAnsi="Verdana"/>
                <w:b/>
                <w:sz w:val="18"/>
                <w:szCs w:val="18"/>
              </w:rPr>
            </w:pPr>
          </w:p>
          <w:p w14:paraId="34A30D29"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Construction materials shall be stored only in the areas specified in the project within the site organization and work areas, without affecting the surrounding areas.</w:t>
            </w:r>
          </w:p>
        </w:tc>
        <w:tc>
          <w:tcPr>
            <w:tcW w:w="1809" w:type="dxa"/>
          </w:tcPr>
          <w:p w14:paraId="6E3C9CFB"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265F4724"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w:t>
            </w:r>
          </w:p>
          <w:p w14:paraId="3038F098" w14:textId="77777777" w:rsidR="008715BE" w:rsidRPr="00EC75B7" w:rsidRDefault="00000000" w:rsidP="00C96230">
            <w:pPr>
              <w:pStyle w:val="TableParagraph"/>
              <w:spacing w:line="164" w:lineRule="exact"/>
              <w:ind w:left="14" w:right="2"/>
              <w:rPr>
                <w:rFonts w:ascii="Verdana" w:hAnsi="Verdana"/>
                <w:sz w:val="18"/>
                <w:szCs w:val="18"/>
              </w:rPr>
            </w:pPr>
            <w:r w:rsidRPr="00EC75B7">
              <w:rPr>
                <w:rFonts w:ascii="Verdana" w:hAnsi="Verdana"/>
                <w:spacing w:val="-2"/>
                <w:sz w:val="18"/>
                <w:szCs w:val="18"/>
              </w:rPr>
              <w:t>ROSCI0157,</w:t>
            </w:r>
          </w:p>
        </w:tc>
        <w:tc>
          <w:tcPr>
            <w:tcW w:w="1440" w:type="dxa"/>
          </w:tcPr>
          <w:p w14:paraId="1372B9C2" w14:textId="77777777" w:rsidR="008715BE" w:rsidRPr="00EC75B7" w:rsidRDefault="00000000">
            <w:pPr>
              <w:pStyle w:val="TableParagraph"/>
              <w:spacing w:before="178" w:line="194" w:lineRule="exact"/>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334D0658" w14:textId="77777777" w:rsidR="008715BE" w:rsidRPr="00EC75B7" w:rsidRDefault="008715BE">
            <w:pPr>
              <w:pStyle w:val="TableParagraph"/>
              <w:rPr>
                <w:rFonts w:ascii="Verdana" w:hAnsi="Verdana"/>
                <w:b/>
                <w:sz w:val="18"/>
                <w:szCs w:val="18"/>
              </w:rPr>
            </w:pPr>
          </w:p>
          <w:p w14:paraId="2CF920A8" w14:textId="77777777" w:rsidR="008715BE" w:rsidRPr="00EC75B7" w:rsidRDefault="008715BE">
            <w:pPr>
              <w:pStyle w:val="TableParagraph"/>
              <w:rPr>
                <w:rFonts w:ascii="Verdana" w:hAnsi="Verdana"/>
                <w:b/>
                <w:sz w:val="18"/>
                <w:szCs w:val="18"/>
              </w:rPr>
            </w:pPr>
          </w:p>
          <w:p w14:paraId="6C6699D5" w14:textId="77777777" w:rsidR="008715BE" w:rsidRPr="00EC75B7" w:rsidRDefault="008715BE">
            <w:pPr>
              <w:pStyle w:val="TableParagraph"/>
              <w:spacing w:before="5"/>
              <w:rPr>
                <w:rFonts w:ascii="Verdana" w:hAnsi="Verdana"/>
                <w:b/>
                <w:sz w:val="18"/>
                <w:szCs w:val="18"/>
              </w:rPr>
            </w:pPr>
          </w:p>
          <w:p w14:paraId="37286130" w14:textId="77777777" w:rsidR="008715BE" w:rsidRPr="00EC75B7" w:rsidRDefault="00000000">
            <w:pPr>
              <w:pStyle w:val="TableParagraph"/>
              <w:ind w:left="12" w:right="2"/>
              <w:jc w:val="center"/>
              <w:rPr>
                <w:rFonts w:ascii="Verdana" w:hAnsi="Verdana"/>
                <w:sz w:val="18"/>
                <w:szCs w:val="18"/>
              </w:rPr>
            </w:pPr>
            <w:r w:rsidRPr="00EC75B7">
              <w:rPr>
                <w:rFonts w:ascii="Verdana" w:hAnsi="Verdana"/>
                <w:sz w:val="18"/>
                <w:szCs w:val="18"/>
              </w:rPr>
              <w:t xml:space="preserve">AH, </w:t>
            </w:r>
            <w:r w:rsidRPr="00EC75B7">
              <w:rPr>
                <w:rFonts w:ascii="Verdana" w:hAnsi="Verdana"/>
                <w:spacing w:val="-5"/>
                <w:sz w:val="18"/>
                <w:szCs w:val="18"/>
              </w:rPr>
              <w:t>PAS</w:t>
            </w:r>
          </w:p>
        </w:tc>
        <w:tc>
          <w:tcPr>
            <w:tcW w:w="269" w:type="dxa"/>
          </w:tcPr>
          <w:p w14:paraId="23253BFE" w14:textId="77777777" w:rsidR="008715BE" w:rsidRPr="00EC75B7" w:rsidRDefault="008715BE">
            <w:pPr>
              <w:pStyle w:val="TableParagraph"/>
              <w:rPr>
                <w:rFonts w:ascii="Verdana" w:hAnsi="Verdana"/>
                <w:b/>
                <w:sz w:val="18"/>
                <w:szCs w:val="18"/>
              </w:rPr>
            </w:pPr>
          </w:p>
          <w:p w14:paraId="667B32AC" w14:textId="77777777" w:rsidR="008715BE" w:rsidRPr="00EC75B7" w:rsidRDefault="008715BE">
            <w:pPr>
              <w:pStyle w:val="TableParagraph"/>
              <w:rPr>
                <w:rFonts w:ascii="Verdana" w:hAnsi="Verdana"/>
                <w:b/>
                <w:sz w:val="18"/>
                <w:szCs w:val="18"/>
              </w:rPr>
            </w:pPr>
          </w:p>
          <w:p w14:paraId="1F53E18E" w14:textId="77777777" w:rsidR="008715BE" w:rsidRPr="00EC75B7" w:rsidRDefault="008715BE">
            <w:pPr>
              <w:pStyle w:val="TableParagraph"/>
              <w:spacing w:before="5"/>
              <w:rPr>
                <w:rFonts w:ascii="Verdana" w:hAnsi="Verdana"/>
                <w:b/>
                <w:sz w:val="18"/>
                <w:szCs w:val="18"/>
              </w:rPr>
            </w:pPr>
          </w:p>
          <w:p w14:paraId="7000BBBB"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672EE925" w14:textId="77777777" w:rsidR="008715BE" w:rsidRPr="00EC75B7" w:rsidRDefault="008715BE">
            <w:pPr>
              <w:pStyle w:val="TableParagraph"/>
              <w:rPr>
                <w:rFonts w:ascii="Verdana" w:hAnsi="Verdana"/>
                <w:b/>
                <w:sz w:val="18"/>
                <w:szCs w:val="18"/>
              </w:rPr>
            </w:pPr>
          </w:p>
          <w:p w14:paraId="0DB32628" w14:textId="77777777" w:rsidR="008715BE" w:rsidRPr="00EC75B7" w:rsidRDefault="008715BE">
            <w:pPr>
              <w:pStyle w:val="TableParagraph"/>
              <w:rPr>
                <w:rFonts w:ascii="Verdana" w:hAnsi="Verdana"/>
                <w:b/>
                <w:sz w:val="18"/>
                <w:szCs w:val="18"/>
              </w:rPr>
            </w:pPr>
          </w:p>
          <w:p w14:paraId="2CCB8DB8" w14:textId="77777777" w:rsidR="008715BE" w:rsidRPr="00EC75B7" w:rsidRDefault="008715BE">
            <w:pPr>
              <w:pStyle w:val="TableParagraph"/>
              <w:spacing w:before="5"/>
              <w:rPr>
                <w:rFonts w:ascii="Verdana" w:hAnsi="Verdana"/>
                <w:b/>
                <w:sz w:val="18"/>
                <w:szCs w:val="18"/>
              </w:rPr>
            </w:pPr>
          </w:p>
          <w:p w14:paraId="1808A6BC"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1EF13A70" w14:textId="77777777" w:rsidR="008715BE" w:rsidRPr="00EC75B7" w:rsidRDefault="008715BE">
            <w:pPr>
              <w:pStyle w:val="TableParagraph"/>
              <w:rPr>
                <w:rFonts w:ascii="Verdana" w:hAnsi="Verdana"/>
                <w:b/>
                <w:sz w:val="18"/>
                <w:szCs w:val="18"/>
              </w:rPr>
            </w:pPr>
          </w:p>
          <w:p w14:paraId="275BA0BF" w14:textId="77777777" w:rsidR="008715BE" w:rsidRPr="00EC75B7" w:rsidRDefault="008715BE">
            <w:pPr>
              <w:pStyle w:val="TableParagraph"/>
              <w:rPr>
                <w:rFonts w:ascii="Verdana" w:hAnsi="Verdana"/>
                <w:b/>
                <w:sz w:val="18"/>
                <w:szCs w:val="18"/>
              </w:rPr>
            </w:pPr>
          </w:p>
          <w:p w14:paraId="013292DC" w14:textId="77777777" w:rsidR="008715BE" w:rsidRPr="00EC75B7" w:rsidRDefault="008715BE">
            <w:pPr>
              <w:pStyle w:val="TableParagraph"/>
              <w:spacing w:before="5"/>
              <w:rPr>
                <w:rFonts w:ascii="Verdana" w:hAnsi="Verdana"/>
                <w:b/>
                <w:sz w:val="18"/>
                <w:szCs w:val="18"/>
              </w:rPr>
            </w:pPr>
          </w:p>
          <w:p w14:paraId="0C38C2BD"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789384B4" w14:textId="77777777" w:rsidR="008715BE" w:rsidRPr="00EC75B7" w:rsidRDefault="008715BE">
            <w:pPr>
              <w:pStyle w:val="TableParagraph"/>
              <w:rPr>
                <w:rFonts w:ascii="Verdana" w:hAnsi="Verdana"/>
                <w:b/>
                <w:sz w:val="18"/>
                <w:szCs w:val="18"/>
              </w:rPr>
            </w:pPr>
          </w:p>
          <w:p w14:paraId="4E56F400" w14:textId="77777777" w:rsidR="008715BE" w:rsidRPr="00EC75B7" w:rsidRDefault="008715BE">
            <w:pPr>
              <w:pStyle w:val="TableParagraph"/>
              <w:rPr>
                <w:rFonts w:ascii="Verdana" w:hAnsi="Verdana"/>
                <w:b/>
                <w:sz w:val="18"/>
                <w:szCs w:val="18"/>
              </w:rPr>
            </w:pPr>
          </w:p>
          <w:p w14:paraId="78DB76F1" w14:textId="77777777" w:rsidR="008715BE" w:rsidRPr="00EC75B7" w:rsidRDefault="008715BE">
            <w:pPr>
              <w:pStyle w:val="TableParagraph"/>
              <w:spacing w:before="5"/>
              <w:rPr>
                <w:rFonts w:ascii="Verdana" w:hAnsi="Verdana"/>
                <w:b/>
                <w:sz w:val="18"/>
                <w:szCs w:val="18"/>
              </w:rPr>
            </w:pPr>
          </w:p>
          <w:p w14:paraId="166EFEAE"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3B2D07E4" w14:textId="77777777" w:rsidR="008715BE" w:rsidRPr="00EC75B7" w:rsidRDefault="008715BE">
            <w:pPr>
              <w:pStyle w:val="TableParagraph"/>
              <w:rPr>
                <w:rFonts w:ascii="Verdana" w:hAnsi="Verdana"/>
                <w:b/>
                <w:sz w:val="18"/>
                <w:szCs w:val="18"/>
              </w:rPr>
            </w:pPr>
          </w:p>
          <w:p w14:paraId="499495E3" w14:textId="77777777" w:rsidR="008715BE" w:rsidRPr="00EC75B7" w:rsidRDefault="008715BE">
            <w:pPr>
              <w:pStyle w:val="TableParagraph"/>
              <w:rPr>
                <w:rFonts w:ascii="Verdana" w:hAnsi="Verdana"/>
                <w:b/>
                <w:sz w:val="18"/>
                <w:szCs w:val="18"/>
              </w:rPr>
            </w:pPr>
          </w:p>
          <w:p w14:paraId="6446FA0F" w14:textId="77777777" w:rsidR="008715BE" w:rsidRPr="00EC75B7" w:rsidRDefault="008715BE">
            <w:pPr>
              <w:pStyle w:val="TableParagraph"/>
              <w:spacing w:before="5"/>
              <w:rPr>
                <w:rFonts w:ascii="Verdana" w:hAnsi="Verdana"/>
                <w:b/>
                <w:sz w:val="18"/>
                <w:szCs w:val="18"/>
              </w:rPr>
            </w:pPr>
          </w:p>
          <w:p w14:paraId="11F3EE10"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600A2C5" w14:textId="77777777" w:rsidR="008715BE" w:rsidRPr="00EC75B7" w:rsidRDefault="008715BE">
            <w:pPr>
              <w:pStyle w:val="TableParagraph"/>
              <w:rPr>
                <w:rFonts w:ascii="Verdana" w:hAnsi="Verdana"/>
                <w:b/>
                <w:sz w:val="18"/>
                <w:szCs w:val="18"/>
              </w:rPr>
            </w:pPr>
          </w:p>
          <w:p w14:paraId="717139ED" w14:textId="77777777" w:rsidR="008715BE" w:rsidRPr="00EC75B7" w:rsidRDefault="008715BE">
            <w:pPr>
              <w:pStyle w:val="TableParagraph"/>
              <w:rPr>
                <w:rFonts w:ascii="Verdana" w:hAnsi="Verdana"/>
                <w:b/>
                <w:sz w:val="18"/>
                <w:szCs w:val="18"/>
              </w:rPr>
            </w:pPr>
          </w:p>
          <w:p w14:paraId="1FC83B8D" w14:textId="77777777" w:rsidR="008715BE" w:rsidRPr="00EC75B7" w:rsidRDefault="008715BE">
            <w:pPr>
              <w:pStyle w:val="TableParagraph"/>
              <w:spacing w:before="5"/>
              <w:rPr>
                <w:rFonts w:ascii="Verdana" w:hAnsi="Verdana"/>
                <w:b/>
                <w:sz w:val="18"/>
                <w:szCs w:val="18"/>
              </w:rPr>
            </w:pPr>
          </w:p>
          <w:p w14:paraId="5FA14CD7"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4A0DABEC" w14:textId="77777777" w:rsidR="008715BE" w:rsidRPr="00EC75B7" w:rsidRDefault="008715BE">
            <w:pPr>
              <w:pStyle w:val="TableParagraph"/>
              <w:rPr>
                <w:rFonts w:ascii="Verdana" w:hAnsi="Verdana"/>
                <w:b/>
                <w:sz w:val="18"/>
                <w:szCs w:val="18"/>
              </w:rPr>
            </w:pPr>
          </w:p>
          <w:p w14:paraId="09895215" w14:textId="77777777" w:rsidR="008715BE" w:rsidRPr="00EC75B7" w:rsidRDefault="008715BE">
            <w:pPr>
              <w:pStyle w:val="TableParagraph"/>
              <w:rPr>
                <w:rFonts w:ascii="Verdana" w:hAnsi="Verdana"/>
                <w:b/>
                <w:sz w:val="18"/>
                <w:szCs w:val="18"/>
              </w:rPr>
            </w:pPr>
          </w:p>
          <w:p w14:paraId="741E9ED5" w14:textId="77777777" w:rsidR="008715BE" w:rsidRPr="00EC75B7" w:rsidRDefault="008715BE">
            <w:pPr>
              <w:pStyle w:val="TableParagraph"/>
              <w:spacing w:before="5"/>
              <w:rPr>
                <w:rFonts w:ascii="Verdana" w:hAnsi="Verdana"/>
                <w:b/>
                <w:sz w:val="18"/>
                <w:szCs w:val="18"/>
              </w:rPr>
            </w:pPr>
          </w:p>
          <w:p w14:paraId="55C03BDA"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4AC4F861" w14:textId="77777777" w:rsidR="008715BE" w:rsidRPr="00EC75B7" w:rsidRDefault="008715BE">
            <w:pPr>
              <w:pStyle w:val="TableParagraph"/>
              <w:rPr>
                <w:rFonts w:ascii="Verdana" w:hAnsi="Verdana"/>
                <w:b/>
                <w:sz w:val="18"/>
                <w:szCs w:val="18"/>
              </w:rPr>
            </w:pPr>
          </w:p>
          <w:p w14:paraId="01798772" w14:textId="77777777" w:rsidR="008715BE" w:rsidRPr="00EC75B7" w:rsidRDefault="008715BE">
            <w:pPr>
              <w:pStyle w:val="TableParagraph"/>
              <w:rPr>
                <w:rFonts w:ascii="Verdana" w:hAnsi="Verdana"/>
                <w:b/>
                <w:sz w:val="18"/>
                <w:szCs w:val="18"/>
              </w:rPr>
            </w:pPr>
          </w:p>
          <w:p w14:paraId="2E4DCA9A" w14:textId="77777777" w:rsidR="008715BE" w:rsidRPr="00EC75B7" w:rsidRDefault="008715BE">
            <w:pPr>
              <w:pStyle w:val="TableParagraph"/>
              <w:spacing w:before="5"/>
              <w:rPr>
                <w:rFonts w:ascii="Verdana" w:hAnsi="Verdana"/>
                <w:b/>
                <w:sz w:val="18"/>
                <w:szCs w:val="18"/>
              </w:rPr>
            </w:pPr>
          </w:p>
          <w:p w14:paraId="7962338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475FFFF3" w14:textId="77777777" w:rsidR="008715BE" w:rsidRPr="00EC75B7" w:rsidRDefault="008715BE">
            <w:pPr>
              <w:pStyle w:val="TableParagraph"/>
              <w:rPr>
                <w:rFonts w:ascii="Verdana" w:hAnsi="Verdana"/>
                <w:b/>
                <w:sz w:val="18"/>
                <w:szCs w:val="18"/>
              </w:rPr>
            </w:pPr>
          </w:p>
          <w:p w14:paraId="48EAE22C" w14:textId="77777777" w:rsidR="008715BE" w:rsidRPr="00EC75B7" w:rsidRDefault="008715BE">
            <w:pPr>
              <w:pStyle w:val="TableParagraph"/>
              <w:rPr>
                <w:rFonts w:ascii="Verdana" w:hAnsi="Verdana"/>
                <w:b/>
                <w:sz w:val="18"/>
                <w:szCs w:val="18"/>
              </w:rPr>
            </w:pPr>
          </w:p>
          <w:p w14:paraId="75F3841A" w14:textId="77777777" w:rsidR="008715BE" w:rsidRPr="00EC75B7" w:rsidRDefault="008715BE">
            <w:pPr>
              <w:pStyle w:val="TableParagraph"/>
              <w:spacing w:before="5"/>
              <w:rPr>
                <w:rFonts w:ascii="Verdana" w:hAnsi="Verdana"/>
                <w:b/>
                <w:sz w:val="18"/>
                <w:szCs w:val="18"/>
              </w:rPr>
            </w:pPr>
          </w:p>
          <w:p w14:paraId="1A1FDCA6"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536081E1" w14:textId="77777777" w:rsidR="008715BE" w:rsidRPr="00EC75B7" w:rsidRDefault="008715BE">
            <w:pPr>
              <w:pStyle w:val="TableParagraph"/>
              <w:rPr>
                <w:rFonts w:ascii="Verdana" w:hAnsi="Verdana"/>
                <w:b/>
                <w:sz w:val="18"/>
                <w:szCs w:val="18"/>
              </w:rPr>
            </w:pPr>
          </w:p>
          <w:p w14:paraId="386369B5" w14:textId="77777777" w:rsidR="008715BE" w:rsidRPr="00EC75B7" w:rsidRDefault="008715BE">
            <w:pPr>
              <w:pStyle w:val="TableParagraph"/>
              <w:rPr>
                <w:rFonts w:ascii="Verdana" w:hAnsi="Verdana"/>
                <w:b/>
                <w:sz w:val="18"/>
                <w:szCs w:val="18"/>
              </w:rPr>
            </w:pPr>
          </w:p>
          <w:p w14:paraId="58DB1DD8" w14:textId="77777777" w:rsidR="008715BE" w:rsidRPr="00EC75B7" w:rsidRDefault="008715BE">
            <w:pPr>
              <w:pStyle w:val="TableParagraph"/>
              <w:spacing w:before="5"/>
              <w:rPr>
                <w:rFonts w:ascii="Verdana" w:hAnsi="Verdana"/>
                <w:b/>
                <w:sz w:val="18"/>
                <w:szCs w:val="18"/>
              </w:rPr>
            </w:pPr>
          </w:p>
          <w:p w14:paraId="6914C02F"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C1DA74F" w14:textId="77777777" w:rsidR="008715BE" w:rsidRPr="00EC75B7" w:rsidRDefault="008715BE">
            <w:pPr>
              <w:pStyle w:val="TableParagraph"/>
              <w:rPr>
                <w:rFonts w:ascii="Verdana" w:hAnsi="Verdana"/>
                <w:b/>
                <w:sz w:val="18"/>
                <w:szCs w:val="18"/>
              </w:rPr>
            </w:pPr>
          </w:p>
          <w:p w14:paraId="78A8728A" w14:textId="77777777" w:rsidR="008715BE" w:rsidRPr="00EC75B7" w:rsidRDefault="008715BE">
            <w:pPr>
              <w:pStyle w:val="TableParagraph"/>
              <w:rPr>
                <w:rFonts w:ascii="Verdana" w:hAnsi="Verdana"/>
                <w:b/>
                <w:sz w:val="18"/>
                <w:szCs w:val="18"/>
              </w:rPr>
            </w:pPr>
          </w:p>
          <w:p w14:paraId="713F0719" w14:textId="77777777" w:rsidR="008715BE" w:rsidRPr="00EC75B7" w:rsidRDefault="008715BE">
            <w:pPr>
              <w:pStyle w:val="TableParagraph"/>
              <w:spacing w:before="5"/>
              <w:rPr>
                <w:rFonts w:ascii="Verdana" w:hAnsi="Verdana"/>
                <w:b/>
                <w:sz w:val="18"/>
                <w:szCs w:val="18"/>
              </w:rPr>
            </w:pPr>
          </w:p>
          <w:p w14:paraId="1A004ABD"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183FE37E" w14:textId="77777777" w:rsidR="008715BE" w:rsidRPr="00EC75B7" w:rsidRDefault="008715BE">
            <w:pPr>
              <w:pStyle w:val="TableParagraph"/>
              <w:rPr>
                <w:rFonts w:ascii="Verdana" w:hAnsi="Verdana"/>
                <w:b/>
                <w:sz w:val="18"/>
                <w:szCs w:val="18"/>
              </w:rPr>
            </w:pPr>
          </w:p>
          <w:p w14:paraId="66072067" w14:textId="77777777" w:rsidR="008715BE" w:rsidRPr="00EC75B7" w:rsidRDefault="008715BE">
            <w:pPr>
              <w:pStyle w:val="TableParagraph"/>
              <w:rPr>
                <w:rFonts w:ascii="Verdana" w:hAnsi="Verdana"/>
                <w:b/>
                <w:sz w:val="18"/>
                <w:szCs w:val="18"/>
              </w:rPr>
            </w:pPr>
          </w:p>
          <w:p w14:paraId="3A730222" w14:textId="77777777" w:rsidR="008715BE" w:rsidRPr="00EC75B7" w:rsidRDefault="008715BE">
            <w:pPr>
              <w:pStyle w:val="TableParagraph"/>
              <w:spacing w:before="5"/>
              <w:rPr>
                <w:rFonts w:ascii="Verdana" w:hAnsi="Verdana"/>
                <w:b/>
                <w:sz w:val="18"/>
                <w:szCs w:val="18"/>
              </w:rPr>
            </w:pPr>
          </w:p>
          <w:p w14:paraId="6925AFB6"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65D2BF64" w14:textId="77777777" w:rsidR="008715BE" w:rsidRPr="00EC75B7" w:rsidRDefault="008715BE">
            <w:pPr>
              <w:pStyle w:val="TableParagraph"/>
              <w:rPr>
                <w:rFonts w:ascii="Verdana" w:hAnsi="Verdana"/>
                <w:b/>
                <w:sz w:val="18"/>
                <w:szCs w:val="18"/>
              </w:rPr>
            </w:pPr>
          </w:p>
          <w:p w14:paraId="61055D35" w14:textId="77777777" w:rsidR="008715BE" w:rsidRPr="00EC75B7" w:rsidRDefault="008715BE">
            <w:pPr>
              <w:pStyle w:val="TableParagraph"/>
              <w:rPr>
                <w:rFonts w:ascii="Verdana" w:hAnsi="Verdana"/>
                <w:b/>
                <w:sz w:val="18"/>
                <w:szCs w:val="18"/>
              </w:rPr>
            </w:pPr>
          </w:p>
          <w:p w14:paraId="25D59A17" w14:textId="77777777" w:rsidR="008715BE" w:rsidRPr="00EC75B7" w:rsidRDefault="008715BE">
            <w:pPr>
              <w:pStyle w:val="TableParagraph"/>
              <w:spacing w:before="5"/>
              <w:rPr>
                <w:rFonts w:ascii="Verdana" w:hAnsi="Verdana"/>
                <w:b/>
                <w:sz w:val="18"/>
                <w:szCs w:val="18"/>
              </w:rPr>
            </w:pPr>
          </w:p>
          <w:p w14:paraId="0E85240C"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24C4A2F9" w14:textId="77777777" w:rsidR="008715BE" w:rsidRPr="00EC75B7" w:rsidRDefault="008715BE">
            <w:pPr>
              <w:pStyle w:val="TableParagraph"/>
              <w:rPr>
                <w:rFonts w:ascii="Verdana" w:hAnsi="Verdana"/>
                <w:b/>
                <w:sz w:val="18"/>
                <w:szCs w:val="18"/>
              </w:rPr>
            </w:pPr>
          </w:p>
          <w:p w14:paraId="26ACF04B" w14:textId="77777777" w:rsidR="008715BE" w:rsidRPr="00EC75B7" w:rsidRDefault="008715BE">
            <w:pPr>
              <w:pStyle w:val="TableParagraph"/>
              <w:spacing w:before="104"/>
              <w:rPr>
                <w:rFonts w:ascii="Verdana" w:hAnsi="Verdana"/>
                <w:b/>
                <w:sz w:val="18"/>
                <w:szCs w:val="18"/>
              </w:rPr>
            </w:pPr>
          </w:p>
          <w:p w14:paraId="538B2BCF"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bl>
    <w:p w14:paraId="6CF60AF2" w14:textId="77777777" w:rsidR="008715BE" w:rsidRPr="00EC75B7" w:rsidRDefault="008715BE">
      <w:pPr>
        <w:pStyle w:val="TableParagraph"/>
        <w:rPr>
          <w:rFonts w:ascii="Verdana" w:hAnsi="Verdana"/>
          <w:sz w:val="18"/>
          <w:szCs w:val="18"/>
        </w:rPr>
        <w:sectPr w:rsidR="008715BE" w:rsidRPr="00EC75B7">
          <w:headerReference w:type="default" r:id="rId315"/>
          <w:footerReference w:type="default" r:id="rId316"/>
          <w:pgSz w:w="23820" w:h="16840" w:orient="landscape"/>
          <w:pgMar w:top="1080" w:right="1275" w:bottom="1000" w:left="850" w:header="782" w:footer="808" w:gutter="0"/>
          <w:cols w:space="708"/>
        </w:sectPr>
      </w:pPr>
    </w:p>
    <w:p w14:paraId="360EC539" w14:textId="77777777" w:rsidR="008715BE" w:rsidRPr="00EC75B7" w:rsidRDefault="008715BE">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8715BE" w:rsidRPr="00EC75B7" w14:paraId="173CD738" w14:textId="77777777">
        <w:trPr>
          <w:trHeight w:val="299"/>
        </w:trPr>
        <w:tc>
          <w:tcPr>
            <w:tcW w:w="6645" w:type="dxa"/>
            <w:gridSpan w:val="2"/>
            <w:vMerge w:val="restart"/>
            <w:shd w:val="clear" w:color="auto" w:fill="00AFEF"/>
          </w:tcPr>
          <w:p w14:paraId="6FB0F757" w14:textId="77777777" w:rsidR="008715BE" w:rsidRPr="00EC75B7" w:rsidRDefault="008715BE">
            <w:pPr>
              <w:pStyle w:val="TableParagraph"/>
              <w:rPr>
                <w:rFonts w:ascii="Verdana" w:hAnsi="Verdana"/>
                <w:b/>
                <w:sz w:val="18"/>
                <w:szCs w:val="18"/>
              </w:rPr>
            </w:pPr>
          </w:p>
          <w:p w14:paraId="730DCA6D" w14:textId="77777777" w:rsidR="008715BE" w:rsidRPr="00EC75B7" w:rsidRDefault="008715BE">
            <w:pPr>
              <w:pStyle w:val="TableParagraph"/>
              <w:spacing w:before="179"/>
              <w:rPr>
                <w:rFonts w:ascii="Verdana" w:hAnsi="Verdana"/>
                <w:b/>
                <w:sz w:val="18"/>
                <w:szCs w:val="18"/>
              </w:rPr>
            </w:pPr>
          </w:p>
          <w:p w14:paraId="731BA152"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Measure</w:t>
            </w:r>
          </w:p>
        </w:tc>
        <w:tc>
          <w:tcPr>
            <w:tcW w:w="1809" w:type="dxa"/>
            <w:vMerge w:val="restart"/>
            <w:shd w:val="clear" w:color="auto" w:fill="00AFEF"/>
          </w:tcPr>
          <w:p w14:paraId="0608AC05" w14:textId="77777777" w:rsidR="008715BE" w:rsidRPr="00EC75B7" w:rsidRDefault="008715BE">
            <w:pPr>
              <w:pStyle w:val="TableParagraph"/>
              <w:spacing w:before="180"/>
              <w:rPr>
                <w:rFonts w:ascii="Verdana" w:hAnsi="Verdana"/>
                <w:b/>
                <w:sz w:val="18"/>
                <w:szCs w:val="18"/>
              </w:rPr>
            </w:pPr>
          </w:p>
          <w:p w14:paraId="15BBFE95" w14:textId="77777777" w:rsidR="008715BE" w:rsidRPr="00EC75B7" w:rsidRDefault="00000000">
            <w:pPr>
              <w:pStyle w:val="TableParagraph"/>
              <w:ind w:left="483" w:right="411" w:firstLine="72"/>
              <w:rPr>
                <w:rFonts w:ascii="Verdana" w:hAnsi="Verdana"/>
                <w:b/>
                <w:sz w:val="18"/>
                <w:szCs w:val="18"/>
              </w:rPr>
            </w:pPr>
            <w:r w:rsidRPr="00EC75B7">
              <w:rPr>
                <w:rFonts w:ascii="Verdana" w:hAnsi="Verdana"/>
                <w:b/>
                <w:color w:val="FFFFFF"/>
                <w:spacing w:val="-10"/>
                <w:sz w:val="18"/>
                <w:szCs w:val="18"/>
              </w:rPr>
              <w:t>Affected</w:t>
            </w:r>
            <w:r w:rsidRPr="00EC75B7">
              <w:rPr>
                <w:rFonts w:ascii="Verdana" w:hAnsi="Verdana"/>
                <w:b/>
                <w:color w:val="FFFFFF"/>
                <w:spacing w:val="-2"/>
                <w:sz w:val="18"/>
                <w:szCs w:val="18"/>
              </w:rPr>
              <w:t xml:space="preserve"> species/habitat</w:t>
            </w:r>
          </w:p>
        </w:tc>
        <w:tc>
          <w:tcPr>
            <w:tcW w:w="1440" w:type="dxa"/>
            <w:vMerge w:val="restart"/>
            <w:shd w:val="clear" w:color="auto" w:fill="00AFEF"/>
          </w:tcPr>
          <w:p w14:paraId="68224789" w14:textId="77777777" w:rsidR="008715BE" w:rsidRPr="00EC75B7" w:rsidRDefault="008715BE">
            <w:pPr>
              <w:pStyle w:val="TableParagraph"/>
              <w:spacing w:before="81"/>
              <w:rPr>
                <w:rFonts w:ascii="Verdana" w:hAnsi="Verdana"/>
                <w:b/>
                <w:sz w:val="18"/>
                <w:szCs w:val="18"/>
              </w:rPr>
            </w:pPr>
          </w:p>
          <w:p w14:paraId="061F2F76"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2"/>
                <w:sz w:val="18"/>
                <w:szCs w:val="18"/>
              </w:rPr>
              <w:t>Parameter addressed</w:t>
            </w:r>
            <w:r w:rsidRPr="00EC75B7">
              <w:rPr>
                <w:rFonts w:ascii="Verdana" w:hAnsi="Verdana"/>
                <w:b/>
                <w:color w:val="FFFFFF"/>
                <w:sz w:val="18"/>
                <w:szCs w:val="18"/>
              </w:rPr>
              <w:t xml:space="preserve"> by </w:t>
            </w:r>
            <w:r w:rsidRPr="00EC75B7">
              <w:rPr>
                <w:rFonts w:ascii="Verdana" w:hAnsi="Verdana"/>
                <w:b/>
                <w:color w:val="FFFFFF"/>
                <w:spacing w:val="-2"/>
                <w:sz w:val="18"/>
                <w:szCs w:val="18"/>
              </w:rPr>
              <w:t>the measure</w:t>
            </w:r>
          </w:p>
        </w:tc>
        <w:tc>
          <w:tcPr>
            <w:tcW w:w="1351" w:type="dxa"/>
            <w:vMerge w:val="restart"/>
            <w:shd w:val="clear" w:color="auto" w:fill="00AFEF"/>
          </w:tcPr>
          <w:p w14:paraId="756C696D" w14:textId="77777777" w:rsidR="008715BE" w:rsidRPr="00EC75B7" w:rsidRDefault="00000000">
            <w:pPr>
              <w:pStyle w:val="TableParagraph"/>
              <w:spacing w:before="181"/>
              <w:ind w:left="218" w:right="205"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4230" w:type="dxa"/>
            <w:gridSpan w:val="12"/>
            <w:shd w:val="clear" w:color="auto" w:fill="00AFEF"/>
          </w:tcPr>
          <w:p w14:paraId="5B157734" w14:textId="77777777" w:rsidR="008715BE" w:rsidRPr="00EC75B7" w:rsidRDefault="00000000">
            <w:pPr>
              <w:pStyle w:val="TableParagraph"/>
              <w:spacing w:before="61"/>
              <w:ind w:left="302"/>
              <w:rPr>
                <w:rFonts w:ascii="Verdana" w:hAnsi="Verdana"/>
                <w:b/>
                <w:sz w:val="18"/>
                <w:szCs w:val="18"/>
              </w:rPr>
            </w:pPr>
            <w:r w:rsidRPr="00EC75B7">
              <w:rPr>
                <w:rFonts w:ascii="Verdana" w:hAnsi="Verdana"/>
                <w:b/>
                <w:color w:val="FFFFFF"/>
                <w:sz w:val="18"/>
                <w:szCs w:val="18"/>
              </w:rPr>
              <w:t xml:space="preserve">Timeline for implementation of </w:t>
            </w:r>
            <w:r w:rsidRPr="00EC75B7">
              <w:rPr>
                <w:rFonts w:ascii="Verdana" w:hAnsi="Verdana"/>
                <w:b/>
                <w:color w:val="FFFFFF"/>
                <w:spacing w:val="-2"/>
                <w:sz w:val="18"/>
                <w:szCs w:val="18"/>
              </w:rPr>
              <w:t>measures</w:t>
            </w:r>
          </w:p>
        </w:tc>
        <w:tc>
          <w:tcPr>
            <w:tcW w:w="1891" w:type="dxa"/>
            <w:vMerge w:val="restart"/>
            <w:shd w:val="clear" w:color="auto" w:fill="00AFEF"/>
          </w:tcPr>
          <w:p w14:paraId="618AE26D" w14:textId="77777777" w:rsidR="008715BE" w:rsidRPr="00EC75B7" w:rsidRDefault="008715BE">
            <w:pPr>
              <w:pStyle w:val="TableParagraph"/>
              <w:rPr>
                <w:rFonts w:ascii="Verdana" w:hAnsi="Verdana"/>
                <w:b/>
                <w:sz w:val="18"/>
                <w:szCs w:val="18"/>
              </w:rPr>
            </w:pPr>
          </w:p>
          <w:p w14:paraId="281D55F4" w14:textId="77777777" w:rsidR="008715BE" w:rsidRPr="00EC75B7" w:rsidRDefault="008715BE">
            <w:pPr>
              <w:pStyle w:val="TableParagraph"/>
              <w:spacing w:before="179"/>
              <w:rPr>
                <w:rFonts w:ascii="Verdana" w:hAnsi="Verdana"/>
                <w:b/>
                <w:sz w:val="18"/>
                <w:szCs w:val="18"/>
              </w:rPr>
            </w:pPr>
          </w:p>
          <w:p w14:paraId="087729C4" w14:textId="77777777" w:rsidR="008715BE" w:rsidRPr="00EC75B7" w:rsidRDefault="00000000">
            <w:pPr>
              <w:pStyle w:val="TableParagraph"/>
              <w:ind w:left="402"/>
              <w:rPr>
                <w:rFonts w:ascii="Verdana" w:hAnsi="Verdana"/>
                <w:b/>
                <w:sz w:val="18"/>
                <w:szCs w:val="18"/>
              </w:rPr>
            </w:pPr>
            <w:r w:rsidRPr="00EC75B7">
              <w:rPr>
                <w:rFonts w:ascii="Verdana" w:hAnsi="Verdana"/>
                <w:b/>
                <w:color w:val="FFFFFF"/>
                <w:spacing w:val="-2"/>
                <w:sz w:val="18"/>
                <w:szCs w:val="18"/>
              </w:rPr>
              <w:t>Responsible</w:t>
            </w:r>
          </w:p>
        </w:tc>
        <w:tc>
          <w:tcPr>
            <w:tcW w:w="1440" w:type="dxa"/>
            <w:vMerge w:val="restart"/>
            <w:shd w:val="clear" w:color="auto" w:fill="00AFEF"/>
          </w:tcPr>
          <w:p w14:paraId="5E89F98D" w14:textId="77777777" w:rsidR="008715BE" w:rsidRPr="00EC75B7" w:rsidRDefault="008715BE">
            <w:pPr>
              <w:pStyle w:val="TableParagraph"/>
              <w:rPr>
                <w:rFonts w:ascii="Verdana" w:hAnsi="Verdana"/>
                <w:b/>
                <w:sz w:val="18"/>
                <w:szCs w:val="18"/>
              </w:rPr>
            </w:pPr>
          </w:p>
          <w:p w14:paraId="6E377CA6" w14:textId="77777777" w:rsidR="008715BE" w:rsidRPr="00EC75B7" w:rsidRDefault="008715BE">
            <w:pPr>
              <w:pStyle w:val="TableParagraph"/>
              <w:spacing w:before="179"/>
              <w:rPr>
                <w:rFonts w:ascii="Verdana" w:hAnsi="Verdana"/>
                <w:b/>
                <w:sz w:val="18"/>
                <w:szCs w:val="18"/>
              </w:rPr>
            </w:pPr>
          </w:p>
          <w:p w14:paraId="61B5D1C2" w14:textId="77777777" w:rsidR="008715BE" w:rsidRPr="00EC75B7" w:rsidRDefault="00000000">
            <w:pPr>
              <w:pStyle w:val="TableParagraph"/>
              <w:ind w:left="455"/>
              <w:rPr>
                <w:rFonts w:ascii="Verdana" w:hAnsi="Verdana"/>
                <w:b/>
                <w:sz w:val="18"/>
                <w:szCs w:val="18"/>
              </w:rPr>
            </w:pPr>
            <w:r w:rsidRPr="00EC75B7">
              <w:rPr>
                <w:rFonts w:ascii="Verdana" w:hAnsi="Verdana"/>
                <w:b/>
                <w:color w:val="FFFFFF"/>
                <w:spacing w:val="-2"/>
                <w:sz w:val="18"/>
                <w:szCs w:val="18"/>
              </w:rPr>
              <w:t>Budget</w:t>
            </w:r>
          </w:p>
        </w:tc>
      </w:tr>
      <w:tr w:rsidR="008715BE" w:rsidRPr="00EC75B7" w14:paraId="6B3BBAC4" w14:textId="77777777">
        <w:trPr>
          <w:trHeight w:val="1005"/>
        </w:trPr>
        <w:tc>
          <w:tcPr>
            <w:tcW w:w="6645" w:type="dxa"/>
            <w:gridSpan w:val="2"/>
            <w:vMerge/>
            <w:tcBorders>
              <w:top w:val="nil"/>
            </w:tcBorders>
            <w:shd w:val="clear" w:color="auto" w:fill="00AFEF"/>
          </w:tcPr>
          <w:p w14:paraId="14194DB9" w14:textId="77777777" w:rsidR="008715BE" w:rsidRPr="00EC75B7" w:rsidRDefault="008715BE">
            <w:pPr>
              <w:rPr>
                <w:rFonts w:ascii="Verdana" w:hAnsi="Verdana"/>
                <w:sz w:val="18"/>
                <w:szCs w:val="18"/>
              </w:rPr>
            </w:pPr>
          </w:p>
        </w:tc>
        <w:tc>
          <w:tcPr>
            <w:tcW w:w="1809" w:type="dxa"/>
            <w:vMerge/>
            <w:tcBorders>
              <w:top w:val="nil"/>
            </w:tcBorders>
            <w:shd w:val="clear" w:color="auto" w:fill="00AFEF"/>
          </w:tcPr>
          <w:p w14:paraId="29C76589"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618EFC81" w14:textId="77777777" w:rsidR="008715BE" w:rsidRPr="00EC75B7" w:rsidRDefault="008715BE">
            <w:pPr>
              <w:rPr>
                <w:rFonts w:ascii="Verdana" w:hAnsi="Verdana"/>
                <w:sz w:val="18"/>
                <w:szCs w:val="18"/>
              </w:rPr>
            </w:pPr>
          </w:p>
        </w:tc>
        <w:tc>
          <w:tcPr>
            <w:tcW w:w="1351" w:type="dxa"/>
            <w:vMerge/>
            <w:tcBorders>
              <w:top w:val="nil"/>
            </w:tcBorders>
            <w:shd w:val="clear" w:color="auto" w:fill="00AFEF"/>
          </w:tcPr>
          <w:p w14:paraId="4579C27F" w14:textId="77777777" w:rsidR="008715BE" w:rsidRPr="00EC75B7" w:rsidRDefault="008715BE">
            <w:pPr>
              <w:rPr>
                <w:rFonts w:ascii="Verdana" w:hAnsi="Verdana"/>
                <w:sz w:val="18"/>
                <w:szCs w:val="18"/>
              </w:rPr>
            </w:pPr>
          </w:p>
        </w:tc>
        <w:tc>
          <w:tcPr>
            <w:tcW w:w="269" w:type="dxa"/>
            <w:shd w:val="clear" w:color="auto" w:fill="00AFEF"/>
          </w:tcPr>
          <w:p w14:paraId="6B274F9C" w14:textId="77777777" w:rsidR="008715BE" w:rsidRPr="00EC75B7" w:rsidRDefault="008715BE">
            <w:pPr>
              <w:pStyle w:val="TableParagraph"/>
              <w:rPr>
                <w:rFonts w:ascii="Verdana" w:hAnsi="Verdana"/>
                <w:b/>
                <w:sz w:val="18"/>
                <w:szCs w:val="18"/>
              </w:rPr>
            </w:pPr>
          </w:p>
          <w:p w14:paraId="5E260CD4" w14:textId="77777777" w:rsidR="008715BE" w:rsidRPr="00EC75B7" w:rsidRDefault="008715BE">
            <w:pPr>
              <w:pStyle w:val="TableParagraph"/>
              <w:spacing w:before="23"/>
              <w:rPr>
                <w:rFonts w:ascii="Verdana" w:hAnsi="Verdana"/>
                <w:b/>
                <w:sz w:val="18"/>
                <w:szCs w:val="18"/>
              </w:rPr>
            </w:pPr>
          </w:p>
          <w:p w14:paraId="74C71647" w14:textId="77777777" w:rsidR="008715BE" w:rsidRPr="00EC75B7" w:rsidRDefault="00000000">
            <w:pPr>
              <w:pStyle w:val="TableParagraph"/>
              <w:ind w:left="70"/>
              <w:jc w:val="center"/>
              <w:rPr>
                <w:rFonts w:ascii="Verdana" w:hAnsi="Verdana"/>
                <w:b/>
                <w:sz w:val="18"/>
                <w:szCs w:val="18"/>
              </w:rPr>
            </w:pPr>
            <w:r w:rsidRPr="00EC75B7">
              <w:rPr>
                <w:rFonts w:ascii="Verdana" w:hAnsi="Verdana"/>
                <w:b/>
                <w:color w:val="FFFFFF"/>
                <w:spacing w:val="-10"/>
                <w:sz w:val="18"/>
                <w:szCs w:val="18"/>
              </w:rPr>
              <w:t>1</w:t>
            </w:r>
          </w:p>
        </w:tc>
        <w:tc>
          <w:tcPr>
            <w:tcW w:w="295" w:type="dxa"/>
            <w:shd w:val="clear" w:color="auto" w:fill="00AFEF"/>
          </w:tcPr>
          <w:p w14:paraId="14AE85E6" w14:textId="77777777" w:rsidR="008715BE" w:rsidRPr="00EC75B7" w:rsidRDefault="008715BE">
            <w:pPr>
              <w:pStyle w:val="TableParagraph"/>
              <w:rPr>
                <w:rFonts w:ascii="Verdana" w:hAnsi="Verdana"/>
                <w:b/>
                <w:sz w:val="18"/>
                <w:szCs w:val="18"/>
              </w:rPr>
            </w:pPr>
          </w:p>
          <w:p w14:paraId="065395CF" w14:textId="77777777" w:rsidR="008715BE" w:rsidRPr="00EC75B7" w:rsidRDefault="008715BE">
            <w:pPr>
              <w:pStyle w:val="TableParagraph"/>
              <w:spacing w:before="23"/>
              <w:rPr>
                <w:rFonts w:ascii="Verdana" w:hAnsi="Verdana"/>
                <w:b/>
                <w:sz w:val="18"/>
                <w:szCs w:val="18"/>
              </w:rPr>
            </w:pPr>
          </w:p>
          <w:p w14:paraId="4FA6E417" w14:textId="77777777" w:rsidR="008715BE" w:rsidRPr="00EC75B7" w:rsidRDefault="00000000">
            <w:pPr>
              <w:pStyle w:val="TableParagraph"/>
              <w:ind w:left="49"/>
              <w:jc w:val="center"/>
              <w:rPr>
                <w:rFonts w:ascii="Verdana" w:hAnsi="Verdana"/>
                <w:b/>
                <w:sz w:val="18"/>
                <w:szCs w:val="18"/>
              </w:rPr>
            </w:pPr>
            <w:r w:rsidRPr="00EC75B7">
              <w:rPr>
                <w:rFonts w:ascii="Verdana" w:hAnsi="Verdana"/>
                <w:b/>
                <w:color w:val="FFFFFF"/>
                <w:spacing w:val="-10"/>
                <w:sz w:val="18"/>
                <w:szCs w:val="18"/>
              </w:rPr>
              <w:t>2</w:t>
            </w:r>
          </w:p>
        </w:tc>
        <w:tc>
          <w:tcPr>
            <w:tcW w:w="331" w:type="dxa"/>
            <w:shd w:val="clear" w:color="auto" w:fill="00AFEF"/>
          </w:tcPr>
          <w:p w14:paraId="5089218B" w14:textId="77777777" w:rsidR="008715BE" w:rsidRPr="00EC75B7" w:rsidRDefault="008715BE">
            <w:pPr>
              <w:pStyle w:val="TableParagraph"/>
              <w:rPr>
                <w:rFonts w:ascii="Verdana" w:hAnsi="Verdana"/>
                <w:b/>
                <w:sz w:val="18"/>
                <w:szCs w:val="18"/>
              </w:rPr>
            </w:pPr>
          </w:p>
          <w:p w14:paraId="37D8AD82" w14:textId="77777777" w:rsidR="008715BE" w:rsidRPr="00EC75B7" w:rsidRDefault="008715BE">
            <w:pPr>
              <w:pStyle w:val="TableParagraph"/>
              <w:spacing w:before="23"/>
              <w:rPr>
                <w:rFonts w:ascii="Verdana" w:hAnsi="Verdana"/>
                <w:b/>
                <w:sz w:val="18"/>
                <w:szCs w:val="18"/>
              </w:rPr>
            </w:pPr>
          </w:p>
          <w:p w14:paraId="0E85302B"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3</w:t>
            </w:r>
          </w:p>
        </w:tc>
        <w:tc>
          <w:tcPr>
            <w:tcW w:w="329" w:type="dxa"/>
            <w:shd w:val="clear" w:color="auto" w:fill="00AFEF"/>
          </w:tcPr>
          <w:p w14:paraId="2695903A" w14:textId="77777777" w:rsidR="008715BE" w:rsidRPr="00EC75B7" w:rsidRDefault="008715BE">
            <w:pPr>
              <w:pStyle w:val="TableParagraph"/>
              <w:rPr>
                <w:rFonts w:ascii="Verdana" w:hAnsi="Verdana"/>
                <w:b/>
                <w:sz w:val="18"/>
                <w:szCs w:val="18"/>
              </w:rPr>
            </w:pPr>
          </w:p>
          <w:p w14:paraId="52CADA29" w14:textId="77777777" w:rsidR="008715BE" w:rsidRPr="00EC75B7" w:rsidRDefault="008715BE">
            <w:pPr>
              <w:pStyle w:val="TableParagraph"/>
              <w:spacing w:before="23"/>
              <w:rPr>
                <w:rFonts w:ascii="Verdana" w:hAnsi="Verdana"/>
                <w:b/>
                <w:sz w:val="18"/>
                <w:szCs w:val="18"/>
              </w:rPr>
            </w:pPr>
          </w:p>
          <w:p w14:paraId="4B202F9C"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4</w:t>
            </w:r>
          </w:p>
        </w:tc>
        <w:tc>
          <w:tcPr>
            <w:tcW w:w="331" w:type="dxa"/>
            <w:shd w:val="clear" w:color="auto" w:fill="00AFEF"/>
          </w:tcPr>
          <w:p w14:paraId="2CCF4FE9" w14:textId="77777777" w:rsidR="008715BE" w:rsidRPr="00EC75B7" w:rsidRDefault="008715BE">
            <w:pPr>
              <w:pStyle w:val="TableParagraph"/>
              <w:rPr>
                <w:rFonts w:ascii="Verdana" w:hAnsi="Verdana"/>
                <w:b/>
                <w:sz w:val="18"/>
                <w:szCs w:val="18"/>
              </w:rPr>
            </w:pPr>
          </w:p>
          <w:p w14:paraId="28396820" w14:textId="77777777" w:rsidR="008715BE" w:rsidRPr="00EC75B7" w:rsidRDefault="008715BE">
            <w:pPr>
              <w:pStyle w:val="TableParagraph"/>
              <w:spacing w:before="23"/>
              <w:rPr>
                <w:rFonts w:ascii="Verdana" w:hAnsi="Verdana"/>
                <w:b/>
                <w:sz w:val="18"/>
                <w:szCs w:val="18"/>
              </w:rPr>
            </w:pPr>
          </w:p>
          <w:p w14:paraId="3D5C5C3B"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5</w:t>
            </w:r>
          </w:p>
        </w:tc>
        <w:tc>
          <w:tcPr>
            <w:tcW w:w="329" w:type="dxa"/>
            <w:shd w:val="clear" w:color="auto" w:fill="00AFEF"/>
          </w:tcPr>
          <w:p w14:paraId="1B4B1DA6" w14:textId="77777777" w:rsidR="008715BE" w:rsidRPr="00EC75B7" w:rsidRDefault="008715BE">
            <w:pPr>
              <w:pStyle w:val="TableParagraph"/>
              <w:rPr>
                <w:rFonts w:ascii="Verdana" w:hAnsi="Verdana"/>
                <w:b/>
                <w:sz w:val="18"/>
                <w:szCs w:val="18"/>
              </w:rPr>
            </w:pPr>
          </w:p>
          <w:p w14:paraId="2BBD3775" w14:textId="77777777" w:rsidR="008715BE" w:rsidRPr="00EC75B7" w:rsidRDefault="008715BE">
            <w:pPr>
              <w:pStyle w:val="TableParagraph"/>
              <w:spacing w:before="23"/>
              <w:rPr>
                <w:rFonts w:ascii="Verdana" w:hAnsi="Verdana"/>
                <w:b/>
                <w:sz w:val="18"/>
                <w:szCs w:val="18"/>
              </w:rPr>
            </w:pPr>
          </w:p>
          <w:p w14:paraId="1505484B"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6</w:t>
            </w:r>
          </w:p>
        </w:tc>
        <w:tc>
          <w:tcPr>
            <w:tcW w:w="332" w:type="dxa"/>
            <w:shd w:val="clear" w:color="auto" w:fill="00AFEF"/>
          </w:tcPr>
          <w:p w14:paraId="06B30EFC" w14:textId="77777777" w:rsidR="008715BE" w:rsidRPr="00EC75B7" w:rsidRDefault="008715BE">
            <w:pPr>
              <w:pStyle w:val="TableParagraph"/>
              <w:rPr>
                <w:rFonts w:ascii="Verdana" w:hAnsi="Verdana"/>
                <w:b/>
                <w:sz w:val="18"/>
                <w:szCs w:val="18"/>
              </w:rPr>
            </w:pPr>
          </w:p>
          <w:p w14:paraId="1E5293B2" w14:textId="77777777" w:rsidR="008715BE" w:rsidRPr="00EC75B7" w:rsidRDefault="008715BE">
            <w:pPr>
              <w:pStyle w:val="TableParagraph"/>
              <w:spacing w:before="23"/>
              <w:rPr>
                <w:rFonts w:ascii="Verdana" w:hAnsi="Verdana"/>
                <w:b/>
                <w:sz w:val="18"/>
                <w:szCs w:val="18"/>
              </w:rPr>
            </w:pPr>
          </w:p>
          <w:p w14:paraId="60F8C557"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7</w:t>
            </w:r>
          </w:p>
        </w:tc>
        <w:tc>
          <w:tcPr>
            <w:tcW w:w="329" w:type="dxa"/>
            <w:shd w:val="clear" w:color="auto" w:fill="00AFEF"/>
          </w:tcPr>
          <w:p w14:paraId="42B784DB" w14:textId="77777777" w:rsidR="008715BE" w:rsidRPr="00EC75B7" w:rsidRDefault="008715BE">
            <w:pPr>
              <w:pStyle w:val="TableParagraph"/>
              <w:rPr>
                <w:rFonts w:ascii="Verdana" w:hAnsi="Verdana"/>
                <w:b/>
                <w:sz w:val="18"/>
                <w:szCs w:val="18"/>
              </w:rPr>
            </w:pPr>
          </w:p>
          <w:p w14:paraId="15708EC4" w14:textId="77777777" w:rsidR="008715BE" w:rsidRPr="00EC75B7" w:rsidRDefault="008715BE">
            <w:pPr>
              <w:pStyle w:val="TableParagraph"/>
              <w:spacing w:before="23"/>
              <w:rPr>
                <w:rFonts w:ascii="Verdana" w:hAnsi="Verdana"/>
                <w:b/>
                <w:sz w:val="18"/>
                <w:szCs w:val="18"/>
              </w:rPr>
            </w:pPr>
          </w:p>
          <w:p w14:paraId="1A21BA71" w14:textId="77777777" w:rsidR="008715BE" w:rsidRPr="00EC75B7" w:rsidRDefault="00000000">
            <w:pPr>
              <w:pStyle w:val="TableParagraph"/>
              <w:ind w:left="16" w:right="1"/>
              <w:jc w:val="center"/>
              <w:rPr>
                <w:rFonts w:ascii="Verdana" w:hAnsi="Verdana"/>
                <w:b/>
                <w:sz w:val="18"/>
                <w:szCs w:val="18"/>
              </w:rPr>
            </w:pPr>
            <w:r w:rsidRPr="00EC75B7">
              <w:rPr>
                <w:rFonts w:ascii="Verdana" w:hAnsi="Verdana"/>
                <w:b/>
                <w:color w:val="FFFFFF"/>
                <w:spacing w:val="-10"/>
                <w:sz w:val="18"/>
                <w:szCs w:val="18"/>
              </w:rPr>
              <w:t>8</w:t>
            </w:r>
          </w:p>
        </w:tc>
        <w:tc>
          <w:tcPr>
            <w:tcW w:w="336" w:type="dxa"/>
            <w:shd w:val="clear" w:color="auto" w:fill="00AFEF"/>
          </w:tcPr>
          <w:p w14:paraId="1AFA2E3C" w14:textId="77777777" w:rsidR="008715BE" w:rsidRPr="00EC75B7" w:rsidRDefault="008715BE">
            <w:pPr>
              <w:pStyle w:val="TableParagraph"/>
              <w:rPr>
                <w:rFonts w:ascii="Verdana" w:hAnsi="Verdana"/>
                <w:b/>
                <w:sz w:val="18"/>
                <w:szCs w:val="18"/>
              </w:rPr>
            </w:pPr>
          </w:p>
          <w:p w14:paraId="0ACC7B95" w14:textId="77777777" w:rsidR="008715BE" w:rsidRPr="00EC75B7" w:rsidRDefault="008715BE">
            <w:pPr>
              <w:pStyle w:val="TableParagraph"/>
              <w:spacing w:before="23"/>
              <w:rPr>
                <w:rFonts w:ascii="Verdana" w:hAnsi="Verdana"/>
                <w:b/>
                <w:sz w:val="18"/>
                <w:szCs w:val="18"/>
              </w:rPr>
            </w:pPr>
          </w:p>
          <w:p w14:paraId="61ADB70D"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10"/>
                <w:sz w:val="18"/>
                <w:szCs w:val="18"/>
              </w:rPr>
              <w:t>9</w:t>
            </w:r>
          </w:p>
        </w:tc>
        <w:tc>
          <w:tcPr>
            <w:tcW w:w="449" w:type="dxa"/>
            <w:shd w:val="clear" w:color="auto" w:fill="00AFEF"/>
          </w:tcPr>
          <w:p w14:paraId="60546934" w14:textId="77777777" w:rsidR="008715BE" w:rsidRPr="00EC75B7" w:rsidRDefault="008715BE">
            <w:pPr>
              <w:pStyle w:val="TableParagraph"/>
              <w:rPr>
                <w:rFonts w:ascii="Verdana" w:hAnsi="Verdana"/>
                <w:b/>
                <w:sz w:val="18"/>
                <w:szCs w:val="18"/>
              </w:rPr>
            </w:pPr>
          </w:p>
          <w:p w14:paraId="2154D6EB" w14:textId="77777777" w:rsidR="008715BE" w:rsidRPr="00EC75B7" w:rsidRDefault="008715BE">
            <w:pPr>
              <w:pStyle w:val="TableParagraph"/>
              <w:spacing w:before="23"/>
              <w:rPr>
                <w:rFonts w:ascii="Verdana" w:hAnsi="Verdana"/>
                <w:b/>
                <w:sz w:val="18"/>
                <w:szCs w:val="18"/>
              </w:rPr>
            </w:pPr>
          </w:p>
          <w:p w14:paraId="4EC5C5D8"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10</w:t>
            </w:r>
          </w:p>
        </w:tc>
        <w:tc>
          <w:tcPr>
            <w:tcW w:w="451" w:type="dxa"/>
            <w:shd w:val="clear" w:color="auto" w:fill="00AFEF"/>
          </w:tcPr>
          <w:p w14:paraId="1443CC75" w14:textId="77777777" w:rsidR="008715BE" w:rsidRPr="00EC75B7" w:rsidRDefault="008715BE">
            <w:pPr>
              <w:pStyle w:val="TableParagraph"/>
              <w:rPr>
                <w:rFonts w:ascii="Verdana" w:hAnsi="Verdana"/>
                <w:b/>
                <w:sz w:val="18"/>
                <w:szCs w:val="18"/>
              </w:rPr>
            </w:pPr>
          </w:p>
          <w:p w14:paraId="080767F1" w14:textId="77777777" w:rsidR="008715BE" w:rsidRPr="00EC75B7" w:rsidRDefault="008715BE">
            <w:pPr>
              <w:pStyle w:val="TableParagraph"/>
              <w:spacing w:before="23"/>
              <w:rPr>
                <w:rFonts w:ascii="Verdana" w:hAnsi="Verdana"/>
                <w:b/>
                <w:sz w:val="18"/>
                <w:szCs w:val="18"/>
              </w:rPr>
            </w:pPr>
          </w:p>
          <w:p w14:paraId="1F2B4E50"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5"/>
                <w:sz w:val="18"/>
                <w:szCs w:val="18"/>
              </w:rPr>
              <w:t>11</w:t>
            </w:r>
          </w:p>
        </w:tc>
        <w:tc>
          <w:tcPr>
            <w:tcW w:w="449" w:type="dxa"/>
            <w:shd w:val="clear" w:color="auto" w:fill="00AFEF"/>
          </w:tcPr>
          <w:p w14:paraId="5B680AA8" w14:textId="77777777" w:rsidR="008715BE" w:rsidRPr="00EC75B7" w:rsidRDefault="008715BE">
            <w:pPr>
              <w:pStyle w:val="TableParagraph"/>
              <w:rPr>
                <w:rFonts w:ascii="Verdana" w:hAnsi="Verdana"/>
                <w:b/>
                <w:sz w:val="18"/>
                <w:szCs w:val="18"/>
              </w:rPr>
            </w:pPr>
          </w:p>
          <w:p w14:paraId="416DC6B1" w14:textId="77777777" w:rsidR="008715BE" w:rsidRPr="00EC75B7" w:rsidRDefault="008715BE">
            <w:pPr>
              <w:pStyle w:val="TableParagraph"/>
              <w:spacing w:before="23"/>
              <w:rPr>
                <w:rFonts w:ascii="Verdana" w:hAnsi="Verdana"/>
                <w:b/>
                <w:sz w:val="18"/>
                <w:szCs w:val="18"/>
              </w:rPr>
            </w:pPr>
          </w:p>
          <w:p w14:paraId="2B6C5137"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12</w:t>
            </w:r>
          </w:p>
        </w:tc>
        <w:tc>
          <w:tcPr>
            <w:tcW w:w="1891" w:type="dxa"/>
            <w:vMerge/>
            <w:tcBorders>
              <w:top w:val="nil"/>
            </w:tcBorders>
            <w:shd w:val="clear" w:color="auto" w:fill="00AFEF"/>
          </w:tcPr>
          <w:p w14:paraId="75746772"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0DB170A9" w14:textId="77777777" w:rsidR="008715BE" w:rsidRPr="00EC75B7" w:rsidRDefault="008715BE">
            <w:pPr>
              <w:rPr>
                <w:rFonts w:ascii="Verdana" w:hAnsi="Verdana"/>
                <w:sz w:val="18"/>
                <w:szCs w:val="18"/>
              </w:rPr>
            </w:pPr>
          </w:p>
        </w:tc>
      </w:tr>
      <w:tr w:rsidR="008715BE" w:rsidRPr="00EC75B7" w14:paraId="32F7E727" w14:textId="77777777">
        <w:trPr>
          <w:trHeight w:val="1202"/>
        </w:trPr>
        <w:tc>
          <w:tcPr>
            <w:tcW w:w="554" w:type="dxa"/>
          </w:tcPr>
          <w:p w14:paraId="6D78D3F5" w14:textId="77777777" w:rsidR="008715BE" w:rsidRPr="00EC75B7" w:rsidRDefault="008715BE">
            <w:pPr>
              <w:pStyle w:val="TableParagraph"/>
              <w:rPr>
                <w:rFonts w:ascii="Verdana" w:hAnsi="Verdana"/>
                <w:sz w:val="18"/>
                <w:szCs w:val="18"/>
              </w:rPr>
            </w:pPr>
          </w:p>
        </w:tc>
        <w:tc>
          <w:tcPr>
            <w:tcW w:w="6091" w:type="dxa"/>
          </w:tcPr>
          <w:p w14:paraId="4F68476D" w14:textId="77777777" w:rsidR="008715BE" w:rsidRPr="00EC75B7" w:rsidRDefault="008715BE">
            <w:pPr>
              <w:pStyle w:val="TableParagraph"/>
              <w:rPr>
                <w:rFonts w:ascii="Verdana" w:hAnsi="Verdana"/>
                <w:sz w:val="18"/>
                <w:szCs w:val="18"/>
              </w:rPr>
            </w:pPr>
          </w:p>
        </w:tc>
        <w:tc>
          <w:tcPr>
            <w:tcW w:w="1809" w:type="dxa"/>
          </w:tcPr>
          <w:p w14:paraId="6E891050" w14:textId="77777777" w:rsidR="008715BE" w:rsidRPr="00EC75B7" w:rsidRDefault="00000000" w:rsidP="00C96230">
            <w:pPr>
              <w:pStyle w:val="TableParagraph"/>
              <w:spacing w:before="10"/>
              <w:ind w:right="379"/>
              <w:jc w:val="both"/>
              <w:rPr>
                <w:rFonts w:ascii="Verdana" w:hAnsi="Verdana"/>
                <w:sz w:val="18"/>
                <w:szCs w:val="18"/>
              </w:rPr>
            </w:pPr>
            <w:r w:rsidRPr="00EC75B7">
              <w:rPr>
                <w:rFonts w:ascii="Verdana" w:hAnsi="Verdana"/>
                <w:spacing w:val="-2"/>
                <w:sz w:val="18"/>
                <w:szCs w:val="18"/>
              </w:rPr>
              <w:t>ROSPA0166, ROSPA0036, ROSPA0094, BG0000569, BG0000570</w:t>
            </w:r>
          </w:p>
        </w:tc>
        <w:tc>
          <w:tcPr>
            <w:tcW w:w="1440" w:type="dxa"/>
          </w:tcPr>
          <w:p w14:paraId="1B43C699" w14:textId="77777777" w:rsidR="008715BE" w:rsidRPr="00EC75B7" w:rsidRDefault="008715BE">
            <w:pPr>
              <w:pStyle w:val="TableParagraph"/>
              <w:rPr>
                <w:rFonts w:ascii="Verdana" w:hAnsi="Verdana"/>
                <w:sz w:val="18"/>
                <w:szCs w:val="18"/>
              </w:rPr>
            </w:pPr>
          </w:p>
        </w:tc>
        <w:tc>
          <w:tcPr>
            <w:tcW w:w="1351" w:type="dxa"/>
          </w:tcPr>
          <w:p w14:paraId="1226A70A" w14:textId="77777777" w:rsidR="008715BE" w:rsidRPr="00EC75B7" w:rsidRDefault="008715BE">
            <w:pPr>
              <w:pStyle w:val="TableParagraph"/>
              <w:rPr>
                <w:rFonts w:ascii="Verdana" w:hAnsi="Verdana"/>
                <w:sz w:val="18"/>
                <w:szCs w:val="18"/>
              </w:rPr>
            </w:pPr>
          </w:p>
        </w:tc>
        <w:tc>
          <w:tcPr>
            <w:tcW w:w="269" w:type="dxa"/>
          </w:tcPr>
          <w:p w14:paraId="6FE2DABC" w14:textId="77777777" w:rsidR="008715BE" w:rsidRPr="00EC75B7" w:rsidRDefault="008715BE">
            <w:pPr>
              <w:pStyle w:val="TableParagraph"/>
              <w:rPr>
                <w:rFonts w:ascii="Verdana" w:hAnsi="Verdana"/>
                <w:sz w:val="18"/>
                <w:szCs w:val="18"/>
              </w:rPr>
            </w:pPr>
          </w:p>
        </w:tc>
        <w:tc>
          <w:tcPr>
            <w:tcW w:w="295" w:type="dxa"/>
          </w:tcPr>
          <w:p w14:paraId="6CEE4FA9" w14:textId="77777777" w:rsidR="008715BE" w:rsidRPr="00EC75B7" w:rsidRDefault="008715BE">
            <w:pPr>
              <w:pStyle w:val="TableParagraph"/>
              <w:rPr>
                <w:rFonts w:ascii="Verdana" w:hAnsi="Verdana"/>
                <w:sz w:val="18"/>
                <w:szCs w:val="18"/>
              </w:rPr>
            </w:pPr>
          </w:p>
        </w:tc>
        <w:tc>
          <w:tcPr>
            <w:tcW w:w="331" w:type="dxa"/>
          </w:tcPr>
          <w:p w14:paraId="0D72FFDB" w14:textId="77777777" w:rsidR="008715BE" w:rsidRPr="00EC75B7" w:rsidRDefault="008715BE">
            <w:pPr>
              <w:pStyle w:val="TableParagraph"/>
              <w:rPr>
                <w:rFonts w:ascii="Verdana" w:hAnsi="Verdana"/>
                <w:sz w:val="18"/>
                <w:szCs w:val="18"/>
              </w:rPr>
            </w:pPr>
          </w:p>
        </w:tc>
        <w:tc>
          <w:tcPr>
            <w:tcW w:w="329" w:type="dxa"/>
          </w:tcPr>
          <w:p w14:paraId="0FCE38F9" w14:textId="77777777" w:rsidR="008715BE" w:rsidRPr="00EC75B7" w:rsidRDefault="008715BE">
            <w:pPr>
              <w:pStyle w:val="TableParagraph"/>
              <w:rPr>
                <w:rFonts w:ascii="Verdana" w:hAnsi="Verdana"/>
                <w:sz w:val="18"/>
                <w:szCs w:val="18"/>
              </w:rPr>
            </w:pPr>
          </w:p>
        </w:tc>
        <w:tc>
          <w:tcPr>
            <w:tcW w:w="331" w:type="dxa"/>
          </w:tcPr>
          <w:p w14:paraId="756C55B6" w14:textId="77777777" w:rsidR="008715BE" w:rsidRPr="00EC75B7" w:rsidRDefault="008715BE">
            <w:pPr>
              <w:pStyle w:val="TableParagraph"/>
              <w:rPr>
                <w:rFonts w:ascii="Verdana" w:hAnsi="Verdana"/>
                <w:sz w:val="18"/>
                <w:szCs w:val="18"/>
              </w:rPr>
            </w:pPr>
          </w:p>
        </w:tc>
        <w:tc>
          <w:tcPr>
            <w:tcW w:w="329" w:type="dxa"/>
          </w:tcPr>
          <w:p w14:paraId="58211C3B" w14:textId="77777777" w:rsidR="008715BE" w:rsidRPr="00EC75B7" w:rsidRDefault="008715BE">
            <w:pPr>
              <w:pStyle w:val="TableParagraph"/>
              <w:rPr>
                <w:rFonts w:ascii="Verdana" w:hAnsi="Verdana"/>
                <w:sz w:val="18"/>
                <w:szCs w:val="18"/>
              </w:rPr>
            </w:pPr>
          </w:p>
        </w:tc>
        <w:tc>
          <w:tcPr>
            <w:tcW w:w="332" w:type="dxa"/>
          </w:tcPr>
          <w:p w14:paraId="0944D9AE" w14:textId="77777777" w:rsidR="008715BE" w:rsidRPr="00EC75B7" w:rsidRDefault="008715BE">
            <w:pPr>
              <w:pStyle w:val="TableParagraph"/>
              <w:rPr>
                <w:rFonts w:ascii="Verdana" w:hAnsi="Verdana"/>
                <w:sz w:val="18"/>
                <w:szCs w:val="18"/>
              </w:rPr>
            </w:pPr>
          </w:p>
        </w:tc>
        <w:tc>
          <w:tcPr>
            <w:tcW w:w="329" w:type="dxa"/>
          </w:tcPr>
          <w:p w14:paraId="315F9E4F" w14:textId="77777777" w:rsidR="008715BE" w:rsidRPr="00EC75B7" w:rsidRDefault="008715BE">
            <w:pPr>
              <w:pStyle w:val="TableParagraph"/>
              <w:rPr>
                <w:rFonts w:ascii="Verdana" w:hAnsi="Verdana"/>
                <w:sz w:val="18"/>
                <w:szCs w:val="18"/>
              </w:rPr>
            </w:pPr>
          </w:p>
        </w:tc>
        <w:tc>
          <w:tcPr>
            <w:tcW w:w="336" w:type="dxa"/>
          </w:tcPr>
          <w:p w14:paraId="3C491C15" w14:textId="77777777" w:rsidR="008715BE" w:rsidRPr="00EC75B7" w:rsidRDefault="008715BE">
            <w:pPr>
              <w:pStyle w:val="TableParagraph"/>
              <w:rPr>
                <w:rFonts w:ascii="Verdana" w:hAnsi="Verdana"/>
                <w:sz w:val="18"/>
                <w:szCs w:val="18"/>
              </w:rPr>
            </w:pPr>
          </w:p>
        </w:tc>
        <w:tc>
          <w:tcPr>
            <w:tcW w:w="449" w:type="dxa"/>
          </w:tcPr>
          <w:p w14:paraId="5BC7343C" w14:textId="77777777" w:rsidR="008715BE" w:rsidRPr="00EC75B7" w:rsidRDefault="008715BE">
            <w:pPr>
              <w:pStyle w:val="TableParagraph"/>
              <w:rPr>
                <w:rFonts w:ascii="Verdana" w:hAnsi="Verdana"/>
                <w:sz w:val="18"/>
                <w:szCs w:val="18"/>
              </w:rPr>
            </w:pPr>
          </w:p>
        </w:tc>
        <w:tc>
          <w:tcPr>
            <w:tcW w:w="451" w:type="dxa"/>
          </w:tcPr>
          <w:p w14:paraId="042BBD23" w14:textId="77777777" w:rsidR="008715BE" w:rsidRPr="00EC75B7" w:rsidRDefault="008715BE">
            <w:pPr>
              <w:pStyle w:val="TableParagraph"/>
              <w:rPr>
                <w:rFonts w:ascii="Verdana" w:hAnsi="Verdana"/>
                <w:sz w:val="18"/>
                <w:szCs w:val="18"/>
              </w:rPr>
            </w:pPr>
          </w:p>
        </w:tc>
        <w:tc>
          <w:tcPr>
            <w:tcW w:w="449" w:type="dxa"/>
          </w:tcPr>
          <w:p w14:paraId="1D03AB4D" w14:textId="77777777" w:rsidR="008715BE" w:rsidRPr="00EC75B7" w:rsidRDefault="008715BE">
            <w:pPr>
              <w:pStyle w:val="TableParagraph"/>
              <w:rPr>
                <w:rFonts w:ascii="Verdana" w:hAnsi="Verdana"/>
                <w:sz w:val="18"/>
                <w:szCs w:val="18"/>
              </w:rPr>
            </w:pPr>
          </w:p>
        </w:tc>
        <w:tc>
          <w:tcPr>
            <w:tcW w:w="1891" w:type="dxa"/>
          </w:tcPr>
          <w:p w14:paraId="30CF7CAB" w14:textId="77777777" w:rsidR="008715BE" w:rsidRPr="00EC75B7" w:rsidRDefault="008715BE">
            <w:pPr>
              <w:pStyle w:val="TableParagraph"/>
              <w:rPr>
                <w:rFonts w:ascii="Verdana" w:hAnsi="Verdana"/>
                <w:sz w:val="18"/>
                <w:szCs w:val="18"/>
              </w:rPr>
            </w:pPr>
          </w:p>
        </w:tc>
        <w:tc>
          <w:tcPr>
            <w:tcW w:w="1440" w:type="dxa"/>
          </w:tcPr>
          <w:p w14:paraId="22EE81D7" w14:textId="77777777" w:rsidR="008715BE" w:rsidRPr="00EC75B7" w:rsidRDefault="008715BE">
            <w:pPr>
              <w:pStyle w:val="TableParagraph"/>
              <w:rPr>
                <w:rFonts w:ascii="Verdana" w:hAnsi="Verdana"/>
                <w:sz w:val="18"/>
                <w:szCs w:val="18"/>
              </w:rPr>
            </w:pPr>
          </w:p>
        </w:tc>
      </w:tr>
      <w:tr w:rsidR="008715BE" w:rsidRPr="00EC75B7" w14:paraId="4A4C55E6" w14:textId="77777777">
        <w:trPr>
          <w:trHeight w:val="2333"/>
        </w:trPr>
        <w:tc>
          <w:tcPr>
            <w:tcW w:w="554" w:type="dxa"/>
          </w:tcPr>
          <w:p w14:paraId="6B6B9909" w14:textId="77777777" w:rsidR="008715BE" w:rsidRPr="00EC75B7" w:rsidRDefault="008715BE">
            <w:pPr>
              <w:pStyle w:val="TableParagraph"/>
              <w:rPr>
                <w:rFonts w:ascii="Verdana" w:hAnsi="Verdana"/>
                <w:b/>
                <w:sz w:val="18"/>
                <w:szCs w:val="18"/>
              </w:rPr>
            </w:pPr>
          </w:p>
          <w:p w14:paraId="19DACE41" w14:textId="77777777" w:rsidR="008715BE" w:rsidRPr="00EC75B7" w:rsidRDefault="008715BE">
            <w:pPr>
              <w:pStyle w:val="TableParagraph"/>
              <w:rPr>
                <w:rFonts w:ascii="Verdana" w:hAnsi="Verdana"/>
                <w:b/>
                <w:sz w:val="18"/>
                <w:szCs w:val="18"/>
              </w:rPr>
            </w:pPr>
          </w:p>
          <w:p w14:paraId="7A276150" w14:textId="77777777" w:rsidR="008715BE" w:rsidRPr="00EC75B7" w:rsidRDefault="008715BE">
            <w:pPr>
              <w:pStyle w:val="TableParagraph"/>
              <w:rPr>
                <w:rFonts w:ascii="Verdana" w:hAnsi="Verdana"/>
                <w:b/>
                <w:sz w:val="18"/>
                <w:szCs w:val="18"/>
              </w:rPr>
            </w:pPr>
          </w:p>
          <w:p w14:paraId="53CD21C3" w14:textId="77777777" w:rsidR="008715BE" w:rsidRPr="00EC75B7" w:rsidRDefault="008715BE">
            <w:pPr>
              <w:pStyle w:val="TableParagraph"/>
              <w:rPr>
                <w:rFonts w:ascii="Verdana" w:hAnsi="Verdana"/>
                <w:b/>
                <w:sz w:val="18"/>
                <w:szCs w:val="18"/>
              </w:rPr>
            </w:pPr>
          </w:p>
          <w:p w14:paraId="7F951EA9" w14:textId="77777777" w:rsidR="008715BE" w:rsidRPr="00EC75B7" w:rsidRDefault="008715BE">
            <w:pPr>
              <w:pStyle w:val="TableParagraph"/>
              <w:spacing w:before="99"/>
              <w:rPr>
                <w:rFonts w:ascii="Verdana" w:hAnsi="Verdana"/>
                <w:b/>
                <w:sz w:val="18"/>
                <w:szCs w:val="18"/>
              </w:rPr>
            </w:pPr>
          </w:p>
          <w:p w14:paraId="16C63E05"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M7</w:t>
            </w:r>
          </w:p>
        </w:tc>
        <w:tc>
          <w:tcPr>
            <w:tcW w:w="6091" w:type="dxa"/>
          </w:tcPr>
          <w:p w14:paraId="4E460CC6" w14:textId="77777777" w:rsidR="008715BE" w:rsidRPr="00EC75B7" w:rsidRDefault="008715BE">
            <w:pPr>
              <w:pStyle w:val="TableParagraph"/>
              <w:rPr>
                <w:rFonts w:ascii="Verdana" w:hAnsi="Verdana"/>
                <w:b/>
                <w:sz w:val="18"/>
                <w:szCs w:val="18"/>
              </w:rPr>
            </w:pPr>
          </w:p>
          <w:p w14:paraId="7064E24A" w14:textId="77777777" w:rsidR="008715BE" w:rsidRPr="00EC75B7" w:rsidRDefault="008715BE">
            <w:pPr>
              <w:pStyle w:val="TableParagraph"/>
              <w:rPr>
                <w:rFonts w:ascii="Verdana" w:hAnsi="Verdana"/>
                <w:b/>
                <w:sz w:val="18"/>
                <w:szCs w:val="18"/>
              </w:rPr>
            </w:pPr>
          </w:p>
          <w:p w14:paraId="694A3355" w14:textId="77777777" w:rsidR="008715BE" w:rsidRPr="00EC75B7" w:rsidRDefault="008715BE">
            <w:pPr>
              <w:pStyle w:val="TableParagraph"/>
              <w:spacing w:before="101"/>
              <w:rPr>
                <w:rFonts w:ascii="Verdana" w:hAnsi="Verdana"/>
                <w:b/>
                <w:sz w:val="18"/>
                <w:szCs w:val="18"/>
              </w:rPr>
            </w:pPr>
          </w:p>
          <w:p w14:paraId="5EA026DC"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Avoid any spills of liquid fuels, oils, paints, etc. on the ground. In the event of accidental pollution, these will be eliminated by applying absorbent materials and removed from the site by contracting companies specialised in the management of these types of hazardous waste.</w:t>
            </w:r>
          </w:p>
        </w:tc>
        <w:tc>
          <w:tcPr>
            <w:tcW w:w="1809" w:type="dxa"/>
          </w:tcPr>
          <w:p w14:paraId="40FF9DBD"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29533101"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778BC8EE"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48A83CEF" w14:textId="77777777" w:rsidR="008715BE" w:rsidRPr="00EC75B7" w:rsidRDefault="008715BE">
            <w:pPr>
              <w:pStyle w:val="TableParagraph"/>
              <w:rPr>
                <w:rFonts w:ascii="Verdana" w:hAnsi="Verdana"/>
                <w:b/>
                <w:sz w:val="18"/>
                <w:szCs w:val="18"/>
              </w:rPr>
            </w:pPr>
          </w:p>
          <w:p w14:paraId="79367B02" w14:textId="77777777" w:rsidR="008715BE" w:rsidRPr="00EC75B7" w:rsidRDefault="008715BE">
            <w:pPr>
              <w:pStyle w:val="TableParagraph"/>
              <w:rPr>
                <w:rFonts w:ascii="Verdana" w:hAnsi="Verdana"/>
                <w:b/>
                <w:sz w:val="18"/>
                <w:szCs w:val="18"/>
              </w:rPr>
            </w:pPr>
          </w:p>
          <w:p w14:paraId="3A19E1EE" w14:textId="77777777" w:rsidR="008715BE" w:rsidRPr="00EC75B7" w:rsidRDefault="008715BE">
            <w:pPr>
              <w:pStyle w:val="TableParagraph"/>
              <w:spacing w:before="101"/>
              <w:rPr>
                <w:rFonts w:ascii="Verdana" w:hAnsi="Verdana"/>
                <w:b/>
                <w:sz w:val="18"/>
                <w:szCs w:val="18"/>
              </w:rPr>
            </w:pPr>
          </w:p>
          <w:p w14:paraId="0DFD3803" w14:textId="77777777" w:rsidR="008715BE" w:rsidRPr="00EC75B7" w:rsidRDefault="00000000">
            <w:pPr>
              <w:pStyle w:val="TableParagraph"/>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465A88AE" w14:textId="77777777" w:rsidR="008715BE" w:rsidRPr="00EC75B7" w:rsidRDefault="008715BE">
            <w:pPr>
              <w:pStyle w:val="TableParagraph"/>
              <w:rPr>
                <w:rFonts w:ascii="Verdana" w:hAnsi="Verdana"/>
                <w:b/>
                <w:sz w:val="18"/>
                <w:szCs w:val="18"/>
              </w:rPr>
            </w:pPr>
          </w:p>
          <w:p w14:paraId="1A3A60E4" w14:textId="77777777" w:rsidR="008715BE" w:rsidRPr="00EC75B7" w:rsidRDefault="008715BE">
            <w:pPr>
              <w:pStyle w:val="TableParagraph"/>
              <w:rPr>
                <w:rFonts w:ascii="Verdana" w:hAnsi="Verdana"/>
                <w:b/>
                <w:sz w:val="18"/>
                <w:szCs w:val="18"/>
              </w:rPr>
            </w:pPr>
          </w:p>
          <w:p w14:paraId="4CA3D0F6" w14:textId="77777777" w:rsidR="008715BE" w:rsidRPr="00EC75B7" w:rsidRDefault="008715BE">
            <w:pPr>
              <w:pStyle w:val="TableParagraph"/>
              <w:rPr>
                <w:rFonts w:ascii="Verdana" w:hAnsi="Verdana"/>
                <w:b/>
                <w:sz w:val="18"/>
                <w:szCs w:val="18"/>
              </w:rPr>
            </w:pPr>
          </w:p>
          <w:p w14:paraId="439447CE" w14:textId="77777777" w:rsidR="008715BE" w:rsidRPr="00EC75B7" w:rsidRDefault="008715BE">
            <w:pPr>
              <w:pStyle w:val="TableParagraph"/>
              <w:rPr>
                <w:rFonts w:ascii="Verdana" w:hAnsi="Verdana"/>
                <w:b/>
                <w:sz w:val="18"/>
                <w:szCs w:val="18"/>
              </w:rPr>
            </w:pPr>
          </w:p>
          <w:p w14:paraId="2A938CE5" w14:textId="77777777" w:rsidR="008715BE" w:rsidRPr="00EC75B7" w:rsidRDefault="008715BE">
            <w:pPr>
              <w:pStyle w:val="TableParagraph"/>
              <w:spacing w:before="99"/>
              <w:rPr>
                <w:rFonts w:ascii="Verdana" w:hAnsi="Verdana"/>
                <w:b/>
                <w:sz w:val="18"/>
                <w:szCs w:val="18"/>
              </w:rPr>
            </w:pPr>
          </w:p>
          <w:p w14:paraId="7990E59C"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2"/>
                <w:sz w:val="18"/>
                <w:szCs w:val="18"/>
              </w:rPr>
              <w:t>AH,PAS</w:t>
            </w:r>
          </w:p>
        </w:tc>
        <w:tc>
          <w:tcPr>
            <w:tcW w:w="269" w:type="dxa"/>
          </w:tcPr>
          <w:p w14:paraId="46C58942" w14:textId="77777777" w:rsidR="008715BE" w:rsidRPr="00EC75B7" w:rsidRDefault="008715BE">
            <w:pPr>
              <w:pStyle w:val="TableParagraph"/>
              <w:rPr>
                <w:rFonts w:ascii="Verdana" w:hAnsi="Verdana"/>
                <w:b/>
                <w:sz w:val="18"/>
                <w:szCs w:val="18"/>
              </w:rPr>
            </w:pPr>
          </w:p>
          <w:p w14:paraId="232F7EEC" w14:textId="77777777" w:rsidR="008715BE" w:rsidRPr="00EC75B7" w:rsidRDefault="008715BE">
            <w:pPr>
              <w:pStyle w:val="TableParagraph"/>
              <w:rPr>
                <w:rFonts w:ascii="Verdana" w:hAnsi="Verdana"/>
                <w:b/>
                <w:sz w:val="18"/>
                <w:szCs w:val="18"/>
              </w:rPr>
            </w:pPr>
          </w:p>
          <w:p w14:paraId="7024E452" w14:textId="77777777" w:rsidR="008715BE" w:rsidRPr="00EC75B7" w:rsidRDefault="008715BE">
            <w:pPr>
              <w:pStyle w:val="TableParagraph"/>
              <w:rPr>
                <w:rFonts w:ascii="Verdana" w:hAnsi="Verdana"/>
                <w:b/>
                <w:sz w:val="18"/>
                <w:szCs w:val="18"/>
              </w:rPr>
            </w:pPr>
          </w:p>
          <w:p w14:paraId="52580DA8" w14:textId="77777777" w:rsidR="008715BE" w:rsidRPr="00EC75B7" w:rsidRDefault="008715BE">
            <w:pPr>
              <w:pStyle w:val="TableParagraph"/>
              <w:rPr>
                <w:rFonts w:ascii="Verdana" w:hAnsi="Verdana"/>
                <w:b/>
                <w:sz w:val="18"/>
                <w:szCs w:val="18"/>
              </w:rPr>
            </w:pPr>
          </w:p>
          <w:p w14:paraId="1710C737" w14:textId="77777777" w:rsidR="008715BE" w:rsidRPr="00EC75B7" w:rsidRDefault="008715BE">
            <w:pPr>
              <w:pStyle w:val="TableParagraph"/>
              <w:spacing w:before="99"/>
              <w:rPr>
                <w:rFonts w:ascii="Verdana" w:hAnsi="Verdana"/>
                <w:b/>
                <w:sz w:val="18"/>
                <w:szCs w:val="18"/>
              </w:rPr>
            </w:pPr>
          </w:p>
          <w:p w14:paraId="79B75302"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08F85F41" w14:textId="77777777" w:rsidR="008715BE" w:rsidRPr="00EC75B7" w:rsidRDefault="008715BE">
            <w:pPr>
              <w:pStyle w:val="TableParagraph"/>
              <w:rPr>
                <w:rFonts w:ascii="Verdana" w:hAnsi="Verdana"/>
                <w:b/>
                <w:sz w:val="18"/>
                <w:szCs w:val="18"/>
              </w:rPr>
            </w:pPr>
          </w:p>
          <w:p w14:paraId="3B6AE6E7" w14:textId="77777777" w:rsidR="008715BE" w:rsidRPr="00EC75B7" w:rsidRDefault="008715BE">
            <w:pPr>
              <w:pStyle w:val="TableParagraph"/>
              <w:rPr>
                <w:rFonts w:ascii="Verdana" w:hAnsi="Verdana"/>
                <w:b/>
                <w:sz w:val="18"/>
                <w:szCs w:val="18"/>
              </w:rPr>
            </w:pPr>
          </w:p>
          <w:p w14:paraId="0F28FECB" w14:textId="77777777" w:rsidR="008715BE" w:rsidRPr="00EC75B7" w:rsidRDefault="008715BE">
            <w:pPr>
              <w:pStyle w:val="TableParagraph"/>
              <w:rPr>
                <w:rFonts w:ascii="Verdana" w:hAnsi="Verdana"/>
                <w:b/>
                <w:sz w:val="18"/>
                <w:szCs w:val="18"/>
              </w:rPr>
            </w:pPr>
          </w:p>
          <w:p w14:paraId="32C3612D" w14:textId="77777777" w:rsidR="008715BE" w:rsidRPr="00EC75B7" w:rsidRDefault="008715BE">
            <w:pPr>
              <w:pStyle w:val="TableParagraph"/>
              <w:rPr>
                <w:rFonts w:ascii="Verdana" w:hAnsi="Verdana"/>
                <w:b/>
                <w:sz w:val="18"/>
                <w:szCs w:val="18"/>
              </w:rPr>
            </w:pPr>
          </w:p>
          <w:p w14:paraId="0C73D45E" w14:textId="77777777" w:rsidR="008715BE" w:rsidRPr="00EC75B7" w:rsidRDefault="008715BE">
            <w:pPr>
              <w:pStyle w:val="TableParagraph"/>
              <w:spacing w:before="99"/>
              <w:rPr>
                <w:rFonts w:ascii="Verdana" w:hAnsi="Verdana"/>
                <w:b/>
                <w:sz w:val="18"/>
                <w:szCs w:val="18"/>
              </w:rPr>
            </w:pPr>
          </w:p>
          <w:p w14:paraId="52A6C588"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62F4D2C3" w14:textId="77777777" w:rsidR="008715BE" w:rsidRPr="00EC75B7" w:rsidRDefault="008715BE">
            <w:pPr>
              <w:pStyle w:val="TableParagraph"/>
              <w:rPr>
                <w:rFonts w:ascii="Verdana" w:hAnsi="Verdana"/>
                <w:b/>
                <w:sz w:val="18"/>
                <w:szCs w:val="18"/>
              </w:rPr>
            </w:pPr>
          </w:p>
          <w:p w14:paraId="6546734E" w14:textId="77777777" w:rsidR="008715BE" w:rsidRPr="00EC75B7" w:rsidRDefault="008715BE">
            <w:pPr>
              <w:pStyle w:val="TableParagraph"/>
              <w:rPr>
                <w:rFonts w:ascii="Verdana" w:hAnsi="Verdana"/>
                <w:b/>
                <w:sz w:val="18"/>
                <w:szCs w:val="18"/>
              </w:rPr>
            </w:pPr>
          </w:p>
          <w:p w14:paraId="5AC269D3" w14:textId="77777777" w:rsidR="008715BE" w:rsidRPr="00EC75B7" w:rsidRDefault="008715BE">
            <w:pPr>
              <w:pStyle w:val="TableParagraph"/>
              <w:rPr>
                <w:rFonts w:ascii="Verdana" w:hAnsi="Verdana"/>
                <w:b/>
                <w:sz w:val="18"/>
                <w:szCs w:val="18"/>
              </w:rPr>
            </w:pPr>
          </w:p>
          <w:p w14:paraId="6F62B278" w14:textId="77777777" w:rsidR="008715BE" w:rsidRPr="00EC75B7" w:rsidRDefault="008715BE">
            <w:pPr>
              <w:pStyle w:val="TableParagraph"/>
              <w:rPr>
                <w:rFonts w:ascii="Verdana" w:hAnsi="Verdana"/>
                <w:b/>
                <w:sz w:val="18"/>
                <w:szCs w:val="18"/>
              </w:rPr>
            </w:pPr>
          </w:p>
          <w:p w14:paraId="3865983C" w14:textId="77777777" w:rsidR="008715BE" w:rsidRPr="00EC75B7" w:rsidRDefault="008715BE">
            <w:pPr>
              <w:pStyle w:val="TableParagraph"/>
              <w:spacing w:before="99"/>
              <w:rPr>
                <w:rFonts w:ascii="Verdana" w:hAnsi="Verdana"/>
                <w:b/>
                <w:sz w:val="18"/>
                <w:szCs w:val="18"/>
              </w:rPr>
            </w:pPr>
          </w:p>
          <w:p w14:paraId="2C8E0C57"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07C3793" w14:textId="77777777" w:rsidR="008715BE" w:rsidRPr="00EC75B7" w:rsidRDefault="008715BE">
            <w:pPr>
              <w:pStyle w:val="TableParagraph"/>
              <w:rPr>
                <w:rFonts w:ascii="Verdana" w:hAnsi="Verdana"/>
                <w:b/>
                <w:sz w:val="18"/>
                <w:szCs w:val="18"/>
              </w:rPr>
            </w:pPr>
          </w:p>
          <w:p w14:paraId="186CF7AB" w14:textId="77777777" w:rsidR="008715BE" w:rsidRPr="00EC75B7" w:rsidRDefault="008715BE">
            <w:pPr>
              <w:pStyle w:val="TableParagraph"/>
              <w:rPr>
                <w:rFonts w:ascii="Verdana" w:hAnsi="Verdana"/>
                <w:b/>
                <w:sz w:val="18"/>
                <w:szCs w:val="18"/>
              </w:rPr>
            </w:pPr>
          </w:p>
          <w:p w14:paraId="276618DD" w14:textId="77777777" w:rsidR="008715BE" w:rsidRPr="00EC75B7" w:rsidRDefault="008715BE">
            <w:pPr>
              <w:pStyle w:val="TableParagraph"/>
              <w:rPr>
                <w:rFonts w:ascii="Verdana" w:hAnsi="Verdana"/>
                <w:b/>
                <w:sz w:val="18"/>
                <w:szCs w:val="18"/>
              </w:rPr>
            </w:pPr>
          </w:p>
          <w:p w14:paraId="12D4A38A" w14:textId="77777777" w:rsidR="008715BE" w:rsidRPr="00EC75B7" w:rsidRDefault="008715BE">
            <w:pPr>
              <w:pStyle w:val="TableParagraph"/>
              <w:rPr>
                <w:rFonts w:ascii="Verdana" w:hAnsi="Verdana"/>
                <w:b/>
                <w:sz w:val="18"/>
                <w:szCs w:val="18"/>
              </w:rPr>
            </w:pPr>
          </w:p>
          <w:p w14:paraId="0292A307" w14:textId="77777777" w:rsidR="008715BE" w:rsidRPr="00EC75B7" w:rsidRDefault="008715BE">
            <w:pPr>
              <w:pStyle w:val="TableParagraph"/>
              <w:spacing w:before="99"/>
              <w:rPr>
                <w:rFonts w:ascii="Verdana" w:hAnsi="Verdana"/>
                <w:b/>
                <w:sz w:val="18"/>
                <w:szCs w:val="18"/>
              </w:rPr>
            </w:pPr>
          </w:p>
          <w:p w14:paraId="4E84F85E"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5E390A29" w14:textId="77777777" w:rsidR="008715BE" w:rsidRPr="00EC75B7" w:rsidRDefault="008715BE">
            <w:pPr>
              <w:pStyle w:val="TableParagraph"/>
              <w:rPr>
                <w:rFonts w:ascii="Verdana" w:hAnsi="Verdana"/>
                <w:b/>
                <w:sz w:val="18"/>
                <w:szCs w:val="18"/>
              </w:rPr>
            </w:pPr>
          </w:p>
          <w:p w14:paraId="4D47B9D6" w14:textId="77777777" w:rsidR="008715BE" w:rsidRPr="00EC75B7" w:rsidRDefault="008715BE">
            <w:pPr>
              <w:pStyle w:val="TableParagraph"/>
              <w:rPr>
                <w:rFonts w:ascii="Verdana" w:hAnsi="Verdana"/>
                <w:b/>
                <w:sz w:val="18"/>
                <w:szCs w:val="18"/>
              </w:rPr>
            </w:pPr>
          </w:p>
          <w:p w14:paraId="53B112A5" w14:textId="77777777" w:rsidR="008715BE" w:rsidRPr="00EC75B7" w:rsidRDefault="008715BE">
            <w:pPr>
              <w:pStyle w:val="TableParagraph"/>
              <w:rPr>
                <w:rFonts w:ascii="Verdana" w:hAnsi="Verdana"/>
                <w:b/>
                <w:sz w:val="18"/>
                <w:szCs w:val="18"/>
              </w:rPr>
            </w:pPr>
          </w:p>
          <w:p w14:paraId="4B251DDB" w14:textId="77777777" w:rsidR="008715BE" w:rsidRPr="00EC75B7" w:rsidRDefault="008715BE">
            <w:pPr>
              <w:pStyle w:val="TableParagraph"/>
              <w:rPr>
                <w:rFonts w:ascii="Verdana" w:hAnsi="Verdana"/>
                <w:b/>
                <w:sz w:val="18"/>
                <w:szCs w:val="18"/>
              </w:rPr>
            </w:pPr>
          </w:p>
          <w:p w14:paraId="69F73332" w14:textId="77777777" w:rsidR="008715BE" w:rsidRPr="00EC75B7" w:rsidRDefault="008715BE">
            <w:pPr>
              <w:pStyle w:val="TableParagraph"/>
              <w:spacing w:before="99"/>
              <w:rPr>
                <w:rFonts w:ascii="Verdana" w:hAnsi="Verdana"/>
                <w:b/>
                <w:sz w:val="18"/>
                <w:szCs w:val="18"/>
              </w:rPr>
            </w:pPr>
          </w:p>
          <w:p w14:paraId="4B7400CC"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C4F60B6" w14:textId="77777777" w:rsidR="008715BE" w:rsidRPr="00EC75B7" w:rsidRDefault="008715BE">
            <w:pPr>
              <w:pStyle w:val="TableParagraph"/>
              <w:rPr>
                <w:rFonts w:ascii="Verdana" w:hAnsi="Verdana"/>
                <w:b/>
                <w:sz w:val="18"/>
                <w:szCs w:val="18"/>
              </w:rPr>
            </w:pPr>
          </w:p>
          <w:p w14:paraId="4C3DEE59" w14:textId="77777777" w:rsidR="008715BE" w:rsidRPr="00EC75B7" w:rsidRDefault="008715BE">
            <w:pPr>
              <w:pStyle w:val="TableParagraph"/>
              <w:rPr>
                <w:rFonts w:ascii="Verdana" w:hAnsi="Verdana"/>
                <w:b/>
                <w:sz w:val="18"/>
                <w:szCs w:val="18"/>
              </w:rPr>
            </w:pPr>
          </w:p>
          <w:p w14:paraId="7EEDAA10" w14:textId="77777777" w:rsidR="008715BE" w:rsidRPr="00EC75B7" w:rsidRDefault="008715BE">
            <w:pPr>
              <w:pStyle w:val="TableParagraph"/>
              <w:rPr>
                <w:rFonts w:ascii="Verdana" w:hAnsi="Verdana"/>
                <w:b/>
                <w:sz w:val="18"/>
                <w:szCs w:val="18"/>
              </w:rPr>
            </w:pPr>
          </w:p>
          <w:p w14:paraId="7EA230EE" w14:textId="77777777" w:rsidR="008715BE" w:rsidRPr="00EC75B7" w:rsidRDefault="008715BE">
            <w:pPr>
              <w:pStyle w:val="TableParagraph"/>
              <w:rPr>
                <w:rFonts w:ascii="Verdana" w:hAnsi="Verdana"/>
                <w:b/>
                <w:sz w:val="18"/>
                <w:szCs w:val="18"/>
              </w:rPr>
            </w:pPr>
          </w:p>
          <w:p w14:paraId="2F3C03E3" w14:textId="77777777" w:rsidR="008715BE" w:rsidRPr="00EC75B7" w:rsidRDefault="008715BE">
            <w:pPr>
              <w:pStyle w:val="TableParagraph"/>
              <w:spacing w:before="99"/>
              <w:rPr>
                <w:rFonts w:ascii="Verdana" w:hAnsi="Verdana"/>
                <w:b/>
                <w:sz w:val="18"/>
                <w:szCs w:val="18"/>
              </w:rPr>
            </w:pPr>
          </w:p>
          <w:p w14:paraId="2C6DE4D2"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0EF01F76" w14:textId="77777777" w:rsidR="008715BE" w:rsidRPr="00EC75B7" w:rsidRDefault="008715BE">
            <w:pPr>
              <w:pStyle w:val="TableParagraph"/>
              <w:rPr>
                <w:rFonts w:ascii="Verdana" w:hAnsi="Verdana"/>
                <w:b/>
                <w:sz w:val="18"/>
                <w:szCs w:val="18"/>
              </w:rPr>
            </w:pPr>
          </w:p>
          <w:p w14:paraId="2CF3BD2C" w14:textId="77777777" w:rsidR="008715BE" w:rsidRPr="00EC75B7" w:rsidRDefault="008715BE">
            <w:pPr>
              <w:pStyle w:val="TableParagraph"/>
              <w:rPr>
                <w:rFonts w:ascii="Verdana" w:hAnsi="Verdana"/>
                <w:b/>
                <w:sz w:val="18"/>
                <w:szCs w:val="18"/>
              </w:rPr>
            </w:pPr>
          </w:p>
          <w:p w14:paraId="1DAD0984" w14:textId="77777777" w:rsidR="008715BE" w:rsidRPr="00EC75B7" w:rsidRDefault="008715BE">
            <w:pPr>
              <w:pStyle w:val="TableParagraph"/>
              <w:rPr>
                <w:rFonts w:ascii="Verdana" w:hAnsi="Verdana"/>
                <w:b/>
                <w:sz w:val="18"/>
                <w:szCs w:val="18"/>
              </w:rPr>
            </w:pPr>
          </w:p>
          <w:p w14:paraId="1252E034" w14:textId="77777777" w:rsidR="008715BE" w:rsidRPr="00EC75B7" w:rsidRDefault="008715BE">
            <w:pPr>
              <w:pStyle w:val="TableParagraph"/>
              <w:rPr>
                <w:rFonts w:ascii="Verdana" w:hAnsi="Verdana"/>
                <w:b/>
                <w:sz w:val="18"/>
                <w:szCs w:val="18"/>
              </w:rPr>
            </w:pPr>
          </w:p>
          <w:p w14:paraId="106FD6CD" w14:textId="77777777" w:rsidR="008715BE" w:rsidRPr="00EC75B7" w:rsidRDefault="008715BE">
            <w:pPr>
              <w:pStyle w:val="TableParagraph"/>
              <w:spacing w:before="99"/>
              <w:rPr>
                <w:rFonts w:ascii="Verdana" w:hAnsi="Verdana"/>
                <w:b/>
                <w:sz w:val="18"/>
                <w:szCs w:val="18"/>
              </w:rPr>
            </w:pPr>
          </w:p>
          <w:p w14:paraId="2D903AE2"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12FC3BA" w14:textId="77777777" w:rsidR="008715BE" w:rsidRPr="00EC75B7" w:rsidRDefault="008715BE">
            <w:pPr>
              <w:pStyle w:val="TableParagraph"/>
              <w:rPr>
                <w:rFonts w:ascii="Verdana" w:hAnsi="Verdana"/>
                <w:b/>
                <w:sz w:val="18"/>
                <w:szCs w:val="18"/>
              </w:rPr>
            </w:pPr>
          </w:p>
          <w:p w14:paraId="70745EF4" w14:textId="77777777" w:rsidR="008715BE" w:rsidRPr="00EC75B7" w:rsidRDefault="008715BE">
            <w:pPr>
              <w:pStyle w:val="TableParagraph"/>
              <w:rPr>
                <w:rFonts w:ascii="Verdana" w:hAnsi="Verdana"/>
                <w:b/>
                <w:sz w:val="18"/>
                <w:szCs w:val="18"/>
              </w:rPr>
            </w:pPr>
          </w:p>
          <w:p w14:paraId="3B6BB32C" w14:textId="77777777" w:rsidR="008715BE" w:rsidRPr="00EC75B7" w:rsidRDefault="008715BE">
            <w:pPr>
              <w:pStyle w:val="TableParagraph"/>
              <w:rPr>
                <w:rFonts w:ascii="Verdana" w:hAnsi="Verdana"/>
                <w:b/>
                <w:sz w:val="18"/>
                <w:szCs w:val="18"/>
              </w:rPr>
            </w:pPr>
          </w:p>
          <w:p w14:paraId="2DC574A1" w14:textId="77777777" w:rsidR="008715BE" w:rsidRPr="00EC75B7" w:rsidRDefault="008715BE">
            <w:pPr>
              <w:pStyle w:val="TableParagraph"/>
              <w:rPr>
                <w:rFonts w:ascii="Verdana" w:hAnsi="Verdana"/>
                <w:b/>
                <w:sz w:val="18"/>
                <w:szCs w:val="18"/>
              </w:rPr>
            </w:pPr>
          </w:p>
          <w:p w14:paraId="0B180F92" w14:textId="77777777" w:rsidR="008715BE" w:rsidRPr="00EC75B7" w:rsidRDefault="008715BE">
            <w:pPr>
              <w:pStyle w:val="TableParagraph"/>
              <w:spacing w:before="99"/>
              <w:rPr>
                <w:rFonts w:ascii="Verdana" w:hAnsi="Verdana"/>
                <w:b/>
                <w:sz w:val="18"/>
                <w:szCs w:val="18"/>
              </w:rPr>
            </w:pPr>
          </w:p>
          <w:p w14:paraId="351A07AA"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42A4E45E" w14:textId="77777777" w:rsidR="008715BE" w:rsidRPr="00EC75B7" w:rsidRDefault="008715BE">
            <w:pPr>
              <w:pStyle w:val="TableParagraph"/>
              <w:rPr>
                <w:rFonts w:ascii="Verdana" w:hAnsi="Verdana"/>
                <w:b/>
                <w:sz w:val="18"/>
                <w:szCs w:val="18"/>
              </w:rPr>
            </w:pPr>
          </w:p>
          <w:p w14:paraId="4AD9BB4C" w14:textId="77777777" w:rsidR="008715BE" w:rsidRPr="00EC75B7" w:rsidRDefault="008715BE">
            <w:pPr>
              <w:pStyle w:val="TableParagraph"/>
              <w:rPr>
                <w:rFonts w:ascii="Verdana" w:hAnsi="Verdana"/>
                <w:b/>
                <w:sz w:val="18"/>
                <w:szCs w:val="18"/>
              </w:rPr>
            </w:pPr>
          </w:p>
          <w:p w14:paraId="1DF32196" w14:textId="77777777" w:rsidR="008715BE" w:rsidRPr="00EC75B7" w:rsidRDefault="008715BE">
            <w:pPr>
              <w:pStyle w:val="TableParagraph"/>
              <w:rPr>
                <w:rFonts w:ascii="Verdana" w:hAnsi="Verdana"/>
                <w:b/>
                <w:sz w:val="18"/>
                <w:szCs w:val="18"/>
              </w:rPr>
            </w:pPr>
          </w:p>
          <w:p w14:paraId="135C3C34" w14:textId="77777777" w:rsidR="008715BE" w:rsidRPr="00EC75B7" w:rsidRDefault="008715BE">
            <w:pPr>
              <w:pStyle w:val="TableParagraph"/>
              <w:rPr>
                <w:rFonts w:ascii="Verdana" w:hAnsi="Verdana"/>
                <w:b/>
                <w:sz w:val="18"/>
                <w:szCs w:val="18"/>
              </w:rPr>
            </w:pPr>
          </w:p>
          <w:p w14:paraId="547E6005" w14:textId="77777777" w:rsidR="008715BE" w:rsidRPr="00EC75B7" w:rsidRDefault="008715BE">
            <w:pPr>
              <w:pStyle w:val="TableParagraph"/>
              <w:spacing w:before="99"/>
              <w:rPr>
                <w:rFonts w:ascii="Verdana" w:hAnsi="Verdana"/>
                <w:b/>
                <w:sz w:val="18"/>
                <w:szCs w:val="18"/>
              </w:rPr>
            </w:pPr>
          </w:p>
          <w:p w14:paraId="0F368473"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3983E115" w14:textId="77777777" w:rsidR="008715BE" w:rsidRPr="00EC75B7" w:rsidRDefault="008715BE">
            <w:pPr>
              <w:pStyle w:val="TableParagraph"/>
              <w:rPr>
                <w:rFonts w:ascii="Verdana" w:hAnsi="Verdana"/>
                <w:b/>
                <w:sz w:val="18"/>
                <w:szCs w:val="18"/>
              </w:rPr>
            </w:pPr>
          </w:p>
          <w:p w14:paraId="135EAA0A" w14:textId="77777777" w:rsidR="008715BE" w:rsidRPr="00EC75B7" w:rsidRDefault="008715BE">
            <w:pPr>
              <w:pStyle w:val="TableParagraph"/>
              <w:rPr>
                <w:rFonts w:ascii="Verdana" w:hAnsi="Verdana"/>
                <w:b/>
                <w:sz w:val="18"/>
                <w:szCs w:val="18"/>
              </w:rPr>
            </w:pPr>
          </w:p>
          <w:p w14:paraId="31ADF915" w14:textId="77777777" w:rsidR="008715BE" w:rsidRPr="00EC75B7" w:rsidRDefault="008715BE">
            <w:pPr>
              <w:pStyle w:val="TableParagraph"/>
              <w:rPr>
                <w:rFonts w:ascii="Verdana" w:hAnsi="Verdana"/>
                <w:b/>
                <w:sz w:val="18"/>
                <w:szCs w:val="18"/>
              </w:rPr>
            </w:pPr>
          </w:p>
          <w:p w14:paraId="7A395DFC" w14:textId="77777777" w:rsidR="008715BE" w:rsidRPr="00EC75B7" w:rsidRDefault="008715BE">
            <w:pPr>
              <w:pStyle w:val="TableParagraph"/>
              <w:rPr>
                <w:rFonts w:ascii="Verdana" w:hAnsi="Verdana"/>
                <w:b/>
                <w:sz w:val="18"/>
                <w:szCs w:val="18"/>
              </w:rPr>
            </w:pPr>
          </w:p>
          <w:p w14:paraId="05D79811" w14:textId="77777777" w:rsidR="008715BE" w:rsidRPr="00EC75B7" w:rsidRDefault="008715BE">
            <w:pPr>
              <w:pStyle w:val="TableParagraph"/>
              <w:spacing w:before="99"/>
              <w:rPr>
                <w:rFonts w:ascii="Verdana" w:hAnsi="Verdana"/>
                <w:b/>
                <w:sz w:val="18"/>
                <w:szCs w:val="18"/>
              </w:rPr>
            </w:pPr>
          </w:p>
          <w:p w14:paraId="3AF1800B"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DCA04DB" w14:textId="77777777" w:rsidR="008715BE" w:rsidRPr="00EC75B7" w:rsidRDefault="008715BE">
            <w:pPr>
              <w:pStyle w:val="TableParagraph"/>
              <w:rPr>
                <w:rFonts w:ascii="Verdana" w:hAnsi="Verdana"/>
                <w:b/>
                <w:sz w:val="18"/>
                <w:szCs w:val="18"/>
              </w:rPr>
            </w:pPr>
          </w:p>
          <w:p w14:paraId="2A291DC0" w14:textId="77777777" w:rsidR="008715BE" w:rsidRPr="00EC75B7" w:rsidRDefault="008715BE">
            <w:pPr>
              <w:pStyle w:val="TableParagraph"/>
              <w:rPr>
                <w:rFonts w:ascii="Verdana" w:hAnsi="Verdana"/>
                <w:b/>
                <w:sz w:val="18"/>
                <w:szCs w:val="18"/>
              </w:rPr>
            </w:pPr>
          </w:p>
          <w:p w14:paraId="06672093" w14:textId="77777777" w:rsidR="008715BE" w:rsidRPr="00EC75B7" w:rsidRDefault="008715BE">
            <w:pPr>
              <w:pStyle w:val="TableParagraph"/>
              <w:rPr>
                <w:rFonts w:ascii="Verdana" w:hAnsi="Verdana"/>
                <w:b/>
                <w:sz w:val="18"/>
                <w:szCs w:val="18"/>
              </w:rPr>
            </w:pPr>
          </w:p>
          <w:p w14:paraId="3D59685E" w14:textId="77777777" w:rsidR="008715BE" w:rsidRPr="00EC75B7" w:rsidRDefault="008715BE">
            <w:pPr>
              <w:pStyle w:val="TableParagraph"/>
              <w:rPr>
                <w:rFonts w:ascii="Verdana" w:hAnsi="Verdana"/>
                <w:b/>
                <w:sz w:val="18"/>
                <w:szCs w:val="18"/>
              </w:rPr>
            </w:pPr>
          </w:p>
          <w:p w14:paraId="2A05A422" w14:textId="77777777" w:rsidR="008715BE" w:rsidRPr="00EC75B7" w:rsidRDefault="008715BE">
            <w:pPr>
              <w:pStyle w:val="TableParagraph"/>
              <w:spacing w:before="99"/>
              <w:rPr>
                <w:rFonts w:ascii="Verdana" w:hAnsi="Verdana"/>
                <w:b/>
                <w:sz w:val="18"/>
                <w:szCs w:val="18"/>
              </w:rPr>
            </w:pPr>
          </w:p>
          <w:p w14:paraId="357678DB"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1D072E7F" w14:textId="77777777" w:rsidR="008715BE" w:rsidRPr="00EC75B7" w:rsidRDefault="008715BE">
            <w:pPr>
              <w:pStyle w:val="TableParagraph"/>
              <w:rPr>
                <w:rFonts w:ascii="Verdana" w:hAnsi="Verdana"/>
                <w:b/>
                <w:sz w:val="18"/>
                <w:szCs w:val="18"/>
              </w:rPr>
            </w:pPr>
          </w:p>
          <w:p w14:paraId="378F75CF" w14:textId="77777777" w:rsidR="008715BE" w:rsidRPr="00EC75B7" w:rsidRDefault="008715BE">
            <w:pPr>
              <w:pStyle w:val="TableParagraph"/>
              <w:rPr>
                <w:rFonts w:ascii="Verdana" w:hAnsi="Verdana"/>
                <w:b/>
                <w:sz w:val="18"/>
                <w:szCs w:val="18"/>
              </w:rPr>
            </w:pPr>
          </w:p>
          <w:p w14:paraId="15A75E78" w14:textId="77777777" w:rsidR="008715BE" w:rsidRPr="00EC75B7" w:rsidRDefault="008715BE">
            <w:pPr>
              <w:pStyle w:val="TableParagraph"/>
              <w:rPr>
                <w:rFonts w:ascii="Verdana" w:hAnsi="Verdana"/>
                <w:b/>
                <w:sz w:val="18"/>
                <w:szCs w:val="18"/>
              </w:rPr>
            </w:pPr>
          </w:p>
          <w:p w14:paraId="50DFD405" w14:textId="77777777" w:rsidR="008715BE" w:rsidRPr="00EC75B7" w:rsidRDefault="008715BE">
            <w:pPr>
              <w:pStyle w:val="TableParagraph"/>
              <w:rPr>
                <w:rFonts w:ascii="Verdana" w:hAnsi="Verdana"/>
                <w:b/>
                <w:sz w:val="18"/>
                <w:szCs w:val="18"/>
              </w:rPr>
            </w:pPr>
          </w:p>
          <w:p w14:paraId="35D5A706" w14:textId="77777777" w:rsidR="008715BE" w:rsidRPr="00EC75B7" w:rsidRDefault="008715BE">
            <w:pPr>
              <w:pStyle w:val="TableParagraph"/>
              <w:spacing w:before="99"/>
              <w:rPr>
                <w:rFonts w:ascii="Verdana" w:hAnsi="Verdana"/>
                <w:b/>
                <w:sz w:val="18"/>
                <w:szCs w:val="18"/>
              </w:rPr>
            </w:pPr>
          </w:p>
          <w:p w14:paraId="60755789"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10AC121E" w14:textId="77777777" w:rsidR="008715BE" w:rsidRPr="00EC75B7" w:rsidRDefault="008715BE">
            <w:pPr>
              <w:pStyle w:val="TableParagraph"/>
              <w:rPr>
                <w:rFonts w:ascii="Verdana" w:hAnsi="Verdana"/>
                <w:b/>
                <w:sz w:val="18"/>
                <w:szCs w:val="18"/>
              </w:rPr>
            </w:pPr>
          </w:p>
          <w:p w14:paraId="343FB93A" w14:textId="77777777" w:rsidR="008715BE" w:rsidRPr="00EC75B7" w:rsidRDefault="008715BE">
            <w:pPr>
              <w:pStyle w:val="TableParagraph"/>
              <w:rPr>
                <w:rFonts w:ascii="Verdana" w:hAnsi="Verdana"/>
                <w:b/>
                <w:sz w:val="18"/>
                <w:szCs w:val="18"/>
              </w:rPr>
            </w:pPr>
          </w:p>
          <w:p w14:paraId="0BB1C5FB" w14:textId="77777777" w:rsidR="008715BE" w:rsidRPr="00EC75B7" w:rsidRDefault="008715BE">
            <w:pPr>
              <w:pStyle w:val="TableParagraph"/>
              <w:rPr>
                <w:rFonts w:ascii="Verdana" w:hAnsi="Verdana"/>
                <w:b/>
                <w:sz w:val="18"/>
                <w:szCs w:val="18"/>
              </w:rPr>
            </w:pPr>
          </w:p>
          <w:p w14:paraId="3E04F4D7" w14:textId="77777777" w:rsidR="008715BE" w:rsidRPr="00EC75B7" w:rsidRDefault="008715BE">
            <w:pPr>
              <w:pStyle w:val="TableParagraph"/>
              <w:rPr>
                <w:rFonts w:ascii="Verdana" w:hAnsi="Verdana"/>
                <w:b/>
                <w:sz w:val="18"/>
                <w:szCs w:val="18"/>
              </w:rPr>
            </w:pPr>
          </w:p>
          <w:p w14:paraId="5F31C0F5" w14:textId="77777777" w:rsidR="008715BE" w:rsidRPr="00EC75B7" w:rsidRDefault="008715BE">
            <w:pPr>
              <w:pStyle w:val="TableParagraph"/>
              <w:spacing w:before="99"/>
              <w:rPr>
                <w:rFonts w:ascii="Verdana" w:hAnsi="Verdana"/>
                <w:b/>
                <w:sz w:val="18"/>
                <w:szCs w:val="18"/>
              </w:rPr>
            </w:pPr>
          </w:p>
          <w:p w14:paraId="12C46394"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132CDFD0" w14:textId="77777777" w:rsidR="008715BE" w:rsidRPr="00EC75B7" w:rsidRDefault="008715BE">
            <w:pPr>
              <w:pStyle w:val="TableParagraph"/>
              <w:rPr>
                <w:rFonts w:ascii="Verdana" w:hAnsi="Verdana"/>
                <w:b/>
                <w:sz w:val="18"/>
                <w:szCs w:val="18"/>
              </w:rPr>
            </w:pPr>
          </w:p>
          <w:p w14:paraId="3B92E722" w14:textId="77777777" w:rsidR="008715BE" w:rsidRPr="00EC75B7" w:rsidRDefault="008715BE">
            <w:pPr>
              <w:pStyle w:val="TableParagraph"/>
              <w:rPr>
                <w:rFonts w:ascii="Verdana" w:hAnsi="Verdana"/>
                <w:b/>
                <w:sz w:val="18"/>
                <w:szCs w:val="18"/>
              </w:rPr>
            </w:pPr>
          </w:p>
          <w:p w14:paraId="0DB9E284" w14:textId="77777777" w:rsidR="008715BE" w:rsidRPr="00EC75B7" w:rsidRDefault="008715BE">
            <w:pPr>
              <w:pStyle w:val="TableParagraph"/>
              <w:rPr>
                <w:rFonts w:ascii="Verdana" w:hAnsi="Verdana"/>
                <w:b/>
                <w:sz w:val="18"/>
                <w:szCs w:val="18"/>
              </w:rPr>
            </w:pPr>
          </w:p>
          <w:p w14:paraId="2F33894B" w14:textId="77777777" w:rsidR="008715BE" w:rsidRPr="00EC75B7" w:rsidRDefault="008715BE">
            <w:pPr>
              <w:pStyle w:val="TableParagraph"/>
              <w:rPr>
                <w:rFonts w:ascii="Verdana" w:hAnsi="Verdana"/>
                <w:b/>
                <w:sz w:val="18"/>
                <w:szCs w:val="18"/>
              </w:rPr>
            </w:pPr>
          </w:p>
          <w:p w14:paraId="6726C395" w14:textId="77777777" w:rsidR="008715BE" w:rsidRPr="00EC75B7" w:rsidRDefault="008715BE">
            <w:pPr>
              <w:pStyle w:val="TableParagraph"/>
              <w:spacing w:before="3"/>
              <w:rPr>
                <w:rFonts w:ascii="Verdana" w:hAnsi="Verdana"/>
                <w:b/>
                <w:sz w:val="18"/>
                <w:szCs w:val="18"/>
              </w:rPr>
            </w:pPr>
          </w:p>
          <w:p w14:paraId="552A13F4"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10463464" w14:textId="77777777">
        <w:trPr>
          <w:trHeight w:val="2332"/>
        </w:trPr>
        <w:tc>
          <w:tcPr>
            <w:tcW w:w="554" w:type="dxa"/>
          </w:tcPr>
          <w:p w14:paraId="6D8845B9" w14:textId="77777777" w:rsidR="008715BE" w:rsidRPr="00EC75B7" w:rsidRDefault="008715BE">
            <w:pPr>
              <w:pStyle w:val="TableParagraph"/>
              <w:rPr>
                <w:rFonts w:ascii="Verdana" w:hAnsi="Verdana"/>
                <w:b/>
                <w:sz w:val="18"/>
                <w:szCs w:val="18"/>
              </w:rPr>
            </w:pPr>
          </w:p>
          <w:p w14:paraId="1FE7BD00" w14:textId="77777777" w:rsidR="008715BE" w:rsidRPr="00EC75B7" w:rsidRDefault="008715BE">
            <w:pPr>
              <w:pStyle w:val="TableParagraph"/>
              <w:rPr>
                <w:rFonts w:ascii="Verdana" w:hAnsi="Verdana"/>
                <w:b/>
                <w:sz w:val="18"/>
                <w:szCs w:val="18"/>
              </w:rPr>
            </w:pPr>
          </w:p>
          <w:p w14:paraId="184A66F8" w14:textId="77777777" w:rsidR="008715BE" w:rsidRPr="00EC75B7" w:rsidRDefault="008715BE">
            <w:pPr>
              <w:pStyle w:val="TableParagraph"/>
              <w:rPr>
                <w:rFonts w:ascii="Verdana" w:hAnsi="Verdana"/>
                <w:b/>
                <w:sz w:val="18"/>
                <w:szCs w:val="18"/>
              </w:rPr>
            </w:pPr>
          </w:p>
          <w:p w14:paraId="795CF3E2" w14:textId="77777777" w:rsidR="008715BE" w:rsidRPr="00EC75B7" w:rsidRDefault="008715BE">
            <w:pPr>
              <w:pStyle w:val="TableParagraph"/>
              <w:rPr>
                <w:rFonts w:ascii="Verdana" w:hAnsi="Verdana"/>
                <w:b/>
                <w:sz w:val="18"/>
                <w:szCs w:val="18"/>
              </w:rPr>
            </w:pPr>
          </w:p>
          <w:p w14:paraId="7E05235A" w14:textId="77777777" w:rsidR="008715BE" w:rsidRPr="00EC75B7" w:rsidRDefault="008715BE">
            <w:pPr>
              <w:pStyle w:val="TableParagraph"/>
              <w:spacing w:before="102"/>
              <w:rPr>
                <w:rFonts w:ascii="Verdana" w:hAnsi="Verdana"/>
                <w:b/>
                <w:sz w:val="18"/>
                <w:szCs w:val="18"/>
              </w:rPr>
            </w:pPr>
          </w:p>
          <w:p w14:paraId="262A3672"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M8</w:t>
            </w:r>
          </w:p>
        </w:tc>
        <w:tc>
          <w:tcPr>
            <w:tcW w:w="6091" w:type="dxa"/>
          </w:tcPr>
          <w:p w14:paraId="3C778BE8" w14:textId="77777777" w:rsidR="008715BE" w:rsidRPr="00EC75B7" w:rsidRDefault="008715BE">
            <w:pPr>
              <w:pStyle w:val="TableParagraph"/>
              <w:rPr>
                <w:rFonts w:ascii="Verdana" w:hAnsi="Verdana"/>
                <w:b/>
                <w:sz w:val="18"/>
                <w:szCs w:val="18"/>
              </w:rPr>
            </w:pPr>
          </w:p>
          <w:p w14:paraId="513F0A9D" w14:textId="77777777" w:rsidR="008715BE" w:rsidRPr="00EC75B7" w:rsidRDefault="008715BE">
            <w:pPr>
              <w:pStyle w:val="TableParagraph"/>
              <w:rPr>
                <w:rFonts w:ascii="Verdana" w:hAnsi="Verdana"/>
                <w:b/>
                <w:sz w:val="18"/>
                <w:szCs w:val="18"/>
              </w:rPr>
            </w:pPr>
          </w:p>
          <w:p w14:paraId="7A86FFE0" w14:textId="77777777" w:rsidR="008715BE" w:rsidRPr="00EC75B7" w:rsidRDefault="008715BE">
            <w:pPr>
              <w:pStyle w:val="TableParagraph"/>
              <w:rPr>
                <w:rFonts w:ascii="Verdana" w:hAnsi="Verdana"/>
                <w:b/>
                <w:sz w:val="18"/>
                <w:szCs w:val="18"/>
              </w:rPr>
            </w:pPr>
          </w:p>
          <w:p w14:paraId="28132239" w14:textId="77777777" w:rsidR="008715BE" w:rsidRPr="00EC75B7" w:rsidRDefault="008715BE">
            <w:pPr>
              <w:pStyle w:val="TableParagraph"/>
              <w:spacing w:before="4"/>
              <w:rPr>
                <w:rFonts w:ascii="Verdana" w:hAnsi="Verdana"/>
                <w:b/>
                <w:sz w:val="18"/>
                <w:szCs w:val="18"/>
              </w:rPr>
            </w:pPr>
          </w:p>
          <w:p w14:paraId="0114A347"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Ensuring proper waste management with regular disposal without using intermediate and non-compliant storage facilities. It is prohibited to abandon waste in the immediate vicinity of the construction site and beyond.</w:t>
            </w:r>
          </w:p>
        </w:tc>
        <w:tc>
          <w:tcPr>
            <w:tcW w:w="1809" w:type="dxa"/>
          </w:tcPr>
          <w:p w14:paraId="0FC8819C"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1A20F499"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in </w:t>
            </w:r>
            <w:r w:rsidRPr="00EC75B7">
              <w:rPr>
                <w:rFonts w:ascii="Verdana" w:hAnsi="Verdana"/>
                <w:spacing w:val="-2"/>
                <w:sz w:val="18"/>
                <w:szCs w:val="18"/>
              </w:rPr>
              <w:t>ROSCI0071, ROSCI0157, ROSPA0166, ROSPA0036, ROSPA0094, BG0000569,</w:t>
            </w:r>
          </w:p>
          <w:p w14:paraId="7D545607"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277534D5" w14:textId="77777777" w:rsidR="008715BE" w:rsidRPr="00EC75B7" w:rsidRDefault="008715BE">
            <w:pPr>
              <w:pStyle w:val="TableParagraph"/>
              <w:rPr>
                <w:rFonts w:ascii="Verdana" w:hAnsi="Verdana"/>
                <w:b/>
                <w:sz w:val="18"/>
                <w:szCs w:val="18"/>
              </w:rPr>
            </w:pPr>
          </w:p>
          <w:p w14:paraId="567888FF" w14:textId="77777777" w:rsidR="008715BE" w:rsidRPr="00EC75B7" w:rsidRDefault="008715BE">
            <w:pPr>
              <w:pStyle w:val="TableParagraph"/>
              <w:rPr>
                <w:rFonts w:ascii="Verdana" w:hAnsi="Verdana"/>
                <w:b/>
                <w:sz w:val="18"/>
                <w:szCs w:val="18"/>
              </w:rPr>
            </w:pPr>
          </w:p>
          <w:p w14:paraId="692C92A0" w14:textId="77777777" w:rsidR="008715BE" w:rsidRPr="00EC75B7" w:rsidRDefault="008715BE">
            <w:pPr>
              <w:pStyle w:val="TableParagraph"/>
              <w:spacing w:before="103"/>
              <w:rPr>
                <w:rFonts w:ascii="Verdana" w:hAnsi="Verdana"/>
                <w:b/>
                <w:sz w:val="18"/>
                <w:szCs w:val="18"/>
              </w:rPr>
            </w:pPr>
          </w:p>
          <w:p w14:paraId="6E01E4DB"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59B59281" w14:textId="77777777" w:rsidR="008715BE" w:rsidRPr="00EC75B7" w:rsidRDefault="008715BE">
            <w:pPr>
              <w:pStyle w:val="TableParagraph"/>
              <w:rPr>
                <w:rFonts w:ascii="Verdana" w:hAnsi="Verdana"/>
                <w:b/>
                <w:sz w:val="18"/>
                <w:szCs w:val="18"/>
              </w:rPr>
            </w:pPr>
          </w:p>
          <w:p w14:paraId="25C23CE6" w14:textId="77777777" w:rsidR="008715BE" w:rsidRPr="00EC75B7" w:rsidRDefault="008715BE">
            <w:pPr>
              <w:pStyle w:val="TableParagraph"/>
              <w:rPr>
                <w:rFonts w:ascii="Verdana" w:hAnsi="Verdana"/>
                <w:b/>
                <w:sz w:val="18"/>
                <w:szCs w:val="18"/>
              </w:rPr>
            </w:pPr>
          </w:p>
          <w:p w14:paraId="27A71BD2" w14:textId="77777777" w:rsidR="008715BE" w:rsidRPr="00EC75B7" w:rsidRDefault="008715BE">
            <w:pPr>
              <w:pStyle w:val="TableParagraph"/>
              <w:rPr>
                <w:rFonts w:ascii="Verdana" w:hAnsi="Verdana"/>
                <w:b/>
                <w:sz w:val="18"/>
                <w:szCs w:val="18"/>
              </w:rPr>
            </w:pPr>
          </w:p>
          <w:p w14:paraId="50E32014" w14:textId="77777777" w:rsidR="008715BE" w:rsidRPr="00EC75B7" w:rsidRDefault="008715BE">
            <w:pPr>
              <w:pStyle w:val="TableParagraph"/>
              <w:rPr>
                <w:rFonts w:ascii="Verdana" w:hAnsi="Verdana"/>
                <w:b/>
                <w:sz w:val="18"/>
                <w:szCs w:val="18"/>
              </w:rPr>
            </w:pPr>
          </w:p>
          <w:p w14:paraId="34528279" w14:textId="77777777" w:rsidR="008715BE" w:rsidRPr="00EC75B7" w:rsidRDefault="008715BE">
            <w:pPr>
              <w:pStyle w:val="TableParagraph"/>
              <w:spacing w:before="102"/>
              <w:rPr>
                <w:rFonts w:ascii="Verdana" w:hAnsi="Verdana"/>
                <w:b/>
                <w:sz w:val="18"/>
                <w:szCs w:val="18"/>
              </w:rPr>
            </w:pPr>
          </w:p>
          <w:p w14:paraId="5C642250"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2"/>
                <w:sz w:val="18"/>
                <w:szCs w:val="18"/>
              </w:rPr>
              <w:t>AH,PAS</w:t>
            </w:r>
          </w:p>
        </w:tc>
        <w:tc>
          <w:tcPr>
            <w:tcW w:w="269" w:type="dxa"/>
          </w:tcPr>
          <w:p w14:paraId="08854669" w14:textId="77777777" w:rsidR="008715BE" w:rsidRPr="00EC75B7" w:rsidRDefault="008715BE">
            <w:pPr>
              <w:pStyle w:val="TableParagraph"/>
              <w:rPr>
                <w:rFonts w:ascii="Verdana" w:hAnsi="Verdana"/>
                <w:b/>
                <w:sz w:val="18"/>
                <w:szCs w:val="18"/>
              </w:rPr>
            </w:pPr>
          </w:p>
          <w:p w14:paraId="7BEADA78" w14:textId="77777777" w:rsidR="008715BE" w:rsidRPr="00EC75B7" w:rsidRDefault="008715BE">
            <w:pPr>
              <w:pStyle w:val="TableParagraph"/>
              <w:rPr>
                <w:rFonts w:ascii="Verdana" w:hAnsi="Verdana"/>
                <w:b/>
                <w:sz w:val="18"/>
                <w:szCs w:val="18"/>
              </w:rPr>
            </w:pPr>
          </w:p>
          <w:p w14:paraId="7BCC33DD" w14:textId="77777777" w:rsidR="008715BE" w:rsidRPr="00EC75B7" w:rsidRDefault="008715BE">
            <w:pPr>
              <w:pStyle w:val="TableParagraph"/>
              <w:rPr>
                <w:rFonts w:ascii="Verdana" w:hAnsi="Verdana"/>
                <w:b/>
                <w:sz w:val="18"/>
                <w:szCs w:val="18"/>
              </w:rPr>
            </w:pPr>
          </w:p>
          <w:p w14:paraId="63EE924E" w14:textId="77777777" w:rsidR="008715BE" w:rsidRPr="00EC75B7" w:rsidRDefault="008715BE">
            <w:pPr>
              <w:pStyle w:val="TableParagraph"/>
              <w:rPr>
                <w:rFonts w:ascii="Verdana" w:hAnsi="Verdana"/>
                <w:b/>
                <w:sz w:val="18"/>
                <w:szCs w:val="18"/>
              </w:rPr>
            </w:pPr>
          </w:p>
          <w:p w14:paraId="526F9F43" w14:textId="77777777" w:rsidR="008715BE" w:rsidRPr="00EC75B7" w:rsidRDefault="008715BE">
            <w:pPr>
              <w:pStyle w:val="TableParagraph"/>
              <w:spacing w:before="102"/>
              <w:rPr>
                <w:rFonts w:ascii="Verdana" w:hAnsi="Verdana"/>
                <w:b/>
                <w:sz w:val="18"/>
                <w:szCs w:val="18"/>
              </w:rPr>
            </w:pPr>
          </w:p>
          <w:p w14:paraId="1F3DC0E2"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1F1D5507" w14:textId="77777777" w:rsidR="008715BE" w:rsidRPr="00EC75B7" w:rsidRDefault="008715BE">
            <w:pPr>
              <w:pStyle w:val="TableParagraph"/>
              <w:rPr>
                <w:rFonts w:ascii="Verdana" w:hAnsi="Verdana"/>
                <w:b/>
                <w:sz w:val="18"/>
                <w:szCs w:val="18"/>
              </w:rPr>
            </w:pPr>
          </w:p>
          <w:p w14:paraId="4353A67D" w14:textId="77777777" w:rsidR="008715BE" w:rsidRPr="00EC75B7" w:rsidRDefault="008715BE">
            <w:pPr>
              <w:pStyle w:val="TableParagraph"/>
              <w:rPr>
                <w:rFonts w:ascii="Verdana" w:hAnsi="Verdana"/>
                <w:b/>
                <w:sz w:val="18"/>
                <w:szCs w:val="18"/>
              </w:rPr>
            </w:pPr>
          </w:p>
          <w:p w14:paraId="7B26E50B" w14:textId="77777777" w:rsidR="008715BE" w:rsidRPr="00EC75B7" w:rsidRDefault="008715BE">
            <w:pPr>
              <w:pStyle w:val="TableParagraph"/>
              <w:rPr>
                <w:rFonts w:ascii="Verdana" w:hAnsi="Verdana"/>
                <w:b/>
                <w:sz w:val="18"/>
                <w:szCs w:val="18"/>
              </w:rPr>
            </w:pPr>
          </w:p>
          <w:p w14:paraId="1E2DDCD2" w14:textId="77777777" w:rsidR="008715BE" w:rsidRPr="00EC75B7" w:rsidRDefault="008715BE">
            <w:pPr>
              <w:pStyle w:val="TableParagraph"/>
              <w:rPr>
                <w:rFonts w:ascii="Verdana" w:hAnsi="Verdana"/>
                <w:b/>
                <w:sz w:val="18"/>
                <w:szCs w:val="18"/>
              </w:rPr>
            </w:pPr>
          </w:p>
          <w:p w14:paraId="607D27A6" w14:textId="77777777" w:rsidR="008715BE" w:rsidRPr="00EC75B7" w:rsidRDefault="008715BE">
            <w:pPr>
              <w:pStyle w:val="TableParagraph"/>
              <w:spacing w:before="102"/>
              <w:rPr>
                <w:rFonts w:ascii="Verdana" w:hAnsi="Verdana"/>
                <w:b/>
                <w:sz w:val="18"/>
                <w:szCs w:val="18"/>
              </w:rPr>
            </w:pPr>
          </w:p>
          <w:p w14:paraId="3C66F075"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54239A96" w14:textId="77777777" w:rsidR="008715BE" w:rsidRPr="00EC75B7" w:rsidRDefault="008715BE">
            <w:pPr>
              <w:pStyle w:val="TableParagraph"/>
              <w:rPr>
                <w:rFonts w:ascii="Verdana" w:hAnsi="Verdana"/>
                <w:b/>
                <w:sz w:val="18"/>
                <w:szCs w:val="18"/>
              </w:rPr>
            </w:pPr>
          </w:p>
          <w:p w14:paraId="74EE3D69" w14:textId="77777777" w:rsidR="008715BE" w:rsidRPr="00EC75B7" w:rsidRDefault="008715BE">
            <w:pPr>
              <w:pStyle w:val="TableParagraph"/>
              <w:rPr>
                <w:rFonts w:ascii="Verdana" w:hAnsi="Verdana"/>
                <w:b/>
                <w:sz w:val="18"/>
                <w:szCs w:val="18"/>
              </w:rPr>
            </w:pPr>
          </w:p>
          <w:p w14:paraId="72B6EBF0" w14:textId="77777777" w:rsidR="008715BE" w:rsidRPr="00EC75B7" w:rsidRDefault="008715BE">
            <w:pPr>
              <w:pStyle w:val="TableParagraph"/>
              <w:rPr>
                <w:rFonts w:ascii="Verdana" w:hAnsi="Verdana"/>
                <w:b/>
                <w:sz w:val="18"/>
                <w:szCs w:val="18"/>
              </w:rPr>
            </w:pPr>
          </w:p>
          <w:p w14:paraId="6E864DB2" w14:textId="77777777" w:rsidR="008715BE" w:rsidRPr="00EC75B7" w:rsidRDefault="008715BE">
            <w:pPr>
              <w:pStyle w:val="TableParagraph"/>
              <w:rPr>
                <w:rFonts w:ascii="Verdana" w:hAnsi="Verdana"/>
                <w:b/>
                <w:sz w:val="18"/>
                <w:szCs w:val="18"/>
              </w:rPr>
            </w:pPr>
          </w:p>
          <w:p w14:paraId="315F9B14" w14:textId="77777777" w:rsidR="008715BE" w:rsidRPr="00EC75B7" w:rsidRDefault="008715BE">
            <w:pPr>
              <w:pStyle w:val="TableParagraph"/>
              <w:spacing w:before="102"/>
              <w:rPr>
                <w:rFonts w:ascii="Verdana" w:hAnsi="Verdana"/>
                <w:b/>
                <w:sz w:val="18"/>
                <w:szCs w:val="18"/>
              </w:rPr>
            </w:pPr>
          </w:p>
          <w:p w14:paraId="3BCD1A05"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466BFDCB" w14:textId="77777777" w:rsidR="008715BE" w:rsidRPr="00EC75B7" w:rsidRDefault="008715BE">
            <w:pPr>
              <w:pStyle w:val="TableParagraph"/>
              <w:rPr>
                <w:rFonts w:ascii="Verdana" w:hAnsi="Verdana"/>
                <w:b/>
                <w:sz w:val="18"/>
                <w:szCs w:val="18"/>
              </w:rPr>
            </w:pPr>
          </w:p>
          <w:p w14:paraId="37F435A1" w14:textId="77777777" w:rsidR="008715BE" w:rsidRPr="00EC75B7" w:rsidRDefault="008715BE">
            <w:pPr>
              <w:pStyle w:val="TableParagraph"/>
              <w:rPr>
                <w:rFonts w:ascii="Verdana" w:hAnsi="Verdana"/>
                <w:b/>
                <w:sz w:val="18"/>
                <w:szCs w:val="18"/>
              </w:rPr>
            </w:pPr>
          </w:p>
          <w:p w14:paraId="2EBA3602" w14:textId="77777777" w:rsidR="008715BE" w:rsidRPr="00EC75B7" w:rsidRDefault="008715BE">
            <w:pPr>
              <w:pStyle w:val="TableParagraph"/>
              <w:rPr>
                <w:rFonts w:ascii="Verdana" w:hAnsi="Verdana"/>
                <w:b/>
                <w:sz w:val="18"/>
                <w:szCs w:val="18"/>
              </w:rPr>
            </w:pPr>
          </w:p>
          <w:p w14:paraId="38B6C05F" w14:textId="77777777" w:rsidR="008715BE" w:rsidRPr="00EC75B7" w:rsidRDefault="008715BE">
            <w:pPr>
              <w:pStyle w:val="TableParagraph"/>
              <w:rPr>
                <w:rFonts w:ascii="Verdana" w:hAnsi="Verdana"/>
                <w:b/>
                <w:sz w:val="18"/>
                <w:szCs w:val="18"/>
              </w:rPr>
            </w:pPr>
          </w:p>
          <w:p w14:paraId="55FEC797" w14:textId="77777777" w:rsidR="008715BE" w:rsidRPr="00EC75B7" w:rsidRDefault="008715BE">
            <w:pPr>
              <w:pStyle w:val="TableParagraph"/>
              <w:spacing w:before="102"/>
              <w:rPr>
                <w:rFonts w:ascii="Verdana" w:hAnsi="Verdana"/>
                <w:b/>
                <w:sz w:val="18"/>
                <w:szCs w:val="18"/>
              </w:rPr>
            </w:pPr>
          </w:p>
          <w:p w14:paraId="2A3BC5D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5221CF14" w14:textId="77777777" w:rsidR="008715BE" w:rsidRPr="00EC75B7" w:rsidRDefault="008715BE">
            <w:pPr>
              <w:pStyle w:val="TableParagraph"/>
              <w:rPr>
                <w:rFonts w:ascii="Verdana" w:hAnsi="Verdana"/>
                <w:b/>
                <w:sz w:val="18"/>
                <w:szCs w:val="18"/>
              </w:rPr>
            </w:pPr>
          </w:p>
          <w:p w14:paraId="76120369" w14:textId="77777777" w:rsidR="008715BE" w:rsidRPr="00EC75B7" w:rsidRDefault="008715BE">
            <w:pPr>
              <w:pStyle w:val="TableParagraph"/>
              <w:rPr>
                <w:rFonts w:ascii="Verdana" w:hAnsi="Verdana"/>
                <w:b/>
                <w:sz w:val="18"/>
                <w:szCs w:val="18"/>
              </w:rPr>
            </w:pPr>
          </w:p>
          <w:p w14:paraId="2C19C87C" w14:textId="77777777" w:rsidR="008715BE" w:rsidRPr="00EC75B7" w:rsidRDefault="008715BE">
            <w:pPr>
              <w:pStyle w:val="TableParagraph"/>
              <w:rPr>
                <w:rFonts w:ascii="Verdana" w:hAnsi="Verdana"/>
                <w:b/>
                <w:sz w:val="18"/>
                <w:szCs w:val="18"/>
              </w:rPr>
            </w:pPr>
          </w:p>
          <w:p w14:paraId="742D01E7" w14:textId="77777777" w:rsidR="008715BE" w:rsidRPr="00EC75B7" w:rsidRDefault="008715BE">
            <w:pPr>
              <w:pStyle w:val="TableParagraph"/>
              <w:rPr>
                <w:rFonts w:ascii="Verdana" w:hAnsi="Verdana"/>
                <w:b/>
                <w:sz w:val="18"/>
                <w:szCs w:val="18"/>
              </w:rPr>
            </w:pPr>
          </w:p>
          <w:p w14:paraId="7DAEF858" w14:textId="77777777" w:rsidR="008715BE" w:rsidRPr="00EC75B7" w:rsidRDefault="008715BE">
            <w:pPr>
              <w:pStyle w:val="TableParagraph"/>
              <w:spacing w:before="102"/>
              <w:rPr>
                <w:rFonts w:ascii="Verdana" w:hAnsi="Verdana"/>
                <w:b/>
                <w:sz w:val="18"/>
                <w:szCs w:val="18"/>
              </w:rPr>
            </w:pPr>
          </w:p>
          <w:p w14:paraId="3C7A4ADE"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A970D13" w14:textId="77777777" w:rsidR="008715BE" w:rsidRPr="00EC75B7" w:rsidRDefault="008715BE">
            <w:pPr>
              <w:pStyle w:val="TableParagraph"/>
              <w:rPr>
                <w:rFonts w:ascii="Verdana" w:hAnsi="Verdana"/>
                <w:b/>
                <w:sz w:val="18"/>
                <w:szCs w:val="18"/>
              </w:rPr>
            </w:pPr>
          </w:p>
          <w:p w14:paraId="4FDD775B" w14:textId="77777777" w:rsidR="008715BE" w:rsidRPr="00EC75B7" w:rsidRDefault="008715BE">
            <w:pPr>
              <w:pStyle w:val="TableParagraph"/>
              <w:rPr>
                <w:rFonts w:ascii="Verdana" w:hAnsi="Verdana"/>
                <w:b/>
                <w:sz w:val="18"/>
                <w:szCs w:val="18"/>
              </w:rPr>
            </w:pPr>
          </w:p>
          <w:p w14:paraId="7E38B5A5" w14:textId="77777777" w:rsidR="008715BE" w:rsidRPr="00EC75B7" w:rsidRDefault="008715BE">
            <w:pPr>
              <w:pStyle w:val="TableParagraph"/>
              <w:rPr>
                <w:rFonts w:ascii="Verdana" w:hAnsi="Verdana"/>
                <w:b/>
                <w:sz w:val="18"/>
                <w:szCs w:val="18"/>
              </w:rPr>
            </w:pPr>
          </w:p>
          <w:p w14:paraId="609D881B" w14:textId="77777777" w:rsidR="008715BE" w:rsidRPr="00EC75B7" w:rsidRDefault="008715BE">
            <w:pPr>
              <w:pStyle w:val="TableParagraph"/>
              <w:rPr>
                <w:rFonts w:ascii="Verdana" w:hAnsi="Verdana"/>
                <w:b/>
                <w:sz w:val="18"/>
                <w:szCs w:val="18"/>
              </w:rPr>
            </w:pPr>
          </w:p>
          <w:p w14:paraId="167B55BE" w14:textId="77777777" w:rsidR="008715BE" w:rsidRPr="00EC75B7" w:rsidRDefault="008715BE">
            <w:pPr>
              <w:pStyle w:val="TableParagraph"/>
              <w:spacing w:before="102"/>
              <w:rPr>
                <w:rFonts w:ascii="Verdana" w:hAnsi="Verdana"/>
                <w:b/>
                <w:sz w:val="18"/>
                <w:szCs w:val="18"/>
              </w:rPr>
            </w:pPr>
          </w:p>
          <w:p w14:paraId="14951D03"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3786BE67" w14:textId="77777777" w:rsidR="008715BE" w:rsidRPr="00EC75B7" w:rsidRDefault="008715BE">
            <w:pPr>
              <w:pStyle w:val="TableParagraph"/>
              <w:rPr>
                <w:rFonts w:ascii="Verdana" w:hAnsi="Verdana"/>
                <w:b/>
                <w:sz w:val="18"/>
                <w:szCs w:val="18"/>
              </w:rPr>
            </w:pPr>
          </w:p>
          <w:p w14:paraId="474345BE" w14:textId="77777777" w:rsidR="008715BE" w:rsidRPr="00EC75B7" w:rsidRDefault="008715BE">
            <w:pPr>
              <w:pStyle w:val="TableParagraph"/>
              <w:rPr>
                <w:rFonts w:ascii="Verdana" w:hAnsi="Verdana"/>
                <w:b/>
                <w:sz w:val="18"/>
                <w:szCs w:val="18"/>
              </w:rPr>
            </w:pPr>
          </w:p>
          <w:p w14:paraId="7AD75912" w14:textId="77777777" w:rsidR="008715BE" w:rsidRPr="00EC75B7" w:rsidRDefault="008715BE">
            <w:pPr>
              <w:pStyle w:val="TableParagraph"/>
              <w:rPr>
                <w:rFonts w:ascii="Verdana" w:hAnsi="Verdana"/>
                <w:b/>
                <w:sz w:val="18"/>
                <w:szCs w:val="18"/>
              </w:rPr>
            </w:pPr>
          </w:p>
          <w:p w14:paraId="3280F995" w14:textId="77777777" w:rsidR="008715BE" w:rsidRPr="00EC75B7" w:rsidRDefault="008715BE">
            <w:pPr>
              <w:pStyle w:val="TableParagraph"/>
              <w:rPr>
                <w:rFonts w:ascii="Verdana" w:hAnsi="Verdana"/>
                <w:b/>
                <w:sz w:val="18"/>
                <w:szCs w:val="18"/>
              </w:rPr>
            </w:pPr>
          </w:p>
          <w:p w14:paraId="18F38E4A" w14:textId="77777777" w:rsidR="008715BE" w:rsidRPr="00EC75B7" w:rsidRDefault="008715BE">
            <w:pPr>
              <w:pStyle w:val="TableParagraph"/>
              <w:spacing w:before="102"/>
              <w:rPr>
                <w:rFonts w:ascii="Verdana" w:hAnsi="Verdana"/>
                <w:b/>
                <w:sz w:val="18"/>
                <w:szCs w:val="18"/>
              </w:rPr>
            </w:pPr>
          </w:p>
          <w:p w14:paraId="52A67975"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78E6FC5" w14:textId="77777777" w:rsidR="008715BE" w:rsidRPr="00EC75B7" w:rsidRDefault="008715BE">
            <w:pPr>
              <w:pStyle w:val="TableParagraph"/>
              <w:rPr>
                <w:rFonts w:ascii="Verdana" w:hAnsi="Verdana"/>
                <w:b/>
                <w:sz w:val="18"/>
                <w:szCs w:val="18"/>
              </w:rPr>
            </w:pPr>
          </w:p>
          <w:p w14:paraId="0E62B27C" w14:textId="77777777" w:rsidR="008715BE" w:rsidRPr="00EC75B7" w:rsidRDefault="008715BE">
            <w:pPr>
              <w:pStyle w:val="TableParagraph"/>
              <w:rPr>
                <w:rFonts w:ascii="Verdana" w:hAnsi="Verdana"/>
                <w:b/>
                <w:sz w:val="18"/>
                <w:szCs w:val="18"/>
              </w:rPr>
            </w:pPr>
          </w:p>
          <w:p w14:paraId="7B65F152" w14:textId="77777777" w:rsidR="008715BE" w:rsidRPr="00EC75B7" w:rsidRDefault="008715BE">
            <w:pPr>
              <w:pStyle w:val="TableParagraph"/>
              <w:rPr>
                <w:rFonts w:ascii="Verdana" w:hAnsi="Verdana"/>
                <w:b/>
                <w:sz w:val="18"/>
                <w:szCs w:val="18"/>
              </w:rPr>
            </w:pPr>
          </w:p>
          <w:p w14:paraId="10E7D26D" w14:textId="77777777" w:rsidR="008715BE" w:rsidRPr="00EC75B7" w:rsidRDefault="008715BE">
            <w:pPr>
              <w:pStyle w:val="TableParagraph"/>
              <w:rPr>
                <w:rFonts w:ascii="Verdana" w:hAnsi="Verdana"/>
                <w:b/>
                <w:sz w:val="18"/>
                <w:szCs w:val="18"/>
              </w:rPr>
            </w:pPr>
          </w:p>
          <w:p w14:paraId="288047FC" w14:textId="77777777" w:rsidR="008715BE" w:rsidRPr="00EC75B7" w:rsidRDefault="008715BE">
            <w:pPr>
              <w:pStyle w:val="TableParagraph"/>
              <w:spacing w:before="102"/>
              <w:rPr>
                <w:rFonts w:ascii="Verdana" w:hAnsi="Verdana"/>
                <w:b/>
                <w:sz w:val="18"/>
                <w:szCs w:val="18"/>
              </w:rPr>
            </w:pPr>
          </w:p>
          <w:p w14:paraId="5C5664B7"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796295F8" w14:textId="77777777" w:rsidR="008715BE" w:rsidRPr="00EC75B7" w:rsidRDefault="008715BE">
            <w:pPr>
              <w:pStyle w:val="TableParagraph"/>
              <w:rPr>
                <w:rFonts w:ascii="Verdana" w:hAnsi="Verdana"/>
                <w:b/>
                <w:sz w:val="18"/>
                <w:szCs w:val="18"/>
              </w:rPr>
            </w:pPr>
          </w:p>
          <w:p w14:paraId="562054F6" w14:textId="77777777" w:rsidR="008715BE" w:rsidRPr="00EC75B7" w:rsidRDefault="008715BE">
            <w:pPr>
              <w:pStyle w:val="TableParagraph"/>
              <w:rPr>
                <w:rFonts w:ascii="Verdana" w:hAnsi="Verdana"/>
                <w:b/>
                <w:sz w:val="18"/>
                <w:szCs w:val="18"/>
              </w:rPr>
            </w:pPr>
          </w:p>
          <w:p w14:paraId="31684399" w14:textId="77777777" w:rsidR="008715BE" w:rsidRPr="00EC75B7" w:rsidRDefault="008715BE">
            <w:pPr>
              <w:pStyle w:val="TableParagraph"/>
              <w:rPr>
                <w:rFonts w:ascii="Verdana" w:hAnsi="Verdana"/>
                <w:b/>
                <w:sz w:val="18"/>
                <w:szCs w:val="18"/>
              </w:rPr>
            </w:pPr>
          </w:p>
          <w:p w14:paraId="07F62372" w14:textId="77777777" w:rsidR="008715BE" w:rsidRPr="00EC75B7" w:rsidRDefault="008715BE">
            <w:pPr>
              <w:pStyle w:val="TableParagraph"/>
              <w:rPr>
                <w:rFonts w:ascii="Verdana" w:hAnsi="Verdana"/>
                <w:b/>
                <w:sz w:val="18"/>
                <w:szCs w:val="18"/>
              </w:rPr>
            </w:pPr>
          </w:p>
          <w:p w14:paraId="08BA7E3F" w14:textId="77777777" w:rsidR="008715BE" w:rsidRPr="00EC75B7" w:rsidRDefault="008715BE">
            <w:pPr>
              <w:pStyle w:val="TableParagraph"/>
              <w:spacing w:before="102"/>
              <w:rPr>
                <w:rFonts w:ascii="Verdana" w:hAnsi="Verdana"/>
                <w:b/>
                <w:sz w:val="18"/>
                <w:szCs w:val="18"/>
              </w:rPr>
            </w:pPr>
          </w:p>
          <w:p w14:paraId="7589E258"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45BD314B" w14:textId="77777777" w:rsidR="008715BE" w:rsidRPr="00EC75B7" w:rsidRDefault="008715BE">
            <w:pPr>
              <w:pStyle w:val="TableParagraph"/>
              <w:rPr>
                <w:rFonts w:ascii="Verdana" w:hAnsi="Verdana"/>
                <w:b/>
                <w:sz w:val="18"/>
                <w:szCs w:val="18"/>
              </w:rPr>
            </w:pPr>
          </w:p>
          <w:p w14:paraId="0618F6AC" w14:textId="77777777" w:rsidR="008715BE" w:rsidRPr="00EC75B7" w:rsidRDefault="008715BE">
            <w:pPr>
              <w:pStyle w:val="TableParagraph"/>
              <w:rPr>
                <w:rFonts w:ascii="Verdana" w:hAnsi="Verdana"/>
                <w:b/>
                <w:sz w:val="18"/>
                <w:szCs w:val="18"/>
              </w:rPr>
            </w:pPr>
          </w:p>
          <w:p w14:paraId="06BBD198" w14:textId="77777777" w:rsidR="008715BE" w:rsidRPr="00EC75B7" w:rsidRDefault="008715BE">
            <w:pPr>
              <w:pStyle w:val="TableParagraph"/>
              <w:rPr>
                <w:rFonts w:ascii="Verdana" w:hAnsi="Verdana"/>
                <w:b/>
                <w:sz w:val="18"/>
                <w:szCs w:val="18"/>
              </w:rPr>
            </w:pPr>
          </w:p>
          <w:p w14:paraId="6E647507" w14:textId="77777777" w:rsidR="008715BE" w:rsidRPr="00EC75B7" w:rsidRDefault="008715BE">
            <w:pPr>
              <w:pStyle w:val="TableParagraph"/>
              <w:rPr>
                <w:rFonts w:ascii="Verdana" w:hAnsi="Verdana"/>
                <w:b/>
                <w:sz w:val="18"/>
                <w:szCs w:val="18"/>
              </w:rPr>
            </w:pPr>
          </w:p>
          <w:p w14:paraId="1EEA9251" w14:textId="77777777" w:rsidR="008715BE" w:rsidRPr="00EC75B7" w:rsidRDefault="008715BE">
            <w:pPr>
              <w:pStyle w:val="TableParagraph"/>
              <w:spacing w:before="102"/>
              <w:rPr>
                <w:rFonts w:ascii="Verdana" w:hAnsi="Verdana"/>
                <w:b/>
                <w:sz w:val="18"/>
                <w:szCs w:val="18"/>
              </w:rPr>
            </w:pPr>
          </w:p>
          <w:p w14:paraId="27FC022C"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09EC162C" w14:textId="77777777" w:rsidR="008715BE" w:rsidRPr="00EC75B7" w:rsidRDefault="008715BE">
            <w:pPr>
              <w:pStyle w:val="TableParagraph"/>
              <w:rPr>
                <w:rFonts w:ascii="Verdana" w:hAnsi="Verdana"/>
                <w:b/>
                <w:sz w:val="18"/>
                <w:szCs w:val="18"/>
              </w:rPr>
            </w:pPr>
          </w:p>
          <w:p w14:paraId="411B54B3" w14:textId="77777777" w:rsidR="008715BE" w:rsidRPr="00EC75B7" w:rsidRDefault="008715BE">
            <w:pPr>
              <w:pStyle w:val="TableParagraph"/>
              <w:rPr>
                <w:rFonts w:ascii="Verdana" w:hAnsi="Verdana"/>
                <w:b/>
                <w:sz w:val="18"/>
                <w:szCs w:val="18"/>
              </w:rPr>
            </w:pPr>
          </w:p>
          <w:p w14:paraId="508D3224" w14:textId="77777777" w:rsidR="008715BE" w:rsidRPr="00EC75B7" w:rsidRDefault="008715BE">
            <w:pPr>
              <w:pStyle w:val="TableParagraph"/>
              <w:rPr>
                <w:rFonts w:ascii="Verdana" w:hAnsi="Verdana"/>
                <w:b/>
                <w:sz w:val="18"/>
                <w:szCs w:val="18"/>
              </w:rPr>
            </w:pPr>
          </w:p>
          <w:p w14:paraId="53C9641F" w14:textId="77777777" w:rsidR="008715BE" w:rsidRPr="00EC75B7" w:rsidRDefault="008715BE">
            <w:pPr>
              <w:pStyle w:val="TableParagraph"/>
              <w:rPr>
                <w:rFonts w:ascii="Verdana" w:hAnsi="Verdana"/>
                <w:b/>
                <w:sz w:val="18"/>
                <w:szCs w:val="18"/>
              </w:rPr>
            </w:pPr>
          </w:p>
          <w:p w14:paraId="7012D951" w14:textId="77777777" w:rsidR="008715BE" w:rsidRPr="00EC75B7" w:rsidRDefault="008715BE">
            <w:pPr>
              <w:pStyle w:val="TableParagraph"/>
              <w:spacing w:before="102"/>
              <w:rPr>
                <w:rFonts w:ascii="Verdana" w:hAnsi="Verdana"/>
                <w:b/>
                <w:sz w:val="18"/>
                <w:szCs w:val="18"/>
              </w:rPr>
            </w:pPr>
          </w:p>
          <w:p w14:paraId="1E27F363"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7DB0D349" w14:textId="77777777" w:rsidR="008715BE" w:rsidRPr="00EC75B7" w:rsidRDefault="008715BE">
            <w:pPr>
              <w:pStyle w:val="TableParagraph"/>
              <w:rPr>
                <w:rFonts w:ascii="Verdana" w:hAnsi="Verdana"/>
                <w:b/>
                <w:sz w:val="18"/>
                <w:szCs w:val="18"/>
              </w:rPr>
            </w:pPr>
          </w:p>
          <w:p w14:paraId="03A68BD0" w14:textId="77777777" w:rsidR="008715BE" w:rsidRPr="00EC75B7" w:rsidRDefault="008715BE">
            <w:pPr>
              <w:pStyle w:val="TableParagraph"/>
              <w:rPr>
                <w:rFonts w:ascii="Verdana" w:hAnsi="Verdana"/>
                <w:b/>
                <w:sz w:val="18"/>
                <w:szCs w:val="18"/>
              </w:rPr>
            </w:pPr>
          </w:p>
          <w:p w14:paraId="274E5A72" w14:textId="77777777" w:rsidR="008715BE" w:rsidRPr="00EC75B7" w:rsidRDefault="008715BE">
            <w:pPr>
              <w:pStyle w:val="TableParagraph"/>
              <w:rPr>
                <w:rFonts w:ascii="Verdana" w:hAnsi="Verdana"/>
                <w:b/>
                <w:sz w:val="18"/>
                <w:szCs w:val="18"/>
              </w:rPr>
            </w:pPr>
          </w:p>
          <w:p w14:paraId="03F07D84" w14:textId="77777777" w:rsidR="008715BE" w:rsidRPr="00EC75B7" w:rsidRDefault="008715BE">
            <w:pPr>
              <w:pStyle w:val="TableParagraph"/>
              <w:rPr>
                <w:rFonts w:ascii="Verdana" w:hAnsi="Verdana"/>
                <w:b/>
                <w:sz w:val="18"/>
                <w:szCs w:val="18"/>
              </w:rPr>
            </w:pPr>
          </w:p>
          <w:p w14:paraId="3C0BE9F9" w14:textId="77777777" w:rsidR="008715BE" w:rsidRPr="00EC75B7" w:rsidRDefault="008715BE">
            <w:pPr>
              <w:pStyle w:val="TableParagraph"/>
              <w:spacing w:before="102"/>
              <w:rPr>
                <w:rFonts w:ascii="Verdana" w:hAnsi="Verdana"/>
                <w:b/>
                <w:sz w:val="18"/>
                <w:szCs w:val="18"/>
              </w:rPr>
            </w:pPr>
          </w:p>
          <w:p w14:paraId="301BD810"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373CB927" w14:textId="77777777" w:rsidR="008715BE" w:rsidRPr="00EC75B7" w:rsidRDefault="008715BE">
            <w:pPr>
              <w:pStyle w:val="TableParagraph"/>
              <w:rPr>
                <w:rFonts w:ascii="Verdana" w:hAnsi="Verdana"/>
                <w:b/>
                <w:sz w:val="18"/>
                <w:szCs w:val="18"/>
              </w:rPr>
            </w:pPr>
          </w:p>
          <w:p w14:paraId="2F97D0C1" w14:textId="77777777" w:rsidR="008715BE" w:rsidRPr="00EC75B7" w:rsidRDefault="008715BE">
            <w:pPr>
              <w:pStyle w:val="TableParagraph"/>
              <w:rPr>
                <w:rFonts w:ascii="Verdana" w:hAnsi="Verdana"/>
                <w:b/>
                <w:sz w:val="18"/>
                <w:szCs w:val="18"/>
              </w:rPr>
            </w:pPr>
          </w:p>
          <w:p w14:paraId="6E304FCE" w14:textId="77777777" w:rsidR="008715BE" w:rsidRPr="00EC75B7" w:rsidRDefault="008715BE">
            <w:pPr>
              <w:pStyle w:val="TableParagraph"/>
              <w:rPr>
                <w:rFonts w:ascii="Verdana" w:hAnsi="Verdana"/>
                <w:b/>
                <w:sz w:val="18"/>
                <w:szCs w:val="18"/>
              </w:rPr>
            </w:pPr>
          </w:p>
          <w:p w14:paraId="4E728DEB" w14:textId="77777777" w:rsidR="008715BE" w:rsidRPr="00EC75B7" w:rsidRDefault="008715BE">
            <w:pPr>
              <w:pStyle w:val="TableParagraph"/>
              <w:rPr>
                <w:rFonts w:ascii="Verdana" w:hAnsi="Verdana"/>
                <w:b/>
                <w:sz w:val="18"/>
                <w:szCs w:val="18"/>
              </w:rPr>
            </w:pPr>
          </w:p>
          <w:p w14:paraId="1BBB426C" w14:textId="77777777" w:rsidR="008715BE" w:rsidRPr="00EC75B7" w:rsidRDefault="008715BE">
            <w:pPr>
              <w:pStyle w:val="TableParagraph"/>
              <w:spacing w:before="102"/>
              <w:rPr>
                <w:rFonts w:ascii="Verdana" w:hAnsi="Verdana"/>
                <w:b/>
                <w:sz w:val="18"/>
                <w:szCs w:val="18"/>
              </w:rPr>
            </w:pPr>
          </w:p>
          <w:p w14:paraId="79EFD8BC"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015AAAA6" w14:textId="77777777" w:rsidR="008715BE" w:rsidRPr="00EC75B7" w:rsidRDefault="008715BE">
            <w:pPr>
              <w:pStyle w:val="TableParagraph"/>
              <w:rPr>
                <w:rFonts w:ascii="Verdana" w:hAnsi="Verdana"/>
                <w:b/>
                <w:sz w:val="18"/>
                <w:szCs w:val="18"/>
              </w:rPr>
            </w:pPr>
          </w:p>
          <w:p w14:paraId="0E5149A5" w14:textId="77777777" w:rsidR="008715BE" w:rsidRPr="00EC75B7" w:rsidRDefault="008715BE">
            <w:pPr>
              <w:pStyle w:val="TableParagraph"/>
              <w:rPr>
                <w:rFonts w:ascii="Verdana" w:hAnsi="Verdana"/>
                <w:b/>
                <w:sz w:val="18"/>
                <w:szCs w:val="18"/>
              </w:rPr>
            </w:pPr>
          </w:p>
          <w:p w14:paraId="5F830047" w14:textId="77777777" w:rsidR="008715BE" w:rsidRPr="00EC75B7" w:rsidRDefault="008715BE">
            <w:pPr>
              <w:pStyle w:val="TableParagraph"/>
              <w:rPr>
                <w:rFonts w:ascii="Verdana" w:hAnsi="Verdana"/>
                <w:b/>
                <w:sz w:val="18"/>
                <w:szCs w:val="18"/>
              </w:rPr>
            </w:pPr>
          </w:p>
          <w:p w14:paraId="3FAE981F" w14:textId="77777777" w:rsidR="008715BE" w:rsidRPr="00EC75B7" w:rsidRDefault="008715BE">
            <w:pPr>
              <w:pStyle w:val="TableParagraph"/>
              <w:rPr>
                <w:rFonts w:ascii="Verdana" w:hAnsi="Verdana"/>
                <w:b/>
                <w:sz w:val="18"/>
                <w:szCs w:val="18"/>
              </w:rPr>
            </w:pPr>
          </w:p>
          <w:p w14:paraId="280EA3D9" w14:textId="77777777" w:rsidR="008715BE" w:rsidRPr="00EC75B7" w:rsidRDefault="008715BE">
            <w:pPr>
              <w:pStyle w:val="TableParagraph"/>
              <w:spacing w:before="3"/>
              <w:rPr>
                <w:rFonts w:ascii="Verdana" w:hAnsi="Verdana"/>
                <w:b/>
                <w:sz w:val="18"/>
                <w:szCs w:val="18"/>
              </w:rPr>
            </w:pPr>
          </w:p>
          <w:p w14:paraId="54B0735A"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7F820C7F" w14:textId="77777777">
        <w:trPr>
          <w:trHeight w:val="2335"/>
        </w:trPr>
        <w:tc>
          <w:tcPr>
            <w:tcW w:w="554" w:type="dxa"/>
          </w:tcPr>
          <w:p w14:paraId="70549AFF" w14:textId="77777777" w:rsidR="008715BE" w:rsidRPr="00EC75B7" w:rsidRDefault="008715BE">
            <w:pPr>
              <w:pStyle w:val="TableParagraph"/>
              <w:rPr>
                <w:rFonts w:ascii="Verdana" w:hAnsi="Verdana"/>
                <w:b/>
                <w:sz w:val="18"/>
                <w:szCs w:val="18"/>
              </w:rPr>
            </w:pPr>
          </w:p>
          <w:p w14:paraId="78CB0B17" w14:textId="77777777" w:rsidR="008715BE" w:rsidRPr="00EC75B7" w:rsidRDefault="008715BE">
            <w:pPr>
              <w:pStyle w:val="TableParagraph"/>
              <w:rPr>
                <w:rFonts w:ascii="Verdana" w:hAnsi="Verdana"/>
                <w:b/>
                <w:sz w:val="18"/>
                <w:szCs w:val="18"/>
              </w:rPr>
            </w:pPr>
          </w:p>
          <w:p w14:paraId="20756546" w14:textId="77777777" w:rsidR="008715BE" w:rsidRPr="00EC75B7" w:rsidRDefault="008715BE">
            <w:pPr>
              <w:pStyle w:val="TableParagraph"/>
              <w:rPr>
                <w:rFonts w:ascii="Verdana" w:hAnsi="Verdana"/>
                <w:b/>
                <w:sz w:val="18"/>
                <w:szCs w:val="18"/>
              </w:rPr>
            </w:pPr>
          </w:p>
          <w:p w14:paraId="52BAE1E8" w14:textId="77777777" w:rsidR="008715BE" w:rsidRPr="00EC75B7" w:rsidRDefault="008715BE">
            <w:pPr>
              <w:pStyle w:val="TableParagraph"/>
              <w:rPr>
                <w:rFonts w:ascii="Verdana" w:hAnsi="Verdana"/>
                <w:b/>
                <w:sz w:val="18"/>
                <w:szCs w:val="18"/>
              </w:rPr>
            </w:pPr>
          </w:p>
          <w:p w14:paraId="667952F3" w14:textId="77777777" w:rsidR="008715BE" w:rsidRPr="00EC75B7" w:rsidRDefault="008715BE">
            <w:pPr>
              <w:pStyle w:val="TableParagraph"/>
              <w:spacing w:before="102"/>
              <w:rPr>
                <w:rFonts w:ascii="Verdana" w:hAnsi="Verdana"/>
                <w:b/>
                <w:sz w:val="18"/>
                <w:szCs w:val="18"/>
              </w:rPr>
            </w:pPr>
          </w:p>
          <w:p w14:paraId="57703407" w14:textId="77777777" w:rsidR="008715BE" w:rsidRPr="00EC75B7" w:rsidRDefault="00000000">
            <w:pPr>
              <w:pStyle w:val="TableParagraph"/>
              <w:ind w:left="12"/>
              <w:jc w:val="center"/>
              <w:rPr>
                <w:rFonts w:ascii="Verdana" w:hAnsi="Verdana"/>
                <w:sz w:val="18"/>
                <w:szCs w:val="18"/>
              </w:rPr>
            </w:pPr>
            <w:r w:rsidRPr="00EC75B7">
              <w:rPr>
                <w:rFonts w:ascii="Verdana" w:hAnsi="Verdana"/>
                <w:spacing w:val="-5"/>
                <w:sz w:val="18"/>
                <w:szCs w:val="18"/>
              </w:rPr>
              <w:t>M9</w:t>
            </w:r>
          </w:p>
        </w:tc>
        <w:tc>
          <w:tcPr>
            <w:tcW w:w="6091" w:type="dxa"/>
          </w:tcPr>
          <w:p w14:paraId="0688E523" w14:textId="77777777" w:rsidR="008715BE" w:rsidRPr="00EC75B7" w:rsidRDefault="008715BE">
            <w:pPr>
              <w:pStyle w:val="TableParagraph"/>
              <w:rPr>
                <w:rFonts w:ascii="Verdana" w:hAnsi="Verdana"/>
                <w:b/>
                <w:sz w:val="18"/>
                <w:szCs w:val="18"/>
              </w:rPr>
            </w:pPr>
          </w:p>
          <w:p w14:paraId="4CCB151B" w14:textId="77777777" w:rsidR="008715BE" w:rsidRPr="00EC75B7" w:rsidRDefault="008715BE">
            <w:pPr>
              <w:pStyle w:val="TableParagraph"/>
              <w:rPr>
                <w:rFonts w:ascii="Verdana" w:hAnsi="Verdana"/>
                <w:b/>
                <w:sz w:val="18"/>
                <w:szCs w:val="18"/>
              </w:rPr>
            </w:pPr>
          </w:p>
          <w:p w14:paraId="25F578CA" w14:textId="77777777" w:rsidR="008715BE" w:rsidRPr="00EC75B7" w:rsidRDefault="008715BE">
            <w:pPr>
              <w:pStyle w:val="TableParagraph"/>
              <w:rPr>
                <w:rFonts w:ascii="Verdana" w:hAnsi="Verdana"/>
                <w:b/>
                <w:sz w:val="18"/>
                <w:szCs w:val="18"/>
              </w:rPr>
            </w:pPr>
          </w:p>
          <w:p w14:paraId="552797E7" w14:textId="77777777" w:rsidR="008715BE" w:rsidRPr="00EC75B7" w:rsidRDefault="008715BE">
            <w:pPr>
              <w:pStyle w:val="TableParagraph"/>
              <w:rPr>
                <w:rFonts w:ascii="Verdana" w:hAnsi="Verdana"/>
                <w:b/>
                <w:sz w:val="18"/>
                <w:szCs w:val="18"/>
              </w:rPr>
            </w:pPr>
          </w:p>
          <w:p w14:paraId="6AFB4D6F" w14:textId="77777777" w:rsidR="008715BE" w:rsidRPr="00EC75B7" w:rsidRDefault="008715BE">
            <w:pPr>
              <w:pStyle w:val="TableParagraph"/>
              <w:spacing w:before="6"/>
              <w:rPr>
                <w:rFonts w:ascii="Verdana" w:hAnsi="Verdana"/>
                <w:b/>
                <w:sz w:val="18"/>
                <w:szCs w:val="18"/>
              </w:rPr>
            </w:pPr>
          </w:p>
          <w:p w14:paraId="45D69755" w14:textId="77777777" w:rsidR="008715BE" w:rsidRPr="00EC75B7" w:rsidRDefault="00000000">
            <w:pPr>
              <w:pStyle w:val="TableParagraph"/>
              <w:ind w:left="108" w:right="374"/>
              <w:rPr>
                <w:rFonts w:ascii="Verdana" w:hAnsi="Verdana"/>
                <w:sz w:val="18"/>
                <w:szCs w:val="18"/>
              </w:rPr>
            </w:pPr>
            <w:r w:rsidRPr="00EC75B7">
              <w:rPr>
                <w:rFonts w:ascii="Verdana" w:hAnsi="Verdana"/>
                <w:sz w:val="18"/>
                <w:szCs w:val="18"/>
              </w:rPr>
              <w:t>Access to the work sites will be via existing access routes so as not to affect additional land areas.</w:t>
            </w:r>
          </w:p>
        </w:tc>
        <w:tc>
          <w:tcPr>
            <w:tcW w:w="1809" w:type="dxa"/>
          </w:tcPr>
          <w:p w14:paraId="54786308" w14:textId="77777777" w:rsidR="008715BE" w:rsidRPr="00EC75B7" w:rsidRDefault="00000000" w:rsidP="00C96230">
            <w:pPr>
              <w:pStyle w:val="TableParagraph"/>
              <w:spacing w:before="10"/>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297C0ADD"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in </w:t>
            </w:r>
            <w:r w:rsidRPr="00EC75B7">
              <w:rPr>
                <w:rFonts w:ascii="Verdana" w:hAnsi="Verdana"/>
                <w:spacing w:val="-2"/>
                <w:sz w:val="18"/>
                <w:szCs w:val="18"/>
              </w:rPr>
              <w:t>ROSCI0071, ROSCI0157, ROSPA0166, ROSPA0036, ROSPA0094, BG0000569,</w:t>
            </w:r>
          </w:p>
          <w:p w14:paraId="16B99BC7"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6999CC73" w14:textId="77777777" w:rsidR="008715BE" w:rsidRPr="00EC75B7" w:rsidRDefault="008715BE">
            <w:pPr>
              <w:pStyle w:val="TableParagraph"/>
              <w:rPr>
                <w:rFonts w:ascii="Verdana" w:hAnsi="Verdana"/>
                <w:b/>
                <w:sz w:val="18"/>
                <w:szCs w:val="18"/>
              </w:rPr>
            </w:pPr>
          </w:p>
          <w:p w14:paraId="4C454998" w14:textId="77777777" w:rsidR="008715BE" w:rsidRPr="00EC75B7" w:rsidRDefault="008715BE">
            <w:pPr>
              <w:pStyle w:val="TableParagraph"/>
              <w:rPr>
                <w:rFonts w:ascii="Verdana" w:hAnsi="Verdana"/>
                <w:b/>
                <w:sz w:val="18"/>
                <w:szCs w:val="18"/>
              </w:rPr>
            </w:pPr>
          </w:p>
          <w:p w14:paraId="192522B0" w14:textId="77777777" w:rsidR="008715BE" w:rsidRPr="00EC75B7" w:rsidRDefault="008715BE">
            <w:pPr>
              <w:pStyle w:val="TableParagraph"/>
              <w:spacing w:before="103"/>
              <w:rPr>
                <w:rFonts w:ascii="Verdana" w:hAnsi="Verdana"/>
                <w:b/>
                <w:sz w:val="18"/>
                <w:szCs w:val="18"/>
              </w:rPr>
            </w:pPr>
          </w:p>
          <w:p w14:paraId="40B084F1"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4EE8E492" w14:textId="77777777" w:rsidR="008715BE" w:rsidRPr="00EC75B7" w:rsidRDefault="008715BE">
            <w:pPr>
              <w:pStyle w:val="TableParagraph"/>
              <w:rPr>
                <w:rFonts w:ascii="Verdana" w:hAnsi="Verdana"/>
                <w:b/>
                <w:sz w:val="18"/>
                <w:szCs w:val="18"/>
              </w:rPr>
            </w:pPr>
          </w:p>
          <w:p w14:paraId="579598C4" w14:textId="77777777" w:rsidR="008715BE" w:rsidRPr="00EC75B7" w:rsidRDefault="008715BE">
            <w:pPr>
              <w:pStyle w:val="TableParagraph"/>
              <w:rPr>
                <w:rFonts w:ascii="Verdana" w:hAnsi="Verdana"/>
                <w:b/>
                <w:sz w:val="18"/>
                <w:szCs w:val="18"/>
              </w:rPr>
            </w:pPr>
          </w:p>
          <w:p w14:paraId="21128E57" w14:textId="77777777" w:rsidR="008715BE" w:rsidRPr="00EC75B7" w:rsidRDefault="008715BE">
            <w:pPr>
              <w:pStyle w:val="TableParagraph"/>
              <w:rPr>
                <w:rFonts w:ascii="Verdana" w:hAnsi="Verdana"/>
                <w:b/>
                <w:sz w:val="18"/>
                <w:szCs w:val="18"/>
              </w:rPr>
            </w:pPr>
          </w:p>
          <w:p w14:paraId="5FEB721A" w14:textId="77777777" w:rsidR="008715BE" w:rsidRPr="00EC75B7" w:rsidRDefault="008715BE">
            <w:pPr>
              <w:pStyle w:val="TableParagraph"/>
              <w:rPr>
                <w:rFonts w:ascii="Verdana" w:hAnsi="Verdana"/>
                <w:b/>
                <w:sz w:val="18"/>
                <w:szCs w:val="18"/>
              </w:rPr>
            </w:pPr>
          </w:p>
          <w:p w14:paraId="668528C2" w14:textId="77777777" w:rsidR="008715BE" w:rsidRPr="00EC75B7" w:rsidRDefault="008715BE">
            <w:pPr>
              <w:pStyle w:val="TableParagraph"/>
              <w:spacing w:before="102"/>
              <w:rPr>
                <w:rFonts w:ascii="Verdana" w:hAnsi="Verdana"/>
                <w:b/>
                <w:sz w:val="18"/>
                <w:szCs w:val="18"/>
              </w:rPr>
            </w:pPr>
          </w:p>
          <w:p w14:paraId="1D798819"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2"/>
                <w:sz w:val="18"/>
                <w:szCs w:val="18"/>
              </w:rPr>
              <w:t>AH,PAS</w:t>
            </w:r>
          </w:p>
        </w:tc>
        <w:tc>
          <w:tcPr>
            <w:tcW w:w="269" w:type="dxa"/>
          </w:tcPr>
          <w:p w14:paraId="5A66F6F4" w14:textId="77777777" w:rsidR="008715BE" w:rsidRPr="00EC75B7" w:rsidRDefault="008715BE">
            <w:pPr>
              <w:pStyle w:val="TableParagraph"/>
              <w:rPr>
                <w:rFonts w:ascii="Verdana" w:hAnsi="Verdana"/>
                <w:b/>
                <w:sz w:val="18"/>
                <w:szCs w:val="18"/>
              </w:rPr>
            </w:pPr>
          </w:p>
          <w:p w14:paraId="3B1CE09B" w14:textId="77777777" w:rsidR="008715BE" w:rsidRPr="00EC75B7" w:rsidRDefault="008715BE">
            <w:pPr>
              <w:pStyle w:val="TableParagraph"/>
              <w:rPr>
                <w:rFonts w:ascii="Verdana" w:hAnsi="Verdana"/>
                <w:b/>
                <w:sz w:val="18"/>
                <w:szCs w:val="18"/>
              </w:rPr>
            </w:pPr>
          </w:p>
          <w:p w14:paraId="5DE17EB6" w14:textId="77777777" w:rsidR="008715BE" w:rsidRPr="00EC75B7" w:rsidRDefault="008715BE">
            <w:pPr>
              <w:pStyle w:val="TableParagraph"/>
              <w:rPr>
                <w:rFonts w:ascii="Verdana" w:hAnsi="Verdana"/>
                <w:b/>
                <w:sz w:val="18"/>
                <w:szCs w:val="18"/>
              </w:rPr>
            </w:pPr>
          </w:p>
          <w:p w14:paraId="2EC6F53E" w14:textId="77777777" w:rsidR="008715BE" w:rsidRPr="00EC75B7" w:rsidRDefault="008715BE">
            <w:pPr>
              <w:pStyle w:val="TableParagraph"/>
              <w:rPr>
                <w:rFonts w:ascii="Verdana" w:hAnsi="Verdana"/>
                <w:b/>
                <w:sz w:val="18"/>
                <w:szCs w:val="18"/>
              </w:rPr>
            </w:pPr>
          </w:p>
          <w:p w14:paraId="21BB1F4C" w14:textId="77777777" w:rsidR="008715BE" w:rsidRPr="00EC75B7" w:rsidRDefault="008715BE">
            <w:pPr>
              <w:pStyle w:val="TableParagraph"/>
              <w:spacing w:before="102"/>
              <w:rPr>
                <w:rFonts w:ascii="Verdana" w:hAnsi="Verdana"/>
                <w:b/>
                <w:sz w:val="18"/>
                <w:szCs w:val="18"/>
              </w:rPr>
            </w:pPr>
          </w:p>
          <w:p w14:paraId="22AC5CEF"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49760AC0" w14:textId="77777777" w:rsidR="008715BE" w:rsidRPr="00EC75B7" w:rsidRDefault="008715BE">
            <w:pPr>
              <w:pStyle w:val="TableParagraph"/>
              <w:rPr>
                <w:rFonts w:ascii="Verdana" w:hAnsi="Verdana"/>
                <w:b/>
                <w:sz w:val="18"/>
                <w:szCs w:val="18"/>
              </w:rPr>
            </w:pPr>
          </w:p>
          <w:p w14:paraId="50873DFE" w14:textId="77777777" w:rsidR="008715BE" w:rsidRPr="00EC75B7" w:rsidRDefault="008715BE">
            <w:pPr>
              <w:pStyle w:val="TableParagraph"/>
              <w:rPr>
                <w:rFonts w:ascii="Verdana" w:hAnsi="Verdana"/>
                <w:b/>
                <w:sz w:val="18"/>
                <w:szCs w:val="18"/>
              </w:rPr>
            </w:pPr>
          </w:p>
          <w:p w14:paraId="6F6215BB" w14:textId="77777777" w:rsidR="008715BE" w:rsidRPr="00EC75B7" w:rsidRDefault="008715BE">
            <w:pPr>
              <w:pStyle w:val="TableParagraph"/>
              <w:rPr>
                <w:rFonts w:ascii="Verdana" w:hAnsi="Verdana"/>
                <w:b/>
                <w:sz w:val="18"/>
                <w:szCs w:val="18"/>
              </w:rPr>
            </w:pPr>
          </w:p>
          <w:p w14:paraId="20E8ACAF" w14:textId="77777777" w:rsidR="008715BE" w:rsidRPr="00EC75B7" w:rsidRDefault="008715BE">
            <w:pPr>
              <w:pStyle w:val="TableParagraph"/>
              <w:rPr>
                <w:rFonts w:ascii="Verdana" w:hAnsi="Verdana"/>
                <w:b/>
                <w:sz w:val="18"/>
                <w:szCs w:val="18"/>
              </w:rPr>
            </w:pPr>
          </w:p>
          <w:p w14:paraId="193571E5" w14:textId="77777777" w:rsidR="008715BE" w:rsidRPr="00EC75B7" w:rsidRDefault="008715BE">
            <w:pPr>
              <w:pStyle w:val="TableParagraph"/>
              <w:spacing w:before="102"/>
              <w:rPr>
                <w:rFonts w:ascii="Verdana" w:hAnsi="Verdana"/>
                <w:b/>
                <w:sz w:val="18"/>
                <w:szCs w:val="18"/>
              </w:rPr>
            </w:pPr>
          </w:p>
          <w:p w14:paraId="325F1A23"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057A702F" w14:textId="77777777" w:rsidR="008715BE" w:rsidRPr="00EC75B7" w:rsidRDefault="008715BE">
            <w:pPr>
              <w:pStyle w:val="TableParagraph"/>
              <w:rPr>
                <w:rFonts w:ascii="Verdana" w:hAnsi="Verdana"/>
                <w:b/>
                <w:sz w:val="18"/>
                <w:szCs w:val="18"/>
              </w:rPr>
            </w:pPr>
          </w:p>
          <w:p w14:paraId="452E68C8" w14:textId="77777777" w:rsidR="008715BE" w:rsidRPr="00EC75B7" w:rsidRDefault="008715BE">
            <w:pPr>
              <w:pStyle w:val="TableParagraph"/>
              <w:rPr>
                <w:rFonts w:ascii="Verdana" w:hAnsi="Verdana"/>
                <w:b/>
                <w:sz w:val="18"/>
                <w:szCs w:val="18"/>
              </w:rPr>
            </w:pPr>
          </w:p>
          <w:p w14:paraId="207692DB" w14:textId="77777777" w:rsidR="008715BE" w:rsidRPr="00EC75B7" w:rsidRDefault="008715BE">
            <w:pPr>
              <w:pStyle w:val="TableParagraph"/>
              <w:rPr>
                <w:rFonts w:ascii="Verdana" w:hAnsi="Verdana"/>
                <w:b/>
                <w:sz w:val="18"/>
                <w:szCs w:val="18"/>
              </w:rPr>
            </w:pPr>
          </w:p>
          <w:p w14:paraId="7FEC98FF" w14:textId="77777777" w:rsidR="008715BE" w:rsidRPr="00EC75B7" w:rsidRDefault="008715BE">
            <w:pPr>
              <w:pStyle w:val="TableParagraph"/>
              <w:rPr>
                <w:rFonts w:ascii="Verdana" w:hAnsi="Verdana"/>
                <w:b/>
                <w:sz w:val="18"/>
                <w:szCs w:val="18"/>
              </w:rPr>
            </w:pPr>
          </w:p>
          <w:p w14:paraId="32B66CBE" w14:textId="77777777" w:rsidR="008715BE" w:rsidRPr="00EC75B7" w:rsidRDefault="008715BE">
            <w:pPr>
              <w:pStyle w:val="TableParagraph"/>
              <w:spacing w:before="102"/>
              <w:rPr>
                <w:rFonts w:ascii="Verdana" w:hAnsi="Verdana"/>
                <w:b/>
                <w:sz w:val="18"/>
                <w:szCs w:val="18"/>
              </w:rPr>
            </w:pPr>
          </w:p>
          <w:p w14:paraId="1B76837A"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C9E999E" w14:textId="77777777" w:rsidR="008715BE" w:rsidRPr="00EC75B7" w:rsidRDefault="008715BE">
            <w:pPr>
              <w:pStyle w:val="TableParagraph"/>
              <w:rPr>
                <w:rFonts w:ascii="Verdana" w:hAnsi="Verdana"/>
                <w:b/>
                <w:sz w:val="18"/>
                <w:szCs w:val="18"/>
              </w:rPr>
            </w:pPr>
          </w:p>
          <w:p w14:paraId="5B780203" w14:textId="77777777" w:rsidR="008715BE" w:rsidRPr="00EC75B7" w:rsidRDefault="008715BE">
            <w:pPr>
              <w:pStyle w:val="TableParagraph"/>
              <w:rPr>
                <w:rFonts w:ascii="Verdana" w:hAnsi="Verdana"/>
                <w:b/>
                <w:sz w:val="18"/>
                <w:szCs w:val="18"/>
              </w:rPr>
            </w:pPr>
          </w:p>
          <w:p w14:paraId="25F20F19" w14:textId="77777777" w:rsidR="008715BE" w:rsidRPr="00EC75B7" w:rsidRDefault="008715BE">
            <w:pPr>
              <w:pStyle w:val="TableParagraph"/>
              <w:rPr>
                <w:rFonts w:ascii="Verdana" w:hAnsi="Verdana"/>
                <w:b/>
                <w:sz w:val="18"/>
                <w:szCs w:val="18"/>
              </w:rPr>
            </w:pPr>
          </w:p>
          <w:p w14:paraId="5239FC09" w14:textId="77777777" w:rsidR="008715BE" w:rsidRPr="00EC75B7" w:rsidRDefault="008715BE">
            <w:pPr>
              <w:pStyle w:val="TableParagraph"/>
              <w:rPr>
                <w:rFonts w:ascii="Verdana" w:hAnsi="Verdana"/>
                <w:b/>
                <w:sz w:val="18"/>
                <w:szCs w:val="18"/>
              </w:rPr>
            </w:pPr>
          </w:p>
          <w:p w14:paraId="1586C9D4" w14:textId="77777777" w:rsidR="008715BE" w:rsidRPr="00EC75B7" w:rsidRDefault="008715BE">
            <w:pPr>
              <w:pStyle w:val="TableParagraph"/>
              <w:spacing w:before="102"/>
              <w:rPr>
                <w:rFonts w:ascii="Verdana" w:hAnsi="Verdana"/>
                <w:b/>
                <w:sz w:val="18"/>
                <w:szCs w:val="18"/>
              </w:rPr>
            </w:pPr>
          </w:p>
          <w:p w14:paraId="6EF9745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72F16C38" w14:textId="77777777" w:rsidR="008715BE" w:rsidRPr="00EC75B7" w:rsidRDefault="008715BE">
            <w:pPr>
              <w:pStyle w:val="TableParagraph"/>
              <w:rPr>
                <w:rFonts w:ascii="Verdana" w:hAnsi="Verdana"/>
                <w:b/>
                <w:sz w:val="18"/>
                <w:szCs w:val="18"/>
              </w:rPr>
            </w:pPr>
          </w:p>
          <w:p w14:paraId="32D1A425" w14:textId="77777777" w:rsidR="008715BE" w:rsidRPr="00EC75B7" w:rsidRDefault="008715BE">
            <w:pPr>
              <w:pStyle w:val="TableParagraph"/>
              <w:rPr>
                <w:rFonts w:ascii="Verdana" w:hAnsi="Verdana"/>
                <w:b/>
                <w:sz w:val="18"/>
                <w:szCs w:val="18"/>
              </w:rPr>
            </w:pPr>
          </w:p>
          <w:p w14:paraId="2F92E666" w14:textId="77777777" w:rsidR="008715BE" w:rsidRPr="00EC75B7" w:rsidRDefault="008715BE">
            <w:pPr>
              <w:pStyle w:val="TableParagraph"/>
              <w:rPr>
                <w:rFonts w:ascii="Verdana" w:hAnsi="Verdana"/>
                <w:b/>
                <w:sz w:val="18"/>
                <w:szCs w:val="18"/>
              </w:rPr>
            </w:pPr>
          </w:p>
          <w:p w14:paraId="319DB16B" w14:textId="77777777" w:rsidR="008715BE" w:rsidRPr="00EC75B7" w:rsidRDefault="008715BE">
            <w:pPr>
              <w:pStyle w:val="TableParagraph"/>
              <w:rPr>
                <w:rFonts w:ascii="Verdana" w:hAnsi="Verdana"/>
                <w:b/>
                <w:sz w:val="18"/>
                <w:szCs w:val="18"/>
              </w:rPr>
            </w:pPr>
          </w:p>
          <w:p w14:paraId="09AC31F6" w14:textId="77777777" w:rsidR="008715BE" w:rsidRPr="00EC75B7" w:rsidRDefault="008715BE">
            <w:pPr>
              <w:pStyle w:val="TableParagraph"/>
              <w:spacing w:before="102"/>
              <w:rPr>
                <w:rFonts w:ascii="Verdana" w:hAnsi="Verdana"/>
                <w:b/>
                <w:sz w:val="18"/>
                <w:szCs w:val="18"/>
              </w:rPr>
            </w:pPr>
          </w:p>
          <w:p w14:paraId="2E0566E9"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049C97F" w14:textId="77777777" w:rsidR="008715BE" w:rsidRPr="00EC75B7" w:rsidRDefault="008715BE">
            <w:pPr>
              <w:pStyle w:val="TableParagraph"/>
              <w:rPr>
                <w:rFonts w:ascii="Verdana" w:hAnsi="Verdana"/>
                <w:b/>
                <w:sz w:val="18"/>
                <w:szCs w:val="18"/>
              </w:rPr>
            </w:pPr>
          </w:p>
          <w:p w14:paraId="49C3C03D" w14:textId="77777777" w:rsidR="008715BE" w:rsidRPr="00EC75B7" w:rsidRDefault="008715BE">
            <w:pPr>
              <w:pStyle w:val="TableParagraph"/>
              <w:rPr>
                <w:rFonts w:ascii="Verdana" w:hAnsi="Verdana"/>
                <w:b/>
                <w:sz w:val="18"/>
                <w:szCs w:val="18"/>
              </w:rPr>
            </w:pPr>
          </w:p>
          <w:p w14:paraId="75B2B95A" w14:textId="77777777" w:rsidR="008715BE" w:rsidRPr="00EC75B7" w:rsidRDefault="008715BE">
            <w:pPr>
              <w:pStyle w:val="TableParagraph"/>
              <w:rPr>
                <w:rFonts w:ascii="Verdana" w:hAnsi="Verdana"/>
                <w:b/>
                <w:sz w:val="18"/>
                <w:szCs w:val="18"/>
              </w:rPr>
            </w:pPr>
          </w:p>
          <w:p w14:paraId="647D9FB0" w14:textId="77777777" w:rsidR="008715BE" w:rsidRPr="00EC75B7" w:rsidRDefault="008715BE">
            <w:pPr>
              <w:pStyle w:val="TableParagraph"/>
              <w:rPr>
                <w:rFonts w:ascii="Verdana" w:hAnsi="Verdana"/>
                <w:b/>
                <w:sz w:val="18"/>
                <w:szCs w:val="18"/>
              </w:rPr>
            </w:pPr>
          </w:p>
          <w:p w14:paraId="426415A7" w14:textId="77777777" w:rsidR="008715BE" w:rsidRPr="00EC75B7" w:rsidRDefault="008715BE">
            <w:pPr>
              <w:pStyle w:val="TableParagraph"/>
              <w:spacing w:before="102"/>
              <w:rPr>
                <w:rFonts w:ascii="Verdana" w:hAnsi="Verdana"/>
                <w:b/>
                <w:sz w:val="18"/>
                <w:szCs w:val="18"/>
              </w:rPr>
            </w:pPr>
          </w:p>
          <w:p w14:paraId="149F8508"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46BF43D2" w14:textId="77777777" w:rsidR="008715BE" w:rsidRPr="00EC75B7" w:rsidRDefault="008715BE">
            <w:pPr>
              <w:pStyle w:val="TableParagraph"/>
              <w:rPr>
                <w:rFonts w:ascii="Verdana" w:hAnsi="Verdana"/>
                <w:b/>
                <w:sz w:val="18"/>
                <w:szCs w:val="18"/>
              </w:rPr>
            </w:pPr>
          </w:p>
          <w:p w14:paraId="3299A6CE" w14:textId="77777777" w:rsidR="008715BE" w:rsidRPr="00EC75B7" w:rsidRDefault="008715BE">
            <w:pPr>
              <w:pStyle w:val="TableParagraph"/>
              <w:rPr>
                <w:rFonts w:ascii="Verdana" w:hAnsi="Verdana"/>
                <w:b/>
                <w:sz w:val="18"/>
                <w:szCs w:val="18"/>
              </w:rPr>
            </w:pPr>
          </w:p>
          <w:p w14:paraId="4BA10CAB" w14:textId="77777777" w:rsidR="008715BE" w:rsidRPr="00EC75B7" w:rsidRDefault="008715BE">
            <w:pPr>
              <w:pStyle w:val="TableParagraph"/>
              <w:rPr>
                <w:rFonts w:ascii="Verdana" w:hAnsi="Verdana"/>
                <w:b/>
                <w:sz w:val="18"/>
                <w:szCs w:val="18"/>
              </w:rPr>
            </w:pPr>
          </w:p>
          <w:p w14:paraId="7C6FE22C" w14:textId="77777777" w:rsidR="008715BE" w:rsidRPr="00EC75B7" w:rsidRDefault="008715BE">
            <w:pPr>
              <w:pStyle w:val="TableParagraph"/>
              <w:rPr>
                <w:rFonts w:ascii="Verdana" w:hAnsi="Verdana"/>
                <w:b/>
                <w:sz w:val="18"/>
                <w:szCs w:val="18"/>
              </w:rPr>
            </w:pPr>
          </w:p>
          <w:p w14:paraId="6B449AF5" w14:textId="77777777" w:rsidR="008715BE" w:rsidRPr="00EC75B7" w:rsidRDefault="008715BE">
            <w:pPr>
              <w:pStyle w:val="TableParagraph"/>
              <w:spacing w:before="102"/>
              <w:rPr>
                <w:rFonts w:ascii="Verdana" w:hAnsi="Verdana"/>
                <w:b/>
                <w:sz w:val="18"/>
                <w:szCs w:val="18"/>
              </w:rPr>
            </w:pPr>
          </w:p>
          <w:p w14:paraId="41F99547"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EE08A67" w14:textId="77777777" w:rsidR="008715BE" w:rsidRPr="00EC75B7" w:rsidRDefault="008715BE">
            <w:pPr>
              <w:pStyle w:val="TableParagraph"/>
              <w:rPr>
                <w:rFonts w:ascii="Verdana" w:hAnsi="Verdana"/>
                <w:b/>
                <w:sz w:val="18"/>
                <w:szCs w:val="18"/>
              </w:rPr>
            </w:pPr>
          </w:p>
          <w:p w14:paraId="272A6171" w14:textId="77777777" w:rsidR="008715BE" w:rsidRPr="00EC75B7" w:rsidRDefault="008715BE">
            <w:pPr>
              <w:pStyle w:val="TableParagraph"/>
              <w:rPr>
                <w:rFonts w:ascii="Verdana" w:hAnsi="Verdana"/>
                <w:b/>
                <w:sz w:val="18"/>
                <w:szCs w:val="18"/>
              </w:rPr>
            </w:pPr>
          </w:p>
          <w:p w14:paraId="1FE90598" w14:textId="77777777" w:rsidR="008715BE" w:rsidRPr="00EC75B7" w:rsidRDefault="008715BE">
            <w:pPr>
              <w:pStyle w:val="TableParagraph"/>
              <w:rPr>
                <w:rFonts w:ascii="Verdana" w:hAnsi="Verdana"/>
                <w:b/>
                <w:sz w:val="18"/>
                <w:szCs w:val="18"/>
              </w:rPr>
            </w:pPr>
          </w:p>
          <w:p w14:paraId="49884E04" w14:textId="77777777" w:rsidR="008715BE" w:rsidRPr="00EC75B7" w:rsidRDefault="008715BE">
            <w:pPr>
              <w:pStyle w:val="TableParagraph"/>
              <w:rPr>
                <w:rFonts w:ascii="Verdana" w:hAnsi="Verdana"/>
                <w:b/>
                <w:sz w:val="18"/>
                <w:szCs w:val="18"/>
              </w:rPr>
            </w:pPr>
          </w:p>
          <w:p w14:paraId="0D25D955" w14:textId="77777777" w:rsidR="008715BE" w:rsidRPr="00EC75B7" w:rsidRDefault="008715BE">
            <w:pPr>
              <w:pStyle w:val="TableParagraph"/>
              <w:spacing w:before="102"/>
              <w:rPr>
                <w:rFonts w:ascii="Verdana" w:hAnsi="Verdana"/>
                <w:b/>
                <w:sz w:val="18"/>
                <w:szCs w:val="18"/>
              </w:rPr>
            </w:pPr>
          </w:p>
          <w:p w14:paraId="000F383F"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62ED7C5C" w14:textId="77777777" w:rsidR="008715BE" w:rsidRPr="00EC75B7" w:rsidRDefault="008715BE">
            <w:pPr>
              <w:pStyle w:val="TableParagraph"/>
              <w:rPr>
                <w:rFonts w:ascii="Verdana" w:hAnsi="Verdana"/>
                <w:b/>
                <w:sz w:val="18"/>
                <w:szCs w:val="18"/>
              </w:rPr>
            </w:pPr>
          </w:p>
          <w:p w14:paraId="4BC8CD75" w14:textId="77777777" w:rsidR="008715BE" w:rsidRPr="00EC75B7" w:rsidRDefault="008715BE">
            <w:pPr>
              <w:pStyle w:val="TableParagraph"/>
              <w:rPr>
                <w:rFonts w:ascii="Verdana" w:hAnsi="Verdana"/>
                <w:b/>
                <w:sz w:val="18"/>
                <w:szCs w:val="18"/>
              </w:rPr>
            </w:pPr>
          </w:p>
          <w:p w14:paraId="717EE887" w14:textId="77777777" w:rsidR="008715BE" w:rsidRPr="00EC75B7" w:rsidRDefault="008715BE">
            <w:pPr>
              <w:pStyle w:val="TableParagraph"/>
              <w:rPr>
                <w:rFonts w:ascii="Verdana" w:hAnsi="Verdana"/>
                <w:b/>
                <w:sz w:val="18"/>
                <w:szCs w:val="18"/>
              </w:rPr>
            </w:pPr>
          </w:p>
          <w:p w14:paraId="2CAB79E1" w14:textId="77777777" w:rsidR="008715BE" w:rsidRPr="00EC75B7" w:rsidRDefault="008715BE">
            <w:pPr>
              <w:pStyle w:val="TableParagraph"/>
              <w:rPr>
                <w:rFonts w:ascii="Verdana" w:hAnsi="Verdana"/>
                <w:b/>
                <w:sz w:val="18"/>
                <w:szCs w:val="18"/>
              </w:rPr>
            </w:pPr>
          </w:p>
          <w:p w14:paraId="496F89E0" w14:textId="77777777" w:rsidR="008715BE" w:rsidRPr="00EC75B7" w:rsidRDefault="008715BE">
            <w:pPr>
              <w:pStyle w:val="TableParagraph"/>
              <w:spacing w:before="102"/>
              <w:rPr>
                <w:rFonts w:ascii="Verdana" w:hAnsi="Verdana"/>
                <w:b/>
                <w:sz w:val="18"/>
                <w:szCs w:val="18"/>
              </w:rPr>
            </w:pPr>
          </w:p>
          <w:p w14:paraId="570927BF"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1546AE45" w14:textId="77777777" w:rsidR="008715BE" w:rsidRPr="00EC75B7" w:rsidRDefault="008715BE">
            <w:pPr>
              <w:pStyle w:val="TableParagraph"/>
              <w:rPr>
                <w:rFonts w:ascii="Verdana" w:hAnsi="Verdana"/>
                <w:b/>
                <w:sz w:val="18"/>
                <w:szCs w:val="18"/>
              </w:rPr>
            </w:pPr>
          </w:p>
          <w:p w14:paraId="53984569" w14:textId="77777777" w:rsidR="008715BE" w:rsidRPr="00EC75B7" w:rsidRDefault="008715BE">
            <w:pPr>
              <w:pStyle w:val="TableParagraph"/>
              <w:rPr>
                <w:rFonts w:ascii="Verdana" w:hAnsi="Verdana"/>
                <w:b/>
                <w:sz w:val="18"/>
                <w:szCs w:val="18"/>
              </w:rPr>
            </w:pPr>
          </w:p>
          <w:p w14:paraId="13ABBDC4" w14:textId="77777777" w:rsidR="008715BE" w:rsidRPr="00EC75B7" w:rsidRDefault="008715BE">
            <w:pPr>
              <w:pStyle w:val="TableParagraph"/>
              <w:rPr>
                <w:rFonts w:ascii="Verdana" w:hAnsi="Verdana"/>
                <w:b/>
                <w:sz w:val="18"/>
                <w:szCs w:val="18"/>
              </w:rPr>
            </w:pPr>
          </w:p>
          <w:p w14:paraId="3E9BBBE7" w14:textId="77777777" w:rsidR="008715BE" w:rsidRPr="00EC75B7" w:rsidRDefault="008715BE">
            <w:pPr>
              <w:pStyle w:val="TableParagraph"/>
              <w:rPr>
                <w:rFonts w:ascii="Verdana" w:hAnsi="Verdana"/>
                <w:b/>
                <w:sz w:val="18"/>
                <w:szCs w:val="18"/>
              </w:rPr>
            </w:pPr>
          </w:p>
          <w:p w14:paraId="7784737E" w14:textId="77777777" w:rsidR="008715BE" w:rsidRPr="00EC75B7" w:rsidRDefault="008715BE">
            <w:pPr>
              <w:pStyle w:val="TableParagraph"/>
              <w:spacing w:before="102"/>
              <w:rPr>
                <w:rFonts w:ascii="Verdana" w:hAnsi="Verdana"/>
                <w:b/>
                <w:sz w:val="18"/>
                <w:szCs w:val="18"/>
              </w:rPr>
            </w:pPr>
          </w:p>
          <w:p w14:paraId="2F4F9C2A"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1C26C69C" w14:textId="77777777" w:rsidR="008715BE" w:rsidRPr="00EC75B7" w:rsidRDefault="008715BE">
            <w:pPr>
              <w:pStyle w:val="TableParagraph"/>
              <w:rPr>
                <w:rFonts w:ascii="Verdana" w:hAnsi="Verdana"/>
                <w:b/>
                <w:sz w:val="18"/>
                <w:szCs w:val="18"/>
              </w:rPr>
            </w:pPr>
          </w:p>
          <w:p w14:paraId="169E0FDD" w14:textId="77777777" w:rsidR="008715BE" w:rsidRPr="00EC75B7" w:rsidRDefault="008715BE">
            <w:pPr>
              <w:pStyle w:val="TableParagraph"/>
              <w:rPr>
                <w:rFonts w:ascii="Verdana" w:hAnsi="Verdana"/>
                <w:b/>
                <w:sz w:val="18"/>
                <w:szCs w:val="18"/>
              </w:rPr>
            </w:pPr>
          </w:p>
          <w:p w14:paraId="48D345CF" w14:textId="77777777" w:rsidR="008715BE" w:rsidRPr="00EC75B7" w:rsidRDefault="008715BE">
            <w:pPr>
              <w:pStyle w:val="TableParagraph"/>
              <w:rPr>
                <w:rFonts w:ascii="Verdana" w:hAnsi="Verdana"/>
                <w:b/>
                <w:sz w:val="18"/>
                <w:szCs w:val="18"/>
              </w:rPr>
            </w:pPr>
          </w:p>
          <w:p w14:paraId="6C29FCB3" w14:textId="77777777" w:rsidR="008715BE" w:rsidRPr="00EC75B7" w:rsidRDefault="008715BE">
            <w:pPr>
              <w:pStyle w:val="TableParagraph"/>
              <w:rPr>
                <w:rFonts w:ascii="Verdana" w:hAnsi="Verdana"/>
                <w:b/>
                <w:sz w:val="18"/>
                <w:szCs w:val="18"/>
              </w:rPr>
            </w:pPr>
          </w:p>
          <w:p w14:paraId="21D04B73" w14:textId="77777777" w:rsidR="008715BE" w:rsidRPr="00EC75B7" w:rsidRDefault="008715BE">
            <w:pPr>
              <w:pStyle w:val="TableParagraph"/>
              <w:spacing w:before="102"/>
              <w:rPr>
                <w:rFonts w:ascii="Verdana" w:hAnsi="Verdana"/>
                <w:b/>
                <w:sz w:val="18"/>
                <w:szCs w:val="18"/>
              </w:rPr>
            </w:pPr>
          </w:p>
          <w:p w14:paraId="4EEB4E52"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34288DEF" w14:textId="77777777" w:rsidR="008715BE" w:rsidRPr="00EC75B7" w:rsidRDefault="008715BE">
            <w:pPr>
              <w:pStyle w:val="TableParagraph"/>
              <w:rPr>
                <w:rFonts w:ascii="Verdana" w:hAnsi="Verdana"/>
                <w:b/>
                <w:sz w:val="18"/>
                <w:szCs w:val="18"/>
              </w:rPr>
            </w:pPr>
          </w:p>
          <w:p w14:paraId="12D9E41E" w14:textId="77777777" w:rsidR="008715BE" w:rsidRPr="00EC75B7" w:rsidRDefault="008715BE">
            <w:pPr>
              <w:pStyle w:val="TableParagraph"/>
              <w:rPr>
                <w:rFonts w:ascii="Verdana" w:hAnsi="Verdana"/>
                <w:b/>
                <w:sz w:val="18"/>
                <w:szCs w:val="18"/>
              </w:rPr>
            </w:pPr>
          </w:p>
          <w:p w14:paraId="4C1101A7" w14:textId="77777777" w:rsidR="008715BE" w:rsidRPr="00EC75B7" w:rsidRDefault="008715BE">
            <w:pPr>
              <w:pStyle w:val="TableParagraph"/>
              <w:rPr>
                <w:rFonts w:ascii="Verdana" w:hAnsi="Verdana"/>
                <w:b/>
                <w:sz w:val="18"/>
                <w:szCs w:val="18"/>
              </w:rPr>
            </w:pPr>
          </w:p>
          <w:p w14:paraId="43794AB2" w14:textId="77777777" w:rsidR="008715BE" w:rsidRPr="00EC75B7" w:rsidRDefault="008715BE">
            <w:pPr>
              <w:pStyle w:val="TableParagraph"/>
              <w:rPr>
                <w:rFonts w:ascii="Verdana" w:hAnsi="Verdana"/>
                <w:b/>
                <w:sz w:val="18"/>
                <w:szCs w:val="18"/>
              </w:rPr>
            </w:pPr>
          </w:p>
          <w:p w14:paraId="1F335F24" w14:textId="77777777" w:rsidR="008715BE" w:rsidRPr="00EC75B7" w:rsidRDefault="008715BE">
            <w:pPr>
              <w:pStyle w:val="TableParagraph"/>
              <w:spacing w:before="102"/>
              <w:rPr>
                <w:rFonts w:ascii="Verdana" w:hAnsi="Verdana"/>
                <w:b/>
                <w:sz w:val="18"/>
                <w:szCs w:val="18"/>
              </w:rPr>
            </w:pPr>
          </w:p>
          <w:p w14:paraId="10D59EB4"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6E3622D3" w14:textId="77777777" w:rsidR="008715BE" w:rsidRPr="00EC75B7" w:rsidRDefault="008715BE">
            <w:pPr>
              <w:pStyle w:val="TableParagraph"/>
              <w:rPr>
                <w:rFonts w:ascii="Verdana" w:hAnsi="Verdana"/>
                <w:b/>
                <w:sz w:val="18"/>
                <w:szCs w:val="18"/>
              </w:rPr>
            </w:pPr>
          </w:p>
          <w:p w14:paraId="2DE2E4C6" w14:textId="77777777" w:rsidR="008715BE" w:rsidRPr="00EC75B7" w:rsidRDefault="008715BE">
            <w:pPr>
              <w:pStyle w:val="TableParagraph"/>
              <w:rPr>
                <w:rFonts w:ascii="Verdana" w:hAnsi="Verdana"/>
                <w:b/>
                <w:sz w:val="18"/>
                <w:szCs w:val="18"/>
              </w:rPr>
            </w:pPr>
          </w:p>
          <w:p w14:paraId="746F5DF6" w14:textId="77777777" w:rsidR="008715BE" w:rsidRPr="00EC75B7" w:rsidRDefault="008715BE">
            <w:pPr>
              <w:pStyle w:val="TableParagraph"/>
              <w:rPr>
                <w:rFonts w:ascii="Verdana" w:hAnsi="Verdana"/>
                <w:b/>
                <w:sz w:val="18"/>
                <w:szCs w:val="18"/>
              </w:rPr>
            </w:pPr>
          </w:p>
          <w:p w14:paraId="6F74A4FE" w14:textId="77777777" w:rsidR="008715BE" w:rsidRPr="00EC75B7" w:rsidRDefault="008715BE">
            <w:pPr>
              <w:pStyle w:val="TableParagraph"/>
              <w:rPr>
                <w:rFonts w:ascii="Verdana" w:hAnsi="Verdana"/>
                <w:b/>
                <w:sz w:val="18"/>
                <w:szCs w:val="18"/>
              </w:rPr>
            </w:pPr>
          </w:p>
          <w:p w14:paraId="68EAA393" w14:textId="77777777" w:rsidR="008715BE" w:rsidRPr="00EC75B7" w:rsidRDefault="008715BE">
            <w:pPr>
              <w:pStyle w:val="TableParagraph"/>
              <w:spacing w:before="102"/>
              <w:rPr>
                <w:rFonts w:ascii="Verdana" w:hAnsi="Verdana"/>
                <w:b/>
                <w:sz w:val="18"/>
                <w:szCs w:val="18"/>
              </w:rPr>
            </w:pPr>
          </w:p>
          <w:p w14:paraId="0C922F9F"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5F39ABD8" w14:textId="77777777" w:rsidR="008715BE" w:rsidRPr="00EC75B7" w:rsidRDefault="008715BE">
            <w:pPr>
              <w:pStyle w:val="TableParagraph"/>
              <w:rPr>
                <w:rFonts w:ascii="Verdana" w:hAnsi="Verdana"/>
                <w:b/>
                <w:sz w:val="18"/>
                <w:szCs w:val="18"/>
              </w:rPr>
            </w:pPr>
          </w:p>
          <w:p w14:paraId="42826971" w14:textId="77777777" w:rsidR="008715BE" w:rsidRPr="00EC75B7" w:rsidRDefault="008715BE">
            <w:pPr>
              <w:pStyle w:val="TableParagraph"/>
              <w:rPr>
                <w:rFonts w:ascii="Verdana" w:hAnsi="Verdana"/>
                <w:b/>
                <w:sz w:val="18"/>
                <w:szCs w:val="18"/>
              </w:rPr>
            </w:pPr>
          </w:p>
          <w:p w14:paraId="2013E414" w14:textId="77777777" w:rsidR="008715BE" w:rsidRPr="00EC75B7" w:rsidRDefault="008715BE">
            <w:pPr>
              <w:pStyle w:val="TableParagraph"/>
              <w:rPr>
                <w:rFonts w:ascii="Verdana" w:hAnsi="Verdana"/>
                <w:b/>
                <w:sz w:val="18"/>
                <w:szCs w:val="18"/>
              </w:rPr>
            </w:pPr>
          </w:p>
          <w:p w14:paraId="36218671" w14:textId="77777777" w:rsidR="008715BE" w:rsidRPr="00EC75B7" w:rsidRDefault="008715BE">
            <w:pPr>
              <w:pStyle w:val="TableParagraph"/>
              <w:rPr>
                <w:rFonts w:ascii="Verdana" w:hAnsi="Verdana"/>
                <w:b/>
                <w:sz w:val="18"/>
                <w:szCs w:val="18"/>
              </w:rPr>
            </w:pPr>
          </w:p>
          <w:p w14:paraId="3F2F7937" w14:textId="77777777" w:rsidR="008715BE" w:rsidRPr="00EC75B7" w:rsidRDefault="008715BE">
            <w:pPr>
              <w:pStyle w:val="TableParagraph"/>
              <w:spacing w:before="6"/>
              <w:rPr>
                <w:rFonts w:ascii="Verdana" w:hAnsi="Verdana"/>
                <w:b/>
                <w:sz w:val="18"/>
                <w:szCs w:val="18"/>
              </w:rPr>
            </w:pPr>
          </w:p>
          <w:p w14:paraId="1B49F67E"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0E472D70" w14:textId="77777777">
        <w:trPr>
          <w:trHeight w:val="2333"/>
        </w:trPr>
        <w:tc>
          <w:tcPr>
            <w:tcW w:w="554" w:type="dxa"/>
          </w:tcPr>
          <w:p w14:paraId="3B266457" w14:textId="77777777" w:rsidR="008715BE" w:rsidRPr="00EC75B7" w:rsidRDefault="008715BE">
            <w:pPr>
              <w:pStyle w:val="TableParagraph"/>
              <w:rPr>
                <w:rFonts w:ascii="Verdana" w:hAnsi="Verdana"/>
                <w:b/>
                <w:sz w:val="18"/>
                <w:szCs w:val="18"/>
              </w:rPr>
            </w:pPr>
          </w:p>
          <w:p w14:paraId="4AE42F5A" w14:textId="77777777" w:rsidR="008715BE" w:rsidRPr="00EC75B7" w:rsidRDefault="008715BE">
            <w:pPr>
              <w:pStyle w:val="TableParagraph"/>
              <w:rPr>
                <w:rFonts w:ascii="Verdana" w:hAnsi="Verdana"/>
                <w:b/>
                <w:sz w:val="18"/>
                <w:szCs w:val="18"/>
              </w:rPr>
            </w:pPr>
          </w:p>
          <w:p w14:paraId="2EF9700E" w14:textId="77777777" w:rsidR="008715BE" w:rsidRPr="00EC75B7" w:rsidRDefault="008715BE">
            <w:pPr>
              <w:pStyle w:val="TableParagraph"/>
              <w:rPr>
                <w:rFonts w:ascii="Verdana" w:hAnsi="Verdana"/>
                <w:b/>
                <w:sz w:val="18"/>
                <w:szCs w:val="18"/>
              </w:rPr>
            </w:pPr>
          </w:p>
          <w:p w14:paraId="324C9331" w14:textId="77777777" w:rsidR="008715BE" w:rsidRPr="00EC75B7" w:rsidRDefault="008715BE">
            <w:pPr>
              <w:pStyle w:val="TableParagraph"/>
              <w:rPr>
                <w:rFonts w:ascii="Verdana" w:hAnsi="Verdana"/>
                <w:b/>
                <w:sz w:val="18"/>
                <w:szCs w:val="18"/>
              </w:rPr>
            </w:pPr>
          </w:p>
          <w:p w14:paraId="3EB78AEE" w14:textId="77777777" w:rsidR="008715BE" w:rsidRPr="00EC75B7" w:rsidRDefault="008715BE">
            <w:pPr>
              <w:pStyle w:val="TableParagraph"/>
              <w:spacing w:before="102"/>
              <w:rPr>
                <w:rFonts w:ascii="Verdana" w:hAnsi="Verdana"/>
                <w:b/>
                <w:sz w:val="18"/>
                <w:szCs w:val="18"/>
              </w:rPr>
            </w:pPr>
          </w:p>
          <w:p w14:paraId="225994E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M10</w:t>
            </w:r>
          </w:p>
        </w:tc>
        <w:tc>
          <w:tcPr>
            <w:tcW w:w="6091" w:type="dxa"/>
          </w:tcPr>
          <w:p w14:paraId="61B2C7A5" w14:textId="77777777" w:rsidR="008715BE" w:rsidRPr="00EC75B7" w:rsidRDefault="008715BE">
            <w:pPr>
              <w:pStyle w:val="TableParagraph"/>
              <w:rPr>
                <w:rFonts w:ascii="Verdana" w:hAnsi="Verdana"/>
                <w:b/>
                <w:sz w:val="18"/>
                <w:szCs w:val="18"/>
              </w:rPr>
            </w:pPr>
          </w:p>
          <w:p w14:paraId="22A201B3" w14:textId="77777777" w:rsidR="008715BE" w:rsidRPr="00EC75B7" w:rsidRDefault="008715BE">
            <w:pPr>
              <w:pStyle w:val="TableParagraph"/>
              <w:rPr>
                <w:rFonts w:ascii="Verdana" w:hAnsi="Verdana"/>
                <w:b/>
                <w:sz w:val="18"/>
                <w:szCs w:val="18"/>
              </w:rPr>
            </w:pPr>
          </w:p>
          <w:p w14:paraId="3C27F410" w14:textId="77777777" w:rsidR="008715BE" w:rsidRPr="00EC75B7" w:rsidRDefault="008715BE">
            <w:pPr>
              <w:pStyle w:val="TableParagraph"/>
              <w:rPr>
                <w:rFonts w:ascii="Verdana" w:hAnsi="Verdana"/>
                <w:b/>
                <w:sz w:val="18"/>
                <w:szCs w:val="18"/>
              </w:rPr>
            </w:pPr>
          </w:p>
          <w:p w14:paraId="63CAE0F4" w14:textId="77777777" w:rsidR="008715BE" w:rsidRPr="00EC75B7" w:rsidRDefault="008715BE">
            <w:pPr>
              <w:pStyle w:val="TableParagraph"/>
              <w:spacing w:before="103"/>
              <w:rPr>
                <w:rFonts w:ascii="Verdana" w:hAnsi="Verdana"/>
                <w:b/>
                <w:sz w:val="18"/>
                <w:szCs w:val="18"/>
              </w:rPr>
            </w:pPr>
          </w:p>
          <w:p w14:paraId="7924D3FE" w14:textId="77777777" w:rsidR="008715BE" w:rsidRPr="00EC75B7" w:rsidRDefault="00000000">
            <w:pPr>
              <w:pStyle w:val="TableParagraph"/>
              <w:ind w:left="108" w:right="237"/>
              <w:rPr>
                <w:rFonts w:ascii="Verdana" w:hAnsi="Verdana"/>
                <w:sz w:val="18"/>
                <w:szCs w:val="18"/>
              </w:rPr>
            </w:pPr>
            <w:r w:rsidRPr="00EC75B7">
              <w:rPr>
                <w:rFonts w:ascii="Verdana" w:hAnsi="Verdana"/>
                <w:sz w:val="18"/>
                <w:szCs w:val="18"/>
              </w:rPr>
              <w:t>Use of machinery and equipment to carry out the work that produces a minimum level of noise and vibration, is high-performance, low-polluting, and quiet, so that wildlife species are not affected.</w:t>
            </w:r>
          </w:p>
        </w:tc>
        <w:tc>
          <w:tcPr>
            <w:tcW w:w="1809" w:type="dxa"/>
          </w:tcPr>
          <w:p w14:paraId="14E5B1EF"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4AE7DEA3"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in </w:t>
            </w:r>
            <w:r w:rsidRPr="00EC75B7">
              <w:rPr>
                <w:rFonts w:ascii="Verdana" w:hAnsi="Verdana"/>
                <w:spacing w:val="-2"/>
                <w:sz w:val="18"/>
                <w:szCs w:val="18"/>
              </w:rPr>
              <w:t>ROSCI0071, ROSCI0157, ROSPA0166, ROSPA0036, ROSPA0094, BG0000569,</w:t>
            </w:r>
          </w:p>
          <w:p w14:paraId="3C54F1A0"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21C65BDF" w14:textId="77777777" w:rsidR="008715BE" w:rsidRPr="00EC75B7" w:rsidRDefault="008715BE">
            <w:pPr>
              <w:pStyle w:val="TableParagraph"/>
              <w:rPr>
                <w:rFonts w:ascii="Verdana" w:hAnsi="Verdana"/>
                <w:b/>
                <w:sz w:val="18"/>
                <w:szCs w:val="18"/>
              </w:rPr>
            </w:pPr>
          </w:p>
          <w:p w14:paraId="51BF3E32" w14:textId="77777777" w:rsidR="008715BE" w:rsidRPr="00EC75B7" w:rsidRDefault="008715BE">
            <w:pPr>
              <w:pStyle w:val="TableParagraph"/>
              <w:rPr>
                <w:rFonts w:ascii="Verdana" w:hAnsi="Verdana"/>
                <w:b/>
                <w:sz w:val="18"/>
                <w:szCs w:val="18"/>
              </w:rPr>
            </w:pPr>
          </w:p>
          <w:p w14:paraId="30C1E93E" w14:textId="77777777" w:rsidR="008715BE" w:rsidRPr="00EC75B7" w:rsidRDefault="008715BE">
            <w:pPr>
              <w:pStyle w:val="TableParagraph"/>
              <w:spacing w:before="103"/>
              <w:rPr>
                <w:rFonts w:ascii="Verdana" w:hAnsi="Verdana"/>
                <w:b/>
                <w:sz w:val="18"/>
                <w:szCs w:val="18"/>
              </w:rPr>
            </w:pPr>
          </w:p>
          <w:p w14:paraId="1A1DCAA4"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03F3A443" w14:textId="77777777" w:rsidR="008715BE" w:rsidRPr="00EC75B7" w:rsidRDefault="008715BE">
            <w:pPr>
              <w:pStyle w:val="TableParagraph"/>
              <w:rPr>
                <w:rFonts w:ascii="Verdana" w:hAnsi="Verdana"/>
                <w:b/>
                <w:sz w:val="18"/>
                <w:szCs w:val="18"/>
              </w:rPr>
            </w:pPr>
          </w:p>
          <w:p w14:paraId="34F15809" w14:textId="77777777" w:rsidR="008715BE" w:rsidRPr="00EC75B7" w:rsidRDefault="008715BE">
            <w:pPr>
              <w:pStyle w:val="TableParagraph"/>
              <w:rPr>
                <w:rFonts w:ascii="Verdana" w:hAnsi="Verdana"/>
                <w:b/>
                <w:sz w:val="18"/>
                <w:szCs w:val="18"/>
              </w:rPr>
            </w:pPr>
          </w:p>
          <w:p w14:paraId="29CB25DE" w14:textId="77777777" w:rsidR="008715BE" w:rsidRPr="00EC75B7" w:rsidRDefault="008715BE">
            <w:pPr>
              <w:pStyle w:val="TableParagraph"/>
              <w:rPr>
                <w:rFonts w:ascii="Verdana" w:hAnsi="Verdana"/>
                <w:b/>
                <w:sz w:val="18"/>
                <w:szCs w:val="18"/>
              </w:rPr>
            </w:pPr>
          </w:p>
          <w:p w14:paraId="71786BE5" w14:textId="77777777" w:rsidR="008715BE" w:rsidRPr="00EC75B7" w:rsidRDefault="008715BE">
            <w:pPr>
              <w:pStyle w:val="TableParagraph"/>
              <w:rPr>
                <w:rFonts w:ascii="Verdana" w:hAnsi="Verdana"/>
                <w:b/>
                <w:sz w:val="18"/>
                <w:szCs w:val="18"/>
              </w:rPr>
            </w:pPr>
          </w:p>
          <w:p w14:paraId="33D01D83" w14:textId="77777777" w:rsidR="008715BE" w:rsidRPr="00EC75B7" w:rsidRDefault="008715BE">
            <w:pPr>
              <w:pStyle w:val="TableParagraph"/>
              <w:spacing w:before="102"/>
              <w:rPr>
                <w:rFonts w:ascii="Verdana" w:hAnsi="Verdana"/>
                <w:b/>
                <w:sz w:val="18"/>
                <w:szCs w:val="18"/>
              </w:rPr>
            </w:pPr>
          </w:p>
          <w:p w14:paraId="52090507"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PAS</w:t>
            </w:r>
          </w:p>
        </w:tc>
        <w:tc>
          <w:tcPr>
            <w:tcW w:w="269" w:type="dxa"/>
          </w:tcPr>
          <w:p w14:paraId="3F12C099" w14:textId="77777777" w:rsidR="008715BE" w:rsidRPr="00EC75B7" w:rsidRDefault="008715BE">
            <w:pPr>
              <w:pStyle w:val="TableParagraph"/>
              <w:rPr>
                <w:rFonts w:ascii="Verdana" w:hAnsi="Verdana"/>
                <w:b/>
                <w:sz w:val="18"/>
                <w:szCs w:val="18"/>
              </w:rPr>
            </w:pPr>
          </w:p>
          <w:p w14:paraId="4D738C5E" w14:textId="77777777" w:rsidR="008715BE" w:rsidRPr="00EC75B7" w:rsidRDefault="008715BE">
            <w:pPr>
              <w:pStyle w:val="TableParagraph"/>
              <w:rPr>
                <w:rFonts w:ascii="Verdana" w:hAnsi="Verdana"/>
                <w:b/>
                <w:sz w:val="18"/>
                <w:szCs w:val="18"/>
              </w:rPr>
            </w:pPr>
          </w:p>
          <w:p w14:paraId="64DCC35E" w14:textId="77777777" w:rsidR="008715BE" w:rsidRPr="00EC75B7" w:rsidRDefault="008715BE">
            <w:pPr>
              <w:pStyle w:val="TableParagraph"/>
              <w:rPr>
                <w:rFonts w:ascii="Verdana" w:hAnsi="Verdana"/>
                <w:b/>
                <w:sz w:val="18"/>
                <w:szCs w:val="18"/>
              </w:rPr>
            </w:pPr>
          </w:p>
          <w:p w14:paraId="043FE975" w14:textId="77777777" w:rsidR="008715BE" w:rsidRPr="00EC75B7" w:rsidRDefault="008715BE">
            <w:pPr>
              <w:pStyle w:val="TableParagraph"/>
              <w:rPr>
                <w:rFonts w:ascii="Verdana" w:hAnsi="Verdana"/>
                <w:b/>
                <w:sz w:val="18"/>
                <w:szCs w:val="18"/>
              </w:rPr>
            </w:pPr>
          </w:p>
          <w:p w14:paraId="22EBEE18" w14:textId="77777777" w:rsidR="008715BE" w:rsidRPr="00EC75B7" w:rsidRDefault="008715BE">
            <w:pPr>
              <w:pStyle w:val="TableParagraph"/>
              <w:spacing w:before="102"/>
              <w:rPr>
                <w:rFonts w:ascii="Verdana" w:hAnsi="Verdana"/>
                <w:b/>
                <w:sz w:val="18"/>
                <w:szCs w:val="18"/>
              </w:rPr>
            </w:pPr>
          </w:p>
          <w:p w14:paraId="5019D839"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0A88E3D1" w14:textId="77777777" w:rsidR="008715BE" w:rsidRPr="00EC75B7" w:rsidRDefault="008715BE">
            <w:pPr>
              <w:pStyle w:val="TableParagraph"/>
              <w:rPr>
                <w:rFonts w:ascii="Verdana" w:hAnsi="Verdana"/>
                <w:b/>
                <w:sz w:val="18"/>
                <w:szCs w:val="18"/>
              </w:rPr>
            </w:pPr>
          </w:p>
          <w:p w14:paraId="40988BFD" w14:textId="77777777" w:rsidR="008715BE" w:rsidRPr="00EC75B7" w:rsidRDefault="008715BE">
            <w:pPr>
              <w:pStyle w:val="TableParagraph"/>
              <w:rPr>
                <w:rFonts w:ascii="Verdana" w:hAnsi="Verdana"/>
                <w:b/>
                <w:sz w:val="18"/>
                <w:szCs w:val="18"/>
              </w:rPr>
            </w:pPr>
          </w:p>
          <w:p w14:paraId="373F3231" w14:textId="77777777" w:rsidR="008715BE" w:rsidRPr="00EC75B7" w:rsidRDefault="008715BE">
            <w:pPr>
              <w:pStyle w:val="TableParagraph"/>
              <w:rPr>
                <w:rFonts w:ascii="Verdana" w:hAnsi="Verdana"/>
                <w:b/>
                <w:sz w:val="18"/>
                <w:szCs w:val="18"/>
              </w:rPr>
            </w:pPr>
          </w:p>
          <w:p w14:paraId="0E754E02" w14:textId="77777777" w:rsidR="008715BE" w:rsidRPr="00EC75B7" w:rsidRDefault="008715BE">
            <w:pPr>
              <w:pStyle w:val="TableParagraph"/>
              <w:rPr>
                <w:rFonts w:ascii="Verdana" w:hAnsi="Verdana"/>
                <w:b/>
                <w:sz w:val="18"/>
                <w:szCs w:val="18"/>
              </w:rPr>
            </w:pPr>
          </w:p>
          <w:p w14:paraId="453E4BCA" w14:textId="77777777" w:rsidR="008715BE" w:rsidRPr="00EC75B7" w:rsidRDefault="008715BE">
            <w:pPr>
              <w:pStyle w:val="TableParagraph"/>
              <w:spacing w:before="102"/>
              <w:rPr>
                <w:rFonts w:ascii="Verdana" w:hAnsi="Verdana"/>
                <w:b/>
                <w:sz w:val="18"/>
                <w:szCs w:val="18"/>
              </w:rPr>
            </w:pPr>
          </w:p>
          <w:p w14:paraId="01EE4C8B"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2DFB20E7" w14:textId="77777777" w:rsidR="008715BE" w:rsidRPr="00EC75B7" w:rsidRDefault="008715BE">
            <w:pPr>
              <w:pStyle w:val="TableParagraph"/>
              <w:rPr>
                <w:rFonts w:ascii="Verdana" w:hAnsi="Verdana"/>
                <w:b/>
                <w:sz w:val="18"/>
                <w:szCs w:val="18"/>
              </w:rPr>
            </w:pPr>
          </w:p>
          <w:p w14:paraId="1629FE70" w14:textId="77777777" w:rsidR="008715BE" w:rsidRPr="00EC75B7" w:rsidRDefault="008715BE">
            <w:pPr>
              <w:pStyle w:val="TableParagraph"/>
              <w:rPr>
                <w:rFonts w:ascii="Verdana" w:hAnsi="Verdana"/>
                <w:b/>
                <w:sz w:val="18"/>
                <w:szCs w:val="18"/>
              </w:rPr>
            </w:pPr>
          </w:p>
          <w:p w14:paraId="6412C1DD" w14:textId="77777777" w:rsidR="008715BE" w:rsidRPr="00EC75B7" w:rsidRDefault="008715BE">
            <w:pPr>
              <w:pStyle w:val="TableParagraph"/>
              <w:rPr>
                <w:rFonts w:ascii="Verdana" w:hAnsi="Verdana"/>
                <w:b/>
                <w:sz w:val="18"/>
                <w:szCs w:val="18"/>
              </w:rPr>
            </w:pPr>
          </w:p>
          <w:p w14:paraId="3EA41773" w14:textId="77777777" w:rsidR="008715BE" w:rsidRPr="00EC75B7" w:rsidRDefault="008715BE">
            <w:pPr>
              <w:pStyle w:val="TableParagraph"/>
              <w:rPr>
                <w:rFonts w:ascii="Verdana" w:hAnsi="Verdana"/>
                <w:b/>
                <w:sz w:val="18"/>
                <w:szCs w:val="18"/>
              </w:rPr>
            </w:pPr>
          </w:p>
          <w:p w14:paraId="38245A4A" w14:textId="77777777" w:rsidR="008715BE" w:rsidRPr="00EC75B7" w:rsidRDefault="008715BE">
            <w:pPr>
              <w:pStyle w:val="TableParagraph"/>
              <w:spacing w:before="102"/>
              <w:rPr>
                <w:rFonts w:ascii="Verdana" w:hAnsi="Verdana"/>
                <w:b/>
                <w:sz w:val="18"/>
                <w:szCs w:val="18"/>
              </w:rPr>
            </w:pPr>
          </w:p>
          <w:p w14:paraId="65A8959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F805B84" w14:textId="77777777" w:rsidR="008715BE" w:rsidRPr="00EC75B7" w:rsidRDefault="008715BE">
            <w:pPr>
              <w:pStyle w:val="TableParagraph"/>
              <w:rPr>
                <w:rFonts w:ascii="Verdana" w:hAnsi="Verdana"/>
                <w:b/>
                <w:sz w:val="18"/>
                <w:szCs w:val="18"/>
              </w:rPr>
            </w:pPr>
          </w:p>
          <w:p w14:paraId="4A438243" w14:textId="77777777" w:rsidR="008715BE" w:rsidRPr="00EC75B7" w:rsidRDefault="008715BE">
            <w:pPr>
              <w:pStyle w:val="TableParagraph"/>
              <w:rPr>
                <w:rFonts w:ascii="Verdana" w:hAnsi="Verdana"/>
                <w:b/>
                <w:sz w:val="18"/>
                <w:szCs w:val="18"/>
              </w:rPr>
            </w:pPr>
          </w:p>
          <w:p w14:paraId="1AE91DBB" w14:textId="77777777" w:rsidR="008715BE" w:rsidRPr="00EC75B7" w:rsidRDefault="008715BE">
            <w:pPr>
              <w:pStyle w:val="TableParagraph"/>
              <w:rPr>
                <w:rFonts w:ascii="Verdana" w:hAnsi="Verdana"/>
                <w:b/>
                <w:sz w:val="18"/>
                <w:szCs w:val="18"/>
              </w:rPr>
            </w:pPr>
          </w:p>
          <w:p w14:paraId="7C265D28" w14:textId="77777777" w:rsidR="008715BE" w:rsidRPr="00EC75B7" w:rsidRDefault="008715BE">
            <w:pPr>
              <w:pStyle w:val="TableParagraph"/>
              <w:rPr>
                <w:rFonts w:ascii="Verdana" w:hAnsi="Verdana"/>
                <w:b/>
                <w:sz w:val="18"/>
                <w:szCs w:val="18"/>
              </w:rPr>
            </w:pPr>
          </w:p>
          <w:p w14:paraId="66D0B9A5" w14:textId="77777777" w:rsidR="008715BE" w:rsidRPr="00EC75B7" w:rsidRDefault="008715BE">
            <w:pPr>
              <w:pStyle w:val="TableParagraph"/>
              <w:spacing w:before="102"/>
              <w:rPr>
                <w:rFonts w:ascii="Verdana" w:hAnsi="Verdana"/>
                <w:b/>
                <w:sz w:val="18"/>
                <w:szCs w:val="18"/>
              </w:rPr>
            </w:pPr>
          </w:p>
          <w:p w14:paraId="706EE15B"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68C847E8" w14:textId="77777777" w:rsidR="008715BE" w:rsidRPr="00EC75B7" w:rsidRDefault="008715BE">
            <w:pPr>
              <w:pStyle w:val="TableParagraph"/>
              <w:rPr>
                <w:rFonts w:ascii="Verdana" w:hAnsi="Verdana"/>
                <w:b/>
                <w:sz w:val="18"/>
                <w:szCs w:val="18"/>
              </w:rPr>
            </w:pPr>
          </w:p>
          <w:p w14:paraId="667B8631" w14:textId="77777777" w:rsidR="008715BE" w:rsidRPr="00EC75B7" w:rsidRDefault="008715BE">
            <w:pPr>
              <w:pStyle w:val="TableParagraph"/>
              <w:rPr>
                <w:rFonts w:ascii="Verdana" w:hAnsi="Verdana"/>
                <w:b/>
                <w:sz w:val="18"/>
                <w:szCs w:val="18"/>
              </w:rPr>
            </w:pPr>
          </w:p>
          <w:p w14:paraId="2BD7E9C2" w14:textId="77777777" w:rsidR="008715BE" w:rsidRPr="00EC75B7" w:rsidRDefault="008715BE">
            <w:pPr>
              <w:pStyle w:val="TableParagraph"/>
              <w:rPr>
                <w:rFonts w:ascii="Verdana" w:hAnsi="Verdana"/>
                <w:b/>
                <w:sz w:val="18"/>
                <w:szCs w:val="18"/>
              </w:rPr>
            </w:pPr>
          </w:p>
          <w:p w14:paraId="152F76CB" w14:textId="77777777" w:rsidR="008715BE" w:rsidRPr="00EC75B7" w:rsidRDefault="008715BE">
            <w:pPr>
              <w:pStyle w:val="TableParagraph"/>
              <w:rPr>
                <w:rFonts w:ascii="Verdana" w:hAnsi="Verdana"/>
                <w:b/>
                <w:sz w:val="18"/>
                <w:szCs w:val="18"/>
              </w:rPr>
            </w:pPr>
          </w:p>
          <w:p w14:paraId="58ED0FE1" w14:textId="77777777" w:rsidR="008715BE" w:rsidRPr="00EC75B7" w:rsidRDefault="008715BE">
            <w:pPr>
              <w:pStyle w:val="TableParagraph"/>
              <w:spacing w:before="102"/>
              <w:rPr>
                <w:rFonts w:ascii="Verdana" w:hAnsi="Verdana"/>
                <w:b/>
                <w:sz w:val="18"/>
                <w:szCs w:val="18"/>
              </w:rPr>
            </w:pPr>
          </w:p>
          <w:p w14:paraId="1987052E"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BDE7267" w14:textId="77777777" w:rsidR="008715BE" w:rsidRPr="00EC75B7" w:rsidRDefault="008715BE">
            <w:pPr>
              <w:pStyle w:val="TableParagraph"/>
              <w:rPr>
                <w:rFonts w:ascii="Verdana" w:hAnsi="Verdana"/>
                <w:b/>
                <w:sz w:val="18"/>
                <w:szCs w:val="18"/>
              </w:rPr>
            </w:pPr>
          </w:p>
          <w:p w14:paraId="4FD7B834" w14:textId="77777777" w:rsidR="008715BE" w:rsidRPr="00EC75B7" w:rsidRDefault="008715BE">
            <w:pPr>
              <w:pStyle w:val="TableParagraph"/>
              <w:rPr>
                <w:rFonts w:ascii="Verdana" w:hAnsi="Verdana"/>
                <w:b/>
                <w:sz w:val="18"/>
                <w:szCs w:val="18"/>
              </w:rPr>
            </w:pPr>
          </w:p>
          <w:p w14:paraId="21C27431" w14:textId="77777777" w:rsidR="008715BE" w:rsidRPr="00EC75B7" w:rsidRDefault="008715BE">
            <w:pPr>
              <w:pStyle w:val="TableParagraph"/>
              <w:rPr>
                <w:rFonts w:ascii="Verdana" w:hAnsi="Verdana"/>
                <w:b/>
                <w:sz w:val="18"/>
                <w:szCs w:val="18"/>
              </w:rPr>
            </w:pPr>
          </w:p>
          <w:p w14:paraId="3BF03259" w14:textId="77777777" w:rsidR="008715BE" w:rsidRPr="00EC75B7" w:rsidRDefault="008715BE">
            <w:pPr>
              <w:pStyle w:val="TableParagraph"/>
              <w:rPr>
                <w:rFonts w:ascii="Verdana" w:hAnsi="Verdana"/>
                <w:b/>
                <w:sz w:val="18"/>
                <w:szCs w:val="18"/>
              </w:rPr>
            </w:pPr>
          </w:p>
          <w:p w14:paraId="08C8632B" w14:textId="77777777" w:rsidR="008715BE" w:rsidRPr="00EC75B7" w:rsidRDefault="008715BE">
            <w:pPr>
              <w:pStyle w:val="TableParagraph"/>
              <w:spacing w:before="102"/>
              <w:rPr>
                <w:rFonts w:ascii="Verdana" w:hAnsi="Verdana"/>
                <w:b/>
                <w:sz w:val="18"/>
                <w:szCs w:val="18"/>
              </w:rPr>
            </w:pPr>
          </w:p>
          <w:p w14:paraId="0A910C2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798B784C" w14:textId="77777777" w:rsidR="008715BE" w:rsidRPr="00EC75B7" w:rsidRDefault="008715BE">
            <w:pPr>
              <w:pStyle w:val="TableParagraph"/>
              <w:rPr>
                <w:rFonts w:ascii="Verdana" w:hAnsi="Verdana"/>
                <w:b/>
                <w:sz w:val="18"/>
                <w:szCs w:val="18"/>
              </w:rPr>
            </w:pPr>
          </w:p>
          <w:p w14:paraId="7692F6CA" w14:textId="77777777" w:rsidR="008715BE" w:rsidRPr="00EC75B7" w:rsidRDefault="008715BE">
            <w:pPr>
              <w:pStyle w:val="TableParagraph"/>
              <w:rPr>
                <w:rFonts w:ascii="Verdana" w:hAnsi="Verdana"/>
                <w:b/>
                <w:sz w:val="18"/>
                <w:szCs w:val="18"/>
              </w:rPr>
            </w:pPr>
          </w:p>
          <w:p w14:paraId="7F1294E5" w14:textId="77777777" w:rsidR="008715BE" w:rsidRPr="00EC75B7" w:rsidRDefault="008715BE">
            <w:pPr>
              <w:pStyle w:val="TableParagraph"/>
              <w:rPr>
                <w:rFonts w:ascii="Verdana" w:hAnsi="Verdana"/>
                <w:b/>
                <w:sz w:val="18"/>
                <w:szCs w:val="18"/>
              </w:rPr>
            </w:pPr>
          </w:p>
          <w:p w14:paraId="06E71C97" w14:textId="77777777" w:rsidR="008715BE" w:rsidRPr="00EC75B7" w:rsidRDefault="008715BE">
            <w:pPr>
              <w:pStyle w:val="TableParagraph"/>
              <w:rPr>
                <w:rFonts w:ascii="Verdana" w:hAnsi="Verdana"/>
                <w:b/>
                <w:sz w:val="18"/>
                <w:szCs w:val="18"/>
              </w:rPr>
            </w:pPr>
          </w:p>
          <w:p w14:paraId="6B408905" w14:textId="77777777" w:rsidR="008715BE" w:rsidRPr="00EC75B7" w:rsidRDefault="008715BE">
            <w:pPr>
              <w:pStyle w:val="TableParagraph"/>
              <w:spacing w:before="102"/>
              <w:rPr>
                <w:rFonts w:ascii="Verdana" w:hAnsi="Verdana"/>
                <w:b/>
                <w:sz w:val="18"/>
                <w:szCs w:val="18"/>
              </w:rPr>
            </w:pPr>
          </w:p>
          <w:p w14:paraId="25D57F8D"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A8B0C15" w14:textId="77777777" w:rsidR="008715BE" w:rsidRPr="00EC75B7" w:rsidRDefault="008715BE">
            <w:pPr>
              <w:pStyle w:val="TableParagraph"/>
              <w:rPr>
                <w:rFonts w:ascii="Verdana" w:hAnsi="Verdana"/>
                <w:b/>
                <w:sz w:val="18"/>
                <w:szCs w:val="18"/>
              </w:rPr>
            </w:pPr>
          </w:p>
          <w:p w14:paraId="135B3C87" w14:textId="77777777" w:rsidR="008715BE" w:rsidRPr="00EC75B7" w:rsidRDefault="008715BE">
            <w:pPr>
              <w:pStyle w:val="TableParagraph"/>
              <w:rPr>
                <w:rFonts w:ascii="Verdana" w:hAnsi="Verdana"/>
                <w:b/>
                <w:sz w:val="18"/>
                <w:szCs w:val="18"/>
              </w:rPr>
            </w:pPr>
          </w:p>
          <w:p w14:paraId="2E2DB1AE" w14:textId="77777777" w:rsidR="008715BE" w:rsidRPr="00EC75B7" w:rsidRDefault="008715BE">
            <w:pPr>
              <w:pStyle w:val="TableParagraph"/>
              <w:rPr>
                <w:rFonts w:ascii="Verdana" w:hAnsi="Verdana"/>
                <w:b/>
                <w:sz w:val="18"/>
                <w:szCs w:val="18"/>
              </w:rPr>
            </w:pPr>
          </w:p>
          <w:p w14:paraId="2A062140" w14:textId="77777777" w:rsidR="008715BE" w:rsidRPr="00EC75B7" w:rsidRDefault="008715BE">
            <w:pPr>
              <w:pStyle w:val="TableParagraph"/>
              <w:rPr>
                <w:rFonts w:ascii="Verdana" w:hAnsi="Verdana"/>
                <w:b/>
                <w:sz w:val="18"/>
                <w:szCs w:val="18"/>
              </w:rPr>
            </w:pPr>
          </w:p>
          <w:p w14:paraId="48366134" w14:textId="77777777" w:rsidR="008715BE" w:rsidRPr="00EC75B7" w:rsidRDefault="008715BE">
            <w:pPr>
              <w:pStyle w:val="TableParagraph"/>
              <w:spacing w:before="102"/>
              <w:rPr>
                <w:rFonts w:ascii="Verdana" w:hAnsi="Verdana"/>
                <w:b/>
                <w:sz w:val="18"/>
                <w:szCs w:val="18"/>
              </w:rPr>
            </w:pPr>
          </w:p>
          <w:p w14:paraId="693BD045"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36B1D2BD" w14:textId="77777777" w:rsidR="008715BE" w:rsidRPr="00EC75B7" w:rsidRDefault="008715BE">
            <w:pPr>
              <w:pStyle w:val="TableParagraph"/>
              <w:rPr>
                <w:rFonts w:ascii="Verdana" w:hAnsi="Verdana"/>
                <w:b/>
                <w:sz w:val="18"/>
                <w:szCs w:val="18"/>
              </w:rPr>
            </w:pPr>
          </w:p>
          <w:p w14:paraId="5EEE772C" w14:textId="77777777" w:rsidR="008715BE" w:rsidRPr="00EC75B7" w:rsidRDefault="008715BE">
            <w:pPr>
              <w:pStyle w:val="TableParagraph"/>
              <w:rPr>
                <w:rFonts w:ascii="Verdana" w:hAnsi="Verdana"/>
                <w:b/>
                <w:sz w:val="18"/>
                <w:szCs w:val="18"/>
              </w:rPr>
            </w:pPr>
          </w:p>
          <w:p w14:paraId="7D5EBD01" w14:textId="77777777" w:rsidR="008715BE" w:rsidRPr="00EC75B7" w:rsidRDefault="008715BE">
            <w:pPr>
              <w:pStyle w:val="TableParagraph"/>
              <w:rPr>
                <w:rFonts w:ascii="Verdana" w:hAnsi="Verdana"/>
                <w:b/>
                <w:sz w:val="18"/>
                <w:szCs w:val="18"/>
              </w:rPr>
            </w:pPr>
          </w:p>
          <w:p w14:paraId="3685D064" w14:textId="77777777" w:rsidR="008715BE" w:rsidRPr="00EC75B7" w:rsidRDefault="008715BE">
            <w:pPr>
              <w:pStyle w:val="TableParagraph"/>
              <w:rPr>
                <w:rFonts w:ascii="Verdana" w:hAnsi="Verdana"/>
                <w:b/>
                <w:sz w:val="18"/>
                <w:szCs w:val="18"/>
              </w:rPr>
            </w:pPr>
          </w:p>
          <w:p w14:paraId="46985E13" w14:textId="77777777" w:rsidR="008715BE" w:rsidRPr="00EC75B7" w:rsidRDefault="008715BE">
            <w:pPr>
              <w:pStyle w:val="TableParagraph"/>
              <w:spacing w:before="102"/>
              <w:rPr>
                <w:rFonts w:ascii="Verdana" w:hAnsi="Verdana"/>
                <w:b/>
                <w:sz w:val="18"/>
                <w:szCs w:val="18"/>
              </w:rPr>
            </w:pPr>
          </w:p>
          <w:p w14:paraId="5E5DDF42"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524AD771" w14:textId="77777777" w:rsidR="008715BE" w:rsidRPr="00EC75B7" w:rsidRDefault="008715BE">
            <w:pPr>
              <w:pStyle w:val="TableParagraph"/>
              <w:rPr>
                <w:rFonts w:ascii="Verdana" w:hAnsi="Verdana"/>
                <w:b/>
                <w:sz w:val="18"/>
                <w:szCs w:val="18"/>
              </w:rPr>
            </w:pPr>
          </w:p>
          <w:p w14:paraId="1C37FC8B" w14:textId="77777777" w:rsidR="008715BE" w:rsidRPr="00EC75B7" w:rsidRDefault="008715BE">
            <w:pPr>
              <w:pStyle w:val="TableParagraph"/>
              <w:rPr>
                <w:rFonts w:ascii="Verdana" w:hAnsi="Verdana"/>
                <w:b/>
                <w:sz w:val="18"/>
                <w:szCs w:val="18"/>
              </w:rPr>
            </w:pPr>
          </w:p>
          <w:p w14:paraId="2AE028F4" w14:textId="77777777" w:rsidR="008715BE" w:rsidRPr="00EC75B7" w:rsidRDefault="008715BE">
            <w:pPr>
              <w:pStyle w:val="TableParagraph"/>
              <w:rPr>
                <w:rFonts w:ascii="Verdana" w:hAnsi="Verdana"/>
                <w:b/>
                <w:sz w:val="18"/>
                <w:szCs w:val="18"/>
              </w:rPr>
            </w:pPr>
          </w:p>
          <w:p w14:paraId="748FE4EA" w14:textId="77777777" w:rsidR="008715BE" w:rsidRPr="00EC75B7" w:rsidRDefault="008715BE">
            <w:pPr>
              <w:pStyle w:val="TableParagraph"/>
              <w:rPr>
                <w:rFonts w:ascii="Verdana" w:hAnsi="Verdana"/>
                <w:b/>
                <w:sz w:val="18"/>
                <w:szCs w:val="18"/>
              </w:rPr>
            </w:pPr>
          </w:p>
          <w:p w14:paraId="4F4DE1C3" w14:textId="77777777" w:rsidR="008715BE" w:rsidRPr="00EC75B7" w:rsidRDefault="008715BE">
            <w:pPr>
              <w:pStyle w:val="TableParagraph"/>
              <w:spacing w:before="102"/>
              <w:rPr>
                <w:rFonts w:ascii="Verdana" w:hAnsi="Verdana"/>
                <w:b/>
                <w:sz w:val="18"/>
                <w:szCs w:val="18"/>
              </w:rPr>
            </w:pPr>
          </w:p>
          <w:p w14:paraId="79DAE04F"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CDC3B2C" w14:textId="77777777" w:rsidR="008715BE" w:rsidRPr="00EC75B7" w:rsidRDefault="008715BE">
            <w:pPr>
              <w:pStyle w:val="TableParagraph"/>
              <w:rPr>
                <w:rFonts w:ascii="Verdana" w:hAnsi="Verdana"/>
                <w:b/>
                <w:sz w:val="18"/>
                <w:szCs w:val="18"/>
              </w:rPr>
            </w:pPr>
          </w:p>
          <w:p w14:paraId="07D6E639" w14:textId="77777777" w:rsidR="008715BE" w:rsidRPr="00EC75B7" w:rsidRDefault="008715BE">
            <w:pPr>
              <w:pStyle w:val="TableParagraph"/>
              <w:rPr>
                <w:rFonts w:ascii="Verdana" w:hAnsi="Verdana"/>
                <w:b/>
                <w:sz w:val="18"/>
                <w:szCs w:val="18"/>
              </w:rPr>
            </w:pPr>
          </w:p>
          <w:p w14:paraId="5A4AC703" w14:textId="77777777" w:rsidR="008715BE" w:rsidRPr="00EC75B7" w:rsidRDefault="008715BE">
            <w:pPr>
              <w:pStyle w:val="TableParagraph"/>
              <w:rPr>
                <w:rFonts w:ascii="Verdana" w:hAnsi="Verdana"/>
                <w:b/>
                <w:sz w:val="18"/>
                <w:szCs w:val="18"/>
              </w:rPr>
            </w:pPr>
          </w:p>
          <w:p w14:paraId="01C1A1AC" w14:textId="77777777" w:rsidR="008715BE" w:rsidRPr="00EC75B7" w:rsidRDefault="008715BE">
            <w:pPr>
              <w:pStyle w:val="TableParagraph"/>
              <w:rPr>
                <w:rFonts w:ascii="Verdana" w:hAnsi="Verdana"/>
                <w:b/>
                <w:sz w:val="18"/>
                <w:szCs w:val="18"/>
              </w:rPr>
            </w:pPr>
          </w:p>
          <w:p w14:paraId="7C640651" w14:textId="77777777" w:rsidR="008715BE" w:rsidRPr="00EC75B7" w:rsidRDefault="008715BE">
            <w:pPr>
              <w:pStyle w:val="TableParagraph"/>
              <w:spacing w:before="102"/>
              <w:rPr>
                <w:rFonts w:ascii="Verdana" w:hAnsi="Verdana"/>
                <w:b/>
                <w:sz w:val="18"/>
                <w:szCs w:val="18"/>
              </w:rPr>
            </w:pPr>
          </w:p>
          <w:p w14:paraId="24535288"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2B91F49D" w14:textId="77777777" w:rsidR="008715BE" w:rsidRPr="00EC75B7" w:rsidRDefault="008715BE">
            <w:pPr>
              <w:pStyle w:val="TableParagraph"/>
              <w:rPr>
                <w:rFonts w:ascii="Verdana" w:hAnsi="Verdana"/>
                <w:b/>
                <w:sz w:val="18"/>
                <w:szCs w:val="18"/>
              </w:rPr>
            </w:pPr>
          </w:p>
          <w:p w14:paraId="1961F046" w14:textId="77777777" w:rsidR="008715BE" w:rsidRPr="00EC75B7" w:rsidRDefault="008715BE">
            <w:pPr>
              <w:pStyle w:val="TableParagraph"/>
              <w:rPr>
                <w:rFonts w:ascii="Verdana" w:hAnsi="Verdana"/>
                <w:b/>
                <w:sz w:val="18"/>
                <w:szCs w:val="18"/>
              </w:rPr>
            </w:pPr>
          </w:p>
          <w:p w14:paraId="5D4B5A9C" w14:textId="77777777" w:rsidR="008715BE" w:rsidRPr="00EC75B7" w:rsidRDefault="008715BE">
            <w:pPr>
              <w:pStyle w:val="TableParagraph"/>
              <w:rPr>
                <w:rFonts w:ascii="Verdana" w:hAnsi="Verdana"/>
                <w:b/>
                <w:sz w:val="18"/>
                <w:szCs w:val="18"/>
              </w:rPr>
            </w:pPr>
          </w:p>
          <w:p w14:paraId="2EE000D1" w14:textId="77777777" w:rsidR="008715BE" w:rsidRPr="00EC75B7" w:rsidRDefault="008715BE">
            <w:pPr>
              <w:pStyle w:val="TableParagraph"/>
              <w:rPr>
                <w:rFonts w:ascii="Verdana" w:hAnsi="Verdana"/>
                <w:b/>
                <w:sz w:val="18"/>
                <w:szCs w:val="18"/>
              </w:rPr>
            </w:pPr>
          </w:p>
          <w:p w14:paraId="628C2C36" w14:textId="77777777" w:rsidR="008715BE" w:rsidRPr="00EC75B7" w:rsidRDefault="008715BE">
            <w:pPr>
              <w:pStyle w:val="TableParagraph"/>
              <w:spacing w:before="102"/>
              <w:rPr>
                <w:rFonts w:ascii="Verdana" w:hAnsi="Verdana"/>
                <w:b/>
                <w:sz w:val="18"/>
                <w:szCs w:val="18"/>
              </w:rPr>
            </w:pPr>
          </w:p>
          <w:p w14:paraId="36890F1A"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4315191C" w14:textId="77777777" w:rsidR="008715BE" w:rsidRPr="00EC75B7" w:rsidRDefault="008715BE">
            <w:pPr>
              <w:pStyle w:val="TableParagraph"/>
              <w:rPr>
                <w:rFonts w:ascii="Verdana" w:hAnsi="Verdana"/>
                <w:b/>
                <w:sz w:val="18"/>
                <w:szCs w:val="18"/>
              </w:rPr>
            </w:pPr>
          </w:p>
          <w:p w14:paraId="1B7117A6" w14:textId="77777777" w:rsidR="008715BE" w:rsidRPr="00EC75B7" w:rsidRDefault="008715BE">
            <w:pPr>
              <w:pStyle w:val="TableParagraph"/>
              <w:rPr>
                <w:rFonts w:ascii="Verdana" w:hAnsi="Verdana"/>
                <w:b/>
                <w:sz w:val="18"/>
                <w:szCs w:val="18"/>
              </w:rPr>
            </w:pPr>
          </w:p>
          <w:p w14:paraId="5CA4F1ED" w14:textId="77777777" w:rsidR="008715BE" w:rsidRPr="00EC75B7" w:rsidRDefault="008715BE">
            <w:pPr>
              <w:pStyle w:val="TableParagraph"/>
              <w:rPr>
                <w:rFonts w:ascii="Verdana" w:hAnsi="Verdana"/>
                <w:b/>
                <w:sz w:val="18"/>
                <w:szCs w:val="18"/>
              </w:rPr>
            </w:pPr>
          </w:p>
          <w:p w14:paraId="3EE1FAE6" w14:textId="77777777" w:rsidR="008715BE" w:rsidRPr="00EC75B7" w:rsidRDefault="008715BE">
            <w:pPr>
              <w:pStyle w:val="TableParagraph"/>
              <w:rPr>
                <w:rFonts w:ascii="Verdana" w:hAnsi="Verdana"/>
                <w:b/>
                <w:sz w:val="18"/>
                <w:szCs w:val="18"/>
              </w:rPr>
            </w:pPr>
          </w:p>
          <w:p w14:paraId="7E630F4F" w14:textId="77777777" w:rsidR="008715BE" w:rsidRPr="00EC75B7" w:rsidRDefault="008715BE">
            <w:pPr>
              <w:pStyle w:val="TableParagraph"/>
              <w:spacing w:before="102"/>
              <w:rPr>
                <w:rFonts w:ascii="Verdana" w:hAnsi="Verdana"/>
                <w:b/>
                <w:sz w:val="18"/>
                <w:szCs w:val="18"/>
              </w:rPr>
            </w:pPr>
          </w:p>
          <w:p w14:paraId="394F4E06"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32710DA1" w14:textId="77777777" w:rsidR="008715BE" w:rsidRPr="00EC75B7" w:rsidRDefault="008715BE">
            <w:pPr>
              <w:pStyle w:val="TableParagraph"/>
              <w:rPr>
                <w:rFonts w:ascii="Verdana" w:hAnsi="Verdana"/>
                <w:b/>
                <w:sz w:val="18"/>
                <w:szCs w:val="18"/>
              </w:rPr>
            </w:pPr>
          </w:p>
          <w:p w14:paraId="36249DF9" w14:textId="77777777" w:rsidR="008715BE" w:rsidRPr="00EC75B7" w:rsidRDefault="008715BE">
            <w:pPr>
              <w:pStyle w:val="TableParagraph"/>
              <w:rPr>
                <w:rFonts w:ascii="Verdana" w:hAnsi="Verdana"/>
                <w:b/>
                <w:sz w:val="18"/>
                <w:szCs w:val="18"/>
              </w:rPr>
            </w:pPr>
          </w:p>
          <w:p w14:paraId="35CD340C" w14:textId="77777777" w:rsidR="008715BE" w:rsidRPr="00EC75B7" w:rsidRDefault="008715BE">
            <w:pPr>
              <w:pStyle w:val="TableParagraph"/>
              <w:rPr>
                <w:rFonts w:ascii="Verdana" w:hAnsi="Verdana"/>
                <w:b/>
                <w:sz w:val="18"/>
                <w:szCs w:val="18"/>
              </w:rPr>
            </w:pPr>
          </w:p>
          <w:p w14:paraId="1C527AFE" w14:textId="77777777" w:rsidR="008715BE" w:rsidRPr="00EC75B7" w:rsidRDefault="008715BE">
            <w:pPr>
              <w:pStyle w:val="TableParagraph"/>
              <w:rPr>
                <w:rFonts w:ascii="Verdana" w:hAnsi="Verdana"/>
                <w:b/>
                <w:sz w:val="18"/>
                <w:szCs w:val="18"/>
              </w:rPr>
            </w:pPr>
          </w:p>
          <w:p w14:paraId="23451274" w14:textId="77777777" w:rsidR="008715BE" w:rsidRPr="00EC75B7" w:rsidRDefault="008715BE">
            <w:pPr>
              <w:pStyle w:val="TableParagraph"/>
              <w:spacing w:before="3"/>
              <w:rPr>
                <w:rFonts w:ascii="Verdana" w:hAnsi="Verdana"/>
                <w:b/>
                <w:sz w:val="18"/>
                <w:szCs w:val="18"/>
              </w:rPr>
            </w:pPr>
          </w:p>
          <w:p w14:paraId="2BE1BE1D"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6360BCFE" w14:textId="77777777">
        <w:trPr>
          <w:trHeight w:val="2334"/>
        </w:trPr>
        <w:tc>
          <w:tcPr>
            <w:tcW w:w="554" w:type="dxa"/>
          </w:tcPr>
          <w:p w14:paraId="5BA6DF6D" w14:textId="77777777" w:rsidR="008715BE" w:rsidRPr="00EC75B7" w:rsidRDefault="008715BE">
            <w:pPr>
              <w:pStyle w:val="TableParagraph"/>
              <w:rPr>
                <w:rFonts w:ascii="Verdana" w:hAnsi="Verdana"/>
                <w:b/>
                <w:sz w:val="18"/>
                <w:szCs w:val="18"/>
              </w:rPr>
            </w:pPr>
          </w:p>
          <w:p w14:paraId="2BD64C37" w14:textId="77777777" w:rsidR="008715BE" w:rsidRPr="00EC75B7" w:rsidRDefault="008715BE">
            <w:pPr>
              <w:pStyle w:val="TableParagraph"/>
              <w:rPr>
                <w:rFonts w:ascii="Verdana" w:hAnsi="Verdana"/>
                <w:b/>
                <w:sz w:val="18"/>
                <w:szCs w:val="18"/>
              </w:rPr>
            </w:pPr>
          </w:p>
          <w:p w14:paraId="573697DF" w14:textId="77777777" w:rsidR="008715BE" w:rsidRPr="00EC75B7" w:rsidRDefault="008715BE">
            <w:pPr>
              <w:pStyle w:val="TableParagraph"/>
              <w:rPr>
                <w:rFonts w:ascii="Verdana" w:hAnsi="Verdana"/>
                <w:b/>
                <w:sz w:val="18"/>
                <w:szCs w:val="18"/>
              </w:rPr>
            </w:pPr>
          </w:p>
          <w:p w14:paraId="646D2133" w14:textId="77777777" w:rsidR="008715BE" w:rsidRPr="00EC75B7" w:rsidRDefault="008715BE">
            <w:pPr>
              <w:pStyle w:val="TableParagraph"/>
              <w:rPr>
                <w:rFonts w:ascii="Verdana" w:hAnsi="Verdana"/>
                <w:b/>
                <w:sz w:val="18"/>
                <w:szCs w:val="18"/>
              </w:rPr>
            </w:pPr>
          </w:p>
          <w:p w14:paraId="499F7D8A" w14:textId="77777777" w:rsidR="008715BE" w:rsidRPr="00EC75B7" w:rsidRDefault="008715BE">
            <w:pPr>
              <w:pStyle w:val="TableParagraph"/>
              <w:spacing w:before="102"/>
              <w:rPr>
                <w:rFonts w:ascii="Verdana" w:hAnsi="Verdana"/>
                <w:b/>
                <w:sz w:val="18"/>
                <w:szCs w:val="18"/>
              </w:rPr>
            </w:pPr>
          </w:p>
          <w:p w14:paraId="069FF313"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M11</w:t>
            </w:r>
          </w:p>
        </w:tc>
        <w:tc>
          <w:tcPr>
            <w:tcW w:w="6091" w:type="dxa"/>
          </w:tcPr>
          <w:p w14:paraId="413CCE82" w14:textId="77777777" w:rsidR="008715BE" w:rsidRPr="00EC75B7" w:rsidRDefault="008715BE">
            <w:pPr>
              <w:pStyle w:val="TableParagraph"/>
              <w:rPr>
                <w:rFonts w:ascii="Verdana" w:hAnsi="Verdana"/>
                <w:b/>
                <w:sz w:val="18"/>
                <w:szCs w:val="18"/>
              </w:rPr>
            </w:pPr>
          </w:p>
          <w:p w14:paraId="54CB2A51" w14:textId="77777777" w:rsidR="008715BE" w:rsidRPr="00EC75B7" w:rsidRDefault="008715BE">
            <w:pPr>
              <w:pStyle w:val="TableParagraph"/>
              <w:rPr>
                <w:rFonts w:ascii="Verdana" w:hAnsi="Verdana"/>
                <w:b/>
                <w:sz w:val="18"/>
                <w:szCs w:val="18"/>
              </w:rPr>
            </w:pPr>
          </w:p>
          <w:p w14:paraId="11233E25" w14:textId="77777777" w:rsidR="008715BE" w:rsidRPr="00EC75B7" w:rsidRDefault="008715BE">
            <w:pPr>
              <w:pStyle w:val="TableParagraph"/>
              <w:rPr>
                <w:rFonts w:ascii="Verdana" w:hAnsi="Verdana"/>
                <w:b/>
                <w:sz w:val="18"/>
                <w:szCs w:val="18"/>
              </w:rPr>
            </w:pPr>
          </w:p>
          <w:p w14:paraId="1013C751" w14:textId="77777777" w:rsidR="008715BE" w:rsidRPr="00EC75B7" w:rsidRDefault="008715BE">
            <w:pPr>
              <w:pStyle w:val="TableParagraph"/>
              <w:spacing w:before="103"/>
              <w:rPr>
                <w:rFonts w:ascii="Verdana" w:hAnsi="Verdana"/>
                <w:b/>
                <w:sz w:val="18"/>
                <w:szCs w:val="18"/>
              </w:rPr>
            </w:pPr>
          </w:p>
          <w:p w14:paraId="61D238E7"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Topsoil or fertile soil resulting from excavations will be properly stored and protected, then reused. Restoration of the topsoil in temporarily occupied areas.</w:t>
            </w:r>
          </w:p>
        </w:tc>
        <w:tc>
          <w:tcPr>
            <w:tcW w:w="1809" w:type="dxa"/>
          </w:tcPr>
          <w:p w14:paraId="58DDE4E3"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53A2B2AD"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and mammals*** from </w:t>
            </w:r>
            <w:r w:rsidRPr="00EC75B7">
              <w:rPr>
                <w:rFonts w:ascii="Verdana" w:hAnsi="Verdana"/>
                <w:spacing w:val="-2"/>
                <w:sz w:val="18"/>
                <w:szCs w:val="18"/>
              </w:rPr>
              <w:t>ROSCI0071, ROSCI0157, ROSPA0166, ROSPA0036, ROSPA0094, BG0000569,</w:t>
            </w:r>
          </w:p>
          <w:p w14:paraId="23AD8B5D" w14:textId="77777777" w:rsidR="008715BE" w:rsidRPr="00EC75B7" w:rsidRDefault="00000000" w:rsidP="00C96230">
            <w:pPr>
              <w:pStyle w:val="TableParagraph"/>
              <w:spacing w:line="160"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53C83392" w14:textId="77777777" w:rsidR="008715BE" w:rsidRPr="00EC75B7" w:rsidRDefault="008715BE">
            <w:pPr>
              <w:pStyle w:val="TableParagraph"/>
              <w:rPr>
                <w:rFonts w:ascii="Verdana" w:hAnsi="Verdana"/>
                <w:b/>
                <w:sz w:val="18"/>
                <w:szCs w:val="18"/>
              </w:rPr>
            </w:pPr>
          </w:p>
          <w:p w14:paraId="426F3823" w14:textId="77777777" w:rsidR="008715BE" w:rsidRPr="00EC75B7" w:rsidRDefault="008715BE">
            <w:pPr>
              <w:pStyle w:val="TableParagraph"/>
              <w:rPr>
                <w:rFonts w:ascii="Verdana" w:hAnsi="Verdana"/>
                <w:b/>
                <w:sz w:val="18"/>
                <w:szCs w:val="18"/>
              </w:rPr>
            </w:pPr>
          </w:p>
          <w:p w14:paraId="3FC97739" w14:textId="77777777" w:rsidR="008715BE" w:rsidRPr="00EC75B7" w:rsidRDefault="008715BE">
            <w:pPr>
              <w:pStyle w:val="TableParagraph"/>
              <w:spacing w:before="103"/>
              <w:rPr>
                <w:rFonts w:ascii="Verdana" w:hAnsi="Verdana"/>
                <w:b/>
                <w:sz w:val="18"/>
                <w:szCs w:val="18"/>
              </w:rPr>
            </w:pPr>
          </w:p>
          <w:p w14:paraId="2EEF9DC0" w14:textId="77777777" w:rsidR="008715BE" w:rsidRPr="00EC75B7" w:rsidRDefault="00000000">
            <w:pPr>
              <w:pStyle w:val="TableParagraph"/>
              <w:spacing w:before="1"/>
              <w:ind w:left="157" w:right="145" w:firstLine="2"/>
              <w:jc w:val="center"/>
              <w:rPr>
                <w:rFonts w:ascii="Verdana" w:hAnsi="Verdana"/>
                <w:sz w:val="18"/>
                <w:szCs w:val="18"/>
              </w:rPr>
            </w:pPr>
            <w:r w:rsidRPr="00EC75B7">
              <w:rPr>
                <w:rFonts w:ascii="Verdana" w:hAnsi="Verdana"/>
                <w:spacing w:val="-2"/>
                <w:sz w:val="18"/>
                <w:szCs w:val="18"/>
              </w:rPr>
              <w:t xml:space="preserve">Population trends </w:t>
            </w:r>
            <w:r w:rsidRPr="00EC75B7">
              <w:rPr>
                <w:rFonts w:ascii="Verdana" w:hAnsi="Verdana"/>
                <w:sz w:val="18"/>
                <w:szCs w:val="18"/>
              </w:rPr>
              <w:t xml:space="preserve">for each </w:t>
            </w:r>
            <w:r w:rsidRPr="00EC75B7">
              <w:rPr>
                <w:rFonts w:ascii="Verdana" w:hAnsi="Verdana"/>
                <w:spacing w:val="-2"/>
                <w:sz w:val="18"/>
                <w:szCs w:val="18"/>
              </w:rPr>
              <w:t>species Habitat area</w:t>
            </w:r>
          </w:p>
        </w:tc>
        <w:tc>
          <w:tcPr>
            <w:tcW w:w="1351" w:type="dxa"/>
          </w:tcPr>
          <w:p w14:paraId="398392A3" w14:textId="77777777" w:rsidR="008715BE" w:rsidRPr="00EC75B7" w:rsidRDefault="008715BE">
            <w:pPr>
              <w:pStyle w:val="TableParagraph"/>
              <w:rPr>
                <w:rFonts w:ascii="Verdana" w:hAnsi="Verdana"/>
                <w:b/>
                <w:sz w:val="18"/>
                <w:szCs w:val="18"/>
              </w:rPr>
            </w:pPr>
          </w:p>
          <w:p w14:paraId="079D406C" w14:textId="77777777" w:rsidR="008715BE" w:rsidRPr="00EC75B7" w:rsidRDefault="008715BE">
            <w:pPr>
              <w:pStyle w:val="TableParagraph"/>
              <w:rPr>
                <w:rFonts w:ascii="Verdana" w:hAnsi="Verdana"/>
                <w:b/>
                <w:sz w:val="18"/>
                <w:szCs w:val="18"/>
              </w:rPr>
            </w:pPr>
          </w:p>
          <w:p w14:paraId="36BD3478" w14:textId="77777777" w:rsidR="008715BE" w:rsidRPr="00EC75B7" w:rsidRDefault="008715BE">
            <w:pPr>
              <w:pStyle w:val="TableParagraph"/>
              <w:rPr>
                <w:rFonts w:ascii="Verdana" w:hAnsi="Verdana"/>
                <w:b/>
                <w:sz w:val="18"/>
                <w:szCs w:val="18"/>
              </w:rPr>
            </w:pPr>
          </w:p>
          <w:p w14:paraId="1392B324" w14:textId="77777777" w:rsidR="008715BE" w:rsidRPr="00EC75B7" w:rsidRDefault="008715BE">
            <w:pPr>
              <w:pStyle w:val="TableParagraph"/>
              <w:rPr>
                <w:rFonts w:ascii="Verdana" w:hAnsi="Verdana"/>
                <w:b/>
                <w:sz w:val="18"/>
                <w:szCs w:val="18"/>
              </w:rPr>
            </w:pPr>
          </w:p>
          <w:p w14:paraId="7DEF33DB" w14:textId="77777777" w:rsidR="008715BE" w:rsidRPr="00EC75B7" w:rsidRDefault="008715BE">
            <w:pPr>
              <w:pStyle w:val="TableParagraph"/>
              <w:spacing w:before="102"/>
              <w:rPr>
                <w:rFonts w:ascii="Verdana" w:hAnsi="Verdana"/>
                <w:b/>
                <w:sz w:val="18"/>
                <w:szCs w:val="18"/>
              </w:rPr>
            </w:pPr>
          </w:p>
          <w:p w14:paraId="5CA55936"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2"/>
                <w:sz w:val="18"/>
                <w:szCs w:val="18"/>
              </w:rPr>
              <w:t>AH,PAS</w:t>
            </w:r>
          </w:p>
        </w:tc>
        <w:tc>
          <w:tcPr>
            <w:tcW w:w="269" w:type="dxa"/>
          </w:tcPr>
          <w:p w14:paraId="4E5C41CF" w14:textId="77777777" w:rsidR="008715BE" w:rsidRPr="00EC75B7" w:rsidRDefault="008715BE">
            <w:pPr>
              <w:pStyle w:val="TableParagraph"/>
              <w:rPr>
                <w:rFonts w:ascii="Verdana" w:hAnsi="Verdana"/>
                <w:b/>
                <w:sz w:val="18"/>
                <w:szCs w:val="18"/>
              </w:rPr>
            </w:pPr>
          </w:p>
          <w:p w14:paraId="44559032" w14:textId="77777777" w:rsidR="008715BE" w:rsidRPr="00EC75B7" w:rsidRDefault="008715BE">
            <w:pPr>
              <w:pStyle w:val="TableParagraph"/>
              <w:rPr>
                <w:rFonts w:ascii="Verdana" w:hAnsi="Verdana"/>
                <w:b/>
                <w:sz w:val="18"/>
                <w:szCs w:val="18"/>
              </w:rPr>
            </w:pPr>
          </w:p>
          <w:p w14:paraId="21899A85" w14:textId="77777777" w:rsidR="008715BE" w:rsidRPr="00EC75B7" w:rsidRDefault="008715BE">
            <w:pPr>
              <w:pStyle w:val="TableParagraph"/>
              <w:rPr>
                <w:rFonts w:ascii="Verdana" w:hAnsi="Verdana"/>
                <w:b/>
                <w:sz w:val="18"/>
                <w:szCs w:val="18"/>
              </w:rPr>
            </w:pPr>
          </w:p>
          <w:p w14:paraId="36F99751" w14:textId="77777777" w:rsidR="008715BE" w:rsidRPr="00EC75B7" w:rsidRDefault="008715BE">
            <w:pPr>
              <w:pStyle w:val="TableParagraph"/>
              <w:rPr>
                <w:rFonts w:ascii="Verdana" w:hAnsi="Verdana"/>
                <w:b/>
                <w:sz w:val="18"/>
                <w:szCs w:val="18"/>
              </w:rPr>
            </w:pPr>
          </w:p>
          <w:p w14:paraId="202EBE58" w14:textId="77777777" w:rsidR="008715BE" w:rsidRPr="00EC75B7" w:rsidRDefault="008715BE">
            <w:pPr>
              <w:pStyle w:val="TableParagraph"/>
              <w:spacing w:before="102"/>
              <w:rPr>
                <w:rFonts w:ascii="Verdana" w:hAnsi="Verdana"/>
                <w:b/>
                <w:sz w:val="18"/>
                <w:szCs w:val="18"/>
              </w:rPr>
            </w:pPr>
          </w:p>
          <w:p w14:paraId="3C48E71F"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53D77018" w14:textId="77777777" w:rsidR="008715BE" w:rsidRPr="00EC75B7" w:rsidRDefault="008715BE">
            <w:pPr>
              <w:pStyle w:val="TableParagraph"/>
              <w:rPr>
                <w:rFonts w:ascii="Verdana" w:hAnsi="Verdana"/>
                <w:b/>
                <w:sz w:val="18"/>
                <w:szCs w:val="18"/>
              </w:rPr>
            </w:pPr>
          </w:p>
          <w:p w14:paraId="0AF42EC6" w14:textId="77777777" w:rsidR="008715BE" w:rsidRPr="00EC75B7" w:rsidRDefault="008715BE">
            <w:pPr>
              <w:pStyle w:val="TableParagraph"/>
              <w:rPr>
                <w:rFonts w:ascii="Verdana" w:hAnsi="Verdana"/>
                <w:b/>
                <w:sz w:val="18"/>
                <w:szCs w:val="18"/>
              </w:rPr>
            </w:pPr>
          </w:p>
          <w:p w14:paraId="54B3248A" w14:textId="77777777" w:rsidR="008715BE" w:rsidRPr="00EC75B7" w:rsidRDefault="008715BE">
            <w:pPr>
              <w:pStyle w:val="TableParagraph"/>
              <w:rPr>
                <w:rFonts w:ascii="Verdana" w:hAnsi="Verdana"/>
                <w:b/>
                <w:sz w:val="18"/>
                <w:szCs w:val="18"/>
              </w:rPr>
            </w:pPr>
          </w:p>
          <w:p w14:paraId="778DAE54" w14:textId="77777777" w:rsidR="008715BE" w:rsidRPr="00EC75B7" w:rsidRDefault="008715BE">
            <w:pPr>
              <w:pStyle w:val="TableParagraph"/>
              <w:rPr>
                <w:rFonts w:ascii="Verdana" w:hAnsi="Verdana"/>
                <w:b/>
                <w:sz w:val="18"/>
                <w:szCs w:val="18"/>
              </w:rPr>
            </w:pPr>
          </w:p>
          <w:p w14:paraId="1165B172" w14:textId="77777777" w:rsidR="008715BE" w:rsidRPr="00EC75B7" w:rsidRDefault="008715BE">
            <w:pPr>
              <w:pStyle w:val="TableParagraph"/>
              <w:spacing w:before="102"/>
              <w:rPr>
                <w:rFonts w:ascii="Verdana" w:hAnsi="Verdana"/>
                <w:b/>
                <w:sz w:val="18"/>
                <w:szCs w:val="18"/>
              </w:rPr>
            </w:pPr>
          </w:p>
          <w:p w14:paraId="05552FAB"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30127103" w14:textId="77777777" w:rsidR="008715BE" w:rsidRPr="00EC75B7" w:rsidRDefault="008715BE">
            <w:pPr>
              <w:pStyle w:val="TableParagraph"/>
              <w:rPr>
                <w:rFonts w:ascii="Verdana" w:hAnsi="Verdana"/>
                <w:b/>
                <w:sz w:val="18"/>
                <w:szCs w:val="18"/>
              </w:rPr>
            </w:pPr>
          </w:p>
          <w:p w14:paraId="4E865B47" w14:textId="77777777" w:rsidR="008715BE" w:rsidRPr="00EC75B7" w:rsidRDefault="008715BE">
            <w:pPr>
              <w:pStyle w:val="TableParagraph"/>
              <w:rPr>
                <w:rFonts w:ascii="Verdana" w:hAnsi="Verdana"/>
                <w:b/>
                <w:sz w:val="18"/>
                <w:szCs w:val="18"/>
              </w:rPr>
            </w:pPr>
          </w:p>
          <w:p w14:paraId="13688ECF" w14:textId="77777777" w:rsidR="008715BE" w:rsidRPr="00EC75B7" w:rsidRDefault="008715BE">
            <w:pPr>
              <w:pStyle w:val="TableParagraph"/>
              <w:rPr>
                <w:rFonts w:ascii="Verdana" w:hAnsi="Verdana"/>
                <w:b/>
                <w:sz w:val="18"/>
                <w:szCs w:val="18"/>
              </w:rPr>
            </w:pPr>
          </w:p>
          <w:p w14:paraId="2D3B50C6" w14:textId="77777777" w:rsidR="008715BE" w:rsidRPr="00EC75B7" w:rsidRDefault="008715BE">
            <w:pPr>
              <w:pStyle w:val="TableParagraph"/>
              <w:rPr>
                <w:rFonts w:ascii="Verdana" w:hAnsi="Verdana"/>
                <w:b/>
                <w:sz w:val="18"/>
                <w:szCs w:val="18"/>
              </w:rPr>
            </w:pPr>
          </w:p>
          <w:p w14:paraId="579690E6" w14:textId="77777777" w:rsidR="008715BE" w:rsidRPr="00EC75B7" w:rsidRDefault="008715BE">
            <w:pPr>
              <w:pStyle w:val="TableParagraph"/>
              <w:spacing w:before="102"/>
              <w:rPr>
                <w:rFonts w:ascii="Verdana" w:hAnsi="Verdana"/>
                <w:b/>
                <w:sz w:val="18"/>
                <w:szCs w:val="18"/>
              </w:rPr>
            </w:pPr>
          </w:p>
          <w:p w14:paraId="4641A0A5"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EBCB2A8" w14:textId="77777777" w:rsidR="008715BE" w:rsidRPr="00EC75B7" w:rsidRDefault="008715BE">
            <w:pPr>
              <w:pStyle w:val="TableParagraph"/>
              <w:rPr>
                <w:rFonts w:ascii="Verdana" w:hAnsi="Verdana"/>
                <w:b/>
                <w:sz w:val="18"/>
                <w:szCs w:val="18"/>
              </w:rPr>
            </w:pPr>
          </w:p>
          <w:p w14:paraId="081EB346" w14:textId="77777777" w:rsidR="008715BE" w:rsidRPr="00EC75B7" w:rsidRDefault="008715BE">
            <w:pPr>
              <w:pStyle w:val="TableParagraph"/>
              <w:rPr>
                <w:rFonts w:ascii="Verdana" w:hAnsi="Verdana"/>
                <w:b/>
                <w:sz w:val="18"/>
                <w:szCs w:val="18"/>
              </w:rPr>
            </w:pPr>
          </w:p>
          <w:p w14:paraId="1CD0288C" w14:textId="77777777" w:rsidR="008715BE" w:rsidRPr="00EC75B7" w:rsidRDefault="008715BE">
            <w:pPr>
              <w:pStyle w:val="TableParagraph"/>
              <w:rPr>
                <w:rFonts w:ascii="Verdana" w:hAnsi="Verdana"/>
                <w:b/>
                <w:sz w:val="18"/>
                <w:szCs w:val="18"/>
              </w:rPr>
            </w:pPr>
          </w:p>
          <w:p w14:paraId="78B04B76" w14:textId="77777777" w:rsidR="008715BE" w:rsidRPr="00EC75B7" w:rsidRDefault="008715BE">
            <w:pPr>
              <w:pStyle w:val="TableParagraph"/>
              <w:rPr>
                <w:rFonts w:ascii="Verdana" w:hAnsi="Verdana"/>
                <w:b/>
                <w:sz w:val="18"/>
                <w:szCs w:val="18"/>
              </w:rPr>
            </w:pPr>
          </w:p>
          <w:p w14:paraId="1E4BEE72" w14:textId="77777777" w:rsidR="008715BE" w:rsidRPr="00EC75B7" w:rsidRDefault="008715BE">
            <w:pPr>
              <w:pStyle w:val="TableParagraph"/>
              <w:spacing w:before="102"/>
              <w:rPr>
                <w:rFonts w:ascii="Verdana" w:hAnsi="Verdana"/>
                <w:b/>
                <w:sz w:val="18"/>
                <w:szCs w:val="18"/>
              </w:rPr>
            </w:pPr>
          </w:p>
          <w:p w14:paraId="62075990"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4F03D476" w14:textId="77777777" w:rsidR="008715BE" w:rsidRPr="00EC75B7" w:rsidRDefault="008715BE">
            <w:pPr>
              <w:pStyle w:val="TableParagraph"/>
              <w:rPr>
                <w:rFonts w:ascii="Verdana" w:hAnsi="Verdana"/>
                <w:b/>
                <w:sz w:val="18"/>
                <w:szCs w:val="18"/>
              </w:rPr>
            </w:pPr>
          </w:p>
          <w:p w14:paraId="60FA82F7" w14:textId="77777777" w:rsidR="008715BE" w:rsidRPr="00EC75B7" w:rsidRDefault="008715BE">
            <w:pPr>
              <w:pStyle w:val="TableParagraph"/>
              <w:rPr>
                <w:rFonts w:ascii="Verdana" w:hAnsi="Verdana"/>
                <w:b/>
                <w:sz w:val="18"/>
                <w:szCs w:val="18"/>
              </w:rPr>
            </w:pPr>
          </w:p>
          <w:p w14:paraId="057F1E3E" w14:textId="77777777" w:rsidR="008715BE" w:rsidRPr="00EC75B7" w:rsidRDefault="008715BE">
            <w:pPr>
              <w:pStyle w:val="TableParagraph"/>
              <w:rPr>
                <w:rFonts w:ascii="Verdana" w:hAnsi="Verdana"/>
                <w:b/>
                <w:sz w:val="18"/>
                <w:szCs w:val="18"/>
              </w:rPr>
            </w:pPr>
          </w:p>
          <w:p w14:paraId="78B7E233" w14:textId="77777777" w:rsidR="008715BE" w:rsidRPr="00EC75B7" w:rsidRDefault="008715BE">
            <w:pPr>
              <w:pStyle w:val="TableParagraph"/>
              <w:rPr>
                <w:rFonts w:ascii="Verdana" w:hAnsi="Verdana"/>
                <w:b/>
                <w:sz w:val="18"/>
                <w:szCs w:val="18"/>
              </w:rPr>
            </w:pPr>
          </w:p>
          <w:p w14:paraId="416DA8C7" w14:textId="77777777" w:rsidR="008715BE" w:rsidRPr="00EC75B7" w:rsidRDefault="008715BE">
            <w:pPr>
              <w:pStyle w:val="TableParagraph"/>
              <w:spacing w:before="102"/>
              <w:rPr>
                <w:rFonts w:ascii="Verdana" w:hAnsi="Verdana"/>
                <w:b/>
                <w:sz w:val="18"/>
                <w:szCs w:val="18"/>
              </w:rPr>
            </w:pPr>
          </w:p>
          <w:p w14:paraId="26F0A3A6"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78C2EA79" w14:textId="77777777" w:rsidR="008715BE" w:rsidRPr="00EC75B7" w:rsidRDefault="008715BE">
            <w:pPr>
              <w:pStyle w:val="TableParagraph"/>
              <w:rPr>
                <w:rFonts w:ascii="Verdana" w:hAnsi="Verdana"/>
                <w:b/>
                <w:sz w:val="18"/>
                <w:szCs w:val="18"/>
              </w:rPr>
            </w:pPr>
          </w:p>
          <w:p w14:paraId="68AA159F" w14:textId="77777777" w:rsidR="008715BE" w:rsidRPr="00EC75B7" w:rsidRDefault="008715BE">
            <w:pPr>
              <w:pStyle w:val="TableParagraph"/>
              <w:rPr>
                <w:rFonts w:ascii="Verdana" w:hAnsi="Verdana"/>
                <w:b/>
                <w:sz w:val="18"/>
                <w:szCs w:val="18"/>
              </w:rPr>
            </w:pPr>
          </w:p>
          <w:p w14:paraId="600C63BB" w14:textId="77777777" w:rsidR="008715BE" w:rsidRPr="00EC75B7" w:rsidRDefault="008715BE">
            <w:pPr>
              <w:pStyle w:val="TableParagraph"/>
              <w:rPr>
                <w:rFonts w:ascii="Verdana" w:hAnsi="Verdana"/>
                <w:b/>
                <w:sz w:val="18"/>
                <w:szCs w:val="18"/>
              </w:rPr>
            </w:pPr>
          </w:p>
          <w:p w14:paraId="565AD725" w14:textId="77777777" w:rsidR="008715BE" w:rsidRPr="00EC75B7" w:rsidRDefault="008715BE">
            <w:pPr>
              <w:pStyle w:val="TableParagraph"/>
              <w:rPr>
                <w:rFonts w:ascii="Verdana" w:hAnsi="Verdana"/>
                <w:b/>
                <w:sz w:val="18"/>
                <w:szCs w:val="18"/>
              </w:rPr>
            </w:pPr>
          </w:p>
          <w:p w14:paraId="75FC9AF4" w14:textId="77777777" w:rsidR="008715BE" w:rsidRPr="00EC75B7" w:rsidRDefault="008715BE">
            <w:pPr>
              <w:pStyle w:val="TableParagraph"/>
              <w:spacing w:before="102"/>
              <w:rPr>
                <w:rFonts w:ascii="Verdana" w:hAnsi="Verdana"/>
                <w:b/>
                <w:sz w:val="18"/>
                <w:szCs w:val="18"/>
              </w:rPr>
            </w:pPr>
          </w:p>
          <w:p w14:paraId="76D16DC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5B6DAEA1" w14:textId="77777777" w:rsidR="008715BE" w:rsidRPr="00EC75B7" w:rsidRDefault="008715BE">
            <w:pPr>
              <w:pStyle w:val="TableParagraph"/>
              <w:rPr>
                <w:rFonts w:ascii="Verdana" w:hAnsi="Verdana"/>
                <w:b/>
                <w:sz w:val="18"/>
                <w:szCs w:val="18"/>
              </w:rPr>
            </w:pPr>
          </w:p>
          <w:p w14:paraId="19D14503" w14:textId="77777777" w:rsidR="008715BE" w:rsidRPr="00EC75B7" w:rsidRDefault="008715BE">
            <w:pPr>
              <w:pStyle w:val="TableParagraph"/>
              <w:rPr>
                <w:rFonts w:ascii="Verdana" w:hAnsi="Verdana"/>
                <w:b/>
                <w:sz w:val="18"/>
                <w:szCs w:val="18"/>
              </w:rPr>
            </w:pPr>
          </w:p>
          <w:p w14:paraId="0C51347F" w14:textId="77777777" w:rsidR="008715BE" w:rsidRPr="00EC75B7" w:rsidRDefault="008715BE">
            <w:pPr>
              <w:pStyle w:val="TableParagraph"/>
              <w:rPr>
                <w:rFonts w:ascii="Verdana" w:hAnsi="Verdana"/>
                <w:b/>
                <w:sz w:val="18"/>
                <w:szCs w:val="18"/>
              </w:rPr>
            </w:pPr>
          </w:p>
          <w:p w14:paraId="2257ACA7" w14:textId="77777777" w:rsidR="008715BE" w:rsidRPr="00EC75B7" w:rsidRDefault="008715BE">
            <w:pPr>
              <w:pStyle w:val="TableParagraph"/>
              <w:rPr>
                <w:rFonts w:ascii="Verdana" w:hAnsi="Verdana"/>
                <w:b/>
                <w:sz w:val="18"/>
                <w:szCs w:val="18"/>
              </w:rPr>
            </w:pPr>
          </w:p>
          <w:p w14:paraId="18874535" w14:textId="77777777" w:rsidR="008715BE" w:rsidRPr="00EC75B7" w:rsidRDefault="008715BE">
            <w:pPr>
              <w:pStyle w:val="TableParagraph"/>
              <w:spacing w:before="102"/>
              <w:rPr>
                <w:rFonts w:ascii="Verdana" w:hAnsi="Verdana"/>
                <w:b/>
                <w:sz w:val="18"/>
                <w:szCs w:val="18"/>
              </w:rPr>
            </w:pPr>
          </w:p>
          <w:p w14:paraId="1876C11F"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EDB84F3" w14:textId="77777777" w:rsidR="008715BE" w:rsidRPr="00EC75B7" w:rsidRDefault="008715BE">
            <w:pPr>
              <w:pStyle w:val="TableParagraph"/>
              <w:rPr>
                <w:rFonts w:ascii="Verdana" w:hAnsi="Verdana"/>
                <w:b/>
                <w:sz w:val="18"/>
                <w:szCs w:val="18"/>
              </w:rPr>
            </w:pPr>
          </w:p>
          <w:p w14:paraId="66882B14" w14:textId="77777777" w:rsidR="008715BE" w:rsidRPr="00EC75B7" w:rsidRDefault="008715BE">
            <w:pPr>
              <w:pStyle w:val="TableParagraph"/>
              <w:rPr>
                <w:rFonts w:ascii="Verdana" w:hAnsi="Verdana"/>
                <w:b/>
                <w:sz w:val="18"/>
                <w:szCs w:val="18"/>
              </w:rPr>
            </w:pPr>
          </w:p>
          <w:p w14:paraId="10E97F14" w14:textId="77777777" w:rsidR="008715BE" w:rsidRPr="00EC75B7" w:rsidRDefault="008715BE">
            <w:pPr>
              <w:pStyle w:val="TableParagraph"/>
              <w:rPr>
                <w:rFonts w:ascii="Verdana" w:hAnsi="Verdana"/>
                <w:b/>
                <w:sz w:val="18"/>
                <w:szCs w:val="18"/>
              </w:rPr>
            </w:pPr>
          </w:p>
          <w:p w14:paraId="68BCC973" w14:textId="77777777" w:rsidR="008715BE" w:rsidRPr="00EC75B7" w:rsidRDefault="008715BE">
            <w:pPr>
              <w:pStyle w:val="TableParagraph"/>
              <w:rPr>
                <w:rFonts w:ascii="Verdana" w:hAnsi="Verdana"/>
                <w:b/>
                <w:sz w:val="18"/>
                <w:szCs w:val="18"/>
              </w:rPr>
            </w:pPr>
          </w:p>
          <w:p w14:paraId="2D8940E8" w14:textId="77777777" w:rsidR="008715BE" w:rsidRPr="00EC75B7" w:rsidRDefault="008715BE">
            <w:pPr>
              <w:pStyle w:val="TableParagraph"/>
              <w:spacing w:before="102"/>
              <w:rPr>
                <w:rFonts w:ascii="Verdana" w:hAnsi="Verdana"/>
                <w:b/>
                <w:sz w:val="18"/>
                <w:szCs w:val="18"/>
              </w:rPr>
            </w:pPr>
          </w:p>
          <w:p w14:paraId="058BCEFD"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5F90770E" w14:textId="77777777" w:rsidR="008715BE" w:rsidRPr="00EC75B7" w:rsidRDefault="008715BE">
            <w:pPr>
              <w:pStyle w:val="TableParagraph"/>
              <w:rPr>
                <w:rFonts w:ascii="Verdana" w:hAnsi="Verdana"/>
                <w:b/>
                <w:sz w:val="18"/>
                <w:szCs w:val="18"/>
              </w:rPr>
            </w:pPr>
          </w:p>
          <w:p w14:paraId="4434484D" w14:textId="77777777" w:rsidR="008715BE" w:rsidRPr="00EC75B7" w:rsidRDefault="008715BE">
            <w:pPr>
              <w:pStyle w:val="TableParagraph"/>
              <w:rPr>
                <w:rFonts w:ascii="Verdana" w:hAnsi="Verdana"/>
                <w:b/>
                <w:sz w:val="18"/>
                <w:szCs w:val="18"/>
              </w:rPr>
            </w:pPr>
          </w:p>
          <w:p w14:paraId="24C68140" w14:textId="77777777" w:rsidR="008715BE" w:rsidRPr="00EC75B7" w:rsidRDefault="008715BE">
            <w:pPr>
              <w:pStyle w:val="TableParagraph"/>
              <w:rPr>
                <w:rFonts w:ascii="Verdana" w:hAnsi="Verdana"/>
                <w:b/>
                <w:sz w:val="18"/>
                <w:szCs w:val="18"/>
              </w:rPr>
            </w:pPr>
          </w:p>
          <w:p w14:paraId="6E592E77" w14:textId="77777777" w:rsidR="008715BE" w:rsidRPr="00EC75B7" w:rsidRDefault="008715BE">
            <w:pPr>
              <w:pStyle w:val="TableParagraph"/>
              <w:rPr>
                <w:rFonts w:ascii="Verdana" w:hAnsi="Verdana"/>
                <w:b/>
                <w:sz w:val="18"/>
                <w:szCs w:val="18"/>
              </w:rPr>
            </w:pPr>
          </w:p>
          <w:p w14:paraId="6E58909A" w14:textId="77777777" w:rsidR="008715BE" w:rsidRPr="00EC75B7" w:rsidRDefault="008715BE">
            <w:pPr>
              <w:pStyle w:val="TableParagraph"/>
              <w:spacing w:before="102"/>
              <w:rPr>
                <w:rFonts w:ascii="Verdana" w:hAnsi="Verdana"/>
                <w:b/>
                <w:sz w:val="18"/>
                <w:szCs w:val="18"/>
              </w:rPr>
            </w:pPr>
          </w:p>
          <w:p w14:paraId="56B04A12"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4416848F" w14:textId="77777777" w:rsidR="008715BE" w:rsidRPr="00EC75B7" w:rsidRDefault="008715BE">
            <w:pPr>
              <w:pStyle w:val="TableParagraph"/>
              <w:rPr>
                <w:rFonts w:ascii="Verdana" w:hAnsi="Verdana"/>
                <w:b/>
                <w:sz w:val="18"/>
                <w:szCs w:val="18"/>
              </w:rPr>
            </w:pPr>
          </w:p>
          <w:p w14:paraId="2EE82AA2" w14:textId="77777777" w:rsidR="008715BE" w:rsidRPr="00EC75B7" w:rsidRDefault="008715BE">
            <w:pPr>
              <w:pStyle w:val="TableParagraph"/>
              <w:rPr>
                <w:rFonts w:ascii="Verdana" w:hAnsi="Verdana"/>
                <w:b/>
                <w:sz w:val="18"/>
                <w:szCs w:val="18"/>
              </w:rPr>
            </w:pPr>
          </w:p>
          <w:p w14:paraId="1BB843AC" w14:textId="77777777" w:rsidR="008715BE" w:rsidRPr="00EC75B7" w:rsidRDefault="008715BE">
            <w:pPr>
              <w:pStyle w:val="TableParagraph"/>
              <w:rPr>
                <w:rFonts w:ascii="Verdana" w:hAnsi="Verdana"/>
                <w:b/>
                <w:sz w:val="18"/>
                <w:szCs w:val="18"/>
              </w:rPr>
            </w:pPr>
          </w:p>
          <w:p w14:paraId="0708E784" w14:textId="77777777" w:rsidR="008715BE" w:rsidRPr="00EC75B7" w:rsidRDefault="008715BE">
            <w:pPr>
              <w:pStyle w:val="TableParagraph"/>
              <w:rPr>
                <w:rFonts w:ascii="Verdana" w:hAnsi="Verdana"/>
                <w:b/>
                <w:sz w:val="18"/>
                <w:szCs w:val="18"/>
              </w:rPr>
            </w:pPr>
          </w:p>
          <w:p w14:paraId="7BA6781C" w14:textId="77777777" w:rsidR="008715BE" w:rsidRPr="00EC75B7" w:rsidRDefault="008715BE">
            <w:pPr>
              <w:pStyle w:val="TableParagraph"/>
              <w:spacing w:before="102"/>
              <w:rPr>
                <w:rFonts w:ascii="Verdana" w:hAnsi="Verdana"/>
                <w:b/>
                <w:sz w:val="18"/>
                <w:szCs w:val="18"/>
              </w:rPr>
            </w:pPr>
          </w:p>
          <w:p w14:paraId="3C5ABD1D"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0015CD97" w14:textId="77777777" w:rsidR="008715BE" w:rsidRPr="00EC75B7" w:rsidRDefault="008715BE">
            <w:pPr>
              <w:pStyle w:val="TableParagraph"/>
              <w:rPr>
                <w:rFonts w:ascii="Verdana" w:hAnsi="Verdana"/>
                <w:b/>
                <w:sz w:val="18"/>
                <w:szCs w:val="18"/>
              </w:rPr>
            </w:pPr>
          </w:p>
          <w:p w14:paraId="5F7CDB57" w14:textId="77777777" w:rsidR="008715BE" w:rsidRPr="00EC75B7" w:rsidRDefault="008715BE">
            <w:pPr>
              <w:pStyle w:val="TableParagraph"/>
              <w:rPr>
                <w:rFonts w:ascii="Verdana" w:hAnsi="Verdana"/>
                <w:b/>
                <w:sz w:val="18"/>
                <w:szCs w:val="18"/>
              </w:rPr>
            </w:pPr>
          </w:p>
          <w:p w14:paraId="53F78F5E" w14:textId="77777777" w:rsidR="008715BE" w:rsidRPr="00EC75B7" w:rsidRDefault="008715BE">
            <w:pPr>
              <w:pStyle w:val="TableParagraph"/>
              <w:rPr>
                <w:rFonts w:ascii="Verdana" w:hAnsi="Verdana"/>
                <w:b/>
                <w:sz w:val="18"/>
                <w:szCs w:val="18"/>
              </w:rPr>
            </w:pPr>
          </w:p>
          <w:p w14:paraId="5B43ECCD" w14:textId="77777777" w:rsidR="008715BE" w:rsidRPr="00EC75B7" w:rsidRDefault="008715BE">
            <w:pPr>
              <w:pStyle w:val="TableParagraph"/>
              <w:rPr>
                <w:rFonts w:ascii="Verdana" w:hAnsi="Verdana"/>
                <w:b/>
                <w:sz w:val="18"/>
                <w:szCs w:val="18"/>
              </w:rPr>
            </w:pPr>
          </w:p>
          <w:p w14:paraId="57E064A4" w14:textId="77777777" w:rsidR="008715BE" w:rsidRPr="00EC75B7" w:rsidRDefault="008715BE">
            <w:pPr>
              <w:pStyle w:val="TableParagraph"/>
              <w:spacing w:before="102"/>
              <w:rPr>
                <w:rFonts w:ascii="Verdana" w:hAnsi="Verdana"/>
                <w:b/>
                <w:sz w:val="18"/>
                <w:szCs w:val="18"/>
              </w:rPr>
            </w:pPr>
          </w:p>
          <w:p w14:paraId="5681BE32"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4A6A5D1B" w14:textId="77777777" w:rsidR="008715BE" w:rsidRPr="00EC75B7" w:rsidRDefault="008715BE">
            <w:pPr>
              <w:pStyle w:val="TableParagraph"/>
              <w:rPr>
                <w:rFonts w:ascii="Verdana" w:hAnsi="Verdana"/>
                <w:b/>
                <w:sz w:val="18"/>
                <w:szCs w:val="18"/>
              </w:rPr>
            </w:pPr>
          </w:p>
          <w:p w14:paraId="6D829F96" w14:textId="77777777" w:rsidR="008715BE" w:rsidRPr="00EC75B7" w:rsidRDefault="008715BE">
            <w:pPr>
              <w:pStyle w:val="TableParagraph"/>
              <w:rPr>
                <w:rFonts w:ascii="Verdana" w:hAnsi="Verdana"/>
                <w:b/>
                <w:sz w:val="18"/>
                <w:szCs w:val="18"/>
              </w:rPr>
            </w:pPr>
          </w:p>
          <w:p w14:paraId="473121F9" w14:textId="77777777" w:rsidR="008715BE" w:rsidRPr="00EC75B7" w:rsidRDefault="008715BE">
            <w:pPr>
              <w:pStyle w:val="TableParagraph"/>
              <w:rPr>
                <w:rFonts w:ascii="Verdana" w:hAnsi="Verdana"/>
                <w:b/>
                <w:sz w:val="18"/>
                <w:szCs w:val="18"/>
              </w:rPr>
            </w:pPr>
          </w:p>
          <w:p w14:paraId="42F11743" w14:textId="77777777" w:rsidR="008715BE" w:rsidRPr="00EC75B7" w:rsidRDefault="008715BE">
            <w:pPr>
              <w:pStyle w:val="TableParagraph"/>
              <w:rPr>
                <w:rFonts w:ascii="Verdana" w:hAnsi="Verdana"/>
                <w:b/>
                <w:sz w:val="18"/>
                <w:szCs w:val="18"/>
              </w:rPr>
            </w:pPr>
          </w:p>
          <w:p w14:paraId="36163BF5" w14:textId="77777777" w:rsidR="008715BE" w:rsidRPr="00EC75B7" w:rsidRDefault="008715BE">
            <w:pPr>
              <w:pStyle w:val="TableParagraph"/>
              <w:spacing w:before="102"/>
              <w:rPr>
                <w:rFonts w:ascii="Verdana" w:hAnsi="Verdana"/>
                <w:b/>
                <w:sz w:val="18"/>
                <w:szCs w:val="18"/>
              </w:rPr>
            </w:pPr>
          </w:p>
          <w:p w14:paraId="0E06FEF2"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3D6F54B1" w14:textId="77777777" w:rsidR="008715BE" w:rsidRPr="00EC75B7" w:rsidRDefault="008715BE">
            <w:pPr>
              <w:pStyle w:val="TableParagraph"/>
              <w:rPr>
                <w:rFonts w:ascii="Verdana" w:hAnsi="Verdana"/>
                <w:b/>
                <w:sz w:val="18"/>
                <w:szCs w:val="18"/>
              </w:rPr>
            </w:pPr>
          </w:p>
          <w:p w14:paraId="7310EEC7" w14:textId="77777777" w:rsidR="008715BE" w:rsidRPr="00EC75B7" w:rsidRDefault="008715BE">
            <w:pPr>
              <w:pStyle w:val="TableParagraph"/>
              <w:rPr>
                <w:rFonts w:ascii="Verdana" w:hAnsi="Verdana"/>
                <w:b/>
                <w:sz w:val="18"/>
                <w:szCs w:val="18"/>
              </w:rPr>
            </w:pPr>
          </w:p>
          <w:p w14:paraId="6BA53862" w14:textId="77777777" w:rsidR="008715BE" w:rsidRPr="00EC75B7" w:rsidRDefault="008715BE">
            <w:pPr>
              <w:pStyle w:val="TableParagraph"/>
              <w:rPr>
                <w:rFonts w:ascii="Verdana" w:hAnsi="Verdana"/>
                <w:b/>
                <w:sz w:val="18"/>
                <w:szCs w:val="18"/>
              </w:rPr>
            </w:pPr>
          </w:p>
          <w:p w14:paraId="3C70FD9D" w14:textId="77777777" w:rsidR="008715BE" w:rsidRPr="00EC75B7" w:rsidRDefault="008715BE">
            <w:pPr>
              <w:pStyle w:val="TableParagraph"/>
              <w:rPr>
                <w:rFonts w:ascii="Verdana" w:hAnsi="Verdana"/>
                <w:b/>
                <w:sz w:val="18"/>
                <w:szCs w:val="18"/>
              </w:rPr>
            </w:pPr>
          </w:p>
          <w:p w14:paraId="55BE4D2C" w14:textId="77777777" w:rsidR="008715BE" w:rsidRPr="00EC75B7" w:rsidRDefault="008715BE">
            <w:pPr>
              <w:pStyle w:val="TableParagraph"/>
              <w:spacing w:before="102"/>
              <w:rPr>
                <w:rFonts w:ascii="Verdana" w:hAnsi="Verdana"/>
                <w:b/>
                <w:sz w:val="18"/>
                <w:szCs w:val="18"/>
              </w:rPr>
            </w:pPr>
          </w:p>
          <w:p w14:paraId="00A3625C"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170120F1" w14:textId="77777777" w:rsidR="008715BE" w:rsidRPr="00EC75B7" w:rsidRDefault="008715BE">
            <w:pPr>
              <w:pStyle w:val="TableParagraph"/>
              <w:rPr>
                <w:rFonts w:ascii="Verdana" w:hAnsi="Verdana"/>
                <w:b/>
                <w:sz w:val="18"/>
                <w:szCs w:val="18"/>
              </w:rPr>
            </w:pPr>
          </w:p>
          <w:p w14:paraId="215975E6" w14:textId="77777777" w:rsidR="008715BE" w:rsidRPr="00EC75B7" w:rsidRDefault="008715BE">
            <w:pPr>
              <w:pStyle w:val="TableParagraph"/>
              <w:rPr>
                <w:rFonts w:ascii="Verdana" w:hAnsi="Verdana"/>
                <w:b/>
                <w:sz w:val="18"/>
                <w:szCs w:val="18"/>
              </w:rPr>
            </w:pPr>
          </w:p>
          <w:p w14:paraId="000CCE50" w14:textId="77777777" w:rsidR="008715BE" w:rsidRPr="00EC75B7" w:rsidRDefault="008715BE">
            <w:pPr>
              <w:pStyle w:val="TableParagraph"/>
              <w:rPr>
                <w:rFonts w:ascii="Verdana" w:hAnsi="Verdana"/>
                <w:b/>
                <w:sz w:val="18"/>
                <w:szCs w:val="18"/>
              </w:rPr>
            </w:pPr>
          </w:p>
          <w:p w14:paraId="0653956A" w14:textId="77777777" w:rsidR="008715BE" w:rsidRPr="00EC75B7" w:rsidRDefault="008715BE">
            <w:pPr>
              <w:pStyle w:val="TableParagraph"/>
              <w:rPr>
                <w:rFonts w:ascii="Verdana" w:hAnsi="Verdana"/>
                <w:b/>
                <w:sz w:val="18"/>
                <w:szCs w:val="18"/>
              </w:rPr>
            </w:pPr>
          </w:p>
          <w:p w14:paraId="4F97C422" w14:textId="77777777" w:rsidR="008715BE" w:rsidRPr="00EC75B7" w:rsidRDefault="008715BE">
            <w:pPr>
              <w:pStyle w:val="TableParagraph"/>
              <w:spacing w:before="6"/>
              <w:rPr>
                <w:rFonts w:ascii="Verdana" w:hAnsi="Verdana"/>
                <w:b/>
                <w:sz w:val="18"/>
                <w:szCs w:val="18"/>
              </w:rPr>
            </w:pPr>
          </w:p>
          <w:p w14:paraId="0C4C3A2E"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bl>
    <w:p w14:paraId="113F44A7" w14:textId="77777777" w:rsidR="008715BE" w:rsidRPr="00EC75B7" w:rsidRDefault="008715BE">
      <w:pPr>
        <w:pStyle w:val="TableParagraph"/>
        <w:rPr>
          <w:rFonts w:ascii="Verdana" w:hAnsi="Verdana"/>
          <w:sz w:val="18"/>
          <w:szCs w:val="18"/>
        </w:rPr>
        <w:sectPr w:rsidR="008715BE" w:rsidRPr="00EC75B7">
          <w:pgSz w:w="23820" w:h="16840" w:orient="landscape"/>
          <w:pgMar w:top="1080" w:right="1275" w:bottom="1020" w:left="850" w:header="782" w:footer="808" w:gutter="0"/>
          <w:cols w:space="708"/>
        </w:sectPr>
      </w:pPr>
    </w:p>
    <w:p w14:paraId="43396F1E" w14:textId="77777777" w:rsidR="008715BE" w:rsidRPr="00EC75B7" w:rsidRDefault="008715BE">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8715BE" w:rsidRPr="00EC75B7" w14:paraId="1B7E5297" w14:textId="77777777">
        <w:trPr>
          <w:trHeight w:val="299"/>
        </w:trPr>
        <w:tc>
          <w:tcPr>
            <w:tcW w:w="6645" w:type="dxa"/>
            <w:gridSpan w:val="2"/>
            <w:vMerge w:val="restart"/>
            <w:shd w:val="clear" w:color="auto" w:fill="00AFEF"/>
          </w:tcPr>
          <w:p w14:paraId="0D68B16F" w14:textId="77777777" w:rsidR="008715BE" w:rsidRPr="00EC75B7" w:rsidRDefault="008715BE">
            <w:pPr>
              <w:pStyle w:val="TableParagraph"/>
              <w:rPr>
                <w:rFonts w:ascii="Verdana" w:hAnsi="Verdana"/>
                <w:b/>
                <w:sz w:val="18"/>
                <w:szCs w:val="18"/>
              </w:rPr>
            </w:pPr>
          </w:p>
          <w:p w14:paraId="046BB982" w14:textId="77777777" w:rsidR="008715BE" w:rsidRPr="00EC75B7" w:rsidRDefault="008715BE">
            <w:pPr>
              <w:pStyle w:val="TableParagraph"/>
              <w:spacing w:before="179"/>
              <w:rPr>
                <w:rFonts w:ascii="Verdana" w:hAnsi="Verdana"/>
                <w:b/>
                <w:sz w:val="18"/>
                <w:szCs w:val="18"/>
              </w:rPr>
            </w:pPr>
          </w:p>
          <w:p w14:paraId="33B85CF6"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Measure</w:t>
            </w:r>
          </w:p>
        </w:tc>
        <w:tc>
          <w:tcPr>
            <w:tcW w:w="1809" w:type="dxa"/>
            <w:vMerge w:val="restart"/>
            <w:shd w:val="clear" w:color="auto" w:fill="00AFEF"/>
          </w:tcPr>
          <w:p w14:paraId="42D30DB4" w14:textId="77777777" w:rsidR="008715BE" w:rsidRPr="00EC75B7" w:rsidRDefault="008715BE">
            <w:pPr>
              <w:pStyle w:val="TableParagraph"/>
              <w:spacing w:before="180"/>
              <w:rPr>
                <w:rFonts w:ascii="Verdana" w:hAnsi="Verdana"/>
                <w:b/>
                <w:sz w:val="18"/>
                <w:szCs w:val="18"/>
              </w:rPr>
            </w:pPr>
          </w:p>
          <w:p w14:paraId="35C17F0B" w14:textId="77777777" w:rsidR="008715BE" w:rsidRPr="00EC75B7" w:rsidRDefault="00000000">
            <w:pPr>
              <w:pStyle w:val="TableParagraph"/>
              <w:ind w:left="483" w:right="411" w:firstLine="72"/>
              <w:rPr>
                <w:rFonts w:ascii="Verdana" w:hAnsi="Verdana"/>
                <w:b/>
                <w:sz w:val="18"/>
                <w:szCs w:val="18"/>
              </w:rPr>
            </w:pPr>
            <w:r w:rsidRPr="00EC75B7">
              <w:rPr>
                <w:rFonts w:ascii="Verdana" w:hAnsi="Verdana"/>
                <w:b/>
                <w:color w:val="FFFFFF"/>
                <w:spacing w:val="-10"/>
                <w:sz w:val="18"/>
                <w:szCs w:val="18"/>
              </w:rPr>
              <w:t>Affected</w:t>
            </w:r>
            <w:r w:rsidRPr="00EC75B7">
              <w:rPr>
                <w:rFonts w:ascii="Verdana" w:hAnsi="Verdana"/>
                <w:b/>
                <w:color w:val="FFFFFF"/>
                <w:spacing w:val="-2"/>
                <w:sz w:val="18"/>
                <w:szCs w:val="18"/>
              </w:rPr>
              <w:t xml:space="preserve"> species/habitat</w:t>
            </w:r>
          </w:p>
        </w:tc>
        <w:tc>
          <w:tcPr>
            <w:tcW w:w="1440" w:type="dxa"/>
            <w:vMerge w:val="restart"/>
            <w:shd w:val="clear" w:color="auto" w:fill="00AFEF"/>
          </w:tcPr>
          <w:p w14:paraId="5B339BDE" w14:textId="77777777" w:rsidR="008715BE" w:rsidRPr="00EC75B7" w:rsidRDefault="008715BE">
            <w:pPr>
              <w:pStyle w:val="TableParagraph"/>
              <w:spacing w:before="81"/>
              <w:rPr>
                <w:rFonts w:ascii="Verdana" w:hAnsi="Verdana"/>
                <w:b/>
                <w:sz w:val="18"/>
                <w:szCs w:val="18"/>
              </w:rPr>
            </w:pPr>
          </w:p>
          <w:p w14:paraId="65EF6970"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2"/>
                <w:sz w:val="18"/>
                <w:szCs w:val="18"/>
              </w:rPr>
              <w:t>Parameter addressed</w:t>
            </w:r>
            <w:r w:rsidRPr="00EC75B7">
              <w:rPr>
                <w:rFonts w:ascii="Verdana" w:hAnsi="Verdana"/>
                <w:b/>
                <w:color w:val="FFFFFF"/>
                <w:sz w:val="18"/>
                <w:szCs w:val="18"/>
              </w:rPr>
              <w:t xml:space="preserve"> by </w:t>
            </w:r>
            <w:r w:rsidRPr="00EC75B7">
              <w:rPr>
                <w:rFonts w:ascii="Verdana" w:hAnsi="Verdana"/>
                <w:b/>
                <w:color w:val="FFFFFF"/>
                <w:spacing w:val="-2"/>
                <w:sz w:val="18"/>
                <w:szCs w:val="18"/>
              </w:rPr>
              <w:t>the measure</w:t>
            </w:r>
          </w:p>
        </w:tc>
        <w:tc>
          <w:tcPr>
            <w:tcW w:w="1351" w:type="dxa"/>
            <w:vMerge w:val="restart"/>
            <w:shd w:val="clear" w:color="auto" w:fill="00AFEF"/>
          </w:tcPr>
          <w:p w14:paraId="2CACED11" w14:textId="77777777" w:rsidR="008715BE" w:rsidRPr="00EC75B7" w:rsidRDefault="00000000">
            <w:pPr>
              <w:pStyle w:val="TableParagraph"/>
              <w:spacing w:before="181"/>
              <w:ind w:left="218" w:right="205"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4230" w:type="dxa"/>
            <w:gridSpan w:val="12"/>
            <w:shd w:val="clear" w:color="auto" w:fill="00AFEF"/>
          </w:tcPr>
          <w:p w14:paraId="010F76ED" w14:textId="77777777" w:rsidR="008715BE" w:rsidRPr="00EC75B7" w:rsidRDefault="00000000">
            <w:pPr>
              <w:pStyle w:val="TableParagraph"/>
              <w:spacing w:before="61"/>
              <w:ind w:left="302"/>
              <w:rPr>
                <w:rFonts w:ascii="Verdana" w:hAnsi="Verdana"/>
                <w:b/>
                <w:sz w:val="18"/>
                <w:szCs w:val="18"/>
              </w:rPr>
            </w:pPr>
            <w:r w:rsidRPr="00EC75B7">
              <w:rPr>
                <w:rFonts w:ascii="Verdana" w:hAnsi="Verdana"/>
                <w:b/>
                <w:color w:val="FFFFFF"/>
                <w:sz w:val="18"/>
                <w:szCs w:val="18"/>
              </w:rPr>
              <w:t xml:space="preserve">Timeline for implementation of </w:t>
            </w:r>
            <w:r w:rsidRPr="00EC75B7">
              <w:rPr>
                <w:rFonts w:ascii="Verdana" w:hAnsi="Verdana"/>
                <w:b/>
                <w:color w:val="FFFFFF"/>
                <w:spacing w:val="-2"/>
                <w:sz w:val="18"/>
                <w:szCs w:val="18"/>
              </w:rPr>
              <w:t>measures</w:t>
            </w:r>
          </w:p>
        </w:tc>
        <w:tc>
          <w:tcPr>
            <w:tcW w:w="1891" w:type="dxa"/>
            <w:vMerge w:val="restart"/>
            <w:shd w:val="clear" w:color="auto" w:fill="00AFEF"/>
          </w:tcPr>
          <w:p w14:paraId="49521C18" w14:textId="77777777" w:rsidR="008715BE" w:rsidRPr="00EC75B7" w:rsidRDefault="008715BE">
            <w:pPr>
              <w:pStyle w:val="TableParagraph"/>
              <w:rPr>
                <w:rFonts w:ascii="Verdana" w:hAnsi="Verdana"/>
                <w:b/>
                <w:sz w:val="18"/>
                <w:szCs w:val="18"/>
              </w:rPr>
            </w:pPr>
          </w:p>
          <w:p w14:paraId="6E0C8ED2" w14:textId="77777777" w:rsidR="008715BE" w:rsidRPr="00EC75B7" w:rsidRDefault="008715BE">
            <w:pPr>
              <w:pStyle w:val="TableParagraph"/>
              <w:spacing w:before="179"/>
              <w:rPr>
                <w:rFonts w:ascii="Verdana" w:hAnsi="Verdana"/>
                <w:b/>
                <w:sz w:val="18"/>
                <w:szCs w:val="18"/>
              </w:rPr>
            </w:pPr>
          </w:p>
          <w:p w14:paraId="72D00C3E" w14:textId="77777777" w:rsidR="008715BE" w:rsidRPr="00EC75B7" w:rsidRDefault="00000000">
            <w:pPr>
              <w:pStyle w:val="TableParagraph"/>
              <w:ind w:left="402"/>
              <w:rPr>
                <w:rFonts w:ascii="Verdana" w:hAnsi="Verdana"/>
                <w:b/>
                <w:sz w:val="18"/>
                <w:szCs w:val="18"/>
              </w:rPr>
            </w:pPr>
            <w:r w:rsidRPr="00EC75B7">
              <w:rPr>
                <w:rFonts w:ascii="Verdana" w:hAnsi="Verdana"/>
                <w:b/>
                <w:color w:val="FFFFFF"/>
                <w:spacing w:val="-2"/>
                <w:sz w:val="18"/>
                <w:szCs w:val="18"/>
              </w:rPr>
              <w:t>Responsible</w:t>
            </w:r>
          </w:p>
        </w:tc>
        <w:tc>
          <w:tcPr>
            <w:tcW w:w="1440" w:type="dxa"/>
            <w:vMerge w:val="restart"/>
            <w:shd w:val="clear" w:color="auto" w:fill="00AFEF"/>
          </w:tcPr>
          <w:p w14:paraId="32728D67" w14:textId="77777777" w:rsidR="008715BE" w:rsidRPr="00EC75B7" w:rsidRDefault="008715BE">
            <w:pPr>
              <w:pStyle w:val="TableParagraph"/>
              <w:rPr>
                <w:rFonts w:ascii="Verdana" w:hAnsi="Verdana"/>
                <w:b/>
                <w:sz w:val="18"/>
                <w:szCs w:val="18"/>
              </w:rPr>
            </w:pPr>
          </w:p>
          <w:p w14:paraId="6FA76B07" w14:textId="77777777" w:rsidR="008715BE" w:rsidRPr="00EC75B7" w:rsidRDefault="008715BE">
            <w:pPr>
              <w:pStyle w:val="TableParagraph"/>
              <w:spacing w:before="179"/>
              <w:rPr>
                <w:rFonts w:ascii="Verdana" w:hAnsi="Verdana"/>
                <w:b/>
                <w:sz w:val="18"/>
                <w:szCs w:val="18"/>
              </w:rPr>
            </w:pPr>
          </w:p>
          <w:p w14:paraId="04C1D7BE" w14:textId="77777777" w:rsidR="008715BE" w:rsidRPr="00EC75B7" w:rsidRDefault="00000000">
            <w:pPr>
              <w:pStyle w:val="TableParagraph"/>
              <w:ind w:left="455"/>
              <w:rPr>
                <w:rFonts w:ascii="Verdana" w:hAnsi="Verdana"/>
                <w:b/>
                <w:sz w:val="18"/>
                <w:szCs w:val="18"/>
              </w:rPr>
            </w:pPr>
            <w:r w:rsidRPr="00EC75B7">
              <w:rPr>
                <w:rFonts w:ascii="Verdana" w:hAnsi="Verdana"/>
                <w:b/>
                <w:color w:val="FFFFFF"/>
                <w:spacing w:val="-2"/>
                <w:sz w:val="18"/>
                <w:szCs w:val="18"/>
              </w:rPr>
              <w:t>Budget</w:t>
            </w:r>
          </w:p>
        </w:tc>
      </w:tr>
      <w:tr w:rsidR="008715BE" w:rsidRPr="00EC75B7" w14:paraId="1F578C93" w14:textId="77777777">
        <w:trPr>
          <w:trHeight w:val="1005"/>
        </w:trPr>
        <w:tc>
          <w:tcPr>
            <w:tcW w:w="6645" w:type="dxa"/>
            <w:gridSpan w:val="2"/>
            <w:vMerge/>
            <w:tcBorders>
              <w:top w:val="nil"/>
            </w:tcBorders>
            <w:shd w:val="clear" w:color="auto" w:fill="00AFEF"/>
          </w:tcPr>
          <w:p w14:paraId="58333808" w14:textId="77777777" w:rsidR="008715BE" w:rsidRPr="00EC75B7" w:rsidRDefault="008715BE">
            <w:pPr>
              <w:rPr>
                <w:rFonts w:ascii="Verdana" w:hAnsi="Verdana"/>
                <w:sz w:val="18"/>
                <w:szCs w:val="18"/>
              </w:rPr>
            </w:pPr>
          </w:p>
        </w:tc>
        <w:tc>
          <w:tcPr>
            <w:tcW w:w="1809" w:type="dxa"/>
            <w:vMerge/>
            <w:tcBorders>
              <w:top w:val="nil"/>
            </w:tcBorders>
            <w:shd w:val="clear" w:color="auto" w:fill="00AFEF"/>
          </w:tcPr>
          <w:p w14:paraId="3FF96831"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5E1EFF1C" w14:textId="77777777" w:rsidR="008715BE" w:rsidRPr="00EC75B7" w:rsidRDefault="008715BE">
            <w:pPr>
              <w:rPr>
                <w:rFonts w:ascii="Verdana" w:hAnsi="Verdana"/>
                <w:sz w:val="18"/>
                <w:szCs w:val="18"/>
              </w:rPr>
            </w:pPr>
          </w:p>
        </w:tc>
        <w:tc>
          <w:tcPr>
            <w:tcW w:w="1351" w:type="dxa"/>
            <w:vMerge/>
            <w:tcBorders>
              <w:top w:val="nil"/>
            </w:tcBorders>
            <w:shd w:val="clear" w:color="auto" w:fill="00AFEF"/>
          </w:tcPr>
          <w:p w14:paraId="662DB0CF" w14:textId="77777777" w:rsidR="008715BE" w:rsidRPr="00EC75B7" w:rsidRDefault="008715BE">
            <w:pPr>
              <w:rPr>
                <w:rFonts w:ascii="Verdana" w:hAnsi="Verdana"/>
                <w:sz w:val="18"/>
                <w:szCs w:val="18"/>
              </w:rPr>
            </w:pPr>
          </w:p>
        </w:tc>
        <w:tc>
          <w:tcPr>
            <w:tcW w:w="269" w:type="dxa"/>
            <w:shd w:val="clear" w:color="auto" w:fill="00AFEF"/>
          </w:tcPr>
          <w:p w14:paraId="01E4D4A9" w14:textId="77777777" w:rsidR="008715BE" w:rsidRPr="00EC75B7" w:rsidRDefault="008715BE">
            <w:pPr>
              <w:pStyle w:val="TableParagraph"/>
              <w:rPr>
                <w:rFonts w:ascii="Verdana" w:hAnsi="Verdana"/>
                <w:b/>
                <w:sz w:val="18"/>
                <w:szCs w:val="18"/>
              </w:rPr>
            </w:pPr>
          </w:p>
          <w:p w14:paraId="42BF1A9B" w14:textId="77777777" w:rsidR="008715BE" w:rsidRPr="00EC75B7" w:rsidRDefault="008715BE">
            <w:pPr>
              <w:pStyle w:val="TableParagraph"/>
              <w:spacing w:before="23"/>
              <w:rPr>
                <w:rFonts w:ascii="Verdana" w:hAnsi="Verdana"/>
                <w:b/>
                <w:sz w:val="18"/>
                <w:szCs w:val="18"/>
              </w:rPr>
            </w:pPr>
          </w:p>
          <w:p w14:paraId="386C8387" w14:textId="77777777" w:rsidR="008715BE" w:rsidRPr="00EC75B7" w:rsidRDefault="00000000">
            <w:pPr>
              <w:pStyle w:val="TableParagraph"/>
              <w:ind w:left="70"/>
              <w:jc w:val="center"/>
              <w:rPr>
                <w:rFonts w:ascii="Verdana" w:hAnsi="Verdana"/>
                <w:b/>
                <w:sz w:val="18"/>
                <w:szCs w:val="18"/>
              </w:rPr>
            </w:pPr>
            <w:r w:rsidRPr="00EC75B7">
              <w:rPr>
                <w:rFonts w:ascii="Verdana" w:hAnsi="Verdana"/>
                <w:b/>
                <w:color w:val="FFFFFF"/>
                <w:spacing w:val="-10"/>
                <w:sz w:val="18"/>
                <w:szCs w:val="18"/>
              </w:rPr>
              <w:t>1</w:t>
            </w:r>
          </w:p>
        </w:tc>
        <w:tc>
          <w:tcPr>
            <w:tcW w:w="295" w:type="dxa"/>
            <w:shd w:val="clear" w:color="auto" w:fill="00AFEF"/>
          </w:tcPr>
          <w:p w14:paraId="35FEAD02" w14:textId="77777777" w:rsidR="008715BE" w:rsidRPr="00EC75B7" w:rsidRDefault="008715BE">
            <w:pPr>
              <w:pStyle w:val="TableParagraph"/>
              <w:rPr>
                <w:rFonts w:ascii="Verdana" w:hAnsi="Verdana"/>
                <w:b/>
                <w:sz w:val="18"/>
                <w:szCs w:val="18"/>
              </w:rPr>
            </w:pPr>
          </w:p>
          <w:p w14:paraId="063FECD6" w14:textId="77777777" w:rsidR="008715BE" w:rsidRPr="00EC75B7" w:rsidRDefault="008715BE">
            <w:pPr>
              <w:pStyle w:val="TableParagraph"/>
              <w:spacing w:before="23"/>
              <w:rPr>
                <w:rFonts w:ascii="Verdana" w:hAnsi="Verdana"/>
                <w:b/>
                <w:sz w:val="18"/>
                <w:szCs w:val="18"/>
              </w:rPr>
            </w:pPr>
          </w:p>
          <w:p w14:paraId="5D6D8FAD" w14:textId="77777777" w:rsidR="008715BE" w:rsidRPr="00EC75B7" w:rsidRDefault="00000000">
            <w:pPr>
              <w:pStyle w:val="TableParagraph"/>
              <w:ind w:left="49"/>
              <w:jc w:val="center"/>
              <w:rPr>
                <w:rFonts w:ascii="Verdana" w:hAnsi="Verdana"/>
                <w:b/>
                <w:sz w:val="18"/>
                <w:szCs w:val="18"/>
              </w:rPr>
            </w:pPr>
            <w:r w:rsidRPr="00EC75B7">
              <w:rPr>
                <w:rFonts w:ascii="Verdana" w:hAnsi="Verdana"/>
                <w:b/>
                <w:color w:val="FFFFFF"/>
                <w:spacing w:val="-10"/>
                <w:sz w:val="18"/>
                <w:szCs w:val="18"/>
              </w:rPr>
              <w:t>2</w:t>
            </w:r>
          </w:p>
        </w:tc>
        <w:tc>
          <w:tcPr>
            <w:tcW w:w="331" w:type="dxa"/>
            <w:shd w:val="clear" w:color="auto" w:fill="00AFEF"/>
          </w:tcPr>
          <w:p w14:paraId="4F2DDA0E" w14:textId="77777777" w:rsidR="008715BE" w:rsidRPr="00EC75B7" w:rsidRDefault="008715BE">
            <w:pPr>
              <w:pStyle w:val="TableParagraph"/>
              <w:rPr>
                <w:rFonts w:ascii="Verdana" w:hAnsi="Verdana"/>
                <w:b/>
                <w:sz w:val="18"/>
                <w:szCs w:val="18"/>
              </w:rPr>
            </w:pPr>
          </w:p>
          <w:p w14:paraId="2D132EBE" w14:textId="77777777" w:rsidR="008715BE" w:rsidRPr="00EC75B7" w:rsidRDefault="008715BE">
            <w:pPr>
              <w:pStyle w:val="TableParagraph"/>
              <w:spacing w:before="23"/>
              <w:rPr>
                <w:rFonts w:ascii="Verdana" w:hAnsi="Verdana"/>
                <w:b/>
                <w:sz w:val="18"/>
                <w:szCs w:val="18"/>
              </w:rPr>
            </w:pPr>
          </w:p>
          <w:p w14:paraId="53F4F8D4"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3</w:t>
            </w:r>
          </w:p>
        </w:tc>
        <w:tc>
          <w:tcPr>
            <w:tcW w:w="329" w:type="dxa"/>
            <w:shd w:val="clear" w:color="auto" w:fill="00AFEF"/>
          </w:tcPr>
          <w:p w14:paraId="77FAB3A1" w14:textId="77777777" w:rsidR="008715BE" w:rsidRPr="00EC75B7" w:rsidRDefault="008715BE">
            <w:pPr>
              <w:pStyle w:val="TableParagraph"/>
              <w:rPr>
                <w:rFonts w:ascii="Verdana" w:hAnsi="Verdana"/>
                <w:b/>
                <w:sz w:val="18"/>
                <w:szCs w:val="18"/>
              </w:rPr>
            </w:pPr>
          </w:p>
          <w:p w14:paraId="67CA26CA" w14:textId="77777777" w:rsidR="008715BE" w:rsidRPr="00EC75B7" w:rsidRDefault="008715BE">
            <w:pPr>
              <w:pStyle w:val="TableParagraph"/>
              <w:spacing w:before="23"/>
              <w:rPr>
                <w:rFonts w:ascii="Verdana" w:hAnsi="Verdana"/>
                <w:b/>
                <w:sz w:val="18"/>
                <w:szCs w:val="18"/>
              </w:rPr>
            </w:pPr>
          </w:p>
          <w:p w14:paraId="513F0499"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4</w:t>
            </w:r>
          </w:p>
        </w:tc>
        <w:tc>
          <w:tcPr>
            <w:tcW w:w="331" w:type="dxa"/>
            <w:shd w:val="clear" w:color="auto" w:fill="00AFEF"/>
          </w:tcPr>
          <w:p w14:paraId="79A04D07" w14:textId="77777777" w:rsidR="008715BE" w:rsidRPr="00EC75B7" w:rsidRDefault="008715BE">
            <w:pPr>
              <w:pStyle w:val="TableParagraph"/>
              <w:rPr>
                <w:rFonts w:ascii="Verdana" w:hAnsi="Verdana"/>
                <w:b/>
                <w:sz w:val="18"/>
                <w:szCs w:val="18"/>
              </w:rPr>
            </w:pPr>
          </w:p>
          <w:p w14:paraId="15B7F184" w14:textId="77777777" w:rsidR="008715BE" w:rsidRPr="00EC75B7" w:rsidRDefault="008715BE">
            <w:pPr>
              <w:pStyle w:val="TableParagraph"/>
              <w:spacing w:before="23"/>
              <w:rPr>
                <w:rFonts w:ascii="Verdana" w:hAnsi="Verdana"/>
                <w:b/>
                <w:sz w:val="18"/>
                <w:szCs w:val="18"/>
              </w:rPr>
            </w:pPr>
          </w:p>
          <w:p w14:paraId="4CB9250D"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5</w:t>
            </w:r>
          </w:p>
        </w:tc>
        <w:tc>
          <w:tcPr>
            <w:tcW w:w="329" w:type="dxa"/>
            <w:shd w:val="clear" w:color="auto" w:fill="00AFEF"/>
          </w:tcPr>
          <w:p w14:paraId="75CF443A" w14:textId="77777777" w:rsidR="008715BE" w:rsidRPr="00EC75B7" w:rsidRDefault="008715BE">
            <w:pPr>
              <w:pStyle w:val="TableParagraph"/>
              <w:rPr>
                <w:rFonts w:ascii="Verdana" w:hAnsi="Verdana"/>
                <w:b/>
                <w:sz w:val="18"/>
                <w:szCs w:val="18"/>
              </w:rPr>
            </w:pPr>
          </w:p>
          <w:p w14:paraId="2B79637A" w14:textId="77777777" w:rsidR="008715BE" w:rsidRPr="00EC75B7" w:rsidRDefault="008715BE">
            <w:pPr>
              <w:pStyle w:val="TableParagraph"/>
              <w:spacing w:before="23"/>
              <w:rPr>
                <w:rFonts w:ascii="Verdana" w:hAnsi="Verdana"/>
                <w:b/>
                <w:sz w:val="18"/>
                <w:szCs w:val="18"/>
              </w:rPr>
            </w:pPr>
          </w:p>
          <w:p w14:paraId="6AEA0347"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6</w:t>
            </w:r>
          </w:p>
        </w:tc>
        <w:tc>
          <w:tcPr>
            <w:tcW w:w="332" w:type="dxa"/>
            <w:shd w:val="clear" w:color="auto" w:fill="00AFEF"/>
          </w:tcPr>
          <w:p w14:paraId="2E8CB155" w14:textId="77777777" w:rsidR="008715BE" w:rsidRPr="00EC75B7" w:rsidRDefault="008715BE">
            <w:pPr>
              <w:pStyle w:val="TableParagraph"/>
              <w:rPr>
                <w:rFonts w:ascii="Verdana" w:hAnsi="Verdana"/>
                <w:b/>
                <w:sz w:val="18"/>
                <w:szCs w:val="18"/>
              </w:rPr>
            </w:pPr>
          </w:p>
          <w:p w14:paraId="667BCB24" w14:textId="77777777" w:rsidR="008715BE" w:rsidRPr="00EC75B7" w:rsidRDefault="008715BE">
            <w:pPr>
              <w:pStyle w:val="TableParagraph"/>
              <w:spacing w:before="23"/>
              <w:rPr>
                <w:rFonts w:ascii="Verdana" w:hAnsi="Verdana"/>
                <w:b/>
                <w:sz w:val="18"/>
                <w:szCs w:val="18"/>
              </w:rPr>
            </w:pPr>
          </w:p>
          <w:p w14:paraId="362D05EF"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7</w:t>
            </w:r>
          </w:p>
        </w:tc>
        <w:tc>
          <w:tcPr>
            <w:tcW w:w="329" w:type="dxa"/>
            <w:shd w:val="clear" w:color="auto" w:fill="00AFEF"/>
          </w:tcPr>
          <w:p w14:paraId="78498434" w14:textId="77777777" w:rsidR="008715BE" w:rsidRPr="00EC75B7" w:rsidRDefault="008715BE">
            <w:pPr>
              <w:pStyle w:val="TableParagraph"/>
              <w:rPr>
                <w:rFonts w:ascii="Verdana" w:hAnsi="Verdana"/>
                <w:b/>
                <w:sz w:val="18"/>
                <w:szCs w:val="18"/>
              </w:rPr>
            </w:pPr>
          </w:p>
          <w:p w14:paraId="3761ABB0" w14:textId="77777777" w:rsidR="008715BE" w:rsidRPr="00EC75B7" w:rsidRDefault="008715BE">
            <w:pPr>
              <w:pStyle w:val="TableParagraph"/>
              <w:spacing w:before="23"/>
              <w:rPr>
                <w:rFonts w:ascii="Verdana" w:hAnsi="Verdana"/>
                <w:b/>
                <w:sz w:val="18"/>
                <w:szCs w:val="18"/>
              </w:rPr>
            </w:pPr>
          </w:p>
          <w:p w14:paraId="39044EE3" w14:textId="77777777" w:rsidR="008715BE" w:rsidRPr="00EC75B7" w:rsidRDefault="00000000">
            <w:pPr>
              <w:pStyle w:val="TableParagraph"/>
              <w:ind w:left="16" w:right="1"/>
              <w:jc w:val="center"/>
              <w:rPr>
                <w:rFonts w:ascii="Verdana" w:hAnsi="Verdana"/>
                <w:b/>
                <w:sz w:val="18"/>
                <w:szCs w:val="18"/>
              </w:rPr>
            </w:pPr>
            <w:r w:rsidRPr="00EC75B7">
              <w:rPr>
                <w:rFonts w:ascii="Verdana" w:hAnsi="Verdana"/>
                <w:b/>
                <w:color w:val="FFFFFF"/>
                <w:spacing w:val="-10"/>
                <w:sz w:val="18"/>
                <w:szCs w:val="18"/>
              </w:rPr>
              <w:t>8</w:t>
            </w:r>
          </w:p>
        </w:tc>
        <w:tc>
          <w:tcPr>
            <w:tcW w:w="336" w:type="dxa"/>
            <w:shd w:val="clear" w:color="auto" w:fill="00AFEF"/>
          </w:tcPr>
          <w:p w14:paraId="75532D08" w14:textId="77777777" w:rsidR="008715BE" w:rsidRPr="00EC75B7" w:rsidRDefault="008715BE">
            <w:pPr>
              <w:pStyle w:val="TableParagraph"/>
              <w:rPr>
                <w:rFonts w:ascii="Verdana" w:hAnsi="Verdana"/>
                <w:b/>
                <w:sz w:val="18"/>
                <w:szCs w:val="18"/>
              </w:rPr>
            </w:pPr>
          </w:p>
          <w:p w14:paraId="12F3928E" w14:textId="77777777" w:rsidR="008715BE" w:rsidRPr="00EC75B7" w:rsidRDefault="008715BE">
            <w:pPr>
              <w:pStyle w:val="TableParagraph"/>
              <w:spacing w:before="23"/>
              <w:rPr>
                <w:rFonts w:ascii="Verdana" w:hAnsi="Verdana"/>
                <w:b/>
                <w:sz w:val="18"/>
                <w:szCs w:val="18"/>
              </w:rPr>
            </w:pPr>
          </w:p>
          <w:p w14:paraId="254A14CC"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10"/>
                <w:sz w:val="18"/>
                <w:szCs w:val="18"/>
              </w:rPr>
              <w:t>9</w:t>
            </w:r>
          </w:p>
        </w:tc>
        <w:tc>
          <w:tcPr>
            <w:tcW w:w="449" w:type="dxa"/>
            <w:shd w:val="clear" w:color="auto" w:fill="00AFEF"/>
          </w:tcPr>
          <w:p w14:paraId="260CAD54" w14:textId="77777777" w:rsidR="008715BE" w:rsidRPr="00EC75B7" w:rsidRDefault="008715BE">
            <w:pPr>
              <w:pStyle w:val="TableParagraph"/>
              <w:rPr>
                <w:rFonts w:ascii="Verdana" w:hAnsi="Verdana"/>
                <w:b/>
                <w:sz w:val="18"/>
                <w:szCs w:val="18"/>
              </w:rPr>
            </w:pPr>
          </w:p>
          <w:p w14:paraId="4F62337A" w14:textId="77777777" w:rsidR="008715BE" w:rsidRPr="00EC75B7" w:rsidRDefault="008715BE">
            <w:pPr>
              <w:pStyle w:val="TableParagraph"/>
              <w:spacing w:before="23"/>
              <w:rPr>
                <w:rFonts w:ascii="Verdana" w:hAnsi="Verdana"/>
                <w:b/>
                <w:sz w:val="18"/>
                <w:szCs w:val="18"/>
              </w:rPr>
            </w:pPr>
          </w:p>
          <w:p w14:paraId="055D9F7F"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10</w:t>
            </w:r>
          </w:p>
        </w:tc>
        <w:tc>
          <w:tcPr>
            <w:tcW w:w="451" w:type="dxa"/>
            <w:shd w:val="clear" w:color="auto" w:fill="00AFEF"/>
          </w:tcPr>
          <w:p w14:paraId="73BC8C3F" w14:textId="77777777" w:rsidR="008715BE" w:rsidRPr="00EC75B7" w:rsidRDefault="008715BE">
            <w:pPr>
              <w:pStyle w:val="TableParagraph"/>
              <w:rPr>
                <w:rFonts w:ascii="Verdana" w:hAnsi="Verdana"/>
                <w:b/>
                <w:sz w:val="18"/>
                <w:szCs w:val="18"/>
              </w:rPr>
            </w:pPr>
          </w:p>
          <w:p w14:paraId="235D472C" w14:textId="77777777" w:rsidR="008715BE" w:rsidRPr="00EC75B7" w:rsidRDefault="008715BE">
            <w:pPr>
              <w:pStyle w:val="TableParagraph"/>
              <w:spacing w:before="23"/>
              <w:rPr>
                <w:rFonts w:ascii="Verdana" w:hAnsi="Verdana"/>
                <w:b/>
                <w:sz w:val="18"/>
                <w:szCs w:val="18"/>
              </w:rPr>
            </w:pPr>
          </w:p>
          <w:p w14:paraId="4C80273E"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5"/>
                <w:sz w:val="18"/>
                <w:szCs w:val="18"/>
              </w:rPr>
              <w:t>11</w:t>
            </w:r>
          </w:p>
        </w:tc>
        <w:tc>
          <w:tcPr>
            <w:tcW w:w="449" w:type="dxa"/>
            <w:shd w:val="clear" w:color="auto" w:fill="00AFEF"/>
          </w:tcPr>
          <w:p w14:paraId="6B6E6191" w14:textId="77777777" w:rsidR="008715BE" w:rsidRPr="00EC75B7" w:rsidRDefault="008715BE">
            <w:pPr>
              <w:pStyle w:val="TableParagraph"/>
              <w:rPr>
                <w:rFonts w:ascii="Verdana" w:hAnsi="Verdana"/>
                <w:b/>
                <w:sz w:val="18"/>
                <w:szCs w:val="18"/>
              </w:rPr>
            </w:pPr>
          </w:p>
          <w:p w14:paraId="04A1F509" w14:textId="77777777" w:rsidR="008715BE" w:rsidRPr="00EC75B7" w:rsidRDefault="008715BE">
            <w:pPr>
              <w:pStyle w:val="TableParagraph"/>
              <w:spacing w:before="23"/>
              <w:rPr>
                <w:rFonts w:ascii="Verdana" w:hAnsi="Verdana"/>
                <w:b/>
                <w:sz w:val="18"/>
                <w:szCs w:val="18"/>
              </w:rPr>
            </w:pPr>
          </w:p>
          <w:p w14:paraId="54420966"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12</w:t>
            </w:r>
          </w:p>
        </w:tc>
        <w:tc>
          <w:tcPr>
            <w:tcW w:w="1891" w:type="dxa"/>
            <w:vMerge/>
            <w:tcBorders>
              <w:top w:val="nil"/>
            </w:tcBorders>
            <w:shd w:val="clear" w:color="auto" w:fill="00AFEF"/>
          </w:tcPr>
          <w:p w14:paraId="046F7190"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42645D2E" w14:textId="77777777" w:rsidR="008715BE" w:rsidRPr="00EC75B7" w:rsidRDefault="008715BE">
            <w:pPr>
              <w:rPr>
                <w:rFonts w:ascii="Verdana" w:hAnsi="Verdana"/>
                <w:sz w:val="18"/>
                <w:szCs w:val="18"/>
              </w:rPr>
            </w:pPr>
          </w:p>
        </w:tc>
      </w:tr>
      <w:tr w:rsidR="008715BE" w:rsidRPr="00EC75B7" w14:paraId="5041CA41" w14:textId="77777777">
        <w:trPr>
          <w:trHeight w:val="302"/>
        </w:trPr>
        <w:tc>
          <w:tcPr>
            <w:tcW w:w="18806" w:type="dxa"/>
            <w:gridSpan w:val="19"/>
          </w:tcPr>
          <w:p w14:paraId="7CB8953A" w14:textId="77777777" w:rsidR="008715BE" w:rsidRPr="00EC75B7" w:rsidRDefault="00000000">
            <w:pPr>
              <w:pStyle w:val="TableParagraph"/>
              <w:spacing w:before="114" w:line="168" w:lineRule="exact"/>
              <w:ind w:left="9" w:right="3"/>
              <w:jc w:val="center"/>
              <w:rPr>
                <w:rFonts w:ascii="Verdana" w:hAnsi="Verdana"/>
                <w:b/>
                <w:sz w:val="18"/>
                <w:szCs w:val="18"/>
              </w:rPr>
            </w:pPr>
            <w:r w:rsidRPr="00EC75B7">
              <w:rPr>
                <w:rFonts w:ascii="Verdana" w:hAnsi="Verdana"/>
                <w:b/>
                <w:spacing w:val="-2"/>
                <w:sz w:val="18"/>
                <w:szCs w:val="18"/>
              </w:rPr>
              <w:t>Specific</w:t>
            </w:r>
            <w:r w:rsidRPr="00EC75B7">
              <w:rPr>
                <w:rFonts w:ascii="Verdana" w:hAnsi="Verdana"/>
                <w:b/>
                <w:sz w:val="18"/>
                <w:szCs w:val="18"/>
              </w:rPr>
              <w:t xml:space="preserve"> measures</w:t>
            </w:r>
          </w:p>
        </w:tc>
      </w:tr>
      <w:tr w:rsidR="008715BE" w:rsidRPr="00EC75B7" w14:paraId="0205897C" w14:textId="77777777">
        <w:trPr>
          <w:trHeight w:val="2332"/>
        </w:trPr>
        <w:tc>
          <w:tcPr>
            <w:tcW w:w="554" w:type="dxa"/>
          </w:tcPr>
          <w:p w14:paraId="06F906F1" w14:textId="77777777" w:rsidR="008715BE" w:rsidRPr="00EC75B7" w:rsidRDefault="008715BE">
            <w:pPr>
              <w:pStyle w:val="TableParagraph"/>
              <w:rPr>
                <w:rFonts w:ascii="Verdana" w:hAnsi="Verdana"/>
                <w:b/>
                <w:sz w:val="18"/>
                <w:szCs w:val="18"/>
              </w:rPr>
            </w:pPr>
          </w:p>
          <w:p w14:paraId="1A8C1189" w14:textId="77777777" w:rsidR="008715BE" w:rsidRPr="00EC75B7" w:rsidRDefault="008715BE">
            <w:pPr>
              <w:pStyle w:val="TableParagraph"/>
              <w:rPr>
                <w:rFonts w:ascii="Verdana" w:hAnsi="Verdana"/>
                <w:b/>
                <w:sz w:val="18"/>
                <w:szCs w:val="18"/>
              </w:rPr>
            </w:pPr>
          </w:p>
          <w:p w14:paraId="0A898146" w14:textId="77777777" w:rsidR="008715BE" w:rsidRPr="00EC75B7" w:rsidRDefault="008715BE">
            <w:pPr>
              <w:pStyle w:val="TableParagraph"/>
              <w:rPr>
                <w:rFonts w:ascii="Verdana" w:hAnsi="Verdana"/>
                <w:b/>
                <w:sz w:val="18"/>
                <w:szCs w:val="18"/>
              </w:rPr>
            </w:pPr>
          </w:p>
          <w:p w14:paraId="58311F5D" w14:textId="77777777" w:rsidR="008715BE" w:rsidRPr="00EC75B7" w:rsidRDefault="008715BE">
            <w:pPr>
              <w:pStyle w:val="TableParagraph"/>
              <w:rPr>
                <w:rFonts w:ascii="Verdana" w:hAnsi="Verdana"/>
                <w:b/>
                <w:sz w:val="18"/>
                <w:szCs w:val="18"/>
              </w:rPr>
            </w:pPr>
          </w:p>
          <w:p w14:paraId="6F8D10D1" w14:textId="77777777" w:rsidR="008715BE" w:rsidRPr="00EC75B7" w:rsidRDefault="008715BE">
            <w:pPr>
              <w:pStyle w:val="TableParagraph"/>
              <w:spacing w:before="99"/>
              <w:rPr>
                <w:rFonts w:ascii="Verdana" w:hAnsi="Verdana"/>
                <w:b/>
                <w:sz w:val="18"/>
                <w:szCs w:val="18"/>
              </w:rPr>
            </w:pPr>
          </w:p>
          <w:p w14:paraId="11CB208F"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M12</w:t>
            </w:r>
          </w:p>
        </w:tc>
        <w:tc>
          <w:tcPr>
            <w:tcW w:w="6091" w:type="dxa"/>
          </w:tcPr>
          <w:p w14:paraId="38ACC087" w14:textId="77777777" w:rsidR="008715BE" w:rsidRPr="00EC75B7" w:rsidRDefault="008715BE">
            <w:pPr>
              <w:pStyle w:val="TableParagraph"/>
              <w:rPr>
                <w:rFonts w:ascii="Verdana" w:hAnsi="Verdana"/>
                <w:b/>
                <w:sz w:val="18"/>
                <w:szCs w:val="18"/>
              </w:rPr>
            </w:pPr>
          </w:p>
          <w:p w14:paraId="5662C5D2" w14:textId="77777777" w:rsidR="008715BE" w:rsidRPr="00EC75B7" w:rsidRDefault="008715BE">
            <w:pPr>
              <w:pStyle w:val="TableParagraph"/>
              <w:rPr>
                <w:rFonts w:ascii="Verdana" w:hAnsi="Verdana"/>
                <w:b/>
                <w:sz w:val="18"/>
                <w:szCs w:val="18"/>
              </w:rPr>
            </w:pPr>
          </w:p>
          <w:p w14:paraId="264BEDC5" w14:textId="77777777" w:rsidR="008715BE" w:rsidRPr="00EC75B7" w:rsidRDefault="008715BE">
            <w:pPr>
              <w:pStyle w:val="TableParagraph"/>
              <w:spacing w:before="5"/>
              <w:rPr>
                <w:rFonts w:ascii="Verdana" w:hAnsi="Verdana"/>
                <w:b/>
                <w:sz w:val="18"/>
                <w:szCs w:val="18"/>
              </w:rPr>
            </w:pPr>
          </w:p>
          <w:p w14:paraId="49ED684C" w14:textId="77777777" w:rsidR="008715BE" w:rsidRPr="00EC75B7" w:rsidRDefault="00000000">
            <w:pPr>
              <w:pStyle w:val="TableParagraph"/>
              <w:ind w:left="108" w:right="119"/>
              <w:rPr>
                <w:rFonts w:ascii="Verdana" w:hAnsi="Verdana"/>
                <w:sz w:val="18"/>
                <w:szCs w:val="18"/>
              </w:rPr>
            </w:pPr>
            <w:r w:rsidRPr="00EC75B7">
              <w:rPr>
                <w:rFonts w:ascii="Verdana" w:hAnsi="Verdana"/>
                <w:sz w:val="18"/>
                <w:szCs w:val="18"/>
              </w:rPr>
              <w:t>Construction and installation works must be planned so as to take place outside the breeding and rearing seasons of species of Community interest, regardless of the presence or absence of nests on site. The planning of activities must take into account the biological calendar of the species concerned in order to prevent any negative impact on them.</w:t>
            </w:r>
          </w:p>
        </w:tc>
        <w:tc>
          <w:tcPr>
            <w:tcW w:w="1809" w:type="dxa"/>
          </w:tcPr>
          <w:p w14:paraId="33C6FB42" w14:textId="77777777" w:rsidR="008715BE" w:rsidRPr="00EC75B7" w:rsidRDefault="00000000" w:rsidP="00C96230">
            <w:pPr>
              <w:pStyle w:val="TableParagraph"/>
              <w:spacing w:line="194" w:lineRule="exact"/>
              <w:ind w:right="164"/>
              <w:rPr>
                <w:rFonts w:ascii="Verdana" w:hAnsi="Verdana"/>
                <w:sz w:val="18"/>
                <w:szCs w:val="18"/>
              </w:rPr>
            </w:pPr>
            <w:r w:rsidRPr="00EC75B7">
              <w:rPr>
                <w:rFonts w:ascii="Verdana" w:hAnsi="Verdana"/>
                <w:spacing w:val="-2"/>
                <w:sz w:val="18"/>
                <w:szCs w:val="18"/>
              </w:rPr>
              <w:t xml:space="preserve">All </w:t>
            </w:r>
            <w:r w:rsidRPr="00EC75B7">
              <w:rPr>
                <w:rFonts w:ascii="Verdana" w:hAnsi="Verdana"/>
                <w:sz w:val="18"/>
                <w:szCs w:val="18"/>
              </w:rPr>
              <w:t xml:space="preserve">Natura 2000 </w:t>
            </w:r>
            <w:r w:rsidRPr="00EC75B7">
              <w:rPr>
                <w:rFonts w:ascii="Verdana" w:hAnsi="Verdana"/>
                <w:spacing w:val="-2"/>
                <w:sz w:val="18"/>
                <w:szCs w:val="18"/>
              </w:rPr>
              <w:t xml:space="preserve">components </w:t>
            </w:r>
            <w:r w:rsidRPr="00EC75B7">
              <w:rPr>
                <w:rFonts w:ascii="Verdana" w:hAnsi="Verdana"/>
                <w:sz w:val="18"/>
                <w:szCs w:val="18"/>
              </w:rPr>
              <w:t xml:space="preserve">related to the </w:t>
            </w:r>
            <w:r w:rsidRPr="00EC75B7">
              <w:rPr>
                <w:rFonts w:ascii="Verdana" w:hAnsi="Verdana"/>
                <w:spacing w:val="-2"/>
                <w:sz w:val="18"/>
                <w:szCs w:val="18"/>
              </w:rPr>
              <w:t>protected natural</w:t>
            </w:r>
            <w:r w:rsidRPr="00EC75B7">
              <w:rPr>
                <w:rFonts w:ascii="Verdana" w:hAnsi="Verdana"/>
                <w:sz w:val="18"/>
                <w:szCs w:val="18"/>
              </w:rPr>
              <w:t xml:space="preserve"> areas </w:t>
            </w:r>
            <w:r w:rsidRPr="00EC75B7">
              <w:rPr>
                <w:rFonts w:ascii="Verdana" w:hAnsi="Verdana"/>
                <w:spacing w:val="-2"/>
                <w:sz w:val="18"/>
                <w:szCs w:val="18"/>
              </w:rPr>
              <w:t>ROSCI0071, ROSCI0157, ROSPA0166, ROSPA0036, ROSPA0094, BG0000569, BG0000570</w:t>
            </w:r>
          </w:p>
        </w:tc>
        <w:tc>
          <w:tcPr>
            <w:tcW w:w="1440" w:type="dxa"/>
          </w:tcPr>
          <w:p w14:paraId="73A1F009" w14:textId="77777777" w:rsidR="008715BE" w:rsidRPr="00EC75B7" w:rsidRDefault="008715BE">
            <w:pPr>
              <w:pStyle w:val="TableParagraph"/>
              <w:rPr>
                <w:rFonts w:ascii="Verdana" w:hAnsi="Verdana"/>
                <w:b/>
                <w:sz w:val="18"/>
                <w:szCs w:val="18"/>
              </w:rPr>
            </w:pPr>
          </w:p>
          <w:p w14:paraId="26827A0A" w14:textId="77777777" w:rsidR="008715BE" w:rsidRPr="00EC75B7" w:rsidRDefault="008715BE">
            <w:pPr>
              <w:pStyle w:val="TableParagraph"/>
              <w:rPr>
                <w:rFonts w:ascii="Verdana" w:hAnsi="Verdana"/>
                <w:b/>
                <w:sz w:val="18"/>
                <w:szCs w:val="18"/>
              </w:rPr>
            </w:pPr>
          </w:p>
          <w:p w14:paraId="76909358" w14:textId="77777777" w:rsidR="008715BE" w:rsidRPr="00EC75B7" w:rsidRDefault="008715BE">
            <w:pPr>
              <w:pStyle w:val="TableParagraph"/>
              <w:spacing w:before="101"/>
              <w:rPr>
                <w:rFonts w:ascii="Verdana" w:hAnsi="Verdana"/>
                <w:b/>
                <w:sz w:val="18"/>
                <w:szCs w:val="18"/>
              </w:rPr>
            </w:pPr>
          </w:p>
          <w:p w14:paraId="23717C46"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53B95315" w14:textId="77777777" w:rsidR="008715BE" w:rsidRPr="00EC75B7" w:rsidRDefault="008715BE">
            <w:pPr>
              <w:pStyle w:val="TableParagraph"/>
              <w:rPr>
                <w:rFonts w:ascii="Verdana" w:hAnsi="Verdana"/>
                <w:b/>
                <w:sz w:val="18"/>
                <w:szCs w:val="18"/>
              </w:rPr>
            </w:pPr>
          </w:p>
          <w:p w14:paraId="07B53BAD" w14:textId="77777777" w:rsidR="008715BE" w:rsidRPr="00EC75B7" w:rsidRDefault="008715BE">
            <w:pPr>
              <w:pStyle w:val="TableParagraph"/>
              <w:rPr>
                <w:rFonts w:ascii="Verdana" w:hAnsi="Verdana"/>
                <w:b/>
                <w:sz w:val="18"/>
                <w:szCs w:val="18"/>
              </w:rPr>
            </w:pPr>
          </w:p>
          <w:p w14:paraId="4EBF16AA" w14:textId="77777777" w:rsidR="008715BE" w:rsidRPr="00EC75B7" w:rsidRDefault="008715BE">
            <w:pPr>
              <w:pStyle w:val="TableParagraph"/>
              <w:rPr>
                <w:rFonts w:ascii="Verdana" w:hAnsi="Verdana"/>
                <w:b/>
                <w:sz w:val="18"/>
                <w:szCs w:val="18"/>
              </w:rPr>
            </w:pPr>
          </w:p>
          <w:p w14:paraId="13D56827" w14:textId="77777777" w:rsidR="008715BE" w:rsidRPr="00EC75B7" w:rsidRDefault="008715BE">
            <w:pPr>
              <w:pStyle w:val="TableParagraph"/>
              <w:rPr>
                <w:rFonts w:ascii="Verdana" w:hAnsi="Verdana"/>
                <w:b/>
                <w:sz w:val="18"/>
                <w:szCs w:val="18"/>
              </w:rPr>
            </w:pPr>
          </w:p>
          <w:p w14:paraId="7D096553" w14:textId="77777777" w:rsidR="008715BE" w:rsidRPr="00EC75B7" w:rsidRDefault="008715BE">
            <w:pPr>
              <w:pStyle w:val="TableParagraph"/>
              <w:spacing w:before="99"/>
              <w:rPr>
                <w:rFonts w:ascii="Verdana" w:hAnsi="Verdana"/>
                <w:b/>
                <w:sz w:val="18"/>
                <w:szCs w:val="18"/>
              </w:rPr>
            </w:pPr>
          </w:p>
          <w:p w14:paraId="6C811417"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2EECA8C6" w14:textId="77777777" w:rsidR="008715BE" w:rsidRPr="00EC75B7" w:rsidRDefault="008715BE">
            <w:pPr>
              <w:pStyle w:val="TableParagraph"/>
              <w:rPr>
                <w:rFonts w:ascii="Verdana" w:hAnsi="Verdana"/>
                <w:b/>
                <w:sz w:val="18"/>
                <w:szCs w:val="18"/>
              </w:rPr>
            </w:pPr>
          </w:p>
          <w:p w14:paraId="4813757E" w14:textId="77777777" w:rsidR="008715BE" w:rsidRPr="00EC75B7" w:rsidRDefault="008715BE">
            <w:pPr>
              <w:pStyle w:val="TableParagraph"/>
              <w:rPr>
                <w:rFonts w:ascii="Verdana" w:hAnsi="Verdana"/>
                <w:b/>
                <w:sz w:val="18"/>
                <w:szCs w:val="18"/>
              </w:rPr>
            </w:pPr>
          </w:p>
          <w:p w14:paraId="2D8F3A24" w14:textId="77777777" w:rsidR="008715BE" w:rsidRPr="00EC75B7" w:rsidRDefault="008715BE">
            <w:pPr>
              <w:pStyle w:val="TableParagraph"/>
              <w:rPr>
                <w:rFonts w:ascii="Verdana" w:hAnsi="Verdana"/>
                <w:b/>
                <w:sz w:val="18"/>
                <w:szCs w:val="18"/>
              </w:rPr>
            </w:pPr>
          </w:p>
          <w:p w14:paraId="6AB648F9" w14:textId="77777777" w:rsidR="008715BE" w:rsidRPr="00EC75B7" w:rsidRDefault="008715BE">
            <w:pPr>
              <w:pStyle w:val="TableParagraph"/>
              <w:rPr>
                <w:rFonts w:ascii="Verdana" w:hAnsi="Verdana"/>
                <w:b/>
                <w:sz w:val="18"/>
                <w:szCs w:val="18"/>
              </w:rPr>
            </w:pPr>
          </w:p>
          <w:p w14:paraId="6E1A66C0" w14:textId="77777777" w:rsidR="008715BE" w:rsidRPr="00EC75B7" w:rsidRDefault="008715BE">
            <w:pPr>
              <w:pStyle w:val="TableParagraph"/>
              <w:spacing w:before="99"/>
              <w:rPr>
                <w:rFonts w:ascii="Verdana" w:hAnsi="Verdana"/>
                <w:b/>
                <w:sz w:val="18"/>
                <w:szCs w:val="18"/>
              </w:rPr>
            </w:pPr>
          </w:p>
          <w:p w14:paraId="05E4BBFB"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330C32C6" w14:textId="77777777" w:rsidR="008715BE" w:rsidRPr="00EC75B7" w:rsidRDefault="008715BE">
            <w:pPr>
              <w:pStyle w:val="TableParagraph"/>
              <w:rPr>
                <w:rFonts w:ascii="Verdana" w:hAnsi="Verdana"/>
                <w:b/>
                <w:sz w:val="18"/>
                <w:szCs w:val="18"/>
              </w:rPr>
            </w:pPr>
          </w:p>
          <w:p w14:paraId="76049E4F" w14:textId="77777777" w:rsidR="008715BE" w:rsidRPr="00EC75B7" w:rsidRDefault="008715BE">
            <w:pPr>
              <w:pStyle w:val="TableParagraph"/>
              <w:rPr>
                <w:rFonts w:ascii="Verdana" w:hAnsi="Verdana"/>
                <w:b/>
                <w:sz w:val="18"/>
                <w:szCs w:val="18"/>
              </w:rPr>
            </w:pPr>
          </w:p>
          <w:p w14:paraId="2A3A285F" w14:textId="77777777" w:rsidR="008715BE" w:rsidRPr="00EC75B7" w:rsidRDefault="008715BE">
            <w:pPr>
              <w:pStyle w:val="TableParagraph"/>
              <w:rPr>
                <w:rFonts w:ascii="Verdana" w:hAnsi="Verdana"/>
                <w:b/>
                <w:sz w:val="18"/>
                <w:szCs w:val="18"/>
              </w:rPr>
            </w:pPr>
          </w:p>
          <w:p w14:paraId="142B9F1A" w14:textId="77777777" w:rsidR="008715BE" w:rsidRPr="00EC75B7" w:rsidRDefault="008715BE">
            <w:pPr>
              <w:pStyle w:val="TableParagraph"/>
              <w:rPr>
                <w:rFonts w:ascii="Verdana" w:hAnsi="Verdana"/>
                <w:b/>
                <w:sz w:val="18"/>
                <w:szCs w:val="18"/>
              </w:rPr>
            </w:pPr>
          </w:p>
          <w:p w14:paraId="68837312" w14:textId="77777777" w:rsidR="008715BE" w:rsidRPr="00EC75B7" w:rsidRDefault="008715BE">
            <w:pPr>
              <w:pStyle w:val="TableParagraph"/>
              <w:spacing w:before="99"/>
              <w:rPr>
                <w:rFonts w:ascii="Verdana" w:hAnsi="Verdana"/>
                <w:b/>
                <w:sz w:val="18"/>
                <w:szCs w:val="18"/>
              </w:rPr>
            </w:pPr>
          </w:p>
          <w:p w14:paraId="15E27673"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2BE6C563" w14:textId="77777777" w:rsidR="008715BE" w:rsidRPr="00EC75B7" w:rsidRDefault="008715BE">
            <w:pPr>
              <w:pStyle w:val="TableParagraph"/>
              <w:rPr>
                <w:rFonts w:ascii="Verdana" w:hAnsi="Verdana"/>
                <w:b/>
                <w:sz w:val="18"/>
                <w:szCs w:val="18"/>
              </w:rPr>
            </w:pPr>
          </w:p>
          <w:p w14:paraId="4F2F35DD" w14:textId="77777777" w:rsidR="008715BE" w:rsidRPr="00EC75B7" w:rsidRDefault="008715BE">
            <w:pPr>
              <w:pStyle w:val="TableParagraph"/>
              <w:rPr>
                <w:rFonts w:ascii="Verdana" w:hAnsi="Verdana"/>
                <w:b/>
                <w:sz w:val="18"/>
                <w:szCs w:val="18"/>
              </w:rPr>
            </w:pPr>
          </w:p>
          <w:p w14:paraId="61324363" w14:textId="77777777" w:rsidR="008715BE" w:rsidRPr="00EC75B7" w:rsidRDefault="008715BE">
            <w:pPr>
              <w:pStyle w:val="TableParagraph"/>
              <w:rPr>
                <w:rFonts w:ascii="Verdana" w:hAnsi="Verdana"/>
                <w:b/>
                <w:sz w:val="18"/>
                <w:szCs w:val="18"/>
              </w:rPr>
            </w:pPr>
          </w:p>
          <w:p w14:paraId="60502094" w14:textId="77777777" w:rsidR="008715BE" w:rsidRPr="00EC75B7" w:rsidRDefault="008715BE">
            <w:pPr>
              <w:pStyle w:val="TableParagraph"/>
              <w:rPr>
                <w:rFonts w:ascii="Verdana" w:hAnsi="Verdana"/>
                <w:b/>
                <w:sz w:val="18"/>
                <w:szCs w:val="18"/>
              </w:rPr>
            </w:pPr>
          </w:p>
          <w:p w14:paraId="7CFEB204" w14:textId="77777777" w:rsidR="008715BE" w:rsidRPr="00EC75B7" w:rsidRDefault="008715BE">
            <w:pPr>
              <w:pStyle w:val="TableParagraph"/>
              <w:spacing w:before="99"/>
              <w:rPr>
                <w:rFonts w:ascii="Verdana" w:hAnsi="Verdana"/>
                <w:b/>
                <w:sz w:val="18"/>
                <w:szCs w:val="18"/>
              </w:rPr>
            </w:pPr>
          </w:p>
          <w:p w14:paraId="52004501"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F641373" w14:textId="77777777" w:rsidR="008715BE" w:rsidRPr="00EC75B7" w:rsidRDefault="008715BE">
            <w:pPr>
              <w:pStyle w:val="TableParagraph"/>
              <w:rPr>
                <w:rFonts w:ascii="Verdana" w:hAnsi="Verdana"/>
                <w:b/>
                <w:sz w:val="18"/>
                <w:szCs w:val="18"/>
              </w:rPr>
            </w:pPr>
          </w:p>
          <w:p w14:paraId="6D4B05AE" w14:textId="77777777" w:rsidR="008715BE" w:rsidRPr="00EC75B7" w:rsidRDefault="008715BE">
            <w:pPr>
              <w:pStyle w:val="TableParagraph"/>
              <w:rPr>
                <w:rFonts w:ascii="Verdana" w:hAnsi="Verdana"/>
                <w:b/>
                <w:sz w:val="18"/>
                <w:szCs w:val="18"/>
              </w:rPr>
            </w:pPr>
          </w:p>
          <w:p w14:paraId="7225DB6B" w14:textId="77777777" w:rsidR="008715BE" w:rsidRPr="00EC75B7" w:rsidRDefault="008715BE">
            <w:pPr>
              <w:pStyle w:val="TableParagraph"/>
              <w:rPr>
                <w:rFonts w:ascii="Verdana" w:hAnsi="Verdana"/>
                <w:b/>
                <w:sz w:val="18"/>
                <w:szCs w:val="18"/>
              </w:rPr>
            </w:pPr>
          </w:p>
          <w:p w14:paraId="315F97C6" w14:textId="77777777" w:rsidR="008715BE" w:rsidRPr="00EC75B7" w:rsidRDefault="008715BE">
            <w:pPr>
              <w:pStyle w:val="TableParagraph"/>
              <w:rPr>
                <w:rFonts w:ascii="Verdana" w:hAnsi="Verdana"/>
                <w:b/>
                <w:sz w:val="18"/>
                <w:szCs w:val="18"/>
              </w:rPr>
            </w:pPr>
          </w:p>
          <w:p w14:paraId="3B4E632B" w14:textId="77777777" w:rsidR="008715BE" w:rsidRPr="00EC75B7" w:rsidRDefault="008715BE">
            <w:pPr>
              <w:pStyle w:val="TableParagraph"/>
              <w:spacing w:before="99"/>
              <w:rPr>
                <w:rFonts w:ascii="Verdana" w:hAnsi="Verdana"/>
                <w:b/>
                <w:sz w:val="18"/>
                <w:szCs w:val="18"/>
              </w:rPr>
            </w:pPr>
          </w:p>
          <w:p w14:paraId="493F331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1898350E" w14:textId="77777777" w:rsidR="008715BE" w:rsidRPr="00EC75B7" w:rsidRDefault="008715BE">
            <w:pPr>
              <w:pStyle w:val="TableParagraph"/>
              <w:rPr>
                <w:rFonts w:ascii="Verdana" w:hAnsi="Verdana"/>
                <w:b/>
                <w:sz w:val="18"/>
                <w:szCs w:val="18"/>
              </w:rPr>
            </w:pPr>
          </w:p>
          <w:p w14:paraId="22380DF0" w14:textId="77777777" w:rsidR="008715BE" w:rsidRPr="00EC75B7" w:rsidRDefault="008715BE">
            <w:pPr>
              <w:pStyle w:val="TableParagraph"/>
              <w:rPr>
                <w:rFonts w:ascii="Verdana" w:hAnsi="Verdana"/>
                <w:b/>
                <w:sz w:val="18"/>
                <w:szCs w:val="18"/>
              </w:rPr>
            </w:pPr>
          </w:p>
          <w:p w14:paraId="5B7B7E56" w14:textId="77777777" w:rsidR="008715BE" w:rsidRPr="00EC75B7" w:rsidRDefault="008715BE">
            <w:pPr>
              <w:pStyle w:val="TableParagraph"/>
              <w:rPr>
                <w:rFonts w:ascii="Verdana" w:hAnsi="Verdana"/>
                <w:b/>
                <w:sz w:val="18"/>
                <w:szCs w:val="18"/>
              </w:rPr>
            </w:pPr>
          </w:p>
          <w:p w14:paraId="2BAA9464" w14:textId="77777777" w:rsidR="008715BE" w:rsidRPr="00EC75B7" w:rsidRDefault="008715BE">
            <w:pPr>
              <w:pStyle w:val="TableParagraph"/>
              <w:rPr>
                <w:rFonts w:ascii="Verdana" w:hAnsi="Verdana"/>
                <w:b/>
                <w:sz w:val="18"/>
                <w:szCs w:val="18"/>
              </w:rPr>
            </w:pPr>
          </w:p>
          <w:p w14:paraId="4A0B906D" w14:textId="77777777" w:rsidR="008715BE" w:rsidRPr="00EC75B7" w:rsidRDefault="008715BE">
            <w:pPr>
              <w:pStyle w:val="TableParagraph"/>
              <w:spacing w:before="99"/>
              <w:rPr>
                <w:rFonts w:ascii="Verdana" w:hAnsi="Verdana"/>
                <w:b/>
                <w:sz w:val="18"/>
                <w:szCs w:val="18"/>
              </w:rPr>
            </w:pPr>
          </w:p>
          <w:p w14:paraId="38B0861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71591D9" w14:textId="77777777" w:rsidR="008715BE" w:rsidRPr="00EC75B7" w:rsidRDefault="008715BE">
            <w:pPr>
              <w:pStyle w:val="TableParagraph"/>
              <w:rPr>
                <w:rFonts w:ascii="Verdana" w:hAnsi="Verdana"/>
                <w:b/>
                <w:sz w:val="18"/>
                <w:szCs w:val="18"/>
              </w:rPr>
            </w:pPr>
          </w:p>
          <w:p w14:paraId="41891C15" w14:textId="77777777" w:rsidR="008715BE" w:rsidRPr="00EC75B7" w:rsidRDefault="008715BE">
            <w:pPr>
              <w:pStyle w:val="TableParagraph"/>
              <w:rPr>
                <w:rFonts w:ascii="Verdana" w:hAnsi="Verdana"/>
                <w:b/>
                <w:sz w:val="18"/>
                <w:szCs w:val="18"/>
              </w:rPr>
            </w:pPr>
          </w:p>
          <w:p w14:paraId="44071AD5" w14:textId="77777777" w:rsidR="008715BE" w:rsidRPr="00EC75B7" w:rsidRDefault="008715BE">
            <w:pPr>
              <w:pStyle w:val="TableParagraph"/>
              <w:rPr>
                <w:rFonts w:ascii="Verdana" w:hAnsi="Verdana"/>
                <w:b/>
                <w:sz w:val="18"/>
                <w:szCs w:val="18"/>
              </w:rPr>
            </w:pPr>
          </w:p>
          <w:p w14:paraId="5F9D48F9" w14:textId="77777777" w:rsidR="008715BE" w:rsidRPr="00EC75B7" w:rsidRDefault="008715BE">
            <w:pPr>
              <w:pStyle w:val="TableParagraph"/>
              <w:rPr>
                <w:rFonts w:ascii="Verdana" w:hAnsi="Verdana"/>
                <w:b/>
                <w:sz w:val="18"/>
                <w:szCs w:val="18"/>
              </w:rPr>
            </w:pPr>
          </w:p>
          <w:p w14:paraId="3005725E" w14:textId="77777777" w:rsidR="008715BE" w:rsidRPr="00EC75B7" w:rsidRDefault="008715BE">
            <w:pPr>
              <w:pStyle w:val="TableParagraph"/>
              <w:spacing w:before="99"/>
              <w:rPr>
                <w:rFonts w:ascii="Verdana" w:hAnsi="Verdana"/>
                <w:b/>
                <w:sz w:val="18"/>
                <w:szCs w:val="18"/>
              </w:rPr>
            </w:pPr>
          </w:p>
          <w:p w14:paraId="5C0147EE"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38314FC0" w14:textId="77777777" w:rsidR="008715BE" w:rsidRPr="00EC75B7" w:rsidRDefault="008715BE">
            <w:pPr>
              <w:pStyle w:val="TableParagraph"/>
              <w:rPr>
                <w:rFonts w:ascii="Verdana" w:hAnsi="Verdana"/>
                <w:b/>
                <w:sz w:val="18"/>
                <w:szCs w:val="18"/>
              </w:rPr>
            </w:pPr>
          </w:p>
          <w:p w14:paraId="56CD4DDE" w14:textId="77777777" w:rsidR="008715BE" w:rsidRPr="00EC75B7" w:rsidRDefault="008715BE">
            <w:pPr>
              <w:pStyle w:val="TableParagraph"/>
              <w:rPr>
                <w:rFonts w:ascii="Verdana" w:hAnsi="Verdana"/>
                <w:b/>
                <w:sz w:val="18"/>
                <w:szCs w:val="18"/>
              </w:rPr>
            </w:pPr>
          </w:p>
          <w:p w14:paraId="1D3124AD" w14:textId="77777777" w:rsidR="008715BE" w:rsidRPr="00EC75B7" w:rsidRDefault="008715BE">
            <w:pPr>
              <w:pStyle w:val="TableParagraph"/>
              <w:rPr>
                <w:rFonts w:ascii="Verdana" w:hAnsi="Verdana"/>
                <w:b/>
                <w:sz w:val="18"/>
                <w:szCs w:val="18"/>
              </w:rPr>
            </w:pPr>
          </w:p>
          <w:p w14:paraId="0158D153" w14:textId="77777777" w:rsidR="008715BE" w:rsidRPr="00EC75B7" w:rsidRDefault="008715BE">
            <w:pPr>
              <w:pStyle w:val="TableParagraph"/>
              <w:rPr>
                <w:rFonts w:ascii="Verdana" w:hAnsi="Verdana"/>
                <w:b/>
                <w:sz w:val="18"/>
                <w:szCs w:val="18"/>
              </w:rPr>
            </w:pPr>
          </w:p>
          <w:p w14:paraId="476313C6" w14:textId="77777777" w:rsidR="008715BE" w:rsidRPr="00EC75B7" w:rsidRDefault="008715BE">
            <w:pPr>
              <w:pStyle w:val="TableParagraph"/>
              <w:spacing w:before="99"/>
              <w:rPr>
                <w:rFonts w:ascii="Verdana" w:hAnsi="Verdana"/>
                <w:b/>
                <w:sz w:val="18"/>
                <w:szCs w:val="18"/>
              </w:rPr>
            </w:pPr>
          </w:p>
          <w:p w14:paraId="3EFA7CB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A8FE328" w14:textId="77777777" w:rsidR="008715BE" w:rsidRPr="00EC75B7" w:rsidRDefault="008715BE">
            <w:pPr>
              <w:pStyle w:val="TableParagraph"/>
              <w:rPr>
                <w:rFonts w:ascii="Verdana" w:hAnsi="Verdana"/>
                <w:b/>
                <w:sz w:val="18"/>
                <w:szCs w:val="18"/>
              </w:rPr>
            </w:pPr>
          </w:p>
          <w:p w14:paraId="6D0A4B79" w14:textId="77777777" w:rsidR="008715BE" w:rsidRPr="00EC75B7" w:rsidRDefault="008715BE">
            <w:pPr>
              <w:pStyle w:val="TableParagraph"/>
              <w:rPr>
                <w:rFonts w:ascii="Verdana" w:hAnsi="Verdana"/>
                <w:b/>
                <w:sz w:val="18"/>
                <w:szCs w:val="18"/>
              </w:rPr>
            </w:pPr>
          </w:p>
          <w:p w14:paraId="3EFE47E9" w14:textId="77777777" w:rsidR="008715BE" w:rsidRPr="00EC75B7" w:rsidRDefault="008715BE">
            <w:pPr>
              <w:pStyle w:val="TableParagraph"/>
              <w:rPr>
                <w:rFonts w:ascii="Verdana" w:hAnsi="Verdana"/>
                <w:b/>
                <w:sz w:val="18"/>
                <w:szCs w:val="18"/>
              </w:rPr>
            </w:pPr>
          </w:p>
          <w:p w14:paraId="3C197F4D" w14:textId="77777777" w:rsidR="008715BE" w:rsidRPr="00EC75B7" w:rsidRDefault="008715BE">
            <w:pPr>
              <w:pStyle w:val="TableParagraph"/>
              <w:rPr>
                <w:rFonts w:ascii="Verdana" w:hAnsi="Verdana"/>
                <w:b/>
                <w:sz w:val="18"/>
                <w:szCs w:val="18"/>
              </w:rPr>
            </w:pPr>
          </w:p>
          <w:p w14:paraId="393575A7" w14:textId="77777777" w:rsidR="008715BE" w:rsidRPr="00EC75B7" w:rsidRDefault="008715BE">
            <w:pPr>
              <w:pStyle w:val="TableParagraph"/>
              <w:spacing w:before="99"/>
              <w:rPr>
                <w:rFonts w:ascii="Verdana" w:hAnsi="Verdana"/>
                <w:b/>
                <w:sz w:val="18"/>
                <w:szCs w:val="18"/>
              </w:rPr>
            </w:pPr>
          </w:p>
          <w:p w14:paraId="52EF68D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45963D39" w14:textId="77777777" w:rsidR="008715BE" w:rsidRPr="00EC75B7" w:rsidRDefault="008715BE">
            <w:pPr>
              <w:pStyle w:val="TableParagraph"/>
              <w:rPr>
                <w:rFonts w:ascii="Verdana" w:hAnsi="Verdana"/>
                <w:b/>
                <w:sz w:val="18"/>
                <w:szCs w:val="18"/>
              </w:rPr>
            </w:pPr>
          </w:p>
          <w:p w14:paraId="2FB79F3B" w14:textId="77777777" w:rsidR="008715BE" w:rsidRPr="00EC75B7" w:rsidRDefault="008715BE">
            <w:pPr>
              <w:pStyle w:val="TableParagraph"/>
              <w:rPr>
                <w:rFonts w:ascii="Verdana" w:hAnsi="Verdana"/>
                <w:b/>
                <w:sz w:val="18"/>
                <w:szCs w:val="18"/>
              </w:rPr>
            </w:pPr>
          </w:p>
          <w:p w14:paraId="32646703" w14:textId="77777777" w:rsidR="008715BE" w:rsidRPr="00EC75B7" w:rsidRDefault="008715BE">
            <w:pPr>
              <w:pStyle w:val="TableParagraph"/>
              <w:rPr>
                <w:rFonts w:ascii="Verdana" w:hAnsi="Verdana"/>
                <w:b/>
                <w:sz w:val="18"/>
                <w:szCs w:val="18"/>
              </w:rPr>
            </w:pPr>
          </w:p>
          <w:p w14:paraId="50D0A9FE" w14:textId="77777777" w:rsidR="008715BE" w:rsidRPr="00EC75B7" w:rsidRDefault="008715BE">
            <w:pPr>
              <w:pStyle w:val="TableParagraph"/>
              <w:rPr>
                <w:rFonts w:ascii="Verdana" w:hAnsi="Verdana"/>
                <w:b/>
                <w:sz w:val="18"/>
                <w:szCs w:val="18"/>
              </w:rPr>
            </w:pPr>
          </w:p>
          <w:p w14:paraId="70164F2F" w14:textId="77777777" w:rsidR="008715BE" w:rsidRPr="00EC75B7" w:rsidRDefault="008715BE">
            <w:pPr>
              <w:pStyle w:val="TableParagraph"/>
              <w:spacing w:before="99"/>
              <w:rPr>
                <w:rFonts w:ascii="Verdana" w:hAnsi="Verdana"/>
                <w:b/>
                <w:sz w:val="18"/>
                <w:szCs w:val="18"/>
              </w:rPr>
            </w:pPr>
          </w:p>
          <w:p w14:paraId="22E8BD14"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55AA7D9C" w14:textId="77777777" w:rsidR="008715BE" w:rsidRPr="00EC75B7" w:rsidRDefault="008715BE">
            <w:pPr>
              <w:pStyle w:val="TableParagraph"/>
              <w:rPr>
                <w:rFonts w:ascii="Verdana" w:hAnsi="Verdana"/>
                <w:b/>
                <w:sz w:val="18"/>
                <w:szCs w:val="18"/>
              </w:rPr>
            </w:pPr>
          </w:p>
          <w:p w14:paraId="08A19F3E" w14:textId="77777777" w:rsidR="008715BE" w:rsidRPr="00EC75B7" w:rsidRDefault="008715BE">
            <w:pPr>
              <w:pStyle w:val="TableParagraph"/>
              <w:rPr>
                <w:rFonts w:ascii="Verdana" w:hAnsi="Verdana"/>
                <w:b/>
                <w:sz w:val="18"/>
                <w:szCs w:val="18"/>
              </w:rPr>
            </w:pPr>
          </w:p>
          <w:p w14:paraId="3B66D1A2" w14:textId="77777777" w:rsidR="008715BE" w:rsidRPr="00EC75B7" w:rsidRDefault="008715BE">
            <w:pPr>
              <w:pStyle w:val="TableParagraph"/>
              <w:rPr>
                <w:rFonts w:ascii="Verdana" w:hAnsi="Verdana"/>
                <w:b/>
                <w:sz w:val="18"/>
                <w:szCs w:val="18"/>
              </w:rPr>
            </w:pPr>
          </w:p>
          <w:p w14:paraId="728511F5" w14:textId="77777777" w:rsidR="008715BE" w:rsidRPr="00EC75B7" w:rsidRDefault="008715BE">
            <w:pPr>
              <w:pStyle w:val="TableParagraph"/>
              <w:rPr>
                <w:rFonts w:ascii="Verdana" w:hAnsi="Verdana"/>
                <w:b/>
                <w:sz w:val="18"/>
                <w:szCs w:val="18"/>
              </w:rPr>
            </w:pPr>
          </w:p>
          <w:p w14:paraId="760EE999" w14:textId="77777777" w:rsidR="008715BE" w:rsidRPr="00EC75B7" w:rsidRDefault="008715BE">
            <w:pPr>
              <w:pStyle w:val="TableParagraph"/>
              <w:spacing w:before="99"/>
              <w:rPr>
                <w:rFonts w:ascii="Verdana" w:hAnsi="Verdana"/>
                <w:b/>
                <w:sz w:val="18"/>
                <w:szCs w:val="18"/>
              </w:rPr>
            </w:pPr>
          </w:p>
          <w:p w14:paraId="35248DB1"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565C838F" w14:textId="77777777" w:rsidR="008715BE" w:rsidRPr="00EC75B7" w:rsidRDefault="008715BE">
            <w:pPr>
              <w:pStyle w:val="TableParagraph"/>
              <w:rPr>
                <w:rFonts w:ascii="Verdana" w:hAnsi="Verdana"/>
                <w:b/>
                <w:sz w:val="18"/>
                <w:szCs w:val="18"/>
              </w:rPr>
            </w:pPr>
          </w:p>
          <w:p w14:paraId="362FF0FF" w14:textId="77777777" w:rsidR="008715BE" w:rsidRPr="00EC75B7" w:rsidRDefault="008715BE">
            <w:pPr>
              <w:pStyle w:val="TableParagraph"/>
              <w:rPr>
                <w:rFonts w:ascii="Verdana" w:hAnsi="Verdana"/>
                <w:b/>
                <w:sz w:val="18"/>
                <w:szCs w:val="18"/>
              </w:rPr>
            </w:pPr>
          </w:p>
          <w:p w14:paraId="683D3DA0" w14:textId="77777777" w:rsidR="008715BE" w:rsidRPr="00EC75B7" w:rsidRDefault="008715BE">
            <w:pPr>
              <w:pStyle w:val="TableParagraph"/>
              <w:rPr>
                <w:rFonts w:ascii="Verdana" w:hAnsi="Verdana"/>
                <w:b/>
                <w:sz w:val="18"/>
                <w:szCs w:val="18"/>
              </w:rPr>
            </w:pPr>
          </w:p>
          <w:p w14:paraId="10721EE9" w14:textId="77777777" w:rsidR="008715BE" w:rsidRPr="00EC75B7" w:rsidRDefault="008715BE">
            <w:pPr>
              <w:pStyle w:val="TableParagraph"/>
              <w:rPr>
                <w:rFonts w:ascii="Verdana" w:hAnsi="Verdana"/>
                <w:b/>
                <w:sz w:val="18"/>
                <w:szCs w:val="18"/>
              </w:rPr>
            </w:pPr>
          </w:p>
          <w:p w14:paraId="051886D2" w14:textId="77777777" w:rsidR="008715BE" w:rsidRPr="00EC75B7" w:rsidRDefault="008715BE">
            <w:pPr>
              <w:pStyle w:val="TableParagraph"/>
              <w:spacing w:before="99"/>
              <w:rPr>
                <w:rFonts w:ascii="Verdana" w:hAnsi="Verdana"/>
                <w:b/>
                <w:sz w:val="18"/>
                <w:szCs w:val="18"/>
              </w:rPr>
            </w:pPr>
          </w:p>
          <w:p w14:paraId="18F8E648"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1FA71048" w14:textId="77777777" w:rsidR="008715BE" w:rsidRPr="00EC75B7" w:rsidRDefault="008715BE">
            <w:pPr>
              <w:pStyle w:val="TableParagraph"/>
              <w:rPr>
                <w:rFonts w:ascii="Verdana" w:hAnsi="Verdana"/>
                <w:b/>
                <w:sz w:val="18"/>
                <w:szCs w:val="18"/>
              </w:rPr>
            </w:pPr>
          </w:p>
          <w:p w14:paraId="67284F81" w14:textId="77777777" w:rsidR="008715BE" w:rsidRPr="00EC75B7" w:rsidRDefault="008715BE">
            <w:pPr>
              <w:pStyle w:val="TableParagraph"/>
              <w:rPr>
                <w:rFonts w:ascii="Verdana" w:hAnsi="Verdana"/>
                <w:b/>
                <w:sz w:val="18"/>
                <w:szCs w:val="18"/>
              </w:rPr>
            </w:pPr>
          </w:p>
          <w:p w14:paraId="107EEE4B" w14:textId="77777777" w:rsidR="008715BE" w:rsidRPr="00EC75B7" w:rsidRDefault="008715BE">
            <w:pPr>
              <w:pStyle w:val="TableParagraph"/>
              <w:rPr>
                <w:rFonts w:ascii="Verdana" w:hAnsi="Verdana"/>
                <w:b/>
                <w:sz w:val="18"/>
                <w:szCs w:val="18"/>
              </w:rPr>
            </w:pPr>
          </w:p>
          <w:p w14:paraId="70887255" w14:textId="77777777" w:rsidR="008715BE" w:rsidRPr="00EC75B7" w:rsidRDefault="008715BE">
            <w:pPr>
              <w:pStyle w:val="TableParagraph"/>
              <w:rPr>
                <w:rFonts w:ascii="Verdana" w:hAnsi="Verdana"/>
                <w:b/>
                <w:sz w:val="18"/>
                <w:szCs w:val="18"/>
              </w:rPr>
            </w:pPr>
          </w:p>
          <w:p w14:paraId="3D9724D5" w14:textId="77777777" w:rsidR="008715BE" w:rsidRPr="00EC75B7" w:rsidRDefault="008715BE">
            <w:pPr>
              <w:pStyle w:val="TableParagraph"/>
              <w:spacing w:before="99"/>
              <w:rPr>
                <w:rFonts w:ascii="Verdana" w:hAnsi="Verdana"/>
                <w:b/>
                <w:sz w:val="18"/>
                <w:szCs w:val="18"/>
              </w:rPr>
            </w:pPr>
          </w:p>
          <w:p w14:paraId="6A6CE641"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6ECA3483" w14:textId="77777777" w:rsidR="008715BE" w:rsidRPr="00EC75B7" w:rsidRDefault="008715BE">
            <w:pPr>
              <w:pStyle w:val="TableParagraph"/>
              <w:rPr>
                <w:rFonts w:ascii="Verdana" w:hAnsi="Verdana"/>
                <w:b/>
                <w:sz w:val="18"/>
                <w:szCs w:val="18"/>
              </w:rPr>
            </w:pPr>
          </w:p>
          <w:p w14:paraId="5E4D6AD1" w14:textId="77777777" w:rsidR="008715BE" w:rsidRPr="00EC75B7" w:rsidRDefault="008715BE">
            <w:pPr>
              <w:pStyle w:val="TableParagraph"/>
              <w:rPr>
                <w:rFonts w:ascii="Verdana" w:hAnsi="Verdana"/>
                <w:b/>
                <w:sz w:val="18"/>
                <w:szCs w:val="18"/>
              </w:rPr>
            </w:pPr>
          </w:p>
          <w:p w14:paraId="5B07BD0D" w14:textId="77777777" w:rsidR="008715BE" w:rsidRPr="00EC75B7" w:rsidRDefault="008715BE">
            <w:pPr>
              <w:pStyle w:val="TableParagraph"/>
              <w:rPr>
                <w:rFonts w:ascii="Verdana" w:hAnsi="Verdana"/>
                <w:b/>
                <w:sz w:val="18"/>
                <w:szCs w:val="18"/>
              </w:rPr>
            </w:pPr>
          </w:p>
          <w:p w14:paraId="52EC6F7E" w14:textId="77777777" w:rsidR="008715BE" w:rsidRPr="00EC75B7" w:rsidRDefault="008715BE">
            <w:pPr>
              <w:pStyle w:val="TableParagraph"/>
              <w:rPr>
                <w:rFonts w:ascii="Verdana" w:hAnsi="Verdana"/>
                <w:b/>
                <w:sz w:val="18"/>
                <w:szCs w:val="18"/>
              </w:rPr>
            </w:pPr>
          </w:p>
          <w:p w14:paraId="537E1175" w14:textId="77777777" w:rsidR="008715BE" w:rsidRPr="00EC75B7" w:rsidRDefault="008715BE">
            <w:pPr>
              <w:pStyle w:val="TableParagraph"/>
              <w:spacing w:before="99"/>
              <w:rPr>
                <w:rFonts w:ascii="Verdana" w:hAnsi="Verdana"/>
                <w:b/>
                <w:sz w:val="18"/>
                <w:szCs w:val="18"/>
              </w:rPr>
            </w:pPr>
          </w:p>
          <w:p w14:paraId="2670A9CB"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4B2EA6FD" w14:textId="77777777" w:rsidR="008715BE" w:rsidRPr="00EC75B7" w:rsidRDefault="008715BE">
            <w:pPr>
              <w:pStyle w:val="TableParagraph"/>
              <w:rPr>
                <w:rFonts w:ascii="Verdana" w:hAnsi="Verdana"/>
                <w:b/>
                <w:sz w:val="18"/>
                <w:szCs w:val="18"/>
              </w:rPr>
            </w:pPr>
          </w:p>
          <w:p w14:paraId="57C9145F" w14:textId="77777777" w:rsidR="008715BE" w:rsidRPr="00EC75B7" w:rsidRDefault="008715BE">
            <w:pPr>
              <w:pStyle w:val="TableParagraph"/>
              <w:rPr>
                <w:rFonts w:ascii="Verdana" w:hAnsi="Verdana"/>
                <w:b/>
                <w:sz w:val="18"/>
                <w:szCs w:val="18"/>
              </w:rPr>
            </w:pPr>
          </w:p>
          <w:p w14:paraId="581F5FE5" w14:textId="77777777" w:rsidR="008715BE" w:rsidRPr="00EC75B7" w:rsidRDefault="008715BE">
            <w:pPr>
              <w:pStyle w:val="TableParagraph"/>
              <w:rPr>
                <w:rFonts w:ascii="Verdana" w:hAnsi="Verdana"/>
                <w:b/>
                <w:sz w:val="18"/>
                <w:szCs w:val="18"/>
              </w:rPr>
            </w:pPr>
          </w:p>
          <w:p w14:paraId="46AEB6CC" w14:textId="77777777" w:rsidR="008715BE" w:rsidRPr="00EC75B7" w:rsidRDefault="008715BE">
            <w:pPr>
              <w:pStyle w:val="TableParagraph"/>
              <w:rPr>
                <w:rFonts w:ascii="Verdana" w:hAnsi="Verdana"/>
                <w:b/>
                <w:sz w:val="18"/>
                <w:szCs w:val="18"/>
              </w:rPr>
            </w:pPr>
          </w:p>
          <w:p w14:paraId="37A78B73" w14:textId="77777777" w:rsidR="008715BE" w:rsidRPr="00EC75B7" w:rsidRDefault="008715BE">
            <w:pPr>
              <w:pStyle w:val="TableParagraph"/>
              <w:spacing w:before="3"/>
              <w:rPr>
                <w:rFonts w:ascii="Verdana" w:hAnsi="Verdana"/>
                <w:b/>
                <w:sz w:val="18"/>
                <w:szCs w:val="18"/>
              </w:rPr>
            </w:pPr>
          </w:p>
          <w:p w14:paraId="319D7E5D"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47F76394" w14:textId="77777777">
        <w:trPr>
          <w:trHeight w:val="2138"/>
        </w:trPr>
        <w:tc>
          <w:tcPr>
            <w:tcW w:w="554" w:type="dxa"/>
          </w:tcPr>
          <w:p w14:paraId="29780967" w14:textId="77777777" w:rsidR="008715BE" w:rsidRPr="00EC75B7" w:rsidRDefault="008715BE">
            <w:pPr>
              <w:pStyle w:val="TableParagraph"/>
              <w:rPr>
                <w:rFonts w:ascii="Verdana" w:hAnsi="Verdana"/>
                <w:b/>
                <w:sz w:val="18"/>
                <w:szCs w:val="18"/>
              </w:rPr>
            </w:pPr>
          </w:p>
          <w:p w14:paraId="7D0D8677" w14:textId="77777777" w:rsidR="008715BE" w:rsidRPr="00EC75B7" w:rsidRDefault="008715BE">
            <w:pPr>
              <w:pStyle w:val="TableParagraph"/>
              <w:rPr>
                <w:rFonts w:ascii="Verdana" w:hAnsi="Verdana"/>
                <w:b/>
                <w:sz w:val="18"/>
                <w:szCs w:val="18"/>
              </w:rPr>
            </w:pPr>
          </w:p>
          <w:p w14:paraId="0AEC701B" w14:textId="77777777" w:rsidR="008715BE" w:rsidRPr="00EC75B7" w:rsidRDefault="008715BE">
            <w:pPr>
              <w:pStyle w:val="TableParagraph"/>
              <w:rPr>
                <w:rFonts w:ascii="Verdana" w:hAnsi="Verdana"/>
                <w:b/>
                <w:sz w:val="18"/>
                <w:szCs w:val="18"/>
              </w:rPr>
            </w:pPr>
          </w:p>
          <w:p w14:paraId="2B956C70" w14:textId="77777777" w:rsidR="008715BE" w:rsidRPr="00EC75B7" w:rsidRDefault="008715BE">
            <w:pPr>
              <w:pStyle w:val="TableParagraph"/>
              <w:rPr>
                <w:rFonts w:ascii="Verdana" w:hAnsi="Verdana"/>
                <w:b/>
                <w:sz w:val="18"/>
                <w:szCs w:val="18"/>
              </w:rPr>
            </w:pPr>
          </w:p>
          <w:p w14:paraId="1E6DDA1C" w14:textId="77777777" w:rsidR="008715BE" w:rsidRPr="00EC75B7" w:rsidRDefault="008715BE">
            <w:pPr>
              <w:pStyle w:val="TableParagraph"/>
              <w:spacing w:before="4"/>
              <w:rPr>
                <w:rFonts w:ascii="Verdana" w:hAnsi="Verdana"/>
                <w:b/>
                <w:sz w:val="18"/>
                <w:szCs w:val="18"/>
              </w:rPr>
            </w:pPr>
          </w:p>
          <w:p w14:paraId="77551A58"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M13</w:t>
            </w:r>
          </w:p>
        </w:tc>
        <w:tc>
          <w:tcPr>
            <w:tcW w:w="6091" w:type="dxa"/>
          </w:tcPr>
          <w:p w14:paraId="16E08853" w14:textId="77777777" w:rsidR="008715BE" w:rsidRPr="00EC75B7" w:rsidRDefault="008715BE">
            <w:pPr>
              <w:pStyle w:val="TableParagraph"/>
              <w:rPr>
                <w:rFonts w:ascii="Verdana" w:hAnsi="Verdana"/>
                <w:b/>
                <w:sz w:val="18"/>
                <w:szCs w:val="18"/>
              </w:rPr>
            </w:pPr>
          </w:p>
          <w:p w14:paraId="3EDA906D" w14:textId="77777777" w:rsidR="008715BE" w:rsidRPr="00EC75B7" w:rsidRDefault="008715BE">
            <w:pPr>
              <w:pStyle w:val="TableParagraph"/>
              <w:rPr>
                <w:rFonts w:ascii="Verdana" w:hAnsi="Verdana"/>
                <w:b/>
                <w:sz w:val="18"/>
                <w:szCs w:val="18"/>
              </w:rPr>
            </w:pPr>
          </w:p>
          <w:p w14:paraId="61E368E2" w14:textId="77777777" w:rsidR="008715BE" w:rsidRPr="00EC75B7" w:rsidRDefault="008715BE">
            <w:pPr>
              <w:pStyle w:val="TableParagraph"/>
              <w:spacing w:before="104"/>
              <w:rPr>
                <w:rFonts w:ascii="Verdana" w:hAnsi="Verdana"/>
                <w:b/>
                <w:sz w:val="18"/>
                <w:szCs w:val="18"/>
              </w:rPr>
            </w:pPr>
          </w:p>
          <w:p w14:paraId="6C3B8449" w14:textId="77777777" w:rsidR="008715BE" w:rsidRPr="00EC75B7" w:rsidRDefault="00000000">
            <w:pPr>
              <w:pStyle w:val="TableParagraph"/>
              <w:ind w:left="108" w:right="168"/>
              <w:rPr>
                <w:rFonts w:ascii="Verdana" w:hAnsi="Verdana"/>
                <w:sz w:val="18"/>
                <w:szCs w:val="18"/>
              </w:rPr>
            </w:pPr>
            <w:r w:rsidRPr="00EC75B7">
              <w:rPr>
                <w:rFonts w:ascii="Verdana" w:hAnsi="Verdana"/>
                <w:sz w:val="18"/>
                <w:szCs w:val="18"/>
              </w:rPr>
              <w:t>Turbines must be marked at night with flashing lights, with long intervals between two consecutive flashes. These turbines are easier for birds to recognize when flashing lights are used instead of continuous lights.</w:t>
            </w:r>
          </w:p>
        </w:tc>
        <w:tc>
          <w:tcPr>
            <w:tcW w:w="1809" w:type="dxa"/>
          </w:tcPr>
          <w:p w14:paraId="424ECAB9"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63C3EBC1"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6E382F11"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7C7284DA" w14:textId="77777777" w:rsidR="008715BE" w:rsidRPr="00EC75B7" w:rsidRDefault="008715BE">
            <w:pPr>
              <w:pStyle w:val="TableParagraph"/>
              <w:rPr>
                <w:rFonts w:ascii="Verdana" w:hAnsi="Verdana"/>
                <w:b/>
                <w:sz w:val="18"/>
                <w:szCs w:val="18"/>
              </w:rPr>
            </w:pPr>
          </w:p>
          <w:p w14:paraId="505F8BC4" w14:textId="77777777" w:rsidR="008715BE" w:rsidRPr="00EC75B7" w:rsidRDefault="008715BE">
            <w:pPr>
              <w:pStyle w:val="TableParagraph"/>
              <w:rPr>
                <w:rFonts w:ascii="Verdana" w:hAnsi="Verdana"/>
                <w:b/>
                <w:sz w:val="18"/>
                <w:szCs w:val="18"/>
              </w:rPr>
            </w:pPr>
          </w:p>
          <w:p w14:paraId="7C81BFAE" w14:textId="77777777" w:rsidR="008715BE" w:rsidRPr="00EC75B7" w:rsidRDefault="008715BE">
            <w:pPr>
              <w:pStyle w:val="TableParagraph"/>
              <w:spacing w:before="6"/>
              <w:rPr>
                <w:rFonts w:ascii="Verdana" w:hAnsi="Verdana"/>
                <w:b/>
                <w:sz w:val="18"/>
                <w:szCs w:val="18"/>
              </w:rPr>
            </w:pPr>
          </w:p>
          <w:p w14:paraId="18A3827B"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53D15D5B" w14:textId="77777777" w:rsidR="008715BE" w:rsidRPr="00EC75B7" w:rsidRDefault="008715BE">
            <w:pPr>
              <w:pStyle w:val="TableParagraph"/>
              <w:rPr>
                <w:rFonts w:ascii="Verdana" w:hAnsi="Verdana"/>
                <w:b/>
                <w:sz w:val="18"/>
                <w:szCs w:val="18"/>
              </w:rPr>
            </w:pPr>
          </w:p>
          <w:p w14:paraId="21F76080" w14:textId="77777777" w:rsidR="008715BE" w:rsidRPr="00EC75B7" w:rsidRDefault="008715BE">
            <w:pPr>
              <w:pStyle w:val="TableParagraph"/>
              <w:rPr>
                <w:rFonts w:ascii="Verdana" w:hAnsi="Verdana"/>
                <w:b/>
                <w:sz w:val="18"/>
                <w:szCs w:val="18"/>
              </w:rPr>
            </w:pPr>
          </w:p>
          <w:p w14:paraId="2A3DCC51" w14:textId="77777777" w:rsidR="008715BE" w:rsidRPr="00EC75B7" w:rsidRDefault="008715BE">
            <w:pPr>
              <w:pStyle w:val="TableParagraph"/>
              <w:rPr>
                <w:rFonts w:ascii="Verdana" w:hAnsi="Verdana"/>
                <w:b/>
                <w:sz w:val="18"/>
                <w:szCs w:val="18"/>
              </w:rPr>
            </w:pPr>
          </w:p>
          <w:p w14:paraId="1FD413A6" w14:textId="77777777" w:rsidR="008715BE" w:rsidRPr="00EC75B7" w:rsidRDefault="008715BE">
            <w:pPr>
              <w:pStyle w:val="TableParagraph"/>
              <w:rPr>
                <w:rFonts w:ascii="Verdana" w:hAnsi="Verdana"/>
                <w:b/>
                <w:sz w:val="18"/>
                <w:szCs w:val="18"/>
              </w:rPr>
            </w:pPr>
          </w:p>
          <w:p w14:paraId="26028114" w14:textId="77777777" w:rsidR="008715BE" w:rsidRPr="00EC75B7" w:rsidRDefault="008715BE">
            <w:pPr>
              <w:pStyle w:val="TableParagraph"/>
              <w:spacing w:before="4"/>
              <w:rPr>
                <w:rFonts w:ascii="Verdana" w:hAnsi="Verdana"/>
                <w:b/>
                <w:sz w:val="18"/>
                <w:szCs w:val="18"/>
              </w:rPr>
            </w:pPr>
          </w:p>
          <w:p w14:paraId="491E9177"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34BF5AB9" w14:textId="77777777" w:rsidR="008715BE" w:rsidRPr="00EC75B7" w:rsidRDefault="008715BE">
            <w:pPr>
              <w:pStyle w:val="TableParagraph"/>
              <w:rPr>
                <w:rFonts w:ascii="Verdana" w:hAnsi="Verdana"/>
                <w:b/>
                <w:sz w:val="18"/>
                <w:szCs w:val="18"/>
              </w:rPr>
            </w:pPr>
          </w:p>
          <w:p w14:paraId="2C08328A" w14:textId="77777777" w:rsidR="008715BE" w:rsidRPr="00EC75B7" w:rsidRDefault="008715BE">
            <w:pPr>
              <w:pStyle w:val="TableParagraph"/>
              <w:rPr>
                <w:rFonts w:ascii="Verdana" w:hAnsi="Verdana"/>
                <w:b/>
                <w:sz w:val="18"/>
                <w:szCs w:val="18"/>
              </w:rPr>
            </w:pPr>
          </w:p>
          <w:p w14:paraId="5187AEF9" w14:textId="77777777" w:rsidR="008715BE" w:rsidRPr="00EC75B7" w:rsidRDefault="008715BE">
            <w:pPr>
              <w:pStyle w:val="TableParagraph"/>
              <w:rPr>
                <w:rFonts w:ascii="Verdana" w:hAnsi="Verdana"/>
                <w:b/>
                <w:sz w:val="18"/>
                <w:szCs w:val="18"/>
              </w:rPr>
            </w:pPr>
          </w:p>
          <w:p w14:paraId="5D50744D" w14:textId="77777777" w:rsidR="008715BE" w:rsidRPr="00EC75B7" w:rsidRDefault="008715BE">
            <w:pPr>
              <w:pStyle w:val="TableParagraph"/>
              <w:rPr>
                <w:rFonts w:ascii="Verdana" w:hAnsi="Verdana"/>
                <w:b/>
                <w:sz w:val="18"/>
                <w:szCs w:val="18"/>
              </w:rPr>
            </w:pPr>
          </w:p>
          <w:p w14:paraId="728A92C0" w14:textId="77777777" w:rsidR="008715BE" w:rsidRPr="00EC75B7" w:rsidRDefault="008715BE">
            <w:pPr>
              <w:pStyle w:val="TableParagraph"/>
              <w:spacing w:before="4"/>
              <w:rPr>
                <w:rFonts w:ascii="Verdana" w:hAnsi="Verdana"/>
                <w:b/>
                <w:sz w:val="18"/>
                <w:szCs w:val="18"/>
              </w:rPr>
            </w:pPr>
          </w:p>
          <w:p w14:paraId="492CB55A"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53362339" w14:textId="77777777" w:rsidR="008715BE" w:rsidRPr="00EC75B7" w:rsidRDefault="008715BE">
            <w:pPr>
              <w:pStyle w:val="TableParagraph"/>
              <w:rPr>
                <w:rFonts w:ascii="Verdana" w:hAnsi="Verdana"/>
                <w:b/>
                <w:sz w:val="18"/>
                <w:szCs w:val="18"/>
              </w:rPr>
            </w:pPr>
          </w:p>
          <w:p w14:paraId="5EF22044" w14:textId="77777777" w:rsidR="008715BE" w:rsidRPr="00EC75B7" w:rsidRDefault="008715BE">
            <w:pPr>
              <w:pStyle w:val="TableParagraph"/>
              <w:rPr>
                <w:rFonts w:ascii="Verdana" w:hAnsi="Verdana"/>
                <w:b/>
                <w:sz w:val="18"/>
                <w:szCs w:val="18"/>
              </w:rPr>
            </w:pPr>
          </w:p>
          <w:p w14:paraId="09CCB363" w14:textId="77777777" w:rsidR="008715BE" w:rsidRPr="00EC75B7" w:rsidRDefault="008715BE">
            <w:pPr>
              <w:pStyle w:val="TableParagraph"/>
              <w:rPr>
                <w:rFonts w:ascii="Verdana" w:hAnsi="Verdana"/>
                <w:b/>
                <w:sz w:val="18"/>
                <w:szCs w:val="18"/>
              </w:rPr>
            </w:pPr>
          </w:p>
          <w:p w14:paraId="0D0A98E9" w14:textId="77777777" w:rsidR="008715BE" w:rsidRPr="00EC75B7" w:rsidRDefault="008715BE">
            <w:pPr>
              <w:pStyle w:val="TableParagraph"/>
              <w:rPr>
                <w:rFonts w:ascii="Verdana" w:hAnsi="Verdana"/>
                <w:b/>
                <w:sz w:val="18"/>
                <w:szCs w:val="18"/>
              </w:rPr>
            </w:pPr>
          </w:p>
          <w:p w14:paraId="6A98E21B" w14:textId="77777777" w:rsidR="008715BE" w:rsidRPr="00EC75B7" w:rsidRDefault="008715BE">
            <w:pPr>
              <w:pStyle w:val="TableParagraph"/>
              <w:spacing w:before="4"/>
              <w:rPr>
                <w:rFonts w:ascii="Verdana" w:hAnsi="Verdana"/>
                <w:b/>
                <w:sz w:val="18"/>
                <w:szCs w:val="18"/>
              </w:rPr>
            </w:pPr>
          </w:p>
          <w:p w14:paraId="0627203F"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260CBCB9" w14:textId="77777777" w:rsidR="008715BE" w:rsidRPr="00EC75B7" w:rsidRDefault="008715BE">
            <w:pPr>
              <w:pStyle w:val="TableParagraph"/>
              <w:rPr>
                <w:rFonts w:ascii="Verdana" w:hAnsi="Verdana"/>
                <w:b/>
                <w:sz w:val="18"/>
                <w:szCs w:val="18"/>
              </w:rPr>
            </w:pPr>
          </w:p>
          <w:p w14:paraId="51B0C2A6" w14:textId="77777777" w:rsidR="008715BE" w:rsidRPr="00EC75B7" w:rsidRDefault="008715BE">
            <w:pPr>
              <w:pStyle w:val="TableParagraph"/>
              <w:rPr>
                <w:rFonts w:ascii="Verdana" w:hAnsi="Verdana"/>
                <w:b/>
                <w:sz w:val="18"/>
                <w:szCs w:val="18"/>
              </w:rPr>
            </w:pPr>
          </w:p>
          <w:p w14:paraId="0528320D" w14:textId="77777777" w:rsidR="008715BE" w:rsidRPr="00EC75B7" w:rsidRDefault="008715BE">
            <w:pPr>
              <w:pStyle w:val="TableParagraph"/>
              <w:rPr>
                <w:rFonts w:ascii="Verdana" w:hAnsi="Verdana"/>
                <w:b/>
                <w:sz w:val="18"/>
                <w:szCs w:val="18"/>
              </w:rPr>
            </w:pPr>
          </w:p>
          <w:p w14:paraId="7214C4BB" w14:textId="77777777" w:rsidR="008715BE" w:rsidRPr="00EC75B7" w:rsidRDefault="008715BE">
            <w:pPr>
              <w:pStyle w:val="TableParagraph"/>
              <w:rPr>
                <w:rFonts w:ascii="Verdana" w:hAnsi="Verdana"/>
                <w:b/>
                <w:sz w:val="18"/>
                <w:szCs w:val="18"/>
              </w:rPr>
            </w:pPr>
          </w:p>
          <w:p w14:paraId="21CC39FD" w14:textId="77777777" w:rsidR="008715BE" w:rsidRPr="00EC75B7" w:rsidRDefault="008715BE">
            <w:pPr>
              <w:pStyle w:val="TableParagraph"/>
              <w:spacing w:before="4"/>
              <w:rPr>
                <w:rFonts w:ascii="Verdana" w:hAnsi="Verdana"/>
                <w:b/>
                <w:sz w:val="18"/>
                <w:szCs w:val="18"/>
              </w:rPr>
            </w:pPr>
          </w:p>
          <w:p w14:paraId="32D962B9"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8AD1571" w14:textId="77777777" w:rsidR="008715BE" w:rsidRPr="00EC75B7" w:rsidRDefault="008715BE">
            <w:pPr>
              <w:pStyle w:val="TableParagraph"/>
              <w:rPr>
                <w:rFonts w:ascii="Verdana" w:hAnsi="Verdana"/>
                <w:b/>
                <w:sz w:val="18"/>
                <w:szCs w:val="18"/>
              </w:rPr>
            </w:pPr>
          </w:p>
          <w:p w14:paraId="031C7FC6" w14:textId="77777777" w:rsidR="008715BE" w:rsidRPr="00EC75B7" w:rsidRDefault="008715BE">
            <w:pPr>
              <w:pStyle w:val="TableParagraph"/>
              <w:rPr>
                <w:rFonts w:ascii="Verdana" w:hAnsi="Verdana"/>
                <w:b/>
                <w:sz w:val="18"/>
                <w:szCs w:val="18"/>
              </w:rPr>
            </w:pPr>
          </w:p>
          <w:p w14:paraId="775E7BBC" w14:textId="77777777" w:rsidR="008715BE" w:rsidRPr="00EC75B7" w:rsidRDefault="008715BE">
            <w:pPr>
              <w:pStyle w:val="TableParagraph"/>
              <w:rPr>
                <w:rFonts w:ascii="Verdana" w:hAnsi="Verdana"/>
                <w:b/>
                <w:sz w:val="18"/>
                <w:szCs w:val="18"/>
              </w:rPr>
            </w:pPr>
          </w:p>
          <w:p w14:paraId="7EBDCCF6" w14:textId="77777777" w:rsidR="008715BE" w:rsidRPr="00EC75B7" w:rsidRDefault="008715BE">
            <w:pPr>
              <w:pStyle w:val="TableParagraph"/>
              <w:rPr>
                <w:rFonts w:ascii="Verdana" w:hAnsi="Verdana"/>
                <w:b/>
                <w:sz w:val="18"/>
                <w:szCs w:val="18"/>
              </w:rPr>
            </w:pPr>
          </w:p>
          <w:p w14:paraId="526CFF43" w14:textId="77777777" w:rsidR="008715BE" w:rsidRPr="00EC75B7" w:rsidRDefault="008715BE">
            <w:pPr>
              <w:pStyle w:val="TableParagraph"/>
              <w:spacing w:before="4"/>
              <w:rPr>
                <w:rFonts w:ascii="Verdana" w:hAnsi="Verdana"/>
                <w:b/>
                <w:sz w:val="18"/>
                <w:szCs w:val="18"/>
              </w:rPr>
            </w:pPr>
          </w:p>
          <w:p w14:paraId="3A899DF5"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4C7D9A11" w14:textId="77777777" w:rsidR="008715BE" w:rsidRPr="00EC75B7" w:rsidRDefault="008715BE">
            <w:pPr>
              <w:pStyle w:val="TableParagraph"/>
              <w:rPr>
                <w:rFonts w:ascii="Verdana" w:hAnsi="Verdana"/>
                <w:b/>
                <w:sz w:val="18"/>
                <w:szCs w:val="18"/>
              </w:rPr>
            </w:pPr>
          </w:p>
          <w:p w14:paraId="098C64C2" w14:textId="77777777" w:rsidR="008715BE" w:rsidRPr="00EC75B7" w:rsidRDefault="008715BE">
            <w:pPr>
              <w:pStyle w:val="TableParagraph"/>
              <w:rPr>
                <w:rFonts w:ascii="Verdana" w:hAnsi="Verdana"/>
                <w:b/>
                <w:sz w:val="18"/>
                <w:szCs w:val="18"/>
              </w:rPr>
            </w:pPr>
          </w:p>
          <w:p w14:paraId="6A020D23" w14:textId="77777777" w:rsidR="008715BE" w:rsidRPr="00EC75B7" w:rsidRDefault="008715BE">
            <w:pPr>
              <w:pStyle w:val="TableParagraph"/>
              <w:rPr>
                <w:rFonts w:ascii="Verdana" w:hAnsi="Verdana"/>
                <w:b/>
                <w:sz w:val="18"/>
                <w:szCs w:val="18"/>
              </w:rPr>
            </w:pPr>
          </w:p>
          <w:p w14:paraId="6BBEED6D" w14:textId="77777777" w:rsidR="008715BE" w:rsidRPr="00EC75B7" w:rsidRDefault="008715BE">
            <w:pPr>
              <w:pStyle w:val="TableParagraph"/>
              <w:rPr>
                <w:rFonts w:ascii="Verdana" w:hAnsi="Verdana"/>
                <w:b/>
                <w:sz w:val="18"/>
                <w:szCs w:val="18"/>
              </w:rPr>
            </w:pPr>
          </w:p>
          <w:p w14:paraId="16A75627" w14:textId="77777777" w:rsidR="008715BE" w:rsidRPr="00EC75B7" w:rsidRDefault="008715BE">
            <w:pPr>
              <w:pStyle w:val="TableParagraph"/>
              <w:spacing w:before="4"/>
              <w:rPr>
                <w:rFonts w:ascii="Verdana" w:hAnsi="Verdana"/>
                <w:b/>
                <w:sz w:val="18"/>
                <w:szCs w:val="18"/>
              </w:rPr>
            </w:pPr>
          </w:p>
          <w:p w14:paraId="2CA0CAD8"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F928E8C" w14:textId="77777777" w:rsidR="008715BE" w:rsidRPr="00EC75B7" w:rsidRDefault="008715BE">
            <w:pPr>
              <w:pStyle w:val="TableParagraph"/>
              <w:rPr>
                <w:rFonts w:ascii="Verdana" w:hAnsi="Verdana"/>
                <w:b/>
                <w:sz w:val="18"/>
                <w:szCs w:val="18"/>
              </w:rPr>
            </w:pPr>
          </w:p>
          <w:p w14:paraId="24734EAD" w14:textId="77777777" w:rsidR="008715BE" w:rsidRPr="00EC75B7" w:rsidRDefault="008715BE">
            <w:pPr>
              <w:pStyle w:val="TableParagraph"/>
              <w:rPr>
                <w:rFonts w:ascii="Verdana" w:hAnsi="Verdana"/>
                <w:b/>
                <w:sz w:val="18"/>
                <w:szCs w:val="18"/>
              </w:rPr>
            </w:pPr>
          </w:p>
          <w:p w14:paraId="769E1710" w14:textId="77777777" w:rsidR="008715BE" w:rsidRPr="00EC75B7" w:rsidRDefault="008715BE">
            <w:pPr>
              <w:pStyle w:val="TableParagraph"/>
              <w:rPr>
                <w:rFonts w:ascii="Verdana" w:hAnsi="Verdana"/>
                <w:b/>
                <w:sz w:val="18"/>
                <w:szCs w:val="18"/>
              </w:rPr>
            </w:pPr>
          </w:p>
          <w:p w14:paraId="29E7C74F" w14:textId="77777777" w:rsidR="008715BE" w:rsidRPr="00EC75B7" w:rsidRDefault="008715BE">
            <w:pPr>
              <w:pStyle w:val="TableParagraph"/>
              <w:rPr>
                <w:rFonts w:ascii="Verdana" w:hAnsi="Verdana"/>
                <w:b/>
                <w:sz w:val="18"/>
                <w:szCs w:val="18"/>
              </w:rPr>
            </w:pPr>
          </w:p>
          <w:p w14:paraId="3BD5FD56" w14:textId="77777777" w:rsidR="008715BE" w:rsidRPr="00EC75B7" w:rsidRDefault="008715BE">
            <w:pPr>
              <w:pStyle w:val="TableParagraph"/>
              <w:spacing w:before="4"/>
              <w:rPr>
                <w:rFonts w:ascii="Verdana" w:hAnsi="Verdana"/>
                <w:b/>
                <w:sz w:val="18"/>
                <w:szCs w:val="18"/>
              </w:rPr>
            </w:pPr>
          </w:p>
          <w:p w14:paraId="1B64ABB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001BDB9B" w14:textId="77777777" w:rsidR="008715BE" w:rsidRPr="00EC75B7" w:rsidRDefault="008715BE">
            <w:pPr>
              <w:pStyle w:val="TableParagraph"/>
              <w:rPr>
                <w:rFonts w:ascii="Verdana" w:hAnsi="Verdana"/>
                <w:b/>
                <w:sz w:val="18"/>
                <w:szCs w:val="18"/>
              </w:rPr>
            </w:pPr>
          </w:p>
          <w:p w14:paraId="47C47A29" w14:textId="77777777" w:rsidR="008715BE" w:rsidRPr="00EC75B7" w:rsidRDefault="008715BE">
            <w:pPr>
              <w:pStyle w:val="TableParagraph"/>
              <w:rPr>
                <w:rFonts w:ascii="Verdana" w:hAnsi="Verdana"/>
                <w:b/>
                <w:sz w:val="18"/>
                <w:szCs w:val="18"/>
              </w:rPr>
            </w:pPr>
          </w:p>
          <w:p w14:paraId="578F6138" w14:textId="77777777" w:rsidR="008715BE" w:rsidRPr="00EC75B7" w:rsidRDefault="008715BE">
            <w:pPr>
              <w:pStyle w:val="TableParagraph"/>
              <w:rPr>
                <w:rFonts w:ascii="Verdana" w:hAnsi="Verdana"/>
                <w:b/>
                <w:sz w:val="18"/>
                <w:szCs w:val="18"/>
              </w:rPr>
            </w:pPr>
          </w:p>
          <w:p w14:paraId="32917FE8" w14:textId="77777777" w:rsidR="008715BE" w:rsidRPr="00EC75B7" w:rsidRDefault="008715BE">
            <w:pPr>
              <w:pStyle w:val="TableParagraph"/>
              <w:rPr>
                <w:rFonts w:ascii="Verdana" w:hAnsi="Verdana"/>
                <w:b/>
                <w:sz w:val="18"/>
                <w:szCs w:val="18"/>
              </w:rPr>
            </w:pPr>
          </w:p>
          <w:p w14:paraId="12E4A39A" w14:textId="77777777" w:rsidR="008715BE" w:rsidRPr="00EC75B7" w:rsidRDefault="008715BE">
            <w:pPr>
              <w:pStyle w:val="TableParagraph"/>
              <w:spacing w:before="4"/>
              <w:rPr>
                <w:rFonts w:ascii="Verdana" w:hAnsi="Verdana"/>
                <w:b/>
                <w:sz w:val="18"/>
                <w:szCs w:val="18"/>
              </w:rPr>
            </w:pPr>
          </w:p>
          <w:p w14:paraId="686506E3"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6C6184C" w14:textId="77777777" w:rsidR="008715BE" w:rsidRPr="00EC75B7" w:rsidRDefault="008715BE">
            <w:pPr>
              <w:pStyle w:val="TableParagraph"/>
              <w:rPr>
                <w:rFonts w:ascii="Verdana" w:hAnsi="Verdana"/>
                <w:b/>
                <w:sz w:val="18"/>
                <w:szCs w:val="18"/>
              </w:rPr>
            </w:pPr>
          </w:p>
          <w:p w14:paraId="789EC950" w14:textId="77777777" w:rsidR="008715BE" w:rsidRPr="00EC75B7" w:rsidRDefault="008715BE">
            <w:pPr>
              <w:pStyle w:val="TableParagraph"/>
              <w:rPr>
                <w:rFonts w:ascii="Verdana" w:hAnsi="Verdana"/>
                <w:b/>
                <w:sz w:val="18"/>
                <w:szCs w:val="18"/>
              </w:rPr>
            </w:pPr>
          </w:p>
          <w:p w14:paraId="7E9DFA9E" w14:textId="77777777" w:rsidR="008715BE" w:rsidRPr="00EC75B7" w:rsidRDefault="008715BE">
            <w:pPr>
              <w:pStyle w:val="TableParagraph"/>
              <w:rPr>
                <w:rFonts w:ascii="Verdana" w:hAnsi="Verdana"/>
                <w:b/>
                <w:sz w:val="18"/>
                <w:szCs w:val="18"/>
              </w:rPr>
            </w:pPr>
          </w:p>
          <w:p w14:paraId="0DA489A5" w14:textId="77777777" w:rsidR="008715BE" w:rsidRPr="00EC75B7" w:rsidRDefault="008715BE">
            <w:pPr>
              <w:pStyle w:val="TableParagraph"/>
              <w:rPr>
                <w:rFonts w:ascii="Verdana" w:hAnsi="Verdana"/>
                <w:b/>
                <w:sz w:val="18"/>
                <w:szCs w:val="18"/>
              </w:rPr>
            </w:pPr>
          </w:p>
          <w:p w14:paraId="7C41375C" w14:textId="77777777" w:rsidR="008715BE" w:rsidRPr="00EC75B7" w:rsidRDefault="008715BE">
            <w:pPr>
              <w:pStyle w:val="TableParagraph"/>
              <w:spacing w:before="4"/>
              <w:rPr>
                <w:rFonts w:ascii="Verdana" w:hAnsi="Verdana"/>
                <w:b/>
                <w:sz w:val="18"/>
                <w:szCs w:val="18"/>
              </w:rPr>
            </w:pPr>
          </w:p>
          <w:p w14:paraId="6CF5BC01"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2A3A6EAC" w14:textId="77777777" w:rsidR="008715BE" w:rsidRPr="00EC75B7" w:rsidRDefault="008715BE">
            <w:pPr>
              <w:pStyle w:val="TableParagraph"/>
              <w:rPr>
                <w:rFonts w:ascii="Verdana" w:hAnsi="Verdana"/>
                <w:b/>
                <w:sz w:val="18"/>
                <w:szCs w:val="18"/>
              </w:rPr>
            </w:pPr>
          </w:p>
          <w:p w14:paraId="1EB47D26" w14:textId="77777777" w:rsidR="008715BE" w:rsidRPr="00EC75B7" w:rsidRDefault="008715BE">
            <w:pPr>
              <w:pStyle w:val="TableParagraph"/>
              <w:rPr>
                <w:rFonts w:ascii="Verdana" w:hAnsi="Verdana"/>
                <w:b/>
                <w:sz w:val="18"/>
                <w:szCs w:val="18"/>
              </w:rPr>
            </w:pPr>
          </w:p>
          <w:p w14:paraId="0D31EB48" w14:textId="77777777" w:rsidR="008715BE" w:rsidRPr="00EC75B7" w:rsidRDefault="008715BE">
            <w:pPr>
              <w:pStyle w:val="TableParagraph"/>
              <w:rPr>
                <w:rFonts w:ascii="Verdana" w:hAnsi="Verdana"/>
                <w:b/>
                <w:sz w:val="18"/>
                <w:szCs w:val="18"/>
              </w:rPr>
            </w:pPr>
          </w:p>
          <w:p w14:paraId="4F1BDFC7" w14:textId="77777777" w:rsidR="008715BE" w:rsidRPr="00EC75B7" w:rsidRDefault="008715BE">
            <w:pPr>
              <w:pStyle w:val="TableParagraph"/>
              <w:rPr>
                <w:rFonts w:ascii="Verdana" w:hAnsi="Verdana"/>
                <w:b/>
                <w:sz w:val="18"/>
                <w:szCs w:val="18"/>
              </w:rPr>
            </w:pPr>
          </w:p>
          <w:p w14:paraId="7B64BF17" w14:textId="77777777" w:rsidR="008715BE" w:rsidRPr="00EC75B7" w:rsidRDefault="008715BE">
            <w:pPr>
              <w:pStyle w:val="TableParagraph"/>
              <w:spacing w:before="4"/>
              <w:rPr>
                <w:rFonts w:ascii="Verdana" w:hAnsi="Verdana"/>
                <w:b/>
                <w:sz w:val="18"/>
                <w:szCs w:val="18"/>
              </w:rPr>
            </w:pPr>
          </w:p>
          <w:p w14:paraId="6303C17A"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2222435C" w14:textId="77777777" w:rsidR="008715BE" w:rsidRPr="00EC75B7" w:rsidRDefault="008715BE">
            <w:pPr>
              <w:pStyle w:val="TableParagraph"/>
              <w:rPr>
                <w:rFonts w:ascii="Verdana" w:hAnsi="Verdana"/>
                <w:b/>
                <w:sz w:val="18"/>
                <w:szCs w:val="18"/>
              </w:rPr>
            </w:pPr>
          </w:p>
          <w:p w14:paraId="177ED254" w14:textId="77777777" w:rsidR="008715BE" w:rsidRPr="00EC75B7" w:rsidRDefault="008715BE">
            <w:pPr>
              <w:pStyle w:val="TableParagraph"/>
              <w:rPr>
                <w:rFonts w:ascii="Verdana" w:hAnsi="Verdana"/>
                <w:b/>
                <w:sz w:val="18"/>
                <w:szCs w:val="18"/>
              </w:rPr>
            </w:pPr>
          </w:p>
          <w:p w14:paraId="775792F0" w14:textId="77777777" w:rsidR="008715BE" w:rsidRPr="00EC75B7" w:rsidRDefault="008715BE">
            <w:pPr>
              <w:pStyle w:val="TableParagraph"/>
              <w:rPr>
                <w:rFonts w:ascii="Verdana" w:hAnsi="Verdana"/>
                <w:b/>
                <w:sz w:val="18"/>
                <w:szCs w:val="18"/>
              </w:rPr>
            </w:pPr>
          </w:p>
          <w:p w14:paraId="75AD0AC1" w14:textId="77777777" w:rsidR="008715BE" w:rsidRPr="00EC75B7" w:rsidRDefault="008715BE">
            <w:pPr>
              <w:pStyle w:val="TableParagraph"/>
              <w:rPr>
                <w:rFonts w:ascii="Verdana" w:hAnsi="Verdana"/>
                <w:b/>
                <w:sz w:val="18"/>
                <w:szCs w:val="18"/>
              </w:rPr>
            </w:pPr>
          </w:p>
          <w:p w14:paraId="0A827AD6" w14:textId="77777777" w:rsidR="008715BE" w:rsidRPr="00EC75B7" w:rsidRDefault="008715BE">
            <w:pPr>
              <w:pStyle w:val="TableParagraph"/>
              <w:spacing w:before="4"/>
              <w:rPr>
                <w:rFonts w:ascii="Verdana" w:hAnsi="Verdana"/>
                <w:b/>
                <w:sz w:val="18"/>
                <w:szCs w:val="18"/>
              </w:rPr>
            </w:pPr>
          </w:p>
          <w:p w14:paraId="4AAF2CCC"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3D566BC5" w14:textId="77777777" w:rsidR="008715BE" w:rsidRPr="00EC75B7" w:rsidRDefault="008715BE">
            <w:pPr>
              <w:pStyle w:val="TableParagraph"/>
              <w:rPr>
                <w:rFonts w:ascii="Verdana" w:hAnsi="Verdana"/>
                <w:b/>
                <w:sz w:val="18"/>
                <w:szCs w:val="18"/>
              </w:rPr>
            </w:pPr>
          </w:p>
          <w:p w14:paraId="3771405B" w14:textId="77777777" w:rsidR="008715BE" w:rsidRPr="00EC75B7" w:rsidRDefault="008715BE">
            <w:pPr>
              <w:pStyle w:val="TableParagraph"/>
              <w:rPr>
                <w:rFonts w:ascii="Verdana" w:hAnsi="Verdana"/>
                <w:b/>
                <w:sz w:val="18"/>
                <w:szCs w:val="18"/>
              </w:rPr>
            </w:pPr>
          </w:p>
          <w:p w14:paraId="0EBEAA18" w14:textId="77777777" w:rsidR="008715BE" w:rsidRPr="00EC75B7" w:rsidRDefault="008715BE">
            <w:pPr>
              <w:pStyle w:val="TableParagraph"/>
              <w:rPr>
                <w:rFonts w:ascii="Verdana" w:hAnsi="Verdana"/>
                <w:b/>
                <w:sz w:val="18"/>
                <w:szCs w:val="18"/>
              </w:rPr>
            </w:pPr>
          </w:p>
          <w:p w14:paraId="439015B0" w14:textId="77777777" w:rsidR="008715BE" w:rsidRPr="00EC75B7" w:rsidRDefault="008715BE">
            <w:pPr>
              <w:pStyle w:val="TableParagraph"/>
              <w:rPr>
                <w:rFonts w:ascii="Verdana" w:hAnsi="Verdana"/>
                <w:b/>
                <w:sz w:val="18"/>
                <w:szCs w:val="18"/>
              </w:rPr>
            </w:pPr>
          </w:p>
          <w:p w14:paraId="099CD8E8" w14:textId="77777777" w:rsidR="008715BE" w:rsidRPr="00EC75B7" w:rsidRDefault="008715BE">
            <w:pPr>
              <w:pStyle w:val="TableParagraph"/>
              <w:spacing w:before="4"/>
              <w:rPr>
                <w:rFonts w:ascii="Verdana" w:hAnsi="Verdana"/>
                <w:b/>
                <w:sz w:val="18"/>
                <w:szCs w:val="18"/>
              </w:rPr>
            </w:pPr>
          </w:p>
          <w:p w14:paraId="6139F932"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0819E6DB" w14:textId="77777777" w:rsidR="008715BE" w:rsidRPr="00EC75B7" w:rsidRDefault="008715BE">
            <w:pPr>
              <w:pStyle w:val="TableParagraph"/>
              <w:rPr>
                <w:rFonts w:ascii="Verdana" w:hAnsi="Verdana"/>
                <w:b/>
                <w:sz w:val="18"/>
                <w:szCs w:val="18"/>
              </w:rPr>
            </w:pPr>
          </w:p>
          <w:p w14:paraId="64BA246A" w14:textId="77777777" w:rsidR="008715BE" w:rsidRPr="00EC75B7" w:rsidRDefault="008715BE">
            <w:pPr>
              <w:pStyle w:val="TableParagraph"/>
              <w:rPr>
                <w:rFonts w:ascii="Verdana" w:hAnsi="Verdana"/>
                <w:b/>
                <w:sz w:val="18"/>
                <w:szCs w:val="18"/>
              </w:rPr>
            </w:pPr>
          </w:p>
          <w:p w14:paraId="5413F3F0" w14:textId="77777777" w:rsidR="008715BE" w:rsidRPr="00EC75B7" w:rsidRDefault="008715BE">
            <w:pPr>
              <w:pStyle w:val="TableParagraph"/>
              <w:rPr>
                <w:rFonts w:ascii="Verdana" w:hAnsi="Verdana"/>
                <w:b/>
                <w:sz w:val="18"/>
                <w:szCs w:val="18"/>
              </w:rPr>
            </w:pPr>
          </w:p>
          <w:p w14:paraId="1C821A94" w14:textId="77777777" w:rsidR="008715BE" w:rsidRPr="00EC75B7" w:rsidRDefault="008715BE">
            <w:pPr>
              <w:pStyle w:val="TableParagraph"/>
              <w:rPr>
                <w:rFonts w:ascii="Verdana" w:hAnsi="Verdana"/>
                <w:b/>
                <w:sz w:val="18"/>
                <w:szCs w:val="18"/>
              </w:rPr>
            </w:pPr>
          </w:p>
          <w:p w14:paraId="464251D1" w14:textId="77777777" w:rsidR="008715BE" w:rsidRPr="00EC75B7" w:rsidRDefault="008715BE">
            <w:pPr>
              <w:pStyle w:val="TableParagraph"/>
              <w:spacing w:before="4"/>
              <w:rPr>
                <w:rFonts w:ascii="Verdana" w:hAnsi="Verdana"/>
                <w:b/>
                <w:sz w:val="18"/>
                <w:szCs w:val="18"/>
              </w:rPr>
            </w:pPr>
          </w:p>
          <w:p w14:paraId="7949A5A6"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1964D2A2" w14:textId="77777777" w:rsidR="008715BE" w:rsidRPr="00EC75B7" w:rsidRDefault="008715BE">
            <w:pPr>
              <w:pStyle w:val="TableParagraph"/>
              <w:rPr>
                <w:rFonts w:ascii="Verdana" w:hAnsi="Verdana"/>
                <w:b/>
                <w:sz w:val="18"/>
                <w:szCs w:val="18"/>
              </w:rPr>
            </w:pPr>
          </w:p>
          <w:p w14:paraId="4BF1581C" w14:textId="77777777" w:rsidR="008715BE" w:rsidRPr="00EC75B7" w:rsidRDefault="008715BE">
            <w:pPr>
              <w:pStyle w:val="TableParagraph"/>
              <w:rPr>
                <w:rFonts w:ascii="Verdana" w:hAnsi="Verdana"/>
                <w:b/>
                <w:sz w:val="18"/>
                <w:szCs w:val="18"/>
              </w:rPr>
            </w:pPr>
          </w:p>
          <w:p w14:paraId="04CDFA0D" w14:textId="77777777" w:rsidR="008715BE" w:rsidRPr="00EC75B7" w:rsidRDefault="008715BE">
            <w:pPr>
              <w:pStyle w:val="TableParagraph"/>
              <w:rPr>
                <w:rFonts w:ascii="Verdana" w:hAnsi="Verdana"/>
                <w:b/>
                <w:sz w:val="18"/>
                <w:szCs w:val="18"/>
              </w:rPr>
            </w:pPr>
          </w:p>
          <w:p w14:paraId="6CFE69F6" w14:textId="77777777" w:rsidR="008715BE" w:rsidRPr="00EC75B7" w:rsidRDefault="008715BE">
            <w:pPr>
              <w:pStyle w:val="TableParagraph"/>
              <w:rPr>
                <w:rFonts w:ascii="Verdana" w:hAnsi="Verdana"/>
                <w:b/>
                <w:sz w:val="18"/>
                <w:szCs w:val="18"/>
              </w:rPr>
            </w:pPr>
          </w:p>
          <w:p w14:paraId="7733E6C5" w14:textId="77777777" w:rsidR="008715BE" w:rsidRPr="00EC75B7" w:rsidRDefault="008715BE">
            <w:pPr>
              <w:pStyle w:val="TableParagraph"/>
              <w:spacing w:before="4"/>
              <w:rPr>
                <w:rFonts w:ascii="Verdana" w:hAnsi="Verdana"/>
                <w:b/>
                <w:sz w:val="18"/>
                <w:szCs w:val="18"/>
              </w:rPr>
            </w:pPr>
          </w:p>
          <w:p w14:paraId="1D28FCB1"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4872E625" w14:textId="77777777" w:rsidR="008715BE" w:rsidRPr="00EC75B7" w:rsidRDefault="008715BE">
            <w:pPr>
              <w:pStyle w:val="TableParagraph"/>
              <w:rPr>
                <w:rFonts w:ascii="Verdana" w:hAnsi="Verdana"/>
                <w:b/>
                <w:sz w:val="18"/>
                <w:szCs w:val="18"/>
              </w:rPr>
            </w:pPr>
          </w:p>
          <w:p w14:paraId="7AF3FD18" w14:textId="77777777" w:rsidR="008715BE" w:rsidRPr="00EC75B7" w:rsidRDefault="008715BE">
            <w:pPr>
              <w:pStyle w:val="TableParagraph"/>
              <w:rPr>
                <w:rFonts w:ascii="Verdana" w:hAnsi="Verdana"/>
                <w:b/>
                <w:sz w:val="18"/>
                <w:szCs w:val="18"/>
              </w:rPr>
            </w:pPr>
          </w:p>
          <w:p w14:paraId="7D4171E2" w14:textId="77777777" w:rsidR="008715BE" w:rsidRPr="00EC75B7" w:rsidRDefault="008715BE">
            <w:pPr>
              <w:pStyle w:val="TableParagraph"/>
              <w:rPr>
                <w:rFonts w:ascii="Verdana" w:hAnsi="Verdana"/>
                <w:b/>
                <w:sz w:val="18"/>
                <w:szCs w:val="18"/>
              </w:rPr>
            </w:pPr>
          </w:p>
          <w:p w14:paraId="52BAE828" w14:textId="77777777" w:rsidR="008715BE" w:rsidRPr="00EC75B7" w:rsidRDefault="008715BE">
            <w:pPr>
              <w:pStyle w:val="TableParagraph"/>
              <w:spacing w:before="103"/>
              <w:rPr>
                <w:rFonts w:ascii="Verdana" w:hAnsi="Verdana"/>
                <w:b/>
                <w:sz w:val="18"/>
                <w:szCs w:val="18"/>
              </w:rPr>
            </w:pPr>
          </w:p>
          <w:p w14:paraId="67692683" w14:textId="77777777" w:rsidR="008715BE" w:rsidRPr="00EC75B7" w:rsidRDefault="00000000">
            <w:pPr>
              <w:pStyle w:val="TableParagraph"/>
              <w:ind w:left="107" w:right="152"/>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21CE7A93" w14:textId="77777777">
        <w:trPr>
          <w:trHeight w:val="2140"/>
        </w:trPr>
        <w:tc>
          <w:tcPr>
            <w:tcW w:w="554" w:type="dxa"/>
          </w:tcPr>
          <w:p w14:paraId="78B4057F" w14:textId="77777777" w:rsidR="008715BE" w:rsidRPr="00EC75B7" w:rsidRDefault="008715BE">
            <w:pPr>
              <w:pStyle w:val="TableParagraph"/>
              <w:rPr>
                <w:rFonts w:ascii="Verdana" w:hAnsi="Verdana"/>
                <w:b/>
                <w:sz w:val="18"/>
                <w:szCs w:val="18"/>
              </w:rPr>
            </w:pPr>
          </w:p>
          <w:p w14:paraId="2D43C615" w14:textId="77777777" w:rsidR="008715BE" w:rsidRPr="00EC75B7" w:rsidRDefault="008715BE">
            <w:pPr>
              <w:pStyle w:val="TableParagraph"/>
              <w:rPr>
                <w:rFonts w:ascii="Verdana" w:hAnsi="Verdana"/>
                <w:b/>
                <w:sz w:val="18"/>
                <w:szCs w:val="18"/>
              </w:rPr>
            </w:pPr>
          </w:p>
          <w:p w14:paraId="1C12F1AB" w14:textId="77777777" w:rsidR="008715BE" w:rsidRPr="00EC75B7" w:rsidRDefault="008715BE">
            <w:pPr>
              <w:pStyle w:val="TableParagraph"/>
              <w:rPr>
                <w:rFonts w:ascii="Verdana" w:hAnsi="Verdana"/>
                <w:b/>
                <w:sz w:val="18"/>
                <w:szCs w:val="18"/>
              </w:rPr>
            </w:pPr>
          </w:p>
          <w:p w14:paraId="1DCDDF07" w14:textId="77777777" w:rsidR="008715BE" w:rsidRPr="00EC75B7" w:rsidRDefault="008715BE">
            <w:pPr>
              <w:pStyle w:val="TableParagraph"/>
              <w:rPr>
                <w:rFonts w:ascii="Verdana" w:hAnsi="Verdana"/>
                <w:b/>
                <w:sz w:val="18"/>
                <w:szCs w:val="18"/>
              </w:rPr>
            </w:pPr>
          </w:p>
          <w:p w14:paraId="7DF1C1F7" w14:textId="77777777" w:rsidR="008715BE" w:rsidRPr="00EC75B7" w:rsidRDefault="008715BE">
            <w:pPr>
              <w:pStyle w:val="TableParagraph"/>
              <w:spacing w:before="6"/>
              <w:rPr>
                <w:rFonts w:ascii="Verdana" w:hAnsi="Verdana"/>
                <w:b/>
                <w:sz w:val="18"/>
                <w:szCs w:val="18"/>
              </w:rPr>
            </w:pPr>
          </w:p>
          <w:p w14:paraId="3EAB2A4D"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M14</w:t>
            </w:r>
          </w:p>
        </w:tc>
        <w:tc>
          <w:tcPr>
            <w:tcW w:w="6091" w:type="dxa"/>
          </w:tcPr>
          <w:p w14:paraId="47829255" w14:textId="77777777" w:rsidR="008715BE" w:rsidRPr="00EC75B7" w:rsidRDefault="008715BE">
            <w:pPr>
              <w:pStyle w:val="TableParagraph"/>
              <w:rPr>
                <w:rFonts w:ascii="Verdana" w:hAnsi="Verdana"/>
                <w:b/>
                <w:sz w:val="18"/>
                <w:szCs w:val="18"/>
              </w:rPr>
            </w:pPr>
          </w:p>
          <w:p w14:paraId="77348FDB" w14:textId="77777777" w:rsidR="008715BE" w:rsidRPr="00EC75B7" w:rsidRDefault="008715BE">
            <w:pPr>
              <w:pStyle w:val="TableParagraph"/>
              <w:rPr>
                <w:rFonts w:ascii="Verdana" w:hAnsi="Verdana"/>
                <w:b/>
                <w:sz w:val="18"/>
                <w:szCs w:val="18"/>
              </w:rPr>
            </w:pPr>
          </w:p>
          <w:p w14:paraId="367FC19D" w14:textId="77777777" w:rsidR="008715BE" w:rsidRPr="00EC75B7" w:rsidRDefault="008715BE">
            <w:pPr>
              <w:pStyle w:val="TableParagraph"/>
              <w:spacing w:before="103"/>
              <w:rPr>
                <w:rFonts w:ascii="Verdana" w:hAnsi="Verdana"/>
                <w:b/>
                <w:sz w:val="18"/>
                <w:szCs w:val="18"/>
              </w:rPr>
            </w:pPr>
          </w:p>
          <w:p w14:paraId="5E338404" w14:textId="77777777" w:rsidR="008715BE" w:rsidRPr="00EC75B7" w:rsidRDefault="00000000">
            <w:pPr>
              <w:pStyle w:val="TableParagraph"/>
              <w:spacing w:before="1"/>
              <w:ind w:left="108" w:right="162"/>
              <w:jc w:val="both"/>
              <w:rPr>
                <w:rFonts w:ascii="Verdana" w:hAnsi="Verdana"/>
                <w:sz w:val="18"/>
                <w:szCs w:val="18"/>
              </w:rPr>
            </w:pPr>
            <w:r w:rsidRPr="00EC75B7">
              <w:rPr>
                <w:rFonts w:ascii="Verdana" w:hAnsi="Verdana"/>
                <w:sz w:val="18"/>
                <w:szCs w:val="18"/>
              </w:rPr>
              <w:t>Regular mowing of vegetation around turbines in order to maintain a low abundance of insect species that are a food source for both bat species</w:t>
            </w:r>
          </w:p>
          <w:p w14:paraId="795C8170" w14:textId="77777777" w:rsidR="008715BE" w:rsidRPr="00EC75B7" w:rsidRDefault="00000000">
            <w:pPr>
              <w:pStyle w:val="TableParagraph"/>
              <w:spacing w:line="193" w:lineRule="exact"/>
              <w:ind w:left="108"/>
              <w:jc w:val="both"/>
              <w:rPr>
                <w:rFonts w:ascii="Verdana" w:hAnsi="Verdana"/>
                <w:sz w:val="18"/>
                <w:szCs w:val="18"/>
              </w:rPr>
            </w:pPr>
            <w:r w:rsidRPr="00EC75B7">
              <w:rPr>
                <w:rFonts w:ascii="Verdana" w:hAnsi="Verdana"/>
                <w:sz w:val="18"/>
                <w:szCs w:val="18"/>
              </w:rPr>
              <w:t xml:space="preserve">and </w:t>
            </w:r>
            <w:r w:rsidRPr="00EC75B7">
              <w:rPr>
                <w:rFonts w:ascii="Verdana" w:hAnsi="Verdana"/>
                <w:spacing w:val="-2"/>
                <w:sz w:val="18"/>
                <w:szCs w:val="18"/>
              </w:rPr>
              <w:t>birds.</w:t>
            </w:r>
          </w:p>
        </w:tc>
        <w:tc>
          <w:tcPr>
            <w:tcW w:w="1809" w:type="dxa"/>
          </w:tcPr>
          <w:p w14:paraId="6CDEACC8" w14:textId="77777777" w:rsidR="008715BE" w:rsidRPr="00EC75B7" w:rsidRDefault="00000000" w:rsidP="00C96230">
            <w:pPr>
              <w:pStyle w:val="TableParagraph"/>
              <w:spacing w:before="10"/>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359761AE"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bats** in </w:t>
            </w:r>
            <w:r w:rsidRPr="00EC75B7">
              <w:rPr>
                <w:rFonts w:ascii="Verdana" w:hAnsi="Verdana"/>
                <w:spacing w:val="-2"/>
                <w:sz w:val="18"/>
                <w:szCs w:val="18"/>
              </w:rPr>
              <w:t>ROSCI0071, ROSCI0157, ROSPA0166, ROSPA0036, ROSPA0094, BG0000569,</w:t>
            </w:r>
          </w:p>
          <w:p w14:paraId="0B8B0EC8" w14:textId="77777777" w:rsidR="008715BE" w:rsidRPr="00EC75B7" w:rsidRDefault="00000000" w:rsidP="00C96230">
            <w:pPr>
              <w:pStyle w:val="TableParagraph"/>
              <w:spacing w:line="159"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70C2B577" w14:textId="77777777" w:rsidR="008715BE" w:rsidRPr="00EC75B7" w:rsidRDefault="008715BE">
            <w:pPr>
              <w:pStyle w:val="TableParagraph"/>
              <w:rPr>
                <w:rFonts w:ascii="Verdana" w:hAnsi="Verdana"/>
                <w:b/>
                <w:sz w:val="18"/>
                <w:szCs w:val="18"/>
              </w:rPr>
            </w:pPr>
          </w:p>
          <w:p w14:paraId="78B899E0" w14:textId="77777777" w:rsidR="008715BE" w:rsidRPr="00EC75B7" w:rsidRDefault="008715BE">
            <w:pPr>
              <w:pStyle w:val="TableParagraph"/>
              <w:rPr>
                <w:rFonts w:ascii="Verdana" w:hAnsi="Verdana"/>
                <w:b/>
                <w:sz w:val="18"/>
                <w:szCs w:val="18"/>
              </w:rPr>
            </w:pPr>
          </w:p>
          <w:p w14:paraId="5CF42C1F" w14:textId="77777777" w:rsidR="008715BE" w:rsidRPr="00EC75B7" w:rsidRDefault="008715BE">
            <w:pPr>
              <w:pStyle w:val="TableParagraph"/>
              <w:spacing w:before="7"/>
              <w:rPr>
                <w:rFonts w:ascii="Verdana" w:hAnsi="Verdana"/>
                <w:b/>
                <w:sz w:val="18"/>
                <w:szCs w:val="18"/>
              </w:rPr>
            </w:pPr>
          </w:p>
          <w:p w14:paraId="1E4D83F2" w14:textId="77777777" w:rsidR="008715BE" w:rsidRPr="00EC75B7" w:rsidRDefault="00000000">
            <w:pPr>
              <w:pStyle w:val="TableParagraph"/>
              <w:spacing w:before="1"/>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1ECB96DC" w14:textId="77777777" w:rsidR="008715BE" w:rsidRPr="00EC75B7" w:rsidRDefault="008715BE">
            <w:pPr>
              <w:pStyle w:val="TableParagraph"/>
              <w:rPr>
                <w:rFonts w:ascii="Verdana" w:hAnsi="Verdana"/>
                <w:b/>
                <w:sz w:val="18"/>
                <w:szCs w:val="18"/>
              </w:rPr>
            </w:pPr>
          </w:p>
          <w:p w14:paraId="03673564" w14:textId="77777777" w:rsidR="008715BE" w:rsidRPr="00EC75B7" w:rsidRDefault="008715BE">
            <w:pPr>
              <w:pStyle w:val="TableParagraph"/>
              <w:rPr>
                <w:rFonts w:ascii="Verdana" w:hAnsi="Verdana"/>
                <w:b/>
                <w:sz w:val="18"/>
                <w:szCs w:val="18"/>
              </w:rPr>
            </w:pPr>
          </w:p>
          <w:p w14:paraId="2977EB09" w14:textId="77777777" w:rsidR="008715BE" w:rsidRPr="00EC75B7" w:rsidRDefault="008715BE">
            <w:pPr>
              <w:pStyle w:val="TableParagraph"/>
              <w:rPr>
                <w:rFonts w:ascii="Verdana" w:hAnsi="Verdana"/>
                <w:b/>
                <w:sz w:val="18"/>
                <w:szCs w:val="18"/>
              </w:rPr>
            </w:pPr>
          </w:p>
          <w:p w14:paraId="78808A76" w14:textId="77777777" w:rsidR="008715BE" w:rsidRPr="00EC75B7" w:rsidRDefault="008715BE">
            <w:pPr>
              <w:pStyle w:val="TableParagraph"/>
              <w:rPr>
                <w:rFonts w:ascii="Verdana" w:hAnsi="Verdana"/>
                <w:b/>
                <w:sz w:val="18"/>
                <w:szCs w:val="18"/>
              </w:rPr>
            </w:pPr>
          </w:p>
          <w:p w14:paraId="764CDB08" w14:textId="77777777" w:rsidR="008715BE" w:rsidRPr="00EC75B7" w:rsidRDefault="008715BE">
            <w:pPr>
              <w:pStyle w:val="TableParagraph"/>
              <w:spacing w:before="6"/>
              <w:rPr>
                <w:rFonts w:ascii="Verdana" w:hAnsi="Verdana"/>
                <w:b/>
                <w:sz w:val="18"/>
                <w:szCs w:val="18"/>
              </w:rPr>
            </w:pPr>
          </w:p>
          <w:p w14:paraId="7D7BC002"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0F82018B" w14:textId="77777777" w:rsidR="008715BE" w:rsidRPr="00EC75B7" w:rsidRDefault="008715BE">
            <w:pPr>
              <w:pStyle w:val="TableParagraph"/>
              <w:rPr>
                <w:rFonts w:ascii="Verdana" w:hAnsi="Verdana"/>
                <w:sz w:val="18"/>
                <w:szCs w:val="18"/>
              </w:rPr>
            </w:pPr>
          </w:p>
        </w:tc>
        <w:tc>
          <w:tcPr>
            <w:tcW w:w="295" w:type="dxa"/>
          </w:tcPr>
          <w:p w14:paraId="0981EBDE" w14:textId="77777777" w:rsidR="008715BE" w:rsidRPr="00EC75B7" w:rsidRDefault="008715BE">
            <w:pPr>
              <w:pStyle w:val="TableParagraph"/>
              <w:rPr>
                <w:rFonts w:ascii="Verdana" w:hAnsi="Verdana"/>
                <w:sz w:val="18"/>
                <w:szCs w:val="18"/>
              </w:rPr>
            </w:pPr>
          </w:p>
        </w:tc>
        <w:tc>
          <w:tcPr>
            <w:tcW w:w="331" w:type="dxa"/>
          </w:tcPr>
          <w:p w14:paraId="58426A3B" w14:textId="77777777" w:rsidR="008715BE" w:rsidRPr="00EC75B7" w:rsidRDefault="008715BE">
            <w:pPr>
              <w:pStyle w:val="TableParagraph"/>
              <w:rPr>
                <w:rFonts w:ascii="Verdana" w:hAnsi="Verdana"/>
                <w:sz w:val="18"/>
                <w:szCs w:val="18"/>
              </w:rPr>
            </w:pPr>
          </w:p>
        </w:tc>
        <w:tc>
          <w:tcPr>
            <w:tcW w:w="329" w:type="dxa"/>
          </w:tcPr>
          <w:p w14:paraId="06F23753" w14:textId="77777777" w:rsidR="008715BE" w:rsidRPr="00EC75B7" w:rsidRDefault="008715BE">
            <w:pPr>
              <w:pStyle w:val="TableParagraph"/>
              <w:rPr>
                <w:rFonts w:ascii="Verdana" w:hAnsi="Verdana"/>
                <w:b/>
                <w:sz w:val="18"/>
                <w:szCs w:val="18"/>
              </w:rPr>
            </w:pPr>
          </w:p>
          <w:p w14:paraId="15410F1F" w14:textId="77777777" w:rsidR="008715BE" w:rsidRPr="00EC75B7" w:rsidRDefault="008715BE">
            <w:pPr>
              <w:pStyle w:val="TableParagraph"/>
              <w:rPr>
                <w:rFonts w:ascii="Verdana" w:hAnsi="Verdana"/>
                <w:b/>
                <w:sz w:val="18"/>
                <w:szCs w:val="18"/>
              </w:rPr>
            </w:pPr>
          </w:p>
          <w:p w14:paraId="7BEDD2ED" w14:textId="77777777" w:rsidR="008715BE" w:rsidRPr="00EC75B7" w:rsidRDefault="008715BE">
            <w:pPr>
              <w:pStyle w:val="TableParagraph"/>
              <w:rPr>
                <w:rFonts w:ascii="Verdana" w:hAnsi="Verdana"/>
                <w:b/>
                <w:sz w:val="18"/>
                <w:szCs w:val="18"/>
              </w:rPr>
            </w:pPr>
          </w:p>
          <w:p w14:paraId="6DC1D6EA" w14:textId="77777777" w:rsidR="008715BE" w:rsidRPr="00EC75B7" w:rsidRDefault="008715BE">
            <w:pPr>
              <w:pStyle w:val="TableParagraph"/>
              <w:rPr>
                <w:rFonts w:ascii="Verdana" w:hAnsi="Verdana"/>
                <w:b/>
                <w:sz w:val="18"/>
                <w:szCs w:val="18"/>
              </w:rPr>
            </w:pPr>
          </w:p>
          <w:p w14:paraId="405EC2EC" w14:textId="77777777" w:rsidR="008715BE" w:rsidRPr="00EC75B7" w:rsidRDefault="008715BE">
            <w:pPr>
              <w:pStyle w:val="TableParagraph"/>
              <w:spacing w:before="6"/>
              <w:rPr>
                <w:rFonts w:ascii="Verdana" w:hAnsi="Verdana"/>
                <w:b/>
                <w:sz w:val="18"/>
                <w:szCs w:val="18"/>
              </w:rPr>
            </w:pPr>
          </w:p>
          <w:p w14:paraId="0E68B19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61712613" w14:textId="77777777" w:rsidR="008715BE" w:rsidRPr="00EC75B7" w:rsidRDefault="008715BE">
            <w:pPr>
              <w:pStyle w:val="TableParagraph"/>
              <w:rPr>
                <w:rFonts w:ascii="Verdana" w:hAnsi="Verdana"/>
                <w:b/>
                <w:sz w:val="18"/>
                <w:szCs w:val="18"/>
              </w:rPr>
            </w:pPr>
          </w:p>
          <w:p w14:paraId="4CCE804B" w14:textId="77777777" w:rsidR="008715BE" w:rsidRPr="00EC75B7" w:rsidRDefault="008715BE">
            <w:pPr>
              <w:pStyle w:val="TableParagraph"/>
              <w:rPr>
                <w:rFonts w:ascii="Verdana" w:hAnsi="Verdana"/>
                <w:b/>
                <w:sz w:val="18"/>
                <w:szCs w:val="18"/>
              </w:rPr>
            </w:pPr>
          </w:p>
          <w:p w14:paraId="291C8B79" w14:textId="77777777" w:rsidR="008715BE" w:rsidRPr="00EC75B7" w:rsidRDefault="008715BE">
            <w:pPr>
              <w:pStyle w:val="TableParagraph"/>
              <w:rPr>
                <w:rFonts w:ascii="Verdana" w:hAnsi="Verdana"/>
                <w:b/>
                <w:sz w:val="18"/>
                <w:szCs w:val="18"/>
              </w:rPr>
            </w:pPr>
          </w:p>
          <w:p w14:paraId="471F6CB6" w14:textId="77777777" w:rsidR="008715BE" w:rsidRPr="00EC75B7" w:rsidRDefault="008715BE">
            <w:pPr>
              <w:pStyle w:val="TableParagraph"/>
              <w:rPr>
                <w:rFonts w:ascii="Verdana" w:hAnsi="Verdana"/>
                <w:b/>
                <w:sz w:val="18"/>
                <w:szCs w:val="18"/>
              </w:rPr>
            </w:pPr>
          </w:p>
          <w:p w14:paraId="1B9A4E19" w14:textId="77777777" w:rsidR="008715BE" w:rsidRPr="00EC75B7" w:rsidRDefault="008715BE">
            <w:pPr>
              <w:pStyle w:val="TableParagraph"/>
              <w:spacing w:before="6"/>
              <w:rPr>
                <w:rFonts w:ascii="Verdana" w:hAnsi="Verdana"/>
                <w:b/>
                <w:sz w:val="18"/>
                <w:szCs w:val="18"/>
              </w:rPr>
            </w:pPr>
          </w:p>
          <w:p w14:paraId="09B2CF9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BD31B77" w14:textId="77777777" w:rsidR="008715BE" w:rsidRPr="00EC75B7" w:rsidRDefault="008715BE">
            <w:pPr>
              <w:pStyle w:val="TableParagraph"/>
              <w:rPr>
                <w:rFonts w:ascii="Verdana" w:hAnsi="Verdana"/>
                <w:b/>
                <w:sz w:val="18"/>
                <w:szCs w:val="18"/>
              </w:rPr>
            </w:pPr>
          </w:p>
          <w:p w14:paraId="5CD179DF" w14:textId="77777777" w:rsidR="008715BE" w:rsidRPr="00EC75B7" w:rsidRDefault="008715BE">
            <w:pPr>
              <w:pStyle w:val="TableParagraph"/>
              <w:rPr>
                <w:rFonts w:ascii="Verdana" w:hAnsi="Verdana"/>
                <w:b/>
                <w:sz w:val="18"/>
                <w:szCs w:val="18"/>
              </w:rPr>
            </w:pPr>
          </w:p>
          <w:p w14:paraId="6B3D5173" w14:textId="77777777" w:rsidR="008715BE" w:rsidRPr="00EC75B7" w:rsidRDefault="008715BE">
            <w:pPr>
              <w:pStyle w:val="TableParagraph"/>
              <w:rPr>
                <w:rFonts w:ascii="Verdana" w:hAnsi="Verdana"/>
                <w:b/>
                <w:sz w:val="18"/>
                <w:szCs w:val="18"/>
              </w:rPr>
            </w:pPr>
          </w:p>
          <w:p w14:paraId="2A6AA922" w14:textId="77777777" w:rsidR="008715BE" w:rsidRPr="00EC75B7" w:rsidRDefault="008715BE">
            <w:pPr>
              <w:pStyle w:val="TableParagraph"/>
              <w:rPr>
                <w:rFonts w:ascii="Verdana" w:hAnsi="Verdana"/>
                <w:b/>
                <w:sz w:val="18"/>
                <w:szCs w:val="18"/>
              </w:rPr>
            </w:pPr>
          </w:p>
          <w:p w14:paraId="58E736AC" w14:textId="77777777" w:rsidR="008715BE" w:rsidRPr="00EC75B7" w:rsidRDefault="008715BE">
            <w:pPr>
              <w:pStyle w:val="TableParagraph"/>
              <w:spacing w:before="6"/>
              <w:rPr>
                <w:rFonts w:ascii="Verdana" w:hAnsi="Verdana"/>
                <w:b/>
                <w:sz w:val="18"/>
                <w:szCs w:val="18"/>
              </w:rPr>
            </w:pPr>
          </w:p>
          <w:p w14:paraId="39293C9A"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7E06AACC" w14:textId="77777777" w:rsidR="008715BE" w:rsidRPr="00EC75B7" w:rsidRDefault="008715BE">
            <w:pPr>
              <w:pStyle w:val="TableParagraph"/>
              <w:rPr>
                <w:rFonts w:ascii="Verdana" w:hAnsi="Verdana"/>
                <w:b/>
                <w:sz w:val="18"/>
                <w:szCs w:val="18"/>
              </w:rPr>
            </w:pPr>
          </w:p>
          <w:p w14:paraId="60D33F8E" w14:textId="77777777" w:rsidR="008715BE" w:rsidRPr="00EC75B7" w:rsidRDefault="008715BE">
            <w:pPr>
              <w:pStyle w:val="TableParagraph"/>
              <w:rPr>
                <w:rFonts w:ascii="Verdana" w:hAnsi="Verdana"/>
                <w:b/>
                <w:sz w:val="18"/>
                <w:szCs w:val="18"/>
              </w:rPr>
            </w:pPr>
          </w:p>
          <w:p w14:paraId="233A16B6" w14:textId="77777777" w:rsidR="008715BE" w:rsidRPr="00EC75B7" w:rsidRDefault="008715BE">
            <w:pPr>
              <w:pStyle w:val="TableParagraph"/>
              <w:rPr>
                <w:rFonts w:ascii="Verdana" w:hAnsi="Verdana"/>
                <w:b/>
                <w:sz w:val="18"/>
                <w:szCs w:val="18"/>
              </w:rPr>
            </w:pPr>
          </w:p>
          <w:p w14:paraId="0685FBB8" w14:textId="77777777" w:rsidR="008715BE" w:rsidRPr="00EC75B7" w:rsidRDefault="008715BE">
            <w:pPr>
              <w:pStyle w:val="TableParagraph"/>
              <w:rPr>
                <w:rFonts w:ascii="Verdana" w:hAnsi="Verdana"/>
                <w:b/>
                <w:sz w:val="18"/>
                <w:szCs w:val="18"/>
              </w:rPr>
            </w:pPr>
          </w:p>
          <w:p w14:paraId="5D166CC7" w14:textId="77777777" w:rsidR="008715BE" w:rsidRPr="00EC75B7" w:rsidRDefault="008715BE">
            <w:pPr>
              <w:pStyle w:val="TableParagraph"/>
              <w:spacing w:before="6"/>
              <w:rPr>
                <w:rFonts w:ascii="Verdana" w:hAnsi="Verdana"/>
                <w:b/>
                <w:sz w:val="18"/>
                <w:szCs w:val="18"/>
              </w:rPr>
            </w:pPr>
          </w:p>
          <w:p w14:paraId="4057EB34"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7E70CBA" w14:textId="77777777" w:rsidR="008715BE" w:rsidRPr="00EC75B7" w:rsidRDefault="008715BE">
            <w:pPr>
              <w:pStyle w:val="TableParagraph"/>
              <w:rPr>
                <w:rFonts w:ascii="Verdana" w:hAnsi="Verdana"/>
                <w:b/>
                <w:sz w:val="18"/>
                <w:szCs w:val="18"/>
              </w:rPr>
            </w:pPr>
          </w:p>
          <w:p w14:paraId="45DFDF16" w14:textId="77777777" w:rsidR="008715BE" w:rsidRPr="00EC75B7" w:rsidRDefault="008715BE">
            <w:pPr>
              <w:pStyle w:val="TableParagraph"/>
              <w:rPr>
                <w:rFonts w:ascii="Verdana" w:hAnsi="Verdana"/>
                <w:b/>
                <w:sz w:val="18"/>
                <w:szCs w:val="18"/>
              </w:rPr>
            </w:pPr>
          </w:p>
          <w:p w14:paraId="387E2C94" w14:textId="77777777" w:rsidR="008715BE" w:rsidRPr="00EC75B7" w:rsidRDefault="008715BE">
            <w:pPr>
              <w:pStyle w:val="TableParagraph"/>
              <w:rPr>
                <w:rFonts w:ascii="Verdana" w:hAnsi="Verdana"/>
                <w:b/>
                <w:sz w:val="18"/>
                <w:szCs w:val="18"/>
              </w:rPr>
            </w:pPr>
          </w:p>
          <w:p w14:paraId="5B80FE95" w14:textId="77777777" w:rsidR="008715BE" w:rsidRPr="00EC75B7" w:rsidRDefault="008715BE">
            <w:pPr>
              <w:pStyle w:val="TableParagraph"/>
              <w:rPr>
                <w:rFonts w:ascii="Verdana" w:hAnsi="Verdana"/>
                <w:b/>
                <w:sz w:val="18"/>
                <w:szCs w:val="18"/>
              </w:rPr>
            </w:pPr>
          </w:p>
          <w:p w14:paraId="7EB38BA4" w14:textId="77777777" w:rsidR="008715BE" w:rsidRPr="00EC75B7" w:rsidRDefault="008715BE">
            <w:pPr>
              <w:pStyle w:val="TableParagraph"/>
              <w:spacing w:before="6"/>
              <w:rPr>
                <w:rFonts w:ascii="Verdana" w:hAnsi="Verdana"/>
                <w:b/>
                <w:sz w:val="18"/>
                <w:szCs w:val="18"/>
              </w:rPr>
            </w:pPr>
          </w:p>
          <w:p w14:paraId="490119E6"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4A4B6831" w14:textId="77777777" w:rsidR="008715BE" w:rsidRPr="00EC75B7" w:rsidRDefault="008715BE">
            <w:pPr>
              <w:pStyle w:val="TableParagraph"/>
              <w:rPr>
                <w:rFonts w:ascii="Verdana" w:hAnsi="Verdana"/>
                <w:b/>
                <w:sz w:val="18"/>
                <w:szCs w:val="18"/>
              </w:rPr>
            </w:pPr>
          </w:p>
          <w:p w14:paraId="49E8FF42" w14:textId="77777777" w:rsidR="008715BE" w:rsidRPr="00EC75B7" w:rsidRDefault="008715BE">
            <w:pPr>
              <w:pStyle w:val="TableParagraph"/>
              <w:rPr>
                <w:rFonts w:ascii="Verdana" w:hAnsi="Verdana"/>
                <w:b/>
                <w:sz w:val="18"/>
                <w:szCs w:val="18"/>
              </w:rPr>
            </w:pPr>
          </w:p>
          <w:p w14:paraId="0A95708E" w14:textId="77777777" w:rsidR="008715BE" w:rsidRPr="00EC75B7" w:rsidRDefault="008715BE">
            <w:pPr>
              <w:pStyle w:val="TableParagraph"/>
              <w:rPr>
                <w:rFonts w:ascii="Verdana" w:hAnsi="Verdana"/>
                <w:b/>
                <w:sz w:val="18"/>
                <w:szCs w:val="18"/>
              </w:rPr>
            </w:pPr>
          </w:p>
          <w:p w14:paraId="220BA871" w14:textId="77777777" w:rsidR="008715BE" w:rsidRPr="00EC75B7" w:rsidRDefault="008715BE">
            <w:pPr>
              <w:pStyle w:val="TableParagraph"/>
              <w:rPr>
                <w:rFonts w:ascii="Verdana" w:hAnsi="Verdana"/>
                <w:b/>
                <w:sz w:val="18"/>
                <w:szCs w:val="18"/>
              </w:rPr>
            </w:pPr>
          </w:p>
          <w:p w14:paraId="3449BB03" w14:textId="77777777" w:rsidR="008715BE" w:rsidRPr="00EC75B7" w:rsidRDefault="008715BE">
            <w:pPr>
              <w:pStyle w:val="TableParagraph"/>
              <w:spacing w:before="6"/>
              <w:rPr>
                <w:rFonts w:ascii="Verdana" w:hAnsi="Verdana"/>
                <w:b/>
                <w:sz w:val="18"/>
                <w:szCs w:val="18"/>
              </w:rPr>
            </w:pPr>
          </w:p>
          <w:p w14:paraId="0B983244"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68CD1BD0" w14:textId="77777777" w:rsidR="008715BE" w:rsidRPr="00EC75B7" w:rsidRDefault="008715BE">
            <w:pPr>
              <w:pStyle w:val="TableParagraph"/>
              <w:rPr>
                <w:rFonts w:ascii="Verdana" w:hAnsi="Verdana"/>
                <w:b/>
                <w:sz w:val="18"/>
                <w:szCs w:val="18"/>
              </w:rPr>
            </w:pPr>
          </w:p>
          <w:p w14:paraId="1FB0F4D9" w14:textId="77777777" w:rsidR="008715BE" w:rsidRPr="00EC75B7" w:rsidRDefault="008715BE">
            <w:pPr>
              <w:pStyle w:val="TableParagraph"/>
              <w:rPr>
                <w:rFonts w:ascii="Verdana" w:hAnsi="Verdana"/>
                <w:b/>
                <w:sz w:val="18"/>
                <w:szCs w:val="18"/>
              </w:rPr>
            </w:pPr>
          </w:p>
          <w:p w14:paraId="62ADED17" w14:textId="77777777" w:rsidR="008715BE" w:rsidRPr="00EC75B7" w:rsidRDefault="008715BE">
            <w:pPr>
              <w:pStyle w:val="TableParagraph"/>
              <w:rPr>
                <w:rFonts w:ascii="Verdana" w:hAnsi="Verdana"/>
                <w:b/>
                <w:sz w:val="18"/>
                <w:szCs w:val="18"/>
              </w:rPr>
            </w:pPr>
          </w:p>
          <w:p w14:paraId="456D7767" w14:textId="77777777" w:rsidR="008715BE" w:rsidRPr="00EC75B7" w:rsidRDefault="008715BE">
            <w:pPr>
              <w:pStyle w:val="TableParagraph"/>
              <w:rPr>
                <w:rFonts w:ascii="Verdana" w:hAnsi="Verdana"/>
                <w:b/>
                <w:sz w:val="18"/>
                <w:szCs w:val="18"/>
              </w:rPr>
            </w:pPr>
          </w:p>
          <w:p w14:paraId="138A816A" w14:textId="77777777" w:rsidR="008715BE" w:rsidRPr="00EC75B7" w:rsidRDefault="008715BE">
            <w:pPr>
              <w:pStyle w:val="TableParagraph"/>
              <w:spacing w:before="6"/>
              <w:rPr>
                <w:rFonts w:ascii="Verdana" w:hAnsi="Verdana"/>
                <w:b/>
                <w:sz w:val="18"/>
                <w:szCs w:val="18"/>
              </w:rPr>
            </w:pPr>
          </w:p>
          <w:p w14:paraId="43936E90"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0A0566DA" w14:textId="77777777" w:rsidR="008715BE" w:rsidRPr="00EC75B7" w:rsidRDefault="008715BE">
            <w:pPr>
              <w:pStyle w:val="TableParagraph"/>
              <w:rPr>
                <w:rFonts w:ascii="Verdana" w:hAnsi="Verdana"/>
                <w:sz w:val="18"/>
                <w:szCs w:val="18"/>
              </w:rPr>
            </w:pPr>
          </w:p>
        </w:tc>
        <w:tc>
          <w:tcPr>
            <w:tcW w:w="449" w:type="dxa"/>
          </w:tcPr>
          <w:p w14:paraId="0C477930" w14:textId="77777777" w:rsidR="008715BE" w:rsidRPr="00EC75B7" w:rsidRDefault="008715BE">
            <w:pPr>
              <w:pStyle w:val="TableParagraph"/>
              <w:rPr>
                <w:rFonts w:ascii="Verdana" w:hAnsi="Verdana"/>
                <w:sz w:val="18"/>
                <w:szCs w:val="18"/>
              </w:rPr>
            </w:pPr>
          </w:p>
        </w:tc>
        <w:tc>
          <w:tcPr>
            <w:tcW w:w="1891" w:type="dxa"/>
          </w:tcPr>
          <w:p w14:paraId="2D00DE8F" w14:textId="77777777" w:rsidR="008715BE" w:rsidRPr="00EC75B7" w:rsidRDefault="008715BE">
            <w:pPr>
              <w:pStyle w:val="TableParagraph"/>
              <w:rPr>
                <w:rFonts w:ascii="Verdana" w:hAnsi="Verdana"/>
                <w:b/>
                <w:sz w:val="18"/>
                <w:szCs w:val="18"/>
              </w:rPr>
            </w:pPr>
          </w:p>
          <w:p w14:paraId="1566EFAA" w14:textId="77777777" w:rsidR="008715BE" w:rsidRPr="00EC75B7" w:rsidRDefault="008715BE">
            <w:pPr>
              <w:pStyle w:val="TableParagraph"/>
              <w:rPr>
                <w:rFonts w:ascii="Verdana" w:hAnsi="Verdana"/>
                <w:b/>
                <w:sz w:val="18"/>
                <w:szCs w:val="18"/>
              </w:rPr>
            </w:pPr>
          </w:p>
          <w:p w14:paraId="29050CD3" w14:textId="77777777" w:rsidR="008715BE" w:rsidRPr="00EC75B7" w:rsidRDefault="008715BE">
            <w:pPr>
              <w:pStyle w:val="TableParagraph"/>
              <w:rPr>
                <w:rFonts w:ascii="Verdana" w:hAnsi="Verdana"/>
                <w:b/>
                <w:sz w:val="18"/>
                <w:szCs w:val="18"/>
              </w:rPr>
            </w:pPr>
          </w:p>
          <w:p w14:paraId="41C9B9BE" w14:textId="77777777" w:rsidR="008715BE" w:rsidRPr="00EC75B7" w:rsidRDefault="008715BE">
            <w:pPr>
              <w:pStyle w:val="TableParagraph"/>
              <w:rPr>
                <w:rFonts w:ascii="Verdana" w:hAnsi="Verdana"/>
                <w:b/>
                <w:sz w:val="18"/>
                <w:szCs w:val="18"/>
              </w:rPr>
            </w:pPr>
          </w:p>
          <w:p w14:paraId="72E7859D" w14:textId="77777777" w:rsidR="008715BE" w:rsidRPr="00EC75B7" w:rsidRDefault="008715BE">
            <w:pPr>
              <w:pStyle w:val="TableParagraph"/>
              <w:spacing w:before="6"/>
              <w:rPr>
                <w:rFonts w:ascii="Verdana" w:hAnsi="Verdana"/>
                <w:b/>
                <w:sz w:val="18"/>
                <w:szCs w:val="18"/>
              </w:rPr>
            </w:pPr>
          </w:p>
          <w:p w14:paraId="36FDBED6" w14:textId="77777777" w:rsidR="008715BE" w:rsidRPr="00EC75B7" w:rsidRDefault="00000000">
            <w:pPr>
              <w:pStyle w:val="TableParagraph"/>
              <w:ind w:left="140" w:right="129"/>
              <w:jc w:val="center"/>
              <w:rPr>
                <w:rFonts w:ascii="Verdana" w:hAnsi="Verdana"/>
                <w:sz w:val="18"/>
                <w:szCs w:val="18"/>
              </w:rPr>
            </w:pPr>
            <w:r w:rsidRPr="00EC75B7">
              <w:rPr>
                <w:rFonts w:ascii="Verdana" w:hAnsi="Verdana"/>
                <w:spacing w:val="-2"/>
                <w:sz w:val="18"/>
                <w:szCs w:val="18"/>
              </w:rPr>
              <w:t>Builder</w:t>
            </w:r>
          </w:p>
        </w:tc>
        <w:tc>
          <w:tcPr>
            <w:tcW w:w="1440" w:type="dxa"/>
          </w:tcPr>
          <w:p w14:paraId="3F8EF9AC" w14:textId="77777777" w:rsidR="008715BE" w:rsidRPr="00EC75B7" w:rsidRDefault="008715BE">
            <w:pPr>
              <w:pStyle w:val="TableParagraph"/>
              <w:rPr>
                <w:rFonts w:ascii="Verdana" w:hAnsi="Verdana"/>
                <w:b/>
                <w:sz w:val="18"/>
                <w:szCs w:val="18"/>
              </w:rPr>
            </w:pPr>
          </w:p>
          <w:p w14:paraId="6B0D24D5" w14:textId="77777777" w:rsidR="008715BE" w:rsidRPr="00EC75B7" w:rsidRDefault="008715BE">
            <w:pPr>
              <w:pStyle w:val="TableParagraph"/>
              <w:rPr>
                <w:rFonts w:ascii="Verdana" w:hAnsi="Verdana"/>
                <w:b/>
                <w:sz w:val="18"/>
                <w:szCs w:val="18"/>
              </w:rPr>
            </w:pPr>
          </w:p>
          <w:p w14:paraId="724AE80D" w14:textId="77777777" w:rsidR="008715BE" w:rsidRPr="00EC75B7" w:rsidRDefault="008715BE">
            <w:pPr>
              <w:pStyle w:val="TableParagraph"/>
              <w:rPr>
                <w:rFonts w:ascii="Verdana" w:hAnsi="Verdana"/>
                <w:b/>
                <w:sz w:val="18"/>
                <w:szCs w:val="18"/>
              </w:rPr>
            </w:pPr>
          </w:p>
          <w:p w14:paraId="3EB5317C" w14:textId="77777777" w:rsidR="008715BE" w:rsidRPr="00EC75B7" w:rsidRDefault="008715BE">
            <w:pPr>
              <w:pStyle w:val="TableParagraph"/>
              <w:rPr>
                <w:rFonts w:ascii="Verdana" w:hAnsi="Verdana"/>
                <w:b/>
                <w:sz w:val="18"/>
                <w:szCs w:val="18"/>
              </w:rPr>
            </w:pPr>
          </w:p>
          <w:p w14:paraId="48383824" w14:textId="77777777" w:rsidR="008715BE" w:rsidRPr="00EC75B7" w:rsidRDefault="008715BE">
            <w:pPr>
              <w:pStyle w:val="TableParagraph"/>
              <w:spacing w:before="6"/>
              <w:rPr>
                <w:rFonts w:ascii="Verdana" w:hAnsi="Verdana"/>
                <w:b/>
                <w:sz w:val="18"/>
                <w:szCs w:val="18"/>
              </w:rPr>
            </w:pPr>
          </w:p>
          <w:p w14:paraId="2FCE8B9B" w14:textId="77777777" w:rsidR="008715BE" w:rsidRPr="00EC75B7" w:rsidRDefault="00000000">
            <w:pPr>
              <w:pStyle w:val="TableParagraph"/>
              <w:ind w:left="119"/>
              <w:rPr>
                <w:rFonts w:ascii="Verdana" w:hAnsi="Verdana"/>
                <w:sz w:val="18"/>
                <w:szCs w:val="18"/>
              </w:rPr>
            </w:pPr>
            <w:r w:rsidRPr="00EC75B7">
              <w:rPr>
                <w:rFonts w:ascii="Verdana" w:hAnsi="Verdana"/>
                <w:sz w:val="18"/>
                <w:szCs w:val="18"/>
              </w:rPr>
              <w:t xml:space="preserve">10,000 </w:t>
            </w:r>
            <w:r w:rsidRPr="00EC75B7">
              <w:rPr>
                <w:rFonts w:ascii="Verdana" w:hAnsi="Verdana"/>
                <w:spacing w:val="-2"/>
                <w:sz w:val="18"/>
                <w:szCs w:val="18"/>
              </w:rPr>
              <w:t>euros/year</w:t>
            </w:r>
          </w:p>
        </w:tc>
      </w:tr>
      <w:tr w:rsidR="008715BE" w:rsidRPr="00EC75B7" w14:paraId="78B536FF" w14:textId="77777777">
        <w:trPr>
          <w:trHeight w:val="2138"/>
        </w:trPr>
        <w:tc>
          <w:tcPr>
            <w:tcW w:w="554" w:type="dxa"/>
          </w:tcPr>
          <w:p w14:paraId="094114E6" w14:textId="77777777" w:rsidR="008715BE" w:rsidRPr="00EC75B7" w:rsidRDefault="008715BE">
            <w:pPr>
              <w:pStyle w:val="TableParagraph"/>
              <w:rPr>
                <w:rFonts w:ascii="Verdana" w:hAnsi="Verdana"/>
                <w:b/>
                <w:sz w:val="18"/>
                <w:szCs w:val="18"/>
              </w:rPr>
            </w:pPr>
          </w:p>
          <w:p w14:paraId="20CB7793" w14:textId="77777777" w:rsidR="008715BE" w:rsidRPr="00EC75B7" w:rsidRDefault="008715BE">
            <w:pPr>
              <w:pStyle w:val="TableParagraph"/>
              <w:rPr>
                <w:rFonts w:ascii="Verdana" w:hAnsi="Verdana"/>
                <w:b/>
                <w:sz w:val="18"/>
                <w:szCs w:val="18"/>
              </w:rPr>
            </w:pPr>
          </w:p>
          <w:p w14:paraId="38B708D6" w14:textId="77777777" w:rsidR="008715BE" w:rsidRPr="00EC75B7" w:rsidRDefault="008715BE">
            <w:pPr>
              <w:pStyle w:val="TableParagraph"/>
              <w:rPr>
                <w:rFonts w:ascii="Verdana" w:hAnsi="Verdana"/>
                <w:b/>
                <w:sz w:val="18"/>
                <w:szCs w:val="18"/>
              </w:rPr>
            </w:pPr>
          </w:p>
          <w:p w14:paraId="60DAC9B0" w14:textId="77777777" w:rsidR="008715BE" w:rsidRPr="00EC75B7" w:rsidRDefault="008715BE">
            <w:pPr>
              <w:pStyle w:val="TableParagraph"/>
              <w:rPr>
                <w:rFonts w:ascii="Verdana" w:hAnsi="Verdana"/>
                <w:b/>
                <w:sz w:val="18"/>
                <w:szCs w:val="18"/>
              </w:rPr>
            </w:pPr>
          </w:p>
          <w:p w14:paraId="44785DDF" w14:textId="77777777" w:rsidR="008715BE" w:rsidRPr="00EC75B7" w:rsidRDefault="008715BE">
            <w:pPr>
              <w:pStyle w:val="TableParagraph"/>
              <w:spacing w:before="3"/>
              <w:rPr>
                <w:rFonts w:ascii="Verdana" w:hAnsi="Verdana"/>
                <w:b/>
                <w:sz w:val="18"/>
                <w:szCs w:val="18"/>
              </w:rPr>
            </w:pPr>
          </w:p>
          <w:p w14:paraId="58B6144B"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M15</w:t>
            </w:r>
          </w:p>
        </w:tc>
        <w:tc>
          <w:tcPr>
            <w:tcW w:w="6091" w:type="dxa"/>
          </w:tcPr>
          <w:p w14:paraId="5C356ABE" w14:textId="77777777" w:rsidR="008715BE" w:rsidRPr="00EC75B7" w:rsidRDefault="008715BE">
            <w:pPr>
              <w:pStyle w:val="TableParagraph"/>
              <w:rPr>
                <w:rFonts w:ascii="Verdana" w:hAnsi="Verdana"/>
                <w:b/>
                <w:sz w:val="18"/>
                <w:szCs w:val="18"/>
              </w:rPr>
            </w:pPr>
          </w:p>
          <w:p w14:paraId="084CF1A3" w14:textId="77777777" w:rsidR="008715BE" w:rsidRPr="00EC75B7" w:rsidRDefault="008715BE">
            <w:pPr>
              <w:pStyle w:val="TableParagraph"/>
              <w:rPr>
                <w:rFonts w:ascii="Verdana" w:hAnsi="Verdana"/>
                <w:b/>
                <w:sz w:val="18"/>
                <w:szCs w:val="18"/>
              </w:rPr>
            </w:pPr>
          </w:p>
          <w:p w14:paraId="0ADEC24D" w14:textId="77777777" w:rsidR="008715BE" w:rsidRPr="00EC75B7" w:rsidRDefault="008715BE">
            <w:pPr>
              <w:pStyle w:val="TableParagraph"/>
              <w:spacing w:before="3"/>
              <w:rPr>
                <w:rFonts w:ascii="Verdana" w:hAnsi="Verdana"/>
                <w:b/>
                <w:sz w:val="18"/>
                <w:szCs w:val="18"/>
              </w:rPr>
            </w:pPr>
          </w:p>
          <w:p w14:paraId="1ED0AD69" w14:textId="77777777" w:rsidR="008715BE" w:rsidRPr="00EC75B7" w:rsidRDefault="00000000">
            <w:pPr>
              <w:pStyle w:val="TableParagraph"/>
              <w:spacing w:line="319" w:lineRule="auto"/>
              <w:ind w:left="108" w:right="168"/>
              <w:rPr>
                <w:rFonts w:ascii="Verdana" w:hAnsi="Verdana"/>
                <w:sz w:val="18"/>
                <w:szCs w:val="18"/>
              </w:rPr>
            </w:pPr>
            <w:r w:rsidRPr="00EC75B7">
              <w:rPr>
                <w:rFonts w:ascii="Verdana" w:hAnsi="Verdana"/>
                <w:sz w:val="18"/>
                <w:szCs w:val="18"/>
              </w:rPr>
              <w:t>Installation of a conditional activation lighting system (Aircraft Detection Lighting System – ADLS) for turbines T47, T46, T35, T36, T34 to reduce the risk of mortality of species sensitive to artificial light (birds and bats). The measure will be applied from the first year of project operation.</w:t>
            </w:r>
          </w:p>
        </w:tc>
        <w:tc>
          <w:tcPr>
            <w:tcW w:w="1809" w:type="dxa"/>
          </w:tcPr>
          <w:p w14:paraId="469959C7"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04160FD2"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in </w:t>
            </w:r>
            <w:r w:rsidRPr="00EC75B7">
              <w:rPr>
                <w:rFonts w:ascii="Verdana" w:hAnsi="Verdana"/>
                <w:spacing w:val="-2"/>
                <w:sz w:val="18"/>
                <w:szCs w:val="18"/>
              </w:rPr>
              <w:t>ROSCI0071, ROSCI0157, ROSPA0166, ROSPA0036, ROSPA0094, BG0000569,</w:t>
            </w:r>
          </w:p>
          <w:p w14:paraId="5D69ADAD" w14:textId="77777777" w:rsidR="008715BE" w:rsidRPr="00EC75B7" w:rsidRDefault="00000000" w:rsidP="00C96230">
            <w:pPr>
              <w:pStyle w:val="TableParagraph"/>
              <w:spacing w:line="158"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3A389D24" w14:textId="77777777" w:rsidR="008715BE" w:rsidRPr="00EC75B7" w:rsidRDefault="008715BE">
            <w:pPr>
              <w:pStyle w:val="TableParagraph"/>
              <w:rPr>
                <w:rFonts w:ascii="Verdana" w:hAnsi="Verdana"/>
                <w:b/>
                <w:sz w:val="18"/>
                <w:szCs w:val="18"/>
              </w:rPr>
            </w:pPr>
          </w:p>
          <w:p w14:paraId="28F13902" w14:textId="77777777" w:rsidR="008715BE" w:rsidRPr="00EC75B7" w:rsidRDefault="008715BE">
            <w:pPr>
              <w:pStyle w:val="TableParagraph"/>
              <w:rPr>
                <w:rFonts w:ascii="Verdana" w:hAnsi="Verdana"/>
                <w:b/>
                <w:sz w:val="18"/>
                <w:szCs w:val="18"/>
              </w:rPr>
            </w:pPr>
          </w:p>
          <w:p w14:paraId="4924CDC7" w14:textId="77777777" w:rsidR="008715BE" w:rsidRPr="00EC75B7" w:rsidRDefault="008715BE">
            <w:pPr>
              <w:pStyle w:val="TableParagraph"/>
              <w:spacing w:before="5"/>
              <w:rPr>
                <w:rFonts w:ascii="Verdana" w:hAnsi="Verdana"/>
                <w:b/>
                <w:sz w:val="18"/>
                <w:szCs w:val="18"/>
              </w:rPr>
            </w:pPr>
          </w:p>
          <w:p w14:paraId="23F73325"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5D71E2D7" w14:textId="77777777" w:rsidR="008715BE" w:rsidRPr="00EC75B7" w:rsidRDefault="008715BE">
            <w:pPr>
              <w:pStyle w:val="TableParagraph"/>
              <w:rPr>
                <w:rFonts w:ascii="Verdana" w:hAnsi="Verdana"/>
                <w:b/>
                <w:sz w:val="18"/>
                <w:szCs w:val="18"/>
              </w:rPr>
            </w:pPr>
          </w:p>
          <w:p w14:paraId="7518281F" w14:textId="77777777" w:rsidR="008715BE" w:rsidRPr="00EC75B7" w:rsidRDefault="008715BE">
            <w:pPr>
              <w:pStyle w:val="TableParagraph"/>
              <w:rPr>
                <w:rFonts w:ascii="Verdana" w:hAnsi="Verdana"/>
                <w:b/>
                <w:sz w:val="18"/>
                <w:szCs w:val="18"/>
              </w:rPr>
            </w:pPr>
          </w:p>
          <w:p w14:paraId="3AC81B2F" w14:textId="77777777" w:rsidR="008715BE" w:rsidRPr="00EC75B7" w:rsidRDefault="008715BE">
            <w:pPr>
              <w:pStyle w:val="TableParagraph"/>
              <w:rPr>
                <w:rFonts w:ascii="Verdana" w:hAnsi="Verdana"/>
                <w:b/>
                <w:sz w:val="18"/>
                <w:szCs w:val="18"/>
              </w:rPr>
            </w:pPr>
          </w:p>
          <w:p w14:paraId="29C79F89" w14:textId="77777777" w:rsidR="008715BE" w:rsidRPr="00EC75B7" w:rsidRDefault="008715BE">
            <w:pPr>
              <w:pStyle w:val="TableParagraph"/>
              <w:rPr>
                <w:rFonts w:ascii="Verdana" w:hAnsi="Verdana"/>
                <w:b/>
                <w:sz w:val="18"/>
                <w:szCs w:val="18"/>
              </w:rPr>
            </w:pPr>
          </w:p>
          <w:p w14:paraId="6A400CDB" w14:textId="77777777" w:rsidR="008715BE" w:rsidRPr="00EC75B7" w:rsidRDefault="008715BE">
            <w:pPr>
              <w:pStyle w:val="TableParagraph"/>
              <w:spacing w:before="3"/>
              <w:rPr>
                <w:rFonts w:ascii="Verdana" w:hAnsi="Verdana"/>
                <w:b/>
                <w:sz w:val="18"/>
                <w:szCs w:val="18"/>
              </w:rPr>
            </w:pPr>
          </w:p>
          <w:p w14:paraId="363A0F57"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6C6B5804" w14:textId="77777777" w:rsidR="008715BE" w:rsidRPr="00EC75B7" w:rsidRDefault="008715BE">
            <w:pPr>
              <w:pStyle w:val="TableParagraph"/>
              <w:rPr>
                <w:rFonts w:ascii="Verdana" w:hAnsi="Verdana"/>
                <w:b/>
                <w:sz w:val="18"/>
                <w:szCs w:val="18"/>
              </w:rPr>
            </w:pPr>
          </w:p>
          <w:p w14:paraId="6D1C825E" w14:textId="77777777" w:rsidR="008715BE" w:rsidRPr="00EC75B7" w:rsidRDefault="008715BE">
            <w:pPr>
              <w:pStyle w:val="TableParagraph"/>
              <w:rPr>
                <w:rFonts w:ascii="Verdana" w:hAnsi="Verdana"/>
                <w:b/>
                <w:sz w:val="18"/>
                <w:szCs w:val="18"/>
              </w:rPr>
            </w:pPr>
          </w:p>
          <w:p w14:paraId="79C24628" w14:textId="77777777" w:rsidR="008715BE" w:rsidRPr="00EC75B7" w:rsidRDefault="008715BE">
            <w:pPr>
              <w:pStyle w:val="TableParagraph"/>
              <w:rPr>
                <w:rFonts w:ascii="Verdana" w:hAnsi="Verdana"/>
                <w:b/>
                <w:sz w:val="18"/>
                <w:szCs w:val="18"/>
              </w:rPr>
            </w:pPr>
          </w:p>
          <w:p w14:paraId="2D0A7008" w14:textId="77777777" w:rsidR="008715BE" w:rsidRPr="00EC75B7" w:rsidRDefault="008715BE">
            <w:pPr>
              <w:pStyle w:val="TableParagraph"/>
              <w:rPr>
                <w:rFonts w:ascii="Verdana" w:hAnsi="Verdana"/>
                <w:b/>
                <w:sz w:val="18"/>
                <w:szCs w:val="18"/>
              </w:rPr>
            </w:pPr>
          </w:p>
          <w:p w14:paraId="0478B45B" w14:textId="77777777" w:rsidR="008715BE" w:rsidRPr="00EC75B7" w:rsidRDefault="008715BE">
            <w:pPr>
              <w:pStyle w:val="TableParagraph"/>
              <w:spacing w:before="3"/>
              <w:rPr>
                <w:rFonts w:ascii="Verdana" w:hAnsi="Verdana"/>
                <w:b/>
                <w:sz w:val="18"/>
                <w:szCs w:val="18"/>
              </w:rPr>
            </w:pPr>
          </w:p>
          <w:p w14:paraId="25ABCB8C"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4AAC6E16" w14:textId="77777777" w:rsidR="008715BE" w:rsidRPr="00EC75B7" w:rsidRDefault="008715BE">
            <w:pPr>
              <w:pStyle w:val="TableParagraph"/>
              <w:rPr>
                <w:rFonts w:ascii="Verdana" w:hAnsi="Verdana"/>
                <w:b/>
                <w:sz w:val="18"/>
                <w:szCs w:val="18"/>
              </w:rPr>
            </w:pPr>
          </w:p>
          <w:p w14:paraId="54080C9F" w14:textId="77777777" w:rsidR="008715BE" w:rsidRPr="00EC75B7" w:rsidRDefault="008715BE">
            <w:pPr>
              <w:pStyle w:val="TableParagraph"/>
              <w:rPr>
                <w:rFonts w:ascii="Verdana" w:hAnsi="Verdana"/>
                <w:b/>
                <w:sz w:val="18"/>
                <w:szCs w:val="18"/>
              </w:rPr>
            </w:pPr>
          </w:p>
          <w:p w14:paraId="53D9064E" w14:textId="77777777" w:rsidR="008715BE" w:rsidRPr="00EC75B7" w:rsidRDefault="008715BE">
            <w:pPr>
              <w:pStyle w:val="TableParagraph"/>
              <w:rPr>
                <w:rFonts w:ascii="Verdana" w:hAnsi="Verdana"/>
                <w:b/>
                <w:sz w:val="18"/>
                <w:szCs w:val="18"/>
              </w:rPr>
            </w:pPr>
          </w:p>
          <w:p w14:paraId="47D3B04F" w14:textId="77777777" w:rsidR="008715BE" w:rsidRPr="00EC75B7" w:rsidRDefault="008715BE">
            <w:pPr>
              <w:pStyle w:val="TableParagraph"/>
              <w:rPr>
                <w:rFonts w:ascii="Verdana" w:hAnsi="Verdana"/>
                <w:b/>
                <w:sz w:val="18"/>
                <w:szCs w:val="18"/>
              </w:rPr>
            </w:pPr>
          </w:p>
          <w:p w14:paraId="1F1F959A" w14:textId="77777777" w:rsidR="008715BE" w:rsidRPr="00EC75B7" w:rsidRDefault="008715BE">
            <w:pPr>
              <w:pStyle w:val="TableParagraph"/>
              <w:spacing w:before="3"/>
              <w:rPr>
                <w:rFonts w:ascii="Verdana" w:hAnsi="Verdana"/>
                <w:b/>
                <w:sz w:val="18"/>
                <w:szCs w:val="18"/>
              </w:rPr>
            </w:pPr>
          </w:p>
          <w:p w14:paraId="19BAF2B0"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33FD1731" w14:textId="77777777" w:rsidR="008715BE" w:rsidRPr="00EC75B7" w:rsidRDefault="008715BE">
            <w:pPr>
              <w:pStyle w:val="TableParagraph"/>
              <w:rPr>
                <w:rFonts w:ascii="Verdana" w:hAnsi="Verdana"/>
                <w:b/>
                <w:sz w:val="18"/>
                <w:szCs w:val="18"/>
              </w:rPr>
            </w:pPr>
          </w:p>
          <w:p w14:paraId="0F6F70B2" w14:textId="77777777" w:rsidR="008715BE" w:rsidRPr="00EC75B7" w:rsidRDefault="008715BE">
            <w:pPr>
              <w:pStyle w:val="TableParagraph"/>
              <w:rPr>
                <w:rFonts w:ascii="Verdana" w:hAnsi="Verdana"/>
                <w:b/>
                <w:sz w:val="18"/>
                <w:szCs w:val="18"/>
              </w:rPr>
            </w:pPr>
          </w:p>
          <w:p w14:paraId="4143117D" w14:textId="77777777" w:rsidR="008715BE" w:rsidRPr="00EC75B7" w:rsidRDefault="008715BE">
            <w:pPr>
              <w:pStyle w:val="TableParagraph"/>
              <w:rPr>
                <w:rFonts w:ascii="Verdana" w:hAnsi="Verdana"/>
                <w:b/>
                <w:sz w:val="18"/>
                <w:szCs w:val="18"/>
              </w:rPr>
            </w:pPr>
          </w:p>
          <w:p w14:paraId="4502C46C" w14:textId="77777777" w:rsidR="008715BE" w:rsidRPr="00EC75B7" w:rsidRDefault="008715BE">
            <w:pPr>
              <w:pStyle w:val="TableParagraph"/>
              <w:rPr>
                <w:rFonts w:ascii="Verdana" w:hAnsi="Verdana"/>
                <w:b/>
                <w:sz w:val="18"/>
                <w:szCs w:val="18"/>
              </w:rPr>
            </w:pPr>
          </w:p>
          <w:p w14:paraId="16363F2D" w14:textId="77777777" w:rsidR="008715BE" w:rsidRPr="00EC75B7" w:rsidRDefault="008715BE">
            <w:pPr>
              <w:pStyle w:val="TableParagraph"/>
              <w:spacing w:before="3"/>
              <w:rPr>
                <w:rFonts w:ascii="Verdana" w:hAnsi="Verdana"/>
                <w:b/>
                <w:sz w:val="18"/>
                <w:szCs w:val="18"/>
              </w:rPr>
            </w:pPr>
          </w:p>
          <w:p w14:paraId="3A224FF4"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51621CBB" w14:textId="77777777" w:rsidR="008715BE" w:rsidRPr="00EC75B7" w:rsidRDefault="008715BE">
            <w:pPr>
              <w:pStyle w:val="TableParagraph"/>
              <w:rPr>
                <w:rFonts w:ascii="Verdana" w:hAnsi="Verdana"/>
                <w:b/>
                <w:sz w:val="18"/>
                <w:szCs w:val="18"/>
              </w:rPr>
            </w:pPr>
          </w:p>
          <w:p w14:paraId="3BF50AA6" w14:textId="77777777" w:rsidR="008715BE" w:rsidRPr="00EC75B7" w:rsidRDefault="008715BE">
            <w:pPr>
              <w:pStyle w:val="TableParagraph"/>
              <w:rPr>
                <w:rFonts w:ascii="Verdana" w:hAnsi="Verdana"/>
                <w:b/>
                <w:sz w:val="18"/>
                <w:szCs w:val="18"/>
              </w:rPr>
            </w:pPr>
          </w:p>
          <w:p w14:paraId="42A65E8B" w14:textId="77777777" w:rsidR="008715BE" w:rsidRPr="00EC75B7" w:rsidRDefault="008715BE">
            <w:pPr>
              <w:pStyle w:val="TableParagraph"/>
              <w:rPr>
                <w:rFonts w:ascii="Verdana" w:hAnsi="Verdana"/>
                <w:b/>
                <w:sz w:val="18"/>
                <w:szCs w:val="18"/>
              </w:rPr>
            </w:pPr>
          </w:p>
          <w:p w14:paraId="0385C4FB" w14:textId="77777777" w:rsidR="008715BE" w:rsidRPr="00EC75B7" w:rsidRDefault="008715BE">
            <w:pPr>
              <w:pStyle w:val="TableParagraph"/>
              <w:rPr>
                <w:rFonts w:ascii="Verdana" w:hAnsi="Verdana"/>
                <w:b/>
                <w:sz w:val="18"/>
                <w:szCs w:val="18"/>
              </w:rPr>
            </w:pPr>
          </w:p>
          <w:p w14:paraId="3DE2736D" w14:textId="77777777" w:rsidR="008715BE" w:rsidRPr="00EC75B7" w:rsidRDefault="008715BE">
            <w:pPr>
              <w:pStyle w:val="TableParagraph"/>
              <w:spacing w:before="3"/>
              <w:rPr>
                <w:rFonts w:ascii="Verdana" w:hAnsi="Verdana"/>
                <w:b/>
                <w:sz w:val="18"/>
                <w:szCs w:val="18"/>
              </w:rPr>
            </w:pPr>
          </w:p>
          <w:p w14:paraId="3372F6D0"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5C7357B6" w14:textId="77777777" w:rsidR="008715BE" w:rsidRPr="00EC75B7" w:rsidRDefault="008715BE">
            <w:pPr>
              <w:pStyle w:val="TableParagraph"/>
              <w:rPr>
                <w:rFonts w:ascii="Verdana" w:hAnsi="Verdana"/>
                <w:b/>
                <w:sz w:val="18"/>
                <w:szCs w:val="18"/>
              </w:rPr>
            </w:pPr>
          </w:p>
          <w:p w14:paraId="4FF8CC44" w14:textId="77777777" w:rsidR="008715BE" w:rsidRPr="00EC75B7" w:rsidRDefault="008715BE">
            <w:pPr>
              <w:pStyle w:val="TableParagraph"/>
              <w:rPr>
                <w:rFonts w:ascii="Verdana" w:hAnsi="Verdana"/>
                <w:b/>
                <w:sz w:val="18"/>
                <w:szCs w:val="18"/>
              </w:rPr>
            </w:pPr>
          </w:p>
          <w:p w14:paraId="16C11CCE" w14:textId="77777777" w:rsidR="008715BE" w:rsidRPr="00EC75B7" w:rsidRDefault="008715BE">
            <w:pPr>
              <w:pStyle w:val="TableParagraph"/>
              <w:rPr>
                <w:rFonts w:ascii="Verdana" w:hAnsi="Verdana"/>
                <w:b/>
                <w:sz w:val="18"/>
                <w:szCs w:val="18"/>
              </w:rPr>
            </w:pPr>
          </w:p>
          <w:p w14:paraId="097AC4FC" w14:textId="77777777" w:rsidR="008715BE" w:rsidRPr="00EC75B7" w:rsidRDefault="008715BE">
            <w:pPr>
              <w:pStyle w:val="TableParagraph"/>
              <w:rPr>
                <w:rFonts w:ascii="Verdana" w:hAnsi="Verdana"/>
                <w:b/>
                <w:sz w:val="18"/>
                <w:szCs w:val="18"/>
              </w:rPr>
            </w:pPr>
          </w:p>
          <w:p w14:paraId="45E3A939" w14:textId="77777777" w:rsidR="008715BE" w:rsidRPr="00EC75B7" w:rsidRDefault="008715BE">
            <w:pPr>
              <w:pStyle w:val="TableParagraph"/>
              <w:spacing w:before="3"/>
              <w:rPr>
                <w:rFonts w:ascii="Verdana" w:hAnsi="Verdana"/>
                <w:b/>
                <w:sz w:val="18"/>
                <w:szCs w:val="18"/>
              </w:rPr>
            </w:pPr>
          </w:p>
          <w:p w14:paraId="49DFD9F4"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BB95536" w14:textId="77777777" w:rsidR="008715BE" w:rsidRPr="00EC75B7" w:rsidRDefault="008715BE">
            <w:pPr>
              <w:pStyle w:val="TableParagraph"/>
              <w:rPr>
                <w:rFonts w:ascii="Verdana" w:hAnsi="Verdana"/>
                <w:b/>
                <w:sz w:val="18"/>
                <w:szCs w:val="18"/>
              </w:rPr>
            </w:pPr>
          </w:p>
          <w:p w14:paraId="0006BDDB" w14:textId="77777777" w:rsidR="008715BE" w:rsidRPr="00EC75B7" w:rsidRDefault="008715BE">
            <w:pPr>
              <w:pStyle w:val="TableParagraph"/>
              <w:rPr>
                <w:rFonts w:ascii="Verdana" w:hAnsi="Verdana"/>
                <w:b/>
                <w:sz w:val="18"/>
                <w:szCs w:val="18"/>
              </w:rPr>
            </w:pPr>
          </w:p>
          <w:p w14:paraId="1DAE27BE" w14:textId="77777777" w:rsidR="008715BE" w:rsidRPr="00EC75B7" w:rsidRDefault="008715BE">
            <w:pPr>
              <w:pStyle w:val="TableParagraph"/>
              <w:rPr>
                <w:rFonts w:ascii="Verdana" w:hAnsi="Verdana"/>
                <w:b/>
                <w:sz w:val="18"/>
                <w:szCs w:val="18"/>
              </w:rPr>
            </w:pPr>
          </w:p>
          <w:p w14:paraId="3D376BCE" w14:textId="77777777" w:rsidR="008715BE" w:rsidRPr="00EC75B7" w:rsidRDefault="008715BE">
            <w:pPr>
              <w:pStyle w:val="TableParagraph"/>
              <w:rPr>
                <w:rFonts w:ascii="Verdana" w:hAnsi="Verdana"/>
                <w:b/>
                <w:sz w:val="18"/>
                <w:szCs w:val="18"/>
              </w:rPr>
            </w:pPr>
          </w:p>
          <w:p w14:paraId="122FA5C4" w14:textId="77777777" w:rsidR="008715BE" w:rsidRPr="00EC75B7" w:rsidRDefault="008715BE">
            <w:pPr>
              <w:pStyle w:val="TableParagraph"/>
              <w:spacing w:before="3"/>
              <w:rPr>
                <w:rFonts w:ascii="Verdana" w:hAnsi="Verdana"/>
                <w:b/>
                <w:sz w:val="18"/>
                <w:szCs w:val="18"/>
              </w:rPr>
            </w:pPr>
          </w:p>
          <w:p w14:paraId="48F70135"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46F62027" w14:textId="77777777" w:rsidR="008715BE" w:rsidRPr="00EC75B7" w:rsidRDefault="008715BE">
            <w:pPr>
              <w:pStyle w:val="TableParagraph"/>
              <w:rPr>
                <w:rFonts w:ascii="Verdana" w:hAnsi="Verdana"/>
                <w:b/>
                <w:sz w:val="18"/>
                <w:szCs w:val="18"/>
              </w:rPr>
            </w:pPr>
          </w:p>
          <w:p w14:paraId="6B3C4019" w14:textId="77777777" w:rsidR="008715BE" w:rsidRPr="00EC75B7" w:rsidRDefault="008715BE">
            <w:pPr>
              <w:pStyle w:val="TableParagraph"/>
              <w:rPr>
                <w:rFonts w:ascii="Verdana" w:hAnsi="Verdana"/>
                <w:b/>
                <w:sz w:val="18"/>
                <w:szCs w:val="18"/>
              </w:rPr>
            </w:pPr>
          </w:p>
          <w:p w14:paraId="0173E750" w14:textId="77777777" w:rsidR="008715BE" w:rsidRPr="00EC75B7" w:rsidRDefault="008715BE">
            <w:pPr>
              <w:pStyle w:val="TableParagraph"/>
              <w:rPr>
                <w:rFonts w:ascii="Verdana" w:hAnsi="Verdana"/>
                <w:b/>
                <w:sz w:val="18"/>
                <w:szCs w:val="18"/>
              </w:rPr>
            </w:pPr>
          </w:p>
          <w:p w14:paraId="567D8EA6" w14:textId="77777777" w:rsidR="008715BE" w:rsidRPr="00EC75B7" w:rsidRDefault="008715BE">
            <w:pPr>
              <w:pStyle w:val="TableParagraph"/>
              <w:rPr>
                <w:rFonts w:ascii="Verdana" w:hAnsi="Verdana"/>
                <w:b/>
                <w:sz w:val="18"/>
                <w:szCs w:val="18"/>
              </w:rPr>
            </w:pPr>
          </w:p>
          <w:p w14:paraId="29D6650D" w14:textId="77777777" w:rsidR="008715BE" w:rsidRPr="00EC75B7" w:rsidRDefault="008715BE">
            <w:pPr>
              <w:pStyle w:val="TableParagraph"/>
              <w:spacing w:before="3"/>
              <w:rPr>
                <w:rFonts w:ascii="Verdana" w:hAnsi="Verdana"/>
                <w:b/>
                <w:sz w:val="18"/>
                <w:szCs w:val="18"/>
              </w:rPr>
            </w:pPr>
          </w:p>
          <w:p w14:paraId="20EF747F"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D54FEA3" w14:textId="77777777" w:rsidR="008715BE" w:rsidRPr="00EC75B7" w:rsidRDefault="008715BE">
            <w:pPr>
              <w:pStyle w:val="TableParagraph"/>
              <w:rPr>
                <w:rFonts w:ascii="Verdana" w:hAnsi="Verdana"/>
                <w:b/>
                <w:sz w:val="18"/>
                <w:szCs w:val="18"/>
              </w:rPr>
            </w:pPr>
          </w:p>
          <w:p w14:paraId="60B9662A" w14:textId="77777777" w:rsidR="008715BE" w:rsidRPr="00EC75B7" w:rsidRDefault="008715BE">
            <w:pPr>
              <w:pStyle w:val="TableParagraph"/>
              <w:rPr>
                <w:rFonts w:ascii="Verdana" w:hAnsi="Verdana"/>
                <w:b/>
                <w:sz w:val="18"/>
                <w:szCs w:val="18"/>
              </w:rPr>
            </w:pPr>
          </w:p>
          <w:p w14:paraId="439146E1" w14:textId="77777777" w:rsidR="008715BE" w:rsidRPr="00EC75B7" w:rsidRDefault="008715BE">
            <w:pPr>
              <w:pStyle w:val="TableParagraph"/>
              <w:rPr>
                <w:rFonts w:ascii="Verdana" w:hAnsi="Verdana"/>
                <w:b/>
                <w:sz w:val="18"/>
                <w:szCs w:val="18"/>
              </w:rPr>
            </w:pPr>
          </w:p>
          <w:p w14:paraId="3758F59D" w14:textId="77777777" w:rsidR="008715BE" w:rsidRPr="00EC75B7" w:rsidRDefault="008715BE">
            <w:pPr>
              <w:pStyle w:val="TableParagraph"/>
              <w:rPr>
                <w:rFonts w:ascii="Verdana" w:hAnsi="Verdana"/>
                <w:b/>
                <w:sz w:val="18"/>
                <w:szCs w:val="18"/>
              </w:rPr>
            </w:pPr>
          </w:p>
          <w:p w14:paraId="6AD353A3" w14:textId="77777777" w:rsidR="008715BE" w:rsidRPr="00EC75B7" w:rsidRDefault="008715BE">
            <w:pPr>
              <w:pStyle w:val="TableParagraph"/>
              <w:spacing w:before="3"/>
              <w:rPr>
                <w:rFonts w:ascii="Verdana" w:hAnsi="Verdana"/>
                <w:b/>
                <w:sz w:val="18"/>
                <w:szCs w:val="18"/>
              </w:rPr>
            </w:pPr>
          </w:p>
          <w:p w14:paraId="483C789E"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52EC2E86" w14:textId="77777777" w:rsidR="008715BE" w:rsidRPr="00EC75B7" w:rsidRDefault="008715BE">
            <w:pPr>
              <w:pStyle w:val="TableParagraph"/>
              <w:rPr>
                <w:rFonts w:ascii="Verdana" w:hAnsi="Verdana"/>
                <w:b/>
                <w:sz w:val="18"/>
                <w:szCs w:val="18"/>
              </w:rPr>
            </w:pPr>
          </w:p>
          <w:p w14:paraId="49C19E73" w14:textId="77777777" w:rsidR="008715BE" w:rsidRPr="00EC75B7" w:rsidRDefault="008715BE">
            <w:pPr>
              <w:pStyle w:val="TableParagraph"/>
              <w:rPr>
                <w:rFonts w:ascii="Verdana" w:hAnsi="Verdana"/>
                <w:b/>
                <w:sz w:val="18"/>
                <w:szCs w:val="18"/>
              </w:rPr>
            </w:pPr>
          </w:p>
          <w:p w14:paraId="23E87E77" w14:textId="77777777" w:rsidR="008715BE" w:rsidRPr="00EC75B7" w:rsidRDefault="008715BE">
            <w:pPr>
              <w:pStyle w:val="TableParagraph"/>
              <w:rPr>
                <w:rFonts w:ascii="Verdana" w:hAnsi="Verdana"/>
                <w:b/>
                <w:sz w:val="18"/>
                <w:szCs w:val="18"/>
              </w:rPr>
            </w:pPr>
          </w:p>
          <w:p w14:paraId="29486928" w14:textId="77777777" w:rsidR="008715BE" w:rsidRPr="00EC75B7" w:rsidRDefault="008715BE">
            <w:pPr>
              <w:pStyle w:val="TableParagraph"/>
              <w:rPr>
                <w:rFonts w:ascii="Verdana" w:hAnsi="Verdana"/>
                <w:b/>
                <w:sz w:val="18"/>
                <w:szCs w:val="18"/>
              </w:rPr>
            </w:pPr>
          </w:p>
          <w:p w14:paraId="59F6F9C6" w14:textId="77777777" w:rsidR="008715BE" w:rsidRPr="00EC75B7" w:rsidRDefault="008715BE">
            <w:pPr>
              <w:pStyle w:val="TableParagraph"/>
              <w:spacing w:before="3"/>
              <w:rPr>
                <w:rFonts w:ascii="Verdana" w:hAnsi="Verdana"/>
                <w:b/>
                <w:sz w:val="18"/>
                <w:szCs w:val="18"/>
              </w:rPr>
            </w:pPr>
          </w:p>
          <w:p w14:paraId="72D8FD63"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097DC4B7" w14:textId="77777777" w:rsidR="008715BE" w:rsidRPr="00EC75B7" w:rsidRDefault="008715BE">
            <w:pPr>
              <w:pStyle w:val="TableParagraph"/>
              <w:rPr>
                <w:rFonts w:ascii="Verdana" w:hAnsi="Verdana"/>
                <w:b/>
                <w:sz w:val="18"/>
                <w:szCs w:val="18"/>
              </w:rPr>
            </w:pPr>
          </w:p>
          <w:p w14:paraId="38F05CCC" w14:textId="77777777" w:rsidR="008715BE" w:rsidRPr="00EC75B7" w:rsidRDefault="008715BE">
            <w:pPr>
              <w:pStyle w:val="TableParagraph"/>
              <w:rPr>
                <w:rFonts w:ascii="Verdana" w:hAnsi="Verdana"/>
                <w:b/>
                <w:sz w:val="18"/>
                <w:szCs w:val="18"/>
              </w:rPr>
            </w:pPr>
          </w:p>
          <w:p w14:paraId="7824E06A" w14:textId="77777777" w:rsidR="008715BE" w:rsidRPr="00EC75B7" w:rsidRDefault="008715BE">
            <w:pPr>
              <w:pStyle w:val="TableParagraph"/>
              <w:rPr>
                <w:rFonts w:ascii="Verdana" w:hAnsi="Verdana"/>
                <w:b/>
                <w:sz w:val="18"/>
                <w:szCs w:val="18"/>
              </w:rPr>
            </w:pPr>
          </w:p>
          <w:p w14:paraId="39C22856" w14:textId="77777777" w:rsidR="008715BE" w:rsidRPr="00EC75B7" w:rsidRDefault="008715BE">
            <w:pPr>
              <w:pStyle w:val="TableParagraph"/>
              <w:rPr>
                <w:rFonts w:ascii="Verdana" w:hAnsi="Verdana"/>
                <w:b/>
                <w:sz w:val="18"/>
                <w:szCs w:val="18"/>
              </w:rPr>
            </w:pPr>
          </w:p>
          <w:p w14:paraId="68923F62" w14:textId="77777777" w:rsidR="008715BE" w:rsidRPr="00EC75B7" w:rsidRDefault="008715BE">
            <w:pPr>
              <w:pStyle w:val="TableParagraph"/>
              <w:spacing w:before="3"/>
              <w:rPr>
                <w:rFonts w:ascii="Verdana" w:hAnsi="Verdana"/>
                <w:b/>
                <w:sz w:val="18"/>
                <w:szCs w:val="18"/>
              </w:rPr>
            </w:pPr>
          </w:p>
          <w:p w14:paraId="4D969221"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2470DBAC" w14:textId="77777777" w:rsidR="008715BE" w:rsidRPr="00EC75B7" w:rsidRDefault="008715BE">
            <w:pPr>
              <w:pStyle w:val="TableParagraph"/>
              <w:rPr>
                <w:rFonts w:ascii="Verdana" w:hAnsi="Verdana"/>
                <w:b/>
                <w:sz w:val="18"/>
                <w:szCs w:val="18"/>
              </w:rPr>
            </w:pPr>
          </w:p>
          <w:p w14:paraId="18A82D9A" w14:textId="77777777" w:rsidR="008715BE" w:rsidRPr="00EC75B7" w:rsidRDefault="008715BE">
            <w:pPr>
              <w:pStyle w:val="TableParagraph"/>
              <w:rPr>
                <w:rFonts w:ascii="Verdana" w:hAnsi="Verdana"/>
                <w:b/>
                <w:sz w:val="18"/>
                <w:szCs w:val="18"/>
              </w:rPr>
            </w:pPr>
          </w:p>
          <w:p w14:paraId="06EA37CD" w14:textId="77777777" w:rsidR="008715BE" w:rsidRPr="00EC75B7" w:rsidRDefault="008715BE">
            <w:pPr>
              <w:pStyle w:val="TableParagraph"/>
              <w:rPr>
                <w:rFonts w:ascii="Verdana" w:hAnsi="Verdana"/>
                <w:b/>
                <w:sz w:val="18"/>
                <w:szCs w:val="18"/>
              </w:rPr>
            </w:pPr>
          </w:p>
          <w:p w14:paraId="626B788E" w14:textId="77777777" w:rsidR="008715BE" w:rsidRPr="00EC75B7" w:rsidRDefault="008715BE">
            <w:pPr>
              <w:pStyle w:val="TableParagraph"/>
              <w:rPr>
                <w:rFonts w:ascii="Verdana" w:hAnsi="Verdana"/>
                <w:b/>
                <w:sz w:val="18"/>
                <w:szCs w:val="18"/>
              </w:rPr>
            </w:pPr>
          </w:p>
          <w:p w14:paraId="4FFCCB8F" w14:textId="77777777" w:rsidR="008715BE" w:rsidRPr="00EC75B7" w:rsidRDefault="008715BE">
            <w:pPr>
              <w:pStyle w:val="TableParagraph"/>
              <w:spacing w:before="3"/>
              <w:rPr>
                <w:rFonts w:ascii="Verdana" w:hAnsi="Verdana"/>
                <w:b/>
                <w:sz w:val="18"/>
                <w:szCs w:val="18"/>
              </w:rPr>
            </w:pPr>
          </w:p>
          <w:p w14:paraId="3019FCF9"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700AB5FE" w14:textId="77777777" w:rsidR="008715BE" w:rsidRPr="00EC75B7" w:rsidRDefault="008715BE">
            <w:pPr>
              <w:pStyle w:val="TableParagraph"/>
              <w:rPr>
                <w:rFonts w:ascii="Verdana" w:hAnsi="Verdana"/>
                <w:b/>
                <w:sz w:val="18"/>
                <w:szCs w:val="18"/>
              </w:rPr>
            </w:pPr>
          </w:p>
          <w:p w14:paraId="65F4D3CC" w14:textId="77777777" w:rsidR="008715BE" w:rsidRPr="00EC75B7" w:rsidRDefault="008715BE">
            <w:pPr>
              <w:pStyle w:val="TableParagraph"/>
              <w:rPr>
                <w:rFonts w:ascii="Verdana" w:hAnsi="Verdana"/>
                <w:b/>
                <w:sz w:val="18"/>
                <w:szCs w:val="18"/>
              </w:rPr>
            </w:pPr>
          </w:p>
          <w:p w14:paraId="7C6E2321" w14:textId="77777777" w:rsidR="008715BE" w:rsidRPr="00EC75B7" w:rsidRDefault="008715BE">
            <w:pPr>
              <w:pStyle w:val="TableParagraph"/>
              <w:rPr>
                <w:rFonts w:ascii="Verdana" w:hAnsi="Verdana"/>
                <w:b/>
                <w:sz w:val="18"/>
                <w:szCs w:val="18"/>
              </w:rPr>
            </w:pPr>
          </w:p>
          <w:p w14:paraId="2846AA04" w14:textId="77777777" w:rsidR="008715BE" w:rsidRPr="00EC75B7" w:rsidRDefault="008715BE">
            <w:pPr>
              <w:pStyle w:val="TableParagraph"/>
              <w:rPr>
                <w:rFonts w:ascii="Verdana" w:hAnsi="Verdana"/>
                <w:b/>
                <w:sz w:val="18"/>
                <w:szCs w:val="18"/>
              </w:rPr>
            </w:pPr>
          </w:p>
          <w:p w14:paraId="39F52D33" w14:textId="77777777" w:rsidR="008715BE" w:rsidRPr="00EC75B7" w:rsidRDefault="008715BE">
            <w:pPr>
              <w:pStyle w:val="TableParagraph"/>
              <w:spacing w:before="3"/>
              <w:rPr>
                <w:rFonts w:ascii="Verdana" w:hAnsi="Verdana"/>
                <w:b/>
                <w:sz w:val="18"/>
                <w:szCs w:val="18"/>
              </w:rPr>
            </w:pPr>
          </w:p>
          <w:p w14:paraId="0DD3DDE3"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13F41792" w14:textId="77777777" w:rsidR="008715BE" w:rsidRPr="00EC75B7" w:rsidRDefault="008715BE">
            <w:pPr>
              <w:pStyle w:val="TableParagraph"/>
              <w:rPr>
                <w:rFonts w:ascii="Verdana" w:hAnsi="Verdana"/>
                <w:b/>
                <w:sz w:val="18"/>
                <w:szCs w:val="18"/>
              </w:rPr>
            </w:pPr>
          </w:p>
          <w:p w14:paraId="1639082B" w14:textId="77777777" w:rsidR="008715BE" w:rsidRPr="00EC75B7" w:rsidRDefault="008715BE">
            <w:pPr>
              <w:pStyle w:val="TableParagraph"/>
              <w:rPr>
                <w:rFonts w:ascii="Verdana" w:hAnsi="Verdana"/>
                <w:b/>
                <w:sz w:val="18"/>
                <w:szCs w:val="18"/>
              </w:rPr>
            </w:pPr>
          </w:p>
          <w:p w14:paraId="24FB2214" w14:textId="77777777" w:rsidR="008715BE" w:rsidRPr="00EC75B7" w:rsidRDefault="008715BE">
            <w:pPr>
              <w:pStyle w:val="TableParagraph"/>
              <w:spacing w:before="5"/>
              <w:rPr>
                <w:rFonts w:ascii="Verdana" w:hAnsi="Verdana"/>
                <w:b/>
                <w:sz w:val="18"/>
                <w:szCs w:val="18"/>
              </w:rPr>
            </w:pPr>
          </w:p>
          <w:p w14:paraId="5157258B" w14:textId="77777777" w:rsidR="008715BE" w:rsidRPr="00EC75B7" w:rsidRDefault="00000000">
            <w:pPr>
              <w:pStyle w:val="TableParagraph"/>
              <w:ind w:left="142" w:right="129"/>
              <w:jc w:val="center"/>
              <w:rPr>
                <w:rFonts w:ascii="Verdana" w:hAnsi="Verdana"/>
                <w:sz w:val="18"/>
                <w:szCs w:val="18"/>
              </w:rPr>
            </w:pPr>
            <w:r w:rsidRPr="00EC75B7">
              <w:rPr>
                <w:rFonts w:ascii="Verdana" w:hAnsi="Verdana"/>
                <w:sz w:val="18"/>
                <w:szCs w:val="18"/>
              </w:rPr>
              <w:t xml:space="preserve">Certified and </w:t>
            </w:r>
            <w:r w:rsidRPr="00EC75B7">
              <w:rPr>
                <w:rFonts w:ascii="Verdana" w:hAnsi="Verdana"/>
                <w:spacing w:val="-2"/>
                <w:sz w:val="18"/>
                <w:szCs w:val="18"/>
              </w:rPr>
              <w:t>experienced builders/experts</w:t>
            </w:r>
          </w:p>
          <w:p w14:paraId="17481BE4" w14:textId="77777777" w:rsidR="008715BE" w:rsidRPr="00EC75B7" w:rsidRDefault="00000000">
            <w:pPr>
              <w:pStyle w:val="TableParagraph"/>
              <w:spacing w:line="192" w:lineRule="exact"/>
              <w:ind w:left="140" w:right="129"/>
              <w:jc w:val="center"/>
              <w:rPr>
                <w:rFonts w:ascii="Verdana" w:hAnsi="Verdana"/>
                <w:sz w:val="18"/>
                <w:szCs w:val="18"/>
              </w:rPr>
            </w:pPr>
            <w:r w:rsidRPr="00EC75B7">
              <w:rPr>
                <w:rFonts w:ascii="Verdana" w:hAnsi="Verdana"/>
                <w:sz w:val="18"/>
                <w:szCs w:val="18"/>
              </w:rPr>
              <w:t xml:space="preserve">in biodiversity </w:t>
            </w:r>
            <w:r w:rsidRPr="00EC75B7">
              <w:rPr>
                <w:rFonts w:ascii="Verdana" w:hAnsi="Verdana"/>
                <w:spacing w:val="-2"/>
                <w:sz w:val="18"/>
                <w:szCs w:val="18"/>
              </w:rPr>
              <w:t>monitoring</w:t>
            </w:r>
          </w:p>
          <w:p w14:paraId="4462BDDD" w14:textId="77777777" w:rsidR="008715BE" w:rsidRPr="00EC75B7" w:rsidRDefault="00000000">
            <w:pPr>
              <w:pStyle w:val="TableParagraph"/>
              <w:spacing w:line="195" w:lineRule="exact"/>
              <w:ind w:left="139" w:right="132"/>
              <w:jc w:val="center"/>
              <w:rPr>
                <w:rFonts w:ascii="Verdana" w:hAnsi="Verdana"/>
                <w:sz w:val="18"/>
                <w:szCs w:val="18"/>
              </w:rPr>
            </w:pPr>
            <w:r w:rsidRPr="00EC75B7">
              <w:rPr>
                <w:rFonts w:ascii="Verdana" w:hAnsi="Verdana"/>
                <w:spacing w:val="-2"/>
                <w:sz w:val="18"/>
                <w:szCs w:val="18"/>
              </w:rPr>
              <w:t>biodiversity</w:t>
            </w:r>
          </w:p>
        </w:tc>
        <w:tc>
          <w:tcPr>
            <w:tcW w:w="1440" w:type="dxa"/>
          </w:tcPr>
          <w:p w14:paraId="1B1A9E6E" w14:textId="77777777" w:rsidR="008715BE" w:rsidRPr="00EC75B7" w:rsidRDefault="008715BE">
            <w:pPr>
              <w:pStyle w:val="TableParagraph"/>
              <w:rPr>
                <w:rFonts w:ascii="Verdana" w:hAnsi="Verdana"/>
                <w:b/>
                <w:sz w:val="18"/>
                <w:szCs w:val="18"/>
              </w:rPr>
            </w:pPr>
          </w:p>
          <w:p w14:paraId="673C9EF3" w14:textId="77777777" w:rsidR="008715BE" w:rsidRPr="00EC75B7" w:rsidRDefault="008715BE">
            <w:pPr>
              <w:pStyle w:val="TableParagraph"/>
              <w:rPr>
                <w:rFonts w:ascii="Verdana" w:hAnsi="Verdana"/>
                <w:b/>
                <w:sz w:val="18"/>
                <w:szCs w:val="18"/>
              </w:rPr>
            </w:pPr>
          </w:p>
          <w:p w14:paraId="1BAACAF0" w14:textId="77777777" w:rsidR="008715BE" w:rsidRPr="00EC75B7" w:rsidRDefault="008715BE">
            <w:pPr>
              <w:pStyle w:val="TableParagraph"/>
              <w:rPr>
                <w:rFonts w:ascii="Verdana" w:hAnsi="Verdana"/>
                <w:b/>
                <w:sz w:val="18"/>
                <w:szCs w:val="18"/>
              </w:rPr>
            </w:pPr>
          </w:p>
          <w:p w14:paraId="023819EE" w14:textId="77777777" w:rsidR="008715BE" w:rsidRPr="00EC75B7" w:rsidRDefault="008715BE">
            <w:pPr>
              <w:pStyle w:val="TableParagraph"/>
              <w:spacing w:before="103"/>
              <w:rPr>
                <w:rFonts w:ascii="Verdana" w:hAnsi="Verdana"/>
                <w:b/>
                <w:sz w:val="18"/>
                <w:szCs w:val="18"/>
              </w:rPr>
            </w:pPr>
          </w:p>
          <w:p w14:paraId="3D47708A" w14:textId="77777777" w:rsidR="008715BE" w:rsidRPr="00EC75B7" w:rsidRDefault="00000000">
            <w:pPr>
              <w:pStyle w:val="TableParagraph"/>
              <w:ind w:left="203" w:right="189" w:firstLine="31"/>
              <w:rPr>
                <w:rFonts w:ascii="Verdana" w:hAnsi="Verdana"/>
                <w:sz w:val="18"/>
                <w:szCs w:val="18"/>
              </w:rPr>
            </w:pPr>
            <w:r w:rsidRPr="00EC75B7">
              <w:rPr>
                <w:rFonts w:ascii="Verdana" w:hAnsi="Verdana"/>
                <w:spacing w:val="-2"/>
                <w:sz w:val="18"/>
                <w:szCs w:val="18"/>
              </w:rPr>
              <w:t xml:space="preserve">Approximately </w:t>
            </w:r>
            <w:r w:rsidRPr="00EC75B7">
              <w:rPr>
                <w:rFonts w:ascii="Verdana" w:hAnsi="Verdana"/>
                <w:spacing w:val="-6"/>
                <w:sz w:val="18"/>
                <w:szCs w:val="18"/>
              </w:rPr>
              <w:t>€100,000</w:t>
            </w:r>
          </w:p>
        </w:tc>
      </w:tr>
      <w:tr w:rsidR="008715BE" w:rsidRPr="00EC75B7" w14:paraId="51912587" w14:textId="77777777">
        <w:trPr>
          <w:trHeight w:val="2140"/>
        </w:trPr>
        <w:tc>
          <w:tcPr>
            <w:tcW w:w="554" w:type="dxa"/>
          </w:tcPr>
          <w:p w14:paraId="5B0BD5D0" w14:textId="77777777" w:rsidR="008715BE" w:rsidRPr="00EC75B7" w:rsidRDefault="008715BE">
            <w:pPr>
              <w:pStyle w:val="TableParagraph"/>
              <w:rPr>
                <w:rFonts w:ascii="Verdana" w:hAnsi="Verdana"/>
                <w:b/>
                <w:sz w:val="18"/>
                <w:szCs w:val="18"/>
              </w:rPr>
            </w:pPr>
          </w:p>
          <w:p w14:paraId="70166C18" w14:textId="77777777" w:rsidR="008715BE" w:rsidRPr="00EC75B7" w:rsidRDefault="008715BE">
            <w:pPr>
              <w:pStyle w:val="TableParagraph"/>
              <w:rPr>
                <w:rFonts w:ascii="Verdana" w:hAnsi="Verdana"/>
                <w:b/>
                <w:sz w:val="18"/>
                <w:szCs w:val="18"/>
              </w:rPr>
            </w:pPr>
          </w:p>
          <w:p w14:paraId="273DC543" w14:textId="77777777" w:rsidR="008715BE" w:rsidRPr="00EC75B7" w:rsidRDefault="008715BE">
            <w:pPr>
              <w:pStyle w:val="TableParagraph"/>
              <w:rPr>
                <w:rFonts w:ascii="Verdana" w:hAnsi="Verdana"/>
                <w:b/>
                <w:sz w:val="18"/>
                <w:szCs w:val="18"/>
              </w:rPr>
            </w:pPr>
          </w:p>
          <w:p w14:paraId="07C56E97" w14:textId="77777777" w:rsidR="008715BE" w:rsidRPr="00EC75B7" w:rsidRDefault="008715BE">
            <w:pPr>
              <w:pStyle w:val="TableParagraph"/>
              <w:rPr>
                <w:rFonts w:ascii="Verdana" w:hAnsi="Verdana"/>
                <w:b/>
                <w:sz w:val="18"/>
                <w:szCs w:val="18"/>
              </w:rPr>
            </w:pPr>
          </w:p>
          <w:p w14:paraId="3C3042C4" w14:textId="77777777" w:rsidR="008715BE" w:rsidRPr="00EC75B7" w:rsidRDefault="008715BE">
            <w:pPr>
              <w:pStyle w:val="TableParagraph"/>
              <w:spacing w:before="3"/>
              <w:rPr>
                <w:rFonts w:ascii="Verdana" w:hAnsi="Verdana"/>
                <w:b/>
                <w:sz w:val="18"/>
                <w:szCs w:val="18"/>
              </w:rPr>
            </w:pPr>
          </w:p>
          <w:p w14:paraId="227E1D9D"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M16</w:t>
            </w:r>
          </w:p>
        </w:tc>
        <w:tc>
          <w:tcPr>
            <w:tcW w:w="6091" w:type="dxa"/>
          </w:tcPr>
          <w:p w14:paraId="5B42E3A7" w14:textId="77777777" w:rsidR="008715BE" w:rsidRPr="00EC75B7" w:rsidRDefault="008715BE">
            <w:pPr>
              <w:pStyle w:val="TableParagraph"/>
              <w:spacing w:before="134"/>
              <w:rPr>
                <w:rFonts w:ascii="Verdana" w:hAnsi="Verdana"/>
                <w:b/>
                <w:sz w:val="18"/>
                <w:szCs w:val="18"/>
              </w:rPr>
            </w:pPr>
          </w:p>
          <w:p w14:paraId="302472C8" w14:textId="77777777" w:rsidR="008715BE" w:rsidRPr="00EC75B7" w:rsidRDefault="00000000">
            <w:pPr>
              <w:pStyle w:val="TableParagraph"/>
              <w:spacing w:line="319" w:lineRule="auto"/>
              <w:ind w:left="108" w:right="119"/>
              <w:rPr>
                <w:rFonts w:ascii="Verdana" w:hAnsi="Verdana"/>
                <w:sz w:val="18"/>
                <w:szCs w:val="18"/>
              </w:rPr>
            </w:pPr>
            <w:r w:rsidRPr="00EC75B7">
              <w:rPr>
                <w:rFonts w:ascii="Verdana" w:hAnsi="Verdana"/>
                <w:sz w:val="18"/>
                <w:szCs w:val="18"/>
              </w:rPr>
              <w:t>To reduce the risk of mortality, the following measures are proposed: limiting the entry into production of turbines (T47, T46, T35, T36, T34) at wind speeds of 6.5 m/s, during the sensitive period (migration), starting half an hour before sunset until sunrise, and bat protection systems that emit ultrasonic deterrent signals to remove bats from the rotor wash area. The measure will apply from</w:t>
            </w:r>
          </w:p>
          <w:p w14:paraId="015438D4" w14:textId="77777777" w:rsidR="008715BE" w:rsidRPr="00EC75B7" w:rsidRDefault="00000000">
            <w:pPr>
              <w:pStyle w:val="TableParagraph"/>
              <w:spacing w:before="2"/>
              <w:ind w:left="108"/>
              <w:rPr>
                <w:rFonts w:ascii="Verdana" w:hAnsi="Verdana"/>
                <w:sz w:val="18"/>
                <w:szCs w:val="18"/>
              </w:rPr>
            </w:pPr>
            <w:r w:rsidRPr="00EC75B7">
              <w:rPr>
                <w:rFonts w:ascii="Verdana" w:hAnsi="Verdana"/>
                <w:sz w:val="18"/>
                <w:szCs w:val="18"/>
              </w:rPr>
              <w:t xml:space="preserve">the first year of operation of the </w:t>
            </w:r>
            <w:r w:rsidRPr="00EC75B7">
              <w:rPr>
                <w:rFonts w:ascii="Verdana" w:hAnsi="Verdana"/>
                <w:spacing w:val="-2"/>
                <w:sz w:val="18"/>
                <w:szCs w:val="18"/>
              </w:rPr>
              <w:t xml:space="preserve">wind </w:t>
            </w:r>
            <w:r w:rsidRPr="00EC75B7">
              <w:rPr>
                <w:rFonts w:ascii="Verdana" w:hAnsi="Verdana"/>
                <w:sz w:val="18"/>
                <w:szCs w:val="18"/>
              </w:rPr>
              <w:t>farm</w:t>
            </w:r>
            <w:r w:rsidRPr="00EC75B7">
              <w:rPr>
                <w:rFonts w:ascii="Verdana" w:hAnsi="Verdana"/>
                <w:spacing w:val="-2"/>
                <w:sz w:val="18"/>
                <w:szCs w:val="18"/>
              </w:rPr>
              <w:t>.</w:t>
            </w:r>
          </w:p>
        </w:tc>
        <w:tc>
          <w:tcPr>
            <w:tcW w:w="1809" w:type="dxa"/>
          </w:tcPr>
          <w:p w14:paraId="1714CC26" w14:textId="77777777" w:rsidR="008715BE" w:rsidRPr="00EC75B7" w:rsidRDefault="00000000" w:rsidP="00C96230">
            <w:pPr>
              <w:pStyle w:val="TableParagraph"/>
              <w:spacing w:before="8"/>
              <w:ind w:left="14" w:right="1"/>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bird </w:t>
            </w:r>
            <w:r w:rsidRPr="00EC75B7">
              <w:rPr>
                <w:rFonts w:ascii="Verdana" w:hAnsi="Verdana"/>
                <w:sz w:val="18"/>
                <w:szCs w:val="18"/>
              </w:rPr>
              <w:t>species*</w:t>
            </w:r>
          </w:p>
          <w:p w14:paraId="13E88AF3" w14:textId="77777777" w:rsidR="008715BE" w:rsidRPr="00EC75B7" w:rsidRDefault="00000000" w:rsidP="00C96230">
            <w:pPr>
              <w:pStyle w:val="TableParagraph"/>
              <w:ind w:left="14"/>
              <w:rPr>
                <w:rFonts w:ascii="Verdana" w:hAnsi="Verdana"/>
                <w:sz w:val="18"/>
                <w:szCs w:val="18"/>
              </w:rPr>
            </w:pPr>
            <w:r w:rsidRPr="00EC75B7">
              <w:rPr>
                <w:rFonts w:ascii="Verdana" w:hAnsi="Verdana"/>
                <w:spacing w:val="-2"/>
                <w:sz w:val="18"/>
                <w:szCs w:val="18"/>
              </w:rPr>
              <w:t xml:space="preserve">potentially affected and </w:t>
            </w:r>
            <w:r w:rsidRPr="00EC75B7">
              <w:rPr>
                <w:rFonts w:ascii="Verdana" w:hAnsi="Verdana"/>
                <w:sz w:val="18"/>
                <w:szCs w:val="18"/>
              </w:rPr>
              <w:t xml:space="preserve">chiroptera** in </w:t>
            </w:r>
            <w:r w:rsidRPr="00EC75B7">
              <w:rPr>
                <w:rFonts w:ascii="Verdana" w:hAnsi="Verdana"/>
                <w:spacing w:val="-2"/>
                <w:sz w:val="18"/>
                <w:szCs w:val="18"/>
              </w:rPr>
              <w:t>ROSCI0071, ROSCI0157, ROSPA0166, ROSPA0036, ROSPA0094, BG0000569,</w:t>
            </w:r>
          </w:p>
          <w:p w14:paraId="5B2753A5" w14:textId="77777777" w:rsidR="008715BE" w:rsidRPr="00EC75B7" w:rsidRDefault="00000000" w:rsidP="00C96230">
            <w:pPr>
              <w:pStyle w:val="TableParagraph"/>
              <w:spacing w:line="161"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0EC0CE74" w14:textId="77777777" w:rsidR="008715BE" w:rsidRPr="00EC75B7" w:rsidRDefault="008715BE">
            <w:pPr>
              <w:pStyle w:val="TableParagraph"/>
              <w:rPr>
                <w:rFonts w:ascii="Verdana" w:hAnsi="Verdana"/>
                <w:b/>
                <w:sz w:val="18"/>
                <w:szCs w:val="18"/>
              </w:rPr>
            </w:pPr>
          </w:p>
          <w:p w14:paraId="15BCEA58" w14:textId="77777777" w:rsidR="008715BE" w:rsidRPr="00EC75B7" w:rsidRDefault="008715BE">
            <w:pPr>
              <w:pStyle w:val="TableParagraph"/>
              <w:rPr>
                <w:rFonts w:ascii="Verdana" w:hAnsi="Verdana"/>
                <w:b/>
                <w:sz w:val="18"/>
                <w:szCs w:val="18"/>
              </w:rPr>
            </w:pPr>
          </w:p>
          <w:p w14:paraId="0B770046" w14:textId="77777777" w:rsidR="008715BE" w:rsidRPr="00EC75B7" w:rsidRDefault="008715BE">
            <w:pPr>
              <w:pStyle w:val="TableParagraph"/>
              <w:spacing w:before="5"/>
              <w:rPr>
                <w:rFonts w:ascii="Verdana" w:hAnsi="Verdana"/>
                <w:b/>
                <w:sz w:val="18"/>
                <w:szCs w:val="18"/>
              </w:rPr>
            </w:pPr>
          </w:p>
          <w:p w14:paraId="6F5229C9"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3E19F23D" w14:textId="77777777" w:rsidR="008715BE" w:rsidRPr="00EC75B7" w:rsidRDefault="008715BE">
            <w:pPr>
              <w:pStyle w:val="TableParagraph"/>
              <w:rPr>
                <w:rFonts w:ascii="Verdana" w:hAnsi="Verdana"/>
                <w:b/>
                <w:sz w:val="18"/>
                <w:szCs w:val="18"/>
              </w:rPr>
            </w:pPr>
          </w:p>
          <w:p w14:paraId="046EEF7F" w14:textId="77777777" w:rsidR="008715BE" w:rsidRPr="00EC75B7" w:rsidRDefault="008715BE">
            <w:pPr>
              <w:pStyle w:val="TableParagraph"/>
              <w:rPr>
                <w:rFonts w:ascii="Verdana" w:hAnsi="Verdana"/>
                <w:b/>
                <w:sz w:val="18"/>
                <w:szCs w:val="18"/>
              </w:rPr>
            </w:pPr>
          </w:p>
          <w:p w14:paraId="2EE68CBE" w14:textId="77777777" w:rsidR="008715BE" w:rsidRPr="00EC75B7" w:rsidRDefault="008715BE">
            <w:pPr>
              <w:pStyle w:val="TableParagraph"/>
              <w:rPr>
                <w:rFonts w:ascii="Verdana" w:hAnsi="Verdana"/>
                <w:b/>
                <w:sz w:val="18"/>
                <w:szCs w:val="18"/>
              </w:rPr>
            </w:pPr>
          </w:p>
          <w:p w14:paraId="5DB211F0" w14:textId="77777777" w:rsidR="008715BE" w:rsidRPr="00EC75B7" w:rsidRDefault="008715BE">
            <w:pPr>
              <w:pStyle w:val="TableParagraph"/>
              <w:rPr>
                <w:rFonts w:ascii="Verdana" w:hAnsi="Verdana"/>
                <w:b/>
                <w:sz w:val="18"/>
                <w:szCs w:val="18"/>
              </w:rPr>
            </w:pPr>
          </w:p>
          <w:p w14:paraId="136717E1" w14:textId="77777777" w:rsidR="008715BE" w:rsidRPr="00EC75B7" w:rsidRDefault="008715BE">
            <w:pPr>
              <w:pStyle w:val="TableParagraph"/>
              <w:spacing w:before="3"/>
              <w:rPr>
                <w:rFonts w:ascii="Verdana" w:hAnsi="Verdana"/>
                <w:b/>
                <w:sz w:val="18"/>
                <w:szCs w:val="18"/>
              </w:rPr>
            </w:pPr>
          </w:p>
          <w:p w14:paraId="750BD798"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625ADFA6" w14:textId="77777777" w:rsidR="008715BE" w:rsidRPr="00EC75B7" w:rsidRDefault="008715BE">
            <w:pPr>
              <w:pStyle w:val="TableParagraph"/>
              <w:rPr>
                <w:rFonts w:ascii="Verdana" w:hAnsi="Verdana"/>
                <w:b/>
                <w:sz w:val="18"/>
                <w:szCs w:val="18"/>
              </w:rPr>
            </w:pPr>
          </w:p>
          <w:p w14:paraId="5342BFD7" w14:textId="77777777" w:rsidR="008715BE" w:rsidRPr="00EC75B7" w:rsidRDefault="008715BE">
            <w:pPr>
              <w:pStyle w:val="TableParagraph"/>
              <w:rPr>
                <w:rFonts w:ascii="Verdana" w:hAnsi="Verdana"/>
                <w:b/>
                <w:sz w:val="18"/>
                <w:szCs w:val="18"/>
              </w:rPr>
            </w:pPr>
          </w:p>
          <w:p w14:paraId="42C68175" w14:textId="77777777" w:rsidR="008715BE" w:rsidRPr="00EC75B7" w:rsidRDefault="008715BE">
            <w:pPr>
              <w:pStyle w:val="TableParagraph"/>
              <w:rPr>
                <w:rFonts w:ascii="Verdana" w:hAnsi="Verdana"/>
                <w:b/>
                <w:sz w:val="18"/>
                <w:szCs w:val="18"/>
              </w:rPr>
            </w:pPr>
          </w:p>
          <w:p w14:paraId="546143FD" w14:textId="77777777" w:rsidR="008715BE" w:rsidRPr="00EC75B7" w:rsidRDefault="008715BE">
            <w:pPr>
              <w:pStyle w:val="TableParagraph"/>
              <w:rPr>
                <w:rFonts w:ascii="Verdana" w:hAnsi="Verdana"/>
                <w:b/>
                <w:sz w:val="18"/>
                <w:szCs w:val="18"/>
              </w:rPr>
            </w:pPr>
          </w:p>
          <w:p w14:paraId="327A1CA0" w14:textId="77777777" w:rsidR="008715BE" w:rsidRPr="00EC75B7" w:rsidRDefault="008715BE">
            <w:pPr>
              <w:pStyle w:val="TableParagraph"/>
              <w:spacing w:before="3"/>
              <w:rPr>
                <w:rFonts w:ascii="Verdana" w:hAnsi="Verdana"/>
                <w:b/>
                <w:sz w:val="18"/>
                <w:szCs w:val="18"/>
              </w:rPr>
            </w:pPr>
          </w:p>
          <w:p w14:paraId="11A8E631" w14:textId="77777777" w:rsidR="008715BE" w:rsidRPr="00EC75B7" w:rsidRDefault="00000000">
            <w:pPr>
              <w:pStyle w:val="TableParagraph"/>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1793A4E5" w14:textId="77777777" w:rsidR="008715BE" w:rsidRPr="00EC75B7" w:rsidRDefault="008715BE">
            <w:pPr>
              <w:pStyle w:val="TableParagraph"/>
              <w:rPr>
                <w:rFonts w:ascii="Verdana" w:hAnsi="Verdana"/>
                <w:b/>
                <w:sz w:val="18"/>
                <w:szCs w:val="18"/>
              </w:rPr>
            </w:pPr>
          </w:p>
          <w:p w14:paraId="1629966C" w14:textId="77777777" w:rsidR="008715BE" w:rsidRPr="00EC75B7" w:rsidRDefault="008715BE">
            <w:pPr>
              <w:pStyle w:val="TableParagraph"/>
              <w:rPr>
                <w:rFonts w:ascii="Verdana" w:hAnsi="Verdana"/>
                <w:b/>
                <w:sz w:val="18"/>
                <w:szCs w:val="18"/>
              </w:rPr>
            </w:pPr>
          </w:p>
          <w:p w14:paraId="547C6DAC" w14:textId="77777777" w:rsidR="008715BE" w:rsidRPr="00EC75B7" w:rsidRDefault="008715BE">
            <w:pPr>
              <w:pStyle w:val="TableParagraph"/>
              <w:rPr>
                <w:rFonts w:ascii="Verdana" w:hAnsi="Verdana"/>
                <w:b/>
                <w:sz w:val="18"/>
                <w:szCs w:val="18"/>
              </w:rPr>
            </w:pPr>
          </w:p>
          <w:p w14:paraId="4488416A" w14:textId="77777777" w:rsidR="008715BE" w:rsidRPr="00EC75B7" w:rsidRDefault="008715BE">
            <w:pPr>
              <w:pStyle w:val="TableParagraph"/>
              <w:rPr>
                <w:rFonts w:ascii="Verdana" w:hAnsi="Verdana"/>
                <w:b/>
                <w:sz w:val="18"/>
                <w:szCs w:val="18"/>
              </w:rPr>
            </w:pPr>
          </w:p>
          <w:p w14:paraId="3A4268DC" w14:textId="77777777" w:rsidR="008715BE" w:rsidRPr="00EC75B7" w:rsidRDefault="008715BE">
            <w:pPr>
              <w:pStyle w:val="TableParagraph"/>
              <w:spacing w:before="3"/>
              <w:rPr>
                <w:rFonts w:ascii="Verdana" w:hAnsi="Verdana"/>
                <w:b/>
                <w:sz w:val="18"/>
                <w:szCs w:val="18"/>
              </w:rPr>
            </w:pPr>
          </w:p>
          <w:p w14:paraId="20BD823C" w14:textId="77777777" w:rsidR="008715BE" w:rsidRPr="00EC75B7" w:rsidRDefault="00000000">
            <w:pPr>
              <w:pStyle w:val="TableParagraph"/>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213A081F" w14:textId="77777777" w:rsidR="008715BE" w:rsidRPr="00EC75B7" w:rsidRDefault="008715BE">
            <w:pPr>
              <w:pStyle w:val="TableParagraph"/>
              <w:rPr>
                <w:rFonts w:ascii="Verdana" w:hAnsi="Verdana"/>
                <w:b/>
                <w:sz w:val="18"/>
                <w:szCs w:val="18"/>
              </w:rPr>
            </w:pPr>
          </w:p>
          <w:p w14:paraId="4A565C50" w14:textId="77777777" w:rsidR="008715BE" w:rsidRPr="00EC75B7" w:rsidRDefault="008715BE">
            <w:pPr>
              <w:pStyle w:val="TableParagraph"/>
              <w:rPr>
                <w:rFonts w:ascii="Verdana" w:hAnsi="Verdana"/>
                <w:b/>
                <w:sz w:val="18"/>
                <w:szCs w:val="18"/>
              </w:rPr>
            </w:pPr>
          </w:p>
          <w:p w14:paraId="6E2034BD" w14:textId="77777777" w:rsidR="008715BE" w:rsidRPr="00EC75B7" w:rsidRDefault="008715BE">
            <w:pPr>
              <w:pStyle w:val="TableParagraph"/>
              <w:rPr>
                <w:rFonts w:ascii="Verdana" w:hAnsi="Verdana"/>
                <w:b/>
                <w:sz w:val="18"/>
                <w:szCs w:val="18"/>
              </w:rPr>
            </w:pPr>
          </w:p>
          <w:p w14:paraId="64942208" w14:textId="77777777" w:rsidR="008715BE" w:rsidRPr="00EC75B7" w:rsidRDefault="008715BE">
            <w:pPr>
              <w:pStyle w:val="TableParagraph"/>
              <w:rPr>
                <w:rFonts w:ascii="Verdana" w:hAnsi="Verdana"/>
                <w:b/>
                <w:sz w:val="18"/>
                <w:szCs w:val="18"/>
              </w:rPr>
            </w:pPr>
          </w:p>
          <w:p w14:paraId="21EA71FD" w14:textId="77777777" w:rsidR="008715BE" w:rsidRPr="00EC75B7" w:rsidRDefault="008715BE">
            <w:pPr>
              <w:pStyle w:val="TableParagraph"/>
              <w:spacing w:before="3"/>
              <w:rPr>
                <w:rFonts w:ascii="Verdana" w:hAnsi="Verdana"/>
                <w:b/>
                <w:sz w:val="18"/>
                <w:szCs w:val="18"/>
              </w:rPr>
            </w:pPr>
          </w:p>
          <w:p w14:paraId="3A23ABA9"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57D4771" w14:textId="77777777" w:rsidR="008715BE" w:rsidRPr="00EC75B7" w:rsidRDefault="008715BE">
            <w:pPr>
              <w:pStyle w:val="TableParagraph"/>
              <w:rPr>
                <w:rFonts w:ascii="Verdana" w:hAnsi="Verdana"/>
                <w:b/>
                <w:sz w:val="18"/>
                <w:szCs w:val="18"/>
              </w:rPr>
            </w:pPr>
          </w:p>
          <w:p w14:paraId="322A73BF" w14:textId="77777777" w:rsidR="008715BE" w:rsidRPr="00EC75B7" w:rsidRDefault="008715BE">
            <w:pPr>
              <w:pStyle w:val="TableParagraph"/>
              <w:rPr>
                <w:rFonts w:ascii="Verdana" w:hAnsi="Verdana"/>
                <w:b/>
                <w:sz w:val="18"/>
                <w:szCs w:val="18"/>
              </w:rPr>
            </w:pPr>
          </w:p>
          <w:p w14:paraId="21A73AFC" w14:textId="77777777" w:rsidR="008715BE" w:rsidRPr="00EC75B7" w:rsidRDefault="008715BE">
            <w:pPr>
              <w:pStyle w:val="TableParagraph"/>
              <w:rPr>
                <w:rFonts w:ascii="Verdana" w:hAnsi="Verdana"/>
                <w:b/>
                <w:sz w:val="18"/>
                <w:szCs w:val="18"/>
              </w:rPr>
            </w:pPr>
          </w:p>
          <w:p w14:paraId="278E8BCC" w14:textId="77777777" w:rsidR="008715BE" w:rsidRPr="00EC75B7" w:rsidRDefault="008715BE">
            <w:pPr>
              <w:pStyle w:val="TableParagraph"/>
              <w:rPr>
                <w:rFonts w:ascii="Verdana" w:hAnsi="Verdana"/>
                <w:b/>
                <w:sz w:val="18"/>
                <w:szCs w:val="18"/>
              </w:rPr>
            </w:pPr>
          </w:p>
          <w:p w14:paraId="2295D812" w14:textId="77777777" w:rsidR="008715BE" w:rsidRPr="00EC75B7" w:rsidRDefault="008715BE">
            <w:pPr>
              <w:pStyle w:val="TableParagraph"/>
              <w:spacing w:before="3"/>
              <w:rPr>
                <w:rFonts w:ascii="Verdana" w:hAnsi="Verdana"/>
                <w:b/>
                <w:sz w:val="18"/>
                <w:szCs w:val="18"/>
              </w:rPr>
            </w:pPr>
          </w:p>
          <w:p w14:paraId="698EDE8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28FC3039" w14:textId="77777777" w:rsidR="008715BE" w:rsidRPr="00EC75B7" w:rsidRDefault="008715BE">
            <w:pPr>
              <w:pStyle w:val="TableParagraph"/>
              <w:rPr>
                <w:rFonts w:ascii="Verdana" w:hAnsi="Verdana"/>
                <w:b/>
                <w:sz w:val="18"/>
                <w:szCs w:val="18"/>
              </w:rPr>
            </w:pPr>
          </w:p>
          <w:p w14:paraId="6DD2B73F" w14:textId="77777777" w:rsidR="008715BE" w:rsidRPr="00EC75B7" w:rsidRDefault="008715BE">
            <w:pPr>
              <w:pStyle w:val="TableParagraph"/>
              <w:rPr>
                <w:rFonts w:ascii="Verdana" w:hAnsi="Verdana"/>
                <w:b/>
                <w:sz w:val="18"/>
                <w:szCs w:val="18"/>
              </w:rPr>
            </w:pPr>
          </w:p>
          <w:p w14:paraId="47CCE319" w14:textId="77777777" w:rsidR="008715BE" w:rsidRPr="00EC75B7" w:rsidRDefault="008715BE">
            <w:pPr>
              <w:pStyle w:val="TableParagraph"/>
              <w:rPr>
                <w:rFonts w:ascii="Verdana" w:hAnsi="Verdana"/>
                <w:b/>
                <w:sz w:val="18"/>
                <w:szCs w:val="18"/>
              </w:rPr>
            </w:pPr>
          </w:p>
          <w:p w14:paraId="1A310FA0" w14:textId="77777777" w:rsidR="008715BE" w:rsidRPr="00EC75B7" w:rsidRDefault="008715BE">
            <w:pPr>
              <w:pStyle w:val="TableParagraph"/>
              <w:rPr>
                <w:rFonts w:ascii="Verdana" w:hAnsi="Verdana"/>
                <w:b/>
                <w:sz w:val="18"/>
                <w:szCs w:val="18"/>
              </w:rPr>
            </w:pPr>
          </w:p>
          <w:p w14:paraId="673122EC" w14:textId="77777777" w:rsidR="008715BE" w:rsidRPr="00EC75B7" w:rsidRDefault="008715BE">
            <w:pPr>
              <w:pStyle w:val="TableParagraph"/>
              <w:spacing w:before="3"/>
              <w:rPr>
                <w:rFonts w:ascii="Verdana" w:hAnsi="Verdana"/>
                <w:b/>
                <w:sz w:val="18"/>
                <w:szCs w:val="18"/>
              </w:rPr>
            </w:pPr>
          </w:p>
          <w:p w14:paraId="6315A19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4FE5AA66" w14:textId="77777777" w:rsidR="008715BE" w:rsidRPr="00EC75B7" w:rsidRDefault="008715BE">
            <w:pPr>
              <w:pStyle w:val="TableParagraph"/>
              <w:rPr>
                <w:rFonts w:ascii="Verdana" w:hAnsi="Verdana"/>
                <w:b/>
                <w:sz w:val="18"/>
                <w:szCs w:val="18"/>
              </w:rPr>
            </w:pPr>
          </w:p>
          <w:p w14:paraId="38C6E4E5" w14:textId="77777777" w:rsidR="008715BE" w:rsidRPr="00EC75B7" w:rsidRDefault="008715BE">
            <w:pPr>
              <w:pStyle w:val="TableParagraph"/>
              <w:rPr>
                <w:rFonts w:ascii="Verdana" w:hAnsi="Verdana"/>
                <w:b/>
                <w:sz w:val="18"/>
                <w:szCs w:val="18"/>
              </w:rPr>
            </w:pPr>
          </w:p>
          <w:p w14:paraId="4147F6DD" w14:textId="77777777" w:rsidR="008715BE" w:rsidRPr="00EC75B7" w:rsidRDefault="008715BE">
            <w:pPr>
              <w:pStyle w:val="TableParagraph"/>
              <w:rPr>
                <w:rFonts w:ascii="Verdana" w:hAnsi="Verdana"/>
                <w:b/>
                <w:sz w:val="18"/>
                <w:szCs w:val="18"/>
              </w:rPr>
            </w:pPr>
          </w:p>
          <w:p w14:paraId="00D655AE" w14:textId="77777777" w:rsidR="008715BE" w:rsidRPr="00EC75B7" w:rsidRDefault="008715BE">
            <w:pPr>
              <w:pStyle w:val="TableParagraph"/>
              <w:rPr>
                <w:rFonts w:ascii="Verdana" w:hAnsi="Verdana"/>
                <w:b/>
                <w:sz w:val="18"/>
                <w:szCs w:val="18"/>
              </w:rPr>
            </w:pPr>
          </w:p>
          <w:p w14:paraId="39A19C13" w14:textId="77777777" w:rsidR="008715BE" w:rsidRPr="00EC75B7" w:rsidRDefault="008715BE">
            <w:pPr>
              <w:pStyle w:val="TableParagraph"/>
              <w:spacing w:before="3"/>
              <w:rPr>
                <w:rFonts w:ascii="Verdana" w:hAnsi="Verdana"/>
                <w:b/>
                <w:sz w:val="18"/>
                <w:szCs w:val="18"/>
              </w:rPr>
            </w:pPr>
          </w:p>
          <w:p w14:paraId="07ED50A9"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363C1479" w14:textId="77777777" w:rsidR="008715BE" w:rsidRPr="00EC75B7" w:rsidRDefault="008715BE">
            <w:pPr>
              <w:pStyle w:val="TableParagraph"/>
              <w:rPr>
                <w:rFonts w:ascii="Verdana" w:hAnsi="Verdana"/>
                <w:b/>
                <w:sz w:val="18"/>
                <w:szCs w:val="18"/>
              </w:rPr>
            </w:pPr>
          </w:p>
          <w:p w14:paraId="39EA3ED3" w14:textId="77777777" w:rsidR="008715BE" w:rsidRPr="00EC75B7" w:rsidRDefault="008715BE">
            <w:pPr>
              <w:pStyle w:val="TableParagraph"/>
              <w:rPr>
                <w:rFonts w:ascii="Verdana" w:hAnsi="Verdana"/>
                <w:b/>
                <w:sz w:val="18"/>
                <w:szCs w:val="18"/>
              </w:rPr>
            </w:pPr>
          </w:p>
          <w:p w14:paraId="6A78E876" w14:textId="77777777" w:rsidR="008715BE" w:rsidRPr="00EC75B7" w:rsidRDefault="008715BE">
            <w:pPr>
              <w:pStyle w:val="TableParagraph"/>
              <w:rPr>
                <w:rFonts w:ascii="Verdana" w:hAnsi="Verdana"/>
                <w:b/>
                <w:sz w:val="18"/>
                <w:szCs w:val="18"/>
              </w:rPr>
            </w:pPr>
          </w:p>
          <w:p w14:paraId="3B7ADF78" w14:textId="77777777" w:rsidR="008715BE" w:rsidRPr="00EC75B7" w:rsidRDefault="008715BE">
            <w:pPr>
              <w:pStyle w:val="TableParagraph"/>
              <w:rPr>
                <w:rFonts w:ascii="Verdana" w:hAnsi="Verdana"/>
                <w:b/>
                <w:sz w:val="18"/>
                <w:szCs w:val="18"/>
              </w:rPr>
            </w:pPr>
          </w:p>
          <w:p w14:paraId="73DBC7F2" w14:textId="77777777" w:rsidR="008715BE" w:rsidRPr="00EC75B7" w:rsidRDefault="008715BE">
            <w:pPr>
              <w:pStyle w:val="TableParagraph"/>
              <w:spacing w:before="3"/>
              <w:rPr>
                <w:rFonts w:ascii="Verdana" w:hAnsi="Verdana"/>
                <w:b/>
                <w:sz w:val="18"/>
                <w:szCs w:val="18"/>
              </w:rPr>
            </w:pPr>
          </w:p>
          <w:p w14:paraId="51928872"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7D896F3A" w14:textId="77777777" w:rsidR="008715BE" w:rsidRPr="00EC75B7" w:rsidRDefault="008715BE">
            <w:pPr>
              <w:pStyle w:val="TableParagraph"/>
              <w:rPr>
                <w:rFonts w:ascii="Verdana" w:hAnsi="Verdana"/>
                <w:b/>
                <w:sz w:val="18"/>
                <w:szCs w:val="18"/>
              </w:rPr>
            </w:pPr>
          </w:p>
          <w:p w14:paraId="1C7D00E7" w14:textId="77777777" w:rsidR="008715BE" w:rsidRPr="00EC75B7" w:rsidRDefault="008715BE">
            <w:pPr>
              <w:pStyle w:val="TableParagraph"/>
              <w:rPr>
                <w:rFonts w:ascii="Verdana" w:hAnsi="Verdana"/>
                <w:b/>
                <w:sz w:val="18"/>
                <w:szCs w:val="18"/>
              </w:rPr>
            </w:pPr>
          </w:p>
          <w:p w14:paraId="02986913" w14:textId="77777777" w:rsidR="008715BE" w:rsidRPr="00EC75B7" w:rsidRDefault="008715BE">
            <w:pPr>
              <w:pStyle w:val="TableParagraph"/>
              <w:rPr>
                <w:rFonts w:ascii="Verdana" w:hAnsi="Verdana"/>
                <w:b/>
                <w:sz w:val="18"/>
                <w:szCs w:val="18"/>
              </w:rPr>
            </w:pPr>
          </w:p>
          <w:p w14:paraId="2C03B87F" w14:textId="77777777" w:rsidR="008715BE" w:rsidRPr="00EC75B7" w:rsidRDefault="008715BE">
            <w:pPr>
              <w:pStyle w:val="TableParagraph"/>
              <w:rPr>
                <w:rFonts w:ascii="Verdana" w:hAnsi="Verdana"/>
                <w:b/>
                <w:sz w:val="18"/>
                <w:szCs w:val="18"/>
              </w:rPr>
            </w:pPr>
          </w:p>
          <w:p w14:paraId="25C9BBA1" w14:textId="77777777" w:rsidR="008715BE" w:rsidRPr="00EC75B7" w:rsidRDefault="008715BE">
            <w:pPr>
              <w:pStyle w:val="TableParagraph"/>
              <w:spacing w:before="3"/>
              <w:rPr>
                <w:rFonts w:ascii="Verdana" w:hAnsi="Verdana"/>
                <w:b/>
                <w:sz w:val="18"/>
                <w:szCs w:val="18"/>
              </w:rPr>
            </w:pPr>
          </w:p>
          <w:p w14:paraId="472FD1A6"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108AB60F" w14:textId="77777777" w:rsidR="008715BE" w:rsidRPr="00EC75B7" w:rsidRDefault="008715BE">
            <w:pPr>
              <w:pStyle w:val="TableParagraph"/>
              <w:rPr>
                <w:rFonts w:ascii="Verdana" w:hAnsi="Verdana"/>
                <w:b/>
                <w:sz w:val="18"/>
                <w:szCs w:val="18"/>
              </w:rPr>
            </w:pPr>
          </w:p>
          <w:p w14:paraId="34770E61" w14:textId="77777777" w:rsidR="008715BE" w:rsidRPr="00EC75B7" w:rsidRDefault="008715BE">
            <w:pPr>
              <w:pStyle w:val="TableParagraph"/>
              <w:rPr>
                <w:rFonts w:ascii="Verdana" w:hAnsi="Verdana"/>
                <w:b/>
                <w:sz w:val="18"/>
                <w:szCs w:val="18"/>
              </w:rPr>
            </w:pPr>
          </w:p>
          <w:p w14:paraId="566F6A2A" w14:textId="77777777" w:rsidR="008715BE" w:rsidRPr="00EC75B7" w:rsidRDefault="008715BE">
            <w:pPr>
              <w:pStyle w:val="TableParagraph"/>
              <w:rPr>
                <w:rFonts w:ascii="Verdana" w:hAnsi="Verdana"/>
                <w:b/>
                <w:sz w:val="18"/>
                <w:szCs w:val="18"/>
              </w:rPr>
            </w:pPr>
          </w:p>
          <w:p w14:paraId="0B48BFAD" w14:textId="77777777" w:rsidR="008715BE" w:rsidRPr="00EC75B7" w:rsidRDefault="008715BE">
            <w:pPr>
              <w:pStyle w:val="TableParagraph"/>
              <w:rPr>
                <w:rFonts w:ascii="Verdana" w:hAnsi="Verdana"/>
                <w:b/>
                <w:sz w:val="18"/>
                <w:szCs w:val="18"/>
              </w:rPr>
            </w:pPr>
          </w:p>
          <w:p w14:paraId="00EE1157" w14:textId="77777777" w:rsidR="008715BE" w:rsidRPr="00EC75B7" w:rsidRDefault="008715BE">
            <w:pPr>
              <w:pStyle w:val="TableParagraph"/>
              <w:spacing w:before="3"/>
              <w:rPr>
                <w:rFonts w:ascii="Verdana" w:hAnsi="Verdana"/>
                <w:b/>
                <w:sz w:val="18"/>
                <w:szCs w:val="18"/>
              </w:rPr>
            </w:pPr>
          </w:p>
          <w:p w14:paraId="481BE0A4"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7085C998" w14:textId="77777777" w:rsidR="008715BE" w:rsidRPr="00EC75B7" w:rsidRDefault="008715BE">
            <w:pPr>
              <w:pStyle w:val="TableParagraph"/>
              <w:rPr>
                <w:rFonts w:ascii="Verdana" w:hAnsi="Verdana"/>
                <w:b/>
                <w:sz w:val="18"/>
                <w:szCs w:val="18"/>
              </w:rPr>
            </w:pPr>
          </w:p>
          <w:p w14:paraId="5793C59A" w14:textId="77777777" w:rsidR="008715BE" w:rsidRPr="00EC75B7" w:rsidRDefault="008715BE">
            <w:pPr>
              <w:pStyle w:val="TableParagraph"/>
              <w:rPr>
                <w:rFonts w:ascii="Verdana" w:hAnsi="Verdana"/>
                <w:b/>
                <w:sz w:val="18"/>
                <w:szCs w:val="18"/>
              </w:rPr>
            </w:pPr>
          </w:p>
          <w:p w14:paraId="5B1088AC" w14:textId="77777777" w:rsidR="008715BE" w:rsidRPr="00EC75B7" w:rsidRDefault="008715BE">
            <w:pPr>
              <w:pStyle w:val="TableParagraph"/>
              <w:rPr>
                <w:rFonts w:ascii="Verdana" w:hAnsi="Verdana"/>
                <w:b/>
                <w:sz w:val="18"/>
                <w:szCs w:val="18"/>
              </w:rPr>
            </w:pPr>
          </w:p>
          <w:p w14:paraId="2458259F" w14:textId="77777777" w:rsidR="008715BE" w:rsidRPr="00EC75B7" w:rsidRDefault="008715BE">
            <w:pPr>
              <w:pStyle w:val="TableParagraph"/>
              <w:rPr>
                <w:rFonts w:ascii="Verdana" w:hAnsi="Verdana"/>
                <w:b/>
                <w:sz w:val="18"/>
                <w:szCs w:val="18"/>
              </w:rPr>
            </w:pPr>
          </w:p>
          <w:p w14:paraId="64A81741" w14:textId="77777777" w:rsidR="008715BE" w:rsidRPr="00EC75B7" w:rsidRDefault="008715BE">
            <w:pPr>
              <w:pStyle w:val="TableParagraph"/>
              <w:spacing w:before="3"/>
              <w:rPr>
                <w:rFonts w:ascii="Verdana" w:hAnsi="Verdana"/>
                <w:b/>
                <w:sz w:val="18"/>
                <w:szCs w:val="18"/>
              </w:rPr>
            </w:pPr>
          </w:p>
          <w:p w14:paraId="1F91184B"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1C5DBC81" w14:textId="77777777" w:rsidR="008715BE" w:rsidRPr="00EC75B7" w:rsidRDefault="008715BE">
            <w:pPr>
              <w:pStyle w:val="TableParagraph"/>
              <w:rPr>
                <w:rFonts w:ascii="Verdana" w:hAnsi="Verdana"/>
                <w:b/>
                <w:sz w:val="18"/>
                <w:szCs w:val="18"/>
              </w:rPr>
            </w:pPr>
          </w:p>
          <w:p w14:paraId="531570BC" w14:textId="77777777" w:rsidR="008715BE" w:rsidRPr="00EC75B7" w:rsidRDefault="008715BE">
            <w:pPr>
              <w:pStyle w:val="TableParagraph"/>
              <w:rPr>
                <w:rFonts w:ascii="Verdana" w:hAnsi="Verdana"/>
                <w:b/>
                <w:sz w:val="18"/>
                <w:szCs w:val="18"/>
              </w:rPr>
            </w:pPr>
          </w:p>
          <w:p w14:paraId="7892CE42" w14:textId="77777777" w:rsidR="008715BE" w:rsidRPr="00EC75B7" w:rsidRDefault="008715BE">
            <w:pPr>
              <w:pStyle w:val="TableParagraph"/>
              <w:rPr>
                <w:rFonts w:ascii="Verdana" w:hAnsi="Verdana"/>
                <w:b/>
                <w:sz w:val="18"/>
                <w:szCs w:val="18"/>
              </w:rPr>
            </w:pPr>
          </w:p>
          <w:p w14:paraId="32FFC4BF" w14:textId="77777777" w:rsidR="008715BE" w:rsidRPr="00EC75B7" w:rsidRDefault="008715BE">
            <w:pPr>
              <w:pStyle w:val="TableParagraph"/>
              <w:rPr>
                <w:rFonts w:ascii="Verdana" w:hAnsi="Verdana"/>
                <w:b/>
                <w:sz w:val="18"/>
                <w:szCs w:val="18"/>
              </w:rPr>
            </w:pPr>
          </w:p>
          <w:p w14:paraId="192B9627" w14:textId="77777777" w:rsidR="008715BE" w:rsidRPr="00EC75B7" w:rsidRDefault="008715BE">
            <w:pPr>
              <w:pStyle w:val="TableParagraph"/>
              <w:spacing w:before="3"/>
              <w:rPr>
                <w:rFonts w:ascii="Verdana" w:hAnsi="Verdana"/>
                <w:b/>
                <w:sz w:val="18"/>
                <w:szCs w:val="18"/>
              </w:rPr>
            </w:pPr>
          </w:p>
          <w:p w14:paraId="382C0393"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0B91FB18" w14:textId="77777777" w:rsidR="008715BE" w:rsidRPr="00EC75B7" w:rsidRDefault="008715BE">
            <w:pPr>
              <w:pStyle w:val="TableParagraph"/>
              <w:rPr>
                <w:rFonts w:ascii="Verdana" w:hAnsi="Verdana"/>
                <w:b/>
                <w:sz w:val="18"/>
                <w:szCs w:val="18"/>
              </w:rPr>
            </w:pPr>
          </w:p>
          <w:p w14:paraId="7A5A6F47" w14:textId="77777777" w:rsidR="008715BE" w:rsidRPr="00EC75B7" w:rsidRDefault="008715BE">
            <w:pPr>
              <w:pStyle w:val="TableParagraph"/>
              <w:rPr>
                <w:rFonts w:ascii="Verdana" w:hAnsi="Verdana"/>
                <w:b/>
                <w:sz w:val="18"/>
                <w:szCs w:val="18"/>
              </w:rPr>
            </w:pPr>
          </w:p>
          <w:p w14:paraId="7A6BF365" w14:textId="77777777" w:rsidR="008715BE" w:rsidRPr="00EC75B7" w:rsidRDefault="008715BE">
            <w:pPr>
              <w:pStyle w:val="TableParagraph"/>
              <w:rPr>
                <w:rFonts w:ascii="Verdana" w:hAnsi="Verdana"/>
                <w:b/>
                <w:sz w:val="18"/>
                <w:szCs w:val="18"/>
              </w:rPr>
            </w:pPr>
          </w:p>
          <w:p w14:paraId="1A656C98" w14:textId="77777777" w:rsidR="008715BE" w:rsidRPr="00EC75B7" w:rsidRDefault="008715BE">
            <w:pPr>
              <w:pStyle w:val="TableParagraph"/>
              <w:rPr>
                <w:rFonts w:ascii="Verdana" w:hAnsi="Verdana"/>
                <w:b/>
                <w:sz w:val="18"/>
                <w:szCs w:val="18"/>
              </w:rPr>
            </w:pPr>
          </w:p>
          <w:p w14:paraId="4003C348" w14:textId="77777777" w:rsidR="008715BE" w:rsidRPr="00EC75B7" w:rsidRDefault="008715BE">
            <w:pPr>
              <w:pStyle w:val="TableParagraph"/>
              <w:spacing w:before="3"/>
              <w:rPr>
                <w:rFonts w:ascii="Verdana" w:hAnsi="Verdana"/>
                <w:b/>
                <w:sz w:val="18"/>
                <w:szCs w:val="18"/>
              </w:rPr>
            </w:pPr>
          </w:p>
          <w:p w14:paraId="6B67869B"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7DA3E642" w14:textId="77777777" w:rsidR="008715BE" w:rsidRPr="00EC75B7" w:rsidRDefault="008715BE">
            <w:pPr>
              <w:pStyle w:val="TableParagraph"/>
              <w:rPr>
                <w:rFonts w:ascii="Verdana" w:hAnsi="Verdana"/>
                <w:b/>
                <w:sz w:val="18"/>
                <w:szCs w:val="18"/>
              </w:rPr>
            </w:pPr>
          </w:p>
          <w:p w14:paraId="13C57F38" w14:textId="77777777" w:rsidR="008715BE" w:rsidRPr="00EC75B7" w:rsidRDefault="008715BE">
            <w:pPr>
              <w:pStyle w:val="TableParagraph"/>
              <w:spacing w:before="104"/>
              <w:rPr>
                <w:rFonts w:ascii="Verdana" w:hAnsi="Verdana"/>
                <w:b/>
                <w:sz w:val="18"/>
                <w:szCs w:val="18"/>
              </w:rPr>
            </w:pPr>
          </w:p>
          <w:p w14:paraId="1AAE49F5" w14:textId="77777777" w:rsidR="008715BE" w:rsidRPr="00EC75B7" w:rsidRDefault="00000000">
            <w:pPr>
              <w:pStyle w:val="TableParagraph"/>
              <w:spacing w:before="1"/>
              <w:ind w:left="140" w:right="129"/>
              <w:jc w:val="center"/>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 xml:space="preserve">owner/Certified and </w:t>
            </w:r>
            <w:r w:rsidRPr="00EC75B7">
              <w:rPr>
                <w:rFonts w:ascii="Verdana" w:hAnsi="Verdana"/>
                <w:spacing w:val="-2"/>
                <w:sz w:val="18"/>
                <w:szCs w:val="18"/>
              </w:rPr>
              <w:t>experienced experts</w:t>
            </w:r>
          </w:p>
          <w:p w14:paraId="2B5801D7" w14:textId="77777777" w:rsidR="008715BE" w:rsidRPr="00EC75B7" w:rsidRDefault="00000000">
            <w:pPr>
              <w:pStyle w:val="TableParagraph"/>
              <w:spacing w:line="192" w:lineRule="exact"/>
              <w:ind w:left="140" w:right="129"/>
              <w:jc w:val="center"/>
              <w:rPr>
                <w:rFonts w:ascii="Verdana" w:hAnsi="Verdana"/>
                <w:sz w:val="18"/>
                <w:szCs w:val="18"/>
              </w:rPr>
            </w:pPr>
            <w:r w:rsidRPr="00EC75B7">
              <w:rPr>
                <w:rFonts w:ascii="Verdana" w:hAnsi="Verdana"/>
                <w:sz w:val="18"/>
                <w:szCs w:val="18"/>
              </w:rPr>
              <w:t xml:space="preserve">in biodiversity </w:t>
            </w:r>
            <w:r w:rsidRPr="00EC75B7">
              <w:rPr>
                <w:rFonts w:ascii="Verdana" w:hAnsi="Verdana"/>
                <w:spacing w:val="-2"/>
                <w:sz w:val="18"/>
                <w:szCs w:val="18"/>
              </w:rPr>
              <w:t>monitoring</w:t>
            </w:r>
          </w:p>
          <w:p w14:paraId="6A4B53AB" w14:textId="77777777" w:rsidR="008715BE" w:rsidRPr="00EC75B7" w:rsidRDefault="00000000">
            <w:pPr>
              <w:pStyle w:val="TableParagraph"/>
              <w:ind w:left="139" w:right="132"/>
              <w:jc w:val="center"/>
              <w:rPr>
                <w:rFonts w:ascii="Verdana" w:hAnsi="Verdana"/>
                <w:sz w:val="18"/>
                <w:szCs w:val="18"/>
              </w:rPr>
            </w:pPr>
            <w:r w:rsidRPr="00EC75B7">
              <w:rPr>
                <w:rFonts w:ascii="Verdana" w:hAnsi="Verdana"/>
                <w:spacing w:val="-2"/>
                <w:sz w:val="18"/>
                <w:szCs w:val="18"/>
              </w:rPr>
              <w:t>biodiversity</w:t>
            </w:r>
          </w:p>
        </w:tc>
        <w:tc>
          <w:tcPr>
            <w:tcW w:w="1440" w:type="dxa"/>
          </w:tcPr>
          <w:p w14:paraId="66D5BAA9" w14:textId="77777777" w:rsidR="008715BE" w:rsidRPr="00EC75B7" w:rsidRDefault="008715BE">
            <w:pPr>
              <w:pStyle w:val="TableParagraph"/>
              <w:rPr>
                <w:rFonts w:ascii="Verdana" w:hAnsi="Verdana"/>
                <w:b/>
                <w:sz w:val="18"/>
                <w:szCs w:val="18"/>
              </w:rPr>
            </w:pPr>
          </w:p>
          <w:p w14:paraId="3066C2AE" w14:textId="77777777" w:rsidR="008715BE" w:rsidRPr="00EC75B7" w:rsidRDefault="008715BE">
            <w:pPr>
              <w:pStyle w:val="TableParagraph"/>
              <w:rPr>
                <w:rFonts w:ascii="Verdana" w:hAnsi="Verdana"/>
                <w:b/>
                <w:sz w:val="18"/>
                <w:szCs w:val="18"/>
              </w:rPr>
            </w:pPr>
          </w:p>
          <w:p w14:paraId="71476C84" w14:textId="77777777" w:rsidR="008715BE" w:rsidRPr="00EC75B7" w:rsidRDefault="008715BE">
            <w:pPr>
              <w:pStyle w:val="TableParagraph"/>
              <w:rPr>
                <w:rFonts w:ascii="Verdana" w:hAnsi="Verdana"/>
                <w:b/>
                <w:sz w:val="18"/>
                <w:szCs w:val="18"/>
              </w:rPr>
            </w:pPr>
          </w:p>
          <w:p w14:paraId="5C1B05F4" w14:textId="77777777" w:rsidR="008715BE" w:rsidRPr="00EC75B7" w:rsidRDefault="008715BE">
            <w:pPr>
              <w:pStyle w:val="TableParagraph"/>
              <w:spacing w:before="103"/>
              <w:rPr>
                <w:rFonts w:ascii="Verdana" w:hAnsi="Verdana"/>
                <w:b/>
                <w:sz w:val="18"/>
                <w:szCs w:val="18"/>
              </w:rPr>
            </w:pPr>
          </w:p>
          <w:p w14:paraId="13C0412D" w14:textId="77777777" w:rsidR="008715BE" w:rsidRPr="00EC75B7" w:rsidRDefault="00000000">
            <w:pPr>
              <w:pStyle w:val="TableParagraph"/>
              <w:ind w:left="196" w:right="152" w:firstLine="48"/>
              <w:rPr>
                <w:rFonts w:ascii="Verdana" w:hAnsi="Verdana"/>
                <w:sz w:val="18"/>
                <w:szCs w:val="18"/>
              </w:rPr>
            </w:pPr>
            <w:r w:rsidRPr="00EC75B7">
              <w:rPr>
                <w:rFonts w:ascii="Verdana" w:hAnsi="Verdana"/>
                <w:sz w:val="18"/>
                <w:szCs w:val="18"/>
              </w:rPr>
              <w:t xml:space="preserve">No </w:t>
            </w:r>
            <w:r w:rsidRPr="00EC75B7">
              <w:rPr>
                <w:rFonts w:ascii="Verdana" w:hAnsi="Verdana"/>
                <w:spacing w:val="-2"/>
                <w:sz w:val="18"/>
                <w:szCs w:val="18"/>
              </w:rPr>
              <w:t>additional</w:t>
            </w:r>
            <w:r w:rsidRPr="00EC75B7">
              <w:rPr>
                <w:rFonts w:ascii="Verdana" w:hAnsi="Verdana"/>
                <w:sz w:val="18"/>
                <w:szCs w:val="18"/>
              </w:rPr>
              <w:t xml:space="preserve"> costs</w:t>
            </w:r>
          </w:p>
        </w:tc>
      </w:tr>
      <w:tr w:rsidR="008715BE" w:rsidRPr="00EC75B7" w14:paraId="45DBF071" w14:textId="77777777">
        <w:trPr>
          <w:trHeight w:val="1499"/>
        </w:trPr>
        <w:tc>
          <w:tcPr>
            <w:tcW w:w="554" w:type="dxa"/>
          </w:tcPr>
          <w:p w14:paraId="48597F23" w14:textId="77777777" w:rsidR="008715BE" w:rsidRPr="00EC75B7" w:rsidRDefault="008715BE">
            <w:pPr>
              <w:pStyle w:val="TableParagraph"/>
              <w:rPr>
                <w:rFonts w:ascii="Verdana" w:hAnsi="Verdana"/>
                <w:b/>
                <w:sz w:val="18"/>
                <w:szCs w:val="18"/>
              </w:rPr>
            </w:pPr>
          </w:p>
          <w:p w14:paraId="2C6F4C6A" w14:textId="77777777" w:rsidR="008715BE" w:rsidRPr="00EC75B7" w:rsidRDefault="008715BE">
            <w:pPr>
              <w:pStyle w:val="TableParagraph"/>
              <w:rPr>
                <w:rFonts w:ascii="Verdana" w:hAnsi="Verdana"/>
                <w:b/>
                <w:sz w:val="18"/>
                <w:szCs w:val="18"/>
              </w:rPr>
            </w:pPr>
          </w:p>
          <w:p w14:paraId="44D34B29" w14:textId="77777777" w:rsidR="008715BE" w:rsidRPr="00EC75B7" w:rsidRDefault="008715BE">
            <w:pPr>
              <w:pStyle w:val="TableParagraph"/>
              <w:spacing w:before="75"/>
              <w:rPr>
                <w:rFonts w:ascii="Verdana" w:hAnsi="Verdana"/>
                <w:b/>
                <w:sz w:val="18"/>
                <w:szCs w:val="18"/>
              </w:rPr>
            </w:pPr>
          </w:p>
          <w:p w14:paraId="78F736C3"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M17</w:t>
            </w:r>
          </w:p>
        </w:tc>
        <w:tc>
          <w:tcPr>
            <w:tcW w:w="6091" w:type="dxa"/>
          </w:tcPr>
          <w:p w14:paraId="3EFCD2FF" w14:textId="77777777" w:rsidR="008715BE" w:rsidRPr="00EC75B7" w:rsidRDefault="00000000">
            <w:pPr>
              <w:pStyle w:val="TableParagraph"/>
              <w:spacing w:before="78"/>
              <w:ind w:left="108" w:right="158"/>
              <w:rPr>
                <w:rFonts w:ascii="Verdana" w:hAnsi="Verdana"/>
                <w:sz w:val="18"/>
                <w:szCs w:val="18"/>
              </w:rPr>
            </w:pPr>
            <w:r w:rsidRPr="00EC75B7">
              <w:rPr>
                <w:rFonts w:ascii="Verdana" w:hAnsi="Verdana"/>
                <w:sz w:val="18"/>
                <w:szCs w:val="18"/>
              </w:rPr>
              <w:t>The installation of collision risk prevention systems will be implemented from the first year of operation of the wind farm. An automatic control system for shutting down/reducing the operating speed of turbines (e.g., DTBird, IdentiFlight, Robin Radar Max, STRIX BirdTrack). The system will target bird species for which a significant potential impact has been identified and will be applied from the first year of operation.</w:t>
            </w:r>
          </w:p>
        </w:tc>
        <w:tc>
          <w:tcPr>
            <w:tcW w:w="1809" w:type="dxa"/>
          </w:tcPr>
          <w:p w14:paraId="043759BB" w14:textId="77777777" w:rsidR="008715BE" w:rsidRPr="00EC75B7" w:rsidRDefault="00000000" w:rsidP="00C96230">
            <w:pPr>
              <w:pStyle w:val="TableParagraph"/>
              <w:spacing w:before="78"/>
              <w:ind w:left="14" w:right="1"/>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175C85C2" w14:textId="326DDDC3" w:rsidR="008715BE" w:rsidRPr="00EC75B7" w:rsidRDefault="00000000" w:rsidP="00C96230">
            <w:pPr>
              <w:pStyle w:val="TableParagraph"/>
              <w:spacing w:line="193" w:lineRule="exact"/>
              <w:ind w:left="14" w:right="3"/>
              <w:rPr>
                <w:rFonts w:ascii="Verdana" w:hAnsi="Verdana"/>
                <w:sz w:val="18"/>
                <w:szCs w:val="18"/>
              </w:rPr>
            </w:pPr>
            <w:r w:rsidRPr="00EC75B7">
              <w:rPr>
                <w:rFonts w:ascii="Verdana" w:hAnsi="Verdana"/>
                <w:sz w:val="18"/>
                <w:szCs w:val="18"/>
              </w:rPr>
              <w:t>potentially affected</w:t>
            </w:r>
            <w:r w:rsidR="00C96230">
              <w:rPr>
                <w:rFonts w:ascii="Verdana" w:hAnsi="Verdana"/>
                <w:sz w:val="18"/>
                <w:szCs w:val="18"/>
              </w:rPr>
              <w:t xml:space="preserve"> </w:t>
            </w:r>
            <w:r w:rsidRPr="00EC75B7">
              <w:rPr>
                <w:rFonts w:ascii="Verdana" w:hAnsi="Verdana"/>
                <w:spacing w:val="-5"/>
                <w:sz w:val="18"/>
                <w:szCs w:val="18"/>
              </w:rPr>
              <w:t>and</w:t>
            </w:r>
            <w:r w:rsidR="00C96230">
              <w:rPr>
                <w:rFonts w:ascii="Verdana" w:hAnsi="Verdana"/>
                <w:sz w:val="18"/>
                <w:szCs w:val="18"/>
              </w:rPr>
              <w:t xml:space="preserve"> </w:t>
            </w:r>
            <w:r w:rsidRPr="00EC75B7">
              <w:rPr>
                <w:rFonts w:ascii="Verdana" w:hAnsi="Verdana"/>
                <w:spacing w:val="-4"/>
                <w:sz w:val="18"/>
                <w:szCs w:val="18"/>
              </w:rPr>
              <w:t xml:space="preserve">in </w:t>
            </w:r>
            <w:r w:rsidRPr="00EC75B7">
              <w:rPr>
                <w:rFonts w:ascii="Verdana" w:hAnsi="Verdana"/>
                <w:spacing w:val="-2"/>
                <w:sz w:val="18"/>
                <w:szCs w:val="18"/>
              </w:rPr>
              <w:t>ROSPA0166, ROSPA0036, ROSPA0094</w:t>
            </w:r>
          </w:p>
        </w:tc>
        <w:tc>
          <w:tcPr>
            <w:tcW w:w="1440" w:type="dxa"/>
          </w:tcPr>
          <w:p w14:paraId="53842DF4" w14:textId="77777777" w:rsidR="008715BE" w:rsidRPr="00EC75B7" w:rsidRDefault="008715BE">
            <w:pPr>
              <w:pStyle w:val="TableParagraph"/>
              <w:spacing w:before="76"/>
              <w:rPr>
                <w:rFonts w:ascii="Verdana" w:hAnsi="Verdana"/>
                <w:b/>
                <w:sz w:val="18"/>
                <w:szCs w:val="18"/>
              </w:rPr>
            </w:pPr>
          </w:p>
          <w:p w14:paraId="10E3D89D" w14:textId="77777777" w:rsidR="008715BE" w:rsidRPr="00EC75B7" w:rsidRDefault="00000000">
            <w:pPr>
              <w:pStyle w:val="TableParagraph"/>
              <w:spacing w:before="1"/>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0FF9B2E4" w14:textId="77777777" w:rsidR="008715BE" w:rsidRPr="00EC75B7" w:rsidRDefault="008715BE">
            <w:pPr>
              <w:pStyle w:val="TableParagraph"/>
              <w:rPr>
                <w:rFonts w:ascii="Verdana" w:hAnsi="Verdana"/>
                <w:b/>
                <w:sz w:val="18"/>
                <w:szCs w:val="18"/>
              </w:rPr>
            </w:pPr>
          </w:p>
          <w:p w14:paraId="79507C9D" w14:textId="77777777" w:rsidR="008715BE" w:rsidRPr="00EC75B7" w:rsidRDefault="008715BE">
            <w:pPr>
              <w:pStyle w:val="TableParagraph"/>
              <w:rPr>
                <w:rFonts w:ascii="Verdana" w:hAnsi="Verdana"/>
                <w:b/>
                <w:sz w:val="18"/>
                <w:szCs w:val="18"/>
              </w:rPr>
            </w:pPr>
          </w:p>
          <w:p w14:paraId="1FC97E2F" w14:textId="77777777" w:rsidR="008715BE" w:rsidRPr="00EC75B7" w:rsidRDefault="008715BE">
            <w:pPr>
              <w:pStyle w:val="TableParagraph"/>
              <w:spacing w:before="75"/>
              <w:rPr>
                <w:rFonts w:ascii="Verdana" w:hAnsi="Verdana"/>
                <w:b/>
                <w:sz w:val="18"/>
                <w:szCs w:val="18"/>
              </w:rPr>
            </w:pPr>
          </w:p>
          <w:p w14:paraId="0FFAA153"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1D0BB53C" w14:textId="77777777" w:rsidR="008715BE" w:rsidRPr="00EC75B7" w:rsidRDefault="008715BE">
            <w:pPr>
              <w:pStyle w:val="TableParagraph"/>
              <w:rPr>
                <w:rFonts w:ascii="Verdana" w:hAnsi="Verdana"/>
                <w:sz w:val="18"/>
                <w:szCs w:val="18"/>
              </w:rPr>
            </w:pPr>
          </w:p>
        </w:tc>
        <w:tc>
          <w:tcPr>
            <w:tcW w:w="295" w:type="dxa"/>
          </w:tcPr>
          <w:p w14:paraId="65348E98" w14:textId="77777777" w:rsidR="008715BE" w:rsidRPr="00EC75B7" w:rsidRDefault="008715BE">
            <w:pPr>
              <w:pStyle w:val="TableParagraph"/>
              <w:rPr>
                <w:rFonts w:ascii="Verdana" w:hAnsi="Verdana"/>
                <w:sz w:val="18"/>
                <w:szCs w:val="18"/>
              </w:rPr>
            </w:pPr>
          </w:p>
        </w:tc>
        <w:tc>
          <w:tcPr>
            <w:tcW w:w="331" w:type="dxa"/>
          </w:tcPr>
          <w:p w14:paraId="2C4F4838" w14:textId="77777777" w:rsidR="008715BE" w:rsidRPr="00EC75B7" w:rsidRDefault="008715BE">
            <w:pPr>
              <w:pStyle w:val="TableParagraph"/>
              <w:rPr>
                <w:rFonts w:ascii="Verdana" w:hAnsi="Verdana"/>
                <w:b/>
                <w:sz w:val="18"/>
                <w:szCs w:val="18"/>
              </w:rPr>
            </w:pPr>
          </w:p>
          <w:p w14:paraId="78924E81" w14:textId="77777777" w:rsidR="008715BE" w:rsidRPr="00EC75B7" w:rsidRDefault="008715BE">
            <w:pPr>
              <w:pStyle w:val="TableParagraph"/>
              <w:rPr>
                <w:rFonts w:ascii="Verdana" w:hAnsi="Verdana"/>
                <w:b/>
                <w:sz w:val="18"/>
                <w:szCs w:val="18"/>
              </w:rPr>
            </w:pPr>
          </w:p>
          <w:p w14:paraId="1FDA939E" w14:textId="77777777" w:rsidR="008715BE" w:rsidRPr="00EC75B7" w:rsidRDefault="008715BE">
            <w:pPr>
              <w:pStyle w:val="TableParagraph"/>
              <w:spacing w:before="75"/>
              <w:rPr>
                <w:rFonts w:ascii="Verdana" w:hAnsi="Verdana"/>
                <w:b/>
                <w:sz w:val="18"/>
                <w:szCs w:val="18"/>
              </w:rPr>
            </w:pPr>
          </w:p>
          <w:p w14:paraId="1F5DC57B"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B6DB22F" w14:textId="77777777" w:rsidR="008715BE" w:rsidRPr="00EC75B7" w:rsidRDefault="008715BE">
            <w:pPr>
              <w:pStyle w:val="TableParagraph"/>
              <w:rPr>
                <w:rFonts w:ascii="Verdana" w:hAnsi="Verdana"/>
                <w:b/>
                <w:sz w:val="18"/>
                <w:szCs w:val="18"/>
              </w:rPr>
            </w:pPr>
          </w:p>
          <w:p w14:paraId="6A599F3F" w14:textId="77777777" w:rsidR="008715BE" w:rsidRPr="00EC75B7" w:rsidRDefault="008715BE">
            <w:pPr>
              <w:pStyle w:val="TableParagraph"/>
              <w:rPr>
                <w:rFonts w:ascii="Verdana" w:hAnsi="Verdana"/>
                <w:b/>
                <w:sz w:val="18"/>
                <w:szCs w:val="18"/>
              </w:rPr>
            </w:pPr>
          </w:p>
          <w:p w14:paraId="0B3F1C91" w14:textId="77777777" w:rsidR="008715BE" w:rsidRPr="00EC75B7" w:rsidRDefault="008715BE">
            <w:pPr>
              <w:pStyle w:val="TableParagraph"/>
              <w:spacing w:before="75"/>
              <w:rPr>
                <w:rFonts w:ascii="Verdana" w:hAnsi="Verdana"/>
                <w:b/>
                <w:sz w:val="18"/>
                <w:szCs w:val="18"/>
              </w:rPr>
            </w:pPr>
          </w:p>
          <w:p w14:paraId="0F3790A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61B48C43" w14:textId="77777777" w:rsidR="008715BE" w:rsidRPr="00EC75B7" w:rsidRDefault="008715BE">
            <w:pPr>
              <w:pStyle w:val="TableParagraph"/>
              <w:rPr>
                <w:rFonts w:ascii="Verdana" w:hAnsi="Verdana"/>
                <w:b/>
                <w:sz w:val="18"/>
                <w:szCs w:val="18"/>
              </w:rPr>
            </w:pPr>
          </w:p>
          <w:p w14:paraId="6675D861" w14:textId="77777777" w:rsidR="008715BE" w:rsidRPr="00EC75B7" w:rsidRDefault="008715BE">
            <w:pPr>
              <w:pStyle w:val="TableParagraph"/>
              <w:rPr>
                <w:rFonts w:ascii="Verdana" w:hAnsi="Verdana"/>
                <w:b/>
                <w:sz w:val="18"/>
                <w:szCs w:val="18"/>
              </w:rPr>
            </w:pPr>
          </w:p>
          <w:p w14:paraId="51FAEC9C" w14:textId="77777777" w:rsidR="008715BE" w:rsidRPr="00EC75B7" w:rsidRDefault="008715BE">
            <w:pPr>
              <w:pStyle w:val="TableParagraph"/>
              <w:spacing w:before="75"/>
              <w:rPr>
                <w:rFonts w:ascii="Verdana" w:hAnsi="Verdana"/>
                <w:b/>
                <w:sz w:val="18"/>
                <w:szCs w:val="18"/>
              </w:rPr>
            </w:pPr>
          </w:p>
          <w:p w14:paraId="225401AD"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BD11DFF" w14:textId="77777777" w:rsidR="008715BE" w:rsidRPr="00EC75B7" w:rsidRDefault="008715BE">
            <w:pPr>
              <w:pStyle w:val="TableParagraph"/>
              <w:rPr>
                <w:rFonts w:ascii="Verdana" w:hAnsi="Verdana"/>
                <w:sz w:val="18"/>
                <w:szCs w:val="18"/>
              </w:rPr>
            </w:pPr>
          </w:p>
        </w:tc>
        <w:tc>
          <w:tcPr>
            <w:tcW w:w="332" w:type="dxa"/>
          </w:tcPr>
          <w:p w14:paraId="7078726F" w14:textId="77777777" w:rsidR="008715BE" w:rsidRPr="00EC75B7" w:rsidRDefault="008715BE">
            <w:pPr>
              <w:pStyle w:val="TableParagraph"/>
              <w:rPr>
                <w:rFonts w:ascii="Verdana" w:hAnsi="Verdana"/>
                <w:sz w:val="18"/>
                <w:szCs w:val="18"/>
              </w:rPr>
            </w:pPr>
          </w:p>
        </w:tc>
        <w:tc>
          <w:tcPr>
            <w:tcW w:w="329" w:type="dxa"/>
          </w:tcPr>
          <w:p w14:paraId="57CB125F" w14:textId="77777777" w:rsidR="008715BE" w:rsidRPr="00EC75B7" w:rsidRDefault="008715BE">
            <w:pPr>
              <w:pStyle w:val="TableParagraph"/>
              <w:rPr>
                <w:rFonts w:ascii="Verdana" w:hAnsi="Verdana"/>
                <w:sz w:val="18"/>
                <w:szCs w:val="18"/>
              </w:rPr>
            </w:pPr>
          </w:p>
        </w:tc>
        <w:tc>
          <w:tcPr>
            <w:tcW w:w="336" w:type="dxa"/>
          </w:tcPr>
          <w:p w14:paraId="248C9EB4" w14:textId="77777777" w:rsidR="008715BE" w:rsidRPr="00EC75B7" w:rsidRDefault="008715BE">
            <w:pPr>
              <w:pStyle w:val="TableParagraph"/>
              <w:rPr>
                <w:rFonts w:ascii="Verdana" w:hAnsi="Verdana"/>
                <w:b/>
                <w:sz w:val="18"/>
                <w:szCs w:val="18"/>
              </w:rPr>
            </w:pPr>
          </w:p>
          <w:p w14:paraId="41B13136" w14:textId="77777777" w:rsidR="008715BE" w:rsidRPr="00EC75B7" w:rsidRDefault="008715BE">
            <w:pPr>
              <w:pStyle w:val="TableParagraph"/>
              <w:rPr>
                <w:rFonts w:ascii="Verdana" w:hAnsi="Verdana"/>
                <w:b/>
                <w:sz w:val="18"/>
                <w:szCs w:val="18"/>
              </w:rPr>
            </w:pPr>
          </w:p>
          <w:p w14:paraId="45B9CBF1" w14:textId="77777777" w:rsidR="008715BE" w:rsidRPr="00EC75B7" w:rsidRDefault="008715BE">
            <w:pPr>
              <w:pStyle w:val="TableParagraph"/>
              <w:spacing w:before="75"/>
              <w:rPr>
                <w:rFonts w:ascii="Verdana" w:hAnsi="Verdana"/>
                <w:b/>
                <w:sz w:val="18"/>
                <w:szCs w:val="18"/>
              </w:rPr>
            </w:pPr>
          </w:p>
          <w:p w14:paraId="03D1C8E7"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2214EC0F" w14:textId="77777777" w:rsidR="008715BE" w:rsidRPr="00EC75B7" w:rsidRDefault="008715BE">
            <w:pPr>
              <w:pStyle w:val="TableParagraph"/>
              <w:rPr>
                <w:rFonts w:ascii="Verdana" w:hAnsi="Verdana"/>
                <w:b/>
                <w:sz w:val="18"/>
                <w:szCs w:val="18"/>
              </w:rPr>
            </w:pPr>
          </w:p>
          <w:p w14:paraId="17B0C063" w14:textId="77777777" w:rsidR="008715BE" w:rsidRPr="00EC75B7" w:rsidRDefault="008715BE">
            <w:pPr>
              <w:pStyle w:val="TableParagraph"/>
              <w:rPr>
                <w:rFonts w:ascii="Verdana" w:hAnsi="Verdana"/>
                <w:b/>
                <w:sz w:val="18"/>
                <w:szCs w:val="18"/>
              </w:rPr>
            </w:pPr>
          </w:p>
          <w:p w14:paraId="72D14DA2" w14:textId="77777777" w:rsidR="008715BE" w:rsidRPr="00EC75B7" w:rsidRDefault="008715BE">
            <w:pPr>
              <w:pStyle w:val="TableParagraph"/>
              <w:spacing w:before="75"/>
              <w:rPr>
                <w:rFonts w:ascii="Verdana" w:hAnsi="Verdana"/>
                <w:b/>
                <w:sz w:val="18"/>
                <w:szCs w:val="18"/>
              </w:rPr>
            </w:pPr>
          </w:p>
          <w:p w14:paraId="629C3E7B"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1F15CDA0" w14:textId="77777777" w:rsidR="008715BE" w:rsidRPr="00EC75B7" w:rsidRDefault="008715BE">
            <w:pPr>
              <w:pStyle w:val="TableParagraph"/>
              <w:rPr>
                <w:rFonts w:ascii="Verdana" w:hAnsi="Verdana"/>
                <w:b/>
                <w:sz w:val="18"/>
                <w:szCs w:val="18"/>
              </w:rPr>
            </w:pPr>
          </w:p>
          <w:p w14:paraId="227E3DE8" w14:textId="77777777" w:rsidR="008715BE" w:rsidRPr="00EC75B7" w:rsidRDefault="008715BE">
            <w:pPr>
              <w:pStyle w:val="TableParagraph"/>
              <w:rPr>
                <w:rFonts w:ascii="Verdana" w:hAnsi="Verdana"/>
                <w:b/>
                <w:sz w:val="18"/>
                <w:szCs w:val="18"/>
              </w:rPr>
            </w:pPr>
          </w:p>
          <w:p w14:paraId="6019AB65" w14:textId="77777777" w:rsidR="008715BE" w:rsidRPr="00EC75B7" w:rsidRDefault="008715BE">
            <w:pPr>
              <w:pStyle w:val="TableParagraph"/>
              <w:spacing w:before="75"/>
              <w:rPr>
                <w:rFonts w:ascii="Verdana" w:hAnsi="Verdana"/>
                <w:b/>
                <w:sz w:val="18"/>
                <w:szCs w:val="18"/>
              </w:rPr>
            </w:pPr>
          </w:p>
          <w:p w14:paraId="53D131C9" w14:textId="77777777" w:rsidR="008715BE" w:rsidRPr="00EC75B7" w:rsidRDefault="00000000">
            <w:pPr>
              <w:pStyle w:val="TableParagraph"/>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1B6FBBAC" w14:textId="77777777" w:rsidR="008715BE" w:rsidRPr="00EC75B7" w:rsidRDefault="008715BE">
            <w:pPr>
              <w:pStyle w:val="TableParagraph"/>
              <w:rPr>
                <w:rFonts w:ascii="Verdana" w:hAnsi="Verdana"/>
                <w:sz w:val="18"/>
                <w:szCs w:val="18"/>
              </w:rPr>
            </w:pPr>
          </w:p>
        </w:tc>
        <w:tc>
          <w:tcPr>
            <w:tcW w:w="1891" w:type="dxa"/>
          </w:tcPr>
          <w:p w14:paraId="287F6C2F" w14:textId="77777777" w:rsidR="008715BE" w:rsidRPr="00EC75B7" w:rsidRDefault="008715BE">
            <w:pPr>
              <w:pStyle w:val="TableParagraph"/>
              <w:spacing w:before="76"/>
              <w:rPr>
                <w:rFonts w:ascii="Verdana" w:hAnsi="Verdana"/>
                <w:b/>
                <w:sz w:val="18"/>
                <w:szCs w:val="18"/>
              </w:rPr>
            </w:pPr>
          </w:p>
          <w:p w14:paraId="3B66117B" w14:textId="77777777" w:rsidR="008715BE" w:rsidRPr="00EC75B7" w:rsidRDefault="00000000">
            <w:pPr>
              <w:pStyle w:val="TableParagraph"/>
              <w:spacing w:before="1" w:line="195" w:lineRule="exact"/>
              <w:ind w:left="140" w:right="129"/>
              <w:jc w:val="center"/>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owner</w:t>
            </w:r>
          </w:p>
          <w:p w14:paraId="55B95D52" w14:textId="77777777" w:rsidR="008715BE" w:rsidRPr="00EC75B7" w:rsidRDefault="00000000">
            <w:pPr>
              <w:pStyle w:val="TableParagraph"/>
              <w:ind w:left="139" w:right="129"/>
              <w:jc w:val="center"/>
              <w:rPr>
                <w:rFonts w:ascii="Verdana" w:hAnsi="Verdana"/>
                <w:sz w:val="18"/>
                <w:szCs w:val="18"/>
              </w:rPr>
            </w:pPr>
            <w:r w:rsidRPr="00EC75B7">
              <w:rPr>
                <w:rFonts w:ascii="Verdana" w:hAnsi="Verdana"/>
                <w:sz w:val="18"/>
                <w:szCs w:val="18"/>
              </w:rPr>
              <w:t>/Certified and experienced experts</w:t>
            </w:r>
          </w:p>
          <w:p w14:paraId="433DF120" w14:textId="77777777" w:rsidR="008715BE" w:rsidRPr="00EC75B7" w:rsidRDefault="00000000">
            <w:pPr>
              <w:pStyle w:val="TableParagraph"/>
              <w:spacing w:line="193" w:lineRule="exact"/>
              <w:ind w:left="140" w:right="129"/>
              <w:jc w:val="center"/>
              <w:rPr>
                <w:rFonts w:ascii="Verdana" w:hAnsi="Verdana"/>
                <w:sz w:val="18"/>
                <w:szCs w:val="18"/>
              </w:rPr>
            </w:pPr>
            <w:r w:rsidRPr="00EC75B7">
              <w:rPr>
                <w:rFonts w:ascii="Verdana" w:hAnsi="Verdana"/>
                <w:sz w:val="18"/>
                <w:szCs w:val="18"/>
              </w:rPr>
              <w:t xml:space="preserve">in </w:t>
            </w:r>
            <w:r w:rsidRPr="00EC75B7">
              <w:rPr>
                <w:rFonts w:ascii="Verdana" w:hAnsi="Verdana"/>
                <w:spacing w:val="-2"/>
                <w:sz w:val="18"/>
                <w:szCs w:val="18"/>
              </w:rPr>
              <w:t>monitoring</w:t>
            </w:r>
          </w:p>
          <w:p w14:paraId="3A582667" w14:textId="77777777" w:rsidR="008715BE" w:rsidRPr="00EC75B7" w:rsidRDefault="00000000">
            <w:pPr>
              <w:pStyle w:val="TableParagraph"/>
              <w:spacing w:line="195" w:lineRule="exact"/>
              <w:ind w:left="139" w:right="132"/>
              <w:jc w:val="center"/>
              <w:rPr>
                <w:rFonts w:ascii="Verdana" w:hAnsi="Verdana"/>
                <w:sz w:val="18"/>
                <w:szCs w:val="18"/>
              </w:rPr>
            </w:pPr>
            <w:r w:rsidRPr="00EC75B7">
              <w:rPr>
                <w:rFonts w:ascii="Verdana" w:hAnsi="Verdana"/>
                <w:spacing w:val="-2"/>
                <w:sz w:val="18"/>
                <w:szCs w:val="18"/>
              </w:rPr>
              <w:t>biodiversity</w:t>
            </w:r>
          </w:p>
        </w:tc>
        <w:tc>
          <w:tcPr>
            <w:tcW w:w="1440" w:type="dxa"/>
          </w:tcPr>
          <w:p w14:paraId="62C605B9" w14:textId="77777777" w:rsidR="008715BE" w:rsidRPr="00EC75B7" w:rsidRDefault="008715BE">
            <w:pPr>
              <w:pStyle w:val="TableParagraph"/>
              <w:rPr>
                <w:rFonts w:ascii="Verdana" w:hAnsi="Verdana"/>
                <w:b/>
                <w:sz w:val="18"/>
                <w:szCs w:val="18"/>
              </w:rPr>
            </w:pPr>
          </w:p>
          <w:p w14:paraId="61D66EE9" w14:textId="77777777" w:rsidR="008715BE" w:rsidRPr="00EC75B7" w:rsidRDefault="008715BE">
            <w:pPr>
              <w:pStyle w:val="TableParagraph"/>
              <w:spacing w:before="172"/>
              <w:rPr>
                <w:rFonts w:ascii="Verdana" w:hAnsi="Verdana"/>
                <w:b/>
                <w:sz w:val="18"/>
                <w:szCs w:val="18"/>
              </w:rPr>
            </w:pPr>
          </w:p>
          <w:p w14:paraId="7A69BF47" w14:textId="77777777" w:rsidR="008715BE" w:rsidRPr="00EC75B7" w:rsidRDefault="00000000">
            <w:pPr>
              <w:pStyle w:val="TableParagraph"/>
              <w:ind w:left="203" w:right="189" w:firstLine="31"/>
              <w:rPr>
                <w:rFonts w:ascii="Verdana" w:hAnsi="Verdana"/>
                <w:sz w:val="18"/>
                <w:szCs w:val="18"/>
              </w:rPr>
            </w:pPr>
            <w:r w:rsidRPr="00EC75B7">
              <w:rPr>
                <w:rFonts w:ascii="Verdana" w:hAnsi="Verdana"/>
                <w:spacing w:val="-2"/>
                <w:sz w:val="18"/>
                <w:szCs w:val="18"/>
              </w:rPr>
              <w:t xml:space="preserve">Approximately </w:t>
            </w:r>
            <w:r w:rsidRPr="00EC75B7">
              <w:rPr>
                <w:rFonts w:ascii="Verdana" w:hAnsi="Verdana"/>
                <w:sz w:val="18"/>
                <w:szCs w:val="18"/>
              </w:rPr>
              <w:t>€150</w:t>
            </w:r>
            <w:r w:rsidRPr="00EC75B7">
              <w:rPr>
                <w:rFonts w:ascii="Verdana" w:hAnsi="Verdana"/>
                <w:spacing w:val="-6"/>
                <w:sz w:val="18"/>
                <w:szCs w:val="18"/>
              </w:rPr>
              <w:t>,000</w:t>
            </w:r>
          </w:p>
        </w:tc>
      </w:tr>
    </w:tbl>
    <w:p w14:paraId="21A3FD63" w14:textId="77777777" w:rsidR="008715BE" w:rsidRPr="00EC75B7" w:rsidRDefault="008715BE">
      <w:pPr>
        <w:pStyle w:val="TableParagraph"/>
        <w:rPr>
          <w:rFonts w:ascii="Verdana" w:hAnsi="Verdana"/>
          <w:sz w:val="18"/>
          <w:szCs w:val="18"/>
        </w:rPr>
        <w:sectPr w:rsidR="008715BE" w:rsidRPr="00EC75B7">
          <w:pgSz w:w="23820" w:h="16840" w:orient="landscape"/>
          <w:pgMar w:top="1080" w:right="1275" w:bottom="1020" w:left="850" w:header="782" w:footer="808" w:gutter="0"/>
          <w:cols w:space="708"/>
        </w:sectPr>
      </w:pPr>
    </w:p>
    <w:p w14:paraId="2B3C8CBE" w14:textId="77777777" w:rsidR="008715BE" w:rsidRPr="00EC75B7" w:rsidRDefault="008715BE">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8715BE" w:rsidRPr="00EC75B7" w14:paraId="0F430BDA" w14:textId="77777777">
        <w:trPr>
          <w:trHeight w:val="299"/>
        </w:trPr>
        <w:tc>
          <w:tcPr>
            <w:tcW w:w="6645" w:type="dxa"/>
            <w:gridSpan w:val="2"/>
            <w:vMerge w:val="restart"/>
            <w:shd w:val="clear" w:color="auto" w:fill="00AFEF"/>
          </w:tcPr>
          <w:p w14:paraId="4CF01D54" w14:textId="77777777" w:rsidR="008715BE" w:rsidRPr="00EC75B7" w:rsidRDefault="008715BE">
            <w:pPr>
              <w:pStyle w:val="TableParagraph"/>
              <w:rPr>
                <w:rFonts w:ascii="Verdana" w:hAnsi="Verdana"/>
                <w:b/>
                <w:sz w:val="18"/>
                <w:szCs w:val="18"/>
              </w:rPr>
            </w:pPr>
          </w:p>
          <w:p w14:paraId="32A20438" w14:textId="77777777" w:rsidR="008715BE" w:rsidRPr="00EC75B7" w:rsidRDefault="008715BE">
            <w:pPr>
              <w:pStyle w:val="TableParagraph"/>
              <w:spacing w:before="179"/>
              <w:rPr>
                <w:rFonts w:ascii="Verdana" w:hAnsi="Verdana"/>
                <w:b/>
                <w:sz w:val="18"/>
                <w:szCs w:val="18"/>
              </w:rPr>
            </w:pPr>
          </w:p>
          <w:p w14:paraId="0C88B6FB" w14:textId="77777777" w:rsidR="008715BE" w:rsidRPr="00EC75B7" w:rsidRDefault="00000000">
            <w:pPr>
              <w:pStyle w:val="TableParagraph"/>
              <w:ind w:left="9"/>
              <w:jc w:val="center"/>
              <w:rPr>
                <w:rFonts w:ascii="Verdana" w:hAnsi="Verdana"/>
                <w:b/>
                <w:sz w:val="18"/>
                <w:szCs w:val="18"/>
              </w:rPr>
            </w:pPr>
            <w:r w:rsidRPr="00EC75B7">
              <w:rPr>
                <w:rFonts w:ascii="Verdana" w:hAnsi="Verdana"/>
                <w:b/>
                <w:color w:val="FFFFFF"/>
                <w:spacing w:val="-2"/>
                <w:sz w:val="18"/>
                <w:szCs w:val="18"/>
              </w:rPr>
              <w:t>Measure</w:t>
            </w:r>
          </w:p>
        </w:tc>
        <w:tc>
          <w:tcPr>
            <w:tcW w:w="1809" w:type="dxa"/>
            <w:vMerge w:val="restart"/>
            <w:shd w:val="clear" w:color="auto" w:fill="00AFEF"/>
          </w:tcPr>
          <w:p w14:paraId="73E07E77" w14:textId="77777777" w:rsidR="008715BE" w:rsidRPr="00EC75B7" w:rsidRDefault="008715BE">
            <w:pPr>
              <w:pStyle w:val="TableParagraph"/>
              <w:spacing w:before="180"/>
              <w:rPr>
                <w:rFonts w:ascii="Verdana" w:hAnsi="Verdana"/>
                <w:b/>
                <w:sz w:val="18"/>
                <w:szCs w:val="18"/>
              </w:rPr>
            </w:pPr>
          </w:p>
          <w:p w14:paraId="06609FC8" w14:textId="77777777" w:rsidR="008715BE" w:rsidRPr="00EC75B7" w:rsidRDefault="00000000">
            <w:pPr>
              <w:pStyle w:val="TableParagraph"/>
              <w:ind w:left="483" w:right="411" w:firstLine="72"/>
              <w:rPr>
                <w:rFonts w:ascii="Verdana" w:hAnsi="Verdana"/>
                <w:b/>
                <w:sz w:val="18"/>
                <w:szCs w:val="18"/>
              </w:rPr>
            </w:pPr>
            <w:r w:rsidRPr="00EC75B7">
              <w:rPr>
                <w:rFonts w:ascii="Verdana" w:hAnsi="Verdana"/>
                <w:b/>
                <w:color w:val="FFFFFF"/>
                <w:spacing w:val="-10"/>
                <w:sz w:val="18"/>
                <w:szCs w:val="18"/>
              </w:rPr>
              <w:t>Affected</w:t>
            </w:r>
            <w:r w:rsidRPr="00EC75B7">
              <w:rPr>
                <w:rFonts w:ascii="Verdana" w:hAnsi="Verdana"/>
                <w:b/>
                <w:color w:val="FFFFFF"/>
                <w:spacing w:val="-2"/>
                <w:sz w:val="18"/>
                <w:szCs w:val="18"/>
              </w:rPr>
              <w:t xml:space="preserve"> species/habitat</w:t>
            </w:r>
          </w:p>
        </w:tc>
        <w:tc>
          <w:tcPr>
            <w:tcW w:w="1440" w:type="dxa"/>
            <w:vMerge w:val="restart"/>
            <w:shd w:val="clear" w:color="auto" w:fill="00AFEF"/>
          </w:tcPr>
          <w:p w14:paraId="43DE7B92" w14:textId="77777777" w:rsidR="008715BE" w:rsidRPr="00EC75B7" w:rsidRDefault="008715BE">
            <w:pPr>
              <w:pStyle w:val="TableParagraph"/>
              <w:spacing w:before="81"/>
              <w:rPr>
                <w:rFonts w:ascii="Verdana" w:hAnsi="Verdana"/>
                <w:b/>
                <w:sz w:val="18"/>
                <w:szCs w:val="18"/>
              </w:rPr>
            </w:pPr>
          </w:p>
          <w:p w14:paraId="4937678E" w14:textId="77777777" w:rsidR="008715BE" w:rsidRPr="00EC75B7" w:rsidRDefault="00000000">
            <w:pPr>
              <w:pStyle w:val="TableParagraph"/>
              <w:ind w:left="17"/>
              <w:jc w:val="center"/>
              <w:rPr>
                <w:rFonts w:ascii="Verdana" w:hAnsi="Verdana"/>
                <w:b/>
                <w:sz w:val="18"/>
                <w:szCs w:val="18"/>
              </w:rPr>
            </w:pPr>
            <w:r w:rsidRPr="00EC75B7">
              <w:rPr>
                <w:rFonts w:ascii="Verdana" w:hAnsi="Verdana"/>
                <w:b/>
                <w:color w:val="FFFFFF"/>
                <w:spacing w:val="-2"/>
                <w:sz w:val="18"/>
                <w:szCs w:val="18"/>
              </w:rPr>
              <w:t xml:space="preserve">The parameter </w:t>
            </w:r>
            <w:r w:rsidRPr="00EC75B7">
              <w:rPr>
                <w:rFonts w:ascii="Verdana" w:hAnsi="Verdana"/>
                <w:b/>
                <w:color w:val="FFFFFF"/>
                <w:sz w:val="18"/>
                <w:szCs w:val="18"/>
              </w:rPr>
              <w:t xml:space="preserve">to which </w:t>
            </w:r>
            <w:r w:rsidRPr="00EC75B7">
              <w:rPr>
                <w:rFonts w:ascii="Verdana" w:hAnsi="Verdana"/>
                <w:b/>
                <w:color w:val="FFFFFF"/>
                <w:spacing w:val="-2"/>
                <w:sz w:val="18"/>
                <w:szCs w:val="18"/>
              </w:rPr>
              <w:t xml:space="preserve">the measure </w:t>
            </w:r>
            <w:r w:rsidRPr="00EC75B7">
              <w:rPr>
                <w:rFonts w:ascii="Verdana" w:hAnsi="Verdana"/>
                <w:b/>
                <w:color w:val="FFFFFF"/>
                <w:sz w:val="18"/>
                <w:szCs w:val="18"/>
              </w:rPr>
              <w:t xml:space="preserve">is </w:t>
            </w:r>
            <w:r w:rsidRPr="00EC75B7">
              <w:rPr>
                <w:rFonts w:ascii="Verdana" w:hAnsi="Verdana"/>
                <w:b/>
                <w:color w:val="FFFFFF"/>
                <w:spacing w:val="-2"/>
                <w:sz w:val="18"/>
                <w:szCs w:val="18"/>
              </w:rPr>
              <w:t>addressed</w:t>
            </w:r>
          </w:p>
        </w:tc>
        <w:tc>
          <w:tcPr>
            <w:tcW w:w="1351" w:type="dxa"/>
            <w:vMerge w:val="restart"/>
            <w:shd w:val="clear" w:color="auto" w:fill="00AFEF"/>
          </w:tcPr>
          <w:p w14:paraId="6D8C926B" w14:textId="77777777" w:rsidR="008715BE" w:rsidRPr="00EC75B7" w:rsidRDefault="00000000">
            <w:pPr>
              <w:pStyle w:val="TableParagraph"/>
              <w:spacing w:before="181"/>
              <w:ind w:left="218" w:right="205" w:hanging="3"/>
              <w:jc w:val="center"/>
              <w:rPr>
                <w:rFonts w:ascii="Verdana" w:hAnsi="Verdana"/>
                <w:b/>
                <w:sz w:val="18"/>
                <w:szCs w:val="18"/>
              </w:rPr>
            </w:pPr>
            <w:r w:rsidRPr="00EC75B7">
              <w:rPr>
                <w:rFonts w:ascii="Verdana" w:hAnsi="Verdana"/>
                <w:b/>
                <w:color w:val="FFFFFF"/>
                <w:spacing w:val="-2"/>
                <w:sz w:val="18"/>
                <w:szCs w:val="18"/>
              </w:rPr>
              <w:t xml:space="preserve">Impact addressed </w:t>
            </w:r>
            <w:r w:rsidRPr="00EC75B7">
              <w:rPr>
                <w:rFonts w:ascii="Verdana" w:hAnsi="Verdana"/>
                <w:b/>
                <w:color w:val="FFFFFF"/>
                <w:sz w:val="18"/>
                <w:szCs w:val="18"/>
              </w:rPr>
              <w:t xml:space="preserve">by </w:t>
            </w:r>
            <w:r w:rsidRPr="00EC75B7">
              <w:rPr>
                <w:rFonts w:ascii="Verdana" w:hAnsi="Verdana"/>
                <w:b/>
                <w:color w:val="FFFFFF"/>
                <w:spacing w:val="-2"/>
                <w:sz w:val="18"/>
                <w:szCs w:val="18"/>
              </w:rPr>
              <w:t>the measure</w:t>
            </w:r>
          </w:p>
        </w:tc>
        <w:tc>
          <w:tcPr>
            <w:tcW w:w="4230" w:type="dxa"/>
            <w:gridSpan w:val="12"/>
            <w:shd w:val="clear" w:color="auto" w:fill="00AFEF"/>
          </w:tcPr>
          <w:p w14:paraId="44D9F8EC" w14:textId="77777777" w:rsidR="008715BE" w:rsidRPr="00EC75B7" w:rsidRDefault="00000000">
            <w:pPr>
              <w:pStyle w:val="TableParagraph"/>
              <w:spacing w:before="61"/>
              <w:ind w:left="302"/>
              <w:rPr>
                <w:rFonts w:ascii="Verdana" w:hAnsi="Verdana"/>
                <w:b/>
                <w:sz w:val="18"/>
                <w:szCs w:val="18"/>
              </w:rPr>
            </w:pPr>
            <w:r w:rsidRPr="00EC75B7">
              <w:rPr>
                <w:rFonts w:ascii="Verdana" w:hAnsi="Verdana"/>
                <w:b/>
                <w:color w:val="FFFFFF"/>
                <w:sz w:val="18"/>
                <w:szCs w:val="18"/>
              </w:rPr>
              <w:t xml:space="preserve">Timeline for implementing the </w:t>
            </w:r>
            <w:r w:rsidRPr="00EC75B7">
              <w:rPr>
                <w:rFonts w:ascii="Verdana" w:hAnsi="Verdana"/>
                <w:b/>
                <w:color w:val="FFFFFF"/>
                <w:spacing w:val="-2"/>
                <w:sz w:val="18"/>
                <w:szCs w:val="18"/>
              </w:rPr>
              <w:t>measures</w:t>
            </w:r>
          </w:p>
        </w:tc>
        <w:tc>
          <w:tcPr>
            <w:tcW w:w="1891" w:type="dxa"/>
            <w:vMerge w:val="restart"/>
            <w:shd w:val="clear" w:color="auto" w:fill="00AFEF"/>
          </w:tcPr>
          <w:p w14:paraId="792F5EDB" w14:textId="77777777" w:rsidR="008715BE" w:rsidRPr="00EC75B7" w:rsidRDefault="008715BE">
            <w:pPr>
              <w:pStyle w:val="TableParagraph"/>
              <w:rPr>
                <w:rFonts w:ascii="Verdana" w:hAnsi="Verdana"/>
                <w:b/>
                <w:sz w:val="18"/>
                <w:szCs w:val="18"/>
              </w:rPr>
            </w:pPr>
          </w:p>
          <w:p w14:paraId="2956F1B2" w14:textId="77777777" w:rsidR="008715BE" w:rsidRPr="00EC75B7" w:rsidRDefault="008715BE">
            <w:pPr>
              <w:pStyle w:val="TableParagraph"/>
              <w:spacing w:before="179"/>
              <w:rPr>
                <w:rFonts w:ascii="Verdana" w:hAnsi="Verdana"/>
                <w:b/>
                <w:sz w:val="18"/>
                <w:szCs w:val="18"/>
              </w:rPr>
            </w:pPr>
          </w:p>
          <w:p w14:paraId="0782F024" w14:textId="77777777" w:rsidR="008715BE" w:rsidRPr="00EC75B7" w:rsidRDefault="00000000">
            <w:pPr>
              <w:pStyle w:val="TableParagraph"/>
              <w:ind w:left="402"/>
              <w:rPr>
                <w:rFonts w:ascii="Verdana" w:hAnsi="Verdana"/>
                <w:b/>
                <w:sz w:val="18"/>
                <w:szCs w:val="18"/>
              </w:rPr>
            </w:pPr>
            <w:r w:rsidRPr="00EC75B7">
              <w:rPr>
                <w:rFonts w:ascii="Verdana" w:hAnsi="Verdana"/>
                <w:b/>
                <w:color w:val="FFFFFF"/>
                <w:spacing w:val="-2"/>
                <w:sz w:val="18"/>
                <w:szCs w:val="18"/>
              </w:rPr>
              <w:t>Responsible</w:t>
            </w:r>
          </w:p>
        </w:tc>
        <w:tc>
          <w:tcPr>
            <w:tcW w:w="1440" w:type="dxa"/>
            <w:vMerge w:val="restart"/>
            <w:shd w:val="clear" w:color="auto" w:fill="00AFEF"/>
          </w:tcPr>
          <w:p w14:paraId="45434A94" w14:textId="77777777" w:rsidR="008715BE" w:rsidRPr="00EC75B7" w:rsidRDefault="008715BE">
            <w:pPr>
              <w:pStyle w:val="TableParagraph"/>
              <w:rPr>
                <w:rFonts w:ascii="Verdana" w:hAnsi="Verdana"/>
                <w:b/>
                <w:sz w:val="18"/>
                <w:szCs w:val="18"/>
              </w:rPr>
            </w:pPr>
          </w:p>
          <w:p w14:paraId="4190DDC4" w14:textId="77777777" w:rsidR="008715BE" w:rsidRPr="00EC75B7" w:rsidRDefault="008715BE">
            <w:pPr>
              <w:pStyle w:val="TableParagraph"/>
              <w:spacing w:before="179"/>
              <w:rPr>
                <w:rFonts w:ascii="Verdana" w:hAnsi="Verdana"/>
                <w:b/>
                <w:sz w:val="18"/>
                <w:szCs w:val="18"/>
              </w:rPr>
            </w:pPr>
          </w:p>
          <w:p w14:paraId="6D988569" w14:textId="77777777" w:rsidR="008715BE" w:rsidRPr="00EC75B7" w:rsidRDefault="00000000">
            <w:pPr>
              <w:pStyle w:val="TableParagraph"/>
              <w:ind w:left="455"/>
              <w:rPr>
                <w:rFonts w:ascii="Verdana" w:hAnsi="Verdana"/>
                <w:b/>
                <w:sz w:val="18"/>
                <w:szCs w:val="18"/>
              </w:rPr>
            </w:pPr>
            <w:r w:rsidRPr="00EC75B7">
              <w:rPr>
                <w:rFonts w:ascii="Verdana" w:hAnsi="Verdana"/>
                <w:b/>
                <w:color w:val="FFFFFF"/>
                <w:spacing w:val="-2"/>
                <w:sz w:val="18"/>
                <w:szCs w:val="18"/>
              </w:rPr>
              <w:t>Budget</w:t>
            </w:r>
          </w:p>
        </w:tc>
      </w:tr>
      <w:tr w:rsidR="008715BE" w:rsidRPr="00EC75B7" w14:paraId="737EFAF4" w14:textId="77777777">
        <w:trPr>
          <w:trHeight w:val="1005"/>
        </w:trPr>
        <w:tc>
          <w:tcPr>
            <w:tcW w:w="6645" w:type="dxa"/>
            <w:gridSpan w:val="2"/>
            <w:vMerge/>
            <w:tcBorders>
              <w:top w:val="nil"/>
            </w:tcBorders>
            <w:shd w:val="clear" w:color="auto" w:fill="00AFEF"/>
          </w:tcPr>
          <w:p w14:paraId="1A2A63AB" w14:textId="77777777" w:rsidR="008715BE" w:rsidRPr="00EC75B7" w:rsidRDefault="008715BE">
            <w:pPr>
              <w:rPr>
                <w:rFonts w:ascii="Verdana" w:hAnsi="Verdana"/>
                <w:sz w:val="18"/>
                <w:szCs w:val="18"/>
              </w:rPr>
            </w:pPr>
          </w:p>
        </w:tc>
        <w:tc>
          <w:tcPr>
            <w:tcW w:w="1809" w:type="dxa"/>
            <w:vMerge/>
            <w:tcBorders>
              <w:top w:val="nil"/>
            </w:tcBorders>
            <w:shd w:val="clear" w:color="auto" w:fill="00AFEF"/>
          </w:tcPr>
          <w:p w14:paraId="673E56CF"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5D952C2C" w14:textId="77777777" w:rsidR="008715BE" w:rsidRPr="00EC75B7" w:rsidRDefault="008715BE">
            <w:pPr>
              <w:rPr>
                <w:rFonts w:ascii="Verdana" w:hAnsi="Verdana"/>
                <w:sz w:val="18"/>
                <w:szCs w:val="18"/>
              </w:rPr>
            </w:pPr>
          </w:p>
        </w:tc>
        <w:tc>
          <w:tcPr>
            <w:tcW w:w="1351" w:type="dxa"/>
            <w:vMerge/>
            <w:tcBorders>
              <w:top w:val="nil"/>
            </w:tcBorders>
            <w:shd w:val="clear" w:color="auto" w:fill="00AFEF"/>
          </w:tcPr>
          <w:p w14:paraId="3ECC802E" w14:textId="77777777" w:rsidR="008715BE" w:rsidRPr="00EC75B7" w:rsidRDefault="008715BE">
            <w:pPr>
              <w:rPr>
                <w:rFonts w:ascii="Verdana" w:hAnsi="Verdana"/>
                <w:sz w:val="18"/>
                <w:szCs w:val="18"/>
              </w:rPr>
            </w:pPr>
          </w:p>
        </w:tc>
        <w:tc>
          <w:tcPr>
            <w:tcW w:w="269" w:type="dxa"/>
            <w:shd w:val="clear" w:color="auto" w:fill="00AFEF"/>
          </w:tcPr>
          <w:p w14:paraId="465E49A4" w14:textId="77777777" w:rsidR="008715BE" w:rsidRPr="00EC75B7" w:rsidRDefault="008715BE">
            <w:pPr>
              <w:pStyle w:val="TableParagraph"/>
              <w:rPr>
                <w:rFonts w:ascii="Verdana" w:hAnsi="Verdana"/>
                <w:b/>
                <w:sz w:val="18"/>
                <w:szCs w:val="18"/>
              </w:rPr>
            </w:pPr>
          </w:p>
          <w:p w14:paraId="2A3BE5C2" w14:textId="77777777" w:rsidR="008715BE" w:rsidRPr="00EC75B7" w:rsidRDefault="008715BE">
            <w:pPr>
              <w:pStyle w:val="TableParagraph"/>
              <w:spacing w:before="23"/>
              <w:rPr>
                <w:rFonts w:ascii="Verdana" w:hAnsi="Verdana"/>
                <w:b/>
                <w:sz w:val="18"/>
                <w:szCs w:val="18"/>
              </w:rPr>
            </w:pPr>
          </w:p>
          <w:p w14:paraId="56E9FA66" w14:textId="77777777" w:rsidR="008715BE" w:rsidRPr="00EC75B7" w:rsidRDefault="00000000">
            <w:pPr>
              <w:pStyle w:val="TableParagraph"/>
              <w:ind w:left="70"/>
              <w:jc w:val="center"/>
              <w:rPr>
                <w:rFonts w:ascii="Verdana" w:hAnsi="Verdana"/>
                <w:b/>
                <w:sz w:val="18"/>
                <w:szCs w:val="18"/>
              </w:rPr>
            </w:pPr>
            <w:r w:rsidRPr="00EC75B7">
              <w:rPr>
                <w:rFonts w:ascii="Verdana" w:hAnsi="Verdana"/>
                <w:b/>
                <w:color w:val="FFFFFF"/>
                <w:spacing w:val="-10"/>
                <w:sz w:val="18"/>
                <w:szCs w:val="18"/>
              </w:rPr>
              <w:t>1</w:t>
            </w:r>
          </w:p>
        </w:tc>
        <w:tc>
          <w:tcPr>
            <w:tcW w:w="295" w:type="dxa"/>
            <w:shd w:val="clear" w:color="auto" w:fill="00AFEF"/>
          </w:tcPr>
          <w:p w14:paraId="6937FA5C" w14:textId="77777777" w:rsidR="008715BE" w:rsidRPr="00EC75B7" w:rsidRDefault="008715BE">
            <w:pPr>
              <w:pStyle w:val="TableParagraph"/>
              <w:rPr>
                <w:rFonts w:ascii="Verdana" w:hAnsi="Verdana"/>
                <w:b/>
                <w:sz w:val="18"/>
                <w:szCs w:val="18"/>
              </w:rPr>
            </w:pPr>
          </w:p>
          <w:p w14:paraId="238C9D6D" w14:textId="77777777" w:rsidR="008715BE" w:rsidRPr="00EC75B7" w:rsidRDefault="008715BE">
            <w:pPr>
              <w:pStyle w:val="TableParagraph"/>
              <w:spacing w:before="23"/>
              <w:rPr>
                <w:rFonts w:ascii="Verdana" w:hAnsi="Verdana"/>
                <w:b/>
                <w:sz w:val="18"/>
                <w:szCs w:val="18"/>
              </w:rPr>
            </w:pPr>
          </w:p>
          <w:p w14:paraId="648017B1" w14:textId="77777777" w:rsidR="008715BE" w:rsidRPr="00EC75B7" w:rsidRDefault="00000000">
            <w:pPr>
              <w:pStyle w:val="TableParagraph"/>
              <w:ind w:left="49"/>
              <w:jc w:val="center"/>
              <w:rPr>
                <w:rFonts w:ascii="Verdana" w:hAnsi="Verdana"/>
                <w:b/>
                <w:sz w:val="18"/>
                <w:szCs w:val="18"/>
              </w:rPr>
            </w:pPr>
            <w:r w:rsidRPr="00EC75B7">
              <w:rPr>
                <w:rFonts w:ascii="Verdana" w:hAnsi="Verdana"/>
                <w:b/>
                <w:color w:val="FFFFFF"/>
                <w:spacing w:val="-10"/>
                <w:sz w:val="18"/>
                <w:szCs w:val="18"/>
              </w:rPr>
              <w:t>2</w:t>
            </w:r>
          </w:p>
        </w:tc>
        <w:tc>
          <w:tcPr>
            <w:tcW w:w="331" w:type="dxa"/>
            <w:shd w:val="clear" w:color="auto" w:fill="00AFEF"/>
          </w:tcPr>
          <w:p w14:paraId="2119CAE1" w14:textId="77777777" w:rsidR="008715BE" w:rsidRPr="00EC75B7" w:rsidRDefault="008715BE">
            <w:pPr>
              <w:pStyle w:val="TableParagraph"/>
              <w:rPr>
                <w:rFonts w:ascii="Verdana" w:hAnsi="Verdana"/>
                <w:b/>
                <w:sz w:val="18"/>
                <w:szCs w:val="18"/>
              </w:rPr>
            </w:pPr>
          </w:p>
          <w:p w14:paraId="7588CA97" w14:textId="77777777" w:rsidR="008715BE" w:rsidRPr="00EC75B7" w:rsidRDefault="008715BE">
            <w:pPr>
              <w:pStyle w:val="TableParagraph"/>
              <w:spacing w:before="23"/>
              <w:rPr>
                <w:rFonts w:ascii="Verdana" w:hAnsi="Verdana"/>
                <w:b/>
                <w:sz w:val="18"/>
                <w:szCs w:val="18"/>
              </w:rPr>
            </w:pPr>
          </w:p>
          <w:p w14:paraId="1BD0ED2E"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3</w:t>
            </w:r>
          </w:p>
        </w:tc>
        <w:tc>
          <w:tcPr>
            <w:tcW w:w="329" w:type="dxa"/>
            <w:shd w:val="clear" w:color="auto" w:fill="00AFEF"/>
          </w:tcPr>
          <w:p w14:paraId="3927CDF6" w14:textId="77777777" w:rsidR="008715BE" w:rsidRPr="00EC75B7" w:rsidRDefault="008715BE">
            <w:pPr>
              <w:pStyle w:val="TableParagraph"/>
              <w:rPr>
                <w:rFonts w:ascii="Verdana" w:hAnsi="Verdana"/>
                <w:b/>
                <w:sz w:val="18"/>
                <w:szCs w:val="18"/>
              </w:rPr>
            </w:pPr>
          </w:p>
          <w:p w14:paraId="47151E73" w14:textId="77777777" w:rsidR="008715BE" w:rsidRPr="00EC75B7" w:rsidRDefault="008715BE">
            <w:pPr>
              <w:pStyle w:val="TableParagraph"/>
              <w:spacing w:before="23"/>
              <w:rPr>
                <w:rFonts w:ascii="Verdana" w:hAnsi="Verdana"/>
                <w:b/>
                <w:sz w:val="18"/>
                <w:szCs w:val="18"/>
              </w:rPr>
            </w:pPr>
          </w:p>
          <w:p w14:paraId="103DF194"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4</w:t>
            </w:r>
          </w:p>
        </w:tc>
        <w:tc>
          <w:tcPr>
            <w:tcW w:w="331" w:type="dxa"/>
            <w:shd w:val="clear" w:color="auto" w:fill="00AFEF"/>
          </w:tcPr>
          <w:p w14:paraId="33697F67" w14:textId="77777777" w:rsidR="008715BE" w:rsidRPr="00EC75B7" w:rsidRDefault="008715BE">
            <w:pPr>
              <w:pStyle w:val="TableParagraph"/>
              <w:rPr>
                <w:rFonts w:ascii="Verdana" w:hAnsi="Verdana"/>
                <w:b/>
                <w:sz w:val="18"/>
                <w:szCs w:val="18"/>
              </w:rPr>
            </w:pPr>
          </w:p>
          <w:p w14:paraId="71495494" w14:textId="77777777" w:rsidR="008715BE" w:rsidRPr="00EC75B7" w:rsidRDefault="008715BE">
            <w:pPr>
              <w:pStyle w:val="TableParagraph"/>
              <w:spacing w:before="23"/>
              <w:rPr>
                <w:rFonts w:ascii="Verdana" w:hAnsi="Verdana"/>
                <w:b/>
                <w:sz w:val="18"/>
                <w:szCs w:val="18"/>
              </w:rPr>
            </w:pPr>
          </w:p>
          <w:p w14:paraId="253E9A84"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5</w:t>
            </w:r>
          </w:p>
        </w:tc>
        <w:tc>
          <w:tcPr>
            <w:tcW w:w="329" w:type="dxa"/>
            <w:shd w:val="clear" w:color="auto" w:fill="00AFEF"/>
          </w:tcPr>
          <w:p w14:paraId="6DBA9164" w14:textId="77777777" w:rsidR="008715BE" w:rsidRPr="00EC75B7" w:rsidRDefault="008715BE">
            <w:pPr>
              <w:pStyle w:val="TableParagraph"/>
              <w:rPr>
                <w:rFonts w:ascii="Verdana" w:hAnsi="Verdana"/>
                <w:b/>
                <w:sz w:val="18"/>
                <w:szCs w:val="18"/>
              </w:rPr>
            </w:pPr>
          </w:p>
          <w:p w14:paraId="2968A88F" w14:textId="77777777" w:rsidR="008715BE" w:rsidRPr="00EC75B7" w:rsidRDefault="008715BE">
            <w:pPr>
              <w:pStyle w:val="TableParagraph"/>
              <w:spacing w:before="23"/>
              <w:rPr>
                <w:rFonts w:ascii="Verdana" w:hAnsi="Verdana"/>
                <w:b/>
                <w:sz w:val="18"/>
                <w:szCs w:val="18"/>
              </w:rPr>
            </w:pPr>
          </w:p>
          <w:p w14:paraId="2F1739E9" w14:textId="77777777" w:rsidR="008715BE" w:rsidRPr="00EC75B7" w:rsidRDefault="00000000">
            <w:pPr>
              <w:pStyle w:val="TableParagraph"/>
              <w:ind w:left="16"/>
              <w:jc w:val="center"/>
              <w:rPr>
                <w:rFonts w:ascii="Verdana" w:hAnsi="Verdana"/>
                <w:b/>
                <w:sz w:val="18"/>
                <w:szCs w:val="18"/>
              </w:rPr>
            </w:pPr>
            <w:r w:rsidRPr="00EC75B7">
              <w:rPr>
                <w:rFonts w:ascii="Verdana" w:hAnsi="Verdana"/>
                <w:b/>
                <w:color w:val="FFFFFF"/>
                <w:spacing w:val="-10"/>
                <w:sz w:val="18"/>
                <w:szCs w:val="18"/>
              </w:rPr>
              <w:t>6</w:t>
            </w:r>
          </w:p>
        </w:tc>
        <w:tc>
          <w:tcPr>
            <w:tcW w:w="332" w:type="dxa"/>
            <w:shd w:val="clear" w:color="auto" w:fill="00AFEF"/>
          </w:tcPr>
          <w:p w14:paraId="29156FD2" w14:textId="77777777" w:rsidR="008715BE" w:rsidRPr="00EC75B7" w:rsidRDefault="008715BE">
            <w:pPr>
              <w:pStyle w:val="TableParagraph"/>
              <w:rPr>
                <w:rFonts w:ascii="Verdana" w:hAnsi="Verdana"/>
                <w:b/>
                <w:sz w:val="18"/>
                <w:szCs w:val="18"/>
              </w:rPr>
            </w:pPr>
          </w:p>
          <w:p w14:paraId="366F8C67" w14:textId="77777777" w:rsidR="008715BE" w:rsidRPr="00EC75B7" w:rsidRDefault="008715BE">
            <w:pPr>
              <w:pStyle w:val="TableParagraph"/>
              <w:spacing w:before="23"/>
              <w:rPr>
                <w:rFonts w:ascii="Verdana" w:hAnsi="Verdana"/>
                <w:b/>
                <w:sz w:val="18"/>
                <w:szCs w:val="18"/>
              </w:rPr>
            </w:pPr>
          </w:p>
          <w:p w14:paraId="706A1F56"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10"/>
                <w:sz w:val="18"/>
                <w:szCs w:val="18"/>
              </w:rPr>
              <w:t>7</w:t>
            </w:r>
          </w:p>
        </w:tc>
        <w:tc>
          <w:tcPr>
            <w:tcW w:w="329" w:type="dxa"/>
            <w:shd w:val="clear" w:color="auto" w:fill="00AFEF"/>
          </w:tcPr>
          <w:p w14:paraId="324110DE" w14:textId="77777777" w:rsidR="008715BE" w:rsidRPr="00EC75B7" w:rsidRDefault="008715BE">
            <w:pPr>
              <w:pStyle w:val="TableParagraph"/>
              <w:rPr>
                <w:rFonts w:ascii="Verdana" w:hAnsi="Verdana"/>
                <w:b/>
                <w:sz w:val="18"/>
                <w:szCs w:val="18"/>
              </w:rPr>
            </w:pPr>
          </w:p>
          <w:p w14:paraId="0530DA69" w14:textId="77777777" w:rsidR="008715BE" w:rsidRPr="00EC75B7" w:rsidRDefault="008715BE">
            <w:pPr>
              <w:pStyle w:val="TableParagraph"/>
              <w:spacing w:before="23"/>
              <w:rPr>
                <w:rFonts w:ascii="Verdana" w:hAnsi="Verdana"/>
                <w:b/>
                <w:sz w:val="18"/>
                <w:szCs w:val="18"/>
              </w:rPr>
            </w:pPr>
          </w:p>
          <w:p w14:paraId="3E37A5BE" w14:textId="77777777" w:rsidR="008715BE" w:rsidRPr="00EC75B7" w:rsidRDefault="00000000">
            <w:pPr>
              <w:pStyle w:val="TableParagraph"/>
              <w:ind w:left="16" w:right="1"/>
              <w:jc w:val="center"/>
              <w:rPr>
                <w:rFonts w:ascii="Verdana" w:hAnsi="Verdana"/>
                <w:b/>
                <w:sz w:val="18"/>
                <w:szCs w:val="18"/>
              </w:rPr>
            </w:pPr>
            <w:r w:rsidRPr="00EC75B7">
              <w:rPr>
                <w:rFonts w:ascii="Verdana" w:hAnsi="Verdana"/>
                <w:b/>
                <w:color w:val="FFFFFF"/>
                <w:spacing w:val="-10"/>
                <w:sz w:val="18"/>
                <w:szCs w:val="18"/>
              </w:rPr>
              <w:t>8</w:t>
            </w:r>
          </w:p>
        </w:tc>
        <w:tc>
          <w:tcPr>
            <w:tcW w:w="336" w:type="dxa"/>
            <w:shd w:val="clear" w:color="auto" w:fill="00AFEF"/>
          </w:tcPr>
          <w:p w14:paraId="77DE3B51" w14:textId="77777777" w:rsidR="008715BE" w:rsidRPr="00EC75B7" w:rsidRDefault="008715BE">
            <w:pPr>
              <w:pStyle w:val="TableParagraph"/>
              <w:rPr>
                <w:rFonts w:ascii="Verdana" w:hAnsi="Verdana"/>
                <w:b/>
                <w:sz w:val="18"/>
                <w:szCs w:val="18"/>
              </w:rPr>
            </w:pPr>
          </w:p>
          <w:p w14:paraId="239695B4" w14:textId="77777777" w:rsidR="008715BE" w:rsidRPr="00EC75B7" w:rsidRDefault="008715BE">
            <w:pPr>
              <w:pStyle w:val="TableParagraph"/>
              <w:spacing w:before="23"/>
              <w:rPr>
                <w:rFonts w:ascii="Verdana" w:hAnsi="Verdana"/>
                <w:b/>
                <w:sz w:val="18"/>
                <w:szCs w:val="18"/>
              </w:rPr>
            </w:pPr>
          </w:p>
          <w:p w14:paraId="62F9D6DB" w14:textId="77777777" w:rsidR="008715BE" w:rsidRPr="00EC75B7" w:rsidRDefault="00000000">
            <w:pPr>
              <w:pStyle w:val="TableParagraph"/>
              <w:ind w:left="12"/>
              <w:jc w:val="center"/>
              <w:rPr>
                <w:rFonts w:ascii="Verdana" w:hAnsi="Verdana"/>
                <w:b/>
                <w:sz w:val="18"/>
                <w:szCs w:val="18"/>
              </w:rPr>
            </w:pPr>
            <w:r w:rsidRPr="00EC75B7">
              <w:rPr>
                <w:rFonts w:ascii="Verdana" w:hAnsi="Verdana"/>
                <w:b/>
                <w:color w:val="FFFFFF"/>
                <w:spacing w:val="-10"/>
                <w:sz w:val="18"/>
                <w:szCs w:val="18"/>
              </w:rPr>
              <w:t>9</w:t>
            </w:r>
          </w:p>
        </w:tc>
        <w:tc>
          <w:tcPr>
            <w:tcW w:w="449" w:type="dxa"/>
            <w:shd w:val="clear" w:color="auto" w:fill="00AFEF"/>
          </w:tcPr>
          <w:p w14:paraId="25B47FCE" w14:textId="77777777" w:rsidR="008715BE" w:rsidRPr="00EC75B7" w:rsidRDefault="008715BE">
            <w:pPr>
              <w:pStyle w:val="TableParagraph"/>
              <w:rPr>
                <w:rFonts w:ascii="Verdana" w:hAnsi="Verdana"/>
                <w:b/>
                <w:sz w:val="18"/>
                <w:szCs w:val="18"/>
              </w:rPr>
            </w:pPr>
          </w:p>
          <w:p w14:paraId="1897B910" w14:textId="77777777" w:rsidR="008715BE" w:rsidRPr="00EC75B7" w:rsidRDefault="008715BE">
            <w:pPr>
              <w:pStyle w:val="TableParagraph"/>
              <w:spacing w:before="23"/>
              <w:rPr>
                <w:rFonts w:ascii="Verdana" w:hAnsi="Verdana"/>
                <w:b/>
                <w:sz w:val="18"/>
                <w:szCs w:val="18"/>
              </w:rPr>
            </w:pPr>
          </w:p>
          <w:p w14:paraId="0FA34945"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10</w:t>
            </w:r>
          </w:p>
        </w:tc>
        <w:tc>
          <w:tcPr>
            <w:tcW w:w="451" w:type="dxa"/>
            <w:shd w:val="clear" w:color="auto" w:fill="00AFEF"/>
          </w:tcPr>
          <w:p w14:paraId="063EA739" w14:textId="77777777" w:rsidR="008715BE" w:rsidRPr="00EC75B7" w:rsidRDefault="008715BE">
            <w:pPr>
              <w:pStyle w:val="TableParagraph"/>
              <w:rPr>
                <w:rFonts w:ascii="Verdana" w:hAnsi="Verdana"/>
                <w:b/>
                <w:sz w:val="18"/>
                <w:szCs w:val="18"/>
              </w:rPr>
            </w:pPr>
          </w:p>
          <w:p w14:paraId="2CA1F04D" w14:textId="77777777" w:rsidR="008715BE" w:rsidRPr="00EC75B7" w:rsidRDefault="008715BE">
            <w:pPr>
              <w:pStyle w:val="TableParagraph"/>
              <w:spacing w:before="23"/>
              <w:rPr>
                <w:rFonts w:ascii="Verdana" w:hAnsi="Verdana"/>
                <w:b/>
                <w:sz w:val="18"/>
                <w:szCs w:val="18"/>
              </w:rPr>
            </w:pPr>
          </w:p>
          <w:p w14:paraId="5B8C9575" w14:textId="77777777" w:rsidR="008715BE" w:rsidRPr="00EC75B7" w:rsidRDefault="00000000">
            <w:pPr>
              <w:pStyle w:val="TableParagraph"/>
              <w:ind w:left="13"/>
              <w:jc w:val="center"/>
              <w:rPr>
                <w:rFonts w:ascii="Verdana" w:hAnsi="Verdana"/>
                <w:b/>
                <w:sz w:val="18"/>
                <w:szCs w:val="18"/>
              </w:rPr>
            </w:pPr>
            <w:r w:rsidRPr="00EC75B7">
              <w:rPr>
                <w:rFonts w:ascii="Verdana" w:hAnsi="Verdana"/>
                <w:b/>
                <w:color w:val="FFFFFF"/>
                <w:spacing w:val="-5"/>
                <w:sz w:val="18"/>
                <w:szCs w:val="18"/>
              </w:rPr>
              <w:t>11</w:t>
            </w:r>
          </w:p>
        </w:tc>
        <w:tc>
          <w:tcPr>
            <w:tcW w:w="449" w:type="dxa"/>
            <w:shd w:val="clear" w:color="auto" w:fill="00AFEF"/>
          </w:tcPr>
          <w:p w14:paraId="3B4EA164" w14:textId="77777777" w:rsidR="008715BE" w:rsidRPr="00EC75B7" w:rsidRDefault="008715BE">
            <w:pPr>
              <w:pStyle w:val="TableParagraph"/>
              <w:rPr>
                <w:rFonts w:ascii="Verdana" w:hAnsi="Verdana"/>
                <w:b/>
                <w:sz w:val="18"/>
                <w:szCs w:val="18"/>
              </w:rPr>
            </w:pPr>
          </w:p>
          <w:p w14:paraId="529244C8" w14:textId="77777777" w:rsidR="008715BE" w:rsidRPr="00EC75B7" w:rsidRDefault="008715BE">
            <w:pPr>
              <w:pStyle w:val="TableParagraph"/>
              <w:spacing w:before="23"/>
              <w:rPr>
                <w:rFonts w:ascii="Verdana" w:hAnsi="Verdana"/>
                <w:b/>
                <w:sz w:val="18"/>
                <w:szCs w:val="18"/>
              </w:rPr>
            </w:pPr>
          </w:p>
          <w:p w14:paraId="5065831F" w14:textId="77777777" w:rsidR="008715BE" w:rsidRPr="00EC75B7" w:rsidRDefault="00000000">
            <w:pPr>
              <w:pStyle w:val="TableParagraph"/>
              <w:ind w:left="11"/>
              <w:jc w:val="center"/>
              <w:rPr>
                <w:rFonts w:ascii="Verdana" w:hAnsi="Verdana"/>
                <w:b/>
                <w:sz w:val="18"/>
                <w:szCs w:val="18"/>
              </w:rPr>
            </w:pPr>
            <w:r w:rsidRPr="00EC75B7">
              <w:rPr>
                <w:rFonts w:ascii="Verdana" w:hAnsi="Verdana"/>
                <w:b/>
                <w:color w:val="FFFFFF"/>
                <w:spacing w:val="-5"/>
                <w:sz w:val="18"/>
                <w:szCs w:val="18"/>
              </w:rPr>
              <w:t>12</w:t>
            </w:r>
          </w:p>
        </w:tc>
        <w:tc>
          <w:tcPr>
            <w:tcW w:w="1891" w:type="dxa"/>
            <w:vMerge/>
            <w:tcBorders>
              <w:top w:val="nil"/>
            </w:tcBorders>
            <w:shd w:val="clear" w:color="auto" w:fill="00AFEF"/>
          </w:tcPr>
          <w:p w14:paraId="61642DA0" w14:textId="77777777" w:rsidR="008715BE" w:rsidRPr="00EC75B7" w:rsidRDefault="008715BE">
            <w:pPr>
              <w:rPr>
                <w:rFonts w:ascii="Verdana" w:hAnsi="Verdana"/>
                <w:sz w:val="18"/>
                <w:szCs w:val="18"/>
              </w:rPr>
            </w:pPr>
          </w:p>
        </w:tc>
        <w:tc>
          <w:tcPr>
            <w:tcW w:w="1440" w:type="dxa"/>
            <w:vMerge/>
            <w:tcBorders>
              <w:top w:val="nil"/>
            </w:tcBorders>
            <w:shd w:val="clear" w:color="auto" w:fill="00AFEF"/>
          </w:tcPr>
          <w:p w14:paraId="5B374C82" w14:textId="77777777" w:rsidR="008715BE" w:rsidRPr="00EC75B7" w:rsidRDefault="008715BE">
            <w:pPr>
              <w:rPr>
                <w:rFonts w:ascii="Verdana" w:hAnsi="Verdana"/>
                <w:sz w:val="18"/>
                <w:szCs w:val="18"/>
              </w:rPr>
            </w:pPr>
          </w:p>
        </w:tc>
      </w:tr>
      <w:tr w:rsidR="008715BE" w:rsidRPr="00EC75B7" w14:paraId="1D21F89F" w14:textId="77777777">
        <w:trPr>
          <w:trHeight w:val="1557"/>
        </w:trPr>
        <w:tc>
          <w:tcPr>
            <w:tcW w:w="554" w:type="dxa"/>
          </w:tcPr>
          <w:p w14:paraId="696E59C6" w14:textId="77777777" w:rsidR="008715BE" w:rsidRPr="00EC75B7" w:rsidRDefault="008715BE">
            <w:pPr>
              <w:pStyle w:val="TableParagraph"/>
              <w:rPr>
                <w:rFonts w:ascii="Verdana" w:hAnsi="Verdana"/>
                <w:b/>
                <w:sz w:val="18"/>
                <w:szCs w:val="18"/>
              </w:rPr>
            </w:pPr>
          </w:p>
          <w:p w14:paraId="4976F9F0" w14:textId="77777777" w:rsidR="008715BE" w:rsidRPr="00EC75B7" w:rsidRDefault="008715BE">
            <w:pPr>
              <w:pStyle w:val="TableParagraph"/>
              <w:rPr>
                <w:rFonts w:ascii="Verdana" w:hAnsi="Verdana"/>
                <w:b/>
                <w:sz w:val="18"/>
                <w:szCs w:val="18"/>
              </w:rPr>
            </w:pPr>
          </w:p>
          <w:p w14:paraId="745F5370" w14:textId="77777777" w:rsidR="008715BE" w:rsidRPr="00EC75B7" w:rsidRDefault="008715BE">
            <w:pPr>
              <w:pStyle w:val="TableParagraph"/>
              <w:spacing w:before="103"/>
              <w:rPr>
                <w:rFonts w:ascii="Verdana" w:hAnsi="Verdana"/>
                <w:b/>
                <w:sz w:val="18"/>
                <w:szCs w:val="18"/>
              </w:rPr>
            </w:pPr>
          </w:p>
          <w:p w14:paraId="0810D512" w14:textId="77777777" w:rsidR="008715BE" w:rsidRPr="00EC75B7" w:rsidRDefault="00000000">
            <w:pPr>
              <w:pStyle w:val="TableParagraph"/>
              <w:spacing w:before="1"/>
              <w:ind w:left="12" w:right="1"/>
              <w:jc w:val="center"/>
              <w:rPr>
                <w:rFonts w:ascii="Verdana" w:hAnsi="Verdana"/>
                <w:sz w:val="18"/>
                <w:szCs w:val="18"/>
              </w:rPr>
            </w:pPr>
            <w:r w:rsidRPr="00EC75B7">
              <w:rPr>
                <w:rFonts w:ascii="Verdana" w:hAnsi="Verdana"/>
                <w:spacing w:val="-5"/>
                <w:sz w:val="18"/>
                <w:szCs w:val="18"/>
              </w:rPr>
              <w:t>M18</w:t>
            </w:r>
          </w:p>
        </w:tc>
        <w:tc>
          <w:tcPr>
            <w:tcW w:w="6091" w:type="dxa"/>
          </w:tcPr>
          <w:p w14:paraId="08CABDE1" w14:textId="77777777" w:rsidR="008715BE" w:rsidRPr="00EC75B7" w:rsidRDefault="00000000">
            <w:pPr>
              <w:pStyle w:val="TableParagraph"/>
              <w:spacing w:before="10"/>
              <w:ind w:left="108" w:right="204"/>
              <w:rPr>
                <w:rFonts w:ascii="Verdana" w:hAnsi="Verdana"/>
                <w:sz w:val="18"/>
                <w:szCs w:val="18"/>
              </w:rPr>
            </w:pPr>
            <w:r w:rsidRPr="00EC75B7">
              <w:rPr>
                <w:rFonts w:ascii="Verdana" w:hAnsi="Verdana"/>
                <w:sz w:val="18"/>
                <w:szCs w:val="18"/>
              </w:rPr>
              <w:t>Installation of a video system for bird detection on turbines T8, T18, T29, T32, and T37. High-resolution camera systems will be installed. The signal deviation system must be installed during the first year of operation of the wind farm.</w:t>
            </w:r>
          </w:p>
          <w:p w14:paraId="64E305E7" w14:textId="77777777" w:rsidR="008715BE" w:rsidRPr="00EC75B7" w:rsidRDefault="00000000">
            <w:pPr>
              <w:pStyle w:val="TableParagraph"/>
              <w:ind w:left="108" w:right="170"/>
              <w:jc w:val="both"/>
              <w:rPr>
                <w:rFonts w:ascii="Verdana" w:hAnsi="Verdana"/>
                <w:sz w:val="18"/>
                <w:szCs w:val="18"/>
              </w:rPr>
            </w:pPr>
            <w:r w:rsidRPr="00EC75B7">
              <w:rPr>
                <w:rFonts w:ascii="Verdana" w:hAnsi="Verdana"/>
                <w:sz w:val="18"/>
                <w:szCs w:val="18"/>
              </w:rPr>
              <w:t xml:space="preserve">The camera system detects birds from a distance of up to 600 m and emits repellent sounds. If the bird continues to approach the turbine, after 300 meters the blades begin to slow down to a </w:t>
            </w:r>
            <w:r w:rsidRPr="00EC75B7">
              <w:rPr>
                <w:rFonts w:ascii="Verdana" w:hAnsi="Verdana"/>
                <w:spacing w:val="-2"/>
                <w:sz w:val="18"/>
                <w:szCs w:val="18"/>
              </w:rPr>
              <w:t>speed</w:t>
            </w:r>
          </w:p>
          <w:p w14:paraId="74664C5A" w14:textId="77777777" w:rsidR="008715BE" w:rsidRPr="00EC75B7" w:rsidRDefault="00000000">
            <w:pPr>
              <w:pStyle w:val="TableParagraph"/>
              <w:spacing w:line="163" w:lineRule="exact"/>
              <w:ind w:left="108"/>
              <w:jc w:val="both"/>
              <w:rPr>
                <w:rFonts w:ascii="Verdana" w:hAnsi="Verdana"/>
                <w:sz w:val="18"/>
                <w:szCs w:val="18"/>
              </w:rPr>
            </w:pPr>
            <w:r w:rsidRPr="00EC75B7">
              <w:rPr>
                <w:rFonts w:ascii="Verdana" w:hAnsi="Verdana"/>
                <w:sz w:val="18"/>
                <w:szCs w:val="18"/>
              </w:rPr>
              <w:t xml:space="preserve">of 3 rpm, which eliminates the risk of </w:t>
            </w:r>
            <w:r w:rsidRPr="00EC75B7">
              <w:rPr>
                <w:rFonts w:ascii="Verdana" w:hAnsi="Verdana"/>
                <w:spacing w:val="-2"/>
                <w:sz w:val="18"/>
                <w:szCs w:val="18"/>
              </w:rPr>
              <w:t>collision</w:t>
            </w:r>
          </w:p>
        </w:tc>
        <w:tc>
          <w:tcPr>
            <w:tcW w:w="1809" w:type="dxa"/>
          </w:tcPr>
          <w:p w14:paraId="138C05F2" w14:textId="77777777" w:rsidR="008715BE" w:rsidRPr="00EC75B7" w:rsidRDefault="00000000" w:rsidP="00C96230">
            <w:pPr>
              <w:pStyle w:val="TableParagraph"/>
              <w:spacing w:before="106"/>
              <w:ind w:left="14" w:right="1"/>
              <w:jc w:val="both"/>
              <w:rPr>
                <w:rFonts w:ascii="Verdana" w:hAnsi="Verdana"/>
                <w:sz w:val="18"/>
                <w:szCs w:val="18"/>
              </w:rPr>
            </w:pPr>
            <w:r w:rsidRPr="00EC75B7">
              <w:rPr>
                <w:rFonts w:ascii="Verdana" w:hAnsi="Verdana"/>
                <w:sz w:val="18"/>
                <w:szCs w:val="18"/>
              </w:rPr>
              <w:t xml:space="preserve">All </w:t>
            </w:r>
            <w:r w:rsidRPr="00EC75B7">
              <w:rPr>
                <w:rFonts w:ascii="Verdana" w:hAnsi="Verdana"/>
                <w:spacing w:val="-2"/>
                <w:sz w:val="18"/>
                <w:szCs w:val="18"/>
              </w:rPr>
              <w:t xml:space="preserve">bird </w:t>
            </w:r>
            <w:r w:rsidRPr="00EC75B7">
              <w:rPr>
                <w:rFonts w:ascii="Verdana" w:hAnsi="Verdana"/>
                <w:sz w:val="18"/>
                <w:szCs w:val="18"/>
              </w:rPr>
              <w:t>species*</w:t>
            </w:r>
          </w:p>
          <w:p w14:paraId="7DCCC218" w14:textId="77777777" w:rsidR="008715BE" w:rsidRPr="00EC75B7" w:rsidRDefault="00000000" w:rsidP="00C96230">
            <w:pPr>
              <w:pStyle w:val="TableParagraph"/>
              <w:spacing w:line="193" w:lineRule="exact"/>
              <w:ind w:left="14" w:right="5"/>
              <w:jc w:val="both"/>
              <w:rPr>
                <w:rFonts w:ascii="Verdana" w:hAnsi="Verdana"/>
                <w:sz w:val="18"/>
                <w:szCs w:val="18"/>
              </w:rPr>
            </w:pPr>
            <w:r w:rsidRPr="00EC75B7">
              <w:rPr>
                <w:rFonts w:ascii="Verdana" w:hAnsi="Verdana"/>
                <w:sz w:val="18"/>
                <w:szCs w:val="18"/>
              </w:rPr>
              <w:t xml:space="preserve">potentially </w:t>
            </w:r>
            <w:r w:rsidRPr="00EC75B7">
              <w:rPr>
                <w:rFonts w:ascii="Verdana" w:hAnsi="Verdana"/>
                <w:spacing w:val="-2"/>
                <w:sz w:val="18"/>
                <w:szCs w:val="18"/>
              </w:rPr>
              <w:t>affected</w:t>
            </w:r>
          </w:p>
          <w:p w14:paraId="333F00DD" w14:textId="77777777" w:rsidR="008715BE" w:rsidRPr="00EC75B7" w:rsidRDefault="00000000" w:rsidP="00C96230">
            <w:pPr>
              <w:pStyle w:val="TableParagraph"/>
              <w:ind w:right="379"/>
              <w:jc w:val="both"/>
              <w:rPr>
                <w:rFonts w:ascii="Verdana" w:hAnsi="Verdana"/>
                <w:sz w:val="18"/>
                <w:szCs w:val="18"/>
              </w:rPr>
            </w:pPr>
            <w:r w:rsidRPr="00EC75B7">
              <w:rPr>
                <w:rFonts w:ascii="Verdana" w:hAnsi="Verdana"/>
                <w:spacing w:val="-4"/>
                <w:sz w:val="18"/>
                <w:szCs w:val="18"/>
              </w:rPr>
              <w:t xml:space="preserve">in </w:t>
            </w:r>
            <w:r w:rsidRPr="00EC75B7">
              <w:rPr>
                <w:rFonts w:ascii="Verdana" w:hAnsi="Verdana"/>
                <w:spacing w:val="-2"/>
                <w:sz w:val="18"/>
                <w:szCs w:val="18"/>
              </w:rPr>
              <w:t>ROSPA0166, ROSPA0036, ROSPA0094</w:t>
            </w:r>
          </w:p>
        </w:tc>
        <w:tc>
          <w:tcPr>
            <w:tcW w:w="1440" w:type="dxa"/>
          </w:tcPr>
          <w:p w14:paraId="1310F8BA" w14:textId="77777777" w:rsidR="008715BE" w:rsidRPr="00EC75B7" w:rsidRDefault="008715BE">
            <w:pPr>
              <w:pStyle w:val="TableParagraph"/>
              <w:spacing w:before="105"/>
              <w:rPr>
                <w:rFonts w:ascii="Verdana" w:hAnsi="Verdana"/>
                <w:b/>
                <w:sz w:val="18"/>
                <w:szCs w:val="18"/>
              </w:rPr>
            </w:pPr>
          </w:p>
          <w:p w14:paraId="0D22B444"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076A4D21" w14:textId="77777777" w:rsidR="008715BE" w:rsidRPr="00EC75B7" w:rsidRDefault="008715BE">
            <w:pPr>
              <w:pStyle w:val="TableParagraph"/>
              <w:rPr>
                <w:rFonts w:ascii="Verdana" w:hAnsi="Verdana"/>
                <w:b/>
                <w:sz w:val="18"/>
                <w:szCs w:val="18"/>
              </w:rPr>
            </w:pPr>
          </w:p>
          <w:p w14:paraId="141D95DA" w14:textId="77777777" w:rsidR="008715BE" w:rsidRPr="00EC75B7" w:rsidRDefault="008715BE">
            <w:pPr>
              <w:pStyle w:val="TableParagraph"/>
              <w:rPr>
                <w:rFonts w:ascii="Verdana" w:hAnsi="Verdana"/>
                <w:b/>
                <w:sz w:val="18"/>
                <w:szCs w:val="18"/>
              </w:rPr>
            </w:pPr>
          </w:p>
          <w:p w14:paraId="4E0A7BC6" w14:textId="77777777" w:rsidR="008715BE" w:rsidRPr="00EC75B7" w:rsidRDefault="008715BE">
            <w:pPr>
              <w:pStyle w:val="TableParagraph"/>
              <w:spacing w:before="103"/>
              <w:rPr>
                <w:rFonts w:ascii="Verdana" w:hAnsi="Verdana"/>
                <w:b/>
                <w:sz w:val="18"/>
                <w:szCs w:val="18"/>
              </w:rPr>
            </w:pPr>
          </w:p>
          <w:p w14:paraId="033B41E3" w14:textId="77777777" w:rsidR="008715BE" w:rsidRPr="00EC75B7" w:rsidRDefault="00000000">
            <w:pPr>
              <w:pStyle w:val="TableParagraph"/>
              <w:spacing w:before="1"/>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135B449C" w14:textId="77777777" w:rsidR="008715BE" w:rsidRPr="00EC75B7" w:rsidRDefault="008715BE">
            <w:pPr>
              <w:pStyle w:val="TableParagraph"/>
              <w:rPr>
                <w:rFonts w:ascii="Verdana" w:hAnsi="Verdana"/>
                <w:b/>
                <w:sz w:val="18"/>
                <w:szCs w:val="18"/>
              </w:rPr>
            </w:pPr>
          </w:p>
          <w:p w14:paraId="2F63CF6B" w14:textId="77777777" w:rsidR="008715BE" w:rsidRPr="00EC75B7" w:rsidRDefault="008715BE">
            <w:pPr>
              <w:pStyle w:val="TableParagraph"/>
              <w:rPr>
                <w:rFonts w:ascii="Verdana" w:hAnsi="Verdana"/>
                <w:b/>
                <w:sz w:val="18"/>
                <w:szCs w:val="18"/>
              </w:rPr>
            </w:pPr>
          </w:p>
          <w:p w14:paraId="231915F0" w14:textId="77777777" w:rsidR="008715BE" w:rsidRPr="00EC75B7" w:rsidRDefault="008715BE">
            <w:pPr>
              <w:pStyle w:val="TableParagraph"/>
              <w:spacing w:before="103"/>
              <w:rPr>
                <w:rFonts w:ascii="Verdana" w:hAnsi="Verdana"/>
                <w:b/>
                <w:sz w:val="18"/>
                <w:szCs w:val="18"/>
              </w:rPr>
            </w:pPr>
          </w:p>
          <w:p w14:paraId="146B5867" w14:textId="77777777" w:rsidR="008715BE" w:rsidRPr="00EC75B7" w:rsidRDefault="00000000">
            <w:pPr>
              <w:pStyle w:val="TableParagraph"/>
              <w:spacing w:before="1"/>
              <w:ind w:left="70" w:right="4"/>
              <w:jc w:val="center"/>
              <w:rPr>
                <w:rFonts w:ascii="Verdana" w:hAnsi="Verdana"/>
                <w:sz w:val="18"/>
                <w:szCs w:val="18"/>
              </w:rPr>
            </w:pPr>
            <w:r w:rsidRPr="00EC75B7">
              <w:rPr>
                <w:rFonts w:ascii="Verdana" w:hAnsi="Verdana"/>
                <w:spacing w:val="-10"/>
                <w:sz w:val="18"/>
                <w:szCs w:val="18"/>
              </w:rPr>
              <w:t>X</w:t>
            </w:r>
          </w:p>
        </w:tc>
        <w:tc>
          <w:tcPr>
            <w:tcW w:w="295" w:type="dxa"/>
          </w:tcPr>
          <w:p w14:paraId="752B3471" w14:textId="77777777" w:rsidR="008715BE" w:rsidRPr="00EC75B7" w:rsidRDefault="008715BE">
            <w:pPr>
              <w:pStyle w:val="TableParagraph"/>
              <w:rPr>
                <w:rFonts w:ascii="Verdana" w:hAnsi="Verdana"/>
                <w:b/>
                <w:sz w:val="18"/>
                <w:szCs w:val="18"/>
              </w:rPr>
            </w:pPr>
          </w:p>
          <w:p w14:paraId="1587C8C4" w14:textId="77777777" w:rsidR="008715BE" w:rsidRPr="00EC75B7" w:rsidRDefault="008715BE">
            <w:pPr>
              <w:pStyle w:val="TableParagraph"/>
              <w:rPr>
                <w:rFonts w:ascii="Verdana" w:hAnsi="Verdana"/>
                <w:b/>
                <w:sz w:val="18"/>
                <w:szCs w:val="18"/>
              </w:rPr>
            </w:pPr>
          </w:p>
          <w:p w14:paraId="152DC878" w14:textId="77777777" w:rsidR="008715BE" w:rsidRPr="00EC75B7" w:rsidRDefault="008715BE">
            <w:pPr>
              <w:pStyle w:val="TableParagraph"/>
              <w:spacing w:before="103"/>
              <w:rPr>
                <w:rFonts w:ascii="Verdana" w:hAnsi="Verdana"/>
                <w:b/>
                <w:sz w:val="18"/>
                <w:szCs w:val="18"/>
              </w:rPr>
            </w:pPr>
          </w:p>
          <w:p w14:paraId="18705F17" w14:textId="77777777" w:rsidR="008715BE" w:rsidRPr="00EC75B7" w:rsidRDefault="00000000">
            <w:pPr>
              <w:pStyle w:val="TableParagraph"/>
              <w:spacing w:before="1"/>
              <w:ind w:left="49" w:right="4"/>
              <w:jc w:val="center"/>
              <w:rPr>
                <w:rFonts w:ascii="Verdana" w:hAnsi="Verdana"/>
                <w:sz w:val="18"/>
                <w:szCs w:val="18"/>
              </w:rPr>
            </w:pPr>
            <w:r w:rsidRPr="00EC75B7">
              <w:rPr>
                <w:rFonts w:ascii="Verdana" w:hAnsi="Verdana"/>
                <w:spacing w:val="-10"/>
                <w:sz w:val="18"/>
                <w:szCs w:val="18"/>
              </w:rPr>
              <w:t>X</w:t>
            </w:r>
          </w:p>
        </w:tc>
        <w:tc>
          <w:tcPr>
            <w:tcW w:w="331" w:type="dxa"/>
          </w:tcPr>
          <w:p w14:paraId="29FCB160" w14:textId="77777777" w:rsidR="008715BE" w:rsidRPr="00EC75B7" w:rsidRDefault="008715BE">
            <w:pPr>
              <w:pStyle w:val="TableParagraph"/>
              <w:rPr>
                <w:rFonts w:ascii="Verdana" w:hAnsi="Verdana"/>
                <w:b/>
                <w:sz w:val="18"/>
                <w:szCs w:val="18"/>
              </w:rPr>
            </w:pPr>
          </w:p>
          <w:p w14:paraId="5E2D764E" w14:textId="77777777" w:rsidR="008715BE" w:rsidRPr="00EC75B7" w:rsidRDefault="008715BE">
            <w:pPr>
              <w:pStyle w:val="TableParagraph"/>
              <w:rPr>
                <w:rFonts w:ascii="Verdana" w:hAnsi="Verdana"/>
                <w:b/>
                <w:sz w:val="18"/>
                <w:szCs w:val="18"/>
              </w:rPr>
            </w:pPr>
          </w:p>
          <w:p w14:paraId="112084A7" w14:textId="77777777" w:rsidR="008715BE" w:rsidRPr="00EC75B7" w:rsidRDefault="008715BE">
            <w:pPr>
              <w:pStyle w:val="TableParagraph"/>
              <w:spacing w:before="103"/>
              <w:rPr>
                <w:rFonts w:ascii="Verdana" w:hAnsi="Verdana"/>
                <w:b/>
                <w:sz w:val="18"/>
                <w:szCs w:val="18"/>
              </w:rPr>
            </w:pPr>
          </w:p>
          <w:p w14:paraId="278DA6E1" w14:textId="77777777" w:rsidR="008715BE" w:rsidRPr="00EC75B7" w:rsidRDefault="00000000">
            <w:pPr>
              <w:pStyle w:val="TableParagraph"/>
              <w:spacing w:before="1"/>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0047BFA9" w14:textId="77777777" w:rsidR="008715BE" w:rsidRPr="00EC75B7" w:rsidRDefault="008715BE">
            <w:pPr>
              <w:pStyle w:val="TableParagraph"/>
              <w:rPr>
                <w:rFonts w:ascii="Verdana" w:hAnsi="Verdana"/>
                <w:b/>
                <w:sz w:val="18"/>
                <w:szCs w:val="18"/>
              </w:rPr>
            </w:pPr>
          </w:p>
          <w:p w14:paraId="5B907987" w14:textId="77777777" w:rsidR="008715BE" w:rsidRPr="00EC75B7" w:rsidRDefault="008715BE">
            <w:pPr>
              <w:pStyle w:val="TableParagraph"/>
              <w:rPr>
                <w:rFonts w:ascii="Verdana" w:hAnsi="Verdana"/>
                <w:b/>
                <w:sz w:val="18"/>
                <w:szCs w:val="18"/>
              </w:rPr>
            </w:pPr>
          </w:p>
          <w:p w14:paraId="509326A8" w14:textId="77777777" w:rsidR="008715BE" w:rsidRPr="00EC75B7" w:rsidRDefault="008715BE">
            <w:pPr>
              <w:pStyle w:val="TableParagraph"/>
              <w:spacing w:before="103"/>
              <w:rPr>
                <w:rFonts w:ascii="Verdana" w:hAnsi="Verdana"/>
                <w:b/>
                <w:sz w:val="18"/>
                <w:szCs w:val="18"/>
              </w:rPr>
            </w:pPr>
          </w:p>
          <w:p w14:paraId="383ED180" w14:textId="77777777" w:rsidR="008715BE" w:rsidRPr="00EC75B7" w:rsidRDefault="00000000">
            <w:pPr>
              <w:pStyle w:val="TableParagraph"/>
              <w:spacing w:before="1"/>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5CF7E680" w14:textId="77777777" w:rsidR="008715BE" w:rsidRPr="00EC75B7" w:rsidRDefault="008715BE">
            <w:pPr>
              <w:pStyle w:val="TableParagraph"/>
              <w:rPr>
                <w:rFonts w:ascii="Verdana" w:hAnsi="Verdana"/>
                <w:b/>
                <w:sz w:val="18"/>
                <w:szCs w:val="18"/>
              </w:rPr>
            </w:pPr>
          </w:p>
          <w:p w14:paraId="2D52B5E3" w14:textId="77777777" w:rsidR="008715BE" w:rsidRPr="00EC75B7" w:rsidRDefault="008715BE">
            <w:pPr>
              <w:pStyle w:val="TableParagraph"/>
              <w:rPr>
                <w:rFonts w:ascii="Verdana" w:hAnsi="Verdana"/>
                <w:b/>
                <w:sz w:val="18"/>
                <w:szCs w:val="18"/>
              </w:rPr>
            </w:pPr>
          </w:p>
          <w:p w14:paraId="591882D4" w14:textId="77777777" w:rsidR="008715BE" w:rsidRPr="00EC75B7" w:rsidRDefault="008715BE">
            <w:pPr>
              <w:pStyle w:val="TableParagraph"/>
              <w:spacing w:before="103"/>
              <w:rPr>
                <w:rFonts w:ascii="Verdana" w:hAnsi="Verdana"/>
                <w:b/>
                <w:sz w:val="18"/>
                <w:szCs w:val="18"/>
              </w:rPr>
            </w:pPr>
          </w:p>
          <w:p w14:paraId="1C5FF627" w14:textId="77777777" w:rsidR="008715BE" w:rsidRPr="00EC75B7" w:rsidRDefault="00000000">
            <w:pPr>
              <w:pStyle w:val="TableParagraph"/>
              <w:spacing w:before="1"/>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287308AA" w14:textId="77777777" w:rsidR="008715BE" w:rsidRPr="00EC75B7" w:rsidRDefault="008715BE">
            <w:pPr>
              <w:pStyle w:val="TableParagraph"/>
              <w:rPr>
                <w:rFonts w:ascii="Verdana" w:hAnsi="Verdana"/>
                <w:b/>
                <w:sz w:val="18"/>
                <w:szCs w:val="18"/>
              </w:rPr>
            </w:pPr>
          </w:p>
          <w:p w14:paraId="60203B12" w14:textId="77777777" w:rsidR="008715BE" w:rsidRPr="00EC75B7" w:rsidRDefault="008715BE">
            <w:pPr>
              <w:pStyle w:val="TableParagraph"/>
              <w:rPr>
                <w:rFonts w:ascii="Verdana" w:hAnsi="Verdana"/>
                <w:b/>
                <w:sz w:val="18"/>
                <w:szCs w:val="18"/>
              </w:rPr>
            </w:pPr>
          </w:p>
          <w:p w14:paraId="4F870F29" w14:textId="77777777" w:rsidR="008715BE" w:rsidRPr="00EC75B7" w:rsidRDefault="008715BE">
            <w:pPr>
              <w:pStyle w:val="TableParagraph"/>
              <w:spacing w:before="103"/>
              <w:rPr>
                <w:rFonts w:ascii="Verdana" w:hAnsi="Verdana"/>
                <w:b/>
                <w:sz w:val="18"/>
                <w:szCs w:val="18"/>
              </w:rPr>
            </w:pPr>
          </w:p>
          <w:p w14:paraId="0B5D67C6" w14:textId="77777777" w:rsidR="008715BE" w:rsidRPr="00EC75B7" w:rsidRDefault="00000000">
            <w:pPr>
              <w:pStyle w:val="TableParagraph"/>
              <w:spacing w:before="1"/>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1962BC2C" w14:textId="77777777" w:rsidR="008715BE" w:rsidRPr="00EC75B7" w:rsidRDefault="008715BE">
            <w:pPr>
              <w:pStyle w:val="TableParagraph"/>
              <w:rPr>
                <w:rFonts w:ascii="Verdana" w:hAnsi="Verdana"/>
                <w:b/>
                <w:sz w:val="18"/>
                <w:szCs w:val="18"/>
              </w:rPr>
            </w:pPr>
          </w:p>
          <w:p w14:paraId="7BD9A206" w14:textId="77777777" w:rsidR="008715BE" w:rsidRPr="00EC75B7" w:rsidRDefault="008715BE">
            <w:pPr>
              <w:pStyle w:val="TableParagraph"/>
              <w:rPr>
                <w:rFonts w:ascii="Verdana" w:hAnsi="Verdana"/>
                <w:b/>
                <w:sz w:val="18"/>
                <w:szCs w:val="18"/>
              </w:rPr>
            </w:pPr>
          </w:p>
          <w:p w14:paraId="6729A94D" w14:textId="77777777" w:rsidR="008715BE" w:rsidRPr="00EC75B7" w:rsidRDefault="008715BE">
            <w:pPr>
              <w:pStyle w:val="TableParagraph"/>
              <w:spacing w:before="103"/>
              <w:rPr>
                <w:rFonts w:ascii="Verdana" w:hAnsi="Verdana"/>
                <w:b/>
                <w:sz w:val="18"/>
                <w:szCs w:val="18"/>
              </w:rPr>
            </w:pPr>
          </w:p>
          <w:p w14:paraId="4450E92E" w14:textId="77777777" w:rsidR="008715BE" w:rsidRPr="00EC75B7" w:rsidRDefault="00000000">
            <w:pPr>
              <w:pStyle w:val="TableParagraph"/>
              <w:spacing w:before="1"/>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6F0E6D5D" w14:textId="77777777" w:rsidR="008715BE" w:rsidRPr="00EC75B7" w:rsidRDefault="008715BE">
            <w:pPr>
              <w:pStyle w:val="TableParagraph"/>
              <w:rPr>
                <w:rFonts w:ascii="Verdana" w:hAnsi="Verdana"/>
                <w:b/>
                <w:sz w:val="18"/>
                <w:szCs w:val="18"/>
              </w:rPr>
            </w:pPr>
          </w:p>
          <w:p w14:paraId="178678F5" w14:textId="77777777" w:rsidR="008715BE" w:rsidRPr="00EC75B7" w:rsidRDefault="008715BE">
            <w:pPr>
              <w:pStyle w:val="TableParagraph"/>
              <w:rPr>
                <w:rFonts w:ascii="Verdana" w:hAnsi="Verdana"/>
                <w:b/>
                <w:sz w:val="18"/>
                <w:szCs w:val="18"/>
              </w:rPr>
            </w:pPr>
          </w:p>
          <w:p w14:paraId="1CDAFF56" w14:textId="77777777" w:rsidR="008715BE" w:rsidRPr="00EC75B7" w:rsidRDefault="008715BE">
            <w:pPr>
              <w:pStyle w:val="TableParagraph"/>
              <w:spacing w:before="103"/>
              <w:rPr>
                <w:rFonts w:ascii="Verdana" w:hAnsi="Verdana"/>
                <w:b/>
                <w:sz w:val="18"/>
                <w:szCs w:val="18"/>
              </w:rPr>
            </w:pPr>
          </w:p>
          <w:p w14:paraId="18823FCA" w14:textId="77777777" w:rsidR="008715BE" w:rsidRPr="00EC75B7" w:rsidRDefault="00000000">
            <w:pPr>
              <w:pStyle w:val="TableParagraph"/>
              <w:spacing w:before="1"/>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57D5EF0A" w14:textId="77777777" w:rsidR="008715BE" w:rsidRPr="00EC75B7" w:rsidRDefault="008715BE">
            <w:pPr>
              <w:pStyle w:val="TableParagraph"/>
              <w:rPr>
                <w:rFonts w:ascii="Verdana" w:hAnsi="Verdana"/>
                <w:b/>
                <w:sz w:val="18"/>
                <w:szCs w:val="18"/>
              </w:rPr>
            </w:pPr>
          </w:p>
          <w:p w14:paraId="4540377C" w14:textId="77777777" w:rsidR="008715BE" w:rsidRPr="00EC75B7" w:rsidRDefault="008715BE">
            <w:pPr>
              <w:pStyle w:val="TableParagraph"/>
              <w:rPr>
                <w:rFonts w:ascii="Verdana" w:hAnsi="Verdana"/>
                <w:b/>
                <w:sz w:val="18"/>
                <w:szCs w:val="18"/>
              </w:rPr>
            </w:pPr>
          </w:p>
          <w:p w14:paraId="4B9D7C9E" w14:textId="77777777" w:rsidR="008715BE" w:rsidRPr="00EC75B7" w:rsidRDefault="008715BE">
            <w:pPr>
              <w:pStyle w:val="TableParagraph"/>
              <w:spacing w:before="103"/>
              <w:rPr>
                <w:rFonts w:ascii="Verdana" w:hAnsi="Verdana"/>
                <w:b/>
                <w:sz w:val="18"/>
                <w:szCs w:val="18"/>
              </w:rPr>
            </w:pPr>
          </w:p>
          <w:p w14:paraId="73C29ACD" w14:textId="77777777" w:rsidR="008715BE" w:rsidRPr="00EC75B7" w:rsidRDefault="00000000">
            <w:pPr>
              <w:pStyle w:val="TableParagraph"/>
              <w:spacing w:before="1"/>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0BB9AFC6" w14:textId="77777777" w:rsidR="008715BE" w:rsidRPr="00EC75B7" w:rsidRDefault="008715BE">
            <w:pPr>
              <w:pStyle w:val="TableParagraph"/>
              <w:rPr>
                <w:rFonts w:ascii="Verdana" w:hAnsi="Verdana"/>
                <w:b/>
                <w:sz w:val="18"/>
                <w:szCs w:val="18"/>
              </w:rPr>
            </w:pPr>
          </w:p>
          <w:p w14:paraId="6D98F7CC" w14:textId="77777777" w:rsidR="008715BE" w:rsidRPr="00EC75B7" w:rsidRDefault="008715BE">
            <w:pPr>
              <w:pStyle w:val="TableParagraph"/>
              <w:rPr>
                <w:rFonts w:ascii="Verdana" w:hAnsi="Verdana"/>
                <w:b/>
                <w:sz w:val="18"/>
                <w:szCs w:val="18"/>
              </w:rPr>
            </w:pPr>
          </w:p>
          <w:p w14:paraId="20674825" w14:textId="77777777" w:rsidR="008715BE" w:rsidRPr="00EC75B7" w:rsidRDefault="008715BE">
            <w:pPr>
              <w:pStyle w:val="TableParagraph"/>
              <w:spacing w:before="103"/>
              <w:rPr>
                <w:rFonts w:ascii="Verdana" w:hAnsi="Verdana"/>
                <w:b/>
                <w:sz w:val="18"/>
                <w:szCs w:val="18"/>
              </w:rPr>
            </w:pPr>
          </w:p>
          <w:p w14:paraId="354770CF" w14:textId="77777777" w:rsidR="008715BE" w:rsidRPr="00EC75B7" w:rsidRDefault="00000000">
            <w:pPr>
              <w:pStyle w:val="TableParagraph"/>
              <w:spacing w:before="1"/>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10BF85FA" w14:textId="77777777" w:rsidR="008715BE" w:rsidRPr="00EC75B7" w:rsidRDefault="008715BE">
            <w:pPr>
              <w:pStyle w:val="TableParagraph"/>
              <w:rPr>
                <w:rFonts w:ascii="Verdana" w:hAnsi="Verdana"/>
                <w:b/>
                <w:sz w:val="18"/>
                <w:szCs w:val="18"/>
              </w:rPr>
            </w:pPr>
          </w:p>
          <w:p w14:paraId="1E8373F5" w14:textId="77777777" w:rsidR="008715BE" w:rsidRPr="00EC75B7" w:rsidRDefault="008715BE">
            <w:pPr>
              <w:pStyle w:val="TableParagraph"/>
              <w:rPr>
                <w:rFonts w:ascii="Verdana" w:hAnsi="Verdana"/>
                <w:b/>
                <w:sz w:val="18"/>
                <w:szCs w:val="18"/>
              </w:rPr>
            </w:pPr>
          </w:p>
          <w:p w14:paraId="340430F5" w14:textId="77777777" w:rsidR="008715BE" w:rsidRPr="00EC75B7" w:rsidRDefault="008715BE">
            <w:pPr>
              <w:pStyle w:val="TableParagraph"/>
              <w:spacing w:before="103"/>
              <w:rPr>
                <w:rFonts w:ascii="Verdana" w:hAnsi="Verdana"/>
                <w:b/>
                <w:sz w:val="18"/>
                <w:szCs w:val="18"/>
              </w:rPr>
            </w:pPr>
          </w:p>
          <w:p w14:paraId="1FD6EE43" w14:textId="77777777" w:rsidR="008715BE" w:rsidRPr="00EC75B7" w:rsidRDefault="00000000">
            <w:pPr>
              <w:pStyle w:val="TableParagraph"/>
              <w:spacing w:before="1"/>
              <w:ind w:left="13" w:right="5"/>
              <w:jc w:val="center"/>
              <w:rPr>
                <w:rFonts w:ascii="Verdana" w:hAnsi="Verdana"/>
                <w:sz w:val="18"/>
                <w:szCs w:val="18"/>
              </w:rPr>
            </w:pPr>
            <w:r w:rsidRPr="00EC75B7">
              <w:rPr>
                <w:rFonts w:ascii="Verdana" w:hAnsi="Verdana"/>
                <w:spacing w:val="-10"/>
                <w:sz w:val="18"/>
                <w:szCs w:val="18"/>
              </w:rPr>
              <w:t>X</w:t>
            </w:r>
          </w:p>
        </w:tc>
        <w:tc>
          <w:tcPr>
            <w:tcW w:w="449" w:type="dxa"/>
          </w:tcPr>
          <w:p w14:paraId="137F5037" w14:textId="77777777" w:rsidR="008715BE" w:rsidRPr="00EC75B7" w:rsidRDefault="008715BE">
            <w:pPr>
              <w:pStyle w:val="TableParagraph"/>
              <w:rPr>
                <w:rFonts w:ascii="Verdana" w:hAnsi="Verdana"/>
                <w:b/>
                <w:sz w:val="18"/>
                <w:szCs w:val="18"/>
              </w:rPr>
            </w:pPr>
          </w:p>
          <w:p w14:paraId="16351996" w14:textId="77777777" w:rsidR="008715BE" w:rsidRPr="00EC75B7" w:rsidRDefault="008715BE">
            <w:pPr>
              <w:pStyle w:val="TableParagraph"/>
              <w:rPr>
                <w:rFonts w:ascii="Verdana" w:hAnsi="Verdana"/>
                <w:b/>
                <w:sz w:val="18"/>
                <w:szCs w:val="18"/>
              </w:rPr>
            </w:pPr>
          </w:p>
          <w:p w14:paraId="0E234D89" w14:textId="77777777" w:rsidR="008715BE" w:rsidRPr="00EC75B7" w:rsidRDefault="008715BE">
            <w:pPr>
              <w:pStyle w:val="TableParagraph"/>
              <w:spacing w:before="103"/>
              <w:rPr>
                <w:rFonts w:ascii="Verdana" w:hAnsi="Verdana"/>
                <w:b/>
                <w:sz w:val="18"/>
                <w:szCs w:val="18"/>
              </w:rPr>
            </w:pPr>
          </w:p>
          <w:p w14:paraId="7B624387" w14:textId="77777777" w:rsidR="008715BE" w:rsidRPr="00EC75B7" w:rsidRDefault="00000000">
            <w:pPr>
              <w:pStyle w:val="TableParagraph"/>
              <w:spacing w:before="1"/>
              <w:ind w:left="11" w:right="6"/>
              <w:jc w:val="center"/>
              <w:rPr>
                <w:rFonts w:ascii="Verdana" w:hAnsi="Verdana"/>
                <w:sz w:val="18"/>
                <w:szCs w:val="18"/>
              </w:rPr>
            </w:pPr>
            <w:r w:rsidRPr="00EC75B7">
              <w:rPr>
                <w:rFonts w:ascii="Verdana" w:hAnsi="Verdana"/>
                <w:spacing w:val="-10"/>
                <w:sz w:val="18"/>
                <w:szCs w:val="18"/>
              </w:rPr>
              <w:t>X</w:t>
            </w:r>
          </w:p>
        </w:tc>
        <w:tc>
          <w:tcPr>
            <w:tcW w:w="1891" w:type="dxa"/>
          </w:tcPr>
          <w:p w14:paraId="03C58C2E" w14:textId="77777777" w:rsidR="008715BE" w:rsidRPr="00EC75B7" w:rsidRDefault="008715BE">
            <w:pPr>
              <w:pStyle w:val="TableParagraph"/>
              <w:spacing w:before="105"/>
              <w:rPr>
                <w:rFonts w:ascii="Verdana" w:hAnsi="Verdana"/>
                <w:b/>
                <w:sz w:val="18"/>
                <w:szCs w:val="18"/>
              </w:rPr>
            </w:pPr>
          </w:p>
          <w:p w14:paraId="4C9F772F" w14:textId="77777777" w:rsidR="008715BE" w:rsidRPr="00EC75B7" w:rsidRDefault="00000000">
            <w:pPr>
              <w:pStyle w:val="TableParagraph"/>
              <w:spacing w:line="195" w:lineRule="exact"/>
              <w:ind w:left="140" w:right="129"/>
              <w:jc w:val="center"/>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owner</w:t>
            </w:r>
          </w:p>
          <w:p w14:paraId="1CAC21F0" w14:textId="77777777" w:rsidR="008715BE" w:rsidRPr="00EC75B7" w:rsidRDefault="00000000">
            <w:pPr>
              <w:pStyle w:val="TableParagraph"/>
              <w:ind w:left="139" w:right="129"/>
              <w:jc w:val="center"/>
              <w:rPr>
                <w:rFonts w:ascii="Verdana" w:hAnsi="Verdana"/>
                <w:sz w:val="18"/>
                <w:szCs w:val="18"/>
              </w:rPr>
            </w:pPr>
            <w:r w:rsidRPr="00EC75B7">
              <w:rPr>
                <w:rFonts w:ascii="Verdana" w:hAnsi="Verdana"/>
                <w:sz w:val="18"/>
                <w:szCs w:val="18"/>
              </w:rPr>
              <w:t>/Certified and experienced experts</w:t>
            </w:r>
          </w:p>
          <w:p w14:paraId="129EC231" w14:textId="77777777" w:rsidR="008715BE" w:rsidRPr="00EC75B7" w:rsidRDefault="00000000">
            <w:pPr>
              <w:pStyle w:val="TableParagraph"/>
              <w:spacing w:line="193" w:lineRule="exact"/>
              <w:ind w:left="140" w:right="129"/>
              <w:jc w:val="center"/>
              <w:rPr>
                <w:rFonts w:ascii="Verdana" w:hAnsi="Verdana"/>
                <w:sz w:val="18"/>
                <w:szCs w:val="18"/>
              </w:rPr>
            </w:pPr>
            <w:r w:rsidRPr="00EC75B7">
              <w:rPr>
                <w:rFonts w:ascii="Verdana" w:hAnsi="Verdana"/>
                <w:sz w:val="18"/>
                <w:szCs w:val="18"/>
              </w:rPr>
              <w:t xml:space="preserve">in </w:t>
            </w:r>
            <w:r w:rsidRPr="00EC75B7">
              <w:rPr>
                <w:rFonts w:ascii="Verdana" w:hAnsi="Verdana"/>
                <w:spacing w:val="-2"/>
                <w:sz w:val="18"/>
                <w:szCs w:val="18"/>
              </w:rPr>
              <w:t>monitoring</w:t>
            </w:r>
          </w:p>
          <w:p w14:paraId="6F8C88A5" w14:textId="77777777" w:rsidR="008715BE" w:rsidRPr="00EC75B7" w:rsidRDefault="00000000">
            <w:pPr>
              <w:pStyle w:val="TableParagraph"/>
              <w:spacing w:line="195" w:lineRule="exact"/>
              <w:ind w:left="139" w:right="132"/>
              <w:jc w:val="center"/>
              <w:rPr>
                <w:rFonts w:ascii="Verdana" w:hAnsi="Verdana"/>
                <w:sz w:val="18"/>
                <w:szCs w:val="18"/>
              </w:rPr>
            </w:pPr>
            <w:r w:rsidRPr="00EC75B7">
              <w:rPr>
                <w:rFonts w:ascii="Verdana" w:hAnsi="Verdana"/>
                <w:spacing w:val="-2"/>
                <w:sz w:val="18"/>
                <w:szCs w:val="18"/>
              </w:rPr>
              <w:t>biodiversity</w:t>
            </w:r>
          </w:p>
        </w:tc>
        <w:tc>
          <w:tcPr>
            <w:tcW w:w="1440" w:type="dxa"/>
          </w:tcPr>
          <w:p w14:paraId="7D6320A4" w14:textId="77777777" w:rsidR="008715BE" w:rsidRPr="00EC75B7" w:rsidRDefault="008715BE">
            <w:pPr>
              <w:pStyle w:val="TableParagraph"/>
              <w:rPr>
                <w:rFonts w:ascii="Verdana" w:hAnsi="Verdana"/>
                <w:b/>
                <w:sz w:val="18"/>
                <w:szCs w:val="18"/>
              </w:rPr>
            </w:pPr>
          </w:p>
          <w:p w14:paraId="5EE839C6" w14:textId="77777777" w:rsidR="008715BE" w:rsidRPr="00EC75B7" w:rsidRDefault="008715BE">
            <w:pPr>
              <w:pStyle w:val="TableParagraph"/>
              <w:rPr>
                <w:rFonts w:ascii="Verdana" w:hAnsi="Verdana"/>
                <w:b/>
                <w:sz w:val="18"/>
                <w:szCs w:val="18"/>
              </w:rPr>
            </w:pPr>
          </w:p>
          <w:p w14:paraId="0DFD470F" w14:textId="77777777" w:rsidR="008715BE" w:rsidRPr="00EC75B7" w:rsidRDefault="008715BE">
            <w:pPr>
              <w:pStyle w:val="TableParagraph"/>
              <w:spacing w:before="7"/>
              <w:rPr>
                <w:rFonts w:ascii="Verdana" w:hAnsi="Verdana"/>
                <w:b/>
                <w:sz w:val="18"/>
                <w:szCs w:val="18"/>
              </w:rPr>
            </w:pPr>
          </w:p>
          <w:p w14:paraId="489BD407" w14:textId="77777777" w:rsidR="008715BE" w:rsidRPr="00EC75B7" w:rsidRDefault="00000000">
            <w:pPr>
              <w:pStyle w:val="TableParagraph"/>
              <w:spacing w:before="1"/>
              <w:ind w:left="203" w:right="189" w:firstLine="31"/>
              <w:rPr>
                <w:rFonts w:ascii="Verdana" w:hAnsi="Verdana"/>
                <w:sz w:val="18"/>
                <w:szCs w:val="18"/>
              </w:rPr>
            </w:pPr>
            <w:r w:rsidRPr="00EC75B7">
              <w:rPr>
                <w:rFonts w:ascii="Verdana" w:hAnsi="Verdana"/>
                <w:spacing w:val="-2"/>
                <w:sz w:val="18"/>
                <w:szCs w:val="18"/>
              </w:rPr>
              <w:t>Approximately</w:t>
            </w:r>
            <w:r w:rsidRPr="00EC75B7">
              <w:rPr>
                <w:rFonts w:ascii="Verdana" w:hAnsi="Verdana"/>
                <w:sz w:val="18"/>
                <w:szCs w:val="18"/>
              </w:rPr>
              <w:t xml:space="preserve"> 200,000 </w:t>
            </w:r>
            <w:r w:rsidRPr="00EC75B7">
              <w:rPr>
                <w:rFonts w:ascii="Verdana" w:hAnsi="Verdana"/>
                <w:spacing w:val="-6"/>
                <w:sz w:val="18"/>
                <w:szCs w:val="18"/>
              </w:rPr>
              <w:t>euros</w:t>
            </w:r>
          </w:p>
        </w:tc>
      </w:tr>
      <w:tr w:rsidR="008715BE" w:rsidRPr="00EC75B7" w14:paraId="02B3BBD2" w14:textId="77777777">
        <w:trPr>
          <w:trHeight w:val="1555"/>
        </w:trPr>
        <w:tc>
          <w:tcPr>
            <w:tcW w:w="554" w:type="dxa"/>
          </w:tcPr>
          <w:p w14:paraId="3B4BAAB4" w14:textId="77777777" w:rsidR="008715BE" w:rsidRPr="00EC75B7" w:rsidRDefault="008715BE">
            <w:pPr>
              <w:pStyle w:val="TableParagraph"/>
              <w:rPr>
                <w:rFonts w:ascii="Verdana" w:hAnsi="Verdana"/>
                <w:b/>
                <w:sz w:val="18"/>
                <w:szCs w:val="18"/>
              </w:rPr>
            </w:pPr>
          </w:p>
          <w:p w14:paraId="60E0850B" w14:textId="77777777" w:rsidR="008715BE" w:rsidRPr="00EC75B7" w:rsidRDefault="008715BE">
            <w:pPr>
              <w:pStyle w:val="TableParagraph"/>
              <w:rPr>
                <w:rFonts w:ascii="Verdana" w:hAnsi="Verdana"/>
                <w:b/>
                <w:sz w:val="18"/>
                <w:szCs w:val="18"/>
              </w:rPr>
            </w:pPr>
          </w:p>
          <w:p w14:paraId="205CE60B" w14:textId="77777777" w:rsidR="008715BE" w:rsidRPr="00EC75B7" w:rsidRDefault="008715BE">
            <w:pPr>
              <w:pStyle w:val="TableParagraph"/>
              <w:spacing w:before="101"/>
              <w:rPr>
                <w:rFonts w:ascii="Verdana" w:hAnsi="Verdana"/>
                <w:b/>
                <w:sz w:val="18"/>
                <w:szCs w:val="18"/>
              </w:rPr>
            </w:pPr>
          </w:p>
          <w:p w14:paraId="26F1EED1" w14:textId="77777777" w:rsidR="008715BE" w:rsidRPr="00EC75B7" w:rsidRDefault="00000000">
            <w:pPr>
              <w:pStyle w:val="TableParagraph"/>
              <w:ind w:left="12" w:right="1"/>
              <w:jc w:val="center"/>
              <w:rPr>
                <w:rFonts w:ascii="Verdana" w:hAnsi="Verdana"/>
                <w:sz w:val="18"/>
                <w:szCs w:val="18"/>
              </w:rPr>
            </w:pPr>
            <w:r w:rsidRPr="00EC75B7">
              <w:rPr>
                <w:rFonts w:ascii="Verdana" w:hAnsi="Verdana"/>
                <w:spacing w:val="-5"/>
                <w:sz w:val="18"/>
                <w:szCs w:val="18"/>
              </w:rPr>
              <w:t>M19</w:t>
            </w:r>
          </w:p>
        </w:tc>
        <w:tc>
          <w:tcPr>
            <w:tcW w:w="6091" w:type="dxa"/>
          </w:tcPr>
          <w:p w14:paraId="2A6391F5" w14:textId="77777777" w:rsidR="008715BE" w:rsidRPr="00EC75B7" w:rsidRDefault="008715BE">
            <w:pPr>
              <w:pStyle w:val="TableParagraph"/>
              <w:spacing w:before="103"/>
              <w:rPr>
                <w:rFonts w:ascii="Verdana" w:hAnsi="Verdana"/>
                <w:b/>
                <w:sz w:val="18"/>
                <w:szCs w:val="18"/>
              </w:rPr>
            </w:pPr>
          </w:p>
          <w:p w14:paraId="48E3292A" w14:textId="77777777" w:rsidR="008715BE" w:rsidRPr="00EC75B7" w:rsidRDefault="00000000">
            <w:pPr>
              <w:pStyle w:val="TableParagraph"/>
              <w:ind w:left="108" w:right="119"/>
              <w:rPr>
                <w:rFonts w:ascii="Verdana" w:hAnsi="Verdana"/>
                <w:sz w:val="18"/>
                <w:szCs w:val="18"/>
              </w:rPr>
            </w:pPr>
            <w:r w:rsidRPr="00EC75B7">
              <w:rPr>
                <w:rFonts w:ascii="Verdana" w:hAnsi="Verdana"/>
                <w:sz w:val="18"/>
                <w:szCs w:val="18"/>
              </w:rPr>
              <w:t>Installation of radar systems and day and night video cameras (on turbines T8, T18, T29, T32, and T37) to detect and prevent the risk of collision of bats with wind farm structures.</w:t>
            </w:r>
          </w:p>
          <w:p w14:paraId="4DAEFCD6" w14:textId="77777777" w:rsidR="008715BE" w:rsidRPr="00EC75B7" w:rsidRDefault="00000000">
            <w:pPr>
              <w:pStyle w:val="TableParagraph"/>
              <w:ind w:left="108" w:right="374"/>
              <w:rPr>
                <w:rFonts w:ascii="Verdana" w:hAnsi="Verdana"/>
                <w:sz w:val="18"/>
                <w:szCs w:val="18"/>
              </w:rPr>
            </w:pPr>
            <w:r w:rsidRPr="00EC75B7">
              <w:rPr>
                <w:rFonts w:ascii="Verdana" w:hAnsi="Verdana"/>
                <w:sz w:val="18"/>
                <w:szCs w:val="18"/>
              </w:rPr>
              <w:t>The diversion signal system must be installed during the first year of operation of the wind farm.</w:t>
            </w:r>
          </w:p>
        </w:tc>
        <w:tc>
          <w:tcPr>
            <w:tcW w:w="1809" w:type="dxa"/>
          </w:tcPr>
          <w:p w14:paraId="4D2669A5" w14:textId="77777777" w:rsidR="008715BE" w:rsidRPr="00EC75B7" w:rsidRDefault="00000000" w:rsidP="00C96230">
            <w:pPr>
              <w:pStyle w:val="TableParagraph"/>
              <w:spacing w:before="8"/>
              <w:ind w:right="188"/>
              <w:rPr>
                <w:rFonts w:ascii="Verdana" w:hAnsi="Verdana"/>
                <w:sz w:val="18"/>
                <w:szCs w:val="18"/>
              </w:rPr>
            </w:pPr>
            <w:r w:rsidRPr="00EC75B7">
              <w:rPr>
                <w:rFonts w:ascii="Verdana" w:hAnsi="Verdana"/>
                <w:sz w:val="18"/>
                <w:szCs w:val="18"/>
              </w:rPr>
              <w:t xml:space="preserve">All potentially affected </w:t>
            </w:r>
            <w:r w:rsidRPr="00EC75B7">
              <w:rPr>
                <w:rFonts w:ascii="Verdana" w:hAnsi="Verdana"/>
                <w:spacing w:val="-2"/>
                <w:sz w:val="18"/>
                <w:szCs w:val="18"/>
              </w:rPr>
              <w:t xml:space="preserve">bat </w:t>
            </w:r>
            <w:r w:rsidRPr="00EC75B7">
              <w:rPr>
                <w:rFonts w:ascii="Verdana" w:hAnsi="Verdana"/>
                <w:sz w:val="18"/>
                <w:szCs w:val="18"/>
              </w:rPr>
              <w:t xml:space="preserve">species* </w:t>
            </w:r>
            <w:r w:rsidRPr="00EC75B7">
              <w:rPr>
                <w:rFonts w:ascii="Verdana" w:hAnsi="Verdana"/>
                <w:spacing w:val="-4"/>
                <w:sz w:val="18"/>
                <w:szCs w:val="18"/>
              </w:rPr>
              <w:t>in</w:t>
            </w:r>
          </w:p>
          <w:p w14:paraId="55AFB8DB" w14:textId="77777777" w:rsidR="008715BE" w:rsidRPr="00EC75B7" w:rsidRDefault="00000000" w:rsidP="00C96230">
            <w:pPr>
              <w:pStyle w:val="TableParagraph"/>
              <w:ind w:right="388"/>
              <w:jc w:val="both"/>
              <w:rPr>
                <w:rFonts w:ascii="Verdana" w:hAnsi="Verdana"/>
                <w:sz w:val="18"/>
                <w:szCs w:val="18"/>
              </w:rPr>
            </w:pPr>
            <w:r w:rsidRPr="00EC75B7">
              <w:rPr>
                <w:rFonts w:ascii="Verdana" w:hAnsi="Verdana"/>
                <w:spacing w:val="-2"/>
                <w:sz w:val="18"/>
                <w:szCs w:val="18"/>
              </w:rPr>
              <w:t>ROSCI0071, ROSCI0157, BG0000569,</w:t>
            </w:r>
          </w:p>
          <w:p w14:paraId="51538233" w14:textId="77777777" w:rsidR="008715BE" w:rsidRPr="00EC75B7" w:rsidRDefault="00000000" w:rsidP="00C96230">
            <w:pPr>
              <w:pStyle w:val="TableParagraph"/>
              <w:spacing w:line="164" w:lineRule="exact"/>
              <w:ind w:left="14" w:right="1"/>
              <w:rPr>
                <w:rFonts w:ascii="Verdana" w:hAnsi="Verdana"/>
                <w:sz w:val="18"/>
                <w:szCs w:val="18"/>
              </w:rPr>
            </w:pPr>
            <w:r w:rsidRPr="00EC75B7">
              <w:rPr>
                <w:rFonts w:ascii="Verdana" w:hAnsi="Verdana"/>
                <w:spacing w:val="-2"/>
                <w:sz w:val="18"/>
                <w:szCs w:val="18"/>
              </w:rPr>
              <w:t>BG0000570</w:t>
            </w:r>
          </w:p>
        </w:tc>
        <w:tc>
          <w:tcPr>
            <w:tcW w:w="1440" w:type="dxa"/>
          </w:tcPr>
          <w:p w14:paraId="0BB6B3CD" w14:textId="77777777" w:rsidR="008715BE" w:rsidRPr="00EC75B7" w:rsidRDefault="008715BE">
            <w:pPr>
              <w:pStyle w:val="TableParagraph"/>
              <w:spacing w:before="7"/>
              <w:rPr>
                <w:rFonts w:ascii="Verdana" w:hAnsi="Verdana"/>
                <w:b/>
                <w:sz w:val="18"/>
                <w:szCs w:val="18"/>
              </w:rPr>
            </w:pPr>
          </w:p>
          <w:p w14:paraId="7B1C67B5" w14:textId="77777777" w:rsidR="008715BE" w:rsidRPr="00EC75B7" w:rsidRDefault="00000000">
            <w:pPr>
              <w:pStyle w:val="TableParagraph"/>
              <w:ind w:left="157" w:right="145" w:firstLine="7"/>
              <w:jc w:val="center"/>
              <w:rPr>
                <w:rFonts w:ascii="Verdana" w:hAnsi="Verdana"/>
                <w:sz w:val="18"/>
                <w:szCs w:val="18"/>
              </w:rPr>
            </w:pPr>
            <w:r w:rsidRPr="00EC75B7">
              <w:rPr>
                <w:rFonts w:ascii="Verdana" w:hAnsi="Verdana"/>
                <w:spacing w:val="-2"/>
                <w:sz w:val="18"/>
                <w:szCs w:val="18"/>
              </w:rPr>
              <w:t xml:space="preserve">Population size Population trends </w:t>
            </w:r>
            <w:r w:rsidRPr="00EC75B7">
              <w:rPr>
                <w:rFonts w:ascii="Verdana" w:hAnsi="Verdana"/>
                <w:sz w:val="18"/>
                <w:szCs w:val="18"/>
              </w:rPr>
              <w:t xml:space="preserve">for each </w:t>
            </w:r>
            <w:r w:rsidRPr="00EC75B7">
              <w:rPr>
                <w:rFonts w:ascii="Verdana" w:hAnsi="Verdana"/>
                <w:spacing w:val="-2"/>
                <w:sz w:val="18"/>
                <w:szCs w:val="18"/>
              </w:rPr>
              <w:t>species</w:t>
            </w:r>
          </w:p>
        </w:tc>
        <w:tc>
          <w:tcPr>
            <w:tcW w:w="1351" w:type="dxa"/>
          </w:tcPr>
          <w:p w14:paraId="0BC3795A" w14:textId="77777777" w:rsidR="008715BE" w:rsidRPr="00EC75B7" w:rsidRDefault="008715BE">
            <w:pPr>
              <w:pStyle w:val="TableParagraph"/>
              <w:rPr>
                <w:rFonts w:ascii="Verdana" w:hAnsi="Verdana"/>
                <w:b/>
                <w:sz w:val="18"/>
                <w:szCs w:val="18"/>
              </w:rPr>
            </w:pPr>
          </w:p>
          <w:p w14:paraId="65132911" w14:textId="77777777" w:rsidR="008715BE" w:rsidRPr="00EC75B7" w:rsidRDefault="008715BE">
            <w:pPr>
              <w:pStyle w:val="TableParagraph"/>
              <w:rPr>
                <w:rFonts w:ascii="Verdana" w:hAnsi="Verdana"/>
                <w:b/>
                <w:sz w:val="18"/>
                <w:szCs w:val="18"/>
              </w:rPr>
            </w:pPr>
          </w:p>
          <w:p w14:paraId="2B1B53EF" w14:textId="77777777" w:rsidR="008715BE" w:rsidRPr="00EC75B7" w:rsidRDefault="008715BE">
            <w:pPr>
              <w:pStyle w:val="TableParagraph"/>
              <w:spacing w:before="101"/>
              <w:rPr>
                <w:rFonts w:ascii="Verdana" w:hAnsi="Verdana"/>
                <w:b/>
                <w:sz w:val="18"/>
                <w:szCs w:val="18"/>
              </w:rPr>
            </w:pPr>
          </w:p>
          <w:p w14:paraId="526FBABC" w14:textId="77777777" w:rsidR="008715BE" w:rsidRPr="00EC75B7" w:rsidRDefault="00000000">
            <w:pPr>
              <w:pStyle w:val="TableParagraph"/>
              <w:ind w:left="12" w:right="2"/>
              <w:jc w:val="center"/>
              <w:rPr>
                <w:rFonts w:ascii="Verdana" w:hAnsi="Verdana"/>
                <w:sz w:val="18"/>
                <w:szCs w:val="18"/>
              </w:rPr>
            </w:pPr>
            <w:r w:rsidRPr="00EC75B7">
              <w:rPr>
                <w:rFonts w:ascii="Verdana" w:hAnsi="Verdana"/>
                <w:spacing w:val="-5"/>
                <w:sz w:val="18"/>
                <w:szCs w:val="18"/>
              </w:rPr>
              <w:t>REP</w:t>
            </w:r>
          </w:p>
        </w:tc>
        <w:tc>
          <w:tcPr>
            <w:tcW w:w="269" w:type="dxa"/>
          </w:tcPr>
          <w:p w14:paraId="235BA001" w14:textId="77777777" w:rsidR="008715BE" w:rsidRPr="00EC75B7" w:rsidRDefault="008715BE">
            <w:pPr>
              <w:pStyle w:val="TableParagraph"/>
              <w:rPr>
                <w:rFonts w:ascii="Verdana" w:hAnsi="Verdana"/>
                <w:sz w:val="18"/>
                <w:szCs w:val="18"/>
              </w:rPr>
            </w:pPr>
          </w:p>
        </w:tc>
        <w:tc>
          <w:tcPr>
            <w:tcW w:w="295" w:type="dxa"/>
          </w:tcPr>
          <w:p w14:paraId="0D161AD0" w14:textId="77777777" w:rsidR="008715BE" w:rsidRPr="00EC75B7" w:rsidRDefault="008715BE">
            <w:pPr>
              <w:pStyle w:val="TableParagraph"/>
              <w:rPr>
                <w:rFonts w:ascii="Verdana" w:hAnsi="Verdana"/>
                <w:sz w:val="18"/>
                <w:szCs w:val="18"/>
              </w:rPr>
            </w:pPr>
          </w:p>
        </w:tc>
        <w:tc>
          <w:tcPr>
            <w:tcW w:w="331" w:type="dxa"/>
          </w:tcPr>
          <w:p w14:paraId="240F45E0" w14:textId="77777777" w:rsidR="008715BE" w:rsidRPr="00EC75B7" w:rsidRDefault="008715BE">
            <w:pPr>
              <w:pStyle w:val="TableParagraph"/>
              <w:rPr>
                <w:rFonts w:ascii="Verdana" w:hAnsi="Verdana"/>
                <w:sz w:val="18"/>
                <w:szCs w:val="18"/>
              </w:rPr>
            </w:pPr>
          </w:p>
        </w:tc>
        <w:tc>
          <w:tcPr>
            <w:tcW w:w="329" w:type="dxa"/>
          </w:tcPr>
          <w:p w14:paraId="78F87192" w14:textId="77777777" w:rsidR="008715BE" w:rsidRPr="00EC75B7" w:rsidRDefault="008715BE">
            <w:pPr>
              <w:pStyle w:val="TableParagraph"/>
              <w:rPr>
                <w:rFonts w:ascii="Verdana" w:hAnsi="Verdana"/>
                <w:b/>
                <w:sz w:val="18"/>
                <w:szCs w:val="18"/>
              </w:rPr>
            </w:pPr>
          </w:p>
          <w:p w14:paraId="6E29EE04" w14:textId="77777777" w:rsidR="008715BE" w:rsidRPr="00EC75B7" w:rsidRDefault="008715BE">
            <w:pPr>
              <w:pStyle w:val="TableParagraph"/>
              <w:rPr>
                <w:rFonts w:ascii="Verdana" w:hAnsi="Verdana"/>
                <w:b/>
                <w:sz w:val="18"/>
                <w:szCs w:val="18"/>
              </w:rPr>
            </w:pPr>
          </w:p>
          <w:p w14:paraId="599CF295" w14:textId="77777777" w:rsidR="008715BE" w:rsidRPr="00EC75B7" w:rsidRDefault="008715BE">
            <w:pPr>
              <w:pStyle w:val="TableParagraph"/>
              <w:spacing w:before="101"/>
              <w:rPr>
                <w:rFonts w:ascii="Verdana" w:hAnsi="Verdana"/>
                <w:b/>
                <w:sz w:val="18"/>
                <w:szCs w:val="18"/>
              </w:rPr>
            </w:pPr>
          </w:p>
          <w:p w14:paraId="751323F4"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1" w:type="dxa"/>
          </w:tcPr>
          <w:p w14:paraId="7A574212" w14:textId="77777777" w:rsidR="008715BE" w:rsidRPr="00EC75B7" w:rsidRDefault="008715BE">
            <w:pPr>
              <w:pStyle w:val="TableParagraph"/>
              <w:rPr>
                <w:rFonts w:ascii="Verdana" w:hAnsi="Verdana"/>
                <w:b/>
                <w:sz w:val="18"/>
                <w:szCs w:val="18"/>
              </w:rPr>
            </w:pPr>
          </w:p>
          <w:p w14:paraId="008EA541" w14:textId="77777777" w:rsidR="008715BE" w:rsidRPr="00EC75B7" w:rsidRDefault="008715BE">
            <w:pPr>
              <w:pStyle w:val="TableParagraph"/>
              <w:rPr>
                <w:rFonts w:ascii="Verdana" w:hAnsi="Verdana"/>
                <w:b/>
                <w:sz w:val="18"/>
                <w:szCs w:val="18"/>
              </w:rPr>
            </w:pPr>
          </w:p>
          <w:p w14:paraId="7B6653B3" w14:textId="77777777" w:rsidR="008715BE" w:rsidRPr="00EC75B7" w:rsidRDefault="008715BE">
            <w:pPr>
              <w:pStyle w:val="TableParagraph"/>
              <w:spacing w:before="101"/>
              <w:rPr>
                <w:rFonts w:ascii="Verdana" w:hAnsi="Verdana"/>
                <w:b/>
                <w:sz w:val="18"/>
                <w:szCs w:val="18"/>
              </w:rPr>
            </w:pPr>
          </w:p>
          <w:p w14:paraId="1FA5F6DD"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3CFC2C77" w14:textId="77777777" w:rsidR="008715BE" w:rsidRPr="00EC75B7" w:rsidRDefault="008715BE">
            <w:pPr>
              <w:pStyle w:val="TableParagraph"/>
              <w:rPr>
                <w:rFonts w:ascii="Verdana" w:hAnsi="Verdana"/>
                <w:b/>
                <w:sz w:val="18"/>
                <w:szCs w:val="18"/>
              </w:rPr>
            </w:pPr>
          </w:p>
          <w:p w14:paraId="3142A334" w14:textId="77777777" w:rsidR="008715BE" w:rsidRPr="00EC75B7" w:rsidRDefault="008715BE">
            <w:pPr>
              <w:pStyle w:val="TableParagraph"/>
              <w:rPr>
                <w:rFonts w:ascii="Verdana" w:hAnsi="Verdana"/>
                <w:b/>
                <w:sz w:val="18"/>
                <w:szCs w:val="18"/>
              </w:rPr>
            </w:pPr>
          </w:p>
          <w:p w14:paraId="647BD0CA" w14:textId="77777777" w:rsidR="008715BE" w:rsidRPr="00EC75B7" w:rsidRDefault="008715BE">
            <w:pPr>
              <w:pStyle w:val="TableParagraph"/>
              <w:spacing w:before="101"/>
              <w:rPr>
                <w:rFonts w:ascii="Verdana" w:hAnsi="Verdana"/>
                <w:b/>
                <w:sz w:val="18"/>
                <w:szCs w:val="18"/>
              </w:rPr>
            </w:pPr>
          </w:p>
          <w:p w14:paraId="7D05B97C"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2" w:type="dxa"/>
          </w:tcPr>
          <w:p w14:paraId="5FA9BDA9" w14:textId="77777777" w:rsidR="008715BE" w:rsidRPr="00EC75B7" w:rsidRDefault="008715BE">
            <w:pPr>
              <w:pStyle w:val="TableParagraph"/>
              <w:rPr>
                <w:rFonts w:ascii="Verdana" w:hAnsi="Verdana"/>
                <w:b/>
                <w:sz w:val="18"/>
                <w:szCs w:val="18"/>
              </w:rPr>
            </w:pPr>
          </w:p>
          <w:p w14:paraId="0DDDE0BA" w14:textId="77777777" w:rsidR="008715BE" w:rsidRPr="00EC75B7" w:rsidRDefault="008715BE">
            <w:pPr>
              <w:pStyle w:val="TableParagraph"/>
              <w:rPr>
                <w:rFonts w:ascii="Verdana" w:hAnsi="Verdana"/>
                <w:b/>
                <w:sz w:val="18"/>
                <w:szCs w:val="18"/>
              </w:rPr>
            </w:pPr>
          </w:p>
          <w:p w14:paraId="1402FB5E" w14:textId="77777777" w:rsidR="008715BE" w:rsidRPr="00EC75B7" w:rsidRDefault="008715BE">
            <w:pPr>
              <w:pStyle w:val="TableParagraph"/>
              <w:spacing w:before="101"/>
              <w:rPr>
                <w:rFonts w:ascii="Verdana" w:hAnsi="Verdana"/>
                <w:b/>
                <w:sz w:val="18"/>
                <w:szCs w:val="18"/>
              </w:rPr>
            </w:pPr>
          </w:p>
          <w:p w14:paraId="5171F6AD" w14:textId="77777777" w:rsidR="008715BE" w:rsidRPr="00EC75B7" w:rsidRDefault="00000000">
            <w:pPr>
              <w:pStyle w:val="TableParagraph"/>
              <w:ind w:left="13" w:right="4"/>
              <w:jc w:val="center"/>
              <w:rPr>
                <w:rFonts w:ascii="Verdana" w:hAnsi="Verdana"/>
                <w:sz w:val="18"/>
                <w:szCs w:val="18"/>
              </w:rPr>
            </w:pPr>
            <w:r w:rsidRPr="00EC75B7">
              <w:rPr>
                <w:rFonts w:ascii="Verdana" w:hAnsi="Verdana"/>
                <w:spacing w:val="-10"/>
                <w:sz w:val="18"/>
                <w:szCs w:val="18"/>
              </w:rPr>
              <w:t>X</w:t>
            </w:r>
          </w:p>
        </w:tc>
        <w:tc>
          <w:tcPr>
            <w:tcW w:w="329" w:type="dxa"/>
          </w:tcPr>
          <w:p w14:paraId="1C112729" w14:textId="77777777" w:rsidR="008715BE" w:rsidRPr="00EC75B7" w:rsidRDefault="008715BE">
            <w:pPr>
              <w:pStyle w:val="TableParagraph"/>
              <w:rPr>
                <w:rFonts w:ascii="Verdana" w:hAnsi="Verdana"/>
                <w:b/>
                <w:sz w:val="18"/>
                <w:szCs w:val="18"/>
              </w:rPr>
            </w:pPr>
          </w:p>
          <w:p w14:paraId="59182157" w14:textId="77777777" w:rsidR="008715BE" w:rsidRPr="00EC75B7" w:rsidRDefault="008715BE">
            <w:pPr>
              <w:pStyle w:val="TableParagraph"/>
              <w:rPr>
                <w:rFonts w:ascii="Verdana" w:hAnsi="Verdana"/>
                <w:b/>
                <w:sz w:val="18"/>
                <w:szCs w:val="18"/>
              </w:rPr>
            </w:pPr>
          </w:p>
          <w:p w14:paraId="0DC3F175" w14:textId="77777777" w:rsidR="008715BE" w:rsidRPr="00EC75B7" w:rsidRDefault="008715BE">
            <w:pPr>
              <w:pStyle w:val="TableParagraph"/>
              <w:spacing w:before="101"/>
              <w:rPr>
                <w:rFonts w:ascii="Verdana" w:hAnsi="Verdana"/>
                <w:b/>
                <w:sz w:val="18"/>
                <w:szCs w:val="18"/>
              </w:rPr>
            </w:pPr>
          </w:p>
          <w:p w14:paraId="3112C9BB" w14:textId="77777777" w:rsidR="008715BE" w:rsidRPr="00EC75B7" w:rsidRDefault="00000000">
            <w:pPr>
              <w:pStyle w:val="TableParagraph"/>
              <w:ind w:left="16" w:right="5"/>
              <w:jc w:val="center"/>
              <w:rPr>
                <w:rFonts w:ascii="Verdana" w:hAnsi="Verdana"/>
                <w:sz w:val="18"/>
                <w:szCs w:val="18"/>
              </w:rPr>
            </w:pPr>
            <w:r w:rsidRPr="00EC75B7">
              <w:rPr>
                <w:rFonts w:ascii="Verdana" w:hAnsi="Verdana"/>
                <w:spacing w:val="-10"/>
                <w:sz w:val="18"/>
                <w:szCs w:val="18"/>
              </w:rPr>
              <w:t>X</w:t>
            </w:r>
          </w:p>
        </w:tc>
        <w:tc>
          <w:tcPr>
            <w:tcW w:w="336" w:type="dxa"/>
          </w:tcPr>
          <w:p w14:paraId="38D1D590" w14:textId="77777777" w:rsidR="008715BE" w:rsidRPr="00EC75B7" w:rsidRDefault="008715BE">
            <w:pPr>
              <w:pStyle w:val="TableParagraph"/>
              <w:rPr>
                <w:rFonts w:ascii="Verdana" w:hAnsi="Verdana"/>
                <w:b/>
                <w:sz w:val="18"/>
                <w:szCs w:val="18"/>
              </w:rPr>
            </w:pPr>
          </w:p>
          <w:p w14:paraId="64FACBDA" w14:textId="77777777" w:rsidR="008715BE" w:rsidRPr="00EC75B7" w:rsidRDefault="008715BE">
            <w:pPr>
              <w:pStyle w:val="TableParagraph"/>
              <w:rPr>
                <w:rFonts w:ascii="Verdana" w:hAnsi="Verdana"/>
                <w:b/>
                <w:sz w:val="18"/>
                <w:szCs w:val="18"/>
              </w:rPr>
            </w:pPr>
          </w:p>
          <w:p w14:paraId="046B6289" w14:textId="77777777" w:rsidR="008715BE" w:rsidRPr="00EC75B7" w:rsidRDefault="008715BE">
            <w:pPr>
              <w:pStyle w:val="TableParagraph"/>
              <w:spacing w:before="101"/>
              <w:rPr>
                <w:rFonts w:ascii="Verdana" w:hAnsi="Verdana"/>
                <w:b/>
                <w:sz w:val="18"/>
                <w:szCs w:val="18"/>
              </w:rPr>
            </w:pPr>
          </w:p>
          <w:p w14:paraId="26AFCA4F" w14:textId="77777777" w:rsidR="008715BE" w:rsidRPr="00EC75B7" w:rsidRDefault="00000000">
            <w:pPr>
              <w:pStyle w:val="TableParagraph"/>
              <w:ind w:left="12" w:right="4"/>
              <w:jc w:val="center"/>
              <w:rPr>
                <w:rFonts w:ascii="Verdana" w:hAnsi="Verdana"/>
                <w:sz w:val="18"/>
                <w:szCs w:val="18"/>
              </w:rPr>
            </w:pPr>
            <w:r w:rsidRPr="00EC75B7">
              <w:rPr>
                <w:rFonts w:ascii="Verdana" w:hAnsi="Verdana"/>
                <w:spacing w:val="-10"/>
                <w:sz w:val="18"/>
                <w:szCs w:val="18"/>
              </w:rPr>
              <w:t>X</w:t>
            </w:r>
          </w:p>
        </w:tc>
        <w:tc>
          <w:tcPr>
            <w:tcW w:w="449" w:type="dxa"/>
          </w:tcPr>
          <w:p w14:paraId="40F0F671" w14:textId="77777777" w:rsidR="008715BE" w:rsidRPr="00EC75B7" w:rsidRDefault="008715BE">
            <w:pPr>
              <w:pStyle w:val="TableParagraph"/>
              <w:rPr>
                <w:rFonts w:ascii="Verdana" w:hAnsi="Verdana"/>
                <w:b/>
                <w:sz w:val="18"/>
                <w:szCs w:val="18"/>
              </w:rPr>
            </w:pPr>
          </w:p>
          <w:p w14:paraId="772B1A4C" w14:textId="77777777" w:rsidR="008715BE" w:rsidRPr="00EC75B7" w:rsidRDefault="008715BE">
            <w:pPr>
              <w:pStyle w:val="TableParagraph"/>
              <w:rPr>
                <w:rFonts w:ascii="Verdana" w:hAnsi="Verdana"/>
                <w:b/>
                <w:sz w:val="18"/>
                <w:szCs w:val="18"/>
              </w:rPr>
            </w:pPr>
          </w:p>
          <w:p w14:paraId="4B9CE03A" w14:textId="77777777" w:rsidR="008715BE" w:rsidRPr="00EC75B7" w:rsidRDefault="008715BE">
            <w:pPr>
              <w:pStyle w:val="TableParagraph"/>
              <w:spacing w:before="101"/>
              <w:rPr>
                <w:rFonts w:ascii="Verdana" w:hAnsi="Verdana"/>
                <w:b/>
                <w:sz w:val="18"/>
                <w:szCs w:val="18"/>
              </w:rPr>
            </w:pPr>
          </w:p>
          <w:p w14:paraId="5C52EC68" w14:textId="77777777" w:rsidR="008715BE" w:rsidRPr="00EC75B7" w:rsidRDefault="00000000">
            <w:pPr>
              <w:pStyle w:val="TableParagraph"/>
              <w:ind w:left="11" w:right="6"/>
              <w:jc w:val="center"/>
              <w:rPr>
                <w:rFonts w:ascii="Verdana" w:hAnsi="Verdana"/>
                <w:sz w:val="18"/>
                <w:szCs w:val="18"/>
              </w:rPr>
            </w:pPr>
            <w:r w:rsidRPr="00EC75B7">
              <w:rPr>
                <w:rFonts w:ascii="Verdana" w:hAnsi="Verdana"/>
                <w:spacing w:val="-10"/>
                <w:sz w:val="18"/>
                <w:szCs w:val="18"/>
              </w:rPr>
              <w:t>X</w:t>
            </w:r>
          </w:p>
        </w:tc>
        <w:tc>
          <w:tcPr>
            <w:tcW w:w="451" w:type="dxa"/>
          </w:tcPr>
          <w:p w14:paraId="74443BBA" w14:textId="77777777" w:rsidR="008715BE" w:rsidRPr="00EC75B7" w:rsidRDefault="008715BE">
            <w:pPr>
              <w:pStyle w:val="TableParagraph"/>
              <w:rPr>
                <w:rFonts w:ascii="Verdana" w:hAnsi="Verdana"/>
                <w:sz w:val="18"/>
                <w:szCs w:val="18"/>
              </w:rPr>
            </w:pPr>
          </w:p>
        </w:tc>
        <w:tc>
          <w:tcPr>
            <w:tcW w:w="449" w:type="dxa"/>
          </w:tcPr>
          <w:p w14:paraId="78B448A0" w14:textId="77777777" w:rsidR="008715BE" w:rsidRPr="00EC75B7" w:rsidRDefault="008715BE">
            <w:pPr>
              <w:pStyle w:val="TableParagraph"/>
              <w:rPr>
                <w:rFonts w:ascii="Verdana" w:hAnsi="Verdana"/>
                <w:sz w:val="18"/>
                <w:szCs w:val="18"/>
              </w:rPr>
            </w:pPr>
          </w:p>
        </w:tc>
        <w:tc>
          <w:tcPr>
            <w:tcW w:w="1891" w:type="dxa"/>
          </w:tcPr>
          <w:p w14:paraId="37531E48" w14:textId="77777777" w:rsidR="008715BE" w:rsidRPr="00EC75B7" w:rsidRDefault="008715BE">
            <w:pPr>
              <w:pStyle w:val="TableParagraph"/>
              <w:spacing w:before="103"/>
              <w:rPr>
                <w:rFonts w:ascii="Verdana" w:hAnsi="Verdana"/>
                <w:b/>
                <w:sz w:val="18"/>
                <w:szCs w:val="18"/>
              </w:rPr>
            </w:pPr>
          </w:p>
          <w:p w14:paraId="0ABD8940" w14:textId="77777777" w:rsidR="008715BE" w:rsidRPr="00EC75B7" w:rsidRDefault="00000000">
            <w:pPr>
              <w:pStyle w:val="TableParagraph"/>
              <w:spacing w:line="195" w:lineRule="exact"/>
              <w:ind w:left="140" w:right="129"/>
              <w:jc w:val="center"/>
              <w:rPr>
                <w:rFonts w:ascii="Verdana" w:hAnsi="Verdana"/>
                <w:sz w:val="18"/>
                <w:szCs w:val="18"/>
              </w:rPr>
            </w:pPr>
            <w:r w:rsidRPr="00EC75B7">
              <w:rPr>
                <w:rFonts w:ascii="Verdana" w:hAnsi="Verdana"/>
                <w:spacing w:val="-2"/>
                <w:sz w:val="18"/>
                <w:szCs w:val="18"/>
              </w:rPr>
              <w:t xml:space="preserve">Park </w:t>
            </w:r>
            <w:r w:rsidRPr="00EC75B7">
              <w:rPr>
                <w:rFonts w:ascii="Verdana" w:hAnsi="Verdana"/>
                <w:sz w:val="18"/>
                <w:szCs w:val="18"/>
              </w:rPr>
              <w:t>owner</w:t>
            </w:r>
          </w:p>
          <w:p w14:paraId="24470E9B" w14:textId="77777777" w:rsidR="008715BE" w:rsidRPr="00EC75B7" w:rsidRDefault="00000000">
            <w:pPr>
              <w:pStyle w:val="TableParagraph"/>
              <w:ind w:left="139" w:right="129"/>
              <w:jc w:val="center"/>
              <w:rPr>
                <w:rFonts w:ascii="Verdana" w:hAnsi="Verdana"/>
                <w:sz w:val="18"/>
                <w:szCs w:val="18"/>
              </w:rPr>
            </w:pPr>
            <w:r w:rsidRPr="00EC75B7">
              <w:rPr>
                <w:rFonts w:ascii="Verdana" w:hAnsi="Verdana"/>
                <w:sz w:val="18"/>
                <w:szCs w:val="18"/>
              </w:rPr>
              <w:t>/Certified and experienced experts</w:t>
            </w:r>
          </w:p>
          <w:p w14:paraId="5508062E" w14:textId="77777777" w:rsidR="008715BE" w:rsidRPr="00EC75B7" w:rsidRDefault="00000000">
            <w:pPr>
              <w:pStyle w:val="TableParagraph"/>
              <w:spacing w:line="193" w:lineRule="exact"/>
              <w:ind w:left="140" w:right="129"/>
              <w:jc w:val="center"/>
              <w:rPr>
                <w:rFonts w:ascii="Verdana" w:hAnsi="Verdana"/>
                <w:sz w:val="18"/>
                <w:szCs w:val="18"/>
              </w:rPr>
            </w:pPr>
            <w:r w:rsidRPr="00EC75B7">
              <w:rPr>
                <w:rFonts w:ascii="Verdana" w:hAnsi="Verdana"/>
                <w:sz w:val="18"/>
                <w:szCs w:val="18"/>
              </w:rPr>
              <w:t xml:space="preserve">in </w:t>
            </w:r>
            <w:r w:rsidRPr="00EC75B7">
              <w:rPr>
                <w:rFonts w:ascii="Verdana" w:hAnsi="Verdana"/>
                <w:spacing w:val="-2"/>
                <w:sz w:val="18"/>
                <w:szCs w:val="18"/>
              </w:rPr>
              <w:t>monitoring</w:t>
            </w:r>
          </w:p>
          <w:p w14:paraId="2FE2038E" w14:textId="77777777" w:rsidR="008715BE" w:rsidRPr="00EC75B7" w:rsidRDefault="00000000">
            <w:pPr>
              <w:pStyle w:val="TableParagraph"/>
              <w:spacing w:line="195" w:lineRule="exact"/>
              <w:ind w:left="139" w:right="132"/>
              <w:jc w:val="center"/>
              <w:rPr>
                <w:rFonts w:ascii="Verdana" w:hAnsi="Verdana"/>
                <w:sz w:val="18"/>
                <w:szCs w:val="18"/>
              </w:rPr>
            </w:pPr>
            <w:r w:rsidRPr="00EC75B7">
              <w:rPr>
                <w:rFonts w:ascii="Verdana" w:hAnsi="Verdana"/>
                <w:spacing w:val="-2"/>
                <w:sz w:val="18"/>
                <w:szCs w:val="18"/>
              </w:rPr>
              <w:t>biodiversity</w:t>
            </w:r>
          </w:p>
        </w:tc>
        <w:tc>
          <w:tcPr>
            <w:tcW w:w="1440" w:type="dxa"/>
          </w:tcPr>
          <w:p w14:paraId="0CAF2732" w14:textId="77777777" w:rsidR="008715BE" w:rsidRPr="00EC75B7" w:rsidRDefault="008715BE">
            <w:pPr>
              <w:pStyle w:val="TableParagraph"/>
              <w:rPr>
                <w:rFonts w:ascii="Verdana" w:hAnsi="Verdana"/>
                <w:b/>
                <w:sz w:val="18"/>
                <w:szCs w:val="18"/>
              </w:rPr>
            </w:pPr>
          </w:p>
          <w:p w14:paraId="367F5D04" w14:textId="77777777" w:rsidR="008715BE" w:rsidRPr="00EC75B7" w:rsidRDefault="008715BE">
            <w:pPr>
              <w:pStyle w:val="TableParagraph"/>
              <w:rPr>
                <w:rFonts w:ascii="Verdana" w:hAnsi="Verdana"/>
                <w:b/>
                <w:sz w:val="18"/>
                <w:szCs w:val="18"/>
              </w:rPr>
            </w:pPr>
          </w:p>
          <w:p w14:paraId="4F20309A" w14:textId="77777777" w:rsidR="008715BE" w:rsidRPr="00EC75B7" w:rsidRDefault="008715BE">
            <w:pPr>
              <w:pStyle w:val="TableParagraph"/>
              <w:spacing w:before="5"/>
              <w:rPr>
                <w:rFonts w:ascii="Verdana" w:hAnsi="Verdana"/>
                <w:b/>
                <w:sz w:val="18"/>
                <w:szCs w:val="18"/>
              </w:rPr>
            </w:pPr>
          </w:p>
          <w:p w14:paraId="20F56F18" w14:textId="77777777" w:rsidR="008715BE" w:rsidRPr="00EC75B7" w:rsidRDefault="00000000">
            <w:pPr>
              <w:pStyle w:val="TableParagraph"/>
              <w:ind w:left="203" w:right="189" w:firstLine="31"/>
              <w:rPr>
                <w:rFonts w:ascii="Verdana" w:hAnsi="Verdana"/>
                <w:sz w:val="18"/>
                <w:szCs w:val="18"/>
              </w:rPr>
            </w:pPr>
            <w:r w:rsidRPr="00EC75B7">
              <w:rPr>
                <w:rFonts w:ascii="Verdana" w:hAnsi="Verdana"/>
                <w:spacing w:val="-2"/>
                <w:sz w:val="18"/>
                <w:szCs w:val="18"/>
              </w:rPr>
              <w:t>Approximately</w:t>
            </w:r>
            <w:r w:rsidRPr="00EC75B7">
              <w:rPr>
                <w:rFonts w:ascii="Verdana" w:hAnsi="Verdana"/>
                <w:sz w:val="18"/>
                <w:szCs w:val="18"/>
              </w:rPr>
              <w:t xml:space="preserve"> 200,000 </w:t>
            </w:r>
            <w:r w:rsidRPr="00EC75B7">
              <w:rPr>
                <w:rFonts w:ascii="Verdana" w:hAnsi="Verdana"/>
                <w:spacing w:val="-6"/>
                <w:sz w:val="18"/>
                <w:szCs w:val="18"/>
              </w:rPr>
              <w:t>euros</w:t>
            </w:r>
          </w:p>
        </w:tc>
      </w:tr>
    </w:tbl>
    <w:p w14:paraId="4439216F" w14:textId="77777777" w:rsidR="008715BE" w:rsidRPr="00EC75B7" w:rsidRDefault="00000000">
      <w:pPr>
        <w:spacing w:before="10" w:line="357" w:lineRule="auto"/>
        <w:ind w:left="30" w:right="131"/>
        <w:jc w:val="both"/>
        <w:rPr>
          <w:rFonts w:ascii="Verdana" w:hAnsi="Verdana"/>
          <w:i/>
          <w:sz w:val="18"/>
          <w:szCs w:val="18"/>
        </w:rPr>
      </w:pPr>
      <w:r w:rsidRPr="00EC75B7">
        <w:rPr>
          <w:rFonts w:ascii="Verdana" w:hAnsi="Verdana"/>
          <w:i/>
          <w:sz w:val="18"/>
          <w:szCs w:val="18"/>
        </w:rPr>
        <w:t>*Aquila pomarina, Falco peregrinus, Hieraaetus pennatus, Lanius minor, Milvus migrans, Accipiter brevipes, Accipiter nisus, Acrocephalus arundinaceus, Acrocephalus palustris, Acrocephalus schoenobaenus, Acrocephalus scirpaceus, Alauda arvensis, Alcedo atthis, Anser albifrons, Anser anser, Anthus campestris, Aquila heliaca, Aquila pomarina, Bubo bubo, Burhinus oedicnemus, Buteo buteo, Buteo lagopus, Buteo rufinus, Calandrella brachydactyla, Caprimulgus europaeus, Carduelis cannabina, Carduelis carduelis, Carduelis chloris, Carduelis spinus, Ciconia ciconia, Circaetus gallicus, Circus aeruginosus, Circus cyaneus, Circus macrourus, Circus pygargus, Coccothraustes coccothraustes, Coracias garrulus, Coturnix coturnix, Cygnus olor, Emberiza melanocephala, Falco cherrug, Falco columbarius, Falco peregrinus, Falco subbuteo, Falco tinnunculus, Falco vespertinus, Ficedula hypoleuca, Fringilla coelebs, Fringilla montifringilla, Galerida cristata, Gallinago gallinago, Hieraaetus pennatus, Hirundo daurica, Hirundo rustica, Jynx torquilla, Lanius collurio, Lanius excubitor, Lanius minor, Lanius senator, Larus cachinnans, Larus melanocephalus, Larus minutus, Locustella fluviatilis, Locustella luscinioides, Lullula arborea, Melanocorypha calandra, Merops apiaster, Miliaria calandra, Milvus migrans, Monticola saxatilis, Motacilla alba, Motacilla flava, Muscicapa striata, Nycticorax nycticorax, Oenanthe isabellina, Oenanthe oenanthe, Oenanthe pleschanka,</w:t>
      </w:r>
      <w:r w:rsidRPr="00EC75B7">
        <w:rPr>
          <w:rFonts w:ascii="Verdana" w:hAnsi="Verdana"/>
          <w:i/>
          <w:spacing w:val="-1"/>
          <w:sz w:val="18"/>
          <w:szCs w:val="18"/>
        </w:rPr>
        <w:t xml:space="preserve"> </w:t>
      </w:r>
      <w:r w:rsidRPr="00EC75B7">
        <w:rPr>
          <w:rFonts w:ascii="Verdana" w:hAnsi="Verdana"/>
          <w:i/>
          <w:sz w:val="18"/>
          <w:szCs w:val="18"/>
        </w:rPr>
        <w:t>Oriolus oriolus, Pelecanus crispus, Pernis apivorus, Philomachus pugnax, Phylloscopus collybita, Phylloscopus sibilatrix, Phylloscopus trochilus, Porzana porzana/Calidris pugnax, Pyrrhula pyrrhula, Recurvirostra avosetta, Regulus ignicapillus, Regulus regulus, Riparia riparia, Saxicola torquata, Serinus serinus, Streptopelia turtur, Sturnus roseus, Sturnus vulgaris, Sylvia atricapilla, Sylvia curruca, Tadorna ferruginea, Turdus iliacus, Turdus merula, Turdus philomelos, Turdus pilaris, Turdus viscivorus, Upupa epops</w:t>
      </w:r>
    </w:p>
    <w:p w14:paraId="5EC4775E" w14:textId="77777777" w:rsidR="008715BE" w:rsidRPr="00EC75B7" w:rsidRDefault="00000000">
      <w:pPr>
        <w:spacing w:before="124"/>
        <w:ind w:left="30"/>
        <w:jc w:val="both"/>
        <w:rPr>
          <w:rFonts w:ascii="Verdana" w:hAnsi="Verdana"/>
          <w:i/>
          <w:sz w:val="18"/>
          <w:szCs w:val="18"/>
        </w:rPr>
      </w:pPr>
      <w:r w:rsidRPr="00EC75B7">
        <w:rPr>
          <w:rFonts w:ascii="Verdana" w:hAnsi="Verdana"/>
          <w:i/>
          <w:spacing w:val="-2"/>
          <w:sz w:val="18"/>
          <w:szCs w:val="18"/>
        </w:rPr>
        <w:t>** Miniopterus schreibersii, Rhinolophus mehelyi, Rhinolophus ferrumequinum, Myotis capaccinii, Nyctalus noctula, Pipistrellus pipistrellus</w:t>
      </w:r>
    </w:p>
    <w:p w14:paraId="32242C0A" w14:textId="77777777" w:rsidR="008715BE" w:rsidRPr="00EC75B7" w:rsidRDefault="008715BE">
      <w:pPr>
        <w:pStyle w:val="BodyText"/>
        <w:spacing w:before="22"/>
        <w:rPr>
          <w:rFonts w:ascii="Verdana" w:hAnsi="Verdana"/>
          <w:i/>
        </w:rPr>
      </w:pPr>
    </w:p>
    <w:p w14:paraId="30BA3BC6" w14:textId="77777777" w:rsidR="008715BE" w:rsidRPr="00EC75B7" w:rsidRDefault="00000000">
      <w:pPr>
        <w:ind w:left="30"/>
        <w:jc w:val="both"/>
        <w:rPr>
          <w:rFonts w:ascii="Verdana" w:hAnsi="Verdana"/>
          <w:i/>
          <w:sz w:val="18"/>
          <w:szCs w:val="18"/>
        </w:rPr>
      </w:pPr>
      <w:r w:rsidRPr="00EC75B7">
        <w:rPr>
          <w:rFonts w:ascii="Verdana" w:hAnsi="Verdana"/>
          <w:i/>
          <w:sz w:val="18"/>
          <w:szCs w:val="18"/>
        </w:rPr>
        <w:t xml:space="preserve">*** Spermophilus citellus, Mustela </w:t>
      </w:r>
      <w:r w:rsidRPr="00EC75B7">
        <w:rPr>
          <w:rFonts w:ascii="Verdana" w:hAnsi="Verdana"/>
          <w:i/>
          <w:spacing w:val="-2"/>
          <w:sz w:val="18"/>
          <w:szCs w:val="18"/>
        </w:rPr>
        <w:t>eversmanii</w:t>
      </w:r>
    </w:p>
    <w:p w14:paraId="7393E0FC" w14:textId="77777777" w:rsidR="008715BE" w:rsidRPr="00EC75B7" w:rsidRDefault="008715BE">
      <w:pPr>
        <w:jc w:val="both"/>
        <w:rPr>
          <w:rFonts w:ascii="Verdana" w:hAnsi="Verdana"/>
          <w:i/>
          <w:sz w:val="18"/>
          <w:szCs w:val="18"/>
        </w:rPr>
        <w:sectPr w:rsidR="008715BE" w:rsidRPr="00EC75B7">
          <w:pgSz w:w="23820" w:h="16840" w:orient="landscape"/>
          <w:pgMar w:top="1080" w:right="1275" w:bottom="1020" w:left="850" w:header="782" w:footer="808" w:gutter="0"/>
          <w:cols w:space="708"/>
        </w:sectPr>
      </w:pPr>
    </w:p>
    <w:p w14:paraId="0B2B1D62" w14:textId="77777777" w:rsidR="008715BE" w:rsidRPr="00EC75B7" w:rsidRDefault="00000000">
      <w:pPr>
        <w:spacing w:before="21"/>
        <w:ind w:left="57"/>
        <w:rPr>
          <w:rFonts w:ascii="Verdana" w:hAnsi="Verdana"/>
          <w:b/>
          <w:sz w:val="18"/>
          <w:szCs w:val="18"/>
        </w:rPr>
      </w:pPr>
      <w:r w:rsidRPr="00EC75B7">
        <w:rPr>
          <w:rFonts w:ascii="Verdana" w:hAnsi="Verdana"/>
          <w:b/>
          <w:noProof/>
          <w:sz w:val="18"/>
          <w:szCs w:val="18"/>
        </w:rPr>
        <w:lastRenderedPageBreak/>
        <w:drawing>
          <wp:anchor distT="0" distB="0" distL="0" distR="0" simplePos="0" relativeHeight="251685888" behindDoc="0" locked="0" layoutInCell="1" allowOverlap="1" wp14:anchorId="02988BA1" wp14:editId="3131487A">
            <wp:simplePos x="0" y="0"/>
            <wp:positionH relativeFrom="page">
              <wp:posOffset>756284</wp:posOffset>
            </wp:positionH>
            <wp:positionV relativeFrom="page">
              <wp:posOffset>486409</wp:posOffset>
            </wp:positionV>
            <wp:extent cx="651078" cy="177800"/>
            <wp:effectExtent l="0" t="0" r="0" b="0"/>
            <wp:wrapNone/>
            <wp:docPr id="637" name="Image 637"/>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2" cstate="print"/>
                    <a:stretch>
                      <a:fillRect/>
                    </a:stretch>
                  </pic:blipFill>
                  <pic:spPr>
                    <a:xfrm>
                      <a:off x="0" y="0"/>
                      <a:ext cx="651078" cy="177800"/>
                    </a:xfrm>
                    <a:prstGeom prst="rect">
                      <a:avLst/>
                    </a:prstGeom>
                  </pic:spPr>
                </pic:pic>
              </a:graphicData>
            </a:graphic>
          </wp:anchor>
        </w:drawing>
      </w:r>
      <w:r w:rsidRPr="00EC75B7">
        <w:rPr>
          <w:rFonts w:ascii="Verdana" w:hAnsi="Verdana"/>
          <w:b/>
          <w:color w:val="D0CFC2"/>
          <w:sz w:val="18"/>
          <w:szCs w:val="18"/>
        </w:rPr>
        <w:t xml:space="preserve">Transformation, electrical connection networks, construction and modernization of communication and </w:t>
      </w:r>
      <w:r w:rsidRPr="00EC75B7">
        <w:rPr>
          <w:rFonts w:ascii="Verdana" w:hAnsi="Verdana"/>
          <w:b/>
          <w:color w:val="D0CFC2"/>
          <w:spacing w:val="-4"/>
          <w:sz w:val="18"/>
          <w:szCs w:val="18"/>
        </w:rPr>
        <w:t>access</w:t>
      </w:r>
      <w:r w:rsidRPr="00EC75B7">
        <w:rPr>
          <w:rFonts w:ascii="Verdana" w:hAnsi="Verdana"/>
          <w:b/>
          <w:color w:val="D0CFC2"/>
          <w:sz w:val="18"/>
          <w:szCs w:val="18"/>
        </w:rPr>
        <w:t xml:space="preserve"> routes</w:t>
      </w:r>
    </w:p>
    <w:p w14:paraId="1012F991" w14:textId="77777777" w:rsidR="008715BE" w:rsidRPr="00EC75B7" w:rsidRDefault="008715BE">
      <w:pPr>
        <w:pStyle w:val="BodyText"/>
        <w:spacing w:before="46"/>
        <w:rPr>
          <w:rFonts w:ascii="Verdana" w:hAnsi="Verdana"/>
          <w:b/>
        </w:rPr>
      </w:pPr>
    </w:p>
    <w:p w14:paraId="42FCF5A9" w14:textId="77777777" w:rsidR="008715BE" w:rsidRPr="00EC75B7" w:rsidRDefault="00000000">
      <w:pPr>
        <w:pStyle w:val="Heading1"/>
        <w:numPr>
          <w:ilvl w:val="0"/>
          <w:numId w:val="110"/>
        </w:numPr>
        <w:tabs>
          <w:tab w:val="left" w:pos="777"/>
        </w:tabs>
        <w:ind w:left="777" w:hanging="633"/>
        <w:jc w:val="left"/>
        <w:rPr>
          <w:rFonts w:ascii="Verdana" w:hAnsi="Verdana"/>
          <w:sz w:val="18"/>
          <w:szCs w:val="18"/>
        </w:rPr>
      </w:pPr>
      <w:bookmarkStart w:id="139" w:name="_bookmark137"/>
      <w:bookmarkEnd w:id="139"/>
      <w:r w:rsidRPr="00EC75B7">
        <w:rPr>
          <w:rFonts w:ascii="Verdana" w:hAnsi="Verdana"/>
          <w:color w:val="00AFEF"/>
          <w:spacing w:val="-4"/>
          <w:sz w:val="18"/>
          <w:szCs w:val="18"/>
        </w:rPr>
        <w:t xml:space="preserve">RISK </w:t>
      </w:r>
      <w:r w:rsidRPr="00EC75B7">
        <w:rPr>
          <w:rFonts w:ascii="Verdana" w:hAnsi="Verdana"/>
          <w:color w:val="00AFEF"/>
          <w:spacing w:val="-2"/>
          <w:sz w:val="18"/>
          <w:szCs w:val="18"/>
        </w:rPr>
        <w:t>SITUATIONS</w:t>
      </w:r>
    </w:p>
    <w:p w14:paraId="7D6920E5" w14:textId="77777777" w:rsidR="008715BE" w:rsidRPr="00EC75B7" w:rsidRDefault="008715BE">
      <w:pPr>
        <w:pStyle w:val="BodyText"/>
        <w:spacing w:before="62"/>
        <w:rPr>
          <w:rFonts w:ascii="Verdana" w:hAnsi="Verdana"/>
          <w:b/>
        </w:rPr>
      </w:pPr>
    </w:p>
    <w:p w14:paraId="451FDC7D" w14:textId="77777777" w:rsidR="008715BE" w:rsidRPr="00EC75B7" w:rsidRDefault="00000000">
      <w:pPr>
        <w:pStyle w:val="Heading2"/>
        <w:numPr>
          <w:ilvl w:val="1"/>
          <w:numId w:val="110"/>
        </w:numPr>
        <w:tabs>
          <w:tab w:val="left" w:pos="835"/>
        </w:tabs>
        <w:spacing w:before="1"/>
        <w:ind w:hanging="720"/>
        <w:jc w:val="left"/>
        <w:rPr>
          <w:rFonts w:ascii="Verdana" w:hAnsi="Verdana"/>
          <w:color w:val="00AFEF"/>
          <w:sz w:val="18"/>
          <w:szCs w:val="18"/>
        </w:rPr>
      </w:pPr>
      <w:bookmarkStart w:id="140" w:name="_bookmark138"/>
      <w:bookmarkEnd w:id="140"/>
      <w:r w:rsidRPr="00EC75B7">
        <w:rPr>
          <w:rFonts w:ascii="Verdana" w:hAnsi="Verdana"/>
          <w:color w:val="00AFEF"/>
          <w:spacing w:val="-2"/>
          <w:sz w:val="18"/>
          <w:szCs w:val="18"/>
        </w:rPr>
        <w:t>Introduction</w:t>
      </w:r>
    </w:p>
    <w:p w14:paraId="725A8571" w14:textId="77777777" w:rsidR="008715BE" w:rsidRPr="00EC75B7" w:rsidRDefault="008715BE">
      <w:pPr>
        <w:pStyle w:val="BodyText"/>
        <w:spacing w:before="100"/>
        <w:rPr>
          <w:rFonts w:ascii="Verdana" w:hAnsi="Verdana"/>
          <w:b/>
        </w:rPr>
      </w:pPr>
    </w:p>
    <w:p w14:paraId="15BE3EAF" w14:textId="77777777" w:rsidR="008715BE" w:rsidRPr="00EC75B7" w:rsidRDefault="00000000">
      <w:pPr>
        <w:pStyle w:val="BodyText"/>
        <w:spacing w:before="1" w:line="357" w:lineRule="auto"/>
        <w:ind w:left="86" w:right="137"/>
        <w:jc w:val="both"/>
        <w:rPr>
          <w:rFonts w:ascii="Verdana" w:hAnsi="Verdana"/>
        </w:rPr>
      </w:pPr>
      <w:r w:rsidRPr="00EC75B7">
        <w:rPr>
          <w:rFonts w:ascii="Verdana" w:hAnsi="Verdana"/>
        </w:rPr>
        <w:t>Risk is defined as the probability of exposure of humans, their property, and components of the environment to the action of a particular hazard of a certain magnitude. Risk represents the probable level of loss and damage caused by a particular natural or anthropogenic phenomenon or group of phenomena in a particular place and during a particular period.</w:t>
      </w:r>
    </w:p>
    <w:p w14:paraId="3E777227" w14:textId="77777777" w:rsidR="008715BE" w:rsidRPr="00EC75B7" w:rsidRDefault="00000000">
      <w:pPr>
        <w:pStyle w:val="BodyText"/>
        <w:spacing w:before="123"/>
        <w:ind w:left="86"/>
        <w:jc w:val="both"/>
        <w:rPr>
          <w:rFonts w:ascii="Verdana" w:hAnsi="Verdana"/>
        </w:rPr>
      </w:pPr>
      <w:r w:rsidRPr="00EC75B7">
        <w:rPr>
          <w:rFonts w:ascii="Verdana" w:hAnsi="Verdana"/>
        </w:rPr>
        <w:t xml:space="preserve">Two aspects are very </w:t>
      </w:r>
      <w:r w:rsidRPr="00EC75B7">
        <w:rPr>
          <w:rFonts w:ascii="Verdana" w:hAnsi="Verdana"/>
          <w:spacing w:val="-2"/>
        </w:rPr>
        <w:t xml:space="preserve">important </w:t>
      </w:r>
      <w:r w:rsidRPr="00EC75B7">
        <w:rPr>
          <w:rFonts w:ascii="Verdana" w:hAnsi="Verdana"/>
        </w:rPr>
        <w:t>in risk analysis</w:t>
      </w:r>
      <w:r w:rsidRPr="00EC75B7">
        <w:rPr>
          <w:rFonts w:ascii="Verdana" w:hAnsi="Verdana"/>
          <w:spacing w:val="-2"/>
        </w:rPr>
        <w:t>:</w:t>
      </w:r>
    </w:p>
    <w:p w14:paraId="07630CF3" w14:textId="77777777" w:rsidR="008715BE" w:rsidRPr="00EC75B7" w:rsidRDefault="008715BE">
      <w:pPr>
        <w:pStyle w:val="BodyText"/>
        <w:spacing w:before="7"/>
        <w:rPr>
          <w:rFonts w:ascii="Verdana" w:hAnsi="Verdana"/>
        </w:rPr>
      </w:pPr>
    </w:p>
    <w:p w14:paraId="7DF48464" w14:textId="77777777" w:rsidR="008715BE" w:rsidRPr="00EC75B7" w:rsidRDefault="00000000">
      <w:pPr>
        <w:pStyle w:val="ListParagraph"/>
        <w:numPr>
          <w:ilvl w:val="0"/>
          <w:numId w:val="3"/>
        </w:numPr>
        <w:tabs>
          <w:tab w:val="left" w:pos="806"/>
        </w:tabs>
        <w:spacing w:line="360" w:lineRule="auto"/>
        <w:ind w:right="137"/>
        <w:rPr>
          <w:rFonts w:ascii="Verdana" w:hAnsi="Verdana"/>
          <w:sz w:val="18"/>
          <w:szCs w:val="18"/>
        </w:rPr>
      </w:pPr>
      <w:r w:rsidRPr="00EC75B7">
        <w:rPr>
          <w:rFonts w:ascii="Verdana" w:hAnsi="Verdana"/>
          <w:sz w:val="18"/>
          <w:szCs w:val="18"/>
        </w:rPr>
        <w:t>consequence: characteristics of the impact (the interaction that occurs between an activity and a receptor—financial losses, health impacts, environmental impacts, etc.)</w:t>
      </w:r>
    </w:p>
    <w:p w14:paraId="2887E06C" w14:textId="77777777" w:rsidR="008715BE" w:rsidRPr="00EC75B7" w:rsidRDefault="00000000">
      <w:pPr>
        <w:pStyle w:val="ListParagraph"/>
        <w:numPr>
          <w:ilvl w:val="0"/>
          <w:numId w:val="3"/>
        </w:numPr>
        <w:tabs>
          <w:tab w:val="left" w:pos="806"/>
        </w:tabs>
        <w:spacing w:line="357" w:lineRule="auto"/>
        <w:ind w:right="151"/>
        <w:rPr>
          <w:rFonts w:ascii="Verdana" w:hAnsi="Verdana"/>
          <w:sz w:val="18"/>
          <w:szCs w:val="18"/>
        </w:rPr>
      </w:pPr>
      <w:r w:rsidRPr="00EC75B7">
        <w:rPr>
          <w:rFonts w:ascii="Verdana" w:hAnsi="Verdana"/>
          <w:sz w:val="18"/>
          <w:szCs w:val="18"/>
        </w:rPr>
        <w:t>probability: the likelihood of an event occurring (can be expressed as the frequency of occurrence of the event (units of time)-1).</w:t>
      </w:r>
    </w:p>
    <w:p w14:paraId="7FB95EE1" w14:textId="77777777" w:rsidR="008715BE" w:rsidRPr="00EC75B7" w:rsidRDefault="008715BE">
      <w:pPr>
        <w:pStyle w:val="BodyText"/>
        <w:spacing w:before="111"/>
        <w:rPr>
          <w:rFonts w:ascii="Verdana" w:hAnsi="Verdana"/>
        </w:rPr>
      </w:pPr>
    </w:p>
    <w:p w14:paraId="0579E12B" w14:textId="77777777" w:rsidR="008715BE" w:rsidRPr="00EC75B7" w:rsidRDefault="00000000">
      <w:pPr>
        <w:pStyle w:val="Heading2"/>
        <w:numPr>
          <w:ilvl w:val="1"/>
          <w:numId w:val="110"/>
        </w:numPr>
        <w:tabs>
          <w:tab w:val="left" w:pos="835"/>
        </w:tabs>
        <w:ind w:hanging="720"/>
        <w:jc w:val="left"/>
        <w:rPr>
          <w:rFonts w:ascii="Verdana" w:hAnsi="Verdana"/>
          <w:color w:val="00AFEF"/>
          <w:sz w:val="18"/>
          <w:szCs w:val="18"/>
        </w:rPr>
      </w:pPr>
      <w:bookmarkStart w:id="141" w:name="_bookmark139"/>
      <w:bookmarkEnd w:id="141"/>
      <w:r w:rsidRPr="00EC75B7">
        <w:rPr>
          <w:rFonts w:ascii="Verdana" w:hAnsi="Verdana"/>
          <w:color w:val="00AFEF"/>
          <w:sz w:val="18"/>
          <w:szCs w:val="18"/>
        </w:rPr>
        <w:t xml:space="preserve">Compliance with </w:t>
      </w:r>
      <w:r w:rsidRPr="00EC75B7">
        <w:rPr>
          <w:rFonts w:ascii="Verdana" w:hAnsi="Verdana"/>
          <w:color w:val="00AFEF"/>
          <w:spacing w:val="-2"/>
          <w:sz w:val="18"/>
          <w:szCs w:val="18"/>
        </w:rPr>
        <w:t xml:space="preserve">safety </w:t>
      </w:r>
      <w:r w:rsidRPr="00EC75B7">
        <w:rPr>
          <w:rFonts w:ascii="Verdana" w:hAnsi="Verdana"/>
          <w:color w:val="00AFEF"/>
          <w:sz w:val="18"/>
          <w:szCs w:val="18"/>
        </w:rPr>
        <w:t>distances</w:t>
      </w:r>
    </w:p>
    <w:p w14:paraId="2FBFD2D0" w14:textId="77777777" w:rsidR="008715BE" w:rsidRPr="00EC75B7" w:rsidRDefault="008715BE">
      <w:pPr>
        <w:pStyle w:val="BodyText"/>
        <w:spacing w:before="101"/>
        <w:rPr>
          <w:rFonts w:ascii="Verdana" w:hAnsi="Verdana"/>
          <w:b/>
        </w:rPr>
      </w:pPr>
    </w:p>
    <w:p w14:paraId="6D074522" w14:textId="77777777" w:rsidR="008715BE" w:rsidRPr="00EC75B7" w:rsidRDefault="00000000">
      <w:pPr>
        <w:pStyle w:val="BodyText"/>
        <w:spacing w:line="357" w:lineRule="auto"/>
        <w:ind w:left="86" w:right="143"/>
        <w:jc w:val="both"/>
        <w:rPr>
          <w:rFonts w:ascii="Verdana" w:hAnsi="Verdana"/>
        </w:rPr>
      </w:pPr>
      <w:r w:rsidRPr="00EC75B7">
        <w:rPr>
          <w:rFonts w:ascii="Verdana" w:hAnsi="Verdana"/>
        </w:rPr>
        <w:t>ANRE Order No. 239/2019 approving the Technical Standard on the delimitation of protection and safety zones related to energy capacities, Annex No. 3 imposes safety distances from wind turbines, depending on their characteristics.</w:t>
      </w:r>
    </w:p>
    <w:p w14:paraId="4AF425CF" w14:textId="77777777" w:rsidR="008715BE" w:rsidRPr="00EC75B7" w:rsidRDefault="00000000">
      <w:pPr>
        <w:pStyle w:val="BodyText"/>
        <w:spacing w:before="122"/>
        <w:ind w:left="86"/>
        <w:jc w:val="both"/>
        <w:rPr>
          <w:rFonts w:ascii="Verdana" w:hAnsi="Verdana"/>
        </w:rPr>
      </w:pPr>
      <w:r w:rsidRPr="00EC75B7">
        <w:rPr>
          <w:rFonts w:ascii="Verdana" w:hAnsi="Verdana"/>
        </w:rPr>
        <w:t>Thus, in the case of the Cerchezu wind farm, the installed turbines have the following characteristics (</w:t>
      </w:r>
      <w:r w:rsidRPr="00EC75B7">
        <w:rPr>
          <w:rFonts w:ascii="Verdana" w:hAnsi="Verdana"/>
          <w:spacing w:val="-2"/>
        </w:rPr>
        <w:t xml:space="preserve">maximum </w:t>
      </w:r>
      <w:r w:rsidRPr="00EC75B7">
        <w:rPr>
          <w:rFonts w:ascii="Verdana" w:hAnsi="Verdana"/>
        </w:rPr>
        <w:t>values</w:t>
      </w:r>
      <w:r w:rsidRPr="00EC75B7">
        <w:rPr>
          <w:rFonts w:ascii="Verdana" w:hAnsi="Verdana"/>
          <w:spacing w:val="-2"/>
        </w:rPr>
        <w:t>):</w:t>
      </w:r>
    </w:p>
    <w:p w14:paraId="135B44CD" w14:textId="77777777" w:rsidR="008715BE" w:rsidRPr="00EC75B7" w:rsidRDefault="008715BE">
      <w:pPr>
        <w:pStyle w:val="BodyText"/>
        <w:spacing w:before="9"/>
        <w:rPr>
          <w:rFonts w:ascii="Verdana" w:hAnsi="Verdana"/>
        </w:rPr>
      </w:pPr>
    </w:p>
    <w:p w14:paraId="2F6B34B4" w14:textId="4F789487" w:rsidR="008715BE" w:rsidRPr="00EC75B7" w:rsidRDefault="00000000">
      <w:pPr>
        <w:pStyle w:val="ListParagraph"/>
        <w:numPr>
          <w:ilvl w:val="0"/>
          <w:numId w:val="2"/>
        </w:numPr>
        <w:tabs>
          <w:tab w:val="left" w:pos="806"/>
        </w:tabs>
        <w:rPr>
          <w:rFonts w:ascii="Verdana" w:hAnsi="Verdana"/>
          <w:sz w:val="18"/>
          <w:szCs w:val="18"/>
        </w:rPr>
      </w:pPr>
      <w:r w:rsidRPr="00EC75B7">
        <w:rPr>
          <w:rFonts w:ascii="Verdana" w:hAnsi="Verdana"/>
          <w:sz w:val="18"/>
          <w:szCs w:val="18"/>
        </w:rPr>
        <w:t>the nominal power of the electric generators is 6.6</w:t>
      </w:r>
      <w:r w:rsidR="00C96230">
        <w:rPr>
          <w:rFonts w:ascii="Verdana" w:hAnsi="Verdana"/>
          <w:sz w:val="18"/>
          <w:szCs w:val="18"/>
        </w:rPr>
        <w:t>-7</w:t>
      </w:r>
      <w:r w:rsidRPr="00EC75B7">
        <w:rPr>
          <w:rFonts w:ascii="Verdana" w:hAnsi="Verdana"/>
          <w:sz w:val="18"/>
          <w:szCs w:val="18"/>
        </w:rPr>
        <w:t xml:space="preserve"> </w:t>
      </w:r>
      <w:r w:rsidRPr="00EC75B7">
        <w:rPr>
          <w:rFonts w:ascii="Verdana" w:hAnsi="Verdana"/>
          <w:spacing w:val="-5"/>
          <w:sz w:val="18"/>
          <w:szCs w:val="18"/>
        </w:rPr>
        <w:t>MW;</w:t>
      </w:r>
    </w:p>
    <w:p w14:paraId="3ED1BB20" w14:textId="77777777" w:rsidR="008715BE" w:rsidRPr="00EC75B7" w:rsidRDefault="00000000">
      <w:pPr>
        <w:pStyle w:val="ListParagraph"/>
        <w:numPr>
          <w:ilvl w:val="0"/>
          <w:numId w:val="2"/>
        </w:numPr>
        <w:tabs>
          <w:tab w:val="left" w:pos="806"/>
        </w:tabs>
        <w:spacing w:before="109"/>
        <w:rPr>
          <w:rFonts w:ascii="Verdana" w:hAnsi="Verdana"/>
          <w:sz w:val="18"/>
          <w:szCs w:val="18"/>
        </w:rPr>
      </w:pPr>
      <w:r w:rsidRPr="00EC75B7">
        <w:rPr>
          <w:rFonts w:ascii="Verdana" w:hAnsi="Verdana"/>
          <w:sz w:val="18"/>
          <w:szCs w:val="18"/>
        </w:rPr>
        <w:t xml:space="preserve">tower height – 165 </w:t>
      </w:r>
      <w:r w:rsidRPr="00EC75B7">
        <w:rPr>
          <w:rFonts w:ascii="Verdana" w:hAnsi="Verdana"/>
          <w:spacing w:val="-10"/>
          <w:sz w:val="18"/>
          <w:szCs w:val="18"/>
        </w:rPr>
        <w:t>m</w:t>
      </w:r>
    </w:p>
    <w:p w14:paraId="0F049D62" w14:textId="77777777" w:rsidR="008715BE" w:rsidRPr="00EC75B7" w:rsidRDefault="00000000">
      <w:pPr>
        <w:pStyle w:val="ListParagraph"/>
        <w:numPr>
          <w:ilvl w:val="0"/>
          <w:numId w:val="2"/>
        </w:numPr>
        <w:tabs>
          <w:tab w:val="left" w:pos="806"/>
        </w:tabs>
        <w:spacing w:before="107"/>
        <w:rPr>
          <w:rFonts w:ascii="Verdana" w:hAnsi="Verdana"/>
          <w:sz w:val="18"/>
          <w:szCs w:val="18"/>
        </w:rPr>
      </w:pPr>
      <w:r w:rsidRPr="00EC75B7">
        <w:rPr>
          <w:rFonts w:ascii="Verdana" w:hAnsi="Verdana"/>
          <w:sz w:val="18"/>
          <w:szCs w:val="18"/>
        </w:rPr>
        <w:t xml:space="preserve">rotor diameter – 170 </w:t>
      </w:r>
      <w:r w:rsidRPr="00EC75B7">
        <w:rPr>
          <w:rFonts w:ascii="Verdana" w:hAnsi="Verdana"/>
          <w:spacing w:val="-5"/>
          <w:sz w:val="18"/>
          <w:szCs w:val="18"/>
        </w:rPr>
        <w:t>m;</w:t>
      </w:r>
    </w:p>
    <w:p w14:paraId="3F167B83" w14:textId="77777777" w:rsidR="008715BE" w:rsidRPr="00EC75B7" w:rsidRDefault="00000000">
      <w:pPr>
        <w:pStyle w:val="ListParagraph"/>
        <w:numPr>
          <w:ilvl w:val="0"/>
          <w:numId w:val="2"/>
        </w:numPr>
        <w:tabs>
          <w:tab w:val="left" w:pos="806"/>
        </w:tabs>
        <w:spacing w:before="109"/>
        <w:rPr>
          <w:rFonts w:ascii="Verdana" w:hAnsi="Verdana"/>
          <w:sz w:val="18"/>
          <w:szCs w:val="18"/>
        </w:rPr>
      </w:pPr>
      <w:r w:rsidRPr="00EC75B7">
        <w:rPr>
          <w:rFonts w:ascii="Verdana" w:hAnsi="Verdana"/>
          <w:sz w:val="18"/>
          <w:szCs w:val="18"/>
        </w:rPr>
        <w:t xml:space="preserve">blade length – 85 </w:t>
      </w:r>
      <w:r w:rsidRPr="00EC75B7">
        <w:rPr>
          <w:rFonts w:ascii="Verdana" w:hAnsi="Verdana"/>
          <w:spacing w:val="-5"/>
          <w:sz w:val="18"/>
          <w:szCs w:val="18"/>
        </w:rPr>
        <w:t>m;</w:t>
      </w:r>
    </w:p>
    <w:p w14:paraId="5C8D324B" w14:textId="77777777" w:rsidR="008715BE" w:rsidRPr="00EC75B7" w:rsidRDefault="00000000">
      <w:pPr>
        <w:pStyle w:val="ListParagraph"/>
        <w:numPr>
          <w:ilvl w:val="0"/>
          <w:numId w:val="2"/>
        </w:numPr>
        <w:tabs>
          <w:tab w:val="left" w:pos="806"/>
        </w:tabs>
        <w:spacing w:before="109"/>
        <w:rPr>
          <w:rFonts w:ascii="Verdana" w:hAnsi="Verdana"/>
          <w:sz w:val="18"/>
          <w:szCs w:val="18"/>
        </w:rPr>
      </w:pPr>
      <w:r w:rsidRPr="00EC75B7">
        <w:rPr>
          <w:rFonts w:ascii="Verdana" w:hAnsi="Verdana"/>
          <w:sz w:val="18"/>
          <w:szCs w:val="18"/>
        </w:rPr>
        <w:t xml:space="preserve">tower base diameter – 7 </w:t>
      </w:r>
      <w:r w:rsidRPr="00EC75B7">
        <w:rPr>
          <w:rFonts w:ascii="Verdana" w:hAnsi="Verdana"/>
          <w:spacing w:val="-5"/>
          <w:sz w:val="18"/>
          <w:szCs w:val="18"/>
        </w:rPr>
        <w:t>m.</w:t>
      </w:r>
    </w:p>
    <w:p w14:paraId="2FCF620E" w14:textId="77777777" w:rsidR="008715BE" w:rsidRPr="00EC75B7" w:rsidRDefault="008715BE">
      <w:pPr>
        <w:pStyle w:val="BodyText"/>
        <w:spacing w:before="10"/>
        <w:rPr>
          <w:rFonts w:ascii="Verdana" w:hAnsi="Verdana"/>
        </w:rPr>
      </w:pPr>
    </w:p>
    <w:p w14:paraId="41F181C3" w14:textId="77777777" w:rsidR="008715BE" w:rsidRPr="00EC75B7" w:rsidRDefault="00000000">
      <w:pPr>
        <w:pStyle w:val="BodyText"/>
        <w:spacing w:line="357" w:lineRule="auto"/>
        <w:ind w:left="86" w:right="148"/>
        <w:jc w:val="both"/>
        <w:rPr>
          <w:rFonts w:ascii="Verdana" w:hAnsi="Verdana"/>
        </w:rPr>
      </w:pPr>
      <w:r w:rsidRPr="00EC75B7">
        <w:rPr>
          <w:rFonts w:ascii="Verdana" w:hAnsi="Verdana"/>
        </w:rPr>
        <w:t>Safety distances are measured from the edge of the above-ground structure (i.e., from the lower edge of the tower), and in the case of a multi-component facility (wind farm), the distance from the component closest to the neighboring object is taken into account.</w:t>
      </w:r>
    </w:p>
    <w:p w14:paraId="690BE509" w14:textId="77777777" w:rsidR="008715BE" w:rsidRPr="00EC75B7" w:rsidRDefault="008715BE">
      <w:pPr>
        <w:pStyle w:val="BodyText"/>
        <w:spacing w:line="357" w:lineRule="auto"/>
        <w:jc w:val="both"/>
        <w:rPr>
          <w:rFonts w:ascii="Verdana" w:hAnsi="Verdana"/>
        </w:rPr>
        <w:sectPr w:rsidR="008715BE" w:rsidRPr="00EC75B7">
          <w:headerReference w:type="default" r:id="rId317"/>
          <w:footerReference w:type="default" r:id="rId318"/>
          <w:pgSz w:w="11910" w:h="16840"/>
          <w:pgMar w:top="980" w:right="850" w:bottom="1020" w:left="1133" w:header="800" w:footer="824" w:gutter="0"/>
          <w:cols w:space="708"/>
        </w:sectPr>
      </w:pPr>
    </w:p>
    <w:p w14:paraId="085E8A40" w14:textId="77777777" w:rsidR="008715BE" w:rsidRPr="00EC75B7" w:rsidRDefault="008715BE">
      <w:pPr>
        <w:pStyle w:val="BodyText"/>
        <w:spacing w:before="37"/>
        <w:rPr>
          <w:rFonts w:ascii="Verdana" w:hAnsi="Verdana"/>
        </w:rPr>
      </w:pPr>
    </w:p>
    <w:p w14:paraId="2DEA7605" w14:textId="77777777" w:rsidR="008715BE" w:rsidRPr="00EC75B7" w:rsidRDefault="00000000">
      <w:pPr>
        <w:spacing w:before="1"/>
        <w:ind w:left="30"/>
        <w:rPr>
          <w:rFonts w:ascii="Verdana" w:hAnsi="Verdana"/>
          <w:b/>
          <w:sz w:val="18"/>
          <w:szCs w:val="18"/>
        </w:rPr>
      </w:pPr>
      <w:r w:rsidRPr="00EC75B7">
        <w:rPr>
          <w:rFonts w:ascii="Verdana" w:hAnsi="Verdana"/>
          <w:b/>
          <w:color w:val="00AFEF"/>
          <w:sz w:val="18"/>
          <w:szCs w:val="18"/>
        </w:rPr>
        <w:t xml:space="preserve">Table 76 Safety distances according to </w:t>
      </w:r>
      <w:r w:rsidRPr="00EC75B7">
        <w:rPr>
          <w:rFonts w:ascii="Verdana" w:hAnsi="Verdana"/>
          <w:b/>
          <w:color w:val="00AFEF"/>
          <w:spacing w:val="-4"/>
          <w:sz w:val="18"/>
          <w:szCs w:val="18"/>
        </w:rPr>
        <w:t xml:space="preserve">ANRE </w:t>
      </w:r>
      <w:r w:rsidRPr="00EC75B7">
        <w:rPr>
          <w:rFonts w:ascii="Verdana" w:hAnsi="Verdana"/>
          <w:b/>
          <w:color w:val="00AFEF"/>
          <w:sz w:val="18"/>
          <w:szCs w:val="18"/>
        </w:rPr>
        <w:t>Technical Regulation</w:t>
      </w: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5389"/>
        <w:gridCol w:w="1842"/>
        <w:gridCol w:w="1419"/>
        <w:gridCol w:w="3971"/>
      </w:tblGrid>
      <w:tr w:rsidR="008715BE" w:rsidRPr="00EC75B7" w14:paraId="39DF6455" w14:textId="77777777">
        <w:trPr>
          <w:trHeight w:val="585"/>
        </w:trPr>
        <w:tc>
          <w:tcPr>
            <w:tcW w:w="2518" w:type="dxa"/>
            <w:shd w:val="clear" w:color="auto" w:fill="00AFEF"/>
          </w:tcPr>
          <w:p w14:paraId="16BE5D35" w14:textId="77777777" w:rsidR="008715BE" w:rsidRPr="00EC75B7" w:rsidRDefault="00000000">
            <w:pPr>
              <w:pStyle w:val="TableParagraph"/>
              <w:tabs>
                <w:tab w:val="left" w:pos="1364"/>
              </w:tabs>
              <w:ind w:left="105" w:right="95"/>
              <w:rPr>
                <w:rFonts w:ascii="Verdana" w:hAnsi="Verdana"/>
                <w:b/>
                <w:sz w:val="18"/>
                <w:szCs w:val="18"/>
              </w:rPr>
            </w:pPr>
            <w:r w:rsidRPr="00EC75B7">
              <w:rPr>
                <w:rFonts w:ascii="Verdana" w:hAnsi="Verdana"/>
                <w:b/>
                <w:color w:val="FFFFFF"/>
                <w:spacing w:val="-2"/>
                <w:sz w:val="18"/>
                <w:szCs w:val="18"/>
              </w:rPr>
              <w:t>Name</w:t>
            </w:r>
            <w:r w:rsidRPr="00EC75B7">
              <w:rPr>
                <w:rFonts w:ascii="Verdana" w:hAnsi="Verdana"/>
                <w:b/>
                <w:color w:val="FFFFFF"/>
                <w:sz w:val="18"/>
                <w:szCs w:val="18"/>
              </w:rPr>
              <w:tab/>
            </w:r>
            <w:r w:rsidRPr="00EC75B7">
              <w:rPr>
                <w:rFonts w:ascii="Verdana" w:hAnsi="Verdana"/>
                <w:b/>
                <w:color w:val="FFFFFF"/>
                <w:spacing w:val="-2"/>
                <w:sz w:val="18"/>
                <w:szCs w:val="18"/>
              </w:rPr>
              <w:t xml:space="preserve">of the facility </w:t>
            </w:r>
            <w:r w:rsidRPr="00EC75B7">
              <w:rPr>
                <w:rFonts w:ascii="Verdana" w:hAnsi="Verdana"/>
                <w:b/>
                <w:color w:val="FFFFFF"/>
                <w:sz w:val="18"/>
                <w:szCs w:val="18"/>
              </w:rPr>
              <w:t>adjacent to the wind farm</w:t>
            </w:r>
          </w:p>
        </w:tc>
        <w:tc>
          <w:tcPr>
            <w:tcW w:w="5389" w:type="dxa"/>
            <w:shd w:val="clear" w:color="auto" w:fill="00AFEF"/>
          </w:tcPr>
          <w:p w14:paraId="200A875B"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Safety distance </w:t>
            </w:r>
            <w:r w:rsidRPr="00EC75B7">
              <w:rPr>
                <w:rFonts w:ascii="Verdana" w:hAnsi="Verdana"/>
                <w:b/>
                <w:color w:val="FFFFFF"/>
                <w:spacing w:val="-5"/>
                <w:sz w:val="18"/>
                <w:szCs w:val="18"/>
              </w:rPr>
              <w:t>(m)</w:t>
            </w:r>
          </w:p>
        </w:tc>
        <w:tc>
          <w:tcPr>
            <w:tcW w:w="1842" w:type="dxa"/>
            <w:shd w:val="clear" w:color="auto" w:fill="00AFEF"/>
          </w:tcPr>
          <w:p w14:paraId="4EF78460" w14:textId="77777777" w:rsidR="008715BE" w:rsidRPr="00EC75B7" w:rsidRDefault="00000000">
            <w:pPr>
              <w:pStyle w:val="TableParagraph"/>
              <w:tabs>
                <w:tab w:val="left" w:pos="1064"/>
              </w:tabs>
              <w:spacing w:line="194" w:lineRule="exact"/>
              <w:ind w:left="105"/>
              <w:rPr>
                <w:rFonts w:ascii="Verdana" w:hAnsi="Verdana"/>
                <w:b/>
                <w:sz w:val="18"/>
                <w:szCs w:val="18"/>
              </w:rPr>
            </w:pPr>
            <w:r w:rsidRPr="00EC75B7">
              <w:rPr>
                <w:rFonts w:ascii="Verdana" w:hAnsi="Verdana"/>
                <w:b/>
                <w:color w:val="FFFFFF"/>
                <w:spacing w:val="-2"/>
                <w:sz w:val="18"/>
                <w:szCs w:val="18"/>
              </w:rPr>
              <w:t>Minimum</w:t>
            </w:r>
            <w:r w:rsidRPr="00EC75B7">
              <w:rPr>
                <w:rFonts w:ascii="Verdana" w:hAnsi="Verdana"/>
                <w:b/>
                <w:color w:val="FFFFFF"/>
                <w:sz w:val="18"/>
                <w:szCs w:val="18"/>
              </w:rPr>
              <w:tab/>
            </w:r>
            <w:r w:rsidRPr="00EC75B7">
              <w:rPr>
                <w:rFonts w:ascii="Verdana" w:hAnsi="Verdana"/>
                <w:b/>
                <w:color w:val="FFFFFF"/>
                <w:spacing w:val="-2"/>
                <w:sz w:val="18"/>
                <w:szCs w:val="18"/>
              </w:rPr>
              <w:t>minimum</w:t>
            </w:r>
          </w:p>
          <w:p w14:paraId="089E3A4F" w14:textId="77777777" w:rsidR="008715BE" w:rsidRPr="00EC75B7" w:rsidRDefault="00000000">
            <w:pPr>
              <w:pStyle w:val="TableParagraph"/>
              <w:spacing w:line="195" w:lineRule="exact"/>
              <w:ind w:left="105"/>
              <w:rPr>
                <w:rFonts w:ascii="Verdana" w:hAnsi="Verdana"/>
                <w:b/>
                <w:sz w:val="18"/>
                <w:szCs w:val="18"/>
              </w:rPr>
            </w:pPr>
            <w:r w:rsidRPr="00EC75B7">
              <w:rPr>
                <w:rFonts w:ascii="Verdana" w:hAnsi="Verdana"/>
                <w:b/>
                <w:color w:val="FFFFFF"/>
                <w:spacing w:val="-5"/>
                <w:sz w:val="18"/>
                <w:szCs w:val="18"/>
              </w:rPr>
              <w:t>(m)</w:t>
            </w:r>
          </w:p>
        </w:tc>
        <w:tc>
          <w:tcPr>
            <w:tcW w:w="1419" w:type="dxa"/>
            <w:shd w:val="clear" w:color="auto" w:fill="00AFEF"/>
          </w:tcPr>
          <w:p w14:paraId="392F9D99" w14:textId="77777777" w:rsidR="008715BE" w:rsidRPr="00EC75B7" w:rsidRDefault="00000000">
            <w:pPr>
              <w:pStyle w:val="TableParagraph"/>
              <w:tabs>
                <w:tab w:val="left" w:pos="1092"/>
              </w:tabs>
              <w:ind w:left="106" w:right="97"/>
              <w:rPr>
                <w:rFonts w:ascii="Verdana" w:hAnsi="Verdana"/>
                <w:b/>
                <w:sz w:val="18"/>
                <w:szCs w:val="18"/>
              </w:rPr>
            </w:pPr>
            <w:r w:rsidRPr="00EC75B7">
              <w:rPr>
                <w:rFonts w:ascii="Verdana" w:hAnsi="Verdana"/>
                <w:b/>
                <w:color w:val="FFFFFF"/>
                <w:spacing w:val="-2"/>
                <w:sz w:val="18"/>
                <w:szCs w:val="18"/>
              </w:rPr>
              <w:t>Safety</w:t>
            </w:r>
            <w:r w:rsidRPr="00EC75B7">
              <w:rPr>
                <w:rFonts w:ascii="Verdana" w:hAnsi="Verdana"/>
                <w:b/>
                <w:color w:val="FFFFFF"/>
                <w:sz w:val="18"/>
                <w:szCs w:val="18"/>
              </w:rPr>
              <w:tab/>
            </w:r>
            <w:r w:rsidRPr="00EC75B7">
              <w:rPr>
                <w:rFonts w:ascii="Verdana" w:hAnsi="Verdana"/>
                <w:b/>
                <w:color w:val="FFFFFF"/>
                <w:spacing w:val="-2"/>
                <w:sz w:val="18"/>
                <w:szCs w:val="18"/>
              </w:rPr>
              <w:t>Safety distance</w:t>
            </w:r>
          </w:p>
          <w:p w14:paraId="72BDD98F" w14:textId="77777777" w:rsidR="008715BE" w:rsidRPr="00EC75B7" w:rsidRDefault="00000000">
            <w:pPr>
              <w:pStyle w:val="TableParagraph"/>
              <w:spacing w:line="175" w:lineRule="exact"/>
              <w:ind w:left="106"/>
              <w:rPr>
                <w:rFonts w:ascii="Verdana" w:hAnsi="Verdana"/>
                <w:b/>
                <w:sz w:val="18"/>
                <w:szCs w:val="18"/>
              </w:rPr>
            </w:pPr>
            <w:r w:rsidRPr="00EC75B7">
              <w:rPr>
                <w:rFonts w:ascii="Verdana" w:hAnsi="Verdana"/>
                <w:b/>
                <w:color w:val="FFFFFF"/>
                <w:spacing w:val="-5"/>
                <w:sz w:val="18"/>
                <w:szCs w:val="18"/>
              </w:rPr>
              <w:t>(m)</w:t>
            </w:r>
          </w:p>
        </w:tc>
        <w:tc>
          <w:tcPr>
            <w:tcW w:w="3971" w:type="dxa"/>
            <w:shd w:val="clear" w:color="auto" w:fill="00AFEF"/>
          </w:tcPr>
          <w:p w14:paraId="78504120" w14:textId="77777777" w:rsidR="008715BE" w:rsidRPr="00EC75B7" w:rsidRDefault="00000000">
            <w:pPr>
              <w:pStyle w:val="TableParagraph"/>
              <w:ind w:left="105"/>
              <w:rPr>
                <w:rFonts w:ascii="Verdana" w:hAnsi="Verdana"/>
                <w:b/>
                <w:sz w:val="18"/>
                <w:szCs w:val="18"/>
              </w:rPr>
            </w:pPr>
            <w:r w:rsidRPr="00EC75B7">
              <w:rPr>
                <w:rFonts w:ascii="Verdana" w:hAnsi="Verdana"/>
                <w:b/>
                <w:color w:val="FFFFFF"/>
                <w:sz w:val="18"/>
                <w:szCs w:val="18"/>
              </w:rPr>
              <w:t xml:space="preserve">Distances from the turbines of the </w:t>
            </w:r>
            <w:r w:rsidRPr="00EC75B7">
              <w:rPr>
                <w:rFonts w:ascii="Verdana" w:hAnsi="Verdana"/>
                <w:b/>
                <w:color w:val="FFFFFF"/>
                <w:spacing w:val="-2"/>
                <w:sz w:val="18"/>
                <w:szCs w:val="18"/>
              </w:rPr>
              <w:t>Cerchezu</w:t>
            </w:r>
            <w:r w:rsidRPr="00EC75B7">
              <w:rPr>
                <w:rFonts w:ascii="Verdana" w:hAnsi="Verdana"/>
                <w:b/>
                <w:color w:val="FFFFFF"/>
                <w:sz w:val="18"/>
                <w:szCs w:val="18"/>
              </w:rPr>
              <w:t xml:space="preserve"> wind farm</w:t>
            </w:r>
          </w:p>
        </w:tc>
      </w:tr>
      <w:tr w:rsidR="008715BE" w:rsidRPr="00EC75B7" w14:paraId="4DBEA7B6" w14:textId="77777777">
        <w:trPr>
          <w:trHeight w:val="1944"/>
        </w:trPr>
        <w:tc>
          <w:tcPr>
            <w:tcW w:w="2518" w:type="dxa"/>
          </w:tcPr>
          <w:p w14:paraId="4A18E686" w14:textId="77777777" w:rsidR="008715BE" w:rsidRPr="00EC75B7" w:rsidRDefault="00000000">
            <w:pPr>
              <w:pStyle w:val="TableParagraph"/>
              <w:ind w:left="105" w:right="95"/>
              <w:jc w:val="both"/>
              <w:rPr>
                <w:rFonts w:ascii="Verdana" w:hAnsi="Verdana"/>
                <w:sz w:val="18"/>
                <w:szCs w:val="18"/>
              </w:rPr>
            </w:pPr>
            <w:r w:rsidRPr="00EC75B7">
              <w:rPr>
                <w:rFonts w:ascii="Verdana" w:hAnsi="Verdana"/>
                <w:sz w:val="18"/>
                <w:szCs w:val="18"/>
              </w:rPr>
              <w:t xml:space="preserve">Public roads of national or </w:t>
            </w:r>
            <w:r w:rsidRPr="00EC75B7">
              <w:rPr>
                <w:rFonts w:ascii="Verdana" w:hAnsi="Verdana"/>
                <w:spacing w:val="-2"/>
                <w:sz w:val="18"/>
                <w:szCs w:val="18"/>
              </w:rPr>
              <w:t>county</w:t>
            </w:r>
            <w:r w:rsidRPr="00EC75B7">
              <w:rPr>
                <w:rFonts w:ascii="Verdana" w:hAnsi="Verdana"/>
                <w:sz w:val="18"/>
                <w:szCs w:val="18"/>
              </w:rPr>
              <w:t xml:space="preserve"> interest</w:t>
            </w:r>
          </w:p>
        </w:tc>
        <w:tc>
          <w:tcPr>
            <w:tcW w:w="5389" w:type="dxa"/>
          </w:tcPr>
          <w:p w14:paraId="38506DC2"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H + 3 m, where H = tower height plus blade length H=165+85=250 m</w:t>
            </w:r>
          </w:p>
        </w:tc>
        <w:tc>
          <w:tcPr>
            <w:tcW w:w="1842" w:type="dxa"/>
          </w:tcPr>
          <w:p w14:paraId="008F8578" w14:textId="77777777" w:rsidR="008715BE" w:rsidRPr="00EC75B7" w:rsidRDefault="00000000">
            <w:pPr>
              <w:pStyle w:val="TableParagraph"/>
              <w:ind w:left="105" w:right="95"/>
              <w:jc w:val="both"/>
              <w:rPr>
                <w:rFonts w:ascii="Verdana" w:hAnsi="Verdana"/>
                <w:sz w:val="18"/>
                <w:szCs w:val="18"/>
              </w:rPr>
            </w:pPr>
            <w:r w:rsidRPr="00EC75B7">
              <w:rPr>
                <w:rFonts w:ascii="Verdana" w:hAnsi="Verdana"/>
                <w:sz w:val="18"/>
                <w:szCs w:val="18"/>
              </w:rPr>
              <w:t xml:space="preserve">The distance to the road axis shall not be less than 50 </w:t>
            </w:r>
            <w:r w:rsidRPr="00EC75B7">
              <w:rPr>
                <w:rFonts w:ascii="Verdana" w:hAnsi="Verdana"/>
                <w:spacing w:val="-10"/>
                <w:sz w:val="18"/>
                <w:szCs w:val="18"/>
              </w:rPr>
              <w:t>m</w:t>
            </w:r>
          </w:p>
        </w:tc>
        <w:tc>
          <w:tcPr>
            <w:tcW w:w="1419" w:type="dxa"/>
          </w:tcPr>
          <w:p w14:paraId="1D0005D7"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24ECDA42" w14:textId="77777777" w:rsidR="008715BE" w:rsidRPr="00EC75B7" w:rsidRDefault="00000000">
            <w:pPr>
              <w:pStyle w:val="TableParagraph"/>
              <w:ind w:left="105" w:right="423"/>
              <w:rPr>
                <w:rFonts w:ascii="Verdana" w:hAnsi="Verdana"/>
                <w:sz w:val="18"/>
                <w:szCs w:val="18"/>
              </w:rPr>
            </w:pPr>
            <w:r w:rsidRPr="00EC75B7">
              <w:rPr>
                <w:rFonts w:ascii="Verdana" w:hAnsi="Verdana"/>
                <w:sz w:val="18"/>
                <w:szCs w:val="18"/>
              </w:rPr>
              <w:t>T3 is located approximately 1.55 km from DN38 T5 is located approximately 466 m from DJ 391 T9 is located approximately 267 m from DJ 391 T8 is located approximately 461 m from DJ 391 T10 is located approximately 260 m from DJ 391 T12 is located approximately 717 m from DJ 391 T39 is located approximately 881 m from DJ 3919 T16 is located approximately 851 m from DJ 391 T32 is located approximately 260 m from DJ</w:t>
            </w:r>
            <w:r w:rsidRPr="00EC75B7">
              <w:rPr>
                <w:rFonts w:ascii="Verdana" w:hAnsi="Verdana"/>
                <w:spacing w:val="-4"/>
                <w:sz w:val="18"/>
                <w:szCs w:val="18"/>
              </w:rPr>
              <w:t xml:space="preserve"> 391A</w:t>
            </w:r>
          </w:p>
          <w:p w14:paraId="2D7DCA17" w14:textId="77777777" w:rsidR="008715BE" w:rsidRPr="00EC75B7" w:rsidRDefault="00000000">
            <w:pPr>
              <w:pStyle w:val="TableParagraph"/>
              <w:spacing w:line="168" w:lineRule="exact"/>
              <w:ind w:left="105"/>
              <w:rPr>
                <w:rFonts w:ascii="Verdana" w:hAnsi="Verdana"/>
                <w:sz w:val="18"/>
                <w:szCs w:val="18"/>
              </w:rPr>
            </w:pPr>
            <w:r w:rsidRPr="00EC75B7">
              <w:rPr>
                <w:rFonts w:ascii="Verdana" w:hAnsi="Verdana"/>
                <w:sz w:val="18"/>
                <w:szCs w:val="18"/>
              </w:rPr>
              <w:t>T32 is located approximately 680 m from DJ</w:t>
            </w:r>
            <w:r w:rsidRPr="00EC75B7">
              <w:rPr>
                <w:rFonts w:ascii="Verdana" w:hAnsi="Verdana"/>
                <w:spacing w:val="-4"/>
                <w:sz w:val="18"/>
                <w:szCs w:val="18"/>
              </w:rPr>
              <w:t xml:space="preserve"> 391A</w:t>
            </w:r>
          </w:p>
        </w:tc>
      </w:tr>
      <w:tr w:rsidR="008715BE" w:rsidRPr="00EC75B7" w14:paraId="6F215228" w14:textId="77777777">
        <w:trPr>
          <w:trHeight w:val="1360"/>
        </w:trPr>
        <w:tc>
          <w:tcPr>
            <w:tcW w:w="2518" w:type="dxa"/>
          </w:tcPr>
          <w:p w14:paraId="2634E106" w14:textId="77777777" w:rsidR="008715BE" w:rsidRPr="00EC75B7" w:rsidRDefault="00000000">
            <w:pPr>
              <w:pStyle w:val="TableParagraph"/>
              <w:ind w:left="105" w:right="95"/>
              <w:rPr>
                <w:rFonts w:ascii="Verdana" w:hAnsi="Verdana"/>
                <w:sz w:val="18"/>
                <w:szCs w:val="18"/>
              </w:rPr>
            </w:pPr>
            <w:r w:rsidRPr="00EC75B7">
              <w:rPr>
                <w:rFonts w:ascii="Verdana" w:hAnsi="Verdana"/>
                <w:sz w:val="18"/>
                <w:szCs w:val="18"/>
              </w:rPr>
              <w:t>Municipal public roads, local public roads</w:t>
            </w:r>
          </w:p>
        </w:tc>
        <w:tc>
          <w:tcPr>
            <w:tcW w:w="5389" w:type="dxa"/>
          </w:tcPr>
          <w:p w14:paraId="55A9748D"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Equal to the length of </w:t>
            </w:r>
            <w:r w:rsidRPr="00EC75B7">
              <w:rPr>
                <w:rFonts w:ascii="Verdana" w:hAnsi="Verdana"/>
                <w:spacing w:val="-4"/>
                <w:sz w:val="18"/>
                <w:szCs w:val="18"/>
              </w:rPr>
              <w:t>a shovel</w:t>
            </w:r>
          </w:p>
        </w:tc>
        <w:tc>
          <w:tcPr>
            <w:tcW w:w="1842" w:type="dxa"/>
          </w:tcPr>
          <w:p w14:paraId="60E9291A" w14:textId="77777777" w:rsidR="008715BE" w:rsidRPr="00EC75B7" w:rsidRDefault="00000000">
            <w:pPr>
              <w:pStyle w:val="TableParagraph"/>
              <w:ind w:left="105" w:right="14"/>
              <w:rPr>
                <w:rFonts w:ascii="Verdana" w:hAnsi="Verdana"/>
                <w:sz w:val="18"/>
                <w:szCs w:val="18"/>
              </w:rPr>
            </w:pPr>
            <w:r w:rsidRPr="00EC75B7">
              <w:rPr>
                <w:rFonts w:ascii="Verdana" w:hAnsi="Verdana"/>
                <w:sz w:val="18"/>
                <w:szCs w:val="18"/>
              </w:rPr>
              <w:t xml:space="preserve">Not less than 30 </w:t>
            </w:r>
            <w:r w:rsidRPr="00EC75B7">
              <w:rPr>
                <w:rFonts w:ascii="Verdana" w:hAnsi="Verdana"/>
                <w:spacing w:val="-10"/>
                <w:sz w:val="18"/>
                <w:szCs w:val="18"/>
              </w:rPr>
              <w:t>m</w:t>
            </w:r>
          </w:p>
        </w:tc>
        <w:tc>
          <w:tcPr>
            <w:tcW w:w="1419" w:type="dxa"/>
          </w:tcPr>
          <w:p w14:paraId="6BDAA927"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85</w:t>
            </w:r>
          </w:p>
        </w:tc>
        <w:tc>
          <w:tcPr>
            <w:tcW w:w="3971" w:type="dxa"/>
          </w:tcPr>
          <w:p w14:paraId="3E982DC9" w14:textId="77777777" w:rsidR="008715BE" w:rsidRPr="00EC75B7" w:rsidRDefault="00000000">
            <w:pPr>
              <w:pStyle w:val="TableParagraph"/>
              <w:ind w:left="105" w:right="596"/>
              <w:jc w:val="both"/>
              <w:rPr>
                <w:rFonts w:ascii="Verdana" w:hAnsi="Verdana"/>
                <w:sz w:val="18"/>
                <w:szCs w:val="18"/>
              </w:rPr>
            </w:pPr>
            <w:r w:rsidRPr="00EC75B7">
              <w:rPr>
                <w:rFonts w:ascii="Verdana" w:hAnsi="Verdana"/>
                <w:sz w:val="18"/>
                <w:szCs w:val="18"/>
              </w:rPr>
              <w:t>T40 is located approximately 686 m from DC 19 T41 is located approximately 384 m from DC 19 T34 is located approximately 634 m from DC 18 T37 is located approximately 352 m from DC 18 T31 is located approximately 167 m from DC 17 T29 is locatedapproximately 424 m from DC</w:t>
            </w:r>
            <w:r w:rsidRPr="00EC75B7">
              <w:rPr>
                <w:rFonts w:ascii="Verdana" w:hAnsi="Verdana"/>
                <w:spacing w:val="-5"/>
                <w:sz w:val="18"/>
                <w:szCs w:val="18"/>
              </w:rPr>
              <w:t xml:space="preserve"> 17</w:t>
            </w:r>
          </w:p>
        </w:tc>
      </w:tr>
      <w:tr w:rsidR="008715BE" w:rsidRPr="00EC75B7" w14:paraId="2D9AF055" w14:textId="77777777">
        <w:trPr>
          <w:trHeight w:val="777"/>
        </w:trPr>
        <w:tc>
          <w:tcPr>
            <w:tcW w:w="2518" w:type="dxa"/>
          </w:tcPr>
          <w:p w14:paraId="6C59B613"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Railways</w:t>
            </w:r>
          </w:p>
        </w:tc>
        <w:tc>
          <w:tcPr>
            <w:tcW w:w="5389" w:type="dxa"/>
          </w:tcPr>
          <w:p w14:paraId="48AAE652"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tower height plus </w:t>
            </w:r>
            <w:r w:rsidRPr="00EC75B7">
              <w:rPr>
                <w:rFonts w:ascii="Verdana" w:hAnsi="Verdana"/>
                <w:spacing w:val="-4"/>
                <w:sz w:val="18"/>
                <w:szCs w:val="18"/>
              </w:rPr>
              <w:t xml:space="preserve">blade </w:t>
            </w:r>
            <w:r w:rsidRPr="00EC75B7">
              <w:rPr>
                <w:rFonts w:ascii="Verdana" w:hAnsi="Verdana"/>
                <w:sz w:val="18"/>
                <w:szCs w:val="18"/>
              </w:rPr>
              <w:t>length</w:t>
            </w:r>
          </w:p>
        </w:tc>
        <w:tc>
          <w:tcPr>
            <w:tcW w:w="1842" w:type="dxa"/>
          </w:tcPr>
          <w:p w14:paraId="5F52B586" w14:textId="77777777" w:rsidR="008715BE" w:rsidRPr="00EC75B7" w:rsidRDefault="00000000">
            <w:pPr>
              <w:pStyle w:val="TableParagraph"/>
              <w:ind w:left="105" w:right="95"/>
              <w:jc w:val="both"/>
              <w:rPr>
                <w:rFonts w:ascii="Verdana" w:hAnsi="Verdana"/>
                <w:sz w:val="18"/>
                <w:szCs w:val="18"/>
              </w:rPr>
            </w:pPr>
            <w:r w:rsidRPr="00EC75B7">
              <w:rPr>
                <w:rFonts w:ascii="Verdana" w:hAnsi="Verdana"/>
                <w:sz w:val="18"/>
                <w:szCs w:val="18"/>
              </w:rPr>
              <w:t xml:space="preserve">The distance to the railway axis shall not be less </w:t>
            </w:r>
            <w:r w:rsidRPr="00EC75B7">
              <w:rPr>
                <w:rFonts w:ascii="Verdana" w:hAnsi="Verdana"/>
                <w:spacing w:val="-5"/>
                <w:sz w:val="18"/>
                <w:szCs w:val="18"/>
              </w:rPr>
              <w:t>than</w:t>
            </w:r>
          </w:p>
          <w:p w14:paraId="030AB870" w14:textId="77777777" w:rsidR="008715BE" w:rsidRPr="00EC75B7" w:rsidRDefault="00000000">
            <w:pPr>
              <w:pStyle w:val="TableParagraph"/>
              <w:spacing w:line="172" w:lineRule="exact"/>
              <w:ind w:left="105"/>
              <w:jc w:val="both"/>
              <w:rPr>
                <w:rFonts w:ascii="Verdana" w:hAnsi="Verdana"/>
                <w:sz w:val="18"/>
                <w:szCs w:val="18"/>
              </w:rPr>
            </w:pPr>
            <w:r w:rsidRPr="00EC75B7">
              <w:rPr>
                <w:rFonts w:ascii="Verdana" w:hAnsi="Verdana"/>
                <w:sz w:val="18"/>
                <w:szCs w:val="18"/>
              </w:rPr>
              <w:t xml:space="preserve">100 </w:t>
            </w:r>
            <w:r w:rsidRPr="00EC75B7">
              <w:rPr>
                <w:rFonts w:ascii="Verdana" w:hAnsi="Verdana"/>
                <w:spacing w:val="-10"/>
                <w:sz w:val="18"/>
                <w:szCs w:val="18"/>
              </w:rPr>
              <w:t>m</w:t>
            </w:r>
          </w:p>
        </w:tc>
        <w:tc>
          <w:tcPr>
            <w:tcW w:w="1419" w:type="dxa"/>
          </w:tcPr>
          <w:p w14:paraId="4D526399"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6CC3C64A" w14:textId="77777777" w:rsidR="008715BE" w:rsidRPr="00EC75B7" w:rsidRDefault="00000000">
            <w:pPr>
              <w:pStyle w:val="TableParagraph"/>
              <w:ind w:left="105" w:right="172"/>
              <w:rPr>
                <w:rFonts w:ascii="Verdana" w:hAnsi="Verdana"/>
                <w:sz w:val="18"/>
                <w:szCs w:val="18"/>
              </w:rPr>
            </w:pPr>
            <w:r w:rsidRPr="00EC75B7">
              <w:rPr>
                <w:rFonts w:ascii="Verdana" w:hAnsi="Verdana"/>
                <w:sz w:val="18"/>
                <w:szCs w:val="18"/>
              </w:rPr>
              <w:t>Not applicable. There are no railway lines in the project area.</w:t>
            </w:r>
          </w:p>
        </w:tc>
      </w:tr>
      <w:tr w:rsidR="008715BE" w:rsidRPr="00EC75B7" w14:paraId="52F5F395" w14:textId="77777777">
        <w:trPr>
          <w:trHeight w:val="1946"/>
        </w:trPr>
        <w:tc>
          <w:tcPr>
            <w:tcW w:w="2518" w:type="dxa"/>
          </w:tcPr>
          <w:p w14:paraId="2C02B2A4" w14:textId="77777777" w:rsidR="008715BE" w:rsidRPr="00EC75B7" w:rsidRDefault="00000000">
            <w:pPr>
              <w:pStyle w:val="TableParagraph"/>
              <w:spacing w:before="1"/>
              <w:ind w:left="105"/>
              <w:rPr>
                <w:rFonts w:ascii="Verdana" w:hAnsi="Verdana"/>
                <w:sz w:val="18"/>
                <w:szCs w:val="18"/>
              </w:rPr>
            </w:pPr>
            <w:r w:rsidRPr="00EC75B7">
              <w:rPr>
                <w:rFonts w:ascii="Verdana" w:hAnsi="Verdana"/>
                <w:spacing w:val="-2"/>
                <w:sz w:val="18"/>
                <w:szCs w:val="18"/>
              </w:rPr>
              <w:lastRenderedPageBreak/>
              <w:t xml:space="preserve">Power </w:t>
            </w:r>
            <w:r w:rsidRPr="00EC75B7">
              <w:rPr>
                <w:rFonts w:ascii="Verdana" w:hAnsi="Verdana"/>
                <w:sz w:val="18"/>
                <w:szCs w:val="18"/>
              </w:rPr>
              <w:t>lines</w:t>
            </w:r>
          </w:p>
        </w:tc>
        <w:tc>
          <w:tcPr>
            <w:tcW w:w="5389" w:type="dxa"/>
          </w:tcPr>
          <w:p w14:paraId="7E8BF52C"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 xml:space="preserve">H + 3 m, where H = the height of the pylon plus the length </w:t>
            </w:r>
            <w:r w:rsidRPr="00EC75B7">
              <w:rPr>
                <w:rFonts w:ascii="Verdana" w:hAnsi="Verdana"/>
                <w:spacing w:val="-4"/>
                <w:sz w:val="18"/>
                <w:szCs w:val="18"/>
              </w:rPr>
              <w:t>of the blade</w:t>
            </w:r>
          </w:p>
        </w:tc>
        <w:tc>
          <w:tcPr>
            <w:tcW w:w="1842" w:type="dxa"/>
          </w:tcPr>
          <w:p w14:paraId="5A4990A5" w14:textId="77777777" w:rsidR="008715BE" w:rsidRPr="00EC75B7" w:rsidRDefault="00000000">
            <w:pPr>
              <w:pStyle w:val="TableParagraph"/>
              <w:spacing w:before="1"/>
              <w:ind w:left="105"/>
              <w:rPr>
                <w:rFonts w:ascii="Verdana" w:hAnsi="Verdana"/>
                <w:sz w:val="18"/>
                <w:szCs w:val="18"/>
              </w:rPr>
            </w:pPr>
            <w:r w:rsidRPr="00EC75B7">
              <w:rPr>
                <w:rFonts w:ascii="Verdana" w:hAnsi="Verdana"/>
                <w:sz w:val="18"/>
                <w:szCs w:val="18"/>
              </w:rPr>
              <w:t>-</w:t>
            </w:r>
          </w:p>
        </w:tc>
        <w:tc>
          <w:tcPr>
            <w:tcW w:w="1419" w:type="dxa"/>
          </w:tcPr>
          <w:p w14:paraId="533EE6ED" w14:textId="77777777" w:rsidR="008715BE" w:rsidRPr="00EC75B7" w:rsidRDefault="00000000">
            <w:pPr>
              <w:pStyle w:val="TableParagraph"/>
              <w:spacing w:before="1"/>
              <w:ind w:left="106"/>
              <w:rPr>
                <w:rFonts w:ascii="Verdana" w:hAnsi="Verdana"/>
                <w:sz w:val="18"/>
                <w:szCs w:val="18"/>
              </w:rPr>
            </w:pPr>
            <w:r w:rsidRPr="00EC75B7">
              <w:rPr>
                <w:rFonts w:ascii="Verdana" w:hAnsi="Verdana"/>
                <w:spacing w:val="-5"/>
                <w:sz w:val="18"/>
                <w:szCs w:val="18"/>
              </w:rPr>
              <w:t>253</w:t>
            </w:r>
          </w:p>
        </w:tc>
        <w:tc>
          <w:tcPr>
            <w:tcW w:w="3971" w:type="dxa"/>
          </w:tcPr>
          <w:p w14:paraId="2F2DFBE6" w14:textId="77777777" w:rsidR="008715BE" w:rsidRPr="00EC75B7" w:rsidRDefault="00000000">
            <w:pPr>
              <w:pStyle w:val="TableParagraph"/>
              <w:spacing w:before="1"/>
              <w:ind w:left="105" w:right="899"/>
              <w:rPr>
                <w:rFonts w:ascii="Verdana" w:hAnsi="Verdana"/>
                <w:sz w:val="18"/>
                <w:szCs w:val="18"/>
              </w:rPr>
            </w:pPr>
            <w:r w:rsidRPr="00EC75B7">
              <w:rPr>
                <w:rFonts w:ascii="Verdana" w:hAnsi="Verdana"/>
                <w:sz w:val="18"/>
                <w:szCs w:val="18"/>
              </w:rPr>
              <w:t xml:space="preserve">T40 is located approximately 680 m from LE </w:t>
            </w:r>
            <w:r w:rsidRPr="00EC75B7">
              <w:rPr>
                <w:rFonts w:ascii="Verdana" w:hAnsi="Verdana"/>
                <w:spacing w:val="-2"/>
                <w:sz w:val="18"/>
                <w:szCs w:val="18"/>
              </w:rPr>
              <w:t>Cerchezu-Măgura</w:t>
            </w:r>
          </w:p>
          <w:p w14:paraId="12256C51" w14:textId="77777777" w:rsidR="008715BE" w:rsidRPr="00EC75B7" w:rsidRDefault="00000000">
            <w:pPr>
              <w:pStyle w:val="TableParagraph"/>
              <w:ind w:left="105" w:right="899"/>
              <w:rPr>
                <w:rFonts w:ascii="Verdana" w:hAnsi="Verdana"/>
                <w:sz w:val="18"/>
                <w:szCs w:val="18"/>
              </w:rPr>
            </w:pPr>
            <w:r w:rsidRPr="00EC75B7">
              <w:rPr>
                <w:rFonts w:ascii="Verdana" w:hAnsi="Verdana"/>
                <w:sz w:val="18"/>
                <w:szCs w:val="18"/>
              </w:rPr>
              <w:t xml:space="preserve">T41 is located approximately 384 m from LE </w:t>
            </w:r>
            <w:r w:rsidRPr="00EC75B7">
              <w:rPr>
                <w:rFonts w:ascii="Verdana" w:hAnsi="Verdana"/>
                <w:spacing w:val="-2"/>
                <w:sz w:val="18"/>
                <w:szCs w:val="18"/>
              </w:rPr>
              <w:t>Cerchezu-Măgura</w:t>
            </w:r>
          </w:p>
          <w:p w14:paraId="40B91706" w14:textId="77777777" w:rsidR="008715BE" w:rsidRPr="00EC75B7" w:rsidRDefault="00000000">
            <w:pPr>
              <w:pStyle w:val="TableParagraph"/>
              <w:ind w:left="105" w:right="172"/>
              <w:rPr>
                <w:rFonts w:ascii="Verdana" w:hAnsi="Verdana"/>
                <w:sz w:val="18"/>
                <w:szCs w:val="18"/>
              </w:rPr>
            </w:pPr>
            <w:r w:rsidRPr="00EC75B7">
              <w:rPr>
                <w:rFonts w:ascii="Verdana" w:hAnsi="Verdana"/>
                <w:sz w:val="18"/>
                <w:szCs w:val="18"/>
              </w:rPr>
              <w:t xml:space="preserve">T37 is located approximately 305 m from LE </w:t>
            </w:r>
            <w:r w:rsidRPr="00EC75B7">
              <w:rPr>
                <w:rFonts w:ascii="Verdana" w:hAnsi="Verdana"/>
                <w:spacing w:val="-2"/>
                <w:sz w:val="18"/>
                <w:szCs w:val="18"/>
              </w:rPr>
              <w:t>Măgura-Viroaga</w:t>
            </w:r>
          </w:p>
          <w:p w14:paraId="17B5127B" w14:textId="77777777" w:rsidR="008715BE" w:rsidRPr="00EC75B7" w:rsidRDefault="00000000">
            <w:pPr>
              <w:pStyle w:val="TableParagraph"/>
              <w:ind w:left="105" w:right="172"/>
              <w:rPr>
                <w:rFonts w:ascii="Verdana" w:hAnsi="Verdana"/>
                <w:sz w:val="18"/>
                <w:szCs w:val="18"/>
              </w:rPr>
            </w:pPr>
            <w:r w:rsidRPr="00EC75B7">
              <w:rPr>
                <w:rFonts w:ascii="Verdana" w:hAnsi="Verdana"/>
                <w:sz w:val="18"/>
                <w:szCs w:val="18"/>
              </w:rPr>
              <w:t xml:space="preserve">T34 is located approximately 588 m from LE </w:t>
            </w:r>
            <w:r w:rsidRPr="00EC75B7">
              <w:rPr>
                <w:rFonts w:ascii="Verdana" w:hAnsi="Verdana"/>
                <w:spacing w:val="-2"/>
                <w:sz w:val="18"/>
                <w:szCs w:val="18"/>
              </w:rPr>
              <w:t>Măgura-Viroaga</w:t>
            </w:r>
          </w:p>
          <w:p w14:paraId="1892AF3C" w14:textId="77777777" w:rsidR="008715BE" w:rsidRPr="00EC75B7" w:rsidRDefault="00000000">
            <w:pPr>
              <w:pStyle w:val="TableParagraph"/>
              <w:spacing w:line="193" w:lineRule="exact"/>
              <w:ind w:left="105"/>
              <w:rPr>
                <w:rFonts w:ascii="Verdana" w:hAnsi="Verdana"/>
                <w:sz w:val="18"/>
                <w:szCs w:val="18"/>
              </w:rPr>
            </w:pPr>
            <w:r w:rsidRPr="00EC75B7">
              <w:rPr>
                <w:rFonts w:ascii="Verdana" w:hAnsi="Verdana"/>
                <w:sz w:val="18"/>
                <w:szCs w:val="18"/>
              </w:rPr>
              <w:t xml:space="preserve">T32 is located approximately 630 m from LE </w:t>
            </w:r>
            <w:r w:rsidRPr="00EC75B7">
              <w:rPr>
                <w:rFonts w:ascii="Verdana" w:hAnsi="Verdana"/>
                <w:spacing w:val="-2"/>
                <w:sz w:val="18"/>
                <w:szCs w:val="18"/>
              </w:rPr>
              <w:t>Viroaga-</w:t>
            </w:r>
          </w:p>
          <w:p w14:paraId="4E594D43"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Olteni</w:t>
            </w:r>
          </w:p>
        </w:tc>
      </w:tr>
      <w:tr w:rsidR="008715BE" w:rsidRPr="00EC75B7" w14:paraId="27AB7C30" w14:textId="77777777">
        <w:trPr>
          <w:trHeight w:val="388"/>
        </w:trPr>
        <w:tc>
          <w:tcPr>
            <w:tcW w:w="2518" w:type="dxa"/>
          </w:tcPr>
          <w:p w14:paraId="408E78B7" w14:textId="77777777" w:rsidR="008715BE" w:rsidRPr="00EC75B7" w:rsidRDefault="00000000">
            <w:pPr>
              <w:pStyle w:val="TableParagraph"/>
              <w:tabs>
                <w:tab w:val="left" w:pos="1022"/>
                <w:tab w:val="left" w:pos="2214"/>
              </w:tabs>
              <w:spacing w:line="194" w:lineRule="exact"/>
              <w:ind w:left="105"/>
              <w:rPr>
                <w:rFonts w:ascii="Verdana" w:hAnsi="Verdana"/>
                <w:sz w:val="18"/>
                <w:szCs w:val="18"/>
              </w:rPr>
            </w:pPr>
            <w:r w:rsidRPr="00EC75B7">
              <w:rPr>
                <w:rFonts w:ascii="Verdana" w:hAnsi="Verdana"/>
                <w:spacing w:val="-4"/>
                <w:sz w:val="18"/>
                <w:szCs w:val="18"/>
              </w:rPr>
              <w:t>Aerial</w:t>
            </w:r>
            <w:r w:rsidRPr="00EC75B7">
              <w:rPr>
                <w:rFonts w:ascii="Verdana" w:hAnsi="Verdana"/>
                <w:sz w:val="18"/>
                <w:szCs w:val="18"/>
              </w:rPr>
              <w:tab/>
            </w:r>
            <w:r w:rsidRPr="00EC75B7">
              <w:rPr>
                <w:rFonts w:ascii="Verdana" w:hAnsi="Verdana"/>
                <w:spacing w:val="-2"/>
                <w:sz w:val="18"/>
                <w:szCs w:val="18"/>
              </w:rPr>
              <w:t>overhead</w:t>
            </w:r>
            <w:r w:rsidRPr="00EC75B7">
              <w:rPr>
                <w:rFonts w:ascii="Verdana" w:hAnsi="Verdana"/>
                <w:sz w:val="18"/>
                <w:szCs w:val="18"/>
              </w:rPr>
              <w:tab/>
            </w:r>
            <w:r w:rsidRPr="00EC75B7">
              <w:rPr>
                <w:rFonts w:ascii="Verdana" w:hAnsi="Verdana"/>
                <w:spacing w:val="-5"/>
                <w:sz w:val="18"/>
                <w:szCs w:val="18"/>
              </w:rPr>
              <w:t>telecommunications</w:t>
            </w:r>
          </w:p>
          <w:p w14:paraId="34B9D94D"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telecommunications</w:t>
            </w:r>
          </w:p>
        </w:tc>
        <w:tc>
          <w:tcPr>
            <w:tcW w:w="5389" w:type="dxa"/>
          </w:tcPr>
          <w:p w14:paraId="58D22A20"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the height of the tower plus the length </w:t>
            </w:r>
            <w:r w:rsidRPr="00EC75B7">
              <w:rPr>
                <w:rFonts w:ascii="Verdana" w:hAnsi="Verdana"/>
                <w:spacing w:val="-4"/>
                <w:sz w:val="18"/>
                <w:szCs w:val="18"/>
              </w:rPr>
              <w:t>of the blade</w:t>
            </w:r>
          </w:p>
        </w:tc>
        <w:tc>
          <w:tcPr>
            <w:tcW w:w="1842" w:type="dxa"/>
          </w:tcPr>
          <w:p w14:paraId="11A6EE96"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4C1BA59E"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5BAD6FEB"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r>
      <w:tr w:rsidR="008715BE" w:rsidRPr="00EC75B7" w14:paraId="08F4467E" w14:textId="77777777">
        <w:trPr>
          <w:trHeight w:val="582"/>
        </w:trPr>
        <w:tc>
          <w:tcPr>
            <w:tcW w:w="2518" w:type="dxa"/>
          </w:tcPr>
          <w:p w14:paraId="78C813E7" w14:textId="77777777" w:rsidR="008715BE" w:rsidRPr="00EC75B7" w:rsidRDefault="00000000">
            <w:pPr>
              <w:pStyle w:val="TableParagraph"/>
              <w:ind w:left="105" w:right="95"/>
              <w:rPr>
                <w:rFonts w:ascii="Verdana" w:hAnsi="Verdana"/>
                <w:sz w:val="18"/>
                <w:szCs w:val="18"/>
              </w:rPr>
            </w:pPr>
            <w:r w:rsidRPr="00EC75B7">
              <w:rPr>
                <w:rFonts w:ascii="Verdana" w:hAnsi="Verdana"/>
                <w:sz w:val="18"/>
                <w:szCs w:val="18"/>
              </w:rPr>
              <w:t>Above-ground pipes carrying flammable fluids</w:t>
            </w:r>
          </w:p>
        </w:tc>
        <w:tc>
          <w:tcPr>
            <w:tcW w:w="5389" w:type="dxa"/>
          </w:tcPr>
          <w:p w14:paraId="2EB07649"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 xml:space="preserve">H + 3 m, where H = height of the pole x 1.5 plus the length of the blade If the target is fenced, the safety distance is </w:t>
            </w:r>
            <w:r w:rsidRPr="00EC75B7">
              <w:rPr>
                <w:rFonts w:ascii="Verdana" w:hAnsi="Verdana"/>
                <w:spacing w:val="-2"/>
                <w:sz w:val="18"/>
                <w:szCs w:val="18"/>
              </w:rPr>
              <w:t>measured</w:t>
            </w:r>
          </w:p>
          <w:p w14:paraId="42B6A19D"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z w:val="18"/>
                <w:szCs w:val="18"/>
              </w:rPr>
              <w:t xml:space="preserve">to the </w:t>
            </w:r>
            <w:r w:rsidRPr="00EC75B7">
              <w:rPr>
                <w:rFonts w:ascii="Verdana" w:hAnsi="Verdana"/>
                <w:spacing w:val="-2"/>
                <w:sz w:val="18"/>
                <w:szCs w:val="18"/>
              </w:rPr>
              <w:t>fence</w:t>
            </w:r>
          </w:p>
        </w:tc>
        <w:tc>
          <w:tcPr>
            <w:tcW w:w="1842" w:type="dxa"/>
          </w:tcPr>
          <w:p w14:paraId="7362EEBB"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356D6EF3"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4"/>
                <w:sz w:val="18"/>
                <w:szCs w:val="18"/>
              </w:rPr>
              <w:t>332.5</w:t>
            </w:r>
          </w:p>
        </w:tc>
        <w:tc>
          <w:tcPr>
            <w:tcW w:w="3971" w:type="dxa"/>
          </w:tcPr>
          <w:p w14:paraId="42463339"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Not applicable. No above-ground pipelines for flammable fluids have been identified in the project area</w:t>
            </w:r>
          </w:p>
          <w:p w14:paraId="1A27EE79"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pacing w:val="-2"/>
                <w:sz w:val="18"/>
                <w:szCs w:val="18"/>
              </w:rPr>
              <w:t>in the project area</w:t>
            </w:r>
          </w:p>
        </w:tc>
      </w:tr>
      <w:tr w:rsidR="008715BE" w:rsidRPr="00EC75B7" w14:paraId="11F79EBB" w14:textId="77777777">
        <w:trPr>
          <w:trHeight w:val="780"/>
        </w:trPr>
        <w:tc>
          <w:tcPr>
            <w:tcW w:w="2518" w:type="dxa"/>
          </w:tcPr>
          <w:p w14:paraId="1E40FB89" w14:textId="77777777" w:rsidR="008715BE" w:rsidRPr="00EC75B7" w:rsidRDefault="00000000">
            <w:pPr>
              <w:pStyle w:val="TableParagraph"/>
              <w:ind w:left="105" w:right="95"/>
              <w:jc w:val="both"/>
              <w:rPr>
                <w:rFonts w:ascii="Verdana" w:hAnsi="Verdana"/>
                <w:sz w:val="18"/>
                <w:szCs w:val="18"/>
              </w:rPr>
            </w:pPr>
            <w:r w:rsidRPr="00EC75B7">
              <w:rPr>
                <w:rFonts w:ascii="Verdana" w:hAnsi="Verdana"/>
                <w:sz w:val="18"/>
                <w:szCs w:val="18"/>
              </w:rPr>
              <w:t xml:space="preserve">Oil </w:t>
            </w:r>
            <w:r w:rsidRPr="00EC75B7">
              <w:rPr>
                <w:rFonts w:ascii="Verdana" w:hAnsi="Verdana"/>
                <w:spacing w:val="-2"/>
                <w:sz w:val="18"/>
                <w:szCs w:val="18"/>
              </w:rPr>
              <w:t xml:space="preserve">and natural gas </w:t>
            </w:r>
            <w:r w:rsidRPr="00EC75B7">
              <w:rPr>
                <w:rFonts w:ascii="Verdana" w:hAnsi="Verdana"/>
                <w:sz w:val="18"/>
                <w:szCs w:val="18"/>
              </w:rPr>
              <w:t>extraction facilities</w:t>
            </w:r>
            <w:r w:rsidRPr="00EC75B7">
              <w:rPr>
                <w:rFonts w:ascii="Verdana" w:hAnsi="Verdana"/>
                <w:spacing w:val="-2"/>
                <w:sz w:val="18"/>
                <w:szCs w:val="18"/>
              </w:rPr>
              <w:t xml:space="preserve">, </w:t>
            </w:r>
            <w:r w:rsidRPr="00EC75B7">
              <w:rPr>
                <w:rFonts w:ascii="Verdana" w:hAnsi="Verdana"/>
                <w:sz w:val="18"/>
                <w:szCs w:val="18"/>
              </w:rPr>
              <w:t>oil</w:t>
            </w:r>
            <w:r w:rsidRPr="00EC75B7">
              <w:rPr>
                <w:rFonts w:ascii="Verdana" w:hAnsi="Verdana"/>
                <w:spacing w:val="-2"/>
                <w:sz w:val="18"/>
                <w:szCs w:val="18"/>
              </w:rPr>
              <w:t xml:space="preserve"> pumping</w:t>
            </w:r>
            <w:r w:rsidRPr="00EC75B7">
              <w:rPr>
                <w:rFonts w:ascii="Verdana" w:hAnsi="Verdana"/>
                <w:sz w:val="18"/>
                <w:szCs w:val="18"/>
              </w:rPr>
              <w:t>,</w:t>
            </w:r>
            <w:r w:rsidRPr="00EC75B7">
              <w:rPr>
                <w:rFonts w:ascii="Verdana" w:hAnsi="Verdana"/>
                <w:spacing w:val="51"/>
                <w:sz w:val="18"/>
                <w:szCs w:val="18"/>
              </w:rPr>
              <w:t xml:space="preserve">  </w:t>
            </w:r>
            <w:r w:rsidRPr="00EC75B7">
              <w:rPr>
                <w:rFonts w:ascii="Verdana" w:hAnsi="Verdana"/>
                <w:sz w:val="18"/>
                <w:szCs w:val="18"/>
              </w:rPr>
              <w:t xml:space="preserve"> stations</w:t>
            </w:r>
            <w:r w:rsidRPr="00EC75B7">
              <w:rPr>
                <w:rFonts w:ascii="Verdana" w:hAnsi="Verdana"/>
                <w:spacing w:val="51"/>
                <w:sz w:val="18"/>
                <w:szCs w:val="18"/>
              </w:rPr>
              <w:t xml:space="preserve">  </w:t>
            </w:r>
            <w:r w:rsidRPr="00EC75B7">
              <w:rPr>
                <w:rFonts w:ascii="Verdana" w:hAnsi="Verdana"/>
                <w:sz w:val="18"/>
                <w:szCs w:val="18"/>
              </w:rPr>
              <w:t xml:space="preserve"> </w:t>
            </w:r>
            <w:r w:rsidRPr="00EC75B7">
              <w:rPr>
                <w:rFonts w:ascii="Verdana" w:hAnsi="Verdana"/>
                <w:spacing w:val="51"/>
                <w:sz w:val="18"/>
                <w:szCs w:val="18"/>
              </w:rPr>
              <w:t xml:space="preserve">  </w:t>
            </w:r>
            <w:r w:rsidRPr="00EC75B7">
              <w:rPr>
                <w:rFonts w:ascii="Verdana" w:hAnsi="Verdana"/>
                <w:spacing w:val="-2"/>
                <w:sz w:val="18"/>
                <w:szCs w:val="18"/>
              </w:rPr>
              <w:t xml:space="preserve"> regulation</w:t>
            </w:r>
          </w:p>
          <w:p w14:paraId="3DFE6D3E" w14:textId="77777777" w:rsidR="008715BE" w:rsidRPr="00EC75B7" w:rsidRDefault="00000000">
            <w:pPr>
              <w:pStyle w:val="TableParagraph"/>
              <w:spacing w:line="175" w:lineRule="exact"/>
              <w:ind w:left="105"/>
              <w:jc w:val="both"/>
              <w:rPr>
                <w:rFonts w:ascii="Verdana" w:hAnsi="Verdana"/>
                <w:sz w:val="18"/>
                <w:szCs w:val="18"/>
              </w:rPr>
            </w:pPr>
            <w:r w:rsidRPr="00EC75B7">
              <w:rPr>
                <w:rFonts w:ascii="Verdana" w:hAnsi="Verdana"/>
                <w:sz w:val="18"/>
                <w:szCs w:val="18"/>
              </w:rPr>
              <w:t xml:space="preserve">gas measurement </w:t>
            </w:r>
            <w:r w:rsidRPr="00EC75B7">
              <w:rPr>
                <w:rFonts w:ascii="Verdana" w:hAnsi="Verdana"/>
                <w:spacing w:val="-2"/>
                <w:sz w:val="18"/>
                <w:szCs w:val="18"/>
              </w:rPr>
              <w:t>stations</w:t>
            </w:r>
          </w:p>
        </w:tc>
        <w:tc>
          <w:tcPr>
            <w:tcW w:w="5389" w:type="dxa"/>
          </w:tcPr>
          <w:p w14:paraId="64B1BF62" w14:textId="77777777" w:rsidR="008715BE" w:rsidRPr="00EC75B7" w:rsidRDefault="00000000">
            <w:pPr>
              <w:pStyle w:val="TableParagraph"/>
              <w:spacing w:line="195" w:lineRule="exact"/>
              <w:ind w:left="107"/>
              <w:rPr>
                <w:rFonts w:ascii="Verdana" w:hAnsi="Verdana"/>
                <w:sz w:val="18"/>
                <w:szCs w:val="18"/>
              </w:rPr>
            </w:pPr>
            <w:r w:rsidRPr="00EC75B7">
              <w:rPr>
                <w:rFonts w:ascii="Verdana" w:hAnsi="Verdana"/>
                <w:sz w:val="18"/>
                <w:szCs w:val="18"/>
              </w:rPr>
              <w:t xml:space="preserve">H + 3 m, where H = tower height x 1.5 plus </w:t>
            </w:r>
            <w:r w:rsidRPr="00EC75B7">
              <w:rPr>
                <w:rFonts w:ascii="Verdana" w:hAnsi="Verdana"/>
                <w:spacing w:val="-4"/>
                <w:sz w:val="18"/>
                <w:szCs w:val="18"/>
              </w:rPr>
              <w:t xml:space="preserve">blade </w:t>
            </w:r>
            <w:r w:rsidRPr="00EC75B7">
              <w:rPr>
                <w:rFonts w:ascii="Verdana" w:hAnsi="Verdana"/>
                <w:sz w:val="18"/>
                <w:szCs w:val="18"/>
              </w:rPr>
              <w:t>length</w:t>
            </w:r>
          </w:p>
        </w:tc>
        <w:tc>
          <w:tcPr>
            <w:tcW w:w="1842" w:type="dxa"/>
          </w:tcPr>
          <w:p w14:paraId="120806F8"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w:t>
            </w:r>
          </w:p>
        </w:tc>
        <w:tc>
          <w:tcPr>
            <w:tcW w:w="1419" w:type="dxa"/>
          </w:tcPr>
          <w:p w14:paraId="59000EF1" w14:textId="77777777" w:rsidR="008715BE" w:rsidRPr="00EC75B7" w:rsidRDefault="00000000">
            <w:pPr>
              <w:pStyle w:val="TableParagraph"/>
              <w:spacing w:line="195" w:lineRule="exact"/>
              <w:ind w:left="106"/>
              <w:rPr>
                <w:rFonts w:ascii="Verdana" w:hAnsi="Verdana"/>
                <w:sz w:val="18"/>
                <w:szCs w:val="18"/>
              </w:rPr>
            </w:pPr>
            <w:r w:rsidRPr="00EC75B7">
              <w:rPr>
                <w:rFonts w:ascii="Verdana" w:hAnsi="Verdana"/>
                <w:spacing w:val="-4"/>
                <w:sz w:val="18"/>
                <w:szCs w:val="18"/>
              </w:rPr>
              <w:t>332.5</w:t>
            </w:r>
          </w:p>
        </w:tc>
        <w:tc>
          <w:tcPr>
            <w:tcW w:w="3971" w:type="dxa"/>
          </w:tcPr>
          <w:p w14:paraId="724A0BE3" w14:textId="77777777" w:rsidR="008715BE" w:rsidRPr="00EC75B7" w:rsidRDefault="00000000">
            <w:pPr>
              <w:pStyle w:val="TableParagraph"/>
              <w:ind w:left="105" w:right="279"/>
              <w:rPr>
                <w:rFonts w:ascii="Verdana" w:hAnsi="Verdana"/>
                <w:sz w:val="18"/>
                <w:szCs w:val="18"/>
              </w:rPr>
            </w:pPr>
            <w:r w:rsidRPr="00EC75B7">
              <w:rPr>
                <w:rFonts w:ascii="Verdana" w:hAnsi="Verdana"/>
                <w:sz w:val="18"/>
                <w:szCs w:val="18"/>
              </w:rPr>
              <w:t>Not applicable. No oil and natural gas extraction facilities, oil pumping stations, natural gas metering stations, or other facilities that could affect the project area have been identified in the project area.</w:t>
            </w:r>
          </w:p>
          <w:p w14:paraId="1DB70997"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 xml:space="preserve">natural </w:t>
            </w:r>
            <w:r w:rsidRPr="00EC75B7">
              <w:rPr>
                <w:rFonts w:ascii="Verdana" w:hAnsi="Verdana"/>
                <w:sz w:val="18"/>
                <w:szCs w:val="18"/>
              </w:rPr>
              <w:t>gas metering stations</w:t>
            </w:r>
          </w:p>
        </w:tc>
      </w:tr>
      <w:tr w:rsidR="008715BE" w:rsidRPr="00EC75B7" w14:paraId="17D26C33" w14:textId="77777777">
        <w:trPr>
          <w:trHeight w:val="777"/>
        </w:trPr>
        <w:tc>
          <w:tcPr>
            <w:tcW w:w="2518" w:type="dxa"/>
          </w:tcPr>
          <w:p w14:paraId="63911A3D"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Bridges</w:t>
            </w:r>
          </w:p>
        </w:tc>
        <w:tc>
          <w:tcPr>
            <w:tcW w:w="5389" w:type="dxa"/>
          </w:tcPr>
          <w:p w14:paraId="50A879BD" w14:textId="77777777" w:rsidR="008715BE" w:rsidRPr="00EC75B7" w:rsidRDefault="00000000">
            <w:pPr>
              <w:pStyle w:val="TableParagraph"/>
              <w:ind w:left="107" w:right="71"/>
              <w:rPr>
                <w:rFonts w:ascii="Verdana" w:hAnsi="Verdana"/>
                <w:sz w:val="18"/>
                <w:szCs w:val="18"/>
              </w:rPr>
            </w:pPr>
            <w:r w:rsidRPr="00EC75B7">
              <w:rPr>
                <w:rFonts w:ascii="Verdana" w:hAnsi="Verdana"/>
                <w:sz w:val="18"/>
                <w:szCs w:val="18"/>
              </w:rPr>
              <w:t>H + 3 m, where H = the height of the pylon plus the length of the blade Where applicable</w:t>
            </w:r>
            <w:r w:rsidRPr="00EC75B7">
              <w:rPr>
                <w:rFonts w:ascii="Verdana" w:hAnsi="Verdana"/>
                <w:spacing w:val="-2"/>
                <w:sz w:val="18"/>
                <w:szCs w:val="18"/>
              </w:rPr>
              <w:t xml:space="preserve">, </w:t>
            </w:r>
            <w:r w:rsidRPr="00EC75B7">
              <w:rPr>
                <w:rFonts w:ascii="Verdana" w:hAnsi="Verdana"/>
                <w:sz w:val="18"/>
                <w:szCs w:val="18"/>
              </w:rPr>
              <w:t xml:space="preserve">the distance is set equal to H + 3 m if a national road, a county road, or a </w:t>
            </w:r>
            <w:r w:rsidRPr="00EC75B7">
              <w:rPr>
                <w:rFonts w:ascii="Verdana" w:hAnsi="Verdana"/>
                <w:spacing w:val="-2"/>
                <w:sz w:val="18"/>
                <w:szCs w:val="18"/>
              </w:rPr>
              <w:t xml:space="preserve">railway </w:t>
            </w:r>
            <w:r w:rsidRPr="00EC75B7">
              <w:rPr>
                <w:rFonts w:ascii="Verdana" w:hAnsi="Verdana"/>
                <w:sz w:val="18"/>
                <w:szCs w:val="18"/>
              </w:rPr>
              <w:t>crosses the bridge</w:t>
            </w:r>
            <w:r w:rsidRPr="00EC75B7">
              <w:rPr>
                <w:rFonts w:ascii="Verdana" w:hAnsi="Verdana"/>
                <w:spacing w:val="-2"/>
                <w:sz w:val="18"/>
                <w:szCs w:val="18"/>
              </w:rPr>
              <w:t>.</w:t>
            </w:r>
          </w:p>
          <w:p w14:paraId="6A5330DB" w14:textId="77777777" w:rsidR="008715BE" w:rsidRPr="00EC75B7" w:rsidRDefault="00000000">
            <w:pPr>
              <w:pStyle w:val="TableParagraph"/>
              <w:spacing w:line="172" w:lineRule="exact"/>
              <w:ind w:left="107"/>
              <w:rPr>
                <w:rFonts w:ascii="Verdana" w:hAnsi="Verdana"/>
                <w:sz w:val="18"/>
                <w:szCs w:val="18"/>
              </w:rPr>
            </w:pPr>
            <w:r w:rsidRPr="00EC75B7">
              <w:rPr>
                <w:rFonts w:ascii="Verdana" w:hAnsi="Verdana"/>
                <w:sz w:val="18"/>
                <w:szCs w:val="18"/>
              </w:rPr>
              <w:t xml:space="preserve">taking into account the conditions imposed above for roads and </w:t>
            </w:r>
            <w:r w:rsidRPr="00EC75B7">
              <w:rPr>
                <w:rFonts w:ascii="Verdana" w:hAnsi="Verdana"/>
                <w:spacing w:val="-5"/>
                <w:sz w:val="18"/>
                <w:szCs w:val="18"/>
              </w:rPr>
              <w:t>paths</w:t>
            </w:r>
          </w:p>
        </w:tc>
        <w:tc>
          <w:tcPr>
            <w:tcW w:w="1842" w:type="dxa"/>
          </w:tcPr>
          <w:p w14:paraId="148642AA"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Not</w:t>
            </w:r>
            <w:r w:rsidRPr="00EC75B7">
              <w:rPr>
                <w:rFonts w:ascii="Verdana" w:hAnsi="Verdana"/>
                <w:spacing w:val="40"/>
                <w:sz w:val="18"/>
                <w:szCs w:val="18"/>
              </w:rPr>
              <w:t xml:space="preserve">  </w:t>
            </w:r>
            <w:r w:rsidRPr="00EC75B7">
              <w:rPr>
                <w:rFonts w:ascii="Verdana" w:hAnsi="Verdana"/>
                <w:sz w:val="18"/>
                <w:szCs w:val="18"/>
              </w:rPr>
              <w:t xml:space="preserve"> more than</w:t>
            </w:r>
            <w:r w:rsidRPr="00EC75B7">
              <w:rPr>
                <w:rFonts w:ascii="Verdana" w:hAnsi="Verdana"/>
                <w:spacing w:val="39"/>
                <w:sz w:val="18"/>
                <w:szCs w:val="18"/>
              </w:rPr>
              <w:t xml:space="preserve">  </w:t>
            </w:r>
            <w:r w:rsidRPr="00EC75B7">
              <w:rPr>
                <w:rFonts w:ascii="Verdana" w:hAnsi="Verdana"/>
                <w:sz w:val="18"/>
                <w:szCs w:val="18"/>
              </w:rPr>
              <w:t xml:space="preserve"> less </w:t>
            </w:r>
            <w:r w:rsidRPr="00EC75B7">
              <w:rPr>
                <w:rFonts w:ascii="Verdana" w:hAnsi="Verdana"/>
                <w:spacing w:val="-5"/>
                <w:sz w:val="18"/>
                <w:szCs w:val="18"/>
              </w:rPr>
              <w:t>than</w:t>
            </w:r>
            <w:r w:rsidRPr="00EC75B7">
              <w:rPr>
                <w:rFonts w:ascii="Verdana" w:hAnsi="Verdana"/>
                <w:spacing w:val="40"/>
                <w:sz w:val="18"/>
                <w:szCs w:val="18"/>
              </w:rPr>
              <w:t xml:space="preserve">  </w:t>
            </w:r>
            <w:r w:rsidRPr="00EC75B7">
              <w:rPr>
                <w:rFonts w:ascii="Verdana" w:hAnsi="Verdana"/>
                <w:spacing w:val="-5"/>
                <w:sz w:val="18"/>
                <w:szCs w:val="18"/>
              </w:rPr>
              <w:t xml:space="preserve"> </w:t>
            </w:r>
          </w:p>
          <w:p w14:paraId="7DB825F5" w14:textId="77777777" w:rsidR="008715BE" w:rsidRPr="00EC75B7" w:rsidRDefault="00000000">
            <w:pPr>
              <w:pStyle w:val="TableParagraph"/>
              <w:spacing w:line="195" w:lineRule="exact"/>
              <w:ind w:left="105"/>
              <w:rPr>
                <w:rFonts w:ascii="Verdana" w:hAnsi="Verdana"/>
                <w:sz w:val="18"/>
                <w:szCs w:val="18"/>
              </w:rPr>
            </w:pPr>
            <w:r w:rsidRPr="00EC75B7">
              <w:rPr>
                <w:rFonts w:ascii="Verdana" w:hAnsi="Verdana"/>
                <w:sz w:val="18"/>
                <w:szCs w:val="18"/>
              </w:rPr>
              <w:t xml:space="preserve">30 </w:t>
            </w:r>
            <w:r w:rsidRPr="00EC75B7">
              <w:rPr>
                <w:rFonts w:ascii="Verdana" w:hAnsi="Verdana"/>
                <w:spacing w:val="-12"/>
                <w:sz w:val="18"/>
                <w:szCs w:val="18"/>
              </w:rPr>
              <w:t>m</w:t>
            </w:r>
          </w:p>
        </w:tc>
        <w:tc>
          <w:tcPr>
            <w:tcW w:w="1419" w:type="dxa"/>
          </w:tcPr>
          <w:p w14:paraId="1C951CAB"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1F799EEB" w14:textId="77777777" w:rsidR="008715BE" w:rsidRPr="00EC75B7" w:rsidRDefault="00000000">
            <w:pPr>
              <w:pStyle w:val="TableParagraph"/>
              <w:ind w:left="105" w:right="279"/>
              <w:rPr>
                <w:rFonts w:ascii="Verdana" w:hAnsi="Verdana"/>
                <w:sz w:val="18"/>
                <w:szCs w:val="18"/>
              </w:rPr>
            </w:pPr>
            <w:r w:rsidRPr="00EC75B7">
              <w:rPr>
                <w:rFonts w:ascii="Verdana" w:hAnsi="Verdana"/>
                <w:sz w:val="18"/>
                <w:szCs w:val="18"/>
              </w:rPr>
              <w:t xml:space="preserve">T27 is located approximately 1597 m from a bridge over which the local road from the village </w:t>
            </w:r>
            <w:r w:rsidRPr="00EC75B7">
              <w:rPr>
                <w:rFonts w:ascii="Verdana" w:hAnsi="Verdana"/>
                <w:spacing w:val="-2"/>
                <w:sz w:val="18"/>
                <w:szCs w:val="18"/>
              </w:rPr>
              <w:t xml:space="preserve">of Căscioarele </w:t>
            </w:r>
            <w:r w:rsidRPr="00EC75B7">
              <w:rPr>
                <w:rFonts w:ascii="Verdana" w:hAnsi="Verdana"/>
                <w:sz w:val="18"/>
                <w:szCs w:val="18"/>
              </w:rPr>
              <w:t>passes</w:t>
            </w:r>
          </w:p>
        </w:tc>
      </w:tr>
    </w:tbl>
    <w:p w14:paraId="7E8D974C" w14:textId="77777777" w:rsidR="008715BE" w:rsidRPr="00EC75B7" w:rsidRDefault="008715BE">
      <w:pPr>
        <w:pStyle w:val="TableParagraph"/>
        <w:rPr>
          <w:rFonts w:ascii="Verdana" w:hAnsi="Verdana"/>
          <w:sz w:val="18"/>
          <w:szCs w:val="18"/>
        </w:rPr>
        <w:sectPr w:rsidR="008715BE" w:rsidRPr="00EC75B7">
          <w:headerReference w:type="default" r:id="rId319"/>
          <w:footerReference w:type="default" r:id="rId320"/>
          <w:pgSz w:w="16840" w:h="11910" w:orient="landscape"/>
          <w:pgMar w:top="1160" w:right="708" w:bottom="1000" w:left="850" w:header="766" w:footer="810" w:gutter="0"/>
          <w:pgNumType w:start="307"/>
          <w:cols w:space="708"/>
        </w:sectPr>
      </w:pP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5389"/>
        <w:gridCol w:w="1842"/>
        <w:gridCol w:w="1419"/>
        <w:gridCol w:w="3971"/>
      </w:tblGrid>
      <w:tr w:rsidR="008715BE" w:rsidRPr="00EC75B7" w14:paraId="35277CC1" w14:textId="77777777">
        <w:trPr>
          <w:trHeight w:val="583"/>
        </w:trPr>
        <w:tc>
          <w:tcPr>
            <w:tcW w:w="2518" w:type="dxa"/>
            <w:shd w:val="clear" w:color="auto" w:fill="00AFEF"/>
          </w:tcPr>
          <w:p w14:paraId="18F23659" w14:textId="77777777" w:rsidR="008715BE" w:rsidRPr="00EC75B7" w:rsidRDefault="00000000">
            <w:pPr>
              <w:pStyle w:val="TableParagraph"/>
              <w:tabs>
                <w:tab w:val="left" w:pos="1364"/>
              </w:tabs>
              <w:ind w:left="105" w:right="95"/>
              <w:rPr>
                <w:rFonts w:ascii="Verdana" w:hAnsi="Verdana"/>
                <w:b/>
                <w:sz w:val="18"/>
                <w:szCs w:val="18"/>
              </w:rPr>
            </w:pPr>
            <w:r w:rsidRPr="00EC75B7">
              <w:rPr>
                <w:rFonts w:ascii="Verdana" w:hAnsi="Verdana"/>
                <w:b/>
                <w:color w:val="FFFFFF"/>
                <w:spacing w:val="-2"/>
                <w:sz w:val="18"/>
                <w:szCs w:val="18"/>
              </w:rPr>
              <w:t>Name</w:t>
            </w:r>
            <w:r w:rsidRPr="00EC75B7">
              <w:rPr>
                <w:rFonts w:ascii="Verdana" w:hAnsi="Verdana"/>
                <w:b/>
                <w:color w:val="FFFFFF"/>
                <w:sz w:val="18"/>
                <w:szCs w:val="18"/>
              </w:rPr>
              <w:tab/>
            </w:r>
            <w:r w:rsidRPr="00EC75B7">
              <w:rPr>
                <w:rFonts w:ascii="Verdana" w:hAnsi="Verdana"/>
                <w:b/>
                <w:color w:val="FFFFFF"/>
                <w:spacing w:val="-2"/>
                <w:sz w:val="18"/>
                <w:szCs w:val="18"/>
              </w:rPr>
              <w:t xml:space="preserve">of the facility </w:t>
            </w:r>
            <w:r w:rsidRPr="00EC75B7">
              <w:rPr>
                <w:rFonts w:ascii="Verdana" w:hAnsi="Verdana"/>
                <w:b/>
                <w:color w:val="FFFFFF"/>
                <w:sz w:val="18"/>
                <w:szCs w:val="18"/>
              </w:rPr>
              <w:t>adjacent to the wind farm</w:t>
            </w:r>
          </w:p>
        </w:tc>
        <w:tc>
          <w:tcPr>
            <w:tcW w:w="5389" w:type="dxa"/>
            <w:shd w:val="clear" w:color="auto" w:fill="00AFEF"/>
          </w:tcPr>
          <w:p w14:paraId="1F1BB200" w14:textId="77777777" w:rsidR="008715BE" w:rsidRPr="00EC75B7" w:rsidRDefault="00000000">
            <w:pPr>
              <w:pStyle w:val="TableParagraph"/>
              <w:spacing w:line="194" w:lineRule="exact"/>
              <w:ind w:left="107"/>
              <w:rPr>
                <w:rFonts w:ascii="Verdana" w:hAnsi="Verdana"/>
                <w:b/>
                <w:sz w:val="18"/>
                <w:szCs w:val="18"/>
              </w:rPr>
            </w:pPr>
            <w:r w:rsidRPr="00EC75B7">
              <w:rPr>
                <w:rFonts w:ascii="Verdana" w:hAnsi="Verdana"/>
                <w:b/>
                <w:color w:val="FFFFFF"/>
                <w:sz w:val="18"/>
                <w:szCs w:val="18"/>
              </w:rPr>
              <w:t xml:space="preserve">Safety distance </w:t>
            </w:r>
            <w:r w:rsidRPr="00EC75B7">
              <w:rPr>
                <w:rFonts w:ascii="Verdana" w:hAnsi="Verdana"/>
                <w:b/>
                <w:color w:val="FFFFFF"/>
                <w:spacing w:val="-5"/>
                <w:sz w:val="18"/>
                <w:szCs w:val="18"/>
              </w:rPr>
              <w:t>(m)</w:t>
            </w:r>
          </w:p>
        </w:tc>
        <w:tc>
          <w:tcPr>
            <w:tcW w:w="1842" w:type="dxa"/>
            <w:shd w:val="clear" w:color="auto" w:fill="00AFEF"/>
          </w:tcPr>
          <w:p w14:paraId="04887049" w14:textId="77777777" w:rsidR="008715BE" w:rsidRPr="00EC75B7" w:rsidRDefault="00000000">
            <w:pPr>
              <w:pStyle w:val="TableParagraph"/>
              <w:tabs>
                <w:tab w:val="left" w:pos="1064"/>
              </w:tabs>
              <w:spacing w:line="194" w:lineRule="exact"/>
              <w:ind w:left="105"/>
              <w:rPr>
                <w:rFonts w:ascii="Verdana" w:hAnsi="Verdana"/>
                <w:b/>
                <w:sz w:val="18"/>
                <w:szCs w:val="18"/>
              </w:rPr>
            </w:pPr>
            <w:r w:rsidRPr="00EC75B7">
              <w:rPr>
                <w:rFonts w:ascii="Verdana" w:hAnsi="Verdana"/>
                <w:b/>
                <w:color w:val="FFFFFF"/>
                <w:spacing w:val="-2"/>
                <w:sz w:val="18"/>
                <w:szCs w:val="18"/>
              </w:rPr>
              <w:t>Minimum</w:t>
            </w:r>
            <w:r w:rsidRPr="00EC75B7">
              <w:rPr>
                <w:rFonts w:ascii="Verdana" w:hAnsi="Verdana"/>
                <w:b/>
                <w:color w:val="FFFFFF"/>
                <w:sz w:val="18"/>
                <w:szCs w:val="18"/>
              </w:rPr>
              <w:tab/>
            </w:r>
            <w:r w:rsidRPr="00EC75B7">
              <w:rPr>
                <w:rFonts w:ascii="Verdana" w:hAnsi="Verdana"/>
                <w:b/>
                <w:color w:val="FFFFFF"/>
                <w:spacing w:val="-2"/>
                <w:sz w:val="18"/>
                <w:szCs w:val="18"/>
              </w:rPr>
              <w:t>minimum</w:t>
            </w:r>
          </w:p>
          <w:p w14:paraId="01486289" w14:textId="77777777" w:rsidR="008715BE" w:rsidRPr="00EC75B7" w:rsidRDefault="00000000">
            <w:pPr>
              <w:pStyle w:val="TableParagraph"/>
              <w:spacing w:line="195" w:lineRule="exact"/>
              <w:ind w:left="105"/>
              <w:rPr>
                <w:rFonts w:ascii="Verdana" w:hAnsi="Verdana"/>
                <w:b/>
                <w:sz w:val="18"/>
                <w:szCs w:val="18"/>
              </w:rPr>
            </w:pPr>
            <w:r w:rsidRPr="00EC75B7">
              <w:rPr>
                <w:rFonts w:ascii="Verdana" w:hAnsi="Verdana"/>
                <w:b/>
                <w:color w:val="FFFFFF"/>
                <w:spacing w:val="-5"/>
                <w:sz w:val="18"/>
                <w:szCs w:val="18"/>
              </w:rPr>
              <w:t>(m)</w:t>
            </w:r>
          </w:p>
        </w:tc>
        <w:tc>
          <w:tcPr>
            <w:tcW w:w="1419" w:type="dxa"/>
            <w:shd w:val="clear" w:color="auto" w:fill="00AFEF"/>
          </w:tcPr>
          <w:p w14:paraId="50F8D638" w14:textId="77777777" w:rsidR="008715BE" w:rsidRPr="00EC75B7" w:rsidRDefault="00000000">
            <w:pPr>
              <w:pStyle w:val="TableParagraph"/>
              <w:tabs>
                <w:tab w:val="left" w:pos="1092"/>
              </w:tabs>
              <w:ind w:left="106" w:right="97"/>
              <w:rPr>
                <w:rFonts w:ascii="Verdana" w:hAnsi="Verdana"/>
                <w:b/>
                <w:sz w:val="18"/>
                <w:szCs w:val="18"/>
              </w:rPr>
            </w:pPr>
            <w:r w:rsidRPr="00EC75B7">
              <w:rPr>
                <w:rFonts w:ascii="Verdana" w:hAnsi="Verdana"/>
                <w:b/>
                <w:color w:val="FFFFFF"/>
                <w:spacing w:val="-2"/>
                <w:sz w:val="18"/>
                <w:szCs w:val="18"/>
              </w:rPr>
              <w:t>Safety</w:t>
            </w:r>
            <w:r w:rsidRPr="00EC75B7">
              <w:rPr>
                <w:rFonts w:ascii="Verdana" w:hAnsi="Verdana"/>
                <w:b/>
                <w:color w:val="FFFFFF"/>
                <w:sz w:val="18"/>
                <w:szCs w:val="18"/>
              </w:rPr>
              <w:tab/>
            </w:r>
            <w:r w:rsidRPr="00EC75B7">
              <w:rPr>
                <w:rFonts w:ascii="Verdana" w:hAnsi="Verdana"/>
                <w:b/>
                <w:color w:val="FFFFFF"/>
                <w:spacing w:val="-2"/>
                <w:sz w:val="18"/>
                <w:szCs w:val="18"/>
              </w:rPr>
              <w:t>Safety distance</w:t>
            </w:r>
          </w:p>
          <w:p w14:paraId="753F01E0" w14:textId="77777777" w:rsidR="008715BE" w:rsidRPr="00EC75B7" w:rsidRDefault="00000000">
            <w:pPr>
              <w:pStyle w:val="TableParagraph"/>
              <w:spacing w:line="173" w:lineRule="exact"/>
              <w:ind w:left="106"/>
              <w:rPr>
                <w:rFonts w:ascii="Verdana" w:hAnsi="Verdana"/>
                <w:b/>
                <w:sz w:val="18"/>
                <w:szCs w:val="18"/>
              </w:rPr>
            </w:pPr>
            <w:r w:rsidRPr="00EC75B7">
              <w:rPr>
                <w:rFonts w:ascii="Verdana" w:hAnsi="Verdana"/>
                <w:b/>
                <w:color w:val="FFFFFF"/>
                <w:spacing w:val="-5"/>
                <w:sz w:val="18"/>
                <w:szCs w:val="18"/>
              </w:rPr>
              <w:t>(m)</w:t>
            </w:r>
          </w:p>
        </w:tc>
        <w:tc>
          <w:tcPr>
            <w:tcW w:w="3971" w:type="dxa"/>
            <w:shd w:val="clear" w:color="auto" w:fill="00AFEF"/>
          </w:tcPr>
          <w:p w14:paraId="0D37EA62" w14:textId="77777777" w:rsidR="008715BE" w:rsidRPr="00EC75B7" w:rsidRDefault="00000000">
            <w:pPr>
              <w:pStyle w:val="TableParagraph"/>
              <w:ind w:left="105"/>
              <w:rPr>
                <w:rFonts w:ascii="Verdana" w:hAnsi="Verdana"/>
                <w:b/>
                <w:sz w:val="18"/>
                <w:szCs w:val="18"/>
              </w:rPr>
            </w:pPr>
            <w:r w:rsidRPr="00EC75B7">
              <w:rPr>
                <w:rFonts w:ascii="Verdana" w:hAnsi="Verdana"/>
                <w:b/>
                <w:color w:val="FFFFFF"/>
                <w:sz w:val="18"/>
                <w:szCs w:val="18"/>
              </w:rPr>
              <w:t xml:space="preserve">Distances from the turbines of the </w:t>
            </w:r>
            <w:r w:rsidRPr="00EC75B7">
              <w:rPr>
                <w:rFonts w:ascii="Verdana" w:hAnsi="Verdana"/>
                <w:b/>
                <w:color w:val="FFFFFF"/>
                <w:spacing w:val="-2"/>
                <w:sz w:val="18"/>
                <w:szCs w:val="18"/>
              </w:rPr>
              <w:t>Cerchezu</w:t>
            </w:r>
            <w:r w:rsidRPr="00EC75B7">
              <w:rPr>
                <w:rFonts w:ascii="Verdana" w:hAnsi="Verdana"/>
                <w:b/>
                <w:color w:val="FFFFFF"/>
                <w:sz w:val="18"/>
                <w:szCs w:val="18"/>
              </w:rPr>
              <w:t xml:space="preserve"> wind farm</w:t>
            </w:r>
          </w:p>
        </w:tc>
      </w:tr>
      <w:tr w:rsidR="008715BE" w:rsidRPr="00EC75B7" w14:paraId="31FC81A4" w14:textId="77777777">
        <w:trPr>
          <w:trHeight w:val="585"/>
        </w:trPr>
        <w:tc>
          <w:tcPr>
            <w:tcW w:w="2518" w:type="dxa"/>
          </w:tcPr>
          <w:p w14:paraId="46E9D912" w14:textId="77777777" w:rsidR="008715BE" w:rsidRPr="00EC75B7" w:rsidRDefault="008715BE">
            <w:pPr>
              <w:pStyle w:val="TableParagraph"/>
              <w:rPr>
                <w:rFonts w:ascii="Verdana" w:hAnsi="Verdana"/>
                <w:sz w:val="18"/>
                <w:szCs w:val="18"/>
              </w:rPr>
            </w:pPr>
          </w:p>
        </w:tc>
        <w:tc>
          <w:tcPr>
            <w:tcW w:w="5389" w:type="dxa"/>
          </w:tcPr>
          <w:p w14:paraId="14396308" w14:textId="77777777" w:rsidR="008715BE" w:rsidRPr="00EC75B7" w:rsidRDefault="00000000">
            <w:pPr>
              <w:pStyle w:val="TableParagraph"/>
              <w:spacing w:before="1"/>
              <w:ind w:left="107"/>
              <w:rPr>
                <w:rFonts w:ascii="Verdana" w:hAnsi="Verdana"/>
                <w:sz w:val="18"/>
                <w:szCs w:val="18"/>
              </w:rPr>
            </w:pPr>
            <w:r w:rsidRPr="00EC75B7">
              <w:rPr>
                <w:rFonts w:ascii="Verdana" w:hAnsi="Verdana"/>
                <w:sz w:val="18"/>
                <w:szCs w:val="18"/>
              </w:rPr>
              <w:t xml:space="preserve">railway, respectively a distance equal to the length of a blade, but not less than 30 m, if a communal road, </w:t>
            </w:r>
            <w:r w:rsidRPr="00EC75B7">
              <w:rPr>
                <w:rFonts w:ascii="Verdana" w:hAnsi="Verdana"/>
                <w:spacing w:val="-5"/>
                <w:sz w:val="18"/>
                <w:szCs w:val="18"/>
              </w:rPr>
              <w:t>a</w:t>
            </w:r>
          </w:p>
          <w:p w14:paraId="7898D510" w14:textId="77777777" w:rsidR="008715BE" w:rsidRPr="00EC75B7" w:rsidRDefault="00000000">
            <w:pPr>
              <w:pStyle w:val="TableParagraph"/>
              <w:spacing w:line="173" w:lineRule="exact"/>
              <w:ind w:left="107"/>
              <w:rPr>
                <w:rFonts w:ascii="Verdana" w:hAnsi="Verdana"/>
                <w:sz w:val="18"/>
                <w:szCs w:val="18"/>
              </w:rPr>
            </w:pPr>
            <w:r w:rsidRPr="00EC75B7">
              <w:rPr>
                <w:rFonts w:ascii="Verdana" w:hAnsi="Verdana"/>
                <w:sz w:val="18"/>
                <w:szCs w:val="18"/>
              </w:rPr>
              <w:t xml:space="preserve">local road or a </w:t>
            </w:r>
            <w:r w:rsidRPr="00EC75B7">
              <w:rPr>
                <w:rFonts w:ascii="Verdana" w:hAnsi="Verdana"/>
                <w:spacing w:val="-2"/>
                <w:sz w:val="18"/>
                <w:szCs w:val="18"/>
              </w:rPr>
              <w:t xml:space="preserve">private </w:t>
            </w:r>
            <w:r w:rsidRPr="00EC75B7">
              <w:rPr>
                <w:rFonts w:ascii="Verdana" w:hAnsi="Verdana"/>
                <w:sz w:val="18"/>
                <w:szCs w:val="18"/>
              </w:rPr>
              <w:t>road</w:t>
            </w:r>
          </w:p>
        </w:tc>
        <w:tc>
          <w:tcPr>
            <w:tcW w:w="1842" w:type="dxa"/>
          </w:tcPr>
          <w:p w14:paraId="1A32B8A2" w14:textId="77777777" w:rsidR="008715BE" w:rsidRPr="00EC75B7" w:rsidRDefault="008715BE">
            <w:pPr>
              <w:pStyle w:val="TableParagraph"/>
              <w:rPr>
                <w:rFonts w:ascii="Verdana" w:hAnsi="Verdana"/>
                <w:sz w:val="18"/>
                <w:szCs w:val="18"/>
              </w:rPr>
            </w:pPr>
          </w:p>
        </w:tc>
        <w:tc>
          <w:tcPr>
            <w:tcW w:w="1419" w:type="dxa"/>
          </w:tcPr>
          <w:p w14:paraId="26E1CF08" w14:textId="77777777" w:rsidR="008715BE" w:rsidRPr="00EC75B7" w:rsidRDefault="008715BE">
            <w:pPr>
              <w:pStyle w:val="TableParagraph"/>
              <w:rPr>
                <w:rFonts w:ascii="Verdana" w:hAnsi="Verdana"/>
                <w:sz w:val="18"/>
                <w:szCs w:val="18"/>
              </w:rPr>
            </w:pPr>
          </w:p>
        </w:tc>
        <w:tc>
          <w:tcPr>
            <w:tcW w:w="3971" w:type="dxa"/>
          </w:tcPr>
          <w:p w14:paraId="3FD037E1" w14:textId="77777777" w:rsidR="008715BE" w:rsidRPr="00EC75B7" w:rsidRDefault="008715BE">
            <w:pPr>
              <w:pStyle w:val="TableParagraph"/>
              <w:rPr>
                <w:rFonts w:ascii="Verdana" w:hAnsi="Verdana"/>
                <w:sz w:val="18"/>
                <w:szCs w:val="18"/>
              </w:rPr>
            </w:pPr>
          </w:p>
        </w:tc>
      </w:tr>
      <w:tr w:rsidR="008715BE" w:rsidRPr="00EC75B7" w14:paraId="18B16ECC" w14:textId="77777777">
        <w:trPr>
          <w:trHeight w:val="388"/>
        </w:trPr>
        <w:tc>
          <w:tcPr>
            <w:tcW w:w="2518" w:type="dxa"/>
          </w:tcPr>
          <w:p w14:paraId="3F062E52"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Dams, </w:t>
            </w:r>
            <w:r w:rsidRPr="00EC75B7">
              <w:rPr>
                <w:rFonts w:ascii="Verdana" w:hAnsi="Verdana"/>
                <w:spacing w:val="-2"/>
                <w:sz w:val="18"/>
                <w:szCs w:val="18"/>
              </w:rPr>
              <w:t>dykes</w:t>
            </w:r>
          </w:p>
        </w:tc>
        <w:tc>
          <w:tcPr>
            <w:tcW w:w="5389" w:type="dxa"/>
          </w:tcPr>
          <w:p w14:paraId="6B2BCD0A"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the height of the tower plus the length </w:t>
            </w:r>
            <w:r w:rsidRPr="00EC75B7">
              <w:rPr>
                <w:rFonts w:ascii="Verdana" w:hAnsi="Verdana"/>
                <w:spacing w:val="-4"/>
                <w:sz w:val="18"/>
                <w:szCs w:val="18"/>
              </w:rPr>
              <w:t>of the blade</w:t>
            </w:r>
          </w:p>
        </w:tc>
        <w:tc>
          <w:tcPr>
            <w:tcW w:w="1842" w:type="dxa"/>
          </w:tcPr>
          <w:p w14:paraId="0A65DCE4"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00D7CBCE"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71B2616B"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Not applicable. No dams or dykes have </w:t>
            </w:r>
            <w:r w:rsidRPr="00EC75B7">
              <w:rPr>
                <w:rFonts w:ascii="Verdana" w:hAnsi="Verdana"/>
                <w:spacing w:val="-4"/>
                <w:sz w:val="18"/>
                <w:szCs w:val="18"/>
              </w:rPr>
              <w:t xml:space="preserve">been identified </w:t>
            </w:r>
            <w:r w:rsidRPr="00EC75B7">
              <w:rPr>
                <w:rFonts w:ascii="Verdana" w:hAnsi="Verdana"/>
                <w:sz w:val="18"/>
                <w:szCs w:val="18"/>
              </w:rPr>
              <w:t>in the project area.</w:t>
            </w:r>
          </w:p>
          <w:p w14:paraId="63503FEE"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dams, dykes</w:t>
            </w:r>
          </w:p>
        </w:tc>
      </w:tr>
      <w:tr w:rsidR="008715BE" w:rsidRPr="00EC75B7" w14:paraId="68802C5C" w14:textId="77777777">
        <w:trPr>
          <w:trHeight w:val="1555"/>
        </w:trPr>
        <w:tc>
          <w:tcPr>
            <w:tcW w:w="2518" w:type="dxa"/>
          </w:tcPr>
          <w:p w14:paraId="69F439B6"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lastRenderedPageBreak/>
              <w:t xml:space="preserve">Inhabited </w:t>
            </w:r>
            <w:r w:rsidRPr="00EC75B7">
              <w:rPr>
                <w:rFonts w:ascii="Verdana" w:hAnsi="Verdana"/>
                <w:sz w:val="18"/>
                <w:szCs w:val="18"/>
              </w:rPr>
              <w:t>buildings</w:t>
            </w:r>
          </w:p>
        </w:tc>
        <w:tc>
          <w:tcPr>
            <w:tcW w:w="5389" w:type="dxa"/>
          </w:tcPr>
          <w:p w14:paraId="5956DE65" w14:textId="77777777" w:rsidR="008715BE" w:rsidRPr="00EC75B7" w:rsidRDefault="00000000">
            <w:pPr>
              <w:pStyle w:val="TableParagraph"/>
              <w:ind w:left="107" w:right="98"/>
              <w:jc w:val="both"/>
              <w:rPr>
                <w:rFonts w:ascii="Verdana" w:hAnsi="Verdana"/>
                <w:sz w:val="18"/>
                <w:szCs w:val="18"/>
              </w:rPr>
            </w:pPr>
            <w:r w:rsidRPr="00EC75B7">
              <w:rPr>
                <w:rFonts w:ascii="Verdana" w:hAnsi="Verdana"/>
                <w:sz w:val="18"/>
                <w:szCs w:val="18"/>
              </w:rPr>
              <w:t xml:space="preserve">H = height of the pylon x 3; This distance may be reduced, in relation to the residential area, with the agreement of the local community, to a minimum value equal to the height of the pylon plus the length </w:t>
            </w:r>
            <w:r w:rsidRPr="00EC75B7">
              <w:rPr>
                <w:rFonts w:ascii="Verdana" w:hAnsi="Verdana"/>
                <w:spacing w:val="-2"/>
                <w:sz w:val="18"/>
                <w:szCs w:val="18"/>
              </w:rPr>
              <w:t>of the blade.</w:t>
            </w:r>
          </w:p>
          <w:p w14:paraId="749EBC61" w14:textId="77777777" w:rsidR="008715BE" w:rsidRPr="00EC75B7" w:rsidRDefault="00000000">
            <w:pPr>
              <w:pStyle w:val="TableParagraph"/>
              <w:ind w:left="107" w:right="97"/>
              <w:jc w:val="both"/>
              <w:rPr>
                <w:rFonts w:ascii="Verdana" w:hAnsi="Verdana"/>
                <w:sz w:val="18"/>
                <w:szCs w:val="18"/>
              </w:rPr>
            </w:pPr>
            <w:r w:rsidRPr="00EC75B7">
              <w:rPr>
                <w:rFonts w:ascii="Verdana" w:hAnsi="Verdana"/>
                <w:sz w:val="18"/>
                <w:szCs w:val="18"/>
              </w:rPr>
              <w:t>+ 3 m; - The distance of the wind turbine intended to meet the consumption needs of a residential area shall be at least equal to the height of the tower plus the length of the blade + 3 m; - The distance of a wind turbine belonging to a residential property is not regulated.</w:t>
            </w:r>
          </w:p>
        </w:tc>
        <w:tc>
          <w:tcPr>
            <w:tcW w:w="1842" w:type="dxa"/>
          </w:tcPr>
          <w:p w14:paraId="08ADC07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5"/>
                <w:sz w:val="18"/>
                <w:szCs w:val="18"/>
              </w:rPr>
              <w:t>253</w:t>
            </w:r>
          </w:p>
        </w:tc>
        <w:tc>
          <w:tcPr>
            <w:tcW w:w="1419" w:type="dxa"/>
          </w:tcPr>
          <w:p w14:paraId="0CBD4603"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54339E15"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T5 is located approximately 1053 m from the inhabited building in the village of Cerchezu</w:t>
            </w:r>
          </w:p>
          <w:p w14:paraId="5B445FEC"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T27 is located approximately 1237 m from an inhabited building in the village of Căscioarele</w:t>
            </w:r>
          </w:p>
          <w:p w14:paraId="6920C7D5"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T31 is located approximately 1134 m from an inhabited building in the village of Viroaga</w:t>
            </w:r>
          </w:p>
          <w:p w14:paraId="299F342F"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T35 is located approximately 1171 m from </w:t>
            </w:r>
            <w:r w:rsidRPr="00EC75B7">
              <w:rPr>
                <w:rFonts w:ascii="Verdana" w:hAnsi="Verdana"/>
                <w:spacing w:val="-2"/>
                <w:sz w:val="18"/>
                <w:szCs w:val="18"/>
              </w:rPr>
              <w:t>a building</w:t>
            </w:r>
          </w:p>
          <w:p w14:paraId="5BA1C7F0"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z w:val="18"/>
                <w:szCs w:val="18"/>
              </w:rPr>
              <w:t xml:space="preserve">in the village of </w:t>
            </w:r>
            <w:r w:rsidRPr="00EC75B7">
              <w:rPr>
                <w:rFonts w:ascii="Verdana" w:hAnsi="Verdana"/>
                <w:spacing w:val="-2"/>
                <w:sz w:val="18"/>
                <w:szCs w:val="18"/>
              </w:rPr>
              <w:t>Măgura</w:t>
            </w:r>
          </w:p>
        </w:tc>
      </w:tr>
      <w:tr w:rsidR="008715BE" w:rsidRPr="00EC75B7" w14:paraId="220EAB7E" w14:textId="77777777">
        <w:trPr>
          <w:trHeight w:val="779"/>
        </w:trPr>
        <w:tc>
          <w:tcPr>
            <w:tcW w:w="2518" w:type="dxa"/>
          </w:tcPr>
          <w:p w14:paraId="1832AE06" w14:textId="77777777" w:rsidR="008715BE" w:rsidRPr="00EC75B7" w:rsidRDefault="00000000">
            <w:pPr>
              <w:pStyle w:val="TableParagraph"/>
              <w:ind w:left="105" w:right="95"/>
              <w:jc w:val="both"/>
              <w:rPr>
                <w:rFonts w:ascii="Verdana" w:hAnsi="Verdana"/>
                <w:sz w:val="18"/>
                <w:szCs w:val="18"/>
              </w:rPr>
            </w:pPr>
            <w:r w:rsidRPr="00EC75B7">
              <w:rPr>
                <w:rFonts w:ascii="Verdana" w:hAnsi="Verdana"/>
                <w:sz w:val="18"/>
                <w:szCs w:val="18"/>
              </w:rPr>
              <w:t>Production and/or storage buildings classified in</w:t>
            </w:r>
            <w:r w:rsidRPr="00EC75B7">
              <w:rPr>
                <w:rFonts w:ascii="Verdana" w:hAnsi="Verdana"/>
                <w:spacing w:val="27"/>
                <w:sz w:val="18"/>
                <w:szCs w:val="18"/>
              </w:rPr>
              <w:t xml:space="preserve">  </w:t>
            </w:r>
            <w:r w:rsidRPr="00EC75B7">
              <w:rPr>
                <w:rFonts w:ascii="Verdana" w:hAnsi="Verdana"/>
                <w:sz w:val="18"/>
                <w:szCs w:val="18"/>
              </w:rPr>
              <w:t xml:space="preserve"> category</w:t>
            </w:r>
            <w:r w:rsidRPr="00EC75B7">
              <w:rPr>
                <w:rFonts w:ascii="Verdana" w:hAnsi="Verdana"/>
                <w:spacing w:val="27"/>
                <w:sz w:val="18"/>
                <w:szCs w:val="18"/>
              </w:rPr>
              <w:t xml:space="preserve">  </w:t>
            </w:r>
            <w:r w:rsidRPr="00EC75B7">
              <w:rPr>
                <w:rFonts w:ascii="Verdana" w:hAnsi="Verdana"/>
                <w:sz w:val="18"/>
                <w:szCs w:val="18"/>
              </w:rPr>
              <w:t xml:space="preserve"> A,</w:t>
            </w:r>
            <w:r w:rsidRPr="00EC75B7">
              <w:rPr>
                <w:rFonts w:ascii="Verdana" w:hAnsi="Verdana"/>
                <w:spacing w:val="26"/>
                <w:sz w:val="18"/>
                <w:szCs w:val="18"/>
              </w:rPr>
              <w:t xml:space="preserve">  </w:t>
            </w:r>
            <w:r w:rsidRPr="00EC75B7">
              <w:rPr>
                <w:rFonts w:ascii="Verdana" w:hAnsi="Verdana"/>
                <w:sz w:val="18"/>
                <w:szCs w:val="18"/>
              </w:rPr>
              <w:t xml:space="preserve"> B</w:t>
            </w:r>
            <w:r w:rsidRPr="00EC75B7">
              <w:rPr>
                <w:rFonts w:ascii="Verdana" w:hAnsi="Verdana"/>
                <w:spacing w:val="27"/>
                <w:sz w:val="18"/>
                <w:szCs w:val="18"/>
              </w:rPr>
              <w:t xml:space="preserve">  </w:t>
            </w:r>
            <w:r w:rsidRPr="00EC75B7">
              <w:rPr>
                <w:rFonts w:ascii="Verdana" w:hAnsi="Verdana"/>
                <w:sz w:val="18"/>
                <w:szCs w:val="18"/>
              </w:rPr>
              <w:t xml:space="preserve"> or</w:t>
            </w:r>
            <w:r w:rsidRPr="00EC75B7">
              <w:rPr>
                <w:rFonts w:ascii="Verdana" w:hAnsi="Verdana"/>
                <w:spacing w:val="26"/>
                <w:sz w:val="18"/>
                <w:szCs w:val="18"/>
              </w:rPr>
              <w:t xml:space="preserve">  </w:t>
            </w:r>
            <w:r w:rsidRPr="00EC75B7">
              <w:rPr>
                <w:rFonts w:ascii="Verdana" w:hAnsi="Verdana"/>
                <w:spacing w:val="-10"/>
                <w:sz w:val="18"/>
                <w:szCs w:val="18"/>
              </w:rPr>
              <w:t xml:space="preserve"> C</w:t>
            </w:r>
          </w:p>
          <w:p w14:paraId="6B4AE588" w14:textId="77777777" w:rsidR="008715BE" w:rsidRPr="00EC75B7" w:rsidRDefault="00000000">
            <w:pPr>
              <w:pStyle w:val="TableParagraph"/>
              <w:spacing w:line="175" w:lineRule="exact"/>
              <w:ind w:left="105"/>
              <w:jc w:val="both"/>
              <w:rPr>
                <w:rFonts w:ascii="Verdana" w:hAnsi="Verdana"/>
                <w:sz w:val="18"/>
                <w:szCs w:val="18"/>
              </w:rPr>
            </w:pPr>
            <w:r w:rsidRPr="00EC75B7">
              <w:rPr>
                <w:rFonts w:ascii="Verdana" w:hAnsi="Verdana"/>
                <w:spacing w:val="-2"/>
                <w:sz w:val="18"/>
                <w:szCs w:val="18"/>
              </w:rPr>
              <w:t xml:space="preserve">fire </w:t>
            </w:r>
            <w:r w:rsidRPr="00EC75B7">
              <w:rPr>
                <w:rFonts w:ascii="Verdana" w:hAnsi="Verdana"/>
                <w:sz w:val="18"/>
                <w:szCs w:val="18"/>
              </w:rPr>
              <w:t>hazard</w:t>
            </w:r>
          </w:p>
        </w:tc>
        <w:tc>
          <w:tcPr>
            <w:tcW w:w="5389" w:type="dxa"/>
          </w:tcPr>
          <w:p w14:paraId="33548BF1"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height of the pylon plus length </w:t>
            </w:r>
            <w:r w:rsidRPr="00EC75B7">
              <w:rPr>
                <w:rFonts w:ascii="Verdana" w:hAnsi="Verdana"/>
                <w:spacing w:val="-4"/>
                <w:sz w:val="18"/>
                <w:szCs w:val="18"/>
              </w:rPr>
              <w:t>of the blade</w:t>
            </w:r>
          </w:p>
        </w:tc>
        <w:tc>
          <w:tcPr>
            <w:tcW w:w="1842" w:type="dxa"/>
          </w:tcPr>
          <w:p w14:paraId="4D896801"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2B67C4D5"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46F6EA62"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Not applicable. No production and/or storage facilities classified as category A, B, or C have been identified in the project area.</w:t>
            </w:r>
          </w:p>
          <w:p w14:paraId="098A84A0"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 xml:space="preserve">fire </w:t>
            </w:r>
            <w:r w:rsidRPr="00EC75B7">
              <w:rPr>
                <w:rFonts w:ascii="Verdana" w:hAnsi="Verdana"/>
                <w:sz w:val="18"/>
                <w:szCs w:val="18"/>
              </w:rPr>
              <w:t>hazard</w:t>
            </w:r>
          </w:p>
        </w:tc>
      </w:tr>
      <w:tr w:rsidR="008715BE" w:rsidRPr="00EC75B7" w14:paraId="064304AD" w14:textId="77777777">
        <w:trPr>
          <w:trHeight w:val="194"/>
        </w:trPr>
        <w:tc>
          <w:tcPr>
            <w:tcW w:w="2518" w:type="dxa"/>
          </w:tcPr>
          <w:p w14:paraId="27D5D18C" w14:textId="77777777" w:rsidR="008715BE" w:rsidRPr="00EC75B7" w:rsidRDefault="00000000">
            <w:pPr>
              <w:pStyle w:val="TableParagraph"/>
              <w:spacing w:line="174" w:lineRule="exact"/>
              <w:ind w:left="105"/>
              <w:rPr>
                <w:rFonts w:ascii="Verdana" w:hAnsi="Verdana"/>
                <w:sz w:val="18"/>
                <w:szCs w:val="18"/>
              </w:rPr>
            </w:pPr>
            <w:r w:rsidRPr="00EC75B7">
              <w:rPr>
                <w:rFonts w:ascii="Verdana" w:hAnsi="Verdana"/>
                <w:spacing w:val="-2"/>
                <w:sz w:val="18"/>
                <w:szCs w:val="18"/>
              </w:rPr>
              <w:t>Airports</w:t>
            </w:r>
          </w:p>
        </w:tc>
        <w:tc>
          <w:tcPr>
            <w:tcW w:w="5389" w:type="dxa"/>
            <w:vMerge w:val="restart"/>
          </w:tcPr>
          <w:p w14:paraId="50D4BA5B" w14:textId="77777777" w:rsidR="008715BE" w:rsidRPr="00EC75B7" w:rsidRDefault="00000000">
            <w:pPr>
              <w:pStyle w:val="TableParagraph"/>
              <w:ind w:left="107"/>
              <w:rPr>
                <w:rFonts w:ascii="Verdana" w:hAnsi="Verdana"/>
                <w:sz w:val="18"/>
                <w:szCs w:val="18"/>
              </w:rPr>
            </w:pPr>
            <w:r w:rsidRPr="00EC75B7">
              <w:rPr>
                <w:rFonts w:ascii="Verdana" w:hAnsi="Verdana"/>
                <w:sz w:val="18"/>
                <w:szCs w:val="18"/>
              </w:rPr>
              <w:t>This is determined with the approval of the competent authorities, which are mentioned in the urban planning certificate.</w:t>
            </w:r>
          </w:p>
        </w:tc>
        <w:tc>
          <w:tcPr>
            <w:tcW w:w="1842" w:type="dxa"/>
            <w:vMerge w:val="restart"/>
          </w:tcPr>
          <w:p w14:paraId="0BFE0E60"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vMerge w:val="restart"/>
          </w:tcPr>
          <w:p w14:paraId="2C7A4022"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z w:val="18"/>
                <w:szCs w:val="18"/>
              </w:rPr>
              <w:t>-</w:t>
            </w:r>
          </w:p>
        </w:tc>
        <w:tc>
          <w:tcPr>
            <w:tcW w:w="3971" w:type="dxa"/>
            <w:vMerge w:val="restart"/>
          </w:tcPr>
          <w:p w14:paraId="68FB2839"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r>
      <w:tr w:rsidR="008715BE" w:rsidRPr="00EC75B7" w14:paraId="0E6D93E5" w14:textId="77777777">
        <w:trPr>
          <w:trHeight w:val="388"/>
        </w:trPr>
        <w:tc>
          <w:tcPr>
            <w:tcW w:w="2518" w:type="dxa"/>
          </w:tcPr>
          <w:p w14:paraId="54171EE3"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Telecommunications transmission and </w:t>
            </w:r>
            <w:r w:rsidRPr="00EC75B7">
              <w:rPr>
                <w:rFonts w:ascii="Verdana" w:hAnsi="Verdana"/>
                <w:spacing w:val="-2"/>
                <w:sz w:val="18"/>
                <w:szCs w:val="18"/>
              </w:rPr>
              <w:t xml:space="preserve">reception </w:t>
            </w:r>
            <w:r w:rsidRPr="00EC75B7">
              <w:rPr>
                <w:rFonts w:ascii="Verdana" w:hAnsi="Verdana"/>
                <w:sz w:val="18"/>
                <w:szCs w:val="18"/>
              </w:rPr>
              <w:t>facilities</w:t>
            </w:r>
          </w:p>
          <w:p w14:paraId="1608D398"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telecommunications</w:t>
            </w:r>
          </w:p>
        </w:tc>
        <w:tc>
          <w:tcPr>
            <w:tcW w:w="5389" w:type="dxa"/>
            <w:vMerge/>
            <w:tcBorders>
              <w:top w:val="nil"/>
            </w:tcBorders>
          </w:tcPr>
          <w:p w14:paraId="6BAA1B9F" w14:textId="77777777" w:rsidR="008715BE" w:rsidRPr="00EC75B7" w:rsidRDefault="008715BE">
            <w:pPr>
              <w:rPr>
                <w:rFonts w:ascii="Verdana" w:hAnsi="Verdana"/>
                <w:sz w:val="18"/>
                <w:szCs w:val="18"/>
              </w:rPr>
            </w:pPr>
          </w:p>
        </w:tc>
        <w:tc>
          <w:tcPr>
            <w:tcW w:w="1842" w:type="dxa"/>
            <w:vMerge/>
            <w:tcBorders>
              <w:top w:val="nil"/>
            </w:tcBorders>
          </w:tcPr>
          <w:p w14:paraId="77F2A5CF" w14:textId="77777777" w:rsidR="008715BE" w:rsidRPr="00EC75B7" w:rsidRDefault="008715BE">
            <w:pPr>
              <w:rPr>
                <w:rFonts w:ascii="Verdana" w:hAnsi="Verdana"/>
                <w:sz w:val="18"/>
                <w:szCs w:val="18"/>
              </w:rPr>
            </w:pPr>
          </w:p>
        </w:tc>
        <w:tc>
          <w:tcPr>
            <w:tcW w:w="1419" w:type="dxa"/>
            <w:vMerge/>
            <w:tcBorders>
              <w:top w:val="nil"/>
            </w:tcBorders>
          </w:tcPr>
          <w:p w14:paraId="32CFEA90" w14:textId="77777777" w:rsidR="008715BE" w:rsidRPr="00EC75B7" w:rsidRDefault="008715BE">
            <w:pPr>
              <w:rPr>
                <w:rFonts w:ascii="Verdana" w:hAnsi="Verdana"/>
                <w:sz w:val="18"/>
                <w:szCs w:val="18"/>
              </w:rPr>
            </w:pPr>
          </w:p>
        </w:tc>
        <w:tc>
          <w:tcPr>
            <w:tcW w:w="3971" w:type="dxa"/>
            <w:vMerge/>
            <w:tcBorders>
              <w:top w:val="nil"/>
            </w:tcBorders>
          </w:tcPr>
          <w:p w14:paraId="6D667399" w14:textId="77777777" w:rsidR="008715BE" w:rsidRPr="00EC75B7" w:rsidRDefault="008715BE">
            <w:pPr>
              <w:rPr>
                <w:rFonts w:ascii="Verdana" w:hAnsi="Verdana"/>
                <w:sz w:val="18"/>
                <w:szCs w:val="18"/>
              </w:rPr>
            </w:pPr>
          </w:p>
        </w:tc>
      </w:tr>
      <w:tr w:rsidR="008715BE" w:rsidRPr="00EC75B7" w14:paraId="3F447C11" w14:textId="77777777">
        <w:trPr>
          <w:trHeight w:val="194"/>
        </w:trPr>
        <w:tc>
          <w:tcPr>
            <w:tcW w:w="2518" w:type="dxa"/>
          </w:tcPr>
          <w:p w14:paraId="1CCF6D78" w14:textId="77777777" w:rsidR="008715BE" w:rsidRPr="00EC75B7" w:rsidRDefault="00000000">
            <w:pPr>
              <w:pStyle w:val="TableParagraph"/>
              <w:spacing w:line="174" w:lineRule="exact"/>
              <w:ind w:left="105"/>
              <w:rPr>
                <w:rFonts w:ascii="Verdana" w:hAnsi="Verdana"/>
                <w:sz w:val="18"/>
                <w:szCs w:val="18"/>
              </w:rPr>
            </w:pPr>
            <w:r w:rsidRPr="00EC75B7">
              <w:rPr>
                <w:rFonts w:ascii="Verdana" w:hAnsi="Verdana"/>
                <w:spacing w:val="-2"/>
                <w:sz w:val="18"/>
                <w:szCs w:val="18"/>
              </w:rPr>
              <w:t xml:space="preserve">Historical </w:t>
            </w:r>
            <w:r w:rsidRPr="00EC75B7">
              <w:rPr>
                <w:rFonts w:ascii="Verdana" w:hAnsi="Verdana"/>
                <w:sz w:val="18"/>
                <w:szCs w:val="18"/>
              </w:rPr>
              <w:t>sites and buildings</w:t>
            </w:r>
          </w:p>
        </w:tc>
        <w:tc>
          <w:tcPr>
            <w:tcW w:w="5389" w:type="dxa"/>
            <w:vMerge/>
            <w:tcBorders>
              <w:top w:val="nil"/>
            </w:tcBorders>
          </w:tcPr>
          <w:p w14:paraId="5CA74DB0" w14:textId="77777777" w:rsidR="008715BE" w:rsidRPr="00EC75B7" w:rsidRDefault="008715BE">
            <w:pPr>
              <w:rPr>
                <w:rFonts w:ascii="Verdana" w:hAnsi="Verdana"/>
                <w:sz w:val="18"/>
                <w:szCs w:val="18"/>
              </w:rPr>
            </w:pPr>
          </w:p>
        </w:tc>
        <w:tc>
          <w:tcPr>
            <w:tcW w:w="1842" w:type="dxa"/>
            <w:vMerge/>
            <w:tcBorders>
              <w:top w:val="nil"/>
            </w:tcBorders>
          </w:tcPr>
          <w:p w14:paraId="195C4284" w14:textId="77777777" w:rsidR="008715BE" w:rsidRPr="00EC75B7" w:rsidRDefault="008715BE">
            <w:pPr>
              <w:rPr>
                <w:rFonts w:ascii="Verdana" w:hAnsi="Verdana"/>
                <w:sz w:val="18"/>
                <w:szCs w:val="18"/>
              </w:rPr>
            </w:pPr>
          </w:p>
        </w:tc>
        <w:tc>
          <w:tcPr>
            <w:tcW w:w="1419" w:type="dxa"/>
            <w:vMerge/>
            <w:tcBorders>
              <w:top w:val="nil"/>
            </w:tcBorders>
          </w:tcPr>
          <w:p w14:paraId="037072CF" w14:textId="77777777" w:rsidR="008715BE" w:rsidRPr="00EC75B7" w:rsidRDefault="008715BE">
            <w:pPr>
              <w:rPr>
                <w:rFonts w:ascii="Verdana" w:hAnsi="Verdana"/>
                <w:sz w:val="18"/>
                <w:szCs w:val="18"/>
              </w:rPr>
            </w:pPr>
          </w:p>
        </w:tc>
        <w:tc>
          <w:tcPr>
            <w:tcW w:w="3971" w:type="dxa"/>
            <w:vMerge/>
            <w:tcBorders>
              <w:top w:val="nil"/>
            </w:tcBorders>
          </w:tcPr>
          <w:p w14:paraId="0BF1332A" w14:textId="77777777" w:rsidR="008715BE" w:rsidRPr="00EC75B7" w:rsidRDefault="008715BE">
            <w:pPr>
              <w:rPr>
                <w:rFonts w:ascii="Verdana" w:hAnsi="Verdana"/>
                <w:sz w:val="18"/>
                <w:szCs w:val="18"/>
              </w:rPr>
            </w:pPr>
          </w:p>
        </w:tc>
      </w:tr>
      <w:tr w:rsidR="008715BE" w:rsidRPr="00EC75B7" w14:paraId="4880C0D7" w14:textId="77777777">
        <w:trPr>
          <w:trHeight w:val="388"/>
        </w:trPr>
        <w:tc>
          <w:tcPr>
            <w:tcW w:w="2518" w:type="dxa"/>
          </w:tcPr>
          <w:p w14:paraId="41587FA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Areas with protected flora and/or </w:t>
            </w:r>
            <w:r w:rsidRPr="00EC75B7">
              <w:rPr>
                <w:rFonts w:ascii="Verdana" w:hAnsi="Verdana"/>
                <w:spacing w:val="-4"/>
                <w:sz w:val="18"/>
                <w:szCs w:val="18"/>
              </w:rPr>
              <w:t>fauna</w:t>
            </w:r>
          </w:p>
          <w:p w14:paraId="7B25FD96"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pacing w:val="-2"/>
                <w:sz w:val="18"/>
                <w:szCs w:val="18"/>
              </w:rPr>
              <w:t>protected</w:t>
            </w:r>
          </w:p>
        </w:tc>
        <w:tc>
          <w:tcPr>
            <w:tcW w:w="5389" w:type="dxa"/>
            <w:vMerge/>
            <w:tcBorders>
              <w:top w:val="nil"/>
            </w:tcBorders>
          </w:tcPr>
          <w:p w14:paraId="7B7E4E1D" w14:textId="77777777" w:rsidR="008715BE" w:rsidRPr="00EC75B7" w:rsidRDefault="008715BE">
            <w:pPr>
              <w:rPr>
                <w:rFonts w:ascii="Verdana" w:hAnsi="Verdana"/>
                <w:sz w:val="18"/>
                <w:szCs w:val="18"/>
              </w:rPr>
            </w:pPr>
          </w:p>
        </w:tc>
        <w:tc>
          <w:tcPr>
            <w:tcW w:w="1842" w:type="dxa"/>
            <w:vMerge/>
            <w:tcBorders>
              <w:top w:val="nil"/>
            </w:tcBorders>
          </w:tcPr>
          <w:p w14:paraId="37879AA8" w14:textId="77777777" w:rsidR="008715BE" w:rsidRPr="00EC75B7" w:rsidRDefault="008715BE">
            <w:pPr>
              <w:rPr>
                <w:rFonts w:ascii="Verdana" w:hAnsi="Verdana"/>
                <w:sz w:val="18"/>
                <w:szCs w:val="18"/>
              </w:rPr>
            </w:pPr>
          </w:p>
        </w:tc>
        <w:tc>
          <w:tcPr>
            <w:tcW w:w="1419" w:type="dxa"/>
            <w:vMerge/>
            <w:tcBorders>
              <w:top w:val="nil"/>
            </w:tcBorders>
          </w:tcPr>
          <w:p w14:paraId="6844FD10" w14:textId="77777777" w:rsidR="008715BE" w:rsidRPr="00EC75B7" w:rsidRDefault="008715BE">
            <w:pPr>
              <w:rPr>
                <w:rFonts w:ascii="Verdana" w:hAnsi="Verdana"/>
                <w:sz w:val="18"/>
                <w:szCs w:val="18"/>
              </w:rPr>
            </w:pPr>
          </w:p>
        </w:tc>
        <w:tc>
          <w:tcPr>
            <w:tcW w:w="3971" w:type="dxa"/>
            <w:vMerge/>
            <w:tcBorders>
              <w:top w:val="nil"/>
            </w:tcBorders>
          </w:tcPr>
          <w:p w14:paraId="39AD4D71" w14:textId="77777777" w:rsidR="008715BE" w:rsidRPr="00EC75B7" w:rsidRDefault="008715BE">
            <w:pPr>
              <w:rPr>
                <w:rFonts w:ascii="Verdana" w:hAnsi="Verdana"/>
                <w:sz w:val="18"/>
                <w:szCs w:val="18"/>
              </w:rPr>
            </w:pPr>
          </w:p>
        </w:tc>
      </w:tr>
      <w:tr w:rsidR="008715BE" w:rsidRPr="00EC75B7" w14:paraId="59CC83A5" w14:textId="77777777">
        <w:trPr>
          <w:trHeight w:val="974"/>
        </w:trPr>
        <w:tc>
          <w:tcPr>
            <w:tcW w:w="2518" w:type="dxa"/>
          </w:tcPr>
          <w:p w14:paraId="0E72DB50"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pacing w:val="-2"/>
                <w:sz w:val="18"/>
                <w:szCs w:val="18"/>
              </w:rPr>
              <w:t xml:space="preserve">Approved </w:t>
            </w:r>
            <w:r w:rsidRPr="00EC75B7">
              <w:rPr>
                <w:rFonts w:ascii="Verdana" w:hAnsi="Verdana"/>
                <w:sz w:val="18"/>
                <w:szCs w:val="18"/>
              </w:rPr>
              <w:t>sports grounds</w:t>
            </w:r>
          </w:p>
        </w:tc>
        <w:tc>
          <w:tcPr>
            <w:tcW w:w="5389" w:type="dxa"/>
          </w:tcPr>
          <w:p w14:paraId="6754526B"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the height of the tower plus the length </w:t>
            </w:r>
            <w:r w:rsidRPr="00EC75B7">
              <w:rPr>
                <w:rFonts w:ascii="Verdana" w:hAnsi="Verdana"/>
                <w:spacing w:val="-4"/>
                <w:sz w:val="18"/>
                <w:szCs w:val="18"/>
              </w:rPr>
              <w:t>of the blade</w:t>
            </w:r>
          </w:p>
        </w:tc>
        <w:tc>
          <w:tcPr>
            <w:tcW w:w="1842" w:type="dxa"/>
          </w:tcPr>
          <w:p w14:paraId="28EAC237"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51298EAC"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42533C65" w14:textId="77777777" w:rsidR="008715BE" w:rsidRPr="00EC75B7" w:rsidRDefault="00000000">
            <w:pPr>
              <w:pStyle w:val="TableParagraph"/>
              <w:ind w:left="105" w:right="423"/>
              <w:rPr>
                <w:rFonts w:ascii="Verdana" w:hAnsi="Verdana"/>
                <w:sz w:val="18"/>
                <w:szCs w:val="18"/>
              </w:rPr>
            </w:pPr>
            <w:r w:rsidRPr="00EC75B7">
              <w:rPr>
                <w:rFonts w:ascii="Verdana" w:hAnsi="Verdana"/>
                <w:sz w:val="18"/>
                <w:szCs w:val="18"/>
              </w:rPr>
              <w:t>T21 is located approximately 63 km from the Central Stadium – Gheorghe Hagi Academy</w:t>
            </w:r>
          </w:p>
          <w:p w14:paraId="0E40B55A" w14:textId="77777777" w:rsidR="008715BE" w:rsidRPr="00EC75B7" w:rsidRDefault="00000000">
            <w:pPr>
              <w:pStyle w:val="TableParagraph"/>
              <w:ind w:left="105"/>
              <w:rPr>
                <w:rFonts w:ascii="Verdana" w:hAnsi="Verdana"/>
                <w:sz w:val="18"/>
                <w:szCs w:val="18"/>
              </w:rPr>
            </w:pPr>
            <w:r w:rsidRPr="00EC75B7">
              <w:rPr>
                <w:rFonts w:ascii="Verdana" w:hAnsi="Verdana"/>
                <w:sz w:val="18"/>
                <w:szCs w:val="18"/>
              </w:rPr>
              <w:t>In the town of Negru Vodă, there is a municipal stadium, which is not approved and is</w:t>
            </w:r>
          </w:p>
          <w:p w14:paraId="6379FC2F" w14:textId="77777777" w:rsidR="008715BE" w:rsidRPr="00EC75B7" w:rsidRDefault="00000000">
            <w:pPr>
              <w:pStyle w:val="TableParagraph"/>
              <w:spacing w:line="173" w:lineRule="exact"/>
              <w:ind w:left="105"/>
              <w:rPr>
                <w:rFonts w:ascii="Verdana" w:hAnsi="Verdana"/>
                <w:sz w:val="18"/>
                <w:szCs w:val="18"/>
              </w:rPr>
            </w:pPr>
            <w:r w:rsidRPr="00EC75B7">
              <w:rPr>
                <w:rFonts w:ascii="Verdana" w:hAnsi="Verdana"/>
                <w:sz w:val="18"/>
                <w:szCs w:val="18"/>
              </w:rPr>
              <w:t xml:space="preserve">is located about 4.29 km from </w:t>
            </w:r>
            <w:r w:rsidRPr="00EC75B7">
              <w:rPr>
                <w:rFonts w:ascii="Verdana" w:hAnsi="Verdana"/>
                <w:spacing w:val="-5"/>
                <w:sz w:val="18"/>
                <w:szCs w:val="18"/>
              </w:rPr>
              <w:t>T9</w:t>
            </w:r>
          </w:p>
        </w:tc>
      </w:tr>
      <w:tr w:rsidR="008715BE" w:rsidRPr="00EC75B7" w14:paraId="0ADC8575" w14:textId="77777777">
        <w:trPr>
          <w:trHeight w:val="388"/>
        </w:trPr>
        <w:tc>
          <w:tcPr>
            <w:tcW w:w="2518" w:type="dxa"/>
          </w:tcPr>
          <w:p w14:paraId="15E3325A"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Car parks on </w:t>
            </w:r>
            <w:r w:rsidRPr="00EC75B7">
              <w:rPr>
                <w:rFonts w:ascii="Verdana" w:hAnsi="Verdana"/>
                <w:spacing w:val="-5"/>
                <w:sz w:val="18"/>
                <w:szCs w:val="18"/>
              </w:rPr>
              <w:t xml:space="preserve">open-air </w:t>
            </w:r>
            <w:r w:rsidRPr="00EC75B7">
              <w:rPr>
                <w:rFonts w:ascii="Verdana" w:hAnsi="Verdana"/>
                <w:sz w:val="18"/>
                <w:szCs w:val="18"/>
              </w:rPr>
              <w:t>platforms</w:t>
            </w:r>
          </w:p>
          <w:p w14:paraId="480F5F44" w14:textId="77777777" w:rsidR="008715BE" w:rsidRPr="00EC75B7" w:rsidRDefault="00000000">
            <w:pPr>
              <w:pStyle w:val="TableParagraph"/>
              <w:spacing w:line="175" w:lineRule="exact"/>
              <w:ind w:left="105"/>
              <w:rPr>
                <w:rFonts w:ascii="Verdana" w:hAnsi="Verdana"/>
                <w:sz w:val="18"/>
                <w:szCs w:val="18"/>
              </w:rPr>
            </w:pPr>
            <w:r w:rsidRPr="00EC75B7">
              <w:rPr>
                <w:rFonts w:ascii="Verdana" w:hAnsi="Verdana"/>
                <w:sz w:val="18"/>
                <w:szCs w:val="18"/>
              </w:rPr>
              <w:t>out</w:t>
            </w:r>
            <w:r w:rsidRPr="00EC75B7">
              <w:rPr>
                <w:rFonts w:ascii="Verdana" w:hAnsi="Verdana"/>
                <w:spacing w:val="-2"/>
                <w:sz w:val="18"/>
                <w:szCs w:val="18"/>
              </w:rPr>
              <w:t>doors</w:t>
            </w:r>
          </w:p>
        </w:tc>
        <w:tc>
          <w:tcPr>
            <w:tcW w:w="5389" w:type="dxa"/>
          </w:tcPr>
          <w:p w14:paraId="10C692DE" w14:textId="77777777" w:rsidR="008715BE" w:rsidRPr="00EC75B7" w:rsidRDefault="00000000">
            <w:pPr>
              <w:pStyle w:val="TableParagraph"/>
              <w:spacing w:line="194" w:lineRule="exact"/>
              <w:ind w:left="107"/>
              <w:rPr>
                <w:rFonts w:ascii="Verdana" w:hAnsi="Verdana"/>
                <w:sz w:val="18"/>
                <w:szCs w:val="18"/>
              </w:rPr>
            </w:pPr>
            <w:r w:rsidRPr="00EC75B7">
              <w:rPr>
                <w:rFonts w:ascii="Verdana" w:hAnsi="Verdana"/>
                <w:sz w:val="18"/>
                <w:szCs w:val="18"/>
              </w:rPr>
              <w:t xml:space="preserve">H + 3 m, where H = the height of the pillar plus the length </w:t>
            </w:r>
            <w:r w:rsidRPr="00EC75B7">
              <w:rPr>
                <w:rFonts w:ascii="Verdana" w:hAnsi="Verdana"/>
                <w:spacing w:val="-4"/>
                <w:sz w:val="18"/>
                <w:szCs w:val="18"/>
              </w:rPr>
              <w:t>of the blade</w:t>
            </w:r>
          </w:p>
        </w:tc>
        <w:tc>
          <w:tcPr>
            <w:tcW w:w="1842" w:type="dxa"/>
          </w:tcPr>
          <w:p w14:paraId="2CFCF5FD"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w:t>
            </w:r>
          </w:p>
        </w:tc>
        <w:tc>
          <w:tcPr>
            <w:tcW w:w="1419" w:type="dxa"/>
          </w:tcPr>
          <w:p w14:paraId="7F75AC3E" w14:textId="77777777" w:rsidR="008715BE" w:rsidRPr="00EC75B7" w:rsidRDefault="00000000">
            <w:pPr>
              <w:pStyle w:val="TableParagraph"/>
              <w:spacing w:line="194" w:lineRule="exact"/>
              <w:ind w:left="106"/>
              <w:rPr>
                <w:rFonts w:ascii="Verdana" w:hAnsi="Verdana"/>
                <w:sz w:val="18"/>
                <w:szCs w:val="18"/>
              </w:rPr>
            </w:pPr>
            <w:r w:rsidRPr="00EC75B7">
              <w:rPr>
                <w:rFonts w:ascii="Verdana" w:hAnsi="Verdana"/>
                <w:spacing w:val="-5"/>
                <w:sz w:val="18"/>
                <w:szCs w:val="18"/>
              </w:rPr>
              <w:t>253</w:t>
            </w:r>
          </w:p>
        </w:tc>
        <w:tc>
          <w:tcPr>
            <w:tcW w:w="3971" w:type="dxa"/>
          </w:tcPr>
          <w:p w14:paraId="605DD5B6" w14:textId="77777777" w:rsidR="008715BE" w:rsidRPr="00EC75B7" w:rsidRDefault="00000000">
            <w:pPr>
              <w:pStyle w:val="TableParagraph"/>
              <w:spacing w:line="194" w:lineRule="exact"/>
              <w:ind w:left="105"/>
              <w:rPr>
                <w:rFonts w:ascii="Verdana" w:hAnsi="Verdana"/>
                <w:sz w:val="18"/>
                <w:szCs w:val="18"/>
              </w:rPr>
            </w:pPr>
            <w:r w:rsidRPr="00EC75B7">
              <w:rPr>
                <w:rFonts w:ascii="Verdana" w:hAnsi="Verdana"/>
                <w:sz w:val="18"/>
                <w:szCs w:val="18"/>
              </w:rPr>
              <w:t xml:space="preserve">Not </w:t>
            </w:r>
            <w:r w:rsidRPr="00EC75B7">
              <w:rPr>
                <w:rFonts w:ascii="Verdana" w:hAnsi="Verdana"/>
                <w:spacing w:val="-2"/>
                <w:sz w:val="18"/>
                <w:szCs w:val="18"/>
              </w:rPr>
              <w:t>applicable</w:t>
            </w:r>
          </w:p>
        </w:tc>
      </w:tr>
    </w:tbl>
    <w:p w14:paraId="48F880EA" w14:textId="77777777" w:rsidR="008715BE" w:rsidRPr="00EC75B7" w:rsidRDefault="008715BE">
      <w:pPr>
        <w:pStyle w:val="TableParagraph"/>
        <w:spacing w:line="194" w:lineRule="exact"/>
        <w:rPr>
          <w:rFonts w:ascii="Verdana" w:hAnsi="Verdana"/>
          <w:sz w:val="18"/>
          <w:szCs w:val="18"/>
        </w:rPr>
        <w:sectPr w:rsidR="008715BE" w:rsidRPr="00EC75B7">
          <w:type w:val="continuous"/>
          <w:pgSz w:w="16840" w:h="11910" w:orient="landscape"/>
          <w:pgMar w:top="1180" w:right="708" w:bottom="1020" w:left="850" w:header="766" w:footer="810" w:gutter="0"/>
          <w:cols w:space="708"/>
        </w:sectPr>
      </w:pPr>
    </w:p>
    <w:p w14:paraId="00767FAE" w14:textId="77777777" w:rsidR="008715BE" w:rsidRPr="00EC75B7" w:rsidRDefault="008715BE">
      <w:pPr>
        <w:pStyle w:val="BodyText"/>
        <w:rPr>
          <w:rFonts w:ascii="Verdana" w:hAnsi="Verdana"/>
          <w:b/>
        </w:rPr>
      </w:pPr>
    </w:p>
    <w:p w14:paraId="5D0CF48D" w14:textId="77777777" w:rsidR="008715BE" w:rsidRPr="00EC75B7" w:rsidRDefault="008715BE">
      <w:pPr>
        <w:pStyle w:val="BodyText"/>
        <w:spacing w:before="183"/>
        <w:rPr>
          <w:rFonts w:ascii="Verdana" w:hAnsi="Verdana"/>
          <w:b/>
        </w:rPr>
      </w:pPr>
    </w:p>
    <w:p w14:paraId="550EA3DB" w14:textId="77777777" w:rsidR="008715BE" w:rsidRPr="00EC75B7" w:rsidRDefault="00000000">
      <w:pPr>
        <w:pStyle w:val="Heading3"/>
        <w:numPr>
          <w:ilvl w:val="2"/>
          <w:numId w:val="110"/>
        </w:numPr>
        <w:tabs>
          <w:tab w:val="left" w:pos="2049"/>
          <w:tab w:val="left" w:pos="2054"/>
        </w:tabs>
        <w:spacing w:line="355" w:lineRule="auto"/>
        <w:ind w:left="2054" w:right="572" w:hanging="720"/>
        <w:rPr>
          <w:rFonts w:ascii="Verdana" w:hAnsi="Verdana"/>
          <w:i/>
          <w:color w:val="00AFEF"/>
          <w:sz w:val="18"/>
          <w:szCs w:val="18"/>
        </w:rPr>
      </w:pPr>
      <w:bookmarkStart w:id="142" w:name="_bookmark140"/>
      <w:bookmarkEnd w:id="142"/>
      <w:r w:rsidRPr="00EC75B7">
        <w:rPr>
          <w:rFonts w:ascii="Verdana" w:hAnsi="Verdana"/>
          <w:color w:val="00AFEF"/>
          <w:sz w:val="18"/>
          <w:szCs w:val="18"/>
        </w:rPr>
        <w:t xml:space="preserve">Safety distance from public roads of national or </w:t>
      </w:r>
      <w:r w:rsidRPr="00EC75B7">
        <w:rPr>
          <w:rFonts w:ascii="Verdana" w:hAnsi="Verdana"/>
          <w:color w:val="00AFEF"/>
          <w:spacing w:val="-2"/>
          <w:sz w:val="18"/>
          <w:szCs w:val="18"/>
        </w:rPr>
        <w:t xml:space="preserve">county </w:t>
      </w:r>
      <w:r w:rsidRPr="00EC75B7">
        <w:rPr>
          <w:rFonts w:ascii="Verdana" w:hAnsi="Verdana"/>
          <w:color w:val="00AFEF"/>
          <w:sz w:val="18"/>
          <w:szCs w:val="18"/>
        </w:rPr>
        <w:t>interest</w:t>
      </w:r>
    </w:p>
    <w:p w14:paraId="2DB0FDAC" w14:textId="77777777" w:rsidR="008715BE" w:rsidRPr="00EC75B7" w:rsidRDefault="00000000">
      <w:pPr>
        <w:pStyle w:val="BodyText"/>
        <w:spacing w:before="242"/>
        <w:ind w:left="369"/>
        <w:rPr>
          <w:rFonts w:ascii="Verdana" w:hAnsi="Verdana"/>
        </w:rPr>
      </w:pPr>
      <w:r w:rsidRPr="00EC75B7">
        <w:rPr>
          <w:rFonts w:ascii="Verdana" w:hAnsi="Verdana"/>
        </w:rPr>
        <w:t>In the area where the Cerchezu wind farm is located</w:t>
      </w:r>
      <w:r w:rsidRPr="00EC75B7">
        <w:rPr>
          <w:rFonts w:ascii="Verdana" w:hAnsi="Verdana"/>
          <w:spacing w:val="-2"/>
        </w:rPr>
        <w:t xml:space="preserve">, </w:t>
      </w:r>
      <w:r w:rsidRPr="00EC75B7">
        <w:rPr>
          <w:rFonts w:ascii="Verdana" w:hAnsi="Verdana"/>
        </w:rPr>
        <w:t xml:space="preserve">the identified transport infrastructure </w:t>
      </w:r>
      <w:r w:rsidRPr="00EC75B7">
        <w:rPr>
          <w:rFonts w:ascii="Verdana" w:hAnsi="Verdana"/>
          <w:spacing w:val="-2"/>
        </w:rPr>
        <w:t>includes:</w:t>
      </w:r>
    </w:p>
    <w:p w14:paraId="7A0085A6" w14:textId="77777777" w:rsidR="008715BE" w:rsidRPr="00EC75B7" w:rsidRDefault="008715BE">
      <w:pPr>
        <w:pStyle w:val="BodyText"/>
        <w:spacing w:before="9"/>
        <w:rPr>
          <w:rFonts w:ascii="Verdana" w:hAnsi="Verdana"/>
        </w:rPr>
      </w:pPr>
    </w:p>
    <w:p w14:paraId="01142D2A" w14:textId="77777777" w:rsidR="008715BE" w:rsidRPr="00EC75B7" w:rsidRDefault="00000000">
      <w:pPr>
        <w:pStyle w:val="ListParagraph"/>
        <w:numPr>
          <w:ilvl w:val="1"/>
          <w:numId w:val="2"/>
        </w:numPr>
        <w:tabs>
          <w:tab w:val="left" w:pos="1089"/>
        </w:tabs>
        <w:rPr>
          <w:rFonts w:ascii="Verdana" w:hAnsi="Verdana"/>
          <w:sz w:val="18"/>
          <w:szCs w:val="18"/>
        </w:rPr>
      </w:pPr>
      <w:r w:rsidRPr="00EC75B7">
        <w:rPr>
          <w:rFonts w:ascii="Verdana" w:hAnsi="Verdana"/>
          <w:sz w:val="18"/>
          <w:szCs w:val="18"/>
        </w:rPr>
        <w:t xml:space="preserve">DN 38 Constanta – Negru </w:t>
      </w:r>
      <w:r w:rsidRPr="00EC75B7">
        <w:rPr>
          <w:rFonts w:ascii="Verdana" w:hAnsi="Verdana"/>
          <w:spacing w:val="-4"/>
          <w:sz w:val="18"/>
          <w:szCs w:val="18"/>
        </w:rPr>
        <w:t>Voda</w:t>
      </w:r>
    </w:p>
    <w:p w14:paraId="7E156179"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z w:val="18"/>
          <w:szCs w:val="18"/>
        </w:rPr>
        <w:t xml:space="preserve">DJ391 Mangalia – Negru Vodă – Cobadin – </w:t>
      </w:r>
      <w:r w:rsidRPr="00EC75B7">
        <w:rPr>
          <w:rFonts w:ascii="Verdana" w:hAnsi="Verdana"/>
          <w:spacing w:val="-4"/>
          <w:sz w:val="18"/>
          <w:szCs w:val="18"/>
        </w:rPr>
        <w:t>Tuzla</w:t>
      </w:r>
    </w:p>
    <w:p w14:paraId="15494829"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pacing w:val="-2"/>
          <w:sz w:val="18"/>
          <w:szCs w:val="18"/>
        </w:rPr>
        <w:t>DJ391A</w:t>
      </w:r>
    </w:p>
    <w:p w14:paraId="37620CCF" w14:textId="77777777" w:rsidR="008715BE" w:rsidRPr="00EC75B7" w:rsidRDefault="008715BE">
      <w:pPr>
        <w:pStyle w:val="BodyText"/>
        <w:spacing w:before="7"/>
        <w:rPr>
          <w:rFonts w:ascii="Verdana" w:hAnsi="Verdana"/>
        </w:rPr>
      </w:pPr>
    </w:p>
    <w:p w14:paraId="479238B7" w14:textId="77777777" w:rsidR="008715BE" w:rsidRPr="00EC75B7" w:rsidRDefault="00000000">
      <w:pPr>
        <w:pStyle w:val="BodyText"/>
        <w:spacing w:line="357" w:lineRule="auto"/>
        <w:ind w:left="340" w:right="562"/>
        <w:jc w:val="both"/>
        <w:rPr>
          <w:rFonts w:ascii="Verdana" w:hAnsi="Verdana"/>
        </w:rPr>
      </w:pPr>
      <w:r w:rsidRPr="00EC75B7">
        <w:rPr>
          <w:rFonts w:ascii="Verdana" w:hAnsi="Verdana"/>
        </w:rPr>
        <w:t>Spatial analysis of the project location in relation to national and county transport infrastructure confirmed that the wind turbines are located within the safety distance from these, in accordance with ANRE Technical Regulations.</w:t>
      </w:r>
      <w:r w:rsidRPr="00EC75B7">
        <w:rPr>
          <w:rFonts w:ascii="Verdana" w:hAnsi="Verdana"/>
          <w:spacing w:val="40"/>
        </w:rPr>
        <w:t xml:space="preserve"> </w:t>
      </w:r>
      <w:r w:rsidRPr="00EC75B7">
        <w:rPr>
          <w:rFonts w:ascii="Verdana" w:hAnsi="Verdana"/>
        </w:rPr>
        <w:t>The minimum distance requirement is 30 m, and the safety distance for this wind farm is 253 m. The closest road to the wind turbines is DJ391A 244H, located 260 m from T32.</w:t>
      </w:r>
    </w:p>
    <w:p w14:paraId="4F96A450" w14:textId="77777777" w:rsidR="008715BE" w:rsidRPr="00EC75B7" w:rsidRDefault="008715BE">
      <w:pPr>
        <w:pStyle w:val="BodyText"/>
        <w:spacing w:before="28"/>
        <w:rPr>
          <w:rFonts w:ascii="Verdana" w:hAnsi="Verdana"/>
        </w:rPr>
      </w:pPr>
    </w:p>
    <w:p w14:paraId="612A771D"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43" w:name="_bookmark141"/>
      <w:bookmarkEnd w:id="143"/>
      <w:r w:rsidRPr="00EC75B7">
        <w:rPr>
          <w:rFonts w:ascii="Verdana" w:hAnsi="Verdana"/>
          <w:color w:val="00AFEF"/>
          <w:sz w:val="18"/>
          <w:szCs w:val="18"/>
        </w:rPr>
        <w:t xml:space="preserve">Safety distance from public municipal or </w:t>
      </w:r>
      <w:r w:rsidRPr="00EC75B7">
        <w:rPr>
          <w:rFonts w:ascii="Verdana" w:hAnsi="Verdana"/>
          <w:color w:val="00AFEF"/>
          <w:spacing w:val="-2"/>
          <w:sz w:val="18"/>
          <w:szCs w:val="18"/>
        </w:rPr>
        <w:t xml:space="preserve">local </w:t>
      </w:r>
      <w:r w:rsidRPr="00EC75B7">
        <w:rPr>
          <w:rFonts w:ascii="Verdana" w:hAnsi="Verdana"/>
          <w:color w:val="00AFEF"/>
          <w:sz w:val="18"/>
          <w:szCs w:val="18"/>
        </w:rPr>
        <w:t>roads</w:t>
      </w:r>
    </w:p>
    <w:p w14:paraId="35287C83" w14:textId="77777777" w:rsidR="008715BE" w:rsidRPr="00EC75B7" w:rsidRDefault="008715BE">
      <w:pPr>
        <w:pStyle w:val="BodyText"/>
        <w:spacing w:before="114"/>
        <w:rPr>
          <w:rFonts w:ascii="Verdana" w:hAnsi="Verdana"/>
          <w:b/>
        </w:rPr>
      </w:pPr>
    </w:p>
    <w:p w14:paraId="6D3D736C" w14:textId="77777777" w:rsidR="008715BE" w:rsidRPr="00EC75B7" w:rsidRDefault="00000000">
      <w:pPr>
        <w:pStyle w:val="BodyText"/>
        <w:spacing w:line="357" w:lineRule="auto"/>
        <w:ind w:left="369" w:right="571"/>
        <w:jc w:val="both"/>
        <w:rPr>
          <w:rFonts w:ascii="Verdana" w:hAnsi="Verdana"/>
        </w:rPr>
      </w:pPr>
      <w:r w:rsidRPr="00EC75B7">
        <w:rPr>
          <w:rFonts w:ascii="Verdana" w:hAnsi="Verdana"/>
        </w:rPr>
        <w:t>The minimum regulated distance for municipal or local public roads is 30 m, and the safety distance for this wind farm, calculated based on the height of the blades, is 85 m. The closest municipal and local public roads to the project's turbines are as follows:</w:t>
      </w:r>
    </w:p>
    <w:p w14:paraId="6981DB29" w14:textId="77777777" w:rsidR="008715BE" w:rsidRPr="00EC75B7" w:rsidRDefault="00000000">
      <w:pPr>
        <w:pStyle w:val="ListParagraph"/>
        <w:numPr>
          <w:ilvl w:val="1"/>
          <w:numId w:val="2"/>
        </w:numPr>
        <w:tabs>
          <w:tab w:val="left" w:pos="1089"/>
        </w:tabs>
        <w:spacing w:before="122"/>
        <w:rPr>
          <w:rFonts w:ascii="Verdana" w:hAnsi="Verdana"/>
          <w:sz w:val="18"/>
          <w:szCs w:val="18"/>
        </w:rPr>
      </w:pPr>
      <w:r w:rsidRPr="00EC75B7">
        <w:rPr>
          <w:rFonts w:ascii="Verdana" w:hAnsi="Verdana"/>
          <w:sz w:val="18"/>
          <w:szCs w:val="18"/>
        </w:rPr>
        <w:t>T40 is located approximately 686 m from DC</w:t>
      </w:r>
      <w:r w:rsidRPr="00EC75B7">
        <w:rPr>
          <w:rFonts w:ascii="Verdana" w:hAnsi="Verdana"/>
          <w:spacing w:val="-5"/>
          <w:sz w:val="18"/>
          <w:szCs w:val="18"/>
        </w:rPr>
        <w:t xml:space="preserve"> 19</w:t>
      </w:r>
    </w:p>
    <w:p w14:paraId="35C1A783"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z w:val="18"/>
          <w:szCs w:val="18"/>
        </w:rPr>
        <w:t>T41 is located approximately 384 m from DC</w:t>
      </w:r>
      <w:r w:rsidRPr="00EC75B7">
        <w:rPr>
          <w:rFonts w:ascii="Verdana" w:hAnsi="Verdana"/>
          <w:spacing w:val="-5"/>
          <w:sz w:val="18"/>
          <w:szCs w:val="18"/>
        </w:rPr>
        <w:t xml:space="preserve"> 19</w:t>
      </w:r>
    </w:p>
    <w:p w14:paraId="61440A7B" w14:textId="77777777" w:rsidR="008715BE" w:rsidRPr="00EC75B7" w:rsidRDefault="00000000">
      <w:pPr>
        <w:pStyle w:val="ListParagraph"/>
        <w:numPr>
          <w:ilvl w:val="1"/>
          <w:numId w:val="2"/>
        </w:numPr>
        <w:tabs>
          <w:tab w:val="left" w:pos="1089"/>
        </w:tabs>
        <w:spacing w:before="107"/>
        <w:rPr>
          <w:rFonts w:ascii="Verdana" w:hAnsi="Verdana"/>
          <w:sz w:val="18"/>
          <w:szCs w:val="18"/>
        </w:rPr>
      </w:pPr>
      <w:r w:rsidRPr="00EC75B7">
        <w:rPr>
          <w:rFonts w:ascii="Verdana" w:hAnsi="Verdana"/>
          <w:sz w:val="18"/>
          <w:szCs w:val="18"/>
        </w:rPr>
        <w:t>T34 is located approximately 634 m from DC</w:t>
      </w:r>
      <w:r w:rsidRPr="00EC75B7">
        <w:rPr>
          <w:rFonts w:ascii="Verdana" w:hAnsi="Verdana"/>
          <w:spacing w:val="-5"/>
          <w:sz w:val="18"/>
          <w:szCs w:val="18"/>
        </w:rPr>
        <w:t xml:space="preserve"> 18</w:t>
      </w:r>
    </w:p>
    <w:p w14:paraId="0A52EBE0"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z w:val="18"/>
          <w:szCs w:val="18"/>
        </w:rPr>
        <w:t>T37 is located approximately 352 m from DC</w:t>
      </w:r>
      <w:r w:rsidRPr="00EC75B7">
        <w:rPr>
          <w:rFonts w:ascii="Verdana" w:hAnsi="Verdana"/>
          <w:spacing w:val="-5"/>
          <w:sz w:val="18"/>
          <w:szCs w:val="18"/>
        </w:rPr>
        <w:t xml:space="preserve"> 18</w:t>
      </w:r>
    </w:p>
    <w:p w14:paraId="2A2FA606"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z w:val="18"/>
          <w:szCs w:val="18"/>
        </w:rPr>
        <w:t>T31 is located approximately 167 m from DC</w:t>
      </w:r>
      <w:r w:rsidRPr="00EC75B7">
        <w:rPr>
          <w:rFonts w:ascii="Verdana" w:hAnsi="Verdana"/>
          <w:spacing w:val="-5"/>
          <w:sz w:val="18"/>
          <w:szCs w:val="18"/>
        </w:rPr>
        <w:t xml:space="preserve"> 17</w:t>
      </w:r>
    </w:p>
    <w:p w14:paraId="0101101F" w14:textId="77777777" w:rsidR="008715BE" w:rsidRPr="00EC75B7" w:rsidRDefault="00000000">
      <w:pPr>
        <w:pStyle w:val="ListParagraph"/>
        <w:numPr>
          <w:ilvl w:val="1"/>
          <w:numId w:val="2"/>
        </w:numPr>
        <w:tabs>
          <w:tab w:val="left" w:pos="1089"/>
        </w:tabs>
        <w:spacing w:before="109"/>
        <w:rPr>
          <w:rFonts w:ascii="Verdana" w:hAnsi="Verdana"/>
          <w:sz w:val="18"/>
          <w:szCs w:val="18"/>
        </w:rPr>
      </w:pPr>
      <w:r w:rsidRPr="00EC75B7">
        <w:rPr>
          <w:rFonts w:ascii="Verdana" w:hAnsi="Verdana"/>
          <w:sz w:val="18"/>
          <w:szCs w:val="18"/>
        </w:rPr>
        <w:t>T29 is located approximately 424 m from DC</w:t>
      </w:r>
      <w:r w:rsidRPr="00EC75B7">
        <w:rPr>
          <w:rFonts w:ascii="Verdana" w:hAnsi="Verdana"/>
          <w:spacing w:val="-5"/>
          <w:sz w:val="18"/>
          <w:szCs w:val="18"/>
        </w:rPr>
        <w:t xml:space="preserve"> 17</w:t>
      </w:r>
    </w:p>
    <w:p w14:paraId="20D423DF" w14:textId="77777777" w:rsidR="008715BE" w:rsidRPr="00EC75B7" w:rsidRDefault="008715BE">
      <w:pPr>
        <w:pStyle w:val="BodyText"/>
        <w:rPr>
          <w:rFonts w:ascii="Verdana" w:hAnsi="Verdana"/>
        </w:rPr>
      </w:pPr>
    </w:p>
    <w:p w14:paraId="0570D4BE" w14:textId="77777777" w:rsidR="008715BE" w:rsidRPr="00EC75B7" w:rsidRDefault="008715BE">
      <w:pPr>
        <w:pStyle w:val="BodyText"/>
        <w:rPr>
          <w:rFonts w:ascii="Verdana" w:hAnsi="Verdana"/>
        </w:rPr>
      </w:pPr>
    </w:p>
    <w:p w14:paraId="549E3AE0" w14:textId="77777777" w:rsidR="008715BE" w:rsidRPr="00EC75B7" w:rsidRDefault="008715BE">
      <w:pPr>
        <w:pStyle w:val="BodyText"/>
        <w:spacing w:before="139"/>
        <w:rPr>
          <w:rFonts w:ascii="Verdana" w:hAnsi="Verdana"/>
        </w:rPr>
      </w:pPr>
    </w:p>
    <w:p w14:paraId="55458E42"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44" w:name="_bookmark142"/>
      <w:bookmarkEnd w:id="144"/>
      <w:r w:rsidRPr="00EC75B7">
        <w:rPr>
          <w:rFonts w:ascii="Verdana" w:hAnsi="Verdana"/>
          <w:color w:val="00AFEF"/>
          <w:sz w:val="18"/>
          <w:szCs w:val="18"/>
        </w:rPr>
        <w:t xml:space="preserve">Safety distance from </w:t>
      </w:r>
      <w:r w:rsidRPr="00EC75B7">
        <w:rPr>
          <w:rFonts w:ascii="Verdana" w:hAnsi="Verdana"/>
          <w:color w:val="00AFEF"/>
          <w:spacing w:val="-2"/>
          <w:sz w:val="18"/>
          <w:szCs w:val="18"/>
        </w:rPr>
        <w:t>railways</w:t>
      </w:r>
    </w:p>
    <w:p w14:paraId="686F6B44" w14:textId="77777777" w:rsidR="008715BE" w:rsidRPr="00EC75B7" w:rsidRDefault="008715BE">
      <w:pPr>
        <w:pStyle w:val="BodyText"/>
        <w:spacing w:before="114"/>
        <w:rPr>
          <w:rFonts w:ascii="Verdana" w:hAnsi="Verdana"/>
          <w:b/>
        </w:rPr>
      </w:pPr>
    </w:p>
    <w:p w14:paraId="1573021F" w14:textId="77777777" w:rsidR="008715BE" w:rsidRPr="00EC75B7" w:rsidRDefault="00000000">
      <w:pPr>
        <w:pStyle w:val="BodyText"/>
        <w:ind w:left="369"/>
        <w:rPr>
          <w:rFonts w:ascii="Verdana" w:hAnsi="Verdana"/>
        </w:rPr>
      </w:pPr>
      <w:r w:rsidRPr="00EC75B7">
        <w:rPr>
          <w:rFonts w:ascii="Verdana" w:hAnsi="Verdana"/>
        </w:rPr>
        <w:t xml:space="preserve">Not applicable, there are no </w:t>
      </w:r>
      <w:r w:rsidRPr="00EC75B7">
        <w:rPr>
          <w:rFonts w:ascii="Verdana" w:hAnsi="Verdana"/>
          <w:spacing w:val="-2"/>
        </w:rPr>
        <w:t xml:space="preserve">railway </w:t>
      </w:r>
      <w:r w:rsidRPr="00EC75B7">
        <w:rPr>
          <w:rFonts w:ascii="Verdana" w:hAnsi="Verdana"/>
        </w:rPr>
        <w:t>lines in the project area</w:t>
      </w:r>
    </w:p>
    <w:p w14:paraId="782520BF" w14:textId="77777777" w:rsidR="008715BE" w:rsidRPr="00EC75B7" w:rsidRDefault="008715BE">
      <w:pPr>
        <w:pStyle w:val="BodyText"/>
        <w:spacing w:before="132"/>
        <w:rPr>
          <w:rFonts w:ascii="Verdana" w:hAnsi="Verdana"/>
        </w:rPr>
      </w:pPr>
    </w:p>
    <w:p w14:paraId="43663626" w14:textId="77777777" w:rsidR="008715BE" w:rsidRPr="00EC75B7" w:rsidRDefault="00000000">
      <w:pPr>
        <w:pStyle w:val="Heading3"/>
        <w:numPr>
          <w:ilvl w:val="2"/>
          <w:numId w:val="110"/>
        </w:numPr>
        <w:tabs>
          <w:tab w:val="left" w:pos="1617"/>
          <w:tab w:val="left" w:pos="2325"/>
        </w:tabs>
        <w:spacing w:line="357" w:lineRule="auto"/>
        <w:ind w:left="1617" w:right="569" w:hanging="284"/>
        <w:rPr>
          <w:rFonts w:ascii="Verdana" w:hAnsi="Verdana"/>
          <w:i/>
          <w:color w:val="00AFEF"/>
          <w:sz w:val="18"/>
          <w:szCs w:val="18"/>
        </w:rPr>
      </w:pPr>
      <w:bookmarkStart w:id="145" w:name="_bookmark143"/>
      <w:bookmarkEnd w:id="145"/>
      <w:r w:rsidRPr="00EC75B7">
        <w:rPr>
          <w:rFonts w:ascii="Verdana" w:hAnsi="Verdana"/>
          <w:color w:val="00AFEF"/>
          <w:sz w:val="18"/>
          <w:szCs w:val="18"/>
        </w:rPr>
        <w:t xml:space="preserve">Safety distance from overhead power lines (LEA) and </w:t>
      </w:r>
      <w:r w:rsidRPr="00EC75B7">
        <w:rPr>
          <w:rFonts w:ascii="Verdana" w:hAnsi="Verdana"/>
          <w:color w:val="00AFEF"/>
          <w:spacing w:val="-2"/>
          <w:sz w:val="18"/>
          <w:szCs w:val="18"/>
        </w:rPr>
        <w:t>telecommunications</w:t>
      </w:r>
      <w:r w:rsidRPr="00EC75B7">
        <w:rPr>
          <w:rFonts w:ascii="Verdana" w:hAnsi="Verdana"/>
          <w:color w:val="00AFEF"/>
          <w:sz w:val="18"/>
          <w:szCs w:val="18"/>
        </w:rPr>
        <w:t xml:space="preserve"> lines</w:t>
      </w:r>
    </w:p>
    <w:p w14:paraId="433825E6" w14:textId="77777777" w:rsidR="008715BE" w:rsidRPr="00EC75B7" w:rsidRDefault="00000000">
      <w:pPr>
        <w:pStyle w:val="BodyText"/>
        <w:spacing w:before="240" w:line="357" w:lineRule="auto"/>
        <w:ind w:left="369" w:right="560"/>
        <w:jc w:val="both"/>
        <w:rPr>
          <w:rFonts w:ascii="Verdana" w:hAnsi="Verdana"/>
        </w:rPr>
      </w:pPr>
      <w:r w:rsidRPr="00EC75B7">
        <w:rPr>
          <w:rFonts w:ascii="Verdana" w:hAnsi="Verdana"/>
        </w:rPr>
        <w:t>The safety distances regulated for overhead power lines and telecommunications lines are 253 m. The shortest distance to the power line located in the western part of the site is 305 m measured from wind turbine T37. The safety distance is respected for all wind turbines included in the project.</w:t>
      </w:r>
    </w:p>
    <w:p w14:paraId="5C12B714" w14:textId="77777777" w:rsidR="008715BE" w:rsidRPr="00EC75B7" w:rsidRDefault="008715BE">
      <w:pPr>
        <w:pStyle w:val="BodyText"/>
        <w:spacing w:before="24"/>
        <w:rPr>
          <w:rFonts w:ascii="Verdana" w:hAnsi="Verdana"/>
        </w:rPr>
      </w:pPr>
    </w:p>
    <w:p w14:paraId="550661E4"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46" w:name="_bookmark144"/>
      <w:bookmarkEnd w:id="146"/>
      <w:r w:rsidRPr="00EC75B7">
        <w:rPr>
          <w:rFonts w:ascii="Verdana" w:hAnsi="Verdana"/>
          <w:color w:val="00AFEF"/>
          <w:sz w:val="18"/>
          <w:szCs w:val="18"/>
        </w:rPr>
        <w:t xml:space="preserve">Safety distance from </w:t>
      </w:r>
      <w:r w:rsidRPr="00EC75B7">
        <w:rPr>
          <w:rFonts w:ascii="Verdana" w:hAnsi="Verdana"/>
          <w:color w:val="00AFEF"/>
          <w:spacing w:val="-2"/>
          <w:sz w:val="18"/>
          <w:szCs w:val="18"/>
        </w:rPr>
        <w:t>bridges</w:t>
      </w:r>
    </w:p>
    <w:p w14:paraId="70E649AF" w14:textId="77777777" w:rsidR="008715BE" w:rsidRPr="00EC75B7" w:rsidRDefault="008715BE">
      <w:pPr>
        <w:pStyle w:val="BodyText"/>
        <w:spacing w:before="114"/>
        <w:rPr>
          <w:rFonts w:ascii="Verdana" w:hAnsi="Verdana"/>
          <w:b/>
        </w:rPr>
      </w:pPr>
    </w:p>
    <w:p w14:paraId="4DA5A0F4" w14:textId="77777777" w:rsidR="008715BE" w:rsidRPr="00EC75B7" w:rsidRDefault="00000000">
      <w:pPr>
        <w:pStyle w:val="BodyText"/>
        <w:ind w:left="369"/>
        <w:rPr>
          <w:rFonts w:ascii="Verdana" w:hAnsi="Verdana"/>
        </w:rPr>
      </w:pPr>
      <w:r w:rsidRPr="00EC75B7">
        <w:rPr>
          <w:rFonts w:ascii="Verdana" w:hAnsi="Verdana"/>
        </w:rPr>
        <w:t xml:space="preserve">According to the regulations in force, the safety distance calculated based on the height of the turbines </w:t>
      </w:r>
      <w:r w:rsidRPr="00EC75B7">
        <w:rPr>
          <w:rFonts w:ascii="Verdana" w:hAnsi="Verdana"/>
          <w:spacing w:val="-4"/>
        </w:rPr>
        <w:t>is</w:t>
      </w:r>
    </w:p>
    <w:p w14:paraId="661C9D82" w14:textId="77777777" w:rsidR="008715BE" w:rsidRPr="00EC75B7" w:rsidRDefault="00000000">
      <w:pPr>
        <w:pStyle w:val="BodyText"/>
        <w:spacing w:before="109"/>
        <w:ind w:left="369"/>
        <w:rPr>
          <w:rFonts w:ascii="Verdana" w:hAnsi="Verdana"/>
        </w:rPr>
      </w:pPr>
      <w:r w:rsidRPr="00EC75B7">
        <w:rPr>
          <w:rFonts w:ascii="Verdana" w:hAnsi="Verdana"/>
        </w:rPr>
        <w:t xml:space="preserve">253 m. The Cerchezu wind farm meets the safety distance requirements for bridges, </w:t>
      </w:r>
      <w:r w:rsidRPr="00EC75B7">
        <w:rPr>
          <w:rFonts w:ascii="Verdana" w:hAnsi="Verdana"/>
          <w:spacing w:val="-5"/>
        </w:rPr>
        <w:t>the</w:t>
      </w:r>
    </w:p>
    <w:p w14:paraId="72D38181" w14:textId="77777777" w:rsidR="008715BE" w:rsidRPr="00EC75B7" w:rsidRDefault="008715BE">
      <w:pPr>
        <w:pStyle w:val="BodyText"/>
        <w:rPr>
          <w:rFonts w:ascii="Verdana" w:hAnsi="Verdana"/>
        </w:rPr>
        <w:sectPr w:rsidR="008715BE" w:rsidRPr="00EC75B7">
          <w:headerReference w:type="default" r:id="rId321"/>
          <w:footerReference w:type="default" r:id="rId322"/>
          <w:pgSz w:w="11910" w:h="16840"/>
          <w:pgMar w:top="1320" w:right="425" w:bottom="1020" w:left="850" w:header="766" w:footer="824" w:gutter="0"/>
          <w:cols w:space="708"/>
        </w:sectPr>
      </w:pPr>
    </w:p>
    <w:p w14:paraId="371C26AD" w14:textId="77777777" w:rsidR="008715BE" w:rsidRPr="00EC75B7" w:rsidRDefault="00000000">
      <w:pPr>
        <w:pStyle w:val="BodyText"/>
        <w:spacing w:before="99"/>
        <w:ind w:left="369"/>
        <w:rPr>
          <w:rFonts w:ascii="Verdana" w:hAnsi="Verdana"/>
        </w:rPr>
      </w:pPr>
      <w:r w:rsidRPr="00EC75B7">
        <w:rPr>
          <w:rFonts w:ascii="Verdana" w:hAnsi="Verdana"/>
        </w:rPr>
        <w:lastRenderedPageBreak/>
        <w:t xml:space="preserve">nearest such structure is the road bridge on the local road in the village of Căscioarele, located at </w:t>
      </w:r>
      <w:r w:rsidRPr="00EC75B7">
        <w:rPr>
          <w:rFonts w:ascii="Verdana" w:hAnsi="Verdana"/>
          <w:spacing w:val="-10"/>
        </w:rPr>
        <w:t>a</w:t>
      </w:r>
    </w:p>
    <w:p w14:paraId="4E049B94" w14:textId="77777777" w:rsidR="008715BE" w:rsidRPr="00EC75B7" w:rsidRDefault="00000000">
      <w:pPr>
        <w:pStyle w:val="BodyText"/>
        <w:spacing w:before="110"/>
        <w:ind w:left="369"/>
        <w:rPr>
          <w:rFonts w:ascii="Verdana" w:hAnsi="Verdana"/>
        </w:rPr>
      </w:pPr>
      <w:r w:rsidRPr="00EC75B7">
        <w:rPr>
          <w:rFonts w:ascii="Verdana" w:hAnsi="Verdana"/>
        </w:rPr>
        <w:t xml:space="preserve">distance of 1597 m from </w:t>
      </w:r>
      <w:r w:rsidRPr="00EC75B7">
        <w:rPr>
          <w:rFonts w:ascii="Verdana" w:hAnsi="Verdana"/>
          <w:spacing w:val="-4"/>
        </w:rPr>
        <w:t>T27.</w:t>
      </w:r>
    </w:p>
    <w:p w14:paraId="21D169B7" w14:textId="77777777" w:rsidR="008715BE" w:rsidRPr="00EC75B7" w:rsidRDefault="008715BE">
      <w:pPr>
        <w:pStyle w:val="BodyText"/>
        <w:spacing w:before="129"/>
        <w:rPr>
          <w:rFonts w:ascii="Verdana" w:hAnsi="Verdana"/>
        </w:rPr>
      </w:pPr>
    </w:p>
    <w:p w14:paraId="79D14900"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47" w:name="_bookmark145"/>
      <w:bookmarkEnd w:id="147"/>
      <w:r w:rsidRPr="00EC75B7">
        <w:rPr>
          <w:rFonts w:ascii="Verdana" w:hAnsi="Verdana"/>
          <w:color w:val="00AFEF"/>
          <w:sz w:val="18"/>
          <w:szCs w:val="18"/>
        </w:rPr>
        <w:t xml:space="preserve">Safety distance from </w:t>
      </w:r>
      <w:r w:rsidRPr="00EC75B7">
        <w:rPr>
          <w:rFonts w:ascii="Verdana" w:hAnsi="Verdana"/>
          <w:color w:val="00AFEF"/>
          <w:spacing w:val="-2"/>
          <w:sz w:val="18"/>
          <w:szCs w:val="18"/>
        </w:rPr>
        <w:t>dams</w:t>
      </w:r>
    </w:p>
    <w:p w14:paraId="6CEA75B1" w14:textId="77777777" w:rsidR="008715BE" w:rsidRPr="00EC75B7" w:rsidRDefault="008715BE">
      <w:pPr>
        <w:pStyle w:val="BodyText"/>
        <w:spacing w:before="114"/>
        <w:rPr>
          <w:rFonts w:ascii="Verdana" w:hAnsi="Verdana"/>
          <w:b/>
        </w:rPr>
      </w:pPr>
    </w:p>
    <w:p w14:paraId="79B1E854" w14:textId="77777777" w:rsidR="008715BE" w:rsidRPr="00EC75B7" w:rsidRDefault="00000000">
      <w:pPr>
        <w:pStyle w:val="BodyText"/>
        <w:ind w:left="369"/>
        <w:rPr>
          <w:rFonts w:ascii="Verdana" w:hAnsi="Verdana"/>
        </w:rPr>
      </w:pPr>
      <w:r w:rsidRPr="00EC75B7">
        <w:rPr>
          <w:rFonts w:ascii="Verdana" w:hAnsi="Verdana"/>
        </w:rPr>
        <w:t xml:space="preserve">Not applicable, as no dams or </w:t>
      </w:r>
      <w:r w:rsidRPr="00EC75B7">
        <w:rPr>
          <w:rFonts w:ascii="Verdana" w:hAnsi="Verdana"/>
          <w:spacing w:val="-2"/>
        </w:rPr>
        <w:t xml:space="preserve">dykes </w:t>
      </w:r>
      <w:r w:rsidRPr="00EC75B7">
        <w:rPr>
          <w:rFonts w:ascii="Verdana" w:hAnsi="Verdana"/>
        </w:rPr>
        <w:t>have been identified in the project area</w:t>
      </w:r>
      <w:r w:rsidRPr="00EC75B7">
        <w:rPr>
          <w:rFonts w:ascii="Verdana" w:hAnsi="Verdana"/>
          <w:spacing w:val="-2"/>
        </w:rPr>
        <w:t>.</w:t>
      </w:r>
    </w:p>
    <w:p w14:paraId="392AE769" w14:textId="77777777" w:rsidR="008715BE" w:rsidRPr="00EC75B7" w:rsidRDefault="008715BE">
      <w:pPr>
        <w:pStyle w:val="BodyText"/>
        <w:spacing w:before="132"/>
        <w:rPr>
          <w:rFonts w:ascii="Verdana" w:hAnsi="Verdana"/>
        </w:rPr>
      </w:pPr>
    </w:p>
    <w:p w14:paraId="3DFC7B97"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48" w:name="_bookmark146"/>
      <w:bookmarkEnd w:id="148"/>
      <w:r w:rsidRPr="00EC75B7">
        <w:rPr>
          <w:rFonts w:ascii="Verdana" w:hAnsi="Verdana"/>
          <w:color w:val="00AFEF"/>
          <w:sz w:val="18"/>
          <w:szCs w:val="18"/>
        </w:rPr>
        <w:t xml:space="preserve">Safety distance from </w:t>
      </w:r>
      <w:r w:rsidRPr="00EC75B7">
        <w:rPr>
          <w:rFonts w:ascii="Verdana" w:hAnsi="Verdana"/>
          <w:color w:val="00AFEF"/>
          <w:spacing w:val="-2"/>
          <w:sz w:val="18"/>
          <w:szCs w:val="18"/>
        </w:rPr>
        <w:t xml:space="preserve">residential </w:t>
      </w:r>
      <w:r w:rsidRPr="00EC75B7">
        <w:rPr>
          <w:rFonts w:ascii="Verdana" w:hAnsi="Verdana"/>
          <w:color w:val="00AFEF"/>
          <w:sz w:val="18"/>
          <w:szCs w:val="18"/>
        </w:rPr>
        <w:t>buildings</w:t>
      </w:r>
    </w:p>
    <w:p w14:paraId="1A1E1E88" w14:textId="77777777" w:rsidR="008715BE" w:rsidRPr="00EC75B7" w:rsidRDefault="008715BE">
      <w:pPr>
        <w:pStyle w:val="BodyText"/>
        <w:spacing w:before="114"/>
        <w:rPr>
          <w:rFonts w:ascii="Verdana" w:hAnsi="Verdana"/>
          <w:b/>
        </w:rPr>
      </w:pPr>
    </w:p>
    <w:p w14:paraId="1086169C" w14:textId="77777777" w:rsidR="008715BE" w:rsidRPr="00EC75B7" w:rsidRDefault="00000000">
      <w:pPr>
        <w:pStyle w:val="BodyText"/>
        <w:spacing w:line="357" w:lineRule="auto"/>
        <w:ind w:left="369" w:right="562"/>
        <w:jc w:val="both"/>
        <w:rPr>
          <w:rFonts w:ascii="Verdana" w:hAnsi="Verdana"/>
        </w:rPr>
      </w:pPr>
      <w:r w:rsidRPr="00EC75B7">
        <w:rPr>
          <w:rFonts w:ascii="Verdana" w:hAnsi="Verdana"/>
        </w:rPr>
        <w:t>The residential buildings in the area of the site are represented by houses in the localities of Cerchezu, Căscioarele, Viroaga, and Măgura. In this case, the regulated safety distance calculated in accordance with the height of the turbines is 465 m.</w:t>
      </w:r>
    </w:p>
    <w:p w14:paraId="031E11ED" w14:textId="77777777" w:rsidR="008715BE" w:rsidRPr="00EC75B7" w:rsidRDefault="00000000">
      <w:pPr>
        <w:pStyle w:val="BodyText"/>
        <w:spacing w:before="122" w:line="357" w:lineRule="auto"/>
        <w:ind w:left="369" w:right="561"/>
        <w:jc w:val="both"/>
        <w:rPr>
          <w:rFonts w:ascii="Verdana" w:hAnsi="Verdana"/>
        </w:rPr>
      </w:pPr>
      <w:r w:rsidRPr="00EC75B7">
        <w:rPr>
          <w:rFonts w:ascii="Verdana" w:hAnsi="Verdana"/>
        </w:rPr>
        <w:t>Following the spatial analysis, it was found that the closest dwelling is located in Cerchezu, 1053 m away from the closest wind turbine, T5. Therefore, all dwellings in the villages neighbouring the proposed wind farm are outside the established safety zone.</w:t>
      </w:r>
    </w:p>
    <w:p w14:paraId="33A26DDE" w14:textId="77777777" w:rsidR="008715BE" w:rsidRPr="00EC75B7" w:rsidRDefault="008715BE">
      <w:pPr>
        <w:pStyle w:val="BodyText"/>
        <w:rPr>
          <w:rFonts w:ascii="Verdana" w:hAnsi="Verdana"/>
        </w:rPr>
      </w:pPr>
    </w:p>
    <w:p w14:paraId="795D9D09" w14:textId="77777777" w:rsidR="008715BE" w:rsidRPr="00EC75B7" w:rsidRDefault="008715BE">
      <w:pPr>
        <w:pStyle w:val="BodyText"/>
        <w:rPr>
          <w:rFonts w:ascii="Verdana" w:hAnsi="Verdana"/>
        </w:rPr>
      </w:pPr>
    </w:p>
    <w:p w14:paraId="175E6CBD" w14:textId="77777777" w:rsidR="008715BE" w:rsidRPr="00EC75B7" w:rsidRDefault="008715BE">
      <w:pPr>
        <w:pStyle w:val="BodyText"/>
        <w:spacing w:before="34"/>
        <w:rPr>
          <w:rFonts w:ascii="Verdana" w:hAnsi="Verdana"/>
        </w:rPr>
      </w:pPr>
    </w:p>
    <w:p w14:paraId="1C7E5BEA" w14:textId="77777777" w:rsidR="008715BE" w:rsidRPr="00EC75B7" w:rsidRDefault="00000000">
      <w:pPr>
        <w:pStyle w:val="Heading2"/>
        <w:numPr>
          <w:ilvl w:val="1"/>
          <w:numId w:val="110"/>
        </w:numPr>
        <w:tabs>
          <w:tab w:val="left" w:pos="1118"/>
        </w:tabs>
        <w:spacing w:before="1"/>
        <w:ind w:left="1118" w:hanging="720"/>
        <w:jc w:val="left"/>
        <w:rPr>
          <w:rFonts w:ascii="Verdana" w:hAnsi="Verdana"/>
          <w:color w:val="00AFEF"/>
          <w:sz w:val="18"/>
          <w:szCs w:val="18"/>
        </w:rPr>
      </w:pPr>
      <w:bookmarkStart w:id="149" w:name="_bookmark147"/>
      <w:bookmarkEnd w:id="149"/>
      <w:r w:rsidRPr="00EC75B7">
        <w:rPr>
          <w:rFonts w:ascii="Verdana" w:hAnsi="Verdana"/>
          <w:color w:val="00AFEF"/>
          <w:sz w:val="18"/>
          <w:szCs w:val="18"/>
        </w:rPr>
        <w:t xml:space="preserve">Other </w:t>
      </w:r>
      <w:r w:rsidRPr="00EC75B7">
        <w:rPr>
          <w:rFonts w:ascii="Verdana" w:hAnsi="Verdana"/>
          <w:color w:val="00AFEF"/>
          <w:spacing w:val="-2"/>
          <w:sz w:val="18"/>
          <w:szCs w:val="18"/>
        </w:rPr>
        <w:t>risks</w:t>
      </w:r>
    </w:p>
    <w:p w14:paraId="3698DDE6" w14:textId="77777777" w:rsidR="008715BE" w:rsidRPr="00EC75B7" w:rsidRDefault="00000000">
      <w:pPr>
        <w:pStyle w:val="Heading3"/>
        <w:numPr>
          <w:ilvl w:val="2"/>
          <w:numId w:val="110"/>
        </w:numPr>
        <w:tabs>
          <w:tab w:val="left" w:pos="2325"/>
        </w:tabs>
        <w:spacing w:before="132"/>
        <w:ind w:left="2325" w:hanging="991"/>
        <w:rPr>
          <w:rFonts w:ascii="Verdana" w:hAnsi="Verdana"/>
          <w:i/>
          <w:color w:val="00AFEF"/>
          <w:sz w:val="18"/>
          <w:szCs w:val="18"/>
        </w:rPr>
      </w:pPr>
      <w:bookmarkStart w:id="150" w:name="_bookmark148"/>
      <w:bookmarkEnd w:id="150"/>
      <w:r w:rsidRPr="00EC75B7">
        <w:rPr>
          <w:rFonts w:ascii="Verdana" w:hAnsi="Verdana"/>
          <w:color w:val="00AFEF"/>
          <w:spacing w:val="-2"/>
          <w:sz w:val="18"/>
          <w:szCs w:val="18"/>
        </w:rPr>
        <w:t xml:space="preserve">Seismic </w:t>
      </w:r>
      <w:r w:rsidRPr="00EC75B7">
        <w:rPr>
          <w:rFonts w:ascii="Verdana" w:hAnsi="Verdana"/>
          <w:color w:val="00AFEF"/>
          <w:sz w:val="18"/>
          <w:szCs w:val="18"/>
        </w:rPr>
        <w:t>risk</w:t>
      </w:r>
    </w:p>
    <w:p w14:paraId="21859BBF" w14:textId="77777777" w:rsidR="008715BE" w:rsidRPr="00EC75B7" w:rsidRDefault="008715BE">
      <w:pPr>
        <w:pStyle w:val="BodyText"/>
        <w:spacing w:before="114"/>
        <w:rPr>
          <w:rFonts w:ascii="Verdana" w:hAnsi="Verdana"/>
          <w:b/>
        </w:rPr>
      </w:pPr>
    </w:p>
    <w:p w14:paraId="1DB4A40A" w14:textId="77777777" w:rsidR="008715BE" w:rsidRPr="00EC75B7" w:rsidRDefault="00000000">
      <w:pPr>
        <w:pStyle w:val="BodyText"/>
        <w:spacing w:line="357" w:lineRule="auto"/>
        <w:ind w:left="378" w:right="564" w:hanging="10"/>
        <w:jc w:val="both"/>
        <w:rPr>
          <w:rFonts w:ascii="Verdana" w:hAnsi="Verdana"/>
        </w:rPr>
      </w:pPr>
      <w:r w:rsidRPr="00EC75B7">
        <w:rPr>
          <w:rFonts w:ascii="Verdana" w:hAnsi="Verdana"/>
        </w:rPr>
        <w:t>From a seismic point of view, in accordance with Standard P 100-1/2013 (Seismic Design Code), Part 1 – Design Provisions for Buildings, the location of the Cerchezu wind farm is characterized, for seismic events with an average recurrence interval (of magnitude) IMR = 225 years, as follows:</w:t>
      </w:r>
    </w:p>
    <w:p w14:paraId="3605C935" w14:textId="77777777" w:rsidR="008715BE" w:rsidRPr="00EC75B7" w:rsidRDefault="00000000">
      <w:pPr>
        <w:pStyle w:val="ListParagraph"/>
        <w:numPr>
          <w:ilvl w:val="1"/>
          <w:numId w:val="2"/>
        </w:numPr>
        <w:tabs>
          <w:tab w:val="left" w:pos="1088"/>
        </w:tabs>
        <w:spacing w:before="123"/>
        <w:ind w:left="1088" w:hanging="359"/>
        <w:jc w:val="both"/>
        <w:rPr>
          <w:rFonts w:ascii="Verdana" w:hAnsi="Verdana"/>
          <w:position w:val="2"/>
          <w:sz w:val="18"/>
          <w:szCs w:val="18"/>
        </w:rPr>
      </w:pPr>
      <w:r w:rsidRPr="00EC75B7">
        <w:rPr>
          <w:rFonts w:ascii="Verdana" w:hAnsi="Verdana"/>
          <w:position w:val="2"/>
          <w:sz w:val="18"/>
          <w:szCs w:val="18"/>
        </w:rPr>
        <w:t xml:space="preserve">design ground acceleration </w:t>
      </w:r>
      <w:r w:rsidRPr="00EC75B7">
        <w:rPr>
          <w:rFonts w:ascii="Verdana" w:hAnsi="Verdana"/>
          <w:sz w:val="18"/>
          <w:szCs w:val="18"/>
        </w:rPr>
        <w:t xml:space="preserve">ag </w:t>
      </w:r>
      <w:r w:rsidRPr="00EC75B7">
        <w:rPr>
          <w:rFonts w:ascii="Verdana" w:hAnsi="Verdana"/>
          <w:position w:val="2"/>
          <w:sz w:val="18"/>
          <w:szCs w:val="18"/>
        </w:rPr>
        <w:t xml:space="preserve">= 0.10 g/0.15 </w:t>
      </w:r>
      <w:r w:rsidRPr="00EC75B7">
        <w:rPr>
          <w:rFonts w:ascii="Verdana" w:hAnsi="Verdana"/>
          <w:spacing w:val="-5"/>
          <w:position w:val="2"/>
          <w:sz w:val="18"/>
          <w:szCs w:val="18"/>
        </w:rPr>
        <w:t>g;</w:t>
      </w:r>
    </w:p>
    <w:p w14:paraId="1704CB3A" w14:textId="77777777" w:rsidR="008715BE" w:rsidRPr="00EC75B7" w:rsidRDefault="00000000">
      <w:pPr>
        <w:pStyle w:val="ListParagraph"/>
        <w:numPr>
          <w:ilvl w:val="1"/>
          <w:numId w:val="2"/>
        </w:numPr>
        <w:tabs>
          <w:tab w:val="left" w:pos="1088"/>
        </w:tabs>
        <w:spacing w:before="105"/>
        <w:ind w:left="1088" w:hanging="359"/>
        <w:jc w:val="both"/>
        <w:rPr>
          <w:rFonts w:ascii="Verdana" w:hAnsi="Verdana"/>
          <w:position w:val="2"/>
          <w:sz w:val="18"/>
          <w:szCs w:val="18"/>
        </w:rPr>
      </w:pPr>
      <w:r w:rsidRPr="00EC75B7">
        <w:rPr>
          <w:rFonts w:ascii="Verdana" w:hAnsi="Verdana"/>
          <w:position w:val="2"/>
          <w:sz w:val="18"/>
          <w:szCs w:val="18"/>
        </w:rPr>
        <w:t xml:space="preserve">control period (corner) </w:t>
      </w:r>
      <w:r w:rsidRPr="00EC75B7">
        <w:rPr>
          <w:rFonts w:ascii="Verdana" w:hAnsi="Verdana"/>
          <w:sz w:val="18"/>
          <w:szCs w:val="18"/>
        </w:rPr>
        <w:t xml:space="preserve">Tc </w:t>
      </w:r>
      <w:r w:rsidRPr="00EC75B7">
        <w:rPr>
          <w:rFonts w:ascii="Verdana" w:hAnsi="Verdana"/>
          <w:position w:val="2"/>
          <w:sz w:val="18"/>
          <w:szCs w:val="18"/>
        </w:rPr>
        <w:t xml:space="preserve">= 0.7 </w:t>
      </w:r>
      <w:r w:rsidRPr="00EC75B7">
        <w:rPr>
          <w:rFonts w:ascii="Verdana" w:hAnsi="Verdana"/>
          <w:spacing w:val="-4"/>
          <w:position w:val="2"/>
          <w:sz w:val="18"/>
          <w:szCs w:val="18"/>
        </w:rPr>
        <w:t>sec.</w:t>
      </w:r>
    </w:p>
    <w:p w14:paraId="2DF522CC" w14:textId="77777777" w:rsidR="008715BE" w:rsidRPr="00EC75B7" w:rsidRDefault="008715BE">
      <w:pPr>
        <w:pStyle w:val="ListParagraph"/>
        <w:jc w:val="both"/>
        <w:rPr>
          <w:rFonts w:ascii="Verdana" w:hAnsi="Verdana"/>
          <w:position w:val="2"/>
          <w:sz w:val="18"/>
          <w:szCs w:val="18"/>
        </w:rPr>
        <w:sectPr w:rsidR="008715BE" w:rsidRPr="00EC75B7">
          <w:pgSz w:w="11910" w:h="16840"/>
          <w:pgMar w:top="1320" w:right="425" w:bottom="1020" w:left="850" w:header="766" w:footer="824" w:gutter="0"/>
          <w:cols w:space="708"/>
        </w:sectPr>
      </w:pPr>
    </w:p>
    <w:p w14:paraId="3044C4D3" w14:textId="77777777" w:rsidR="008715BE" w:rsidRPr="00EC75B7" w:rsidRDefault="008715BE">
      <w:pPr>
        <w:pStyle w:val="BodyText"/>
        <w:spacing w:before="4"/>
        <w:rPr>
          <w:rFonts w:ascii="Verdana" w:hAnsi="Verdana"/>
        </w:rPr>
      </w:pPr>
    </w:p>
    <w:p w14:paraId="593FAEE3" w14:textId="6E45976B" w:rsidR="008715BE" w:rsidRPr="00EC75B7" w:rsidRDefault="00C92308" w:rsidP="00C92308">
      <w:pPr>
        <w:ind w:left="582"/>
        <w:jc w:val="center"/>
        <w:rPr>
          <w:rFonts w:ascii="Verdana" w:hAnsi="Verdana"/>
          <w:sz w:val="18"/>
          <w:szCs w:val="18"/>
        </w:rPr>
      </w:pPr>
      <w:r>
        <w:rPr>
          <w:noProof/>
        </w:rPr>
        <w:drawing>
          <wp:inline distT="0" distB="0" distL="0" distR="0" wp14:anchorId="604E3DD8" wp14:editId="4C99A134">
            <wp:extent cx="5630979" cy="3982720"/>
            <wp:effectExtent l="0" t="0" r="8255" b="0"/>
            <wp:docPr id="7257515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632691" cy="3983931"/>
                    </a:xfrm>
                    <a:prstGeom prst="rect">
                      <a:avLst/>
                    </a:prstGeom>
                    <a:noFill/>
                    <a:ln>
                      <a:noFill/>
                    </a:ln>
                  </pic:spPr>
                </pic:pic>
              </a:graphicData>
            </a:graphic>
          </wp:inline>
        </w:drawing>
      </w:r>
    </w:p>
    <w:p w14:paraId="7B252B4E" w14:textId="77777777" w:rsidR="008715BE" w:rsidRPr="00EC75B7" w:rsidRDefault="008715BE">
      <w:pPr>
        <w:pStyle w:val="BodyText"/>
        <w:spacing w:before="36"/>
        <w:rPr>
          <w:rFonts w:ascii="Verdana" w:hAnsi="Verdana"/>
        </w:rPr>
      </w:pPr>
    </w:p>
    <w:p w14:paraId="5BFB3E4E" w14:textId="77777777" w:rsidR="008715BE" w:rsidRPr="00EC75B7" w:rsidRDefault="00000000">
      <w:pPr>
        <w:ind w:left="565" w:right="507"/>
        <w:jc w:val="center"/>
        <w:rPr>
          <w:rFonts w:ascii="Verdana" w:hAnsi="Verdana"/>
          <w:b/>
          <w:position w:val="1"/>
          <w:sz w:val="18"/>
          <w:szCs w:val="18"/>
        </w:rPr>
      </w:pPr>
      <w:r w:rsidRPr="00EC75B7">
        <w:rPr>
          <w:rFonts w:ascii="Verdana" w:hAnsi="Verdana"/>
          <w:b/>
          <w:color w:val="009DEF"/>
          <w:position w:val="1"/>
          <w:sz w:val="18"/>
          <w:szCs w:val="18"/>
        </w:rPr>
        <w:t xml:space="preserve">Figure no. 74 Seismic zoning map in terms of peak ground acceleration values </w:t>
      </w:r>
      <w:r w:rsidRPr="00EC75B7">
        <w:rPr>
          <w:rFonts w:ascii="Verdana" w:hAnsi="Verdana"/>
          <w:b/>
          <w:color w:val="009DEF"/>
          <w:spacing w:val="-4"/>
          <w:position w:val="1"/>
          <w:sz w:val="18"/>
          <w:szCs w:val="18"/>
        </w:rPr>
        <w:t>(</w:t>
      </w:r>
      <w:r w:rsidRPr="00EC75B7">
        <w:rPr>
          <w:rFonts w:ascii="Verdana" w:hAnsi="Verdana"/>
          <w:b/>
          <w:color w:val="009DEF"/>
          <w:spacing w:val="-4"/>
          <w:sz w:val="18"/>
          <w:szCs w:val="18"/>
        </w:rPr>
        <w:t>ag</w:t>
      </w:r>
      <w:r w:rsidRPr="00EC75B7">
        <w:rPr>
          <w:rFonts w:ascii="Verdana" w:hAnsi="Verdana"/>
          <w:b/>
          <w:color w:val="009DEF"/>
          <w:spacing w:val="-4"/>
          <w:position w:val="1"/>
          <w:sz w:val="18"/>
          <w:szCs w:val="18"/>
        </w:rPr>
        <w:t>)</w:t>
      </w:r>
    </w:p>
    <w:p w14:paraId="509210A0" w14:textId="094FE698" w:rsidR="008715BE" w:rsidRPr="00EC75B7" w:rsidRDefault="00C92308" w:rsidP="00C92308">
      <w:pPr>
        <w:pStyle w:val="BodyText"/>
        <w:spacing w:before="10"/>
        <w:jc w:val="center"/>
        <w:rPr>
          <w:rFonts w:ascii="Verdana" w:hAnsi="Verdana"/>
          <w:b/>
        </w:rPr>
      </w:pPr>
      <w:r>
        <w:rPr>
          <w:noProof/>
        </w:rPr>
        <w:drawing>
          <wp:inline distT="0" distB="0" distL="0" distR="0" wp14:anchorId="698B55F3" wp14:editId="26600481">
            <wp:extent cx="5867400" cy="4149937"/>
            <wp:effectExtent l="0" t="0" r="0" b="3175"/>
            <wp:docPr id="205490598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871370" cy="4152745"/>
                    </a:xfrm>
                    <a:prstGeom prst="rect">
                      <a:avLst/>
                    </a:prstGeom>
                    <a:noFill/>
                    <a:ln>
                      <a:noFill/>
                    </a:ln>
                  </pic:spPr>
                </pic:pic>
              </a:graphicData>
            </a:graphic>
          </wp:inline>
        </w:drawing>
      </w:r>
    </w:p>
    <w:p w14:paraId="0E949F3F" w14:textId="77777777" w:rsidR="008715BE" w:rsidRPr="00EC75B7" w:rsidRDefault="00000000">
      <w:pPr>
        <w:spacing w:before="156"/>
        <w:ind w:left="567" w:right="507"/>
        <w:jc w:val="center"/>
        <w:rPr>
          <w:rFonts w:ascii="Verdana" w:hAnsi="Verdana"/>
          <w:b/>
          <w:position w:val="1"/>
          <w:sz w:val="18"/>
          <w:szCs w:val="18"/>
        </w:rPr>
      </w:pPr>
      <w:r w:rsidRPr="00EC75B7">
        <w:rPr>
          <w:rFonts w:ascii="Verdana" w:hAnsi="Verdana"/>
          <w:b/>
          <w:color w:val="009DEF"/>
          <w:position w:val="1"/>
          <w:sz w:val="18"/>
          <w:szCs w:val="18"/>
        </w:rPr>
        <w:t xml:space="preserve">Figure no. 75 Seismic zoning map in terms of control period </w:t>
      </w:r>
      <w:r w:rsidRPr="00EC75B7">
        <w:rPr>
          <w:rFonts w:ascii="Verdana" w:hAnsi="Verdana"/>
          <w:b/>
          <w:color w:val="009DEF"/>
          <w:spacing w:val="-4"/>
          <w:position w:val="1"/>
          <w:sz w:val="18"/>
          <w:szCs w:val="18"/>
        </w:rPr>
        <w:t>(</w:t>
      </w:r>
      <w:r w:rsidRPr="00EC75B7">
        <w:rPr>
          <w:rFonts w:ascii="Verdana" w:hAnsi="Verdana"/>
          <w:b/>
          <w:color w:val="009DEF"/>
          <w:spacing w:val="-4"/>
          <w:sz w:val="18"/>
          <w:szCs w:val="18"/>
        </w:rPr>
        <w:t>Tc</w:t>
      </w:r>
      <w:r w:rsidRPr="00EC75B7">
        <w:rPr>
          <w:rFonts w:ascii="Verdana" w:hAnsi="Verdana"/>
          <w:b/>
          <w:color w:val="009DEF"/>
          <w:spacing w:val="-4"/>
          <w:position w:val="1"/>
          <w:sz w:val="18"/>
          <w:szCs w:val="18"/>
        </w:rPr>
        <w:t>)</w:t>
      </w:r>
    </w:p>
    <w:p w14:paraId="76ADF48C" w14:textId="77777777" w:rsidR="008715BE" w:rsidRPr="00EC75B7" w:rsidRDefault="008715BE">
      <w:pPr>
        <w:jc w:val="center"/>
        <w:rPr>
          <w:rFonts w:ascii="Verdana" w:hAnsi="Verdana"/>
          <w:b/>
          <w:position w:val="1"/>
          <w:sz w:val="18"/>
          <w:szCs w:val="18"/>
        </w:rPr>
        <w:sectPr w:rsidR="008715BE" w:rsidRPr="00EC75B7">
          <w:pgSz w:w="11910" w:h="16840"/>
          <w:pgMar w:top="1320" w:right="425" w:bottom="1020" w:left="850" w:header="766" w:footer="824" w:gutter="0"/>
          <w:cols w:space="708"/>
        </w:sectPr>
      </w:pPr>
    </w:p>
    <w:p w14:paraId="0A8B95B3" w14:textId="77777777" w:rsidR="008715BE" w:rsidRPr="00EC75B7" w:rsidRDefault="00000000">
      <w:pPr>
        <w:pStyle w:val="BodyText"/>
        <w:spacing w:before="99" w:line="360" w:lineRule="auto"/>
        <w:ind w:left="378" w:right="576" w:hanging="10"/>
        <w:jc w:val="both"/>
        <w:rPr>
          <w:rFonts w:ascii="Verdana" w:hAnsi="Verdana"/>
        </w:rPr>
      </w:pPr>
      <w:r w:rsidRPr="00EC75B7">
        <w:rPr>
          <w:rFonts w:ascii="Verdana" w:hAnsi="Verdana"/>
        </w:rPr>
        <w:lastRenderedPageBreak/>
        <w:t>Given the above, exposure to earthquake risk in the project implementation area is very low.</w:t>
      </w:r>
    </w:p>
    <w:p w14:paraId="27FAAACD" w14:textId="77777777" w:rsidR="008715BE" w:rsidRPr="00EC75B7" w:rsidRDefault="008715BE">
      <w:pPr>
        <w:pStyle w:val="BodyText"/>
        <w:spacing w:before="19"/>
        <w:rPr>
          <w:rFonts w:ascii="Verdana" w:hAnsi="Verdana"/>
        </w:rPr>
      </w:pPr>
    </w:p>
    <w:p w14:paraId="56774BD8" w14:textId="77777777" w:rsidR="008715BE" w:rsidRPr="00EC75B7" w:rsidRDefault="00000000">
      <w:pPr>
        <w:pStyle w:val="Heading3"/>
        <w:numPr>
          <w:ilvl w:val="2"/>
          <w:numId w:val="110"/>
        </w:numPr>
        <w:tabs>
          <w:tab w:val="left" w:pos="2049"/>
        </w:tabs>
        <w:spacing w:before="1"/>
        <w:ind w:left="2049" w:hanging="715"/>
        <w:rPr>
          <w:rFonts w:ascii="Verdana" w:hAnsi="Verdana"/>
          <w:i/>
          <w:color w:val="00AFEF"/>
          <w:sz w:val="18"/>
          <w:szCs w:val="18"/>
        </w:rPr>
      </w:pPr>
      <w:bookmarkStart w:id="151" w:name="_bookmark149"/>
      <w:bookmarkEnd w:id="151"/>
      <w:r w:rsidRPr="00EC75B7">
        <w:rPr>
          <w:rFonts w:ascii="Verdana" w:hAnsi="Verdana"/>
          <w:color w:val="00AFEF"/>
          <w:spacing w:val="-4"/>
          <w:sz w:val="18"/>
          <w:szCs w:val="18"/>
        </w:rPr>
        <w:t xml:space="preserve">Landslide </w:t>
      </w:r>
      <w:r w:rsidRPr="00EC75B7">
        <w:rPr>
          <w:rFonts w:ascii="Verdana" w:hAnsi="Verdana"/>
          <w:color w:val="00AFEF"/>
          <w:sz w:val="18"/>
          <w:szCs w:val="18"/>
        </w:rPr>
        <w:t>risk</w:t>
      </w:r>
    </w:p>
    <w:p w14:paraId="39A58159" w14:textId="77777777" w:rsidR="008715BE" w:rsidRPr="00EC75B7" w:rsidRDefault="008715BE">
      <w:pPr>
        <w:pStyle w:val="BodyText"/>
        <w:spacing w:before="113"/>
        <w:rPr>
          <w:rFonts w:ascii="Verdana" w:hAnsi="Verdana"/>
          <w:b/>
        </w:rPr>
      </w:pPr>
    </w:p>
    <w:p w14:paraId="1D60120B" w14:textId="77777777" w:rsidR="008715BE" w:rsidRPr="00EC75B7" w:rsidRDefault="00000000">
      <w:pPr>
        <w:pStyle w:val="BodyText"/>
        <w:spacing w:line="357" w:lineRule="auto"/>
        <w:ind w:left="340" w:right="567"/>
        <w:jc w:val="both"/>
        <w:rPr>
          <w:rFonts w:ascii="Verdana" w:hAnsi="Verdana"/>
        </w:rPr>
      </w:pPr>
      <w:r w:rsidRPr="00EC75B7">
        <w:rPr>
          <w:rFonts w:ascii="Verdana" w:hAnsi="Verdana"/>
        </w:rPr>
        <w:t xml:space="preserve">Landslides are caused by gravitational forces, but can be triggered by a variety of processes. Some of the most common triggers include earthquakes and prolonged and/or intense periods of rainfall. Deforestation can also increase the likelihood of </w:t>
      </w:r>
      <w:r w:rsidRPr="00EC75B7">
        <w:rPr>
          <w:rFonts w:ascii="Verdana" w:hAnsi="Verdana"/>
          <w:spacing w:val="-2"/>
        </w:rPr>
        <w:t>landslides.</w:t>
      </w:r>
    </w:p>
    <w:p w14:paraId="09A0FA41" w14:textId="590D4094" w:rsidR="008715BE" w:rsidRPr="00EC75B7" w:rsidRDefault="00C92308" w:rsidP="00C92308">
      <w:pPr>
        <w:pStyle w:val="BodyText"/>
        <w:spacing w:before="159"/>
        <w:jc w:val="center"/>
        <w:rPr>
          <w:rFonts w:ascii="Verdana" w:hAnsi="Verdana"/>
        </w:rPr>
      </w:pPr>
      <w:r>
        <w:rPr>
          <w:noProof/>
        </w:rPr>
        <w:drawing>
          <wp:inline distT="0" distB="0" distL="0" distR="0" wp14:anchorId="6C7365E0" wp14:editId="796B59C6">
            <wp:extent cx="4838700" cy="3422351"/>
            <wp:effectExtent l="0" t="0" r="0" b="6985"/>
            <wp:docPr id="14619649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846157" cy="3427626"/>
                    </a:xfrm>
                    <a:prstGeom prst="rect">
                      <a:avLst/>
                    </a:prstGeom>
                    <a:noFill/>
                    <a:ln>
                      <a:noFill/>
                    </a:ln>
                  </pic:spPr>
                </pic:pic>
              </a:graphicData>
            </a:graphic>
          </wp:inline>
        </w:drawing>
      </w:r>
    </w:p>
    <w:p w14:paraId="7FAD434F" w14:textId="77777777" w:rsidR="008715BE" w:rsidRPr="00EC75B7" w:rsidRDefault="00000000">
      <w:pPr>
        <w:spacing w:before="211"/>
        <w:ind w:left="562" w:right="507"/>
        <w:jc w:val="center"/>
        <w:rPr>
          <w:rFonts w:ascii="Verdana" w:hAnsi="Verdana"/>
          <w:b/>
          <w:sz w:val="18"/>
          <w:szCs w:val="18"/>
        </w:rPr>
      </w:pPr>
      <w:r w:rsidRPr="00EC75B7">
        <w:rPr>
          <w:rFonts w:ascii="Verdana" w:hAnsi="Verdana"/>
          <w:b/>
          <w:color w:val="009DEF"/>
          <w:sz w:val="18"/>
          <w:szCs w:val="18"/>
        </w:rPr>
        <w:t xml:space="preserve">Figure 76 </w:t>
      </w:r>
      <w:r w:rsidRPr="00EC75B7">
        <w:rPr>
          <w:rFonts w:ascii="Verdana" w:hAnsi="Verdana"/>
          <w:b/>
          <w:color w:val="009DEF"/>
          <w:spacing w:val="-2"/>
          <w:sz w:val="18"/>
          <w:szCs w:val="18"/>
        </w:rPr>
        <w:t xml:space="preserve">Landslide </w:t>
      </w:r>
      <w:r w:rsidRPr="00EC75B7">
        <w:rPr>
          <w:rFonts w:ascii="Verdana" w:hAnsi="Verdana"/>
          <w:b/>
          <w:color w:val="009DEF"/>
          <w:sz w:val="18"/>
          <w:szCs w:val="18"/>
        </w:rPr>
        <w:t>hazard zoning map</w:t>
      </w:r>
    </w:p>
    <w:p w14:paraId="34FC3AA4" w14:textId="77777777" w:rsidR="008715BE" w:rsidRPr="00EC75B7" w:rsidRDefault="008715BE">
      <w:pPr>
        <w:pStyle w:val="BodyText"/>
        <w:spacing w:before="19"/>
        <w:rPr>
          <w:rFonts w:ascii="Verdana" w:hAnsi="Verdana"/>
          <w:b/>
        </w:rPr>
      </w:pPr>
    </w:p>
    <w:p w14:paraId="4B6272AE" w14:textId="77777777" w:rsidR="008715BE" w:rsidRPr="00EC75B7" w:rsidRDefault="00000000">
      <w:pPr>
        <w:pStyle w:val="BodyText"/>
        <w:spacing w:before="1"/>
        <w:ind w:left="369"/>
        <w:jc w:val="both"/>
        <w:rPr>
          <w:rFonts w:ascii="Verdana" w:hAnsi="Verdana"/>
        </w:rPr>
      </w:pPr>
      <w:r w:rsidRPr="00EC75B7">
        <w:rPr>
          <w:rFonts w:ascii="Verdana" w:hAnsi="Verdana"/>
        </w:rPr>
        <w:t xml:space="preserve">In the Cerchezu commune, the risk associated with landslides is very low, and it can </w:t>
      </w:r>
      <w:r w:rsidRPr="00EC75B7">
        <w:rPr>
          <w:rFonts w:ascii="Verdana" w:hAnsi="Verdana"/>
          <w:spacing w:val="-2"/>
        </w:rPr>
        <w:t>be concluded that</w:t>
      </w:r>
    </w:p>
    <w:p w14:paraId="1AD65388" w14:textId="77777777" w:rsidR="008715BE" w:rsidRDefault="00000000">
      <w:pPr>
        <w:spacing w:before="109"/>
        <w:ind w:left="378"/>
        <w:jc w:val="both"/>
        <w:rPr>
          <w:rFonts w:ascii="Verdana" w:hAnsi="Verdana"/>
          <w:spacing w:val="-2"/>
          <w:sz w:val="18"/>
          <w:szCs w:val="18"/>
        </w:rPr>
      </w:pPr>
      <w:r w:rsidRPr="00EC75B7">
        <w:rPr>
          <w:rFonts w:ascii="Verdana" w:hAnsi="Verdana"/>
          <w:sz w:val="18"/>
          <w:szCs w:val="18"/>
        </w:rPr>
        <w:t xml:space="preserve">that </w:t>
      </w:r>
      <w:r w:rsidRPr="00EC75B7">
        <w:rPr>
          <w:rFonts w:ascii="Verdana" w:hAnsi="Verdana"/>
          <w:b/>
          <w:sz w:val="18"/>
          <w:szCs w:val="18"/>
        </w:rPr>
        <w:t xml:space="preserve">the risk of landslides in the Cerchezu wind farm area is very </w:t>
      </w:r>
      <w:r w:rsidRPr="00EC75B7">
        <w:rPr>
          <w:rFonts w:ascii="Verdana" w:hAnsi="Verdana"/>
          <w:b/>
          <w:spacing w:val="-2"/>
          <w:sz w:val="18"/>
          <w:szCs w:val="18"/>
        </w:rPr>
        <w:t>low</w:t>
      </w:r>
      <w:r w:rsidRPr="00EC75B7">
        <w:rPr>
          <w:rFonts w:ascii="Verdana" w:hAnsi="Verdana"/>
          <w:spacing w:val="-2"/>
          <w:sz w:val="18"/>
          <w:szCs w:val="18"/>
        </w:rPr>
        <w:t>.</w:t>
      </w:r>
    </w:p>
    <w:p w14:paraId="7B593359" w14:textId="77777777" w:rsidR="00C92308" w:rsidRDefault="00C92308">
      <w:pPr>
        <w:spacing w:before="109"/>
        <w:ind w:left="378"/>
        <w:jc w:val="both"/>
        <w:rPr>
          <w:rFonts w:ascii="Verdana" w:hAnsi="Verdana"/>
          <w:spacing w:val="-2"/>
          <w:sz w:val="18"/>
          <w:szCs w:val="18"/>
        </w:rPr>
      </w:pPr>
    </w:p>
    <w:p w14:paraId="19AE6A8E" w14:textId="20C2B7E3" w:rsidR="00C92308" w:rsidRPr="00EC75B7" w:rsidRDefault="00C92308">
      <w:pPr>
        <w:spacing w:before="109"/>
        <w:ind w:left="378"/>
        <w:jc w:val="both"/>
        <w:rPr>
          <w:rFonts w:ascii="Verdana" w:hAnsi="Verdana"/>
          <w:sz w:val="18"/>
          <w:szCs w:val="18"/>
        </w:rPr>
      </w:pPr>
    </w:p>
    <w:p w14:paraId="2B4F4579" w14:textId="77777777" w:rsidR="008715BE" w:rsidRPr="00EC75B7" w:rsidRDefault="008715BE">
      <w:pPr>
        <w:pStyle w:val="BodyText"/>
        <w:spacing w:before="131"/>
        <w:rPr>
          <w:rFonts w:ascii="Verdana" w:hAnsi="Verdana"/>
        </w:rPr>
      </w:pPr>
    </w:p>
    <w:p w14:paraId="1B290E39" w14:textId="77777777" w:rsidR="008715BE" w:rsidRPr="00EC75B7" w:rsidRDefault="00000000">
      <w:pPr>
        <w:pStyle w:val="Heading3"/>
        <w:numPr>
          <w:ilvl w:val="2"/>
          <w:numId w:val="110"/>
        </w:numPr>
        <w:tabs>
          <w:tab w:val="left" w:pos="2325"/>
        </w:tabs>
        <w:spacing w:before="1"/>
        <w:ind w:left="2325" w:hanging="991"/>
        <w:rPr>
          <w:rFonts w:ascii="Verdana" w:hAnsi="Verdana"/>
          <w:i/>
          <w:color w:val="00AFEF"/>
          <w:sz w:val="18"/>
          <w:szCs w:val="18"/>
        </w:rPr>
      </w:pPr>
      <w:bookmarkStart w:id="152" w:name="_bookmark150"/>
      <w:bookmarkEnd w:id="152"/>
      <w:r w:rsidRPr="00EC75B7">
        <w:rPr>
          <w:rFonts w:ascii="Verdana" w:hAnsi="Verdana"/>
          <w:color w:val="00AFEF"/>
          <w:spacing w:val="-2"/>
          <w:sz w:val="18"/>
          <w:szCs w:val="18"/>
        </w:rPr>
        <w:t xml:space="preserve">Lightning </w:t>
      </w:r>
      <w:r w:rsidRPr="00EC75B7">
        <w:rPr>
          <w:rFonts w:ascii="Verdana" w:hAnsi="Verdana"/>
          <w:color w:val="00AFEF"/>
          <w:sz w:val="18"/>
          <w:szCs w:val="18"/>
        </w:rPr>
        <w:t>risk</w:t>
      </w:r>
    </w:p>
    <w:p w14:paraId="11135D54" w14:textId="77777777" w:rsidR="008715BE" w:rsidRPr="00EC75B7" w:rsidRDefault="008715BE">
      <w:pPr>
        <w:pStyle w:val="BodyText"/>
        <w:spacing w:before="114"/>
        <w:rPr>
          <w:rFonts w:ascii="Verdana" w:hAnsi="Verdana"/>
          <w:b/>
        </w:rPr>
      </w:pPr>
    </w:p>
    <w:p w14:paraId="2EF010F8" w14:textId="77777777" w:rsidR="008715BE" w:rsidRPr="00EC75B7" w:rsidRDefault="00000000">
      <w:pPr>
        <w:pStyle w:val="BodyText"/>
        <w:spacing w:line="357" w:lineRule="auto"/>
        <w:ind w:left="369" w:right="572"/>
        <w:jc w:val="both"/>
        <w:rPr>
          <w:rFonts w:ascii="Verdana" w:hAnsi="Verdana"/>
        </w:rPr>
      </w:pPr>
      <w:r w:rsidRPr="00EC75B7">
        <w:rPr>
          <w:rFonts w:ascii="Verdana" w:hAnsi="Verdana"/>
        </w:rPr>
        <w:t xml:space="preserve">The direct and indirect effects of lightning can cause damage to the mechanical and electrical components of wind turbines, resulting in significant and undesirable reductions in turbine efficiency and </w:t>
      </w:r>
      <w:r w:rsidRPr="00EC75B7">
        <w:rPr>
          <w:rFonts w:ascii="Verdana" w:hAnsi="Verdana"/>
          <w:spacing w:val="-2"/>
        </w:rPr>
        <w:t>serious</w:t>
      </w:r>
      <w:r w:rsidRPr="00EC75B7">
        <w:rPr>
          <w:rFonts w:ascii="Verdana" w:hAnsi="Verdana"/>
        </w:rPr>
        <w:t xml:space="preserve"> damage</w:t>
      </w:r>
      <w:r w:rsidRPr="00EC75B7">
        <w:rPr>
          <w:rFonts w:ascii="Verdana" w:hAnsi="Verdana"/>
          <w:spacing w:val="-2"/>
        </w:rPr>
        <w:t>.</w:t>
      </w:r>
    </w:p>
    <w:p w14:paraId="55110288" w14:textId="4E0D9073" w:rsidR="00C92308" w:rsidRPr="00C92308" w:rsidRDefault="00000000" w:rsidP="00C92308">
      <w:pPr>
        <w:pStyle w:val="BodyText"/>
        <w:spacing w:before="122" w:line="357" w:lineRule="auto"/>
        <w:ind w:left="369" w:right="565"/>
        <w:jc w:val="both"/>
        <w:rPr>
          <w:rFonts w:ascii="Verdana" w:hAnsi="Verdana"/>
        </w:rPr>
      </w:pPr>
      <w:r w:rsidRPr="00EC75B7">
        <w:rPr>
          <w:rFonts w:ascii="Verdana" w:hAnsi="Verdana"/>
        </w:rPr>
        <w:t>The analysis of the risks posed by lightning was based on the study by Anderson, G &amp; Klugmann, D. (2014), which presents the lightning density values in Europe for the period 2008-2012. Expressed in lightning strikes/km²/year, the maximum values recorded in Europe were 7.9 km²/year, while in the area of</w:t>
      </w:r>
      <w:r w:rsidR="00C92308">
        <w:rPr>
          <w:rFonts w:ascii="Verdana" w:hAnsi="Verdana"/>
        </w:rPr>
        <w:t xml:space="preserve"> </w:t>
      </w:r>
      <w:r w:rsidR="00C92308" w:rsidRPr="00C92308">
        <w:rPr>
          <w:rFonts w:ascii="Verdana" w:hAnsi="Verdana"/>
        </w:rPr>
        <w:t>project implementation values range between 1 and 1.6 lightning strikes/km²/year, which can be considered an</w:t>
      </w:r>
      <w:r w:rsidR="00C92308">
        <w:rPr>
          <w:rFonts w:ascii="Verdana" w:hAnsi="Verdana"/>
        </w:rPr>
        <w:t xml:space="preserve"> </w:t>
      </w:r>
      <w:r w:rsidR="00C92308" w:rsidRPr="00C92308">
        <w:rPr>
          <w:rFonts w:ascii="Verdana" w:hAnsi="Verdana"/>
        </w:rPr>
        <w:t>average value.</w:t>
      </w:r>
    </w:p>
    <w:p w14:paraId="6E6DD141"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850" w:header="766" w:footer="824" w:gutter="0"/>
          <w:cols w:space="708"/>
        </w:sectPr>
      </w:pPr>
    </w:p>
    <w:p w14:paraId="09BF68C6" w14:textId="77777777" w:rsidR="008715BE" w:rsidRPr="00EC75B7" w:rsidRDefault="00000000">
      <w:pPr>
        <w:pStyle w:val="BodyText"/>
        <w:spacing w:line="357" w:lineRule="auto"/>
        <w:ind w:left="369" w:right="563"/>
        <w:jc w:val="both"/>
        <w:rPr>
          <w:rFonts w:ascii="Verdana" w:hAnsi="Verdana"/>
        </w:rPr>
      </w:pPr>
      <w:r w:rsidRPr="00EC75B7">
        <w:rPr>
          <w:rFonts w:ascii="Verdana" w:hAnsi="Verdana"/>
        </w:rPr>
        <w:lastRenderedPageBreak/>
        <w:t>The electrical discharges are captured by the turbine blades through a receiver that transmits them through a conductor inside the rotor. From there, they pass into the hub through special pre-stressed and conductive connections capable of withstanding the power of lightning. The current passes from the busbar to the tower through pre-stressed and resistant connections. It can be discharged at the base of the tower, in parallel, through PE-insulated cables that are connected to the base of the structure and to the nacelle through grounding bars. From here, the current flows to the wind turbine foundation. If the electrical discharge occurs through a lightning rod, it is conducted to the main base of the turbine, and from there the current has the same flow as that from the rotor blades.</w:t>
      </w:r>
    </w:p>
    <w:p w14:paraId="0F233186" w14:textId="77777777" w:rsidR="008715BE" w:rsidRPr="00EC75B7" w:rsidRDefault="00000000">
      <w:pPr>
        <w:pStyle w:val="BodyText"/>
        <w:spacing w:before="8"/>
        <w:rPr>
          <w:rFonts w:ascii="Verdana" w:hAnsi="Verdana"/>
        </w:rPr>
      </w:pPr>
      <w:r w:rsidRPr="00EC75B7">
        <w:rPr>
          <w:rFonts w:ascii="Verdana" w:hAnsi="Verdana"/>
          <w:noProof/>
        </w:rPr>
        <w:drawing>
          <wp:anchor distT="0" distB="0" distL="0" distR="0" simplePos="0" relativeHeight="251841536" behindDoc="1" locked="0" layoutInCell="1" allowOverlap="1" wp14:anchorId="6E4DC6E1" wp14:editId="38D3887F">
            <wp:simplePos x="0" y="0"/>
            <wp:positionH relativeFrom="page">
              <wp:posOffset>1156652</wp:posOffset>
            </wp:positionH>
            <wp:positionV relativeFrom="paragraph">
              <wp:posOffset>74705</wp:posOffset>
            </wp:positionV>
            <wp:extent cx="5377155" cy="4864608"/>
            <wp:effectExtent l="0" t="0" r="0" b="0"/>
            <wp:wrapTopAndBottom/>
            <wp:docPr id="647" name="Image 647"/>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326" cstate="print"/>
                    <a:stretch>
                      <a:fillRect/>
                    </a:stretch>
                  </pic:blipFill>
                  <pic:spPr>
                    <a:xfrm>
                      <a:off x="0" y="0"/>
                      <a:ext cx="5377155" cy="4864608"/>
                    </a:xfrm>
                    <a:prstGeom prst="rect">
                      <a:avLst/>
                    </a:prstGeom>
                  </pic:spPr>
                </pic:pic>
              </a:graphicData>
            </a:graphic>
          </wp:anchor>
        </w:drawing>
      </w:r>
    </w:p>
    <w:p w14:paraId="542FA0FE" w14:textId="77777777" w:rsidR="008715BE" w:rsidRPr="00EC75B7" w:rsidRDefault="008715BE">
      <w:pPr>
        <w:pStyle w:val="BodyText"/>
        <w:spacing w:before="140"/>
        <w:rPr>
          <w:rFonts w:ascii="Verdana" w:hAnsi="Verdana"/>
        </w:rPr>
      </w:pPr>
    </w:p>
    <w:p w14:paraId="42401CC5" w14:textId="77777777" w:rsidR="008715BE" w:rsidRPr="00EC75B7" w:rsidRDefault="00000000">
      <w:pPr>
        <w:ind w:left="6879"/>
        <w:rPr>
          <w:rFonts w:ascii="Verdana" w:hAnsi="Verdana"/>
          <w:i/>
          <w:sz w:val="18"/>
          <w:szCs w:val="18"/>
        </w:rPr>
      </w:pPr>
      <w:r w:rsidRPr="00EC75B7">
        <w:rPr>
          <w:rFonts w:ascii="Verdana" w:hAnsi="Verdana"/>
          <w:i/>
          <w:color w:val="00AFEF"/>
          <w:sz w:val="18"/>
          <w:szCs w:val="18"/>
        </w:rPr>
        <w:t xml:space="preserve">Source: Anderson, G., &amp; Klugmann, D. </w:t>
      </w:r>
      <w:r w:rsidRPr="00EC75B7">
        <w:rPr>
          <w:rFonts w:ascii="Verdana" w:hAnsi="Verdana"/>
          <w:i/>
          <w:color w:val="00AFEF"/>
          <w:spacing w:val="-2"/>
          <w:sz w:val="18"/>
          <w:szCs w:val="18"/>
        </w:rPr>
        <w:t>(2014)</w:t>
      </w:r>
    </w:p>
    <w:p w14:paraId="309C8C02" w14:textId="77777777" w:rsidR="008715BE" w:rsidRPr="00EC75B7" w:rsidRDefault="008715BE">
      <w:pPr>
        <w:pStyle w:val="BodyText"/>
        <w:spacing w:before="83"/>
        <w:rPr>
          <w:rFonts w:ascii="Verdana" w:hAnsi="Verdana"/>
          <w:i/>
        </w:rPr>
      </w:pPr>
    </w:p>
    <w:p w14:paraId="00B3E56C" w14:textId="77777777" w:rsidR="008715BE" w:rsidRPr="00EC75B7" w:rsidRDefault="00000000">
      <w:pPr>
        <w:spacing w:before="1"/>
        <w:ind w:left="562" w:right="507"/>
        <w:jc w:val="center"/>
        <w:rPr>
          <w:rFonts w:ascii="Verdana" w:hAnsi="Verdana"/>
          <w:b/>
          <w:sz w:val="18"/>
          <w:szCs w:val="18"/>
        </w:rPr>
      </w:pPr>
      <w:r w:rsidRPr="00EC75B7">
        <w:rPr>
          <w:rFonts w:ascii="Verdana" w:hAnsi="Verdana"/>
          <w:b/>
          <w:color w:val="009DEF"/>
          <w:sz w:val="18"/>
          <w:szCs w:val="18"/>
        </w:rPr>
        <w:t xml:space="preserve">Figure 77 Annual density of </w:t>
      </w:r>
      <w:r w:rsidRPr="00EC75B7">
        <w:rPr>
          <w:rFonts w:ascii="Verdana" w:hAnsi="Verdana"/>
          <w:b/>
          <w:color w:val="009DEF"/>
          <w:spacing w:val="-2"/>
          <w:sz w:val="18"/>
          <w:szCs w:val="18"/>
        </w:rPr>
        <w:t xml:space="preserve">detected </w:t>
      </w:r>
      <w:r w:rsidRPr="00EC75B7">
        <w:rPr>
          <w:rFonts w:ascii="Verdana" w:hAnsi="Verdana"/>
          <w:b/>
          <w:color w:val="009DEF"/>
          <w:sz w:val="18"/>
          <w:szCs w:val="18"/>
        </w:rPr>
        <w:t>lightning strikes</w:t>
      </w:r>
    </w:p>
    <w:p w14:paraId="623FBD0E" w14:textId="77777777" w:rsidR="008715BE" w:rsidRPr="00EC75B7" w:rsidRDefault="008715BE">
      <w:pPr>
        <w:pStyle w:val="BodyText"/>
        <w:rPr>
          <w:rFonts w:ascii="Verdana" w:hAnsi="Verdana"/>
          <w:b/>
        </w:rPr>
      </w:pPr>
    </w:p>
    <w:p w14:paraId="4244B7CC" w14:textId="77777777" w:rsidR="008715BE" w:rsidRPr="00EC75B7" w:rsidRDefault="008715BE">
      <w:pPr>
        <w:pStyle w:val="BodyText"/>
        <w:spacing w:before="7"/>
        <w:rPr>
          <w:rFonts w:ascii="Verdana" w:hAnsi="Verdana"/>
          <w:b/>
        </w:rPr>
      </w:pPr>
    </w:p>
    <w:p w14:paraId="614BF4A9"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53" w:name="_bookmark151"/>
      <w:bookmarkEnd w:id="153"/>
      <w:r w:rsidRPr="00EC75B7">
        <w:rPr>
          <w:rFonts w:ascii="Verdana" w:hAnsi="Verdana"/>
          <w:color w:val="00AFEF"/>
          <w:sz w:val="18"/>
          <w:szCs w:val="18"/>
        </w:rPr>
        <w:t xml:space="preserve">Risk of </w:t>
      </w:r>
      <w:r w:rsidRPr="00EC75B7">
        <w:rPr>
          <w:rFonts w:ascii="Verdana" w:hAnsi="Verdana"/>
          <w:color w:val="00AFEF"/>
          <w:spacing w:val="-2"/>
          <w:sz w:val="18"/>
          <w:szCs w:val="18"/>
        </w:rPr>
        <w:t xml:space="preserve">strong </w:t>
      </w:r>
      <w:r w:rsidRPr="00EC75B7">
        <w:rPr>
          <w:rFonts w:ascii="Verdana" w:hAnsi="Verdana"/>
          <w:color w:val="00AFEF"/>
          <w:sz w:val="18"/>
          <w:szCs w:val="18"/>
        </w:rPr>
        <w:t>winds</w:t>
      </w:r>
    </w:p>
    <w:p w14:paraId="39F5D249" w14:textId="77777777" w:rsidR="008715BE" w:rsidRPr="00EC75B7" w:rsidRDefault="008715BE">
      <w:pPr>
        <w:pStyle w:val="BodyText"/>
        <w:spacing w:before="114"/>
        <w:rPr>
          <w:rFonts w:ascii="Verdana" w:hAnsi="Verdana"/>
          <w:b/>
        </w:rPr>
      </w:pPr>
    </w:p>
    <w:p w14:paraId="2690FAA9" w14:textId="77777777" w:rsidR="008715BE" w:rsidRPr="00EC75B7" w:rsidRDefault="00000000">
      <w:pPr>
        <w:pStyle w:val="BodyText"/>
        <w:ind w:left="369"/>
        <w:rPr>
          <w:rFonts w:ascii="Verdana" w:hAnsi="Verdana"/>
        </w:rPr>
      </w:pPr>
      <w:r w:rsidRPr="00EC75B7">
        <w:rPr>
          <w:rFonts w:ascii="Verdana" w:hAnsi="Verdana"/>
        </w:rPr>
        <w:t xml:space="preserve">Strong wind gusts are the cause of much damage to wind turbines worldwide. </w:t>
      </w:r>
      <w:r w:rsidRPr="00EC75B7">
        <w:rPr>
          <w:rFonts w:ascii="Verdana" w:hAnsi="Verdana"/>
          <w:spacing w:val="-2"/>
        </w:rPr>
        <w:t>The effects</w:t>
      </w:r>
    </w:p>
    <w:p w14:paraId="22ECEB74" w14:textId="77777777" w:rsidR="008715BE" w:rsidRPr="00EC75B7" w:rsidRDefault="00000000">
      <w:pPr>
        <w:pStyle w:val="BodyText"/>
        <w:spacing w:before="107"/>
        <w:ind w:left="369"/>
        <w:rPr>
          <w:rFonts w:ascii="Verdana" w:hAnsi="Verdana"/>
        </w:rPr>
      </w:pPr>
      <w:r w:rsidRPr="00EC75B7">
        <w:rPr>
          <w:rFonts w:ascii="Verdana" w:hAnsi="Verdana"/>
        </w:rPr>
        <w:t xml:space="preserve">of these risks depend mainly on the technical characteristics of the turbines and the climatic conditions of </w:t>
      </w:r>
      <w:r w:rsidRPr="00EC75B7">
        <w:rPr>
          <w:rFonts w:ascii="Verdana" w:hAnsi="Verdana"/>
          <w:spacing w:val="-2"/>
        </w:rPr>
        <w:t>the location.</w:t>
      </w:r>
    </w:p>
    <w:p w14:paraId="1B7F0BDA" w14:textId="77777777" w:rsidR="008715BE" w:rsidRPr="00EC75B7" w:rsidRDefault="00000000">
      <w:pPr>
        <w:pStyle w:val="BodyText"/>
        <w:spacing w:before="99" w:line="357" w:lineRule="auto"/>
        <w:ind w:left="369" w:right="563"/>
        <w:jc w:val="both"/>
        <w:rPr>
          <w:rFonts w:ascii="Verdana" w:hAnsi="Verdana"/>
        </w:rPr>
      </w:pPr>
      <w:r w:rsidRPr="00EC75B7">
        <w:rPr>
          <w:rFonts w:ascii="Verdana" w:hAnsi="Verdana"/>
        </w:rPr>
        <w:t xml:space="preserve">Wind turbines have an automatic system for orienting the rotor according to the wind direction, combined with systems for changing the angle of the blades to maintain consistency at high wind speeds and to </w:t>
      </w:r>
      <w:r w:rsidRPr="00EC75B7">
        <w:rPr>
          <w:rFonts w:ascii="Verdana" w:hAnsi="Verdana"/>
        </w:rPr>
        <w:lastRenderedPageBreak/>
        <w:t>optimize the power generated at low wind speeds. The wind speed at which the turbines will be disconnected is 24.5 m/s, and the speed at which they will be reconnected is 22.5 m/s.</w:t>
      </w:r>
    </w:p>
    <w:p w14:paraId="73F66250" w14:textId="77777777" w:rsidR="008715BE" w:rsidRPr="00EC75B7" w:rsidRDefault="00000000">
      <w:pPr>
        <w:pStyle w:val="BodyText"/>
        <w:spacing w:before="124" w:line="357" w:lineRule="auto"/>
        <w:ind w:left="369" w:right="569"/>
        <w:jc w:val="both"/>
        <w:rPr>
          <w:rFonts w:ascii="Verdana" w:hAnsi="Verdana"/>
        </w:rPr>
      </w:pPr>
      <w:r w:rsidRPr="00EC75B7">
        <w:rPr>
          <w:rFonts w:ascii="Verdana" w:hAnsi="Verdana"/>
        </w:rPr>
        <w:t>The risk of damage to wind turbines as a result of extreme winds could arise in the event of spontaneous failure of the automatic turbine disconnection systems (when wind speeds exceed 24.5 m/s). Although the probability of such a situation occurring is low, it should be emphasized that the effects on the turbines can be catastrophic (including blade breakage and even turbine collapse).</w:t>
      </w:r>
    </w:p>
    <w:p w14:paraId="4E269923" w14:textId="77777777" w:rsidR="008715BE" w:rsidRPr="00EC75B7" w:rsidRDefault="00000000">
      <w:pPr>
        <w:pStyle w:val="BodyText"/>
        <w:spacing w:before="123" w:line="357" w:lineRule="auto"/>
        <w:ind w:left="369" w:right="565"/>
        <w:jc w:val="both"/>
        <w:rPr>
          <w:rFonts w:ascii="Verdana" w:hAnsi="Verdana"/>
        </w:rPr>
      </w:pPr>
      <w:r w:rsidRPr="00EC75B7">
        <w:rPr>
          <w:rFonts w:ascii="Verdana" w:hAnsi="Verdana"/>
        </w:rPr>
        <w:t>According to the paper "Climate change – from physical bases to risks and adaptation", prepared by the National Meteorological Administration (ANM) in 2015, wind speed shows major changes in its long-term evolution. Ninety-three percent of all stations in Romania show a downward trend in average annual wind speed. The intra-Carpathian region is less affected than the rest of the country. Regional climate models indicate minor changes in wind speed at the end of the century (2071-2100), showing an increase of 1 m/s.</w:t>
      </w:r>
    </w:p>
    <w:p w14:paraId="39CDBA24" w14:textId="77777777" w:rsidR="008715BE" w:rsidRPr="00EC75B7" w:rsidRDefault="00000000">
      <w:pPr>
        <w:pStyle w:val="BodyText"/>
        <w:spacing w:before="123" w:line="360" w:lineRule="auto"/>
        <w:ind w:left="369" w:right="579"/>
        <w:jc w:val="both"/>
        <w:rPr>
          <w:rFonts w:ascii="Verdana" w:hAnsi="Verdana"/>
        </w:rPr>
      </w:pPr>
      <w:r w:rsidRPr="00EC75B7">
        <w:rPr>
          <w:rFonts w:ascii="Verdana" w:hAnsi="Verdana"/>
        </w:rPr>
        <w:t>The probability of an accident (especially one that could involve the population) caused by strong winds is low.</w:t>
      </w:r>
    </w:p>
    <w:p w14:paraId="246ADC88" w14:textId="77777777" w:rsidR="008715BE" w:rsidRPr="00EC75B7" w:rsidRDefault="008715BE">
      <w:pPr>
        <w:pStyle w:val="BodyText"/>
        <w:spacing w:before="21"/>
        <w:rPr>
          <w:rFonts w:ascii="Verdana" w:hAnsi="Verdana"/>
        </w:rPr>
      </w:pPr>
    </w:p>
    <w:p w14:paraId="329B2500"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54" w:name="_bookmark152"/>
      <w:bookmarkEnd w:id="154"/>
      <w:r w:rsidRPr="00EC75B7">
        <w:rPr>
          <w:rFonts w:ascii="Verdana" w:hAnsi="Verdana"/>
          <w:color w:val="00AFEF"/>
          <w:spacing w:val="-2"/>
          <w:sz w:val="18"/>
          <w:szCs w:val="18"/>
        </w:rPr>
        <w:t xml:space="preserve">Fire </w:t>
      </w:r>
      <w:r w:rsidRPr="00EC75B7">
        <w:rPr>
          <w:rFonts w:ascii="Verdana" w:hAnsi="Verdana"/>
          <w:color w:val="00AFEF"/>
          <w:sz w:val="18"/>
          <w:szCs w:val="18"/>
        </w:rPr>
        <w:t>risk</w:t>
      </w:r>
    </w:p>
    <w:p w14:paraId="04E73171" w14:textId="77777777" w:rsidR="008715BE" w:rsidRPr="00EC75B7" w:rsidRDefault="008715BE">
      <w:pPr>
        <w:pStyle w:val="BodyText"/>
        <w:spacing w:before="114"/>
        <w:rPr>
          <w:rFonts w:ascii="Verdana" w:hAnsi="Verdana"/>
          <w:b/>
        </w:rPr>
      </w:pPr>
    </w:p>
    <w:p w14:paraId="3460779F" w14:textId="77777777" w:rsidR="008715BE" w:rsidRPr="00EC75B7" w:rsidRDefault="00000000">
      <w:pPr>
        <w:pStyle w:val="BodyText"/>
        <w:spacing w:line="357" w:lineRule="auto"/>
        <w:ind w:left="369" w:right="563"/>
        <w:jc w:val="both"/>
        <w:rPr>
          <w:rFonts w:ascii="Verdana" w:hAnsi="Verdana"/>
        </w:rPr>
      </w:pPr>
      <w:r w:rsidRPr="00EC75B7">
        <w:rPr>
          <w:rFonts w:ascii="Verdana" w:hAnsi="Verdana"/>
        </w:rPr>
        <w:t>Fires are one of the main risks to which wind projects are exposed. They can be caused by natural phenomena (such as lightning), technical faults (overheating of components or electrical faults), and the quantities of combustible materials present in the nacelle.</w:t>
      </w:r>
    </w:p>
    <w:p w14:paraId="73D9D1BF" w14:textId="77777777" w:rsidR="008715BE" w:rsidRPr="00EC75B7" w:rsidRDefault="00000000">
      <w:pPr>
        <w:pStyle w:val="BodyText"/>
        <w:spacing w:before="123" w:line="357" w:lineRule="auto"/>
        <w:ind w:left="369" w:right="566"/>
        <w:jc w:val="both"/>
        <w:rPr>
          <w:rFonts w:ascii="Verdana" w:hAnsi="Verdana"/>
        </w:rPr>
      </w:pPr>
      <w:r w:rsidRPr="00EC75B7">
        <w:rPr>
          <w:rFonts w:ascii="Verdana" w:hAnsi="Verdana"/>
        </w:rPr>
        <w:t>The wind turbines in the proposed wind farm are state-of-the-art and incorporate the highest quality and safety standards.</w:t>
      </w:r>
    </w:p>
    <w:p w14:paraId="06507511" w14:textId="77777777" w:rsidR="008715BE" w:rsidRPr="00EC75B7" w:rsidRDefault="00000000">
      <w:pPr>
        <w:pStyle w:val="BodyText"/>
        <w:spacing w:before="121" w:line="360" w:lineRule="auto"/>
        <w:ind w:left="369" w:right="564"/>
        <w:jc w:val="both"/>
        <w:rPr>
          <w:rFonts w:ascii="Verdana" w:hAnsi="Verdana"/>
        </w:rPr>
      </w:pPr>
      <w:r w:rsidRPr="00EC75B7">
        <w:rPr>
          <w:rFonts w:ascii="Verdana" w:hAnsi="Verdana"/>
        </w:rPr>
        <w:t>The risk of fire is present and will be present in any installation where electronic components are found together with flammable oils and hydraulic fluids.</w:t>
      </w:r>
    </w:p>
    <w:p w14:paraId="57A7B736" w14:textId="77777777" w:rsidR="008715BE" w:rsidRPr="00EC75B7" w:rsidRDefault="00000000">
      <w:pPr>
        <w:pStyle w:val="BodyText"/>
        <w:spacing w:before="116" w:line="360" w:lineRule="auto"/>
        <w:ind w:left="369" w:right="571"/>
        <w:jc w:val="both"/>
        <w:rPr>
          <w:rFonts w:ascii="Verdana" w:hAnsi="Verdana"/>
        </w:rPr>
      </w:pPr>
      <w:r w:rsidRPr="00EC75B7">
        <w:rPr>
          <w:rFonts w:ascii="Verdana" w:hAnsi="Verdana"/>
        </w:rPr>
        <w:t>Fires can spread easily because the nacelle contains combustible materials such as mineral oils, lubricants, other cleaning agents and chemicals, plastic, and electrical components.</w:t>
      </w:r>
    </w:p>
    <w:p w14:paraId="582C68A2" w14:textId="77777777" w:rsidR="008715BE" w:rsidRPr="00EC75B7" w:rsidRDefault="00000000">
      <w:pPr>
        <w:pStyle w:val="BodyText"/>
        <w:spacing w:before="119" w:line="357" w:lineRule="auto"/>
        <w:ind w:left="369" w:right="573"/>
        <w:jc w:val="both"/>
        <w:rPr>
          <w:rFonts w:ascii="Verdana" w:hAnsi="Verdana"/>
        </w:rPr>
      </w:pPr>
      <w:r w:rsidRPr="00EC75B7">
        <w:rPr>
          <w:rFonts w:ascii="Verdana" w:hAnsi="Verdana"/>
        </w:rPr>
        <w:t>The oils used by wind turbines in the hydraulic system, in the transformer cooling system, and the oils present in the gearbox continue to pose a fire risk, with the potential to spread throughout the entire structure.</w:t>
      </w:r>
    </w:p>
    <w:p w14:paraId="3AB6FCC6" w14:textId="77777777" w:rsidR="008715BE" w:rsidRPr="00EC75B7" w:rsidRDefault="00000000">
      <w:pPr>
        <w:pStyle w:val="BodyText"/>
        <w:spacing w:before="121" w:line="357" w:lineRule="auto"/>
        <w:ind w:left="369" w:right="572"/>
        <w:jc w:val="both"/>
        <w:rPr>
          <w:rFonts w:ascii="Verdana" w:hAnsi="Verdana"/>
        </w:rPr>
      </w:pPr>
      <w:r w:rsidRPr="00EC75B7">
        <w:rPr>
          <w:rFonts w:ascii="Verdana" w:hAnsi="Verdana"/>
        </w:rPr>
        <w:t>The turbines are equipped with a smoke detection system, with sensors in the nacelle, the transformer compartment, the main electrical cabinets in the nacelle, and above the high-voltage switch at the base of the tower. If the system detects smoke, the turbine safety system ensures that the high-voltage switch is opened immediately.</w:t>
      </w:r>
    </w:p>
    <w:p w14:paraId="190BFD51" w14:textId="77777777" w:rsidR="008715BE" w:rsidRPr="00EC75B7" w:rsidRDefault="00000000">
      <w:pPr>
        <w:pStyle w:val="BodyText"/>
        <w:spacing w:before="124" w:line="357" w:lineRule="auto"/>
        <w:ind w:left="369" w:right="577"/>
        <w:jc w:val="both"/>
        <w:rPr>
          <w:rFonts w:ascii="Verdana" w:hAnsi="Verdana"/>
        </w:rPr>
      </w:pPr>
      <w:r w:rsidRPr="00EC75B7">
        <w:rPr>
          <w:rFonts w:ascii="Verdana" w:hAnsi="Verdana"/>
        </w:rPr>
        <w:t>Wind turbines have oil spill collection systems so that any oil spills are collected at the bottom of the nacelle enclosure. The wind turbine is also equipped with smaller oil collection systems for its individual components.</w:t>
      </w:r>
    </w:p>
    <w:p w14:paraId="7C01C78A"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850" w:header="766" w:footer="824" w:gutter="0"/>
          <w:cols w:space="708"/>
        </w:sectPr>
      </w:pPr>
    </w:p>
    <w:p w14:paraId="6B510565" w14:textId="77777777" w:rsidR="008715BE" w:rsidRPr="00EC75B7" w:rsidRDefault="00000000">
      <w:pPr>
        <w:pStyle w:val="BodyText"/>
        <w:spacing w:before="99" w:line="357" w:lineRule="auto"/>
        <w:ind w:left="369" w:right="575"/>
        <w:jc w:val="both"/>
        <w:rPr>
          <w:rFonts w:ascii="Verdana" w:hAnsi="Verdana"/>
        </w:rPr>
      </w:pPr>
      <w:r w:rsidRPr="00EC75B7">
        <w:rPr>
          <w:rFonts w:ascii="Verdana" w:hAnsi="Verdana"/>
        </w:rPr>
        <w:lastRenderedPageBreak/>
        <w:t xml:space="preserve">Fire extinguishers are provided inside the turbine for fires that can be detected in time. As safety measures inside the power plant, the use of fire, the introduction of flammable materials, and </w:t>
      </w:r>
      <w:r w:rsidRPr="00EC75B7">
        <w:rPr>
          <w:rFonts w:ascii="Verdana" w:hAnsi="Verdana"/>
          <w:spacing w:val="-4"/>
        </w:rPr>
        <w:t xml:space="preserve">smoking </w:t>
      </w:r>
      <w:r w:rsidRPr="00EC75B7">
        <w:rPr>
          <w:rFonts w:ascii="Verdana" w:hAnsi="Verdana"/>
        </w:rPr>
        <w:t>are prohibited</w:t>
      </w:r>
      <w:r w:rsidRPr="00EC75B7">
        <w:rPr>
          <w:rFonts w:ascii="Verdana" w:hAnsi="Verdana"/>
          <w:spacing w:val="-4"/>
        </w:rPr>
        <w:t>.</w:t>
      </w:r>
    </w:p>
    <w:p w14:paraId="1E48F518" w14:textId="77777777" w:rsidR="008715BE" w:rsidRPr="00EC75B7" w:rsidRDefault="00000000">
      <w:pPr>
        <w:pStyle w:val="BodyText"/>
        <w:spacing w:before="123" w:line="357" w:lineRule="auto"/>
        <w:ind w:left="369" w:right="569"/>
        <w:jc w:val="both"/>
        <w:rPr>
          <w:rFonts w:ascii="Verdana" w:hAnsi="Verdana"/>
        </w:rPr>
      </w:pPr>
      <w:r w:rsidRPr="00EC75B7">
        <w:rPr>
          <w:rFonts w:ascii="Verdana" w:hAnsi="Verdana"/>
        </w:rPr>
        <w:t xml:space="preserve">The major risks in the event of a fire mainly concern the staff and especially the people inside the turbine. Their obligation is to use the appropriate fire extinguishers, and if this operation does not produce immediate results, the area will be evacuated, as there is a fairly high risk of </w:t>
      </w:r>
      <w:r w:rsidRPr="00EC75B7">
        <w:rPr>
          <w:rFonts w:ascii="Verdana" w:hAnsi="Verdana"/>
          <w:spacing w:val="-2"/>
        </w:rPr>
        <w:t>asphyxiation.</w:t>
      </w:r>
    </w:p>
    <w:p w14:paraId="6FEF67DE" w14:textId="77777777" w:rsidR="008715BE" w:rsidRPr="00EC75B7" w:rsidRDefault="00000000">
      <w:pPr>
        <w:pStyle w:val="BodyText"/>
        <w:spacing w:before="123" w:line="357" w:lineRule="auto"/>
        <w:ind w:left="369" w:right="567"/>
        <w:jc w:val="both"/>
        <w:rPr>
          <w:rFonts w:ascii="Verdana" w:hAnsi="Verdana"/>
        </w:rPr>
      </w:pPr>
      <w:r w:rsidRPr="00EC75B7">
        <w:rPr>
          <w:rFonts w:ascii="Verdana" w:hAnsi="Verdana"/>
        </w:rPr>
        <w:t xml:space="preserve">The probability of a fire occurring in a wind turbine as a result of lightning or a technical fault is low. This is mainly due to the existence of an adequate lightning protection system, as well as measures to reduce the amount of flammable materials in the </w:t>
      </w:r>
      <w:r w:rsidRPr="00EC75B7">
        <w:rPr>
          <w:rFonts w:ascii="Verdana" w:hAnsi="Verdana"/>
          <w:spacing w:val="-2"/>
        </w:rPr>
        <w:t>nacelle.</w:t>
      </w:r>
    </w:p>
    <w:p w14:paraId="4E709ACC" w14:textId="77777777" w:rsidR="008715BE" w:rsidRPr="00EC75B7" w:rsidRDefault="00000000">
      <w:pPr>
        <w:pStyle w:val="BodyText"/>
        <w:spacing w:before="124" w:line="357" w:lineRule="auto"/>
        <w:ind w:left="369" w:right="569"/>
        <w:jc w:val="both"/>
        <w:rPr>
          <w:rFonts w:ascii="Verdana" w:hAnsi="Verdana"/>
        </w:rPr>
      </w:pPr>
      <w:r w:rsidRPr="00EC75B7">
        <w:rPr>
          <w:rFonts w:ascii="Verdana" w:hAnsi="Verdana"/>
        </w:rPr>
        <w:t>In the event of a fire, the most likely damage will occur at the nacelle level, with the worst-case scenario being the collapse of components (blades, rotor, entire nacelle) in the immediate vicinity of the tower (max. 75 m around the tower).</w:t>
      </w:r>
    </w:p>
    <w:p w14:paraId="50EF545B" w14:textId="77777777" w:rsidR="008715BE" w:rsidRPr="00EC75B7" w:rsidRDefault="008715BE">
      <w:pPr>
        <w:pStyle w:val="BodyText"/>
        <w:spacing w:before="24"/>
        <w:rPr>
          <w:rFonts w:ascii="Verdana" w:hAnsi="Verdana"/>
        </w:rPr>
      </w:pPr>
    </w:p>
    <w:p w14:paraId="08841582" w14:textId="77777777" w:rsidR="008715BE" w:rsidRPr="00EC75B7" w:rsidRDefault="00000000">
      <w:pPr>
        <w:pStyle w:val="Heading3"/>
        <w:numPr>
          <w:ilvl w:val="2"/>
          <w:numId w:val="110"/>
        </w:numPr>
        <w:tabs>
          <w:tab w:val="left" w:pos="2325"/>
        </w:tabs>
        <w:ind w:left="2325" w:hanging="991"/>
        <w:rPr>
          <w:rFonts w:ascii="Verdana" w:hAnsi="Verdana"/>
          <w:i/>
          <w:color w:val="00AFEF"/>
          <w:sz w:val="18"/>
          <w:szCs w:val="18"/>
        </w:rPr>
      </w:pPr>
      <w:bookmarkStart w:id="155" w:name="_bookmark153"/>
      <w:bookmarkEnd w:id="155"/>
      <w:r w:rsidRPr="00EC75B7">
        <w:rPr>
          <w:rFonts w:ascii="Verdana" w:hAnsi="Verdana"/>
          <w:color w:val="00AFEF"/>
          <w:sz w:val="18"/>
          <w:szCs w:val="18"/>
        </w:rPr>
        <w:t xml:space="preserve">Risk of flying blades or </w:t>
      </w:r>
      <w:r w:rsidRPr="00EC75B7">
        <w:rPr>
          <w:rFonts w:ascii="Verdana" w:hAnsi="Verdana"/>
          <w:color w:val="00AFEF"/>
          <w:spacing w:val="-2"/>
          <w:sz w:val="18"/>
          <w:szCs w:val="18"/>
        </w:rPr>
        <w:t>ice</w:t>
      </w:r>
    </w:p>
    <w:p w14:paraId="4E39C5A9" w14:textId="77777777" w:rsidR="008715BE" w:rsidRPr="00EC75B7" w:rsidRDefault="008715BE">
      <w:pPr>
        <w:pStyle w:val="BodyText"/>
        <w:spacing w:before="114"/>
        <w:rPr>
          <w:rFonts w:ascii="Verdana" w:hAnsi="Verdana"/>
          <w:b/>
        </w:rPr>
      </w:pPr>
    </w:p>
    <w:p w14:paraId="1960CF65" w14:textId="77777777" w:rsidR="008715BE" w:rsidRPr="00EC75B7" w:rsidRDefault="00000000">
      <w:pPr>
        <w:pStyle w:val="BodyText"/>
        <w:spacing w:line="357" w:lineRule="auto"/>
        <w:ind w:left="369" w:right="570"/>
        <w:jc w:val="both"/>
        <w:rPr>
          <w:rFonts w:ascii="Verdana" w:hAnsi="Verdana"/>
        </w:rPr>
      </w:pPr>
      <w:r w:rsidRPr="00EC75B7">
        <w:rPr>
          <w:rFonts w:ascii="Verdana" w:hAnsi="Verdana"/>
        </w:rPr>
        <w:t>A rotor blade or part of it may be "thrown" as a result of a rotor blade failure, which could have an impact on public safety. The risk associated with a blade being thrown is negligible. Pieces of ice may fall from the rotor while the turbine is in operation or may be thrown from it while it is at rest if ice accumulates on the blades, which can occur in weather conditions specific to locations in cold areas (IFC, 2015).</w:t>
      </w:r>
    </w:p>
    <w:p w14:paraId="320117DB" w14:textId="77777777" w:rsidR="008715BE" w:rsidRPr="00EC75B7" w:rsidRDefault="00000000">
      <w:pPr>
        <w:pStyle w:val="BodyText"/>
        <w:spacing w:before="125" w:line="357" w:lineRule="auto"/>
        <w:ind w:left="369" w:right="563"/>
        <w:jc w:val="both"/>
        <w:rPr>
          <w:rFonts w:ascii="Verdana" w:hAnsi="Verdana"/>
        </w:rPr>
      </w:pPr>
      <w:r w:rsidRPr="00EC75B7">
        <w:rPr>
          <w:rFonts w:ascii="Verdana" w:hAnsi="Verdana"/>
        </w:rPr>
        <w:t>Reducing these risks depends on weather conditions (especially wind), the control system with which the turbine is equipped, and the operational management procedures applied within the wind farm. Wind turbine specifications state operation at temperatures of -30°C.</w:t>
      </w:r>
    </w:p>
    <w:p w14:paraId="6EFCEEF1" w14:textId="77777777" w:rsidR="008715BE" w:rsidRPr="00EC75B7" w:rsidRDefault="00000000">
      <w:pPr>
        <w:pStyle w:val="BodyText"/>
        <w:spacing w:before="122" w:line="357" w:lineRule="auto"/>
        <w:ind w:left="369" w:right="576"/>
        <w:jc w:val="both"/>
        <w:rPr>
          <w:rFonts w:ascii="Verdana" w:hAnsi="Verdana"/>
        </w:rPr>
      </w:pPr>
      <w:r w:rsidRPr="00EC75B7">
        <w:rPr>
          <w:rFonts w:ascii="Verdana" w:hAnsi="Verdana"/>
        </w:rPr>
        <w:t>Avoiding such events and identifying sensitive receptors can be achieved by calculating the distance over which such events can occur.</w:t>
      </w:r>
    </w:p>
    <w:p w14:paraId="78679134" w14:textId="77777777" w:rsidR="008715BE" w:rsidRPr="00EC75B7" w:rsidRDefault="00000000">
      <w:pPr>
        <w:pStyle w:val="BodyText"/>
        <w:spacing w:before="120" w:line="360" w:lineRule="auto"/>
        <w:ind w:left="369" w:right="575"/>
        <w:jc w:val="both"/>
        <w:rPr>
          <w:rFonts w:ascii="Verdana" w:hAnsi="Verdana"/>
        </w:rPr>
      </w:pPr>
      <w:r w:rsidRPr="00EC75B7">
        <w:rPr>
          <w:rFonts w:ascii="Verdana" w:hAnsi="Verdana"/>
        </w:rPr>
        <w:t>A simplified empirical equation was introduced in (Seifert et al., 2003): representing a "risk circle." The formula is presented below.</w:t>
      </w:r>
    </w:p>
    <w:p w14:paraId="383A6942" w14:textId="77777777" w:rsidR="008715BE" w:rsidRPr="00EC75B7" w:rsidRDefault="00000000">
      <w:pPr>
        <w:pStyle w:val="BodyText"/>
        <w:spacing w:before="78"/>
        <w:ind w:left="311" w:right="507"/>
        <w:jc w:val="center"/>
        <w:rPr>
          <w:rFonts w:ascii="Verdana" w:eastAsia="Noto Sans Math" w:hAnsi="Verdana"/>
        </w:rPr>
      </w:pPr>
      <w:r w:rsidRPr="00EC75B7">
        <w:rPr>
          <w:rFonts w:ascii="Cambria Math" w:eastAsia="Noto Sans Math" w:hAnsi="Cambria Math" w:cs="Cambria Math"/>
        </w:rPr>
        <w:t>𝑑</w:t>
      </w:r>
      <w:r w:rsidRPr="00EC75B7">
        <w:rPr>
          <w:rFonts w:ascii="Verdana" w:eastAsia="Noto Sans Math" w:hAnsi="Verdana"/>
          <w:spacing w:val="4"/>
        </w:rPr>
        <w:t xml:space="preserve"> </w:t>
      </w:r>
      <w:r w:rsidRPr="00EC75B7">
        <w:rPr>
          <w:rFonts w:ascii="Verdana" w:eastAsia="Noto Sans Math" w:hAnsi="Verdana"/>
        </w:rPr>
        <w:t xml:space="preserve">= </w:t>
      </w:r>
      <w:r w:rsidRPr="00EC75B7">
        <w:rPr>
          <w:rFonts w:ascii="Verdana" w:eastAsia="Noto Sans Math" w:hAnsi="Verdana"/>
          <w:position w:val="1"/>
        </w:rPr>
        <w:t>(</w:t>
      </w:r>
      <w:r w:rsidRPr="00EC75B7">
        <w:rPr>
          <w:rFonts w:ascii="Cambria Math" w:eastAsia="Noto Sans Math" w:hAnsi="Cambria Math" w:cs="Cambria Math"/>
        </w:rPr>
        <w:t>𝐷</w:t>
      </w:r>
      <w:r w:rsidRPr="00EC75B7">
        <w:rPr>
          <w:rFonts w:ascii="Verdana" w:eastAsia="Noto Sans Math" w:hAnsi="Verdana"/>
          <w:spacing w:val="-5"/>
        </w:rPr>
        <w:t xml:space="preserve"> </w:t>
      </w:r>
      <w:r w:rsidRPr="00EC75B7">
        <w:rPr>
          <w:rFonts w:ascii="Verdana" w:eastAsia="Noto Sans Math" w:hAnsi="Verdana"/>
        </w:rPr>
        <w:t>+</w:t>
      </w:r>
      <w:r w:rsidRPr="00EC75B7">
        <w:rPr>
          <w:rFonts w:ascii="Cambria Math" w:eastAsia="Noto Sans Math" w:hAnsi="Cambria Math" w:cs="Cambria Math"/>
        </w:rPr>
        <w:t>𝐻</w:t>
      </w:r>
      <w:r w:rsidRPr="00EC75B7">
        <w:rPr>
          <w:rFonts w:ascii="Verdana" w:eastAsia="Noto Sans Math" w:hAnsi="Verdana"/>
          <w:position w:val="1"/>
        </w:rPr>
        <w:t xml:space="preserve"> )</w:t>
      </w:r>
      <w:r w:rsidRPr="00EC75B7">
        <w:rPr>
          <w:rFonts w:ascii="Verdana" w:eastAsia="Noto Sans Math" w:hAnsi="Verdana"/>
        </w:rPr>
        <w:t xml:space="preserve"> </w:t>
      </w:r>
      <w:r w:rsidRPr="00EC75B7">
        <w:rPr>
          <w:rFonts w:ascii="Cambria Math" w:eastAsia="Noto Sans Math" w:hAnsi="Cambria Math" w:cs="Cambria Math"/>
        </w:rPr>
        <w:t>∗</w:t>
      </w:r>
      <w:r w:rsidRPr="00EC75B7">
        <w:rPr>
          <w:rFonts w:ascii="Verdana" w:eastAsia="Noto Sans Math" w:hAnsi="Verdana"/>
          <w:spacing w:val="-5"/>
        </w:rPr>
        <w:t xml:space="preserve"> 1.5</w:t>
      </w:r>
    </w:p>
    <w:p w14:paraId="33E4DC13" w14:textId="77777777" w:rsidR="008715BE" w:rsidRPr="00EC75B7" w:rsidRDefault="00000000">
      <w:pPr>
        <w:pStyle w:val="BodyText"/>
        <w:spacing w:before="197"/>
        <w:ind w:left="369"/>
        <w:rPr>
          <w:rFonts w:ascii="Verdana" w:hAnsi="Verdana"/>
        </w:rPr>
      </w:pPr>
      <w:r w:rsidRPr="00EC75B7">
        <w:rPr>
          <w:rFonts w:ascii="Verdana" w:hAnsi="Verdana"/>
          <w:spacing w:val="-4"/>
        </w:rPr>
        <w:t>Where:</w:t>
      </w:r>
    </w:p>
    <w:p w14:paraId="6DDB893C" w14:textId="77777777" w:rsidR="008715BE" w:rsidRPr="00EC75B7" w:rsidRDefault="00000000">
      <w:pPr>
        <w:spacing w:before="109"/>
        <w:ind w:left="369"/>
        <w:rPr>
          <w:rFonts w:ascii="Verdana" w:hAnsi="Verdana"/>
          <w:sz w:val="18"/>
          <w:szCs w:val="18"/>
        </w:rPr>
      </w:pPr>
      <w:r w:rsidRPr="00EC75B7">
        <w:rPr>
          <w:rFonts w:ascii="Verdana" w:hAnsi="Verdana"/>
          <w:spacing w:val="-2"/>
          <w:sz w:val="18"/>
          <w:szCs w:val="18"/>
        </w:rPr>
        <w:t xml:space="preserve">d = maximum throw distance </w:t>
      </w:r>
      <w:r w:rsidRPr="00EC75B7">
        <w:rPr>
          <w:rFonts w:ascii="Verdana" w:hAnsi="Verdana"/>
          <w:spacing w:val="-4"/>
          <w:sz w:val="18"/>
          <w:szCs w:val="18"/>
        </w:rPr>
        <w:t>(m);</w:t>
      </w:r>
    </w:p>
    <w:p w14:paraId="1A2CB5D0" w14:textId="77777777" w:rsidR="008715BE" w:rsidRPr="00EC75B7" w:rsidRDefault="00000000">
      <w:pPr>
        <w:spacing w:before="97"/>
        <w:ind w:left="369"/>
        <w:rPr>
          <w:rFonts w:ascii="Verdana" w:hAnsi="Verdana"/>
          <w:sz w:val="18"/>
          <w:szCs w:val="18"/>
        </w:rPr>
      </w:pPr>
      <w:r w:rsidRPr="00EC75B7">
        <w:rPr>
          <w:rFonts w:ascii="Verdana" w:hAnsi="Verdana"/>
          <w:sz w:val="18"/>
          <w:szCs w:val="18"/>
        </w:rPr>
        <w:t xml:space="preserve">D = rotor diameter (in </w:t>
      </w:r>
      <w:r w:rsidRPr="00EC75B7">
        <w:rPr>
          <w:rFonts w:ascii="Verdana" w:hAnsi="Verdana"/>
          <w:spacing w:val="-5"/>
          <w:sz w:val="18"/>
          <w:szCs w:val="18"/>
        </w:rPr>
        <w:t>m);</w:t>
      </w:r>
    </w:p>
    <w:p w14:paraId="4047BF82" w14:textId="77777777" w:rsidR="008715BE" w:rsidRPr="00EC75B7" w:rsidRDefault="00000000">
      <w:pPr>
        <w:spacing w:before="96"/>
        <w:ind w:left="369"/>
        <w:rPr>
          <w:rFonts w:ascii="Verdana" w:hAnsi="Verdana"/>
          <w:sz w:val="18"/>
          <w:szCs w:val="18"/>
        </w:rPr>
      </w:pPr>
      <w:r w:rsidRPr="00EC75B7">
        <w:rPr>
          <w:rFonts w:ascii="Verdana" w:hAnsi="Verdana"/>
          <w:sz w:val="18"/>
          <w:szCs w:val="18"/>
        </w:rPr>
        <w:t xml:space="preserve">H = tower height </w:t>
      </w:r>
      <w:r w:rsidRPr="00EC75B7">
        <w:rPr>
          <w:rFonts w:ascii="Verdana" w:hAnsi="Verdana"/>
          <w:spacing w:val="-5"/>
          <w:sz w:val="18"/>
          <w:szCs w:val="18"/>
        </w:rPr>
        <w:t>(m)</w:t>
      </w:r>
    </w:p>
    <w:p w14:paraId="1B8ABAFE" w14:textId="77777777" w:rsidR="008715BE" w:rsidRPr="00EC75B7" w:rsidRDefault="008715BE">
      <w:pPr>
        <w:pStyle w:val="BodyText"/>
        <w:rPr>
          <w:rFonts w:ascii="Verdana" w:hAnsi="Verdana"/>
        </w:rPr>
      </w:pPr>
    </w:p>
    <w:p w14:paraId="343450CE" w14:textId="77777777" w:rsidR="008715BE" w:rsidRPr="00EC75B7" w:rsidRDefault="008715BE">
      <w:pPr>
        <w:pStyle w:val="BodyText"/>
        <w:spacing w:before="155"/>
        <w:rPr>
          <w:rFonts w:ascii="Verdana" w:hAnsi="Verdana"/>
        </w:rPr>
      </w:pPr>
    </w:p>
    <w:p w14:paraId="560CC0F5" w14:textId="77777777" w:rsidR="008715BE" w:rsidRPr="00EC75B7" w:rsidRDefault="00000000">
      <w:pPr>
        <w:pStyle w:val="BodyText"/>
        <w:spacing w:before="1" w:line="357" w:lineRule="auto"/>
        <w:ind w:left="369" w:right="564"/>
        <w:jc w:val="both"/>
        <w:rPr>
          <w:rFonts w:ascii="Verdana" w:hAnsi="Verdana"/>
        </w:rPr>
      </w:pPr>
      <w:r w:rsidRPr="00EC75B7">
        <w:rPr>
          <w:rFonts w:ascii="Verdana" w:hAnsi="Verdana"/>
        </w:rPr>
        <w:t>The IFC Guide (2015) proposes calculating "setback distances" that must be observed between turbines and populated areas. The formula is presented below.</w:t>
      </w:r>
    </w:p>
    <w:p w14:paraId="425353D7" w14:textId="77777777" w:rsidR="008715BE" w:rsidRPr="00EC75B7" w:rsidRDefault="00000000">
      <w:pPr>
        <w:pStyle w:val="BodyText"/>
        <w:spacing w:before="79"/>
        <w:ind w:left="314" w:right="507"/>
        <w:jc w:val="center"/>
        <w:rPr>
          <w:rFonts w:ascii="Verdana" w:eastAsia="Noto Sans Math" w:hAnsi="Verdana"/>
        </w:rPr>
      </w:pPr>
      <w:r w:rsidRPr="00EC75B7">
        <w:rPr>
          <w:rFonts w:ascii="Cambria Math" w:eastAsia="Noto Sans Math" w:hAnsi="Cambria Math" w:cs="Cambria Math"/>
        </w:rPr>
        <w:t>𝐷𝑖𝑠𝑡𝑎𝑛</w:t>
      </w:r>
      <w:r w:rsidRPr="00EC75B7">
        <w:rPr>
          <w:rFonts w:ascii="Verdana" w:eastAsia="Noto Sans Math" w:hAnsi="Verdana"/>
        </w:rPr>
        <w:t>ț</w:t>
      </w:r>
      <w:r w:rsidRPr="00EC75B7">
        <w:rPr>
          <w:rFonts w:ascii="Cambria Math" w:eastAsia="Noto Sans Math" w:hAnsi="Cambria Math" w:cs="Cambria Math"/>
          <w:spacing w:val="-10"/>
        </w:rPr>
        <w:t>𝑎</w:t>
      </w:r>
      <w:r w:rsidRPr="00EC75B7">
        <w:rPr>
          <w:rFonts w:ascii="Cambria Math" w:eastAsia="Noto Sans Math" w:hAnsi="Cambria Math" w:cs="Cambria Math"/>
        </w:rPr>
        <w:t>𝑑𝑒</w:t>
      </w:r>
      <w:r w:rsidRPr="00EC75B7">
        <w:rPr>
          <w:rFonts w:ascii="Verdana" w:eastAsia="Noto Sans Math" w:hAnsi="Verdana"/>
          <w:spacing w:val="-1"/>
        </w:rPr>
        <w:t xml:space="preserve"> </w:t>
      </w:r>
      <w:r w:rsidRPr="00EC75B7">
        <w:rPr>
          <w:rFonts w:ascii="Cambria Math" w:eastAsia="Noto Sans Math" w:hAnsi="Cambria Math" w:cs="Cambria Math"/>
        </w:rPr>
        <w:t>𝑟𝑒𝑔𝑟𝑒𝑠</w:t>
      </w:r>
      <w:r w:rsidRPr="00EC75B7">
        <w:rPr>
          <w:rFonts w:ascii="Verdana" w:eastAsia="Noto Sans Math" w:hAnsi="Verdana"/>
          <w:spacing w:val="-1"/>
        </w:rPr>
        <w:t xml:space="preserve"> </w:t>
      </w:r>
      <w:r w:rsidRPr="00EC75B7">
        <w:rPr>
          <w:rFonts w:ascii="Verdana" w:eastAsia="Noto Sans Math" w:hAnsi="Verdana"/>
        </w:rPr>
        <w:t xml:space="preserve">= </w:t>
      </w:r>
      <w:r w:rsidRPr="00EC75B7">
        <w:rPr>
          <w:rFonts w:ascii="Verdana" w:eastAsia="Noto Sans Math" w:hAnsi="Verdana"/>
          <w:position w:val="1"/>
        </w:rPr>
        <w:t>(</w:t>
      </w:r>
      <w:r w:rsidRPr="00EC75B7">
        <w:rPr>
          <w:rFonts w:ascii="Cambria Math" w:eastAsia="Noto Sans Math" w:hAnsi="Cambria Math" w:cs="Cambria Math"/>
        </w:rPr>
        <w:t>𝑡𝑢𝑟𝑛</w:t>
      </w:r>
      <w:r w:rsidRPr="00EC75B7">
        <w:rPr>
          <w:rFonts w:ascii="Verdana" w:eastAsia="Noto Sans Math" w:hAnsi="Verdana"/>
          <w:spacing w:val="-11"/>
        </w:rPr>
        <w:t xml:space="preserve"> </w:t>
      </w:r>
      <w:r w:rsidRPr="00EC75B7">
        <w:rPr>
          <w:rFonts w:ascii="Verdana" w:eastAsia="Noto Sans Math" w:hAnsi="Verdana"/>
        </w:rPr>
        <w:t>+</w:t>
      </w:r>
      <w:r w:rsidRPr="00EC75B7">
        <w:rPr>
          <w:rFonts w:ascii="Cambria Math" w:eastAsia="Noto Sans Math" w:hAnsi="Cambria Math" w:cs="Cambria Math"/>
        </w:rPr>
        <w:t>𝑟𝑎𝑧𝑎</w:t>
      </w:r>
      <w:r w:rsidRPr="00EC75B7">
        <w:rPr>
          <w:rFonts w:ascii="Verdana" w:eastAsia="Noto Sans Math" w:hAnsi="Verdana"/>
          <w:spacing w:val="-8"/>
        </w:rPr>
        <w:t xml:space="preserve"> </w:t>
      </w:r>
      <w:r w:rsidRPr="00EC75B7">
        <w:rPr>
          <w:rFonts w:ascii="Cambria Math" w:eastAsia="Noto Sans Math" w:hAnsi="Cambria Math" w:cs="Cambria Math"/>
        </w:rPr>
        <w:t>𝑟𝑜𝑡𝑜𝑟𝑢𝑙𝑢𝑖</w:t>
      </w:r>
      <w:r w:rsidRPr="00EC75B7">
        <w:rPr>
          <w:rFonts w:ascii="Verdana" w:eastAsia="Noto Sans Math" w:hAnsi="Verdana"/>
          <w:position w:val="1"/>
        </w:rPr>
        <w:t xml:space="preserve"> )</w:t>
      </w:r>
      <w:r w:rsidRPr="00EC75B7">
        <w:rPr>
          <w:rFonts w:ascii="Cambria Math" w:eastAsia="Noto Sans Math" w:hAnsi="Cambria Math" w:cs="Cambria Math"/>
          <w:spacing w:val="-5"/>
        </w:rPr>
        <w:t>∗</w:t>
      </w:r>
      <w:r w:rsidRPr="00EC75B7">
        <w:rPr>
          <w:rFonts w:ascii="Verdana" w:eastAsia="Noto Sans Math" w:hAnsi="Verdana"/>
          <w:spacing w:val="-5"/>
        </w:rPr>
        <w:t>1.5</w:t>
      </w:r>
    </w:p>
    <w:p w14:paraId="11C43AF8" w14:textId="77777777" w:rsidR="008715BE" w:rsidRPr="00EC75B7" w:rsidRDefault="008715BE">
      <w:pPr>
        <w:pStyle w:val="BodyText"/>
        <w:jc w:val="center"/>
        <w:rPr>
          <w:rFonts w:ascii="Verdana" w:eastAsia="Noto Sans Math" w:hAnsi="Verdana"/>
        </w:rPr>
        <w:sectPr w:rsidR="008715BE" w:rsidRPr="00EC75B7">
          <w:pgSz w:w="11910" w:h="16840"/>
          <w:pgMar w:top="1320" w:right="425" w:bottom="1020" w:left="850" w:header="766" w:footer="824" w:gutter="0"/>
          <w:cols w:space="708"/>
        </w:sectPr>
      </w:pPr>
    </w:p>
    <w:p w14:paraId="30170A18" w14:textId="77777777" w:rsidR="008715BE" w:rsidRPr="00EC75B7" w:rsidRDefault="00000000">
      <w:pPr>
        <w:pStyle w:val="BodyText"/>
        <w:spacing w:before="99" w:line="360" w:lineRule="auto"/>
        <w:ind w:left="369" w:right="574"/>
        <w:jc w:val="both"/>
        <w:rPr>
          <w:rFonts w:ascii="Verdana" w:hAnsi="Verdana"/>
        </w:rPr>
      </w:pPr>
      <w:r w:rsidRPr="00EC75B7">
        <w:rPr>
          <w:rFonts w:ascii="Verdana" w:hAnsi="Verdana"/>
        </w:rPr>
        <w:lastRenderedPageBreak/>
        <w:t>Considering the specifications of the turbines to be installed in the wind farm, the results of the calculations are presented in the following table.</w:t>
      </w:r>
    </w:p>
    <w:p w14:paraId="7EEB17ED" w14:textId="77777777" w:rsidR="008715BE" w:rsidRPr="00EC75B7" w:rsidRDefault="008715BE">
      <w:pPr>
        <w:pStyle w:val="BodyText"/>
        <w:spacing w:before="10"/>
        <w:rPr>
          <w:rFonts w:ascii="Verdana" w:hAnsi="Verdana"/>
        </w:rPr>
      </w:pPr>
    </w:p>
    <w:tbl>
      <w:tblPr>
        <w:tblStyle w:val="TableNormal1"/>
        <w:tblW w:w="0" w:type="auto"/>
        <w:tblInd w:w="379"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1419"/>
        <w:gridCol w:w="1560"/>
        <w:gridCol w:w="1557"/>
        <w:gridCol w:w="2630"/>
      </w:tblGrid>
      <w:tr w:rsidR="008715BE" w:rsidRPr="00EC75B7" w14:paraId="7738A694" w14:textId="77777777">
        <w:trPr>
          <w:trHeight w:val="388"/>
        </w:trPr>
        <w:tc>
          <w:tcPr>
            <w:tcW w:w="2518" w:type="dxa"/>
            <w:shd w:val="clear" w:color="auto" w:fill="00AFEF"/>
          </w:tcPr>
          <w:p w14:paraId="1C01DDCE" w14:textId="77777777" w:rsidR="008715BE" w:rsidRPr="00EC75B7" w:rsidRDefault="00000000">
            <w:pPr>
              <w:pStyle w:val="TableParagraph"/>
              <w:spacing w:line="194" w:lineRule="exact"/>
              <w:ind w:left="108" w:right="95"/>
              <w:rPr>
                <w:rFonts w:ascii="Verdana" w:hAnsi="Verdana"/>
                <w:b/>
                <w:sz w:val="18"/>
                <w:szCs w:val="18"/>
              </w:rPr>
            </w:pPr>
            <w:r w:rsidRPr="00EC75B7">
              <w:rPr>
                <w:rFonts w:ascii="Verdana" w:hAnsi="Verdana"/>
                <w:b/>
                <w:color w:val="FFFFFF"/>
                <w:sz w:val="18"/>
                <w:szCs w:val="18"/>
              </w:rPr>
              <w:t>Reference guide for calculating the risk area</w:t>
            </w:r>
          </w:p>
        </w:tc>
        <w:tc>
          <w:tcPr>
            <w:tcW w:w="1419" w:type="dxa"/>
            <w:shd w:val="clear" w:color="auto" w:fill="00AFEF"/>
          </w:tcPr>
          <w:p w14:paraId="0EA6E14F" w14:textId="77777777" w:rsidR="008715BE" w:rsidRPr="00EC75B7" w:rsidRDefault="00000000">
            <w:pPr>
              <w:pStyle w:val="TableParagraph"/>
              <w:spacing w:before="8" w:line="195" w:lineRule="exact"/>
              <w:ind w:left="110"/>
              <w:rPr>
                <w:rFonts w:ascii="Verdana" w:hAnsi="Verdana"/>
                <w:b/>
                <w:sz w:val="18"/>
                <w:szCs w:val="18"/>
              </w:rPr>
            </w:pPr>
            <w:r w:rsidRPr="00EC75B7">
              <w:rPr>
                <w:rFonts w:ascii="Verdana" w:hAnsi="Verdana"/>
                <w:b/>
                <w:color w:val="FFFFFF"/>
                <w:spacing w:val="-4"/>
                <w:sz w:val="18"/>
                <w:szCs w:val="18"/>
              </w:rPr>
              <w:t xml:space="preserve">Tower </w:t>
            </w:r>
            <w:r w:rsidRPr="00EC75B7">
              <w:rPr>
                <w:rFonts w:ascii="Verdana" w:hAnsi="Verdana"/>
                <w:b/>
                <w:color w:val="FFFFFF"/>
                <w:sz w:val="18"/>
                <w:szCs w:val="18"/>
              </w:rPr>
              <w:t>height</w:t>
            </w:r>
          </w:p>
          <w:p w14:paraId="331E5364" w14:textId="77777777" w:rsidR="008715BE" w:rsidRPr="00EC75B7" w:rsidRDefault="00000000">
            <w:pPr>
              <w:pStyle w:val="TableParagraph"/>
              <w:spacing w:line="165" w:lineRule="exact"/>
              <w:ind w:left="110"/>
              <w:rPr>
                <w:rFonts w:ascii="Verdana" w:hAnsi="Verdana"/>
                <w:b/>
                <w:sz w:val="18"/>
                <w:szCs w:val="18"/>
              </w:rPr>
            </w:pPr>
            <w:r w:rsidRPr="00EC75B7">
              <w:rPr>
                <w:rFonts w:ascii="Verdana" w:hAnsi="Verdana"/>
                <w:b/>
                <w:color w:val="FFFFFF"/>
                <w:spacing w:val="-10"/>
                <w:sz w:val="18"/>
                <w:szCs w:val="18"/>
              </w:rPr>
              <w:t>m</w:t>
            </w:r>
          </w:p>
        </w:tc>
        <w:tc>
          <w:tcPr>
            <w:tcW w:w="1560" w:type="dxa"/>
            <w:shd w:val="clear" w:color="auto" w:fill="00AFEF"/>
          </w:tcPr>
          <w:p w14:paraId="2D71E5F1" w14:textId="77777777" w:rsidR="008715BE" w:rsidRPr="00EC75B7" w:rsidRDefault="00000000">
            <w:pPr>
              <w:pStyle w:val="TableParagraph"/>
              <w:spacing w:before="8"/>
              <w:ind w:left="107"/>
              <w:rPr>
                <w:rFonts w:ascii="Verdana" w:hAnsi="Verdana"/>
                <w:b/>
                <w:sz w:val="18"/>
                <w:szCs w:val="18"/>
              </w:rPr>
            </w:pPr>
            <w:r w:rsidRPr="00EC75B7">
              <w:rPr>
                <w:rFonts w:ascii="Verdana" w:hAnsi="Verdana"/>
                <w:b/>
                <w:color w:val="FFFFFF"/>
                <w:spacing w:val="-2"/>
                <w:sz w:val="18"/>
                <w:szCs w:val="18"/>
              </w:rPr>
              <w:t xml:space="preserve">Rotor </w:t>
            </w:r>
            <w:r w:rsidRPr="00EC75B7">
              <w:rPr>
                <w:rFonts w:ascii="Verdana" w:hAnsi="Verdana"/>
                <w:b/>
                <w:color w:val="FFFFFF"/>
                <w:sz w:val="18"/>
                <w:szCs w:val="18"/>
              </w:rPr>
              <w:t>diameter</w:t>
            </w:r>
          </w:p>
        </w:tc>
        <w:tc>
          <w:tcPr>
            <w:tcW w:w="1557" w:type="dxa"/>
            <w:shd w:val="clear" w:color="auto" w:fill="00AFEF"/>
          </w:tcPr>
          <w:p w14:paraId="058F1463" w14:textId="77777777" w:rsidR="008715BE" w:rsidRPr="00EC75B7" w:rsidRDefault="00000000">
            <w:pPr>
              <w:pStyle w:val="TableParagraph"/>
              <w:spacing w:before="8"/>
              <w:ind w:left="108"/>
              <w:rPr>
                <w:rFonts w:ascii="Verdana" w:hAnsi="Verdana"/>
                <w:b/>
                <w:sz w:val="18"/>
                <w:szCs w:val="18"/>
              </w:rPr>
            </w:pPr>
            <w:r w:rsidRPr="00EC75B7">
              <w:rPr>
                <w:rFonts w:ascii="Verdana" w:hAnsi="Verdana"/>
                <w:b/>
                <w:color w:val="FFFFFF"/>
                <w:spacing w:val="-4"/>
                <w:sz w:val="18"/>
                <w:szCs w:val="18"/>
              </w:rPr>
              <w:t xml:space="preserve">Rotor </w:t>
            </w:r>
            <w:r w:rsidRPr="00EC75B7">
              <w:rPr>
                <w:rFonts w:ascii="Verdana" w:hAnsi="Verdana"/>
                <w:b/>
                <w:color w:val="FFFFFF"/>
                <w:sz w:val="18"/>
                <w:szCs w:val="18"/>
              </w:rPr>
              <w:t>radius</w:t>
            </w:r>
          </w:p>
        </w:tc>
        <w:tc>
          <w:tcPr>
            <w:tcW w:w="2630" w:type="dxa"/>
            <w:shd w:val="clear" w:color="auto" w:fill="00AFEF"/>
          </w:tcPr>
          <w:p w14:paraId="5D0DD887" w14:textId="77777777" w:rsidR="008715BE" w:rsidRPr="00EC75B7" w:rsidRDefault="00000000">
            <w:pPr>
              <w:pStyle w:val="TableParagraph"/>
              <w:spacing w:before="8"/>
              <w:ind w:left="111"/>
              <w:rPr>
                <w:rFonts w:ascii="Verdana" w:hAnsi="Verdana"/>
                <w:b/>
                <w:sz w:val="18"/>
                <w:szCs w:val="18"/>
              </w:rPr>
            </w:pPr>
            <w:r w:rsidRPr="00EC75B7">
              <w:rPr>
                <w:rFonts w:ascii="Verdana" w:hAnsi="Verdana"/>
                <w:b/>
                <w:color w:val="FFFFFF"/>
                <w:spacing w:val="-4"/>
                <w:sz w:val="18"/>
                <w:szCs w:val="18"/>
              </w:rPr>
              <w:t xml:space="preserve">Risk </w:t>
            </w:r>
            <w:r w:rsidRPr="00EC75B7">
              <w:rPr>
                <w:rFonts w:ascii="Verdana" w:hAnsi="Verdana"/>
                <w:b/>
                <w:color w:val="FFFFFF"/>
                <w:sz w:val="18"/>
                <w:szCs w:val="18"/>
              </w:rPr>
              <w:t>area</w:t>
            </w:r>
          </w:p>
        </w:tc>
      </w:tr>
      <w:tr w:rsidR="008715BE" w:rsidRPr="00EC75B7" w14:paraId="7BAB9688" w14:textId="77777777">
        <w:trPr>
          <w:trHeight w:val="196"/>
        </w:trPr>
        <w:tc>
          <w:tcPr>
            <w:tcW w:w="2518" w:type="dxa"/>
          </w:tcPr>
          <w:p w14:paraId="535B7F6A" w14:textId="77777777" w:rsidR="008715BE" w:rsidRPr="00EC75B7" w:rsidRDefault="00000000">
            <w:pPr>
              <w:pStyle w:val="TableParagraph"/>
              <w:spacing w:before="10" w:line="166" w:lineRule="exact"/>
              <w:ind w:left="108"/>
              <w:rPr>
                <w:rFonts w:ascii="Verdana" w:hAnsi="Verdana"/>
                <w:sz w:val="18"/>
                <w:szCs w:val="18"/>
              </w:rPr>
            </w:pPr>
            <w:r w:rsidRPr="00EC75B7">
              <w:rPr>
                <w:rFonts w:ascii="Verdana" w:hAnsi="Verdana"/>
                <w:sz w:val="18"/>
                <w:szCs w:val="18"/>
              </w:rPr>
              <w:t xml:space="preserve">Seifert et al. </w:t>
            </w:r>
            <w:r w:rsidRPr="00EC75B7">
              <w:rPr>
                <w:rFonts w:ascii="Verdana" w:hAnsi="Verdana"/>
                <w:spacing w:val="-2"/>
                <w:sz w:val="18"/>
                <w:szCs w:val="18"/>
              </w:rPr>
              <w:t>(2003)</w:t>
            </w:r>
          </w:p>
        </w:tc>
        <w:tc>
          <w:tcPr>
            <w:tcW w:w="1419" w:type="dxa"/>
          </w:tcPr>
          <w:p w14:paraId="7833E4E3" w14:textId="77777777" w:rsidR="008715BE" w:rsidRPr="00EC75B7" w:rsidRDefault="00000000">
            <w:pPr>
              <w:pStyle w:val="TableParagraph"/>
              <w:spacing w:before="10" w:line="166" w:lineRule="exact"/>
              <w:ind w:left="110"/>
              <w:rPr>
                <w:rFonts w:ascii="Verdana" w:hAnsi="Verdana"/>
                <w:sz w:val="18"/>
                <w:szCs w:val="18"/>
              </w:rPr>
            </w:pPr>
            <w:r w:rsidRPr="00EC75B7">
              <w:rPr>
                <w:rFonts w:ascii="Verdana" w:hAnsi="Verdana"/>
                <w:spacing w:val="-5"/>
                <w:sz w:val="18"/>
                <w:szCs w:val="18"/>
              </w:rPr>
              <w:t>165</w:t>
            </w:r>
          </w:p>
        </w:tc>
        <w:tc>
          <w:tcPr>
            <w:tcW w:w="1560" w:type="dxa"/>
          </w:tcPr>
          <w:p w14:paraId="79E0E16E" w14:textId="77777777" w:rsidR="008715BE" w:rsidRPr="00EC75B7" w:rsidRDefault="00000000">
            <w:pPr>
              <w:pStyle w:val="TableParagraph"/>
              <w:spacing w:before="10" w:line="166" w:lineRule="exact"/>
              <w:ind w:left="107"/>
              <w:rPr>
                <w:rFonts w:ascii="Verdana" w:hAnsi="Verdana"/>
                <w:sz w:val="18"/>
                <w:szCs w:val="18"/>
              </w:rPr>
            </w:pPr>
            <w:r w:rsidRPr="00EC75B7">
              <w:rPr>
                <w:rFonts w:ascii="Verdana" w:hAnsi="Verdana"/>
                <w:spacing w:val="-5"/>
                <w:sz w:val="18"/>
                <w:szCs w:val="18"/>
              </w:rPr>
              <w:t>170</w:t>
            </w:r>
          </w:p>
        </w:tc>
        <w:tc>
          <w:tcPr>
            <w:tcW w:w="1557" w:type="dxa"/>
          </w:tcPr>
          <w:p w14:paraId="43353AA9" w14:textId="77777777" w:rsidR="008715BE" w:rsidRPr="00EC75B7" w:rsidRDefault="00000000">
            <w:pPr>
              <w:pStyle w:val="TableParagraph"/>
              <w:spacing w:before="10" w:line="166" w:lineRule="exact"/>
              <w:ind w:left="108"/>
              <w:rPr>
                <w:rFonts w:ascii="Verdana" w:hAnsi="Verdana"/>
                <w:sz w:val="18"/>
                <w:szCs w:val="18"/>
              </w:rPr>
            </w:pPr>
            <w:r w:rsidRPr="00EC75B7">
              <w:rPr>
                <w:rFonts w:ascii="Verdana" w:hAnsi="Verdana"/>
                <w:sz w:val="18"/>
                <w:szCs w:val="18"/>
              </w:rPr>
              <w:t>-</w:t>
            </w:r>
          </w:p>
        </w:tc>
        <w:tc>
          <w:tcPr>
            <w:tcW w:w="2630" w:type="dxa"/>
          </w:tcPr>
          <w:p w14:paraId="6C184F6A" w14:textId="77777777" w:rsidR="008715BE" w:rsidRPr="00EC75B7" w:rsidRDefault="00000000">
            <w:pPr>
              <w:pStyle w:val="TableParagraph"/>
              <w:spacing w:before="10" w:line="166" w:lineRule="exact"/>
              <w:ind w:left="111"/>
              <w:rPr>
                <w:rFonts w:ascii="Verdana" w:hAnsi="Verdana"/>
                <w:sz w:val="18"/>
                <w:szCs w:val="18"/>
              </w:rPr>
            </w:pPr>
            <w:r w:rsidRPr="00EC75B7">
              <w:rPr>
                <w:rFonts w:ascii="Verdana" w:hAnsi="Verdana"/>
                <w:spacing w:val="-4"/>
                <w:sz w:val="18"/>
                <w:szCs w:val="18"/>
              </w:rPr>
              <w:t>502.5</w:t>
            </w:r>
          </w:p>
        </w:tc>
      </w:tr>
      <w:tr w:rsidR="008715BE" w:rsidRPr="00EC75B7" w14:paraId="7952140D" w14:textId="77777777">
        <w:trPr>
          <w:trHeight w:val="194"/>
        </w:trPr>
        <w:tc>
          <w:tcPr>
            <w:tcW w:w="2518" w:type="dxa"/>
          </w:tcPr>
          <w:p w14:paraId="00BAD785" w14:textId="77777777" w:rsidR="008715BE" w:rsidRPr="00EC75B7" w:rsidRDefault="00000000">
            <w:pPr>
              <w:pStyle w:val="TableParagraph"/>
              <w:spacing w:before="8" w:line="166" w:lineRule="exact"/>
              <w:ind w:left="108"/>
              <w:rPr>
                <w:rFonts w:ascii="Verdana" w:hAnsi="Verdana"/>
                <w:sz w:val="18"/>
                <w:szCs w:val="18"/>
              </w:rPr>
            </w:pPr>
            <w:r w:rsidRPr="00EC75B7">
              <w:rPr>
                <w:rFonts w:ascii="Verdana" w:hAnsi="Verdana"/>
                <w:sz w:val="18"/>
                <w:szCs w:val="18"/>
              </w:rPr>
              <w:t xml:space="preserve">IFC Guide </w:t>
            </w:r>
            <w:r w:rsidRPr="00EC75B7">
              <w:rPr>
                <w:rFonts w:ascii="Verdana" w:hAnsi="Verdana"/>
                <w:spacing w:val="-2"/>
                <w:sz w:val="18"/>
                <w:szCs w:val="18"/>
              </w:rPr>
              <w:t>(2015)</w:t>
            </w:r>
          </w:p>
        </w:tc>
        <w:tc>
          <w:tcPr>
            <w:tcW w:w="1419" w:type="dxa"/>
          </w:tcPr>
          <w:p w14:paraId="1AEAC363" w14:textId="77777777" w:rsidR="008715BE" w:rsidRPr="00EC75B7" w:rsidRDefault="00000000">
            <w:pPr>
              <w:pStyle w:val="TableParagraph"/>
              <w:spacing w:before="8" w:line="166" w:lineRule="exact"/>
              <w:ind w:left="110"/>
              <w:rPr>
                <w:rFonts w:ascii="Verdana" w:hAnsi="Verdana"/>
                <w:sz w:val="18"/>
                <w:szCs w:val="18"/>
              </w:rPr>
            </w:pPr>
            <w:r w:rsidRPr="00EC75B7">
              <w:rPr>
                <w:rFonts w:ascii="Verdana" w:hAnsi="Verdana"/>
                <w:spacing w:val="-5"/>
                <w:sz w:val="18"/>
                <w:szCs w:val="18"/>
              </w:rPr>
              <w:t>165</w:t>
            </w:r>
          </w:p>
        </w:tc>
        <w:tc>
          <w:tcPr>
            <w:tcW w:w="1560" w:type="dxa"/>
          </w:tcPr>
          <w:p w14:paraId="3B567E0A" w14:textId="77777777" w:rsidR="008715BE" w:rsidRPr="00EC75B7" w:rsidRDefault="00000000">
            <w:pPr>
              <w:pStyle w:val="TableParagraph"/>
              <w:spacing w:before="8" w:line="166" w:lineRule="exact"/>
              <w:ind w:left="107"/>
              <w:rPr>
                <w:rFonts w:ascii="Verdana" w:hAnsi="Verdana"/>
                <w:sz w:val="18"/>
                <w:szCs w:val="18"/>
              </w:rPr>
            </w:pPr>
            <w:r w:rsidRPr="00EC75B7">
              <w:rPr>
                <w:rFonts w:ascii="Verdana" w:hAnsi="Verdana"/>
                <w:sz w:val="18"/>
                <w:szCs w:val="18"/>
              </w:rPr>
              <w:t>-</w:t>
            </w:r>
          </w:p>
        </w:tc>
        <w:tc>
          <w:tcPr>
            <w:tcW w:w="1557" w:type="dxa"/>
          </w:tcPr>
          <w:p w14:paraId="002E1925" w14:textId="77777777" w:rsidR="008715BE" w:rsidRPr="00EC75B7" w:rsidRDefault="00000000">
            <w:pPr>
              <w:pStyle w:val="TableParagraph"/>
              <w:spacing w:before="8" w:line="166" w:lineRule="exact"/>
              <w:ind w:left="108"/>
              <w:rPr>
                <w:rFonts w:ascii="Verdana" w:hAnsi="Verdana"/>
                <w:sz w:val="18"/>
                <w:szCs w:val="18"/>
              </w:rPr>
            </w:pPr>
            <w:r w:rsidRPr="00EC75B7">
              <w:rPr>
                <w:rFonts w:ascii="Verdana" w:hAnsi="Verdana"/>
                <w:spacing w:val="-5"/>
                <w:sz w:val="18"/>
                <w:szCs w:val="18"/>
              </w:rPr>
              <w:t>85</w:t>
            </w:r>
          </w:p>
        </w:tc>
        <w:tc>
          <w:tcPr>
            <w:tcW w:w="2630" w:type="dxa"/>
          </w:tcPr>
          <w:p w14:paraId="03875199" w14:textId="77777777" w:rsidR="008715BE" w:rsidRPr="00EC75B7" w:rsidRDefault="00000000">
            <w:pPr>
              <w:pStyle w:val="TableParagraph"/>
              <w:spacing w:before="8" w:line="166" w:lineRule="exact"/>
              <w:ind w:left="111"/>
              <w:rPr>
                <w:rFonts w:ascii="Verdana" w:hAnsi="Verdana"/>
                <w:sz w:val="18"/>
                <w:szCs w:val="18"/>
              </w:rPr>
            </w:pPr>
            <w:r w:rsidRPr="00EC75B7">
              <w:rPr>
                <w:rFonts w:ascii="Verdana" w:hAnsi="Verdana"/>
                <w:spacing w:val="-5"/>
                <w:sz w:val="18"/>
                <w:szCs w:val="18"/>
              </w:rPr>
              <w:t>375</w:t>
            </w:r>
          </w:p>
        </w:tc>
      </w:tr>
    </w:tbl>
    <w:p w14:paraId="5CD82B25" w14:textId="77777777" w:rsidR="008715BE" w:rsidRPr="00EC75B7" w:rsidRDefault="008715BE">
      <w:pPr>
        <w:pStyle w:val="BodyText"/>
        <w:rPr>
          <w:rFonts w:ascii="Verdana" w:hAnsi="Verdana"/>
        </w:rPr>
      </w:pPr>
    </w:p>
    <w:p w14:paraId="6BFC1E34" w14:textId="77777777" w:rsidR="008715BE" w:rsidRPr="00EC75B7" w:rsidRDefault="008715BE">
      <w:pPr>
        <w:pStyle w:val="BodyText"/>
        <w:spacing w:before="18"/>
        <w:rPr>
          <w:rFonts w:ascii="Verdana" w:hAnsi="Verdana"/>
        </w:rPr>
      </w:pPr>
    </w:p>
    <w:p w14:paraId="421FA315" w14:textId="77777777" w:rsidR="008715BE" w:rsidRPr="00EC75B7" w:rsidRDefault="00000000">
      <w:pPr>
        <w:pStyle w:val="BodyText"/>
        <w:spacing w:line="357" w:lineRule="auto"/>
        <w:ind w:left="369" w:right="562"/>
        <w:jc w:val="both"/>
        <w:rPr>
          <w:rFonts w:ascii="Verdana" w:hAnsi="Verdana"/>
        </w:rPr>
      </w:pPr>
      <w:r w:rsidRPr="00EC75B7">
        <w:rPr>
          <w:rFonts w:ascii="Verdana" w:hAnsi="Verdana"/>
        </w:rPr>
        <w:t>Spatial analysis of the results obtained from the calculations (shown in the figure below) revealed that the risk areas do not intersect with any localities, and the turbines do not pose a risk to the inhabitants of nearby settlements. However, the risk areas do intersect with a number of service roads. Also, the risk circles calculated using the two formulas intersect county road DJ391 in the case of turbines T5, T8, T9, T10, and T32, as well as communal roads DC19 and T41 in the case of turbine the DC18 communal road in the case of turbine T37 and the DC17 communal road in the case of turbines T31 and T29, but they comply with the ANRE standard distance from national or county roads.</w:t>
      </w:r>
    </w:p>
    <w:p w14:paraId="52C02F93" w14:textId="77777777" w:rsidR="008715BE" w:rsidRPr="00EC75B7" w:rsidRDefault="00000000">
      <w:pPr>
        <w:pStyle w:val="BodyText"/>
        <w:spacing w:before="7"/>
        <w:rPr>
          <w:rFonts w:ascii="Verdana" w:hAnsi="Verdana"/>
        </w:rPr>
      </w:pPr>
      <w:r w:rsidRPr="00EC75B7">
        <w:rPr>
          <w:rFonts w:ascii="Verdana" w:hAnsi="Verdana"/>
          <w:noProof/>
        </w:rPr>
        <w:drawing>
          <wp:anchor distT="0" distB="0" distL="0" distR="0" simplePos="0" relativeHeight="251842560" behindDoc="1" locked="0" layoutInCell="1" allowOverlap="1" wp14:anchorId="26283333" wp14:editId="6F40F4CE">
            <wp:simplePos x="0" y="0"/>
            <wp:positionH relativeFrom="page">
              <wp:posOffset>907192</wp:posOffset>
            </wp:positionH>
            <wp:positionV relativeFrom="paragraph">
              <wp:posOffset>136299</wp:posOffset>
            </wp:positionV>
            <wp:extent cx="6376280" cy="4622673"/>
            <wp:effectExtent l="0" t="0" r="0" b="0"/>
            <wp:wrapTopAndBottom/>
            <wp:docPr id="648" name="Image 648"/>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327" cstate="print"/>
                    <a:stretch>
                      <a:fillRect/>
                    </a:stretch>
                  </pic:blipFill>
                  <pic:spPr>
                    <a:xfrm>
                      <a:off x="0" y="0"/>
                      <a:ext cx="6376280" cy="4622673"/>
                    </a:xfrm>
                    <a:prstGeom prst="rect">
                      <a:avLst/>
                    </a:prstGeom>
                  </pic:spPr>
                </pic:pic>
              </a:graphicData>
            </a:graphic>
          </wp:anchor>
        </w:drawing>
      </w:r>
    </w:p>
    <w:p w14:paraId="31EDF72A" w14:textId="77777777" w:rsidR="008715BE" w:rsidRPr="00EC75B7" w:rsidRDefault="008715BE">
      <w:pPr>
        <w:pStyle w:val="BodyText"/>
        <w:spacing w:before="15"/>
        <w:rPr>
          <w:rFonts w:ascii="Verdana" w:hAnsi="Verdana"/>
        </w:rPr>
      </w:pPr>
    </w:p>
    <w:p w14:paraId="112FDB28" w14:textId="77777777" w:rsidR="008715BE" w:rsidRPr="00EC75B7" w:rsidRDefault="00000000">
      <w:pPr>
        <w:spacing w:before="1"/>
        <w:ind w:left="563" w:right="507"/>
        <w:jc w:val="center"/>
        <w:rPr>
          <w:rFonts w:ascii="Verdana" w:hAnsi="Verdana"/>
          <w:b/>
          <w:sz w:val="18"/>
          <w:szCs w:val="18"/>
        </w:rPr>
      </w:pPr>
      <w:r w:rsidRPr="00EC75B7">
        <w:rPr>
          <w:rFonts w:ascii="Verdana" w:hAnsi="Verdana"/>
          <w:b/>
          <w:color w:val="009DEF"/>
          <w:sz w:val="18"/>
          <w:szCs w:val="18"/>
        </w:rPr>
        <w:t xml:space="preserve">Figure no. 78 Potential radius within which </w:t>
      </w:r>
      <w:r w:rsidRPr="00EC75B7">
        <w:rPr>
          <w:rFonts w:ascii="Verdana" w:hAnsi="Verdana"/>
          <w:b/>
          <w:color w:val="009DEF"/>
          <w:spacing w:val="-2"/>
          <w:sz w:val="18"/>
          <w:szCs w:val="18"/>
        </w:rPr>
        <w:t xml:space="preserve">ice </w:t>
      </w:r>
      <w:r w:rsidRPr="00EC75B7">
        <w:rPr>
          <w:rFonts w:ascii="Verdana" w:hAnsi="Verdana"/>
          <w:b/>
          <w:color w:val="009DEF"/>
          <w:sz w:val="18"/>
          <w:szCs w:val="18"/>
        </w:rPr>
        <w:t>can be thrown</w:t>
      </w:r>
    </w:p>
    <w:p w14:paraId="73F73949" w14:textId="77777777" w:rsidR="008715BE" w:rsidRPr="00EC75B7" w:rsidRDefault="008715BE">
      <w:pPr>
        <w:jc w:val="center"/>
        <w:rPr>
          <w:rFonts w:ascii="Verdana" w:hAnsi="Verdana"/>
          <w:b/>
          <w:sz w:val="18"/>
          <w:szCs w:val="18"/>
        </w:rPr>
        <w:sectPr w:rsidR="008715BE" w:rsidRPr="00EC75B7">
          <w:pgSz w:w="11910" w:h="16840"/>
          <w:pgMar w:top="1320" w:right="425" w:bottom="1020" w:left="850" w:header="766" w:footer="824" w:gutter="0"/>
          <w:cols w:space="708"/>
        </w:sectPr>
      </w:pPr>
    </w:p>
    <w:p w14:paraId="6E5DA8B7" w14:textId="77777777" w:rsidR="008715BE" w:rsidRPr="00EC75B7" w:rsidRDefault="00000000">
      <w:pPr>
        <w:pStyle w:val="Heading1"/>
        <w:numPr>
          <w:ilvl w:val="0"/>
          <w:numId w:val="110"/>
        </w:numPr>
        <w:tabs>
          <w:tab w:val="left" w:pos="1060"/>
        </w:tabs>
        <w:spacing w:before="228"/>
        <w:ind w:left="1060" w:hanging="763"/>
        <w:jc w:val="left"/>
        <w:rPr>
          <w:rFonts w:ascii="Verdana" w:hAnsi="Verdana"/>
          <w:sz w:val="18"/>
          <w:szCs w:val="18"/>
        </w:rPr>
      </w:pPr>
      <w:bookmarkStart w:id="156" w:name="_bookmark154"/>
      <w:bookmarkEnd w:id="156"/>
      <w:r w:rsidRPr="00EC75B7">
        <w:rPr>
          <w:rFonts w:ascii="Verdana" w:hAnsi="Verdana"/>
          <w:color w:val="00AFEF"/>
          <w:spacing w:val="-2"/>
          <w:sz w:val="18"/>
          <w:szCs w:val="18"/>
        </w:rPr>
        <w:lastRenderedPageBreak/>
        <w:t xml:space="preserve">NON-TECHNICAL </w:t>
      </w:r>
      <w:r w:rsidRPr="00EC75B7">
        <w:rPr>
          <w:rFonts w:ascii="Verdana" w:hAnsi="Verdana"/>
          <w:color w:val="00AFEF"/>
          <w:sz w:val="18"/>
          <w:szCs w:val="18"/>
        </w:rPr>
        <w:t>SUMMARY</w:t>
      </w:r>
    </w:p>
    <w:p w14:paraId="1A1E76C9" w14:textId="77777777" w:rsidR="008715BE" w:rsidRPr="00EC75B7" w:rsidRDefault="008715BE">
      <w:pPr>
        <w:pStyle w:val="BodyText"/>
        <w:spacing w:before="59"/>
        <w:rPr>
          <w:rFonts w:ascii="Verdana" w:hAnsi="Verdana"/>
          <w:b/>
        </w:rPr>
      </w:pPr>
    </w:p>
    <w:p w14:paraId="1DBFABB4" w14:textId="77777777" w:rsidR="008715BE" w:rsidRPr="00EC75B7" w:rsidRDefault="00000000">
      <w:pPr>
        <w:spacing w:line="360" w:lineRule="auto"/>
        <w:ind w:left="369" w:right="565"/>
        <w:jc w:val="both"/>
        <w:rPr>
          <w:rFonts w:ascii="Verdana" w:hAnsi="Verdana"/>
          <w:sz w:val="18"/>
          <w:szCs w:val="18"/>
        </w:rPr>
      </w:pPr>
      <w:r w:rsidRPr="00EC75B7">
        <w:rPr>
          <w:rFonts w:ascii="Verdana" w:hAnsi="Verdana"/>
          <w:sz w:val="18"/>
          <w:szCs w:val="18"/>
        </w:rPr>
        <w:t xml:space="preserve">This summary has been prepared to present in non-technical language the conclusions of the Environmental Impact Report for the </w:t>
      </w:r>
      <w:r w:rsidRPr="00EC75B7">
        <w:rPr>
          <w:rFonts w:ascii="Verdana" w:hAnsi="Verdana"/>
          <w:b/>
          <w:i/>
          <w:sz w:val="18"/>
          <w:szCs w:val="18"/>
        </w:rPr>
        <w:t xml:space="preserve">Wind Farm </w:t>
      </w:r>
      <w:r w:rsidRPr="00EC75B7">
        <w:rPr>
          <w:rFonts w:ascii="Verdana" w:hAnsi="Verdana"/>
          <w:sz w:val="18"/>
          <w:szCs w:val="18"/>
        </w:rPr>
        <w:t>Project</w:t>
      </w:r>
      <w:r w:rsidRPr="00EC75B7">
        <w:rPr>
          <w:rFonts w:ascii="Verdana" w:hAnsi="Verdana"/>
          <w:b/>
          <w:i/>
          <w:sz w:val="18"/>
          <w:szCs w:val="18"/>
        </w:rPr>
        <w:t xml:space="preserve"> 48 (46) wind turbines approx. 316.8MW (303.6MW), Transformer Stations, Connection Networks, construction and modernization of communication and access roads</w:t>
      </w:r>
      <w:r w:rsidRPr="00EC75B7">
        <w:rPr>
          <w:rFonts w:ascii="Verdana" w:hAnsi="Verdana"/>
          <w:sz w:val="18"/>
          <w:szCs w:val="18"/>
        </w:rPr>
        <w:t>.</w:t>
      </w:r>
    </w:p>
    <w:p w14:paraId="5D2AD215" w14:textId="77777777" w:rsidR="008715BE" w:rsidRPr="00EC75B7" w:rsidRDefault="008715BE">
      <w:pPr>
        <w:pStyle w:val="BodyText"/>
        <w:spacing w:before="24"/>
        <w:rPr>
          <w:rFonts w:ascii="Verdana" w:hAnsi="Verdana"/>
        </w:rPr>
      </w:pPr>
    </w:p>
    <w:p w14:paraId="4ECA6A96" w14:textId="77777777" w:rsidR="008715BE" w:rsidRPr="00EC75B7" w:rsidRDefault="00000000">
      <w:pPr>
        <w:pStyle w:val="Heading4"/>
        <w:rPr>
          <w:rFonts w:ascii="Verdana" w:hAnsi="Verdana"/>
          <w:sz w:val="18"/>
          <w:szCs w:val="18"/>
        </w:rPr>
      </w:pPr>
      <w:bookmarkStart w:id="157" w:name="_bookmark155"/>
      <w:bookmarkEnd w:id="157"/>
      <w:r w:rsidRPr="00EC75B7">
        <w:rPr>
          <w:rFonts w:ascii="Verdana" w:hAnsi="Verdana"/>
          <w:color w:val="00AFEF"/>
          <w:spacing w:val="-2"/>
          <w:sz w:val="18"/>
          <w:szCs w:val="18"/>
        </w:rPr>
        <w:t xml:space="preserve">Project </w:t>
      </w:r>
      <w:r w:rsidRPr="00EC75B7">
        <w:rPr>
          <w:rFonts w:ascii="Verdana" w:hAnsi="Verdana"/>
          <w:color w:val="00AFEF"/>
          <w:sz w:val="18"/>
          <w:szCs w:val="18"/>
        </w:rPr>
        <w:t>overview</w:t>
      </w:r>
    </w:p>
    <w:p w14:paraId="4667D91A" w14:textId="77777777" w:rsidR="008715BE" w:rsidRPr="00EC75B7" w:rsidRDefault="008715BE">
      <w:pPr>
        <w:pStyle w:val="BodyText"/>
        <w:spacing w:before="119"/>
        <w:rPr>
          <w:rFonts w:ascii="Verdana" w:hAnsi="Verdana"/>
          <w:b/>
          <w:i/>
        </w:rPr>
      </w:pPr>
    </w:p>
    <w:p w14:paraId="1900A7C5" w14:textId="77777777" w:rsidR="008715BE" w:rsidRPr="00EC75B7" w:rsidRDefault="00000000">
      <w:pPr>
        <w:pStyle w:val="BodyText"/>
        <w:spacing w:line="357" w:lineRule="auto"/>
        <w:ind w:left="369" w:right="565"/>
        <w:jc w:val="both"/>
        <w:rPr>
          <w:rFonts w:ascii="Verdana" w:hAnsi="Verdana"/>
        </w:rPr>
      </w:pPr>
      <w:r w:rsidRPr="00EC75B7">
        <w:rPr>
          <w:rFonts w:ascii="Verdana" w:hAnsi="Verdana"/>
        </w:rPr>
        <w:t>The project aims to build and operate a wind farm in Cerchezu, Constanța County, with the goal of producing electricity from renewable sources and contributing to the decarbonization of the energy mix. The configuration analysed includes 46 wind turbines (resulting from the optimisation of the sites in relation to the conditions imposed by technical approvals), the related electrical infrastructure (internal collection networks, transformer stations/equipment and connection), as well as access and site organisation works.</w:t>
      </w:r>
    </w:p>
    <w:p w14:paraId="4930E491" w14:textId="77777777" w:rsidR="008715BE" w:rsidRPr="00EC75B7" w:rsidRDefault="00000000">
      <w:pPr>
        <w:pStyle w:val="BodyText"/>
        <w:spacing w:before="125" w:line="357" w:lineRule="auto"/>
        <w:ind w:left="369" w:right="569"/>
        <w:jc w:val="both"/>
        <w:rPr>
          <w:rFonts w:ascii="Verdana" w:hAnsi="Verdana"/>
        </w:rPr>
      </w:pPr>
      <w:r w:rsidRPr="00EC75B7">
        <w:rPr>
          <w:rFonts w:ascii="Verdana" w:hAnsi="Verdana"/>
        </w:rPr>
        <w:t>During the execution phase, the main activities include: site preparation, construction of foundations and technological platforms, execution/modernization of access roads, installation of electrical networks, and assembly of turbines. During the operation phase, activities are mainly limited to turbine operation and periodic maintenance work, with non-permanent staff in the substation/on site.</w:t>
      </w:r>
    </w:p>
    <w:p w14:paraId="73BD6AC3" w14:textId="77777777" w:rsidR="008715BE" w:rsidRPr="00EC75B7" w:rsidRDefault="008715BE">
      <w:pPr>
        <w:pStyle w:val="BodyText"/>
        <w:spacing w:before="29"/>
        <w:rPr>
          <w:rFonts w:ascii="Verdana" w:hAnsi="Verdana"/>
        </w:rPr>
      </w:pPr>
    </w:p>
    <w:p w14:paraId="44B59DBF" w14:textId="77777777" w:rsidR="008715BE" w:rsidRPr="00EC75B7" w:rsidRDefault="00000000">
      <w:pPr>
        <w:pStyle w:val="Heading4"/>
        <w:spacing w:before="1"/>
        <w:rPr>
          <w:rFonts w:ascii="Verdana" w:hAnsi="Verdana"/>
          <w:sz w:val="18"/>
          <w:szCs w:val="18"/>
        </w:rPr>
      </w:pPr>
      <w:bookmarkStart w:id="158" w:name="_bookmark156"/>
      <w:bookmarkEnd w:id="158"/>
      <w:r w:rsidRPr="00EC75B7">
        <w:rPr>
          <w:rFonts w:ascii="Verdana" w:hAnsi="Verdana"/>
          <w:color w:val="00AFEF"/>
          <w:spacing w:val="-2"/>
          <w:sz w:val="18"/>
          <w:szCs w:val="18"/>
        </w:rPr>
        <w:t>Project location</w:t>
      </w:r>
    </w:p>
    <w:p w14:paraId="0671793D" w14:textId="77777777" w:rsidR="008715BE" w:rsidRPr="00EC75B7" w:rsidRDefault="008715BE">
      <w:pPr>
        <w:pStyle w:val="BodyText"/>
        <w:spacing w:before="118"/>
        <w:rPr>
          <w:rFonts w:ascii="Verdana" w:hAnsi="Verdana"/>
          <w:b/>
          <w:i/>
        </w:rPr>
      </w:pPr>
    </w:p>
    <w:p w14:paraId="4A44CC43" w14:textId="77777777" w:rsidR="008715BE" w:rsidRPr="00EC75B7" w:rsidRDefault="00000000">
      <w:pPr>
        <w:pStyle w:val="BodyText"/>
        <w:ind w:left="369"/>
        <w:jc w:val="both"/>
        <w:rPr>
          <w:rFonts w:ascii="Verdana" w:hAnsi="Verdana"/>
        </w:rPr>
      </w:pPr>
      <w:r w:rsidRPr="00EC75B7">
        <w:rPr>
          <w:rFonts w:ascii="Verdana" w:hAnsi="Verdana"/>
        </w:rPr>
        <w:t xml:space="preserve">The investment is located outside the town of Cerchezu, Constanța County, in a </w:t>
      </w:r>
      <w:r w:rsidRPr="00EC75B7">
        <w:rPr>
          <w:rFonts w:ascii="Verdana" w:hAnsi="Verdana"/>
          <w:spacing w:val="-2"/>
        </w:rPr>
        <w:t xml:space="preserve">predominantly agricultural </w:t>
      </w:r>
      <w:r w:rsidRPr="00EC75B7">
        <w:rPr>
          <w:rFonts w:ascii="Verdana" w:hAnsi="Verdana"/>
        </w:rPr>
        <w:t>landscape</w:t>
      </w:r>
    </w:p>
    <w:p w14:paraId="4C5CFB88" w14:textId="77777777" w:rsidR="008715BE" w:rsidRPr="00EC75B7" w:rsidRDefault="00000000">
      <w:pPr>
        <w:pStyle w:val="BodyText"/>
        <w:spacing w:before="107"/>
        <w:ind w:left="369"/>
        <w:jc w:val="both"/>
        <w:rPr>
          <w:rFonts w:ascii="Verdana" w:hAnsi="Verdana"/>
        </w:rPr>
      </w:pPr>
      <w:r w:rsidRPr="00EC75B7">
        <w:rPr>
          <w:rFonts w:ascii="Verdana" w:hAnsi="Verdana"/>
        </w:rPr>
        <w:t xml:space="preserve">agricultural landscape (arable land/pastures and farm roads), with no major industrial developments in </w:t>
      </w:r>
      <w:r w:rsidRPr="00EC75B7">
        <w:rPr>
          <w:rFonts w:ascii="Verdana" w:hAnsi="Verdana"/>
          <w:spacing w:val="-2"/>
        </w:rPr>
        <w:t>the vicinity.</w:t>
      </w:r>
    </w:p>
    <w:p w14:paraId="262A7E67" w14:textId="77777777" w:rsidR="008715BE" w:rsidRPr="00EC75B7" w:rsidRDefault="008715BE">
      <w:pPr>
        <w:pStyle w:val="BodyText"/>
        <w:spacing w:before="10"/>
        <w:rPr>
          <w:rFonts w:ascii="Verdana" w:hAnsi="Verdana"/>
        </w:rPr>
      </w:pPr>
    </w:p>
    <w:p w14:paraId="474001C5" w14:textId="77777777" w:rsidR="008715BE" w:rsidRPr="00EC75B7" w:rsidRDefault="00000000">
      <w:pPr>
        <w:pStyle w:val="BodyText"/>
        <w:spacing w:line="360" w:lineRule="auto"/>
        <w:ind w:left="369" w:right="571"/>
        <w:jc w:val="both"/>
        <w:rPr>
          <w:rFonts w:ascii="Verdana" w:hAnsi="Verdana"/>
        </w:rPr>
      </w:pPr>
      <w:r w:rsidRPr="00EC75B7">
        <w:rPr>
          <w:rFonts w:ascii="Verdana" w:hAnsi="Verdana"/>
        </w:rPr>
        <w:t>The site is located in the immediate vicinity of the border with the Republic of Bulgaria, which is why the environmental impact assessment was also carried out in a cross-border context, including with reference to the nearby Bulgarian protected areas</w:t>
      </w:r>
    </w:p>
    <w:p w14:paraId="7D90BFEC" w14:textId="77777777" w:rsidR="008715BE" w:rsidRPr="00EC75B7" w:rsidRDefault="008715BE">
      <w:pPr>
        <w:pStyle w:val="BodyText"/>
        <w:spacing w:before="21"/>
        <w:rPr>
          <w:rFonts w:ascii="Verdana" w:hAnsi="Verdana"/>
        </w:rPr>
      </w:pPr>
    </w:p>
    <w:p w14:paraId="351FCD60" w14:textId="77777777" w:rsidR="008715BE" w:rsidRPr="00EC75B7" w:rsidRDefault="00000000">
      <w:pPr>
        <w:pStyle w:val="Heading4"/>
        <w:rPr>
          <w:rFonts w:ascii="Verdana" w:hAnsi="Verdana"/>
          <w:sz w:val="18"/>
          <w:szCs w:val="18"/>
        </w:rPr>
      </w:pPr>
      <w:bookmarkStart w:id="159" w:name="_bookmark157"/>
      <w:bookmarkEnd w:id="159"/>
      <w:r w:rsidRPr="00EC75B7">
        <w:rPr>
          <w:rFonts w:ascii="Verdana" w:hAnsi="Verdana"/>
          <w:color w:val="00AFEF"/>
          <w:spacing w:val="-2"/>
          <w:sz w:val="18"/>
          <w:szCs w:val="18"/>
        </w:rPr>
        <w:t>Project characteristics</w:t>
      </w:r>
    </w:p>
    <w:p w14:paraId="2016B378" w14:textId="77777777" w:rsidR="008715BE" w:rsidRPr="00EC75B7" w:rsidRDefault="008715BE">
      <w:pPr>
        <w:pStyle w:val="BodyText"/>
        <w:spacing w:before="119"/>
        <w:rPr>
          <w:rFonts w:ascii="Verdana" w:hAnsi="Verdana"/>
          <w:b/>
          <w:i/>
        </w:rPr>
      </w:pPr>
    </w:p>
    <w:p w14:paraId="21EFC309" w14:textId="77777777" w:rsidR="008715BE" w:rsidRPr="00EC75B7" w:rsidRDefault="00000000">
      <w:pPr>
        <w:pStyle w:val="BodyText"/>
        <w:spacing w:line="357" w:lineRule="auto"/>
        <w:ind w:left="369" w:right="576"/>
        <w:jc w:val="both"/>
        <w:rPr>
          <w:rFonts w:ascii="Verdana" w:hAnsi="Verdana"/>
        </w:rPr>
      </w:pPr>
      <w:r w:rsidRPr="00EC75B7">
        <w:rPr>
          <w:rFonts w:ascii="Verdana" w:hAnsi="Verdana"/>
        </w:rPr>
        <w:t>The technology used is specific to modern wind turbines: three-bladed rotor, automatic nacelle orientation system, and blade angle adjustment to optimize production and reduce stress/noise.</w:t>
      </w:r>
      <w:r w:rsidRPr="00EC75B7">
        <w:rPr>
          <w:rFonts w:ascii="Verdana" w:hAnsi="Verdana"/>
          <w:spacing w:val="30"/>
        </w:rPr>
        <w:t xml:space="preserve"> </w:t>
      </w:r>
      <w:r w:rsidRPr="00EC75B7">
        <w:rPr>
          <w:rFonts w:ascii="Verdana" w:hAnsi="Verdana"/>
        </w:rPr>
        <w:t>The turbines are programmed to start at wind speeds of approx. 3 m/s and to stop automatically at speeds above approx. 24 m/s, through safety controls (pitch and braking).</w:t>
      </w:r>
    </w:p>
    <w:p w14:paraId="0619EBD7" w14:textId="77777777" w:rsidR="008715BE" w:rsidRPr="00EC75B7" w:rsidRDefault="00000000">
      <w:pPr>
        <w:pStyle w:val="BodyText"/>
        <w:spacing w:before="123" w:line="360" w:lineRule="auto"/>
        <w:ind w:left="369" w:right="569"/>
        <w:jc w:val="both"/>
        <w:rPr>
          <w:rFonts w:ascii="Verdana" w:hAnsi="Verdana"/>
        </w:rPr>
      </w:pPr>
      <w:r w:rsidRPr="00EC75B7">
        <w:rPr>
          <w:rFonts w:ascii="Verdana" w:hAnsi="Verdana"/>
        </w:rPr>
        <w:t>In addition to the turbines, the project includes foundations and technological platforms, internal electrical networks (cables), roads/accesses, and temporary areas for site organization, so that the execution is carried out in a controlled manner, within clearly defined perimeters, and the temporarily affected areas are restored after completion of the works.</w:t>
      </w:r>
    </w:p>
    <w:p w14:paraId="2B795A18" w14:textId="77777777" w:rsidR="008715BE" w:rsidRPr="00EC75B7" w:rsidRDefault="008715BE">
      <w:pPr>
        <w:pStyle w:val="BodyText"/>
        <w:spacing w:before="22"/>
        <w:rPr>
          <w:rFonts w:ascii="Verdana" w:hAnsi="Verdana"/>
        </w:rPr>
      </w:pPr>
    </w:p>
    <w:p w14:paraId="69820D07" w14:textId="77777777" w:rsidR="008715BE" w:rsidRPr="00EC75B7" w:rsidRDefault="00000000">
      <w:pPr>
        <w:pStyle w:val="Heading4"/>
        <w:rPr>
          <w:rFonts w:ascii="Verdana" w:hAnsi="Verdana"/>
          <w:sz w:val="18"/>
          <w:szCs w:val="18"/>
        </w:rPr>
      </w:pPr>
      <w:bookmarkStart w:id="160" w:name="_bookmark158"/>
      <w:bookmarkEnd w:id="160"/>
      <w:r w:rsidRPr="00EC75B7">
        <w:rPr>
          <w:rFonts w:ascii="Verdana" w:hAnsi="Verdana"/>
          <w:color w:val="00AFEF"/>
          <w:sz w:val="18"/>
          <w:szCs w:val="18"/>
        </w:rPr>
        <w:t xml:space="preserve">Raw materials and </w:t>
      </w:r>
      <w:r w:rsidRPr="00EC75B7">
        <w:rPr>
          <w:rFonts w:ascii="Verdana" w:hAnsi="Verdana"/>
          <w:color w:val="00AFEF"/>
          <w:spacing w:val="-2"/>
          <w:sz w:val="18"/>
          <w:szCs w:val="18"/>
        </w:rPr>
        <w:t xml:space="preserve">natural </w:t>
      </w:r>
      <w:r w:rsidRPr="00EC75B7">
        <w:rPr>
          <w:rFonts w:ascii="Verdana" w:hAnsi="Verdana"/>
          <w:color w:val="00AFEF"/>
          <w:sz w:val="18"/>
          <w:szCs w:val="18"/>
        </w:rPr>
        <w:t>resources</w:t>
      </w:r>
    </w:p>
    <w:p w14:paraId="3D3ABC3B" w14:textId="77777777" w:rsidR="008715BE" w:rsidRPr="00EC75B7" w:rsidRDefault="008715BE">
      <w:pPr>
        <w:pStyle w:val="BodyText"/>
        <w:spacing w:before="119"/>
        <w:rPr>
          <w:rFonts w:ascii="Verdana" w:hAnsi="Verdana"/>
          <w:b/>
          <w:i/>
        </w:rPr>
      </w:pPr>
    </w:p>
    <w:p w14:paraId="1153F27C" w14:textId="77777777" w:rsidR="008715BE" w:rsidRPr="00EC75B7" w:rsidRDefault="00000000">
      <w:pPr>
        <w:pStyle w:val="BodyText"/>
        <w:spacing w:line="360" w:lineRule="auto"/>
        <w:ind w:left="369" w:right="573"/>
        <w:jc w:val="both"/>
        <w:rPr>
          <w:rFonts w:ascii="Verdana" w:hAnsi="Verdana"/>
        </w:rPr>
      </w:pPr>
      <w:r w:rsidRPr="00EC75B7">
        <w:rPr>
          <w:rFonts w:ascii="Verdana" w:hAnsi="Verdana"/>
        </w:rPr>
        <w:t>During the execution phase, the main consumption is associated with civil and electrical works. Estimates include (centralized): steel and ferrous materials ~1.147.70 t, aluminum ~72.22 t, copper ~18.86 t (0.46 t foundations + 18.40 t cables), polymers ~161.46 t (0.46 t foundations + 161.00 t cables), concrete ~22,245.14 t, and water</w:t>
      </w:r>
    </w:p>
    <w:p w14:paraId="5C8A4AB9" w14:textId="77777777" w:rsidR="008715BE" w:rsidRPr="00EC75B7" w:rsidRDefault="00000000">
      <w:pPr>
        <w:pStyle w:val="BodyText"/>
        <w:spacing w:line="215" w:lineRule="exact"/>
        <w:ind w:left="369"/>
        <w:jc w:val="both"/>
        <w:rPr>
          <w:rFonts w:ascii="Verdana" w:hAnsi="Verdana"/>
        </w:rPr>
      </w:pPr>
      <w:r w:rsidRPr="00EC75B7">
        <w:rPr>
          <w:rFonts w:ascii="Verdana" w:hAnsi="Verdana"/>
        </w:rPr>
        <w:lastRenderedPageBreak/>
        <w:t>~7,785.77 t, and crushed stone ~1,184,018.53 m³ for roads/fillings (</w:t>
      </w:r>
      <w:r w:rsidRPr="00EC75B7">
        <w:rPr>
          <w:rFonts w:ascii="Verdana" w:hAnsi="Verdana"/>
          <w:spacing w:val="-2"/>
        </w:rPr>
        <w:t>LCA</w:t>
      </w:r>
      <w:r w:rsidRPr="00EC75B7">
        <w:rPr>
          <w:rFonts w:ascii="Verdana" w:hAnsi="Verdana"/>
        </w:rPr>
        <w:t xml:space="preserve"> estimate</w:t>
      </w:r>
      <w:r w:rsidRPr="00EC75B7">
        <w:rPr>
          <w:rFonts w:ascii="Verdana" w:hAnsi="Verdana"/>
          <w:spacing w:val="-2"/>
        </w:rPr>
        <w:t>).</w:t>
      </w:r>
    </w:p>
    <w:p w14:paraId="7874C0C4" w14:textId="77777777" w:rsidR="008715BE" w:rsidRPr="00EC75B7" w:rsidRDefault="00000000">
      <w:pPr>
        <w:pStyle w:val="BodyText"/>
        <w:spacing w:before="99" w:line="357" w:lineRule="auto"/>
        <w:ind w:left="369" w:right="562"/>
        <w:jc w:val="both"/>
        <w:rPr>
          <w:rFonts w:ascii="Verdana" w:hAnsi="Verdana"/>
        </w:rPr>
      </w:pPr>
      <w:r w:rsidRPr="00EC75B7">
        <w:rPr>
          <w:rFonts w:ascii="Verdana" w:hAnsi="Verdana"/>
        </w:rPr>
        <w:t xml:space="preserve">Water is used in different ways: bottled drinking water for staff, water for sanitary purposes provided by the contractor (usually via cisterns), and small amounts of water for technical purposes (dust suppression, moistening/maintaining foundations during the drying period), without the need for new dedicated catchments/drillings; Concrete is delivered from authorized local concrete stations. For road and platform works, crushed stone fillings are required (the documentation also includes an operational estimate of ~114,250 m³ for certain works), and the soil from excavations is managed primarily through reuse in </w:t>
      </w:r>
      <w:r w:rsidRPr="00EC75B7">
        <w:rPr>
          <w:rFonts w:ascii="Verdana" w:hAnsi="Verdana"/>
          <w:spacing w:val="-2"/>
        </w:rPr>
        <w:t>fillings/restorations.</w:t>
      </w:r>
    </w:p>
    <w:p w14:paraId="321419B6" w14:textId="77777777" w:rsidR="008715BE" w:rsidRPr="00EC75B7" w:rsidRDefault="00000000">
      <w:pPr>
        <w:pStyle w:val="BodyText"/>
        <w:spacing w:before="126" w:line="357" w:lineRule="auto"/>
        <w:ind w:left="369" w:right="571"/>
        <w:jc w:val="both"/>
        <w:rPr>
          <w:rFonts w:ascii="Verdana" w:hAnsi="Verdana"/>
        </w:rPr>
      </w:pPr>
      <w:r w:rsidRPr="00EC75B7">
        <w:rPr>
          <w:rFonts w:ascii="Verdana" w:hAnsi="Verdana"/>
        </w:rPr>
        <w:t>During the operational phase, the natural resource used for electricity production is wind (wind energy), and material consumption is limited to maintenance consumables (oils/lubricants, greases, etc.), used on an ad hoc basis.</w:t>
      </w:r>
    </w:p>
    <w:p w14:paraId="482B345B" w14:textId="77777777" w:rsidR="008715BE" w:rsidRPr="00EC75B7" w:rsidRDefault="008715BE">
      <w:pPr>
        <w:pStyle w:val="BodyText"/>
        <w:rPr>
          <w:rFonts w:ascii="Verdana" w:hAnsi="Verdana"/>
        </w:rPr>
      </w:pPr>
    </w:p>
    <w:p w14:paraId="3C846DB6" w14:textId="77777777" w:rsidR="008715BE" w:rsidRPr="00EC75B7" w:rsidRDefault="008715BE">
      <w:pPr>
        <w:pStyle w:val="BodyText"/>
        <w:rPr>
          <w:rFonts w:ascii="Verdana" w:hAnsi="Verdana"/>
        </w:rPr>
      </w:pPr>
    </w:p>
    <w:p w14:paraId="3F71B31D" w14:textId="77777777" w:rsidR="008715BE" w:rsidRPr="00EC75B7" w:rsidRDefault="008715BE">
      <w:pPr>
        <w:pStyle w:val="BodyText"/>
        <w:spacing w:before="38"/>
        <w:rPr>
          <w:rFonts w:ascii="Verdana" w:hAnsi="Verdana"/>
        </w:rPr>
      </w:pPr>
    </w:p>
    <w:p w14:paraId="07F12AC4" w14:textId="77777777" w:rsidR="008715BE" w:rsidRPr="00EC75B7" w:rsidRDefault="00000000">
      <w:pPr>
        <w:pStyle w:val="Heading4"/>
        <w:jc w:val="both"/>
        <w:rPr>
          <w:rFonts w:ascii="Verdana" w:hAnsi="Verdana"/>
          <w:sz w:val="18"/>
          <w:szCs w:val="18"/>
        </w:rPr>
      </w:pPr>
      <w:bookmarkStart w:id="161" w:name="_bookmark159"/>
      <w:bookmarkEnd w:id="161"/>
      <w:r w:rsidRPr="00EC75B7">
        <w:rPr>
          <w:rFonts w:ascii="Verdana" w:hAnsi="Verdana"/>
          <w:color w:val="00AFEF"/>
          <w:sz w:val="18"/>
          <w:szCs w:val="18"/>
        </w:rPr>
        <w:t xml:space="preserve">Estimation of the type and quantities of emissions and </w:t>
      </w:r>
      <w:r w:rsidRPr="00EC75B7">
        <w:rPr>
          <w:rFonts w:ascii="Verdana" w:hAnsi="Verdana"/>
          <w:color w:val="00AFEF"/>
          <w:spacing w:val="-2"/>
          <w:sz w:val="18"/>
          <w:szCs w:val="18"/>
        </w:rPr>
        <w:t>waste</w:t>
      </w:r>
    </w:p>
    <w:p w14:paraId="4A0262C4" w14:textId="77777777" w:rsidR="008715BE" w:rsidRPr="00EC75B7" w:rsidRDefault="008715BE">
      <w:pPr>
        <w:pStyle w:val="BodyText"/>
        <w:spacing w:before="118"/>
        <w:rPr>
          <w:rFonts w:ascii="Verdana" w:hAnsi="Verdana"/>
          <w:b/>
          <w:i/>
        </w:rPr>
      </w:pPr>
    </w:p>
    <w:p w14:paraId="5893D091" w14:textId="77777777" w:rsidR="008715BE" w:rsidRPr="00EC75B7" w:rsidRDefault="00000000">
      <w:pPr>
        <w:pStyle w:val="BodyText"/>
        <w:spacing w:line="357" w:lineRule="auto"/>
        <w:ind w:left="369" w:right="568"/>
        <w:jc w:val="both"/>
        <w:rPr>
          <w:rFonts w:ascii="Verdana" w:hAnsi="Verdana"/>
        </w:rPr>
      </w:pPr>
      <w:r w:rsidRPr="00EC75B7">
        <w:rPr>
          <w:rFonts w:ascii="Verdana" w:hAnsi="Verdana"/>
        </w:rPr>
        <w:t>During execution, the relevant emissions are mainly temporary atmospheric emissions (dust from material handling/work on unpaved roads and exhaust gases from machinery/transport), as well as local noise and vibrations generated by construction site activities. During operation, direct atmospheric emissions are practically non-existent, and the potential effects are concentrated on noise, visual perception, and intermittent shadow flicker, which can be managed through design and operational rules.</w:t>
      </w:r>
    </w:p>
    <w:p w14:paraId="39B542F0" w14:textId="77777777" w:rsidR="008715BE" w:rsidRPr="00EC75B7" w:rsidRDefault="00000000">
      <w:pPr>
        <w:pStyle w:val="BodyText"/>
        <w:spacing w:before="123" w:line="360" w:lineRule="auto"/>
        <w:ind w:left="369" w:right="575"/>
        <w:jc w:val="both"/>
        <w:rPr>
          <w:rFonts w:ascii="Verdana" w:hAnsi="Verdana"/>
        </w:rPr>
      </w:pPr>
      <w:r w:rsidRPr="00EC75B7">
        <w:rPr>
          <w:rFonts w:ascii="Verdana" w:hAnsi="Verdana"/>
        </w:rPr>
        <w:t>Substances used in execution include fuels (diesel/gasoline) ~38.33 t (hazardous, flammable), coolant/other glycols ~3.22 t (hazardous) and oil ~19.17 t (non-hazardous but flammable), with environmental risks only in the event of accidental releases, which are prevented by proper storage/handling.</w:t>
      </w:r>
    </w:p>
    <w:p w14:paraId="79D5B91E" w14:textId="77777777" w:rsidR="008715BE" w:rsidRPr="00EC75B7" w:rsidRDefault="00000000">
      <w:pPr>
        <w:pStyle w:val="BodyText"/>
        <w:spacing w:before="117" w:line="357" w:lineRule="auto"/>
        <w:ind w:left="369" w:right="576"/>
        <w:jc w:val="both"/>
        <w:rPr>
          <w:rFonts w:ascii="Verdana" w:hAnsi="Verdana"/>
        </w:rPr>
      </w:pPr>
      <w:r w:rsidRPr="00EC75B7">
        <w:rPr>
          <w:rFonts w:ascii="Verdana" w:hAnsi="Verdana"/>
        </w:rPr>
        <w:t>The estimated waste generated includes, indicatively: mixed municipal waste ~41.48 t; packaging (paper/cardboard ~0.84 t; plastic ~0.50 t); wood waste ~0.88 t; mixed metals ~259.25 t; concrete</w:t>
      </w:r>
    </w:p>
    <w:p w14:paraId="172B9C20" w14:textId="77777777" w:rsidR="008715BE" w:rsidRPr="00EC75B7" w:rsidRDefault="00000000">
      <w:pPr>
        <w:pStyle w:val="BodyText"/>
        <w:spacing w:before="1" w:line="357" w:lineRule="auto"/>
        <w:ind w:left="369" w:right="570"/>
        <w:jc w:val="both"/>
        <w:rPr>
          <w:rFonts w:ascii="Verdana" w:hAnsi="Verdana"/>
        </w:rPr>
      </w:pPr>
      <w:r w:rsidRPr="00EC75B7">
        <w:rPr>
          <w:rFonts w:ascii="Verdana" w:hAnsi="Verdana"/>
        </w:rPr>
        <w:t>~32.93 t; ballast waste ~20.74 t; excavated material ~48.53 t; as well as hazardous fractions (contaminated packaging ~0.77 t; waste oils ~1.30 t; oil filters ~0.15 t), with separate collection, controlled temporary storage, and delivery to authorized operators.</w:t>
      </w:r>
    </w:p>
    <w:p w14:paraId="7F114493" w14:textId="77777777" w:rsidR="008715BE" w:rsidRPr="00EC75B7" w:rsidRDefault="00000000">
      <w:pPr>
        <w:pStyle w:val="BodyText"/>
        <w:spacing w:before="122"/>
        <w:ind w:left="369"/>
        <w:jc w:val="both"/>
        <w:rPr>
          <w:rFonts w:ascii="Verdana" w:hAnsi="Verdana"/>
        </w:rPr>
      </w:pPr>
      <w:r w:rsidRPr="00EC75B7">
        <w:rPr>
          <w:rFonts w:ascii="Verdana" w:hAnsi="Verdana"/>
        </w:rPr>
        <w:t xml:space="preserve">In operation, waste is mainly associated with maintenance: hydraulic oils ~0.35 t; </w:t>
      </w:r>
      <w:r w:rsidRPr="00EC75B7">
        <w:rPr>
          <w:rFonts w:ascii="Verdana" w:hAnsi="Verdana"/>
          <w:spacing w:val="-2"/>
        </w:rPr>
        <w:t xml:space="preserve">synthetic </w:t>
      </w:r>
      <w:r w:rsidRPr="00EC75B7">
        <w:rPr>
          <w:rFonts w:ascii="Verdana" w:hAnsi="Verdana"/>
        </w:rPr>
        <w:t>oils</w:t>
      </w:r>
    </w:p>
    <w:p w14:paraId="5480AA25" w14:textId="77777777" w:rsidR="008715BE" w:rsidRPr="00EC75B7" w:rsidRDefault="00000000">
      <w:pPr>
        <w:pStyle w:val="BodyText"/>
        <w:spacing w:before="109" w:line="357" w:lineRule="auto"/>
        <w:ind w:left="369" w:right="570"/>
        <w:jc w:val="both"/>
        <w:rPr>
          <w:rFonts w:ascii="Verdana" w:hAnsi="Verdana"/>
        </w:rPr>
      </w:pPr>
      <w:r w:rsidRPr="00EC75B7">
        <w:rPr>
          <w:rFonts w:ascii="Verdana" w:hAnsi="Verdana"/>
        </w:rPr>
        <w:t>~2.30 t;</w:t>
      </w:r>
      <w:r w:rsidRPr="00EC75B7">
        <w:rPr>
          <w:rFonts w:ascii="Verdana" w:hAnsi="Verdana"/>
          <w:spacing w:val="34"/>
        </w:rPr>
        <w:t xml:space="preserve"> </w:t>
      </w:r>
      <w:r w:rsidRPr="00EC75B7">
        <w:rPr>
          <w:rFonts w:ascii="Verdana" w:hAnsi="Verdana"/>
        </w:rPr>
        <w:t>heat transfer oils ~23.00 t; contaminated packaging ~0.19 t; plastic packaging ~0.176 t; air filters ~0.176 t (and other "n.a." fractions depending on interventions), with similar management (collection in dedicated containers and delivery to authorized operators).</w:t>
      </w:r>
    </w:p>
    <w:p w14:paraId="670C3943" w14:textId="77777777" w:rsidR="008715BE" w:rsidRPr="00EC75B7" w:rsidRDefault="008715BE">
      <w:pPr>
        <w:pStyle w:val="BodyText"/>
        <w:spacing w:before="28"/>
        <w:rPr>
          <w:rFonts w:ascii="Verdana" w:hAnsi="Verdana"/>
        </w:rPr>
      </w:pPr>
    </w:p>
    <w:p w14:paraId="5AFDA7CA" w14:textId="77777777" w:rsidR="008715BE" w:rsidRPr="00EC75B7" w:rsidRDefault="00000000">
      <w:pPr>
        <w:pStyle w:val="Heading4"/>
        <w:jc w:val="both"/>
        <w:rPr>
          <w:rFonts w:ascii="Verdana" w:hAnsi="Verdana"/>
          <w:sz w:val="18"/>
          <w:szCs w:val="18"/>
        </w:rPr>
      </w:pPr>
      <w:bookmarkStart w:id="162" w:name="_bookmark160"/>
      <w:bookmarkEnd w:id="162"/>
      <w:r w:rsidRPr="00EC75B7">
        <w:rPr>
          <w:rFonts w:ascii="Verdana" w:hAnsi="Verdana"/>
          <w:color w:val="00AFEF"/>
          <w:sz w:val="18"/>
          <w:szCs w:val="18"/>
        </w:rPr>
        <w:t xml:space="preserve">Description of relevant aspects of the current state of </w:t>
      </w:r>
      <w:r w:rsidRPr="00EC75B7">
        <w:rPr>
          <w:rFonts w:ascii="Verdana" w:hAnsi="Verdana"/>
          <w:color w:val="00AFEF"/>
          <w:spacing w:val="-2"/>
          <w:sz w:val="18"/>
          <w:szCs w:val="18"/>
        </w:rPr>
        <w:t>the environment</w:t>
      </w:r>
    </w:p>
    <w:p w14:paraId="501AD22A" w14:textId="77777777" w:rsidR="008715BE" w:rsidRPr="00EC75B7" w:rsidRDefault="008715BE">
      <w:pPr>
        <w:pStyle w:val="BodyText"/>
        <w:spacing w:before="119"/>
        <w:rPr>
          <w:rFonts w:ascii="Verdana" w:hAnsi="Verdana"/>
          <w:b/>
          <w:i/>
        </w:rPr>
      </w:pPr>
    </w:p>
    <w:p w14:paraId="2FFD70AC" w14:textId="77777777" w:rsidR="008715BE" w:rsidRPr="00EC75B7" w:rsidRDefault="00000000">
      <w:pPr>
        <w:pStyle w:val="BodyText"/>
        <w:spacing w:line="357" w:lineRule="auto"/>
        <w:ind w:left="369" w:right="567"/>
        <w:jc w:val="both"/>
        <w:rPr>
          <w:rFonts w:ascii="Verdana" w:hAnsi="Verdana"/>
        </w:rPr>
      </w:pPr>
      <w:r w:rsidRPr="00EC75B7">
        <w:rPr>
          <w:rFonts w:ascii="Verdana" w:hAnsi="Verdana"/>
        </w:rPr>
        <w:t>The project area is characteristic of southern Dobrogea, with predominantly agricultural use and a degree of anthropization associated with recurrent agricultural work, the network of farm roads, and diffuse pollution specific to agriculture (fertilizers/plant protection products). These pressures result in generally simplified habitats and biodiversity that is strongly conditioned by land use.</w:t>
      </w:r>
    </w:p>
    <w:p w14:paraId="28D8410A" w14:textId="77777777" w:rsidR="008715BE" w:rsidRPr="00EC75B7" w:rsidRDefault="00000000">
      <w:pPr>
        <w:pStyle w:val="BodyText"/>
        <w:spacing w:before="124" w:line="357" w:lineRule="auto"/>
        <w:ind w:left="369" w:right="577"/>
        <w:jc w:val="both"/>
        <w:rPr>
          <w:rFonts w:ascii="Verdana" w:hAnsi="Verdana"/>
        </w:rPr>
      </w:pPr>
      <w:r w:rsidRPr="00EC75B7">
        <w:rPr>
          <w:rFonts w:ascii="Verdana" w:hAnsi="Verdana"/>
        </w:rPr>
        <w:t>Air quality is considered to be generally good, typical of an open rural area without intense industrial sources, and current sources of noise are mainly associated with road traffic on the DJ391 and municipal roads, agricultural activities, and occasional construction work.</w:t>
      </w:r>
    </w:p>
    <w:p w14:paraId="0B43EC36"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850" w:header="766" w:footer="824" w:gutter="0"/>
          <w:cols w:space="708"/>
        </w:sectPr>
      </w:pPr>
    </w:p>
    <w:p w14:paraId="47C98359" w14:textId="77777777" w:rsidR="008715BE" w:rsidRPr="00EC75B7" w:rsidRDefault="00000000">
      <w:pPr>
        <w:pStyle w:val="BodyText"/>
        <w:spacing w:before="99" w:line="357" w:lineRule="auto"/>
        <w:ind w:left="369" w:right="569"/>
        <w:jc w:val="both"/>
        <w:rPr>
          <w:rFonts w:ascii="Verdana" w:hAnsi="Verdana"/>
        </w:rPr>
      </w:pPr>
      <w:r w:rsidRPr="00EC75B7">
        <w:rPr>
          <w:rFonts w:ascii="Verdana" w:hAnsi="Verdana"/>
        </w:rPr>
        <w:lastRenderedPageBreak/>
        <w:t>In the vicinity of the border, environmental elements on Bulgarian territory were also taken into account (fertile soils, predominantly agricultural use, surface water bodies at a distance of several kilometers, and groundwater bodies in the vicinity),</w:t>
      </w:r>
      <w:r w:rsidRPr="00EC75B7">
        <w:rPr>
          <w:rFonts w:ascii="Verdana" w:hAnsi="Verdana"/>
          <w:spacing w:val="29"/>
        </w:rPr>
        <w:t xml:space="preserve"> </w:t>
      </w:r>
      <w:r w:rsidRPr="00EC75B7">
        <w:rPr>
          <w:rFonts w:ascii="Verdana" w:hAnsi="Verdana"/>
        </w:rPr>
        <w:t>concluding that the project does not involve water abstraction from the site and that any cross-border effects are mainly associated with physical factors (noise/light/non-ionising radiation) and require dedicated monitoring.</w:t>
      </w:r>
    </w:p>
    <w:p w14:paraId="18C0BBDC" w14:textId="77777777" w:rsidR="008715BE" w:rsidRPr="00EC75B7" w:rsidRDefault="008715BE">
      <w:pPr>
        <w:pStyle w:val="BodyText"/>
        <w:spacing w:before="29"/>
        <w:rPr>
          <w:rFonts w:ascii="Verdana" w:hAnsi="Verdana"/>
        </w:rPr>
      </w:pPr>
    </w:p>
    <w:p w14:paraId="34F3A82F" w14:textId="77777777" w:rsidR="008715BE" w:rsidRPr="00EC75B7" w:rsidRDefault="00000000">
      <w:pPr>
        <w:pStyle w:val="Heading4"/>
        <w:jc w:val="both"/>
        <w:rPr>
          <w:rFonts w:ascii="Verdana" w:hAnsi="Verdana"/>
          <w:sz w:val="18"/>
          <w:szCs w:val="18"/>
        </w:rPr>
      </w:pPr>
      <w:bookmarkStart w:id="163" w:name="_bookmark161"/>
      <w:bookmarkEnd w:id="163"/>
      <w:r w:rsidRPr="00EC75B7">
        <w:rPr>
          <w:rFonts w:ascii="Verdana" w:hAnsi="Verdana"/>
          <w:color w:val="00AFEF"/>
          <w:sz w:val="18"/>
          <w:szCs w:val="18"/>
        </w:rPr>
        <w:t xml:space="preserve">Description of the significant environmental effects of </w:t>
      </w:r>
      <w:r w:rsidRPr="00EC75B7">
        <w:rPr>
          <w:rFonts w:ascii="Verdana" w:hAnsi="Verdana"/>
          <w:color w:val="00AFEF"/>
          <w:spacing w:val="-2"/>
          <w:sz w:val="18"/>
          <w:szCs w:val="18"/>
        </w:rPr>
        <w:t>the project</w:t>
      </w:r>
    </w:p>
    <w:p w14:paraId="0287F4EF" w14:textId="77777777" w:rsidR="008715BE" w:rsidRPr="00EC75B7" w:rsidRDefault="008715BE">
      <w:pPr>
        <w:pStyle w:val="BodyText"/>
        <w:spacing w:before="119"/>
        <w:rPr>
          <w:rFonts w:ascii="Verdana" w:hAnsi="Verdana"/>
          <w:b/>
          <w:i/>
        </w:rPr>
      </w:pPr>
    </w:p>
    <w:p w14:paraId="34CC30D8" w14:textId="77777777" w:rsidR="008715BE" w:rsidRPr="00EC75B7" w:rsidRDefault="00000000">
      <w:pPr>
        <w:pStyle w:val="BodyText"/>
        <w:spacing w:line="357" w:lineRule="auto"/>
        <w:ind w:left="369" w:right="569"/>
        <w:jc w:val="both"/>
        <w:rPr>
          <w:rFonts w:ascii="Verdana" w:hAnsi="Verdana"/>
        </w:rPr>
      </w:pPr>
      <w:r w:rsidRPr="00EC75B7">
        <w:rPr>
          <w:rFonts w:ascii="Verdana" w:hAnsi="Verdana"/>
        </w:rPr>
        <w:t xml:space="preserve">During execution, the potential effects are mainly local and temporary: temporary land occupation, soil modifications/compaction in work areas, risk of dust and noise emissions, construction site traffic, and risk of accidental pollution (fuel/oil). These effects are manageable through site organization, dust control, proper waste collection/management, and measures to prevent </w:t>
      </w:r>
      <w:r w:rsidRPr="00EC75B7">
        <w:rPr>
          <w:rFonts w:ascii="Verdana" w:hAnsi="Verdana"/>
          <w:spacing w:val="-2"/>
        </w:rPr>
        <w:t>accidental</w:t>
      </w:r>
      <w:r w:rsidRPr="00EC75B7">
        <w:rPr>
          <w:rFonts w:ascii="Verdana" w:hAnsi="Verdana"/>
        </w:rPr>
        <w:t xml:space="preserve"> spills</w:t>
      </w:r>
      <w:r w:rsidRPr="00EC75B7">
        <w:rPr>
          <w:rFonts w:ascii="Verdana" w:hAnsi="Verdana"/>
          <w:spacing w:val="-2"/>
        </w:rPr>
        <w:t>.</w:t>
      </w:r>
    </w:p>
    <w:p w14:paraId="187A94E8" w14:textId="77777777" w:rsidR="008715BE" w:rsidRPr="00EC75B7" w:rsidRDefault="00000000">
      <w:pPr>
        <w:pStyle w:val="BodyText"/>
        <w:spacing w:before="125" w:line="357" w:lineRule="auto"/>
        <w:ind w:left="369" w:right="568"/>
        <w:jc w:val="both"/>
        <w:rPr>
          <w:rFonts w:ascii="Verdana" w:hAnsi="Verdana"/>
        </w:rPr>
      </w:pPr>
      <w:r w:rsidRPr="00EC75B7">
        <w:rPr>
          <w:rFonts w:ascii="Verdana" w:hAnsi="Verdana"/>
        </w:rPr>
        <w:t>In operation, the relevant potential effects are: noise, visual/landscape perception, shadow flicker, and, for biodiversity, risks specific to wind infrastructure (depending on the use of the area by birds and bats), which are addressed through avoidance/mitigation measures and post-implementation monitoring.. At the same time, the project generates a major positive effect through the production of energy from renewable sources and the reduction of emissions associated with the production of energy from fossil fuels.</w:t>
      </w:r>
    </w:p>
    <w:p w14:paraId="31AF48DF" w14:textId="77777777" w:rsidR="008715BE" w:rsidRPr="00EC75B7" w:rsidRDefault="00000000">
      <w:pPr>
        <w:pStyle w:val="BodyText"/>
        <w:spacing w:before="125" w:line="357" w:lineRule="auto"/>
        <w:ind w:left="369" w:right="563"/>
        <w:jc w:val="both"/>
        <w:rPr>
          <w:rFonts w:ascii="Verdana" w:hAnsi="Verdana"/>
        </w:rPr>
      </w:pPr>
      <w:r w:rsidRPr="00EC75B7">
        <w:rPr>
          <w:rFonts w:ascii="Verdana" w:hAnsi="Verdana"/>
        </w:rPr>
        <w:t>Given the proximity of the border, specific cross-border requirements were established: full implementation of the measures set out in the Environmental Report, carrying out a dedicated assessment of physical factors in a cross-border context (in particular light effects) during the design phase,</w:t>
      </w:r>
      <w:r w:rsidRPr="00EC75B7">
        <w:rPr>
          <w:rFonts w:ascii="Verdana" w:hAnsi="Verdana"/>
          <w:spacing w:val="-7"/>
        </w:rPr>
        <w:t xml:space="preserve"> </w:t>
      </w:r>
      <w:r w:rsidRPr="00EC75B7">
        <w:rPr>
          <w:rFonts w:ascii="Verdana" w:hAnsi="Verdana"/>
        </w:rPr>
        <w:t xml:space="preserve">use of "absorbent" paint </w:t>
      </w:r>
      <w:r w:rsidRPr="00EC75B7">
        <w:rPr>
          <w:rFonts w:ascii="Verdana" w:hAnsi="Verdana"/>
          <w:spacing w:val="-2"/>
        </w:rPr>
        <w:t xml:space="preserve">for the tower and rotor to avoid reflections, and post-implementation monitoring at the border for noise, </w:t>
      </w:r>
      <w:r w:rsidRPr="00EC75B7">
        <w:rPr>
          <w:rFonts w:ascii="Verdana" w:hAnsi="Verdana"/>
        </w:rPr>
        <w:t xml:space="preserve">non-ionizing radiation, and light effects, with the results being transmitted to the Bulgarian side. Also, for the above-mentioned condition, a dedicated assessment of physical factors in a cross-border context (in particular light effects) was submitted to the Ministry of Environment and Water of the Republic of Bulgaria. The shadow study, whose conclusions indicate that the results show a negligible impact on the analyzed area, including in the case of cross-border roads and the evaluated receptors, a conclusion supported by the use of a conservative modeling scenario based on the largest turbine configuration and an </w:t>
      </w:r>
      <w:r w:rsidRPr="00EC75B7">
        <w:rPr>
          <w:rFonts w:ascii="Verdana" w:hAnsi="Verdana"/>
          <w:spacing w:val="-2"/>
        </w:rPr>
        <w:t>extended</w:t>
      </w:r>
      <w:r w:rsidRPr="00EC75B7">
        <w:rPr>
          <w:rFonts w:ascii="Verdana" w:hAnsi="Verdana"/>
        </w:rPr>
        <w:t xml:space="preserve"> analysis radius</w:t>
      </w:r>
      <w:r w:rsidRPr="00EC75B7">
        <w:rPr>
          <w:rFonts w:ascii="Verdana" w:hAnsi="Verdana"/>
          <w:spacing w:val="-2"/>
        </w:rPr>
        <w:t>.</w:t>
      </w:r>
    </w:p>
    <w:p w14:paraId="2C8B5C85" w14:textId="77777777" w:rsidR="008715BE" w:rsidRPr="00EC75B7" w:rsidRDefault="008715BE">
      <w:pPr>
        <w:pStyle w:val="BodyText"/>
        <w:spacing w:before="35"/>
        <w:rPr>
          <w:rFonts w:ascii="Verdana" w:hAnsi="Verdana"/>
        </w:rPr>
      </w:pPr>
    </w:p>
    <w:p w14:paraId="7969150F" w14:textId="77777777" w:rsidR="008715BE" w:rsidRPr="00EC75B7" w:rsidRDefault="00000000">
      <w:pPr>
        <w:pStyle w:val="Heading4"/>
        <w:jc w:val="both"/>
        <w:rPr>
          <w:rFonts w:ascii="Verdana" w:hAnsi="Verdana"/>
          <w:sz w:val="18"/>
          <w:szCs w:val="18"/>
        </w:rPr>
      </w:pPr>
      <w:bookmarkStart w:id="164" w:name="_bookmark162"/>
      <w:bookmarkEnd w:id="164"/>
      <w:r w:rsidRPr="00EC75B7">
        <w:rPr>
          <w:rFonts w:ascii="Verdana" w:hAnsi="Verdana"/>
          <w:color w:val="00AFEF"/>
          <w:sz w:val="18"/>
          <w:szCs w:val="18"/>
        </w:rPr>
        <w:t xml:space="preserve">Analysis of </w:t>
      </w:r>
      <w:r w:rsidRPr="00EC75B7">
        <w:rPr>
          <w:rFonts w:ascii="Verdana" w:hAnsi="Verdana"/>
          <w:color w:val="00AFEF"/>
          <w:spacing w:val="-2"/>
          <w:sz w:val="18"/>
          <w:szCs w:val="18"/>
        </w:rPr>
        <w:t xml:space="preserve">reasonable </w:t>
      </w:r>
      <w:r w:rsidRPr="00EC75B7">
        <w:rPr>
          <w:rFonts w:ascii="Verdana" w:hAnsi="Verdana"/>
          <w:color w:val="00AFEF"/>
          <w:sz w:val="18"/>
          <w:szCs w:val="18"/>
        </w:rPr>
        <w:t>alternatives</w:t>
      </w:r>
    </w:p>
    <w:p w14:paraId="4F59C9DF" w14:textId="77777777" w:rsidR="008715BE" w:rsidRPr="00EC75B7" w:rsidRDefault="008715BE">
      <w:pPr>
        <w:pStyle w:val="BodyText"/>
        <w:spacing w:before="118"/>
        <w:rPr>
          <w:rFonts w:ascii="Verdana" w:hAnsi="Verdana"/>
          <w:b/>
          <w:i/>
        </w:rPr>
      </w:pPr>
    </w:p>
    <w:p w14:paraId="42A25FBB" w14:textId="77777777" w:rsidR="008715BE" w:rsidRPr="00EC75B7" w:rsidRDefault="00000000">
      <w:pPr>
        <w:pStyle w:val="BodyText"/>
        <w:spacing w:line="357" w:lineRule="auto"/>
        <w:ind w:left="369" w:right="567"/>
        <w:jc w:val="both"/>
        <w:rPr>
          <w:rFonts w:ascii="Verdana" w:hAnsi="Verdana"/>
        </w:rPr>
      </w:pPr>
      <w:r w:rsidRPr="00EC75B7">
        <w:rPr>
          <w:rFonts w:ascii="Verdana" w:hAnsi="Verdana"/>
        </w:rPr>
        <w:t>Alternative "0" (not implementing the project) would lead to maintaining the existing situation at the site (agricultural use and associated pressures), without contributing to renewable energy production and without the climate and socio-economic benefits associated with the investment. On the other hand, it would eliminate both the temporary effects of construction and the operational effects (noise, shadow flicker, visual impact) that must be managed if the project is implemented.</w:t>
      </w:r>
    </w:p>
    <w:p w14:paraId="6A3F5C1A" w14:textId="77777777" w:rsidR="008715BE" w:rsidRPr="00EC75B7" w:rsidRDefault="00000000">
      <w:pPr>
        <w:pStyle w:val="BodyText"/>
        <w:spacing w:before="123" w:line="357" w:lineRule="auto"/>
        <w:ind w:left="369" w:right="564"/>
        <w:jc w:val="both"/>
        <w:rPr>
          <w:rFonts w:ascii="Verdana" w:hAnsi="Verdana"/>
        </w:rPr>
      </w:pPr>
      <w:r w:rsidRPr="00EC75B7">
        <w:rPr>
          <w:rFonts w:ascii="Verdana" w:hAnsi="Verdana"/>
        </w:rPr>
        <w:t>The design/optimization alternatives mainly focused on: adjusting the site configuration (including abandoning two turbine positions – T17 and T23 – to comply with technical conditions/approvals), choosing technological solutions and routes/work organization so that temporary occupations are minimized, and restoring the affected areas after completion. In addition, management alternatives (operational measures, turbine finish requirements, monitoring, and adaptation) were considered to reduce the effects on sensitive receptors, including in a cross-border context.</w:t>
      </w:r>
    </w:p>
    <w:p w14:paraId="1BBD431D" w14:textId="77777777" w:rsidR="008715BE" w:rsidRPr="00EC75B7" w:rsidRDefault="008715BE">
      <w:pPr>
        <w:pStyle w:val="BodyText"/>
        <w:spacing w:line="357" w:lineRule="auto"/>
        <w:jc w:val="both"/>
        <w:rPr>
          <w:rFonts w:ascii="Verdana" w:hAnsi="Verdana"/>
        </w:rPr>
        <w:sectPr w:rsidR="008715BE" w:rsidRPr="00EC75B7">
          <w:pgSz w:w="11910" w:h="16840"/>
          <w:pgMar w:top="1320" w:right="425" w:bottom="1020" w:left="850" w:header="766" w:footer="824" w:gutter="0"/>
          <w:cols w:space="708"/>
        </w:sectPr>
      </w:pPr>
    </w:p>
    <w:p w14:paraId="46C47811" w14:textId="77777777" w:rsidR="008715BE" w:rsidRPr="00EC75B7" w:rsidRDefault="008715BE">
      <w:pPr>
        <w:pStyle w:val="BodyText"/>
        <w:spacing w:before="4"/>
        <w:rPr>
          <w:rFonts w:ascii="Verdana" w:hAnsi="Verdana"/>
        </w:rPr>
      </w:pPr>
    </w:p>
    <w:p w14:paraId="5CA6BC81" w14:textId="77777777" w:rsidR="008715BE" w:rsidRPr="00EC75B7" w:rsidRDefault="00000000">
      <w:pPr>
        <w:pStyle w:val="Heading1"/>
        <w:numPr>
          <w:ilvl w:val="0"/>
          <w:numId w:val="110"/>
        </w:numPr>
        <w:tabs>
          <w:tab w:val="left" w:pos="1060"/>
        </w:tabs>
        <w:spacing w:before="228"/>
        <w:ind w:left="1060" w:hanging="895"/>
        <w:jc w:val="left"/>
        <w:rPr>
          <w:rFonts w:ascii="Verdana" w:hAnsi="Verdana"/>
          <w:sz w:val="18"/>
          <w:szCs w:val="18"/>
        </w:rPr>
      </w:pPr>
      <w:bookmarkStart w:id="165" w:name="_bookmark163"/>
      <w:bookmarkEnd w:id="165"/>
      <w:r w:rsidRPr="00EC75B7">
        <w:rPr>
          <w:rFonts w:ascii="Verdana" w:hAnsi="Verdana"/>
          <w:color w:val="00AFEF"/>
          <w:spacing w:val="-2"/>
          <w:sz w:val="18"/>
          <w:szCs w:val="18"/>
        </w:rPr>
        <w:t>BIBLIOGRAPHY</w:t>
      </w:r>
    </w:p>
    <w:p w14:paraId="039A8BCA" w14:textId="77777777" w:rsidR="008715BE" w:rsidRPr="00EC75B7" w:rsidRDefault="008715BE">
      <w:pPr>
        <w:pStyle w:val="BodyText"/>
        <w:spacing w:before="59"/>
        <w:rPr>
          <w:rFonts w:ascii="Verdana" w:hAnsi="Verdana"/>
          <w:b/>
        </w:rPr>
      </w:pPr>
    </w:p>
    <w:p w14:paraId="7DB81745" w14:textId="26D6F2D6" w:rsidR="008715BE" w:rsidRPr="00EC75B7" w:rsidRDefault="00000000" w:rsidP="00E90322">
      <w:pPr>
        <w:pStyle w:val="BodyText"/>
        <w:tabs>
          <w:tab w:val="left" w:pos="1053"/>
        </w:tabs>
        <w:ind w:left="698" w:right="105"/>
        <w:jc w:val="both"/>
        <w:rPr>
          <w:rFonts w:ascii="Verdana" w:hAnsi="Verdana"/>
        </w:rPr>
      </w:pPr>
      <w:r w:rsidRPr="00EC75B7">
        <w:rPr>
          <w:rFonts w:ascii="Verdana" w:hAnsi="Verdana"/>
          <w:spacing w:val="-5"/>
        </w:rPr>
        <w:t>1.</w:t>
      </w:r>
      <w:r w:rsidRPr="00EC75B7">
        <w:rPr>
          <w:rFonts w:ascii="Verdana" w:hAnsi="Verdana"/>
        </w:rPr>
        <w:tab/>
        <w:t xml:space="preserve">Government Decision 1076/2004 establishing the procedure for conducting environmental assessments for plans </w:t>
      </w:r>
      <w:r w:rsidRPr="00EC75B7">
        <w:rPr>
          <w:rFonts w:ascii="Verdana" w:hAnsi="Verdana"/>
          <w:spacing w:val="-5"/>
        </w:rPr>
        <w:t>and</w:t>
      </w:r>
      <w:r w:rsidR="00E90322">
        <w:rPr>
          <w:rFonts w:ascii="Verdana" w:hAnsi="Verdana"/>
        </w:rPr>
        <w:t xml:space="preserve"> </w:t>
      </w:r>
      <w:r w:rsidRPr="00EC75B7">
        <w:rPr>
          <w:rFonts w:ascii="Verdana" w:hAnsi="Verdana"/>
          <w:spacing w:val="-2"/>
        </w:rPr>
        <w:t>programs</w:t>
      </w:r>
    </w:p>
    <w:p w14:paraId="1A61AF59" w14:textId="77777777" w:rsidR="008715BE" w:rsidRPr="00EC75B7" w:rsidRDefault="00000000" w:rsidP="00E90322">
      <w:pPr>
        <w:pStyle w:val="BodyText"/>
        <w:tabs>
          <w:tab w:val="left" w:pos="1053"/>
        </w:tabs>
        <w:spacing w:before="109"/>
        <w:ind w:left="698" w:right="105"/>
        <w:jc w:val="both"/>
        <w:rPr>
          <w:rFonts w:ascii="Verdana" w:hAnsi="Verdana"/>
        </w:rPr>
      </w:pPr>
      <w:r w:rsidRPr="00EC75B7">
        <w:rPr>
          <w:rFonts w:ascii="Verdana" w:hAnsi="Verdana"/>
          <w:spacing w:val="-5"/>
        </w:rPr>
        <w:t>2.</w:t>
      </w:r>
      <w:r w:rsidRPr="00EC75B7">
        <w:rPr>
          <w:rFonts w:ascii="Verdana" w:hAnsi="Verdana"/>
        </w:rPr>
        <w:tab/>
        <w:t xml:space="preserve">Generic Guide on environmental assessment for plans and </w:t>
      </w:r>
      <w:r w:rsidRPr="00EC75B7">
        <w:rPr>
          <w:rFonts w:ascii="Verdana" w:hAnsi="Verdana"/>
          <w:spacing w:val="-2"/>
        </w:rPr>
        <w:t>programs</w:t>
      </w:r>
    </w:p>
    <w:p w14:paraId="3090B7C9" w14:textId="77777777" w:rsidR="008715BE" w:rsidRPr="00EC75B7" w:rsidRDefault="00000000" w:rsidP="00E90322">
      <w:pPr>
        <w:pStyle w:val="BodyText"/>
        <w:tabs>
          <w:tab w:val="left" w:pos="1053"/>
        </w:tabs>
        <w:spacing w:before="109"/>
        <w:ind w:left="698" w:right="105"/>
        <w:jc w:val="both"/>
        <w:rPr>
          <w:rFonts w:ascii="Verdana" w:hAnsi="Verdana"/>
        </w:rPr>
      </w:pPr>
      <w:r w:rsidRPr="00EC75B7">
        <w:rPr>
          <w:rFonts w:ascii="Verdana" w:hAnsi="Verdana"/>
          <w:spacing w:val="-5"/>
        </w:rPr>
        <w:t>3.</w:t>
      </w:r>
      <w:r w:rsidRPr="00EC75B7">
        <w:rPr>
          <w:rFonts w:ascii="Verdana" w:hAnsi="Verdana"/>
        </w:rPr>
        <w:tab/>
        <w:t xml:space="preserve">Manual for the application of the procedure for conducting environmental assessments for plans and </w:t>
      </w:r>
      <w:r w:rsidRPr="00EC75B7">
        <w:rPr>
          <w:rFonts w:ascii="Verdana" w:hAnsi="Verdana"/>
          <w:spacing w:val="-2"/>
        </w:rPr>
        <w:t>programs</w:t>
      </w:r>
    </w:p>
    <w:p w14:paraId="3AE75450" w14:textId="77777777" w:rsidR="008715BE" w:rsidRPr="00EC75B7" w:rsidRDefault="00000000" w:rsidP="00E90322">
      <w:pPr>
        <w:pStyle w:val="BodyText"/>
        <w:tabs>
          <w:tab w:val="left" w:pos="1053"/>
        </w:tabs>
        <w:spacing w:before="107"/>
        <w:ind w:left="698" w:right="105"/>
        <w:jc w:val="both"/>
        <w:rPr>
          <w:rFonts w:ascii="Verdana" w:hAnsi="Verdana"/>
        </w:rPr>
      </w:pPr>
      <w:r w:rsidRPr="00EC75B7">
        <w:rPr>
          <w:rFonts w:ascii="Verdana" w:hAnsi="Verdana"/>
          <w:spacing w:val="-5"/>
        </w:rPr>
        <w:t>4.</w:t>
      </w:r>
      <w:r w:rsidRPr="00EC75B7">
        <w:rPr>
          <w:rFonts w:ascii="Verdana" w:hAnsi="Verdana"/>
        </w:rPr>
        <w:tab/>
        <w:t xml:space="preserve">Guidelines on environmental assessment for development plans and programs in the </w:t>
      </w:r>
      <w:r w:rsidRPr="00EC75B7">
        <w:rPr>
          <w:rFonts w:ascii="Verdana" w:hAnsi="Verdana"/>
          <w:spacing w:val="-2"/>
        </w:rPr>
        <w:t xml:space="preserve">energy </w:t>
      </w:r>
      <w:r w:rsidRPr="00EC75B7">
        <w:rPr>
          <w:rFonts w:ascii="Verdana" w:hAnsi="Verdana"/>
        </w:rPr>
        <w:t>sector</w:t>
      </w:r>
    </w:p>
    <w:p w14:paraId="579A670A" w14:textId="5DDF3F2F" w:rsidR="008715BE" w:rsidRPr="00EC75B7" w:rsidRDefault="00000000" w:rsidP="00E90322">
      <w:pPr>
        <w:pStyle w:val="BodyText"/>
        <w:tabs>
          <w:tab w:val="left" w:pos="1053"/>
        </w:tabs>
        <w:spacing w:before="109" w:line="360" w:lineRule="auto"/>
        <w:ind w:left="1053" w:right="105" w:hanging="356"/>
        <w:jc w:val="both"/>
        <w:rPr>
          <w:rFonts w:ascii="Verdana" w:hAnsi="Verdana"/>
        </w:rPr>
      </w:pPr>
      <w:r w:rsidRPr="00EC75B7">
        <w:rPr>
          <w:rFonts w:ascii="Verdana" w:hAnsi="Verdana"/>
          <w:spacing w:val="-6"/>
        </w:rPr>
        <w:t>5.</w:t>
      </w:r>
      <w:r w:rsidRPr="00EC75B7">
        <w:rPr>
          <w:rFonts w:ascii="Verdana" w:hAnsi="Verdana"/>
        </w:rPr>
        <w:tab/>
        <w:t xml:space="preserve">Guidelines on environmental assessment for land use and </w:t>
      </w:r>
      <w:r w:rsidRPr="00EC75B7">
        <w:rPr>
          <w:rFonts w:ascii="Verdana" w:hAnsi="Verdana"/>
          <w:spacing w:val="-2"/>
        </w:rPr>
        <w:t xml:space="preserve">urban planning </w:t>
      </w:r>
      <w:r w:rsidRPr="00EC75B7">
        <w:rPr>
          <w:rFonts w:ascii="Verdana" w:hAnsi="Verdana"/>
        </w:rPr>
        <w:t>plans and</w:t>
      </w:r>
      <w:r w:rsidR="00E90322">
        <w:rPr>
          <w:rFonts w:ascii="Verdana" w:hAnsi="Verdana"/>
        </w:rPr>
        <w:t xml:space="preserve"> </w:t>
      </w:r>
      <w:r w:rsidRPr="00EC75B7">
        <w:rPr>
          <w:rFonts w:ascii="Verdana" w:hAnsi="Verdana"/>
        </w:rPr>
        <w:t>programs</w:t>
      </w:r>
    </w:p>
    <w:p w14:paraId="596FCCA3" w14:textId="77777777" w:rsidR="008715BE" w:rsidRPr="00EC75B7" w:rsidRDefault="00000000">
      <w:pPr>
        <w:pStyle w:val="BodyText"/>
        <w:tabs>
          <w:tab w:val="left" w:pos="1053"/>
        </w:tabs>
        <w:spacing w:before="118" w:line="357" w:lineRule="auto"/>
        <w:ind w:left="1053" w:right="703" w:hanging="356"/>
        <w:rPr>
          <w:rFonts w:ascii="Verdana" w:hAnsi="Verdana"/>
        </w:rPr>
      </w:pPr>
      <w:r w:rsidRPr="00EC75B7">
        <w:rPr>
          <w:rFonts w:ascii="Verdana" w:hAnsi="Verdana"/>
          <w:color w:val="797766"/>
          <w:spacing w:val="-6"/>
        </w:rPr>
        <w:t>6.</w:t>
      </w:r>
      <w:r w:rsidRPr="00EC75B7">
        <w:rPr>
          <w:rFonts w:ascii="Verdana" w:hAnsi="Verdana"/>
          <w:color w:val="797766"/>
        </w:rPr>
        <w:tab/>
      </w:r>
      <w:hyperlink r:id="rId328">
        <w:r w:rsidR="008715BE" w:rsidRPr="00EC75B7">
          <w:rPr>
            <w:rFonts w:ascii="Verdana" w:hAnsi="Verdana"/>
            <w:color w:val="009DEF"/>
            <w:u w:val="single" w:color="009DEF"/>
          </w:rPr>
          <w:t>https://eur-lex.europa.eu/resource.html?uri=cellar:1bd46c90-bdd4-11e4-bbe1-01aa75ed71a1.0012.03/DOC_1&amp;format=PDF</w:t>
        </w:r>
      </w:hyperlink>
    </w:p>
    <w:p w14:paraId="310A7989" w14:textId="77777777" w:rsidR="008715BE" w:rsidRPr="00EC75B7" w:rsidRDefault="00000000">
      <w:pPr>
        <w:pStyle w:val="BodyText"/>
        <w:tabs>
          <w:tab w:val="left" w:pos="1053"/>
        </w:tabs>
        <w:spacing w:before="123" w:line="357" w:lineRule="auto"/>
        <w:ind w:left="1053" w:right="3821" w:hanging="356"/>
        <w:rPr>
          <w:rFonts w:ascii="Verdana" w:hAnsi="Verdana"/>
        </w:rPr>
      </w:pPr>
      <w:r w:rsidRPr="00EC75B7">
        <w:rPr>
          <w:rFonts w:ascii="Verdana" w:hAnsi="Verdana"/>
          <w:spacing w:val="-6"/>
        </w:rPr>
        <w:t>7.</w:t>
      </w:r>
      <w:r w:rsidRPr="00EC75B7">
        <w:rPr>
          <w:rFonts w:ascii="Verdana" w:hAnsi="Verdana"/>
        </w:rPr>
        <w:tab/>
      </w:r>
      <w:hyperlink r:id="rId329">
        <w:r w:rsidR="008715BE" w:rsidRPr="00EC75B7">
          <w:rPr>
            <w:rFonts w:ascii="Verdana" w:hAnsi="Verdana"/>
            <w:color w:val="009DEF"/>
            <w:u w:val="single" w:color="009DEF"/>
          </w:rPr>
          <w:t>https://eur-lex.europa.eu/legal-content/RO/TXT/PDF/?uri=CELEX:22016A1019(01</w:t>
        </w:r>
      </w:hyperlink>
      <w:r w:rsidRPr="00EC75B7">
        <w:rPr>
          <w:rFonts w:ascii="Verdana" w:hAnsi="Verdana"/>
        </w:rPr>
        <w:t>)</w:t>
      </w:r>
      <w:hyperlink r:id="rId330">
        <w:r w:rsidR="008715BE" w:rsidRPr="00EC75B7">
          <w:rPr>
            <w:rFonts w:ascii="Verdana" w:hAnsi="Verdana"/>
            <w:color w:val="009DEF"/>
            <w:u w:val="single" w:color="009DEF"/>
          </w:rPr>
          <w:t>&amp;from=EN</w:t>
        </w:r>
      </w:hyperlink>
    </w:p>
    <w:p w14:paraId="79E53AF5" w14:textId="77777777" w:rsidR="008715BE" w:rsidRPr="00EC75B7" w:rsidRDefault="00000000">
      <w:pPr>
        <w:pStyle w:val="BodyText"/>
        <w:tabs>
          <w:tab w:val="left" w:pos="1053"/>
        </w:tabs>
        <w:spacing w:line="360" w:lineRule="auto"/>
        <w:ind w:left="1053" w:right="3437" w:hanging="356"/>
        <w:rPr>
          <w:rFonts w:ascii="Verdana" w:hAnsi="Verdana"/>
        </w:rPr>
      </w:pPr>
      <w:r w:rsidRPr="00EC75B7">
        <w:rPr>
          <w:rFonts w:ascii="Verdana" w:hAnsi="Verdana"/>
          <w:spacing w:val="-6"/>
        </w:rPr>
        <w:t>8.</w:t>
      </w:r>
      <w:r w:rsidRPr="00EC75B7">
        <w:rPr>
          <w:rFonts w:ascii="Verdana" w:hAnsi="Verdana"/>
        </w:rPr>
        <w:tab/>
        <w:t>European Green Deal (</w:t>
      </w:r>
      <w:hyperlink r:id="rId331">
        <w:r w:rsidR="008715BE" w:rsidRPr="00EC75B7">
          <w:rPr>
            <w:rFonts w:ascii="Verdana" w:hAnsi="Verdana"/>
            <w:color w:val="009DEF"/>
            <w:spacing w:val="-2"/>
            <w:u w:val="single" w:color="009DEF"/>
          </w:rPr>
          <w:t>https://eur-lex.europa.eu/resource.html?uri=cellar:b828d165-1c22-11ea-8c1f-01aa75ed71a1.0020.02/DOC_1&amp;format=PDF</w:t>
        </w:r>
      </w:hyperlink>
      <w:r w:rsidRPr="00EC75B7">
        <w:rPr>
          <w:rFonts w:ascii="Verdana" w:hAnsi="Verdana"/>
          <w:spacing w:val="-2"/>
        </w:rPr>
        <w:t>)</w:t>
      </w:r>
    </w:p>
    <w:p w14:paraId="6A13C010" w14:textId="77777777" w:rsidR="008715BE" w:rsidRPr="00EC75B7" w:rsidRDefault="00000000">
      <w:pPr>
        <w:pStyle w:val="BodyText"/>
        <w:tabs>
          <w:tab w:val="left" w:pos="1053"/>
        </w:tabs>
        <w:spacing w:line="360" w:lineRule="auto"/>
        <w:ind w:left="1053" w:right="3917" w:hanging="356"/>
        <w:rPr>
          <w:rFonts w:ascii="Verdana" w:hAnsi="Verdana"/>
        </w:rPr>
      </w:pPr>
      <w:r w:rsidRPr="00EC75B7">
        <w:rPr>
          <w:rFonts w:ascii="Verdana" w:hAnsi="Verdana"/>
          <w:spacing w:val="-6"/>
        </w:rPr>
        <w:t>9.</w:t>
      </w:r>
      <w:r w:rsidRPr="00EC75B7">
        <w:rPr>
          <w:rFonts w:ascii="Verdana" w:hAnsi="Verdana"/>
        </w:rPr>
        <w:tab/>
        <w:t xml:space="preserve">The 2030 Climate and Energy Package </w:t>
      </w:r>
      <w:hyperlink r:id="rId332">
        <w:r w:rsidR="008715BE" w:rsidRPr="00EC75B7">
          <w:rPr>
            <w:rFonts w:ascii="Verdana" w:hAnsi="Verdana"/>
          </w:rPr>
          <w:t>(</w:t>
        </w:r>
      </w:hyperlink>
      <w:hyperlink r:id="rId333">
        <w:r w:rsidR="008715BE" w:rsidRPr="00EC75B7">
          <w:rPr>
            <w:rFonts w:ascii="Verdana" w:hAnsi="Verdana"/>
            <w:color w:val="009DEF"/>
            <w:u w:val="single" w:color="009DEF"/>
          </w:rPr>
          <w:t>https://eur-lex.europa.eu/legal-content/RO/TXT/PDF/?uri=CELEX:52020DC0562</w:t>
        </w:r>
      </w:hyperlink>
      <w:r w:rsidRPr="00EC75B7">
        <w:rPr>
          <w:rFonts w:ascii="Verdana" w:hAnsi="Verdana"/>
        </w:rPr>
        <w:t xml:space="preserve"> )</w:t>
      </w:r>
    </w:p>
    <w:p w14:paraId="12BC17C8" w14:textId="77777777" w:rsidR="008715BE" w:rsidRPr="00EC75B7" w:rsidRDefault="00000000">
      <w:pPr>
        <w:pStyle w:val="BodyText"/>
        <w:spacing w:line="360" w:lineRule="auto"/>
        <w:ind w:left="1053" w:right="4191" w:hanging="356"/>
        <w:rPr>
          <w:rFonts w:ascii="Verdana" w:hAnsi="Verdana"/>
        </w:rPr>
      </w:pPr>
      <w:r w:rsidRPr="00EC75B7">
        <w:rPr>
          <w:rFonts w:ascii="Verdana" w:hAnsi="Verdana"/>
        </w:rPr>
        <w:t xml:space="preserve">10. European Climate Law </w:t>
      </w:r>
      <w:hyperlink r:id="rId334">
        <w:r w:rsidR="008715BE" w:rsidRPr="00EC75B7">
          <w:rPr>
            <w:rFonts w:ascii="Verdana" w:hAnsi="Verdana"/>
          </w:rPr>
          <w:t>(</w:t>
        </w:r>
      </w:hyperlink>
      <w:hyperlink r:id="rId335">
        <w:r w:rsidR="008715BE" w:rsidRPr="00EC75B7">
          <w:rPr>
            <w:rFonts w:ascii="Verdana" w:hAnsi="Verdana"/>
            <w:color w:val="009DEF"/>
            <w:u w:val="single" w:color="009DEF"/>
          </w:rPr>
          <w:t>https://eur-lex.europa.eu/legal-content/RO/TXT/PDF/?uri=CELEX:32021R1119</w:t>
        </w:r>
      </w:hyperlink>
      <w:r w:rsidRPr="00EC75B7">
        <w:rPr>
          <w:rFonts w:ascii="Verdana" w:hAnsi="Verdana"/>
        </w:rPr>
        <w:t xml:space="preserve"> )</w:t>
      </w:r>
    </w:p>
    <w:p w14:paraId="54E911B2" w14:textId="77777777" w:rsidR="008715BE" w:rsidRPr="00EC75B7" w:rsidRDefault="00000000">
      <w:pPr>
        <w:pStyle w:val="BodyText"/>
        <w:spacing w:line="216" w:lineRule="exact"/>
        <w:ind w:left="698"/>
        <w:rPr>
          <w:rFonts w:ascii="Verdana" w:hAnsi="Verdana"/>
        </w:rPr>
      </w:pPr>
      <w:r w:rsidRPr="00EC75B7">
        <w:rPr>
          <w:rFonts w:ascii="Verdana" w:hAnsi="Verdana"/>
        </w:rPr>
        <w:t>11.</w:t>
      </w:r>
      <w:r w:rsidRPr="00EC75B7">
        <w:rPr>
          <w:rFonts w:ascii="Verdana" w:hAnsi="Verdana"/>
          <w:spacing w:val="49"/>
        </w:rPr>
        <w:t xml:space="preserve">  </w:t>
      </w:r>
      <w:r w:rsidRPr="00EC75B7">
        <w:rPr>
          <w:rFonts w:ascii="Verdana" w:hAnsi="Verdana"/>
        </w:rPr>
        <w:t xml:space="preserve"> "Fit for</w:t>
      </w:r>
      <w:r w:rsidRPr="00EC75B7">
        <w:rPr>
          <w:rFonts w:ascii="Verdana" w:hAnsi="Verdana"/>
          <w:spacing w:val="-5"/>
        </w:rPr>
        <w:t xml:space="preserve"> 55" </w:t>
      </w:r>
      <w:r w:rsidRPr="00EC75B7">
        <w:rPr>
          <w:rFonts w:ascii="Verdana" w:hAnsi="Verdana"/>
        </w:rPr>
        <w:t>legislative package</w:t>
      </w:r>
    </w:p>
    <w:p w14:paraId="0C58C2CB" w14:textId="77777777" w:rsidR="008715BE" w:rsidRPr="00EC75B7" w:rsidRDefault="00000000">
      <w:pPr>
        <w:pStyle w:val="BodyText"/>
        <w:spacing w:before="103" w:line="360" w:lineRule="auto"/>
        <w:ind w:left="1053" w:right="816" w:hanging="356"/>
        <w:rPr>
          <w:rFonts w:ascii="Verdana" w:hAnsi="Verdana"/>
        </w:rPr>
      </w:pPr>
      <w:r w:rsidRPr="00EC75B7">
        <w:rPr>
          <w:rFonts w:ascii="Verdana" w:hAnsi="Verdana"/>
        </w:rPr>
        <w:t xml:space="preserve">12. REPowerEU Plan REPowerEU Plan </w:t>
      </w:r>
      <w:hyperlink r:id="rId336">
        <w:r w:rsidR="008715BE" w:rsidRPr="00EC75B7">
          <w:rPr>
            <w:rFonts w:ascii="Verdana" w:hAnsi="Verdana"/>
          </w:rPr>
          <w:t>(</w:t>
        </w:r>
      </w:hyperlink>
      <w:hyperlink r:id="rId337">
        <w:r w:rsidR="008715BE" w:rsidRPr="00EC75B7">
          <w:rPr>
            <w:rFonts w:ascii="Verdana" w:hAnsi="Verdana"/>
            <w:color w:val="009DEF"/>
            <w:u w:val="single" w:color="009DEF"/>
          </w:rPr>
          <w:t>https://eur-lex.europa.eu/resource.html?uri=cellar:fc930f14-d7ae-11ec-a95f-01aa75ed71a1.0014.02/DOC_1&amp;format=PDF</w:t>
        </w:r>
      </w:hyperlink>
      <w:r w:rsidRPr="00EC75B7">
        <w:rPr>
          <w:rFonts w:ascii="Verdana" w:hAnsi="Verdana"/>
        </w:rPr>
        <w:t xml:space="preserve"> )</w:t>
      </w:r>
    </w:p>
    <w:p w14:paraId="44359327" w14:textId="77777777" w:rsidR="008715BE" w:rsidRPr="00EC75B7" w:rsidRDefault="00000000">
      <w:pPr>
        <w:pStyle w:val="BodyText"/>
        <w:spacing w:line="360" w:lineRule="auto"/>
        <w:ind w:left="1053" w:right="1574" w:hanging="356"/>
        <w:rPr>
          <w:rFonts w:ascii="Verdana" w:hAnsi="Verdana"/>
        </w:rPr>
      </w:pPr>
      <w:r w:rsidRPr="00EC75B7">
        <w:rPr>
          <w:rFonts w:ascii="Verdana" w:hAnsi="Verdana"/>
        </w:rPr>
        <w:t xml:space="preserve">13. Commission Communication An Industrial Plan for the Green Deal for the Net-Zero Era </w:t>
      </w:r>
      <w:hyperlink r:id="rId338">
        <w:r w:rsidR="008715BE" w:rsidRPr="00EC75B7">
          <w:rPr>
            <w:rFonts w:ascii="Verdana" w:hAnsi="Verdana"/>
          </w:rPr>
          <w:t>(</w:t>
        </w:r>
        <w:r w:rsidR="008715BE" w:rsidRPr="00EC75B7">
          <w:rPr>
            <w:rFonts w:ascii="Verdana" w:hAnsi="Verdana"/>
            <w:color w:val="009DEF"/>
            <w:u w:val="single" w:color="009DEF"/>
          </w:rPr>
          <w:t>https://eur-lex.europa.eu/legal-content/RO/TXT/PDF/?uri=CELEX:52023DC0062</w:t>
        </w:r>
      </w:hyperlink>
      <w:r w:rsidRPr="00EC75B7">
        <w:rPr>
          <w:rFonts w:ascii="Verdana" w:hAnsi="Verdana"/>
        </w:rPr>
        <w:t xml:space="preserve"> )</w:t>
      </w:r>
    </w:p>
    <w:p w14:paraId="565B1BDA" w14:textId="77777777" w:rsidR="008715BE" w:rsidRPr="00EC75B7" w:rsidRDefault="00000000">
      <w:pPr>
        <w:pStyle w:val="BodyText"/>
        <w:spacing w:line="357" w:lineRule="auto"/>
        <w:ind w:left="1053" w:right="3385" w:hanging="356"/>
        <w:rPr>
          <w:rFonts w:ascii="Verdana" w:hAnsi="Verdana"/>
        </w:rPr>
      </w:pPr>
      <w:r w:rsidRPr="00EC75B7">
        <w:rPr>
          <w:rFonts w:ascii="Verdana" w:hAnsi="Verdana"/>
        </w:rPr>
        <w:t xml:space="preserve">14. EU Biodiversity Strategy for 2030 </w:t>
      </w:r>
      <w:hyperlink r:id="rId339">
        <w:r w:rsidR="008715BE" w:rsidRPr="00EC75B7">
          <w:rPr>
            <w:rFonts w:ascii="Verdana" w:hAnsi="Verdana"/>
          </w:rPr>
          <w:t>(</w:t>
        </w:r>
      </w:hyperlink>
      <w:hyperlink r:id="rId340">
        <w:r w:rsidR="008715BE" w:rsidRPr="00EC75B7">
          <w:rPr>
            <w:rFonts w:ascii="Verdana" w:hAnsi="Verdana"/>
            <w:color w:val="009DEF"/>
            <w:u w:val="single" w:color="009DEF"/>
          </w:rPr>
          <w:t>https://eur-lex.europa.eu/resource.html?uri=cellar:a3c806a6-9ab3-11ea-9d2d-01aa75ed71a1.0023.02/DOC_1&amp;format=PDF</w:t>
        </w:r>
      </w:hyperlink>
      <w:r w:rsidRPr="00EC75B7">
        <w:rPr>
          <w:rFonts w:ascii="Verdana" w:hAnsi="Verdana"/>
        </w:rPr>
        <w:t xml:space="preserve"> )</w:t>
      </w:r>
    </w:p>
    <w:p w14:paraId="00486E7D" w14:textId="77777777" w:rsidR="008715BE" w:rsidRPr="00EC75B7" w:rsidRDefault="00000000">
      <w:pPr>
        <w:pStyle w:val="BodyText"/>
        <w:ind w:left="698"/>
        <w:rPr>
          <w:rFonts w:ascii="Verdana" w:hAnsi="Verdana"/>
        </w:rPr>
      </w:pPr>
      <w:r w:rsidRPr="00EC75B7">
        <w:rPr>
          <w:rFonts w:ascii="Verdana" w:hAnsi="Verdana"/>
        </w:rPr>
        <w:t>15.</w:t>
      </w:r>
      <w:r w:rsidRPr="00EC75B7">
        <w:rPr>
          <w:rFonts w:ascii="Verdana" w:hAnsi="Verdana"/>
          <w:spacing w:val="55"/>
        </w:rPr>
        <w:t xml:space="preserve">  </w:t>
      </w:r>
      <w:r w:rsidRPr="00EC75B7">
        <w:rPr>
          <w:rFonts w:ascii="Verdana" w:hAnsi="Verdana"/>
        </w:rPr>
        <w:t xml:space="preserve"> Strategy for the exploitation of renewable </w:t>
      </w:r>
      <w:r w:rsidRPr="00EC75B7">
        <w:rPr>
          <w:rFonts w:ascii="Verdana" w:hAnsi="Verdana"/>
          <w:spacing w:val="-2"/>
        </w:rPr>
        <w:t xml:space="preserve">energy </w:t>
      </w:r>
      <w:r w:rsidRPr="00EC75B7">
        <w:rPr>
          <w:rFonts w:ascii="Verdana" w:hAnsi="Verdana"/>
        </w:rPr>
        <w:t>sources</w:t>
      </w:r>
    </w:p>
    <w:p w14:paraId="75C36149" w14:textId="77777777" w:rsidR="008715BE" w:rsidRPr="00EC75B7" w:rsidRDefault="00000000">
      <w:pPr>
        <w:pStyle w:val="BodyText"/>
        <w:spacing w:before="106"/>
        <w:ind w:left="698"/>
        <w:rPr>
          <w:rFonts w:ascii="Verdana" w:hAnsi="Verdana"/>
        </w:rPr>
      </w:pPr>
      <w:r w:rsidRPr="00EC75B7">
        <w:rPr>
          <w:rFonts w:ascii="Verdana" w:hAnsi="Verdana"/>
        </w:rPr>
        <w:t>16.</w:t>
      </w:r>
      <w:r w:rsidRPr="00EC75B7">
        <w:rPr>
          <w:rFonts w:ascii="Verdana" w:hAnsi="Verdana"/>
          <w:spacing w:val="37"/>
        </w:rPr>
        <w:t xml:space="preserve">  </w:t>
      </w:r>
      <w:r w:rsidRPr="00EC75B7">
        <w:rPr>
          <w:rFonts w:ascii="Verdana" w:hAnsi="Verdana"/>
        </w:rPr>
        <w:t xml:space="preserve"> Romania's energy strategy</w:t>
      </w:r>
      <w:r w:rsidRPr="00EC75B7">
        <w:rPr>
          <w:rFonts w:ascii="Verdana" w:hAnsi="Verdana"/>
          <w:spacing w:val="-4"/>
        </w:rPr>
        <w:t xml:space="preserve"> 2007-2020</w:t>
      </w:r>
    </w:p>
    <w:p w14:paraId="63783058" w14:textId="77777777" w:rsidR="008715BE" w:rsidRPr="00EC75B7" w:rsidRDefault="00000000">
      <w:pPr>
        <w:pStyle w:val="BodyText"/>
        <w:spacing w:before="109"/>
        <w:ind w:left="698"/>
        <w:rPr>
          <w:rFonts w:ascii="Verdana" w:hAnsi="Verdana"/>
        </w:rPr>
      </w:pPr>
      <w:r w:rsidRPr="00EC75B7">
        <w:rPr>
          <w:rFonts w:ascii="Verdana" w:hAnsi="Verdana"/>
        </w:rPr>
        <w:t>17.</w:t>
      </w:r>
      <w:r w:rsidRPr="00EC75B7">
        <w:rPr>
          <w:rFonts w:ascii="Verdana" w:hAnsi="Verdana"/>
          <w:spacing w:val="33"/>
        </w:rPr>
        <w:t xml:space="preserve">  </w:t>
      </w:r>
      <w:r w:rsidRPr="00EC75B7">
        <w:rPr>
          <w:rFonts w:ascii="Verdana" w:hAnsi="Verdana"/>
        </w:rPr>
        <w:t xml:space="preserve"> Romania's Energy Strategy 2022-2030, with a view to</w:t>
      </w:r>
      <w:r w:rsidRPr="00EC75B7">
        <w:rPr>
          <w:rFonts w:ascii="Verdana" w:hAnsi="Verdana"/>
          <w:spacing w:val="-4"/>
        </w:rPr>
        <w:t xml:space="preserve"> 2050</w:t>
      </w:r>
    </w:p>
    <w:p w14:paraId="14E38DBE" w14:textId="77777777" w:rsidR="008715BE" w:rsidRPr="00EC75B7" w:rsidRDefault="00000000">
      <w:pPr>
        <w:pStyle w:val="BodyText"/>
        <w:spacing w:before="106" w:line="360" w:lineRule="auto"/>
        <w:ind w:left="1053" w:right="703" w:hanging="356"/>
        <w:rPr>
          <w:rFonts w:ascii="Verdana" w:hAnsi="Verdana"/>
        </w:rPr>
      </w:pPr>
      <w:r w:rsidRPr="00EC75B7">
        <w:rPr>
          <w:rFonts w:ascii="Verdana" w:hAnsi="Verdana"/>
        </w:rPr>
        <w:t>18. Integrated National Energy and Climate Plan 2021-2030, including the 2023 update</w:t>
      </w:r>
    </w:p>
    <w:p w14:paraId="78C16978" w14:textId="77777777" w:rsidR="008715BE" w:rsidRPr="00EC75B7" w:rsidRDefault="00000000">
      <w:pPr>
        <w:pStyle w:val="BodyText"/>
        <w:spacing w:line="219" w:lineRule="exact"/>
        <w:ind w:left="698"/>
        <w:rPr>
          <w:rFonts w:ascii="Verdana" w:hAnsi="Verdana"/>
        </w:rPr>
      </w:pPr>
      <w:r w:rsidRPr="00EC75B7">
        <w:rPr>
          <w:rFonts w:ascii="Verdana" w:hAnsi="Verdana"/>
        </w:rPr>
        <w:t>19.</w:t>
      </w:r>
      <w:r w:rsidRPr="00EC75B7">
        <w:rPr>
          <w:rFonts w:ascii="Verdana" w:hAnsi="Verdana"/>
          <w:spacing w:val="54"/>
        </w:rPr>
        <w:t xml:space="preserve">  </w:t>
      </w:r>
      <w:r w:rsidRPr="00EC75B7">
        <w:rPr>
          <w:rFonts w:ascii="Verdana" w:hAnsi="Verdana"/>
        </w:rPr>
        <w:t xml:space="preserve"> Romania's National Strategy for Sustainable Development 2030 and </w:t>
      </w:r>
      <w:r w:rsidRPr="00EC75B7">
        <w:rPr>
          <w:rFonts w:ascii="Verdana" w:hAnsi="Verdana"/>
          <w:spacing w:val="-2"/>
        </w:rPr>
        <w:t xml:space="preserve">Action </w:t>
      </w:r>
      <w:r w:rsidRPr="00EC75B7">
        <w:rPr>
          <w:rFonts w:ascii="Verdana" w:hAnsi="Verdana"/>
        </w:rPr>
        <w:t>Plan</w:t>
      </w:r>
    </w:p>
    <w:p w14:paraId="2EF80A52" w14:textId="77777777" w:rsidR="008715BE" w:rsidRPr="00EC75B7" w:rsidRDefault="00000000">
      <w:pPr>
        <w:pStyle w:val="BodyText"/>
        <w:spacing w:before="107"/>
        <w:ind w:left="698"/>
        <w:rPr>
          <w:rFonts w:ascii="Verdana" w:hAnsi="Verdana"/>
        </w:rPr>
      </w:pPr>
      <w:r w:rsidRPr="00EC75B7">
        <w:rPr>
          <w:rFonts w:ascii="Verdana" w:hAnsi="Verdana"/>
        </w:rPr>
        <w:t>20.</w:t>
      </w:r>
      <w:r w:rsidRPr="00EC75B7">
        <w:rPr>
          <w:rFonts w:ascii="Verdana" w:hAnsi="Verdana"/>
          <w:spacing w:val="54"/>
        </w:rPr>
        <w:t xml:space="preserve">  </w:t>
      </w:r>
      <w:r w:rsidRPr="00EC75B7">
        <w:rPr>
          <w:rFonts w:ascii="Verdana" w:hAnsi="Verdana"/>
        </w:rPr>
        <w:t xml:space="preserve"> National Strategy on Climate Change and </w:t>
      </w:r>
      <w:r w:rsidRPr="00EC75B7">
        <w:rPr>
          <w:rFonts w:ascii="Verdana" w:hAnsi="Verdana"/>
          <w:spacing w:val="-2"/>
        </w:rPr>
        <w:t xml:space="preserve">Low-Carbon </w:t>
      </w:r>
      <w:r w:rsidRPr="00EC75B7">
        <w:rPr>
          <w:rFonts w:ascii="Verdana" w:hAnsi="Verdana"/>
        </w:rPr>
        <w:t>Economic Growth</w:t>
      </w:r>
    </w:p>
    <w:p w14:paraId="7CB0AAA7" w14:textId="77777777" w:rsidR="008715BE" w:rsidRPr="00EC75B7" w:rsidRDefault="00000000">
      <w:pPr>
        <w:pStyle w:val="BodyText"/>
        <w:spacing w:before="109"/>
        <w:ind w:left="1053"/>
        <w:rPr>
          <w:rFonts w:ascii="Verdana" w:hAnsi="Verdana"/>
        </w:rPr>
      </w:pPr>
      <w:r w:rsidRPr="00EC75B7">
        <w:rPr>
          <w:rFonts w:ascii="Verdana" w:hAnsi="Verdana"/>
        </w:rPr>
        <w:t>carbon emissions for the period</w:t>
      </w:r>
      <w:r w:rsidRPr="00EC75B7">
        <w:rPr>
          <w:rFonts w:ascii="Verdana" w:hAnsi="Verdana"/>
          <w:spacing w:val="-4"/>
        </w:rPr>
        <w:t xml:space="preserve"> 2016-2020</w:t>
      </w:r>
    </w:p>
    <w:p w14:paraId="208FB1B8" w14:textId="77777777" w:rsidR="008715BE" w:rsidRPr="00EC75B7" w:rsidRDefault="00000000">
      <w:pPr>
        <w:pStyle w:val="BodyText"/>
        <w:spacing w:before="109" w:line="360" w:lineRule="auto"/>
        <w:ind w:left="1053" w:right="703" w:hanging="356"/>
        <w:rPr>
          <w:rFonts w:ascii="Verdana" w:hAnsi="Verdana"/>
        </w:rPr>
      </w:pPr>
      <w:r w:rsidRPr="00EC75B7">
        <w:rPr>
          <w:rFonts w:ascii="Verdana" w:hAnsi="Verdana"/>
        </w:rPr>
        <w:t>21. National Strategy on Adaptation to Climate Change for the period 2022-2030 with a view to 2050</w:t>
      </w:r>
    </w:p>
    <w:p w14:paraId="43A1ACCC" w14:textId="77777777" w:rsidR="008715BE" w:rsidRPr="00EC75B7" w:rsidRDefault="00000000">
      <w:pPr>
        <w:pStyle w:val="BodyText"/>
        <w:spacing w:line="360" w:lineRule="auto"/>
        <w:ind w:left="1053" w:right="703" w:hanging="356"/>
        <w:rPr>
          <w:rFonts w:ascii="Verdana" w:hAnsi="Verdana"/>
        </w:rPr>
      </w:pPr>
      <w:r w:rsidRPr="00EC75B7">
        <w:rPr>
          <w:rFonts w:ascii="Verdana" w:hAnsi="Verdana"/>
        </w:rPr>
        <w:t>22. National Action Plan for the implementation of the National Strategy on Adaptation to Climate Change</w:t>
      </w:r>
    </w:p>
    <w:p w14:paraId="2C6ED67E" w14:textId="77777777" w:rsidR="008715BE" w:rsidRPr="00EC75B7" w:rsidRDefault="00000000">
      <w:pPr>
        <w:pStyle w:val="BodyText"/>
        <w:spacing w:line="218" w:lineRule="exact"/>
        <w:ind w:left="698"/>
        <w:rPr>
          <w:rFonts w:ascii="Verdana" w:hAnsi="Verdana"/>
        </w:rPr>
      </w:pPr>
      <w:r w:rsidRPr="00EC75B7">
        <w:rPr>
          <w:rFonts w:ascii="Verdana" w:hAnsi="Verdana"/>
        </w:rPr>
        <w:t>23.</w:t>
      </w:r>
      <w:r w:rsidRPr="00EC75B7">
        <w:rPr>
          <w:rFonts w:ascii="Verdana" w:hAnsi="Verdana"/>
          <w:spacing w:val="54"/>
        </w:rPr>
        <w:t xml:space="preserve">  </w:t>
      </w:r>
      <w:r w:rsidRPr="00EC75B7">
        <w:rPr>
          <w:rFonts w:ascii="Verdana" w:hAnsi="Verdana"/>
        </w:rPr>
        <w:t xml:space="preserve"> Romania's long-term strategy for GHG reduction Romania Neutral in</w:t>
      </w:r>
      <w:r w:rsidRPr="00EC75B7">
        <w:rPr>
          <w:rFonts w:ascii="Verdana" w:hAnsi="Verdana"/>
          <w:spacing w:val="-4"/>
        </w:rPr>
        <w:t xml:space="preserve"> 2050</w:t>
      </w:r>
    </w:p>
    <w:p w14:paraId="33276515" w14:textId="77777777" w:rsidR="008715BE" w:rsidRPr="00EC75B7" w:rsidRDefault="008715BE">
      <w:pPr>
        <w:pStyle w:val="BodyText"/>
        <w:spacing w:line="218" w:lineRule="exact"/>
        <w:rPr>
          <w:rFonts w:ascii="Verdana" w:hAnsi="Verdana"/>
        </w:rPr>
        <w:sectPr w:rsidR="008715BE" w:rsidRPr="00EC75B7">
          <w:pgSz w:w="11910" w:h="16840"/>
          <w:pgMar w:top="1320" w:right="425" w:bottom="1020" w:left="850" w:header="766" w:footer="824" w:gutter="0"/>
          <w:cols w:space="708"/>
        </w:sectPr>
      </w:pPr>
    </w:p>
    <w:p w14:paraId="095DB125" w14:textId="77777777" w:rsidR="008715BE" w:rsidRPr="00EC75B7" w:rsidRDefault="00000000">
      <w:pPr>
        <w:pStyle w:val="BodyText"/>
        <w:spacing w:before="99"/>
        <w:ind w:left="698"/>
        <w:rPr>
          <w:rFonts w:ascii="Verdana" w:hAnsi="Verdana"/>
        </w:rPr>
      </w:pPr>
      <w:r w:rsidRPr="00EC75B7">
        <w:rPr>
          <w:rFonts w:ascii="Verdana" w:hAnsi="Verdana"/>
        </w:rPr>
        <w:lastRenderedPageBreak/>
        <w:t>24.</w:t>
      </w:r>
      <w:r w:rsidRPr="00EC75B7">
        <w:rPr>
          <w:rFonts w:ascii="Verdana" w:hAnsi="Verdana"/>
          <w:spacing w:val="55"/>
        </w:rPr>
        <w:t xml:space="preserve">  </w:t>
      </w:r>
      <w:r w:rsidRPr="00EC75B7">
        <w:rPr>
          <w:rFonts w:ascii="Verdana" w:hAnsi="Verdana"/>
        </w:rPr>
        <w:t xml:space="preserve"> National Strategy on the </w:t>
      </w:r>
      <w:r w:rsidRPr="00EC75B7">
        <w:rPr>
          <w:rFonts w:ascii="Verdana" w:hAnsi="Verdana"/>
          <w:spacing w:val="-2"/>
        </w:rPr>
        <w:t xml:space="preserve">Circular </w:t>
      </w:r>
      <w:r w:rsidRPr="00EC75B7">
        <w:rPr>
          <w:rFonts w:ascii="Verdana" w:hAnsi="Verdana"/>
        </w:rPr>
        <w:t>Economy</w:t>
      </w:r>
    </w:p>
    <w:p w14:paraId="6A619C19" w14:textId="77777777" w:rsidR="008715BE" w:rsidRPr="00EC75B7" w:rsidRDefault="00000000">
      <w:pPr>
        <w:pStyle w:val="BodyText"/>
        <w:spacing w:before="110"/>
        <w:ind w:left="698"/>
        <w:rPr>
          <w:rFonts w:ascii="Verdana" w:hAnsi="Verdana"/>
        </w:rPr>
      </w:pPr>
      <w:r w:rsidRPr="00EC75B7">
        <w:rPr>
          <w:rFonts w:ascii="Verdana" w:hAnsi="Verdana"/>
        </w:rPr>
        <w:t>25.</w:t>
      </w:r>
      <w:r w:rsidRPr="00EC75B7">
        <w:rPr>
          <w:rFonts w:ascii="Verdana" w:hAnsi="Verdana"/>
          <w:spacing w:val="28"/>
        </w:rPr>
        <w:t xml:space="preserve">  </w:t>
      </w:r>
      <w:r w:rsidRPr="00EC75B7">
        <w:rPr>
          <w:rFonts w:ascii="Verdana" w:hAnsi="Verdana"/>
        </w:rPr>
        <w:t xml:space="preserve"> Constanța County Sustainable Development Strategy for</w:t>
      </w:r>
      <w:r w:rsidRPr="00EC75B7">
        <w:rPr>
          <w:rFonts w:ascii="Verdana" w:hAnsi="Verdana"/>
          <w:spacing w:val="-4"/>
        </w:rPr>
        <w:t xml:space="preserve"> 2021–2027</w:t>
      </w:r>
    </w:p>
    <w:p w14:paraId="3DAE6C1C" w14:textId="77777777" w:rsidR="008715BE" w:rsidRPr="00EC75B7" w:rsidRDefault="00000000">
      <w:pPr>
        <w:pStyle w:val="BodyText"/>
        <w:spacing w:before="106"/>
        <w:ind w:left="698"/>
        <w:rPr>
          <w:rFonts w:ascii="Verdana" w:hAnsi="Verdana"/>
        </w:rPr>
      </w:pPr>
      <w:r w:rsidRPr="00EC75B7">
        <w:rPr>
          <w:rFonts w:ascii="Verdana" w:hAnsi="Verdana"/>
        </w:rPr>
        <w:t>26.</w:t>
      </w:r>
      <w:r w:rsidRPr="00EC75B7">
        <w:rPr>
          <w:rFonts w:ascii="Verdana" w:hAnsi="Verdana"/>
          <w:spacing w:val="27"/>
        </w:rPr>
        <w:t xml:space="preserve">  </w:t>
      </w:r>
      <w:r w:rsidRPr="00EC75B7">
        <w:rPr>
          <w:rFonts w:ascii="Verdana" w:hAnsi="Verdana"/>
        </w:rPr>
        <w:t xml:space="preserve"> Land use plan – </w:t>
      </w:r>
      <w:r w:rsidRPr="00EC75B7">
        <w:rPr>
          <w:rFonts w:ascii="Verdana" w:hAnsi="Verdana"/>
          <w:spacing w:val="-2"/>
        </w:rPr>
        <w:t xml:space="preserve">Constanța </w:t>
      </w:r>
      <w:r w:rsidRPr="00EC75B7">
        <w:rPr>
          <w:rFonts w:ascii="Verdana" w:hAnsi="Verdana"/>
        </w:rPr>
        <w:t>County</w:t>
      </w:r>
    </w:p>
    <w:p w14:paraId="67763FC4" w14:textId="77777777" w:rsidR="008715BE" w:rsidRPr="00EC75B7" w:rsidRDefault="00000000">
      <w:pPr>
        <w:pStyle w:val="BodyText"/>
        <w:spacing w:before="109"/>
        <w:ind w:left="698"/>
        <w:rPr>
          <w:rFonts w:ascii="Verdana" w:hAnsi="Verdana"/>
        </w:rPr>
      </w:pPr>
      <w:r w:rsidRPr="00EC75B7">
        <w:rPr>
          <w:rFonts w:ascii="Verdana" w:hAnsi="Verdana"/>
        </w:rPr>
        <w:t>27.</w:t>
      </w:r>
      <w:r w:rsidRPr="00EC75B7">
        <w:rPr>
          <w:rFonts w:ascii="Verdana" w:hAnsi="Verdana"/>
          <w:spacing w:val="38"/>
        </w:rPr>
        <w:t xml:space="preserve">  </w:t>
      </w:r>
      <w:r w:rsidRPr="00EC75B7">
        <w:rPr>
          <w:rFonts w:ascii="Verdana" w:hAnsi="Verdana"/>
        </w:rPr>
        <w:t xml:space="preserve"> South-West Dobrogea LAG Strategy 2014-2020, amended in</w:t>
      </w:r>
      <w:r w:rsidRPr="00EC75B7">
        <w:rPr>
          <w:rFonts w:ascii="Verdana" w:hAnsi="Verdana"/>
          <w:spacing w:val="-4"/>
        </w:rPr>
        <w:t xml:space="preserve"> 2023</w:t>
      </w:r>
    </w:p>
    <w:p w14:paraId="3E793AFD" w14:textId="77777777" w:rsidR="008715BE" w:rsidRPr="00EC75B7" w:rsidRDefault="008715BE">
      <w:pPr>
        <w:pStyle w:val="BodyText"/>
        <w:spacing w:before="110"/>
        <w:ind w:left="1053"/>
        <w:rPr>
          <w:rFonts w:ascii="Verdana" w:hAnsi="Verdana"/>
        </w:rPr>
      </w:pPr>
      <w:hyperlink r:id="rId341">
        <w:r w:rsidRPr="00EC75B7">
          <w:rPr>
            <w:rFonts w:ascii="Verdana" w:hAnsi="Verdana"/>
            <w:spacing w:val="2"/>
          </w:rPr>
          <w:t>(</w:t>
        </w:r>
        <w:r w:rsidRPr="00EC75B7">
          <w:rPr>
            <w:rFonts w:ascii="Verdana" w:hAnsi="Verdana"/>
            <w:color w:val="009DEF"/>
            <w:spacing w:val="2"/>
            <w:u w:val="single" w:color="009DEF"/>
          </w:rPr>
          <w:t>https://galdobrogeasv.ro/modificari-ale-strategiei-de-dezvoltare-locala/</w:t>
        </w:r>
      </w:hyperlink>
      <w:r w:rsidRPr="00EC75B7">
        <w:rPr>
          <w:rFonts w:ascii="Verdana" w:hAnsi="Verdana"/>
          <w:spacing w:val="-10"/>
        </w:rPr>
        <w:t xml:space="preserve"> )</w:t>
      </w:r>
    </w:p>
    <w:p w14:paraId="4BD8CE42" w14:textId="77777777" w:rsidR="008715BE" w:rsidRPr="00EC75B7" w:rsidRDefault="00000000">
      <w:pPr>
        <w:pStyle w:val="BodyText"/>
        <w:spacing w:before="106" w:line="360" w:lineRule="auto"/>
        <w:ind w:left="1053" w:right="571" w:hanging="356"/>
        <w:rPr>
          <w:rFonts w:ascii="Verdana" w:hAnsi="Verdana"/>
        </w:rPr>
      </w:pPr>
      <w:r w:rsidRPr="00EC75B7">
        <w:rPr>
          <w:rFonts w:ascii="Verdana" w:hAnsi="Verdana"/>
        </w:rPr>
        <w:t>28. Local Environmental Action Plan (</w:t>
      </w:r>
      <w:hyperlink r:id="rId342">
        <w:r w:rsidR="008715BE" w:rsidRPr="00EC75B7">
          <w:rPr>
            <w:rFonts w:ascii="Verdana" w:hAnsi="Verdana"/>
            <w:color w:val="009DEF"/>
            <w:u w:val="single" w:color="009DEF"/>
          </w:rPr>
          <w:t>http://apmct.anpm.ro/-/planul-local-de-actiune-pentru-mediu-constanta</w:t>
        </w:r>
      </w:hyperlink>
      <w:r w:rsidRPr="00EC75B7">
        <w:rPr>
          <w:rFonts w:ascii="Verdana" w:hAnsi="Verdana"/>
        </w:rPr>
        <w:t xml:space="preserve"> )</w:t>
      </w:r>
    </w:p>
    <w:p w14:paraId="576D855A" w14:textId="77777777" w:rsidR="008715BE" w:rsidRPr="00EC75B7" w:rsidRDefault="00000000">
      <w:pPr>
        <w:pStyle w:val="BodyText"/>
        <w:spacing w:line="218" w:lineRule="exact"/>
        <w:ind w:left="698"/>
        <w:rPr>
          <w:rFonts w:ascii="Verdana" w:hAnsi="Verdana"/>
        </w:rPr>
      </w:pPr>
      <w:r w:rsidRPr="00EC75B7">
        <w:rPr>
          <w:rFonts w:ascii="Verdana" w:hAnsi="Verdana"/>
        </w:rPr>
        <w:t>29.</w:t>
      </w:r>
      <w:r w:rsidRPr="00EC75B7">
        <w:rPr>
          <w:rFonts w:ascii="Verdana" w:hAnsi="Verdana"/>
          <w:spacing w:val="53"/>
        </w:rPr>
        <w:t xml:space="preserve">  </w:t>
      </w:r>
      <w:r w:rsidRPr="00EC75B7">
        <w:rPr>
          <w:rFonts w:ascii="Verdana" w:hAnsi="Verdana"/>
        </w:rPr>
        <w:t xml:space="preserve"> Danube Littoral River Basin Management Plan</w:t>
      </w:r>
      <w:r w:rsidRPr="00EC75B7">
        <w:rPr>
          <w:rFonts w:ascii="Verdana" w:hAnsi="Verdana"/>
          <w:spacing w:val="-4"/>
        </w:rPr>
        <w:t xml:space="preserve"> 2022-2027</w:t>
      </w:r>
    </w:p>
    <w:p w14:paraId="1FA1C38F" w14:textId="77777777" w:rsidR="008715BE" w:rsidRPr="00EC75B7" w:rsidRDefault="00000000">
      <w:pPr>
        <w:pStyle w:val="BodyText"/>
        <w:spacing w:before="109"/>
        <w:ind w:left="698"/>
        <w:rPr>
          <w:rFonts w:ascii="Verdana" w:hAnsi="Verdana"/>
        </w:rPr>
      </w:pPr>
      <w:r w:rsidRPr="00EC75B7">
        <w:rPr>
          <w:rFonts w:ascii="Verdana" w:hAnsi="Verdana"/>
        </w:rPr>
        <w:t>30.</w:t>
      </w:r>
      <w:r w:rsidRPr="00EC75B7">
        <w:rPr>
          <w:rFonts w:ascii="Verdana" w:hAnsi="Verdana"/>
          <w:spacing w:val="41"/>
        </w:rPr>
        <w:t xml:space="preserve">  </w:t>
      </w:r>
      <w:r w:rsidRPr="00EC75B7">
        <w:rPr>
          <w:rFonts w:ascii="Verdana" w:hAnsi="Verdana"/>
        </w:rPr>
        <w:t xml:space="preserve"> CESTRIN</w:t>
      </w:r>
      <w:r w:rsidRPr="00EC75B7">
        <w:rPr>
          <w:rFonts w:ascii="Verdana" w:hAnsi="Verdana"/>
          <w:spacing w:val="-4"/>
        </w:rPr>
        <w:t xml:space="preserve"> 2022 </w:t>
      </w:r>
      <w:r w:rsidRPr="00EC75B7">
        <w:rPr>
          <w:rFonts w:ascii="Verdana" w:hAnsi="Verdana"/>
        </w:rPr>
        <w:t>Traffic Census</w:t>
      </w:r>
    </w:p>
    <w:p w14:paraId="1BD81413" w14:textId="77777777" w:rsidR="008715BE" w:rsidRPr="00EC75B7" w:rsidRDefault="00000000">
      <w:pPr>
        <w:pStyle w:val="BodyText"/>
        <w:spacing w:before="107"/>
        <w:ind w:left="698"/>
        <w:rPr>
          <w:rFonts w:ascii="Verdana" w:hAnsi="Verdana"/>
        </w:rPr>
      </w:pPr>
      <w:r w:rsidRPr="00EC75B7">
        <w:rPr>
          <w:rFonts w:ascii="Verdana" w:hAnsi="Verdana"/>
        </w:rPr>
        <w:t>31. County report on the state of the environment in Constanța County,</w:t>
      </w:r>
      <w:r w:rsidRPr="00EC75B7">
        <w:rPr>
          <w:rFonts w:ascii="Verdana" w:hAnsi="Verdana"/>
          <w:spacing w:val="-4"/>
        </w:rPr>
        <w:t xml:space="preserve"> 2022</w:t>
      </w:r>
    </w:p>
    <w:p w14:paraId="4B86EF8C" w14:textId="77777777" w:rsidR="008715BE" w:rsidRPr="00EC75B7" w:rsidRDefault="00000000">
      <w:pPr>
        <w:pStyle w:val="BodyText"/>
        <w:spacing w:before="109"/>
        <w:ind w:left="698"/>
        <w:rPr>
          <w:rFonts w:ascii="Verdana" w:hAnsi="Verdana"/>
        </w:rPr>
      </w:pPr>
      <w:r w:rsidRPr="00EC75B7">
        <w:rPr>
          <w:rFonts w:ascii="Verdana" w:hAnsi="Verdana"/>
        </w:rPr>
        <w:t xml:space="preserve">32. County Waste Management Plan for </w:t>
      </w:r>
      <w:r w:rsidRPr="00EC75B7">
        <w:rPr>
          <w:rFonts w:ascii="Verdana" w:hAnsi="Verdana"/>
          <w:spacing w:val="-2"/>
        </w:rPr>
        <w:t xml:space="preserve">Constanța </w:t>
      </w:r>
      <w:r w:rsidRPr="00EC75B7">
        <w:rPr>
          <w:rFonts w:ascii="Verdana" w:hAnsi="Verdana"/>
        </w:rPr>
        <w:t>County</w:t>
      </w:r>
    </w:p>
    <w:p w14:paraId="12A0B51D" w14:textId="77777777" w:rsidR="008715BE" w:rsidRPr="00EC75B7" w:rsidRDefault="00000000">
      <w:pPr>
        <w:pStyle w:val="BodyText"/>
        <w:spacing w:before="109" w:line="360" w:lineRule="auto"/>
        <w:ind w:left="1053" w:right="1150" w:hanging="356"/>
        <w:rPr>
          <w:rFonts w:ascii="Verdana" w:hAnsi="Verdana"/>
        </w:rPr>
      </w:pPr>
      <w:r w:rsidRPr="00EC75B7">
        <w:rPr>
          <w:rFonts w:ascii="Verdana" w:hAnsi="Verdana"/>
        </w:rPr>
        <w:t>33.</w:t>
      </w:r>
      <w:r w:rsidRPr="00EC75B7">
        <w:rPr>
          <w:rFonts w:ascii="Verdana" w:hAnsi="Verdana"/>
          <w:spacing w:val="40"/>
        </w:rPr>
        <w:t xml:space="preserve">  </w:t>
      </w:r>
      <w:r w:rsidRPr="00EC75B7">
        <w:rPr>
          <w:rFonts w:ascii="Verdana" w:hAnsi="Verdana"/>
        </w:rPr>
        <w:t xml:space="preserve"> Final report on biodiversity monitoring within the future </w:t>
      </w:r>
      <w:r w:rsidRPr="00EC75B7">
        <w:rPr>
          <w:rFonts w:ascii="Verdana" w:hAnsi="Verdana"/>
          <w:spacing w:val="-2"/>
        </w:rPr>
        <w:t xml:space="preserve">Dumbrăveni-Cerchezu </w:t>
      </w:r>
      <w:r w:rsidRPr="00EC75B7">
        <w:rPr>
          <w:rFonts w:ascii="Verdana" w:hAnsi="Verdana"/>
        </w:rPr>
        <w:t>wind farm</w:t>
      </w:r>
    </w:p>
    <w:p w14:paraId="3A50D88D" w14:textId="77777777" w:rsidR="008715BE" w:rsidRPr="00EC75B7" w:rsidRDefault="00000000">
      <w:pPr>
        <w:pStyle w:val="BodyText"/>
        <w:spacing w:line="216" w:lineRule="exact"/>
        <w:ind w:left="698"/>
        <w:rPr>
          <w:rFonts w:ascii="Verdana" w:hAnsi="Verdana"/>
        </w:rPr>
      </w:pPr>
      <w:r w:rsidRPr="00EC75B7">
        <w:rPr>
          <w:rFonts w:ascii="Verdana" w:hAnsi="Verdana"/>
        </w:rPr>
        <w:t>34.</w:t>
      </w:r>
      <w:r w:rsidRPr="00EC75B7">
        <w:rPr>
          <w:rFonts w:ascii="Verdana" w:hAnsi="Verdana"/>
          <w:spacing w:val="34"/>
        </w:rPr>
        <w:t xml:space="preserve">  </w:t>
      </w:r>
      <w:r w:rsidRPr="00EC75B7">
        <w:rPr>
          <w:rFonts w:ascii="Verdana" w:hAnsi="Verdana"/>
        </w:rPr>
        <w:t xml:space="preserve"> National Institute of Statistics, </w:t>
      </w:r>
      <w:r w:rsidRPr="00EC75B7">
        <w:rPr>
          <w:rFonts w:ascii="Verdana" w:hAnsi="Verdana"/>
          <w:spacing w:val="-2"/>
        </w:rPr>
        <w:t xml:space="preserve">population </w:t>
      </w:r>
      <w:r w:rsidRPr="00EC75B7">
        <w:rPr>
          <w:rFonts w:ascii="Verdana" w:hAnsi="Verdana"/>
        </w:rPr>
        <w:t>statistics</w:t>
      </w:r>
    </w:p>
    <w:p w14:paraId="4A9069D8" w14:textId="77777777" w:rsidR="008715BE" w:rsidRPr="00EC75B7" w:rsidRDefault="00000000">
      <w:pPr>
        <w:pStyle w:val="BodyText"/>
        <w:spacing w:before="109"/>
        <w:ind w:left="698"/>
        <w:rPr>
          <w:rFonts w:ascii="Verdana" w:hAnsi="Verdana"/>
        </w:rPr>
      </w:pPr>
      <w:r w:rsidRPr="00EC75B7">
        <w:rPr>
          <w:rFonts w:ascii="Verdana" w:hAnsi="Verdana"/>
        </w:rPr>
        <w:t>35.</w:t>
      </w:r>
      <w:r w:rsidRPr="00EC75B7">
        <w:rPr>
          <w:rFonts w:ascii="Verdana" w:hAnsi="Verdana"/>
          <w:spacing w:val="51"/>
        </w:rPr>
        <w:t xml:space="preserve">  </w:t>
      </w:r>
      <w:r w:rsidRPr="00EC75B7">
        <w:rPr>
          <w:rFonts w:ascii="Verdana" w:hAnsi="Verdana"/>
        </w:rPr>
        <w:t xml:space="preserve"> State of Health in the EU: Romania 2021 country profile on </w:t>
      </w:r>
      <w:r w:rsidRPr="00EC75B7">
        <w:rPr>
          <w:rFonts w:ascii="Verdana" w:hAnsi="Verdana"/>
          <w:spacing w:val="-2"/>
        </w:rPr>
        <w:t>health</w:t>
      </w:r>
    </w:p>
    <w:p w14:paraId="21396E65" w14:textId="77777777" w:rsidR="008715BE" w:rsidRPr="00EC75B7" w:rsidRDefault="00000000">
      <w:pPr>
        <w:pStyle w:val="BodyText"/>
        <w:spacing w:before="109" w:line="357" w:lineRule="auto"/>
        <w:ind w:left="1053" w:right="703" w:hanging="356"/>
        <w:rPr>
          <w:rFonts w:ascii="Verdana" w:hAnsi="Verdana"/>
        </w:rPr>
      </w:pPr>
      <w:r w:rsidRPr="00EC75B7">
        <w:rPr>
          <w:rFonts w:ascii="Verdana" w:hAnsi="Verdana"/>
        </w:rPr>
        <w:t>36.</w:t>
      </w:r>
      <w:r w:rsidRPr="00EC75B7">
        <w:rPr>
          <w:rFonts w:ascii="Verdana" w:hAnsi="Verdana"/>
          <w:spacing w:val="40"/>
        </w:rPr>
        <w:t xml:space="preserve">  </w:t>
      </w:r>
      <w:r w:rsidRPr="00EC75B7">
        <w:rPr>
          <w:rFonts w:ascii="Verdana" w:hAnsi="Verdana"/>
        </w:rPr>
        <w:t xml:space="preserve"> Landscape fragmentation Effective Mesh Density time-series: major and medium anthropogenic fragmenting elements (FGA2-S) — European Environment Agency (europa.eu)</w:t>
      </w:r>
    </w:p>
    <w:p w14:paraId="334CD3E3" w14:textId="77777777" w:rsidR="008715BE" w:rsidRPr="00EC75B7" w:rsidRDefault="00000000">
      <w:pPr>
        <w:pStyle w:val="BodyText"/>
        <w:spacing w:before="1"/>
        <w:ind w:left="698"/>
        <w:rPr>
          <w:rFonts w:ascii="Verdana" w:hAnsi="Verdana"/>
        </w:rPr>
      </w:pPr>
      <w:r w:rsidRPr="00EC75B7">
        <w:rPr>
          <w:rFonts w:ascii="Verdana" w:hAnsi="Verdana"/>
        </w:rPr>
        <w:t xml:space="preserve">37. East, A., E.,Sankey, J. B. (2020), How is modern climate change affecting landscape </w:t>
      </w:r>
      <w:r w:rsidRPr="00EC75B7">
        <w:rPr>
          <w:rFonts w:ascii="Verdana" w:hAnsi="Verdana"/>
          <w:spacing w:val="-2"/>
        </w:rPr>
        <w:t>processes?</w:t>
      </w:r>
    </w:p>
    <w:p w14:paraId="4A9998CB" w14:textId="77777777" w:rsidR="008715BE" w:rsidRPr="00EC75B7" w:rsidRDefault="008715BE">
      <w:pPr>
        <w:pStyle w:val="BodyText"/>
        <w:rPr>
          <w:rFonts w:ascii="Verdana" w:hAnsi="Verdana"/>
        </w:rPr>
      </w:pPr>
    </w:p>
    <w:p w14:paraId="01878921" w14:textId="77777777" w:rsidR="008715BE" w:rsidRPr="00EC75B7" w:rsidRDefault="008715BE">
      <w:pPr>
        <w:pStyle w:val="BodyText"/>
        <w:rPr>
          <w:rFonts w:ascii="Verdana" w:hAnsi="Verdana"/>
        </w:rPr>
      </w:pPr>
    </w:p>
    <w:p w14:paraId="47A4613F" w14:textId="77777777" w:rsidR="008715BE" w:rsidRPr="00EC75B7" w:rsidRDefault="008715BE">
      <w:pPr>
        <w:pStyle w:val="BodyText"/>
        <w:spacing w:before="172"/>
        <w:rPr>
          <w:rFonts w:ascii="Verdana" w:hAnsi="Verdana"/>
        </w:rPr>
      </w:pPr>
    </w:p>
    <w:p w14:paraId="083398D0" w14:textId="77777777" w:rsidR="008715BE" w:rsidRPr="00EC75B7" w:rsidRDefault="00000000">
      <w:pPr>
        <w:pStyle w:val="Heading1"/>
        <w:numPr>
          <w:ilvl w:val="0"/>
          <w:numId w:val="110"/>
        </w:numPr>
        <w:tabs>
          <w:tab w:val="left" w:pos="1060"/>
        </w:tabs>
        <w:ind w:left="1060" w:hanging="1027"/>
        <w:jc w:val="left"/>
        <w:rPr>
          <w:rFonts w:ascii="Verdana" w:hAnsi="Verdana"/>
          <w:sz w:val="18"/>
          <w:szCs w:val="18"/>
        </w:rPr>
      </w:pPr>
      <w:bookmarkStart w:id="166" w:name="_bookmark164"/>
      <w:bookmarkEnd w:id="166"/>
      <w:r w:rsidRPr="00EC75B7">
        <w:rPr>
          <w:rFonts w:ascii="Verdana" w:hAnsi="Verdana"/>
          <w:color w:val="00AFEF"/>
          <w:spacing w:val="-4"/>
          <w:sz w:val="18"/>
          <w:szCs w:val="18"/>
        </w:rPr>
        <w:t>Annex</w:t>
      </w:r>
    </w:p>
    <w:p w14:paraId="3E7A2A38" w14:textId="77777777" w:rsidR="008715BE" w:rsidRPr="00EC75B7" w:rsidRDefault="008715BE">
      <w:pPr>
        <w:pStyle w:val="BodyText"/>
        <w:spacing w:before="106"/>
        <w:rPr>
          <w:rFonts w:ascii="Verdana" w:hAnsi="Verdana"/>
          <w:b/>
        </w:rPr>
      </w:pPr>
    </w:p>
    <w:p w14:paraId="6FB28B32" w14:textId="77777777" w:rsidR="008715BE" w:rsidRPr="00EC75B7" w:rsidRDefault="00000000">
      <w:pPr>
        <w:spacing w:line="489" w:lineRule="auto"/>
        <w:ind w:left="369" w:right="6988"/>
        <w:rPr>
          <w:rFonts w:ascii="Verdana" w:hAnsi="Verdana"/>
          <w:b/>
          <w:sz w:val="18"/>
          <w:szCs w:val="18"/>
        </w:rPr>
      </w:pPr>
      <w:r w:rsidRPr="00EC75B7">
        <w:rPr>
          <w:rFonts w:ascii="Verdana" w:hAnsi="Verdana"/>
          <w:b/>
          <w:sz w:val="18"/>
          <w:szCs w:val="18"/>
        </w:rPr>
        <w:t>ANNEX A – DOCUMENTS ANNEX B – PLANS AND MAPS</w:t>
      </w:r>
    </w:p>
    <w:sectPr w:rsidR="008715BE" w:rsidRPr="00EC75B7">
      <w:pgSz w:w="11910" w:h="16840"/>
      <w:pgMar w:top="1320" w:right="425" w:bottom="1020" w:left="850" w:header="766" w:footer="82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4FC109" w14:textId="77777777" w:rsidR="001A5511" w:rsidRDefault="001A5511">
      <w:r>
        <w:separator/>
      </w:r>
    </w:p>
  </w:endnote>
  <w:endnote w:type="continuationSeparator" w:id="0">
    <w:p w14:paraId="577C8D1E" w14:textId="77777777" w:rsidR="001A5511" w:rsidRDefault="001A5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umin Pro Wide Black">
    <w:altName w:val="Calibri"/>
    <w:charset w:val="01"/>
    <w:family w:val="swiss"/>
    <w:pitch w:val="variable"/>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Noto Sans Math">
    <w:charset w:val="00"/>
    <w:family w:val="swiss"/>
    <w:pitch w:val="variable"/>
    <w:sig w:usb0="800000C3" w:usb1="020064EC" w:usb2="02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4E062"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79392" behindDoc="1" locked="0" layoutInCell="1" allowOverlap="1" wp14:anchorId="1D7BED5A" wp14:editId="364D560F">
              <wp:simplePos x="0" y="0"/>
              <wp:positionH relativeFrom="page">
                <wp:posOffset>4953889</wp:posOffset>
              </wp:positionH>
              <wp:positionV relativeFrom="page">
                <wp:posOffset>10029745</wp:posOffset>
              </wp:positionV>
              <wp:extent cx="137795" cy="118110"/>
              <wp:effectExtent l="0" t="0" r="0" b="0"/>
              <wp:wrapNone/>
              <wp:docPr id="11" name="Textbox 11"/>
              <wp:cNvGraphicFramePr/>
              <a:graphic xmlns:a="http://schemas.openxmlformats.org/drawingml/2006/main">
                <a:graphicData uri="http://schemas.microsoft.com/office/word/2010/wordprocessingShape">
                  <wps:wsp>
                    <wps:cNvSpPr txBox="1"/>
                    <wps:spPr>
                      <a:xfrm>
                        <a:off x="0" y="0"/>
                        <a:ext cx="137795" cy="118110"/>
                      </a:xfrm>
                      <a:prstGeom prst="rect">
                        <a:avLst/>
                      </a:prstGeom>
                    </wps:spPr>
                    <wps:txbx>
                      <w:txbxContent>
                        <w:p w14:paraId="56F9BAF1" w14:textId="77777777" w:rsidR="008715BE" w:rsidRDefault="00000000">
                          <w:pPr>
                            <w:spacing w:before="26"/>
                            <w:ind w:left="60"/>
                            <w:rPr>
                              <w:sz w:val="12"/>
                            </w:rPr>
                          </w:pPr>
                          <w:r>
                            <w:rPr>
                              <w:spacing w:val="-10"/>
                              <w:w w:val="125"/>
                              <w:sz w:val="12"/>
                            </w:rPr>
                            <w:fldChar w:fldCharType="begin"/>
                          </w:r>
                          <w:r>
                            <w:rPr>
                              <w:spacing w:val="-10"/>
                              <w:w w:val="125"/>
                              <w:sz w:val="8"/>
                            </w:rPr>
                            <w:instrText xml:space="preserve"> PAGE </w:instrText>
                          </w:r>
                          <w:r>
                            <w:rPr>
                              <w:spacing w:val="-10"/>
                              <w:w w:val="125"/>
                              <w:sz w:val="12"/>
                            </w:rPr>
                            <w:fldChar w:fldCharType="separate"/>
                          </w:r>
                          <w:r>
                            <w:rPr>
                              <w:spacing w:val="-10"/>
                              <w:w w:val="125"/>
                              <w:sz w:val="8"/>
                            </w:rPr>
                            <w:t>6</w:t>
                          </w:r>
                          <w:r>
                            <w:rPr>
                              <w:spacing w:val="-10"/>
                              <w:w w:val="125"/>
                              <w:sz w:val="12"/>
                            </w:rPr>
                            <w:fldChar w:fldCharType="end"/>
                          </w:r>
                        </w:p>
                      </w:txbxContent>
                    </wps:txbx>
                    <wps:bodyPr wrap="square" lIns="0" tIns="0" rIns="0" bIns="0" rtlCol="0"/>
                  </wps:wsp>
                </a:graphicData>
              </a:graphic>
            </wp:anchor>
          </w:drawing>
        </mc:Choice>
        <mc:Fallback>
          <w:pict>
            <v:shapetype w14:anchorId="1D7BED5A" id="_x0000_t202" coordsize="21600,21600" o:spt="202" path="m,l,21600r21600,l21600,xe">
              <v:stroke joinstyle="miter"/>
              <v:path gradientshapeok="t" o:connecttype="rect"/>
            </v:shapetype>
            <v:shape id="Textbox 11" o:spid="_x0000_s1343" type="#_x0000_t202" style="position:absolute;margin-left:390.05pt;margin-top:789.75pt;width:10.85pt;height:9.3pt;z-index:-2517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" filled="f" stroked="f">
              <v:textbox inset="0,0,0,0">
                <w:txbxContent>
                  <w:p w14:paraId="56F9BAF1" w14:textId="77777777" w:rsidR="008715BE" w:rsidRDefault="00000000">
                    <w:pPr>
                      <w:spacing w:before="26"/>
                      <w:ind w:left="60"/>
                      <w:rPr>
                        <w:sz w:val="12"/>
                      </w:rPr>
                    </w:pPr>
                    <w:r>
                      <w:rPr>
                        <w:spacing w:val="-10"/>
                        <w:w w:val="125"/>
                        <w:sz w:val="12"/>
                      </w:rPr>
                      <w:fldChar w:fldCharType="begin"/>
                    </w:r>
                    <w:r>
                      <w:rPr>
                        <w:spacing w:val="-10"/>
                        <w:w w:val="125"/>
                        <w:sz w:val="8"/>
                      </w:rPr>
                      <w:instrText xml:space="preserve"> PAGE </w:instrText>
                    </w:r>
                    <w:r>
                      <w:rPr>
                        <w:spacing w:val="-10"/>
                        <w:w w:val="125"/>
                        <w:sz w:val="12"/>
                      </w:rPr>
                      <w:fldChar w:fldCharType="separate"/>
                    </w:r>
                    <w:r>
                      <w:rPr>
                        <w:spacing w:val="-10"/>
                        <w:w w:val="125"/>
                        <w:sz w:val="8"/>
                      </w:rPr>
                      <w:t>6</w:t>
                    </w:r>
                    <w:r>
                      <w:rPr>
                        <w:spacing w:val="-10"/>
                        <w:w w:val="125"/>
                        <w:sz w:val="12"/>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E6AA5"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03968" behindDoc="1" locked="0" layoutInCell="1" allowOverlap="1" wp14:anchorId="099C6412" wp14:editId="4FB7BE0F">
              <wp:simplePos x="0" y="0"/>
              <wp:positionH relativeFrom="page">
                <wp:posOffset>6774942</wp:posOffset>
              </wp:positionH>
              <wp:positionV relativeFrom="page">
                <wp:posOffset>10029745</wp:posOffset>
              </wp:positionV>
              <wp:extent cx="172085" cy="118110"/>
              <wp:effectExtent l="0" t="0" r="0" b="0"/>
              <wp:wrapNone/>
              <wp:docPr id="232" name="Textbox 23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18B8A93A" w14:textId="77777777" w:rsidR="008715BE" w:rsidRDefault="00000000">
                          <w:pPr>
                            <w:spacing w:before="26"/>
                            <w:ind w:left="20"/>
                            <w:rPr>
                              <w:sz w:val="12"/>
                            </w:rPr>
                          </w:pPr>
                          <w:r>
                            <w:rPr>
                              <w:spacing w:val="-5"/>
                              <w:w w:val="125"/>
                              <w:sz w:val="8"/>
                            </w:rPr>
                            <w:t>120</w:t>
                          </w:r>
                        </w:p>
                      </w:txbxContent>
                    </wps:txbx>
                    <wps:bodyPr wrap="square" lIns="0" tIns="0" rIns="0" bIns="0" rtlCol="0"/>
                  </wps:wsp>
                </a:graphicData>
              </a:graphic>
            </wp:anchor>
          </w:drawing>
        </mc:Choice>
        <mc:Fallback>
          <w:pict>
            <v:shapetype w14:anchorId="099C6412" id="_x0000_t202" coordsize="21600,21600" o:spt="202" path="m,l,21600r21600,l21600,xe">
              <v:stroke joinstyle="miter"/>
              <v:path gradientshapeok="t" o:connecttype="rect"/>
            </v:shapetype>
            <v:shape id="Textbox 232" o:spid="_x0000_s1366" type="#_x0000_t202" style="position:absolute;margin-left:533.45pt;margin-top:789.75pt;width:13.55pt;height:9.3pt;z-index:-2517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" filled="f" stroked="f">
              <v:textbox inset="0,0,0,0">
                <w:txbxContent>
                  <w:p w14:paraId="18B8A93A" w14:textId="77777777" w:rsidR="008715BE" w:rsidRDefault="00000000">
                    <w:pPr>
                      <w:spacing w:before="26"/>
                      <w:ind w:left="20"/>
                      <w:rPr>
                        <w:sz w:val="12"/>
                      </w:rPr>
                    </w:pPr>
                    <w:r>
                      <w:rPr>
                        <w:spacing w:val="-5"/>
                        <w:w w:val="125"/>
                        <w:sz w:val="8"/>
                      </w:rPr>
                      <w:t>120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64A65"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07040" behindDoc="1" locked="0" layoutInCell="1" allowOverlap="1" wp14:anchorId="4F5837A8" wp14:editId="065BFAFB">
              <wp:simplePos x="0" y="0"/>
              <wp:positionH relativeFrom="page">
                <wp:posOffset>14039087</wp:posOffset>
              </wp:positionH>
              <wp:positionV relativeFrom="page">
                <wp:posOffset>10029745</wp:posOffset>
              </wp:positionV>
              <wp:extent cx="235585" cy="118110"/>
              <wp:effectExtent l="0" t="0" r="0" b="0"/>
              <wp:wrapNone/>
              <wp:docPr id="236" name="Textbox 23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09607A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122</w:t>
                          </w:r>
                          <w:r>
                            <w:rPr>
                              <w:spacing w:val="-5"/>
                              <w:w w:val="125"/>
                              <w:sz w:val="12"/>
                            </w:rPr>
                            <w:fldChar w:fldCharType="end"/>
                          </w:r>
                        </w:p>
                      </w:txbxContent>
                    </wps:txbx>
                    <wps:bodyPr wrap="square" lIns="0" tIns="0" rIns="0" bIns="0" rtlCol="0"/>
                  </wps:wsp>
                </a:graphicData>
              </a:graphic>
            </wp:anchor>
          </w:drawing>
        </mc:Choice>
        <mc:Fallback>
          <w:pict>
            <v:shapetype w14:anchorId="4F5837A8" id="_x0000_t202" coordsize="21600,21600" o:spt="202" path="m,l,21600r21600,l21600,xe">
              <v:stroke joinstyle="miter"/>
              <v:path gradientshapeok="t" o:connecttype="rect"/>
            </v:shapetype>
            <v:shape id="Textbox 236" o:spid="_x0000_s1368" type="#_x0000_t202" style="position:absolute;margin-left:1105.45pt;margin-top:789.75pt;width:18.55pt;height:9.3pt;z-index:-25170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MGSMeaAAQAA7wIAAA4AAAAAAAAAAAAAAAAALgIA&#10;AGRycy9lMm9Eb2MueG1sUEsBAi0AFAAGAAgAAAAhAF0E6SHjAAAADwEAAA8AAAAAAAAAAAAAAAAA&#10;2gMAAGRycy9kb3ducmV2LnhtbFBLBQYAAAAABAAEAPMAAADqBAAAAAA=&#10;" filled="f" stroked="f">
              <v:textbox inset="0,0,0,0">
                <w:txbxContent>
                  <w:p w14:paraId="709607A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122</w:t>
                    </w:r>
                    <w:r>
                      <w:rPr>
                        <w:spacing w:val="-5"/>
                        <w:w w:val="125"/>
                        <w:sz w:val="12"/>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89797"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09088" behindDoc="1" locked="0" layoutInCell="1" allowOverlap="1" wp14:anchorId="31BB6910" wp14:editId="7DBA58CF">
              <wp:simplePos x="0" y="0"/>
              <wp:positionH relativeFrom="page">
                <wp:posOffset>6748018</wp:posOffset>
              </wp:positionH>
              <wp:positionV relativeFrom="page">
                <wp:posOffset>10029745</wp:posOffset>
              </wp:positionV>
              <wp:extent cx="235585" cy="118110"/>
              <wp:effectExtent l="0" t="0" r="0" b="0"/>
              <wp:wrapNone/>
              <wp:docPr id="239" name="Textbox 23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0773E4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131</w:t>
                          </w:r>
                          <w:r>
                            <w:rPr>
                              <w:spacing w:val="-5"/>
                              <w:w w:val="125"/>
                              <w:sz w:val="12"/>
                            </w:rPr>
                            <w:fldChar w:fldCharType="end"/>
                          </w:r>
                        </w:p>
                      </w:txbxContent>
                    </wps:txbx>
                    <wps:bodyPr wrap="square" lIns="0" tIns="0" rIns="0" bIns="0" rtlCol="0"/>
                  </wps:wsp>
                </a:graphicData>
              </a:graphic>
            </wp:anchor>
          </w:drawing>
        </mc:Choice>
        <mc:Fallback>
          <w:pict>
            <v:shapetype w14:anchorId="31BB6910" id="_x0000_t202" coordsize="21600,21600" o:spt="202" path="m,l,21600r21600,l21600,xe">
              <v:stroke joinstyle="miter"/>
              <v:path gradientshapeok="t" o:connecttype="rect"/>
            </v:shapetype>
            <v:shape id="Textbox 239" o:spid="_x0000_s1370" type="#_x0000_t202" style="position:absolute;margin-left:531.35pt;margin-top:789.75pt;width:18.55pt;height:9.3pt;z-index:-25170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WFHc0oABAADvAgAADgAAAAAAAAAAAAAAAAAuAgAA&#10;ZHJzL2Uyb0RvYy54bWxQSwECLQAUAAYACAAAACEAXN3dPuIAAAAPAQAADwAAAAAAAAAAAAAAAADa&#10;AwAAZHJzL2Rvd25yZXYueG1sUEsFBgAAAAAEAAQA8wAAAOkEAAAAAA==&#10;" filled="f" stroked="f">
              <v:textbox inset="0,0,0,0">
                <w:txbxContent>
                  <w:p w14:paraId="40773E4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131</w:t>
                    </w:r>
                    <w:r>
                      <w:rPr>
                        <w:spacing w:val="-5"/>
                        <w:w w:val="125"/>
                        <w:sz w:val="12"/>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5D9BE"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12160" behindDoc="1" locked="0" layoutInCell="1" allowOverlap="1" wp14:anchorId="3483C628" wp14:editId="3E55AE3E">
              <wp:simplePos x="0" y="0"/>
              <wp:positionH relativeFrom="page">
                <wp:posOffset>14039087</wp:posOffset>
              </wp:positionH>
              <wp:positionV relativeFrom="page">
                <wp:posOffset>10029745</wp:posOffset>
              </wp:positionV>
              <wp:extent cx="235585" cy="118110"/>
              <wp:effectExtent l="0" t="0" r="0" b="0"/>
              <wp:wrapNone/>
              <wp:docPr id="272" name="Textbox 27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264349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133</w:t>
                          </w:r>
                          <w:r>
                            <w:rPr>
                              <w:spacing w:val="-5"/>
                              <w:w w:val="125"/>
                              <w:sz w:val="12"/>
                            </w:rPr>
                            <w:fldChar w:fldCharType="end"/>
                          </w:r>
                        </w:p>
                      </w:txbxContent>
                    </wps:txbx>
                    <wps:bodyPr wrap="square" lIns="0" tIns="0" rIns="0" bIns="0" rtlCol="0"/>
                  </wps:wsp>
                </a:graphicData>
              </a:graphic>
            </wp:anchor>
          </w:drawing>
        </mc:Choice>
        <mc:Fallback>
          <w:pict>
            <v:shapetype w14:anchorId="3483C628" id="_x0000_t202" coordsize="21600,21600" o:spt="202" path="m,l,21600r21600,l21600,xe">
              <v:stroke joinstyle="miter"/>
              <v:path gradientshapeok="t" o:connecttype="rect"/>
            </v:shapetype>
            <v:shape id="Textbox 272" o:spid="_x0000_s1372" type="#_x0000_t202" style="position:absolute;margin-left:1105.45pt;margin-top:789.75pt;width:18.55pt;height:9.3pt;z-index:-25170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LIrfg6AAQAA7wIAAA4AAAAAAAAAAAAAAAAALgIA&#10;AGRycy9lMm9Eb2MueG1sUEsBAi0AFAAGAAgAAAAhAF0E6SHjAAAADwEAAA8AAAAAAAAAAAAAAAAA&#10;2gMAAGRycy9kb3ducmV2LnhtbFBLBQYAAAAABAAEAPMAAADqBAAAAAA=&#10;" filled="f" stroked="f">
              <v:textbox inset="0,0,0,0">
                <w:txbxContent>
                  <w:p w14:paraId="1264349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133</w:t>
                    </w:r>
                    <w:r>
                      <w:rPr>
                        <w:spacing w:val="-5"/>
                        <w:w w:val="125"/>
                        <w:sz w:val="12"/>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B4295"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14208" behindDoc="1" locked="0" layoutInCell="1" allowOverlap="1" wp14:anchorId="61AAA0F8" wp14:editId="69EE35FD">
              <wp:simplePos x="0" y="0"/>
              <wp:positionH relativeFrom="page">
                <wp:posOffset>6748018</wp:posOffset>
              </wp:positionH>
              <wp:positionV relativeFrom="page">
                <wp:posOffset>10029745</wp:posOffset>
              </wp:positionV>
              <wp:extent cx="235585" cy="118110"/>
              <wp:effectExtent l="0" t="0" r="0" b="0"/>
              <wp:wrapNone/>
              <wp:docPr id="275" name="Textbox 27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83BF4D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139</w:t>
                          </w:r>
                          <w:r>
                            <w:rPr>
                              <w:spacing w:val="-5"/>
                              <w:w w:val="125"/>
                              <w:sz w:val="12"/>
                            </w:rPr>
                            <w:fldChar w:fldCharType="end"/>
                          </w:r>
                        </w:p>
                      </w:txbxContent>
                    </wps:txbx>
                    <wps:bodyPr wrap="square" lIns="0" tIns="0" rIns="0" bIns="0" rtlCol="0"/>
                  </wps:wsp>
                </a:graphicData>
              </a:graphic>
            </wp:anchor>
          </w:drawing>
        </mc:Choice>
        <mc:Fallback>
          <w:pict>
            <v:shapetype w14:anchorId="61AAA0F8" id="_x0000_t202" coordsize="21600,21600" o:spt="202" path="m,l,21600r21600,l21600,xe">
              <v:stroke joinstyle="miter"/>
              <v:path gradientshapeok="t" o:connecttype="rect"/>
            </v:shapetype>
            <v:shape id="Textbox 275" o:spid="_x0000_s1374" type="#_x0000_t202" style="position:absolute;margin-left:531.35pt;margin-top:789.75pt;width:18.55pt;height:9.3pt;z-index:-25170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rGi3y4ABAADvAgAADgAAAAAAAAAAAAAAAAAuAgAA&#10;ZHJzL2Uyb0RvYy54bWxQSwECLQAUAAYACAAAACEAXN3dPuIAAAAPAQAADwAAAAAAAAAAAAAAAADa&#10;AwAAZHJzL2Rvd25yZXYueG1sUEsFBgAAAAAEAAQA8wAAAOkEAAAAAA==&#10;" filled="f" stroked="f">
              <v:textbox inset="0,0,0,0">
                <w:txbxContent>
                  <w:p w14:paraId="683BF4D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139</w:t>
                    </w:r>
                    <w:r>
                      <w:rPr>
                        <w:spacing w:val="-5"/>
                        <w:w w:val="125"/>
                        <w:sz w:val="12"/>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E1D55" w14:textId="77777777" w:rsidR="008715BE" w:rsidRDefault="00000000">
    <w:pPr>
      <w:pStyle w:val="BodyText"/>
      <w:spacing w:line="14" w:lineRule="auto"/>
      <w:rPr>
        <w:sz w:val="19"/>
      </w:rPr>
    </w:pPr>
    <w:r>
      <w:rPr>
        <w:noProof/>
        <w:sz w:val="19"/>
      </w:rPr>
      <mc:AlternateContent>
        <mc:Choice Requires="wps">
          <w:drawing>
            <wp:anchor distT="0" distB="0" distL="0" distR="0" simplePos="0" relativeHeight="251616256" behindDoc="1" locked="0" layoutInCell="1" allowOverlap="1" wp14:anchorId="717A8D7F" wp14:editId="05934038">
              <wp:simplePos x="0" y="0"/>
              <wp:positionH relativeFrom="page">
                <wp:posOffset>14039087</wp:posOffset>
              </wp:positionH>
              <wp:positionV relativeFrom="page">
                <wp:posOffset>10029745</wp:posOffset>
              </wp:positionV>
              <wp:extent cx="235585" cy="118110"/>
              <wp:effectExtent l="0" t="0" r="0" b="0"/>
              <wp:wrapNone/>
              <wp:docPr id="278" name="Textbox 27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C972055"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169</w:t>
                          </w:r>
                          <w:r>
                            <w:rPr>
                              <w:spacing w:val="-5"/>
                              <w:w w:val="125"/>
                              <w:sz w:val="12"/>
                            </w:rPr>
                            <w:fldChar w:fldCharType="end"/>
                          </w:r>
                        </w:p>
                      </w:txbxContent>
                    </wps:txbx>
                    <wps:bodyPr wrap="square" lIns="0" tIns="0" rIns="0" bIns="0" rtlCol="0"/>
                  </wps:wsp>
                </a:graphicData>
              </a:graphic>
            </wp:anchor>
          </w:drawing>
        </mc:Choice>
        <mc:Fallback>
          <w:pict>
            <v:shapetype w14:anchorId="717A8D7F" id="_x0000_t202" coordsize="21600,21600" o:spt="202" path="m,l,21600r21600,l21600,xe">
              <v:stroke joinstyle="miter"/>
              <v:path gradientshapeok="t" o:connecttype="rect"/>
            </v:shapetype>
            <v:shape id="Textbox 278" o:spid="_x0000_s1376" type="#_x0000_t202" style="position:absolute;margin-left:1105.45pt;margin-top:789.75pt;width:18.55pt;height:9.3pt;z-index:-2517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" filled="f" stroked="f">
              <v:textbox inset="0,0,0,0">
                <w:txbxContent>
                  <w:p w14:paraId="1C972055"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169</w:t>
                    </w:r>
                    <w:r>
                      <w:rPr>
                        <w:spacing w:val="-5"/>
                        <w:w w:val="125"/>
                        <w:sz w:val="12"/>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08925"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19328" behindDoc="1" locked="0" layoutInCell="1" allowOverlap="1" wp14:anchorId="495C3EBB" wp14:editId="72DF77D4">
              <wp:simplePos x="0" y="0"/>
              <wp:positionH relativeFrom="page">
                <wp:posOffset>6748018</wp:posOffset>
              </wp:positionH>
              <wp:positionV relativeFrom="page">
                <wp:posOffset>10029745</wp:posOffset>
              </wp:positionV>
              <wp:extent cx="235585" cy="118110"/>
              <wp:effectExtent l="0" t="0" r="0" b="0"/>
              <wp:wrapNone/>
              <wp:docPr id="281" name="Textbox 28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0BDE5AC"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175</w:t>
                          </w:r>
                          <w:r>
                            <w:rPr>
                              <w:spacing w:val="-5"/>
                              <w:w w:val="125"/>
                              <w:sz w:val="12"/>
                            </w:rPr>
                            <w:fldChar w:fldCharType="end"/>
                          </w:r>
                        </w:p>
                      </w:txbxContent>
                    </wps:txbx>
                    <wps:bodyPr wrap="square" lIns="0" tIns="0" rIns="0" bIns="0" rtlCol="0"/>
                  </wps:wsp>
                </a:graphicData>
              </a:graphic>
            </wp:anchor>
          </w:drawing>
        </mc:Choice>
        <mc:Fallback>
          <w:pict>
            <v:shapetype w14:anchorId="495C3EBB" id="_x0000_t202" coordsize="21600,21600" o:spt="202" path="m,l,21600r21600,l21600,xe">
              <v:stroke joinstyle="miter"/>
              <v:path gradientshapeok="t" o:connecttype="rect"/>
            </v:shapetype>
            <v:shape id="Textbox 281" o:spid="_x0000_s1378" type="#_x0000_t202" style="position:absolute;margin-left:531.35pt;margin-top:789.75pt;width:18.55pt;height:9.3pt;z-index:-2516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NHoVJuBAQAA7wIAAA4AAAAAAAAAAAAAAAAALgIA&#10;AGRycy9lMm9Eb2MueG1sUEsBAi0AFAAGAAgAAAAhAFzd3T7iAAAADwEAAA8AAAAAAAAAAAAAAAAA&#10;2wMAAGRycy9kb3ducmV2LnhtbFBLBQYAAAAABAAEAPMAAADqBAAAAAA=&#10;" filled="f" stroked="f">
              <v:textbox inset="0,0,0,0">
                <w:txbxContent>
                  <w:p w14:paraId="10BDE5AC"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175</w:t>
                    </w:r>
                    <w:r>
                      <w:rPr>
                        <w:spacing w:val="-5"/>
                        <w:w w:val="125"/>
                        <w:sz w:val="12"/>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560F6"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21376" behindDoc="1" locked="0" layoutInCell="1" allowOverlap="1" wp14:anchorId="66825A42" wp14:editId="31CD919C">
              <wp:simplePos x="0" y="0"/>
              <wp:positionH relativeFrom="page">
                <wp:posOffset>14039087</wp:posOffset>
              </wp:positionH>
              <wp:positionV relativeFrom="page">
                <wp:posOffset>10029745</wp:posOffset>
              </wp:positionV>
              <wp:extent cx="235585" cy="118110"/>
              <wp:effectExtent l="0" t="0" r="0" b="0"/>
              <wp:wrapNone/>
              <wp:docPr id="284" name="Textbox 28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E3380C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179</w:t>
                          </w:r>
                          <w:r>
                            <w:rPr>
                              <w:spacing w:val="-5"/>
                              <w:w w:val="125"/>
                              <w:sz w:val="12"/>
                            </w:rPr>
                            <w:fldChar w:fldCharType="end"/>
                          </w:r>
                        </w:p>
                      </w:txbxContent>
                    </wps:txbx>
                    <wps:bodyPr wrap="square" lIns="0" tIns="0" rIns="0" bIns="0" rtlCol="0"/>
                  </wps:wsp>
                </a:graphicData>
              </a:graphic>
            </wp:anchor>
          </w:drawing>
        </mc:Choice>
        <mc:Fallback>
          <w:pict>
            <v:shapetype w14:anchorId="66825A42" id="_x0000_t202" coordsize="21600,21600" o:spt="202" path="m,l,21600r21600,l21600,xe">
              <v:stroke joinstyle="miter"/>
              <v:path gradientshapeok="t" o:connecttype="rect"/>
            </v:shapetype>
            <v:shape id="Textbox 284" o:spid="_x0000_s1380" type="#_x0000_t202" style="position:absolute;margin-left:1105.45pt;margin-top:789.75pt;width:18.55pt;height:9.3pt;z-index:-2516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Egrua+AAQAA7wIAAA4AAAAAAAAAAAAAAAAALgIA&#10;AGRycy9lMm9Eb2MueG1sUEsBAi0AFAAGAAgAAAAhAF0E6SHjAAAADwEAAA8AAAAAAAAAAAAAAAAA&#10;2gMAAGRycy9kb3ducmV2LnhtbFBLBQYAAAAABAAEAPMAAADqBAAAAAA=&#10;" filled="f" stroked="f">
              <v:textbox inset="0,0,0,0">
                <w:txbxContent>
                  <w:p w14:paraId="0E3380C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179</w:t>
                    </w:r>
                    <w:r>
                      <w:rPr>
                        <w:spacing w:val="-5"/>
                        <w:w w:val="125"/>
                        <w:sz w:val="12"/>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2280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23424" behindDoc="1" locked="0" layoutInCell="1" allowOverlap="1" wp14:anchorId="73DFD44B" wp14:editId="6CE04950">
              <wp:simplePos x="0" y="0"/>
              <wp:positionH relativeFrom="page">
                <wp:posOffset>6748018</wp:posOffset>
              </wp:positionH>
              <wp:positionV relativeFrom="page">
                <wp:posOffset>10029745</wp:posOffset>
              </wp:positionV>
              <wp:extent cx="235585" cy="118110"/>
              <wp:effectExtent l="0" t="0" r="0" b="0"/>
              <wp:wrapNone/>
              <wp:docPr id="287" name="Textbox 287"/>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4C9C0B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184</w:t>
                          </w:r>
                          <w:r>
                            <w:rPr>
                              <w:spacing w:val="-5"/>
                              <w:w w:val="125"/>
                              <w:sz w:val="12"/>
                            </w:rPr>
                            <w:fldChar w:fldCharType="end"/>
                          </w:r>
                        </w:p>
                      </w:txbxContent>
                    </wps:txbx>
                    <wps:bodyPr wrap="square" lIns="0" tIns="0" rIns="0" bIns="0" rtlCol="0"/>
                  </wps:wsp>
                </a:graphicData>
              </a:graphic>
            </wp:anchor>
          </w:drawing>
        </mc:Choice>
        <mc:Fallback>
          <w:pict>
            <v:shapetype w14:anchorId="73DFD44B" id="_x0000_t202" coordsize="21600,21600" o:spt="202" path="m,l,21600r21600,l21600,xe">
              <v:stroke joinstyle="miter"/>
              <v:path gradientshapeok="t" o:connecttype="rect"/>
            </v:shapetype>
            <v:shape id="Textbox 287" o:spid="_x0000_s1382" type="#_x0000_t202" style="position:absolute;margin-left:531.35pt;margin-top:789.75pt;width:18.55pt;height:9.3pt;z-index:-25169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g0s1p4ABAADvAgAADgAAAAAAAAAAAAAAAAAuAgAA&#10;ZHJzL2Uyb0RvYy54bWxQSwECLQAUAAYACAAAACEAXN3dPuIAAAAPAQAADwAAAAAAAAAAAAAAAADa&#10;AwAAZHJzL2Rvd25yZXYueG1sUEsFBgAAAAAEAAQA8wAAAOkEAAAAAA==&#10;" filled="f" stroked="f">
              <v:textbox inset="0,0,0,0">
                <w:txbxContent>
                  <w:p w14:paraId="64C9C0B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184</w:t>
                    </w:r>
                    <w:r>
                      <w:rPr>
                        <w:spacing w:val="-5"/>
                        <w:w w:val="125"/>
                        <w:sz w:val="12"/>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A9C7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25472" behindDoc="1" locked="0" layoutInCell="1" allowOverlap="1" wp14:anchorId="2BB72BBE" wp14:editId="2D15D444">
              <wp:simplePos x="0" y="0"/>
              <wp:positionH relativeFrom="page">
                <wp:posOffset>14037563</wp:posOffset>
              </wp:positionH>
              <wp:positionV relativeFrom="page">
                <wp:posOffset>10031574</wp:posOffset>
              </wp:positionV>
              <wp:extent cx="235585" cy="118110"/>
              <wp:effectExtent l="0" t="0" r="0" b="0"/>
              <wp:wrapNone/>
              <wp:docPr id="320" name="Textbox 32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1EF61C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186</w:t>
                          </w:r>
                          <w:r>
                            <w:rPr>
                              <w:spacing w:val="-5"/>
                              <w:w w:val="125"/>
                              <w:sz w:val="12"/>
                            </w:rPr>
                            <w:fldChar w:fldCharType="end"/>
                          </w:r>
                        </w:p>
                      </w:txbxContent>
                    </wps:txbx>
                    <wps:bodyPr wrap="square" lIns="0" tIns="0" rIns="0" bIns="0" rtlCol="0"/>
                  </wps:wsp>
                </a:graphicData>
              </a:graphic>
            </wp:anchor>
          </w:drawing>
        </mc:Choice>
        <mc:Fallback>
          <w:pict>
            <v:shapetype w14:anchorId="2BB72BBE" id="_x0000_t202" coordsize="21600,21600" o:spt="202" path="m,l,21600r21600,l21600,xe">
              <v:stroke joinstyle="miter"/>
              <v:path gradientshapeok="t" o:connecttype="rect"/>
            </v:shapetype>
            <v:shape id="Textbox 320" o:spid="_x0000_s1384" type="#_x0000_t202" style="position:absolute;margin-left:1105.3pt;margin-top:789.9pt;width:18.55pt;height:9.3pt;z-index:-251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" filled="f" stroked="f">
              <v:textbox inset="0,0,0,0">
                <w:txbxContent>
                  <w:p w14:paraId="41EF61C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186</w:t>
                    </w:r>
                    <w:r>
                      <w:rPr>
                        <w:spacing w:val="-5"/>
                        <w:w w:val="125"/>
                        <w:sz w:val="1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923C8"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82464" behindDoc="1" locked="0" layoutInCell="1" allowOverlap="1" wp14:anchorId="3863F0DD" wp14:editId="6D1C2E31">
              <wp:simplePos x="0" y="0"/>
              <wp:positionH relativeFrom="page">
                <wp:posOffset>6822185</wp:posOffset>
              </wp:positionH>
              <wp:positionV relativeFrom="page">
                <wp:posOffset>10029745</wp:posOffset>
              </wp:positionV>
              <wp:extent cx="161290" cy="118110"/>
              <wp:effectExtent l="0" t="0" r="0" b="0"/>
              <wp:wrapNone/>
              <wp:docPr id="15" name="Textbox 15"/>
              <wp:cNvGraphicFramePr/>
              <a:graphic xmlns:a="http://schemas.openxmlformats.org/drawingml/2006/main">
                <a:graphicData uri="http://schemas.microsoft.com/office/word/2010/wordprocessingShape">
                  <wps:wsp>
                    <wps:cNvSpPr txBox="1"/>
                    <wps:spPr>
                      <a:xfrm>
                        <a:off x="0" y="0"/>
                        <a:ext cx="161290" cy="118110"/>
                      </a:xfrm>
                      <a:prstGeom prst="rect">
                        <a:avLst/>
                      </a:prstGeom>
                    </wps:spPr>
                    <wps:txbx>
                      <w:txbxContent>
                        <w:p w14:paraId="66C4193B" w14:textId="77777777" w:rsidR="008715BE" w:rsidRDefault="00000000">
                          <w:pPr>
                            <w:spacing w:before="26"/>
                            <w:ind w:left="2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w:t>
                          </w:r>
                          <w:r>
                            <w:rPr>
                              <w:spacing w:val="-5"/>
                              <w:w w:val="125"/>
                              <w:sz w:val="12"/>
                            </w:rPr>
                            <w:fldChar w:fldCharType="end"/>
                          </w:r>
                        </w:p>
                      </w:txbxContent>
                    </wps:txbx>
                    <wps:bodyPr wrap="square" lIns="0" tIns="0" rIns="0" bIns="0" rtlCol="0"/>
                  </wps:wsp>
                </a:graphicData>
              </a:graphic>
            </wp:anchor>
          </w:drawing>
        </mc:Choice>
        <mc:Fallback>
          <w:pict>
            <v:shapetype w14:anchorId="3863F0DD" id="_x0000_t202" coordsize="21600,21600" o:spt="202" path="m,l,21600r21600,l21600,xe">
              <v:stroke joinstyle="miter"/>
              <v:path gradientshapeok="t" o:connecttype="rect"/>
            </v:shapetype>
            <v:shape id="Textbox 15" o:spid="_x0000_s1345" type="#_x0000_t202" style="position:absolute;margin-left:537.2pt;margin-top:789.75pt;width:12.7pt;height:9.3pt;z-index:-2517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" filled="f" stroked="f">
              <v:textbox inset="0,0,0,0">
                <w:txbxContent>
                  <w:p w14:paraId="66C4193B" w14:textId="77777777" w:rsidR="008715BE" w:rsidRDefault="00000000">
                    <w:pPr>
                      <w:spacing w:before="26"/>
                      <w:ind w:left="2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13</w:t>
                    </w:r>
                    <w:r>
                      <w:rPr>
                        <w:spacing w:val="-5"/>
                        <w:w w:val="125"/>
                        <w:sz w:val="12"/>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EC7A"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28544" behindDoc="1" locked="0" layoutInCell="1" allowOverlap="1" wp14:anchorId="03B7EE90" wp14:editId="4247B9E4">
              <wp:simplePos x="0" y="0"/>
              <wp:positionH relativeFrom="page">
                <wp:posOffset>6748018</wp:posOffset>
              </wp:positionH>
              <wp:positionV relativeFrom="page">
                <wp:posOffset>10029745</wp:posOffset>
              </wp:positionV>
              <wp:extent cx="235585" cy="118110"/>
              <wp:effectExtent l="0" t="0" r="0" b="0"/>
              <wp:wrapNone/>
              <wp:docPr id="323" name="Textbox 32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7FC782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190</w:t>
                          </w:r>
                          <w:r>
                            <w:rPr>
                              <w:spacing w:val="-5"/>
                              <w:w w:val="125"/>
                              <w:sz w:val="12"/>
                            </w:rPr>
                            <w:fldChar w:fldCharType="end"/>
                          </w:r>
                        </w:p>
                      </w:txbxContent>
                    </wps:txbx>
                    <wps:bodyPr wrap="square" lIns="0" tIns="0" rIns="0" bIns="0" rtlCol="0"/>
                  </wps:wsp>
                </a:graphicData>
              </a:graphic>
            </wp:anchor>
          </w:drawing>
        </mc:Choice>
        <mc:Fallback>
          <w:pict>
            <v:shapetype w14:anchorId="03B7EE90" id="_x0000_t202" coordsize="21600,21600" o:spt="202" path="m,l,21600r21600,l21600,xe">
              <v:stroke joinstyle="miter"/>
              <v:path gradientshapeok="t" o:connecttype="rect"/>
            </v:shapetype>
            <v:shape id="Textbox 323" o:spid="_x0000_s1386" type="#_x0000_t202" style="position:absolute;margin-left:531.35pt;margin-top:789.75pt;width:18.55pt;height:9.3pt;z-index:-2516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P7L1veBAQAA7wIAAA4AAAAAAAAAAAAAAAAALgIA&#10;AGRycy9lMm9Eb2MueG1sUEsBAi0AFAAGAAgAAAAhAFzd3T7iAAAADwEAAA8AAAAAAAAAAAAAAAAA&#10;2wMAAGRycy9kb3ducmV2LnhtbFBLBQYAAAAABAAEAPMAAADqBAAAAAA=&#10;" filled="f" stroked="f">
              <v:textbox inset="0,0,0,0">
                <w:txbxContent>
                  <w:p w14:paraId="57FC782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190</w:t>
                    </w:r>
                    <w:r>
                      <w:rPr>
                        <w:spacing w:val="-5"/>
                        <w:w w:val="125"/>
                        <w:sz w:val="12"/>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B50C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30592" behindDoc="1" locked="0" layoutInCell="1" allowOverlap="1" wp14:anchorId="7DAD69E0" wp14:editId="00C3A8F2">
              <wp:simplePos x="0" y="0"/>
              <wp:positionH relativeFrom="page">
                <wp:posOffset>14039087</wp:posOffset>
              </wp:positionH>
              <wp:positionV relativeFrom="page">
                <wp:posOffset>10029745</wp:posOffset>
              </wp:positionV>
              <wp:extent cx="235585" cy="118110"/>
              <wp:effectExtent l="0" t="0" r="0" b="0"/>
              <wp:wrapNone/>
              <wp:docPr id="356" name="Textbox 35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D7AE088"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193</w:t>
                          </w:r>
                          <w:r>
                            <w:rPr>
                              <w:spacing w:val="-5"/>
                              <w:w w:val="125"/>
                              <w:sz w:val="12"/>
                            </w:rPr>
                            <w:fldChar w:fldCharType="end"/>
                          </w:r>
                        </w:p>
                      </w:txbxContent>
                    </wps:txbx>
                    <wps:bodyPr wrap="square" lIns="0" tIns="0" rIns="0" bIns="0" rtlCol="0"/>
                  </wps:wsp>
                </a:graphicData>
              </a:graphic>
            </wp:anchor>
          </w:drawing>
        </mc:Choice>
        <mc:Fallback>
          <w:pict>
            <v:shapetype w14:anchorId="7DAD69E0" id="_x0000_t202" coordsize="21600,21600" o:spt="202" path="m,l,21600r21600,l21600,xe">
              <v:stroke joinstyle="miter"/>
              <v:path gradientshapeok="t" o:connecttype="rect"/>
            </v:shapetype>
            <v:shape id="Textbox 356" o:spid="_x0000_s1388" type="#_x0000_t202" style="position:absolute;margin-left:1105.45pt;margin-top:789.75pt;width:18.55pt;height:9.3pt;z-index:-251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" filled="f" stroked="f">
              <v:textbox inset="0,0,0,0">
                <w:txbxContent>
                  <w:p w14:paraId="6D7AE088"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193</w:t>
                    </w:r>
                    <w:r>
                      <w:rPr>
                        <w:spacing w:val="-5"/>
                        <w:w w:val="125"/>
                        <w:sz w:val="12"/>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E7215" w14:textId="77777777" w:rsidR="008715BE" w:rsidRDefault="008715BE">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C1D77"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32640" behindDoc="1" locked="0" layoutInCell="1" allowOverlap="1" wp14:anchorId="22077A01" wp14:editId="13E03522">
              <wp:simplePos x="0" y="0"/>
              <wp:positionH relativeFrom="page">
                <wp:posOffset>6621526</wp:posOffset>
              </wp:positionH>
              <wp:positionV relativeFrom="page">
                <wp:posOffset>10029745</wp:posOffset>
              </wp:positionV>
              <wp:extent cx="235585" cy="118110"/>
              <wp:effectExtent l="0" t="0" r="0" b="0"/>
              <wp:wrapNone/>
              <wp:docPr id="361" name="Textbox 36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280560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198</w:t>
                          </w:r>
                          <w:r>
                            <w:rPr>
                              <w:spacing w:val="-5"/>
                              <w:w w:val="125"/>
                              <w:sz w:val="12"/>
                            </w:rPr>
                            <w:fldChar w:fldCharType="end"/>
                          </w:r>
                        </w:p>
                      </w:txbxContent>
                    </wps:txbx>
                    <wps:bodyPr wrap="square" lIns="0" tIns="0" rIns="0" bIns="0" rtlCol="0"/>
                  </wps:wsp>
                </a:graphicData>
              </a:graphic>
            </wp:anchor>
          </w:drawing>
        </mc:Choice>
        <mc:Fallback>
          <w:pict>
            <v:shapetype w14:anchorId="22077A01" id="_x0000_t202" coordsize="21600,21600" o:spt="202" path="m,l,21600r21600,l21600,xe">
              <v:stroke joinstyle="miter"/>
              <v:path gradientshapeok="t" o:connecttype="rect"/>
            </v:shapetype>
            <v:shape id="Textbox 361" o:spid="_x0000_s1391" type="#_x0000_t202" style="position:absolute;margin-left:521.4pt;margin-top:789.75pt;width:18.55pt;height:9.3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" filled="f" stroked="f">
              <v:textbox inset="0,0,0,0">
                <w:txbxContent>
                  <w:p w14:paraId="7280560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198</w:t>
                    </w:r>
                    <w:r>
                      <w:rPr>
                        <w:spacing w:val="-5"/>
                        <w:w w:val="125"/>
                        <w:sz w:val="12"/>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928B9" w14:textId="77777777" w:rsidR="008715BE" w:rsidRDefault="008715BE">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60A9E"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35712" behindDoc="1" locked="0" layoutInCell="1" allowOverlap="1" wp14:anchorId="5EF2E181" wp14:editId="26C20D92">
              <wp:simplePos x="0" y="0"/>
              <wp:positionH relativeFrom="page">
                <wp:posOffset>14037563</wp:posOffset>
              </wp:positionH>
              <wp:positionV relativeFrom="page">
                <wp:posOffset>10029745</wp:posOffset>
              </wp:positionV>
              <wp:extent cx="235585" cy="118110"/>
              <wp:effectExtent l="0" t="0" r="0" b="0"/>
              <wp:wrapNone/>
              <wp:docPr id="396" name="Textbox 39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26CD0A2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202</w:t>
                          </w:r>
                          <w:r>
                            <w:rPr>
                              <w:spacing w:val="-5"/>
                              <w:w w:val="125"/>
                              <w:sz w:val="12"/>
                            </w:rPr>
                            <w:fldChar w:fldCharType="end"/>
                          </w:r>
                        </w:p>
                      </w:txbxContent>
                    </wps:txbx>
                    <wps:bodyPr wrap="square" lIns="0" tIns="0" rIns="0" bIns="0" rtlCol="0"/>
                  </wps:wsp>
                </a:graphicData>
              </a:graphic>
            </wp:anchor>
          </w:drawing>
        </mc:Choice>
        <mc:Fallback>
          <w:pict>
            <v:shapetype w14:anchorId="5EF2E181" id="_x0000_t202" coordsize="21600,21600" o:spt="202" path="m,l,21600r21600,l21600,xe">
              <v:stroke joinstyle="miter"/>
              <v:path gradientshapeok="t" o:connecttype="rect"/>
            </v:shapetype>
            <v:shape id="Textbox 396" o:spid="_x0000_s1394" type="#_x0000_t202" style="position:absolute;margin-left:1105.3pt;margin-top:789.75pt;width:18.55pt;height:9.3pt;z-index:-251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" filled="f" stroked="f">
              <v:textbox inset="0,0,0,0">
                <w:txbxContent>
                  <w:p w14:paraId="26CD0A2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202</w:t>
                    </w:r>
                    <w:r>
                      <w:rPr>
                        <w:spacing w:val="-5"/>
                        <w:w w:val="125"/>
                        <w:sz w:val="12"/>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4382B"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37760" behindDoc="1" locked="0" layoutInCell="1" allowOverlap="1" wp14:anchorId="5327FD40" wp14:editId="402B5B23">
              <wp:simplePos x="0" y="0"/>
              <wp:positionH relativeFrom="page">
                <wp:posOffset>6748018</wp:posOffset>
              </wp:positionH>
              <wp:positionV relativeFrom="page">
                <wp:posOffset>10029745</wp:posOffset>
              </wp:positionV>
              <wp:extent cx="235585" cy="118110"/>
              <wp:effectExtent l="0" t="0" r="0" b="0"/>
              <wp:wrapNone/>
              <wp:docPr id="399" name="Textbox 39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03B925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209</w:t>
                          </w:r>
                          <w:r>
                            <w:rPr>
                              <w:spacing w:val="-5"/>
                              <w:w w:val="125"/>
                              <w:sz w:val="12"/>
                            </w:rPr>
                            <w:fldChar w:fldCharType="end"/>
                          </w:r>
                        </w:p>
                      </w:txbxContent>
                    </wps:txbx>
                    <wps:bodyPr wrap="square" lIns="0" tIns="0" rIns="0" bIns="0" rtlCol="0"/>
                  </wps:wsp>
                </a:graphicData>
              </a:graphic>
            </wp:anchor>
          </w:drawing>
        </mc:Choice>
        <mc:Fallback>
          <w:pict>
            <v:shapetype w14:anchorId="5327FD40" id="_x0000_t202" coordsize="21600,21600" o:spt="202" path="m,l,21600r21600,l21600,xe">
              <v:stroke joinstyle="miter"/>
              <v:path gradientshapeok="t" o:connecttype="rect"/>
            </v:shapetype>
            <v:shape id="Textbox 399" o:spid="_x0000_s1396" type="#_x0000_t202" style="position:absolute;margin-left:531.35pt;margin-top:789.75pt;width:18.55pt;height:9.3pt;z-index:-25167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7rGzioABAADvAgAADgAAAAAAAAAAAAAAAAAuAgAA&#10;ZHJzL2Uyb0RvYy54bWxQSwECLQAUAAYACAAAACEAXN3dPuIAAAAPAQAADwAAAAAAAAAAAAAAAADa&#10;AwAAZHJzL2Rvd25yZXYueG1sUEsFBgAAAAAEAAQA8wAAAOkEAAAAAA==&#10;" filled="f" stroked="f">
              <v:textbox inset="0,0,0,0">
                <w:txbxContent>
                  <w:p w14:paraId="003B925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209</w:t>
                    </w:r>
                    <w:r>
                      <w:rPr>
                        <w:spacing w:val="-5"/>
                        <w:w w:val="125"/>
                        <w:sz w:val="12"/>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D3C49"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39808" behindDoc="1" locked="0" layoutInCell="1" allowOverlap="1" wp14:anchorId="23E6A8CE" wp14:editId="62E6BA4E">
              <wp:simplePos x="0" y="0"/>
              <wp:positionH relativeFrom="page">
                <wp:posOffset>14039087</wp:posOffset>
              </wp:positionH>
              <wp:positionV relativeFrom="page">
                <wp:posOffset>10029745</wp:posOffset>
              </wp:positionV>
              <wp:extent cx="235585" cy="118110"/>
              <wp:effectExtent l="0" t="0" r="0" b="0"/>
              <wp:wrapNone/>
              <wp:docPr id="432" name="Textbox 43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B0AB1E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211</w:t>
                          </w:r>
                          <w:r>
                            <w:rPr>
                              <w:spacing w:val="-5"/>
                              <w:w w:val="125"/>
                              <w:sz w:val="12"/>
                            </w:rPr>
                            <w:fldChar w:fldCharType="end"/>
                          </w:r>
                        </w:p>
                      </w:txbxContent>
                    </wps:txbx>
                    <wps:bodyPr wrap="square" lIns="0" tIns="0" rIns="0" bIns="0" rtlCol="0"/>
                  </wps:wsp>
                </a:graphicData>
              </a:graphic>
            </wp:anchor>
          </w:drawing>
        </mc:Choice>
        <mc:Fallback>
          <w:pict>
            <v:shapetype w14:anchorId="23E6A8CE" id="_x0000_t202" coordsize="21600,21600" o:spt="202" path="m,l,21600r21600,l21600,xe">
              <v:stroke joinstyle="miter"/>
              <v:path gradientshapeok="t" o:connecttype="rect"/>
            </v:shapetype>
            <v:shape id="Textbox 432" o:spid="_x0000_s1398" type="#_x0000_t202" style="position:absolute;margin-left:1105.45pt;margin-top:789.75pt;width:18.55pt;height:9.3pt;z-index:-2516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PDyek+AAQAA7wIAAA4AAAAAAAAAAAAAAAAALgIA&#10;AGRycy9lMm9Eb2MueG1sUEsBAi0AFAAGAAgAAAAhAF0E6SHjAAAADwEAAA8AAAAAAAAAAAAAAAAA&#10;2gMAAGRycy9kb3ducmV2LnhtbFBLBQYAAAAABAAEAPMAAADqBAAAAAA=&#10;" filled="f" stroked="f">
              <v:textbox inset="0,0,0,0">
                <w:txbxContent>
                  <w:p w14:paraId="1B0AB1E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211</w:t>
                    </w:r>
                    <w:r>
                      <w:rPr>
                        <w:spacing w:val="-5"/>
                        <w:w w:val="125"/>
                        <w:sz w:val="12"/>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B39F6"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42880" behindDoc="1" locked="0" layoutInCell="1" allowOverlap="1" wp14:anchorId="3B1D2A1E" wp14:editId="68E59C02">
              <wp:simplePos x="0" y="0"/>
              <wp:positionH relativeFrom="page">
                <wp:posOffset>6748018</wp:posOffset>
              </wp:positionH>
              <wp:positionV relativeFrom="page">
                <wp:posOffset>10029745</wp:posOffset>
              </wp:positionV>
              <wp:extent cx="235585" cy="118110"/>
              <wp:effectExtent l="0" t="0" r="0" b="0"/>
              <wp:wrapNone/>
              <wp:docPr id="435" name="Textbox 43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78FBFC0"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218</w:t>
                          </w:r>
                          <w:r>
                            <w:rPr>
                              <w:spacing w:val="-5"/>
                              <w:w w:val="125"/>
                              <w:sz w:val="12"/>
                            </w:rPr>
                            <w:fldChar w:fldCharType="end"/>
                          </w:r>
                        </w:p>
                      </w:txbxContent>
                    </wps:txbx>
                    <wps:bodyPr wrap="square" lIns="0" tIns="0" rIns="0" bIns="0" rtlCol="0"/>
                  </wps:wsp>
                </a:graphicData>
              </a:graphic>
            </wp:anchor>
          </w:drawing>
        </mc:Choice>
        <mc:Fallback>
          <w:pict>
            <v:shapetype w14:anchorId="3B1D2A1E" id="_x0000_t202" coordsize="21600,21600" o:spt="202" path="m,l,21600r21600,l21600,xe">
              <v:stroke joinstyle="miter"/>
              <v:path gradientshapeok="t" o:connecttype="rect"/>
            </v:shapetype>
            <v:shape id="Textbox 435" o:spid="_x0000_s1400" type="#_x0000_t202" style="position:absolute;margin-left:531.35pt;margin-top:789.75pt;width:18.55pt;height:9.3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aTGXe4ABAADvAgAADgAAAAAAAAAAAAAAAAAuAgAA&#10;ZHJzL2Uyb0RvYy54bWxQSwECLQAUAAYACAAAACEAXN3dPuIAAAAPAQAADwAAAAAAAAAAAAAAAADa&#10;AwAAZHJzL2Rvd25yZXYueG1sUEsFBgAAAAAEAAQA8wAAAOkEAAAAAA==&#10;" filled="f" stroked="f">
              <v:textbox inset="0,0,0,0">
                <w:txbxContent>
                  <w:p w14:paraId="478FBFC0"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218</w:t>
                    </w:r>
                    <w:r>
                      <w:rPr>
                        <w:spacing w:val="-5"/>
                        <w:w w:val="125"/>
                        <w:sz w:val="12"/>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D5CB1"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44928" behindDoc="1" locked="0" layoutInCell="1" allowOverlap="1" wp14:anchorId="0FCF7364" wp14:editId="248A7755">
              <wp:simplePos x="0" y="0"/>
              <wp:positionH relativeFrom="page">
                <wp:posOffset>14039087</wp:posOffset>
              </wp:positionH>
              <wp:positionV relativeFrom="page">
                <wp:posOffset>10029745</wp:posOffset>
              </wp:positionV>
              <wp:extent cx="235585" cy="118110"/>
              <wp:effectExtent l="0" t="0" r="0" b="0"/>
              <wp:wrapNone/>
              <wp:docPr id="498" name="Textbox 49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8C00F7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220</w:t>
                          </w:r>
                          <w:r>
                            <w:rPr>
                              <w:spacing w:val="-5"/>
                              <w:w w:val="125"/>
                              <w:sz w:val="12"/>
                            </w:rPr>
                            <w:fldChar w:fldCharType="end"/>
                          </w:r>
                        </w:p>
                      </w:txbxContent>
                    </wps:txbx>
                    <wps:bodyPr wrap="square" lIns="0" tIns="0" rIns="0" bIns="0" rtlCol="0"/>
                  </wps:wsp>
                </a:graphicData>
              </a:graphic>
            </wp:anchor>
          </w:drawing>
        </mc:Choice>
        <mc:Fallback>
          <w:pict>
            <v:shapetype w14:anchorId="0FCF7364" id="_x0000_t202" coordsize="21600,21600" o:spt="202" path="m,l,21600r21600,l21600,xe">
              <v:stroke joinstyle="miter"/>
              <v:path gradientshapeok="t" o:connecttype="rect"/>
            </v:shapetype>
            <v:shape id="Textbox 498" o:spid="_x0000_s1402" type="#_x0000_t202" style="position:absolute;margin-left:1105.45pt;margin-top:789.75pt;width:18.55pt;height:9.3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" filled="f" stroked="f">
              <v:textbox inset="0,0,0,0">
                <w:txbxContent>
                  <w:p w14:paraId="08C00F7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220</w:t>
                    </w:r>
                    <w:r>
                      <w:rPr>
                        <w:spacing w:val="-5"/>
                        <w:w w:val="125"/>
                        <w:sz w:val="1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ED971"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83488" behindDoc="1" locked="0" layoutInCell="1" allowOverlap="1" wp14:anchorId="3C9E2914" wp14:editId="1A9AB93D">
              <wp:simplePos x="0" y="0"/>
              <wp:positionH relativeFrom="page">
                <wp:posOffset>717804</wp:posOffset>
              </wp:positionH>
              <wp:positionV relativeFrom="page">
                <wp:posOffset>9648745</wp:posOffset>
              </wp:positionV>
              <wp:extent cx="5198110" cy="371475"/>
              <wp:effectExtent l="0" t="0" r="0" b="0"/>
              <wp:wrapNone/>
              <wp:docPr id="19" name="Textbox 19"/>
              <wp:cNvGraphicFramePr/>
              <a:graphic xmlns:a="http://schemas.openxmlformats.org/drawingml/2006/main">
                <a:graphicData uri="http://schemas.microsoft.com/office/word/2010/wordprocessingShape">
                  <wps:wsp>
                    <wps:cNvSpPr txBox="1"/>
                    <wps:spPr>
                      <a:xfrm>
                        <a:off x="0" y="0"/>
                        <a:ext cx="5198110" cy="371475"/>
                      </a:xfrm>
                      <a:prstGeom prst="rect">
                        <a:avLst/>
                      </a:prstGeom>
                    </wps:spPr>
                    <wps:txbx>
                      <w:txbxContent>
                        <w:p w14:paraId="2C3F3729" w14:textId="77777777" w:rsidR="008715BE" w:rsidRDefault="00000000">
                          <w:pPr>
                            <w:spacing w:before="24" w:line="326" w:lineRule="auto"/>
                            <w:ind w:left="144" w:right="18" w:hanging="85"/>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1</w:t>
                          </w:r>
                          <w:r>
                            <w:rPr>
                              <w:color w:val="797766"/>
                              <w:w w:val="125"/>
                              <w:position w:val="4"/>
                              <w:sz w:val="8"/>
                            </w:rPr>
                            <w:fldChar w:fldCharType="end"/>
                          </w:r>
                          <w:hyperlink r:id="rId1">
                            <w:r w:rsidR="008715BE">
                              <w:rPr>
                                <w:color w:val="797766"/>
                                <w:w w:val="125"/>
                                <w:sz w:val="8"/>
                              </w:rPr>
                              <w:t xml:space="preserve"> https://www.uvp-verbund.de/documents-ige-ng/igc_mv/d941ac0f-cb63-4acf-9b92-47aa66d6ba21/3%20Anlage%20und%20Betrieb/16%20Anlagenspez.%20Documents/16.1.3%20Safety devices/16.1.3.2-</w:t>
                            </w:r>
                          </w:hyperlink>
                        </w:p>
                        <w:p w14:paraId="1033F83D" w14:textId="77777777" w:rsidR="008715BE" w:rsidRDefault="00000000">
                          <w:pPr>
                            <w:ind w:left="144"/>
                            <w:rPr>
                              <w:sz w:val="12"/>
                            </w:rPr>
                          </w:pPr>
                          <w:r>
                            <w:rPr>
                              <w:color w:val="797766"/>
                              <w:spacing w:val="-2"/>
                              <w:w w:val="125"/>
                              <w:sz w:val="8"/>
                            </w:rPr>
                            <w:t>2%20Working instructions for earthing system.pdf</w:t>
                          </w:r>
                        </w:p>
                      </w:txbxContent>
                    </wps:txbx>
                    <wps:bodyPr wrap="square" lIns="0" tIns="0" rIns="0" bIns="0" rtlCol="0"/>
                  </wps:wsp>
                </a:graphicData>
              </a:graphic>
            </wp:anchor>
          </w:drawing>
        </mc:Choice>
        <mc:Fallback>
          <w:pict>
            <v:shapetype w14:anchorId="3C9E2914" id="_x0000_t202" coordsize="21600,21600" o:spt="202" path="m,l,21600r21600,l21600,xe">
              <v:stroke joinstyle="miter"/>
              <v:path gradientshapeok="t" o:connecttype="rect"/>
            </v:shapetype>
            <v:shape id="Textbox 19" o:spid="_x0000_s1348" type="#_x0000_t202" style="position:absolute;margin-left:56.5pt;margin-top:759.75pt;width:409.3pt;height:29.25pt;z-index:-25173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" filled="f" stroked="f">
              <v:textbox inset="0,0,0,0">
                <w:txbxContent>
                  <w:p w14:paraId="2C3F3729" w14:textId="77777777" w:rsidR="008715BE" w:rsidRDefault="00000000">
                    <w:pPr>
                      <w:spacing w:before="24" w:line="326" w:lineRule="auto"/>
                      <w:ind w:left="144" w:right="18" w:hanging="85"/>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1</w:t>
                    </w:r>
                    <w:r>
                      <w:rPr>
                        <w:color w:val="797766"/>
                        <w:w w:val="125"/>
                        <w:position w:val="4"/>
                        <w:sz w:val="8"/>
                      </w:rPr>
                      <w:fldChar w:fldCharType="end"/>
                    </w:r>
                    <w:hyperlink r:id="rId2">
                      <w:r w:rsidR="008715BE">
                        <w:rPr>
                          <w:color w:val="797766"/>
                          <w:w w:val="125"/>
                          <w:sz w:val="8"/>
                        </w:rPr>
                        <w:t xml:space="preserve"> https://www.uvp-verbund.de/documents-ige-ng/igc_mv/d941ac0f-cb63-4acf-9b92-47aa66d6ba21/3%20Anlage%20und%20Betrieb/16%20Anlagenspez.%20Documents/16.1.3%20Safety devices/16.1.3.2-</w:t>
                      </w:r>
                    </w:hyperlink>
                  </w:p>
                  <w:p w14:paraId="1033F83D" w14:textId="77777777" w:rsidR="008715BE" w:rsidRDefault="00000000">
                    <w:pPr>
                      <w:ind w:left="144"/>
                      <w:rPr>
                        <w:sz w:val="12"/>
                      </w:rPr>
                    </w:pPr>
                    <w:r>
                      <w:rPr>
                        <w:color w:val="797766"/>
                        <w:spacing w:val="-2"/>
                        <w:w w:val="125"/>
                        <w:sz w:val="8"/>
                      </w:rPr>
                      <w:t>2%20Working instructions for earthing system.pdf</w:t>
                    </w:r>
                  </w:p>
                </w:txbxContent>
              </v:textbox>
              <w10:wrap anchorx="page" anchory="page"/>
            </v:shape>
          </w:pict>
        </mc:Fallback>
      </mc:AlternateContent>
    </w:r>
    <w:r>
      <w:rPr>
        <w:noProof/>
        <w:sz w:val="20"/>
      </w:rPr>
      <mc:AlternateContent>
        <mc:Choice Requires="wps">
          <w:drawing>
            <wp:anchor distT="0" distB="0" distL="0" distR="0" simplePos="0" relativeHeight="251586560" behindDoc="1" locked="0" layoutInCell="1" allowOverlap="1" wp14:anchorId="3CC10BE3" wp14:editId="54F1DC2E">
              <wp:simplePos x="0" y="0"/>
              <wp:positionH relativeFrom="page">
                <wp:posOffset>6822185</wp:posOffset>
              </wp:positionH>
              <wp:positionV relativeFrom="page">
                <wp:posOffset>10029745</wp:posOffset>
              </wp:positionV>
              <wp:extent cx="123189" cy="118110"/>
              <wp:effectExtent l="0" t="0" r="0" b="0"/>
              <wp:wrapNone/>
              <wp:docPr id="20" name="Textbox 20"/>
              <wp:cNvGraphicFramePr/>
              <a:graphic xmlns:a="http://schemas.openxmlformats.org/drawingml/2006/main">
                <a:graphicData uri="http://schemas.microsoft.com/office/word/2010/wordprocessingShape">
                  <wps:wsp>
                    <wps:cNvSpPr txBox="1"/>
                    <wps:spPr>
                      <a:xfrm>
                        <a:off x="0" y="0"/>
                        <a:ext cx="123189" cy="118110"/>
                      </a:xfrm>
                      <a:prstGeom prst="rect">
                        <a:avLst/>
                      </a:prstGeom>
                    </wps:spPr>
                    <wps:txbx>
                      <w:txbxContent>
                        <w:p w14:paraId="4FC727AB" w14:textId="77777777" w:rsidR="008715BE" w:rsidRDefault="00000000">
                          <w:pPr>
                            <w:spacing w:before="26"/>
                            <w:ind w:left="20"/>
                            <w:rPr>
                              <w:sz w:val="12"/>
                            </w:rPr>
                          </w:pPr>
                          <w:r>
                            <w:rPr>
                              <w:spacing w:val="-5"/>
                              <w:w w:val="125"/>
                              <w:sz w:val="8"/>
                            </w:rPr>
                            <w:t>14</w:t>
                          </w:r>
                        </w:p>
                      </w:txbxContent>
                    </wps:txbx>
                    <wps:bodyPr wrap="square" lIns="0" tIns="0" rIns="0" bIns="0" rtlCol="0"/>
                  </wps:wsp>
                </a:graphicData>
              </a:graphic>
            </wp:anchor>
          </w:drawing>
        </mc:Choice>
        <mc:Fallback>
          <w:pict>
            <v:shape w14:anchorId="3CC10BE3" id="Textbox 20" o:spid="_x0000_s1349" type="#_x0000_t202" style="position:absolute;margin-left:537.2pt;margin-top:789.75pt;width:9.7pt;height:9.3pt;z-index:-2517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" filled="f" stroked="f">
              <v:textbox inset="0,0,0,0">
                <w:txbxContent>
                  <w:p w14:paraId="4FC727AB" w14:textId="77777777" w:rsidR="008715BE" w:rsidRDefault="00000000">
                    <w:pPr>
                      <w:spacing w:before="26"/>
                      <w:ind w:left="20"/>
                      <w:rPr>
                        <w:sz w:val="12"/>
                      </w:rPr>
                    </w:pPr>
                    <w:r>
                      <w:rPr>
                        <w:spacing w:val="-5"/>
                        <w:w w:val="125"/>
                        <w:sz w:val="8"/>
                      </w:rPr>
                      <w:t>14</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E3A59"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46976" behindDoc="1" locked="0" layoutInCell="1" allowOverlap="1" wp14:anchorId="699DEDEE" wp14:editId="6ABDAD55">
              <wp:simplePos x="0" y="0"/>
              <wp:positionH relativeFrom="page">
                <wp:posOffset>6748018</wp:posOffset>
              </wp:positionH>
              <wp:positionV relativeFrom="page">
                <wp:posOffset>10029745</wp:posOffset>
              </wp:positionV>
              <wp:extent cx="235585" cy="118110"/>
              <wp:effectExtent l="0" t="0" r="0" b="0"/>
              <wp:wrapNone/>
              <wp:docPr id="501" name="Textbox 50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64B7F6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225</w:t>
                          </w:r>
                          <w:r>
                            <w:rPr>
                              <w:spacing w:val="-5"/>
                              <w:w w:val="125"/>
                              <w:sz w:val="12"/>
                            </w:rPr>
                            <w:fldChar w:fldCharType="end"/>
                          </w:r>
                        </w:p>
                      </w:txbxContent>
                    </wps:txbx>
                    <wps:bodyPr wrap="square" lIns="0" tIns="0" rIns="0" bIns="0" rtlCol="0"/>
                  </wps:wsp>
                </a:graphicData>
              </a:graphic>
            </wp:anchor>
          </w:drawing>
        </mc:Choice>
        <mc:Fallback>
          <w:pict>
            <v:shapetype w14:anchorId="699DEDEE" id="_x0000_t202" coordsize="21600,21600" o:spt="202" path="m,l,21600r21600,l21600,xe">
              <v:stroke joinstyle="miter"/>
              <v:path gradientshapeok="t" o:connecttype="rect"/>
            </v:shapetype>
            <v:shape id="Textbox 501" o:spid="_x0000_s1404" type="#_x0000_t202" style="position:absolute;margin-left:531.35pt;margin-top:789.75pt;width:18.55pt;height:9.3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vfw2mIABAADvAgAADgAAAAAAAAAAAAAAAAAuAgAA&#10;ZHJzL2Uyb0RvYy54bWxQSwECLQAUAAYACAAAACEAXN3dPuIAAAAPAQAADwAAAAAAAAAAAAAAAADa&#10;AwAAZHJzL2Rvd25yZXYueG1sUEsFBgAAAAAEAAQA8wAAAOkEAAAAAA==&#10;" filled="f" stroked="f">
              <v:textbox inset="0,0,0,0">
                <w:txbxContent>
                  <w:p w14:paraId="664B7F6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225</w:t>
                    </w:r>
                    <w:r>
                      <w:rPr>
                        <w:spacing w:val="-5"/>
                        <w:w w:val="125"/>
                        <w:sz w:val="12"/>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0268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50048" behindDoc="1" locked="0" layoutInCell="1" allowOverlap="1" wp14:anchorId="6B3D0F44" wp14:editId="207F95D2">
              <wp:simplePos x="0" y="0"/>
              <wp:positionH relativeFrom="page">
                <wp:posOffset>9610090</wp:posOffset>
              </wp:positionH>
              <wp:positionV relativeFrom="page">
                <wp:posOffset>6897926</wp:posOffset>
              </wp:positionV>
              <wp:extent cx="235585" cy="118110"/>
              <wp:effectExtent l="0" t="0" r="0" b="0"/>
              <wp:wrapNone/>
              <wp:docPr id="505" name="Textbox 50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8B1B38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228</w:t>
                          </w:r>
                          <w:r>
                            <w:rPr>
                              <w:spacing w:val="-5"/>
                              <w:w w:val="125"/>
                              <w:sz w:val="12"/>
                            </w:rPr>
                            <w:fldChar w:fldCharType="end"/>
                          </w:r>
                        </w:p>
                      </w:txbxContent>
                    </wps:txbx>
                    <wps:bodyPr wrap="square" lIns="0" tIns="0" rIns="0" bIns="0" rtlCol="0"/>
                  </wps:wsp>
                </a:graphicData>
              </a:graphic>
            </wp:anchor>
          </w:drawing>
        </mc:Choice>
        <mc:Fallback>
          <w:pict>
            <v:shapetype w14:anchorId="6B3D0F44" id="_x0000_t202" coordsize="21600,21600" o:spt="202" path="m,l,21600r21600,l21600,xe">
              <v:stroke joinstyle="miter"/>
              <v:path gradientshapeok="t" o:connecttype="rect"/>
            </v:shapetype>
            <v:shape id="Textbox 505" o:spid="_x0000_s1406" type="#_x0000_t202" style="position:absolute;margin-left:756.7pt;margin-top:543.15pt;width:18.55pt;height:9.3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" filled="f" stroked="f">
              <v:textbox inset="0,0,0,0">
                <w:txbxContent>
                  <w:p w14:paraId="68B1B38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228</w:t>
                    </w:r>
                    <w:r>
                      <w:rPr>
                        <w:spacing w:val="-5"/>
                        <w:w w:val="125"/>
                        <w:sz w:val="12"/>
                      </w:rP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595FE" w14:textId="77777777" w:rsidR="008715BE" w:rsidRDefault="00000000">
    <w:pPr>
      <w:pStyle w:val="BodyText"/>
      <w:spacing w:line="14" w:lineRule="auto"/>
    </w:pPr>
    <w:r>
      <w:rPr>
        <w:noProof/>
      </w:rPr>
      <mc:AlternateContent>
        <mc:Choice Requires="wps">
          <w:drawing>
            <wp:anchor distT="0" distB="0" distL="0" distR="0" simplePos="0" relativeHeight="251652096" behindDoc="1" locked="0" layoutInCell="1" allowOverlap="1" wp14:anchorId="5B1FA79D" wp14:editId="686E19A9">
              <wp:simplePos x="0" y="0"/>
              <wp:positionH relativeFrom="page">
                <wp:posOffset>6748018</wp:posOffset>
              </wp:positionH>
              <wp:positionV relativeFrom="page">
                <wp:posOffset>10029745</wp:posOffset>
              </wp:positionV>
              <wp:extent cx="235585" cy="118110"/>
              <wp:effectExtent l="0" t="0" r="0" b="0"/>
              <wp:wrapNone/>
              <wp:docPr id="508" name="Textbox 50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E764E6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242</w:t>
                          </w:r>
                          <w:r>
                            <w:rPr>
                              <w:spacing w:val="-5"/>
                              <w:w w:val="125"/>
                              <w:sz w:val="12"/>
                            </w:rPr>
                            <w:fldChar w:fldCharType="end"/>
                          </w:r>
                        </w:p>
                      </w:txbxContent>
                    </wps:txbx>
                    <wps:bodyPr wrap="square" lIns="0" tIns="0" rIns="0" bIns="0" rtlCol="0"/>
                  </wps:wsp>
                </a:graphicData>
              </a:graphic>
            </wp:anchor>
          </w:drawing>
        </mc:Choice>
        <mc:Fallback>
          <w:pict>
            <v:shapetype w14:anchorId="5B1FA79D" id="_x0000_t202" coordsize="21600,21600" o:spt="202" path="m,l,21600r21600,l21600,xe">
              <v:stroke joinstyle="miter"/>
              <v:path gradientshapeok="t" o:connecttype="rect"/>
            </v:shapetype>
            <v:shape id="Textbox 508" o:spid="_x0000_s1408" type="#_x0000_t202" style="position:absolute;margin-left:531.35pt;margin-top:789.75pt;width:18.55pt;height:9.3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wHzVyIABAADvAgAADgAAAAAAAAAAAAAAAAAuAgAA&#10;ZHJzL2Uyb0RvYy54bWxQSwECLQAUAAYACAAAACEAXN3dPuIAAAAPAQAADwAAAAAAAAAAAAAAAADa&#10;AwAAZHJzL2Rvd25yZXYueG1sUEsFBgAAAAAEAAQA8wAAAOkEAAAAAA==&#10;" filled="f" stroked="f">
              <v:textbox inset="0,0,0,0">
                <w:txbxContent>
                  <w:p w14:paraId="0E764E6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242</w:t>
                    </w:r>
                    <w:r>
                      <w:rPr>
                        <w:spacing w:val="-5"/>
                        <w:w w:val="125"/>
                        <w:sz w:val="12"/>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71CD3"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54144" behindDoc="1" locked="0" layoutInCell="1" allowOverlap="1" wp14:anchorId="62DB4A40" wp14:editId="11BC5BA2">
              <wp:simplePos x="0" y="0"/>
              <wp:positionH relativeFrom="page">
                <wp:posOffset>9635490</wp:posOffset>
              </wp:positionH>
              <wp:positionV relativeFrom="page">
                <wp:posOffset>6897926</wp:posOffset>
              </wp:positionV>
              <wp:extent cx="172085" cy="118110"/>
              <wp:effectExtent l="0" t="0" r="0" b="0"/>
              <wp:wrapNone/>
              <wp:docPr id="515" name="Textbox 515"/>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6E8C081E" w14:textId="77777777" w:rsidR="008715BE" w:rsidRDefault="00000000">
                          <w:pPr>
                            <w:spacing w:before="26"/>
                            <w:ind w:left="20"/>
                            <w:rPr>
                              <w:sz w:val="12"/>
                            </w:rPr>
                          </w:pPr>
                          <w:r>
                            <w:rPr>
                              <w:spacing w:val="-5"/>
                              <w:w w:val="125"/>
                              <w:sz w:val="8"/>
                            </w:rPr>
                            <w:t>243</w:t>
                          </w:r>
                        </w:p>
                      </w:txbxContent>
                    </wps:txbx>
                    <wps:bodyPr wrap="square" lIns="0" tIns="0" rIns="0" bIns="0" rtlCol="0"/>
                  </wps:wsp>
                </a:graphicData>
              </a:graphic>
            </wp:anchor>
          </w:drawing>
        </mc:Choice>
        <mc:Fallback>
          <w:pict>
            <v:shapetype w14:anchorId="62DB4A40" id="_x0000_t202" coordsize="21600,21600" o:spt="202" path="m,l,21600r21600,l21600,xe">
              <v:stroke joinstyle="miter"/>
              <v:path gradientshapeok="t" o:connecttype="rect"/>
            </v:shapetype>
            <v:shape id="Textbox 515" o:spid="_x0000_s1409" type="#_x0000_t202" style="position:absolute;margin-left:758.7pt;margin-top:543.15pt;width:13.55pt;height:9.3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" filled="f" stroked="f">
              <v:textbox inset="0,0,0,0">
                <w:txbxContent>
                  <w:p w14:paraId="6E8C081E" w14:textId="77777777" w:rsidR="008715BE" w:rsidRDefault="00000000">
                    <w:pPr>
                      <w:spacing w:before="26"/>
                      <w:ind w:left="20"/>
                      <w:rPr>
                        <w:sz w:val="12"/>
                      </w:rPr>
                    </w:pPr>
                    <w:r>
                      <w:rPr>
                        <w:spacing w:val="-5"/>
                        <w:w w:val="125"/>
                        <w:sz w:val="8"/>
                      </w:rPr>
                      <w:t>243</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9CB6C"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56192" behindDoc="1" locked="0" layoutInCell="1" allowOverlap="1" wp14:anchorId="02141C4A" wp14:editId="588DEC78">
              <wp:simplePos x="0" y="0"/>
              <wp:positionH relativeFrom="page">
                <wp:posOffset>6773418</wp:posOffset>
              </wp:positionH>
              <wp:positionV relativeFrom="page">
                <wp:posOffset>10029745</wp:posOffset>
              </wp:positionV>
              <wp:extent cx="172085" cy="118110"/>
              <wp:effectExtent l="0" t="0" r="0" b="0"/>
              <wp:wrapNone/>
              <wp:docPr id="518" name="Textbox 518"/>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D0F39FD" w14:textId="77777777" w:rsidR="008715BE" w:rsidRDefault="00000000">
                          <w:pPr>
                            <w:spacing w:before="26"/>
                            <w:ind w:left="20"/>
                            <w:rPr>
                              <w:sz w:val="12"/>
                            </w:rPr>
                          </w:pPr>
                          <w:r>
                            <w:rPr>
                              <w:spacing w:val="-5"/>
                              <w:w w:val="125"/>
                              <w:sz w:val="8"/>
                            </w:rPr>
                            <w:t>244</w:t>
                          </w:r>
                        </w:p>
                      </w:txbxContent>
                    </wps:txbx>
                    <wps:bodyPr wrap="square" lIns="0" tIns="0" rIns="0" bIns="0" rtlCol="0"/>
                  </wps:wsp>
                </a:graphicData>
              </a:graphic>
            </wp:anchor>
          </w:drawing>
        </mc:Choice>
        <mc:Fallback>
          <w:pict>
            <v:shapetype w14:anchorId="02141C4A" id="_x0000_t202" coordsize="21600,21600" o:spt="202" path="m,l,21600r21600,l21600,xe">
              <v:stroke joinstyle="miter"/>
              <v:path gradientshapeok="t" o:connecttype="rect"/>
            </v:shapetype>
            <v:shape id="Textbox 518" o:spid="_x0000_s1410" type="#_x0000_t202" style="position:absolute;margin-left:533.35pt;margin-top:789.75pt;width:13.55pt;height:9.3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BtUoxoABAADvAgAADgAAAAAAAAAAAAAAAAAuAgAA&#10;ZHJzL2Uyb0RvYy54bWxQSwECLQAUAAYACAAAACEASmg9A+IAAAAPAQAADwAAAAAAAAAAAAAAAADa&#10;AwAAZHJzL2Rvd25yZXYueG1sUEsFBgAAAAAEAAQA8wAAAOkEAAAAAA==&#10;" filled="f" stroked="f">
              <v:textbox inset="0,0,0,0">
                <w:txbxContent>
                  <w:p w14:paraId="2D0F39FD" w14:textId="77777777" w:rsidR="008715BE" w:rsidRDefault="00000000">
                    <w:pPr>
                      <w:spacing w:before="26"/>
                      <w:ind w:left="20"/>
                      <w:rPr>
                        <w:sz w:val="12"/>
                      </w:rPr>
                    </w:pPr>
                    <w:r>
                      <w:rPr>
                        <w:spacing w:val="-5"/>
                        <w:w w:val="125"/>
                        <w:sz w:val="8"/>
                      </w:rPr>
                      <w:t>244</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1C419"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59264" behindDoc="1" locked="0" layoutInCell="1" allowOverlap="1" wp14:anchorId="080646C8" wp14:editId="73D60932">
              <wp:simplePos x="0" y="0"/>
              <wp:positionH relativeFrom="page">
                <wp:posOffset>9610090</wp:posOffset>
              </wp:positionH>
              <wp:positionV relativeFrom="page">
                <wp:posOffset>6897926</wp:posOffset>
              </wp:positionV>
              <wp:extent cx="235585" cy="118110"/>
              <wp:effectExtent l="0" t="0" r="0" b="0"/>
              <wp:wrapNone/>
              <wp:docPr id="522" name="Textbox 52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ADF40A8"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246</w:t>
                          </w:r>
                          <w:r>
                            <w:rPr>
                              <w:spacing w:val="-5"/>
                              <w:w w:val="125"/>
                              <w:sz w:val="12"/>
                            </w:rPr>
                            <w:fldChar w:fldCharType="end"/>
                          </w:r>
                        </w:p>
                      </w:txbxContent>
                    </wps:txbx>
                    <wps:bodyPr wrap="square" lIns="0" tIns="0" rIns="0" bIns="0" rtlCol="0"/>
                  </wps:wsp>
                </a:graphicData>
              </a:graphic>
            </wp:anchor>
          </w:drawing>
        </mc:Choice>
        <mc:Fallback>
          <w:pict>
            <v:shapetype w14:anchorId="080646C8" id="_x0000_t202" coordsize="21600,21600" o:spt="202" path="m,l,21600r21600,l21600,xe">
              <v:stroke joinstyle="miter"/>
              <v:path gradientshapeok="t" o:connecttype="rect"/>
            </v:shapetype>
            <v:shape id="Textbox 522" o:spid="_x0000_s1412" type="#_x0000_t202" style="position:absolute;margin-left:756.7pt;margin-top:543.15pt;width:18.55pt;height:9.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" filled="f" stroked="f">
              <v:textbox inset="0,0,0,0">
                <w:txbxContent>
                  <w:p w14:paraId="7ADF40A8"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246</w:t>
                    </w:r>
                    <w:r>
                      <w:rPr>
                        <w:spacing w:val="-5"/>
                        <w:w w:val="125"/>
                        <w:sz w:val="12"/>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B9F62"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61312" behindDoc="1" locked="0" layoutInCell="1" allowOverlap="1" wp14:anchorId="752BB940" wp14:editId="296EB048">
              <wp:simplePos x="0" y="0"/>
              <wp:positionH relativeFrom="page">
                <wp:posOffset>6773418</wp:posOffset>
              </wp:positionH>
              <wp:positionV relativeFrom="page">
                <wp:posOffset>10029745</wp:posOffset>
              </wp:positionV>
              <wp:extent cx="172085" cy="118110"/>
              <wp:effectExtent l="0" t="0" r="0" b="0"/>
              <wp:wrapNone/>
              <wp:docPr id="525" name="Textbox 525"/>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C3A2A62" w14:textId="77777777" w:rsidR="008715BE" w:rsidRDefault="00000000">
                          <w:pPr>
                            <w:spacing w:before="26"/>
                            <w:ind w:left="20"/>
                            <w:rPr>
                              <w:sz w:val="12"/>
                            </w:rPr>
                          </w:pPr>
                          <w:r>
                            <w:rPr>
                              <w:spacing w:val="-5"/>
                              <w:w w:val="125"/>
                              <w:sz w:val="8"/>
                            </w:rPr>
                            <w:t>247</w:t>
                          </w:r>
                        </w:p>
                      </w:txbxContent>
                    </wps:txbx>
                    <wps:bodyPr wrap="square" lIns="0" tIns="0" rIns="0" bIns="0" rtlCol="0"/>
                  </wps:wsp>
                </a:graphicData>
              </a:graphic>
            </wp:anchor>
          </w:drawing>
        </mc:Choice>
        <mc:Fallback>
          <w:pict>
            <v:shapetype w14:anchorId="752BB940" id="_x0000_t202" coordsize="21600,21600" o:spt="202" path="m,l,21600r21600,l21600,xe">
              <v:stroke joinstyle="miter"/>
              <v:path gradientshapeok="t" o:connecttype="rect"/>
            </v:shapetype>
            <v:shape id="Textbox 525" o:spid="_x0000_s1413" type="#_x0000_t202" style="position:absolute;margin-left:533.35pt;margin-top:789.75pt;width:13.55pt;height:9.3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" filled="f" stroked="f">
              <v:textbox inset="0,0,0,0">
                <w:txbxContent>
                  <w:p w14:paraId="2C3A2A62" w14:textId="77777777" w:rsidR="008715BE" w:rsidRDefault="00000000">
                    <w:pPr>
                      <w:spacing w:before="26"/>
                      <w:ind w:left="20"/>
                      <w:rPr>
                        <w:sz w:val="12"/>
                      </w:rPr>
                    </w:pPr>
                    <w:r>
                      <w:rPr>
                        <w:spacing w:val="-5"/>
                        <w:w w:val="125"/>
                        <w:sz w:val="8"/>
                      </w:rPr>
                      <w:t>247</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BAA4A"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63360" behindDoc="1" locked="0" layoutInCell="1" allowOverlap="1" wp14:anchorId="166D8084" wp14:editId="01E810F0">
              <wp:simplePos x="0" y="0"/>
              <wp:positionH relativeFrom="page">
                <wp:posOffset>9635490</wp:posOffset>
              </wp:positionH>
              <wp:positionV relativeFrom="page">
                <wp:posOffset>6897926</wp:posOffset>
              </wp:positionV>
              <wp:extent cx="172085" cy="118110"/>
              <wp:effectExtent l="0" t="0" r="0" b="0"/>
              <wp:wrapNone/>
              <wp:docPr id="527" name="Textbox 527"/>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883BDDC" w14:textId="77777777" w:rsidR="008715BE" w:rsidRDefault="00000000">
                          <w:pPr>
                            <w:spacing w:before="26"/>
                            <w:ind w:left="20"/>
                            <w:rPr>
                              <w:sz w:val="12"/>
                            </w:rPr>
                          </w:pPr>
                          <w:r>
                            <w:rPr>
                              <w:spacing w:val="-5"/>
                              <w:w w:val="125"/>
                              <w:sz w:val="8"/>
                            </w:rPr>
                            <w:t>248</w:t>
                          </w:r>
                        </w:p>
                      </w:txbxContent>
                    </wps:txbx>
                    <wps:bodyPr wrap="square" lIns="0" tIns="0" rIns="0" bIns="0" rtlCol="0"/>
                  </wps:wsp>
                </a:graphicData>
              </a:graphic>
            </wp:anchor>
          </w:drawing>
        </mc:Choice>
        <mc:Fallback>
          <w:pict>
            <v:shapetype w14:anchorId="166D8084" id="_x0000_t202" coordsize="21600,21600" o:spt="202" path="m,l,21600r21600,l21600,xe">
              <v:stroke joinstyle="miter"/>
              <v:path gradientshapeok="t" o:connecttype="rect"/>
            </v:shapetype>
            <v:shape id="Textbox 527" o:spid="_x0000_s1414" type="#_x0000_t202" style="position:absolute;margin-left:758.7pt;margin-top:543.15pt;width:13.55pt;height:9.3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" filled="f" stroked="f">
              <v:textbox inset="0,0,0,0">
                <w:txbxContent>
                  <w:p w14:paraId="0883BDDC" w14:textId="77777777" w:rsidR="008715BE" w:rsidRDefault="00000000">
                    <w:pPr>
                      <w:spacing w:before="26"/>
                      <w:ind w:left="20"/>
                      <w:rPr>
                        <w:sz w:val="12"/>
                      </w:rPr>
                    </w:pPr>
                    <w:r>
                      <w:rPr>
                        <w:spacing w:val="-5"/>
                        <w:w w:val="125"/>
                        <w:sz w:val="8"/>
                      </w:rPr>
                      <w:t>248</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8F698"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65408" behindDoc="1" locked="0" layoutInCell="1" allowOverlap="1" wp14:anchorId="3EDE7784" wp14:editId="779BE2DC">
              <wp:simplePos x="0" y="0"/>
              <wp:positionH relativeFrom="page">
                <wp:posOffset>6773418</wp:posOffset>
              </wp:positionH>
              <wp:positionV relativeFrom="page">
                <wp:posOffset>10029745</wp:posOffset>
              </wp:positionV>
              <wp:extent cx="172085" cy="118110"/>
              <wp:effectExtent l="0" t="0" r="0" b="0"/>
              <wp:wrapNone/>
              <wp:docPr id="530" name="Textbox 530"/>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37277D90" w14:textId="77777777" w:rsidR="008715BE" w:rsidRDefault="00000000">
                          <w:pPr>
                            <w:spacing w:before="26"/>
                            <w:ind w:left="20"/>
                            <w:rPr>
                              <w:sz w:val="12"/>
                            </w:rPr>
                          </w:pPr>
                          <w:r>
                            <w:rPr>
                              <w:spacing w:val="-5"/>
                              <w:w w:val="125"/>
                              <w:sz w:val="8"/>
                            </w:rPr>
                            <w:t>249</w:t>
                          </w:r>
                        </w:p>
                      </w:txbxContent>
                    </wps:txbx>
                    <wps:bodyPr wrap="square" lIns="0" tIns="0" rIns="0" bIns="0" rtlCol="0"/>
                  </wps:wsp>
                </a:graphicData>
              </a:graphic>
            </wp:anchor>
          </w:drawing>
        </mc:Choice>
        <mc:Fallback>
          <w:pict>
            <v:shapetype w14:anchorId="3EDE7784" id="_x0000_t202" coordsize="21600,21600" o:spt="202" path="m,l,21600r21600,l21600,xe">
              <v:stroke joinstyle="miter"/>
              <v:path gradientshapeok="t" o:connecttype="rect"/>
            </v:shapetype>
            <v:shape id="Textbox 530" o:spid="_x0000_s1415" type="#_x0000_t202" style="position:absolute;margin-left:533.35pt;margin-top:789.75pt;width:13.55pt;height:9.3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fU2nvYABAADvAgAADgAAAAAAAAAAAAAAAAAuAgAA&#10;ZHJzL2Uyb0RvYy54bWxQSwECLQAUAAYACAAAACEASmg9A+IAAAAPAQAADwAAAAAAAAAAAAAAAADa&#10;AwAAZHJzL2Rvd25yZXYueG1sUEsFBgAAAAAEAAQA8wAAAOkEAAAAAA==&#10;" filled="f" stroked="f">
              <v:textbox inset="0,0,0,0">
                <w:txbxContent>
                  <w:p w14:paraId="37277D90" w14:textId="77777777" w:rsidR="008715BE" w:rsidRDefault="00000000">
                    <w:pPr>
                      <w:spacing w:before="26"/>
                      <w:ind w:left="20"/>
                      <w:rPr>
                        <w:sz w:val="12"/>
                      </w:rPr>
                    </w:pPr>
                    <w:r>
                      <w:rPr>
                        <w:spacing w:val="-5"/>
                        <w:w w:val="125"/>
                        <w:sz w:val="8"/>
                      </w:rPr>
                      <w:t>249</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3C3EB"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68480" behindDoc="1" locked="0" layoutInCell="1" allowOverlap="1" wp14:anchorId="325B15F2" wp14:editId="6B65C0D9">
              <wp:simplePos x="0" y="0"/>
              <wp:positionH relativeFrom="page">
                <wp:posOffset>9635490</wp:posOffset>
              </wp:positionH>
              <wp:positionV relativeFrom="page">
                <wp:posOffset>6897926</wp:posOffset>
              </wp:positionV>
              <wp:extent cx="172085" cy="118110"/>
              <wp:effectExtent l="0" t="0" r="0" b="0"/>
              <wp:wrapNone/>
              <wp:docPr id="532" name="Textbox 53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B52636B" w14:textId="77777777" w:rsidR="008715BE" w:rsidRDefault="00000000">
                          <w:pPr>
                            <w:spacing w:before="26"/>
                            <w:ind w:left="20"/>
                            <w:rPr>
                              <w:sz w:val="12"/>
                            </w:rPr>
                          </w:pPr>
                          <w:r>
                            <w:rPr>
                              <w:spacing w:val="-5"/>
                              <w:w w:val="125"/>
                              <w:sz w:val="8"/>
                            </w:rPr>
                            <w:t>250</w:t>
                          </w:r>
                        </w:p>
                      </w:txbxContent>
                    </wps:txbx>
                    <wps:bodyPr wrap="square" lIns="0" tIns="0" rIns="0" bIns="0" rtlCol="0"/>
                  </wps:wsp>
                </a:graphicData>
              </a:graphic>
            </wp:anchor>
          </w:drawing>
        </mc:Choice>
        <mc:Fallback>
          <w:pict>
            <v:shapetype w14:anchorId="325B15F2" id="_x0000_t202" coordsize="21600,21600" o:spt="202" path="m,l,21600r21600,l21600,xe">
              <v:stroke joinstyle="miter"/>
              <v:path gradientshapeok="t" o:connecttype="rect"/>
            </v:shapetype>
            <v:shape id="Textbox 532" o:spid="_x0000_s1416" type="#_x0000_t202" style="position:absolute;margin-left:758.7pt;margin-top:543.15pt;width:13.55pt;height:9.3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" filled="f" stroked="f">
              <v:textbox inset="0,0,0,0">
                <w:txbxContent>
                  <w:p w14:paraId="4B52636B" w14:textId="77777777" w:rsidR="008715BE" w:rsidRDefault="00000000">
                    <w:pPr>
                      <w:spacing w:before="26"/>
                      <w:ind w:left="20"/>
                      <w:rPr>
                        <w:sz w:val="12"/>
                      </w:rPr>
                    </w:pPr>
                    <w:r>
                      <w:rPr>
                        <w:spacing w:val="-5"/>
                        <w:w w:val="125"/>
                        <w:sz w:val="8"/>
                      </w:rPr>
                      <w:t>250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F0A2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88608" behindDoc="1" locked="0" layoutInCell="1" allowOverlap="1" wp14:anchorId="342744F5" wp14:editId="618D4B83">
              <wp:simplePos x="0" y="0"/>
              <wp:positionH relativeFrom="page">
                <wp:posOffset>717804</wp:posOffset>
              </wp:positionH>
              <wp:positionV relativeFrom="page">
                <wp:posOffset>9648745</wp:posOffset>
              </wp:positionV>
              <wp:extent cx="5198110" cy="371475"/>
              <wp:effectExtent l="0" t="0" r="0" b="0"/>
              <wp:wrapNone/>
              <wp:docPr id="25" name="Textbox 25"/>
              <wp:cNvGraphicFramePr/>
              <a:graphic xmlns:a="http://schemas.openxmlformats.org/drawingml/2006/main">
                <a:graphicData uri="http://schemas.microsoft.com/office/word/2010/wordprocessingShape">
                  <wps:wsp>
                    <wps:cNvSpPr txBox="1"/>
                    <wps:spPr>
                      <a:xfrm>
                        <a:off x="0" y="0"/>
                        <a:ext cx="5198110" cy="371475"/>
                      </a:xfrm>
                      <a:prstGeom prst="rect">
                        <a:avLst/>
                      </a:prstGeom>
                    </wps:spPr>
                    <wps:txbx>
                      <w:txbxContent>
                        <w:p w14:paraId="051853A3" w14:textId="77777777" w:rsidR="008715BE" w:rsidRDefault="00000000">
                          <w:pPr>
                            <w:spacing w:before="24" w:line="326" w:lineRule="auto"/>
                            <w:ind w:left="144" w:right="18" w:hanging="85"/>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2</w:t>
                          </w:r>
                          <w:r>
                            <w:rPr>
                              <w:color w:val="797766"/>
                              <w:w w:val="125"/>
                              <w:position w:val="4"/>
                              <w:sz w:val="8"/>
                            </w:rPr>
                            <w:fldChar w:fldCharType="end"/>
                          </w:r>
                          <w:hyperlink r:id="rId1">
                            <w:r w:rsidR="008715BE">
                              <w:rPr>
                                <w:color w:val="797766"/>
                                <w:w w:val="125"/>
                                <w:sz w:val="8"/>
                              </w:rPr>
                              <w:t xml:space="preserve"> https://www.uvp-verbund.de/documents-ige-ng/igc_mv/d941ac0f-cb63-4acf-9b92-47aa66d6ba21/3%20Anlage%20und%20Betrieb/16%20Anlagenspez.%20Documents/16.1.3%20Safety devices/16.1.3.2-</w:t>
                            </w:r>
                          </w:hyperlink>
                        </w:p>
                        <w:p w14:paraId="114D4C1D" w14:textId="77777777" w:rsidR="008715BE" w:rsidRDefault="00000000">
                          <w:pPr>
                            <w:ind w:left="144"/>
                            <w:rPr>
                              <w:sz w:val="12"/>
                            </w:rPr>
                          </w:pPr>
                          <w:r>
                            <w:rPr>
                              <w:color w:val="797766"/>
                              <w:spacing w:val="-2"/>
                              <w:w w:val="125"/>
                              <w:sz w:val="8"/>
                            </w:rPr>
                            <w:t>2%20Working instructions for earthing system.pdf</w:t>
                          </w:r>
                        </w:p>
                      </w:txbxContent>
                    </wps:txbx>
                    <wps:bodyPr wrap="square" lIns="0" tIns="0" rIns="0" bIns="0" rtlCol="0"/>
                  </wps:wsp>
                </a:graphicData>
              </a:graphic>
            </wp:anchor>
          </w:drawing>
        </mc:Choice>
        <mc:Fallback>
          <w:pict>
            <v:shapetype w14:anchorId="342744F5" id="_x0000_t202" coordsize="21600,21600" o:spt="202" path="m,l,21600r21600,l21600,xe">
              <v:stroke joinstyle="miter"/>
              <v:path gradientshapeok="t" o:connecttype="rect"/>
            </v:shapetype>
            <v:shape id="Textbox 25" o:spid="_x0000_s1352" type="#_x0000_t202" style="position:absolute;margin-left:56.5pt;margin-top:759.75pt;width:409.3pt;height:29.25pt;z-index:-25172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" filled="f" stroked="f">
              <v:textbox inset="0,0,0,0">
                <w:txbxContent>
                  <w:p w14:paraId="051853A3" w14:textId="77777777" w:rsidR="008715BE" w:rsidRDefault="00000000">
                    <w:pPr>
                      <w:spacing w:before="24" w:line="326" w:lineRule="auto"/>
                      <w:ind w:left="144" w:right="18" w:hanging="85"/>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2</w:t>
                    </w:r>
                    <w:r>
                      <w:rPr>
                        <w:color w:val="797766"/>
                        <w:w w:val="125"/>
                        <w:position w:val="4"/>
                        <w:sz w:val="8"/>
                      </w:rPr>
                      <w:fldChar w:fldCharType="end"/>
                    </w:r>
                    <w:hyperlink r:id="rId2">
                      <w:r w:rsidR="008715BE">
                        <w:rPr>
                          <w:color w:val="797766"/>
                          <w:w w:val="125"/>
                          <w:sz w:val="8"/>
                        </w:rPr>
                        <w:t xml:space="preserve"> https://www.uvp-verbund.de/documents-ige-ng/igc_mv/d941ac0f-cb63-4acf-9b92-47aa66d6ba21/3%20Anlage%20und%20Betrieb/16%20Anlagenspez.%20Documents/16.1.3%20Safety devices/16.1.3.2-</w:t>
                      </w:r>
                    </w:hyperlink>
                  </w:p>
                  <w:p w14:paraId="114D4C1D" w14:textId="77777777" w:rsidR="008715BE" w:rsidRDefault="00000000">
                    <w:pPr>
                      <w:ind w:left="144"/>
                      <w:rPr>
                        <w:sz w:val="12"/>
                      </w:rPr>
                    </w:pPr>
                    <w:r>
                      <w:rPr>
                        <w:color w:val="797766"/>
                        <w:spacing w:val="-2"/>
                        <w:w w:val="125"/>
                        <w:sz w:val="8"/>
                      </w:rPr>
                      <w:t>2%20Working instructions for earthing system.pdf</w:t>
                    </w:r>
                  </w:p>
                </w:txbxContent>
              </v:textbox>
              <w10:wrap anchorx="page" anchory="page"/>
            </v:shape>
          </w:pict>
        </mc:Fallback>
      </mc:AlternateContent>
    </w:r>
    <w:r>
      <w:rPr>
        <w:noProof/>
        <w:sz w:val="20"/>
      </w:rPr>
      <mc:AlternateContent>
        <mc:Choice Requires="wps">
          <w:drawing>
            <wp:anchor distT="0" distB="0" distL="0" distR="0" simplePos="0" relativeHeight="251590656" behindDoc="1" locked="0" layoutInCell="1" allowOverlap="1" wp14:anchorId="0496B8A2" wp14:editId="2535E2BD">
              <wp:simplePos x="0" y="0"/>
              <wp:positionH relativeFrom="page">
                <wp:posOffset>6822185</wp:posOffset>
              </wp:positionH>
              <wp:positionV relativeFrom="page">
                <wp:posOffset>10029745</wp:posOffset>
              </wp:positionV>
              <wp:extent cx="123189" cy="118110"/>
              <wp:effectExtent l="0" t="0" r="0" b="0"/>
              <wp:wrapNone/>
              <wp:docPr id="26" name="Textbox 26"/>
              <wp:cNvGraphicFramePr/>
              <a:graphic xmlns:a="http://schemas.openxmlformats.org/drawingml/2006/main">
                <a:graphicData uri="http://schemas.microsoft.com/office/word/2010/wordprocessingShape">
                  <wps:wsp>
                    <wps:cNvSpPr txBox="1"/>
                    <wps:spPr>
                      <a:xfrm>
                        <a:off x="0" y="0"/>
                        <a:ext cx="123189" cy="118110"/>
                      </a:xfrm>
                      <a:prstGeom prst="rect">
                        <a:avLst/>
                      </a:prstGeom>
                    </wps:spPr>
                    <wps:txbx>
                      <w:txbxContent>
                        <w:p w14:paraId="55B8EB65" w14:textId="77777777" w:rsidR="008715BE" w:rsidRDefault="00000000">
                          <w:pPr>
                            <w:spacing w:before="26"/>
                            <w:ind w:left="20"/>
                            <w:rPr>
                              <w:sz w:val="12"/>
                            </w:rPr>
                          </w:pPr>
                          <w:r>
                            <w:rPr>
                              <w:spacing w:val="-5"/>
                              <w:w w:val="125"/>
                              <w:sz w:val="8"/>
                            </w:rPr>
                            <w:t>15</w:t>
                          </w:r>
                        </w:p>
                      </w:txbxContent>
                    </wps:txbx>
                    <wps:bodyPr wrap="square" lIns="0" tIns="0" rIns="0" bIns="0" rtlCol="0"/>
                  </wps:wsp>
                </a:graphicData>
              </a:graphic>
            </wp:anchor>
          </w:drawing>
        </mc:Choice>
        <mc:Fallback>
          <w:pict>
            <v:shape w14:anchorId="0496B8A2" id="Textbox 26" o:spid="_x0000_s1353" type="#_x0000_t202" style="position:absolute;margin-left:537.2pt;margin-top:789.75pt;width:9.7pt;height:9.3pt;z-index:-2517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" filled="f" stroked="f">
              <v:textbox inset="0,0,0,0">
                <w:txbxContent>
                  <w:p w14:paraId="55B8EB65" w14:textId="77777777" w:rsidR="008715BE" w:rsidRDefault="00000000">
                    <w:pPr>
                      <w:spacing w:before="26"/>
                      <w:ind w:left="20"/>
                      <w:rPr>
                        <w:sz w:val="12"/>
                      </w:rPr>
                    </w:pPr>
                    <w:r>
                      <w:rPr>
                        <w:spacing w:val="-5"/>
                        <w:w w:val="125"/>
                        <w:sz w:val="8"/>
                      </w:rPr>
                      <w:t>15</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13103"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70528" behindDoc="1" locked="0" layoutInCell="1" allowOverlap="1" wp14:anchorId="1C9EFB36" wp14:editId="1A17FFF1">
              <wp:simplePos x="0" y="0"/>
              <wp:positionH relativeFrom="page">
                <wp:posOffset>6748018</wp:posOffset>
              </wp:positionH>
              <wp:positionV relativeFrom="page">
                <wp:posOffset>10029745</wp:posOffset>
              </wp:positionV>
              <wp:extent cx="235585" cy="118110"/>
              <wp:effectExtent l="0" t="0" r="0" b="0"/>
              <wp:wrapNone/>
              <wp:docPr id="537" name="Textbox 537"/>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242EBE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259</w:t>
                          </w:r>
                          <w:r>
                            <w:rPr>
                              <w:spacing w:val="-5"/>
                              <w:w w:val="125"/>
                              <w:sz w:val="12"/>
                            </w:rPr>
                            <w:fldChar w:fldCharType="end"/>
                          </w:r>
                        </w:p>
                      </w:txbxContent>
                    </wps:txbx>
                    <wps:bodyPr wrap="square" lIns="0" tIns="0" rIns="0" bIns="0" rtlCol="0"/>
                  </wps:wsp>
                </a:graphicData>
              </a:graphic>
            </wp:anchor>
          </w:drawing>
        </mc:Choice>
        <mc:Fallback>
          <w:pict>
            <v:shapetype w14:anchorId="1C9EFB36" id="_x0000_t202" coordsize="21600,21600" o:spt="202" path="m,l,21600r21600,l21600,xe">
              <v:stroke joinstyle="miter"/>
              <v:path gradientshapeok="t" o:connecttype="rect"/>
            </v:shapetype>
            <v:shape id="Textbox 537" o:spid="_x0000_s1418" type="#_x0000_t202" style="position:absolute;margin-left:531.35pt;margin-top:789.75pt;width:18.55pt;height:9.3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NAGsLWBAQAA7wIAAA4AAAAAAAAAAAAAAAAALgIA&#10;AGRycy9lMm9Eb2MueG1sUEsBAi0AFAAGAAgAAAAhAFzd3T7iAAAADwEAAA8AAAAAAAAAAAAAAAAA&#10;2wMAAGRycy9kb3ducmV2LnhtbFBLBQYAAAAABAAEAPMAAADqBAAAAAA=&#10;" filled="f" stroked="f">
              <v:textbox inset="0,0,0,0">
                <w:txbxContent>
                  <w:p w14:paraId="1242EBE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259</w:t>
                    </w:r>
                    <w:r>
                      <w:rPr>
                        <w:spacing w:val="-5"/>
                        <w:w w:val="125"/>
                        <w:sz w:val="12"/>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5D9D7"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73600" behindDoc="1" locked="0" layoutInCell="1" allowOverlap="1" wp14:anchorId="44B07FED" wp14:editId="422880A3">
              <wp:simplePos x="0" y="0"/>
              <wp:positionH relativeFrom="page">
                <wp:posOffset>9610090</wp:posOffset>
              </wp:positionH>
              <wp:positionV relativeFrom="page">
                <wp:posOffset>6897926</wp:posOffset>
              </wp:positionV>
              <wp:extent cx="235585" cy="118110"/>
              <wp:effectExtent l="0" t="0" r="0" b="0"/>
              <wp:wrapNone/>
              <wp:docPr id="543" name="Textbox 54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9C6BA1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262</w:t>
                          </w:r>
                          <w:r>
                            <w:rPr>
                              <w:spacing w:val="-5"/>
                              <w:w w:val="125"/>
                              <w:sz w:val="12"/>
                            </w:rPr>
                            <w:fldChar w:fldCharType="end"/>
                          </w:r>
                        </w:p>
                      </w:txbxContent>
                    </wps:txbx>
                    <wps:bodyPr wrap="square" lIns="0" tIns="0" rIns="0" bIns="0" rtlCol="0"/>
                  </wps:wsp>
                </a:graphicData>
              </a:graphic>
            </wp:anchor>
          </w:drawing>
        </mc:Choice>
        <mc:Fallback>
          <w:pict>
            <v:shapetype w14:anchorId="44B07FED" id="_x0000_t202" coordsize="21600,21600" o:spt="202" path="m,l,21600r21600,l21600,xe">
              <v:stroke joinstyle="miter"/>
              <v:path gradientshapeok="t" o:connecttype="rect"/>
            </v:shapetype>
            <v:shape id="Textbox 543" o:spid="_x0000_s1420" type="#_x0000_t202" style="position:absolute;margin-left:756.7pt;margin-top:543.15pt;width:18.55pt;height:9.3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" filled="f" stroked="f">
              <v:textbox inset="0,0,0,0">
                <w:txbxContent>
                  <w:p w14:paraId="69C6BA13"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262</w:t>
                    </w:r>
                    <w:r>
                      <w:rPr>
                        <w:spacing w:val="-5"/>
                        <w:w w:val="125"/>
                        <w:sz w:val="12"/>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DC56C"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75648" behindDoc="1" locked="0" layoutInCell="1" allowOverlap="1" wp14:anchorId="4D128791" wp14:editId="5AE79F10">
              <wp:simplePos x="0" y="0"/>
              <wp:positionH relativeFrom="page">
                <wp:posOffset>6748018</wp:posOffset>
              </wp:positionH>
              <wp:positionV relativeFrom="page">
                <wp:posOffset>10029745</wp:posOffset>
              </wp:positionV>
              <wp:extent cx="235585" cy="118110"/>
              <wp:effectExtent l="0" t="0" r="0" b="0"/>
              <wp:wrapNone/>
              <wp:docPr id="546" name="Textbox 54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70A219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266</w:t>
                          </w:r>
                          <w:r>
                            <w:rPr>
                              <w:spacing w:val="-5"/>
                              <w:w w:val="125"/>
                              <w:sz w:val="12"/>
                            </w:rPr>
                            <w:fldChar w:fldCharType="end"/>
                          </w:r>
                        </w:p>
                      </w:txbxContent>
                    </wps:txbx>
                    <wps:bodyPr wrap="square" lIns="0" tIns="0" rIns="0" bIns="0" rtlCol="0"/>
                  </wps:wsp>
                </a:graphicData>
              </a:graphic>
            </wp:anchor>
          </w:drawing>
        </mc:Choice>
        <mc:Fallback>
          <w:pict>
            <v:shapetype w14:anchorId="4D128791" id="_x0000_t202" coordsize="21600,21600" o:spt="202" path="m,l,21600r21600,l21600,xe">
              <v:stroke joinstyle="miter"/>
              <v:path gradientshapeok="t" o:connecttype="rect"/>
            </v:shapetype>
            <v:shape id="Textbox 546" o:spid="_x0000_s1422" type="#_x0000_t202" style="position:absolute;margin-left:531.35pt;margin-top:789.75pt;width:18.55pt;height:9.3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" filled="f" stroked="f">
              <v:textbox inset="0,0,0,0">
                <w:txbxContent>
                  <w:p w14:paraId="070A219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266</w:t>
                    </w:r>
                    <w:r>
                      <w:rPr>
                        <w:spacing w:val="-5"/>
                        <w:w w:val="125"/>
                        <w:sz w:val="12"/>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67191"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77696" behindDoc="1" locked="0" layoutInCell="1" allowOverlap="1" wp14:anchorId="5FB47911" wp14:editId="299557B8">
              <wp:simplePos x="0" y="0"/>
              <wp:positionH relativeFrom="page">
                <wp:posOffset>717804</wp:posOffset>
              </wp:positionH>
              <wp:positionV relativeFrom="page">
                <wp:posOffset>9901729</wp:posOffset>
              </wp:positionV>
              <wp:extent cx="1745614" cy="118110"/>
              <wp:effectExtent l="0" t="0" r="0" b="0"/>
              <wp:wrapNone/>
              <wp:docPr id="552" name="Textbox 552"/>
              <wp:cNvGraphicFramePr/>
              <a:graphic xmlns:a="http://schemas.openxmlformats.org/drawingml/2006/main">
                <a:graphicData uri="http://schemas.microsoft.com/office/word/2010/wordprocessingShape">
                  <wps:wsp>
                    <wps:cNvSpPr txBox="1"/>
                    <wps:spPr>
                      <a:xfrm>
                        <a:off x="0" y="0"/>
                        <a:ext cx="1745614" cy="118110"/>
                      </a:xfrm>
                      <a:prstGeom prst="rect">
                        <a:avLst/>
                      </a:prstGeom>
                    </wps:spPr>
                    <wps:txbx>
                      <w:txbxContent>
                        <w:p w14:paraId="40FF2BC5" w14:textId="77777777" w:rsidR="008715BE" w:rsidRDefault="00000000">
                          <w:pPr>
                            <w:spacing w:before="24"/>
                            <w:ind w:left="60"/>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29</w:t>
                          </w:r>
                          <w:r>
                            <w:rPr>
                              <w:color w:val="797766"/>
                              <w:w w:val="125"/>
                              <w:position w:val="4"/>
                              <w:sz w:val="8"/>
                            </w:rPr>
                            <w:fldChar w:fldCharType="end"/>
                          </w:r>
                          <w:hyperlink r:id="rId1">
                            <w:r w:rsidR="008715BE">
                              <w:rPr>
                                <w:color w:val="797766"/>
                                <w:spacing w:val="-2"/>
                                <w:w w:val="125"/>
                                <w:sz w:val="8"/>
                              </w:rPr>
                              <w:t xml:space="preserve"> https://eea.government.bg/bg/soer/2023</w:t>
                            </w:r>
                          </w:hyperlink>
                        </w:p>
                      </w:txbxContent>
                    </wps:txbx>
                    <wps:bodyPr wrap="square" lIns="0" tIns="0" rIns="0" bIns="0" rtlCol="0"/>
                  </wps:wsp>
                </a:graphicData>
              </a:graphic>
            </wp:anchor>
          </w:drawing>
        </mc:Choice>
        <mc:Fallback>
          <w:pict>
            <v:shapetype w14:anchorId="5FB47911" id="_x0000_t202" coordsize="21600,21600" o:spt="202" path="m,l,21600r21600,l21600,xe">
              <v:stroke joinstyle="miter"/>
              <v:path gradientshapeok="t" o:connecttype="rect"/>
            </v:shapetype>
            <v:shape id="Textbox 552" o:spid="_x0000_s1424" type="#_x0000_t202" style="position:absolute;margin-left:56.5pt;margin-top:779.65pt;width:137.45pt;height:9.3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" filled="f" stroked="f">
              <v:textbox inset="0,0,0,0">
                <w:txbxContent>
                  <w:p w14:paraId="40FF2BC5" w14:textId="77777777" w:rsidR="008715BE" w:rsidRDefault="00000000">
                    <w:pPr>
                      <w:spacing w:before="24"/>
                      <w:ind w:left="60"/>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29</w:t>
                    </w:r>
                    <w:r>
                      <w:rPr>
                        <w:color w:val="797766"/>
                        <w:w w:val="125"/>
                        <w:position w:val="4"/>
                        <w:sz w:val="8"/>
                      </w:rPr>
                      <w:fldChar w:fldCharType="end"/>
                    </w:r>
                    <w:hyperlink r:id="rId2">
                      <w:r w:rsidR="008715BE">
                        <w:rPr>
                          <w:color w:val="797766"/>
                          <w:spacing w:val="-2"/>
                          <w:w w:val="125"/>
                          <w:sz w:val="8"/>
                        </w:rPr>
                        <w:t xml:space="preserve"> https://eea.government.bg/bg/soer/2023</w:t>
                      </w:r>
                    </w:hyperlink>
                  </w:p>
                </w:txbxContent>
              </v:textbox>
              <w10:wrap anchorx="page" anchory="page"/>
            </v:shape>
          </w:pict>
        </mc:Fallback>
      </mc:AlternateContent>
    </w:r>
    <w:r>
      <w:rPr>
        <w:noProof/>
        <w:sz w:val="20"/>
      </w:rPr>
      <mc:AlternateContent>
        <mc:Choice Requires="wps">
          <w:drawing>
            <wp:anchor distT="0" distB="0" distL="0" distR="0" simplePos="0" relativeHeight="251679744" behindDoc="1" locked="0" layoutInCell="1" allowOverlap="1" wp14:anchorId="6152FFD0" wp14:editId="482CC3D3">
              <wp:simplePos x="0" y="0"/>
              <wp:positionH relativeFrom="page">
                <wp:posOffset>6773418</wp:posOffset>
              </wp:positionH>
              <wp:positionV relativeFrom="page">
                <wp:posOffset>10029745</wp:posOffset>
              </wp:positionV>
              <wp:extent cx="172085" cy="118110"/>
              <wp:effectExtent l="0" t="0" r="0" b="0"/>
              <wp:wrapNone/>
              <wp:docPr id="553" name="Textbox 553"/>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5DA949F" w14:textId="77777777" w:rsidR="008715BE" w:rsidRDefault="00000000">
                          <w:pPr>
                            <w:spacing w:before="26"/>
                            <w:ind w:left="20"/>
                            <w:rPr>
                              <w:sz w:val="12"/>
                            </w:rPr>
                          </w:pPr>
                          <w:r>
                            <w:rPr>
                              <w:spacing w:val="-5"/>
                              <w:w w:val="125"/>
                              <w:sz w:val="8"/>
                            </w:rPr>
                            <w:t>267</w:t>
                          </w:r>
                        </w:p>
                      </w:txbxContent>
                    </wps:txbx>
                    <wps:bodyPr wrap="square" lIns="0" tIns="0" rIns="0" bIns="0" rtlCol="0"/>
                  </wps:wsp>
                </a:graphicData>
              </a:graphic>
            </wp:anchor>
          </w:drawing>
        </mc:Choice>
        <mc:Fallback>
          <w:pict>
            <v:shape w14:anchorId="6152FFD0" id="Textbox 553" o:spid="_x0000_s1425" type="#_x0000_t202" style="position:absolute;margin-left:533.35pt;margin-top:789.75pt;width:13.55pt;height:9.3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TvElSYABAADvAgAADgAAAAAAAAAAAAAAAAAuAgAA&#10;ZHJzL2Uyb0RvYy54bWxQSwECLQAUAAYACAAAACEASmg9A+IAAAAPAQAADwAAAAAAAAAAAAAAAADa&#10;AwAAZHJzL2Rvd25yZXYueG1sUEsFBgAAAAAEAAQA8wAAAOkEAAAAAA==&#10;" filled="f" stroked="f">
              <v:textbox inset="0,0,0,0">
                <w:txbxContent>
                  <w:p w14:paraId="45DA949F" w14:textId="77777777" w:rsidR="008715BE" w:rsidRDefault="00000000">
                    <w:pPr>
                      <w:spacing w:before="26"/>
                      <w:ind w:left="20"/>
                      <w:rPr>
                        <w:sz w:val="12"/>
                      </w:rPr>
                    </w:pPr>
                    <w:r>
                      <w:rPr>
                        <w:spacing w:val="-5"/>
                        <w:w w:val="125"/>
                        <w:sz w:val="8"/>
                      </w:rPr>
                      <w:t>267</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9E86F"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81792" behindDoc="1" locked="0" layoutInCell="1" allowOverlap="1" wp14:anchorId="07DB9229" wp14:editId="0D82F2C8">
              <wp:simplePos x="0" y="0"/>
              <wp:positionH relativeFrom="page">
                <wp:posOffset>717804</wp:posOffset>
              </wp:positionH>
              <wp:positionV relativeFrom="page">
                <wp:posOffset>9901729</wp:posOffset>
              </wp:positionV>
              <wp:extent cx="1745614" cy="118110"/>
              <wp:effectExtent l="0" t="0" r="0" b="0"/>
              <wp:wrapNone/>
              <wp:docPr id="557" name="Textbox 557"/>
              <wp:cNvGraphicFramePr/>
              <a:graphic xmlns:a="http://schemas.openxmlformats.org/drawingml/2006/main">
                <a:graphicData uri="http://schemas.microsoft.com/office/word/2010/wordprocessingShape">
                  <wps:wsp>
                    <wps:cNvSpPr txBox="1"/>
                    <wps:spPr>
                      <a:xfrm>
                        <a:off x="0" y="0"/>
                        <a:ext cx="1745614" cy="118110"/>
                      </a:xfrm>
                      <a:prstGeom prst="rect">
                        <a:avLst/>
                      </a:prstGeom>
                    </wps:spPr>
                    <wps:txbx>
                      <w:txbxContent>
                        <w:p w14:paraId="14467E36" w14:textId="77777777" w:rsidR="008715BE" w:rsidRDefault="00000000">
                          <w:pPr>
                            <w:spacing w:before="24"/>
                            <w:ind w:left="60"/>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30</w:t>
                          </w:r>
                          <w:r>
                            <w:rPr>
                              <w:color w:val="797766"/>
                              <w:w w:val="125"/>
                              <w:position w:val="4"/>
                              <w:sz w:val="8"/>
                            </w:rPr>
                            <w:fldChar w:fldCharType="end"/>
                          </w:r>
                          <w:hyperlink r:id="rId1">
                            <w:r w:rsidR="008715BE">
                              <w:rPr>
                                <w:color w:val="797766"/>
                                <w:spacing w:val="-2"/>
                                <w:w w:val="125"/>
                                <w:sz w:val="8"/>
                              </w:rPr>
                              <w:t xml:space="preserve"> https://eea.government.bg/bg/soer/2023</w:t>
                            </w:r>
                          </w:hyperlink>
                        </w:p>
                      </w:txbxContent>
                    </wps:txbx>
                    <wps:bodyPr wrap="square" lIns="0" tIns="0" rIns="0" bIns="0" rtlCol="0"/>
                  </wps:wsp>
                </a:graphicData>
              </a:graphic>
            </wp:anchor>
          </w:drawing>
        </mc:Choice>
        <mc:Fallback>
          <w:pict>
            <v:shapetype w14:anchorId="07DB9229" id="_x0000_t202" coordsize="21600,21600" o:spt="202" path="m,l,21600r21600,l21600,xe">
              <v:stroke joinstyle="miter"/>
              <v:path gradientshapeok="t" o:connecttype="rect"/>
            </v:shapetype>
            <v:shape id="Textbox 557" o:spid="_x0000_s1427" type="#_x0000_t202" style="position:absolute;margin-left:56.5pt;margin-top:779.65pt;width:137.45pt;height:9.3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" filled="f" stroked="f">
              <v:textbox inset="0,0,0,0">
                <w:txbxContent>
                  <w:p w14:paraId="14467E36" w14:textId="77777777" w:rsidR="008715BE" w:rsidRDefault="00000000">
                    <w:pPr>
                      <w:spacing w:before="24"/>
                      <w:ind w:left="60"/>
                      <w:rPr>
                        <w:sz w:val="12"/>
                      </w:rPr>
                    </w:pPr>
                    <w:r>
                      <w:rPr>
                        <w:color w:val="797766"/>
                        <w:w w:val="125"/>
                        <w:position w:val="4"/>
                        <w:sz w:val="8"/>
                      </w:rPr>
                      <w:fldChar w:fldCharType="begin"/>
                    </w:r>
                    <w:r>
                      <w:rPr>
                        <w:color w:val="797766"/>
                        <w:w w:val="125"/>
                        <w:position w:val="4"/>
                        <w:sz w:val="5"/>
                      </w:rPr>
                      <w:instrText xml:space="preserve"> PAGE </w:instrText>
                    </w:r>
                    <w:r>
                      <w:rPr>
                        <w:color w:val="797766"/>
                        <w:w w:val="125"/>
                        <w:position w:val="4"/>
                        <w:sz w:val="8"/>
                      </w:rPr>
                      <w:fldChar w:fldCharType="separate"/>
                    </w:r>
                    <w:r>
                      <w:rPr>
                        <w:color w:val="797766"/>
                        <w:w w:val="125"/>
                        <w:position w:val="4"/>
                        <w:sz w:val="5"/>
                      </w:rPr>
                      <w:t>30</w:t>
                    </w:r>
                    <w:r>
                      <w:rPr>
                        <w:color w:val="797766"/>
                        <w:w w:val="125"/>
                        <w:position w:val="4"/>
                        <w:sz w:val="8"/>
                      </w:rPr>
                      <w:fldChar w:fldCharType="end"/>
                    </w:r>
                    <w:hyperlink r:id="rId2">
                      <w:r w:rsidR="008715BE">
                        <w:rPr>
                          <w:color w:val="797766"/>
                          <w:spacing w:val="-2"/>
                          <w:w w:val="125"/>
                          <w:sz w:val="8"/>
                        </w:rPr>
                        <w:t xml:space="preserve"> https://eea.government.bg/bg/soer/2023</w:t>
                      </w:r>
                    </w:hyperlink>
                  </w:p>
                </w:txbxContent>
              </v:textbox>
              <w10:wrap anchorx="page" anchory="page"/>
            </v:shape>
          </w:pict>
        </mc:Fallback>
      </mc:AlternateContent>
    </w:r>
    <w:r>
      <w:rPr>
        <w:noProof/>
        <w:sz w:val="20"/>
      </w:rPr>
      <mc:AlternateContent>
        <mc:Choice Requires="wps">
          <w:drawing>
            <wp:anchor distT="0" distB="0" distL="0" distR="0" simplePos="0" relativeHeight="251684864" behindDoc="1" locked="0" layoutInCell="1" allowOverlap="1" wp14:anchorId="73A8ABDC" wp14:editId="28D60285">
              <wp:simplePos x="0" y="0"/>
              <wp:positionH relativeFrom="page">
                <wp:posOffset>6773418</wp:posOffset>
              </wp:positionH>
              <wp:positionV relativeFrom="page">
                <wp:posOffset>10029745</wp:posOffset>
              </wp:positionV>
              <wp:extent cx="172085" cy="118110"/>
              <wp:effectExtent l="0" t="0" r="0" b="0"/>
              <wp:wrapNone/>
              <wp:docPr id="558" name="Textbox 558"/>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0B1B0CD" w14:textId="77777777" w:rsidR="008715BE" w:rsidRDefault="00000000">
                          <w:pPr>
                            <w:spacing w:before="26"/>
                            <w:ind w:left="20"/>
                            <w:rPr>
                              <w:sz w:val="12"/>
                            </w:rPr>
                          </w:pPr>
                          <w:r>
                            <w:rPr>
                              <w:spacing w:val="-5"/>
                              <w:w w:val="125"/>
                              <w:sz w:val="8"/>
                            </w:rPr>
                            <w:t>268</w:t>
                          </w:r>
                        </w:p>
                      </w:txbxContent>
                    </wps:txbx>
                    <wps:bodyPr wrap="square" lIns="0" tIns="0" rIns="0" bIns="0" rtlCol="0"/>
                  </wps:wsp>
                </a:graphicData>
              </a:graphic>
            </wp:anchor>
          </w:drawing>
        </mc:Choice>
        <mc:Fallback>
          <w:pict>
            <v:shape w14:anchorId="73A8ABDC" id="Textbox 558" o:spid="_x0000_s1428" type="#_x0000_t202" style="position:absolute;margin-left:533.35pt;margin-top:789.75pt;width:13.55pt;height:9.3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vNAie4ABAADvAgAADgAAAAAAAAAAAAAAAAAuAgAA&#10;ZHJzL2Uyb0RvYy54bWxQSwECLQAUAAYACAAAACEASmg9A+IAAAAPAQAADwAAAAAAAAAAAAAAAADa&#10;AwAAZHJzL2Rvd25yZXYueG1sUEsFBgAAAAAEAAQA8wAAAOkEAAAAAA==&#10;" filled="f" stroked="f">
              <v:textbox inset="0,0,0,0">
                <w:txbxContent>
                  <w:p w14:paraId="00B1B0CD" w14:textId="77777777" w:rsidR="008715BE" w:rsidRDefault="00000000">
                    <w:pPr>
                      <w:spacing w:before="26"/>
                      <w:ind w:left="20"/>
                      <w:rPr>
                        <w:sz w:val="12"/>
                      </w:rPr>
                    </w:pPr>
                    <w:r>
                      <w:rPr>
                        <w:spacing w:val="-5"/>
                        <w:w w:val="125"/>
                        <w:sz w:val="8"/>
                      </w:rPr>
                      <w:t>268</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15C50"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87936" behindDoc="1" locked="0" layoutInCell="1" allowOverlap="1" wp14:anchorId="7670FE5B" wp14:editId="67DADFF8">
              <wp:simplePos x="0" y="0"/>
              <wp:positionH relativeFrom="page">
                <wp:posOffset>6748018</wp:posOffset>
              </wp:positionH>
              <wp:positionV relativeFrom="page">
                <wp:posOffset>10029745</wp:posOffset>
              </wp:positionV>
              <wp:extent cx="235585" cy="118110"/>
              <wp:effectExtent l="0" t="0" r="0" b="0"/>
              <wp:wrapNone/>
              <wp:docPr id="564" name="Textbox 56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7D91C1C"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273</w:t>
                          </w:r>
                          <w:r>
                            <w:rPr>
                              <w:spacing w:val="-5"/>
                              <w:w w:val="125"/>
                              <w:sz w:val="12"/>
                            </w:rPr>
                            <w:fldChar w:fldCharType="end"/>
                          </w:r>
                        </w:p>
                      </w:txbxContent>
                    </wps:txbx>
                    <wps:bodyPr wrap="square" lIns="0" tIns="0" rIns="0" bIns="0" rtlCol="0"/>
                  </wps:wsp>
                </a:graphicData>
              </a:graphic>
            </wp:anchor>
          </w:drawing>
        </mc:Choice>
        <mc:Fallback>
          <w:pict>
            <v:shapetype w14:anchorId="7670FE5B" id="_x0000_t202" coordsize="21600,21600" o:spt="202" path="m,l,21600r21600,l21600,xe">
              <v:stroke joinstyle="miter"/>
              <v:path gradientshapeok="t" o:connecttype="rect"/>
            </v:shapetype>
            <v:shape id="Textbox 564" o:spid="_x0000_s1430" type="#_x0000_t202" style="position:absolute;margin-left:531.35pt;margin-top:789.75pt;width:18.55pt;height:9.3pt;z-index:-251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ennfdYABAADvAgAADgAAAAAAAAAAAAAAAAAuAgAA&#10;ZHJzL2Uyb0RvYy54bWxQSwECLQAUAAYACAAAACEAXN3dPuIAAAAPAQAADwAAAAAAAAAAAAAAAADa&#10;AwAAZHJzL2Rvd25yZXYueG1sUEsFBgAAAAAEAAQA8wAAAOkEAAAAAA==&#10;" filled="f" stroked="f">
              <v:textbox inset="0,0,0,0">
                <w:txbxContent>
                  <w:p w14:paraId="37D91C1C"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273</w:t>
                    </w:r>
                    <w:r>
                      <w:rPr>
                        <w:spacing w:val="-5"/>
                        <w:w w:val="125"/>
                        <w:sz w:val="12"/>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AA19D"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89984" behindDoc="1" locked="0" layoutInCell="1" allowOverlap="1" wp14:anchorId="49F86ADF" wp14:editId="5A28D96F">
              <wp:simplePos x="0" y="0"/>
              <wp:positionH relativeFrom="page">
                <wp:posOffset>6479794</wp:posOffset>
              </wp:positionH>
              <wp:positionV relativeFrom="page">
                <wp:posOffset>10031574</wp:posOffset>
              </wp:positionV>
              <wp:extent cx="235585" cy="118110"/>
              <wp:effectExtent l="0" t="0" r="0" b="0"/>
              <wp:wrapNone/>
              <wp:docPr id="569" name="Textbox 56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709BB5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276</w:t>
                          </w:r>
                          <w:r>
                            <w:rPr>
                              <w:spacing w:val="-5"/>
                              <w:w w:val="125"/>
                              <w:sz w:val="12"/>
                            </w:rPr>
                            <w:fldChar w:fldCharType="end"/>
                          </w:r>
                        </w:p>
                      </w:txbxContent>
                    </wps:txbx>
                    <wps:bodyPr wrap="square" lIns="0" tIns="0" rIns="0" bIns="0" rtlCol="0"/>
                  </wps:wsp>
                </a:graphicData>
              </a:graphic>
            </wp:anchor>
          </w:drawing>
        </mc:Choice>
        <mc:Fallback>
          <w:pict>
            <v:shapetype w14:anchorId="49F86ADF" id="_x0000_t202" coordsize="21600,21600" o:spt="202" path="m,l,21600r21600,l21600,xe">
              <v:stroke joinstyle="miter"/>
              <v:path gradientshapeok="t" o:connecttype="rect"/>
            </v:shapetype>
            <v:shape id="Textbox 569" o:spid="_x0000_s1432" type="#_x0000_t202" style="position:absolute;margin-left:510.2pt;margin-top:789.9pt;width:18.55pt;height:9.3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" filled="f" stroked="f">
              <v:textbox inset="0,0,0,0">
                <w:txbxContent>
                  <w:p w14:paraId="4709BB52"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276</w:t>
                    </w:r>
                    <w:r>
                      <w:rPr>
                        <w:spacing w:val="-5"/>
                        <w:w w:val="125"/>
                        <w:sz w:val="12"/>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6C8E3"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92032" behindDoc="1" locked="0" layoutInCell="1" allowOverlap="1" wp14:anchorId="5AA75F83" wp14:editId="62080A0A">
              <wp:simplePos x="0" y="0"/>
              <wp:positionH relativeFrom="page">
                <wp:posOffset>9611614</wp:posOffset>
              </wp:positionH>
              <wp:positionV relativeFrom="page">
                <wp:posOffset>6897926</wp:posOffset>
              </wp:positionV>
              <wp:extent cx="235585" cy="118110"/>
              <wp:effectExtent l="0" t="0" r="0" b="0"/>
              <wp:wrapNone/>
              <wp:docPr id="588" name="Textbox 58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D1C7DD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279</w:t>
                          </w:r>
                          <w:r>
                            <w:rPr>
                              <w:spacing w:val="-5"/>
                              <w:w w:val="125"/>
                              <w:sz w:val="12"/>
                            </w:rPr>
                            <w:fldChar w:fldCharType="end"/>
                          </w:r>
                        </w:p>
                      </w:txbxContent>
                    </wps:txbx>
                    <wps:bodyPr wrap="square" lIns="0" tIns="0" rIns="0" bIns="0" rtlCol="0"/>
                  </wps:wsp>
                </a:graphicData>
              </a:graphic>
            </wp:anchor>
          </w:drawing>
        </mc:Choice>
        <mc:Fallback>
          <w:pict>
            <v:shapetype w14:anchorId="5AA75F83" id="_x0000_t202" coordsize="21600,21600" o:spt="202" path="m,l,21600r21600,l21600,xe">
              <v:stroke joinstyle="miter"/>
              <v:path gradientshapeok="t" o:connecttype="rect"/>
            </v:shapetype>
            <v:shape id="Textbox 588" o:spid="_x0000_s1434" type="#_x0000_t202" style="position:absolute;margin-left:756.8pt;margin-top:543.15pt;width:18.55pt;height:9.3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" filled="f" stroked="f">
              <v:textbox inset="0,0,0,0">
                <w:txbxContent>
                  <w:p w14:paraId="7D1C7DDE"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279</w:t>
                    </w:r>
                    <w:r>
                      <w:rPr>
                        <w:spacing w:val="-5"/>
                        <w:w w:val="125"/>
                        <w:sz w:val="12"/>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EB8A8"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95104" behindDoc="1" locked="0" layoutInCell="1" allowOverlap="1" wp14:anchorId="304CAB36" wp14:editId="085102D3">
              <wp:simplePos x="0" y="0"/>
              <wp:positionH relativeFrom="page">
                <wp:posOffset>6658102</wp:posOffset>
              </wp:positionH>
              <wp:positionV relativeFrom="page">
                <wp:posOffset>10029745</wp:posOffset>
              </wp:positionV>
              <wp:extent cx="235585" cy="118110"/>
              <wp:effectExtent l="0" t="0" r="0" b="0"/>
              <wp:wrapNone/>
              <wp:docPr id="591" name="Textbox 59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4239EB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281</w:t>
                          </w:r>
                          <w:r>
                            <w:rPr>
                              <w:spacing w:val="-5"/>
                              <w:w w:val="125"/>
                              <w:sz w:val="12"/>
                            </w:rPr>
                            <w:fldChar w:fldCharType="end"/>
                          </w:r>
                        </w:p>
                      </w:txbxContent>
                    </wps:txbx>
                    <wps:bodyPr wrap="square" lIns="0" tIns="0" rIns="0" bIns="0" rtlCol="0"/>
                  </wps:wsp>
                </a:graphicData>
              </a:graphic>
            </wp:anchor>
          </w:drawing>
        </mc:Choice>
        <mc:Fallback>
          <w:pict>
            <v:shapetype w14:anchorId="304CAB36" id="_x0000_t202" coordsize="21600,21600" o:spt="202" path="m,l,21600r21600,l21600,xe">
              <v:stroke joinstyle="miter"/>
              <v:path gradientshapeok="t" o:connecttype="rect"/>
            </v:shapetype>
            <v:shape id="Textbox 591" o:spid="_x0000_s1436" type="#_x0000_t202" style="position:absolute;margin-left:524.25pt;margin-top:789.75pt;width:18.55pt;height:9.3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" filled="f" stroked="f">
              <v:textbox inset="0,0,0,0">
                <w:txbxContent>
                  <w:p w14:paraId="54239EB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281</w:t>
                    </w:r>
                    <w:r>
                      <w:rPr>
                        <w:spacing w:val="-5"/>
                        <w:w w:val="125"/>
                        <w:sz w:val="12"/>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FAABF"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96128" behindDoc="1" locked="0" layoutInCell="1" allowOverlap="1" wp14:anchorId="26E601B7" wp14:editId="60DC91A2">
              <wp:simplePos x="0" y="0"/>
              <wp:positionH relativeFrom="page">
                <wp:posOffset>9257538</wp:posOffset>
              </wp:positionH>
              <wp:positionV relativeFrom="page">
                <wp:posOffset>6897926</wp:posOffset>
              </wp:positionV>
              <wp:extent cx="172085" cy="118110"/>
              <wp:effectExtent l="0" t="0" r="0" b="0"/>
              <wp:wrapNone/>
              <wp:docPr id="592" name="Textbox 59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6A97AE3" w14:textId="77777777" w:rsidR="008715BE" w:rsidRDefault="00000000">
                          <w:pPr>
                            <w:spacing w:before="26"/>
                            <w:ind w:left="20"/>
                            <w:rPr>
                              <w:sz w:val="12"/>
                            </w:rPr>
                          </w:pPr>
                          <w:r>
                            <w:rPr>
                              <w:spacing w:val="-5"/>
                              <w:w w:val="125"/>
                              <w:sz w:val="8"/>
                            </w:rPr>
                            <w:t>282</w:t>
                          </w:r>
                        </w:p>
                      </w:txbxContent>
                    </wps:txbx>
                    <wps:bodyPr wrap="square" lIns="0" tIns="0" rIns="0" bIns="0" rtlCol="0"/>
                  </wps:wsp>
                </a:graphicData>
              </a:graphic>
            </wp:anchor>
          </w:drawing>
        </mc:Choice>
        <mc:Fallback>
          <w:pict>
            <v:shapetype w14:anchorId="26E601B7" id="_x0000_t202" coordsize="21600,21600" o:spt="202" path="m,l,21600r21600,l21600,xe">
              <v:stroke joinstyle="miter"/>
              <v:path gradientshapeok="t" o:connecttype="rect"/>
            </v:shapetype>
            <v:shape id="Textbox 592" o:spid="_x0000_s1437" type="#_x0000_t202" style="position:absolute;margin-left:728.95pt;margin-top:543.15pt;width:13.55pt;height:9.3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" filled="f" stroked="f">
              <v:textbox inset="0,0,0,0">
                <w:txbxContent>
                  <w:p w14:paraId="46A97AE3" w14:textId="77777777" w:rsidR="008715BE" w:rsidRDefault="00000000">
                    <w:pPr>
                      <w:spacing w:before="26"/>
                      <w:ind w:left="20"/>
                      <w:rPr>
                        <w:sz w:val="12"/>
                      </w:rPr>
                    </w:pPr>
                    <w:r>
                      <w:rPr>
                        <w:spacing w:val="-5"/>
                        <w:w w:val="125"/>
                        <w:sz w:val="8"/>
                      </w:rPr>
                      <w:t>282</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328CC"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93728" behindDoc="1" locked="0" layoutInCell="1" allowOverlap="1" wp14:anchorId="57AB4874" wp14:editId="610780FA">
              <wp:simplePos x="0" y="0"/>
              <wp:positionH relativeFrom="page">
                <wp:posOffset>6796785</wp:posOffset>
              </wp:positionH>
              <wp:positionV relativeFrom="page">
                <wp:posOffset>10029745</wp:posOffset>
              </wp:positionV>
              <wp:extent cx="186690" cy="118110"/>
              <wp:effectExtent l="0" t="0" r="0" b="0"/>
              <wp:wrapNone/>
              <wp:docPr id="31" name="Textbox 31"/>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7D1428C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w:t>
                          </w:r>
                          <w:r>
                            <w:rPr>
                              <w:spacing w:val="-5"/>
                              <w:w w:val="125"/>
                              <w:sz w:val="12"/>
                            </w:rPr>
                            <w:fldChar w:fldCharType="end"/>
                          </w:r>
                        </w:p>
                      </w:txbxContent>
                    </wps:txbx>
                    <wps:bodyPr wrap="square" lIns="0" tIns="0" rIns="0" bIns="0" rtlCol="0"/>
                  </wps:wsp>
                </a:graphicData>
              </a:graphic>
            </wp:anchor>
          </w:drawing>
        </mc:Choice>
        <mc:Fallback>
          <w:pict>
            <v:shapetype w14:anchorId="57AB4874" id="_x0000_t202" coordsize="21600,21600" o:spt="202" path="m,l,21600r21600,l21600,xe">
              <v:stroke joinstyle="miter"/>
              <v:path gradientshapeok="t" o:connecttype="rect"/>
            </v:shapetype>
            <v:shape id="Textbox 31" o:spid="_x0000_s1356" type="#_x0000_t202" style="position:absolute;margin-left:535.2pt;margin-top:789.75pt;width:14.7pt;height:9.3pt;z-index:-2517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" filled="f" stroked="f">
              <v:textbox inset="0,0,0,0">
                <w:txbxContent>
                  <w:p w14:paraId="7D1428C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24</w:t>
                    </w:r>
                    <w:r>
                      <w:rPr>
                        <w:spacing w:val="-5"/>
                        <w:w w:val="125"/>
                        <w:sz w:val="12"/>
                      </w:rP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A410B"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99200" behindDoc="1" locked="0" layoutInCell="1" allowOverlap="1" wp14:anchorId="2705B200" wp14:editId="208A76CE">
              <wp:simplePos x="0" y="0"/>
              <wp:positionH relativeFrom="page">
                <wp:posOffset>6748018</wp:posOffset>
              </wp:positionH>
              <wp:positionV relativeFrom="page">
                <wp:posOffset>10029745</wp:posOffset>
              </wp:positionV>
              <wp:extent cx="235585" cy="118110"/>
              <wp:effectExtent l="0" t="0" r="0" b="0"/>
              <wp:wrapNone/>
              <wp:docPr id="614" name="Textbox 61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856312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289</w:t>
                          </w:r>
                          <w:r>
                            <w:rPr>
                              <w:spacing w:val="-5"/>
                              <w:w w:val="125"/>
                              <w:sz w:val="12"/>
                            </w:rPr>
                            <w:fldChar w:fldCharType="end"/>
                          </w:r>
                        </w:p>
                      </w:txbxContent>
                    </wps:txbx>
                    <wps:bodyPr wrap="square" lIns="0" tIns="0" rIns="0" bIns="0" rtlCol="0"/>
                  </wps:wsp>
                </a:graphicData>
              </a:graphic>
            </wp:anchor>
          </w:drawing>
        </mc:Choice>
        <mc:Fallback>
          <w:pict>
            <v:shapetype w14:anchorId="2705B200" id="_x0000_t202" coordsize="21600,21600" o:spt="202" path="m,l,21600r21600,l21600,xe">
              <v:stroke joinstyle="miter"/>
              <v:path gradientshapeok="t" o:connecttype="rect"/>
            </v:shapetype>
            <v:shape id="Textbox 614" o:spid="_x0000_s1439" type="#_x0000_t202" style="position:absolute;margin-left:531.35pt;margin-top:789.75pt;width:18.55pt;height:9.3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Hxhs16BAQAA7wIAAA4AAAAAAAAAAAAAAAAALgIA&#10;AGRycy9lMm9Eb2MueG1sUEsBAi0AFAAGAAgAAAAhAFzd3T7iAAAADwEAAA8AAAAAAAAAAAAAAAAA&#10;2wMAAGRycy9kb3ducmV2LnhtbFBLBQYAAAAABAAEAPMAAADqBAAAAAA=&#10;" filled="f" stroked="f">
              <v:textbox inset="0,0,0,0">
                <w:txbxContent>
                  <w:p w14:paraId="48563124"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289</w:t>
                    </w:r>
                    <w:r>
                      <w:rPr>
                        <w:spacing w:val="-5"/>
                        <w:w w:val="125"/>
                        <w:sz w:val="12"/>
                      </w:rP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4D330"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01248" behindDoc="1" locked="0" layoutInCell="1" allowOverlap="1" wp14:anchorId="7AFC7747" wp14:editId="4278D2B5">
              <wp:simplePos x="0" y="0"/>
              <wp:positionH relativeFrom="page">
                <wp:posOffset>9635490</wp:posOffset>
              </wp:positionH>
              <wp:positionV relativeFrom="page">
                <wp:posOffset>6897926</wp:posOffset>
              </wp:positionV>
              <wp:extent cx="172085" cy="118110"/>
              <wp:effectExtent l="0" t="0" r="0" b="0"/>
              <wp:wrapNone/>
              <wp:docPr id="626" name="Textbox 626"/>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43CB844" w14:textId="77777777" w:rsidR="008715BE" w:rsidRDefault="00000000">
                          <w:pPr>
                            <w:spacing w:before="26"/>
                            <w:ind w:left="20"/>
                            <w:rPr>
                              <w:sz w:val="12"/>
                            </w:rPr>
                          </w:pPr>
                          <w:r>
                            <w:rPr>
                              <w:spacing w:val="-5"/>
                              <w:w w:val="125"/>
                              <w:sz w:val="8"/>
                            </w:rPr>
                            <w:t>290</w:t>
                          </w:r>
                        </w:p>
                      </w:txbxContent>
                    </wps:txbx>
                    <wps:bodyPr wrap="square" lIns="0" tIns="0" rIns="0" bIns="0" rtlCol="0"/>
                  </wps:wsp>
                </a:graphicData>
              </a:graphic>
            </wp:anchor>
          </w:drawing>
        </mc:Choice>
        <mc:Fallback>
          <w:pict>
            <v:shapetype w14:anchorId="7AFC7747" id="_x0000_t202" coordsize="21600,21600" o:spt="202" path="m,l,21600r21600,l21600,xe">
              <v:stroke joinstyle="miter"/>
              <v:path gradientshapeok="t" o:connecttype="rect"/>
            </v:shapetype>
            <v:shape id="Textbox 626" o:spid="_x0000_s1440" type="#_x0000_t202" style="position:absolute;margin-left:758.7pt;margin-top:543.15pt;width:13.55pt;height:9.3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" filled="f" stroked="f">
              <v:textbox inset="0,0,0,0">
                <w:txbxContent>
                  <w:p w14:paraId="243CB844" w14:textId="77777777" w:rsidR="008715BE" w:rsidRDefault="00000000">
                    <w:pPr>
                      <w:spacing w:before="26"/>
                      <w:ind w:left="20"/>
                      <w:rPr>
                        <w:sz w:val="12"/>
                      </w:rPr>
                    </w:pPr>
                    <w:r>
                      <w:rPr>
                        <w:spacing w:val="-5"/>
                        <w:w w:val="125"/>
                        <w:sz w:val="8"/>
                      </w:rPr>
                      <w:t>290</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0C40"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04320" behindDoc="1" locked="0" layoutInCell="1" allowOverlap="1" wp14:anchorId="207885AA" wp14:editId="4AAC929D">
              <wp:simplePos x="0" y="0"/>
              <wp:positionH relativeFrom="page">
                <wp:posOffset>6748018</wp:posOffset>
              </wp:positionH>
              <wp:positionV relativeFrom="page">
                <wp:posOffset>10029745</wp:posOffset>
              </wp:positionV>
              <wp:extent cx="235585" cy="118110"/>
              <wp:effectExtent l="0" t="0" r="0" b="0"/>
              <wp:wrapNone/>
              <wp:docPr id="630" name="Textbox 63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025743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301</w:t>
                          </w:r>
                          <w:r>
                            <w:rPr>
                              <w:spacing w:val="-5"/>
                              <w:w w:val="125"/>
                              <w:sz w:val="12"/>
                            </w:rPr>
                            <w:fldChar w:fldCharType="end"/>
                          </w:r>
                        </w:p>
                      </w:txbxContent>
                    </wps:txbx>
                    <wps:bodyPr wrap="square" lIns="0" tIns="0" rIns="0" bIns="0" rtlCol="0"/>
                  </wps:wsp>
                </a:graphicData>
              </a:graphic>
            </wp:anchor>
          </w:drawing>
        </mc:Choice>
        <mc:Fallback>
          <w:pict>
            <v:shapetype w14:anchorId="207885AA" id="_x0000_t202" coordsize="21600,21600" o:spt="202" path="m,l,21600r21600,l21600,xe">
              <v:stroke joinstyle="miter"/>
              <v:path gradientshapeok="t" o:connecttype="rect"/>
            </v:shapetype>
            <v:shape id="Textbox 630" o:spid="_x0000_s1442" type="#_x0000_t202" style="position:absolute;margin-left:531.35pt;margin-top:789.75pt;width:18.55pt;height:9.3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tH61hoABAADwAgAADgAAAAAAAAAAAAAAAAAuAgAA&#10;ZHJzL2Uyb0RvYy54bWxQSwECLQAUAAYACAAAACEAXN3dPuIAAAAPAQAADwAAAAAAAAAAAAAAAADa&#10;AwAAZHJzL2Rvd25yZXYueG1sUEsFBgAAAAAEAAQA8wAAAOkEAAAAAA==&#10;" filled="f" stroked="f">
              <v:textbox inset="0,0,0,0">
                <w:txbxContent>
                  <w:p w14:paraId="50257439"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301</w:t>
                    </w:r>
                    <w:r>
                      <w:rPr>
                        <w:spacing w:val="-5"/>
                        <w:w w:val="125"/>
                        <w:sz w:val="12"/>
                      </w:rP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94BC3"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06368" behindDoc="1" locked="0" layoutInCell="1" allowOverlap="1" wp14:anchorId="212FF91B" wp14:editId="4874461E">
              <wp:simplePos x="0" y="0"/>
              <wp:positionH relativeFrom="page">
                <wp:posOffset>14039087</wp:posOffset>
              </wp:positionH>
              <wp:positionV relativeFrom="page">
                <wp:posOffset>10029745</wp:posOffset>
              </wp:positionV>
              <wp:extent cx="235585" cy="118110"/>
              <wp:effectExtent l="0" t="0" r="0" b="0"/>
              <wp:wrapNone/>
              <wp:docPr id="634" name="Textbox 63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23F8F7C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305</w:t>
                          </w:r>
                          <w:r>
                            <w:rPr>
                              <w:spacing w:val="-5"/>
                              <w:w w:val="125"/>
                              <w:sz w:val="12"/>
                            </w:rPr>
                            <w:fldChar w:fldCharType="end"/>
                          </w:r>
                        </w:p>
                      </w:txbxContent>
                    </wps:txbx>
                    <wps:bodyPr wrap="square" lIns="0" tIns="0" rIns="0" bIns="0" rtlCol="0"/>
                  </wps:wsp>
                </a:graphicData>
              </a:graphic>
            </wp:anchor>
          </w:drawing>
        </mc:Choice>
        <mc:Fallback>
          <w:pict>
            <v:shapetype w14:anchorId="212FF91B" id="_x0000_t202" coordsize="21600,21600" o:spt="202" path="m,l,21600r21600,l21600,xe">
              <v:stroke joinstyle="miter"/>
              <v:path gradientshapeok="t" o:connecttype="rect"/>
            </v:shapetype>
            <v:shape id="Textbox 634" o:spid="_x0000_s1444" type="#_x0000_t202" style="position:absolute;margin-left:1105.45pt;margin-top:789.75pt;width:18.55pt;height:9.3pt;z-index:-251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" filled="f" stroked="f">
              <v:textbox inset="0,0,0,0">
                <w:txbxContent>
                  <w:p w14:paraId="23F8F7C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305</w:t>
                    </w:r>
                    <w:r>
                      <w:rPr>
                        <w:spacing w:val="-5"/>
                        <w:w w:val="125"/>
                        <w:sz w:val="12"/>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CC0AE"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08416" behindDoc="1" locked="0" layoutInCell="1" allowOverlap="1" wp14:anchorId="1E68D949" wp14:editId="37649744">
              <wp:simplePos x="0" y="0"/>
              <wp:positionH relativeFrom="page">
                <wp:posOffset>6773418</wp:posOffset>
              </wp:positionH>
              <wp:positionV relativeFrom="page">
                <wp:posOffset>10029745</wp:posOffset>
              </wp:positionV>
              <wp:extent cx="172085" cy="118110"/>
              <wp:effectExtent l="0" t="0" r="0" b="0"/>
              <wp:wrapNone/>
              <wp:docPr id="636" name="Textbox 636"/>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15410935" w14:textId="77777777" w:rsidR="008715BE" w:rsidRDefault="00000000">
                          <w:pPr>
                            <w:spacing w:before="26"/>
                            <w:ind w:left="20"/>
                            <w:rPr>
                              <w:sz w:val="12"/>
                            </w:rPr>
                          </w:pPr>
                          <w:r>
                            <w:rPr>
                              <w:spacing w:val="-5"/>
                              <w:w w:val="125"/>
                              <w:sz w:val="8"/>
                            </w:rPr>
                            <w:t>306</w:t>
                          </w:r>
                        </w:p>
                      </w:txbxContent>
                    </wps:txbx>
                    <wps:bodyPr wrap="square" lIns="0" tIns="0" rIns="0" bIns="0" rtlCol="0"/>
                  </wps:wsp>
                </a:graphicData>
              </a:graphic>
            </wp:anchor>
          </w:drawing>
        </mc:Choice>
        <mc:Fallback>
          <w:pict>
            <v:shapetype w14:anchorId="1E68D949" id="_x0000_t202" coordsize="21600,21600" o:spt="202" path="m,l,21600r21600,l21600,xe">
              <v:stroke joinstyle="miter"/>
              <v:path gradientshapeok="t" o:connecttype="rect"/>
            </v:shapetype>
            <v:shape id="Textbox 636" o:spid="_x0000_s1446" type="#_x0000_t202" style="position:absolute;margin-left:533.35pt;margin-top:789.75pt;width:13.55pt;height:9.3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xqK4LYABAADwAgAADgAAAAAAAAAAAAAAAAAuAgAA&#10;ZHJzL2Uyb0RvYy54bWxQSwECLQAUAAYACAAAACEASmg9A+IAAAAPAQAADwAAAAAAAAAAAAAAAADa&#10;AwAAZHJzL2Rvd25yZXYueG1sUEsFBgAAAAAEAAQA8wAAAOkEAAAAAA==&#10;" filled="f" stroked="f">
              <v:textbox inset="0,0,0,0">
                <w:txbxContent>
                  <w:p w14:paraId="15410935" w14:textId="77777777" w:rsidR="008715BE" w:rsidRDefault="00000000">
                    <w:pPr>
                      <w:spacing w:before="26"/>
                      <w:ind w:left="20"/>
                      <w:rPr>
                        <w:sz w:val="12"/>
                      </w:rPr>
                    </w:pPr>
                    <w:r>
                      <w:rPr>
                        <w:spacing w:val="-5"/>
                        <w:w w:val="125"/>
                        <w:sz w:val="8"/>
                      </w:rPr>
                      <w:t>306</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35035"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11488" behindDoc="1" locked="0" layoutInCell="1" allowOverlap="1" wp14:anchorId="2BEED348" wp14:editId="042C478D">
              <wp:simplePos x="0" y="0"/>
              <wp:positionH relativeFrom="page">
                <wp:posOffset>9610090</wp:posOffset>
              </wp:positionH>
              <wp:positionV relativeFrom="page">
                <wp:posOffset>6897926</wp:posOffset>
              </wp:positionV>
              <wp:extent cx="235585" cy="118110"/>
              <wp:effectExtent l="0" t="0" r="0" b="0"/>
              <wp:wrapNone/>
              <wp:docPr id="640" name="Textbox 64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5232D3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308</w:t>
                          </w:r>
                          <w:r>
                            <w:rPr>
                              <w:spacing w:val="-5"/>
                              <w:w w:val="125"/>
                              <w:sz w:val="12"/>
                            </w:rPr>
                            <w:fldChar w:fldCharType="end"/>
                          </w:r>
                        </w:p>
                      </w:txbxContent>
                    </wps:txbx>
                    <wps:bodyPr wrap="square" lIns="0" tIns="0" rIns="0" bIns="0" rtlCol="0"/>
                  </wps:wsp>
                </a:graphicData>
              </a:graphic>
            </wp:anchor>
          </w:drawing>
        </mc:Choice>
        <mc:Fallback>
          <w:pict>
            <v:shapetype w14:anchorId="2BEED348" id="_x0000_t202" coordsize="21600,21600" o:spt="202" path="m,l,21600r21600,l21600,xe">
              <v:stroke joinstyle="miter"/>
              <v:path gradientshapeok="t" o:connecttype="rect"/>
            </v:shapetype>
            <v:shape id="Textbox 640" o:spid="_x0000_s1448" type="#_x0000_t202" style="position:absolute;margin-left:756.7pt;margin-top:543.15pt;width:18.55pt;height:9.3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" filled="f" stroked="f">
              <v:textbox inset="0,0,0,0">
                <w:txbxContent>
                  <w:p w14:paraId="35232D37"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308</w:t>
                    </w:r>
                    <w:r>
                      <w:rPr>
                        <w:spacing w:val="-5"/>
                        <w:w w:val="125"/>
                        <w:sz w:val="12"/>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0F5E8"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13536" behindDoc="1" locked="0" layoutInCell="1" allowOverlap="1" wp14:anchorId="7768611F" wp14:editId="7A62D7F9">
              <wp:simplePos x="0" y="0"/>
              <wp:positionH relativeFrom="page">
                <wp:posOffset>6748018</wp:posOffset>
              </wp:positionH>
              <wp:positionV relativeFrom="page">
                <wp:posOffset>10029745</wp:posOffset>
              </wp:positionV>
              <wp:extent cx="235585" cy="118110"/>
              <wp:effectExtent l="0" t="0" r="0" b="0"/>
              <wp:wrapNone/>
              <wp:docPr id="643" name="Textbox 64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D683516"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322</w:t>
                          </w:r>
                          <w:r>
                            <w:rPr>
                              <w:spacing w:val="-5"/>
                              <w:w w:val="125"/>
                              <w:sz w:val="12"/>
                            </w:rPr>
                            <w:fldChar w:fldCharType="end"/>
                          </w:r>
                        </w:p>
                      </w:txbxContent>
                    </wps:txbx>
                    <wps:bodyPr wrap="square" lIns="0" tIns="0" rIns="0" bIns="0" rtlCol="0"/>
                  </wps:wsp>
                </a:graphicData>
              </a:graphic>
            </wp:anchor>
          </w:drawing>
        </mc:Choice>
        <mc:Fallback>
          <w:pict>
            <v:shapetype w14:anchorId="7768611F" id="_x0000_t202" coordsize="21600,21600" o:spt="202" path="m,l,21600r21600,l21600,xe">
              <v:stroke joinstyle="miter"/>
              <v:path gradientshapeok="t" o:connecttype="rect"/>
            </v:shapetype>
            <v:shape id="Textbox 643" o:spid="_x0000_s1450" type="#_x0000_t202" style="position:absolute;margin-left:531.35pt;margin-top:789.75pt;width:18.55pt;height:9.3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E5+cieBAQAA8AIAAA4AAAAAAAAAAAAAAAAALgIA&#10;AGRycy9lMm9Eb2MueG1sUEsBAi0AFAAGAAgAAAAhAFzd3T7iAAAADwEAAA8AAAAAAAAAAAAAAAAA&#10;2wMAAGRycy9kb3ducmV2LnhtbFBLBQYAAAAABAAEAPMAAADqBAAAAAA=&#10;" filled="f" stroked="f">
              <v:textbox inset="0,0,0,0">
                <w:txbxContent>
                  <w:p w14:paraId="3D683516"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322</w:t>
                    </w:r>
                    <w:r>
                      <w:rPr>
                        <w:spacing w:val="-5"/>
                        <w:w w:val="125"/>
                        <w:sz w:val="12"/>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B003C" w14:textId="77777777" w:rsidR="008715BE" w:rsidRDefault="00000000">
    <w:pPr>
      <w:pStyle w:val="BodyText"/>
      <w:spacing w:line="14" w:lineRule="auto"/>
      <w:rPr>
        <w:sz w:val="17"/>
      </w:rPr>
    </w:pPr>
    <w:r>
      <w:rPr>
        <w:noProof/>
        <w:sz w:val="17"/>
      </w:rPr>
      <mc:AlternateContent>
        <mc:Choice Requires="wps">
          <w:drawing>
            <wp:anchor distT="0" distB="0" distL="0" distR="0" simplePos="0" relativeHeight="251595776" behindDoc="1" locked="0" layoutInCell="1" allowOverlap="1" wp14:anchorId="40D0FD2B" wp14:editId="2C8D3789">
              <wp:simplePos x="0" y="0"/>
              <wp:positionH relativeFrom="page">
                <wp:posOffset>6795261</wp:posOffset>
              </wp:positionH>
              <wp:positionV relativeFrom="page">
                <wp:posOffset>10029745</wp:posOffset>
              </wp:positionV>
              <wp:extent cx="186690" cy="118110"/>
              <wp:effectExtent l="0" t="0" r="0" b="0"/>
              <wp:wrapNone/>
              <wp:docPr id="37" name="Textbox 37"/>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1C6EEAA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81</w:t>
                          </w:r>
                          <w:r>
                            <w:rPr>
                              <w:spacing w:val="-5"/>
                              <w:w w:val="125"/>
                              <w:sz w:val="12"/>
                            </w:rPr>
                            <w:fldChar w:fldCharType="end"/>
                          </w:r>
                        </w:p>
                      </w:txbxContent>
                    </wps:txbx>
                    <wps:bodyPr wrap="square" lIns="0" tIns="0" rIns="0" bIns="0" rtlCol="0"/>
                  </wps:wsp>
                </a:graphicData>
              </a:graphic>
            </wp:anchor>
          </w:drawing>
        </mc:Choice>
        <mc:Fallback>
          <w:pict>
            <v:shapetype w14:anchorId="40D0FD2B" id="_x0000_t202" coordsize="21600,21600" o:spt="202" path="m,l,21600r21600,l21600,xe">
              <v:stroke joinstyle="miter"/>
              <v:path gradientshapeok="t" o:connecttype="rect"/>
            </v:shapetype>
            <v:shape id="Textbox 37" o:spid="_x0000_s1358" type="#_x0000_t202" style="position:absolute;margin-left:535.05pt;margin-top:789.75pt;width:14.7pt;height:9.3pt;z-index:-25172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" filled="f" stroked="f">
              <v:textbox inset="0,0,0,0">
                <w:txbxContent>
                  <w:p w14:paraId="1C6EEAAF"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81</w:t>
                    </w:r>
                    <w:r>
                      <w:rPr>
                        <w:spacing w:val="-5"/>
                        <w:w w:val="125"/>
                        <w:sz w:val="1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A4A94"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597824" behindDoc="1" locked="0" layoutInCell="1" allowOverlap="1" wp14:anchorId="0530E56A" wp14:editId="3FDDCE1A">
              <wp:simplePos x="0" y="0"/>
              <wp:positionH relativeFrom="page">
                <wp:posOffset>9657333</wp:posOffset>
              </wp:positionH>
              <wp:positionV relativeFrom="page">
                <wp:posOffset>6897926</wp:posOffset>
              </wp:positionV>
              <wp:extent cx="186690" cy="118110"/>
              <wp:effectExtent l="0" t="0" r="0" b="0"/>
              <wp:wrapNone/>
              <wp:docPr id="174" name="Textbox 174"/>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0460411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85</w:t>
                          </w:r>
                          <w:r>
                            <w:rPr>
                              <w:spacing w:val="-5"/>
                              <w:w w:val="125"/>
                              <w:sz w:val="12"/>
                            </w:rPr>
                            <w:fldChar w:fldCharType="end"/>
                          </w:r>
                        </w:p>
                      </w:txbxContent>
                    </wps:txbx>
                    <wps:bodyPr wrap="square" lIns="0" tIns="0" rIns="0" bIns="0" rtlCol="0"/>
                  </wps:wsp>
                </a:graphicData>
              </a:graphic>
            </wp:anchor>
          </w:drawing>
        </mc:Choice>
        <mc:Fallback>
          <w:pict>
            <v:shapetype w14:anchorId="0530E56A" id="_x0000_t202" coordsize="21600,21600" o:spt="202" path="m,l,21600r21600,l21600,xe">
              <v:stroke joinstyle="miter"/>
              <v:path gradientshapeok="t" o:connecttype="rect"/>
            </v:shapetype>
            <v:shape id="Textbox 174" o:spid="_x0000_s1360" type="#_x0000_t202" style="position:absolute;margin-left:760.4pt;margin-top:543.15pt;width:14.7pt;height:9.3pt;z-index:-2517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" filled="f" stroked="f">
              <v:textbox inset="0,0,0,0">
                <w:txbxContent>
                  <w:p w14:paraId="0460411B"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85</w:t>
                    </w:r>
                    <w:r>
                      <w:rPr>
                        <w:spacing w:val="-5"/>
                        <w:w w:val="125"/>
                        <w:sz w:val="1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981B2" w14:textId="77777777" w:rsidR="008715BE" w:rsidRDefault="00000000">
    <w:pPr>
      <w:pStyle w:val="BodyText"/>
      <w:spacing w:line="14" w:lineRule="auto"/>
    </w:pPr>
    <w:r>
      <w:rPr>
        <w:noProof/>
      </w:rPr>
      <mc:AlternateContent>
        <mc:Choice Requires="wps">
          <w:drawing>
            <wp:anchor distT="0" distB="0" distL="0" distR="0" simplePos="0" relativeHeight="251599872" behindDoc="1" locked="0" layoutInCell="1" allowOverlap="1" wp14:anchorId="75091069" wp14:editId="77C7859A">
              <wp:simplePos x="0" y="0"/>
              <wp:positionH relativeFrom="page">
                <wp:posOffset>6773418</wp:posOffset>
              </wp:positionH>
              <wp:positionV relativeFrom="page">
                <wp:posOffset>10029745</wp:posOffset>
              </wp:positionV>
              <wp:extent cx="210185" cy="118110"/>
              <wp:effectExtent l="0" t="0" r="0" b="0"/>
              <wp:wrapNone/>
              <wp:docPr id="177" name="Textbox 177"/>
              <wp:cNvGraphicFramePr/>
              <a:graphic xmlns:a="http://schemas.openxmlformats.org/drawingml/2006/main">
                <a:graphicData uri="http://schemas.microsoft.com/office/word/2010/wordprocessingShape">
                  <wps:wsp>
                    <wps:cNvSpPr txBox="1"/>
                    <wps:spPr>
                      <a:xfrm>
                        <a:off x="0" y="0"/>
                        <a:ext cx="210185" cy="118110"/>
                      </a:xfrm>
                      <a:prstGeom prst="rect">
                        <a:avLst/>
                      </a:prstGeom>
                    </wps:spPr>
                    <wps:txbx>
                      <w:txbxContent>
                        <w:p w14:paraId="31D1BD47" w14:textId="77777777" w:rsidR="008715BE" w:rsidRDefault="00000000">
                          <w:pPr>
                            <w:spacing w:before="26"/>
                            <w:ind w:left="2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118</w:t>
                          </w:r>
                          <w:r>
                            <w:rPr>
                              <w:spacing w:val="-5"/>
                              <w:w w:val="125"/>
                              <w:sz w:val="12"/>
                            </w:rPr>
                            <w:fldChar w:fldCharType="end"/>
                          </w:r>
                        </w:p>
                      </w:txbxContent>
                    </wps:txbx>
                    <wps:bodyPr wrap="square" lIns="0" tIns="0" rIns="0" bIns="0" rtlCol="0"/>
                  </wps:wsp>
                </a:graphicData>
              </a:graphic>
            </wp:anchor>
          </w:drawing>
        </mc:Choice>
        <mc:Fallback>
          <w:pict>
            <v:shapetype w14:anchorId="75091069" id="_x0000_t202" coordsize="21600,21600" o:spt="202" path="m,l,21600r21600,l21600,xe">
              <v:stroke joinstyle="miter"/>
              <v:path gradientshapeok="t" o:connecttype="rect"/>
            </v:shapetype>
            <v:shape id="Textbox 177" o:spid="_x0000_s1362" type="#_x0000_t202" style="position:absolute;margin-left:533.35pt;margin-top:789.75pt;width:16.55pt;height:9.3pt;z-index:-251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" filled="f" stroked="f">
              <v:textbox inset="0,0,0,0">
                <w:txbxContent>
                  <w:p w14:paraId="31D1BD47" w14:textId="77777777" w:rsidR="008715BE" w:rsidRDefault="00000000">
                    <w:pPr>
                      <w:spacing w:before="26"/>
                      <w:ind w:left="2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118</w:t>
                    </w:r>
                    <w:r>
                      <w:rPr>
                        <w:spacing w:val="-5"/>
                        <w:w w:val="125"/>
                        <w:sz w:val="12"/>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F530E"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02944" behindDoc="1" locked="0" layoutInCell="1" allowOverlap="1" wp14:anchorId="5FA1E164" wp14:editId="6050994F">
              <wp:simplePos x="0" y="0"/>
              <wp:positionH relativeFrom="page">
                <wp:posOffset>9610090</wp:posOffset>
              </wp:positionH>
              <wp:positionV relativeFrom="page">
                <wp:posOffset>6897926</wp:posOffset>
              </wp:positionV>
              <wp:extent cx="235585" cy="118110"/>
              <wp:effectExtent l="0" t="0" r="0" b="0"/>
              <wp:wrapNone/>
              <wp:docPr id="230" name="Textbox 23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E4A36D5"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120</w:t>
                          </w:r>
                          <w:r>
                            <w:rPr>
                              <w:spacing w:val="-5"/>
                              <w:w w:val="125"/>
                              <w:sz w:val="12"/>
                            </w:rPr>
                            <w:fldChar w:fldCharType="end"/>
                          </w:r>
                        </w:p>
                      </w:txbxContent>
                    </wps:txbx>
                    <wps:bodyPr wrap="square" lIns="0" tIns="0" rIns="0" bIns="0" rtlCol="0"/>
                  </wps:wsp>
                </a:graphicData>
              </a:graphic>
            </wp:anchor>
          </w:drawing>
        </mc:Choice>
        <mc:Fallback>
          <w:pict>
            <v:shapetype w14:anchorId="5FA1E164" id="_x0000_t202" coordsize="21600,21600" o:spt="202" path="m,l,21600r21600,l21600,xe">
              <v:stroke joinstyle="miter"/>
              <v:path gradientshapeok="t" o:connecttype="rect"/>
            </v:shapetype>
            <v:shape id="Textbox 230" o:spid="_x0000_s1364" type="#_x0000_t202" style="position:absolute;margin-left:756.7pt;margin-top:543.15pt;width:18.55pt;height:9.3pt;z-index:-2517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" filled="f" stroked="f">
              <v:textbox inset="0,0,0,0">
                <w:txbxContent>
                  <w:p w14:paraId="1E4A36D5" w14:textId="77777777" w:rsidR="008715BE" w:rsidRDefault="00000000">
                    <w:pPr>
                      <w:spacing w:before="26"/>
                      <w:ind w:left="60"/>
                      <w:rPr>
                        <w:sz w:val="12"/>
                      </w:rPr>
                    </w:pPr>
                    <w:r>
                      <w:rPr>
                        <w:spacing w:val="-5"/>
                        <w:w w:val="125"/>
                        <w:sz w:val="12"/>
                      </w:rPr>
                      <w:fldChar w:fldCharType="begin"/>
                    </w:r>
                    <w:r>
                      <w:rPr>
                        <w:spacing w:val="-5"/>
                        <w:w w:val="125"/>
                        <w:sz w:val="8"/>
                      </w:rPr>
                      <w:instrText xml:space="preserve"> PAGE </w:instrText>
                    </w:r>
                    <w:r>
                      <w:rPr>
                        <w:spacing w:val="-5"/>
                        <w:w w:val="125"/>
                        <w:sz w:val="12"/>
                      </w:rPr>
                      <w:fldChar w:fldCharType="separate"/>
                    </w:r>
                    <w:r>
                      <w:rPr>
                        <w:spacing w:val="-5"/>
                        <w:w w:val="125"/>
                        <w:sz w:val="8"/>
                      </w:rPr>
                      <w:t>120</w:t>
                    </w:r>
                    <w:r>
                      <w:rPr>
                        <w:spacing w:val="-5"/>
                        <w:w w:val="125"/>
                        <w:sz w:val="12"/>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48218B" w14:textId="77777777" w:rsidR="001A5511" w:rsidRDefault="001A5511">
      <w:r>
        <w:separator/>
      </w:r>
    </w:p>
  </w:footnote>
  <w:footnote w:type="continuationSeparator" w:id="0">
    <w:p w14:paraId="28FAD5FC" w14:textId="77777777" w:rsidR="001A5511" w:rsidRDefault="001A55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7691" w14:textId="79333FE8" w:rsidR="008715BE" w:rsidRPr="00671380" w:rsidRDefault="008715BE">
    <w:pPr>
      <w:pStyle w:val="BodyText"/>
      <w:spacing w:line="14" w:lineRule="auto"/>
      <w:rPr>
        <w:rFonts w:ascii="Verdana" w:hAnsi="Verdana"/>
        <w:sz w:val="20"/>
        <w:lang w:val="en-U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03343" w14:textId="77777777" w:rsidR="008715BE" w:rsidRDefault="00000000">
    <w:pPr>
      <w:pStyle w:val="BodyText"/>
      <w:spacing w:line="14" w:lineRule="auto"/>
      <w:rPr>
        <w:sz w:val="20"/>
      </w:rPr>
    </w:pPr>
    <w:r>
      <w:rPr>
        <w:noProof/>
        <w:sz w:val="20"/>
      </w:rPr>
      <w:drawing>
        <wp:anchor distT="0" distB="0" distL="0" distR="0" simplePos="0" relativeHeight="251617280" behindDoc="1" locked="0" layoutInCell="1" allowOverlap="1" wp14:anchorId="3C5D4FB8" wp14:editId="62C81989">
          <wp:simplePos x="0" y="0"/>
          <wp:positionH relativeFrom="page">
            <wp:posOffset>540384</wp:posOffset>
          </wp:positionH>
          <wp:positionV relativeFrom="page">
            <wp:posOffset>486410</wp:posOffset>
          </wp:positionV>
          <wp:extent cx="651078" cy="177800"/>
          <wp:effectExtent l="0" t="0" r="0" b="0"/>
          <wp:wrapNone/>
          <wp:docPr id="228" name="Image 228"/>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18304" behindDoc="1" locked="0" layoutInCell="1" allowOverlap="1" wp14:anchorId="318898DA" wp14:editId="605CB53D">
              <wp:simplePos x="0" y="0"/>
              <wp:positionH relativeFrom="page">
                <wp:posOffset>528319</wp:posOffset>
              </wp:positionH>
              <wp:positionV relativeFrom="page">
                <wp:posOffset>529434</wp:posOffset>
              </wp:positionV>
              <wp:extent cx="9407525" cy="220345"/>
              <wp:effectExtent l="0" t="0" r="0" b="0"/>
              <wp:wrapNone/>
              <wp:docPr id="229" name="Textbox 229"/>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657548EC"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318898DA" id="_x0000_t202" coordsize="21600,21600" o:spt="202" path="m,l,21600r21600,l21600,xe">
              <v:stroke joinstyle="miter"/>
              <v:path gradientshapeok="t" o:connecttype="rect"/>
            </v:shapetype>
            <v:shape id="Textbox 229" o:spid="_x0000_s1363" type="#_x0000_t202" style="position:absolute;margin-left:41.6pt;margin-top:41.7pt;width:740.75pt;height:17.35pt;z-index:-25169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" filled="f" stroked="f">
              <v:textbox inset="0,0,0,0">
                <w:txbxContent>
                  <w:p w14:paraId="657548EC"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9E727"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20352" behindDoc="1" locked="0" layoutInCell="1" allowOverlap="1" wp14:anchorId="0F165FB1" wp14:editId="6861C3AB">
              <wp:simplePos x="0" y="0"/>
              <wp:positionH relativeFrom="page">
                <wp:posOffset>1374394</wp:posOffset>
              </wp:positionH>
              <wp:positionV relativeFrom="page">
                <wp:posOffset>529434</wp:posOffset>
              </wp:positionV>
              <wp:extent cx="5604510" cy="118110"/>
              <wp:effectExtent l="0" t="0" r="0" b="0"/>
              <wp:wrapNone/>
              <wp:docPr id="231" name="Textbox 231"/>
              <wp:cNvGraphicFramePr/>
              <a:graphic xmlns:a="http://schemas.openxmlformats.org/drawingml/2006/main">
                <a:graphicData uri="http://schemas.microsoft.com/office/word/2010/wordprocessingShape">
                  <wps:wsp>
                    <wps:cNvSpPr txBox="1"/>
                    <wps:spPr>
                      <a:xfrm>
                        <a:off x="0" y="0"/>
                        <a:ext cx="5604510" cy="118110"/>
                      </a:xfrm>
                      <a:prstGeom prst="rect">
                        <a:avLst/>
                      </a:prstGeom>
                    </wps:spPr>
                    <wps:txbx>
                      <w:txbxContent>
                        <w:p w14:paraId="76442BDD" w14:textId="77777777" w:rsidR="008715BE" w:rsidRDefault="00000000">
                          <w:pPr>
                            <w:spacing w:before="26"/>
                            <w:ind w:left="20"/>
                            <w:rPr>
                              <w:b/>
                              <w:sz w:val="12"/>
                            </w:rPr>
                          </w:pPr>
                          <w:r>
                            <w:rPr>
                              <w:b/>
                              <w:color w:val="D0CFC2"/>
                              <w:w w:val="135"/>
                              <w:sz w:val="8"/>
                            </w:rPr>
                            <w:t xml:space="preserve">Environmental impact report for Wind Farm 48 (46) wind turbines approx. 316.8MW (303.6MW), </w:t>
                          </w:r>
                          <w:r>
                            <w:rPr>
                              <w:b/>
                              <w:color w:val="D0CFC2"/>
                              <w:spacing w:val="-5"/>
                              <w:w w:val="135"/>
                              <w:sz w:val="8"/>
                            </w:rPr>
                            <w:t>Stations</w:t>
                          </w:r>
                        </w:p>
                      </w:txbxContent>
                    </wps:txbx>
                    <wps:bodyPr wrap="square" lIns="0" tIns="0" rIns="0" bIns="0" rtlCol="0"/>
                  </wps:wsp>
                </a:graphicData>
              </a:graphic>
            </wp:anchor>
          </w:drawing>
        </mc:Choice>
        <mc:Fallback>
          <w:pict>
            <v:shapetype w14:anchorId="0F165FB1" id="_x0000_t202" coordsize="21600,21600" o:spt="202" path="m,l,21600r21600,l21600,xe">
              <v:stroke joinstyle="miter"/>
              <v:path gradientshapeok="t" o:connecttype="rect"/>
            </v:shapetype>
            <v:shape id="Textbox 231" o:spid="_x0000_s1365" type="#_x0000_t202" style="position:absolute;margin-left:108.2pt;margin-top:41.7pt;width:441.3pt;height:9.3pt;z-index:-25169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" filled="f" stroked="f">
              <v:textbox inset="0,0,0,0">
                <w:txbxContent>
                  <w:p w14:paraId="76442BDD" w14:textId="77777777" w:rsidR="008715BE" w:rsidRDefault="00000000">
                    <w:pPr>
                      <w:spacing w:before="26"/>
                      <w:ind w:left="20"/>
                      <w:rPr>
                        <w:b/>
                        <w:sz w:val="12"/>
                      </w:rPr>
                    </w:pPr>
                    <w:r>
                      <w:rPr>
                        <w:b/>
                        <w:color w:val="D0CFC2"/>
                        <w:w w:val="135"/>
                        <w:sz w:val="8"/>
                      </w:rPr>
                      <w:t xml:space="preserve">Environmental impact report for Wind Farm 48 (46) wind turbines approx. 316.8MW (303.6MW), </w:t>
                    </w:r>
                    <w:r>
                      <w:rPr>
                        <w:b/>
                        <w:color w:val="D0CFC2"/>
                        <w:spacing w:val="-5"/>
                        <w:w w:val="135"/>
                        <w:sz w:val="8"/>
                      </w:rPr>
                      <w:t>Stations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5F347" w14:textId="77777777" w:rsidR="008715BE" w:rsidRDefault="00000000">
    <w:pPr>
      <w:pStyle w:val="BodyText"/>
      <w:spacing w:line="14" w:lineRule="auto"/>
      <w:rPr>
        <w:sz w:val="20"/>
      </w:rPr>
    </w:pPr>
    <w:r>
      <w:rPr>
        <w:noProof/>
        <w:sz w:val="20"/>
      </w:rPr>
      <w:drawing>
        <wp:anchor distT="0" distB="0" distL="0" distR="0" simplePos="0" relativeHeight="251622400" behindDoc="1" locked="0" layoutInCell="1" allowOverlap="1" wp14:anchorId="57033624" wp14:editId="3140E41D">
          <wp:simplePos x="0" y="0"/>
          <wp:positionH relativeFrom="page">
            <wp:posOffset>540384</wp:posOffset>
          </wp:positionH>
          <wp:positionV relativeFrom="page">
            <wp:posOffset>486409</wp:posOffset>
          </wp:positionV>
          <wp:extent cx="651078" cy="177800"/>
          <wp:effectExtent l="0" t="0" r="0" b="0"/>
          <wp:wrapNone/>
          <wp:docPr id="234" name="Image 234"/>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24448" behindDoc="1" locked="0" layoutInCell="1" allowOverlap="1" wp14:anchorId="217BE8A1" wp14:editId="299835E4">
              <wp:simplePos x="0" y="0"/>
              <wp:positionH relativeFrom="page">
                <wp:posOffset>1159255</wp:posOffset>
              </wp:positionH>
              <wp:positionV relativeFrom="page">
                <wp:posOffset>529434</wp:posOffset>
              </wp:positionV>
              <wp:extent cx="9679940" cy="118110"/>
              <wp:effectExtent l="0" t="0" r="0" b="0"/>
              <wp:wrapNone/>
              <wp:docPr id="235" name="Textbox 23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75F65535"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217BE8A1" id="_x0000_t202" coordsize="21600,21600" o:spt="202" path="m,l,21600r21600,l21600,xe">
              <v:stroke joinstyle="miter"/>
              <v:path gradientshapeok="t" o:connecttype="rect"/>
            </v:shapetype>
            <v:shape id="Textbox 235" o:spid="_x0000_s1367" type="#_x0000_t202" style="position:absolute;margin-left:91.3pt;margin-top:41.7pt;width:762.2pt;height:9.3pt;z-index:-2516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PCZKLCBAQAA8AIAAA4AAAAAAAAAAAAAAAAALgIAAGRy&#10;cy9lMm9Eb2MueG1sUEsBAi0AFAAGAAgAAAAhAPP+rEvfAAAACwEAAA8AAAAAAAAAAAAAAAAA2wMA&#10;AGRycy9kb3ducmV2LnhtbFBLBQYAAAAABAAEAPMAAADnBAAAAAA=&#10;" filled="f" stroked="f">
              <v:textbox inset="0,0,0,0">
                <w:txbxContent>
                  <w:p w14:paraId="75F65535"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343ED" w14:textId="77777777" w:rsidR="008715BE" w:rsidRDefault="00000000">
    <w:pPr>
      <w:pStyle w:val="BodyText"/>
      <w:spacing w:line="14" w:lineRule="auto"/>
      <w:rPr>
        <w:sz w:val="20"/>
      </w:rPr>
    </w:pPr>
    <w:r>
      <w:rPr>
        <w:noProof/>
        <w:sz w:val="20"/>
      </w:rPr>
      <w:drawing>
        <wp:anchor distT="0" distB="0" distL="0" distR="0" simplePos="0" relativeHeight="251626496" behindDoc="1" locked="0" layoutInCell="1" allowOverlap="1" wp14:anchorId="11B82596" wp14:editId="60869A05">
          <wp:simplePos x="0" y="0"/>
          <wp:positionH relativeFrom="page">
            <wp:posOffset>756284</wp:posOffset>
          </wp:positionH>
          <wp:positionV relativeFrom="page">
            <wp:posOffset>486409</wp:posOffset>
          </wp:positionV>
          <wp:extent cx="651078" cy="177800"/>
          <wp:effectExtent l="0" t="0" r="0" b="0"/>
          <wp:wrapNone/>
          <wp:docPr id="237" name="Image 237"/>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27520" behindDoc="1" locked="0" layoutInCell="1" allowOverlap="1" wp14:anchorId="26CFAA4E" wp14:editId="07C528D0">
              <wp:simplePos x="0" y="0"/>
              <wp:positionH relativeFrom="page">
                <wp:posOffset>743204</wp:posOffset>
              </wp:positionH>
              <wp:positionV relativeFrom="page">
                <wp:posOffset>529434</wp:posOffset>
              </wp:positionV>
              <wp:extent cx="6235700" cy="220345"/>
              <wp:effectExtent l="0" t="0" r="0" b="0"/>
              <wp:wrapNone/>
              <wp:docPr id="238" name="Textbox 238"/>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2A8F5238"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57520050"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26CFAA4E" id="_x0000_t202" coordsize="21600,21600" o:spt="202" path="m,l,21600r21600,l21600,xe">
              <v:stroke joinstyle="miter"/>
              <v:path gradientshapeok="t" o:connecttype="rect"/>
            </v:shapetype>
            <v:shape id="Textbox 238" o:spid="_x0000_s1369" type="#_x0000_t202" style="position:absolute;margin-left:58.5pt;margin-top:41.7pt;width:491pt;height:17.35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C1J0tvgAEAAPACAAAOAAAAAAAAAAAAAAAAAC4CAABkcnMv&#10;ZTJvRG9jLnhtbFBLAQItABQABgAIAAAAIQDo3PqA3gAAAAsBAAAPAAAAAAAAAAAAAAAAANoDAABk&#10;cnMvZG93bnJldi54bWxQSwUGAAAAAAQABADzAAAA5QQAAAAA&#10;" filled="f" stroked="f">
              <v:textbox inset="0,0,0,0">
                <w:txbxContent>
                  <w:p w14:paraId="2A8F5238"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57520050"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3439C" w14:textId="77777777" w:rsidR="008715BE" w:rsidRDefault="00000000">
    <w:pPr>
      <w:pStyle w:val="BodyText"/>
      <w:spacing w:line="14" w:lineRule="auto"/>
      <w:rPr>
        <w:sz w:val="20"/>
      </w:rPr>
    </w:pPr>
    <w:r>
      <w:rPr>
        <w:noProof/>
        <w:sz w:val="20"/>
      </w:rPr>
      <w:drawing>
        <wp:anchor distT="0" distB="0" distL="0" distR="0" simplePos="0" relativeHeight="251629568" behindDoc="1" locked="0" layoutInCell="1" allowOverlap="1" wp14:anchorId="70EE00C5" wp14:editId="75A08444">
          <wp:simplePos x="0" y="0"/>
          <wp:positionH relativeFrom="page">
            <wp:posOffset>540384</wp:posOffset>
          </wp:positionH>
          <wp:positionV relativeFrom="page">
            <wp:posOffset>486409</wp:posOffset>
          </wp:positionV>
          <wp:extent cx="651078" cy="177800"/>
          <wp:effectExtent l="0" t="0" r="0" b="0"/>
          <wp:wrapNone/>
          <wp:docPr id="270" name="Image 270"/>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31616" behindDoc="1" locked="0" layoutInCell="1" allowOverlap="1" wp14:anchorId="29FF2AE7" wp14:editId="3D1D9FAF">
              <wp:simplePos x="0" y="0"/>
              <wp:positionH relativeFrom="page">
                <wp:posOffset>1159255</wp:posOffset>
              </wp:positionH>
              <wp:positionV relativeFrom="page">
                <wp:posOffset>529434</wp:posOffset>
              </wp:positionV>
              <wp:extent cx="9679940" cy="118110"/>
              <wp:effectExtent l="0" t="0" r="0" b="0"/>
              <wp:wrapNone/>
              <wp:docPr id="271" name="Textbox 271"/>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38FF9053"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29FF2AE7" id="_x0000_t202" coordsize="21600,21600" o:spt="202" path="m,l,21600r21600,l21600,xe">
              <v:stroke joinstyle="miter"/>
              <v:path gradientshapeok="t" o:connecttype="rect"/>
            </v:shapetype>
            <v:shape id="Textbox 271" o:spid="_x0000_s1371" type="#_x0000_t202" style="position:absolute;margin-left:91.3pt;margin-top:41.7pt;width:762.2pt;height:9.3pt;z-index:-25168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HcZDEGBAQAA8AIAAA4AAAAAAAAAAAAAAAAALgIAAGRy&#10;cy9lMm9Eb2MueG1sUEsBAi0AFAAGAAgAAAAhAPP+rEvfAAAACwEAAA8AAAAAAAAAAAAAAAAA2wMA&#10;AGRycy9kb3ducmV2LnhtbFBLBQYAAAAABAAEAPMAAADnBAAAAAA=&#10;" filled="f" stroked="f">
              <v:textbox inset="0,0,0,0">
                <w:txbxContent>
                  <w:p w14:paraId="38FF9053"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6B336" w14:textId="77777777" w:rsidR="008715BE" w:rsidRDefault="00000000">
    <w:pPr>
      <w:pStyle w:val="BodyText"/>
      <w:spacing w:line="14" w:lineRule="auto"/>
      <w:rPr>
        <w:sz w:val="20"/>
      </w:rPr>
    </w:pPr>
    <w:r>
      <w:rPr>
        <w:noProof/>
        <w:sz w:val="20"/>
      </w:rPr>
      <w:drawing>
        <wp:anchor distT="0" distB="0" distL="0" distR="0" simplePos="0" relativeHeight="251633664" behindDoc="1" locked="0" layoutInCell="1" allowOverlap="1" wp14:anchorId="780A65D3" wp14:editId="41F13FAC">
          <wp:simplePos x="0" y="0"/>
          <wp:positionH relativeFrom="page">
            <wp:posOffset>756284</wp:posOffset>
          </wp:positionH>
          <wp:positionV relativeFrom="page">
            <wp:posOffset>486409</wp:posOffset>
          </wp:positionV>
          <wp:extent cx="651078" cy="177800"/>
          <wp:effectExtent l="0" t="0" r="0" b="0"/>
          <wp:wrapNone/>
          <wp:docPr id="273" name="Image 273"/>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34688" behindDoc="1" locked="0" layoutInCell="1" allowOverlap="1" wp14:anchorId="5F24723D" wp14:editId="143F7650">
              <wp:simplePos x="0" y="0"/>
              <wp:positionH relativeFrom="page">
                <wp:posOffset>743204</wp:posOffset>
              </wp:positionH>
              <wp:positionV relativeFrom="page">
                <wp:posOffset>529434</wp:posOffset>
              </wp:positionV>
              <wp:extent cx="6235700" cy="220345"/>
              <wp:effectExtent l="0" t="0" r="0" b="0"/>
              <wp:wrapNone/>
              <wp:docPr id="274" name="Textbox 274"/>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AC6513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5265DB5"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5F24723D" id="_x0000_t202" coordsize="21600,21600" o:spt="202" path="m,l,21600r21600,l21600,xe">
              <v:stroke joinstyle="miter"/>
              <v:path gradientshapeok="t" o:connecttype="rect"/>
            </v:shapetype>
            <v:shape id="Textbox 274" o:spid="_x0000_s1373" type="#_x0000_t202" style="position:absolute;margin-left:58.5pt;margin-top:41.7pt;width:491pt;height:17.35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DGngSHgAEAAPACAAAOAAAAAAAAAAAAAAAAAC4CAABkcnMv&#10;ZTJvRG9jLnhtbFBLAQItABQABgAIAAAAIQDo3PqA3gAAAAsBAAAPAAAAAAAAAAAAAAAAANoDAABk&#10;cnMvZG93bnJldi54bWxQSwUGAAAAAAQABADzAAAA5QQAAAAA&#10;" filled="f" stroked="f">
              <v:textbox inset="0,0,0,0">
                <w:txbxContent>
                  <w:p w14:paraId="1AC6513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5265DB5"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E8851" w14:textId="77777777" w:rsidR="008715BE" w:rsidRDefault="00000000">
    <w:pPr>
      <w:pStyle w:val="BodyText"/>
      <w:spacing w:line="14" w:lineRule="auto"/>
      <w:rPr>
        <w:sz w:val="20"/>
      </w:rPr>
    </w:pPr>
    <w:r>
      <w:rPr>
        <w:noProof/>
        <w:sz w:val="20"/>
      </w:rPr>
      <w:drawing>
        <wp:anchor distT="0" distB="0" distL="0" distR="0" simplePos="0" relativeHeight="251636736" behindDoc="1" locked="0" layoutInCell="1" allowOverlap="1" wp14:anchorId="729A1A53" wp14:editId="1CF0E62E">
          <wp:simplePos x="0" y="0"/>
          <wp:positionH relativeFrom="page">
            <wp:posOffset>540384</wp:posOffset>
          </wp:positionH>
          <wp:positionV relativeFrom="page">
            <wp:posOffset>486409</wp:posOffset>
          </wp:positionV>
          <wp:extent cx="651078" cy="177800"/>
          <wp:effectExtent l="0" t="0" r="0" b="0"/>
          <wp:wrapNone/>
          <wp:docPr id="276" name="Image 276"/>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38784" behindDoc="1" locked="0" layoutInCell="1" allowOverlap="1" wp14:anchorId="60BB2848" wp14:editId="07054D7E">
              <wp:simplePos x="0" y="0"/>
              <wp:positionH relativeFrom="page">
                <wp:posOffset>1159255</wp:posOffset>
              </wp:positionH>
              <wp:positionV relativeFrom="page">
                <wp:posOffset>529434</wp:posOffset>
              </wp:positionV>
              <wp:extent cx="9679940" cy="118110"/>
              <wp:effectExtent l="0" t="0" r="0" b="0"/>
              <wp:wrapNone/>
              <wp:docPr id="277" name="Textbox 277"/>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4382F566"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60BB2848" id="_x0000_t202" coordsize="21600,21600" o:spt="202" path="m,l,21600r21600,l21600,xe">
              <v:stroke joinstyle="miter"/>
              <v:path gradientshapeok="t" o:connecttype="rect"/>
            </v:shapetype>
            <v:shape id="Textbox 277" o:spid="_x0000_s1375" type="#_x0000_t202" style="position:absolute;margin-left:91.3pt;margin-top:41.7pt;width:762.2pt;height:9.3pt;z-index:-251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gyBnWIABAADwAgAADgAAAAAAAAAAAAAAAAAuAgAAZHJz&#10;L2Uyb0RvYy54bWxQSwECLQAUAAYACAAAACEA8/6sS98AAAALAQAADwAAAAAAAAAAAAAAAADaAwAA&#10;ZHJzL2Rvd25yZXYueG1sUEsFBgAAAAAEAAQA8wAAAOYEAAAAAA==&#10;" filled="f" stroked="f">
              <v:textbox inset="0,0,0,0">
                <w:txbxContent>
                  <w:p w14:paraId="4382F566"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C6ED2" w14:textId="77777777" w:rsidR="008715BE" w:rsidRDefault="00000000">
    <w:pPr>
      <w:pStyle w:val="BodyText"/>
      <w:spacing w:line="14" w:lineRule="auto"/>
      <w:rPr>
        <w:sz w:val="20"/>
      </w:rPr>
    </w:pPr>
    <w:r>
      <w:rPr>
        <w:noProof/>
        <w:sz w:val="20"/>
      </w:rPr>
      <w:drawing>
        <wp:anchor distT="0" distB="0" distL="0" distR="0" simplePos="0" relativeHeight="251640832" behindDoc="1" locked="0" layoutInCell="1" allowOverlap="1" wp14:anchorId="7D135A37" wp14:editId="6A78E0D2">
          <wp:simplePos x="0" y="0"/>
          <wp:positionH relativeFrom="page">
            <wp:posOffset>756284</wp:posOffset>
          </wp:positionH>
          <wp:positionV relativeFrom="page">
            <wp:posOffset>486409</wp:posOffset>
          </wp:positionV>
          <wp:extent cx="651078" cy="177800"/>
          <wp:effectExtent l="0" t="0" r="0" b="0"/>
          <wp:wrapNone/>
          <wp:docPr id="279" name="Image 279"/>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41856" behindDoc="1" locked="0" layoutInCell="1" allowOverlap="1" wp14:anchorId="3A55C769" wp14:editId="07CFC8EF">
              <wp:simplePos x="0" y="0"/>
              <wp:positionH relativeFrom="page">
                <wp:posOffset>743204</wp:posOffset>
              </wp:positionH>
              <wp:positionV relativeFrom="page">
                <wp:posOffset>529434</wp:posOffset>
              </wp:positionV>
              <wp:extent cx="6235700" cy="220345"/>
              <wp:effectExtent l="0" t="0" r="0" b="0"/>
              <wp:wrapNone/>
              <wp:docPr id="280" name="Textbox 28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21512CF0"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235AF5B"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3A55C769" id="_x0000_t202" coordsize="21600,21600" o:spt="202" path="m,l,21600r21600,l21600,xe">
              <v:stroke joinstyle="miter"/>
              <v:path gradientshapeok="t" o:connecttype="rect"/>
            </v:shapetype>
            <v:shape id="Textbox 280" o:spid="_x0000_s1377" type="#_x0000_t202" style="position:absolute;margin-left:58.5pt;margin-top:41.7pt;width:491pt;height:17.35pt;z-index:-251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ux7n14EBAADwAgAADgAAAAAAAAAAAAAAAAAuAgAAZHJz&#10;L2Uyb0RvYy54bWxQSwECLQAUAAYACAAAACEA6Nz6gN4AAAALAQAADwAAAAAAAAAAAAAAAADbAwAA&#10;ZHJzL2Rvd25yZXYueG1sUEsFBgAAAAAEAAQA8wAAAOYEAAAAAA==&#10;" filled="f" stroked="f">
              <v:textbox inset="0,0,0,0">
                <w:txbxContent>
                  <w:p w14:paraId="21512CF0"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235AF5B"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7FE03" w14:textId="77777777" w:rsidR="008715BE" w:rsidRDefault="00000000">
    <w:pPr>
      <w:pStyle w:val="BodyText"/>
      <w:spacing w:line="14" w:lineRule="auto"/>
      <w:rPr>
        <w:sz w:val="20"/>
      </w:rPr>
    </w:pPr>
    <w:r>
      <w:rPr>
        <w:noProof/>
        <w:sz w:val="20"/>
      </w:rPr>
      <w:drawing>
        <wp:anchor distT="0" distB="0" distL="0" distR="0" simplePos="0" relativeHeight="251643904" behindDoc="1" locked="0" layoutInCell="1" allowOverlap="1" wp14:anchorId="0204EF70" wp14:editId="12625310">
          <wp:simplePos x="0" y="0"/>
          <wp:positionH relativeFrom="page">
            <wp:posOffset>540384</wp:posOffset>
          </wp:positionH>
          <wp:positionV relativeFrom="page">
            <wp:posOffset>486409</wp:posOffset>
          </wp:positionV>
          <wp:extent cx="651078" cy="177800"/>
          <wp:effectExtent l="0" t="0" r="0" b="0"/>
          <wp:wrapNone/>
          <wp:docPr id="282" name="Image 282"/>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45952" behindDoc="1" locked="0" layoutInCell="1" allowOverlap="1" wp14:anchorId="61194935" wp14:editId="221A502C">
              <wp:simplePos x="0" y="0"/>
              <wp:positionH relativeFrom="page">
                <wp:posOffset>1159255</wp:posOffset>
              </wp:positionH>
              <wp:positionV relativeFrom="page">
                <wp:posOffset>529434</wp:posOffset>
              </wp:positionV>
              <wp:extent cx="9679940" cy="118110"/>
              <wp:effectExtent l="0" t="0" r="0" b="0"/>
              <wp:wrapNone/>
              <wp:docPr id="283" name="Textbox 283"/>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5F515C4A"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61194935" id="_x0000_t202" coordsize="21600,21600" o:spt="202" path="m,l,21600r21600,l21600,xe">
              <v:stroke joinstyle="miter"/>
              <v:path gradientshapeok="t" o:connecttype="rect"/>
            </v:shapetype>
            <v:shape id="Textbox 283" o:spid="_x0000_s1379" type="#_x0000_t202" style="position:absolute;margin-left:91.3pt;margin-top:41.7pt;width:762.2pt;height:9.3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qCECIABAADwAgAADgAAAAAAAAAAAAAAAAAuAgAAZHJz&#10;L2Uyb0RvYy54bWxQSwECLQAUAAYACAAAACEA8/6sS98AAAALAQAADwAAAAAAAAAAAAAAAADaAwAA&#10;ZHJzL2Rvd25yZXYueG1sUEsFBgAAAAAEAAQA8wAAAOYEAAAAAA==&#10;" filled="f" stroked="f">
              <v:textbox inset="0,0,0,0">
                <w:txbxContent>
                  <w:p w14:paraId="5F515C4A"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CBC2C" w14:textId="77777777" w:rsidR="008715BE" w:rsidRDefault="00000000">
    <w:pPr>
      <w:pStyle w:val="BodyText"/>
      <w:spacing w:line="14" w:lineRule="auto"/>
      <w:rPr>
        <w:sz w:val="20"/>
      </w:rPr>
    </w:pPr>
    <w:r>
      <w:rPr>
        <w:noProof/>
        <w:sz w:val="20"/>
      </w:rPr>
      <w:drawing>
        <wp:anchor distT="0" distB="0" distL="0" distR="0" simplePos="0" relativeHeight="251648000" behindDoc="1" locked="0" layoutInCell="1" allowOverlap="1" wp14:anchorId="3657DC46" wp14:editId="63AA31A9">
          <wp:simplePos x="0" y="0"/>
          <wp:positionH relativeFrom="page">
            <wp:posOffset>756284</wp:posOffset>
          </wp:positionH>
          <wp:positionV relativeFrom="page">
            <wp:posOffset>486409</wp:posOffset>
          </wp:positionV>
          <wp:extent cx="651078" cy="177800"/>
          <wp:effectExtent l="0" t="0" r="0" b="0"/>
          <wp:wrapNone/>
          <wp:docPr id="285" name="Image 285"/>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49024" behindDoc="1" locked="0" layoutInCell="1" allowOverlap="1" wp14:anchorId="133FFE22" wp14:editId="19051ABF">
              <wp:simplePos x="0" y="0"/>
              <wp:positionH relativeFrom="page">
                <wp:posOffset>743204</wp:posOffset>
              </wp:positionH>
              <wp:positionV relativeFrom="page">
                <wp:posOffset>529434</wp:posOffset>
              </wp:positionV>
              <wp:extent cx="6235700" cy="220345"/>
              <wp:effectExtent l="0" t="0" r="0" b="0"/>
              <wp:wrapNone/>
              <wp:docPr id="286" name="Textbox 28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679A25E2"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FAC4CD5"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133FFE22" id="_x0000_t202" coordsize="21600,21600" o:spt="202" path="m,l,21600r21600,l21600,xe">
              <v:stroke joinstyle="miter"/>
              <v:path gradientshapeok="t" o:connecttype="rect"/>
            </v:shapetype>
            <v:shape id="Textbox 286" o:spid="_x0000_s1381" type="#_x0000_t202" style="position:absolute;margin-left:58.5pt;margin-top:41.7pt;width:491pt;height:17.35pt;z-index:-251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PJ7DJoEBAADwAgAADgAAAAAAAAAAAAAAAAAuAgAAZHJz&#10;L2Uyb0RvYy54bWxQSwECLQAUAAYACAAAACEA6Nz6gN4AAAALAQAADwAAAAAAAAAAAAAAAADbAwAA&#10;ZHJzL2Rvd25yZXYueG1sUEsFBgAAAAAEAAQA8wAAAOYEAAAAAA==&#10;" filled="f" stroked="f">
              <v:textbox inset="0,0,0,0">
                <w:txbxContent>
                  <w:p w14:paraId="679A25E2"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FAC4CD5"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E6B5E" w14:textId="5BE91350" w:rsidR="008715BE" w:rsidRDefault="00671380">
    <w:pPr>
      <w:pStyle w:val="BodyText"/>
      <w:spacing w:line="14" w:lineRule="auto"/>
      <w:rPr>
        <w:sz w:val="20"/>
      </w:rPr>
    </w:pPr>
    <w:r>
      <w:rPr>
        <w:noProof/>
        <w:sz w:val="20"/>
      </w:rPr>
      <mc:AlternateContent>
        <mc:Choice Requires="wps">
          <w:drawing>
            <wp:anchor distT="0" distB="0" distL="0" distR="0" simplePos="0" relativeHeight="251581440" behindDoc="1" locked="0" layoutInCell="1" allowOverlap="1" wp14:anchorId="71F258D2" wp14:editId="77DBBE60">
              <wp:simplePos x="0" y="0"/>
              <wp:positionH relativeFrom="page">
                <wp:posOffset>1403350</wp:posOffset>
              </wp:positionH>
              <wp:positionV relativeFrom="page">
                <wp:posOffset>317500</wp:posOffset>
              </wp:positionV>
              <wp:extent cx="6035040" cy="311150"/>
              <wp:effectExtent l="0" t="0" r="0" b="0"/>
              <wp:wrapNone/>
              <wp:docPr id="10" name="Textbox 10"/>
              <wp:cNvGraphicFramePr/>
              <a:graphic xmlns:a="http://schemas.openxmlformats.org/drawingml/2006/main">
                <a:graphicData uri="http://schemas.microsoft.com/office/word/2010/wordprocessingShape">
                  <wps:wsp>
                    <wps:cNvSpPr txBox="1"/>
                    <wps:spPr>
                      <a:xfrm>
                        <a:off x="0" y="0"/>
                        <a:ext cx="6035040" cy="311150"/>
                      </a:xfrm>
                      <a:prstGeom prst="rect">
                        <a:avLst/>
                      </a:prstGeom>
                    </wps:spPr>
                    <wps:txbx>
                      <w:txbxContent>
                        <w:p w14:paraId="3E51BF36" w14:textId="0F925AFA" w:rsidR="008715BE" w:rsidRPr="00671380" w:rsidRDefault="00000000" w:rsidP="00671380">
                          <w:pPr>
                            <w:spacing w:before="26"/>
                            <w:rPr>
                              <w:rFonts w:ascii="Verdana" w:hAnsi="Verdana"/>
                              <w:b/>
                              <w:color w:val="404040" w:themeColor="text1" w:themeTint="BF"/>
                              <w:sz w:val="10"/>
                              <w:szCs w:val="10"/>
                            </w:rPr>
                          </w:pPr>
                          <w:r w:rsidRPr="00671380">
                            <w:rPr>
                              <w:rFonts w:ascii="Verdana" w:hAnsi="Verdana"/>
                              <w:b/>
                              <w:color w:val="404040" w:themeColor="text1" w:themeTint="BF"/>
                              <w:w w:val="135"/>
                              <w:sz w:val="10"/>
                              <w:szCs w:val="10"/>
                            </w:rPr>
                            <w:t xml:space="preserve">Environmental impact report for obtaining the Environmental Agreement for Wind Farm 48 (46) </w:t>
                          </w:r>
                          <w:r w:rsidRPr="00671380">
                            <w:rPr>
                              <w:rFonts w:ascii="Verdana" w:hAnsi="Verdana"/>
                              <w:b/>
                              <w:color w:val="404040" w:themeColor="text1" w:themeTint="BF"/>
                              <w:spacing w:val="-2"/>
                              <w:w w:val="135"/>
                              <w:sz w:val="10"/>
                              <w:szCs w:val="10"/>
                            </w:rPr>
                            <w:t>wind turbines</w:t>
                          </w:r>
                          <w:r w:rsidR="00671380" w:rsidRPr="00671380">
                            <w:rPr>
                              <w:rFonts w:ascii="Verdana" w:hAnsi="Verdana"/>
                              <w:b/>
                              <w:color w:val="404040" w:themeColor="text1" w:themeTint="BF"/>
                              <w:sz w:val="10"/>
                              <w:szCs w:val="10"/>
                            </w:rPr>
                            <w:t xml:space="preserve"> </w:t>
                          </w:r>
                          <w:r w:rsidRPr="00671380">
                            <w:rPr>
                              <w:rFonts w:ascii="Verdana" w:hAnsi="Verdana"/>
                              <w:b/>
                              <w:color w:val="404040" w:themeColor="text1" w:themeTint="BF"/>
                              <w:w w:val="135"/>
                              <w:sz w:val="10"/>
                              <w:szCs w:val="10"/>
                            </w:rPr>
                            <w:t xml:space="preserve">approx. 316.8 MW (303.6 MW), transformer stations, electrical connection networks, construction and modernization of communication and </w:t>
                          </w:r>
                          <w:r w:rsidRPr="00671380">
                            <w:rPr>
                              <w:rFonts w:ascii="Verdana" w:hAnsi="Verdana"/>
                              <w:b/>
                              <w:color w:val="404040" w:themeColor="text1" w:themeTint="BF"/>
                              <w:spacing w:val="-4"/>
                              <w:w w:val="135"/>
                              <w:sz w:val="10"/>
                              <w:szCs w:val="10"/>
                            </w:rPr>
                            <w:t xml:space="preserve">access </w:t>
                          </w:r>
                          <w:r w:rsidRPr="00671380">
                            <w:rPr>
                              <w:rFonts w:ascii="Verdana" w:hAnsi="Verdana"/>
                              <w:b/>
                              <w:color w:val="404040" w:themeColor="text1" w:themeTint="BF"/>
                              <w:w w:val="135"/>
                              <w:sz w:val="10"/>
                              <w:szCs w:val="10"/>
                            </w:rPr>
                            <w:t>routes</w:t>
                          </w:r>
                        </w:p>
                      </w:txbxContent>
                    </wps:txbx>
                    <wps:bodyPr wrap="square" lIns="0" tIns="0" rIns="0" bIns="0" rtlCol="0">
                      <a:noAutofit/>
                    </wps:bodyPr>
                  </wps:wsp>
                </a:graphicData>
              </a:graphic>
              <wp14:sizeRelV relativeFrom="margin">
                <wp14:pctHeight>0</wp14:pctHeight>
              </wp14:sizeRelV>
            </wp:anchor>
          </w:drawing>
        </mc:Choice>
        <mc:Fallback>
          <w:pict>
            <v:shapetype w14:anchorId="71F258D2" id="_x0000_t202" coordsize="21600,21600" o:spt="202" path="m,l,21600r21600,l21600,xe">
              <v:stroke joinstyle="miter"/>
              <v:path gradientshapeok="t" o:connecttype="rect"/>
            </v:shapetype>
            <v:shape id="Textbox 10" o:spid="_x0000_s1342" type="#_x0000_t202" style="position:absolute;margin-left:110.5pt;margin-top:25pt;width:475.2pt;height:24.5pt;z-index:-25173504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" filled="f" stroked="f">
              <v:textbox inset="0,0,0,0">
                <w:txbxContent>
                  <w:p w14:paraId="3E51BF36" w14:textId="0F925AFA" w:rsidR="008715BE" w:rsidRPr="00671380" w:rsidRDefault="00000000" w:rsidP="00671380">
                    <w:pPr>
                      <w:spacing w:before="26"/>
                      <w:rPr>
                        <w:rFonts w:ascii="Verdana" w:hAnsi="Verdana"/>
                        <w:b/>
                        <w:color w:val="404040" w:themeColor="text1" w:themeTint="BF"/>
                        <w:sz w:val="10"/>
                        <w:szCs w:val="10"/>
                      </w:rPr>
                    </w:pPr>
                    <w:r w:rsidRPr="00671380">
                      <w:rPr>
                        <w:rFonts w:ascii="Verdana" w:hAnsi="Verdana"/>
                        <w:b/>
                        <w:color w:val="404040" w:themeColor="text1" w:themeTint="BF"/>
                        <w:w w:val="135"/>
                        <w:sz w:val="10"/>
                        <w:szCs w:val="10"/>
                      </w:rPr>
                      <w:t xml:space="preserve">Environmental impact report for obtaining the Environmental Agreement for Wind Farm 48 (46) </w:t>
                    </w:r>
                    <w:r w:rsidRPr="00671380">
                      <w:rPr>
                        <w:rFonts w:ascii="Verdana" w:hAnsi="Verdana"/>
                        <w:b/>
                        <w:color w:val="404040" w:themeColor="text1" w:themeTint="BF"/>
                        <w:spacing w:val="-2"/>
                        <w:w w:val="135"/>
                        <w:sz w:val="10"/>
                        <w:szCs w:val="10"/>
                      </w:rPr>
                      <w:t>wind turbines</w:t>
                    </w:r>
                    <w:r w:rsidR="00671380" w:rsidRPr="00671380">
                      <w:rPr>
                        <w:rFonts w:ascii="Verdana" w:hAnsi="Verdana"/>
                        <w:b/>
                        <w:color w:val="404040" w:themeColor="text1" w:themeTint="BF"/>
                        <w:sz w:val="10"/>
                        <w:szCs w:val="10"/>
                      </w:rPr>
                      <w:t xml:space="preserve"> </w:t>
                    </w:r>
                    <w:r w:rsidRPr="00671380">
                      <w:rPr>
                        <w:rFonts w:ascii="Verdana" w:hAnsi="Verdana"/>
                        <w:b/>
                        <w:color w:val="404040" w:themeColor="text1" w:themeTint="BF"/>
                        <w:w w:val="135"/>
                        <w:sz w:val="10"/>
                        <w:szCs w:val="10"/>
                      </w:rPr>
                      <w:t xml:space="preserve">approx. 316.8 MW (303.6 MW), transformer stations, electrical connection networks, construction and modernization of communication and </w:t>
                    </w:r>
                    <w:r w:rsidRPr="00671380">
                      <w:rPr>
                        <w:rFonts w:ascii="Verdana" w:hAnsi="Verdana"/>
                        <w:b/>
                        <w:color w:val="404040" w:themeColor="text1" w:themeTint="BF"/>
                        <w:spacing w:val="-4"/>
                        <w:w w:val="135"/>
                        <w:sz w:val="10"/>
                        <w:szCs w:val="10"/>
                      </w:rPr>
                      <w:t xml:space="preserve">access </w:t>
                    </w:r>
                    <w:r w:rsidRPr="00671380">
                      <w:rPr>
                        <w:rFonts w:ascii="Verdana" w:hAnsi="Verdana"/>
                        <w:b/>
                        <w:color w:val="404040" w:themeColor="text1" w:themeTint="BF"/>
                        <w:w w:val="135"/>
                        <w:sz w:val="10"/>
                        <w:szCs w:val="10"/>
                      </w:rPr>
                      <w:t>routes</w:t>
                    </w:r>
                  </w:p>
                </w:txbxContent>
              </v:textbox>
              <w10:wrap anchorx="page" anchory="page"/>
            </v:shape>
          </w:pict>
        </mc:Fallback>
      </mc:AlternateContent>
    </w:r>
    <w:r>
      <w:rPr>
        <w:noProof/>
        <w:sz w:val="20"/>
      </w:rPr>
      <w:drawing>
        <wp:anchor distT="0" distB="0" distL="0" distR="0" simplePos="0" relativeHeight="251580416" behindDoc="1" locked="0" layoutInCell="1" allowOverlap="1" wp14:anchorId="4C1C83E1" wp14:editId="1FD79E13">
          <wp:simplePos x="0" y="0"/>
          <wp:positionH relativeFrom="page">
            <wp:posOffset>756284</wp:posOffset>
          </wp:positionH>
          <wp:positionV relativeFrom="page">
            <wp:posOffset>486409</wp:posOffset>
          </wp:positionV>
          <wp:extent cx="651078" cy="177800"/>
          <wp:effectExtent l="0" t="0" r="0" b="0"/>
          <wp:wrapNone/>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651078" cy="177800"/>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8E7E1" w14:textId="77777777" w:rsidR="008715BE" w:rsidRDefault="00000000">
    <w:pPr>
      <w:pStyle w:val="BodyText"/>
      <w:spacing w:line="14" w:lineRule="auto"/>
      <w:rPr>
        <w:sz w:val="20"/>
      </w:rPr>
    </w:pPr>
    <w:r>
      <w:rPr>
        <w:noProof/>
        <w:sz w:val="20"/>
      </w:rPr>
      <w:drawing>
        <wp:anchor distT="0" distB="0" distL="0" distR="0" simplePos="0" relativeHeight="251651072" behindDoc="1" locked="0" layoutInCell="1" allowOverlap="1" wp14:anchorId="73697CDE" wp14:editId="30E845C3">
          <wp:simplePos x="0" y="0"/>
          <wp:positionH relativeFrom="page">
            <wp:posOffset>540384</wp:posOffset>
          </wp:positionH>
          <wp:positionV relativeFrom="page">
            <wp:posOffset>486409</wp:posOffset>
          </wp:positionV>
          <wp:extent cx="651078" cy="177800"/>
          <wp:effectExtent l="0" t="0" r="0" b="0"/>
          <wp:wrapNone/>
          <wp:docPr id="318" name="Image 318"/>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53120" behindDoc="1" locked="0" layoutInCell="1" allowOverlap="1" wp14:anchorId="59C92015" wp14:editId="13E0A218">
              <wp:simplePos x="0" y="0"/>
              <wp:positionH relativeFrom="page">
                <wp:posOffset>1159255</wp:posOffset>
              </wp:positionH>
              <wp:positionV relativeFrom="page">
                <wp:posOffset>529434</wp:posOffset>
              </wp:positionV>
              <wp:extent cx="9679940" cy="118110"/>
              <wp:effectExtent l="0" t="0" r="0" b="0"/>
              <wp:wrapNone/>
              <wp:docPr id="319" name="Textbox 319"/>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55EDAC33"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59C92015" id="_x0000_t202" coordsize="21600,21600" o:spt="202" path="m,l,21600r21600,l21600,xe">
              <v:stroke joinstyle="miter"/>
              <v:path gradientshapeok="t" o:connecttype="rect"/>
            </v:shapetype>
            <v:shape id="Textbox 319" o:spid="_x0000_s1383" type="#_x0000_t202" style="position:absolute;margin-left:91.3pt;margin-top:41.7pt;width:762.2pt;height:9.3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" filled="f" stroked="f">
              <v:textbox inset="0,0,0,0">
                <w:txbxContent>
                  <w:p w14:paraId="55EDAC33"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88DA5" w14:textId="77777777" w:rsidR="008715BE" w:rsidRDefault="00000000">
    <w:pPr>
      <w:pStyle w:val="BodyText"/>
      <w:spacing w:line="14" w:lineRule="auto"/>
      <w:rPr>
        <w:sz w:val="20"/>
      </w:rPr>
    </w:pPr>
    <w:r>
      <w:rPr>
        <w:noProof/>
        <w:sz w:val="20"/>
      </w:rPr>
      <w:drawing>
        <wp:anchor distT="0" distB="0" distL="0" distR="0" simplePos="0" relativeHeight="251655168" behindDoc="1" locked="0" layoutInCell="1" allowOverlap="1" wp14:anchorId="397D100B" wp14:editId="0DDD3996">
          <wp:simplePos x="0" y="0"/>
          <wp:positionH relativeFrom="page">
            <wp:posOffset>756284</wp:posOffset>
          </wp:positionH>
          <wp:positionV relativeFrom="page">
            <wp:posOffset>486409</wp:posOffset>
          </wp:positionV>
          <wp:extent cx="651078" cy="177800"/>
          <wp:effectExtent l="0" t="0" r="0" b="0"/>
          <wp:wrapNone/>
          <wp:docPr id="321" name="Image 321"/>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57216" behindDoc="1" locked="0" layoutInCell="1" allowOverlap="1" wp14:anchorId="7AF6DCD2" wp14:editId="6B82605E">
              <wp:simplePos x="0" y="0"/>
              <wp:positionH relativeFrom="page">
                <wp:posOffset>743204</wp:posOffset>
              </wp:positionH>
              <wp:positionV relativeFrom="page">
                <wp:posOffset>529434</wp:posOffset>
              </wp:positionV>
              <wp:extent cx="6235700" cy="220345"/>
              <wp:effectExtent l="0" t="0" r="0" b="0"/>
              <wp:wrapNone/>
              <wp:docPr id="322" name="Textbox 322"/>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C76D52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5DC0213"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7AF6DCD2" id="_x0000_t202" coordsize="21600,21600" o:spt="202" path="m,l,21600r21600,l21600,xe">
              <v:stroke joinstyle="miter"/>
              <v:path gradientshapeok="t" o:connecttype="rect"/>
            </v:shapetype>
            <v:shape id="Textbox 322" o:spid="_x0000_s1385" type="#_x0000_t202" style="position:absolute;margin-left:58.5pt;margin-top:41.7pt;width:491pt;height:17.3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6b2G64EBAADwAgAADgAAAAAAAAAAAAAAAAAuAgAAZHJz&#10;L2Uyb0RvYy54bWxQSwECLQAUAAYACAAAACEA6Nz6gN4AAAALAQAADwAAAAAAAAAAAAAAAADbAwAA&#10;ZHJzL2Rvd25yZXYueG1sUEsFBgAAAAAEAAQA8wAAAOYEAAAAAA==&#10;" filled="f" stroked="f">
              <v:textbox inset="0,0,0,0">
                <w:txbxContent>
                  <w:p w14:paraId="1C76D52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5DC0213"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B0FB0" w14:textId="77777777" w:rsidR="008715BE" w:rsidRDefault="00000000">
    <w:pPr>
      <w:pStyle w:val="BodyText"/>
      <w:spacing w:line="14" w:lineRule="auto"/>
      <w:rPr>
        <w:sz w:val="20"/>
      </w:rPr>
    </w:pPr>
    <w:r>
      <w:rPr>
        <w:noProof/>
        <w:sz w:val="20"/>
      </w:rPr>
      <w:drawing>
        <wp:anchor distT="0" distB="0" distL="0" distR="0" simplePos="0" relativeHeight="251658240" behindDoc="1" locked="0" layoutInCell="1" allowOverlap="1" wp14:anchorId="54B346C7" wp14:editId="7CAF3028">
          <wp:simplePos x="0" y="0"/>
          <wp:positionH relativeFrom="page">
            <wp:posOffset>540384</wp:posOffset>
          </wp:positionH>
          <wp:positionV relativeFrom="page">
            <wp:posOffset>486409</wp:posOffset>
          </wp:positionV>
          <wp:extent cx="651078" cy="177800"/>
          <wp:effectExtent l="0" t="0" r="0" b="0"/>
          <wp:wrapNone/>
          <wp:docPr id="354" name="Image 354"/>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60288" behindDoc="1" locked="0" layoutInCell="1" allowOverlap="1" wp14:anchorId="67D77600" wp14:editId="4FD6C76C">
              <wp:simplePos x="0" y="0"/>
              <wp:positionH relativeFrom="page">
                <wp:posOffset>1159255</wp:posOffset>
              </wp:positionH>
              <wp:positionV relativeFrom="page">
                <wp:posOffset>529434</wp:posOffset>
              </wp:positionV>
              <wp:extent cx="9679940" cy="118110"/>
              <wp:effectExtent l="0" t="0" r="0" b="0"/>
              <wp:wrapNone/>
              <wp:docPr id="355" name="Textbox 35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3BE77FF0"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67D77600" id="_x0000_t202" coordsize="21600,21600" o:spt="202" path="m,l,21600r21600,l21600,xe">
              <v:stroke joinstyle="miter"/>
              <v:path gradientshapeok="t" o:connecttype="rect"/>
            </v:shapetype>
            <v:shape id="Textbox 355" o:spid="_x0000_s1387" type="#_x0000_t202" style="position:absolute;margin-left:91.3pt;margin-top:41.7pt;width:762.2pt;height:9.3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0YMGZIABAADwAgAADgAAAAAAAAAAAAAAAAAuAgAAZHJz&#10;L2Uyb0RvYy54bWxQSwECLQAUAAYACAAAACEA8/6sS98AAAALAQAADwAAAAAAAAAAAAAAAADaAwAA&#10;ZHJzL2Rvd25yZXYueG1sUEsFBgAAAAAEAAQA8wAAAOYEAAAAAA==&#10;" filled="f" stroked="f">
              <v:textbox inset="0,0,0,0">
                <w:txbxContent>
                  <w:p w14:paraId="3BE77FF0"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86D7F" w14:textId="77777777" w:rsidR="008715BE" w:rsidRDefault="00000000">
    <w:pPr>
      <w:pStyle w:val="BodyText"/>
      <w:spacing w:line="14" w:lineRule="auto"/>
      <w:rPr>
        <w:sz w:val="20"/>
      </w:rPr>
    </w:pPr>
    <w:r>
      <w:rPr>
        <w:noProof/>
        <w:sz w:val="20"/>
      </w:rPr>
      <w:drawing>
        <wp:anchor distT="0" distB="0" distL="0" distR="0" simplePos="0" relativeHeight="251662336" behindDoc="1" locked="0" layoutInCell="1" allowOverlap="1" wp14:anchorId="6D34F50C" wp14:editId="23A9C2DA">
          <wp:simplePos x="0" y="0"/>
          <wp:positionH relativeFrom="page">
            <wp:posOffset>756284</wp:posOffset>
          </wp:positionH>
          <wp:positionV relativeFrom="page">
            <wp:posOffset>493394</wp:posOffset>
          </wp:positionV>
          <wp:extent cx="651078" cy="177800"/>
          <wp:effectExtent l="0" t="0" r="0" b="0"/>
          <wp:wrapNone/>
          <wp:docPr id="357" name="Image 357"/>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64384" behindDoc="1" locked="0" layoutInCell="1" allowOverlap="1" wp14:anchorId="42A4DD04" wp14:editId="49BFC8A8">
              <wp:simplePos x="0" y="0"/>
              <wp:positionH relativeFrom="page">
                <wp:posOffset>743204</wp:posOffset>
              </wp:positionH>
              <wp:positionV relativeFrom="page">
                <wp:posOffset>537054</wp:posOffset>
              </wp:positionV>
              <wp:extent cx="6825615" cy="220345"/>
              <wp:effectExtent l="0" t="0" r="0" b="0"/>
              <wp:wrapNone/>
              <wp:docPr id="358" name="Textbox 358"/>
              <wp:cNvGraphicFramePr/>
              <a:graphic xmlns:a="http://schemas.openxmlformats.org/drawingml/2006/main">
                <a:graphicData uri="http://schemas.microsoft.com/office/word/2010/wordprocessingShape">
                  <wps:wsp>
                    <wps:cNvSpPr txBox="1"/>
                    <wps:spPr>
                      <a:xfrm>
                        <a:off x="0" y="0"/>
                        <a:ext cx="6825615" cy="220345"/>
                      </a:xfrm>
                      <a:prstGeom prst="rect">
                        <a:avLst/>
                      </a:prstGeom>
                    </wps:spPr>
                    <wps:txbx>
                      <w:txbxContent>
                        <w:p w14:paraId="352B8A86" w14:textId="77777777" w:rsidR="008715BE" w:rsidRDefault="00000000">
                          <w:pPr>
                            <w:spacing w:before="24" w:line="264" w:lineRule="auto"/>
                            <w:ind w:left="20" w:right="18" w:firstLine="1133"/>
                            <w:rPr>
                              <w:b/>
                              <w:sz w:val="12"/>
                            </w:rPr>
                          </w:pPr>
                          <w:r>
                            <w:rPr>
                              <w:b/>
                              <w:color w:val="D0CFC2"/>
                              <w:w w:val="135"/>
                              <w:sz w:val="8"/>
                            </w:rPr>
                            <w:t>Environmental impact report for Wind Farm 48 (46) wind turbines approx. 316.8 MW (303.6 MW), communication and access transformer stations</w:t>
                          </w:r>
                        </w:p>
                      </w:txbxContent>
                    </wps:txbx>
                    <wps:bodyPr wrap="square" lIns="0" tIns="0" rIns="0" bIns="0" rtlCol="0"/>
                  </wps:wsp>
                </a:graphicData>
              </a:graphic>
            </wp:anchor>
          </w:drawing>
        </mc:Choice>
        <mc:Fallback>
          <w:pict>
            <v:shapetype w14:anchorId="42A4DD04" id="_x0000_t202" coordsize="21600,21600" o:spt="202" path="m,l,21600r21600,l21600,xe">
              <v:stroke joinstyle="miter"/>
              <v:path gradientshapeok="t" o:connecttype="rect"/>
            </v:shapetype>
            <v:shape id="Textbox 358" o:spid="_x0000_s1389" type="#_x0000_t202" style="position:absolute;margin-left:58.5pt;margin-top:42.3pt;width:537.45pt;height:17.3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" filled="f" stroked="f">
              <v:textbox inset="0,0,0,0">
                <w:txbxContent>
                  <w:p w14:paraId="352B8A86" w14:textId="77777777" w:rsidR="008715BE" w:rsidRDefault="00000000">
                    <w:pPr>
                      <w:spacing w:before="24" w:line="264" w:lineRule="auto"/>
                      <w:ind w:left="20" w:right="18" w:firstLine="1133"/>
                      <w:rPr>
                        <w:b/>
                        <w:sz w:val="12"/>
                      </w:rPr>
                    </w:pPr>
                    <w:r>
                      <w:rPr>
                        <w:b/>
                        <w:color w:val="D0CFC2"/>
                        <w:w w:val="135"/>
                        <w:sz w:val="8"/>
                      </w:rPr>
                      <w:t>Environmental impact report for Wind Farm 48 (46) wind turbines approx. 316.8 MW (303.6 MW), communication and access transformer stations</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52F9C" w14:textId="77777777" w:rsidR="008715BE" w:rsidRDefault="00000000">
    <w:pPr>
      <w:pStyle w:val="BodyText"/>
      <w:spacing w:line="14" w:lineRule="auto"/>
      <w:rPr>
        <w:sz w:val="20"/>
      </w:rPr>
    </w:pPr>
    <w:r>
      <w:rPr>
        <w:noProof/>
        <w:sz w:val="20"/>
      </w:rPr>
      <w:drawing>
        <wp:anchor distT="0" distB="0" distL="0" distR="0" simplePos="0" relativeHeight="251666432" behindDoc="1" locked="0" layoutInCell="1" allowOverlap="1" wp14:anchorId="5D81A594" wp14:editId="51BA02B8">
          <wp:simplePos x="0" y="0"/>
          <wp:positionH relativeFrom="page">
            <wp:posOffset>756284</wp:posOffset>
          </wp:positionH>
          <wp:positionV relativeFrom="page">
            <wp:posOffset>493394</wp:posOffset>
          </wp:positionV>
          <wp:extent cx="651078" cy="177800"/>
          <wp:effectExtent l="0" t="0" r="0" b="0"/>
          <wp:wrapNone/>
          <wp:docPr id="359" name="Image 359"/>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67456" behindDoc="1" locked="0" layoutInCell="1" allowOverlap="1" wp14:anchorId="68073285" wp14:editId="772A04CF">
              <wp:simplePos x="0" y="0"/>
              <wp:positionH relativeFrom="page">
                <wp:posOffset>743204</wp:posOffset>
              </wp:positionH>
              <wp:positionV relativeFrom="page">
                <wp:posOffset>537054</wp:posOffset>
              </wp:positionV>
              <wp:extent cx="6235700" cy="220345"/>
              <wp:effectExtent l="0" t="0" r="0" b="0"/>
              <wp:wrapNone/>
              <wp:docPr id="360" name="Textbox 36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25A3D0D"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AE4EF58"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68073285" id="_x0000_t202" coordsize="21600,21600" o:spt="202" path="m,l,21600r21600,l21600,xe">
              <v:stroke joinstyle="miter"/>
              <v:path gradientshapeok="t" o:connecttype="rect"/>
            </v:shapetype>
            <v:shape id="Textbox 360" o:spid="_x0000_s1390" type="#_x0000_t202" style="position:absolute;margin-left:58.5pt;margin-top:42.3pt;width:491pt;height:17.35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" filled="f" stroked="f">
              <v:textbox inset="0,0,0,0">
                <w:txbxContent>
                  <w:p w14:paraId="325A3D0D"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AE4EF58"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6C31"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669504" behindDoc="1" locked="0" layoutInCell="1" allowOverlap="1" wp14:anchorId="1B6318BE" wp14:editId="43B8FE20">
              <wp:simplePos x="0" y="0"/>
              <wp:positionH relativeFrom="page">
                <wp:posOffset>1787398</wp:posOffset>
              </wp:positionH>
              <wp:positionV relativeFrom="page">
                <wp:posOffset>537054</wp:posOffset>
              </wp:positionV>
              <wp:extent cx="9681845" cy="118110"/>
              <wp:effectExtent l="0" t="0" r="0" b="0"/>
              <wp:wrapNone/>
              <wp:docPr id="392" name="Textbox 392"/>
              <wp:cNvGraphicFramePr/>
              <a:graphic xmlns:a="http://schemas.openxmlformats.org/drawingml/2006/main">
                <a:graphicData uri="http://schemas.microsoft.com/office/word/2010/wordprocessingShape">
                  <wps:wsp>
                    <wps:cNvSpPr txBox="1"/>
                    <wps:spPr>
                      <a:xfrm>
                        <a:off x="0" y="0"/>
                        <a:ext cx="9681845" cy="118110"/>
                      </a:xfrm>
                      <a:prstGeom prst="rect">
                        <a:avLst/>
                      </a:prstGeom>
                    </wps:spPr>
                    <wps:txbx>
                      <w:txbxContent>
                        <w:p w14:paraId="37E7E5B6"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1B6318BE" id="_x0000_t202" coordsize="21600,21600" o:spt="202" path="m,l,21600r21600,l21600,xe">
              <v:stroke joinstyle="miter"/>
              <v:path gradientshapeok="t" o:connecttype="rect"/>
            </v:shapetype>
            <v:shape id="Textbox 392" o:spid="_x0000_s1392" type="#_x0000_t202" style="position:absolute;margin-left:140.75pt;margin-top:42.3pt;width:762.35pt;height:9.3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" filled="f" stroked="f">
              <v:textbox inset="0,0,0,0">
                <w:txbxContent>
                  <w:p w14:paraId="37E7E5B6"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FFF40" w14:textId="77777777" w:rsidR="008715BE" w:rsidRDefault="00000000">
    <w:pPr>
      <w:pStyle w:val="BodyText"/>
      <w:spacing w:line="14" w:lineRule="auto"/>
      <w:rPr>
        <w:sz w:val="20"/>
      </w:rPr>
    </w:pPr>
    <w:r>
      <w:rPr>
        <w:noProof/>
        <w:sz w:val="20"/>
      </w:rPr>
      <w:drawing>
        <wp:anchor distT="0" distB="0" distL="0" distR="0" simplePos="0" relativeHeight="251671552" behindDoc="1" locked="0" layoutInCell="1" allowOverlap="1" wp14:anchorId="2AF9E7F2" wp14:editId="5043EBFB">
          <wp:simplePos x="0" y="0"/>
          <wp:positionH relativeFrom="page">
            <wp:posOffset>1080769</wp:posOffset>
          </wp:positionH>
          <wp:positionV relativeFrom="page">
            <wp:posOffset>493394</wp:posOffset>
          </wp:positionV>
          <wp:extent cx="651078" cy="177800"/>
          <wp:effectExtent l="0" t="0" r="0" b="0"/>
          <wp:wrapNone/>
          <wp:docPr id="394" name="Image 394"/>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72576" behindDoc="1" locked="0" layoutInCell="1" allowOverlap="1" wp14:anchorId="58C0D772" wp14:editId="79161364">
              <wp:simplePos x="0" y="0"/>
              <wp:positionH relativeFrom="page">
                <wp:posOffset>1699005</wp:posOffset>
              </wp:positionH>
              <wp:positionV relativeFrom="page">
                <wp:posOffset>537054</wp:posOffset>
              </wp:positionV>
              <wp:extent cx="9679940" cy="118110"/>
              <wp:effectExtent l="0" t="0" r="0" b="0"/>
              <wp:wrapNone/>
              <wp:docPr id="395" name="Textbox 39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5E102061"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58C0D772" id="_x0000_t202" coordsize="21600,21600" o:spt="202" path="m,l,21600r21600,l21600,xe">
              <v:stroke joinstyle="miter"/>
              <v:path gradientshapeok="t" o:connecttype="rect"/>
            </v:shapetype>
            <v:shape id="Textbox 395" o:spid="_x0000_s1393" type="#_x0000_t202" style="position:absolute;margin-left:133.8pt;margin-top:42.3pt;width:762.2pt;height:9.3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" filled="f" stroked="f">
              <v:textbox inset="0,0,0,0">
                <w:txbxContent>
                  <w:p w14:paraId="5E102061"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E53FF" w14:textId="77777777" w:rsidR="008715BE" w:rsidRDefault="00000000">
    <w:pPr>
      <w:pStyle w:val="BodyText"/>
      <w:spacing w:line="14" w:lineRule="auto"/>
      <w:rPr>
        <w:sz w:val="20"/>
      </w:rPr>
    </w:pPr>
    <w:r>
      <w:rPr>
        <w:noProof/>
        <w:sz w:val="20"/>
      </w:rPr>
      <w:drawing>
        <wp:anchor distT="0" distB="0" distL="0" distR="0" simplePos="0" relativeHeight="251674624" behindDoc="1" locked="0" layoutInCell="1" allowOverlap="1" wp14:anchorId="7D8F6F9B" wp14:editId="02B977C9">
          <wp:simplePos x="0" y="0"/>
          <wp:positionH relativeFrom="page">
            <wp:posOffset>756284</wp:posOffset>
          </wp:positionH>
          <wp:positionV relativeFrom="page">
            <wp:posOffset>486409</wp:posOffset>
          </wp:positionV>
          <wp:extent cx="651078" cy="177800"/>
          <wp:effectExtent l="0" t="0" r="0" b="0"/>
          <wp:wrapNone/>
          <wp:docPr id="397" name="Image 397"/>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76672" behindDoc="1" locked="0" layoutInCell="1" allowOverlap="1" wp14:anchorId="203511D8" wp14:editId="2EFA4B50">
              <wp:simplePos x="0" y="0"/>
              <wp:positionH relativeFrom="page">
                <wp:posOffset>743204</wp:posOffset>
              </wp:positionH>
              <wp:positionV relativeFrom="page">
                <wp:posOffset>529434</wp:posOffset>
              </wp:positionV>
              <wp:extent cx="6235700" cy="220345"/>
              <wp:effectExtent l="0" t="0" r="0" b="0"/>
              <wp:wrapNone/>
              <wp:docPr id="398" name="Textbox 398"/>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6C92978B"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ECC90C1"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203511D8" id="_x0000_t202" coordsize="21600,21600" o:spt="202" path="m,l,21600r21600,l21600,xe">
              <v:stroke joinstyle="miter"/>
              <v:path gradientshapeok="t" o:connecttype="rect"/>
            </v:shapetype>
            <v:shape id="Textbox 398" o:spid="_x0000_s1395" type="#_x0000_t202" style="position:absolute;margin-left:58.5pt;margin-top:41.7pt;width:491pt;height:17.3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cfjloEBAADwAgAADgAAAAAAAAAAAAAAAAAuAgAAZHJz&#10;L2Uyb0RvYy54bWxQSwECLQAUAAYACAAAACEA6Nz6gN4AAAALAQAADwAAAAAAAAAAAAAAAADbAwAA&#10;ZHJzL2Rvd25yZXYueG1sUEsFBgAAAAAEAAQA8wAAAOYEAAAAAA==&#10;" filled="f" stroked="f">
              <v:textbox inset="0,0,0,0">
                <w:txbxContent>
                  <w:p w14:paraId="6C92978B"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ECC90C1"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B69E7" w14:textId="77777777" w:rsidR="008715BE" w:rsidRDefault="00000000">
    <w:pPr>
      <w:pStyle w:val="BodyText"/>
      <w:spacing w:line="14" w:lineRule="auto"/>
      <w:rPr>
        <w:sz w:val="20"/>
      </w:rPr>
    </w:pPr>
    <w:r>
      <w:rPr>
        <w:noProof/>
        <w:sz w:val="20"/>
      </w:rPr>
      <w:drawing>
        <wp:anchor distT="0" distB="0" distL="0" distR="0" simplePos="0" relativeHeight="251678720" behindDoc="1" locked="0" layoutInCell="1" allowOverlap="1" wp14:anchorId="5A543437" wp14:editId="6B640E66">
          <wp:simplePos x="0" y="0"/>
          <wp:positionH relativeFrom="page">
            <wp:posOffset>540384</wp:posOffset>
          </wp:positionH>
          <wp:positionV relativeFrom="page">
            <wp:posOffset>486409</wp:posOffset>
          </wp:positionV>
          <wp:extent cx="651078" cy="177800"/>
          <wp:effectExtent l="0" t="0" r="0" b="0"/>
          <wp:wrapNone/>
          <wp:docPr id="430" name="Image 430"/>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80768" behindDoc="1" locked="0" layoutInCell="1" allowOverlap="1" wp14:anchorId="788958E3" wp14:editId="4823E3CA">
              <wp:simplePos x="0" y="0"/>
              <wp:positionH relativeFrom="page">
                <wp:posOffset>1159255</wp:posOffset>
              </wp:positionH>
              <wp:positionV relativeFrom="page">
                <wp:posOffset>529434</wp:posOffset>
              </wp:positionV>
              <wp:extent cx="9679940" cy="118110"/>
              <wp:effectExtent l="0" t="0" r="0" b="0"/>
              <wp:wrapNone/>
              <wp:docPr id="431" name="Textbox 431"/>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3D1DF1D9"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788958E3" id="_x0000_t202" coordsize="21600,21600" o:spt="202" path="m,l,21600r21600,l21600,xe">
              <v:stroke joinstyle="miter"/>
              <v:path gradientshapeok="t" o:connecttype="rect"/>
            </v:shapetype>
            <v:shape id="Textbox 431" o:spid="_x0000_s1397" type="#_x0000_t202" style="position:absolute;margin-left:91.3pt;margin-top:41.7pt;width:762.2pt;height:9.3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wfljGYABAADwAgAADgAAAAAAAAAAAAAAAAAuAgAAZHJz&#10;L2Uyb0RvYy54bWxQSwECLQAUAAYACAAAACEA8/6sS98AAAALAQAADwAAAAAAAAAAAAAAAADaAwAA&#10;ZHJzL2Rvd25yZXYueG1sUEsFBgAAAAAEAAQA8wAAAOYEAAAAAA==&#10;" filled="f" stroked="f">
              <v:textbox inset="0,0,0,0">
                <w:txbxContent>
                  <w:p w14:paraId="3D1DF1D9"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397CB3" w14:textId="77777777" w:rsidR="008715BE" w:rsidRDefault="00000000">
    <w:pPr>
      <w:pStyle w:val="BodyText"/>
      <w:spacing w:line="14" w:lineRule="auto"/>
      <w:rPr>
        <w:sz w:val="20"/>
      </w:rPr>
    </w:pPr>
    <w:r>
      <w:rPr>
        <w:noProof/>
        <w:sz w:val="20"/>
      </w:rPr>
      <w:drawing>
        <wp:anchor distT="0" distB="0" distL="0" distR="0" simplePos="0" relativeHeight="251682816" behindDoc="1" locked="0" layoutInCell="1" allowOverlap="1" wp14:anchorId="48862983" wp14:editId="5DF364FF">
          <wp:simplePos x="0" y="0"/>
          <wp:positionH relativeFrom="page">
            <wp:posOffset>756284</wp:posOffset>
          </wp:positionH>
          <wp:positionV relativeFrom="page">
            <wp:posOffset>486409</wp:posOffset>
          </wp:positionV>
          <wp:extent cx="651078" cy="177800"/>
          <wp:effectExtent l="0" t="0" r="0" b="0"/>
          <wp:wrapNone/>
          <wp:docPr id="433" name="Image 433"/>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83840" behindDoc="1" locked="0" layoutInCell="1" allowOverlap="1" wp14:anchorId="5D7685BE" wp14:editId="26F5B493">
              <wp:simplePos x="0" y="0"/>
              <wp:positionH relativeFrom="page">
                <wp:posOffset>743204</wp:posOffset>
              </wp:positionH>
              <wp:positionV relativeFrom="page">
                <wp:posOffset>529434</wp:posOffset>
              </wp:positionV>
              <wp:extent cx="6235700" cy="220345"/>
              <wp:effectExtent l="0" t="0" r="0" b="0"/>
              <wp:wrapNone/>
              <wp:docPr id="434" name="Textbox 434"/>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AF8208A"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5C05202E"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5D7685BE" id="_x0000_t202" coordsize="21600,21600" o:spt="202" path="m,l,21600r21600,l21600,xe">
              <v:stroke joinstyle="miter"/>
              <v:path gradientshapeok="t" o:connecttype="rect"/>
            </v:shapetype>
            <v:shape id="Textbox 434" o:spid="_x0000_s1399" type="#_x0000_t202" style="position:absolute;margin-left:58.5pt;margin-top:41.7pt;width:491pt;height:17.3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hEcAxoEBAADwAgAADgAAAAAAAAAAAAAAAAAuAgAAZHJz&#10;L2Uyb0RvYy54bWxQSwECLQAUAAYACAAAACEA6Nz6gN4AAAALAQAADwAAAAAAAAAAAAAAAADbAwAA&#10;ZHJzL2Rvd25yZXYueG1sUEsFBgAAAAAEAAQA8wAAAOYEAAAAAA==&#10;" filled="f" stroked="f">
              <v:textbox inset="0,0,0,0">
                <w:txbxContent>
                  <w:p w14:paraId="3AF8208A"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5C05202E"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09982" w14:textId="1D903EA2" w:rsidR="008715BE" w:rsidRDefault="00671380">
    <w:pPr>
      <w:pStyle w:val="BodyText"/>
      <w:spacing w:line="14" w:lineRule="auto"/>
      <w:rPr>
        <w:sz w:val="20"/>
      </w:rPr>
    </w:pPr>
    <w:r>
      <w:rPr>
        <w:noProof/>
        <w:sz w:val="20"/>
      </w:rPr>
      <mc:AlternateContent>
        <mc:Choice Requires="wps">
          <w:drawing>
            <wp:anchor distT="0" distB="0" distL="0" distR="0" simplePos="0" relativeHeight="251585536" behindDoc="1" locked="0" layoutInCell="1" allowOverlap="1" wp14:anchorId="5D63EC55" wp14:editId="09FF1034">
              <wp:simplePos x="0" y="0"/>
              <wp:positionH relativeFrom="page">
                <wp:posOffset>1409700</wp:posOffset>
              </wp:positionH>
              <wp:positionV relativeFrom="page">
                <wp:posOffset>355600</wp:posOffset>
              </wp:positionV>
              <wp:extent cx="5816600" cy="311150"/>
              <wp:effectExtent l="0" t="0" r="0" b="0"/>
              <wp:wrapNone/>
              <wp:docPr id="13" name="Textbox 13"/>
              <wp:cNvGraphicFramePr/>
              <a:graphic xmlns:a="http://schemas.openxmlformats.org/drawingml/2006/main">
                <a:graphicData uri="http://schemas.microsoft.com/office/word/2010/wordprocessingShape">
                  <wps:wsp>
                    <wps:cNvSpPr txBox="1"/>
                    <wps:spPr>
                      <a:xfrm>
                        <a:off x="0" y="0"/>
                        <a:ext cx="5816600" cy="311150"/>
                      </a:xfrm>
                      <a:prstGeom prst="rect">
                        <a:avLst/>
                      </a:prstGeom>
                    </wps:spPr>
                    <wps:txbx>
                      <w:txbxContent>
                        <w:p w14:paraId="69910C25" w14:textId="77777777" w:rsidR="00671380" w:rsidRPr="00671380" w:rsidRDefault="00000000" w:rsidP="00671380">
                          <w:pPr>
                            <w:spacing w:before="26"/>
                            <w:ind w:left="20"/>
                            <w:jc w:val="both"/>
                            <w:rPr>
                              <w:rFonts w:ascii="Verdana" w:hAnsi="Verdana"/>
                              <w:b/>
                              <w:color w:val="404040" w:themeColor="text1" w:themeTint="BF"/>
                              <w:sz w:val="10"/>
                              <w:szCs w:val="10"/>
                            </w:rPr>
                          </w:pPr>
                          <w:r w:rsidRPr="00671380">
                            <w:rPr>
                              <w:rFonts w:ascii="Verdana" w:hAnsi="Verdana"/>
                              <w:b/>
                              <w:color w:val="404040" w:themeColor="text1" w:themeTint="BF"/>
                              <w:w w:val="135"/>
                              <w:sz w:val="10"/>
                              <w:szCs w:val="10"/>
                            </w:rPr>
                            <w:t>Environmental impact report for obtaining the Environmental Agreement for Wind Farm 48 (46) wind turbines approx.</w:t>
                          </w:r>
                          <w:r w:rsidRPr="00671380">
                            <w:rPr>
                              <w:rFonts w:ascii="Verdana" w:hAnsi="Verdana"/>
                              <w:b/>
                              <w:color w:val="404040" w:themeColor="text1" w:themeTint="BF"/>
                              <w:spacing w:val="-2"/>
                              <w:w w:val="135"/>
                              <w:sz w:val="10"/>
                              <w:szCs w:val="10"/>
                            </w:rPr>
                            <w:t xml:space="preserve"> 316.8</w:t>
                          </w:r>
                          <w:r w:rsidR="00671380" w:rsidRPr="00671380">
                            <w:rPr>
                              <w:rFonts w:ascii="Verdana" w:hAnsi="Verdana"/>
                              <w:b/>
                              <w:color w:val="404040" w:themeColor="text1" w:themeTint="BF"/>
                              <w:spacing w:val="-2"/>
                              <w:w w:val="135"/>
                              <w:sz w:val="10"/>
                              <w:szCs w:val="10"/>
                            </w:rPr>
                            <w:t xml:space="preserve"> </w:t>
                          </w:r>
                          <w:r w:rsidR="00671380" w:rsidRPr="00671380">
                            <w:rPr>
                              <w:rFonts w:ascii="Verdana" w:hAnsi="Verdana"/>
                              <w:b/>
                              <w:color w:val="404040" w:themeColor="text1" w:themeTint="BF"/>
                              <w:w w:val="135"/>
                              <w:sz w:val="10"/>
                              <w:szCs w:val="10"/>
                            </w:rPr>
                            <w:t xml:space="preserve">Transformation, electrical connection networks, construction and modernization of communication and </w:t>
                          </w:r>
                          <w:r w:rsidR="00671380" w:rsidRPr="00671380">
                            <w:rPr>
                              <w:rFonts w:ascii="Verdana" w:hAnsi="Verdana"/>
                              <w:b/>
                              <w:color w:val="404040" w:themeColor="text1" w:themeTint="BF"/>
                              <w:spacing w:val="-4"/>
                              <w:w w:val="135"/>
                              <w:sz w:val="10"/>
                              <w:szCs w:val="10"/>
                            </w:rPr>
                            <w:t xml:space="preserve">access </w:t>
                          </w:r>
                          <w:r w:rsidR="00671380" w:rsidRPr="00671380">
                            <w:rPr>
                              <w:rFonts w:ascii="Verdana" w:hAnsi="Verdana"/>
                              <w:b/>
                              <w:color w:val="404040" w:themeColor="text1" w:themeTint="BF"/>
                              <w:w w:val="135"/>
                              <w:sz w:val="10"/>
                              <w:szCs w:val="10"/>
                            </w:rPr>
                            <w:t>routes</w:t>
                          </w:r>
                        </w:p>
                        <w:p w14:paraId="30B21EF5" w14:textId="7C8BE2FF" w:rsidR="008715BE" w:rsidRPr="00671380" w:rsidRDefault="008715BE">
                          <w:pPr>
                            <w:spacing w:before="26"/>
                            <w:ind w:left="20"/>
                            <w:rPr>
                              <w:rFonts w:ascii="Verdana" w:hAnsi="Verdana"/>
                              <w:b/>
                              <w:sz w:val="10"/>
                              <w:szCs w:val="10"/>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D63EC55" id="_x0000_t202" coordsize="21600,21600" o:spt="202" path="m,l,21600r21600,l21600,xe">
              <v:stroke joinstyle="miter"/>
              <v:path gradientshapeok="t" o:connecttype="rect"/>
            </v:shapetype>
            <v:shape id="Textbox 13" o:spid="_x0000_s1344" type="#_x0000_t202" style="position:absolute;margin-left:111pt;margin-top:28pt;width:458pt;height:24.5pt;z-index:-2517309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" filled="f" stroked="f">
              <v:textbox inset="0,0,0,0">
                <w:txbxContent>
                  <w:p w14:paraId="69910C25" w14:textId="77777777" w:rsidR="00671380" w:rsidRPr="00671380" w:rsidRDefault="00000000" w:rsidP="00671380">
                    <w:pPr>
                      <w:spacing w:before="26"/>
                      <w:ind w:left="20"/>
                      <w:jc w:val="both"/>
                      <w:rPr>
                        <w:rFonts w:ascii="Verdana" w:hAnsi="Verdana"/>
                        <w:b/>
                        <w:color w:val="404040" w:themeColor="text1" w:themeTint="BF"/>
                        <w:sz w:val="10"/>
                        <w:szCs w:val="10"/>
                      </w:rPr>
                    </w:pPr>
                    <w:r w:rsidRPr="00671380">
                      <w:rPr>
                        <w:rFonts w:ascii="Verdana" w:hAnsi="Verdana"/>
                        <w:b/>
                        <w:color w:val="404040" w:themeColor="text1" w:themeTint="BF"/>
                        <w:w w:val="135"/>
                        <w:sz w:val="10"/>
                        <w:szCs w:val="10"/>
                      </w:rPr>
                      <w:t>Environmental impact report for obtaining the Environmental Agreement for Wind Farm 48 (46) wind turbines approx.</w:t>
                    </w:r>
                    <w:r w:rsidRPr="00671380">
                      <w:rPr>
                        <w:rFonts w:ascii="Verdana" w:hAnsi="Verdana"/>
                        <w:b/>
                        <w:color w:val="404040" w:themeColor="text1" w:themeTint="BF"/>
                        <w:spacing w:val="-2"/>
                        <w:w w:val="135"/>
                        <w:sz w:val="10"/>
                        <w:szCs w:val="10"/>
                      </w:rPr>
                      <w:t xml:space="preserve"> 316.8</w:t>
                    </w:r>
                    <w:r w:rsidR="00671380" w:rsidRPr="00671380">
                      <w:rPr>
                        <w:rFonts w:ascii="Verdana" w:hAnsi="Verdana"/>
                        <w:b/>
                        <w:color w:val="404040" w:themeColor="text1" w:themeTint="BF"/>
                        <w:spacing w:val="-2"/>
                        <w:w w:val="135"/>
                        <w:sz w:val="10"/>
                        <w:szCs w:val="10"/>
                      </w:rPr>
                      <w:t xml:space="preserve"> </w:t>
                    </w:r>
                    <w:r w:rsidR="00671380" w:rsidRPr="00671380">
                      <w:rPr>
                        <w:rFonts w:ascii="Verdana" w:hAnsi="Verdana"/>
                        <w:b/>
                        <w:color w:val="404040" w:themeColor="text1" w:themeTint="BF"/>
                        <w:w w:val="135"/>
                        <w:sz w:val="10"/>
                        <w:szCs w:val="10"/>
                      </w:rPr>
                      <w:t xml:space="preserve">Transformation, electrical connection networks, construction and modernization of communication and </w:t>
                    </w:r>
                    <w:r w:rsidR="00671380" w:rsidRPr="00671380">
                      <w:rPr>
                        <w:rFonts w:ascii="Verdana" w:hAnsi="Verdana"/>
                        <w:b/>
                        <w:color w:val="404040" w:themeColor="text1" w:themeTint="BF"/>
                        <w:spacing w:val="-4"/>
                        <w:w w:val="135"/>
                        <w:sz w:val="10"/>
                        <w:szCs w:val="10"/>
                      </w:rPr>
                      <w:t xml:space="preserve">access </w:t>
                    </w:r>
                    <w:r w:rsidR="00671380" w:rsidRPr="00671380">
                      <w:rPr>
                        <w:rFonts w:ascii="Verdana" w:hAnsi="Verdana"/>
                        <w:b/>
                        <w:color w:val="404040" w:themeColor="text1" w:themeTint="BF"/>
                        <w:w w:val="135"/>
                        <w:sz w:val="10"/>
                        <w:szCs w:val="10"/>
                      </w:rPr>
                      <w:t>routes</w:t>
                    </w:r>
                  </w:p>
                  <w:p w14:paraId="30B21EF5" w14:textId="7C8BE2FF" w:rsidR="008715BE" w:rsidRPr="00671380" w:rsidRDefault="008715BE">
                    <w:pPr>
                      <w:spacing w:before="26"/>
                      <w:ind w:left="20"/>
                      <w:rPr>
                        <w:rFonts w:ascii="Verdana" w:hAnsi="Verdana"/>
                        <w:b/>
                        <w:sz w:val="10"/>
                        <w:szCs w:val="10"/>
                      </w:rPr>
                    </w:pPr>
                  </w:p>
                </w:txbxContent>
              </v:textbox>
              <w10:wrap anchorx="page" anchory="page"/>
            </v:shape>
          </w:pict>
        </mc:Fallback>
      </mc:AlternateContent>
    </w:r>
    <w:r>
      <w:rPr>
        <w:noProof/>
        <w:sz w:val="20"/>
      </w:rPr>
      <w:drawing>
        <wp:anchor distT="0" distB="0" distL="0" distR="0" simplePos="0" relativeHeight="251584512" behindDoc="1" locked="0" layoutInCell="1" allowOverlap="1" wp14:anchorId="4FEB5869" wp14:editId="3C2DD1F8">
          <wp:simplePos x="0" y="0"/>
          <wp:positionH relativeFrom="page">
            <wp:posOffset>756284</wp:posOffset>
          </wp:positionH>
          <wp:positionV relativeFrom="page">
            <wp:posOffset>486409</wp:posOffset>
          </wp:positionV>
          <wp:extent cx="651078" cy="177800"/>
          <wp:effectExtent l="0" t="0" r="0" b="0"/>
          <wp:wrapNone/>
          <wp:docPr id="480526714" name="Image 12"/>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 cstate="print"/>
                  <a:stretch>
                    <a:fillRect/>
                  </a:stretch>
                </pic:blipFill>
                <pic:spPr>
                  <a:xfrm>
                    <a:off x="0" y="0"/>
                    <a:ext cx="651078" cy="177800"/>
                  </a:xfrm>
                  <a:prstGeom prst="rect">
                    <a:avLst/>
                  </a:prstGeom>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915B1" w14:textId="77777777" w:rsidR="008715BE" w:rsidRDefault="00000000">
    <w:pPr>
      <w:pStyle w:val="BodyText"/>
      <w:spacing w:line="14" w:lineRule="auto"/>
      <w:rPr>
        <w:sz w:val="20"/>
      </w:rPr>
    </w:pPr>
    <w:r>
      <w:rPr>
        <w:noProof/>
        <w:sz w:val="20"/>
      </w:rPr>
      <w:drawing>
        <wp:anchor distT="0" distB="0" distL="0" distR="0" simplePos="0" relativeHeight="251685888" behindDoc="1" locked="0" layoutInCell="1" allowOverlap="1" wp14:anchorId="4B9EF422" wp14:editId="2C089C69">
          <wp:simplePos x="0" y="0"/>
          <wp:positionH relativeFrom="page">
            <wp:posOffset>540384</wp:posOffset>
          </wp:positionH>
          <wp:positionV relativeFrom="page">
            <wp:posOffset>486409</wp:posOffset>
          </wp:positionV>
          <wp:extent cx="651078" cy="177800"/>
          <wp:effectExtent l="0" t="0" r="0" b="0"/>
          <wp:wrapNone/>
          <wp:docPr id="496" name="Image 496"/>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86912" behindDoc="1" locked="0" layoutInCell="1" allowOverlap="1" wp14:anchorId="61653CBD" wp14:editId="03D7FB47">
              <wp:simplePos x="0" y="0"/>
              <wp:positionH relativeFrom="page">
                <wp:posOffset>1159255</wp:posOffset>
              </wp:positionH>
              <wp:positionV relativeFrom="page">
                <wp:posOffset>529434</wp:posOffset>
              </wp:positionV>
              <wp:extent cx="9679940" cy="118110"/>
              <wp:effectExtent l="0" t="0" r="0" b="0"/>
              <wp:wrapNone/>
              <wp:docPr id="497" name="Textbox 497"/>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75E7A19B"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61653CBD" id="_x0000_t202" coordsize="21600,21600" o:spt="202" path="m,l,21600r21600,l21600,xe">
              <v:stroke joinstyle="miter"/>
              <v:path gradientshapeok="t" o:connecttype="rect"/>
            </v:shapetype>
            <v:shape id="Textbox 497" o:spid="_x0000_s1401" type="#_x0000_t202" style="position:absolute;margin-left:91.3pt;margin-top:41.7pt;width:762.2pt;height:9.3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RnlH6IABAADwAgAADgAAAAAAAAAAAAAAAAAuAgAAZHJz&#10;L2Uyb0RvYy54bWxQSwECLQAUAAYACAAAACEA8/6sS98AAAALAQAADwAAAAAAAAAAAAAAAADaAwAA&#10;ZHJzL2Rvd25yZXYueG1sUEsFBgAAAAAEAAQA8wAAAOYEAAAAAA==&#10;" filled="f" stroked="f">
              <v:textbox inset="0,0,0,0">
                <w:txbxContent>
                  <w:p w14:paraId="75E7A19B" w14:textId="77777777" w:rsidR="008715BE" w:rsidRDefault="00000000">
                    <w:pPr>
                      <w:spacing w:before="26"/>
                      <w:ind w:left="20"/>
                      <w:rPr>
                        <w:b/>
                        <w:sz w:val="12"/>
                      </w:rPr>
                    </w:pPr>
                    <w:r>
                      <w:rPr>
                        <w:b/>
                        <w:color w:val="D0CFC2"/>
                        <w:w w:val="135"/>
                        <w:sz w:val="8"/>
                      </w:rPr>
                      <w:t xml:space="preserve">Environmental impact report for Wind Farm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9273D" w14:textId="77777777" w:rsidR="008715BE" w:rsidRDefault="00000000">
    <w:pPr>
      <w:pStyle w:val="BodyText"/>
      <w:spacing w:line="14" w:lineRule="auto"/>
      <w:rPr>
        <w:sz w:val="20"/>
      </w:rPr>
    </w:pPr>
    <w:r>
      <w:rPr>
        <w:noProof/>
        <w:sz w:val="20"/>
      </w:rPr>
      <w:drawing>
        <wp:anchor distT="0" distB="0" distL="0" distR="0" simplePos="0" relativeHeight="251688960" behindDoc="1" locked="0" layoutInCell="1" allowOverlap="1" wp14:anchorId="6F10AD9A" wp14:editId="6DE0CFD9">
          <wp:simplePos x="0" y="0"/>
          <wp:positionH relativeFrom="page">
            <wp:posOffset>756284</wp:posOffset>
          </wp:positionH>
          <wp:positionV relativeFrom="page">
            <wp:posOffset>486409</wp:posOffset>
          </wp:positionV>
          <wp:extent cx="651078" cy="177800"/>
          <wp:effectExtent l="0" t="0" r="0" b="0"/>
          <wp:wrapNone/>
          <wp:docPr id="499" name="Image 499"/>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91008" behindDoc="1" locked="0" layoutInCell="1" allowOverlap="1" wp14:anchorId="6492AF0B" wp14:editId="6A521288">
              <wp:simplePos x="0" y="0"/>
              <wp:positionH relativeFrom="page">
                <wp:posOffset>743204</wp:posOffset>
              </wp:positionH>
              <wp:positionV relativeFrom="page">
                <wp:posOffset>529434</wp:posOffset>
              </wp:positionV>
              <wp:extent cx="6235700" cy="220345"/>
              <wp:effectExtent l="0" t="0" r="0" b="0"/>
              <wp:wrapNone/>
              <wp:docPr id="500" name="Textbox 50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F695F24"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873C763"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6492AF0B" id="_x0000_t202" coordsize="21600,21600" o:spt="202" path="m,l,21600r21600,l21600,xe">
              <v:stroke joinstyle="miter"/>
              <v:path gradientshapeok="t" o:connecttype="rect"/>
            </v:shapetype>
            <v:shape id="Textbox 500" o:spid="_x0000_s1403" type="#_x0000_t202" style="position:absolute;margin-left:58.5pt;margin-top:41.7pt;width:491pt;height:17.3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DXCoXUgAEAAPACAAAOAAAAAAAAAAAAAAAAAC4CAABkcnMv&#10;ZTJvRG9jLnhtbFBLAQItABQABgAIAAAAIQDo3PqA3gAAAAsBAAAPAAAAAAAAAAAAAAAAANoDAABk&#10;cnMvZG93bnJldi54bWxQSwUGAAAAAAQABADzAAAA5QQAAAAA&#10;" filled="f" stroked="f">
              <v:textbox inset="0,0,0,0">
                <w:txbxContent>
                  <w:p w14:paraId="3F695F24"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873C763"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DA502" w14:textId="77777777" w:rsidR="008715BE" w:rsidRDefault="00000000">
    <w:pPr>
      <w:pStyle w:val="BodyText"/>
      <w:spacing w:line="14" w:lineRule="auto"/>
      <w:rPr>
        <w:sz w:val="20"/>
      </w:rPr>
    </w:pPr>
    <w:r>
      <w:rPr>
        <w:noProof/>
        <w:sz w:val="20"/>
      </w:rPr>
      <w:drawing>
        <wp:anchor distT="0" distB="0" distL="0" distR="0" simplePos="0" relativeHeight="251693056" behindDoc="1" locked="0" layoutInCell="1" allowOverlap="1" wp14:anchorId="09AF88F9" wp14:editId="2E266BEF">
          <wp:simplePos x="0" y="0"/>
          <wp:positionH relativeFrom="page">
            <wp:posOffset>540384</wp:posOffset>
          </wp:positionH>
          <wp:positionV relativeFrom="page">
            <wp:posOffset>486410</wp:posOffset>
          </wp:positionV>
          <wp:extent cx="651078" cy="177800"/>
          <wp:effectExtent l="0" t="0" r="0" b="0"/>
          <wp:wrapNone/>
          <wp:docPr id="503" name="Image 503"/>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94080" behindDoc="1" locked="0" layoutInCell="1" allowOverlap="1" wp14:anchorId="13078180" wp14:editId="21FFBE87">
              <wp:simplePos x="0" y="0"/>
              <wp:positionH relativeFrom="page">
                <wp:posOffset>528319</wp:posOffset>
              </wp:positionH>
              <wp:positionV relativeFrom="page">
                <wp:posOffset>529434</wp:posOffset>
              </wp:positionV>
              <wp:extent cx="9407525" cy="220345"/>
              <wp:effectExtent l="0" t="0" r="0" b="0"/>
              <wp:wrapNone/>
              <wp:docPr id="504" name="Textbox 504"/>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7898967D"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13078180" id="_x0000_t202" coordsize="21600,21600" o:spt="202" path="m,l,21600r21600,l21600,xe">
              <v:stroke joinstyle="miter"/>
              <v:path gradientshapeok="t" o:connecttype="rect"/>
            </v:shapetype>
            <v:shape id="Textbox 504" o:spid="_x0000_s1405" type="#_x0000_t202" style="position:absolute;margin-left:41.6pt;margin-top:41.7pt;width:740.75pt;height:17.3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AZ2EY0ggEAAPACAAAOAAAAAAAAAAAAAAAAAC4CAABk&#10;cnMvZTJvRG9jLnhtbFBLAQItABQABgAIAAAAIQBUdmqr3wAAAAoBAAAPAAAAAAAAAAAAAAAAANwD&#10;AABkcnMvZG93bnJldi54bWxQSwUGAAAAAAQABADzAAAA6AQAAAAA&#10;" filled="f" stroked="f">
              <v:textbox inset="0,0,0,0">
                <w:txbxContent>
                  <w:p w14:paraId="7898967D"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55870" w14:textId="77777777" w:rsidR="008715BE" w:rsidRDefault="00000000">
    <w:pPr>
      <w:pStyle w:val="BodyText"/>
      <w:spacing w:line="14" w:lineRule="auto"/>
      <w:rPr>
        <w:sz w:val="20"/>
      </w:rPr>
    </w:pPr>
    <w:r>
      <w:rPr>
        <w:noProof/>
        <w:sz w:val="20"/>
      </w:rPr>
      <w:drawing>
        <wp:anchor distT="0" distB="0" distL="0" distR="0" simplePos="0" relativeHeight="251697152" behindDoc="1" locked="0" layoutInCell="1" allowOverlap="1" wp14:anchorId="59A36557" wp14:editId="6C73A274">
          <wp:simplePos x="0" y="0"/>
          <wp:positionH relativeFrom="page">
            <wp:posOffset>756284</wp:posOffset>
          </wp:positionH>
          <wp:positionV relativeFrom="page">
            <wp:posOffset>486409</wp:posOffset>
          </wp:positionV>
          <wp:extent cx="651078" cy="177800"/>
          <wp:effectExtent l="0" t="0" r="0" b="0"/>
          <wp:wrapNone/>
          <wp:docPr id="506" name="Image 506"/>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98176" behindDoc="1" locked="0" layoutInCell="1" allowOverlap="1" wp14:anchorId="2B2C32E7" wp14:editId="59A99E02">
              <wp:simplePos x="0" y="0"/>
              <wp:positionH relativeFrom="page">
                <wp:posOffset>743204</wp:posOffset>
              </wp:positionH>
              <wp:positionV relativeFrom="page">
                <wp:posOffset>529434</wp:posOffset>
              </wp:positionV>
              <wp:extent cx="6235700" cy="220345"/>
              <wp:effectExtent l="0" t="0" r="0" b="0"/>
              <wp:wrapNone/>
              <wp:docPr id="507" name="Textbox 507"/>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6AECF259"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F1A2B55"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2B2C32E7" id="_x0000_t202" coordsize="21600,21600" o:spt="202" path="m,l,21600r21600,l21600,xe">
              <v:stroke joinstyle="miter"/>
              <v:path gradientshapeok="t" o:connecttype="rect"/>
            </v:shapetype>
            <v:shape id="Textbox 507" o:spid="_x0000_s1407" type="#_x0000_t202" style="position:absolute;margin-left:58.5pt;margin-top:41.7pt;width:491pt;height:17.3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" filled="f" stroked="f">
              <v:textbox inset="0,0,0,0">
                <w:txbxContent>
                  <w:p w14:paraId="6AECF259"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1F1A2B55"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C53BE" w14:textId="77777777" w:rsidR="008715BE" w:rsidRDefault="008715BE">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2AD10" w14:textId="77777777" w:rsidR="008715BE" w:rsidRDefault="008715BE">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716A4" w14:textId="77777777" w:rsidR="008715BE" w:rsidRDefault="00000000">
    <w:pPr>
      <w:pStyle w:val="BodyText"/>
      <w:spacing w:line="14" w:lineRule="auto"/>
      <w:rPr>
        <w:sz w:val="20"/>
      </w:rPr>
    </w:pPr>
    <w:r>
      <w:rPr>
        <w:noProof/>
        <w:sz w:val="20"/>
      </w:rPr>
      <w:drawing>
        <wp:anchor distT="0" distB="0" distL="0" distR="0" simplePos="0" relativeHeight="251700224" behindDoc="1" locked="0" layoutInCell="1" allowOverlap="1" wp14:anchorId="57B58A2A" wp14:editId="6A82648B">
          <wp:simplePos x="0" y="0"/>
          <wp:positionH relativeFrom="page">
            <wp:posOffset>540384</wp:posOffset>
          </wp:positionH>
          <wp:positionV relativeFrom="page">
            <wp:posOffset>486410</wp:posOffset>
          </wp:positionV>
          <wp:extent cx="651078" cy="177800"/>
          <wp:effectExtent l="0" t="0" r="0" b="0"/>
          <wp:wrapNone/>
          <wp:docPr id="520" name="Image 520"/>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02272" behindDoc="1" locked="0" layoutInCell="1" allowOverlap="1" wp14:anchorId="275808EE" wp14:editId="775B6388">
              <wp:simplePos x="0" y="0"/>
              <wp:positionH relativeFrom="page">
                <wp:posOffset>528319</wp:posOffset>
              </wp:positionH>
              <wp:positionV relativeFrom="page">
                <wp:posOffset>529434</wp:posOffset>
              </wp:positionV>
              <wp:extent cx="9407525" cy="220345"/>
              <wp:effectExtent l="0" t="0" r="0" b="0"/>
              <wp:wrapNone/>
              <wp:docPr id="521" name="Textbox 521"/>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2A3653B1"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275808EE" id="_x0000_t202" coordsize="21600,21600" o:spt="202" path="m,l,21600r21600,l21600,xe">
              <v:stroke joinstyle="miter"/>
              <v:path gradientshapeok="t" o:connecttype="rect"/>
            </v:shapetype>
            <v:shape id="Textbox 521" o:spid="_x0000_s1411" type="#_x0000_t202" style="position:absolute;margin-left:41.6pt;margin-top:41.7pt;width:740.75pt;height:17.35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D9m0hQggEAAPACAAAOAAAAAAAAAAAAAAAAAC4CAABk&#10;cnMvZTJvRG9jLnhtbFBLAQItABQABgAIAAAAIQBUdmqr3wAAAAoBAAAPAAAAAAAAAAAAAAAAANwD&#10;AABkcnMvZG93bnJldi54bWxQSwUGAAAAAAQABADzAAAA6AQAAAAA&#10;" filled="f" stroked="f">
              <v:textbox inset="0,0,0,0">
                <w:txbxContent>
                  <w:p w14:paraId="2A3653B1"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FF235" w14:textId="77777777" w:rsidR="008715BE" w:rsidRDefault="008715BE">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9EBBA" w14:textId="77777777" w:rsidR="008715BE" w:rsidRDefault="008715BE">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36479" w14:textId="77777777" w:rsidR="008715BE" w:rsidRDefault="008715BE">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311F0" w14:textId="77777777" w:rsidR="008715BE" w:rsidRDefault="00000000">
    <w:pPr>
      <w:pStyle w:val="BodyText"/>
      <w:spacing w:line="14" w:lineRule="auto"/>
      <w:rPr>
        <w:sz w:val="20"/>
      </w:rPr>
    </w:pPr>
    <w:r>
      <w:rPr>
        <w:noProof/>
        <w:sz w:val="20"/>
      </w:rPr>
      <w:drawing>
        <wp:anchor distT="0" distB="0" distL="0" distR="0" simplePos="0" relativeHeight="251589632" behindDoc="1" locked="0" layoutInCell="1" allowOverlap="1" wp14:anchorId="6D24FAD2" wp14:editId="3EB72F38">
          <wp:simplePos x="0" y="0"/>
          <wp:positionH relativeFrom="page">
            <wp:posOffset>756284</wp:posOffset>
          </wp:positionH>
          <wp:positionV relativeFrom="page">
            <wp:posOffset>486409</wp:posOffset>
          </wp:positionV>
          <wp:extent cx="651078" cy="177800"/>
          <wp:effectExtent l="0" t="0" r="0" b="0"/>
          <wp:wrapNone/>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591680" behindDoc="1" locked="0" layoutInCell="1" allowOverlap="1" wp14:anchorId="149B4499" wp14:editId="23A35F7A">
              <wp:simplePos x="0" y="0"/>
              <wp:positionH relativeFrom="page">
                <wp:posOffset>1462786</wp:posOffset>
              </wp:positionH>
              <wp:positionV relativeFrom="page">
                <wp:posOffset>529434</wp:posOffset>
              </wp:positionV>
              <wp:extent cx="6117590" cy="118110"/>
              <wp:effectExtent l="0" t="0" r="0" b="0"/>
              <wp:wrapNone/>
              <wp:docPr id="17" name="Textbox 17"/>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4854D579"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wps:txbx>
                    <wps:bodyPr wrap="square" lIns="0" tIns="0" rIns="0" bIns="0" rtlCol="0"/>
                  </wps:wsp>
                </a:graphicData>
              </a:graphic>
            </wp:anchor>
          </w:drawing>
        </mc:Choice>
        <mc:Fallback>
          <w:pict>
            <v:shapetype w14:anchorId="149B4499" id="_x0000_t202" coordsize="21600,21600" o:spt="202" path="m,l,21600r21600,l21600,xe">
              <v:stroke joinstyle="miter"/>
              <v:path gradientshapeok="t" o:connecttype="rect"/>
            </v:shapetype>
            <v:shape id="Textbox 17" o:spid="_x0000_s1346" type="#_x0000_t202" style="position:absolute;margin-left:115.2pt;margin-top:41.7pt;width:481.7pt;height:9.3pt;z-index:-25172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" filled="f" stroked="f">
              <v:textbox inset="0,0,0,0">
                <w:txbxContent>
                  <w:p w14:paraId="4854D579"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v:textbox>
              <w10:wrap anchorx="page" anchory="page"/>
            </v:shape>
          </w:pict>
        </mc:Fallback>
      </mc:AlternateContent>
    </w:r>
    <w:r>
      <w:rPr>
        <w:noProof/>
        <w:sz w:val="20"/>
      </w:rPr>
      <mc:AlternateContent>
        <mc:Choice Requires="wps">
          <w:drawing>
            <wp:anchor distT="0" distB="0" distL="0" distR="0" simplePos="0" relativeHeight="251592704" behindDoc="1" locked="0" layoutInCell="1" allowOverlap="1" wp14:anchorId="4D928025" wp14:editId="084AE775">
              <wp:simplePos x="0" y="0"/>
              <wp:positionH relativeFrom="page">
                <wp:posOffset>743204</wp:posOffset>
              </wp:positionH>
              <wp:positionV relativeFrom="page">
                <wp:posOffset>631542</wp:posOffset>
              </wp:positionV>
              <wp:extent cx="4078604" cy="118110"/>
              <wp:effectExtent l="0" t="0" r="0" b="0"/>
              <wp:wrapNone/>
              <wp:docPr id="18" name="Textbox 18"/>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638846EE"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 w14:anchorId="4D928025" id="Textbox 18" o:spid="_x0000_s1347" type="#_x0000_t202" style="position:absolute;margin-left:58.5pt;margin-top:49.75pt;width:321.15pt;height:9.3pt;z-index:-25172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wdR524ABAADvAgAADgAAAAAAAAAAAAAAAAAuAgAAZHJz&#10;L2Uyb0RvYy54bWxQSwECLQAUAAYACAAAACEAq1ueAt8AAAAKAQAADwAAAAAAAAAAAAAAAADaAwAA&#10;ZHJzL2Rvd25yZXYueG1sUEsFBgAAAAAEAAQA8wAAAOYEAAAAAA==&#10;" filled="f" stroked="f">
              <v:textbox inset="0,0,0,0">
                <w:txbxContent>
                  <w:p w14:paraId="638846EE"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F18C7" w14:textId="77777777" w:rsidR="008715BE" w:rsidRDefault="008715BE">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E2D5C" w14:textId="77777777" w:rsidR="008715BE" w:rsidRDefault="00000000">
    <w:pPr>
      <w:pStyle w:val="BodyText"/>
      <w:spacing w:line="14" w:lineRule="auto"/>
      <w:rPr>
        <w:sz w:val="20"/>
      </w:rPr>
    </w:pPr>
    <w:r>
      <w:rPr>
        <w:noProof/>
        <w:sz w:val="20"/>
      </w:rPr>
      <w:drawing>
        <wp:anchor distT="0" distB="0" distL="0" distR="0" simplePos="0" relativeHeight="251703296" behindDoc="1" locked="0" layoutInCell="1" allowOverlap="1" wp14:anchorId="39A4402A" wp14:editId="6D3E647F">
          <wp:simplePos x="0" y="0"/>
          <wp:positionH relativeFrom="page">
            <wp:posOffset>756284</wp:posOffset>
          </wp:positionH>
          <wp:positionV relativeFrom="page">
            <wp:posOffset>486409</wp:posOffset>
          </wp:positionV>
          <wp:extent cx="651078" cy="177800"/>
          <wp:effectExtent l="0" t="0" r="0" b="0"/>
          <wp:wrapNone/>
          <wp:docPr id="535" name="Image 535"/>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05344" behindDoc="1" locked="0" layoutInCell="1" allowOverlap="1" wp14:anchorId="0DA242CB" wp14:editId="24E91387">
              <wp:simplePos x="0" y="0"/>
              <wp:positionH relativeFrom="page">
                <wp:posOffset>743204</wp:posOffset>
              </wp:positionH>
              <wp:positionV relativeFrom="page">
                <wp:posOffset>529434</wp:posOffset>
              </wp:positionV>
              <wp:extent cx="6235700" cy="220345"/>
              <wp:effectExtent l="0" t="0" r="0" b="0"/>
              <wp:wrapNone/>
              <wp:docPr id="536" name="Textbox 53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0DC650F"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721DB3CF"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0DA242CB" id="_x0000_t202" coordsize="21600,21600" o:spt="202" path="m,l,21600r21600,l21600,xe">
              <v:stroke joinstyle="miter"/>
              <v:path gradientshapeok="t" o:connecttype="rect"/>
            </v:shapetype>
            <v:shape id="Textbox 536" o:spid="_x0000_s1417" type="#_x0000_t202" style="position:absolute;margin-left:58.5pt;margin-top:41.7pt;width:491pt;height:17.3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" filled="f" stroked="f">
              <v:textbox inset="0,0,0,0">
                <w:txbxContent>
                  <w:p w14:paraId="10DC650F"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721DB3CF"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630A1" w14:textId="77777777" w:rsidR="008715BE" w:rsidRDefault="00000000">
    <w:pPr>
      <w:pStyle w:val="BodyText"/>
      <w:spacing w:line="14" w:lineRule="auto"/>
      <w:rPr>
        <w:sz w:val="20"/>
      </w:rPr>
    </w:pPr>
    <w:r>
      <w:rPr>
        <w:noProof/>
        <w:sz w:val="20"/>
      </w:rPr>
      <w:drawing>
        <wp:anchor distT="0" distB="0" distL="0" distR="0" simplePos="0" relativeHeight="251707392" behindDoc="1" locked="0" layoutInCell="1" allowOverlap="1" wp14:anchorId="25C2724E" wp14:editId="2FA7E531">
          <wp:simplePos x="0" y="0"/>
          <wp:positionH relativeFrom="page">
            <wp:posOffset>540384</wp:posOffset>
          </wp:positionH>
          <wp:positionV relativeFrom="page">
            <wp:posOffset>486410</wp:posOffset>
          </wp:positionV>
          <wp:extent cx="651078" cy="177800"/>
          <wp:effectExtent l="0" t="0" r="0" b="0"/>
          <wp:wrapNone/>
          <wp:docPr id="541" name="Image 541"/>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09440" behindDoc="1" locked="0" layoutInCell="1" allowOverlap="1" wp14:anchorId="57104DE2" wp14:editId="2788C313">
              <wp:simplePos x="0" y="0"/>
              <wp:positionH relativeFrom="page">
                <wp:posOffset>528319</wp:posOffset>
              </wp:positionH>
              <wp:positionV relativeFrom="page">
                <wp:posOffset>529434</wp:posOffset>
              </wp:positionV>
              <wp:extent cx="9407525" cy="220345"/>
              <wp:effectExtent l="0" t="0" r="0" b="0"/>
              <wp:wrapNone/>
              <wp:docPr id="542" name="Textbox 542"/>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3D5D8C11"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57104DE2" id="_x0000_t202" coordsize="21600,21600" o:spt="202" path="m,l,21600r21600,l21600,xe">
              <v:stroke joinstyle="miter"/>
              <v:path gradientshapeok="t" o:connecttype="rect"/>
            </v:shapetype>
            <v:shape id="Textbox 542" o:spid="_x0000_s1419" type="#_x0000_t202" style="position:absolute;margin-left:41.6pt;margin-top:41.7pt;width:740.75pt;height:17.35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B0IsAZggEAAPACAAAOAAAAAAAAAAAAAAAAAC4CAABk&#10;cnMvZTJvRG9jLnhtbFBLAQItABQABgAIAAAAIQBUdmqr3wAAAAoBAAAPAAAAAAAAAAAAAAAAANwD&#10;AABkcnMvZG93bnJldi54bWxQSwUGAAAAAAQABADzAAAA6AQAAAAA&#10;" filled="f" stroked="f">
              <v:textbox inset="0,0,0,0">
                <w:txbxContent>
                  <w:p w14:paraId="3D5D8C11"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73F0F" w14:textId="77777777" w:rsidR="008715BE" w:rsidRDefault="00000000">
    <w:pPr>
      <w:pStyle w:val="BodyText"/>
      <w:spacing w:line="14" w:lineRule="auto"/>
      <w:rPr>
        <w:sz w:val="20"/>
      </w:rPr>
    </w:pPr>
    <w:r>
      <w:rPr>
        <w:noProof/>
        <w:sz w:val="20"/>
      </w:rPr>
      <w:drawing>
        <wp:anchor distT="0" distB="0" distL="0" distR="0" simplePos="0" relativeHeight="251710464" behindDoc="1" locked="0" layoutInCell="1" allowOverlap="1" wp14:anchorId="26DBC961" wp14:editId="58C951BF">
          <wp:simplePos x="0" y="0"/>
          <wp:positionH relativeFrom="page">
            <wp:posOffset>756284</wp:posOffset>
          </wp:positionH>
          <wp:positionV relativeFrom="page">
            <wp:posOffset>486409</wp:posOffset>
          </wp:positionV>
          <wp:extent cx="651078" cy="177800"/>
          <wp:effectExtent l="0" t="0" r="0" b="0"/>
          <wp:wrapNone/>
          <wp:docPr id="544" name="Image 544"/>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12512" behindDoc="1" locked="0" layoutInCell="1" allowOverlap="1" wp14:anchorId="3E51FF7A" wp14:editId="6AC2C528">
              <wp:simplePos x="0" y="0"/>
              <wp:positionH relativeFrom="page">
                <wp:posOffset>743204</wp:posOffset>
              </wp:positionH>
              <wp:positionV relativeFrom="page">
                <wp:posOffset>529434</wp:posOffset>
              </wp:positionV>
              <wp:extent cx="6235700" cy="220345"/>
              <wp:effectExtent l="0" t="0" r="0" b="0"/>
              <wp:wrapNone/>
              <wp:docPr id="545" name="Textbox 545"/>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50E1E4D4"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05148631"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3E51FF7A" id="_x0000_t202" coordsize="21600,21600" o:spt="202" path="m,l,21600r21600,l21600,xe">
              <v:stroke joinstyle="miter"/>
              <v:path gradientshapeok="t" o:connecttype="rect"/>
            </v:shapetype>
            <v:shape id="Textbox 545" o:spid="_x0000_s1421" type="#_x0000_t202" style="position:absolute;margin-left:58.5pt;margin-top:41.7pt;width:491pt;height:17.35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PXAnCIEBAADwAgAADgAAAAAAAAAAAAAAAAAuAgAAZHJz&#10;L2Uyb0RvYy54bWxQSwECLQAUAAYACAAAACEA6Nz6gN4AAAALAQAADwAAAAAAAAAAAAAAAADbAwAA&#10;ZHJzL2Rvd25yZXYueG1sUEsFBgAAAAAEAAQA8wAAAOYEAAAAAA==&#10;" filled="f" stroked="f">
              <v:textbox inset="0,0,0,0">
                <w:txbxContent>
                  <w:p w14:paraId="50E1E4D4"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05148631"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CA0C6" w14:textId="77777777" w:rsidR="008715BE" w:rsidRDefault="00000000">
    <w:pPr>
      <w:pStyle w:val="BodyText"/>
      <w:spacing w:line="14" w:lineRule="auto"/>
      <w:rPr>
        <w:sz w:val="20"/>
      </w:rPr>
    </w:pPr>
    <w:r>
      <w:rPr>
        <w:noProof/>
        <w:sz w:val="20"/>
      </w:rPr>
      <w:drawing>
        <wp:anchor distT="0" distB="0" distL="0" distR="0" simplePos="0" relativeHeight="251714560" behindDoc="1" locked="0" layoutInCell="1" allowOverlap="1" wp14:anchorId="02CE1D68" wp14:editId="384AC42C">
          <wp:simplePos x="0" y="0"/>
          <wp:positionH relativeFrom="page">
            <wp:posOffset>756284</wp:posOffset>
          </wp:positionH>
          <wp:positionV relativeFrom="page">
            <wp:posOffset>486409</wp:posOffset>
          </wp:positionV>
          <wp:extent cx="651078" cy="177800"/>
          <wp:effectExtent l="0" t="0" r="0" b="0"/>
          <wp:wrapNone/>
          <wp:docPr id="550" name="Image 550"/>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15584" behindDoc="1" locked="0" layoutInCell="1" allowOverlap="1" wp14:anchorId="275497F7" wp14:editId="7356B040">
              <wp:simplePos x="0" y="0"/>
              <wp:positionH relativeFrom="page">
                <wp:posOffset>743204</wp:posOffset>
              </wp:positionH>
              <wp:positionV relativeFrom="page">
                <wp:posOffset>529434</wp:posOffset>
              </wp:positionV>
              <wp:extent cx="6235700" cy="220345"/>
              <wp:effectExtent l="0" t="0" r="0" b="0"/>
              <wp:wrapNone/>
              <wp:docPr id="551" name="Textbox 551"/>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F381D8F"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26D2F581"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275497F7" id="_x0000_t202" coordsize="21600,21600" o:spt="202" path="m,l,21600r21600,l21600,xe">
              <v:stroke joinstyle="miter"/>
              <v:path gradientshapeok="t" o:connecttype="rect"/>
            </v:shapetype>
            <v:shape id="Textbox 551" o:spid="_x0000_s1423" type="#_x0000_t202" style="position:absolute;margin-left:58.5pt;margin-top:41.7pt;width:491pt;height:17.3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D0zGJdgAEAAPACAAAOAAAAAAAAAAAAAAAAAC4CAABkcnMv&#10;ZTJvRG9jLnhtbFBLAQItABQABgAIAAAAIQDo3PqA3gAAAAsBAAAPAAAAAAAAAAAAAAAAANoDAABk&#10;cnMvZG93bnJldi54bWxQSwUGAAAAAAQABADzAAAA5QQAAAAA&#10;" filled="f" stroked="f">
              <v:textbox inset="0,0,0,0">
                <w:txbxContent>
                  <w:p w14:paraId="7F381D8F"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26D2F581"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BBD7B" w14:textId="77777777" w:rsidR="008715BE" w:rsidRDefault="00000000">
    <w:pPr>
      <w:pStyle w:val="BodyText"/>
      <w:spacing w:line="14" w:lineRule="auto"/>
      <w:rPr>
        <w:sz w:val="20"/>
      </w:rPr>
    </w:pPr>
    <w:r>
      <w:rPr>
        <w:noProof/>
        <w:sz w:val="20"/>
      </w:rPr>
      <w:drawing>
        <wp:anchor distT="0" distB="0" distL="0" distR="0" simplePos="0" relativeHeight="251716608" behindDoc="1" locked="0" layoutInCell="1" allowOverlap="1" wp14:anchorId="786159C1" wp14:editId="49BD34BA">
          <wp:simplePos x="0" y="0"/>
          <wp:positionH relativeFrom="page">
            <wp:posOffset>756284</wp:posOffset>
          </wp:positionH>
          <wp:positionV relativeFrom="page">
            <wp:posOffset>486409</wp:posOffset>
          </wp:positionV>
          <wp:extent cx="651078" cy="177800"/>
          <wp:effectExtent l="0" t="0" r="0" b="0"/>
          <wp:wrapNone/>
          <wp:docPr id="555" name="Image 555"/>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17632" behindDoc="1" locked="0" layoutInCell="1" allowOverlap="1" wp14:anchorId="7A9CA7E5" wp14:editId="66E204B5">
              <wp:simplePos x="0" y="0"/>
              <wp:positionH relativeFrom="page">
                <wp:posOffset>743204</wp:posOffset>
              </wp:positionH>
              <wp:positionV relativeFrom="page">
                <wp:posOffset>529434</wp:posOffset>
              </wp:positionV>
              <wp:extent cx="6235700" cy="220345"/>
              <wp:effectExtent l="0" t="0" r="0" b="0"/>
              <wp:wrapNone/>
              <wp:docPr id="556" name="Textbox 55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0F1D9A91"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7DBF6073"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7A9CA7E5" id="_x0000_t202" coordsize="21600,21600" o:spt="202" path="m,l,21600r21600,l21600,xe">
              <v:stroke joinstyle="miter"/>
              <v:path gradientshapeok="t" o:connecttype="rect"/>
            </v:shapetype>
            <v:shape id="Textbox 556" o:spid="_x0000_s1426" type="#_x0000_t202" style="position:absolute;margin-left:58.5pt;margin-top:41.7pt;width:491pt;height:17.3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AG7WVvgAEAAPACAAAOAAAAAAAAAAAAAAAAAC4CAABkcnMv&#10;ZTJvRG9jLnhtbFBLAQItABQABgAIAAAAIQDo3PqA3gAAAAsBAAAPAAAAAAAAAAAAAAAAANoDAABk&#10;cnMvZG93bnJldi54bWxQSwUGAAAAAAQABADzAAAA5QQAAAAA&#10;" filled="f" stroked="f">
              <v:textbox inset="0,0,0,0">
                <w:txbxContent>
                  <w:p w14:paraId="0F1D9A91"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7DBF6073" w14:textId="77777777" w:rsidR="008715BE" w:rsidRDefault="00000000">
                    <w:pPr>
                      <w:spacing w:before="14"/>
                      <w:ind w:left="20"/>
                      <w:rPr>
                        <w:b/>
                        <w:sz w:val="12"/>
                      </w:rPr>
                    </w:pPr>
                    <w:r>
                      <w:rPr>
                        <w:b/>
                        <w:color w:val="D0CFC2"/>
                        <w:w w:val="135"/>
                        <w:sz w:val="8"/>
                      </w:rPr>
                      <w:t xml:space="preserve">Transformer stations, Electrical connection networks, Construction and modernisation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D922B" w14:textId="77777777" w:rsidR="008715BE" w:rsidRDefault="00000000">
    <w:pPr>
      <w:pStyle w:val="BodyText"/>
      <w:spacing w:line="14" w:lineRule="auto"/>
      <w:rPr>
        <w:sz w:val="20"/>
      </w:rPr>
    </w:pPr>
    <w:r>
      <w:rPr>
        <w:noProof/>
        <w:sz w:val="20"/>
      </w:rPr>
      <w:drawing>
        <wp:anchor distT="0" distB="0" distL="0" distR="0" simplePos="0" relativeHeight="251718656" behindDoc="1" locked="0" layoutInCell="1" allowOverlap="1" wp14:anchorId="352B7BDD" wp14:editId="603B9511">
          <wp:simplePos x="0" y="0"/>
          <wp:positionH relativeFrom="page">
            <wp:posOffset>756284</wp:posOffset>
          </wp:positionH>
          <wp:positionV relativeFrom="page">
            <wp:posOffset>486409</wp:posOffset>
          </wp:positionV>
          <wp:extent cx="651078" cy="177800"/>
          <wp:effectExtent l="0" t="0" r="0" b="0"/>
          <wp:wrapNone/>
          <wp:docPr id="562" name="Image 562"/>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19680" behindDoc="1" locked="0" layoutInCell="1" allowOverlap="1" wp14:anchorId="68D28776" wp14:editId="6FA3B559">
              <wp:simplePos x="0" y="0"/>
              <wp:positionH relativeFrom="page">
                <wp:posOffset>743204</wp:posOffset>
              </wp:positionH>
              <wp:positionV relativeFrom="page">
                <wp:posOffset>529434</wp:posOffset>
              </wp:positionV>
              <wp:extent cx="6235700" cy="220345"/>
              <wp:effectExtent l="0" t="0" r="0" b="0"/>
              <wp:wrapNone/>
              <wp:docPr id="563" name="Textbox 563"/>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37DAB4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3720C877"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68D28776" id="_x0000_t202" coordsize="21600,21600" o:spt="202" path="m,l,21600r21600,l21600,xe">
              <v:stroke joinstyle="miter"/>
              <v:path gradientshapeok="t" o:connecttype="rect"/>
            </v:shapetype>
            <v:shape id="Textbox 563" o:spid="_x0000_s1429" type="#_x0000_t202" style="position:absolute;margin-left:58.5pt;margin-top:41.7pt;width:491pt;height:17.35pt;z-index:-25159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lw9IyIEBAADwAgAADgAAAAAAAAAAAAAAAAAuAgAAZHJz&#10;L2Uyb0RvYy54bWxQSwECLQAUAAYACAAAACEA6Nz6gN4AAAALAQAADwAAAAAAAAAAAAAAAADbAwAA&#10;ZHJzL2Rvd25yZXYueG1sUEsFBgAAAAAEAAQA8wAAAOYEAAAAAA==&#10;" filled="f" stroked="f">
              <v:textbox inset="0,0,0,0">
                <w:txbxContent>
                  <w:p w14:paraId="737DAB47"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3720C877"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13CEF" w14:textId="77777777" w:rsidR="008715BE" w:rsidRDefault="00000000">
    <w:pPr>
      <w:pStyle w:val="BodyText"/>
      <w:spacing w:line="14" w:lineRule="auto"/>
      <w:rPr>
        <w:sz w:val="20"/>
      </w:rPr>
    </w:pPr>
    <w:r>
      <w:rPr>
        <w:noProof/>
        <w:sz w:val="20"/>
      </w:rPr>
      <w:drawing>
        <wp:anchor distT="0" distB="0" distL="0" distR="0" simplePos="0" relativeHeight="251720704" behindDoc="1" locked="0" layoutInCell="1" allowOverlap="1" wp14:anchorId="52CF111F" wp14:editId="6CD0BEE8">
          <wp:simplePos x="0" y="0"/>
          <wp:positionH relativeFrom="page">
            <wp:posOffset>756284</wp:posOffset>
          </wp:positionH>
          <wp:positionV relativeFrom="page">
            <wp:posOffset>529589</wp:posOffset>
          </wp:positionV>
          <wp:extent cx="651078" cy="177800"/>
          <wp:effectExtent l="0" t="0" r="0" b="0"/>
          <wp:wrapNone/>
          <wp:docPr id="921705743" name="Image 567"/>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21728" behindDoc="1" locked="0" layoutInCell="1" allowOverlap="1" wp14:anchorId="1F38B2A9" wp14:editId="5D2AB1EB">
              <wp:simplePos x="0" y="0"/>
              <wp:positionH relativeFrom="page">
                <wp:posOffset>743204</wp:posOffset>
              </wp:positionH>
              <wp:positionV relativeFrom="page">
                <wp:posOffset>573630</wp:posOffset>
              </wp:positionV>
              <wp:extent cx="6040120" cy="219075"/>
              <wp:effectExtent l="0" t="0" r="0" b="0"/>
              <wp:wrapNone/>
              <wp:docPr id="568" name="Textbox 568"/>
              <wp:cNvGraphicFramePr/>
              <a:graphic xmlns:a="http://schemas.openxmlformats.org/drawingml/2006/main">
                <a:graphicData uri="http://schemas.microsoft.com/office/word/2010/wordprocessingShape">
                  <wps:wsp>
                    <wps:cNvSpPr txBox="1"/>
                    <wps:spPr>
                      <a:xfrm>
                        <a:off x="0" y="0"/>
                        <a:ext cx="6040120" cy="219075"/>
                      </a:xfrm>
                      <a:prstGeom prst="rect">
                        <a:avLst/>
                      </a:prstGeom>
                    </wps:spPr>
                    <wps:txbx>
                      <w:txbxContent>
                        <w:p w14:paraId="7BCB438E" w14:textId="77777777" w:rsidR="008715BE" w:rsidRDefault="00000000">
                          <w:pPr>
                            <w:spacing w:before="26"/>
                            <w:ind w:left="1153"/>
                            <w:rPr>
                              <w:b/>
                              <w:sz w:val="12"/>
                            </w:rPr>
                          </w:pPr>
                          <w:r>
                            <w:rPr>
                              <w:b/>
                              <w:color w:val="D0CFC2"/>
                              <w:w w:val="135"/>
                              <w:sz w:val="8"/>
                            </w:rPr>
                            <w:t xml:space="preserve">Environmental Impact Report for the Wind Farm Project 48 (46) wind turbines approx. 316.8 MW </w:t>
                          </w:r>
                          <w:r>
                            <w:rPr>
                              <w:b/>
                              <w:color w:val="D0CFC2"/>
                              <w:spacing w:val="-2"/>
                              <w:w w:val="135"/>
                              <w:sz w:val="8"/>
                            </w:rPr>
                            <w:t>(303.6 MW),</w:t>
                          </w:r>
                        </w:p>
                        <w:p w14:paraId="3FEBA708" w14:textId="77777777" w:rsidR="008715BE" w:rsidRDefault="00000000">
                          <w:pPr>
                            <w:spacing w:before="12"/>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1F38B2A9" id="_x0000_t202" coordsize="21600,21600" o:spt="202" path="m,l,21600r21600,l21600,xe">
              <v:stroke joinstyle="miter"/>
              <v:path gradientshapeok="t" o:connecttype="rect"/>
            </v:shapetype>
            <v:shape id="Textbox 568" o:spid="_x0000_s1431" type="#_x0000_t202" style="position:absolute;margin-left:58.5pt;margin-top:45.15pt;width:475.6pt;height:17.25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" filled="f" stroked="f">
              <v:textbox inset="0,0,0,0">
                <w:txbxContent>
                  <w:p w14:paraId="7BCB438E" w14:textId="77777777" w:rsidR="008715BE" w:rsidRDefault="00000000">
                    <w:pPr>
                      <w:spacing w:before="26"/>
                      <w:ind w:left="1153"/>
                      <w:rPr>
                        <w:b/>
                        <w:sz w:val="12"/>
                      </w:rPr>
                    </w:pPr>
                    <w:r>
                      <w:rPr>
                        <w:b/>
                        <w:color w:val="D0CFC2"/>
                        <w:w w:val="135"/>
                        <w:sz w:val="8"/>
                      </w:rPr>
                      <w:t xml:space="preserve">Environmental Impact Report for the Wind Farm Project 48 (46) wind turbines approx. 316.8 MW </w:t>
                    </w:r>
                    <w:r>
                      <w:rPr>
                        <w:b/>
                        <w:color w:val="D0CFC2"/>
                        <w:spacing w:val="-2"/>
                        <w:w w:val="135"/>
                        <w:sz w:val="8"/>
                      </w:rPr>
                      <w:t>(303.6 MW),</w:t>
                    </w:r>
                  </w:p>
                  <w:p w14:paraId="3FEBA708" w14:textId="77777777" w:rsidR="008715BE" w:rsidRDefault="00000000">
                    <w:pPr>
                      <w:spacing w:before="12"/>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AC701" w14:textId="77777777" w:rsidR="008715BE" w:rsidRDefault="00000000">
    <w:pPr>
      <w:pStyle w:val="BodyText"/>
      <w:spacing w:line="14" w:lineRule="auto"/>
      <w:rPr>
        <w:sz w:val="20"/>
      </w:rPr>
    </w:pPr>
    <w:r>
      <w:rPr>
        <w:noProof/>
        <w:sz w:val="20"/>
      </w:rPr>
      <w:drawing>
        <wp:anchor distT="0" distB="0" distL="0" distR="0" simplePos="0" relativeHeight="251722752" behindDoc="1" locked="0" layoutInCell="1" allowOverlap="1" wp14:anchorId="6C2A4ACB" wp14:editId="2D8434EC">
          <wp:simplePos x="0" y="0"/>
          <wp:positionH relativeFrom="page">
            <wp:posOffset>900430</wp:posOffset>
          </wp:positionH>
          <wp:positionV relativeFrom="page">
            <wp:posOffset>529590</wp:posOffset>
          </wp:positionV>
          <wp:extent cx="651078" cy="177800"/>
          <wp:effectExtent l="0" t="0" r="0" b="0"/>
          <wp:wrapNone/>
          <wp:docPr id="586" name="Image 586"/>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23776" behindDoc="1" locked="0" layoutInCell="1" allowOverlap="1" wp14:anchorId="43EF2038" wp14:editId="47B3E00E">
              <wp:simplePos x="0" y="0"/>
              <wp:positionH relativeFrom="page">
                <wp:posOffset>887983</wp:posOffset>
              </wp:positionH>
              <wp:positionV relativeFrom="page">
                <wp:posOffset>573630</wp:posOffset>
              </wp:positionV>
              <wp:extent cx="8757920" cy="219075"/>
              <wp:effectExtent l="0" t="0" r="0" b="0"/>
              <wp:wrapNone/>
              <wp:docPr id="587" name="Textbox 587"/>
              <wp:cNvGraphicFramePr/>
              <a:graphic xmlns:a="http://schemas.openxmlformats.org/drawingml/2006/main">
                <a:graphicData uri="http://schemas.microsoft.com/office/word/2010/wordprocessingShape">
                  <wps:wsp>
                    <wps:cNvSpPr txBox="1"/>
                    <wps:spPr>
                      <a:xfrm>
                        <a:off x="0" y="0"/>
                        <a:ext cx="8757920" cy="219075"/>
                      </a:xfrm>
                      <a:prstGeom prst="rect">
                        <a:avLst/>
                      </a:prstGeom>
                    </wps:spPr>
                    <wps:txbx>
                      <w:txbxContent>
                        <w:p w14:paraId="273D1268" w14:textId="77777777" w:rsidR="008715BE" w:rsidRDefault="00000000">
                          <w:pPr>
                            <w:spacing w:before="26" w:line="259" w:lineRule="auto"/>
                            <w:ind w:left="20" w:right="18"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43EF2038" id="_x0000_t202" coordsize="21600,21600" o:spt="202" path="m,l,21600r21600,l21600,xe">
              <v:stroke joinstyle="miter"/>
              <v:path gradientshapeok="t" o:connecttype="rect"/>
            </v:shapetype>
            <v:shape id="Textbox 587" o:spid="_x0000_s1433" type="#_x0000_t202" style="position:absolute;margin-left:69.9pt;margin-top:45.15pt;width:689.6pt;height:17.2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" filled="f" stroked="f">
              <v:textbox inset="0,0,0,0">
                <w:txbxContent>
                  <w:p w14:paraId="273D1268" w14:textId="77777777" w:rsidR="008715BE" w:rsidRDefault="00000000">
                    <w:pPr>
                      <w:spacing w:before="26" w:line="259" w:lineRule="auto"/>
                      <w:ind w:left="20" w:right="18"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C0EBB" w14:textId="77777777" w:rsidR="008715BE" w:rsidRDefault="00000000">
    <w:pPr>
      <w:pStyle w:val="BodyText"/>
      <w:spacing w:line="14" w:lineRule="auto"/>
      <w:rPr>
        <w:sz w:val="20"/>
      </w:rPr>
    </w:pPr>
    <w:r>
      <w:rPr>
        <w:noProof/>
        <w:sz w:val="20"/>
      </w:rPr>
      <w:drawing>
        <wp:anchor distT="0" distB="0" distL="0" distR="0" simplePos="0" relativeHeight="251724800" behindDoc="1" locked="0" layoutInCell="1" allowOverlap="1" wp14:anchorId="69761F96" wp14:editId="73A6A44A">
          <wp:simplePos x="0" y="0"/>
          <wp:positionH relativeFrom="page">
            <wp:posOffset>756284</wp:posOffset>
          </wp:positionH>
          <wp:positionV relativeFrom="page">
            <wp:posOffset>486409</wp:posOffset>
          </wp:positionV>
          <wp:extent cx="651078" cy="177800"/>
          <wp:effectExtent l="0" t="0" r="0" b="0"/>
          <wp:wrapNone/>
          <wp:docPr id="589" name="Image 589"/>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25824" behindDoc="1" locked="0" layoutInCell="1" allowOverlap="1" wp14:anchorId="5AF9B32D" wp14:editId="385BAEC6">
              <wp:simplePos x="0" y="0"/>
              <wp:positionH relativeFrom="page">
                <wp:posOffset>743204</wp:posOffset>
              </wp:positionH>
              <wp:positionV relativeFrom="page">
                <wp:posOffset>529434</wp:posOffset>
              </wp:positionV>
              <wp:extent cx="6296660" cy="220345"/>
              <wp:effectExtent l="0" t="0" r="0" b="0"/>
              <wp:wrapNone/>
              <wp:docPr id="590" name="Textbox 590"/>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5C687C39"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5AF9B32D" id="_x0000_t202" coordsize="21600,21600" o:spt="202" path="m,l,21600r21600,l21600,xe">
              <v:stroke joinstyle="miter"/>
              <v:path gradientshapeok="t" o:connecttype="rect"/>
            </v:shapetype>
            <v:shape id="Textbox 590" o:spid="_x0000_s1435" type="#_x0000_t202" style="position:absolute;margin-left:58.5pt;margin-top:41.7pt;width:495.8pt;height:17.35pt;z-index:-251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Cjlx1qBAQAA8AIAAA4AAAAAAAAAAAAAAAAALgIAAGRy&#10;cy9lMm9Eb2MueG1sUEsBAi0AFAAGAAgAAAAhAFoesOzfAAAACwEAAA8AAAAAAAAAAAAAAAAA2wMA&#10;AGRycy9kb3ducmV2LnhtbFBLBQYAAAAABAAEAPMAAADnBAAAAAA=&#10;" filled="f" stroked="f">
              <v:textbox inset="0,0,0,0">
                <w:txbxContent>
                  <w:p w14:paraId="5C687C39"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9341D" w14:textId="77777777" w:rsidR="008715BE" w:rsidRDefault="00000000">
    <w:pPr>
      <w:pStyle w:val="BodyText"/>
      <w:spacing w:line="14" w:lineRule="auto"/>
      <w:rPr>
        <w:sz w:val="20"/>
      </w:rPr>
    </w:pPr>
    <w:r>
      <w:rPr>
        <w:noProof/>
        <w:sz w:val="20"/>
      </w:rPr>
      <w:drawing>
        <wp:anchor distT="0" distB="0" distL="0" distR="0" simplePos="0" relativeHeight="251594752" behindDoc="1" locked="0" layoutInCell="1" allowOverlap="1" wp14:anchorId="5D98ACF2" wp14:editId="452FB0C2">
          <wp:simplePos x="0" y="0"/>
          <wp:positionH relativeFrom="page">
            <wp:posOffset>756284</wp:posOffset>
          </wp:positionH>
          <wp:positionV relativeFrom="page">
            <wp:posOffset>486409</wp:posOffset>
          </wp:positionV>
          <wp:extent cx="651078" cy="177800"/>
          <wp:effectExtent l="0" t="0" r="0" b="0"/>
          <wp:wrapNone/>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596800" behindDoc="1" locked="0" layoutInCell="1" allowOverlap="1" wp14:anchorId="519CCB15" wp14:editId="0727BED9">
              <wp:simplePos x="0" y="0"/>
              <wp:positionH relativeFrom="page">
                <wp:posOffset>1462786</wp:posOffset>
              </wp:positionH>
              <wp:positionV relativeFrom="page">
                <wp:posOffset>529434</wp:posOffset>
              </wp:positionV>
              <wp:extent cx="6117590" cy="118110"/>
              <wp:effectExtent l="0" t="0" r="0" b="0"/>
              <wp:wrapNone/>
              <wp:docPr id="23" name="Textbox 23"/>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752D01CD"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wps:txbx>
                    <wps:bodyPr wrap="square" lIns="0" tIns="0" rIns="0" bIns="0" rtlCol="0"/>
                  </wps:wsp>
                </a:graphicData>
              </a:graphic>
            </wp:anchor>
          </w:drawing>
        </mc:Choice>
        <mc:Fallback>
          <w:pict>
            <v:shapetype w14:anchorId="519CCB15" id="_x0000_t202" coordsize="21600,21600" o:spt="202" path="m,l,21600r21600,l21600,xe">
              <v:stroke joinstyle="miter"/>
              <v:path gradientshapeok="t" o:connecttype="rect"/>
            </v:shapetype>
            <v:shape id="Textbox 23" o:spid="_x0000_s1350" type="#_x0000_t202" style="position:absolute;margin-left:115.2pt;margin-top:41.7pt;width:481.7pt;height:9.3pt;z-index:-2517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" filled="f" stroked="f">
              <v:textbox inset="0,0,0,0">
                <w:txbxContent>
                  <w:p w14:paraId="752D01CD"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v:textbox>
              <w10:wrap anchorx="page" anchory="page"/>
            </v:shape>
          </w:pict>
        </mc:Fallback>
      </mc:AlternateContent>
    </w:r>
    <w:r>
      <w:rPr>
        <w:noProof/>
        <w:sz w:val="20"/>
      </w:rPr>
      <mc:AlternateContent>
        <mc:Choice Requires="wps">
          <w:drawing>
            <wp:anchor distT="0" distB="0" distL="0" distR="0" simplePos="0" relativeHeight="251598848" behindDoc="1" locked="0" layoutInCell="1" allowOverlap="1" wp14:anchorId="1AD1329F" wp14:editId="668FC28B">
              <wp:simplePos x="0" y="0"/>
              <wp:positionH relativeFrom="page">
                <wp:posOffset>743204</wp:posOffset>
              </wp:positionH>
              <wp:positionV relativeFrom="page">
                <wp:posOffset>631542</wp:posOffset>
              </wp:positionV>
              <wp:extent cx="4078604" cy="118110"/>
              <wp:effectExtent l="0" t="0" r="0" b="0"/>
              <wp:wrapNone/>
              <wp:docPr id="24" name="Textbox 24"/>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6CDC28AA"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 w14:anchorId="1AD1329F" id="Textbox 24" o:spid="_x0000_s1351" type="#_x0000_t202" style="position:absolute;margin-left:58.5pt;margin-top:49.75pt;width:321.15pt;height:9.3pt;z-index:-2517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RlRdKoABAADvAgAADgAAAAAAAAAAAAAAAAAuAgAAZHJz&#10;L2Uyb0RvYy54bWxQSwECLQAUAAYACAAAACEAq1ueAt8AAAAKAQAADwAAAAAAAAAAAAAAAADaAwAA&#10;ZHJzL2Rvd25yZXYueG1sUEsFBgAAAAAEAAQA8wAAAOYEAAAAAA==&#10;" filled="f" stroked="f">
              <v:textbox inset="0,0,0,0">
                <w:txbxContent>
                  <w:p w14:paraId="6CDC28AA"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E21CC" w14:textId="77777777" w:rsidR="008715BE" w:rsidRDefault="008715BE">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72385" w14:textId="77777777" w:rsidR="008715BE" w:rsidRDefault="00000000">
    <w:pPr>
      <w:pStyle w:val="BodyText"/>
      <w:spacing w:line="14" w:lineRule="auto"/>
      <w:rPr>
        <w:sz w:val="20"/>
      </w:rPr>
    </w:pPr>
    <w:r>
      <w:rPr>
        <w:noProof/>
        <w:sz w:val="20"/>
      </w:rPr>
      <w:drawing>
        <wp:anchor distT="0" distB="0" distL="0" distR="0" simplePos="0" relativeHeight="251726848" behindDoc="1" locked="0" layoutInCell="1" allowOverlap="1" wp14:anchorId="08CBF0FC" wp14:editId="12E8B410">
          <wp:simplePos x="0" y="0"/>
          <wp:positionH relativeFrom="page">
            <wp:posOffset>756284</wp:posOffset>
          </wp:positionH>
          <wp:positionV relativeFrom="page">
            <wp:posOffset>486409</wp:posOffset>
          </wp:positionV>
          <wp:extent cx="651078" cy="177800"/>
          <wp:effectExtent l="0" t="0" r="0" b="0"/>
          <wp:wrapNone/>
          <wp:docPr id="612" name="Image 612"/>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27872" behindDoc="1" locked="0" layoutInCell="1" allowOverlap="1" wp14:anchorId="04508C5A" wp14:editId="21251790">
              <wp:simplePos x="0" y="0"/>
              <wp:positionH relativeFrom="page">
                <wp:posOffset>743204</wp:posOffset>
              </wp:positionH>
              <wp:positionV relativeFrom="page">
                <wp:posOffset>529434</wp:posOffset>
              </wp:positionV>
              <wp:extent cx="6296660" cy="220345"/>
              <wp:effectExtent l="0" t="0" r="0" b="0"/>
              <wp:wrapNone/>
              <wp:docPr id="613" name="Textbox 613"/>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11556514"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04508C5A" id="_x0000_t202" coordsize="21600,21600" o:spt="202" path="m,l,21600r21600,l21600,xe">
              <v:stroke joinstyle="miter"/>
              <v:path gradientshapeok="t" o:connecttype="rect"/>
            </v:shapetype>
            <v:shape id="Textbox 613" o:spid="_x0000_s1438" type="#_x0000_t202" style="position:absolute;margin-left:58.5pt;margin-top:41.7pt;width:495.8pt;height:17.35pt;z-index:-251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NrEwGiBAQAA8AIAAA4AAAAAAAAAAAAAAAAALgIAAGRy&#10;cy9lMm9Eb2MueG1sUEsBAi0AFAAGAAgAAAAhAFoesOzfAAAACwEAAA8AAAAAAAAAAAAAAAAA2wMA&#10;AGRycy9kb3ducmV2LnhtbFBLBQYAAAAABAAEAPMAAADnBAAAAAA=&#10;" filled="f" stroked="f">
              <v:textbox inset="0,0,0,0">
                <w:txbxContent>
                  <w:p w14:paraId="11556514"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FFDB6" w14:textId="77777777" w:rsidR="008715BE" w:rsidRDefault="008715BE">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C3EB2" w14:textId="77777777" w:rsidR="008715BE" w:rsidRDefault="00000000">
    <w:pPr>
      <w:pStyle w:val="BodyText"/>
      <w:spacing w:line="14" w:lineRule="auto"/>
      <w:rPr>
        <w:sz w:val="20"/>
      </w:rPr>
    </w:pPr>
    <w:r>
      <w:rPr>
        <w:noProof/>
        <w:sz w:val="20"/>
      </w:rPr>
      <w:drawing>
        <wp:anchor distT="0" distB="0" distL="0" distR="0" simplePos="0" relativeHeight="251728896" behindDoc="1" locked="0" layoutInCell="1" allowOverlap="1" wp14:anchorId="30384398" wp14:editId="7985EFE3">
          <wp:simplePos x="0" y="0"/>
          <wp:positionH relativeFrom="page">
            <wp:posOffset>756284</wp:posOffset>
          </wp:positionH>
          <wp:positionV relativeFrom="page">
            <wp:posOffset>486409</wp:posOffset>
          </wp:positionV>
          <wp:extent cx="651078" cy="177800"/>
          <wp:effectExtent l="0" t="0" r="0" b="0"/>
          <wp:wrapNone/>
          <wp:docPr id="628" name="Image 628"/>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29920" behindDoc="1" locked="0" layoutInCell="1" allowOverlap="1" wp14:anchorId="2250D738" wp14:editId="125D4DA6">
              <wp:simplePos x="0" y="0"/>
              <wp:positionH relativeFrom="page">
                <wp:posOffset>743204</wp:posOffset>
              </wp:positionH>
              <wp:positionV relativeFrom="page">
                <wp:posOffset>529434</wp:posOffset>
              </wp:positionV>
              <wp:extent cx="6296660" cy="220345"/>
              <wp:effectExtent l="0" t="0" r="0" b="0"/>
              <wp:wrapNone/>
              <wp:docPr id="629" name="Textbox 629"/>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6CD447ED"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2250D738" id="_x0000_t202" coordsize="21600,21600" o:spt="202" path="m,l,21600r21600,l21600,xe">
              <v:stroke joinstyle="miter"/>
              <v:path gradientshapeok="t" o:connecttype="rect"/>
            </v:shapetype>
            <v:shape id="Textbox 629" o:spid="_x0000_s1441" type="#_x0000_t202" style="position:absolute;margin-left:58.5pt;margin-top:41.7pt;width:495.8pt;height:17.3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MymyT6BAQAA8AIAAA4AAAAAAAAAAAAAAAAALgIAAGRy&#10;cy9lMm9Eb2MueG1sUEsBAi0AFAAGAAgAAAAhAFoesOzfAAAACwEAAA8AAAAAAAAAAAAAAAAA2wMA&#10;AGRycy9kb3ducmV2LnhtbFBLBQYAAAAABAAEAPMAAADnBAAAAAA=&#10;" filled="f" stroked="f">
              <v:textbox inset="0,0,0,0">
                <w:txbxContent>
                  <w:p w14:paraId="6CD447ED"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0AE8B" w14:textId="77777777" w:rsidR="008715BE" w:rsidRDefault="00000000">
    <w:pPr>
      <w:pStyle w:val="BodyText"/>
      <w:spacing w:line="14" w:lineRule="auto"/>
      <w:rPr>
        <w:sz w:val="20"/>
      </w:rPr>
    </w:pPr>
    <w:r>
      <w:rPr>
        <w:noProof/>
        <w:sz w:val="20"/>
      </w:rPr>
      <w:drawing>
        <wp:anchor distT="0" distB="0" distL="0" distR="0" simplePos="0" relativeHeight="251730944" behindDoc="1" locked="0" layoutInCell="1" allowOverlap="1" wp14:anchorId="5981724A" wp14:editId="560A783E">
          <wp:simplePos x="0" y="0"/>
          <wp:positionH relativeFrom="page">
            <wp:posOffset>540384</wp:posOffset>
          </wp:positionH>
          <wp:positionV relativeFrom="page">
            <wp:posOffset>496287</wp:posOffset>
          </wp:positionV>
          <wp:extent cx="631348" cy="133350"/>
          <wp:effectExtent l="0" t="0" r="0" b="0"/>
          <wp:wrapNone/>
          <wp:docPr id="632" name="Image 632"/>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 cstate="print"/>
                  <a:stretch>
                    <a:fillRect/>
                  </a:stretch>
                </pic:blipFill>
                <pic:spPr>
                  <a:xfrm>
                    <a:off x="0" y="0"/>
                    <a:ext cx="631348" cy="133350"/>
                  </a:xfrm>
                  <a:prstGeom prst="rect">
                    <a:avLst/>
                  </a:prstGeom>
                </pic:spPr>
              </pic:pic>
            </a:graphicData>
          </a:graphic>
        </wp:anchor>
      </w:drawing>
    </w:r>
    <w:r>
      <w:rPr>
        <w:noProof/>
        <w:sz w:val="20"/>
      </w:rPr>
      <mc:AlternateContent>
        <mc:Choice Requires="wps">
          <w:drawing>
            <wp:anchor distT="0" distB="0" distL="0" distR="0" simplePos="0" relativeHeight="251731968" behindDoc="1" locked="0" layoutInCell="1" allowOverlap="1" wp14:anchorId="6AB3C9EC" wp14:editId="0E56560D">
              <wp:simplePos x="0" y="0"/>
              <wp:positionH relativeFrom="page">
                <wp:posOffset>1247647</wp:posOffset>
              </wp:positionH>
              <wp:positionV relativeFrom="page">
                <wp:posOffset>529434</wp:posOffset>
              </wp:positionV>
              <wp:extent cx="9783445" cy="118110"/>
              <wp:effectExtent l="0" t="0" r="0" b="0"/>
              <wp:wrapNone/>
              <wp:docPr id="633" name="Textbox 633"/>
              <wp:cNvGraphicFramePr/>
              <a:graphic xmlns:a="http://schemas.openxmlformats.org/drawingml/2006/main">
                <a:graphicData uri="http://schemas.microsoft.com/office/word/2010/wordprocessingShape">
                  <wps:wsp>
                    <wps:cNvSpPr txBox="1"/>
                    <wps:spPr>
                      <a:xfrm>
                        <a:off x="0" y="0"/>
                        <a:ext cx="9783445" cy="118110"/>
                      </a:xfrm>
                      <a:prstGeom prst="rect">
                        <a:avLst/>
                      </a:prstGeom>
                    </wps:spPr>
                    <wps:txbx>
                      <w:txbxContent>
                        <w:p w14:paraId="40A57F31" w14:textId="77777777" w:rsidR="008715BE" w:rsidRDefault="00000000">
                          <w:pPr>
                            <w:spacing w:before="26"/>
                            <w:ind w:left="20"/>
                            <w:rPr>
                              <w:b/>
                              <w:sz w:val="12"/>
                            </w:rPr>
                          </w:pPr>
                          <w:r>
                            <w:rPr>
                              <w:b/>
                              <w:color w:val="D0CFC2"/>
                              <w:w w:val="135"/>
                              <w:sz w:val="8"/>
                            </w:rPr>
                            <w:t xml:space="preserve">Environmental Impact Report for the Wind Farm Project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wps:txbx>
                    <wps:bodyPr wrap="square" lIns="0" tIns="0" rIns="0" bIns="0" rtlCol="0"/>
                  </wps:wsp>
                </a:graphicData>
              </a:graphic>
            </wp:anchor>
          </w:drawing>
        </mc:Choice>
        <mc:Fallback>
          <w:pict>
            <v:shapetype w14:anchorId="6AB3C9EC" id="_x0000_t202" coordsize="21600,21600" o:spt="202" path="m,l,21600r21600,l21600,xe">
              <v:stroke joinstyle="miter"/>
              <v:path gradientshapeok="t" o:connecttype="rect"/>
            </v:shapetype>
            <v:shape id="Textbox 633" o:spid="_x0000_s1443" type="#_x0000_t202" style="position:absolute;margin-left:98.25pt;margin-top:41.7pt;width:770.35pt;height:9.3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" filled="f" stroked="f">
              <v:textbox inset="0,0,0,0">
                <w:txbxContent>
                  <w:p w14:paraId="40A57F31" w14:textId="77777777" w:rsidR="008715BE" w:rsidRDefault="00000000">
                    <w:pPr>
                      <w:spacing w:before="26"/>
                      <w:ind w:left="20"/>
                      <w:rPr>
                        <w:b/>
                        <w:sz w:val="12"/>
                      </w:rPr>
                    </w:pPr>
                    <w:r>
                      <w:rPr>
                        <w:b/>
                        <w:color w:val="D0CFC2"/>
                        <w:w w:val="135"/>
                        <w:sz w:val="8"/>
                      </w:rPr>
                      <w:t xml:space="preserve">Environmental Impact Report for the Wind Farm Project 48 (46) wind turbines approx. 316.8 MW (303.6 MW), transformer stations, connection grids, construction and modernization of communication and </w:t>
                    </w:r>
                    <w:r>
                      <w:rPr>
                        <w:b/>
                        <w:color w:val="D0CFC2"/>
                        <w:spacing w:val="-2"/>
                        <w:w w:val="135"/>
                        <w:sz w:val="8"/>
                      </w:rPr>
                      <w:t xml:space="preserve">access </w:t>
                    </w:r>
                    <w:r>
                      <w:rPr>
                        <w:b/>
                        <w:color w:val="D0CFC2"/>
                        <w:w w:val="135"/>
                        <w:sz w:val="8"/>
                      </w:rPr>
                      <w:t>roads</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BFCD2" w14:textId="77777777" w:rsidR="008715BE" w:rsidRDefault="00000000">
    <w:pPr>
      <w:pStyle w:val="BodyText"/>
      <w:spacing w:line="14" w:lineRule="auto"/>
      <w:rPr>
        <w:sz w:val="20"/>
      </w:rPr>
    </w:pPr>
    <w:r>
      <w:rPr>
        <w:noProof/>
        <w:sz w:val="20"/>
      </w:rPr>
      <mc:AlternateContent>
        <mc:Choice Requires="wps">
          <w:drawing>
            <wp:anchor distT="0" distB="0" distL="0" distR="0" simplePos="0" relativeHeight="251732992" behindDoc="1" locked="0" layoutInCell="1" allowOverlap="1" wp14:anchorId="2FB2C76A" wp14:editId="7898F12A">
              <wp:simplePos x="0" y="0"/>
              <wp:positionH relativeFrom="page">
                <wp:posOffset>1462786</wp:posOffset>
              </wp:positionH>
              <wp:positionV relativeFrom="page">
                <wp:posOffset>529434</wp:posOffset>
              </wp:positionV>
              <wp:extent cx="5577205" cy="118110"/>
              <wp:effectExtent l="0" t="0" r="0" b="0"/>
              <wp:wrapNone/>
              <wp:docPr id="635" name="Textbox 635"/>
              <wp:cNvGraphicFramePr/>
              <a:graphic xmlns:a="http://schemas.openxmlformats.org/drawingml/2006/main">
                <a:graphicData uri="http://schemas.microsoft.com/office/word/2010/wordprocessingShape">
                  <wps:wsp>
                    <wps:cNvSpPr txBox="1"/>
                    <wps:spPr>
                      <a:xfrm>
                        <a:off x="0" y="0"/>
                        <a:ext cx="5577205" cy="118110"/>
                      </a:xfrm>
                      <a:prstGeom prst="rect">
                        <a:avLst/>
                      </a:prstGeom>
                    </wps:spPr>
                    <wps:txbx>
                      <w:txbxContent>
                        <w:p w14:paraId="38FA4E2D" w14:textId="77777777" w:rsidR="008715BE" w:rsidRDefault="00000000">
                          <w:pPr>
                            <w:spacing w:before="26"/>
                            <w:ind w:left="20"/>
                            <w:rPr>
                              <w:b/>
                              <w:sz w:val="12"/>
                            </w:rPr>
                          </w:pPr>
                          <w:r>
                            <w:rPr>
                              <w:b/>
                              <w:color w:val="D0CFC2"/>
                              <w:w w:val="135"/>
                              <w:sz w:val="8"/>
                            </w:rPr>
                            <w:t xml:space="preserve">Environmental Impact Report for the Wind Farm Project 48 (46) wind turbines approx. 316.8 MW (303.6 MW), </w:t>
                          </w:r>
                          <w:r>
                            <w:rPr>
                              <w:b/>
                              <w:color w:val="D0CFC2"/>
                              <w:spacing w:val="-2"/>
                              <w:w w:val="135"/>
                              <w:sz w:val="8"/>
                            </w:rPr>
                            <w:t>Stations</w:t>
                          </w:r>
                        </w:p>
                      </w:txbxContent>
                    </wps:txbx>
                    <wps:bodyPr wrap="square" lIns="0" tIns="0" rIns="0" bIns="0" rtlCol="0"/>
                  </wps:wsp>
                </a:graphicData>
              </a:graphic>
            </wp:anchor>
          </w:drawing>
        </mc:Choice>
        <mc:Fallback>
          <w:pict>
            <v:shapetype w14:anchorId="2FB2C76A" id="_x0000_t202" coordsize="21600,21600" o:spt="202" path="m,l,21600r21600,l21600,xe">
              <v:stroke joinstyle="miter"/>
              <v:path gradientshapeok="t" o:connecttype="rect"/>
            </v:shapetype>
            <v:shape id="Textbox 635" o:spid="_x0000_s1445" type="#_x0000_t202" style="position:absolute;margin-left:115.2pt;margin-top:41.7pt;width:439.15pt;height:9.3pt;z-index:-251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" filled="f" stroked="f">
              <v:textbox inset="0,0,0,0">
                <w:txbxContent>
                  <w:p w14:paraId="38FA4E2D" w14:textId="77777777" w:rsidR="008715BE" w:rsidRDefault="00000000">
                    <w:pPr>
                      <w:spacing w:before="26"/>
                      <w:ind w:left="20"/>
                      <w:rPr>
                        <w:b/>
                        <w:sz w:val="12"/>
                      </w:rPr>
                    </w:pPr>
                    <w:r>
                      <w:rPr>
                        <w:b/>
                        <w:color w:val="D0CFC2"/>
                        <w:w w:val="135"/>
                        <w:sz w:val="8"/>
                      </w:rPr>
                      <w:t xml:space="preserve">Environmental Impact Report for the Wind Farm Project 48 (46) wind turbines approx. 316.8 MW (303.6 MW), </w:t>
                    </w:r>
                    <w:r>
                      <w:rPr>
                        <w:b/>
                        <w:color w:val="D0CFC2"/>
                        <w:spacing w:val="-2"/>
                        <w:w w:val="135"/>
                        <w:sz w:val="8"/>
                      </w:rPr>
                      <w:t>Stations</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49628" w14:textId="77777777" w:rsidR="008715BE" w:rsidRDefault="00000000">
    <w:pPr>
      <w:pStyle w:val="BodyText"/>
      <w:spacing w:line="14" w:lineRule="auto"/>
      <w:rPr>
        <w:sz w:val="20"/>
      </w:rPr>
    </w:pPr>
    <w:r>
      <w:rPr>
        <w:noProof/>
        <w:sz w:val="20"/>
      </w:rPr>
      <w:drawing>
        <wp:anchor distT="0" distB="0" distL="0" distR="0" simplePos="0" relativeHeight="251734016" behindDoc="1" locked="0" layoutInCell="1" allowOverlap="1" wp14:anchorId="290BEC10" wp14:editId="496BEBEB">
          <wp:simplePos x="0" y="0"/>
          <wp:positionH relativeFrom="page">
            <wp:posOffset>540384</wp:posOffset>
          </wp:positionH>
          <wp:positionV relativeFrom="page">
            <wp:posOffset>486410</wp:posOffset>
          </wp:positionV>
          <wp:extent cx="651078" cy="177800"/>
          <wp:effectExtent l="0" t="0" r="0" b="0"/>
          <wp:wrapNone/>
          <wp:docPr id="638" name="Image 638"/>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35040" behindDoc="1" locked="0" layoutInCell="1" allowOverlap="1" wp14:anchorId="4C46627F" wp14:editId="433D90F5">
              <wp:simplePos x="0" y="0"/>
              <wp:positionH relativeFrom="page">
                <wp:posOffset>528319</wp:posOffset>
              </wp:positionH>
              <wp:positionV relativeFrom="page">
                <wp:posOffset>529434</wp:posOffset>
              </wp:positionV>
              <wp:extent cx="9469755" cy="220345"/>
              <wp:effectExtent l="0" t="0" r="0" b="0"/>
              <wp:wrapNone/>
              <wp:docPr id="639" name="Textbox 639"/>
              <wp:cNvGraphicFramePr/>
              <a:graphic xmlns:a="http://schemas.openxmlformats.org/drawingml/2006/main">
                <a:graphicData uri="http://schemas.microsoft.com/office/word/2010/wordprocessingShape">
                  <wps:wsp>
                    <wps:cNvSpPr txBox="1"/>
                    <wps:spPr>
                      <a:xfrm>
                        <a:off x="0" y="0"/>
                        <a:ext cx="9469755" cy="220345"/>
                      </a:xfrm>
                      <a:prstGeom prst="rect">
                        <a:avLst/>
                      </a:prstGeom>
                    </wps:spPr>
                    <wps:txbx>
                      <w:txbxContent>
                        <w:p w14:paraId="6B6DCB59" w14:textId="77777777" w:rsidR="008715BE" w:rsidRDefault="00000000">
                          <w:pPr>
                            <w:spacing w:before="24" w:line="264" w:lineRule="auto"/>
                            <w:ind w:left="20" w:right="18"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4C46627F" id="_x0000_t202" coordsize="21600,21600" o:spt="202" path="m,l,21600r21600,l21600,xe">
              <v:stroke joinstyle="miter"/>
              <v:path gradientshapeok="t" o:connecttype="rect"/>
            </v:shapetype>
            <v:shape id="Textbox 639" o:spid="_x0000_s1447" type="#_x0000_t202" style="position:absolute;margin-left:41.6pt;margin-top:41.7pt;width:745.65pt;height:17.3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" filled="f" stroked="f">
              <v:textbox inset="0,0,0,0">
                <w:txbxContent>
                  <w:p w14:paraId="6B6DCB59" w14:textId="77777777" w:rsidR="008715BE" w:rsidRDefault="00000000">
                    <w:pPr>
                      <w:spacing w:before="24" w:line="264" w:lineRule="auto"/>
                      <w:ind w:left="20" w:right="18"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E58CE" w14:textId="77777777" w:rsidR="008715BE" w:rsidRDefault="00000000">
    <w:pPr>
      <w:pStyle w:val="BodyText"/>
      <w:spacing w:line="14" w:lineRule="auto"/>
      <w:rPr>
        <w:sz w:val="20"/>
      </w:rPr>
    </w:pPr>
    <w:r>
      <w:rPr>
        <w:noProof/>
        <w:sz w:val="20"/>
      </w:rPr>
      <w:drawing>
        <wp:anchor distT="0" distB="0" distL="0" distR="0" simplePos="0" relativeHeight="251736064" behindDoc="1" locked="0" layoutInCell="1" allowOverlap="1" wp14:anchorId="31C1B042" wp14:editId="6E93AB1E">
          <wp:simplePos x="0" y="0"/>
          <wp:positionH relativeFrom="page">
            <wp:posOffset>756284</wp:posOffset>
          </wp:positionH>
          <wp:positionV relativeFrom="page">
            <wp:posOffset>486409</wp:posOffset>
          </wp:positionV>
          <wp:extent cx="651078" cy="177800"/>
          <wp:effectExtent l="0" t="0" r="0" b="0"/>
          <wp:wrapNone/>
          <wp:docPr id="641" name="Image 641"/>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737088" behindDoc="1" locked="0" layoutInCell="1" allowOverlap="1" wp14:anchorId="32188141" wp14:editId="71236F0E">
              <wp:simplePos x="0" y="0"/>
              <wp:positionH relativeFrom="page">
                <wp:posOffset>743204</wp:posOffset>
              </wp:positionH>
              <wp:positionV relativeFrom="page">
                <wp:posOffset>529434</wp:posOffset>
              </wp:positionV>
              <wp:extent cx="6296660" cy="220345"/>
              <wp:effectExtent l="0" t="0" r="0" b="0"/>
              <wp:wrapNone/>
              <wp:docPr id="642" name="Textbox 642"/>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52F5298D"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wps:txbx>
                    <wps:bodyPr wrap="square" lIns="0" tIns="0" rIns="0" bIns="0" rtlCol="0"/>
                  </wps:wsp>
                </a:graphicData>
              </a:graphic>
            </wp:anchor>
          </w:drawing>
        </mc:Choice>
        <mc:Fallback>
          <w:pict>
            <v:shapetype w14:anchorId="32188141" id="_x0000_t202" coordsize="21600,21600" o:spt="202" path="m,l,21600r21600,l21600,xe">
              <v:stroke joinstyle="miter"/>
              <v:path gradientshapeok="t" o:connecttype="rect"/>
            </v:shapetype>
            <v:shape id="Textbox 642" o:spid="_x0000_s1449" type="#_x0000_t202" style="position:absolute;margin-left:58.5pt;margin-top:41.7pt;width:495.8pt;height:17.35pt;z-index:-251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DATnTOBAQAA8QIAAA4AAAAAAAAAAAAAAAAALgIAAGRy&#10;cy9lMm9Eb2MueG1sUEsBAi0AFAAGAAgAAAAhAFoesOzfAAAACwEAAA8AAAAAAAAAAAAAAAAA2wMA&#10;AGRycy9kb3ducmV2LnhtbFBLBQYAAAAABAAEAPMAAADnBAAAAAA=&#10;" filled="f" stroked="f">
              <v:textbox inset="0,0,0,0">
                <w:txbxContent>
                  <w:p w14:paraId="52F5298D" w14:textId="77777777" w:rsidR="008715BE" w:rsidRDefault="00000000">
                    <w:pPr>
                      <w:spacing w:before="24" w:line="264" w:lineRule="auto"/>
                      <w:ind w:left="20" w:firstLine="1133"/>
                      <w:rPr>
                        <w:b/>
                        <w:sz w:val="12"/>
                      </w:rPr>
                    </w:pPr>
                    <w:r>
                      <w:rPr>
                        <w:b/>
                        <w:color w:val="D0CFC2"/>
                        <w:w w:val="135"/>
                        <w:sz w:val="8"/>
                      </w:rPr>
                      <w:t>Environmental Impact Report for the Wind Farm Project 48 (46) wind turbines approx. 316.8 MW (303.6 MW), transformer stations, connection grids, construction and modernization of communication and access roads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E08A8" w14:textId="77777777" w:rsidR="008715BE" w:rsidRDefault="00000000">
    <w:pPr>
      <w:pStyle w:val="BodyText"/>
      <w:spacing w:line="14" w:lineRule="auto"/>
      <w:rPr>
        <w:sz w:val="20"/>
      </w:rPr>
    </w:pPr>
    <w:r>
      <w:rPr>
        <w:noProof/>
        <w:sz w:val="20"/>
      </w:rPr>
      <w:drawing>
        <wp:anchor distT="0" distB="0" distL="0" distR="0" simplePos="0" relativeHeight="251600896" behindDoc="1" locked="0" layoutInCell="1" allowOverlap="1" wp14:anchorId="1F4835DE" wp14:editId="30474AE2">
          <wp:simplePos x="0" y="0"/>
          <wp:positionH relativeFrom="page">
            <wp:posOffset>756284</wp:posOffset>
          </wp:positionH>
          <wp:positionV relativeFrom="page">
            <wp:posOffset>486409</wp:posOffset>
          </wp:positionV>
          <wp:extent cx="651078" cy="177800"/>
          <wp:effectExtent l="0" t="0" r="0" b="0"/>
          <wp:wrapNone/>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01920" behindDoc="1" locked="0" layoutInCell="1" allowOverlap="1" wp14:anchorId="3A1093A6" wp14:editId="28FD0F16">
              <wp:simplePos x="0" y="0"/>
              <wp:positionH relativeFrom="page">
                <wp:posOffset>1462786</wp:posOffset>
              </wp:positionH>
              <wp:positionV relativeFrom="page">
                <wp:posOffset>529434</wp:posOffset>
              </wp:positionV>
              <wp:extent cx="6117590" cy="118110"/>
              <wp:effectExtent l="0" t="0" r="0" b="0"/>
              <wp:wrapNone/>
              <wp:docPr id="29" name="Textbox 29"/>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45F5AFF9"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wps:txbx>
                    <wps:bodyPr wrap="square" lIns="0" tIns="0" rIns="0" bIns="0" rtlCol="0"/>
                  </wps:wsp>
                </a:graphicData>
              </a:graphic>
            </wp:anchor>
          </w:drawing>
        </mc:Choice>
        <mc:Fallback>
          <w:pict>
            <v:shapetype w14:anchorId="3A1093A6" id="_x0000_t202" coordsize="21600,21600" o:spt="202" path="m,l,21600r21600,l21600,xe">
              <v:stroke joinstyle="miter"/>
              <v:path gradientshapeok="t" o:connecttype="rect"/>
            </v:shapetype>
            <v:shape id="Textbox 29" o:spid="_x0000_s1354" type="#_x0000_t202" style="position:absolute;margin-left:115.2pt;margin-top:41.7pt;width:481.7pt;height:9.3pt;z-index:-2517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" filled="f" stroked="f">
              <v:textbox inset="0,0,0,0">
                <w:txbxContent>
                  <w:p w14:paraId="45F5AFF9" w14:textId="77777777" w:rsidR="008715BE" w:rsidRDefault="00000000">
                    <w:pPr>
                      <w:spacing w:before="26"/>
                      <w:ind w:left="20"/>
                      <w:rPr>
                        <w:b/>
                        <w:sz w:val="12"/>
                      </w:rPr>
                    </w:pPr>
                    <w:r>
                      <w:rPr>
                        <w:b/>
                        <w:color w:val="D0CFC2"/>
                        <w:w w:val="135"/>
                        <w:sz w:val="8"/>
                      </w:rPr>
                      <w:t>Environmental impact report for obtaining the Environmental Agreement for Wind Farm 48 (46) wind turbines approx.</w:t>
                    </w:r>
                    <w:r>
                      <w:rPr>
                        <w:b/>
                        <w:color w:val="D0CFC2"/>
                        <w:spacing w:val="-2"/>
                        <w:w w:val="135"/>
                        <w:sz w:val="8"/>
                      </w:rPr>
                      <w:t xml:space="preserve"> 316.8</w:t>
                    </w:r>
                  </w:p>
                </w:txbxContent>
              </v:textbox>
              <w10:wrap anchorx="page" anchory="page"/>
            </v:shape>
          </w:pict>
        </mc:Fallback>
      </mc:AlternateContent>
    </w:r>
    <w:r>
      <w:rPr>
        <w:noProof/>
        <w:sz w:val="20"/>
      </w:rPr>
      <mc:AlternateContent>
        <mc:Choice Requires="wps">
          <w:drawing>
            <wp:anchor distT="0" distB="0" distL="0" distR="0" simplePos="0" relativeHeight="251604992" behindDoc="1" locked="0" layoutInCell="1" allowOverlap="1" wp14:anchorId="0F389949" wp14:editId="095D3447">
              <wp:simplePos x="0" y="0"/>
              <wp:positionH relativeFrom="page">
                <wp:posOffset>743204</wp:posOffset>
              </wp:positionH>
              <wp:positionV relativeFrom="page">
                <wp:posOffset>631542</wp:posOffset>
              </wp:positionV>
              <wp:extent cx="4078604" cy="118110"/>
              <wp:effectExtent l="0" t="0" r="0" b="0"/>
              <wp:wrapNone/>
              <wp:docPr id="30" name="Textbox 30"/>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4F5C21A5"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 w14:anchorId="0F389949" id="Textbox 30" o:spid="_x0000_s1355" type="#_x0000_t202" style="position:absolute;margin-left:58.5pt;margin-top:49.75pt;width:321.15pt;height:9.3pt;z-index:-25171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Yb8x/YABAADwAgAADgAAAAAAAAAAAAAAAAAuAgAAZHJz&#10;L2Uyb0RvYy54bWxQSwECLQAUAAYACAAAACEAq1ueAt8AAAAKAQAADwAAAAAAAAAAAAAAAADaAwAA&#10;ZHJzL2Rvd25yZXYueG1sUEsFBgAAAAAEAAQA8wAAAOYEAAAAAA==&#10;" filled="f" stroked="f">
              <v:textbox inset="0,0,0,0">
                <w:txbxContent>
                  <w:p w14:paraId="4F5C21A5" w14:textId="77777777" w:rsidR="008715BE" w:rsidRDefault="00000000">
                    <w:pPr>
                      <w:spacing w:before="26"/>
                      <w:ind w:left="20"/>
                      <w:rPr>
                        <w:b/>
                        <w:sz w:val="12"/>
                      </w:rPr>
                    </w:pPr>
                    <w:r>
                      <w:rPr>
                        <w:b/>
                        <w:color w:val="D0CFC2"/>
                        <w:w w:val="135"/>
                        <w:sz w:val="8"/>
                      </w:rPr>
                      <w:t xml:space="preserve">Transformation,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98B6F" w14:textId="7C838830" w:rsidR="008715BE" w:rsidRDefault="001B3BB8">
    <w:pPr>
      <w:pStyle w:val="BodyText"/>
      <w:spacing w:line="14" w:lineRule="auto"/>
      <w:rPr>
        <w:sz w:val="20"/>
      </w:rPr>
    </w:pPr>
    <w:r>
      <w:rPr>
        <w:noProof/>
        <w:sz w:val="20"/>
      </w:rPr>
      <mc:AlternateContent>
        <mc:Choice Requires="wps">
          <w:drawing>
            <wp:anchor distT="0" distB="0" distL="0" distR="0" simplePos="0" relativeHeight="251608064" behindDoc="1" locked="0" layoutInCell="1" allowOverlap="1" wp14:anchorId="29AC85FA" wp14:editId="741C0508">
              <wp:simplePos x="0" y="0"/>
              <wp:positionH relativeFrom="page">
                <wp:posOffset>1466850</wp:posOffset>
              </wp:positionH>
              <wp:positionV relativeFrom="page">
                <wp:posOffset>247650</wp:posOffset>
              </wp:positionV>
              <wp:extent cx="5943600" cy="546100"/>
              <wp:effectExtent l="0" t="0" r="0" b="0"/>
              <wp:wrapNone/>
              <wp:docPr id="36" name="Textbox 36"/>
              <wp:cNvGraphicFramePr/>
              <a:graphic xmlns:a="http://schemas.openxmlformats.org/drawingml/2006/main">
                <a:graphicData uri="http://schemas.microsoft.com/office/word/2010/wordprocessingShape">
                  <wps:wsp>
                    <wps:cNvSpPr txBox="1"/>
                    <wps:spPr>
                      <a:xfrm>
                        <a:off x="0" y="0"/>
                        <a:ext cx="5943600" cy="546100"/>
                      </a:xfrm>
                      <a:prstGeom prst="rect">
                        <a:avLst/>
                      </a:prstGeom>
                    </wps:spPr>
                    <wps:txbx>
                      <w:txbxContent>
                        <w:p w14:paraId="2DA2A086" w14:textId="12902B7C" w:rsidR="008715BE" w:rsidRPr="001B3BB8" w:rsidRDefault="00000000" w:rsidP="00E26EB0">
                          <w:pPr>
                            <w:spacing w:before="26"/>
                            <w:jc w:val="both"/>
                            <w:rPr>
                              <w:rFonts w:ascii="Verdana" w:hAnsi="Verdana"/>
                              <w:b/>
                              <w:color w:val="404040" w:themeColor="text1" w:themeTint="BF"/>
                              <w:sz w:val="12"/>
                              <w:szCs w:val="12"/>
                            </w:rPr>
                          </w:pPr>
                          <w:r w:rsidRPr="001B3BB8">
                            <w:rPr>
                              <w:rFonts w:ascii="Verdana" w:hAnsi="Verdana"/>
                              <w:b/>
                              <w:color w:val="404040" w:themeColor="text1" w:themeTint="BF"/>
                              <w:w w:val="135"/>
                              <w:sz w:val="12"/>
                              <w:szCs w:val="12"/>
                            </w:rPr>
                            <w:t xml:space="preserve">Environmental impact report for Wind Farm 48 (46) wind turbines approx. 316.8 MW (303.6 MW), </w:t>
                          </w:r>
                          <w:r w:rsidRPr="001B3BB8">
                            <w:rPr>
                              <w:rFonts w:ascii="Verdana" w:hAnsi="Verdana"/>
                              <w:b/>
                              <w:color w:val="404040" w:themeColor="text1" w:themeTint="BF"/>
                              <w:spacing w:val="-5"/>
                              <w:w w:val="135"/>
                              <w:sz w:val="12"/>
                              <w:szCs w:val="12"/>
                            </w:rPr>
                            <w:t>substations</w:t>
                          </w:r>
                          <w:r w:rsidR="001B3BB8">
                            <w:rPr>
                              <w:rFonts w:ascii="Verdana" w:hAnsi="Verdana"/>
                              <w:b/>
                              <w:color w:val="404040" w:themeColor="text1" w:themeTint="BF"/>
                              <w:sz w:val="12"/>
                              <w:szCs w:val="12"/>
                            </w:rPr>
                            <w:t xml:space="preserve">, </w:t>
                          </w:r>
                          <w:r w:rsidRPr="001B3BB8">
                            <w:rPr>
                              <w:rFonts w:ascii="Verdana" w:hAnsi="Verdana"/>
                              <w:b/>
                              <w:color w:val="404040" w:themeColor="text1" w:themeTint="BF"/>
                              <w:w w:val="135"/>
                              <w:sz w:val="12"/>
                              <w:szCs w:val="12"/>
                            </w:rPr>
                            <w:t xml:space="preserve">Transformer stations, Electrical connection networks, Construction and modernization of communication and </w:t>
                          </w:r>
                          <w:r w:rsidRPr="001B3BB8">
                            <w:rPr>
                              <w:rFonts w:ascii="Verdana" w:hAnsi="Verdana"/>
                              <w:b/>
                              <w:color w:val="404040" w:themeColor="text1" w:themeTint="BF"/>
                              <w:spacing w:val="-4"/>
                              <w:w w:val="135"/>
                              <w:sz w:val="12"/>
                              <w:szCs w:val="12"/>
                            </w:rPr>
                            <w:t xml:space="preserve">access </w:t>
                          </w:r>
                          <w:r w:rsidRPr="001B3BB8">
                            <w:rPr>
                              <w:rFonts w:ascii="Verdana" w:hAnsi="Verdana"/>
                              <w:b/>
                              <w:color w:val="404040" w:themeColor="text1" w:themeTint="BF"/>
                              <w:w w:val="135"/>
                              <w:sz w:val="12"/>
                              <w:szCs w:val="12"/>
                            </w:rPr>
                            <w:t>routes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9AC85FA" id="_x0000_t202" coordsize="21600,21600" o:spt="202" path="m,l,21600r21600,l21600,xe">
              <v:stroke joinstyle="miter"/>
              <v:path gradientshapeok="t" o:connecttype="rect"/>
            </v:shapetype>
            <v:shape id="Textbox 36" o:spid="_x0000_s1357" type="#_x0000_t202" style="position:absolute;margin-left:115.5pt;margin-top:19.5pt;width:468pt;height:43pt;z-index:-2517084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" filled="f" stroked="f">
              <v:textbox inset="0,0,0,0">
                <w:txbxContent>
                  <w:p w14:paraId="2DA2A086" w14:textId="12902B7C" w:rsidR="008715BE" w:rsidRPr="001B3BB8" w:rsidRDefault="00000000" w:rsidP="00E26EB0">
                    <w:pPr>
                      <w:spacing w:before="26"/>
                      <w:jc w:val="both"/>
                      <w:rPr>
                        <w:rFonts w:ascii="Verdana" w:hAnsi="Verdana"/>
                        <w:b/>
                        <w:color w:val="404040" w:themeColor="text1" w:themeTint="BF"/>
                        <w:sz w:val="12"/>
                        <w:szCs w:val="12"/>
                      </w:rPr>
                    </w:pPr>
                    <w:r w:rsidRPr="001B3BB8">
                      <w:rPr>
                        <w:rFonts w:ascii="Verdana" w:hAnsi="Verdana"/>
                        <w:b/>
                        <w:color w:val="404040" w:themeColor="text1" w:themeTint="BF"/>
                        <w:w w:val="135"/>
                        <w:sz w:val="12"/>
                        <w:szCs w:val="12"/>
                      </w:rPr>
                      <w:t xml:space="preserve">Environmental impact report for Wind Farm 48 (46) wind turbines approx. 316.8 MW (303.6 MW), </w:t>
                    </w:r>
                    <w:r w:rsidRPr="001B3BB8">
                      <w:rPr>
                        <w:rFonts w:ascii="Verdana" w:hAnsi="Verdana"/>
                        <w:b/>
                        <w:color w:val="404040" w:themeColor="text1" w:themeTint="BF"/>
                        <w:spacing w:val="-5"/>
                        <w:w w:val="135"/>
                        <w:sz w:val="12"/>
                        <w:szCs w:val="12"/>
                      </w:rPr>
                      <w:t>substations</w:t>
                    </w:r>
                    <w:r w:rsidR="001B3BB8">
                      <w:rPr>
                        <w:rFonts w:ascii="Verdana" w:hAnsi="Verdana"/>
                        <w:b/>
                        <w:color w:val="404040" w:themeColor="text1" w:themeTint="BF"/>
                        <w:sz w:val="12"/>
                        <w:szCs w:val="12"/>
                      </w:rPr>
                      <w:t xml:space="preserve">, </w:t>
                    </w:r>
                    <w:r w:rsidRPr="001B3BB8">
                      <w:rPr>
                        <w:rFonts w:ascii="Verdana" w:hAnsi="Verdana"/>
                        <w:b/>
                        <w:color w:val="404040" w:themeColor="text1" w:themeTint="BF"/>
                        <w:w w:val="135"/>
                        <w:sz w:val="12"/>
                        <w:szCs w:val="12"/>
                      </w:rPr>
                      <w:t xml:space="preserve">Transformer stations, Electrical connection networks, Construction and modernization of communication and </w:t>
                    </w:r>
                    <w:r w:rsidRPr="001B3BB8">
                      <w:rPr>
                        <w:rFonts w:ascii="Verdana" w:hAnsi="Verdana"/>
                        <w:b/>
                        <w:color w:val="404040" w:themeColor="text1" w:themeTint="BF"/>
                        <w:spacing w:val="-4"/>
                        <w:w w:val="135"/>
                        <w:sz w:val="12"/>
                        <w:szCs w:val="12"/>
                      </w:rPr>
                      <w:t xml:space="preserve">access </w:t>
                    </w:r>
                    <w:r w:rsidRPr="001B3BB8">
                      <w:rPr>
                        <w:rFonts w:ascii="Verdana" w:hAnsi="Verdana"/>
                        <w:b/>
                        <w:color w:val="404040" w:themeColor="text1" w:themeTint="BF"/>
                        <w:w w:val="135"/>
                        <w:sz w:val="12"/>
                        <w:szCs w:val="12"/>
                      </w:rPr>
                      <w:t>routes</w:t>
                    </w:r>
                  </w:p>
                </w:txbxContent>
              </v:textbox>
              <w10:wrap anchorx="page" anchory="page"/>
            </v:shape>
          </w:pict>
        </mc:Fallback>
      </mc:AlternateContent>
    </w:r>
    <w:r>
      <w:rPr>
        <w:noProof/>
        <w:sz w:val="20"/>
      </w:rPr>
      <w:drawing>
        <wp:anchor distT="0" distB="0" distL="0" distR="0" simplePos="0" relativeHeight="251606016" behindDoc="1" locked="0" layoutInCell="1" allowOverlap="1" wp14:anchorId="77EBD3CE" wp14:editId="4BE835A5">
          <wp:simplePos x="0" y="0"/>
          <wp:positionH relativeFrom="page">
            <wp:posOffset>756284</wp:posOffset>
          </wp:positionH>
          <wp:positionV relativeFrom="page">
            <wp:posOffset>486409</wp:posOffset>
          </wp:positionV>
          <wp:extent cx="651078" cy="177800"/>
          <wp:effectExtent l="0" t="0" r="0" b="0"/>
          <wp:wrapNone/>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 cstate="print"/>
                  <a:stretch>
                    <a:fillRect/>
                  </a:stretch>
                </pic:blipFill>
                <pic:spPr>
                  <a:xfrm>
                    <a:off x="0" y="0"/>
                    <a:ext cx="651078" cy="177800"/>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9C397" w14:textId="77777777" w:rsidR="008715BE" w:rsidRDefault="00000000">
    <w:pPr>
      <w:pStyle w:val="BodyText"/>
      <w:spacing w:line="14" w:lineRule="auto"/>
      <w:rPr>
        <w:sz w:val="20"/>
      </w:rPr>
    </w:pPr>
    <w:r>
      <w:rPr>
        <w:noProof/>
        <w:sz w:val="20"/>
      </w:rPr>
      <w:drawing>
        <wp:anchor distT="0" distB="0" distL="0" distR="0" simplePos="0" relativeHeight="251610112" behindDoc="1" locked="0" layoutInCell="1" allowOverlap="1" wp14:anchorId="40983F3D" wp14:editId="2BBED10B">
          <wp:simplePos x="0" y="0"/>
          <wp:positionH relativeFrom="page">
            <wp:posOffset>540384</wp:posOffset>
          </wp:positionH>
          <wp:positionV relativeFrom="page">
            <wp:posOffset>486410</wp:posOffset>
          </wp:positionV>
          <wp:extent cx="651078" cy="177800"/>
          <wp:effectExtent l="0" t="0" r="0" b="0"/>
          <wp:wrapNone/>
          <wp:docPr id="172" name="Image 172"/>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11136" behindDoc="1" locked="0" layoutInCell="1" allowOverlap="1" wp14:anchorId="52664A38" wp14:editId="393A1B2A">
              <wp:simplePos x="0" y="0"/>
              <wp:positionH relativeFrom="page">
                <wp:posOffset>528319</wp:posOffset>
              </wp:positionH>
              <wp:positionV relativeFrom="page">
                <wp:posOffset>529434</wp:posOffset>
              </wp:positionV>
              <wp:extent cx="9407525" cy="220345"/>
              <wp:effectExtent l="0" t="0" r="0" b="0"/>
              <wp:wrapNone/>
              <wp:docPr id="173" name="Textbox 173"/>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0C3B4BC2"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316.8MW (303.6MW), transformer stations, connection networks, construction and modernization of communication and access roads</w:t>
                          </w:r>
                        </w:p>
                      </w:txbxContent>
                    </wps:txbx>
                    <wps:bodyPr wrap="square" lIns="0" tIns="0" rIns="0" bIns="0" rtlCol="0"/>
                  </wps:wsp>
                </a:graphicData>
              </a:graphic>
            </wp:anchor>
          </w:drawing>
        </mc:Choice>
        <mc:Fallback>
          <w:pict>
            <v:shapetype w14:anchorId="52664A38" id="_x0000_t202" coordsize="21600,21600" o:spt="202" path="m,l,21600r21600,l21600,xe">
              <v:stroke joinstyle="miter"/>
              <v:path gradientshapeok="t" o:connecttype="rect"/>
            </v:shapetype>
            <v:shape id="Textbox 173" o:spid="_x0000_s1359" type="#_x0000_t202" style="position:absolute;margin-left:41.6pt;margin-top:41.7pt;width:740.75pt;height:17.35pt;z-index:-25170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" filled="f" stroked="f">
              <v:textbox inset="0,0,0,0">
                <w:txbxContent>
                  <w:p w14:paraId="0C3B4BC2" w14:textId="77777777" w:rsidR="008715BE" w:rsidRDefault="00000000">
                    <w:pPr>
                      <w:spacing w:before="24" w:line="264" w:lineRule="auto"/>
                      <w:ind w:left="20" w:firstLine="994"/>
                      <w:rPr>
                        <w:b/>
                        <w:sz w:val="12"/>
                      </w:rPr>
                    </w:pPr>
                    <w:r>
                      <w:rPr>
                        <w:b/>
                        <w:color w:val="D0CFC2"/>
                        <w:w w:val="135"/>
                        <w:sz w:val="8"/>
                      </w:rPr>
                      <w:t>Environmental impact report for Wind Farm 48 (46) wind turbines approx. 316.8MW (303.6MW), transformer stations, connection networks, construction and modernization of communication and access roads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7B0EC" w14:textId="77777777" w:rsidR="008715BE" w:rsidRDefault="00000000">
    <w:pPr>
      <w:pStyle w:val="BodyText"/>
      <w:spacing w:line="14" w:lineRule="auto"/>
      <w:rPr>
        <w:sz w:val="20"/>
      </w:rPr>
    </w:pPr>
    <w:r>
      <w:rPr>
        <w:noProof/>
        <w:sz w:val="20"/>
      </w:rPr>
      <w:drawing>
        <wp:anchor distT="0" distB="0" distL="0" distR="0" simplePos="0" relativeHeight="251613184" behindDoc="1" locked="0" layoutInCell="1" allowOverlap="1" wp14:anchorId="3B3896EF" wp14:editId="0503205A">
          <wp:simplePos x="0" y="0"/>
          <wp:positionH relativeFrom="page">
            <wp:posOffset>756284</wp:posOffset>
          </wp:positionH>
          <wp:positionV relativeFrom="page">
            <wp:posOffset>486409</wp:posOffset>
          </wp:positionV>
          <wp:extent cx="651078" cy="177800"/>
          <wp:effectExtent l="0" t="0" r="0" b="0"/>
          <wp:wrapNone/>
          <wp:docPr id="175" name="Image 175"/>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 cstate="print"/>
                  <a:stretch>
                    <a:fillRect/>
                  </a:stretch>
                </pic:blipFill>
                <pic:spPr>
                  <a:xfrm>
                    <a:off x="0" y="0"/>
                    <a:ext cx="651078" cy="177800"/>
                  </a:xfrm>
                  <a:prstGeom prst="rect">
                    <a:avLst/>
                  </a:prstGeom>
                </pic:spPr>
              </pic:pic>
            </a:graphicData>
          </a:graphic>
        </wp:anchor>
      </w:drawing>
    </w:r>
    <w:r>
      <w:rPr>
        <w:noProof/>
        <w:sz w:val="20"/>
      </w:rPr>
      <mc:AlternateContent>
        <mc:Choice Requires="wps">
          <w:drawing>
            <wp:anchor distT="0" distB="0" distL="0" distR="0" simplePos="0" relativeHeight="251615232" behindDoc="1" locked="0" layoutInCell="1" allowOverlap="1" wp14:anchorId="63FCC1C8" wp14:editId="72A3127C">
              <wp:simplePos x="0" y="0"/>
              <wp:positionH relativeFrom="page">
                <wp:posOffset>743204</wp:posOffset>
              </wp:positionH>
              <wp:positionV relativeFrom="page">
                <wp:posOffset>529434</wp:posOffset>
              </wp:positionV>
              <wp:extent cx="6235700" cy="220345"/>
              <wp:effectExtent l="0" t="0" r="0" b="0"/>
              <wp:wrapNone/>
              <wp:docPr id="176" name="Textbox 17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6D39559E"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B967E6A"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wps:txbx>
                    <wps:bodyPr wrap="square" lIns="0" tIns="0" rIns="0" bIns="0" rtlCol="0"/>
                  </wps:wsp>
                </a:graphicData>
              </a:graphic>
            </wp:anchor>
          </w:drawing>
        </mc:Choice>
        <mc:Fallback>
          <w:pict>
            <v:shapetype w14:anchorId="63FCC1C8" id="_x0000_t202" coordsize="21600,21600" o:spt="202" path="m,l,21600r21600,l21600,xe">
              <v:stroke joinstyle="miter"/>
              <v:path gradientshapeok="t" o:connecttype="rect"/>
            </v:shapetype>
            <v:shape id="Textbox 176" o:spid="_x0000_s1361" type="#_x0000_t202" style="position:absolute;margin-left:58.5pt;margin-top:41.7pt;width:491pt;height:17.35pt;z-index:-25170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AcagncgAEAAPACAAAOAAAAAAAAAAAAAAAAAC4CAABkcnMv&#10;ZTJvRG9jLnhtbFBLAQItABQABgAIAAAAIQDo3PqA3gAAAAsBAAAPAAAAAAAAAAAAAAAAANoDAABk&#10;cnMvZG93bnJldi54bWxQSwUGAAAAAAQABADzAAAA5QQAAAAA&#10;" filled="f" stroked="f">
              <v:textbox inset="0,0,0,0">
                <w:txbxContent>
                  <w:p w14:paraId="6D39559E" w14:textId="77777777" w:rsidR="008715BE" w:rsidRDefault="00000000">
                    <w:pPr>
                      <w:spacing w:before="26"/>
                      <w:ind w:left="1013"/>
                      <w:rPr>
                        <w:b/>
                        <w:sz w:val="12"/>
                      </w:rPr>
                    </w:pPr>
                    <w:r>
                      <w:rPr>
                        <w:b/>
                        <w:color w:val="D0CFC2"/>
                        <w:w w:val="135"/>
                        <w:sz w:val="8"/>
                      </w:rPr>
                      <w:t xml:space="preserve">Environmental impact report for Wind Farm 48 (46) wind turbines approx. 316.8 MW (303.6 MW), </w:t>
                    </w:r>
                    <w:r>
                      <w:rPr>
                        <w:b/>
                        <w:color w:val="D0CFC2"/>
                        <w:spacing w:val="-5"/>
                        <w:w w:val="135"/>
                        <w:sz w:val="8"/>
                      </w:rPr>
                      <w:t>substations</w:t>
                    </w:r>
                  </w:p>
                  <w:p w14:paraId="4B967E6A" w14:textId="77777777" w:rsidR="008715BE" w:rsidRDefault="00000000">
                    <w:pPr>
                      <w:spacing w:before="14"/>
                      <w:ind w:left="20"/>
                      <w:rPr>
                        <w:b/>
                        <w:sz w:val="12"/>
                      </w:rPr>
                    </w:pPr>
                    <w:r>
                      <w:rPr>
                        <w:b/>
                        <w:color w:val="D0CFC2"/>
                        <w:w w:val="135"/>
                        <w:sz w:val="8"/>
                      </w:rPr>
                      <w:t xml:space="preserve">Transformer stations, Electrical connection networks, Construction and modernization of communication and </w:t>
                    </w:r>
                    <w:r>
                      <w:rPr>
                        <w:b/>
                        <w:color w:val="D0CFC2"/>
                        <w:spacing w:val="-4"/>
                        <w:w w:val="135"/>
                        <w:sz w:val="8"/>
                      </w:rPr>
                      <w:t xml:space="preserve">access </w:t>
                    </w:r>
                    <w:r>
                      <w:rPr>
                        <w:b/>
                        <w:color w:val="D0CFC2"/>
                        <w:w w:val="135"/>
                        <w:sz w:val="8"/>
                      </w:rPr>
                      <w:t>routes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48C99"/>
    <w:multiLevelType w:val="hybridMultilevel"/>
    <w:tmpl w:val="00000000"/>
    <w:lvl w:ilvl="0" w:tplc="53CE80F4">
      <w:numFmt w:val="bullet"/>
      <w:lvlText w:val="•"/>
      <w:lvlJc w:val="left"/>
      <w:pPr>
        <w:ind w:left="2274" w:hanging="161"/>
      </w:pPr>
      <w:rPr>
        <w:rFonts w:ascii="Calibri" w:eastAsia="Calibri" w:hAnsi="Calibri" w:cs="Calibri" w:hint="default"/>
        <w:b w:val="0"/>
        <w:bCs w:val="0"/>
        <w:i w:val="0"/>
        <w:iCs w:val="0"/>
        <w:spacing w:val="0"/>
        <w:w w:val="109"/>
        <w:sz w:val="18"/>
        <w:szCs w:val="18"/>
        <w:lang w:val="ro-RO" w:eastAsia="en-US" w:bidi="ar-SA"/>
      </w:rPr>
    </w:lvl>
    <w:lvl w:ilvl="1" w:tplc="7A52328C">
      <w:numFmt w:val="bullet"/>
      <w:lvlText w:val="•"/>
      <w:lvlJc w:val="left"/>
      <w:pPr>
        <w:ind w:left="2981" w:hanging="161"/>
      </w:pPr>
      <w:rPr>
        <w:rFonts w:hint="default"/>
        <w:lang w:val="ro-RO" w:eastAsia="en-US" w:bidi="ar-SA"/>
      </w:rPr>
    </w:lvl>
    <w:lvl w:ilvl="2" w:tplc="7164935E">
      <w:numFmt w:val="bullet"/>
      <w:lvlText w:val="•"/>
      <w:lvlJc w:val="left"/>
      <w:pPr>
        <w:ind w:left="3683" w:hanging="161"/>
      </w:pPr>
      <w:rPr>
        <w:rFonts w:hint="default"/>
        <w:lang w:val="ro-RO" w:eastAsia="en-US" w:bidi="ar-SA"/>
      </w:rPr>
    </w:lvl>
    <w:lvl w:ilvl="3" w:tplc="014637F6">
      <w:numFmt w:val="bullet"/>
      <w:lvlText w:val="•"/>
      <w:lvlJc w:val="left"/>
      <w:pPr>
        <w:ind w:left="4385" w:hanging="161"/>
      </w:pPr>
      <w:rPr>
        <w:rFonts w:hint="default"/>
        <w:lang w:val="ro-RO" w:eastAsia="en-US" w:bidi="ar-SA"/>
      </w:rPr>
    </w:lvl>
    <w:lvl w:ilvl="4" w:tplc="3B64EE70">
      <w:numFmt w:val="bullet"/>
      <w:lvlText w:val="•"/>
      <w:lvlJc w:val="left"/>
      <w:pPr>
        <w:ind w:left="5087" w:hanging="161"/>
      </w:pPr>
      <w:rPr>
        <w:rFonts w:hint="default"/>
        <w:lang w:val="ro-RO" w:eastAsia="en-US" w:bidi="ar-SA"/>
      </w:rPr>
    </w:lvl>
    <w:lvl w:ilvl="5" w:tplc="EDCAF98E">
      <w:numFmt w:val="bullet"/>
      <w:lvlText w:val="•"/>
      <w:lvlJc w:val="left"/>
      <w:pPr>
        <w:ind w:left="5789" w:hanging="161"/>
      </w:pPr>
      <w:rPr>
        <w:rFonts w:hint="default"/>
        <w:lang w:val="ro-RO" w:eastAsia="en-US" w:bidi="ar-SA"/>
      </w:rPr>
    </w:lvl>
    <w:lvl w:ilvl="6" w:tplc="441C5BF4">
      <w:numFmt w:val="bullet"/>
      <w:lvlText w:val="•"/>
      <w:lvlJc w:val="left"/>
      <w:pPr>
        <w:ind w:left="6490" w:hanging="161"/>
      </w:pPr>
      <w:rPr>
        <w:rFonts w:hint="default"/>
        <w:lang w:val="ro-RO" w:eastAsia="en-US" w:bidi="ar-SA"/>
      </w:rPr>
    </w:lvl>
    <w:lvl w:ilvl="7" w:tplc="0458EB74">
      <w:numFmt w:val="bullet"/>
      <w:lvlText w:val="•"/>
      <w:lvlJc w:val="left"/>
      <w:pPr>
        <w:ind w:left="7192" w:hanging="161"/>
      </w:pPr>
      <w:rPr>
        <w:rFonts w:hint="default"/>
        <w:lang w:val="ro-RO" w:eastAsia="en-US" w:bidi="ar-SA"/>
      </w:rPr>
    </w:lvl>
    <w:lvl w:ilvl="8" w:tplc="6CFA18DA">
      <w:numFmt w:val="bullet"/>
      <w:lvlText w:val="•"/>
      <w:lvlJc w:val="left"/>
      <w:pPr>
        <w:ind w:left="7894" w:hanging="161"/>
      </w:pPr>
      <w:rPr>
        <w:rFonts w:hint="default"/>
        <w:lang w:val="ro-RO" w:eastAsia="en-US" w:bidi="ar-SA"/>
      </w:rPr>
    </w:lvl>
  </w:abstractNum>
  <w:abstractNum w:abstractNumId="1" w15:restartNumberingAfterBreak="0">
    <w:nsid w:val="04F971C2"/>
    <w:multiLevelType w:val="hybridMultilevel"/>
    <w:tmpl w:val="00000000"/>
    <w:lvl w:ilvl="0" w:tplc="0212BED6">
      <w:numFmt w:val="bullet"/>
      <w:lvlText w:val="•"/>
      <w:lvlJc w:val="left"/>
      <w:pPr>
        <w:ind w:left="2205" w:hanging="161"/>
      </w:pPr>
      <w:rPr>
        <w:rFonts w:ascii="Calibri" w:eastAsia="Calibri" w:hAnsi="Calibri" w:cs="Calibri" w:hint="default"/>
        <w:b w:val="0"/>
        <w:bCs w:val="0"/>
        <w:i w:val="0"/>
        <w:iCs w:val="0"/>
        <w:spacing w:val="0"/>
        <w:w w:val="86"/>
        <w:sz w:val="18"/>
        <w:szCs w:val="18"/>
        <w:lang w:val="ro-RO" w:eastAsia="en-US" w:bidi="ar-SA"/>
      </w:rPr>
    </w:lvl>
    <w:lvl w:ilvl="1" w:tplc="B4D28008">
      <w:numFmt w:val="bullet"/>
      <w:lvlText w:val="•"/>
      <w:lvlJc w:val="left"/>
      <w:pPr>
        <w:ind w:left="2909" w:hanging="161"/>
      </w:pPr>
      <w:rPr>
        <w:rFonts w:hint="default"/>
        <w:lang w:val="ro-RO" w:eastAsia="en-US" w:bidi="ar-SA"/>
      </w:rPr>
    </w:lvl>
    <w:lvl w:ilvl="2" w:tplc="20640246">
      <w:numFmt w:val="bullet"/>
      <w:lvlText w:val="•"/>
      <w:lvlJc w:val="left"/>
      <w:pPr>
        <w:ind w:left="3619" w:hanging="161"/>
      </w:pPr>
      <w:rPr>
        <w:rFonts w:hint="default"/>
        <w:lang w:val="ro-RO" w:eastAsia="en-US" w:bidi="ar-SA"/>
      </w:rPr>
    </w:lvl>
    <w:lvl w:ilvl="3" w:tplc="B6D82CCC">
      <w:numFmt w:val="bullet"/>
      <w:lvlText w:val="•"/>
      <w:lvlJc w:val="left"/>
      <w:pPr>
        <w:ind w:left="4329" w:hanging="161"/>
      </w:pPr>
      <w:rPr>
        <w:rFonts w:hint="default"/>
        <w:lang w:val="ro-RO" w:eastAsia="en-US" w:bidi="ar-SA"/>
      </w:rPr>
    </w:lvl>
    <w:lvl w:ilvl="4" w:tplc="0734A538">
      <w:numFmt w:val="bullet"/>
      <w:lvlText w:val="•"/>
      <w:lvlJc w:val="left"/>
      <w:pPr>
        <w:ind w:left="5039" w:hanging="161"/>
      </w:pPr>
      <w:rPr>
        <w:rFonts w:hint="default"/>
        <w:lang w:val="ro-RO" w:eastAsia="en-US" w:bidi="ar-SA"/>
      </w:rPr>
    </w:lvl>
    <w:lvl w:ilvl="5" w:tplc="D8F6E22A">
      <w:numFmt w:val="bullet"/>
      <w:lvlText w:val="•"/>
      <w:lvlJc w:val="left"/>
      <w:pPr>
        <w:ind w:left="5749" w:hanging="161"/>
      </w:pPr>
      <w:rPr>
        <w:rFonts w:hint="default"/>
        <w:lang w:val="ro-RO" w:eastAsia="en-US" w:bidi="ar-SA"/>
      </w:rPr>
    </w:lvl>
    <w:lvl w:ilvl="6" w:tplc="0B84477A">
      <w:numFmt w:val="bullet"/>
      <w:lvlText w:val="•"/>
      <w:lvlJc w:val="left"/>
      <w:pPr>
        <w:ind w:left="6458" w:hanging="161"/>
      </w:pPr>
      <w:rPr>
        <w:rFonts w:hint="default"/>
        <w:lang w:val="ro-RO" w:eastAsia="en-US" w:bidi="ar-SA"/>
      </w:rPr>
    </w:lvl>
    <w:lvl w:ilvl="7" w:tplc="60749F9E">
      <w:numFmt w:val="bullet"/>
      <w:lvlText w:val="•"/>
      <w:lvlJc w:val="left"/>
      <w:pPr>
        <w:ind w:left="7168" w:hanging="161"/>
      </w:pPr>
      <w:rPr>
        <w:rFonts w:hint="default"/>
        <w:lang w:val="ro-RO" w:eastAsia="en-US" w:bidi="ar-SA"/>
      </w:rPr>
    </w:lvl>
    <w:lvl w:ilvl="8" w:tplc="0F7083E0">
      <w:numFmt w:val="bullet"/>
      <w:lvlText w:val="•"/>
      <w:lvlJc w:val="left"/>
      <w:pPr>
        <w:ind w:left="7878" w:hanging="161"/>
      </w:pPr>
      <w:rPr>
        <w:rFonts w:hint="default"/>
        <w:lang w:val="ro-RO" w:eastAsia="en-US" w:bidi="ar-SA"/>
      </w:rPr>
    </w:lvl>
  </w:abstractNum>
  <w:abstractNum w:abstractNumId="2" w15:restartNumberingAfterBreak="0">
    <w:nsid w:val="06ECC933"/>
    <w:multiLevelType w:val="hybridMultilevel"/>
    <w:tmpl w:val="00000000"/>
    <w:lvl w:ilvl="0" w:tplc="AC20B726">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D91201DA">
      <w:numFmt w:val="bullet"/>
      <w:lvlText w:val="•"/>
      <w:lvlJc w:val="left"/>
      <w:pPr>
        <w:ind w:left="1650" w:hanging="360"/>
      </w:pPr>
      <w:rPr>
        <w:rFonts w:hint="default"/>
        <w:lang w:val="ro-RO" w:eastAsia="en-US" w:bidi="ar-SA"/>
      </w:rPr>
    </w:lvl>
    <w:lvl w:ilvl="2" w:tplc="4028A6F8">
      <w:numFmt w:val="bullet"/>
      <w:lvlText w:val="•"/>
      <w:lvlJc w:val="left"/>
      <w:pPr>
        <w:ind w:left="2601" w:hanging="360"/>
      </w:pPr>
      <w:rPr>
        <w:rFonts w:hint="default"/>
        <w:lang w:val="ro-RO" w:eastAsia="en-US" w:bidi="ar-SA"/>
      </w:rPr>
    </w:lvl>
    <w:lvl w:ilvl="3" w:tplc="F69426E0">
      <w:numFmt w:val="bullet"/>
      <w:lvlText w:val="•"/>
      <w:lvlJc w:val="left"/>
      <w:pPr>
        <w:ind w:left="3552" w:hanging="360"/>
      </w:pPr>
      <w:rPr>
        <w:rFonts w:hint="default"/>
        <w:lang w:val="ro-RO" w:eastAsia="en-US" w:bidi="ar-SA"/>
      </w:rPr>
    </w:lvl>
    <w:lvl w:ilvl="4" w:tplc="AD004DAE">
      <w:numFmt w:val="bullet"/>
      <w:lvlText w:val="•"/>
      <w:lvlJc w:val="left"/>
      <w:pPr>
        <w:ind w:left="4502" w:hanging="360"/>
      </w:pPr>
      <w:rPr>
        <w:rFonts w:hint="default"/>
        <w:lang w:val="ro-RO" w:eastAsia="en-US" w:bidi="ar-SA"/>
      </w:rPr>
    </w:lvl>
    <w:lvl w:ilvl="5" w:tplc="A0EAAB2C">
      <w:numFmt w:val="bullet"/>
      <w:lvlText w:val="•"/>
      <w:lvlJc w:val="left"/>
      <w:pPr>
        <w:ind w:left="5453" w:hanging="360"/>
      </w:pPr>
      <w:rPr>
        <w:rFonts w:hint="default"/>
        <w:lang w:val="ro-RO" w:eastAsia="en-US" w:bidi="ar-SA"/>
      </w:rPr>
    </w:lvl>
    <w:lvl w:ilvl="6" w:tplc="26F61FF8">
      <w:numFmt w:val="bullet"/>
      <w:lvlText w:val="•"/>
      <w:lvlJc w:val="left"/>
      <w:pPr>
        <w:ind w:left="6404" w:hanging="360"/>
      </w:pPr>
      <w:rPr>
        <w:rFonts w:hint="default"/>
        <w:lang w:val="ro-RO" w:eastAsia="en-US" w:bidi="ar-SA"/>
      </w:rPr>
    </w:lvl>
    <w:lvl w:ilvl="7" w:tplc="CC205F48">
      <w:numFmt w:val="bullet"/>
      <w:lvlText w:val="•"/>
      <w:lvlJc w:val="left"/>
      <w:pPr>
        <w:ind w:left="7355" w:hanging="360"/>
      </w:pPr>
      <w:rPr>
        <w:rFonts w:hint="default"/>
        <w:lang w:val="ro-RO" w:eastAsia="en-US" w:bidi="ar-SA"/>
      </w:rPr>
    </w:lvl>
    <w:lvl w:ilvl="8" w:tplc="C832B170">
      <w:numFmt w:val="bullet"/>
      <w:lvlText w:val="•"/>
      <w:lvlJc w:val="left"/>
      <w:pPr>
        <w:ind w:left="8305" w:hanging="360"/>
      </w:pPr>
      <w:rPr>
        <w:rFonts w:hint="default"/>
        <w:lang w:val="ro-RO" w:eastAsia="en-US" w:bidi="ar-SA"/>
      </w:rPr>
    </w:lvl>
  </w:abstractNum>
  <w:abstractNum w:abstractNumId="3" w15:restartNumberingAfterBreak="0">
    <w:nsid w:val="07F73C73"/>
    <w:multiLevelType w:val="hybridMultilevel"/>
    <w:tmpl w:val="9FA6174C"/>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4" w15:restartNumberingAfterBreak="0">
    <w:nsid w:val="09BAA859"/>
    <w:multiLevelType w:val="hybridMultilevel"/>
    <w:tmpl w:val="00000000"/>
    <w:lvl w:ilvl="0" w:tplc="4AB42E32">
      <w:numFmt w:val="bullet"/>
      <w:lvlText w:val="●"/>
      <w:lvlJc w:val="left"/>
      <w:pPr>
        <w:ind w:left="2099" w:hanging="173"/>
      </w:pPr>
      <w:rPr>
        <w:rFonts w:ascii="Calibri" w:eastAsia="Calibri" w:hAnsi="Calibri" w:cs="Calibri" w:hint="default"/>
        <w:b w:val="0"/>
        <w:bCs w:val="0"/>
        <w:i w:val="0"/>
        <w:iCs w:val="0"/>
        <w:spacing w:val="0"/>
        <w:w w:val="100"/>
        <w:sz w:val="18"/>
        <w:szCs w:val="18"/>
        <w:lang w:val="ro-RO" w:eastAsia="en-US" w:bidi="ar-SA"/>
      </w:rPr>
    </w:lvl>
    <w:lvl w:ilvl="1" w:tplc="BA561532">
      <w:numFmt w:val="bullet"/>
      <w:lvlText w:val="•"/>
      <w:lvlJc w:val="left"/>
      <w:pPr>
        <w:ind w:left="2819" w:hanging="173"/>
      </w:pPr>
      <w:rPr>
        <w:rFonts w:hint="default"/>
        <w:lang w:val="ro-RO" w:eastAsia="en-US" w:bidi="ar-SA"/>
      </w:rPr>
    </w:lvl>
    <w:lvl w:ilvl="2" w:tplc="7C0E9CC0">
      <w:numFmt w:val="bullet"/>
      <w:lvlText w:val="•"/>
      <w:lvlJc w:val="left"/>
      <w:pPr>
        <w:ind w:left="3539" w:hanging="173"/>
      </w:pPr>
      <w:rPr>
        <w:rFonts w:hint="default"/>
        <w:lang w:val="ro-RO" w:eastAsia="en-US" w:bidi="ar-SA"/>
      </w:rPr>
    </w:lvl>
    <w:lvl w:ilvl="3" w:tplc="0D36129C">
      <w:numFmt w:val="bullet"/>
      <w:lvlText w:val="•"/>
      <w:lvlJc w:val="left"/>
      <w:pPr>
        <w:ind w:left="4259" w:hanging="173"/>
      </w:pPr>
      <w:rPr>
        <w:rFonts w:hint="default"/>
        <w:lang w:val="ro-RO" w:eastAsia="en-US" w:bidi="ar-SA"/>
      </w:rPr>
    </w:lvl>
    <w:lvl w:ilvl="4" w:tplc="5CC66E80">
      <w:numFmt w:val="bullet"/>
      <w:lvlText w:val="•"/>
      <w:lvlJc w:val="left"/>
      <w:pPr>
        <w:ind w:left="4979" w:hanging="173"/>
      </w:pPr>
      <w:rPr>
        <w:rFonts w:hint="default"/>
        <w:lang w:val="ro-RO" w:eastAsia="en-US" w:bidi="ar-SA"/>
      </w:rPr>
    </w:lvl>
    <w:lvl w:ilvl="5" w:tplc="801087F8">
      <w:numFmt w:val="bullet"/>
      <w:lvlText w:val="•"/>
      <w:lvlJc w:val="left"/>
      <w:pPr>
        <w:ind w:left="5699" w:hanging="173"/>
      </w:pPr>
      <w:rPr>
        <w:rFonts w:hint="default"/>
        <w:lang w:val="ro-RO" w:eastAsia="en-US" w:bidi="ar-SA"/>
      </w:rPr>
    </w:lvl>
    <w:lvl w:ilvl="6" w:tplc="BA8E6C9E">
      <w:numFmt w:val="bullet"/>
      <w:lvlText w:val="•"/>
      <w:lvlJc w:val="left"/>
      <w:pPr>
        <w:ind w:left="6418" w:hanging="173"/>
      </w:pPr>
      <w:rPr>
        <w:rFonts w:hint="default"/>
        <w:lang w:val="ro-RO" w:eastAsia="en-US" w:bidi="ar-SA"/>
      </w:rPr>
    </w:lvl>
    <w:lvl w:ilvl="7" w:tplc="4E70B232">
      <w:numFmt w:val="bullet"/>
      <w:lvlText w:val="•"/>
      <w:lvlJc w:val="left"/>
      <w:pPr>
        <w:ind w:left="7138" w:hanging="173"/>
      </w:pPr>
      <w:rPr>
        <w:rFonts w:hint="default"/>
        <w:lang w:val="ro-RO" w:eastAsia="en-US" w:bidi="ar-SA"/>
      </w:rPr>
    </w:lvl>
    <w:lvl w:ilvl="8" w:tplc="BCC0C38A">
      <w:numFmt w:val="bullet"/>
      <w:lvlText w:val="•"/>
      <w:lvlJc w:val="left"/>
      <w:pPr>
        <w:ind w:left="7858" w:hanging="173"/>
      </w:pPr>
      <w:rPr>
        <w:rFonts w:hint="default"/>
        <w:lang w:val="ro-RO" w:eastAsia="en-US" w:bidi="ar-SA"/>
      </w:rPr>
    </w:lvl>
  </w:abstractNum>
  <w:abstractNum w:abstractNumId="5" w15:restartNumberingAfterBreak="0">
    <w:nsid w:val="0D52B3E7"/>
    <w:multiLevelType w:val="hybridMultilevel"/>
    <w:tmpl w:val="00000000"/>
    <w:lvl w:ilvl="0" w:tplc="C17EA8CC">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4A086252">
      <w:numFmt w:val="bullet"/>
      <w:lvlText w:val="•"/>
      <w:lvlJc w:val="left"/>
      <w:pPr>
        <w:ind w:left="1031" w:hanging="279"/>
      </w:pPr>
      <w:rPr>
        <w:rFonts w:hint="default"/>
        <w:lang w:val="ro-RO" w:eastAsia="en-US" w:bidi="ar-SA"/>
      </w:rPr>
    </w:lvl>
    <w:lvl w:ilvl="2" w:tplc="6804E324">
      <w:numFmt w:val="bullet"/>
      <w:lvlText w:val="•"/>
      <w:lvlJc w:val="left"/>
      <w:pPr>
        <w:ind w:left="1682" w:hanging="279"/>
      </w:pPr>
      <w:rPr>
        <w:rFonts w:hint="default"/>
        <w:lang w:val="ro-RO" w:eastAsia="en-US" w:bidi="ar-SA"/>
      </w:rPr>
    </w:lvl>
    <w:lvl w:ilvl="3" w:tplc="655CFC3C">
      <w:numFmt w:val="bullet"/>
      <w:lvlText w:val="•"/>
      <w:lvlJc w:val="left"/>
      <w:pPr>
        <w:ind w:left="2333" w:hanging="279"/>
      </w:pPr>
      <w:rPr>
        <w:rFonts w:hint="default"/>
        <w:lang w:val="ro-RO" w:eastAsia="en-US" w:bidi="ar-SA"/>
      </w:rPr>
    </w:lvl>
    <w:lvl w:ilvl="4" w:tplc="153E73E4">
      <w:numFmt w:val="bullet"/>
      <w:lvlText w:val="•"/>
      <w:lvlJc w:val="left"/>
      <w:pPr>
        <w:ind w:left="2984" w:hanging="279"/>
      </w:pPr>
      <w:rPr>
        <w:rFonts w:hint="default"/>
        <w:lang w:val="ro-RO" w:eastAsia="en-US" w:bidi="ar-SA"/>
      </w:rPr>
    </w:lvl>
    <w:lvl w:ilvl="5" w:tplc="571A1BE2">
      <w:numFmt w:val="bullet"/>
      <w:lvlText w:val="•"/>
      <w:lvlJc w:val="left"/>
      <w:pPr>
        <w:ind w:left="3636" w:hanging="279"/>
      </w:pPr>
      <w:rPr>
        <w:rFonts w:hint="default"/>
        <w:lang w:val="ro-RO" w:eastAsia="en-US" w:bidi="ar-SA"/>
      </w:rPr>
    </w:lvl>
    <w:lvl w:ilvl="6" w:tplc="2822F734">
      <w:numFmt w:val="bullet"/>
      <w:lvlText w:val="•"/>
      <w:lvlJc w:val="left"/>
      <w:pPr>
        <w:ind w:left="4287" w:hanging="279"/>
      </w:pPr>
      <w:rPr>
        <w:rFonts w:hint="default"/>
        <w:lang w:val="ro-RO" w:eastAsia="en-US" w:bidi="ar-SA"/>
      </w:rPr>
    </w:lvl>
    <w:lvl w:ilvl="7" w:tplc="1F4ADD36">
      <w:numFmt w:val="bullet"/>
      <w:lvlText w:val="•"/>
      <w:lvlJc w:val="left"/>
      <w:pPr>
        <w:ind w:left="4938" w:hanging="279"/>
      </w:pPr>
      <w:rPr>
        <w:rFonts w:hint="default"/>
        <w:lang w:val="ro-RO" w:eastAsia="en-US" w:bidi="ar-SA"/>
      </w:rPr>
    </w:lvl>
    <w:lvl w:ilvl="8" w:tplc="EB26CD24">
      <w:numFmt w:val="bullet"/>
      <w:lvlText w:val="•"/>
      <w:lvlJc w:val="left"/>
      <w:pPr>
        <w:ind w:left="5589" w:hanging="279"/>
      </w:pPr>
      <w:rPr>
        <w:rFonts w:hint="default"/>
        <w:lang w:val="ro-RO" w:eastAsia="en-US" w:bidi="ar-SA"/>
      </w:rPr>
    </w:lvl>
  </w:abstractNum>
  <w:abstractNum w:abstractNumId="6" w15:restartNumberingAfterBreak="0">
    <w:nsid w:val="102DE87D"/>
    <w:multiLevelType w:val="hybridMultilevel"/>
    <w:tmpl w:val="00000000"/>
    <w:lvl w:ilvl="0" w:tplc="A260C456">
      <w:numFmt w:val="bullet"/>
      <w:lvlText w:val="●"/>
      <w:lvlJc w:val="left"/>
      <w:pPr>
        <w:ind w:left="2187" w:hanging="173"/>
      </w:pPr>
      <w:rPr>
        <w:rFonts w:ascii="Calibri" w:eastAsia="Calibri" w:hAnsi="Calibri" w:cs="Calibri" w:hint="default"/>
        <w:b w:val="0"/>
        <w:bCs w:val="0"/>
        <w:i w:val="0"/>
        <w:iCs w:val="0"/>
        <w:spacing w:val="0"/>
        <w:w w:val="100"/>
        <w:sz w:val="18"/>
        <w:szCs w:val="18"/>
        <w:lang w:val="ro-RO" w:eastAsia="en-US" w:bidi="ar-SA"/>
      </w:rPr>
    </w:lvl>
    <w:lvl w:ilvl="1" w:tplc="B4DAB03E">
      <w:numFmt w:val="bullet"/>
      <w:lvlText w:val="•"/>
      <w:lvlJc w:val="left"/>
      <w:pPr>
        <w:ind w:left="2839" w:hanging="173"/>
      </w:pPr>
      <w:rPr>
        <w:rFonts w:hint="default"/>
        <w:lang w:val="ro-RO" w:eastAsia="en-US" w:bidi="ar-SA"/>
      </w:rPr>
    </w:lvl>
    <w:lvl w:ilvl="2" w:tplc="D022600E">
      <w:numFmt w:val="bullet"/>
      <w:lvlText w:val="•"/>
      <w:lvlJc w:val="left"/>
      <w:pPr>
        <w:ind w:left="3498" w:hanging="173"/>
      </w:pPr>
      <w:rPr>
        <w:rFonts w:hint="default"/>
        <w:lang w:val="ro-RO" w:eastAsia="en-US" w:bidi="ar-SA"/>
      </w:rPr>
    </w:lvl>
    <w:lvl w:ilvl="3" w:tplc="749605B8">
      <w:numFmt w:val="bullet"/>
      <w:lvlText w:val="•"/>
      <w:lvlJc w:val="left"/>
      <w:pPr>
        <w:ind w:left="4157" w:hanging="173"/>
      </w:pPr>
      <w:rPr>
        <w:rFonts w:hint="default"/>
        <w:lang w:val="ro-RO" w:eastAsia="en-US" w:bidi="ar-SA"/>
      </w:rPr>
    </w:lvl>
    <w:lvl w:ilvl="4" w:tplc="D2D003E4">
      <w:numFmt w:val="bullet"/>
      <w:lvlText w:val="•"/>
      <w:lvlJc w:val="left"/>
      <w:pPr>
        <w:ind w:left="4817" w:hanging="173"/>
      </w:pPr>
      <w:rPr>
        <w:rFonts w:hint="default"/>
        <w:lang w:val="ro-RO" w:eastAsia="en-US" w:bidi="ar-SA"/>
      </w:rPr>
    </w:lvl>
    <w:lvl w:ilvl="5" w:tplc="803AD864">
      <w:numFmt w:val="bullet"/>
      <w:lvlText w:val="•"/>
      <w:lvlJc w:val="left"/>
      <w:pPr>
        <w:ind w:left="5476" w:hanging="173"/>
      </w:pPr>
      <w:rPr>
        <w:rFonts w:hint="default"/>
        <w:lang w:val="ro-RO" w:eastAsia="en-US" w:bidi="ar-SA"/>
      </w:rPr>
    </w:lvl>
    <w:lvl w:ilvl="6" w:tplc="186E9866">
      <w:numFmt w:val="bullet"/>
      <w:lvlText w:val="•"/>
      <w:lvlJc w:val="left"/>
      <w:pPr>
        <w:ind w:left="6135" w:hanging="173"/>
      </w:pPr>
      <w:rPr>
        <w:rFonts w:hint="default"/>
        <w:lang w:val="ro-RO" w:eastAsia="en-US" w:bidi="ar-SA"/>
      </w:rPr>
    </w:lvl>
    <w:lvl w:ilvl="7" w:tplc="1B668620">
      <w:numFmt w:val="bullet"/>
      <w:lvlText w:val="•"/>
      <w:lvlJc w:val="left"/>
      <w:pPr>
        <w:ind w:left="6795" w:hanging="173"/>
      </w:pPr>
      <w:rPr>
        <w:rFonts w:hint="default"/>
        <w:lang w:val="ro-RO" w:eastAsia="en-US" w:bidi="ar-SA"/>
      </w:rPr>
    </w:lvl>
    <w:lvl w:ilvl="8" w:tplc="FB1E74B6">
      <w:numFmt w:val="bullet"/>
      <w:lvlText w:val="•"/>
      <w:lvlJc w:val="left"/>
      <w:pPr>
        <w:ind w:left="7454" w:hanging="173"/>
      </w:pPr>
      <w:rPr>
        <w:rFonts w:hint="default"/>
        <w:lang w:val="ro-RO" w:eastAsia="en-US" w:bidi="ar-SA"/>
      </w:rPr>
    </w:lvl>
  </w:abstractNum>
  <w:abstractNum w:abstractNumId="7" w15:restartNumberingAfterBreak="0">
    <w:nsid w:val="106690EA"/>
    <w:multiLevelType w:val="hybridMultilevel"/>
    <w:tmpl w:val="00000000"/>
    <w:lvl w:ilvl="0" w:tplc="AF8E4C94">
      <w:numFmt w:val="bullet"/>
      <w:lvlText w:val="•"/>
      <w:lvlJc w:val="left"/>
      <w:pPr>
        <w:ind w:left="833" w:hanging="418"/>
      </w:pPr>
      <w:rPr>
        <w:rFonts w:ascii="Calibri" w:eastAsia="Calibri" w:hAnsi="Calibri" w:cs="Calibri" w:hint="default"/>
        <w:b w:val="0"/>
        <w:bCs w:val="0"/>
        <w:i w:val="0"/>
        <w:iCs w:val="0"/>
        <w:spacing w:val="0"/>
        <w:w w:val="92"/>
        <w:sz w:val="18"/>
        <w:szCs w:val="18"/>
        <w:lang w:val="ro-RO" w:eastAsia="en-US" w:bidi="ar-SA"/>
      </w:rPr>
    </w:lvl>
    <w:lvl w:ilvl="1" w:tplc="34167FA4">
      <w:numFmt w:val="bullet"/>
      <w:lvlText w:val="•"/>
      <w:lvlJc w:val="left"/>
      <w:pPr>
        <w:ind w:left="1776" w:hanging="418"/>
      </w:pPr>
      <w:rPr>
        <w:rFonts w:hint="default"/>
        <w:lang w:val="ro-RO" w:eastAsia="en-US" w:bidi="ar-SA"/>
      </w:rPr>
    </w:lvl>
    <w:lvl w:ilvl="2" w:tplc="38465ABE">
      <w:numFmt w:val="bullet"/>
      <w:lvlText w:val="•"/>
      <w:lvlJc w:val="left"/>
      <w:pPr>
        <w:ind w:left="2713" w:hanging="418"/>
      </w:pPr>
      <w:rPr>
        <w:rFonts w:hint="default"/>
        <w:lang w:val="ro-RO" w:eastAsia="en-US" w:bidi="ar-SA"/>
      </w:rPr>
    </w:lvl>
    <w:lvl w:ilvl="3" w:tplc="C8B43A8C">
      <w:numFmt w:val="bullet"/>
      <w:lvlText w:val="•"/>
      <w:lvlJc w:val="left"/>
      <w:pPr>
        <w:ind w:left="3650" w:hanging="418"/>
      </w:pPr>
      <w:rPr>
        <w:rFonts w:hint="default"/>
        <w:lang w:val="ro-RO" w:eastAsia="en-US" w:bidi="ar-SA"/>
      </w:rPr>
    </w:lvl>
    <w:lvl w:ilvl="4" w:tplc="9A4E422E">
      <w:numFmt w:val="bullet"/>
      <w:lvlText w:val="•"/>
      <w:lvlJc w:val="left"/>
      <w:pPr>
        <w:ind w:left="4586" w:hanging="418"/>
      </w:pPr>
      <w:rPr>
        <w:rFonts w:hint="default"/>
        <w:lang w:val="ro-RO" w:eastAsia="en-US" w:bidi="ar-SA"/>
      </w:rPr>
    </w:lvl>
    <w:lvl w:ilvl="5" w:tplc="3028F358">
      <w:numFmt w:val="bullet"/>
      <w:lvlText w:val="•"/>
      <w:lvlJc w:val="left"/>
      <w:pPr>
        <w:ind w:left="5523" w:hanging="418"/>
      </w:pPr>
      <w:rPr>
        <w:rFonts w:hint="default"/>
        <w:lang w:val="ro-RO" w:eastAsia="en-US" w:bidi="ar-SA"/>
      </w:rPr>
    </w:lvl>
    <w:lvl w:ilvl="6" w:tplc="154A39FA">
      <w:numFmt w:val="bullet"/>
      <w:lvlText w:val="•"/>
      <w:lvlJc w:val="left"/>
      <w:pPr>
        <w:ind w:left="6460" w:hanging="418"/>
      </w:pPr>
      <w:rPr>
        <w:rFonts w:hint="default"/>
        <w:lang w:val="ro-RO" w:eastAsia="en-US" w:bidi="ar-SA"/>
      </w:rPr>
    </w:lvl>
    <w:lvl w:ilvl="7" w:tplc="7EC6F178">
      <w:numFmt w:val="bullet"/>
      <w:lvlText w:val="•"/>
      <w:lvlJc w:val="left"/>
      <w:pPr>
        <w:ind w:left="7397" w:hanging="418"/>
      </w:pPr>
      <w:rPr>
        <w:rFonts w:hint="default"/>
        <w:lang w:val="ro-RO" w:eastAsia="en-US" w:bidi="ar-SA"/>
      </w:rPr>
    </w:lvl>
    <w:lvl w:ilvl="8" w:tplc="1D72047E">
      <w:numFmt w:val="bullet"/>
      <w:lvlText w:val="•"/>
      <w:lvlJc w:val="left"/>
      <w:pPr>
        <w:ind w:left="8333" w:hanging="418"/>
      </w:pPr>
      <w:rPr>
        <w:rFonts w:hint="default"/>
        <w:lang w:val="ro-RO" w:eastAsia="en-US" w:bidi="ar-SA"/>
      </w:rPr>
    </w:lvl>
  </w:abstractNum>
  <w:abstractNum w:abstractNumId="8" w15:restartNumberingAfterBreak="0">
    <w:nsid w:val="10FC41A1"/>
    <w:multiLevelType w:val="hybridMultilevel"/>
    <w:tmpl w:val="00000000"/>
    <w:lvl w:ilvl="0" w:tplc="E4F4E726">
      <w:numFmt w:val="bullet"/>
      <w:lvlText w:val="•"/>
      <w:lvlJc w:val="left"/>
      <w:pPr>
        <w:ind w:left="192" w:hanging="89"/>
      </w:pPr>
      <w:rPr>
        <w:rFonts w:ascii="Calibri" w:eastAsia="Calibri" w:hAnsi="Calibri" w:cs="Calibri" w:hint="default"/>
        <w:b w:val="0"/>
        <w:bCs w:val="0"/>
        <w:i w:val="0"/>
        <w:iCs w:val="0"/>
        <w:spacing w:val="0"/>
        <w:w w:val="97"/>
        <w:sz w:val="14"/>
        <w:szCs w:val="14"/>
        <w:lang w:val="ro-RO" w:eastAsia="en-US" w:bidi="ar-SA"/>
      </w:rPr>
    </w:lvl>
    <w:lvl w:ilvl="1" w:tplc="2BA83C38">
      <w:numFmt w:val="bullet"/>
      <w:lvlText w:val="•"/>
      <w:lvlJc w:val="left"/>
      <w:pPr>
        <w:ind w:left="1114" w:hanging="89"/>
      </w:pPr>
      <w:rPr>
        <w:rFonts w:hint="default"/>
        <w:lang w:val="ro-RO" w:eastAsia="en-US" w:bidi="ar-SA"/>
      </w:rPr>
    </w:lvl>
    <w:lvl w:ilvl="2" w:tplc="8CC608DC">
      <w:numFmt w:val="bullet"/>
      <w:lvlText w:val="•"/>
      <w:lvlJc w:val="left"/>
      <w:pPr>
        <w:ind w:left="2029" w:hanging="89"/>
      </w:pPr>
      <w:rPr>
        <w:rFonts w:hint="default"/>
        <w:lang w:val="ro-RO" w:eastAsia="en-US" w:bidi="ar-SA"/>
      </w:rPr>
    </w:lvl>
    <w:lvl w:ilvl="3" w:tplc="550CFF38">
      <w:numFmt w:val="bullet"/>
      <w:lvlText w:val="•"/>
      <w:lvlJc w:val="left"/>
      <w:pPr>
        <w:ind w:left="2944" w:hanging="89"/>
      </w:pPr>
      <w:rPr>
        <w:rFonts w:hint="default"/>
        <w:lang w:val="ro-RO" w:eastAsia="en-US" w:bidi="ar-SA"/>
      </w:rPr>
    </w:lvl>
    <w:lvl w:ilvl="4" w:tplc="C464E260">
      <w:numFmt w:val="bullet"/>
      <w:lvlText w:val="•"/>
      <w:lvlJc w:val="left"/>
      <w:pPr>
        <w:ind w:left="3858" w:hanging="89"/>
      </w:pPr>
      <w:rPr>
        <w:rFonts w:hint="default"/>
        <w:lang w:val="ro-RO" w:eastAsia="en-US" w:bidi="ar-SA"/>
      </w:rPr>
    </w:lvl>
    <w:lvl w:ilvl="5" w:tplc="3F9A55FE">
      <w:numFmt w:val="bullet"/>
      <w:lvlText w:val="•"/>
      <w:lvlJc w:val="left"/>
      <w:pPr>
        <w:ind w:left="4773" w:hanging="89"/>
      </w:pPr>
      <w:rPr>
        <w:rFonts w:hint="default"/>
        <w:lang w:val="ro-RO" w:eastAsia="en-US" w:bidi="ar-SA"/>
      </w:rPr>
    </w:lvl>
    <w:lvl w:ilvl="6" w:tplc="4630FA38">
      <w:numFmt w:val="bullet"/>
      <w:lvlText w:val="•"/>
      <w:lvlJc w:val="left"/>
      <w:pPr>
        <w:ind w:left="5688" w:hanging="89"/>
      </w:pPr>
      <w:rPr>
        <w:rFonts w:hint="default"/>
        <w:lang w:val="ro-RO" w:eastAsia="en-US" w:bidi="ar-SA"/>
      </w:rPr>
    </w:lvl>
    <w:lvl w:ilvl="7" w:tplc="E632BB2A">
      <w:numFmt w:val="bullet"/>
      <w:lvlText w:val="•"/>
      <w:lvlJc w:val="left"/>
      <w:pPr>
        <w:ind w:left="6602" w:hanging="89"/>
      </w:pPr>
      <w:rPr>
        <w:rFonts w:hint="default"/>
        <w:lang w:val="ro-RO" w:eastAsia="en-US" w:bidi="ar-SA"/>
      </w:rPr>
    </w:lvl>
    <w:lvl w:ilvl="8" w:tplc="B21C7A56">
      <w:numFmt w:val="bullet"/>
      <w:lvlText w:val="•"/>
      <w:lvlJc w:val="left"/>
      <w:pPr>
        <w:ind w:left="7517" w:hanging="89"/>
      </w:pPr>
      <w:rPr>
        <w:rFonts w:hint="default"/>
        <w:lang w:val="ro-RO" w:eastAsia="en-US" w:bidi="ar-SA"/>
      </w:rPr>
    </w:lvl>
  </w:abstractNum>
  <w:abstractNum w:abstractNumId="9" w15:restartNumberingAfterBreak="0">
    <w:nsid w:val="1217D45E"/>
    <w:multiLevelType w:val="hybridMultilevel"/>
    <w:tmpl w:val="00000000"/>
    <w:lvl w:ilvl="0" w:tplc="93EAEDD8">
      <w:numFmt w:val="bullet"/>
      <w:lvlText w:val="-"/>
      <w:lvlJc w:val="left"/>
      <w:pPr>
        <w:ind w:left="984" w:hanging="360"/>
      </w:pPr>
      <w:rPr>
        <w:rFonts w:ascii="Calibri" w:eastAsia="Calibri" w:hAnsi="Calibri" w:cs="Calibri" w:hint="default"/>
        <w:b w:val="0"/>
        <w:bCs w:val="0"/>
        <w:i w:val="0"/>
        <w:iCs w:val="0"/>
        <w:spacing w:val="0"/>
        <w:w w:val="148"/>
        <w:sz w:val="18"/>
        <w:szCs w:val="18"/>
        <w:lang w:val="ro-RO" w:eastAsia="en-US" w:bidi="ar-SA"/>
      </w:rPr>
    </w:lvl>
    <w:lvl w:ilvl="1" w:tplc="FC3403D6">
      <w:numFmt w:val="bullet"/>
      <w:lvlText w:val="•"/>
      <w:lvlJc w:val="left"/>
      <w:pPr>
        <w:ind w:left="1931" w:hanging="360"/>
      </w:pPr>
      <w:rPr>
        <w:rFonts w:hint="default"/>
        <w:lang w:val="ro-RO" w:eastAsia="en-US" w:bidi="ar-SA"/>
      </w:rPr>
    </w:lvl>
    <w:lvl w:ilvl="2" w:tplc="759C7872">
      <w:numFmt w:val="bullet"/>
      <w:lvlText w:val="•"/>
      <w:lvlJc w:val="left"/>
      <w:pPr>
        <w:ind w:left="2882" w:hanging="360"/>
      </w:pPr>
      <w:rPr>
        <w:rFonts w:hint="default"/>
        <w:lang w:val="ro-RO" w:eastAsia="en-US" w:bidi="ar-SA"/>
      </w:rPr>
    </w:lvl>
    <w:lvl w:ilvl="3" w:tplc="4DFAF014">
      <w:numFmt w:val="bullet"/>
      <w:lvlText w:val="•"/>
      <w:lvlJc w:val="left"/>
      <w:pPr>
        <w:ind w:left="3833" w:hanging="360"/>
      </w:pPr>
      <w:rPr>
        <w:rFonts w:hint="default"/>
        <w:lang w:val="ro-RO" w:eastAsia="en-US" w:bidi="ar-SA"/>
      </w:rPr>
    </w:lvl>
    <w:lvl w:ilvl="4" w:tplc="E65AB8C0">
      <w:numFmt w:val="bullet"/>
      <w:lvlText w:val="•"/>
      <w:lvlJc w:val="left"/>
      <w:pPr>
        <w:ind w:left="4784" w:hanging="360"/>
      </w:pPr>
      <w:rPr>
        <w:rFonts w:hint="default"/>
        <w:lang w:val="ro-RO" w:eastAsia="en-US" w:bidi="ar-SA"/>
      </w:rPr>
    </w:lvl>
    <w:lvl w:ilvl="5" w:tplc="3BFA5C42">
      <w:numFmt w:val="bullet"/>
      <w:lvlText w:val="•"/>
      <w:lvlJc w:val="left"/>
      <w:pPr>
        <w:ind w:left="5735" w:hanging="360"/>
      </w:pPr>
      <w:rPr>
        <w:rFonts w:hint="default"/>
        <w:lang w:val="ro-RO" w:eastAsia="en-US" w:bidi="ar-SA"/>
      </w:rPr>
    </w:lvl>
    <w:lvl w:ilvl="6" w:tplc="DA7451E6">
      <w:numFmt w:val="bullet"/>
      <w:lvlText w:val="•"/>
      <w:lvlJc w:val="left"/>
      <w:pPr>
        <w:ind w:left="6686" w:hanging="360"/>
      </w:pPr>
      <w:rPr>
        <w:rFonts w:hint="default"/>
        <w:lang w:val="ro-RO" w:eastAsia="en-US" w:bidi="ar-SA"/>
      </w:rPr>
    </w:lvl>
    <w:lvl w:ilvl="7" w:tplc="45C04CF6">
      <w:numFmt w:val="bullet"/>
      <w:lvlText w:val="•"/>
      <w:lvlJc w:val="left"/>
      <w:pPr>
        <w:ind w:left="7637" w:hanging="360"/>
      </w:pPr>
      <w:rPr>
        <w:rFonts w:hint="default"/>
        <w:lang w:val="ro-RO" w:eastAsia="en-US" w:bidi="ar-SA"/>
      </w:rPr>
    </w:lvl>
    <w:lvl w:ilvl="8" w:tplc="025CD4CC">
      <w:numFmt w:val="bullet"/>
      <w:lvlText w:val="•"/>
      <w:lvlJc w:val="left"/>
      <w:pPr>
        <w:ind w:left="8588" w:hanging="360"/>
      </w:pPr>
      <w:rPr>
        <w:rFonts w:hint="default"/>
        <w:lang w:val="ro-RO" w:eastAsia="en-US" w:bidi="ar-SA"/>
      </w:rPr>
    </w:lvl>
  </w:abstractNum>
  <w:abstractNum w:abstractNumId="10" w15:restartNumberingAfterBreak="0">
    <w:nsid w:val="1394AA21"/>
    <w:multiLevelType w:val="hybridMultilevel"/>
    <w:tmpl w:val="00000000"/>
    <w:lvl w:ilvl="0" w:tplc="6B36729C">
      <w:numFmt w:val="bullet"/>
      <w:lvlText w:val="•"/>
      <w:lvlJc w:val="left"/>
      <w:pPr>
        <w:ind w:left="57" w:hanging="428"/>
      </w:pPr>
      <w:rPr>
        <w:rFonts w:ascii="Calibri" w:eastAsia="Calibri" w:hAnsi="Calibri" w:cs="Calibri" w:hint="default"/>
        <w:b w:val="0"/>
        <w:bCs w:val="0"/>
        <w:i w:val="0"/>
        <w:iCs w:val="0"/>
        <w:spacing w:val="0"/>
        <w:w w:val="92"/>
        <w:sz w:val="18"/>
        <w:szCs w:val="18"/>
        <w:lang w:val="ro-RO" w:eastAsia="en-US" w:bidi="ar-SA"/>
      </w:rPr>
    </w:lvl>
    <w:lvl w:ilvl="1" w:tplc="53683F96">
      <w:numFmt w:val="bullet"/>
      <w:lvlText w:val="-"/>
      <w:lvlJc w:val="left"/>
      <w:pPr>
        <w:ind w:left="984" w:hanging="360"/>
      </w:pPr>
      <w:rPr>
        <w:rFonts w:ascii="Calibri" w:eastAsia="Calibri" w:hAnsi="Calibri" w:cs="Calibri" w:hint="default"/>
        <w:b w:val="0"/>
        <w:bCs w:val="0"/>
        <w:i w:val="0"/>
        <w:iCs w:val="0"/>
        <w:spacing w:val="0"/>
        <w:w w:val="148"/>
        <w:sz w:val="18"/>
        <w:szCs w:val="18"/>
        <w:lang w:val="ro-RO" w:eastAsia="en-US" w:bidi="ar-SA"/>
      </w:rPr>
    </w:lvl>
    <w:lvl w:ilvl="2" w:tplc="C636A748">
      <w:numFmt w:val="bullet"/>
      <w:lvlText w:val="•"/>
      <w:lvlJc w:val="left"/>
      <w:pPr>
        <w:ind w:left="2036" w:hanging="360"/>
      </w:pPr>
      <w:rPr>
        <w:rFonts w:hint="default"/>
        <w:lang w:val="ro-RO" w:eastAsia="en-US" w:bidi="ar-SA"/>
      </w:rPr>
    </w:lvl>
    <w:lvl w:ilvl="3" w:tplc="EC0ACA1C">
      <w:numFmt w:val="bullet"/>
      <w:lvlText w:val="•"/>
      <w:lvlJc w:val="left"/>
      <w:pPr>
        <w:ind w:left="3093" w:hanging="360"/>
      </w:pPr>
      <w:rPr>
        <w:rFonts w:hint="default"/>
        <w:lang w:val="ro-RO" w:eastAsia="en-US" w:bidi="ar-SA"/>
      </w:rPr>
    </w:lvl>
    <w:lvl w:ilvl="4" w:tplc="0764BFAC">
      <w:numFmt w:val="bullet"/>
      <w:lvlText w:val="•"/>
      <w:lvlJc w:val="left"/>
      <w:pPr>
        <w:ind w:left="4150" w:hanging="360"/>
      </w:pPr>
      <w:rPr>
        <w:rFonts w:hint="default"/>
        <w:lang w:val="ro-RO" w:eastAsia="en-US" w:bidi="ar-SA"/>
      </w:rPr>
    </w:lvl>
    <w:lvl w:ilvl="5" w:tplc="A0DEF3A0">
      <w:numFmt w:val="bullet"/>
      <w:lvlText w:val="•"/>
      <w:lvlJc w:val="left"/>
      <w:pPr>
        <w:ind w:left="5206" w:hanging="360"/>
      </w:pPr>
      <w:rPr>
        <w:rFonts w:hint="default"/>
        <w:lang w:val="ro-RO" w:eastAsia="en-US" w:bidi="ar-SA"/>
      </w:rPr>
    </w:lvl>
    <w:lvl w:ilvl="6" w:tplc="F9609EC2">
      <w:numFmt w:val="bullet"/>
      <w:lvlText w:val="•"/>
      <w:lvlJc w:val="left"/>
      <w:pPr>
        <w:ind w:left="6263" w:hanging="360"/>
      </w:pPr>
      <w:rPr>
        <w:rFonts w:hint="default"/>
        <w:lang w:val="ro-RO" w:eastAsia="en-US" w:bidi="ar-SA"/>
      </w:rPr>
    </w:lvl>
    <w:lvl w:ilvl="7" w:tplc="0E7E3280">
      <w:numFmt w:val="bullet"/>
      <w:lvlText w:val="•"/>
      <w:lvlJc w:val="left"/>
      <w:pPr>
        <w:ind w:left="7320" w:hanging="360"/>
      </w:pPr>
      <w:rPr>
        <w:rFonts w:hint="default"/>
        <w:lang w:val="ro-RO" w:eastAsia="en-US" w:bidi="ar-SA"/>
      </w:rPr>
    </w:lvl>
    <w:lvl w:ilvl="8" w:tplc="C56433E6">
      <w:numFmt w:val="bullet"/>
      <w:lvlText w:val="•"/>
      <w:lvlJc w:val="left"/>
      <w:pPr>
        <w:ind w:left="8376" w:hanging="360"/>
      </w:pPr>
      <w:rPr>
        <w:rFonts w:hint="default"/>
        <w:lang w:val="ro-RO" w:eastAsia="en-US" w:bidi="ar-SA"/>
      </w:rPr>
    </w:lvl>
  </w:abstractNum>
  <w:abstractNum w:abstractNumId="11" w15:restartNumberingAfterBreak="0">
    <w:nsid w:val="13D02CD7"/>
    <w:multiLevelType w:val="multilevel"/>
    <w:tmpl w:val="00000000"/>
    <w:lvl w:ilvl="0">
      <w:start w:val="7"/>
      <w:numFmt w:val="upperRoman"/>
      <w:lvlText w:val="%1"/>
      <w:lvlJc w:val="left"/>
      <w:pPr>
        <w:ind w:left="1277" w:hanging="1080"/>
      </w:pPr>
      <w:rPr>
        <w:rFonts w:hint="default"/>
        <w:lang w:val="ro-RO" w:eastAsia="en-US" w:bidi="ar-SA"/>
      </w:rPr>
    </w:lvl>
    <w:lvl w:ilvl="1">
      <w:start w:val="10"/>
      <w:numFmt w:val="decimal"/>
      <w:lvlText w:val="%1.%2"/>
      <w:lvlJc w:val="left"/>
      <w:pPr>
        <w:ind w:left="1277" w:hanging="1080"/>
      </w:pPr>
      <w:rPr>
        <w:rFonts w:hint="default"/>
        <w:lang w:val="ro-RO" w:eastAsia="en-US" w:bidi="ar-SA"/>
      </w:rPr>
    </w:lvl>
    <w:lvl w:ilvl="2">
      <w:start w:val="1"/>
      <w:numFmt w:val="decimal"/>
      <w:lvlText w:val="%1.%2.%3."/>
      <w:lvlJc w:val="left"/>
      <w:pPr>
        <w:ind w:left="1277" w:hanging="1080"/>
        <w:jc w:val="right"/>
      </w:pPr>
      <w:rPr>
        <w:rFonts w:ascii="Calibri" w:eastAsia="Calibri" w:hAnsi="Calibri" w:cs="Calibri" w:hint="default"/>
        <w:b/>
        <w:bCs/>
        <w:i w:val="0"/>
        <w:iCs w:val="0"/>
        <w:color w:val="00AFEF"/>
        <w:spacing w:val="-1"/>
        <w:w w:val="128"/>
        <w:sz w:val="20"/>
        <w:szCs w:val="20"/>
        <w:lang w:val="ro-RO" w:eastAsia="en-US" w:bidi="ar-SA"/>
      </w:rPr>
    </w:lvl>
    <w:lvl w:ilvl="3">
      <w:start w:val="1"/>
      <w:numFmt w:val="decimal"/>
      <w:lvlText w:val="%1.%2.%3.%4."/>
      <w:lvlJc w:val="left"/>
      <w:pPr>
        <w:ind w:left="1493" w:hanging="1296"/>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3676" w:hanging="1296"/>
      </w:pPr>
      <w:rPr>
        <w:rFonts w:hint="default"/>
        <w:lang w:val="ro-RO" w:eastAsia="en-US" w:bidi="ar-SA"/>
      </w:rPr>
    </w:lvl>
    <w:lvl w:ilvl="5">
      <w:numFmt w:val="bullet"/>
      <w:lvlText w:val="•"/>
      <w:lvlJc w:val="left"/>
      <w:pPr>
        <w:ind w:left="4765" w:hanging="1296"/>
      </w:pPr>
      <w:rPr>
        <w:rFonts w:hint="default"/>
        <w:lang w:val="ro-RO" w:eastAsia="en-US" w:bidi="ar-SA"/>
      </w:rPr>
    </w:lvl>
    <w:lvl w:ilvl="6">
      <w:numFmt w:val="bullet"/>
      <w:lvlText w:val="•"/>
      <w:lvlJc w:val="left"/>
      <w:pPr>
        <w:ind w:left="5853" w:hanging="1296"/>
      </w:pPr>
      <w:rPr>
        <w:rFonts w:hint="default"/>
        <w:lang w:val="ro-RO" w:eastAsia="en-US" w:bidi="ar-SA"/>
      </w:rPr>
    </w:lvl>
    <w:lvl w:ilvl="7">
      <w:numFmt w:val="bullet"/>
      <w:lvlText w:val="•"/>
      <w:lvlJc w:val="left"/>
      <w:pPr>
        <w:ind w:left="6942" w:hanging="1296"/>
      </w:pPr>
      <w:rPr>
        <w:rFonts w:hint="default"/>
        <w:lang w:val="ro-RO" w:eastAsia="en-US" w:bidi="ar-SA"/>
      </w:rPr>
    </w:lvl>
    <w:lvl w:ilvl="8">
      <w:numFmt w:val="bullet"/>
      <w:lvlText w:val="•"/>
      <w:lvlJc w:val="left"/>
      <w:pPr>
        <w:ind w:left="8030" w:hanging="1296"/>
      </w:pPr>
      <w:rPr>
        <w:rFonts w:hint="default"/>
        <w:lang w:val="ro-RO" w:eastAsia="en-US" w:bidi="ar-SA"/>
      </w:rPr>
    </w:lvl>
  </w:abstractNum>
  <w:abstractNum w:abstractNumId="12" w15:restartNumberingAfterBreak="0">
    <w:nsid w:val="14E213C2"/>
    <w:multiLevelType w:val="hybridMultilevel"/>
    <w:tmpl w:val="00000000"/>
    <w:lvl w:ilvl="0" w:tplc="30F20696">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0150B5E6">
      <w:numFmt w:val="bullet"/>
      <w:lvlText w:val="•"/>
      <w:lvlJc w:val="left"/>
      <w:pPr>
        <w:ind w:left="1622" w:hanging="360"/>
      </w:pPr>
      <w:rPr>
        <w:rFonts w:hint="default"/>
        <w:lang w:val="ro-RO" w:eastAsia="en-US" w:bidi="ar-SA"/>
      </w:rPr>
    </w:lvl>
    <w:lvl w:ilvl="2" w:tplc="CA000886">
      <w:numFmt w:val="bullet"/>
      <w:lvlText w:val="•"/>
      <w:lvlJc w:val="left"/>
      <w:pPr>
        <w:ind w:left="2544" w:hanging="360"/>
      </w:pPr>
      <w:rPr>
        <w:rFonts w:hint="default"/>
        <w:lang w:val="ro-RO" w:eastAsia="en-US" w:bidi="ar-SA"/>
      </w:rPr>
    </w:lvl>
    <w:lvl w:ilvl="3" w:tplc="646CE36A">
      <w:numFmt w:val="bullet"/>
      <w:lvlText w:val="•"/>
      <w:lvlJc w:val="left"/>
      <w:pPr>
        <w:ind w:left="3467" w:hanging="360"/>
      </w:pPr>
      <w:rPr>
        <w:rFonts w:hint="default"/>
        <w:lang w:val="ro-RO" w:eastAsia="en-US" w:bidi="ar-SA"/>
      </w:rPr>
    </w:lvl>
    <w:lvl w:ilvl="4" w:tplc="D7DE1472">
      <w:numFmt w:val="bullet"/>
      <w:lvlText w:val="•"/>
      <w:lvlJc w:val="left"/>
      <w:pPr>
        <w:ind w:left="4389" w:hanging="360"/>
      </w:pPr>
      <w:rPr>
        <w:rFonts w:hint="default"/>
        <w:lang w:val="ro-RO" w:eastAsia="en-US" w:bidi="ar-SA"/>
      </w:rPr>
    </w:lvl>
    <w:lvl w:ilvl="5" w:tplc="DEB4649E">
      <w:numFmt w:val="bullet"/>
      <w:lvlText w:val="•"/>
      <w:lvlJc w:val="left"/>
      <w:pPr>
        <w:ind w:left="5311" w:hanging="360"/>
      </w:pPr>
      <w:rPr>
        <w:rFonts w:hint="default"/>
        <w:lang w:val="ro-RO" w:eastAsia="en-US" w:bidi="ar-SA"/>
      </w:rPr>
    </w:lvl>
    <w:lvl w:ilvl="6" w:tplc="6D8E5328">
      <w:numFmt w:val="bullet"/>
      <w:lvlText w:val="•"/>
      <w:lvlJc w:val="left"/>
      <w:pPr>
        <w:ind w:left="6234" w:hanging="360"/>
      </w:pPr>
      <w:rPr>
        <w:rFonts w:hint="default"/>
        <w:lang w:val="ro-RO" w:eastAsia="en-US" w:bidi="ar-SA"/>
      </w:rPr>
    </w:lvl>
    <w:lvl w:ilvl="7" w:tplc="88F6EFA4">
      <w:numFmt w:val="bullet"/>
      <w:lvlText w:val="•"/>
      <w:lvlJc w:val="left"/>
      <w:pPr>
        <w:ind w:left="7156" w:hanging="360"/>
      </w:pPr>
      <w:rPr>
        <w:rFonts w:hint="default"/>
        <w:lang w:val="ro-RO" w:eastAsia="en-US" w:bidi="ar-SA"/>
      </w:rPr>
    </w:lvl>
    <w:lvl w:ilvl="8" w:tplc="EB48B8F4">
      <w:numFmt w:val="bullet"/>
      <w:lvlText w:val="•"/>
      <w:lvlJc w:val="left"/>
      <w:pPr>
        <w:ind w:left="8078" w:hanging="360"/>
      </w:pPr>
      <w:rPr>
        <w:rFonts w:hint="default"/>
        <w:lang w:val="ro-RO" w:eastAsia="en-US" w:bidi="ar-SA"/>
      </w:rPr>
    </w:lvl>
  </w:abstractNum>
  <w:abstractNum w:abstractNumId="13" w15:restartNumberingAfterBreak="0">
    <w:nsid w:val="179BEF1F"/>
    <w:multiLevelType w:val="multilevel"/>
    <w:tmpl w:val="00000000"/>
    <w:lvl w:ilvl="0">
      <w:start w:val="1"/>
      <w:numFmt w:val="upperRoman"/>
      <w:lvlText w:val="%1."/>
      <w:lvlJc w:val="left"/>
      <w:pPr>
        <w:ind w:left="1485" w:hanging="581"/>
        <w:jc w:val="right"/>
      </w:pPr>
      <w:rPr>
        <w:rFonts w:ascii="Calibri" w:eastAsia="Calibri" w:hAnsi="Calibri" w:cs="Calibri" w:hint="default"/>
        <w:b/>
        <w:bCs/>
        <w:i w:val="0"/>
        <w:iCs w:val="0"/>
        <w:color w:val="00AFEF"/>
        <w:spacing w:val="0"/>
        <w:w w:val="169"/>
        <w:sz w:val="24"/>
        <w:szCs w:val="24"/>
        <w:lang w:val="ro-RO" w:eastAsia="en-US" w:bidi="ar-SA"/>
      </w:rPr>
    </w:lvl>
    <w:lvl w:ilvl="1">
      <w:start w:val="1"/>
      <w:numFmt w:val="decimal"/>
      <w:lvlText w:val="%1.%2."/>
      <w:lvlJc w:val="left"/>
      <w:pPr>
        <w:ind w:left="835" w:hanging="721"/>
        <w:jc w:val="right"/>
      </w:pPr>
      <w:rPr>
        <w:rFonts w:hint="default"/>
        <w:spacing w:val="-2"/>
        <w:w w:val="135"/>
        <w:lang w:val="ro-RO" w:eastAsia="en-US" w:bidi="ar-SA"/>
      </w:rPr>
    </w:lvl>
    <w:lvl w:ilvl="2">
      <w:start w:val="1"/>
      <w:numFmt w:val="decimal"/>
      <w:lvlText w:val="%1.%2.%3."/>
      <w:lvlJc w:val="left"/>
      <w:pPr>
        <w:ind w:left="2750" w:hanging="721"/>
      </w:pPr>
      <w:rPr>
        <w:rFonts w:ascii="Acumin Pro Wide Black" w:eastAsia="Acumin Pro Wide Black" w:hAnsi="Acumin Pro Wide Black" w:cs="Acumin Pro Wide Black" w:hint="default"/>
        <w:b/>
        <w:bCs/>
        <w:i/>
        <w:iCs/>
        <w:color w:val="00AFEF"/>
        <w:spacing w:val="-1"/>
        <w:w w:val="114"/>
        <w:sz w:val="20"/>
        <w:szCs w:val="20"/>
        <w:lang w:val="ro-RO" w:eastAsia="en-US" w:bidi="ar-SA"/>
      </w:rPr>
    </w:lvl>
    <w:lvl w:ilvl="3">
      <w:numFmt w:val="bullet"/>
      <w:lvlText w:val="•"/>
      <w:lvlJc w:val="left"/>
      <w:pPr>
        <w:ind w:left="1480" w:hanging="721"/>
      </w:pPr>
      <w:rPr>
        <w:rFonts w:hint="default"/>
        <w:lang w:val="ro-RO" w:eastAsia="en-US" w:bidi="ar-SA"/>
      </w:rPr>
    </w:lvl>
    <w:lvl w:ilvl="4">
      <w:numFmt w:val="bullet"/>
      <w:lvlText w:val="•"/>
      <w:lvlJc w:val="left"/>
      <w:pPr>
        <w:ind w:left="1500" w:hanging="721"/>
      </w:pPr>
      <w:rPr>
        <w:rFonts w:hint="default"/>
        <w:lang w:val="ro-RO" w:eastAsia="en-US" w:bidi="ar-SA"/>
      </w:rPr>
    </w:lvl>
    <w:lvl w:ilvl="5">
      <w:numFmt w:val="bullet"/>
      <w:lvlText w:val="•"/>
      <w:lvlJc w:val="left"/>
      <w:pPr>
        <w:ind w:left="1540" w:hanging="721"/>
      </w:pPr>
      <w:rPr>
        <w:rFonts w:hint="default"/>
        <w:lang w:val="ro-RO" w:eastAsia="en-US" w:bidi="ar-SA"/>
      </w:rPr>
    </w:lvl>
    <w:lvl w:ilvl="6">
      <w:numFmt w:val="bullet"/>
      <w:lvlText w:val="•"/>
      <w:lvlJc w:val="left"/>
      <w:pPr>
        <w:ind w:left="1780" w:hanging="721"/>
      </w:pPr>
      <w:rPr>
        <w:rFonts w:hint="default"/>
        <w:lang w:val="ro-RO" w:eastAsia="en-US" w:bidi="ar-SA"/>
      </w:rPr>
    </w:lvl>
    <w:lvl w:ilvl="7">
      <w:numFmt w:val="bullet"/>
      <w:lvlText w:val="•"/>
      <w:lvlJc w:val="left"/>
      <w:pPr>
        <w:ind w:left="1920" w:hanging="721"/>
      </w:pPr>
      <w:rPr>
        <w:rFonts w:hint="default"/>
        <w:lang w:val="ro-RO" w:eastAsia="en-US" w:bidi="ar-SA"/>
      </w:rPr>
    </w:lvl>
    <w:lvl w:ilvl="8">
      <w:numFmt w:val="bullet"/>
      <w:lvlText w:val="•"/>
      <w:lvlJc w:val="left"/>
      <w:pPr>
        <w:ind w:left="2040" w:hanging="721"/>
      </w:pPr>
      <w:rPr>
        <w:rFonts w:hint="default"/>
        <w:lang w:val="ro-RO" w:eastAsia="en-US" w:bidi="ar-SA"/>
      </w:rPr>
    </w:lvl>
  </w:abstractNum>
  <w:abstractNum w:abstractNumId="14" w15:restartNumberingAfterBreak="0">
    <w:nsid w:val="1823EBEE"/>
    <w:multiLevelType w:val="multilevel"/>
    <w:tmpl w:val="00000000"/>
    <w:lvl w:ilvl="0">
      <w:start w:val="10"/>
      <w:numFmt w:val="upperRoman"/>
      <w:lvlText w:val="%1"/>
      <w:lvlJc w:val="left"/>
      <w:pPr>
        <w:ind w:left="1953" w:hanging="720"/>
      </w:pPr>
      <w:rPr>
        <w:rFonts w:hint="default"/>
        <w:lang w:val="ro-RO" w:eastAsia="en-US" w:bidi="ar-SA"/>
      </w:rPr>
    </w:lvl>
    <w:lvl w:ilvl="1">
      <w:start w:val="3"/>
      <w:numFmt w:val="decimal"/>
      <w:lvlText w:val="%1.%2"/>
      <w:lvlJc w:val="left"/>
      <w:pPr>
        <w:ind w:left="1953" w:hanging="720"/>
      </w:pPr>
      <w:rPr>
        <w:rFonts w:hint="default"/>
        <w:lang w:val="ro-RO" w:eastAsia="en-US" w:bidi="ar-SA"/>
      </w:rPr>
    </w:lvl>
    <w:lvl w:ilvl="2">
      <w:start w:val="1"/>
      <w:numFmt w:val="decimal"/>
      <w:lvlText w:val="%1.%2.%3."/>
      <w:lvlJc w:val="left"/>
      <w:pPr>
        <w:ind w:left="1953" w:hanging="720"/>
      </w:pPr>
      <w:rPr>
        <w:rFonts w:ascii="Acumin Pro Wide Black" w:eastAsia="Acumin Pro Wide Black" w:hAnsi="Acumin Pro Wide Black" w:cs="Acumin Pro Wide Black" w:hint="default"/>
        <w:b/>
        <w:bCs/>
        <w:i/>
        <w:iCs/>
        <w:spacing w:val="-1"/>
        <w:w w:val="107"/>
        <w:sz w:val="18"/>
        <w:szCs w:val="18"/>
        <w:lang w:val="ro-RO" w:eastAsia="en-US" w:bidi="ar-SA"/>
      </w:rPr>
    </w:lvl>
    <w:lvl w:ilvl="3">
      <w:numFmt w:val="bullet"/>
      <w:lvlText w:val="•"/>
      <w:lvlJc w:val="left"/>
      <w:pPr>
        <w:ind w:left="4774" w:hanging="720"/>
      </w:pPr>
      <w:rPr>
        <w:rFonts w:hint="default"/>
        <w:lang w:val="ro-RO" w:eastAsia="en-US" w:bidi="ar-SA"/>
      </w:rPr>
    </w:lvl>
    <w:lvl w:ilvl="4">
      <w:numFmt w:val="bullet"/>
      <w:lvlText w:val="•"/>
      <w:lvlJc w:val="left"/>
      <w:pPr>
        <w:ind w:left="5712" w:hanging="720"/>
      </w:pPr>
      <w:rPr>
        <w:rFonts w:hint="default"/>
        <w:lang w:val="ro-RO" w:eastAsia="en-US" w:bidi="ar-SA"/>
      </w:rPr>
    </w:lvl>
    <w:lvl w:ilvl="5">
      <w:numFmt w:val="bullet"/>
      <w:lvlText w:val="•"/>
      <w:lvlJc w:val="left"/>
      <w:pPr>
        <w:ind w:left="6650" w:hanging="720"/>
      </w:pPr>
      <w:rPr>
        <w:rFonts w:hint="default"/>
        <w:lang w:val="ro-RO" w:eastAsia="en-US" w:bidi="ar-SA"/>
      </w:rPr>
    </w:lvl>
    <w:lvl w:ilvl="6">
      <w:numFmt w:val="bullet"/>
      <w:lvlText w:val="•"/>
      <w:lvlJc w:val="left"/>
      <w:pPr>
        <w:ind w:left="7588" w:hanging="720"/>
      </w:pPr>
      <w:rPr>
        <w:rFonts w:hint="default"/>
        <w:lang w:val="ro-RO" w:eastAsia="en-US" w:bidi="ar-SA"/>
      </w:rPr>
    </w:lvl>
    <w:lvl w:ilvl="7">
      <w:numFmt w:val="bullet"/>
      <w:lvlText w:val="•"/>
      <w:lvlJc w:val="left"/>
      <w:pPr>
        <w:ind w:left="8526" w:hanging="720"/>
      </w:pPr>
      <w:rPr>
        <w:rFonts w:hint="default"/>
        <w:lang w:val="ro-RO" w:eastAsia="en-US" w:bidi="ar-SA"/>
      </w:rPr>
    </w:lvl>
    <w:lvl w:ilvl="8">
      <w:numFmt w:val="bullet"/>
      <w:lvlText w:val="•"/>
      <w:lvlJc w:val="left"/>
      <w:pPr>
        <w:ind w:left="9464" w:hanging="720"/>
      </w:pPr>
      <w:rPr>
        <w:rFonts w:hint="default"/>
        <w:lang w:val="ro-RO" w:eastAsia="en-US" w:bidi="ar-SA"/>
      </w:rPr>
    </w:lvl>
  </w:abstractNum>
  <w:abstractNum w:abstractNumId="15" w15:restartNumberingAfterBreak="0">
    <w:nsid w:val="19F16385"/>
    <w:multiLevelType w:val="hybridMultilevel"/>
    <w:tmpl w:val="829AAE5C"/>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6" w15:restartNumberingAfterBreak="0">
    <w:nsid w:val="1B694A30"/>
    <w:multiLevelType w:val="hybridMultilevel"/>
    <w:tmpl w:val="00000000"/>
    <w:lvl w:ilvl="0" w:tplc="F6F80F78">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AA761686">
      <w:numFmt w:val="bullet"/>
      <w:lvlText w:val="•"/>
      <w:lvlJc w:val="left"/>
      <w:pPr>
        <w:ind w:left="1643" w:hanging="360"/>
      </w:pPr>
      <w:rPr>
        <w:rFonts w:hint="default"/>
        <w:lang w:val="ro-RO" w:eastAsia="en-US" w:bidi="ar-SA"/>
      </w:rPr>
    </w:lvl>
    <w:lvl w:ilvl="2" w:tplc="613CCD00">
      <w:numFmt w:val="bullet"/>
      <w:lvlText w:val="•"/>
      <w:lvlJc w:val="left"/>
      <w:pPr>
        <w:ind w:left="2467" w:hanging="360"/>
      </w:pPr>
      <w:rPr>
        <w:rFonts w:hint="default"/>
        <w:lang w:val="ro-RO" w:eastAsia="en-US" w:bidi="ar-SA"/>
      </w:rPr>
    </w:lvl>
    <w:lvl w:ilvl="3" w:tplc="F61AF6BA">
      <w:numFmt w:val="bullet"/>
      <w:lvlText w:val="•"/>
      <w:lvlJc w:val="left"/>
      <w:pPr>
        <w:ind w:left="3291" w:hanging="360"/>
      </w:pPr>
      <w:rPr>
        <w:rFonts w:hint="default"/>
        <w:lang w:val="ro-RO" w:eastAsia="en-US" w:bidi="ar-SA"/>
      </w:rPr>
    </w:lvl>
    <w:lvl w:ilvl="4" w:tplc="E3027568">
      <w:numFmt w:val="bullet"/>
      <w:lvlText w:val="•"/>
      <w:lvlJc w:val="left"/>
      <w:pPr>
        <w:ind w:left="4115" w:hanging="360"/>
      </w:pPr>
      <w:rPr>
        <w:rFonts w:hint="default"/>
        <w:lang w:val="ro-RO" w:eastAsia="en-US" w:bidi="ar-SA"/>
      </w:rPr>
    </w:lvl>
    <w:lvl w:ilvl="5" w:tplc="80943C92">
      <w:numFmt w:val="bullet"/>
      <w:lvlText w:val="•"/>
      <w:lvlJc w:val="left"/>
      <w:pPr>
        <w:ind w:left="4939" w:hanging="360"/>
      </w:pPr>
      <w:rPr>
        <w:rFonts w:hint="default"/>
        <w:lang w:val="ro-RO" w:eastAsia="en-US" w:bidi="ar-SA"/>
      </w:rPr>
    </w:lvl>
    <w:lvl w:ilvl="6" w:tplc="1954338C">
      <w:numFmt w:val="bullet"/>
      <w:lvlText w:val="•"/>
      <w:lvlJc w:val="left"/>
      <w:pPr>
        <w:ind w:left="5763" w:hanging="360"/>
      </w:pPr>
      <w:rPr>
        <w:rFonts w:hint="default"/>
        <w:lang w:val="ro-RO" w:eastAsia="en-US" w:bidi="ar-SA"/>
      </w:rPr>
    </w:lvl>
    <w:lvl w:ilvl="7" w:tplc="05EC9C28">
      <w:numFmt w:val="bullet"/>
      <w:lvlText w:val="•"/>
      <w:lvlJc w:val="left"/>
      <w:pPr>
        <w:ind w:left="6587" w:hanging="360"/>
      </w:pPr>
      <w:rPr>
        <w:rFonts w:hint="default"/>
        <w:lang w:val="ro-RO" w:eastAsia="en-US" w:bidi="ar-SA"/>
      </w:rPr>
    </w:lvl>
    <w:lvl w:ilvl="8" w:tplc="39B42E3E">
      <w:numFmt w:val="bullet"/>
      <w:lvlText w:val="•"/>
      <w:lvlJc w:val="left"/>
      <w:pPr>
        <w:ind w:left="7411" w:hanging="360"/>
      </w:pPr>
      <w:rPr>
        <w:rFonts w:hint="default"/>
        <w:lang w:val="ro-RO" w:eastAsia="en-US" w:bidi="ar-SA"/>
      </w:rPr>
    </w:lvl>
  </w:abstractNum>
  <w:abstractNum w:abstractNumId="17" w15:restartNumberingAfterBreak="0">
    <w:nsid w:val="1BBE0B25"/>
    <w:multiLevelType w:val="hybridMultilevel"/>
    <w:tmpl w:val="68A05336"/>
    <w:lvl w:ilvl="0" w:tplc="04090001">
      <w:start w:val="1"/>
      <w:numFmt w:val="bullet"/>
      <w:lvlText w:val=""/>
      <w:lvlJc w:val="left"/>
      <w:pPr>
        <w:ind w:left="1513" w:hanging="360"/>
      </w:pPr>
      <w:rPr>
        <w:rFonts w:ascii="Symbol" w:hAnsi="Symbol" w:hint="default"/>
      </w:rPr>
    </w:lvl>
    <w:lvl w:ilvl="1" w:tplc="04090003" w:tentative="1">
      <w:start w:val="1"/>
      <w:numFmt w:val="bullet"/>
      <w:lvlText w:val="o"/>
      <w:lvlJc w:val="left"/>
      <w:pPr>
        <w:ind w:left="2233" w:hanging="360"/>
      </w:pPr>
      <w:rPr>
        <w:rFonts w:ascii="Courier New" w:hAnsi="Courier New" w:cs="Courier New" w:hint="default"/>
      </w:rPr>
    </w:lvl>
    <w:lvl w:ilvl="2" w:tplc="04090005" w:tentative="1">
      <w:start w:val="1"/>
      <w:numFmt w:val="bullet"/>
      <w:lvlText w:val=""/>
      <w:lvlJc w:val="left"/>
      <w:pPr>
        <w:ind w:left="2953" w:hanging="360"/>
      </w:pPr>
      <w:rPr>
        <w:rFonts w:ascii="Wingdings" w:hAnsi="Wingdings" w:hint="default"/>
      </w:rPr>
    </w:lvl>
    <w:lvl w:ilvl="3" w:tplc="04090001" w:tentative="1">
      <w:start w:val="1"/>
      <w:numFmt w:val="bullet"/>
      <w:lvlText w:val=""/>
      <w:lvlJc w:val="left"/>
      <w:pPr>
        <w:ind w:left="3673" w:hanging="360"/>
      </w:pPr>
      <w:rPr>
        <w:rFonts w:ascii="Symbol" w:hAnsi="Symbol" w:hint="default"/>
      </w:rPr>
    </w:lvl>
    <w:lvl w:ilvl="4" w:tplc="04090003" w:tentative="1">
      <w:start w:val="1"/>
      <w:numFmt w:val="bullet"/>
      <w:lvlText w:val="o"/>
      <w:lvlJc w:val="left"/>
      <w:pPr>
        <w:ind w:left="4393" w:hanging="360"/>
      </w:pPr>
      <w:rPr>
        <w:rFonts w:ascii="Courier New" w:hAnsi="Courier New" w:cs="Courier New" w:hint="default"/>
      </w:rPr>
    </w:lvl>
    <w:lvl w:ilvl="5" w:tplc="04090005" w:tentative="1">
      <w:start w:val="1"/>
      <w:numFmt w:val="bullet"/>
      <w:lvlText w:val=""/>
      <w:lvlJc w:val="left"/>
      <w:pPr>
        <w:ind w:left="5113" w:hanging="360"/>
      </w:pPr>
      <w:rPr>
        <w:rFonts w:ascii="Wingdings" w:hAnsi="Wingdings" w:hint="default"/>
      </w:rPr>
    </w:lvl>
    <w:lvl w:ilvl="6" w:tplc="04090001" w:tentative="1">
      <w:start w:val="1"/>
      <w:numFmt w:val="bullet"/>
      <w:lvlText w:val=""/>
      <w:lvlJc w:val="left"/>
      <w:pPr>
        <w:ind w:left="5833" w:hanging="360"/>
      </w:pPr>
      <w:rPr>
        <w:rFonts w:ascii="Symbol" w:hAnsi="Symbol" w:hint="default"/>
      </w:rPr>
    </w:lvl>
    <w:lvl w:ilvl="7" w:tplc="04090003" w:tentative="1">
      <w:start w:val="1"/>
      <w:numFmt w:val="bullet"/>
      <w:lvlText w:val="o"/>
      <w:lvlJc w:val="left"/>
      <w:pPr>
        <w:ind w:left="6553" w:hanging="360"/>
      </w:pPr>
      <w:rPr>
        <w:rFonts w:ascii="Courier New" w:hAnsi="Courier New" w:cs="Courier New" w:hint="default"/>
      </w:rPr>
    </w:lvl>
    <w:lvl w:ilvl="8" w:tplc="04090005" w:tentative="1">
      <w:start w:val="1"/>
      <w:numFmt w:val="bullet"/>
      <w:lvlText w:val=""/>
      <w:lvlJc w:val="left"/>
      <w:pPr>
        <w:ind w:left="7273" w:hanging="360"/>
      </w:pPr>
      <w:rPr>
        <w:rFonts w:ascii="Wingdings" w:hAnsi="Wingdings" w:hint="default"/>
      </w:rPr>
    </w:lvl>
  </w:abstractNum>
  <w:abstractNum w:abstractNumId="18" w15:restartNumberingAfterBreak="0">
    <w:nsid w:val="1BC45898"/>
    <w:multiLevelType w:val="hybridMultilevel"/>
    <w:tmpl w:val="326E0FA2"/>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9" w15:restartNumberingAfterBreak="0">
    <w:nsid w:val="1BC8F36D"/>
    <w:multiLevelType w:val="hybridMultilevel"/>
    <w:tmpl w:val="00000000"/>
    <w:lvl w:ilvl="0" w:tplc="52201A96">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3E74479E">
      <w:numFmt w:val="bullet"/>
      <w:lvlText w:val="•"/>
      <w:lvlJc w:val="left"/>
      <w:pPr>
        <w:ind w:left="2981" w:hanging="173"/>
      </w:pPr>
      <w:rPr>
        <w:rFonts w:hint="default"/>
        <w:lang w:val="ro-RO" w:eastAsia="en-US" w:bidi="ar-SA"/>
      </w:rPr>
    </w:lvl>
    <w:lvl w:ilvl="2" w:tplc="07521D94">
      <w:numFmt w:val="bullet"/>
      <w:lvlText w:val="•"/>
      <w:lvlJc w:val="left"/>
      <w:pPr>
        <w:ind w:left="3683" w:hanging="173"/>
      </w:pPr>
      <w:rPr>
        <w:rFonts w:hint="default"/>
        <w:lang w:val="ro-RO" w:eastAsia="en-US" w:bidi="ar-SA"/>
      </w:rPr>
    </w:lvl>
    <w:lvl w:ilvl="3" w:tplc="11704F08">
      <w:numFmt w:val="bullet"/>
      <w:lvlText w:val="•"/>
      <w:lvlJc w:val="left"/>
      <w:pPr>
        <w:ind w:left="4385" w:hanging="173"/>
      </w:pPr>
      <w:rPr>
        <w:rFonts w:hint="default"/>
        <w:lang w:val="ro-RO" w:eastAsia="en-US" w:bidi="ar-SA"/>
      </w:rPr>
    </w:lvl>
    <w:lvl w:ilvl="4" w:tplc="33DC0A48">
      <w:numFmt w:val="bullet"/>
      <w:lvlText w:val="•"/>
      <w:lvlJc w:val="left"/>
      <w:pPr>
        <w:ind w:left="5087" w:hanging="173"/>
      </w:pPr>
      <w:rPr>
        <w:rFonts w:hint="default"/>
        <w:lang w:val="ro-RO" w:eastAsia="en-US" w:bidi="ar-SA"/>
      </w:rPr>
    </w:lvl>
    <w:lvl w:ilvl="5" w:tplc="E3F0F88C">
      <w:numFmt w:val="bullet"/>
      <w:lvlText w:val="•"/>
      <w:lvlJc w:val="left"/>
      <w:pPr>
        <w:ind w:left="5789" w:hanging="173"/>
      </w:pPr>
      <w:rPr>
        <w:rFonts w:hint="default"/>
        <w:lang w:val="ro-RO" w:eastAsia="en-US" w:bidi="ar-SA"/>
      </w:rPr>
    </w:lvl>
    <w:lvl w:ilvl="6" w:tplc="C784B4F8">
      <w:numFmt w:val="bullet"/>
      <w:lvlText w:val="•"/>
      <w:lvlJc w:val="left"/>
      <w:pPr>
        <w:ind w:left="6490" w:hanging="173"/>
      </w:pPr>
      <w:rPr>
        <w:rFonts w:hint="default"/>
        <w:lang w:val="ro-RO" w:eastAsia="en-US" w:bidi="ar-SA"/>
      </w:rPr>
    </w:lvl>
    <w:lvl w:ilvl="7" w:tplc="009A7696">
      <w:numFmt w:val="bullet"/>
      <w:lvlText w:val="•"/>
      <w:lvlJc w:val="left"/>
      <w:pPr>
        <w:ind w:left="7192" w:hanging="173"/>
      </w:pPr>
      <w:rPr>
        <w:rFonts w:hint="default"/>
        <w:lang w:val="ro-RO" w:eastAsia="en-US" w:bidi="ar-SA"/>
      </w:rPr>
    </w:lvl>
    <w:lvl w:ilvl="8" w:tplc="F564B216">
      <w:numFmt w:val="bullet"/>
      <w:lvlText w:val="•"/>
      <w:lvlJc w:val="left"/>
      <w:pPr>
        <w:ind w:left="7894" w:hanging="173"/>
      </w:pPr>
      <w:rPr>
        <w:rFonts w:hint="default"/>
        <w:lang w:val="ro-RO" w:eastAsia="en-US" w:bidi="ar-SA"/>
      </w:rPr>
    </w:lvl>
  </w:abstractNum>
  <w:abstractNum w:abstractNumId="20" w15:restartNumberingAfterBreak="0">
    <w:nsid w:val="1C223259"/>
    <w:multiLevelType w:val="hybridMultilevel"/>
    <w:tmpl w:val="00000000"/>
    <w:lvl w:ilvl="0" w:tplc="2E0007F8">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F4B68B80">
      <w:numFmt w:val="bullet"/>
      <w:lvlText w:val="•"/>
      <w:lvlJc w:val="left"/>
      <w:pPr>
        <w:ind w:left="2466" w:hanging="360"/>
      </w:pPr>
      <w:rPr>
        <w:rFonts w:hint="default"/>
        <w:lang w:val="ro-RO" w:eastAsia="en-US" w:bidi="ar-SA"/>
      </w:rPr>
    </w:lvl>
    <w:lvl w:ilvl="2" w:tplc="18525932">
      <w:numFmt w:val="bullet"/>
      <w:lvlText w:val="•"/>
      <w:lvlJc w:val="left"/>
      <w:pPr>
        <w:ind w:left="3452" w:hanging="360"/>
      </w:pPr>
      <w:rPr>
        <w:rFonts w:hint="default"/>
        <w:lang w:val="ro-RO" w:eastAsia="en-US" w:bidi="ar-SA"/>
      </w:rPr>
    </w:lvl>
    <w:lvl w:ilvl="3" w:tplc="709EB976">
      <w:numFmt w:val="bullet"/>
      <w:lvlText w:val="•"/>
      <w:lvlJc w:val="left"/>
      <w:pPr>
        <w:ind w:left="4438" w:hanging="360"/>
      </w:pPr>
      <w:rPr>
        <w:rFonts w:hint="default"/>
        <w:lang w:val="ro-RO" w:eastAsia="en-US" w:bidi="ar-SA"/>
      </w:rPr>
    </w:lvl>
    <w:lvl w:ilvl="4" w:tplc="58A298C6">
      <w:numFmt w:val="bullet"/>
      <w:lvlText w:val="•"/>
      <w:lvlJc w:val="left"/>
      <w:pPr>
        <w:ind w:left="5424" w:hanging="360"/>
      </w:pPr>
      <w:rPr>
        <w:rFonts w:hint="default"/>
        <w:lang w:val="ro-RO" w:eastAsia="en-US" w:bidi="ar-SA"/>
      </w:rPr>
    </w:lvl>
    <w:lvl w:ilvl="5" w:tplc="47F4B958">
      <w:numFmt w:val="bullet"/>
      <w:lvlText w:val="•"/>
      <w:lvlJc w:val="left"/>
      <w:pPr>
        <w:ind w:left="6410" w:hanging="360"/>
      </w:pPr>
      <w:rPr>
        <w:rFonts w:hint="default"/>
        <w:lang w:val="ro-RO" w:eastAsia="en-US" w:bidi="ar-SA"/>
      </w:rPr>
    </w:lvl>
    <w:lvl w:ilvl="6" w:tplc="ED44D1C6">
      <w:numFmt w:val="bullet"/>
      <w:lvlText w:val="•"/>
      <w:lvlJc w:val="left"/>
      <w:pPr>
        <w:ind w:left="7396" w:hanging="360"/>
      </w:pPr>
      <w:rPr>
        <w:rFonts w:hint="default"/>
        <w:lang w:val="ro-RO" w:eastAsia="en-US" w:bidi="ar-SA"/>
      </w:rPr>
    </w:lvl>
    <w:lvl w:ilvl="7" w:tplc="2148366E">
      <w:numFmt w:val="bullet"/>
      <w:lvlText w:val="•"/>
      <w:lvlJc w:val="left"/>
      <w:pPr>
        <w:ind w:left="8382" w:hanging="360"/>
      </w:pPr>
      <w:rPr>
        <w:rFonts w:hint="default"/>
        <w:lang w:val="ro-RO" w:eastAsia="en-US" w:bidi="ar-SA"/>
      </w:rPr>
    </w:lvl>
    <w:lvl w:ilvl="8" w:tplc="A07432A6">
      <w:numFmt w:val="bullet"/>
      <w:lvlText w:val="•"/>
      <w:lvlJc w:val="left"/>
      <w:pPr>
        <w:ind w:left="9368" w:hanging="360"/>
      </w:pPr>
      <w:rPr>
        <w:rFonts w:hint="default"/>
        <w:lang w:val="ro-RO" w:eastAsia="en-US" w:bidi="ar-SA"/>
      </w:rPr>
    </w:lvl>
  </w:abstractNum>
  <w:abstractNum w:abstractNumId="21" w15:restartNumberingAfterBreak="0">
    <w:nsid w:val="1D295625"/>
    <w:multiLevelType w:val="hybridMultilevel"/>
    <w:tmpl w:val="15D4D558"/>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22" w15:restartNumberingAfterBreak="0">
    <w:nsid w:val="1D68ADAB"/>
    <w:multiLevelType w:val="hybridMultilevel"/>
    <w:tmpl w:val="00000000"/>
    <w:lvl w:ilvl="0" w:tplc="064C0204">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C46E675A">
      <w:numFmt w:val="bullet"/>
      <w:lvlText w:val="•"/>
      <w:lvlJc w:val="left"/>
      <w:pPr>
        <w:ind w:left="1694" w:hanging="360"/>
      </w:pPr>
      <w:rPr>
        <w:rFonts w:hint="default"/>
        <w:lang w:val="ro-RO" w:eastAsia="en-US" w:bidi="ar-SA"/>
      </w:rPr>
    </w:lvl>
    <w:lvl w:ilvl="2" w:tplc="5C96847C">
      <w:numFmt w:val="bullet"/>
      <w:lvlText w:val="•"/>
      <w:lvlJc w:val="left"/>
      <w:pPr>
        <w:ind w:left="2608" w:hanging="360"/>
      </w:pPr>
      <w:rPr>
        <w:rFonts w:hint="default"/>
        <w:lang w:val="ro-RO" w:eastAsia="en-US" w:bidi="ar-SA"/>
      </w:rPr>
    </w:lvl>
    <w:lvl w:ilvl="3" w:tplc="24E6114E">
      <w:numFmt w:val="bullet"/>
      <w:lvlText w:val="•"/>
      <w:lvlJc w:val="left"/>
      <w:pPr>
        <w:ind w:left="3523" w:hanging="360"/>
      </w:pPr>
      <w:rPr>
        <w:rFonts w:hint="default"/>
        <w:lang w:val="ro-RO" w:eastAsia="en-US" w:bidi="ar-SA"/>
      </w:rPr>
    </w:lvl>
    <w:lvl w:ilvl="4" w:tplc="19D0AC24">
      <w:numFmt w:val="bullet"/>
      <w:lvlText w:val="•"/>
      <w:lvlJc w:val="left"/>
      <w:pPr>
        <w:ind w:left="4437" w:hanging="360"/>
      </w:pPr>
      <w:rPr>
        <w:rFonts w:hint="default"/>
        <w:lang w:val="ro-RO" w:eastAsia="en-US" w:bidi="ar-SA"/>
      </w:rPr>
    </w:lvl>
    <w:lvl w:ilvl="5" w:tplc="807A62A0">
      <w:numFmt w:val="bullet"/>
      <w:lvlText w:val="•"/>
      <w:lvlJc w:val="left"/>
      <w:pPr>
        <w:ind w:left="5351" w:hanging="360"/>
      </w:pPr>
      <w:rPr>
        <w:rFonts w:hint="default"/>
        <w:lang w:val="ro-RO" w:eastAsia="en-US" w:bidi="ar-SA"/>
      </w:rPr>
    </w:lvl>
    <w:lvl w:ilvl="6" w:tplc="F2066DF8">
      <w:numFmt w:val="bullet"/>
      <w:lvlText w:val="•"/>
      <w:lvlJc w:val="left"/>
      <w:pPr>
        <w:ind w:left="6266" w:hanging="360"/>
      </w:pPr>
      <w:rPr>
        <w:rFonts w:hint="default"/>
        <w:lang w:val="ro-RO" w:eastAsia="en-US" w:bidi="ar-SA"/>
      </w:rPr>
    </w:lvl>
    <w:lvl w:ilvl="7" w:tplc="40F09A80">
      <w:numFmt w:val="bullet"/>
      <w:lvlText w:val="•"/>
      <w:lvlJc w:val="left"/>
      <w:pPr>
        <w:ind w:left="7180" w:hanging="360"/>
      </w:pPr>
      <w:rPr>
        <w:rFonts w:hint="default"/>
        <w:lang w:val="ro-RO" w:eastAsia="en-US" w:bidi="ar-SA"/>
      </w:rPr>
    </w:lvl>
    <w:lvl w:ilvl="8" w:tplc="B8DA14CC">
      <w:numFmt w:val="bullet"/>
      <w:lvlText w:val="•"/>
      <w:lvlJc w:val="left"/>
      <w:pPr>
        <w:ind w:left="8094" w:hanging="360"/>
      </w:pPr>
      <w:rPr>
        <w:rFonts w:hint="default"/>
        <w:lang w:val="ro-RO" w:eastAsia="en-US" w:bidi="ar-SA"/>
      </w:rPr>
    </w:lvl>
  </w:abstractNum>
  <w:abstractNum w:abstractNumId="23" w15:restartNumberingAfterBreak="0">
    <w:nsid w:val="1EA5BB4B"/>
    <w:multiLevelType w:val="hybridMultilevel"/>
    <w:tmpl w:val="00000000"/>
    <w:lvl w:ilvl="0" w:tplc="EA264CB4">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172EC082">
      <w:numFmt w:val="bullet"/>
      <w:lvlText w:val="•"/>
      <w:lvlJc w:val="left"/>
      <w:pPr>
        <w:ind w:left="2909" w:hanging="161"/>
      </w:pPr>
      <w:rPr>
        <w:rFonts w:hint="default"/>
        <w:lang w:val="ro-RO" w:eastAsia="en-US" w:bidi="ar-SA"/>
      </w:rPr>
    </w:lvl>
    <w:lvl w:ilvl="2" w:tplc="BD444C48">
      <w:numFmt w:val="bullet"/>
      <w:lvlText w:val="•"/>
      <w:lvlJc w:val="left"/>
      <w:pPr>
        <w:ind w:left="3619" w:hanging="161"/>
      </w:pPr>
      <w:rPr>
        <w:rFonts w:hint="default"/>
        <w:lang w:val="ro-RO" w:eastAsia="en-US" w:bidi="ar-SA"/>
      </w:rPr>
    </w:lvl>
    <w:lvl w:ilvl="3" w:tplc="DBC47AF2">
      <w:numFmt w:val="bullet"/>
      <w:lvlText w:val="•"/>
      <w:lvlJc w:val="left"/>
      <w:pPr>
        <w:ind w:left="4329" w:hanging="161"/>
      </w:pPr>
      <w:rPr>
        <w:rFonts w:hint="default"/>
        <w:lang w:val="ro-RO" w:eastAsia="en-US" w:bidi="ar-SA"/>
      </w:rPr>
    </w:lvl>
    <w:lvl w:ilvl="4" w:tplc="1C6802C6">
      <w:numFmt w:val="bullet"/>
      <w:lvlText w:val="•"/>
      <w:lvlJc w:val="left"/>
      <w:pPr>
        <w:ind w:left="5039" w:hanging="161"/>
      </w:pPr>
      <w:rPr>
        <w:rFonts w:hint="default"/>
        <w:lang w:val="ro-RO" w:eastAsia="en-US" w:bidi="ar-SA"/>
      </w:rPr>
    </w:lvl>
    <w:lvl w:ilvl="5" w:tplc="B8E0F022">
      <w:numFmt w:val="bullet"/>
      <w:lvlText w:val="•"/>
      <w:lvlJc w:val="left"/>
      <w:pPr>
        <w:ind w:left="5749" w:hanging="161"/>
      </w:pPr>
      <w:rPr>
        <w:rFonts w:hint="default"/>
        <w:lang w:val="ro-RO" w:eastAsia="en-US" w:bidi="ar-SA"/>
      </w:rPr>
    </w:lvl>
    <w:lvl w:ilvl="6" w:tplc="FED84B3E">
      <w:numFmt w:val="bullet"/>
      <w:lvlText w:val="•"/>
      <w:lvlJc w:val="left"/>
      <w:pPr>
        <w:ind w:left="6458" w:hanging="161"/>
      </w:pPr>
      <w:rPr>
        <w:rFonts w:hint="default"/>
        <w:lang w:val="ro-RO" w:eastAsia="en-US" w:bidi="ar-SA"/>
      </w:rPr>
    </w:lvl>
    <w:lvl w:ilvl="7" w:tplc="08366990">
      <w:numFmt w:val="bullet"/>
      <w:lvlText w:val="•"/>
      <w:lvlJc w:val="left"/>
      <w:pPr>
        <w:ind w:left="7168" w:hanging="161"/>
      </w:pPr>
      <w:rPr>
        <w:rFonts w:hint="default"/>
        <w:lang w:val="ro-RO" w:eastAsia="en-US" w:bidi="ar-SA"/>
      </w:rPr>
    </w:lvl>
    <w:lvl w:ilvl="8" w:tplc="26F61D90">
      <w:numFmt w:val="bullet"/>
      <w:lvlText w:val="•"/>
      <w:lvlJc w:val="left"/>
      <w:pPr>
        <w:ind w:left="7878" w:hanging="161"/>
      </w:pPr>
      <w:rPr>
        <w:rFonts w:hint="default"/>
        <w:lang w:val="ro-RO" w:eastAsia="en-US" w:bidi="ar-SA"/>
      </w:rPr>
    </w:lvl>
  </w:abstractNum>
  <w:abstractNum w:abstractNumId="24" w15:restartNumberingAfterBreak="0">
    <w:nsid w:val="1F1C2117"/>
    <w:multiLevelType w:val="hybridMultilevel"/>
    <w:tmpl w:val="00000000"/>
    <w:lvl w:ilvl="0" w:tplc="F4D4E8F0">
      <w:numFmt w:val="bullet"/>
      <w:lvlText w:val="•"/>
      <w:lvlJc w:val="left"/>
      <w:pPr>
        <w:ind w:left="835" w:hanging="360"/>
      </w:pPr>
      <w:rPr>
        <w:rFonts w:ascii="Calibri" w:eastAsia="Calibri" w:hAnsi="Calibri" w:cs="Calibri" w:hint="default"/>
        <w:b w:val="0"/>
        <w:bCs w:val="0"/>
        <w:i w:val="0"/>
        <w:iCs w:val="0"/>
        <w:spacing w:val="0"/>
        <w:w w:val="92"/>
        <w:sz w:val="18"/>
        <w:szCs w:val="18"/>
        <w:lang w:val="ro-RO" w:eastAsia="en-US" w:bidi="ar-SA"/>
      </w:rPr>
    </w:lvl>
    <w:lvl w:ilvl="1" w:tplc="FAFC4C34">
      <w:numFmt w:val="bullet"/>
      <w:lvlText w:val="•"/>
      <w:lvlJc w:val="left"/>
      <w:pPr>
        <w:ind w:left="1748" w:hanging="360"/>
      </w:pPr>
      <w:rPr>
        <w:rFonts w:hint="default"/>
        <w:lang w:val="ro-RO" w:eastAsia="en-US" w:bidi="ar-SA"/>
      </w:rPr>
    </w:lvl>
    <w:lvl w:ilvl="2" w:tplc="FDE83DE8">
      <w:numFmt w:val="bullet"/>
      <w:lvlText w:val="•"/>
      <w:lvlJc w:val="left"/>
      <w:pPr>
        <w:ind w:left="2656" w:hanging="360"/>
      </w:pPr>
      <w:rPr>
        <w:rFonts w:hint="default"/>
        <w:lang w:val="ro-RO" w:eastAsia="en-US" w:bidi="ar-SA"/>
      </w:rPr>
    </w:lvl>
    <w:lvl w:ilvl="3" w:tplc="781E8494">
      <w:numFmt w:val="bullet"/>
      <w:lvlText w:val="•"/>
      <w:lvlJc w:val="left"/>
      <w:pPr>
        <w:ind w:left="3565" w:hanging="360"/>
      </w:pPr>
      <w:rPr>
        <w:rFonts w:hint="default"/>
        <w:lang w:val="ro-RO" w:eastAsia="en-US" w:bidi="ar-SA"/>
      </w:rPr>
    </w:lvl>
    <w:lvl w:ilvl="4" w:tplc="B540FA3E">
      <w:numFmt w:val="bullet"/>
      <w:lvlText w:val="•"/>
      <w:lvlJc w:val="left"/>
      <w:pPr>
        <w:ind w:left="4473" w:hanging="360"/>
      </w:pPr>
      <w:rPr>
        <w:rFonts w:hint="default"/>
        <w:lang w:val="ro-RO" w:eastAsia="en-US" w:bidi="ar-SA"/>
      </w:rPr>
    </w:lvl>
    <w:lvl w:ilvl="5" w:tplc="A810F608">
      <w:numFmt w:val="bullet"/>
      <w:lvlText w:val="•"/>
      <w:lvlJc w:val="left"/>
      <w:pPr>
        <w:ind w:left="5381" w:hanging="360"/>
      </w:pPr>
      <w:rPr>
        <w:rFonts w:hint="default"/>
        <w:lang w:val="ro-RO" w:eastAsia="en-US" w:bidi="ar-SA"/>
      </w:rPr>
    </w:lvl>
    <w:lvl w:ilvl="6" w:tplc="4FA4AAE4">
      <w:numFmt w:val="bullet"/>
      <w:lvlText w:val="•"/>
      <w:lvlJc w:val="left"/>
      <w:pPr>
        <w:ind w:left="6290" w:hanging="360"/>
      </w:pPr>
      <w:rPr>
        <w:rFonts w:hint="default"/>
        <w:lang w:val="ro-RO" w:eastAsia="en-US" w:bidi="ar-SA"/>
      </w:rPr>
    </w:lvl>
    <w:lvl w:ilvl="7" w:tplc="841C8F3E">
      <w:numFmt w:val="bullet"/>
      <w:lvlText w:val="•"/>
      <w:lvlJc w:val="left"/>
      <w:pPr>
        <w:ind w:left="7198" w:hanging="360"/>
      </w:pPr>
      <w:rPr>
        <w:rFonts w:hint="default"/>
        <w:lang w:val="ro-RO" w:eastAsia="en-US" w:bidi="ar-SA"/>
      </w:rPr>
    </w:lvl>
    <w:lvl w:ilvl="8" w:tplc="BB646304">
      <w:numFmt w:val="bullet"/>
      <w:lvlText w:val="•"/>
      <w:lvlJc w:val="left"/>
      <w:pPr>
        <w:ind w:left="8106" w:hanging="360"/>
      </w:pPr>
      <w:rPr>
        <w:rFonts w:hint="default"/>
        <w:lang w:val="ro-RO" w:eastAsia="en-US" w:bidi="ar-SA"/>
      </w:rPr>
    </w:lvl>
  </w:abstractNum>
  <w:abstractNum w:abstractNumId="25" w15:restartNumberingAfterBreak="0">
    <w:nsid w:val="1F21EC4C"/>
    <w:multiLevelType w:val="multilevel"/>
    <w:tmpl w:val="00000000"/>
    <w:lvl w:ilvl="0">
      <w:start w:val="7"/>
      <w:numFmt w:val="upperRoman"/>
      <w:lvlText w:val="%1"/>
      <w:lvlJc w:val="left"/>
      <w:pPr>
        <w:ind w:left="2335" w:hanging="1102"/>
      </w:pPr>
      <w:rPr>
        <w:rFonts w:hint="default"/>
        <w:lang w:val="ro-RO" w:eastAsia="en-US" w:bidi="ar-SA"/>
      </w:rPr>
    </w:lvl>
    <w:lvl w:ilvl="1">
      <w:start w:val="10"/>
      <w:numFmt w:val="decimal"/>
      <w:lvlText w:val="%1.%2"/>
      <w:lvlJc w:val="left"/>
      <w:pPr>
        <w:ind w:left="2335" w:hanging="1102"/>
      </w:pPr>
      <w:rPr>
        <w:rFonts w:hint="default"/>
        <w:lang w:val="ro-RO" w:eastAsia="en-US" w:bidi="ar-SA"/>
      </w:rPr>
    </w:lvl>
    <w:lvl w:ilvl="2">
      <w:start w:val="2"/>
      <w:numFmt w:val="decimal"/>
      <w:lvlText w:val="%1.%2.%3"/>
      <w:lvlJc w:val="left"/>
      <w:pPr>
        <w:ind w:left="2335" w:hanging="1102"/>
      </w:pPr>
      <w:rPr>
        <w:rFonts w:hint="default"/>
        <w:lang w:val="ro-RO" w:eastAsia="en-US" w:bidi="ar-SA"/>
      </w:rPr>
    </w:lvl>
    <w:lvl w:ilvl="3">
      <w:start w:val="3"/>
      <w:numFmt w:val="decimal"/>
      <w:lvlText w:val="%1.%2.%3.%4"/>
      <w:lvlJc w:val="left"/>
      <w:pPr>
        <w:ind w:left="2335" w:hanging="1102"/>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940" w:hanging="1102"/>
      </w:pPr>
      <w:rPr>
        <w:rFonts w:hint="default"/>
        <w:lang w:val="ro-RO" w:eastAsia="en-US" w:bidi="ar-SA"/>
      </w:rPr>
    </w:lvl>
    <w:lvl w:ilvl="5">
      <w:numFmt w:val="bullet"/>
      <w:lvlText w:val="•"/>
      <w:lvlJc w:val="left"/>
      <w:pPr>
        <w:ind w:left="6840" w:hanging="1102"/>
      </w:pPr>
      <w:rPr>
        <w:rFonts w:hint="default"/>
        <w:lang w:val="ro-RO" w:eastAsia="en-US" w:bidi="ar-SA"/>
      </w:rPr>
    </w:lvl>
    <w:lvl w:ilvl="6">
      <w:numFmt w:val="bullet"/>
      <w:lvlText w:val="•"/>
      <w:lvlJc w:val="left"/>
      <w:pPr>
        <w:ind w:left="7740" w:hanging="1102"/>
      </w:pPr>
      <w:rPr>
        <w:rFonts w:hint="default"/>
        <w:lang w:val="ro-RO" w:eastAsia="en-US" w:bidi="ar-SA"/>
      </w:rPr>
    </w:lvl>
    <w:lvl w:ilvl="7">
      <w:numFmt w:val="bullet"/>
      <w:lvlText w:val="•"/>
      <w:lvlJc w:val="left"/>
      <w:pPr>
        <w:ind w:left="8640" w:hanging="1102"/>
      </w:pPr>
      <w:rPr>
        <w:rFonts w:hint="default"/>
        <w:lang w:val="ro-RO" w:eastAsia="en-US" w:bidi="ar-SA"/>
      </w:rPr>
    </w:lvl>
    <w:lvl w:ilvl="8">
      <w:numFmt w:val="bullet"/>
      <w:lvlText w:val="•"/>
      <w:lvlJc w:val="left"/>
      <w:pPr>
        <w:ind w:left="9540" w:hanging="1102"/>
      </w:pPr>
      <w:rPr>
        <w:rFonts w:hint="default"/>
        <w:lang w:val="ro-RO" w:eastAsia="en-US" w:bidi="ar-SA"/>
      </w:rPr>
    </w:lvl>
  </w:abstractNum>
  <w:abstractNum w:abstractNumId="26" w15:restartNumberingAfterBreak="0">
    <w:nsid w:val="1F98E9CD"/>
    <w:multiLevelType w:val="hybridMultilevel"/>
    <w:tmpl w:val="00000000"/>
    <w:lvl w:ilvl="0" w:tplc="44D2A8A8">
      <w:numFmt w:val="bullet"/>
      <w:lvlText w:val="•"/>
      <w:lvlJc w:val="left"/>
      <w:pPr>
        <w:ind w:left="806" w:hanging="332"/>
      </w:pPr>
      <w:rPr>
        <w:rFonts w:ascii="Calibri" w:eastAsia="Calibri" w:hAnsi="Calibri" w:cs="Calibri" w:hint="default"/>
        <w:b w:val="0"/>
        <w:bCs w:val="0"/>
        <w:i w:val="0"/>
        <w:iCs w:val="0"/>
        <w:spacing w:val="0"/>
        <w:w w:val="92"/>
        <w:sz w:val="18"/>
        <w:szCs w:val="18"/>
        <w:lang w:val="ro-RO" w:eastAsia="en-US" w:bidi="ar-SA"/>
      </w:rPr>
    </w:lvl>
    <w:lvl w:ilvl="1" w:tplc="BE042D80">
      <w:numFmt w:val="bullet"/>
      <w:lvlText w:val="•"/>
      <w:lvlJc w:val="left"/>
      <w:pPr>
        <w:ind w:left="1726" w:hanging="332"/>
      </w:pPr>
      <w:rPr>
        <w:rFonts w:hint="default"/>
        <w:lang w:val="ro-RO" w:eastAsia="en-US" w:bidi="ar-SA"/>
      </w:rPr>
    </w:lvl>
    <w:lvl w:ilvl="2" w:tplc="17C094A6">
      <w:numFmt w:val="bullet"/>
      <w:lvlText w:val="•"/>
      <w:lvlJc w:val="left"/>
      <w:pPr>
        <w:ind w:left="2653" w:hanging="332"/>
      </w:pPr>
      <w:rPr>
        <w:rFonts w:hint="default"/>
        <w:lang w:val="ro-RO" w:eastAsia="en-US" w:bidi="ar-SA"/>
      </w:rPr>
    </w:lvl>
    <w:lvl w:ilvl="3" w:tplc="410613EA">
      <w:numFmt w:val="bullet"/>
      <w:lvlText w:val="•"/>
      <w:lvlJc w:val="left"/>
      <w:pPr>
        <w:ind w:left="3579" w:hanging="332"/>
      </w:pPr>
      <w:rPr>
        <w:rFonts w:hint="default"/>
        <w:lang w:val="ro-RO" w:eastAsia="en-US" w:bidi="ar-SA"/>
      </w:rPr>
    </w:lvl>
    <w:lvl w:ilvl="4" w:tplc="67AE17BE">
      <w:numFmt w:val="bullet"/>
      <w:lvlText w:val="•"/>
      <w:lvlJc w:val="left"/>
      <w:pPr>
        <w:ind w:left="4506" w:hanging="332"/>
      </w:pPr>
      <w:rPr>
        <w:rFonts w:hint="default"/>
        <w:lang w:val="ro-RO" w:eastAsia="en-US" w:bidi="ar-SA"/>
      </w:rPr>
    </w:lvl>
    <w:lvl w:ilvl="5" w:tplc="282C6502">
      <w:numFmt w:val="bullet"/>
      <w:lvlText w:val="•"/>
      <w:lvlJc w:val="left"/>
      <w:pPr>
        <w:ind w:left="5432" w:hanging="332"/>
      </w:pPr>
      <w:rPr>
        <w:rFonts w:hint="default"/>
        <w:lang w:val="ro-RO" w:eastAsia="en-US" w:bidi="ar-SA"/>
      </w:rPr>
    </w:lvl>
    <w:lvl w:ilvl="6" w:tplc="6B62E824">
      <w:numFmt w:val="bullet"/>
      <w:lvlText w:val="•"/>
      <w:lvlJc w:val="left"/>
      <w:pPr>
        <w:ind w:left="6359" w:hanging="332"/>
      </w:pPr>
      <w:rPr>
        <w:rFonts w:hint="default"/>
        <w:lang w:val="ro-RO" w:eastAsia="en-US" w:bidi="ar-SA"/>
      </w:rPr>
    </w:lvl>
    <w:lvl w:ilvl="7" w:tplc="60D434FE">
      <w:numFmt w:val="bullet"/>
      <w:lvlText w:val="•"/>
      <w:lvlJc w:val="left"/>
      <w:pPr>
        <w:ind w:left="7285" w:hanging="332"/>
      </w:pPr>
      <w:rPr>
        <w:rFonts w:hint="default"/>
        <w:lang w:val="ro-RO" w:eastAsia="en-US" w:bidi="ar-SA"/>
      </w:rPr>
    </w:lvl>
    <w:lvl w:ilvl="8" w:tplc="535680E0">
      <w:numFmt w:val="bullet"/>
      <w:lvlText w:val="•"/>
      <w:lvlJc w:val="left"/>
      <w:pPr>
        <w:ind w:left="8212" w:hanging="332"/>
      </w:pPr>
      <w:rPr>
        <w:rFonts w:hint="default"/>
        <w:lang w:val="ro-RO" w:eastAsia="en-US" w:bidi="ar-SA"/>
      </w:rPr>
    </w:lvl>
  </w:abstractNum>
  <w:abstractNum w:abstractNumId="27" w15:restartNumberingAfterBreak="0">
    <w:nsid w:val="20331792"/>
    <w:multiLevelType w:val="hybridMultilevel"/>
    <w:tmpl w:val="00000000"/>
    <w:lvl w:ilvl="0" w:tplc="28BE4676">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88CC61EE">
      <w:numFmt w:val="bullet"/>
      <w:lvlText w:val="•"/>
      <w:lvlJc w:val="left"/>
      <w:pPr>
        <w:ind w:left="2981" w:hanging="173"/>
      </w:pPr>
      <w:rPr>
        <w:rFonts w:hint="default"/>
        <w:lang w:val="ro-RO" w:eastAsia="en-US" w:bidi="ar-SA"/>
      </w:rPr>
    </w:lvl>
    <w:lvl w:ilvl="2" w:tplc="6194EB8C">
      <w:numFmt w:val="bullet"/>
      <w:lvlText w:val="•"/>
      <w:lvlJc w:val="left"/>
      <w:pPr>
        <w:ind w:left="3683" w:hanging="173"/>
      </w:pPr>
      <w:rPr>
        <w:rFonts w:hint="default"/>
        <w:lang w:val="ro-RO" w:eastAsia="en-US" w:bidi="ar-SA"/>
      </w:rPr>
    </w:lvl>
    <w:lvl w:ilvl="3" w:tplc="0FE412E4">
      <w:numFmt w:val="bullet"/>
      <w:lvlText w:val="•"/>
      <w:lvlJc w:val="left"/>
      <w:pPr>
        <w:ind w:left="4385" w:hanging="173"/>
      </w:pPr>
      <w:rPr>
        <w:rFonts w:hint="default"/>
        <w:lang w:val="ro-RO" w:eastAsia="en-US" w:bidi="ar-SA"/>
      </w:rPr>
    </w:lvl>
    <w:lvl w:ilvl="4" w:tplc="39722ABC">
      <w:numFmt w:val="bullet"/>
      <w:lvlText w:val="•"/>
      <w:lvlJc w:val="left"/>
      <w:pPr>
        <w:ind w:left="5087" w:hanging="173"/>
      </w:pPr>
      <w:rPr>
        <w:rFonts w:hint="default"/>
        <w:lang w:val="ro-RO" w:eastAsia="en-US" w:bidi="ar-SA"/>
      </w:rPr>
    </w:lvl>
    <w:lvl w:ilvl="5" w:tplc="CD7243EA">
      <w:numFmt w:val="bullet"/>
      <w:lvlText w:val="•"/>
      <w:lvlJc w:val="left"/>
      <w:pPr>
        <w:ind w:left="5789" w:hanging="173"/>
      </w:pPr>
      <w:rPr>
        <w:rFonts w:hint="default"/>
        <w:lang w:val="ro-RO" w:eastAsia="en-US" w:bidi="ar-SA"/>
      </w:rPr>
    </w:lvl>
    <w:lvl w:ilvl="6" w:tplc="FD6CCDEA">
      <w:numFmt w:val="bullet"/>
      <w:lvlText w:val="•"/>
      <w:lvlJc w:val="left"/>
      <w:pPr>
        <w:ind w:left="6490" w:hanging="173"/>
      </w:pPr>
      <w:rPr>
        <w:rFonts w:hint="default"/>
        <w:lang w:val="ro-RO" w:eastAsia="en-US" w:bidi="ar-SA"/>
      </w:rPr>
    </w:lvl>
    <w:lvl w:ilvl="7" w:tplc="1E16A148">
      <w:numFmt w:val="bullet"/>
      <w:lvlText w:val="•"/>
      <w:lvlJc w:val="left"/>
      <w:pPr>
        <w:ind w:left="7192" w:hanging="173"/>
      </w:pPr>
      <w:rPr>
        <w:rFonts w:hint="default"/>
        <w:lang w:val="ro-RO" w:eastAsia="en-US" w:bidi="ar-SA"/>
      </w:rPr>
    </w:lvl>
    <w:lvl w:ilvl="8" w:tplc="F65CCEE4">
      <w:numFmt w:val="bullet"/>
      <w:lvlText w:val="•"/>
      <w:lvlJc w:val="left"/>
      <w:pPr>
        <w:ind w:left="7894" w:hanging="173"/>
      </w:pPr>
      <w:rPr>
        <w:rFonts w:hint="default"/>
        <w:lang w:val="ro-RO" w:eastAsia="en-US" w:bidi="ar-SA"/>
      </w:rPr>
    </w:lvl>
  </w:abstractNum>
  <w:abstractNum w:abstractNumId="28" w15:restartNumberingAfterBreak="0">
    <w:nsid w:val="2120EC68"/>
    <w:multiLevelType w:val="hybridMultilevel"/>
    <w:tmpl w:val="00000000"/>
    <w:lvl w:ilvl="0" w:tplc="1532872A">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EA846E58">
      <w:numFmt w:val="bullet"/>
      <w:lvlText w:val="•"/>
      <w:lvlJc w:val="left"/>
      <w:pPr>
        <w:ind w:left="2466" w:hanging="360"/>
      </w:pPr>
      <w:rPr>
        <w:rFonts w:hint="default"/>
        <w:lang w:val="ro-RO" w:eastAsia="en-US" w:bidi="ar-SA"/>
      </w:rPr>
    </w:lvl>
    <w:lvl w:ilvl="2" w:tplc="7D8A7C00">
      <w:numFmt w:val="bullet"/>
      <w:lvlText w:val="•"/>
      <w:lvlJc w:val="left"/>
      <w:pPr>
        <w:ind w:left="3452" w:hanging="360"/>
      </w:pPr>
      <w:rPr>
        <w:rFonts w:hint="default"/>
        <w:lang w:val="ro-RO" w:eastAsia="en-US" w:bidi="ar-SA"/>
      </w:rPr>
    </w:lvl>
    <w:lvl w:ilvl="3" w:tplc="86E6C5B0">
      <w:numFmt w:val="bullet"/>
      <w:lvlText w:val="•"/>
      <w:lvlJc w:val="left"/>
      <w:pPr>
        <w:ind w:left="4438" w:hanging="360"/>
      </w:pPr>
      <w:rPr>
        <w:rFonts w:hint="default"/>
        <w:lang w:val="ro-RO" w:eastAsia="en-US" w:bidi="ar-SA"/>
      </w:rPr>
    </w:lvl>
    <w:lvl w:ilvl="4" w:tplc="8F96EABE">
      <w:numFmt w:val="bullet"/>
      <w:lvlText w:val="•"/>
      <w:lvlJc w:val="left"/>
      <w:pPr>
        <w:ind w:left="5424" w:hanging="360"/>
      </w:pPr>
      <w:rPr>
        <w:rFonts w:hint="default"/>
        <w:lang w:val="ro-RO" w:eastAsia="en-US" w:bidi="ar-SA"/>
      </w:rPr>
    </w:lvl>
    <w:lvl w:ilvl="5" w:tplc="36D61326">
      <w:numFmt w:val="bullet"/>
      <w:lvlText w:val="•"/>
      <w:lvlJc w:val="left"/>
      <w:pPr>
        <w:ind w:left="6410" w:hanging="360"/>
      </w:pPr>
      <w:rPr>
        <w:rFonts w:hint="default"/>
        <w:lang w:val="ro-RO" w:eastAsia="en-US" w:bidi="ar-SA"/>
      </w:rPr>
    </w:lvl>
    <w:lvl w:ilvl="6" w:tplc="169224C8">
      <w:numFmt w:val="bullet"/>
      <w:lvlText w:val="•"/>
      <w:lvlJc w:val="left"/>
      <w:pPr>
        <w:ind w:left="7396" w:hanging="360"/>
      </w:pPr>
      <w:rPr>
        <w:rFonts w:hint="default"/>
        <w:lang w:val="ro-RO" w:eastAsia="en-US" w:bidi="ar-SA"/>
      </w:rPr>
    </w:lvl>
    <w:lvl w:ilvl="7" w:tplc="6F522C78">
      <w:numFmt w:val="bullet"/>
      <w:lvlText w:val="•"/>
      <w:lvlJc w:val="left"/>
      <w:pPr>
        <w:ind w:left="8382" w:hanging="360"/>
      </w:pPr>
      <w:rPr>
        <w:rFonts w:hint="default"/>
        <w:lang w:val="ro-RO" w:eastAsia="en-US" w:bidi="ar-SA"/>
      </w:rPr>
    </w:lvl>
    <w:lvl w:ilvl="8" w:tplc="859071A2">
      <w:numFmt w:val="bullet"/>
      <w:lvlText w:val="•"/>
      <w:lvlJc w:val="left"/>
      <w:pPr>
        <w:ind w:left="9368" w:hanging="360"/>
      </w:pPr>
      <w:rPr>
        <w:rFonts w:hint="default"/>
        <w:lang w:val="ro-RO" w:eastAsia="en-US" w:bidi="ar-SA"/>
      </w:rPr>
    </w:lvl>
  </w:abstractNum>
  <w:abstractNum w:abstractNumId="29" w15:restartNumberingAfterBreak="0">
    <w:nsid w:val="22D85685"/>
    <w:multiLevelType w:val="multilevel"/>
    <w:tmpl w:val="00000000"/>
    <w:lvl w:ilvl="0">
      <w:start w:val="7"/>
      <w:numFmt w:val="upperRoman"/>
      <w:lvlText w:val="%1"/>
      <w:lvlJc w:val="left"/>
      <w:pPr>
        <w:ind w:left="2206" w:hanging="973"/>
      </w:pPr>
      <w:rPr>
        <w:rFonts w:hint="default"/>
        <w:lang w:val="ro-RO" w:eastAsia="en-US" w:bidi="ar-SA"/>
      </w:rPr>
    </w:lvl>
    <w:lvl w:ilvl="1">
      <w:start w:val="10"/>
      <w:numFmt w:val="decimal"/>
      <w:lvlText w:val="%1.%2"/>
      <w:lvlJc w:val="left"/>
      <w:pPr>
        <w:ind w:left="2206" w:hanging="973"/>
      </w:pPr>
      <w:rPr>
        <w:rFonts w:hint="default"/>
        <w:lang w:val="ro-RO" w:eastAsia="en-US" w:bidi="ar-SA"/>
      </w:rPr>
    </w:lvl>
    <w:lvl w:ilvl="2">
      <w:start w:val="1"/>
      <w:numFmt w:val="decimal"/>
      <w:lvlText w:val="%1.%2.%3."/>
      <w:lvlJc w:val="left"/>
      <w:pPr>
        <w:ind w:left="2206" w:hanging="973"/>
      </w:pPr>
      <w:rPr>
        <w:rFonts w:ascii="Acumin Pro Wide Black" w:eastAsia="Acumin Pro Wide Black" w:hAnsi="Acumin Pro Wide Black" w:cs="Acumin Pro Wide Black" w:hint="default"/>
        <w:b/>
        <w:bCs/>
        <w:i/>
        <w:iCs/>
        <w:spacing w:val="-1"/>
        <w:w w:val="98"/>
        <w:sz w:val="18"/>
        <w:szCs w:val="18"/>
        <w:lang w:val="ro-RO" w:eastAsia="en-US" w:bidi="ar-SA"/>
      </w:rPr>
    </w:lvl>
    <w:lvl w:ilvl="3">
      <w:start w:val="1"/>
      <w:numFmt w:val="decimal"/>
      <w:lvlText w:val="%1.%2.%3.%4."/>
      <w:lvlJc w:val="left"/>
      <w:pPr>
        <w:ind w:left="2400" w:hanging="1167"/>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380" w:hanging="1167"/>
      </w:pPr>
      <w:rPr>
        <w:rFonts w:hint="default"/>
        <w:lang w:val="ro-RO" w:eastAsia="en-US" w:bidi="ar-SA"/>
      </w:rPr>
    </w:lvl>
    <w:lvl w:ilvl="5">
      <w:numFmt w:val="bullet"/>
      <w:lvlText w:val="•"/>
      <w:lvlJc w:val="left"/>
      <w:pPr>
        <w:ind w:left="6373" w:hanging="1167"/>
      </w:pPr>
      <w:rPr>
        <w:rFonts w:hint="default"/>
        <w:lang w:val="ro-RO" w:eastAsia="en-US" w:bidi="ar-SA"/>
      </w:rPr>
    </w:lvl>
    <w:lvl w:ilvl="6">
      <w:numFmt w:val="bullet"/>
      <w:lvlText w:val="•"/>
      <w:lvlJc w:val="left"/>
      <w:pPr>
        <w:ind w:left="7366" w:hanging="1167"/>
      </w:pPr>
      <w:rPr>
        <w:rFonts w:hint="default"/>
        <w:lang w:val="ro-RO" w:eastAsia="en-US" w:bidi="ar-SA"/>
      </w:rPr>
    </w:lvl>
    <w:lvl w:ilvl="7">
      <w:numFmt w:val="bullet"/>
      <w:lvlText w:val="•"/>
      <w:lvlJc w:val="left"/>
      <w:pPr>
        <w:ind w:left="8360" w:hanging="1167"/>
      </w:pPr>
      <w:rPr>
        <w:rFonts w:hint="default"/>
        <w:lang w:val="ro-RO" w:eastAsia="en-US" w:bidi="ar-SA"/>
      </w:rPr>
    </w:lvl>
    <w:lvl w:ilvl="8">
      <w:numFmt w:val="bullet"/>
      <w:lvlText w:val="•"/>
      <w:lvlJc w:val="left"/>
      <w:pPr>
        <w:ind w:left="9353" w:hanging="1167"/>
      </w:pPr>
      <w:rPr>
        <w:rFonts w:hint="default"/>
        <w:lang w:val="ro-RO" w:eastAsia="en-US" w:bidi="ar-SA"/>
      </w:rPr>
    </w:lvl>
  </w:abstractNum>
  <w:abstractNum w:abstractNumId="30" w15:restartNumberingAfterBreak="0">
    <w:nsid w:val="23E424B6"/>
    <w:multiLevelType w:val="hybridMultilevel"/>
    <w:tmpl w:val="1276943E"/>
    <w:lvl w:ilvl="0" w:tplc="04180001">
      <w:start w:val="1"/>
      <w:numFmt w:val="bullet"/>
      <w:lvlText w:val=""/>
      <w:lvlJc w:val="left"/>
      <w:pPr>
        <w:ind w:left="700" w:hanging="360"/>
      </w:pPr>
      <w:rPr>
        <w:rFonts w:ascii="Symbol" w:hAnsi="Symbol" w:hint="default"/>
      </w:rPr>
    </w:lvl>
    <w:lvl w:ilvl="1" w:tplc="04180003" w:tentative="1">
      <w:start w:val="1"/>
      <w:numFmt w:val="bullet"/>
      <w:lvlText w:val="o"/>
      <w:lvlJc w:val="left"/>
      <w:pPr>
        <w:ind w:left="1420" w:hanging="360"/>
      </w:pPr>
      <w:rPr>
        <w:rFonts w:ascii="Courier New" w:hAnsi="Courier New" w:cs="Courier New" w:hint="default"/>
      </w:rPr>
    </w:lvl>
    <w:lvl w:ilvl="2" w:tplc="04180005" w:tentative="1">
      <w:start w:val="1"/>
      <w:numFmt w:val="bullet"/>
      <w:lvlText w:val=""/>
      <w:lvlJc w:val="left"/>
      <w:pPr>
        <w:ind w:left="2140" w:hanging="360"/>
      </w:pPr>
      <w:rPr>
        <w:rFonts w:ascii="Wingdings" w:hAnsi="Wingdings" w:hint="default"/>
      </w:rPr>
    </w:lvl>
    <w:lvl w:ilvl="3" w:tplc="04180001" w:tentative="1">
      <w:start w:val="1"/>
      <w:numFmt w:val="bullet"/>
      <w:lvlText w:val=""/>
      <w:lvlJc w:val="left"/>
      <w:pPr>
        <w:ind w:left="2860" w:hanging="360"/>
      </w:pPr>
      <w:rPr>
        <w:rFonts w:ascii="Symbol" w:hAnsi="Symbol" w:hint="default"/>
      </w:rPr>
    </w:lvl>
    <w:lvl w:ilvl="4" w:tplc="04180003" w:tentative="1">
      <w:start w:val="1"/>
      <w:numFmt w:val="bullet"/>
      <w:lvlText w:val="o"/>
      <w:lvlJc w:val="left"/>
      <w:pPr>
        <w:ind w:left="3580" w:hanging="360"/>
      </w:pPr>
      <w:rPr>
        <w:rFonts w:ascii="Courier New" w:hAnsi="Courier New" w:cs="Courier New" w:hint="default"/>
      </w:rPr>
    </w:lvl>
    <w:lvl w:ilvl="5" w:tplc="04180005" w:tentative="1">
      <w:start w:val="1"/>
      <w:numFmt w:val="bullet"/>
      <w:lvlText w:val=""/>
      <w:lvlJc w:val="left"/>
      <w:pPr>
        <w:ind w:left="4300" w:hanging="360"/>
      </w:pPr>
      <w:rPr>
        <w:rFonts w:ascii="Wingdings" w:hAnsi="Wingdings" w:hint="default"/>
      </w:rPr>
    </w:lvl>
    <w:lvl w:ilvl="6" w:tplc="04180001" w:tentative="1">
      <w:start w:val="1"/>
      <w:numFmt w:val="bullet"/>
      <w:lvlText w:val=""/>
      <w:lvlJc w:val="left"/>
      <w:pPr>
        <w:ind w:left="5020" w:hanging="360"/>
      </w:pPr>
      <w:rPr>
        <w:rFonts w:ascii="Symbol" w:hAnsi="Symbol" w:hint="default"/>
      </w:rPr>
    </w:lvl>
    <w:lvl w:ilvl="7" w:tplc="04180003" w:tentative="1">
      <w:start w:val="1"/>
      <w:numFmt w:val="bullet"/>
      <w:lvlText w:val="o"/>
      <w:lvlJc w:val="left"/>
      <w:pPr>
        <w:ind w:left="5740" w:hanging="360"/>
      </w:pPr>
      <w:rPr>
        <w:rFonts w:ascii="Courier New" w:hAnsi="Courier New" w:cs="Courier New" w:hint="default"/>
      </w:rPr>
    </w:lvl>
    <w:lvl w:ilvl="8" w:tplc="04180005" w:tentative="1">
      <w:start w:val="1"/>
      <w:numFmt w:val="bullet"/>
      <w:lvlText w:val=""/>
      <w:lvlJc w:val="left"/>
      <w:pPr>
        <w:ind w:left="6460" w:hanging="360"/>
      </w:pPr>
      <w:rPr>
        <w:rFonts w:ascii="Wingdings" w:hAnsi="Wingdings" w:hint="default"/>
      </w:rPr>
    </w:lvl>
  </w:abstractNum>
  <w:abstractNum w:abstractNumId="31" w15:restartNumberingAfterBreak="0">
    <w:nsid w:val="244F3164"/>
    <w:multiLevelType w:val="hybridMultilevel"/>
    <w:tmpl w:val="0B9A55AA"/>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32" w15:restartNumberingAfterBreak="0">
    <w:nsid w:val="24D2D55C"/>
    <w:multiLevelType w:val="hybridMultilevel"/>
    <w:tmpl w:val="00000000"/>
    <w:lvl w:ilvl="0" w:tplc="25442BD0">
      <w:start w:val="1"/>
      <w:numFmt w:val="lowerLetter"/>
      <w:lvlText w:val="%1)"/>
      <w:lvlJc w:val="left"/>
      <w:pPr>
        <w:ind w:left="1485" w:hanging="360"/>
      </w:pPr>
      <w:rPr>
        <w:rFonts w:ascii="Calibri" w:eastAsia="Calibri" w:hAnsi="Calibri" w:cs="Calibri" w:hint="default"/>
        <w:b w:val="0"/>
        <w:bCs w:val="0"/>
        <w:i w:val="0"/>
        <w:iCs w:val="0"/>
        <w:spacing w:val="-1"/>
        <w:w w:val="134"/>
        <w:sz w:val="18"/>
        <w:szCs w:val="18"/>
        <w:lang w:val="ro-RO" w:eastAsia="en-US" w:bidi="ar-SA"/>
      </w:rPr>
    </w:lvl>
    <w:lvl w:ilvl="1" w:tplc="247CECE8">
      <w:numFmt w:val="bullet"/>
      <w:lvlText w:val="•"/>
      <w:lvlJc w:val="left"/>
      <w:pPr>
        <w:ind w:left="2466" w:hanging="360"/>
      </w:pPr>
      <w:rPr>
        <w:rFonts w:hint="default"/>
        <w:lang w:val="ro-RO" w:eastAsia="en-US" w:bidi="ar-SA"/>
      </w:rPr>
    </w:lvl>
    <w:lvl w:ilvl="2" w:tplc="157EF210">
      <w:numFmt w:val="bullet"/>
      <w:lvlText w:val="•"/>
      <w:lvlJc w:val="left"/>
      <w:pPr>
        <w:ind w:left="3452" w:hanging="360"/>
      </w:pPr>
      <w:rPr>
        <w:rFonts w:hint="default"/>
        <w:lang w:val="ro-RO" w:eastAsia="en-US" w:bidi="ar-SA"/>
      </w:rPr>
    </w:lvl>
    <w:lvl w:ilvl="3" w:tplc="F3F228BA">
      <w:numFmt w:val="bullet"/>
      <w:lvlText w:val="•"/>
      <w:lvlJc w:val="left"/>
      <w:pPr>
        <w:ind w:left="4438" w:hanging="360"/>
      </w:pPr>
      <w:rPr>
        <w:rFonts w:hint="default"/>
        <w:lang w:val="ro-RO" w:eastAsia="en-US" w:bidi="ar-SA"/>
      </w:rPr>
    </w:lvl>
    <w:lvl w:ilvl="4" w:tplc="C30E810A">
      <w:numFmt w:val="bullet"/>
      <w:lvlText w:val="•"/>
      <w:lvlJc w:val="left"/>
      <w:pPr>
        <w:ind w:left="5424" w:hanging="360"/>
      </w:pPr>
      <w:rPr>
        <w:rFonts w:hint="default"/>
        <w:lang w:val="ro-RO" w:eastAsia="en-US" w:bidi="ar-SA"/>
      </w:rPr>
    </w:lvl>
    <w:lvl w:ilvl="5" w:tplc="ED5EB996">
      <w:numFmt w:val="bullet"/>
      <w:lvlText w:val="•"/>
      <w:lvlJc w:val="left"/>
      <w:pPr>
        <w:ind w:left="6410" w:hanging="360"/>
      </w:pPr>
      <w:rPr>
        <w:rFonts w:hint="default"/>
        <w:lang w:val="ro-RO" w:eastAsia="en-US" w:bidi="ar-SA"/>
      </w:rPr>
    </w:lvl>
    <w:lvl w:ilvl="6" w:tplc="678CBE18">
      <w:numFmt w:val="bullet"/>
      <w:lvlText w:val="•"/>
      <w:lvlJc w:val="left"/>
      <w:pPr>
        <w:ind w:left="7396" w:hanging="360"/>
      </w:pPr>
      <w:rPr>
        <w:rFonts w:hint="default"/>
        <w:lang w:val="ro-RO" w:eastAsia="en-US" w:bidi="ar-SA"/>
      </w:rPr>
    </w:lvl>
    <w:lvl w:ilvl="7" w:tplc="528C2414">
      <w:numFmt w:val="bullet"/>
      <w:lvlText w:val="•"/>
      <w:lvlJc w:val="left"/>
      <w:pPr>
        <w:ind w:left="8382" w:hanging="360"/>
      </w:pPr>
      <w:rPr>
        <w:rFonts w:hint="default"/>
        <w:lang w:val="ro-RO" w:eastAsia="en-US" w:bidi="ar-SA"/>
      </w:rPr>
    </w:lvl>
    <w:lvl w:ilvl="8" w:tplc="95B60554">
      <w:numFmt w:val="bullet"/>
      <w:lvlText w:val="•"/>
      <w:lvlJc w:val="left"/>
      <w:pPr>
        <w:ind w:left="9368" w:hanging="360"/>
      </w:pPr>
      <w:rPr>
        <w:rFonts w:hint="default"/>
        <w:lang w:val="ro-RO" w:eastAsia="en-US" w:bidi="ar-SA"/>
      </w:rPr>
    </w:lvl>
  </w:abstractNum>
  <w:abstractNum w:abstractNumId="33" w15:restartNumberingAfterBreak="0">
    <w:nsid w:val="2501D659"/>
    <w:multiLevelType w:val="hybridMultilevel"/>
    <w:tmpl w:val="00000000"/>
    <w:lvl w:ilvl="0" w:tplc="964C6A32">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67C2FBC0">
      <w:numFmt w:val="bullet"/>
      <w:lvlText w:val="•"/>
      <w:lvlJc w:val="left"/>
      <w:pPr>
        <w:ind w:left="2927" w:hanging="161"/>
      </w:pPr>
      <w:rPr>
        <w:rFonts w:hint="default"/>
        <w:lang w:val="ro-RO" w:eastAsia="en-US" w:bidi="ar-SA"/>
      </w:rPr>
    </w:lvl>
    <w:lvl w:ilvl="2" w:tplc="BF36EC9A">
      <w:numFmt w:val="bullet"/>
      <w:lvlText w:val="•"/>
      <w:lvlJc w:val="left"/>
      <w:pPr>
        <w:ind w:left="3635" w:hanging="161"/>
      </w:pPr>
      <w:rPr>
        <w:rFonts w:hint="default"/>
        <w:lang w:val="ro-RO" w:eastAsia="en-US" w:bidi="ar-SA"/>
      </w:rPr>
    </w:lvl>
    <w:lvl w:ilvl="3" w:tplc="78527AB4">
      <w:numFmt w:val="bullet"/>
      <w:lvlText w:val="•"/>
      <w:lvlJc w:val="left"/>
      <w:pPr>
        <w:ind w:left="4343" w:hanging="161"/>
      </w:pPr>
      <w:rPr>
        <w:rFonts w:hint="default"/>
        <w:lang w:val="ro-RO" w:eastAsia="en-US" w:bidi="ar-SA"/>
      </w:rPr>
    </w:lvl>
    <w:lvl w:ilvl="4" w:tplc="C52821D6">
      <w:numFmt w:val="bullet"/>
      <w:lvlText w:val="•"/>
      <w:lvlJc w:val="left"/>
      <w:pPr>
        <w:ind w:left="5051" w:hanging="161"/>
      </w:pPr>
      <w:rPr>
        <w:rFonts w:hint="default"/>
        <w:lang w:val="ro-RO" w:eastAsia="en-US" w:bidi="ar-SA"/>
      </w:rPr>
    </w:lvl>
    <w:lvl w:ilvl="5" w:tplc="839C8DFC">
      <w:numFmt w:val="bullet"/>
      <w:lvlText w:val="•"/>
      <w:lvlJc w:val="left"/>
      <w:pPr>
        <w:ind w:left="5759" w:hanging="161"/>
      </w:pPr>
      <w:rPr>
        <w:rFonts w:hint="default"/>
        <w:lang w:val="ro-RO" w:eastAsia="en-US" w:bidi="ar-SA"/>
      </w:rPr>
    </w:lvl>
    <w:lvl w:ilvl="6" w:tplc="6698499C">
      <w:numFmt w:val="bullet"/>
      <w:lvlText w:val="•"/>
      <w:lvlJc w:val="left"/>
      <w:pPr>
        <w:ind w:left="6466" w:hanging="161"/>
      </w:pPr>
      <w:rPr>
        <w:rFonts w:hint="default"/>
        <w:lang w:val="ro-RO" w:eastAsia="en-US" w:bidi="ar-SA"/>
      </w:rPr>
    </w:lvl>
    <w:lvl w:ilvl="7" w:tplc="50FE9420">
      <w:numFmt w:val="bullet"/>
      <w:lvlText w:val="•"/>
      <w:lvlJc w:val="left"/>
      <w:pPr>
        <w:ind w:left="7174" w:hanging="161"/>
      </w:pPr>
      <w:rPr>
        <w:rFonts w:hint="default"/>
        <w:lang w:val="ro-RO" w:eastAsia="en-US" w:bidi="ar-SA"/>
      </w:rPr>
    </w:lvl>
    <w:lvl w:ilvl="8" w:tplc="1B8AF974">
      <w:numFmt w:val="bullet"/>
      <w:lvlText w:val="•"/>
      <w:lvlJc w:val="left"/>
      <w:pPr>
        <w:ind w:left="7882" w:hanging="161"/>
      </w:pPr>
      <w:rPr>
        <w:rFonts w:hint="default"/>
        <w:lang w:val="ro-RO" w:eastAsia="en-US" w:bidi="ar-SA"/>
      </w:rPr>
    </w:lvl>
  </w:abstractNum>
  <w:abstractNum w:abstractNumId="34" w15:restartNumberingAfterBreak="0">
    <w:nsid w:val="25226A15"/>
    <w:multiLevelType w:val="hybridMultilevel"/>
    <w:tmpl w:val="00000000"/>
    <w:lvl w:ilvl="0" w:tplc="913E6E68">
      <w:numFmt w:val="bullet"/>
      <w:lvlText w:val="•"/>
      <w:lvlJc w:val="left"/>
      <w:pPr>
        <w:ind w:left="777" w:hanging="360"/>
      </w:pPr>
      <w:rPr>
        <w:rFonts w:ascii="Calibri" w:eastAsia="Calibri" w:hAnsi="Calibri" w:cs="Calibri" w:hint="default"/>
        <w:spacing w:val="0"/>
        <w:w w:val="92"/>
        <w:lang w:val="ro-RO" w:eastAsia="en-US" w:bidi="ar-SA"/>
      </w:rPr>
    </w:lvl>
    <w:lvl w:ilvl="1" w:tplc="2EACE93C">
      <w:numFmt w:val="bullet"/>
      <w:lvlText w:val="o"/>
      <w:lvlJc w:val="left"/>
      <w:pPr>
        <w:ind w:left="1497" w:hanging="360"/>
      </w:pPr>
      <w:rPr>
        <w:rFonts w:ascii="Courier New" w:eastAsia="Courier New" w:hAnsi="Courier New" w:cs="Courier New" w:hint="default"/>
        <w:b w:val="0"/>
        <w:bCs w:val="0"/>
        <w:i w:val="0"/>
        <w:iCs w:val="0"/>
        <w:spacing w:val="0"/>
        <w:w w:val="100"/>
        <w:sz w:val="18"/>
        <w:szCs w:val="18"/>
        <w:lang w:val="ro-RO" w:eastAsia="en-US" w:bidi="ar-SA"/>
      </w:rPr>
    </w:lvl>
    <w:lvl w:ilvl="2" w:tplc="276E174A">
      <w:numFmt w:val="bullet"/>
      <w:lvlText w:val="•"/>
      <w:lvlJc w:val="left"/>
      <w:pPr>
        <w:ind w:left="2435" w:hanging="360"/>
      </w:pPr>
      <w:rPr>
        <w:rFonts w:hint="default"/>
        <w:lang w:val="ro-RO" w:eastAsia="en-US" w:bidi="ar-SA"/>
      </w:rPr>
    </w:lvl>
    <w:lvl w:ilvl="3" w:tplc="CC4618AC">
      <w:numFmt w:val="bullet"/>
      <w:lvlText w:val="•"/>
      <w:lvlJc w:val="left"/>
      <w:pPr>
        <w:ind w:left="3371" w:hanging="360"/>
      </w:pPr>
      <w:rPr>
        <w:rFonts w:hint="default"/>
        <w:lang w:val="ro-RO" w:eastAsia="en-US" w:bidi="ar-SA"/>
      </w:rPr>
    </w:lvl>
    <w:lvl w:ilvl="4" w:tplc="CEFE6922">
      <w:numFmt w:val="bullet"/>
      <w:lvlText w:val="•"/>
      <w:lvlJc w:val="left"/>
      <w:pPr>
        <w:ind w:left="4307" w:hanging="360"/>
      </w:pPr>
      <w:rPr>
        <w:rFonts w:hint="default"/>
        <w:lang w:val="ro-RO" w:eastAsia="en-US" w:bidi="ar-SA"/>
      </w:rPr>
    </w:lvl>
    <w:lvl w:ilvl="5" w:tplc="DE9CC6BA">
      <w:numFmt w:val="bullet"/>
      <w:lvlText w:val="•"/>
      <w:lvlJc w:val="left"/>
      <w:pPr>
        <w:ind w:left="5243" w:hanging="360"/>
      </w:pPr>
      <w:rPr>
        <w:rFonts w:hint="default"/>
        <w:lang w:val="ro-RO" w:eastAsia="en-US" w:bidi="ar-SA"/>
      </w:rPr>
    </w:lvl>
    <w:lvl w:ilvl="6" w:tplc="4764343C">
      <w:numFmt w:val="bullet"/>
      <w:lvlText w:val="•"/>
      <w:lvlJc w:val="left"/>
      <w:pPr>
        <w:ind w:left="6179" w:hanging="360"/>
      </w:pPr>
      <w:rPr>
        <w:rFonts w:hint="default"/>
        <w:lang w:val="ro-RO" w:eastAsia="en-US" w:bidi="ar-SA"/>
      </w:rPr>
    </w:lvl>
    <w:lvl w:ilvl="7" w:tplc="74265CE0">
      <w:numFmt w:val="bullet"/>
      <w:lvlText w:val="•"/>
      <w:lvlJc w:val="left"/>
      <w:pPr>
        <w:ind w:left="7115" w:hanging="360"/>
      </w:pPr>
      <w:rPr>
        <w:rFonts w:hint="default"/>
        <w:lang w:val="ro-RO" w:eastAsia="en-US" w:bidi="ar-SA"/>
      </w:rPr>
    </w:lvl>
    <w:lvl w:ilvl="8" w:tplc="6C2436E4">
      <w:numFmt w:val="bullet"/>
      <w:lvlText w:val="•"/>
      <w:lvlJc w:val="left"/>
      <w:pPr>
        <w:ind w:left="8051" w:hanging="360"/>
      </w:pPr>
      <w:rPr>
        <w:rFonts w:hint="default"/>
        <w:lang w:val="ro-RO" w:eastAsia="en-US" w:bidi="ar-SA"/>
      </w:rPr>
    </w:lvl>
  </w:abstractNum>
  <w:abstractNum w:abstractNumId="35" w15:restartNumberingAfterBreak="0">
    <w:nsid w:val="266EC734"/>
    <w:multiLevelType w:val="multilevel"/>
    <w:tmpl w:val="00000000"/>
    <w:lvl w:ilvl="0">
      <w:start w:val="1"/>
      <w:numFmt w:val="upperRoman"/>
      <w:lvlText w:val="%1."/>
      <w:lvlJc w:val="left"/>
      <w:pPr>
        <w:ind w:left="1413" w:hanging="540"/>
      </w:pPr>
      <w:rPr>
        <w:rFonts w:ascii="Calibri" w:eastAsia="Calibri" w:hAnsi="Calibri" w:cs="Calibri" w:hint="default"/>
        <w:b/>
        <w:bCs/>
        <w:i w:val="0"/>
        <w:iCs w:val="0"/>
        <w:color w:val="009DEF"/>
        <w:spacing w:val="-1"/>
        <w:w w:val="170"/>
        <w:sz w:val="22"/>
        <w:szCs w:val="22"/>
        <w:lang w:val="ro-RO" w:eastAsia="en-US" w:bidi="ar-SA"/>
      </w:rPr>
    </w:lvl>
    <w:lvl w:ilvl="1">
      <w:start w:val="1"/>
      <w:numFmt w:val="decimal"/>
      <w:lvlText w:val="%1.%2."/>
      <w:lvlJc w:val="left"/>
      <w:pPr>
        <w:ind w:left="1773" w:hanging="720"/>
      </w:pPr>
      <w:rPr>
        <w:rFonts w:ascii="Calibri" w:eastAsia="Calibri" w:hAnsi="Calibri" w:cs="Calibri" w:hint="default"/>
        <w:b/>
        <w:bCs/>
        <w:i w:val="0"/>
        <w:iCs w:val="0"/>
        <w:spacing w:val="-1"/>
        <w:w w:val="137"/>
        <w:sz w:val="20"/>
        <w:szCs w:val="20"/>
        <w:lang w:val="ro-RO" w:eastAsia="en-US" w:bidi="ar-SA"/>
      </w:rPr>
    </w:lvl>
    <w:lvl w:ilvl="2">
      <w:start w:val="1"/>
      <w:numFmt w:val="decimal"/>
      <w:lvlText w:val="%1.%2.%3."/>
      <w:lvlJc w:val="left"/>
      <w:pPr>
        <w:ind w:left="2133" w:hanging="900"/>
      </w:pPr>
      <w:rPr>
        <w:rFonts w:ascii="Acumin Pro Wide Black" w:eastAsia="Acumin Pro Wide Black" w:hAnsi="Acumin Pro Wide Black" w:cs="Acumin Pro Wide Black" w:hint="default"/>
        <w:b/>
        <w:bCs/>
        <w:i/>
        <w:iCs/>
        <w:spacing w:val="-1"/>
        <w:w w:val="115"/>
        <w:sz w:val="18"/>
        <w:szCs w:val="18"/>
        <w:lang w:val="ro-RO" w:eastAsia="en-US" w:bidi="ar-SA"/>
      </w:rPr>
    </w:lvl>
    <w:lvl w:ilvl="3">
      <w:numFmt w:val="bullet"/>
      <w:lvlText w:val="•"/>
      <w:lvlJc w:val="left"/>
      <w:pPr>
        <w:ind w:left="1880" w:hanging="900"/>
      </w:pPr>
      <w:rPr>
        <w:rFonts w:hint="default"/>
        <w:lang w:val="ro-RO" w:eastAsia="en-US" w:bidi="ar-SA"/>
      </w:rPr>
    </w:lvl>
    <w:lvl w:ilvl="4">
      <w:numFmt w:val="bullet"/>
      <w:lvlText w:val="•"/>
      <w:lvlJc w:val="left"/>
      <w:pPr>
        <w:ind w:left="1960" w:hanging="900"/>
      </w:pPr>
      <w:rPr>
        <w:rFonts w:hint="default"/>
        <w:lang w:val="ro-RO" w:eastAsia="en-US" w:bidi="ar-SA"/>
      </w:rPr>
    </w:lvl>
    <w:lvl w:ilvl="5">
      <w:numFmt w:val="bullet"/>
      <w:lvlText w:val="•"/>
      <w:lvlJc w:val="left"/>
      <w:pPr>
        <w:ind w:left="2080" w:hanging="900"/>
      </w:pPr>
      <w:rPr>
        <w:rFonts w:hint="default"/>
        <w:lang w:val="ro-RO" w:eastAsia="en-US" w:bidi="ar-SA"/>
      </w:rPr>
    </w:lvl>
    <w:lvl w:ilvl="6">
      <w:numFmt w:val="bullet"/>
      <w:lvlText w:val="•"/>
      <w:lvlJc w:val="left"/>
      <w:pPr>
        <w:ind w:left="2140" w:hanging="900"/>
      </w:pPr>
      <w:rPr>
        <w:rFonts w:hint="default"/>
        <w:lang w:val="ro-RO" w:eastAsia="en-US" w:bidi="ar-SA"/>
      </w:rPr>
    </w:lvl>
    <w:lvl w:ilvl="7">
      <w:numFmt w:val="bullet"/>
      <w:lvlText w:val="•"/>
      <w:lvlJc w:val="left"/>
      <w:pPr>
        <w:ind w:left="2320" w:hanging="900"/>
      </w:pPr>
      <w:rPr>
        <w:rFonts w:hint="default"/>
        <w:lang w:val="ro-RO" w:eastAsia="en-US" w:bidi="ar-SA"/>
      </w:rPr>
    </w:lvl>
    <w:lvl w:ilvl="8">
      <w:numFmt w:val="bullet"/>
      <w:lvlText w:val="•"/>
      <w:lvlJc w:val="left"/>
      <w:pPr>
        <w:ind w:left="5326" w:hanging="900"/>
      </w:pPr>
      <w:rPr>
        <w:rFonts w:hint="default"/>
        <w:lang w:val="ro-RO" w:eastAsia="en-US" w:bidi="ar-SA"/>
      </w:rPr>
    </w:lvl>
  </w:abstractNum>
  <w:abstractNum w:abstractNumId="36" w15:restartNumberingAfterBreak="0">
    <w:nsid w:val="2705D6EE"/>
    <w:multiLevelType w:val="hybridMultilevel"/>
    <w:tmpl w:val="00000000"/>
    <w:lvl w:ilvl="0" w:tplc="9F9EFAAA">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D4AC71EC">
      <w:numFmt w:val="bullet"/>
      <w:lvlText w:val="•"/>
      <w:lvlJc w:val="left"/>
      <w:pPr>
        <w:ind w:left="2466" w:hanging="360"/>
      </w:pPr>
      <w:rPr>
        <w:rFonts w:hint="default"/>
        <w:lang w:val="ro-RO" w:eastAsia="en-US" w:bidi="ar-SA"/>
      </w:rPr>
    </w:lvl>
    <w:lvl w:ilvl="2" w:tplc="C8340610">
      <w:numFmt w:val="bullet"/>
      <w:lvlText w:val="•"/>
      <w:lvlJc w:val="left"/>
      <w:pPr>
        <w:ind w:left="3452" w:hanging="360"/>
      </w:pPr>
      <w:rPr>
        <w:rFonts w:hint="default"/>
        <w:lang w:val="ro-RO" w:eastAsia="en-US" w:bidi="ar-SA"/>
      </w:rPr>
    </w:lvl>
    <w:lvl w:ilvl="3" w:tplc="E50CA43E">
      <w:numFmt w:val="bullet"/>
      <w:lvlText w:val="•"/>
      <w:lvlJc w:val="left"/>
      <w:pPr>
        <w:ind w:left="4438" w:hanging="360"/>
      </w:pPr>
      <w:rPr>
        <w:rFonts w:hint="default"/>
        <w:lang w:val="ro-RO" w:eastAsia="en-US" w:bidi="ar-SA"/>
      </w:rPr>
    </w:lvl>
    <w:lvl w:ilvl="4" w:tplc="8CFC4AC6">
      <w:numFmt w:val="bullet"/>
      <w:lvlText w:val="•"/>
      <w:lvlJc w:val="left"/>
      <w:pPr>
        <w:ind w:left="5424" w:hanging="360"/>
      </w:pPr>
      <w:rPr>
        <w:rFonts w:hint="default"/>
        <w:lang w:val="ro-RO" w:eastAsia="en-US" w:bidi="ar-SA"/>
      </w:rPr>
    </w:lvl>
    <w:lvl w:ilvl="5" w:tplc="EDC66880">
      <w:numFmt w:val="bullet"/>
      <w:lvlText w:val="•"/>
      <w:lvlJc w:val="left"/>
      <w:pPr>
        <w:ind w:left="6410" w:hanging="360"/>
      </w:pPr>
      <w:rPr>
        <w:rFonts w:hint="default"/>
        <w:lang w:val="ro-RO" w:eastAsia="en-US" w:bidi="ar-SA"/>
      </w:rPr>
    </w:lvl>
    <w:lvl w:ilvl="6" w:tplc="85626456">
      <w:numFmt w:val="bullet"/>
      <w:lvlText w:val="•"/>
      <w:lvlJc w:val="left"/>
      <w:pPr>
        <w:ind w:left="7396" w:hanging="360"/>
      </w:pPr>
      <w:rPr>
        <w:rFonts w:hint="default"/>
        <w:lang w:val="ro-RO" w:eastAsia="en-US" w:bidi="ar-SA"/>
      </w:rPr>
    </w:lvl>
    <w:lvl w:ilvl="7" w:tplc="B080D620">
      <w:numFmt w:val="bullet"/>
      <w:lvlText w:val="•"/>
      <w:lvlJc w:val="left"/>
      <w:pPr>
        <w:ind w:left="8382" w:hanging="360"/>
      </w:pPr>
      <w:rPr>
        <w:rFonts w:hint="default"/>
        <w:lang w:val="ro-RO" w:eastAsia="en-US" w:bidi="ar-SA"/>
      </w:rPr>
    </w:lvl>
    <w:lvl w:ilvl="8" w:tplc="22F21F28">
      <w:numFmt w:val="bullet"/>
      <w:lvlText w:val="•"/>
      <w:lvlJc w:val="left"/>
      <w:pPr>
        <w:ind w:left="9368" w:hanging="360"/>
      </w:pPr>
      <w:rPr>
        <w:rFonts w:hint="default"/>
        <w:lang w:val="ro-RO" w:eastAsia="en-US" w:bidi="ar-SA"/>
      </w:rPr>
    </w:lvl>
  </w:abstractNum>
  <w:abstractNum w:abstractNumId="37" w15:restartNumberingAfterBreak="0">
    <w:nsid w:val="273C1687"/>
    <w:multiLevelType w:val="hybridMultilevel"/>
    <w:tmpl w:val="00000000"/>
    <w:lvl w:ilvl="0" w:tplc="DDF6C3F4">
      <w:start w:val="1"/>
      <w:numFmt w:val="upperLetter"/>
      <w:lvlText w:val="%1."/>
      <w:lvlJc w:val="left"/>
      <w:pPr>
        <w:ind w:left="777" w:hanging="360"/>
      </w:pPr>
      <w:rPr>
        <w:rFonts w:ascii="Calibri" w:eastAsia="Calibri" w:hAnsi="Calibri" w:cs="Calibri" w:hint="default"/>
        <w:b/>
        <w:bCs/>
        <w:i w:val="0"/>
        <w:iCs w:val="0"/>
        <w:color w:val="00AFEF"/>
        <w:spacing w:val="-2"/>
        <w:w w:val="129"/>
        <w:sz w:val="20"/>
        <w:szCs w:val="20"/>
        <w:lang w:val="ro-RO" w:eastAsia="en-US" w:bidi="ar-SA"/>
      </w:rPr>
    </w:lvl>
    <w:lvl w:ilvl="1" w:tplc="03461124">
      <w:numFmt w:val="bullet"/>
      <w:lvlText w:val="•"/>
      <w:lvlJc w:val="left"/>
      <w:pPr>
        <w:ind w:left="1736" w:hanging="360"/>
      </w:pPr>
      <w:rPr>
        <w:rFonts w:hint="default"/>
        <w:lang w:val="ro-RO" w:eastAsia="en-US" w:bidi="ar-SA"/>
      </w:rPr>
    </w:lvl>
    <w:lvl w:ilvl="2" w:tplc="14127832">
      <w:numFmt w:val="bullet"/>
      <w:lvlText w:val="•"/>
      <w:lvlJc w:val="left"/>
      <w:pPr>
        <w:ind w:left="2693" w:hanging="360"/>
      </w:pPr>
      <w:rPr>
        <w:rFonts w:hint="default"/>
        <w:lang w:val="ro-RO" w:eastAsia="en-US" w:bidi="ar-SA"/>
      </w:rPr>
    </w:lvl>
    <w:lvl w:ilvl="3" w:tplc="B6DED63C">
      <w:numFmt w:val="bullet"/>
      <w:lvlText w:val="•"/>
      <w:lvlJc w:val="left"/>
      <w:pPr>
        <w:ind w:left="3650" w:hanging="360"/>
      </w:pPr>
      <w:rPr>
        <w:rFonts w:hint="default"/>
        <w:lang w:val="ro-RO" w:eastAsia="en-US" w:bidi="ar-SA"/>
      </w:rPr>
    </w:lvl>
    <w:lvl w:ilvl="4" w:tplc="6B96C2C8">
      <w:numFmt w:val="bullet"/>
      <w:lvlText w:val="•"/>
      <w:lvlJc w:val="left"/>
      <w:pPr>
        <w:ind w:left="4607" w:hanging="360"/>
      </w:pPr>
      <w:rPr>
        <w:rFonts w:hint="default"/>
        <w:lang w:val="ro-RO" w:eastAsia="en-US" w:bidi="ar-SA"/>
      </w:rPr>
    </w:lvl>
    <w:lvl w:ilvl="5" w:tplc="EA9E51AA">
      <w:numFmt w:val="bullet"/>
      <w:lvlText w:val="•"/>
      <w:lvlJc w:val="left"/>
      <w:pPr>
        <w:ind w:left="5564" w:hanging="360"/>
      </w:pPr>
      <w:rPr>
        <w:rFonts w:hint="default"/>
        <w:lang w:val="ro-RO" w:eastAsia="en-US" w:bidi="ar-SA"/>
      </w:rPr>
    </w:lvl>
    <w:lvl w:ilvl="6" w:tplc="4FCE063A">
      <w:numFmt w:val="bullet"/>
      <w:lvlText w:val="•"/>
      <w:lvlJc w:val="left"/>
      <w:pPr>
        <w:ind w:left="6521" w:hanging="360"/>
      </w:pPr>
      <w:rPr>
        <w:rFonts w:hint="default"/>
        <w:lang w:val="ro-RO" w:eastAsia="en-US" w:bidi="ar-SA"/>
      </w:rPr>
    </w:lvl>
    <w:lvl w:ilvl="7" w:tplc="280E0D12">
      <w:numFmt w:val="bullet"/>
      <w:lvlText w:val="•"/>
      <w:lvlJc w:val="left"/>
      <w:pPr>
        <w:ind w:left="7477" w:hanging="360"/>
      </w:pPr>
      <w:rPr>
        <w:rFonts w:hint="default"/>
        <w:lang w:val="ro-RO" w:eastAsia="en-US" w:bidi="ar-SA"/>
      </w:rPr>
    </w:lvl>
    <w:lvl w:ilvl="8" w:tplc="D50A620C">
      <w:numFmt w:val="bullet"/>
      <w:lvlText w:val="•"/>
      <w:lvlJc w:val="left"/>
      <w:pPr>
        <w:ind w:left="8434" w:hanging="360"/>
      </w:pPr>
      <w:rPr>
        <w:rFonts w:hint="default"/>
        <w:lang w:val="ro-RO" w:eastAsia="en-US" w:bidi="ar-SA"/>
      </w:rPr>
    </w:lvl>
  </w:abstractNum>
  <w:abstractNum w:abstractNumId="38" w15:restartNumberingAfterBreak="0">
    <w:nsid w:val="2844D717"/>
    <w:multiLevelType w:val="hybridMultilevel"/>
    <w:tmpl w:val="00000000"/>
    <w:lvl w:ilvl="0" w:tplc="3326900A">
      <w:numFmt w:val="bullet"/>
      <w:lvlText w:val="•"/>
      <w:lvlJc w:val="left"/>
      <w:pPr>
        <w:ind w:left="2105" w:hanging="161"/>
      </w:pPr>
      <w:rPr>
        <w:rFonts w:ascii="Calibri" w:eastAsia="Calibri" w:hAnsi="Calibri" w:cs="Calibri" w:hint="default"/>
        <w:b w:val="0"/>
        <w:bCs w:val="0"/>
        <w:i w:val="0"/>
        <w:iCs w:val="0"/>
        <w:spacing w:val="0"/>
        <w:w w:val="109"/>
        <w:sz w:val="18"/>
        <w:szCs w:val="18"/>
        <w:lang w:val="ro-RO" w:eastAsia="en-US" w:bidi="ar-SA"/>
      </w:rPr>
    </w:lvl>
    <w:lvl w:ilvl="1" w:tplc="78E0BBA6">
      <w:numFmt w:val="bullet"/>
      <w:lvlText w:val="•"/>
      <w:lvlJc w:val="left"/>
      <w:pPr>
        <w:ind w:left="2767" w:hanging="161"/>
      </w:pPr>
      <w:rPr>
        <w:rFonts w:hint="default"/>
        <w:lang w:val="ro-RO" w:eastAsia="en-US" w:bidi="ar-SA"/>
      </w:rPr>
    </w:lvl>
    <w:lvl w:ilvl="2" w:tplc="57860078">
      <w:numFmt w:val="bullet"/>
      <w:lvlText w:val="•"/>
      <w:lvlJc w:val="left"/>
      <w:pPr>
        <w:ind w:left="3434" w:hanging="161"/>
      </w:pPr>
      <w:rPr>
        <w:rFonts w:hint="default"/>
        <w:lang w:val="ro-RO" w:eastAsia="en-US" w:bidi="ar-SA"/>
      </w:rPr>
    </w:lvl>
    <w:lvl w:ilvl="3" w:tplc="3780B48A">
      <w:numFmt w:val="bullet"/>
      <w:lvlText w:val="•"/>
      <w:lvlJc w:val="left"/>
      <w:pPr>
        <w:ind w:left="4101" w:hanging="161"/>
      </w:pPr>
      <w:rPr>
        <w:rFonts w:hint="default"/>
        <w:lang w:val="ro-RO" w:eastAsia="en-US" w:bidi="ar-SA"/>
      </w:rPr>
    </w:lvl>
    <w:lvl w:ilvl="4" w:tplc="97D434AA">
      <w:numFmt w:val="bullet"/>
      <w:lvlText w:val="•"/>
      <w:lvlJc w:val="left"/>
      <w:pPr>
        <w:ind w:left="4769" w:hanging="161"/>
      </w:pPr>
      <w:rPr>
        <w:rFonts w:hint="default"/>
        <w:lang w:val="ro-RO" w:eastAsia="en-US" w:bidi="ar-SA"/>
      </w:rPr>
    </w:lvl>
    <w:lvl w:ilvl="5" w:tplc="BDB8AF60">
      <w:numFmt w:val="bullet"/>
      <w:lvlText w:val="•"/>
      <w:lvlJc w:val="left"/>
      <w:pPr>
        <w:ind w:left="5436" w:hanging="161"/>
      </w:pPr>
      <w:rPr>
        <w:rFonts w:hint="default"/>
        <w:lang w:val="ro-RO" w:eastAsia="en-US" w:bidi="ar-SA"/>
      </w:rPr>
    </w:lvl>
    <w:lvl w:ilvl="6" w:tplc="A69076B2">
      <w:numFmt w:val="bullet"/>
      <w:lvlText w:val="•"/>
      <w:lvlJc w:val="left"/>
      <w:pPr>
        <w:ind w:left="6103" w:hanging="161"/>
      </w:pPr>
      <w:rPr>
        <w:rFonts w:hint="default"/>
        <w:lang w:val="ro-RO" w:eastAsia="en-US" w:bidi="ar-SA"/>
      </w:rPr>
    </w:lvl>
    <w:lvl w:ilvl="7" w:tplc="05C48302">
      <w:numFmt w:val="bullet"/>
      <w:lvlText w:val="•"/>
      <w:lvlJc w:val="left"/>
      <w:pPr>
        <w:ind w:left="6771" w:hanging="161"/>
      </w:pPr>
      <w:rPr>
        <w:rFonts w:hint="default"/>
        <w:lang w:val="ro-RO" w:eastAsia="en-US" w:bidi="ar-SA"/>
      </w:rPr>
    </w:lvl>
    <w:lvl w:ilvl="8" w:tplc="51905830">
      <w:numFmt w:val="bullet"/>
      <w:lvlText w:val="•"/>
      <w:lvlJc w:val="left"/>
      <w:pPr>
        <w:ind w:left="7438" w:hanging="161"/>
      </w:pPr>
      <w:rPr>
        <w:rFonts w:hint="default"/>
        <w:lang w:val="ro-RO" w:eastAsia="en-US" w:bidi="ar-SA"/>
      </w:rPr>
    </w:lvl>
  </w:abstractNum>
  <w:abstractNum w:abstractNumId="39" w15:restartNumberingAfterBreak="0">
    <w:nsid w:val="28574B8D"/>
    <w:multiLevelType w:val="hybridMultilevel"/>
    <w:tmpl w:val="311EDA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28C54591"/>
    <w:multiLevelType w:val="hybridMultilevel"/>
    <w:tmpl w:val="FDE4CA2E"/>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41" w15:restartNumberingAfterBreak="0">
    <w:nsid w:val="2930D61E"/>
    <w:multiLevelType w:val="hybridMultilevel"/>
    <w:tmpl w:val="00000000"/>
    <w:lvl w:ilvl="0" w:tplc="34201D6C">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2CC26818">
      <w:numFmt w:val="bullet"/>
      <w:lvlText w:val="•"/>
      <w:lvlJc w:val="left"/>
      <w:pPr>
        <w:ind w:left="2466" w:hanging="360"/>
      </w:pPr>
      <w:rPr>
        <w:rFonts w:hint="default"/>
        <w:lang w:val="ro-RO" w:eastAsia="en-US" w:bidi="ar-SA"/>
      </w:rPr>
    </w:lvl>
    <w:lvl w:ilvl="2" w:tplc="EC12ED28">
      <w:numFmt w:val="bullet"/>
      <w:lvlText w:val="•"/>
      <w:lvlJc w:val="left"/>
      <w:pPr>
        <w:ind w:left="3452" w:hanging="360"/>
      </w:pPr>
      <w:rPr>
        <w:rFonts w:hint="default"/>
        <w:lang w:val="ro-RO" w:eastAsia="en-US" w:bidi="ar-SA"/>
      </w:rPr>
    </w:lvl>
    <w:lvl w:ilvl="3" w:tplc="CDCA6124">
      <w:numFmt w:val="bullet"/>
      <w:lvlText w:val="•"/>
      <w:lvlJc w:val="left"/>
      <w:pPr>
        <w:ind w:left="4438" w:hanging="360"/>
      </w:pPr>
      <w:rPr>
        <w:rFonts w:hint="default"/>
        <w:lang w:val="ro-RO" w:eastAsia="en-US" w:bidi="ar-SA"/>
      </w:rPr>
    </w:lvl>
    <w:lvl w:ilvl="4" w:tplc="FA0EA434">
      <w:numFmt w:val="bullet"/>
      <w:lvlText w:val="•"/>
      <w:lvlJc w:val="left"/>
      <w:pPr>
        <w:ind w:left="5424" w:hanging="360"/>
      </w:pPr>
      <w:rPr>
        <w:rFonts w:hint="default"/>
        <w:lang w:val="ro-RO" w:eastAsia="en-US" w:bidi="ar-SA"/>
      </w:rPr>
    </w:lvl>
    <w:lvl w:ilvl="5" w:tplc="FE767B72">
      <w:numFmt w:val="bullet"/>
      <w:lvlText w:val="•"/>
      <w:lvlJc w:val="left"/>
      <w:pPr>
        <w:ind w:left="6410" w:hanging="360"/>
      </w:pPr>
      <w:rPr>
        <w:rFonts w:hint="default"/>
        <w:lang w:val="ro-RO" w:eastAsia="en-US" w:bidi="ar-SA"/>
      </w:rPr>
    </w:lvl>
    <w:lvl w:ilvl="6" w:tplc="501A7EC2">
      <w:numFmt w:val="bullet"/>
      <w:lvlText w:val="•"/>
      <w:lvlJc w:val="left"/>
      <w:pPr>
        <w:ind w:left="7396" w:hanging="360"/>
      </w:pPr>
      <w:rPr>
        <w:rFonts w:hint="default"/>
        <w:lang w:val="ro-RO" w:eastAsia="en-US" w:bidi="ar-SA"/>
      </w:rPr>
    </w:lvl>
    <w:lvl w:ilvl="7" w:tplc="7EC0192E">
      <w:numFmt w:val="bullet"/>
      <w:lvlText w:val="•"/>
      <w:lvlJc w:val="left"/>
      <w:pPr>
        <w:ind w:left="8382" w:hanging="360"/>
      </w:pPr>
      <w:rPr>
        <w:rFonts w:hint="default"/>
        <w:lang w:val="ro-RO" w:eastAsia="en-US" w:bidi="ar-SA"/>
      </w:rPr>
    </w:lvl>
    <w:lvl w:ilvl="8" w:tplc="5A96A3CC">
      <w:numFmt w:val="bullet"/>
      <w:lvlText w:val="•"/>
      <w:lvlJc w:val="left"/>
      <w:pPr>
        <w:ind w:left="9368" w:hanging="360"/>
      </w:pPr>
      <w:rPr>
        <w:rFonts w:hint="default"/>
        <w:lang w:val="ro-RO" w:eastAsia="en-US" w:bidi="ar-SA"/>
      </w:rPr>
    </w:lvl>
  </w:abstractNum>
  <w:abstractNum w:abstractNumId="42" w15:restartNumberingAfterBreak="0">
    <w:nsid w:val="29A730D1"/>
    <w:multiLevelType w:val="hybridMultilevel"/>
    <w:tmpl w:val="36C6B242"/>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43" w15:restartNumberingAfterBreak="0">
    <w:nsid w:val="2A8FB7E2"/>
    <w:multiLevelType w:val="hybridMultilevel"/>
    <w:tmpl w:val="00000000"/>
    <w:lvl w:ilvl="0" w:tplc="8F6E0210">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8A204F14">
      <w:numFmt w:val="bullet"/>
      <w:lvlText w:val="•"/>
      <w:lvlJc w:val="left"/>
      <w:pPr>
        <w:ind w:left="2909" w:hanging="161"/>
      </w:pPr>
      <w:rPr>
        <w:rFonts w:hint="default"/>
        <w:lang w:val="ro-RO" w:eastAsia="en-US" w:bidi="ar-SA"/>
      </w:rPr>
    </w:lvl>
    <w:lvl w:ilvl="2" w:tplc="0038CFFE">
      <w:numFmt w:val="bullet"/>
      <w:lvlText w:val="•"/>
      <w:lvlJc w:val="left"/>
      <w:pPr>
        <w:ind w:left="3619" w:hanging="161"/>
      </w:pPr>
      <w:rPr>
        <w:rFonts w:hint="default"/>
        <w:lang w:val="ro-RO" w:eastAsia="en-US" w:bidi="ar-SA"/>
      </w:rPr>
    </w:lvl>
    <w:lvl w:ilvl="3" w:tplc="CB6C7484">
      <w:numFmt w:val="bullet"/>
      <w:lvlText w:val="•"/>
      <w:lvlJc w:val="left"/>
      <w:pPr>
        <w:ind w:left="4329" w:hanging="161"/>
      </w:pPr>
      <w:rPr>
        <w:rFonts w:hint="default"/>
        <w:lang w:val="ro-RO" w:eastAsia="en-US" w:bidi="ar-SA"/>
      </w:rPr>
    </w:lvl>
    <w:lvl w:ilvl="4" w:tplc="88A837AC">
      <w:numFmt w:val="bullet"/>
      <w:lvlText w:val="•"/>
      <w:lvlJc w:val="left"/>
      <w:pPr>
        <w:ind w:left="5039" w:hanging="161"/>
      </w:pPr>
      <w:rPr>
        <w:rFonts w:hint="default"/>
        <w:lang w:val="ro-RO" w:eastAsia="en-US" w:bidi="ar-SA"/>
      </w:rPr>
    </w:lvl>
    <w:lvl w:ilvl="5" w:tplc="0E94A754">
      <w:numFmt w:val="bullet"/>
      <w:lvlText w:val="•"/>
      <w:lvlJc w:val="left"/>
      <w:pPr>
        <w:ind w:left="5749" w:hanging="161"/>
      </w:pPr>
      <w:rPr>
        <w:rFonts w:hint="default"/>
        <w:lang w:val="ro-RO" w:eastAsia="en-US" w:bidi="ar-SA"/>
      </w:rPr>
    </w:lvl>
    <w:lvl w:ilvl="6" w:tplc="E0048B6C">
      <w:numFmt w:val="bullet"/>
      <w:lvlText w:val="•"/>
      <w:lvlJc w:val="left"/>
      <w:pPr>
        <w:ind w:left="6458" w:hanging="161"/>
      </w:pPr>
      <w:rPr>
        <w:rFonts w:hint="default"/>
        <w:lang w:val="ro-RO" w:eastAsia="en-US" w:bidi="ar-SA"/>
      </w:rPr>
    </w:lvl>
    <w:lvl w:ilvl="7" w:tplc="40126796">
      <w:numFmt w:val="bullet"/>
      <w:lvlText w:val="•"/>
      <w:lvlJc w:val="left"/>
      <w:pPr>
        <w:ind w:left="7168" w:hanging="161"/>
      </w:pPr>
      <w:rPr>
        <w:rFonts w:hint="default"/>
        <w:lang w:val="ro-RO" w:eastAsia="en-US" w:bidi="ar-SA"/>
      </w:rPr>
    </w:lvl>
    <w:lvl w:ilvl="8" w:tplc="8012D2C0">
      <w:numFmt w:val="bullet"/>
      <w:lvlText w:val="•"/>
      <w:lvlJc w:val="left"/>
      <w:pPr>
        <w:ind w:left="7878" w:hanging="161"/>
      </w:pPr>
      <w:rPr>
        <w:rFonts w:hint="default"/>
        <w:lang w:val="ro-RO" w:eastAsia="en-US" w:bidi="ar-SA"/>
      </w:rPr>
    </w:lvl>
  </w:abstractNum>
  <w:abstractNum w:abstractNumId="44" w15:restartNumberingAfterBreak="0">
    <w:nsid w:val="2BEAC301"/>
    <w:multiLevelType w:val="multilevel"/>
    <w:tmpl w:val="00000000"/>
    <w:lvl w:ilvl="0">
      <w:start w:val="7"/>
      <w:numFmt w:val="upperRoman"/>
      <w:lvlText w:val="%1"/>
      <w:lvlJc w:val="left"/>
      <w:pPr>
        <w:ind w:left="2268" w:hanging="1035"/>
      </w:pPr>
      <w:rPr>
        <w:rFonts w:hint="default"/>
        <w:lang w:val="ro-RO" w:eastAsia="en-US" w:bidi="ar-SA"/>
      </w:rPr>
    </w:lvl>
    <w:lvl w:ilvl="1">
      <w:start w:val="10"/>
      <w:numFmt w:val="decimal"/>
      <w:lvlText w:val="%1.%2"/>
      <w:lvlJc w:val="left"/>
      <w:pPr>
        <w:ind w:left="2268" w:hanging="1035"/>
      </w:pPr>
      <w:rPr>
        <w:rFonts w:hint="default"/>
        <w:lang w:val="ro-RO" w:eastAsia="en-US" w:bidi="ar-SA"/>
      </w:rPr>
    </w:lvl>
    <w:lvl w:ilvl="2">
      <w:start w:val="1"/>
      <w:numFmt w:val="decimal"/>
      <w:lvlText w:val="%1.%2.%3."/>
      <w:lvlJc w:val="left"/>
      <w:pPr>
        <w:ind w:left="2268" w:hanging="1035"/>
      </w:pPr>
      <w:rPr>
        <w:rFonts w:ascii="Acumin Pro Wide Black" w:eastAsia="Acumin Pro Wide Black" w:hAnsi="Acumin Pro Wide Black" w:cs="Acumin Pro Wide Black" w:hint="default"/>
        <w:b/>
        <w:bCs/>
        <w:i/>
        <w:iCs/>
        <w:spacing w:val="-1"/>
        <w:w w:val="98"/>
        <w:sz w:val="18"/>
        <w:szCs w:val="18"/>
        <w:lang w:val="ro-RO" w:eastAsia="en-US" w:bidi="ar-SA"/>
      </w:rPr>
    </w:lvl>
    <w:lvl w:ilvl="3">
      <w:numFmt w:val="bullet"/>
      <w:lvlText w:val="•"/>
      <w:lvlJc w:val="left"/>
      <w:pPr>
        <w:ind w:left="4984" w:hanging="1035"/>
      </w:pPr>
      <w:rPr>
        <w:rFonts w:hint="default"/>
        <w:lang w:val="ro-RO" w:eastAsia="en-US" w:bidi="ar-SA"/>
      </w:rPr>
    </w:lvl>
    <w:lvl w:ilvl="4">
      <w:numFmt w:val="bullet"/>
      <w:lvlText w:val="•"/>
      <w:lvlJc w:val="left"/>
      <w:pPr>
        <w:ind w:left="5892" w:hanging="1035"/>
      </w:pPr>
      <w:rPr>
        <w:rFonts w:hint="default"/>
        <w:lang w:val="ro-RO" w:eastAsia="en-US" w:bidi="ar-SA"/>
      </w:rPr>
    </w:lvl>
    <w:lvl w:ilvl="5">
      <w:numFmt w:val="bullet"/>
      <w:lvlText w:val="•"/>
      <w:lvlJc w:val="left"/>
      <w:pPr>
        <w:ind w:left="6800" w:hanging="1035"/>
      </w:pPr>
      <w:rPr>
        <w:rFonts w:hint="default"/>
        <w:lang w:val="ro-RO" w:eastAsia="en-US" w:bidi="ar-SA"/>
      </w:rPr>
    </w:lvl>
    <w:lvl w:ilvl="6">
      <w:numFmt w:val="bullet"/>
      <w:lvlText w:val="•"/>
      <w:lvlJc w:val="left"/>
      <w:pPr>
        <w:ind w:left="7708" w:hanging="1035"/>
      </w:pPr>
      <w:rPr>
        <w:rFonts w:hint="default"/>
        <w:lang w:val="ro-RO" w:eastAsia="en-US" w:bidi="ar-SA"/>
      </w:rPr>
    </w:lvl>
    <w:lvl w:ilvl="7">
      <w:numFmt w:val="bullet"/>
      <w:lvlText w:val="•"/>
      <w:lvlJc w:val="left"/>
      <w:pPr>
        <w:ind w:left="8616" w:hanging="1035"/>
      </w:pPr>
      <w:rPr>
        <w:rFonts w:hint="default"/>
        <w:lang w:val="ro-RO" w:eastAsia="en-US" w:bidi="ar-SA"/>
      </w:rPr>
    </w:lvl>
    <w:lvl w:ilvl="8">
      <w:numFmt w:val="bullet"/>
      <w:lvlText w:val="•"/>
      <w:lvlJc w:val="left"/>
      <w:pPr>
        <w:ind w:left="9524" w:hanging="1035"/>
      </w:pPr>
      <w:rPr>
        <w:rFonts w:hint="default"/>
        <w:lang w:val="ro-RO" w:eastAsia="en-US" w:bidi="ar-SA"/>
      </w:rPr>
    </w:lvl>
  </w:abstractNum>
  <w:abstractNum w:abstractNumId="45" w15:restartNumberingAfterBreak="0">
    <w:nsid w:val="2C09BB8A"/>
    <w:multiLevelType w:val="multilevel"/>
    <w:tmpl w:val="00000000"/>
    <w:lvl w:ilvl="0">
      <w:start w:val="7"/>
      <w:numFmt w:val="upperRoman"/>
      <w:lvlText w:val="%1"/>
      <w:lvlJc w:val="left"/>
      <w:pPr>
        <w:ind w:left="1419" w:hanging="1222"/>
      </w:pPr>
      <w:rPr>
        <w:rFonts w:hint="default"/>
        <w:lang w:val="ro-RO" w:eastAsia="en-US" w:bidi="ar-SA"/>
      </w:rPr>
    </w:lvl>
    <w:lvl w:ilvl="1">
      <w:start w:val="10"/>
      <w:numFmt w:val="decimal"/>
      <w:lvlText w:val="%1.%2"/>
      <w:lvlJc w:val="left"/>
      <w:pPr>
        <w:ind w:left="1419" w:hanging="1222"/>
      </w:pPr>
      <w:rPr>
        <w:rFonts w:hint="default"/>
        <w:lang w:val="ro-RO" w:eastAsia="en-US" w:bidi="ar-SA"/>
      </w:rPr>
    </w:lvl>
    <w:lvl w:ilvl="2">
      <w:start w:val="1"/>
      <w:numFmt w:val="decimal"/>
      <w:lvlText w:val="%1.%2.%3"/>
      <w:lvlJc w:val="left"/>
      <w:pPr>
        <w:ind w:left="1419" w:hanging="1222"/>
      </w:pPr>
      <w:rPr>
        <w:rFonts w:hint="default"/>
        <w:lang w:val="ro-RO" w:eastAsia="en-US" w:bidi="ar-SA"/>
      </w:rPr>
    </w:lvl>
    <w:lvl w:ilvl="3">
      <w:start w:val="2"/>
      <w:numFmt w:val="decimal"/>
      <w:lvlText w:val="%1.%2.%3.%4"/>
      <w:lvlJc w:val="left"/>
      <w:pPr>
        <w:ind w:left="1419" w:hanging="1222"/>
        <w:jc w:val="right"/>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918" w:hanging="360"/>
      </w:pPr>
      <w:rPr>
        <w:rFonts w:ascii="Calibri" w:eastAsia="Calibri" w:hAnsi="Calibri" w:cs="Calibri" w:hint="default"/>
        <w:b w:val="0"/>
        <w:bCs w:val="0"/>
        <w:i w:val="0"/>
        <w:iCs w:val="0"/>
        <w:spacing w:val="0"/>
        <w:w w:val="92"/>
        <w:sz w:val="18"/>
        <w:szCs w:val="18"/>
        <w:lang w:val="ro-RO" w:eastAsia="en-US" w:bidi="ar-SA"/>
      </w:rPr>
    </w:lvl>
    <w:lvl w:ilvl="5">
      <w:numFmt w:val="bullet"/>
      <w:lvlText w:val="•"/>
      <w:lvlJc w:val="left"/>
      <w:pPr>
        <w:ind w:left="5513" w:hanging="360"/>
      </w:pPr>
      <w:rPr>
        <w:rFonts w:hint="default"/>
        <w:lang w:val="ro-RO" w:eastAsia="en-US" w:bidi="ar-SA"/>
      </w:rPr>
    </w:lvl>
    <w:lvl w:ilvl="6">
      <w:numFmt w:val="bullet"/>
      <w:lvlText w:val="•"/>
      <w:lvlJc w:val="left"/>
      <w:pPr>
        <w:ind w:left="6537" w:hanging="360"/>
      </w:pPr>
      <w:rPr>
        <w:rFonts w:hint="default"/>
        <w:lang w:val="ro-RO" w:eastAsia="en-US" w:bidi="ar-SA"/>
      </w:rPr>
    </w:lvl>
    <w:lvl w:ilvl="7">
      <w:numFmt w:val="bullet"/>
      <w:lvlText w:val="•"/>
      <w:lvlJc w:val="left"/>
      <w:pPr>
        <w:ind w:left="7560" w:hanging="360"/>
      </w:pPr>
      <w:rPr>
        <w:rFonts w:hint="default"/>
        <w:lang w:val="ro-RO" w:eastAsia="en-US" w:bidi="ar-SA"/>
      </w:rPr>
    </w:lvl>
    <w:lvl w:ilvl="8">
      <w:numFmt w:val="bullet"/>
      <w:lvlText w:val="•"/>
      <w:lvlJc w:val="left"/>
      <w:pPr>
        <w:ind w:left="8584" w:hanging="360"/>
      </w:pPr>
      <w:rPr>
        <w:rFonts w:hint="default"/>
        <w:lang w:val="ro-RO" w:eastAsia="en-US" w:bidi="ar-SA"/>
      </w:rPr>
    </w:lvl>
  </w:abstractNum>
  <w:abstractNum w:abstractNumId="46" w15:restartNumberingAfterBreak="0">
    <w:nsid w:val="2C88BCA7"/>
    <w:multiLevelType w:val="hybridMultilevel"/>
    <w:tmpl w:val="00000000"/>
    <w:lvl w:ilvl="0" w:tplc="B53EC496">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597A1678">
      <w:numFmt w:val="bullet"/>
      <w:lvlText w:val="•"/>
      <w:lvlJc w:val="left"/>
      <w:pPr>
        <w:ind w:left="1031" w:hanging="279"/>
      </w:pPr>
      <w:rPr>
        <w:rFonts w:hint="default"/>
        <w:lang w:val="ro-RO" w:eastAsia="en-US" w:bidi="ar-SA"/>
      </w:rPr>
    </w:lvl>
    <w:lvl w:ilvl="2" w:tplc="71F2DDC0">
      <w:numFmt w:val="bullet"/>
      <w:lvlText w:val="•"/>
      <w:lvlJc w:val="left"/>
      <w:pPr>
        <w:ind w:left="1682" w:hanging="279"/>
      </w:pPr>
      <w:rPr>
        <w:rFonts w:hint="default"/>
        <w:lang w:val="ro-RO" w:eastAsia="en-US" w:bidi="ar-SA"/>
      </w:rPr>
    </w:lvl>
    <w:lvl w:ilvl="3" w:tplc="AC22408C">
      <w:numFmt w:val="bullet"/>
      <w:lvlText w:val="•"/>
      <w:lvlJc w:val="left"/>
      <w:pPr>
        <w:ind w:left="2333" w:hanging="279"/>
      </w:pPr>
      <w:rPr>
        <w:rFonts w:hint="default"/>
        <w:lang w:val="ro-RO" w:eastAsia="en-US" w:bidi="ar-SA"/>
      </w:rPr>
    </w:lvl>
    <w:lvl w:ilvl="4" w:tplc="CAF49774">
      <w:numFmt w:val="bullet"/>
      <w:lvlText w:val="•"/>
      <w:lvlJc w:val="left"/>
      <w:pPr>
        <w:ind w:left="2984" w:hanging="279"/>
      </w:pPr>
      <w:rPr>
        <w:rFonts w:hint="default"/>
        <w:lang w:val="ro-RO" w:eastAsia="en-US" w:bidi="ar-SA"/>
      </w:rPr>
    </w:lvl>
    <w:lvl w:ilvl="5" w:tplc="C082E7DA">
      <w:numFmt w:val="bullet"/>
      <w:lvlText w:val="•"/>
      <w:lvlJc w:val="left"/>
      <w:pPr>
        <w:ind w:left="3636" w:hanging="279"/>
      </w:pPr>
      <w:rPr>
        <w:rFonts w:hint="default"/>
        <w:lang w:val="ro-RO" w:eastAsia="en-US" w:bidi="ar-SA"/>
      </w:rPr>
    </w:lvl>
    <w:lvl w:ilvl="6" w:tplc="2A7EA05E">
      <w:numFmt w:val="bullet"/>
      <w:lvlText w:val="•"/>
      <w:lvlJc w:val="left"/>
      <w:pPr>
        <w:ind w:left="4287" w:hanging="279"/>
      </w:pPr>
      <w:rPr>
        <w:rFonts w:hint="default"/>
        <w:lang w:val="ro-RO" w:eastAsia="en-US" w:bidi="ar-SA"/>
      </w:rPr>
    </w:lvl>
    <w:lvl w:ilvl="7" w:tplc="ABB27720">
      <w:numFmt w:val="bullet"/>
      <w:lvlText w:val="•"/>
      <w:lvlJc w:val="left"/>
      <w:pPr>
        <w:ind w:left="4938" w:hanging="279"/>
      </w:pPr>
      <w:rPr>
        <w:rFonts w:hint="default"/>
        <w:lang w:val="ro-RO" w:eastAsia="en-US" w:bidi="ar-SA"/>
      </w:rPr>
    </w:lvl>
    <w:lvl w:ilvl="8" w:tplc="79507C6A">
      <w:numFmt w:val="bullet"/>
      <w:lvlText w:val="•"/>
      <w:lvlJc w:val="left"/>
      <w:pPr>
        <w:ind w:left="5589" w:hanging="279"/>
      </w:pPr>
      <w:rPr>
        <w:rFonts w:hint="default"/>
        <w:lang w:val="ro-RO" w:eastAsia="en-US" w:bidi="ar-SA"/>
      </w:rPr>
    </w:lvl>
  </w:abstractNum>
  <w:abstractNum w:abstractNumId="47" w15:restartNumberingAfterBreak="0">
    <w:nsid w:val="2D7E8FDF"/>
    <w:multiLevelType w:val="hybridMultilevel"/>
    <w:tmpl w:val="00000000"/>
    <w:lvl w:ilvl="0" w:tplc="5E08B294">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7FEC1DAA">
      <w:numFmt w:val="bullet"/>
      <w:lvlText w:val="•"/>
      <w:lvlJc w:val="left"/>
      <w:pPr>
        <w:ind w:left="1031" w:hanging="279"/>
      </w:pPr>
      <w:rPr>
        <w:rFonts w:hint="default"/>
        <w:lang w:val="ro-RO" w:eastAsia="en-US" w:bidi="ar-SA"/>
      </w:rPr>
    </w:lvl>
    <w:lvl w:ilvl="2" w:tplc="7B864B50">
      <w:numFmt w:val="bullet"/>
      <w:lvlText w:val="•"/>
      <w:lvlJc w:val="left"/>
      <w:pPr>
        <w:ind w:left="1682" w:hanging="279"/>
      </w:pPr>
      <w:rPr>
        <w:rFonts w:hint="default"/>
        <w:lang w:val="ro-RO" w:eastAsia="en-US" w:bidi="ar-SA"/>
      </w:rPr>
    </w:lvl>
    <w:lvl w:ilvl="3" w:tplc="BDC60B84">
      <w:numFmt w:val="bullet"/>
      <w:lvlText w:val="•"/>
      <w:lvlJc w:val="left"/>
      <w:pPr>
        <w:ind w:left="2333" w:hanging="279"/>
      </w:pPr>
      <w:rPr>
        <w:rFonts w:hint="default"/>
        <w:lang w:val="ro-RO" w:eastAsia="en-US" w:bidi="ar-SA"/>
      </w:rPr>
    </w:lvl>
    <w:lvl w:ilvl="4" w:tplc="1CE24DD8">
      <w:numFmt w:val="bullet"/>
      <w:lvlText w:val="•"/>
      <w:lvlJc w:val="left"/>
      <w:pPr>
        <w:ind w:left="2984" w:hanging="279"/>
      </w:pPr>
      <w:rPr>
        <w:rFonts w:hint="default"/>
        <w:lang w:val="ro-RO" w:eastAsia="en-US" w:bidi="ar-SA"/>
      </w:rPr>
    </w:lvl>
    <w:lvl w:ilvl="5" w:tplc="EB9EC1CA">
      <w:numFmt w:val="bullet"/>
      <w:lvlText w:val="•"/>
      <w:lvlJc w:val="left"/>
      <w:pPr>
        <w:ind w:left="3636" w:hanging="279"/>
      </w:pPr>
      <w:rPr>
        <w:rFonts w:hint="default"/>
        <w:lang w:val="ro-RO" w:eastAsia="en-US" w:bidi="ar-SA"/>
      </w:rPr>
    </w:lvl>
    <w:lvl w:ilvl="6" w:tplc="12ACBE08">
      <w:numFmt w:val="bullet"/>
      <w:lvlText w:val="•"/>
      <w:lvlJc w:val="left"/>
      <w:pPr>
        <w:ind w:left="4287" w:hanging="279"/>
      </w:pPr>
      <w:rPr>
        <w:rFonts w:hint="default"/>
        <w:lang w:val="ro-RO" w:eastAsia="en-US" w:bidi="ar-SA"/>
      </w:rPr>
    </w:lvl>
    <w:lvl w:ilvl="7" w:tplc="AC48ED12">
      <w:numFmt w:val="bullet"/>
      <w:lvlText w:val="•"/>
      <w:lvlJc w:val="left"/>
      <w:pPr>
        <w:ind w:left="4938" w:hanging="279"/>
      </w:pPr>
      <w:rPr>
        <w:rFonts w:hint="default"/>
        <w:lang w:val="ro-RO" w:eastAsia="en-US" w:bidi="ar-SA"/>
      </w:rPr>
    </w:lvl>
    <w:lvl w:ilvl="8" w:tplc="8F14965A">
      <w:numFmt w:val="bullet"/>
      <w:lvlText w:val="•"/>
      <w:lvlJc w:val="left"/>
      <w:pPr>
        <w:ind w:left="5589" w:hanging="279"/>
      </w:pPr>
      <w:rPr>
        <w:rFonts w:hint="default"/>
        <w:lang w:val="ro-RO" w:eastAsia="en-US" w:bidi="ar-SA"/>
      </w:rPr>
    </w:lvl>
  </w:abstractNum>
  <w:abstractNum w:abstractNumId="48" w15:restartNumberingAfterBreak="0">
    <w:nsid w:val="2D9C3129"/>
    <w:multiLevelType w:val="hybridMultilevel"/>
    <w:tmpl w:val="00000000"/>
    <w:lvl w:ilvl="0" w:tplc="DBC47790">
      <w:numFmt w:val="bullet"/>
      <w:lvlText w:val="•"/>
      <w:lvlJc w:val="left"/>
      <w:pPr>
        <w:ind w:left="341" w:hanging="284"/>
      </w:pPr>
      <w:rPr>
        <w:rFonts w:ascii="Calibri" w:eastAsia="Calibri" w:hAnsi="Calibri" w:cs="Calibri" w:hint="default"/>
        <w:b w:val="0"/>
        <w:bCs w:val="0"/>
        <w:i w:val="0"/>
        <w:iCs w:val="0"/>
        <w:spacing w:val="0"/>
        <w:w w:val="92"/>
        <w:sz w:val="18"/>
        <w:szCs w:val="18"/>
        <w:lang w:val="ro-RO" w:eastAsia="en-US" w:bidi="ar-SA"/>
      </w:rPr>
    </w:lvl>
    <w:lvl w:ilvl="1" w:tplc="60BC85A8">
      <w:numFmt w:val="bullet"/>
      <w:lvlText w:val="•"/>
      <w:lvlJc w:val="left"/>
      <w:pPr>
        <w:ind w:left="1312" w:hanging="284"/>
      </w:pPr>
      <w:rPr>
        <w:rFonts w:hint="default"/>
        <w:lang w:val="ro-RO" w:eastAsia="en-US" w:bidi="ar-SA"/>
      </w:rPr>
    </w:lvl>
    <w:lvl w:ilvl="2" w:tplc="E91A4328">
      <w:numFmt w:val="bullet"/>
      <w:lvlText w:val="•"/>
      <w:lvlJc w:val="left"/>
      <w:pPr>
        <w:ind w:left="2285" w:hanging="284"/>
      </w:pPr>
      <w:rPr>
        <w:rFonts w:hint="default"/>
        <w:lang w:val="ro-RO" w:eastAsia="en-US" w:bidi="ar-SA"/>
      </w:rPr>
    </w:lvl>
    <w:lvl w:ilvl="3" w:tplc="D2B4C25C">
      <w:numFmt w:val="bullet"/>
      <w:lvlText w:val="•"/>
      <w:lvlJc w:val="left"/>
      <w:pPr>
        <w:ind w:left="3257" w:hanging="284"/>
      </w:pPr>
      <w:rPr>
        <w:rFonts w:hint="default"/>
        <w:lang w:val="ro-RO" w:eastAsia="en-US" w:bidi="ar-SA"/>
      </w:rPr>
    </w:lvl>
    <w:lvl w:ilvl="4" w:tplc="F3D24BF4">
      <w:numFmt w:val="bullet"/>
      <w:lvlText w:val="•"/>
      <w:lvlJc w:val="left"/>
      <w:pPr>
        <w:ind w:left="4230" w:hanging="284"/>
      </w:pPr>
      <w:rPr>
        <w:rFonts w:hint="default"/>
        <w:lang w:val="ro-RO" w:eastAsia="en-US" w:bidi="ar-SA"/>
      </w:rPr>
    </w:lvl>
    <w:lvl w:ilvl="5" w:tplc="3A484DEE">
      <w:numFmt w:val="bullet"/>
      <w:lvlText w:val="•"/>
      <w:lvlJc w:val="left"/>
      <w:pPr>
        <w:ind w:left="5202" w:hanging="284"/>
      </w:pPr>
      <w:rPr>
        <w:rFonts w:hint="default"/>
        <w:lang w:val="ro-RO" w:eastAsia="en-US" w:bidi="ar-SA"/>
      </w:rPr>
    </w:lvl>
    <w:lvl w:ilvl="6" w:tplc="FC3AFDB2">
      <w:numFmt w:val="bullet"/>
      <w:lvlText w:val="•"/>
      <w:lvlJc w:val="left"/>
      <w:pPr>
        <w:ind w:left="6175" w:hanging="284"/>
      </w:pPr>
      <w:rPr>
        <w:rFonts w:hint="default"/>
        <w:lang w:val="ro-RO" w:eastAsia="en-US" w:bidi="ar-SA"/>
      </w:rPr>
    </w:lvl>
    <w:lvl w:ilvl="7" w:tplc="3F42118C">
      <w:numFmt w:val="bullet"/>
      <w:lvlText w:val="•"/>
      <w:lvlJc w:val="left"/>
      <w:pPr>
        <w:ind w:left="7147" w:hanging="284"/>
      </w:pPr>
      <w:rPr>
        <w:rFonts w:hint="default"/>
        <w:lang w:val="ro-RO" w:eastAsia="en-US" w:bidi="ar-SA"/>
      </w:rPr>
    </w:lvl>
    <w:lvl w:ilvl="8" w:tplc="9890371A">
      <w:numFmt w:val="bullet"/>
      <w:lvlText w:val="•"/>
      <w:lvlJc w:val="left"/>
      <w:pPr>
        <w:ind w:left="8120" w:hanging="284"/>
      </w:pPr>
      <w:rPr>
        <w:rFonts w:hint="default"/>
        <w:lang w:val="ro-RO" w:eastAsia="en-US" w:bidi="ar-SA"/>
      </w:rPr>
    </w:lvl>
  </w:abstractNum>
  <w:abstractNum w:abstractNumId="49" w15:restartNumberingAfterBreak="0">
    <w:nsid w:val="2DBF57C0"/>
    <w:multiLevelType w:val="hybridMultilevel"/>
    <w:tmpl w:val="00000000"/>
    <w:lvl w:ilvl="0" w:tplc="E7C05B80">
      <w:start w:val="2"/>
      <w:numFmt w:val="decimal"/>
      <w:lvlText w:val="%1."/>
      <w:lvlJc w:val="left"/>
      <w:pPr>
        <w:ind w:left="57" w:hanging="1304"/>
      </w:pPr>
      <w:rPr>
        <w:rFonts w:ascii="Calibri" w:eastAsia="Calibri" w:hAnsi="Calibri" w:cs="Calibri" w:hint="default"/>
        <w:b w:val="0"/>
        <w:bCs w:val="0"/>
        <w:i/>
        <w:iCs/>
        <w:spacing w:val="0"/>
        <w:w w:val="131"/>
        <w:sz w:val="18"/>
        <w:szCs w:val="18"/>
        <w:lang w:val="ro-RO" w:eastAsia="en-US" w:bidi="ar-SA"/>
      </w:rPr>
    </w:lvl>
    <w:lvl w:ilvl="1" w:tplc="A59A9370">
      <w:numFmt w:val="bullet"/>
      <w:lvlText w:val="•"/>
      <w:lvlJc w:val="left"/>
      <w:pPr>
        <w:ind w:left="1046" w:hanging="1304"/>
      </w:pPr>
      <w:rPr>
        <w:rFonts w:hint="default"/>
        <w:lang w:val="ro-RO" w:eastAsia="en-US" w:bidi="ar-SA"/>
      </w:rPr>
    </w:lvl>
    <w:lvl w:ilvl="2" w:tplc="C60416B6">
      <w:numFmt w:val="bullet"/>
      <w:lvlText w:val="•"/>
      <w:lvlJc w:val="left"/>
      <w:pPr>
        <w:ind w:left="2032" w:hanging="1304"/>
      </w:pPr>
      <w:rPr>
        <w:rFonts w:hint="default"/>
        <w:lang w:val="ro-RO" w:eastAsia="en-US" w:bidi="ar-SA"/>
      </w:rPr>
    </w:lvl>
    <w:lvl w:ilvl="3" w:tplc="8F264ACA">
      <w:numFmt w:val="bullet"/>
      <w:lvlText w:val="•"/>
      <w:lvlJc w:val="left"/>
      <w:pPr>
        <w:ind w:left="3019" w:hanging="1304"/>
      </w:pPr>
      <w:rPr>
        <w:rFonts w:hint="default"/>
        <w:lang w:val="ro-RO" w:eastAsia="en-US" w:bidi="ar-SA"/>
      </w:rPr>
    </w:lvl>
    <w:lvl w:ilvl="4" w:tplc="8FB2060C">
      <w:numFmt w:val="bullet"/>
      <w:lvlText w:val="•"/>
      <w:lvlJc w:val="left"/>
      <w:pPr>
        <w:ind w:left="4005" w:hanging="1304"/>
      </w:pPr>
      <w:rPr>
        <w:rFonts w:hint="default"/>
        <w:lang w:val="ro-RO" w:eastAsia="en-US" w:bidi="ar-SA"/>
      </w:rPr>
    </w:lvl>
    <w:lvl w:ilvl="5" w:tplc="6E34195A">
      <w:numFmt w:val="bullet"/>
      <w:lvlText w:val="•"/>
      <w:lvlJc w:val="left"/>
      <w:pPr>
        <w:ind w:left="4991" w:hanging="1304"/>
      </w:pPr>
      <w:rPr>
        <w:rFonts w:hint="default"/>
        <w:lang w:val="ro-RO" w:eastAsia="en-US" w:bidi="ar-SA"/>
      </w:rPr>
    </w:lvl>
    <w:lvl w:ilvl="6" w:tplc="DEBAFF84">
      <w:numFmt w:val="bullet"/>
      <w:lvlText w:val="•"/>
      <w:lvlJc w:val="left"/>
      <w:pPr>
        <w:ind w:left="5978" w:hanging="1304"/>
      </w:pPr>
      <w:rPr>
        <w:rFonts w:hint="default"/>
        <w:lang w:val="ro-RO" w:eastAsia="en-US" w:bidi="ar-SA"/>
      </w:rPr>
    </w:lvl>
    <w:lvl w:ilvl="7" w:tplc="20D0370A">
      <w:numFmt w:val="bullet"/>
      <w:lvlText w:val="•"/>
      <w:lvlJc w:val="left"/>
      <w:pPr>
        <w:ind w:left="6964" w:hanging="1304"/>
      </w:pPr>
      <w:rPr>
        <w:rFonts w:hint="default"/>
        <w:lang w:val="ro-RO" w:eastAsia="en-US" w:bidi="ar-SA"/>
      </w:rPr>
    </w:lvl>
    <w:lvl w:ilvl="8" w:tplc="0DA2846E">
      <w:numFmt w:val="bullet"/>
      <w:lvlText w:val="•"/>
      <w:lvlJc w:val="left"/>
      <w:pPr>
        <w:ind w:left="7950" w:hanging="1304"/>
      </w:pPr>
      <w:rPr>
        <w:rFonts w:hint="default"/>
        <w:lang w:val="ro-RO" w:eastAsia="en-US" w:bidi="ar-SA"/>
      </w:rPr>
    </w:lvl>
  </w:abstractNum>
  <w:abstractNum w:abstractNumId="50" w15:restartNumberingAfterBreak="0">
    <w:nsid w:val="2EBFC6CA"/>
    <w:multiLevelType w:val="multilevel"/>
    <w:tmpl w:val="00000000"/>
    <w:lvl w:ilvl="0">
      <w:start w:val="7"/>
      <w:numFmt w:val="upperRoman"/>
      <w:lvlText w:val="%1"/>
      <w:lvlJc w:val="left"/>
      <w:pPr>
        <w:ind w:left="2335" w:hanging="1102"/>
      </w:pPr>
      <w:rPr>
        <w:rFonts w:hint="default"/>
        <w:lang w:val="ro-RO" w:eastAsia="en-US" w:bidi="ar-SA"/>
      </w:rPr>
    </w:lvl>
    <w:lvl w:ilvl="1">
      <w:start w:val="10"/>
      <w:numFmt w:val="decimal"/>
      <w:lvlText w:val="%1.%2"/>
      <w:lvlJc w:val="left"/>
      <w:pPr>
        <w:ind w:left="2335" w:hanging="1102"/>
      </w:pPr>
      <w:rPr>
        <w:rFonts w:hint="default"/>
        <w:lang w:val="ro-RO" w:eastAsia="en-US" w:bidi="ar-SA"/>
      </w:rPr>
    </w:lvl>
    <w:lvl w:ilvl="2">
      <w:start w:val="1"/>
      <w:numFmt w:val="decimal"/>
      <w:lvlText w:val="%1.%2.%3"/>
      <w:lvlJc w:val="left"/>
      <w:pPr>
        <w:ind w:left="2335" w:hanging="1102"/>
      </w:pPr>
      <w:rPr>
        <w:rFonts w:hint="default"/>
        <w:lang w:val="ro-RO" w:eastAsia="en-US" w:bidi="ar-SA"/>
      </w:rPr>
    </w:lvl>
    <w:lvl w:ilvl="3">
      <w:start w:val="2"/>
      <w:numFmt w:val="decimal"/>
      <w:lvlText w:val="%1.%2.%3.%4"/>
      <w:lvlJc w:val="left"/>
      <w:pPr>
        <w:ind w:left="2335" w:hanging="1102"/>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940" w:hanging="1102"/>
      </w:pPr>
      <w:rPr>
        <w:rFonts w:hint="default"/>
        <w:lang w:val="ro-RO" w:eastAsia="en-US" w:bidi="ar-SA"/>
      </w:rPr>
    </w:lvl>
    <w:lvl w:ilvl="5">
      <w:numFmt w:val="bullet"/>
      <w:lvlText w:val="•"/>
      <w:lvlJc w:val="left"/>
      <w:pPr>
        <w:ind w:left="6840" w:hanging="1102"/>
      </w:pPr>
      <w:rPr>
        <w:rFonts w:hint="default"/>
        <w:lang w:val="ro-RO" w:eastAsia="en-US" w:bidi="ar-SA"/>
      </w:rPr>
    </w:lvl>
    <w:lvl w:ilvl="6">
      <w:numFmt w:val="bullet"/>
      <w:lvlText w:val="•"/>
      <w:lvlJc w:val="left"/>
      <w:pPr>
        <w:ind w:left="7740" w:hanging="1102"/>
      </w:pPr>
      <w:rPr>
        <w:rFonts w:hint="default"/>
        <w:lang w:val="ro-RO" w:eastAsia="en-US" w:bidi="ar-SA"/>
      </w:rPr>
    </w:lvl>
    <w:lvl w:ilvl="7">
      <w:numFmt w:val="bullet"/>
      <w:lvlText w:val="•"/>
      <w:lvlJc w:val="left"/>
      <w:pPr>
        <w:ind w:left="8640" w:hanging="1102"/>
      </w:pPr>
      <w:rPr>
        <w:rFonts w:hint="default"/>
        <w:lang w:val="ro-RO" w:eastAsia="en-US" w:bidi="ar-SA"/>
      </w:rPr>
    </w:lvl>
    <w:lvl w:ilvl="8">
      <w:numFmt w:val="bullet"/>
      <w:lvlText w:val="•"/>
      <w:lvlJc w:val="left"/>
      <w:pPr>
        <w:ind w:left="9540" w:hanging="1102"/>
      </w:pPr>
      <w:rPr>
        <w:rFonts w:hint="default"/>
        <w:lang w:val="ro-RO" w:eastAsia="en-US" w:bidi="ar-SA"/>
      </w:rPr>
    </w:lvl>
  </w:abstractNum>
  <w:abstractNum w:abstractNumId="51" w15:restartNumberingAfterBreak="0">
    <w:nsid w:val="320198F8"/>
    <w:multiLevelType w:val="hybridMultilevel"/>
    <w:tmpl w:val="00000000"/>
    <w:lvl w:ilvl="0" w:tplc="E77E6AF0">
      <w:numFmt w:val="bullet"/>
      <w:lvlText w:val="•"/>
      <w:lvlJc w:val="left"/>
      <w:pPr>
        <w:ind w:left="2105" w:hanging="161"/>
      </w:pPr>
      <w:rPr>
        <w:rFonts w:ascii="Calibri" w:eastAsia="Calibri" w:hAnsi="Calibri" w:cs="Calibri" w:hint="default"/>
        <w:b w:val="0"/>
        <w:bCs w:val="0"/>
        <w:i w:val="0"/>
        <w:iCs w:val="0"/>
        <w:spacing w:val="0"/>
        <w:w w:val="109"/>
        <w:sz w:val="18"/>
        <w:szCs w:val="18"/>
        <w:lang w:val="ro-RO" w:eastAsia="en-US" w:bidi="ar-SA"/>
      </w:rPr>
    </w:lvl>
    <w:lvl w:ilvl="1" w:tplc="E334BFEC">
      <w:numFmt w:val="bullet"/>
      <w:lvlText w:val="•"/>
      <w:lvlJc w:val="left"/>
      <w:pPr>
        <w:ind w:left="2767" w:hanging="161"/>
      </w:pPr>
      <w:rPr>
        <w:rFonts w:hint="default"/>
        <w:lang w:val="ro-RO" w:eastAsia="en-US" w:bidi="ar-SA"/>
      </w:rPr>
    </w:lvl>
    <w:lvl w:ilvl="2" w:tplc="44001178">
      <w:numFmt w:val="bullet"/>
      <w:lvlText w:val="•"/>
      <w:lvlJc w:val="left"/>
      <w:pPr>
        <w:ind w:left="3434" w:hanging="161"/>
      </w:pPr>
      <w:rPr>
        <w:rFonts w:hint="default"/>
        <w:lang w:val="ro-RO" w:eastAsia="en-US" w:bidi="ar-SA"/>
      </w:rPr>
    </w:lvl>
    <w:lvl w:ilvl="3" w:tplc="642EAE06">
      <w:numFmt w:val="bullet"/>
      <w:lvlText w:val="•"/>
      <w:lvlJc w:val="left"/>
      <w:pPr>
        <w:ind w:left="4101" w:hanging="161"/>
      </w:pPr>
      <w:rPr>
        <w:rFonts w:hint="default"/>
        <w:lang w:val="ro-RO" w:eastAsia="en-US" w:bidi="ar-SA"/>
      </w:rPr>
    </w:lvl>
    <w:lvl w:ilvl="4" w:tplc="B568C4DE">
      <w:numFmt w:val="bullet"/>
      <w:lvlText w:val="•"/>
      <w:lvlJc w:val="left"/>
      <w:pPr>
        <w:ind w:left="4769" w:hanging="161"/>
      </w:pPr>
      <w:rPr>
        <w:rFonts w:hint="default"/>
        <w:lang w:val="ro-RO" w:eastAsia="en-US" w:bidi="ar-SA"/>
      </w:rPr>
    </w:lvl>
    <w:lvl w:ilvl="5" w:tplc="1C0EB84A">
      <w:numFmt w:val="bullet"/>
      <w:lvlText w:val="•"/>
      <w:lvlJc w:val="left"/>
      <w:pPr>
        <w:ind w:left="5436" w:hanging="161"/>
      </w:pPr>
      <w:rPr>
        <w:rFonts w:hint="default"/>
        <w:lang w:val="ro-RO" w:eastAsia="en-US" w:bidi="ar-SA"/>
      </w:rPr>
    </w:lvl>
    <w:lvl w:ilvl="6" w:tplc="7870C4E6">
      <w:numFmt w:val="bullet"/>
      <w:lvlText w:val="•"/>
      <w:lvlJc w:val="left"/>
      <w:pPr>
        <w:ind w:left="6103" w:hanging="161"/>
      </w:pPr>
      <w:rPr>
        <w:rFonts w:hint="default"/>
        <w:lang w:val="ro-RO" w:eastAsia="en-US" w:bidi="ar-SA"/>
      </w:rPr>
    </w:lvl>
    <w:lvl w:ilvl="7" w:tplc="543CF806">
      <w:numFmt w:val="bullet"/>
      <w:lvlText w:val="•"/>
      <w:lvlJc w:val="left"/>
      <w:pPr>
        <w:ind w:left="6771" w:hanging="161"/>
      </w:pPr>
      <w:rPr>
        <w:rFonts w:hint="default"/>
        <w:lang w:val="ro-RO" w:eastAsia="en-US" w:bidi="ar-SA"/>
      </w:rPr>
    </w:lvl>
    <w:lvl w:ilvl="8" w:tplc="A54615CC">
      <w:numFmt w:val="bullet"/>
      <w:lvlText w:val="•"/>
      <w:lvlJc w:val="left"/>
      <w:pPr>
        <w:ind w:left="7438" w:hanging="161"/>
      </w:pPr>
      <w:rPr>
        <w:rFonts w:hint="default"/>
        <w:lang w:val="ro-RO" w:eastAsia="en-US" w:bidi="ar-SA"/>
      </w:rPr>
    </w:lvl>
  </w:abstractNum>
  <w:abstractNum w:abstractNumId="52" w15:restartNumberingAfterBreak="0">
    <w:nsid w:val="326E943B"/>
    <w:multiLevelType w:val="hybridMultilevel"/>
    <w:tmpl w:val="00000000"/>
    <w:lvl w:ilvl="0" w:tplc="23CEFB72">
      <w:start w:val="2"/>
      <w:numFmt w:val="decimal"/>
      <w:lvlText w:val="%1."/>
      <w:lvlJc w:val="left"/>
      <w:pPr>
        <w:ind w:left="340" w:hanging="1304"/>
      </w:pPr>
      <w:rPr>
        <w:rFonts w:ascii="Calibri" w:eastAsia="Calibri" w:hAnsi="Calibri" w:cs="Calibri" w:hint="default"/>
        <w:b w:val="0"/>
        <w:bCs w:val="0"/>
        <w:i/>
        <w:iCs/>
        <w:spacing w:val="0"/>
        <w:w w:val="131"/>
        <w:sz w:val="18"/>
        <w:szCs w:val="18"/>
        <w:lang w:val="ro-RO" w:eastAsia="en-US" w:bidi="ar-SA"/>
      </w:rPr>
    </w:lvl>
    <w:lvl w:ilvl="1" w:tplc="EC5C3076">
      <w:numFmt w:val="bullet"/>
      <w:lvlText w:val="•"/>
      <w:lvlJc w:val="left"/>
      <w:pPr>
        <w:ind w:left="1383" w:hanging="1304"/>
      </w:pPr>
      <w:rPr>
        <w:rFonts w:hint="default"/>
        <w:lang w:val="ro-RO" w:eastAsia="en-US" w:bidi="ar-SA"/>
      </w:rPr>
    </w:lvl>
    <w:lvl w:ilvl="2" w:tplc="871A62F4">
      <w:numFmt w:val="bullet"/>
      <w:lvlText w:val="•"/>
      <w:lvlJc w:val="left"/>
      <w:pPr>
        <w:ind w:left="2426" w:hanging="1304"/>
      </w:pPr>
      <w:rPr>
        <w:rFonts w:hint="default"/>
        <w:lang w:val="ro-RO" w:eastAsia="en-US" w:bidi="ar-SA"/>
      </w:rPr>
    </w:lvl>
    <w:lvl w:ilvl="3" w:tplc="B0AC6308">
      <w:numFmt w:val="bullet"/>
      <w:lvlText w:val="•"/>
      <w:lvlJc w:val="left"/>
      <w:pPr>
        <w:ind w:left="3470" w:hanging="1304"/>
      </w:pPr>
      <w:rPr>
        <w:rFonts w:hint="default"/>
        <w:lang w:val="ro-RO" w:eastAsia="en-US" w:bidi="ar-SA"/>
      </w:rPr>
    </w:lvl>
    <w:lvl w:ilvl="4" w:tplc="8974960C">
      <w:numFmt w:val="bullet"/>
      <w:lvlText w:val="•"/>
      <w:lvlJc w:val="left"/>
      <w:pPr>
        <w:ind w:left="4513" w:hanging="1304"/>
      </w:pPr>
      <w:rPr>
        <w:rFonts w:hint="default"/>
        <w:lang w:val="ro-RO" w:eastAsia="en-US" w:bidi="ar-SA"/>
      </w:rPr>
    </w:lvl>
    <w:lvl w:ilvl="5" w:tplc="C7CA0D2A">
      <w:numFmt w:val="bullet"/>
      <w:lvlText w:val="•"/>
      <w:lvlJc w:val="left"/>
      <w:pPr>
        <w:ind w:left="5556" w:hanging="1304"/>
      </w:pPr>
      <w:rPr>
        <w:rFonts w:hint="default"/>
        <w:lang w:val="ro-RO" w:eastAsia="en-US" w:bidi="ar-SA"/>
      </w:rPr>
    </w:lvl>
    <w:lvl w:ilvl="6" w:tplc="5BC649C0">
      <w:numFmt w:val="bullet"/>
      <w:lvlText w:val="•"/>
      <w:lvlJc w:val="left"/>
      <w:pPr>
        <w:ind w:left="6600" w:hanging="1304"/>
      </w:pPr>
      <w:rPr>
        <w:rFonts w:hint="default"/>
        <w:lang w:val="ro-RO" w:eastAsia="en-US" w:bidi="ar-SA"/>
      </w:rPr>
    </w:lvl>
    <w:lvl w:ilvl="7" w:tplc="D040D42C">
      <w:numFmt w:val="bullet"/>
      <w:lvlText w:val="•"/>
      <w:lvlJc w:val="left"/>
      <w:pPr>
        <w:ind w:left="7643" w:hanging="1304"/>
      </w:pPr>
      <w:rPr>
        <w:rFonts w:hint="default"/>
        <w:lang w:val="ro-RO" w:eastAsia="en-US" w:bidi="ar-SA"/>
      </w:rPr>
    </w:lvl>
    <w:lvl w:ilvl="8" w:tplc="17183EBE">
      <w:numFmt w:val="bullet"/>
      <w:lvlText w:val="•"/>
      <w:lvlJc w:val="left"/>
      <w:pPr>
        <w:ind w:left="8686" w:hanging="1304"/>
      </w:pPr>
      <w:rPr>
        <w:rFonts w:hint="default"/>
        <w:lang w:val="ro-RO" w:eastAsia="en-US" w:bidi="ar-SA"/>
      </w:rPr>
    </w:lvl>
  </w:abstractNum>
  <w:abstractNum w:abstractNumId="53" w15:restartNumberingAfterBreak="0">
    <w:nsid w:val="32E9D2A8"/>
    <w:multiLevelType w:val="hybridMultilevel"/>
    <w:tmpl w:val="00000000"/>
    <w:lvl w:ilvl="0" w:tplc="8676E56E">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4458309E">
      <w:numFmt w:val="bullet"/>
      <w:lvlText w:val="•"/>
      <w:lvlJc w:val="left"/>
      <w:pPr>
        <w:ind w:left="1622" w:hanging="360"/>
      </w:pPr>
      <w:rPr>
        <w:rFonts w:hint="default"/>
        <w:lang w:val="ro-RO" w:eastAsia="en-US" w:bidi="ar-SA"/>
      </w:rPr>
    </w:lvl>
    <w:lvl w:ilvl="2" w:tplc="712E859C">
      <w:numFmt w:val="bullet"/>
      <w:lvlText w:val="•"/>
      <w:lvlJc w:val="left"/>
      <w:pPr>
        <w:ind w:left="2544" w:hanging="360"/>
      </w:pPr>
      <w:rPr>
        <w:rFonts w:hint="default"/>
        <w:lang w:val="ro-RO" w:eastAsia="en-US" w:bidi="ar-SA"/>
      </w:rPr>
    </w:lvl>
    <w:lvl w:ilvl="3" w:tplc="13A04376">
      <w:numFmt w:val="bullet"/>
      <w:lvlText w:val="•"/>
      <w:lvlJc w:val="left"/>
      <w:pPr>
        <w:ind w:left="3467" w:hanging="360"/>
      </w:pPr>
      <w:rPr>
        <w:rFonts w:hint="default"/>
        <w:lang w:val="ro-RO" w:eastAsia="en-US" w:bidi="ar-SA"/>
      </w:rPr>
    </w:lvl>
    <w:lvl w:ilvl="4" w:tplc="60DEB698">
      <w:numFmt w:val="bullet"/>
      <w:lvlText w:val="•"/>
      <w:lvlJc w:val="left"/>
      <w:pPr>
        <w:ind w:left="4389" w:hanging="360"/>
      </w:pPr>
      <w:rPr>
        <w:rFonts w:hint="default"/>
        <w:lang w:val="ro-RO" w:eastAsia="en-US" w:bidi="ar-SA"/>
      </w:rPr>
    </w:lvl>
    <w:lvl w:ilvl="5" w:tplc="7EBA415E">
      <w:numFmt w:val="bullet"/>
      <w:lvlText w:val="•"/>
      <w:lvlJc w:val="left"/>
      <w:pPr>
        <w:ind w:left="5311" w:hanging="360"/>
      </w:pPr>
      <w:rPr>
        <w:rFonts w:hint="default"/>
        <w:lang w:val="ro-RO" w:eastAsia="en-US" w:bidi="ar-SA"/>
      </w:rPr>
    </w:lvl>
    <w:lvl w:ilvl="6" w:tplc="40601BDC">
      <w:numFmt w:val="bullet"/>
      <w:lvlText w:val="•"/>
      <w:lvlJc w:val="left"/>
      <w:pPr>
        <w:ind w:left="6234" w:hanging="360"/>
      </w:pPr>
      <w:rPr>
        <w:rFonts w:hint="default"/>
        <w:lang w:val="ro-RO" w:eastAsia="en-US" w:bidi="ar-SA"/>
      </w:rPr>
    </w:lvl>
    <w:lvl w:ilvl="7" w:tplc="44A27E20">
      <w:numFmt w:val="bullet"/>
      <w:lvlText w:val="•"/>
      <w:lvlJc w:val="left"/>
      <w:pPr>
        <w:ind w:left="7156" w:hanging="360"/>
      </w:pPr>
      <w:rPr>
        <w:rFonts w:hint="default"/>
        <w:lang w:val="ro-RO" w:eastAsia="en-US" w:bidi="ar-SA"/>
      </w:rPr>
    </w:lvl>
    <w:lvl w:ilvl="8" w:tplc="29D2E1F8">
      <w:numFmt w:val="bullet"/>
      <w:lvlText w:val="•"/>
      <w:lvlJc w:val="left"/>
      <w:pPr>
        <w:ind w:left="8078" w:hanging="360"/>
      </w:pPr>
      <w:rPr>
        <w:rFonts w:hint="default"/>
        <w:lang w:val="ro-RO" w:eastAsia="en-US" w:bidi="ar-SA"/>
      </w:rPr>
    </w:lvl>
  </w:abstractNum>
  <w:abstractNum w:abstractNumId="54" w15:restartNumberingAfterBreak="0">
    <w:nsid w:val="33AD2BDD"/>
    <w:multiLevelType w:val="hybridMultilevel"/>
    <w:tmpl w:val="00000000"/>
    <w:lvl w:ilvl="0" w:tplc="01766F1A">
      <w:start w:val="1"/>
      <w:numFmt w:val="upperLetter"/>
      <w:lvlText w:val="%1."/>
      <w:lvlJc w:val="left"/>
      <w:pPr>
        <w:ind w:left="1644" w:hanging="1275"/>
      </w:pPr>
      <w:rPr>
        <w:rFonts w:ascii="Calibri" w:eastAsia="Calibri" w:hAnsi="Calibri" w:cs="Calibri" w:hint="default"/>
        <w:b w:val="0"/>
        <w:bCs w:val="0"/>
        <w:i w:val="0"/>
        <w:iCs w:val="0"/>
        <w:spacing w:val="-1"/>
        <w:w w:val="126"/>
        <w:sz w:val="18"/>
        <w:szCs w:val="18"/>
        <w:lang w:val="ro-RO" w:eastAsia="en-US" w:bidi="ar-SA"/>
      </w:rPr>
    </w:lvl>
    <w:lvl w:ilvl="1" w:tplc="CB90F84C">
      <w:numFmt w:val="bullet"/>
      <w:lvlText w:val="•"/>
      <w:lvlJc w:val="left"/>
      <w:pPr>
        <w:ind w:left="2553" w:hanging="1275"/>
      </w:pPr>
      <w:rPr>
        <w:rFonts w:hint="default"/>
        <w:lang w:val="ro-RO" w:eastAsia="en-US" w:bidi="ar-SA"/>
      </w:rPr>
    </w:lvl>
    <w:lvl w:ilvl="2" w:tplc="052E037E">
      <w:numFmt w:val="bullet"/>
      <w:lvlText w:val="•"/>
      <w:lvlJc w:val="left"/>
      <w:pPr>
        <w:ind w:left="3466" w:hanging="1275"/>
      </w:pPr>
      <w:rPr>
        <w:rFonts w:hint="default"/>
        <w:lang w:val="ro-RO" w:eastAsia="en-US" w:bidi="ar-SA"/>
      </w:rPr>
    </w:lvl>
    <w:lvl w:ilvl="3" w:tplc="459E366E">
      <w:numFmt w:val="bullet"/>
      <w:lvlText w:val="•"/>
      <w:lvlJc w:val="left"/>
      <w:pPr>
        <w:ind w:left="4380" w:hanging="1275"/>
      </w:pPr>
      <w:rPr>
        <w:rFonts w:hint="default"/>
        <w:lang w:val="ro-RO" w:eastAsia="en-US" w:bidi="ar-SA"/>
      </w:rPr>
    </w:lvl>
    <w:lvl w:ilvl="4" w:tplc="87764738">
      <w:numFmt w:val="bullet"/>
      <w:lvlText w:val="•"/>
      <w:lvlJc w:val="left"/>
      <w:pPr>
        <w:ind w:left="5293" w:hanging="1275"/>
      </w:pPr>
      <w:rPr>
        <w:rFonts w:hint="default"/>
        <w:lang w:val="ro-RO" w:eastAsia="en-US" w:bidi="ar-SA"/>
      </w:rPr>
    </w:lvl>
    <w:lvl w:ilvl="5" w:tplc="BB286838">
      <w:numFmt w:val="bullet"/>
      <w:lvlText w:val="•"/>
      <w:lvlJc w:val="left"/>
      <w:pPr>
        <w:ind w:left="6206" w:hanging="1275"/>
      </w:pPr>
      <w:rPr>
        <w:rFonts w:hint="default"/>
        <w:lang w:val="ro-RO" w:eastAsia="en-US" w:bidi="ar-SA"/>
      </w:rPr>
    </w:lvl>
    <w:lvl w:ilvl="6" w:tplc="8312DED6">
      <w:numFmt w:val="bullet"/>
      <w:lvlText w:val="•"/>
      <w:lvlJc w:val="left"/>
      <w:pPr>
        <w:ind w:left="7120" w:hanging="1275"/>
      </w:pPr>
      <w:rPr>
        <w:rFonts w:hint="default"/>
        <w:lang w:val="ro-RO" w:eastAsia="en-US" w:bidi="ar-SA"/>
      </w:rPr>
    </w:lvl>
    <w:lvl w:ilvl="7" w:tplc="7166DAD2">
      <w:numFmt w:val="bullet"/>
      <w:lvlText w:val="•"/>
      <w:lvlJc w:val="left"/>
      <w:pPr>
        <w:ind w:left="8033" w:hanging="1275"/>
      </w:pPr>
      <w:rPr>
        <w:rFonts w:hint="default"/>
        <w:lang w:val="ro-RO" w:eastAsia="en-US" w:bidi="ar-SA"/>
      </w:rPr>
    </w:lvl>
    <w:lvl w:ilvl="8" w:tplc="57F01EBA">
      <w:numFmt w:val="bullet"/>
      <w:lvlText w:val="•"/>
      <w:lvlJc w:val="left"/>
      <w:pPr>
        <w:ind w:left="8946" w:hanging="1275"/>
      </w:pPr>
      <w:rPr>
        <w:rFonts w:hint="default"/>
        <w:lang w:val="ro-RO" w:eastAsia="en-US" w:bidi="ar-SA"/>
      </w:rPr>
    </w:lvl>
  </w:abstractNum>
  <w:abstractNum w:abstractNumId="55" w15:restartNumberingAfterBreak="0">
    <w:nsid w:val="3509E316"/>
    <w:multiLevelType w:val="hybridMultilevel"/>
    <w:tmpl w:val="00000000"/>
    <w:lvl w:ilvl="0" w:tplc="8E968BBC">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40B60FF2">
      <w:numFmt w:val="bullet"/>
      <w:lvlText w:val="•"/>
      <w:lvlJc w:val="left"/>
      <w:pPr>
        <w:ind w:left="2981" w:hanging="173"/>
      </w:pPr>
      <w:rPr>
        <w:rFonts w:hint="default"/>
        <w:lang w:val="ro-RO" w:eastAsia="en-US" w:bidi="ar-SA"/>
      </w:rPr>
    </w:lvl>
    <w:lvl w:ilvl="2" w:tplc="06D46F56">
      <w:numFmt w:val="bullet"/>
      <w:lvlText w:val="•"/>
      <w:lvlJc w:val="left"/>
      <w:pPr>
        <w:ind w:left="3683" w:hanging="173"/>
      </w:pPr>
      <w:rPr>
        <w:rFonts w:hint="default"/>
        <w:lang w:val="ro-RO" w:eastAsia="en-US" w:bidi="ar-SA"/>
      </w:rPr>
    </w:lvl>
    <w:lvl w:ilvl="3" w:tplc="AD24C384">
      <w:numFmt w:val="bullet"/>
      <w:lvlText w:val="•"/>
      <w:lvlJc w:val="left"/>
      <w:pPr>
        <w:ind w:left="4385" w:hanging="173"/>
      </w:pPr>
      <w:rPr>
        <w:rFonts w:hint="default"/>
        <w:lang w:val="ro-RO" w:eastAsia="en-US" w:bidi="ar-SA"/>
      </w:rPr>
    </w:lvl>
    <w:lvl w:ilvl="4" w:tplc="5564693A">
      <w:numFmt w:val="bullet"/>
      <w:lvlText w:val="•"/>
      <w:lvlJc w:val="left"/>
      <w:pPr>
        <w:ind w:left="5087" w:hanging="173"/>
      </w:pPr>
      <w:rPr>
        <w:rFonts w:hint="default"/>
        <w:lang w:val="ro-RO" w:eastAsia="en-US" w:bidi="ar-SA"/>
      </w:rPr>
    </w:lvl>
    <w:lvl w:ilvl="5" w:tplc="464C583C">
      <w:numFmt w:val="bullet"/>
      <w:lvlText w:val="•"/>
      <w:lvlJc w:val="left"/>
      <w:pPr>
        <w:ind w:left="5789" w:hanging="173"/>
      </w:pPr>
      <w:rPr>
        <w:rFonts w:hint="default"/>
        <w:lang w:val="ro-RO" w:eastAsia="en-US" w:bidi="ar-SA"/>
      </w:rPr>
    </w:lvl>
    <w:lvl w:ilvl="6" w:tplc="83D4EC56">
      <w:numFmt w:val="bullet"/>
      <w:lvlText w:val="•"/>
      <w:lvlJc w:val="left"/>
      <w:pPr>
        <w:ind w:left="6490" w:hanging="173"/>
      </w:pPr>
      <w:rPr>
        <w:rFonts w:hint="default"/>
        <w:lang w:val="ro-RO" w:eastAsia="en-US" w:bidi="ar-SA"/>
      </w:rPr>
    </w:lvl>
    <w:lvl w:ilvl="7" w:tplc="2286B4B6">
      <w:numFmt w:val="bullet"/>
      <w:lvlText w:val="•"/>
      <w:lvlJc w:val="left"/>
      <w:pPr>
        <w:ind w:left="7192" w:hanging="173"/>
      </w:pPr>
      <w:rPr>
        <w:rFonts w:hint="default"/>
        <w:lang w:val="ro-RO" w:eastAsia="en-US" w:bidi="ar-SA"/>
      </w:rPr>
    </w:lvl>
    <w:lvl w:ilvl="8" w:tplc="4B64A31A">
      <w:numFmt w:val="bullet"/>
      <w:lvlText w:val="•"/>
      <w:lvlJc w:val="left"/>
      <w:pPr>
        <w:ind w:left="7894" w:hanging="173"/>
      </w:pPr>
      <w:rPr>
        <w:rFonts w:hint="default"/>
        <w:lang w:val="ro-RO" w:eastAsia="en-US" w:bidi="ar-SA"/>
      </w:rPr>
    </w:lvl>
  </w:abstractNum>
  <w:abstractNum w:abstractNumId="56" w15:restartNumberingAfterBreak="0">
    <w:nsid w:val="353CAE56"/>
    <w:multiLevelType w:val="hybridMultilevel"/>
    <w:tmpl w:val="00000000"/>
    <w:lvl w:ilvl="0" w:tplc="B87AD590">
      <w:numFmt w:val="bullet"/>
      <w:lvlText w:val="●"/>
      <w:lvlJc w:val="left"/>
      <w:pPr>
        <w:ind w:left="2014" w:hanging="173"/>
      </w:pPr>
      <w:rPr>
        <w:rFonts w:ascii="Calibri" w:eastAsia="Calibri" w:hAnsi="Calibri" w:cs="Calibri" w:hint="default"/>
        <w:b w:val="0"/>
        <w:bCs w:val="0"/>
        <w:i w:val="0"/>
        <w:iCs w:val="0"/>
        <w:spacing w:val="0"/>
        <w:w w:val="80"/>
        <w:sz w:val="18"/>
        <w:szCs w:val="18"/>
        <w:lang w:val="ro-RO" w:eastAsia="en-US" w:bidi="ar-SA"/>
      </w:rPr>
    </w:lvl>
    <w:lvl w:ilvl="1" w:tplc="7BF4ABB0">
      <w:numFmt w:val="bullet"/>
      <w:lvlText w:val="•"/>
      <w:lvlJc w:val="left"/>
      <w:pPr>
        <w:ind w:left="2695" w:hanging="173"/>
      </w:pPr>
      <w:rPr>
        <w:rFonts w:hint="default"/>
        <w:lang w:val="ro-RO" w:eastAsia="en-US" w:bidi="ar-SA"/>
      </w:rPr>
    </w:lvl>
    <w:lvl w:ilvl="2" w:tplc="273C88CE">
      <w:numFmt w:val="bullet"/>
      <w:lvlText w:val="•"/>
      <w:lvlJc w:val="left"/>
      <w:pPr>
        <w:ind w:left="3370" w:hanging="173"/>
      </w:pPr>
      <w:rPr>
        <w:rFonts w:hint="default"/>
        <w:lang w:val="ro-RO" w:eastAsia="en-US" w:bidi="ar-SA"/>
      </w:rPr>
    </w:lvl>
    <w:lvl w:ilvl="3" w:tplc="C3A2A33E">
      <w:numFmt w:val="bullet"/>
      <w:lvlText w:val="•"/>
      <w:lvlJc w:val="left"/>
      <w:pPr>
        <w:ind w:left="4045" w:hanging="173"/>
      </w:pPr>
      <w:rPr>
        <w:rFonts w:hint="default"/>
        <w:lang w:val="ro-RO" w:eastAsia="en-US" w:bidi="ar-SA"/>
      </w:rPr>
    </w:lvl>
    <w:lvl w:ilvl="4" w:tplc="1194B45E">
      <w:numFmt w:val="bullet"/>
      <w:lvlText w:val="•"/>
      <w:lvlJc w:val="left"/>
      <w:pPr>
        <w:ind w:left="4721" w:hanging="173"/>
      </w:pPr>
      <w:rPr>
        <w:rFonts w:hint="default"/>
        <w:lang w:val="ro-RO" w:eastAsia="en-US" w:bidi="ar-SA"/>
      </w:rPr>
    </w:lvl>
    <w:lvl w:ilvl="5" w:tplc="1638A3AA">
      <w:numFmt w:val="bullet"/>
      <w:lvlText w:val="•"/>
      <w:lvlJc w:val="left"/>
      <w:pPr>
        <w:ind w:left="5396" w:hanging="173"/>
      </w:pPr>
      <w:rPr>
        <w:rFonts w:hint="default"/>
        <w:lang w:val="ro-RO" w:eastAsia="en-US" w:bidi="ar-SA"/>
      </w:rPr>
    </w:lvl>
    <w:lvl w:ilvl="6" w:tplc="36FE2048">
      <w:numFmt w:val="bullet"/>
      <w:lvlText w:val="•"/>
      <w:lvlJc w:val="left"/>
      <w:pPr>
        <w:ind w:left="6071" w:hanging="173"/>
      </w:pPr>
      <w:rPr>
        <w:rFonts w:hint="default"/>
        <w:lang w:val="ro-RO" w:eastAsia="en-US" w:bidi="ar-SA"/>
      </w:rPr>
    </w:lvl>
    <w:lvl w:ilvl="7" w:tplc="E1F059C6">
      <w:numFmt w:val="bullet"/>
      <w:lvlText w:val="•"/>
      <w:lvlJc w:val="left"/>
      <w:pPr>
        <w:ind w:left="6747" w:hanging="173"/>
      </w:pPr>
      <w:rPr>
        <w:rFonts w:hint="default"/>
        <w:lang w:val="ro-RO" w:eastAsia="en-US" w:bidi="ar-SA"/>
      </w:rPr>
    </w:lvl>
    <w:lvl w:ilvl="8" w:tplc="6040E58E">
      <w:numFmt w:val="bullet"/>
      <w:lvlText w:val="•"/>
      <w:lvlJc w:val="left"/>
      <w:pPr>
        <w:ind w:left="7422" w:hanging="173"/>
      </w:pPr>
      <w:rPr>
        <w:rFonts w:hint="default"/>
        <w:lang w:val="ro-RO" w:eastAsia="en-US" w:bidi="ar-SA"/>
      </w:rPr>
    </w:lvl>
  </w:abstractNum>
  <w:abstractNum w:abstractNumId="57" w15:restartNumberingAfterBreak="0">
    <w:nsid w:val="366A1664"/>
    <w:multiLevelType w:val="hybridMultilevel"/>
    <w:tmpl w:val="00000000"/>
    <w:lvl w:ilvl="0" w:tplc="5BA2DDB0">
      <w:numFmt w:val="bullet"/>
      <w:lvlText w:val="•"/>
      <w:lvlJc w:val="left"/>
      <w:pPr>
        <w:ind w:left="369" w:hanging="1275"/>
      </w:pPr>
      <w:rPr>
        <w:rFonts w:ascii="Calibri" w:eastAsia="Calibri" w:hAnsi="Calibri" w:cs="Calibri" w:hint="default"/>
        <w:b w:val="0"/>
        <w:bCs w:val="0"/>
        <w:i w:val="0"/>
        <w:iCs w:val="0"/>
        <w:spacing w:val="0"/>
        <w:w w:val="109"/>
        <w:sz w:val="18"/>
        <w:szCs w:val="18"/>
        <w:lang w:val="ro-RO" w:eastAsia="en-US" w:bidi="ar-SA"/>
      </w:rPr>
    </w:lvl>
    <w:lvl w:ilvl="1" w:tplc="39C220CC">
      <w:numFmt w:val="bullet"/>
      <w:lvlText w:val="•"/>
      <w:lvlJc w:val="left"/>
      <w:pPr>
        <w:ind w:left="1401" w:hanging="1275"/>
      </w:pPr>
      <w:rPr>
        <w:rFonts w:hint="default"/>
        <w:lang w:val="ro-RO" w:eastAsia="en-US" w:bidi="ar-SA"/>
      </w:rPr>
    </w:lvl>
    <w:lvl w:ilvl="2" w:tplc="89CE2C0A">
      <w:numFmt w:val="bullet"/>
      <w:lvlText w:val="•"/>
      <w:lvlJc w:val="left"/>
      <w:pPr>
        <w:ind w:left="2442" w:hanging="1275"/>
      </w:pPr>
      <w:rPr>
        <w:rFonts w:hint="default"/>
        <w:lang w:val="ro-RO" w:eastAsia="en-US" w:bidi="ar-SA"/>
      </w:rPr>
    </w:lvl>
    <w:lvl w:ilvl="3" w:tplc="E09A35F4">
      <w:numFmt w:val="bullet"/>
      <w:lvlText w:val="•"/>
      <w:lvlJc w:val="left"/>
      <w:pPr>
        <w:ind w:left="3484" w:hanging="1275"/>
      </w:pPr>
      <w:rPr>
        <w:rFonts w:hint="default"/>
        <w:lang w:val="ro-RO" w:eastAsia="en-US" w:bidi="ar-SA"/>
      </w:rPr>
    </w:lvl>
    <w:lvl w:ilvl="4" w:tplc="355C8A62">
      <w:numFmt w:val="bullet"/>
      <w:lvlText w:val="•"/>
      <w:lvlJc w:val="left"/>
      <w:pPr>
        <w:ind w:left="4525" w:hanging="1275"/>
      </w:pPr>
      <w:rPr>
        <w:rFonts w:hint="default"/>
        <w:lang w:val="ro-RO" w:eastAsia="en-US" w:bidi="ar-SA"/>
      </w:rPr>
    </w:lvl>
    <w:lvl w:ilvl="5" w:tplc="4A08A5FC">
      <w:numFmt w:val="bullet"/>
      <w:lvlText w:val="•"/>
      <w:lvlJc w:val="left"/>
      <w:pPr>
        <w:ind w:left="5566" w:hanging="1275"/>
      </w:pPr>
      <w:rPr>
        <w:rFonts w:hint="default"/>
        <w:lang w:val="ro-RO" w:eastAsia="en-US" w:bidi="ar-SA"/>
      </w:rPr>
    </w:lvl>
    <w:lvl w:ilvl="6" w:tplc="669E3CF6">
      <w:numFmt w:val="bullet"/>
      <w:lvlText w:val="•"/>
      <w:lvlJc w:val="left"/>
      <w:pPr>
        <w:ind w:left="6608" w:hanging="1275"/>
      </w:pPr>
      <w:rPr>
        <w:rFonts w:hint="default"/>
        <w:lang w:val="ro-RO" w:eastAsia="en-US" w:bidi="ar-SA"/>
      </w:rPr>
    </w:lvl>
    <w:lvl w:ilvl="7" w:tplc="F822F016">
      <w:numFmt w:val="bullet"/>
      <w:lvlText w:val="•"/>
      <w:lvlJc w:val="left"/>
      <w:pPr>
        <w:ind w:left="7649" w:hanging="1275"/>
      </w:pPr>
      <w:rPr>
        <w:rFonts w:hint="default"/>
        <w:lang w:val="ro-RO" w:eastAsia="en-US" w:bidi="ar-SA"/>
      </w:rPr>
    </w:lvl>
    <w:lvl w:ilvl="8" w:tplc="3C248F4A">
      <w:numFmt w:val="bullet"/>
      <w:lvlText w:val="•"/>
      <w:lvlJc w:val="left"/>
      <w:pPr>
        <w:ind w:left="8690" w:hanging="1275"/>
      </w:pPr>
      <w:rPr>
        <w:rFonts w:hint="default"/>
        <w:lang w:val="ro-RO" w:eastAsia="en-US" w:bidi="ar-SA"/>
      </w:rPr>
    </w:lvl>
  </w:abstractNum>
  <w:abstractNum w:abstractNumId="58" w15:restartNumberingAfterBreak="0">
    <w:nsid w:val="369DC0A1"/>
    <w:multiLevelType w:val="hybridMultilevel"/>
    <w:tmpl w:val="00000000"/>
    <w:lvl w:ilvl="0" w:tplc="F72C00D6">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631201BC">
      <w:numFmt w:val="bullet"/>
      <w:lvlText w:val="•"/>
      <w:lvlJc w:val="left"/>
      <w:pPr>
        <w:ind w:left="2909" w:hanging="161"/>
      </w:pPr>
      <w:rPr>
        <w:rFonts w:hint="default"/>
        <w:lang w:val="ro-RO" w:eastAsia="en-US" w:bidi="ar-SA"/>
      </w:rPr>
    </w:lvl>
    <w:lvl w:ilvl="2" w:tplc="F918C966">
      <w:numFmt w:val="bullet"/>
      <w:lvlText w:val="•"/>
      <w:lvlJc w:val="left"/>
      <w:pPr>
        <w:ind w:left="3619" w:hanging="161"/>
      </w:pPr>
      <w:rPr>
        <w:rFonts w:hint="default"/>
        <w:lang w:val="ro-RO" w:eastAsia="en-US" w:bidi="ar-SA"/>
      </w:rPr>
    </w:lvl>
    <w:lvl w:ilvl="3" w:tplc="DFD4482E">
      <w:numFmt w:val="bullet"/>
      <w:lvlText w:val="•"/>
      <w:lvlJc w:val="left"/>
      <w:pPr>
        <w:ind w:left="4329" w:hanging="161"/>
      </w:pPr>
      <w:rPr>
        <w:rFonts w:hint="default"/>
        <w:lang w:val="ro-RO" w:eastAsia="en-US" w:bidi="ar-SA"/>
      </w:rPr>
    </w:lvl>
    <w:lvl w:ilvl="4" w:tplc="72327D26">
      <w:numFmt w:val="bullet"/>
      <w:lvlText w:val="•"/>
      <w:lvlJc w:val="left"/>
      <w:pPr>
        <w:ind w:left="5039" w:hanging="161"/>
      </w:pPr>
      <w:rPr>
        <w:rFonts w:hint="default"/>
        <w:lang w:val="ro-RO" w:eastAsia="en-US" w:bidi="ar-SA"/>
      </w:rPr>
    </w:lvl>
    <w:lvl w:ilvl="5" w:tplc="B5EC8E8C">
      <w:numFmt w:val="bullet"/>
      <w:lvlText w:val="•"/>
      <w:lvlJc w:val="left"/>
      <w:pPr>
        <w:ind w:left="5749" w:hanging="161"/>
      </w:pPr>
      <w:rPr>
        <w:rFonts w:hint="default"/>
        <w:lang w:val="ro-RO" w:eastAsia="en-US" w:bidi="ar-SA"/>
      </w:rPr>
    </w:lvl>
    <w:lvl w:ilvl="6" w:tplc="0F78C5A0">
      <w:numFmt w:val="bullet"/>
      <w:lvlText w:val="•"/>
      <w:lvlJc w:val="left"/>
      <w:pPr>
        <w:ind w:left="6458" w:hanging="161"/>
      </w:pPr>
      <w:rPr>
        <w:rFonts w:hint="default"/>
        <w:lang w:val="ro-RO" w:eastAsia="en-US" w:bidi="ar-SA"/>
      </w:rPr>
    </w:lvl>
    <w:lvl w:ilvl="7" w:tplc="2D5C6A8E">
      <w:numFmt w:val="bullet"/>
      <w:lvlText w:val="•"/>
      <w:lvlJc w:val="left"/>
      <w:pPr>
        <w:ind w:left="7168" w:hanging="161"/>
      </w:pPr>
      <w:rPr>
        <w:rFonts w:hint="default"/>
        <w:lang w:val="ro-RO" w:eastAsia="en-US" w:bidi="ar-SA"/>
      </w:rPr>
    </w:lvl>
    <w:lvl w:ilvl="8" w:tplc="4906007A">
      <w:numFmt w:val="bullet"/>
      <w:lvlText w:val="•"/>
      <w:lvlJc w:val="left"/>
      <w:pPr>
        <w:ind w:left="7878" w:hanging="161"/>
      </w:pPr>
      <w:rPr>
        <w:rFonts w:hint="default"/>
        <w:lang w:val="ro-RO" w:eastAsia="en-US" w:bidi="ar-SA"/>
      </w:rPr>
    </w:lvl>
  </w:abstractNum>
  <w:abstractNum w:abstractNumId="59" w15:restartNumberingAfterBreak="0">
    <w:nsid w:val="3AC0D232"/>
    <w:multiLevelType w:val="hybridMultilevel"/>
    <w:tmpl w:val="00000000"/>
    <w:lvl w:ilvl="0" w:tplc="AD44BCD4">
      <w:start w:val="1"/>
      <w:numFmt w:val="upperLetter"/>
      <w:lvlText w:val="%1."/>
      <w:lvlJc w:val="left"/>
      <w:pPr>
        <w:ind w:left="1514" w:hanging="360"/>
      </w:pPr>
      <w:rPr>
        <w:rFonts w:ascii="Calibri" w:eastAsia="Calibri" w:hAnsi="Calibri" w:cs="Calibri" w:hint="default"/>
        <w:b/>
        <w:bCs/>
        <w:i w:val="0"/>
        <w:iCs w:val="0"/>
        <w:spacing w:val="-1"/>
        <w:w w:val="130"/>
        <w:sz w:val="18"/>
        <w:szCs w:val="18"/>
        <w:lang w:val="ro-RO" w:eastAsia="en-US" w:bidi="ar-SA"/>
      </w:rPr>
    </w:lvl>
    <w:lvl w:ilvl="1" w:tplc="7FD8F970">
      <w:start w:val="1"/>
      <w:numFmt w:val="decimal"/>
      <w:lvlText w:val="%2."/>
      <w:lvlJc w:val="left"/>
      <w:pPr>
        <w:ind w:left="1485" w:hanging="360"/>
      </w:pPr>
      <w:rPr>
        <w:rFonts w:ascii="Calibri" w:eastAsia="Calibri" w:hAnsi="Calibri" w:cs="Calibri" w:hint="default"/>
        <w:b w:val="0"/>
        <w:bCs w:val="0"/>
        <w:i w:val="0"/>
        <w:iCs w:val="0"/>
        <w:spacing w:val="0"/>
        <w:w w:val="131"/>
        <w:sz w:val="18"/>
        <w:szCs w:val="18"/>
        <w:lang w:val="ro-RO" w:eastAsia="en-US" w:bidi="ar-SA"/>
      </w:rPr>
    </w:lvl>
    <w:lvl w:ilvl="2" w:tplc="E16A5496">
      <w:numFmt w:val="bullet"/>
      <w:lvlText w:val="•"/>
      <w:lvlJc w:val="left"/>
      <w:pPr>
        <w:ind w:left="2611" w:hanging="360"/>
      </w:pPr>
      <w:rPr>
        <w:rFonts w:hint="default"/>
        <w:lang w:val="ro-RO" w:eastAsia="en-US" w:bidi="ar-SA"/>
      </w:rPr>
    </w:lvl>
    <w:lvl w:ilvl="3" w:tplc="883E3F46">
      <w:numFmt w:val="bullet"/>
      <w:lvlText w:val="•"/>
      <w:lvlJc w:val="left"/>
      <w:pPr>
        <w:ind w:left="3702" w:hanging="360"/>
      </w:pPr>
      <w:rPr>
        <w:rFonts w:hint="default"/>
        <w:lang w:val="ro-RO" w:eastAsia="en-US" w:bidi="ar-SA"/>
      </w:rPr>
    </w:lvl>
    <w:lvl w:ilvl="4" w:tplc="DE027E6E">
      <w:numFmt w:val="bullet"/>
      <w:lvlText w:val="•"/>
      <w:lvlJc w:val="left"/>
      <w:pPr>
        <w:ind w:left="4793" w:hanging="360"/>
      </w:pPr>
      <w:rPr>
        <w:rFonts w:hint="default"/>
        <w:lang w:val="ro-RO" w:eastAsia="en-US" w:bidi="ar-SA"/>
      </w:rPr>
    </w:lvl>
    <w:lvl w:ilvl="5" w:tplc="B5E48ABE">
      <w:numFmt w:val="bullet"/>
      <w:lvlText w:val="•"/>
      <w:lvlJc w:val="left"/>
      <w:pPr>
        <w:ind w:left="5884" w:hanging="360"/>
      </w:pPr>
      <w:rPr>
        <w:rFonts w:hint="default"/>
        <w:lang w:val="ro-RO" w:eastAsia="en-US" w:bidi="ar-SA"/>
      </w:rPr>
    </w:lvl>
    <w:lvl w:ilvl="6" w:tplc="08FAE3CC">
      <w:numFmt w:val="bullet"/>
      <w:lvlText w:val="•"/>
      <w:lvlJc w:val="left"/>
      <w:pPr>
        <w:ind w:left="6975" w:hanging="360"/>
      </w:pPr>
      <w:rPr>
        <w:rFonts w:hint="default"/>
        <w:lang w:val="ro-RO" w:eastAsia="en-US" w:bidi="ar-SA"/>
      </w:rPr>
    </w:lvl>
    <w:lvl w:ilvl="7" w:tplc="AE4AC372">
      <w:numFmt w:val="bullet"/>
      <w:lvlText w:val="•"/>
      <w:lvlJc w:val="left"/>
      <w:pPr>
        <w:ind w:left="8066" w:hanging="360"/>
      </w:pPr>
      <w:rPr>
        <w:rFonts w:hint="default"/>
        <w:lang w:val="ro-RO" w:eastAsia="en-US" w:bidi="ar-SA"/>
      </w:rPr>
    </w:lvl>
    <w:lvl w:ilvl="8" w:tplc="92A418F8">
      <w:numFmt w:val="bullet"/>
      <w:lvlText w:val="•"/>
      <w:lvlJc w:val="left"/>
      <w:pPr>
        <w:ind w:left="9158" w:hanging="360"/>
      </w:pPr>
      <w:rPr>
        <w:rFonts w:hint="default"/>
        <w:lang w:val="ro-RO" w:eastAsia="en-US" w:bidi="ar-SA"/>
      </w:rPr>
    </w:lvl>
  </w:abstractNum>
  <w:abstractNum w:abstractNumId="60" w15:restartNumberingAfterBreak="0">
    <w:nsid w:val="3B10AB49"/>
    <w:multiLevelType w:val="hybridMultilevel"/>
    <w:tmpl w:val="00000000"/>
    <w:lvl w:ilvl="0" w:tplc="DACEC290">
      <w:numFmt w:val="bullet"/>
      <w:lvlText w:val="•"/>
      <w:lvlJc w:val="left"/>
      <w:pPr>
        <w:ind w:left="280" w:hanging="168"/>
      </w:pPr>
      <w:rPr>
        <w:rFonts w:ascii="Calibri" w:eastAsia="Calibri" w:hAnsi="Calibri" w:cs="Calibri" w:hint="default"/>
        <w:b w:val="0"/>
        <w:bCs w:val="0"/>
        <w:i w:val="0"/>
        <w:iCs w:val="0"/>
        <w:spacing w:val="0"/>
        <w:w w:val="92"/>
        <w:sz w:val="16"/>
        <w:szCs w:val="16"/>
        <w:lang w:val="ro-RO" w:eastAsia="en-US" w:bidi="ar-SA"/>
      </w:rPr>
    </w:lvl>
    <w:lvl w:ilvl="1" w:tplc="C0FE55D0">
      <w:numFmt w:val="bullet"/>
      <w:lvlText w:val="•"/>
      <w:lvlJc w:val="left"/>
      <w:pPr>
        <w:ind w:left="583" w:hanging="168"/>
      </w:pPr>
      <w:rPr>
        <w:rFonts w:hint="default"/>
        <w:lang w:val="ro-RO" w:eastAsia="en-US" w:bidi="ar-SA"/>
      </w:rPr>
    </w:lvl>
    <w:lvl w:ilvl="2" w:tplc="710AFE20">
      <w:numFmt w:val="bullet"/>
      <w:lvlText w:val="•"/>
      <w:lvlJc w:val="left"/>
      <w:pPr>
        <w:ind w:left="886" w:hanging="168"/>
      </w:pPr>
      <w:rPr>
        <w:rFonts w:hint="default"/>
        <w:lang w:val="ro-RO" w:eastAsia="en-US" w:bidi="ar-SA"/>
      </w:rPr>
    </w:lvl>
    <w:lvl w:ilvl="3" w:tplc="95DED27E">
      <w:numFmt w:val="bullet"/>
      <w:lvlText w:val="•"/>
      <w:lvlJc w:val="left"/>
      <w:pPr>
        <w:ind w:left="1189" w:hanging="168"/>
      </w:pPr>
      <w:rPr>
        <w:rFonts w:hint="default"/>
        <w:lang w:val="ro-RO" w:eastAsia="en-US" w:bidi="ar-SA"/>
      </w:rPr>
    </w:lvl>
    <w:lvl w:ilvl="4" w:tplc="ACC81484">
      <w:numFmt w:val="bullet"/>
      <w:lvlText w:val="•"/>
      <w:lvlJc w:val="left"/>
      <w:pPr>
        <w:ind w:left="1492" w:hanging="168"/>
      </w:pPr>
      <w:rPr>
        <w:rFonts w:hint="default"/>
        <w:lang w:val="ro-RO" w:eastAsia="en-US" w:bidi="ar-SA"/>
      </w:rPr>
    </w:lvl>
    <w:lvl w:ilvl="5" w:tplc="699C15DE">
      <w:numFmt w:val="bullet"/>
      <w:lvlText w:val="•"/>
      <w:lvlJc w:val="left"/>
      <w:pPr>
        <w:ind w:left="1795" w:hanging="168"/>
      </w:pPr>
      <w:rPr>
        <w:rFonts w:hint="default"/>
        <w:lang w:val="ro-RO" w:eastAsia="en-US" w:bidi="ar-SA"/>
      </w:rPr>
    </w:lvl>
    <w:lvl w:ilvl="6" w:tplc="550AEEA6">
      <w:numFmt w:val="bullet"/>
      <w:lvlText w:val="•"/>
      <w:lvlJc w:val="left"/>
      <w:pPr>
        <w:ind w:left="2098" w:hanging="168"/>
      </w:pPr>
      <w:rPr>
        <w:rFonts w:hint="default"/>
        <w:lang w:val="ro-RO" w:eastAsia="en-US" w:bidi="ar-SA"/>
      </w:rPr>
    </w:lvl>
    <w:lvl w:ilvl="7" w:tplc="0248C0D8">
      <w:numFmt w:val="bullet"/>
      <w:lvlText w:val="•"/>
      <w:lvlJc w:val="left"/>
      <w:pPr>
        <w:ind w:left="2401" w:hanging="168"/>
      </w:pPr>
      <w:rPr>
        <w:rFonts w:hint="default"/>
        <w:lang w:val="ro-RO" w:eastAsia="en-US" w:bidi="ar-SA"/>
      </w:rPr>
    </w:lvl>
    <w:lvl w:ilvl="8" w:tplc="A2FE86C2">
      <w:numFmt w:val="bullet"/>
      <w:lvlText w:val="•"/>
      <w:lvlJc w:val="left"/>
      <w:pPr>
        <w:ind w:left="2704" w:hanging="168"/>
      </w:pPr>
      <w:rPr>
        <w:rFonts w:hint="default"/>
        <w:lang w:val="ro-RO" w:eastAsia="en-US" w:bidi="ar-SA"/>
      </w:rPr>
    </w:lvl>
  </w:abstractNum>
  <w:abstractNum w:abstractNumId="61" w15:restartNumberingAfterBreak="0">
    <w:nsid w:val="3BF7B679"/>
    <w:multiLevelType w:val="hybridMultilevel"/>
    <w:tmpl w:val="00000000"/>
    <w:lvl w:ilvl="0" w:tplc="D5246E3A">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060EBF6E">
      <w:numFmt w:val="bullet"/>
      <w:lvlText w:val="•"/>
      <w:lvlJc w:val="left"/>
      <w:pPr>
        <w:ind w:left="1643" w:hanging="360"/>
      </w:pPr>
      <w:rPr>
        <w:rFonts w:hint="default"/>
        <w:lang w:val="ro-RO" w:eastAsia="en-US" w:bidi="ar-SA"/>
      </w:rPr>
    </w:lvl>
    <w:lvl w:ilvl="2" w:tplc="575CB9C2">
      <w:numFmt w:val="bullet"/>
      <w:lvlText w:val="•"/>
      <w:lvlJc w:val="left"/>
      <w:pPr>
        <w:ind w:left="2467" w:hanging="360"/>
      </w:pPr>
      <w:rPr>
        <w:rFonts w:hint="default"/>
        <w:lang w:val="ro-RO" w:eastAsia="en-US" w:bidi="ar-SA"/>
      </w:rPr>
    </w:lvl>
    <w:lvl w:ilvl="3" w:tplc="BD282C86">
      <w:numFmt w:val="bullet"/>
      <w:lvlText w:val="•"/>
      <w:lvlJc w:val="left"/>
      <w:pPr>
        <w:ind w:left="3291" w:hanging="360"/>
      </w:pPr>
      <w:rPr>
        <w:rFonts w:hint="default"/>
        <w:lang w:val="ro-RO" w:eastAsia="en-US" w:bidi="ar-SA"/>
      </w:rPr>
    </w:lvl>
    <w:lvl w:ilvl="4" w:tplc="5538E01E">
      <w:numFmt w:val="bullet"/>
      <w:lvlText w:val="•"/>
      <w:lvlJc w:val="left"/>
      <w:pPr>
        <w:ind w:left="4115" w:hanging="360"/>
      </w:pPr>
      <w:rPr>
        <w:rFonts w:hint="default"/>
        <w:lang w:val="ro-RO" w:eastAsia="en-US" w:bidi="ar-SA"/>
      </w:rPr>
    </w:lvl>
    <w:lvl w:ilvl="5" w:tplc="5E8ED620">
      <w:numFmt w:val="bullet"/>
      <w:lvlText w:val="•"/>
      <w:lvlJc w:val="left"/>
      <w:pPr>
        <w:ind w:left="4939" w:hanging="360"/>
      </w:pPr>
      <w:rPr>
        <w:rFonts w:hint="default"/>
        <w:lang w:val="ro-RO" w:eastAsia="en-US" w:bidi="ar-SA"/>
      </w:rPr>
    </w:lvl>
    <w:lvl w:ilvl="6" w:tplc="1E482FE8">
      <w:numFmt w:val="bullet"/>
      <w:lvlText w:val="•"/>
      <w:lvlJc w:val="left"/>
      <w:pPr>
        <w:ind w:left="5763" w:hanging="360"/>
      </w:pPr>
      <w:rPr>
        <w:rFonts w:hint="default"/>
        <w:lang w:val="ro-RO" w:eastAsia="en-US" w:bidi="ar-SA"/>
      </w:rPr>
    </w:lvl>
    <w:lvl w:ilvl="7" w:tplc="2906508A">
      <w:numFmt w:val="bullet"/>
      <w:lvlText w:val="•"/>
      <w:lvlJc w:val="left"/>
      <w:pPr>
        <w:ind w:left="6587" w:hanging="360"/>
      </w:pPr>
      <w:rPr>
        <w:rFonts w:hint="default"/>
        <w:lang w:val="ro-RO" w:eastAsia="en-US" w:bidi="ar-SA"/>
      </w:rPr>
    </w:lvl>
    <w:lvl w:ilvl="8" w:tplc="38020A10">
      <w:numFmt w:val="bullet"/>
      <w:lvlText w:val="•"/>
      <w:lvlJc w:val="left"/>
      <w:pPr>
        <w:ind w:left="7411" w:hanging="360"/>
      </w:pPr>
      <w:rPr>
        <w:rFonts w:hint="default"/>
        <w:lang w:val="ro-RO" w:eastAsia="en-US" w:bidi="ar-SA"/>
      </w:rPr>
    </w:lvl>
  </w:abstractNum>
  <w:abstractNum w:abstractNumId="62" w15:restartNumberingAfterBreak="0">
    <w:nsid w:val="3CAFD089"/>
    <w:multiLevelType w:val="hybridMultilevel"/>
    <w:tmpl w:val="00000000"/>
    <w:lvl w:ilvl="0" w:tplc="AF3C1046">
      <w:start w:val="1"/>
      <w:numFmt w:val="upperRoman"/>
      <w:lvlText w:val="%1."/>
      <w:lvlJc w:val="left"/>
      <w:pPr>
        <w:ind w:left="806" w:hanging="524"/>
        <w:jc w:val="right"/>
      </w:pPr>
      <w:rPr>
        <w:rFonts w:ascii="Calibri" w:eastAsia="Calibri" w:hAnsi="Calibri" w:cs="Calibri" w:hint="default"/>
        <w:b/>
        <w:bCs/>
        <w:i w:val="0"/>
        <w:iCs w:val="0"/>
        <w:spacing w:val="0"/>
        <w:w w:val="169"/>
        <w:sz w:val="18"/>
        <w:szCs w:val="18"/>
        <w:lang w:val="ro-RO" w:eastAsia="en-US" w:bidi="ar-SA"/>
      </w:rPr>
    </w:lvl>
    <w:lvl w:ilvl="1" w:tplc="A2BEDE7A">
      <w:start w:val="1"/>
      <w:numFmt w:val="upperLetter"/>
      <w:lvlText w:val="%2."/>
      <w:lvlJc w:val="left"/>
      <w:pPr>
        <w:ind w:left="777" w:hanging="360"/>
      </w:pPr>
      <w:rPr>
        <w:rFonts w:ascii="Calibri" w:eastAsia="Calibri" w:hAnsi="Calibri" w:cs="Calibri" w:hint="default"/>
        <w:b/>
        <w:bCs/>
        <w:i w:val="0"/>
        <w:iCs w:val="0"/>
        <w:spacing w:val="-1"/>
        <w:w w:val="130"/>
        <w:sz w:val="18"/>
        <w:szCs w:val="18"/>
        <w:lang w:val="ro-RO" w:eastAsia="en-US" w:bidi="ar-SA"/>
      </w:rPr>
    </w:lvl>
    <w:lvl w:ilvl="2" w:tplc="A818558C">
      <w:numFmt w:val="bullet"/>
      <w:lvlText w:val="•"/>
      <w:lvlJc w:val="left"/>
      <w:pPr>
        <w:ind w:left="1813" w:hanging="360"/>
      </w:pPr>
      <w:rPr>
        <w:rFonts w:hint="default"/>
        <w:lang w:val="ro-RO" w:eastAsia="en-US" w:bidi="ar-SA"/>
      </w:rPr>
    </w:lvl>
    <w:lvl w:ilvl="3" w:tplc="5BCE508E">
      <w:numFmt w:val="bullet"/>
      <w:lvlText w:val="•"/>
      <w:lvlJc w:val="left"/>
      <w:pPr>
        <w:ind w:left="2827" w:hanging="360"/>
      </w:pPr>
      <w:rPr>
        <w:rFonts w:hint="default"/>
        <w:lang w:val="ro-RO" w:eastAsia="en-US" w:bidi="ar-SA"/>
      </w:rPr>
    </w:lvl>
    <w:lvl w:ilvl="4" w:tplc="E4180378">
      <w:numFmt w:val="bullet"/>
      <w:lvlText w:val="•"/>
      <w:lvlJc w:val="left"/>
      <w:pPr>
        <w:ind w:left="3841" w:hanging="360"/>
      </w:pPr>
      <w:rPr>
        <w:rFonts w:hint="default"/>
        <w:lang w:val="ro-RO" w:eastAsia="en-US" w:bidi="ar-SA"/>
      </w:rPr>
    </w:lvl>
    <w:lvl w:ilvl="5" w:tplc="6020454C">
      <w:numFmt w:val="bullet"/>
      <w:lvlText w:val="•"/>
      <w:lvlJc w:val="left"/>
      <w:pPr>
        <w:ind w:left="4854" w:hanging="360"/>
      </w:pPr>
      <w:rPr>
        <w:rFonts w:hint="default"/>
        <w:lang w:val="ro-RO" w:eastAsia="en-US" w:bidi="ar-SA"/>
      </w:rPr>
    </w:lvl>
    <w:lvl w:ilvl="6" w:tplc="0018FC96">
      <w:numFmt w:val="bullet"/>
      <w:lvlText w:val="•"/>
      <w:lvlJc w:val="left"/>
      <w:pPr>
        <w:ind w:left="5868" w:hanging="360"/>
      </w:pPr>
      <w:rPr>
        <w:rFonts w:hint="default"/>
        <w:lang w:val="ro-RO" w:eastAsia="en-US" w:bidi="ar-SA"/>
      </w:rPr>
    </w:lvl>
    <w:lvl w:ilvl="7" w:tplc="B3EAC4DE">
      <w:numFmt w:val="bullet"/>
      <w:lvlText w:val="•"/>
      <w:lvlJc w:val="left"/>
      <w:pPr>
        <w:ind w:left="6882" w:hanging="360"/>
      </w:pPr>
      <w:rPr>
        <w:rFonts w:hint="default"/>
        <w:lang w:val="ro-RO" w:eastAsia="en-US" w:bidi="ar-SA"/>
      </w:rPr>
    </w:lvl>
    <w:lvl w:ilvl="8" w:tplc="FAFAE220">
      <w:numFmt w:val="bullet"/>
      <w:lvlText w:val="•"/>
      <w:lvlJc w:val="left"/>
      <w:pPr>
        <w:ind w:left="7895" w:hanging="360"/>
      </w:pPr>
      <w:rPr>
        <w:rFonts w:hint="default"/>
        <w:lang w:val="ro-RO" w:eastAsia="en-US" w:bidi="ar-SA"/>
      </w:rPr>
    </w:lvl>
  </w:abstractNum>
  <w:abstractNum w:abstractNumId="63" w15:restartNumberingAfterBreak="0">
    <w:nsid w:val="3CD501D2"/>
    <w:multiLevelType w:val="hybridMultilevel"/>
    <w:tmpl w:val="00000000"/>
    <w:lvl w:ilvl="0" w:tplc="8A509D5C">
      <w:numFmt w:val="bullet"/>
      <w:lvlText w:val="•"/>
      <w:lvlJc w:val="left"/>
      <w:pPr>
        <w:ind w:left="2204" w:hanging="161"/>
      </w:pPr>
      <w:rPr>
        <w:rFonts w:ascii="Calibri" w:eastAsia="Calibri" w:hAnsi="Calibri" w:cs="Calibri" w:hint="default"/>
        <w:b w:val="0"/>
        <w:bCs w:val="0"/>
        <w:i w:val="0"/>
        <w:iCs w:val="0"/>
        <w:spacing w:val="0"/>
        <w:w w:val="86"/>
        <w:sz w:val="18"/>
        <w:szCs w:val="18"/>
        <w:lang w:val="ro-RO" w:eastAsia="en-US" w:bidi="ar-SA"/>
      </w:rPr>
    </w:lvl>
    <w:lvl w:ilvl="1" w:tplc="82BE57A6">
      <w:numFmt w:val="bullet"/>
      <w:lvlText w:val="•"/>
      <w:lvlJc w:val="left"/>
      <w:pPr>
        <w:ind w:left="2909" w:hanging="161"/>
      </w:pPr>
      <w:rPr>
        <w:rFonts w:hint="default"/>
        <w:lang w:val="ro-RO" w:eastAsia="en-US" w:bidi="ar-SA"/>
      </w:rPr>
    </w:lvl>
    <w:lvl w:ilvl="2" w:tplc="ED4C4162">
      <w:numFmt w:val="bullet"/>
      <w:lvlText w:val="•"/>
      <w:lvlJc w:val="left"/>
      <w:pPr>
        <w:ind w:left="3619" w:hanging="161"/>
      </w:pPr>
      <w:rPr>
        <w:rFonts w:hint="default"/>
        <w:lang w:val="ro-RO" w:eastAsia="en-US" w:bidi="ar-SA"/>
      </w:rPr>
    </w:lvl>
    <w:lvl w:ilvl="3" w:tplc="BFF0E55E">
      <w:numFmt w:val="bullet"/>
      <w:lvlText w:val="•"/>
      <w:lvlJc w:val="left"/>
      <w:pPr>
        <w:ind w:left="4329" w:hanging="161"/>
      </w:pPr>
      <w:rPr>
        <w:rFonts w:hint="default"/>
        <w:lang w:val="ro-RO" w:eastAsia="en-US" w:bidi="ar-SA"/>
      </w:rPr>
    </w:lvl>
    <w:lvl w:ilvl="4" w:tplc="0AFE0BB0">
      <w:numFmt w:val="bullet"/>
      <w:lvlText w:val="•"/>
      <w:lvlJc w:val="left"/>
      <w:pPr>
        <w:ind w:left="5039" w:hanging="161"/>
      </w:pPr>
      <w:rPr>
        <w:rFonts w:hint="default"/>
        <w:lang w:val="ro-RO" w:eastAsia="en-US" w:bidi="ar-SA"/>
      </w:rPr>
    </w:lvl>
    <w:lvl w:ilvl="5" w:tplc="AECA140A">
      <w:numFmt w:val="bullet"/>
      <w:lvlText w:val="•"/>
      <w:lvlJc w:val="left"/>
      <w:pPr>
        <w:ind w:left="5749" w:hanging="161"/>
      </w:pPr>
      <w:rPr>
        <w:rFonts w:hint="default"/>
        <w:lang w:val="ro-RO" w:eastAsia="en-US" w:bidi="ar-SA"/>
      </w:rPr>
    </w:lvl>
    <w:lvl w:ilvl="6" w:tplc="3E06FA2A">
      <w:numFmt w:val="bullet"/>
      <w:lvlText w:val="•"/>
      <w:lvlJc w:val="left"/>
      <w:pPr>
        <w:ind w:left="6458" w:hanging="161"/>
      </w:pPr>
      <w:rPr>
        <w:rFonts w:hint="default"/>
        <w:lang w:val="ro-RO" w:eastAsia="en-US" w:bidi="ar-SA"/>
      </w:rPr>
    </w:lvl>
    <w:lvl w:ilvl="7" w:tplc="E0301238">
      <w:numFmt w:val="bullet"/>
      <w:lvlText w:val="•"/>
      <w:lvlJc w:val="left"/>
      <w:pPr>
        <w:ind w:left="7168" w:hanging="161"/>
      </w:pPr>
      <w:rPr>
        <w:rFonts w:hint="default"/>
        <w:lang w:val="ro-RO" w:eastAsia="en-US" w:bidi="ar-SA"/>
      </w:rPr>
    </w:lvl>
    <w:lvl w:ilvl="8" w:tplc="726887FA">
      <w:numFmt w:val="bullet"/>
      <w:lvlText w:val="•"/>
      <w:lvlJc w:val="left"/>
      <w:pPr>
        <w:ind w:left="7878" w:hanging="161"/>
      </w:pPr>
      <w:rPr>
        <w:rFonts w:hint="default"/>
        <w:lang w:val="ro-RO" w:eastAsia="en-US" w:bidi="ar-SA"/>
      </w:rPr>
    </w:lvl>
  </w:abstractNum>
  <w:abstractNum w:abstractNumId="64" w15:restartNumberingAfterBreak="0">
    <w:nsid w:val="3DD1BA30"/>
    <w:multiLevelType w:val="hybridMultilevel"/>
    <w:tmpl w:val="00000000"/>
    <w:lvl w:ilvl="0" w:tplc="DC703DC8">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6E8C7B84">
      <w:numFmt w:val="bullet"/>
      <w:lvlText w:val="•"/>
      <w:lvlJc w:val="left"/>
      <w:pPr>
        <w:ind w:left="2909" w:hanging="161"/>
      </w:pPr>
      <w:rPr>
        <w:rFonts w:hint="default"/>
        <w:lang w:val="ro-RO" w:eastAsia="en-US" w:bidi="ar-SA"/>
      </w:rPr>
    </w:lvl>
    <w:lvl w:ilvl="2" w:tplc="E53CC6D6">
      <w:numFmt w:val="bullet"/>
      <w:lvlText w:val="•"/>
      <w:lvlJc w:val="left"/>
      <w:pPr>
        <w:ind w:left="3619" w:hanging="161"/>
      </w:pPr>
      <w:rPr>
        <w:rFonts w:hint="default"/>
        <w:lang w:val="ro-RO" w:eastAsia="en-US" w:bidi="ar-SA"/>
      </w:rPr>
    </w:lvl>
    <w:lvl w:ilvl="3" w:tplc="97D445E2">
      <w:numFmt w:val="bullet"/>
      <w:lvlText w:val="•"/>
      <w:lvlJc w:val="left"/>
      <w:pPr>
        <w:ind w:left="4329" w:hanging="161"/>
      </w:pPr>
      <w:rPr>
        <w:rFonts w:hint="default"/>
        <w:lang w:val="ro-RO" w:eastAsia="en-US" w:bidi="ar-SA"/>
      </w:rPr>
    </w:lvl>
    <w:lvl w:ilvl="4" w:tplc="583EC562">
      <w:numFmt w:val="bullet"/>
      <w:lvlText w:val="•"/>
      <w:lvlJc w:val="left"/>
      <w:pPr>
        <w:ind w:left="5039" w:hanging="161"/>
      </w:pPr>
      <w:rPr>
        <w:rFonts w:hint="default"/>
        <w:lang w:val="ro-RO" w:eastAsia="en-US" w:bidi="ar-SA"/>
      </w:rPr>
    </w:lvl>
    <w:lvl w:ilvl="5" w:tplc="F9C8FAD6">
      <w:numFmt w:val="bullet"/>
      <w:lvlText w:val="•"/>
      <w:lvlJc w:val="left"/>
      <w:pPr>
        <w:ind w:left="5749" w:hanging="161"/>
      </w:pPr>
      <w:rPr>
        <w:rFonts w:hint="default"/>
        <w:lang w:val="ro-RO" w:eastAsia="en-US" w:bidi="ar-SA"/>
      </w:rPr>
    </w:lvl>
    <w:lvl w:ilvl="6" w:tplc="85966AC2">
      <w:numFmt w:val="bullet"/>
      <w:lvlText w:val="•"/>
      <w:lvlJc w:val="left"/>
      <w:pPr>
        <w:ind w:left="6458" w:hanging="161"/>
      </w:pPr>
      <w:rPr>
        <w:rFonts w:hint="default"/>
        <w:lang w:val="ro-RO" w:eastAsia="en-US" w:bidi="ar-SA"/>
      </w:rPr>
    </w:lvl>
    <w:lvl w:ilvl="7" w:tplc="1AD254EC">
      <w:numFmt w:val="bullet"/>
      <w:lvlText w:val="•"/>
      <w:lvlJc w:val="left"/>
      <w:pPr>
        <w:ind w:left="7168" w:hanging="161"/>
      </w:pPr>
      <w:rPr>
        <w:rFonts w:hint="default"/>
        <w:lang w:val="ro-RO" w:eastAsia="en-US" w:bidi="ar-SA"/>
      </w:rPr>
    </w:lvl>
    <w:lvl w:ilvl="8" w:tplc="59AC8E22">
      <w:numFmt w:val="bullet"/>
      <w:lvlText w:val="•"/>
      <w:lvlJc w:val="left"/>
      <w:pPr>
        <w:ind w:left="7878" w:hanging="161"/>
      </w:pPr>
      <w:rPr>
        <w:rFonts w:hint="default"/>
        <w:lang w:val="ro-RO" w:eastAsia="en-US" w:bidi="ar-SA"/>
      </w:rPr>
    </w:lvl>
  </w:abstractNum>
  <w:abstractNum w:abstractNumId="65" w15:restartNumberingAfterBreak="0">
    <w:nsid w:val="3DFE640E"/>
    <w:multiLevelType w:val="hybridMultilevel"/>
    <w:tmpl w:val="00000000"/>
    <w:lvl w:ilvl="0" w:tplc="3F621C1C">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BDC00134">
      <w:numFmt w:val="bullet"/>
      <w:lvlText w:val="•"/>
      <w:lvlJc w:val="left"/>
      <w:pPr>
        <w:ind w:left="2466" w:hanging="360"/>
      </w:pPr>
      <w:rPr>
        <w:rFonts w:hint="default"/>
        <w:lang w:val="ro-RO" w:eastAsia="en-US" w:bidi="ar-SA"/>
      </w:rPr>
    </w:lvl>
    <w:lvl w:ilvl="2" w:tplc="65C21BE8">
      <w:numFmt w:val="bullet"/>
      <w:lvlText w:val="•"/>
      <w:lvlJc w:val="left"/>
      <w:pPr>
        <w:ind w:left="3452" w:hanging="360"/>
      </w:pPr>
      <w:rPr>
        <w:rFonts w:hint="default"/>
        <w:lang w:val="ro-RO" w:eastAsia="en-US" w:bidi="ar-SA"/>
      </w:rPr>
    </w:lvl>
    <w:lvl w:ilvl="3" w:tplc="08C4C6D4">
      <w:numFmt w:val="bullet"/>
      <w:lvlText w:val="•"/>
      <w:lvlJc w:val="left"/>
      <w:pPr>
        <w:ind w:left="4438" w:hanging="360"/>
      </w:pPr>
      <w:rPr>
        <w:rFonts w:hint="default"/>
        <w:lang w:val="ro-RO" w:eastAsia="en-US" w:bidi="ar-SA"/>
      </w:rPr>
    </w:lvl>
    <w:lvl w:ilvl="4" w:tplc="676ACFBA">
      <w:numFmt w:val="bullet"/>
      <w:lvlText w:val="•"/>
      <w:lvlJc w:val="left"/>
      <w:pPr>
        <w:ind w:left="5424" w:hanging="360"/>
      </w:pPr>
      <w:rPr>
        <w:rFonts w:hint="default"/>
        <w:lang w:val="ro-RO" w:eastAsia="en-US" w:bidi="ar-SA"/>
      </w:rPr>
    </w:lvl>
    <w:lvl w:ilvl="5" w:tplc="B3E2778A">
      <w:numFmt w:val="bullet"/>
      <w:lvlText w:val="•"/>
      <w:lvlJc w:val="left"/>
      <w:pPr>
        <w:ind w:left="6410" w:hanging="360"/>
      </w:pPr>
      <w:rPr>
        <w:rFonts w:hint="default"/>
        <w:lang w:val="ro-RO" w:eastAsia="en-US" w:bidi="ar-SA"/>
      </w:rPr>
    </w:lvl>
    <w:lvl w:ilvl="6" w:tplc="7B700418">
      <w:numFmt w:val="bullet"/>
      <w:lvlText w:val="•"/>
      <w:lvlJc w:val="left"/>
      <w:pPr>
        <w:ind w:left="7396" w:hanging="360"/>
      </w:pPr>
      <w:rPr>
        <w:rFonts w:hint="default"/>
        <w:lang w:val="ro-RO" w:eastAsia="en-US" w:bidi="ar-SA"/>
      </w:rPr>
    </w:lvl>
    <w:lvl w:ilvl="7" w:tplc="7A68776A">
      <w:numFmt w:val="bullet"/>
      <w:lvlText w:val="•"/>
      <w:lvlJc w:val="left"/>
      <w:pPr>
        <w:ind w:left="8382" w:hanging="360"/>
      </w:pPr>
      <w:rPr>
        <w:rFonts w:hint="default"/>
        <w:lang w:val="ro-RO" w:eastAsia="en-US" w:bidi="ar-SA"/>
      </w:rPr>
    </w:lvl>
    <w:lvl w:ilvl="8" w:tplc="AB3828BA">
      <w:numFmt w:val="bullet"/>
      <w:lvlText w:val="•"/>
      <w:lvlJc w:val="left"/>
      <w:pPr>
        <w:ind w:left="9368" w:hanging="360"/>
      </w:pPr>
      <w:rPr>
        <w:rFonts w:hint="default"/>
        <w:lang w:val="ro-RO" w:eastAsia="en-US" w:bidi="ar-SA"/>
      </w:rPr>
    </w:lvl>
  </w:abstractNum>
  <w:abstractNum w:abstractNumId="66" w15:restartNumberingAfterBreak="0">
    <w:nsid w:val="3E319A29"/>
    <w:multiLevelType w:val="hybridMultilevel"/>
    <w:tmpl w:val="00000000"/>
    <w:lvl w:ilvl="0" w:tplc="68D4EEC6">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B606AB8A">
      <w:numFmt w:val="bullet"/>
      <w:lvlText w:val="•"/>
      <w:lvlJc w:val="left"/>
      <w:pPr>
        <w:ind w:left="1722" w:hanging="360"/>
      </w:pPr>
      <w:rPr>
        <w:rFonts w:hint="default"/>
        <w:lang w:val="ro-RO" w:eastAsia="en-US" w:bidi="ar-SA"/>
      </w:rPr>
    </w:lvl>
    <w:lvl w:ilvl="2" w:tplc="7F2E6994">
      <w:numFmt w:val="bullet"/>
      <w:lvlText w:val="•"/>
      <w:lvlJc w:val="left"/>
      <w:pPr>
        <w:ind w:left="2665" w:hanging="360"/>
      </w:pPr>
      <w:rPr>
        <w:rFonts w:hint="default"/>
        <w:lang w:val="ro-RO" w:eastAsia="en-US" w:bidi="ar-SA"/>
      </w:rPr>
    </w:lvl>
    <w:lvl w:ilvl="3" w:tplc="C91E24C4">
      <w:numFmt w:val="bullet"/>
      <w:lvlText w:val="•"/>
      <w:lvlJc w:val="left"/>
      <w:pPr>
        <w:ind w:left="3608" w:hanging="360"/>
      </w:pPr>
      <w:rPr>
        <w:rFonts w:hint="default"/>
        <w:lang w:val="ro-RO" w:eastAsia="en-US" w:bidi="ar-SA"/>
      </w:rPr>
    </w:lvl>
    <w:lvl w:ilvl="4" w:tplc="CFB4C5FC">
      <w:numFmt w:val="bullet"/>
      <w:lvlText w:val="•"/>
      <w:lvlJc w:val="left"/>
      <w:pPr>
        <w:ind w:left="4550" w:hanging="360"/>
      </w:pPr>
      <w:rPr>
        <w:rFonts w:hint="default"/>
        <w:lang w:val="ro-RO" w:eastAsia="en-US" w:bidi="ar-SA"/>
      </w:rPr>
    </w:lvl>
    <w:lvl w:ilvl="5" w:tplc="0F92C938">
      <w:numFmt w:val="bullet"/>
      <w:lvlText w:val="•"/>
      <w:lvlJc w:val="left"/>
      <w:pPr>
        <w:ind w:left="5493" w:hanging="360"/>
      </w:pPr>
      <w:rPr>
        <w:rFonts w:hint="default"/>
        <w:lang w:val="ro-RO" w:eastAsia="en-US" w:bidi="ar-SA"/>
      </w:rPr>
    </w:lvl>
    <w:lvl w:ilvl="6" w:tplc="11543BF6">
      <w:numFmt w:val="bullet"/>
      <w:lvlText w:val="•"/>
      <w:lvlJc w:val="left"/>
      <w:pPr>
        <w:ind w:left="6436" w:hanging="360"/>
      </w:pPr>
      <w:rPr>
        <w:rFonts w:hint="default"/>
        <w:lang w:val="ro-RO" w:eastAsia="en-US" w:bidi="ar-SA"/>
      </w:rPr>
    </w:lvl>
    <w:lvl w:ilvl="7" w:tplc="A20C2932">
      <w:numFmt w:val="bullet"/>
      <w:lvlText w:val="•"/>
      <w:lvlJc w:val="left"/>
      <w:pPr>
        <w:ind w:left="7379" w:hanging="360"/>
      </w:pPr>
      <w:rPr>
        <w:rFonts w:hint="default"/>
        <w:lang w:val="ro-RO" w:eastAsia="en-US" w:bidi="ar-SA"/>
      </w:rPr>
    </w:lvl>
    <w:lvl w:ilvl="8" w:tplc="AF667CB4">
      <w:numFmt w:val="bullet"/>
      <w:lvlText w:val="•"/>
      <w:lvlJc w:val="left"/>
      <w:pPr>
        <w:ind w:left="8321" w:hanging="360"/>
      </w:pPr>
      <w:rPr>
        <w:rFonts w:hint="default"/>
        <w:lang w:val="ro-RO" w:eastAsia="en-US" w:bidi="ar-SA"/>
      </w:rPr>
    </w:lvl>
  </w:abstractNum>
  <w:abstractNum w:abstractNumId="67" w15:restartNumberingAfterBreak="0">
    <w:nsid w:val="3E7AB16E"/>
    <w:multiLevelType w:val="hybridMultilevel"/>
    <w:tmpl w:val="00000000"/>
    <w:lvl w:ilvl="0" w:tplc="FBC6791E">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16F64932">
      <w:numFmt w:val="bullet"/>
      <w:lvlText w:val="•"/>
      <w:lvlJc w:val="left"/>
      <w:pPr>
        <w:ind w:left="2909" w:hanging="161"/>
      </w:pPr>
      <w:rPr>
        <w:rFonts w:hint="default"/>
        <w:lang w:val="ro-RO" w:eastAsia="en-US" w:bidi="ar-SA"/>
      </w:rPr>
    </w:lvl>
    <w:lvl w:ilvl="2" w:tplc="582607B0">
      <w:numFmt w:val="bullet"/>
      <w:lvlText w:val="•"/>
      <w:lvlJc w:val="left"/>
      <w:pPr>
        <w:ind w:left="3619" w:hanging="161"/>
      </w:pPr>
      <w:rPr>
        <w:rFonts w:hint="default"/>
        <w:lang w:val="ro-RO" w:eastAsia="en-US" w:bidi="ar-SA"/>
      </w:rPr>
    </w:lvl>
    <w:lvl w:ilvl="3" w:tplc="295C0D60">
      <w:numFmt w:val="bullet"/>
      <w:lvlText w:val="•"/>
      <w:lvlJc w:val="left"/>
      <w:pPr>
        <w:ind w:left="4329" w:hanging="161"/>
      </w:pPr>
      <w:rPr>
        <w:rFonts w:hint="default"/>
        <w:lang w:val="ro-RO" w:eastAsia="en-US" w:bidi="ar-SA"/>
      </w:rPr>
    </w:lvl>
    <w:lvl w:ilvl="4" w:tplc="7902CE88">
      <w:numFmt w:val="bullet"/>
      <w:lvlText w:val="•"/>
      <w:lvlJc w:val="left"/>
      <w:pPr>
        <w:ind w:left="5039" w:hanging="161"/>
      </w:pPr>
      <w:rPr>
        <w:rFonts w:hint="default"/>
        <w:lang w:val="ro-RO" w:eastAsia="en-US" w:bidi="ar-SA"/>
      </w:rPr>
    </w:lvl>
    <w:lvl w:ilvl="5" w:tplc="D4487D74">
      <w:numFmt w:val="bullet"/>
      <w:lvlText w:val="•"/>
      <w:lvlJc w:val="left"/>
      <w:pPr>
        <w:ind w:left="5749" w:hanging="161"/>
      </w:pPr>
      <w:rPr>
        <w:rFonts w:hint="default"/>
        <w:lang w:val="ro-RO" w:eastAsia="en-US" w:bidi="ar-SA"/>
      </w:rPr>
    </w:lvl>
    <w:lvl w:ilvl="6" w:tplc="47AC040C">
      <w:numFmt w:val="bullet"/>
      <w:lvlText w:val="•"/>
      <w:lvlJc w:val="left"/>
      <w:pPr>
        <w:ind w:left="6458" w:hanging="161"/>
      </w:pPr>
      <w:rPr>
        <w:rFonts w:hint="default"/>
        <w:lang w:val="ro-RO" w:eastAsia="en-US" w:bidi="ar-SA"/>
      </w:rPr>
    </w:lvl>
    <w:lvl w:ilvl="7" w:tplc="A8B47AFC">
      <w:numFmt w:val="bullet"/>
      <w:lvlText w:val="•"/>
      <w:lvlJc w:val="left"/>
      <w:pPr>
        <w:ind w:left="7168" w:hanging="161"/>
      </w:pPr>
      <w:rPr>
        <w:rFonts w:hint="default"/>
        <w:lang w:val="ro-RO" w:eastAsia="en-US" w:bidi="ar-SA"/>
      </w:rPr>
    </w:lvl>
    <w:lvl w:ilvl="8" w:tplc="A9221B1C">
      <w:numFmt w:val="bullet"/>
      <w:lvlText w:val="•"/>
      <w:lvlJc w:val="left"/>
      <w:pPr>
        <w:ind w:left="7878" w:hanging="161"/>
      </w:pPr>
      <w:rPr>
        <w:rFonts w:hint="default"/>
        <w:lang w:val="ro-RO" w:eastAsia="en-US" w:bidi="ar-SA"/>
      </w:rPr>
    </w:lvl>
  </w:abstractNum>
  <w:abstractNum w:abstractNumId="68" w15:restartNumberingAfterBreak="0">
    <w:nsid w:val="3F3BF65C"/>
    <w:multiLevelType w:val="hybridMultilevel"/>
    <w:tmpl w:val="00000000"/>
    <w:lvl w:ilvl="0" w:tplc="2FD2EA88">
      <w:numFmt w:val="bullet"/>
      <w:lvlText w:val="•"/>
      <w:lvlJc w:val="left"/>
      <w:pPr>
        <w:ind w:left="415" w:hanging="284"/>
      </w:pPr>
      <w:rPr>
        <w:rFonts w:ascii="Calibri" w:eastAsia="Calibri" w:hAnsi="Calibri" w:cs="Calibri" w:hint="default"/>
        <w:b w:val="0"/>
        <w:bCs w:val="0"/>
        <w:i w:val="0"/>
        <w:iCs w:val="0"/>
        <w:spacing w:val="0"/>
        <w:w w:val="92"/>
        <w:sz w:val="16"/>
        <w:szCs w:val="16"/>
        <w:lang w:val="ro-RO" w:eastAsia="en-US" w:bidi="ar-SA"/>
      </w:rPr>
    </w:lvl>
    <w:lvl w:ilvl="1" w:tplc="2080169E">
      <w:numFmt w:val="bullet"/>
      <w:lvlText w:val="•"/>
      <w:lvlJc w:val="left"/>
      <w:pPr>
        <w:ind w:left="915" w:hanging="284"/>
      </w:pPr>
      <w:rPr>
        <w:rFonts w:hint="default"/>
        <w:lang w:val="ro-RO" w:eastAsia="en-US" w:bidi="ar-SA"/>
      </w:rPr>
    </w:lvl>
    <w:lvl w:ilvl="2" w:tplc="E9E48E64">
      <w:numFmt w:val="bullet"/>
      <w:lvlText w:val="•"/>
      <w:lvlJc w:val="left"/>
      <w:pPr>
        <w:ind w:left="1410" w:hanging="284"/>
      </w:pPr>
      <w:rPr>
        <w:rFonts w:hint="default"/>
        <w:lang w:val="ro-RO" w:eastAsia="en-US" w:bidi="ar-SA"/>
      </w:rPr>
    </w:lvl>
    <w:lvl w:ilvl="3" w:tplc="113EC1F2">
      <w:numFmt w:val="bullet"/>
      <w:lvlText w:val="•"/>
      <w:lvlJc w:val="left"/>
      <w:pPr>
        <w:ind w:left="1905" w:hanging="284"/>
      </w:pPr>
      <w:rPr>
        <w:rFonts w:hint="default"/>
        <w:lang w:val="ro-RO" w:eastAsia="en-US" w:bidi="ar-SA"/>
      </w:rPr>
    </w:lvl>
    <w:lvl w:ilvl="4" w:tplc="140208FA">
      <w:numFmt w:val="bullet"/>
      <w:lvlText w:val="•"/>
      <w:lvlJc w:val="left"/>
      <w:pPr>
        <w:ind w:left="2400" w:hanging="284"/>
      </w:pPr>
      <w:rPr>
        <w:rFonts w:hint="default"/>
        <w:lang w:val="ro-RO" w:eastAsia="en-US" w:bidi="ar-SA"/>
      </w:rPr>
    </w:lvl>
    <w:lvl w:ilvl="5" w:tplc="B59471A6">
      <w:numFmt w:val="bullet"/>
      <w:lvlText w:val="•"/>
      <w:lvlJc w:val="left"/>
      <w:pPr>
        <w:ind w:left="2895" w:hanging="284"/>
      </w:pPr>
      <w:rPr>
        <w:rFonts w:hint="default"/>
        <w:lang w:val="ro-RO" w:eastAsia="en-US" w:bidi="ar-SA"/>
      </w:rPr>
    </w:lvl>
    <w:lvl w:ilvl="6" w:tplc="47DC25F6">
      <w:numFmt w:val="bullet"/>
      <w:lvlText w:val="•"/>
      <w:lvlJc w:val="left"/>
      <w:pPr>
        <w:ind w:left="3390" w:hanging="284"/>
      </w:pPr>
      <w:rPr>
        <w:rFonts w:hint="default"/>
        <w:lang w:val="ro-RO" w:eastAsia="en-US" w:bidi="ar-SA"/>
      </w:rPr>
    </w:lvl>
    <w:lvl w:ilvl="7" w:tplc="D9728C00">
      <w:numFmt w:val="bullet"/>
      <w:lvlText w:val="•"/>
      <w:lvlJc w:val="left"/>
      <w:pPr>
        <w:ind w:left="3885" w:hanging="284"/>
      </w:pPr>
      <w:rPr>
        <w:rFonts w:hint="default"/>
        <w:lang w:val="ro-RO" w:eastAsia="en-US" w:bidi="ar-SA"/>
      </w:rPr>
    </w:lvl>
    <w:lvl w:ilvl="8" w:tplc="755CA7C0">
      <w:numFmt w:val="bullet"/>
      <w:lvlText w:val="•"/>
      <w:lvlJc w:val="left"/>
      <w:pPr>
        <w:ind w:left="4380" w:hanging="284"/>
      </w:pPr>
      <w:rPr>
        <w:rFonts w:hint="default"/>
        <w:lang w:val="ro-RO" w:eastAsia="en-US" w:bidi="ar-SA"/>
      </w:rPr>
    </w:lvl>
  </w:abstractNum>
  <w:abstractNum w:abstractNumId="69" w15:restartNumberingAfterBreak="0">
    <w:nsid w:val="3F3E0F47"/>
    <w:multiLevelType w:val="hybridMultilevel"/>
    <w:tmpl w:val="00000000"/>
    <w:lvl w:ilvl="0" w:tplc="4EBC1C72">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8B48E820">
      <w:numFmt w:val="bullet"/>
      <w:lvlText w:val="•"/>
      <w:lvlJc w:val="left"/>
      <w:pPr>
        <w:ind w:left="1643" w:hanging="360"/>
      </w:pPr>
      <w:rPr>
        <w:rFonts w:hint="default"/>
        <w:lang w:val="ro-RO" w:eastAsia="en-US" w:bidi="ar-SA"/>
      </w:rPr>
    </w:lvl>
    <w:lvl w:ilvl="2" w:tplc="CA12D120">
      <w:numFmt w:val="bullet"/>
      <w:lvlText w:val="•"/>
      <w:lvlJc w:val="left"/>
      <w:pPr>
        <w:ind w:left="2467" w:hanging="360"/>
      </w:pPr>
      <w:rPr>
        <w:rFonts w:hint="default"/>
        <w:lang w:val="ro-RO" w:eastAsia="en-US" w:bidi="ar-SA"/>
      </w:rPr>
    </w:lvl>
    <w:lvl w:ilvl="3" w:tplc="79B0E75A">
      <w:numFmt w:val="bullet"/>
      <w:lvlText w:val="•"/>
      <w:lvlJc w:val="left"/>
      <w:pPr>
        <w:ind w:left="3291" w:hanging="360"/>
      </w:pPr>
      <w:rPr>
        <w:rFonts w:hint="default"/>
        <w:lang w:val="ro-RO" w:eastAsia="en-US" w:bidi="ar-SA"/>
      </w:rPr>
    </w:lvl>
    <w:lvl w:ilvl="4" w:tplc="2E363D86">
      <w:numFmt w:val="bullet"/>
      <w:lvlText w:val="•"/>
      <w:lvlJc w:val="left"/>
      <w:pPr>
        <w:ind w:left="4115" w:hanging="360"/>
      </w:pPr>
      <w:rPr>
        <w:rFonts w:hint="default"/>
        <w:lang w:val="ro-RO" w:eastAsia="en-US" w:bidi="ar-SA"/>
      </w:rPr>
    </w:lvl>
    <w:lvl w:ilvl="5" w:tplc="A6B87CCA">
      <w:numFmt w:val="bullet"/>
      <w:lvlText w:val="•"/>
      <w:lvlJc w:val="left"/>
      <w:pPr>
        <w:ind w:left="4939" w:hanging="360"/>
      </w:pPr>
      <w:rPr>
        <w:rFonts w:hint="default"/>
        <w:lang w:val="ro-RO" w:eastAsia="en-US" w:bidi="ar-SA"/>
      </w:rPr>
    </w:lvl>
    <w:lvl w:ilvl="6" w:tplc="D0EC7AF8">
      <w:numFmt w:val="bullet"/>
      <w:lvlText w:val="•"/>
      <w:lvlJc w:val="left"/>
      <w:pPr>
        <w:ind w:left="5763" w:hanging="360"/>
      </w:pPr>
      <w:rPr>
        <w:rFonts w:hint="default"/>
        <w:lang w:val="ro-RO" w:eastAsia="en-US" w:bidi="ar-SA"/>
      </w:rPr>
    </w:lvl>
    <w:lvl w:ilvl="7" w:tplc="0C16096E">
      <w:numFmt w:val="bullet"/>
      <w:lvlText w:val="•"/>
      <w:lvlJc w:val="left"/>
      <w:pPr>
        <w:ind w:left="6587" w:hanging="360"/>
      </w:pPr>
      <w:rPr>
        <w:rFonts w:hint="default"/>
        <w:lang w:val="ro-RO" w:eastAsia="en-US" w:bidi="ar-SA"/>
      </w:rPr>
    </w:lvl>
    <w:lvl w:ilvl="8" w:tplc="40C650B8">
      <w:numFmt w:val="bullet"/>
      <w:lvlText w:val="•"/>
      <w:lvlJc w:val="left"/>
      <w:pPr>
        <w:ind w:left="7411" w:hanging="360"/>
      </w:pPr>
      <w:rPr>
        <w:rFonts w:hint="default"/>
        <w:lang w:val="ro-RO" w:eastAsia="en-US" w:bidi="ar-SA"/>
      </w:rPr>
    </w:lvl>
  </w:abstractNum>
  <w:abstractNum w:abstractNumId="70" w15:restartNumberingAfterBreak="0">
    <w:nsid w:val="40BFCD6F"/>
    <w:multiLevelType w:val="hybridMultilevel"/>
    <w:tmpl w:val="00000000"/>
    <w:lvl w:ilvl="0" w:tplc="26167E88">
      <w:numFmt w:val="bullet"/>
      <w:lvlText w:val="●"/>
      <w:lvlJc w:val="left"/>
      <w:pPr>
        <w:ind w:left="2014" w:hanging="173"/>
      </w:pPr>
      <w:rPr>
        <w:rFonts w:ascii="Calibri" w:eastAsia="Calibri" w:hAnsi="Calibri" w:cs="Calibri" w:hint="default"/>
        <w:b w:val="0"/>
        <w:bCs w:val="0"/>
        <w:i w:val="0"/>
        <w:iCs w:val="0"/>
        <w:spacing w:val="0"/>
        <w:w w:val="100"/>
        <w:sz w:val="18"/>
        <w:szCs w:val="18"/>
        <w:lang w:val="ro-RO" w:eastAsia="en-US" w:bidi="ar-SA"/>
      </w:rPr>
    </w:lvl>
    <w:lvl w:ilvl="1" w:tplc="84B20034">
      <w:numFmt w:val="bullet"/>
      <w:lvlText w:val="•"/>
      <w:lvlJc w:val="left"/>
      <w:pPr>
        <w:ind w:left="2695" w:hanging="173"/>
      </w:pPr>
      <w:rPr>
        <w:rFonts w:hint="default"/>
        <w:lang w:val="ro-RO" w:eastAsia="en-US" w:bidi="ar-SA"/>
      </w:rPr>
    </w:lvl>
    <w:lvl w:ilvl="2" w:tplc="1AF0B08C">
      <w:numFmt w:val="bullet"/>
      <w:lvlText w:val="•"/>
      <w:lvlJc w:val="left"/>
      <w:pPr>
        <w:ind w:left="3370" w:hanging="173"/>
      </w:pPr>
      <w:rPr>
        <w:rFonts w:hint="default"/>
        <w:lang w:val="ro-RO" w:eastAsia="en-US" w:bidi="ar-SA"/>
      </w:rPr>
    </w:lvl>
    <w:lvl w:ilvl="3" w:tplc="7C924A3A">
      <w:numFmt w:val="bullet"/>
      <w:lvlText w:val="•"/>
      <w:lvlJc w:val="left"/>
      <w:pPr>
        <w:ind w:left="4045" w:hanging="173"/>
      </w:pPr>
      <w:rPr>
        <w:rFonts w:hint="default"/>
        <w:lang w:val="ro-RO" w:eastAsia="en-US" w:bidi="ar-SA"/>
      </w:rPr>
    </w:lvl>
    <w:lvl w:ilvl="4" w:tplc="023C0E7A">
      <w:numFmt w:val="bullet"/>
      <w:lvlText w:val="•"/>
      <w:lvlJc w:val="left"/>
      <w:pPr>
        <w:ind w:left="4721" w:hanging="173"/>
      </w:pPr>
      <w:rPr>
        <w:rFonts w:hint="default"/>
        <w:lang w:val="ro-RO" w:eastAsia="en-US" w:bidi="ar-SA"/>
      </w:rPr>
    </w:lvl>
    <w:lvl w:ilvl="5" w:tplc="9AF40A7A">
      <w:numFmt w:val="bullet"/>
      <w:lvlText w:val="•"/>
      <w:lvlJc w:val="left"/>
      <w:pPr>
        <w:ind w:left="5396" w:hanging="173"/>
      </w:pPr>
      <w:rPr>
        <w:rFonts w:hint="default"/>
        <w:lang w:val="ro-RO" w:eastAsia="en-US" w:bidi="ar-SA"/>
      </w:rPr>
    </w:lvl>
    <w:lvl w:ilvl="6" w:tplc="47B41B64">
      <w:numFmt w:val="bullet"/>
      <w:lvlText w:val="•"/>
      <w:lvlJc w:val="left"/>
      <w:pPr>
        <w:ind w:left="6071" w:hanging="173"/>
      </w:pPr>
      <w:rPr>
        <w:rFonts w:hint="default"/>
        <w:lang w:val="ro-RO" w:eastAsia="en-US" w:bidi="ar-SA"/>
      </w:rPr>
    </w:lvl>
    <w:lvl w:ilvl="7" w:tplc="2370EA10">
      <w:numFmt w:val="bullet"/>
      <w:lvlText w:val="•"/>
      <w:lvlJc w:val="left"/>
      <w:pPr>
        <w:ind w:left="6747" w:hanging="173"/>
      </w:pPr>
      <w:rPr>
        <w:rFonts w:hint="default"/>
        <w:lang w:val="ro-RO" w:eastAsia="en-US" w:bidi="ar-SA"/>
      </w:rPr>
    </w:lvl>
    <w:lvl w:ilvl="8" w:tplc="285483C0">
      <w:numFmt w:val="bullet"/>
      <w:lvlText w:val="•"/>
      <w:lvlJc w:val="left"/>
      <w:pPr>
        <w:ind w:left="7422" w:hanging="173"/>
      </w:pPr>
      <w:rPr>
        <w:rFonts w:hint="default"/>
        <w:lang w:val="ro-RO" w:eastAsia="en-US" w:bidi="ar-SA"/>
      </w:rPr>
    </w:lvl>
  </w:abstractNum>
  <w:abstractNum w:abstractNumId="71" w15:restartNumberingAfterBreak="0">
    <w:nsid w:val="40F241E9"/>
    <w:multiLevelType w:val="hybridMultilevel"/>
    <w:tmpl w:val="00000000"/>
    <w:lvl w:ilvl="0" w:tplc="15D4C00A">
      <w:numFmt w:val="bullet"/>
      <w:lvlText w:val="•"/>
      <w:lvlJc w:val="left"/>
      <w:pPr>
        <w:ind w:left="2190" w:hanging="161"/>
      </w:pPr>
      <w:rPr>
        <w:rFonts w:ascii="Calibri" w:eastAsia="Calibri" w:hAnsi="Calibri" w:cs="Calibri" w:hint="default"/>
        <w:b w:val="0"/>
        <w:bCs w:val="0"/>
        <w:i w:val="0"/>
        <w:iCs w:val="0"/>
        <w:spacing w:val="0"/>
        <w:w w:val="109"/>
        <w:sz w:val="18"/>
        <w:szCs w:val="18"/>
        <w:lang w:val="ro-RO" w:eastAsia="en-US" w:bidi="ar-SA"/>
      </w:rPr>
    </w:lvl>
    <w:lvl w:ilvl="1" w:tplc="CDCE0168">
      <w:numFmt w:val="bullet"/>
      <w:lvlText w:val="•"/>
      <w:lvlJc w:val="left"/>
      <w:pPr>
        <w:ind w:left="2909" w:hanging="161"/>
      </w:pPr>
      <w:rPr>
        <w:rFonts w:hint="default"/>
        <w:lang w:val="ro-RO" w:eastAsia="en-US" w:bidi="ar-SA"/>
      </w:rPr>
    </w:lvl>
    <w:lvl w:ilvl="2" w:tplc="4EDCE792">
      <w:numFmt w:val="bullet"/>
      <w:lvlText w:val="•"/>
      <w:lvlJc w:val="left"/>
      <w:pPr>
        <w:ind w:left="3619" w:hanging="161"/>
      </w:pPr>
      <w:rPr>
        <w:rFonts w:hint="default"/>
        <w:lang w:val="ro-RO" w:eastAsia="en-US" w:bidi="ar-SA"/>
      </w:rPr>
    </w:lvl>
    <w:lvl w:ilvl="3" w:tplc="836C2BB0">
      <w:numFmt w:val="bullet"/>
      <w:lvlText w:val="•"/>
      <w:lvlJc w:val="left"/>
      <w:pPr>
        <w:ind w:left="4329" w:hanging="161"/>
      </w:pPr>
      <w:rPr>
        <w:rFonts w:hint="default"/>
        <w:lang w:val="ro-RO" w:eastAsia="en-US" w:bidi="ar-SA"/>
      </w:rPr>
    </w:lvl>
    <w:lvl w:ilvl="4" w:tplc="45844768">
      <w:numFmt w:val="bullet"/>
      <w:lvlText w:val="•"/>
      <w:lvlJc w:val="left"/>
      <w:pPr>
        <w:ind w:left="5039" w:hanging="161"/>
      </w:pPr>
      <w:rPr>
        <w:rFonts w:hint="default"/>
        <w:lang w:val="ro-RO" w:eastAsia="en-US" w:bidi="ar-SA"/>
      </w:rPr>
    </w:lvl>
    <w:lvl w:ilvl="5" w:tplc="C49AEF96">
      <w:numFmt w:val="bullet"/>
      <w:lvlText w:val="•"/>
      <w:lvlJc w:val="left"/>
      <w:pPr>
        <w:ind w:left="5749" w:hanging="161"/>
      </w:pPr>
      <w:rPr>
        <w:rFonts w:hint="default"/>
        <w:lang w:val="ro-RO" w:eastAsia="en-US" w:bidi="ar-SA"/>
      </w:rPr>
    </w:lvl>
    <w:lvl w:ilvl="6" w:tplc="02E089E2">
      <w:numFmt w:val="bullet"/>
      <w:lvlText w:val="•"/>
      <w:lvlJc w:val="left"/>
      <w:pPr>
        <w:ind w:left="6458" w:hanging="161"/>
      </w:pPr>
      <w:rPr>
        <w:rFonts w:hint="default"/>
        <w:lang w:val="ro-RO" w:eastAsia="en-US" w:bidi="ar-SA"/>
      </w:rPr>
    </w:lvl>
    <w:lvl w:ilvl="7" w:tplc="434C41AA">
      <w:numFmt w:val="bullet"/>
      <w:lvlText w:val="•"/>
      <w:lvlJc w:val="left"/>
      <w:pPr>
        <w:ind w:left="7168" w:hanging="161"/>
      </w:pPr>
      <w:rPr>
        <w:rFonts w:hint="default"/>
        <w:lang w:val="ro-RO" w:eastAsia="en-US" w:bidi="ar-SA"/>
      </w:rPr>
    </w:lvl>
    <w:lvl w:ilvl="8" w:tplc="6F020C00">
      <w:numFmt w:val="bullet"/>
      <w:lvlText w:val="•"/>
      <w:lvlJc w:val="left"/>
      <w:pPr>
        <w:ind w:left="7878" w:hanging="161"/>
      </w:pPr>
      <w:rPr>
        <w:rFonts w:hint="default"/>
        <w:lang w:val="ro-RO" w:eastAsia="en-US" w:bidi="ar-SA"/>
      </w:rPr>
    </w:lvl>
  </w:abstractNum>
  <w:abstractNum w:abstractNumId="72" w15:restartNumberingAfterBreak="0">
    <w:nsid w:val="41F4BBE8"/>
    <w:multiLevelType w:val="multilevel"/>
    <w:tmpl w:val="00000000"/>
    <w:lvl w:ilvl="0">
      <w:start w:val="10"/>
      <w:numFmt w:val="upperRoman"/>
      <w:lvlText w:val="%1"/>
      <w:lvlJc w:val="left"/>
      <w:pPr>
        <w:ind w:left="1953" w:hanging="720"/>
      </w:pPr>
      <w:rPr>
        <w:rFonts w:hint="default"/>
        <w:lang w:val="ro-RO" w:eastAsia="en-US" w:bidi="ar-SA"/>
      </w:rPr>
    </w:lvl>
    <w:lvl w:ilvl="1">
      <w:start w:val="4"/>
      <w:numFmt w:val="decimal"/>
      <w:lvlText w:val="%1.%2"/>
      <w:lvlJc w:val="left"/>
      <w:pPr>
        <w:ind w:left="1953" w:hanging="720"/>
      </w:pPr>
      <w:rPr>
        <w:rFonts w:hint="default"/>
        <w:lang w:val="ro-RO" w:eastAsia="en-US" w:bidi="ar-SA"/>
      </w:rPr>
    </w:lvl>
    <w:lvl w:ilvl="2">
      <w:start w:val="1"/>
      <w:numFmt w:val="decimal"/>
      <w:lvlText w:val="%1.%2.%3."/>
      <w:lvlJc w:val="left"/>
      <w:pPr>
        <w:ind w:left="1953" w:hanging="720"/>
      </w:pPr>
      <w:rPr>
        <w:rFonts w:ascii="Acumin Pro Wide Black" w:eastAsia="Acumin Pro Wide Black" w:hAnsi="Acumin Pro Wide Black" w:cs="Acumin Pro Wide Black" w:hint="default"/>
        <w:b/>
        <w:bCs/>
        <w:i/>
        <w:iCs/>
        <w:spacing w:val="-1"/>
        <w:w w:val="107"/>
        <w:sz w:val="18"/>
        <w:szCs w:val="18"/>
        <w:lang w:val="ro-RO" w:eastAsia="en-US" w:bidi="ar-SA"/>
      </w:rPr>
    </w:lvl>
    <w:lvl w:ilvl="3">
      <w:numFmt w:val="bullet"/>
      <w:lvlText w:val="•"/>
      <w:lvlJc w:val="left"/>
      <w:pPr>
        <w:ind w:left="4774" w:hanging="720"/>
      </w:pPr>
      <w:rPr>
        <w:rFonts w:hint="default"/>
        <w:lang w:val="ro-RO" w:eastAsia="en-US" w:bidi="ar-SA"/>
      </w:rPr>
    </w:lvl>
    <w:lvl w:ilvl="4">
      <w:numFmt w:val="bullet"/>
      <w:lvlText w:val="•"/>
      <w:lvlJc w:val="left"/>
      <w:pPr>
        <w:ind w:left="5712" w:hanging="720"/>
      </w:pPr>
      <w:rPr>
        <w:rFonts w:hint="default"/>
        <w:lang w:val="ro-RO" w:eastAsia="en-US" w:bidi="ar-SA"/>
      </w:rPr>
    </w:lvl>
    <w:lvl w:ilvl="5">
      <w:numFmt w:val="bullet"/>
      <w:lvlText w:val="•"/>
      <w:lvlJc w:val="left"/>
      <w:pPr>
        <w:ind w:left="6650" w:hanging="720"/>
      </w:pPr>
      <w:rPr>
        <w:rFonts w:hint="default"/>
        <w:lang w:val="ro-RO" w:eastAsia="en-US" w:bidi="ar-SA"/>
      </w:rPr>
    </w:lvl>
    <w:lvl w:ilvl="6">
      <w:numFmt w:val="bullet"/>
      <w:lvlText w:val="•"/>
      <w:lvlJc w:val="left"/>
      <w:pPr>
        <w:ind w:left="7588" w:hanging="720"/>
      </w:pPr>
      <w:rPr>
        <w:rFonts w:hint="default"/>
        <w:lang w:val="ro-RO" w:eastAsia="en-US" w:bidi="ar-SA"/>
      </w:rPr>
    </w:lvl>
    <w:lvl w:ilvl="7">
      <w:numFmt w:val="bullet"/>
      <w:lvlText w:val="•"/>
      <w:lvlJc w:val="left"/>
      <w:pPr>
        <w:ind w:left="8526" w:hanging="720"/>
      </w:pPr>
      <w:rPr>
        <w:rFonts w:hint="default"/>
        <w:lang w:val="ro-RO" w:eastAsia="en-US" w:bidi="ar-SA"/>
      </w:rPr>
    </w:lvl>
    <w:lvl w:ilvl="8">
      <w:numFmt w:val="bullet"/>
      <w:lvlText w:val="•"/>
      <w:lvlJc w:val="left"/>
      <w:pPr>
        <w:ind w:left="9464" w:hanging="720"/>
      </w:pPr>
      <w:rPr>
        <w:rFonts w:hint="default"/>
        <w:lang w:val="ro-RO" w:eastAsia="en-US" w:bidi="ar-SA"/>
      </w:rPr>
    </w:lvl>
  </w:abstractNum>
  <w:abstractNum w:abstractNumId="73" w15:restartNumberingAfterBreak="0">
    <w:nsid w:val="445D7DE9"/>
    <w:multiLevelType w:val="multilevel"/>
    <w:tmpl w:val="00000000"/>
    <w:lvl w:ilvl="0">
      <w:start w:val="5"/>
      <w:numFmt w:val="upperRoman"/>
      <w:lvlText w:val="%1"/>
      <w:lvlJc w:val="left"/>
      <w:pPr>
        <w:ind w:left="1882" w:hanging="649"/>
      </w:pPr>
      <w:rPr>
        <w:rFonts w:hint="default"/>
        <w:lang w:val="ro-RO" w:eastAsia="en-US" w:bidi="ar-SA"/>
      </w:rPr>
    </w:lvl>
    <w:lvl w:ilvl="1">
      <w:start w:val="3"/>
      <w:numFmt w:val="decimal"/>
      <w:lvlText w:val="%1.%2"/>
      <w:lvlJc w:val="left"/>
      <w:pPr>
        <w:ind w:left="1882" w:hanging="649"/>
      </w:pPr>
      <w:rPr>
        <w:rFonts w:hint="default"/>
        <w:lang w:val="ro-RO" w:eastAsia="en-US" w:bidi="ar-SA"/>
      </w:rPr>
    </w:lvl>
    <w:lvl w:ilvl="2">
      <w:start w:val="2"/>
      <w:numFmt w:val="decimal"/>
      <w:lvlText w:val="%1.%2.%3."/>
      <w:lvlJc w:val="left"/>
      <w:pPr>
        <w:ind w:left="1882" w:hanging="649"/>
      </w:pPr>
      <w:rPr>
        <w:rFonts w:ascii="Acumin Pro Wide Black" w:eastAsia="Acumin Pro Wide Black" w:hAnsi="Acumin Pro Wide Black" w:cs="Acumin Pro Wide Black" w:hint="default"/>
        <w:b/>
        <w:bCs/>
        <w:i/>
        <w:iCs/>
        <w:spacing w:val="-1"/>
        <w:w w:val="99"/>
        <w:sz w:val="18"/>
        <w:szCs w:val="18"/>
        <w:lang w:val="ro-RO" w:eastAsia="en-US" w:bidi="ar-SA"/>
      </w:rPr>
    </w:lvl>
    <w:lvl w:ilvl="3">
      <w:numFmt w:val="bullet"/>
      <w:lvlText w:val="•"/>
      <w:lvlJc w:val="left"/>
      <w:pPr>
        <w:ind w:left="4718" w:hanging="649"/>
      </w:pPr>
      <w:rPr>
        <w:rFonts w:hint="default"/>
        <w:lang w:val="ro-RO" w:eastAsia="en-US" w:bidi="ar-SA"/>
      </w:rPr>
    </w:lvl>
    <w:lvl w:ilvl="4">
      <w:numFmt w:val="bullet"/>
      <w:lvlText w:val="•"/>
      <w:lvlJc w:val="left"/>
      <w:pPr>
        <w:ind w:left="5664" w:hanging="649"/>
      </w:pPr>
      <w:rPr>
        <w:rFonts w:hint="default"/>
        <w:lang w:val="ro-RO" w:eastAsia="en-US" w:bidi="ar-SA"/>
      </w:rPr>
    </w:lvl>
    <w:lvl w:ilvl="5">
      <w:numFmt w:val="bullet"/>
      <w:lvlText w:val="•"/>
      <w:lvlJc w:val="left"/>
      <w:pPr>
        <w:ind w:left="6610" w:hanging="649"/>
      </w:pPr>
      <w:rPr>
        <w:rFonts w:hint="default"/>
        <w:lang w:val="ro-RO" w:eastAsia="en-US" w:bidi="ar-SA"/>
      </w:rPr>
    </w:lvl>
    <w:lvl w:ilvl="6">
      <w:numFmt w:val="bullet"/>
      <w:lvlText w:val="•"/>
      <w:lvlJc w:val="left"/>
      <w:pPr>
        <w:ind w:left="7556" w:hanging="649"/>
      </w:pPr>
      <w:rPr>
        <w:rFonts w:hint="default"/>
        <w:lang w:val="ro-RO" w:eastAsia="en-US" w:bidi="ar-SA"/>
      </w:rPr>
    </w:lvl>
    <w:lvl w:ilvl="7">
      <w:numFmt w:val="bullet"/>
      <w:lvlText w:val="•"/>
      <w:lvlJc w:val="left"/>
      <w:pPr>
        <w:ind w:left="8502" w:hanging="649"/>
      </w:pPr>
      <w:rPr>
        <w:rFonts w:hint="default"/>
        <w:lang w:val="ro-RO" w:eastAsia="en-US" w:bidi="ar-SA"/>
      </w:rPr>
    </w:lvl>
    <w:lvl w:ilvl="8">
      <w:numFmt w:val="bullet"/>
      <w:lvlText w:val="•"/>
      <w:lvlJc w:val="left"/>
      <w:pPr>
        <w:ind w:left="9448" w:hanging="649"/>
      </w:pPr>
      <w:rPr>
        <w:rFonts w:hint="default"/>
        <w:lang w:val="ro-RO" w:eastAsia="en-US" w:bidi="ar-SA"/>
      </w:rPr>
    </w:lvl>
  </w:abstractNum>
  <w:abstractNum w:abstractNumId="74" w15:restartNumberingAfterBreak="0">
    <w:nsid w:val="452992D5"/>
    <w:multiLevelType w:val="hybridMultilevel"/>
    <w:tmpl w:val="00000000"/>
    <w:lvl w:ilvl="0" w:tplc="D3982CD6">
      <w:numFmt w:val="bullet"/>
      <w:lvlText w:val="•"/>
      <w:lvlJc w:val="left"/>
      <w:pPr>
        <w:ind w:left="2274" w:hanging="161"/>
      </w:pPr>
      <w:rPr>
        <w:rFonts w:ascii="Calibri" w:eastAsia="Calibri" w:hAnsi="Calibri" w:cs="Calibri" w:hint="default"/>
        <w:b w:val="0"/>
        <w:bCs w:val="0"/>
        <w:i w:val="0"/>
        <w:iCs w:val="0"/>
        <w:spacing w:val="0"/>
        <w:w w:val="86"/>
        <w:sz w:val="18"/>
        <w:szCs w:val="18"/>
        <w:lang w:val="ro-RO" w:eastAsia="en-US" w:bidi="ar-SA"/>
      </w:rPr>
    </w:lvl>
    <w:lvl w:ilvl="1" w:tplc="5492ED2C">
      <w:numFmt w:val="bullet"/>
      <w:lvlText w:val="•"/>
      <w:lvlJc w:val="left"/>
      <w:pPr>
        <w:ind w:left="2981" w:hanging="161"/>
      </w:pPr>
      <w:rPr>
        <w:rFonts w:hint="default"/>
        <w:lang w:val="ro-RO" w:eastAsia="en-US" w:bidi="ar-SA"/>
      </w:rPr>
    </w:lvl>
    <w:lvl w:ilvl="2" w:tplc="535EB48A">
      <w:numFmt w:val="bullet"/>
      <w:lvlText w:val="•"/>
      <w:lvlJc w:val="left"/>
      <w:pPr>
        <w:ind w:left="3683" w:hanging="161"/>
      </w:pPr>
      <w:rPr>
        <w:rFonts w:hint="default"/>
        <w:lang w:val="ro-RO" w:eastAsia="en-US" w:bidi="ar-SA"/>
      </w:rPr>
    </w:lvl>
    <w:lvl w:ilvl="3" w:tplc="C2EC577C">
      <w:numFmt w:val="bullet"/>
      <w:lvlText w:val="•"/>
      <w:lvlJc w:val="left"/>
      <w:pPr>
        <w:ind w:left="4385" w:hanging="161"/>
      </w:pPr>
      <w:rPr>
        <w:rFonts w:hint="default"/>
        <w:lang w:val="ro-RO" w:eastAsia="en-US" w:bidi="ar-SA"/>
      </w:rPr>
    </w:lvl>
    <w:lvl w:ilvl="4" w:tplc="A390631A">
      <w:numFmt w:val="bullet"/>
      <w:lvlText w:val="•"/>
      <w:lvlJc w:val="left"/>
      <w:pPr>
        <w:ind w:left="5087" w:hanging="161"/>
      </w:pPr>
      <w:rPr>
        <w:rFonts w:hint="default"/>
        <w:lang w:val="ro-RO" w:eastAsia="en-US" w:bidi="ar-SA"/>
      </w:rPr>
    </w:lvl>
    <w:lvl w:ilvl="5" w:tplc="5E94C7C6">
      <w:numFmt w:val="bullet"/>
      <w:lvlText w:val="•"/>
      <w:lvlJc w:val="left"/>
      <w:pPr>
        <w:ind w:left="5789" w:hanging="161"/>
      </w:pPr>
      <w:rPr>
        <w:rFonts w:hint="default"/>
        <w:lang w:val="ro-RO" w:eastAsia="en-US" w:bidi="ar-SA"/>
      </w:rPr>
    </w:lvl>
    <w:lvl w:ilvl="6" w:tplc="89C26CB4">
      <w:numFmt w:val="bullet"/>
      <w:lvlText w:val="•"/>
      <w:lvlJc w:val="left"/>
      <w:pPr>
        <w:ind w:left="6490" w:hanging="161"/>
      </w:pPr>
      <w:rPr>
        <w:rFonts w:hint="default"/>
        <w:lang w:val="ro-RO" w:eastAsia="en-US" w:bidi="ar-SA"/>
      </w:rPr>
    </w:lvl>
    <w:lvl w:ilvl="7" w:tplc="A5C2797E">
      <w:numFmt w:val="bullet"/>
      <w:lvlText w:val="•"/>
      <w:lvlJc w:val="left"/>
      <w:pPr>
        <w:ind w:left="7192" w:hanging="161"/>
      </w:pPr>
      <w:rPr>
        <w:rFonts w:hint="default"/>
        <w:lang w:val="ro-RO" w:eastAsia="en-US" w:bidi="ar-SA"/>
      </w:rPr>
    </w:lvl>
    <w:lvl w:ilvl="8" w:tplc="3924634E">
      <w:numFmt w:val="bullet"/>
      <w:lvlText w:val="•"/>
      <w:lvlJc w:val="left"/>
      <w:pPr>
        <w:ind w:left="7894" w:hanging="161"/>
      </w:pPr>
      <w:rPr>
        <w:rFonts w:hint="default"/>
        <w:lang w:val="ro-RO" w:eastAsia="en-US" w:bidi="ar-SA"/>
      </w:rPr>
    </w:lvl>
  </w:abstractNum>
  <w:abstractNum w:abstractNumId="75" w15:restartNumberingAfterBreak="0">
    <w:nsid w:val="45ABF1F9"/>
    <w:multiLevelType w:val="hybridMultilevel"/>
    <w:tmpl w:val="00000000"/>
    <w:lvl w:ilvl="0" w:tplc="324ABFFC">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9BB88A8A">
      <w:numFmt w:val="bullet"/>
      <w:lvlText w:val="•"/>
      <w:lvlJc w:val="left"/>
      <w:pPr>
        <w:ind w:left="2837" w:hanging="173"/>
      </w:pPr>
      <w:rPr>
        <w:rFonts w:hint="default"/>
        <w:lang w:val="ro-RO" w:eastAsia="en-US" w:bidi="ar-SA"/>
      </w:rPr>
    </w:lvl>
    <w:lvl w:ilvl="2" w:tplc="3BEC1676">
      <w:numFmt w:val="bullet"/>
      <w:lvlText w:val="•"/>
      <w:lvlJc w:val="left"/>
      <w:pPr>
        <w:ind w:left="3555" w:hanging="173"/>
      </w:pPr>
      <w:rPr>
        <w:rFonts w:hint="default"/>
        <w:lang w:val="ro-RO" w:eastAsia="en-US" w:bidi="ar-SA"/>
      </w:rPr>
    </w:lvl>
    <w:lvl w:ilvl="3" w:tplc="09D4696C">
      <w:numFmt w:val="bullet"/>
      <w:lvlText w:val="•"/>
      <w:lvlJc w:val="left"/>
      <w:pPr>
        <w:ind w:left="4273" w:hanging="173"/>
      </w:pPr>
      <w:rPr>
        <w:rFonts w:hint="default"/>
        <w:lang w:val="ro-RO" w:eastAsia="en-US" w:bidi="ar-SA"/>
      </w:rPr>
    </w:lvl>
    <w:lvl w:ilvl="4" w:tplc="C0A4EDB4">
      <w:numFmt w:val="bullet"/>
      <w:lvlText w:val="•"/>
      <w:lvlJc w:val="left"/>
      <w:pPr>
        <w:ind w:left="4991" w:hanging="173"/>
      </w:pPr>
      <w:rPr>
        <w:rFonts w:hint="default"/>
        <w:lang w:val="ro-RO" w:eastAsia="en-US" w:bidi="ar-SA"/>
      </w:rPr>
    </w:lvl>
    <w:lvl w:ilvl="5" w:tplc="D5F83534">
      <w:numFmt w:val="bullet"/>
      <w:lvlText w:val="•"/>
      <w:lvlJc w:val="left"/>
      <w:pPr>
        <w:ind w:left="5709" w:hanging="173"/>
      </w:pPr>
      <w:rPr>
        <w:rFonts w:hint="default"/>
        <w:lang w:val="ro-RO" w:eastAsia="en-US" w:bidi="ar-SA"/>
      </w:rPr>
    </w:lvl>
    <w:lvl w:ilvl="6" w:tplc="6E74CC42">
      <w:numFmt w:val="bullet"/>
      <w:lvlText w:val="•"/>
      <w:lvlJc w:val="left"/>
      <w:pPr>
        <w:ind w:left="6426" w:hanging="173"/>
      </w:pPr>
      <w:rPr>
        <w:rFonts w:hint="default"/>
        <w:lang w:val="ro-RO" w:eastAsia="en-US" w:bidi="ar-SA"/>
      </w:rPr>
    </w:lvl>
    <w:lvl w:ilvl="7" w:tplc="AF283F8E">
      <w:numFmt w:val="bullet"/>
      <w:lvlText w:val="•"/>
      <w:lvlJc w:val="left"/>
      <w:pPr>
        <w:ind w:left="7144" w:hanging="173"/>
      </w:pPr>
      <w:rPr>
        <w:rFonts w:hint="default"/>
        <w:lang w:val="ro-RO" w:eastAsia="en-US" w:bidi="ar-SA"/>
      </w:rPr>
    </w:lvl>
    <w:lvl w:ilvl="8" w:tplc="BBF4FB4A">
      <w:numFmt w:val="bullet"/>
      <w:lvlText w:val="•"/>
      <w:lvlJc w:val="left"/>
      <w:pPr>
        <w:ind w:left="7862" w:hanging="173"/>
      </w:pPr>
      <w:rPr>
        <w:rFonts w:hint="default"/>
        <w:lang w:val="ro-RO" w:eastAsia="en-US" w:bidi="ar-SA"/>
      </w:rPr>
    </w:lvl>
  </w:abstractNum>
  <w:abstractNum w:abstractNumId="76" w15:restartNumberingAfterBreak="0">
    <w:nsid w:val="475773F9"/>
    <w:multiLevelType w:val="hybridMultilevel"/>
    <w:tmpl w:val="00000000"/>
    <w:lvl w:ilvl="0" w:tplc="0F2080FA">
      <w:numFmt w:val="bullet"/>
      <w:lvlText w:val="•"/>
      <w:lvlJc w:val="left"/>
      <w:pPr>
        <w:ind w:left="1478" w:hanging="356"/>
      </w:pPr>
      <w:rPr>
        <w:rFonts w:ascii="Calibri" w:eastAsia="Calibri" w:hAnsi="Calibri" w:cs="Calibri" w:hint="default"/>
        <w:b w:val="0"/>
        <w:bCs w:val="0"/>
        <w:i w:val="0"/>
        <w:iCs w:val="0"/>
        <w:spacing w:val="0"/>
        <w:w w:val="92"/>
        <w:sz w:val="18"/>
        <w:szCs w:val="18"/>
        <w:lang w:val="ro-RO" w:eastAsia="en-US" w:bidi="ar-SA"/>
      </w:rPr>
    </w:lvl>
    <w:lvl w:ilvl="1" w:tplc="9188739A">
      <w:numFmt w:val="bullet"/>
      <w:lvlText w:val="•"/>
      <w:lvlJc w:val="left"/>
      <w:pPr>
        <w:ind w:left="2466" w:hanging="356"/>
      </w:pPr>
      <w:rPr>
        <w:rFonts w:hint="default"/>
        <w:lang w:val="ro-RO" w:eastAsia="en-US" w:bidi="ar-SA"/>
      </w:rPr>
    </w:lvl>
    <w:lvl w:ilvl="2" w:tplc="58D44574">
      <w:numFmt w:val="bullet"/>
      <w:lvlText w:val="•"/>
      <w:lvlJc w:val="left"/>
      <w:pPr>
        <w:ind w:left="3452" w:hanging="356"/>
      </w:pPr>
      <w:rPr>
        <w:rFonts w:hint="default"/>
        <w:lang w:val="ro-RO" w:eastAsia="en-US" w:bidi="ar-SA"/>
      </w:rPr>
    </w:lvl>
    <w:lvl w:ilvl="3" w:tplc="E7D09E68">
      <w:numFmt w:val="bullet"/>
      <w:lvlText w:val="•"/>
      <w:lvlJc w:val="left"/>
      <w:pPr>
        <w:ind w:left="4438" w:hanging="356"/>
      </w:pPr>
      <w:rPr>
        <w:rFonts w:hint="default"/>
        <w:lang w:val="ro-RO" w:eastAsia="en-US" w:bidi="ar-SA"/>
      </w:rPr>
    </w:lvl>
    <w:lvl w:ilvl="4" w:tplc="A710816E">
      <w:numFmt w:val="bullet"/>
      <w:lvlText w:val="•"/>
      <w:lvlJc w:val="left"/>
      <w:pPr>
        <w:ind w:left="5424" w:hanging="356"/>
      </w:pPr>
      <w:rPr>
        <w:rFonts w:hint="default"/>
        <w:lang w:val="ro-RO" w:eastAsia="en-US" w:bidi="ar-SA"/>
      </w:rPr>
    </w:lvl>
    <w:lvl w:ilvl="5" w:tplc="E2E2AC92">
      <w:numFmt w:val="bullet"/>
      <w:lvlText w:val="•"/>
      <w:lvlJc w:val="left"/>
      <w:pPr>
        <w:ind w:left="6410" w:hanging="356"/>
      </w:pPr>
      <w:rPr>
        <w:rFonts w:hint="default"/>
        <w:lang w:val="ro-RO" w:eastAsia="en-US" w:bidi="ar-SA"/>
      </w:rPr>
    </w:lvl>
    <w:lvl w:ilvl="6" w:tplc="F81E52A4">
      <w:numFmt w:val="bullet"/>
      <w:lvlText w:val="•"/>
      <w:lvlJc w:val="left"/>
      <w:pPr>
        <w:ind w:left="7396" w:hanging="356"/>
      </w:pPr>
      <w:rPr>
        <w:rFonts w:hint="default"/>
        <w:lang w:val="ro-RO" w:eastAsia="en-US" w:bidi="ar-SA"/>
      </w:rPr>
    </w:lvl>
    <w:lvl w:ilvl="7" w:tplc="C304E3BE">
      <w:numFmt w:val="bullet"/>
      <w:lvlText w:val="•"/>
      <w:lvlJc w:val="left"/>
      <w:pPr>
        <w:ind w:left="8382" w:hanging="356"/>
      </w:pPr>
      <w:rPr>
        <w:rFonts w:hint="default"/>
        <w:lang w:val="ro-RO" w:eastAsia="en-US" w:bidi="ar-SA"/>
      </w:rPr>
    </w:lvl>
    <w:lvl w:ilvl="8" w:tplc="93E2B688">
      <w:numFmt w:val="bullet"/>
      <w:lvlText w:val="•"/>
      <w:lvlJc w:val="left"/>
      <w:pPr>
        <w:ind w:left="9368" w:hanging="356"/>
      </w:pPr>
      <w:rPr>
        <w:rFonts w:hint="default"/>
        <w:lang w:val="ro-RO" w:eastAsia="en-US" w:bidi="ar-SA"/>
      </w:rPr>
    </w:lvl>
  </w:abstractNum>
  <w:abstractNum w:abstractNumId="77" w15:restartNumberingAfterBreak="0">
    <w:nsid w:val="475BA08B"/>
    <w:multiLevelType w:val="hybridMultilevel"/>
    <w:tmpl w:val="00000000"/>
    <w:lvl w:ilvl="0" w:tplc="A6B4CA40">
      <w:numFmt w:val="bullet"/>
      <w:lvlText w:val="•"/>
      <w:lvlJc w:val="left"/>
      <w:pPr>
        <w:ind w:left="1135" w:hanging="358"/>
      </w:pPr>
      <w:rPr>
        <w:rFonts w:ascii="Calibri" w:eastAsia="Calibri" w:hAnsi="Calibri" w:cs="Calibri" w:hint="default"/>
        <w:b w:val="0"/>
        <w:bCs w:val="0"/>
        <w:i w:val="0"/>
        <w:iCs w:val="0"/>
        <w:spacing w:val="0"/>
        <w:w w:val="92"/>
        <w:sz w:val="18"/>
        <w:szCs w:val="18"/>
        <w:lang w:val="ro-RO" w:eastAsia="en-US" w:bidi="ar-SA"/>
      </w:rPr>
    </w:lvl>
    <w:lvl w:ilvl="1" w:tplc="74682BC0">
      <w:numFmt w:val="bullet"/>
      <w:lvlText w:val="•"/>
      <w:lvlJc w:val="left"/>
      <w:pPr>
        <w:ind w:left="2046" w:hanging="358"/>
      </w:pPr>
      <w:rPr>
        <w:rFonts w:hint="default"/>
        <w:lang w:val="ro-RO" w:eastAsia="en-US" w:bidi="ar-SA"/>
      </w:rPr>
    </w:lvl>
    <w:lvl w:ilvl="2" w:tplc="E33AAF4C">
      <w:numFmt w:val="bullet"/>
      <w:lvlText w:val="•"/>
      <w:lvlJc w:val="left"/>
      <w:pPr>
        <w:ind w:left="2953" w:hanging="358"/>
      </w:pPr>
      <w:rPr>
        <w:rFonts w:hint="default"/>
        <w:lang w:val="ro-RO" w:eastAsia="en-US" w:bidi="ar-SA"/>
      </w:rPr>
    </w:lvl>
    <w:lvl w:ilvl="3" w:tplc="AC9C6924">
      <w:numFmt w:val="bullet"/>
      <w:lvlText w:val="•"/>
      <w:lvlJc w:val="left"/>
      <w:pPr>
        <w:ind w:left="3860" w:hanging="358"/>
      </w:pPr>
      <w:rPr>
        <w:rFonts w:hint="default"/>
        <w:lang w:val="ro-RO" w:eastAsia="en-US" w:bidi="ar-SA"/>
      </w:rPr>
    </w:lvl>
    <w:lvl w:ilvl="4" w:tplc="2BA0178A">
      <w:numFmt w:val="bullet"/>
      <w:lvlText w:val="•"/>
      <w:lvlJc w:val="left"/>
      <w:pPr>
        <w:ind w:left="4766" w:hanging="358"/>
      </w:pPr>
      <w:rPr>
        <w:rFonts w:hint="default"/>
        <w:lang w:val="ro-RO" w:eastAsia="en-US" w:bidi="ar-SA"/>
      </w:rPr>
    </w:lvl>
    <w:lvl w:ilvl="5" w:tplc="48A2EEE2">
      <w:numFmt w:val="bullet"/>
      <w:lvlText w:val="•"/>
      <w:lvlJc w:val="left"/>
      <w:pPr>
        <w:ind w:left="5673" w:hanging="358"/>
      </w:pPr>
      <w:rPr>
        <w:rFonts w:hint="default"/>
        <w:lang w:val="ro-RO" w:eastAsia="en-US" w:bidi="ar-SA"/>
      </w:rPr>
    </w:lvl>
    <w:lvl w:ilvl="6" w:tplc="DCD80984">
      <w:numFmt w:val="bullet"/>
      <w:lvlText w:val="•"/>
      <w:lvlJc w:val="left"/>
      <w:pPr>
        <w:ind w:left="6580" w:hanging="358"/>
      </w:pPr>
      <w:rPr>
        <w:rFonts w:hint="default"/>
        <w:lang w:val="ro-RO" w:eastAsia="en-US" w:bidi="ar-SA"/>
      </w:rPr>
    </w:lvl>
    <w:lvl w:ilvl="7" w:tplc="52B44936">
      <w:numFmt w:val="bullet"/>
      <w:lvlText w:val="•"/>
      <w:lvlJc w:val="left"/>
      <w:pPr>
        <w:ind w:left="7487" w:hanging="358"/>
      </w:pPr>
      <w:rPr>
        <w:rFonts w:hint="default"/>
        <w:lang w:val="ro-RO" w:eastAsia="en-US" w:bidi="ar-SA"/>
      </w:rPr>
    </w:lvl>
    <w:lvl w:ilvl="8" w:tplc="17D49964">
      <w:numFmt w:val="bullet"/>
      <w:lvlText w:val="•"/>
      <w:lvlJc w:val="left"/>
      <w:pPr>
        <w:ind w:left="8393" w:hanging="358"/>
      </w:pPr>
      <w:rPr>
        <w:rFonts w:hint="default"/>
        <w:lang w:val="ro-RO" w:eastAsia="en-US" w:bidi="ar-SA"/>
      </w:rPr>
    </w:lvl>
  </w:abstractNum>
  <w:abstractNum w:abstractNumId="78" w15:restartNumberingAfterBreak="0">
    <w:nsid w:val="475C6D6C"/>
    <w:multiLevelType w:val="hybridMultilevel"/>
    <w:tmpl w:val="00000000"/>
    <w:lvl w:ilvl="0" w:tplc="0554B054">
      <w:numFmt w:val="bullet"/>
      <w:lvlText w:val="o"/>
      <w:lvlJc w:val="left"/>
      <w:pPr>
        <w:ind w:left="624" w:hanging="425"/>
      </w:pPr>
      <w:rPr>
        <w:rFonts w:ascii="Courier New" w:eastAsia="Courier New" w:hAnsi="Courier New" w:cs="Courier New" w:hint="default"/>
        <w:b w:val="0"/>
        <w:bCs w:val="0"/>
        <w:i w:val="0"/>
        <w:iCs w:val="0"/>
        <w:spacing w:val="0"/>
        <w:w w:val="100"/>
        <w:sz w:val="18"/>
        <w:szCs w:val="18"/>
        <w:lang w:val="ro-RO" w:eastAsia="en-US" w:bidi="ar-SA"/>
      </w:rPr>
    </w:lvl>
    <w:lvl w:ilvl="1" w:tplc="1916C8DE">
      <w:numFmt w:val="bullet"/>
      <w:lvlText w:val="•"/>
      <w:lvlJc w:val="left"/>
      <w:pPr>
        <w:ind w:left="1536" w:hanging="425"/>
      </w:pPr>
      <w:rPr>
        <w:rFonts w:hint="default"/>
        <w:lang w:val="ro-RO" w:eastAsia="en-US" w:bidi="ar-SA"/>
      </w:rPr>
    </w:lvl>
    <w:lvl w:ilvl="2" w:tplc="A558D27E">
      <w:numFmt w:val="bullet"/>
      <w:lvlText w:val="•"/>
      <w:lvlJc w:val="left"/>
      <w:pPr>
        <w:ind w:left="2452" w:hanging="425"/>
      </w:pPr>
      <w:rPr>
        <w:rFonts w:hint="default"/>
        <w:lang w:val="ro-RO" w:eastAsia="en-US" w:bidi="ar-SA"/>
      </w:rPr>
    </w:lvl>
    <w:lvl w:ilvl="3" w:tplc="AC90C5A8">
      <w:numFmt w:val="bullet"/>
      <w:lvlText w:val="•"/>
      <w:lvlJc w:val="left"/>
      <w:pPr>
        <w:ind w:left="3368" w:hanging="425"/>
      </w:pPr>
      <w:rPr>
        <w:rFonts w:hint="default"/>
        <w:lang w:val="ro-RO" w:eastAsia="en-US" w:bidi="ar-SA"/>
      </w:rPr>
    </w:lvl>
    <w:lvl w:ilvl="4" w:tplc="3620CD2E">
      <w:numFmt w:val="bullet"/>
      <w:lvlText w:val="•"/>
      <w:lvlJc w:val="left"/>
      <w:pPr>
        <w:ind w:left="4284" w:hanging="425"/>
      </w:pPr>
      <w:rPr>
        <w:rFonts w:hint="default"/>
        <w:lang w:val="ro-RO" w:eastAsia="en-US" w:bidi="ar-SA"/>
      </w:rPr>
    </w:lvl>
    <w:lvl w:ilvl="5" w:tplc="05921ED8">
      <w:numFmt w:val="bullet"/>
      <w:lvlText w:val="•"/>
      <w:lvlJc w:val="left"/>
      <w:pPr>
        <w:ind w:left="5200" w:hanging="425"/>
      </w:pPr>
      <w:rPr>
        <w:rFonts w:hint="default"/>
        <w:lang w:val="ro-RO" w:eastAsia="en-US" w:bidi="ar-SA"/>
      </w:rPr>
    </w:lvl>
    <w:lvl w:ilvl="6" w:tplc="90C67A76">
      <w:numFmt w:val="bullet"/>
      <w:lvlText w:val="•"/>
      <w:lvlJc w:val="left"/>
      <w:pPr>
        <w:ind w:left="6116" w:hanging="425"/>
      </w:pPr>
      <w:rPr>
        <w:rFonts w:hint="default"/>
        <w:lang w:val="ro-RO" w:eastAsia="en-US" w:bidi="ar-SA"/>
      </w:rPr>
    </w:lvl>
    <w:lvl w:ilvl="7" w:tplc="6A560530">
      <w:numFmt w:val="bullet"/>
      <w:lvlText w:val="•"/>
      <w:lvlJc w:val="left"/>
      <w:pPr>
        <w:ind w:left="7032" w:hanging="425"/>
      </w:pPr>
      <w:rPr>
        <w:rFonts w:hint="default"/>
        <w:lang w:val="ro-RO" w:eastAsia="en-US" w:bidi="ar-SA"/>
      </w:rPr>
    </w:lvl>
    <w:lvl w:ilvl="8" w:tplc="63B23850">
      <w:numFmt w:val="bullet"/>
      <w:lvlText w:val="•"/>
      <w:lvlJc w:val="left"/>
      <w:pPr>
        <w:ind w:left="7949" w:hanging="425"/>
      </w:pPr>
      <w:rPr>
        <w:rFonts w:hint="default"/>
        <w:lang w:val="ro-RO" w:eastAsia="en-US" w:bidi="ar-SA"/>
      </w:rPr>
    </w:lvl>
  </w:abstractNum>
  <w:abstractNum w:abstractNumId="79" w15:restartNumberingAfterBreak="0">
    <w:nsid w:val="48CE4E9B"/>
    <w:multiLevelType w:val="hybridMultilevel"/>
    <w:tmpl w:val="AA9C94B4"/>
    <w:lvl w:ilvl="0" w:tplc="04180015">
      <w:start w:val="1"/>
      <w:numFmt w:val="upperLetter"/>
      <w:lvlText w:val="%1."/>
      <w:lvlJc w:val="left"/>
      <w:pPr>
        <w:ind w:left="700" w:hanging="360"/>
      </w:pPr>
    </w:lvl>
    <w:lvl w:ilvl="1" w:tplc="04180019" w:tentative="1">
      <w:start w:val="1"/>
      <w:numFmt w:val="lowerLetter"/>
      <w:lvlText w:val="%2."/>
      <w:lvlJc w:val="left"/>
      <w:pPr>
        <w:ind w:left="1420" w:hanging="360"/>
      </w:pPr>
    </w:lvl>
    <w:lvl w:ilvl="2" w:tplc="0418001B" w:tentative="1">
      <w:start w:val="1"/>
      <w:numFmt w:val="lowerRoman"/>
      <w:lvlText w:val="%3."/>
      <w:lvlJc w:val="right"/>
      <w:pPr>
        <w:ind w:left="2140" w:hanging="180"/>
      </w:pPr>
    </w:lvl>
    <w:lvl w:ilvl="3" w:tplc="0418000F" w:tentative="1">
      <w:start w:val="1"/>
      <w:numFmt w:val="decimal"/>
      <w:lvlText w:val="%4."/>
      <w:lvlJc w:val="left"/>
      <w:pPr>
        <w:ind w:left="2860" w:hanging="360"/>
      </w:pPr>
    </w:lvl>
    <w:lvl w:ilvl="4" w:tplc="04180019" w:tentative="1">
      <w:start w:val="1"/>
      <w:numFmt w:val="lowerLetter"/>
      <w:lvlText w:val="%5."/>
      <w:lvlJc w:val="left"/>
      <w:pPr>
        <w:ind w:left="3580" w:hanging="360"/>
      </w:pPr>
    </w:lvl>
    <w:lvl w:ilvl="5" w:tplc="0418001B" w:tentative="1">
      <w:start w:val="1"/>
      <w:numFmt w:val="lowerRoman"/>
      <w:lvlText w:val="%6."/>
      <w:lvlJc w:val="right"/>
      <w:pPr>
        <w:ind w:left="4300" w:hanging="180"/>
      </w:pPr>
    </w:lvl>
    <w:lvl w:ilvl="6" w:tplc="0418000F" w:tentative="1">
      <w:start w:val="1"/>
      <w:numFmt w:val="decimal"/>
      <w:lvlText w:val="%7."/>
      <w:lvlJc w:val="left"/>
      <w:pPr>
        <w:ind w:left="5020" w:hanging="360"/>
      </w:pPr>
    </w:lvl>
    <w:lvl w:ilvl="7" w:tplc="04180019" w:tentative="1">
      <w:start w:val="1"/>
      <w:numFmt w:val="lowerLetter"/>
      <w:lvlText w:val="%8."/>
      <w:lvlJc w:val="left"/>
      <w:pPr>
        <w:ind w:left="5740" w:hanging="360"/>
      </w:pPr>
    </w:lvl>
    <w:lvl w:ilvl="8" w:tplc="0418001B" w:tentative="1">
      <w:start w:val="1"/>
      <w:numFmt w:val="lowerRoman"/>
      <w:lvlText w:val="%9."/>
      <w:lvlJc w:val="right"/>
      <w:pPr>
        <w:ind w:left="6460" w:hanging="180"/>
      </w:pPr>
    </w:lvl>
  </w:abstractNum>
  <w:abstractNum w:abstractNumId="80" w15:restartNumberingAfterBreak="0">
    <w:nsid w:val="4A3D5686"/>
    <w:multiLevelType w:val="hybridMultilevel"/>
    <w:tmpl w:val="344CBF52"/>
    <w:lvl w:ilvl="0" w:tplc="04090001">
      <w:start w:val="1"/>
      <w:numFmt w:val="bullet"/>
      <w:lvlText w:val=""/>
      <w:lvlJc w:val="left"/>
      <w:pPr>
        <w:ind w:left="1513" w:hanging="360"/>
      </w:pPr>
      <w:rPr>
        <w:rFonts w:ascii="Symbol" w:hAnsi="Symbol" w:hint="default"/>
      </w:rPr>
    </w:lvl>
    <w:lvl w:ilvl="1" w:tplc="04090003" w:tentative="1">
      <w:start w:val="1"/>
      <w:numFmt w:val="bullet"/>
      <w:lvlText w:val="o"/>
      <w:lvlJc w:val="left"/>
      <w:pPr>
        <w:ind w:left="2233" w:hanging="360"/>
      </w:pPr>
      <w:rPr>
        <w:rFonts w:ascii="Courier New" w:hAnsi="Courier New" w:cs="Courier New" w:hint="default"/>
      </w:rPr>
    </w:lvl>
    <w:lvl w:ilvl="2" w:tplc="04090005" w:tentative="1">
      <w:start w:val="1"/>
      <w:numFmt w:val="bullet"/>
      <w:lvlText w:val=""/>
      <w:lvlJc w:val="left"/>
      <w:pPr>
        <w:ind w:left="2953" w:hanging="360"/>
      </w:pPr>
      <w:rPr>
        <w:rFonts w:ascii="Wingdings" w:hAnsi="Wingdings" w:hint="default"/>
      </w:rPr>
    </w:lvl>
    <w:lvl w:ilvl="3" w:tplc="04090001" w:tentative="1">
      <w:start w:val="1"/>
      <w:numFmt w:val="bullet"/>
      <w:lvlText w:val=""/>
      <w:lvlJc w:val="left"/>
      <w:pPr>
        <w:ind w:left="3673" w:hanging="360"/>
      </w:pPr>
      <w:rPr>
        <w:rFonts w:ascii="Symbol" w:hAnsi="Symbol" w:hint="default"/>
      </w:rPr>
    </w:lvl>
    <w:lvl w:ilvl="4" w:tplc="04090003" w:tentative="1">
      <w:start w:val="1"/>
      <w:numFmt w:val="bullet"/>
      <w:lvlText w:val="o"/>
      <w:lvlJc w:val="left"/>
      <w:pPr>
        <w:ind w:left="4393" w:hanging="360"/>
      </w:pPr>
      <w:rPr>
        <w:rFonts w:ascii="Courier New" w:hAnsi="Courier New" w:cs="Courier New" w:hint="default"/>
      </w:rPr>
    </w:lvl>
    <w:lvl w:ilvl="5" w:tplc="04090005" w:tentative="1">
      <w:start w:val="1"/>
      <w:numFmt w:val="bullet"/>
      <w:lvlText w:val=""/>
      <w:lvlJc w:val="left"/>
      <w:pPr>
        <w:ind w:left="5113" w:hanging="360"/>
      </w:pPr>
      <w:rPr>
        <w:rFonts w:ascii="Wingdings" w:hAnsi="Wingdings" w:hint="default"/>
      </w:rPr>
    </w:lvl>
    <w:lvl w:ilvl="6" w:tplc="04090001" w:tentative="1">
      <w:start w:val="1"/>
      <w:numFmt w:val="bullet"/>
      <w:lvlText w:val=""/>
      <w:lvlJc w:val="left"/>
      <w:pPr>
        <w:ind w:left="5833" w:hanging="360"/>
      </w:pPr>
      <w:rPr>
        <w:rFonts w:ascii="Symbol" w:hAnsi="Symbol" w:hint="default"/>
      </w:rPr>
    </w:lvl>
    <w:lvl w:ilvl="7" w:tplc="04090003" w:tentative="1">
      <w:start w:val="1"/>
      <w:numFmt w:val="bullet"/>
      <w:lvlText w:val="o"/>
      <w:lvlJc w:val="left"/>
      <w:pPr>
        <w:ind w:left="6553" w:hanging="360"/>
      </w:pPr>
      <w:rPr>
        <w:rFonts w:ascii="Courier New" w:hAnsi="Courier New" w:cs="Courier New" w:hint="default"/>
      </w:rPr>
    </w:lvl>
    <w:lvl w:ilvl="8" w:tplc="04090005" w:tentative="1">
      <w:start w:val="1"/>
      <w:numFmt w:val="bullet"/>
      <w:lvlText w:val=""/>
      <w:lvlJc w:val="left"/>
      <w:pPr>
        <w:ind w:left="7273" w:hanging="360"/>
      </w:pPr>
      <w:rPr>
        <w:rFonts w:ascii="Wingdings" w:hAnsi="Wingdings" w:hint="default"/>
      </w:rPr>
    </w:lvl>
  </w:abstractNum>
  <w:abstractNum w:abstractNumId="81" w15:restartNumberingAfterBreak="0">
    <w:nsid w:val="4A550B22"/>
    <w:multiLevelType w:val="hybridMultilevel"/>
    <w:tmpl w:val="00000000"/>
    <w:lvl w:ilvl="0" w:tplc="A740DAD4">
      <w:numFmt w:val="bullet"/>
      <w:lvlText w:val="•"/>
      <w:lvlJc w:val="left"/>
      <w:pPr>
        <w:ind w:left="276" w:hanging="168"/>
      </w:pPr>
      <w:rPr>
        <w:rFonts w:ascii="Calibri" w:eastAsia="Calibri" w:hAnsi="Calibri" w:cs="Calibri" w:hint="default"/>
        <w:b w:val="0"/>
        <w:bCs w:val="0"/>
        <w:i w:val="0"/>
        <w:iCs w:val="0"/>
        <w:spacing w:val="0"/>
        <w:w w:val="92"/>
        <w:sz w:val="16"/>
        <w:szCs w:val="16"/>
        <w:lang w:val="ro-RO" w:eastAsia="en-US" w:bidi="ar-SA"/>
      </w:rPr>
    </w:lvl>
    <w:lvl w:ilvl="1" w:tplc="7D9423B2">
      <w:numFmt w:val="bullet"/>
      <w:lvlText w:val="•"/>
      <w:lvlJc w:val="left"/>
      <w:pPr>
        <w:ind w:left="568" w:hanging="168"/>
      </w:pPr>
      <w:rPr>
        <w:rFonts w:hint="default"/>
        <w:lang w:val="ro-RO" w:eastAsia="en-US" w:bidi="ar-SA"/>
      </w:rPr>
    </w:lvl>
    <w:lvl w:ilvl="2" w:tplc="D4044D92">
      <w:numFmt w:val="bullet"/>
      <w:lvlText w:val="•"/>
      <w:lvlJc w:val="left"/>
      <w:pPr>
        <w:ind w:left="856" w:hanging="168"/>
      </w:pPr>
      <w:rPr>
        <w:rFonts w:hint="default"/>
        <w:lang w:val="ro-RO" w:eastAsia="en-US" w:bidi="ar-SA"/>
      </w:rPr>
    </w:lvl>
    <w:lvl w:ilvl="3" w:tplc="34589338">
      <w:numFmt w:val="bullet"/>
      <w:lvlText w:val="•"/>
      <w:lvlJc w:val="left"/>
      <w:pPr>
        <w:ind w:left="1144" w:hanging="168"/>
      </w:pPr>
      <w:rPr>
        <w:rFonts w:hint="default"/>
        <w:lang w:val="ro-RO" w:eastAsia="en-US" w:bidi="ar-SA"/>
      </w:rPr>
    </w:lvl>
    <w:lvl w:ilvl="4" w:tplc="544C579E">
      <w:numFmt w:val="bullet"/>
      <w:lvlText w:val="•"/>
      <w:lvlJc w:val="left"/>
      <w:pPr>
        <w:ind w:left="1432" w:hanging="168"/>
      </w:pPr>
      <w:rPr>
        <w:rFonts w:hint="default"/>
        <w:lang w:val="ro-RO" w:eastAsia="en-US" w:bidi="ar-SA"/>
      </w:rPr>
    </w:lvl>
    <w:lvl w:ilvl="5" w:tplc="DEC26ADE">
      <w:numFmt w:val="bullet"/>
      <w:lvlText w:val="•"/>
      <w:lvlJc w:val="left"/>
      <w:pPr>
        <w:ind w:left="1720" w:hanging="168"/>
      </w:pPr>
      <w:rPr>
        <w:rFonts w:hint="default"/>
        <w:lang w:val="ro-RO" w:eastAsia="en-US" w:bidi="ar-SA"/>
      </w:rPr>
    </w:lvl>
    <w:lvl w:ilvl="6" w:tplc="32BA690C">
      <w:numFmt w:val="bullet"/>
      <w:lvlText w:val="•"/>
      <w:lvlJc w:val="left"/>
      <w:pPr>
        <w:ind w:left="2008" w:hanging="168"/>
      </w:pPr>
      <w:rPr>
        <w:rFonts w:hint="default"/>
        <w:lang w:val="ro-RO" w:eastAsia="en-US" w:bidi="ar-SA"/>
      </w:rPr>
    </w:lvl>
    <w:lvl w:ilvl="7" w:tplc="89B08D70">
      <w:numFmt w:val="bullet"/>
      <w:lvlText w:val="•"/>
      <w:lvlJc w:val="left"/>
      <w:pPr>
        <w:ind w:left="2296" w:hanging="168"/>
      </w:pPr>
      <w:rPr>
        <w:rFonts w:hint="default"/>
        <w:lang w:val="ro-RO" w:eastAsia="en-US" w:bidi="ar-SA"/>
      </w:rPr>
    </w:lvl>
    <w:lvl w:ilvl="8" w:tplc="74648E56">
      <w:numFmt w:val="bullet"/>
      <w:lvlText w:val="•"/>
      <w:lvlJc w:val="left"/>
      <w:pPr>
        <w:ind w:left="2584" w:hanging="168"/>
      </w:pPr>
      <w:rPr>
        <w:rFonts w:hint="default"/>
        <w:lang w:val="ro-RO" w:eastAsia="en-US" w:bidi="ar-SA"/>
      </w:rPr>
    </w:lvl>
  </w:abstractNum>
  <w:abstractNum w:abstractNumId="82" w15:restartNumberingAfterBreak="0">
    <w:nsid w:val="4BE7289A"/>
    <w:multiLevelType w:val="hybridMultilevel"/>
    <w:tmpl w:val="00000000"/>
    <w:lvl w:ilvl="0" w:tplc="CBBA2726">
      <w:numFmt w:val="bullet"/>
      <w:lvlText w:val="•"/>
      <w:lvlJc w:val="left"/>
      <w:pPr>
        <w:ind w:left="806" w:hanging="360"/>
      </w:pPr>
      <w:rPr>
        <w:rFonts w:ascii="Calibri" w:eastAsia="Calibri" w:hAnsi="Calibri" w:cs="Calibri" w:hint="default"/>
        <w:b w:val="0"/>
        <w:bCs w:val="0"/>
        <w:i w:val="0"/>
        <w:iCs w:val="0"/>
        <w:spacing w:val="0"/>
        <w:w w:val="92"/>
        <w:sz w:val="18"/>
        <w:szCs w:val="18"/>
        <w:lang w:val="ro-RO" w:eastAsia="en-US" w:bidi="ar-SA"/>
      </w:rPr>
    </w:lvl>
    <w:lvl w:ilvl="1" w:tplc="4036E4DE">
      <w:numFmt w:val="bullet"/>
      <w:lvlText w:val="•"/>
      <w:lvlJc w:val="left"/>
      <w:pPr>
        <w:ind w:left="1089" w:hanging="360"/>
      </w:pPr>
      <w:rPr>
        <w:rFonts w:ascii="Calibri" w:eastAsia="Calibri" w:hAnsi="Calibri" w:cs="Calibri" w:hint="default"/>
        <w:spacing w:val="0"/>
        <w:w w:val="92"/>
        <w:lang w:val="ro-RO" w:eastAsia="en-US" w:bidi="ar-SA"/>
      </w:rPr>
    </w:lvl>
    <w:lvl w:ilvl="2" w:tplc="C9EA9802">
      <w:numFmt w:val="bullet"/>
      <w:lvlText w:val="•"/>
      <w:lvlJc w:val="left"/>
      <w:pPr>
        <w:ind w:left="2062" w:hanging="360"/>
      </w:pPr>
      <w:rPr>
        <w:rFonts w:hint="default"/>
        <w:lang w:val="ro-RO" w:eastAsia="en-US" w:bidi="ar-SA"/>
      </w:rPr>
    </w:lvl>
    <w:lvl w:ilvl="3" w:tplc="2198212E">
      <w:numFmt w:val="bullet"/>
      <w:lvlText w:val="•"/>
      <w:lvlJc w:val="left"/>
      <w:pPr>
        <w:ind w:left="3045" w:hanging="360"/>
      </w:pPr>
      <w:rPr>
        <w:rFonts w:hint="default"/>
        <w:lang w:val="ro-RO" w:eastAsia="en-US" w:bidi="ar-SA"/>
      </w:rPr>
    </w:lvl>
    <w:lvl w:ilvl="4" w:tplc="5AA615C8">
      <w:numFmt w:val="bullet"/>
      <w:lvlText w:val="•"/>
      <w:lvlJc w:val="left"/>
      <w:pPr>
        <w:ind w:left="4027" w:hanging="360"/>
      </w:pPr>
      <w:rPr>
        <w:rFonts w:hint="default"/>
        <w:lang w:val="ro-RO" w:eastAsia="en-US" w:bidi="ar-SA"/>
      </w:rPr>
    </w:lvl>
    <w:lvl w:ilvl="5" w:tplc="FE58FD2C">
      <w:numFmt w:val="bullet"/>
      <w:lvlText w:val="•"/>
      <w:lvlJc w:val="left"/>
      <w:pPr>
        <w:ind w:left="5010" w:hanging="360"/>
      </w:pPr>
      <w:rPr>
        <w:rFonts w:hint="default"/>
        <w:lang w:val="ro-RO" w:eastAsia="en-US" w:bidi="ar-SA"/>
      </w:rPr>
    </w:lvl>
    <w:lvl w:ilvl="6" w:tplc="07E4248C">
      <w:numFmt w:val="bullet"/>
      <w:lvlText w:val="•"/>
      <w:lvlJc w:val="left"/>
      <w:pPr>
        <w:ind w:left="5993" w:hanging="360"/>
      </w:pPr>
      <w:rPr>
        <w:rFonts w:hint="default"/>
        <w:lang w:val="ro-RO" w:eastAsia="en-US" w:bidi="ar-SA"/>
      </w:rPr>
    </w:lvl>
    <w:lvl w:ilvl="7" w:tplc="6156B15C">
      <w:numFmt w:val="bullet"/>
      <w:lvlText w:val="•"/>
      <w:lvlJc w:val="left"/>
      <w:pPr>
        <w:ind w:left="6975" w:hanging="360"/>
      </w:pPr>
      <w:rPr>
        <w:rFonts w:hint="default"/>
        <w:lang w:val="ro-RO" w:eastAsia="en-US" w:bidi="ar-SA"/>
      </w:rPr>
    </w:lvl>
    <w:lvl w:ilvl="8" w:tplc="8FAC632E">
      <w:numFmt w:val="bullet"/>
      <w:lvlText w:val="•"/>
      <w:lvlJc w:val="left"/>
      <w:pPr>
        <w:ind w:left="7958" w:hanging="360"/>
      </w:pPr>
      <w:rPr>
        <w:rFonts w:hint="default"/>
        <w:lang w:val="ro-RO" w:eastAsia="en-US" w:bidi="ar-SA"/>
      </w:rPr>
    </w:lvl>
  </w:abstractNum>
  <w:abstractNum w:abstractNumId="83" w15:restartNumberingAfterBreak="0">
    <w:nsid w:val="4BE786F5"/>
    <w:multiLevelType w:val="hybridMultilevel"/>
    <w:tmpl w:val="00000000"/>
    <w:lvl w:ilvl="0" w:tplc="3D9E5018">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173224FE">
      <w:numFmt w:val="bullet"/>
      <w:lvlText w:val="•"/>
      <w:lvlJc w:val="left"/>
      <w:pPr>
        <w:ind w:left="2837" w:hanging="173"/>
      </w:pPr>
      <w:rPr>
        <w:rFonts w:hint="default"/>
        <w:lang w:val="ro-RO" w:eastAsia="en-US" w:bidi="ar-SA"/>
      </w:rPr>
    </w:lvl>
    <w:lvl w:ilvl="2" w:tplc="6B02C162">
      <w:numFmt w:val="bullet"/>
      <w:lvlText w:val="•"/>
      <w:lvlJc w:val="left"/>
      <w:pPr>
        <w:ind w:left="3555" w:hanging="173"/>
      </w:pPr>
      <w:rPr>
        <w:rFonts w:hint="default"/>
        <w:lang w:val="ro-RO" w:eastAsia="en-US" w:bidi="ar-SA"/>
      </w:rPr>
    </w:lvl>
    <w:lvl w:ilvl="3" w:tplc="717E829C">
      <w:numFmt w:val="bullet"/>
      <w:lvlText w:val="•"/>
      <w:lvlJc w:val="left"/>
      <w:pPr>
        <w:ind w:left="4273" w:hanging="173"/>
      </w:pPr>
      <w:rPr>
        <w:rFonts w:hint="default"/>
        <w:lang w:val="ro-RO" w:eastAsia="en-US" w:bidi="ar-SA"/>
      </w:rPr>
    </w:lvl>
    <w:lvl w:ilvl="4" w:tplc="FA2AD4FE">
      <w:numFmt w:val="bullet"/>
      <w:lvlText w:val="•"/>
      <w:lvlJc w:val="left"/>
      <w:pPr>
        <w:ind w:left="4991" w:hanging="173"/>
      </w:pPr>
      <w:rPr>
        <w:rFonts w:hint="default"/>
        <w:lang w:val="ro-RO" w:eastAsia="en-US" w:bidi="ar-SA"/>
      </w:rPr>
    </w:lvl>
    <w:lvl w:ilvl="5" w:tplc="BD54B5D0">
      <w:numFmt w:val="bullet"/>
      <w:lvlText w:val="•"/>
      <w:lvlJc w:val="left"/>
      <w:pPr>
        <w:ind w:left="5709" w:hanging="173"/>
      </w:pPr>
      <w:rPr>
        <w:rFonts w:hint="default"/>
        <w:lang w:val="ro-RO" w:eastAsia="en-US" w:bidi="ar-SA"/>
      </w:rPr>
    </w:lvl>
    <w:lvl w:ilvl="6" w:tplc="9F3891CA">
      <w:numFmt w:val="bullet"/>
      <w:lvlText w:val="•"/>
      <w:lvlJc w:val="left"/>
      <w:pPr>
        <w:ind w:left="6426" w:hanging="173"/>
      </w:pPr>
      <w:rPr>
        <w:rFonts w:hint="default"/>
        <w:lang w:val="ro-RO" w:eastAsia="en-US" w:bidi="ar-SA"/>
      </w:rPr>
    </w:lvl>
    <w:lvl w:ilvl="7" w:tplc="93442756">
      <w:numFmt w:val="bullet"/>
      <w:lvlText w:val="•"/>
      <w:lvlJc w:val="left"/>
      <w:pPr>
        <w:ind w:left="7144" w:hanging="173"/>
      </w:pPr>
      <w:rPr>
        <w:rFonts w:hint="default"/>
        <w:lang w:val="ro-RO" w:eastAsia="en-US" w:bidi="ar-SA"/>
      </w:rPr>
    </w:lvl>
    <w:lvl w:ilvl="8" w:tplc="8CD2D35A">
      <w:numFmt w:val="bullet"/>
      <w:lvlText w:val="•"/>
      <w:lvlJc w:val="left"/>
      <w:pPr>
        <w:ind w:left="7862" w:hanging="173"/>
      </w:pPr>
      <w:rPr>
        <w:rFonts w:hint="default"/>
        <w:lang w:val="ro-RO" w:eastAsia="en-US" w:bidi="ar-SA"/>
      </w:rPr>
    </w:lvl>
  </w:abstractNum>
  <w:abstractNum w:abstractNumId="84" w15:restartNumberingAfterBreak="0">
    <w:nsid w:val="4C2D55BF"/>
    <w:multiLevelType w:val="hybridMultilevel"/>
    <w:tmpl w:val="00000000"/>
    <w:lvl w:ilvl="0" w:tplc="38E06170">
      <w:numFmt w:val="bullet"/>
      <w:lvlText w:val="•"/>
      <w:lvlJc w:val="left"/>
      <w:pPr>
        <w:ind w:left="1485" w:hanging="360"/>
      </w:pPr>
      <w:rPr>
        <w:rFonts w:ascii="Calibri" w:eastAsia="Calibri" w:hAnsi="Calibri" w:cs="Calibri" w:hint="default"/>
        <w:spacing w:val="0"/>
        <w:w w:val="92"/>
        <w:lang w:val="ro-RO" w:eastAsia="en-US" w:bidi="ar-SA"/>
      </w:rPr>
    </w:lvl>
    <w:lvl w:ilvl="1" w:tplc="7C1264E6">
      <w:numFmt w:val="bullet"/>
      <w:lvlText w:val="•"/>
      <w:lvlJc w:val="left"/>
      <w:pPr>
        <w:ind w:left="2466" w:hanging="360"/>
      </w:pPr>
      <w:rPr>
        <w:rFonts w:hint="default"/>
        <w:lang w:val="ro-RO" w:eastAsia="en-US" w:bidi="ar-SA"/>
      </w:rPr>
    </w:lvl>
    <w:lvl w:ilvl="2" w:tplc="2F8A144E">
      <w:numFmt w:val="bullet"/>
      <w:lvlText w:val="•"/>
      <w:lvlJc w:val="left"/>
      <w:pPr>
        <w:ind w:left="3452" w:hanging="360"/>
      </w:pPr>
      <w:rPr>
        <w:rFonts w:hint="default"/>
        <w:lang w:val="ro-RO" w:eastAsia="en-US" w:bidi="ar-SA"/>
      </w:rPr>
    </w:lvl>
    <w:lvl w:ilvl="3" w:tplc="726C1772">
      <w:numFmt w:val="bullet"/>
      <w:lvlText w:val="•"/>
      <w:lvlJc w:val="left"/>
      <w:pPr>
        <w:ind w:left="4438" w:hanging="360"/>
      </w:pPr>
      <w:rPr>
        <w:rFonts w:hint="default"/>
        <w:lang w:val="ro-RO" w:eastAsia="en-US" w:bidi="ar-SA"/>
      </w:rPr>
    </w:lvl>
    <w:lvl w:ilvl="4" w:tplc="B38A5EEC">
      <w:numFmt w:val="bullet"/>
      <w:lvlText w:val="•"/>
      <w:lvlJc w:val="left"/>
      <w:pPr>
        <w:ind w:left="5424" w:hanging="360"/>
      </w:pPr>
      <w:rPr>
        <w:rFonts w:hint="default"/>
        <w:lang w:val="ro-RO" w:eastAsia="en-US" w:bidi="ar-SA"/>
      </w:rPr>
    </w:lvl>
    <w:lvl w:ilvl="5" w:tplc="0890C014">
      <w:numFmt w:val="bullet"/>
      <w:lvlText w:val="•"/>
      <w:lvlJc w:val="left"/>
      <w:pPr>
        <w:ind w:left="6410" w:hanging="360"/>
      </w:pPr>
      <w:rPr>
        <w:rFonts w:hint="default"/>
        <w:lang w:val="ro-RO" w:eastAsia="en-US" w:bidi="ar-SA"/>
      </w:rPr>
    </w:lvl>
    <w:lvl w:ilvl="6" w:tplc="64A6B4B6">
      <w:numFmt w:val="bullet"/>
      <w:lvlText w:val="•"/>
      <w:lvlJc w:val="left"/>
      <w:pPr>
        <w:ind w:left="7396" w:hanging="360"/>
      </w:pPr>
      <w:rPr>
        <w:rFonts w:hint="default"/>
        <w:lang w:val="ro-RO" w:eastAsia="en-US" w:bidi="ar-SA"/>
      </w:rPr>
    </w:lvl>
    <w:lvl w:ilvl="7" w:tplc="5C0835C2">
      <w:numFmt w:val="bullet"/>
      <w:lvlText w:val="•"/>
      <w:lvlJc w:val="left"/>
      <w:pPr>
        <w:ind w:left="8382" w:hanging="360"/>
      </w:pPr>
      <w:rPr>
        <w:rFonts w:hint="default"/>
        <w:lang w:val="ro-RO" w:eastAsia="en-US" w:bidi="ar-SA"/>
      </w:rPr>
    </w:lvl>
    <w:lvl w:ilvl="8" w:tplc="A5648DC4">
      <w:numFmt w:val="bullet"/>
      <w:lvlText w:val="•"/>
      <w:lvlJc w:val="left"/>
      <w:pPr>
        <w:ind w:left="9368" w:hanging="360"/>
      </w:pPr>
      <w:rPr>
        <w:rFonts w:hint="default"/>
        <w:lang w:val="ro-RO" w:eastAsia="en-US" w:bidi="ar-SA"/>
      </w:rPr>
    </w:lvl>
  </w:abstractNum>
  <w:abstractNum w:abstractNumId="85" w15:restartNumberingAfterBreak="0">
    <w:nsid w:val="4CB87D06"/>
    <w:multiLevelType w:val="hybridMultilevel"/>
    <w:tmpl w:val="33885B9C"/>
    <w:lvl w:ilvl="0" w:tplc="04090001">
      <w:start w:val="1"/>
      <w:numFmt w:val="bullet"/>
      <w:lvlText w:val=""/>
      <w:lvlJc w:val="left"/>
      <w:pPr>
        <w:ind w:left="2210" w:hanging="360"/>
      </w:pPr>
      <w:rPr>
        <w:rFonts w:ascii="Symbol" w:hAnsi="Symbol" w:hint="default"/>
      </w:rPr>
    </w:lvl>
    <w:lvl w:ilvl="1" w:tplc="04090003" w:tentative="1">
      <w:start w:val="1"/>
      <w:numFmt w:val="bullet"/>
      <w:lvlText w:val="o"/>
      <w:lvlJc w:val="left"/>
      <w:pPr>
        <w:ind w:left="2930" w:hanging="360"/>
      </w:pPr>
      <w:rPr>
        <w:rFonts w:ascii="Courier New" w:hAnsi="Courier New" w:cs="Courier New" w:hint="default"/>
      </w:rPr>
    </w:lvl>
    <w:lvl w:ilvl="2" w:tplc="04090005" w:tentative="1">
      <w:start w:val="1"/>
      <w:numFmt w:val="bullet"/>
      <w:lvlText w:val=""/>
      <w:lvlJc w:val="left"/>
      <w:pPr>
        <w:ind w:left="3650" w:hanging="360"/>
      </w:pPr>
      <w:rPr>
        <w:rFonts w:ascii="Wingdings" w:hAnsi="Wingdings" w:hint="default"/>
      </w:rPr>
    </w:lvl>
    <w:lvl w:ilvl="3" w:tplc="04090001" w:tentative="1">
      <w:start w:val="1"/>
      <w:numFmt w:val="bullet"/>
      <w:lvlText w:val=""/>
      <w:lvlJc w:val="left"/>
      <w:pPr>
        <w:ind w:left="4370" w:hanging="360"/>
      </w:pPr>
      <w:rPr>
        <w:rFonts w:ascii="Symbol" w:hAnsi="Symbol" w:hint="default"/>
      </w:rPr>
    </w:lvl>
    <w:lvl w:ilvl="4" w:tplc="04090003" w:tentative="1">
      <w:start w:val="1"/>
      <w:numFmt w:val="bullet"/>
      <w:lvlText w:val="o"/>
      <w:lvlJc w:val="left"/>
      <w:pPr>
        <w:ind w:left="5090" w:hanging="360"/>
      </w:pPr>
      <w:rPr>
        <w:rFonts w:ascii="Courier New" w:hAnsi="Courier New" w:cs="Courier New" w:hint="default"/>
      </w:rPr>
    </w:lvl>
    <w:lvl w:ilvl="5" w:tplc="04090005" w:tentative="1">
      <w:start w:val="1"/>
      <w:numFmt w:val="bullet"/>
      <w:lvlText w:val=""/>
      <w:lvlJc w:val="left"/>
      <w:pPr>
        <w:ind w:left="5810" w:hanging="360"/>
      </w:pPr>
      <w:rPr>
        <w:rFonts w:ascii="Wingdings" w:hAnsi="Wingdings" w:hint="default"/>
      </w:rPr>
    </w:lvl>
    <w:lvl w:ilvl="6" w:tplc="04090001" w:tentative="1">
      <w:start w:val="1"/>
      <w:numFmt w:val="bullet"/>
      <w:lvlText w:val=""/>
      <w:lvlJc w:val="left"/>
      <w:pPr>
        <w:ind w:left="6530" w:hanging="360"/>
      </w:pPr>
      <w:rPr>
        <w:rFonts w:ascii="Symbol" w:hAnsi="Symbol" w:hint="default"/>
      </w:rPr>
    </w:lvl>
    <w:lvl w:ilvl="7" w:tplc="04090003" w:tentative="1">
      <w:start w:val="1"/>
      <w:numFmt w:val="bullet"/>
      <w:lvlText w:val="o"/>
      <w:lvlJc w:val="left"/>
      <w:pPr>
        <w:ind w:left="7250" w:hanging="360"/>
      </w:pPr>
      <w:rPr>
        <w:rFonts w:ascii="Courier New" w:hAnsi="Courier New" w:cs="Courier New" w:hint="default"/>
      </w:rPr>
    </w:lvl>
    <w:lvl w:ilvl="8" w:tplc="04090005" w:tentative="1">
      <w:start w:val="1"/>
      <w:numFmt w:val="bullet"/>
      <w:lvlText w:val=""/>
      <w:lvlJc w:val="left"/>
      <w:pPr>
        <w:ind w:left="7970" w:hanging="360"/>
      </w:pPr>
      <w:rPr>
        <w:rFonts w:ascii="Wingdings" w:hAnsi="Wingdings" w:hint="default"/>
      </w:rPr>
    </w:lvl>
  </w:abstractNum>
  <w:abstractNum w:abstractNumId="86" w15:restartNumberingAfterBreak="0">
    <w:nsid w:val="4D033A0E"/>
    <w:multiLevelType w:val="hybridMultilevel"/>
    <w:tmpl w:val="F3B28302"/>
    <w:lvl w:ilvl="0" w:tplc="04090001">
      <w:start w:val="1"/>
      <w:numFmt w:val="bullet"/>
      <w:lvlText w:val=""/>
      <w:lvlJc w:val="left"/>
      <w:pPr>
        <w:ind w:left="1513" w:hanging="360"/>
      </w:pPr>
      <w:rPr>
        <w:rFonts w:ascii="Symbol" w:hAnsi="Symbol" w:hint="default"/>
      </w:rPr>
    </w:lvl>
    <w:lvl w:ilvl="1" w:tplc="04090003" w:tentative="1">
      <w:start w:val="1"/>
      <w:numFmt w:val="bullet"/>
      <w:lvlText w:val="o"/>
      <w:lvlJc w:val="left"/>
      <w:pPr>
        <w:ind w:left="2233" w:hanging="360"/>
      </w:pPr>
      <w:rPr>
        <w:rFonts w:ascii="Courier New" w:hAnsi="Courier New" w:cs="Courier New" w:hint="default"/>
      </w:rPr>
    </w:lvl>
    <w:lvl w:ilvl="2" w:tplc="04090005" w:tentative="1">
      <w:start w:val="1"/>
      <w:numFmt w:val="bullet"/>
      <w:lvlText w:val=""/>
      <w:lvlJc w:val="left"/>
      <w:pPr>
        <w:ind w:left="2953" w:hanging="360"/>
      </w:pPr>
      <w:rPr>
        <w:rFonts w:ascii="Wingdings" w:hAnsi="Wingdings" w:hint="default"/>
      </w:rPr>
    </w:lvl>
    <w:lvl w:ilvl="3" w:tplc="04090001" w:tentative="1">
      <w:start w:val="1"/>
      <w:numFmt w:val="bullet"/>
      <w:lvlText w:val=""/>
      <w:lvlJc w:val="left"/>
      <w:pPr>
        <w:ind w:left="3673" w:hanging="360"/>
      </w:pPr>
      <w:rPr>
        <w:rFonts w:ascii="Symbol" w:hAnsi="Symbol" w:hint="default"/>
      </w:rPr>
    </w:lvl>
    <w:lvl w:ilvl="4" w:tplc="04090003" w:tentative="1">
      <w:start w:val="1"/>
      <w:numFmt w:val="bullet"/>
      <w:lvlText w:val="o"/>
      <w:lvlJc w:val="left"/>
      <w:pPr>
        <w:ind w:left="4393" w:hanging="360"/>
      </w:pPr>
      <w:rPr>
        <w:rFonts w:ascii="Courier New" w:hAnsi="Courier New" w:cs="Courier New" w:hint="default"/>
      </w:rPr>
    </w:lvl>
    <w:lvl w:ilvl="5" w:tplc="04090005" w:tentative="1">
      <w:start w:val="1"/>
      <w:numFmt w:val="bullet"/>
      <w:lvlText w:val=""/>
      <w:lvlJc w:val="left"/>
      <w:pPr>
        <w:ind w:left="5113" w:hanging="360"/>
      </w:pPr>
      <w:rPr>
        <w:rFonts w:ascii="Wingdings" w:hAnsi="Wingdings" w:hint="default"/>
      </w:rPr>
    </w:lvl>
    <w:lvl w:ilvl="6" w:tplc="04090001" w:tentative="1">
      <w:start w:val="1"/>
      <w:numFmt w:val="bullet"/>
      <w:lvlText w:val=""/>
      <w:lvlJc w:val="left"/>
      <w:pPr>
        <w:ind w:left="5833" w:hanging="360"/>
      </w:pPr>
      <w:rPr>
        <w:rFonts w:ascii="Symbol" w:hAnsi="Symbol" w:hint="default"/>
      </w:rPr>
    </w:lvl>
    <w:lvl w:ilvl="7" w:tplc="04090003" w:tentative="1">
      <w:start w:val="1"/>
      <w:numFmt w:val="bullet"/>
      <w:lvlText w:val="o"/>
      <w:lvlJc w:val="left"/>
      <w:pPr>
        <w:ind w:left="6553" w:hanging="360"/>
      </w:pPr>
      <w:rPr>
        <w:rFonts w:ascii="Courier New" w:hAnsi="Courier New" w:cs="Courier New" w:hint="default"/>
      </w:rPr>
    </w:lvl>
    <w:lvl w:ilvl="8" w:tplc="04090005" w:tentative="1">
      <w:start w:val="1"/>
      <w:numFmt w:val="bullet"/>
      <w:lvlText w:val=""/>
      <w:lvlJc w:val="left"/>
      <w:pPr>
        <w:ind w:left="7273" w:hanging="360"/>
      </w:pPr>
      <w:rPr>
        <w:rFonts w:ascii="Wingdings" w:hAnsi="Wingdings" w:hint="default"/>
      </w:rPr>
    </w:lvl>
  </w:abstractNum>
  <w:abstractNum w:abstractNumId="87" w15:restartNumberingAfterBreak="0">
    <w:nsid w:val="4EAC1256"/>
    <w:multiLevelType w:val="hybridMultilevel"/>
    <w:tmpl w:val="00000000"/>
    <w:lvl w:ilvl="0" w:tplc="A2203AB8">
      <w:numFmt w:val="bullet"/>
      <w:lvlText w:val="●"/>
      <w:lvlJc w:val="left"/>
      <w:pPr>
        <w:ind w:left="2113" w:hanging="173"/>
      </w:pPr>
      <w:rPr>
        <w:rFonts w:ascii="Calibri" w:eastAsia="Calibri" w:hAnsi="Calibri" w:cs="Calibri" w:hint="default"/>
        <w:b w:val="0"/>
        <w:bCs w:val="0"/>
        <w:i w:val="0"/>
        <w:iCs w:val="0"/>
        <w:spacing w:val="0"/>
        <w:w w:val="100"/>
        <w:sz w:val="18"/>
        <w:szCs w:val="18"/>
        <w:lang w:val="ro-RO" w:eastAsia="en-US" w:bidi="ar-SA"/>
      </w:rPr>
    </w:lvl>
    <w:lvl w:ilvl="1" w:tplc="0DEC5D42">
      <w:numFmt w:val="bullet"/>
      <w:lvlText w:val="•"/>
      <w:lvlJc w:val="left"/>
      <w:pPr>
        <w:ind w:left="2837" w:hanging="173"/>
      </w:pPr>
      <w:rPr>
        <w:rFonts w:hint="default"/>
        <w:lang w:val="ro-RO" w:eastAsia="en-US" w:bidi="ar-SA"/>
      </w:rPr>
    </w:lvl>
    <w:lvl w:ilvl="2" w:tplc="FFC275B2">
      <w:numFmt w:val="bullet"/>
      <w:lvlText w:val="•"/>
      <w:lvlJc w:val="left"/>
      <w:pPr>
        <w:ind w:left="3555" w:hanging="173"/>
      </w:pPr>
      <w:rPr>
        <w:rFonts w:hint="default"/>
        <w:lang w:val="ro-RO" w:eastAsia="en-US" w:bidi="ar-SA"/>
      </w:rPr>
    </w:lvl>
    <w:lvl w:ilvl="3" w:tplc="CD66442C">
      <w:numFmt w:val="bullet"/>
      <w:lvlText w:val="•"/>
      <w:lvlJc w:val="left"/>
      <w:pPr>
        <w:ind w:left="4273" w:hanging="173"/>
      </w:pPr>
      <w:rPr>
        <w:rFonts w:hint="default"/>
        <w:lang w:val="ro-RO" w:eastAsia="en-US" w:bidi="ar-SA"/>
      </w:rPr>
    </w:lvl>
    <w:lvl w:ilvl="4" w:tplc="DFAECE90">
      <w:numFmt w:val="bullet"/>
      <w:lvlText w:val="•"/>
      <w:lvlJc w:val="left"/>
      <w:pPr>
        <w:ind w:left="4991" w:hanging="173"/>
      </w:pPr>
      <w:rPr>
        <w:rFonts w:hint="default"/>
        <w:lang w:val="ro-RO" w:eastAsia="en-US" w:bidi="ar-SA"/>
      </w:rPr>
    </w:lvl>
    <w:lvl w:ilvl="5" w:tplc="142C18FC">
      <w:numFmt w:val="bullet"/>
      <w:lvlText w:val="•"/>
      <w:lvlJc w:val="left"/>
      <w:pPr>
        <w:ind w:left="5709" w:hanging="173"/>
      </w:pPr>
      <w:rPr>
        <w:rFonts w:hint="default"/>
        <w:lang w:val="ro-RO" w:eastAsia="en-US" w:bidi="ar-SA"/>
      </w:rPr>
    </w:lvl>
    <w:lvl w:ilvl="6" w:tplc="CF2EC262">
      <w:numFmt w:val="bullet"/>
      <w:lvlText w:val="•"/>
      <w:lvlJc w:val="left"/>
      <w:pPr>
        <w:ind w:left="6426" w:hanging="173"/>
      </w:pPr>
      <w:rPr>
        <w:rFonts w:hint="default"/>
        <w:lang w:val="ro-RO" w:eastAsia="en-US" w:bidi="ar-SA"/>
      </w:rPr>
    </w:lvl>
    <w:lvl w:ilvl="7" w:tplc="D11A4A94">
      <w:numFmt w:val="bullet"/>
      <w:lvlText w:val="•"/>
      <w:lvlJc w:val="left"/>
      <w:pPr>
        <w:ind w:left="7144" w:hanging="173"/>
      </w:pPr>
      <w:rPr>
        <w:rFonts w:hint="default"/>
        <w:lang w:val="ro-RO" w:eastAsia="en-US" w:bidi="ar-SA"/>
      </w:rPr>
    </w:lvl>
    <w:lvl w:ilvl="8" w:tplc="83A60C32">
      <w:numFmt w:val="bullet"/>
      <w:lvlText w:val="•"/>
      <w:lvlJc w:val="left"/>
      <w:pPr>
        <w:ind w:left="7862" w:hanging="173"/>
      </w:pPr>
      <w:rPr>
        <w:rFonts w:hint="default"/>
        <w:lang w:val="ro-RO" w:eastAsia="en-US" w:bidi="ar-SA"/>
      </w:rPr>
    </w:lvl>
  </w:abstractNum>
  <w:abstractNum w:abstractNumId="88" w15:restartNumberingAfterBreak="0">
    <w:nsid w:val="504C874A"/>
    <w:multiLevelType w:val="hybridMultilevel"/>
    <w:tmpl w:val="00000000"/>
    <w:lvl w:ilvl="0" w:tplc="FC169F2A">
      <w:numFmt w:val="bullet"/>
      <w:lvlText w:val="•"/>
      <w:lvlJc w:val="left"/>
      <w:pPr>
        <w:ind w:left="2175" w:hanging="161"/>
      </w:pPr>
      <w:rPr>
        <w:rFonts w:ascii="Calibri" w:eastAsia="Calibri" w:hAnsi="Calibri" w:cs="Calibri" w:hint="default"/>
        <w:b w:val="0"/>
        <w:bCs w:val="0"/>
        <w:i w:val="0"/>
        <w:iCs w:val="0"/>
        <w:spacing w:val="0"/>
        <w:w w:val="109"/>
        <w:sz w:val="18"/>
        <w:szCs w:val="18"/>
        <w:lang w:val="ro-RO" w:eastAsia="en-US" w:bidi="ar-SA"/>
      </w:rPr>
    </w:lvl>
    <w:lvl w:ilvl="1" w:tplc="9D3C750E">
      <w:numFmt w:val="bullet"/>
      <w:lvlText w:val="•"/>
      <w:lvlJc w:val="left"/>
      <w:pPr>
        <w:ind w:left="2839" w:hanging="161"/>
      </w:pPr>
      <w:rPr>
        <w:rFonts w:hint="default"/>
        <w:lang w:val="ro-RO" w:eastAsia="en-US" w:bidi="ar-SA"/>
      </w:rPr>
    </w:lvl>
    <w:lvl w:ilvl="2" w:tplc="3DA6580A">
      <w:numFmt w:val="bullet"/>
      <w:lvlText w:val="•"/>
      <w:lvlJc w:val="left"/>
      <w:pPr>
        <w:ind w:left="3498" w:hanging="161"/>
      </w:pPr>
      <w:rPr>
        <w:rFonts w:hint="default"/>
        <w:lang w:val="ro-RO" w:eastAsia="en-US" w:bidi="ar-SA"/>
      </w:rPr>
    </w:lvl>
    <w:lvl w:ilvl="3" w:tplc="F1E0BF3C">
      <w:numFmt w:val="bullet"/>
      <w:lvlText w:val="•"/>
      <w:lvlJc w:val="left"/>
      <w:pPr>
        <w:ind w:left="4157" w:hanging="161"/>
      </w:pPr>
      <w:rPr>
        <w:rFonts w:hint="default"/>
        <w:lang w:val="ro-RO" w:eastAsia="en-US" w:bidi="ar-SA"/>
      </w:rPr>
    </w:lvl>
    <w:lvl w:ilvl="4" w:tplc="101E9AE6">
      <w:numFmt w:val="bullet"/>
      <w:lvlText w:val="•"/>
      <w:lvlJc w:val="left"/>
      <w:pPr>
        <w:ind w:left="4817" w:hanging="161"/>
      </w:pPr>
      <w:rPr>
        <w:rFonts w:hint="default"/>
        <w:lang w:val="ro-RO" w:eastAsia="en-US" w:bidi="ar-SA"/>
      </w:rPr>
    </w:lvl>
    <w:lvl w:ilvl="5" w:tplc="18A0128E">
      <w:numFmt w:val="bullet"/>
      <w:lvlText w:val="•"/>
      <w:lvlJc w:val="left"/>
      <w:pPr>
        <w:ind w:left="5476" w:hanging="161"/>
      </w:pPr>
      <w:rPr>
        <w:rFonts w:hint="default"/>
        <w:lang w:val="ro-RO" w:eastAsia="en-US" w:bidi="ar-SA"/>
      </w:rPr>
    </w:lvl>
    <w:lvl w:ilvl="6" w:tplc="0F4C2968">
      <w:numFmt w:val="bullet"/>
      <w:lvlText w:val="•"/>
      <w:lvlJc w:val="left"/>
      <w:pPr>
        <w:ind w:left="6135" w:hanging="161"/>
      </w:pPr>
      <w:rPr>
        <w:rFonts w:hint="default"/>
        <w:lang w:val="ro-RO" w:eastAsia="en-US" w:bidi="ar-SA"/>
      </w:rPr>
    </w:lvl>
    <w:lvl w:ilvl="7" w:tplc="CB9000D8">
      <w:numFmt w:val="bullet"/>
      <w:lvlText w:val="•"/>
      <w:lvlJc w:val="left"/>
      <w:pPr>
        <w:ind w:left="6795" w:hanging="161"/>
      </w:pPr>
      <w:rPr>
        <w:rFonts w:hint="default"/>
        <w:lang w:val="ro-RO" w:eastAsia="en-US" w:bidi="ar-SA"/>
      </w:rPr>
    </w:lvl>
    <w:lvl w:ilvl="8" w:tplc="D9C634E4">
      <w:numFmt w:val="bullet"/>
      <w:lvlText w:val="•"/>
      <w:lvlJc w:val="left"/>
      <w:pPr>
        <w:ind w:left="7454" w:hanging="161"/>
      </w:pPr>
      <w:rPr>
        <w:rFonts w:hint="default"/>
        <w:lang w:val="ro-RO" w:eastAsia="en-US" w:bidi="ar-SA"/>
      </w:rPr>
    </w:lvl>
  </w:abstractNum>
  <w:abstractNum w:abstractNumId="89" w15:restartNumberingAfterBreak="0">
    <w:nsid w:val="5261685F"/>
    <w:multiLevelType w:val="hybridMultilevel"/>
    <w:tmpl w:val="00000000"/>
    <w:lvl w:ilvl="0" w:tplc="3A9864B0">
      <w:numFmt w:val="bullet"/>
      <w:lvlText w:val="●"/>
      <w:lvlJc w:val="left"/>
      <w:pPr>
        <w:ind w:left="2190" w:hanging="173"/>
      </w:pPr>
      <w:rPr>
        <w:rFonts w:ascii="Calibri" w:eastAsia="Calibri" w:hAnsi="Calibri" w:cs="Calibri" w:hint="default"/>
        <w:b w:val="0"/>
        <w:bCs w:val="0"/>
        <w:i w:val="0"/>
        <w:iCs w:val="0"/>
        <w:spacing w:val="0"/>
        <w:w w:val="100"/>
        <w:sz w:val="18"/>
        <w:szCs w:val="18"/>
        <w:lang w:val="ro-RO" w:eastAsia="en-US" w:bidi="ar-SA"/>
      </w:rPr>
    </w:lvl>
    <w:lvl w:ilvl="1" w:tplc="293E9E68">
      <w:numFmt w:val="bullet"/>
      <w:lvlText w:val="•"/>
      <w:lvlJc w:val="left"/>
      <w:pPr>
        <w:ind w:left="2909" w:hanging="173"/>
      </w:pPr>
      <w:rPr>
        <w:rFonts w:hint="default"/>
        <w:lang w:val="ro-RO" w:eastAsia="en-US" w:bidi="ar-SA"/>
      </w:rPr>
    </w:lvl>
    <w:lvl w:ilvl="2" w:tplc="8ABE3726">
      <w:numFmt w:val="bullet"/>
      <w:lvlText w:val="•"/>
      <w:lvlJc w:val="left"/>
      <w:pPr>
        <w:ind w:left="3619" w:hanging="173"/>
      </w:pPr>
      <w:rPr>
        <w:rFonts w:hint="default"/>
        <w:lang w:val="ro-RO" w:eastAsia="en-US" w:bidi="ar-SA"/>
      </w:rPr>
    </w:lvl>
    <w:lvl w:ilvl="3" w:tplc="1A4C3946">
      <w:numFmt w:val="bullet"/>
      <w:lvlText w:val="•"/>
      <w:lvlJc w:val="left"/>
      <w:pPr>
        <w:ind w:left="4329" w:hanging="173"/>
      </w:pPr>
      <w:rPr>
        <w:rFonts w:hint="default"/>
        <w:lang w:val="ro-RO" w:eastAsia="en-US" w:bidi="ar-SA"/>
      </w:rPr>
    </w:lvl>
    <w:lvl w:ilvl="4" w:tplc="AE0A28B0">
      <w:numFmt w:val="bullet"/>
      <w:lvlText w:val="•"/>
      <w:lvlJc w:val="left"/>
      <w:pPr>
        <w:ind w:left="5039" w:hanging="173"/>
      </w:pPr>
      <w:rPr>
        <w:rFonts w:hint="default"/>
        <w:lang w:val="ro-RO" w:eastAsia="en-US" w:bidi="ar-SA"/>
      </w:rPr>
    </w:lvl>
    <w:lvl w:ilvl="5" w:tplc="3F82EC1E">
      <w:numFmt w:val="bullet"/>
      <w:lvlText w:val="•"/>
      <w:lvlJc w:val="left"/>
      <w:pPr>
        <w:ind w:left="5749" w:hanging="173"/>
      </w:pPr>
      <w:rPr>
        <w:rFonts w:hint="default"/>
        <w:lang w:val="ro-RO" w:eastAsia="en-US" w:bidi="ar-SA"/>
      </w:rPr>
    </w:lvl>
    <w:lvl w:ilvl="6" w:tplc="EBAA62CA">
      <w:numFmt w:val="bullet"/>
      <w:lvlText w:val="•"/>
      <w:lvlJc w:val="left"/>
      <w:pPr>
        <w:ind w:left="6458" w:hanging="173"/>
      </w:pPr>
      <w:rPr>
        <w:rFonts w:hint="default"/>
        <w:lang w:val="ro-RO" w:eastAsia="en-US" w:bidi="ar-SA"/>
      </w:rPr>
    </w:lvl>
    <w:lvl w:ilvl="7" w:tplc="4ED000FE">
      <w:numFmt w:val="bullet"/>
      <w:lvlText w:val="•"/>
      <w:lvlJc w:val="left"/>
      <w:pPr>
        <w:ind w:left="7168" w:hanging="173"/>
      </w:pPr>
      <w:rPr>
        <w:rFonts w:hint="default"/>
        <w:lang w:val="ro-RO" w:eastAsia="en-US" w:bidi="ar-SA"/>
      </w:rPr>
    </w:lvl>
    <w:lvl w:ilvl="8" w:tplc="4ECAECD4">
      <w:numFmt w:val="bullet"/>
      <w:lvlText w:val="•"/>
      <w:lvlJc w:val="left"/>
      <w:pPr>
        <w:ind w:left="7878" w:hanging="173"/>
      </w:pPr>
      <w:rPr>
        <w:rFonts w:hint="default"/>
        <w:lang w:val="ro-RO" w:eastAsia="en-US" w:bidi="ar-SA"/>
      </w:rPr>
    </w:lvl>
  </w:abstractNum>
  <w:abstractNum w:abstractNumId="90" w15:restartNumberingAfterBreak="0">
    <w:nsid w:val="526E98CA"/>
    <w:multiLevelType w:val="hybridMultilevel"/>
    <w:tmpl w:val="00000000"/>
    <w:lvl w:ilvl="0" w:tplc="D2EE8BF2">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4E3E0990">
      <w:numFmt w:val="bullet"/>
      <w:lvlText w:val="•"/>
      <w:lvlJc w:val="left"/>
      <w:pPr>
        <w:ind w:left="2466" w:hanging="360"/>
      </w:pPr>
      <w:rPr>
        <w:rFonts w:hint="default"/>
        <w:lang w:val="ro-RO" w:eastAsia="en-US" w:bidi="ar-SA"/>
      </w:rPr>
    </w:lvl>
    <w:lvl w:ilvl="2" w:tplc="45CE7E24">
      <w:numFmt w:val="bullet"/>
      <w:lvlText w:val="•"/>
      <w:lvlJc w:val="left"/>
      <w:pPr>
        <w:ind w:left="3452" w:hanging="360"/>
      </w:pPr>
      <w:rPr>
        <w:rFonts w:hint="default"/>
        <w:lang w:val="ro-RO" w:eastAsia="en-US" w:bidi="ar-SA"/>
      </w:rPr>
    </w:lvl>
    <w:lvl w:ilvl="3" w:tplc="B76C3B4A">
      <w:numFmt w:val="bullet"/>
      <w:lvlText w:val="•"/>
      <w:lvlJc w:val="left"/>
      <w:pPr>
        <w:ind w:left="4438" w:hanging="360"/>
      </w:pPr>
      <w:rPr>
        <w:rFonts w:hint="default"/>
        <w:lang w:val="ro-RO" w:eastAsia="en-US" w:bidi="ar-SA"/>
      </w:rPr>
    </w:lvl>
    <w:lvl w:ilvl="4" w:tplc="034A9B50">
      <w:numFmt w:val="bullet"/>
      <w:lvlText w:val="•"/>
      <w:lvlJc w:val="left"/>
      <w:pPr>
        <w:ind w:left="5424" w:hanging="360"/>
      </w:pPr>
      <w:rPr>
        <w:rFonts w:hint="default"/>
        <w:lang w:val="ro-RO" w:eastAsia="en-US" w:bidi="ar-SA"/>
      </w:rPr>
    </w:lvl>
    <w:lvl w:ilvl="5" w:tplc="FBAA6F24">
      <w:numFmt w:val="bullet"/>
      <w:lvlText w:val="•"/>
      <w:lvlJc w:val="left"/>
      <w:pPr>
        <w:ind w:left="6410" w:hanging="360"/>
      </w:pPr>
      <w:rPr>
        <w:rFonts w:hint="default"/>
        <w:lang w:val="ro-RO" w:eastAsia="en-US" w:bidi="ar-SA"/>
      </w:rPr>
    </w:lvl>
    <w:lvl w:ilvl="6" w:tplc="2FFC38E2">
      <w:numFmt w:val="bullet"/>
      <w:lvlText w:val="•"/>
      <w:lvlJc w:val="left"/>
      <w:pPr>
        <w:ind w:left="7396" w:hanging="360"/>
      </w:pPr>
      <w:rPr>
        <w:rFonts w:hint="default"/>
        <w:lang w:val="ro-RO" w:eastAsia="en-US" w:bidi="ar-SA"/>
      </w:rPr>
    </w:lvl>
    <w:lvl w:ilvl="7" w:tplc="971A2B46">
      <w:numFmt w:val="bullet"/>
      <w:lvlText w:val="•"/>
      <w:lvlJc w:val="left"/>
      <w:pPr>
        <w:ind w:left="8382" w:hanging="360"/>
      </w:pPr>
      <w:rPr>
        <w:rFonts w:hint="default"/>
        <w:lang w:val="ro-RO" w:eastAsia="en-US" w:bidi="ar-SA"/>
      </w:rPr>
    </w:lvl>
    <w:lvl w:ilvl="8" w:tplc="8B06E60A">
      <w:numFmt w:val="bullet"/>
      <w:lvlText w:val="•"/>
      <w:lvlJc w:val="left"/>
      <w:pPr>
        <w:ind w:left="9368" w:hanging="360"/>
      </w:pPr>
      <w:rPr>
        <w:rFonts w:hint="default"/>
        <w:lang w:val="ro-RO" w:eastAsia="en-US" w:bidi="ar-SA"/>
      </w:rPr>
    </w:lvl>
  </w:abstractNum>
  <w:abstractNum w:abstractNumId="91" w15:restartNumberingAfterBreak="0">
    <w:nsid w:val="52997106"/>
    <w:multiLevelType w:val="hybridMultilevel"/>
    <w:tmpl w:val="9DEAB64C"/>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92" w15:restartNumberingAfterBreak="0">
    <w:nsid w:val="530D69D1"/>
    <w:multiLevelType w:val="hybridMultilevel"/>
    <w:tmpl w:val="00000000"/>
    <w:lvl w:ilvl="0" w:tplc="F2A2E1A2">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B0761976">
      <w:numFmt w:val="bullet"/>
      <w:lvlText w:val="•"/>
      <w:lvlJc w:val="left"/>
      <w:pPr>
        <w:ind w:left="1643" w:hanging="360"/>
      </w:pPr>
      <w:rPr>
        <w:rFonts w:hint="default"/>
        <w:lang w:val="ro-RO" w:eastAsia="en-US" w:bidi="ar-SA"/>
      </w:rPr>
    </w:lvl>
    <w:lvl w:ilvl="2" w:tplc="0944E2DC">
      <w:numFmt w:val="bullet"/>
      <w:lvlText w:val="•"/>
      <w:lvlJc w:val="left"/>
      <w:pPr>
        <w:ind w:left="2467" w:hanging="360"/>
      </w:pPr>
      <w:rPr>
        <w:rFonts w:hint="default"/>
        <w:lang w:val="ro-RO" w:eastAsia="en-US" w:bidi="ar-SA"/>
      </w:rPr>
    </w:lvl>
    <w:lvl w:ilvl="3" w:tplc="CE4E2FC0">
      <w:numFmt w:val="bullet"/>
      <w:lvlText w:val="•"/>
      <w:lvlJc w:val="left"/>
      <w:pPr>
        <w:ind w:left="3291" w:hanging="360"/>
      </w:pPr>
      <w:rPr>
        <w:rFonts w:hint="default"/>
        <w:lang w:val="ro-RO" w:eastAsia="en-US" w:bidi="ar-SA"/>
      </w:rPr>
    </w:lvl>
    <w:lvl w:ilvl="4" w:tplc="21066700">
      <w:numFmt w:val="bullet"/>
      <w:lvlText w:val="•"/>
      <w:lvlJc w:val="left"/>
      <w:pPr>
        <w:ind w:left="4115" w:hanging="360"/>
      </w:pPr>
      <w:rPr>
        <w:rFonts w:hint="default"/>
        <w:lang w:val="ro-RO" w:eastAsia="en-US" w:bidi="ar-SA"/>
      </w:rPr>
    </w:lvl>
    <w:lvl w:ilvl="5" w:tplc="06B47A52">
      <w:numFmt w:val="bullet"/>
      <w:lvlText w:val="•"/>
      <w:lvlJc w:val="left"/>
      <w:pPr>
        <w:ind w:left="4939" w:hanging="360"/>
      </w:pPr>
      <w:rPr>
        <w:rFonts w:hint="default"/>
        <w:lang w:val="ro-RO" w:eastAsia="en-US" w:bidi="ar-SA"/>
      </w:rPr>
    </w:lvl>
    <w:lvl w:ilvl="6" w:tplc="3356C68C">
      <w:numFmt w:val="bullet"/>
      <w:lvlText w:val="•"/>
      <w:lvlJc w:val="left"/>
      <w:pPr>
        <w:ind w:left="5763" w:hanging="360"/>
      </w:pPr>
      <w:rPr>
        <w:rFonts w:hint="default"/>
        <w:lang w:val="ro-RO" w:eastAsia="en-US" w:bidi="ar-SA"/>
      </w:rPr>
    </w:lvl>
    <w:lvl w:ilvl="7" w:tplc="6EA87BE0">
      <w:numFmt w:val="bullet"/>
      <w:lvlText w:val="•"/>
      <w:lvlJc w:val="left"/>
      <w:pPr>
        <w:ind w:left="6587" w:hanging="360"/>
      </w:pPr>
      <w:rPr>
        <w:rFonts w:hint="default"/>
        <w:lang w:val="ro-RO" w:eastAsia="en-US" w:bidi="ar-SA"/>
      </w:rPr>
    </w:lvl>
    <w:lvl w:ilvl="8" w:tplc="DC5A040E">
      <w:numFmt w:val="bullet"/>
      <w:lvlText w:val="•"/>
      <w:lvlJc w:val="left"/>
      <w:pPr>
        <w:ind w:left="7411" w:hanging="360"/>
      </w:pPr>
      <w:rPr>
        <w:rFonts w:hint="default"/>
        <w:lang w:val="ro-RO" w:eastAsia="en-US" w:bidi="ar-SA"/>
      </w:rPr>
    </w:lvl>
  </w:abstractNum>
  <w:abstractNum w:abstractNumId="93" w15:restartNumberingAfterBreak="0">
    <w:nsid w:val="561ADB8E"/>
    <w:multiLevelType w:val="hybridMultilevel"/>
    <w:tmpl w:val="00000000"/>
    <w:lvl w:ilvl="0" w:tplc="C20008C2">
      <w:numFmt w:val="bullet"/>
      <w:lvlText w:val="•"/>
      <w:lvlJc w:val="left"/>
      <w:pPr>
        <w:ind w:left="2274" w:hanging="161"/>
      </w:pPr>
      <w:rPr>
        <w:rFonts w:ascii="Calibri" w:eastAsia="Calibri" w:hAnsi="Calibri" w:cs="Calibri" w:hint="default"/>
        <w:b w:val="0"/>
        <w:bCs w:val="0"/>
        <w:i w:val="0"/>
        <w:iCs w:val="0"/>
        <w:spacing w:val="0"/>
        <w:w w:val="109"/>
        <w:sz w:val="18"/>
        <w:szCs w:val="18"/>
        <w:lang w:val="ro-RO" w:eastAsia="en-US" w:bidi="ar-SA"/>
      </w:rPr>
    </w:lvl>
    <w:lvl w:ilvl="1" w:tplc="4AB0B5D6">
      <w:numFmt w:val="bullet"/>
      <w:lvlText w:val="•"/>
      <w:lvlJc w:val="left"/>
      <w:pPr>
        <w:ind w:left="2981" w:hanging="161"/>
      </w:pPr>
      <w:rPr>
        <w:rFonts w:hint="default"/>
        <w:lang w:val="ro-RO" w:eastAsia="en-US" w:bidi="ar-SA"/>
      </w:rPr>
    </w:lvl>
    <w:lvl w:ilvl="2" w:tplc="77CC32B2">
      <w:numFmt w:val="bullet"/>
      <w:lvlText w:val="•"/>
      <w:lvlJc w:val="left"/>
      <w:pPr>
        <w:ind w:left="3683" w:hanging="161"/>
      </w:pPr>
      <w:rPr>
        <w:rFonts w:hint="default"/>
        <w:lang w:val="ro-RO" w:eastAsia="en-US" w:bidi="ar-SA"/>
      </w:rPr>
    </w:lvl>
    <w:lvl w:ilvl="3" w:tplc="1CD0B61C">
      <w:numFmt w:val="bullet"/>
      <w:lvlText w:val="•"/>
      <w:lvlJc w:val="left"/>
      <w:pPr>
        <w:ind w:left="4385" w:hanging="161"/>
      </w:pPr>
      <w:rPr>
        <w:rFonts w:hint="default"/>
        <w:lang w:val="ro-RO" w:eastAsia="en-US" w:bidi="ar-SA"/>
      </w:rPr>
    </w:lvl>
    <w:lvl w:ilvl="4" w:tplc="FA0060D6">
      <w:numFmt w:val="bullet"/>
      <w:lvlText w:val="•"/>
      <w:lvlJc w:val="left"/>
      <w:pPr>
        <w:ind w:left="5087" w:hanging="161"/>
      </w:pPr>
      <w:rPr>
        <w:rFonts w:hint="default"/>
        <w:lang w:val="ro-RO" w:eastAsia="en-US" w:bidi="ar-SA"/>
      </w:rPr>
    </w:lvl>
    <w:lvl w:ilvl="5" w:tplc="83C0E496">
      <w:numFmt w:val="bullet"/>
      <w:lvlText w:val="•"/>
      <w:lvlJc w:val="left"/>
      <w:pPr>
        <w:ind w:left="5789" w:hanging="161"/>
      </w:pPr>
      <w:rPr>
        <w:rFonts w:hint="default"/>
        <w:lang w:val="ro-RO" w:eastAsia="en-US" w:bidi="ar-SA"/>
      </w:rPr>
    </w:lvl>
    <w:lvl w:ilvl="6" w:tplc="04580082">
      <w:numFmt w:val="bullet"/>
      <w:lvlText w:val="•"/>
      <w:lvlJc w:val="left"/>
      <w:pPr>
        <w:ind w:left="6490" w:hanging="161"/>
      </w:pPr>
      <w:rPr>
        <w:rFonts w:hint="default"/>
        <w:lang w:val="ro-RO" w:eastAsia="en-US" w:bidi="ar-SA"/>
      </w:rPr>
    </w:lvl>
    <w:lvl w:ilvl="7" w:tplc="D9729872">
      <w:numFmt w:val="bullet"/>
      <w:lvlText w:val="•"/>
      <w:lvlJc w:val="left"/>
      <w:pPr>
        <w:ind w:left="7192" w:hanging="161"/>
      </w:pPr>
      <w:rPr>
        <w:rFonts w:hint="default"/>
        <w:lang w:val="ro-RO" w:eastAsia="en-US" w:bidi="ar-SA"/>
      </w:rPr>
    </w:lvl>
    <w:lvl w:ilvl="8" w:tplc="EE70DD86">
      <w:numFmt w:val="bullet"/>
      <w:lvlText w:val="•"/>
      <w:lvlJc w:val="left"/>
      <w:pPr>
        <w:ind w:left="7894" w:hanging="161"/>
      </w:pPr>
      <w:rPr>
        <w:rFonts w:hint="default"/>
        <w:lang w:val="ro-RO" w:eastAsia="en-US" w:bidi="ar-SA"/>
      </w:rPr>
    </w:lvl>
  </w:abstractNum>
  <w:abstractNum w:abstractNumId="94" w15:restartNumberingAfterBreak="0">
    <w:nsid w:val="57379CE0"/>
    <w:multiLevelType w:val="hybridMultilevel"/>
    <w:tmpl w:val="00000000"/>
    <w:lvl w:ilvl="0" w:tplc="B8F4EA44">
      <w:numFmt w:val="bullet"/>
      <w:lvlText w:val="•"/>
      <w:lvlJc w:val="left"/>
      <w:pPr>
        <w:ind w:left="947" w:hanging="360"/>
      </w:pPr>
      <w:rPr>
        <w:rFonts w:ascii="Calibri" w:eastAsia="Calibri" w:hAnsi="Calibri" w:cs="Calibri" w:hint="default"/>
        <w:b w:val="0"/>
        <w:bCs w:val="0"/>
        <w:i w:val="0"/>
        <w:iCs w:val="0"/>
        <w:spacing w:val="0"/>
        <w:w w:val="92"/>
        <w:sz w:val="18"/>
        <w:szCs w:val="18"/>
        <w:lang w:val="ro-RO" w:eastAsia="en-US" w:bidi="ar-SA"/>
      </w:rPr>
    </w:lvl>
    <w:lvl w:ilvl="1" w:tplc="F87AFAD8">
      <w:numFmt w:val="bullet"/>
      <w:lvlText w:val="•"/>
      <w:lvlJc w:val="left"/>
      <w:pPr>
        <w:ind w:left="1909" w:hanging="360"/>
      </w:pPr>
      <w:rPr>
        <w:rFonts w:hint="default"/>
        <w:lang w:val="ro-RO" w:eastAsia="en-US" w:bidi="ar-SA"/>
      </w:rPr>
    </w:lvl>
    <w:lvl w:ilvl="2" w:tplc="DD7C99F4">
      <w:numFmt w:val="bullet"/>
      <w:lvlText w:val="•"/>
      <w:lvlJc w:val="left"/>
      <w:pPr>
        <w:ind w:left="2878" w:hanging="360"/>
      </w:pPr>
      <w:rPr>
        <w:rFonts w:hint="default"/>
        <w:lang w:val="ro-RO" w:eastAsia="en-US" w:bidi="ar-SA"/>
      </w:rPr>
    </w:lvl>
    <w:lvl w:ilvl="3" w:tplc="CD26E290">
      <w:numFmt w:val="bullet"/>
      <w:lvlText w:val="•"/>
      <w:lvlJc w:val="left"/>
      <w:pPr>
        <w:ind w:left="3847" w:hanging="360"/>
      </w:pPr>
      <w:rPr>
        <w:rFonts w:hint="default"/>
        <w:lang w:val="ro-RO" w:eastAsia="en-US" w:bidi="ar-SA"/>
      </w:rPr>
    </w:lvl>
    <w:lvl w:ilvl="4" w:tplc="4FACD29E">
      <w:numFmt w:val="bullet"/>
      <w:lvlText w:val="•"/>
      <w:lvlJc w:val="left"/>
      <w:pPr>
        <w:ind w:left="4816" w:hanging="360"/>
      </w:pPr>
      <w:rPr>
        <w:rFonts w:hint="default"/>
        <w:lang w:val="ro-RO" w:eastAsia="en-US" w:bidi="ar-SA"/>
      </w:rPr>
    </w:lvl>
    <w:lvl w:ilvl="5" w:tplc="AAF4CFE8">
      <w:numFmt w:val="bullet"/>
      <w:lvlText w:val="•"/>
      <w:lvlJc w:val="left"/>
      <w:pPr>
        <w:ind w:left="5785" w:hanging="360"/>
      </w:pPr>
      <w:rPr>
        <w:rFonts w:hint="default"/>
        <w:lang w:val="ro-RO" w:eastAsia="en-US" w:bidi="ar-SA"/>
      </w:rPr>
    </w:lvl>
    <w:lvl w:ilvl="6" w:tplc="8216FE86">
      <w:numFmt w:val="bullet"/>
      <w:lvlText w:val="•"/>
      <w:lvlJc w:val="left"/>
      <w:pPr>
        <w:ind w:left="6754" w:hanging="360"/>
      </w:pPr>
      <w:rPr>
        <w:rFonts w:hint="default"/>
        <w:lang w:val="ro-RO" w:eastAsia="en-US" w:bidi="ar-SA"/>
      </w:rPr>
    </w:lvl>
    <w:lvl w:ilvl="7" w:tplc="17347E92">
      <w:numFmt w:val="bullet"/>
      <w:lvlText w:val="•"/>
      <w:lvlJc w:val="left"/>
      <w:pPr>
        <w:ind w:left="7723" w:hanging="360"/>
      </w:pPr>
      <w:rPr>
        <w:rFonts w:hint="default"/>
        <w:lang w:val="ro-RO" w:eastAsia="en-US" w:bidi="ar-SA"/>
      </w:rPr>
    </w:lvl>
    <w:lvl w:ilvl="8" w:tplc="28B65D04">
      <w:numFmt w:val="bullet"/>
      <w:lvlText w:val="•"/>
      <w:lvlJc w:val="left"/>
      <w:pPr>
        <w:ind w:left="8693" w:hanging="360"/>
      </w:pPr>
      <w:rPr>
        <w:rFonts w:hint="default"/>
        <w:lang w:val="ro-RO" w:eastAsia="en-US" w:bidi="ar-SA"/>
      </w:rPr>
    </w:lvl>
  </w:abstractNum>
  <w:abstractNum w:abstractNumId="95" w15:restartNumberingAfterBreak="0">
    <w:nsid w:val="59780422"/>
    <w:multiLevelType w:val="hybridMultilevel"/>
    <w:tmpl w:val="00000000"/>
    <w:lvl w:ilvl="0" w:tplc="E5C8C416">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13C257CC">
      <w:numFmt w:val="bullet"/>
      <w:lvlText w:val="•"/>
      <w:lvlJc w:val="left"/>
      <w:pPr>
        <w:ind w:left="2927" w:hanging="161"/>
      </w:pPr>
      <w:rPr>
        <w:rFonts w:hint="default"/>
        <w:lang w:val="ro-RO" w:eastAsia="en-US" w:bidi="ar-SA"/>
      </w:rPr>
    </w:lvl>
    <w:lvl w:ilvl="2" w:tplc="8996AB58">
      <w:numFmt w:val="bullet"/>
      <w:lvlText w:val="•"/>
      <w:lvlJc w:val="left"/>
      <w:pPr>
        <w:ind w:left="3635" w:hanging="161"/>
      </w:pPr>
      <w:rPr>
        <w:rFonts w:hint="default"/>
        <w:lang w:val="ro-RO" w:eastAsia="en-US" w:bidi="ar-SA"/>
      </w:rPr>
    </w:lvl>
    <w:lvl w:ilvl="3" w:tplc="C3901346">
      <w:numFmt w:val="bullet"/>
      <w:lvlText w:val="•"/>
      <w:lvlJc w:val="left"/>
      <w:pPr>
        <w:ind w:left="4343" w:hanging="161"/>
      </w:pPr>
      <w:rPr>
        <w:rFonts w:hint="default"/>
        <w:lang w:val="ro-RO" w:eastAsia="en-US" w:bidi="ar-SA"/>
      </w:rPr>
    </w:lvl>
    <w:lvl w:ilvl="4" w:tplc="EC3AEF72">
      <w:numFmt w:val="bullet"/>
      <w:lvlText w:val="•"/>
      <w:lvlJc w:val="left"/>
      <w:pPr>
        <w:ind w:left="5051" w:hanging="161"/>
      </w:pPr>
      <w:rPr>
        <w:rFonts w:hint="default"/>
        <w:lang w:val="ro-RO" w:eastAsia="en-US" w:bidi="ar-SA"/>
      </w:rPr>
    </w:lvl>
    <w:lvl w:ilvl="5" w:tplc="77CEB68A">
      <w:numFmt w:val="bullet"/>
      <w:lvlText w:val="•"/>
      <w:lvlJc w:val="left"/>
      <w:pPr>
        <w:ind w:left="5759" w:hanging="161"/>
      </w:pPr>
      <w:rPr>
        <w:rFonts w:hint="default"/>
        <w:lang w:val="ro-RO" w:eastAsia="en-US" w:bidi="ar-SA"/>
      </w:rPr>
    </w:lvl>
    <w:lvl w:ilvl="6" w:tplc="6DFCC7C4">
      <w:numFmt w:val="bullet"/>
      <w:lvlText w:val="•"/>
      <w:lvlJc w:val="left"/>
      <w:pPr>
        <w:ind w:left="6466" w:hanging="161"/>
      </w:pPr>
      <w:rPr>
        <w:rFonts w:hint="default"/>
        <w:lang w:val="ro-RO" w:eastAsia="en-US" w:bidi="ar-SA"/>
      </w:rPr>
    </w:lvl>
    <w:lvl w:ilvl="7" w:tplc="35E2738C">
      <w:numFmt w:val="bullet"/>
      <w:lvlText w:val="•"/>
      <w:lvlJc w:val="left"/>
      <w:pPr>
        <w:ind w:left="7174" w:hanging="161"/>
      </w:pPr>
      <w:rPr>
        <w:rFonts w:hint="default"/>
        <w:lang w:val="ro-RO" w:eastAsia="en-US" w:bidi="ar-SA"/>
      </w:rPr>
    </w:lvl>
    <w:lvl w:ilvl="8" w:tplc="31B0B376">
      <w:numFmt w:val="bullet"/>
      <w:lvlText w:val="•"/>
      <w:lvlJc w:val="left"/>
      <w:pPr>
        <w:ind w:left="7882" w:hanging="161"/>
      </w:pPr>
      <w:rPr>
        <w:rFonts w:hint="default"/>
        <w:lang w:val="ro-RO" w:eastAsia="en-US" w:bidi="ar-SA"/>
      </w:rPr>
    </w:lvl>
  </w:abstractNum>
  <w:abstractNum w:abstractNumId="96" w15:restartNumberingAfterBreak="0">
    <w:nsid w:val="5A6CD07B"/>
    <w:multiLevelType w:val="hybridMultilevel"/>
    <w:tmpl w:val="00000000"/>
    <w:lvl w:ilvl="0" w:tplc="C78CE686">
      <w:numFmt w:val="bullet"/>
      <w:lvlText w:val="●"/>
      <w:lvlJc w:val="left"/>
      <w:pPr>
        <w:ind w:left="2113" w:hanging="173"/>
      </w:pPr>
      <w:rPr>
        <w:rFonts w:ascii="Calibri" w:eastAsia="Calibri" w:hAnsi="Calibri" w:cs="Calibri" w:hint="default"/>
        <w:b w:val="0"/>
        <w:bCs w:val="0"/>
        <w:i w:val="0"/>
        <w:iCs w:val="0"/>
        <w:spacing w:val="0"/>
        <w:w w:val="100"/>
        <w:sz w:val="18"/>
        <w:szCs w:val="18"/>
        <w:lang w:val="ro-RO" w:eastAsia="en-US" w:bidi="ar-SA"/>
      </w:rPr>
    </w:lvl>
    <w:lvl w:ilvl="1" w:tplc="283AA8AC">
      <w:numFmt w:val="bullet"/>
      <w:lvlText w:val="•"/>
      <w:lvlJc w:val="left"/>
      <w:pPr>
        <w:ind w:left="2837" w:hanging="173"/>
      </w:pPr>
      <w:rPr>
        <w:rFonts w:hint="default"/>
        <w:lang w:val="ro-RO" w:eastAsia="en-US" w:bidi="ar-SA"/>
      </w:rPr>
    </w:lvl>
    <w:lvl w:ilvl="2" w:tplc="41D87752">
      <w:numFmt w:val="bullet"/>
      <w:lvlText w:val="•"/>
      <w:lvlJc w:val="left"/>
      <w:pPr>
        <w:ind w:left="3555" w:hanging="173"/>
      </w:pPr>
      <w:rPr>
        <w:rFonts w:hint="default"/>
        <w:lang w:val="ro-RO" w:eastAsia="en-US" w:bidi="ar-SA"/>
      </w:rPr>
    </w:lvl>
    <w:lvl w:ilvl="3" w:tplc="124EA6EA">
      <w:numFmt w:val="bullet"/>
      <w:lvlText w:val="•"/>
      <w:lvlJc w:val="left"/>
      <w:pPr>
        <w:ind w:left="4273" w:hanging="173"/>
      </w:pPr>
      <w:rPr>
        <w:rFonts w:hint="default"/>
        <w:lang w:val="ro-RO" w:eastAsia="en-US" w:bidi="ar-SA"/>
      </w:rPr>
    </w:lvl>
    <w:lvl w:ilvl="4" w:tplc="0FE8B8F4">
      <w:numFmt w:val="bullet"/>
      <w:lvlText w:val="•"/>
      <w:lvlJc w:val="left"/>
      <w:pPr>
        <w:ind w:left="4991" w:hanging="173"/>
      </w:pPr>
      <w:rPr>
        <w:rFonts w:hint="default"/>
        <w:lang w:val="ro-RO" w:eastAsia="en-US" w:bidi="ar-SA"/>
      </w:rPr>
    </w:lvl>
    <w:lvl w:ilvl="5" w:tplc="DF709012">
      <w:numFmt w:val="bullet"/>
      <w:lvlText w:val="•"/>
      <w:lvlJc w:val="left"/>
      <w:pPr>
        <w:ind w:left="5709" w:hanging="173"/>
      </w:pPr>
      <w:rPr>
        <w:rFonts w:hint="default"/>
        <w:lang w:val="ro-RO" w:eastAsia="en-US" w:bidi="ar-SA"/>
      </w:rPr>
    </w:lvl>
    <w:lvl w:ilvl="6" w:tplc="9DE4DDAA">
      <w:numFmt w:val="bullet"/>
      <w:lvlText w:val="•"/>
      <w:lvlJc w:val="left"/>
      <w:pPr>
        <w:ind w:left="6426" w:hanging="173"/>
      </w:pPr>
      <w:rPr>
        <w:rFonts w:hint="default"/>
        <w:lang w:val="ro-RO" w:eastAsia="en-US" w:bidi="ar-SA"/>
      </w:rPr>
    </w:lvl>
    <w:lvl w:ilvl="7" w:tplc="745EC1F0">
      <w:numFmt w:val="bullet"/>
      <w:lvlText w:val="•"/>
      <w:lvlJc w:val="left"/>
      <w:pPr>
        <w:ind w:left="7144" w:hanging="173"/>
      </w:pPr>
      <w:rPr>
        <w:rFonts w:hint="default"/>
        <w:lang w:val="ro-RO" w:eastAsia="en-US" w:bidi="ar-SA"/>
      </w:rPr>
    </w:lvl>
    <w:lvl w:ilvl="8" w:tplc="85046FEE">
      <w:numFmt w:val="bullet"/>
      <w:lvlText w:val="•"/>
      <w:lvlJc w:val="left"/>
      <w:pPr>
        <w:ind w:left="7862" w:hanging="173"/>
      </w:pPr>
      <w:rPr>
        <w:rFonts w:hint="default"/>
        <w:lang w:val="ro-RO" w:eastAsia="en-US" w:bidi="ar-SA"/>
      </w:rPr>
    </w:lvl>
  </w:abstractNum>
  <w:abstractNum w:abstractNumId="97" w15:restartNumberingAfterBreak="0">
    <w:nsid w:val="5AF7E66A"/>
    <w:multiLevelType w:val="multilevel"/>
    <w:tmpl w:val="00000000"/>
    <w:lvl w:ilvl="0">
      <w:start w:val="10"/>
      <w:numFmt w:val="upperRoman"/>
      <w:lvlText w:val="%1"/>
      <w:lvlJc w:val="left"/>
      <w:pPr>
        <w:ind w:left="2750" w:hanging="992"/>
      </w:pPr>
      <w:rPr>
        <w:rFonts w:hint="default"/>
        <w:lang w:val="ro-RO" w:eastAsia="en-US" w:bidi="ar-SA"/>
      </w:rPr>
    </w:lvl>
    <w:lvl w:ilvl="1">
      <w:start w:val="4"/>
      <w:numFmt w:val="decimal"/>
      <w:lvlText w:val="%1.%2"/>
      <w:lvlJc w:val="left"/>
      <w:pPr>
        <w:ind w:left="2750" w:hanging="992"/>
      </w:pPr>
      <w:rPr>
        <w:rFonts w:hint="default"/>
        <w:lang w:val="ro-RO" w:eastAsia="en-US" w:bidi="ar-SA"/>
      </w:rPr>
    </w:lvl>
    <w:lvl w:ilvl="2">
      <w:start w:val="1"/>
      <w:numFmt w:val="decimal"/>
      <w:lvlText w:val="%1.%2.%3."/>
      <w:lvlJc w:val="left"/>
      <w:pPr>
        <w:ind w:left="2750" w:hanging="992"/>
      </w:pPr>
      <w:rPr>
        <w:rFonts w:ascii="Acumin Pro Wide Black" w:eastAsia="Acumin Pro Wide Black" w:hAnsi="Acumin Pro Wide Black" w:cs="Acumin Pro Wide Black" w:hint="default"/>
        <w:b/>
        <w:bCs/>
        <w:i/>
        <w:iCs/>
        <w:color w:val="00AFEF"/>
        <w:spacing w:val="-1"/>
        <w:w w:val="107"/>
        <w:sz w:val="20"/>
        <w:szCs w:val="20"/>
        <w:lang w:val="ro-RO" w:eastAsia="en-US" w:bidi="ar-SA"/>
      </w:rPr>
    </w:lvl>
    <w:lvl w:ilvl="3">
      <w:numFmt w:val="bullet"/>
      <w:lvlText w:val="•"/>
      <w:lvlJc w:val="left"/>
      <w:pPr>
        <w:ind w:left="5334" w:hanging="992"/>
      </w:pPr>
      <w:rPr>
        <w:rFonts w:hint="default"/>
        <w:lang w:val="ro-RO" w:eastAsia="en-US" w:bidi="ar-SA"/>
      </w:rPr>
    </w:lvl>
    <w:lvl w:ilvl="4">
      <w:numFmt w:val="bullet"/>
      <w:lvlText w:val="•"/>
      <w:lvlJc w:val="left"/>
      <w:pPr>
        <w:ind w:left="6192" w:hanging="992"/>
      </w:pPr>
      <w:rPr>
        <w:rFonts w:hint="default"/>
        <w:lang w:val="ro-RO" w:eastAsia="en-US" w:bidi="ar-SA"/>
      </w:rPr>
    </w:lvl>
    <w:lvl w:ilvl="5">
      <w:numFmt w:val="bullet"/>
      <w:lvlText w:val="•"/>
      <w:lvlJc w:val="left"/>
      <w:pPr>
        <w:ind w:left="7050" w:hanging="992"/>
      </w:pPr>
      <w:rPr>
        <w:rFonts w:hint="default"/>
        <w:lang w:val="ro-RO" w:eastAsia="en-US" w:bidi="ar-SA"/>
      </w:rPr>
    </w:lvl>
    <w:lvl w:ilvl="6">
      <w:numFmt w:val="bullet"/>
      <w:lvlText w:val="•"/>
      <w:lvlJc w:val="left"/>
      <w:pPr>
        <w:ind w:left="7908" w:hanging="992"/>
      </w:pPr>
      <w:rPr>
        <w:rFonts w:hint="default"/>
        <w:lang w:val="ro-RO" w:eastAsia="en-US" w:bidi="ar-SA"/>
      </w:rPr>
    </w:lvl>
    <w:lvl w:ilvl="7">
      <w:numFmt w:val="bullet"/>
      <w:lvlText w:val="•"/>
      <w:lvlJc w:val="left"/>
      <w:pPr>
        <w:ind w:left="8766" w:hanging="992"/>
      </w:pPr>
      <w:rPr>
        <w:rFonts w:hint="default"/>
        <w:lang w:val="ro-RO" w:eastAsia="en-US" w:bidi="ar-SA"/>
      </w:rPr>
    </w:lvl>
    <w:lvl w:ilvl="8">
      <w:numFmt w:val="bullet"/>
      <w:lvlText w:val="•"/>
      <w:lvlJc w:val="left"/>
      <w:pPr>
        <w:ind w:left="9624" w:hanging="992"/>
      </w:pPr>
      <w:rPr>
        <w:rFonts w:hint="default"/>
        <w:lang w:val="ro-RO" w:eastAsia="en-US" w:bidi="ar-SA"/>
      </w:rPr>
    </w:lvl>
  </w:abstractNum>
  <w:abstractNum w:abstractNumId="98" w15:restartNumberingAfterBreak="0">
    <w:nsid w:val="5B710E09"/>
    <w:multiLevelType w:val="hybridMultilevel"/>
    <w:tmpl w:val="00000000"/>
    <w:lvl w:ilvl="0" w:tplc="D0003438">
      <w:start w:val="2"/>
      <w:numFmt w:val="decimal"/>
      <w:lvlText w:val="%1."/>
      <w:lvlJc w:val="left"/>
      <w:pPr>
        <w:ind w:left="765" w:hanging="1304"/>
      </w:pPr>
      <w:rPr>
        <w:rFonts w:ascii="Calibri" w:eastAsia="Calibri" w:hAnsi="Calibri" w:cs="Calibri" w:hint="default"/>
        <w:b w:val="0"/>
        <w:bCs w:val="0"/>
        <w:i/>
        <w:iCs/>
        <w:spacing w:val="0"/>
        <w:w w:val="131"/>
        <w:sz w:val="18"/>
        <w:szCs w:val="18"/>
        <w:lang w:val="ro-RO" w:eastAsia="en-US" w:bidi="ar-SA"/>
      </w:rPr>
    </w:lvl>
    <w:lvl w:ilvl="1" w:tplc="A154AD46">
      <w:numFmt w:val="bullet"/>
      <w:lvlText w:val="•"/>
      <w:lvlJc w:val="left"/>
      <w:pPr>
        <w:ind w:left="1818" w:hanging="1304"/>
      </w:pPr>
      <w:rPr>
        <w:rFonts w:hint="default"/>
        <w:lang w:val="ro-RO" w:eastAsia="en-US" w:bidi="ar-SA"/>
      </w:rPr>
    </w:lvl>
    <w:lvl w:ilvl="2" w:tplc="F0663130">
      <w:numFmt w:val="bullet"/>
      <w:lvlText w:val="•"/>
      <w:lvlJc w:val="left"/>
      <w:pPr>
        <w:ind w:left="2876" w:hanging="1304"/>
      </w:pPr>
      <w:rPr>
        <w:rFonts w:hint="default"/>
        <w:lang w:val="ro-RO" w:eastAsia="en-US" w:bidi="ar-SA"/>
      </w:rPr>
    </w:lvl>
    <w:lvl w:ilvl="3" w:tplc="5DEEFD3A">
      <w:numFmt w:val="bullet"/>
      <w:lvlText w:val="•"/>
      <w:lvlJc w:val="left"/>
      <w:pPr>
        <w:ind w:left="3934" w:hanging="1304"/>
      </w:pPr>
      <w:rPr>
        <w:rFonts w:hint="default"/>
        <w:lang w:val="ro-RO" w:eastAsia="en-US" w:bidi="ar-SA"/>
      </w:rPr>
    </w:lvl>
    <w:lvl w:ilvl="4" w:tplc="3C260A36">
      <w:numFmt w:val="bullet"/>
      <w:lvlText w:val="•"/>
      <w:lvlJc w:val="left"/>
      <w:pPr>
        <w:ind w:left="4992" w:hanging="1304"/>
      </w:pPr>
      <w:rPr>
        <w:rFonts w:hint="default"/>
        <w:lang w:val="ro-RO" w:eastAsia="en-US" w:bidi="ar-SA"/>
      </w:rPr>
    </w:lvl>
    <w:lvl w:ilvl="5" w:tplc="1180E0D0">
      <w:numFmt w:val="bullet"/>
      <w:lvlText w:val="•"/>
      <w:lvlJc w:val="left"/>
      <w:pPr>
        <w:ind w:left="6050" w:hanging="1304"/>
      </w:pPr>
      <w:rPr>
        <w:rFonts w:hint="default"/>
        <w:lang w:val="ro-RO" w:eastAsia="en-US" w:bidi="ar-SA"/>
      </w:rPr>
    </w:lvl>
    <w:lvl w:ilvl="6" w:tplc="34E6EA2E">
      <w:numFmt w:val="bullet"/>
      <w:lvlText w:val="•"/>
      <w:lvlJc w:val="left"/>
      <w:pPr>
        <w:ind w:left="7108" w:hanging="1304"/>
      </w:pPr>
      <w:rPr>
        <w:rFonts w:hint="default"/>
        <w:lang w:val="ro-RO" w:eastAsia="en-US" w:bidi="ar-SA"/>
      </w:rPr>
    </w:lvl>
    <w:lvl w:ilvl="7" w:tplc="A8228E22">
      <w:numFmt w:val="bullet"/>
      <w:lvlText w:val="•"/>
      <w:lvlJc w:val="left"/>
      <w:pPr>
        <w:ind w:left="8166" w:hanging="1304"/>
      </w:pPr>
      <w:rPr>
        <w:rFonts w:hint="default"/>
        <w:lang w:val="ro-RO" w:eastAsia="en-US" w:bidi="ar-SA"/>
      </w:rPr>
    </w:lvl>
    <w:lvl w:ilvl="8" w:tplc="22B28CDA">
      <w:numFmt w:val="bullet"/>
      <w:lvlText w:val="•"/>
      <w:lvlJc w:val="left"/>
      <w:pPr>
        <w:ind w:left="9224" w:hanging="1304"/>
      </w:pPr>
      <w:rPr>
        <w:rFonts w:hint="default"/>
        <w:lang w:val="ro-RO" w:eastAsia="en-US" w:bidi="ar-SA"/>
      </w:rPr>
    </w:lvl>
  </w:abstractNum>
  <w:abstractNum w:abstractNumId="99" w15:restartNumberingAfterBreak="0">
    <w:nsid w:val="5B72E0B4"/>
    <w:multiLevelType w:val="hybridMultilevel"/>
    <w:tmpl w:val="00000000"/>
    <w:lvl w:ilvl="0" w:tplc="F38287B0">
      <w:numFmt w:val="bullet"/>
      <w:lvlText w:val="-"/>
      <w:lvlJc w:val="left"/>
      <w:pPr>
        <w:ind w:left="110" w:hanging="137"/>
      </w:pPr>
      <w:rPr>
        <w:rFonts w:ascii="Calibri" w:eastAsia="Calibri" w:hAnsi="Calibri" w:cs="Calibri" w:hint="default"/>
        <w:b w:val="0"/>
        <w:bCs w:val="0"/>
        <w:i w:val="0"/>
        <w:iCs w:val="0"/>
        <w:spacing w:val="0"/>
        <w:w w:val="149"/>
        <w:sz w:val="16"/>
        <w:szCs w:val="16"/>
        <w:lang w:val="ro-RO" w:eastAsia="en-US" w:bidi="ar-SA"/>
      </w:rPr>
    </w:lvl>
    <w:lvl w:ilvl="1" w:tplc="F9782230">
      <w:numFmt w:val="bullet"/>
      <w:lvlText w:val="•"/>
      <w:lvlJc w:val="left"/>
      <w:pPr>
        <w:ind w:left="424" w:hanging="137"/>
      </w:pPr>
      <w:rPr>
        <w:rFonts w:hint="default"/>
        <w:lang w:val="ro-RO" w:eastAsia="en-US" w:bidi="ar-SA"/>
      </w:rPr>
    </w:lvl>
    <w:lvl w:ilvl="2" w:tplc="FE6E6FCA">
      <w:numFmt w:val="bullet"/>
      <w:lvlText w:val="•"/>
      <w:lvlJc w:val="left"/>
      <w:pPr>
        <w:ind w:left="729" w:hanging="137"/>
      </w:pPr>
      <w:rPr>
        <w:rFonts w:hint="default"/>
        <w:lang w:val="ro-RO" w:eastAsia="en-US" w:bidi="ar-SA"/>
      </w:rPr>
    </w:lvl>
    <w:lvl w:ilvl="3" w:tplc="F5C2BADC">
      <w:numFmt w:val="bullet"/>
      <w:lvlText w:val="•"/>
      <w:lvlJc w:val="left"/>
      <w:pPr>
        <w:ind w:left="1033" w:hanging="137"/>
      </w:pPr>
      <w:rPr>
        <w:rFonts w:hint="default"/>
        <w:lang w:val="ro-RO" w:eastAsia="en-US" w:bidi="ar-SA"/>
      </w:rPr>
    </w:lvl>
    <w:lvl w:ilvl="4" w:tplc="0BAC039C">
      <w:numFmt w:val="bullet"/>
      <w:lvlText w:val="•"/>
      <w:lvlJc w:val="left"/>
      <w:pPr>
        <w:ind w:left="1338" w:hanging="137"/>
      </w:pPr>
      <w:rPr>
        <w:rFonts w:hint="default"/>
        <w:lang w:val="ro-RO" w:eastAsia="en-US" w:bidi="ar-SA"/>
      </w:rPr>
    </w:lvl>
    <w:lvl w:ilvl="5" w:tplc="DD4EA7FC">
      <w:numFmt w:val="bullet"/>
      <w:lvlText w:val="•"/>
      <w:lvlJc w:val="left"/>
      <w:pPr>
        <w:ind w:left="1642" w:hanging="137"/>
      </w:pPr>
      <w:rPr>
        <w:rFonts w:hint="default"/>
        <w:lang w:val="ro-RO" w:eastAsia="en-US" w:bidi="ar-SA"/>
      </w:rPr>
    </w:lvl>
    <w:lvl w:ilvl="6" w:tplc="DA00EFE2">
      <w:numFmt w:val="bullet"/>
      <w:lvlText w:val="•"/>
      <w:lvlJc w:val="left"/>
      <w:pPr>
        <w:ind w:left="1947" w:hanging="137"/>
      </w:pPr>
      <w:rPr>
        <w:rFonts w:hint="default"/>
        <w:lang w:val="ro-RO" w:eastAsia="en-US" w:bidi="ar-SA"/>
      </w:rPr>
    </w:lvl>
    <w:lvl w:ilvl="7" w:tplc="6C6829E4">
      <w:numFmt w:val="bullet"/>
      <w:lvlText w:val="•"/>
      <w:lvlJc w:val="left"/>
      <w:pPr>
        <w:ind w:left="2251" w:hanging="137"/>
      </w:pPr>
      <w:rPr>
        <w:rFonts w:hint="default"/>
        <w:lang w:val="ro-RO" w:eastAsia="en-US" w:bidi="ar-SA"/>
      </w:rPr>
    </w:lvl>
    <w:lvl w:ilvl="8" w:tplc="9C74B050">
      <w:numFmt w:val="bullet"/>
      <w:lvlText w:val="•"/>
      <w:lvlJc w:val="left"/>
      <w:pPr>
        <w:ind w:left="2556" w:hanging="137"/>
      </w:pPr>
      <w:rPr>
        <w:rFonts w:hint="default"/>
        <w:lang w:val="ro-RO" w:eastAsia="en-US" w:bidi="ar-SA"/>
      </w:rPr>
    </w:lvl>
  </w:abstractNum>
  <w:abstractNum w:abstractNumId="100" w15:restartNumberingAfterBreak="0">
    <w:nsid w:val="5CAF9FC0"/>
    <w:multiLevelType w:val="hybridMultilevel"/>
    <w:tmpl w:val="00000000"/>
    <w:lvl w:ilvl="0" w:tplc="8294F9BE">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B322C3FC">
      <w:numFmt w:val="bullet"/>
      <w:lvlText w:val="•"/>
      <w:lvlJc w:val="left"/>
      <w:pPr>
        <w:ind w:left="2466" w:hanging="360"/>
      </w:pPr>
      <w:rPr>
        <w:rFonts w:hint="default"/>
        <w:lang w:val="ro-RO" w:eastAsia="en-US" w:bidi="ar-SA"/>
      </w:rPr>
    </w:lvl>
    <w:lvl w:ilvl="2" w:tplc="296A35F0">
      <w:numFmt w:val="bullet"/>
      <w:lvlText w:val="•"/>
      <w:lvlJc w:val="left"/>
      <w:pPr>
        <w:ind w:left="3452" w:hanging="360"/>
      </w:pPr>
      <w:rPr>
        <w:rFonts w:hint="default"/>
        <w:lang w:val="ro-RO" w:eastAsia="en-US" w:bidi="ar-SA"/>
      </w:rPr>
    </w:lvl>
    <w:lvl w:ilvl="3" w:tplc="A4E69E56">
      <w:numFmt w:val="bullet"/>
      <w:lvlText w:val="•"/>
      <w:lvlJc w:val="left"/>
      <w:pPr>
        <w:ind w:left="4438" w:hanging="360"/>
      </w:pPr>
      <w:rPr>
        <w:rFonts w:hint="default"/>
        <w:lang w:val="ro-RO" w:eastAsia="en-US" w:bidi="ar-SA"/>
      </w:rPr>
    </w:lvl>
    <w:lvl w:ilvl="4" w:tplc="B4B6278E">
      <w:numFmt w:val="bullet"/>
      <w:lvlText w:val="•"/>
      <w:lvlJc w:val="left"/>
      <w:pPr>
        <w:ind w:left="5424" w:hanging="360"/>
      </w:pPr>
      <w:rPr>
        <w:rFonts w:hint="default"/>
        <w:lang w:val="ro-RO" w:eastAsia="en-US" w:bidi="ar-SA"/>
      </w:rPr>
    </w:lvl>
    <w:lvl w:ilvl="5" w:tplc="C43A9C0E">
      <w:numFmt w:val="bullet"/>
      <w:lvlText w:val="•"/>
      <w:lvlJc w:val="left"/>
      <w:pPr>
        <w:ind w:left="6410" w:hanging="360"/>
      </w:pPr>
      <w:rPr>
        <w:rFonts w:hint="default"/>
        <w:lang w:val="ro-RO" w:eastAsia="en-US" w:bidi="ar-SA"/>
      </w:rPr>
    </w:lvl>
    <w:lvl w:ilvl="6" w:tplc="44748378">
      <w:numFmt w:val="bullet"/>
      <w:lvlText w:val="•"/>
      <w:lvlJc w:val="left"/>
      <w:pPr>
        <w:ind w:left="7396" w:hanging="360"/>
      </w:pPr>
      <w:rPr>
        <w:rFonts w:hint="default"/>
        <w:lang w:val="ro-RO" w:eastAsia="en-US" w:bidi="ar-SA"/>
      </w:rPr>
    </w:lvl>
    <w:lvl w:ilvl="7" w:tplc="1DF4938E">
      <w:numFmt w:val="bullet"/>
      <w:lvlText w:val="•"/>
      <w:lvlJc w:val="left"/>
      <w:pPr>
        <w:ind w:left="8382" w:hanging="360"/>
      </w:pPr>
      <w:rPr>
        <w:rFonts w:hint="default"/>
        <w:lang w:val="ro-RO" w:eastAsia="en-US" w:bidi="ar-SA"/>
      </w:rPr>
    </w:lvl>
    <w:lvl w:ilvl="8" w:tplc="3EDCFC84">
      <w:numFmt w:val="bullet"/>
      <w:lvlText w:val="•"/>
      <w:lvlJc w:val="left"/>
      <w:pPr>
        <w:ind w:left="9368" w:hanging="360"/>
      </w:pPr>
      <w:rPr>
        <w:rFonts w:hint="default"/>
        <w:lang w:val="ro-RO" w:eastAsia="en-US" w:bidi="ar-SA"/>
      </w:rPr>
    </w:lvl>
  </w:abstractNum>
  <w:abstractNum w:abstractNumId="101" w15:restartNumberingAfterBreak="0">
    <w:nsid w:val="5EE4942C"/>
    <w:multiLevelType w:val="hybridMultilevel"/>
    <w:tmpl w:val="00000000"/>
    <w:lvl w:ilvl="0" w:tplc="84B44FF6">
      <w:start w:val="1"/>
      <w:numFmt w:val="upperLetter"/>
      <w:lvlText w:val="%1."/>
      <w:lvlJc w:val="left"/>
      <w:pPr>
        <w:ind w:left="1514" w:hanging="360"/>
        <w:jc w:val="right"/>
      </w:pPr>
      <w:rPr>
        <w:rFonts w:ascii="Calibri" w:eastAsia="Calibri" w:hAnsi="Calibri" w:cs="Calibri" w:hint="default"/>
        <w:b/>
        <w:bCs/>
        <w:i w:val="0"/>
        <w:iCs w:val="0"/>
        <w:spacing w:val="-1"/>
        <w:w w:val="130"/>
        <w:sz w:val="18"/>
        <w:szCs w:val="18"/>
        <w:lang w:val="ro-RO" w:eastAsia="en-US" w:bidi="ar-SA"/>
      </w:rPr>
    </w:lvl>
    <w:lvl w:ilvl="1" w:tplc="26027522">
      <w:numFmt w:val="bullet"/>
      <w:lvlText w:val="•"/>
      <w:lvlJc w:val="left"/>
      <w:pPr>
        <w:ind w:left="2502" w:hanging="360"/>
      </w:pPr>
      <w:rPr>
        <w:rFonts w:hint="default"/>
        <w:lang w:val="ro-RO" w:eastAsia="en-US" w:bidi="ar-SA"/>
      </w:rPr>
    </w:lvl>
    <w:lvl w:ilvl="2" w:tplc="23CC89F8">
      <w:numFmt w:val="bullet"/>
      <w:lvlText w:val="•"/>
      <w:lvlJc w:val="left"/>
      <w:pPr>
        <w:ind w:left="3484" w:hanging="360"/>
      </w:pPr>
      <w:rPr>
        <w:rFonts w:hint="default"/>
        <w:lang w:val="ro-RO" w:eastAsia="en-US" w:bidi="ar-SA"/>
      </w:rPr>
    </w:lvl>
    <w:lvl w:ilvl="3" w:tplc="60AE4C26">
      <w:numFmt w:val="bullet"/>
      <w:lvlText w:val="•"/>
      <w:lvlJc w:val="left"/>
      <w:pPr>
        <w:ind w:left="4466" w:hanging="360"/>
      </w:pPr>
      <w:rPr>
        <w:rFonts w:hint="default"/>
        <w:lang w:val="ro-RO" w:eastAsia="en-US" w:bidi="ar-SA"/>
      </w:rPr>
    </w:lvl>
    <w:lvl w:ilvl="4" w:tplc="D85A811A">
      <w:numFmt w:val="bullet"/>
      <w:lvlText w:val="•"/>
      <w:lvlJc w:val="left"/>
      <w:pPr>
        <w:ind w:left="5448" w:hanging="360"/>
      </w:pPr>
      <w:rPr>
        <w:rFonts w:hint="default"/>
        <w:lang w:val="ro-RO" w:eastAsia="en-US" w:bidi="ar-SA"/>
      </w:rPr>
    </w:lvl>
    <w:lvl w:ilvl="5" w:tplc="4FD890BC">
      <w:numFmt w:val="bullet"/>
      <w:lvlText w:val="•"/>
      <w:lvlJc w:val="left"/>
      <w:pPr>
        <w:ind w:left="6430" w:hanging="360"/>
      </w:pPr>
      <w:rPr>
        <w:rFonts w:hint="default"/>
        <w:lang w:val="ro-RO" w:eastAsia="en-US" w:bidi="ar-SA"/>
      </w:rPr>
    </w:lvl>
    <w:lvl w:ilvl="6" w:tplc="0E181CBE">
      <w:numFmt w:val="bullet"/>
      <w:lvlText w:val="•"/>
      <w:lvlJc w:val="left"/>
      <w:pPr>
        <w:ind w:left="7412" w:hanging="360"/>
      </w:pPr>
      <w:rPr>
        <w:rFonts w:hint="default"/>
        <w:lang w:val="ro-RO" w:eastAsia="en-US" w:bidi="ar-SA"/>
      </w:rPr>
    </w:lvl>
    <w:lvl w:ilvl="7" w:tplc="08FC1D9E">
      <w:numFmt w:val="bullet"/>
      <w:lvlText w:val="•"/>
      <w:lvlJc w:val="left"/>
      <w:pPr>
        <w:ind w:left="8394" w:hanging="360"/>
      </w:pPr>
      <w:rPr>
        <w:rFonts w:hint="default"/>
        <w:lang w:val="ro-RO" w:eastAsia="en-US" w:bidi="ar-SA"/>
      </w:rPr>
    </w:lvl>
    <w:lvl w:ilvl="8" w:tplc="9FFE7020">
      <w:numFmt w:val="bullet"/>
      <w:lvlText w:val="•"/>
      <w:lvlJc w:val="left"/>
      <w:pPr>
        <w:ind w:left="9376" w:hanging="360"/>
      </w:pPr>
      <w:rPr>
        <w:rFonts w:hint="default"/>
        <w:lang w:val="ro-RO" w:eastAsia="en-US" w:bidi="ar-SA"/>
      </w:rPr>
    </w:lvl>
  </w:abstractNum>
  <w:abstractNum w:abstractNumId="102" w15:restartNumberingAfterBreak="0">
    <w:nsid w:val="61752507"/>
    <w:multiLevelType w:val="multilevel"/>
    <w:tmpl w:val="00000000"/>
    <w:lvl w:ilvl="0">
      <w:start w:val="5"/>
      <w:numFmt w:val="upperRoman"/>
      <w:lvlText w:val="%1"/>
      <w:lvlJc w:val="left"/>
      <w:pPr>
        <w:ind w:left="1701" w:hanging="651"/>
      </w:pPr>
      <w:rPr>
        <w:rFonts w:hint="default"/>
        <w:lang w:val="ro-RO" w:eastAsia="en-US" w:bidi="ar-SA"/>
      </w:rPr>
    </w:lvl>
    <w:lvl w:ilvl="1">
      <w:start w:val="3"/>
      <w:numFmt w:val="decimal"/>
      <w:lvlText w:val="%1.%2"/>
      <w:lvlJc w:val="left"/>
      <w:pPr>
        <w:ind w:left="1701" w:hanging="651"/>
      </w:pPr>
      <w:rPr>
        <w:rFonts w:hint="default"/>
        <w:lang w:val="ro-RO" w:eastAsia="en-US" w:bidi="ar-SA"/>
      </w:rPr>
    </w:lvl>
    <w:lvl w:ilvl="2">
      <w:start w:val="1"/>
      <w:numFmt w:val="decimal"/>
      <w:lvlText w:val="%1.%2.%3"/>
      <w:lvlJc w:val="left"/>
      <w:pPr>
        <w:ind w:left="1701" w:hanging="651"/>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252" w:hanging="651"/>
      </w:pPr>
      <w:rPr>
        <w:rFonts w:hint="default"/>
        <w:lang w:val="ro-RO" w:eastAsia="en-US" w:bidi="ar-SA"/>
      </w:rPr>
    </w:lvl>
    <w:lvl w:ilvl="4">
      <w:numFmt w:val="bullet"/>
      <w:lvlText w:val="•"/>
      <w:lvlJc w:val="left"/>
      <w:pPr>
        <w:ind w:left="5102" w:hanging="651"/>
      </w:pPr>
      <w:rPr>
        <w:rFonts w:hint="default"/>
        <w:lang w:val="ro-RO" w:eastAsia="en-US" w:bidi="ar-SA"/>
      </w:rPr>
    </w:lvl>
    <w:lvl w:ilvl="5">
      <w:numFmt w:val="bullet"/>
      <w:lvlText w:val="•"/>
      <w:lvlJc w:val="left"/>
      <w:pPr>
        <w:ind w:left="5953" w:hanging="651"/>
      </w:pPr>
      <w:rPr>
        <w:rFonts w:hint="default"/>
        <w:lang w:val="ro-RO" w:eastAsia="en-US" w:bidi="ar-SA"/>
      </w:rPr>
    </w:lvl>
    <w:lvl w:ilvl="6">
      <w:numFmt w:val="bullet"/>
      <w:lvlText w:val="•"/>
      <w:lvlJc w:val="left"/>
      <w:pPr>
        <w:ind w:left="6804" w:hanging="651"/>
      </w:pPr>
      <w:rPr>
        <w:rFonts w:hint="default"/>
        <w:lang w:val="ro-RO" w:eastAsia="en-US" w:bidi="ar-SA"/>
      </w:rPr>
    </w:lvl>
    <w:lvl w:ilvl="7">
      <w:numFmt w:val="bullet"/>
      <w:lvlText w:val="•"/>
      <w:lvlJc w:val="left"/>
      <w:pPr>
        <w:ind w:left="7655" w:hanging="651"/>
      </w:pPr>
      <w:rPr>
        <w:rFonts w:hint="default"/>
        <w:lang w:val="ro-RO" w:eastAsia="en-US" w:bidi="ar-SA"/>
      </w:rPr>
    </w:lvl>
    <w:lvl w:ilvl="8">
      <w:numFmt w:val="bullet"/>
      <w:lvlText w:val="•"/>
      <w:lvlJc w:val="left"/>
      <w:pPr>
        <w:ind w:left="8505" w:hanging="651"/>
      </w:pPr>
      <w:rPr>
        <w:rFonts w:hint="default"/>
        <w:lang w:val="ro-RO" w:eastAsia="en-US" w:bidi="ar-SA"/>
      </w:rPr>
    </w:lvl>
  </w:abstractNum>
  <w:abstractNum w:abstractNumId="103" w15:restartNumberingAfterBreak="0">
    <w:nsid w:val="628E832B"/>
    <w:multiLevelType w:val="hybridMultilevel"/>
    <w:tmpl w:val="00000000"/>
    <w:lvl w:ilvl="0" w:tplc="CEF888D6">
      <w:start w:val="14"/>
      <w:numFmt w:val="decimal"/>
      <w:lvlText w:val="%1"/>
      <w:lvlJc w:val="left"/>
      <w:pPr>
        <w:ind w:left="895" w:hanging="131"/>
      </w:pPr>
      <w:rPr>
        <w:rFonts w:ascii="Calibri" w:eastAsia="Calibri" w:hAnsi="Calibri" w:cs="Calibri" w:hint="default"/>
        <w:b w:val="0"/>
        <w:bCs w:val="0"/>
        <w:i w:val="0"/>
        <w:iCs w:val="0"/>
        <w:color w:val="797766"/>
        <w:spacing w:val="0"/>
        <w:w w:val="124"/>
        <w:sz w:val="8"/>
        <w:szCs w:val="8"/>
        <w:lang w:val="ro-RO" w:eastAsia="en-US" w:bidi="ar-SA"/>
      </w:rPr>
    </w:lvl>
    <w:lvl w:ilvl="1" w:tplc="F7007BDA">
      <w:numFmt w:val="bullet"/>
      <w:lvlText w:val="•"/>
      <w:lvlJc w:val="left"/>
      <w:pPr>
        <w:ind w:left="1944" w:hanging="131"/>
      </w:pPr>
      <w:rPr>
        <w:rFonts w:hint="default"/>
        <w:lang w:val="ro-RO" w:eastAsia="en-US" w:bidi="ar-SA"/>
      </w:rPr>
    </w:lvl>
    <w:lvl w:ilvl="2" w:tplc="C0562498">
      <w:numFmt w:val="bullet"/>
      <w:lvlText w:val="•"/>
      <w:lvlJc w:val="left"/>
      <w:pPr>
        <w:ind w:left="2988" w:hanging="131"/>
      </w:pPr>
      <w:rPr>
        <w:rFonts w:hint="default"/>
        <w:lang w:val="ro-RO" w:eastAsia="en-US" w:bidi="ar-SA"/>
      </w:rPr>
    </w:lvl>
    <w:lvl w:ilvl="3" w:tplc="4CC23A06">
      <w:numFmt w:val="bullet"/>
      <w:lvlText w:val="•"/>
      <w:lvlJc w:val="left"/>
      <w:pPr>
        <w:ind w:left="4032" w:hanging="131"/>
      </w:pPr>
      <w:rPr>
        <w:rFonts w:hint="default"/>
        <w:lang w:val="ro-RO" w:eastAsia="en-US" w:bidi="ar-SA"/>
      </w:rPr>
    </w:lvl>
    <w:lvl w:ilvl="4" w:tplc="803CFB80">
      <w:numFmt w:val="bullet"/>
      <w:lvlText w:val="•"/>
      <w:lvlJc w:val="left"/>
      <w:pPr>
        <w:ind w:left="5076" w:hanging="131"/>
      </w:pPr>
      <w:rPr>
        <w:rFonts w:hint="default"/>
        <w:lang w:val="ro-RO" w:eastAsia="en-US" w:bidi="ar-SA"/>
      </w:rPr>
    </w:lvl>
    <w:lvl w:ilvl="5" w:tplc="1E8C5954">
      <w:numFmt w:val="bullet"/>
      <w:lvlText w:val="•"/>
      <w:lvlJc w:val="left"/>
      <w:pPr>
        <w:ind w:left="6120" w:hanging="131"/>
      </w:pPr>
      <w:rPr>
        <w:rFonts w:hint="default"/>
        <w:lang w:val="ro-RO" w:eastAsia="en-US" w:bidi="ar-SA"/>
      </w:rPr>
    </w:lvl>
    <w:lvl w:ilvl="6" w:tplc="4B4E796C">
      <w:numFmt w:val="bullet"/>
      <w:lvlText w:val="•"/>
      <w:lvlJc w:val="left"/>
      <w:pPr>
        <w:ind w:left="7164" w:hanging="131"/>
      </w:pPr>
      <w:rPr>
        <w:rFonts w:hint="default"/>
        <w:lang w:val="ro-RO" w:eastAsia="en-US" w:bidi="ar-SA"/>
      </w:rPr>
    </w:lvl>
    <w:lvl w:ilvl="7" w:tplc="B56EEEDE">
      <w:numFmt w:val="bullet"/>
      <w:lvlText w:val="•"/>
      <w:lvlJc w:val="left"/>
      <w:pPr>
        <w:ind w:left="8208" w:hanging="131"/>
      </w:pPr>
      <w:rPr>
        <w:rFonts w:hint="default"/>
        <w:lang w:val="ro-RO" w:eastAsia="en-US" w:bidi="ar-SA"/>
      </w:rPr>
    </w:lvl>
    <w:lvl w:ilvl="8" w:tplc="7E783724">
      <w:numFmt w:val="bullet"/>
      <w:lvlText w:val="•"/>
      <w:lvlJc w:val="left"/>
      <w:pPr>
        <w:ind w:left="9252" w:hanging="131"/>
      </w:pPr>
      <w:rPr>
        <w:rFonts w:hint="default"/>
        <w:lang w:val="ro-RO" w:eastAsia="en-US" w:bidi="ar-SA"/>
      </w:rPr>
    </w:lvl>
  </w:abstractNum>
  <w:abstractNum w:abstractNumId="104" w15:restartNumberingAfterBreak="0">
    <w:nsid w:val="651D5463"/>
    <w:multiLevelType w:val="hybridMultilevel"/>
    <w:tmpl w:val="355A26B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05" w15:restartNumberingAfterBreak="0">
    <w:nsid w:val="657F9B5C"/>
    <w:multiLevelType w:val="multilevel"/>
    <w:tmpl w:val="00000000"/>
    <w:lvl w:ilvl="0">
      <w:start w:val="7"/>
      <w:numFmt w:val="upperRoman"/>
      <w:lvlText w:val="%1"/>
      <w:lvlJc w:val="left"/>
      <w:pPr>
        <w:ind w:left="1280" w:hanging="1224"/>
      </w:pPr>
      <w:rPr>
        <w:rFonts w:hint="default"/>
        <w:lang w:val="ro-RO" w:eastAsia="en-US" w:bidi="ar-SA"/>
      </w:rPr>
    </w:lvl>
    <w:lvl w:ilvl="1">
      <w:start w:val="10"/>
      <w:numFmt w:val="decimal"/>
      <w:lvlText w:val="%1.%2"/>
      <w:lvlJc w:val="left"/>
      <w:pPr>
        <w:ind w:left="1280" w:hanging="1224"/>
      </w:pPr>
      <w:rPr>
        <w:rFonts w:hint="default"/>
        <w:lang w:val="ro-RO" w:eastAsia="en-US" w:bidi="ar-SA"/>
      </w:rPr>
    </w:lvl>
    <w:lvl w:ilvl="2">
      <w:start w:val="2"/>
      <w:numFmt w:val="decimal"/>
      <w:lvlText w:val="%1.%2.%3"/>
      <w:lvlJc w:val="left"/>
      <w:pPr>
        <w:ind w:left="1280" w:hanging="1224"/>
      </w:pPr>
      <w:rPr>
        <w:rFonts w:hint="default"/>
        <w:lang w:val="ro-RO" w:eastAsia="en-US" w:bidi="ar-SA"/>
      </w:rPr>
    </w:lvl>
    <w:lvl w:ilvl="3">
      <w:start w:val="3"/>
      <w:numFmt w:val="decimal"/>
      <w:lvlText w:val="%1.%2.%3.%4"/>
      <w:lvlJc w:val="left"/>
      <w:pPr>
        <w:ind w:left="1280" w:hanging="1224"/>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4850" w:hanging="1224"/>
      </w:pPr>
      <w:rPr>
        <w:rFonts w:hint="default"/>
        <w:lang w:val="ro-RO" w:eastAsia="en-US" w:bidi="ar-SA"/>
      </w:rPr>
    </w:lvl>
    <w:lvl w:ilvl="5">
      <w:numFmt w:val="bullet"/>
      <w:lvlText w:val="•"/>
      <w:lvlJc w:val="left"/>
      <w:pPr>
        <w:ind w:left="5743" w:hanging="1224"/>
      </w:pPr>
      <w:rPr>
        <w:rFonts w:hint="default"/>
        <w:lang w:val="ro-RO" w:eastAsia="en-US" w:bidi="ar-SA"/>
      </w:rPr>
    </w:lvl>
    <w:lvl w:ilvl="6">
      <w:numFmt w:val="bullet"/>
      <w:lvlText w:val="•"/>
      <w:lvlJc w:val="left"/>
      <w:pPr>
        <w:ind w:left="6636" w:hanging="1224"/>
      </w:pPr>
      <w:rPr>
        <w:rFonts w:hint="default"/>
        <w:lang w:val="ro-RO" w:eastAsia="en-US" w:bidi="ar-SA"/>
      </w:rPr>
    </w:lvl>
    <w:lvl w:ilvl="7">
      <w:numFmt w:val="bullet"/>
      <w:lvlText w:val="•"/>
      <w:lvlJc w:val="left"/>
      <w:pPr>
        <w:ind w:left="7529" w:hanging="1224"/>
      </w:pPr>
      <w:rPr>
        <w:rFonts w:hint="default"/>
        <w:lang w:val="ro-RO" w:eastAsia="en-US" w:bidi="ar-SA"/>
      </w:rPr>
    </w:lvl>
    <w:lvl w:ilvl="8">
      <w:numFmt w:val="bullet"/>
      <w:lvlText w:val="•"/>
      <w:lvlJc w:val="left"/>
      <w:pPr>
        <w:ind w:left="8421" w:hanging="1224"/>
      </w:pPr>
      <w:rPr>
        <w:rFonts w:hint="default"/>
        <w:lang w:val="ro-RO" w:eastAsia="en-US" w:bidi="ar-SA"/>
      </w:rPr>
    </w:lvl>
  </w:abstractNum>
  <w:abstractNum w:abstractNumId="106" w15:restartNumberingAfterBreak="0">
    <w:nsid w:val="66DD7D9A"/>
    <w:multiLevelType w:val="multilevel"/>
    <w:tmpl w:val="00000000"/>
    <w:lvl w:ilvl="0">
      <w:start w:val="7"/>
      <w:numFmt w:val="upperRoman"/>
      <w:lvlText w:val="%1"/>
      <w:lvlJc w:val="left"/>
      <w:pPr>
        <w:ind w:left="1347" w:hanging="1149"/>
      </w:pPr>
      <w:rPr>
        <w:rFonts w:hint="default"/>
        <w:lang w:val="ro-RO" w:eastAsia="en-US" w:bidi="ar-SA"/>
      </w:rPr>
    </w:lvl>
    <w:lvl w:ilvl="1">
      <w:start w:val="10"/>
      <w:numFmt w:val="decimal"/>
      <w:lvlText w:val="%1.%2"/>
      <w:lvlJc w:val="left"/>
      <w:pPr>
        <w:ind w:left="1347" w:hanging="1149"/>
      </w:pPr>
      <w:rPr>
        <w:rFonts w:hint="default"/>
        <w:lang w:val="ro-RO" w:eastAsia="en-US" w:bidi="ar-SA"/>
      </w:rPr>
    </w:lvl>
    <w:lvl w:ilvl="2">
      <w:start w:val="1"/>
      <w:numFmt w:val="decimal"/>
      <w:lvlText w:val="%1.%2.%3."/>
      <w:lvlJc w:val="left"/>
      <w:pPr>
        <w:ind w:left="1347" w:hanging="1149"/>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127" w:hanging="1149"/>
      </w:pPr>
      <w:rPr>
        <w:rFonts w:hint="default"/>
        <w:lang w:val="ro-RO" w:eastAsia="en-US" w:bidi="ar-SA"/>
      </w:rPr>
    </w:lvl>
    <w:lvl w:ilvl="4">
      <w:numFmt w:val="bullet"/>
      <w:lvlText w:val="•"/>
      <w:lvlJc w:val="left"/>
      <w:pPr>
        <w:ind w:left="5056" w:hanging="1149"/>
      </w:pPr>
      <w:rPr>
        <w:rFonts w:hint="default"/>
        <w:lang w:val="ro-RO" w:eastAsia="en-US" w:bidi="ar-SA"/>
      </w:rPr>
    </w:lvl>
    <w:lvl w:ilvl="5">
      <w:numFmt w:val="bullet"/>
      <w:lvlText w:val="•"/>
      <w:lvlJc w:val="left"/>
      <w:pPr>
        <w:ind w:left="5985" w:hanging="1149"/>
      </w:pPr>
      <w:rPr>
        <w:rFonts w:hint="default"/>
        <w:lang w:val="ro-RO" w:eastAsia="en-US" w:bidi="ar-SA"/>
      </w:rPr>
    </w:lvl>
    <w:lvl w:ilvl="6">
      <w:numFmt w:val="bullet"/>
      <w:lvlText w:val="•"/>
      <w:lvlJc w:val="left"/>
      <w:pPr>
        <w:ind w:left="6914" w:hanging="1149"/>
      </w:pPr>
      <w:rPr>
        <w:rFonts w:hint="default"/>
        <w:lang w:val="ro-RO" w:eastAsia="en-US" w:bidi="ar-SA"/>
      </w:rPr>
    </w:lvl>
    <w:lvl w:ilvl="7">
      <w:numFmt w:val="bullet"/>
      <w:lvlText w:val="•"/>
      <w:lvlJc w:val="left"/>
      <w:pPr>
        <w:ind w:left="7843" w:hanging="1149"/>
      </w:pPr>
      <w:rPr>
        <w:rFonts w:hint="default"/>
        <w:lang w:val="ro-RO" w:eastAsia="en-US" w:bidi="ar-SA"/>
      </w:rPr>
    </w:lvl>
    <w:lvl w:ilvl="8">
      <w:numFmt w:val="bullet"/>
      <w:lvlText w:val="•"/>
      <w:lvlJc w:val="left"/>
      <w:pPr>
        <w:ind w:left="8773" w:hanging="1149"/>
      </w:pPr>
      <w:rPr>
        <w:rFonts w:hint="default"/>
        <w:lang w:val="ro-RO" w:eastAsia="en-US" w:bidi="ar-SA"/>
      </w:rPr>
    </w:lvl>
  </w:abstractNum>
  <w:abstractNum w:abstractNumId="107" w15:restartNumberingAfterBreak="0">
    <w:nsid w:val="6772E19B"/>
    <w:multiLevelType w:val="hybridMultilevel"/>
    <w:tmpl w:val="00000000"/>
    <w:lvl w:ilvl="0" w:tplc="38D0D652">
      <w:numFmt w:val="bullet"/>
      <w:lvlText w:val="•"/>
      <w:lvlJc w:val="left"/>
      <w:pPr>
        <w:ind w:left="806" w:hanging="360"/>
      </w:pPr>
      <w:rPr>
        <w:rFonts w:ascii="Calibri" w:eastAsia="Calibri" w:hAnsi="Calibri" w:cs="Calibri" w:hint="default"/>
        <w:b w:val="0"/>
        <w:bCs w:val="0"/>
        <w:i w:val="0"/>
        <w:iCs w:val="0"/>
        <w:spacing w:val="0"/>
        <w:w w:val="92"/>
        <w:sz w:val="18"/>
        <w:szCs w:val="18"/>
        <w:lang w:val="ro-RO" w:eastAsia="en-US" w:bidi="ar-SA"/>
      </w:rPr>
    </w:lvl>
    <w:lvl w:ilvl="1" w:tplc="AE2EA7F4">
      <w:numFmt w:val="bullet"/>
      <w:lvlText w:val="•"/>
      <w:lvlJc w:val="left"/>
      <w:pPr>
        <w:ind w:left="1712" w:hanging="360"/>
      </w:pPr>
      <w:rPr>
        <w:rFonts w:hint="default"/>
        <w:lang w:val="ro-RO" w:eastAsia="en-US" w:bidi="ar-SA"/>
      </w:rPr>
    </w:lvl>
    <w:lvl w:ilvl="2" w:tplc="E8721538">
      <w:numFmt w:val="bullet"/>
      <w:lvlText w:val="•"/>
      <w:lvlJc w:val="left"/>
      <w:pPr>
        <w:ind w:left="2624" w:hanging="360"/>
      </w:pPr>
      <w:rPr>
        <w:rFonts w:hint="default"/>
        <w:lang w:val="ro-RO" w:eastAsia="en-US" w:bidi="ar-SA"/>
      </w:rPr>
    </w:lvl>
    <w:lvl w:ilvl="3" w:tplc="8BC800BE">
      <w:numFmt w:val="bullet"/>
      <w:lvlText w:val="•"/>
      <w:lvlJc w:val="left"/>
      <w:pPr>
        <w:ind w:left="3537" w:hanging="360"/>
      </w:pPr>
      <w:rPr>
        <w:rFonts w:hint="default"/>
        <w:lang w:val="ro-RO" w:eastAsia="en-US" w:bidi="ar-SA"/>
      </w:rPr>
    </w:lvl>
    <w:lvl w:ilvl="4" w:tplc="B5BC886C">
      <w:numFmt w:val="bullet"/>
      <w:lvlText w:val="•"/>
      <w:lvlJc w:val="left"/>
      <w:pPr>
        <w:ind w:left="4449" w:hanging="360"/>
      </w:pPr>
      <w:rPr>
        <w:rFonts w:hint="default"/>
        <w:lang w:val="ro-RO" w:eastAsia="en-US" w:bidi="ar-SA"/>
      </w:rPr>
    </w:lvl>
    <w:lvl w:ilvl="5" w:tplc="FF0E7E94">
      <w:numFmt w:val="bullet"/>
      <w:lvlText w:val="•"/>
      <w:lvlJc w:val="left"/>
      <w:pPr>
        <w:ind w:left="5361" w:hanging="360"/>
      </w:pPr>
      <w:rPr>
        <w:rFonts w:hint="default"/>
        <w:lang w:val="ro-RO" w:eastAsia="en-US" w:bidi="ar-SA"/>
      </w:rPr>
    </w:lvl>
    <w:lvl w:ilvl="6" w:tplc="9AAC2D10">
      <w:numFmt w:val="bullet"/>
      <w:lvlText w:val="•"/>
      <w:lvlJc w:val="left"/>
      <w:pPr>
        <w:ind w:left="6274" w:hanging="360"/>
      </w:pPr>
      <w:rPr>
        <w:rFonts w:hint="default"/>
        <w:lang w:val="ro-RO" w:eastAsia="en-US" w:bidi="ar-SA"/>
      </w:rPr>
    </w:lvl>
    <w:lvl w:ilvl="7" w:tplc="1FF42EF4">
      <w:numFmt w:val="bullet"/>
      <w:lvlText w:val="•"/>
      <w:lvlJc w:val="left"/>
      <w:pPr>
        <w:ind w:left="7186" w:hanging="360"/>
      </w:pPr>
      <w:rPr>
        <w:rFonts w:hint="default"/>
        <w:lang w:val="ro-RO" w:eastAsia="en-US" w:bidi="ar-SA"/>
      </w:rPr>
    </w:lvl>
    <w:lvl w:ilvl="8" w:tplc="CACC8F2E">
      <w:numFmt w:val="bullet"/>
      <w:lvlText w:val="•"/>
      <w:lvlJc w:val="left"/>
      <w:pPr>
        <w:ind w:left="8098" w:hanging="360"/>
      </w:pPr>
      <w:rPr>
        <w:rFonts w:hint="default"/>
        <w:lang w:val="ro-RO" w:eastAsia="en-US" w:bidi="ar-SA"/>
      </w:rPr>
    </w:lvl>
  </w:abstractNum>
  <w:abstractNum w:abstractNumId="108" w15:restartNumberingAfterBreak="0">
    <w:nsid w:val="6858A3FA"/>
    <w:multiLevelType w:val="hybridMultilevel"/>
    <w:tmpl w:val="00000000"/>
    <w:lvl w:ilvl="0" w:tplc="5AB2B762">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ADB0CE9A">
      <w:numFmt w:val="bullet"/>
      <w:lvlText w:val="•"/>
      <w:lvlJc w:val="left"/>
      <w:pPr>
        <w:ind w:left="1031" w:hanging="279"/>
      </w:pPr>
      <w:rPr>
        <w:rFonts w:hint="default"/>
        <w:lang w:val="ro-RO" w:eastAsia="en-US" w:bidi="ar-SA"/>
      </w:rPr>
    </w:lvl>
    <w:lvl w:ilvl="2" w:tplc="89EEE73E">
      <w:numFmt w:val="bullet"/>
      <w:lvlText w:val="•"/>
      <w:lvlJc w:val="left"/>
      <w:pPr>
        <w:ind w:left="1682" w:hanging="279"/>
      </w:pPr>
      <w:rPr>
        <w:rFonts w:hint="default"/>
        <w:lang w:val="ro-RO" w:eastAsia="en-US" w:bidi="ar-SA"/>
      </w:rPr>
    </w:lvl>
    <w:lvl w:ilvl="3" w:tplc="D2DCF298">
      <w:numFmt w:val="bullet"/>
      <w:lvlText w:val="•"/>
      <w:lvlJc w:val="left"/>
      <w:pPr>
        <w:ind w:left="2333" w:hanging="279"/>
      </w:pPr>
      <w:rPr>
        <w:rFonts w:hint="default"/>
        <w:lang w:val="ro-RO" w:eastAsia="en-US" w:bidi="ar-SA"/>
      </w:rPr>
    </w:lvl>
    <w:lvl w:ilvl="4" w:tplc="7B42FA82">
      <w:numFmt w:val="bullet"/>
      <w:lvlText w:val="•"/>
      <w:lvlJc w:val="left"/>
      <w:pPr>
        <w:ind w:left="2984" w:hanging="279"/>
      </w:pPr>
      <w:rPr>
        <w:rFonts w:hint="default"/>
        <w:lang w:val="ro-RO" w:eastAsia="en-US" w:bidi="ar-SA"/>
      </w:rPr>
    </w:lvl>
    <w:lvl w:ilvl="5" w:tplc="DDC8D43E">
      <w:numFmt w:val="bullet"/>
      <w:lvlText w:val="•"/>
      <w:lvlJc w:val="left"/>
      <w:pPr>
        <w:ind w:left="3636" w:hanging="279"/>
      </w:pPr>
      <w:rPr>
        <w:rFonts w:hint="default"/>
        <w:lang w:val="ro-RO" w:eastAsia="en-US" w:bidi="ar-SA"/>
      </w:rPr>
    </w:lvl>
    <w:lvl w:ilvl="6" w:tplc="FE267E36">
      <w:numFmt w:val="bullet"/>
      <w:lvlText w:val="•"/>
      <w:lvlJc w:val="left"/>
      <w:pPr>
        <w:ind w:left="4287" w:hanging="279"/>
      </w:pPr>
      <w:rPr>
        <w:rFonts w:hint="default"/>
        <w:lang w:val="ro-RO" w:eastAsia="en-US" w:bidi="ar-SA"/>
      </w:rPr>
    </w:lvl>
    <w:lvl w:ilvl="7" w:tplc="5C88577A">
      <w:numFmt w:val="bullet"/>
      <w:lvlText w:val="•"/>
      <w:lvlJc w:val="left"/>
      <w:pPr>
        <w:ind w:left="4938" w:hanging="279"/>
      </w:pPr>
      <w:rPr>
        <w:rFonts w:hint="default"/>
        <w:lang w:val="ro-RO" w:eastAsia="en-US" w:bidi="ar-SA"/>
      </w:rPr>
    </w:lvl>
    <w:lvl w:ilvl="8" w:tplc="621C570A">
      <w:numFmt w:val="bullet"/>
      <w:lvlText w:val="•"/>
      <w:lvlJc w:val="left"/>
      <w:pPr>
        <w:ind w:left="5589" w:hanging="279"/>
      </w:pPr>
      <w:rPr>
        <w:rFonts w:hint="default"/>
        <w:lang w:val="ro-RO" w:eastAsia="en-US" w:bidi="ar-SA"/>
      </w:rPr>
    </w:lvl>
  </w:abstractNum>
  <w:abstractNum w:abstractNumId="109" w15:restartNumberingAfterBreak="0">
    <w:nsid w:val="69A17137"/>
    <w:multiLevelType w:val="hybridMultilevel"/>
    <w:tmpl w:val="00000000"/>
    <w:lvl w:ilvl="0" w:tplc="0BCE2D9E">
      <w:numFmt w:val="bullet"/>
      <w:lvlText w:val="•"/>
      <w:lvlJc w:val="left"/>
      <w:pPr>
        <w:ind w:left="2190" w:hanging="161"/>
      </w:pPr>
      <w:rPr>
        <w:rFonts w:ascii="Calibri" w:eastAsia="Calibri" w:hAnsi="Calibri" w:cs="Calibri" w:hint="default"/>
        <w:b w:val="0"/>
        <w:bCs w:val="0"/>
        <w:i w:val="0"/>
        <w:iCs w:val="0"/>
        <w:spacing w:val="0"/>
        <w:w w:val="86"/>
        <w:sz w:val="18"/>
        <w:szCs w:val="18"/>
        <w:lang w:val="ro-RO" w:eastAsia="en-US" w:bidi="ar-SA"/>
      </w:rPr>
    </w:lvl>
    <w:lvl w:ilvl="1" w:tplc="81948118">
      <w:numFmt w:val="bullet"/>
      <w:lvlText w:val="•"/>
      <w:lvlJc w:val="left"/>
      <w:pPr>
        <w:ind w:left="2909" w:hanging="161"/>
      </w:pPr>
      <w:rPr>
        <w:rFonts w:hint="default"/>
        <w:lang w:val="ro-RO" w:eastAsia="en-US" w:bidi="ar-SA"/>
      </w:rPr>
    </w:lvl>
    <w:lvl w:ilvl="2" w:tplc="0562BBBA">
      <w:numFmt w:val="bullet"/>
      <w:lvlText w:val="•"/>
      <w:lvlJc w:val="left"/>
      <w:pPr>
        <w:ind w:left="3619" w:hanging="161"/>
      </w:pPr>
      <w:rPr>
        <w:rFonts w:hint="default"/>
        <w:lang w:val="ro-RO" w:eastAsia="en-US" w:bidi="ar-SA"/>
      </w:rPr>
    </w:lvl>
    <w:lvl w:ilvl="3" w:tplc="8646D52A">
      <w:numFmt w:val="bullet"/>
      <w:lvlText w:val="•"/>
      <w:lvlJc w:val="left"/>
      <w:pPr>
        <w:ind w:left="4329" w:hanging="161"/>
      </w:pPr>
      <w:rPr>
        <w:rFonts w:hint="default"/>
        <w:lang w:val="ro-RO" w:eastAsia="en-US" w:bidi="ar-SA"/>
      </w:rPr>
    </w:lvl>
    <w:lvl w:ilvl="4" w:tplc="4740DC5C">
      <w:numFmt w:val="bullet"/>
      <w:lvlText w:val="•"/>
      <w:lvlJc w:val="left"/>
      <w:pPr>
        <w:ind w:left="5039" w:hanging="161"/>
      </w:pPr>
      <w:rPr>
        <w:rFonts w:hint="default"/>
        <w:lang w:val="ro-RO" w:eastAsia="en-US" w:bidi="ar-SA"/>
      </w:rPr>
    </w:lvl>
    <w:lvl w:ilvl="5" w:tplc="47EC84D0">
      <w:numFmt w:val="bullet"/>
      <w:lvlText w:val="•"/>
      <w:lvlJc w:val="left"/>
      <w:pPr>
        <w:ind w:left="5749" w:hanging="161"/>
      </w:pPr>
      <w:rPr>
        <w:rFonts w:hint="default"/>
        <w:lang w:val="ro-RO" w:eastAsia="en-US" w:bidi="ar-SA"/>
      </w:rPr>
    </w:lvl>
    <w:lvl w:ilvl="6" w:tplc="9208A810">
      <w:numFmt w:val="bullet"/>
      <w:lvlText w:val="•"/>
      <w:lvlJc w:val="left"/>
      <w:pPr>
        <w:ind w:left="6458" w:hanging="161"/>
      </w:pPr>
      <w:rPr>
        <w:rFonts w:hint="default"/>
        <w:lang w:val="ro-RO" w:eastAsia="en-US" w:bidi="ar-SA"/>
      </w:rPr>
    </w:lvl>
    <w:lvl w:ilvl="7" w:tplc="DFA2E28A">
      <w:numFmt w:val="bullet"/>
      <w:lvlText w:val="•"/>
      <w:lvlJc w:val="left"/>
      <w:pPr>
        <w:ind w:left="7168" w:hanging="161"/>
      </w:pPr>
      <w:rPr>
        <w:rFonts w:hint="default"/>
        <w:lang w:val="ro-RO" w:eastAsia="en-US" w:bidi="ar-SA"/>
      </w:rPr>
    </w:lvl>
    <w:lvl w:ilvl="8" w:tplc="8564E262">
      <w:numFmt w:val="bullet"/>
      <w:lvlText w:val="•"/>
      <w:lvlJc w:val="left"/>
      <w:pPr>
        <w:ind w:left="7878" w:hanging="161"/>
      </w:pPr>
      <w:rPr>
        <w:rFonts w:hint="default"/>
        <w:lang w:val="ro-RO" w:eastAsia="en-US" w:bidi="ar-SA"/>
      </w:rPr>
    </w:lvl>
  </w:abstractNum>
  <w:abstractNum w:abstractNumId="110" w15:restartNumberingAfterBreak="0">
    <w:nsid w:val="69C91766"/>
    <w:multiLevelType w:val="hybridMultilevel"/>
    <w:tmpl w:val="966E5D5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11" w15:restartNumberingAfterBreak="0">
    <w:nsid w:val="6A6EB4EF"/>
    <w:multiLevelType w:val="hybridMultilevel"/>
    <w:tmpl w:val="00000000"/>
    <w:lvl w:ilvl="0" w:tplc="E08A8C9E">
      <w:start w:val="1"/>
      <w:numFmt w:val="upperRoman"/>
      <w:lvlText w:val="%1."/>
      <w:lvlJc w:val="left"/>
      <w:pPr>
        <w:ind w:left="1514" w:hanging="524"/>
        <w:jc w:val="right"/>
      </w:pPr>
      <w:rPr>
        <w:rFonts w:ascii="Calibri" w:eastAsia="Calibri" w:hAnsi="Calibri" w:cs="Calibri" w:hint="default"/>
        <w:b/>
        <w:bCs/>
        <w:i w:val="0"/>
        <w:iCs w:val="0"/>
        <w:spacing w:val="0"/>
        <w:w w:val="169"/>
        <w:sz w:val="18"/>
        <w:szCs w:val="18"/>
        <w:lang w:val="ro-RO" w:eastAsia="en-US" w:bidi="ar-SA"/>
      </w:rPr>
    </w:lvl>
    <w:lvl w:ilvl="1" w:tplc="F4D06AB6">
      <w:numFmt w:val="bullet"/>
      <w:lvlText w:val="•"/>
      <w:lvlJc w:val="left"/>
      <w:pPr>
        <w:ind w:left="1514" w:hanging="360"/>
      </w:pPr>
      <w:rPr>
        <w:rFonts w:ascii="Calibri" w:eastAsia="Calibri" w:hAnsi="Calibri" w:cs="Calibri" w:hint="default"/>
        <w:b w:val="0"/>
        <w:bCs w:val="0"/>
        <w:i w:val="0"/>
        <w:iCs w:val="0"/>
        <w:spacing w:val="0"/>
        <w:w w:val="92"/>
        <w:sz w:val="18"/>
        <w:szCs w:val="18"/>
        <w:lang w:val="ro-RO" w:eastAsia="en-US" w:bidi="ar-SA"/>
      </w:rPr>
    </w:lvl>
    <w:lvl w:ilvl="2" w:tplc="4316F8F0">
      <w:numFmt w:val="bullet"/>
      <w:lvlText w:val="•"/>
      <w:lvlJc w:val="left"/>
      <w:pPr>
        <w:ind w:left="3484" w:hanging="360"/>
      </w:pPr>
      <w:rPr>
        <w:rFonts w:hint="default"/>
        <w:lang w:val="ro-RO" w:eastAsia="en-US" w:bidi="ar-SA"/>
      </w:rPr>
    </w:lvl>
    <w:lvl w:ilvl="3" w:tplc="CB5C3694">
      <w:numFmt w:val="bullet"/>
      <w:lvlText w:val="•"/>
      <w:lvlJc w:val="left"/>
      <w:pPr>
        <w:ind w:left="4466" w:hanging="360"/>
      </w:pPr>
      <w:rPr>
        <w:rFonts w:hint="default"/>
        <w:lang w:val="ro-RO" w:eastAsia="en-US" w:bidi="ar-SA"/>
      </w:rPr>
    </w:lvl>
    <w:lvl w:ilvl="4" w:tplc="1D3E268C">
      <w:numFmt w:val="bullet"/>
      <w:lvlText w:val="•"/>
      <w:lvlJc w:val="left"/>
      <w:pPr>
        <w:ind w:left="5448" w:hanging="360"/>
      </w:pPr>
      <w:rPr>
        <w:rFonts w:hint="default"/>
        <w:lang w:val="ro-RO" w:eastAsia="en-US" w:bidi="ar-SA"/>
      </w:rPr>
    </w:lvl>
    <w:lvl w:ilvl="5" w:tplc="2174CB1C">
      <w:numFmt w:val="bullet"/>
      <w:lvlText w:val="•"/>
      <w:lvlJc w:val="left"/>
      <w:pPr>
        <w:ind w:left="6430" w:hanging="360"/>
      </w:pPr>
      <w:rPr>
        <w:rFonts w:hint="default"/>
        <w:lang w:val="ro-RO" w:eastAsia="en-US" w:bidi="ar-SA"/>
      </w:rPr>
    </w:lvl>
    <w:lvl w:ilvl="6" w:tplc="87AE9DAE">
      <w:numFmt w:val="bullet"/>
      <w:lvlText w:val="•"/>
      <w:lvlJc w:val="left"/>
      <w:pPr>
        <w:ind w:left="7412" w:hanging="360"/>
      </w:pPr>
      <w:rPr>
        <w:rFonts w:hint="default"/>
        <w:lang w:val="ro-RO" w:eastAsia="en-US" w:bidi="ar-SA"/>
      </w:rPr>
    </w:lvl>
    <w:lvl w:ilvl="7" w:tplc="A3429B7A">
      <w:numFmt w:val="bullet"/>
      <w:lvlText w:val="•"/>
      <w:lvlJc w:val="left"/>
      <w:pPr>
        <w:ind w:left="8394" w:hanging="360"/>
      </w:pPr>
      <w:rPr>
        <w:rFonts w:hint="default"/>
        <w:lang w:val="ro-RO" w:eastAsia="en-US" w:bidi="ar-SA"/>
      </w:rPr>
    </w:lvl>
    <w:lvl w:ilvl="8" w:tplc="428A30B0">
      <w:numFmt w:val="bullet"/>
      <w:lvlText w:val="•"/>
      <w:lvlJc w:val="left"/>
      <w:pPr>
        <w:ind w:left="9376" w:hanging="360"/>
      </w:pPr>
      <w:rPr>
        <w:rFonts w:hint="default"/>
        <w:lang w:val="ro-RO" w:eastAsia="en-US" w:bidi="ar-SA"/>
      </w:rPr>
    </w:lvl>
  </w:abstractNum>
  <w:abstractNum w:abstractNumId="112" w15:restartNumberingAfterBreak="0">
    <w:nsid w:val="6B3F5658"/>
    <w:multiLevelType w:val="hybridMultilevel"/>
    <w:tmpl w:val="00000000"/>
    <w:lvl w:ilvl="0" w:tplc="7F3ED93C">
      <w:numFmt w:val="bullet"/>
      <w:lvlText w:val="•"/>
      <w:lvlJc w:val="left"/>
      <w:pPr>
        <w:ind w:left="826" w:hanging="360"/>
      </w:pPr>
      <w:rPr>
        <w:rFonts w:ascii="Calibri" w:eastAsia="Calibri" w:hAnsi="Calibri" w:cs="Calibri" w:hint="default"/>
        <w:b w:val="0"/>
        <w:bCs w:val="0"/>
        <w:i w:val="0"/>
        <w:iCs w:val="0"/>
        <w:spacing w:val="0"/>
        <w:w w:val="91"/>
        <w:sz w:val="20"/>
        <w:szCs w:val="20"/>
        <w:lang w:val="ro-RO" w:eastAsia="en-US" w:bidi="ar-SA"/>
      </w:rPr>
    </w:lvl>
    <w:lvl w:ilvl="1" w:tplc="94F4F89E">
      <w:numFmt w:val="bullet"/>
      <w:lvlText w:val="•"/>
      <w:lvlJc w:val="left"/>
      <w:pPr>
        <w:ind w:left="1472" w:hanging="360"/>
      </w:pPr>
      <w:rPr>
        <w:rFonts w:hint="default"/>
        <w:lang w:val="ro-RO" w:eastAsia="en-US" w:bidi="ar-SA"/>
      </w:rPr>
    </w:lvl>
    <w:lvl w:ilvl="2" w:tplc="7618F638">
      <w:numFmt w:val="bullet"/>
      <w:lvlText w:val="•"/>
      <w:lvlJc w:val="left"/>
      <w:pPr>
        <w:ind w:left="2125" w:hanging="360"/>
      </w:pPr>
      <w:rPr>
        <w:rFonts w:hint="default"/>
        <w:lang w:val="ro-RO" w:eastAsia="en-US" w:bidi="ar-SA"/>
      </w:rPr>
    </w:lvl>
    <w:lvl w:ilvl="3" w:tplc="80220E78">
      <w:numFmt w:val="bullet"/>
      <w:lvlText w:val="•"/>
      <w:lvlJc w:val="left"/>
      <w:pPr>
        <w:ind w:left="2778" w:hanging="360"/>
      </w:pPr>
      <w:rPr>
        <w:rFonts w:hint="default"/>
        <w:lang w:val="ro-RO" w:eastAsia="en-US" w:bidi="ar-SA"/>
      </w:rPr>
    </w:lvl>
    <w:lvl w:ilvl="4" w:tplc="7E4A65C4">
      <w:numFmt w:val="bullet"/>
      <w:lvlText w:val="•"/>
      <w:lvlJc w:val="left"/>
      <w:pPr>
        <w:ind w:left="3430" w:hanging="360"/>
      </w:pPr>
      <w:rPr>
        <w:rFonts w:hint="default"/>
        <w:lang w:val="ro-RO" w:eastAsia="en-US" w:bidi="ar-SA"/>
      </w:rPr>
    </w:lvl>
    <w:lvl w:ilvl="5" w:tplc="75E439D8">
      <w:numFmt w:val="bullet"/>
      <w:lvlText w:val="•"/>
      <w:lvlJc w:val="left"/>
      <w:pPr>
        <w:ind w:left="4083" w:hanging="360"/>
      </w:pPr>
      <w:rPr>
        <w:rFonts w:hint="default"/>
        <w:lang w:val="ro-RO" w:eastAsia="en-US" w:bidi="ar-SA"/>
      </w:rPr>
    </w:lvl>
    <w:lvl w:ilvl="6" w:tplc="6DD4EE02">
      <w:numFmt w:val="bullet"/>
      <w:lvlText w:val="•"/>
      <w:lvlJc w:val="left"/>
      <w:pPr>
        <w:ind w:left="4736" w:hanging="360"/>
      </w:pPr>
      <w:rPr>
        <w:rFonts w:hint="default"/>
        <w:lang w:val="ro-RO" w:eastAsia="en-US" w:bidi="ar-SA"/>
      </w:rPr>
    </w:lvl>
    <w:lvl w:ilvl="7" w:tplc="8864DA30">
      <w:numFmt w:val="bullet"/>
      <w:lvlText w:val="•"/>
      <w:lvlJc w:val="left"/>
      <w:pPr>
        <w:ind w:left="5388" w:hanging="360"/>
      </w:pPr>
      <w:rPr>
        <w:rFonts w:hint="default"/>
        <w:lang w:val="ro-RO" w:eastAsia="en-US" w:bidi="ar-SA"/>
      </w:rPr>
    </w:lvl>
    <w:lvl w:ilvl="8" w:tplc="192AB496">
      <w:numFmt w:val="bullet"/>
      <w:lvlText w:val="•"/>
      <w:lvlJc w:val="left"/>
      <w:pPr>
        <w:ind w:left="6041" w:hanging="360"/>
      </w:pPr>
      <w:rPr>
        <w:rFonts w:hint="default"/>
        <w:lang w:val="ro-RO" w:eastAsia="en-US" w:bidi="ar-SA"/>
      </w:rPr>
    </w:lvl>
  </w:abstractNum>
  <w:abstractNum w:abstractNumId="113" w15:restartNumberingAfterBreak="0">
    <w:nsid w:val="6B713A96"/>
    <w:multiLevelType w:val="hybridMultilevel"/>
    <w:tmpl w:val="00000000"/>
    <w:lvl w:ilvl="0" w:tplc="5A1A129E">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867221F4">
      <w:numFmt w:val="bullet"/>
      <w:lvlText w:val="•"/>
      <w:lvlJc w:val="left"/>
      <w:pPr>
        <w:ind w:left="1694" w:hanging="360"/>
      </w:pPr>
      <w:rPr>
        <w:rFonts w:hint="default"/>
        <w:lang w:val="ro-RO" w:eastAsia="en-US" w:bidi="ar-SA"/>
      </w:rPr>
    </w:lvl>
    <w:lvl w:ilvl="2" w:tplc="D50241A0">
      <w:numFmt w:val="bullet"/>
      <w:lvlText w:val="•"/>
      <w:lvlJc w:val="left"/>
      <w:pPr>
        <w:ind w:left="2608" w:hanging="360"/>
      </w:pPr>
      <w:rPr>
        <w:rFonts w:hint="default"/>
        <w:lang w:val="ro-RO" w:eastAsia="en-US" w:bidi="ar-SA"/>
      </w:rPr>
    </w:lvl>
    <w:lvl w:ilvl="3" w:tplc="EE12B10C">
      <w:numFmt w:val="bullet"/>
      <w:lvlText w:val="•"/>
      <w:lvlJc w:val="left"/>
      <w:pPr>
        <w:ind w:left="3523" w:hanging="360"/>
      </w:pPr>
      <w:rPr>
        <w:rFonts w:hint="default"/>
        <w:lang w:val="ro-RO" w:eastAsia="en-US" w:bidi="ar-SA"/>
      </w:rPr>
    </w:lvl>
    <w:lvl w:ilvl="4" w:tplc="8CD0722A">
      <w:numFmt w:val="bullet"/>
      <w:lvlText w:val="•"/>
      <w:lvlJc w:val="left"/>
      <w:pPr>
        <w:ind w:left="4437" w:hanging="360"/>
      </w:pPr>
      <w:rPr>
        <w:rFonts w:hint="default"/>
        <w:lang w:val="ro-RO" w:eastAsia="en-US" w:bidi="ar-SA"/>
      </w:rPr>
    </w:lvl>
    <w:lvl w:ilvl="5" w:tplc="3384B8EA">
      <w:numFmt w:val="bullet"/>
      <w:lvlText w:val="•"/>
      <w:lvlJc w:val="left"/>
      <w:pPr>
        <w:ind w:left="5351" w:hanging="360"/>
      </w:pPr>
      <w:rPr>
        <w:rFonts w:hint="default"/>
        <w:lang w:val="ro-RO" w:eastAsia="en-US" w:bidi="ar-SA"/>
      </w:rPr>
    </w:lvl>
    <w:lvl w:ilvl="6" w:tplc="9DF4078E">
      <w:numFmt w:val="bullet"/>
      <w:lvlText w:val="•"/>
      <w:lvlJc w:val="left"/>
      <w:pPr>
        <w:ind w:left="6266" w:hanging="360"/>
      </w:pPr>
      <w:rPr>
        <w:rFonts w:hint="default"/>
        <w:lang w:val="ro-RO" w:eastAsia="en-US" w:bidi="ar-SA"/>
      </w:rPr>
    </w:lvl>
    <w:lvl w:ilvl="7" w:tplc="2356ED52">
      <w:numFmt w:val="bullet"/>
      <w:lvlText w:val="•"/>
      <w:lvlJc w:val="left"/>
      <w:pPr>
        <w:ind w:left="7180" w:hanging="360"/>
      </w:pPr>
      <w:rPr>
        <w:rFonts w:hint="default"/>
        <w:lang w:val="ro-RO" w:eastAsia="en-US" w:bidi="ar-SA"/>
      </w:rPr>
    </w:lvl>
    <w:lvl w:ilvl="8" w:tplc="12F0F2CA">
      <w:numFmt w:val="bullet"/>
      <w:lvlText w:val="•"/>
      <w:lvlJc w:val="left"/>
      <w:pPr>
        <w:ind w:left="8094" w:hanging="360"/>
      </w:pPr>
      <w:rPr>
        <w:rFonts w:hint="default"/>
        <w:lang w:val="ro-RO" w:eastAsia="en-US" w:bidi="ar-SA"/>
      </w:rPr>
    </w:lvl>
  </w:abstractNum>
  <w:abstractNum w:abstractNumId="114" w15:restartNumberingAfterBreak="0">
    <w:nsid w:val="6BF84C76"/>
    <w:multiLevelType w:val="hybridMultilevel"/>
    <w:tmpl w:val="FE466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D36E285"/>
    <w:multiLevelType w:val="hybridMultilevel"/>
    <w:tmpl w:val="00000000"/>
    <w:lvl w:ilvl="0" w:tplc="ED569242">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671C1B08">
      <w:numFmt w:val="bullet"/>
      <w:lvlText w:val="•"/>
      <w:lvlJc w:val="left"/>
      <w:pPr>
        <w:ind w:left="2927" w:hanging="161"/>
      </w:pPr>
      <w:rPr>
        <w:rFonts w:hint="default"/>
        <w:lang w:val="ro-RO" w:eastAsia="en-US" w:bidi="ar-SA"/>
      </w:rPr>
    </w:lvl>
    <w:lvl w:ilvl="2" w:tplc="818EBFAA">
      <w:numFmt w:val="bullet"/>
      <w:lvlText w:val="•"/>
      <w:lvlJc w:val="left"/>
      <w:pPr>
        <w:ind w:left="3635" w:hanging="161"/>
      </w:pPr>
      <w:rPr>
        <w:rFonts w:hint="default"/>
        <w:lang w:val="ro-RO" w:eastAsia="en-US" w:bidi="ar-SA"/>
      </w:rPr>
    </w:lvl>
    <w:lvl w:ilvl="3" w:tplc="8B68873A">
      <w:numFmt w:val="bullet"/>
      <w:lvlText w:val="•"/>
      <w:lvlJc w:val="left"/>
      <w:pPr>
        <w:ind w:left="4343" w:hanging="161"/>
      </w:pPr>
      <w:rPr>
        <w:rFonts w:hint="default"/>
        <w:lang w:val="ro-RO" w:eastAsia="en-US" w:bidi="ar-SA"/>
      </w:rPr>
    </w:lvl>
    <w:lvl w:ilvl="4" w:tplc="23DAE77E">
      <w:numFmt w:val="bullet"/>
      <w:lvlText w:val="•"/>
      <w:lvlJc w:val="left"/>
      <w:pPr>
        <w:ind w:left="5051" w:hanging="161"/>
      </w:pPr>
      <w:rPr>
        <w:rFonts w:hint="default"/>
        <w:lang w:val="ro-RO" w:eastAsia="en-US" w:bidi="ar-SA"/>
      </w:rPr>
    </w:lvl>
    <w:lvl w:ilvl="5" w:tplc="7430B3C2">
      <w:numFmt w:val="bullet"/>
      <w:lvlText w:val="•"/>
      <w:lvlJc w:val="left"/>
      <w:pPr>
        <w:ind w:left="5759" w:hanging="161"/>
      </w:pPr>
      <w:rPr>
        <w:rFonts w:hint="default"/>
        <w:lang w:val="ro-RO" w:eastAsia="en-US" w:bidi="ar-SA"/>
      </w:rPr>
    </w:lvl>
    <w:lvl w:ilvl="6" w:tplc="927E7CAE">
      <w:numFmt w:val="bullet"/>
      <w:lvlText w:val="•"/>
      <w:lvlJc w:val="left"/>
      <w:pPr>
        <w:ind w:left="6466" w:hanging="161"/>
      </w:pPr>
      <w:rPr>
        <w:rFonts w:hint="default"/>
        <w:lang w:val="ro-RO" w:eastAsia="en-US" w:bidi="ar-SA"/>
      </w:rPr>
    </w:lvl>
    <w:lvl w:ilvl="7" w:tplc="7F24F236">
      <w:numFmt w:val="bullet"/>
      <w:lvlText w:val="•"/>
      <w:lvlJc w:val="left"/>
      <w:pPr>
        <w:ind w:left="7174" w:hanging="161"/>
      </w:pPr>
      <w:rPr>
        <w:rFonts w:hint="default"/>
        <w:lang w:val="ro-RO" w:eastAsia="en-US" w:bidi="ar-SA"/>
      </w:rPr>
    </w:lvl>
    <w:lvl w:ilvl="8" w:tplc="9E64F284">
      <w:numFmt w:val="bullet"/>
      <w:lvlText w:val="•"/>
      <w:lvlJc w:val="left"/>
      <w:pPr>
        <w:ind w:left="7882" w:hanging="161"/>
      </w:pPr>
      <w:rPr>
        <w:rFonts w:hint="default"/>
        <w:lang w:val="ro-RO" w:eastAsia="en-US" w:bidi="ar-SA"/>
      </w:rPr>
    </w:lvl>
  </w:abstractNum>
  <w:abstractNum w:abstractNumId="116" w15:restartNumberingAfterBreak="0">
    <w:nsid w:val="6E6D64D6"/>
    <w:multiLevelType w:val="hybridMultilevel"/>
    <w:tmpl w:val="00000000"/>
    <w:lvl w:ilvl="0" w:tplc="9036EC78">
      <w:numFmt w:val="bullet"/>
      <w:lvlText w:val="•"/>
      <w:lvlJc w:val="left"/>
      <w:pPr>
        <w:ind w:left="797" w:hanging="360"/>
      </w:pPr>
      <w:rPr>
        <w:rFonts w:ascii="Calibri" w:eastAsia="Calibri" w:hAnsi="Calibri" w:cs="Calibri" w:hint="default"/>
        <w:spacing w:val="0"/>
        <w:w w:val="92"/>
        <w:lang w:val="ro-RO" w:eastAsia="en-US" w:bidi="ar-SA"/>
      </w:rPr>
    </w:lvl>
    <w:lvl w:ilvl="1" w:tplc="59EACDA2">
      <w:numFmt w:val="bullet"/>
      <w:lvlText w:val="•"/>
      <w:lvlJc w:val="left"/>
      <w:pPr>
        <w:ind w:left="1684" w:hanging="360"/>
      </w:pPr>
      <w:rPr>
        <w:rFonts w:hint="default"/>
        <w:lang w:val="ro-RO" w:eastAsia="en-US" w:bidi="ar-SA"/>
      </w:rPr>
    </w:lvl>
    <w:lvl w:ilvl="2" w:tplc="4D32D8AE">
      <w:numFmt w:val="bullet"/>
      <w:lvlText w:val="•"/>
      <w:lvlJc w:val="left"/>
      <w:pPr>
        <w:ind w:left="2568" w:hanging="360"/>
      </w:pPr>
      <w:rPr>
        <w:rFonts w:hint="default"/>
        <w:lang w:val="ro-RO" w:eastAsia="en-US" w:bidi="ar-SA"/>
      </w:rPr>
    </w:lvl>
    <w:lvl w:ilvl="3" w:tplc="1384F124">
      <w:numFmt w:val="bullet"/>
      <w:lvlText w:val="•"/>
      <w:lvlJc w:val="left"/>
      <w:pPr>
        <w:ind w:left="3452" w:hanging="360"/>
      </w:pPr>
      <w:rPr>
        <w:rFonts w:hint="default"/>
        <w:lang w:val="ro-RO" w:eastAsia="en-US" w:bidi="ar-SA"/>
      </w:rPr>
    </w:lvl>
    <w:lvl w:ilvl="4" w:tplc="B1BE4170">
      <w:numFmt w:val="bullet"/>
      <w:lvlText w:val="•"/>
      <w:lvlJc w:val="left"/>
      <w:pPr>
        <w:ind w:left="4336" w:hanging="360"/>
      </w:pPr>
      <w:rPr>
        <w:rFonts w:hint="default"/>
        <w:lang w:val="ro-RO" w:eastAsia="en-US" w:bidi="ar-SA"/>
      </w:rPr>
    </w:lvl>
    <w:lvl w:ilvl="5" w:tplc="DD4651A0">
      <w:numFmt w:val="bullet"/>
      <w:lvlText w:val="•"/>
      <w:lvlJc w:val="left"/>
      <w:pPr>
        <w:ind w:left="5220" w:hanging="360"/>
      </w:pPr>
      <w:rPr>
        <w:rFonts w:hint="default"/>
        <w:lang w:val="ro-RO" w:eastAsia="en-US" w:bidi="ar-SA"/>
      </w:rPr>
    </w:lvl>
    <w:lvl w:ilvl="6" w:tplc="EC4EF276">
      <w:numFmt w:val="bullet"/>
      <w:lvlText w:val="•"/>
      <w:lvlJc w:val="left"/>
      <w:pPr>
        <w:ind w:left="6104" w:hanging="360"/>
      </w:pPr>
      <w:rPr>
        <w:rFonts w:hint="default"/>
        <w:lang w:val="ro-RO" w:eastAsia="en-US" w:bidi="ar-SA"/>
      </w:rPr>
    </w:lvl>
    <w:lvl w:ilvl="7" w:tplc="44F6EB06">
      <w:numFmt w:val="bullet"/>
      <w:lvlText w:val="•"/>
      <w:lvlJc w:val="left"/>
      <w:pPr>
        <w:ind w:left="6988" w:hanging="360"/>
      </w:pPr>
      <w:rPr>
        <w:rFonts w:hint="default"/>
        <w:lang w:val="ro-RO" w:eastAsia="en-US" w:bidi="ar-SA"/>
      </w:rPr>
    </w:lvl>
    <w:lvl w:ilvl="8" w:tplc="D020EDBE">
      <w:numFmt w:val="bullet"/>
      <w:lvlText w:val="•"/>
      <w:lvlJc w:val="left"/>
      <w:pPr>
        <w:ind w:left="7872" w:hanging="360"/>
      </w:pPr>
      <w:rPr>
        <w:rFonts w:hint="default"/>
        <w:lang w:val="ro-RO" w:eastAsia="en-US" w:bidi="ar-SA"/>
      </w:rPr>
    </w:lvl>
  </w:abstractNum>
  <w:abstractNum w:abstractNumId="117" w15:restartNumberingAfterBreak="0">
    <w:nsid w:val="6E975ACE"/>
    <w:multiLevelType w:val="hybridMultilevel"/>
    <w:tmpl w:val="D50EF3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6F6740C8"/>
    <w:multiLevelType w:val="hybridMultilevel"/>
    <w:tmpl w:val="00000000"/>
    <w:lvl w:ilvl="0" w:tplc="6F383790">
      <w:numFmt w:val="bullet"/>
      <w:lvlText w:val="•"/>
      <w:lvlJc w:val="left"/>
      <w:pPr>
        <w:ind w:left="276" w:hanging="168"/>
      </w:pPr>
      <w:rPr>
        <w:rFonts w:ascii="Calibri" w:eastAsia="Calibri" w:hAnsi="Calibri" w:cs="Calibri" w:hint="default"/>
        <w:b w:val="0"/>
        <w:bCs w:val="0"/>
        <w:i w:val="0"/>
        <w:iCs w:val="0"/>
        <w:spacing w:val="0"/>
        <w:w w:val="92"/>
        <w:sz w:val="16"/>
        <w:szCs w:val="16"/>
        <w:lang w:val="ro-RO" w:eastAsia="en-US" w:bidi="ar-SA"/>
      </w:rPr>
    </w:lvl>
    <w:lvl w:ilvl="1" w:tplc="04220A22">
      <w:numFmt w:val="bullet"/>
      <w:lvlText w:val="•"/>
      <w:lvlJc w:val="left"/>
      <w:pPr>
        <w:ind w:left="583" w:hanging="168"/>
      </w:pPr>
      <w:rPr>
        <w:rFonts w:hint="default"/>
        <w:lang w:val="ro-RO" w:eastAsia="en-US" w:bidi="ar-SA"/>
      </w:rPr>
    </w:lvl>
    <w:lvl w:ilvl="2" w:tplc="1D54835C">
      <w:numFmt w:val="bullet"/>
      <w:lvlText w:val="•"/>
      <w:lvlJc w:val="left"/>
      <w:pPr>
        <w:ind w:left="887" w:hanging="168"/>
      </w:pPr>
      <w:rPr>
        <w:rFonts w:hint="default"/>
        <w:lang w:val="ro-RO" w:eastAsia="en-US" w:bidi="ar-SA"/>
      </w:rPr>
    </w:lvl>
    <w:lvl w:ilvl="3" w:tplc="F1285266">
      <w:numFmt w:val="bullet"/>
      <w:lvlText w:val="•"/>
      <w:lvlJc w:val="left"/>
      <w:pPr>
        <w:ind w:left="1190" w:hanging="168"/>
      </w:pPr>
      <w:rPr>
        <w:rFonts w:hint="default"/>
        <w:lang w:val="ro-RO" w:eastAsia="en-US" w:bidi="ar-SA"/>
      </w:rPr>
    </w:lvl>
    <w:lvl w:ilvl="4" w:tplc="713205D8">
      <w:numFmt w:val="bullet"/>
      <w:lvlText w:val="•"/>
      <w:lvlJc w:val="left"/>
      <w:pPr>
        <w:ind w:left="1494" w:hanging="168"/>
      </w:pPr>
      <w:rPr>
        <w:rFonts w:hint="default"/>
        <w:lang w:val="ro-RO" w:eastAsia="en-US" w:bidi="ar-SA"/>
      </w:rPr>
    </w:lvl>
    <w:lvl w:ilvl="5" w:tplc="7FF8C4F0">
      <w:numFmt w:val="bullet"/>
      <w:lvlText w:val="•"/>
      <w:lvlJc w:val="left"/>
      <w:pPr>
        <w:ind w:left="1798" w:hanging="168"/>
      </w:pPr>
      <w:rPr>
        <w:rFonts w:hint="default"/>
        <w:lang w:val="ro-RO" w:eastAsia="en-US" w:bidi="ar-SA"/>
      </w:rPr>
    </w:lvl>
    <w:lvl w:ilvl="6" w:tplc="E7347732">
      <w:numFmt w:val="bullet"/>
      <w:lvlText w:val="•"/>
      <w:lvlJc w:val="left"/>
      <w:pPr>
        <w:ind w:left="2101" w:hanging="168"/>
      </w:pPr>
      <w:rPr>
        <w:rFonts w:hint="default"/>
        <w:lang w:val="ro-RO" w:eastAsia="en-US" w:bidi="ar-SA"/>
      </w:rPr>
    </w:lvl>
    <w:lvl w:ilvl="7" w:tplc="54942534">
      <w:numFmt w:val="bullet"/>
      <w:lvlText w:val="•"/>
      <w:lvlJc w:val="left"/>
      <w:pPr>
        <w:ind w:left="2405" w:hanging="168"/>
      </w:pPr>
      <w:rPr>
        <w:rFonts w:hint="default"/>
        <w:lang w:val="ro-RO" w:eastAsia="en-US" w:bidi="ar-SA"/>
      </w:rPr>
    </w:lvl>
    <w:lvl w:ilvl="8" w:tplc="87262A58">
      <w:numFmt w:val="bullet"/>
      <w:lvlText w:val="•"/>
      <w:lvlJc w:val="left"/>
      <w:pPr>
        <w:ind w:left="2708" w:hanging="168"/>
      </w:pPr>
      <w:rPr>
        <w:rFonts w:hint="default"/>
        <w:lang w:val="ro-RO" w:eastAsia="en-US" w:bidi="ar-SA"/>
      </w:rPr>
    </w:lvl>
  </w:abstractNum>
  <w:abstractNum w:abstractNumId="119" w15:restartNumberingAfterBreak="0">
    <w:nsid w:val="6FCD4443"/>
    <w:multiLevelType w:val="hybridMultilevel"/>
    <w:tmpl w:val="00000000"/>
    <w:lvl w:ilvl="0" w:tplc="E818680A">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D05ABA42">
      <w:numFmt w:val="bullet"/>
      <w:lvlText w:val="•"/>
      <w:lvlJc w:val="left"/>
      <w:pPr>
        <w:ind w:left="1694" w:hanging="360"/>
      </w:pPr>
      <w:rPr>
        <w:rFonts w:hint="default"/>
        <w:lang w:val="ro-RO" w:eastAsia="en-US" w:bidi="ar-SA"/>
      </w:rPr>
    </w:lvl>
    <w:lvl w:ilvl="2" w:tplc="0DE4476E">
      <w:numFmt w:val="bullet"/>
      <w:lvlText w:val="•"/>
      <w:lvlJc w:val="left"/>
      <w:pPr>
        <w:ind w:left="2608" w:hanging="360"/>
      </w:pPr>
      <w:rPr>
        <w:rFonts w:hint="default"/>
        <w:lang w:val="ro-RO" w:eastAsia="en-US" w:bidi="ar-SA"/>
      </w:rPr>
    </w:lvl>
    <w:lvl w:ilvl="3" w:tplc="AD3A2FFE">
      <w:numFmt w:val="bullet"/>
      <w:lvlText w:val="•"/>
      <w:lvlJc w:val="left"/>
      <w:pPr>
        <w:ind w:left="3523" w:hanging="360"/>
      </w:pPr>
      <w:rPr>
        <w:rFonts w:hint="default"/>
        <w:lang w:val="ro-RO" w:eastAsia="en-US" w:bidi="ar-SA"/>
      </w:rPr>
    </w:lvl>
    <w:lvl w:ilvl="4" w:tplc="86587834">
      <w:numFmt w:val="bullet"/>
      <w:lvlText w:val="•"/>
      <w:lvlJc w:val="left"/>
      <w:pPr>
        <w:ind w:left="4437" w:hanging="360"/>
      </w:pPr>
      <w:rPr>
        <w:rFonts w:hint="default"/>
        <w:lang w:val="ro-RO" w:eastAsia="en-US" w:bidi="ar-SA"/>
      </w:rPr>
    </w:lvl>
    <w:lvl w:ilvl="5" w:tplc="C1BE2B30">
      <w:numFmt w:val="bullet"/>
      <w:lvlText w:val="•"/>
      <w:lvlJc w:val="left"/>
      <w:pPr>
        <w:ind w:left="5351" w:hanging="360"/>
      </w:pPr>
      <w:rPr>
        <w:rFonts w:hint="default"/>
        <w:lang w:val="ro-RO" w:eastAsia="en-US" w:bidi="ar-SA"/>
      </w:rPr>
    </w:lvl>
    <w:lvl w:ilvl="6" w:tplc="27BEF36E">
      <w:numFmt w:val="bullet"/>
      <w:lvlText w:val="•"/>
      <w:lvlJc w:val="left"/>
      <w:pPr>
        <w:ind w:left="6266" w:hanging="360"/>
      </w:pPr>
      <w:rPr>
        <w:rFonts w:hint="default"/>
        <w:lang w:val="ro-RO" w:eastAsia="en-US" w:bidi="ar-SA"/>
      </w:rPr>
    </w:lvl>
    <w:lvl w:ilvl="7" w:tplc="4AA61760">
      <w:numFmt w:val="bullet"/>
      <w:lvlText w:val="•"/>
      <w:lvlJc w:val="left"/>
      <w:pPr>
        <w:ind w:left="7180" w:hanging="360"/>
      </w:pPr>
      <w:rPr>
        <w:rFonts w:hint="default"/>
        <w:lang w:val="ro-RO" w:eastAsia="en-US" w:bidi="ar-SA"/>
      </w:rPr>
    </w:lvl>
    <w:lvl w:ilvl="8" w:tplc="21CE3742">
      <w:numFmt w:val="bullet"/>
      <w:lvlText w:val="•"/>
      <w:lvlJc w:val="left"/>
      <w:pPr>
        <w:ind w:left="8094" w:hanging="360"/>
      </w:pPr>
      <w:rPr>
        <w:rFonts w:hint="default"/>
        <w:lang w:val="ro-RO" w:eastAsia="en-US" w:bidi="ar-SA"/>
      </w:rPr>
    </w:lvl>
  </w:abstractNum>
  <w:abstractNum w:abstractNumId="120" w15:restartNumberingAfterBreak="0">
    <w:nsid w:val="70571ADF"/>
    <w:multiLevelType w:val="hybridMultilevel"/>
    <w:tmpl w:val="036C9C08"/>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21" w15:restartNumberingAfterBreak="0">
    <w:nsid w:val="70CBBAE8"/>
    <w:multiLevelType w:val="hybridMultilevel"/>
    <w:tmpl w:val="00000000"/>
    <w:lvl w:ilvl="0" w:tplc="4AF06CE4">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C73A92F0">
      <w:numFmt w:val="bullet"/>
      <w:lvlText w:val="•"/>
      <w:lvlJc w:val="left"/>
      <w:pPr>
        <w:ind w:left="2466" w:hanging="360"/>
      </w:pPr>
      <w:rPr>
        <w:rFonts w:hint="default"/>
        <w:lang w:val="ro-RO" w:eastAsia="en-US" w:bidi="ar-SA"/>
      </w:rPr>
    </w:lvl>
    <w:lvl w:ilvl="2" w:tplc="98E61E5A">
      <w:numFmt w:val="bullet"/>
      <w:lvlText w:val="•"/>
      <w:lvlJc w:val="left"/>
      <w:pPr>
        <w:ind w:left="3452" w:hanging="360"/>
      </w:pPr>
      <w:rPr>
        <w:rFonts w:hint="default"/>
        <w:lang w:val="ro-RO" w:eastAsia="en-US" w:bidi="ar-SA"/>
      </w:rPr>
    </w:lvl>
    <w:lvl w:ilvl="3" w:tplc="DC101220">
      <w:numFmt w:val="bullet"/>
      <w:lvlText w:val="•"/>
      <w:lvlJc w:val="left"/>
      <w:pPr>
        <w:ind w:left="4438" w:hanging="360"/>
      </w:pPr>
      <w:rPr>
        <w:rFonts w:hint="default"/>
        <w:lang w:val="ro-RO" w:eastAsia="en-US" w:bidi="ar-SA"/>
      </w:rPr>
    </w:lvl>
    <w:lvl w:ilvl="4" w:tplc="B69C0680">
      <w:numFmt w:val="bullet"/>
      <w:lvlText w:val="•"/>
      <w:lvlJc w:val="left"/>
      <w:pPr>
        <w:ind w:left="5424" w:hanging="360"/>
      </w:pPr>
      <w:rPr>
        <w:rFonts w:hint="default"/>
        <w:lang w:val="ro-RO" w:eastAsia="en-US" w:bidi="ar-SA"/>
      </w:rPr>
    </w:lvl>
    <w:lvl w:ilvl="5" w:tplc="A88A678A">
      <w:numFmt w:val="bullet"/>
      <w:lvlText w:val="•"/>
      <w:lvlJc w:val="left"/>
      <w:pPr>
        <w:ind w:left="6410" w:hanging="360"/>
      </w:pPr>
      <w:rPr>
        <w:rFonts w:hint="default"/>
        <w:lang w:val="ro-RO" w:eastAsia="en-US" w:bidi="ar-SA"/>
      </w:rPr>
    </w:lvl>
    <w:lvl w:ilvl="6" w:tplc="7524830A">
      <w:numFmt w:val="bullet"/>
      <w:lvlText w:val="•"/>
      <w:lvlJc w:val="left"/>
      <w:pPr>
        <w:ind w:left="7396" w:hanging="360"/>
      </w:pPr>
      <w:rPr>
        <w:rFonts w:hint="default"/>
        <w:lang w:val="ro-RO" w:eastAsia="en-US" w:bidi="ar-SA"/>
      </w:rPr>
    </w:lvl>
    <w:lvl w:ilvl="7" w:tplc="B7B8B726">
      <w:numFmt w:val="bullet"/>
      <w:lvlText w:val="•"/>
      <w:lvlJc w:val="left"/>
      <w:pPr>
        <w:ind w:left="8382" w:hanging="360"/>
      </w:pPr>
      <w:rPr>
        <w:rFonts w:hint="default"/>
        <w:lang w:val="ro-RO" w:eastAsia="en-US" w:bidi="ar-SA"/>
      </w:rPr>
    </w:lvl>
    <w:lvl w:ilvl="8" w:tplc="DEE6DD7A">
      <w:numFmt w:val="bullet"/>
      <w:lvlText w:val="•"/>
      <w:lvlJc w:val="left"/>
      <w:pPr>
        <w:ind w:left="9368" w:hanging="360"/>
      </w:pPr>
      <w:rPr>
        <w:rFonts w:hint="default"/>
        <w:lang w:val="ro-RO" w:eastAsia="en-US" w:bidi="ar-SA"/>
      </w:rPr>
    </w:lvl>
  </w:abstractNum>
  <w:abstractNum w:abstractNumId="122" w15:restartNumberingAfterBreak="0">
    <w:nsid w:val="716E69F1"/>
    <w:multiLevelType w:val="hybridMultilevel"/>
    <w:tmpl w:val="115AF568"/>
    <w:lvl w:ilvl="0" w:tplc="04090001">
      <w:start w:val="1"/>
      <w:numFmt w:val="bullet"/>
      <w:lvlText w:val=""/>
      <w:lvlJc w:val="left"/>
      <w:pPr>
        <w:ind w:left="1514" w:hanging="360"/>
      </w:pPr>
      <w:rPr>
        <w:rFonts w:ascii="Symbol" w:hAnsi="Symbol" w:hint="default"/>
      </w:rPr>
    </w:lvl>
    <w:lvl w:ilvl="1" w:tplc="04090003" w:tentative="1">
      <w:start w:val="1"/>
      <w:numFmt w:val="bullet"/>
      <w:lvlText w:val="o"/>
      <w:lvlJc w:val="left"/>
      <w:pPr>
        <w:ind w:left="2234" w:hanging="360"/>
      </w:pPr>
      <w:rPr>
        <w:rFonts w:ascii="Courier New" w:hAnsi="Courier New" w:cs="Courier New" w:hint="default"/>
      </w:rPr>
    </w:lvl>
    <w:lvl w:ilvl="2" w:tplc="04090005" w:tentative="1">
      <w:start w:val="1"/>
      <w:numFmt w:val="bullet"/>
      <w:lvlText w:val=""/>
      <w:lvlJc w:val="left"/>
      <w:pPr>
        <w:ind w:left="2954" w:hanging="360"/>
      </w:pPr>
      <w:rPr>
        <w:rFonts w:ascii="Wingdings" w:hAnsi="Wingdings" w:hint="default"/>
      </w:rPr>
    </w:lvl>
    <w:lvl w:ilvl="3" w:tplc="04090001" w:tentative="1">
      <w:start w:val="1"/>
      <w:numFmt w:val="bullet"/>
      <w:lvlText w:val=""/>
      <w:lvlJc w:val="left"/>
      <w:pPr>
        <w:ind w:left="3674" w:hanging="360"/>
      </w:pPr>
      <w:rPr>
        <w:rFonts w:ascii="Symbol" w:hAnsi="Symbol" w:hint="default"/>
      </w:rPr>
    </w:lvl>
    <w:lvl w:ilvl="4" w:tplc="04090003" w:tentative="1">
      <w:start w:val="1"/>
      <w:numFmt w:val="bullet"/>
      <w:lvlText w:val="o"/>
      <w:lvlJc w:val="left"/>
      <w:pPr>
        <w:ind w:left="4394" w:hanging="360"/>
      </w:pPr>
      <w:rPr>
        <w:rFonts w:ascii="Courier New" w:hAnsi="Courier New" w:cs="Courier New" w:hint="default"/>
      </w:rPr>
    </w:lvl>
    <w:lvl w:ilvl="5" w:tplc="04090005" w:tentative="1">
      <w:start w:val="1"/>
      <w:numFmt w:val="bullet"/>
      <w:lvlText w:val=""/>
      <w:lvlJc w:val="left"/>
      <w:pPr>
        <w:ind w:left="5114" w:hanging="360"/>
      </w:pPr>
      <w:rPr>
        <w:rFonts w:ascii="Wingdings" w:hAnsi="Wingdings" w:hint="default"/>
      </w:rPr>
    </w:lvl>
    <w:lvl w:ilvl="6" w:tplc="04090001" w:tentative="1">
      <w:start w:val="1"/>
      <w:numFmt w:val="bullet"/>
      <w:lvlText w:val=""/>
      <w:lvlJc w:val="left"/>
      <w:pPr>
        <w:ind w:left="5834" w:hanging="360"/>
      </w:pPr>
      <w:rPr>
        <w:rFonts w:ascii="Symbol" w:hAnsi="Symbol" w:hint="default"/>
      </w:rPr>
    </w:lvl>
    <w:lvl w:ilvl="7" w:tplc="04090003" w:tentative="1">
      <w:start w:val="1"/>
      <w:numFmt w:val="bullet"/>
      <w:lvlText w:val="o"/>
      <w:lvlJc w:val="left"/>
      <w:pPr>
        <w:ind w:left="6554" w:hanging="360"/>
      </w:pPr>
      <w:rPr>
        <w:rFonts w:ascii="Courier New" w:hAnsi="Courier New" w:cs="Courier New" w:hint="default"/>
      </w:rPr>
    </w:lvl>
    <w:lvl w:ilvl="8" w:tplc="04090005" w:tentative="1">
      <w:start w:val="1"/>
      <w:numFmt w:val="bullet"/>
      <w:lvlText w:val=""/>
      <w:lvlJc w:val="left"/>
      <w:pPr>
        <w:ind w:left="7274" w:hanging="360"/>
      </w:pPr>
      <w:rPr>
        <w:rFonts w:ascii="Wingdings" w:hAnsi="Wingdings" w:hint="default"/>
      </w:rPr>
    </w:lvl>
  </w:abstractNum>
  <w:abstractNum w:abstractNumId="123" w15:restartNumberingAfterBreak="0">
    <w:nsid w:val="71CB1128"/>
    <w:multiLevelType w:val="multilevel"/>
    <w:tmpl w:val="00000000"/>
    <w:lvl w:ilvl="0">
      <w:start w:val="5"/>
      <w:numFmt w:val="upperRoman"/>
      <w:lvlText w:val="%1"/>
      <w:lvlJc w:val="left"/>
      <w:pPr>
        <w:ind w:left="1770" w:hanging="720"/>
      </w:pPr>
      <w:rPr>
        <w:rFonts w:hint="default"/>
        <w:lang w:val="ro-RO" w:eastAsia="en-US" w:bidi="ar-SA"/>
      </w:rPr>
    </w:lvl>
    <w:lvl w:ilvl="1">
      <w:start w:val="3"/>
      <w:numFmt w:val="decimal"/>
      <w:lvlText w:val="%1.%2"/>
      <w:lvlJc w:val="left"/>
      <w:pPr>
        <w:ind w:left="1770" w:hanging="720"/>
      </w:pPr>
      <w:rPr>
        <w:rFonts w:hint="default"/>
        <w:lang w:val="ro-RO" w:eastAsia="en-US" w:bidi="ar-SA"/>
      </w:rPr>
    </w:lvl>
    <w:lvl w:ilvl="2">
      <w:start w:val="2"/>
      <w:numFmt w:val="decimal"/>
      <w:lvlText w:val="%1.%2.%3."/>
      <w:lvlJc w:val="left"/>
      <w:pPr>
        <w:ind w:left="1770" w:hanging="720"/>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308" w:hanging="720"/>
      </w:pPr>
      <w:rPr>
        <w:rFonts w:hint="default"/>
        <w:lang w:val="ro-RO" w:eastAsia="en-US" w:bidi="ar-SA"/>
      </w:rPr>
    </w:lvl>
    <w:lvl w:ilvl="4">
      <w:numFmt w:val="bullet"/>
      <w:lvlText w:val="•"/>
      <w:lvlJc w:val="left"/>
      <w:pPr>
        <w:ind w:left="5150" w:hanging="720"/>
      </w:pPr>
      <w:rPr>
        <w:rFonts w:hint="default"/>
        <w:lang w:val="ro-RO" w:eastAsia="en-US" w:bidi="ar-SA"/>
      </w:rPr>
    </w:lvl>
    <w:lvl w:ilvl="5">
      <w:numFmt w:val="bullet"/>
      <w:lvlText w:val="•"/>
      <w:lvlJc w:val="left"/>
      <w:pPr>
        <w:ind w:left="5993" w:hanging="720"/>
      </w:pPr>
      <w:rPr>
        <w:rFonts w:hint="default"/>
        <w:lang w:val="ro-RO" w:eastAsia="en-US" w:bidi="ar-SA"/>
      </w:rPr>
    </w:lvl>
    <w:lvl w:ilvl="6">
      <w:numFmt w:val="bullet"/>
      <w:lvlText w:val="•"/>
      <w:lvlJc w:val="left"/>
      <w:pPr>
        <w:ind w:left="6836" w:hanging="720"/>
      </w:pPr>
      <w:rPr>
        <w:rFonts w:hint="default"/>
        <w:lang w:val="ro-RO" w:eastAsia="en-US" w:bidi="ar-SA"/>
      </w:rPr>
    </w:lvl>
    <w:lvl w:ilvl="7">
      <w:numFmt w:val="bullet"/>
      <w:lvlText w:val="•"/>
      <w:lvlJc w:val="left"/>
      <w:pPr>
        <w:ind w:left="7679" w:hanging="720"/>
      </w:pPr>
      <w:rPr>
        <w:rFonts w:hint="default"/>
        <w:lang w:val="ro-RO" w:eastAsia="en-US" w:bidi="ar-SA"/>
      </w:rPr>
    </w:lvl>
    <w:lvl w:ilvl="8">
      <w:numFmt w:val="bullet"/>
      <w:lvlText w:val="•"/>
      <w:lvlJc w:val="left"/>
      <w:pPr>
        <w:ind w:left="8521" w:hanging="720"/>
      </w:pPr>
      <w:rPr>
        <w:rFonts w:hint="default"/>
        <w:lang w:val="ro-RO" w:eastAsia="en-US" w:bidi="ar-SA"/>
      </w:rPr>
    </w:lvl>
  </w:abstractNum>
  <w:abstractNum w:abstractNumId="124" w15:restartNumberingAfterBreak="0">
    <w:nsid w:val="71EF52C2"/>
    <w:multiLevelType w:val="hybridMultilevel"/>
    <w:tmpl w:val="00000000"/>
    <w:lvl w:ilvl="0" w:tplc="D562B11A">
      <w:numFmt w:val="bullet"/>
      <w:lvlText w:val="•"/>
      <w:lvlJc w:val="left"/>
      <w:pPr>
        <w:ind w:left="192" w:hanging="89"/>
      </w:pPr>
      <w:rPr>
        <w:rFonts w:ascii="Calibri" w:eastAsia="Calibri" w:hAnsi="Calibri" w:cs="Calibri" w:hint="default"/>
        <w:b w:val="0"/>
        <w:bCs w:val="0"/>
        <w:i w:val="0"/>
        <w:iCs w:val="0"/>
        <w:spacing w:val="0"/>
        <w:w w:val="97"/>
        <w:sz w:val="14"/>
        <w:szCs w:val="14"/>
        <w:lang w:val="ro-RO" w:eastAsia="en-US" w:bidi="ar-SA"/>
      </w:rPr>
    </w:lvl>
    <w:lvl w:ilvl="1" w:tplc="D9762C78">
      <w:numFmt w:val="bullet"/>
      <w:lvlText w:val="•"/>
      <w:lvlJc w:val="left"/>
      <w:pPr>
        <w:ind w:left="1114" w:hanging="89"/>
      </w:pPr>
      <w:rPr>
        <w:rFonts w:hint="default"/>
        <w:lang w:val="ro-RO" w:eastAsia="en-US" w:bidi="ar-SA"/>
      </w:rPr>
    </w:lvl>
    <w:lvl w:ilvl="2" w:tplc="5BDC8116">
      <w:numFmt w:val="bullet"/>
      <w:lvlText w:val="•"/>
      <w:lvlJc w:val="left"/>
      <w:pPr>
        <w:ind w:left="2029" w:hanging="89"/>
      </w:pPr>
      <w:rPr>
        <w:rFonts w:hint="default"/>
        <w:lang w:val="ro-RO" w:eastAsia="en-US" w:bidi="ar-SA"/>
      </w:rPr>
    </w:lvl>
    <w:lvl w:ilvl="3" w:tplc="B942B5BE">
      <w:numFmt w:val="bullet"/>
      <w:lvlText w:val="•"/>
      <w:lvlJc w:val="left"/>
      <w:pPr>
        <w:ind w:left="2944" w:hanging="89"/>
      </w:pPr>
      <w:rPr>
        <w:rFonts w:hint="default"/>
        <w:lang w:val="ro-RO" w:eastAsia="en-US" w:bidi="ar-SA"/>
      </w:rPr>
    </w:lvl>
    <w:lvl w:ilvl="4" w:tplc="D706A046">
      <w:numFmt w:val="bullet"/>
      <w:lvlText w:val="•"/>
      <w:lvlJc w:val="left"/>
      <w:pPr>
        <w:ind w:left="3858" w:hanging="89"/>
      </w:pPr>
      <w:rPr>
        <w:rFonts w:hint="default"/>
        <w:lang w:val="ro-RO" w:eastAsia="en-US" w:bidi="ar-SA"/>
      </w:rPr>
    </w:lvl>
    <w:lvl w:ilvl="5" w:tplc="06AC7276">
      <w:numFmt w:val="bullet"/>
      <w:lvlText w:val="•"/>
      <w:lvlJc w:val="left"/>
      <w:pPr>
        <w:ind w:left="4773" w:hanging="89"/>
      </w:pPr>
      <w:rPr>
        <w:rFonts w:hint="default"/>
        <w:lang w:val="ro-RO" w:eastAsia="en-US" w:bidi="ar-SA"/>
      </w:rPr>
    </w:lvl>
    <w:lvl w:ilvl="6" w:tplc="7F58D538">
      <w:numFmt w:val="bullet"/>
      <w:lvlText w:val="•"/>
      <w:lvlJc w:val="left"/>
      <w:pPr>
        <w:ind w:left="5688" w:hanging="89"/>
      </w:pPr>
      <w:rPr>
        <w:rFonts w:hint="default"/>
        <w:lang w:val="ro-RO" w:eastAsia="en-US" w:bidi="ar-SA"/>
      </w:rPr>
    </w:lvl>
    <w:lvl w:ilvl="7" w:tplc="5E2ACD00">
      <w:numFmt w:val="bullet"/>
      <w:lvlText w:val="•"/>
      <w:lvlJc w:val="left"/>
      <w:pPr>
        <w:ind w:left="6602" w:hanging="89"/>
      </w:pPr>
      <w:rPr>
        <w:rFonts w:hint="default"/>
        <w:lang w:val="ro-RO" w:eastAsia="en-US" w:bidi="ar-SA"/>
      </w:rPr>
    </w:lvl>
    <w:lvl w:ilvl="8" w:tplc="29040CC4">
      <w:numFmt w:val="bullet"/>
      <w:lvlText w:val="•"/>
      <w:lvlJc w:val="left"/>
      <w:pPr>
        <w:ind w:left="7517" w:hanging="89"/>
      </w:pPr>
      <w:rPr>
        <w:rFonts w:hint="default"/>
        <w:lang w:val="ro-RO" w:eastAsia="en-US" w:bidi="ar-SA"/>
      </w:rPr>
    </w:lvl>
  </w:abstractNum>
  <w:abstractNum w:abstractNumId="125" w15:restartNumberingAfterBreak="0">
    <w:nsid w:val="74593EFB"/>
    <w:multiLevelType w:val="hybridMultilevel"/>
    <w:tmpl w:val="00000000"/>
    <w:lvl w:ilvl="0" w:tplc="7A884D72">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8174E350">
      <w:numFmt w:val="bullet"/>
      <w:lvlText w:val="•"/>
      <w:lvlJc w:val="left"/>
      <w:pPr>
        <w:ind w:left="2837" w:hanging="173"/>
      </w:pPr>
      <w:rPr>
        <w:rFonts w:hint="default"/>
        <w:lang w:val="ro-RO" w:eastAsia="en-US" w:bidi="ar-SA"/>
      </w:rPr>
    </w:lvl>
    <w:lvl w:ilvl="2" w:tplc="26B0BB62">
      <w:numFmt w:val="bullet"/>
      <w:lvlText w:val="•"/>
      <w:lvlJc w:val="left"/>
      <w:pPr>
        <w:ind w:left="3555" w:hanging="173"/>
      </w:pPr>
      <w:rPr>
        <w:rFonts w:hint="default"/>
        <w:lang w:val="ro-RO" w:eastAsia="en-US" w:bidi="ar-SA"/>
      </w:rPr>
    </w:lvl>
    <w:lvl w:ilvl="3" w:tplc="221AAEA0">
      <w:numFmt w:val="bullet"/>
      <w:lvlText w:val="•"/>
      <w:lvlJc w:val="left"/>
      <w:pPr>
        <w:ind w:left="4273" w:hanging="173"/>
      </w:pPr>
      <w:rPr>
        <w:rFonts w:hint="default"/>
        <w:lang w:val="ro-RO" w:eastAsia="en-US" w:bidi="ar-SA"/>
      </w:rPr>
    </w:lvl>
    <w:lvl w:ilvl="4" w:tplc="B456C8D2">
      <w:numFmt w:val="bullet"/>
      <w:lvlText w:val="•"/>
      <w:lvlJc w:val="left"/>
      <w:pPr>
        <w:ind w:left="4991" w:hanging="173"/>
      </w:pPr>
      <w:rPr>
        <w:rFonts w:hint="default"/>
        <w:lang w:val="ro-RO" w:eastAsia="en-US" w:bidi="ar-SA"/>
      </w:rPr>
    </w:lvl>
    <w:lvl w:ilvl="5" w:tplc="B940791E">
      <w:numFmt w:val="bullet"/>
      <w:lvlText w:val="•"/>
      <w:lvlJc w:val="left"/>
      <w:pPr>
        <w:ind w:left="5709" w:hanging="173"/>
      </w:pPr>
      <w:rPr>
        <w:rFonts w:hint="default"/>
        <w:lang w:val="ro-RO" w:eastAsia="en-US" w:bidi="ar-SA"/>
      </w:rPr>
    </w:lvl>
    <w:lvl w:ilvl="6" w:tplc="E9029082">
      <w:numFmt w:val="bullet"/>
      <w:lvlText w:val="•"/>
      <w:lvlJc w:val="left"/>
      <w:pPr>
        <w:ind w:left="6426" w:hanging="173"/>
      </w:pPr>
      <w:rPr>
        <w:rFonts w:hint="default"/>
        <w:lang w:val="ro-RO" w:eastAsia="en-US" w:bidi="ar-SA"/>
      </w:rPr>
    </w:lvl>
    <w:lvl w:ilvl="7" w:tplc="72EC4672">
      <w:numFmt w:val="bullet"/>
      <w:lvlText w:val="•"/>
      <w:lvlJc w:val="left"/>
      <w:pPr>
        <w:ind w:left="7144" w:hanging="173"/>
      </w:pPr>
      <w:rPr>
        <w:rFonts w:hint="default"/>
        <w:lang w:val="ro-RO" w:eastAsia="en-US" w:bidi="ar-SA"/>
      </w:rPr>
    </w:lvl>
    <w:lvl w:ilvl="8" w:tplc="06D09738">
      <w:numFmt w:val="bullet"/>
      <w:lvlText w:val="•"/>
      <w:lvlJc w:val="left"/>
      <w:pPr>
        <w:ind w:left="7862" w:hanging="173"/>
      </w:pPr>
      <w:rPr>
        <w:rFonts w:hint="default"/>
        <w:lang w:val="ro-RO" w:eastAsia="en-US" w:bidi="ar-SA"/>
      </w:rPr>
    </w:lvl>
  </w:abstractNum>
  <w:abstractNum w:abstractNumId="126" w15:restartNumberingAfterBreak="0">
    <w:nsid w:val="753CA916"/>
    <w:multiLevelType w:val="multilevel"/>
    <w:tmpl w:val="00000000"/>
    <w:lvl w:ilvl="0">
      <w:start w:val="5"/>
      <w:numFmt w:val="upperRoman"/>
      <w:lvlText w:val="%1"/>
      <w:lvlJc w:val="left"/>
      <w:pPr>
        <w:ind w:left="1817" w:hanging="584"/>
      </w:pPr>
      <w:rPr>
        <w:rFonts w:hint="default"/>
        <w:lang w:val="ro-RO" w:eastAsia="en-US" w:bidi="ar-SA"/>
      </w:rPr>
    </w:lvl>
    <w:lvl w:ilvl="1">
      <w:start w:val="3"/>
      <w:numFmt w:val="decimal"/>
      <w:lvlText w:val="%1.%2"/>
      <w:lvlJc w:val="left"/>
      <w:pPr>
        <w:ind w:left="1817" w:hanging="584"/>
      </w:pPr>
      <w:rPr>
        <w:rFonts w:hint="default"/>
        <w:lang w:val="ro-RO" w:eastAsia="en-US" w:bidi="ar-SA"/>
      </w:rPr>
    </w:lvl>
    <w:lvl w:ilvl="2">
      <w:start w:val="1"/>
      <w:numFmt w:val="decimal"/>
      <w:lvlText w:val="%1.%2.%3"/>
      <w:lvlJc w:val="left"/>
      <w:pPr>
        <w:ind w:left="1817" w:hanging="584"/>
      </w:pPr>
      <w:rPr>
        <w:rFonts w:ascii="Acumin Pro Wide Black" w:eastAsia="Acumin Pro Wide Black" w:hAnsi="Acumin Pro Wide Black" w:cs="Acumin Pro Wide Black" w:hint="default"/>
        <w:b/>
        <w:bCs/>
        <w:i/>
        <w:iCs/>
        <w:spacing w:val="-1"/>
        <w:w w:val="99"/>
        <w:sz w:val="18"/>
        <w:szCs w:val="18"/>
        <w:lang w:val="ro-RO" w:eastAsia="en-US" w:bidi="ar-SA"/>
      </w:rPr>
    </w:lvl>
    <w:lvl w:ilvl="3">
      <w:numFmt w:val="bullet"/>
      <w:lvlText w:val="•"/>
      <w:lvlJc w:val="left"/>
      <w:pPr>
        <w:ind w:left="4676" w:hanging="584"/>
      </w:pPr>
      <w:rPr>
        <w:rFonts w:hint="default"/>
        <w:lang w:val="ro-RO" w:eastAsia="en-US" w:bidi="ar-SA"/>
      </w:rPr>
    </w:lvl>
    <w:lvl w:ilvl="4">
      <w:numFmt w:val="bullet"/>
      <w:lvlText w:val="•"/>
      <w:lvlJc w:val="left"/>
      <w:pPr>
        <w:ind w:left="5628" w:hanging="584"/>
      </w:pPr>
      <w:rPr>
        <w:rFonts w:hint="default"/>
        <w:lang w:val="ro-RO" w:eastAsia="en-US" w:bidi="ar-SA"/>
      </w:rPr>
    </w:lvl>
    <w:lvl w:ilvl="5">
      <w:numFmt w:val="bullet"/>
      <w:lvlText w:val="•"/>
      <w:lvlJc w:val="left"/>
      <w:pPr>
        <w:ind w:left="6580" w:hanging="584"/>
      </w:pPr>
      <w:rPr>
        <w:rFonts w:hint="default"/>
        <w:lang w:val="ro-RO" w:eastAsia="en-US" w:bidi="ar-SA"/>
      </w:rPr>
    </w:lvl>
    <w:lvl w:ilvl="6">
      <w:numFmt w:val="bullet"/>
      <w:lvlText w:val="•"/>
      <w:lvlJc w:val="left"/>
      <w:pPr>
        <w:ind w:left="7532" w:hanging="584"/>
      </w:pPr>
      <w:rPr>
        <w:rFonts w:hint="default"/>
        <w:lang w:val="ro-RO" w:eastAsia="en-US" w:bidi="ar-SA"/>
      </w:rPr>
    </w:lvl>
    <w:lvl w:ilvl="7">
      <w:numFmt w:val="bullet"/>
      <w:lvlText w:val="•"/>
      <w:lvlJc w:val="left"/>
      <w:pPr>
        <w:ind w:left="8484" w:hanging="584"/>
      </w:pPr>
      <w:rPr>
        <w:rFonts w:hint="default"/>
        <w:lang w:val="ro-RO" w:eastAsia="en-US" w:bidi="ar-SA"/>
      </w:rPr>
    </w:lvl>
    <w:lvl w:ilvl="8">
      <w:numFmt w:val="bullet"/>
      <w:lvlText w:val="•"/>
      <w:lvlJc w:val="left"/>
      <w:pPr>
        <w:ind w:left="9436" w:hanging="584"/>
      </w:pPr>
      <w:rPr>
        <w:rFonts w:hint="default"/>
        <w:lang w:val="ro-RO" w:eastAsia="en-US" w:bidi="ar-SA"/>
      </w:rPr>
    </w:lvl>
  </w:abstractNum>
  <w:abstractNum w:abstractNumId="127" w15:restartNumberingAfterBreak="0">
    <w:nsid w:val="767C2E67"/>
    <w:multiLevelType w:val="hybridMultilevel"/>
    <w:tmpl w:val="00000000"/>
    <w:lvl w:ilvl="0" w:tplc="FDFE928E">
      <w:numFmt w:val="bullet"/>
      <w:lvlText w:val="•"/>
      <w:lvlJc w:val="left"/>
      <w:pPr>
        <w:ind w:left="797" w:hanging="360"/>
      </w:pPr>
      <w:rPr>
        <w:rFonts w:ascii="Calibri" w:eastAsia="Calibri" w:hAnsi="Calibri" w:cs="Calibri" w:hint="default"/>
        <w:b w:val="0"/>
        <w:bCs w:val="0"/>
        <w:i w:val="0"/>
        <w:iCs w:val="0"/>
        <w:spacing w:val="0"/>
        <w:w w:val="92"/>
        <w:sz w:val="18"/>
        <w:szCs w:val="18"/>
        <w:lang w:val="ro-RO" w:eastAsia="en-US" w:bidi="ar-SA"/>
      </w:rPr>
    </w:lvl>
    <w:lvl w:ilvl="1" w:tplc="F66628DC">
      <w:numFmt w:val="bullet"/>
      <w:lvlText w:val="•"/>
      <w:lvlJc w:val="left"/>
      <w:pPr>
        <w:ind w:left="909" w:hanging="286"/>
      </w:pPr>
      <w:rPr>
        <w:rFonts w:ascii="Calibri" w:eastAsia="Calibri" w:hAnsi="Calibri" w:cs="Calibri" w:hint="default"/>
        <w:b w:val="0"/>
        <w:bCs w:val="0"/>
        <w:i w:val="0"/>
        <w:iCs w:val="0"/>
        <w:spacing w:val="0"/>
        <w:w w:val="109"/>
        <w:sz w:val="18"/>
        <w:szCs w:val="18"/>
        <w:lang w:val="ro-RO" w:eastAsia="en-US" w:bidi="ar-SA"/>
      </w:rPr>
    </w:lvl>
    <w:lvl w:ilvl="2" w:tplc="CF5A4788">
      <w:numFmt w:val="bullet"/>
      <w:lvlText w:val="•"/>
      <w:lvlJc w:val="left"/>
      <w:pPr>
        <w:ind w:left="1934" w:hanging="286"/>
      </w:pPr>
      <w:rPr>
        <w:rFonts w:hint="default"/>
        <w:lang w:val="ro-RO" w:eastAsia="en-US" w:bidi="ar-SA"/>
      </w:rPr>
    </w:lvl>
    <w:lvl w:ilvl="3" w:tplc="9B14BEF6">
      <w:numFmt w:val="bullet"/>
      <w:lvlText w:val="•"/>
      <w:lvlJc w:val="left"/>
      <w:pPr>
        <w:ind w:left="2968" w:hanging="286"/>
      </w:pPr>
      <w:rPr>
        <w:rFonts w:hint="default"/>
        <w:lang w:val="ro-RO" w:eastAsia="en-US" w:bidi="ar-SA"/>
      </w:rPr>
    </w:lvl>
    <w:lvl w:ilvl="4" w:tplc="6ED2F8FE">
      <w:numFmt w:val="bullet"/>
      <w:lvlText w:val="•"/>
      <w:lvlJc w:val="left"/>
      <w:pPr>
        <w:ind w:left="4002" w:hanging="286"/>
      </w:pPr>
      <w:rPr>
        <w:rFonts w:hint="default"/>
        <w:lang w:val="ro-RO" w:eastAsia="en-US" w:bidi="ar-SA"/>
      </w:rPr>
    </w:lvl>
    <w:lvl w:ilvl="5" w:tplc="E19EEBD8">
      <w:numFmt w:val="bullet"/>
      <w:lvlText w:val="•"/>
      <w:lvlJc w:val="left"/>
      <w:pPr>
        <w:ind w:left="5036" w:hanging="286"/>
      </w:pPr>
      <w:rPr>
        <w:rFonts w:hint="default"/>
        <w:lang w:val="ro-RO" w:eastAsia="en-US" w:bidi="ar-SA"/>
      </w:rPr>
    </w:lvl>
    <w:lvl w:ilvl="6" w:tplc="4D8C6A6A">
      <w:numFmt w:val="bullet"/>
      <w:lvlText w:val="•"/>
      <w:lvlJc w:val="left"/>
      <w:pPr>
        <w:ind w:left="6070" w:hanging="286"/>
      </w:pPr>
      <w:rPr>
        <w:rFonts w:hint="default"/>
        <w:lang w:val="ro-RO" w:eastAsia="en-US" w:bidi="ar-SA"/>
      </w:rPr>
    </w:lvl>
    <w:lvl w:ilvl="7" w:tplc="F0EC0D78">
      <w:numFmt w:val="bullet"/>
      <w:lvlText w:val="•"/>
      <w:lvlJc w:val="left"/>
      <w:pPr>
        <w:ind w:left="7104" w:hanging="286"/>
      </w:pPr>
      <w:rPr>
        <w:rFonts w:hint="default"/>
        <w:lang w:val="ro-RO" w:eastAsia="en-US" w:bidi="ar-SA"/>
      </w:rPr>
    </w:lvl>
    <w:lvl w:ilvl="8" w:tplc="13C0174E">
      <w:numFmt w:val="bullet"/>
      <w:lvlText w:val="•"/>
      <w:lvlJc w:val="left"/>
      <w:pPr>
        <w:ind w:left="8139" w:hanging="286"/>
      </w:pPr>
      <w:rPr>
        <w:rFonts w:hint="default"/>
        <w:lang w:val="ro-RO" w:eastAsia="en-US" w:bidi="ar-SA"/>
      </w:rPr>
    </w:lvl>
  </w:abstractNum>
  <w:abstractNum w:abstractNumId="128" w15:restartNumberingAfterBreak="0">
    <w:nsid w:val="76B8EF05"/>
    <w:multiLevelType w:val="hybridMultilevel"/>
    <w:tmpl w:val="00000000"/>
    <w:lvl w:ilvl="0" w:tplc="AE0A5436">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F4E8E818">
      <w:numFmt w:val="bullet"/>
      <w:lvlText w:val="•"/>
      <w:lvlJc w:val="left"/>
      <w:pPr>
        <w:ind w:left="2909" w:hanging="161"/>
      </w:pPr>
      <w:rPr>
        <w:rFonts w:hint="default"/>
        <w:lang w:val="ro-RO" w:eastAsia="en-US" w:bidi="ar-SA"/>
      </w:rPr>
    </w:lvl>
    <w:lvl w:ilvl="2" w:tplc="690A0A88">
      <w:numFmt w:val="bullet"/>
      <w:lvlText w:val="•"/>
      <w:lvlJc w:val="left"/>
      <w:pPr>
        <w:ind w:left="3619" w:hanging="161"/>
      </w:pPr>
      <w:rPr>
        <w:rFonts w:hint="default"/>
        <w:lang w:val="ro-RO" w:eastAsia="en-US" w:bidi="ar-SA"/>
      </w:rPr>
    </w:lvl>
    <w:lvl w:ilvl="3" w:tplc="6C62614C">
      <w:numFmt w:val="bullet"/>
      <w:lvlText w:val="•"/>
      <w:lvlJc w:val="left"/>
      <w:pPr>
        <w:ind w:left="4329" w:hanging="161"/>
      </w:pPr>
      <w:rPr>
        <w:rFonts w:hint="default"/>
        <w:lang w:val="ro-RO" w:eastAsia="en-US" w:bidi="ar-SA"/>
      </w:rPr>
    </w:lvl>
    <w:lvl w:ilvl="4" w:tplc="2D128068">
      <w:numFmt w:val="bullet"/>
      <w:lvlText w:val="•"/>
      <w:lvlJc w:val="left"/>
      <w:pPr>
        <w:ind w:left="5039" w:hanging="161"/>
      </w:pPr>
      <w:rPr>
        <w:rFonts w:hint="default"/>
        <w:lang w:val="ro-RO" w:eastAsia="en-US" w:bidi="ar-SA"/>
      </w:rPr>
    </w:lvl>
    <w:lvl w:ilvl="5" w:tplc="B9185146">
      <w:numFmt w:val="bullet"/>
      <w:lvlText w:val="•"/>
      <w:lvlJc w:val="left"/>
      <w:pPr>
        <w:ind w:left="5749" w:hanging="161"/>
      </w:pPr>
      <w:rPr>
        <w:rFonts w:hint="default"/>
        <w:lang w:val="ro-RO" w:eastAsia="en-US" w:bidi="ar-SA"/>
      </w:rPr>
    </w:lvl>
    <w:lvl w:ilvl="6" w:tplc="84CAC318">
      <w:numFmt w:val="bullet"/>
      <w:lvlText w:val="•"/>
      <w:lvlJc w:val="left"/>
      <w:pPr>
        <w:ind w:left="6458" w:hanging="161"/>
      </w:pPr>
      <w:rPr>
        <w:rFonts w:hint="default"/>
        <w:lang w:val="ro-RO" w:eastAsia="en-US" w:bidi="ar-SA"/>
      </w:rPr>
    </w:lvl>
    <w:lvl w:ilvl="7" w:tplc="EB8E4B54">
      <w:numFmt w:val="bullet"/>
      <w:lvlText w:val="•"/>
      <w:lvlJc w:val="left"/>
      <w:pPr>
        <w:ind w:left="7168" w:hanging="161"/>
      </w:pPr>
      <w:rPr>
        <w:rFonts w:hint="default"/>
        <w:lang w:val="ro-RO" w:eastAsia="en-US" w:bidi="ar-SA"/>
      </w:rPr>
    </w:lvl>
    <w:lvl w:ilvl="8" w:tplc="331AE9D4">
      <w:numFmt w:val="bullet"/>
      <w:lvlText w:val="•"/>
      <w:lvlJc w:val="left"/>
      <w:pPr>
        <w:ind w:left="7878" w:hanging="161"/>
      </w:pPr>
      <w:rPr>
        <w:rFonts w:hint="default"/>
        <w:lang w:val="ro-RO" w:eastAsia="en-US" w:bidi="ar-SA"/>
      </w:rPr>
    </w:lvl>
  </w:abstractNum>
  <w:abstractNum w:abstractNumId="129" w15:restartNumberingAfterBreak="0">
    <w:nsid w:val="78DA102F"/>
    <w:multiLevelType w:val="hybridMultilevel"/>
    <w:tmpl w:val="00000000"/>
    <w:lvl w:ilvl="0" w:tplc="12827522">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0016959C">
      <w:numFmt w:val="bullet"/>
      <w:lvlText w:val="•"/>
      <w:lvlJc w:val="left"/>
      <w:pPr>
        <w:ind w:left="1708" w:hanging="360"/>
      </w:pPr>
      <w:rPr>
        <w:rFonts w:hint="default"/>
        <w:lang w:val="ro-RO" w:eastAsia="en-US" w:bidi="ar-SA"/>
      </w:rPr>
    </w:lvl>
    <w:lvl w:ilvl="2" w:tplc="1F904FE8">
      <w:numFmt w:val="bullet"/>
      <w:lvlText w:val="•"/>
      <w:lvlJc w:val="left"/>
      <w:pPr>
        <w:ind w:left="2637" w:hanging="360"/>
      </w:pPr>
      <w:rPr>
        <w:rFonts w:hint="default"/>
        <w:lang w:val="ro-RO" w:eastAsia="en-US" w:bidi="ar-SA"/>
      </w:rPr>
    </w:lvl>
    <w:lvl w:ilvl="3" w:tplc="D94CF914">
      <w:numFmt w:val="bullet"/>
      <w:lvlText w:val="•"/>
      <w:lvlJc w:val="left"/>
      <w:pPr>
        <w:ind w:left="3565" w:hanging="360"/>
      </w:pPr>
      <w:rPr>
        <w:rFonts w:hint="default"/>
        <w:lang w:val="ro-RO" w:eastAsia="en-US" w:bidi="ar-SA"/>
      </w:rPr>
    </w:lvl>
    <w:lvl w:ilvl="4" w:tplc="3E76BBC6">
      <w:numFmt w:val="bullet"/>
      <w:lvlText w:val="•"/>
      <w:lvlJc w:val="left"/>
      <w:pPr>
        <w:ind w:left="4494" w:hanging="360"/>
      </w:pPr>
      <w:rPr>
        <w:rFonts w:hint="default"/>
        <w:lang w:val="ro-RO" w:eastAsia="en-US" w:bidi="ar-SA"/>
      </w:rPr>
    </w:lvl>
    <w:lvl w:ilvl="5" w:tplc="1090D130">
      <w:numFmt w:val="bullet"/>
      <w:lvlText w:val="•"/>
      <w:lvlJc w:val="left"/>
      <w:pPr>
        <w:ind w:left="5422" w:hanging="360"/>
      </w:pPr>
      <w:rPr>
        <w:rFonts w:hint="default"/>
        <w:lang w:val="ro-RO" w:eastAsia="en-US" w:bidi="ar-SA"/>
      </w:rPr>
    </w:lvl>
    <w:lvl w:ilvl="6" w:tplc="D7DA459E">
      <w:numFmt w:val="bullet"/>
      <w:lvlText w:val="•"/>
      <w:lvlJc w:val="left"/>
      <w:pPr>
        <w:ind w:left="6351" w:hanging="360"/>
      </w:pPr>
      <w:rPr>
        <w:rFonts w:hint="default"/>
        <w:lang w:val="ro-RO" w:eastAsia="en-US" w:bidi="ar-SA"/>
      </w:rPr>
    </w:lvl>
    <w:lvl w:ilvl="7" w:tplc="0C382582">
      <w:numFmt w:val="bullet"/>
      <w:lvlText w:val="•"/>
      <w:lvlJc w:val="left"/>
      <w:pPr>
        <w:ind w:left="7279" w:hanging="360"/>
      </w:pPr>
      <w:rPr>
        <w:rFonts w:hint="default"/>
        <w:lang w:val="ro-RO" w:eastAsia="en-US" w:bidi="ar-SA"/>
      </w:rPr>
    </w:lvl>
    <w:lvl w:ilvl="8" w:tplc="69DA3E88">
      <w:numFmt w:val="bullet"/>
      <w:lvlText w:val="•"/>
      <w:lvlJc w:val="left"/>
      <w:pPr>
        <w:ind w:left="8208" w:hanging="360"/>
      </w:pPr>
      <w:rPr>
        <w:rFonts w:hint="default"/>
        <w:lang w:val="ro-RO" w:eastAsia="en-US" w:bidi="ar-SA"/>
      </w:rPr>
    </w:lvl>
  </w:abstractNum>
  <w:abstractNum w:abstractNumId="130" w15:restartNumberingAfterBreak="0">
    <w:nsid w:val="78E5B7CC"/>
    <w:multiLevelType w:val="hybridMultilevel"/>
    <w:tmpl w:val="00000000"/>
    <w:lvl w:ilvl="0" w:tplc="8C80AD86">
      <w:start w:val="1"/>
      <w:numFmt w:val="decimal"/>
      <w:lvlText w:val="%1."/>
      <w:lvlJc w:val="left"/>
      <w:pPr>
        <w:ind w:left="777" w:hanging="360"/>
      </w:pPr>
      <w:rPr>
        <w:rFonts w:ascii="Calibri" w:eastAsia="Calibri" w:hAnsi="Calibri" w:cs="Calibri" w:hint="default"/>
        <w:b w:val="0"/>
        <w:bCs w:val="0"/>
        <w:i w:val="0"/>
        <w:iCs w:val="0"/>
        <w:spacing w:val="0"/>
        <w:w w:val="131"/>
        <w:sz w:val="18"/>
        <w:szCs w:val="18"/>
        <w:lang w:val="ro-RO" w:eastAsia="en-US" w:bidi="ar-SA"/>
      </w:rPr>
    </w:lvl>
    <w:lvl w:ilvl="1" w:tplc="86C22B18">
      <w:numFmt w:val="bullet"/>
      <w:lvlText w:val="•"/>
      <w:lvlJc w:val="left"/>
      <w:pPr>
        <w:ind w:left="1722" w:hanging="360"/>
      </w:pPr>
      <w:rPr>
        <w:rFonts w:hint="default"/>
        <w:lang w:val="ro-RO" w:eastAsia="en-US" w:bidi="ar-SA"/>
      </w:rPr>
    </w:lvl>
    <w:lvl w:ilvl="2" w:tplc="BE1E3136">
      <w:numFmt w:val="bullet"/>
      <w:lvlText w:val="•"/>
      <w:lvlJc w:val="left"/>
      <w:pPr>
        <w:ind w:left="2665" w:hanging="360"/>
      </w:pPr>
      <w:rPr>
        <w:rFonts w:hint="default"/>
        <w:lang w:val="ro-RO" w:eastAsia="en-US" w:bidi="ar-SA"/>
      </w:rPr>
    </w:lvl>
    <w:lvl w:ilvl="3" w:tplc="74C2C6E2">
      <w:numFmt w:val="bullet"/>
      <w:lvlText w:val="•"/>
      <w:lvlJc w:val="left"/>
      <w:pPr>
        <w:ind w:left="3608" w:hanging="360"/>
      </w:pPr>
      <w:rPr>
        <w:rFonts w:hint="default"/>
        <w:lang w:val="ro-RO" w:eastAsia="en-US" w:bidi="ar-SA"/>
      </w:rPr>
    </w:lvl>
    <w:lvl w:ilvl="4" w:tplc="60F892C0">
      <w:numFmt w:val="bullet"/>
      <w:lvlText w:val="•"/>
      <w:lvlJc w:val="left"/>
      <w:pPr>
        <w:ind w:left="4550" w:hanging="360"/>
      </w:pPr>
      <w:rPr>
        <w:rFonts w:hint="default"/>
        <w:lang w:val="ro-RO" w:eastAsia="en-US" w:bidi="ar-SA"/>
      </w:rPr>
    </w:lvl>
    <w:lvl w:ilvl="5" w:tplc="4D64548C">
      <w:numFmt w:val="bullet"/>
      <w:lvlText w:val="•"/>
      <w:lvlJc w:val="left"/>
      <w:pPr>
        <w:ind w:left="5493" w:hanging="360"/>
      </w:pPr>
      <w:rPr>
        <w:rFonts w:hint="default"/>
        <w:lang w:val="ro-RO" w:eastAsia="en-US" w:bidi="ar-SA"/>
      </w:rPr>
    </w:lvl>
    <w:lvl w:ilvl="6" w:tplc="01940226">
      <w:numFmt w:val="bullet"/>
      <w:lvlText w:val="•"/>
      <w:lvlJc w:val="left"/>
      <w:pPr>
        <w:ind w:left="6436" w:hanging="360"/>
      </w:pPr>
      <w:rPr>
        <w:rFonts w:hint="default"/>
        <w:lang w:val="ro-RO" w:eastAsia="en-US" w:bidi="ar-SA"/>
      </w:rPr>
    </w:lvl>
    <w:lvl w:ilvl="7" w:tplc="B98CC8DA">
      <w:numFmt w:val="bullet"/>
      <w:lvlText w:val="•"/>
      <w:lvlJc w:val="left"/>
      <w:pPr>
        <w:ind w:left="7379" w:hanging="360"/>
      </w:pPr>
      <w:rPr>
        <w:rFonts w:hint="default"/>
        <w:lang w:val="ro-RO" w:eastAsia="en-US" w:bidi="ar-SA"/>
      </w:rPr>
    </w:lvl>
    <w:lvl w:ilvl="8" w:tplc="EEA83B76">
      <w:numFmt w:val="bullet"/>
      <w:lvlText w:val="•"/>
      <w:lvlJc w:val="left"/>
      <w:pPr>
        <w:ind w:left="8321" w:hanging="360"/>
      </w:pPr>
      <w:rPr>
        <w:rFonts w:hint="default"/>
        <w:lang w:val="ro-RO" w:eastAsia="en-US" w:bidi="ar-SA"/>
      </w:rPr>
    </w:lvl>
  </w:abstractNum>
  <w:abstractNum w:abstractNumId="131" w15:restartNumberingAfterBreak="0">
    <w:nsid w:val="7977511D"/>
    <w:multiLevelType w:val="hybridMultilevel"/>
    <w:tmpl w:val="00000000"/>
    <w:lvl w:ilvl="0" w:tplc="81ECC722">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D6C25466">
      <w:numFmt w:val="bullet"/>
      <w:lvlText w:val="•"/>
      <w:lvlJc w:val="left"/>
      <w:pPr>
        <w:ind w:left="2981" w:hanging="173"/>
      </w:pPr>
      <w:rPr>
        <w:rFonts w:hint="default"/>
        <w:lang w:val="ro-RO" w:eastAsia="en-US" w:bidi="ar-SA"/>
      </w:rPr>
    </w:lvl>
    <w:lvl w:ilvl="2" w:tplc="61487558">
      <w:numFmt w:val="bullet"/>
      <w:lvlText w:val="•"/>
      <w:lvlJc w:val="left"/>
      <w:pPr>
        <w:ind w:left="3683" w:hanging="173"/>
      </w:pPr>
      <w:rPr>
        <w:rFonts w:hint="default"/>
        <w:lang w:val="ro-RO" w:eastAsia="en-US" w:bidi="ar-SA"/>
      </w:rPr>
    </w:lvl>
    <w:lvl w:ilvl="3" w:tplc="1200DB14">
      <w:numFmt w:val="bullet"/>
      <w:lvlText w:val="•"/>
      <w:lvlJc w:val="left"/>
      <w:pPr>
        <w:ind w:left="4385" w:hanging="173"/>
      </w:pPr>
      <w:rPr>
        <w:rFonts w:hint="default"/>
        <w:lang w:val="ro-RO" w:eastAsia="en-US" w:bidi="ar-SA"/>
      </w:rPr>
    </w:lvl>
    <w:lvl w:ilvl="4" w:tplc="30AA54C6">
      <w:numFmt w:val="bullet"/>
      <w:lvlText w:val="•"/>
      <w:lvlJc w:val="left"/>
      <w:pPr>
        <w:ind w:left="5087" w:hanging="173"/>
      </w:pPr>
      <w:rPr>
        <w:rFonts w:hint="default"/>
        <w:lang w:val="ro-RO" w:eastAsia="en-US" w:bidi="ar-SA"/>
      </w:rPr>
    </w:lvl>
    <w:lvl w:ilvl="5" w:tplc="C038C734">
      <w:numFmt w:val="bullet"/>
      <w:lvlText w:val="•"/>
      <w:lvlJc w:val="left"/>
      <w:pPr>
        <w:ind w:left="5789" w:hanging="173"/>
      </w:pPr>
      <w:rPr>
        <w:rFonts w:hint="default"/>
        <w:lang w:val="ro-RO" w:eastAsia="en-US" w:bidi="ar-SA"/>
      </w:rPr>
    </w:lvl>
    <w:lvl w:ilvl="6" w:tplc="9122598E">
      <w:numFmt w:val="bullet"/>
      <w:lvlText w:val="•"/>
      <w:lvlJc w:val="left"/>
      <w:pPr>
        <w:ind w:left="6490" w:hanging="173"/>
      </w:pPr>
      <w:rPr>
        <w:rFonts w:hint="default"/>
        <w:lang w:val="ro-RO" w:eastAsia="en-US" w:bidi="ar-SA"/>
      </w:rPr>
    </w:lvl>
    <w:lvl w:ilvl="7" w:tplc="11040402">
      <w:numFmt w:val="bullet"/>
      <w:lvlText w:val="•"/>
      <w:lvlJc w:val="left"/>
      <w:pPr>
        <w:ind w:left="7192" w:hanging="173"/>
      </w:pPr>
      <w:rPr>
        <w:rFonts w:hint="default"/>
        <w:lang w:val="ro-RO" w:eastAsia="en-US" w:bidi="ar-SA"/>
      </w:rPr>
    </w:lvl>
    <w:lvl w:ilvl="8" w:tplc="234A182C">
      <w:numFmt w:val="bullet"/>
      <w:lvlText w:val="•"/>
      <w:lvlJc w:val="left"/>
      <w:pPr>
        <w:ind w:left="7894" w:hanging="173"/>
      </w:pPr>
      <w:rPr>
        <w:rFonts w:hint="default"/>
        <w:lang w:val="ro-RO" w:eastAsia="en-US" w:bidi="ar-SA"/>
      </w:rPr>
    </w:lvl>
  </w:abstractNum>
  <w:abstractNum w:abstractNumId="132" w15:restartNumberingAfterBreak="0">
    <w:nsid w:val="7A7D40AA"/>
    <w:multiLevelType w:val="hybridMultilevel"/>
    <w:tmpl w:val="00000000"/>
    <w:lvl w:ilvl="0" w:tplc="F38004E6">
      <w:start w:val="1"/>
      <w:numFmt w:val="decimal"/>
      <w:lvlText w:val="%1."/>
      <w:lvlJc w:val="left"/>
      <w:pPr>
        <w:ind w:left="806" w:hanging="360"/>
      </w:pPr>
      <w:rPr>
        <w:rFonts w:ascii="Calibri" w:eastAsia="Calibri" w:hAnsi="Calibri" w:cs="Calibri" w:hint="default"/>
        <w:b w:val="0"/>
        <w:bCs w:val="0"/>
        <w:i/>
        <w:iCs/>
        <w:spacing w:val="0"/>
        <w:w w:val="131"/>
        <w:sz w:val="18"/>
        <w:szCs w:val="18"/>
        <w:lang w:val="ro-RO" w:eastAsia="en-US" w:bidi="ar-SA"/>
      </w:rPr>
    </w:lvl>
    <w:lvl w:ilvl="1" w:tplc="41B080FC">
      <w:numFmt w:val="bullet"/>
      <w:lvlText w:val="•"/>
      <w:lvlJc w:val="left"/>
      <w:pPr>
        <w:ind w:left="1726" w:hanging="360"/>
      </w:pPr>
      <w:rPr>
        <w:rFonts w:hint="default"/>
        <w:lang w:val="ro-RO" w:eastAsia="en-US" w:bidi="ar-SA"/>
      </w:rPr>
    </w:lvl>
    <w:lvl w:ilvl="2" w:tplc="C88E7608">
      <w:numFmt w:val="bullet"/>
      <w:lvlText w:val="•"/>
      <w:lvlJc w:val="left"/>
      <w:pPr>
        <w:ind w:left="2653" w:hanging="360"/>
      </w:pPr>
      <w:rPr>
        <w:rFonts w:hint="default"/>
        <w:lang w:val="ro-RO" w:eastAsia="en-US" w:bidi="ar-SA"/>
      </w:rPr>
    </w:lvl>
    <w:lvl w:ilvl="3" w:tplc="B0B23A4A">
      <w:numFmt w:val="bullet"/>
      <w:lvlText w:val="•"/>
      <w:lvlJc w:val="left"/>
      <w:pPr>
        <w:ind w:left="3579" w:hanging="360"/>
      </w:pPr>
      <w:rPr>
        <w:rFonts w:hint="default"/>
        <w:lang w:val="ro-RO" w:eastAsia="en-US" w:bidi="ar-SA"/>
      </w:rPr>
    </w:lvl>
    <w:lvl w:ilvl="4" w:tplc="A39879C8">
      <w:numFmt w:val="bullet"/>
      <w:lvlText w:val="•"/>
      <w:lvlJc w:val="left"/>
      <w:pPr>
        <w:ind w:left="4506" w:hanging="360"/>
      </w:pPr>
      <w:rPr>
        <w:rFonts w:hint="default"/>
        <w:lang w:val="ro-RO" w:eastAsia="en-US" w:bidi="ar-SA"/>
      </w:rPr>
    </w:lvl>
    <w:lvl w:ilvl="5" w:tplc="6F4646F2">
      <w:numFmt w:val="bullet"/>
      <w:lvlText w:val="•"/>
      <w:lvlJc w:val="left"/>
      <w:pPr>
        <w:ind w:left="5432" w:hanging="360"/>
      </w:pPr>
      <w:rPr>
        <w:rFonts w:hint="default"/>
        <w:lang w:val="ro-RO" w:eastAsia="en-US" w:bidi="ar-SA"/>
      </w:rPr>
    </w:lvl>
    <w:lvl w:ilvl="6" w:tplc="39F49D5C">
      <w:numFmt w:val="bullet"/>
      <w:lvlText w:val="•"/>
      <w:lvlJc w:val="left"/>
      <w:pPr>
        <w:ind w:left="6359" w:hanging="360"/>
      </w:pPr>
      <w:rPr>
        <w:rFonts w:hint="default"/>
        <w:lang w:val="ro-RO" w:eastAsia="en-US" w:bidi="ar-SA"/>
      </w:rPr>
    </w:lvl>
    <w:lvl w:ilvl="7" w:tplc="4180316A">
      <w:numFmt w:val="bullet"/>
      <w:lvlText w:val="•"/>
      <w:lvlJc w:val="left"/>
      <w:pPr>
        <w:ind w:left="7285" w:hanging="360"/>
      </w:pPr>
      <w:rPr>
        <w:rFonts w:hint="default"/>
        <w:lang w:val="ro-RO" w:eastAsia="en-US" w:bidi="ar-SA"/>
      </w:rPr>
    </w:lvl>
    <w:lvl w:ilvl="8" w:tplc="1D7EB528">
      <w:numFmt w:val="bullet"/>
      <w:lvlText w:val="•"/>
      <w:lvlJc w:val="left"/>
      <w:pPr>
        <w:ind w:left="8212" w:hanging="360"/>
      </w:pPr>
      <w:rPr>
        <w:rFonts w:hint="default"/>
        <w:lang w:val="ro-RO" w:eastAsia="en-US" w:bidi="ar-SA"/>
      </w:rPr>
    </w:lvl>
  </w:abstractNum>
  <w:abstractNum w:abstractNumId="133" w15:restartNumberingAfterBreak="0">
    <w:nsid w:val="7AE52C58"/>
    <w:multiLevelType w:val="hybridMultilevel"/>
    <w:tmpl w:val="00000000"/>
    <w:lvl w:ilvl="0" w:tplc="5FF24C02">
      <w:start w:val="1"/>
      <w:numFmt w:val="upperLetter"/>
      <w:lvlText w:val="%1."/>
      <w:lvlJc w:val="left"/>
      <w:pPr>
        <w:ind w:left="777" w:hanging="360"/>
      </w:pPr>
      <w:rPr>
        <w:rFonts w:ascii="Calibri" w:eastAsia="Calibri" w:hAnsi="Calibri" w:cs="Calibri" w:hint="default"/>
        <w:b/>
        <w:bCs/>
        <w:i w:val="0"/>
        <w:iCs w:val="0"/>
        <w:spacing w:val="-1"/>
        <w:w w:val="130"/>
        <w:sz w:val="18"/>
        <w:szCs w:val="18"/>
        <w:lang w:val="ro-RO" w:eastAsia="en-US" w:bidi="ar-SA"/>
      </w:rPr>
    </w:lvl>
    <w:lvl w:ilvl="1" w:tplc="4CDE7998">
      <w:start w:val="1"/>
      <w:numFmt w:val="upperRoman"/>
      <w:lvlText w:val="%2."/>
      <w:lvlJc w:val="left"/>
      <w:pPr>
        <w:ind w:left="777" w:hanging="360"/>
      </w:pPr>
      <w:rPr>
        <w:rFonts w:ascii="Calibri" w:eastAsia="Calibri" w:hAnsi="Calibri" w:cs="Calibri" w:hint="default"/>
        <w:b/>
        <w:bCs/>
        <w:i w:val="0"/>
        <w:iCs w:val="0"/>
        <w:spacing w:val="0"/>
        <w:w w:val="169"/>
        <w:sz w:val="18"/>
        <w:szCs w:val="18"/>
        <w:lang w:val="ro-RO" w:eastAsia="en-US" w:bidi="ar-SA"/>
      </w:rPr>
    </w:lvl>
    <w:lvl w:ilvl="2" w:tplc="3D08C30E">
      <w:start w:val="1"/>
      <w:numFmt w:val="decimal"/>
      <w:lvlText w:val="%3."/>
      <w:lvlJc w:val="left"/>
      <w:pPr>
        <w:ind w:left="777" w:hanging="360"/>
      </w:pPr>
      <w:rPr>
        <w:rFonts w:ascii="Calibri" w:eastAsia="Calibri" w:hAnsi="Calibri" w:cs="Calibri" w:hint="default"/>
        <w:b w:val="0"/>
        <w:bCs w:val="0"/>
        <w:i w:val="0"/>
        <w:iCs w:val="0"/>
        <w:spacing w:val="0"/>
        <w:w w:val="131"/>
        <w:sz w:val="18"/>
        <w:szCs w:val="18"/>
        <w:lang w:val="ro-RO" w:eastAsia="en-US" w:bidi="ar-SA"/>
      </w:rPr>
    </w:lvl>
    <w:lvl w:ilvl="3" w:tplc="94C0127A">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4" w:tplc="4920AF72">
      <w:numFmt w:val="bullet"/>
      <w:lvlText w:val="•"/>
      <w:lvlJc w:val="left"/>
      <w:pPr>
        <w:ind w:left="4494" w:hanging="360"/>
      </w:pPr>
      <w:rPr>
        <w:rFonts w:hint="default"/>
        <w:lang w:val="ro-RO" w:eastAsia="en-US" w:bidi="ar-SA"/>
      </w:rPr>
    </w:lvl>
    <w:lvl w:ilvl="5" w:tplc="35185EA6">
      <w:numFmt w:val="bullet"/>
      <w:lvlText w:val="•"/>
      <w:lvlJc w:val="left"/>
      <w:pPr>
        <w:ind w:left="5422" w:hanging="360"/>
      </w:pPr>
      <w:rPr>
        <w:rFonts w:hint="default"/>
        <w:lang w:val="ro-RO" w:eastAsia="en-US" w:bidi="ar-SA"/>
      </w:rPr>
    </w:lvl>
    <w:lvl w:ilvl="6" w:tplc="9B1AC5D2">
      <w:numFmt w:val="bullet"/>
      <w:lvlText w:val="•"/>
      <w:lvlJc w:val="left"/>
      <w:pPr>
        <w:ind w:left="6351" w:hanging="360"/>
      </w:pPr>
      <w:rPr>
        <w:rFonts w:hint="default"/>
        <w:lang w:val="ro-RO" w:eastAsia="en-US" w:bidi="ar-SA"/>
      </w:rPr>
    </w:lvl>
    <w:lvl w:ilvl="7" w:tplc="AA6ECC68">
      <w:numFmt w:val="bullet"/>
      <w:lvlText w:val="•"/>
      <w:lvlJc w:val="left"/>
      <w:pPr>
        <w:ind w:left="7279" w:hanging="360"/>
      </w:pPr>
      <w:rPr>
        <w:rFonts w:hint="default"/>
        <w:lang w:val="ro-RO" w:eastAsia="en-US" w:bidi="ar-SA"/>
      </w:rPr>
    </w:lvl>
    <w:lvl w:ilvl="8" w:tplc="3F3C4460">
      <w:numFmt w:val="bullet"/>
      <w:lvlText w:val="•"/>
      <w:lvlJc w:val="left"/>
      <w:pPr>
        <w:ind w:left="8208" w:hanging="360"/>
      </w:pPr>
      <w:rPr>
        <w:rFonts w:hint="default"/>
        <w:lang w:val="ro-RO" w:eastAsia="en-US" w:bidi="ar-SA"/>
      </w:rPr>
    </w:lvl>
  </w:abstractNum>
  <w:abstractNum w:abstractNumId="134" w15:restartNumberingAfterBreak="0">
    <w:nsid w:val="7B15F04D"/>
    <w:multiLevelType w:val="multilevel"/>
    <w:tmpl w:val="00000000"/>
    <w:lvl w:ilvl="0">
      <w:start w:val="10"/>
      <w:numFmt w:val="upperRoman"/>
      <w:lvlText w:val="%1"/>
      <w:lvlJc w:val="left"/>
      <w:pPr>
        <w:ind w:left="2750" w:hanging="992"/>
      </w:pPr>
      <w:rPr>
        <w:rFonts w:hint="default"/>
        <w:lang w:val="ro-RO" w:eastAsia="en-US" w:bidi="ar-SA"/>
      </w:rPr>
    </w:lvl>
    <w:lvl w:ilvl="1">
      <w:start w:val="3"/>
      <w:numFmt w:val="decimal"/>
      <w:lvlText w:val="%1.%2"/>
      <w:lvlJc w:val="left"/>
      <w:pPr>
        <w:ind w:left="2750" w:hanging="992"/>
      </w:pPr>
      <w:rPr>
        <w:rFonts w:hint="default"/>
        <w:lang w:val="ro-RO" w:eastAsia="en-US" w:bidi="ar-SA"/>
      </w:rPr>
    </w:lvl>
    <w:lvl w:ilvl="2">
      <w:start w:val="1"/>
      <w:numFmt w:val="decimal"/>
      <w:lvlText w:val="%1.%2.%3."/>
      <w:lvlJc w:val="left"/>
      <w:pPr>
        <w:ind w:left="2750" w:hanging="992"/>
      </w:pPr>
      <w:rPr>
        <w:rFonts w:ascii="Acumin Pro Wide Black" w:eastAsia="Acumin Pro Wide Black" w:hAnsi="Acumin Pro Wide Black" w:cs="Acumin Pro Wide Black" w:hint="default"/>
        <w:b/>
        <w:bCs/>
        <w:i/>
        <w:iCs/>
        <w:color w:val="00AFEF"/>
        <w:spacing w:val="-1"/>
        <w:w w:val="107"/>
        <w:sz w:val="20"/>
        <w:szCs w:val="20"/>
        <w:lang w:val="ro-RO" w:eastAsia="en-US" w:bidi="ar-SA"/>
      </w:rPr>
    </w:lvl>
    <w:lvl w:ilvl="3">
      <w:numFmt w:val="bullet"/>
      <w:lvlText w:val="•"/>
      <w:lvlJc w:val="left"/>
      <w:pPr>
        <w:ind w:left="5334" w:hanging="992"/>
      </w:pPr>
      <w:rPr>
        <w:rFonts w:hint="default"/>
        <w:lang w:val="ro-RO" w:eastAsia="en-US" w:bidi="ar-SA"/>
      </w:rPr>
    </w:lvl>
    <w:lvl w:ilvl="4">
      <w:numFmt w:val="bullet"/>
      <w:lvlText w:val="•"/>
      <w:lvlJc w:val="left"/>
      <w:pPr>
        <w:ind w:left="6192" w:hanging="992"/>
      </w:pPr>
      <w:rPr>
        <w:rFonts w:hint="default"/>
        <w:lang w:val="ro-RO" w:eastAsia="en-US" w:bidi="ar-SA"/>
      </w:rPr>
    </w:lvl>
    <w:lvl w:ilvl="5">
      <w:numFmt w:val="bullet"/>
      <w:lvlText w:val="•"/>
      <w:lvlJc w:val="left"/>
      <w:pPr>
        <w:ind w:left="7050" w:hanging="992"/>
      </w:pPr>
      <w:rPr>
        <w:rFonts w:hint="default"/>
        <w:lang w:val="ro-RO" w:eastAsia="en-US" w:bidi="ar-SA"/>
      </w:rPr>
    </w:lvl>
    <w:lvl w:ilvl="6">
      <w:numFmt w:val="bullet"/>
      <w:lvlText w:val="•"/>
      <w:lvlJc w:val="left"/>
      <w:pPr>
        <w:ind w:left="7908" w:hanging="992"/>
      </w:pPr>
      <w:rPr>
        <w:rFonts w:hint="default"/>
        <w:lang w:val="ro-RO" w:eastAsia="en-US" w:bidi="ar-SA"/>
      </w:rPr>
    </w:lvl>
    <w:lvl w:ilvl="7">
      <w:numFmt w:val="bullet"/>
      <w:lvlText w:val="•"/>
      <w:lvlJc w:val="left"/>
      <w:pPr>
        <w:ind w:left="8766" w:hanging="992"/>
      </w:pPr>
      <w:rPr>
        <w:rFonts w:hint="default"/>
        <w:lang w:val="ro-RO" w:eastAsia="en-US" w:bidi="ar-SA"/>
      </w:rPr>
    </w:lvl>
    <w:lvl w:ilvl="8">
      <w:numFmt w:val="bullet"/>
      <w:lvlText w:val="•"/>
      <w:lvlJc w:val="left"/>
      <w:pPr>
        <w:ind w:left="9624" w:hanging="992"/>
      </w:pPr>
      <w:rPr>
        <w:rFonts w:hint="default"/>
        <w:lang w:val="ro-RO" w:eastAsia="en-US" w:bidi="ar-SA"/>
      </w:rPr>
    </w:lvl>
  </w:abstractNum>
  <w:abstractNum w:abstractNumId="135" w15:restartNumberingAfterBreak="0">
    <w:nsid w:val="7B1E2644"/>
    <w:multiLevelType w:val="hybridMultilevel"/>
    <w:tmpl w:val="00000000"/>
    <w:lvl w:ilvl="0" w:tplc="87DEF852">
      <w:numFmt w:val="bullet"/>
      <w:lvlText w:val="-"/>
      <w:lvlJc w:val="left"/>
      <w:pPr>
        <w:ind w:left="803" w:hanging="169"/>
      </w:pPr>
      <w:rPr>
        <w:rFonts w:ascii="Calibri" w:eastAsia="Calibri" w:hAnsi="Calibri" w:cs="Calibri" w:hint="default"/>
        <w:b w:val="0"/>
        <w:bCs w:val="0"/>
        <w:i w:val="0"/>
        <w:iCs w:val="0"/>
        <w:spacing w:val="0"/>
        <w:w w:val="148"/>
        <w:sz w:val="18"/>
        <w:szCs w:val="18"/>
        <w:lang w:val="ro-RO" w:eastAsia="en-US" w:bidi="ar-SA"/>
      </w:rPr>
    </w:lvl>
    <w:lvl w:ilvl="1" w:tplc="F6C6AA0E">
      <w:numFmt w:val="bullet"/>
      <w:lvlText w:val="•"/>
      <w:lvlJc w:val="left"/>
      <w:pPr>
        <w:ind w:left="1485" w:hanging="360"/>
      </w:pPr>
      <w:rPr>
        <w:rFonts w:ascii="Calibri" w:eastAsia="Calibri" w:hAnsi="Calibri" w:cs="Calibri" w:hint="default"/>
        <w:spacing w:val="0"/>
        <w:w w:val="92"/>
        <w:lang w:val="ro-RO" w:eastAsia="en-US" w:bidi="ar-SA"/>
      </w:rPr>
    </w:lvl>
    <w:lvl w:ilvl="2" w:tplc="4BDE0B1E">
      <w:numFmt w:val="bullet"/>
      <w:lvlText w:val="•"/>
      <w:lvlJc w:val="left"/>
      <w:pPr>
        <w:ind w:left="2575" w:hanging="360"/>
      </w:pPr>
      <w:rPr>
        <w:rFonts w:hint="default"/>
        <w:lang w:val="ro-RO" w:eastAsia="en-US" w:bidi="ar-SA"/>
      </w:rPr>
    </w:lvl>
    <w:lvl w:ilvl="3" w:tplc="E09C7C7E">
      <w:numFmt w:val="bullet"/>
      <w:lvlText w:val="•"/>
      <w:lvlJc w:val="left"/>
      <w:pPr>
        <w:ind w:left="3671" w:hanging="360"/>
      </w:pPr>
      <w:rPr>
        <w:rFonts w:hint="default"/>
        <w:lang w:val="ro-RO" w:eastAsia="en-US" w:bidi="ar-SA"/>
      </w:rPr>
    </w:lvl>
    <w:lvl w:ilvl="4" w:tplc="5764EF76">
      <w:numFmt w:val="bullet"/>
      <w:lvlText w:val="•"/>
      <w:lvlJc w:val="left"/>
      <w:pPr>
        <w:ind w:left="4766" w:hanging="360"/>
      </w:pPr>
      <w:rPr>
        <w:rFonts w:hint="default"/>
        <w:lang w:val="ro-RO" w:eastAsia="en-US" w:bidi="ar-SA"/>
      </w:rPr>
    </w:lvl>
    <w:lvl w:ilvl="5" w:tplc="355458F6">
      <w:numFmt w:val="bullet"/>
      <w:lvlText w:val="•"/>
      <w:lvlJc w:val="left"/>
      <w:pPr>
        <w:ind w:left="5862" w:hanging="360"/>
      </w:pPr>
      <w:rPr>
        <w:rFonts w:hint="default"/>
        <w:lang w:val="ro-RO" w:eastAsia="en-US" w:bidi="ar-SA"/>
      </w:rPr>
    </w:lvl>
    <w:lvl w:ilvl="6" w:tplc="72D4B4D0">
      <w:numFmt w:val="bullet"/>
      <w:lvlText w:val="•"/>
      <w:lvlJc w:val="left"/>
      <w:pPr>
        <w:ind w:left="6958" w:hanging="360"/>
      </w:pPr>
      <w:rPr>
        <w:rFonts w:hint="default"/>
        <w:lang w:val="ro-RO" w:eastAsia="en-US" w:bidi="ar-SA"/>
      </w:rPr>
    </w:lvl>
    <w:lvl w:ilvl="7" w:tplc="01462EBC">
      <w:numFmt w:val="bullet"/>
      <w:lvlText w:val="•"/>
      <w:lvlJc w:val="left"/>
      <w:pPr>
        <w:ind w:left="8053" w:hanging="360"/>
      </w:pPr>
      <w:rPr>
        <w:rFonts w:hint="default"/>
        <w:lang w:val="ro-RO" w:eastAsia="en-US" w:bidi="ar-SA"/>
      </w:rPr>
    </w:lvl>
    <w:lvl w:ilvl="8" w:tplc="28D499C6">
      <w:numFmt w:val="bullet"/>
      <w:lvlText w:val="•"/>
      <w:lvlJc w:val="left"/>
      <w:pPr>
        <w:ind w:left="9149" w:hanging="360"/>
      </w:pPr>
      <w:rPr>
        <w:rFonts w:hint="default"/>
        <w:lang w:val="ro-RO" w:eastAsia="en-US" w:bidi="ar-SA"/>
      </w:rPr>
    </w:lvl>
  </w:abstractNum>
  <w:abstractNum w:abstractNumId="136" w15:restartNumberingAfterBreak="0">
    <w:nsid w:val="7BDEC03F"/>
    <w:multiLevelType w:val="hybridMultilevel"/>
    <w:tmpl w:val="00000000"/>
    <w:lvl w:ilvl="0" w:tplc="F81AB93C">
      <w:numFmt w:val="bullet"/>
      <w:lvlText w:val="●"/>
      <w:lvlJc w:val="left"/>
      <w:pPr>
        <w:ind w:left="2204" w:hanging="173"/>
      </w:pPr>
      <w:rPr>
        <w:rFonts w:ascii="Calibri" w:eastAsia="Calibri" w:hAnsi="Calibri" w:cs="Calibri" w:hint="default"/>
        <w:b w:val="0"/>
        <w:bCs w:val="0"/>
        <w:i w:val="0"/>
        <w:iCs w:val="0"/>
        <w:spacing w:val="0"/>
        <w:w w:val="100"/>
        <w:sz w:val="18"/>
        <w:szCs w:val="18"/>
        <w:lang w:val="ro-RO" w:eastAsia="en-US" w:bidi="ar-SA"/>
      </w:rPr>
    </w:lvl>
    <w:lvl w:ilvl="1" w:tplc="E50A6A38">
      <w:numFmt w:val="bullet"/>
      <w:lvlText w:val="•"/>
      <w:lvlJc w:val="left"/>
      <w:pPr>
        <w:ind w:left="2909" w:hanging="173"/>
      </w:pPr>
      <w:rPr>
        <w:rFonts w:hint="default"/>
        <w:lang w:val="ro-RO" w:eastAsia="en-US" w:bidi="ar-SA"/>
      </w:rPr>
    </w:lvl>
    <w:lvl w:ilvl="2" w:tplc="49AA6C18">
      <w:numFmt w:val="bullet"/>
      <w:lvlText w:val="•"/>
      <w:lvlJc w:val="left"/>
      <w:pPr>
        <w:ind w:left="3619" w:hanging="173"/>
      </w:pPr>
      <w:rPr>
        <w:rFonts w:hint="default"/>
        <w:lang w:val="ro-RO" w:eastAsia="en-US" w:bidi="ar-SA"/>
      </w:rPr>
    </w:lvl>
    <w:lvl w:ilvl="3" w:tplc="48EA999E">
      <w:numFmt w:val="bullet"/>
      <w:lvlText w:val="•"/>
      <w:lvlJc w:val="left"/>
      <w:pPr>
        <w:ind w:left="4329" w:hanging="173"/>
      </w:pPr>
      <w:rPr>
        <w:rFonts w:hint="default"/>
        <w:lang w:val="ro-RO" w:eastAsia="en-US" w:bidi="ar-SA"/>
      </w:rPr>
    </w:lvl>
    <w:lvl w:ilvl="4" w:tplc="ADE0F86E">
      <w:numFmt w:val="bullet"/>
      <w:lvlText w:val="•"/>
      <w:lvlJc w:val="left"/>
      <w:pPr>
        <w:ind w:left="5039" w:hanging="173"/>
      </w:pPr>
      <w:rPr>
        <w:rFonts w:hint="default"/>
        <w:lang w:val="ro-RO" w:eastAsia="en-US" w:bidi="ar-SA"/>
      </w:rPr>
    </w:lvl>
    <w:lvl w:ilvl="5" w:tplc="476ED63A">
      <w:numFmt w:val="bullet"/>
      <w:lvlText w:val="•"/>
      <w:lvlJc w:val="left"/>
      <w:pPr>
        <w:ind w:left="5749" w:hanging="173"/>
      </w:pPr>
      <w:rPr>
        <w:rFonts w:hint="default"/>
        <w:lang w:val="ro-RO" w:eastAsia="en-US" w:bidi="ar-SA"/>
      </w:rPr>
    </w:lvl>
    <w:lvl w:ilvl="6" w:tplc="09B4B326">
      <w:numFmt w:val="bullet"/>
      <w:lvlText w:val="•"/>
      <w:lvlJc w:val="left"/>
      <w:pPr>
        <w:ind w:left="6458" w:hanging="173"/>
      </w:pPr>
      <w:rPr>
        <w:rFonts w:hint="default"/>
        <w:lang w:val="ro-RO" w:eastAsia="en-US" w:bidi="ar-SA"/>
      </w:rPr>
    </w:lvl>
    <w:lvl w:ilvl="7" w:tplc="395E242E">
      <w:numFmt w:val="bullet"/>
      <w:lvlText w:val="•"/>
      <w:lvlJc w:val="left"/>
      <w:pPr>
        <w:ind w:left="7168" w:hanging="173"/>
      </w:pPr>
      <w:rPr>
        <w:rFonts w:hint="default"/>
        <w:lang w:val="ro-RO" w:eastAsia="en-US" w:bidi="ar-SA"/>
      </w:rPr>
    </w:lvl>
    <w:lvl w:ilvl="8" w:tplc="7AD0EB84">
      <w:numFmt w:val="bullet"/>
      <w:lvlText w:val="•"/>
      <w:lvlJc w:val="left"/>
      <w:pPr>
        <w:ind w:left="7878" w:hanging="173"/>
      </w:pPr>
      <w:rPr>
        <w:rFonts w:hint="default"/>
        <w:lang w:val="ro-RO" w:eastAsia="en-US" w:bidi="ar-SA"/>
      </w:rPr>
    </w:lvl>
  </w:abstractNum>
  <w:abstractNum w:abstractNumId="137" w15:restartNumberingAfterBreak="0">
    <w:nsid w:val="7C7519DC"/>
    <w:multiLevelType w:val="hybridMultilevel"/>
    <w:tmpl w:val="00000000"/>
    <w:lvl w:ilvl="0" w:tplc="D5BE87A0">
      <w:numFmt w:val="bullet"/>
      <w:lvlText w:val="•"/>
      <w:lvlJc w:val="left"/>
      <w:pPr>
        <w:ind w:left="1060" w:hanging="360"/>
      </w:pPr>
      <w:rPr>
        <w:rFonts w:ascii="Calibri" w:eastAsia="Calibri" w:hAnsi="Calibri" w:cs="Calibri" w:hint="default"/>
        <w:spacing w:val="0"/>
        <w:w w:val="92"/>
        <w:lang w:val="ro-RO" w:eastAsia="en-US" w:bidi="ar-SA"/>
      </w:rPr>
    </w:lvl>
    <w:lvl w:ilvl="1" w:tplc="8592A108">
      <w:numFmt w:val="bullet"/>
      <w:lvlText w:val="•"/>
      <w:lvlJc w:val="left"/>
      <w:pPr>
        <w:ind w:left="2031" w:hanging="360"/>
      </w:pPr>
      <w:rPr>
        <w:rFonts w:hint="default"/>
        <w:lang w:val="ro-RO" w:eastAsia="en-US" w:bidi="ar-SA"/>
      </w:rPr>
    </w:lvl>
    <w:lvl w:ilvl="2" w:tplc="46CA2BAC">
      <w:numFmt w:val="bullet"/>
      <w:lvlText w:val="•"/>
      <w:lvlJc w:val="left"/>
      <w:pPr>
        <w:ind w:left="3002" w:hanging="360"/>
      </w:pPr>
      <w:rPr>
        <w:rFonts w:hint="default"/>
        <w:lang w:val="ro-RO" w:eastAsia="en-US" w:bidi="ar-SA"/>
      </w:rPr>
    </w:lvl>
    <w:lvl w:ilvl="3" w:tplc="D4A692FC">
      <w:numFmt w:val="bullet"/>
      <w:lvlText w:val="•"/>
      <w:lvlJc w:val="left"/>
      <w:pPr>
        <w:ind w:left="3974" w:hanging="360"/>
      </w:pPr>
      <w:rPr>
        <w:rFonts w:hint="default"/>
        <w:lang w:val="ro-RO" w:eastAsia="en-US" w:bidi="ar-SA"/>
      </w:rPr>
    </w:lvl>
    <w:lvl w:ilvl="4" w:tplc="620CF10A">
      <w:numFmt w:val="bullet"/>
      <w:lvlText w:val="•"/>
      <w:lvlJc w:val="left"/>
      <w:pPr>
        <w:ind w:left="4945" w:hanging="360"/>
      </w:pPr>
      <w:rPr>
        <w:rFonts w:hint="default"/>
        <w:lang w:val="ro-RO" w:eastAsia="en-US" w:bidi="ar-SA"/>
      </w:rPr>
    </w:lvl>
    <w:lvl w:ilvl="5" w:tplc="A34C2C06">
      <w:numFmt w:val="bullet"/>
      <w:lvlText w:val="•"/>
      <w:lvlJc w:val="left"/>
      <w:pPr>
        <w:ind w:left="5916" w:hanging="360"/>
      </w:pPr>
      <w:rPr>
        <w:rFonts w:hint="default"/>
        <w:lang w:val="ro-RO" w:eastAsia="en-US" w:bidi="ar-SA"/>
      </w:rPr>
    </w:lvl>
    <w:lvl w:ilvl="6" w:tplc="52587312">
      <w:numFmt w:val="bullet"/>
      <w:lvlText w:val="•"/>
      <w:lvlJc w:val="left"/>
      <w:pPr>
        <w:ind w:left="6888" w:hanging="360"/>
      </w:pPr>
      <w:rPr>
        <w:rFonts w:hint="default"/>
        <w:lang w:val="ro-RO" w:eastAsia="en-US" w:bidi="ar-SA"/>
      </w:rPr>
    </w:lvl>
    <w:lvl w:ilvl="7" w:tplc="0698401A">
      <w:numFmt w:val="bullet"/>
      <w:lvlText w:val="•"/>
      <w:lvlJc w:val="left"/>
      <w:pPr>
        <w:ind w:left="7859" w:hanging="360"/>
      </w:pPr>
      <w:rPr>
        <w:rFonts w:hint="default"/>
        <w:lang w:val="ro-RO" w:eastAsia="en-US" w:bidi="ar-SA"/>
      </w:rPr>
    </w:lvl>
    <w:lvl w:ilvl="8" w:tplc="B706DCE4">
      <w:numFmt w:val="bullet"/>
      <w:lvlText w:val="•"/>
      <w:lvlJc w:val="left"/>
      <w:pPr>
        <w:ind w:left="8830" w:hanging="360"/>
      </w:pPr>
      <w:rPr>
        <w:rFonts w:hint="default"/>
        <w:lang w:val="ro-RO" w:eastAsia="en-US" w:bidi="ar-SA"/>
      </w:rPr>
    </w:lvl>
  </w:abstractNum>
  <w:abstractNum w:abstractNumId="138" w15:restartNumberingAfterBreak="0">
    <w:nsid w:val="7D394C8C"/>
    <w:multiLevelType w:val="hybridMultilevel"/>
    <w:tmpl w:val="92429908"/>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39" w15:restartNumberingAfterBreak="0">
    <w:nsid w:val="7E6DB528"/>
    <w:multiLevelType w:val="hybridMultilevel"/>
    <w:tmpl w:val="00000000"/>
    <w:lvl w:ilvl="0" w:tplc="F48099B0">
      <w:numFmt w:val="bullet"/>
      <w:lvlText w:val="●"/>
      <w:lvlJc w:val="left"/>
      <w:pPr>
        <w:ind w:left="2099" w:hanging="173"/>
      </w:pPr>
      <w:rPr>
        <w:rFonts w:ascii="Calibri" w:eastAsia="Calibri" w:hAnsi="Calibri" w:cs="Calibri" w:hint="default"/>
        <w:b w:val="0"/>
        <w:bCs w:val="0"/>
        <w:i w:val="0"/>
        <w:iCs w:val="0"/>
        <w:spacing w:val="0"/>
        <w:w w:val="100"/>
        <w:sz w:val="18"/>
        <w:szCs w:val="18"/>
        <w:lang w:val="ro-RO" w:eastAsia="en-US" w:bidi="ar-SA"/>
      </w:rPr>
    </w:lvl>
    <w:lvl w:ilvl="1" w:tplc="88941C68">
      <w:numFmt w:val="bullet"/>
      <w:lvlText w:val="•"/>
      <w:lvlJc w:val="left"/>
      <w:pPr>
        <w:ind w:left="2819" w:hanging="173"/>
      </w:pPr>
      <w:rPr>
        <w:rFonts w:hint="default"/>
        <w:lang w:val="ro-RO" w:eastAsia="en-US" w:bidi="ar-SA"/>
      </w:rPr>
    </w:lvl>
    <w:lvl w:ilvl="2" w:tplc="4176BF1A">
      <w:numFmt w:val="bullet"/>
      <w:lvlText w:val="•"/>
      <w:lvlJc w:val="left"/>
      <w:pPr>
        <w:ind w:left="3539" w:hanging="173"/>
      </w:pPr>
      <w:rPr>
        <w:rFonts w:hint="default"/>
        <w:lang w:val="ro-RO" w:eastAsia="en-US" w:bidi="ar-SA"/>
      </w:rPr>
    </w:lvl>
    <w:lvl w:ilvl="3" w:tplc="D024B094">
      <w:numFmt w:val="bullet"/>
      <w:lvlText w:val="•"/>
      <w:lvlJc w:val="left"/>
      <w:pPr>
        <w:ind w:left="4259" w:hanging="173"/>
      </w:pPr>
      <w:rPr>
        <w:rFonts w:hint="default"/>
        <w:lang w:val="ro-RO" w:eastAsia="en-US" w:bidi="ar-SA"/>
      </w:rPr>
    </w:lvl>
    <w:lvl w:ilvl="4" w:tplc="B8E26698">
      <w:numFmt w:val="bullet"/>
      <w:lvlText w:val="•"/>
      <w:lvlJc w:val="left"/>
      <w:pPr>
        <w:ind w:left="4979" w:hanging="173"/>
      </w:pPr>
      <w:rPr>
        <w:rFonts w:hint="default"/>
        <w:lang w:val="ro-RO" w:eastAsia="en-US" w:bidi="ar-SA"/>
      </w:rPr>
    </w:lvl>
    <w:lvl w:ilvl="5" w:tplc="30EC397C">
      <w:numFmt w:val="bullet"/>
      <w:lvlText w:val="•"/>
      <w:lvlJc w:val="left"/>
      <w:pPr>
        <w:ind w:left="5699" w:hanging="173"/>
      </w:pPr>
      <w:rPr>
        <w:rFonts w:hint="default"/>
        <w:lang w:val="ro-RO" w:eastAsia="en-US" w:bidi="ar-SA"/>
      </w:rPr>
    </w:lvl>
    <w:lvl w:ilvl="6" w:tplc="B51ECD2C">
      <w:numFmt w:val="bullet"/>
      <w:lvlText w:val="•"/>
      <w:lvlJc w:val="left"/>
      <w:pPr>
        <w:ind w:left="6418" w:hanging="173"/>
      </w:pPr>
      <w:rPr>
        <w:rFonts w:hint="default"/>
        <w:lang w:val="ro-RO" w:eastAsia="en-US" w:bidi="ar-SA"/>
      </w:rPr>
    </w:lvl>
    <w:lvl w:ilvl="7" w:tplc="C5F0095A">
      <w:numFmt w:val="bullet"/>
      <w:lvlText w:val="•"/>
      <w:lvlJc w:val="left"/>
      <w:pPr>
        <w:ind w:left="7138" w:hanging="173"/>
      </w:pPr>
      <w:rPr>
        <w:rFonts w:hint="default"/>
        <w:lang w:val="ro-RO" w:eastAsia="en-US" w:bidi="ar-SA"/>
      </w:rPr>
    </w:lvl>
    <w:lvl w:ilvl="8" w:tplc="3FC8255C">
      <w:numFmt w:val="bullet"/>
      <w:lvlText w:val="•"/>
      <w:lvlJc w:val="left"/>
      <w:pPr>
        <w:ind w:left="7858" w:hanging="173"/>
      </w:pPr>
      <w:rPr>
        <w:rFonts w:hint="default"/>
        <w:lang w:val="ro-RO" w:eastAsia="en-US" w:bidi="ar-SA"/>
      </w:rPr>
    </w:lvl>
  </w:abstractNum>
  <w:abstractNum w:abstractNumId="140" w15:restartNumberingAfterBreak="0">
    <w:nsid w:val="7F592B20"/>
    <w:multiLevelType w:val="hybridMultilevel"/>
    <w:tmpl w:val="00000000"/>
    <w:lvl w:ilvl="0" w:tplc="0B9EEDD4">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9EF00D66">
      <w:numFmt w:val="bullet"/>
      <w:lvlText w:val="•"/>
      <w:lvlJc w:val="left"/>
      <w:pPr>
        <w:ind w:left="1643" w:hanging="360"/>
      </w:pPr>
      <w:rPr>
        <w:rFonts w:hint="default"/>
        <w:lang w:val="ro-RO" w:eastAsia="en-US" w:bidi="ar-SA"/>
      </w:rPr>
    </w:lvl>
    <w:lvl w:ilvl="2" w:tplc="44AA9F48">
      <w:numFmt w:val="bullet"/>
      <w:lvlText w:val="•"/>
      <w:lvlJc w:val="left"/>
      <w:pPr>
        <w:ind w:left="2467" w:hanging="360"/>
      </w:pPr>
      <w:rPr>
        <w:rFonts w:hint="default"/>
        <w:lang w:val="ro-RO" w:eastAsia="en-US" w:bidi="ar-SA"/>
      </w:rPr>
    </w:lvl>
    <w:lvl w:ilvl="3" w:tplc="297CF4A2">
      <w:numFmt w:val="bullet"/>
      <w:lvlText w:val="•"/>
      <w:lvlJc w:val="left"/>
      <w:pPr>
        <w:ind w:left="3291" w:hanging="360"/>
      </w:pPr>
      <w:rPr>
        <w:rFonts w:hint="default"/>
        <w:lang w:val="ro-RO" w:eastAsia="en-US" w:bidi="ar-SA"/>
      </w:rPr>
    </w:lvl>
    <w:lvl w:ilvl="4" w:tplc="97BEDFB4">
      <w:numFmt w:val="bullet"/>
      <w:lvlText w:val="•"/>
      <w:lvlJc w:val="left"/>
      <w:pPr>
        <w:ind w:left="4115" w:hanging="360"/>
      </w:pPr>
      <w:rPr>
        <w:rFonts w:hint="default"/>
        <w:lang w:val="ro-RO" w:eastAsia="en-US" w:bidi="ar-SA"/>
      </w:rPr>
    </w:lvl>
    <w:lvl w:ilvl="5" w:tplc="BCE05C22">
      <w:numFmt w:val="bullet"/>
      <w:lvlText w:val="•"/>
      <w:lvlJc w:val="left"/>
      <w:pPr>
        <w:ind w:left="4939" w:hanging="360"/>
      </w:pPr>
      <w:rPr>
        <w:rFonts w:hint="default"/>
        <w:lang w:val="ro-RO" w:eastAsia="en-US" w:bidi="ar-SA"/>
      </w:rPr>
    </w:lvl>
    <w:lvl w:ilvl="6" w:tplc="0AEC5FBC">
      <w:numFmt w:val="bullet"/>
      <w:lvlText w:val="•"/>
      <w:lvlJc w:val="left"/>
      <w:pPr>
        <w:ind w:left="5763" w:hanging="360"/>
      </w:pPr>
      <w:rPr>
        <w:rFonts w:hint="default"/>
        <w:lang w:val="ro-RO" w:eastAsia="en-US" w:bidi="ar-SA"/>
      </w:rPr>
    </w:lvl>
    <w:lvl w:ilvl="7" w:tplc="3574035E">
      <w:numFmt w:val="bullet"/>
      <w:lvlText w:val="•"/>
      <w:lvlJc w:val="left"/>
      <w:pPr>
        <w:ind w:left="6587" w:hanging="360"/>
      </w:pPr>
      <w:rPr>
        <w:rFonts w:hint="default"/>
        <w:lang w:val="ro-RO" w:eastAsia="en-US" w:bidi="ar-SA"/>
      </w:rPr>
    </w:lvl>
    <w:lvl w:ilvl="8" w:tplc="77AC6498">
      <w:numFmt w:val="bullet"/>
      <w:lvlText w:val="•"/>
      <w:lvlJc w:val="left"/>
      <w:pPr>
        <w:ind w:left="7411" w:hanging="360"/>
      </w:pPr>
      <w:rPr>
        <w:rFonts w:hint="default"/>
        <w:lang w:val="ro-RO" w:eastAsia="en-US" w:bidi="ar-SA"/>
      </w:rPr>
    </w:lvl>
  </w:abstractNum>
  <w:num w:numId="1" w16cid:durableId="320232059">
    <w:abstractNumId w:val="90"/>
  </w:num>
  <w:num w:numId="2" w16cid:durableId="2032608116">
    <w:abstractNumId w:val="82"/>
  </w:num>
  <w:num w:numId="3" w16cid:durableId="37096767">
    <w:abstractNumId w:val="107"/>
  </w:num>
  <w:num w:numId="4" w16cid:durableId="1663121609">
    <w:abstractNumId w:val="132"/>
  </w:num>
  <w:num w:numId="5" w16cid:durableId="2095936163">
    <w:abstractNumId w:val="133"/>
  </w:num>
  <w:num w:numId="6" w16cid:durableId="1752198455">
    <w:abstractNumId w:val="129"/>
  </w:num>
  <w:num w:numId="7" w16cid:durableId="1294676048">
    <w:abstractNumId w:val="26"/>
  </w:num>
  <w:num w:numId="8" w16cid:durableId="979379623">
    <w:abstractNumId w:val="48"/>
  </w:num>
  <w:num w:numId="9" w16cid:durableId="1001199424">
    <w:abstractNumId w:val="69"/>
  </w:num>
  <w:num w:numId="10" w16cid:durableId="369957933">
    <w:abstractNumId w:val="92"/>
  </w:num>
  <w:num w:numId="11" w16cid:durableId="1399553411">
    <w:abstractNumId w:val="140"/>
  </w:num>
  <w:num w:numId="12" w16cid:durableId="108741938">
    <w:abstractNumId w:val="61"/>
  </w:num>
  <w:num w:numId="13" w16cid:durableId="952057366">
    <w:abstractNumId w:val="16"/>
  </w:num>
  <w:num w:numId="14" w16cid:durableId="1472677731">
    <w:abstractNumId w:val="47"/>
  </w:num>
  <w:num w:numId="15" w16cid:durableId="1543637145">
    <w:abstractNumId w:val="46"/>
  </w:num>
  <w:num w:numId="16" w16cid:durableId="995960930">
    <w:abstractNumId w:val="108"/>
  </w:num>
  <w:num w:numId="17" w16cid:durableId="594364371">
    <w:abstractNumId w:val="5"/>
  </w:num>
  <w:num w:numId="18" w16cid:durableId="310332588">
    <w:abstractNumId w:val="60"/>
  </w:num>
  <w:num w:numId="19" w16cid:durableId="1419253828">
    <w:abstractNumId w:val="118"/>
  </w:num>
  <w:num w:numId="20" w16cid:durableId="1224951311">
    <w:abstractNumId w:val="81"/>
  </w:num>
  <w:num w:numId="21" w16cid:durableId="1185747885">
    <w:abstractNumId w:val="10"/>
  </w:num>
  <w:num w:numId="22" w16cid:durableId="533615322">
    <w:abstractNumId w:val="9"/>
  </w:num>
  <w:num w:numId="23" w16cid:durableId="475268976">
    <w:abstractNumId w:val="78"/>
  </w:num>
  <w:num w:numId="24" w16cid:durableId="1804887611">
    <w:abstractNumId w:val="99"/>
  </w:num>
  <w:num w:numId="25" w16cid:durableId="1295330975">
    <w:abstractNumId w:val="52"/>
  </w:num>
  <w:num w:numId="26" w16cid:durableId="1921599149">
    <w:abstractNumId w:val="57"/>
  </w:num>
  <w:num w:numId="27" w16cid:durableId="1890604547">
    <w:abstractNumId w:val="54"/>
  </w:num>
  <w:num w:numId="28" w16cid:durableId="1600872533">
    <w:abstractNumId w:val="137"/>
  </w:num>
  <w:num w:numId="29" w16cid:durableId="1942250635">
    <w:abstractNumId w:val="105"/>
  </w:num>
  <w:num w:numId="30" w16cid:durableId="158349147">
    <w:abstractNumId w:val="2"/>
  </w:num>
  <w:num w:numId="31" w16cid:durableId="522986409">
    <w:abstractNumId w:val="12"/>
  </w:num>
  <w:num w:numId="32" w16cid:durableId="1370105025">
    <w:abstractNumId w:val="53"/>
  </w:num>
  <w:num w:numId="33" w16cid:durableId="1230727801">
    <w:abstractNumId w:val="45"/>
  </w:num>
  <w:num w:numId="34" w16cid:durableId="745805443">
    <w:abstractNumId w:val="11"/>
  </w:num>
  <w:num w:numId="35" w16cid:durableId="2029211970">
    <w:abstractNumId w:val="106"/>
  </w:num>
  <w:num w:numId="36" w16cid:durableId="1841116224">
    <w:abstractNumId w:val="94"/>
  </w:num>
  <w:num w:numId="37" w16cid:durableId="116874873">
    <w:abstractNumId w:val="34"/>
  </w:num>
  <w:num w:numId="38" w16cid:durableId="283924477">
    <w:abstractNumId w:val="1"/>
  </w:num>
  <w:num w:numId="39" w16cid:durableId="204610771">
    <w:abstractNumId w:val="55"/>
  </w:num>
  <w:num w:numId="40" w16cid:durableId="347298761">
    <w:abstractNumId w:val="58"/>
  </w:num>
  <w:num w:numId="41" w16cid:durableId="1812675468">
    <w:abstractNumId w:val="67"/>
  </w:num>
  <w:num w:numId="42" w16cid:durableId="104469903">
    <w:abstractNumId w:val="27"/>
  </w:num>
  <w:num w:numId="43" w16cid:durableId="2127498725">
    <w:abstractNumId w:val="128"/>
  </w:num>
  <w:num w:numId="44" w16cid:durableId="818303539">
    <w:abstractNumId w:val="93"/>
  </w:num>
  <w:num w:numId="45" w16cid:durableId="1127043417">
    <w:abstractNumId w:val="119"/>
  </w:num>
  <w:num w:numId="46" w16cid:durableId="175657195">
    <w:abstractNumId w:val="112"/>
  </w:num>
  <w:num w:numId="47" w16cid:durableId="1790080837">
    <w:abstractNumId w:val="43"/>
  </w:num>
  <w:num w:numId="48" w16cid:durableId="1130056024">
    <w:abstractNumId w:val="87"/>
  </w:num>
  <w:num w:numId="49" w16cid:durableId="2094933129">
    <w:abstractNumId w:val="131"/>
  </w:num>
  <w:num w:numId="50" w16cid:durableId="1940288410">
    <w:abstractNumId w:val="136"/>
  </w:num>
  <w:num w:numId="51" w16cid:durableId="1755856928">
    <w:abstractNumId w:val="0"/>
  </w:num>
  <w:num w:numId="52" w16cid:durableId="1202476756">
    <w:abstractNumId w:val="64"/>
  </w:num>
  <w:num w:numId="53" w16cid:durableId="1960649901">
    <w:abstractNumId w:val="113"/>
  </w:num>
  <w:num w:numId="54" w16cid:durableId="924798919">
    <w:abstractNumId w:val="51"/>
  </w:num>
  <w:num w:numId="55" w16cid:durableId="1569654945">
    <w:abstractNumId w:val="56"/>
  </w:num>
  <w:num w:numId="56" w16cid:durableId="1095662942">
    <w:abstractNumId w:val="70"/>
  </w:num>
  <w:num w:numId="57" w16cid:durableId="616906992">
    <w:abstractNumId w:val="6"/>
  </w:num>
  <w:num w:numId="58" w16cid:durableId="368458488">
    <w:abstractNumId w:val="38"/>
  </w:num>
  <w:num w:numId="59" w16cid:durableId="1110778384">
    <w:abstractNumId w:val="88"/>
  </w:num>
  <w:num w:numId="60" w16cid:durableId="787234957">
    <w:abstractNumId w:val="116"/>
  </w:num>
  <w:num w:numId="61" w16cid:durableId="1983269271">
    <w:abstractNumId w:val="83"/>
  </w:num>
  <w:num w:numId="62" w16cid:durableId="1393194665">
    <w:abstractNumId w:val="115"/>
  </w:num>
  <w:num w:numId="63" w16cid:durableId="942493044">
    <w:abstractNumId w:val="75"/>
  </w:num>
  <w:num w:numId="64" w16cid:durableId="72822300">
    <w:abstractNumId w:val="125"/>
  </w:num>
  <w:num w:numId="65" w16cid:durableId="507450936">
    <w:abstractNumId w:val="95"/>
  </w:num>
  <w:num w:numId="66" w16cid:durableId="1456024634">
    <w:abstractNumId w:val="33"/>
  </w:num>
  <w:num w:numId="67" w16cid:durableId="1680693064">
    <w:abstractNumId w:val="24"/>
  </w:num>
  <w:num w:numId="68" w16cid:durableId="332342419">
    <w:abstractNumId w:val="68"/>
  </w:num>
  <w:num w:numId="69" w16cid:durableId="1075905831">
    <w:abstractNumId w:val="23"/>
  </w:num>
  <w:num w:numId="70" w16cid:durableId="1646354511">
    <w:abstractNumId w:val="96"/>
  </w:num>
  <w:num w:numId="71" w16cid:durableId="2056930491">
    <w:abstractNumId w:val="19"/>
  </w:num>
  <w:num w:numId="72" w16cid:durableId="72625638">
    <w:abstractNumId w:val="63"/>
  </w:num>
  <w:num w:numId="73" w16cid:durableId="2129934066">
    <w:abstractNumId w:val="74"/>
  </w:num>
  <w:num w:numId="74" w16cid:durableId="1319991607">
    <w:abstractNumId w:val="49"/>
  </w:num>
  <w:num w:numId="75" w16cid:durableId="1582374383">
    <w:abstractNumId w:val="62"/>
  </w:num>
  <w:num w:numId="76" w16cid:durableId="1249732702">
    <w:abstractNumId w:val="37"/>
  </w:num>
  <w:num w:numId="77" w16cid:durableId="1912228634">
    <w:abstractNumId w:val="109"/>
  </w:num>
  <w:num w:numId="78" w16cid:durableId="1152336584">
    <w:abstractNumId w:val="4"/>
  </w:num>
  <w:num w:numId="79" w16cid:durableId="1278485019">
    <w:abstractNumId w:val="139"/>
  </w:num>
  <w:num w:numId="80" w16cid:durableId="1761947041">
    <w:abstractNumId w:val="71"/>
  </w:num>
  <w:num w:numId="81" w16cid:durableId="1989698965">
    <w:abstractNumId w:val="89"/>
  </w:num>
  <w:num w:numId="82" w16cid:durableId="1471749919">
    <w:abstractNumId w:val="124"/>
  </w:num>
  <w:num w:numId="83" w16cid:durableId="1346594653">
    <w:abstractNumId w:val="8"/>
  </w:num>
  <w:num w:numId="84" w16cid:durableId="621375724">
    <w:abstractNumId w:val="22"/>
  </w:num>
  <w:num w:numId="85" w16cid:durableId="1422946104">
    <w:abstractNumId w:val="127"/>
  </w:num>
  <w:num w:numId="86" w16cid:durableId="213197505">
    <w:abstractNumId w:val="66"/>
  </w:num>
  <w:num w:numId="87" w16cid:durableId="205803523">
    <w:abstractNumId w:val="77"/>
  </w:num>
  <w:num w:numId="88" w16cid:durableId="2122410643">
    <w:abstractNumId w:val="7"/>
  </w:num>
  <w:num w:numId="89" w16cid:durableId="1661154385">
    <w:abstractNumId w:val="123"/>
  </w:num>
  <w:num w:numId="90" w16cid:durableId="795029607">
    <w:abstractNumId w:val="102"/>
  </w:num>
  <w:num w:numId="91" w16cid:durableId="1934780031">
    <w:abstractNumId w:val="130"/>
  </w:num>
  <w:num w:numId="92" w16cid:durableId="2134669197">
    <w:abstractNumId w:val="101"/>
  </w:num>
  <w:num w:numId="93" w16cid:durableId="993408151">
    <w:abstractNumId w:val="103"/>
  </w:num>
  <w:num w:numId="94" w16cid:durableId="1944680230">
    <w:abstractNumId w:val="65"/>
  </w:num>
  <w:num w:numId="95" w16cid:durableId="157187250">
    <w:abstractNumId w:val="20"/>
  </w:num>
  <w:num w:numId="96" w16cid:durableId="1585409345">
    <w:abstractNumId w:val="98"/>
  </w:num>
  <w:num w:numId="97" w16cid:durableId="1391807535">
    <w:abstractNumId w:val="28"/>
  </w:num>
  <w:num w:numId="98" w16cid:durableId="485050602">
    <w:abstractNumId w:val="59"/>
  </w:num>
  <w:num w:numId="99" w16cid:durableId="1238785111">
    <w:abstractNumId w:val="135"/>
  </w:num>
  <w:num w:numId="100" w16cid:durableId="27143517">
    <w:abstractNumId w:val="121"/>
  </w:num>
  <w:num w:numId="101" w16cid:durableId="1166552219">
    <w:abstractNumId w:val="32"/>
  </w:num>
  <w:num w:numId="102" w16cid:durableId="2084528174">
    <w:abstractNumId w:val="36"/>
  </w:num>
  <w:num w:numId="103" w16cid:durableId="1007193">
    <w:abstractNumId w:val="111"/>
  </w:num>
  <w:num w:numId="104" w16cid:durableId="2011902969">
    <w:abstractNumId w:val="41"/>
  </w:num>
  <w:num w:numId="105" w16cid:durableId="56443597">
    <w:abstractNumId w:val="84"/>
  </w:num>
  <w:num w:numId="106" w16cid:durableId="2029213482">
    <w:abstractNumId w:val="97"/>
  </w:num>
  <w:num w:numId="107" w16cid:durableId="76176836">
    <w:abstractNumId w:val="76"/>
  </w:num>
  <w:num w:numId="108" w16cid:durableId="1421755820">
    <w:abstractNumId w:val="134"/>
  </w:num>
  <w:num w:numId="109" w16cid:durableId="61367463">
    <w:abstractNumId w:val="100"/>
  </w:num>
  <w:num w:numId="110" w16cid:durableId="2113044319">
    <w:abstractNumId w:val="13"/>
  </w:num>
  <w:num w:numId="111" w16cid:durableId="1399092714">
    <w:abstractNumId w:val="25"/>
  </w:num>
  <w:num w:numId="112" w16cid:durableId="1723868845">
    <w:abstractNumId w:val="50"/>
  </w:num>
  <w:num w:numId="113" w16cid:durableId="367461561">
    <w:abstractNumId w:val="29"/>
  </w:num>
  <w:num w:numId="114" w16cid:durableId="1454058471">
    <w:abstractNumId w:val="44"/>
  </w:num>
  <w:num w:numId="115" w16cid:durableId="3633105">
    <w:abstractNumId w:val="73"/>
  </w:num>
  <w:num w:numId="116" w16cid:durableId="2094356376">
    <w:abstractNumId w:val="126"/>
  </w:num>
  <w:num w:numId="117" w16cid:durableId="266741130">
    <w:abstractNumId w:val="72"/>
  </w:num>
  <w:num w:numId="118" w16cid:durableId="877396484">
    <w:abstractNumId w:val="14"/>
  </w:num>
  <w:num w:numId="119" w16cid:durableId="2067145401">
    <w:abstractNumId w:val="35"/>
  </w:num>
  <w:num w:numId="120" w16cid:durableId="1018122173">
    <w:abstractNumId w:val="80"/>
  </w:num>
  <w:num w:numId="121" w16cid:durableId="1985575654">
    <w:abstractNumId w:val="17"/>
  </w:num>
  <w:num w:numId="122" w16cid:durableId="1090388950">
    <w:abstractNumId w:val="86"/>
  </w:num>
  <w:num w:numId="123" w16cid:durableId="363991960">
    <w:abstractNumId w:val="114"/>
  </w:num>
  <w:num w:numId="124" w16cid:durableId="1433403728">
    <w:abstractNumId w:val="15"/>
  </w:num>
  <w:num w:numId="125" w16cid:durableId="17584322">
    <w:abstractNumId w:val="120"/>
  </w:num>
  <w:num w:numId="126" w16cid:durableId="1545754857">
    <w:abstractNumId w:val="21"/>
  </w:num>
  <w:num w:numId="127" w16cid:durableId="946043792">
    <w:abstractNumId w:val="3"/>
  </w:num>
  <w:num w:numId="128" w16cid:durableId="1307054124">
    <w:abstractNumId w:val="31"/>
  </w:num>
  <w:num w:numId="129" w16cid:durableId="714895401">
    <w:abstractNumId w:val="40"/>
  </w:num>
  <w:num w:numId="130" w16cid:durableId="951978314">
    <w:abstractNumId w:val="138"/>
  </w:num>
  <w:num w:numId="131" w16cid:durableId="511451738">
    <w:abstractNumId w:val="18"/>
  </w:num>
  <w:num w:numId="132" w16cid:durableId="1408917859">
    <w:abstractNumId w:val="85"/>
  </w:num>
  <w:num w:numId="133" w16cid:durableId="728841152">
    <w:abstractNumId w:val="122"/>
  </w:num>
  <w:num w:numId="134" w16cid:durableId="1497381035">
    <w:abstractNumId w:val="42"/>
  </w:num>
  <w:num w:numId="135" w16cid:durableId="775104005">
    <w:abstractNumId w:val="91"/>
  </w:num>
  <w:num w:numId="136" w16cid:durableId="372539222">
    <w:abstractNumId w:val="104"/>
  </w:num>
  <w:num w:numId="137" w16cid:durableId="866065078">
    <w:abstractNumId w:val="110"/>
  </w:num>
  <w:num w:numId="138" w16cid:durableId="736057483">
    <w:abstractNumId w:val="39"/>
  </w:num>
  <w:num w:numId="139" w16cid:durableId="1441220498">
    <w:abstractNumId w:val="117"/>
  </w:num>
  <w:num w:numId="140" w16cid:durableId="1175727939">
    <w:abstractNumId w:val="79"/>
  </w:num>
  <w:num w:numId="141" w16cid:durableId="50420429">
    <w:abstractNumId w:val="30"/>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15BE"/>
    <w:rsid w:val="00015F4E"/>
    <w:rsid w:val="000A0F43"/>
    <w:rsid w:val="000B67C7"/>
    <w:rsid w:val="000E490E"/>
    <w:rsid w:val="001454DA"/>
    <w:rsid w:val="00177DD4"/>
    <w:rsid w:val="001A2884"/>
    <w:rsid w:val="001A36C7"/>
    <w:rsid w:val="001A5511"/>
    <w:rsid w:val="001B3BB8"/>
    <w:rsid w:val="00202201"/>
    <w:rsid w:val="002A4F7C"/>
    <w:rsid w:val="00315146"/>
    <w:rsid w:val="00351101"/>
    <w:rsid w:val="00365731"/>
    <w:rsid w:val="00395034"/>
    <w:rsid w:val="00427308"/>
    <w:rsid w:val="0053798D"/>
    <w:rsid w:val="00557D84"/>
    <w:rsid w:val="005661E6"/>
    <w:rsid w:val="0058402D"/>
    <w:rsid w:val="005F35E4"/>
    <w:rsid w:val="00625727"/>
    <w:rsid w:val="00671380"/>
    <w:rsid w:val="00692EED"/>
    <w:rsid w:val="006D43A0"/>
    <w:rsid w:val="007470B3"/>
    <w:rsid w:val="00791B3F"/>
    <w:rsid w:val="007B526B"/>
    <w:rsid w:val="008165EC"/>
    <w:rsid w:val="008715BE"/>
    <w:rsid w:val="00903DD2"/>
    <w:rsid w:val="009069FA"/>
    <w:rsid w:val="009316D9"/>
    <w:rsid w:val="00974FF3"/>
    <w:rsid w:val="0097680B"/>
    <w:rsid w:val="009B7BBE"/>
    <w:rsid w:val="009C3CA5"/>
    <w:rsid w:val="00A72F11"/>
    <w:rsid w:val="00A81A23"/>
    <w:rsid w:val="00A94AD8"/>
    <w:rsid w:val="00AD318E"/>
    <w:rsid w:val="00AD7AAC"/>
    <w:rsid w:val="00C278FB"/>
    <w:rsid w:val="00C35284"/>
    <w:rsid w:val="00C60ED8"/>
    <w:rsid w:val="00C76B56"/>
    <w:rsid w:val="00C92308"/>
    <w:rsid w:val="00C96230"/>
    <w:rsid w:val="00CD5C78"/>
    <w:rsid w:val="00DE6CFF"/>
    <w:rsid w:val="00E1605F"/>
    <w:rsid w:val="00E26EB0"/>
    <w:rsid w:val="00E7611D"/>
    <w:rsid w:val="00E90322"/>
    <w:rsid w:val="00EC75B7"/>
    <w:rsid w:val="00F07C48"/>
    <w:rsid w:val="00F17FED"/>
    <w:rsid w:val="00F979AE"/>
    <w:rsid w:val="00FB257C"/>
    <w:rsid w:val="00FC36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93A8EE"/>
  <w15:docId w15:val="{B7B0D695-DBE8-493E-8539-97797097D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lang w:val="ro-RO"/>
    </w:rPr>
  </w:style>
  <w:style w:type="paragraph" w:styleId="Heading1">
    <w:name w:val="heading 1"/>
    <w:basedOn w:val="Normal"/>
    <w:uiPriority w:val="1"/>
    <w:qFormat/>
    <w:pPr>
      <w:ind w:left="1485"/>
      <w:outlineLvl w:val="0"/>
    </w:pPr>
    <w:rPr>
      <w:b/>
      <w:bCs/>
      <w:sz w:val="28"/>
      <w:szCs w:val="28"/>
    </w:rPr>
  </w:style>
  <w:style w:type="paragraph" w:styleId="Heading2">
    <w:name w:val="heading 2"/>
    <w:basedOn w:val="Normal"/>
    <w:uiPriority w:val="1"/>
    <w:qFormat/>
    <w:pPr>
      <w:ind w:left="835" w:hanging="720"/>
      <w:outlineLvl w:val="1"/>
    </w:pPr>
    <w:rPr>
      <w:b/>
      <w:bCs/>
    </w:rPr>
  </w:style>
  <w:style w:type="paragraph" w:styleId="Heading3">
    <w:name w:val="heading 3"/>
    <w:basedOn w:val="Normal"/>
    <w:uiPriority w:val="1"/>
    <w:qFormat/>
    <w:pPr>
      <w:ind w:left="2037" w:hanging="986"/>
      <w:outlineLvl w:val="2"/>
    </w:pPr>
    <w:rPr>
      <w:b/>
      <w:bCs/>
      <w:sz w:val="20"/>
      <w:szCs w:val="20"/>
    </w:rPr>
  </w:style>
  <w:style w:type="paragraph" w:styleId="Heading4">
    <w:name w:val="heading 4"/>
    <w:basedOn w:val="Normal"/>
    <w:uiPriority w:val="1"/>
    <w:qFormat/>
    <w:pPr>
      <w:ind w:left="340"/>
      <w:outlineLvl w:val="3"/>
    </w:pPr>
    <w:rPr>
      <w:rFonts w:ascii="Acumin Pro Wide Black" w:eastAsia="Acumin Pro Wide Black" w:hAnsi="Acumin Pro Wide Black" w:cs="Acumin Pro Wide Black"/>
      <w:b/>
      <w:bCs/>
      <w:i/>
      <w:iCs/>
      <w:sz w:val="20"/>
      <w:szCs w:val="20"/>
    </w:rPr>
  </w:style>
  <w:style w:type="paragraph" w:styleId="Heading5">
    <w:name w:val="heading 5"/>
    <w:basedOn w:val="Normal"/>
    <w:uiPriority w:val="1"/>
    <w:qFormat/>
    <w:pPr>
      <w:ind w:left="57"/>
      <w:jc w:val="both"/>
      <w:outlineLvl w:val="4"/>
    </w:pPr>
    <w:rPr>
      <w:b/>
      <w:bCs/>
      <w:sz w:val="18"/>
      <w:szCs w:val="18"/>
    </w:rPr>
  </w:style>
  <w:style w:type="paragraph" w:styleId="Heading6">
    <w:name w:val="heading 6"/>
    <w:basedOn w:val="Normal"/>
    <w:uiPriority w:val="1"/>
    <w:qFormat/>
    <w:pPr>
      <w:ind w:left="340"/>
      <w:outlineLvl w:val="5"/>
    </w:pPr>
    <w:rPr>
      <w:rFonts w:ascii="Acumin Pro Wide Black" w:eastAsia="Acumin Pro Wide Black" w:hAnsi="Acumin Pro Wide Black" w:cs="Acumin Pro Wide Black"/>
      <w:b/>
      <w:bCs/>
      <w:i/>
      <w:iCs/>
      <w:sz w:val="18"/>
      <w:szCs w:val="1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ind w:left="1413" w:hanging="540"/>
    </w:pPr>
    <w:rPr>
      <w:b/>
      <w:bCs/>
    </w:rPr>
  </w:style>
  <w:style w:type="paragraph" w:styleId="TOC2">
    <w:name w:val="toc 2"/>
    <w:basedOn w:val="Normal"/>
    <w:uiPriority w:val="1"/>
    <w:qFormat/>
    <w:pPr>
      <w:ind w:left="1769" w:hanging="716"/>
    </w:pPr>
    <w:rPr>
      <w:b/>
      <w:bCs/>
      <w:sz w:val="20"/>
      <w:szCs w:val="20"/>
    </w:rPr>
  </w:style>
  <w:style w:type="paragraph" w:styleId="TOC3">
    <w:name w:val="toc 3"/>
    <w:basedOn w:val="Normal"/>
    <w:uiPriority w:val="1"/>
    <w:qFormat/>
    <w:pPr>
      <w:spacing w:before="39"/>
      <w:ind w:left="1951" w:hanging="718"/>
    </w:pPr>
    <w:rPr>
      <w:rFonts w:ascii="Acumin Pro Wide Black" w:eastAsia="Acumin Pro Wide Black" w:hAnsi="Acumin Pro Wide Black" w:cs="Acumin Pro Wide Black"/>
      <w:b/>
      <w:bCs/>
      <w:i/>
      <w:iCs/>
      <w:sz w:val="18"/>
      <w:szCs w:val="18"/>
    </w:rPr>
  </w:style>
  <w:style w:type="paragraph" w:styleId="TOC4">
    <w:name w:val="toc 4"/>
    <w:basedOn w:val="Normal"/>
    <w:uiPriority w:val="1"/>
    <w:qFormat/>
    <w:pPr>
      <w:spacing w:before="40"/>
      <w:ind w:left="1951" w:hanging="718"/>
    </w:pPr>
    <w:rPr>
      <w:rFonts w:ascii="Acumin Pro Wide Black" w:eastAsia="Acumin Pro Wide Black" w:hAnsi="Acumin Pro Wide Black" w:cs="Acumin Pro Wide Black"/>
      <w:b/>
      <w:bCs/>
      <w:i/>
      <w:iCs/>
    </w:rPr>
  </w:style>
  <w:style w:type="paragraph" w:styleId="TOC5">
    <w:name w:val="toc 5"/>
    <w:basedOn w:val="Normal"/>
    <w:uiPriority w:val="1"/>
    <w:qFormat/>
    <w:pPr>
      <w:spacing w:before="40"/>
      <w:ind w:left="1260"/>
    </w:pPr>
    <w:rPr>
      <w:i/>
      <w:iCs/>
      <w:sz w:val="18"/>
      <w:szCs w:val="18"/>
    </w:rPr>
  </w:style>
  <w:style w:type="paragraph" w:styleId="TOC6">
    <w:name w:val="toc 6"/>
    <w:basedOn w:val="Normal"/>
    <w:uiPriority w:val="1"/>
    <w:qFormat/>
    <w:pPr>
      <w:spacing w:line="268" w:lineRule="exact"/>
      <w:ind w:left="1413"/>
    </w:pPr>
    <w:rPr>
      <w:b/>
      <w:bCs/>
    </w:rPr>
  </w:style>
  <w:style w:type="paragraph" w:styleId="TOC7">
    <w:name w:val="toc 7"/>
    <w:basedOn w:val="Normal"/>
    <w:uiPriority w:val="1"/>
    <w:qFormat/>
    <w:pPr>
      <w:ind w:left="1593"/>
    </w:pPr>
    <w:rPr>
      <w:b/>
      <w:bCs/>
    </w:rPr>
  </w:style>
  <w:style w:type="paragraph" w:styleId="TOC8">
    <w:name w:val="toc 8"/>
    <w:basedOn w:val="Normal"/>
    <w:uiPriority w:val="1"/>
    <w:qFormat/>
    <w:pPr>
      <w:ind w:left="1773"/>
    </w:pPr>
    <w:rPr>
      <w:b/>
      <w:bCs/>
      <w:sz w:val="20"/>
      <w:szCs w:val="20"/>
    </w:rPr>
  </w:style>
  <w:style w:type="paragraph" w:styleId="TOC9">
    <w:name w:val="toc 9"/>
    <w:basedOn w:val="Normal"/>
    <w:uiPriority w:val="1"/>
    <w:qFormat/>
    <w:pPr>
      <w:spacing w:before="41"/>
      <w:ind w:left="1953"/>
    </w:pPr>
    <w:rPr>
      <w:i/>
      <w:iCs/>
      <w:sz w:val="18"/>
      <w:szCs w:val="18"/>
    </w:rPr>
  </w:style>
  <w:style w:type="paragraph" w:styleId="BodyText">
    <w:name w:val="Body Text"/>
    <w:basedOn w:val="Normal"/>
    <w:link w:val="BodyTextChar"/>
    <w:uiPriority w:val="1"/>
    <w:qFormat/>
    <w:rPr>
      <w:sz w:val="18"/>
      <w:szCs w:val="18"/>
    </w:rPr>
  </w:style>
  <w:style w:type="paragraph" w:styleId="Title">
    <w:name w:val="Title"/>
    <w:basedOn w:val="Normal"/>
    <w:uiPriority w:val="1"/>
    <w:qFormat/>
    <w:pPr>
      <w:ind w:left="26" w:right="4014"/>
    </w:pPr>
    <w:rPr>
      <w:b/>
      <w:bCs/>
      <w:sz w:val="40"/>
      <w:szCs w:val="40"/>
    </w:rPr>
  </w:style>
  <w:style w:type="paragraph" w:styleId="ListParagraph">
    <w:name w:val="List Paragraph"/>
    <w:basedOn w:val="Normal"/>
    <w:uiPriority w:val="1"/>
    <w:qFormat/>
    <w:pPr>
      <w:ind w:left="1485"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02201"/>
    <w:pPr>
      <w:tabs>
        <w:tab w:val="center" w:pos="4680"/>
        <w:tab w:val="right" w:pos="9360"/>
      </w:tabs>
    </w:pPr>
  </w:style>
  <w:style w:type="character" w:customStyle="1" w:styleId="HeaderChar">
    <w:name w:val="Header Char"/>
    <w:basedOn w:val="DefaultParagraphFont"/>
    <w:link w:val="Header"/>
    <w:uiPriority w:val="99"/>
    <w:rsid w:val="00202201"/>
    <w:rPr>
      <w:rFonts w:ascii="Calibri" w:eastAsia="Calibri" w:hAnsi="Calibri" w:cs="Calibri"/>
      <w:lang w:val="ro-RO"/>
    </w:rPr>
  </w:style>
  <w:style w:type="paragraph" w:styleId="Footer">
    <w:name w:val="footer"/>
    <w:basedOn w:val="Normal"/>
    <w:link w:val="FooterChar"/>
    <w:uiPriority w:val="99"/>
    <w:unhideWhenUsed/>
    <w:rsid w:val="00202201"/>
    <w:pPr>
      <w:tabs>
        <w:tab w:val="center" w:pos="4680"/>
        <w:tab w:val="right" w:pos="9360"/>
      </w:tabs>
    </w:pPr>
  </w:style>
  <w:style w:type="character" w:customStyle="1" w:styleId="FooterChar">
    <w:name w:val="Footer Char"/>
    <w:basedOn w:val="DefaultParagraphFont"/>
    <w:link w:val="Footer"/>
    <w:uiPriority w:val="99"/>
    <w:rsid w:val="00202201"/>
    <w:rPr>
      <w:rFonts w:ascii="Calibri" w:eastAsia="Calibri" w:hAnsi="Calibri" w:cs="Calibri"/>
      <w:lang w:val="ro-RO"/>
    </w:rPr>
  </w:style>
  <w:style w:type="character" w:customStyle="1" w:styleId="BodyTextChar">
    <w:name w:val="Body Text Char"/>
    <w:basedOn w:val="DefaultParagraphFont"/>
    <w:link w:val="BodyText"/>
    <w:uiPriority w:val="1"/>
    <w:rsid w:val="00C76B56"/>
    <w:rPr>
      <w:rFonts w:ascii="Calibri" w:eastAsia="Calibri" w:hAnsi="Calibri" w:cs="Calibri"/>
      <w:sz w:val="18"/>
      <w:szCs w:val="18"/>
      <w:lang w:val="ro-RO"/>
    </w:rPr>
  </w:style>
  <w:style w:type="table" w:styleId="TableGrid">
    <w:name w:val="Table Grid"/>
    <w:aliases w:val="GT0,Table long document"/>
    <w:basedOn w:val="TableNormal"/>
    <w:qFormat/>
    <w:rsid w:val="001A2884"/>
    <w:pPr>
      <w:widowControl/>
      <w:autoSpaceDE/>
      <w:autoSpaceDN/>
      <w:spacing w:line="260" w:lineRule="atLeast"/>
    </w:pPr>
    <w:rPr>
      <w:rFonts w:ascii="Verdana" w:hAnsi="Verdana"/>
      <w:sz w:val="18"/>
      <w:szCs w:val="18"/>
      <w:lang w:val="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99" Type="http://schemas.openxmlformats.org/officeDocument/2006/relationships/image" Target="media/image147.png"/><Relationship Id="rId21" Type="http://schemas.openxmlformats.org/officeDocument/2006/relationships/image" Target="media/image6.jpeg"/><Relationship Id="rId63" Type="http://schemas.openxmlformats.org/officeDocument/2006/relationships/hyperlink" Target="https://migrationatlas/" TargetMode="External"/><Relationship Id="rId159" Type="http://schemas.openxmlformats.org/officeDocument/2006/relationships/image" Target="media/image98.jpeg"/><Relationship Id="rId324" Type="http://schemas.openxmlformats.org/officeDocument/2006/relationships/image" Target="media/image154.jpeg"/><Relationship Id="rId170" Type="http://schemas.openxmlformats.org/officeDocument/2006/relationships/image" Target="media/image109.jpeg"/><Relationship Id="rId226" Type="http://schemas.openxmlformats.org/officeDocument/2006/relationships/footer" Target="footer30.xml"/><Relationship Id="rId268" Type="http://schemas.openxmlformats.org/officeDocument/2006/relationships/image" Target="media/image131.jpeg"/><Relationship Id="rId32" Type="http://schemas.openxmlformats.org/officeDocument/2006/relationships/header" Target="header7.xml"/><Relationship Id="rId74" Type="http://schemas.openxmlformats.org/officeDocument/2006/relationships/hyperlink" Target="https://migrationatlas/" TargetMode="External"/><Relationship Id="rId128" Type="http://schemas.openxmlformats.org/officeDocument/2006/relationships/image" Target="media/image71.jpeg"/><Relationship Id="rId335" Type="http://schemas.openxmlformats.org/officeDocument/2006/relationships/hyperlink" Target="https://eur-lex.europa.eu/legal-content/RO/TXT/PDF/?uri=CELEX%3A32021R1119" TargetMode="External"/><Relationship Id="rId5" Type="http://schemas.openxmlformats.org/officeDocument/2006/relationships/webSettings" Target="webSettings.xml"/><Relationship Id="rId181" Type="http://schemas.openxmlformats.org/officeDocument/2006/relationships/image" Target="media/image116.jpeg"/><Relationship Id="rId237" Type="http://schemas.openxmlformats.org/officeDocument/2006/relationships/image" Target="media/image123.jpeg"/><Relationship Id="rId279" Type="http://schemas.openxmlformats.org/officeDocument/2006/relationships/footer" Target="footer45.xml"/><Relationship Id="rId43" Type="http://schemas.openxmlformats.org/officeDocument/2006/relationships/image" Target="media/image17.jpeg"/><Relationship Id="rId139" Type="http://schemas.openxmlformats.org/officeDocument/2006/relationships/image" Target="media/image78.jpeg"/><Relationship Id="rId290" Type="http://schemas.openxmlformats.org/officeDocument/2006/relationships/image" Target="media/image140.png"/><Relationship Id="rId304" Type="http://schemas.openxmlformats.org/officeDocument/2006/relationships/image" Target="media/image148.png"/><Relationship Id="rId85" Type="http://schemas.openxmlformats.org/officeDocument/2006/relationships/hyperlink" Target="https://migrationatlas/" TargetMode="External"/><Relationship Id="rId150" Type="http://schemas.openxmlformats.org/officeDocument/2006/relationships/image" Target="media/image89.jpeg"/><Relationship Id="rId192" Type="http://schemas.openxmlformats.org/officeDocument/2006/relationships/header" Target="header15.xml"/><Relationship Id="rId206" Type="http://schemas.openxmlformats.org/officeDocument/2006/relationships/header" Target="header22.xml"/><Relationship Id="rId248" Type="http://schemas.openxmlformats.org/officeDocument/2006/relationships/header" Target="header37.xml"/><Relationship Id="rId12" Type="http://schemas.openxmlformats.org/officeDocument/2006/relationships/image" Target="media/image5.png"/><Relationship Id="rId108" Type="http://schemas.openxmlformats.org/officeDocument/2006/relationships/image" Target="media/image51.jpeg"/><Relationship Id="rId315" Type="http://schemas.openxmlformats.org/officeDocument/2006/relationships/header" Target="header54.xml"/><Relationship Id="rId54" Type="http://schemas.openxmlformats.org/officeDocument/2006/relationships/image" Target="media/image28.jpeg"/><Relationship Id="rId96" Type="http://schemas.openxmlformats.org/officeDocument/2006/relationships/image" Target="media/image39.jpeg"/><Relationship Id="rId161" Type="http://schemas.openxmlformats.org/officeDocument/2006/relationships/image" Target="media/image100.jpeg"/><Relationship Id="rId217" Type="http://schemas.openxmlformats.org/officeDocument/2006/relationships/header" Target="header27.xml"/><Relationship Id="rId259" Type="http://schemas.openxmlformats.org/officeDocument/2006/relationships/header" Target="header41.xml"/><Relationship Id="rId23" Type="http://schemas.openxmlformats.org/officeDocument/2006/relationships/footer" Target="footer3.xml"/><Relationship Id="rId119" Type="http://schemas.openxmlformats.org/officeDocument/2006/relationships/image" Target="media/image62.jpeg"/><Relationship Id="rId270" Type="http://schemas.openxmlformats.org/officeDocument/2006/relationships/header" Target="header44.xml"/><Relationship Id="rId326" Type="http://schemas.openxmlformats.org/officeDocument/2006/relationships/image" Target="media/image156.jpeg"/><Relationship Id="rId65" Type="http://schemas.openxmlformats.org/officeDocument/2006/relationships/hyperlink" Target="https://birdmap.5dvision.ee/EN/2023/autumn/?line=1&amp;tr" TargetMode="External"/><Relationship Id="rId130" Type="http://schemas.openxmlformats.org/officeDocument/2006/relationships/header" Target="header8.xml"/><Relationship Id="rId172" Type="http://schemas.openxmlformats.org/officeDocument/2006/relationships/hyperlink" Target="https://www.graiuldobrogei.ro/page/1/?s=cerchezu" TargetMode="External"/><Relationship Id="rId228" Type="http://schemas.openxmlformats.org/officeDocument/2006/relationships/header" Target="header32.xml"/><Relationship Id="rId281" Type="http://schemas.openxmlformats.org/officeDocument/2006/relationships/footer" Target="footer46.xml"/><Relationship Id="rId337" Type="http://schemas.openxmlformats.org/officeDocument/2006/relationships/hyperlink" Target="https://eur-lex.europa.eu/resource.html?uri=cellar%3Afc930f14-d7ae-11ec-a95f-01aa75ed71a1.0014.02/DOC_1&amp;format=PDF" TargetMode="External"/><Relationship Id="rId34" Type="http://schemas.openxmlformats.org/officeDocument/2006/relationships/image" Target="media/image11.jpeg"/><Relationship Id="rId76" Type="http://schemas.openxmlformats.org/officeDocument/2006/relationships/hyperlink" Target="https://migrationatlas/" TargetMode="External"/><Relationship Id="rId141" Type="http://schemas.openxmlformats.org/officeDocument/2006/relationships/image" Target="media/image80.jpeg"/><Relationship Id="rId7" Type="http://schemas.openxmlformats.org/officeDocument/2006/relationships/endnotes" Target="endnotes.xml"/><Relationship Id="rId183" Type="http://schemas.openxmlformats.org/officeDocument/2006/relationships/footer" Target="footer9.xml"/><Relationship Id="rId239" Type="http://schemas.openxmlformats.org/officeDocument/2006/relationships/image" Target="media/image125.png"/><Relationship Id="rId250" Type="http://schemas.openxmlformats.org/officeDocument/2006/relationships/image" Target="media/image128.png"/><Relationship Id="rId292" Type="http://schemas.openxmlformats.org/officeDocument/2006/relationships/image" Target="media/image142.png"/><Relationship Id="rId306" Type="http://schemas.openxmlformats.org/officeDocument/2006/relationships/image" Target="media/image149.png"/><Relationship Id="rId45" Type="http://schemas.openxmlformats.org/officeDocument/2006/relationships/image" Target="media/image19.jpeg"/><Relationship Id="rId87" Type="http://schemas.openxmlformats.org/officeDocument/2006/relationships/hyperlink" Target="https://migrationatlas/" TargetMode="External"/><Relationship Id="rId110" Type="http://schemas.openxmlformats.org/officeDocument/2006/relationships/image" Target="media/image53.jpeg"/><Relationship Id="rId152" Type="http://schemas.openxmlformats.org/officeDocument/2006/relationships/image" Target="media/image91.jpeg"/><Relationship Id="rId194" Type="http://schemas.openxmlformats.org/officeDocument/2006/relationships/header" Target="header16.xml"/><Relationship Id="rId208" Type="http://schemas.openxmlformats.org/officeDocument/2006/relationships/header" Target="header23.xml"/><Relationship Id="rId240" Type="http://schemas.openxmlformats.org/officeDocument/2006/relationships/header" Target="header34.xml"/><Relationship Id="rId261" Type="http://schemas.openxmlformats.org/officeDocument/2006/relationships/header" Target="header42.xml"/><Relationship Id="rId14" Type="http://schemas.openxmlformats.org/officeDocument/2006/relationships/header" Target="header2.xml"/><Relationship Id="rId35" Type="http://schemas.openxmlformats.org/officeDocument/2006/relationships/hyperlink" Target="https://galdobrogeasv.ro/legaturi-utile/" TargetMode="External"/><Relationship Id="rId56" Type="http://schemas.openxmlformats.org/officeDocument/2006/relationships/image" Target="media/image30.jpeg"/><Relationship Id="rId77" Type="http://schemas.openxmlformats.org/officeDocument/2006/relationships/hyperlink" Target="https://migrationatlas/" TargetMode="External"/><Relationship Id="rId100" Type="http://schemas.openxmlformats.org/officeDocument/2006/relationships/image" Target="media/image43.jpeg"/><Relationship Id="rId282" Type="http://schemas.openxmlformats.org/officeDocument/2006/relationships/header" Target="header48.xml"/><Relationship Id="rId317" Type="http://schemas.openxmlformats.org/officeDocument/2006/relationships/header" Target="header55.xml"/><Relationship Id="rId338" Type="http://schemas.openxmlformats.org/officeDocument/2006/relationships/hyperlink" Target="https://eur-lex.europa.eu/legal-content/RO/TXT/PDF/?uri=CELEX%3A52023DC0062" TargetMode="External"/><Relationship Id="rId8" Type="http://schemas.openxmlformats.org/officeDocument/2006/relationships/image" Target="media/image1.png"/><Relationship Id="rId98" Type="http://schemas.openxmlformats.org/officeDocument/2006/relationships/image" Target="media/image41.jpeg"/><Relationship Id="rId121" Type="http://schemas.openxmlformats.org/officeDocument/2006/relationships/image" Target="media/image64.jpeg"/><Relationship Id="rId142" Type="http://schemas.openxmlformats.org/officeDocument/2006/relationships/image" Target="media/image81.jpeg"/><Relationship Id="rId163" Type="http://schemas.openxmlformats.org/officeDocument/2006/relationships/image" Target="media/image102.jpeg"/><Relationship Id="rId184" Type="http://schemas.openxmlformats.org/officeDocument/2006/relationships/header" Target="header11.xml"/><Relationship Id="rId219" Type="http://schemas.openxmlformats.org/officeDocument/2006/relationships/header" Target="header28.xml"/><Relationship Id="rId230" Type="http://schemas.openxmlformats.org/officeDocument/2006/relationships/header" Target="header33.xml"/><Relationship Id="rId251" Type="http://schemas.openxmlformats.org/officeDocument/2006/relationships/header" Target="header38.xml"/><Relationship Id="rId25" Type="http://schemas.openxmlformats.org/officeDocument/2006/relationships/header" Target="header5.xml"/><Relationship Id="rId46" Type="http://schemas.openxmlformats.org/officeDocument/2006/relationships/image" Target="media/image20.jpeg"/><Relationship Id="rId67" Type="http://schemas.openxmlformats.org/officeDocument/2006/relationships/hyperlink" Target="https://satellitetracking.eu/inds/showmap/?check_273=27" TargetMode="External"/><Relationship Id="rId272" Type="http://schemas.openxmlformats.org/officeDocument/2006/relationships/image" Target="media/image132.jpeg"/><Relationship Id="rId293" Type="http://schemas.openxmlformats.org/officeDocument/2006/relationships/image" Target="media/image1410.png"/><Relationship Id="rId307" Type="http://schemas.openxmlformats.org/officeDocument/2006/relationships/image" Target="media/image153.png"/><Relationship Id="rId328" Type="http://schemas.openxmlformats.org/officeDocument/2006/relationships/hyperlink" Target="https://eur-lex.europa.eu/resource.html?uri=cellar%3A1bd46c90-bdd4-11e4-bbe1-01aa75ed71a1.0012.03/DOC_1&amp;format=PDF" TargetMode="External"/><Relationship Id="rId88" Type="http://schemas.openxmlformats.org/officeDocument/2006/relationships/image" Target="media/image31.jpeg"/><Relationship Id="rId111" Type="http://schemas.openxmlformats.org/officeDocument/2006/relationships/image" Target="media/image54.jpeg"/><Relationship Id="rId132" Type="http://schemas.openxmlformats.org/officeDocument/2006/relationships/image" Target="media/image73.jpeg"/><Relationship Id="rId153" Type="http://schemas.openxmlformats.org/officeDocument/2006/relationships/image" Target="media/image92.jpeg"/><Relationship Id="rId174" Type="http://schemas.openxmlformats.org/officeDocument/2006/relationships/hyperlink" Target="https://galdobrogeasv.ro/modificari-ale-strategiei-de-dezvoltare-locala/" TargetMode="External"/><Relationship Id="rId195" Type="http://schemas.openxmlformats.org/officeDocument/2006/relationships/footer" Target="footer15.xml"/><Relationship Id="rId209" Type="http://schemas.openxmlformats.org/officeDocument/2006/relationships/footer" Target="footer22.xml"/><Relationship Id="rId220" Type="http://schemas.openxmlformats.org/officeDocument/2006/relationships/footer" Target="footer27.xml"/><Relationship Id="rId241" Type="http://schemas.openxmlformats.org/officeDocument/2006/relationships/footer" Target="footer33.xml"/><Relationship Id="rId15" Type="http://schemas.openxmlformats.org/officeDocument/2006/relationships/footer" Target="footer1.xml"/><Relationship Id="rId36" Type="http://schemas.openxmlformats.org/officeDocument/2006/relationships/image" Target="media/image12.png"/><Relationship Id="rId57" Type="http://schemas.openxmlformats.org/officeDocument/2006/relationships/hyperlink" Target="https://migrationatlas/" TargetMode="External"/><Relationship Id="rId262" Type="http://schemas.openxmlformats.org/officeDocument/2006/relationships/footer" Target="footer41.xml"/><Relationship Id="rId283" Type="http://schemas.openxmlformats.org/officeDocument/2006/relationships/footer" Target="footer47.xml"/><Relationship Id="rId318" Type="http://schemas.openxmlformats.org/officeDocument/2006/relationships/footer" Target="footer54.xml"/><Relationship Id="rId339" Type="http://schemas.openxmlformats.org/officeDocument/2006/relationships/hyperlink" Target="https://eur-lex.europa.eu/resource.html?uri=cellar%3Aa3c806a6-9ab3-11ea-9d2d-01aa75ed71a1.0023.02/DOC_1&amp;format=PDF" TargetMode="External"/><Relationship Id="rId78" Type="http://schemas.openxmlformats.org/officeDocument/2006/relationships/hyperlink" Target="https://migrationatlas/" TargetMode="External"/><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image" Target="media/image65.jpeg"/><Relationship Id="rId143" Type="http://schemas.openxmlformats.org/officeDocument/2006/relationships/image" Target="media/image82.jpeg"/><Relationship Id="rId164" Type="http://schemas.openxmlformats.org/officeDocument/2006/relationships/image" Target="media/image103.png"/><Relationship Id="rId185" Type="http://schemas.openxmlformats.org/officeDocument/2006/relationships/footer" Target="footer10.xml"/><Relationship Id="rId9" Type="http://schemas.openxmlformats.org/officeDocument/2006/relationships/image" Target="media/image2.png"/><Relationship Id="rId210" Type="http://schemas.openxmlformats.org/officeDocument/2006/relationships/header" Target="header24.xml"/><Relationship Id="rId26" Type="http://schemas.openxmlformats.org/officeDocument/2006/relationships/footer" Target="footer4.xml"/><Relationship Id="rId231" Type="http://schemas.openxmlformats.org/officeDocument/2006/relationships/footer" Target="footer32.xml"/><Relationship Id="rId252" Type="http://schemas.openxmlformats.org/officeDocument/2006/relationships/footer" Target="footer37.xml"/><Relationship Id="rId273" Type="http://schemas.openxmlformats.org/officeDocument/2006/relationships/image" Target="media/image133.jpeg"/><Relationship Id="rId294" Type="http://schemas.openxmlformats.org/officeDocument/2006/relationships/image" Target="media/image1420.png"/><Relationship Id="rId308" Type="http://schemas.openxmlformats.org/officeDocument/2006/relationships/image" Target="media/image150.png"/><Relationship Id="rId329" Type="http://schemas.openxmlformats.org/officeDocument/2006/relationships/hyperlink" Target="https://eur-lex.europa.eu/legal-content/RO/TXT/PDF/?uri=CELEX%3A22016A1019(01)&amp;from=EN" TargetMode="External"/><Relationship Id="rId47" Type="http://schemas.openxmlformats.org/officeDocument/2006/relationships/image" Target="media/image21.jpeg"/><Relationship Id="rId68" Type="http://schemas.openxmlformats.org/officeDocument/2006/relationships/hyperlink" Target="https://migrationatlas/" TargetMode="External"/><Relationship Id="rId89" Type="http://schemas.openxmlformats.org/officeDocument/2006/relationships/image" Target="media/image32.jpeg"/><Relationship Id="rId112" Type="http://schemas.openxmlformats.org/officeDocument/2006/relationships/image" Target="media/image55.jpeg"/><Relationship Id="rId133" Type="http://schemas.openxmlformats.org/officeDocument/2006/relationships/image" Target="media/image74.jpeg"/><Relationship Id="rId154" Type="http://schemas.openxmlformats.org/officeDocument/2006/relationships/image" Target="media/image93.jpeg"/><Relationship Id="rId175" Type="http://schemas.openxmlformats.org/officeDocument/2006/relationships/image" Target="media/image110.jpeg"/><Relationship Id="rId340" Type="http://schemas.openxmlformats.org/officeDocument/2006/relationships/hyperlink" Target="https://eur-lex.europa.eu/resource.html?uri=cellar%3Aa3c806a6-9ab3-11ea-9d2d-01aa75ed71a1.0023.02/DOC_1&amp;format=PDF" TargetMode="External"/><Relationship Id="rId196" Type="http://schemas.openxmlformats.org/officeDocument/2006/relationships/header" Target="header17.xml"/><Relationship Id="rId200" Type="http://schemas.openxmlformats.org/officeDocument/2006/relationships/header" Target="header19.xml"/><Relationship Id="rId16" Type="http://schemas.openxmlformats.org/officeDocument/2006/relationships/hyperlink" Target="mailto:andreea.raducu@ox2.com" TargetMode="External"/><Relationship Id="rId221" Type="http://schemas.openxmlformats.org/officeDocument/2006/relationships/header" Target="header29.xml"/><Relationship Id="rId242" Type="http://schemas.openxmlformats.org/officeDocument/2006/relationships/header" Target="header35.xml"/><Relationship Id="rId263" Type="http://schemas.openxmlformats.org/officeDocument/2006/relationships/hyperlink" Target="https://www.nsi.bg/en/content/2981/population-towns-and-sex" TargetMode="External"/><Relationship Id="rId284" Type="http://schemas.openxmlformats.org/officeDocument/2006/relationships/header" Target="header49.xml"/><Relationship Id="rId319" Type="http://schemas.openxmlformats.org/officeDocument/2006/relationships/header" Target="header56.xml"/><Relationship Id="rId37" Type="http://schemas.openxmlformats.org/officeDocument/2006/relationships/hyperlink" Target="https://webgate.ec.europa.eu/dyna/echi/?indlist=10a" TargetMode="External"/><Relationship Id="rId58" Type="http://schemas.openxmlformats.org/officeDocument/2006/relationships/hyperlink" Target="https://migrationatlas/" TargetMode="External"/><Relationship Id="rId79" Type="http://schemas.openxmlformats.org/officeDocument/2006/relationships/hyperlink" Target="https://migrationatlas/" TargetMode="External"/><Relationship Id="rId102" Type="http://schemas.openxmlformats.org/officeDocument/2006/relationships/image" Target="media/image45.jpeg"/><Relationship Id="rId123" Type="http://schemas.openxmlformats.org/officeDocument/2006/relationships/image" Target="media/image66.jpeg"/><Relationship Id="rId144" Type="http://schemas.openxmlformats.org/officeDocument/2006/relationships/image" Target="media/image83.jpeg"/><Relationship Id="rId330" Type="http://schemas.openxmlformats.org/officeDocument/2006/relationships/hyperlink" Target="https://eur-lex.europa.eu/legal-content/RO/TXT/PDF/?uri=CELEX%3A22016A1019(01)&amp;from=EN" TargetMode="External"/><Relationship Id="rId90" Type="http://schemas.openxmlformats.org/officeDocument/2006/relationships/image" Target="media/image33.jpeg"/><Relationship Id="rId165" Type="http://schemas.openxmlformats.org/officeDocument/2006/relationships/image" Target="media/image104.jpeg"/><Relationship Id="rId186" Type="http://schemas.openxmlformats.org/officeDocument/2006/relationships/header" Target="header12.xml"/><Relationship Id="rId211" Type="http://schemas.openxmlformats.org/officeDocument/2006/relationships/footer" Target="footer23.xml"/><Relationship Id="rId232" Type="http://schemas.openxmlformats.org/officeDocument/2006/relationships/image" Target="media/image119.jpeg"/><Relationship Id="rId253" Type="http://schemas.openxmlformats.org/officeDocument/2006/relationships/header" Target="header39.xml"/><Relationship Id="rId274" Type="http://schemas.openxmlformats.org/officeDocument/2006/relationships/header" Target="header45.xml"/><Relationship Id="rId295" Type="http://schemas.openxmlformats.org/officeDocument/2006/relationships/image" Target="media/image143.png"/><Relationship Id="rId309" Type="http://schemas.openxmlformats.org/officeDocument/2006/relationships/image" Target="media/image155.png"/><Relationship Id="rId27" Type="http://schemas.openxmlformats.org/officeDocument/2006/relationships/image" Target="media/image8.jpeg"/><Relationship Id="rId48" Type="http://schemas.openxmlformats.org/officeDocument/2006/relationships/image" Target="media/image22.jpeg"/><Relationship Id="rId69" Type="http://schemas.openxmlformats.org/officeDocument/2006/relationships/hyperlink" Target="https://migrationatlas/" TargetMode="External"/><Relationship Id="rId113" Type="http://schemas.openxmlformats.org/officeDocument/2006/relationships/image" Target="media/image56.jpeg"/><Relationship Id="rId134" Type="http://schemas.openxmlformats.org/officeDocument/2006/relationships/image" Target="media/image75.jpeg"/><Relationship Id="rId320" Type="http://schemas.openxmlformats.org/officeDocument/2006/relationships/footer" Target="footer55.xml"/><Relationship Id="rId80" Type="http://schemas.openxmlformats.org/officeDocument/2006/relationships/hyperlink" Target="https://migrationatlas/" TargetMode="External"/><Relationship Id="rId155" Type="http://schemas.openxmlformats.org/officeDocument/2006/relationships/image" Target="media/image94.jpeg"/><Relationship Id="rId176" Type="http://schemas.openxmlformats.org/officeDocument/2006/relationships/image" Target="media/image111.jpeg"/><Relationship Id="rId197" Type="http://schemas.openxmlformats.org/officeDocument/2006/relationships/footer" Target="footer16.xml"/><Relationship Id="rId341" Type="http://schemas.openxmlformats.org/officeDocument/2006/relationships/hyperlink" Target="https://galdobrogeasv.ro/modificari-ale-strategiei-de-dezvoltare-locala/" TargetMode="External"/><Relationship Id="rId201" Type="http://schemas.openxmlformats.org/officeDocument/2006/relationships/footer" Target="footer18.xml"/><Relationship Id="rId222" Type="http://schemas.openxmlformats.org/officeDocument/2006/relationships/footer" Target="footer28.xml"/><Relationship Id="rId243" Type="http://schemas.openxmlformats.org/officeDocument/2006/relationships/footer" Target="footer34.xml"/><Relationship Id="rId264" Type="http://schemas.openxmlformats.org/officeDocument/2006/relationships/hyperlink" Target="https://ro.wikipedia.org/wiki/Krai%C8%99te%2C_Dobrici" TargetMode="External"/><Relationship Id="rId285" Type="http://schemas.openxmlformats.org/officeDocument/2006/relationships/footer" Target="footer48.xml"/><Relationship Id="rId17" Type="http://schemas.openxmlformats.org/officeDocument/2006/relationships/hyperlink" Target="https://www.ox2.com/ro/romania" TargetMode="External"/><Relationship Id="rId38" Type="http://schemas.openxmlformats.org/officeDocument/2006/relationships/image" Target="media/image13.png"/><Relationship Id="rId59" Type="http://schemas.openxmlformats.org/officeDocument/2006/relationships/hyperlink" Target="https://bbecquet.gith/" TargetMode="External"/><Relationship Id="rId103" Type="http://schemas.openxmlformats.org/officeDocument/2006/relationships/image" Target="media/image46.jpeg"/><Relationship Id="rId124" Type="http://schemas.openxmlformats.org/officeDocument/2006/relationships/image" Target="media/image67.jpeg"/><Relationship Id="rId310" Type="http://schemas.openxmlformats.org/officeDocument/2006/relationships/header" Target="header52.xml"/><Relationship Id="rId70" Type="http://schemas.openxmlformats.org/officeDocument/2006/relationships/hyperlink" Target="https://migrationatlas/" TargetMode="External"/><Relationship Id="rId91" Type="http://schemas.openxmlformats.org/officeDocument/2006/relationships/image" Target="media/image34.jpeg"/><Relationship Id="rId145" Type="http://schemas.openxmlformats.org/officeDocument/2006/relationships/image" Target="media/image84.jpeg"/><Relationship Id="rId166" Type="http://schemas.openxmlformats.org/officeDocument/2006/relationships/image" Target="media/image105.png"/><Relationship Id="rId187" Type="http://schemas.openxmlformats.org/officeDocument/2006/relationships/footer" Target="footer11.xml"/><Relationship Id="rId331" Type="http://schemas.openxmlformats.org/officeDocument/2006/relationships/hyperlink" Target="https://eur-lex.europa.eu/resource.html?uri=cellar%3Ab828d165-1c22-11ea-8c1f-01aa75ed71a1.0020.02/DOC_1&amp;format=PDF" TargetMode="External"/><Relationship Id="rId1" Type="http://schemas.openxmlformats.org/officeDocument/2006/relationships/customXml" Target="../customXml/item1.xml"/><Relationship Id="rId212" Type="http://schemas.openxmlformats.org/officeDocument/2006/relationships/image" Target="media/image117.png"/><Relationship Id="rId233" Type="http://schemas.openxmlformats.org/officeDocument/2006/relationships/image" Target="media/image120.jpeg"/><Relationship Id="rId254" Type="http://schemas.openxmlformats.org/officeDocument/2006/relationships/footer" Target="footer38.xml"/><Relationship Id="rId28" Type="http://schemas.openxmlformats.org/officeDocument/2006/relationships/header" Target="header6.xml"/><Relationship Id="rId49" Type="http://schemas.openxmlformats.org/officeDocument/2006/relationships/image" Target="media/image23.jpeg"/><Relationship Id="rId114" Type="http://schemas.openxmlformats.org/officeDocument/2006/relationships/image" Target="media/image57.jpeg"/><Relationship Id="rId275" Type="http://schemas.openxmlformats.org/officeDocument/2006/relationships/footer" Target="footer44.xml"/><Relationship Id="rId296" Type="http://schemas.openxmlformats.org/officeDocument/2006/relationships/image" Target="media/image144.png"/><Relationship Id="rId300" Type="http://schemas.openxmlformats.org/officeDocument/2006/relationships/header" Target="header50.xml"/><Relationship Id="rId60" Type="http://schemas.openxmlformats.org/officeDocument/2006/relationships/hyperlink" Target="https://birdmap.5dvision.ee/en/" TargetMode="External"/><Relationship Id="rId81" Type="http://schemas.openxmlformats.org/officeDocument/2006/relationships/hyperlink" Target="https://migrationatlas/" TargetMode="External"/><Relationship Id="rId135" Type="http://schemas.openxmlformats.org/officeDocument/2006/relationships/image" Target="media/image76.jpeg"/><Relationship Id="rId156" Type="http://schemas.openxmlformats.org/officeDocument/2006/relationships/image" Target="media/image95.jpeg"/><Relationship Id="rId177" Type="http://schemas.openxmlformats.org/officeDocument/2006/relationships/image" Target="media/image112.jpeg"/><Relationship Id="rId198" Type="http://schemas.openxmlformats.org/officeDocument/2006/relationships/header" Target="header18.xml"/><Relationship Id="rId321" Type="http://schemas.openxmlformats.org/officeDocument/2006/relationships/header" Target="header57.xml"/><Relationship Id="rId342" Type="http://schemas.openxmlformats.org/officeDocument/2006/relationships/hyperlink" Target="http://apmct.anpm.ro/-/planul-local-de-actiune-pentru-mediu-constanta" TargetMode="External"/><Relationship Id="rId202" Type="http://schemas.openxmlformats.org/officeDocument/2006/relationships/header" Target="header20.xml"/><Relationship Id="rId223" Type="http://schemas.openxmlformats.org/officeDocument/2006/relationships/header" Target="header30.xml"/><Relationship Id="rId244" Type="http://schemas.openxmlformats.org/officeDocument/2006/relationships/image" Target="media/image126.png"/><Relationship Id="rId18" Type="http://schemas.openxmlformats.org/officeDocument/2006/relationships/hyperlink" Target="mailto:andreea.raducu@ox2.com" TargetMode="External"/><Relationship Id="rId39" Type="http://schemas.openxmlformats.org/officeDocument/2006/relationships/image" Target="media/image14.png"/><Relationship Id="rId265" Type="http://schemas.openxmlformats.org/officeDocument/2006/relationships/hyperlink" Target="https://www.nsi.bg/en/content/3006/deaths-districts-municipalities-and-sex" TargetMode="External"/><Relationship Id="rId286" Type="http://schemas.openxmlformats.org/officeDocument/2006/relationships/image" Target="media/image136.png"/><Relationship Id="rId50" Type="http://schemas.openxmlformats.org/officeDocument/2006/relationships/image" Target="media/image24.jpeg"/><Relationship Id="rId104" Type="http://schemas.openxmlformats.org/officeDocument/2006/relationships/image" Target="media/image47.jpeg"/><Relationship Id="rId125" Type="http://schemas.openxmlformats.org/officeDocument/2006/relationships/image" Target="media/image68.jpeg"/><Relationship Id="rId146" Type="http://schemas.openxmlformats.org/officeDocument/2006/relationships/image" Target="media/image85.jpeg"/><Relationship Id="rId167" Type="http://schemas.openxmlformats.org/officeDocument/2006/relationships/image" Target="media/image106.jpeg"/><Relationship Id="rId188" Type="http://schemas.openxmlformats.org/officeDocument/2006/relationships/header" Target="header13.xml"/><Relationship Id="rId311" Type="http://schemas.openxmlformats.org/officeDocument/2006/relationships/footer" Target="footer51.xml"/><Relationship Id="rId332" Type="http://schemas.openxmlformats.org/officeDocument/2006/relationships/hyperlink" Target="https://eur-lex.europa.eu/legal-content/RO/TXT/PDF/?uri=CELEX%3A52020DC0562" TargetMode="External"/><Relationship Id="rId71" Type="http://schemas.openxmlformats.org/officeDocument/2006/relationships/hyperlink" Target="https://migrationatlas/" TargetMode="External"/><Relationship Id="rId92" Type="http://schemas.openxmlformats.org/officeDocument/2006/relationships/image" Target="media/image35.jpeg"/><Relationship Id="rId213" Type="http://schemas.openxmlformats.org/officeDocument/2006/relationships/header" Target="header25.xml"/><Relationship Id="rId234" Type="http://schemas.openxmlformats.org/officeDocument/2006/relationships/hyperlink" Target="http://www.worldclim.org/" TargetMode="External"/><Relationship Id="rId2" Type="http://schemas.openxmlformats.org/officeDocument/2006/relationships/numbering" Target="numbering.xml"/><Relationship Id="rId29" Type="http://schemas.openxmlformats.org/officeDocument/2006/relationships/footer" Target="footer5.xml"/><Relationship Id="rId255" Type="http://schemas.openxmlformats.org/officeDocument/2006/relationships/image" Target="media/image129.png"/><Relationship Id="rId276" Type="http://schemas.openxmlformats.org/officeDocument/2006/relationships/image" Target="media/image134.jpeg"/><Relationship Id="rId297" Type="http://schemas.openxmlformats.org/officeDocument/2006/relationships/image" Target="media/image145.png"/><Relationship Id="rId40" Type="http://schemas.openxmlformats.org/officeDocument/2006/relationships/image" Target="media/image15.png"/><Relationship Id="rId115" Type="http://schemas.openxmlformats.org/officeDocument/2006/relationships/image" Target="media/image58.jpeg"/><Relationship Id="rId136" Type="http://schemas.openxmlformats.org/officeDocument/2006/relationships/header" Target="header9.xml"/><Relationship Id="rId157" Type="http://schemas.openxmlformats.org/officeDocument/2006/relationships/image" Target="media/image96.jpeg"/><Relationship Id="rId178" Type="http://schemas.openxmlformats.org/officeDocument/2006/relationships/image" Target="media/image113.jpeg"/><Relationship Id="rId301" Type="http://schemas.openxmlformats.org/officeDocument/2006/relationships/footer" Target="footer49.xml"/><Relationship Id="rId322" Type="http://schemas.openxmlformats.org/officeDocument/2006/relationships/footer" Target="footer56.xml"/><Relationship Id="rId343" Type="http://schemas.openxmlformats.org/officeDocument/2006/relationships/fontTable" Target="fontTable.xml"/><Relationship Id="rId61" Type="http://schemas.openxmlformats.org/officeDocument/2006/relationships/hyperlink" Target="https://satellitetracking.eu/" TargetMode="External"/><Relationship Id="rId82" Type="http://schemas.openxmlformats.org/officeDocument/2006/relationships/hyperlink" Target="https://migrationatlas/" TargetMode="External"/><Relationship Id="rId199" Type="http://schemas.openxmlformats.org/officeDocument/2006/relationships/footer" Target="footer17.xml"/><Relationship Id="rId203" Type="http://schemas.openxmlformats.org/officeDocument/2006/relationships/footer" Target="footer19.xml"/><Relationship Id="rId19" Type="http://schemas.openxmlformats.org/officeDocument/2006/relationships/header" Target="header3.xml"/><Relationship Id="rId224" Type="http://schemas.openxmlformats.org/officeDocument/2006/relationships/footer" Target="footer29.xml"/><Relationship Id="rId245" Type="http://schemas.openxmlformats.org/officeDocument/2006/relationships/header" Target="header36.xml"/><Relationship Id="rId266" Type="http://schemas.openxmlformats.org/officeDocument/2006/relationships/header" Target="header43.xml"/><Relationship Id="rId287" Type="http://schemas.openxmlformats.org/officeDocument/2006/relationships/image" Target="media/image137.png"/><Relationship Id="rId30" Type="http://schemas.openxmlformats.org/officeDocument/2006/relationships/image" Target="media/image9.jpeg"/><Relationship Id="rId105" Type="http://schemas.openxmlformats.org/officeDocument/2006/relationships/image" Target="media/image48.jpeg"/><Relationship Id="rId126" Type="http://schemas.openxmlformats.org/officeDocument/2006/relationships/image" Target="media/image69.jpeg"/><Relationship Id="rId147" Type="http://schemas.openxmlformats.org/officeDocument/2006/relationships/image" Target="media/image86.jpeg"/><Relationship Id="rId168" Type="http://schemas.openxmlformats.org/officeDocument/2006/relationships/image" Target="media/image107.jpeg"/><Relationship Id="rId312" Type="http://schemas.openxmlformats.org/officeDocument/2006/relationships/image" Target="media/image152.png"/><Relationship Id="rId333" Type="http://schemas.openxmlformats.org/officeDocument/2006/relationships/hyperlink" Target="https://eur-lex.europa.eu/legal-content/RO/TXT/PDF/?uri=CELEX%3A52020DC0562" TargetMode="External"/><Relationship Id="rId51" Type="http://schemas.openxmlformats.org/officeDocument/2006/relationships/image" Target="media/image25.png"/><Relationship Id="rId72" Type="http://schemas.openxmlformats.org/officeDocument/2006/relationships/hyperlink" Target="https://migrationatlas/" TargetMode="External"/><Relationship Id="rId93" Type="http://schemas.openxmlformats.org/officeDocument/2006/relationships/image" Target="media/image36.jpeg"/><Relationship Id="rId189" Type="http://schemas.openxmlformats.org/officeDocument/2006/relationships/footer" Target="footer12.xml"/><Relationship Id="rId3" Type="http://schemas.openxmlformats.org/officeDocument/2006/relationships/styles" Target="styles.xml"/><Relationship Id="rId214" Type="http://schemas.openxmlformats.org/officeDocument/2006/relationships/footer" Target="footer24.xml"/><Relationship Id="rId235" Type="http://schemas.openxmlformats.org/officeDocument/2006/relationships/image" Target="media/image121.jpeg"/><Relationship Id="rId256" Type="http://schemas.openxmlformats.org/officeDocument/2006/relationships/header" Target="header40.xml"/><Relationship Id="rId277" Type="http://schemas.openxmlformats.org/officeDocument/2006/relationships/image" Target="media/image135.png"/><Relationship Id="rId298" Type="http://schemas.openxmlformats.org/officeDocument/2006/relationships/image" Target="media/image146.png"/><Relationship Id="rId116" Type="http://schemas.openxmlformats.org/officeDocument/2006/relationships/image" Target="media/image59.jpeg"/><Relationship Id="rId137" Type="http://schemas.openxmlformats.org/officeDocument/2006/relationships/footer" Target="footer8.xml"/><Relationship Id="rId158" Type="http://schemas.openxmlformats.org/officeDocument/2006/relationships/image" Target="media/image97.jpeg"/><Relationship Id="rId302" Type="http://schemas.openxmlformats.org/officeDocument/2006/relationships/header" Target="header51.xml"/><Relationship Id="rId323" Type="http://schemas.openxmlformats.org/officeDocument/2006/relationships/image" Target="media/image153.jpeg"/><Relationship Id="rId344"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16.png"/><Relationship Id="rId62" Type="http://schemas.openxmlformats.org/officeDocument/2006/relationships/hyperlink" Target="https://migrationatlas/" TargetMode="External"/><Relationship Id="rId83" Type="http://schemas.openxmlformats.org/officeDocument/2006/relationships/hyperlink" Target="https://migrationatlas/" TargetMode="External"/><Relationship Id="rId179" Type="http://schemas.openxmlformats.org/officeDocument/2006/relationships/image" Target="media/image114.jpeg"/><Relationship Id="rId190" Type="http://schemas.openxmlformats.org/officeDocument/2006/relationships/header" Target="header14.xml"/><Relationship Id="rId204" Type="http://schemas.openxmlformats.org/officeDocument/2006/relationships/header" Target="header21.xml"/><Relationship Id="rId225" Type="http://schemas.openxmlformats.org/officeDocument/2006/relationships/header" Target="header31.xml"/><Relationship Id="rId246" Type="http://schemas.openxmlformats.org/officeDocument/2006/relationships/footer" Target="footer35.xml"/><Relationship Id="rId267" Type="http://schemas.openxmlformats.org/officeDocument/2006/relationships/footer" Target="footer42.xml"/><Relationship Id="rId288" Type="http://schemas.openxmlformats.org/officeDocument/2006/relationships/image" Target="media/image138.png"/><Relationship Id="rId106" Type="http://schemas.openxmlformats.org/officeDocument/2006/relationships/image" Target="media/image49.jpeg"/><Relationship Id="rId127" Type="http://schemas.openxmlformats.org/officeDocument/2006/relationships/image" Target="media/image70.jpeg"/><Relationship Id="rId313" Type="http://schemas.openxmlformats.org/officeDocument/2006/relationships/header" Target="header53.xml"/><Relationship Id="rId10" Type="http://schemas.openxmlformats.org/officeDocument/2006/relationships/image" Target="media/image3.png"/><Relationship Id="rId31" Type="http://schemas.openxmlformats.org/officeDocument/2006/relationships/image" Target="media/image10.jpeg"/><Relationship Id="rId52" Type="http://schemas.openxmlformats.org/officeDocument/2006/relationships/image" Target="media/image26.jpeg"/><Relationship Id="rId73" Type="http://schemas.openxmlformats.org/officeDocument/2006/relationships/hyperlink" Target="https://migrationatlas/" TargetMode="External"/><Relationship Id="rId94" Type="http://schemas.openxmlformats.org/officeDocument/2006/relationships/image" Target="media/image37.jpeg"/><Relationship Id="rId148" Type="http://schemas.openxmlformats.org/officeDocument/2006/relationships/image" Target="media/image87.jpeg"/><Relationship Id="rId169" Type="http://schemas.openxmlformats.org/officeDocument/2006/relationships/image" Target="media/image108.jpeg"/><Relationship Id="rId334" Type="http://schemas.openxmlformats.org/officeDocument/2006/relationships/hyperlink" Target="https://eur-lex.europa.eu/legal-content/RO/TXT/PDF/?uri=CELEX%3A32021R1119" TargetMode="External"/><Relationship Id="rId4" Type="http://schemas.openxmlformats.org/officeDocument/2006/relationships/settings" Target="settings.xml"/><Relationship Id="rId180" Type="http://schemas.openxmlformats.org/officeDocument/2006/relationships/image" Target="media/image115.jpeg"/><Relationship Id="rId215" Type="http://schemas.openxmlformats.org/officeDocument/2006/relationships/header" Target="header26.xml"/><Relationship Id="rId236" Type="http://schemas.openxmlformats.org/officeDocument/2006/relationships/image" Target="media/image122.jpeg"/><Relationship Id="rId257" Type="http://schemas.openxmlformats.org/officeDocument/2006/relationships/footer" Target="footer39.xml"/><Relationship Id="rId278" Type="http://schemas.openxmlformats.org/officeDocument/2006/relationships/header" Target="header46.xml"/><Relationship Id="rId303" Type="http://schemas.openxmlformats.org/officeDocument/2006/relationships/footer" Target="footer50.xml"/><Relationship Id="rId42" Type="http://schemas.openxmlformats.org/officeDocument/2006/relationships/hyperlink" Target="https://dspct.ro/wp-content/uploads/2024/04/RAPORT-JUDETEAN-APA-POTABILA-2023.pdf" TargetMode="External"/><Relationship Id="rId84" Type="http://schemas.openxmlformats.org/officeDocument/2006/relationships/hyperlink" Target="https://migrationatlas/" TargetMode="External"/><Relationship Id="rId138" Type="http://schemas.openxmlformats.org/officeDocument/2006/relationships/image" Target="media/image77.jpeg"/><Relationship Id="rId191" Type="http://schemas.openxmlformats.org/officeDocument/2006/relationships/footer" Target="footer13.xml"/><Relationship Id="rId205" Type="http://schemas.openxmlformats.org/officeDocument/2006/relationships/footer" Target="footer20.xml"/><Relationship Id="rId247" Type="http://schemas.openxmlformats.org/officeDocument/2006/relationships/image" Target="media/image127.png"/><Relationship Id="rId107" Type="http://schemas.openxmlformats.org/officeDocument/2006/relationships/image" Target="media/image50.jpeg"/><Relationship Id="rId289" Type="http://schemas.openxmlformats.org/officeDocument/2006/relationships/image" Target="media/image139.png"/><Relationship Id="rId11" Type="http://schemas.openxmlformats.org/officeDocument/2006/relationships/image" Target="media/image4.png"/><Relationship Id="rId53" Type="http://schemas.openxmlformats.org/officeDocument/2006/relationships/image" Target="media/image27.jpeg"/><Relationship Id="rId149" Type="http://schemas.openxmlformats.org/officeDocument/2006/relationships/image" Target="media/image88.jpeg"/><Relationship Id="rId314" Type="http://schemas.openxmlformats.org/officeDocument/2006/relationships/footer" Target="footer52.xml"/><Relationship Id="rId95" Type="http://schemas.openxmlformats.org/officeDocument/2006/relationships/image" Target="media/image38.jpeg"/><Relationship Id="rId160" Type="http://schemas.openxmlformats.org/officeDocument/2006/relationships/image" Target="media/image99.png"/><Relationship Id="rId216" Type="http://schemas.openxmlformats.org/officeDocument/2006/relationships/footer" Target="footer25.xml"/><Relationship Id="rId258" Type="http://schemas.openxmlformats.org/officeDocument/2006/relationships/image" Target="media/image130.png"/><Relationship Id="rId22" Type="http://schemas.openxmlformats.org/officeDocument/2006/relationships/header" Target="header4.xml"/><Relationship Id="rId64" Type="http://schemas.openxmlformats.org/officeDocument/2006/relationships/hyperlink" Target="https://satellitetracking.eu/inds/showmap/?check_273=27" TargetMode="External"/><Relationship Id="rId118" Type="http://schemas.openxmlformats.org/officeDocument/2006/relationships/image" Target="media/image61.jpeg"/><Relationship Id="rId325" Type="http://schemas.openxmlformats.org/officeDocument/2006/relationships/image" Target="media/image155.jpeg"/><Relationship Id="rId171" Type="http://schemas.openxmlformats.org/officeDocument/2006/relationships/hyperlink" Target="https://www.cestrin.ro/assets/pdf/recensamant%202022.pdf" TargetMode="External"/><Relationship Id="rId227" Type="http://schemas.openxmlformats.org/officeDocument/2006/relationships/image" Target="media/image118.jpeg"/><Relationship Id="rId269" Type="http://schemas.openxmlformats.org/officeDocument/2006/relationships/hyperlink" Target="https://ec.europa.eu/regional_policy/whats-new/newsroom/21-12-2023-eu-supports-just-climate-transition-in-bulgaria-with-a-budget-of-eur1-2-billion_en" TargetMode="External"/><Relationship Id="rId33" Type="http://schemas.openxmlformats.org/officeDocument/2006/relationships/footer" Target="footer6.xml"/><Relationship Id="rId129" Type="http://schemas.openxmlformats.org/officeDocument/2006/relationships/image" Target="media/image72.jpeg"/><Relationship Id="rId280" Type="http://schemas.openxmlformats.org/officeDocument/2006/relationships/header" Target="header47.xml"/><Relationship Id="rId336" Type="http://schemas.openxmlformats.org/officeDocument/2006/relationships/hyperlink" Target="https://eur-lex.europa.eu/resource.html?uri=cellar%3Afc930f14-d7ae-11ec-a95f-01aa75ed71a1.0014.02/DOC_1&amp;format=PDF" TargetMode="External"/><Relationship Id="rId75" Type="http://schemas.openxmlformats.org/officeDocument/2006/relationships/hyperlink" Target="https://migrationatlas/" TargetMode="External"/><Relationship Id="rId140" Type="http://schemas.openxmlformats.org/officeDocument/2006/relationships/image" Target="media/image79.jpeg"/><Relationship Id="rId182" Type="http://schemas.openxmlformats.org/officeDocument/2006/relationships/header" Target="header10.xml"/><Relationship Id="rId6" Type="http://schemas.openxmlformats.org/officeDocument/2006/relationships/footnotes" Target="footnotes.xml"/><Relationship Id="rId238" Type="http://schemas.openxmlformats.org/officeDocument/2006/relationships/image" Target="media/image124.jpeg"/><Relationship Id="rId291" Type="http://schemas.openxmlformats.org/officeDocument/2006/relationships/image" Target="media/image141.png"/><Relationship Id="rId305" Type="http://schemas.openxmlformats.org/officeDocument/2006/relationships/image" Target="media/image151.png"/><Relationship Id="rId44" Type="http://schemas.openxmlformats.org/officeDocument/2006/relationships/image" Target="media/image18.jpeg"/><Relationship Id="rId86" Type="http://schemas.openxmlformats.org/officeDocument/2006/relationships/hyperlink" Target="https://migrationatlas/" TargetMode="External"/><Relationship Id="rId151" Type="http://schemas.openxmlformats.org/officeDocument/2006/relationships/image" Target="media/image90.jpeg"/><Relationship Id="rId193" Type="http://schemas.openxmlformats.org/officeDocument/2006/relationships/footer" Target="footer14.xml"/><Relationship Id="rId207" Type="http://schemas.openxmlformats.org/officeDocument/2006/relationships/footer" Target="footer21.xml"/><Relationship Id="rId249" Type="http://schemas.openxmlformats.org/officeDocument/2006/relationships/footer" Target="footer36.xml"/><Relationship Id="rId13" Type="http://schemas.openxmlformats.org/officeDocument/2006/relationships/header" Target="header1.xml"/><Relationship Id="rId109" Type="http://schemas.openxmlformats.org/officeDocument/2006/relationships/image" Target="media/image52.jpeg"/><Relationship Id="rId260" Type="http://schemas.openxmlformats.org/officeDocument/2006/relationships/footer" Target="footer40.xml"/><Relationship Id="rId316" Type="http://schemas.openxmlformats.org/officeDocument/2006/relationships/footer" Target="footer53.xml"/><Relationship Id="rId55" Type="http://schemas.openxmlformats.org/officeDocument/2006/relationships/image" Target="media/image29.jpeg"/><Relationship Id="rId97" Type="http://schemas.openxmlformats.org/officeDocument/2006/relationships/image" Target="media/image40.jpeg"/><Relationship Id="rId120" Type="http://schemas.openxmlformats.org/officeDocument/2006/relationships/image" Target="media/image63.jpeg"/><Relationship Id="rId162" Type="http://schemas.openxmlformats.org/officeDocument/2006/relationships/image" Target="media/image101.jpeg"/><Relationship Id="rId218" Type="http://schemas.openxmlformats.org/officeDocument/2006/relationships/footer" Target="footer26.xml"/><Relationship Id="rId271" Type="http://schemas.openxmlformats.org/officeDocument/2006/relationships/footer" Target="footer43.xml"/><Relationship Id="rId24" Type="http://schemas.openxmlformats.org/officeDocument/2006/relationships/image" Target="media/image7.jpeg"/><Relationship Id="rId66" Type="http://schemas.openxmlformats.org/officeDocument/2006/relationships/hyperlink" Target="https://migrationatlas/" TargetMode="External"/><Relationship Id="rId131" Type="http://schemas.openxmlformats.org/officeDocument/2006/relationships/footer" Target="footer7.xml"/><Relationship Id="rId327" Type="http://schemas.openxmlformats.org/officeDocument/2006/relationships/image" Target="media/image157.jpeg"/><Relationship Id="rId173" Type="http://schemas.openxmlformats.org/officeDocument/2006/relationships/hyperlink" Target="https://galdobrogeasv.ro/modificari-ale-strategiei-de-dezvoltare-locala/" TargetMode="External"/><Relationship Id="rId229" Type="http://schemas.openxmlformats.org/officeDocument/2006/relationships/footer" Target="footer31.xml"/></Relationships>
</file>

<file path=word/_rels/footer3.xml.rels><?xml version="1.0" encoding="UTF-8" standalone="yes"?>
<Relationships xmlns="http://schemas.openxmlformats.org/package/2006/relationships"><Relationship Id="rId2" Type="http://schemas.openxmlformats.org/officeDocument/2006/relationships/hyperlink" Target="https://www.uvp-verbund.de/documents-ige-ng/igc_mv/d941ac0f-cb63-4acf-9b92-47aa66d6ba21/3%20Anlage%20und%20Betrieb/16%20Anlagenspez.%20Unterlagen/16.1.3%20Sicherheitseinrichtungen/16.1.3.2-" TargetMode="External"/><Relationship Id="rId1" Type="http://schemas.openxmlformats.org/officeDocument/2006/relationships/hyperlink" Target="https://www.uvp-verbund.de/documents-ige-ng/igc_mv/d941ac0f-cb63-4acf-9b92-47aa66d6ba21/3%20Anlage%20und%20Betrieb/16%20Anlagenspez.%20Unterlagen/16.1.3%20Sicherheitseinrichtungen/16.1.3.2-"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s://www.uvp-verbund.de/documents-ige-ng/igc_mv/d941ac0f-cb63-4acf-9b92-47aa66d6ba21/3%20Anlage%20und%20Betrieb/16%20Anlagenspez.%20Unterlagen/16.1.3%20Sicherheitseinrichtungen/16.1.3.2-" TargetMode="External"/><Relationship Id="rId1" Type="http://schemas.openxmlformats.org/officeDocument/2006/relationships/hyperlink" Target="https://www.uvp-verbund.de/documents-ige-ng/igc_mv/d941ac0f-cb63-4acf-9b92-47aa66d6ba21/3%20Anlage%20und%20Betrieb/16%20Anlagenspez.%20Unterlagen/16.1.3%20Sicherheitseinrichtungen/16.1.3.2-" TargetMode="External"/></Relationships>
</file>

<file path=word/_rels/footer43.xml.rels><?xml version="1.0" encoding="UTF-8" standalone="yes"?>
<Relationships xmlns="http://schemas.openxmlformats.org/package/2006/relationships"><Relationship Id="rId2" Type="http://schemas.openxmlformats.org/officeDocument/2006/relationships/hyperlink" Target="https://eea.government.bg/bg/soer/2023" TargetMode="External"/><Relationship Id="rId1" Type="http://schemas.openxmlformats.org/officeDocument/2006/relationships/hyperlink" Target="https://eea.government.bg/bg/soer/2023" TargetMode="External"/></Relationships>
</file>

<file path=word/_rels/footer44.xml.rels><?xml version="1.0" encoding="UTF-8" standalone="yes"?>
<Relationships xmlns="http://schemas.openxmlformats.org/package/2006/relationships"><Relationship Id="rId2" Type="http://schemas.openxmlformats.org/officeDocument/2006/relationships/hyperlink" Target="https://eea.government.bg/bg/soer/2023" TargetMode="External"/><Relationship Id="rId1" Type="http://schemas.openxmlformats.org/officeDocument/2006/relationships/hyperlink" Target="https://eea.government.bg/bg/soer/2023"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4.xml.rels><?xml version="1.0" encoding="UTF-8" standalone="yes"?>
<Relationships xmlns="http://schemas.openxmlformats.org/package/2006/relationships"><Relationship Id="rId1" Type="http://schemas.openxmlformats.org/officeDocument/2006/relationships/image" Target="media/image117.png"/></Relationships>
</file>

<file path=word/_rels/header56.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016ADE-1CCD-4C78-B2A0-76290D7C9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1</Pages>
  <Words>116694</Words>
  <Characters>665162</Characters>
  <Application>Microsoft Office Word</Application>
  <DocSecurity>0</DocSecurity>
  <Lines>5543</Lines>
  <Paragraphs>1560</Paragraphs>
  <ScaleCrop>false</ScaleCrop>
  <HeadingPairs>
    <vt:vector size="2" baseType="variant">
      <vt:variant>
        <vt:lpstr>Title</vt:lpstr>
      </vt:variant>
      <vt:variant>
        <vt:i4>1</vt:i4>
      </vt:variant>
    </vt:vector>
  </HeadingPairs>
  <TitlesOfParts>
    <vt:vector size="1" baseType="lpstr">
      <vt:lpstr>RAPORT PRIVIND IMPACTUL ASUPRA MEDIULUI</vt:lpstr>
    </vt:vector>
  </TitlesOfParts>
  <Company/>
  <LinksUpToDate>false</LinksUpToDate>
  <CharactersWithSpaces>780296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PRIVIND IMPACTUL ASUPRA MEDIULUI</dc:title>
  <dc:creator>Nicoleta Gabriela Musat</dc:creator>
  <cp:keywords>, docId:A256A979EFED0F85C6F9E4909D94257E</cp:keywords>
  <cp:lastModifiedBy>Andreea Raducu</cp:lastModifiedBy>
  <cp:revision>11</cp:revision>
  <dcterms:created xsi:type="dcterms:W3CDTF">2026-02-03T17:13:00Z</dcterms:created>
  <dcterms:modified xsi:type="dcterms:W3CDTF">2026-02-06T10:42:00Z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2026-02-03T00:00:00Z</vt:filetime>
  </property>
  <property fmtid="{D5CDD505-2E9C-101B-9397-08002B2CF9AE}" pid="3" name="Creator">
    <vt:lpwstr>Microsoft® Word 2021</vt:lpwstr>
  </property>
  <property fmtid="{D5CDD505-2E9C-101B-9397-08002B2CF9AE}" pid="4" name="LastSaved">
    <vt:filetime>2026-02-03T00:00:00Z</vt:filetime>
  </property>
  <property fmtid="{D5CDD505-2E9C-101B-9397-08002B2CF9AE}" pid="5" name="Producer">
    <vt:lpwstr>Microsoft® Word 2021</vt:lpwstr>
  </property>
</Properties>
</file>